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3"/>
        <w:gridCol w:w="1191"/>
        <w:gridCol w:w="606"/>
        <w:gridCol w:w="942"/>
        <w:gridCol w:w="1234"/>
        <w:gridCol w:w="4906"/>
        <w:gridCol w:w="5608"/>
      </w:tblGrid>
      <w:tr w:rsidR="00074551" w:rsidRPr="00E50B51" w14:paraId="1828F746" w14:textId="77777777" w:rsidTr="00BE689F">
        <w:trPr>
          <w:cantSplit/>
          <w:trHeight w:val="1470"/>
          <w:tblHeader/>
        </w:trPr>
        <w:tc>
          <w:tcPr>
            <w:tcW w:w="293" w:type="pct"/>
            <w:shd w:val="clear" w:color="auto" w:fill="BFBFBF" w:themeFill="background1" w:themeFillShade="BF"/>
          </w:tcPr>
          <w:p w14:paraId="69EA33E0" w14:textId="77777777" w:rsidR="00074551" w:rsidRDefault="00074551" w:rsidP="00367133">
            <w:pPr>
              <w:ind w:right="-124"/>
              <w:rPr>
                <w:b/>
                <w:bCs/>
                <w:i/>
                <w:iCs/>
                <w:sz w:val="20"/>
                <w:szCs w:val="20"/>
                <w:lang w:val="en-US"/>
              </w:rPr>
            </w:pPr>
          </w:p>
          <w:p w14:paraId="58D510A2" w14:textId="77777777" w:rsidR="00074551" w:rsidRDefault="00074551" w:rsidP="00367133">
            <w:pPr>
              <w:ind w:right="-124"/>
              <w:jc w:val="center"/>
              <w:rPr>
                <w:b/>
                <w:bCs/>
                <w:i/>
                <w:iCs/>
                <w:sz w:val="20"/>
                <w:szCs w:val="20"/>
                <w:lang w:val="en-US"/>
              </w:rPr>
            </w:pPr>
          </w:p>
          <w:p w14:paraId="00EC0526" w14:textId="77777777" w:rsidR="00074551" w:rsidRPr="004C20E3" w:rsidRDefault="00074551" w:rsidP="00367133">
            <w:pPr>
              <w:ind w:right="-124"/>
              <w:jc w:val="center"/>
              <w:rPr>
                <w:b/>
                <w:bCs/>
                <w:i/>
                <w:iCs/>
                <w:sz w:val="20"/>
                <w:szCs w:val="20"/>
                <w:lang w:val="en-US"/>
              </w:rPr>
            </w:pPr>
            <w:proofErr w:type="spellStart"/>
            <w:r>
              <w:rPr>
                <w:b/>
                <w:bCs/>
                <w:i/>
                <w:iCs/>
                <w:sz w:val="20"/>
                <w:szCs w:val="20"/>
                <w:lang w:val="en-US"/>
              </w:rPr>
              <w:t>poH</w:t>
            </w:r>
            <w:proofErr w:type="spellEnd"/>
          </w:p>
          <w:p w14:paraId="798E44AA" w14:textId="77777777" w:rsidR="00074551" w:rsidRPr="004C20E3" w:rsidRDefault="00074551" w:rsidP="00367133">
            <w:pPr>
              <w:jc w:val="center"/>
              <w:rPr>
                <w:b/>
                <w:bCs/>
                <w:i/>
                <w:iCs/>
                <w:sz w:val="20"/>
                <w:szCs w:val="20"/>
                <w:lang w:val="en-US"/>
              </w:rPr>
            </w:pPr>
            <w:r w:rsidRPr="004C20E3">
              <w:rPr>
                <w:b/>
                <w:bCs/>
                <w:i/>
                <w:iCs/>
                <w:sz w:val="20"/>
                <w:szCs w:val="20"/>
                <w:lang w:val="en-US"/>
              </w:rPr>
              <w:t>H</w:t>
            </w:r>
            <w:r>
              <w:rPr>
                <w:rStyle w:val="Funotenzeichen"/>
                <w:b/>
                <w:bCs/>
                <w:i/>
                <w:iCs/>
                <w:sz w:val="20"/>
                <w:szCs w:val="20"/>
                <w:lang w:val="en-US"/>
              </w:rPr>
              <w:footnoteReference w:id="1"/>
            </w:r>
          </w:p>
        </w:tc>
        <w:tc>
          <w:tcPr>
            <w:tcW w:w="387" w:type="pct"/>
            <w:shd w:val="clear" w:color="auto" w:fill="BFBFBF" w:themeFill="background1" w:themeFillShade="BF"/>
            <w:vAlign w:val="center"/>
            <w:hideMark/>
          </w:tcPr>
          <w:p w14:paraId="61ED20FF" w14:textId="77777777" w:rsidR="00074551" w:rsidRPr="004C20E3" w:rsidRDefault="00074551" w:rsidP="00367133">
            <w:pPr>
              <w:ind w:right="416"/>
              <w:jc w:val="center"/>
              <w:rPr>
                <w:b/>
                <w:bCs/>
                <w:i/>
                <w:iCs/>
                <w:sz w:val="20"/>
                <w:szCs w:val="20"/>
              </w:rPr>
            </w:pPr>
            <w:r w:rsidRPr="004C20E3">
              <w:rPr>
                <w:b/>
                <w:bCs/>
                <w:i/>
                <w:iCs/>
                <w:sz w:val="20"/>
                <w:szCs w:val="20"/>
              </w:rPr>
              <w:t>Name</w:t>
            </w:r>
          </w:p>
        </w:tc>
        <w:tc>
          <w:tcPr>
            <w:tcW w:w="197" w:type="pct"/>
            <w:shd w:val="clear" w:color="auto" w:fill="BFBFBF" w:themeFill="background1" w:themeFillShade="BF"/>
            <w:vAlign w:val="center"/>
            <w:hideMark/>
          </w:tcPr>
          <w:p w14:paraId="6117C9F3" w14:textId="77777777" w:rsidR="00074551" w:rsidRPr="004C20E3" w:rsidRDefault="00074551" w:rsidP="00367133">
            <w:pPr>
              <w:jc w:val="center"/>
              <w:rPr>
                <w:b/>
                <w:bCs/>
                <w:i/>
                <w:iCs/>
                <w:sz w:val="20"/>
                <w:szCs w:val="20"/>
              </w:rPr>
            </w:pPr>
            <w:r w:rsidRPr="004C20E3">
              <w:rPr>
                <w:b/>
                <w:bCs/>
                <w:i/>
                <w:iCs/>
                <w:sz w:val="20"/>
                <w:szCs w:val="20"/>
              </w:rPr>
              <w:t>Fallnummer</w:t>
            </w:r>
          </w:p>
        </w:tc>
        <w:tc>
          <w:tcPr>
            <w:tcW w:w="306" w:type="pct"/>
            <w:shd w:val="clear" w:color="auto" w:fill="BFBFBF" w:themeFill="background1" w:themeFillShade="BF"/>
            <w:vAlign w:val="center"/>
          </w:tcPr>
          <w:p w14:paraId="68AB5E05" w14:textId="77777777" w:rsidR="00074551" w:rsidRPr="004C20E3" w:rsidRDefault="00074551" w:rsidP="00367133">
            <w:pPr>
              <w:jc w:val="center"/>
              <w:rPr>
                <w:b/>
                <w:bCs/>
                <w:i/>
                <w:iCs/>
                <w:sz w:val="20"/>
                <w:szCs w:val="20"/>
              </w:rPr>
            </w:pPr>
            <w:r w:rsidRPr="004C20E3">
              <w:rPr>
                <w:b/>
                <w:bCs/>
                <w:i/>
                <w:iCs/>
                <w:sz w:val="20"/>
                <w:szCs w:val="20"/>
              </w:rPr>
              <w:t>Datum der Entscheidung</w:t>
            </w:r>
          </w:p>
        </w:tc>
        <w:tc>
          <w:tcPr>
            <w:tcW w:w="401" w:type="pct"/>
            <w:shd w:val="clear" w:color="auto" w:fill="BFBFBF" w:themeFill="background1" w:themeFillShade="BF"/>
          </w:tcPr>
          <w:p w14:paraId="1142D17E" w14:textId="77777777" w:rsidR="00074551" w:rsidRDefault="00074551" w:rsidP="00367133">
            <w:pPr>
              <w:jc w:val="center"/>
              <w:rPr>
                <w:b/>
                <w:bCs/>
                <w:i/>
                <w:iCs/>
                <w:sz w:val="20"/>
                <w:szCs w:val="20"/>
                <w:lang w:val="en-US"/>
              </w:rPr>
            </w:pPr>
          </w:p>
          <w:p w14:paraId="4B6B82EC" w14:textId="77777777" w:rsidR="00074551" w:rsidRDefault="00074551" w:rsidP="00367133">
            <w:pPr>
              <w:jc w:val="center"/>
              <w:rPr>
                <w:b/>
                <w:bCs/>
                <w:i/>
                <w:iCs/>
                <w:sz w:val="20"/>
                <w:szCs w:val="20"/>
                <w:lang w:val="en-US"/>
              </w:rPr>
            </w:pPr>
          </w:p>
          <w:p w14:paraId="768A81C1" w14:textId="77777777" w:rsidR="00074551" w:rsidRPr="004C20E3" w:rsidRDefault="00074551" w:rsidP="00367133">
            <w:pPr>
              <w:jc w:val="center"/>
              <w:rPr>
                <w:b/>
                <w:bCs/>
                <w:i/>
                <w:iCs/>
                <w:sz w:val="20"/>
                <w:szCs w:val="20"/>
                <w:lang w:val="en-US"/>
              </w:rPr>
            </w:pPr>
            <w:r w:rsidRPr="004C20E3">
              <w:rPr>
                <w:b/>
                <w:bCs/>
                <w:i/>
                <w:iCs/>
                <w:sz w:val="20"/>
                <w:szCs w:val="20"/>
                <w:lang w:val="en-US"/>
              </w:rPr>
              <w:t xml:space="preserve">Teil des </w:t>
            </w:r>
            <w:proofErr w:type="spellStart"/>
            <w:r w:rsidRPr="004C20E3">
              <w:rPr>
                <w:b/>
                <w:bCs/>
                <w:i/>
                <w:iCs/>
                <w:sz w:val="20"/>
                <w:szCs w:val="20"/>
                <w:lang w:val="en-US"/>
              </w:rPr>
              <w:t>Urteils</w:t>
            </w:r>
            <w:proofErr w:type="spellEnd"/>
            <w:r w:rsidRPr="004C20E3">
              <w:rPr>
                <w:rStyle w:val="Funotenzeichen"/>
                <w:b/>
                <w:bCs/>
                <w:i/>
                <w:iCs/>
                <w:sz w:val="20"/>
                <w:szCs w:val="20"/>
                <w:lang w:val="en-US"/>
              </w:rPr>
              <w:footnoteReference w:id="2"/>
            </w:r>
          </w:p>
        </w:tc>
        <w:tc>
          <w:tcPr>
            <w:tcW w:w="1594" w:type="pct"/>
            <w:shd w:val="clear" w:color="auto" w:fill="BFBFBF" w:themeFill="background1" w:themeFillShade="BF"/>
            <w:vAlign w:val="center"/>
            <w:hideMark/>
          </w:tcPr>
          <w:p w14:paraId="3AA0CA24" w14:textId="77777777" w:rsidR="00074551" w:rsidRPr="004C20E3" w:rsidRDefault="00074551" w:rsidP="00367133">
            <w:pPr>
              <w:jc w:val="center"/>
              <w:rPr>
                <w:b/>
                <w:bCs/>
                <w:i/>
                <w:iCs/>
                <w:sz w:val="20"/>
                <w:szCs w:val="20"/>
              </w:rPr>
            </w:pPr>
            <w:r w:rsidRPr="004C20E3">
              <w:rPr>
                <w:b/>
                <w:bCs/>
                <w:i/>
                <w:iCs/>
                <w:sz w:val="20"/>
                <w:szCs w:val="20"/>
              </w:rPr>
              <w:t>Sachverhalt (*</w:t>
            </w:r>
            <w:r w:rsidRPr="004C20E3">
              <w:rPr>
                <w:rStyle w:val="Funotenzeichen"/>
                <w:b/>
                <w:bCs/>
                <w:i/>
                <w:iCs/>
                <w:sz w:val="20"/>
                <w:szCs w:val="20"/>
              </w:rPr>
              <w:footnoteReference w:id="3"/>
            </w:r>
            <w:r w:rsidRPr="004C20E3">
              <w:rPr>
                <w:b/>
                <w:bCs/>
                <w:i/>
                <w:iCs/>
                <w:sz w:val="20"/>
                <w:szCs w:val="20"/>
              </w:rPr>
              <w:t>)</w:t>
            </w:r>
          </w:p>
        </w:tc>
        <w:tc>
          <w:tcPr>
            <w:tcW w:w="1822" w:type="pct"/>
            <w:shd w:val="clear" w:color="auto" w:fill="BFBFBF" w:themeFill="background1" w:themeFillShade="BF"/>
            <w:vAlign w:val="center"/>
          </w:tcPr>
          <w:p w14:paraId="457798AD" w14:textId="77777777" w:rsidR="00074551" w:rsidRPr="004C20E3" w:rsidRDefault="00074551" w:rsidP="00367133">
            <w:pPr>
              <w:jc w:val="center"/>
              <w:rPr>
                <w:b/>
                <w:bCs/>
                <w:i/>
                <w:iCs/>
                <w:sz w:val="20"/>
                <w:szCs w:val="20"/>
              </w:rPr>
            </w:pPr>
            <w:r w:rsidRPr="004C20E3">
              <w:rPr>
                <w:b/>
                <w:bCs/>
                <w:i/>
                <w:iCs/>
                <w:sz w:val="20"/>
                <w:szCs w:val="20"/>
              </w:rPr>
              <w:t>Qualitative Einordnung</w:t>
            </w:r>
          </w:p>
        </w:tc>
      </w:tr>
      <w:tr w:rsidR="00BE689F" w:rsidRPr="00E50B51" w14:paraId="3A9FD619" w14:textId="77777777" w:rsidTr="00BE689F">
        <w:trPr>
          <w:cantSplit/>
          <w:trHeight w:val="642"/>
        </w:trPr>
        <w:tc>
          <w:tcPr>
            <w:tcW w:w="5000" w:type="pct"/>
            <w:gridSpan w:val="7"/>
            <w:shd w:val="clear" w:color="auto" w:fill="E7E6E6" w:themeFill="background2"/>
          </w:tcPr>
          <w:p w14:paraId="35F6B97F" w14:textId="77777777" w:rsidR="0089283E" w:rsidRPr="003926AA" w:rsidRDefault="00BE689F" w:rsidP="00D229EA">
            <w:pPr>
              <w:ind w:left="113" w:right="113"/>
              <w:jc w:val="both"/>
              <w:rPr>
                <w:b/>
                <w:bCs/>
                <w:i/>
                <w:iCs/>
                <w:sz w:val="16"/>
                <w:szCs w:val="16"/>
              </w:rPr>
            </w:pPr>
            <w:r w:rsidRPr="003926AA">
              <w:rPr>
                <w:b/>
                <w:bCs/>
                <w:i/>
                <w:iCs/>
                <w:sz w:val="16"/>
                <w:szCs w:val="16"/>
              </w:rPr>
              <w:t xml:space="preserve">Leseschlüssel. </w:t>
            </w:r>
          </w:p>
          <w:p w14:paraId="3BE0D032" w14:textId="47C83DDF" w:rsidR="00BE689F" w:rsidRPr="0089283E" w:rsidRDefault="00FE5F32" w:rsidP="00D229EA">
            <w:pPr>
              <w:ind w:left="113" w:right="113"/>
              <w:jc w:val="both"/>
              <w:rPr>
                <w:i/>
                <w:iCs/>
                <w:sz w:val="16"/>
                <w:szCs w:val="16"/>
              </w:rPr>
            </w:pPr>
            <w:r>
              <w:rPr>
                <w:i/>
                <w:iCs/>
                <w:sz w:val="16"/>
                <w:szCs w:val="16"/>
              </w:rPr>
              <w:t>Hellgrau</w:t>
            </w:r>
            <w:r w:rsidR="00BE689F" w:rsidRPr="0089283E">
              <w:rPr>
                <w:i/>
                <w:iCs/>
                <w:sz w:val="16"/>
                <w:szCs w:val="16"/>
              </w:rPr>
              <w:t xml:space="preserve"> hinterlegte Zeilen bilden die hierarchische thematische Einordnung und gelten jeweils für die nachfolgenden Entscheidungen bis zur nächsten </w:t>
            </w:r>
            <w:r w:rsidR="00716500">
              <w:rPr>
                <w:i/>
                <w:iCs/>
                <w:sz w:val="16"/>
                <w:szCs w:val="16"/>
              </w:rPr>
              <w:t>hell</w:t>
            </w:r>
            <w:r w:rsidR="00BE689F" w:rsidRPr="0089283E">
              <w:rPr>
                <w:i/>
                <w:iCs/>
                <w:sz w:val="16"/>
                <w:szCs w:val="16"/>
              </w:rPr>
              <w:t xml:space="preserve">grau hinterlegten Zeile; die Spalten fungieren dort als Gliederungsebenen. </w:t>
            </w:r>
            <w:r w:rsidR="003926AA">
              <w:rPr>
                <w:i/>
                <w:iCs/>
                <w:sz w:val="16"/>
                <w:szCs w:val="16"/>
              </w:rPr>
              <w:t xml:space="preserve">Die </w:t>
            </w:r>
            <w:r w:rsidR="00716500">
              <w:rPr>
                <w:i/>
                <w:iCs/>
                <w:sz w:val="16"/>
                <w:szCs w:val="16"/>
              </w:rPr>
              <w:t xml:space="preserve">dann </w:t>
            </w:r>
            <w:r w:rsidR="003926AA">
              <w:rPr>
                <w:i/>
                <w:iCs/>
                <w:sz w:val="16"/>
                <w:szCs w:val="16"/>
              </w:rPr>
              <w:t>folgenden w</w:t>
            </w:r>
            <w:r w:rsidR="00BE689F" w:rsidRPr="0089283E">
              <w:rPr>
                <w:i/>
                <w:iCs/>
                <w:sz w:val="16"/>
                <w:szCs w:val="16"/>
              </w:rPr>
              <w:t>eiße</w:t>
            </w:r>
            <w:r w:rsidR="003926AA">
              <w:rPr>
                <w:i/>
                <w:iCs/>
                <w:sz w:val="16"/>
                <w:szCs w:val="16"/>
              </w:rPr>
              <w:t>n</w:t>
            </w:r>
            <w:r w:rsidR="00BE689F" w:rsidRPr="0089283E">
              <w:rPr>
                <w:i/>
                <w:iCs/>
                <w:sz w:val="16"/>
                <w:szCs w:val="16"/>
              </w:rPr>
              <w:t xml:space="preserve"> Zeilen enthalten die Falldaten.</w:t>
            </w:r>
          </w:p>
        </w:tc>
      </w:tr>
      <w:tr w:rsidR="00074551" w:rsidRPr="00E50B51" w14:paraId="157D1CA9" w14:textId="77777777" w:rsidTr="00BE689F">
        <w:trPr>
          <w:cantSplit/>
          <w:trHeight w:val="3175"/>
        </w:trPr>
        <w:tc>
          <w:tcPr>
            <w:tcW w:w="293" w:type="pct"/>
            <w:shd w:val="clear" w:color="auto" w:fill="E7E6E6" w:themeFill="background2"/>
          </w:tcPr>
          <w:p w14:paraId="76A2E469"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p w14:paraId="622181E2" w14:textId="77777777" w:rsidR="00074551" w:rsidRPr="00E50B51" w:rsidRDefault="00074551" w:rsidP="00367133">
            <w:pPr>
              <w:ind w:right="416"/>
              <w:jc w:val="center"/>
              <w:rPr>
                <w:sz w:val="20"/>
                <w:szCs w:val="20"/>
              </w:rPr>
            </w:pPr>
            <w:r w:rsidRPr="00E50B51">
              <w:rPr>
                <w:sz w:val="20"/>
                <w:szCs w:val="20"/>
              </w:rPr>
              <w:t>H</w:t>
            </w:r>
          </w:p>
          <w:p w14:paraId="3A80B0F7" w14:textId="77777777" w:rsidR="00074551" w:rsidRPr="00E50B51" w:rsidRDefault="00074551" w:rsidP="00367133">
            <w:pPr>
              <w:ind w:right="416"/>
              <w:jc w:val="center"/>
              <w:rPr>
                <w:sz w:val="20"/>
                <w:szCs w:val="20"/>
              </w:rPr>
            </w:pPr>
          </w:p>
        </w:tc>
        <w:tc>
          <w:tcPr>
            <w:tcW w:w="387" w:type="pct"/>
            <w:shd w:val="clear" w:color="auto" w:fill="E7E6E6" w:themeFill="background2"/>
            <w:textDirection w:val="tbRl"/>
            <w:vAlign w:val="center"/>
          </w:tcPr>
          <w:p w14:paraId="7611C2DA"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226D1E35" w14:textId="77777777" w:rsidR="00074551" w:rsidRPr="00E50B51" w:rsidRDefault="00074551" w:rsidP="00367133">
            <w:pPr>
              <w:ind w:left="113" w:right="113"/>
              <w:jc w:val="both"/>
              <w:rPr>
                <w:sz w:val="20"/>
                <w:szCs w:val="20"/>
              </w:rPr>
            </w:pPr>
            <w:r w:rsidRPr="00E50B51">
              <w:rPr>
                <w:sz w:val="20"/>
                <w:szCs w:val="20"/>
                <w:lang w:val="en-US"/>
              </w:rPr>
              <w:t>Property</w:t>
            </w:r>
          </w:p>
        </w:tc>
        <w:tc>
          <w:tcPr>
            <w:tcW w:w="306" w:type="pct"/>
            <w:shd w:val="clear" w:color="auto" w:fill="E7E6E6" w:themeFill="background2"/>
            <w:textDirection w:val="tbRl"/>
            <w:vAlign w:val="center"/>
          </w:tcPr>
          <w:p w14:paraId="4F2C9837" w14:textId="77777777" w:rsidR="00074551" w:rsidRPr="00E50B51" w:rsidRDefault="00074551" w:rsidP="00367133">
            <w:pPr>
              <w:ind w:left="113" w:right="113"/>
              <w:jc w:val="both"/>
              <w:rPr>
                <w:sz w:val="20"/>
                <w:szCs w:val="20"/>
              </w:rPr>
            </w:pPr>
            <w:r w:rsidRPr="00E50B51">
              <w:rPr>
                <w:sz w:val="20"/>
                <w:szCs w:val="20"/>
                <w:lang w:val="en-US"/>
              </w:rPr>
              <w:t>Scope</w:t>
            </w:r>
          </w:p>
        </w:tc>
        <w:tc>
          <w:tcPr>
            <w:tcW w:w="401" w:type="pct"/>
            <w:shd w:val="clear" w:color="auto" w:fill="E7E6E6" w:themeFill="background2"/>
          </w:tcPr>
          <w:p w14:paraId="7CD86253" w14:textId="77777777" w:rsidR="00074551" w:rsidRPr="00E50B51" w:rsidRDefault="00074551" w:rsidP="00367133">
            <w:pPr>
              <w:jc w:val="center"/>
              <w:rPr>
                <w:sz w:val="20"/>
                <w:szCs w:val="20"/>
              </w:rPr>
            </w:pPr>
          </w:p>
        </w:tc>
        <w:tc>
          <w:tcPr>
            <w:tcW w:w="1594" w:type="pct"/>
            <w:shd w:val="clear" w:color="auto" w:fill="E7E6E6" w:themeFill="background2"/>
            <w:textDirection w:val="tbRl"/>
            <w:vAlign w:val="center"/>
          </w:tcPr>
          <w:p w14:paraId="1440FD05" w14:textId="77777777" w:rsidR="00074551" w:rsidRPr="00E50B51" w:rsidRDefault="00074551" w:rsidP="00367133">
            <w:pPr>
              <w:ind w:left="113" w:right="113"/>
              <w:jc w:val="both"/>
              <w:rPr>
                <w:sz w:val="20"/>
                <w:szCs w:val="20"/>
              </w:rPr>
            </w:pPr>
          </w:p>
        </w:tc>
        <w:tc>
          <w:tcPr>
            <w:tcW w:w="1822" w:type="pct"/>
            <w:shd w:val="clear" w:color="auto" w:fill="E7E6E6" w:themeFill="background2"/>
          </w:tcPr>
          <w:p w14:paraId="1C376DD4" w14:textId="62117C4C" w:rsidR="00074551" w:rsidRPr="00BE689F" w:rsidRDefault="00A15DB3" w:rsidP="00BE689F">
            <w:pPr>
              <w:rPr>
                <w:i/>
                <w:iCs/>
                <w:sz w:val="20"/>
                <w:szCs w:val="20"/>
              </w:rPr>
            </w:pPr>
            <w:r w:rsidRPr="00A15DB3">
              <w:rPr>
                <w:i/>
                <w:iCs/>
                <w:sz w:val="16"/>
                <w:szCs w:val="20"/>
              </w:rPr>
              <w:t>Thematische Gliederung der nachfolgenden Entscheidungen ↓</w:t>
            </w:r>
          </w:p>
        </w:tc>
      </w:tr>
      <w:tr w:rsidR="00074551" w:rsidRPr="00E50B51" w14:paraId="7C5748B4" w14:textId="77777777" w:rsidTr="00BE689F">
        <w:trPr>
          <w:cantSplit/>
          <w:trHeight w:val="3175"/>
        </w:trPr>
        <w:tc>
          <w:tcPr>
            <w:tcW w:w="293" w:type="pct"/>
          </w:tcPr>
          <w:p w14:paraId="7BC12D2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CEEF083" w14:textId="77777777" w:rsidR="00074551" w:rsidRPr="00E50B51" w:rsidRDefault="00074551" w:rsidP="00367133">
            <w:pPr>
              <w:ind w:left="113" w:right="416"/>
              <w:jc w:val="both"/>
              <w:rPr>
                <w:sz w:val="20"/>
                <w:szCs w:val="20"/>
              </w:rPr>
            </w:pPr>
            <w:r w:rsidRPr="008F73D7">
              <w:rPr>
                <w:i/>
                <w:sz w:val="20"/>
                <w:szCs w:val="20"/>
                <w:lang w:val="en-US"/>
              </w:rPr>
              <w:t>Munn v. Ill.</w:t>
            </w:r>
          </w:p>
        </w:tc>
        <w:tc>
          <w:tcPr>
            <w:tcW w:w="197" w:type="pct"/>
            <w:textDirection w:val="tbRl"/>
            <w:vAlign w:val="center"/>
          </w:tcPr>
          <w:p w14:paraId="358DB146" w14:textId="77777777" w:rsidR="00074551" w:rsidRPr="00E50B51" w:rsidRDefault="00074551" w:rsidP="00367133">
            <w:pPr>
              <w:ind w:left="113" w:right="113"/>
              <w:jc w:val="both"/>
              <w:rPr>
                <w:sz w:val="20"/>
                <w:szCs w:val="20"/>
              </w:rPr>
            </w:pPr>
            <w:r w:rsidRPr="00E50B51">
              <w:rPr>
                <w:sz w:val="20"/>
                <w:szCs w:val="20"/>
                <w:lang w:val="en-US"/>
              </w:rPr>
              <w:t>94 U.S. 113</w:t>
            </w:r>
          </w:p>
        </w:tc>
        <w:tc>
          <w:tcPr>
            <w:tcW w:w="306" w:type="pct"/>
            <w:textDirection w:val="tbRl"/>
            <w:vAlign w:val="center"/>
          </w:tcPr>
          <w:p w14:paraId="17D6A28C" w14:textId="77777777" w:rsidR="00074551" w:rsidRPr="00E50B51" w:rsidRDefault="00074551" w:rsidP="00367133">
            <w:pPr>
              <w:ind w:left="113" w:right="113"/>
              <w:jc w:val="both"/>
              <w:rPr>
                <w:sz w:val="20"/>
                <w:szCs w:val="20"/>
              </w:rPr>
            </w:pPr>
            <w:r w:rsidRPr="00E50B51">
              <w:rPr>
                <w:sz w:val="20"/>
                <w:szCs w:val="20"/>
              </w:rPr>
              <w:t>1. März 1877</w:t>
            </w:r>
          </w:p>
        </w:tc>
        <w:tc>
          <w:tcPr>
            <w:tcW w:w="401" w:type="pct"/>
          </w:tcPr>
          <w:p w14:paraId="20269FB7" w14:textId="77777777" w:rsidR="00074551" w:rsidRPr="00E50B51" w:rsidRDefault="00074551" w:rsidP="00367133">
            <w:pPr>
              <w:jc w:val="center"/>
              <w:rPr>
                <w:sz w:val="20"/>
                <w:szCs w:val="20"/>
                <w:lang w:val="en-US"/>
              </w:rPr>
            </w:pPr>
            <w:r w:rsidRPr="00E50B51">
              <w:rPr>
                <w:sz w:val="20"/>
                <w:szCs w:val="20"/>
                <w:lang w:val="en-US"/>
              </w:rPr>
              <w:t>D</w:t>
            </w:r>
          </w:p>
        </w:tc>
        <w:tc>
          <w:tcPr>
            <w:tcW w:w="1594" w:type="pct"/>
          </w:tcPr>
          <w:p w14:paraId="04C9F491" w14:textId="77777777"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ein Gesetz, das </w:t>
            </w:r>
            <w:r>
              <w:rPr>
                <w:sz w:val="20"/>
                <w:szCs w:val="20"/>
              </w:rPr>
              <w:t xml:space="preserve">den </w:t>
            </w:r>
            <w:r w:rsidRPr="00E50B51">
              <w:rPr>
                <w:sz w:val="20"/>
                <w:szCs w:val="20"/>
              </w:rPr>
              <w:t>Handel einschränkte. Konkret legte es Lizenzierungs-, Tarif-, Lagerungsbedingungen und Kontrolle</w:t>
            </w:r>
            <w:r>
              <w:rPr>
                <w:sz w:val="20"/>
                <w:szCs w:val="20"/>
              </w:rPr>
              <w:t>n</w:t>
            </w:r>
            <w:r w:rsidRPr="00E50B51">
              <w:rPr>
                <w:sz w:val="20"/>
                <w:szCs w:val="20"/>
              </w:rPr>
              <w:t xml:space="preserve"> für Getreide fest (</w:t>
            </w:r>
            <w:r w:rsidRPr="00B45592">
              <w:rPr>
                <w:i/>
                <w:sz w:val="20"/>
                <w:szCs w:val="20"/>
              </w:rPr>
              <w:t xml:space="preserve">Act to </w:t>
            </w:r>
            <w:proofErr w:type="spellStart"/>
            <w:r w:rsidRPr="00B45592">
              <w:rPr>
                <w:i/>
                <w:sz w:val="20"/>
                <w:szCs w:val="20"/>
              </w:rPr>
              <w:t>Regulate</w:t>
            </w:r>
            <w:proofErr w:type="spellEnd"/>
            <w:r w:rsidRPr="00B45592">
              <w:rPr>
                <w:i/>
                <w:sz w:val="20"/>
                <w:szCs w:val="20"/>
              </w:rPr>
              <w:t xml:space="preserve"> Public </w:t>
            </w:r>
            <w:proofErr w:type="spellStart"/>
            <w:r w:rsidRPr="00B45592">
              <w:rPr>
                <w:i/>
                <w:sz w:val="20"/>
                <w:szCs w:val="20"/>
              </w:rPr>
              <w:t>Warehouses</w:t>
            </w:r>
            <w:proofErr w:type="spellEnd"/>
            <w:r w:rsidRPr="00B45592">
              <w:rPr>
                <w:i/>
                <w:sz w:val="20"/>
                <w:szCs w:val="20"/>
              </w:rPr>
              <w:t xml:space="preserve"> and the Warehousing and </w:t>
            </w:r>
            <w:proofErr w:type="spellStart"/>
            <w:r w:rsidRPr="00B45592">
              <w:rPr>
                <w:i/>
                <w:sz w:val="20"/>
                <w:szCs w:val="20"/>
              </w:rPr>
              <w:t>Inspection</w:t>
            </w:r>
            <w:proofErr w:type="spellEnd"/>
            <w:r w:rsidRPr="00B45592">
              <w:rPr>
                <w:i/>
                <w:sz w:val="20"/>
                <w:szCs w:val="20"/>
              </w:rPr>
              <w:t xml:space="preserve"> of Grain</w:t>
            </w:r>
            <w:r w:rsidRPr="00E50B51">
              <w:rPr>
                <w:sz w:val="20"/>
                <w:szCs w:val="20"/>
              </w:rPr>
              <w:t xml:space="preserve">, sog. </w:t>
            </w:r>
            <w:r w:rsidRPr="00B45592">
              <w:rPr>
                <w:i/>
                <w:sz w:val="20"/>
                <w:szCs w:val="20"/>
              </w:rPr>
              <w:t>Grain Act</w:t>
            </w:r>
            <w:r w:rsidRPr="00E50B51">
              <w:rPr>
                <w:sz w:val="20"/>
                <w:szCs w:val="20"/>
              </w:rPr>
              <w:t>).</w:t>
            </w:r>
            <w:r w:rsidRPr="00E50B51">
              <w:rPr>
                <w:rStyle w:val="Funotenzeichen"/>
                <w:rFonts w:eastAsiaTheme="majorEastAsia"/>
                <w:sz w:val="20"/>
                <w:szCs w:val="20"/>
              </w:rPr>
              <w:footnoteReference w:id="4"/>
            </w:r>
            <w:r w:rsidRPr="00E50B51">
              <w:rPr>
                <w:sz w:val="20"/>
                <w:szCs w:val="20"/>
              </w:rPr>
              <w:t xml:space="preserve"> Der </w:t>
            </w:r>
            <w:r>
              <w:rPr>
                <w:sz w:val="20"/>
                <w:szCs w:val="20"/>
              </w:rPr>
              <w:t>U.S. Supreme Court</w:t>
            </w:r>
            <w:r w:rsidRPr="00E50B51">
              <w:rPr>
                <w:sz w:val="20"/>
                <w:szCs w:val="20"/>
              </w:rPr>
              <w:t xml:space="preserve"> begründete, es stehe dem</w:t>
            </w:r>
            <w:r>
              <w:rPr>
                <w:sz w:val="20"/>
                <w:szCs w:val="20"/>
              </w:rPr>
              <w:t xml:space="preserve"> Staat</w:t>
            </w:r>
            <w:r w:rsidRPr="00E50B51">
              <w:rPr>
                <w:sz w:val="20"/>
                <w:szCs w:val="20"/>
              </w:rPr>
              <w:t xml:space="preserve"> kompetenziell frei, Handel mit Getreide zu regeln, der für die Öffentlich</w:t>
            </w:r>
            <w:r>
              <w:rPr>
                <w:sz w:val="20"/>
                <w:szCs w:val="20"/>
              </w:rPr>
              <w:t>keit</w:t>
            </w:r>
            <w:r w:rsidRPr="00E50B51">
              <w:rPr>
                <w:sz w:val="20"/>
                <w:szCs w:val="20"/>
              </w:rPr>
              <w:t xml:space="preserve"> erheblich sei. Zudem </w:t>
            </w:r>
            <w:r>
              <w:rPr>
                <w:sz w:val="20"/>
                <w:szCs w:val="20"/>
              </w:rPr>
              <w:t>könne</w:t>
            </w:r>
            <w:r w:rsidRPr="00E50B51">
              <w:rPr>
                <w:sz w:val="20"/>
                <w:szCs w:val="20"/>
              </w:rPr>
              <w:t xml:space="preserve"> der Bundesstaat innerhalb seiner Grenzen den</w:t>
            </w:r>
            <w:r>
              <w:rPr>
                <w:sz w:val="20"/>
                <w:szCs w:val="20"/>
              </w:rPr>
              <w:t xml:space="preserve"> Handel</w:t>
            </w:r>
            <w:r w:rsidRPr="00E50B51">
              <w:rPr>
                <w:sz w:val="20"/>
                <w:szCs w:val="20"/>
              </w:rPr>
              <w:t xml:space="preserve"> </w:t>
            </w:r>
            <w:r>
              <w:rPr>
                <w:sz w:val="20"/>
                <w:szCs w:val="20"/>
              </w:rPr>
              <w:t>regeln </w:t>
            </w:r>
            <w:r w:rsidRPr="00E50B51">
              <w:rPr>
                <w:sz w:val="20"/>
                <w:szCs w:val="20"/>
              </w:rPr>
              <w:t>– auch wenn dieser Handel zufällig den zwischenstaatlichen Handel mitregel</w:t>
            </w:r>
            <w:r>
              <w:rPr>
                <w:sz w:val="20"/>
                <w:szCs w:val="20"/>
              </w:rPr>
              <w:t>e, so der U.S. Supreme Court</w:t>
            </w:r>
            <w:r w:rsidRPr="00E50B51">
              <w:rPr>
                <w:sz w:val="20"/>
                <w:szCs w:val="20"/>
              </w:rPr>
              <w:t xml:space="preserve">. Zunächst wurden die Angeklagten beschuldigt, ein öffentliches Lagerhaus in Chicago betrieben zu haben, ohne die erforderliche Lizenz gemäß dem </w:t>
            </w:r>
            <w:r w:rsidRPr="00B45592">
              <w:rPr>
                <w:i/>
                <w:sz w:val="20"/>
                <w:szCs w:val="20"/>
              </w:rPr>
              <w:t>Grain Act</w:t>
            </w:r>
            <w:r w:rsidRPr="00E50B51">
              <w:rPr>
                <w:sz w:val="20"/>
                <w:szCs w:val="20"/>
              </w:rPr>
              <w:t xml:space="preserve"> zu erwerben, und höhere Gebühren zu verlangen, als die vom </w:t>
            </w:r>
            <w:r>
              <w:rPr>
                <w:sz w:val="20"/>
                <w:szCs w:val="20"/>
              </w:rPr>
              <w:t>§ </w:t>
            </w:r>
            <w:r w:rsidRPr="00E50B51">
              <w:rPr>
                <w:sz w:val="20"/>
                <w:szCs w:val="20"/>
              </w:rPr>
              <w:t xml:space="preserve">15 des </w:t>
            </w:r>
            <w:r w:rsidRPr="00B45592">
              <w:rPr>
                <w:i/>
                <w:sz w:val="20"/>
                <w:szCs w:val="20"/>
              </w:rPr>
              <w:t>Grain Act</w:t>
            </w:r>
            <w:r w:rsidRPr="00E50B51">
              <w:rPr>
                <w:sz w:val="20"/>
                <w:szCs w:val="20"/>
              </w:rPr>
              <w:t xml:space="preserve"> festgelegten Sätze vorgaben. Die unteren Instanzen urteilten, dass die Angeklagten bis auf diese zwei Punkte dem Gesetz entsprochen hatten. </w:t>
            </w:r>
            <w:r w:rsidRPr="000B343C">
              <w:rPr>
                <w:sz w:val="20"/>
                <w:szCs w:val="20"/>
              </w:rPr>
              <w:t xml:space="preserve">Der </w:t>
            </w:r>
            <w:r w:rsidRPr="00D67593">
              <w:rPr>
                <w:i/>
                <w:sz w:val="20"/>
                <w:szCs w:val="20"/>
              </w:rPr>
              <w:t>Supreme Court</w:t>
            </w:r>
            <w:r w:rsidRPr="00B45592">
              <w:rPr>
                <w:i/>
                <w:sz w:val="20"/>
                <w:szCs w:val="20"/>
              </w:rPr>
              <w:t xml:space="preserve"> of </w:t>
            </w:r>
            <w:r w:rsidRPr="00D67593">
              <w:rPr>
                <w:i/>
                <w:sz w:val="20"/>
                <w:szCs w:val="20"/>
              </w:rPr>
              <w:t>Illinois</w:t>
            </w:r>
            <w:r>
              <w:rPr>
                <w:sz w:val="20"/>
                <w:szCs w:val="20"/>
              </w:rPr>
              <w:t xml:space="preserve"> </w:t>
            </w:r>
            <w:r w:rsidRPr="00E50B51">
              <w:rPr>
                <w:sz w:val="20"/>
                <w:szCs w:val="20"/>
              </w:rPr>
              <w:t xml:space="preserve">bestätigte das Urteil. Daraufhin legten die Angeklagten beim </w:t>
            </w:r>
            <w:r>
              <w:rPr>
                <w:sz w:val="20"/>
                <w:szCs w:val="20"/>
              </w:rPr>
              <w:t>U.S. Supreme Court</w:t>
            </w:r>
            <w:r w:rsidRPr="00E50B51">
              <w:rPr>
                <w:sz w:val="20"/>
                <w:szCs w:val="20"/>
              </w:rPr>
              <w:t xml:space="preserve"> Rechtsmittel ein. Sie argumentierten, der </w:t>
            </w:r>
            <w:r w:rsidRPr="00B45592">
              <w:rPr>
                <w:i/>
                <w:sz w:val="20"/>
                <w:szCs w:val="20"/>
              </w:rPr>
              <w:t xml:space="preserve">Grain Act </w:t>
            </w:r>
            <w:r w:rsidRPr="00E50B51">
              <w:rPr>
                <w:sz w:val="20"/>
                <w:szCs w:val="20"/>
              </w:rPr>
              <w:t xml:space="preserve">sei verfassungswidrig. Der </w:t>
            </w:r>
            <w:r>
              <w:rPr>
                <w:sz w:val="20"/>
                <w:szCs w:val="20"/>
              </w:rPr>
              <w:t>U.S. Supreme Court</w:t>
            </w:r>
            <w:r w:rsidRPr="00E50B51">
              <w:rPr>
                <w:sz w:val="20"/>
                <w:szCs w:val="20"/>
              </w:rPr>
              <w:t xml:space="preserve"> entschied jedoch, dass das betreffende Gesetz nicht verfassungswidrig sei, da die Angeklagten sich in einem für die Öffentlichkeit erhebliche</w:t>
            </w:r>
            <w:r>
              <w:rPr>
                <w:sz w:val="20"/>
                <w:szCs w:val="20"/>
              </w:rPr>
              <w:t>n</w:t>
            </w:r>
            <w:r w:rsidRPr="00E50B51">
              <w:rPr>
                <w:sz w:val="20"/>
                <w:szCs w:val="20"/>
              </w:rPr>
              <w:t xml:space="preserve"> Geschäftsfeld betätigten, </w:t>
            </w:r>
            <w:r>
              <w:rPr>
                <w:sz w:val="20"/>
                <w:szCs w:val="20"/>
              </w:rPr>
              <w:t>sodass</w:t>
            </w:r>
            <w:r w:rsidRPr="00E50B51">
              <w:rPr>
                <w:sz w:val="20"/>
                <w:szCs w:val="20"/>
              </w:rPr>
              <w:t xml:space="preserve"> der Bundesstaat berechtigt war zu regulieren. Zudem verletze das Gesetz nicht die Handelsklausel (</w:t>
            </w:r>
            <w:r w:rsidRPr="00A142D9">
              <w:rPr>
                <w:i/>
                <w:sz w:val="20"/>
                <w:szCs w:val="20"/>
              </w:rPr>
              <w:t xml:space="preserve">Commerce </w:t>
            </w:r>
            <w:proofErr w:type="spellStart"/>
            <w:r w:rsidRPr="00A142D9">
              <w:rPr>
                <w:i/>
                <w:sz w:val="20"/>
                <w:szCs w:val="20"/>
              </w:rPr>
              <w:t>Clause</w:t>
            </w:r>
            <w:proofErr w:type="spellEnd"/>
            <w:r w:rsidRPr="00E50B51">
              <w:rPr>
                <w:sz w:val="20"/>
                <w:szCs w:val="20"/>
              </w:rPr>
              <w:t>) der Verfassung, da die staatliche Regulierung des Handels innerhalb seiner eigenen Grenzen lag.</w:t>
            </w:r>
          </w:p>
          <w:p w14:paraId="52B82449" w14:textId="77777777" w:rsidR="00074551" w:rsidRPr="00E50B51" w:rsidRDefault="00074551" w:rsidP="00367133">
            <w:pPr>
              <w:jc w:val="both"/>
              <w:rPr>
                <w:sz w:val="20"/>
                <w:szCs w:val="20"/>
              </w:rPr>
            </w:pPr>
          </w:p>
        </w:tc>
        <w:tc>
          <w:tcPr>
            <w:tcW w:w="1822" w:type="pct"/>
          </w:tcPr>
          <w:p w14:paraId="7D54D48A" w14:textId="77777777" w:rsidR="00074551" w:rsidRDefault="00074551" w:rsidP="00367133">
            <w:pPr>
              <w:jc w:val="both"/>
              <w:rPr>
                <w:sz w:val="20"/>
                <w:szCs w:val="20"/>
              </w:rPr>
            </w:pPr>
            <w:r w:rsidRPr="00E50B51">
              <w:rPr>
                <w:sz w:val="20"/>
                <w:szCs w:val="20"/>
              </w:rPr>
              <w:t xml:space="preserve">Zur </w:t>
            </w:r>
            <w:r w:rsidRPr="00A142D9">
              <w:rPr>
                <w:i/>
                <w:sz w:val="20"/>
                <w:szCs w:val="20"/>
              </w:rPr>
              <w:t xml:space="preserve">Commerce </w:t>
            </w:r>
            <w:proofErr w:type="spellStart"/>
            <w:r w:rsidRPr="00A142D9">
              <w:rPr>
                <w:i/>
                <w:sz w:val="20"/>
                <w:szCs w:val="20"/>
              </w:rPr>
              <w:t>Clause</w:t>
            </w:r>
            <w:proofErr w:type="spellEnd"/>
            <w:r w:rsidRPr="00E50B51">
              <w:rPr>
                <w:sz w:val="20"/>
                <w:szCs w:val="20"/>
              </w:rPr>
              <w:t xml:space="preserve"> urteilte der </w:t>
            </w:r>
            <w:r>
              <w:rPr>
                <w:sz w:val="20"/>
                <w:szCs w:val="20"/>
              </w:rPr>
              <w:t>U.S. Supreme Court</w:t>
            </w:r>
            <w:r w:rsidRPr="00E50B51">
              <w:rPr>
                <w:sz w:val="20"/>
                <w:szCs w:val="20"/>
              </w:rPr>
              <w:t xml:space="preserve">, nicht jede staatliche Maßnahme, die sich auf den Handel auswirke, erfülle auch </w:t>
            </w:r>
            <w:r>
              <w:rPr>
                <w:sz w:val="20"/>
                <w:szCs w:val="20"/>
              </w:rPr>
              <w:t>den</w:t>
            </w:r>
            <w:r w:rsidRPr="00E50B51">
              <w:rPr>
                <w:sz w:val="20"/>
                <w:szCs w:val="20"/>
              </w:rPr>
              <w:t xml:space="preserve"> Regulierung</w:t>
            </w:r>
            <w:r>
              <w:rPr>
                <w:sz w:val="20"/>
                <w:szCs w:val="20"/>
              </w:rPr>
              <w:t>sbegriff</w:t>
            </w:r>
            <w:r w:rsidRPr="00E50B51">
              <w:rPr>
                <w:sz w:val="20"/>
                <w:szCs w:val="20"/>
              </w:rPr>
              <w:t xml:space="preserve"> im Sinne der </w:t>
            </w:r>
            <w:r w:rsidRPr="00A142D9">
              <w:rPr>
                <w:i/>
                <w:sz w:val="20"/>
                <w:szCs w:val="20"/>
              </w:rPr>
              <w:t xml:space="preserve">Commerce </w:t>
            </w:r>
            <w:proofErr w:type="spellStart"/>
            <w:r w:rsidRPr="00A142D9">
              <w:rPr>
                <w:i/>
                <w:sz w:val="20"/>
                <w:szCs w:val="20"/>
              </w:rPr>
              <w:t>Clause</w:t>
            </w:r>
            <w:proofErr w:type="spellEnd"/>
            <w:r w:rsidRPr="00E50B51">
              <w:rPr>
                <w:sz w:val="20"/>
                <w:szCs w:val="20"/>
              </w:rPr>
              <w:t xml:space="preserve"> der U</w:t>
            </w:r>
            <w:r>
              <w:rPr>
                <w:sz w:val="20"/>
                <w:szCs w:val="20"/>
              </w:rPr>
              <w:t xml:space="preserve">.S. </w:t>
            </w:r>
            <w:proofErr w:type="spellStart"/>
            <w:r>
              <w:rPr>
                <w:sz w:val="20"/>
                <w:szCs w:val="20"/>
              </w:rPr>
              <w:t>Const</w:t>
            </w:r>
            <w:proofErr w:type="spellEnd"/>
            <w:r>
              <w:rPr>
                <w:sz w:val="20"/>
                <w:szCs w:val="20"/>
              </w:rPr>
              <w:t>.</w:t>
            </w:r>
            <w:r w:rsidRPr="00E50B51">
              <w:rPr>
                <w:sz w:val="20"/>
                <w:szCs w:val="20"/>
              </w:rPr>
              <w:t xml:space="preserve"> </w:t>
            </w:r>
            <w:r w:rsidRPr="000B67C4">
              <w:rPr>
                <w:sz w:val="20"/>
                <w:szCs w:val="20"/>
                <w:lang w:val="en-US"/>
              </w:rPr>
              <w:t>(“Not everything that affects commerce amounts to a regulation of it within the meaning of the U.S. Constitution”</w:t>
            </w:r>
            <w:r w:rsidRPr="00E50B51">
              <w:rPr>
                <w:sz w:val="20"/>
                <w:szCs w:val="20"/>
                <w:vertAlign w:val="superscript"/>
                <w:lang w:val="en-US"/>
              </w:rPr>
              <w:footnoteReference w:id="5"/>
            </w:r>
            <w:r>
              <w:rPr>
                <w:sz w:val="20"/>
                <w:szCs w:val="20"/>
                <w:lang w:val="en-US"/>
              </w:rPr>
              <w:t>)</w:t>
            </w:r>
            <w:r w:rsidRPr="000B67C4">
              <w:rPr>
                <w:sz w:val="20"/>
                <w:szCs w:val="20"/>
                <w:lang w:val="en-US"/>
              </w:rPr>
              <w:t xml:space="preserve">. </w:t>
            </w:r>
            <w:r w:rsidRPr="00E50B51">
              <w:rPr>
                <w:sz w:val="20"/>
                <w:szCs w:val="20"/>
              </w:rPr>
              <w:t xml:space="preserve">Entsprechend kann ein Bundesstaat Getreidehandel im Rahmen seiner Kompetenz regeln, auch wenn dies indirekt oder zufällig zwischenstaatlichen Handel mitregelt bzw. einschränkt, ohne </w:t>
            </w:r>
            <w:r>
              <w:rPr>
                <w:sz w:val="20"/>
                <w:szCs w:val="20"/>
              </w:rPr>
              <w:t xml:space="preserve">damit </w:t>
            </w:r>
            <w:r w:rsidRPr="00E50B51">
              <w:rPr>
                <w:sz w:val="20"/>
                <w:szCs w:val="20"/>
              </w:rPr>
              <w:t xml:space="preserve">gleich den Schutzbereich der </w:t>
            </w:r>
            <w:r w:rsidRPr="00A142D9">
              <w:rPr>
                <w:i/>
                <w:sz w:val="20"/>
                <w:szCs w:val="20"/>
              </w:rPr>
              <w:t xml:space="preserve">Commerce </w:t>
            </w:r>
            <w:proofErr w:type="spellStart"/>
            <w:r w:rsidRPr="00A142D9">
              <w:rPr>
                <w:i/>
                <w:sz w:val="20"/>
                <w:szCs w:val="20"/>
              </w:rPr>
              <w:t>Clause</w:t>
            </w:r>
            <w:proofErr w:type="spellEnd"/>
            <w:r w:rsidRPr="00E50B51">
              <w:rPr>
                <w:sz w:val="20"/>
                <w:szCs w:val="20"/>
              </w:rPr>
              <w:t xml:space="preserve"> der U.S. </w:t>
            </w:r>
            <w:proofErr w:type="spellStart"/>
            <w:r w:rsidRPr="00E50B51">
              <w:rPr>
                <w:sz w:val="20"/>
                <w:szCs w:val="20"/>
              </w:rPr>
              <w:t>Const</w:t>
            </w:r>
            <w:proofErr w:type="spellEnd"/>
            <w:r w:rsidRPr="00E50B51">
              <w:rPr>
                <w:sz w:val="20"/>
                <w:szCs w:val="20"/>
              </w:rPr>
              <w:t>. und die Kompetenz auf nationaler Ebene auszulösen.</w:t>
            </w:r>
            <w:r w:rsidRPr="00E50B51">
              <w:rPr>
                <w:sz w:val="20"/>
                <w:szCs w:val="20"/>
                <w:vertAlign w:val="superscript"/>
              </w:rPr>
              <w:footnoteReference w:id="6"/>
            </w:r>
            <w:r w:rsidRPr="00E50B51">
              <w:rPr>
                <w:sz w:val="20"/>
                <w:szCs w:val="20"/>
              </w:rPr>
              <w:t xml:space="preserve"> </w:t>
            </w:r>
          </w:p>
          <w:p w14:paraId="3A6AB209" w14:textId="77777777" w:rsidR="00074551" w:rsidRDefault="00074551" w:rsidP="00367133">
            <w:pPr>
              <w:jc w:val="both"/>
              <w:rPr>
                <w:sz w:val="20"/>
                <w:szCs w:val="20"/>
              </w:rPr>
            </w:pPr>
          </w:p>
          <w:p w14:paraId="5EBB0D26" w14:textId="77777777" w:rsidR="00074551" w:rsidRDefault="00074551" w:rsidP="00367133">
            <w:pPr>
              <w:jc w:val="both"/>
              <w:rPr>
                <w:sz w:val="20"/>
                <w:szCs w:val="20"/>
              </w:rPr>
            </w:pPr>
            <w:r w:rsidRPr="00E50B51">
              <w:rPr>
                <w:sz w:val="20"/>
                <w:szCs w:val="20"/>
              </w:rPr>
              <w:t xml:space="preserve">Der Dissens erklärt, damit verenge 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den Eigentumsbegriff in verfassungswidriger Weise. Er reduziere ihn auf die unmittelbare Auswirkung auf den Eigentumstitel und den Besitz („title </w:t>
            </w:r>
            <w:r w:rsidRPr="00761202">
              <w:rPr>
                <w:sz w:val="20"/>
                <w:szCs w:val="20"/>
              </w:rPr>
              <w:t xml:space="preserve">and </w:t>
            </w:r>
            <w:proofErr w:type="spellStart"/>
            <w:r w:rsidRPr="00761202">
              <w:rPr>
                <w:sz w:val="20"/>
                <w:szCs w:val="20"/>
              </w:rPr>
              <w:t>posses</w:t>
            </w:r>
            <w:r>
              <w:rPr>
                <w:sz w:val="20"/>
                <w:szCs w:val="20"/>
              </w:rPr>
              <w:t>s</w:t>
            </w:r>
            <w:r w:rsidRPr="00761202">
              <w:rPr>
                <w:sz w:val="20"/>
                <w:szCs w:val="20"/>
              </w:rPr>
              <w:t>ion</w:t>
            </w:r>
            <w:proofErr w:type="spellEnd"/>
            <w:r w:rsidRPr="00761202">
              <w:rPr>
                <w:sz w:val="20"/>
                <w:szCs w:val="20"/>
              </w:rPr>
              <w:t>“</w:t>
            </w:r>
            <w:r w:rsidRPr="00761202">
              <w:rPr>
                <w:rStyle w:val="Funotenzeichen"/>
                <w:sz w:val="20"/>
                <w:szCs w:val="20"/>
              </w:rPr>
              <w:footnoteReference w:id="7"/>
            </w:r>
            <w:r w:rsidRPr="00761202">
              <w:rPr>
                <w:sz w:val="20"/>
                <w:szCs w:val="20"/>
              </w:rPr>
              <w:t>).</w:t>
            </w:r>
            <w:r w:rsidRPr="00E50B51">
              <w:rPr>
                <w:sz w:val="20"/>
                <w:szCs w:val="20"/>
              </w:rPr>
              <w:t xml:space="preserve"> Aber die Verfassungsgarantie des Eigentums („</w:t>
            </w:r>
            <w:proofErr w:type="spellStart"/>
            <w:r w:rsidRPr="00E50B51">
              <w:rPr>
                <w:sz w:val="20"/>
                <w:szCs w:val="20"/>
              </w:rPr>
              <w:t>constitutional</w:t>
            </w:r>
            <w:proofErr w:type="spellEnd"/>
            <w:r w:rsidRPr="00E50B51">
              <w:rPr>
                <w:sz w:val="20"/>
                <w:szCs w:val="20"/>
              </w:rPr>
              <w:t xml:space="preserve"> </w:t>
            </w:r>
            <w:proofErr w:type="spellStart"/>
            <w:r w:rsidRPr="00E50B51">
              <w:rPr>
                <w:sz w:val="20"/>
                <w:szCs w:val="20"/>
              </w:rPr>
              <w:t>guarant</w:t>
            </w:r>
            <w:r>
              <w:rPr>
                <w:sz w:val="20"/>
                <w:szCs w:val="20"/>
              </w:rPr>
              <w:t>ee</w:t>
            </w:r>
            <w:proofErr w:type="spellEnd"/>
            <w:r w:rsidRPr="00E50B51">
              <w:rPr>
                <w:sz w:val="20"/>
                <w:szCs w:val="20"/>
              </w:rPr>
              <w:t>“</w:t>
            </w:r>
            <w:r w:rsidRPr="00E50B51">
              <w:rPr>
                <w:sz w:val="20"/>
                <w:szCs w:val="20"/>
                <w:vertAlign w:val="superscript"/>
              </w:rPr>
              <w:footnoteReference w:id="8"/>
            </w:r>
            <w:r w:rsidRPr="00E50B51">
              <w:rPr>
                <w:sz w:val="20"/>
                <w:szCs w:val="20"/>
              </w:rPr>
              <w:t>) erg</w:t>
            </w:r>
            <w:r>
              <w:rPr>
                <w:sz w:val="20"/>
                <w:szCs w:val="20"/>
              </w:rPr>
              <w:t>ebe</w:t>
            </w:r>
            <w:r w:rsidRPr="00E50B51">
              <w:rPr>
                <w:sz w:val="20"/>
                <w:szCs w:val="20"/>
              </w:rPr>
              <w:t xml:space="preserve"> sich nicht nur aus dessen formeller Auswirkung, sondern auch daraus, inwieweit eine Person nach einer staatlichen Maßnahme das Eigentum nutzen und dessen Früchte erwirtschaften </w:t>
            </w:r>
            <w:r>
              <w:rPr>
                <w:sz w:val="20"/>
                <w:szCs w:val="20"/>
              </w:rPr>
              <w:t>könne</w:t>
            </w:r>
            <w:r w:rsidRPr="00E50B51">
              <w:rPr>
                <w:sz w:val="20"/>
                <w:szCs w:val="20"/>
              </w:rPr>
              <w:t xml:space="preserve"> („</w:t>
            </w:r>
            <w:r w:rsidRPr="00761202">
              <w:rPr>
                <w:sz w:val="20"/>
                <w:szCs w:val="20"/>
              </w:rPr>
              <w:t xml:space="preserve">All </w:t>
            </w:r>
            <w:proofErr w:type="spellStart"/>
            <w:r w:rsidRPr="00761202">
              <w:rPr>
                <w:sz w:val="20"/>
                <w:szCs w:val="20"/>
              </w:rPr>
              <w:t>that</w:t>
            </w:r>
            <w:proofErr w:type="spellEnd"/>
            <w:r w:rsidRPr="00761202">
              <w:rPr>
                <w:sz w:val="20"/>
                <w:szCs w:val="20"/>
              </w:rPr>
              <w:t xml:space="preserve"> </w:t>
            </w:r>
            <w:proofErr w:type="spellStart"/>
            <w:r w:rsidRPr="00761202">
              <w:rPr>
                <w:sz w:val="20"/>
                <w:szCs w:val="20"/>
              </w:rPr>
              <w:t>is</w:t>
            </w:r>
            <w:proofErr w:type="spellEnd"/>
            <w:r w:rsidRPr="00761202">
              <w:rPr>
                <w:sz w:val="20"/>
                <w:szCs w:val="20"/>
              </w:rPr>
              <w:t xml:space="preserve"> </w:t>
            </w:r>
            <w:proofErr w:type="spellStart"/>
            <w:r w:rsidRPr="00761202">
              <w:rPr>
                <w:sz w:val="20"/>
                <w:szCs w:val="20"/>
              </w:rPr>
              <w:t>beneficial</w:t>
            </w:r>
            <w:proofErr w:type="spellEnd"/>
            <w:r w:rsidRPr="00761202">
              <w:rPr>
                <w:sz w:val="20"/>
                <w:szCs w:val="20"/>
              </w:rPr>
              <w:t xml:space="preserve"> in </w:t>
            </w:r>
            <w:proofErr w:type="spellStart"/>
            <w:r w:rsidRPr="00761202">
              <w:rPr>
                <w:sz w:val="20"/>
                <w:szCs w:val="20"/>
              </w:rPr>
              <w:t>property</w:t>
            </w:r>
            <w:proofErr w:type="spellEnd"/>
            <w:r w:rsidRPr="00761202">
              <w:rPr>
                <w:sz w:val="20"/>
                <w:szCs w:val="20"/>
              </w:rPr>
              <w:t xml:space="preserve"> </w:t>
            </w:r>
            <w:proofErr w:type="spellStart"/>
            <w:r w:rsidRPr="00761202">
              <w:rPr>
                <w:sz w:val="20"/>
                <w:szCs w:val="20"/>
              </w:rPr>
              <w:t>arises</w:t>
            </w:r>
            <w:proofErr w:type="spellEnd"/>
            <w:r w:rsidRPr="00761202">
              <w:rPr>
                <w:sz w:val="20"/>
                <w:szCs w:val="20"/>
              </w:rPr>
              <w:t xml:space="preserve"> </w:t>
            </w:r>
            <w:proofErr w:type="spellStart"/>
            <w:r w:rsidRPr="00761202">
              <w:rPr>
                <w:sz w:val="20"/>
                <w:szCs w:val="20"/>
              </w:rPr>
              <w:t>from</w:t>
            </w:r>
            <w:proofErr w:type="spellEnd"/>
            <w:r w:rsidRPr="00761202">
              <w:rPr>
                <w:sz w:val="20"/>
                <w:szCs w:val="20"/>
              </w:rPr>
              <w:t xml:space="preserve"> </w:t>
            </w:r>
            <w:proofErr w:type="spellStart"/>
            <w:r w:rsidRPr="00761202">
              <w:rPr>
                <w:sz w:val="20"/>
                <w:szCs w:val="20"/>
              </w:rPr>
              <w:t>its</w:t>
            </w:r>
            <w:proofErr w:type="spellEnd"/>
            <w:r w:rsidRPr="00761202">
              <w:rPr>
                <w:sz w:val="20"/>
                <w:szCs w:val="20"/>
              </w:rPr>
              <w:t xml:space="preserve"> </w:t>
            </w:r>
            <w:proofErr w:type="spellStart"/>
            <w:r w:rsidRPr="00761202">
              <w:rPr>
                <w:sz w:val="20"/>
                <w:szCs w:val="20"/>
              </w:rPr>
              <w:t>use</w:t>
            </w:r>
            <w:proofErr w:type="spellEnd"/>
            <w:r w:rsidRPr="00761202">
              <w:rPr>
                <w:sz w:val="20"/>
                <w:szCs w:val="20"/>
              </w:rPr>
              <w:t xml:space="preserve">, and the </w:t>
            </w:r>
            <w:proofErr w:type="spellStart"/>
            <w:r w:rsidRPr="00761202">
              <w:rPr>
                <w:sz w:val="20"/>
                <w:szCs w:val="20"/>
              </w:rPr>
              <w:t>fruits</w:t>
            </w:r>
            <w:proofErr w:type="spellEnd"/>
            <w:r w:rsidRPr="00761202">
              <w:rPr>
                <w:sz w:val="20"/>
                <w:szCs w:val="20"/>
              </w:rPr>
              <w:t xml:space="preserve"> of </w:t>
            </w:r>
            <w:proofErr w:type="spellStart"/>
            <w:r w:rsidRPr="00761202">
              <w:rPr>
                <w:sz w:val="20"/>
                <w:szCs w:val="20"/>
              </w:rPr>
              <w:t>that</w:t>
            </w:r>
            <w:proofErr w:type="spellEnd"/>
            <w:r w:rsidRPr="00761202">
              <w:rPr>
                <w:sz w:val="20"/>
                <w:szCs w:val="20"/>
              </w:rPr>
              <w:t xml:space="preserve"> </w:t>
            </w:r>
            <w:proofErr w:type="spellStart"/>
            <w:r w:rsidRPr="00761202">
              <w:rPr>
                <w:sz w:val="20"/>
                <w:szCs w:val="20"/>
              </w:rPr>
              <w:t>use</w:t>
            </w:r>
            <w:proofErr w:type="spellEnd"/>
            <w:r w:rsidRPr="00761202">
              <w:rPr>
                <w:sz w:val="20"/>
                <w:szCs w:val="20"/>
              </w:rPr>
              <w:t>“</w:t>
            </w:r>
            <w:r>
              <w:rPr>
                <w:rStyle w:val="Funotenzeichen"/>
                <w:sz w:val="20"/>
                <w:szCs w:val="20"/>
              </w:rPr>
              <w:footnoteReference w:id="9"/>
            </w:r>
            <w:r w:rsidRPr="00761202">
              <w:rPr>
                <w:sz w:val="20"/>
                <w:szCs w:val="20"/>
              </w:rPr>
              <w:t>).</w:t>
            </w:r>
            <w:r w:rsidRPr="00E50B51">
              <w:rPr>
                <w:sz w:val="20"/>
                <w:szCs w:val="20"/>
              </w:rPr>
              <w:t xml:space="preserve"> Nur daraus </w:t>
            </w:r>
            <w:r>
              <w:rPr>
                <w:sz w:val="20"/>
                <w:szCs w:val="20"/>
              </w:rPr>
              <w:t>ergebe</w:t>
            </w:r>
            <w:r w:rsidRPr="00E50B51">
              <w:rPr>
                <w:sz w:val="20"/>
                <w:szCs w:val="20"/>
              </w:rPr>
              <w:t xml:space="preserve"> sich die Wertigkeit eines Titels oder des Besitzes. Das bestätig</w:t>
            </w:r>
            <w:r>
              <w:rPr>
                <w:sz w:val="20"/>
                <w:szCs w:val="20"/>
              </w:rPr>
              <w:t>e</w:t>
            </w:r>
            <w:r w:rsidRPr="00E50B51">
              <w:rPr>
                <w:sz w:val="20"/>
                <w:szCs w:val="20"/>
              </w:rPr>
              <w:t xml:space="preserve"> nicht nur die Historie des </w:t>
            </w:r>
            <w:proofErr w:type="spellStart"/>
            <w:r>
              <w:rPr>
                <w:sz w:val="20"/>
                <w:szCs w:val="20"/>
              </w:rPr>
              <w:t>Amd</w:t>
            </w:r>
            <w:proofErr w:type="spellEnd"/>
            <w:r>
              <w:rPr>
                <w:sz w:val="20"/>
                <w:szCs w:val="20"/>
              </w:rPr>
              <w:t>. </w:t>
            </w:r>
            <w:r w:rsidRPr="00E50B51">
              <w:rPr>
                <w:sz w:val="20"/>
                <w:szCs w:val="20"/>
              </w:rPr>
              <w:t xml:space="preserve">V und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sondern auch deren Wortlaut. Der begrenz</w:t>
            </w:r>
            <w:r>
              <w:rPr>
                <w:sz w:val="20"/>
                <w:szCs w:val="20"/>
              </w:rPr>
              <w:t>e</w:t>
            </w:r>
            <w:r w:rsidRPr="00E50B51">
              <w:rPr>
                <w:sz w:val="20"/>
                <w:szCs w:val="20"/>
              </w:rPr>
              <w:t xml:space="preserve"> sich nämlich nicht auf den Titel oder den Besitz des Eigentums („not </w:t>
            </w:r>
            <w:proofErr w:type="spellStart"/>
            <w:r w:rsidRPr="00E50B51">
              <w:rPr>
                <w:sz w:val="20"/>
                <w:szCs w:val="20"/>
              </w:rPr>
              <w:t>thus</w:t>
            </w:r>
            <w:proofErr w:type="spellEnd"/>
            <w:r w:rsidRPr="00E50B51">
              <w:rPr>
                <w:sz w:val="20"/>
                <w:szCs w:val="20"/>
              </w:rPr>
              <w:t xml:space="preserve"> limited in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scope</w:t>
            </w:r>
            <w:proofErr w:type="spellEnd"/>
            <w:r w:rsidRPr="00E50B51">
              <w:rPr>
                <w:sz w:val="20"/>
                <w:szCs w:val="20"/>
              </w:rPr>
              <w:t>“</w:t>
            </w:r>
            <w:r w:rsidRPr="00E50B51">
              <w:rPr>
                <w:sz w:val="20"/>
                <w:szCs w:val="20"/>
                <w:vertAlign w:val="superscript"/>
              </w:rPr>
              <w:footnoteReference w:id="10"/>
            </w:r>
            <w:r w:rsidRPr="00E50B51">
              <w:rPr>
                <w:sz w:val="20"/>
                <w:szCs w:val="20"/>
              </w:rPr>
              <w:t>). Nach den Amendments sei das Eigentum</w:t>
            </w:r>
            <w:r>
              <w:rPr>
                <w:sz w:val="20"/>
                <w:szCs w:val="20"/>
              </w:rPr>
              <w:t xml:space="preserve"> </w:t>
            </w:r>
            <w:r w:rsidRPr="00E50B51">
              <w:rPr>
                <w:sz w:val="20"/>
                <w:szCs w:val="20"/>
              </w:rPr>
              <w:t>weiter zu verstehen, weil es auf einer Stufe mit dem Recht auf Leben und Freiheit</w:t>
            </w:r>
            <w:r>
              <w:rPr>
                <w:sz w:val="20"/>
                <w:szCs w:val="20"/>
              </w:rPr>
              <w:t xml:space="preserve"> stehe</w:t>
            </w:r>
            <w:r w:rsidRPr="00E50B51">
              <w:rPr>
                <w:sz w:val="20"/>
                <w:szCs w:val="20"/>
              </w:rPr>
              <w:t xml:space="preserve"> („</w:t>
            </w:r>
            <w:proofErr w:type="spellStart"/>
            <w:r w:rsidRPr="00E50B51">
              <w:rPr>
                <w:sz w:val="20"/>
                <w:szCs w:val="20"/>
              </w:rPr>
              <w:t>places</w:t>
            </w:r>
            <w:proofErr w:type="spellEnd"/>
            <w:r w:rsidRPr="00E50B51">
              <w:rPr>
                <w:sz w:val="20"/>
                <w:szCs w:val="20"/>
              </w:rPr>
              <w:t xml:space="preserve"> </w:t>
            </w:r>
            <w:proofErr w:type="spellStart"/>
            <w:r w:rsidRPr="00E50B51">
              <w:rPr>
                <w:sz w:val="20"/>
                <w:szCs w:val="20"/>
              </w:rPr>
              <w:t>property</w:t>
            </w:r>
            <w:proofErr w:type="spellEnd"/>
            <w:r w:rsidRPr="00E50B51">
              <w:rPr>
                <w:sz w:val="20"/>
                <w:szCs w:val="20"/>
              </w:rPr>
              <w:t xml:space="preserve"> </w:t>
            </w:r>
            <w:proofErr w:type="spellStart"/>
            <w:r w:rsidRPr="00E50B51">
              <w:rPr>
                <w:sz w:val="20"/>
                <w:szCs w:val="20"/>
              </w:rPr>
              <w:t>under</w:t>
            </w:r>
            <w:proofErr w:type="spellEnd"/>
            <w:r w:rsidRPr="00E50B51">
              <w:rPr>
                <w:sz w:val="20"/>
                <w:szCs w:val="20"/>
              </w:rPr>
              <w:t xml:space="preserve"> the same </w:t>
            </w:r>
            <w:proofErr w:type="spellStart"/>
            <w:r w:rsidRPr="00E50B51">
              <w:rPr>
                <w:sz w:val="20"/>
                <w:szCs w:val="20"/>
              </w:rPr>
              <w:t>protection</w:t>
            </w:r>
            <w:proofErr w:type="spellEnd"/>
            <w:r w:rsidRPr="00E50B51">
              <w:rPr>
                <w:sz w:val="20"/>
                <w:szCs w:val="20"/>
              </w:rPr>
              <w:t xml:space="preserve"> as </w:t>
            </w:r>
            <w:proofErr w:type="spellStart"/>
            <w:r w:rsidRPr="00E50B51">
              <w:rPr>
                <w:sz w:val="20"/>
                <w:szCs w:val="20"/>
              </w:rPr>
              <w:t>life</w:t>
            </w:r>
            <w:proofErr w:type="spellEnd"/>
            <w:r w:rsidRPr="00E50B51">
              <w:rPr>
                <w:sz w:val="20"/>
                <w:szCs w:val="20"/>
              </w:rPr>
              <w:t xml:space="preserve"> and </w:t>
            </w:r>
            <w:proofErr w:type="spellStart"/>
            <w:r w:rsidRPr="00E50B51">
              <w:rPr>
                <w:sz w:val="20"/>
                <w:szCs w:val="20"/>
              </w:rPr>
              <w:t>liberty</w:t>
            </w:r>
            <w:proofErr w:type="spellEnd"/>
            <w:r w:rsidRPr="00E50B51">
              <w:rPr>
                <w:sz w:val="20"/>
                <w:szCs w:val="20"/>
              </w:rPr>
              <w:t>“</w:t>
            </w:r>
            <w:r w:rsidRPr="00E50B51">
              <w:rPr>
                <w:sz w:val="20"/>
                <w:szCs w:val="20"/>
                <w:vertAlign w:val="superscript"/>
              </w:rPr>
              <w:footnoteReference w:id="11"/>
            </w:r>
            <w:r w:rsidRPr="00E50B51">
              <w:rPr>
                <w:sz w:val="20"/>
                <w:szCs w:val="20"/>
              </w:rPr>
              <w:t xml:space="preserve">). Denn mit dem Eigentum und dessen Nutzung </w:t>
            </w:r>
            <w:r>
              <w:rPr>
                <w:sz w:val="20"/>
                <w:szCs w:val="20"/>
              </w:rPr>
              <w:t>könne</w:t>
            </w:r>
            <w:r w:rsidRPr="00E50B51">
              <w:rPr>
                <w:sz w:val="20"/>
                <w:szCs w:val="20"/>
              </w:rPr>
              <w:t xml:space="preserve"> man </w:t>
            </w:r>
            <w:r>
              <w:rPr>
                <w:sz w:val="20"/>
                <w:szCs w:val="20"/>
              </w:rPr>
              <w:t xml:space="preserve">die </w:t>
            </w:r>
            <w:r w:rsidRPr="00E50B51">
              <w:rPr>
                <w:sz w:val="20"/>
                <w:szCs w:val="20"/>
              </w:rPr>
              <w:t>materiellen Grundbedingungen errichten, die für Glücksstreben notwendig seien („</w:t>
            </w:r>
            <w:proofErr w:type="spellStart"/>
            <w:r w:rsidRPr="00E50B51">
              <w:rPr>
                <w:sz w:val="20"/>
                <w:szCs w:val="20"/>
              </w:rPr>
              <w:t>provision</w:t>
            </w:r>
            <w:proofErr w:type="spellEnd"/>
            <w:r w:rsidRPr="00E50B51">
              <w:rPr>
                <w:sz w:val="20"/>
                <w:szCs w:val="20"/>
              </w:rPr>
              <w:t xml:space="preserve"> </w:t>
            </w:r>
            <w:proofErr w:type="spellStart"/>
            <w:r w:rsidRPr="00E50B51">
              <w:rPr>
                <w:sz w:val="20"/>
                <w:szCs w:val="20"/>
              </w:rPr>
              <w:t>has</w:t>
            </w:r>
            <w:proofErr w:type="spellEnd"/>
            <w:r w:rsidRPr="00E50B51">
              <w:rPr>
                <w:sz w:val="20"/>
                <w:szCs w:val="20"/>
              </w:rPr>
              <w:t xml:space="preserve"> </w:t>
            </w:r>
            <w:proofErr w:type="spellStart"/>
            <w:r w:rsidRPr="00E50B51">
              <w:rPr>
                <w:sz w:val="20"/>
                <w:szCs w:val="20"/>
              </w:rPr>
              <w:t>been</w:t>
            </w:r>
            <w:proofErr w:type="spellEnd"/>
            <w:r w:rsidRPr="00E50B51">
              <w:rPr>
                <w:sz w:val="20"/>
                <w:szCs w:val="20"/>
              </w:rPr>
              <w:t xml:space="preserve"> </w:t>
            </w:r>
            <w:proofErr w:type="spellStart"/>
            <w:r w:rsidRPr="00E50B51">
              <w:rPr>
                <w:sz w:val="20"/>
                <w:szCs w:val="20"/>
              </w:rPr>
              <w:t>supposed</w:t>
            </w:r>
            <w:proofErr w:type="spellEnd"/>
            <w:r w:rsidRPr="00E50B51">
              <w:rPr>
                <w:sz w:val="20"/>
                <w:szCs w:val="20"/>
              </w:rPr>
              <w:t xml:space="preserve"> to </w:t>
            </w:r>
            <w:proofErr w:type="spellStart"/>
            <w:r w:rsidRPr="00E50B51">
              <w:rPr>
                <w:sz w:val="20"/>
                <w:szCs w:val="20"/>
              </w:rPr>
              <w:t>secure</w:t>
            </w:r>
            <w:proofErr w:type="spellEnd"/>
            <w:r w:rsidRPr="00E50B51">
              <w:rPr>
                <w:sz w:val="20"/>
                <w:szCs w:val="20"/>
              </w:rPr>
              <w:t xml:space="preserve"> to </w:t>
            </w:r>
            <w:proofErr w:type="spellStart"/>
            <w:r w:rsidRPr="00E50B51">
              <w:rPr>
                <w:sz w:val="20"/>
                <w:szCs w:val="20"/>
              </w:rPr>
              <w:t>every</w:t>
            </w:r>
            <w:proofErr w:type="spellEnd"/>
            <w:r w:rsidRPr="00E50B51">
              <w:rPr>
                <w:sz w:val="20"/>
                <w:szCs w:val="20"/>
              </w:rPr>
              <w:t xml:space="preserve"> individual the essential </w:t>
            </w:r>
            <w:proofErr w:type="spellStart"/>
            <w:r w:rsidRPr="00E50B51">
              <w:rPr>
                <w:sz w:val="20"/>
                <w:szCs w:val="20"/>
              </w:rPr>
              <w:t>conditions</w:t>
            </w:r>
            <w:proofErr w:type="spellEnd"/>
            <w:r w:rsidRPr="00E50B51">
              <w:rPr>
                <w:sz w:val="20"/>
                <w:szCs w:val="20"/>
              </w:rPr>
              <w:t xml:space="preserve"> for the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00E50B51">
              <w:rPr>
                <w:sz w:val="20"/>
                <w:szCs w:val="20"/>
                <w:vertAlign w:val="superscript"/>
              </w:rPr>
              <w:footnoteReference w:id="12"/>
            </w:r>
            <w:r w:rsidRPr="00E50B51">
              <w:rPr>
                <w:sz w:val="20"/>
                <w:szCs w:val="20"/>
              </w:rPr>
              <w:t xml:space="preserve">) und </w:t>
            </w:r>
            <w:proofErr w:type="gramStart"/>
            <w:r>
              <w:rPr>
                <w:sz w:val="20"/>
                <w:szCs w:val="20"/>
              </w:rPr>
              <w:t>welche</w:t>
            </w:r>
            <w:r w:rsidRPr="00E50B51">
              <w:rPr>
                <w:sz w:val="20"/>
                <w:szCs w:val="20"/>
              </w:rPr>
              <w:t xml:space="preserve"> staatliche Maßnahmen</w:t>
            </w:r>
            <w:proofErr w:type="gramEnd"/>
            <w:r w:rsidRPr="00E50B51">
              <w:rPr>
                <w:sz w:val="20"/>
                <w:szCs w:val="20"/>
              </w:rPr>
              <w:t xml:space="preserve"> grundsätzlich nicht beschränken könn</w:t>
            </w:r>
            <w:r>
              <w:rPr>
                <w:sz w:val="20"/>
                <w:szCs w:val="20"/>
              </w:rPr>
              <w:t>t</w:t>
            </w:r>
            <w:r w:rsidRPr="00E50B51">
              <w:rPr>
                <w:sz w:val="20"/>
                <w:szCs w:val="20"/>
              </w:rPr>
              <w:t>en – und wenn überhaupt</w:t>
            </w:r>
            <w:r>
              <w:rPr>
                <w:sz w:val="20"/>
                <w:szCs w:val="20"/>
              </w:rPr>
              <w:t>, dann</w:t>
            </w:r>
            <w:r w:rsidRPr="00E50B51">
              <w:rPr>
                <w:sz w:val="20"/>
                <w:szCs w:val="20"/>
              </w:rPr>
              <w:t xml:space="preserve"> nur in einem </w:t>
            </w:r>
            <w:r w:rsidRPr="00B45592">
              <w:rPr>
                <w:sz w:val="20"/>
                <w:szCs w:val="20"/>
              </w:rPr>
              <w:t>rechtsstaatlichen Verfahren</w:t>
            </w:r>
            <w:r w:rsidRPr="00AF6453">
              <w:rPr>
                <w:sz w:val="20"/>
                <w:szCs w:val="20"/>
              </w:rPr>
              <w:t xml:space="preserve"> („</w:t>
            </w:r>
            <w:proofErr w:type="spellStart"/>
            <w:r w:rsidRPr="00E50B51">
              <w:rPr>
                <w:sz w:val="20"/>
                <w:szCs w:val="20"/>
              </w:rPr>
              <w:t>Except</w:t>
            </w:r>
            <w:proofErr w:type="spellEnd"/>
            <w:r w:rsidRPr="00E50B51">
              <w:rPr>
                <w:sz w:val="20"/>
                <w:szCs w:val="20"/>
              </w:rPr>
              <w:t xml:space="preserve"> by due </w:t>
            </w:r>
            <w:proofErr w:type="spellStart"/>
            <w:r w:rsidRPr="00E50B51">
              <w:rPr>
                <w:sz w:val="20"/>
                <w:szCs w:val="20"/>
              </w:rPr>
              <w:t>process</w:t>
            </w:r>
            <w:proofErr w:type="spellEnd"/>
            <w:r w:rsidRPr="00E50B51">
              <w:rPr>
                <w:sz w:val="20"/>
                <w:szCs w:val="20"/>
              </w:rPr>
              <w:t xml:space="preserve"> of </w:t>
            </w:r>
            <w:proofErr w:type="spellStart"/>
            <w:r w:rsidRPr="00E50B51">
              <w:rPr>
                <w:sz w:val="20"/>
                <w:szCs w:val="20"/>
              </w:rPr>
              <w:t>law</w:t>
            </w:r>
            <w:proofErr w:type="spellEnd"/>
            <w:r w:rsidRPr="00E50B51">
              <w:rPr>
                <w:sz w:val="20"/>
                <w:szCs w:val="20"/>
              </w:rPr>
              <w:t>“</w:t>
            </w:r>
            <w:r w:rsidRPr="00E50B51">
              <w:rPr>
                <w:sz w:val="20"/>
                <w:szCs w:val="20"/>
                <w:vertAlign w:val="superscript"/>
              </w:rPr>
              <w:footnoteReference w:id="13"/>
            </w:r>
            <w:r w:rsidRPr="00E50B51">
              <w:rPr>
                <w:sz w:val="20"/>
                <w:szCs w:val="20"/>
              </w:rPr>
              <w:t xml:space="preserve">). Letzteres regelt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Der Dissens erklärt die </w:t>
            </w:r>
            <w:proofErr w:type="spellStart"/>
            <w:r w:rsidRPr="00E50B51">
              <w:rPr>
                <w:sz w:val="20"/>
                <w:szCs w:val="20"/>
              </w:rPr>
              <w:t>Gleichstufigkeit</w:t>
            </w:r>
            <w:proofErr w:type="spellEnd"/>
            <w:r w:rsidRPr="00E50B51">
              <w:rPr>
                <w:sz w:val="20"/>
                <w:szCs w:val="20"/>
              </w:rPr>
              <w:t xml:space="preserve"> </w:t>
            </w:r>
            <w:r>
              <w:rPr>
                <w:sz w:val="20"/>
                <w:szCs w:val="20"/>
              </w:rPr>
              <w:t>von</w:t>
            </w:r>
            <w:r w:rsidRPr="00E50B51">
              <w:rPr>
                <w:sz w:val="20"/>
                <w:szCs w:val="20"/>
              </w:rPr>
              <w:t xml:space="preserve"> Leben, Freiheit und Eigentum </w:t>
            </w:r>
            <w:r>
              <w:rPr>
                <w:sz w:val="20"/>
                <w:szCs w:val="20"/>
              </w:rPr>
              <w:t xml:space="preserve">noch </w:t>
            </w:r>
            <w:r w:rsidRPr="00E50B51">
              <w:rPr>
                <w:sz w:val="20"/>
                <w:szCs w:val="20"/>
              </w:rPr>
              <w:t xml:space="preserve">weiter: Leben werde eingeschränkt z.B. durch Amputation oder Organabgaben, beides </w:t>
            </w:r>
            <w:r>
              <w:rPr>
                <w:sz w:val="20"/>
                <w:szCs w:val="20"/>
              </w:rPr>
              <w:t>könne</w:t>
            </w:r>
            <w:r w:rsidRPr="00E50B51">
              <w:rPr>
                <w:sz w:val="20"/>
                <w:szCs w:val="20"/>
              </w:rPr>
              <w:t xml:space="preserve"> aber eine staatliche Maßnahme grundsätzlich nicht anordnen. Freiheiten können nur im Rahmen des</w:t>
            </w:r>
            <w:r>
              <w:rPr>
                <w:sz w:val="20"/>
                <w:szCs w:val="20"/>
              </w:rPr>
              <w:t xml:space="preserve"> sog.</w:t>
            </w:r>
            <w:r w:rsidRPr="00E50B51">
              <w:rPr>
                <w:sz w:val="20"/>
                <w:szCs w:val="20"/>
              </w:rPr>
              <w:t xml:space="preserve"> </w:t>
            </w:r>
            <w:r>
              <w:rPr>
                <w:i/>
                <w:iCs/>
                <w:sz w:val="20"/>
                <w:szCs w:val="20"/>
              </w:rPr>
              <w:t>d</w:t>
            </w:r>
            <w:r w:rsidRPr="00B45592">
              <w:rPr>
                <w:i/>
                <w:iCs/>
                <w:sz w:val="20"/>
                <w:szCs w:val="20"/>
              </w:rPr>
              <w:t xml:space="preserve">ue </w:t>
            </w:r>
            <w:proofErr w:type="spellStart"/>
            <w:r w:rsidRPr="00B45592">
              <w:rPr>
                <w:i/>
                <w:iCs/>
                <w:sz w:val="20"/>
                <w:szCs w:val="20"/>
              </w:rPr>
              <w:t>process</w:t>
            </w:r>
            <w:proofErr w:type="spellEnd"/>
            <w:r w:rsidRPr="00B45592">
              <w:rPr>
                <w:i/>
                <w:iCs/>
                <w:sz w:val="20"/>
                <w:szCs w:val="20"/>
              </w:rPr>
              <w:t xml:space="preserve"> of </w:t>
            </w:r>
            <w:proofErr w:type="spellStart"/>
            <w:r w:rsidRPr="00B45592">
              <w:rPr>
                <w:i/>
                <w:iCs/>
                <w:sz w:val="20"/>
                <w:szCs w:val="20"/>
              </w:rPr>
              <w:t>law</w:t>
            </w:r>
            <w:proofErr w:type="spellEnd"/>
            <w:r w:rsidRPr="00E50B51">
              <w:rPr>
                <w:sz w:val="20"/>
                <w:szCs w:val="20"/>
              </w:rPr>
              <w:t xml:space="preserve"> eingeschränkt werden,</w:t>
            </w:r>
            <w:r>
              <w:rPr>
                <w:sz w:val="20"/>
                <w:szCs w:val="20"/>
              </w:rPr>
              <w:t xml:space="preserve"> z.B. (</w:t>
            </w:r>
            <w:r w:rsidRPr="00E50B51">
              <w:rPr>
                <w:sz w:val="20"/>
                <w:szCs w:val="20"/>
              </w:rPr>
              <w:t>negativ</w:t>
            </w:r>
            <w:r>
              <w:rPr>
                <w:sz w:val="20"/>
                <w:szCs w:val="20"/>
              </w:rPr>
              <w:t>)</w:t>
            </w:r>
            <w:r w:rsidRPr="00E50B51">
              <w:rPr>
                <w:sz w:val="20"/>
                <w:szCs w:val="20"/>
              </w:rPr>
              <w:t xml:space="preserve"> durch Freiheitsbeschränkungen bzw. -entziehungen und</w:t>
            </w:r>
            <w:r>
              <w:rPr>
                <w:sz w:val="20"/>
                <w:szCs w:val="20"/>
              </w:rPr>
              <w:t> (</w:t>
            </w:r>
            <w:r w:rsidRPr="00E50B51">
              <w:rPr>
                <w:sz w:val="20"/>
                <w:szCs w:val="20"/>
              </w:rPr>
              <w:t>positiv</w:t>
            </w:r>
            <w:r>
              <w:rPr>
                <w:sz w:val="20"/>
                <w:szCs w:val="20"/>
              </w:rPr>
              <w:t>)</w:t>
            </w:r>
            <w:r w:rsidRPr="00E50B51">
              <w:rPr>
                <w:sz w:val="20"/>
                <w:szCs w:val="20"/>
              </w:rPr>
              <w:t xml:space="preserve"> durch Einschränkungen der Freizügigkeit sowie der Möglichkeiten</w:t>
            </w:r>
            <w:r>
              <w:rPr>
                <w:sz w:val="20"/>
                <w:szCs w:val="20"/>
              </w:rPr>
              <w:t>,</w:t>
            </w:r>
            <w:r w:rsidRPr="00E50B51">
              <w:rPr>
                <w:sz w:val="20"/>
                <w:szCs w:val="20"/>
              </w:rPr>
              <w:t xml:space="preserve"> nach Glück</w:t>
            </w:r>
            <w:r>
              <w:rPr>
                <w:sz w:val="20"/>
                <w:szCs w:val="20"/>
              </w:rPr>
              <w:t xml:space="preserve"> </w:t>
            </w:r>
            <w:r w:rsidRPr="00E50B51">
              <w:rPr>
                <w:sz w:val="20"/>
                <w:szCs w:val="20"/>
              </w:rPr>
              <w:t>streben zu können</w:t>
            </w:r>
            <w:r>
              <w:rPr>
                <w:sz w:val="20"/>
                <w:szCs w:val="20"/>
              </w:rPr>
              <w:t>.</w:t>
            </w:r>
            <w:r w:rsidRPr="00E50B51">
              <w:rPr>
                <w:sz w:val="20"/>
                <w:szCs w:val="20"/>
              </w:rPr>
              <w:t xml:space="preserve"> </w:t>
            </w:r>
            <w:r>
              <w:rPr>
                <w:sz w:val="20"/>
                <w:szCs w:val="20"/>
              </w:rPr>
              <w:t>L</w:t>
            </w:r>
            <w:r w:rsidRPr="00E50B51">
              <w:rPr>
                <w:sz w:val="20"/>
                <w:szCs w:val="20"/>
              </w:rPr>
              <w:t xml:space="preserve">etzteres drückt sich z.B. in einer eingeschränkten Berufswahl- sowie </w:t>
            </w:r>
            <w:r w:rsidRPr="00E50B51">
              <w:rPr>
                <w:sz w:val="20"/>
                <w:szCs w:val="20"/>
              </w:rPr>
              <w:lastRenderedPageBreak/>
              <w:t>Berufsausübungsfreiheit aus.</w:t>
            </w:r>
            <w:r w:rsidRPr="00E50B51">
              <w:rPr>
                <w:sz w:val="20"/>
                <w:szCs w:val="20"/>
                <w:vertAlign w:val="superscript"/>
              </w:rPr>
              <w:footnoteReference w:id="14"/>
            </w:r>
            <w:r w:rsidRPr="00E50B51">
              <w:rPr>
                <w:sz w:val="20"/>
                <w:szCs w:val="20"/>
              </w:rPr>
              <w:t xml:space="preserve"> Wie Leben und Freiheit </w:t>
            </w:r>
            <w:r>
              <w:rPr>
                <w:sz w:val="20"/>
                <w:szCs w:val="20"/>
              </w:rPr>
              <w:t>müsse</w:t>
            </w:r>
            <w:r w:rsidRPr="00E50B51">
              <w:rPr>
                <w:sz w:val="20"/>
                <w:szCs w:val="20"/>
              </w:rPr>
              <w:t xml:space="preserve"> das Eigentum gleichrangig geschützt sein</w:t>
            </w:r>
            <w:r>
              <w:rPr>
                <w:sz w:val="20"/>
                <w:szCs w:val="20"/>
              </w:rPr>
              <w:t> </w:t>
            </w:r>
            <w:r w:rsidRPr="00E50B51">
              <w:rPr>
                <w:sz w:val="20"/>
                <w:szCs w:val="20"/>
              </w:rPr>
              <w:t xml:space="preserve">– nicht zuletzt, weil Eigentum wie Leben und Freiheit unter dem Schutz des stehen </w:t>
            </w:r>
            <w:r>
              <w:rPr>
                <w:sz w:val="20"/>
                <w:szCs w:val="20"/>
              </w:rPr>
              <w:t>müsse</w:t>
            </w:r>
            <w:r w:rsidRPr="00E50B51">
              <w:rPr>
                <w:sz w:val="20"/>
                <w:szCs w:val="20"/>
              </w:rPr>
              <w:t xml:space="preserve"> und damit Leben, Freiheit, Eigentum gleichermaßen als Bedingungen für Glücksstreben geschützt </w:t>
            </w:r>
            <w:r>
              <w:rPr>
                <w:sz w:val="20"/>
                <w:szCs w:val="20"/>
              </w:rPr>
              <w:t>seien</w:t>
            </w:r>
            <w:r w:rsidRPr="00E50B51">
              <w:rPr>
                <w:sz w:val="20"/>
                <w:szCs w:val="20"/>
              </w:rPr>
              <w:t xml:space="preserve"> („The </w:t>
            </w:r>
            <w:proofErr w:type="spellStart"/>
            <w:r w:rsidRPr="00E50B51">
              <w:rPr>
                <w:sz w:val="20"/>
                <w:szCs w:val="20"/>
              </w:rPr>
              <w:t>provision</w:t>
            </w:r>
            <w:proofErr w:type="spellEnd"/>
            <w:r w:rsidRPr="00E50B51">
              <w:rPr>
                <w:sz w:val="20"/>
                <w:szCs w:val="20"/>
              </w:rPr>
              <w:t xml:space="preserve"> [due </w:t>
            </w:r>
            <w:proofErr w:type="spellStart"/>
            <w:r w:rsidRPr="00E50B51">
              <w:rPr>
                <w:sz w:val="20"/>
                <w:szCs w:val="20"/>
              </w:rPr>
              <w:t>process</w:t>
            </w:r>
            <w:proofErr w:type="spellEnd"/>
            <w:r w:rsidRPr="00E50B51">
              <w:rPr>
                <w:sz w:val="20"/>
                <w:szCs w:val="20"/>
              </w:rPr>
              <w:t xml:space="preserve"> of </w:t>
            </w:r>
            <w:proofErr w:type="spellStart"/>
            <w:r w:rsidRPr="00E50B51">
              <w:rPr>
                <w:sz w:val="20"/>
                <w:szCs w:val="20"/>
              </w:rPr>
              <w:t>law</w:t>
            </w:r>
            <w:proofErr w:type="spellEnd"/>
            <w:r w:rsidRPr="00E50B51">
              <w:rPr>
                <w:sz w:val="20"/>
                <w:szCs w:val="20"/>
              </w:rPr>
              <w:t xml:space="preserve">] </w:t>
            </w:r>
            <w:proofErr w:type="spellStart"/>
            <w:r w:rsidRPr="00E50B51">
              <w:rPr>
                <w:sz w:val="20"/>
                <w:szCs w:val="20"/>
              </w:rPr>
              <w:t>has</w:t>
            </w:r>
            <w:proofErr w:type="spellEnd"/>
            <w:r w:rsidRPr="00E50B51">
              <w:rPr>
                <w:sz w:val="20"/>
                <w:szCs w:val="20"/>
              </w:rPr>
              <w:t xml:space="preserve"> </w:t>
            </w:r>
            <w:proofErr w:type="spellStart"/>
            <w:r w:rsidRPr="00E50B51">
              <w:rPr>
                <w:sz w:val="20"/>
                <w:szCs w:val="20"/>
              </w:rPr>
              <w:t>been</w:t>
            </w:r>
            <w:proofErr w:type="spellEnd"/>
            <w:r w:rsidRPr="00E50B51">
              <w:rPr>
                <w:sz w:val="20"/>
                <w:szCs w:val="20"/>
              </w:rPr>
              <w:t xml:space="preserve"> </w:t>
            </w:r>
            <w:proofErr w:type="spellStart"/>
            <w:r w:rsidRPr="00E50B51">
              <w:rPr>
                <w:sz w:val="20"/>
                <w:szCs w:val="20"/>
              </w:rPr>
              <w:t>supposed</w:t>
            </w:r>
            <w:proofErr w:type="spellEnd"/>
            <w:r w:rsidRPr="00E50B51">
              <w:rPr>
                <w:sz w:val="20"/>
                <w:szCs w:val="20"/>
              </w:rPr>
              <w:t xml:space="preserve"> to </w:t>
            </w:r>
            <w:proofErr w:type="spellStart"/>
            <w:r w:rsidRPr="00E50B51">
              <w:rPr>
                <w:sz w:val="20"/>
                <w:szCs w:val="20"/>
              </w:rPr>
              <w:t>secure</w:t>
            </w:r>
            <w:proofErr w:type="spellEnd"/>
            <w:r w:rsidRPr="00E50B51">
              <w:rPr>
                <w:sz w:val="20"/>
                <w:szCs w:val="20"/>
              </w:rPr>
              <w:t xml:space="preserve"> to </w:t>
            </w:r>
            <w:proofErr w:type="spellStart"/>
            <w:r w:rsidRPr="00E50B51">
              <w:rPr>
                <w:sz w:val="20"/>
                <w:szCs w:val="20"/>
              </w:rPr>
              <w:t>every</w:t>
            </w:r>
            <w:proofErr w:type="spellEnd"/>
            <w:r w:rsidRPr="00E50B51">
              <w:rPr>
                <w:sz w:val="20"/>
                <w:szCs w:val="20"/>
              </w:rPr>
              <w:t xml:space="preserve"> individual the essential </w:t>
            </w:r>
            <w:proofErr w:type="spellStart"/>
            <w:r w:rsidRPr="00E50B51">
              <w:rPr>
                <w:sz w:val="20"/>
                <w:szCs w:val="20"/>
              </w:rPr>
              <w:t>conditions</w:t>
            </w:r>
            <w:proofErr w:type="spellEnd"/>
            <w:r w:rsidRPr="00E50B51">
              <w:rPr>
                <w:sz w:val="20"/>
                <w:szCs w:val="20"/>
              </w:rPr>
              <w:t xml:space="preserve"> for the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00E50B51">
              <w:rPr>
                <w:sz w:val="20"/>
                <w:szCs w:val="20"/>
                <w:vertAlign w:val="superscript"/>
              </w:rPr>
              <w:footnoteReference w:id="15"/>
            </w:r>
            <w:r w:rsidRPr="00E50B51">
              <w:rPr>
                <w:sz w:val="20"/>
                <w:szCs w:val="20"/>
              </w:rPr>
              <w:t xml:space="preserve">). Daher </w:t>
            </w:r>
            <w:r>
              <w:rPr>
                <w:sz w:val="20"/>
                <w:szCs w:val="20"/>
              </w:rPr>
              <w:t>könne</w:t>
            </w:r>
            <w:r w:rsidRPr="00E50B51">
              <w:rPr>
                <w:sz w:val="20"/>
                <w:szCs w:val="20"/>
              </w:rPr>
              <w:t xml:space="preserve"> es keinen </w:t>
            </w:r>
            <w:r>
              <w:rPr>
                <w:sz w:val="20"/>
                <w:szCs w:val="20"/>
              </w:rPr>
              <w:t>Unterschied</w:t>
            </w:r>
            <w:r w:rsidRPr="00E50B51">
              <w:rPr>
                <w:sz w:val="20"/>
                <w:szCs w:val="20"/>
              </w:rPr>
              <w:t xml:space="preserve"> machen, ob eine staatliche Maßnahme unmittelbar oder mittelbar z.B. durch Preisvorgaben Eigentum entzieht. Dabei könne</w:t>
            </w:r>
            <w:r>
              <w:rPr>
                <w:sz w:val="20"/>
                <w:szCs w:val="20"/>
              </w:rPr>
              <w:t>n mitunter</w:t>
            </w:r>
            <w:r w:rsidRPr="00E50B51">
              <w:rPr>
                <w:sz w:val="20"/>
                <w:szCs w:val="20"/>
              </w:rPr>
              <w:t xml:space="preserve"> weder der Titel noch der Besitz relevant sein, wie der Dissens an folgendem Beispiel zeigte: Wenn ein Gesetz dem Eigentümer verbietet, sein Gebäude zu den Zwecken zu nutzen, für die es bestimmt ist, dann </w:t>
            </w:r>
            <w:r>
              <w:rPr>
                <w:sz w:val="20"/>
                <w:szCs w:val="20"/>
              </w:rPr>
              <w:t>ist</w:t>
            </w:r>
            <w:r w:rsidRPr="00E50B51">
              <w:rPr>
                <w:sz w:val="20"/>
                <w:szCs w:val="20"/>
              </w:rPr>
              <w:t xml:space="preserve"> es unerheblich, ob er den Eigentumstitel und den Besitz hält. Es kommt darauf an, wie das Eigentum genutzt werden kann. </w:t>
            </w:r>
            <w:r>
              <w:rPr>
                <w:sz w:val="20"/>
                <w:szCs w:val="20"/>
              </w:rPr>
              <w:t>Im vorliegenden Fall</w:t>
            </w:r>
            <w:r w:rsidRPr="00E50B51">
              <w:rPr>
                <w:sz w:val="20"/>
                <w:szCs w:val="20"/>
              </w:rPr>
              <w:t xml:space="preserve"> schränk</w:t>
            </w:r>
            <w:r>
              <w:rPr>
                <w:sz w:val="20"/>
                <w:szCs w:val="20"/>
              </w:rPr>
              <w:t>e</w:t>
            </w:r>
            <w:r w:rsidRPr="00E50B51">
              <w:rPr>
                <w:sz w:val="20"/>
                <w:szCs w:val="20"/>
              </w:rPr>
              <w:t xml:space="preserve"> der vorgegebene Preis die Nutzung des Eigentums ein, was wegen dessen Wesentlichkeit für das Glücksstreben anders hätte gewichtet werden müssen und z.B. eine Entschädigung hätte auslösen müssen.</w:t>
            </w:r>
            <w:r w:rsidRPr="00E50B51">
              <w:rPr>
                <w:sz w:val="20"/>
                <w:szCs w:val="20"/>
                <w:vertAlign w:val="superscript"/>
              </w:rPr>
              <w:footnoteReference w:id="16"/>
            </w:r>
          </w:p>
          <w:p w14:paraId="2A3CDF82" w14:textId="55B45312" w:rsidR="00FE5F32" w:rsidRPr="00E50B51" w:rsidRDefault="00FE5F32" w:rsidP="00367133">
            <w:pPr>
              <w:jc w:val="both"/>
              <w:rPr>
                <w:sz w:val="20"/>
                <w:szCs w:val="20"/>
              </w:rPr>
            </w:pPr>
          </w:p>
        </w:tc>
      </w:tr>
      <w:tr w:rsidR="00074551" w:rsidRPr="00E50B51" w14:paraId="439D3E67" w14:textId="77777777" w:rsidTr="00BE689F">
        <w:trPr>
          <w:cantSplit/>
          <w:trHeight w:val="3175"/>
        </w:trPr>
        <w:tc>
          <w:tcPr>
            <w:tcW w:w="293" w:type="pct"/>
          </w:tcPr>
          <w:p w14:paraId="3B8D105C" w14:textId="77777777" w:rsidR="00074551" w:rsidRPr="00E50B51" w:rsidRDefault="00074551" w:rsidP="00367133">
            <w:pPr>
              <w:ind w:right="416"/>
              <w:jc w:val="center"/>
              <w:rPr>
                <w:sz w:val="20"/>
                <w:szCs w:val="20"/>
              </w:rPr>
            </w:pPr>
            <w:r w:rsidRPr="00E50B51">
              <w:rPr>
                <w:sz w:val="20"/>
                <w:szCs w:val="20"/>
              </w:rPr>
              <w:lastRenderedPageBreak/>
              <w:t>H</w:t>
            </w:r>
          </w:p>
        </w:tc>
        <w:tc>
          <w:tcPr>
            <w:tcW w:w="387" w:type="pct"/>
            <w:textDirection w:val="tbRl"/>
            <w:vAlign w:val="center"/>
          </w:tcPr>
          <w:p w14:paraId="2DB973B6" w14:textId="77777777" w:rsidR="00074551" w:rsidRPr="00B45592" w:rsidRDefault="00074551" w:rsidP="00367133">
            <w:pPr>
              <w:ind w:left="113" w:right="416"/>
              <w:jc w:val="both"/>
              <w:rPr>
                <w:i/>
                <w:sz w:val="20"/>
                <w:szCs w:val="20"/>
              </w:rPr>
            </w:pPr>
            <w:proofErr w:type="spellStart"/>
            <w:r w:rsidRPr="00B45592">
              <w:rPr>
                <w:i/>
                <w:sz w:val="20"/>
                <w:szCs w:val="20"/>
              </w:rPr>
              <w:t>Huidekoper’s</w:t>
            </w:r>
            <w:proofErr w:type="spellEnd"/>
            <w:r w:rsidRPr="00B45592">
              <w:rPr>
                <w:i/>
                <w:sz w:val="20"/>
                <w:szCs w:val="20"/>
              </w:rPr>
              <w:t xml:space="preserve"> </w:t>
            </w:r>
            <w:proofErr w:type="spellStart"/>
            <w:r w:rsidRPr="00B45592">
              <w:rPr>
                <w:i/>
                <w:sz w:val="20"/>
                <w:szCs w:val="20"/>
              </w:rPr>
              <w:t>Lessee</w:t>
            </w:r>
            <w:proofErr w:type="spellEnd"/>
            <w:r w:rsidRPr="00B45592">
              <w:rPr>
                <w:i/>
                <w:sz w:val="20"/>
                <w:szCs w:val="20"/>
              </w:rPr>
              <w:t xml:space="preserve"> v. Douglass</w:t>
            </w:r>
          </w:p>
        </w:tc>
        <w:tc>
          <w:tcPr>
            <w:tcW w:w="197" w:type="pct"/>
            <w:textDirection w:val="tbRl"/>
            <w:vAlign w:val="center"/>
          </w:tcPr>
          <w:p w14:paraId="3E98E23C" w14:textId="77777777" w:rsidR="00074551" w:rsidRPr="00E50B51" w:rsidRDefault="00074551" w:rsidP="00367133">
            <w:pPr>
              <w:ind w:left="113" w:right="113"/>
              <w:jc w:val="both"/>
              <w:rPr>
                <w:sz w:val="20"/>
                <w:szCs w:val="20"/>
              </w:rPr>
            </w:pPr>
            <w:r w:rsidRPr="00E50B51">
              <w:rPr>
                <w:sz w:val="20"/>
                <w:szCs w:val="20"/>
              </w:rPr>
              <w:t>7 U.S. 1</w:t>
            </w:r>
          </w:p>
        </w:tc>
        <w:tc>
          <w:tcPr>
            <w:tcW w:w="306" w:type="pct"/>
            <w:textDirection w:val="tbRl"/>
            <w:vAlign w:val="center"/>
          </w:tcPr>
          <w:p w14:paraId="0A2BFED4" w14:textId="77777777" w:rsidR="00074551" w:rsidRPr="00E50B51" w:rsidRDefault="00074551" w:rsidP="00367133">
            <w:pPr>
              <w:ind w:left="113" w:right="113"/>
              <w:jc w:val="both"/>
              <w:rPr>
                <w:sz w:val="20"/>
                <w:szCs w:val="20"/>
              </w:rPr>
            </w:pPr>
            <w:r w:rsidRPr="00E50B51">
              <w:rPr>
                <w:sz w:val="20"/>
                <w:szCs w:val="20"/>
              </w:rPr>
              <w:t>27. Februar 1805</w:t>
            </w:r>
          </w:p>
        </w:tc>
        <w:tc>
          <w:tcPr>
            <w:tcW w:w="401" w:type="pct"/>
          </w:tcPr>
          <w:p w14:paraId="54DBB520" w14:textId="77777777" w:rsidR="00074551" w:rsidRPr="00E50B51" w:rsidRDefault="00074551" w:rsidP="00367133">
            <w:pPr>
              <w:jc w:val="center"/>
              <w:rPr>
                <w:sz w:val="20"/>
                <w:szCs w:val="20"/>
              </w:rPr>
            </w:pPr>
            <w:r w:rsidRPr="00E50B51">
              <w:rPr>
                <w:sz w:val="20"/>
                <w:szCs w:val="20"/>
                <w:lang w:val="en-US"/>
              </w:rPr>
              <w:t>C</w:t>
            </w:r>
          </w:p>
        </w:tc>
        <w:tc>
          <w:tcPr>
            <w:tcW w:w="1594" w:type="pct"/>
          </w:tcPr>
          <w:p w14:paraId="0BC0699D"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wenn Besatzer einen Grundstücksinhaber</w:t>
            </w:r>
            <w:r>
              <w:rPr>
                <w:sz w:val="20"/>
                <w:szCs w:val="20"/>
              </w:rPr>
              <w:t xml:space="preserve"> </w:t>
            </w:r>
            <w:r w:rsidRPr="00E50B51">
              <w:rPr>
                <w:sz w:val="20"/>
                <w:szCs w:val="20"/>
              </w:rPr>
              <w:t>daran hinder</w:t>
            </w:r>
            <w:r>
              <w:rPr>
                <w:sz w:val="20"/>
                <w:szCs w:val="20"/>
              </w:rPr>
              <w:t>n</w:t>
            </w:r>
            <w:r w:rsidRPr="00E50B51">
              <w:rPr>
                <w:sz w:val="20"/>
                <w:szCs w:val="20"/>
              </w:rPr>
              <w:t>, sein Land zu bewirtschaften</w:t>
            </w:r>
            <w:r>
              <w:rPr>
                <w:sz w:val="20"/>
                <w:szCs w:val="20"/>
              </w:rPr>
              <w:t>,</w:t>
            </w:r>
            <w:r w:rsidRPr="00E50B51">
              <w:rPr>
                <w:sz w:val="20"/>
                <w:szCs w:val="20"/>
              </w:rPr>
              <w:t xml:space="preserve"> also z.B. durch Landwirtschaft aufzuwerten</w:t>
            </w:r>
            <w:r>
              <w:rPr>
                <w:sz w:val="20"/>
                <w:szCs w:val="20"/>
              </w:rPr>
              <w:t>, obwohl er</w:t>
            </w:r>
            <w:r w:rsidRPr="00E50B51">
              <w:rPr>
                <w:sz w:val="20"/>
                <w:szCs w:val="20"/>
              </w:rPr>
              <w:t xml:space="preserve"> nach dem </w:t>
            </w:r>
            <w:r w:rsidRPr="00B45592">
              <w:rPr>
                <w:i/>
                <w:sz w:val="20"/>
                <w:szCs w:val="20"/>
              </w:rPr>
              <w:t>Pennsylvania Act of Assembly of 3rd April 1792</w:t>
            </w:r>
            <w:r w:rsidRPr="00E50B51">
              <w:rPr>
                <w:rStyle w:val="Funotenzeichen"/>
                <w:sz w:val="20"/>
                <w:szCs w:val="20"/>
              </w:rPr>
              <w:footnoteReference w:id="17"/>
            </w:r>
            <w:r w:rsidRPr="00E50B51">
              <w:rPr>
                <w:sz w:val="20"/>
                <w:szCs w:val="20"/>
              </w:rPr>
              <w:t xml:space="preserve"> </w:t>
            </w:r>
            <w:r>
              <w:rPr>
                <w:sz w:val="20"/>
                <w:szCs w:val="20"/>
              </w:rPr>
              <w:t xml:space="preserve">dazu </w:t>
            </w:r>
            <w:r w:rsidRPr="00E50B51">
              <w:rPr>
                <w:sz w:val="20"/>
                <w:szCs w:val="20"/>
              </w:rPr>
              <w:t>berechtigt ist, dann sei der berechtigte Grundstücksinhaber von der Bewirtschaftung befreit. Er müsse nur beabsichtige</w:t>
            </w:r>
            <w:r>
              <w:rPr>
                <w:sz w:val="20"/>
                <w:szCs w:val="20"/>
              </w:rPr>
              <w:t>n</w:t>
            </w:r>
            <w:r w:rsidRPr="00E50B51">
              <w:rPr>
                <w:sz w:val="20"/>
                <w:szCs w:val="20"/>
              </w:rPr>
              <w:t xml:space="preserve">, das Grundstück in Zukunft zu bewirtschaften. Ferner entschied der </w:t>
            </w:r>
            <w:r>
              <w:rPr>
                <w:sz w:val="20"/>
                <w:szCs w:val="20"/>
              </w:rPr>
              <w:t>U.S. Supreme Court</w:t>
            </w:r>
            <w:r w:rsidRPr="00E50B51">
              <w:rPr>
                <w:sz w:val="20"/>
                <w:szCs w:val="20"/>
              </w:rPr>
              <w:t xml:space="preserve">, </w:t>
            </w:r>
            <w:r>
              <w:rPr>
                <w:sz w:val="20"/>
                <w:szCs w:val="20"/>
              </w:rPr>
              <w:t>dass</w:t>
            </w:r>
            <w:r w:rsidRPr="00E50B51">
              <w:rPr>
                <w:sz w:val="20"/>
                <w:szCs w:val="20"/>
              </w:rPr>
              <w:t xml:space="preserve"> der Grundstücksinhaber</w:t>
            </w:r>
            <w:r>
              <w:rPr>
                <w:sz w:val="20"/>
                <w:szCs w:val="20"/>
              </w:rPr>
              <w:t xml:space="preserve">, nachdem er nicht mehr an der Bewirtschaftung gehindert ist </w:t>
            </w:r>
            <w:r w:rsidRPr="00E50B51">
              <w:rPr>
                <w:sz w:val="20"/>
                <w:szCs w:val="20"/>
              </w:rPr>
              <w:t xml:space="preserve">(vgl. </w:t>
            </w:r>
            <w:r>
              <w:rPr>
                <w:sz w:val="20"/>
                <w:szCs w:val="20"/>
              </w:rPr>
              <w:t>§ </w:t>
            </w:r>
            <w:r w:rsidRPr="00E50B51">
              <w:rPr>
                <w:sz w:val="20"/>
                <w:szCs w:val="20"/>
              </w:rPr>
              <w:t xml:space="preserve">9 </w:t>
            </w:r>
            <w:r>
              <w:rPr>
                <w:sz w:val="20"/>
                <w:szCs w:val="20"/>
              </w:rPr>
              <w:t xml:space="preserve">des </w:t>
            </w:r>
            <w:r w:rsidRPr="00B45592">
              <w:rPr>
                <w:i/>
                <w:sz w:val="20"/>
                <w:szCs w:val="20"/>
              </w:rPr>
              <w:t>Pennsylvania Act of Assembly of 3rd April 1792</w:t>
            </w:r>
            <w:r w:rsidRPr="00E50B51">
              <w:rPr>
                <w:sz w:val="20"/>
                <w:szCs w:val="20"/>
              </w:rPr>
              <w:t>) und er damit dennoch nicht begonnen hat, gleichwohl sein Eigentumsrecht behalten kann. Doch dafür bestehen zwei Voraussetzungen: Er</w:t>
            </w:r>
            <w:r>
              <w:rPr>
                <w:sz w:val="20"/>
                <w:szCs w:val="20"/>
              </w:rPr>
              <w:t>stens</w:t>
            </w:r>
            <w:r w:rsidRPr="00E50B51">
              <w:rPr>
                <w:sz w:val="20"/>
                <w:szCs w:val="20"/>
              </w:rPr>
              <w:t xml:space="preserve"> muss</w:t>
            </w:r>
            <w:r>
              <w:rPr>
                <w:sz w:val="20"/>
                <w:szCs w:val="20"/>
              </w:rPr>
              <w:t xml:space="preserve"> er</w:t>
            </w:r>
            <w:r w:rsidRPr="00E50B51">
              <w:rPr>
                <w:sz w:val="20"/>
                <w:szCs w:val="20"/>
              </w:rPr>
              <w:t xml:space="preserve"> als Eigentümer im Grundbuch stehen</w:t>
            </w:r>
            <w:r>
              <w:rPr>
                <w:sz w:val="20"/>
                <w:szCs w:val="20"/>
              </w:rPr>
              <w:t>.</w:t>
            </w:r>
            <w:r w:rsidRPr="00E50B51">
              <w:rPr>
                <w:sz w:val="20"/>
                <w:szCs w:val="20"/>
              </w:rPr>
              <w:t xml:space="preserve"> </w:t>
            </w:r>
            <w:r>
              <w:rPr>
                <w:sz w:val="20"/>
                <w:szCs w:val="20"/>
              </w:rPr>
              <w:t xml:space="preserve">Zweitens muss </w:t>
            </w:r>
            <w:r w:rsidRPr="00E50B51">
              <w:rPr>
                <w:sz w:val="20"/>
                <w:szCs w:val="20"/>
              </w:rPr>
              <w:t>der Inhaber das Land zumindest roden, einzäunen, kultivieren, ein Anwesen für den Aufenthalt von Menschen errichten und zuletzt muss er oder seine Familie auf dem Grundstück wohnen.</w:t>
            </w:r>
            <w:r w:rsidRPr="00E50B51">
              <w:rPr>
                <w:rStyle w:val="Funotenzeichen"/>
                <w:sz w:val="20"/>
                <w:szCs w:val="20"/>
              </w:rPr>
              <w:footnoteReference w:id="18"/>
            </w:r>
            <w:r w:rsidRPr="00E50B51">
              <w:rPr>
                <w:sz w:val="20"/>
                <w:szCs w:val="20"/>
              </w:rPr>
              <w:t xml:space="preserve"> Diese</w:t>
            </w:r>
            <w:r>
              <w:rPr>
                <w:sz w:val="20"/>
                <w:szCs w:val="20"/>
              </w:rPr>
              <w:t xml:space="preserve"> Bedingungen</w:t>
            </w:r>
            <w:r w:rsidRPr="00E50B51">
              <w:rPr>
                <w:sz w:val="20"/>
                <w:szCs w:val="20"/>
              </w:rPr>
              <w:t xml:space="preserve"> erfüllte der Grundstückseigentümer, er behielt den Titel an seinem Land.</w:t>
            </w:r>
          </w:p>
        </w:tc>
        <w:tc>
          <w:tcPr>
            <w:tcW w:w="1822" w:type="pct"/>
          </w:tcPr>
          <w:p w14:paraId="6FA06F78" w14:textId="77777777" w:rsidR="00074551" w:rsidRPr="00B45592" w:rsidRDefault="00074551" w:rsidP="00367133">
            <w:pPr>
              <w:jc w:val="both"/>
              <w:rPr>
                <w:i/>
                <w:iCs/>
                <w:sz w:val="20"/>
                <w:szCs w:val="20"/>
                <w:lang w:val="en-IE"/>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Governments › State &amp; Territorial Governments › Property</w:t>
            </w:r>
          </w:p>
          <w:p w14:paraId="78E13AB6" w14:textId="77777777" w:rsidR="00074551" w:rsidRPr="00B45592" w:rsidRDefault="00074551" w:rsidP="00367133">
            <w:pPr>
              <w:jc w:val="both"/>
              <w:rPr>
                <w:sz w:val="20"/>
                <w:szCs w:val="20"/>
                <w:lang w:val="en-IE"/>
              </w:rPr>
            </w:pPr>
          </w:p>
          <w:p w14:paraId="73965C83"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dass ein bundesstaatliches Gesetz (hier </w:t>
            </w:r>
            <w:r w:rsidRPr="00B45592">
              <w:rPr>
                <w:i/>
                <w:sz w:val="20"/>
                <w:szCs w:val="20"/>
              </w:rPr>
              <w:t>Pennsylvania Act of Assembly of 3rd April 1792</w:t>
            </w:r>
            <w:r w:rsidRPr="00B45592">
              <w:rPr>
                <w:sz w:val="20"/>
                <w:szCs w:val="20"/>
              </w:rPr>
              <w:t>)</w:t>
            </w:r>
            <w:r w:rsidRPr="00E50B51">
              <w:rPr>
                <w:sz w:val="20"/>
                <w:szCs w:val="20"/>
              </w:rPr>
              <w:t xml:space="preserve"> </w:t>
            </w:r>
            <w:r>
              <w:rPr>
                <w:sz w:val="20"/>
                <w:szCs w:val="20"/>
              </w:rPr>
              <w:t xml:space="preserve">auch </w:t>
            </w:r>
            <w:r w:rsidRPr="00E50B51">
              <w:rPr>
                <w:sz w:val="20"/>
                <w:szCs w:val="20"/>
              </w:rPr>
              <w:t>als Vertrag</w:t>
            </w:r>
            <w:r>
              <w:rPr>
                <w:sz w:val="20"/>
                <w:szCs w:val="20"/>
              </w:rPr>
              <w:t>sgrundlage betrachtet werden könne</w:t>
            </w:r>
            <w:r w:rsidRPr="00E50B51">
              <w:rPr>
                <w:sz w:val="20"/>
                <w:szCs w:val="20"/>
              </w:rPr>
              <w:t xml:space="preserve">. Die Folge: </w:t>
            </w:r>
            <w:proofErr w:type="gramStart"/>
            <w:r w:rsidRPr="00E50B51">
              <w:rPr>
                <w:sz w:val="20"/>
                <w:szCs w:val="20"/>
              </w:rPr>
              <w:t>Selbst</w:t>
            </w:r>
            <w:proofErr w:type="gramEnd"/>
            <w:r w:rsidRPr="00E50B51">
              <w:rPr>
                <w:sz w:val="20"/>
                <w:szCs w:val="20"/>
              </w:rPr>
              <w:t xml:space="preserve"> wenn ein Bundesstaat Partei ist, gelten die Prinzipien, nach denen </w:t>
            </w:r>
            <w:r>
              <w:rPr>
                <w:sz w:val="20"/>
                <w:szCs w:val="20"/>
              </w:rPr>
              <w:t>Verträge</w:t>
            </w:r>
            <w:r w:rsidRPr="00E50B51">
              <w:rPr>
                <w:sz w:val="20"/>
                <w:szCs w:val="20"/>
              </w:rPr>
              <w:t xml:space="preserve"> zwischen Personen </w:t>
            </w:r>
            <w:r>
              <w:rPr>
                <w:sz w:val="20"/>
                <w:szCs w:val="20"/>
              </w:rPr>
              <w:t>ausgelegt werden</w:t>
            </w:r>
            <w:r w:rsidRPr="00E50B51">
              <w:rPr>
                <w:sz w:val="20"/>
                <w:szCs w:val="20"/>
              </w:rPr>
              <w:t>. Der Bundesstaat steh</w:t>
            </w:r>
            <w:r>
              <w:rPr>
                <w:sz w:val="20"/>
                <w:szCs w:val="20"/>
              </w:rPr>
              <w:t>e</w:t>
            </w:r>
            <w:r w:rsidRPr="00E50B51">
              <w:rPr>
                <w:sz w:val="20"/>
                <w:szCs w:val="20"/>
              </w:rPr>
              <w:t xml:space="preserve"> insoweit mit einer natürlichen Person auf einer Stufe. Die Konstellation unterscheide sich nur darin, dass der Bundesstaat der anderen Partei die Bedingungen stelle, unter denen sie z.B. ihr Eigentum nutzen könne. Wenn der Staat aber mehrdeutige Formulierungen nutz</w:t>
            </w:r>
            <w:r>
              <w:rPr>
                <w:sz w:val="20"/>
                <w:szCs w:val="20"/>
              </w:rPr>
              <w:t>e</w:t>
            </w:r>
            <w:r w:rsidRPr="00E50B51">
              <w:rPr>
                <w:sz w:val="20"/>
                <w:szCs w:val="20"/>
              </w:rPr>
              <w:t xml:space="preserve"> und der andere Vertragspartner daraufhin eine Übereignung tätig</w:t>
            </w:r>
            <w:r>
              <w:rPr>
                <w:sz w:val="20"/>
                <w:szCs w:val="20"/>
              </w:rPr>
              <w:t>e</w:t>
            </w:r>
            <w:r w:rsidRPr="00E50B51">
              <w:rPr>
                <w:sz w:val="20"/>
                <w:szCs w:val="20"/>
              </w:rPr>
              <w:t xml:space="preserve">, dann wäre es Willkür, </w:t>
            </w:r>
            <w:r>
              <w:rPr>
                <w:sz w:val="20"/>
                <w:szCs w:val="20"/>
              </w:rPr>
              <w:t>wenn der</w:t>
            </w:r>
            <w:r w:rsidRPr="00E50B51">
              <w:rPr>
                <w:sz w:val="20"/>
                <w:szCs w:val="20"/>
              </w:rPr>
              <w:t xml:space="preserve"> Staat eine Rückübereignung </w:t>
            </w:r>
            <w:r>
              <w:rPr>
                <w:sz w:val="20"/>
                <w:szCs w:val="20"/>
              </w:rPr>
              <w:t>begehrte</w:t>
            </w:r>
            <w:r w:rsidRPr="00E50B51">
              <w:rPr>
                <w:sz w:val="20"/>
                <w:szCs w:val="20"/>
              </w:rPr>
              <w:t>. Sowohl das Gerechtigkeitsprinzip als auch das des fairen Handels verlang</w:t>
            </w:r>
            <w:r>
              <w:rPr>
                <w:sz w:val="20"/>
                <w:szCs w:val="20"/>
              </w:rPr>
              <w:t>t</w:t>
            </w:r>
            <w:r w:rsidRPr="00E50B51">
              <w:rPr>
                <w:sz w:val="20"/>
                <w:szCs w:val="20"/>
              </w:rPr>
              <w:t>en, dass Gerichte eine solche Auslegung ablehnen sollten.</w:t>
            </w:r>
            <w:r w:rsidRPr="00E50B51">
              <w:rPr>
                <w:rStyle w:val="Funotenzeichen"/>
                <w:sz w:val="20"/>
                <w:szCs w:val="20"/>
              </w:rPr>
              <w:footnoteReference w:id="19"/>
            </w:r>
          </w:p>
          <w:p w14:paraId="6A680C4B" w14:textId="77777777" w:rsidR="00074551" w:rsidRPr="00E50B51" w:rsidRDefault="00074551" w:rsidP="00367133">
            <w:pPr>
              <w:jc w:val="both"/>
              <w:rPr>
                <w:sz w:val="20"/>
                <w:szCs w:val="20"/>
              </w:rPr>
            </w:pPr>
          </w:p>
          <w:p w14:paraId="34AC7915" w14:textId="77777777" w:rsidR="00074551" w:rsidRPr="00E50B51" w:rsidRDefault="00074551" w:rsidP="00367133">
            <w:pPr>
              <w:jc w:val="both"/>
              <w:rPr>
                <w:sz w:val="20"/>
                <w:szCs w:val="20"/>
              </w:rPr>
            </w:pPr>
            <w:r w:rsidRPr="00E50B51">
              <w:rPr>
                <w:sz w:val="20"/>
                <w:szCs w:val="20"/>
              </w:rPr>
              <w:t xml:space="preserve">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erklärt dann, was Bundesstaaten bei der Regelung von Eigentum beachten müssen. Die Eigentumsgrenzen für Grundstücke zu ziehen, sei nicht Aufgabe des </w:t>
            </w:r>
            <w:r>
              <w:rPr>
                <w:sz w:val="20"/>
                <w:szCs w:val="20"/>
              </w:rPr>
              <w:t>U.S. Supreme Court</w:t>
            </w:r>
            <w:r w:rsidRPr="00E50B51">
              <w:rPr>
                <w:sz w:val="20"/>
                <w:szCs w:val="20"/>
              </w:rPr>
              <w:t xml:space="preserve">, so 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Er sei nur dafür</w:t>
            </w:r>
            <w:r>
              <w:rPr>
                <w:sz w:val="20"/>
                <w:szCs w:val="20"/>
              </w:rPr>
              <w:t xml:space="preserve"> </w:t>
            </w:r>
            <w:r w:rsidRPr="00E50B51">
              <w:rPr>
                <w:sz w:val="20"/>
                <w:szCs w:val="20"/>
              </w:rPr>
              <w:t>zuständig, ob ein Gesetz die äußeren Grenzen der Verfassung einhalte. Die lassen sich so zusammenfassen: Die Verwaltung von Gesetzen müsse sich an der Sicherheit und dem Glück der Menschen orientier</w:t>
            </w:r>
            <w:r>
              <w:rPr>
                <w:sz w:val="20"/>
                <w:szCs w:val="20"/>
              </w:rPr>
              <w:t>en</w:t>
            </w:r>
            <w:r w:rsidRPr="00E50B51">
              <w:rPr>
                <w:sz w:val="20"/>
                <w:szCs w:val="20"/>
              </w:rPr>
              <w:t xml:space="preserve"> („</w:t>
            </w:r>
            <w:proofErr w:type="spellStart"/>
            <w:r w:rsidRPr="00E50B51">
              <w:rPr>
                <w:sz w:val="20"/>
                <w:szCs w:val="20"/>
              </w:rPr>
              <w:t>We</w:t>
            </w:r>
            <w:proofErr w:type="spellEnd"/>
            <w:r w:rsidRPr="00E50B51">
              <w:rPr>
                <w:sz w:val="20"/>
                <w:szCs w:val="20"/>
              </w:rPr>
              <w:t xml:space="preserve"> </w:t>
            </w:r>
            <w:proofErr w:type="spellStart"/>
            <w:r w:rsidRPr="00E50B51">
              <w:rPr>
                <w:sz w:val="20"/>
                <w:szCs w:val="20"/>
              </w:rPr>
              <w:t>are</w:t>
            </w:r>
            <w:proofErr w:type="spellEnd"/>
            <w:r w:rsidRPr="00E50B51">
              <w:rPr>
                <w:sz w:val="20"/>
                <w:szCs w:val="20"/>
              </w:rPr>
              <w:t xml:space="preserve"> </w:t>
            </w:r>
            <w:proofErr w:type="spellStart"/>
            <w:r w:rsidRPr="00E50B51">
              <w:rPr>
                <w:sz w:val="20"/>
                <w:szCs w:val="20"/>
              </w:rPr>
              <w:t>interested</w:t>
            </w:r>
            <w:proofErr w:type="spellEnd"/>
            <w:r w:rsidRPr="00E50B51">
              <w:rPr>
                <w:sz w:val="20"/>
                <w:szCs w:val="20"/>
              </w:rPr>
              <w:t xml:space="preserve"> </w:t>
            </w:r>
            <w:proofErr w:type="spellStart"/>
            <w:r w:rsidRPr="00E50B51">
              <w:rPr>
                <w:sz w:val="20"/>
                <w:szCs w:val="20"/>
              </w:rPr>
              <w:t>merely</w:t>
            </w:r>
            <w:proofErr w:type="spellEnd"/>
            <w:r w:rsidRPr="00E50B51">
              <w:rPr>
                <w:sz w:val="20"/>
                <w:szCs w:val="20"/>
              </w:rPr>
              <w:t xml:space="preserve"> as </w:t>
            </w:r>
            <w:proofErr w:type="spellStart"/>
            <w:r w:rsidRPr="00E50B51">
              <w:rPr>
                <w:sz w:val="20"/>
                <w:szCs w:val="20"/>
              </w:rPr>
              <w:t>common</w:t>
            </w:r>
            <w:proofErr w:type="spellEnd"/>
            <w:r w:rsidRPr="00E50B51">
              <w:rPr>
                <w:sz w:val="20"/>
                <w:szCs w:val="20"/>
              </w:rPr>
              <w:t xml:space="preserve"> </w:t>
            </w:r>
            <w:proofErr w:type="spellStart"/>
            <w:r w:rsidRPr="00E50B51">
              <w:rPr>
                <w:sz w:val="20"/>
                <w:szCs w:val="20"/>
              </w:rPr>
              <w:t>citizens</w:t>
            </w:r>
            <w:proofErr w:type="spellEnd"/>
            <w:r w:rsidRPr="00E50B51">
              <w:rPr>
                <w:sz w:val="20"/>
                <w:szCs w:val="20"/>
              </w:rPr>
              <w:t xml:space="preserve">, </w:t>
            </w:r>
            <w:proofErr w:type="spellStart"/>
            <w:r w:rsidRPr="00E50B51">
              <w:rPr>
                <w:sz w:val="20"/>
                <w:szCs w:val="20"/>
              </w:rPr>
              <w:t>whose</w:t>
            </w:r>
            <w:proofErr w:type="spellEnd"/>
            <w:r w:rsidRPr="00E50B51">
              <w:rPr>
                <w:sz w:val="20"/>
                <w:szCs w:val="20"/>
              </w:rPr>
              <w:t xml:space="preserve"> </w:t>
            </w:r>
            <w:proofErr w:type="spellStart"/>
            <w:r w:rsidRPr="00E50B51">
              <w:rPr>
                <w:sz w:val="20"/>
                <w:szCs w:val="20"/>
              </w:rPr>
              <w:t>safety</w:t>
            </w:r>
            <w:proofErr w:type="spellEnd"/>
            <w:r w:rsidRPr="00E50B51">
              <w:rPr>
                <w:sz w:val="20"/>
                <w:szCs w:val="20"/>
              </w:rPr>
              <w:t xml:space="preserve"> and </w:t>
            </w:r>
            <w:proofErr w:type="spellStart"/>
            <w:r w:rsidRPr="00E50B51">
              <w:rPr>
                <w:sz w:val="20"/>
                <w:szCs w:val="20"/>
              </w:rPr>
              <w:t>happiness</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w:t>
            </w:r>
            <w:proofErr w:type="spellStart"/>
            <w:r w:rsidRPr="00E50B51">
              <w:rPr>
                <w:sz w:val="20"/>
                <w:szCs w:val="20"/>
              </w:rPr>
              <w:t>involved</w:t>
            </w:r>
            <w:proofErr w:type="spellEnd"/>
            <w:r w:rsidRPr="00E50B51">
              <w:rPr>
                <w:sz w:val="20"/>
                <w:szCs w:val="20"/>
              </w:rPr>
              <w:t xml:space="preserve"> in a due </w:t>
            </w:r>
            <w:proofErr w:type="spellStart"/>
            <w:r w:rsidRPr="00E50B51">
              <w:rPr>
                <w:sz w:val="20"/>
                <w:szCs w:val="20"/>
              </w:rPr>
              <w:t>administration</w:t>
            </w:r>
            <w:proofErr w:type="spellEnd"/>
            <w:r w:rsidRPr="00E50B51">
              <w:rPr>
                <w:sz w:val="20"/>
                <w:szCs w:val="20"/>
              </w:rPr>
              <w:t xml:space="preserve"> of the </w:t>
            </w:r>
            <w:proofErr w:type="spellStart"/>
            <w:r w:rsidRPr="00E50B51">
              <w:rPr>
                <w:sz w:val="20"/>
                <w:szCs w:val="20"/>
              </w:rPr>
              <w:t>laws</w:t>
            </w:r>
            <w:proofErr w:type="spellEnd"/>
            <w:r w:rsidRPr="00E50B51">
              <w:rPr>
                <w:sz w:val="20"/>
                <w:szCs w:val="20"/>
              </w:rPr>
              <w:t>.“</w:t>
            </w:r>
            <w:r w:rsidRPr="00E50B51">
              <w:rPr>
                <w:rStyle w:val="Funotenzeichen"/>
                <w:sz w:val="20"/>
                <w:szCs w:val="20"/>
              </w:rPr>
              <w:footnoteReference w:id="20"/>
            </w:r>
            <w:r w:rsidRPr="00E50B51">
              <w:rPr>
                <w:sz w:val="20"/>
                <w:szCs w:val="20"/>
              </w:rPr>
              <w:t>).</w:t>
            </w:r>
          </w:p>
          <w:p w14:paraId="57ADDA51" w14:textId="77777777" w:rsidR="00074551" w:rsidRPr="00E50B51" w:rsidRDefault="00074551" w:rsidP="00367133">
            <w:pPr>
              <w:jc w:val="both"/>
              <w:rPr>
                <w:sz w:val="20"/>
                <w:szCs w:val="20"/>
              </w:rPr>
            </w:pPr>
          </w:p>
        </w:tc>
      </w:tr>
      <w:tr w:rsidR="00074551" w:rsidRPr="00E50B51" w14:paraId="6D46921C" w14:textId="77777777" w:rsidTr="00BE689F">
        <w:trPr>
          <w:cantSplit/>
          <w:trHeight w:val="3175"/>
        </w:trPr>
        <w:tc>
          <w:tcPr>
            <w:tcW w:w="293" w:type="pct"/>
          </w:tcPr>
          <w:p w14:paraId="026FBB41"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36F6B2E" w14:textId="77777777" w:rsidR="00074551" w:rsidRPr="00E50B51" w:rsidRDefault="00074551" w:rsidP="00367133">
            <w:pPr>
              <w:ind w:right="416"/>
              <w:jc w:val="center"/>
              <w:rPr>
                <w:sz w:val="20"/>
                <w:szCs w:val="20"/>
              </w:rPr>
            </w:pPr>
            <w:r>
              <w:rPr>
                <w:sz w:val="20"/>
                <w:szCs w:val="20"/>
                <w:lang w:val="en-US"/>
              </w:rPr>
              <w:t>H</w:t>
            </w:r>
          </w:p>
        </w:tc>
        <w:tc>
          <w:tcPr>
            <w:tcW w:w="387" w:type="pct"/>
            <w:textDirection w:val="tbRl"/>
            <w:vAlign w:val="center"/>
          </w:tcPr>
          <w:p w14:paraId="346F90E4" w14:textId="77777777" w:rsidR="00074551" w:rsidRPr="00E50B51" w:rsidRDefault="00074551" w:rsidP="00367133">
            <w:pPr>
              <w:ind w:left="113" w:right="416"/>
              <w:jc w:val="both"/>
              <w:rPr>
                <w:sz w:val="20"/>
                <w:szCs w:val="20"/>
              </w:rPr>
            </w:pPr>
            <w:r w:rsidRPr="008F73D7">
              <w:rPr>
                <w:i/>
                <w:sz w:val="20"/>
                <w:szCs w:val="20"/>
              </w:rPr>
              <w:t>Florentine v. Barton</w:t>
            </w:r>
          </w:p>
        </w:tc>
        <w:tc>
          <w:tcPr>
            <w:tcW w:w="197" w:type="pct"/>
            <w:textDirection w:val="tbRl"/>
            <w:vAlign w:val="center"/>
          </w:tcPr>
          <w:p w14:paraId="371648C1" w14:textId="77777777" w:rsidR="00074551" w:rsidRPr="00E50B51" w:rsidRDefault="00074551" w:rsidP="00367133">
            <w:pPr>
              <w:ind w:left="113" w:right="113"/>
              <w:jc w:val="both"/>
              <w:rPr>
                <w:sz w:val="20"/>
                <w:szCs w:val="20"/>
              </w:rPr>
            </w:pPr>
            <w:r w:rsidRPr="00257307">
              <w:rPr>
                <w:sz w:val="20"/>
                <w:szCs w:val="20"/>
              </w:rPr>
              <w:t>69 U.S. 210</w:t>
            </w:r>
          </w:p>
        </w:tc>
        <w:tc>
          <w:tcPr>
            <w:tcW w:w="306" w:type="pct"/>
            <w:textDirection w:val="tbRl"/>
            <w:vAlign w:val="center"/>
          </w:tcPr>
          <w:p w14:paraId="6CF1EA5A" w14:textId="77777777" w:rsidR="00074551" w:rsidRPr="00E50B51" w:rsidRDefault="00074551" w:rsidP="00367133">
            <w:pPr>
              <w:ind w:left="113" w:right="113"/>
              <w:jc w:val="both"/>
              <w:rPr>
                <w:sz w:val="20"/>
                <w:szCs w:val="20"/>
              </w:rPr>
            </w:pPr>
            <w:r>
              <w:rPr>
                <w:sz w:val="20"/>
                <w:szCs w:val="20"/>
                <w:lang w:val="en-US"/>
              </w:rPr>
              <w:t>1. Dezember 1864</w:t>
            </w:r>
          </w:p>
        </w:tc>
        <w:tc>
          <w:tcPr>
            <w:tcW w:w="401" w:type="pct"/>
          </w:tcPr>
          <w:p w14:paraId="17B88186" w14:textId="77777777" w:rsidR="00074551" w:rsidRPr="00E50B51" w:rsidRDefault="00074551" w:rsidP="00367133">
            <w:pPr>
              <w:jc w:val="center"/>
              <w:rPr>
                <w:sz w:val="20"/>
                <w:szCs w:val="20"/>
                <w:lang w:val="en-US"/>
              </w:rPr>
            </w:pPr>
            <w:r>
              <w:rPr>
                <w:sz w:val="20"/>
                <w:szCs w:val="20"/>
                <w:lang w:val="en-US"/>
              </w:rPr>
              <w:t>S</w:t>
            </w:r>
          </w:p>
        </w:tc>
        <w:tc>
          <w:tcPr>
            <w:tcW w:w="1594" w:type="pct"/>
          </w:tcPr>
          <w:p w14:paraId="1C4DAAB4" w14:textId="77777777" w:rsidR="00074551" w:rsidRPr="00E50B51" w:rsidRDefault="00074551" w:rsidP="00367133">
            <w:pPr>
              <w:jc w:val="both"/>
              <w:rPr>
                <w:sz w:val="20"/>
                <w:szCs w:val="20"/>
              </w:rPr>
            </w:pPr>
            <w:r>
              <w:rPr>
                <w:sz w:val="20"/>
                <w:szCs w:val="20"/>
              </w:rPr>
              <w:t xml:space="preserve">Der U.S. Supreme Court bestätigte die </w:t>
            </w:r>
            <w:proofErr w:type="spellStart"/>
            <w:r>
              <w:rPr>
                <w:sz w:val="20"/>
                <w:szCs w:val="20"/>
              </w:rPr>
              <w:t>unterinstanziellen</w:t>
            </w:r>
            <w:proofErr w:type="spellEnd"/>
            <w:r>
              <w:rPr>
                <w:sz w:val="20"/>
                <w:szCs w:val="20"/>
              </w:rPr>
              <w:t xml:space="preserve"> Urteile zum Verkauf einer Immobilie. Ein Nachlassverwalter hatte auf Anordnung</w:t>
            </w:r>
            <w:r w:rsidRPr="00D44A41">
              <w:rPr>
                <w:sz w:val="20"/>
                <w:szCs w:val="20"/>
              </w:rPr>
              <w:t xml:space="preserve"> eines Gerichts ein Grundstück</w:t>
            </w:r>
            <w:r>
              <w:rPr>
                <w:sz w:val="20"/>
                <w:szCs w:val="20"/>
              </w:rPr>
              <w:t xml:space="preserve"> verkauft</w:t>
            </w:r>
            <w:r w:rsidRPr="00D44A41">
              <w:rPr>
                <w:sz w:val="20"/>
                <w:szCs w:val="20"/>
              </w:rPr>
              <w:t xml:space="preserve">, um die Schulden des Erblassers zu </w:t>
            </w:r>
            <w:r>
              <w:rPr>
                <w:sz w:val="20"/>
                <w:szCs w:val="20"/>
              </w:rPr>
              <w:t>tilgen</w:t>
            </w:r>
            <w:r w:rsidRPr="00D44A41">
              <w:rPr>
                <w:sz w:val="20"/>
                <w:szCs w:val="20"/>
              </w:rPr>
              <w:t xml:space="preserve">. </w:t>
            </w:r>
            <w:r>
              <w:rPr>
                <w:sz w:val="20"/>
                <w:szCs w:val="20"/>
              </w:rPr>
              <w:t xml:space="preserve">Er verkaufte an einen Privaten und nicht im Rahmen einer öffentlichen Auktion oder Zwangsversteigerung. Das ermöglichte ein bundesstaatliches Gesetz. </w:t>
            </w:r>
            <w:r w:rsidRPr="00D44A41">
              <w:rPr>
                <w:sz w:val="20"/>
                <w:szCs w:val="20"/>
              </w:rPr>
              <w:t>Aber nach der Freigabe des Eigentumstitels der Erben erhob</w:t>
            </w:r>
            <w:r>
              <w:rPr>
                <w:sz w:val="20"/>
                <w:szCs w:val="20"/>
              </w:rPr>
              <w:t>en diese dennoch Klage gegen dieses Vorgehen. Doch d</w:t>
            </w:r>
            <w:r w:rsidRPr="00F60D16">
              <w:rPr>
                <w:sz w:val="20"/>
                <w:szCs w:val="20"/>
              </w:rPr>
              <w:t xml:space="preserve">er </w:t>
            </w:r>
            <w:r>
              <w:rPr>
                <w:sz w:val="20"/>
                <w:szCs w:val="20"/>
              </w:rPr>
              <w:t>U.S. Supreme Court</w:t>
            </w:r>
            <w:r w:rsidRPr="00F60D16">
              <w:rPr>
                <w:sz w:val="20"/>
                <w:szCs w:val="20"/>
              </w:rPr>
              <w:t xml:space="preserve"> entschied, dass der Titel aus dem gerichtlichen Verkauf </w:t>
            </w:r>
            <w:r>
              <w:rPr>
                <w:sz w:val="20"/>
                <w:szCs w:val="20"/>
              </w:rPr>
              <w:t xml:space="preserve">wirksam sei. Denn einerseits könne sich der Bundesstaat entscheiden, Verkäufe an Private zuzulassen. Das tat er per Gesetz. Und andererseits habe </w:t>
            </w:r>
            <w:r w:rsidRPr="00F60D16">
              <w:rPr>
                <w:sz w:val="20"/>
                <w:szCs w:val="20"/>
              </w:rPr>
              <w:t xml:space="preserve">das Gericht </w:t>
            </w:r>
            <w:r>
              <w:rPr>
                <w:sz w:val="20"/>
                <w:szCs w:val="20"/>
              </w:rPr>
              <w:t xml:space="preserve">das </w:t>
            </w:r>
            <w:r w:rsidRPr="00F60D16">
              <w:rPr>
                <w:sz w:val="20"/>
                <w:szCs w:val="20"/>
              </w:rPr>
              <w:t>Recht, über alle Fragen</w:t>
            </w:r>
            <w:r>
              <w:rPr>
                <w:sz w:val="20"/>
                <w:szCs w:val="20"/>
              </w:rPr>
              <w:t xml:space="preserve"> zur</w:t>
            </w:r>
            <w:r w:rsidRPr="00F60D16">
              <w:rPr>
                <w:sz w:val="20"/>
                <w:szCs w:val="20"/>
              </w:rPr>
              <w:t xml:space="preserve"> Sache zu entscheiden, sein Urteil </w:t>
            </w:r>
            <w:r>
              <w:rPr>
                <w:sz w:val="20"/>
                <w:szCs w:val="20"/>
              </w:rPr>
              <w:t xml:space="preserve">sei </w:t>
            </w:r>
            <w:r w:rsidRPr="00F60D16">
              <w:rPr>
                <w:sz w:val="20"/>
                <w:szCs w:val="20"/>
              </w:rPr>
              <w:t>für alle anderen Gerichte verbindlich,</w:t>
            </w:r>
            <w:r>
              <w:rPr>
                <w:sz w:val="20"/>
                <w:szCs w:val="20"/>
              </w:rPr>
              <w:t xml:space="preserve"> soweit ein anderes Gericht es nicht aufhebe. Folgerichtig gelte die Vermutung</w:t>
            </w:r>
            <w:r w:rsidRPr="00F60D16">
              <w:rPr>
                <w:sz w:val="20"/>
                <w:szCs w:val="20"/>
              </w:rPr>
              <w:t xml:space="preserve">, dass </w:t>
            </w:r>
            <w:r>
              <w:rPr>
                <w:sz w:val="20"/>
                <w:szCs w:val="20"/>
              </w:rPr>
              <w:t xml:space="preserve">ein </w:t>
            </w:r>
            <w:r w:rsidRPr="00F60D16">
              <w:rPr>
                <w:sz w:val="20"/>
                <w:szCs w:val="20"/>
              </w:rPr>
              <w:t xml:space="preserve">Gericht über alle Fragen entschieden </w:t>
            </w:r>
            <w:r>
              <w:rPr>
                <w:sz w:val="20"/>
                <w:szCs w:val="20"/>
              </w:rPr>
              <w:t>habe</w:t>
            </w:r>
            <w:r w:rsidRPr="00F60D16">
              <w:rPr>
                <w:sz w:val="20"/>
                <w:szCs w:val="20"/>
              </w:rPr>
              <w:t xml:space="preserve">, </w:t>
            </w:r>
            <w:r>
              <w:rPr>
                <w:sz w:val="20"/>
                <w:szCs w:val="20"/>
              </w:rPr>
              <w:t xml:space="preserve">hier </w:t>
            </w:r>
            <w:r w:rsidRPr="00F60D16">
              <w:rPr>
                <w:sz w:val="20"/>
                <w:szCs w:val="20"/>
              </w:rPr>
              <w:t>zur Rechtfertigung</w:t>
            </w:r>
            <w:r>
              <w:rPr>
                <w:sz w:val="20"/>
                <w:szCs w:val="20"/>
              </w:rPr>
              <w:t xml:space="preserve"> seiner Verkaufsanordnung. Für diesen Fall bezog sich dies etwa auf den Umstand, dass</w:t>
            </w:r>
            <w:r w:rsidRPr="00F60D16">
              <w:rPr>
                <w:sz w:val="20"/>
                <w:szCs w:val="20"/>
              </w:rPr>
              <w:t xml:space="preserve"> der Nachlass </w:t>
            </w:r>
            <w:r>
              <w:rPr>
                <w:sz w:val="20"/>
                <w:szCs w:val="20"/>
              </w:rPr>
              <w:t xml:space="preserve">eventuell </w:t>
            </w:r>
            <w:r w:rsidRPr="00F60D16">
              <w:rPr>
                <w:sz w:val="20"/>
                <w:szCs w:val="20"/>
              </w:rPr>
              <w:t>nicht ausreiche, um die Schulden des Erblassers zu begleichen</w:t>
            </w:r>
            <w:r>
              <w:rPr>
                <w:sz w:val="20"/>
                <w:szCs w:val="20"/>
              </w:rPr>
              <w:t>, oder auf die Frage,</w:t>
            </w:r>
            <w:r w:rsidRPr="00F60D16">
              <w:rPr>
                <w:sz w:val="20"/>
                <w:szCs w:val="20"/>
              </w:rPr>
              <w:t xml:space="preserve"> </w:t>
            </w:r>
            <w:r>
              <w:rPr>
                <w:sz w:val="20"/>
                <w:szCs w:val="20"/>
              </w:rPr>
              <w:t xml:space="preserve">ob </w:t>
            </w:r>
            <w:r w:rsidRPr="00F60D16">
              <w:rPr>
                <w:sz w:val="20"/>
                <w:szCs w:val="20"/>
              </w:rPr>
              <w:t>Benachrichtigu</w:t>
            </w:r>
            <w:r>
              <w:rPr>
                <w:sz w:val="20"/>
                <w:szCs w:val="20"/>
              </w:rPr>
              <w:t>ngspflichten gegenüber den</w:t>
            </w:r>
            <w:r w:rsidRPr="00F60D16">
              <w:rPr>
                <w:sz w:val="20"/>
                <w:szCs w:val="20"/>
              </w:rPr>
              <w:t xml:space="preserve"> Erben</w:t>
            </w:r>
            <w:r>
              <w:rPr>
                <w:sz w:val="20"/>
                <w:szCs w:val="20"/>
              </w:rPr>
              <w:t xml:space="preserve"> </w:t>
            </w:r>
            <w:r w:rsidRPr="00F60D16">
              <w:rPr>
                <w:sz w:val="20"/>
                <w:szCs w:val="20"/>
              </w:rPr>
              <w:t xml:space="preserve">erfüllt waren. </w:t>
            </w:r>
            <w:r>
              <w:rPr>
                <w:sz w:val="20"/>
                <w:szCs w:val="20"/>
              </w:rPr>
              <w:t>Und auch ein privater Käufer</w:t>
            </w:r>
            <w:r w:rsidRPr="00F60D16">
              <w:rPr>
                <w:sz w:val="20"/>
                <w:szCs w:val="20"/>
              </w:rPr>
              <w:t xml:space="preserve"> </w:t>
            </w:r>
            <w:r>
              <w:rPr>
                <w:sz w:val="20"/>
                <w:szCs w:val="20"/>
              </w:rPr>
              <w:t>sei</w:t>
            </w:r>
            <w:r w:rsidRPr="00F60D16">
              <w:rPr>
                <w:sz w:val="20"/>
                <w:szCs w:val="20"/>
              </w:rPr>
              <w:t xml:space="preserve"> </w:t>
            </w:r>
            <w:r>
              <w:rPr>
                <w:sz w:val="20"/>
                <w:szCs w:val="20"/>
              </w:rPr>
              <w:t xml:space="preserve">wegen dieser Vermutung zugunsten des Gerichts </w:t>
            </w:r>
            <w:r w:rsidRPr="00F60D16">
              <w:rPr>
                <w:sz w:val="20"/>
                <w:szCs w:val="20"/>
              </w:rPr>
              <w:t xml:space="preserve">nicht verpflichtet, </w:t>
            </w:r>
            <w:r>
              <w:rPr>
                <w:sz w:val="20"/>
                <w:szCs w:val="20"/>
              </w:rPr>
              <w:t xml:space="preserve">sich </w:t>
            </w:r>
            <w:r w:rsidRPr="00F60D16">
              <w:rPr>
                <w:sz w:val="20"/>
                <w:szCs w:val="20"/>
              </w:rPr>
              <w:t xml:space="preserve">über </w:t>
            </w:r>
            <w:r>
              <w:rPr>
                <w:sz w:val="20"/>
                <w:szCs w:val="20"/>
              </w:rPr>
              <w:t>etwaige</w:t>
            </w:r>
            <w:r w:rsidRPr="00F60D16">
              <w:rPr>
                <w:sz w:val="20"/>
                <w:szCs w:val="20"/>
              </w:rPr>
              <w:t xml:space="preserve"> Fehler</w:t>
            </w:r>
            <w:r>
              <w:rPr>
                <w:sz w:val="20"/>
                <w:szCs w:val="20"/>
              </w:rPr>
              <w:t xml:space="preserve"> der </w:t>
            </w:r>
            <w:r w:rsidRPr="00F60D16">
              <w:rPr>
                <w:sz w:val="20"/>
                <w:szCs w:val="20"/>
              </w:rPr>
              <w:t xml:space="preserve">Anordnung des Gerichts </w:t>
            </w:r>
            <w:r>
              <w:rPr>
                <w:sz w:val="20"/>
                <w:szCs w:val="20"/>
              </w:rPr>
              <w:t xml:space="preserve">zu </w:t>
            </w:r>
            <w:r w:rsidRPr="00F60D16">
              <w:rPr>
                <w:sz w:val="20"/>
                <w:szCs w:val="20"/>
              </w:rPr>
              <w:t>erkundigen.</w:t>
            </w:r>
            <w:r>
              <w:rPr>
                <w:rStyle w:val="Funotenzeichen"/>
                <w:sz w:val="20"/>
                <w:szCs w:val="20"/>
              </w:rPr>
              <w:footnoteReference w:id="21"/>
            </w:r>
          </w:p>
        </w:tc>
        <w:tc>
          <w:tcPr>
            <w:tcW w:w="1822" w:type="pct"/>
          </w:tcPr>
          <w:p w14:paraId="6A9A77A1" w14:textId="77777777" w:rsidR="00074551" w:rsidRPr="00B45592" w:rsidRDefault="00074551" w:rsidP="00367133">
            <w:pPr>
              <w:rPr>
                <w:i/>
                <w:sz w:val="20"/>
                <w:szCs w:val="20"/>
              </w:rPr>
            </w:pPr>
            <w:r w:rsidRPr="009A161C">
              <w:rPr>
                <w:i/>
                <w:iCs/>
                <w:sz w:val="20"/>
                <w:szCs w:val="20"/>
              </w:rPr>
              <w:t>LexisNexis-Klassifikation</w:t>
            </w:r>
            <w:r w:rsidRPr="005C6676">
              <w:rPr>
                <w:i/>
                <w:iCs/>
                <w:sz w:val="20"/>
                <w:szCs w:val="20"/>
              </w:rPr>
              <w:t xml:space="preserve">: </w:t>
            </w:r>
            <w:r w:rsidRPr="00B45592">
              <w:rPr>
                <w:i/>
                <w:sz w:val="20"/>
                <w:szCs w:val="20"/>
              </w:rPr>
              <w:t>Property Rights</w:t>
            </w:r>
          </w:p>
          <w:p w14:paraId="42EC5D30" w14:textId="77777777" w:rsidR="00074551" w:rsidRPr="00DF1436" w:rsidRDefault="00074551" w:rsidP="00367133">
            <w:pPr>
              <w:rPr>
                <w:b/>
                <w:bCs/>
                <w:sz w:val="20"/>
                <w:szCs w:val="20"/>
              </w:rPr>
            </w:pPr>
          </w:p>
          <w:p w14:paraId="00BFE464" w14:textId="77777777" w:rsidR="00074551" w:rsidRDefault="00074551" w:rsidP="00367133">
            <w:pPr>
              <w:jc w:val="both"/>
              <w:rPr>
                <w:iCs/>
                <w:sz w:val="20"/>
                <w:szCs w:val="20"/>
              </w:rPr>
            </w:pPr>
            <w:r w:rsidRPr="003D5190">
              <w:rPr>
                <w:iCs/>
                <w:sz w:val="20"/>
                <w:szCs w:val="20"/>
              </w:rPr>
              <w:t xml:space="preserve">Der Anwalt für die Kläger argumentierte und der </w:t>
            </w:r>
            <w:r>
              <w:rPr>
                <w:iCs/>
                <w:sz w:val="20"/>
                <w:szCs w:val="20"/>
              </w:rPr>
              <w:t>U.S. Supreme Court</w:t>
            </w:r>
            <w:r w:rsidRPr="003D5190">
              <w:rPr>
                <w:iCs/>
                <w:sz w:val="20"/>
                <w:szCs w:val="20"/>
              </w:rPr>
              <w:t xml:space="preserve"> ordnete ein: Eigentum dürfe nur ein Gesetz entziehen. Ein Gesetz bedeute eine abstrakt generelle Regel. D.h. Eigentum könne nicht durch Verordnungen oder Anordnungen allein entzogen werden. Nur wenn Verordnungen oder Anordnungen auf eigentumsentziehenden Gesetzen beruh</w:t>
            </w:r>
            <w:r>
              <w:rPr>
                <w:iCs/>
                <w:sz w:val="20"/>
                <w:szCs w:val="20"/>
              </w:rPr>
              <w:t>t</w:t>
            </w:r>
            <w:r w:rsidRPr="003D5190">
              <w:rPr>
                <w:iCs/>
                <w:sz w:val="20"/>
                <w:szCs w:val="20"/>
              </w:rPr>
              <w:t>en, dann könn</w:t>
            </w:r>
            <w:r>
              <w:rPr>
                <w:iCs/>
                <w:sz w:val="20"/>
                <w:szCs w:val="20"/>
              </w:rPr>
              <w:t>t</w:t>
            </w:r>
            <w:r w:rsidRPr="003D5190">
              <w:rPr>
                <w:iCs/>
                <w:sz w:val="20"/>
                <w:szCs w:val="20"/>
              </w:rPr>
              <w:t>en sie auch das Eigentum entziehen. Aber ein solches Gesetz fehle im Fall, wo ein Nachlassverwalter Eigentum auch an Private verkaufen wollte und ein Gericht den Eigentumsentzug der Erben anordne</w:t>
            </w:r>
            <w:r>
              <w:rPr>
                <w:iCs/>
                <w:sz w:val="20"/>
                <w:szCs w:val="20"/>
              </w:rPr>
              <w:t>te</w:t>
            </w:r>
            <w:r w:rsidRPr="003D5190">
              <w:rPr>
                <w:iCs/>
                <w:sz w:val="20"/>
                <w:szCs w:val="20"/>
              </w:rPr>
              <w:t xml:space="preserve"> sowie den Verkauf für wirksam erklärte, so die Klägerseite. Der </w:t>
            </w:r>
            <w:r>
              <w:rPr>
                <w:iCs/>
                <w:sz w:val="20"/>
                <w:szCs w:val="20"/>
              </w:rPr>
              <w:t>U.S. Supreme Court</w:t>
            </w:r>
            <w:r w:rsidRPr="003D5190">
              <w:rPr>
                <w:iCs/>
                <w:sz w:val="20"/>
                <w:szCs w:val="20"/>
              </w:rPr>
              <w:t xml:space="preserve"> griff dies im Syllabus auf und zitierte dazu den Fall </w:t>
            </w:r>
            <w:r w:rsidRPr="00B45592">
              <w:rPr>
                <w:i/>
                <w:iCs/>
                <w:sz w:val="20"/>
                <w:szCs w:val="20"/>
              </w:rPr>
              <w:t>Gaines et al. v. Buford</w:t>
            </w:r>
            <w:r w:rsidRPr="003D5190">
              <w:rPr>
                <w:iCs/>
                <w:sz w:val="20"/>
                <w:szCs w:val="20"/>
                <w:vertAlign w:val="superscript"/>
              </w:rPr>
              <w:footnoteReference w:id="22"/>
            </w:r>
            <w:r w:rsidRPr="003D5190">
              <w:rPr>
                <w:iCs/>
                <w:sz w:val="20"/>
                <w:szCs w:val="20"/>
              </w:rPr>
              <w:t xml:space="preserve"> als Maßstab für den Fall. Dort ging es um ein Gesetz, </w:t>
            </w:r>
            <w:r>
              <w:rPr>
                <w:iCs/>
                <w:sz w:val="20"/>
                <w:szCs w:val="20"/>
              </w:rPr>
              <w:t>nach</w:t>
            </w:r>
            <w:r w:rsidRPr="003D5190">
              <w:rPr>
                <w:iCs/>
                <w:sz w:val="20"/>
                <w:szCs w:val="20"/>
              </w:rPr>
              <w:t xml:space="preserve"> dem ein Bundesstaat ein Grundstück entziehen kann, wenn der Eigentümer dieses nicht innerhalb einer bestimmten Frist aufwerte</w:t>
            </w:r>
            <w:r>
              <w:rPr>
                <w:iCs/>
                <w:sz w:val="20"/>
                <w:szCs w:val="20"/>
              </w:rPr>
              <w:t>t</w:t>
            </w:r>
            <w:r w:rsidRPr="003D5190">
              <w:rPr>
                <w:iCs/>
                <w:sz w:val="20"/>
                <w:szCs w:val="20"/>
              </w:rPr>
              <w:t xml:space="preserve">. Dieses Gesetz erklärte der </w:t>
            </w:r>
            <w:r>
              <w:rPr>
                <w:iCs/>
                <w:sz w:val="20"/>
                <w:szCs w:val="20"/>
              </w:rPr>
              <w:t>U.S. Supreme Court</w:t>
            </w:r>
            <w:r w:rsidRPr="003D5190">
              <w:rPr>
                <w:iCs/>
                <w:sz w:val="20"/>
                <w:szCs w:val="20"/>
              </w:rPr>
              <w:t xml:space="preserve"> für verfassungswidrig, und zwar wie folgt: Zwar komme dem Volk hinsichtlich seiner Regierungen eine souveräne und auch revolutionäre Macht zu; aber wenn eine Regierung die Gerechtigkeit wahre und das Recht auf Leben, Freiheit, Eigentum und das Streben nach Glück sichere, dann liege die souveräne Macht bei der Regierung</w:t>
            </w:r>
            <w:r>
              <w:rPr>
                <w:iCs/>
                <w:sz w:val="20"/>
                <w:szCs w:val="20"/>
              </w:rPr>
              <w:t>. I</w:t>
            </w:r>
            <w:r w:rsidRPr="003D5190">
              <w:rPr>
                <w:iCs/>
                <w:sz w:val="20"/>
                <w:szCs w:val="20"/>
              </w:rPr>
              <w:t>ndes sei dies keine Macht ohne Einschränkung – weder auf Staats- noch auf Bundesebene.</w:t>
            </w:r>
            <w:r w:rsidRPr="003D5190">
              <w:rPr>
                <w:iCs/>
                <w:sz w:val="20"/>
                <w:szCs w:val="20"/>
                <w:vertAlign w:val="superscript"/>
              </w:rPr>
              <w:footnoteReference w:id="23"/>
            </w:r>
            <w:r w:rsidRPr="003D5190">
              <w:rPr>
                <w:iCs/>
                <w:sz w:val="20"/>
                <w:szCs w:val="20"/>
                <w:vertAlign w:val="superscript"/>
              </w:rPr>
              <w:t xml:space="preserve"> </w:t>
            </w:r>
            <w:r w:rsidRPr="003D5190">
              <w:rPr>
                <w:iCs/>
                <w:sz w:val="20"/>
                <w:szCs w:val="20"/>
              </w:rPr>
              <w:t xml:space="preserve">Diese Macht sei in </w:t>
            </w:r>
            <w:r w:rsidRPr="00B45592">
              <w:rPr>
                <w:i/>
                <w:iCs/>
                <w:sz w:val="20"/>
                <w:szCs w:val="20"/>
              </w:rPr>
              <w:t>Gaines et al. v. Buford</w:t>
            </w:r>
            <w:r w:rsidRPr="003D5190">
              <w:rPr>
                <w:iCs/>
                <w:sz w:val="20"/>
                <w:szCs w:val="20"/>
                <w:vertAlign w:val="superscript"/>
              </w:rPr>
              <w:footnoteReference w:id="24"/>
            </w:r>
            <w:r w:rsidRPr="003D5190">
              <w:rPr>
                <w:iCs/>
                <w:sz w:val="20"/>
                <w:szCs w:val="20"/>
              </w:rPr>
              <w:t xml:space="preserve"> übertreten; die Klägerseite stimmte dem zu. In der </w:t>
            </w:r>
            <w:proofErr w:type="spellStart"/>
            <w:r w:rsidRPr="00B45592">
              <w:rPr>
                <w:i/>
                <w:sz w:val="20"/>
                <w:szCs w:val="20"/>
              </w:rPr>
              <w:t>majority</w:t>
            </w:r>
            <w:proofErr w:type="spellEnd"/>
            <w:r w:rsidRPr="00B45592">
              <w:rPr>
                <w:i/>
                <w:sz w:val="20"/>
                <w:szCs w:val="20"/>
              </w:rPr>
              <w:t xml:space="preserve"> </w:t>
            </w:r>
            <w:proofErr w:type="spellStart"/>
            <w:r w:rsidRPr="00B45592">
              <w:rPr>
                <w:i/>
                <w:sz w:val="20"/>
                <w:szCs w:val="20"/>
              </w:rPr>
              <w:t>opinion</w:t>
            </w:r>
            <w:proofErr w:type="spellEnd"/>
            <w:r w:rsidRPr="003D5190">
              <w:rPr>
                <w:iCs/>
                <w:sz w:val="20"/>
                <w:szCs w:val="20"/>
              </w:rPr>
              <w:t xml:space="preserve"> zeigte sich der </w:t>
            </w:r>
            <w:r>
              <w:rPr>
                <w:iCs/>
                <w:sz w:val="20"/>
                <w:szCs w:val="20"/>
              </w:rPr>
              <w:t>U.S. Supreme Court</w:t>
            </w:r>
            <w:r w:rsidRPr="003D5190">
              <w:rPr>
                <w:iCs/>
                <w:sz w:val="20"/>
                <w:szCs w:val="20"/>
              </w:rPr>
              <w:t xml:space="preserve"> </w:t>
            </w:r>
            <w:r>
              <w:rPr>
                <w:iCs/>
                <w:sz w:val="20"/>
                <w:szCs w:val="20"/>
              </w:rPr>
              <w:t>hingegen</w:t>
            </w:r>
            <w:r w:rsidRPr="003D5190">
              <w:rPr>
                <w:iCs/>
                <w:sz w:val="20"/>
                <w:szCs w:val="20"/>
              </w:rPr>
              <w:t xml:space="preserve"> überzeugt, dass ein Nachlassverwalter per Gerichtsanordnung Eigentum auch an Private verkauft könne</w:t>
            </w:r>
            <w:r>
              <w:rPr>
                <w:iCs/>
                <w:sz w:val="20"/>
                <w:szCs w:val="20"/>
              </w:rPr>
              <w:t>,</w:t>
            </w:r>
            <w:r w:rsidRPr="003D5190">
              <w:rPr>
                <w:iCs/>
                <w:sz w:val="20"/>
                <w:szCs w:val="20"/>
              </w:rPr>
              <w:t xml:space="preserve"> </w:t>
            </w:r>
            <w:r>
              <w:rPr>
                <w:iCs/>
                <w:sz w:val="20"/>
                <w:szCs w:val="20"/>
              </w:rPr>
              <w:t>s</w:t>
            </w:r>
            <w:r w:rsidRPr="003D5190">
              <w:rPr>
                <w:iCs/>
                <w:sz w:val="20"/>
                <w:szCs w:val="20"/>
              </w:rPr>
              <w:t>olange dies eine gesetzliche Grundlage habe. Und eine solche gesetzliche Ausgestaltung liege im Ermessen der Legislative und bestehe</w:t>
            </w:r>
            <w:r>
              <w:rPr>
                <w:iCs/>
                <w:sz w:val="20"/>
                <w:szCs w:val="20"/>
              </w:rPr>
              <w:t xml:space="preserve"> im vorliegenden Fall</w:t>
            </w:r>
            <w:r w:rsidRPr="003D5190">
              <w:rPr>
                <w:iCs/>
                <w:sz w:val="20"/>
                <w:szCs w:val="20"/>
              </w:rPr>
              <w:t>.</w:t>
            </w:r>
            <w:r w:rsidRPr="003D5190">
              <w:rPr>
                <w:iCs/>
                <w:sz w:val="20"/>
                <w:szCs w:val="20"/>
                <w:vertAlign w:val="superscript"/>
              </w:rPr>
              <w:footnoteReference w:id="25"/>
            </w:r>
          </w:p>
          <w:p w14:paraId="5CA97DA9" w14:textId="77777777" w:rsidR="00074551" w:rsidRPr="00E50B51" w:rsidRDefault="00074551" w:rsidP="00367133">
            <w:pPr>
              <w:jc w:val="both"/>
              <w:rPr>
                <w:sz w:val="20"/>
                <w:szCs w:val="20"/>
              </w:rPr>
            </w:pPr>
          </w:p>
        </w:tc>
      </w:tr>
      <w:tr w:rsidR="00074551" w:rsidRPr="00E50B51" w14:paraId="3D512AB2" w14:textId="77777777" w:rsidTr="00BE689F">
        <w:trPr>
          <w:cantSplit/>
          <w:trHeight w:val="3175"/>
        </w:trPr>
        <w:tc>
          <w:tcPr>
            <w:tcW w:w="293" w:type="pct"/>
          </w:tcPr>
          <w:p w14:paraId="4760400C"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5285DA36"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741118E3" w14:textId="77777777" w:rsidR="00074551" w:rsidRPr="00257307" w:rsidRDefault="00074551" w:rsidP="00367133">
            <w:pPr>
              <w:ind w:left="113" w:right="416"/>
              <w:jc w:val="both"/>
              <w:rPr>
                <w:sz w:val="20"/>
                <w:szCs w:val="20"/>
              </w:rPr>
            </w:pPr>
            <w:r w:rsidRPr="008F73D7">
              <w:rPr>
                <w:i/>
                <w:sz w:val="20"/>
                <w:szCs w:val="20"/>
              </w:rPr>
              <w:t xml:space="preserve">Marchie Tiger v. Western </w:t>
            </w:r>
            <w:proofErr w:type="spellStart"/>
            <w:r w:rsidRPr="008F73D7">
              <w:rPr>
                <w:i/>
                <w:sz w:val="20"/>
                <w:szCs w:val="20"/>
              </w:rPr>
              <w:t>Inv</w:t>
            </w:r>
            <w:proofErr w:type="spellEnd"/>
            <w:r w:rsidRPr="008F73D7">
              <w:rPr>
                <w:i/>
                <w:sz w:val="20"/>
                <w:szCs w:val="20"/>
              </w:rPr>
              <w:t>. Co.</w:t>
            </w:r>
          </w:p>
        </w:tc>
        <w:tc>
          <w:tcPr>
            <w:tcW w:w="197" w:type="pct"/>
            <w:textDirection w:val="tbRl"/>
            <w:vAlign w:val="center"/>
          </w:tcPr>
          <w:p w14:paraId="4EF4C369" w14:textId="77777777" w:rsidR="00074551" w:rsidRPr="00257307" w:rsidRDefault="00074551" w:rsidP="00367133">
            <w:pPr>
              <w:ind w:left="113" w:right="113"/>
              <w:jc w:val="both"/>
              <w:rPr>
                <w:sz w:val="20"/>
                <w:szCs w:val="20"/>
              </w:rPr>
            </w:pPr>
            <w:r w:rsidRPr="00257307">
              <w:rPr>
                <w:sz w:val="20"/>
                <w:szCs w:val="20"/>
              </w:rPr>
              <w:t>221 U.S. 286</w:t>
            </w:r>
          </w:p>
        </w:tc>
        <w:tc>
          <w:tcPr>
            <w:tcW w:w="306" w:type="pct"/>
            <w:textDirection w:val="tbRl"/>
            <w:vAlign w:val="center"/>
          </w:tcPr>
          <w:p w14:paraId="1EF9723B" w14:textId="77777777" w:rsidR="00074551" w:rsidRDefault="00074551" w:rsidP="00367133">
            <w:pPr>
              <w:ind w:left="113" w:right="113"/>
              <w:jc w:val="both"/>
              <w:rPr>
                <w:sz w:val="20"/>
                <w:szCs w:val="20"/>
                <w:lang w:val="en-US"/>
              </w:rPr>
            </w:pPr>
            <w:r>
              <w:rPr>
                <w:sz w:val="20"/>
                <w:szCs w:val="20"/>
                <w:lang w:val="en-US"/>
              </w:rPr>
              <w:t>15. Mai 1911</w:t>
            </w:r>
          </w:p>
        </w:tc>
        <w:tc>
          <w:tcPr>
            <w:tcW w:w="401" w:type="pct"/>
          </w:tcPr>
          <w:p w14:paraId="62A0082A" w14:textId="77777777" w:rsidR="00074551" w:rsidRDefault="00074551" w:rsidP="00367133">
            <w:pPr>
              <w:jc w:val="center"/>
              <w:rPr>
                <w:sz w:val="20"/>
                <w:szCs w:val="20"/>
                <w:lang w:val="en-US"/>
              </w:rPr>
            </w:pPr>
            <w:r>
              <w:rPr>
                <w:sz w:val="20"/>
                <w:szCs w:val="20"/>
                <w:lang w:val="en-US"/>
              </w:rPr>
              <w:t>M</w:t>
            </w:r>
          </w:p>
        </w:tc>
        <w:tc>
          <w:tcPr>
            <w:tcW w:w="1594" w:type="pct"/>
          </w:tcPr>
          <w:p w14:paraId="30661F15" w14:textId="77777777" w:rsidR="00074551" w:rsidRDefault="00074551" w:rsidP="00367133">
            <w:pPr>
              <w:jc w:val="both"/>
              <w:rPr>
                <w:sz w:val="20"/>
                <w:szCs w:val="20"/>
              </w:rPr>
            </w:pPr>
            <w:r w:rsidRPr="005B7BE9">
              <w:rPr>
                <w:sz w:val="20"/>
                <w:szCs w:val="20"/>
              </w:rPr>
              <w:t xml:space="preserve">Der </w:t>
            </w:r>
            <w:r>
              <w:rPr>
                <w:sz w:val="20"/>
                <w:szCs w:val="20"/>
              </w:rPr>
              <w:t>U.S. Supreme Court</w:t>
            </w:r>
            <w:r w:rsidRPr="005B7BE9">
              <w:rPr>
                <w:sz w:val="20"/>
                <w:szCs w:val="20"/>
              </w:rPr>
              <w:t xml:space="preserve"> hob das Urteil des </w:t>
            </w:r>
            <w:r w:rsidRPr="00B45592">
              <w:rPr>
                <w:i/>
                <w:sz w:val="20"/>
                <w:szCs w:val="20"/>
              </w:rPr>
              <w:t>Supreme Court of Oklahoma</w:t>
            </w:r>
            <w:r w:rsidRPr="005B7BE9">
              <w:rPr>
                <w:sz w:val="20"/>
                <w:szCs w:val="20"/>
              </w:rPr>
              <w:t xml:space="preserve"> auf. Zunächst veräußerte </w:t>
            </w:r>
            <w:r>
              <w:rPr>
                <w:sz w:val="20"/>
                <w:szCs w:val="20"/>
              </w:rPr>
              <w:t xml:space="preserve">eine </w:t>
            </w:r>
            <w:r w:rsidRPr="005B7BE9">
              <w:rPr>
                <w:sz w:val="20"/>
                <w:szCs w:val="20"/>
              </w:rPr>
              <w:t>Kläger</w:t>
            </w:r>
            <w:r>
              <w:rPr>
                <w:sz w:val="20"/>
                <w:szCs w:val="20"/>
              </w:rPr>
              <w:t xml:space="preserve">in, eine Indianerin, ihre Ländereien auf dem </w:t>
            </w:r>
            <w:bookmarkStart w:id="0" w:name="_Hlk230000150"/>
            <w:r w:rsidRPr="00D62127">
              <w:rPr>
                <w:sz w:val="20"/>
                <w:szCs w:val="20"/>
              </w:rPr>
              <w:t xml:space="preserve">Indian </w:t>
            </w:r>
            <w:proofErr w:type="spellStart"/>
            <w:r w:rsidRPr="00D62127">
              <w:rPr>
                <w:sz w:val="20"/>
                <w:szCs w:val="20"/>
              </w:rPr>
              <w:t>Territory</w:t>
            </w:r>
            <w:proofErr w:type="spellEnd"/>
            <w:r>
              <w:rPr>
                <w:sz w:val="20"/>
                <w:szCs w:val="20"/>
              </w:rPr>
              <w:t xml:space="preserve"> </w:t>
            </w:r>
            <w:bookmarkEnd w:id="0"/>
            <w:r w:rsidRPr="00D62127">
              <w:rPr>
                <w:sz w:val="20"/>
                <w:szCs w:val="20"/>
              </w:rPr>
              <w:t>an die Realty Company</w:t>
            </w:r>
            <w:r>
              <w:rPr>
                <w:sz w:val="20"/>
                <w:szCs w:val="20"/>
              </w:rPr>
              <w:t xml:space="preserve">, aber </w:t>
            </w:r>
            <w:r w:rsidRPr="00D62127">
              <w:rPr>
                <w:sz w:val="20"/>
                <w:szCs w:val="20"/>
              </w:rPr>
              <w:t xml:space="preserve">ohne Zustimmung des </w:t>
            </w:r>
            <w:r>
              <w:rPr>
                <w:sz w:val="20"/>
                <w:szCs w:val="20"/>
              </w:rPr>
              <w:t>Innenministers (</w:t>
            </w:r>
            <w:proofErr w:type="spellStart"/>
            <w:r w:rsidRPr="00B45592">
              <w:rPr>
                <w:i/>
                <w:sz w:val="20"/>
                <w:szCs w:val="20"/>
              </w:rPr>
              <w:t>Secretary</w:t>
            </w:r>
            <w:proofErr w:type="spellEnd"/>
            <w:r w:rsidRPr="00B45592">
              <w:rPr>
                <w:i/>
                <w:sz w:val="20"/>
                <w:szCs w:val="20"/>
              </w:rPr>
              <w:t xml:space="preserve"> of the Interior</w:t>
            </w:r>
            <w:r>
              <w:rPr>
                <w:sz w:val="20"/>
                <w:szCs w:val="20"/>
              </w:rPr>
              <w:t xml:space="preserve">). Diese war aber laut einem Gesetz </w:t>
            </w:r>
            <w:r w:rsidRPr="00D62127">
              <w:rPr>
                <w:sz w:val="20"/>
                <w:szCs w:val="20"/>
              </w:rPr>
              <w:t>vom 26. April 1906</w:t>
            </w:r>
            <w:r>
              <w:rPr>
                <w:sz w:val="20"/>
                <w:szCs w:val="20"/>
              </w:rPr>
              <w:t xml:space="preserve"> – </w:t>
            </w:r>
            <w:r w:rsidRPr="00D62127">
              <w:rPr>
                <w:sz w:val="20"/>
                <w:szCs w:val="20"/>
              </w:rPr>
              <w:t xml:space="preserve">34 Stat. 137, </w:t>
            </w:r>
            <w:proofErr w:type="spellStart"/>
            <w:r w:rsidRPr="00D62127">
              <w:rPr>
                <w:sz w:val="20"/>
                <w:szCs w:val="20"/>
              </w:rPr>
              <w:t>ch</w:t>
            </w:r>
            <w:proofErr w:type="spellEnd"/>
            <w:r w:rsidRPr="00D62127">
              <w:rPr>
                <w:sz w:val="20"/>
                <w:szCs w:val="20"/>
              </w:rPr>
              <w:t>. 1876</w:t>
            </w:r>
            <w:r>
              <w:rPr>
                <w:rStyle w:val="Funotenzeichen"/>
                <w:sz w:val="20"/>
                <w:szCs w:val="20"/>
              </w:rPr>
              <w:footnoteReference w:id="26"/>
            </w:r>
            <w:r>
              <w:rPr>
                <w:sz w:val="20"/>
                <w:szCs w:val="20"/>
              </w:rPr>
              <w:t> – erforderlich. Daher war die Veräußerung nach dem Gesetz unwirksam</w:t>
            </w:r>
            <w:r w:rsidRPr="00D62127">
              <w:rPr>
                <w:sz w:val="20"/>
                <w:szCs w:val="20"/>
              </w:rPr>
              <w:t>.</w:t>
            </w:r>
            <w:r>
              <w:rPr>
                <w:sz w:val="20"/>
                <w:szCs w:val="20"/>
              </w:rPr>
              <w:t xml:space="preserve"> Zwar hatte das Gesetz</w:t>
            </w:r>
            <w:r>
              <w:rPr>
                <w:rStyle w:val="Funotenzeichen"/>
                <w:sz w:val="20"/>
                <w:szCs w:val="20"/>
              </w:rPr>
              <w:footnoteReference w:id="27"/>
            </w:r>
            <w:r>
              <w:rPr>
                <w:sz w:val="20"/>
                <w:szCs w:val="20"/>
              </w:rPr>
              <w:t xml:space="preserve"> zunächst Ländereien an die Klägerin als Erbe zugeteilt, und diese</w:t>
            </w:r>
            <w:r w:rsidRPr="00D62127">
              <w:rPr>
                <w:sz w:val="20"/>
                <w:szCs w:val="20"/>
              </w:rPr>
              <w:t xml:space="preserve"> verkaufte und übertrug Teile des Landes an die Realty Company. </w:t>
            </w:r>
            <w:r>
              <w:rPr>
                <w:sz w:val="20"/>
                <w:szCs w:val="20"/>
              </w:rPr>
              <w:t>Doch d</w:t>
            </w:r>
            <w:r w:rsidRPr="00D62127">
              <w:rPr>
                <w:sz w:val="20"/>
                <w:szCs w:val="20"/>
              </w:rPr>
              <w:t xml:space="preserve">ies geschah ohne Zustimmung des </w:t>
            </w:r>
            <w:r>
              <w:rPr>
                <w:sz w:val="20"/>
                <w:szCs w:val="20"/>
              </w:rPr>
              <w:t>Innenministers</w:t>
            </w:r>
            <w:r w:rsidRPr="00D62127">
              <w:rPr>
                <w:sz w:val="20"/>
                <w:szCs w:val="20"/>
              </w:rPr>
              <w:t xml:space="preserve">. </w:t>
            </w:r>
            <w:r>
              <w:rPr>
                <w:sz w:val="20"/>
                <w:szCs w:val="20"/>
              </w:rPr>
              <w:t>D</w:t>
            </w:r>
            <w:r w:rsidRPr="00D62127">
              <w:rPr>
                <w:sz w:val="20"/>
                <w:szCs w:val="20"/>
              </w:rPr>
              <w:t xml:space="preserve">er </w:t>
            </w:r>
            <w:r>
              <w:rPr>
                <w:sz w:val="20"/>
                <w:szCs w:val="20"/>
              </w:rPr>
              <w:t>U.S. Supreme Court</w:t>
            </w:r>
            <w:r w:rsidRPr="00D62127">
              <w:rPr>
                <w:sz w:val="20"/>
                <w:szCs w:val="20"/>
              </w:rPr>
              <w:t xml:space="preserve"> entschied, </w:t>
            </w:r>
            <w:r>
              <w:rPr>
                <w:sz w:val="20"/>
                <w:szCs w:val="20"/>
              </w:rPr>
              <w:t xml:space="preserve">zwar erlaube </w:t>
            </w:r>
            <w:r w:rsidRPr="00D62127">
              <w:rPr>
                <w:sz w:val="20"/>
                <w:szCs w:val="20"/>
              </w:rPr>
              <w:t>das Gesetz</w:t>
            </w:r>
            <w:r>
              <w:rPr>
                <w:sz w:val="20"/>
                <w:szCs w:val="20"/>
              </w:rPr>
              <w:t xml:space="preserve"> </w:t>
            </w:r>
            <w:r w:rsidRPr="00D62127">
              <w:rPr>
                <w:sz w:val="20"/>
                <w:szCs w:val="20"/>
              </w:rPr>
              <w:t>Indianern</w:t>
            </w:r>
            <w:r>
              <w:rPr>
                <w:sz w:val="20"/>
                <w:szCs w:val="20"/>
              </w:rPr>
              <w:t>,</w:t>
            </w:r>
            <w:r w:rsidRPr="00D62127">
              <w:rPr>
                <w:sz w:val="20"/>
                <w:szCs w:val="20"/>
              </w:rPr>
              <w:t xml:space="preserve"> geerbtes Land zu veräußern. </w:t>
            </w:r>
            <w:r>
              <w:rPr>
                <w:sz w:val="20"/>
                <w:szCs w:val="20"/>
              </w:rPr>
              <w:t xml:space="preserve">Aber </w:t>
            </w:r>
            <w:r w:rsidRPr="00D62127">
              <w:rPr>
                <w:sz w:val="20"/>
                <w:szCs w:val="20"/>
              </w:rPr>
              <w:t xml:space="preserve">unüberlegte Verkäufe </w:t>
            </w:r>
            <w:r>
              <w:rPr>
                <w:sz w:val="20"/>
                <w:szCs w:val="20"/>
              </w:rPr>
              <w:t xml:space="preserve">sollten </w:t>
            </w:r>
            <w:r w:rsidRPr="00D62127">
              <w:rPr>
                <w:sz w:val="20"/>
                <w:szCs w:val="20"/>
              </w:rPr>
              <w:t>verhinder</w:t>
            </w:r>
            <w:r>
              <w:rPr>
                <w:sz w:val="20"/>
                <w:szCs w:val="20"/>
              </w:rPr>
              <w:t>t werden</w:t>
            </w:r>
            <w:r w:rsidRPr="00D62127">
              <w:rPr>
                <w:sz w:val="20"/>
                <w:szCs w:val="20"/>
              </w:rPr>
              <w:t xml:space="preserve">. Solche Veräußerungen </w:t>
            </w:r>
            <w:r>
              <w:rPr>
                <w:sz w:val="20"/>
                <w:szCs w:val="20"/>
              </w:rPr>
              <w:t>seien</w:t>
            </w:r>
            <w:r w:rsidRPr="00D62127">
              <w:rPr>
                <w:sz w:val="20"/>
                <w:szCs w:val="20"/>
              </w:rPr>
              <w:t xml:space="preserve"> nur gültig, wenn sie</w:t>
            </w:r>
            <w:r>
              <w:rPr>
                <w:sz w:val="20"/>
                <w:szCs w:val="20"/>
              </w:rPr>
              <w:t xml:space="preserve"> der</w:t>
            </w:r>
            <w:r w:rsidRPr="00D62127">
              <w:rPr>
                <w:sz w:val="20"/>
                <w:szCs w:val="20"/>
              </w:rPr>
              <w:t xml:space="preserve"> </w:t>
            </w:r>
            <w:r>
              <w:rPr>
                <w:sz w:val="20"/>
                <w:szCs w:val="20"/>
              </w:rPr>
              <w:t>Innenminister genehmige</w:t>
            </w:r>
            <w:r w:rsidRPr="00D62127">
              <w:rPr>
                <w:sz w:val="20"/>
                <w:szCs w:val="20"/>
              </w:rPr>
              <w:t>.</w:t>
            </w:r>
            <w:r>
              <w:rPr>
                <w:sz w:val="20"/>
                <w:szCs w:val="20"/>
              </w:rPr>
              <w:t xml:space="preserve"> Diese Genehmigung lag eben nicht vor</w:t>
            </w:r>
            <w:r w:rsidRPr="00D62127">
              <w:rPr>
                <w:sz w:val="20"/>
                <w:szCs w:val="20"/>
              </w:rPr>
              <w:t xml:space="preserve">. </w:t>
            </w:r>
            <w:r>
              <w:rPr>
                <w:sz w:val="20"/>
                <w:szCs w:val="20"/>
              </w:rPr>
              <w:t xml:space="preserve">Und </w:t>
            </w:r>
            <w:r w:rsidRPr="00D62127">
              <w:rPr>
                <w:sz w:val="20"/>
                <w:szCs w:val="20"/>
              </w:rPr>
              <w:t>geerbte</w:t>
            </w:r>
            <w:r>
              <w:rPr>
                <w:sz w:val="20"/>
                <w:szCs w:val="20"/>
              </w:rPr>
              <w:t xml:space="preserve"> </w:t>
            </w:r>
            <w:r w:rsidRPr="00D62127">
              <w:rPr>
                <w:sz w:val="20"/>
                <w:szCs w:val="20"/>
              </w:rPr>
              <w:t xml:space="preserve">Ländereien </w:t>
            </w:r>
            <w:r>
              <w:rPr>
                <w:sz w:val="20"/>
                <w:szCs w:val="20"/>
              </w:rPr>
              <w:t>blieben</w:t>
            </w:r>
            <w:r w:rsidRPr="00D62127">
              <w:rPr>
                <w:sz w:val="20"/>
                <w:szCs w:val="20"/>
              </w:rPr>
              <w:t xml:space="preserve"> ohne Zustimmung des </w:t>
            </w:r>
            <w:r>
              <w:rPr>
                <w:sz w:val="20"/>
                <w:szCs w:val="20"/>
              </w:rPr>
              <w:t>Innenministers</w:t>
            </w:r>
            <w:r w:rsidRPr="00D62127">
              <w:rPr>
                <w:sz w:val="20"/>
                <w:szCs w:val="20"/>
              </w:rPr>
              <w:t xml:space="preserve"> bis August 1907 </w:t>
            </w:r>
            <w:r>
              <w:rPr>
                <w:sz w:val="20"/>
                <w:szCs w:val="20"/>
              </w:rPr>
              <w:t xml:space="preserve">nach dem zitierten Gesetz </w:t>
            </w:r>
            <w:r w:rsidRPr="00D62127">
              <w:rPr>
                <w:sz w:val="20"/>
                <w:szCs w:val="20"/>
              </w:rPr>
              <w:t>unveräußerlich</w:t>
            </w:r>
            <w:r>
              <w:rPr>
                <w:sz w:val="20"/>
                <w:szCs w:val="20"/>
              </w:rPr>
              <w:t>.</w:t>
            </w:r>
            <w:r>
              <w:rPr>
                <w:rStyle w:val="Funotenzeichen"/>
                <w:sz w:val="20"/>
                <w:szCs w:val="20"/>
              </w:rPr>
              <w:footnoteReference w:id="28"/>
            </w:r>
          </w:p>
        </w:tc>
        <w:tc>
          <w:tcPr>
            <w:tcW w:w="1822" w:type="pct"/>
          </w:tcPr>
          <w:p w14:paraId="58C32AB7" w14:textId="77777777" w:rsidR="00074551" w:rsidRPr="00B45592" w:rsidRDefault="00074551" w:rsidP="00367133">
            <w:pPr>
              <w:rPr>
                <w:i/>
                <w:sz w:val="20"/>
                <w:szCs w:val="20"/>
                <w:lang w:val="en-IE"/>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IE"/>
              </w:rPr>
              <w:t>Native Americans, Property Rights</w:t>
            </w:r>
          </w:p>
          <w:p w14:paraId="524A9043" w14:textId="77777777" w:rsidR="00074551" w:rsidRPr="00B45592" w:rsidRDefault="00074551" w:rsidP="00367133">
            <w:pPr>
              <w:rPr>
                <w:sz w:val="20"/>
                <w:szCs w:val="20"/>
                <w:lang w:val="en-IE"/>
              </w:rPr>
            </w:pPr>
          </w:p>
          <w:p w14:paraId="118D35C1" w14:textId="77777777" w:rsidR="00074551" w:rsidRDefault="00074551" w:rsidP="00367133">
            <w:pPr>
              <w:rPr>
                <w:sz w:val="20"/>
                <w:szCs w:val="20"/>
              </w:rPr>
            </w:pPr>
            <w:r w:rsidRPr="00306CF5">
              <w:rPr>
                <w:sz w:val="20"/>
                <w:szCs w:val="20"/>
              </w:rPr>
              <w:t xml:space="preserve">Der </w:t>
            </w:r>
            <w:r>
              <w:rPr>
                <w:sz w:val="20"/>
                <w:szCs w:val="20"/>
              </w:rPr>
              <w:t>U.S. Supreme Court</w:t>
            </w:r>
            <w:r w:rsidRPr="00306CF5">
              <w:rPr>
                <w:sz w:val="20"/>
                <w:szCs w:val="20"/>
              </w:rPr>
              <w:t xml:space="preserve"> rechtfertigte ein Gesetz (34 Stat. 137, </w:t>
            </w:r>
            <w:proofErr w:type="spellStart"/>
            <w:r w:rsidRPr="00306CF5">
              <w:rPr>
                <w:sz w:val="20"/>
                <w:szCs w:val="20"/>
              </w:rPr>
              <w:t>ch</w:t>
            </w:r>
            <w:proofErr w:type="spellEnd"/>
            <w:r w:rsidRPr="00306CF5">
              <w:rPr>
                <w:sz w:val="20"/>
                <w:szCs w:val="20"/>
              </w:rPr>
              <w:t>. 1876)</w:t>
            </w:r>
            <w:r>
              <w:rPr>
                <w:sz w:val="20"/>
                <w:szCs w:val="20"/>
              </w:rPr>
              <w:t>, d</w:t>
            </w:r>
            <w:r w:rsidRPr="00306CF5">
              <w:rPr>
                <w:sz w:val="20"/>
                <w:szCs w:val="20"/>
              </w:rPr>
              <w:t>as untersag</w:t>
            </w:r>
            <w:r>
              <w:rPr>
                <w:sz w:val="20"/>
                <w:szCs w:val="20"/>
              </w:rPr>
              <w:t>t</w:t>
            </w:r>
            <w:r w:rsidRPr="00306CF5">
              <w:rPr>
                <w:sz w:val="20"/>
                <w:szCs w:val="20"/>
              </w:rPr>
              <w:t xml:space="preserve">e, bis zum August 1907 </w:t>
            </w:r>
            <w:r>
              <w:rPr>
                <w:sz w:val="20"/>
                <w:szCs w:val="20"/>
              </w:rPr>
              <w:t>Ländereien</w:t>
            </w:r>
            <w:r w:rsidRPr="00306CF5">
              <w:rPr>
                <w:sz w:val="20"/>
                <w:szCs w:val="20"/>
              </w:rPr>
              <w:t xml:space="preserve"> zu veräußern, die sich auf ehemaligem Territorium der Indianer befanden. Für dieses Veräußerungsverbot gab es eine Ausnahme: Der Innenminister konnte eine solche Veräußerung gewähren. Damit schütze das Gesetz gegen übereilte Entscheidungen, sichere eine Bewirtschaftung der gerade übergegangenen Ländereien und verhindere </w:t>
            </w:r>
            <w:r>
              <w:rPr>
                <w:sz w:val="20"/>
                <w:szCs w:val="20"/>
              </w:rPr>
              <w:t xml:space="preserve">einen </w:t>
            </w:r>
            <w:r w:rsidRPr="00306CF5">
              <w:rPr>
                <w:sz w:val="20"/>
                <w:szCs w:val="20"/>
              </w:rPr>
              <w:t xml:space="preserve">Missbrauch der Unerfahrenheit der Verkäufer. Und die Vorrechte und Immunitäten der Staatsbürgerschaft </w:t>
            </w:r>
            <w:r>
              <w:rPr>
                <w:sz w:val="20"/>
                <w:szCs w:val="20"/>
              </w:rPr>
              <w:t>böten</w:t>
            </w:r>
            <w:r w:rsidRPr="00306CF5">
              <w:rPr>
                <w:sz w:val="20"/>
                <w:szCs w:val="20"/>
              </w:rPr>
              <w:t xml:space="preserve"> keine Abwehr gegen ein solches Gesetz. Denn es ziele auf das allgemeine Wohl ab, hier drücke sich das allgemeine Wohl in Übereilungsschutz durch ein Zustimmungserfordernis aus. Doch warum kann das allgemein</w:t>
            </w:r>
            <w:r>
              <w:rPr>
                <w:sz w:val="20"/>
                <w:szCs w:val="20"/>
              </w:rPr>
              <w:t>e</w:t>
            </w:r>
            <w:r w:rsidRPr="00306CF5">
              <w:rPr>
                <w:sz w:val="20"/>
                <w:szCs w:val="20"/>
              </w:rPr>
              <w:t xml:space="preserve"> Wohl Rechtsgüter derart einschränken? Nach der zitierten </w:t>
            </w:r>
            <w:bookmarkStart w:id="2" w:name="_Hlk230000124"/>
            <w:r w:rsidRPr="00306CF5">
              <w:rPr>
                <w:sz w:val="20"/>
                <w:szCs w:val="20"/>
              </w:rPr>
              <w:t>Slaughter-House</w:t>
            </w:r>
            <w:r>
              <w:rPr>
                <w:sz w:val="20"/>
                <w:szCs w:val="20"/>
              </w:rPr>
              <w:t>-</w:t>
            </w:r>
            <w:r w:rsidRPr="00306CF5">
              <w:rPr>
                <w:sz w:val="20"/>
                <w:szCs w:val="20"/>
              </w:rPr>
              <w:t>Rechtsprechung</w:t>
            </w:r>
            <w:bookmarkEnd w:id="2"/>
            <w:r w:rsidRPr="00306CF5">
              <w:rPr>
                <w:sz w:val="20"/>
                <w:szCs w:val="20"/>
                <w:vertAlign w:val="superscript"/>
                <w:lang w:val="en-US"/>
              </w:rPr>
              <w:footnoteReference w:id="29"/>
            </w:r>
            <w:r w:rsidRPr="00306CF5">
              <w:rPr>
                <w:sz w:val="20"/>
                <w:szCs w:val="20"/>
              </w:rPr>
              <w:t xml:space="preserve"> müsse der Staat bestimmte Vorrechte und Immunitäten als Kernbereich der Staatsbürgerschaft sichern und staatliche Maßnahmen könn</w:t>
            </w:r>
            <w:r>
              <w:rPr>
                <w:sz w:val="20"/>
                <w:szCs w:val="20"/>
              </w:rPr>
              <w:t>t</w:t>
            </w:r>
            <w:r w:rsidRPr="00306CF5">
              <w:rPr>
                <w:sz w:val="20"/>
                <w:szCs w:val="20"/>
              </w:rPr>
              <w:t xml:space="preserve">en diese nur ausnahmsweise einschränken, eben mit </w:t>
            </w:r>
            <w:r>
              <w:rPr>
                <w:sz w:val="20"/>
                <w:szCs w:val="20"/>
              </w:rPr>
              <w:t>Bezug auf das</w:t>
            </w:r>
            <w:r w:rsidRPr="00306CF5">
              <w:rPr>
                <w:sz w:val="20"/>
                <w:szCs w:val="20"/>
              </w:rPr>
              <w:t xml:space="preserve"> </w:t>
            </w:r>
            <w:r>
              <w:rPr>
                <w:sz w:val="20"/>
                <w:szCs w:val="20"/>
              </w:rPr>
              <w:t>Allgemeinwohl</w:t>
            </w:r>
            <w:r w:rsidRPr="00306CF5">
              <w:rPr>
                <w:sz w:val="20"/>
                <w:szCs w:val="20"/>
              </w:rPr>
              <w:t xml:space="preserve">. Eine Formel, die das Recht auf ein Streben nach Glück </w:t>
            </w:r>
            <w:r>
              <w:rPr>
                <w:sz w:val="20"/>
                <w:szCs w:val="20"/>
              </w:rPr>
              <w:t>beinhaltet</w:t>
            </w:r>
            <w:r w:rsidRPr="00306CF5">
              <w:rPr>
                <w:sz w:val="20"/>
                <w:szCs w:val="20"/>
              </w:rPr>
              <w:t>, lautet: Ein Schutz durch die Regierung muss das Recht</w:t>
            </w:r>
            <w:r>
              <w:rPr>
                <w:sz w:val="20"/>
                <w:szCs w:val="20"/>
              </w:rPr>
              <w:t xml:space="preserve"> umfassen</w:t>
            </w:r>
            <w:r w:rsidRPr="00306CF5">
              <w:rPr>
                <w:sz w:val="20"/>
                <w:szCs w:val="20"/>
              </w:rPr>
              <w:t xml:space="preserve">, Eigentum zu erwerben und besitzen zu können sowie </w:t>
            </w:r>
            <w:r w:rsidRPr="00423357">
              <w:rPr>
                <w:sz w:val="20"/>
                <w:szCs w:val="20"/>
              </w:rPr>
              <w:t xml:space="preserve">damit </w:t>
            </w:r>
            <w:r w:rsidRPr="00306CF5">
              <w:rPr>
                <w:sz w:val="20"/>
                <w:szCs w:val="20"/>
              </w:rPr>
              <w:t xml:space="preserve">Glück und Sicherheit verfolgen und erlangen zu können, und staatliche Maßnahmen </w:t>
            </w:r>
            <w:r w:rsidRPr="00423357">
              <w:rPr>
                <w:sz w:val="20"/>
                <w:szCs w:val="20"/>
              </w:rPr>
              <w:t xml:space="preserve">können dies </w:t>
            </w:r>
            <w:r w:rsidRPr="00306CF5">
              <w:rPr>
                <w:sz w:val="20"/>
                <w:szCs w:val="20"/>
              </w:rPr>
              <w:t>nur aufgrund des Wohl</w:t>
            </w:r>
            <w:r>
              <w:rPr>
                <w:sz w:val="20"/>
                <w:szCs w:val="20"/>
              </w:rPr>
              <w:t>es</w:t>
            </w:r>
            <w:r w:rsidRPr="00306CF5">
              <w:rPr>
                <w:sz w:val="20"/>
                <w:szCs w:val="20"/>
              </w:rPr>
              <w:t xml:space="preserve"> der Allgemeinheit einschränken („</w:t>
            </w:r>
            <w:proofErr w:type="spellStart"/>
            <w:r w:rsidRPr="00306CF5">
              <w:rPr>
                <w:sz w:val="20"/>
                <w:szCs w:val="20"/>
              </w:rPr>
              <w:t>Protection</w:t>
            </w:r>
            <w:proofErr w:type="spellEnd"/>
            <w:r w:rsidRPr="00306CF5">
              <w:rPr>
                <w:sz w:val="20"/>
                <w:szCs w:val="20"/>
              </w:rPr>
              <w:t xml:space="preserve"> by the Government </w:t>
            </w:r>
            <w:proofErr w:type="spellStart"/>
            <w:r w:rsidRPr="00306CF5">
              <w:rPr>
                <w:sz w:val="20"/>
                <w:szCs w:val="20"/>
              </w:rPr>
              <w:t>with</w:t>
            </w:r>
            <w:proofErr w:type="spellEnd"/>
            <w:r w:rsidRPr="00306CF5">
              <w:rPr>
                <w:sz w:val="20"/>
                <w:szCs w:val="20"/>
              </w:rPr>
              <w:t xml:space="preserve"> the </w:t>
            </w:r>
            <w:proofErr w:type="spellStart"/>
            <w:r w:rsidRPr="00306CF5">
              <w:rPr>
                <w:sz w:val="20"/>
                <w:szCs w:val="20"/>
              </w:rPr>
              <w:t>right</w:t>
            </w:r>
            <w:proofErr w:type="spellEnd"/>
            <w:r w:rsidRPr="00306CF5">
              <w:rPr>
                <w:sz w:val="20"/>
                <w:szCs w:val="20"/>
              </w:rPr>
              <w:t xml:space="preserve"> to […] </w:t>
            </w:r>
            <w:proofErr w:type="spellStart"/>
            <w:r w:rsidRPr="00306CF5">
              <w:rPr>
                <w:sz w:val="20"/>
                <w:szCs w:val="20"/>
              </w:rPr>
              <w:t>obtain</w:t>
            </w:r>
            <w:proofErr w:type="spellEnd"/>
            <w:r w:rsidRPr="00306CF5">
              <w:rPr>
                <w:sz w:val="20"/>
                <w:szCs w:val="20"/>
              </w:rPr>
              <w:t xml:space="preserve"> </w:t>
            </w:r>
            <w:proofErr w:type="spellStart"/>
            <w:r w:rsidRPr="00306CF5">
              <w:rPr>
                <w:sz w:val="20"/>
                <w:szCs w:val="20"/>
              </w:rPr>
              <w:t>happiness</w:t>
            </w:r>
            <w:proofErr w:type="spellEnd"/>
            <w:r w:rsidRPr="00306CF5">
              <w:rPr>
                <w:sz w:val="20"/>
                <w:szCs w:val="20"/>
              </w:rPr>
              <w:t xml:space="preserve"> and </w:t>
            </w:r>
            <w:proofErr w:type="spellStart"/>
            <w:r w:rsidRPr="00306CF5">
              <w:rPr>
                <w:sz w:val="20"/>
                <w:szCs w:val="20"/>
              </w:rPr>
              <w:t>safety</w:t>
            </w:r>
            <w:proofErr w:type="spellEnd"/>
            <w:r w:rsidRPr="00306CF5">
              <w:rPr>
                <w:sz w:val="20"/>
                <w:szCs w:val="20"/>
              </w:rPr>
              <w:t xml:space="preserve">, </w:t>
            </w:r>
            <w:proofErr w:type="spellStart"/>
            <w:r w:rsidRPr="00306CF5">
              <w:rPr>
                <w:sz w:val="20"/>
                <w:szCs w:val="20"/>
              </w:rPr>
              <w:t>subject</w:t>
            </w:r>
            <w:proofErr w:type="spellEnd"/>
            <w:r w:rsidRPr="00306CF5">
              <w:rPr>
                <w:sz w:val="20"/>
                <w:szCs w:val="20"/>
              </w:rPr>
              <w:t xml:space="preserve">, </w:t>
            </w:r>
            <w:proofErr w:type="spellStart"/>
            <w:r w:rsidRPr="00306CF5">
              <w:rPr>
                <w:sz w:val="20"/>
                <w:szCs w:val="20"/>
              </w:rPr>
              <w:t>nevertheless</w:t>
            </w:r>
            <w:proofErr w:type="spellEnd"/>
            <w:r w:rsidRPr="00306CF5">
              <w:rPr>
                <w:sz w:val="20"/>
                <w:szCs w:val="20"/>
              </w:rPr>
              <w:t xml:space="preserve">, to such restraints as the Government </w:t>
            </w:r>
            <w:proofErr w:type="spellStart"/>
            <w:r w:rsidRPr="00306CF5">
              <w:rPr>
                <w:sz w:val="20"/>
                <w:szCs w:val="20"/>
              </w:rPr>
              <w:t>may</w:t>
            </w:r>
            <w:proofErr w:type="spellEnd"/>
            <w:r w:rsidRPr="00306CF5">
              <w:rPr>
                <w:sz w:val="20"/>
                <w:szCs w:val="20"/>
              </w:rPr>
              <w:t xml:space="preserve"> </w:t>
            </w:r>
            <w:proofErr w:type="spellStart"/>
            <w:r w:rsidRPr="00306CF5">
              <w:rPr>
                <w:sz w:val="20"/>
                <w:szCs w:val="20"/>
              </w:rPr>
              <w:t>prescribe</w:t>
            </w:r>
            <w:proofErr w:type="spellEnd"/>
            <w:r w:rsidRPr="00306CF5">
              <w:rPr>
                <w:sz w:val="20"/>
                <w:szCs w:val="20"/>
              </w:rPr>
              <w:t xml:space="preserve"> for the </w:t>
            </w:r>
            <w:proofErr w:type="spellStart"/>
            <w:r w:rsidRPr="00306CF5">
              <w:rPr>
                <w:sz w:val="20"/>
                <w:szCs w:val="20"/>
              </w:rPr>
              <w:t>general</w:t>
            </w:r>
            <w:proofErr w:type="spellEnd"/>
            <w:r w:rsidRPr="00306CF5">
              <w:rPr>
                <w:sz w:val="20"/>
                <w:szCs w:val="20"/>
              </w:rPr>
              <w:t xml:space="preserve"> </w:t>
            </w:r>
            <w:proofErr w:type="spellStart"/>
            <w:r w:rsidRPr="00306CF5">
              <w:rPr>
                <w:sz w:val="20"/>
                <w:szCs w:val="20"/>
              </w:rPr>
              <w:t>good</w:t>
            </w:r>
            <w:proofErr w:type="spellEnd"/>
            <w:r w:rsidRPr="00306CF5">
              <w:rPr>
                <w:sz w:val="20"/>
                <w:szCs w:val="20"/>
              </w:rPr>
              <w:t xml:space="preserve"> of the </w:t>
            </w:r>
            <w:proofErr w:type="spellStart"/>
            <w:r w:rsidRPr="00306CF5">
              <w:rPr>
                <w:sz w:val="20"/>
                <w:szCs w:val="20"/>
              </w:rPr>
              <w:t>whole</w:t>
            </w:r>
            <w:proofErr w:type="spellEnd"/>
            <w:r w:rsidRPr="00306CF5">
              <w:rPr>
                <w:sz w:val="20"/>
                <w:szCs w:val="20"/>
              </w:rPr>
              <w:t>.“</w:t>
            </w:r>
            <w:r w:rsidRPr="00306CF5">
              <w:rPr>
                <w:sz w:val="20"/>
                <w:szCs w:val="20"/>
                <w:vertAlign w:val="superscript"/>
                <w:lang w:val="en-US"/>
              </w:rPr>
              <w:footnoteReference w:id="30"/>
            </w:r>
            <w:r w:rsidRPr="00306CF5">
              <w:rPr>
                <w:sz w:val="20"/>
                <w:szCs w:val="20"/>
              </w:rPr>
              <w:t>)</w:t>
            </w:r>
            <w:r w:rsidRPr="00423357">
              <w:rPr>
                <w:sz w:val="20"/>
                <w:szCs w:val="20"/>
              </w:rPr>
              <w:t>.</w:t>
            </w:r>
          </w:p>
          <w:p w14:paraId="7153F7AA" w14:textId="77777777" w:rsidR="00074551" w:rsidRPr="00DF1436" w:rsidRDefault="00074551" w:rsidP="00367133">
            <w:pPr>
              <w:rPr>
                <w:b/>
                <w:bCs/>
                <w:sz w:val="20"/>
                <w:szCs w:val="20"/>
              </w:rPr>
            </w:pPr>
          </w:p>
        </w:tc>
      </w:tr>
      <w:tr w:rsidR="00074551" w:rsidRPr="00E50B51" w14:paraId="4356B2B7" w14:textId="77777777" w:rsidTr="00BE689F">
        <w:trPr>
          <w:cantSplit/>
          <w:trHeight w:val="3175"/>
        </w:trPr>
        <w:tc>
          <w:tcPr>
            <w:tcW w:w="293" w:type="pct"/>
            <w:shd w:val="clear" w:color="auto" w:fill="E7E6E6" w:themeFill="background2"/>
          </w:tcPr>
          <w:p w14:paraId="6DDFC4C1" w14:textId="77777777" w:rsidR="00074551" w:rsidRPr="00E50B51" w:rsidRDefault="00074551" w:rsidP="00367133">
            <w:pPr>
              <w:ind w:right="416"/>
              <w:jc w:val="center"/>
              <w:rPr>
                <w:sz w:val="20"/>
                <w:szCs w:val="20"/>
              </w:rPr>
            </w:pPr>
            <w:bookmarkStart w:id="4" w:name="_Hlk228799889"/>
            <w:r w:rsidRPr="00E50B51">
              <w:rPr>
                <w:sz w:val="20"/>
                <w:szCs w:val="20"/>
              </w:rPr>
              <w:lastRenderedPageBreak/>
              <w:t>H</w:t>
            </w:r>
          </w:p>
        </w:tc>
        <w:tc>
          <w:tcPr>
            <w:tcW w:w="387" w:type="pct"/>
            <w:shd w:val="clear" w:color="auto" w:fill="E7E6E6" w:themeFill="background2"/>
            <w:textDirection w:val="tbRl"/>
            <w:vAlign w:val="center"/>
          </w:tcPr>
          <w:p w14:paraId="3C8C1500"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650E88A0" w14:textId="77777777" w:rsidR="00074551" w:rsidRPr="00E50B51" w:rsidRDefault="00074551" w:rsidP="00367133">
            <w:pPr>
              <w:ind w:left="113" w:right="113"/>
              <w:jc w:val="both"/>
              <w:rPr>
                <w:sz w:val="20"/>
                <w:szCs w:val="20"/>
                <w:lang w:val="en-US"/>
              </w:rPr>
            </w:pPr>
            <w:r w:rsidRPr="00E50B51">
              <w:rPr>
                <w:sz w:val="20"/>
                <w:szCs w:val="20"/>
                <w:lang w:val="en-US"/>
              </w:rPr>
              <w:t>Property</w:t>
            </w:r>
          </w:p>
        </w:tc>
        <w:tc>
          <w:tcPr>
            <w:tcW w:w="306" w:type="pct"/>
            <w:shd w:val="clear" w:color="auto" w:fill="E7E6E6" w:themeFill="background2"/>
            <w:textDirection w:val="tbRl"/>
            <w:vAlign w:val="center"/>
          </w:tcPr>
          <w:p w14:paraId="799C43FA" w14:textId="77777777" w:rsidR="00074551" w:rsidRPr="00E50B51" w:rsidRDefault="00074551" w:rsidP="00367133">
            <w:pPr>
              <w:ind w:left="113" w:right="113"/>
              <w:jc w:val="both"/>
              <w:rPr>
                <w:sz w:val="20"/>
                <w:szCs w:val="20"/>
                <w:lang w:val="en-US"/>
              </w:rPr>
            </w:pPr>
            <w:r w:rsidRPr="00E50B51">
              <w:rPr>
                <w:sz w:val="20"/>
                <w:szCs w:val="20"/>
                <w:lang w:val="en-US"/>
              </w:rPr>
              <w:t>The Judiciary</w:t>
            </w:r>
          </w:p>
          <w:p w14:paraId="7AE8D690"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extDirection w:val="tbRl"/>
          </w:tcPr>
          <w:p w14:paraId="517C3F2F" w14:textId="77777777" w:rsidR="00074551" w:rsidRDefault="00074551" w:rsidP="00367133">
            <w:pPr>
              <w:ind w:left="113" w:right="113"/>
              <w:rPr>
                <w:sz w:val="20"/>
                <w:szCs w:val="20"/>
                <w:lang w:val="en-US"/>
              </w:rPr>
            </w:pPr>
          </w:p>
          <w:p w14:paraId="2690C511" w14:textId="77777777" w:rsidR="00074551" w:rsidRDefault="00074551" w:rsidP="00367133">
            <w:pPr>
              <w:ind w:left="113" w:right="113"/>
              <w:rPr>
                <w:sz w:val="20"/>
                <w:szCs w:val="20"/>
                <w:lang w:val="en-US"/>
              </w:rPr>
            </w:pPr>
          </w:p>
          <w:p w14:paraId="1AE4F299" w14:textId="77777777" w:rsidR="00074551" w:rsidRPr="00E50B51" w:rsidRDefault="00074551" w:rsidP="00367133">
            <w:pPr>
              <w:ind w:left="113" w:right="113"/>
              <w:rPr>
                <w:sz w:val="20"/>
                <w:szCs w:val="20"/>
              </w:rPr>
            </w:pPr>
            <w:r w:rsidRPr="00E50B51">
              <w:rPr>
                <w:sz w:val="20"/>
                <w:szCs w:val="20"/>
                <w:lang w:val="en-US"/>
              </w:rPr>
              <w:t>Congressional Limits</w:t>
            </w:r>
          </w:p>
        </w:tc>
        <w:tc>
          <w:tcPr>
            <w:tcW w:w="1594" w:type="pct"/>
            <w:shd w:val="clear" w:color="auto" w:fill="E7E6E6" w:themeFill="background2"/>
            <w:vAlign w:val="center"/>
          </w:tcPr>
          <w:p w14:paraId="5C3B8DC1" w14:textId="77777777" w:rsidR="00074551" w:rsidRPr="00E50B51" w:rsidRDefault="00074551" w:rsidP="00367133">
            <w:pPr>
              <w:jc w:val="both"/>
              <w:rPr>
                <w:sz w:val="20"/>
                <w:szCs w:val="20"/>
              </w:rPr>
            </w:pPr>
          </w:p>
        </w:tc>
        <w:tc>
          <w:tcPr>
            <w:tcW w:w="1822" w:type="pct"/>
            <w:shd w:val="clear" w:color="auto" w:fill="E7E6E6" w:themeFill="background2"/>
          </w:tcPr>
          <w:p w14:paraId="73BA0B76" w14:textId="7C87C12C" w:rsidR="00074551" w:rsidRPr="00E50B51" w:rsidRDefault="00A15DB3" w:rsidP="00BE689F">
            <w:pPr>
              <w:rPr>
                <w:sz w:val="20"/>
                <w:szCs w:val="20"/>
              </w:rPr>
            </w:pPr>
            <w:r w:rsidRPr="00A15DB3">
              <w:rPr>
                <w:i/>
                <w:iCs/>
                <w:sz w:val="16"/>
                <w:szCs w:val="20"/>
              </w:rPr>
              <w:t>Thematische Gliederung der nachfolgenden Entscheidungen ↓</w:t>
            </w:r>
          </w:p>
        </w:tc>
      </w:tr>
      <w:bookmarkEnd w:id="4"/>
      <w:tr w:rsidR="00074551" w:rsidRPr="004F6665" w14:paraId="3278FD30" w14:textId="77777777" w:rsidTr="00BE689F">
        <w:trPr>
          <w:cantSplit/>
          <w:trHeight w:val="3175"/>
        </w:trPr>
        <w:tc>
          <w:tcPr>
            <w:tcW w:w="293" w:type="pct"/>
          </w:tcPr>
          <w:p w14:paraId="7012F244" w14:textId="77777777" w:rsidR="00074551" w:rsidRPr="00E50B51" w:rsidRDefault="00074551" w:rsidP="00367133">
            <w:pPr>
              <w:ind w:right="416"/>
              <w:jc w:val="center"/>
              <w:rPr>
                <w:sz w:val="20"/>
                <w:szCs w:val="20"/>
              </w:rPr>
            </w:pPr>
            <w:r w:rsidRPr="00E50B51">
              <w:rPr>
                <w:sz w:val="20"/>
                <w:szCs w:val="20"/>
              </w:rPr>
              <w:lastRenderedPageBreak/>
              <w:t>H</w:t>
            </w:r>
          </w:p>
        </w:tc>
        <w:tc>
          <w:tcPr>
            <w:tcW w:w="387" w:type="pct"/>
            <w:textDirection w:val="tbRl"/>
            <w:vAlign w:val="center"/>
          </w:tcPr>
          <w:p w14:paraId="21E5081A" w14:textId="77777777" w:rsidR="00074551" w:rsidRPr="00E50B51" w:rsidRDefault="00074551" w:rsidP="00367133">
            <w:pPr>
              <w:ind w:left="113" w:right="416"/>
              <w:jc w:val="both"/>
              <w:rPr>
                <w:sz w:val="20"/>
                <w:szCs w:val="20"/>
              </w:rPr>
            </w:pPr>
            <w:r w:rsidRPr="008F73D7">
              <w:rPr>
                <w:i/>
                <w:sz w:val="20"/>
                <w:szCs w:val="20"/>
              </w:rPr>
              <w:t>Scott v. Jones</w:t>
            </w:r>
          </w:p>
        </w:tc>
        <w:tc>
          <w:tcPr>
            <w:tcW w:w="197" w:type="pct"/>
            <w:textDirection w:val="tbRl"/>
            <w:vAlign w:val="center"/>
          </w:tcPr>
          <w:p w14:paraId="6A748869" w14:textId="77777777" w:rsidR="00074551" w:rsidRPr="00E50B51" w:rsidRDefault="00074551" w:rsidP="00367133">
            <w:pPr>
              <w:ind w:left="113" w:right="113"/>
              <w:jc w:val="both"/>
              <w:rPr>
                <w:sz w:val="20"/>
                <w:szCs w:val="20"/>
                <w:lang w:val="en-US"/>
              </w:rPr>
            </w:pPr>
            <w:r w:rsidRPr="00E50B51">
              <w:rPr>
                <w:sz w:val="20"/>
                <w:szCs w:val="20"/>
              </w:rPr>
              <w:t>46 U.S. 343</w:t>
            </w:r>
          </w:p>
        </w:tc>
        <w:tc>
          <w:tcPr>
            <w:tcW w:w="306" w:type="pct"/>
            <w:textDirection w:val="tbRl"/>
            <w:vAlign w:val="center"/>
          </w:tcPr>
          <w:p w14:paraId="13A2227A" w14:textId="77777777" w:rsidR="00074551" w:rsidRPr="00E50B51" w:rsidRDefault="00074551" w:rsidP="00367133">
            <w:pPr>
              <w:ind w:left="113" w:right="113"/>
              <w:jc w:val="both"/>
              <w:rPr>
                <w:sz w:val="20"/>
                <w:szCs w:val="20"/>
                <w:lang w:val="en-US"/>
              </w:rPr>
            </w:pPr>
            <w:r w:rsidRPr="00E50B51">
              <w:rPr>
                <w:sz w:val="20"/>
                <w:szCs w:val="20"/>
              </w:rPr>
              <w:t>04. März 1847</w:t>
            </w:r>
          </w:p>
        </w:tc>
        <w:tc>
          <w:tcPr>
            <w:tcW w:w="401" w:type="pct"/>
          </w:tcPr>
          <w:p w14:paraId="4E115F3D"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0B7F747D" w14:textId="77777777" w:rsidR="00074551" w:rsidRPr="00E50B51" w:rsidRDefault="00074551" w:rsidP="00367133">
            <w:pPr>
              <w:jc w:val="both"/>
              <w:rPr>
                <w:sz w:val="20"/>
                <w:szCs w:val="20"/>
              </w:rPr>
            </w:pPr>
            <w:r w:rsidRPr="00E50B51">
              <w:rPr>
                <w:sz w:val="20"/>
                <w:szCs w:val="20"/>
              </w:rPr>
              <w:t>Die Kläger verfügten über eine Urkunde an einem Grundstück. Die</w:t>
            </w:r>
            <w:r>
              <w:rPr>
                <w:sz w:val="20"/>
                <w:szCs w:val="20"/>
              </w:rPr>
              <w:t>se</w:t>
            </w:r>
            <w:r w:rsidRPr="00E50B51">
              <w:rPr>
                <w:sz w:val="20"/>
                <w:szCs w:val="20"/>
              </w:rPr>
              <w:t xml:space="preserve"> ha</w:t>
            </w:r>
            <w:r>
              <w:rPr>
                <w:sz w:val="20"/>
                <w:szCs w:val="20"/>
              </w:rPr>
              <w:t>tt</w:t>
            </w:r>
            <w:r w:rsidRPr="00E50B51">
              <w:rPr>
                <w:sz w:val="20"/>
                <w:szCs w:val="20"/>
              </w:rPr>
              <w:t xml:space="preserve">en sie 1833 erworben, indem sie nach einem Gesetz eine Steuersumme </w:t>
            </w:r>
            <w:proofErr w:type="gramStart"/>
            <w:r w:rsidRPr="00E50B51">
              <w:rPr>
                <w:sz w:val="20"/>
                <w:szCs w:val="20"/>
              </w:rPr>
              <w:t>entrichtete</w:t>
            </w:r>
            <w:r>
              <w:rPr>
                <w:sz w:val="20"/>
                <w:szCs w:val="20"/>
              </w:rPr>
              <w:t>n</w:t>
            </w:r>
            <w:proofErr w:type="gramEnd"/>
            <w:r w:rsidRPr="00E50B51">
              <w:rPr>
                <w:rStyle w:val="Funotenzeichen"/>
                <w:sz w:val="20"/>
                <w:szCs w:val="20"/>
              </w:rPr>
              <w:footnoteReference w:id="31"/>
            </w:r>
            <w:r w:rsidRPr="00E50B51">
              <w:rPr>
                <w:sz w:val="20"/>
                <w:szCs w:val="20"/>
              </w:rPr>
              <w:t xml:space="preserve"> – allerdings an die Territorialregierung Michigans. 1836 erging </w:t>
            </w:r>
            <w:r>
              <w:rPr>
                <w:sz w:val="20"/>
                <w:szCs w:val="20"/>
              </w:rPr>
              <w:t xml:space="preserve">dann </w:t>
            </w:r>
            <w:r w:rsidRPr="00E50B51">
              <w:rPr>
                <w:sz w:val="20"/>
                <w:szCs w:val="20"/>
              </w:rPr>
              <w:t>an die beklagte Gesellschaft eine richterliche Urkunde</w:t>
            </w:r>
            <w:r>
              <w:rPr>
                <w:sz w:val="20"/>
                <w:szCs w:val="20"/>
              </w:rPr>
              <w:t>, welche</w:t>
            </w:r>
            <w:r w:rsidRPr="00E50B51">
              <w:rPr>
                <w:sz w:val="20"/>
                <w:szCs w:val="20"/>
              </w:rPr>
              <w:t xml:space="preserve"> ihnen das</w:t>
            </w:r>
            <w:r>
              <w:rPr>
                <w:sz w:val="20"/>
                <w:szCs w:val="20"/>
              </w:rPr>
              <w:t xml:space="preserve">selbe </w:t>
            </w:r>
            <w:r w:rsidRPr="00E50B51">
              <w:rPr>
                <w:sz w:val="20"/>
                <w:szCs w:val="20"/>
              </w:rPr>
              <w:t>Grundstück</w:t>
            </w:r>
            <w:r>
              <w:rPr>
                <w:sz w:val="20"/>
                <w:szCs w:val="20"/>
              </w:rPr>
              <w:t xml:space="preserve"> </w:t>
            </w:r>
            <w:r w:rsidRPr="00E50B51">
              <w:rPr>
                <w:sz w:val="20"/>
                <w:szCs w:val="20"/>
              </w:rPr>
              <w:t>z</w:t>
            </w:r>
            <w:r>
              <w:rPr>
                <w:sz w:val="20"/>
                <w:szCs w:val="20"/>
              </w:rPr>
              <w:t>uteilte</w:t>
            </w:r>
            <w:r w:rsidRPr="00E50B51">
              <w:rPr>
                <w:sz w:val="20"/>
                <w:szCs w:val="20"/>
              </w:rPr>
              <w:t>. Die erste Instanz sprach den Beklagten gemäß de</w:t>
            </w:r>
            <w:r>
              <w:rPr>
                <w:sz w:val="20"/>
                <w:szCs w:val="20"/>
              </w:rPr>
              <w:t>m</w:t>
            </w:r>
            <w:r w:rsidRPr="00E50B51">
              <w:rPr>
                <w:sz w:val="20"/>
                <w:szCs w:val="20"/>
              </w:rPr>
              <w:t xml:space="preserve"> Prioritätsprinzip aufgrund des späteren Erwerbs das Grundstück zu. Das Berufungsgericht und der </w:t>
            </w:r>
            <w:r>
              <w:rPr>
                <w:sz w:val="20"/>
                <w:szCs w:val="20"/>
              </w:rPr>
              <w:t>U.S. Supreme Court</w:t>
            </w:r>
            <w:r w:rsidRPr="00E50B51">
              <w:rPr>
                <w:sz w:val="20"/>
                <w:szCs w:val="20"/>
              </w:rPr>
              <w:t xml:space="preserve"> wiesen die Klage wegen Unzuständigkeit ab. Denn die Zuständigkeit regel</w:t>
            </w:r>
            <w:r>
              <w:rPr>
                <w:sz w:val="20"/>
                <w:szCs w:val="20"/>
              </w:rPr>
              <w:t>e</w:t>
            </w:r>
            <w:r w:rsidRPr="00E50B51">
              <w:rPr>
                <w:sz w:val="20"/>
                <w:szCs w:val="20"/>
              </w:rPr>
              <w:t xml:space="preserve"> der </w:t>
            </w:r>
            <w:proofErr w:type="spellStart"/>
            <w:r w:rsidRPr="00B45592">
              <w:rPr>
                <w:i/>
                <w:sz w:val="20"/>
                <w:szCs w:val="20"/>
              </w:rPr>
              <w:t>Judiciary</w:t>
            </w:r>
            <w:proofErr w:type="spellEnd"/>
            <w:r w:rsidRPr="00B45592">
              <w:rPr>
                <w:i/>
                <w:sz w:val="20"/>
                <w:szCs w:val="20"/>
              </w:rPr>
              <w:t xml:space="preserve"> Act</w:t>
            </w:r>
            <w:r w:rsidRPr="00E50B51">
              <w:rPr>
                <w:sz w:val="20"/>
                <w:szCs w:val="20"/>
              </w:rPr>
              <w:t xml:space="preserve"> von 1789</w:t>
            </w:r>
            <w:r w:rsidRPr="00E50B51">
              <w:rPr>
                <w:rStyle w:val="Funotenzeichen"/>
                <w:sz w:val="20"/>
                <w:szCs w:val="20"/>
              </w:rPr>
              <w:footnoteReference w:id="32"/>
            </w:r>
            <w:r w:rsidRPr="00E50B51">
              <w:rPr>
                <w:sz w:val="20"/>
                <w:szCs w:val="20"/>
              </w:rPr>
              <w:t>. Er setze voraus, dass das Gesetz für die Verfügung von 1</w:t>
            </w:r>
            <w:r>
              <w:rPr>
                <w:sz w:val="20"/>
                <w:szCs w:val="20"/>
              </w:rPr>
              <w:t>8</w:t>
            </w:r>
            <w:r w:rsidRPr="00E50B51">
              <w:rPr>
                <w:sz w:val="20"/>
                <w:szCs w:val="20"/>
              </w:rPr>
              <w:t xml:space="preserve">33 von einem Bundesstaat hätten erlassen werden müssen. Aber da damals die Territorialregierung von Michigan handelte, die kein Bundesstaat war, </w:t>
            </w:r>
            <w:r>
              <w:rPr>
                <w:sz w:val="20"/>
                <w:szCs w:val="20"/>
              </w:rPr>
              <w:t>könne</w:t>
            </w:r>
            <w:r w:rsidRPr="00E50B51">
              <w:rPr>
                <w:sz w:val="20"/>
                <w:szCs w:val="20"/>
              </w:rPr>
              <w:t xml:space="preserve"> der </w:t>
            </w:r>
            <w:r>
              <w:rPr>
                <w:sz w:val="20"/>
                <w:szCs w:val="20"/>
              </w:rPr>
              <w:t>U.S. Supreme Court</w:t>
            </w:r>
            <w:r w:rsidRPr="00E50B51">
              <w:rPr>
                <w:sz w:val="20"/>
                <w:szCs w:val="20"/>
              </w:rPr>
              <w:t xml:space="preserve"> nicht in der Sache entscheiden.</w:t>
            </w:r>
            <w:r w:rsidRPr="00E50B51">
              <w:rPr>
                <w:rStyle w:val="Funotenzeichen"/>
                <w:sz w:val="20"/>
                <w:szCs w:val="20"/>
              </w:rPr>
              <w:footnoteReference w:id="33"/>
            </w:r>
            <w:r w:rsidRPr="00E50B51">
              <w:rPr>
                <w:sz w:val="20"/>
                <w:szCs w:val="20"/>
              </w:rPr>
              <w:t xml:space="preserve"> Damit galt das Urteil der Eingangsinstanz. </w:t>
            </w:r>
          </w:p>
          <w:p w14:paraId="33A4A445" w14:textId="77777777" w:rsidR="00074551" w:rsidRPr="00E50B51" w:rsidRDefault="00074551" w:rsidP="00367133">
            <w:pPr>
              <w:jc w:val="both"/>
              <w:rPr>
                <w:sz w:val="20"/>
                <w:szCs w:val="20"/>
              </w:rPr>
            </w:pPr>
          </w:p>
        </w:tc>
        <w:tc>
          <w:tcPr>
            <w:tcW w:w="1822" w:type="pct"/>
          </w:tcPr>
          <w:p w14:paraId="4E3EC222" w14:textId="77777777" w:rsidR="00074551" w:rsidRPr="00B45592" w:rsidRDefault="00074551" w:rsidP="00367133">
            <w:pPr>
              <w:jc w:val="both"/>
              <w:rPr>
                <w:i/>
                <w:sz w:val="20"/>
                <w:szCs w:val="20"/>
              </w:rPr>
            </w:pPr>
            <w:r w:rsidRPr="009A161C">
              <w:rPr>
                <w:i/>
                <w:iCs/>
                <w:sz w:val="20"/>
                <w:szCs w:val="20"/>
              </w:rPr>
              <w:t xml:space="preserve">LexisNexis-Klassifikation: </w:t>
            </w:r>
            <w:r w:rsidRPr="00B45592">
              <w:rPr>
                <w:i/>
                <w:sz w:val="20"/>
                <w:szCs w:val="20"/>
              </w:rPr>
              <w:t xml:space="preserve">Constitutional Law › The </w:t>
            </w:r>
            <w:proofErr w:type="spellStart"/>
            <w:r w:rsidRPr="00B45592">
              <w:rPr>
                <w:i/>
                <w:sz w:val="20"/>
                <w:szCs w:val="20"/>
              </w:rPr>
              <w:t>Judiciary</w:t>
            </w:r>
            <w:proofErr w:type="spellEnd"/>
            <w:r w:rsidRPr="00B45592">
              <w:rPr>
                <w:i/>
                <w:sz w:val="20"/>
                <w:szCs w:val="20"/>
              </w:rPr>
              <w:t xml:space="preserve"> › </w:t>
            </w:r>
            <w:proofErr w:type="spellStart"/>
            <w:r w:rsidRPr="00B45592">
              <w:rPr>
                <w:i/>
                <w:sz w:val="20"/>
                <w:szCs w:val="20"/>
              </w:rPr>
              <w:t>Congressional</w:t>
            </w:r>
            <w:proofErr w:type="spellEnd"/>
            <w:r w:rsidRPr="00B45592">
              <w:rPr>
                <w:i/>
                <w:sz w:val="20"/>
                <w:szCs w:val="20"/>
              </w:rPr>
              <w:t xml:space="preserve"> Limits</w:t>
            </w:r>
          </w:p>
          <w:p w14:paraId="58AA6EBD" w14:textId="77777777" w:rsidR="00074551" w:rsidRPr="00B45592" w:rsidRDefault="00074551" w:rsidP="00367133">
            <w:pPr>
              <w:jc w:val="both"/>
              <w:rPr>
                <w:sz w:val="20"/>
                <w:szCs w:val="20"/>
              </w:rPr>
            </w:pPr>
          </w:p>
          <w:p w14:paraId="1D672114" w14:textId="77777777" w:rsidR="00074551" w:rsidRPr="00E50B51" w:rsidRDefault="00074551" w:rsidP="00367133">
            <w:pPr>
              <w:jc w:val="both"/>
              <w:rPr>
                <w:sz w:val="20"/>
                <w:szCs w:val="20"/>
              </w:rPr>
            </w:pPr>
            <w:r>
              <w:rPr>
                <w:sz w:val="20"/>
                <w:szCs w:val="20"/>
              </w:rPr>
              <w:t>Der</w:t>
            </w:r>
            <w:r w:rsidRPr="00E50B51">
              <w:rPr>
                <w:sz w:val="20"/>
                <w:szCs w:val="20"/>
              </w:rPr>
              <w:t xml:space="preserve"> </w:t>
            </w:r>
            <w:proofErr w:type="spellStart"/>
            <w:r w:rsidRPr="00B45592">
              <w:rPr>
                <w:i/>
                <w:sz w:val="20"/>
                <w:szCs w:val="20"/>
              </w:rPr>
              <w:t>Judiciary</w:t>
            </w:r>
            <w:proofErr w:type="spellEnd"/>
            <w:r w:rsidRPr="00B45592">
              <w:rPr>
                <w:i/>
                <w:sz w:val="20"/>
                <w:szCs w:val="20"/>
              </w:rPr>
              <w:t xml:space="preserve"> Act</w:t>
            </w:r>
            <w:r w:rsidRPr="00E50B51">
              <w:rPr>
                <w:sz w:val="20"/>
                <w:szCs w:val="20"/>
              </w:rPr>
              <w:t xml:space="preserve"> von 1789 erlaubt dem </w:t>
            </w:r>
            <w:r>
              <w:rPr>
                <w:sz w:val="20"/>
                <w:szCs w:val="20"/>
              </w:rPr>
              <w:t>U.S. Supreme Court</w:t>
            </w:r>
            <w:r w:rsidRPr="00E50B51">
              <w:rPr>
                <w:sz w:val="20"/>
                <w:szCs w:val="20"/>
              </w:rPr>
              <w:t xml:space="preserve"> einzugreifen, wenn bundesstaatliche Gerichte Entscheidungen zu Bundesgesetzen treffen. Das beruht auf dem Prinzip des Selbstschutzes. Grundsätzlich aber </w:t>
            </w:r>
            <w:r>
              <w:rPr>
                <w:sz w:val="20"/>
                <w:szCs w:val="20"/>
              </w:rPr>
              <w:t>verbleibt die Zuständigkeit bei bundesstaatlichen Gerichten</w:t>
            </w:r>
            <w:r w:rsidRPr="00E50B51">
              <w:rPr>
                <w:sz w:val="20"/>
                <w:szCs w:val="20"/>
              </w:rPr>
              <w:t xml:space="preserve">. Denn die oberste Regel sei auch für den </w:t>
            </w:r>
            <w:r>
              <w:rPr>
                <w:sz w:val="20"/>
                <w:szCs w:val="20"/>
              </w:rPr>
              <w:t>U.S. Supreme Court</w:t>
            </w:r>
            <w:r w:rsidRPr="00E50B51">
              <w:rPr>
                <w:sz w:val="20"/>
                <w:szCs w:val="20"/>
              </w:rPr>
              <w:t xml:space="preserve">, sich </w:t>
            </w:r>
            <w:r>
              <w:rPr>
                <w:sz w:val="20"/>
                <w:szCs w:val="20"/>
              </w:rPr>
              <w:t>aus bundesstaatlichen Zuständigkeiten zurückzuhalten</w:t>
            </w:r>
            <w:r w:rsidRPr="00E50B51">
              <w:rPr>
                <w:sz w:val="20"/>
                <w:szCs w:val="20"/>
              </w:rPr>
              <w:t xml:space="preserve">. Es sei denn, </w:t>
            </w:r>
            <w:r>
              <w:rPr>
                <w:sz w:val="20"/>
                <w:szCs w:val="20"/>
              </w:rPr>
              <w:t>eine gerichtliche Entscheidung</w:t>
            </w:r>
            <w:r w:rsidRPr="00E50B51">
              <w:rPr>
                <w:sz w:val="20"/>
                <w:szCs w:val="20"/>
              </w:rPr>
              <w:t xml:space="preserve"> </w:t>
            </w:r>
            <w:r>
              <w:rPr>
                <w:sz w:val="20"/>
                <w:szCs w:val="20"/>
              </w:rPr>
              <w:t xml:space="preserve">falle eben </w:t>
            </w:r>
            <w:r w:rsidRPr="00E50B51">
              <w:rPr>
                <w:sz w:val="20"/>
                <w:szCs w:val="20"/>
              </w:rPr>
              <w:t xml:space="preserve">unter </w:t>
            </w:r>
            <w:r>
              <w:rPr>
                <w:sz w:val="20"/>
                <w:szCs w:val="20"/>
              </w:rPr>
              <w:t xml:space="preserve">die </w:t>
            </w:r>
            <w:r w:rsidRPr="00E50B51">
              <w:rPr>
                <w:sz w:val="20"/>
                <w:szCs w:val="20"/>
              </w:rPr>
              <w:t xml:space="preserve">Bundesgesetzgebung. Und wenn der </w:t>
            </w:r>
            <w:r>
              <w:rPr>
                <w:sz w:val="20"/>
                <w:szCs w:val="20"/>
              </w:rPr>
              <w:t>U.S. Supreme Court</w:t>
            </w:r>
            <w:r w:rsidRPr="00E50B51">
              <w:rPr>
                <w:sz w:val="20"/>
                <w:szCs w:val="20"/>
              </w:rPr>
              <w:t xml:space="preserve"> eingreife, dann dürfe er das Urteil des bundesstaatlichen Gerichts nicht aufheben</w:t>
            </w:r>
            <w:r>
              <w:rPr>
                <w:sz w:val="20"/>
                <w:szCs w:val="20"/>
              </w:rPr>
              <w:t>,</w:t>
            </w:r>
            <w:r w:rsidRPr="00E50B51">
              <w:rPr>
                <w:sz w:val="20"/>
                <w:szCs w:val="20"/>
              </w:rPr>
              <w:t xml:space="preserve"> </w:t>
            </w:r>
            <w:r>
              <w:rPr>
                <w:sz w:val="20"/>
                <w:szCs w:val="20"/>
              </w:rPr>
              <w:t>sofern es nicht</w:t>
            </w:r>
            <w:r w:rsidRPr="00E50B51">
              <w:rPr>
                <w:sz w:val="20"/>
                <w:szCs w:val="20"/>
              </w:rPr>
              <w:t xml:space="preserve"> eindeutig fehlerhaft</w:t>
            </w:r>
            <w:r>
              <w:rPr>
                <w:sz w:val="20"/>
                <w:szCs w:val="20"/>
              </w:rPr>
              <w:t xml:space="preserve"> sei</w:t>
            </w:r>
            <w:r w:rsidRPr="00E50B51">
              <w:rPr>
                <w:sz w:val="20"/>
                <w:szCs w:val="20"/>
              </w:rPr>
              <w:t>.</w:t>
            </w:r>
            <w:r>
              <w:rPr>
                <w:sz w:val="20"/>
                <w:szCs w:val="20"/>
              </w:rPr>
              <w:t xml:space="preserve"> Er müsse grundsätzlich zurückverweisen.</w:t>
            </w:r>
            <w:r w:rsidRPr="00E50B51">
              <w:rPr>
                <w:rStyle w:val="Funotenzeichen"/>
                <w:sz w:val="20"/>
                <w:szCs w:val="20"/>
              </w:rPr>
              <w:footnoteReference w:id="34"/>
            </w:r>
          </w:p>
          <w:p w14:paraId="186CBCA2" w14:textId="77777777" w:rsidR="00074551" w:rsidRPr="00E50B51" w:rsidRDefault="00074551" w:rsidP="00367133">
            <w:pPr>
              <w:jc w:val="both"/>
              <w:rPr>
                <w:sz w:val="20"/>
                <w:szCs w:val="20"/>
              </w:rPr>
            </w:pPr>
          </w:p>
          <w:p w14:paraId="1E8D4774" w14:textId="77777777" w:rsidR="00074551" w:rsidRPr="00E50B51" w:rsidRDefault="00074551" w:rsidP="00367133">
            <w:pPr>
              <w:jc w:val="both"/>
              <w:rPr>
                <w:sz w:val="20"/>
                <w:szCs w:val="20"/>
                <w:lang w:val="en-US"/>
              </w:rPr>
            </w:pPr>
            <w:r>
              <w:rPr>
                <w:sz w:val="20"/>
                <w:szCs w:val="20"/>
              </w:rPr>
              <w:t>Im Fall</w:t>
            </w:r>
            <w:r w:rsidRPr="00E50B51">
              <w:rPr>
                <w:sz w:val="20"/>
                <w:szCs w:val="20"/>
              </w:rPr>
              <w:t xml:space="preserve"> gab </w:t>
            </w:r>
            <w:r>
              <w:rPr>
                <w:sz w:val="20"/>
                <w:szCs w:val="20"/>
              </w:rPr>
              <w:t xml:space="preserve">es </w:t>
            </w:r>
            <w:r w:rsidRPr="00E50B51">
              <w:rPr>
                <w:sz w:val="20"/>
                <w:szCs w:val="20"/>
              </w:rPr>
              <w:t xml:space="preserve">einen Einspruch gegen ein Gesetz. Der </w:t>
            </w:r>
            <w:r>
              <w:rPr>
                <w:sz w:val="20"/>
                <w:szCs w:val="20"/>
              </w:rPr>
              <w:t xml:space="preserve">Einspruch </w:t>
            </w:r>
            <w:r w:rsidRPr="00E50B51">
              <w:rPr>
                <w:sz w:val="20"/>
                <w:szCs w:val="20"/>
              </w:rPr>
              <w:t>stützt</w:t>
            </w:r>
            <w:r>
              <w:rPr>
                <w:sz w:val="20"/>
                <w:szCs w:val="20"/>
              </w:rPr>
              <w:t>e</w:t>
            </w:r>
            <w:r w:rsidRPr="00E50B51">
              <w:rPr>
                <w:sz w:val="20"/>
                <w:szCs w:val="20"/>
              </w:rPr>
              <w:t xml:space="preserve"> sich darauf, dass der Gesetzgeber </w:t>
            </w:r>
            <w:r>
              <w:rPr>
                <w:sz w:val="20"/>
                <w:szCs w:val="20"/>
              </w:rPr>
              <w:t>nicht</w:t>
            </w:r>
            <w:r w:rsidRPr="00E50B51">
              <w:rPr>
                <w:sz w:val="20"/>
                <w:szCs w:val="20"/>
              </w:rPr>
              <w:t xml:space="preserve"> hinreichend verfasst </w:t>
            </w:r>
            <w:r>
              <w:rPr>
                <w:sz w:val="20"/>
                <w:szCs w:val="20"/>
              </w:rPr>
              <w:t xml:space="preserve">und damit unzuständig </w:t>
            </w:r>
            <w:r w:rsidRPr="00E50B51">
              <w:rPr>
                <w:sz w:val="20"/>
                <w:szCs w:val="20"/>
              </w:rPr>
              <w:t xml:space="preserve">war </w:t>
            </w:r>
            <w:r>
              <w:rPr>
                <w:sz w:val="20"/>
                <w:szCs w:val="20"/>
              </w:rPr>
              <w:t>gemäß den</w:t>
            </w:r>
            <w:r w:rsidRPr="00E50B51">
              <w:rPr>
                <w:sz w:val="20"/>
                <w:szCs w:val="20"/>
              </w:rPr>
              <w:t xml:space="preserve"> Bundesgesetzen und der U.S. </w:t>
            </w:r>
            <w:proofErr w:type="spellStart"/>
            <w:r w:rsidRPr="00E50B51">
              <w:rPr>
                <w:sz w:val="20"/>
                <w:szCs w:val="20"/>
              </w:rPr>
              <w:t>Const</w:t>
            </w:r>
            <w:proofErr w:type="spellEnd"/>
            <w:r w:rsidRPr="00E50B51">
              <w:rPr>
                <w:sz w:val="20"/>
                <w:szCs w:val="20"/>
              </w:rPr>
              <w:t xml:space="preserve">. </w:t>
            </w:r>
            <w:r>
              <w:rPr>
                <w:sz w:val="20"/>
                <w:szCs w:val="20"/>
              </w:rPr>
              <w:t>Der Einspruch</w:t>
            </w:r>
            <w:r w:rsidRPr="00E50B51">
              <w:rPr>
                <w:sz w:val="20"/>
                <w:szCs w:val="20"/>
              </w:rPr>
              <w:t xml:space="preserve"> fällt damit nicht unter den Wortlaut von </w:t>
            </w:r>
            <w:r>
              <w:rPr>
                <w:sz w:val="20"/>
                <w:szCs w:val="20"/>
              </w:rPr>
              <w:t>§ 25 des</w:t>
            </w:r>
            <w:r w:rsidRPr="00E50B51">
              <w:rPr>
                <w:sz w:val="20"/>
                <w:szCs w:val="20"/>
              </w:rPr>
              <w:t xml:space="preserve"> </w:t>
            </w:r>
            <w:proofErr w:type="spellStart"/>
            <w:r w:rsidRPr="00B45592">
              <w:rPr>
                <w:i/>
                <w:sz w:val="20"/>
                <w:szCs w:val="20"/>
              </w:rPr>
              <w:t>Judiciary</w:t>
            </w:r>
            <w:proofErr w:type="spellEnd"/>
            <w:r w:rsidRPr="00B45592">
              <w:rPr>
                <w:i/>
                <w:sz w:val="20"/>
                <w:szCs w:val="20"/>
              </w:rPr>
              <w:t xml:space="preserve"> Act</w:t>
            </w:r>
            <w:r w:rsidRPr="00E50B51">
              <w:rPr>
                <w:sz w:val="20"/>
                <w:szCs w:val="20"/>
              </w:rPr>
              <w:t xml:space="preserve"> und den darin aufgezählten Fällen. Daher sei der </w:t>
            </w:r>
            <w:r>
              <w:rPr>
                <w:sz w:val="20"/>
                <w:szCs w:val="20"/>
              </w:rPr>
              <w:t>U.S. Supreme Court</w:t>
            </w:r>
            <w:r w:rsidRPr="00E50B51">
              <w:rPr>
                <w:sz w:val="20"/>
                <w:szCs w:val="20"/>
              </w:rPr>
              <w:t xml:space="preserve"> </w:t>
            </w:r>
            <w:r>
              <w:rPr>
                <w:sz w:val="20"/>
                <w:szCs w:val="20"/>
              </w:rPr>
              <w:t>un</w:t>
            </w:r>
            <w:r w:rsidRPr="00E50B51">
              <w:rPr>
                <w:sz w:val="20"/>
                <w:szCs w:val="20"/>
              </w:rPr>
              <w:t>zuständig.</w:t>
            </w:r>
            <w:r w:rsidRPr="00E50B51">
              <w:rPr>
                <w:rStyle w:val="Funotenzeichen"/>
                <w:sz w:val="20"/>
                <w:szCs w:val="20"/>
              </w:rPr>
              <w:footnoteReference w:id="35"/>
            </w:r>
            <w:r w:rsidRPr="00E50B51">
              <w:rPr>
                <w:sz w:val="20"/>
                <w:szCs w:val="20"/>
              </w:rPr>
              <w:t xml:space="preserve"> Der Syllabus erklärt dennoch, dass nichts die Stabilität, das Glück und den Wohlstand eines Landes konkreter beeinflusse als das Sachen- und </w:t>
            </w:r>
            <w:proofErr w:type="spellStart"/>
            <w:r w:rsidRPr="00E50B51">
              <w:rPr>
                <w:sz w:val="20"/>
                <w:szCs w:val="20"/>
              </w:rPr>
              <w:t>Immobil</w:t>
            </w:r>
            <w:r>
              <w:rPr>
                <w:sz w:val="20"/>
                <w:szCs w:val="20"/>
              </w:rPr>
              <w:t>i</w:t>
            </w:r>
            <w:r w:rsidRPr="00E50B51">
              <w:rPr>
                <w:sz w:val="20"/>
                <w:szCs w:val="20"/>
              </w:rPr>
              <w:t>arrecht</w:t>
            </w:r>
            <w:proofErr w:type="spellEnd"/>
            <w:r w:rsidRPr="00E50B51">
              <w:rPr>
                <w:sz w:val="20"/>
                <w:szCs w:val="20"/>
              </w:rPr>
              <w:t xml:space="preserve">. </w:t>
            </w:r>
            <w:r>
              <w:rPr>
                <w:sz w:val="20"/>
                <w:szCs w:val="20"/>
              </w:rPr>
              <w:t>Es</w:t>
            </w:r>
            <w:r w:rsidRPr="00E50B51">
              <w:rPr>
                <w:sz w:val="20"/>
                <w:szCs w:val="20"/>
              </w:rPr>
              <w:t xml:space="preserve"> müsse daher sicher, einfach und beständig sein. </w:t>
            </w:r>
            <w:r>
              <w:rPr>
                <w:sz w:val="20"/>
                <w:szCs w:val="20"/>
              </w:rPr>
              <w:t>Dazu gehöre</w:t>
            </w:r>
            <w:r w:rsidRPr="00E50B51">
              <w:rPr>
                <w:sz w:val="20"/>
                <w:szCs w:val="20"/>
              </w:rPr>
              <w:t xml:space="preserve"> auch ein hinreichend bestimmtes und einfaches Titelsystem. Dieses </w:t>
            </w:r>
            <w:r>
              <w:rPr>
                <w:sz w:val="20"/>
                <w:szCs w:val="20"/>
              </w:rPr>
              <w:t>s</w:t>
            </w:r>
            <w:r w:rsidRPr="00E50B51">
              <w:rPr>
                <w:sz w:val="20"/>
                <w:szCs w:val="20"/>
              </w:rPr>
              <w:t>olle nicht nur zur wirtschaftlichen Stabilität beitrage</w:t>
            </w:r>
            <w:r>
              <w:rPr>
                <w:sz w:val="20"/>
                <w:szCs w:val="20"/>
              </w:rPr>
              <w:t>n</w:t>
            </w:r>
            <w:r w:rsidRPr="00E50B51">
              <w:rPr>
                <w:sz w:val="20"/>
                <w:szCs w:val="20"/>
              </w:rPr>
              <w:t xml:space="preserve">, sondern </w:t>
            </w:r>
            <w:r>
              <w:rPr>
                <w:sz w:val="20"/>
                <w:szCs w:val="20"/>
              </w:rPr>
              <w:t xml:space="preserve">sei </w:t>
            </w:r>
            <w:r w:rsidRPr="00E50B51">
              <w:rPr>
                <w:sz w:val="20"/>
                <w:szCs w:val="20"/>
              </w:rPr>
              <w:t>auch zentral für das Glück der Bevölkerung („</w:t>
            </w:r>
            <w:proofErr w:type="spellStart"/>
            <w:r w:rsidRPr="00E50B51">
              <w:rPr>
                <w:sz w:val="20"/>
                <w:szCs w:val="20"/>
              </w:rPr>
              <w:t>system</w:t>
            </w:r>
            <w:proofErr w:type="spellEnd"/>
            <w:r w:rsidRPr="00E50B51">
              <w:rPr>
                <w:sz w:val="20"/>
                <w:szCs w:val="20"/>
              </w:rPr>
              <w:t xml:space="preserve"> of </w:t>
            </w:r>
            <w:proofErr w:type="spellStart"/>
            <w:r w:rsidRPr="00E50B51">
              <w:rPr>
                <w:sz w:val="20"/>
                <w:szCs w:val="20"/>
              </w:rPr>
              <w:t>land</w:t>
            </w:r>
            <w:proofErr w:type="spellEnd"/>
            <w:r w:rsidRPr="00E50B51">
              <w:rPr>
                <w:sz w:val="20"/>
                <w:szCs w:val="20"/>
              </w:rPr>
              <w:t xml:space="preserve"> </w:t>
            </w:r>
            <w:proofErr w:type="spellStart"/>
            <w:r w:rsidRPr="00E50B51">
              <w:rPr>
                <w:sz w:val="20"/>
                <w:szCs w:val="20"/>
              </w:rPr>
              <w:t>laws</w:t>
            </w:r>
            <w:proofErr w:type="spellEnd"/>
            <w:r w:rsidRPr="00E50B51">
              <w:rPr>
                <w:sz w:val="20"/>
                <w:szCs w:val="20"/>
              </w:rPr>
              <w:t xml:space="preserve">. </w:t>
            </w:r>
            <w:r w:rsidRPr="00E50B51">
              <w:rPr>
                <w:sz w:val="20"/>
                <w:szCs w:val="20"/>
                <w:lang w:val="en-US"/>
              </w:rPr>
              <w:t xml:space="preserve">Nothing, perhaps, more nearly affects the peace, happiness, and prosperity of any </w:t>
            </w:r>
            <w:proofErr w:type="gramStart"/>
            <w:r w:rsidRPr="00E50B51">
              <w:rPr>
                <w:sz w:val="20"/>
                <w:szCs w:val="20"/>
                <w:lang w:val="en-US"/>
              </w:rPr>
              <w:t>country“</w:t>
            </w:r>
            <w:proofErr w:type="gramEnd"/>
            <w:r w:rsidRPr="00E50B51">
              <w:rPr>
                <w:rStyle w:val="Funotenzeichen"/>
                <w:sz w:val="20"/>
                <w:szCs w:val="20"/>
                <w:lang w:val="en-US"/>
              </w:rPr>
              <w:footnoteReference w:id="36"/>
            </w:r>
            <w:r w:rsidRPr="00E50B51">
              <w:rPr>
                <w:sz w:val="20"/>
                <w:szCs w:val="20"/>
                <w:lang w:val="en-US"/>
              </w:rPr>
              <w:t>)</w:t>
            </w:r>
            <w:r>
              <w:rPr>
                <w:sz w:val="20"/>
                <w:szCs w:val="20"/>
                <w:lang w:val="en-US"/>
              </w:rPr>
              <w:t>.</w:t>
            </w:r>
          </w:p>
          <w:p w14:paraId="2CFAF440" w14:textId="77777777" w:rsidR="00074551" w:rsidRPr="00E50B51" w:rsidRDefault="00074551" w:rsidP="00367133">
            <w:pPr>
              <w:jc w:val="both"/>
              <w:rPr>
                <w:sz w:val="20"/>
                <w:szCs w:val="20"/>
                <w:lang w:val="en-US"/>
              </w:rPr>
            </w:pPr>
          </w:p>
        </w:tc>
      </w:tr>
      <w:tr w:rsidR="00074551" w:rsidRPr="00E50B51" w14:paraId="1CFDDD50" w14:textId="77777777" w:rsidTr="00BE689F">
        <w:trPr>
          <w:cantSplit/>
          <w:trHeight w:val="3175"/>
        </w:trPr>
        <w:tc>
          <w:tcPr>
            <w:tcW w:w="293" w:type="pct"/>
            <w:shd w:val="clear" w:color="auto" w:fill="E7E6E6" w:themeFill="background2"/>
          </w:tcPr>
          <w:p w14:paraId="6695EE48" w14:textId="77777777" w:rsidR="00074551" w:rsidRPr="00E50B51" w:rsidRDefault="00074551" w:rsidP="00367133">
            <w:pPr>
              <w:jc w:val="center"/>
              <w:rPr>
                <w:sz w:val="20"/>
                <w:szCs w:val="20"/>
              </w:rPr>
            </w:pPr>
            <w:r w:rsidRPr="00E50B51">
              <w:rPr>
                <w:sz w:val="20"/>
                <w:szCs w:val="20"/>
                <w:lang w:val="en-US"/>
              </w:rPr>
              <w:lastRenderedPageBreak/>
              <w:t>H</w:t>
            </w:r>
          </w:p>
        </w:tc>
        <w:tc>
          <w:tcPr>
            <w:tcW w:w="387" w:type="pct"/>
            <w:shd w:val="clear" w:color="auto" w:fill="E7E6E6" w:themeFill="background2"/>
            <w:textDirection w:val="tbRl"/>
            <w:vAlign w:val="center"/>
          </w:tcPr>
          <w:p w14:paraId="20E323D0" w14:textId="77777777" w:rsidR="00074551" w:rsidRPr="00E50B51" w:rsidRDefault="00074551" w:rsidP="00367133">
            <w:pPr>
              <w:ind w:left="113" w:right="113"/>
              <w:jc w:val="both"/>
              <w:rPr>
                <w:sz w:val="20"/>
                <w:szCs w:val="20"/>
                <w:lang w:val="en-US"/>
              </w:rPr>
            </w:pPr>
            <w:r w:rsidRPr="00E50B51">
              <w:rPr>
                <w:sz w:val="20"/>
                <w:szCs w:val="20"/>
              </w:rPr>
              <w:t>Wirtschaftliche Seite</w:t>
            </w:r>
          </w:p>
        </w:tc>
        <w:tc>
          <w:tcPr>
            <w:tcW w:w="197" w:type="pct"/>
            <w:shd w:val="clear" w:color="auto" w:fill="E7E6E6" w:themeFill="background2"/>
            <w:textDirection w:val="tbRl"/>
            <w:vAlign w:val="center"/>
          </w:tcPr>
          <w:p w14:paraId="44E1AC5E" w14:textId="77777777" w:rsidR="00074551" w:rsidRPr="00E50B51" w:rsidRDefault="00074551" w:rsidP="00367133">
            <w:pPr>
              <w:ind w:left="113" w:right="113"/>
              <w:jc w:val="both"/>
              <w:rPr>
                <w:sz w:val="20"/>
                <w:szCs w:val="20"/>
                <w:lang w:val="en-US"/>
              </w:rPr>
            </w:pPr>
            <w:r w:rsidRPr="00E50B51">
              <w:rPr>
                <w:sz w:val="20"/>
                <w:szCs w:val="20"/>
              </w:rPr>
              <w:t>Property</w:t>
            </w:r>
          </w:p>
        </w:tc>
        <w:tc>
          <w:tcPr>
            <w:tcW w:w="306" w:type="pct"/>
            <w:shd w:val="clear" w:color="auto" w:fill="E7E6E6" w:themeFill="background2"/>
            <w:textDirection w:val="tbRl"/>
            <w:vAlign w:val="center"/>
          </w:tcPr>
          <w:p w14:paraId="209E68C5" w14:textId="77777777" w:rsidR="00074551" w:rsidRPr="00E50B51" w:rsidRDefault="00074551" w:rsidP="00367133">
            <w:pPr>
              <w:ind w:left="113" w:right="113"/>
              <w:jc w:val="both"/>
              <w:rPr>
                <w:sz w:val="20"/>
                <w:szCs w:val="20"/>
                <w:lang w:val="en-US"/>
              </w:rPr>
            </w:pPr>
            <w:r w:rsidRPr="00E50B51">
              <w:rPr>
                <w:sz w:val="20"/>
                <w:szCs w:val="20"/>
                <w:lang w:val="en-US"/>
              </w:rPr>
              <w:t>Real Property Law</w:t>
            </w:r>
          </w:p>
          <w:p w14:paraId="78260024" w14:textId="77777777" w:rsidR="00074551" w:rsidRPr="00E50B51" w:rsidRDefault="00074551" w:rsidP="00367133">
            <w:pPr>
              <w:ind w:left="113" w:right="113"/>
              <w:jc w:val="both"/>
              <w:rPr>
                <w:sz w:val="20"/>
                <w:szCs w:val="20"/>
              </w:rPr>
            </w:pPr>
          </w:p>
        </w:tc>
        <w:tc>
          <w:tcPr>
            <w:tcW w:w="401" w:type="pct"/>
            <w:shd w:val="clear" w:color="auto" w:fill="E7E6E6" w:themeFill="background2"/>
            <w:textDirection w:val="tbRl"/>
          </w:tcPr>
          <w:p w14:paraId="64E05638" w14:textId="77777777" w:rsidR="00074551" w:rsidRDefault="00074551" w:rsidP="00367133">
            <w:pPr>
              <w:ind w:left="113" w:right="113"/>
              <w:rPr>
                <w:sz w:val="20"/>
                <w:szCs w:val="20"/>
                <w:lang w:val="en-US"/>
              </w:rPr>
            </w:pPr>
          </w:p>
          <w:p w14:paraId="0D5886D3" w14:textId="77777777" w:rsidR="00074551" w:rsidRPr="00E50B51" w:rsidRDefault="00074551" w:rsidP="00367133">
            <w:pPr>
              <w:ind w:left="113" w:right="113"/>
              <w:rPr>
                <w:sz w:val="20"/>
                <w:szCs w:val="20"/>
              </w:rPr>
            </w:pPr>
            <w:r w:rsidRPr="00E50B51">
              <w:rPr>
                <w:sz w:val="20"/>
                <w:szCs w:val="20"/>
                <w:lang w:val="en-US"/>
              </w:rPr>
              <w:t>Validity Requirements</w:t>
            </w:r>
          </w:p>
        </w:tc>
        <w:tc>
          <w:tcPr>
            <w:tcW w:w="1594" w:type="pct"/>
            <w:shd w:val="clear" w:color="auto" w:fill="E7E6E6" w:themeFill="background2"/>
            <w:textDirection w:val="tbRl"/>
            <w:vAlign w:val="center"/>
          </w:tcPr>
          <w:p w14:paraId="18391662" w14:textId="77777777" w:rsidR="00074551" w:rsidRPr="00E50B51" w:rsidRDefault="00074551" w:rsidP="00367133">
            <w:pPr>
              <w:ind w:left="113" w:right="113"/>
              <w:jc w:val="both"/>
              <w:rPr>
                <w:sz w:val="20"/>
                <w:szCs w:val="20"/>
              </w:rPr>
            </w:pPr>
            <w:r w:rsidRPr="00E50B51">
              <w:rPr>
                <w:sz w:val="20"/>
                <w:szCs w:val="20"/>
                <w:lang w:val="en-US"/>
              </w:rPr>
              <w:t>Enforceability</w:t>
            </w:r>
          </w:p>
        </w:tc>
        <w:tc>
          <w:tcPr>
            <w:tcW w:w="1822" w:type="pct"/>
            <w:shd w:val="clear" w:color="auto" w:fill="E7E6E6" w:themeFill="background2"/>
          </w:tcPr>
          <w:p w14:paraId="611C7D40" w14:textId="195B1D1B" w:rsidR="00074551" w:rsidRPr="00E50B51" w:rsidRDefault="00A15DB3" w:rsidP="00BE689F">
            <w:pPr>
              <w:rPr>
                <w:sz w:val="20"/>
                <w:szCs w:val="20"/>
              </w:rPr>
            </w:pPr>
            <w:r w:rsidRPr="00A15DB3">
              <w:rPr>
                <w:i/>
                <w:iCs/>
                <w:sz w:val="16"/>
                <w:szCs w:val="20"/>
              </w:rPr>
              <w:t>Thematische Gliederung der nachfolgenden Entscheidungen ↓</w:t>
            </w:r>
          </w:p>
        </w:tc>
      </w:tr>
      <w:tr w:rsidR="00074551" w:rsidRPr="00E50B51" w14:paraId="4139D17B" w14:textId="77777777" w:rsidTr="00BE689F">
        <w:trPr>
          <w:cantSplit/>
          <w:trHeight w:val="3175"/>
        </w:trPr>
        <w:tc>
          <w:tcPr>
            <w:tcW w:w="293" w:type="pct"/>
          </w:tcPr>
          <w:p w14:paraId="52201077" w14:textId="77777777" w:rsidR="00074551" w:rsidRPr="00E50B51" w:rsidRDefault="00074551" w:rsidP="00367133">
            <w:pPr>
              <w:jc w:val="center"/>
              <w:rPr>
                <w:sz w:val="20"/>
                <w:szCs w:val="20"/>
              </w:rPr>
            </w:pPr>
            <w:r w:rsidRPr="00E50B51">
              <w:rPr>
                <w:sz w:val="20"/>
                <w:szCs w:val="20"/>
              </w:rPr>
              <w:lastRenderedPageBreak/>
              <w:t>H</w:t>
            </w:r>
          </w:p>
        </w:tc>
        <w:tc>
          <w:tcPr>
            <w:tcW w:w="387" w:type="pct"/>
            <w:textDirection w:val="tbRl"/>
            <w:vAlign w:val="center"/>
          </w:tcPr>
          <w:p w14:paraId="33248D3B" w14:textId="77777777" w:rsidR="00074551" w:rsidRPr="00E50B51" w:rsidRDefault="00074551" w:rsidP="00367133">
            <w:pPr>
              <w:ind w:left="113" w:right="113"/>
              <w:jc w:val="both"/>
              <w:rPr>
                <w:sz w:val="20"/>
                <w:szCs w:val="20"/>
                <w:lang w:val="en-US"/>
              </w:rPr>
            </w:pPr>
            <w:r w:rsidRPr="008F73D7">
              <w:rPr>
                <w:i/>
                <w:sz w:val="20"/>
                <w:szCs w:val="20"/>
              </w:rPr>
              <w:t>Roberts v. Cooper</w:t>
            </w:r>
          </w:p>
        </w:tc>
        <w:tc>
          <w:tcPr>
            <w:tcW w:w="197" w:type="pct"/>
            <w:textDirection w:val="tbRl"/>
            <w:vAlign w:val="center"/>
          </w:tcPr>
          <w:p w14:paraId="1C4AEEC5" w14:textId="77777777" w:rsidR="00074551" w:rsidRPr="00E50B51" w:rsidRDefault="00074551" w:rsidP="00367133">
            <w:pPr>
              <w:ind w:left="113" w:right="113"/>
              <w:jc w:val="both"/>
              <w:rPr>
                <w:sz w:val="20"/>
                <w:szCs w:val="20"/>
                <w:lang w:val="en-US"/>
              </w:rPr>
            </w:pPr>
            <w:r w:rsidRPr="00E50B51">
              <w:rPr>
                <w:sz w:val="20"/>
                <w:szCs w:val="20"/>
              </w:rPr>
              <w:t>61 U.S. 467</w:t>
            </w:r>
          </w:p>
        </w:tc>
        <w:tc>
          <w:tcPr>
            <w:tcW w:w="306" w:type="pct"/>
            <w:textDirection w:val="tbRl"/>
            <w:vAlign w:val="center"/>
          </w:tcPr>
          <w:p w14:paraId="01B6C959" w14:textId="77777777" w:rsidR="00074551" w:rsidRPr="00E50B51" w:rsidRDefault="00074551" w:rsidP="00367133">
            <w:pPr>
              <w:ind w:left="113" w:right="113"/>
              <w:jc w:val="both"/>
              <w:rPr>
                <w:sz w:val="20"/>
                <w:szCs w:val="20"/>
              </w:rPr>
            </w:pPr>
            <w:r w:rsidRPr="00E50B51">
              <w:rPr>
                <w:sz w:val="20"/>
                <w:szCs w:val="20"/>
              </w:rPr>
              <w:t>10. Mai 1858</w:t>
            </w:r>
          </w:p>
        </w:tc>
        <w:tc>
          <w:tcPr>
            <w:tcW w:w="401" w:type="pct"/>
          </w:tcPr>
          <w:p w14:paraId="5C56FD46" w14:textId="77777777" w:rsidR="00074551" w:rsidRPr="00E50B51" w:rsidRDefault="00074551" w:rsidP="00367133">
            <w:pPr>
              <w:jc w:val="center"/>
              <w:rPr>
                <w:sz w:val="20"/>
                <w:szCs w:val="20"/>
              </w:rPr>
            </w:pPr>
            <w:r w:rsidRPr="00E50B51">
              <w:rPr>
                <w:sz w:val="20"/>
                <w:szCs w:val="20"/>
                <w:lang w:val="en-US"/>
              </w:rPr>
              <w:t>C</w:t>
            </w:r>
          </w:p>
        </w:tc>
        <w:tc>
          <w:tcPr>
            <w:tcW w:w="1594" w:type="pct"/>
          </w:tcPr>
          <w:p w14:paraId="103F4B24"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urteilte, Argumente des Rechtsnachfolgers des Pächters, die schon im ersten Berufungsverfahren präsentiert wurden, </w:t>
            </w:r>
            <w:r>
              <w:rPr>
                <w:sz w:val="20"/>
                <w:szCs w:val="20"/>
              </w:rPr>
              <w:t>dürften</w:t>
            </w:r>
            <w:r w:rsidRPr="00E50B51">
              <w:rPr>
                <w:sz w:val="20"/>
                <w:szCs w:val="20"/>
              </w:rPr>
              <w:t xml:space="preserve"> im zweiten Berufungsverfahren nicht wiederhol</w:t>
            </w:r>
            <w:r>
              <w:rPr>
                <w:sz w:val="20"/>
                <w:szCs w:val="20"/>
              </w:rPr>
              <w:t>t werden</w:t>
            </w:r>
            <w:r w:rsidRPr="00E50B51">
              <w:rPr>
                <w:sz w:val="20"/>
                <w:szCs w:val="20"/>
              </w:rPr>
              <w:t xml:space="preserve">. </w:t>
            </w:r>
            <w:r>
              <w:rPr>
                <w:sz w:val="20"/>
                <w:szCs w:val="20"/>
              </w:rPr>
              <w:t>Ursprünglich hatte d</w:t>
            </w:r>
            <w:r w:rsidRPr="00E50B51">
              <w:rPr>
                <w:sz w:val="20"/>
                <w:szCs w:val="20"/>
              </w:rPr>
              <w:t>er Rechtsnachfolger eines verpachtenden Grundstückseigentümers</w:t>
            </w:r>
            <w:r>
              <w:rPr>
                <w:sz w:val="20"/>
                <w:szCs w:val="20"/>
              </w:rPr>
              <w:t xml:space="preserve"> geklagt</w:t>
            </w:r>
            <w:r w:rsidRPr="00E50B51">
              <w:rPr>
                <w:sz w:val="20"/>
                <w:szCs w:val="20"/>
              </w:rPr>
              <w:t xml:space="preserve">, um den Besitz eines Grundstücks vom Rechtsnachfolger des Pächters zurückzuerlangen. Nachdem der Rechtsnachfolger </w:t>
            </w:r>
            <w:r>
              <w:rPr>
                <w:sz w:val="20"/>
                <w:szCs w:val="20"/>
              </w:rPr>
              <w:t xml:space="preserve">des </w:t>
            </w:r>
            <w:r w:rsidRPr="00E50B51">
              <w:rPr>
                <w:sz w:val="20"/>
                <w:szCs w:val="20"/>
              </w:rPr>
              <w:t>verpachtenden Grundstückseigentümers obsiegt</w:t>
            </w:r>
            <w:r>
              <w:rPr>
                <w:sz w:val="20"/>
                <w:szCs w:val="20"/>
              </w:rPr>
              <w:t xml:space="preserve"> hatte</w:t>
            </w:r>
            <w:r w:rsidRPr="00E50B51">
              <w:rPr>
                <w:sz w:val="20"/>
                <w:szCs w:val="20"/>
              </w:rPr>
              <w:t xml:space="preserve">, verwies der </w:t>
            </w:r>
            <w:r>
              <w:rPr>
                <w:sz w:val="20"/>
                <w:szCs w:val="20"/>
              </w:rPr>
              <w:t>U.S. Supreme Court</w:t>
            </w:r>
            <w:r w:rsidRPr="00E50B51">
              <w:rPr>
                <w:sz w:val="20"/>
                <w:szCs w:val="20"/>
              </w:rPr>
              <w:t xml:space="preserve"> den Fall an die untere Instanz zurück – zur erneuten Verhandlung. Nunmehr versuchte der Rechtsnachfolger des Pächters, dieselben Argumente in einer weiteren Berufung vorzubringen. Der </w:t>
            </w:r>
            <w:r>
              <w:rPr>
                <w:sz w:val="20"/>
                <w:szCs w:val="20"/>
              </w:rPr>
              <w:t>U.S. Supreme Court</w:t>
            </w:r>
            <w:r w:rsidRPr="00E50B51">
              <w:rPr>
                <w:sz w:val="20"/>
                <w:szCs w:val="20"/>
              </w:rPr>
              <w:t xml:space="preserve"> entschied dann, dass nach der Entscheidung und der Zurückverweisung an das untergeordnete Gericht nur Ereignisse zu überprüfen seien, die nach der Zurückverweisung stattfanden. Der Rechtsnachfolger des Pächters verlor. Die Entscheidung stärkte die Rechtskraft früherer Urteile und begrenzt die Möglichkeiten, bereits entschiedene Punkte erneut anzufechten.</w:t>
            </w:r>
            <w:r w:rsidRPr="00E50B51">
              <w:rPr>
                <w:rStyle w:val="Funotenzeichen"/>
                <w:sz w:val="20"/>
                <w:szCs w:val="20"/>
              </w:rPr>
              <w:footnoteReference w:id="37"/>
            </w:r>
          </w:p>
          <w:p w14:paraId="67324CFD" w14:textId="77777777" w:rsidR="00074551" w:rsidRPr="00E50B51" w:rsidRDefault="00074551" w:rsidP="00367133">
            <w:pPr>
              <w:jc w:val="both"/>
              <w:rPr>
                <w:sz w:val="20"/>
                <w:szCs w:val="20"/>
              </w:rPr>
            </w:pPr>
          </w:p>
          <w:p w14:paraId="0FC0667F" w14:textId="77777777" w:rsidR="00074551" w:rsidRPr="00E50B51" w:rsidRDefault="00074551" w:rsidP="00367133">
            <w:pPr>
              <w:jc w:val="both"/>
              <w:rPr>
                <w:sz w:val="20"/>
                <w:szCs w:val="20"/>
              </w:rPr>
            </w:pPr>
          </w:p>
          <w:p w14:paraId="6328CEC8" w14:textId="77777777" w:rsidR="00074551" w:rsidRPr="00E50B51" w:rsidRDefault="00074551" w:rsidP="00367133">
            <w:pPr>
              <w:jc w:val="both"/>
              <w:rPr>
                <w:sz w:val="20"/>
                <w:szCs w:val="20"/>
              </w:rPr>
            </w:pPr>
          </w:p>
        </w:tc>
        <w:tc>
          <w:tcPr>
            <w:tcW w:w="1822" w:type="pct"/>
          </w:tcPr>
          <w:p w14:paraId="2F91B4C9"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Real Property Law › Deeds › Validity Requirements › Enforceability</w:t>
            </w:r>
          </w:p>
          <w:p w14:paraId="03D14C9A" w14:textId="77777777" w:rsidR="00074551" w:rsidRPr="00E50B51" w:rsidRDefault="00074551" w:rsidP="00367133">
            <w:pPr>
              <w:jc w:val="both"/>
              <w:rPr>
                <w:sz w:val="20"/>
                <w:szCs w:val="20"/>
                <w:lang w:val="en-US"/>
              </w:rPr>
            </w:pPr>
          </w:p>
          <w:p w14:paraId="0F7471A9" w14:textId="77777777" w:rsidR="00074551" w:rsidRDefault="00074551" w:rsidP="00367133">
            <w:pPr>
              <w:jc w:val="both"/>
              <w:rPr>
                <w:sz w:val="20"/>
                <w:szCs w:val="20"/>
              </w:rPr>
            </w:pPr>
            <w:r w:rsidRPr="00E50B51">
              <w:rPr>
                <w:sz w:val="20"/>
                <w:szCs w:val="20"/>
              </w:rPr>
              <w:t xml:space="preserve">Das </w:t>
            </w:r>
            <w:r w:rsidRPr="00B45592">
              <w:rPr>
                <w:sz w:val="20"/>
                <w:szCs w:val="20"/>
              </w:rPr>
              <w:t>streitgegenständliche Gesetz Michigans</w:t>
            </w:r>
            <w:r w:rsidRPr="00E50B51">
              <w:rPr>
                <w:sz w:val="20"/>
                <w:szCs w:val="20"/>
              </w:rPr>
              <w:t xml:space="preserve"> setze voraus, dass keine Schenkung oder Verfügung von Grundstücken oder Anteilen daran ungültig sein soll</w:t>
            </w:r>
            <w:r>
              <w:rPr>
                <w:sz w:val="20"/>
                <w:szCs w:val="20"/>
              </w:rPr>
              <w:t>e</w:t>
            </w:r>
            <w:r w:rsidRPr="00E50B51">
              <w:rPr>
                <w:sz w:val="20"/>
                <w:szCs w:val="20"/>
              </w:rPr>
              <w:t xml:space="preserve">, </w:t>
            </w:r>
            <w:r>
              <w:rPr>
                <w:sz w:val="20"/>
                <w:szCs w:val="20"/>
              </w:rPr>
              <w:t xml:space="preserve">nur </w:t>
            </w:r>
            <w:r w:rsidRPr="00E50B51">
              <w:rPr>
                <w:sz w:val="20"/>
                <w:szCs w:val="20"/>
              </w:rPr>
              <w:t>weil zum Zeitpunkt der Auflassung solche Grundstücke sich im tatsächlichen Besitz einer anderen, entgegenstehend beanspruchenden Person befinden.</w:t>
            </w:r>
            <w:r w:rsidRPr="00E50B51">
              <w:rPr>
                <w:rStyle w:val="Funotenzeichen"/>
                <w:sz w:val="20"/>
                <w:szCs w:val="20"/>
              </w:rPr>
              <w:footnoteReference w:id="38"/>
            </w:r>
          </w:p>
          <w:p w14:paraId="01391F57" w14:textId="77777777" w:rsidR="00074551" w:rsidRPr="00E50B51" w:rsidRDefault="00074551" w:rsidP="00367133">
            <w:pPr>
              <w:jc w:val="both"/>
              <w:rPr>
                <w:sz w:val="20"/>
                <w:szCs w:val="20"/>
              </w:rPr>
            </w:pPr>
          </w:p>
          <w:p w14:paraId="0773EFE7" w14:textId="77777777" w:rsidR="00074551" w:rsidRDefault="00074551" w:rsidP="00367133">
            <w:pPr>
              <w:jc w:val="both"/>
              <w:rPr>
                <w:sz w:val="20"/>
                <w:szCs w:val="20"/>
              </w:rPr>
            </w:pPr>
            <w:r w:rsidRPr="00E50B51">
              <w:rPr>
                <w:sz w:val="20"/>
                <w:szCs w:val="20"/>
              </w:rPr>
              <w:t xml:space="preserve">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erläutert die Theorie und Ziele der Regierung dazu, wie öffentliches Land </w:t>
            </w:r>
            <w:r>
              <w:rPr>
                <w:sz w:val="20"/>
                <w:szCs w:val="20"/>
              </w:rPr>
              <w:t>aufgeteilt wird</w:t>
            </w:r>
            <w:r w:rsidRPr="00E50B51">
              <w:rPr>
                <w:sz w:val="20"/>
                <w:szCs w:val="20"/>
              </w:rPr>
              <w:t xml:space="preserve">, d.h. die Grundstücke </w:t>
            </w:r>
            <w:r>
              <w:rPr>
                <w:sz w:val="20"/>
                <w:szCs w:val="20"/>
              </w:rPr>
              <w:t>in Staatseigentum</w:t>
            </w:r>
            <w:r w:rsidRPr="00E50B51">
              <w:rPr>
                <w:sz w:val="20"/>
                <w:szCs w:val="20"/>
              </w:rPr>
              <w:t xml:space="preserve">. Die Ziele dabei </w:t>
            </w:r>
            <w:r>
              <w:rPr>
                <w:sz w:val="20"/>
                <w:szCs w:val="20"/>
              </w:rPr>
              <w:t>seien</w:t>
            </w:r>
            <w:r w:rsidRPr="00E50B51">
              <w:rPr>
                <w:sz w:val="20"/>
                <w:szCs w:val="20"/>
              </w:rPr>
              <w:t xml:space="preserve">, die Religion, die Moral und das Wissen zu fördern. Diese Ziele machen es z.B. notwendig, </w:t>
            </w:r>
            <w:r>
              <w:rPr>
                <w:sz w:val="20"/>
                <w:szCs w:val="20"/>
              </w:rPr>
              <w:t xml:space="preserve">auf öffentlichem Land </w:t>
            </w:r>
            <w:r w:rsidRPr="00E50B51">
              <w:rPr>
                <w:sz w:val="20"/>
                <w:szCs w:val="20"/>
              </w:rPr>
              <w:t xml:space="preserve">Schulen zu errichten und zu unterhalten. Doch woher kommen diese drei Ziele? Sie kommen daher, dass sie unabdingbar für gutes Regieren sind, </w:t>
            </w:r>
            <w:r>
              <w:rPr>
                <w:sz w:val="20"/>
                <w:szCs w:val="20"/>
              </w:rPr>
              <w:t>welches</w:t>
            </w:r>
            <w:r w:rsidRPr="00E50B51">
              <w:rPr>
                <w:sz w:val="20"/>
                <w:szCs w:val="20"/>
              </w:rPr>
              <w:t xml:space="preserve"> sich an der Glückssteigerung orientiere („indispensable for the </w:t>
            </w:r>
            <w:proofErr w:type="spellStart"/>
            <w:r w:rsidRPr="00E50B51">
              <w:rPr>
                <w:sz w:val="20"/>
                <w:szCs w:val="20"/>
              </w:rPr>
              <w:t>existence</w:t>
            </w:r>
            <w:proofErr w:type="spellEnd"/>
            <w:r w:rsidRPr="00E50B51">
              <w:rPr>
                <w:sz w:val="20"/>
                <w:szCs w:val="20"/>
              </w:rPr>
              <w:t xml:space="preserve"> of </w:t>
            </w:r>
            <w:proofErr w:type="spellStart"/>
            <w:r w:rsidRPr="00E50B51">
              <w:rPr>
                <w:sz w:val="20"/>
                <w:szCs w:val="20"/>
              </w:rPr>
              <w:t>good</w:t>
            </w:r>
            <w:proofErr w:type="spellEnd"/>
            <w:r w:rsidRPr="00E50B51">
              <w:rPr>
                <w:sz w:val="20"/>
                <w:szCs w:val="20"/>
              </w:rPr>
              <w:t xml:space="preserve"> </w:t>
            </w:r>
            <w:proofErr w:type="spellStart"/>
            <w:r w:rsidRPr="00E50B51">
              <w:rPr>
                <w:sz w:val="20"/>
                <w:szCs w:val="20"/>
              </w:rPr>
              <w:t>government</w:t>
            </w:r>
            <w:proofErr w:type="spellEnd"/>
            <w:r w:rsidRPr="00E50B51">
              <w:rPr>
                <w:sz w:val="20"/>
                <w:szCs w:val="20"/>
              </w:rPr>
              <w:t xml:space="preserve">, and for the </w:t>
            </w:r>
            <w:proofErr w:type="spellStart"/>
            <w:r w:rsidRPr="00E50B51">
              <w:rPr>
                <w:sz w:val="20"/>
                <w:szCs w:val="20"/>
              </w:rPr>
              <w:t>happiness</w:t>
            </w:r>
            <w:proofErr w:type="spellEnd"/>
            <w:r w:rsidRPr="00E50B51">
              <w:rPr>
                <w:sz w:val="20"/>
                <w:szCs w:val="20"/>
              </w:rPr>
              <w:t xml:space="preserve"> of </w:t>
            </w:r>
            <w:proofErr w:type="spellStart"/>
            <w:r w:rsidRPr="00E50B51">
              <w:rPr>
                <w:sz w:val="20"/>
                <w:szCs w:val="20"/>
              </w:rPr>
              <w:t>mankind</w:t>
            </w:r>
            <w:proofErr w:type="spellEnd"/>
            <w:r w:rsidRPr="00E50B51">
              <w:rPr>
                <w:sz w:val="20"/>
                <w:szCs w:val="20"/>
              </w:rPr>
              <w:t>“</w:t>
            </w:r>
            <w:r w:rsidRPr="00E50B51">
              <w:rPr>
                <w:rStyle w:val="Funotenzeichen"/>
                <w:sz w:val="20"/>
                <w:szCs w:val="20"/>
              </w:rPr>
              <w:footnoteReference w:id="39"/>
            </w:r>
            <w:r w:rsidRPr="00E50B51">
              <w:rPr>
                <w:sz w:val="20"/>
                <w:szCs w:val="20"/>
              </w:rPr>
              <w:t xml:space="preserve">). Dies zeige sich normativ z.B. in </w:t>
            </w:r>
            <w:r>
              <w:rPr>
                <w:sz w:val="20"/>
                <w:szCs w:val="20"/>
              </w:rPr>
              <w:t>Art. </w:t>
            </w:r>
            <w:r w:rsidRPr="00E50B51">
              <w:rPr>
                <w:sz w:val="20"/>
                <w:szCs w:val="20"/>
              </w:rPr>
              <w:t xml:space="preserve">III </w:t>
            </w:r>
            <w:r>
              <w:rPr>
                <w:sz w:val="20"/>
                <w:szCs w:val="20"/>
              </w:rPr>
              <w:t xml:space="preserve">der </w:t>
            </w:r>
            <w:proofErr w:type="spellStart"/>
            <w:r w:rsidRPr="00B45592">
              <w:rPr>
                <w:i/>
                <w:sz w:val="20"/>
                <w:szCs w:val="20"/>
              </w:rPr>
              <w:t>Ordinance</w:t>
            </w:r>
            <w:proofErr w:type="spellEnd"/>
            <w:r w:rsidRPr="00B45592">
              <w:rPr>
                <w:i/>
                <w:sz w:val="20"/>
                <w:szCs w:val="20"/>
              </w:rPr>
              <w:t xml:space="preserve"> of 1787</w:t>
            </w:r>
            <w:r w:rsidRPr="00E50B51">
              <w:rPr>
                <w:sz w:val="20"/>
                <w:szCs w:val="20"/>
              </w:rPr>
              <w:t>, aber auch in den sozialpolitischen Entscheidungen („</w:t>
            </w:r>
            <w:proofErr w:type="spellStart"/>
            <w:r w:rsidRPr="00E50B51">
              <w:rPr>
                <w:sz w:val="20"/>
                <w:szCs w:val="20"/>
              </w:rPr>
              <w:t>foundation</w:t>
            </w:r>
            <w:proofErr w:type="spellEnd"/>
            <w:r w:rsidRPr="00E50B51">
              <w:rPr>
                <w:sz w:val="20"/>
                <w:szCs w:val="20"/>
              </w:rPr>
              <w:t xml:space="preserve"> of social and </w:t>
            </w:r>
            <w:proofErr w:type="spellStart"/>
            <w:r w:rsidRPr="00E50B51">
              <w:rPr>
                <w:sz w:val="20"/>
                <w:szCs w:val="20"/>
              </w:rPr>
              <w:t>political</w:t>
            </w:r>
            <w:proofErr w:type="spellEnd"/>
            <w:r w:rsidRPr="00E50B51">
              <w:rPr>
                <w:sz w:val="20"/>
                <w:szCs w:val="20"/>
              </w:rPr>
              <w:t xml:space="preserve"> </w:t>
            </w:r>
            <w:proofErr w:type="spellStart"/>
            <w:r w:rsidRPr="00E50B51">
              <w:rPr>
                <w:sz w:val="20"/>
                <w:szCs w:val="20"/>
              </w:rPr>
              <w:t>good</w:t>
            </w:r>
            <w:proofErr w:type="spellEnd"/>
            <w:r w:rsidRPr="00E50B51">
              <w:rPr>
                <w:sz w:val="20"/>
                <w:szCs w:val="20"/>
              </w:rPr>
              <w:t xml:space="preserve">“) wie Schulstandorten, wofür Glückssteigerung die </w:t>
            </w:r>
            <w:proofErr w:type="spellStart"/>
            <w:r w:rsidRPr="00E50B51">
              <w:rPr>
                <w:sz w:val="20"/>
                <w:szCs w:val="20"/>
              </w:rPr>
              <w:t>überwältigendste</w:t>
            </w:r>
            <w:proofErr w:type="spellEnd"/>
            <w:r w:rsidRPr="00E50B51">
              <w:rPr>
                <w:sz w:val="20"/>
                <w:szCs w:val="20"/>
              </w:rPr>
              <w:t xml:space="preserve"> öffentliche Erwägung darstell</w:t>
            </w:r>
            <w:r>
              <w:rPr>
                <w:sz w:val="20"/>
                <w:szCs w:val="20"/>
              </w:rPr>
              <w:t>e</w:t>
            </w:r>
            <w:r w:rsidRPr="00E50B51">
              <w:rPr>
                <w:sz w:val="20"/>
                <w:szCs w:val="20"/>
              </w:rPr>
              <w:t xml:space="preserve"> („</w:t>
            </w:r>
            <w:proofErr w:type="spellStart"/>
            <w:r w:rsidRPr="00E50B51">
              <w:rPr>
                <w:sz w:val="20"/>
                <w:szCs w:val="20"/>
              </w:rPr>
              <w:t>most</w:t>
            </w:r>
            <w:proofErr w:type="spellEnd"/>
            <w:r w:rsidRPr="00E50B51">
              <w:rPr>
                <w:sz w:val="20"/>
                <w:szCs w:val="20"/>
              </w:rPr>
              <w:t xml:space="preserve"> </w:t>
            </w:r>
            <w:proofErr w:type="spellStart"/>
            <w:r w:rsidRPr="00E50B51">
              <w:rPr>
                <w:sz w:val="20"/>
                <w:szCs w:val="20"/>
              </w:rPr>
              <w:t>overpowering</w:t>
            </w:r>
            <w:proofErr w:type="spellEnd"/>
            <w:r w:rsidRPr="00E50B51">
              <w:rPr>
                <w:sz w:val="20"/>
                <w:szCs w:val="20"/>
              </w:rPr>
              <w:t xml:space="preserve"> </w:t>
            </w:r>
            <w:proofErr w:type="spellStart"/>
            <w:r w:rsidRPr="00E50B51">
              <w:rPr>
                <w:sz w:val="20"/>
                <w:szCs w:val="20"/>
              </w:rPr>
              <w:t>public</w:t>
            </w:r>
            <w:proofErr w:type="spellEnd"/>
            <w:r w:rsidRPr="00E50B51">
              <w:rPr>
                <w:sz w:val="20"/>
                <w:szCs w:val="20"/>
              </w:rPr>
              <w:t xml:space="preserve"> </w:t>
            </w:r>
            <w:proofErr w:type="spellStart"/>
            <w:r w:rsidRPr="00E50B51">
              <w:rPr>
                <w:sz w:val="20"/>
                <w:szCs w:val="20"/>
              </w:rPr>
              <w:t>considerations</w:t>
            </w:r>
            <w:proofErr w:type="spellEnd"/>
            <w:r w:rsidRPr="00E50B51">
              <w:rPr>
                <w:sz w:val="20"/>
                <w:szCs w:val="20"/>
              </w:rPr>
              <w:t>“</w:t>
            </w:r>
            <w:r w:rsidRPr="00E50B51">
              <w:rPr>
                <w:rStyle w:val="Funotenzeichen"/>
                <w:sz w:val="20"/>
                <w:szCs w:val="20"/>
              </w:rPr>
              <w:t xml:space="preserve"> </w:t>
            </w:r>
            <w:r w:rsidRPr="00E50B51">
              <w:rPr>
                <w:rStyle w:val="Funotenzeichen"/>
                <w:sz w:val="20"/>
                <w:szCs w:val="20"/>
              </w:rPr>
              <w:footnoteReference w:id="40"/>
            </w:r>
            <w:r w:rsidRPr="00E50B51">
              <w:rPr>
                <w:sz w:val="20"/>
                <w:szCs w:val="20"/>
              </w:rPr>
              <w:t>).</w:t>
            </w:r>
          </w:p>
          <w:p w14:paraId="05C7133D" w14:textId="77777777" w:rsidR="00074551" w:rsidRPr="00E50B51" w:rsidRDefault="00074551" w:rsidP="00367133">
            <w:pPr>
              <w:jc w:val="both"/>
              <w:rPr>
                <w:sz w:val="20"/>
                <w:szCs w:val="20"/>
              </w:rPr>
            </w:pPr>
          </w:p>
        </w:tc>
      </w:tr>
      <w:tr w:rsidR="00074551" w:rsidRPr="00E50B51" w14:paraId="7A95F28B" w14:textId="77777777" w:rsidTr="00BE689F">
        <w:trPr>
          <w:cantSplit/>
          <w:trHeight w:val="3175"/>
        </w:trPr>
        <w:tc>
          <w:tcPr>
            <w:tcW w:w="293" w:type="pct"/>
            <w:shd w:val="clear" w:color="auto" w:fill="E7E6E6" w:themeFill="background2"/>
          </w:tcPr>
          <w:p w14:paraId="6226345C" w14:textId="77777777" w:rsidR="00074551" w:rsidRPr="00E50B51" w:rsidRDefault="00074551" w:rsidP="00367133">
            <w:pPr>
              <w:jc w:val="center"/>
              <w:rPr>
                <w:sz w:val="20"/>
                <w:szCs w:val="20"/>
              </w:rPr>
            </w:pPr>
            <w:r w:rsidRPr="00E50B51">
              <w:rPr>
                <w:sz w:val="20"/>
                <w:szCs w:val="20"/>
              </w:rPr>
              <w:lastRenderedPageBreak/>
              <w:t>H</w:t>
            </w:r>
          </w:p>
        </w:tc>
        <w:tc>
          <w:tcPr>
            <w:tcW w:w="387" w:type="pct"/>
            <w:shd w:val="clear" w:color="auto" w:fill="E7E6E6" w:themeFill="background2"/>
            <w:textDirection w:val="tbRl"/>
            <w:vAlign w:val="center"/>
          </w:tcPr>
          <w:p w14:paraId="6EB39964" w14:textId="77777777" w:rsidR="00074551" w:rsidRPr="00E50B51" w:rsidRDefault="00074551" w:rsidP="00367133">
            <w:pPr>
              <w:ind w:left="113" w:right="113"/>
              <w:jc w:val="both"/>
              <w:rPr>
                <w:sz w:val="20"/>
                <w:szCs w:val="20"/>
                <w:lang w:val="en-US"/>
              </w:rPr>
            </w:pPr>
            <w:r w:rsidRPr="00E50B51">
              <w:rPr>
                <w:sz w:val="20"/>
                <w:szCs w:val="20"/>
              </w:rPr>
              <w:t>Wirtschaftliche Seite</w:t>
            </w:r>
          </w:p>
        </w:tc>
        <w:tc>
          <w:tcPr>
            <w:tcW w:w="197" w:type="pct"/>
            <w:shd w:val="clear" w:color="auto" w:fill="E7E6E6" w:themeFill="background2"/>
            <w:textDirection w:val="tbRl"/>
            <w:vAlign w:val="center"/>
          </w:tcPr>
          <w:p w14:paraId="7B1087B6" w14:textId="77777777" w:rsidR="00074551" w:rsidRPr="00E50B51" w:rsidRDefault="00074551" w:rsidP="00367133">
            <w:pPr>
              <w:ind w:left="113" w:right="113"/>
              <w:jc w:val="both"/>
              <w:rPr>
                <w:sz w:val="20"/>
                <w:szCs w:val="20"/>
                <w:lang w:val="en-US"/>
              </w:rPr>
            </w:pPr>
            <w:r w:rsidRPr="00E50B51">
              <w:rPr>
                <w:sz w:val="20"/>
                <w:szCs w:val="20"/>
              </w:rPr>
              <w:t>Property</w:t>
            </w:r>
          </w:p>
        </w:tc>
        <w:tc>
          <w:tcPr>
            <w:tcW w:w="306" w:type="pct"/>
            <w:shd w:val="clear" w:color="auto" w:fill="E7E6E6" w:themeFill="background2"/>
            <w:textDirection w:val="tbRl"/>
            <w:vAlign w:val="center"/>
          </w:tcPr>
          <w:p w14:paraId="44335105" w14:textId="77777777" w:rsidR="00074551" w:rsidRPr="00E50B51" w:rsidRDefault="00074551" w:rsidP="00367133">
            <w:pPr>
              <w:ind w:left="113" w:right="113"/>
              <w:jc w:val="both"/>
              <w:rPr>
                <w:sz w:val="20"/>
                <w:szCs w:val="20"/>
                <w:lang w:val="en-US"/>
              </w:rPr>
            </w:pPr>
            <w:r w:rsidRPr="00E50B51">
              <w:rPr>
                <w:sz w:val="20"/>
                <w:szCs w:val="20"/>
                <w:lang w:val="en-US"/>
              </w:rPr>
              <w:t>Estate, Gift &amp; Trust Law</w:t>
            </w:r>
          </w:p>
          <w:p w14:paraId="7FB8090D" w14:textId="77777777" w:rsidR="00074551" w:rsidRPr="00E50B51" w:rsidRDefault="00074551" w:rsidP="00367133">
            <w:pPr>
              <w:ind w:left="113" w:right="113"/>
              <w:jc w:val="both"/>
              <w:rPr>
                <w:sz w:val="20"/>
                <w:szCs w:val="20"/>
              </w:rPr>
            </w:pPr>
          </w:p>
        </w:tc>
        <w:tc>
          <w:tcPr>
            <w:tcW w:w="401" w:type="pct"/>
            <w:shd w:val="clear" w:color="auto" w:fill="E7E6E6" w:themeFill="background2"/>
            <w:textDirection w:val="tbRl"/>
          </w:tcPr>
          <w:p w14:paraId="52402890" w14:textId="77777777" w:rsidR="00074551" w:rsidRDefault="00074551" w:rsidP="00367133">
            <w:pPr>
              <w:ind w:left="113" w:right="113"/>
              <w:rPr>
                <w:sz w:val="20"/>
                <w:szCs w:val="20"/>
                <w:lang w:val="en-US"/>
              </w:rPr>
            </w:pPr>
          </w:p>
          <w:p w14:paraId="02610B49" w14:textId="77777777" w:rsidR="00074551" w:rsidRPr="00E50B51" w:rsidRDefault="00074551" w:rsidP="00367133">
            <w:pPr>
              <w:ind w:left="113" w:right="113"/>
              <w:rPr>
                <w:sz w:val="20"/>
                <w:szCs w:val="20"/>
              </w:rPr>
            </w:pPr>
            <w:r w:rsidRPr="00E50B51">
              <w:rPr>
                <w:sz w:val="20"/>
                <w:szCs w:val="20"/>
                <w:lang w:val="en-US"/>
              </w:rPr>
              <w:t>Interpretation</w:t>
            </w:r>
          </w:p>
        </w:tc>
        <w:tc>
          <w:tcPr>
            <w:tcW w:w="1594" w:type="pct"/>
            <w:shd w:val="clear" w:color="auto" w:fill="E7E6E6" w:themeFill="background2"/>
            <w:vAlign w:val="center"/>
          </w:tcPr>
          <w:p w14:paraId="5FFAA35E" w14:textId="77777777" w:rsidR="00074551" w:rsidRPr="00E50B51" w:rsidRDefault="00074551" w:rsidP="00367133">
            <w:pPr>
              <w:jc w:val="both"/>
              <w:rPr>
                <w:sz w:val="20"/>
                <w:szCs w:val="20"/>
              </w:rPr>
            </w:pPr>
          </w:p>
        </w:tc>
        <w:tc>
          <w:tcPr>
            <w:tcW w:w="1822" w:type="pct"/>
            <w:shd w:val="clear" w:color="auto" w:fill="E7E6E6" w:themeFill="background2"/>
          </w:tcPr>
          <w:p w14:paraId="2D5A41AA" w14:textId="3C6E6AB6" w:rsidR="00074551" w:rsidRPr="00E50B51" w:rsidRDefault="00A15DB3" w:rsidP="00BE689F">
            <w:pPr>
              <w:rPr>
                <w:sz w:val="20"/>
                <w:szCs w:val="20"/>
              </w:rPr>
            </w:pPr>
            <w:r w:rsidRPr="00A15DB3">
              <w:rPr>
                <w:i/>
                <w:iCs/>
                <w:sz w:val="16"/>
                <w:szCs w:val="20"/>
              </w:rPr>
              <w:t>Thematische Gliederung der nachfolgenden Entscheidungen ↓</w:t>
            </w:r>
          </w:p>
        </w:tc>
      </w:tr>
      <w:tr w:rsidR="00074551" w:rsidRPr="00E50B51" w14:paraId="54789165" w14:textId="77777777" w:rsidTr="00BE689F">
        <w:trPr>
          <w:cantSplit/>
          <w:trHeight w:val="3175"/>
        </w:trPr>
        <w:tc>
          <w:tcPr>
            <w:tcW w:w="293" w:type="pct"/>
          </w:tcPr>
          <w:p w14:paraId="6586ABE4" w14:textId="77777777" w:rsidR="00074551" w:rsidRPr="00E50B51" w:rsidRDefault="00074551" w:rsidP="00367133">
            <w:pPr>
              <w:jc w:val="center"/>
              <w:rPr>
                <w:sz w:val="20"/>
                <w:szCs w:val="20"/>
              </w:rPr>
            </w:pPr>
            <w:r w:rsidRPr="00E50B51">
              <w:rPr>
                <w:sz w:val="20"/>
                <w:szCs w:val="20"/>
                <w:lang w:val="en-US"/>
              </w:rPr>
              <w:lastRenderedPageBreak/>
              <w:t>H</w:t>
            </w:r>
          </w:p>
        </w:tc>
        <w:tc>
          <w:tcPr>
            <w:tcW w:w="387" w:type="pct"/>
            <w:textDirection w:val="tbRl"/>
            <w:vAlign w:val="center"/>
          </w:tcPr>
          <w:p w14:paraId="7A7D2B28" w14:textId="77777777" w:rsidR="00074551" w:rsidRPr="00E50B51" w:rsidRDefault="00074551" w:rsidP="00367133">
            <w:pPr>
              <w:ind w:left="113" w:right="113"/>
              <w:jc w:val="both"/>
              <w:rPr>
                <w:sz w:val="20"/>
                <w:szCs w:val="20"/>
                <w:lang w:val="en-US"/>
              </w:rPr>
            </w:pPr>
            <w:r w:rsidRPr="008F73D7">
              <w:rPr>
                <w:i/>
                <w:sz w:val="20"/>
                <w:szCs w:val="20"/>
                <w:lang w:val="en-US"/>
              </w:rPr>
              <w:t>Robinson v. Lessee of Adams</w:t>
            </w:r>
          </w:p>
        </w:tc>
        <w:tc>
          <w:tcPr>
            <w:tcW w:w="197" w:type="pct"/>
            <w:textDirection w:val="tbRl"/>
            <w:vAlign w:val="center"/>
          </w:tcPr>
          <w:p w14:paraId="2EED9BDD" w14:textId="77777777" w:rsidR="00074551" w:rsidRPr="00E50B51" w:rsidRDefault="00074551" w:rsidP="00367133">
            <w:pPr>
              <w:ind w:left="113" w:right="113"/>
              <w:jc w:val="both"/>
              <w:rPr>
                <w:sz w:val="20"/>
                <w:szCs w:val="20"/>
                <w:lang w:val="en-US"/>
              </w:rPr>
            </w:pPr>
            <w:r w:rsidRPr="00E50B51">
              <w:rPr>
                <w:sz w:val="20"/>
                <w:szCs w:val="20"/>
              </w:rPr>
              <w:t>4 U.S. 418</w:t>
            </w:r>
          </w:p>
        </w:tc>
        <w:tc>
          <w:tcPr>
            <w:tcW w:w="306" w:type="pct"/>
            <w:textDirection w:val="tbRl"/>
            <w:vAlign w:val="center"/>
          </w:tcPr>
          <w:p w14:paraId="6C812A33" w14:textId="77777777" w:rsidR="00074551" w:rsidRPr="00E50B51" w:rsidRDefault="00074551" w:rsidP="00367133">
            <w:pPr>
              <w:ind w:left="113" w:right="113"/>
              <w:jc w:val="both"/>
              <w:rPr>
                <w:sz w:val="20"/>
                <w:szCs w:val="20"/>
              </w:rPr>
            </w:pPr>
            <w:r w:rsidRPr="00E50B51">
              <w:rPr>
                <w:sz w:val="20"/>
                <w:szCs w:val="20"/>
                <w:lang w:val="en-US"/>
              </w:rPr>
              <w:t>01. September 1788</w:t>
            </w:r>
          </w:p>
        </w:tc>
        <w:tc>
          <w:tcPr>
            <w:tcW w:w="401" w:type="pct"/>
          </w:tcPr>
          <w:p w14:paraId="323CDA38"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638C5B33"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die Auslegung des </w:t>
            </w:r>
            <w:r w:rsidRPr="00B45592">
              <w:rPr>
                <w:i/>
                <w:sz w:val="20"/>
                <w:szCs w:val="20"/>
              </w:rPr>
              <w:t>Delaware Supreme Court</w:t>
            </w:r>
            <w:r w:rsidRPr="00E50B51">
              <w:rPr>
                <w:sz w:val="20"/>
                <w:szCs w:val="20"/>
              </w:rPr>
              <w:t xml:space="preserve"> </w:t>
            </w:r>
            <w:r>
              <w:rPr>
                <w:sz w:val="20"/>
                <w:szCs w:val="20"/>
              </w:rPr>
              <w:t xml:space="preserve">in der Sache </w:t>
            </w:r>
            <w:r w:rsidRPr="00E50B51">
              <w:rPr>
                <w:sz w:val="20"/>
                <w:szCs w:val="20"/>
              </w:rPr>
              <w:t>sei unzutreffend. Zunächst erbte ein Erblasser selbst – und zwar als Testamentsvollstrecker von seinem Vater, dem Testierenden. Damit erbte der Erblasser zunächst Volleigentum („</w:t>
            </w:r>
            <w:proofErr w:type="spellStart"/>
            <w:r w:rsidRPr="00E50B51">
              <w:rPr>
                <w:sz w:val="20"/>
                <w:szCs w:val="20"/>
              </w:rPr>
              <w:t>fee</w:t>
            </w:r>
            <w:proofErr w:type="spellEnd"/>
            <w:r w:rsidRPr="00E50B51">
              <w:rPr>
                <w:sz w:val="20"/>
                <w:szCs w:val="20"/>
              </w:rPr>
              <w:t xml:space="preserve"> simple“</w:t>
            </w:r>
            <w:r w:rsidRPr="00E50B51">
              <w:rPr>
                <w:rStyle w:val="Funotenzeichen"/>
                <w:sz w:val="20"/>
                <w:szCs w:val="20"/>
              </w:rPr>
              <w:footnoteReference w:id="41"/>
            </w:r>
            <w:r>
              <w:rPr>
                <w:sz w:val="20"/>
                <w:szCs w:val="20"/>
              </w:rPr>
              <w:t>)</w:t>
            </w:r>
            <w:r w:rsidRPr="00E50B51">
              <w:rPr>
                <w:sz w:val="20"/>
                <w:szCs w:val="20"/>
              </w:rPr>
              <w:t xml:space="preserve"> an einem Grundstück. Nach dem Tod des Erblassers ohne Testament ging dieses Grundstück an die Beklagten über. Diese waren die Töchter der Witwe des Erblassers, die aber aus einer anderen Ehe stammten. Dagegen wandte sich aber der Pächter des Grundstücks. Er beanspruchte die Erbschaft. Die Kernfrage lautete nun, ob die Töchter, respektive der Erblasser, ein Alleineigentum („</w:t>
            </w:r>
            <w:proofErr w:type="spellStart"/>
            <w:r w:rsidRPr="00E50B51">
              <w:rPr>
                <w:sz w:val="20"/>
                <w:szCs w:val="20"/>
              </w:rPr>
              <w:t>fee</w:t>
            </w:r>
            <w:proofErr w:type="spellEnd"/>
            <w:r w:rsidRPr="00E50B51">
              <w:rPr>
                <w:sz w:val="20"/>
                <w:szCs w:val="20"/>
              </w:rPr>
              <w:t xml:space="preserve"> simple“</w:t>
            </w:r>
            <w:r w:rsidRPr="00E50B51">
              <w:rPr>
                <w:rStyle w:val="Funotenzeichen"/>
                <w:sz w:val="20"/>
                <w:szCs w:val="20"/>
              </w:rPr>
              <w:footnoteReference w:id="42"/>
            </w:r>
            <w:r>
              <w:rPr>
                <w:sz w:val="20"/>
                <w:szCs w:val="20"/>
              </w:rPr>
              <w:t>)</w:t>
            </w:r>
            <w:r w:rsidRPr="00E50B51">
              <w:rPr>
                <w:sz w:val="20"/>
                <w:szCs w:val="20"/>
              </w:rPr>
              <w:t xml:space="preserve"> erworben hatten – oder nur eine Nutzungsüberlassung („</w:t>
            </w:r>
            <w:proofErr w:type="spellStart"/>
            <w:r w:rsidRPr="00E50B51">
              <w:rPr>
                <w:sz w:val="20"/>
                <w:szCs w:val="20"/>
              </w:rPr>
              <w:t>fee</w:t>
            </w:r>
            <w:proofErr w:type="spellEnd"/>
            <w:r w:rsidRPr="00E50B51">
              <w:rPr>
                <w:sz w:val="20"/>
                <w:szCs w:val="20"/>
              </w:rPr>
              <w:t xml:space="preserve"> </w:t>
            </w:r>
            <w:proofErr w:type="spellStart"/>
            <w:r w:rsidRPr="00E50B51">
              <w:rPr>
                <w:sz w:val="20"/>
                <w:szCs w:val="20"/>
              </w:rPr>
              <w:t>tail</w:t>
            </w:r>
            <w:proofErr w:type="spellEnd"/>
            <w:r w:rsidRPr="00E50B51">
              <w:rPr>
                <w:sz w:val="20"/>
                <w:szCs w:val="20"/>
              </w:rPr>
              <w:t>“</w:t>
            </w:r>
            <w:r w:rsidRPr="00E50B51">
              <w:rPr>
                <w:rStyle w:val="Funotenzeichen"/>
                <w:sz w:val="20"/>
                <w:szCs w:val="20"/>
              </w:rPr>
              <w:footnoteReference w:id="43"/>
            </w:r>
            <w:r>
              <w:rPr>
                <w:sz w:val="20"/>
                <w:szCs w:val="20"/>
              </w:rPr>
              <w:t>)</w:t>
            </w:r>
            <w:r w:rsidRPr="00E50B51">
              <w:rPr>
                <w:sz w:val="20"/>
                <w:szCs w:val="20"/>
              </w:rPr>
              <w:t>. Bei einer Nutzungsüberlassung hätte der Kläger als Pächter geerbt. Um dies zu entscheiden, komme es auf die Absicht des testierenden Vaters an und den Wortlaut seines Testaments</w:t>
            </w:r>
            <w:r>
              <w:rPr>
                <w:sz w:val="20"/>
                <w:szCs w:val="20"/>
              </w:rPr>
              <w:t>, so der U.S. Supreme Court</w:t>
            </w:r>
            <w:r w:rsidRPr="00E50B51">
              <w:rPr>
                <w:sz w:val="20"/>
                <w:szCs w:val="20"/>
              </w:rPr>
              <w:t xml:space="preserve">. </w:t>
            </w:r>
            <w:r>
              <w:rPr>
                <w:sz w:val="20"/>
                <w:szCs w:val="20"/>
              </w:rPr>
              <w:t>Dieses</w:t>
            </w:r>
            <w:r w:rsidRPr="00E50B51">
              <w:rPr>
                <w:sz w:val="20"/>
                <w:szCs w:val="20"/>
              </w:rPr>
              <w:t xml:space="preserve"> legte nahe, der Vater habe ein Alleineigentum für den Erblasser beabsichtigt. Daher sei es </w:t>
            </w:r>
            <w:r>
              <w:rPr>
                <w:sz w:val="20"/>
                <w:szCs w:val="20"/>
              </w:rPr>
              <w:t>falsch</w:t>
            </w:r>
            <w:r w:rsidRPr="00E50B51">
              <w:rPr>
                <w:sz w:val="20"/>
                <w:szCs w:val="20"/>
              </w:rPr>
              <w:t xml:space="preserve">, das Testament so zu interpretieren, dass nur eine Nutzungsüberlassung bestehe, respektive der Pächter erbe. Die Entscheidung des </w:t>
            </w:r>
            <w:r w:rsidRPr="00B45592">
              <w:rPr>
                <w:i/>
                <w:sz w:val="20"/>
                <w:szCs w:val="20"/>
              </w:rPr>
              <w:t>Delaware Supreme Court</w:t>
            </w:r>
            <w:r w:rsidRPr="00E50B51">
              <w:rPr>
                <w:sz w:val="20"/>
                <w:szCs w:val="20"/>
              </w:rPr>
              <w:t xml:space="preserve"> unterstützte aber eine solche Interpretation. Der </w:t>
            </w:r>
            <w:r>
              <w:rPr>
                <w:sz w:val="20"/>
                <w:szCs w:val="20"/>
              </w:rPr>
              <w:t>U.S. Supreme Court</w:t>
            </w:r>
            <w:r w:rsidRPr="00E50B51">
              <w:rPr>
                <w:sz w:val="20"/>
                <w:szCs w:val="20"/>
              </w:rPr>
              <w:t xml:space="preserve"> hob sie daher auf.</w:t>
            </w:r>
            <w:r w:rsidRPr="00E50B51">
              <w:rPr>
                <w:rStyle w:val="Funotenzeichen"/>
                <w:sz w:val="20"/>
                <w:szCs w:val="20"/>
              </w:rPr>
              <w:footnoteReference w:id="44"/>
            </w:r>
          </w:p>
          <w:p w14:paraId="0ED56BBF" w14:textId="77777777" w:rsidR="00074551" w:rsidRPr="00E50B51" w:rsidRDefault="00074551" w:rsidP="00367133">
            <w:pPr>
              <w:jc w:val="both"/>
              <w:rPr>
                <w:sz w:val="20"/>
                <w:szCs w:val="20"/>
              </w:rPr>
            </w:pPr>
          </w:p>
        </w:tc>
        <w:tc>
          <w:tcPr>
            <w:tcW w:w="1822" w:type="pct"/>
          </w:tcPr>
          <w:p w14:paraId="2C933EC0"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Estate, Gift &amp; Trust Law › Interpretation › Rules of Construction › General Overview</w:t>
            </w:r>
          </w:p>
          <w:p w14:paraId="27DB26B7" w14:textId="77777777" w:rsidR="00074551" w:rsidRPr="00E50B51" w:rsidRDefault="00074551" w:rsidP="00367133">
            <w:pPr>
              <w:jc w:val="both"/>
              <w:rPr>
                <w:sz w:val="20"/>
                <w:szCs w:val="20"/>
                <w:lang w:val="en-US"/>
              </w:rPr>
            </w:pPr>
          </w:p>
          <w:p w14:paraId="1D690197" w14:textId="77777777" w:rsidR="00074551" w:rsidRPr="00E50B51" w:rsidRDefault="00074551" w:rsidP="00367133">
            <w:pPr>
              <w:jc w:val="both"/>
              <w:rPr>
                <w:sz w:val="20"/>
                <w:szCs w:val="20"/>
              </w:rPr>
            </w:pPr>
            <w:r w:rsidRPr="00E50B51">
              <w:rPr>
                <w:sz w:val="20"/>
                <w:szCs w:val="20"/>
              </w:rPr>
              <w:t>Bei der Auslegung von Testamenten ist der Wille des Erblassers maßgebend.</w:t>
            </w:r>
            <w:r w:rsidRPr="00E50B51">
              <w:rPr>
                <w:rStyle w:val="Funotenzeichen"/>
                <w:sz w:val="20"/>
                <w:szCs w:val="20"/>
              </w:rPr>
              <w:footnoteReference w:id="45"/>
            </w:r>
            <w:r w:rsidRPr="00E50B51">
              <w:rPr>
                <w:sz w:val="20"/>
                <w:szCs w:val="20"/>
              </w:rPr>
              <w:t xml:space="preserve"> Um das Testament dafür auszulegen, ist auf den Wortlaut abzustellen. Es darf nicht auf Nebenumstände ankommen, also nicht auf spätere oder mit dem Testament nicht zusammenhängende Ereignisse. Denn die Sicherheit des Eigentums und die Ordnung der Gesellschaft hängen davon ab.</w:t>
            </w:r>
            <w:r w:rsidRPr="00E50B51">
              <w:rPr>
                <w:rStyle w:val="Funotenzeichen"/>
                <w:sz w:val="20"/>
                <w:szCs w:val="20"/>
              </w:rPr>
              <w:footnoteReference w:id="46"/>
            </w:r>
          </w:p>
          <w:p w14:paraId="606EBFCA" w14:textId="77777777" w:rsidR="00074551" w:rsidRPr="00E50B51" w:rsidRDefault="00074551" w:rsidP="00367133">
            <w:pPr>
              <w:jc w:val="both"/>
              <w:rPr>
                <w:sz w:val="20"/>
                <w:szCs w:val="20"/>
              </w:rPr>
            </w:pPr>
          </w:p>
          <w:p w14:paraId="13C0A298" w14:textId="77777777" w:rsidR="000745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griff den Vortrag der Anwälte der Berufungskläger auf, nämlich dass Nachlässe als schenkweise Nutzung („</w:t>
            </w:r>
            <w:r w:rsidRPr="00B45592">
              <w:rPr>
                <w:sz w:val="20"/>
                <w:szCs w:val="20"/>
              </w:rPr>
              <w:t xml:space="preserve">in </w:t>
            </w:r>
            <w:proofErr w:type="spellStart"/>
            <w:r w:rsidRPr="00B45592">
              <w:rPr>
                <w:sz w:val="20"/>
                <w:szCs w:val="20"/>
              </w:rPr>
              <w:t>fee</w:t>
            </w:r>
            <w:proofErr w:type="spellEnd"/>
            <w:r w:rsidRPr="00B45592">
              <w:rPr>
                <w:sz w:val="20"/>
                <w:szCs w:val="20"/>
              </w:rPr>
              <w:t xml:space="preserve"> </w:t>
            </w:r>
            <w:proofErr w:type="spellStart"/>
            <w:r w:rsidRPr="00B45592">
              <w:rPr>
                <w:sz w:val="20"/>
                <w:szCs w:val="20"/>
              </w:rPr>
              <w:t>tail</w:t>
            </w:r>
            <w:proofErr w:type="spellEnd"/>
            <w:r w:rsidRPr="00B45592">
              <w:rPr>
                <w:sz w:val="20"/>
                <w:szCs w:val="20"/>
              </w:rPr>
              <w:t>“</w:t>
            </w:r>
            <w:r w:rsidRPr="00477602">
              <w:rPr>
                <w:sz w:val="20"/>
                <w:szCs w:val="20"/>
              </w:rPr>
              <w:t>)</w:t>
            </w:r>
            <w:r w:rsidRPr="00E50B51">
              <w:rPr>
                <w:sz w:val="20"/>
                <w:szCs w:val="20"/>
              </w:rPr>
              <w:t xml:space="preserve"> nicht den typischen Regelungsfall darstell</w:t>
            </w:r>
            <w:r>
              <w:rPr>
                <w:sz w:val="20"/>
                <w:szCs w:val="20"/>
              </w:rPr>
              <w:t>ten</w:t>
            </w:r>
            <w:r w:rsidRPr="00E50B51">
              <w:rPr>
                <w:sz w:val="20"/>
                <w:szCs w:val="20"/>
              </w:rPr>
              <w:t xml:space="preserve">. Denn in der republikanischen Regierungsform </w:t>
            </w:r>
            <w:r>
              <w:rPr>
                <w:sz w:val="20"/>
                <w:szCs w:val="20"/>
              </w:rPr>
              <w:t>gelte</w:t>
            </w:r>
            <w:r w:rsidRPr="00E50B51">
              <w:rPr>
                <w:sz w:val="20"/>
                <w:szCs w:val="20"/>
              </w:rPr>
              <w:t xml:space="preserve"> im Zweifel, dass der Testator sein Erbe als Volleigentum übertrage, statt in Form einer schenkweisen Nutzung. Hier hatte der Testator dem Erblasser übertragen. Doch was hat Glück damit zu tun? Di</w:t>
            </w:r>
            <w:r>
              <w:rPr>
                <w:sz w:val="20"/>
                <w:szCs w:val="20"/>
              </w:rPr>
              <w:t>e eben erwähnte</w:t>
            </w:r>
            <w:r w:rsidRPr="00E50B51">
              <w:rPr>
                <w:sz w:val="20"/>
                <w:szCs w:val="20"/>
              </w:rPr>
              <w:t xml:space="preserve"> Zweifelsregel leitet sich aus dem Rechtsprinzip des Glücks ab. Denn die gesetzgeberische Absicht ziele darauf, dass jeder Bürger im Zweifel Volleigentum erwerbe</w:t>
            </w:r>
            <w:r>
              <w:rPr>
                <w:sz w:val="20"/>
                <w:szCs w:val="20"/>
              </w:rPr>
              <w:t xml:space="preserve">, da </w:t>
            </w:r>
            <w:r w:rsidRPr="00E50B51">
              <w:rPr>
                <w:sz w:val="20"/>
                <w:szCs w:val="20"/>
              </w:rPr>
              <w:t xml:space="preserve">eine breite Eigentumsverteilung </w:t>
            </w:r>
            <w:r>
              <w:rPr>
                <w:sz w:val="20"/>
                <w:szCs w:val="20"/>
              </w:rPr>
              <w:t>dem</w:t>
            </w:r>
            <w:r w:rsidRPr="00E50B51">
              <w:rPr>
                <w:sz w:val="20"/>
                <w:szCs w:val="20"/>
              </w:rPr>
              <w:t xml:space="preserve"> häusliche</w:t>
            </w:r>
            <w:r>
              <w:rPr>
                <w:sz w:val="20"/>
                <w:szCs w:val="20"/>
              </w:rPr>
              <w:t>n</w:t>
            </w:r>
            <w:r w:rsidRPr="00E50B51">
              <w:rPr>
                <w:sz w:val="20"/>
                <w:szCs w:val="20"/>
              </w:rPr>
              <w:t xml:space="preserve"> Glück</w:t>
            </w:r>
            <w:r>
              <w:rPr>
                <w:sz w:val="20"/>
                <w:szCs w:val="20"/>
              </w:rPr>
              <w:t xml:space="preserve"> zuträglich sei</w:t>
            </w:r>
            <w:r w:rsidRPr="00E50B51">
              <w:rPr>
                <w:sz w:val="20"/>
                <w:szCs w:val="20"/>
              </w:rPr>
              <w:t xml:space="preserve">, ein Land lebenswert mache und das allgemeine Wohl fördere („Such a </w:t>
            </w:r>
            <w:proofErr w:type="spellStart"/>
            <w:r w:rsidRPr="00E50B51">
              <w:rPr>
                <w:sz w:val="20"/>
                <w:szCs w:val="20"/>
              </w:rPr>
              <w:t>disposition</w:t>
            </w:r>
            <w:proofErr w:type="spellEnd"/>
            <w:r w:rsidRPr="00E50B51">
              <w:rPr>
                <w:sz w:val="20"/>
                <w:szCs w:val="20"/>
              </w:rPr>
              <w:t xml:space="preserve"> of </w:t>
            </w:r>
            <w:proofErr w:type="spellStart"/>
            <w:r w:rsidRPr="00E50B51">
              <w:rPr>
                <w:sz w:val="20"/>
                <w:szCs w:val="20"/>
              </w:rPr>
              <w:t>property</w:t>
            </w:r>
            <w:proofErr w:type="spellEnd"/>
            <w:r w:rsidRPr="00E50B51">
              <w:rPr>
                <w:sz w:val="20"/>
                <w:szCs w:val="20"/>
              </w:rPr>
              <w:t xml:space="preserve"> </w:t>
            </w:r>
            <w:proofErr w:type="spellStart"/>
            <w:r w:rsidRPr="00E50B51">
              <w:rPr>
                <w:sz w:val="20"/>
                <w:szCs w:val="20"/>
              </w:rPr>
              <w:t>cherishes</w:t>
            </w:r>
            <w:proofErr w:type="spellEnd"/>
            <w:r w:rsidRPr="00E50B51">
              <w:rPr>
                <w:sz w:val="20"/>
                <w:szCs w:val="20"/>
              </w:rPr>
              <w:t xml:space="preserve"> </w:t>
            </w:r>
            <w:proofErr w:type="spellStart"/>
            <w:r w:rsidRPr="00E50B51">
              <w:rPr>
                <w:sz w:val="20"/>
                <w:szCs w:val="20"/>
              </w:rPr>
              <w:t>domestic</w:t>
            </w:r>
            <w:proofErr w:type="spellEnd"/>
            <w:r w:rsidRPr="00E50B51">
              <w:rPr>
                <w:sz w:val="20"/>
                <w:szCs w:val="20"/>
              </w:rPr>
              <w:t xml:space="preserve"> </w:t>
            </w:r>
            <w:proofErr w:type="spellStart"/>
            <w:r w:rsidRPr="00E50B51">
              <w:rPr>
                <w:sz w:val="20"/>
                <w:szCs w:val="20"/>
              </w:rPr>
              <w:t>happiness</w:t>
            </w:r>
            <w:proofErr w:type="spellEnd"/>
            <w:r w:rsidRPr="00E50B51">
              <w:rPr>
                <w:sz w:val="20"/>
                <w:szCs w:val="20"/>
              </w:rPr>
              <w:t xml:space="preserve">, </w:t>
            </w:r>
            <w:proofErr w:type="spellStart"/>
            <w:r w:rsidRPr="00E50B51">
              <w:rPr>
                <w:sz w:val="20"/>
                <w:szCs w:val="20"/>
              </w:rPr>
              <w:t>endears</w:t>
            </w:r>
            <w:proofErr w:type="spellEnd"/>
            <w:r w:rsidRPr="00E50B51">
              <w:rPr>
                <w:sz w:val="20"/>
                <w:szCs w:val="20"/>
              </w:rPr>
              <w:t xml:space="preserve"> a </w:t>
            </w:r>
            <w:proofErr w:type="spellStart"/>
            <w:r w:rsidRPr="00E50B51">
              <w:rPr>
                <w:sz w:val="20"/>
                <w:szCs w:val="20"/>
              </w:rPr>
              <w:t>country</w:t>
            </w:r>
            <w:proofErr w:type="spellEnd"/>
            <w:r w:rsidRPr="00E50B51">
              <w:rPr>
                <w:sz w:val="20"/>
                <w:szCs w:val="20"/>
              </w:rPr>
              <w:t xml:space="preserve"> to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inhabitants</w:t>
            </w:r>
            <w:proofErr w:type="spellEnd"/>
            <w:r w:rsidRPr="00E50B51">
              <w:rPr>
                <w:sz w:val="20"/>
                <w:szCs w:val="20"/>
              </w:rPr>
              <w:t xml:space="preserve">, and </w:t>
            </w:r>
            <w:proofErr w:type="spellStart"/>
            <w:r w:rsidRPr="00E50B51">
              <w:rPr>
                <w:sz w:val="20"/>
                <w:szCs w:val="20"/>
              </w:rPr>
              <w:t>promotes</w:t>
            </w:r>
            <w:proofErr w:type="spellEnd"/>
            <w:r w:rsidRPr="00E50B51">
              <w:rPr>
                <w:sz w:val="20"/>
                <w:szCs w:val="20"/>
              </w:rPr>
              <w:t xml:space="preserve"> the </w:t>
            </w:r>
            <w:proofErr w:type="spellStart"/>
            <w:r w:rsidRPr="00E50B51">
              <w:rPr>
                <w:sz w:val="20"/>
                <w:szCs w:val="20"/>
              </w:rPr>
              <w:t>general</w:t>
            </w:r>
            <w:proofErr w:type="spellEnd"/>
            <w:r w:rsidRPr="00E50B51">
              <w:rPr>
                <w:sz w:val="20"/>
                <w:szCs w:val="20"/>
              </w:rPr>
              <w:t xml:space="preserve"> </w:t>
            </w:r>
            <w:proofErr w:type="spellStart"/>
            <w:r w:rsidRPr="00E50B51">
              <w:rPr>
                <w:sz w:val="20"/>
                <w:szCs w:val="20"/>
              </w:rPr>
              <w:t>welfare</w:t>
            </w:r>
            <w:proofErr w:type="spellEnd"/>
            <w:r w:rsidRPr="00E50B51">
              <w:rPr>
                <w:sz w:val="20"/>
                <w:szCs w:val="20"/>
              </w:rPr>
              <w:t>.“</w:t>
            </w:r>
            <w:r w:rsidRPr="00E50B51">
              <w:rPr>
                <w:rStyle w:val="Funotenzeichen"/>
                <w:sz w:val="20"/>
                <w:szCs w:val="20"/>
              </w:rPr>
              <w:footnoteReference w:id="47"/>
            </w:r>
            <w:r w:rsidRPr="00E50B51">
              <w:rPr>
                <w:sz w:val="20"/>
                <w:szCs w:val="20"/>
              </w:rPr>
              <w:t>)</w:t>
            </w:r>
            <w:r>
              <w:rPr>
                <w:sz w:val="20"/>
                <w:szCs w:val="20"/>
              </w:rPr>
              <w:t>.</w:t>
            </w:r>
          </w:p>
          <w:p w14:paraId="602A5E82" w14:textId="77777777" w:rsidR="00074551" w:rsidRPr="00E50B51" w:rsidRDefault="00074551" w:rsidP="00367133">
            <w:pPr>
              <w:jc w:val="both"/>
              <w:rPr>
                <w:sz w:val="20"/>
                <w:szCs w:val="20"/>
              </w:rPr>
            </w:pPr>
          </w:p>
        </w:tc>
      </w:tr>
      <w:tr w:rsidR="00074551" w:rsidRPr="00E50B51" w14:paraId="1732790C" w14:textId="77777777" w:rsidTr="00BE689F">
        <w:trPr>
          <w:cantSplit/>
          <w:trHeight w:val="3175"/>
        </w:trPr>
        <w:tc>
          <w:tcPr>
            <w:tcW w:w="293" w:type="pct"/>
          </w:tcPr>
          <w:p w14:paraId="306EA64F" w14:textId="77777777" w:rsidR="00074551" w:rsidRPr="00E50B51" w:rsidRDefault="00074551" w:rsidP="00367133">
            <w:pPr>
              <w:jc w:val="center"/>
              <w:rPr>
                <w:sz w:val="20"/>
                <w:szCs w:val="20"/>
              </w:rPr>
            </w:pPr>
            <w:r w:rsidRPr="00E50B51">
              <w:rPr>
                <w:sz w:val="20"/>
                <w:szCs w:val="20"/>
              </w:rPr>
              <w:lastRenderedPageBreak/>
              <w:t>H</w:t>
            </w:r>
          </w:p>
        </w:tc>
        <w:tc>
          <w:tcPr>
            <w:tcW w:w="387" w:type="pct"/>
            <w:textDirection w:val="tbRl"/>
            <w:vAlign w:val="center"/>
          </w:tcPr>
          <w:p w14:paraId="1FEEFDA4" w14:textId="77777777" w:rsidR="00074551" w:rsidRPr="00E50B51" w:rsidRDefault="00074551" w:rsidP="00367133">
            <w:pPr>
              <w:ind w:left="113" w:right="113"/>
              <w:jc w:val="both"/>
              <w:rPr>
                <w:sz w:val="20"/>
                <w:szCs w:val="20"/>
                <w:lang w:val="en-US"/>
              </w:rPr>
            </w:pPr>
            <w:r w:rsidRPr="008F73D7">
              <w:rPr>
                <w:i/>
                <w:sz w:val="20"/>
                <w:szCs w:val="20"/>
              </w:rPr>
              <w:t>Gardner v. Collins</w:t>
            </w:r>
          </w:p>
        </w:tc>
        <w:tc>
          <w:tcPr>
            <w:tcW w:w="197" w:type="pct"/>
            <w:textDirection w:val="tbRl"/>
            <w:vAlign w:val="center"/>
          </w:tcPr>
          <w:p w14:paraId="2E85475C" w14:textId="77777777" w:rsidR="00074551" w:rsidRPr="00E50B51" w:rsidRDefault="00074551" w:rsidP="00367133">
            <w:pPr>
              <w:ind w:left="113" w:right="113"/>
              <w:jc w:val="both"/>
              <w:rPr>
                <w:sz w:val="20"/>
                <w:szCs w:val="20"/>
                <w:lang w:val="en-US"/>
              </w:rPr>
            </w:pPr>
            <w:r w:rsidRPr="00E50B51">
              <w:rPr>
                <w:sz w:val="20"/>
                <w:szCs w:val="20"/>
              </w:rPr>
              <w:t>27 U.S. 58</w:t>
            </w:r>
          </w:p>
        </w:tc>
        <w:tc>
          <w:tcPr>
            <w:tcW w:w="306" w:type="pct"/>
            <w:textDirection w:val="tbRl"/>
            <w:vAlign w:val="center"/>
          </w:tcPr>
          <w:p w14:paraId="4A0F528A" w14:textId="77777777" w:rsidR="00074551" w:rsidRPr="00E50B51" w:rsidRDefault="00074551" w:rsidP="00367133">
            <w:pPr>
              <w:ind w:left="113" w:right="113"/>
              <w:jc w:val="both"/>
              <w:rPr>
                <w:sz w:val="20"/>
                <w:szCs w:val="20"/>
              </w:rPr>
            </w:pPr>
            <w:r w:rsidRPr="00E50B51">
              <w:rPr>
                <w:sz w:val="20"/>
                <w:szCs w:val="20"/>
              </w:rPr>
              <w:t>03. Februar 1829</w:t>
            </w:r>
          </w:p>
        </w:tc>
        <w:tc>
          <w:tcPr>
            <w:tcW w:w="401" w:type="pct"/>
          </w:tcPr>
          <w:p w14:paraId="48DE41DD" w14:textId="77777777" w:rsidR="00074551" w:rsidRPr="00E50B51" w:rsidRDefault="00074551" w:rsidP="00367133">
            <w:pPr>
              <w:jc w:val="center"/>
              <w:rPr>
                <w:sz w:val="20"/>
                <w:szCs w:val="20"/>
              </w:rPr>
            </w:pPr>
            <w:r w:rsidRPr="00E50B51">
              <w:rPr>
                <w:sz w:val="20"/>
                <w:szCs w:val="20"/>
              </w:rPr>
              <w:t>S</w:t>
            </w:r>
          </w:p>
          <w:p w14:paraId="11918AF0" w14:textId="77777777" w:rsidR="00074551" w:rsidRPr="00E50B51" w:rsidRDefault="00074551" w:rsidP="00367133">
            <w:pPr>
              <w:jc w:val="center"/>
              <w:rPr>
                <w:sz w:val="20"/>
                <w:szCs w:val="20"/>
              </w:rPr>
            </w:pPr>
          </w:p>
        </w:tc>
        <w:tc>
          <w:tcPr>
            <w:tcW w:w="1594" w:type="pct"/>
          </w:tcPr>
          <w:p w14:paraId="178BCFE3" w14:textId="77777777" w:rsidR="00074551" w:rsidRPr="00E50B51" w:rsidRDefault="00074551" w:rsidP="00367133">
            <w:pPr>
              <w:jc w:val="both"/>
              <w:rPr>
                <w:sz w:val="20"/>
                <w:szCs w:val="20"/>
              </w:rPr>
            </w:pPr>
            <w:r w:rsidRPr="00E50B51">
              <w:rPr>
                <w:sz w:val="20"/>
                <w:szCs w:val="20"/>
              </w:rPr>
              <w:t xml:space="preserve">In </w:t>
            </w:r>
            <w:r w:rsidRPr="008F73D7">
              <w:rPr>
                <w:i/>
                <w:sz w:val="20"/>
                <w:szCs w:val="20"/>
              </w:rPr>
              <w:t>Gardner v. Collins</w:t>
            </w:r>
            <w:r w:rsidRPr="00E50B51">
              <w:rPr>
                <w:sz w:val="20"/>
                <w:szCs w:val="20"/>
              </w:rPr>
              <w:t xml:space="preserve"> urteilte der </w:t>
            </w:r>
            <w:r>
              <w:rPr>
                <w:sz w:val="20"/>
                <w:szCs w:val="20"/>
              </w:rPr>
              <w:t>U.S. Supreme Court</w:t>
            </w:r>
            <w:r w:rsidRPr="00E50B51">
              <w:rPr>
                <w:sz w:val="20"/>
                <w:szCs w:val="20"/>
              </w:rPr>
              <w:t xml:space="preserve"> zu</w:t>
            </w:r>
            <w:r>
              <w:rPr>
                <w:sz w:val="20"/>
                <w:szCs w:val="20"/>
              </w:rPr>
              <w:t xml:space="preserve">r Bedeutung des Begriffes </w:t>
            </w:r>
            <w:r w:rsidRPr="00E50B51">
              <w:rPr>
                <w:sz w:val="20"/>
                <w:szCs w:val="20"/>
              </w:rPr>
              <w:t xml:space="preserve">Blut („of the </w:t>
            </w:r>
            <w:proofErr w:type="spellStart"/>
            <w:r w:rsidRPr="00E50B51">
              <w:rPr>
                <w:sz w:val="20"/>
                <w:szCs w:val="20"/>
              </w:rPr>
              <w:t>blood</w:t>
            </w:r>
            <w:proofErr w:type="spellEnd"/>
            <w:r w:rsidRPr="00E50B51">
              <w:rPr>
                <w:sz w:val="20"/>
                <w:szCs w:val="20"/>
              </w:rPr>
              <w:t>“) i</w:t>
            </w:r>
            <w:r>
              <w:rPr>
                <w:sz w:val="20"/>
                <w:szCs w:val="20"/>
              </w:rPr>
              <w:t>m</w:t>
            </w:r>
            <w:r w:rsidRPr="00E50B51">
              <w:rPr>
                <w:sz w:val="20"/>
                <w:szCs w:val="20"/>
              </w:rPr>
              <w:t xml:space="preserve"> </w:t>
            </w:r>
            <w:r w:rsidRPr="00B45592">
              <w:rPr>
                <w:i/>
                <w:sz w:val="20"/>
                <w:szCs w:val="20"/>
              </w:rPr>
              <w:t>Statute of 1822</w:t>
            </w:r>
            <w:r>
              <w:rPr>
                <w:sz w:val="20"/>
                <w:szCs w:val="20"/>
              </w:rPr>
              <w:t>.</w:t>
            </w:r>
            <w:r w:rsidRPr="00E50B51">
              <w:rPr>
                <w:rStyle w:val="Funotenzeichen"/>
                <w:sz w:val="20"/>
                <w:szCs w:val="20"/>
              </w:rPr>
              <w:footnoteReference w:id="48"/>
            </w:r>
            <w:r w:rsidRPr="00E50B51">
              <w:rPr>
                <w:sz w:val="20"/>
                <w:szCs w:val="20"/>
              </w:rPr>
              <w:t xml:space="preserve"> </w:t>
            </w:r>
            <w:r>
              <w:rPr>
                <w:sz w:val="20"/>
                <w:szCs w:val="20"/>
              </w:rPr>
              <w:t>Der Begriff</w:t>
            </w:r>
            <w:r w:rsidRPr="00E50B51">
              <w:rPr>
                <w:sz w:val="20"/>
                <w:szCs w:val="20"/>
              </w:rPr>
              <w:t xml:space="preserve"> umfasse auch Halbgeschwister. Richter </w:t>
            </w:r>
            <w:r w:rsidRPr="00B45592">
              <w:rPr>
                <w:i/>
                <w:sz w:val="20"/>
                <w:szCs w:val="20"/>
              </w:rPr>
              <w:t>Story</w:t>
            </w:r>
            <w:r w:rsidRPr="00E50B51">
              <w:rPr>
                <w:sz w:val="20"/>
                <w:szCs w:val="20"/>
              </w:rPr>
              <w:t xml:space="preserve"> erklärte, dass Gerichte die Absicht des Gesetzgebers nur aus de</w:t>
            </w:r>
            <w:r>
              <w:rPr>
                <w:sz w:val="20"/>
                <w:szCs w:val="20"/>
              </w:rPr>
              <w:t>n</w:t>
            </w:r>
            <w:r w:rsidRPr="00E50B51">
              <w:rPr>
                <w:sz w:val="20"/>
                <w:szCs w:val="20"/>
              </w:rPr>
              <w:t xml:space="preserve"> Worten ableiten soll</w:t>
            </w:r>
            <w:r>
              <w:rPr>
                <w:sz w:val="20"/>
                <w:szCs w:val="20"/>
              </w:rPr>
              <w:t>t</w:t>
            </w:r>
            <w:r w:rsidRPr="00E50B51">
              <w:rPr>
                <w:sz w:val="20"/>
                <w:szCs w:val="20"/>
              </w:rPr>
              <w:t>en. Auslegungen über die Worte hinaus seien unzulässig. Denn der Geist des Gesetzes müsse aus seinen Worten und nicht aus äußeren Vermutungen gezogen werden. Der Sinn des Wortes Blut für sich stehend mein</w:t>
            </w:r>
            <w:r>
              <w:rPr>
                <w:sz w:val="20"/>
                <w:szCs w:val="20"/>
              </w:rPr>
              <w:t>e</w:t>
            </w:r>
            <w:r w:rsidRPr="00E50B51">
              <w:rPr>
                <w:sz w:val="20"/>
                <w:szCs w:val="20"/>
              </w:rPr>
              <w:t xml:space="preserve"> sowohl volles als auch halbes Blut. Denn sowohl ein Halbbruder als auch eine Halbschwester sei </w:t>
            </w:r>
            <w:proofErr w:type="gramStart"/>
            <w:r w:rsidRPr="00E50B51">
              <w:rPr>
                <w:sz w:val="20"/>
                <w:szCs w:val="20"/>
              </w:rPr>
              <w:t>vom Blute</w:t>
            </w:r>
            <w:proofErr w:type="gramEnd"/>
            <w:r w:rsidRPr="00E50B51">
              <w:rPr>
                <w:sz w:val="20"/>
                <w:szCs w:val="20"/>
              </w:rPr>
              <w:t xml:space="preserve"> des Erblassers. Beide Teile inhärier</w:t>
            </w:r>
            <w:r>
              <w:rPr>
                <w:sz w:val="20"/>
                <w:szCs w:val="20"/>
              </w:rPr>
              <w:t>t</w:t>
            </w:r>
            <w:r w:rsidRPr="00E50B51">
              <w:rPr>
                <w:sz w:val="20"/>
                <w:szCs w:val="20"/>
              </w:rPr>
              <w:t xml:space="preserve">en das Blut eines gemeinsamen Elternteils. Für diese Auslegung spricht auch das Common Law. Hiernach bedeutet Blut, dass jemand, der auch nur einen kleinen Teil desselben Blutes von einem gemeinsamen Vorfahren hat, als vom </w:t>
            </w:r>
            <w:r>
              <w:rPr>
                <w:sz w:val="20"/>
                <w:szCs w:val="20"/>
              </w:rPr>
              <w:t xml:space="preserve">selben </w:t>
            </w:r>
            <w:r w:rsidRPr="00E50B51">
              <w:rPr>
                <w:sz w:val="20"/>
                <w:szCs w:val="20"/>
              </w:rPr>
              <w:t>Blute angesehen wer</w:t>
            </w:r>
            <w:r>
              <w:rPr>
                <w:sz w:val="20"/>
                <w:szCs w:val="20"/>
              </w:rPr>
              <w:t>den</w:t>
            </w:r>
            <w:r w:rsidRPr="00E50B51">
              <w:rPr>
                <w:sz w:val="20"/>
                <w:szCs w:val="20"/>
              </w:rPr>
              <w:t xml:space="preserve"> kann. Damit umfasse der Begriff Blut im Erbrecht von Rhode Island Halbgeschwister. </w:t>
            </w:r>
          </w:p>
        </w:tc>
        <w:tc>
          <w:tcPr>
            <w:tcW w:w="1822" w:type="pct"/>
          </w:tcPr>
          <w:p w14:paraId="69B301DE" w14:textId="77777777" w:rsidR="00074551" w:rsidRPr="00B45592" w:rsidRDefault="00074551" w:rsidP="00367133">
            <w:pPr>
              <w:jc w:val="both"/>
              <w:rPr>
                <w:i/>
                <w:sz w:val="20"/>
                <w:szCs w:val="20"/>
                <w:lang w:val="en-IE"/>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IE"/>
              </w:rPr>
              <w:t>Governments › Courts › Common Law</w:t>
            </w:r>
          </w:p>
          <w:p w14:paraId="135B89A7" w14:textId="77777777" w:rsidR="00074551" w:rsidRPr="00B45592" w:rsidRDefault="00074551" w:rsidP="00367133">
            <w:pPr>
              <w:jc w:val="both"/>
              <w:rPr>
                <w:sz w:val="20"/>
                <w:szCs w:val="20"/>
                <w:lang w:val="en-IE"/>
              </w:rPr>
            </w:pPr>
          </w:p>
          <w:p w14:paraId="39BC83A4" w14:textId="77777777" w:rsidR="00074551" w:rsidRPr="00E50B51" w:rsidRDefault="00074551" w:rsidP="00367133">
            <w:pPr>
              <w:jc w:val="both"/>
              <w:rPr>
                <w:sz w:val="20"/>
                <w:szCs w:val="20"/>
              </w:rPr>
            </w:pPr>
            <w:r w:rsidRPr="00E50B51">
              <w:rPr>
                <w:sz w:val="20"/>
                <w:szCs w:val="20"/>
              </w:rPr>
              <w:t xml:space="preserve">Das Statut von Rhode Island aus dem Jahr 1822 hebt in bestimmten Fällen die Erbfolgeregelungen des </w:t>
            </w:r>
            <w:r w:rsidRPr="00B45592">
              <w:rPr>
                <w:i/>
                <w:sz w:val="20"/>
                <w:szCs w:val="20"/>
              </w:rPr>
              <w:t>Common Law</w:t>
            </w:r>
            <w:r w:rsidRPr="00E50B51">
              <w:rPr>
                <w:sz w:val="20"/>
                <w:szCs w:val="20"/>
              </w:rPr>
              <w:t xml:space="preserve"> auf und führt die Abstammung auf die Erben des Ersterwerbers zurück. Die herkömmlichen Erbfolgeregelungen des Common Law werden durch dieses Gesetz überregelt.</w:t>
            </w:r>
            <w:r w:rsidRPr="00E50B51">
              <w:rPr>
                <w:rStyle w:val="Funotenzeichen"/>
                <w:sz w:val="20"/>
                <w:szCs w:val="20"/>
              </w:rPr>
              <w:footnoteReference w:id="49"/>
            </w:r>
          </w:p>
          <w:p w14:paraId="1012F85B" w14:textId="77777777" w:rsidR="00074551" w:rsidRPr="00E50B51" w:rsidRDefault="00074551" w:rsidP="00367133">
            <w:pPr>
              <w:jc w:val="both"/>
              <w:rPr>
                <w:sz w:val="20"/>
                <w:szCs w:val="20"/>
              </w:rPr>
            </w:pPr>
          </w:p>
          <w:p w14:paraId="42CE835D" w14:textId="77777777" w:rsidR="00074551" w:rsidRDefault="00074551" w:rsidP="00367133">
            <w:pPr>
              <w:jc w:val="both"/>
              <w:rPr>
                <w:sz w:val="20"/>
                <w:szCs w:val="20"/>
              </w:rPr>
            </w:pPr>
            <w:r w:rsidRPr="00E50B51">
              <w:rPr>
                <w:sz w:val="20"/>
                <w:szCs w:val="20"/>
              </w:rPr>
              <w:t>Das Abstammungsrecht ha</w:t>
            </w:r>
            <w:r>
              <w:rPr>
                <w:sz w:val="20"/>
                <w:szCs w:val="20"/>
              </w:rPr>
              <w:t>be</w:t>
            </w:r>
            <w:r w:rsidRPr="00E50B51">
              <w:rPr>
                <w:sz w:val="20"/>
                <w:szCs w:val="20"/>
              </w:rPr>
              <w:t xml:space="preserve"> zwei Zwecke: Erstens</w:t>
            </w:r>
            <w:r>
              <w:rPr>
                <w:sz w:val="20"/>
                <w:szCs w:val="20"/>
              </w:rPr>
              <w:t>,</w:t>
            </w:r>
            <w:r w:rsidRPr="00E50B51">
              <w:rPr>
                <w:sz w:val="20"/>
                <w:szCs w:val="20"/>
              </w:rPr>
              <w:t xml:space="preserve"> das Erbe in der Familie zu bewahren. Dies sei ein Diktat der Natur</w:t>
            </w:r>
            <w:r>
              <w:rPr>
                <w:sz w:val="20"/>
                <w:szCs w:val="20"/>
              </w:rPr>
              <w:t>, welches nötig sei</w:t>
            </w:r>
            <w:r w:rsidRPr="00E50B51">
              <w:rPr>
                <w:sz w:val="20"/>
                <w:szCs w:val="20"/>
              </w:rPr>
              <w:t>, um zu Anstrengungen anzu</w:t>
            </w:r>
            <w:r>
              <w:rPr>
                <w:sz w:val="20"/>
                <w:szCs w:val="20"/>
              </w:rPr>
              <w:t>spornen</w:t>
            </w:r>
            <w:r w:rsidRPr="00E50B51">
              <w:rPr>
                <w:sz w:val="20"/>
                <w:szCs w:val="20"/>
              </w:rPr>
              <w:t xml:space="preserve"> und um Familieneigentum aufbauen zu können, womit die Grundlage für das Glück der Familie geschaffen werde</w:t>
            </w:r>
            <w:r>
              <w:rPr>
                <w:sz w:val="20"/>
                <w:szCs w:val="20"/>
              </w:rPr>
              <w:t xml:space="preserve"> </w:t>
            </w:r>
            <w:r w:rsidRPr="00E50B51">
              <w:rPr>
                <w:sz w:val="20"/>
                <w:szCs w:val="20"/>
              </w:rPr>
              <w:t xml:space="preserve">(„The </w:t>
            </w:r>
            <w:proofErr w:type="spellStart"/>
            <w:r w:rsidRPr="00E50B51">
              <w:rPr>
                <w:sz w:val="20"/>
                <w:szCs w:val="20"/>
              </w:rPr>
              <w:t>common</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 xml:space="preserve"> of </w:t>
            </w:r>
            <w:proofErr w:type="spellStart"/>
            <w:r w:rsidRPr="00E50B51">
              <w:rPr>
                <w:sz w:val="20"/>
                <w:szCs w:val="20"/>
              </w:rPr>
              <w:t>descent</w:t>
            </w:r>
            <w:proofErr w:type="spellEnd"/>
            <w:r w:rsidRPr="00E50B51">
              <w:rPr>
                <w:sz w:val="20"/>
                <w:szCs w:val="20"/>
              </w:rPr>
              <w:t xml:space="preserve"> of England </w:t>
            </w:r>
            <w:proofErr w:type="spellStart"/>
            <w:r w:rsidRPr="00E50B51">
              <w:rPr>
                <w:sz w:val="20"/>
                <w:szCs w:val="20"/>
              </w:rPr>
              <w:t>has</w:t>
            </w:r>
            <w:proofErr w:type="spellEnd"/>
            <w:r w:rsidRPr="00E50B51">
              <w:rPr>
                <w:sz w:val="20"/>
                <w:szCs w:val="20"/>
              </w:rPr>
              <w:t xml:space="preserve"> </w:t>
            </w:r>
            <w:proofErr w:type="spellStart"/>
            <w:r w:rsidRPr="00E50B51">
              <w:rPr>
                <w:sz w:val="20"/>
                <w:szCs w:val="20"/>
              </w:rPr>
              <w:t>two</w:t>
            </w:r>
            <w:proofErr w:type="spellEnd"/>
            <w:r w:rsidRPr="00E50B51">
              <w:rPr>
                <w:sz w:val="20"/>
                <w:szCs w:val="20"/>
              </w:rPr>
              <w:t xml:space="preserve"> </w:t>
            </w:r>
            <w:proofErr w:type="spellStart"/>
            <w:r w:rsidRPr="00E50B51">
              <w:rPr>
                <w:sz w:val="20"/>
                <w:szCs w:val="20"/>
              </w:rPr>
              <w:t>leading</w:t>
            </w:r>
            <w:proofErr w:type="spellEnd"/>
            <w:r w:rsidRPr="00E50B51">
              <w:rPr>
                <w:sz w:val="20"/>
                <w:szCs w:val="20"/>
              </w:rPr>
              <w:t xml:space="preserve"> </w:t>
            </w:r>
            <w:proofErr w:type="spellStart"/>
            <w:r w:rsidRPr="00E50B51">
              <w:rPr>
                <w:sz w:val="20"/>
                <w:szCs w:val="20"/>
              </w:rPr>
              <w:t>objects</w:t>
            </w:r>
            <w:proofErr w:type="spellEnd"/>
            <w:r w:rsidRPr="00E50B51">
              <w:rPr>
                <w:sz w:val="20"/>
                <w:szCs w:val="20"/>
              </w:rPr>
              <w:t xml:space="preserve"> in </w:t>
            </w:r>
            <w:proofErr w:type="spellStart"/>
            <w:r w:rsidRPr="00E50B51">
              <w:rPr>
                <w:sz w:val="20"/>
                <w:szCs w:val="20"/>
              </w:rPr>
              <w:t>view</w:t>
            </w:r>
            <w:proofErr w:type="spellEnd"/>
            <w:r w:rsidRPr="00E50B51">
              <w:rPr>
                <w:sz w:val="20"/>
                <w:szCs w:val="20"/>
              </w:rPr>
              <w:t xml:space="preserve">; </w:t>
            </w:r>
            <w:proofErr w:type="spellStart"/>
            <w:r w:rsidRPr="00E50B51">
              <w:rPr>
                <w:sz w:val="20"/>
                <w:szCs w:val="20"/>
              </w:rPr>
              <w:t>one</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w:t>
            </w:r>
            <w:r>
              <w:rPr>
                <w:sz w:val="20"/>
                <w:szCs w:val="20"/>
              </w:rPr>
              <w:t>…</w:t>
            </w:r>
            <w:r w:rsidRPr="00E50B51">
              <w:rPr>
                <w:sz w:val="20"/>
                <w:szCs w:val="20"/>
              </w:rPr>
              <w:t xml:space="preserve">] </w:t>
            </w:r>
            <w:proofErr w:type="spellStart"/>
            <w:r w:rsidRPr="00E50B51">
              <w:rPr>
                <w:sz w:val="20"/>
                <w:szCs w:val="20"/>
              </w:rPr>
              <w:t>perpetuating</w:t>
            </w:r>
            <w:proofErr w:type="spellEnd"/>
            <w:r w:rsidRPr="00E50B51">
              <w:rPr>
                <w:sz w:val="20"/>
                <w:szCs w:val="20"/>
              </w:rPr>
              <w:t xml:space="preserve"> a </w:t>
            </w:r>
            <w:proofErr w:type="spellStart"/>
            <w:r w:rsidRPr="00E50B51">
              <w:rPr>
                <w:sz w:val="20"/>
                <w:szCs w:val="20"/>
              </w:rPr>
              <w:t>family</w:t>
            </w:r>
            <w:proofErr w:type="spellEnd"/>
            <w:r w:rsidRPr="00E50B51">
              <w:rPr>
                <w:sz w:val="20"/>
                <w:szCs w:val="20"/>
              </w:rPr>
              <w:t xml:space="preserve">, and </w:t>
            </w:r>
            <w:proofErr w:type="spellStart"/>
            <w:r w:rsidRPr="00E50B51">
              <w:rPr>
                <w:sz w:val="20"/>
                <w:szCs w:val="20"/>
              </w:rPr>
              <w:t>providing</w:t>
            </w:r>
            <w:proofErr w:type="spellEnd"/>
            <w:r w:rsidRPr="00E50B51">
              <w:rPr>
                <w:sz w:val="20"/>
                <w:szCs w:val="20"/>
              </w:rPr>
              <w:t xml:space="preserve"> for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happiness</w:t>
            </w:r>
            <w:proofErr w:type="spellEnd"/>
            <w:r w:rsidRPr="00E50B51">
              <w:rPr>
                <w:sz w:val="20"/>
                <w:szCs w:val="20"/>
              </w:rPr>
              <w:t>“</w:t>
            </w:r>
            <w:r w:rsidRPr="00E50B51">
              <w:rPr>
                <w:rStyle w:val="Funotenzeichen"/>
                <w:sz w:val="20"/>
                <w:szCs w:val="20"/>
              </w:rPr>
              <w:footnoteReference w:id="50"/>
            </w:r>
            <w:r w:rsidRPr="00E50B51">
              <w:rPr>
                <w:sz w:val="20"/>
                <w:szCs w:val="20"/>
              </w:rPr>
              <w:t>). Der zweite Zweck laute, das Erbe in seiner Gesamtheit zu erhalten und damit Verantwortlichkeit zu sichern</w:t>
            </w:r>
            <w:r>
              <w:rPr>
                <w:sz w:val="20"/>
                <w:szCs w:val="20"/>
              </w:rPr>
              <w:t>. Das bedeute</w:t>
            </w:r>
            <w:r w:rsidRPr="00E50B51">
              <w:rPr>
                <w:sz w:val="20"/>
                <w:szCs w:val="20"/>
              </w:rPr>
              <w:t xml:space="preserve"> konkret</w:t>
            </w:r>
            <w:r>
              <w:rPr>
                <w:sz w:val="20"/>
                <w:szCs w:val="20"/>
              </w:rPr>
              <w:t>, dass</w:t>
            </w:r>
            <w:r w:rsidRPr="00E50B51">
              <w:rPr>
                <w:sz w:val="20"/>
                <w:szCs w:val="20"/>
              </w:rPr>
              <w:t xml:space="preserve"> das Erbe im Zweifel und vorerst bei nur einem Vertreter der Familie verbleibe. Dies sei ein staatspolitisches Ziel.</w:t>
            </w:r>
            <w:r w:rsidRPr="00E50B51">
              <w:rPr>
                <w:rStyle w:val="Funotenzeichen"/>
                <w:sz w:val="20"/>
                <w:szCs w:val="20"/>
              </w:rPr>
              <w:footnoteReference w:id="51"/>
            </w:r>
          </w:p>
          <w:p w14:paraId="07926B7E" w14:textId="77777777" w:rsidR="00074551" w:rsidRPr="00E50B51" w:rsidRDefault="00074551" w:rsidP="00367133">
            <w:pPr>
              <w:jc w:val="both"/>
              <w:rPr>
                <w:sz w:val="20"/>
                <w:szCs w:val="20"/>
              </w:rPr>
            </w:pPr>
          </w:p>
        </w:tc>
      </w:tr>
      <w:tr w:rsidR="00074551" w:rsidRPr="00E50B51" w14:paraId="585553BC" w14:textId="77777777" w:rsidTr="00752D01">
        <w:trPr>
          <w:cantSplit/>
          <w:trHeight w:val="3175"/>
        </w:trPr>
        <w:tc>
          <w:tcPr>
            <w:tcW w:w="293" w:type="pct"/>
            <w:shd w:val="clear" w:color="auto" w:fill="E7E6E6" w:themeFill="background2"/>
          </w:tcPr>
          <w:p w14:paraId="065A84A6" w14:textId="77777777" w:rsidR="00074551" w:rsidRPr="00E50B51" w:rsidRDefault="00074551" w:rsidP="00367133">
            <w:pPr>
              <w:jc w:val="center"/>
              <w:rPr>
                <w:sz w:val="20"/>
                <w:szCs w:val="20"/>
              </w:rPr>
            </w:pPr>
            <w:r w:rsidRPr="00E50B51">
              <w:rPr>
                <w:sz w:val="20"/>
                <w:szCs w:val="20"/>
              </w:rPr>
              <w:lastRenderedPageBreak/>
              <w:t>H</w:t>
            </w:r>
          </w:p>
        </w:tc>
        <w:tc>
          <w:tcPr>
            <w:tcW w:w="387" w:type="pct"/>
            <w:shd w:val="clear" w:color="auto" w:fill="E7E6E6" w:themeFill="background2"/>
            <w:textDirection w:val="tbRl"/>
            <w:vAlign w:val="center"/>
          </w:tcPr>
          <w:p w14:paraId="599F8C20" w14:textId="77777777" w:rsidR="00074551" w:rsidRPr="00E50B51" w:rsidRDefault="00074551" w:rsidP="00367133">
            <w:pPr>
              <w:ind w:left="113" w:right="113"/>
              <w:jc w:val="both"/>
              <w:rPr>
                <w:sz w:val="20"/>
                <w:szCs w:val="20"/>
                <w:lang w:val="en-US"/>
              </w:rPr>
            </w:pPr>
            <w:r w:rsidRPr="00E50B51">
              <w:rPr>
                <w:sz w:val="20"/>
                <w:szCs w:val="20"/>
              </w:rPr>
              <w:t>Wirtschaftliche Seite</w:t>
            </w:r>
          </w:p>
        </w:tc>
        <w:tc>
          <w:tcPr>
            <w:tcW w:w="197" w:type="pct"/>
            <w:shd w:val="clear" w:color="auto" w:fill="E7E6E6" w:themeFill="background2"/>
            <w:textDirection w:val="tbRl"/>
            <w:vAlign w:val="center"/>
          </w:tcPr>
          <w:p w14:paraId="58CF8DD3" w14:textId="77777777" w:rsidR="00074551" w:rsidRPr="00E50B51" w:rsidRDefault="00074551" w:rsidP="00367133">
            <w:pPr>
              <w:ind w:left="113" w:right="113"/>
              <w:jc w:val="both"/>
              <w:rPr>
                <w:sz w:val="20"/>
                <w:szCs w:val="20"/>
                <w:lang w:val="en-US"/>
              </w:rPr>
            </w:pPr>
            <w:r w:rsidRPr="00E50B51">
              <w:rPr>
                <w:sz w:val="20"/>
                <w:szCs w:val="20"/>
              </w:rPr>
              <w:t>Property</w:t>
            </w:r>
          </w:p>
        </w:tc>
        <w:tc>
          <w:tcPr>
            <w:tcW w:w="306" w:type="pct"/>
            <w:shd w:val="clear" w:color="auto" w:fill="E7E6E6" w:themeFill="background2"/>
            <w:textDirection w:val="tbRl"/>
            <w:vAlign w:val="center"/>
          </w:tcPr>
          <w:p w14:paraId="2D80CE91" w14:textId="77777777" w:rsidR="00074551" w:rsidRPr="00E50B51" w:rsidRDefault="00074551" w:rsidP="00367133">
            <w:pPr>
              <w:ind w:left="113" w:right="113"/>
              <w:jc w:val="both"/>
              <w:rPr>
                <w:sz w:val="20"/>
                <w:szCs w:val="20"/>
              </w:rPr>
            </w:pPr>
            <w:r w:rsidRPr="00E50B51">
              <w:rPr>
                <w:sz w:val="20"/>
                <w:szCs w:val="20"/>
              </w:rPr>
              <w:t>Public Lands</w:t>
            </w:r>
          </w:p>
        </w:tc>
        <w:tc>
          <w:tcPr>
            <w:tcW w:w="401" w:type="pct"/>
            <w:shd w:val="clear" w:color="auto" w:fill="E7E6E6" w:themeFill="background2"/>
          </w:tcPr>
          <w:p w14:paraId="41814E44"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18A46C62" w14:textId="77777777" w:rsidR="00074551" w:rsidRPr="00E50B51" w:rsidRDefault="00074551" w:rsidP="00367133">
            <w:pPr>
              <w:jc w:val="both"/>
              <w:rPr>
                <w:sz w:val="20"/>
                <w:szCs w:val="20"/>
              </w:rPr>
            </w:pPr>
          </w:p>
        </w:tc>
        <w:tc>
          <w:tcPr>
            <w:tcW w:w="1822" w:type="pct"/>
            <w:shd w:val="clear" w:color="auto" w:fill="E7E6E6" w:themeFill="background2"/>
          </w:tcPr>
          <w:p w14:paraId="76DEB1BB" w14:textId="76F96C36"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5FDC15FB" w14:textId="77777777" w:rsidTr="00BE689F">
        <w:trPr>
          <w:cantSplit/>
          <w:trHeight w:val="3175"/>
        </w:trPr>
        <w:tc>
          <w:tcPr>
            <w:tcW w:w="293" w:type="pct"/>
          </w:tcPr>
          <w:p w14:paraId="5C7A366D" w14:textId="77777777" w:rsidR="00074551" w:rsidRPr="00E50B51" w:rsidRDefault="00074551" w:rsidP="00367133">
            <w:pPr>
              <w:jc w:val="center"/>
              <w:rPr>
                <w:sz w:val="20"/>
                <w:szCs w:val="20"/>
              </w:rPr>
            </w:pPr>
            <w:r w:rsidRPr="00E50B51">
              <w:rPr>
                <w:sz w:val="20"/>
                <w:szCs w:val="20"/>
                <w:lang w:val="en-US"/>
              </w:rPr>
              <w:lastRenderedPageBreak/>
              <w:t>H</w:t>
            </w:r>
          </w:p>
        </w:tc>
        <w:tc>
          <w:tcPr>
            <w:tcW w:w="387" w:type="pct"/>
            <w:textDirection w:val="tbRl"/>
            <w:vAlign w:val="center"/>
          </w:tcPr>
          <w:p w14:paraId="5786D959" w14:textId="77777777" w:rsidR="00074551" w:rsidRPr="00E50B51" w:rsidRDefault="00074551" w:rsidP="00367133">
            <w:pPr>
              <w:ind w:left="113" w:right="113"/>
              <w:jc w:val="both"/>
              <w:rPr>
                <w:sz w:val="20"/>
                <w:szCs w:val="20"/>
                <w:lang w:val="en-US"/>
              </w:rPr>
            </w:pPr>
            <w:r w:rsidRPr="008F73D7">
              <w:rPr>
                <w:i/>
                <w:sz w:val="20"/>
                <w:szCs w:val="20"/>
                <w:lang w:val="en-US"/>
              </w:rPr>
              <w:t>Barden v. Northern Pacific Railroad</w:t>
            </w:r>
          </w:p>
        </w:tc>
        <w:tc>
          <w:tcPr>
            <w:tcW w:w="197" w:type="pct"/>
            <w:textDirection w:val="tbRl"/>
            <w:vAlign w:val="center"/>
          </w:tcPr>
          <w:p w14:paraId="6B4D1ECB" w14:textId="77777777" w:rsidR="00074551" w:rsidRPr="00E50B51" w:rsidRDefault="00074551" w:rsidP="00367133">
            <w:pPr>
              <w:ind w:left="113" w:right="113"/>
              <w:jc w:val="both"/>
              <w:rPr>
                <w:sz w:val="20"/>
                <w:szCs w:val="20"/>
                <w:lang w:val="en-US"/>
              </w:rPr>
            </w:pPr>
            <w:r w:rsidRPr="00E50B51">
              <w:rPr>
                <w:sz w:val="20"/>
                <w:szCs w:val="20"/>
              </w:rPr>
              <w:t>154 U.S. 288</w:t>
            </w:r>
          </w:p>
        </w:tc>
        <w:tc>
          <w:tcPr>
            <w:tcW w:w="306" w:type="pct"/>
            <w:textDirection w:val="tbRl"/>
            <w:vAlign w:val="center"/>
          </w:tcPr>
          <w:p w14:paraId="08A34E6E" w14:textId="77777777" w:rsidR="00074551" w:rsidRPr="00E50B51" w:rsidRDefault="00074551" w:rsidP="00367133">
            <w:pPr>
              <w:ind w:left="113" w:right="113"/>
              <w:jc w:val="both"/>
              <w:rPr>
                <w:sz w:val="20"/>
                <w:szCs w:val="20"/>
              </w:rPr>
            </w:pPr>
            <w:r w:rsidRPr="00E50B51">
              <w:rPr>
                <w:sz w:val="20"/>
                <w:szCs w:val="20"/>
              </w:rPr>
              <w:t>26. Mai 1894</w:t>
            </w:r>
          </w:p>
        </w:tc>
        <w:tc>
          <w:tcPr>
            <w:tcW w:w="401" w:type="pct"/>
          </w:tcPr>
          <w:p w14:paraId="7C048F06"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55EFDACE" w14:textId="77777777" w:rsidR="00074551" w:rsidRPr="00E50B51" w:rsidRDefault="00074551" w:rsidP="00367133">
            <w:pPr>
              <w:jc w:val="both"/>
              <w:rPr>
                <w:sz w:val="20"/>
                <w:szCs w:val="20"/>
              </w:rPr>
            </w:pPr>
            <w:r w:rsidRPr="00E50B51">
              <w:rPr>
                <w:sz w:val="20"/>
                <w:szCs w:val="20"/>
              </w:rPr>
              <w:t>Das Bundesgesetz 13 Stat. 365</w:t>
            </w:r>
            <w:r w:rsidRPr="00E50B51">
              <w:rPr>
                <w:rStyle w:val="Funotenzeichen"/>
                <w:sz w:val="20"/>
                <w:szCs w:val="20"/>
              </w:rPr>
              <w:footnoteReference w:id="52"/>
            </w:r>
            <w:r w:rsidRPr="00E50B51">
              <w:rPr>
                <w:sz w:val="20"/>
                <w:szCs w:val="20"/>
              </w:rPr>
              <w:t xml:space="preserve"> sprach einer Eisenbahngesellschaft 20 alternierende Grundstücksabschnitt</w:t>
            </w:r>
            <w:r>
              <w:rPr>
                <w:sz w:val="20"/>
                <w:szCs w:val="20"/>
              </w:rPr>
              <w:t>e</w:t>
            </w:r>
            <w:r w:rsidRPr="00E50B51">
              <w:rPr>
                <w:sz w:val="20"/>
                <w:szCs w:val="20"/>
              </w:rPr>
              <w:t xml:space="preserve"> zu. Das zugewiesene Gebiet </w:t>
            </w:r>
            <w:r>
              <w:rPr>
                <w:sz w:val="20"/>
                <w:szCs w:val="20"/>
              </w:rPr>
              <w:t>umfasste</w:t>
            </w:r>
            <w:r w:rsidRPr="00E50B51">
              <w:rPr>
                <w:sz w:val="20"/>
                <w:szCs w:val="20"/>
              </w:rPr>
              <w:t xml:space="preserve"> 80.000 Quadratmeilen. Die Eisenbahngesellschaft klagte nun gegen die Beklagten. Sie meinte, diese </w:t>
            </w:r>
            <w:r>
              <w:rPr>
                <w:sz w:val="20"/>
                <w:szCs w:val="20"/>
              </w:rPr>
              <w:t>hätten</w:t>
            </w:r>
            <w:r w:rsidRPr="00E50B51">
              <w:rPr>
                <w:sz w:val="20"/>
                <w:szCs w:val="20"/>
              </w:rPr>
              <w:t xml:space="preserve"> ohne ihre Zustimmung u.a. Edelmetalle auf den</w:t>
            </w:r>
            <w:r>
              <w:rPr>
                <w:sz w:val="20"/>
                <w:szCs w:val="20"/>
              </w:rPr>
              <w:t xml:space="preserve"> ihr</w:t>
            </w:r>
            <w:r w:rsidRPr="00E50B51">
              <w:rPr>
                <w:sz w:val="20"/>
                <w:szCs w:val="20"/>
              </w:rPr>
              <w:t xml:space="preserve"> gesetzlich zugewiesenen Grundstücksparzellen erschlossen. Die Eisenbahn begehrte daher die Rückgabe des Besitzes dieser Parzellen </w:t>
            </w:r>
            <w:r>
              <w:rPr>
                <w:sz w:val="20"/>
                <w:szCs w:val="20"/>
              </w:rPr>
              <w:t>einschließlich der errichteten</w:t>
            </w:r>
            <w:r w:rsidRPr="00E50B51">
              <w:rPr>
                <w:sz w:val="20"/>
                <w:szCs w:val="20"/>
              </w:rPr>
              <w:t xml:space="preserve"> Minen, den Wert der Edelmetalle sowie die Verfahrenskosten. Die Vorinstanzen gaben der Eisenbahngesellschaft Recht. Bei der Überprüfung hob der </w:t>
            </w:r>
            <w:r>
              <w:rPr>
                <w:sz w:val="20"/>
                <w:szCs w:val="20"/>
              </w:rPr>
              <w:t>U.S. Supreme Court</w:t>
            </w:r>
            <w:r w:rsidRPr="00E50B51">
              <w:rPr>
                <w:sz w:val="20"/>
                <w:szCs w:val="20"/>
              </w:rPr>
              <w:t xml:space="preserve"> die Urteile der Vorinstanzen allerdings auf. Er verwies insoweit zurück, ein Urteil </w:t>
            </w:r>
            <w:r>
              <w:rPr>
                <w:sz w:val="20"/>
                <w:szCs w:val="20"/>
              </w:rPr>
              <w:t>zugunsten</w:t>
            </w:r>
            <w:r w:rsidRPr="00E50B51">
              <w:rPr>
                <w:sz w:val="20"/>
                <w:szCs w:val="20"/>
              </w:rPr>
              <w:t xml:space="preserve"> der Beklagten zu</w:t>
            </w:r>
            <w:r>
              <w:rPr>
                <w:sz w:val="20"/>
                <w:szCs w:val="20"/>
              </w:rPr>
              <w:t xml:space="preserve"> </w:t>
            </w:r>
            <w:r w:rsidRPr="00E50B51">
              <w:rPr>
                <w:sz w:val="20"/>
                <w:szCs w:val="20"/>
              </w:rPr>
              <w:t>treffen. Denn der Titel der Eisenbahngesellschaft erstrecke sich nicht auf die Mineralien innerhalb ihrer Grundstücke. Die Eisenbahngesellschaft könne keinen Anspruch auf den Besitz der mineralhaltigen Grundstücke nachweisen.</w:t>
            </w:r>
            <w:r w:rsidRPr="00E50B51">
              <w:rPr>
                <w:rStyle w:val="Funotenzeichen"/>
                <w:sz w:val="20"/>
                <w:szCs w:val="20"/>
              </w:rPr>
              <w:footnoteReference w:id="53"/>
            </w:r>
          </w:p>
        </w:tc>
        <w:tc>
          <w:tcPr>
            <w:tcW w:w="1822" w:type="pct"/>
          </w:tcPr>
          <w:p w14:paraId="6DA9F3D0" w14:textId="77777777" w:rsidR="00074551" w:rsidRPr="00B45592" w:rsidRDefault="00074551" w:rsidP="00367133">
            <w:pPr>
              <w:jc w:val="both"/>
              <w:rPr>
                <w:i/>
                <w:sz w:val="20"/>
                <w:szCs w:val="20"/>
                <w:lang w:val="en-IE"/>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IE"/>
              </w:rPr>
              <w:t>Governments › Public Lands › General Overview</w:t>
            </w:r>
          </w:p>
          <w:p w14:paraId="2BFB70BE" w14:textId="77777777" w:rsidR="00074551" w:rsidRPr="00B45592" w:rsidRDefault="00074551" w:rsidP="00367133">
            <w:pPr>
              <w:jc w:val="both"/>
              <w:rPr>
                <w:sz w:val="20"/>
                <w:szCs w:val="20"/>
                <w:lang w:val="en-IE"/>
              </w:rPr>
            </w:pPr>
          </w:p>
          <w:p w14:paraId="6820FE5D" w14:textId="77777777" w:rsidR="00074551" w:rsidRPr="00E50B51" w:rsidRDefault="00074551" w:rsidP="00367133">
            <w:pPr>
              <w:jc w:val="both"/>
              <w:rPr>
                <w:sz w:val="20"/>
                <w:szCs w:val="20"/>
              </w:rPr>
            </w:pPr>
            <w:r w:rsidRPr="00E50B51">
              <w:rPr>
                <w:sz w:val="20"/>
                <w:szCs w:val="20"/>
              </w:rPr>
              <w:t>Die Politik des Kongresses, ausgedrückt durch zahlreiche Landzuweisungen zur Förderung des Eisenbahnbaus, schloss stets mineralienhaltige Ländereien aus und reservierte sie für eine besondere Verwendung.</w:t>
            </w:r>
            <w:r w:rsidRPr="00E50B51">
              <w:rPr>
                <w:rStyle w:val="Funotenzeichen"/>
                <w:sz w:val="20"/>
                <w:szCs w:val="20"/>
              </w:rPr>
              <w:footnoteReference w:id="54"/>
            </w:r>
          </w:p>
          <w:p w14:paraId="54CB31B7" w14:textId="77777777" w:rsidR="00074551" w:rsidRPr="00E50B51" w:rsidRDefault="00074551" w:rsidP="00367133">
            <w:pPr>
              <w:jc w:val="both"/>
              <w:rPr>
                <w:sz w:val="20"/>
                <w:szCs w:val="20"/>
              </w:rPr>
            </w:pPr>
          </w:p>
          <w:p w14:paraId="123F23F5" w14:textId="77777777" w:rsidR="00074551" w:rsidRDefault="00074551" w:rsidP="00367133">
            <w:pPr>
              <w:jc w:val="both"/>
              <w:rPr>
                <w:sz w:val="20"/>
                <w:szCs w:val="20"/>
              </w:rPr>
            </w:pPr>
            <w:r w:rsidRPr="00E50B51">
              <w:rPr>
                <w:sz w:val="20"/>
                <w:szCs w:val="20"/>
              </w:rPr>
              <w:t xml:space="preserve">Doch woher kommt diese restriktive Abtretungsrechtsprechung von der Regierung Richtung Privaten? Die ständige Rechtsprechung des </w:t>
            </w:r>
            <w:r>
              <w:rPr>
                <w:sz w:val="20"/>
                <w:szCs w:val="20"/>
              </w:rPr>
              <w:t>U.S. Supreme Court</w:t>
            </w:r>
            <w:r w:rsidRPr="00E50B51">
              <w:rPr>
                <w:sz w:val="20"/>
                <w:szCs w:val="20"/>
              </w:rPr>
              <w:t xml:space="preserve"> enthält eine Regel zu Zuschüssen für Angelegenheiten von öffentlichem Interesse: Das Ziel und der Zweck der Regierung sei es, das Glück und den Wohlstand der Gemeinschaft zu fördern („The </w:t>
            </w:r>
            <w:proofErr w:type="spellStart"/>
            <w:r w:rsidRPr="00E50B51">
              <w:rPr>
                <w:sz w:val="20"/>
                <w:szCs w:val="20"/>
              </w:rPr>
              <w:t>object</w:t>
            </w:r>
            <w:proofErr w:type="spellEnd"/>
            <w:r w:rsidRPr="00E50B51">
              <w:rPr>
                <w:sz w:val="20"/>
                <w:szCs w:val="20"/>
              </w:rPr>
              <w:t xml:space="preserve"> and end of all </w:t>
            </w:r>
            <w:proofErr w:type="spellStart"/>
            <w:r w:rsidRPr="00E50B51">
              <w:rPr>
                <w:sz w:val="20"/>
                <w:szCs w:val="20"/>
              </w:rPr>
              <w:t>government</w:t>
            </w:r>
            <w:proofErr w:type="spellEnd"/>
            <w:r w:rsidRPr="00E50B51">
              <w:rPr>
                <w:sz w:val="20"/>
                <w:szCs w:val="20"/>
              </w:rPr>
              <w:t xml:space="preserve"> […] </w:t>
            </w:r>
            <w:proofErr w:type="spellStart"/>
            <w:r w:rsidRPr="00E50B51">
              <w:rPr>
                <w:sz w:val="20"/>
                <w:szCs w:val="20"/>
              </w:rPr>
              <w:t>is</w:t>
            </w:r>
            <w:proofErr w:type="spellEnd"/>
            <w:r w:rsidRPr="00E50B51">
              <w:rPr>
                <w:sz w:val="20"/>
                <w:szCs w:val="20"/>
              </w:rPr>
              <w:t xml:space="preserve"> to promote the </w:t>
            </w:r>
            <w:proofErr w:type="spellStart"/>
            <w:r w:rsidRPr="00E50B51">
              <w:rPr>
                <w:sz w:val="20"/>
                <w:szCs w:val="20"/>
              </w:rPr>
              <w:t>happiness</w:t>
            </w:r>
            <w:proofErr w:type="spellEnd"/>
            <w:r w:rsidRPr="00E50B51">
              <w:rPr>
                <w:sz w:val="20"/>
                <w:szCs w:val="20"/>
              </w:rPr>
              <w:t xml:space="preserve"> and </w:t>
            </w:r>
            <w:proofErr w:type="spellStart"/>
            <w:r w:rsidRPr="00E50B51">
              <w:rPr>
                <w:sz w:val="20"/>
                <w:szCs w:val="20"/>
              </w:rPr>
              <w:t>prosperity</w:t>
            </w:r>
            <w:proofErr w:type="spellEnd"/>
            <w:r w:rsidRPr="00E50B51">
              <w:rPr>
                <w:sz w:val="20"/>
                <w:szCs w:val="20"/>
              </w:rPr>
              <w:t xml:space="preserve"> of the </w:t>
            </w:r>
            <w:proofErr w:type="spellStart"/>
            <w:r w:rsidRPr="00E50B51">
              <w:rPr>
                <w:sz w:val="20"/>
                <w:szCs w:val="20"/>
              </w:rPr>
              <w:t>community</w:t>
            </w:r>
            <w:proofErr w:type="spellEnd"/>
            <w:r w:rsidRPr="00E50B51">
              <w:rPr>
                <w:sz w:val="20"/>
                <w:szCs w:val="20"/>
              </w:rPr>
              <w:t>“</w:t>
            </w:r>
            <w:r w:rsidRPr="00E50B51">
              <w:rPr>
                <w:rStyle w:val="Funotenzeichen"/>
                <w:sz w:val="20"/>
                <w:szCs w:val="20"/>
              </w:rPr>
              <w:footnoteReference w:id="55"/>
            </w:r>
            <w:r w:rsidRPr="00E50B51">
              <w:rPr>
                <w:sz w:val="20"/>
                <w:szCs w:val="20"/>
              </w:rPr>
              <w:t xml:space="preserve">). Dafür gründete die Gemeinschaft die Regierung. Daher </w:t>
            </w:r>
            <w:r>
              <w:rPr>
                <w:sz w:val="20"/>
                <w:szCs w:val="20"/>
              </w:rPr>
              <w:t>könne</w:t>
            </w:r>
            <w:r w:rsidRPr="00E50B51">
              <w:rPr>
                <w:sz w:val="20"/>
                <w:szCs w:val="20"/>
              </w:rPr>
              <w:t xml:space="preserve"> man niemals annehmen, die Regierung beabsichtige, ihre Kompetenz an Private abzutreten, um genannte Zwecke zu erreichen. Denn die Gemeinschaft ha</w:t>
            </w:r>
            <w:r>
              <w:rPr>
                <w:sz w:val="20"/>
                <w:szCs w:val="20"/>
              </w:rPr>
              <w:t>be</w:t>
            </w:r>
            <w:r w:rsidRPr="00E50B51">
              <w:rPr>
                <w:sz w:val="20"/>
                <w:szCs w:val="20"/>
              </w:rPr>
              <w:t xml:space="preserve"> dafür die Regierung geschaffen, nicht Private. Die Regierung wäre also nur noch von geringem Wert, wenn ihr z.B. durch Abtretung in unwichtigen Bereichen</w:t>
            </w:r>
            <w:r>
              <w:rPr>
                <w:sz w:val="20"/>
                <w:szCs w:val="20"/>
              </w:rPr>
              <w:t> </w:t>
            </w:r>
            <w:r w:rsidRPr="00E50B51">
              <w:rPr>
                <w:sz w:val="20"/>
                <w:szCs w:val="20"/>
              </w:rPr>
              <w:t>– </w:t>
            </w:r>
            <w:r>
              <w:rPr>
                <w:sz w:val="20"/>
                <w:szCs w:val="20"/>
              </w:rPr>
              <w:t>etwa</w:t>
            </w:r>
            <w:r w:rsidRPr="00E50B51">
              <w:rPr>
                <w:sz w:val="20"/>
                <w:szCs w:val="20"/>
              </w:rPr>
              <w:t xml:space="preserve"> durch Konzessionen</w:t>
            </w:r>
            <w:r>
              <w:rPr>
                <w:sz w:val="20"/>
                <w:szCs w:val="20"/>
              </w:rPr>
              <w:t> </w:t>
            </w:r>
            <w:r w:rsidRPr="00E50B51">
              <w:rPr>
                <w:sz w:val="20"/>
                <w:szCs w:val="20"/>
              </w:rPr>
              <w:t>– später in unabdingbaren Bereichen – </w:t>
            </w:r>
            <w:r>
              <w:rPr>
                <w:sz w:val="20"/>
                <w:szCs w:val="20"/>
              </w:rPr>
              <w:t xml:space="preserve">etwa der Regelung </w:t>
            </w:r>
            <w:r w:rsidRPr="00E50B51">
              <w:rPr>
                <w:sz w:val="20"/>
                <w:szCs w:val="20"/>
              </w:rPr>
              <w:t>ganze</w:t>
            </w:r>
            <w:r>
              <w:rPr>
                <w:sz w:val="20"/>
                <w:szCs w:val="20"/>
              </w:rPr>
              <w:t>r</w:t>
            </w:r>
            <w:r w:rsidRPr="00E50B51">
              <w:rPr>
                <w:sz w:val="20"/>
                <w:szCs w:val="20"/>
              </w:rPr>
              <w:t xml:space="preserve"> Verkehrsrouten</w:t>
            </w:r>
            <w:r>
              <w:rPr>
                <w:sz w:val="20"/>
                <w:szCs w:val="20"/>
              </w:rPr>
              <w:t> </w:t>
            </w:r>
            <w:r w:rsidRPr="00E50B51">
              <w:rPr>
                <w:sz w:val="20"/>
                <w:szCs w:val="20"/>
              </w:rPr>
              <w:t xml:space="preserve">– ihre Kompetenz sukzessive entzogen würde. Denn die Kompetenz in zentralen Bereichen sei notwendig, damit die Regierung überhaupt die Ziele ihrer Gründung erreichen könne. Die Zwecke, Ziele und Funktionen, die sie erfüllen soll, </w:t>
            </w:r>
            <w:r>
              <w:rPr>
                <w:sz w:val="20"/>
                <w:szCs w:val="20"/>
              </w:rPr>
              <w:t>könne</w:t>
            </w:r>
            <w:r w:rsidRPr="00E50B51">
              <w:rPr>
                <w:sz w:val="20"/>
                <w:szCs w:val="20"/>
              </w:rPr>
              <w:t xml:space="preserve"> die Regierung daher niemals in die Hände Privater legen.</w:t>
            </w:r>
            <w:r w:rsidRPr="00E50B51">
              <w:rPr>
                <w:rStyle w:val="Funotenzeichen"/>
                <w:sz w:val="20"/>
                <w:szCs w:val="20"/>
              </w:rPr>
              <w:footnoteReference w:id="56"/>
            </w:r>
          </w:p>
          <w:p w14:paraId="1B5325C1" w14:textId="77777777" w:rsidR="00074551" w:rsidRPr="00E50B51" w:rsidRDefault="00074551" w:rsidP="00367133">
            <w:pPr>
              <w:jc w:val="both"/>
              <w:rPr>
                <w:sz w:val="20"/>
                <w:szCs w:val="20"/>
              </w:rPr>
            </w:pPr>
          </w:p>
        </w:tc>
      </w:tr>
      <w:tr w:rsidR="00074551" w:rsidRPr="00E50B51" w14:paraId="4D103CD5" w14:textId="77777777" w:rsidTr="00752D01">
        <w:trPr>
          <w:cantSplit/>
          <w:trHeight w:val="3175"/>
        </w:trPr>
        <w:tc>
          <w:tcPr>
            <w:tcW w:w="293" w:type="pct"/>
            <w:shd w:val="clear" w:color="auto" w:fill="E7E6E6" w:themeFill="background2"/>
          </w:tcPr>
          <w:p w14:paraId="19443938" w14:textId="77777777" w:rsidR="00074551" w:rsidRPr="00E50B51" w:rsidRDefault="00074551" w:rsidP="00367133">
            <w:pPr>
              <w:jc w:val="center"/>
              <w:rPr>
                <w:sz w:val="20"/>
                <w:szCs w:val="20"/>
              </w:rPr>
            </w:pPr>
            <w:r w:rsidRPr="00E50B51">
              <w:rPr>
                <w:sz w:val="20"/>
                <w:szCs w:val="20"/>
              </w:rPr>
              <w:lastRenderedPageBreak/>
              <w:t>H</w:t>
            </w:r>
          </w:p>
        </w:tc>
        <w:tc>
          <w:tcPr>
            <w:tcW w:w="387" w:type="pct"/>
            <w:shd w:val="clear" w:color="auto" w:fill="E7E6E6" w:themeFill="background2"/>
            <w:textDirection w:val="tbRl"/>
            <w:vAlign w:val="center"/>
          </w:tcPr>
          <w:p w14:paraId="6953D68F" w14:textId="77777777" w:rsidR="00074551" w:rsidRPr="00E50B51" w:rsidRDefault="00074551" w:rsidP="00367133">
            <w:pPr>
              <w:ind w:left="113" w:right="113"/>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505B1526" w14:textId="77777777" w:rsidR="00074551" w:rsidRPr="00E50B51" w:rsidRDefault="00074551" w:rsidP="00367133">
            <w:pPr>
              <w:ind w:left="113" w:right="113"/>
              <w:jc w:val="both"/>
              <w:rPr>
                <w:sz w:val="20"/>
                <w:szCs w:val="20"/>
              </w:rPr>
            </w:pPr>
            <w:r w:rsidRPr="00E50B51">
              <w:rPr>
                <w:sz w:val="20"/>
                <w:szCs w:val="20"/>
              </w:rPr>
              <w:t>Property</w:t>
            </w:r>
          </w:p>
        </w:tc>
        <w:tc>
          <w:tcPr>
            <w:tcW w:w="306" w:type="pct"/>
            <w:shd w:val="clear" w:color="auto" w:fill="E7E6E6" w:themeFill="background2"/>
            <w:textDirection w:val="tbRl"/>
            <w:vAlign w:val="center"/>
          </w:tcPr>
          <w:p w14:paraId="51472D8B" w14:textId="77777777" w:rsidR="00074551" w:rsidRPr="00E50B51" w:rsidRDefault="00074551" w:rsidP="00367133">
            <w:pPr>
              <w:ind w:left="113" w:right="113"/>
              <w:jc w:val="both"/>
              <w:rPr>
                <w:sz w:val="20"/>
                <w:szCs w:val="20"/>
              </w:rPr>
            </w:pPr>
            <w:r w:rsidRPr="00E50B51">
              <w:rPr>
                <w:sz w:val="20"/>
                <w:szCs w:val="20"/>
                <w:lang w:val="en-US"/>
              </w:rPr>
              <w:t>Water Rights</w:t>
            </w:r>
          </w:p>
        </w:tc>
        <w:tc>
          <w:tcPr>
            <w:tcW w:w="401" w:type="pct"/>
            <w:shd w:val="clear" w:color="auto" w:fill="E7E6E6" w:themeFill="background2"/>
          </w:tcPr>
          <w:p w14:paraId="32AB0610"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614621C" w14:textId="77777777" w:rsidR="00074551" w:rsidRPr="00E50B51" w:rsidRDefault="00074551" w:rsidP="00367133">
            <w:pPr>
              <w:jc w:val="both"/>
              <w:rPr>
                <w:sz w:val="20"/>
                <w:szCs w:val="20"/>
              </w:rPr>
            </w:pPr>
          </w:p>
        </w:tc>
        <w:tc>
          <w:tcPr>
            <w:tcW w:w="1822" w:type="pct"/>
            <w:shd w:val="clear" w:color="auto" w:fill="E7E6E6" w:themeFill="background2"/>
          </w:tcPr>
          <w:p w14:paraId="3704C542" w14:textId="35D17109"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5941725E" w14:textId="77777777" w:rsidTr="00BE689F">
        <w:trPr>
          <w:cantSplit/>
          <w:trHeight w:val="3175"/>
        </w:trPr>
        <w:tc>
          <w:tcPr>
            <w:tcW w:w="293" w:type="pct"/>
          </w:tcPr>
          <w:p w14:paraId="02FA98A4" w14:textId="77777777" w:rsidR="00074551" w:rsidRPr="00E50B51" w:rsidRDefault="00074551" w:rsidP="00367133">
            <w:pPr>
              <w:jc w:val="center"/>
              <w:rPr>
                <w:sz w:val="20"/>
                <w:szCs w:val="20"/>
              </w:rPr>
            </w:pPr>
            <w:r w:rsidRPr="00E50B51">
              <w:rPr>
                <w:sz w:val="20"/>
                <w:szCs w:val="20"/>
              </w:rPr>
              <w:lastRenderedPageBreak/>
              <w:t>H</w:t>
            </w:r>
          </w:p>
        </w:tc>
        <w:tc>
          <w:tcPr>
            <w:tcW w:w="387" w:type="pct"/>
            <w:textDirection w:val="tbRl"/>
            <w:vAlign w:val="center"/>
          </w:tcPr>
          <w:p w14:paraId="62BE7636" w14:textId="77777777" w:rsidR="00074551" w:rsidRPr="00E50B51" w:rsidRDefault="00074551" w:rsidP="00367133">
            <w:pPr>
              <w:ind w:left="113" w:right="113"/>
              <w:jc w:val="both"/>
              <w:rPr>
                <w:sz w:val="20"/>
                <w:szCs w:val="20"/>
              </w:rPr>
            </w:pPr>
            <w:r w:rsidRPr="008F73D7">
              <w:rPr>
                <w:i/>
                <w:sz w:val="20"/>
                <w:szCs w:val="20"/>
              </w:rPr>
              <w:t>Wyoming v. Colorado</w:t>
            </w:r>
          </w:p>
        </w:tc>
        <w:tc>
          <w:tcPr>
            <w:tcW w:w="197" w:type="pct"/>
            <w:textDirection w:val="tbRl"/>
            <w:vAlign w:val="center"/>
          </w:tcPr>
          <w:p w14:paraId="3FC9DD05" w14:textId="77777777" w:rsidR="00074551" w:rsidRPr="00E50B51" w:rsidRDefault="00074551" w:rsidP="00367133">
            <w:pPr>
              <w:ind w:left="113" w:right="113"/>
              <w:jc w:val="both"/>
              <w:rPr>
                <w:sz w:val="20"/>
                <w:szCs w:val="20"/>
              </w:rPr>
            </w:pPr>
            <w:r w:rsidRPr="00E50B51">
              <w:rPr>
                <w:sz w:val="20"/>
                <w:szCs w:val="20"/>
              </w:rPr>
              <w:t>259 U.S. 419</w:t>
            </w:r>
          </w:p>
        </w:tc>
        <w:tc>
          <w:tcPr>
            <w:tcW w:w="306" w:type="pct"/>
            <w:textDirection w:val="tbRl"/>
            <w:vAlign w:val="center"/>
          </w:tcPr>
          <w:p w14:paraId="3E30ECC5" w14:textId="77777777" w:rsidR="00074551" w:rsidRPr="00E50B51" w:rsidRDefault="00074551" w:rsidP="00367133">
            <w:pPr>
              <w:ind w:left="113" w:right="113"/>
              <w:jc w:val="both"/>
              <w:rPr>
                <w:sz w:val="20"/>
                <w:szCs w:val="20"/>
              </w:rPr>
            </w:pPr>
            <w:r w:rsidRPr="00E50B51">
              <w:rPr>
                <w:sz w:val="20"/>
                <w:szCs w:val="20"/>
              </w:rPr>
              <w:t xml:space="preserve">05. Juni </w:t>
            </w:r>
            <w:r>
              <w:rPr>
                <w:sz w:val="20"/>
                <w:szCs w:val="20"/>
              </w:rPr>
              <w:t>19</w:t>
            </w:r>
            <w:r w:rsidRPr="00E50B51">
              <w:rPr>
                <w:sz w:val="20"/>
                <w:szCs w:val="20"/>
              </w:rPr>
              <w:t>22</w:t>
            </w:r>
          </w:p>
        </w:tc>
        <w:tc>
          <w:tcPr>
            <w:tcW w:w="401" w:type="pct"/>
          </w:tcPr>
          <w:p w14:paraId="75F8273E"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4C066205"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dass Colorado Wasser aus einem zwischenstaatlichen Fluss nicht umleiten </w:t>
            </w:r>
            <w:r>
              <w:rPr>
                <w:sz w:val="20"/>
                <w:szCs w:val="20"/>
              </w:rPr>
              <w:t>dürfe,</w:t>
            </w:r>
            <w:r w:rsidRPr="00E50B51">
              <w:rPr>
                <w:sz w:val="20"/>
                <w:szCs w:val="20"/>
              </w:rPr>
              <w:t xml:space="preserve"> ohne das Wasserrecht Wyomings zu berücksichtigen. Zunächst klagte Wyoming gegen Colorado. Dabei begehrte Wyoming, eine geplante Wasserumleitung Colorados zu untersagen. Wyoming machte also seine Wasserrechte stark. Der </w:t>
            </w:r>
            <w:r>
              <w:rPr>
                <w:sz w:val="20"/>
                <w:szCs w:val="20"/>
              </w:rPr>
              <w:t>U.S. Supreme Court</w:t>
            </w:r>
            <w:r w:rsidRPr="00E50B51">
              <w:rPr>
                <w:sz w:val="20"/>
                <w:szCs w:val="20"/>
              </w:rPr>
              <w:t xml:space="preserve"> bestätigte, dass die Wasserrechte nach der Prioritätsregel</w:t>
            </w:r>
            <w:r>
              <w:rPr>
                <w:sz w:val="20"/>
                <w:szCs w:val="20"/>
              </w:rPr>
              <w:t> </w:t>
            </w:r>
            <w:r w:rsidRPr="00E50B51">
              <w:rPr>
                <w:sz w:val="20"/>
                <w:szCs w:val="20"/>
              </w:rPr>
              <w:t>– Wyoming hatte das zeitlich frühere Wasserrecht</w:t>
            </w:r>
            <w:r w:rsidRPr="00E50B51">
              <w:rPr>
                <w:rStyle w:val="Funotenzeichen"/>
                <w:sz w:val="20"/>
                <w:szCs w:val="20"/>
              </w:rPr>
              <w:footnoteReference w:id="57"/>
            </w:r>
            <w:r>
              <w:rPr>
                <w:sz w:val="20"/>
                <w:szCs w:val="20"/>
              </w:rPr>
              <w:t> </w:t>
            </w:r>
            <w:r w:rsidRPr="00E50B51">
              <w:rPr>
                <w:sz w:val="20"/>
                <w:szCs w:val="20"/>
              </w:rPr>
              <w:t>– und dem Bedarf de</w:t>
            </w:r>
            <w:r>
              <w:rPr>
                <w:sz w:val="20"/>
                <w:szCs w:val="20"/>
              </w:rPr>
              <w:t>r</w:t>
            </w:r>
            <w:r w:rsidRPr="00E50B51">
              <w:rPr>
                <w:sz w:val="20"/>
                <w:szCs w:val="20"/>
              </w:rPr>
              <w:t xml:space="preserve"> Rechteinhaber zu beurteilen </w:t>
            </w:r>
            <w:r>
              <w:rPr>
                <w:sz w:val="20"/>
                <w:szCs w:val="20"/>
              </w:rPr>
              <w:t>seien</w:t>
            </w:r>
            <w:r w:rsidRPr="00E50B51">
              <w:rPr>
                <w:sz w:val="20"/>
                <w:szCs w:val="20"/>
              </w:rPr>
              <w:t xml:space="preserve">. Die Wassermenge für die Umleitung </w:t>
            </w:r>
            <w:r>
              <w:rPr>
                <w:sz w:val="20"/>
                <w:szCs w:val="20"/>
              </w:rPr>
              <w:t>war</w:t>
            </w:r>
            <w:r w:rsidRPr="00E50B51">
              <w:rPr>
                <w:sz w:val="20"/>
                <w:szCs w:val="20"/>
              </w:rPr>
              <w:t xml:space="preserve"> fehlerhaft berechnet</w:t>
            </w:r>
            <w:r>
              <w:rPr>
                <w:sz w:val="20"/>
                <w:szCs w:val="20"/>
              </w:rPr>
              <w:t xml:space="preserve"> worden</w:t>
            </w:r>
            <w:r w:rsidRPr="00E50B51">
              <w:rPr>
                <w:sz w:val="20"/>
                <w:szCs w:val="20"/>
              </w:rPr>
              <w:t>, z.B. schloss Colorado die zwei trockensten Jahre aus seiner Berechnung aus</w:t>
            </w:r>
            <w:r>
              <w:rPr>
                <w:sz w:val="20"/>
                <w:szCs w:val="20"/>
              </w:rPr>
              <w:t>,</w:t>
            </w:r>
            <w:r w:rsidRPr="00E50B51">
              <w:rPr>
                <w:sz w:val="20"/>
                <w:szCs w:val="20"/>
              </w:rPr>
              <w:t xml:space="preserve"> achtete damit nicht die natürliche Wassermenge und unterschlug die nach dem Wasserrecht zugesicherte Wassermenge für Wyoming. Der </w:t>
            </w:r>
            <w:r>
              <w:rPr>
                <w:sz w:val="20"/>
                <w:szCs w:val="20"/>
              </w:rPr>
              <w:t>U.S. Supreme Court</w:t>
            </w:r>
            <w:r w:rsidRPr="00E50B51">
              <w:rPr>
                <w:sz w:val="20"/>
                <w:szCs w:val="20"/>
              </w:rPr>
              <w:t xml:space="preserve"> wies daher Colorado an, nicht mehr als 15.500 Acre-Fuß Wasser jährlich umzuleiten.</w:t>
            </w:r>
            <w:r w:rsidRPr="00E50B51">
              <w:rPr>
                <w:rStyle w:val="Funotenzeichen"/>
                <w:sz w:val="20"/>
                <w:szCs w:val="20"/>
              </w:rPr>
              <w:footnoteReference w:id="58"/>
            </w:r>
          </w:p>
          <w:p w14:paraId="2BEB3442" w14:textId="77777777" w:rsidR="00074551" w:rsidRPr="00E50B51" w:rsidRDefault="00074551" w:rsidP="00367133">
            <w:pPr>
              <w:jc w:val="both"/>
              <w:rPr>
                <w:sz w:val="20"/>
                <w:szCs w:val="20"/>
              </w:rPr>
            </w:pPr>
          </w:p>
          <w:p w14:paraId="794084AA" w14:textId="77777777" w:rsidR="00074551" w:rsidRPr="00E50B51" w:rsidRDefault="00074551" w:rsidP="00367133">
            <w:pPr>
              <w:jc w:val="both"/>
              <w:rPr>
                <w:sz w:val="20"/>
                <w:szCs w:val="20"/>
              </w:rPr>
            </w:pPr>
          </w:p>
        </w:tc>
        <w:tc>
          <w:tcPr>
            <w:tcW w:w="1822" w:type="pct"/>
          </w:tcPr>
          <w:p w14:paraId="3B2E72E8"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Governments › State &amp; Territorial Governments › Property › Water Rights</w:t>
            </w:r>
          </w:p>
          <w:p w14:paraId="7FFAFF93" w14:textId="77777777" w:rsidR="00074551" w:rsidRPr="00E50B51" w:rsidRDefault="00074551" w:rsidP="00367133">
            <w:pPr>
              <w:jc w:val="both"/>
              <w:rPr>
                <w:sz w:val="20"/>
                <w:szCs w:val="20"/>
                <w:lang w:val="en-US"/>
              </w:rPr>
            </w:pPr>
          </w:p>
          <w:p w14:paraId="5B2BADAD"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stellte fest, dass bei Streitigkeiten zwischen Nutzern eines durch verschiedene Bundesstaaten fließenden Flusses, die die Aneignungslehre anwenden, Aneignungen nach dem Prinzip der Priorität erfolgen.</w:t>
            </w:r>
            <w:r w:rsidRPr="00E50B51">
              <w:rPr>
                <w:rStyle w:val="Funotenzeichen"/>
                <w:sz w:val="20"/>
                <w:szCs w:val="20"/>
              </w:rPr>
              <w:footnoteReference w:id="59"/>
            </w:r>
          </w:p>
          <w:p w14:paraId="35B2A8AE" w14:textId="77777777" w:rsidR="00074551" w:rsidRPr="00E50B51" w:rsidRDefault="00074551" w:rsidP="00367133">
            <w:pPr>
              <w:jc w:val="both"/>
              <w:rPr>
                <w:sz w:val="20"/>
                <w:szCs w:val="20"/>
              </w:rPr>
            </w:pPr>
          </w:p>
          <w:p w14:paraId="21FDE518"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stellte die Frage</w:t>
            </w:r>
            <w:r>
              <w:rPr>
                <w:sz w:val="20"/>
                <w:szCs w:val="20"/>
              </w:rPr>
              <w:t>:</w:t>
            </w:r>
            <w:r w:rsidRPr="00E50B51">
              <w:rPr>
                <w:sz w:val="20"/>
                <w:szCs w:val="20"/>
              </w:rPr>
              <w:t xml:space="preserve"> </w:t>
            </w:r>
            <w:r>
              <w:rPr>
                <w:sz w:val="20"/>
                <w:szCs w:val="20"/>
              </w:rPr>
              <w:t>N</w:t>
            </w:r>
            <w:r w:rsidRPr="00E50B51">
              <w:rPr>
                <w:sz w:val="20"/>
                <w:szCs w:val="20"/>
              </w:rPr>
              <w:t xml:space="preserve">ach welchem Rechts- oder Billigkeitsprinzip kann einer der beiden Bundesstaaten Wasser aus einem zwischenstaatlichen Fluss entnehmen? Der </w:t>
            </w:r>
            <w:r>
              <w:rPr>
                <w:sz w:val="20"/>
                <w:szCs w:val="20"/>
              </w:rPr>
              <w:t>U.S. Supreme Court</w:t>
            </w:r>
            <w:r w:rsidRPr="00E50B51">
              <w:rPr>
                <w:sz w:val="20"/>
                <w:szCs w:val="20"/>
              </w:rPr>
              <w:t xml:space="preserve"> urteilte, dass in einem Rechtsstreit zwischen zwei Bundesstaaten das Zivilrecht </w:t>
            </w:r>
            <w:r>
              <w:rPr>
                <w:sz w:val="20"/>
                <w:szCs w:val="20"/>
              </w:rPr>
              <w:t>angewendet werden</w:t>
            </w:r>
            <w:r w:rsidRPr="00E50B51">
              <w:rPr>
                <w:sz w:val="20"/>
                <w:szCs w:val="20"/>
              </w:rPr>
              <w:t xml:space="preserve"> könne. </w:t>
            </w:r>
            <w:r>
              <w:rPr>
                <w:sz w:val="20"/>
                <w:szCs w:val="20"/>
              </w:rPr>
              <w:t>Dies</w:t>
            </w:r>
            <w:r w:rsidRPr="00E50B51">
              <w:rPr>
                <w:sz w:val="20"/>
                <w:szCs w:val="20"/>
              </w:rPr>
              <w:t xml:space="preserve"> sei nicht unangemessen, soweit beachtet würde, wie sich die </w:t>
            </w:r>
            <w:r>
              <w:rPr>
                <w:sz w:val="20"/>
                <w:szCs w:val="20"/>
              </w:rPr>
              <w:t>p</w:t>
            </w:r>
            <w:r w:rsidRPr="00E50B51">
              <w:rPr>
                <w:sz w:val="20"/>
                <w:szCs w:val="20"/>
              </w:rPr>
              <w:t xml:space="preserve">rivaten Rechte ins Verhältnis setzen zu besteuernden Werten, zum Allgemeinwohl, zum Wohlstand und zum Glück der Menschen in </w:t>
            </w:r>
            <w:r>
              <w:rPr>
                <w:sz w:val="20"/>
                <w:szCs w:val="20"/>
              </w:rPr>
              <w:t>den entsprechenden Bundesstaaten</w:t>
            </w:r>
            <w:r w:rsidRPr="00E50B51">
              <w:rPr>
                <w:sz w:val="20"/>
                <w:szCs w:val="20"/>
              </w:rPr>
              <w:t xml:space="preserve"> („Such </w:t>
            </w:r>
            <w:proofErr w:type="spellStart"/>
            <w:r w:rsidRPr="00E50B51">
              <w:rPr>
                <w:sz w:val="20"/>
                <w:szCs w:val="20"/>
              </w:rPr>
              <w:t>recognition</w:t>
            </w:r>
            <w:proofErr w:type="spellEnd"/>
            <w:r w:rsidRPr="00E50B51">
              <w:rPr>
                <w:sz w:val="20"/>
                <w:szCs w:val="20"/>
              </w:rPr>
              <w:t xml:space="preserve"> of private </w:t>
            </w:r>
            <w:proofErr w:type="spellStart"/>
            <w:r w:rsidRPr="00E50B51">
              <w:rPr>
                <w:sz w:val="20"/>
                <w:szCs w:val="20"/>
              </w:rPr>
              <w:t>rights</w:t>
            </w:r>
            <w:proofErr w:type="spellEnd"/>
            <w:r w:rsidRPr="00E50B51">
              <w:rPr>
                <w:sz w:val="20"/>
                <w:szCs w:val="20"/>
              </w:rPr>
              <w:t xml:space="preserve"> </w:t>
            </w:r>
            <w:proofErr w:type="spellStart"/>
            <w:r w:rsidRPr="00E50B51">
              <w:rPr>
                <w:sz w:val="20"/>
                <w:szCs w:val="20"/>
              </w:rPr>
              <w:t>held</w:t>
            </w:r>
            <w:proofErr w:type="spellEnd"/>
            <w:r w:rsidRPr="00E50B51">
              <w:rPr>
                <w:sz w:val="20"/>
                <w:szCs w:val="20"/>
              </w:rPr>
              <w:t xml:space="preserve"> not </w:t>
            </w:r>
            <w:proofErr w:type="spellStart"/>
            <w:r w:rsidRPr="00E50B51">
              <w:rPr>
                <w:sz w:val="20"/>
                <w:szCs w:val="20"/>
              </w:rPr>
              <w:t>inappropriate</w:t>
            </w:r>
            <w:proofErr w:type="spellEnd"/>
            <w:r w:rsidRPr="00E50B51">
              <w:rPr>
                <w:sz w:val="20"/>
                <w:szCs w:val="20"/>
              </w:rPr>
              <w:t xml:space="preserve"> […], in </w:t>
            </w:r>
            <w:proofErr w:type="spellStart"/>
            <w:r w:rsidRPr="00E50B51">
              <w:rPr>
                <w:sz w:val="20"/>
                <w:szCs w:val="20"/>
              </w:rPr>
              <w:t>view</w:t>
            </w:r>
            <w:proofErr w:type="spellEnd"/>
            <w:r w:rsidRPr="00E50B51">
              <w:rPr>
                <w:sz w:val="20"/>
                <w:szCs w:val="20"/>
              </w:rPr>
              <w:t xml:space="preserve"> of the </w:t>
            </w:r>
            <w:proofErr w:type="spellStart"/>
            <w:r w:rsidRPr="00E50B51">
              <w:rPr>
                <w:sz w:val="20"/>
                <w:szCs w:val="20"/>
              </w:rPr>
              <w:t>relation</w:t>
            </w:r>
            <w:proofErr w:type="spellEnd"/>
            <w:r w:rsidRPr="00E50B51">
              <w:rPr>
                <w:sz w:val="20"/>
                <w:szCs w:val="20"/>
              </w:rPr>
              <w:t xml:space="preserve"> of the </w:t>
            </w:r>
            <w:proofErr w:type="spellStart"/>
            <w:r w:rsidRPr="00E50B51">
              <w:rPr>
                <w:sz w:val="20"/>
                <w:szCs w:val="20"/>
              </w:rPr>
              <w:t>appropriations</w:t>
            </w:r>
            <w:proofErr w:type="spellEnd"/>
            <w:r w:rsidRPr="00E50B51">
              <w:rPr>
                <w:sz w:val="20"/>
                <w:szCs w:val="20"/>
              </w:rPr>
              <w:t xml:space="preserve"> to […] </w:t>
            </w:r>
            <w:proofErr w:type="spellStart"/>
            <w:r w:rsidRPr="00E50B51">
              <w:rPr>
                <w:sz w:val="20"/>
                <w:szCs w:val="20"/>
              </w:rPr>
              <w:t>happiness</w:t>
            </w:r>
            <w:proofErr w:type="spellEnd"/>
            <w:r w:rsidRPr="00E50B51">
              <w:rPr>
                <w:sz w:val="20"/>
                <w:szCs w:val="20"/>
              </w:rPr>
              <w:t xml:space="preserve"> of </w:t>
            </w:r>
            <w:proofErr w:type="spellStart"/>
            <w:r w:rsidRPr="00E50B51">
              <w:rPr>
                <w:sz w:val="20"/>
                <w:szCs w:val="20"/>
              </w:rPr>
              <w:t>people</w:t>
            </w:r>
            <w:proofErr w:type="spellEnd"/>
            <w:r w:rsidRPr="00E50B51">
              <w:rPr>
                <w:sz w:val="20"/>
                <w:szCs w:val="20"/>
              </w:rPr>
              <w:t xml:space="preserve"> in </w:t>
            </w:r>
            <w:proofErr w:type="spellStart"/>
            <w:r w:rsidRPr="00E50B51">
              <w:rPr>
                <w:sz w:val="20"/>
                <w:szCs w:val="20"/>
              </w:rPr>
              <w:t>each</w:t>
            </w:r>
            <w:proofErr w:type="spellEnd"/>
            <w:r w:rsidRPr="00E50B51">
              <w:rPr>
                <w:sz w:val="20"/>
                <w:szCs w:val="20"/>
              </w:rPr>
              <w:t xml:space="preserve"> State.“</w:t>
            </w:r>
            <w:r w:rsidRPr="00E50B51">
              <w:rPr>
                <w:rStyle w:val="Funotenzeichen"/>
                <w:sz w:val="20"/>
                <w:szCs w:val="20"/>
              </w:rPr>
              <w:footnoteReference w:id="60"/>
            </w:r>
            <w:r w:rsidRPr="00E50B51">
              <w:rPr>
                <w:sz w:val="20"/>
                <w:szCs w:val="20"/>
              </w:rPr>
              <w:t>).</w:t>
            </w:r>
          </w:p>
          <w:p w14:paraId="244A80F1" w14:textId="77777777" w:rsidR="00074551" w:rsidRPr="00E50B51" w:rsidRDefault="00074551" w:rsidP="00367133">
            <w:pPr>
              <w:jc w:val="both"/>
              <w:rPr>
                <w:sz w:val="20"/>
                <w:szCs w:val="20"/>
              </w:rPr>
            </w:pPr>
          </w:p>
        </w:tc>
      </w:tr>
      <w:tr w:rsidR="00074551" w:rsidRPr="00E50B51" w14:paraId="0A6715DD" w14:textId="77777777" w:rsidTr="00752D01">
        <w:trPr>
          <w:cantSplit/>
          <w:trHeight w:val="3175"/>
        </w:trPr>
        <w:tc>
          <w:tcPr>
            <w:tcW w:w="293" w:type="pct"/>
            <w:shd w:val="clear" w:color="auto" w:fill="E7E6E6" w:themeFill="background2"/>
          </w:tcPr>
          <w:p w14:paraId="3ECD71AA" w14:textId="77777777" w:rsidR="00074551" w:rsidRPr="00E50B51" w:rsidRDefault="00074551" w:rsidP="00367133">
            <w:pPr>
              <w:jc w:val="center"/>
              <w:rPr>
                <w:sz w:val="20"/>
                <w:szCs w:val="20"/>
              </w:rPr>
            </w:pPr>
            <w:r w:rsidRPr="00E50B51">
              <w:rPr>
                <w:sz w:val="20"/>
                <w:szCs w:val="20"/>
              </w:rPr>
              <w:lastRenderedPageBreak/>
              <w:t>H</w:t>
            </w:r>
          </w:p>
        </w:tc>
        <w:tc>
          <w:tcPr>
            <w:tcW w:w="387" w:type="pct"/>
            <w:shd w:val="clear" w:color="auto" w:fill="E7E6E6" w:themeFill="background2"/>
            <w:textDirection w:val="tbRl"/>
            <w:vAlign w:val="center"/>
          </w:tcPr>
          <w:p w14:paraId="6A8E67B6" w14:textId="77777777" w:rsidR="00074551" w:rsidRPr="00E50B51" w:rsidRDefault="00074551" w:rsidP="00367133">
            <w:pPr>
              <w:ind w:left="113" w:right="113"/>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742DB2F7" w14:textId="77777777" w:rsidR="00074551" w:rsidRPr="00E50B51" w:rsidRDefault="00074551" w:rsidP="00367133">
            <w:pPr>
              <w:ind w:left="113" w:right="113"/>
              <w:jc w:val="both"/>
              <w:rPr>
                <w:sz w:val="20"/>
                <w:szCs w:val="20"/>
              </w:rPr>
            </w:pPr>
            <w:r w:rsidRPr="00E50B51">
              <w:rPr>
                <w:sz w:val="20"/>
                <w:szCs w:val="20"/>
              </w:rPr>
              <w:t>Property</w:t>
            </w:r>
          </w:p>
        </w:tc>
        <w:tc>
          <w:tcPr>
            <w:tcW w:w="306" w:type="pct"/>
            <w:shd w:val="clear" w:color="auto" w:fill="E7E6E6" w:themeFill="background2"/>
            <w:textDirection w:val="tbRl"/>
            <w:vAlign w:val="center"/>
          </w:tcPr>
          <w:p w14:paraId="1837A59E" w14:textId="77777777" w:rsidR="00074551" w:rsidRPr="00E50B51" w:rsidRDefault="00074551" w:rsidP="00367133">
            <w:pPr>
              <w:ind w:left="113" w:right="113"/>
              <w:jc w:val="both"/>
              <w:rPr>
                <w:sz w:val="20"/>
                <w:szCs w:val="20"/>
              </w:rPr>
            </w:pPr>
            <w:r w:rsidRPr="00E50B51">
              <w:rPr>
                <w:sz w:val="20"/>
                <w:szCs w:val="20"/>
                <w:lang w:val="en-US"/>
              </w:rPr>
              <w:t>Waters</w:t>
            </w:r>
          </w:p>
        </w:tc>
        <w:tc>
          <w:tcPr>
            <w:tcW w:w="401" w:type="pct"/>
            <w:shd w:val="clear" w:color="auto" w:fill="E7E6E6" w:themeFill="background2"/>
          </w:tcPr>
          <w:p w14:paraId="29D969DA"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14BEA6AA" w14:textId="77777777" w:rsidR="00074551" w:rsidRPr="00E50B51" w:rsidRDefault="00074551" w:rsidP="00367133">
            <w:pPr>
              <w:jc w:val="both"/>
              <w:rPr>
                <w:sz w:val="20"/>
                <w:szCs w:val="20"/>
              </w:rPr>
            </w:pPr>
          </w:p>
        </w:tc>
        <w:tc>
          <w:tcPr>
            <w:tcW w:w="1822" w:type="pct"/>
            <w:shd w:val="clear" w:color="auto" w:fill="E7E6E6" w:themeFill="background2"/>
          </w:tcPr>
          <w:p w14:paraId="710C92C2" w14:textId="3CA45898"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0D737862" w14:textId="77777777" w:rsidTr="00BE689F">
        <w:trPr>
          <w:cantSplit/>
          <w:trHeight w:val="3175"/>
        </w:trPr>
        <w:tc>
          <w:tcPr>
            <w:tcW w:w="293" w:type="pct"/>
          </w:tcPr>
          <w:p w14:paraId="2FBE7CA7" w14:textId="77777777" w:rsidR="00074551" w:rsidRPr="00E50B51" w:rsidRDefault="00074551" w:rsidP="00367133">
            <w:pPr>
              <w:jc w:val="center"/>
              <w:rPr>
                <w:sz w:val="20"/>
                <w:szCs w:val="20"/>
              </w:rPr>
            </w:pPr>
            <w:r w:rsidRPr="00E50B51">
              <w:rPr>
                <w:sz w:val="20"/>
                <w:szCs w:val="20"/>
              </w:rPr>
              <w:lastRenderedPageBreak/>
              <w:t>H</w:t>
            </w:r>
          </w:p>
        </w:tc>
        <w:tc>
          <w:tcPr>
            <w:tcW w:w="387" w:type="pct"/>
            <w:textDirection w:val="tbRl"/>
            <w:vAlign w:val="center"/>
          </w:tcPr>
          <w:p w14:paraId="39C0E371" w14:textId="77777777" w:rsidR="00074551" w:rsidRPr="00E50B51" w:rsidRDefault="00074551" w:rsidP="00367133">
            <w:pPr>
              <w:ind w:left="113" w:right="113"/>
              <w:jc w:val="both"/>
              <w:rPr>
                <w:sz w:val="20"/>
                <w:szCs w:val="20"/>
              </w:rPr>
            </w:pPr>
            <w:r w:rsidRPr="008F73D7">
              <w:rPr>
                <w:i/>
                <w:sz w:val="20"/>
                <w:szCs w:val="20"/>
              </w:rPr>
              <w:t>Wyoming v. Colorado</w:t>
            </w:r>
          </w:p>
        </w:tc>
        <w:tc>
          <w:tcPr>
            <w:tcW w:w="197" w:type="pct"/>
            <w:textDirection w:val="tbRl"/>
            <w:vAlign w:val="center"/>
          </w:tcPr>
          <w:p w14:paraId="37E2388C" w14:textId="77777777" w:rsidR="00074551" w:rsidRPr="00E50B51" w:rsidRDefault="00074551" w:rsidP="00367133">
            <w:pPr>
              <w:ind w:left="113" w:right="113"/>
              <w:jc w:val="both"/>
              <w:rPr>
                <w:sz w:val="20"/>
                <w:szCs w:val="20"/>
              </w:rPr>
            </w:pPr>
            <w:r w:rsidRPr="00E50B51">
              <w:rPr>
                <w:sz w:val="20"/>
                <w:szCs w:val="20"/>
              </w:rPr>
              <w:t>286 U.S. 494</w:t>
            </w:r>
          </w:p>
        </w:tc>
        <w:tc>
          <w:tcPr>
            <w:tcW w:w="306" w:type="pct"/>
            <w:textDirection w:val="tbRl"/>
            <w:vAlign w:val="center"/>
          </w:tcPr>
          <w:p w14:paraId="7CA02C2C" w14:textId="77777777" w:rsidR="00074551" w:rsidRPr="00E50B51" w:rsidRDefault="00074551" w:rsidP="00367133">
            <w:pPr>
              <w:ind w:left="113" w:right="113"/>
              <w:jc w:val="both"/>
              <w:rPr>
                <w:sz w:val="20"/>
                <w:szCs w:val="20"/>
              </w:rPr>
            </w:pPr>
            <w:r w:rsidRPr="00E50B51">
              <w:rPr>
                <w:sz w:val="20"/>
                <w:szCs w:val="20"/>
              </w:rPr>
              <w:t>31. Mai 1932</w:t>
            </w:r>
          </w:p>
        </w:tc>
        <w:tc>
          <w:tcPr>
            <w:tcW w:w="401" w:type="pct"/>
          </w:tcPr>
          <w:p w14:paraId="27CB819B"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4537E742"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lehnte den Antrag Colorados ab, die Klage Wyomings abzuweisen. Damit obsiegte Wyoming. Der Bundesstaat Wyoming forderte die Durchsetzung des Dekrets über die Wasserrechte beider Staaten</w:t>
            </w:r>
            <w:r>
              <w:rPr>
                <w:sz w:val="20"/>
                <w:szCs w:val="20"/>
              </w:rPr>
              <w:t>.</w:t>
            </w:r>
            <w:r w:rsidRPr="00E50B51">
              <w:rPr>
                <w:rStyle w:val="Funotenzeichen"/>
                <w:sz w:val="20"/>
                <w:szCs w:val="20"/>
              </w:rPr>
              <w:footnoteReference w:id="61"/>
            </w:r>
            <w:r w:rsidRPr="00E50B51">
              <w:rPr>
                <w:sz w:val="20"/>
                <w:szCs w:val="20"/>
              </w:rPr>
              <w:t xml:space="preserve"> Das Dekret regele die Wasserentnahme Colorados aus einem Fluss, der in Colorado entspringe und nach Wyoming fließe. Wyoming argumentierte, dass Colorado mehr Wasser entnehme, als das Dekret erlaube, was die Wasserversorgung in Wyoming reduziere. Colorado bestritt, das Dekret verletzt zu haben</w:t>
            </w:r>
            <w:r>
              <w:rPr>
                <w:sz w:val="20"/>
                <w:szCs w:val="20"/>
              </w:rPr>
              <w:t>,</w:t>
            </w:r>
            <w:r w:rsidRPr="00E50B51">
              <w:rPr>
                <w:sz w:val="20"/>
                <w:szCs w:val="20"/>
              </w:rPr>
              <w:t xml:space="preserve"> und verwies auf fehlende Beweise. Das Gericht entschied, Wyoming dürfe seine Klage präzisieren, da tatsächlich weniger Wasser zur Verfügung stand, als das Dekret Wyoming zusichere. Der </w:t>
            </w:r>
            <w:r>
              <w:rPr>
                <w:sz w:val="20"/>
                <w:szCs w:val="20"/>
              </w:rPr>
              <w:t>U.S. Supreme Court</w:t>
            </w:r>
            <w:r w:rsidRPr="00E50B51">
              <w:rPr>
                <w:sz w:val="20"/>
                <w:szCs w:val="20"/>
              </w:rPr>
              <w:t xml:space="preserve"> entschi</w:t>
            </w:r>
            <w:r>
              <w:rPr>
                <w:sz w:val="20"/>
                <w:szCs w:val="20"/>
              </w:rPr>
              <w:t>e</w:t>
            </w:r>
            <w:r w:rsidRPr="00E50B51">
              <w:rPr>
                <w:sz w:val="20"/>
                <w:szCs w:val="20"/>
              </w:rPr>
              <w:t xml:space="preserve">d, die Ursache </w:t>
            </w:r>
            <w:r>
              <w:rPr>
                <w:sz w:val="20"/>
                <w:szCs w:val="20"/>
              </w:rPr>
              <w:t>sei</w:t>
            </w:r>
            <w:r w:rsidRPr="00E50B51">
              <w:rPr>
                <w:sz w:val="20"/>
                <w:szCs w:val="20"/>
              </w:rPr>
              <w:t xml:space="preserve"> das Handeln Colorados, nicht </w:t>
            </w:r>
            <w:proofErr w:type="gramStart"/>
            <w:r w:rsidRPr="00E50B51">
              <w:rPr>
                <w:sz w:val="20"/>
                <w:szCs w:val="20"/>
              </w:rPr>
              <w:t>das privater Personen</w:t>
            </w:r>
            <w:proofErr w:type="gramEnd"/>
            <w:r w:rsidRPr="00E50B51">
              <w:rPr>
                <w:sz w:val="20"/>
                <w:szCs w:val="20"/>
              </w:rPr>
              <w:t xml:space="preserve"> oder Unternehmen.</w:t>
            </w:r>
            <w:r w:rsidRPr="00E50B51">
              <w:rPr>
                <w:rStyle w:val="Funotenzeichen"/>
                <w:sz w:val="20"/>
                <w:szCs w:val="20"/>
              </w:rPr>
              <w:footnoteReference w:id="62"/>
            </w:r>
          </w:p>
          <w:p w14:paraId="0CAFA18D" w14:textId="77777777" w:rsidR="00074551" w:rsidRPr="00E50B51" w:rsidRDefault="00074551" w:rsidP="00367133">
            <w:pPr>
              <w:jc w:val="both"/>
              <w:rPr>
                <w:sz w:val="20"/>
                <w:szCs w:val="20"/>
              </w:rPr>
            </w:pPr>
          </w:p>
        </w:tc>
        <w:tc>
          <w:tcPr>
            <w:tcW w:w="1822" w:type="pct"/>
          </w:tcPr>
          <w:p w14:paraId="48D55824"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Waters, §</w:t>
            </w:r>
            <w:r>
              <w:rPr>
                <w:i/>
                <w:sz w:val="20"/>
                <w:szCs w:val="20"/>
                <w:lang w:val="en-US"/>
              </w:rPr>
              <w:t> </w:t>
            </w:r>
            <w:r w:rsidRPr="00B45592">
              <w:rPr>
                <w:i/>
                <w:sz w:val="20"/>
                <w:szCs w:val="20"/>
                <w:lang w:val="en-US"/>
              </w:rPr>
              <w:t>18 &gt; Relative Rights of Colorado and Wyoming and Their Citizens to Appropriate Waters of Laramie River</w:t>
            </w:r>
          </w:p>
          <w:p w14:paraId="3BA34694" w14:textId="77777777" w:rsidR="00074551" w:rsidRPr="00E50B51" w:rsidRDefault="00074551" w:rsidP="00367133">
            <w:pPr>
              <w:jc w:val="both"/>
              <w:rPr>
                <w:sz w:val="20"/>
                <w:szCs w:val="20"/>
                <w:lang w:val="en-US"/>
              </w:rPr>
            </w:pPr>
          </w:p>
          <w:p w14:paraId="01D76C05" w14:textId="77777777" w:rsidR="00074551" w:rsidRPr="00E50B51" w:rsidRDefault="00074551" w:rsidP="00367133">
            <w:pPr>
              <w:jc w:val="both"/>
              <w:rPr>
                <w:sz w:val="20"/>
                <w:szCs w:val="20"/>
              </w:rPr>
            </w:pPr>
            <w:r w:rsidRPr="00E50B51">
              <w:rPr>
                <w:sz w:val="20"/>
                <w:szCs w:val="20"/>
              </w:rPr>
              <w:t xml:space="preserve">Zwischen Bundesstaaten können relative Rechte bestehen, hier </w:t>
            </w:r>
            <w:r>
              <w:rPr>
                <w:sz w:val="20"/>
                <w:szCs w:val="20"/>
              </w:rPr>
              <w:t xml:space="preserve">in Bezug darauf, </w:t>
            </w:r>
            <w:r w:rsidRPr="00E50B51">
              <w:rPr>
                <w:sz w:val="20"/>
                <w:szCs w:val="20"/>
              </w:rPr>
              <w:t xml:space="preserve">das Wasser des Laramie-Flusses umzuleiten und zu Bewässerungszwecken zu nutzen, also inwieweit eine Aneignung stattfinden </w:t>
            </w:r>
            <w:r>
              <w:rPr>
                <w:sz w:val="20"/>
                <w:szCs w:val="20"/>
              </w:rPr>
              <w:t>darf</w:t>
            </w:r>
            <w:r w:rsidRPr="00E50B51">
              <w:rPr>
                <w:sz w:val="20"/>
                <w:szCs w:val="20"/>
              </w:rPr>
              <w:t>.</w:t>
            </w:r>
            <w:r w:rsidRPr="00E50B51">
              <w:rPr>
                <w:rStyle w:val="Funotenzeichen"/>
                <w:sz w:val="20"/>
                <w:szCs w:val="20"/>
              </w:rPr>
              <w:footnoteReference w:id="63"/>
            </w:r>
          </w:p>
          <w:p w14:paraId="40579D89" w14:textId="77777777" w:rsidR="00074551" w:rsidRPr="00E50B51" w:rsidRDefault="00074551" w:rsidP="00367133">
            <w:pPr>
              <w:jc w:val="both"/>
              <w:rPr>
                <w:sz w:val="20"/>
                <w:szCs w:val="20"/>
              </w:rPr>
            </w:pPr>
          </w:p>
          <w:p w14:paraId="7C436091" w14:textId="77777777" w:rsidR="000745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bespricht, inwieweit das Glück des Volkes bei der Aneignungslehre zu beachten sei („</w:t>
            </w:r>
            <w:proofErr w:type="spellStart"/>
            <w:r w:rsidRPr="00E50B51">
              <w:rPr>
                <w:sz w:val="20"/>
                <w:szCs w:val="20"/>
              </w:rPr>
              <w:t>doctrine</w:t>
            </w:r>
            <w:proofErr w:type="spellEnd"/>
            <w:r w:rsidRPr="00E50B51">
              <w:rPr>
                <w:sz w:val="20"/>
                <w:szCs w:val="20"/>
              </w:rPr>
              <w:t xml:space="preserve"> of </w:t>
            </w:r>
            <w:proofErr w:type="spellStart"/>
            <w:r w:rsidRPr="00E50B51">
              <w:rPr>
                <w:sz w:val="20"/>
                <w:szCs w:val="20"/>
              </w:rPr>
              <w:t>appropriation</w:t>
            </w:r>
            <w:proofErr w:type="spellEnd"/>
            <w:r w:rsidRPr="00E50B51">
              <w:rPr>
                <w:sz w:val="20"/>
                <w:szCs w:val="20"/>
              </w:rPr>
              <w:t>“</w:t>
            </w:r>
            <w:r w:rsidRPr="00E50B51">
              <w:rPr>
                <w:rStyle w:val="Funotenzeichen"/>
                <w:sz w:val="20"/>
                <w:szCs w:val="20"/>
              </w:rPr>
              <w:footnoteReference w:id="64"/>
            </w:r>
            <w:r w:rsidRPr="00E50B51">
              <w:rPr>
                <w:sz w:val="20"/>
                <w:szCs w:val="20"/>
              </w:rPr>
              <w:t>). Für einen Bundesstaat wie Wyoming sei</w:t>
            </w:r>
            <w:r>
              <w:rPr>
                <w:sz w:val="20"/>
                <w:szCs w:val="20"/>
              </w:rPr>
              <w:t>en</w:t>
            </w:r>
            <w:r w:rsidRPr="00E50B51">
              <w:rPr>
                <w:sz w:val="20"/>
                <w:szCs w:val="20"/>
              </w:rPr>
              <w:t xml:space="preserve"> das Wohlergehen, der Wohlstand und das Glück der Menschen bei Aneignungen von Ressourcen abzuwägen („the </w:t>
            </w:r>
            <w:proofErr w:type="spellStart"/>
            <w:r w:rsidRPr="00E50B51">
              <w:rPr>
                <w:sz w:val="20"/>
                <w:szCs w:val="20"/>
              </w:rPr>
              <w:t>welfare</w:t>
            </w:r>
            <w:proofErr w:type="spellEnd"/>
            <w:r w:rsidRPr="00E50B51">
              <w:rPr>
                <w:sz w:val="20"/>
                <w:szCs w:val="20"/>
              </w:rPr>
              <w:t xml:space="preserve">, </w:t>
            </w:r>
            <w:proofErr w:type="spellStart"/>
            <w:r w:rsidRPr="00E50B51">
              <w:rPr>
                <w:sz w:val="20"/>
                <w:szCs w:val="20"/>
              </w:rPr>
              <w:t>prosperity</w:t>
            </w:r>
            <w:proofErr w:type="spellEnd"/>
            <w:r w:rsidRPr="00E50B51">
              <w:rPr>
                <w:sz w:val="20"/>
                <w:szCs w:val="20"/>
              </w:rPr>
              <w:t xml:space="preserve"> and </w:t>
            </w:r>
            <w:proofErr w:type="spellStart"/>
            <w:r w:rsidRPr="00E50B51">
              <w:rPr>
                <w:sz w:val="20"/>
                <w:szCs w:val="20"/>
              </w:rPr>
              <w:t>happiness</w:t>
            </w:r>
            <w:proofErr w:type="spellEnd"/>
            <w:r w:rsidRPr="00E50B51">
              <w:rPr>
                <w:sz w:val="20"/>
                <w:szCs w:val="20"/>
              </w:rPr>
              <w:t xml:space="preserve"> of the </w:t>
            </w:r>
            <w:proofErr w:type="spellStart"/>
            <w:r w:rsidRPr="00E50B51">
              <w:rPr>
                <w:sz w:val="20"/>
                <w:szCs w:val="20"/>
              </w:rPr>
              <w:t>people</w:t>
            </w:r>
            <w:proofErr w:type="spellEnd"/>
            <w:r w:rsidRPr="00E50B51">
              <w:rPr>
                <w:sz w:val="20"/>
                <w:szCs w:val="20"/>
              </w:rPr>
              <w:t>“</w:t>
            </w:r>
            <w:r w:rsidRPr="00E50B51">
              <w:rPr>
                <w:rStyle w:val="Funotenzeichen"/>
                <w:sz w:val="20"/>
                <w:szCs w:val="20"/>
              </w:rPr>
              <w:footnoteReference w:id="65"/>
            </w:r>
            <w:r w:rsidRPr="00E50B51">
              <w:rPr>
                <w:sz w:val="20"/>
                <w:szCs w:val="20"/>
              </w:rPr>
              <w:t>). D.h. konkret, inwieweit das bundesstaatliche Territorium von den Aneignungen einer Ressource wie Wasser durch einen anderen Bundesstaat beeinträchtigt sei und von diesem abhänge.</w:t>
            </w:r>
            <w:r w:rsidRPr="00E50B51">
              <w:rPr>
                <w:rStyle w:val="Funotenzeichen"/>
                <w:sz w:val="20"/>
                <w:szCs w:val="20"/>
              </w:rPr>
              <w:footnoteReference w:id="66"/>
            </w:r>
          </w:p>
          <w:p w14:paraId="3FDC9CAD" w14:textId="77777777" w:rsidR="00074551" w:rsidRPr="00E50B51" w:rsidRDefault="00074551" w:rsidP="00367133">
            <w:pPr>
              <w:jc w:val="both"/>
              <w:rPr>
                <w:sz w:val="20"/>
                <w:szCs w:val="20"/>
              </w:rPr>
            </w:pPr>
          </w:p>
        </w:tc>
      </w:tr>
      <w:tr w:rsidR="00074551" w:rsidRPr="00E50B51" w14:paraId="126688BF" w14:textId="77777777" w:rsidTr="00752D01">
        <w:trPr>
          <w:cantSplit/>
          <w:trHeight w:val="3175"/>
        </w:trPr>
        <w:tc>
          <w:tcPr>
            <w:tcW w:w="293" w:type="pct"/>
            <w:shd w:val="clear" w:color="auto" w:fill="E7E6E6" w:themeFill="background2"/>
          </w:tcPr>
          <w:p w14:paraId="21DE11C8" w14:textId="77777777" w:rsidR="00074551" w:rsidRDefault="00074551" w:rsidP="00367133">
            <w:pPr>
              <w:jc w:val="center"/>
              <w:rPr>
                <w:sz w:val="20"/>
                <w:szCs w:val="20"/>
              </w:rPr>
            </w:pPr>
            <w:proofErr w:type="spellStart"/>
            <w:r w:rsidRPr="00E50B51">
              <w:rPr>
                <w:sz w:val="20"/>
                <w:szCs w:val="20"/>
              </w:rPr>
              <w:lastRenderedPageBreak/>
              <w:t>poH</w:t>
            </w:r>
            <w:proofErr w:type="spellEnd"/>
          </w:p>
          <w:p w14:paraId="5F5CF8C0" w14:textId="77777777" w:rsidR="00074551" w:rsidRPr="00E50B51" w:rsidRDefault="00074551" w:rsidP="00367133">
            <w:pPr>
              <w:jc w:val="center"/>
              <w:rPr>
                <w:sz w:val="20"/>
                <w:szCs w:val="20"/>
              </w:rPr>
            </w:pPr>
            <w:r>
              <w:rPr>
                <w:sz w:val="20"/>
                <w:szCs w:val="20"/>
              </w:rPr>
              <w:t>H</w:t>
            </w:r>
          </w:p>
        </w:tc>
        <w:tc>
          <w:tcPr>
            <w:tcW w:w="387" w:type="pct"/>
            <w:shd w:val="clear" w:color="auto" w:fill="E7E6E6" w:themeFill="background2"/>
            <w:textDirection w:val="tbRl"/>
            <w:vAlign w:val="center"/>
          </w:tcPr>
          <w:p w14:paraId="0CBFC874" w14:textId="77777777" w:rsidR="00074551" w:rsidRPr="00E50B51" w:rsidRDefault="00074551" w:rsidP="00367133">
            <w:pPr>
              <w:ind w:left="113" w:right="113"/>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3479B06E" w14:textId="77777777" w:rsidR="00074551" w:rsidRPr="00E50B51" w:rsidRDefault="00074551" w:rsidP="00367133">
            <w:pPr>
              <w:ind w:left="113" w:right="113"/>
              <w:jc w:val="both"/>
              <w:rPr>
                <w:sz w:val="20"/>
                <w:szCs w:val="20"/>
              </w:rPr>
            </w:pPr>
            <w:r w:rsidRPr="00E50B51">
              <w:rPr>
                <w:sz w:val="20"/>
                <w:szCs w:val="20"/>
                <w:lang w:val="en-US"/>
              </w:rPr>
              <w:t>Property</w:t>
            </w:r>
          </w:p>
        </w:tc>
        <w:tc>
          <w:tcPr>
            <w:tcW w:w="306" w:type="pct"/>
            <w:shd w:val="clear" w:color="auto" w:fill="E7E6E6" w:themeFill="background2"/>
            <w:textDirection w:val="tbRl"/>
            <w:vAlign w:val="center"/>
          </w:tcPr>
          <w:p w14:paraId="3B723ED5" w14:textId="77777777" w:rsidR="00074551" w:rsidRPr="00E50B51" w:rsidRDefault="00074551" w:rsidP="00367133">
            <w:pPr>
              <w:ind w:left="113" w:right="113"/>
              <w:jc w:val="both"/>
              <w:rPr>
                <w:sz w:val="20"/>
                <w:szCs w:val="20"/>
              </w:rPr>
            </w:pPr>
            <w:r w:rsidRPr="00E50B51">
              <w:rPr>
                <w:sz w:val="20"/>
                <w:szCs w:val="20"/>
                <w:lang w:val="en-US"/>
              </w:rPr>
              <w:t>Eminent Domain &amp; Takings</w:t>
            </w:r>
          </w:p>
        </w:tc>
        <w:tc>
          <w:tcPr>
            <w:tcW w:w="401" w:type="pct"/>
            <w:shd w:val="clear" w:color="auto" w:fill="E7E6E6" w:themeFill="background2"/>
          </w:tcPr>
          <w:p w14:paraId="28E1472C"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5743BFF" w14:textId="77777777" w:rsidR="00074551" w:rsidRPr="00E50B51" w:rsidRDefault="00074551" w:rsidP="00367133">
            <w:pPr>
              <w:jc w:val="both"/>
              <w:rPr>
                <w:sz w:val="20"/>
                <w:szCs w:val="20"/>
              </w:rPr>
            </w:pPr>
          </w:p>
        </w:tc>
        <w:tc>
          <w:tcPr>
            <w:tcW w:w="1822" w:type="pct"/>
            <w:shd w:val="clear" w:color="auto" w:fill="E7E6E6" w:themeFill="background2"/>
          </w:tcPr>
          <w:p w14:paraId="372E9DBF" w14:textId="58D99DC9"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8C3F0A7" w14:textId="77777777" w:rsidTr="00BE689F">
        <w:trPr>
          <w:cantSplit/>
          <w:trHeight w:val="3175"/>
        </w:trPr>
        <w:tc>
          <w:tcPr>
            <w:tcW w:w="293" w:type="pct"/>
          </w:tcPr>
          <w:p w14:paraId="0298D17F"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BA99AE7" w14:textId="77777777" w:rsidR="00074551" w:rsidRPr="00B45592" w:rsidRDefault="00074551" w:rsidP="00367133">
            <w:pPr>
              <w:ind w:left="113" w:right="113"/>
              <w:jc w:val="both"/>
              <w:rPr>
                <w:i/>
                <w:iCs/>
                <w:sz w:val="20"/>
                <w:szCs w:val="20"/>
              </w:rPr>
            </w:pPr>
            <w:r w:rsidRPr="00B45592">
              <w:rPr>
                <w:i/>
                <w:iCs/>
                <w:sz w:val="20"/>
                <w:szCs w:val="20"/>
              </w:rPr>
              <w:t>Mugler v. Kansas</w:t>
            </w:r>
          </w:p>
          <w:p w14:paraId="74A85860" w14:textId="77777777" w:rsidR="00074551" w:rsidRPr="00E50B51" w:rsidRDefault="00074551" w:rsidP="00367133">
            <w:pPr>
              <w:ind w:left="113" w:right="113"/>
              <w:jc w:val="both"/>
              <w:rPr>
                <w:sz w:val="20"/>
                <w:szCs w:val="20"/>
              </w:rPr>
            </w:pPr>
          </w:p>
        </w:tc>
        <w:tc>
          <w:tcPr>
            <w:tcW w:w="197" w:type="pct"/>
            <w:textDirection w:val="tbRl"/>
            <w:vAlign w:val="center"/>
          </w:tcPr>
          <w:p w14:paraId="79533E27" w14:textId="77777777" w:rsidR="00074551" w:rsidRPr="00E50B51" w:rsidRDefault="00074551" w:rsidP="00367133">
            <w:pPr>
              <w:ind w:left="113" w:right="113"/>
              <w:jc w:val="both"/>
              <w:rPr>
                <w:sz w:val="20"/>
                <w:szCs w:val="20"/>
              </w:rPr>
            </w:pPr>
            <w:r w:rsidRPr="00E50B51">
              <w:rPr>
                <w:sz w:val="20"/>
                <w:szCs w:val="20"/>
                <w:lang w:val="en-US"/>
              </w:rPr>
              <w:t>123 U.S. 623</w:t>
            </w:r>
          </w:p>
        </w:tc>
        <w:tc>
          <w:tcPr>
            <w:tcW w:w="306" w:type="pct"/>
            <w:textDirection w:val="tbRl"/>
            <w:vAlign w:val="center"/>
          </w:tcPr>
          <w:p w14:paraId="098451F0" w14:textId="77777777" w:rsidR="00074551" w:rsidRPr="00E50B51" w:rsidRDefault="00074551" w:rsidP="00367133">
            <w:pPr>
              <w:ind w:left="113" w:right="113"/>
              <w:jc w:val="both"/>
              <w:rPr>
                <w:sz w:val="20"/>
                <w:szCs w:val="20"/>
              </w:rPr>
            </w:pPr>
            <w:r w:rsidRPr="00E50B51">
              <w:rPr>
                <w:sz w:val="20"/>
                <w:szCs w:val="20"/>
              </w:rPr>
              <w:t>5. Dezember 1887</w:t>
            </w:r>
          </w:p>
        </w:tc>
        <w:tc>
          <w:tcPr>
            <w:tcW w:w="401" w:type="pct"/>
          </w:tcPr>
          <w:p w14:paraId="344809BA"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4AA9FE7C" w14:textId="16C46928" w:rsidR="00074551" w:rsidRPr="00E50B51" w:rsidRDefault="00074551" w:rsidP="00367133">
            <w:pPr>
              <w:jc w:val="both"/>
              <w:rPr>
                <w:sz w:val="20"/>
                <w:szCs w:val="20"/>
              </w:rPr>
            </w:pPr>
            <w:r w:rsidRPr="00E50B51">
              <w:rPr>
                <w:sz w:val="20"/>
                <w:szCs w:val="20"/>
              </w:rPr>
              <w:t xml:space="preserve">Im Fall war der Ausgangspunkt für das </w:t>
            </w:r>
            <w:r w:rsidRPr="00D03587">
              <w:rPr>
                <w:sz w:val="20"/>
                <w:szCs w:val="20"/>
              </w:rPr>
              <w:t xml:space="preserve">Urteil </w:t>
            </w:r>
            <w:r>
              <w:rPr>
                <w:sz w:val="20"/>
                <w:szCs w:val="20"/>
              </w:rPr>
              <w:t>Art. </w:t>
            </w:r>
            <w:r w:rsidRPr="00B45592">
              <w:rPr>
                <w:sz w:val="20"/>
                <w:szCs w:val="20"/>
              </w:rPr>
              <w:t xml:space="preserve">15 of </w:t>
            </w:r>
            <w:r>
              <w:rPr>
                <w:sz w:val="20"/>
                <w:szCs w:val="20"/>
              </w:rPr>
              <w:t>§ </w:t>
            </w:r>
            <w:r w:rsidRPr="00B45592">
              <w:rPr>
                <w:sz w:val="20"/>
                <w:szCs w:val="20"/>
              </w:rPr>
              <w:t xml:space="preserve">10 der </w:t>
            </w:r>
            <w:proofErr w:type="spellStart"/>
            <w:r w:rsidRPr="00B45592">
              <w:rPr>
                <w:i/>
                <w:sz w:val="20"/>
                <w:szCs w:val="20"/>
              </w:rPr>
              <w:t>Constitution</w:t>
            </w:r>
            <w:proofErr w:type="spellEnd"/>
            <w:r w:rsidRPr="00B45592">
              <w:rPr>
                <w:i/>
                <w:sz w:val="20"/>
                <w:szCs w:val="20"/>
              </w:rPr>
              <w:t xml:space="preserve"> of the State of Kansas</w:t>
            </w:r>
            <w:r w:rsidRPr="00D03587">
              <w:rPr>
                <w:sz w:val="20"/>
                <w:szCs w:val="20"/>
              </w:rPr>
              <w:t xml:space="preserve">: das Verbot, Alkohol herzustellen und zu verkaufen, soweit Letzteres nicht </w:t>
            </w:r>
            <w:r>
              <w:rPr>
                <w:sz w:val="20"/>
                <w:szCs w:val="20"/>
              </w:rPr>
              <w:t>lizenziert</w:t>
            </w:r>
            <w:r w:rsidRPr="00D03587">
              <w:rPr>
                <w:sz w:val="20"/>
                <w:szCs w:val="20"/>
              </w:rPr>
              <w:t xml:space="preserve"> oder genehmigt wurde. In der ersten Instanz und dann in der Berufung wurde der Beklagte Mugler wegen der Herstellung und des Verkaufs von Bier verurteilt. Über die Verfassungsmäßigkeit des Verbotsgesetzes hatte der </w:t>
            </w:r>
            <w:r>
              <w:rPr>
                <w:sz w:val="20"/>
                <w:szCs w:val="20"/>
              </w:rPr>
              <w:t>U.S. Supreme Court</w:t>
            </w:r>
            <w:r w:rsidRPr="00D03587">
              <w:rPr>
                <w:sz w:val="20"/>
                <w:szCs w:val="20"/>
              </w:rPr>
              <w:t xml:space="preserve"> zu befinden.</w:t>
            </w:r>
            <w:r w:rsidRPr="00D03587">
              <w:rPr>
                <w:rStyle w:val="Funotenzeichen"/>
                <w:rFonts w:eastAsiaTheme="majorEastAsia"/>
                <w:sz w:val="20"/>
                <w:szCs w:val="20"/>
              </w:rPr>
              <w:footnoteReference w:id="67"/>
            </w:r>
            <w:r w:rsidRPr="00D03587">
              <w:rPr>
                <w:sz w:val="20"/>
                <w:szCs w:val="20"/>
              </w:rPr>
              <w:t xml:space="preserve"> Er urteilte, ein solches Verbot verstoße nicht gegen die </w:t>
            </w:r>
            <w:r w:rsidRPr="00C773F4">
              <w:rPr>
                <w:i/>
                <w:iCs/>
                <w:sz w:val="20"/>
                <w:szCs w:val="20"/>
              </w:rPr>
              <w:t xml:space="preserve">Due </w:t>
            </w:r>
            <w:proofErr w:type="spellStart"/>
            <w:r w:rsidRPr="00C773F4">
              <w:rPr>
                <w:i/>
                <w:iCs/>
                <w:sz w:val="20"/>
                <w:szCs w:val="20"/>
              </w:rPr>
              <w:t>Process</w:t>
            </w:r>
            <w:proofErr w:type="spellEnd"/>
            <w:r w:rsidRPr="00C773F4">
              <w:rPr>
                <w:i/>
                <w:iCs/>
                <w:sz w:val="20"/>
                <w:szCs w:val="20"/>
              </w:rPr>
              <w:t xml:space="preserve"> </w:t>
            </w:r>
            <w:proofErr w:type="spellStart"/>
            <w:r w:rsidRPr="00C773F4">
              <w:rPr>
                <w:i/>
                <w:iCs/>
                <w:sz w:val="20"/>
                <w:szCs w:val="20"/>
              </w:rPr>
              <w:t>Clause</w:t>
            </w:r>
            <w:proofErr w:type="spellEnd"/>
            <w:r w:rsidRPr="00D03587">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p>
          <w:p w14:paraId="7694B3AF" w14:textId="77777777" w:rsidR="00074551" w:rsidRPr="00E50B51" w:rsidRDefault="00074551" w:rsidP="00367133">
            <w:pPr>
              <w:jc w:val="both"/>
              <w:rPr>
                <w:sz w:val="20"/>
                <w:szCs w:val="20"/>
              </w:rPr>
            </w:pPr>
          </w:p>
        </w:tc>
        <w:tc>
          <w:tcPr>
            <w:tcW w:w="1822" w:type="pct"/>
          </w:tcPr>
          <w:p w14:paraId="41BE3C35" w14:textId="70051024" w:rsidR="00074551" w:rsidRDefault="00074551" w:rsidP="00367133">
            <w:pPr>
              <w:jc w:val="both"/>
              <w:rPr>
                <w:sz w:val="20"/>
                <w:szCs w:val="20"/>
              </w:rPr>
            </w:pPr>
            <w:r w:rsidRPr="00E50B51">
              <w:rPr>
                <w:sz w:val="20"/>
                <w:szCs w:val="20"/>
              </w:rPr>
              <w:t xml:space="preserve">Wenn eine staatliche Maßnahme – hier in Form des Gesetzes – Eigentum einschränke, dann sei dies nicht per se eine Enteignung und berechtigte den Eigentümer nicht dazu, sich entschädigen zu lassen, soweit die staatliche Maßnahme darauf </w:t>
            </w:r>
            <w:proofErr w:type="spellStart"/>
            <w:r w:rsidRPr="00E50B51">
              <w:rPr>
                <w:sz w:val="20"/>
                <w:szCs w:val="20"/>
              </w:rPr>
              <w:t>ziele</w:t>
            </w:r>
            <w:proofErr w:type="spellEnd"/>
            <w:r w:rsidRPr="00E50B51">
              <w:rPr>
                <w:sz w:val="20"/>
                <w:szCs w:val="20"/>
              </w:rPr>
              <w:t>, die Gesundheit und die Sicherheit der Gemeinschaft zu fördern.</w:t>
            </w:r>
            <w:r w:rsidRPr="00E50B51">
              <w:rPr>
                <w:rStyle w:val="Funotenzeichen"/>
                <w:rFonts w:eastAsiaTheme="majorEastAsia"/>
                <w:sz w:val="20"/>
                <w:szCs w:val="20"/>
              </w:rPr>
              <w:footnoteReference w:id="68"/>
            </w:r>
            <w:r w:rsidRPr="00E50B51">
              <w:rPr>
                <w:sz w:val="20"/>
                <w:szCs w:val="20"/>
              </w:rPr>
              <w:t xml:space="preserve"> Denn wie für die Enteignung typisch, schränke die staatliche Maßnahme gerade nicht den Eigentümer darin ein, sein Eigentum für rechtmäßige Zwecke zu nutzen. </w:t>
            </w:r>
            <w:r>
              <w:rPr>
                <w:sz w:val="20"/>
                <w:szCs w:val="20"/>
              </w:rPr>
              <w:t>Vielmehr untersage</w:t>
            </w:r>
            <w:r w:rsidRPr="00E50B51">
              <w:rPr>
                <w:sz w:val="20"/>
                <w:szCs w:val="20"/>
              </w:rPr>
              <w:t xml:space="preserve"> die staatliche Maßnahme, das Eigentum für Zwecke zu nutzen, die dem öffentlichen Interesse schaden, wie z.B. der Gesundheit oder der Sicherheit. Kurz gesagt: Ein Gesetz beschreib</w:t>
            </w:r>
            <w:r>
              <w:rPr>
                <w:sz w:val="20"/>
                <w:szCs w:val="20"/>
              </w:rPr>
              <w:t>e</w:t>
            </w:r>
            <w:r w:rsidRPr="00E50B51">
              <w:rPr>
                <w:sz w:val="20"/>
                <w:szCs w:val="20"/>
              </w:rPr>
              <w:t xml:space="preserve"> keine Enteignung, wenn es schädliches Verhalten regele bzw. untersage. Daher falle das Gesetz auch nicht unter den Schutz gegen die Eigentumsenteignung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e</w:t>
            </w:r>
            <w:r w:rsidRPr="00E50B51">
              <w:rPr>
                <w:sz w:val="20"/>
                <w:szCs w:val="20"/>
              </w:rPr>
              <w:t xml:space="preserve">s sei denn, der gesetzgeberische Zweck der Eigentumsbeschränkung selbst </w:t>
            </w:r>
            <w:r>
              <w:rPr>
                <w:sz w:val="20"/>
                <w:szCs w:val="20"/>
              </w:rPr>
              <w:t>widerspreche dem</w:t>
            </w:r>
            <w:r w:rsidRPr="00E50B51">
              <w:rPr>
                <w:sz w:val="20"/>
                <w:szCs w:val="20"/>
              </w:rPr>
              <w:t xml:space="preserve"> allgemeine</w:t>
            </w:r>
            <w:r>
              <w:rPr>
                <w:sz w:val="20"/>
                <w:szCs w:val="20"/>
              </w:rPr>
              <w:t>n</w:t>
            </w:r>
            <w:r w:rsidRPr="00E50B51">
              <w:rPr>
                <w:sz w:val="20"/>
                <w:szCs w:val="20"/>
              </w:rPr>
              <w:t xml:space="preserve"> Wohl („promote the </w:t>
            </w:r>
            <w:proofErr w:type="spellStart"/>
            <w:r w:rsidRPr="00E50B51">
              <w:rPr>
                <w:sz w:val="20"/>
                <w:szCs w:val="20"/>
              </w:rPr>
              <w:t>general</w:t>
            </w:r>
            <w:proofErr w:type="spellEnd"/>
            <w:r w:rsidRPr="00E50B51">
              <w:rPr>
                <w:sz w:val="20"/>
                <w:szCs w:val="20"/>
              </w:rPr>
              <w:t xml:space="preserve"> well-</w:t>
            </w:r>
            <w:proofErr w:type="spellStart"/>
            <w:r w:rsidRPr="00E50B51">
              <w:rPr>
                <w:sz w:val="20"/>
                <w:szCs w:val="20"/>
              </w:rPr>
              <w:t>being</w:t>
            </w:r>
            <w:proofErr w:type="spellEnd"/>
            <w:r w:rsidRPr="00E50B51">
              <w:rPr>
                <w:sz w:val="20"/>
                <w:szCs w:val="20"/>
              </w:rPr>
              <w:t>“</w:t>
            </w:r>
            <w:r w:rsidRPr="00E50B51">
              <w:rPr>
                <w:rStyle w:val="Funotenzeichen"/>
                <w:rFonts w:eastAsiaTheme="majorEastAsia"/>
                <w:sz w:val="20"/>
                <w:szCs w:val="20"/>
              </w:rPr>
              <w:footnoteReference w:id="69"/>
            </w:r>
            <w:r w:rsidRPr="00E50B51">
              <w:rPr>
                <w:sz w:val="20"/>
                <w:szCs w:val="20"/>
              </w:rPr>
              <w:t xml:space="preserve">), wie hier </w:t>
            </w:r>
            <w:r>
              <w:rPr>
                <w:sz w:val="20"/>
                <w:szCs w:val="20"/>
              </w:rPr>
              <w:t xml:space="preserve">der </w:t>
            </w:r>
            <w:r w:rsidRPr="00E50B51">
              <w:rPr>
                <w:sz w:val="20"/>
                <w:szCs w:val="20"/>
              </w:rPr>
              <w:t xml:space="preserve">Gesundheit oder Sicherheit. </w:t>
            </w:r>
            <w:r>
              <w:rPr>
                <w:sz w:val="20"/>
                <w:szCs w:val="20"/>
              </w:rPr>
              <w:t>Dabei könne der</w:t>
            </w:r>
            <w:r w:rsidRPr="00E50B51">
              <w:rPr>
                <w:sz w:val="20"/>
                <w:szCs w:val="20"/>
              </w:rPr>
              <w:t xml:space="preserve"> Wille des Gesetzgebers darin</w:t>
            </w:r>
            <w:r>
              <w:rPr>
                <w:sz w:val="20"/>
                <w:szCs w:val="20"/>
              </w:rPr>
              <w:t xml:space="preserve"> bestehen</w:t>
            </w:r>
            <w:r w:rsidRPr="00E50B51">
              <w:rPr>
                <w:sz w:val="20"/>
                <w:szCs w:val="20"/>
              </w:rPr>
              <w:t>, unter dem Deckmantel z.B. seiner Polizeihoheit das Eigentum und damit die Freiheit zu entziehen</w:t>
            </w:r>
            <w:r>
              <w:rPr>
                <w:sz w:val="20"/>
                <w:szCs w:val="20"/>
              </w:rPr>
              <w:t> </w:t>
            </w:r>
            <w:r w:rsidRPr="00E50B51">
              <w:rPr>
                <w:sz w:val="20"/>
                <w:szCs w:val="20"/>
              </w:rPr>
              <w:t>– und das ohne ein faires Verfahren.</w:t>
            </w:r>
            <w:r w:rsidRPr="00E50B51">
              <w:rPr>
                <w:rStyle w:val="Funotenzeichen"/>
                <w:rFonts w:eastAsiaTheme="majorEastAsia"/>
                <w:sz w:val="20"/>
                <w:szCs w:val="20"/>
              </w:rPr>
              <w:footnoteReference w:id="70"/>
            </w:r>
            <w:r w:rsidRPr="00E50B51">
              <w:rPr>
                <w:sz w:val="20"/>
                <w:szCs w:val="20"/>
              </w:rPr>
              <w:t xml:space="preserve"> </w:t>
            </w:r>
          </w:p>
          <w:p w14:paraId="3A188BDB" w14:textId="77777777" w:rsidR="00074551" w:rsidRDefault="00074551" w:rsidP="00367133">
            <w:pPr>
              <w:jc w:val="both"/>
              <w:rPr>
                <w:sz w:val="20"/>
                <w:szCs w:val="20"/>
              </w:rPr>
            </w:pPr>
          </w:p>
          <w:p w14:paraId="5ABA18CA" w14:textId="06ED45F4" w:rsidR="00074551" w:rsidRDefault="00074551" w:rsidP="00367133">
            <w:pPr>
              <w:jc w:val="both"/>
              <w:rPr>
                <w:sz w:val="20"/>
                <w:szCs w:val="20"/>
              </w:rPr>
            </w:pPr>
            <w:r w:rsidRPr="00E50B51">
              <w:rPr>
                <w:sz w:val="20"/>
                <w:szCs w:val="20"/>
              </w:rPr>
              <w:t xml:space="preserve">Der Beklagtenvortrag, den der </w:t>
            </w:r>
            <w:r>
              <w:rPr>
                <w:sz w:val="20"/>
                <w:szCs w:val="20"/>
              </w:rPr>
              <w:t>U.S. Supreme Court</w:t>
            </w:r>
            <w:r w:rsidRPr="00E50B51">
              <w:rPr>
                <w:sz w:val="20"/>
                <w:szCs w:val="20"/>
              </w:rPr>
              <w:t xml:space="preserve"> aufgriff, merkte eine Verletzung des Strebens nach Glück als Teil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an. Denn die Gerichte </w:t>
            </w:r>
            <w:r>
              <w:rPr>
                <w:sz w:val="20"/>
                <w:szCs w:val="20"/>
              </w:rPr>
              <w:t>hätten übersehen</w:t>
            </w:r>
            <w:r w:rsidRPr="00E50B51">
              <w:rPr>
                <w:sz w:val="20"/>
                <w:szCs w:val="20"/>
              </w:rPr>
              <w:t xml:space="preserve">, dass das Gesetz ein Naturrecht verletzte, hier das Recht auf die Herstellung von Nahrungsmitteln, von Getränken oder von Kleidung. Das sei aber notwendig für das Streben nach Glück. Und der Herstellungsprozess an sich berühre nicht einmal die Rechte anderer. Wenn eine staatliche Maßnahme ein natürliches Recht einschränke, </w:t>
            </w:r>
            <w:r>
              <w:rPr>
                <w:sz w:val="20"/>
                <w:szCs w:val="20"/>
              </w:rPr>
              <w:t>welches</w:t>
            </w:r>
            <w:r w:rsidRPr="00E50B51">
              <w:rPr>
                <w:sz w:val="20"/>
                <w:szCs w:val="20"/>
              </w:rPr>
              <w:t xml:space="preserve"> eine Bedingung des Strebens nach Glück sei, dann müsse die staatliche Maßnahme ein strenges und faires Verfahren einhalten („due </w:t>
            </w:r>
            <w:proofErr w:type="spellStart"/>
            <w:r w:rsidRPr="00E50B51">
              <w:rPr>
                <w:sz w:val="20"/>
                <w:szCs w:val="20"/>
              </w:rPr>
              <w:t>process</w:t>
            </w:r>
            <w:proofErr w:type="spellEnd"/>
            <w:r w:rsidRPr="00E50B51">
              <w:rPr>
                <w:sz w:val="20"/>
                <w:szCs w:val="20"/>
              </w:rPr>
              <w:t xml:space="preserve"> of </w:t>
            </w:r>
            <w:proofErr w:type="spellStart"/>
            <w:r w:rsidRPr="00E50B51">
              <w:rPr>
                <w:sz w:val="20"/>
                <w:szCs w:val="20"/>
              </w:rPr>
              <w:t>law</w:t>
            </w:r>
            <w:proofErr w:type="spellEnd"/>
            <w:r w:rsidRPr="00E50B51">
              <w:rPr>
                <w:sz w:val="20"/>
                <w:szCs w:val="20"/>
              </w:rPr>
              <w:t>“</w:t>
            </w:r>
            <w:r w:rsidRPr="00E50B51">
              <w:rPr>
                <w:rStyle w:val="Funotenzeichen"/>
                <w:rFonts w:eastAsiaTheme="majorEastAsia"/>
                <w:sz w:val="20"/>
                <w:szCs w:val="20"/>
              </w:rPr>
              <w:footnoteReference w:id="71"/>
            </w:r>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r>
              <w:rPr>
                <w:sz w:val="20"/>
                <w:szCs w:val="20"/>
              </w:rPr>
              <w:t>Dies sei hier nicht erfüllt worden</w:t>
            </w:r>
            <w:r w:rsidRPr="00E50B51">
              <w:rPr>
                <w:sz w:val="20"/>
                <w:szCs w:val="20"/>
              </w:rPr>
              <w:t>.</w:t>
            </w:r>
            <w:r w:rsidRPr="00E50B51">
              <w:rPr>
                <w:rStyle w:val="Funotenzeichen"/>
                <w:rFonts w:eastAsiaTheme="majorEastAsia"/>
                <w:sz w:val="20"/>
                <w:szCs w:val="20"/>
              </w:rPr>
              <w:footnoteReference w:id="72"/>
            </w:r>
          </w:p>
          <w:p w14:paraId="3055DB1F" w14:textId="77777777" w:rsidR="00074551" w:rsidRPr="00E50B51" w:rsidRDefault="00074551" w:rsidP="00367133">
            <w:pPr>
              <w:jc w:val="both"/>
              <w:rPr>
                <w:sz w:val="20"/>
                <w:szCs w:val="20"/>
              </w:rPr>
            </w:pPr>
          </w:p>
        </w:tc>
      </w:tr>
      <w:tr w:rsidR="00074551" w:rsidRPr="00E50B51" w14:paraId="09EB156D" w14:textId="77777777" w:rsidTr="00BE689F">
        <w:trPr>
          <w:cantSplit/>
          <w:trHeight w:val="3175"/>
        </w:trPr>
        <w:tc>
          <w:tcPr>
            <w:tcW w:w="293" w:type="pct"/>
          </w:tcPr>
          <w:p w14:paraId="3FF41FF1"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37A4243" w14:textId="77777777" w:rsidR="00074551" w:rsidRPr="0088728E" w:rsidRDefault="00074551" w:rsidP="00367133">
            <w:pPr>
              <w:ind w:left="113" w:right="113"/>
              <w:jc w:val="both"/>
              <w:rPr>
                <w:sz w:val="20"/>
                <w:szCs w:val="20"/>
                <w:lang w:val="en-US"/>
              </w:rPr>
            </w:pPr>
            <w:r w:rsidRPr="009167A5">
              <w:rPr>
                <w:i/>
                <w:sz w:val="20"/>
                <w:szCs w:val="20"/>
                <w:lang w:val="en-US"/>
              </w:rPr>
              <w:t>Pruneyard Shopping Ctr. v. Robins</w:t>
            </w:r>
          </w:p>
        </w:tc>
        <w:tc>
          <w:tcPr>
            <w:tcW w:w="197" w:type="pct"/>
            <w:textDirection w:val="tbRl"/>
            <w:vAlign w:val="center"/>
          </w:tcPr>
          <w:p w14:paraId="544CB26B" w14:textId="77777777" w:rsidR="00074551" w:rsidRPr="00E50B51" w:rsidRDefault="00074551" w:rsidP="00367133">
            <w:pPr>
              <w:ind w:left="113" w:right="113"/>
              <w:jc w:val="both"/>
              <w:rPr>
                <w:sz w:val="20"/>
                <w:szCs w:val="20"/>
              </w:rPr>
            </w:pPr>
            <w:r w:rsidRPr="00E50B51">
              <w:rPr>
                <w:sz w:val="20"/>
                <w:szCs w:val="20"/>
                <w:lang w:val="en-US"/>
              </w:rPr>
              <w:t>447 U.S. 74</w:t>
            </w:r>
          </w:p>
        </w:tc>
        <w:tc>
          <w:tcPr>
            <w:tcW w:w="306" w:type="pct"/>
            <w:textDirection w:val="tbRl"/>
            <w:vAlign w:val="center"/>
          </w:tcPr>
          <w:p w14:paraId="1D65A7E9" w14:textId="77777777" w:rsidR="00074551" w:rsidRPr="00E50B51" w:rsidRDefault="00074551" w:rsidP="00367133">
            <w:pPr>
              <w:ind w:left="113" w:right="113"/>
              <w:jc w:val="both"/>
              <w:rPr>
                <w:sz w:val="20"/>
                <w:szCs w:val="20"/>
              </w:rPr>
            </w:pPr>
            <w:r w:rsidRPr="00E50B51">
              <w:rPr>
                <w:sz w:val="20"/>
                <w:szCs w:val="20"/>
              </w:rPr>
              <w:t>9. Juni 1980</w:t>
            </w:r>
          </w:p>
        </w:tc>
        <w:tc>
          <w:tcPr>
            <w:tcW w:w="401" w:type="pct"/>
          </w:tcPr>
          <w:p w14:paraId="5FE764D8" w14:textId="77777777" w:rsidR="00074551" w:rsidRPr="00E50B51" w:rsidRDefault="00074551" w:rsidP="00367133">
            <w:pPr>
              <w:jc w:val="center"/>
              <w:rPr>
                <w:sz w:val="20"/>
                <w:szCs w:val="20"/>
              </w:rPr>
            </w:pPr>
            <w:r w:rsidRPr="00E50B51">
              <w:rPr>
                <w:sz w:val="20"/>
                <w:szCs w:val="20"/>
              </w:rPr>
              <w:t>C</w:t>
            </w:r>
          </w:p>
        </w:tc>
        <w:tc>
          <w:tcPr>
            <w:tcW w:w="1594" w:type="pct"/>
          </w:tcPr>
          <w:p w14:paraId="4B148C15" w14:textId="13D33D33" w:rsidR="00074551" w:rsidRPr="00E50B51" w:rsidRDefault="00074551" w:rsidP="00367133">
            <w:pPr>
              <w:jc w:val="both"/>
              <w:rPr>
                <w:sz w:val="20"/>
                <w:szCs w:val="20"/>
              </w:rPr>
            </w:pPr>
            <w:r w:rsidRPr="00E50B51">
              <w:rPr>
                <w:sz w:val="20"/>
                <w:szCs w:val="20"/>
              </w:rPr>
              <w:t xml:space="preserve">Im Fall bestätigte das Urteil des </w:t>
            </w:r>
            <w:r>
              <w:rPr>
                <w:sz w:val="20"/>
                <w:szCs w:val="20"/>
              </w:rPr>
              <w:t>U.S. Supreme Court</w:t>
            </w:r>
            <w:r w:rsidRPr="00E50B51">
              <w:rPr>
                <w:sz w:val="20"/>
                <w:szCs w:val="20"/>
              </w:rPr>
              <w:t xml:space="preserve"> eine Entscheidung des </w:t>
            </w:r>
            <w:r w:rsidRPr="00B45592">
              <w:rPr>
                <w:i/>
                <w:sz w:val="20"/>
                <w:szCs w:val="20"/>
              </w:rPr>
              <w:t>Supreme Court of California</w:t>
            </w:r>
            <w:r w:rsidRPr="00E50B51">
              <w:rPr>
                <w:sz w:val="20"/>
                <w:szCs w:val="20"/>
              </w:rPr>
              <w:t xml:space="preserve">. Der </w:t>
            </w:r>
            <w:r>
              <w:rPr>
                <w:sz w:val="20"/>
                <w:szCs w:val="20"/>
              </w:rPr>
              <w:t>U.S. Supreme Court</w:t>
            </w:r>
            <w:r w:rsidRPr="00E50B51">
              <w:rPr>
                <w:sz w:val="20"/>
                <w:szCs w:val="20"/>
              </w:rPr>
              <w:t xml:space="preserve"> gewährte den Beklagten das Recht auf freie Meinungsäußerung und das Petitionsrecht auf dem Grundstück des Klägers, einem Einkaufszentrum in Privateigentum und -besitz, weil es </w:t>
            </w:r>
            <w:r w:rsidRPr="00B45592">
              <w:rPr>
                <w:i/>
                <w:sz w:val="20"/>
                <w:szCs w:val="20"/>
              </w:rPr>
              <w:t>de facto</w:t>
            </w:r>
            <w:r w:rsidRPr="00E50B51">
              <w:rPr>
                <w:sz w:val="20"/>
                <w:szCs w:val="20"/>
              </w:rPr>
              <w:t xml:space="preserve"> für die Öffentlichkeit zugänglich war. Dabei stellte der </w:t>
            </w:r>
            <w:r>
              <w:rPr>
                <w:sz w:val="20"/>
                <w:szCs w:val="20"/>
              </w:rPr>
              <w:t>U.S. Supreme Court</w:t>
            </w:r>
            <w:r w:rsidRPr="00E50B51">
              <w:rPr>
                <w:sz w:val="20"/>
                <w:szCs w:val="20"/>
              </w:rPr>
              <w:t xml:space="preserve"> fest, dass die Beklagten weder das Eigentumsrecht der Kläger noch deren Meinungsäußerungsfreiheit nach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E50B51">
              <w:rPr>
                <w:sz w:val="20"/>
                <w:szCs w:val="20"/>
              </w:rPr>
              <w:t xml:space="preserve"> </w:t>
            </w:r>
            <w:r>
              <w:rPr>
                <w:sz w:val="20"/>
                <w:szCs w:val="20"/>
              </w:rPr>
              <w:t>v</w:t>
            </w:r>
            <w:r w:rsidRPr="00E50B51">
              <w:rPr>
                <w:sz w:val="20"/>
                <w:szCs w:val="20"/>
              </w:rPr>
              <w:t xml:space="preserve">erletzten. Einerseits entschied der </w:t>
            </w:r>
            <w:r>
              <w:rPr>
                <w:sz w:val="20"/>
                <w:szCs w:val="20"/>
              </w:rPr>
              <w:t>U.S. Supreme Court</w:t>
            </w:r>
            <w:r w:rsidRPr="00E50B51">
              <w:rPr>
                <w:sz w:val="20"/>
                <w:szCs w:val="20"/>
              </w:rPr>
              <w:t xml:space="preserve">, der Bundesstaat könne die Polizeigewalt hier </w:t>
            </w:r>
            <w:r>
              <w:rPr>
                <w:sz w:val="20"/>
                <w:szCs w:val="20"/>
              </w:rPr>
              <w:t>dergestalt</w:t>
            </w:r>
            <w:r w:rsidRPr="00E50B51">
              <w:rPr>
                <w:sz w:val="20"/>
                <w:szCs w:val="20"/>
              </w:rPr>
              <w:t xml:space="preserve"> ausüben, nicht einzuschreiten, weil er durch die bundesstaatliche Verfassung individuelle Freiheiten der Beklagten über die U.S. </w:t>
            </w:r>
            <w:proofErr w:type="spellStart"/>
            <w:r w:rsidRPr="00E50B51">
              <w:rPr>
                <w:sz w:val="20"/>
                <w:szCs w:val="20"/>
              </w:rPr>
              <w:t>Const</w:t>
            </w:r>
            <w:proofErr w:type="spellEnd"/>
            <w:r w:rsidRPr="00E50B51">
              <w:rPr>
                <w:sz w:val="20"/>
                <w:szCs w:val="20"/>
              </w:rPr>
              <w:t>. hinaus auslegen könne. Und andererseits verletze die freie Meinungsäußerung der Beklagten nicht die Eigentumsrechte der Kläger gemäß der Enteignungsklausel. Denn nichts deute darauf</w:t>
            </w:r>
            <w:r>
              <w:rPr>
                <w:sz w:val="20"/>
                <w:szCs w:val="20"/>
              </w:rPr>
              <w:t xml:space="preserve"> hin</w:t>
            </w:r>
            <w:r w:rsidRPr="00E50B51">
              <w:rPr>
                <w:sz w:val="20"/>
                <w:szCs w:val="20"/>
              </w:rPr>
              <w:t>, dass die Ausübung dieser Rechte den Wert oder die Nutzung des Eigentums der Kläger unangemessen beeinträchtige.</w:t>
            </w:r>
          </w:p>
          <w:p w14:paraId="6E4EE4C2" w14:textId="77777777" w:rsidR="00074551" w:rsidRPr="00E50B51" w:rsidRDefault="00074551" w:rsidP="00367133">
            <w:pPr>
              <w:jc w:val="both"/>
              <w:rPr>
                <w:sz w:val="20"/>
                <w:szCs w:val="20"/>
              </w:rPr>
            </w:pPr>
          </w:p>
        </w:tc>
        <w:tc>
          <w:tcPr>
            <w:tcW w:w="1822" w:type="pct"/>
          </w:tcPr>
          <w:p w14:paraId="63AACC3A" w14:textId="6F11AABA" w:rsidR="00074551" w:rsidRDefault="00074551" w:rsidP="00367133">
            <w:pPr>
              <w:jc w:val="both"/>
              <w:rPr>
                <w:sz w:val="20"/>
                <w:szCs w:val="20"/>
              </w:rPr>
            </w:pPr>
            <w:r w:rsidRPr="00E50B51">
              <w:rPr>
                <w:sz w:val="20"/>
                <w:szCs w:val="20"/>
              </w:rPr>
              <w:t>Der Begriff des Eigentums definiert sich als Bündel der Rechte, die sich aus der Beziehung einer Person zu einer körperlichen Sache ergeben,</w:t>
            </w:r>
            <w:r>
              <w:rPr>
                <w:sz w:val="20"/>
                <w:szCs w:val="20"/>
              </w:rPr>
              <w:t xml:space="preserve"> z.B.</w:t>
            </w:r>
            <w:r w:rsidRPr="00E50B51">
              <w:rPr>
                <w:sz w:val="20"/>
                <w:szCs w:val="20"/>
              </w:rPr>
              <w:t xml:space="preserve"> das Recht, </w:t>
            </w:r>
            <w:r>
              <w:rPr>
                <w:sz w:val="20"/>
                <w:szCs w:val="20"/>
              </w:rPr>
              <w:t xml:space="preserve">eine Sache </w:t>
            </w:r>
            <w:r w:rsidRPr="001729F6">
              <w:rPr>
                <w:color w:val="000000" w:themeColor="text1"/>
                <w:sz w:val="20"/>
                <w:szCs w:val="20"/>
              </w:rPr>
              <w:t>zu besitzen, zu nutzen und über sie zu verfügen.</w:t>
            </w:r>
            <w:r w:rsidRPr="001729F6">
              <w:rPr>
                <w:rStyle w:val="Funotenzeichen"/>
                <w:rFonts w:eastAsiaTheme="majorEastAsia"/>
                <w:color w:val="000000" w:themeColor="text1"/>
                <w:sz w:val="20"/>
                <w:szCs w:val="20"/>
              </w:rPr>
              <w:footnoteReference w:id="73"/>
            </w:r>
            <w:r>
              <w:rPr>
                <w:color w:val="000000" w:themeColor="text1"/>
                <w:sz w:val="20"/>
                <w:szCs w:val="20"/>
              </w:rPr>
              <w:t xml:space="preserve"> </w:t>
            </w:r>
            <w:r w:rsidRPr="001729F6">
              <w:rPr>
                <w:color w:val="000000" w:themeColor="text1"/>
                <w:sz w:val="20"/>
                <w:szCs w:val="20"/>
              </w:rPr>
              <w:t xml:space="preserve">Ein Staat kann mit seiner Polizeihoheit privates Eigentum beschränken, solange er dies </w:t>
            </w:r>
            <w:r>
              <w:rPr>
                <w:color w:val="000000" w:themeColor="text1"/>
                <w:sz w:val="20"/>
                <w:szCs w:val="20"/>
              </w:rPr>
              <w:t>mit einer</w:t>
            </w:r>
            <w:r w:rsidRPr="001729F6">
              <w:rPr>
                <w:color w:val="000000" w:themeColor="text1"/>
                <w:sz w:val="20"/>
                <w:szCs w:val="20"/>
              </w:rPr>
              <w:t xml:space="preserve"> angemessene</w:t>
            </w:r>
            <w:r>
              <w:rPr>
                <w:color w:val="000000" w:themeColor="text1"/>
                <w:sz w:val="20"/>
                <w:szCs w:val="20"/>
              </w:rPr>
              <w:t>n</w:t>
            </w:r>
            <w:r w:rsidRPr="001729F6">
              <w:rPr>
                <w:color w:val="000000" w:themeColor="text1"/>
                <w:sz w:val="20"/>
                <w:szCs w:val="20"/>
              </w:rPr>
              <w:t xml:space="preserve"> </w:t>
            </w:r>
            <w:r w:rsidRPr="00E50B51">
              <w:rPr>
                <w:sz w:val="20"/>
                <w:szCs w:val="20"/>
              </w:rPr>
              <w:t xml:space="preserve">Entschädigung </w:t>
            </w:r>
            <w:r>
              <w:rPr>
                <w:sz w:val="20"/>
                <w:szCs w:val="20"/>
              </w:rPr>
              <w:t>verbindet </w:t>
            </w:r>
            <w:r w:rsidRPr="00E50B51">
              <w:rPr>
                <w:sz w:val="20"/>
                <w:szCs w:val="20"/>
              </w:rPr>
              <w:t xml:space="preserve">– und dabei auch nicht gegen andere Bestimmungen der U.S. </w:t>
            </w:r>
            <w:proofErr w:type="spellStart"/>
            <w:r w:rsidRPr="00E50B51">
              <w:rPr>
                <w:sz w:val="20"/>
                <w:szCs w:val="20"/>
              </w:rPr>
              <w:t>Const</w:t>
            </w:r>
            <w:proofErr w:type="spellEnd"/>
            <w:r w:rsidRPr="00E50B51">
              <w:rPr>
                <w:sz w:val="20"/>
                <w:szCs w:val="20"/>
              </w:rPr>
              <w:t xml:space="preserve">. </w:t>
            </w:r>
            <w:r>
              <w:rPr>
                <w:sz w:val="20"/>
                <w:szCs w:val="20"/>
              </w:rPr>
              <w:t>verstößt</w:t>
            </w:r>
            <w:r w:rsidRPr="00E50B51">
              <w:rPr>
                <w:sz w:val="20"/>
                <w:szCs w:val="20"/>
              </w:rPr>
              <w:t>.</w:t>
            </w:r>
            <w:r w:rsidRPr="00E50B51">
              <w:rPr>
                <w:rStyle w:val="Funotenzeichen"/>
                <w:rFonts w:eastAsiaTheme="majorEastAsia"/>
                <w:sz w:val="20"/>
                <w:szCs w:val="20"/>
              </w:rPr>
              <w:footnoteReference w:id="74"/>
            </w:r>
            <w:r w:rsidRPr="00E50B51">
              <w:rPr>
                <w:sz w:val="20"/>
                <w:szCs w:val="20"/>
              </w:rPr>
              <w:t xml:space="preserve"> Allerdings öffnet hier der Kläger mit seinem Einkaufszentrum sein Eigentum für die Öffentlichkeit</w:t>
            </w:r>
            <w:r>
              <w:rPr>
                <w:sz w:val="20"/>
                <w:szCs w:val="20"/>
              </w:rPr>
              <w:t xml:space="preserve">. Er erklärt sich daher damit </w:t>
            </w:r>
            <w:r w:rsidRPr="00E50B51">
              <w:rPr>
                <w:sz w:val="20"/>
                <w:szCs w:val="20"/>
              </w:rPr>
              <w:t xml:space="preserve">einverstanden, dass </w:t>
            </w:r>
            <w:r>
              <w:rPr>
                <w:sz w:val="20"/>
                <w:szCs w:val="20"/>
              </w:rPr>
              <w:t>a</w:t>
            </w:r>
            <w:r w:rsidRPr="00E50B51">
              <w:rPr>
                <w:sz w:val="20"/>
                <w:szCs w:val="20"/>
              </w:rPr>
              <w:t>ndere sein Eigentum einschränken. Daher schützen ihn weder die Entschädigungsklausel noch seine Meinungsfreiheit.</w:t>
            </w:r>
            <w:r w:rsidRPr="00E50B51">
              <w:rPr>
                <w:rStyle w:val="Funotenzeichen"/>
                <w:rFonts w:eastAsiaTheme="majorEastAsia"/>
                <w:sz w:val="20"/>
                <w:szCs w:val="20"/>
              </w:rPr>
              <w:footnoteReference w:id="75"/>
            </w:r>
            <w:r>
              <w:rPr>
                <w:color w:val="000000" w:themeColor="text1"/>
                <w:sz w:val="20"/>
                <w:szCs w:val="20"/>
              </w:rPr>
              <w:t xml:space="preserve"> </w:t>
            </w:r>
            <w:r w:rsidRPr="00E50B51">
              <w:rPr>
                <w:sz w:val="20"/>
                <w:szCs w:val="20"/>
              </w:rPr>
              <w:t>Dabei sei ein Zentralelement des Eigentums das Recht</w:t>
            </w:r>
            <w:r>
              <w:rPr>
                <w:sz w:val="20"/>
                <w:szCs w:val="20"/>
              </w:rPr>
              <w:t>,</w:t>
            </w:r>
            <w:r w:rsidRPr="00E50B51">
              <w:rPr>
                <w:sz w:val="20"/>
                <w:szCs w:val="20"/>
              </w:rPr>
              <w:t xml:space="preserve"> andere auszuschließen.</w:t>
            </w:r>
            <w:r w:rsidRPr="00E50B51">
              <w:rPr>
                <w:rStyle w:val="Funotenzeichen"/>
                <w:rFonts w:eastAsiaTheme="majorEastAsia"/>
                <w:sz w:val="20"/>
                <w:szCs w:val="20"/>
              </w:rPr>
              <w:footnoteReference w:id="76"/>
            </w:r>
            <w:r w:rsidRPr="00E50B51">
              <w:rPr>
                <w:sz w:val="20"/>
                <w:szCs w:val="20"/>
              </w:rPr>
              <w:t xml:space="preserve"> Aber nicht jede staatliche Maßnahme, die Eigentum einschränke </w:t>
            </w:r>
            <w:r>
              <w:rPr>
                <w:sz w:val="20"/>
                <w:szCs w:val="20"/>
              </w:rPr>
              <w:t>z.B. indem die</w:t>
            </w:r>
            <w:r w:rsidRPr="00E50B51">
              <w:rPr>
                <w:sz w:val="20"/>
                <w:szCs w:val="20"/>
              </w:rPr>
              <w:t xml:space="preserve"> Meinungsfreiheit </w:t>
            </w:r>
            <w:r>
              <w:rPr>
                <w:sz w:val="20"/>
                <w:szCs w:val="20"/>
              </w:rPr>
              <w:t>ausgedehnt werde</w:t>
            </w:r>
            <w:r w:rsidRPr="00E50B51">
              <w:rPr>
                <w:sz w:val="20"/>
                <w:szCs w:val="20"/>
              </w:rPr>
              <w:t>,</w:t>
            </w:r>
            <w:r w:rsidRPr="00E50B51">
              <w:rPr>
                <w:rStyle w:val="Funotenzeichen"/>
                <w:rFonts w:eastAsiaTheme="majorEastAsia"/>
                <w:sz w:val="20"/>
                <w:szCs w:val="20"/>
              </w:rPr>
              <w:footnoteReference w:id="77"/>
            </w:r>
            <w:r>
              <w:rPr>
                <w:sz w:val="20"/>
                <w:szCs w:val="20"/>
              </w:rPr>
              <w:t xml:space="preserve"> </w:t>
            </w:r>
            <w:r w:rsidRPr="00E50B51">
              <w:rPr>
                <w:sz w:val="20"/>
                <w:szCs w:val="20"/>
              </w:rPr>
              <w:t xml:space="preserve">enteigne </w:t>
            </w:r>
            <w:r>
              <w:rPr>
                <w:sz w:val="20"/>
                <w:szCs w:val="20"/>
              </w:rPr>
              <w:t>d</w:t>
            </w:r>
            <w:r w:rsidRPr="00E50B51">
              <w:rPr>
                <w:sz w:val="20"/>
                <w:szCs w:val="20"/>
              </w:rPr>
              <w:t>en Eigentümer auch im verfassungsrechtlichen Sinne</w:t>
            </w:r>
            <w:r>
              <w:rPr>
                <w:sz w:val="20"/>
                <w:szCs w:val="20"/>
              </w:rPr>
              <w:t>.</w:t>
            </w:r>
            <w:r w:rsidRPr="00E50B51">
              <w:rPr>
                <w:rStyle w:val="Funotenzeichen"/>
                <w:rFonts w:eastAsiaTheme="majorEastAsia"/>
                <w:sz w:val="20"/>
                <w:szCs w:val="20"/>
              </w:rPr>
              <w:footnoteReference w:id="78"/>
            </w:r>
            <w:r w:rsidRPr="00E50B51">
              <w:rPr>
                <w:sz w:val="20"/>
                <w:szCs w:val="20"/>
              </w:rPr>
              <w:t xml:space="preserve"> </w:t>
            </w:r>
            <w:r>
              <w:rPr>
                <w:sz w:val="20"/>
                <w:szCs w:val="20"/>
              </w:rPr>
              <w:t>Denn h</w:t>
            </w:r>
            <w:r w:rsidRPr="00E50B51">
              <w:rPr>
                <w:sz w:val="20"/>
                <w:szCs w:val="20"/>
              </w:rPr>
              <w:t>ierzu besteh</w:t>
            </w:r>
            <w:r>
              <w:rPr>
                <w:sz w:val="20"/>
                <w:szCs w:val="20"/>
              </w:rPr>
              <w:t xml:space="preserve">e </w:t>
            </w:r>
            <w:r w:rsidRPr="00E50B51">
              <w:rPr>
                <w:sz w:val="20"/>
                <w:szCs w:val="20"/>
              </w:rPr>
              <w:t xml:space="preserve">eine </w:t>
            </w:r>
            <w:r>
              <w:rPr>
                <w:sz w:val="20"/>
                <w:szCs w:val="20"/>
              </w:rPr>
              <w:t xml:space="preserve">differenzierte </w:t>
            </w:r>
            <w:r w:rsidRPr="00E50B51">
              <w:rPr>
                <w:sz w:val="20"/>
                <w:szCs w:val="20"/>
              </w:rPr>
              <w:t xml:space="preserve">Prüfungsfolge: Wenn ein Gesetz Eigentum einschränke, und </w:t>
            </w:r>
            <w:r>
              <w:rPr>
                <w:sz w:val="20"/>
                <w:szCs w:val="20"/>
              </w:rPr>
              <w:t>dies</w:t>
            </w:r>
            <w:r w:rsidRPr="00E50B51">
              <w:rPr>
                <w:sz w:val="20"/>
                <w:szCs w:val="20"/>
              </w:rPr>
              <w:t xml:space="preserve"> rechtmäßig geschehen solle, aber tatsächlich unrechtmäßig war, dann fehle als Folgefehler eine Entschädigung. Um festzustellen, ob das Gesetz Eigentum unrechtmäßig verletze, finde eine Gesamtbetrachtung statt. Unrechtmäßigkeit liege u.a.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E50B51">
              <w:rPr>
                <w:sz w:val="20"/>
                <w:szCs w:val="20"/>
              </w:rPr>
              <w:t xml:space="preserve"> vor, wenn eine staatliche Maßnahme Personen dazu zwinge, öffentliche Lasten zu tragen, die aber von der Allgemeinheit zu tragen </w:t>
            </w:r>
            <w:r>
              <w:rPr>
                <w:sz w:val="20"/>
                <w:szCs w:val="20"/>
              </w:rPr>
              <w:t>seien</w:t>
            </w:r>
            <w:r w:rsidRPr="00E50B51">
              <w:rPr>
                <w:sz w:val="20"/>
                <w:szCs w:val="20"/>
              </w:rPr>
              <w:t>.</w:t>
            </w:r>
            <w:r w:rsidRPr="00E50B51">
              <w:rPr>
                <w:rStyle w:val="Funotenzeichen"/>
                <w:rFonts w:eastAsiaTheme="majorEastAsia"/>
                <w:sz w:val="20"/>
                <w:szCs w:val="20"/>
              </w:rPr>
              <w:footnoteReference w:id="79"/>
            </w:r>
            <w:r w:rsidRPr="00E50B51">
              <w:rPr>
                <w:sz w:val="20"/>
                <w:szCs w:val="20"/>
              </w:rPr>
              <w:t xml:space="preserve"> Um dies wiederum festzustellen, müss</w:t>
            </w:r>
            <w:r>
              <w:rPr>
                <w:sz w:val="20"/>
                <w:szCs w:val="20"/>
              </w:rPr>
              <w:t>t</w:t>
            </w:r>
            <w:r w:rsidRPr="00E50B51">
              <w:rPr>
                <w:sz w:val="20"/>
                <w:szCs w:val="20"/>
              </w:rPr>
              <w:t>en Gerichte folgende Kriterien abw</w:t>
            </w:r>
            <w:r>
              <w:rPr>
                <w:sz w:val="20"/>
                <w:szCs w:val="20"/>
              </w:rPr>
              <w:t>ägen</w:t>
            </w:r>
            <w:r w:rsidRPr="00E50B51">
              <w:rPr>
                <w:sz w:val="20"/>
                <w:szCs w:val="20"/>
              </w:rPr>
              <w:t xml:space="preserve">: </w:t>
            </w:r>
            <w:r>
              <w:rPr>
                <w:sz w:val="20"/>
                <w:szCs w:val="20"/>
              </w:rPr>
              <w:t>d</w:t>
            </w:r>
            <w:r w:rsidRPr="00E50B51">
              <w:rPr>
                <w:sz w:val="20"/>
                <w:szCs w:val="20"/>
              </w:rPr>
              <w:t>en Charakter der staatlichen Maßnahme, die wirtschaftliche</w:t>
            </w:r>
            <w:r>
              <w:rPr>
                <w:sz w:val="20"/>
                <w:szCs w:val="20"/>
              </w:rPr>
              <w:t>n</w:t>
            </w:r>
            <w:r w:rsidRPr="00E50B51">
              <w:rPr>
                <w:sz w:val="20"/>
                <w:szCs w:val="20"/>
              </w:rPr>
              <w:t xml:space="preserve"> Auswirkungen und die bereits getätigten Investition</w:t>
            </w:r>
            <w:r>
              <w:rPr>
                <w:sz w:val="20"/>
                <w:szCs w:val="20"/>
              </w:rPr>
              <w:t>en</w:t>
            </w:r>
            <w:r w:rsidRPr="00E50B51">
              <w:rPr>
                <w:sz w:val="20"/>
                <w:szCs w:val="20"/>
              </w:rPr>
              <w:t>.</w:t>
            </w:r>
            <w:r w:rsidRPr="00E50B51">
              <w:rPr>
                <w:rStyle w:val="Funotenzeichen"/>
                <w:rFonts w:eastAsiaTheme="majorEastAsia"/>
                <w:sz w:val="20"/>
                <w:szCs w:val="20"/>
              </w:rPr>
              <w:footnoteReference w:id="80"/>
            </w:r>
            <w:r w:rsidRPr="00E50B51">
              <w:rPr>
                <w:sz w:val="20"/>
                <w:szCs w:val="20"/>
              </w:rPr>
              <w:t xml:space="preserve"> Wenn eine staatliche Maßnahme danach eher unrechtmäßig sei, dann </w:t>
            </w:r>
            <w:r>
              <w:rPr>
                <w:sz w:val="20"/>
                <w:szCs w:val="20"/>
              </w:rPr>
              <w:t>gelte</w:t>
            </w:r>
            <w:r w:rsidRPr="00E50B51">
              <w:rPr>
                <w:sz w:val="20"/>
                <w:szCs w:val="20"/>
              </w:rPr>
              <w:t xml:space="preserve"> sie als Enteignung und dann sei eine Entschädigung</w:t>
            </w:r>
            <w:r>
              <w:rPr>
                <w:sz w:val="20"/>
                <w:szCs w:val="20"/>
              </w:rPr>
              <w:t xml:space="preserve"> </w:t>
            </w:r>
            <w:r w:rsidRPr="00E50B51">
              <w:rPr>
                <w:sz w:val="20"/>
                <w:szCs w:val="20"/>
              </w:rPr>
              <w:t>die Folge („</w:t>
            </w:r>
            <w:proofErr w:type="spellStart"/>
            <w:r>
              <w:rPr>
                <w:sz w:val="20"/>
                <w:szCs w:val="20"/>
              </w:rPr>
              <w:t>if</w:t>
            </w:r>
            <w:proofErr w:type="spellEnd"/>
            <w:r>
              <w:rPr>
                <w:sz w:val="20"/>
                <w:szCs w:val="20"/>
              </w:rPr>
              <w:t xml:space="preserve"> </w:t>
            </w:r>
            <w:proofErr w:type="spellStart"/>
            <w:r w:rsidRPr="00E50B51">
              <w:rPr>
                <w:sz w:val="20"/>
                <w:szCs w:val="20"/>
              </w:rPr>
              <w:t>regulation</w:t>
            </w:r>
            <w:proofErr w:type="spellEnd"/>
            <w:r w:rsidRPr="00E50B51">
              <w:rPr>
                <w:sz w:val="20"/>
                <w:szCs w:val="20"/>
              </w:rPr>
              <w:t xml:space="preserve"> </w:t>
            </w:r>
            <w:proofErr w:type="spellStart"/>
            <w:r w:rsidRPr="00E50B51">
              <w:rPr>
                <w:sz w:val="20"/>
                <w:szCs w:val="20"/>
              </w:rPr>
              <w:t>goes</w:t>
            </w:r>
            <w:proofErr w:type="spellEnd"/>
            <w:r w:rsidRPr="00E50B51">
              <w:rPr>
                <w:sz w:val="20"/>
                <w:szCs w:val="20"/>
              </w:rPr>
              <w:t xml:space="preserve"> </w:t>
            </w:r>
            <w:proofErr w:type="spellStart"/>
            <w:r w:rsidRPr="00E50B51">
              <w:rPr>
                <w:sz w:val="20"/>
                <w:szCs w:val="20"/>
              </w:rPr>
              <w:t>too</w:t>
            </w:r>
            <w:proofErr w:type="spellEnd"/>
            <w:r w:rsidRPr="00E50B51">
              <w:rPr>
                <w:sz w:val="20"/>
                <w:szCs w:val="20"/>
              </w:rPr>
              <w:t xml:space="preserve"> </w:t>
            </w:r>
            <w:proofErr w:type="spellStart"/>
            <w:r w:rsidRPr="00E50B51">
              <w:rPr>
                <w:sz w:val="20"/>
                <w:szCs w:val="20"/>
              </w:rPr>
              <w:t>far</w:t>
            </w:r>
            <w:proofErr w:type="spellEnd"/>
            <w:r w:rsidRPr="00E50B51">
              <w:rPr>
                <w:sz w:val="20"/>
                <w:szCs w:val="20"/>
              </w:rPr>
              <w:t xml:space="preserve"> it will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recognized</w:t>
            </w:r>
            <w:proofErr w:type="spellEnd"/>
            <w:r w:rsidRPr="00E50B51">
              <w:rPr>
                <w:sz w:val="20"/>
                <w:szCs w:val="20"/>
              </w:rPr>
              <w:t xml:space="preserve"> as a </w:t>
            </w:r>
            <w:proofErr w:type="spellStart"/>
            <w:r w:rsidRPr="00E50B51">
              <w:rPr>
                <w:sz w:val="20"/>
                <w:szCs w:val="20"/>
              </w:rPr>
              <w:t>taking</w:t>
            </w:r>
            <w:proofErr w:type="spellEnd"/>
            <w:r w:rsidRPr="00E50B51">
              <w:rPr>
                <w:sz w:val="20"/>
                <w:szCs w:val="20"/>
              </w:rPr>
              <w:t>“</w:t>
            </w:r>
            <w:r w:rsidRPr="00E50B51">
              <w:rPr>
                <w:rStyle w:val="Funotenzeichen"/>
                <w:rFonts w:eastAsiaTheme="majorEastAsia"/>
                <w:sz w:val="20"/>
                <w:szCs w:val="20"/>
              </w:rPr>
              <w:footnoteReference w:id="81"/>
            </w:r>
            <w:r w:rsidRPr="00E50B51">
              <w:rPr>
                <w:sz w:val="20"/>
                <w:szCs w:val="20"/>
              </w:rPr>
              <w:t xml:space="preserve">). Hier </w:t>
            </w:r>
            <w:r>
              <w:rPr>
                <w:sz w:val="20"/>
                <w:szCs w:val="20"/>
              </w:rPr>
              <w:t>griffen</w:t>
            </w:r>
            <w:r w:rsidRPr="00E50B51">
              <w:rPr>
                <w:sz w:val="20"/>
                <w:szCs w:val="20"/>
              </w:rPr>
              <w:t xml:space="preserve"> die freie Meinungsausübung und das Petitionsrecht auf dem Grundstück des Einkaufszentrums nicht in das Eigentum des Klägers ein, </w:t>
            </w:r>
            <w:r>
              <w:rPr>
                <w:sz w:val="20"/>
                <w:szCs w:val="20"/>
              </w:rPr>
              <w:t xml:space="preserve">sonst wäre </w:t>
            </w:r>
            <w:r w:rsidRPr="00E50B51">
              <w:rPr>
                <w:sz w:val="20"/>
                <w:szCs w:val="20"/>
              </w:rPr>
              <w:t>eine Entschädigung begründet. Denn nichts deute darauf</w:t>
            </w:r>
            <w:r>
              <w:rPr>
                <w:sz w:val="20"/>
                <w:szCs w:val="20"/>
              </w:rPr>
              <w:t xml:space="preserve"> hin</w:t>
            </w:r>
            <w:r w:rsidRPr="00E50B51">
              <w:rPr>
                <w:sz w:val="20"/>
                <w:szCs w:val="20"/>
              </w:rPr>
              <w:t>, dass die Aktivitäten den Wert oder die Nutzung ihres Eigentums als Einkaufszentrum beeinträchtig</w:t>
            </w:r>
            <w:r>
              <w:rPr>
                <w:sz w:val="20"/>
                <w:szCs w:val="20"/>
              </w:rPr>
              <w:t>t</w:t>
            </w:r>
            <w:r w:rsidRPr="00E50B51">
              <w:rPr>
                <w:sz w:val="20"/>
                <w:szCs w:val="20"/>
              </w:rPr>
              <w:t>en.</w:t>
            </w:r>
            <w:r w:rsidRPr="00E50B51">
              <w:rPr>
                <w:rStyle w:val="Funotenzeichen"/>
                <w:rFonts w:eastAsiaTheme="majorEastAsia"/>
                <w:sz w:val="20"/>
                <w:szCs w:val="20"/>
              </w:rPr>
              <w:footnoteReference w:id="82"/>
            </w:r>
            <w:r>
              <w:rPr>
                <w:sz w:val="20"/>
                <w:szCs w:val="20"/>
              </w:rPr>
              <w:t xml:space="preserve"> </w:t>
            </w:r>
          </w:p>
          <w:p w14:paraId="2A69C089" w14:textId="77777777" w:rsidR="00074551" w:rsidRDefault="00074551" w:rsidP="00367133">
            <w:pPr>
              <w:jc w:val="both"/>
              <w:rPr>
                <w:sz w:val="20"/>
                <w:szCs w:val="20"/>
              </w:rPr>
            </w:pPr>
          </w:p>
          <w:p w14:paraId="360C1E16"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differenziert d</w:t>
            </w:r>
            <w:r>
              <w:rPr>
                <w:sz w:val="20"/>
                <w:szCs w:val="20"/>
              </w:rPr>
              <w:t>ie</w:t>
            </w:r>
            <w:r w:rsidRPr="00E50B51">
              <w:rPr>
                <w:sz w:val="20"/>
                <w:szCs w:val="20"/>
              </w:rPr>
              <w:t xml:space="preserve"> Eigentum</w:t>
            </w:r>
            <w:r>
              <w:rPr>
                <w:sz w:val="20"/>
                <w:szCs w:val="20"/>
              </w:rPr>
              <w:t>sfreiheit</w:t>
            </w:r>
            <w:r w:rsidRPr="00E50B51">
              <w:rPr>
                <w:sz w:val="20"/>
                <w:szCs w:val="20"/>
              </w:rPr>
              <w:t xml:space="preserve"> also aus und erklärt, wie staatliche Maßnahmen das Eigentum einschränken können. 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ergänzt dazu: Der </w:t>
            </w:r>
            <w:r>
              <w:rPr>
                <w:sz w:val="20"/>
                <w:szCs w:val="20"/>
              </w:rPr>
              <w:t>U.S. Supreme Court</w:t>
            </w:r>
            <w:r w:rsidRPr="00E50B51">
              <w:rPr>
                <w:sz w:val="20"/>
                <w:szCs w:val="20"/>
              </w:rPr>
              <w:t xml:space="preserve"> übersähe, dass das Eigentum nicht nur durch einfache Gesetze geschützt sei. Sondern auch </w:t>
            </w:r>
            <w:r>
              <w:rPr>
                <w:sz w:val="20"/>
                <w:szCs w:val="20"/>
              </w:rPr>
              <w:t xml:space="preserve">die </w:t>
            </w:r>
            <w:r w:rsidRPr="00E50B51">
              <w:rPr>
                <w:sz w:val="20"/>
                <w:szCs w:val="20"/>
              </w:rPr>
              <w:t>verfassungsrechtliche Privatautonomie schütze das Eigentum („</w:t>
            </w:r>
            <w:proofErr w:type="spellStart"/>
            <w:r w:rsidRPr="00E50B51">
              <w:rPr>
                <w:sz w:val="20"/>
                <w:szCs w:val="20"/>
              </w:rPr>
              <w:t>sphere</w:t>
            </w:r>
            <w:proofErr w:type="spellEnd"/>
            <w:r w:rsidRPr="00E50B51">
              <w:rPr>
                <w:sz w:val="20"/>
                <w:szCs w:val="20"/>
              </w:rPr>
              <w:t xml:space="preserve"> of private </w:t>
            </w:r>
            <w:proofErr w:type="spellStart"/>
            <w:r w:rsidRPr="00E50B51">
              <w:rPr>
                <w:sz w:val="20"/>
                <w:szCs w:val="20"/>
              </w:rPr>
              <w:t>autonomy</w:t>
            </w:r>
            <w:proofErr w:type="spellEnd"/>
            <w:r w:rsidRPr="00E50B51">
              <w:rPr>
                <w:sz w:val="20"/>
                <w:szCs w:val="20"/>
              </w:rPr>
              <w:t>“</w:t>
            </w:r>
            <w:r w:rsidRPr="00E50B51">
              <w:rPr>
                <w:rStyle w:val="Funotenzeichen"/>
                <w:rFonts w:eastAsiaTheme="majorEastAsia"/>
                <w:sz w:val="20"/>
                <w:szCs w:val="20"/>
              </w:rPr>
              <w:footnoteReference w:id="83"/>
            </w:r>
            <w:r w:rsidRPr="00E50B51">
              <w:rPr>
                <w:sz w:val="20"/>
                <w:szCs w:val="20"/>
              </w:rPr>
              <w:t>). Diese Privatautonomie und andere Doktrinen, die den Kern von Freiheitsrechten (</w:t>
            </w:r>
            <w:proofErr w:type="gramStart"/>
            <w:r w:rsidRPr="00E50B51">
              <w:rPr>
                <w:sz w:val="20"/>
                <w:szCs w:val="20"/>
              </w:rPr>
              <w:t>„</w:t>
            </w:r>
            <w:r>
              <w:rPr>
                <w:sz w:val="20"/>
                <w:szCs w:val="20"/>
              </w:rPr>
              <w:t>,</w:t>
            </w:r>
            <w:proofErr w:type="spellStart"/>
            <w:r w:rsidRPr="00E50B51">
              <w:rPr>
                <w:sz w:val="20"/>
                <w:szCs w:val="20"/>
              </w:rPr>
              <w:t>core</w:t>
            </w:r>
            <w:proofErr w:type="spellEnd"/>
            <w:proofErr w:type="gramEnd"/>
            <w:r w:rsidRPr="00E50B51">
              <w:rPr>
                <w:sz w:val="20"/>
                <w:szCs w:val="20"/>
              </w:rPr>
              <w:t xml:space="preserve">‘ </w:t>
            </w:r>
            <w:proofErr w:type="spellStart"/>
            <w:r w:rsidRPr="00E50B51">
              <w:rPr>
                <w:sz w:val="20"/>
                <w:szCs w:val="20"/>
              </w:rPr>
              <w:t>common-law</w:t>
            </w:r>
            <w:proofErr w:type="spellEnd"/>
            <w:r w:rsidRPr="00E50B51">
              <w:rPr>
                <w:sz w:val="20"/>
                <w:szCs w:val="20"/>
              </w:rPr>
              <w:t xml:space="preserve"> </w:t>
            </w:r>
            <w:proofErr w:type="spellStart"/>
            <w:r w:rsidRPr="00E50B51">
              <w:rPr>
                <w:sz w:val="20"/>
                <w:szCs w:val="20"/>
              </w:rPr>
              <w:t>rights</w:t>
            </w:r>
            <w:proofErr w:type="spellEnd"/>
            <w:r w:rsidRPr="00E50B51">
              <w:rPr>
                <w:sz w:val="20"/>
                <w:szCs w:val="20"/>
              </w:rPr>
              <w:t>“</w:t>
            </w:r>
            <w:r w:rsidRPr="00E50B51">
              <w:rPr>
                <w:rStyle w:val="Funotenzeichen"/>
                <w:rFonts w:eastAsiaTheme="majorEastAsia"/>
                <w:sz w:val="20"/>
                <w:szCs w:val="20"/>
              </w:rPr>
              <w:footnoteReference w:id="84"/>
            </w:r>
            <w:r w:rsidRPr="00E50B51">
              <w:rPr>
                <w:sz w:val="20"/>
                <w:szCs w:val="20"/>
              </w:rPr>
              <w:t>) bilde</w:t>
            </w:r>
            <w:r>
              <w:rPr>
                <w:sz w:val="20"/>
                <w:szCs w:val="20"/>
              </w:rPr>
              <w:t>te</w:t>
            </w:r>
            <w:r w:rsidRPr="00E50B51">
              <w:rPr>
                <w:sz w:val="20"/>
                <w:szCs w:val="20"/>
              </w:rPr>
              <w:t>n, g</w:t>
            </w:r>
            <w:r>
              <w:rPr>
                <w:sz w:val="20"/>
                <w:szCs w:val="20"/>
              </w:rPr>
              <w:t>ä</w:t>
            </w:r>
            <w:r w:rsidRPr="00E50B51">
              <w:rPr>
                <w:sz w:val="20"/>
                <w:szCs w:val="20"/>
              </w:rPr>
              <w:t xml:space="preserve">ben staatlichen Maßnahmen Grenzen </w:t>
            </w:r>
            <w:r>
              <w:rPr>
                <w:sz w:val="20"/>
                <w:szCs w:val="20"/>
              </w:rPr>
              <w:t>vor</w:t>
            </w:r>
            <w:r w:rsidRPr="00E50B51">
              <w:rPr>
                <w:sz w:val="20"/>
                <w:szCs w:val="20"/>
              </w:rPr>
              <w:t xml:space="preserve">. Darunter falle z.B. der Schutz des </w:t>
            </w:r>
            <w:r w:rsidRPr="00E50B51">
              <w:rPr>
                <w:sz w:val="20"/>
                <w:szCs w:val="20"/>
              </w:rPr>
              <w:lastRenderedPageBreak/>
              <w:t xml:space="preserve">Eigentums vor unbefugtem Betreten, </w:t>
            </w:r>
            <w:r>
              <w:rPr>
                <w:sz w:val="20"/>
                <w:szCs w:val="20"/>
              </w:rPr>
              <w:t xml:space="preserve">also </w:t>
            </w:r>
            <w:r w:rsidRPr="00E50B51">
              <w:rPr>
                <w:sz w:val="20"/>
                <w:szCs w:val="20"/>
              </w:rPr>
              <w:t>ohne Durchsuchungsbeschluss oder ohne Rechtsbehelfsmöglichkeiten. Doch woraus ergibt sich der Kern, der Eigentum schützt? Der Kern von Freiheitsrechten, die der Staat grundsätzlich nicht</w:t>
            </w:r>
            <w:r>
              <w:rPr>
                <w:sz w:val="20"/>
                <w:szCs w:val="20"/>
              </w:rPr>
              <w:t>,</w:t>
            </w:r>
            <w:r w:rsidRPr="00E50B51">
              <w:rPr>
                <w:sz w:val="20"/>
                <w:szCs w:val="20"/>
              </w:rPr>
              <w:t xml:space="preserve"> und wenn überhaupt nur unter erheblicher Rechtfertigungslast („</w:t>
            </w:r>
            <w:proofErr w:type="spellStart"/>
            <w:r w:rsidRPr="00E50B51">
              <w:rPr>
                <w:sz w:val="20"/>
                <w:szCs w:val="20"/>
              </w:rPr>
              <w:t>strictly</w:t>
            </w:r>
            <w:proofErr w:type="spellEnd"/>
            <w:r w:rsidRPr="00E50B51">
              <w:rPr>
                <w:sz w:val="20"/>
                <w:szCs w:val="20"/>
              </w:rPr>
              <w:t xml:space="preserve"> </w:t>
            </w:r>
            <w:proofErr w:type="spellStart"/>
            <w:r w:rsidRPr="00E50B51">
              <w:rPr>
                <w:sz w:val="20"/>
                <w:szCs w:val="20"/>
              </w:rPr>
              <w:t>scrutinizing</w:t>
            </w:r>
            <w:proofErr w:type="spellEnd"/>
            <w:r w:rsidRPr="00E50B51">
              <w:rPr>
                <w:sz w:val="20"/>
                <w:szCs w:val="20"/>
              </w:rPr>
              <w:t>“</w:t>
            </w:r>
            <w:r w:rsidRPr="00E50B51">
              <w:rPr>
                <w:rStyle w:val="Funotenzeichen"/>
                <w:rFonts w:eastAsiaTheme="majorEastAsia"/>
                <w:sz w:val="20"/>
                <w:szCs w:val="20"/>
              </w:rPr>
              <w:footnoteReference w:id="85"/>
            </w:r>
            <w:r w:rsidRPr="00E50B51">
              <w:rPr>
                <w:sz w:val="20"/>
                <w:szCs w:val="20"/>
              </w:rPr>
              <w:t xml:space="preserve">) einschränken kann, ergibt sich aus den Bedingungen, die sich als wesentlich für das geordnete Streben freier Menschen nach Glück konstituieren („the </w:t>
            </w:r>
            <w:proofErr w:type="spellStart"/>
            <w:proofErr w:type="gramStart"/>
            <w:r w:rsidRPr="00E50B51">
              <w:rPr>
                <w:sz w:val="20"/>
                <w:szCs w:val="20"/>
              </w:rPr>
              <w:t>right</w:t>
            </w:r>
            <w:proofErr w:type="spellEnd"/>
            <w:r w:rsidRPr="00E50B51">
              <w:rPr>
                <w:sz w:val="20"/>
                <w:szCs w:val="20"/>
              </w:rPr>
              <w:t xml:space="preserve"> </w:t>
            </w:r>
            <w:r>
              <w:rPr>
                <w:sz w:val="20"/>
                <w:szCs w:val="20"/>
              </w:rPr>
              <w:t>,</w:t>
            </w:r>
            <w:proofErr w:type="spellStart"/>
            <w:r w:rsidRPr="00E50B51">
              <w:rPr>
                <w:sz w:val="20"/>
                <w:szCs w:val="20"/>
              </w:rPr>
              <w:t>generally</w:t>
            </w:r>
            <w:proofErr w:type="spellEnd"/>
            <w:proofErr w:type="gramEnd"/>
            <w:r w:rsidRPr="00E50B51">
              <w:rPr>
                <w:sz w:val="20"/>
                <w:szCs w:val="20"/>
              </w:rPr>
              <w:t xml:space="preserve"> to </w:t>
            </w:r>
            <w:proofErr w:type="spellStart"/>
            <w:r w:rsidRPr="00E50B51">
              <w:rPr>
                <w:sz w:val="20"/>
                <w:szCs w:val="20"/>
              </w:rPr>
              <w:t>enjoy</w:t>
            </w:r>
            <w:proofErr w:type="spellEnd"/>
            <w:r w:rsidRPr="00E50B51">
              <w:rPr>
                <w:sz w:val="20"/>
                <w:szCs w:val="20"/>
              </w:rPr>
              <w:t xml:space="preserve"> </w:t>
            </w:r>
            <w:proofErr w:type="spellStart"/>
            <w:r w:rsidRPr="00E50B51">
              <w:rPr>
                <w:sz w:val="20"/>
                <w:szCs w:val="20"/>
              </w:rPr>
              <w:t>those</w:t>
            </w:r>
            <w:proofErr w:type="spellEnd"/>
            <w:r w:rsidRPr="00E50B51">
              <w:rPr>
                <w:sz w:val="20"/>
                <w:szCs w:val="20"/>
              </w:rPr>
              <w:t xml:space="preserve"> </w:t>
            </w:r>
            <w:proofErr w:type="spellStart"/>
            <w:r w:rsidRPr="00E50B51">
              <w:rPr>
                <w:sz w:val="20"/>
                <w:szCs w:val="20"/>
              </w:rPr>
              <w:t>privileges</w:t>
            </w:r>
            <w:proofErr w:type="spellEnd"/>
            <w:r w:rsidRPr="00E50B51">
              <w:rPr>
                <w:sz w:val="20"/>
                <w:szCs w:val="20"/>
              </w:rPr>
              <w:t xml:space="preserve"> </w:t>
            </w:r>
            <w:proofErr w:type="spellStart"/>
            <w:r w:rsidRPr="00E50B51">
              <w:rPr>
                <w:sz w:val="20"/>
                <w:szCs w:val="20"/>
              </w:rPr>
              <w:t>long</w:t>
            </w:r>
            <w:proofErr w:type="spellEnd"/>
            <w:r w:rsidRPr="00E50B51">
              <w:rPr>
                <w:sz w:val="20"/>
                <w:szCs w:val="20"/>
              </w:rPr>
              <w:t xml:space="preserve"> </w:t>
            </w:r>
            <w:proofErr w:type="spellStart"/>
            <w:r w:rsidRPr="00E50B51">
              <w:rPr>
                <w:sz w:val="20"/>
                <w:szCs w:val="20"/>
              </w:rPr>
              <w:t>recognized</w:t>
            </w:r>
            <w:proofErr w:type="spellEnd"/>
            <w:r w:rsidRPr="00E50B51">
              <w:rPr>
                <w:sz w:val="20"/>
                <w:szCs w:val="20"/>
              </w:rPr>
              <w:t xml:space="preserve"> at </w:t>
            </w:r>
            <w:proofErr w:type="spellStart"/>
            <w:r w:rsidRPr="00E50B51">
              <w:rPr>
                <w:sz w:val="20"/>
                <w:szCs w:val="20"/>
              </w:rPr>
              <w:t>common</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 xml:space="preserve"> as essential to the </w:t>
            </w:r>
            <w:proofErr w:type="spellStart"/>
            <w:r w:rsidRPr="00E50B51">
              <w:rPr>
                <w:sz w:val="20"/>
                <w:szCs w:val="20"/>
              </w:rPr>
              <w:t>orderly</w:t>
            </w:r>
            <w:proofErr w:type="spellEnd"/>
            <w:r w:rsidRPr="00E50B51">
              <w:rPr>
                <w:sz w:val="20"/>
                <w:szCs w:val="20"/>
              </w:rPr>
              <w:t xml:space="preserv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 xml:space="preserve"> by </w:t>
            </w:r>
            <w:proofErr w:type="spellStart"/>
            <w:r w:rsidRPr="00E50B51">
              <w:rPr>
                <w:sz w:val="20"/>
                <w:szCs w:val="20"/>
              </w:rPr>
              <w:t>free</w:t>
            </w:r>
            <w:proofErr w:type="spellEnd"/>
            <w:r w:rsidRPr="00E50B51">
              <w:rPr>
                <w:sz w:val="20"/>
                <w:szCs w:val="20"/>
              </w:rPr>
              <w:t xml:space="preserve"> </w:t>
            </w:r>
            <w:proofErr w:type="spellStart"/>
            <w:r w:rsidRPr="00E50B51">
              <w:rPr>
                <w:sz w:val="20"/>
                <w:szCs w:val="20"/>
              </w:rPr>
              <w:t>men</w:t>
            </w:r>
            <w:proofErr w:type="spellEnd"/>
            <w:r w:rsidRPr="00E50B51">
              <w:rPr>
                <w:sz w:val="20"/>
                <w:szCs w:val="20"/>
              </w:rPr>
              <w:t>‘“).</w:t>
            </w:r>
            <w:r w:rsidRPr="00E50B51">
              <w:rPr>
                <w:rStyle w:val="Funotenzeichen"/>
                <w:rFonts w:eastAsiaTheme="majorEastAsia"/>
                <w:sz w:val="20"/>
                <w:szCs w:val="20"/>
              </w:rPr>
              <w:footnoteReference w:id="86"/>
            </w:r>
            <w:r w:rsidRPr="00E50B51">
              <w:rPr>
                <w:sz w:val="20"/>
                <w:szCs w:val="20"/>
              </w:rPr>
              <w:t xml:space="preserve"> 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meint, diese seien nicht berührt. Da der Kläger sein Einkaufszentrum für die Öffentlichkeit zugänglich mache, verzichte er auf den Schutz des Bereich</w:t>
            </w:r>
            <w:r>
              <w:rPr>
                <w:sz w:val="20"/>
                <w:szCs w:val="20"/>
              </w:rPr>
              <w:t>s</w:t>
            </w:r>
            <w:r w:rsidRPr="00E50B51">
              <w:rPr>
                <w:sz w:val="20"/>
                <w:szCs w:val="20"/>
              </w:rPr>
              <w:t xml:space="preserve"> der Privatautonomie.</w:t>
            </w:r>
            <w:r w:rsidRPr="00E50B51">
              <w:rPr>
                <w:rStyle w:val="Funotenzeichen"/>
                <w:rFonts w:eastAsiaTheme="majorEastAsia"/>
                <w:sz w:val="20"/>
                <w:szCs w:val="20"/>
              </w:rPr>
              <w:footnoteReference w:id="87"/>
            </w:r>
          </w:p>
        </w:tc>
      </w:tr>
      <w:tr w:rsidR="00074551" w:rsidRPr="00E50B51" w14:paraId="08D1C638" w14:textId="77777777" w:rsidTr="00BE689F">
        <w:trPr>
          <w:cantSplit/>
          <w:trHeight w:val="3175"/>
        </w:trPr>
        <w:tc>
          <w:tcPr>
            <w:tcW w:w="293" w:type="pct"/>
          </w:tcPr>
          <w:p w14:paraId="1AA1AB80" w14:textId="77777777" w:rsidR="00074551" w:rsidRPr="00E50B51" w:rsidRDefault="00074551" w:rsidP="00367133">
            <w:pPr>
              <w:jc w:val="center"/>
              <w:rPr>
                <w:sz w:val="20"/>
                <w:szCs w:val="20"/>
              </w:rPr>
            </w:pPr>
            <w:r w:rsidRPr="00E50B51">
              <w:rPr>
                <w:sz w:val="20"/>
                <w:szCs w:val="20"/>
                <w:lang w:val="en-US"/>
              </w:rPr>
              <w:lastRenderedPageBreak/>
              <w:t>H</w:t>
            </w:r>
          </w:p>
        </w:tc>
        <w:tc>
          <w:tcPr>
            <w:tcW w:w="387" w:type="pct"/>
            <w:textDirection w:val="tbRl"/>
            <w:vAlign w:val="center"/>
          </w:tcPr>
          <w:p w14:paraId="473D0A1E" w14:textId="77777777" w:rsidR="00074551" w:rsidRPr="00B45592" w:rsidRDefault="00074551" w:rsidP="00367133">
            <w:pPr>
              <w:ind w:left="113" w:right="113"/>
              <w:jc w:val="both"/>
              <w:rPr>
                <w:i/>
                <w:sz w:val="20"/>
                <w:szCs w:val="20"/>
                <w:lang w:val="fr-FR"/>
              </w:rPr>
            </w:pPr>
            <w:r w:rsidRPr="00B45592">
              <w:rPr>
                <w:i/>
                <w:sz w:val="20"/>
                <w:szCs w:val="20"/>
                <w:lang w:val="fr-FR"/>
              </w:rPr>
              <w:t>Cincinnati v. Louisville &amp; N. R. Co.</w:t>
            </w:r>
          </w:p>
        </w:tc>
        <w:tc>
          <w:tcPr>
            <w:tcW w:w="197" w:type="pct"/>
            <w:textDirection w:val="tbRl"/>
            <w:vAlign w:val="center"/>
          </w:tcPr>
          <w:p w14:paraId="0BB9F8B8" w14:textId="77777777" w:rsidR="00074551" w:rsidRPr="00E50B51" w:rsidRDefault="00074551" w:rsidP="00367133">
            <w:pPr>
              <w:ind w:left="113" w:right="113"/>
              <w:jc w:val="both"/>
              <w:rPr>
                <w:sz w:val="20"/>
                <w:szCs w:val="20"/>
              </w:rPr>
            </w:pPr>
            <w:r w:rsidRPr="00E50B51">
              <w:rPr>
                <w:sz w:val="20"/>
                <w:szCs w:val="20"/>
              </w:rPr>
              <w:t>223 U.S. 390</w:t>
            </w:r>
          </w:p>
        </w:tc>
        <w:tc>
          <w:tcPr>
            <w:tcW w:w="306" w:type="pct"/>
            <w:textDirection w:val="tbRl"/>
            <w:vAlign w:val="center"/>
          </w:tcPr>
          <w:p w14:paraId="788759D2" w14:textId="77777777" w:rsidR="00074551" w:rsidRPr="00E50B51" w:rsidRDefault="00074551" w:rsidP="00367133">
            <w:pPr>
              <w:ind w:left="113" w:right="113"/>
              <w:jc w:val="both"/>
              <w:rPr>
                <w:sz w:val="20"/>
                <w:szCs w:val="20"/>
              </w:rPr>
            </w:pPr>
            <w:r w:rsidRPr="00E50B51">
              <w:rPr>
                <w:sz w:val="20"/>
                <w:szCs w:val="20"/>
              </w:rPr>
              <w:t>19. Februar 1912</w:t>
            </w:r>
          </w:p>
          <w:p w14:paraId="7B8DC938" w14:textId="77777777" w:rsidR="00074551" w:rsidRPr="00E50B51" w:rsidRDefault="00074551" w:rsidP="00367133">
            <w:pPr>
              <w:ind w:left="113" w:right="113"/>
              <w:jc w:val="both"/>
              <w:rPr>
                <w:sz w:val="20"/>
                <w:szCs w:val="20"/>
              </w:rPr>
            </w:pPr>
          </w:p>
        </w:tc>
        <w:tc>
          <w:tcPr>
            <w:tcW w:w="401" w:type="pct"/>
          </w:tcPr>
          <w:p w14:paraId="096D53D2"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6202312F" w14:textId="77777777" w:rsidR="000745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bestätigte die Entscheidung des </w:t>
            </w:r>
            <w:r w:rsidRPr="00B45592">
              <w:rPr>
                <w:i/>
                <w:sz w:val="20"/>
                <w:szCs w:val="20"/>
              </w:rPr>
              <w:t>Supreme Court of Ohio</w:t>
            </w:r>
            <w:r w:rsidRPr="00E50B51">
              <w:rPr>
                <w:sz w:val="20"/>
                <w:szCs w:val="20"/>
              </w:rPr>
              <w:t>. Er wies damit die Klage des Klägers, einer Stadt, ab. Die Stadt wollte verhindern, dass eine Eisenbahngesellschaft – gehalten vom Bundesstaat Ohio – ein Wegerecht über öffentliches Land beanspruch</w:t>
            </w:r>
            <w:r>
              <w:rPr>
                <w:sz w:val="20"/>
                <w:szCs w:val="20"/>
              </w:rPr>
              <w:t>t</w:t>
            </w:r>
            <w:r w:rsidRPr="00E50B51">
              <w:rPr>
                <w:sz w:val="20"/>
                <w:szCs w:val="20"/>
              </w:rPr>
              <w:t>e, gestützt auf ein Gesetz von Ohio</w:t>
            </w:r>
            <w:r>
              <w:rPr>
                <w:sz w:val="20"/>
                <w:szCs w:val="20"/>
              </w:rPr>
              <w:t>.</w:t>
            </w:r>
            <w:r w:rsidRPr="00E50B51">
              <w:rPr>
                <w:rStyle w:val="Funotenzeichen"/>
                <w:sz w:val="20"/>
                <w:szCs w:val="20"/>
              </w:rPr>
              <w:footnoteReference w:id="88"/>
            </w:r>
            <w:r w:rsidRPr="00E50B51">
              <w:rPr>
                <w:sz w:val="20"/>
                <w:szCs w:val="20"/>
              </w:rPr>
              <w:t xml:space="preserve"> Die Stadt meinte, dass die Verordnung vom 13. Juli 1787</w:t>
            </w:r>
            <w:r w:rsidRPr="00E50B51">
              <w:rPr>
                <w:rStyle w:val="Funotenzeichen"/>
                <w:sz w:val="20"/>
                <w:szCs w:val="20"/>
              </w:rPr>
              <w:footnoteReference w:id="89"/>
            </w:r>
            <w:r w:rsidRPr="00E50B51">
              <w:rPr>
                <w:sz w:val="20"/>
                <w:szCs w:val="20"/>
              </w:rPr>
              <w:t xml:space="preserve">, die eine Regierung für das Nordwestterritorium schuf, </w:t>
            </w:r>
            <w:r>
              <w:rPr>
                <w:sz w:val="20"/>
                <w:szCs w:val="20"/>
              </w:rPr>
              <w:t>welches</w:t>
            </w:r>
            <w:r w:rsidRPr="00E50B51">
              <w:rPr>
                <w:sz w:val="20"/>
                <w:szCs w:val="20"/>
              </w:rPr>
              <w:t xml:space="preserve"> später zu Ohio wurde, in den Widmungsvertrag der Stadt einbezogen </w:t>
            </w:r>
            <w:r>
              <w:rPr>
                <w:sz w:val="20"/>
                <w:szCs w:val="20"/>
              </w:rPr>
              <w:t>worden sei</w:t>
            </w:r>
            <w:r w:rsidRPr="00E50B51">
              <w:rPr>
                <w:sz w:val="20"/>
                <w:szCs w:val="20"/>
              </w:rPr>
              <w:t xml:space="preserve">. Aber der </w:t>
            </w:r>
            <w:r>
              <w:rPr>
                <w:sz w:val="20"/>
                <w:szCs w:val="20"/>
              </w:rPr>
              <w:t>U.S. Supreme Court</w:t>
            </w:r>
            <w:r w:rsidRPr="00E50B51">
              <w:rPr>
                <w:sz w:val="20"/>
                <w:szCs w:val="20"/>
              </w:rPr>
              <w:t xml:space="preserve"> entschied, dass die Verordnung, soweit sie die Befugnisse des Nordwestterritoriums einschränkte, mit der Aufnahme Ohios in die Vereinigten Staaten ihre Gültigkeit verlor</w:t>
            </w:r>
            <w:r>
              <w:rPr>
                <w:sz w:val="20"/>
                <w:szCs w:val="20"/>
              </w:rPr>
              <w:t>en habe</w:t>
            </w:r>
            <w:r w:rsidRPr="00E50B51">
              <w:rPr>
                <w:sz w:val="20"/>
                <w:szCs w:val="20"/>
              </w:rPr>
              <w:t xml:space="preserve">. Mit der Aufnahme Ohios in die Vereinigten Staat erlangte der Bundesstaat Souveränität und damit das Recht, öffentliches Eigentum für einen öffentlichen Zweck zu nutzen, wie hier für die Eisenbahngesellschaft. </w:t>
            </w:r>
          </w:p>
          <w:p w14:paraId="135BB361" w14:textId="7998E5CF" w:rsidR="00FE5F32" w:rsidRPr="00E50B51" w:rsidRDefault="00FE5F32" w:rsidP="00367133">
            <w:pPr>
              <w:jc w:val="both"/>
              <w:rPr>
                <w:sz w:val="20"/>
                <w:szCs w:val="20"/>
              </w:rPr>
            </w:pPr>
          </w:p>
        </w:tc>
        <w:tc>
          <w:tcPr>
            <w:tcW w:w="1822" w:type="pct"/>
          </w:tcPr>
          <w:p w14:paraId="3FFD3A6C"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Constitutional Law › Bill of Rights › Fundamental Rights › Eminent Domain &amp; Takings</w:t>
            </w:r>
          </w:p>
          <w:p w14:paraId="70B72530" w14:textId="77777777" w:rsidR="00074551" w:rsidRPr="00E50B51" w:rsidRDefault="00074551" w:rsidP="00367133">
            <w:pPr>
              <w:jc w:val="both"/>
              <w:rPr>
                <w:sz w:val="20"/>
                <w:szCs w:val="20"/>
                <w:lang w:val="en-US"/>
              </w:rPr>
            </w:pPr>
          </w:p>
          <w:p w14:paraId="3D1A881E" w14:textId="77777777" w:rsidR="00074551" w:rsidRPr="00E50B51" w:rsidRDefault="00074551" w:rsidP="00367133">
            <w:pPr>
              <w:jc w:val="both"/>
              <w:rPr>
                <w:sz w:val="20"/>
                <w:szCs w:val="20"/>
              </w:rPr>
            </w:pPr>
            <w:r>
              <w:rPr>
                <w:sz w:val="20"/>
                <w:szCs w:val="20"/>
              </w:rPr>
              <w:t>Der</w:t>
            </w:r>
            <w:r w:rsidRPr="00E50B51">
              <w:rPr>
                <w:sz w:val="20"/>
                <w:szCs w:val="20"/>
              </w:rPr>
              <w:t xml:space="preserve"> </w:t>
            </w:r>
            <w:r>
              <w:rPr>
                <w:sz w:val="20"/>
                <w:szCs w:val="20"/>
              </w:rPr>
              <w:t>U.S. Supreme Court</w:t>
            </w:r>
            <w:r w:rsidRPr="00E50B51">
              <w:rPr>
                <w:sz w:val="20"/>
                <w:szCs w:val="20"/>
              </w:rPr>
              <w:t xml:space="preserve"> bespricht nicht weniger das Ziel und den Zweck jeder Regierung. Gemeint </w:t>
            </w:r>
            <w:r>
              <w:rPr>
                <w:sz w:val="20"/>
                <w:szCs w:val="20"/>
              </w:rPr>
              <w:t>ist</w:t>
            </w:r>
            <w:r w:rsidRPr="00E50B51">
              <w:rPr>
                <w:sz w:val="20"/>
                <w:szCs w:val="20"/>
              </w:rPr>
              <w:t xml:space="preserve">: </w:t>
            </w:r>
            <w:r>
              <w:rPr>
                <w:sz w:val="20"/>
                <w:szCs w:val="20"/>
              </w:rPr>
              <w:t>d</w:t>
            </w:r>
            <w:r w:rsidRPr="00E50B51">
              <w:rPr>
                <w:sz w:val="20"/>
                <w:szCs w:val="20"/>
              </w:rPr>
              <w:t xml:space="preserve">as Glück und den Wohlstand der Gemeinschaft zu fördern, </w:t>
            </w:r>
            <w:r>
              <w:rPr>
                <w:sz w:val="20"/>
                <w:szCs w:val="20"/>
              </w:rPr>
              <w:t>was</w:t>
            </w:r>
            <w:r w:rsidRPr="00E50B51">
              <w:rPr>
                <w:sz w:val="20"/>
                <w:szCs w:val="20"/>
              </w:rPr>
              <w:t xml:space="preserve"> die Grundlage einer Regierung beschreibt („The </w:t>
            </w:r>
            <w:proofErr w:type="spellStart"/>
            <w:r w:rsidRPr="00E50B51">
              <w:rPr>
                <w:sz w:val="20"/>
                <w:szCs w:val="20"/>
              </w:rPr>
              <w:t>object</w:t>
            </w:r>
            <w:proofErr w:type="spellEnd"/>
            <w:r w:rsidRPr="00E50B51">
              <w:rPr>
                <w:sz w:val="20"/>
                <w:szCs w:val="20"/>
              </w:rPr>
              <w:t xml:space="preserve"> and end of all </w:t>
            </w:r>
            <w:proofErr w:type="spellStart"/>
            <w:r w:rsidRPr="00E50B51">
              <w:rPr>
                <w:sz w:val="20"/>
                <w:szCs w:val="20"/>
              </w:rPr>
              <w:t>government</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to promote the </w:t>
            </w:r>
            <w:proofErr w:type="spellStart"/>
            <w:r w:rsidRPr="00E50B51">
              <w:rPr>
                <w:sz w:val="20"/>
                <w:szCs w:val="20"/>
              </w:rPr>
              <w:t>happiness</w:t>
            </w:r>
            <w:proofErr w:type="spellEnd"/>
            <w:r w:rsidRPr="00E50B51">
              <w:rPr>
                <w:sz w:val="20"/>
                <w:szCs w:val="20"/>
              </w:rPr>
              <w:t xml:space="preserve"> and </w:t>
            </w:r>
            <w:proofErr w:type="spellStart"/>
            <w:r w:rsidRPr="00E50B51">
              <w:rPr>
                <w:sz w:val="20"/>
                <w:szCs w:val="20"/>
              </w:rPr>
              <w:t>prosperity</w:t>
            </w:r>
            <w:proofErr w:type="spellEnd"/>
            <w:r w:rsidRPr="00E50B51">
              <w:rPr>
                <w:sz w:val="20"/>
                <w:szCs w:val="20"/>
              </w:rPr>
              <w:t xml:space="preserve"> of the </w:t>
            </w:r>
            <w:proofErr w:type="spellStart"/>
            <w:r w:rsidRPr="00E50B51">
              <w:rPr>
                <w:sz w:val="20"/>
                <w:szCs w:val="20"/>
              </w:rPr>
              <w:t>community</w:t>
            </w:r>
            <w:proofErr w:type="spellEnd"/>
            <w:r w:rsidRPr="00E50B51">
              <w:rPr>
                <w:sz w:val="20"/>
                <w:szCs w:val="20"/>
              </w:rPr>
              <w:t>“</w:t>
            </w:r>
            <w:r w:rsidRPr="00E50B51">
              <w:rPr>
                <w:rStyle w:val="Funotenzeichen"/>
                <w:sz w:val="20"/>
                <w:szCs w:val="20"/>
              </w:rPr>
              <w:footnoteReference w:id="90"/>
            </w:r>
            <w:r w:rsidRPr="00E50B51">
              <w:rPr>
                <w:sz w:val="20"/>
                <w:szCs w:val="20"/>
              </w:rPr>
              <w:t>). Um diese Zwecke zu erreichen, habe die Regierung ihre Handlungskompetenzen. Für den Fall heißt das, dass einem Bundesstaat stets ein Enteignungsrecht zustehe, um Hand</w:t>
            </w:r>
            <w:r>
              <w:rPr>
                <w:sz w:val="20"/>
                <w:szCs w:val="20"/>
              </w:rPr>
              <w:t xml:space="preserve">elsrouten </w:t>
            </w:r>
            <w:r w:rsidRPr="00E50B51">
              <w:rPr>
                <w:sz w:val="20"/>
                <w:szCs w:val="20"/>
              </w:rPr>
              <w:t>zu ermöglichen. Sie dien</w:t>
            </w:r>
            <w:r>
              <w:rPr>
                <w:sz w:val="20"/>
                <w:szCs w:val="20"/>
              </w:rPr>
              <w:t>t</w:t>
            </w:r>
            <w:r w:rsidRPr="00E50B51">
              <w:rPr>
                <w:sz w:val="20"/>
                <w:szCs w:val="20"/>
              </w:rPr>
              <w:t xml:space="preserve">en der Glücksförderung. </w:t>
            </w:r>
            <w:r>
              <w:rPr>
                <w:sz w:val="20"/>
                <w:szCs w:val="20"/>
              </w:rPr>
              <w:t>W</w:t>
            </w:r>
            <w:r w:rsidRPr="00E50B51">
              <w:rPr>
                <w:sz w:val="20"/>
                <w:szCs w:val="20"/>
              </w:rPr>
              <w:t xml:space="preserve">ie </w:t>
            </w:r>
            <w:r>
              <w:rPr>
                <w:sz w:val="20"/>
                <w:szCs w:val="20"/>
              </w:rPr>
              <w:t xml:space="preserve">auch </w:t>
            </w:r>
            <w:r w:rsidRPr="00E50B51">
              <w:rPr>
                <w:sz w:val="20"/>
                <w:szCs w:val="20"/>
              </w:rPr>
              <w:t>wenn der Staat Steuern erhebe, bestehe ein gesellschaftliches Interesse daran.</w:t>
            </w:r>
            <w:r w:rsidRPr="00E50B51">
              <w:rPr>
                <w:rStyle w:val="Funotenzeichen"/>
                <w:sz w:val="20"/>
                <w:szCs w:val="20"/>
              </w:rPr>
              <w:footnoteReference w:id="91"/>
            </w:r>
          </w:p>
          <w:p w14:paraId="3DE4AD1B" w14:textId="77777777" w:rsidR="00074551" w:rsidRPr="00E50B51" w:rsidRDefault="00074551" w:rsidP="00367133">
            <w:pPr>
              <w:jc w:val="both"/>
              <w:rPr>
                <w:sz w:val="20"/>
                <w:szCs w:val="20"/>
              </w:rPr>
            </w:pPr>
          </w:p>
        </w:tc>
      </w:tr>
      <w:tr w:rsidR="00074551" w:rsidRPr="00E50B51" w14:paraId="66742C9E" w14:textId="77777777" w:rsidTr="00752D01">
        <w:trPr>
          <w:cantSplit/>
          <w:trHeight w:val="3175"/>
        </w:trPr>
        <w:tc>
          <w:tcPr>
            <w:tcW w:w="293" w:type="pct"/>
            <w:shd w:val="clear" w:color="auto" w:fill="E7E6E6" w:themeFill="background2"/>
          </w:tcPr>
          <w:p w14:paraId="72AE0AE9" w14:textId="77777777" w:rsidR="00074551" w:rsidRPr="00E50B51" w:rsidRDefault="00074551" w:rsidP="00367133">
            <w:pPr>
              <w:jc w:val="center"/>
              <w:rPr>
                <w:sz w:val="20"/>
                <w:szCs w:val="20"/>
              </w:rPr>
            </w:pPr>
            <w:r w:rsidRPr="00E50B51">
              <w:rPr>
                <w:sz w:val="20"/>
                <w:szCs w:val="20"/>
              </w:rPr>
              <w:lastRenderedPageBreak/>
              <w:t>H</w:t>
            </w:r>
          </w:p>
        </w:tc>
        <w:tc>
          <w:tcPr>
            <w:tcW w:w="387" w:type="pct"/>
            <w:shd w:val="clear" w:color="auto" w:fill="E7E6E6" w:themeFill="background2"/>
            <w:textDirection w:val="tbRl"/>
            <w:vAlign w:val="center"/>
          </w:tcPr>
          <w:p w14:paraId="19E5922B" w14:textId="77777777" w:rsidR="00074551" w:rsidRPr="00E50B51" w:rsidRDefault="00074551" w:rsidP="00367133">
            <w:pPr>
              <w:ind w:left="113" w:right="113"/>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17254953" w14:textId="77777777" w:rsidR="00074551" w:rsidRPr="00E50B51" w:rsidRDefault="00074551" w:rsidP="00367133">
            <w:pPr>
              <w:ind w:left="113" w:right="113"/>
              <w:jc w:val="both"/>
              <w:rPr>
                <w:sz w:val="20"/>
                <w:szCs w:val="20"/>
              </w:rPr>
            </w:pPr>
            <w:r w:rsidRPr="00E50B51">
              <w:rPr>
                <w:sz w:val="20"/>
                <w:szCs w:val="20"/>
              </w:rPr>
              <w:t>Property</w:t>
            </w:r>
          </w:p>
        </w:tc>
        <w:tc>
          <w:tcPr>
            <w:tcW w:w="306" w:type="pct"/>
            <w:shd w:val="clear" w:color="auto" w:fill="E7E6E6" w:themeFill="background2"/>
            <w:textDirection w:val="tbRl"/>
            <w:vAlign w:val="center"/>
          </w:tcPr>
          <w:p w14:paraId="0C7AB67E" w14:textId="77777777" w:rsidR="00074551" w:rsidRPr="00E50B51" w:rsidRDefault="00074551" w:rsidP="00367133">
            <w:pPr>
              <w:ind w:left="113" w:right="113"/>
              <w:jc w:val="both"/>
              <w:rPr>
                <w:sz w:val="20"/>
                <w:szCs w:val="20"/>
                <w:lang w:val="en-US"/>
              </w:rPr>
            </w:pPr>
            <w:r w:rsidRPr="00E50B51">
              <w:rPr>
                <w:sz w:val="20"/>
                <w:szCs w:val="20"/>
                <w:lang w:val="en-US"/>
              </w:rPr>
              <w:t>Energy &amp; Utilities Law</w:t>
            </w:r>
          </w:p>
          <w:p w14:paraId="5AB7C23C" w14:textId="77777777" w:rsidR="00074551" w:rsidRPr="00E50B51" w:rsidRDefault="00074551" w:rsidP="00367133">
            <w:pPr>
              <w:ind w:left="113" w:right="113"/>
              <w:jc w:val="both"/>
              <w:rPr>
                <w:sz w:val="20"/>
                <w:szCs w:val="20"/>
              </w:rPr>
            </w:pPr>
          </w:p>
        </w:tc>
        <w:tc>
          <w:tcPr>
            <w:tcW w:w="401" w:type="pct"/>
            <w:shd w:val="clear" w:color="auto" w:fill="E7E6E6" w:themeFill="background2"/>
            <w:textDirection w:val="tbRl"/>
          </w:tcPr>
          <w:p w14:paraId="56A3560E" w14:textId="77777777" w:rsidR="00074551" w:rsidRDefault="00074551" w:rsidP="00367133">
            <w:pPr>
              <w:ind w:left="113" w:right="113"/>
              <w:rPr>
                <w:sz w:val="20"/>
                <w:szCs w:val="20"/>
                <w:lang w:val="en-US"/>
              </w:rPr>
            </w:pPr>
          </w:p>
          <w:p w14:paraId="53294441" w14:textId="77777777" w:rsidR="00074551" w:rsidRPr="00E50B51" w:rsidRDefault="00074551" w:rsidP="00367133">
            <w:pPr>
              <w:ind w:left="113" w:right="113"/>
              <w:rPr>
                <w:sz w:val="20"/>
                <w:szCs w:val="20"/>
              </w:rPr>
            </w:pPr>
            <w:r w:rsidRPr="00E50B51">
              <w:rPr>
                <w:sz w:val="20"/>
                <w:szCs w:val="20"/>
                <w:lang w:val="en-US"/>
              </w:rPr>
              <w:t>Discovery, Exploration &amp; Recovery</w:t>
            </w:r>
          </w:p>
        </w:tc>
        <w:tc>
          <w:tcPr>
            <w:tcW w:w="1594" w:type="pct"/>
            <w:shd w:val="clear" w:color="auto" w:fill="E7E6E6" w:themeFill="background2"/>
            <w:vAlign w:val="center"/>
          </w:tcPr>
          <w:p w14:paraId="712C6467" w14:textId="77777777" w:rsidR="00074551" w:rsidRPr="00E50B51" w:rsidRDefault="00074551" w:rsidP="00367133">
            <w:pPr>
              <w:jc w:val="both"/>
              <w:rPr>
                <w:sz w:val="20"/>
                <w:szCs w:val="20"/>
              </w:rPr>
            </w:pPr>
          </w:p>
        </w:tc>
        <w:tc>
          <w:tcPr>
            <w:tcW w:w="1822" w:type="pct"/>
            <w:shd w:val="clear" w:color="auto" w:fill="E7E6E6" w:themeFill="background2"/>
          </w:tcPr>
          <w:p w14:paraId="4F14A7BF" w14:textId="6D169BC9"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533AF3C8" w14:textId="77777777" w:rsidTr="00BE689F">
        <w:trPr>
          <w:cantSplit/>
          <w:trHeight w:val="3175"/>
        </w:trPr>
        <w:tc>
          <w:tcPr>
            <w:tcW w:w="293" w:type="pct"/>
          </w:tcPr>
          <w:p w14:paraId="11E08843" w14:textId="77777777" w:rsidR="00074551" w:rsidRPr="00E50B51" w:rsidRDefault="00074551" w:rsidP="00367133">
            <w:pPr>
              <w:jc w:val="center"/>
              <w:rPr>
                <w:sz w:val="20"/>
                <w:szCs w:val="20"/>
              </w:rPr>
            </w:pPr>
            <w:r w:rsidRPr="00E50B51">
              <w:rPr>
                <w:sz w:val="20"/>
                <w:szCs w:val="20"/>
                <w:lang w:val="en-US"/>
              </w:rPr>
              <w:lastRenderedPageBreak/>
              <w:t>H</w:t>
            </w:r>
          </w:p>
        </w:tc>
        <w:tc>
          <w:tcPr>
            <w:tcW w:w="387" w:type="pct"/>
            <w:textDirection w:val="tbRl"/>
            <w:vAlign w:val="center"/>
          </w:tcPr>
          <w:p w14:paraId="6DD8242A" w14:textId="77777777" w:rsidR="00074551" w:rsidRPr="00B45592" w:rsidRDefault="00074551" w:rsidP="00367133">
            <w:pPr>
              <w:ind w:left="113" w:right="113"/>
              <w:jc w:val="both"/>
              <w:rPr>
                <w:i/>
                <w:sz w:val="20"/>
                <w:szCs w:val="20"/>
                <w:lang w:val="en-US"/>
              </w:rPr>
            </w:pPr>
            <w:r w:rsidRPr="00B45592">
              <w:rPr>
                <w:i/>
                <w:sz w:val="20"/>
                <w:szCs w:val="20"/>
                <w:lang w:val="en-US"/>
              </w:rPr>
              <w:t>Ohio Oil Co. v. Indiana</w:t>
            </w:r>
          </w:p>
        </w:tc>
        <w:tc>
          <w:tcPr>
            <w:tcW w:w="197" w:type="pct"/>
            <w:textDirection w:val="tbRl"/>
            <w:vAlign w:val="center"/>
          </w:tcPr>
          <w:p w14:paraId="17F05772" w14:textId="77777777" w:rsidR="00074551" w:rsidRPr="00E50B51" w:rsidRDefault="00074551" w:rsidP="00367133">
            <w:pPr>
              <w:ind w:left="113" w:right="113"/>
              <w:jc w:val="both"/>
              <w:rPr>
                <w:sz w:val="20"/>
                <w:szCs w:val="20"/>
              </w:rPr>
            </w:pPr>
            <w:r w:rsidRPr="00E50B51">
              <w:rPr>
                <w:sz w:val="20"/>
                <w:szCs w:val="20"/>
              </w:rPr>
              <w:t>177 U.S. 190</w:t>
            </w:r>
          </w:p>
        </w:tc>
        <w:tc>
          <w:tcPr>
            <w:tcW w:w="306" w:type="pct"/>
            <w:textDirection w:val="tbRl"/>
            <w:vAlign w:val="center"/>
          </w:tcPr>
          <w:p w14:paraId="7A577160" w14:textId="77777777" w:rsidR="00074551" w:rsidRPr="00E50B51" w:rsidRDefault="00074551" w:rsidP="00367133">
            <w:pPr>
              <w:ind w:left="113" w:right="113"/>
              <w:jc w:val="both"/>
              <w:rPr>
                <w:sz w:val="20"/>
                <w:szCs w:val="20"/>
              </w:rPr>
            </w:pPr>
            <w:r w:rsidRPr="00E50B51">
              <w:rPr>
                <w:sz w:val="20"/>
                <w:szCs w:val="20"/>
              </w:rPr>
              <w:t>09. April 1900</w:t>
            </w:r>
          </w:p>
        </w:tc>
        <w:tc>
          <w:tcPr>
            <w:tcW w:w="401" w:type="pct"/>
          </w:tcPr>
          <w:p w14:paraId="07A55C3A" w14:textId="77777777" w:rsidR="00074551" w:rsidRPr="00E50B51" w:rsidRDefault="00074551" w:rsidP="00367133">
            <w:pPr>
              <w:jc w:val="center"/>
              <w:rPr>
                <w:sz w:val="20"/>
                <w:szCs w:val="20"/>
              </w:rPr>
            </w:pPr>
            <w:r w:rsidRPr="00E50B51">
              <w:rPr>
                <w:sz w:val="20"/>
                <w:szCs w:val="20"/>
                <w:lang w:val="en-US"/>
              </w:rPr>
              <w:t>R</w:t>
            </w:r>
          </w:p>
        </w:tc>
        <w:tc>
          <w:tcPr>
            <w:tcW w:w="1594" w:type="pct"/>
          </w:tcPr>
          <w:p w14:paraId="6DCFC335" w14:textId="658737D5"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bestätigte das Urteil des </w:t>
            </w:r>
            <w:r w:rsidRPr="00B45592">
              <w:rPr>
                <w:i/>
                <w:sz w:val="20"/>
                <w:szCs w:val="20"/>
              </w:rPr>
              <w:t>Indiana Supreme Court</w:t>
            </w:r>
            <w:r>
              <w:rPr>
                <w:sz w:val="20"/>
                <w:szCs w:val="20"/>
              </w:rPr>
              <w:t>,</w:t>
            </w:r>
            <w:r w:rsidRPr="00E50B51">
              <w:rPr>
                <w:sz w:val="20"/>
                <w:szCs w:val="20"/>
              </w:rPr>
              <w:t xml:space="preserve"> welches eine dauerhafte Unterlassungsverfügung gegen ein Ölunternehmen bestätigt</w:t>
            </w:r>
            <w:r>
              <w:rPr>
                <w:sz w:val="20"/>
                <w:szCs w:val="20"/>
              </w:rPr>
              <w:t xml:space="preserve"> hatte</w:t>
            </w:r>
            <w:r w:rsidRPr="00E50B51">
              <w:rPr>
                <w:sz w:val="20"/>
                <w:szCs w:val="20"/>
              </w:rPr>
              <w:t xml:space="preserve">. Diese Verfügung basiere auf einer staatlichen Klage. </w:t>
            </w:r>
            <w:r>
              <w:rPr>
                <w:sz w:val="20"/>
                <w:szCs w:val="20"/>
              </w:rPr>
              <w:t>Das Urteil</w:t>
            </w:r>
            <w:r w:rsidRPr="00E50B51">
              <w:rPr>
                <w:sz w:val="20"/>
                <w:szCs w:val="20"/>
              </w:rPr>
              <w:t xml:space="preserve"> verbot dem Unternehmen, Gas aus seinen Bohrlöchern in die Atmosphäre entweichen zu lassen. Diese Regelung beruhe auf </w:t>
            </w:r>
            <w:r>
              <w:rPr>
                <w:sz w:val="20"/>
                <w:szCs w:val="20"/>
              </w:rPr>
              <w:t xml:space="preserve">einem Gesetz Indianas von </w:t>
            </w:r>
            <w:r w:rsidRPr="00E50B51">
              <w:rPr>
                <w:sz w:val="20"/>
                <w:szCs w:val="20"/>
              </w:rPr>
              <w:t xml:space="preserve">1893, </w:t>
            </w:r>
            <w:proofErr w:type="spellStart"/>
            <w:r>
              <w:rPr>
                <w:sz w:val="20"/>
                <w:szCs w:val="20"/>
              </w:rPr>
              <w:t>ch</w:t>
            </w:r>
            <w:proofErr w:type="spellEnd"/>
            <w:r w:rsidRPr="00E50B51">
              <w:rPr>
                <w:sz w:val="20"/>
                <w:szCs w:val="20"/>
              </w:rPr>
              <w:t xml:space="preserve">. 36, </w:t>
            </w:r>
            <w:r>
              <w:rPr>
                <w:sz w:val="20"/>
                <w:szCs w:val="20"/>
              </w:rPr>
              <w:t>§ </w:t>
            </w:r>
            <w:r w:rsidRPr="00E50B51">
              <w:rPr>
                <w:sz w:val="20"/>
                <w:szCs w:val="20"/>
              </w:rPr>
              <w:t>300</w:t>
            </w:r>
            <w:r w:rsidRPr="00E50B51">
              <w:rPr>
                <w:rStyle w:val="Funotenzeichen"/>
                <w:sz w:val="20"/>
                <w:szCs w:val="20"/>
              </w:rPr>
              <w:footnoteReference w:id="92"/>
            </w:r>
            <w:r w:rsidRPr="00E50B51">
              <w:rPr>
                <w:sz w:val="20"/>
                <w:szCs w:val="20"/>
              </w:rPr>
              <w:t xml:space="preserve"> und ziele darauf ab, das Eigentum zu schützen, indem es die Verschwendung von Ressourcen, die allen Oberflächenbesitzern gemeinsam gehören, verhindere. Das Gericht urteilte, dass die Durchsetzung dieses Gesetzes keine unrechtmäßige Enteignung darstellte und somit nicht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verstieß. Es betonte, dass das Recht auf Gas und Öl unter der Erdoberfläche erst mit deren Förderung entsteh</w:t>
            </w:r>
            <w:r>
              <w:rPr>
                <w:sz w:val="20"/>
                <w:szCs w:val="20"/>
              </w:rPr>
              <w:t>e</w:t>
            </w:r>
            <w:r w:rsidRPr="00E50B51">
              <w:rPr>
                <w:sz w:val="20"/>
                <w:szCs w:val="20"/>
              </w:rPr>
              <w:t>, und untersagte die Entnahme dieser Ressourcen ohne Rücksicht auf die Rechte anderer Miteigentümer.</w:t>
            </w:r>
            <w:r w:rsidRPr="00E50B51">
              <w:rPr>
                <w:rStyle w:val="Funotenzeichen"/>
                <w:sz w:val="20"/>
                <w:szCs w:val="20"/>
              </w:rPr>
              <w:footnoteReference w:id="93"/>
            </w:r>
          </w:p>
          <w:p w14:paraId="5680B38D" w14:textId="77777777" w:rsidR="00074551" w:rsidRPr="00E50B51" w:rsidRDefault="00074551" w:rsidP="00367133">
            <w:pPr>
              <w:jc w:val="both"/>
              <w:rPr>
                <w:sz w:val="20"/>
                <w:szCs w:val="20"/>
              </w:rPr>
            </w:pPr>
          </w:p>
          <w:p w14:paraId="22750643" w14:textId="77777777" w:rsidR="00074551" w:rsidRPr="00E50B51" w:rsidRDefault="00074551" w:rsidP="00367133">
            <w:pPr>
              <w:jc w:val="both"/>
              <w:rPr>
                <w:sz w:val="20"/>
                <w:szCs w:val="20"/>
              </w:rPr>
            </w:pPr>
          </w:p>
        </w:tc>
        <w:tc>
          <w:tcPr>
            <w:tcW w:w="1822" w:type="pct"/>
          </w:tcPr>
          <w:p w14:paraId="7E7DEA3D"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Energy &amp; Utilities Law › Discovery, Exploration &amp; Recovery › General Overview</w:t>
            </w:r>
          </w:p>
          <w:p w14:paraId="3F902550" w14:textId="77777777" w:rsidR="00074551" w:rsidRPr="00B45592" w:rsidRDefault="00074551" w:rsidP="00367133">
            <w:pPr>
              <w:jc w:val="both"/>
              <w:rPr>
                <w:i/>
                <w:sz w:val="20"/>
                <w:szCs w:val="20"/>
                <w:lang w:val="en-US"/>
              </w:rPr>
            </w:pPr>
          </w:p>
          <w:p w14:paraId="17F45158" w14:textId="77777777" w:rsidR="00074551" w:rsidRPr="00E50B51" w:rsidRDefault="00074551" w:rsidP="00367133">
            <w:pPr>
              <w:jc w:val="both"/>
              <w:rPr>
                <w:sz w:val="20"/>
                <w:szCs w:val="20"/>
              </w:rPr>
            </w:pPr>
            <w:r w:rsidRPr="00E50B51">
              <w:rPr>
                <w:sz w:val="20"/>
                <w:szCs w:val="20"/>
              </w:rPr>
              <w:t>Wenn Erdgas an die Erdoberfläche gefördert und in Transportrohre geleitet wird, dann kann an ihm Eigentum begründet werden. Damit wird es zugleich Gegenstand des zwischenstaatlichen Handels.</w:t>
            </w:r>
            <w:r w:rsidRPr="00E50B51">
              <w:rPr>
                <w:rStyle w:val="Funotenzeichen"/>
                <w:sz w:val="20"/>
                <w:szCs w:val="20"/>
              </w:rPr>
              <w:footnoteReference w:id="94"/>
            </w:r>
          </w:p>
          <w:p w14:paraId="12E16A4C" w14:textId="77777777" w:rsidR="00074551" w:rsidRPr="00E50B51" w:rsidRDefault="00074551" w:rsidP="00367133">
            <w:pPr>
              <w:jc w:val="both"/>
              <w:rPr>
                <w:sz w:val="20"/>
                <w:szCs w:val="20"/>
              </w:rPr>
            </w:pPr>
          </w:p>
          <w:p w14:paraId="5D1394A9" w14:textId="36DFAD8A" w:rsidR="00074551" w:rsidRPr="00E50B51" w:rsidRDefault="00074551" w:rsidP="00FD29BF">
            <w:pPr>
              <w:jc w:val="both"/>
              <w:rPr>
                <w:sz w:val="20"/>
                <w:szCs w:val="20"/>
              </w:rPr>
            </w:pPr>
            <w:r w:rsidRPr="00E50B51">
              <w:rPr>
                <w:sz w:val="20"/>
                <w:szCs w:val="20"/>
              </w:rPr>
              <w:t xml:space="preserve">Der </w:t>
            </w:r>
            <w:r>
              <w:rPr>
                <w:sz w:val="20"/>
                <w:szCs w:val="20"/>
              </w:rPr>
              <w:t>U.S. Supreme Court</w:t>
            </w:r>
            <w:r w:rsidRPr="00E50B51">
              <w:rPr>
                <w:sz w:val="20"/>
                <w:szCs w:val="20"/>
              </w:rPr>
              <w:t xml:space="preserve"> </w:t>
            </w:r>
            <w:r>
              <w:rPr>
                <w:sz w:val="20"/>
                <w:szCs w:val="20"/>
              </w:rPr>
              <w:t>leitet</w:t>
            </w:r>
            <w:r w:rsidRPr="00E50B51">
              <w:rPr>
                <w:sz w:val="20"/>
                <w:szCs w:val="20"/>
              </w:rPr>
              <w:t xml:space="preserve"> im Reporterteil aus den Entscheidungen der Vorinstanzen die folgende Frage</w:t>
            </w:r>
            <w:r>
              <w:rPr>
                <w:sz w:val="20"/>
                <w:szCs w:val="20"/>
              </w:rPr>
              <w:t xml:space="preserve"> ab</w:t>
            </w:r>
            <w:r w:rsidRPr="00E50B51">
              <w:rPr>
                <w:sz w:val="20"/>
                <w:szCs w:val="20"/>
              </w:rPr>
              <w:t xml:space="preserve">: Wenn das </w:t>
            </w:r>
            <w:r>
              <w:rPr>
                <w:sz w:val="20"/>
                <w:szCs w:val="20"/>
              </w:rPr>
              <w:t xml:space="preserve">Erdgasgesetz </w:t>
            </w:r>
            <w:r w:rsidRPr="00E50B51">
              <w:rPr>
                <w:sz w:val="20"/>
                <w:szCs w:val="20"/>
              </w:rPr>
              <w:t>Privateigentum ohne angemessene Entschädigung enteigne</w:t>
            </w:r>
            <w:r>
              <w:rPr>
                <w:sz w:val="20"/>
                <w:szCs w:val="20"/>
              </w:rPr>
              <w:t>t</w:t>
            </w:r>
            <w:r w:rsidRPr="00E50B51">
              <w:rPr>
                <w:sz w:val="20"/>
                <w:szCs w:val="20"/>
              </w:rPr>
              <w:t xml:space="preserve"> und ein </w:t>
            </w:r>
            <w:r w:rsidRPr="00B45592">
              <w:rPr>
                <w:sz w:val="20"/>
                <w:szCs w:val="20"/>
              </w:rPr>
              <w:t>rechtsstaatliches Verfahren</w:t>
            </w:r>
            <w:r w:rsidRPr="00D86EA6">
              <w:rPr>
                <w:sz w:val="20"/>
                <w:szCs w:val="20"/>
              </w:rPr>
              <w:t xml:space="preserve"> fehlt</w:t>
            </w:r>
            <w:r w:rsidRPr="00E50B51">
              <w:rPr>
                <w:sz w:val="20"/>
                <w:szCs w:val="20"/>
              </w:rPr>
              <w:t>, verst</w:t>
            </w:r>
            <w:r>
              <w:rPr>
                <w:sz w:val="20"/>
                <w:szCs w:val="20"/>
              </w:rPr>
              <w:t>ößt</w:t>
            </w:r>
            <w:r w:rsidRPr="00E50B51">
              <w:rPr>
                <w:sz w:val="20"/>
                <w:szCs w:val="20"/>
              </w:rPr>
              <w:t xml:space="preserve"> es </w:t>
            </w:r>
            <w:r>
              <w:rPr>
                <w:sz w:val="20"/>
                <w:szCs w:val="20"/>
              </w:rPr>
              <w:t xml:space="preserve">dann </w:t>
            </w:r>
            <w:r w:rsidRPr="00E50B51">
              <w:rPr>
                <w:sz w:val="20"/>
                <w:szCs w:val="20"/>
              </w:rPr>
              <w:t xml:space="preserve">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Um dies zu verneinen, greift der </w:t>
            </w:r>
            <w:r>
              <w:rPr>
                <w:sz w:val="20"/>
                <w:szCs w:val="20"/>
              </w:rPr>
              <w:t>U.S. Supreme Court</w:t>
            </w:r>
            <w:r w:rsidRPr="00E50B51">
              <w:rPr>
                <w:sz w:val="20"/>
                <w:szCs w:val="20"/>
              </w:rPr>
              <w:t xml:space="preserve"> u.a. dreimal auf Glück als Rechtskonzept zurück. Erstens wird das wirtschaftliche Wachstum,</w:t>
            </w:r>
            <w:r>
              <w:rPr>
                <w:sz w:val="20"/>
                <w:szCs w:val="20"/>
              </w:rPr>
              <w:t xml:space="preserve"> welches</w:t>
            </w:r>
            <w:r w:rsidRPr="00E50B51">
              <w:rPr>
                <w:sz w:val="20"/>
                <w:szCs w:val="20"/>
              </w:rPr>
              <w:t xml:space="preserve"> das Erdgas bewirkt, anhand gesteigerten Glückes festgestellt („</w:t>
            </w:r>
            <w:proofErr w:type="spellStart"/>
            <w:r w:rsidRPr="00E50B51">
              <w:rPr>
                <w:sz w:val="20"/>
                <w:szCs w:val="20"/>
              </w:rPr>
              <w:t>increased</w:t>
            </w:r>
            <w:proofErr w:type="spellEnd"/>
            <w:r w:rsidRPr="00E50B51">
              <w:rPr>
                <w:sz w:val="20"/>
                <w:szCs w:val="20"/>
              </w:rPr>
              <w:t xml:space="preserve"> </w:t>
            </w:r>
            <w:proofErr w:type="spellStart"/>
            <w:r w:rsidRPr="00E50B51">
              <w:rPr>
                <w:sz w:val="20"/>
                <w:szCs w:val="20"/>
              </w:rPr>
              <w:t>happiness</w:t>
            </w:r>
            <w:proofErr w:type="spellEnd"/>
            <w:r w:rsidRPr="00E50B51">
              <w:rPr>
                <w:sz w:val="20"/>
                <w:szCs w:val="20"/>
              </w:rPr>
              <w:t>“</w:t>
            </w:r>
            <w:r w:rsidRPr="00E50B51">
              <w:rPr>
                <w:rStyle w:val="Funotenzeichen"/>
                <w:sz w:val="20"/>
                <w:szCs w:val="20"/>
              </w:rPr>
              <w:footnoteReference w:id="95"/>
            </w:r>
            <w:r w:rsidRPr="00E50B51">
              <w:rPr>
                <w:sz w:val="20"/>
                <w:szCs w:val="20"/>
              </w:rPr>
              <w:t xml:space="preserve">). </w:t>
            </w:r>
            <w:r w:rsidR="00FD29BF" w:rsidRPr="00FD29BF">
              <w:rPr>
                <w:rFonts w:eastAsiaTheme="minorEastAsia"/>
                <w:sz w:val="20"/>
                <w:szCs w:val="20"/>
                <w14:ligatures w14:val="standardContextual"/>
              </w:rPr>
              <w:t xml:space="preserve">Zweitens erklärt der U.S. Supreme Court, das Erdgasvorkommen sei zentral für die Erfüllung staatlicher Aufgaben wie die Heizung von Krankenhäusern oder öffentlichen Gebäuden, womit es das Glück der betroffenen Menschen erhöhe („the </w:t>
            </w:r>
            <w:proofErr w:type="spellStart"/>
            <w:r w:rsidR="00FD29BF" w:rsidRPr="00FD29BF">
              <w:rPr>
                <w:rFonts w:eastAsiaTheme="minorEastAsia"/>
                <w:sz w:val="20"/>
                <w:szCs w:val="20"/>
                <w14:ligatures w14:val="standardContextual"/>
              </w:rPr>
              <w:t>cost</w:t>
            </w:r>
            <w:proofErr w:type="spellEnd"/>
            <w:r w:rsidR="00FD29BF" w:rsidRPr="00FD29BF">
              <w:rPr>
                <w:rFonts w:eastAsiaTheme="minorEastAsia"/>
                <w:sz w:val="20"/>
                <w:szCs w:val="20"/>
                <w14:ligatures w14:val="standardContextual"/>
              </w:rPr>
              <w:t xml:space="preserve"> of </w:t>
            </w:r>
            <w:proofErr w:type="spellStart"/>
            <w:r w:rsidR="00FD29BF" w:rsidRPr="00FD29BF">
              <w:rPr>
                <w:rFonts w:eastAsiaTheme="minorEastAsia"/>
                <w:sz w:val="20"/>
                <w:szCs w:val="20"/>
                <w14:ligatures w14:val="standardContextual"/>
              </w:rPr>
              <w:t>maintaining</w:t>
            </w:r>
            <w:proofErr w:type="spellEnd"/>
            <w:r w:rsidR="00FD29BF" w:rsidRPr="00FD29BF">
              <w:rPr>
                <w:rFonts w:eastAsiaTheme="minorEastAsia"/>
                <w:sz w:val="20"/>
                <w:szCs w:val="20"/>
                <w14:ligatures w14:val="standardContextual"/>
              </w:rPr>
              <w:t xml:space="preserve"> the </w:t>
            </w:r>
            <w:proofErr w:type="spellStart"/>
            <w:r w:rsidR="00FD29BF" w:rsidRPr="00FD29BF">
              <w:rPr>
                <w:rFonts w:eastAsiaTheme="minorEastAsia"/>
                <w:sz w:val="20"/>
                <w:szCs w:val="20"/>
                <w14:ligatures w14:val="standardContextual"/>
              </w:rPr>
              <w:t>public</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buildings</w:t>
            </w:r>
            <w:proofErr w:type="spellEnd"/>
            <w:r w:rsidR="00FD29BF" w:rsidRPr="00FD29BF">
              <w:rPr>
                <w:rFonts w:eastAsiaTheme="minorEastAsia"/>
                <w:sz w:val="20"/>
                <w:szCs w:val="20"/>
                <w14:ligatures w14:val="standardContextual"/>
              </w:rPr>
              <w:t xml:space="preserve"> and </w:t>
            </w:r>
            <w:proofErr w:type="spellStart"/>
            <w:r w:rsidR="00FD29BF" w:rsidRPr="00FD29BF">
              <w:rPr>
                <w:rFonts w:eastAsiaTheme="minorEastAsia"/>
                <w:sz w:val="20"/>
                <w:szCs w:val="20"/>
                <w14:ligatures w14:val="standardContextual"/>
              </w:rPr>
              <w:t>institutions</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above</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named</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has</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been</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materially</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lessened</w:t>
            </w:r>
            <w:proofErr w:type="spellEnd"/>
            <w:r w:rsidR="00FD29BF" w:rsidRPr="00FD29BF">
              <w:rPr>
                <w:rFonts w:eastAsiaTheme="minorEastAsia"/>
                <w:sz w:val="20"/>
                <w:szCs w:val="20"/>
                <w14:ligatures w14:val="standardContextual"/>
              </w:rPr>
              <w:t xml:space="preserve"> and the </w:t>
            </w:r>
            <w:proofErr w:type="spellStart"/>
            <w:r w:rsidR="00FD29BF" w:rsidRPr="00FD29BF">
              <w:rPr>
                <w:rFonts w:eastAsiaTheme="minorEastAsia"/>
                <w:sz w:val="20"/>
                <w:szCs w:val="20"/>
                <w14:ligatures w14:val="standardContextual"/>
              </w:rPr>
              <w:t>comfort</w:t>
            </w:r>
            <w:proofErr w:type="spellEnd"/>
            <w:r w:rsidR="00FD29BF" w:rsidRPr="00FD29BF">
              <w:rPr>
                <w:rFonts w:eastAsiaTheme="minorEastAsia"/>
                <w:sz w:val="20"/>
                <w:szCs w:val="20"/>
                <w14:ligatures w14:val="standardContextual"/>
              </w:rPr>
              <w:t xml:space="preserve"> and </w:t>
            </w:r>
            <w:proofErr w:type="spellStart"/>
            <w:r w:rsidR="00FD29BF" w:rsidRPr="00FD29BF">
              <w:rPr>
                <w:rFonts w:eastAsiaTheme="minorEastAsia"/>
                <w:sz w:val="20"/>
                <w:szCs w:val="20"/>
                <w14:ligatures w14:val="standardContextual"/>
              </w:rPr>
              <w:t>happiness</w:t>
            </w:r>
            <w:proofErr w:type="spellEnd"/>
            <w:r w:rsidR="00FD29BF" w:rsidRPr="00FD29BF">
              <w:rPr>
                <w:rFonts w:eastAsiaTheme="minorEastAsia"/>
                <w:sz w:val="20"/>
                <w:szCs w:val="20"/>
                <w14:ligatures w14:val="standardContextual"/>
              </w:rPr>
              <w:t xml:space="preserve"> of </w:t>
            </w:r>
            <w:proofErr w:type="spellStart"/>
            <w:r w:rsidR="00FD29BF" w:rsidRPr="00FD29BF">
              <w:rPr>
                <w:rFonts w:eastAsiaTheme="minorEastAsia"/>
                <w:sz w:val="20"/>
                <w:szCs w:val="20"/>
                <w14:ligatures w14:val="standardContextual"/>
              </w:rPr>
              <w:t>their</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inmates</w:t>
            </w:r>
            <w:proofErr w:type="spellEnd"/>
            <w:r w:rsidR="00FD29BF" w:rsidRPr="00FD29BF">
              <w:rPr>
                <w:rFonts w:eastAsiaTheme="minorEastAsia"/>
                <w:sz w:val="20"/>
                <w:szCs w:val="20"/>
                <w14:ligatures w14:val="standardContextual"/>
              </w:rPr>
              <w:t xml:space="preserve"> and </w:t>
            </w:r>
            <w:proofErr w:type="spellStart"/>
            <w:r w:rsidR="00FD29BF" w:rsidRPr="00FD29BF">
              <w:rPr>
                <w:rFonts w:eastAsiaTheme="minorEastAsia"/>
                <w:sz w:val="20"/>
                <w:szCs w:val="20"/>
                <w14:ligatures w14:val="standardContextual"/>
              </w:rPr>
              <w:t>occupants</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immensely</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increased</w:t>
            </w:r>
            <w:proofErr w:type="spellEnd"/>
            <w:r w:rsidR="00FD29BF" w:rsidRPr="00FD29BF">
              <w:rPr>
                <w:rFonts w:eastAsiaTheme="minorEastAsia"/>
                <w:sz w:val="20"/>
                <w:szCs w:val="20"/>
                <w14:ligatures w14:val="standardContextual"/>
              </w:rPr>
              <w:t>“</w:t>
            </w:r>
            <w:r w:rsidRPr="00FD29BF">
              <w:rPr>
                <w:rStyle w:val="Funotenzeichen"/>
                <w:sz w:val="20"/>
                <w:szCs w:val="20"/>
              </w:rPr>
              <w:footnoteReference w:id="96"/>
            </w:r>
            <w:r w:rsidRPr="00FD29BF">
              <w:rPr>
                <w:sz w:val="20"/>
                <w:szCs w:val="20"/>
              </w:rPr>
              <w:t>).</w:t>
            </w:r>
            <w:r w:rsidRPr="00E50B51">
              <w:rPr>
                <w:sz w:val="20"/>
                <w:szCs w:val="20"/>
              </w:rPr>
              <w:t xml:space="preserve"> </w:t>
            </w:r>
            <w:r w:rsidR="00FD29BF" w:rsidRPr="00FD29BF">
              <w:rPr>
                <w:rFonts w:eastAsiaTheme="minorEastAsia"/>
                <w:sz w:val="20"/>
                <w:szCs w:val="20"/>
                <w14:ligatures w14:val="standardContextual"/>
              </w:rPr>
              <w:t xml:space="preserve">Und drittens betrachtet der U.S. Supreme Court das künftige Glück. Das steigere sich konkret, indem der Bundesstaat mit dem Gesetz Gasressourcen sparen könne („material </w:t>
            </w:r>
            <w:proofErr w:type="spellStart"/>
            <w:r w:rsidR="00FD29BF" w:rsidRPr="00FD29BF">
              <w:rPr>
                <w:rFonts w:eastAsiaTheme="minorEastAsia"/>
                <w:sz w:val="20"/>
                <w:szCs w:val="20"/>
                <w14:ligatures w14:val="standardContextual"/>
              </w:rPr>
              <w:t>interests</w:t>
            </w:r>
            <w:proofErr w:type="spellEnd"/>
            <w:r w:rsidR="00FD29BF" w:rsidRPr="00FD29BF">
              <w:rPr>
                <w:rFonts w:eastAsiaTheme="minorEastAsia"/>
                <w:sz w:val="20"/>
                <w:szCs w:val="20"/>
                <w14:ligatures w14:val="standardContextual"/>
              </w:rPr>
              <w:t xml:space="preserve"> of the State will </w:t>
            </w:r>
            <w:proofErr w:type="spellStart"/>
            <w:r w:rsidR="00FD29BF" w:rsidRPr="00FD29BF">
              <w:rPr>
                <w:rFonts w:eastAsiaTheme="minorEastAsia"/>
                <w:sz w:val="20"/>
                <w:szCs w:val="20"/>
                <w14:ligatures w14:val="standardContextual"/>
              </w:rPr>
              <w:t>continue</w:t>
            </w:r>
            <w:proofErr w:type="spellEnd"/>
            <w:r w:rsidR="00FD29BF" w:rsidRPr="00FD29BF">
              <w:rPr>
                <w:rFonts w:eastAsiaTheme="minorEastAsia"/>
                <w:sz w:val="20"/>
                <w:szCs w:val="20"/>
                <w14:ligatures w14:val="standardContextual"/>
              </w:rPr>
              <w:t xml:space="preserve"> to </w:t>
            </w:r>
            <w:proofErr w:type="spellStart"/>
            <w:r w:rsidR="00FD29BF" w:rsidRPr="00FD29BF">
              <w:rPr>
                <w:rFonts w:eastAsiaTheme="minorEastAsia"/>
                <w:sz w:val="20"/>
                <w:szCs w:val="20"/>
                <w14:ligatures w14:val="standardContextual"/>
              </w:rPr>
              <w:t>be</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benefited</w:t>
            </w:r>
            <w:proofErr w:type="spellEnd"/>
            <w:r w:rsidR="00FD29BF" w:rsidRPr="00FD29BF">
              <w:rPr>
                <w:rFonts w:eastAsiaTheme="minorEastAsia"/>
                <w:sz w:val="20"/>
                <w:szCs w:val="20"/>
                <w14:ligatures w14:val="standardContextual"/>
              </w:rPr>
              <w:t xml:space="preserve"> and </w:t>
            </w:r>
            <w:proofErr w:type="spellStart"/>
            <w:r w:rsidR="00FD29BF" w:rsidRPr="00FD29BF">
              <w:rPr>
                <w:rFonts w:eastAsiaTheme="minorEastAsia"/>
                <w:sz w:val="20"/>
                <w:szCs w:val="20"/>
                <w14:ligatures w14:val="standardContextual"/>
              </w:rPr>
              <w:t>enhanced</w:t>
            </w:r>
            <w:proofErr w:type="spellEnd"/>
            <w:r w:rsidR="00FD29BF" w:rsidRPr="00FD29BF">
              <w:rPr>
                <w:rFonts w:eastAsiaTheme="minorEastAsia"/>
                <w:sz w:val="20"/>
                <w:szCs w:val="20"/>
                <w14:ligatures w14:val="standardContextual"/>
              </w:rPr>
              <w:t xml:space="preserve"> and the </w:t>
            </w:r>
            <w:proofErr w:type="spellStart"/>
            <w:r w:rsidR="00FD29BF" w:rsidRPr="00FD29BF">
              <w:rPr>
                <w:rFonts w:eastAsiaTheme="minorEastAsia"/>
                <w:sz w:val="20"/>
                <w:szCs w:val="20"/>
                <w14:ligatures w14:val="standardContextual"/>
              </w:rPr>
              <w:t>comfort</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happiness</w:t>
            </w:r>
            <w:proofErr w:type="spellEnd"/>
            <w:r w:rsidR="00FD29BF" w:rsidRPr="00FD29BF">
              <w:rPr>
                <w:rFonts w:eastAsiaTheme="minorEastAsia"/>
                <w:sz w:val="20"/>
                <w:szCs w:val="20"/>
                <w14:ligatures w14:val="standardContextual"/>
              </w:rPr>
              <w:t xml:space="preserve"> and </w:t>
            </w:r>
            <w:proofErr w:type="spellStart"/>
            <w:r w:rsidR="00FD29BF" w:rsidRPr="00FD29BF">
              <w:rPr>
                <w:rFonts w:eastAsiaTheme="minorEastAsia"/>
                <w:sz w:val="20"/>
                <w:szCs w:val="20"/>
                <w14:ligatures w14:val="standardContextual"/>
              </w:rPr>
              <w:t>enjoyment</w:t>
            </w:r>
            <w:proofErr w:type="spellEnd"/>
            <w:r w:rsidR="00FD29BF" w:rsidRPr="00FD29BF">
              <w:rPr>
                <w:rFonts w:eastAsiaTheme="minorEastAsia"/>
                <w:sz w:val="20"/>
                <w:szCs w:val="20"/>
                <w14:ligatures w14:val="standardContextual"/>
              </w:rPr>
              <w:t xml:space="preserve"> of the </w:t>
            </w:r>
            <w:proofErr w:type="spellStart"/>
            <w:r w:rsidR="00FD29BF" w:rsidRPr="00FD29BF">
              <w:rPr>
                <w:rFonts w:eastAsiaTheme="minorEastAsia"/>
                <w:sz w:val="20"/>
                <w:szCs w:val="20"/>
                <w14:ligatures w14:val="standardContextual"/>
              </w:rPr>
              <w:t>people</w:t>
            </w:r>
            <w:proofErr w:type="spellEnd"/>
            <w:r w:rsidR="00FD29BF" w:rsidRPr="00FD29BF">
              <w:rPr>
                <w:rFonts w:eastAsiaTheme="minorEastAsia"/>
                <w:sz w:val="20"/>
                <w:szCs w:val="20"/>
                <w14:ligatures w14:val="standardContextual"/>
              </w:rPr>
              <w:t xml:space="preserve"> of the State </w:t>
            </w:r>
            <w:proofErr w:type="spellStart"/>
            <w:r w:rsidR="00FD29BF" w:rsidRPr="00FD29BF">
              <w:rPr>
                <w:rFonts w:eastAsiaTheme="minorEastAsia"/>
                <w:sz w:val="20"/>
                <w:szCs w:val="20"/>
                <w14:ligatures w14:val="standardContextual"/>
              </w:rPr>
              <w:t>greatly</w:t>
            </w:r>
            <w:proofErr w:type="spellEnd"/>
            <w:r w:rsidR="00FD29BF" w:rsidRPr="00FD29BF">
              <w:rPr>
                <w:rFonts w:eastAsiaTheme="minorEastAsia"/>
                <w:sz w:val="20"/>
                <w:szCs w:val="20"/>
                <w14:ligatures w14:val="standardContextual"/>
              </w:rPr>
              <w:t xml:space="preserve"> </w:t>
            </w:r>
            <w:proofErr w:type="spellStart"/>
            <w:r w:rsidR="00FD29BF" w:rsidRPr="00FD29BF">
              <w:rPr>
                <w:rFonts w:eastAsiaTheme="minorEastAsia"/>
                <w:sz w:val="20"/>
                <w:szCs w:val="20"/>
                <w14:ligatures w14:val="standardContextual"/>
              </w:rPr>
              <w:t>increased</w:t>
            </w:r>
            <w:proofErr w:type="spellEnd"/>
            <w:r w:rsidR="00FD29BF" w:rsidRPr="00FD29BF">
              <w:rPr>
                <w:rFonts w:eastAsiaTheme="minorEastAsia"/>
                <w:sz w:val="20"/>
                <w:szCs w:val="20"/>
                <w14:ligatures w14:val="standardContextual"/>
              </w:rPr>
              <w:t>.“</w:t>
            </w:r>
            <w:r w:rsidRPr="00FD29BF">
              <w:rPr>
                <w:rStyle w:val="Funotenzeichen"/>
                <w:sz w:val="20"/>
                <w:szCs w:val="20"/>
                <w:lang w:val="en-IE"/>
              </w:rPr>
              <w:t xml:space="preserve"> </w:t>
            </w:r>
            <w:r w:rsidRPr="00FD29BF">
              <w:rPr>
                <w:rStyle w:val="Funotenzeichen"/>
                <w:sz w:val="20"/>
                <w:szCs w:val="20"/>
              </w:rPr>
              <w:footnoteReference w:id="97"/>
            </w:r>
            <w:r w:rsidRPr="00FD29BF">
              <w:rPr>
                <w:sz w:val="20"/>
                <w:szCs w:val="20"/>
              </w:rPr>
              <w:t xml:space="preserve">). </w:t>
            </w:r>
            <w:r w:rsidR="00FD29BF" w:rsidRPr="00FD29BF">
              <w:rPr>
                <w:rFonts w:eastAsiaTheme="minorEastAsia"/>
                <w:sz w:val="20"/>
                <w:szCs w:val="20"/>
                <w14:ligatures w14:val="standardContextual"/>
              </w:rPr>
              <w:t>Der U.S. Supreme Court rechtfertigt ein Gesetz in dreierlei Hinsicht, nämlich wie es wirtschaftliches Glück erhöht, wie es glücksfördernde staatliche Leistungen ermöglicht und wie sich das Gesetz auf künftiges Glück auswirke.</w:t>
            </w:r>
          </w:p>
        </w:tc>
      </w:tr>
      <w:tr w:rsidR="00074551" w:rsidRPr="00E50B51" w14:paraId="71E0F01B" w14:textId="77777777" w:rsidTr="00752D01">
        <w:trPr>
          <w:cantSplit/>
          <w:trHeight w:val="3175"/>
        </w:trPr>
        <w:tc>
          <w:tcPr>
            <w:tcW w:w="293" w:type="pct"/>
            <w:shd w:val="clear" w:color="auto" w:fill="E7E6E6" w:themeFill="background2"/>
          </w:tcPr>
          <w:p w14:paraId="17A71813" w14:textId="77777777" w:rsidR="00074551" w:rsidRPr="00E50B51" w:rsidRDefault="00074551" w:rsidP="00367133">
            <w:pPr>
              <w:jc w:val="center"/>
              <w:rPr>
                <w:sz w:val="20"/>
                <w:szCs w:val="20"/>
              </w:rPr>
            </w:pPr>
            <w:r w:rsidRPr="00E50B51">
              <w:rPr>
                <w:sz w:val="20"/>
                <w:szCs w:val="20"/>
              </w:rPr>
              <w:lastRenderedPageBreak/>
              <w:t>H</w:t>
            </w:r>
          </w:p>
        </w:tc>
        <w:tc>
          <w:tcPr>
            <w:tcW w:w="387" w:type="pct"/>
            <w:shd w:val="clear" w:color="auto" w:fill="E7E6E6" w:themeFill="background2"/>
            <w:textDirection w:val="tbRl"/>
            <w:vAlign w:val="center"/>
          </w:tcPr>
          <w:p w14:paraId="00535145" w14:textId="77777777" w:rsidR="00074551" w:rsidRPr="00E50B51" w:rsidRDefault="00074551" w:rsidP="00367133">
            <w:pPr>
              <w:ind w:left="113" w:right="113"/>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176178AB" w14:textId="77777777" w:rsidR="00074551" w:rsidRPr="00E50B51" w:rsidRDefault="00074551" w:rsidP="00367133">
            <w:pPr>
              <w:ind w:left="113" w:right="113"/>
              <w:jc w:val="both"/>
              <w:rPr>
                <w:sz w:val="20"/>
                <w:szCs w:val="20"/>
              </w:rPr>
            </w:pPr>
            <w:r w:rsidRPr="00E50B51">
              <w:rPr>
                <w:sz w:val="20"/>
                <w:szCs w:val="20"/>
              </w:rPr>
              <w:t>Property</w:t>
            </w:r>
          </w:p>
        </w:tc>
        <w:tc>
          <w:tcPr>
            <w:tcW w:w="306" w:type="pct"/>
            <w:shd w:val="clear" w:color="auto" w:fill="E7E6E6" w:themeFill="background2"/>
            <w:textDirection w:val="tbRl"/>
            <w:vAlign w:val="center"/>
          </w:tcPr>
          <w:p w14:paraId="115EFF3C" w14:textId="77777777" w:rsidR="00074551" w:rsidRPr="00E50B51" w:rsidRDefault="00074551" w:rsidP="00367133">
            <w:pPr>
              <w:ind w:left="113" w:right="113"/>
              <w:jc w:val="both"/>
              <w:rPr>
                <w:sz w:val="20"/>
                <w:szCs w:val="20"/>
              </w:rPr>
            </w:pPr>
            <w:r w:rsidRPr="00E50B51">
              <w:rPr>
                <w:sz w:val="20"/>
                <w:szCs w:val="20"/>
                <w:lang w:val="en-US"/>
              </w:rPr>
              <w:t>Admiralty &amp; Maritime Law</w:t>
            </w:r>
          </w:p>
        </w:tc>
        <w:tc>
          <w:tcPr>
            <w:tcW w:w="401" w:type="pct"/>
            <w:shd w:val="clear" w:color="auto" w:fill="E7E6E6" w:themeFill="background2"/>
            <w:textDirection w:val="tbRl"/>
          </w:tcPr>
          <w:p w14:paraId="04724ABE" w14:textId="77777777" w:rsidR="00074551" w:rsidRDefault="00074551" w:rsidP="00367133">
            <w:pPr>
              <w:ind w:left="113" w:right="113"/>
              <w:rPr>
                <w:sz w:val="20"/>
                <w:szCs w:val="20"/>
                <w:lang w:val="en-US"/>
              </w:rPr>
            </w:pPr>
          </w:p>
          <w:p w14:paraId="2FAA0B8F" w14:textId="77777777" w:rsidR="00074551" w:rsidRPr="00E50B51" w:rsidRDefault="00074551" w:rsidP="00367133">
            <w:pPr>
              <w:ind w:left="113" w:right="113"/>
              <w:rPr>
                <w:sz w:val="20"/>
                <w:szCs w:val="20"/>
              </w:rPr>
            </w:pPr>
            <w:r w:rsidRPr="00E50B51">
              <w:rPr>
                <w:sz w:val="20"/>
                <w:szCs w:val="20"/>
                <w:lang w:val="en-US"/>
              </w:rPr>
              <w:t>Maritime Forfeitures &amp; Penalties</w:t>
            </w:r>
          </w:p>
        </w:tc>
        <w:tc>
          <w:tcPr>
            <w:tcW w:w="1594" w:type="pct"/>
            <w:shd w:val="clear" w:color="auto" w:fill="E7E6E6" w:themeFill="background2"/>
            <w:vAlign w:val="center"/>
          </w:tcPr>
          <w:p w14:paraId="298A4340" w14:textId="77777777" w:rsidR="00074551" w:rsidRPr="00E50B51" w:rsidRDefault="00074551" w:rsidP="00367133">
            <w:pPr>
              <w:jc w:val="both"/>
              <w:rPr>
                <w:sz w:val="20"/>
                <w:szCs w:val="20"/>
              </w:rPr>
            </w:pPr>
          </w:p>
        </w:tc>
        <w:tc>
          <w:tcPr>
            <w:tcW w:w="1822" w:type="pct"/>
            <w:shd w:val="clear" w:color="auto" w:fill="E7E6E6" w:themeFill="background2"/>
          </w:tcPr>
          <w:p w14:paraId="3842B32F" w14:textId="5943D803"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E1CD22C" w14:textId="77777777" w:rsidTr="00BE689F">
        <w:trPr>
          <w:cantSplit/>
          <w:trHeight w:val="3175"/>
        </w:trPr>
        <w:tc>
          <w:tcPr>
            <w:tcW w:w="293" w:type="pct"/>
          </w:tcPr>
          <w:p w14:paraId="5D683A70" w14:textId="77777777" w:rsidR="00074551" w:rsidRPr="00E50B51" w:rsidRDefault="00074551" w:rsidP="00367133">
            <w:pPr>
              <w:jc w:val="center"/>
              <w:rPr>
                <w:sz w:val="20"/>
                <w:szCs w:val="20"/>
              </w:rPr>
            </w:pPr>
            <w:r w:rsidRPr="00E50B51">
              <w:rPr>
                <w:sz w:val="20"/>
                <w:szCs w:val="20"/>
              </w:rPr>
              <w:lastRenderedPageBreak/>
              <w:t>H</w:t>
            </w:r>
          </w:p>
        </w:tc>
        <w:tc>
          <w:tcPr>
            <w:tcW w:w="387" w:type="pct"/>
            <w:textDirection w:val="tbRl"/>
            <w:vAlign w:val="center"/>
          </w:tcPr>
          <w:p w14:paraId="0296B37B" w14:textId="77777777" w:rsidR="00074551" w:rsidRPr="00B45592" w:rsidRDefault="00074551" w:rsidP="00367133">
            <w:pPr>
              <w:ind w:left="113" w:right="113"/>
              <w:jc w:val="both"/>
              <w:rPr>
                <w:i/>
                <w:sz w:val="20"/>
                <w:szCs w:val="20"/>
              </w:rPr>
            </w:pPr>
            <w:r w:rsidRPr="00B45592">
              <w:rPr>
                <w:i/>
                <w:sz w:val="20"/>
                <w:szCs w:val="20"/>
              </w:rPr>
              <w:t>Talbot v. Janson</w:t>
            </w:r>
          </w:p>
        </w:tc>
        <w:tc>
          <w:tcPr>
            <w:tcW w:w="197" w:type="pct"/>
            <w:textDirection w:val="tbRl"/>
            <w:vAlign w:val="center"/>
          </w:tcPr>
          <w:p w14:paraId="6A703286" w14:textId="77777777" w:rsidR="00074551" w:rsidRPr="00E50B51" w:rsidRDefault="00074551" w:rsidP="00367133">
            <w:pPr>
              <w:ind w:left="113" w:right="113"/>
              <w:jc w:val="both"/>
              <w:rPr>
                <w:sz w:val="20"/>
                <w:szCs w:val="20"/>
              </w:rPr>
            </w:pPr>
            <w:r w:rsidRPr="00E50B51">
              <w:rPr>
                <w:sz w:val="20"/>
                <w:szCs w:val="20"/>
              </w:rPr>
              <w:t>3 U.S. 133</w:t>
            </w:r>
          </w:p>
        </w:tc>
        <w:tc>
          <w:tcPr>
            <w:tcW w:w="306" w:type="pct"/>
            <w:textDirection w:val="tbRl"/>
            <w:vAlign w:val="center"/>
          </w:tcPr>
          <w:p w14:paraId="6D4F2B67" w14:textId="77777777" w:rsidR="00074551" w:rsidRPr="00E50B51" w:rsidRDefault="00074551" w:rsidP="00367133">
            <w:pPr>
              <w:ind w:left="113" w:right="113"/>
              <w:jc w:val="both"/>
              <w:rPr>
                <w:sz w:val="20"/>
                <w:szCs w:val="20"/>
              </w:rPr>
            </w:pPr>
            <w:r w:rsidRPr="00E50B51">
              <w:rPr>
                <w:sz w:val="20"/>
                <w:szCs w:val="20"/>
              </w:rPr>
              <w:t>22. August 1795</w:t>
            </w:r>
          </w:p>
        </w:tc>
        <w:tc>
          <w:tcPr>
            <w:tcW w:w="401" w:type="pct"/>
          </w:tcPr>
          <w:p w14:paraId="1140EE67"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65036F68" w14:textId="79B525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bestätigte die Entschädigung eines Klägers aus den Niederlanden. Die Vereinigten Staaten waren neutral im Krieg zwischen den Niederlanden und Frankreich. </w:t>
            </w:r>
            <w:r>
              <w:rPr>
                <w:sz w:val="20"/>
                <w:szCs w:val="20"/>
              </w:rPr>
              <w:t>D</w:t>
            </w:r>
            <w:r w:rsidRPr="00E50B51">
              <w:rPr>
                <w:sz w:val="20"/>
                <w:szCs w:val="20"/>
              </w:rPr>
              <w:t xml:space="preserve">ennoch rüstete der französische Beklagte einen US-Bürger wissentlich mit Waffen aus. Nur so konnte der US-Bürger dann das Schiff des niederländischen Klägers erobern. Dabei durfte nach der Rechtsprechung des </w:t>
            </w:r>
            <w:r>
              <w:rPr>
                <w:sz w:val="20"/>
                <w:szCs w:val="20"/>
              </w:rPr>
              <w:t>U.S. Supreme Court</w:t>
            </w:r>
            <w:r w:rsidRPr="00E50B51">
              <w:rPr>
                <w:sz w:val="20"/>
                <w:szCs w:val="20"/>
              </w:rPr>
              <w:t xml:space="preserve"> der Franzose nur feindliche Schiffe angreifen. Er durfte aber nicht einem US-Bürger dazu verhelfen, eine mit den USA befreundete Nation anzugreifen, hier ein niederländisches Schiff. Der Beklagte betrieb damit auch illegalen Waffenhandel. Und da der US-Bürger </w:t>
            </w:r>
            <w:r>
              <w:rPr>
                <w:sz w:val="20"/>
                <w:szCs w:val="20"/>
              </w:rPr>
              <w:t>mit Hilfe</w:t>
            </w:r>
            <w:r w:rsidRPr="00E50B51">
              <w:rPr>
                <w:sz w:val="20"/>
                <w:szCs w:val="20"/>
              </w:rPr>
              <w:t xml:space="preserve"> des französischen Beklagten das Schiff des niederländischen Klägers in Besitz nahm und es in den Zuständigkeitsbereich der Vereinigten Staaten verbrachte, begründete </w:t>
            </w:r>
            <w:r>
              <w:rPr>
                <w:sz w:val="20"/>
                <w:szCs w:val="20"/>
              </w:rPr>
              <w:t>dies</w:t>
            </w:r>
            <w:r w:rsidRPr="00E50B51">
              <w:rPr>
                <w:sz w:val="20"/>
                <w:szCs w:val="20"/>
              </w:rPr>
              <w:t xml:space="preserve"> eine Entschädigung nach völkerrechtlichen Grundsätzen.</w:t>
            </w:r>
            <w:r w:rsidRPr="00E50B51">
              <w:rPr>
                <w:rStyle w:val="Funotenzeichen"/>
                <w:sz w:val="20"/>
                <w:szCs w:val="20"/>
              </w:rPr>
              <w:footnoteReference w:id="98"/>
            </w:r>
          </w:p>
        </w:tc>
        <w:tc>
          <w:tcPr>
            <w:tcW w:w="1822" w:type="pct"/>
          </w:tcPr>
          <w:p w14:paraId="4FD5DE0B"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Admiralty &amp; Maritime Law › Maritime Forfeitures &amp; Penalties › General Overview</w:t>
            </w:r>
          </w:p>
          <w:p w14:paraId="5AB43019" w14:textId="77777777" w:rsidR="00074551" w:rsidRPr="00E50B51" w:rsidRDefault="00074551" w:rsidP="00367133">
            <w:pPr>
              <w:jc w:val="both"/>
              <w:rPr>
                <w:sz w:val="20"/>
                <w:szCs w:val="20"/>
                <w:lang w:val="en-US"/>
              </w:rPr>
            </w:pPr>
          </w:p>
          <w:p w14:paraId="4DA622B2"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nicht jede rechtswidrige Handlung auf hoher See sei Piraterie. Dennoch kann eine Festnahme rechtswidrig sein und zu Wiedergutmachung führen – auch wenn sie nicht von Gewalt oder einer Wegnahme von Eigentum geprägt sei.</w:t>
            </w:r>
            <w:r w:rsidRPr="00E50B51">
              <w:rPr>
                <w:rStyle w:val="Funotenzeichen"/>
                <w:sz w:val="20"/>
                <w:szCs w:val="20"/>
              </w:rPr>
              <w:footnoteReference w:id="99"/>
            </w:r>
          </w:p>
          <w:p w14:paraId="798DEAEA" w14:textId="77777777" w:rsidR="00074551" w:rsidRPr="00E50B51" w:rsidRDefault="00074551" w:rsidP="00367133">
            <w:pPr>
              <w:jc w:val="both"/>
              <w:rPr>
                <w:sz w:val="20"/>
                <w:szCs w:val="20"/>
              </w:rPr>
            </w:pPr>
          </w:p>
          <w:p w14:paraId="547A148F" w14:textId="77777777" w:rsidR="00074551" w:rsidRDefault="00074551" w:rsidP="00367133">
            <w:pPr>
              <w:jc w:val="both"/>
              <w:rPr>
                <w:sz w:val="20"/>
                <w:szCs w:val="20"/>
              </w:rPr>
            </w:pPr>
            <w:r w:rsidRPr="00E50B51">
              <w:rPr>
                <w:sz w:val="20"/>
                <w:szCs w:val="20"/>
              </w:rPr>
              <w:t xml:space="preserve">Das Recht auf </w:t>
            </w:r>
            <w:r>
              <w:rPr>
                <w:sz w:val="20"/>
                <w:szCs w:val="20"/>
              </w:rPr>
              <w:t xml:space="preserve">Auswanderung bzw. </w:t>
            </w:r>
            <w:r w:rsidRPr="00E50B51">
              <w:rPr>
                <w:sz w:val="20"/>
                <w:szCs w:val="20"/>
              </w:rPr>
              <w:t xml:space="preserve">Ausbürgerung sei der Gesellschaft vorgelagert und ihr damit übergeordnet. Es </w:t>
            </w:r>
            <w:r>
              <w:rPr>
                <w:sz w:val="20"/>
                <w:szCs w:val="20"/>
              </w:rPr>
              <w:t>ergebe</w:t>
            </w:r>
            <w:r w:rsidRPr="00E50B51">
              <w:rPr>
                <w:sz w:val="20"/>
                <w:szCs w:val="20"/>
              </w:rPr>
              <w:t xml:space="preserve"> sich aus dem Gesellschaftsvertrag. Den </w:t>
            </w:r>
            <w:r>
              <w:rPr>
                <w:sz w:val="20"/>
                <w:szCs w:val="20"/>
              </w:rPr>
              <w:t>schlössen die</w:t>
            </w:r>
            <w:r w:rsidRPr="00E50B51">
              <w:rPr>
                <w:sz w:val="20"/>
                <w:szCs w:val="20"/>
              </w:rPr>
              <w:t xml:space="preserve"> Menschen miteinander, um Minderheiten, den Einzelnen und die Industrie zu schützen sowie die Mittel für das menschliche Glück zu fördern („It </w:t>
            </w:r>
            <w:proofErr w:type="spellStart"/>
            <w:r w:rsidRPr="00E50B51">
              <w:rPr>
                <w:sz w:val="20"/>
                <w:szCs w:val="20"/>
              </w:rPr>
              <w:t>is</w:t>
            </w:r>
            <w:proofErr w:type="spellEnd"/>
            <w:r w:rsidRPr="00E50B51">
              <w:rPr>
                <w:sz w:val="20"/>
                <w:szCs w:val="20"/>
              </w:rPr>
              <w:t xml:space="preserve"> </w:t>
            </w:r>
            <w:proofErr w:type="spellStart"/>
            <w:r w:rsidRPr="00E50B51">
              <w:rPr>
                <w:sz w:val="20"/>
                <w:szCs w:val="20"/>
              </w:rPr>
              <w:t>implied</w:t>
            </w:r>
            <w:proofErr w:type="spellEnd"/>
            <w:r w:rsidRPr="00E50B51">
              <w:rPr>
                <w:sz w:val="20"/>
                <w:szCs w:val="20"/>
              </w:rPr>
              <w:t xml:space="preserve">, </w:t>
            </w:r>
            <w:proofErr w:type="spellStart"/>
            <w:r w:rsidRPr="00E50B51">
              <w:rPr>
                <w:sz w:val="20"/>
                <w:szCs w:val="20"/>
              </w:rPr>
              <w:t>likewise</w:t>
            </w:r>
            <w:proofErr w:type="spellEnd"/>
            <w:r w:rsidRPr="00E50B51">
              <w:rPr>
                <w:sz w:val="20"/>
                <w:szCs w:val="20"/>
              </w:rPr>
              <w:t xml:space="preserve">, in the </w:t>
            </w:r>
            <w:proofErr w:type="spellStart"/>
            <w:r w:rsidRPr="00E50B51">
              <w:rPr>
                <w:sz w:val="20"/>
                <w:szCs w:val="20"/>
              </w:rPr>
              <w:t>nature</w:t>
            </w:r>
            <w:proofErr w:type="spellEnd"/>
            <w:r w:rsidRPr="00E50B51">
              <w:rPr>
                <w:sz w:val="20"/>
                <w:szCs w:val="20"/>
              </w:rPr>
              <w:t xml:space="preserve"> and </w:t>
            </w:r>
            <w:proofErr w:type="spellStart"/>
            <w:r w:rsidRPr="00E50B51">
              <w:rPr>
                <w:sz w:val="20"/>
                <w:szCs w:val="20"/>
              </w:rPr>
              <w:t>object</w:t>
            </w:r>
            <w:proofErr w:type="spellEnd"/>
            <w:r w:rsidRPr="00E50B51">
              <w:rPr>
                <w:sz w:val="20"/>
                <w:szCs w:val="20"/>
              </w:rPr>
              <w:t xml:space="preserve"> of the social </w:t>
            </w:r>
            <w:proofErr w:type="spellStart"/>
            <w:r w:rsidRPr="00E50B51">
              <w:rPr>
                <w:sz w:val="20"/>
                <w:szCs w:val="20"/>
              </w:rPr>
              <w:t>compact</w:t>
            </w:r>
            <w:proofErr w:type="spellEnd"/>
            <w:r w:rsidRPr="00E50B51">
              <w:rPr>
                <w:sz w:val="20"/>
                <w:szCs w:val="20"/>
              </w:rPr>
              <w:t xml:space="preserve">, </w:t>
            </w:r>
            <w:proofErr w:type="spellStart"/>
            <w:r w:rsidRPr="00E50B51">
              <w:rPr>
                <w:sz w:val="20"/>
                <w:szCs w:val="20"/>
              </w:rPr>
              <w:t>which</w:t>
            </w:r>
            <w:proofErr w:type="spellEnd"/>
            <w:r w:rsidRPr="00E50B51">
              <w:rPr>
                <w:sz w:val="20"/>
                <w:szCs w:val="20"/>
              </w:rPr>
              <w:t xml:space="preserve"> was </w:t>
            </w:r>
            <w:proofErr w:type="spellStart"/>
            <w:r w:rsidRPr="00E50B51">
              <w:rPr>
                <w:sz w:val="20"/>
                <w:szCs w:val="20"/>
              </w:rPr>
              <w:t>formed</w:t>
            </w:r>
            <w:proofErr w:type="spellEnd"/>
            <w:r w:rsidRPr="00E50B51">
              <w:rPr>
                <w:sz w:val="20"/>
                <w:szCs w:val="20"/>
              </w:rPr>
              <w:t xml:space="preserve"> to </w:t>
            </w:r>
            <w:proofErr w:type="spellStart"/>
            <w:r w:rsidRPr="00E50B51">
              <w:rPr>
                <w:sz w:val="20"/>
                <w:szCs w:val="20"/>
              </w:rPr>
              <w:t>shield</w:t>
            </w:r>
            <w:proofErr w:type="spellEnd"/>
            <w:r w:rsidRPr="00E50B51">
              <w:rPr>
                <w:sz w:val="20"/>
                <w:szCs w:val="20"/>
              </w:rPr>
              <w:t xml:space="preserve"> the </w:t>
            </w:r>
            <w:proofErr w:type="spellStart"/>
            <w:r w:rsidRPr="00E50B51">
              <w:rPr>
                <w:sz w:val="20"/>
                <w:szCs w:val="20"/>
              </w:rPr>
              <w:t>weakness</w:t>
            </w:r>
            <w:proofErr w:type="spellEnd"/>
            <w:r w:rsidRPr="00E50B51">
              <w:rPr>
                <w:sz w:val="20"/>
                <w:szCs w:val="20"/>
              </w:rPr>
              <w:t xml:space="preserve">, and to </w:t>
            </w:r>
            <w:proofErr w:type="spellStart"/>
            <w:r w:rsidRPr="00E50B51">
              <w:rPr>
                <w:sz w:val="20"/>
                <w:szCs w:val="20"/>
              </w:rPr>
              <w:t>supply</w:t>
            </w:r>
            <w:proofErr w:type="spellEnd"/>
            <w:r w:rsidRPr="00E50B51">
              <w:rPr>
                <w:sz w:val="20"/>
                <w:szCs w:val="20"/>
              </w:rPr>
              <w:t xml:space="preserve"> the </w:t>
            </w:r>
            <w:proofErr w:type="spellStart"/>
            <w:r w:rsidRPr="00E50B51">
              <w:rPr>
                <w:sz w:val="20"/>
                <w:szCs w:val="20"/>
              </w:rPr>
              <w:t>wants</w:t>
            </w:r>
            <w:proofErr w:type="spellEnd"/>
            <w:r w:rsidRPr="00E50B51">
              <w:rPr>
                <w:sz w:val="20"/>
                <w:szCs w:val="20"/>
              </w:rPr>
              <w:t xml:space="preserve"> of </w:t>
            </w:r>
            <w:proofErr w:type="spellStart"/>
            <w:r w:rsidRPr="00E50B51">
              <w:rPr>
                <w:sz w:val="20"/>
                <w:szCs w:val="20"/>
              </w:rPr>
              <w:t>individuals</w:t>
            </w:r>
            <w:proofErr w:type="spellEnd"/>
            <w:r>
              <w:rPr>
                <w:sz w:val="20"/>
                <w:szCs w:val="20"/>
              </w:rPr>
              <w:t> –</w:t>
            </w:r>
            <w:r w:rsidRPr="00E50B51">
              <w:rPr>
                <w:sz w:val="20"/>
                <w:szCs w:val="20"/>
              </w:rPr>
              <w:t xml:space="preserve"> to </w:t>
            </w:r>
            <w:proofErr w:type="spellStart"/>
            <w:r w:rsidRPr="00E50B51">
              <w:rPr>
                <w:sz w:val="20"/>
                <w:szCs w:val="20"/>
              </w:rPr>
              <w:t>protect</w:t>
            </w:r>
            <w:proofErr w:type="spellEnd"/>
            <w:r w:rsidRPr="00E50B51">
              <w:rPr>
                <w:sz w:val="20"/>
                <w:szCs w:val="20"/>
              </w:rPr>
              <w:t xml:space="preserve"> the </w:t>
            </w:r>
            <w:proofErr w:type="spellStart"/>
            <w:r w:rsidRPr="00E50B51">
              <w:rPr>
                <w:sz w:val="20"/>
                <w:szCs w:val="20"/>
              </w:rPr>
              <w:t>acquisitions</w:t>
            </w:r>
            <w:proofErr w:type="spellEnd"/>
            <w:r w:rsidRPr="00E50B51">
              <w:rPr>
                <w:sz w:val="20"/>
                <w:szCs w:val="20"/>
              </w:rPr>
              <w:t xml:space="preserve"> of human </w:t>
            </w:r>
            <w:proofErr w:type="spellStart"/>
            <w:r w:rsidRPr="00E50B51">
              <w:rPr>
                <w:sz w:val="20"/>
                <w:szCs w:val="20"/>
              </w:rPr>
              <w:t>industry</w:t>
            </w:r>
            <w:proofErr w:type="spellEnd"/>
            <w:r w:rsidRPr="00E50B51">
              <w:rPr>
                <w:sz w:val="20"/>
                <w:szCs w:val="20"/>
              </w:rPr>
              <w:t xml:space="preserve">, and to promote the </w:t>
            </w:r>
            <w:proofErr w:type="spellStart"/>
            <w:r w:rsidRPr="00E50B51">
              <w:rPr>
                <w:sz w:val="20"/>
                <w:szCs w:val="20"/>
              </w:rPr>
              <w:t>means</w:t>
            </w:r>
            <w:proofErr w:type="spellEnd"/>
            <w:r w:rsidRPr="00E50B51">
              <w:rPr>
                <w:sz w:val="20"/>
                <w:szCs w:val="20"/>
              </w:rPr>
              <w:t xml:space="preserve"> of human </w:t>
            </w:r>
            <w:proofErr w:type="spellStart"/>
            <w:r w:rsidRPr="00E50B51">
              <w:rPr>
                <w:sz w:val="20"/>
                <w:szCs w:val="20"/>
              </w:rPr>
              <w:t>happiness</w:t>
            </w:r>
            <w:proofErr w:type="spellEnd"/>
            <w:r w:rsidRPr="00E50B51">
              <w:rPr>
                <w:sz w:val="20"/>
                <w:szCs w:val="20"/>
              </w:rPr>
              <w:t>“</w:t>
            </w:r>
            <w:r w:rsidRPr="00E50B51">
              <w:rPr>
                <w:rStyle w:val="Funotenzeichen"/>
                <w:sz w:val="20"/>
                <w:szCs w:val="20"/>
                <w:lang w:val="en-US"/>
              </w:rPr>
              <w:footnoteReference w:id="100"/>
            </w:r>
            <w:r w:rsidRPr="00B45592">
              <w:rPr>
                <w:sz w:val="20"/>
                <w:szCs w:val="20"/>
              </w:rPr>
              <w:t>).</w:t>
            </w:r>
          </w:p>
          <w:p w14:paraId="6A738E09" w14:textId="77777777" w:rsidR="00074551" w:rsidRPr="00E50B51" w:rsidRDefault="00074551" w:rsidP="00367133">
            <w:pPr>
              <w:jc w:val="both"/>
              <w:rPr>
                <w:sz w:val="20"/>
                <w:szCs w:val="20"/>
              </w:rPr>
            </w:pPr>
          </w:p>
        </w:tc>
      </w:tr>
      <w:tr w:rsidR="00074551" w:rsidRPr="00E50B51" w14:paraId="6B02E3AF" w14:textId="77777777" w:rsidTr="00752D01">
        <w:trPr>
          <w:cantSplit/>
          <w:trHeight w:val="3175"/>
        </w:trPr>
        <w:tc>
          <w:tcPr>
            <w:tcW w:w="293" w:type="pct"/>
            <w:shd w:val="clear" w:color="auto" w:fill="E7E6E6" w:themeFill="background2"/>
          </w:tcPr>
          <w:p w14:paraId="62B7D932" w14:textId="77777777" w:rsidR="00074551" w:rsidRDefault="00074551" w:rsidP="00367133">
            <w:pPr>
              <w:ind w:right="416"/>
              <w:jc w:val="center"/>
              <w:rPr>
                <w:sz w:val="20"/>
                <w:szCs w:val="20"/>
              </w:rPr>
            </w:pPr>
            <w:proofErr w:type="spellStart"/>
            <w:r w:rsidRPr="00E50B51">
              <w:rPr>
                <w:sz w:val="20"/>
                <w:szCs w:val="20"/>
              </w:rPr>
              <w:t>poH</w:t>
            </w:r>
            <w:proofErr w:type="spellEnd"/>
          </w:p>
          <w:p w14:paraId="42142CB4"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1B03D18E"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7C8AF818" w14:textId="77777777" w:rsidR="00074551" w:rsidRPr="00E50B51" w:rsidRDefault="00074551" w:rsidP="00367133">
            <w:pPr>
              <w:ind w:left="113" w:right="113"/>
              <w:jc w:val="both"/>
              <w:rPr>
                <w:sz w:val="20"/>
                <w:szCs w:val="20"/>
              </w:rPr>
            </w:pPr>
            <w:proofErr w:type="spellStart"/>
            <w:r w:rsidRPr="00E50B51">
              <w:rPr>
                <w:sz w:val="20"/>
                <w:szCs w:val="20"/>
              </w:rPr>
              <w:t>Contracts</w:t>
            </w:r>
            <w:proofErr w:type="spellEnd"/>
            <w:r w:rsidRPr="00E50B51">
              <w:rPr>
                <w:sz w:val="20"/>
                <w:szCs w:val="20"/>
              </w:rPr>
              <w:t xml:space="preserve"> </w:t>
            </w:r>
            <w:proofErr w:type="spellStart"/>
            <w:r w:rsidRPr="00E50B51">
              <w:rPr>
                <w:sz w:val="20"/>
                <w:szCs w:val="20"/>
              </w:rPr>
              <w:t>Clause</w:t>
            </w:r>
            <w:proofErr w:type="spellEnd"/>
          </w:p>
        </w:tc>
        <w:tc>
          <w:tcPr>
            <w:tcW w:w="306" w:type="pct"/>
            <w:shd w:val="clear" w:color="auto" w:fill="E7E6E6" w:themeFill="background2"/>
            <w:textDirection w:val="tbRl"/>
            <w:vAlign w:val="center"/>
          </w:tcPr>
          <w:p w14:paraId="7A5CA3CE"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4F05160A"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112B4F62" w14:textId="77777777" w:rsidR="00074551" w:rsidRPr="00E50B51" w:rsidRDefault="00074551" w:rsidP="00367133">
            <w:pPr>
              <w:jc w:val="both"/>
              <w:rPr>
                <w:sz w:val="20"/>
                <w:szCs w:val="20"/>
              </w:rPr>
            </w:pPr>
          </w:p>
        </w:tc>
        <w:tc>
          <w:tcPr>
            <w:tcW w:w="1822" w:type="pct"/>
            <w:shd w:val="clear" w:color="auto" w:fill="E7E6E6" w:themeFill="background2"/>
          </w:tcPr>
          <w:p w14:paraId="45911C99" w14:textId="3E76BFB5"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41AF13DA" w14:textId="77777777" w:rsidTr="00BE689F">
        <w:trPr>
          <w:cantSplit/>
          <w:trHeight w:val="3175"/>
        </w:trPr>
        <w:tc>
          <w:tcPr>
            <w:tcW w:w="293" w:type="pct"/>
          </w:tcPr>
          <w:p w14:paraId="68E5A310"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CAD8BA2" w14:textId="77777777" w:rsidR="00074551" w:rsidRPr="00B45592" w:rsidRDefault="00074551" w:rsidP="00367133">
            <w:pPr>
              <w:ind w:left="113" w:right="416"/>
              <w:jc w:val="both"/>
              <w:rPr>
                <w:i/>
                <w:sz w:val="20"/>
                <w:szCs w:val="20"/>
              </w:rPr>
            </w:pPr>
            <w:r w:rsidRPr="00B45592">
              <w:rPr>
                <w:i/>
                <w:sz w:val="20"/>
                <w:szCs w:val="20"/>
                <w:lang w:val="en-US"/>
              </w:rPr>
              <w:t>Allgeyer v. Louisiana</w:t>
            </w:r>
          </w:p>
        </w:tc>
        <w:tc>
          <w:tcPr>
            <w:tcW w:w="197" w:type="pct"/>
            <w:textDirection w:val="tbRl"/>
            <w:vAlign w:val="center"/>
          </w:tcPr>
          <w:p w14:paraId="38D29221" w14:textId="77777777" w:rsidR="00074551" w:rsidRPr="00E50B51" w:rsidRDefault="00074551" w:rsidP="00367133">
            <w:pPr>
              <w:ind w:left="113" w:right="113"/>
              <w:jc w:val="both"/>
              <w:rPr>
                <w:sz w:val="20"/>
                <w:szCs w:val="20"/>
              </w:rPr>
            </w:pPr>
            <w:r w:rsidRPr="00E50B51">
              <w:rPr>
                <w:sz w:val="20"/>
                <w:szCs w:val="20"/>
                <w:lang w:val="en-US"/>
              </w:rPr>
              <w:t>165 U.S. 578</w:t>
            </w:r>
          </w:p>
        </w:tc>
        <w:tc>
          <w:tcPr>
            <w:tcW w:w="306" w:type="pct"/>
            <w:textDirection w:val="tbRl"/>
            <w:vAlign w:val="center"/>
          </w:tcPr>
          <w:p w14:paraId="013CD262" w14:textId="77777777" w:rsidR="00074551" w:rsidRPr="00E50B51" w:rsidRDefault="00074551" w:rsidP="00367133">
            <w:pPr>
              <w:ind w:left="113" w:right="113"/>
              <w:jc w:val="both"/>
              <w:rPr>
                <w:sz w:val="20"/>
                <w:szCs w:val="20"/>
                <w:lang w:eastAsia="de-DE"/>
              </w:rPr>
            </w:pPr>
            <w:r w:rsidRPr="00E50B51">
              <w:rPr>
                <w:sz w:val="20"/>
                <w:szCs w:val="20"/>
                <w:lang w:val="en-US"/>
              </w:rPr>
              <w:t>1. März 1897</w:t>
            </w:r>
          </w:p>
        </w:tc>
        <w:tc>
          <w:tcPr>
            <w:tcW w:w="401" w:type="pct"/>
          </w:tcPr>
          <w:p w14:paraId="155FBDA4" w14:textId="77777777" w:rsidR="00074551" w:rsidRPr="00E50B51" w:rsidRDefault="00074551" w:rsidP="00367133">
            <w:pPr>
              <w:jc w:val="center"/>
              <w:rPr>
                <w:sz w:val="20"/>
                <w:szCs w:val="20"/>
                <w:lang w:eastAsia="de-DE"/>
              </w:rPr>
            </w:pPr>
            <w:r w:rsidRPr="00E50B51">
              <w:rPr>
                <w:sz w:val="20"/>
                <w:szCs w:val="20"/>
                <w:lang w:val="en-US"/>
              </w:rPr>
              <w:t>M</w:t>
            </w:r>
          </w:p>
        </w:tc>
        <w:tc>
          <w:tcPr>
            <w:tcW w:w="1594" w:type="pct"/>
          </w:tcPr>
          <w:p w14:paraId="14FAED5C" w14:textId="77777777" w:rsidR="00074551" w:rsidRPr="00E50B51" w:rsidRDefault="00074551" w:rsidP="00367133">
            <w:pPr>
              <w:jc w:val="both"/>
              <w:rPr>
                <w:sz w:val="20"/>
                <w:szCs w:val="20"/>
                <w:lang w:eastAsia="de-DE"/>
              </w:rPr>
            </w:pPr>
            <w:r w:rsidRPr="00E50B51">
              <w:rPr>
                <w:sz w:val="20"/>
                <w:szCs w:val="20"/>
                <w:lang w:eastAsia="de-DE"/>
              </w:rPr>
              <w:t>Im Fall war</w:t>
            </w:r>
            <w:r>
              <w:rPr>
                <w:sz w:val="20"/>
                <w:szCs w:val="20"/>
                <w:lang w:eastAsia="de-DE"/>
              </w:rPr>
              <w:t>en</w:t>
            </w:r>
            <w:r w:rsidRPr="00E50B51">
              <w:rPr>
                <w:sz w:val="20"/>
                <w:szCs w:val="20"/>
                <w:lang w:eastAsia="de-DE"/>
              </w:rPr>
              <w:t xml:space="preserve"> der Bundesstaat Louisiana Kläger und eine Gruppe </w:t>
            </w:r>
            <w:r>
              <w:rPr>
                <w:sz w:val="20"/>
                <w:szCs w:val="20"/>
                <w:lang w:eastAsia="de-DE"/>
              </w:rPr>
              <w:t xml:space="preserve">von </w:t>
            </w:r>
            <w:r w:rsidRPr="00E50B51">
              <w:rPr>
                <w:sz w:val="20"/>
                <w:szCs w:val="20"/>
                <w:lang w:eastAsia="de-DE"/>
              </w:rPr>
              <w:t>Exporteure</w:t>
            </w:r>
            <w:r>
              <w:rPr>
                <w:sz w:val="20"/>
                <w:szCs w:val="20"/>
                <w:lang w:eastAsia="de-DE"/>
              </w:rPr>
              <w:t xml:space="preserve">n </w:t>
            </w:r>
            <w:r w:rsidRPr="00E50B51">
              <w:rPr>
                <w:sz w:val="20"/>
                <w:szCs w:val="20"/>
                <w:lang w:eastAsia="de-DE"/>
              </w:rPr>
              <w:t>die Beklagten. Louisiana warf den Exporteuren vor, gegen ein Gesetz (</w:t>
            </w:r>
            <w:r>
              <w:rPr>
                <w:sz w:val="20"/>
                <w:szCs w:val="20"/>
                <w:lang w:eastAsia="de-DE"/>
              </w:rPr>
              <w:t>A</w:t>
            </w:r>
            <w:r w:rsidRPr="00E50B51">
              <w:rPr>
                <w:sz w:val="20"/>
                <w:szCs w:val="20"/>
                <w:lang w:eastAsia="de-DE"/>
              </w:rPr>
              <w:t xml:space="preserve">ct </w:t>
            </w:r>
            <w:proofErr w:type="spellStart"/>
            <w:r w:rsidRPr="00E50B51">
              <w:rPr>
                <w:sz w:val="20"/>
                <w:szCs w:val="20"/>
                <w:lang w:eastAsia="de-DE"/>
              </w:rPr>
              <w:t>No</w:t>
            </w:r>
            <w:proofErr w:type="spellEnd"/>
            <w:r w:rsidRPr="00E50B51">
              <w:rPr>
                <w:sz w:val="20"/>
                <w:szCs w:val="20"/>
                <w:lang w:eastAsia="de-DE"/>
              </w:rPr>
              <w:t>. 66 1894 La.</w:t>
            </w:r>
            <w:r w:rsidRPr="00E50B51">
              <w:rPr>
                <w:rStyle w:val="Funotenzeichen"/>
                <w:rFonts w:eastAsiaTheme="majorEastAsia"/>
                <w:sz w:val="20"/>
                <w:szCs w:val="20"/>
                <w:lang w:eastAsia="de-DE"/>
              </w:rPr>
              <w:footnoteReference w:id="101"/>
            </w:r>
            <w:r w:rsidRPr="00E50B51">
              <w:rPr>
                <w:sz w:val="20"/>
                <w:szCs w:val="20"/>
                <w:lang w:eastAsia="de-DE"/>
              </w:rPr>
              <w:t>) verstoßen zu haben</w:t>
            </w:r>
            <w:r>
              <w:rPr>
                <w:sz w:val="20"/>
                <w:szCs w:val="20"/>
                <w:lang w:eastAsia="de-DE"/>
              </w:rPr>
              <w:t xml:space="preserve">: Die </w:t>
            </w:r>
            <w:r w:rsidRPr="00E50B51">
              <w:rPr>
                <w:sz w:val="20"/>
                <w:szCs w:val="20"/>
                <w:lang w:eastAsia="de-DE"/>
              </w:rPr>
              <w:t xml:space="preserve">Exporteure </w:t>
            </w:r>
            <w:r>
              <w:rPr>
                <w:sz w:val="20"/>
                <w:szCs w:val="20"/>
                <w:lang w:eastAsia="de-DE"/>
              </w:rPr>
              <w:t xml:space="preserve">hatten </w:t>
            </w:r>
            <w:r w:rsidRPr="00E50B51">
              <w:rPr>
                <w:sz w:val="20"/>
                <w:szCs w:val="20"/>
                <w:lang w:eastAsia="de-DE"/>
              </w:rPr>
              <w:t>ein Versicherungszertifikat für Seetransport an eine außerstaatliche Seeversicherungsgesellschaft weiter</w:t>
            </w:r>
            <w:r>
              <w:rPr>
                <w:sz w:val="20"/>
                <w:szCs w:val="20"/>
                <w:lang w:eastAsia="de-DE"/>
              </w:rPr>
              <w:t>gegeben, obwohl d</w:t>
            </w:r>
            <w:r w:rsidRPr="00E50B51">
              <w:rPr>
                <w:sz w:val="20"/>
                <w:szCs w:val="20"/>
                <w:lang w:eastAsia="de-DE"/>
              </w:rPr>
              <w:t>as Versicherungszertifikat z.B. über Belegenheitsorte von Versicherungsobjekte</w:t>
            </w:r>
            <w:r>
              <w:rPr>
                <w:sz w:val="20"/>
                <w:szCs w:val="20"/>
                <w:lang w:eastAsia="de-DE"/>
              </w:rPr>
              <w:t>n</w:t>
            </w:r>
            <w:r w:rsidRPr="00E50B51">
              <w:rPr>
                <w:sz w:val="20"/>
                <w:szCs w:val="20"/>
                <w:lang w:eastAsia="de-DE"/>
              </w:rPr>
              <w:t xml:space="preserve"> im Bundesstaat Lou</w:t>
            </w:r>
            <w:r>
              <w:rPr>
                <w:sz w:val="20"/>
                <w:szCs w:val="20"/>
                <w:lang w:eastAsia="de-DE"/>
              </w:rPr>
              <w:t>i</w:t>
            </w:r>
            <w:r w:rsidRPr="00E50B51">
              <w:rPr>
                <w:sz w:val="20"/>
                <w:szCs w:val="20"/>
                <w:lang w:eastAsia="de-DE"/>
              </w:rPr>
              <w:t>siana</w:t>
            </w:r>
            <w:r>
              <w:rPr>
                <w:sz w:val="20"/>
                <w:szCs w:val="20"/>
                <w:lang w:eastAsia="de-DE"/>
              </w:rPr>
              <w:t xml:space="preserve"> informierte.</w:t>
            </w:r>
            <w:r w:rsidRPr="00E50B51">
              <w:rPr>
                <w:sz w:val="20"/>
                <w:szCs w:val="20"/>
                <w:lang w:eastAsia="de-DE"/>
              </w:rPr>
              <w:t xml:space="preserve"> </w:t>
            </w:r>
            <w:r>
              <w:rPr>
                <w:sz w:val="20"/>
                <w:szCs w:val="20"/>
                <w:lang w:eastAsia="de-DE"/>
              </w:rPr>
              <w:t>Doch das</w:t>
            </w:r>
            <w:r w:rsidRPr="00E50B51">
              <w:rPr>
                <w:sz w:val="20"/>
                <w:szCs w:val="20"/>
                <w:lang w:eastAsia="de-DE"/>
              </w:rPr>
              <w:t xml:space="preserve"> Gesetz verbot</w:t>
            </w:r>
            <w:r>
              <w:rPr>
                <w:sz w:val="20"/>
                <w:szCs w:val="20"/>
                <w:lang w:eastAsia="de-DE"/>
              </w:rPr>
              <w:t xml:space="preserve"> es, </w:t>
            </w:r>
            <w:r w:rsidRPr="00E50B51">
              <w:rPr>
                <w:sz w:val="20"/>
                <w:szCs w:val="20"/>
                <w:lang w:eastAsia="de-DE"/>
              </w:rPr>
              <w:t>mit Seeversicherungsgesellschaft</w:t>
            </w:r>
            <w:r>
              <w:rPr>
                <w:sz w:val="20"/>
                <w:szCs w:val="20"/>
                <w:lang w:eastAsia="de-DE"/>
              </w:rPr>
              <w:t xml:space="preserve">en </w:t>
            </w:r>
            <w:r w:rsidRPr="00E50B51">
              <w:rPr>
                <w:sz w:val="20"/>
                <w:szCs w:val="20"/>
                <w:lang w:eastAsia="de-DE"/>
              </w:rPr>
              <w:t>Handel zu treiben, soweit diese nicht bundesstaatlichen Gesetze entsprechen bzw. sich an diese halten müssen</w:t>
            </w:r>
            <w:r>
              <w:rPr>
                <w:sz w:val="20"/>
                <w:szCs w:val="20"/>
                <w:lang w:eastAsia="de-DE"/>
              </w:rPr>
              <w:t>. D</w:t>
            </w:r>
            <w:r w:rsidRPr="00E50B51">
              <w:rPr>
                <w:sz w:val="20"/>
                <w:szCs w:val="20"/>
                <w:lang w:eastAsia="de-DE"/>
              </w:rPr>
              <w:t>arunter f</w:t>
            </w:r>
            <w:r>
              <w:rPr>
                <w:sz w:val="20"/>
                <w:szCs w:val="20"/>
                <w:lang w:eastAsia="de-DE"/>
              </w:rPr>
              <w:t>ielen auch</w:t>
            </w:r>
            <w:r w:rsidRPr="00E50B51">
              <w:rPr>
                <w:sz w:val="20"/>
                <w:szCs w:val="20"/>
                <w:lang w:eastAsia="de-DE"/>
              </w:rPr>
              <w:t xml:space="preserve"> außerstaatliche Seeversicherungsgesellschaft</w:t>
            </w:r>
            <w:r>
              <w:rPr>
                <w:sz w:val="20"/>
                <w:szCs w:val="20"/>
                <w:lang w:eastAsia="de-DE"/>
              </w:rPr>
              <w:t>en</w:t>
            </w:r>
            <w:r w:rsidRPr="00E50B51">
              <w:rPr>
                <w:sz w:val="20"/>
                <w:szCs w:val="20"/>
                <w:lang w:eastAsia="de-DE"/>
              </w:rPr>
              <w:t xml:space="preserve">. Der </w:t>
            </w:r>
            <w:r>
              <w:rPr>
                <w:sz w:val="20"/>
                <w:szCs w:val="20"/>
                <w:lang w:eastAsia="de-DE"/>
              </w:rPr>
              <w:t>U.S. Supreme Court</w:t>
            </w:r>
            <w:r w:rsidRPr="00E50B51">
              <w:rPr>
                <w:sz w:val="20"/>
                <w:szCs w:val="20"/>
                <w:lang w:eastAsia="de-DE"/>
              </w:rPr>
              <w:t xml:space="preserve"> entschied</w:t>
            </w:r>
            <w:r>
              <w:rPr>
                <w:sz w:val="20"/>
                <w:szCs w:val="20"/>
                <w:lang w:eastAsia="de-DE"/>
              </w:rPr>
              <w:t xml:space="preserve"> demgegenüber</w:t>
            </w:r>
            <w:r w:rsidRPr="00E50B51">
              <w:rPr>
                <w:sz w:val="20"/>
                <w:szCs w:val="20"/>
                <w:lang w:eastAsia="de-DE"/>
              </w:rPr>
              <w:t xml:space="preserve">: Zwar habe ein Bundesstaat die Kompetenz, Vertragsabschlüsse auf seinem Gebiet zu verbieten. Aber diese Kompetenz reiche nicht </w:t>
            </w:r>
            <w:r>
              <w:rPr>
                <w:sz w:val="20"/>
                <w:szCs w:val="20"/>
                <w:lang w:eastAsia="de-DE"/>
              </w:rPr>
              <w:t>so weit</w:t>
            </w:r>
            <w:r w:rsidRPr="00E50B51">
              <w:rPr>
                <w:sz w:val="20"/>
                <w:szCs w:val="20"/>
                <w:lang w:eastAsia="de-DE"/>
              </w:rPr>
              <w:t xml:space="preserve">, Bürgern </w:t>
            </w:r>
            <w:r>
              <w:rPr>
                <w:sz w:val="20"/>
                <w:szCs w:val="20"/>
                <w:lang w:eastAsia="de-DE"/>
              </w:rPr>
              <w:t xml:space="preserve">den Abschluss von </w:t>
            </w:r>
            <w:r w:rsidRPr="00E50B51">
              <w:rPr>
                <w:sz w:val="20"/>
                <w:szCs w:val="20"/>
                <w:lang w:eastAsia="de-DE"/>
              </w:rPr>
              <w:t>Verträge</w:t>
            </w:r>
            <w:r>
              <w:rPr>
                <w:sz w:val="20"/>
                <w:szCs w:val="20"/>
                <w:lang w:eastAsia="de-DE"/>
              </w:rPr>
              <w:t>n</w:t>
            </w:r>
            <w:r w:rsidRPr="00E50B51">
              <w:rPr>
                <w:sz w:val="20"/>
                <w:szCs w:val="20"/>
                <w:lang w:eastAsia="de-DE"/>
              </w:rPr>
              <w:t xml:space="preserve"> außerhalb des bundesstaatlichen Gebiets zu untersagen. D.h. es liege außerhalb der Kompetenz, den Handel mit Seeversicherungsgesellschaft</w:t>
            </w:r>
            <w:r>
              <w:rPr>
                <w:sz w:val="20"/>
                <w:szCs w:val="20"/>
                <w:lang w:eastAsia="de-DE"/>
              </w:rPr>
              <w:t>en</w:t>
            </w:r>
            <w:r w:rsidRPr="00E50B51">
              <w:rPr>
                <w:sz w:val="20"/>
                <w:szCs w:val="20"/>
                <w:lang w:eastAsia="de-DE"/>
              </w:rPr>
              <w:t xml:space="preserve"> zu verbieten, obwohl diese bundesstaatlichen Gesetze nicht entsprechen müssen. Hier dürfe also ein Bundesstaat Bürgern nicht verbieten, Versicherungszertifikat</w:t>
            </w:r>
            <w:r>
              <w:rPr>
                <w:sz w:val="20"/>
                <w:szCs w:val="20"/>
                <w:lang w:eastAsia="de-DE"/>
              </w:rPr>
              <w:t>e</w:t>
            </w:r>
            <w:r w:rsidRPr="00E50B51">
              <w:rPr>
                <w:sz w:val="20"/>
                <w:szCs w:val="20"/>
                <w:lang w:eastAsia="de-DE"/>
              </w:rPr>
              <w:t xml:space="preserve"> weiterzugeben – auch wenn dadurch Informationen über Versicherungsobjekte auf dem Gebiet des Bundesstaats betroffen seien.</w:t>
            </w:r>
          </w:p>
          <w:p w14:paraId="7970AAE9" w14:textId="77777777" w:rsidR="00074551" w:rsidRPr="00E50B51" w:rsidRDefault="00074551" w:rsidP="00367133">
            <w:pPr>
              <w:jc w:val="both"/>
              <w:rPr>
                <w:sz w:val="20"/>
                <w:szCs w:val="20"/>
              </w:rPr>
            </w:pPr>
          </w:p>
        </w:tc>
        <w:tc>
          <w:tcPr>
            <w:tcW w:w="1822" w:type="pct"/>
          </w:tcPr>
          <w:p w14:paraId="7259B5F3" w14:textId="77777777" w:rsidR="000745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schreibt zur </w:t>
            </w:r>
            <w:proofErr w:type="spellStart"/>
            <w:r w:rsidRPr="00A142D9">
              <w:rPr>
                <w:i/>
                <w:sz w:val="20"/>
                <w:szCs w:val="20"/>
              </w:rPr>
              <w:t>Contract</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wenn Personen Verträge innerhalb der Gerichtsbarkeit des Bundesstaats ausführ</w:t>
            </w:r>
            <w:r>
              <w:rPr>
                <w:sz w:val="20"/>
                <w:szCs w:val="20"/>
              </w:rPr>
              <w:t>t</w:t>
            </w:r>
            <w:r w:rsidRPr="00E50B51">
              <w:rPr>
                <w:sz w:val="20"/>
                <w:szCs w:val="20"/>
              </w:rPr>
              <w:t xml:space="preserve">en und die Verträge den einfachen Gesetzen </w:t>
            </w:r>
            <w:r>
              <w:rPr>
                <w:sz w:val="20"/>
                <w:szCs w:val="20"/>
              </w:rPr>
              <w:t xml:space="preserve">zuwiderliefen, </w:t>
            </w:r>
            <w:r w:rsidRPr="00E50B51">
              <w:rPr>
                <w:sz w:val="20"/>
                <w:szCs w:val="20"/>
              </w:rPr>
              <w:t xml:space="preserve">dann </w:t>
            </w:r>
            <w:r>
              <w:rPr>
                <w:sz w:val="20"/>
                <w:szCs w:val="20"/>
              </w:rPr>
              <w:t>könne</w:t>
            </w:r>
            <w:r w:rsidRPr="00E50B51">
              <w:rPr>
                <w:sz w:val="20"/>
                <w:szCs w:val="20"/>
              </w:rPr>
              <w:t xml:space="preserve"> ein Bundesstaat Verträge über Eigentum regulieren und im äußersten Fall verbieten. Doch wenn eine Person außerhalb der bundesstaatlichen Gerichtsbarkeit einen Vertrag abgeschlossen ha</w:t>
            </w:r>
            <w:r>
              <w:rPr>
                <w:sz w:val="20"/>
                <w:szCs w:val="20"/>
              </w:rPr>
              <w:t>be</w:t>
            </w:r>
            <w:r w:rsidRPr="00E50B51">
              <w:rPr>
                <w:sz w:val="20"/>
                <w:szCs w:val="20"/>
              </w:rPr>
              <w:t xml:space="preserve"> oder dort ausführ</w:t>
            </w:r>
            <w:r>
              <w:rPr>
                <w:sz w:val="20"/>
                <w:szCs w:val="20"/>
              </w:rPr>
              <w:t>e</w:t>
            </w:r>
            <w:r w:rsidRPr="00E50B51">
              <w:rPr>
                <w:sz w:val="20"/>
                <w:szCs w:val="20"/>
              </w:rPr>
              <w:t>, dann reich</w:t>
            </w:r>
            <w:r>
              <w:rPr>
                <w:sz w:val="20"/>
                <w:szCs w:val="20"/>
              </w:rPr>
              <w:t>e</w:t>
            </w:r>
            <w:r w:rsidRPr="00E50B51">
              <w:rPr>
                <w:sz w:val="20"/>
                <w:szCs w:val="20"/>
              </w:rPr>
              <w:t xml:space="preserve"> </w:t>
            </w:r>
            <w:r>
              <w:rPr>
                <w:sz w:val="20"/>
                <w:szCs w:val="20"/>
              </w:rPr>
              <w:t>die bundesstaatliche</w:t>
            </w:r>
            <w:r w:rsidRPr="00E50B51">
              <w:rPr>
                <w:sz w:val="20"/>
                <w:szCs w:val="20"/>
              </w:rPr>
              <w:t xml:space="preserve"> Kompetenz nicht so</w:t>
            </w:r>
            <w:r>
              <w:rPr>
                <w:sz w:val="20"/>
                <w:szCs w:val="20"/>
              </w:rPr>
              <w:t xml:space="preserve"> </w:t>
            </w:r>
            <w:r w:rsidRPr="00E50B51">
              <w:rPr>
                <w:sz w:val="20"/>
                <w:szCs w:val="20"/>
              </w:rPr>
              <w:t xml:space="preserve">weit, diese Verträge zu verbieten. Zum Beispiel </w:t>
            </w:r>
            <w:r>
              <w:rPr>
                <w:sz w:val="20"/>
                <w:szCs w:val="20"/>
              </w:rPr>
              <w:t>könne</w:t>
            </w:r>
            <w:r w:rsidRPr="00E50B51">
              <w:rPr>
                <w:sz w:val="20"/>
                <w:szCs w:val="20"/>
              </w:rPr>
              <w:t xml:space="preserve"> der Bundesstaat einer Gesellschaft mit Sitz im Bundesstaat nicht verbieten, eine Mitteilung über Versicherungsobjekte mit Belegenheitsort im Bundesstaat vorzunehmen, soweit diese Gesellschaft </w:t>
            </w:r>
            <w:r>
              <w:rPr>
                <w:sz w:val="20"/>
                <w:szCs w:val="20"/>
              </w:rPr>
              <w:t xml:space="preserve">selbst </w:t>
            </w:r>
            <w:r w:rsidRPr="00E50B51">
              <w:rPr>
                <w:sz w:val="20"/>
                <w:szCs w:val="20"/>
              </w:rPr>
              <w:t>den einfachen Gesetzen des Bundesstaats entspreche</w:t>
            </w:r>
            <w:r>
              <w:rPr>
                <w:sz w:val="20"/>
                <w:szCs w:val="20"/>
              </w:rPr>
              <w:t xml:space="preserve">. Und </w:t>
            </w:r>
            <w:r w:rsidRPr="00E50B51">
              <w:rPr>
                <w:sz w:val="20"/>
                <w:szCs w:val="20"/>
              </w:rPr>
              <w:t xml:space="preserve">das </w:t>
            </w:r>
            <w:r>
              <w:rPr>
                <w:sz w:val="20"/>
                <w:szCs w:val="20"/>
              </w:rPr>
              <w:t>gelte</w:t>
            </w:r>
            <w:r w:rsidRPr="00E50B51">
              <w:rPr>
                <w:sz w:val="20"/>
                <w:szCs w:val="20"/>
              </w:rPr>
              <w:t xml:space="preserve"> auch, wenn die Mitteilung zum Abschluss eines Vertrags über ein Objekt innerhalb der bundesstaatlichen Grenzen mit einer ausländischen Gesellschaft führ</w:t>
            </w:r>
            <w:r>
              <w:rPr>
                <w:sz w:val="20"/>
                <w:szCs w:val="20"/>
              </w:rPr>
              <w:t>e</w:t>
            </w:r>
            <w:r w:rsidRPr="00E50B51">
              <w:rPr>
                <w:sz w:val="20"/>
                <w:szCs w:val="20"/>
              </w:rPr>
              <w:t xml:space="preserve">, die aber die Gesetze des Bundesstaats nicht </w:t>
            </w:r>
            <w:r>
              <w:rPr>
                <w:sz w:val="20"/>
                <w:szCs w:val="20"/>
              </w:rPr>
              <w:t>einhalte</w:t>
            </w:r>
            <w:r w:rsidRPr="00E50B51">
              <w:rPr>
                <w:sz w:val="20"/>
                <w:szCs w:val="20"/>
              </w:rPr>
              <w:t>.</w:t>
            </w:r>
            <w:r w:rsidRPr="00E50B51">
              <w:rPr>
                <w:rStyle w:val="Funotenzeichen"/>
                <w:rFonts w:eastAsiaTheme="majorEastAsia"/>
                <w:sz w:val="20"/>
                <w:szCs w:val="20"/>
              </w:rPr>
              <w:footnoteReference w:id="102"/>
            </w:r>
            <w:r w:rsidRPr="00E50B51">
              <w:rPr>
                <w:sz w:val="20"/>
                <w:szCs w:val="20"/>
              </w:rPr>
              <w:t xml:space="preserve"> </w:t>
            </w:r>
          </w:p>
          <w:p w14:paraId="76A612C0" w14:textId="77777777" w:rsidR="00074551" w:rsidRDefault="00074551" w:rsidP="00367133">
            <w:pPr>
              <w:jc w:val="both"/>
              <w:rPr>
                <w:sz w:val="20"/>
                <w:szCs w:val="20"/>
              </w:rPr>
            </w:pPr>
          </w:p>
          <w:p w14:paraId="5D69DF79" w14:textId="7C5CDC2E" w:rsidR="00074551" w:rsidRPr="00E50B51" w:rsidRDefault="00074551" w:rsidP="00367133">
            <w:pPr>
              <w:jc w:val="both"/>
              <w:rPr>
                <w:sz w:val="20"/>
                <w:szCs w:val="20"/>
              </w:rPr>
            </w:pPr>
            <w:r w:rsidRPr="00E50B51">
              <w:rPr>
                <w:sz w:val="20"/>
                <w:szCs w:val="20"/>
              </w:rPr>
              <w:t xml:space="preserve">Dieses Ergebnis verknüpft sich normativ mit dem weiten Freiheitsbegriff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als eine Bedingung für Glücksstreben. Der Freiheitsbegriff präge sich negativ und positiv. Er umfasse – negativ – den Schutz vor Freiheitsentziehung und -beschränkung. </w:t>
            </w:r>
            <w:r>
              <w:rPr>
                <w:sz w:val="20"/>
                <w:szCs w:val="20"/>
              </w:rPr>
              <w:t>Gleichzeitig</w:t>
            </w:r>
            <w:r w:rsidRPr="00E50B51">
              <w:rPr>
                <w:sz w:val="20"/>
                <w:szCs w:val="20"/>
              </w:rPr>
              <w:t xml:space="preserve"> beinhalte er – positiv –die Persönlichkeitsfreiheit, d.h. </w:t>
            </w:r>
            <w:r>
              <w:rPr>
                <w:sz w:val="20"/>
                <w:szCs w:val="20"/>
              </w:rPr>
              <w:t xml:space="preserve">das Recht, </w:t>
            </w:r>
            <w:r w:rsidRPr="00E50B51">
              <w:rPr>
                <w:sz w:val="20"/>
                <w:szCs w:val="20"/>
              </w:rPr>
              <w:t>die Persönlichkeit zu entwickeln und auszudrücken, die Freizügigkeit wahrzunehmen, von der Berufswahlfreiheit und -</w:t>
            </w:r>
            <w:proofErr w:type="spellStart"/>
            <w:r w:rsidRPr="00E50B51">
              <w:rPr>
                <w:sz w:val="20"/>
                <w:szCs w:val="20"/>
              </w:rPr>
              <w:t>ausübungsfreiheit</w:t>
            </w:r>
            <w:proofErr w:type="spellEnd"/>
            <w:r w:rsidRPr="00E50B51">
              <w:rPr>
                <w:sz w:val="20"/>
                <w:szCs w:val="20"/>
              </w:rPr>
              <w:t xml:space="preserve"> </w:t>
            </w:r>
            <w:r>
              <w:rPr>
                <w:sz w:val="20"/>
                <w:szCs w:val="20"/>
              </w:rPr>
              <w:t>Gebrauch</w:t>
            </w:r>
            <w:r w:rsidRPr="00E50B51">
              <w:rPr>
                <w:sz w:val="20"/>
                <w:szCs w:val="20"/>
              </w:rPr>
              <w:t xml:space="preserve"> zu machen sowie dazu die Vertragsfreiheit nutzen zu können, die für alle positiven Freiheiten wesentlich sei („</w:t>
            </w:r>
            <w:proofErr w:type="spellStart"/>
            <w:r w:rsidRPr="00E50B51">
              <w:rPr>
                <w:sz w:val="20"/>
                <w:szCs w:val="20"/>
              </w:rPr>
              <w:t>purpose</w:t>
            </w:r>
            <w:proofErr w:type="spellEnd"/>
            <w:r w:rsidRPr="00E50B51">
              <w:rPr>
                <w:sz w:val="20"/>
                <w:szCs w:val="20"/>
              </w:rPr>
              <w:t xml:space="preserve"> to </w:t>
            </w:r>
            <w:proofErr w:type="spellStart"/>
            <w:r w:rsidRPr="00E50B51">
              <w:rPr>
                <w:sz w:val="20"/>
                <w:szCs w:val="20"/>
              </w:rPr>
              <w:t>enter</w:t>
            </w:r>
            <w:proofErr w:type="spellEnd"/>
            <w:r w:rsidRPr="00E50B51">
              <w:rPr>
                <w:sz w:val="20"/>
                <w:szCs w:val="20"/>
              </w:rPr>
              <w:t xml:space="preserve"> </w:t>
            </w:r>
            <w:proofErr w:type="spellStart"/>
            <w:r w:rsidRPr="00E50B51">
              <w:rPr>
                <w:sz w:val="20"/>
                <w:szCs w:val="20"/>
              </w:rPr>
              <w:t>into</w:t>
            </w:r>
            <w:proofErr w:type="spellEnd"/>
            <w:r w:rsidRPr="00E50B51">
              <w:rPr>
                <w:sz w:val="20"/>
                <w:szCs w:val="20"/>
              </w:rPr>
              <w:t xml:space="preserve"> all </w:t>
            </w:r>
            <w:proofErr w:type="spellStart"/>
            <w:r w:rsidRPr="00E50B51">
              <w:rPr>
                <w:sz w:val="20"/>
                <w:szCs w:val="20"/>
              </w:rPr>
              <w:t>contracts</w:t>
            </w:r>
            <w:proofErr w:type="spellEnd"/>
            <w:r w:rsidRPr="00E50B51">
              <w:rPr>
                <w:sz w:val="20"/>
                <w:szCs w:val="20"/>
              </w:rPr>
              <w:t xml:space="preserve"> </w:t>
            </w:r>
            <w:proofErr w:type="spellStart"/>
            <w:r w:rsidRPr="00E50B51">
              <w:rPr>
                <w:sz w:val="20"/>
                <w:szCs w:val="20"/>
              </w:rPr>
              <w:t>which</w:t>
            </w:r>
            <w:proofErr w:type="spellEnd"/>
            <w:r w:rsidRPr="00E50B51">
              <w:rPr>
                <w:sz w:val="20"/>
                <w:szCs w:val="20"/>
              </w:rPr>
              <w:t xml:space="preserve"> </w:t>
            </w:r>
            <w:proofErr w:type="spellStart"/>
            <w:r w:rsidRPr="00E50B51">
              <w:rPr>
                <w:sz w:val="20"/>
                <w:szCs w:val="20"/>
              </w:rPr>
              <w:t>may</w:t>
            </w:r>
            <w:proofErr w:type="spellEnd"/>
            <w:r w:rsidRPr="00E50B51">
              <w:rPr>
                <w:sz w:val="20"/>
                <w:szCs w:val="20"/>
              </w:rPr>
              <w:t xml:space="preserve"> </w:t>
            </w:r>
            <w:proofErr w:type="spellStart"/>
            <w:r w:rsidRPr="00E50B51">
              <w:rPr>
                <w:sz w:val="20"/>
                <w:szCs w:val="20"/>
              </w:rPr>
              <w:t>be</w:t>
            </w:r>
            <w:proofErr w:type="spellEnd"/>
            <w:r w:rsidRPr="00E50B51">
              <w:rPr>
                <w:sz w:val="20"/>
                <w:szCs w:val="20"/>
              </w:rPr>
              <w:t xml:space="preserve"> proper, </w:t>
            </w:r>
            <w:proofErr w:type="spellStart"/>
            <w:r w:rsidRPr="00E50B51">
              <w:rPr>
                <w:sz w:val="20"/>
                <w:szCs w:val="20"/>
              </w:rPr>
              <w:t>necessary</w:t>
            </w:r>
            <w:proofErr w:type="spellEnd"/>
            <w:r w:rsidRPr="00E50B51">
              <w:rPr>
                <w:sz w:val="20"/>
                <w:szCs w:val="20"/>
              </w:rPr>
              <w:t xml:space="preserve"> and essential to </w:t>
            </w:r>
            <w:proofErr w:type="spellStart"/>
            <w:r w:rsidRPr="00E50B51">
              <w:rPr>
                <w:sz w:val="20"/>
                <w:szCs w:val="20"/>
              </w:rPr>
              <w:t>his</w:t>
            </w:r>
            <w:proofErr w:type="spellEnd"/>
            <w:r w:rsidRPr="00E50B51">
              <w:rPr>
                <w:sz w:val="20"/>
                <w:szCs w:val="20"/>
              </w:rPr>
              <w:t xml:space="preserve"> </w:t>
            </w:r>
            <w:proofErr w:type="spellStart"/>
            <w:r w:rsidRPr="00E50B51">
              <w:rPr>
                <w:sz w:val="20"/>
                <w:szCs w:val="20"/>
              </w:rPr>
              <w:t>carrying</w:t>
            </w:r>
            <w:proofErr w:type="spellEnd"/>
            <w:r w:rsidRPr="00E50B51">
              <w:rPr>
                <w:sz w:val="20"/>
                <w:szCs w:val="20"/>
              </w:rPr>
              <w:t xml:space="preserve"> out to a </w:t>
            </w:r>
            <w:proofErr w:type="spellStart"/>
            <w:r w:rsidRPr="00E50B51">
              <w:rPr>
                <w:sz w:val="20"/>
                <w:szCs w:val="20"/>
              </w:rPr>
              <w:t>successful</w:t>
            </w:r>
            <w:proofErr w:type="spellEnd"/>
            <w:r w:rsidRPr="00E50B51">
              <w:rPr>
                <w:sz w:val="20"/>
                <w:szCs w:val="20"/>
              </w:rPr>
              <w:t xml:space="preserve"> </w:t>
            </w:r>
            <w:proofErr w:type="spellStart"/>
            <w:r w:rsidRPr="00E50B51">
              <w:rPr>
                <w:sz w:val="20"/>
                <w:szCs w:val="20"/>
              </w:rPr>
              <w:t>conclusion</w:t>
            </w:r>
            <w:proofErr w:type="spellEnd"/>
            <w:r w:rsidRPr="00E50B51">
              <w:rPr>
                <w:sz w:val="20"/>
                <w:szCs w:val="20"/>
              </w:rPr>
              <w:t xml:space="preserve"> the </w:t>
            </w:r>
            <w:proofErr w:type="spellStart"/>
            <w:r w:rsidRPr="00E50B51">
              <w:rPr>
                <w:sz w:val="20"/>
                <w:szCs w:val="20"/>
              </w:rPr>
              <w:t>purposes</w:t>
            </w:r>
            <w:proofErr w:type="spellEnd"/>
            <w:r w:rsidRPr="00E50B51">
              <w:rPr>
                <w:sz w:val="20"/>
                <w:szCs w:val="20"/>
              </w:rPr>
              <w:t xml:space="preserve"> </w:t>
            </w:r>
            <w:proofErr w:type="spellStart"/>
            <w:r w:rsidRPr="00E50B51">
              <w:rPr>
                <w:sz w:val="20"/>
                <w:szCs w:val="20"/>
              </w:rPr>
              <w:t>above</w:t>
            </w:r>
            <w:proofErr w:type="spellEnd"/>
            <w:r w:rsidRPr="00E50B51">
              <w:rPr>
                <w:sz w:val="20"/>
                <w:szCs w:val="20"/>
              </w:rPr>
              <w:t xml:space="preserve"> </w:t>
            </w:r>
            <w:proofErr w:type="spellStart"/>
            <w:r w:rsidRPr="00E50B51">
              <w:rPr>
                <w:sz w:val="20"/>
                <w:szCs w:val="20"/>
              </w:rPr>
              <w:t>mentione</w:t>
            </w:r>
            <w:r w:rsidRPr="00FF5651">
              <w:rPr>
                <w:sz w:val="20"/>
                <w:szCs w:val="20"/>
              </w:rPr>
              <w:t>d</w:t>
            </w:r>
            <w:proofErr w:type="spellEnd"/>
            <w:r w:rsidRPr="00FF5651">
              <w:rPr>
                <w:sz w:val="20"/>
                <w:szCs w:val="20"/>
              </w:rPr>
              <w:t>“</w:t>
            </w:r>
            <w:r w:rsidRPr="00FF5651">
              <w:rPr>
                <w:rStyle w:val="Funotenzeichen"/>
                <w:sz w:val="20"/>
                <w:szCs w:val="20"/>
              </w:rPr>
              <w:footnoteReference w:id="103"/>
            </w:r>
            <w:r w:rsidRPr="00FF5651">
              <w:rPr>
                <w:sz w:val="20"/>
                <w:szCs w:val="20"/>
              </w:rPr>
              <w:t>).</w:t>
            </w:r>
            <w:r w:rsidRPr="00E50B51">
              <w:rPr>
                <w:sz w:val="20"/>
                <w:szCs w:val="20"/>
              </w:rPr>
              <w:t xml:space="preserve"> Diese Ausprägungen des Freiheitsbegriffs seien im Wesentlichen unveräußerliche Rechte. Das belegte der </w:t>
            </w:r>
            <w:r>
              <w:rPr>
                <w:sz w:val="20"/>
                <w:szCs w:val="20"/>
              </w:rPr>
              <w:t>U.S. Supreme Court</w:t>
            </w:r>
            <w:r w:rsidRPr="00E50B51">
              <w:rPr>
                <w:sz w:val="20"/>
                <w:szCs w:val="20"/>
              </w:rPr>
              <w:t xml:space="preserve"> am Beispiel der Berufswahlfreiheit und -</w:t>
            </w:r>
            <w:proofErr w:type="spellStart"/>
            <w:r w:rsidRPr="00E50B51">
              <w:rPr>
                <w:sz w:val="20"/>
                <w:szCs w:val="20"/>
              </w:rPr>
              <w:t>ausübungsfreiheit</w:t>
            </w:r>
            <w:proofErr w:type="spellEnd"/>
            <w:r w:rsidRPr="00E50B51">
              <w:rPr>
                <w:sz w:val="20"/>
                <w:szCs w:val="20"/>
              </w:rPr>
              <w:t>. Denn diese stelle sich als Bedingung dar, die notwendig sei, um nach Glück streben zu können („</w:t>
            </w:r>
            <w:r>
              <w:rPr>
                <w:sz w:val="20"/>
                <w:szCs w:val="20"/>
              </w:rPr>
              <w:t xml:space="preserve">the </w:t>
            </w:r>
            <w:proofErr w:type="spellStart"/>
            <w:r w:rsidRPr="00E50B51">
              <w:rPr>
                <w:sz w:val="20"/>
                <w:szCs w:val="20"/>
              </w:rPr>
              <w:t>right</w:t>
            </w:r>
            <w:proofErr w:type="spellEnd"/>
            <w:r w:rsidRPr="00E50B51">
              <w:rPr>
                <w:sz w:val="20"/>
                <w:szCs w:val="20"/>
              </w:rPr>
              <w:t xml:space="preserve"> to follow </w:t>
            </w:r>
            <w:proofErr w:type="spellStart"/>
            <w:r w:rsidRPr="00E50B51">
              <w:rPr>
                <w:sz w:val="20"/>
                <w:szCs w:val="20"/>
              </w:rPr>
              <w:t>any</w:t>
            </w:r>
            <w:proofErr w:type="spellEnd"/>
            <w:r w:rsidRPr="00E50B51">
              <w:rPr>
                <w:sz w:val="20"/>
                <w:szCs w:val="20"/>
              </w:rPr>
              <w:t xml:space="preserve"> of the </w:t>
            </w:r>
            <w:proofErr w:type="spellStart"/>
            <w:r w:rsidRPr="00E50B51">
              <w:rPr>
                <w:sz w:val="20"/>
                <w:szCs w:val="20"/>
              </w:rPr>
              <w:t>common</w:t>
            </w:r>
            <w:proofErr w:type="spellEnd"/>
            <w:r w:rsidRPr="00E50B51">
              <w:rPr>
                <w:sz w:val="20"/>
                <w:szCs w:val="20"/>
              </w:rPr>
              <w:t xml:space="preserve"> </w:t>
            </w:r>
            <w:proofErr w:type="spellStart"/>
            <w:r w:rsidRPr="00E50B51">
              <w:rPr>
                <w:sz w:val="20"/>
                <w:szCs w:val="20"/>
              </w:rPr>
              <w:t>occupations</w:t>
            </w:r>
            <w:proofErr w:type="spellEnd"/>
            <w:r w:rsidRPr="00E50B51">
              <w:rPr>
                <w:sz w:val="20"/>
                <w:szCs w:val="20"/>
              </w:rPr>
              <w:t xml:space="preserve"> of </w:t>
            </w:r>
            <w:proofErr w:type="spellStart"/>
            <w:r w:rsidRPr="00E50B51">
              <w:rPr>
                <w:sz w:val="20"/>
                <w:szCs w:val="20"/>
              </w:rPr>
              <w:t>life</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an </w:t>
            </w:r>
            <w:proofErr w:type="spellStart"/>
            <w:r w:rsidRPr="00E50B51">
              <w:rPr>
                <w:sz w:val="20"/>
                <w:szCs w:val="20"/>
              </w:rPr>
              <w:t>inalienable</w:t>
            </w:r>
            <w:proofErr w:type="spellEnd"/>
            <w:r w:rsidRPr="00E50B51">
              <w:rPr>
                <w:sz w:val="20"/>
                <w:szCs w:val="20"/>
              </w:rPr>
              <w:t xml:space="preserve"> </w:t>
            </w:r>
            <w:proofErr w:type="spellStart"/>
            <w:r w:rsidRPr="00E50B51">
              <w:rPr>
                <w:sz w:val="20"/>
                <w:szCs w:val="20"/>
              </w:rPr>
              <w:t>right</w:t>
            </w:r>
            <w:proofErr w:type="spellEnd"/>
            <w:r w:rsidRPr="00E50B51">
              <w:rPr>
                <w:sz w:val="20"/>
                <w:szCs w:val="20"/>
              </w:rPr>
              <w:t xml:space="preserve">. </w:t>
            </w:r>
            <w:r w:rsidRPr="00E50B51">
              <w:rPr>
                <w:sz w:val="20"/>
                <w:szCs w:val="20"/>
                <w:lang w:val="en-US"/>
              </w:rPr>
              <w:t xml:space="preserve">It was formulated as such under the </w:t>
            </w:r>
            <w:proofErr w:type="gramStart"/>
            <w:r w:rsidRPr="00E50B51">
              <w:rPr>
                <w:sz w:val="20"/>
                <w:szCs w:val="20"/>
                <w:lang w:val="en-US"/>
              </w:rPr>
              <w:t xml:space="preserve">phrase </w:t>
            </w:r>
            <w:r>
              <w:rPr>
                <w:sz w:val="20"/>
                <w:szCs w:val="20"/>
                <w:lang w:val="en-US"/>
              </w:rPr>
              <w:t>,</w:t>
            </w:r>
            <w:r w:rsidRPr="00E50B51">
              <w:rPr>
                <w:sz w:val="20"/>
                <w:szCs w:val="20"/>
                <w:lang w:val="en-US"/>
              </w:rPr>
              <w:t>pursuit</w:t>
            </w:r>
            <w:proofErr w:type="gramEnd"/>
            <w:r w:rsidRPr="00E50B51">
              <w:rPr>
                <w:sz w:val="20"/>
                <w:szCs w:val="20"/>
                <w:lang w:val="en-US"/>
              </w:rPr>
              <w:t xml:space="preserve"> of </w:t>
            </w:r>
            <w:proofErr w:type="gramStart"/>
            <w:r w:rsidRPr="00E50B51">
              <w:rPr>
                <w:sz w:val="20"/>
                <w:szCs w:val="20"/>
                <w:lang w:val="en-US"/>
              </w:rPr>
              <w:t>happiness</w:t>
            </w:r>
            <w:r>
              <w:rPr>
                <w:sz w:val="20"/>
                <w:szCs w:val="20"/>
                <w:lang w:val="en-US"/>
              </w:rPr>
              <w:t>‘</w:t>
            </w:r>
            <w:r w:rsidRPr="00E50B51">
              <w:rPr>
                <w:sz w:val="20"/>
                <w:szCs w:val="20"/>
                <w:lang w:val="en-US"/>
              </w:rPr>
              <w:t xml:space="preserve"> in</w:t>
            </w:r>
            <w:proofErr w:type="gramEnd"/>
            <w:r w:rsidRPr="00E50B51">
              <w:rPr>
                <w:sz w:val="20"/>
                <w:szCs w:val="20"/>
                <w:lang w:val="en-US"/>
              </w:rPr>
              <w:t xml:space="preserve"> the Declaration of </w:t>
            </w:r>
            <w:proofErr w:type="gramStart"/>
            <w:r w:rsidRPr="00E50B51">
              <w:rPr>
                <w:sz w:val="20"/>
                <w:szCs w:val="20"/>
                <w:lang w:val="en-US"/>
              </w:rPr>
              <w:t>Independence“</w:t>
            </w:r>
            <w:proofErr w:type="gramEnd"/>
            <w:r w:rsidRPr="00E50B51">
              <w:rPr>
                <w:rStyle w:val="Funotenzeichen"/>
                <w:rFonts w:eastAsiaTheme="majorEastAsia"/>
                <w:sz w:val="20"/>
                <w:szCs w:val="20"/>
                <w:lang w:val="en-US"/>
              </w:rPr>
              <w:footnoteReference w:id="104"/>
            </w:r>
            <w:r w:rsidRPr="00E50B51">
              <w:rPr>
                <w:sz w:val="20"/>
                <w:szCs w:val="20"/>
                <w:lang w:val="en-US"/>
              </w:rPr>
              <w:t xml:space="preserve">). </w:t>
            </w:r>
            <w:r w:rsidRPr="00E50B51">
              <w:rPr>
                <w:sz w:val="20"/>
                <w:szCs w:val="20"/>
              </w:rPr>
              <w:t>Dabei gehör</w:t>
            </w:r>
            <w:r>
              <w:rPr>
                <w:sz w:val="20"/>
                <w:szCs w:val="20"/>
              </w:rPr>
              <w:t>t</w:t>
            </w:r>
            <w:r w:rsidRPr="00E50B51">
              <w:rPr>
                <w:sz w:val="20"/>
                <w:szCs w:val="20"/>
              </w:rPr>
              <w:t>en diese Freiheitsausprägungen von ihrem Sinn und Zweck als Teil des Strebens nach Glück („</w:t>
            </w:r>
            <w:proofErr w:type="spellStart"/>
            <w:r w:rsidRPr="00E50B51">
              <w:rPr>
                <w:sz w:val="20"/>
                <w:szCs w:val="20"/>
              </w:rPr>
              <w:t>liberty</w:t>
            </w:r>
            <w:proofErr w:type="spellEnd"/>
            <w:r w:rsidRPr="00E50B51">
              <w:rPr>
                <w:sz w:val="20"/>
                <w:szCs w:val="20"/>
              </w:rPr>
              <w:t xml:space="preserve"> of </w:t>
            </w:r>
            <w:proofErr w:type="spellStart"/>
            <w:r w:rsidRPr="00E50B51">
              <w:rPr>
                <w:sz w:val="20"/>
                <w:szCs w:val="20"/>
              </w:rPr>
              <w:t>pursuit</w:t>
            </w:r>
            <w:proofErr w:type="spellEnd"/>
            <w:r w:rsidRPr="00E50B51">
              <w:rPr>
                <w:sz w:val="20"/>
                <w:szCs w:val="20"/>
              </w:rPr>
              <w:t>“</w:t>
            </w:r>
            <w:r w:rsidRPr="00E50B51">
              <w:rPr>
                <w:rStyle w:val="Funotenzeichen"/>
                <w:rFonts w:eastAsiaTheme="majorEastAsia"/>
                <w:sz w:val="20"/>
                <w:szCs w:val="20"/>
              </w:rPr>
              <w:footnoteReference w:id="105"/>
            </w:r>
            <w:r w:rsidRPr="00E50B51">
              <w:rPr>
                <w:sz w:val="20"/>
                <w:szCs w:val="20"/>
              </w:rPr>
              <w:t xml:space="preserve">) nicht zu den Vorrechten und Immunitäten, sondern zum Schutzbereich des Freiheitsbegriffs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rStyle w:val="Funotenzeichen"/>
                <w:rFonts w:eastAsiaTheme="majorEastAsia"/>
                <w:sz w:val="20"/>
                <w:szCs w:val="20"/>
              </w:rPr>
              <w:footnoteReference w:id="106"/>
            </w:r>
            <w:r w:rsidRPr="00E50B51">
              <w:rPr>
                <w:sz w:val="20"/>
                <w:szCs w:val="20"/>
              </w:rPr>
              <w:t xml:space="preserve"> Wie weit staatliche Maßnahmen Freiheiten wie die Vertragsfreiheit als Bedingung von Glücksstreben einschränken könn</w:t>
            </w:r>
            <w:r>
              <w:rPr>
                <w:sz w:val="20"/>
                <w:szCs w:val="20"/>
              </w:rPr>
              <w:t>t</w:t>
            </w:r>
            <w:r w:rsidRPr="00E50B51">
              <w:rPr>
                <w:sz w:val="20"/>
                <w:szCs w:val="20"/>
              </w:rPr>
              <w:t>en, bestimm</w:t>
            </w:r>
            <w:r>
              <w:rPr>
                <w:sz w:val="20"/>
                <w:szCs w:val="20"/>
              </w:rPr>
              <w:t>e</w:t>
            </w:r>
            <w:r w:rsidRPr="00E50B51">
              <w:rPr>
                <w:sz w:val="20"/>
                <w:szCs w:val="20"/>
              </w:rPr>
              <w:t xml:space="preserve"> sich am Einzelfall („</w:t>
            </w:r>
            <w:proofErr w:type="spellStart"/>
            <w:r w:rsidRPr="00E50B51">
              <w:rPr>
                <w:sz w:val="20"/>
                <w:szCs w:val="20"/>
              </w:rPr>
              <w:t>left</w:t>
            </w:r>
            <w:proofErr w:type="spellEnd"/>
            <w:r w:rsidRPr="00E50B51">
              <w:rPr>
                <w:sz w:val="20"/>
                <w:szCs w:val="20"/>
              </w:rPr>
              <w:t xml:space="preserve"> for </w:t>
            </w:r>
            <w:proofErr w:type="spellStart"/>
            <w:r w:rsidRPr="00E50B51">
              <w:rPr>
                <w:sz w:val="20"/>
                <w:szCs w:val="20"/>
              </w:rPr>
              <w:t>determination</w:t>
            </w:r>
            <w:proofErr w:type="spellEnd"/>
            <w:r w:rsidRPr="00E50B51">
              <w:rPr>
                <w:sz w:val="20"/>
                <w:szCs w:val="20"/>
              </w:rPr>
              <w:t xml:space="preserve"> to </w:t>
            </w:r>
            <w:proofErr w:type="spellStart"/>
            <w:r w:rsidRPr="00E50B51">
              <w:rPr>
                <w:sz w:val="20"/>
                <w:szCs w:val="20"/>
              </w:rPr>
              <w:t>each</w:t>
            </w:r>
            <w:proofErr w:type="spellEnd"/>
            <w:r w:rsidRPr="00E50B51">
              <w:rPr>
                <w:sz w:val="20"/>
                <w:szCs w:val="20"/>
              </w:rPr>
              <w:t xml:space="preserve"> </w:t>
            </w:r>
            <w:proofErr w:type="spellStart"/>
            <w:r w:rsidRPr="00E50B51">
              <w:rPr>
                <w:sz w:val="20"/>
                <w:szCs w:val="20"/>
              </w:rPr>
              <w:t>case</w:t>
            </w:r>
            <w:proofErr w:type="spellEnd"/>
            <w:r w:rsidRPr="00E50B51">
              <w:rPr>
                <w:sz w:val="20"/>
                <w:szCs w:val="20"/>
              </w:rPr>
              <w:t>“</w:t>
            </w:r>
            <w:r w:rsidRPr="00E50B51">
              <w:rPr>
                <w:rStyle w:val="Funotenzeichen"/>
                <w:rFonts w:eastAsiaTheme="majorEastAsia"/>
                <w:sz w:val="20"/>
                <w:szCs w:val="20"/>
              </w:rPr>
              <w:footnoteReference w:id="107"/>
            </w:r>
            <w:r w:rsidRPr="00E50B51">
              <w:rPr>
                <w:sz w:val="20"/>
                <w:szCs w:val="20"/>
              </w:rPr>
              <w:t>). Hier handel</w:t>
            </w:r>
            <w:r>
              <w:rPr>
                <w:sz w:val="20"/>
                <w:szCs w:val="20"/>
              </w:rPr>
              <w:t>e</w:t>
            </w:r>
            <w:r w:rsidRPr="00E50B51">
              <w:rPr>
                <w:sz w:val="20"/>
                <w:szCs w:val="20"/>
              </w:rPr>
              <w:t xml:space="preserve"> die beklagte Gesellschaft mit Sitz im </w:t>
            </w:r>
            <w:r w:rsidRPr="00E50B51">
              <w:rPr>
                <w:sz w:val="20"/>
                <w:szCs w:val="20"/>
              </w:rPr>
              <w:lastRenderedPageBreak/>
              <w:t xml:space="preserve">Bundesstaat sowohl im Rahmen der einfachen Gesetze als auch im Rahmen der bundesstaatlichen Verfassung sowie der </w:t>
            </w:r>
            <w:r>
              <w:rPr>
                <w:sz w:val="20"/>
                <w:szCs w:val="20"/>
              </w:rPr>
              <w:t>U.S.</w:t>
            </w:r>
            <w:r w:rsidRPr="00E50B51">
              <w:rPr>
                <w:sz w:val="20"/>
                <w:szCs w:val="20"/>
              </w:rPr>
              <w:t xml:space="preserve"> </w:t>
            </w:r>
            <w:proofErr w:type="spellStart"/>
            <w:r w:rsidRPr="00E50B51">
              <w:rPr>
                <w:sz w:val="20"/>
                <w:szCs w:val="20"/>
              </w:rPr>
              <w:t>Con</w:t>
            </w:r>
            <w:r>
              <w:rPr>
                <w:sz w:val="20"/>
                <w:szCs w:val="20"/>
              </w:rPr>
              <w:t>s</w:t>
            </w:r>
            <w:r w:rsidRPr="00E50B51">
              <w:rPr>
                <w:sz w:val="20"/>
                <w:szCs w:val="20"/>
              </w:rPr>
              <w:t>t</w:t>
            </w:r>
            <w:proofErr w:type="spellEnd"/>
            <w:r w:rsidRPr="00E50B51">
              <w:rPr>
                <w:sz w:val="20"/>
                <w:szCs w:val="20"/>
              </w:rPr>
              <w:t>. Und nur darauf komm</w:t>
            </w:r>
            <w:r>
              <w:rPr>
                <w:sz w:val="20"/>
                <w:szCs w:val="20"/>
              </w:rPr>
              <w:t>e</w:t>
            </w:r>
            <w:r w:rsidRPr="00E50B51">
              <w:rPr>
                <w:sz w:val="20"/>
                <w:szCs w:val="20"/>
              </w:rPr>
              <w:t xml:space="preserve"> es an</w:t>
            </w:r>
            <w:r>
              <w:rPr>
                <w:sz w:val="20"/>
                <w:szCs w:val="20"/>
              </w:rPr>
              <w:t> </w:t>
            </w:r>
            <w:r w:rsidRPr="00E50B51">
              <w:rPr>
                <w:sz w:val="20"/>
                <w:szCs w:val="20"/>
              </w:rPr>
              <w:t>– nicht jedoch auf die ausländische Gesellschaft, zumal die Gesellschaft mit Sitz im Bundesstaat auf de</w:t>
            </w:r>
            <w:r>
              <w:rPr>
                <w:sz w:val="20"/>
                <w:szCs w:val="20"/>
              </w:rPr>
              <w:t>r</w:t>
            </w:r>
            <w:r w:rsidRPr="00E50B51">
              <w:rPr>
                <w:sz w:val="20"/>
                <w:szCs w:val="20"/>
              </w:rPr>
              <w:t xml:space="preserve">en Gesetzeskonformität auch keinen Einfluss hat. Daher schränke das streitgegenständliche Gesetz die Vertragsfreiheit der Gesellschaft mit Sitz </w:t>
            </w:r>
            <w:r>
              <w:rPr>
                <w:sz w:val="20"/>
                <w:szCs w:val="20"/>
              </w:rPr>
              <w:t>i</w:t>
            </w:r>
            <w:r w:rsidRPr="00E50B51">
              <w:rPr>
                <w:sz w:val="20"/>
                <w:szCs w:val="20"/>
              </w:rPr>
              <w:t xml:space="preserve">m Bundesstaat unangemessen ein. Ein solches Gesetz sei daher rechtsstaatswidrig. Denn es verbiete </w:t>
            </w:r>
            <w:r>
              <w:rPr>
                <w:sz w:val="20"/>
                <w:szCs w:val="20"/>
              </w:rPr>
              <w:t xml:space="preserve">letztendlich </w:t>
            </w:r>
            <w:r w:rsidRPr="00E50B51">
              <w:rPr>
                <w:sz w:val="20"/>
                <w:szCs w:val="20"/>
              </w:rPr>
              <w:t>eine Handlung, zu der die Beklagten nach der Bundesverfassung das Recht hatten.</w:t>
            </w:r>
            <w:r w:rsidRPr="00E50B51">
              <w:rPr>
                <w:rStyle w:val="Funotenzeichen"/>
                <w:rFonts w:eastAsiaTheme="majorEastAsia"/>
                <w:sz w:val="20"/>
                <w:szCs w:val="20"/>
              </w:rPr>
              <w:footnoteReference w:id="108"/>
            </w:r>
          </w:p>
        </w:tc>
      </w:tr>
      <w:tr w:rsidR="00074551" w:rsidRPr="00E50B51" w14:paraId="5C4CE17E" w14:textId="77777777" w:rsidTr="00BE689F">
        <w:trPr>
          <w:cantSplit/>
          <w:trHeight w:val="3175"/>
        </w:trPr>
        <w:tc>
          <w:tcPr>
            <w:tcW w:w="293" w:type="pct"/>
          </w:tcPr>
          <w:p w14:paraId="7499657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BD57253" w14:textId="77777777" w:rsidR="00074551" w:rsidRPr="00B45592" w:rsidRDefault="00074551" w:rsidP="00367133">
            <w:pPr>
              <w:ind w:left="113" w:right="416"/>
              <w:jc w:val="both"/>
              <w:rPr>
                <w:i/>
                <w:sz w:val="20"/>
                <w:szCs w:val="20"/>
                <w:lang w:val="en-US"/>
              </w:rPr>
            </w:pPr>
            <w:r w:rsidRPr="00B45592">
              <w:rPr>
                <w:i/>
                <w:sz w:val="20"/>
                <w:szCs w:val="20"/>
                <w:lang w:val="en-US"/>
              </w:rPr>
              <w:t>Green v. Biddle</w:t>
            </w:r>
          </w:p>
        </w:tc>
        <w:tc>
          <w:tcPr>
            <w:tcW w:w="197" w:type="pct"/>
            <w:textDirection w:val="tbRl"/>
            <w:vAlign w:val="center"/>
          </w:tcPr>
          <w:p w14:paraId="068F9E91" w14:textId="77777777" w:rsidR="00074551" w:rsidRPr="00E50B51" w:rsidRDefault="00074551" w:rsidP="00367133">
            <w:pPr>
              <w:ind w:left="113" w:right="113"/>
              <w:jc w:val="both"/>
              <w:rPr>
                <w:sz w:val="20"/>
                <w:szCs w:val="20"/>
                <w:lang w:val="en-US"/>
              </w:rPr>
            </w:pPr>
            <w:r w:rsidRPr="00E50B51">
              <w:rPr>
                <w:sz w:val="20"/>
                <w:szCs w:val="20"/>
                <w:lang w:val="en-US"/>
              </w:rPr>
              <w:t>21 U.S. 1</w:t>
            </w:r>
          </w:p>
        </w:tc>
        <w:tc>
          <w:tcPr>
            <w:tcW w:w="306" w:type="pct"/>
            <w:textDirection w:val="tbRl"/>
            <w:vAlign w:val="center"/>
          </w:tcPr>
          <w:p w14:paraId="4EC2CDEF" w14:textId="77777777" w:rsidR="00074551" w:rsidRPr="00E50B51" w:rsidRDefault="00074551" w:rsidP="00367133">
            <w:pPr>
              <w:ind w:left="113" w:right="113"/>
              <w:jc w:val="both"/>
              <w:rPr>
                <w:sz w:val="20"/>
                <w:szCs w:val="20"/>
              </w:rPr>
            </w:pPr>
            <w:r w:rsidRPr="00E50B51">
              <w:rPr>
                <w:sz w:val="20"/>
                <w:szCs w:val="20"/>
                <w:lang w:val="en-US"/>
              </w:rPr>
              <w:t xml:space="preserve">17. </w:t>
            </w:r>
            <w:proofErr w:type="spellStart"/>
            <w:r w:rsidRPr="00E50B51">
              <w:rPr>
                <w:sz w:val="20"/>
                <w:szCs w:val="20"/>
                <w:lang w:val="en-US"/>
              </w:rPr>
              <w:t>Februar</w:t>
            </w:r>
            <w:proofErr w:type="spellEnd"/>
            <w:r w:rsidRPr="00E50B51">
              <w:rPr>
                <w:sz w:val="20"/>
                <w:szCs w:val="20"/>
                <w:lang w:val="en-US"/>
              </w:rPr>
              <w:t xml:space="preserve"> 1823</w:t>
            </w:r>
          </w:p>
        </w:tc>
        <w:tc>
          <w:tcPr>
            <w:tcW w:w="401" w:type="pct"/>
          </w:tcPr>
          <w:p w14:paraId="22631893"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4EB29592" w14:textId="77777777"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eine bundesstaatliche Gesetz</w:t>
            </w:r>
            <w:r>
              <w:rPr>
                <w:sz w:val="20"/>
                <w:szCs w:val="20"/>
              </w:rPr>
              <w:t>es</w:t>
            </w:r>
            <w:r w:rsidRPr="00E50B51">
              <w:rPr>
                <w:sz w:val="20"/>
                <w:szCs w:val="20"/>
              </w:rPr>
              <w:t>änderung</w:t>
            </w:r>
            <w:r>
              <w:rPr>
                <w:rStyle w:val="Funotenzeichen"/>
                <w:sz w:val="20"/>
                <w:szCs w:val="20"/>
              </w:rPr>
              <w:footnoteReference w:id="109"/>
            </w:r>
            <w:r w:rsidRPr="00E50B51">
              <w:rPr>
                <w:sz w:val="20"/>
                <w:szCs w:val="20"/>
              </w:rPr>
              <w:t xml:space="preserve"> für verfassungswidrig. Zunächst hatte ein Grundstückseigentümer beim</w:t>
            </w:r>
            <w:r>
              <w:rPr>
                <w:sz w:val="20"/>
                <w:szCs w:val="20"/>
              </w:rPr>
              <w:t xml:space="preserve"> </w:t>
            </w:r>
            <w:bookmarkStart w:id="15" w:name="_Hlk230000610"/>
            <w:r w:rsidRPr="00B45592">
              <w:rPr>
                <w:i/>
                <w:sz w:val="20"/>
                <w:szCs w:val="20"/>
              </w:rPr>
              <w:t xml:space="preserve">U.S. Circuit Court for the </w:t>
            </w:r>
            <w:proofErr w:type="spellStart"/>
            <w:r w:rsidRPr="00B45592">
              <w:rPr>
                <w:i/>
                <w:sz w:val="20"/>
                <w:szCs w:val="20"/>
              </w:rPr>
              <w:t>District</w:t>
            </w:r>
            <w:proofErr w:type="spellEnd"/>
            <w:r w:rsidRPr="00B45592">
              <w:rPr>
                <w:i/>
                <w:sz w:val="20"/>
                <w:szCs w:val="20"/>
              </w:rPr>
              <w:t xml:space="preserve"> of Kentucky</w:t>
            </w:r>
            <w:r w:rsidRPr="00E50B51">
              <w:rPr>
                <w:sz w:val="20"/>
                <w:szCs w:val="20"/>
              </w:rPr>
              <w:t xml:space="preserve"> </w:t>
            </w:r>
            <w:bookmarkEnd w:id="15"/>
            <w:r w:rsidRPr="00E50B51">
              <w:rPr>
                <w:sz w:val="20"/>
                <w:szCs w:val="20"/>
              </w:rPr>
              <w:t>eine Klage gegen seinen Pächter eingereicht, um seine Grundstücke und die damit verbundenen Aufwertungen zu erhalten. Der Grundstückseigentümer machte geltend, dass das bundesstaatliche Gesetz, welches Pächtern Mieten und Gewinne zugestehe sowie die Pächter für Aufwertungen des Grundstücks ab dem Zeitpunkt der Inbesitznahme des Landes entschädige, sowohl gegen den Staatsvertrag zwischen Virginia und Kentucky von 1789 („</w:t>
            </w:r>
            <w:proofErr w:type="spellStart"/>
            <w:r w:rsidRPr="00E50B51">
              <w:rPr>
                <w:sz w:val="20"/>
                <w:szCs w:val="20"/>
              </w:rPr>
              <w:t>compact</w:t>
            </w:r>
            <w:proofErr w:type="spellEnd"/>
            <w:r w:rsidRPr="00E50B51">
              <w:rPr>
                <w:sz w:val="20"/>
                <w:szCs w:val="20"/>
              </w:rPr>
              <w:t xml:space="preserve"> </w:t>
            </w:r>
            <w:proofErr w:type="spellStart"/>
            <w:r w:rsidRPr="00E50B51">
              <w:rPr>
                <w:sz w:val="20"/>
                <w:szCs w:val="20"/>
              </w:rPr>
              <w:t>between</w:t>
            </w:r>
            <w:proofErr w:type="spellEnd"/>
            <w:r w:rsidRPr="00E50B51">
              <w:rPr>
                <w:sz w:val="20"/>
                <w:szCs w:val="20"/>
              </w:rPr>
              <w:t xml:space="preserve"> the States of Virginia and Kentucky“</w:t>
            </w:r>
            <w:r w:rsidRPr="00E50B51">
              <w:rPr>
                <w:rStyle w:val="Funotenzeichen"/>
                <w:rFonts w:eastAsiaTheme="majorEastAsia"/>
                <w:sz w:val="20"/>
                <w:szCs w:val="20"/>
              </w:rPr>
              <w:footnoteReference w:id="110"/>
            </w:r>
            <w:r w:rsidRPr="00E50B51">
              <w:rPr>
                <w:sz w:val="20"/>
                <w:szCs w:val="20"/>
              </w:rPr>
              <w:t xml:space="preserve">) als auch gegen die Verfassung Kentuckys und gegen die </w:t>
            </w:r>
            <w:r>
              <w:rPr>
                <w:sz w:val="20"/>
                <w:szCs w:val="20"/>
              </w:rPr>
              <w:t>U.S.</w:t>
            </w:r>
            <w:r w:rsidRPr="00E50B51">
              <w:rPr>
                <w:sz w:val="20"/>
                <w:szCs w:val="20"/>
              </w:rPr>
              <w:t xml:space="preserve"> </w:t>
            </w:r>
            <w:proofErr w:type="spellStart"/>
            <w:r w:rsidRPr="00E50B51">
              <w:rPr>
                <w:sz w:val="20"/>
                <w:szCs w:val="20"/>
              </w:rPr>
              <w:t>Const</w:t>
            </w:r>
            <w:proofErr w:type="spellEnd"/>
            <w:r w:rsidRPr="00E50B51">
              <w:rPr>
                <w:sz w:val="20"/>
                <w:szCs w:val="20"/>
              </w:rPr>
              <w:t xml:space="preserve">. verstoße. Der Pächter hielt u.a. entgegen, dass der </w:t>
            </w:r>
            <w:r>
              <w:rPr>
                <w:sz w:val="20"/>
                <w:szCs w:val="20"/>
              </w:rPr>
              <w:t>U.S. Supreme Court</w:t>
            </w:r>
            <w:r w:rsidRPr="00E50B51">
              <w:rPr>
                <w:sz w:val="20"/>
                <w:szCs w:val="20"/>
              </w:rPr>
              <w:t xml:space="preserve"> gar nicht zuständig sei, ein bundesstaatliches Gesetz für verfassungswidrig zu erklären. Der </w:t>
            </w:r>
            <w:r>
              <w:rPr>
                <w:sz w:val="20"/>
                <w:szCs w:val="20"/>
              </w:rPr>
              <w:t>U.S. Supreme Court</w:t>
            </w:r>
            <w:r w:rsidRPr="00E50B51">
              <w:rPr>
                <w:sz w:val="20"/>
                <w:szCs w:val="20"/>
              </w:rPr>
              <w:t xml:space="preserve"> urteilte, die </w:t>
            </w:r>
            <w:r>
              <w:rPr>
                <w:sz w:val="20"/>
                <w:szCs w:val="20"/>
              </w:rPr>
              <w:t>U.S.</w:t>
            </w:r>
            <w:r w:rsidRPr="00E50B51">
              <w:rPr>
                <w:sz w:val="20"/>
                <w:szCs w:val="20"/>
              </w:rPr>
              <w:t xml:space="preserve"> </w:t>
            </w:r>
            <w:proofErr w:type="spellStart"/>
            <w:r w:rsidRPr="00E50B51">
              <w:rPr>
                <w:sz w:val="20"/>
                <w:szCs w:val="20"/>
              </w:rPr>
              <w:t>Const</w:t>
            </w:r>
            <w:proofErr w:type="spellEnd"/>
            <w:r w:rsidRPr="00E50B51">
              <w:rPr>
                <w:sz w:val="20"/>
                <w:szCs w:val="20"/>
              </w:rPr>
              <w:t xml:space="preserve">. </w:t>
            </w:r>
            <w:proofErr w:type="gramStart"/>
            <w:r w:rsidRPr="00E50B51">
              <w:rPr>
                <w:sz w:val="20"/>
                <w:szCs w:val="20"/>
              </w:rPr>
              <w:t>gebe</w:t>
            </w:r>
            <w:proofErr w:type="gramEnd"/>
            <w:r w:rsidRPr="00E50B51">
              <w:rPr>
                <w:sz w:val="20"/>
                <w:szCs w:val="20"/>
              </w:rPr>
              <w:t xml:space="preserve"> vor, er – als Bundesgericht – könne ein bundesstaatliche</w:t>
            </w:r>
            <w:r>
              <w:rPr>
                <w:sz w:val="20"/>
                <w:szCs w:val="20"/>
              </w:rPr>
              <w:t>s</w:t>
            </w:r>
            <w:r w:rsidRPr="00E50B51">
              <w:rPr>
                <w:sz w:val="20"/>
                <w:szCs w:val="20"/>
              </w:rPr>
              <w:t xml:space="preserve"> Gesetz bzw. eine Gesetzesänderung für verfassungswidrig erklären, soweit das Gesetz das Eigentum beeinträchtige, hier ausgedrückt in der Verbindlichkeit von Verträgen. </w:t>
            </w:r>
            <w:r>
              <w:rPr>
                <w:sz w:val="20"/>
                <w:szCs w:val="20"/>
              </w:rPr>
              <w:t>Und d</w:t>
            </w:r>
            <w:r w:rsidRPr="00E50B51">
              <w:rPr>
                <w:sz w:val="20"/>
                <w:szCs w:val="20"/>
              </w:rPr>
              <w:t>as Gesetz beeinträchtige Grundstückseigentümer</w:t>
            </w:r>
            <w:r>
              <w:rPr>
                <w:sz w:val="20"/>
                <w:szCs w:val="20"/>
              </w:rPr>
              <w:t>, d</w:t>
            </w:r>
            <w:r w:rsidRPr="00E50B51">
              <w:rPr>
                <w:sz w:val="20"/>
                <w:szCs w:val="20"/>
              </w:rPr>
              <w:t xml:space="preserve">enn es schließe sie davon aus, den Besitz und die Aufwertung eines Grundstücks durch einen ihrer Pächter zu beanspruchen. Der </w:t>
            </w:r>
            <w:r>
              <w:rPr>
                <w:sz w:val="20"/>
                <w:szCs w:val="20"/>
              </w:rPr>
              <w:t>U.S. Supreme Court</w:t>
            </w:r>
            <w:r w:rsidRPr="00E50B51">
              <w:rPr>
                <w:sz w:val="20"/>
                <w:szCs w:val="20"/>
              </w:rPr>
              <w:t xml:space="preserve"> entschi</w:t>
            </w:r>
            <w:r>
              <w:rPr>
                <w:sz w:val="20"/>
                <w:szCs w:val="20"/>
              </w:rPr>
              <w:t>e</w:t>
            </w:r>
            <w:r w:rsidRPr="00E50B51">
              <w:rPr>
                <w:sz w:val="20"/>
                <w:szCs w:val="20"/>
              </w:rPr>
              <w:t xml:space="preserve">d zwar zugunsten des klagenden Landeigentümers – d.h. </w:t>
            </w:r>
            <w:r>
              <w:rPr>
                <w:sz w:val="20"/>
                <w:szCs w:val="20"/>
              </w:rPr>
              <w:t>er</w:t>
            </w:r>
            <w:r w:rsidRPr="00E50B51">
              <w:rPr>
                <w:sz w:val="20"/>
                <w:szCs w:val="20"/>
              </w:rPr>
              <w:t xml:space="preserve"> bekam nunmehr </w:t>
            </w:r>
            <w:r>
              <w:rPr>
                <w:sz w:val="20"/>
                <w:szCs w:val="20"/>
              </w:rPr>
              <w:t>sein</w:t>
            </w:r>
            <w:r w:rsidRPr="00E50B51">
              <w:rPr>
                <w:sz w:val="20"/>
                <w:szCs w:val="20"/>
              </w:rPr>
              <w:t xml:space="preserve"> Eigentum samt Aufwertungen. Der </w:t>
            </w:r>
            <w:r>
              <w:rPr>
                <w:sz w:val="20"/>
                <w:szCs w:val="20"/>
              </w:rPr>
              <w:t>U.S. Supreme Court</w:t>
            </w:r>
            <w:r w:rsidRPr="00E50B51">
              <w:rPr>
                <w:sz w:val="20"/>
                <w:szCs w:val="20"/>
              </w:rPr>
              <w:t xml:space="preserve"> gab aber zugleich einem Antrag des beklagten Pächters auf Wiederaufnahme des Verfahrens statt, u.a. um die genaue Aufwertung des Grundstücks zu bestimmen.</w:t>
            </w:r>
          </w:p>
          <w:p w14:paraId="3420D789" w14:textId="77777777" w:rsidR="00074551" w:rsidRPr="00E50B51" w:rsidRDefault="00074551" w:rsidP="00367133">
            <w:pPr>
              <w:jc w:val="both"/>
              <w:rPr>
                <w:sz w:val="20"/>
                <w:szCs w:val="20"/>
              </w:rPr>
            </w:pPr>
          </w:p>
        </w:tc>
        <w:tc>
          <w:tcPr>
            <w:tcW w:w="1822" w:type="pct"/>
          </w:tcPr>
          <w:p w14:paraId="6AF95FE9" w14:textId="77777777" w:rsidR="00074551" w:rsidRDefault="00074551" w:rsidP="00367133">
            <w:pPr>
              <w:jc w:val="both"/>
              <w:rPr>
                <w:sz w:val="20"/>
                <w:szCs w:val="20"/>
              </w:rPr>
            </w:pPr>
            <w:r w:rsidRPr="00E50B51">
              <w:rPr>
                <w:sz w:val="20"/>
                <w:szCs w:val="20"/>
              </w:rPr>
              <w:t xml:space="preserve">Wenn ein Gesetz die Verbindlichkeit eines Vertrags beeinträchtige, dann hänge die Verfassungswidrigkeit des Gesetzes nicht vom Ausmaß ab, wie stark </w:t>
            </w:r>
            <w:r>
              <w:rPr>
                <w:sz w:val="20"/>
                <w:szCs w:val="20"/>
              </w:rPr>
              <w:t>diese Beeinträchtigung sei</w:t>
            </w:r>
            <w:r w:rsidRPr="00E50B51">
              <w:rPr>
                <w:sz w:val="20"/>
                <w:szCs w:val="20"/>
              </w:rPr>
              <w:t xml:space="preserve">. Denn bei Verträgen reiche jede Beeinträchtigung. Beispiele </w:t>
            </w:r>
            <w:r>
              <w:rPr>
                <w:sz w:val="20"/>
                <w:szCs w:val="20"/>
              </w:rPr>
              <w:t>dafür seien etwa, wenn</w:t>
            </w:r>
            <w:r w:rsidRPr="00E50B51">
              <w:rPr>
                <w:sz w:val="20"/>
                <w:szCs w:val="20"/>
              </w:rPr>
              <w:t xml:space="preserve"> ein Gesetz die Erfüllungsfrist eines Vertrags ändere, neue Vertragsbedingungen festlege oder Vertragsbedingungen entfallen ließe. Dies könne für die Verfassungswidrigkeit eines Gesetzes ausreichen, selbst wenn die Verbindlichkeit des Vertrags nur geringfügig beeinträchtigt </w:t>
            </w:r>
            <w:r w:rsidRPr="001A7978">
              <w:rPr>
                <w:sz w:val="20"/>
                <w:szCs w:val="20"/>
              </w:rPr>
              <w:t>sei</w:t>
            </w:r>
            <w:r>
              <w:rPr>
                <w:sz w:val="20"/>
                <w:szCs w:val="20"/>
              </w:rPr>
              <w:t>.</w:t>
            </w:r>
            <w:r>
              <w:rPr>
                <w:rStyle w:val="Funotenzeichen"/>
                <w:sz w:val="20"/>
                <w:szCs w:val="20"/>
              </w:rPr>
              <w:footnoteReference w:id="111"/>
            </w:r>
          </w:p>
          <w:p w14:paraId="7BE14FDF" w14:textId="77777777" w:rsidR="00074551" w:rsidRDefault="00074551" w:rsidP="00367133">
            <w:pPr>
              <w:jc w:val="both"/>
              <w:rPr>
                <w:sz w:val="20"/>
                <w:szCs w:val="20"/>
              </w:rPr>
            </w:pPr>
          </w:p>
          <w:p w14:paraId="79073F8B" w14:textId="77777777" w:rsidR="00074551" w:rsidRDefault="00074551" w:rsidP="00367133">
            <w:pPr>
              <w:jc w:val="both"/>
              <w:rPr>
                <w:sz w:val="20"/>
                <w:szCs w:val="20"/>
              </w:rPr>
            </w:pPr>
            <w:r w:rsidRPr="00E50B51">
              <w:rPr>
                <w:sz w:val="20"/>
                <w:szCs w:val="20"/>
              </w:rPr>
              <w:t>Anhand des Strebens nach Glück prüf</w:t>
            </w:r>
            <w:r>
              <w:rPr>
                <w:sz w:val="20"/>
                <w:szCs w:val="20"/>
              </w:rPr>
              <w:t>t</w:t>
            </w:r>
            <w:r w:rsidRPr="00E50B51">
              <w:rPr>
                <w:sz w:val="20"/>
                <w:szCs w:val="20"/>
              </w:rPr>
              <w:t xml:space="preserve">e der </w:t>
            </w:r>
            <w:r>
              <w:rPr>
                <w:sz w:val="20"/>
                <w:szCs w:val="20"/>
              </w:rPr>
              <w:t>U.S. Supreme Court</w:t>
            </w:r>
            <w:r w:rsidRPr="00E50B51">
              <w:rPr>
                <w:sz w:val="20"/>
                <w:szCs w:val="20"/>
              </w:rPr>
              <w:t xml:space="preserve"> dann den Staatsvertrag zwischen Virginia und Kentucky („</w:t>
            </w:r>
            <w:proofErr w:type="spellStart"/>
            <w:r w:rsidRPr="00E50B51">
              <w:rPr>
                <w:sz w:val="20"/>
                <w:szCs w:val="20"/>
              </w:rPr>
              <w:t>compact</w:t>
            </w:r>
            <w:proofErr w:type="spellEnd"/>
            <w:r w:rsidRPr="00E50B51">
              <w:rPr>
                <w:sz w:val="20"/>
                <w:szCs w:val="20"/>
              </w:rPr>
              <w:t xml:space="preserve"> </w:t>
            </w:r>
            <w:proofErr w:type="spellStart"/>
            <w:r w:rsidRPr="00E50B51">
              <w:rPr>
                <w:sz w:val="20"/>
                <w:szCs w:val="20"/>
              </w:rPr>
              <w:t>between</w:t>
            </w:r>
            <w:proofErr w:type="spellEnd"/>
            <w:r w:rsidRPr="00E50B51">
              <w:rPr>
                <w:sz w:val="20"/>
                <w:szCs w:val="20"/>
              </w:rPr>
              <w:t xml:space="preserve"> the States of Virginia and Kentucky“</w:t>
            </w:r>
            <w:r w:rsidRPr="00E50B51">
              <w:rPr>
                <w:rStyle w:val="Funotenzeichen"/>
                <w:rFonts w:eastAsiaTheme="majorEastAsia"/>
                <w:sz w:val="20"/>
                <w:szCs w:val="20"/>
              </w:rPr>
              <w:footnoteReference w:id="112"/>
            </w:r>
            <w:r w:rsidRPr="00E50B51">
              <w:rPr>
                <w:sz w:val="20"/>
                <w:szCs w:val="20"/>
              </w:rPr>
              <w:t>), der im Ergebnis das Eigentum des streitgegenständlichen Grundstücks gar nicht beeinträchtige, sondern nur einem anderen Souverän unterstelle, hier einer zwischenstaatlichen Einrichtung Virginias und Kentuckys („</w:t>
            </w:r>
            <w:proofErr w:type="spellStart"/>
            <w:r w:rsidRPr="00E50B51">
              <w:rPr>
                <w:sz w:val="20"/>
                <w:szCs w:val="20"/>
              </w:rPr>
              <w:t>changes</w:t>
            </w:r>
            <w:proofErr w:type="spellEnd"/>
            <w:r w:rsidRPr="00E50B51">
              <w:rPr>
                <w:sz w:val="20"/>
                <w:szCs w:val="20"/>
              </w:rPr>
              <w:t xml:space="preserve"> of </w:t>
            </w:r>
            <w:proofErr w:type="spellStart"/>
            <w:r w:rsidRPr="00E50B51">
              <w:rPr>
                <w:sz w:val="20"/>
                <w:szCs w:val="20"/>
              </w:rPr>
              <w:t>sovereignty</w:t>
            </w:r>
            <w:proofErr w:type="spellEnd"/>
            <w:r w:rsidRPr="00E50B51">
              <w:rPr>
                <w:sz w:val="20"/>
                <w:szCs w:val="20"/>
              </w:rPr>
              <w:t xml:space="preserve"> </w:t>
            </w:r>
            <w:proofErr w:type="spellStart"/>
            <w:r w:rsidRPr="00E50B51">
              <w:rPr>
                <w:sz w:val="20"/>
                <w:szCs w:val="20"/>
              </w:rPr>
              <w:t>work</w:t>
            </w:r>
            <w:proofErr w:type="spellEnd"/>
            <w:r w:rsidRPr="00E50B51">
              <w:rPr>
                <w:sz w:val="20"/>
                <w:szCs w:val="20"/>
              </w:rPr>
              <w:t xml:space="preserve"> </w:t>
            </w:r>
            <w:proofErr w:type="spellStart"/>
            <w:r w:rsidRPr="00E50B51">
              <w:rPr>
                <w:sz w:val="20"/>
                <w:szCs w:val="20"/>
              </w:rPr>
              <w:t>no</w:t>
            </w:r>
            <w:proofErr w:type="spellEnd"/>
            <w:r w:rsidRPr="00E50B51">
              <w:rPr>
                <w:sz w:val="20"/>
                <w:szCs w:val="20"/>
              </w:rPr>
              <w:t xml:space="preserve"> change in the </w:t>
            </w:r>
            <w:proofErr w:type="spellStart"/>
            <w:r w:rsidRPr="00E50B51">
              <w:rPr>
                <w:sz w:val="20"/>
                <w:szCs w:val="20"/>
              </w:rPr>
              <w:t>rights</w:t>
            </w:r>
            <w:proofErr w:type="spellEnd"/>
            <w:r w:rsidRPr="00E50B51">
              <w:rPr>
                <w:sz w:val="20"/>
                <w:szCs w:val="20"/>
              </w:rPr>
              <w:t xml:space="preserve"> of </w:t>
            </w:r>
            <w:proofErr w:type="spellStart"/>
            <w:r w:rsidRPr="00E50B51">
              <w:rPr>
                <w:sz w:val="20"/>
                <w:szCs w:val="20"/>
              </w:rPr>
              <w:t>property</w:t>
            </w:r>
            <w:proofErr w:type="spellEnd"/>
            <w:r w:rsidRPr="00E50B51">
              <w:rPr>
                <w:sz w:val="20"/>
                <w:szCs w:val="20"/>
              </w:rPr>
              <w:t xml:space="preserve"> in the </w:t>
            </w:r>
            <w:proofErr w:type="spellStart"/>
            <w:r w:rsidRPr="00E50B51">
              <w:rPr>
                <w:sz w:val="20"/>
                <w:szCs w:val="20"/>
              </w:rPr>
              <w:t>soil</w:t>
            </w:r>
            <w:proofErr w:type="spellEnd"/>
            <w:r w:rsidRPr="00E50B51">
              <w:rPr>
                <w:sz w:val="20"/>
                <w:szCs w:val="20"/>
              </w:rPr>
              <w:t>“</w:t>
            </w:r>
            <w:r w:rsidRPr="00E50B51">
              <w:rPr>
                <w:rStyle w:val="Funotenzeichen"/>
                <w:rFonts w:eastAsiaTheme="majorEastAsia"/>
                <w:sz w:val="20"/>
                <w:szCs w:val="20"/>
              </w:rPr>
              <w:footnoteReference w:id="113"/>
            </w:r>
            <w:r w:rsidRPr="00E50B51">
              <w:rPr>
                <w:sz w:val="20"/>
                <w:szCs w:val="20"/>
              </w:rPr>
              <w:t xml:space="preserve">). Zurückgeführt werden kann die Verfassungskonformität auch darauf, dass das Recht auf ein Streben nach Glück durch einen Staatsvertrag nicht berührt </w:t>
            </w:r>
            <w:r w:rsidRPr="009477F7">
              <w:rPr>
                <w:sz w:val="20"/>
                <w:szCs w:val="20"/>
              </w:rPr>
              <w:t>wird („</w:t>
            </w:r>
            <w:proofErr w:type="spellStart"/>
            <w:r w:rsidRPr="009477F7">
              <w:rPr>
                <w:sz w:val="20"/>
                <w:szCs w:val="20"/>
              </w:rPr>
              <w:t>right</w:t>
            </w:r>
            <w:proofErr w:type="spellEnd"/>
            <w:r w:rsidRPr="009477F7">
              <w:rPr>
                <w:sz w:val="20"/>
                <w:szCs w:val="20"/>
              </w:rPr>
              <w:t xml:space="preserve"> to the </w:t>
            </w:r>
            <w:proofErr w:type="spellStart"/>
            <w:r w:rsidRPr="009477F7">
              <w:rPr>
                <w:sz w:val="20"/>
                <w:szCs w:val="20"/>
              </w:rPr>
              <w:t>pursuit</w:t>
            </w:r>
            <w:proofErr w:type="spellEnd"/>
            <w:r w:rsidRPr="009477F7">
              <w:rPr>
                <w:sz w:val="20"/>
                <w:szCs w:val="20"/>
              </w:rPr>
              <w:t xml:space="preserve"> of </w:t>
            </w:r>
            <w:proofErr w:type="spellStart"/>
            <w:r w:rsidRPr="009477F7">
              <w:rPr>
                <w:sz w:val="20"/>
                <w:szCs w:val="20"/>
              </w:rPr>
              <w:t>happiness</w:t>
            </w:r>
            <w:proofErr w:type="spellEnd"/>
            <w:r w:rsidRPr="009477F7">
              <w:rPr>
                <w:sz w:val="20"/>
                <w:szCs w:val="20"/>
              </w:rPr>
              <w:t xml:space="preserve">, </w:t>
            </w:r>
            <w:proofErr w:type="spellStart"/>
            <w:r w:rsidRPr="009477F7">
              <w:rPr>
                <w:sz w:val="20"/>
                <w:szCs w:val="20"/>
              </w:rPr>
              <w:t>which</w:t>
            </w:r>
            <w:proofErr w:type="spellEnd"/>
            <w:r w:rsidRPr="009477F7">
              <w:rPr>
                <w:sz w:val="20"/>
                <w:szCs w:val="20"/>
              </w:rPr>
              <w:t xml:space="preserve"> </w:t>
            </w:r>
            <w:proofErr w:type="spellStart"/>
            <w:r w:rsidRPr="009477F7">
              <w:rPr>
                <w:sz w:val="20"/>
                <w:szCs w:val="20"/>
              </w:rPr>
              <w:t>is</w:t>
            </w:r>
            <w:proofErr w:type="spellEnd"/>
            <w:r w:rsidRPr="009477F7">
              <w:rPr>
                <w:sz w:val="20"/>
                <w:szCs w:val="20"/>
              </w:rPr>
              <w:t xml:space="preserve"> </w:t>
            </w:r>
            <w:proofErr w:type="spellStart"/>
            <w:r w:rsidRPr="009477F7">
              <w:rPr>
                <w:sz w:val="20"/>
                <w:szCs w:val="20"/>
              </w:rPr>
              <w:t>inherent</w:t>
            </w:r>
            <w:proofErr w:type="spellEnd"/>
            <w:r w:rsidRPr="009477F7">
              <w:rPr>
                <w:sz w:val="20"/>
                <w:szCs w:val="20"/>
              </w:rPr>
              <w:t xml:space="preserve"> in </w:t>
            </w:r>
            <w:proofErr w:type="spellStart"/>
            <w:r w:rsidRPr="009477F7">
              <w:rPr>
                <w:sz w:val="20"/>
                <w:szCs w:val="20"/>
              </w:rPr>
              <w:t>every</w:t>
            </w:r>
            <w:proofErr w:type="spellEnd"/>
            <w:r w:rsidRPr="009477F7">
              <w:rPr>
                <w:sz w:val="20"/>
                <w:szCs w:val="20"/>
              </w:rPr>
              <w:t xml:space="preserve"> </w:t>
            </w:r>
            <w:proofErr w:type="spellStart"/>
            <w:r w:rsidRPr="009477F7">
              <w:rPr>
                <w:sz w:val="20"/>
                <w:szCs w:val="20"/>
              </w:rPr>
              <w:t>society</w:t>
            </w:r>
            <w:proofErr w:type="spellEnd"/>
            <w:r w:rsidRPr="009477F7">
              <w:rPr>
                <w:sz w:val="20"/>
                <w:szCs w:val="20"/>
              </w:rPr>
              <w:t xml:space="preserve"> of </w:t>
            </w:r>
            <w:proofErr w:type="spellStart"/>
            <w:r w:rsidRPr="009477F7">
              <w:rPr>
                <w:sz w:val="20"/>
                <w:szCs w:val="20"/>
              </w:rPr>
              <w:t>men</w:t>
            </w:r>
            <w:proofErr w:type="spellEnd"/>
            <w:r w:rsidRPr="009477F7">
              <w:rPr>
                <w:sz w:val="20"/>
                <w:szCs w:val="20"/>
              </w:rPr>
              <w:t>“</w:t>
            </w:r>
            <w:r w:rsidRPr="009477F7">
              <w:rPr>
                <w:rStyle w:val="Funotenzeichen"/>
                <w:sz w:val="20"/>
                <w:szCs w:val="20"/>
              </w:rPr>
              <w:footnoteReference w:id="114"/>
            </w:r>
            <w:r w:rsidRPr="009477F7">
              <w:rPr>
                <w:sz w:val="20"/>
                <w:szCs w:val="20"/>
              </w:rPr>
              <w:t xml:space="preserve">). Denn der Staatsvertrag regle </w:t>
            </w:r>
            <w:r>
              <w:rPr>
                <w:sz w:val="20"/>
                <w:szCs w:val="20"/>
              </w:rPr>
              <w:t>bezüglich</w:t>
            </w:r>
            <w:r w:rsidRPr="009477F7">
              <w:rPr>
                <w:sz w:val="20"/>
                <w:szCs w:val="20"/>
              </w:rPr>
              <w:t xml:space="preserve"> der Bedingungen für ein Streben nach Glück wie beim</w:t>
            </w:r>
            <w:r w:rsidRPr="00E50B51">
              <w:rPr>
                <w:sz w:val="20"/>
                <w:szCs w:val="20"/>
              </w:rPr>
              <w:t xml:space="preserve"> Eigentum </w:t>
            </w:r>
            <w:r>
              <w:rPr>
                <w:sz w:val="20"/>
                <w:szCs w:val="20"/>
              </w:rPr>
              <w:t xml:space="preserve">oder der Vertragsfreiheit </w:t>
            </w:r>
            <w:r w:rsidRPr="00E50B51">
              <w:rPr>
                <w:sz w:val="20"/>
                <w:szCs w:val="20"/>
              </w:rPr>
              <w:t xml:space="preserve">nur den Souverän, also hier die Selbstverwaltung durch eine zwischenstaatliche Einrichtung. Das Streben nach Glück von Personen </w:t>
            </w:r>
            <w:r>
              <w:rPr>
                <w:sz w:val="20"/>
                <w:szCs w:val="20"/>
              </w:rPr>
              <w:t>werde</w:t>
            </w:r>
            <w:r w:rsidRPr="00E50B51">
              <w:rPr>
                <w:sz w:val="20"/>
                <w:szCs w:val="20"/>
              </w:rPr>
              <w:t xml:space="preserve"> dadurch nicht</w:t>
            </w:r>
            <w:r>
              <w:rPr>
                <w:sz w:val="20"/>
                <w:szCs w:val="20"/>
              </w:rPr>
              <w:t xml:space="preserve"> begrenzt</w:t>
            </w:r>
            <w:r w:rsidRPr="00E50B51">
              <w:rPr>
                <w:sz w:val="20"/>
                <w:szCs w:val="20"/>
              </w:rPr>
              <w:t>. Dieses begrenze sich nur dadurch, dass das Streben nach Glück nicht zu Lasten anderer gehen dürfe („</w:t>
            </w:r>
            <w:proofErr w:type="spellStart"/>
            <w:r w:rsidRPr="00E50B51">
              <w:rPr>
                <w:sz w:val="20"/>
                <w:szCs w:val="20"/>
              </w:rPr>
              <w:t>no</w:t>
            </w:r>
            <w:proofErr w:type="spellEnd"/>
            <w:r w:rsidRPr="00E50B51">
              <w:rPr>
                <w:sz w:val="20"/>
                <w:szCs w:val="20"/>
              </w:rPr>
              <w:t xml:space="preserve"> </w:t>
            </w:r>
            <w:proofErr w:type="spellStart"/>
            <w:r w:rsidRPr="00E50B51">
              <w:rPr>
                <w:sz w:val="20"/>
                <w:szCs w:val="20"/>
              </w:rPr>
              <w:t>people</w:t>
            </w:r>
            <w:proofErr w:type="spellEnd"/>
            <w:r w:rsidRPr="00E50B51">
              <w:rPr>
                <w:sz w:val="20"/>
                <w:szCs w:val="20"/>
              </w:rPr>
              <w:t xml:space="preserve"> </w:t>
            </w:r>
            <w:proofErr w:type="spellStart"/>
            <w:r w:rsidRPr="00E50B51">
              <w:rPr>
                <w:sz w:val="20"/>
                <w:szCs w:val="20"/>
              </w:rPr>
              <w:t>has</w:t>
            </w:r>
            <w:proofErr w:type="spellEnd"/>
            <w:r w:rsidRPr="00E50B51">
              <w:rPr>
                <w:sz w:val="20"/>
                <w:szCs w:val="20"/>
              </w:rPr>
              <w:t xml:space="preserve"> a </w:t>
            </w:r>
            <w:proofErr w:type="spellStart"/>
            <w:r w:rsidRPr="00E50B51">
              <w:rPr>
                <w:sz w:val="20"/>
                <w:szCs w:val="20"/>
              </w:rPr>
              <w:t>right</w:t>
            </w:r>
            <w:proofErr w:type="spellEnd"/>
            <w:r w:rsidRPr="00E50B51">
              <w:rPr>
                <w:sz w:val="20"/>
                <w:szCs w:val="20"/>
              </w:rPr>
              <w:t xml:space="preserve"> to </w:t>
            </w:r>
            <w:proofErr w:type="spellStart"/>
            <w:r w:rsidRPr="00E50B51">
              <w:rPr>
                <w:sz w:val="20"/>
                <w:szCs w:val="20"/>
              </w:rPr>
              <w:t>pursue</w:t>
            </w:r>
            <w:proofErr w:type="spellEnd"/>
            <w:r w:rsidRPr="00E50B51">
              <w:rPr>
                <w:sz w:val="20"/>
                <w:szCs w:val="20"/>
              </w:rPr>
              <w:t xml:space="preserve"> </w:t>
            </w:r>
            <w:proofErr w:type="spellStart"/>
            <w:r w:rsidRPr="00E50B51">
              <w:rPr>
                <w:sz w:val="20"/>
                <w:szCs w:val="20"/>
              </w:rPr>
              <w:t>its</w:t>
            </w:r>
            <w:proofErr w:type="spellEnd"/>
            <w:r w:rsidRPr="00E50B51">
              <w:rPr>
                <w:sz w:val="20"/>
                <w:szCs w:val="20"/>
              </w:rPr>
              <w:t xml:space="preserve"> own </w:t>
            </w:r>
            <w:proofErr w:type="spellStart"/>
            <w:r w:rsidRPr="00E50B51">
              <w:rPr>
                <w:sz w:val="20"/>
                <w:szCs w:val="20"/>
              </w:rPr>
              <w:t>happiness</w:t>
            </w:r>
            <w:proofErr w:type="spellEnd"/>
            <w:r w:rsidRPr="00E50B51">
              <w:rPr>
                <w:sz w:val="20"/>
                <w:szCs w:val="20"/>
              </w:rPr>
              <w:t xml:space="preserve"> to the </w:t>
            </w:r>
            <w:proofErr w:type="spellStart"/>
            <w:r w:rsidRPr="00E50B51">
              <w:rPr>
                <w:sz w:val="20"/>
                <w:szCs w:val="20"/>
              </w:rPr>
              <w:t>injury</w:t>
            </w:r>
            <w:proofErr w:type="spellEnd"/>
            <w:r w:rsidRPr="00E50B51">
              <w:rPr>
                <w:sz w:val="20"/>
                <w:szCs w:val="20"/>
              </w:rPr>
              <w:t xml:space="preserve"> of </w:t>
            </w:r>
            <w:proofErr w:type="spellStart"/>
            <w:r w:rsidRPr="00E50B51">
              <w:rPr>
                <w:sz w:val="20"/>
                <w:szCs w:val="20"/>
              </w:rPr>
              <w:t>others</w:t>
            </w:r>
            <w:proofErr w:type="spellEnd"/>
            <w:r w:rsidRPr="00E50B51">
              <w:rPr>
                <w:sz w:val="20"/>
                <w:szCs w:val="20"/>
              </w:rPr>
              <w:t>“</w:t>
            </w:r>
            <w:r>
              <w:rPr>
                <w:rStyle w:val="Funotenzeichen"/>
                <w:sz w:val="20"/>
                <w:szCs w:val="20"/>
              </w:rPr>
              <w:footnoteReference w:id="115"/>
            </w:r>
            <w:r w:rsidRPr="00E50B51">
              <w:rPr>
                <w:sz w:val="20"/>
                <w:szCs w:val="20"/>
              </w:rPr>
              <w:t>). Und zu diesem Schutz anderer erließen beide Bundesstaaten einen Staatsvertrag – hier um zwischenstaatliches Grundstückseigentum zu regeln („</w:t>
            </w:r>
            <w:proofErr w:type="spellStart"/>
            <w:r w:rsidRPr="00E50B51">
              <w:rPr>
                <w:sz w:val="20"/>
                <w:szCs w:val="20"/>
              </w:rPr>
              <w:t>injury</w:t>
            </w:r>
            <w:proofErr w:type="spellEnd"/>
            <w:r w:rsidRPr="00E50B51">
              <w:rPr>
                <w:sz w:val="20"/>
                <w:szCs w:val="20"/>
              </w:rPr>
              <w:t xml:space="preserve"> of </w:t>
            </w:r>
            <w:proofErr w:type="spellStart"/>
            <w:r w:rsidRPr="00E50B51">
              <w:rPr>
                <w:sz w:val="20"/>
                <w:szCs w:val="20"/>
              </w:rPr>
              <w:t>others</w:t>
            </w:r>
            <w:proofErr w:type="spellEnd"/>
            <w:r w:rsidRPr="00E50B51">
              <w:rPr>
                <w:sz w:val="20"/>
                <w:szCs w:val="20"/>
              </w:rPr>
              <w:t xml:space="preserve">, for </w:t>
            </w:r>
            <w:proofErr w:type="spellStart"/>
            <w:r w:rsidRPr="00E50B51">
              <w:rPr>
                <w:sz w:val="20"/>
                <w:szCs w:val="20"/>
              </w:rPr>
              <w:t>whose</w:t>
            </w:r>
            <w:proofErr w:type="spellEnd"/>
            <w:r w:rsidRPr="00E50B51">
              <w:rPr>
                <w:sz w:val="20"/>
                <w:szCs w:val="20"/>
              </w:rPr>
              <w:t xml:space="preserve"> </w:t>
            </w:r>
            <w:proofErr w:type="spellStart"/>
            <w:r w:rsidRPr="00E50B51">
              <w:rPr>
                <w:sz w:val="20"/>
                <w:szCs w:val="20"/>
              </w:rPr>
              <w:t>protection</w:t>
            </w:r>
            <w:proofErr w:type="spellEnd"/>
            <w:r w:rsidRPr="00E50B51">
              <w:rPr>
                <w:sz w:val="20"/>
                <w:szCs w:val="20"/>
              </w:rPr>
              <w:t xml:space="preserve"> </w:t>
            </w:r>
            <w:proofErr w:type="spellStart"/>
            <w:r w:rsidRPr="00E50B51">
              <w:rPr>
                <w:sz w:val="20"/>
                <w:szCs w:val="20"/>
              </w:rPr>
              <w:t>solemn</w:t>
            </w:r>
            <w:proofErr w:type="spellEnd"/>
            <w:r w:rsidRPr="00E50B51">
              <w:rPr>
                <w:sz w:val="20"/>
                <w:szCs w:val="20"/>
              </w:rPr>
              <w:t xml:space="preserve"> </w:t>
            </w:r>
            <w:proofErr w:type="spellStart"/>
            <w:r w:rsidRPr="00E50B51">
              <w:rPr>
                <w:sz w:val="20"/>
                <w:szCs w:val="20"/>
              </w:rPr>
              <w:t>compacts</w:t>
            </w:r>
            <w:proofErr w:type="spellEnd"/>
            <w:r w:rsidRPr="00E50B51">
              <w:rPr>
                <w:sz w:val="20"/>
                <w:szCs w:val="20"/>
              </w:rPr>
              <w:t xml:space="preserve">, like the </w:t>
            </w:r>
            <w:proofErr w:type="spellStart"/>
            <w:r w:rsidRPr="00E50B51">
              <w:rPr>
                <w:sz w:val="20"/>
                <w:szCs w:val="20"/>
              </w:rPr>
              <w:t>present</w:t>
            </w:r>
            <w:proofErr w:type="spellEnd"/>
            <w:r w:rsidRPr="00E50B51">
              <w:rPr>
                <w:sz w:val="20"/>
                <w:szCs w:val="20"/>
              </w:rPr>
              <w:t xml:space="preserve">, </w:t>
            </w:r>
            <w:proofErr w:type="spellStart"/>
            <w:r w:rsidRPr="00E50B51">
              <w:rPr>
                <w:sz w:val="20"/>
                <w:szCs w:val="20"/>
              </w:rPr>
              <w:t>have</w:t>
            </w:r>
            <w:proofErr w:type="spellEnd"/>
            <w:r w:rsidRPr="00E50B51">
              <w:rPr>
                <w:sz w:val="20"/>
                <w:szCs w:val="20"/>
              </w:rPr>
              <w:t xml:space="preserve"> </w:t>
            </w:r>
            <w:proofErr w:type="spellStart"/>
            <w:r w:rsidRPr="00E50B51">
              <w:rPr>
                <w:sz w:val="20"/>
                <w:szCs w:val="20"/>
              </w:rPr>
              <w:t>been</w:t>
            </w:r>
            <w:proofErr w:type="spellEnd"/>
            <w:r w:rsidRPr="00E50B51">
              <w:rPr>
                <w:sz w:val="20"/>
                <w:szCs w:val="20"/>
              </w:rPr>
              <w:t xml:space="preserve"> </w:t>
            </w:r>
            <w:proofErr w:type="spellStart"/>
            <w:r w:rsidRPr="00E50B51">
              <w:rPr>
                <w:sz w:val="20"/>
                <w:szCs w:val="20"/>
              </w:rPr>
              <w:t>made</w:t>
            </w:r>
            <w:proofErr w:type="spellEnd"/>
            <w:r w:rsidRPr="00E50B51">
              <w:rPr>
                <w:sz w:val="20"/>
                <w:szCs w:val="20"/>
              </w:rPr>
              <w:t>“</w:t>
            </w:r>
            <w:r w:rsidRPr="00E50B51">
              <w:rPr>
                <w:rStyle w:val="Funotenzeichen"/>
                <w:rFonts w:eastAsiaTheme="majorEastAsia"/>
                <w:sz w:val="20"/>
                <w:szCs w:val="20"/>
                <w:lang w:val="en-US"/>
              </w:rPr>
              <w:footnoteReference w:id="116"/>
            </w:r>
            <w:r w:rsidRPr="00E50B51">
              <w:rPr>
                <w:sz w:val="20"/>
                <w:szCs w:val="20"/>
              </w:rPr>
              <w:t>).</w:t>
            </w:r>
          </w:p>
          <w:p w14:paraId="6BD16CEE" w14:textId="356B3C65" w:rsidR="00FE5F32" w:rsidRPr="00B45592" w:rsidRDefault="00FE5F32" w:rsidP="00367133">
            <w:pPr>
              <w:jc w:val="both"/>
              <w:rPr>
                <w:sz w:val="20"/>
                <w:szCs w:val="20"/>
              </w:rPr>
            </w:pPr>
          </w:p>
        </w:tc>
      </w:tr>
      <w:tr w:rsidR="00074551" w:rsidRPr="00E50B51" w14:paraId="213A4724" w14:textId="77777777" w:rsidTr="00BE689F">
        <w:trPr>
          <w:cantSplit/>
          <w:trHeight w:val="3175"/>
        </w:trPr>
        <w:tc>
          <w:tcPr>
            <w:tcW w:w="293" w:type="pct"/>
          </w:tcPr>
          <w:p w14:paraId="0C73825B"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65C9FE5" w14:textId="77777777" w:rsidR="00074551" w:rsidRPr="00B45592" w:rsidRDefault="00074551" w:rsidP="00367133">
            <w:pPr>
              <w:ind w:left="113" w:right="416"/>
              <w:jc w:val="both"/>
              <w:rPr>
                <w:i/>
                <w:sz w:val="20"/>
                <w:szCs w:val="20"/>
                <w:lang w:val="en-US"/>
              </w:rPr>
            </w:pPr>
            <w:r w:rsidRPr="00B45592">
              <w:rPr>
                <w:i/>
                <w:sz w:val="20"/>
                <w:szCs w:val="20"/>
              </w:rPr>
              <w:t>McLean v. Arkansas</w:t>
            </w:r>
          </w:p>
        </w:tc>
        <w:tc>
          <w:tcPr>
            <w:tcW w:w="197" w:type="pct"/>
            <w:textDirection w:val="tbRl"/>
            <w:vAlign w:val="center"/>
          </w:tcPr>
          <w:p w14:paraId="6A6EEEED" w14:textId="77777777" w:rsidR="00074551" w:rsidRPr="00E50B51" w:rsidRDefault="00074551" w:rsidP="00367133">
            <w:pPr>
              <w:ind w:left="113" w:right="113"/>
              <w:jc w:val="both"/>
              <w:rPr>
                <w:sz w:val="20"/>
                <w:szCs w:val="20"/>
                <w:lang w:val="en-US"/>
              </w:rPr>
            </w:pPr>
            <w:r w:rsidRPr="00E50B51">
              <w:rPr>
                <w:sz w:val="20"/>
                <w:szCs w:val="20"/>
                <w:lang w:val="en-US"/>
              </w:rPr>
              <w:t>211 U.S. 539</w:t>
            </w:r>
          </w:p>
        </w:tc>
        <w:tc>
          <w:tcPr>
            <w:tcW w:w="306" w:type="pct"/>
            <w:textDirection w:val="tbRl"/>
            <w:vAlign w:val="center"/>
          </w:tcPr>
          <w:p w14:paraId="3CD0F907" w14:textId="77777777" w:rsidR="00074551" w:rsidRPr="00E50B51" w:rsidRDefault="00074551" w:rsidP="00367133">
            <w:pPr>
              <w:ind w:left="113" w:right="113"/>
              <w:jc w:val="both"/>
              <w:rPr>
                <w:sz w:val="20"/>
                <w:szCs w:val="20"/>
              </w:rPr>
            </w:pPr>
            <w:r w:rsidRPr="00E50B51">
              <w:rPr>
                <w:sz w:val="20"/>
                <w:szCs w:val="20"/>
              </w:rPr>
              <w:t>4. Januar 1909</w:t>
            </w:r>
          </w:p>
        </w:tc>
        <w:tc>
          <w:tcPr>
            <w:tcW w:w="401" w:type="pct"/>
          </w:tcPr>
          <w:p w14:paraId="37EE4FD8"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4C79E430" w14:textId="77777777" w:rsidR="00074551" w:rsidRPr="00E50B51" w:rsidRDefault="00074551" w:rsidP="00367133">
            <w:pPr>
              <w:jc w:val="both"/>
              <w:rPr>
                <w:sz w:val="20"/>
                <w:szCs w:val="20"/>
              </w:rPr>
            </w:pPr>
            <w:r w:rsidRPr="00E50B51">
              <w:rPr>
                <w:sz w:val="20"/>
                <w:szCs w:val="20"/>
              </w:rPr>
              <w:t xml:space="preserve">Im Fall bestätigte das Gericht die Verurteilung eines Geschäftsführers, weil er </w:t>
            </w:r>
            <w:r>
              <w:rPr>
                <w:sz w:val="20"/>
                <w:szCs w:val="20"/>
              </w:rPr>
              <w:t xml:space="preserve">es </w:t>
            </w:r>
            <w:r w:rsidRPr="00E50B51">
              <w:rPr>
                <w:sz w:val="20"/>
                <w:szCs w:val="20"/>
              </w:rPr>
              <w:t xml:space="preserve">entgegen einem bundesstaatlichen Gesetz (1905 Ark. Acts </w:t>
            </w:r>
            <w:proofErr w:type="spellStart"/>
            <w:r w:rsidRPr="00E50B51">
              <w:rPr>
                <w:sz w:val="20"/>
                <w:szCs w:val="20"/>
              </w:rPr>
              <w:t>ch</w:t>
            </w:r>
            <w:proofErr w:type="spellEnd"/>
            <w:r w:rsidRPr="00E50B51">
              <w:rPr>
                <w:sz w:val="20"/>
                <w:szCs w:val="20"/>
              </w:rPr>
              <w:t xml:space="preserve">. 219, </w:t>
            </w:r>
            <w:r>
              <w:rPr>
                <w:sz w:val="20"/>
                <w:szCs w:val="20"/>
              </w:rPr>
              <w:t>§ </w:t>
            </w:r>
            <w:r w:rsidRPr="00E50B51">
              <w:rPr>
                <w:sz w:val="20"/>
                <w:szCs w:val="20"/>
              </w:rPr>
              <w:t xml:space="preserve">1) unterlassen hatte, seine Bergleute nach dem Gewicht der Kohle zu </w:t>
            </w:r>
            <w:r w:rsidRPr="00B45592">
              <w:rPr>
                <w:sz w:val="20"/>
                <w:szCs w:val="20"/>
              </w:rPr>
              <w:t>bezahlen.</w:t>
            </w:r>
          </w:p>
          <w:p w14:paraId="7B33F3A7" w14:textId="77777777" w:rsidR="00074551" w:rsidRPr="00E50B51" w:rsidRDefault="00074551" w:rsidP="00367133">
            <w:pPr>
              <w:jc w:val="both"/>
              <w:rPr>
                <w:sz w:val="20"/>
                <w:szCs w:val="20"/>
              </w:rPr>
            </w:pPr>
          </w:p>
        </w:tc>
        <w:tc>
          <w:tcPr>
            <w:tcW w:w="1822" w:type="pct"/>
          </w:tcPr>
          <w:p w14:paraId="1317554B" w14:textId="60E370D2" w:rsidR="00074551" w:rsidRPr="00E50B51" w:rsidRDefault="00074551" w:rsidP="00367133">
            <w:pPr>
              <w:jc w:val="both"/>
              <w:rPr>
                <w:sz w:val="20"/>
                <w:szCs w:val="20"/>
              </w:rPr>
            </w:pPr>
            <w:r w:rsidRPr="00E50B51">
              <w:rPr>
                <w:sz w:val="20"/>
                <w:szCs w:val="20"/>
              </w:rPr>
              <w:t xml:space="preserve">Zur </w:t>
            </w:r>
            <w:proofErr w:type="spellStart"/>
            <w:r w:rsidRPr="00A142D9">
              <w:rPr>
                <w:i/>
                <w:sz w:val="20"/>
                <w:szCs w:val="20"/>
              </w:rPr>
              <w:t>Contract</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schrieb der </w:t>
            </w:r>
            <w:r>
              <w:rPr>
                <w:sz w:val="20"/>
                <w:szCs w:val="20"/>
              </w:rPr>
              <w:t>U.S. Supreme Court</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schütze das Recht, Verträge über Arbeitskräfte zu schließen und Handel zu treiben. Das Amendment schütze beides gegen staatliche Maßnahmen. Jedoch </w:t>
            </w:r>
            <w:r>
              <w:rPr>
                <w:sz w:val="20"/>
                <w:szCs w:val="20"/>
              </w:rPr>
              <w:t>sei</w:t>
            </w:r>
            <w:r w:rsidRPr="00E50B51">
              <w:rPr>
                <w:sz w:val="20"/>
                <w:szCs w:val="20"/>
              </w:rPr>
              <w:t xml:space="preserve"> das den Schutzrichtungen </w:t>
            </w:r>
            <w:r>
              <w:rPr>
                <w:sz w:val="20"/>
                <w:szCs w:val="20"/>
              </w:rPr>
              <w:t>zugrunde liegende</w:t>
            </w:r>
            <w:r w:rsidRPr="00E50B51">
              <w:rPr>
                <w:sz w:val="20"/>
                <w:szCs w:val="20"/>
              </w:rPr>
              <w:t xml:space="preserve"> Recht auf Vertragsfreiheit begrenzt. Denn wenn ein Gesetz die öffentliche Ordnung, die öffentliche Gesundheitsfürsorge, die Sicherheit oder das Wohlergehen regele, dann könn</w:t>
            </w:r>
            <w:r>
              <w:rPr>
                <w:sz w:val="20"/>
                <w:szCs w:val="20"/>
              </w:rPr>
              <w:t>t</w:t>
            </w:r>
            <w:r w:rsidRPr="00E50B51">
              <w:rPr>
                <w:sz w:val="20"/>
                <w:szCs w:val="20"/>
              </w:rPr>
              <w:t xml:space="preserve">en diese Regelungsrichtungen die Vertragsfreiheit auch verfassungskonform einschränken. Dem widersprach der Rechtsbeistand Daniel B. Holmes für den Kläger. Er erwähnte zunächst die wirtschaftliche Seite des </w:t>
            </w:r>
            <w:proofErr w:type="spellStart"/>
            <w:r w:rsidRPr="00B45592">
              <w:rPr>
                <w:i/>
                <w:iCs/>
                <w:sz w:val="20"/>
                <w:szCs w:val="20"/>
              </w:rPr>
              <w:t>pursuit</w:t>
            </w:r>
            <w:proofErr w:type="spellEnd"/>
            <w:r w:rsidRPr="00B45592">
              <w:rPr>
                <w:i/>
                <w:iCs/>
                <w:sz w:val="20"/>
                <w:szCs w:val="20"/>
              </w:rPr>
              <w:t xml:space="preserve"> of Happiness</w:t>
            </w:r>
            <w:r w:rsidRPr="00E50B51">
              <w:rPr>
                <w:sz w:val="20"/>
                <w:szCs w:val="20"/>
              </w:rPr>
              <w:t xml:space="preserve">. Diese wirtschaftliche Seite und das Freiheitsrecht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E50B51">
              <w:rPr>
                <w:sz w:val="20"/>
                <w:szCs w:val="20"/>
              </w:rPr>
              <w:t>sei</w:t>
            </w:r>
            <w:r>
              <w:rPr>
                <w:sz w:val="20"/>
                <w:szCs w:val="20"/>
              </w:rPr>
              <w:t>en</w:t>
            </w:r>
            <w:r w:rsidRPr="00E50B51">
              <w:rPr>
                <w:sz w:val="20"/>
                <w:szCs w:val="20"/>
              </w:rPr>
              <w:t xml:space="preserve"> betroffen, indem das Gesetz dem Geschäftsführer das Recht auf Vertragsfreiheit einschränke</w:t>
            </w:r>
            <w:r>
              <w:rPr>
                <w:sz w:val="20"/>
                <w:szCs w:val="20"/>
              </w:rPr>
              <w:t>.</w:t>
            </w:r>
            <w:r w:rsidRPr="00E50B51">
              <w:rPr>
                <w:sz w:val="20"/>
                <w:szCs w:val="20"/>
              </w:rPr>
              <w:t xml:space="preserve"> </w:t>
            </w:r>
            <w:r>
              <w:rPr>
                <w:sz w:val="20"/>
                <w:szCs w:val="20"/>
              </w:rPr>
              <w:t>Hier</w:t>
            </w:r>
            <w:r w:rsidRPr="00E50B51">
              <w:rPr>
                <w:sz w:val="20"/>
                <w:szCs w:val="20"/>
              </w:rPr>
              <w:t xml:space="preserve"> </w:t>
            </w:r>
            <w:r>
              <w:rPr>
                <w:sz w:val="20"/>
                <w:szCs w:val="20"/>
              </w:rPr>
              <w:t xml:space="preserve">sei </w:t>
            </w:r>
            <w:r w:rsidRPr="00E50B51">
              <w:rPr>
                <w:sz w:val="20"/>
                <w:szCs w:val="20"/>
              </w:rPr>
              <w:t>Eigentum ohne ein ordentliches Gerichtsverfahren</w:t>
            </w:r>
            <w:r>
              <w:rPr>
                <w:sz w:val="20"/>
                <w:szCs w:val="20"/>
              </w:rPr>
              <w:t xml:space="preserve"> bzw. rechtsstaatliches Verfahren</w:t>
            </w:r>
            <w:r w:rsidRPr="00E50B51">
              <w:rPr>
                <w:sz w:val="20"/>
                <w:szCs w:val="20"/>
              </w:rPr>
              <w:t xml:space="preserve"> entz</w:t>
            </w:r>
            <w:r>
              <w:rPr>
                <w:sz w:val="20"/>
                <w:szCs w:val="20"/>
              </w:rPr>
              <w:t>ogen</w:t>
            </w:r>
            <w:r w:rsidRPr="00E50B51">
              <w:rPr>
                <w:sz w:val="20"/>
                <w:szCs w:val="20"/>
              </w:rPr>
              <w:t xml:space="preserve"> und</w:t>
            </w:r>
            <w:r>
              <w:rPr>
                <w:sz w:val="20"/>
                <w:szCs w:val="20"/>
              </w:rPr>
              <w:t xml:space="preserve"> es sei</w:t>
            </w:r>
            <w:r w:rsidRPr="00E50B51">
              <w:rPr>
                <w:sz w:val="20"/>
                <w:szCs w:val="20"/>
              </w:rPr>
              <w:t xml:space="preserve"> gegenüber anderen </w:t>
            </w:r>
            <w:r>
              <w:rPr>
                <w:sz w:val="20"/>
                <w:szCs w:val="20"/>
              </w:rPr>
              <w:t xml:space="preserve">Berufen – hier Nichtbergleute – </w:t>
            </w:r>
            <w:r w:rsidRPr="00E50B51">
              <w:rPr>
                <w:sz w:val="20"/>
                <w:szCs w:val="20"/>
              </w:rPr>
              <w:t>diskriminier</w:t>
            </w:r>
            <w:r>
              <w:rPr>
                <w:sz w:val="20"/>
                <w:szCs w:val="20"/>
              </w:rPr>
              <w:t>t</w:t>
            </w:r>
            <w:r w:rsidRPr="00E50B51">
              <w:rPr>
                <w:sz w:val="20"/>
                <w:szCs w:val="20"/>
              </w:rPr>
              <w:t xml:space="preserve"> sowie das Recht auf bürgerliche Freiheit </w:t>
            </w:r>
            <w:r>
              <w:rPr>
                <w:sz w:val="20"/>
                <w:szCs w:val="20"/>
              </w:rPr>
              <w:t>genommen worden.</w:t>
            </w:r>
            <w:r w:rsidRPr="00E50B51">
              <w:rPr>
                <w:sz w:val="20"/>
                <w:szCs w:val="20"/>
              </w:rPr>
              <w:t xml:space="preserve"> </w:t>
            </w:r>
            <w:r>
              <w:rPr>
                <w:sz w:val="20"/>
                <w:szCs w:val="20"/>
              </w:rPr>
              <w:t>U</w:t>
            </w:r>
            <w:r w:rsidRPr="00E50B51">
              <w:rPr>
                <w:sz w:val="20"/>
                <w:szCs w:val="20"/>
              </w:rPr>
              <w:t>nd damit</w:t>
            </w:r>
            <w:r>
              <w:rPr>
                <w:sz w:val="20"/>
                <w:szCs w:val="20"/>
              </w:rPr>
              <w:t xml:space="preserve"> sei</w:t>
            </w:r>
            <w:r w:rsidRPr="00E50B51">
              <w:rPr>
                <w:sz w:val="20"/>
                <w:szCs w:val="20"/>
              </w:rPr>
              <w:t xml:space="preserve"> letztendlich die Bedingungen für Glücksstreben verweiger</w:t>
            </w:r>
            <w:r>
              <w:rPr>
                <w:sz w:val="20"/>
                <w:szCs w:val="20"/>
              </w:rPr>
              <w:t>t worden</w:t>
            </w:r>
            <w:r w:rsidRPr="00E50B51">
              <w:rPr>
                <w:sz w:val="20"/>
                <w:szCs w:val="20"/>
              </w:rPr>
              <w:t xml:space="preserve">. Ein solches Gesetz </w:t>
            </w:r>
            <w:r>
              <w:rPr>
                <w:sz w:val="20"/>
                <w:szCs w:val="20"/>
              </w:rPr>
              <w:t>schränke die</w:t>
            </w:r>
            <w:r w:rsidRPr="00E50B51">
              <w:rPr>
                <w:sz w:val="20"/>
                <w:szCs w:val="20"/>
              </w:rPr>
              <w:t xml:space="preserve"> Freiheit </w:t>
            </w:r>
            <w:r>
              <w:rPr>
                <w:sz w:val="20"/>
                <w:szCs w:val="20"/>
              </w:rPr>
              <w:t xml:space="preserve">ein: </w:t>
            </w:r>
            <w:r w:rsidRPr="00E50B51">
              <w:rPr>
                <w:sz w:val="20"/>
                <w:szCs w:val="20"/>
              </w:rPr>
              <w:t xml:space="preserve">sowohl </w:t>
            </w:r>
            <w:r>
              <w:rPr>
                <w:sz w:val="20"/>
                <w:szCs w:val="20"/>
              </w:rPr>
              <w:t xml:space="preserve">die </w:t>
            </w:r>
            <w:r w:rsidRPr="00E50B51">
              <w:rPr>
                <w:sz w:val="20"/>
                <w:szCs w:val="20"/>
              </w:rPr>
              <w:t xml:space="preserve">des Arbeitgebers als auch </w:t>
            </w:r>
            <w:r>
              <w:rPr>
                <w:sz w:val="20"/>
                <w:szCs w:val="20"/>
              </w:rPr>
              <w:t xml:space="preserve">die </w:t>
            </w:r>
            <w:r w:rsidRPr="00E50B51">
              <w:rPr>
                <w:sz w:val="20"/>
                <w:szCs w:val="20"/>
              </w:rPr>
              <w:t>des Arbeitnehmers.</w:t>
            </w:r>
            <w:r w:rsidRPr="00E50B51">
              <w:rPr>
                <w:rStyle w:val="Funotenzeichen"/>
                <w:rFonts w:eastAsiaTheme="majorEastAsia"/>
                <w:sz w:val="20"/>
                <w:szCs w:val="20"/>
              </w:rPr>
              <w:footnoteReference w:id="117"/>
            </w:r>
            <w:r w:rsidRPr="00E50B51">
              <w:rPr>
                <w:sz w:val="20"/>
                <w:szCs w:val="20"/>
              </w:rPr>
              <w:t xml:space="preserve"> Der staatliche Eingriff im öffentlichen Interesse sei</w:t>
            </w:r>
            <w:r>
              <w:rPr>
                <w:sz w:val="20"/>
                <w:szCs w:val="20"/>
              </w:rPr>
              <w:t xml:space="preserve"> hier zu begrenzen</w:t>
            </w:r>
            <w:r w:rsidRPr="00E50B51">
              <w:rPr>
                <w:sz w:val="20"/>
                <w:szCs w:val="20"/>
              </w:rPr>
              <w:t>.</w:t>
            </w:r>
            <w:r w:rsidRPr="00E50B51">
              <w:rPr>
                <w:rStyle w:val="Funotenzeichen"/>
                <w:rFonts w:eastAsiaTheme="majorEastAsia"/>
                <w:sz w:val="20"/>
                <w:szCs w:val="20"/>
              </w:rPr>
              <w:footnoteReference w:id="118"/>
            </w:r>
          </w:p>
          <w:p w14:paraId="012FC8E2" w14:textId="77777777" w:rsidR="00074551" w:rsidRPr="00E50B51" w:rsidRDefault="00074551" w:rsidP="00367133">
            <w:pPr>
              <w:jc w:val="both"/>
              <w:rPr>
                <w:sz w:val="20"/>
                <w:szCs w:val="20"/>
              </w:rPr>
            </w:pPr>
          </w:p>
        </w:tc>
      </w:tr>
      <w:tr w:rsidR="00074551" w:rsidRPr="00E50B51" w14:paraId="3C30D1E3" w14:textId="77777777" w:rsidTr="00BE689F">
        <w:trPr>
          <w:cantSplit/>
          <w:trHeight w:val="3175"/>
        </w:trPr>
        <w:tc>
          <w:tcPr>
            <w:tcW w:w="293" w:type="pct"/>
          </w:tcPr>
          <w:p w14:paraId="53C7FD08" w14:textId="77777777" w:rsidR="00074551" w:rsidRPr="00E50B51" w:rsidRDefault="00074551" w:rsidP="00367133">
            <w:pPr>
              <w:ind w:right="416"/>
              <w:jc w:val="center"/>
              <w:rPr>
                <w:sz w:val="20"/>
                <w:szCs w:val="20"/>
              </w:rPr>
            </w:pPr>
            <w:r w:rsidRPr="00E50B51">
              <w:rPr>
                <w:sz w:val="20"/>
                <w:szCs w:val="20"/>
                <w:lang w:val="en-US"/>
              </w:rPr>
              <w:lastRenderedPageBreak/>
              <w:t>H</w:t>
            </w:r>
          </w:p>
        </w:tc>
        <w:tc>
          <w:tcPr>
            <w:tcW w:w="387" w:type="pct"/>
            <w:textDirection w:val="tbRl"/>
            <w:vAlign w:val="center"/>
          </w:tcPr>
          <w:p w14:paraId="3A42EFCA" w14:textId="77777777" w:rsidR="00074551" w:rsidRPr="00B45592" w:rsidRDefault="00074551" w:rsidP="00367133">
            <w:pPr>
              <w:ind w:left="113" w:right="416"/>
              <w:jc w:val="both"/>
              <w:rPr>
                <w:i/>
                <w:sz w:val="20"/>
                <w:szCs w:val="20"/>
                <w:lang w:val="en-US"/>
              </w:rPr>
            </w:pPr>
            <w:r w:rsidRPr="00B45592">
              <w:rPr>
                <w:i/>
                <w:sz w:val="20"/>
                <w:szCs w:val="20"/>
                <w:lang w:val="en-US"/>
              </w:rPr>
              <w:t>Proprietors of Charles River Bridge v. Proprietors of Warren Bridge</w:t>
            </w:r>
          </w:p>
        </w:tc>
        <w:tc>
          <w:tcPr>
            <w:tcW w:w="197" w:type="pct"/>
            <w:textDirection w:val="tbRl"/>
            <w:vAlign w:val="center"/>
          </w:tcPr>
          <w:p w14:paraId="34F5EC61" w14:textId="77777777" w:rsidR="00074551" w:rsidRPr="00E50B51" w:rsidRDefault="00074551" w:rsidP="00367133">
            <w:pPr>
              <w:ind w:left="113" w:right="113"/>
              <w:jc w:val="both"/>
              <w:rPr>
                <w:sz w:val="20"/>
                <w:szCs w:val="20"/>
                <w:lang w:val="en-US"/>
              </w:rPr>
            </w:pPr>
            <w:r w:rsidRPr="00E50B51">
              <w:rPr>
                <w:sz w:val="20"/>
                <w:szCs w:val="20"/>
              </w:rPr>
              <w:t>36 U.S. 420</w:t>
            </w:r>
          </w:p>
        </w:tc>
        <w:tc>
          <w:tcPr>
            <w:tcW w:w="306" w:type="pct"/>
            <w:textDirection w:val="tbRl"/>
            <w:vAlign w:val="center"/>
          </w:tcPr>
          <w:p w14:paraId="597A1077" w14:textId="77777777" w:rsidR="00074551" w:rsidRPr="00E50B51" w:rsidRDefault="00074551" w:rsidP="00367133">
            <w:pPr>
              <w:ind w:left="113" w:right="113"/>
              <w:jc w:val="both"/>
              <w:rPr>
                <w:sz w:val="20"/>
                <w:szCs w:val="20"/>
              </w:rPr>
            </w:pPr>
            <w:r w:rsidRPr="00E50B51">
              <w:rPr>
                <w:sz w:val="20"/>
                <w:szCs w:val="20"/>
              </w:rPr>
              <w:t>14. Februar 1837</w:t>
            </w:r>
          </w:p>
        </w:tc>
        <w:tc>
          <w:tcPr>
            <w:tcW w:w="401" w:type="pct"/>
          </w:tcPr>
          <w:p w14:paraId="3AD68D28" w14:textId="77777777" w:rsidR="00074551" w:rsidRPr="00E50B51" w:rsidRDefault="00074551" w:rsidP="00367133">
            <w:pPr>
              <w:jc w:val="center"/>
              <w:rPr>
                <w:sz w:val="20"/>
                <w:szCs w:val="20"/>
                <w:lang w:val="en-US"/>
              </w:rPr>
            </w:pPr>
            <w:r w:rsidRPr="00E50B51">
              <w:rPr>
                <w:sz w:val="20"/>
                <w:szCs w:val="20"/>
                <w:lang w:val="en-US"/>
              </w:rPr>
              <w:t>M</w:t>
            </w:r>
          </w:p>
        </w:tc>
        <w:tc>
          <w:tcPr>
            <w:tcW w:w="1594" w:type="pct"/>
          </w:tcPr>
          <w:p w14:paraId="53F20EE6" w14:textId="77777777" w:rsidR="00074551" w:rsidRPr="00E50B51" w:rsidRDefault="00074551" w:rsidP="00367133">
            <w:pPr>
              <w:jc w:val="both"/>
              <w:rPr>
                <w:sz w:val="20"/>
                <w:szCs w:val="20"/>
              </w:rPr>
            </w:pPr>
            <w:r w:rsidRPr="00E50B51">
              <w:rPr>
                <w:sz w:val="20"/>
                <w:szCs w:val="20"/>
              </w:rPr>
              <w:t xml:space="preserve">Die Eigentümer einer bestehenden Brücke klagten gegen die Zulassung einer neuen Brücke. Sie argumentierten, die neuen Brücke beeinträchtige ihre vertraglichen Rechte. Der </w:t>
            </w:r>
            <w:r w:rsidRPr="00B45592">
              <w:rPr>
                <w:i/>
                <w:sz w:val="20"/>
                <w:szCs w:val="20"/>
              </w:rPr>
              <w:t xml:space="preserve">Supreme </w:t>
            </w:r>
            <w:proofErr w:type="spellStart"/>
            <w:r w:rsidRPr="00B45592">
              <w:rPr>
                <w:i/>
                <w:sz w:val="20"/>
                <w:szCs w:val="20"/>
              </w:rPr>
              <w:t>Judicial</w:t>
            </w:r>
            <w:proofErr w:type="spellEnd"/>
            <w:r w:rsidRPr="00B45592">
              <w:rPr>
                <w:i/>
                <w:sz w:val="20"/>
                <w:szCs w:val="20"/>
              </w:rPr>
              <w:t xml:space="preserve"> Court of Massachusetts</w:t>
            </w:r>
            <w:r w:rsidRPr="00E50B51">
              <w:rPr>
                <w:sz w:val="20"/>
                <w:szCs w:val="20"/>
              </w:rPr>
              <w:t xml:space="preserve"> wies die Klage ab. Der </w:t>
            </w:r>
            <w:r>
              <w:rPr>
                <w:sz w:val="20"/>
                <w:szCs w:val="20"/>
              </w:rPr>
              <w:t>U.S. Supreme Court</w:t>
            </w:r>
            <w:r w:rsidRPr="00E50B51">
              <w:rPr>
                <w:sz w:val="20"/>
                <w:szCs w:val="20"/>
              </w:rPr>
              <w:t xml:space="preserve"> stimmte zu. Er erklärte, für eine Verletzung müssten die Kläger zwei Punkte nachweisen: Einerseits, dass ihre Rechte vertraglich begründet waren, um die </w:t>
            </w:r>
            <w:proofErr w:type="spellStart"/>
            <w:r w:rsidRPr="00A142D9">
              <w:rPr>
                <w:i/>
                <w:sz w:val="20"/>
                <w:szCs w:val="20"/>
              </w:rPr>
              <w:t>Contract</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stark zu machen; andererseits, dass die neue Brückengenehmigung diese Rechte verletzte. Aber </w:t>
            </w:r>
            <w:r>
              <w:rPr>
                <w:sz w:val="20"/>
                <w:szCs w:val="20"/>
              </w:rPr>
              <w:t>zum einen</w:t>
            </w:r>
            <w:r w:rsidRPr="00E50B51">
              <w:rPr>
                <w:sz w:val="20"/>
                <w:szCs w:val="20"/>
              </w:rPr>
              <w:t xml:space="preserve"> stamm</w:t>
            </w:r>
            <w:r>
              <w:rPr>
                <w:sz w:val="20"/>
                <w:szCs w:val="20"/>
              </w:rPr>
              <w:t>t</w:t>
            </w:r>
            <w:r w:rsidRPr="00E50B51">
              <w:rPr>
                <w:sz w:val="20"/>
                <w:szCs w:val="20"/>
              </w:rPr>
              <w:t>en die Rechte der Kläger aus einem Gesetz</w:t>
            </w:r>
            <w:r>
              <w:rPr>
                <w:sz w:val="20"/>
                <w:szCs w:val="20"/>
              </w:rPr>
              <w:t>,</w:t>
            </w:r>
            <w:r w:rsidRPr="00E50B51">
              <w:rPr>
                <w:rStyle w:val="Funotenzeichen"/>
                <w:sz w:val="20"/>
                <w:szCs w:val="20"/>
              </w:rPr>
              <w:footnoteReference w:id="119"/>
            </w:r>
            <w:r w:rsidRPr="00E50B51">
              <w:rPr>
                <w:sz w:val="20"/>
                <w:szCs w:val="20"/>
              </w:rPr>
              <w:t xml:space="preserve"> </w:t>
            </w:r>
            <w:r>
              <w:rPr>
                <w:sz w:val="20"/>
                <w:szCs w:val="20"/>
              </w:rPr>
              <w:t>und zum anderen</w:t>
            </w:r>
            <w:r w:rsidRPr="00E50B51">
              <w:rPr>
                <w:sz w:val="20"/>
                <w:szCs w:val="20"/>
              </w:rPr>
              <w:t xml:space="preserve"> gewähre dieses Gesetz ihnen kein exklusives Nutzungsrecht des Flusses. Daher wurde ihre Klage abgewiesen.</w:t>
            </w:r>
            <w:r w:rsidRPr="00E50B51">
              <w:rPr>
                <w:rStyle w:val="Funotenzeichen"/>
                <w:sz w:val="20"/>
                <w:szCs w:val="20"/>
              </w:rPr>
              <w:t xml:space="preserve"> </w:t>
            </w:r>
            <w:r w:rsidRPr="00E50B51">
              <w:rPr>
                <w:rStyle w:val="Funotenzeichen"/>
                <w:sz w:val="20"/>
                <w:szCs w:val="20"/>
              </w:rPr>
              <w:footnoteReference w:id="120"/>
            </w:r>
            <w:r w:rsidRPr="00E50B51">
              <w:rPr>
                <w:sz w:val="20"/>
                <w:szCs w:val="20"/>
              </w:rPr>
              <w:t xml:space="preserve"> </w:t>
            </w:r>
          </w:p>
          <w:p w14:paraId="08325F74" w14:textId="77777777" w:rsidR="00074551" w:rsidRPr="00E50B51" w:rsidRDefault="00074551" w:rsidP="00367133">
            <w:pPr>
              <w:jc w:val="both"/>
              <w:rPr>
                <w:sz w:val="20"/>
                <w:szCs w:val="20"/>
              </w:rPr>
            </w:pPr>
          </w:p>
          <w:p w14:paraId="0F84AD13" w14:textId="77777777" w:rsidR="00074551" w:rsidRPr="00E50B51" w:rsidRDefault="00074551" w:rsidP="00367133">
            <w:pPr>
              <w:jc w:val="both"/>
              <w:rPr>
                <w:sz w:val="20"/>
                <w:szCs w:val="20"/>
              </w:rPr>
            </w:pPr>
          </w:p>
          <w:p w14:paraId="6FF073C3" w14:textId="77777777" w:rsidR="00074551" w:rsidRPr="00E50B51" w:rsidRDefault="00074551" w:rsidP="00367133">
            <w:pPr>
              <w:jc w:val="both"/>
              <w:rPr>
                <w:sz w:val="20"/>
                <w:szCs w:val="20"/>
              </w:rPr>
            </w:pPr>
          </w:p>
        </w:tc>
        <w:tc>
          <w:tcPr>
            <w:tcW w:w="1822" w:type="pct"/>
          </w:tcPr>
          <w:p w14:paraId="7695F314"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w:t>
            </w:r>
            <w:r w:rsidRPr="00B45592">
              <w:rPr>
                <w:i/>
                <w:sz w:val="20"/>
                <w:szCs w:val="20"/>
                <w:lang w:val="en-US"/>
              </w:rPr>
              <w:t>Constitutional Law › Congressional Duties &amp; Powers › Contracts Clause › General Overview</w:t>
            </w:r>
          </w:p>
          <w:p w14:paraId="719B2E0A" w14:textId="77777777" w:rsidR="00074551" w:rsidRPr="00E50B51" w:rsidRDefault="00074551" w:rsidP="00367133">
            <w:pPr>
              <w:jc w:val="both"/>
              <w:rPr>
                <w:sz w:val="20"/>
                <w:szCs w:val="20"/>
                <w:lang w:val="en-US"/>
              </w:rPr>
            </w:pPr>
          </w:p>
          <w:p w14:paraId="69422580" w14:textId="77777777" w:rsidR="00074551" w:rsidRPr="00E50B51" w:rsidRDefault="00074551" w:rsidP="00367133">
            <w:pPr>
              <w:jc w:val="both"/>
              <w:rPr>
                <w:sz w:val="20"/>
                <w:szCs w:val="20"/>
              </w:rPr>
            </w:pPr>
            <w:r w:rsidRPr="00E50B51">
              <w:rPr>
                <w:sz w:val="20"/>
                <w:szCs w:val="20"/>
              </w:rPr>
              <w:t xml:space="preserve">Ein Gesetz kann rückwirkenden Charakter haben und Rechte aufheben. Dennoch </w:t>
            </w:r>
            <w:r>
              <w:rPr>
                <w:sz w:val="20"/>
                <w:szCs w:val="20"/>
              </w:rPr>
              <w:t>müsse</w:t>
            </w:r>
            <w:r w:rsidRPr="00E50B51">
              <w:rPr>
                <w:sz w:val="20"/>
                <w:szCs w:val="20"/>
              </w:rPr>
              <w:t xml:space="preserve"> es nicht gegen die Verfassung der Vereinigten Staaten verstoßen</w:t>
            </w:r>
            <w:r>
              <w:rPr>
                <w:sz w:val="20"/>
                <w:szCs w:val="20"/>
              </w:rPr>
              <w:t>, e</w:t>
            </w:r>
            <w:r w:rsidRPr="00E50B51">
              <w:rPr>
                <w:sz w:val="20"/>
                <w:szCs w:val="20"/>
              </w:rPr>
              <w:t>s sei denn, das Gesetz beeinträchtige die Verpflichtung</w:t>
            </w:r>
            <w:r>
              <w:rPr>
                <w:sz w:val="20"/>
                <w:szCs w:val="20"/>
              </w:rPr>
              <w:t>en</w:t>
            </w:r>
            <w:r w:rsidRPr="00E50B51">
              <w:rPr>
                <w:sz w:val="20"/>
                <w:szCs w:val="20"/>
              </w:rPr>
              <w:t xml:space="preserve"> aus einem Vertrag.</w:t>
            </w:r>
            <w:r w:rsidRPr="00E50B51">
              <w:rPr>
                <w:rStyle w:val="Funotenzeichen"/>
                <w:sz w:val="20"/>
                <w:szCs w:val="20"/>
              </w:rPr>
              <w:footnoteReference w:id="121"/>
            </w:r>
          </w:p>
          <w:p w14:paraId="29A580AF" w14:textId="77777777" w:rsidR="00074551" w:rsidRPr="00E50B51" w:rsidRDefault="00074551" w:rsidP="00367133">
            <w:pPr>
              <w:jc w:val="both"/>
              <w:rPr>
                <w:sz w:val="20"/>
                <w:szCs w:val="20"/>
              </w:rPr>
            </w:pPr>
          </w:p>
          <w:p w14:paraId="4D46839A" w14:textId="77777777" w:rsidR="00074551" w:rsidRPr="00E50B51" w:rsidRDefault="00074551" w:rsidP="00367133">
            <w:pPr>
              <w:jc w:val="both"/>
              <w:rPr>
                <w:sz w:val="20"/>
                <w:szCs w:val="20"/>
              </w:rPr>
            </w:pPr>
            <w:r w:rsidRPr="00E50B51">
              <w:rPr>
                <w:sz w:val="20"/>
                <w:szCs w:val="20"/>
              </w:rPr>
              <w:t>Eine private Gesellschaft sei streng auf die Ausübung der ihr ausdrücklich übertragenen Befugnisse beschränkt.</w:t>
            </w:r>
            <w:r w:rsidRPr="00E50B51">
              <w:rPr>
                <w:rStyle w:val="Funotenzeichen"/>
                <w:sz w:val="20"/>
                <w:szCs w:val="20"/>
              </w:rPr>
              <w:footnoteReference w:id="122"/>
            </w:r>
          </w:p>
          <w:p w14:paraId="25339678" w14:textId="77777777" w:rsidR="00074551" w:rsidRPr="00E50B51" w:rsidRDefault="00074551" w:rsidP="00367133">
            <w:pPr>
              <w:jc w:val="both"/>
              <w:rPr>
                <w:sz w:val="20"/>
                <w:szCs w:val="20"/>
              </w:rPr>
            </w:pPr>
            <w:r w:rsidRPr="00E50B51">
              <w:rPr>
                <w:sz w:val="20"/>
                <w:szCs w:val="20"/>
                <w:lang w:val="en-US"/>
              </w:rPr>
              <w:t xml:space="preserve">Das </w:t>
            </w:r>
            <w:proofErr w:type="spellStart"/>
            <w:r w:rsidRPr="00E50B51">
              <w:rPr>
                <w:sz w:val="20"/>
                <w:szCs w:val="20"/>
                <w:lang w:val="en-US"/>
              </w:rPr>
              <w:t>oberste</w:t>
            </w:r>
            <w:proofErr w:type="spellEnd"/>
            <w:r w:rsidRPr="00E50B51">
              <w:rPr>
                <w:sz w:val="20"/>
                <w:szCs w:val="20"/>
                <w:lang w:val="en-US"/>
              </w:rPr>
              <w:t xml:space="preserve"> Ziel </w:t>
            </w:r>
            <w:proofErr w:type="spellStart"/>
            <w:r w:rsidRPr="00E50B51">
              <w:rPr>
                <w:sz w:val="20"/>
                <w:szCs w:val="20"/>
                <w:lang w:val="en-US"/>
              </w:rPr>
              <w:t>einer</w:t>
            </w:r>
            <w:proofErr w:type="spellEnd"/>
            <w:r w:rsidRPr="00E50B51">
              <w:rPr>
                <w:sz w:val="20"/>
                <w:szCs w:val="20"/>
                <w:lang w:val="en-US"/>
              </w:rPr>
              <w:t xml:space="preserve"> </w:t>
            </w:r>
            <w:proofErr w:type="spellStart"/>
            <w:r w:rsidRPr="00E50B51">
              <w:rPr>
                <w:sz w:val="20"/>
                <w:szCs w:val="20"/>
                <w:lang w:val="en-US"/>
              </w:rPr>
              <w:t>Regierung</w:t>
            </w:r>
            <w:proofErr w:type="spellEnd"/>
            <w:r w:rsidRPr="00E50B51">
              <w:rPr>
                <w:sz w:val="20"/>
                <w:szCs w:val="20"/>
                <w:lang w:val="en-US"/>
              </w:rPr>
              <w:t xml:space="preserve"> sei es, das Glück und den </w:t>
            </w:r>
            <w:proofErr w:type="spellStart"/>
            <w:r w:rsidRPr="00E50B51">
              <w:rPr>
                <w:sz w:val="20"/>
                <w:szCs w:val="20"/>
                <w:lang w:val="en-US"/>
              </w:rPr>
              <w:t>Wohlstand</w:t>
            </w:r>
            <w:proofErr w:type="spellEnd"/>
            <w:r w:rsidRPr="00E50B51">
              <w:rPr>
                <w:sz w:val="20"/>
                <w:szCs w:val="20"/>
                <w:lang w:val="en-US"/>
              </w:rPr>
              <w:t xml:space="preserve"> der </w:t>
            </w:r>
            <w:proofErr w:type="spellStart"/>
            <w:r w:rsidRPr="00E50B51">
              <w:rPr>
                <w:sz w:val="20"/>
                <w:szCs w:val="20"/>
                <w:lang w:val="en-US"/>
              </w:rPr>
              <w:t>Bevölkerung</w:t>
            </w:r>
            <w:proofErr w:type="spellEnd"/>
            <w:r w:rsidRPr="00E50B51">
              <w:rPr>
                <w:sz w:val="20"/>
                <w:szCs w:val="20"/>
                <w:lang w:val="en-US"/>
              </w:rPr>
              <w:t xml:space="preserve"> </w:t>
            </w:r>
            <w:proofErr w:type="spellStart"/>
            <w:r w:rsidRPr="00E50B51">
              <w:rPr>
                <w:sz w:val="20"/>
                <w:szCs w:val="20"/>
                <w:lang w:val="en-US"/>
              </w:rPr>
              <w:t>zu</w:t>
            </w:r>
            <w:proofErr w:type="spellEnd"/>
            <w:r w:rsidRPr="00E50B51">
              <w:rPr>
                <w:sz w:val="20"/>
                <w:szCs w:val="20"/>
                <w:lang w:val="en-US"/>
              </w:rPr>
              <w:t xml:space="preserve"> </w:t>
            </w:r>
            <w:proofErr w:type="spellStart"/>
            <w:r w:rsidRPr="00E50B51">
              <w:rPr>
                <w:sz w:val="20"/>
                <w:szCs w:val="20"/>
                <w:lang w:val="en-US"/>
              </w:rPr>
              <w:t>fördern</w:t>
            </w:r>
            <w:proofErr w:type="spellEnd"/>
            <w:r w:rsidRPr="00E50B51">
              <w:rPr>
                <w:sz w:val="20"/>
                <w:szCs w:val="20"/>
                <w:lang w:val="en-US"/>
              </w:rPr>
              <w:t xml:space="preserve"> („object and the end of all government is to promote the happiness and prosperity of the community by which it is </w:t>
            </w:r>
            <w:proofErr w:type="gramStart"/>
            <w:r w:rsidRPr="00E50B51">
              <w:rPr>
                <w:sz w:val="20"/>
                <w:szCs w:val="20"/>
                <w:lang w:val="en-US"/>
              </w:rPr>
              <w:t>established“</w:t>
            </w:r>
            <w:proofErr w:type="gramEnd"/>
            <w:r w:rsidRPr="00E50B51">
              <w:rPr>
                <w:rStyle w:val="Funotenzeichen"/>
                <w:sz w:val="20"/>
                <w:szCs w:val="20"/>
              </w:rPr>
              <w:footnoteReference w:id="123"/>
            </w:r>
            <w:r w:rsidRPr="00E50B51">
              <w:rPr>
                <w:sz w:val="20"/>
                <w:szCs w:val="20"/>
                <w:lang w:val="en-US"/>
              </w:rPr>
              <w:t xml:space="preserve">). </w:t>
            </w:r>
            <w:r w:rsidRPr="00E50B51">
              <w:rPr>
                <w:sz w:val="20"/>
                <w:szCs w:val="20"/>
              </w:rPr>
              <w:t xml:space="preserve">Aufgrund dieser Wichtigkeit der Ziele gehe die Vermutung fehl, die Regierung habe </w:t>
            </w:r>
            <w:r>
              <w:rPr>
                <w:sz w:val="20"/>
                <w:szCs w:val="20"/>
              </w:rPr>
              <w:t>ihre</w:t>
            </w:r>
            <w:r w:rsidRPr="00E50B51">
              <w:rPr>
                <w:sz w:val="20"/>
                <w:szCs w:val="20"/>
              </w:rPr>
              <w:t xml:space="preserve"> Funktion verringern wollen, eines dieser Ziele zu erreichen. Hier drücke sich das Ziel darin aus, die streitgegenständlichen Handelsrouten zu nutzen bzw. zu bewirtschaften. Sie seien wesentlich für den Wohlstand und sicher</w:t>
            </w:r>
            <w:r>
              <w:rPr>
                <w:sz w:val="20"/>
                <w:szCs w:val="20"/>
              </w:rPr>
              <w:t>te</w:t>
            </w:r>
            <w:r w:rsidRPr="00E50B51">
              <w:rPr>
                <w:sz w:val="20"/>
                <w:szCs w:val="20"/>
              </w:rPr>
              <w:t>n damit die Grundlage für Glück. Es wäre also verfehlt zu vermuten, der Staat trete diese Kernkompetenz an Private ab – insbesondere nicht für 70 Jahre. Schließlich entwickel</w:t>
            </w:r>
            <w:r>
              <w:rPr>
                <w:sz w:val="20"/>
                <w:szCs w:val="20"/>
              </w:rPr>
              <w:t>te</w:t>
            </w:r>
            <w:r w:rsidRPr="00E50B51">
              <w:rPr>
                <w:sz w:val="20"/>
                <w:szCs w:val="20"/>
              </w:rPr>
              <w:t xml:space="preserve">n sich die Wirtschaft und damit die Handelsrouten. Und die Bevölkerung habe ein öffentliches Interesse daran, dass der Staat – nicht Private – auf diese Wirtschaftsentwicklungen reagiere. Würde die Regierung also diese Kompetenz an Private übertragen, dann stelle sie nicht nur ihre eigene Existenzgrundlage </w:t>
            </w:r>
            <w:r>
              <w:rPr>
                <w:sz w:val="20"/>
                <w:szCs w:val="20"/>
              </w:rPr>
              <w:t>infrage</w:t>
            </w:r>
            <w:r w:rsidRPr="00E50B51">
              <w:rPr>
                <w:sz w:val="20"/>
                <w:szCs w:val="20"/>
              </w:rPr>
              <w:t xml:space="preserve">. Sondern sie delegitimiere zugleich die Ziele, für die die Bevölkerung sie überhaupt errichtet habe. Daher </w:t>
            </w:r>
            <w:r>
              <w:rPr>
                <w:sz w:val="20"/>
                <w:szCs w:val="20"/>
              </w:rPr>
              <w:t>gelte</w:t>
            </w:r>
            <w:r w:rsidRPr="00E50B51">
              <w:rPr>
                <w:sz w:val="20"/>
                <w:szCs w:val="20"/>
              </w:rPr>
              <w:t xml:space="preserve"> die Auslegungsregel: Wenn eine Kompetenz zur Zielerreichung notwendig sei, dann habe der Staat sie im Zweifel nicht abgetreten, außer er expliziere dies vertraglich. </w:t>
            </w:r>
            <w:r>
              <w:rPr>
                <w:sz w:val="20"/>
                <w:szCs w:val="20"/>
              </w:rPr>
              <w:t>Dies war</w:t>
            </w:r>
            <w:r w:rsidRPr="00E50B51">
              <w:rPr>
                <w:sz w:val="20"/>
                <w:szCs w:val="20"/>
              </w:rPr>
              <w:t xml:space="preserve"> hier nicht der Fall. Diese Vermutung </w:t>
            </w:r>
            <w:r>
              <w:rPr>
                <w:sz w:val="20"/>
                <w:szCs w:val="20"/>
              </w:rPr>
              <w:t>gelte</w:t>
            </w:r>
            <w:r w:rsidRPr="00E50B51">
              <w:rPr>
                <w:sz w:val="20"/>
                <w:szCs w:val="20"/>
              </w:rPr>
              <w:t xml:space="preserve"> auch, obwohl das Privateigentum </w:t>
            </w:r>
            <w:r>
              <w:rPr>
                <w:sz w:val="20"/>
                <w:szCs w:val="20"/>
              </w:rPr>
              <w:t>ebenfalls</w:t>
            </w:r>
            <w:r w:rsidRPr="00E50B51">
              <w:rPr>
                <w:sz w:val="20"/>
                <w:szCs w:val="20"/>
              </w:rPr>
              <w:t xml:space="preserve"> ein zentrales Verfassungsprinzip sei, hier das Privateigentum der Gesellschaft, die die Handelsroute bewirtschaftete und die Beschwerde führte. </w:t>
            </w:r>
            <w:r w:rsidRPr="00E50B51">
              <w:rPr>
                <w:sz w:val="20"/>
                <w:szCs w:val="20"/>
                <w:lang w:val="en-US"/>
              </w:rPr>
              <w:t xml:space="preserve">Aber dieses </w:t>
            </w:r>
            <w:proofErr w:type="spellStart"/>
            <w:r>
              <w:rPr>
                <w:sz w:val="20"/>
                <w:szCs w:val="20"/>
                <w:lang w:val="en-US"/>
              </w:rPr>
              <w:t>trete</w:t>
            </w:r>
            <w:proofErr w:type="spellEnd"/>
            <w:r w:rsidRPr="00E50B51">
              <w:rPr>
                <w:sz w:val="20"/>
                <w:szCs w:val="20"/>
                <w:lang w:val="en-US"/>
              </w:rPr>
              <w:t xml:space="preserve"> hinter das </w:t>
            </w:r>
            <w:proofErr w:type="spellStart"/>
            <w:r w:rsidRPr="00E50B51">
              <w:rPr>
                <w:sz w:val="20"/>
                <w:szCs w:val="20"/>
                <w:lang w:val="en-US"/>
              </w:rPr>
              <w:t>Kollektivrecht</w:t>
            </w:r>
            <w:proofErr w:type="spellEnd"/>
            <w:r w:rsidRPr="00E50B51">
              <w:rPr>
                <w:sz w:val="20"/>
                <w:szCs w:val="20"/>
                <w:lang w:val="en-US"/>
              </w:rPr>
              <w:t xml:space="preserve"> des </w:t>
            </w:r>
            <w:proofErr w:type="spellStart"/>
            <w:r w:rsidRPr="00E50B51">
              <w:rPr>
                <w:sz w:val="20"/>
                <w:szCs w:val="20"/>
                <w:lang w:val="en-US"/>
              </w:rPr>
              <w:t>Glücks</w:t>
            </w:r>
            <w:proofErr w:type="spellEnd"/>
            <w:r w:rsidRPr="00E50B51">
              <w:rPr>
                <w:sz w:val="20"/>
                <w:szCs w:val="20"/>
                <w:lang w:val="en-US"/>
              </w:rPr>
              <w:t xml:space="preserve"> und das </w:t>
            </w:r>
            <w:proofErr w:type="spellStart"/>
            <w:r w:rsidRPr="00E50B51">
              <w:rPr>
                <w:sz w:val="20"/>
                <w:szCs w:val="20"/>
                <w:lang w:val="en-US"/>
              </w:rPr>
              <w:t>Wohlergehen</w:t>
            </w:r>
            <w:proofErr w:type="spellEnd"/>
            <w:r w:rsidRPr="00E50B51">
              <w:rPr>
                <w:sz w:val="20"/>
                <w:szCs w:val="20"/>
                <w:lang w:val="en-US"/>
              </w:rPr>
              <w:t xml:space="preserve"> </w:t>
            </w:r>
            <w:proofErr w:type="spellStart"/>
            <w:r w:rsidRPr="00E50B51">
              <w:rPr>
                <w:sz w:val="20"/>
                <w:szCs w:val="20"/>
                <w:lang w:val="en-US"/>
              </w:rPr>
              <w:t>jedes</w:t>
            </w:r>
            <w:proofErr w:type="spellEnd"/>
            <w:r w:rsidRPr="00E50B51">
              <w:rPr>
                <w:sz w:val="20"/>
                <w:szCs w:val="20"/>
                <w:lang w:val="en-US"/>
              </w:rPr>
              <w:t xml:space="preserve"> </w:t>
            </w:r>
            <w:proofErr w:type="spellStart"/>
            <w:r w:rsidRPr="00E50B51">
              <w:rPr>
                <w:sz w:val="20"/>
                <w:szCs w:val="20"/>
                <w:lang w:val="en-US"/>
              </w:rPr>
              <w:t>Bürgers</w:t>
            </w:r>
            <w:proofErr w:type="spellEnd"/>
            <w:r w:rsidRPr="00E50B51">
              <w:rPr>
                <w:sz w:val="20"/>
                <w:szCs w:val="20"/>
                <w:lang w:val="en-US"/>
              </w:rPr>
              <w:t xml:space="preserve"> </w:t>
            </w:r>
            <w:proofErr w:type="spellStart"/>
            <w:r w:rsidRPr="00E50B51">
              <w:rPr>
                <w:sz w:val="20"/>
                <w:szCs w:val="20"/>
                <w:lang w:val="en-US"/>
              </w:rPr>
              <w:t>zurück</w:t>
            </w:r>
            <w:proofErr w:type="spellEnd"/>
            <w:r w:rsidRPr="00E50B51">
              <w:rPr>
                <w:sz w:val="20"/>
                <w:szCs w:val="20"/>
                <w:lang w:val="en-US"/>
              </w:rPr>
              <w:t xml:space="preserve"> („While the rights of private property are sacredly guarded, […] the community also have rights; and that the happiness and well-being of every citizen </w:t>
            </w:r>
            <w:proofErr w:type="gramStart"/>
            <w:r w:rsidRPr="00E50B51">
              <w:rPr>
                <w:sz w:val="20"/>
                <w:szCs w:val="20"/>
                <w:lang w:val="en-US"/>
              </w:rPr>
              <w:t>depends</w:t>
            </w:r>
            <w:proofErr w:type="gramEnd"/>
            <w:r w:rsidRPr="00E50B51">
              <w:rPr>
                <w:sz w:val="20"/>
                <w:szCs w:val="20"/>
                <w:lang w:val="en-US"/>
              </w:rPr>
              <w:t xml:space="preserve"> on their faithful </w:t>
            </w:r>
            <w:proofErr w:type="gramStart"/>
            <w:r w:rsidRPr="00E50B51">
              <w:rPr>
                <w:sz w:val="20"/>
                <w:szCs w:val="20"/>
                <w:lang w:val="en-US"/>
              </w:rPr>
              <w:t>preservation.“</w:t>
            </w:r>
            <w:proofErr w:type="gramEnd"/>
            <w:r w:rsidRPr="00E50B51">
              <w:rPr>
                <w:rStyle w:val="Funotenzeichen"/>
                <w:sz w:val="20"/>
                <w:szCs w:val="20"/>
                <w:lang w:val="en-US"/>
              </w:rPr>
              <w:footnoteReference w:id="124"/>
            </w:r>
            <w:r w:rsidRPr="00E50B51">
              <w:rPr>
                <w:sz w:val="20"/>
                <w:szCs w:val="20"/>
                <w:lang w:val="en-US"/>
              </w:rPr>
              <w:t>)</w:t>
            </w:r>
            <w:r>
              <w:rPr>
                <w:sz w:val="20"/>
                <w:szCs w:val="20"/>
                <w:lang w:val="en-US"/>
              </w:rPr>
              <w:t>.</w:t>
            </w:r>
          </w:p>
          <w:p w14:paraId="4720462C" w14:textId="77777777" w:rsidR="00074551" w:rsidRPr="00E50B51" w:rsidRDefault="00074551" w:rsidP="00367133">
            <w:pPr>
              <w:jc w:val="both"/>
              <w:rPr>
                <w:sz w:val="20"/>
                <w:szCs w:val="20"/>
              </w:rPr>
            </w:pPr>
          </w:p>
        </w:tc>
      </w:tr>
      <w:tr w:rsidR="00074551" w:rsidRPr="00E50B51" w14:paraId="165327AC" w14:textId="77777777" w:rsidTr="00BE689F">
        <w:trPr>
          <w:cantSplit/>
          <w:trHeight w:val="3175"/>
        </w:trPr>
        <w:tc>
          <w:tcPr>
            <w:tcW w:w="293" w:type="pct"/>
          </w:tcPr>
          <w:p w14:paraId="37F0CB61" w14:textId="77777777" w:rsidR="00074551" w:rsidRPr="00E50B51" w:rsidRDefault="00074551" w:rsidP="00367133">
            <w:pPr>
              <w:ind w:right="416"/>
              <w:jc w:val="center"/>
              <w:rPr>
                <w:sz w:val="20"/>
                <w:szCs w:val="20"/>
              </w:rPr>
            </w:pPr>
            <w:r w:rsidRPr="00E50B51">
              <w:rPr>
                <w:sz w:val="20"/>
                <w:szCs w:val="20"/>
                <w:lang w:val="en-US"/>
              </w:rPr>
              <w:lastRenderedPageBreak/>
              <w:t>H</w:t>
            </w:r>
          </w:p>
        </w:tc>
        <w:tc>
          <w:tcPr>
            <w:tcW w:w="387" w:type="pct"/>
            <w:textDirection w:val="tbRl"/>
            <w:vAlign w:val="center"/>
          </w:tcPr>
          <w:p w14:paraId="2BB720E1" w14:textId="77777777" w:rsidR="00074551" w:rsidRPr="0088728E" w:rsidRDefault="00074551" w:rsidP="00367133">
            <w:pPr>
              <w:ind w:left="113" w:right="416"/>
              <w:jc w:val="both"/>
              <w:rPr>
                <w:sz w:val="20"/>
                <w:szCs w:val="20"/>
                <w:lang w:val="en-US"/>
              </w:rPr>
            </w:pPr>
            <w:r w:rsidRPr="004F13B1">
              <w:rPr>
                <w:i/>
                <w:sz w:val="20"/>
                <w:szCs w:val="20"/>
                <w:lang w:val="en-US"/>
              </w:rPr>
              <w:t>Home Building &amp; Loan Assn. v. Blaisdell</w:t>
            </w:r>
          </w:p>
        </w:tc>
        <w:tc>
          <w:tcPr>
            <w:tcW w:w="197" w:type="pct"/>
            <w:textDirection w:val="tbRl"/>
            <w:vAlign w:val="center"/>
          </w:tcPr>
          <w:p w14:paraId="2B752D02" w14:textId="77777777" w:rsidR="00074551" w:rsidRPr="00E50B51" w:rsidRDefault="00074551" w:rsidP="00367133">
            <w:pPr>
              <w:ind w:left="113" w:right="113"/>
              <w:jc w:val="both"/>
              <w:rPr>
                <w:sz w:val="20"/>
                <w:szCs w:val="20"/>
                <w:lang w:val="en-US"/>
              </w:rPr>
            </w:pPr>
            <w:r w:rsidRPr="00E50B51">
              <w:rPr>
                <w:sz w:val="20"/>
                <w:szCs w:val="20"/>
              </w:rPr>
              <w:t>290 U.S. 398</w:t>
            </w:r>
          </w:p>
        </w:tc>
        <w:tc>
          <w:tcPr>
            <w:tcW w:w="306" w:type="pct"/>
            <w:textDirection w:val="tbRl"/>
            <w:vAlign w:val="center"/>
          </w:tcPr>
          <w:p w14:paraId="494C7453" w14:textId="77777777" w:rsidR="00074551" w:rsidRPr="00E50B51" w:rsidRDefault="00074551" w:rsidP="00367133">
            <w:pPr>
              <w:ind w:left="113" w:right="113"/>
              <w:jc w:val="both"/>
              <w:rPr>
                <w:sz w:val="20"/>
                <w:szCs w:val="20"/>
              </w:rPr>
            </w:pPr>
            <w:r w:rsidRPr="00E50B51">
              <w:rPr>
                <w:sz w:val="20"/>
                <w:szCs w:val="20"/>
              </w:rPr>
              <w:t>08. Januar 1934</w:t>
            </w:r>
          </w:p>
        </w:tc>
        <w:tc>
          <w:tcPr>
            <w:tcW w:w="401" w:type="pct"/>
          </w:tcPr>
          <w:p w14:paraId="151782C0" w14:textId="77777777" w:rsidR="00074551" w:rsidRPr="00E50B51" w:rsidRDefault="00074551" w:rsidP="00367133">
            <w:pPr>
              <w:jc w:val="center"/>
              <w:rPr>
                <w:sz w:val="20"/>
                <w:szCs w:val="20"/>
                <w:lang w:val="en-US"/>
              </w:rPr>
            </w:pPr>
            <w:r w:rsidRPr="00E50B51">
              <w:rPr>
                <w:sz w:val="20"/>
                <w:szCs w:val="20"/>
                <w:lang w:val="en-US"/>
              </w:rPr>
              <w:t>S/D</w:t>
            </w:r>
          </w:p>
        </w:tc>
        <w:tc>
          <w:tcPr>
            <w:tcW w:w="1594" w:type="pct"/>
          </w:tcPr>
          <w:p w14:paraId="41FFB71F" w14:textId="1E96EFC0" w:rsidR="00074551" w:rsidRPr="00E50B51" w:rsidRDefault="00074551" w:rsidP="00367133">
            <w:pPr>
              <w:jc w:val="both"/>
              <w:rPr>
                <w:sz w:val="20"/>
                <w:szCs w:val="20"/>
              </w:rPr>
            </w:pPr>
            <w:r w:rsidRPr="00E50B51">
              <w:rPr>
                <w:sz w:val="20"/>
                <w:szCs w:val="20"/>
              </w:rPr>
              <w:t xml:space="preserve">Das </w:t>
            </w:r>
            <w:bookmarkStart w:id="17" w:name="_Hlk228719152"/>
            <w:r w:rsidRPr="00B45592">
              <w:rPr>
                <w:i/>
                <w:sz w:val="20"/>
                <w:szCs w:val="20"/>
              </w:rPr>
              <w:t xml:space="preserve">Minnesota </w:t>
            </w:r>
            <w:proofErr w:type="spellStart"/>
            <w:r w:rsidRPr="00B45592">
              <w:rPr>
                <w:i/>
                <w:sz w:val="20"/>
                <w:szCs w:val="20"/>
              </w:rPr>
              <w:t>Mortgage</w:t>
            </w:r>
            <w:proofErr w:type="spellEnd"/>
            <w:r w:rsidRPr="00B45592">
              <w:rPr>
                <w:i/>
                <w:sz w:val="20"/>
                <w:szCs w:val="20"/>
              </w:rPr>
              <w:t xml:space="preserve"> Moratorium Law</w:t>
            </w:r>
            <w:r w:rsidRPr="00E50B51">
              <w:rPr>
                <w:sz w:val="20"/>
                <w:szCs w:val="20"/>
              </w:rPr>
              <w:t xml:space="preserve"> von </w:t>
            </w:r>
            <w:bookmarkEnd w:id="17"/>
            <w:r w:rsidRPr="00E50B51">
              <w:rPr>
                <w:sz w:val="20"/>
                <w:szCs w:val="20"/>
              </w:rPr>
              <w:t>1933 (Minn. Laws 339</w:t>
            </w:r>
            <w:r w:rsidRPr="00E50B51">
              <w:rPr>
                <w:rStyle w:val="Funotenzeichen"/>
                <w:sz w:val="20"/>
                <w:szCs w:val="20"/>
              </w:rPr>
              <w:footnoteReference w:id="125"/>
            </w:r>
            <w:r w:rsidRPr="00E50B51">
              <w:rPr>
                <w:sz w:val="20"/>
                <w:szCs w:val="20"/>
              </w:rPr>
              <w:t xml:space="preserve">) reagierte </w:t>
            </w:r>
            <w:r>
              <w:rPr>
                <w:sz w:val="20"/>
                <w:szCs w:val="20"/>
              </w:rPr>
              <w:t xml:space="preserve">auf </w:t>
            </w:r>
            <w:r w:rsidRPr="00E50B51">
              <w:rPr>
                <w:sz w:val="20"/>
                <w:szCs w:val="20"/>
              </w:rPr>
              <w:t>eine wirtschaftliche Notlage. Es setzte temporär die Hypothekenzwangsversteigerung aus. D.h. es erlaub</w:t>
            </w:r>
            <w:r>
              <w:rPr>
                <w:sz w:val="20"/>
                <w:szCs w:val="20"/>
              </w:rPr>
              <w:t>t</w:t>
            </w:r>
            <w:r w:rsidRPr="00E50B51">
              <w:rPr>
                <w:sz w:val="20"/>
                <w:szCs w:val="20"/>
              </w:rPr>
              <w:t xml:space="preserve">e, den Einlösungszeitraum nach einer Zwangsversteigerung zu verlängern. </w:t>
            </w:r>
            <w:r>
              <w:rPr>
                <w:sz w:val="20"/>
                <w:szCs w:val="20"/>
              </w:rPr>
              <w:t>Dies</w:t>
            </w:r>
            <w:r w:rsidRPr="00E50B51">
              <w:rPr>
                <w:sz w:val="20"/>
                <w:szCs w:val="20"/>
              </w:rPr>
              <w:t xml:space="preserve"> falle unter die Polizeigewalt des Bundesstaats zur Bewältigung der </w:t>
            </w:r>
            <w:r>
              <w:rPr>
                <w:sz w:val="20"/>
                <w:szCs w:val="20"/>
              </w:rPr>
              <w:t>Wirtschaftsk</w:t>
            </w:r>
            <w:r w:rsidRPr="00E50B51">
              <w:rPr>
                <w:sz w:val="20"/>
                <w:szCs w:val="20"/>
              </w:rPr>
              <w:t xml:space="preserve">rise, so der </w:t>
            </w:r>
            <w:r>
              <w:rPr>
                <w:sz w:val="20"/>
                <w:szCs w:val="20"/>
              </w:rPr>
              <w:t>U.S. Supreme Court</w:t>
            </w:r>
            <w:r w:rsidRPr="00E50B51">
              <w:rPr>
                <w:sz w:val="20"/>
                <w:szCs w:val="20"/>
              </w:rPr>
              <w:t xml:space="preserve">. Einwände waren, das Gesetz verletze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E50B51">
              <w:rPr>
                <w:sz w:val="20"/>
                <w:szCs w:val="20"/>
              </w:rPr>
              <w:t xml:space="preserve"> </w:t>
            </w:r>
            <w:r w:rsidRPr="00B45592">
              <w:rPr>
                <w:sz w:val="20"/>
                <w:szCs w:val="20"/>
              </w:rPr>
              <w:t>(</w:t>
            </w:r>
            <w:proofErr w:type="spellStart"/>
            <w:r w:rsidRPr="00B45592">
              <w:rPr>
                <w:i/>
                <w:sz w:val="20"/>
                <w:szCs w:val="20"/>
              </w:rPr>
              <w:t>Contract</w:t>
            </w:r>
            <w:proofErr w:type="spellEnd"/>
            <w:r w:rsidRPr="00B45592">
              <w:rPr>
                <w:i/>
                <w:sz w:val="20"/>
                <w:szCs w:val="20"/>
              </w:rPr>
              <w:t xml:space="preserve"> </w:t>
            </w:r>
            <w:proofErr w:type="spellStart"/>
            <w:r w:rsidRPr="00B45592">
              <w:rPr>
                <w:i/>
                <w:sz w:val="20"/>
                <w:szCs w:val="20"/>
              </w:rPr>
              <w:t>Clause</w:t>
            </w:r>
            <w:proofErr w:type="spellEnd"/>
            <w:r w:rsidRPr="00B45592">
              <w:rPr>
                <w:sz w:val="20"/>
                <w:szCs w:val="20"/>
              </w:rPr>
              <w:t xml:space="preserve">) sowie die </w:t>
            </w:r>
            <w:r w:rsidRPr="00B45592">
              <w:rPr>
                <w:i/>
                <w:sz w:val="20"/>
                <w:szCs w:val="20"/>
              </w:rPr>
              <w:t xml:space="preserve">Due </w:t>
            </w:r>
            <w:proofErr w:type="spellStart"/>
            <w:r w:rsidRPr="00B45592">
              <w:rPr>
                <w:i/>
                <w:sz w:val="20"/>
                <w:szCs w:val="20"/>
              </w:rPr>
              <w:t>Process</w:t>
            </w:r>
            <w:proofErr w:type="spellEnd"/>
            <w:r w:rsidRPr="00B45592">
              <w:rPr>
                <w:i/>
                <w:sz w:val="20"/>
                <w:szCs w:val="20"/>
              </w:rPr>
              <w:t xml:space="preserve"> </w:t>
            </w:r>
            <w:proofErr w:type="spellStart"/>
            <w:r w:rsidRPr="00B45592">
              <w:rPr>
                <w:i/>
                <w:sz w:val="20"/>
                <w:szCs w:val="20"/>
              </w:rPr>
              <w:t>Clause</w:t>
            </w:r>
            <w:proofErr w:type="spellEnd"/>
            <w:r w:rsidRPr="00B45592">
              <w:rPr>
                <w:sz w:val="20"/>
                <w:szCs w:val="20"/>
              </w:rPr>
              <w:t xml:space="preserve"> und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w:t>
            </w:r>
            <w:proofErr w:type="spellStart"/>
            <w:r w:rsidRPr="00B45592">
              <w:rPr>
                <w:i/>
                <w:sz w:val="20"/>
                <w:szCs w:val="20"/>
              </w:rPr>
              <w:t>Clause</w:t>
            </w:r>
            <w:proofErr w:type="spellEnd"/>
            <w:r w:rsidRPr="00B45592">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Der </w:t>
            </w:r>
            <w:r w:rsidRPr="00B45592">
              <w:rPr>
                <w:i/>
                <w:sz w:val="20"/>
                <w:szCs w:val="20"/>
              </w:rPr>
              <w:t>Minnesota Supreme Court</w:t>
            </w:r>
            <w:r w:rsidRPr="00E50B51">
              <w:rPr>
                <w:sz w:val="20"/>
                <w:szCs w:val="20"/>
              </w:rPr>
              <w:t xml:space="preserve"> hielt das Gesetz aufrecht. Der U.S. Supreme Court bestätigte, dass das Gesetz ein legitimes öffentliches Ziel verfolge, die Bedingungen der Verlängerung angemessen und die Anwendung des Gesetzes zeitlich begrenzt sei. Folglich sei zwar die </w:t>
            </w:r>
            <w:r>
              <w:rPr>
                <w:sz w:val="20"/>
                <w:szCs w:val="20"/>
              </w:rPr>
              <w:t>U.S.</w:t>
            </w:r>
            <w:r w:rsidRPr="00E50B51">
              <w:rPr>
                <w:sz w:val="20"/>
                <w:szCs w:val="20"/>
              </w:rPr>
              <w:t xml:space="preserve"> </w:t>
            </w:r>
            <w:proofErr w:type="spellStart"/>
            <w:r w:rsidRPr="00E50B51">
              <w:rPr>
                <w:sz w:val="20"/>
                <w:szCs w:val="20"/>
              </w:rPr>
              <w:t>Const</w:t>
            </w:r>
            <w:proofErr w:type="spellEnd"/>
            <w:r w:rsidRPr="00E50B51">
              <w:rPr>
                <w:sz w:val="20"/>
                <w:szCs w:val="20"/>
              </w:rPr>
              <w:t>. berührt, aber ein Verstoß bestehe nicht, da das Gesetz zielgerichtet der Krisenbewältigung diene.</w:t>
            </w:r>
            <w:r w:rsidRPr="00E50B51">
              <w:rPr>
                <w:rStyle w:val="Funotenzeichen"/>
                <w:sz w:val="20"/>
                <w:szCs w:val="20"/>
              </w:rPr>
              <w:footnoteReference w:id="126"/>
            </w:r>
          </w:p>
        </w:tc>
        <w:tc>
          <w:tcPr>
            <w:tcW w:w="1822" w:type="pct"/>
          </w:tcPr>
          <w:p w14:paraId="0A210305" w14:textId="77777777" w:rsidR="00074551" w:rsidRPr="00B45592" w:rsidRDefault="00074551" w:rsidP="00367133">
            <w:pPr>
              <w:jc w:val="both"/>
              <w:rPr>
                <w:i/>
                <w:sz w:val="20"/>
                <w:szCs w:val="20"/>
                <w:lang w:val="en-US"/>
              </w:rPr>
            </w:pPr>
            <w:r w:rsidRPr="00B45592">
              <w:rPr>
                <w:i/>
                <w:iCs/>
                <w:sz w:val="20"/>
                <w:szCs w:val="20"/>
                <w:lang w:val="en-IE"/>
              </w:rPr>
              <w:t>LexisNexis-</w:t>
            </w:r>
            <w:proofErr w:type="spellStart"/>
            <w:r w:rsidRPr="00B45592">
              <w:rPr>
                <w:i/>
                <w:iCs/>
                <w:sz w:val="20"/>
                <w:szCs w:val="20"/>
                <w:lang w:val="en-IE"/>
              </w:rPr>
              <w:t>Klassifikation</w:t>
            </w:r>
            <w:proofErr w:type="spellEnd"/>
            <w:r w:rsidRPr="00B45592">
              <w:rPr>
                <w:i/>
                <w:iCs/>
                <w:sz w:val="20"/>
                <w:szCs w:val="20"/>
                <w:lang w:val="en-IE"/>
              </w:rPr>
              <w:t xml:space="preserve">: </w:t>
            </w:r>
            <w:r w:rsidRPr="00B45592">
              <w:rPr>
                <w:i/>
                <w:sz w:val="20"/>
                <w:szCs w:val="20"/>
                <w:lang w:val="en-US"/>
              </w:rPr>
              <w:t>Constitutional Law › Congressional Duties &amp; Powers › Contracts Clause › General Overview</w:t>
            </w:r>
          </w:p>
          <w:p w14:paraId="2F7D99BB" w14:textId="77777777" w:rsidR="00074551" w:rsidRPr="00E50B51" w:rsidRDefault="00074551" w:rsidP="00367133">
            <w:pPr>
              <w:jc w:val="both"/>
              <w:rPr>
                <w:sz w:val="20"/>
                <w:szCs w:val="20"/>
                <w:lang w:val="en-US"/>
              </w:rPr>
            </w:pPr>
          </w:p>
          <w:p w14:paraId="007F5648" w14:textId="77777777" w:rsidR="00074551" w:rsidRPr="00E50B51" w:rsidRDefault="00074551" w:rsidP="00367133">
            <w:pPr>
              <w:jc w:val="both"/>
              <w:rPr>
                <w:sz w:val="20"/>
                <w:szCs w:val="20"/>
              </w:rPr>
            </w:pPr>
            <w:r w:rsidRPr="00E50B51">
              <w:rPr>
                <w:sz w:val="20"/>
                <w:szCs w:val="20"/>
              </w:rPr>
              <w:t>Bundesstaaten sind befugt, Gesetz</w:t>
            </w:r>
            <w:r>
              <w:rPr>
                <w:sz w:val="20"/>
                <w:szCs w:val="20"/>
              </w:rPr>
              <w:t>e</w:t>
            </w:r>
            <w:r w:rsidRPr="00E50B51">
              <w:rPr>
                <w:sz w:val="20"/>
                <w:szCs w:val="20"/>
              </w:rPr>
              <w:t xml:space="preserve"> zu ändern, die Verträge betreffen, sofern dadurch kein wesentliches, durch den Vertrag gesichertes Recht beeinträchtigt wird. Was wesentlich ist, muss anhand des Einzelfalls und einer Angemessenheitsprüfung im Rahmen der </w:t>
            </w:r>
            <w:r>
              <w:rPr>
                <w:sz w:val="20"/>
                <w:szCs w:val="20"/>
              </w:rPr>
              <w:t>Vorrechte</w:t>
            </w:r>
            <w:r w:rsidRPr="00E50B51">
              <w:rPr>
                <w:sz w:val="20"/>
                <w:szCs w:val="20"/>
              </w:rPr>
              <w:t xml:space="preserve"> des Gesetzgebers geklärt werden.</w:t>
            </w:r>
            <w:r w:rsidRPr="00E50B51">
              <w:rPr>
                <w:rStyle w:val="Funotenzeichen"/>
                <w:sz w:val="20"/>
                <w:szCs w:val="20"/>
              </w:rPr>
              <w:footnoteReference w:id="127"/>
            </w:r>
          </w:p>
          <w:p w14:paraId="301DB63D" w14:textId="77777777" w:rsidR="00074551" w:rsidRPr="00E50B51" w:rsidRDefault="00074551" w:rsidP="00367133">
            <w:pPr>
              <w:jc w:val="both"/>
              <w:rPr>
                <w:sz w:val="20"/>
                <w:szCs w:val="20"/>
              </w:rPr>
            </w:pPr>
          </w:p>
          <w:p w14:paraId="7EE510D5" w14:textId="77777777" w:rsidR="00074551" w:rsidRPr="00E50B51" w:rsidRDefault="00074551" w:rsidP="00367133">
            <w:pPr>
              <w:jc w:val="both"/>
              <w:rPr>
                <w:sz w:val="20"/>
                <w:szCs w:val="20"/>
              </w:rPr>
            </w:pPr>
            <w:r w:rsidRPr="00E50B51">
              <w:rPr>
                <w:sz w:val="20"/>
                <w:szCs w:val="20"/>
              </w:rPr>
              <w:t xml:space="preserve">Das streitgegenständliche Gesetz ermögliche Grundstückseigentümern, die mit Hypotheken </w:t>
            </w:r>
            <w:proofErr w:type="gramStart"/>
            <w:r w:rsidRPr="00E50B51">
              <w:rPr>
                <w:sz w:val="20"/>
                <w:szCs w:val="20"/>
              </w:rPr>
              <w:t>belastetet</w:t>
            </w:r>
            <w:proofErr w:type="gramEnd"/>
            <w:r w:rsidRPr="00E50B51">
              <w:rPr>
                <w:sz w:val="20"/>
                <w:szCs w:val="20"/>
              </w:rPr>
              <w:t xml:space="preserve"> </w:t>
            </w:r>
            <w:r>
              <w:rPr>
                <w:sz w:val="20"/>
                <w:szCs w:val="20"/>
              </w:rPr>
              <w:t>seien</w:t>
            </w:r>
            <w:r w:rsidRPr="00E50B51">
              <w:rPr>
                <w:sz w:val="20"/>
                <w:szCs w:val="20"/>
              </w:rPr>
              <w:t xml:space="preserve">, ihr Eigentum und den Besitz </w:t>
            </w:r>
            <w:proofErr w:type="gramStart"/>
            <w:r w:rsidRPr="00E50B51">
              <w:rPr>
                <w:sz w:val="20"/>
                <w:szCs w:val="20"/>
              </w:rPr>
              <w:t>solange</w:t>
            </w:r>
            <w:proofErr w:type="gramEnd"/>
            <w:r w:rsidRPr="00E50B51">
              <w:rPr>
                <w:sz w:val="20"/>
                <w:szCs w:val="20"/>
              </w:rPr>
              <w:t xml:space="preserve"> zu behalten, bis sich die wirtschaftlichen Bedingungen verbesser</w:t>
            </w:r>
            <w:r>
              <w:rPr>
                <w:sz w:val="20"/>
                <w:szCs w:val="20"/>
              </w:rPr>
              <w:t>te</w:t>
            </w:r>
            <w:r w:rsidRPr="00E50B51">
              <w:rPr>
                <w:sz w:val="20"/>
                <w:szCs w:val="20"/>
              </w:rPr>
              <w:t>n, sodass Darlehen wieder finanziert oder Immobilien zu marktüblichen Preisen verkauft werden könn</w:t>
            </w:r>
            <w:r>
              <w:rPr>
                <w:sz w:val="20"/>
                <w:szCs w:val="20"/>
              </w:rPr>
              <w:t>t</w:t>
            </w:r>
            <w:r w:rsidRPr="00E50B51">
              <w:rPr>
                <w:sz w:val="20"/>
                <w:szCs w:val="20"/>
              </w:rPr>
              <w:t xml:space="preserve">en. Wohlstand und Glück </w:t>
            </w:r>
            <w:r>
              <w:rPr>
                <w:sz w:val="20"/>
                <w:szCs w:val="20"/>
              </w:rPr>
              <w:t>m</w:t>
            </w:r>
            <w:r w:rsidRPr="00E50B51">
              <w:rPr>
                <w:sz w:val="20"/>
                <w:szCs w:val="20"/>
              </w:rPr>
              <w:t>it</w:t>
            </w:r>
            <w:r>
              <w:rPr>
                <w:sz w:val="20"/>
                <w:szCs w:val="20"/>
              </w:rPr>
              <w:t>hilfe von</w:t>
            </w:r>
            <w:r w:rsidRPr="00E50B51">
              <w:rPr>
                <w:sz w:val="20"/>
                <w:szCs w:val="20"/>
              </w:rPr>
              <w:t xml:space="preserve"> Gesetzen zu fördern, habe sich als Rechtsprechungstendenz vor Bundesgerichten entwickelt. Der </w:t>
            </w:r>
            <w:r>
              <w:rPr>
                <w:sz w:val="20"/>
                <w:szCs w:val="20"/>
              </w:rPr>
              <w:t>U.S. Supreme Court</w:t>
            </w:r>
            <w:r w:rsidRPr="00E50B51">
              <w:rPr>
                <w:sz w:val="20"/>
                <w:szCs w:val="20"/>
              </w:rPr>
              <w:t xml:space="preserve"> zeichnet</w:t>
            </w:r>
            <w:r>
              <w:rPr>
                <w:sz w:val="20"/>
                <w:szCs w:val="20"/>
              </w:rPr>
              <w:t>e</w:t>
            </w:r>
            <w:r w:rsidRPr="00E50B51">
              <w:rPr>
                <w:sz w:val="20"/>
                <w:szCs w:val="20"/>
              </w:rPr>
              <w:t xml:space="preserve"> diese Tendenz nach: Während frühere Entscheidungen sich auf die Polizeigewalt, die öffentliche Gesundheit sowie die öffentliche Sicherheit und Ordnung beschränkten</w:t>
            </w:r>
            <w:r>
              <w:rPr>
                <w:sz w:val="20"/>
                <w:szCs w:val="20"/>
              </w:rPr>
              <w:t>, hatten</w:t>
            </w:r>
            <w:r w:rsidRPr="00E50B51">
              <w:rPr>
                <w:sz w:val="20"/>
                <w:szCs w:val="20"/>
              </w:rPr>
              <w:t xml:space="preserve"> Bundesgerichte ihre Rechtsprechungshoheit in den vergangenen Jahren erweitert. Sie mussten den neuen wirtschaftlichen und industriellen Bedingungen sowie dem Wachstum der Bundesstaaten und der Bevölkerung gerecht werden. Der </w:t>
            </w:r>
            <w:r>
              <w:rPr>
                <w:sz w:val="20"/>
                <w:szCs w:val="20"/>
              </w:rPr>
              <w:t>U.S. Supreme Court</w:t>
            </w:r>
            <w:r w:rsidRPr="00E50B51">
              <w:rPr>
                <w:sz w:val="20"/>
                <w:szCs w:val="20"/>
              </w:rPr>
              <w:t xml:space="preserve"> </w:t>
            </w:r>
            <w:r>
              <w:rPr>
                <w:sz w:val="20"/>
                <w:szCs w:val="20"/>
              </w:rPr>
              <w:t>folgerte</w:t>
            </w:r>
            <w:r w:rsidRPr="00E50B51">
              <w:rPr>
                <w:sz w:val="20"/>
                <w:szCs w:val="20"/>
              </w:rPr>
              <w:t xml:space="preserve">, ein Bundesstaat müsse nun mit seiner Polizeigewalt zwei Seiten nachkommen: Einerseits weiterhin die öffentliche Gesundheit sowie die öffentliche Sicherheit und Ordnung zu sichern und zu fördern, </w:t>
            </w:r>
            <w:r>
              <w:rPr>
                <w:sz w:val="20"/>
                <w:szCs w:val="20"/>
              </w:rPr>
              <w:t>und</w:t>
            </w:r>
            <w:r w:rsidRPr="00E50B51">
              <w:rPr>
                <w:sz w:val="20"/>
                <w:szCs w:val="20"/>
              </w:rPr>
              <w:t xml:space="preserve"> auf der anderen Seite </w:t>
            </w:r>
            <w:r>
              <w:rPr>
                <w:sz w:val="20"/>
                <w:szCs w:val="20"/>
              </w:rPr>
              <w:t xml:space="preserve">jetzt auch </w:t>
            </w:r>
            <w:r w:rsidRPr="00E50B51">
              <w:rPr>
                <w:sz w:val="20"/>
                <w:szCs w:val="20"/>
              </w:rPr>
              <w:t xml:space="preserve">den Wohlstand und das Glück fördern, zusammengefasst als Wohlfahrt des Staats („the State </w:t>
            </w:r>
            <w:proofErr w:type="spellStart"/>
            <w:r w:rsidRPr="00E50B51">
              <w:rPr>
                <w:sz w:val="20"/>
                <w:szCs w:val="20"/>
              </w:rPr>
              <w:t>may</w:t>
            </w:r>
            <w:proofErr w:type="spellEnd"/>
            <w:r w:rsidRPr="00E50B51">
              <w:rPr>
                <w:sz w:val="20"/>
                <w:szCs w:val="20"/>
              </w:rPr>
              <w:t xml:space="preserve"> </w:t>
            </w:r>
            <w:proofErr w:type="spellStart"/>
            <w:r w:rsidRPr="00E50B51">
              <w:rPr>
                <w:sz w:val="20"/>
                <w:szCs w:val="20"/>
              </w:rPr>
              <w:t>exercise</w:t>
            </w:r>
            <w:proofErr w:type="spellEnd"/>
            <w:r w:rsidRPr="00E50B51">
              <w:rPr>
                <w:sz w:val="20"/>
                <w:szCs w:val="20"/>
              </w:rPr>
              <w:t xml:space="preserve">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police</w:t>
            </w:r>
            <w:proofErr w:type="spellEnd"/>
            <w:r w:rsidRPr="00E50B51">
              <w:rPr>
                <w:sz w:val="20"/>
                <w:szCs w:val="20"/>
              </w:rPr>
              <w:t xml:space="preserve"> power […] to promote the […] </w:t>
            </w:r>
            <w:proofErr w:type="spellStart"/>
            <w:r w:rsidRPr="00E50B51">
              <w:rPr>
                <w:sz w:val="20"/>
                <w:szCs w:val="20"/>
              </w:rPr>
              <w:t>happiness</w:t>
            </w:r>
            <w:proofErr w:type="spellEnd"/>
            <w:r>
              <w:rPr>
                <w:sz w:val="20"/>
                <w:szCs w:val="20"/>
              </w:rPr>
              <w:t> –</w:t>
            </w:r>
            <w:r w:rsidRPr="00E50B51">
              <w:rPr>
                <w:sz w:val="20"/>
                <w:szCs w:val="20"/>
              </w:rPr>
              <w:t xml:space="preserve"> in </w:t>
            </w:r>
            <w:proofErr w:type="spellStart"/>
            <w:r w:rsidRPr="00E50B51">
              <w:rPr>
                <w:sz w:val="20"/>
                <w:szCs w:val="20"/>
              </w:rPr>
              <w:t>short</w:t>
            </w:r>
            <w:proofErr w:type="spellEnd"/>
            <w:r w:rsidRPr="00E50B51">
              <w:rPr>
                <w:sz w:val="20"/>
                <w:szCs w:val="20"/>
              </w:rPr>
              <w:t xml:space="preserve">, the </w:t>
            </w:r>
            <w:proofErr w:type="spellStart"/>
            <w:r w:rsidRPr="00E50B51">
              <w:rPr>
                <w:sz w:val="20"/>
                <w:szCs w:val="20"/>
              </w:rPr>
              <w:t>general</w:t>
            </w:r>
            <w:proofErr w:type="spellEnd"/>
            <w:r w:rsidRPr="00E50B51">
              <w:rPr>
                <w:sz w:val="20"/>
                <w:szCs w:val="20"/>
              </w:rPr>
              <w:t xml:space="preserve"> </w:t>
            </w:r>
            <w:proofErr w:type="spellStart"/>
            <w:r w:rsidRPr="00E50B51">
              <w:rPr>
                <w:sz w:val="20"/>
                <w:szCs w:val="20"/>
              </w:rPr>
              <w:t>welfare</w:t>
            </w:r>
            <w:proofErr w:type="spellEnd"/>
            <w:r>
              <w:rPr>
                <w:sz w:val="20"/>
                <w:szCs w:val="20"/>
              </w:rPr>
              <w:t> –</w:t>
            </w:r>
            <w:r w:rsidRPr="00E50B51">
              <w:rPr>
                <w:sz w:val="20"/>
                <w:szCs w:val="20"/>
              </w:rPr>
              <w:t xml:space="preserve"> of the State“).</w:t>
            </w:r>
            <w:r w:rsidRPr="00E50B51">
              <w:rPr>
                <w:rStyle w:val="Funotenzeichen"/>
                <w:sz w:val="20"/>
                <w:szCs w:val="20"/>
              </w:rPr>
              <w:footnoteReference w:id="128"/>
            </w:r>
            <w:r w:rsidRPr="00E50B51">
              <w:rPr>
                <w:sz w:val="20"/>
                <w:szCs w:val="20"/>
              </w:rPr>
              <w:t xml:space="preserve"> Diese Rechtsprechungstendenz bestätige die Parlamentsdebatte zum streitgegenständlichen Gesetz, so 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w:t>
            </w:r>
          </w:p>
          <w:p w14:paraId="34C3BC72" w14:textId="77777777" w:rsidR="00074551" w:rsidRDefault="00074551" w:rsidP="00367133">
            <w:pPr>
              <w:jc w:val="both"/>
              <w:rPr>
                <w:sz w:val="20"/>
                <w:szCs w:val="20"/>
              </w:rPr>
            </w:pPr>
            <w:r w:rsidRPr="00E50B51">
              <w:rPr>
                <w:sz w:val="20"/>
                <w:szCs w:val="20"/>
              </w:rPr>
              <w:t>Abgeordnete beschrieben die Grundsätze der Verfassungsgerechtigkeit oder die Seele der Verfassung damit, dass der sichere Weg zu nationalem Glück beachtet werden müsse („</w:t>
            </w:r>
            <w:proofErr w:type="spellStart"/>
            <w:r w:rsidRPr="00E50B51">
              <w:rPr>
                <w:sz w:val="20"/>
                <w:szCs w:val="20"/>
              </w:rPr>
              <w:t>road</w:t>
            </w:r>
            <w:proofErr w:type="spellEnd"/>
            <w:r w:rsidRPr="00E50B51">
              <w:rPr>
                <w:sz w:val="20"/>
                <w:szCs w:val="20"/>
              </w:rPr>
              <w:t xml:space="preserve"> to national </w:t>
            </w:r>
            <w:proofErr w:type="spellStart"/>
            <w:r w:rsidRPr="00E50B51">
              <w:rPr>
                <w:sz w:val="20"/>
                <w:szCs w:val="20"/>
              </w:rPr>
              <w:t>character</w:t>
            </w:r>
            <w:proofErr w:type="spellEnd"/>
            <w:r w:rsidRPr="00E50B51">
              <w:rPr>
                <w:sz w:val="20"/>
                <w:szCs w:val="20"/>
              </w:rPr>
              <w:t xml:space="preserve"> and </w:t>
            </w:r>
            <w:proofErr w:type="spellStart"/>
            <w:r w:rsidRPr="00E50B51">
              <w:rPr>
                <w:sz w:val="20"/>
                <w:szCs w:val="20"/>
              </w:rPr>
              <w:t>happiness</w:t>
            </w:r>
            <w:proofErr w:type="spellEnd"/>
            <w:r w:rsidRPr="00E50B51">
              <w:rPr>
                <w:sz w:val="20"/>
                <w:szCs w:val="20"/>
              </w:rPr>
              <w:t>“</w:t>
            </w:r>
            <w:r w:rsidRPr="00E50B51">
              <w:rPr>
                <w:rStyle w:val="Funotenzeichen"/>
                <w:sz w:val="20"/>
                <w:szCs w:val="20"/>
              </w:rPr>
              <w:footnoteReference w:id="129"/>
            </w:r>
            <w:r w:rsidRPr="00E50B51">
              <w:rPr>
                <w:sz w:val="20"/>
                <w:szCs w:val="20"/>
              </w:rPr>
              <w:t>).</w:t>
            </w:r>
          </w:p>
          <w:p w14:paraId="54212346" w14:textId="77777777" w:rsidR="00074551" w:rsidRPr="00E50B51" w:rsidRDefault="00074551" w:rsidP="00367133">
            <w:pPr>
              <w:jc w:val="both"/>
              <w:rPr>
                <w:sz w:val="20"/>
                <w:szCs w:val="20"/>
              </w:rPr>
            </w:pPr>
          </w:p>
        </w:tc>
      </w:tr>
      <w:tr w:rsidR="00074551" w:rsidRPr="00E50B51" w14:paraId="123859BD" w14:textId="77777777" w:rsidTr="00752D01">
        <w:trPr>
          <w:cantSplit/>
          <w:trHeight w:val="3175"/>
        </w:trPr>
        <w:tc>
          <w:tcPr>
            <w:tcW w:w="293" w:type="pct"/>
            <w:shd w:val="clear" w:color="auto" w:fill="E7E6E6" w:themeFill="background2"/>
          </w:tcPr>
          <w:p w14:paraId="0F25B2E6"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344CEAFC" w14:textId="77777777" w:rsidR="00074551" w:rsidRPr="00E50B51" w:rsidRDefault="00074551" w:rsidP="00367133">
            <w:pPr>
              <w:ind w:left="113" w:right="416"/>
              <w:jc w:val="both"/>
              <w:rPr>
                <w:sz w:val="20"/>
                <w:szCs w:val="20"/>
              </w:rPr>
            </w:pPr>
            <w:r w:rsidRPr="00BE3728">
              <w:rPr>
                <w:sz w:val="20"/>
                <w:szCs w:val="20"/>
              </w:rPr>
              <w:t>Wirtschaftliche Seite</w:t>
            </w:r>
          </w:p>
        </w:tc>
        <w:tc>
          <w:tcPr>
            <w:tcW w:w="197" w:type="pct"/>
            <w:shd w:val="clear" w:color="auto" w:fill="E7E6E6" w:themeFill="background2"/>
            <w:textDirection w:val="tbRl"/>
            <w:vAlign w:val="center"/>
          </w:tcPr>
          <w:p w14:paraId="05DF9FB1" w14:textId="77777777" w:rsidR="00074551" w:rsidRPr="00E50B51" w:rsidRDefault="00074551" w:rsidP="00367133">
            <w:pPr>
              <w:ind w:left="113" w:right="113"/>
              <w:jc w:val="both"/>
              <w:rPr>
                <w:sz w:val="20"/>
                <w:szCs w:val="20"/>
                <w:lang w:val="en-US"/>
              </w:rPr>
            </w:pPr>
            <w:proofErr w:type="spellStart"/>
            <w:r w:rsidRPr="00BE3728">
              <w:rPr>
                <w:sz w:val="20"/>
                <w:szCs w:val="20"/>
              </w:rPr>
              <w:t>Contract</w:t>
            </w:r>
            <w:proofErr w:type="spellEnd"/>
            <w:r w:rsidRPr="00BE3728">
              <w:rPr>
                <w:sz w:val="20"/>
                <w:szCs w:val="20"/>
              </w:rPr>
              <w:t xml:space="preserve"> </w:t>
            </w:r>
            <w:proofErr w:type="spellStart"/>
            <w:r w:rsidRPr="00BE3728">
              <w:rPr>
                <w:sz w:val="20"/>
                <w:szCs w:val="20"/>
              </w:rPr>
              <w:t>Clause</w:t>
            </w:r>
            <w:proofErr w:type="spellEnd"/>
          </w:p>
        </w:tc>
        <w:tc>
          <w:tcPr>
            <w:tcW w:w="306" w:type="pct"/>
            <w:shd w:val="clear" w:color="auto" w:fill="E7E6E6" w:themeFill="background2"/>
            <w:textDirection w:val="tbRl"/>
            <w:vAlign w:val="center"/>
          </w:tcPr>
          <w:p w14:paraId="6EFDEA1E" w14:textId="77777777" w:rsidR="00074551" w:rsidRPr="00E50B51" w:rsidRDefault="00074551" w:rsidP="00367133">
            <w:pPr>
              <w:ind w:left="113" w:right="113"/>
              <w:jc w:val="both"/>
              <w:rPr>
                <w:sz w:val="20"/>
                <w:szCs w:val="20"/>
              </w:rPr>
            </w:pPr>
            <w:r w:rsidRPr="00BE3728">
              <w:rPr>
                <w:sz w:val="20"/>
                <w:szCs w:val="20"/>
                <w:lang w:val="en-US"/>
              </w:rPr>
              <w:t>Contracts Law</w:t>
            </w:r>
          </w:p>
        </w:tc>
        <w:tc>
          <w:tcPr>
            <w:tcW w:w="401" w:type="pct"/>
            <w:shd w:val="clear" w:color="auto" w:fill="E7E6E6" w:themeFill="background2"/>
            <w:textDirection w:val="tbRl"/>
          </w:tcPr>
          <w:p w14:paraId="1E0B702B" w14:textId="77777777" w:rsidR="00074551" w:rsidRDefault="00074551" w:rsidP="00367133">
            <w:pPr>
              <w:ind w:left="113" w:right="113"/>
            </w:pPr>
          </w:p>
          <w:p w14:paraId="37DAF16C" w14:textId="224CB9DE" w:rsidR="00074551" w:rsidRPr="00E50B51" w:rsidRDefault="00074551" w:rsidP="00367133">
            <w:pPr>
              <w:ind w:left="113" w:right="113"/>
              <w:rPr>
                <w:sz w:val="20"/>
                <w:szCs w:val="20"/>
                <w:lang w:val="en-US"/>
              </w:rPr>
            </w:pPr>
            <w:hyperlink r:id="rId8" w:history="1">
              <w:r w:rsidRPr="00BE3728">
                <w:rPr>
                  <w:rStyle w:val="Hyperlink"/>
                  <w:color w:val="auto"/>
                  <w:sz w:val="20"/>
                  <w:szCs w:val="20"/>
                  <w:u w:val="none"/>
                  <w:lang w:val="en-US"/>
                </w:rPr>
                <w:t>Remedies</w:t>
              </w:r>
            </w:hyperlink>
          </w:p>
        </w:tc>
        <w:tc>
          <w:tcPr>
            <w:tcW w:w="1594" w:type="pct"/>
            <w:shd w:val="clear" w:color="auto" w:fill="E7E6E6" w:themeFill="background2"/>
            <w:vAlign w:val="center"/>
          </w:tcPr>
          <w:p w14:paraId="656C80DE" w14:textId="77777777" w:rsidR="00074551" w:rsidRPr="00E50B51" w:rsidRDefault="00074551" w:rsidP="00367133">
            <w:pPr>
              <w:jc w:val="both"/>
              <w:rPr>
                <w:sz w:val="20"/>
                <w:szCs w:val="20"/>
              </w:rPr>
            </w:pPr>
          </w:p>
        </w:tc>
        <w:tc>
          <w:tcPr>
            <w:tcW w:w="1822" w:type="pct"/>
            <w:shd w:val="clear" w:color="auto" w:fill="E7E6E6" w:themeFill="background2"/>
          </w:tcPr>
          <w:p w14:paraId="0E98AD2D" w14:textId="20DACE01"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C5466CF" w14:textId="77777777" w:rsidTr="00BE689F">
        <w:trPr>
          <w:cantSplit/>
          <w:trHeight w:val="3175"/>
        </w:trPr>
        <w:tc>
          <w:tcPr>
            <w:tcW w:w="293" w:type="pct"/>
          </w:tcPr>
          <w:p w14:paraId="16D7589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5E6E63C8" w14:textId="77777777" w:rsidR="00074551" w:rsidRPr="00B45592" w:rsidRDefault="00074551" w:rsidP="00367133">
            <w:pPr>
              <w:ind w:left="113" w:right="416"/>
              <w:jc w:val="both"/>
              <w:rPr>
                <w:i/>
                <w:iCs/>
                <w:sz w:val="20"/>
                <w:szCs w:val="20"/>
              </w:rPr>
            </w:pPr>
            <w:r w:rsidRPr="00B45592">
              <w:rPr>
                <w:i/>
                <w:iCs/>
                <w:sz w:val="20"/>
                <w:szCs w:val="20"/>
              </w:rPr>
              <w:t>Jackson v. Ashton</w:t>
            </w:r>
          </w:p>
        </w:tc>
        <w:tc>
          <w:tcPr>
            <w:tcW w:w="197" w:type="pct"/>
            <w:textDirection w:val="tbRl"/>
            <w:vAlign w:val="center"/>
          </w:tcPr>
          <w:p w14:paraId="4BF6E212" w14:textId="77777777" w:rsidR="00074551" w:rsidRPr="00E50B51" w:rsidRDefault="00074551" w:rsidP="00367133">
            <w:pPr>
              <w:ind w:left="113" w:right="113"/>
              <w:jc w:val="both"/>
              <w:rPr>
                <w:sz w:val="20"/>
                <w:szCs w:val="20"/>
                <w:lang w:val="en-US"/>
              </w:rPr>
            </w:pPr>
            <w:r w:rsidRPr="00BE3728">
              <w:rPr>
                <w:sz w:val="20"/>
                <w:szCs w:val="20"/>
              </w:rPr>
              <w:t>36 U.S. 229</w:t>
            </w:r>
          </w:p>
        </w:tc>
        <w:tc>
          <w:tcPr>
            <w:tcW w:w="306" w:type="pct"/>
            <w:textDirection w:val="tbRl"/>
            <w:vAlign w:val="center"/>
          </w:tcPr>
          <w:p w14:paraId="594BB463" w14:textId="77777777" w:rsidR="00074551" w:rsidRPr="00E50B51" w:rsidRDefault="00074551" w:rsidP="00367133">
            <w:pPr>
              <w:ind w:left="113" w:right="113"/>
              <w:jc w:val="both"/>
              <w:rPr>
                <w:sz w:val="20"/>
                <w:szCs w:val="20"/>
              </w:rPr>
            </w:pPr>
            <w:r w:rsidRPr="00BE3728">
              <w:rPr>
                <w:sz w:val="20"/>
                <w:szCs w:val="20"/>
              </w:rPr>
              <w:t>16. Februar 1837</w:t>
            </w:r>
          </w:p>
        </w:tc>
        <w:tc>
          <w:tcPr>
            <w:tcW w:w="401" w:type="pct"/>
          </w:tcPr>
          <w:p w14:paraId="485430BA"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0896F39F"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urteilte, </w:t>
            </w:r>
            <w:r w:rsidRPr="00B45592">
              <w:rPr>
                <w:i/>
                <w:sz w:val="20"/>
                <w:szCs w:val="20"/>
              </w:rPr>
              <w:t xml:space="preserve">der U.S. Circuit Court for the Pennsylvania </w:t>
            </w:r>
            <w:proofErr w:type="spellStart"/>
            <w:r w:rsidRPr="00B45592">
              <w:rPr>
                <w:i/>
                <w:sz w:val="20"/>
                <w:szCs w:val="20"/>
              </w:rPr>
              <w:t>District</w:t>
            </w:r>
            <w:proofErr w:type="spellEnd"/>
            <w:r w:rsidRPr="00BE3728">
              <w:rPr>
                <w:sz w:val="20"/>
                <w:szCs w:val="20"/>
              </w:rPr>
              <w:t xml:space="preserve"> </w:t>
            </w:r>
            <w:r>
              <w:rPr>
                <w:sz w:val="20"/>
                <w:szCs w:val="20"/>
              </w:rPr>
              <w:t>habe</w:t>
            </w:r>
            <w:r w:rsidRPr="00BE3728">
              <w:rPr>
                <w:sz w:val="20"/>
                <w:szCs w:val="20"/>
              </w:rPr>
              <w:t xml:space="preserve"> verfassungskonform</w:t>
            </w:r>
            <w:r>
              <w:rPr>
                <w:sz w:val="20"/>
                <w:szCs w:val="20"/>
              </w:rPr>
              <w:t xml:space="preserve"> entschieden</w:t>
            </w:r>
            <w:r w:rsidRPr="00BE3728">
              <w:rPr>
                <w:sz w:val="20"/>
                <w:szCs w:val="20"/>
              </w:rPr>
              <w:t xml:space="preserve">, und zwar zugunsten eines Geistlichen. Die Erben einer verstorbenen Frau waren Kläger. Sie begehrten, eine Schuldverschreibung und Hypothek für nichtig erklären zu lassen. Diese hatte die Frau vor ihrem Tod </w:t>
            </w:r>
            <w:r>
              <w:rPr>
                <w:sz w:val="20"/>
                <w:szCs w:val="20"/>
              </w:rPr>
              <w:t>zugunsten</w:t>
            </w:r>
            <w:r w:rsidRPr="00BE3728">
              <w:rPr>
                <w:sz w:val="20"/>
                <w:szCs w:val="20"/>
              </w:rPr>
              <w:t xml:space="preserve"> des Geistlichen ausgestellt. Die Erben meinten, es fehle an einer Gegenleistung</w:t>
            </w:r>
            <w:r>
              <w:rPr>
                <w:sz w:val="20"/>
                <w:szCs w:val="20"/>
              </w:rPr>
              <w:t xml:space="preserve"> u</w:t>
            </w:r>
            <w:r w:rsidRPr="00BE3728">
              <w:rPr>
                <w:sz w:val="20"/>
                <w:szCs w:val="20"/>
              </w:rPr>
              <w:t xml:space="preserve">nd die Frau sei aufgrund ihrer geistigen Beeinträchtigung unfähig gewesen, eine Schuldverschreibung und Hypothek zu übertragen. Zudem sei sie durch Drohungen gezwungen worden. Auch habe die Beziehung des Geistlichen zur Frau jegliche Vertragsabschlüsse verhindert. Als Mindestvoraussetzung hätte ein Anwalt anwesend sein sollen. Der </w:t>
            </w:r>
            <w:r>
              <w:rPr>
                <w:sz w:val="20"/>
                <w:szCs w:val="20"/>
              </w:rPr>
              <w:t>U.S. Supreme Court</w:t>
            </w:r>
            <w:r w:rsidRPr="00BE3728">
              <w:rPr>
                <w:sz w:val="20"/>
                <w:szCs w:val="20"/>
              </w:rPr>
              <w:t xml:space="preserve"> urteilte jedoch, dass (1) eine Gegenleistung für die Frau nicht nötig sei und der Geistliche dafür keine Beweislast trage. (2) Es </w:t>
            </w:r>
            <w:r>
              <w:rPr>
                <w:sz w:val="20"/>
                <w:szCs w:val="20"/>
              </w:rPr>
              <w:t>hätten</w:t>
            </w:r>
            <w:r w:rsidRPr="00BE3728">
              <w:rPr>
                <w:sz w:val="20"/>
                <w:szCs w:val="20"/>
              </w:rPr>
              <w:t xml:space="preserve"> keine Anzeichen einer geistigen Beeinträchtigung der Frau zum Zeitpunkt der Vertragsunterzeichnung vor</w:t>
            </w:r>
            <w:r>
              <w:rPr>
                <w:sz w:val="20"/>
                <w:szCs w:val="20"/>
              </w:rPr>
              <w:t>gelegen</w:t>
            </w:r>
            <w:r w:rsidRPr="00BE3728">
              <w:rPr>
                <w:sz w:val="20"/>
                <w:szCs w:val="20"/>
              </w:rPr>
              <w:t xml:space="preserve">. (3) </w:t>
            </w:r>
            <w:r>
              <w:rPr>
                <w:sz w:val="20"/>
                <w:szCs w:val="20"/>
              </w:rPr>
              <w:t>D</w:t>
            </w:r>
            <w:r w:rsidRPr="00BE3728">
              <w:rPr>
                <w:sz w:val="20"/>
                <w:szCs w:val="20"/>
              </w:rPr>
              <w:t xml:space="preserve">er Geistliche </w:t>
            </w:r>
            <w:r>
              <w:rPr>
                <w:sz w:val="20"/>
                <w:szCs w:val="20"/>
              </w:rPr>
              <w:t>habe</w:t>
            </w:r>
            <w:r w:rsidRPr="00BE3728">
              <w:rPr>
                <w:sz w:val="20"/>
                <w:szCs w:val="20"/>
              </w:rPr>
              <w:t xml:space="preserve"> auch nicht</w:t>
            </w:r>
            <w:r>
              <w:rPr>
                <w:sz w:val="20"/>
                <w:szCs w:val="20"/>
              </w:rPr>
              <w:t xml:space="preserve"> getäuscht oder gedroht</w:t>
            </w:r>
            <w:r w:rsidRPr="00BE3728">
              <w:rPr>
                <w:sz w:val="20"/>
                <w:szCs w:val="20"/>
              </w:rPr>
              <w:t xml:space="preserve">. Vielmehr </w:t>
            </w:r>
            <w:r>
              <w:rPr>
                <w:sz w:val="20"/>
                <w:szCs w:val="20"/>
              </w:rPr>
              <w:t>habe</w:t>
            </w:r>
            <w:r w:rsidRPr="00BE3728">
              <w:rPr>
                <w:sz w:val="20"/>
                <w:szCs w:val="20"/>
              </w:rPr>
              <w:t xml:space="preserve"> die Frau freiwillig</w:t>
            </w:r>
            <w:r>
              <w:rPr>
                <w:sz w:val="20"/>
                <w:szCs w:val="20"/>
              </w:rPr>
              <w:t xml:space="preserve"> gehandelt</w:t>
            </w:r>
            <w:r w:rsidRPr="00BE3728">
              <w:rPr>
                <w:sz w:val="20"/>
                <w:szCs w:val="20"/>
              </w:rPr>
              <w:t>, ohne jeden anfechtbaren Einfluss. Das Urteil wurde bestätigt.</w:t>
            </w:r>
            <w:r w:rsidRPr="00BE3728">
              <w:rPr>
                <w:rStyle w:val="Funotenzeichen"/>
                <w:sz w:val="20"/>
                <w:szCs w:val="20"/>
              </w:rPr>
              <w:footnoteReference w:id="130"/>
            </w:r>
          </w:p>
          <w:p w14:paraId="60DE2596" w14:textId="77777777" w:rsidR="00FE5F32" w:rsidRPr="00E50B51" w:rsidRDefault="00FE5F32" w:rsidP="00367133">
            <w:pPr>
              <w:jc w:val="both"/>
              <w:rPr>
                <w:sz w:val="20"/>
                <w:szCs w:val="20"/>
              </w:rPr>
            </w:pPr>
          </w:p>
        </w:tc>
        <w:tc>
          <w:tcPr>
            <w:tcW w:w="1822" w:type="pct"/>
          </w:tcPr>
          <w:p w14:paraId="4554D969" w14:textId="36058522" w:rsidR="00074551" w:rsidRPr="00B45592" w:rsidRDefault="00074551" w:rsidP="00367133">
            <w:pPr>
              <w:jc w:val="both"/>
              <w:rPr>
                <w:i/>
                <w:sz w:val="20"/>
                <w:szCs w:val="20"/>
                <w:lang w:val="en-US"/>
              </w:rPr>
            </w:pPr>
            <w:r w:rsidRPr="00B45592">
              <w:rPr>
                <w:i/>
                <w:sz w:val="20"/>
                <w:szCs w:val="20"/>
                <w:lang w:val="en-US"/>
              </w:rPr>
              <w:t>LexisNexis-</w:t>
            </w:r>
            <w:proofErr w:type="spellStart"/>
            <w:r w:rsidRPr="00B45592">
              <w:rPr>
                <w:i/>
                <w:sz w:val="20"/>
                <w:szCs w:val="20"/>
                <w:lang w:val="en-US"/>
              </w:rPr>
              <w:t>Klassifikation</w:t>
            </w:r>
            <w:proofErr w:type="spellEnd"/>
            <w:r w:rsidRPr="00B45592">
              <w:rPr>
                <w:i/>
                <w:sz w:val="20"/>
                <w:szCs w:val="20"/>
                <w:lang w:val="en-US"/>
              </w:rPr>
              <w:t xml:space="preserve">: Contracts Law › </w:t>
            </w:r>
            <w:hyperlink r:id="rId9" w:history="1">
              <w:r w:rsidRPr="00B45592">
                <w:rPr>
                  <w:rStyle w:val="Hyperlink"/>
                  <w:i/>
                  <w:color w:val="auto"/>
                  <w:sz w:val="20"/>
                  <w:szCs w:val="20"/>
                  <w:u w:val="none"/>
                  <w:lang w:val="en-US"/>
                </w:rPr>
                <w:t>Remedies</w:t>
              </w:r>
            </w:hyperlink>
            <w:r w:rsidRPr="00B45592">
              <w:rPr>
                <w:i/>
                <w:sz w:val="20"/>
                <w:szCs w:val="20"/>
                <w:lang w:val="en-US"/>
              </w:rPr>
              <w:t xml:space="preserve"> › </w:t>
            </w:r>
            <w:hyperlink r:id="rId10" w:history="1">
              <w:r w:rsidRPr="00B45592">
                <w:rPr>
                  <w:rStyle w:val="Hyperlink"/>
                  <w:i/>
                  <w:color w:val="auto"/>
                  <w:sz w:val="20"/>
                  <w:szCs w:val="20"/>
                  <w:u w:val="none"/>
                  <w:lang w:val="en-US"/>
                </w:rPr>
                <w:t>Equitable Relief</w:t>
              </w:r>
            </w:hyperlink>
            <w:r w:rsidRPr="00B45592">
              <w:rPr>
                <w:i/>
                <w:sz w:val="20"/>
                <w:szCs w:val="20"/>
                <w:lang w:val="en-US"/>
              </w:rPr>
              <w:t xml:space="preserve"> › </w:t>
            </w:r>
            <w:hyperlink r:id="rId11" w:history="1">
              <w:r w:rsidRPr="00B45592">
                <w:rPr>
                  <w:rStyle w:val="Hyperlink"/>
                  <w:i/>
                  <w:color w:val="auto"/>
                  <w:sz w:val="20"/>
                  <w:szCs w:val="20"/>
                  <w:u w:val="none"/>
                  <w:lang w:val="en-US"/>
                </w:rPr>
                <w:t>General Overview</w:t>
              </w:r>
            </w:hyperlink>
          </w:p>
          <w:p w14:paraId="63257CE4" w14:textId="77777777" w:rsidR="00074551" w:rsidRPr="00BE3728" w:rsidRDefault="00074551" w:rsidP="00367133">
            <w:pPr>
              <w:jc w:val="both"/>
              <w:rPr>
                <w:sz w:val="20"/>
                <w:szCs w:val="20"/>
                <w:lang w:val="en-US"/>
              </w:rPr>
            </w:pPr>
          </w:p>
          <w:p w14:paraId="30351850"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schrieb, dass ein Vertrag einerseits nichtig sein könne oder </w:t>
            </w:r>
            <w:r>
              <w:rPr>
                <w:sz w:val="20"/>
                <w:szCs w:val="20"/>
              </w:rPr>
              <w:t xml:space="preserve">aber </w:t>
            </w:r>
            <w:r w:rsidRPr="00BE3728">
              <w:rPr>
                <w:sz w:val="20"/>
                <w:szCs w:val="20"/>
              </w:rPr>
              <w:t xml:space="preserve">nicht durchsetzbar. Beides falle in die Zuständigkeit der Vorinstanzen wie dem </w:t>
            </w:r>
            <w:r w:rsidRPr="00B45592">
              <w:rPr>
                <w:i/>
                <w:sz w:val="20"/>
                <w:szCs w:val="20"/>
              </w:rPr>
              <w:t xml:space="preserve">Court of </w:t>
            </w:r>
            <w:proofErr w:type="spellStart"/>
            <w:r w:rsidRPr="00B45592">
              <w:rPr>
                <w:i/>
                <w:sz w:val="20"/>
                <w:szCs w:val="20"/>
              </w:rPr>
              <w:t>Chancery</w:t>
            </w:r>
            <w:proofErr w:type="spellEnd"/>
            <w:r w:rsidRPr="00BE3728">
              <w:rPr>
                <w:sz w:val="20"/>
                <w:szCs w:val="20"/>
              </w:rPr>
              <w:t xml:space="preserve">. Diese Entscheidung </w:t>
            </w:r>
            <w:r>
              <w:rPr>
                <w:sz w:val="20"/>
                <w:szCs w:val="20"/>
              </w:rPr>
              <w:t>könne</w:t>
            </w:r>
            <w:r w:rsidRPr="00BE3728">
              <w:rPr>
                <w:sz w:val="20"/>
                <w:szCs w:val="20"/>
              </w:rPr>
              <w:t xml:space="preserve"> der </w:t>
            </w:r>
            <w:r>
              <w:rPr>
                <w:sz w:val="20"/>
                <w:szCs w:val="20"/>
              </w:rPr>
              <w:t>U.S. Supreme Court</w:t>
            </w:r>
            <w:r w:rsidRPr="00BE3728">
              <w:rPr>
                <w:sz w:val="20"/>
                <w:szCs w:val="20"/>
              </w:rPr>
              <w:t xml:space="preserve"> überprüfen.</w:t>
            </w:r>
            <w:r w:rsidRPr="00BE3728">
              <w:rPr>
                <w:rStyle w:val="Funotenzeichen"/>
                <w:sz w:val="20"/>
                <w:szCs w:val="20"/>
              </w:rPr>
              <w:footnoteReference w:id="131"/>
            </w:r>
          </w:p>
          <w:p w14:paraId="7FF27499" w14:textId="77777777" w:rsidR="00074551" w:rsidRPr="009F1CA8" w:rsidRDefault="00074551" w:rsidP="00367133">
            <w:pPr>
              <w:jc w:val="both"/>
              <w:rPr>
                <w:sz w:val="20"/>
                <w:szCs w:val="20"/>
              </w:rPr>
            </w:pPr>
          </w:p>
          <w:p w14:paraId="137012FC" w14:textId="77777777" w:rsidR="00074551" w:rsidRDefault="00074551" w:rsidP="00367133">
            <w:pPr>
              <w:jc w:val="both"/>
              <w:rPr>
                <w:sz w:val="20"/>
                <w:szCs w:val="20"/>
              </w:rPr>
            </w:pPr>
            <w:r w:rsidRPr="00BE3728">
              <w:rPr>
                <w:sz w:val="20"/>
                <w:szCs w:val="20"/>
              </w:rPr>
              <w:t xml:space="preserve">Im Syllabus erklärt der </w:t>
            </w:r>
            <w:r>
              <w:rPr>
                <w:sz w:val="20"/>
                <w:szCs w:val="20"/>
              </w:rPr>
              <w:t>U.S. Supreme Court</w:t>
            </w:r>
            <w:r w:rsidRPr="00BE3728">
              <w:rPr>
                <w:sz w:val="20"/>
                <w:szCs w:val="20"/>
              </w:rPr>
              <w:t xml:space="preserve"> das Ziel von Gesetzen</w:t>
            </w:r>
            <w:r>
              <w:rPr>
                <w:sz w:val="20"/>
                <w:szCs w:val="20"/>
              </w:rPr>
              <w:t>, nämlich d</w:t>
            </w:r>
            <w:r w:rsidRPr="00BE3728">
              <w:rPr>
                <w:sz w:val="20"/>
                <w:szCs w:val="20"/>
              </w:rPr>
              <w:t>as gute Verhalten und des Glücks derer, die unter dem Gesetz leben, zu fördern („</w:t>
            </w:r>
            <w:proofErr w:type="spellStart"/>
            <w:r w:rsidRPr="00BE3728">
              <w:rPr>
                <w:sz w:val="20"/>
                <w:szCs w:val="20"/>
              </w:rPr>
              <w:t>purposes</w:t>
            </w:r>
            <w:proofErr w:type="spellEnd"/>
            <w:r w:rsidRPr="00BE3728">
              <w:rPr>
                <w:sz w:val="20"/>
                <w:szCs w:val="20"/>
              </w:rPr>
              <w:t xml:space="preserve"> of all </w:t>
            </w:r>
            <w:proofErr w:type="spellStart"/>
            <w:r w:rsidRPr="00BE3728">
              <w:rPr>
                <w:sz w:val="20"/>
                <w:szCs w:val="20"/>
              </w:rPr>
              <w:t>law</w:t>
            </w:r>
            <w:proofErr w:type="spellEnd"/>
            <w:r w:rsidRPr="00BE3728">
              <w:rPr>
                <w:sz w:val="20"/>
                <w:szCs w:val="20"/>
              </w:rPr>
              <w:t xml:space="preserve">, the </w:t>
            </w:r>
            <w:proofErr w:type="spellStart"/>
            <w:r w:rsidRPr="00BE3728">
              <w:rPr>
                <w:sz w:val="20"/>
                <w:szCs w:val="20"/>
              </w:rPr>
              <w:t>good</w:t>
            </w:r>
            <w:proofErr w:type="spellEnd"/>
            <w:r w:rsidRPr="00BE3728">
              <w:rPr>
                <w:sz w:val="20"/>
                <w:szCs w:val="20"/>
              </w:rPr>
              <w:t xml:space="preserve"> </w:t>
            </w:r>
            <w:proofErr w:type="spellStart"/>
            <w:r w:rsidRPr="00BE3728">
              <w:rPr>
                <w:sz w:val="20"/>
                <w:szCs w:val="20"/>
              </w:rPr>
              <w:t>conduct</w:t>
            </w:r>
            <w:proofErr w:type="spellEnd"/>
            <w:r w:rsidRPr="00BE3728">
              <w:rPr>
                <w:sz w:val="20"/>
                <w:szCs w:val="20"/>
              </w:rPr>
              <w:t xml:space="preserve"> and the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those</w:t>
            </w:r>
            <w:proofErr w:type="spellEnd"/>
            <w:r w:rsidRPr="00BE3728">
              <w:rPr>
                <w:sz w:val="20"/>
                <w:szCs w:val="20"/>
              </w:rPr>
              <w:t xml:space="preserve"> who live </w:t>
            </w:r>
            <w:proofErr w:type="spellStart"/>
            <w:r w:rsidRPr="00BE3728">
              <w:rPr>
                <w:sz w:val="20"/>
                <w:szCs w:val="20"/>
              </w:rPr>
              <w:t>under</w:t>
            </w:r>
            <w:proofErr w:type="spellEnd"/>
            <w:r w:rsidRPr="00BE3728">
              <w:rPr>
                <w:sz w:val="20"/>
                <w:szCs w:val="20"/>
              </w:rPr>
              <w:t xml:space="preserve"> it“</w:t>
            </w:r>
            <w:r w:rsidRPr="00BE3728">
              <w:rPr>
                <w:rStyle w:val="Funotenzeichen"/>
                <w:sz w:val="20"/>
                <w:szCs w:val="20"/>
              </w:rPr>
              <w:footnoteReference w:id="132"/>
            </w:r>
            <w:r w:rsidRPr="00BE3728">
              <w:rPr>
                <w:sz w:val="20"/>
                <w:szCs w:val="20"/>
              </w:rPr>
              <w:t xml:space="preserve">). Eine Folge daraus sei, dass Verträge einzuhalten </w:t>
            </w:r>
            <w:r>
              <w:rPr>
                <w:sz w:val="20"/>
                <w:szCs w:val="20"/>
              </w:rPr>
              <w:t>seien</w:t>
            </w:r>
            <w:r w:rsidRPr="00BE3728">
              <w:rPr>
                <w:sz w:val="20"/>
                <w:szCs w:val="20"/>
              </w:rPr>
              <w:t>. Daher müss</w:t>
            </w:r>
            <w:r>
              <w:rPr>
                <w:sz w:val="20"/>
                <w:szCs w:val="20"/>
              </w:rPr>
              <w:t>t</w:t>
            </w:r>
            <w:r w:rsidRPr="00BE3728">
              <w:rPr>
                <w:sz w:val="20"/>
                <w:szCs w:val="20"/>
              </w:rPr>
              <w:t>en die Kläger beweisen, das</w:t>
            </w:r>
            <w:r>
              <w:rPr>
                <w:sz w:val="20"/>
                <w:szCs w:val="20"/>
              </w:rPr>
              <w:t>s</w:t>
            </w:r>
            <w:r w:rsidRPr="00BE3728">
              <w:rPr>
                <w:sz w:val="20"/>
                <w:szCs w:val="20"/>
              </w:rPr>
              <w:t xml:space="preserve"> ein Umstand stärker sei als ein Vertrag, damit er nichtig würde. Die Beweislast lieg</w:t>
            </w:r>
            <w:r>
              <w:rPr>
                <w:sz w:val="20"/>
                <w:szCs w:val="20"/>
              </w:rPr>
              <w:t>e</w:t>
            </w:r>
            <w:r w:rsidRPr="00BE3728">
              <w:rPr>
                <w:sz w:val="20"/>
                <w:szCs w:val="20"/>
              </w:rPr>
              <w:t xml:space="preserve"> bei ihnen. Wenn also die Kläger dieser Beweislast nicht nachkommen, dann gilt der Grundsatz: Verträge sind einzuhalten. Beispiele, um die Voraussetzung</w:t>
            </w:r>
            <w:r>
              <w:rPr>
                <w:sz w:val="20"/>
                <w:szCs w:val="20"/>
              </w:rPr>
              <w:t>en</w:t>
            </w:r>
            <w:r w:rsidRPr="00BE3728">
              <w:rPr>
                <w:sz w:val="20"/>
                <w:szCs w:val="20"/>
              </w:rPr>
              <w:t xml:space="preserve"> eines Vertrags nichtig zu machen, </w:t>
            </w:r>
            <w:r>
              <w:rPr>
                <w:sz w:val="20"/>
                <w:szCs w:val="20"/>
              </w:rPr>
              <w:t>sind</w:t>
            </w:r>
            <w:r w:rsidRPr="00BE3728">
              <w:rPr>
                <w:sz w:val="20"/>
                <w:szCs w:val="20"/>
              </w:rPr>
              <w:t xml:space="preserve"> Betrug oder Sittenwidrigkeit. Doch der Pfarrer schl</w:t>
            </w:r>
            <w:r>
              <w:rPr>
                <w:sz w:val="20"/>
                <w:szCs w:val="20"/>
              </w:rPr>
              <w:t>o</w:t>
            </w:r>
            <w:r w:rsidRPr="00BE3728">
              <w:rPr>
                <w:sz w:val="20"/>
                <w:szCs w:val="20"/>
              </w:rPr>
              <w:t xml:space="preserve">ss den Vertrag mit der </w:t>
            </w:r>
            <w:r>
              <w:rPr>
                <w:sz w:val="20"/>
                <w:szCs w:val="20"/>
              </w:rPr>
              <w:t>F</w:t>
            </w:r>
            <w:r w:rsidRPr="00BE3728">
              <w:rPr>
                <w:sz w:val="20"/>
                <w:szCs w:val="20"/>
              </w:rPr>
              <w:t>rau weder betrügerisch noch sittenwidrig.</w:t>
            </w:r>
            <w:r w:rsidRPr="00BE3728">
              <w:rPr>
                <w:rStyle w:val="Funotenzeichen"/>
                <w:sz w:val="20"/>
                <w:szCs w:val="20"/>
              </w:rPr>
              <w:footnoteReference w:id="133"/>
            </w:r>
          </w:p>
          <w:p w14:paraId="4D951BB2" w14:textId="77777777" w:rsidR="00074551" w:rsidRPr="00E50B51" w:rsidRDefault="00074551" w:rsidP="00367133">
            <w:pPr>
              <w:jc w:val="both"/>
              <w:rPr>
                <w:sz w:val="20"/>
                <w:szCs w:val="20"/>
              </w:rPr>
            </w:pPr>
          </w:p>
        </w:tc>
      </w:tr>
      <w:tr w:rsidR="00074551" w:rsidRPr="00E50B51" w14:paraId="56019848" w14:textId="77777777" w:rsidTr="00752D01">
        <w:trPr>
          <w:cantSplit/>
          <w:trHeight w:val="3175"/>
        </w:trPr>
        <w:tc>
          <w:tcPr>
            <w:tcW w:w="293" w:type="pct"/>
            <w:shd w:val="clear" w:color="auto" w:fill="E7E6E6" w:themeFill="background2"/>
          </w:tcPr>
          <w:p w14:paraId="7CF909A8"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78F478F9" w14:textId="77777777" w:rsidR="00074551" w:rsidRPr="00E50B51" w:rsidRDefault="00074551" w:rsidP="00367133">
            <w:pPr>
              <w:ind w:left="113" w:right="416"/>
              <w:jc w:val="both"/>
              <w:rPr>
                <w:sz w:val="20"/>
                <w:szCs w:val="20"/>
              </w:rPr>
            </w:pPr>
            <w:r w:rsidRPr="00BE3728">
              <w:rPr>
                <w:sz w:val="20"/>
                <w:szCs w:val="20"/>
              </w:rPr>
              <w:t>Wirtschaftliche Seite</w:t>
            </w:r>
          </w:p>
        </w:tc>
        <w:tc>
          <w:tcPr>
            <w:tcW w:w="197" w:type="pct"/>
            <w:shd w:val="clear" w:color="auto" w:fill="E7E6E6" w:themeFill="background2"/>
            <w:textDirection w:val="tbRl"/>
            <w:vAlign w:val="center"/>
          </w:tcPr>
          <w:p w14:paraId="55D1EDE7" w14:textId="77777777" w:rsidR="00074551" w:rsidRPr="00E50B51" w:rsidRDefault="00074551" w:rsidP="00367133">
            <w:pPr>
              <w:ind w:left="113" w:right="113"/>
              <w:jc w:val="both"/>
              <w:rPr>
                <w:sz w:val="20"/>
                <w:szCs w:val="20"/>
                <w:lang w:val="en-US"/>
              </w:rPr>
            </w:pPr>
            <w:r w:rsidRPr="00BE3728">
              <w:rPr>
                <w:sz w:val="20"/>
                <w:szCs w:val="20"/>
                <w:lang w:val="en-US"/>
              </w:rPr>
              <w:t>Contracts Clause</w:t>
            </w:r>
          </w:p>
        </w:tc>
        <w:tc>
          <w:tcPr>
            <w:tcW w:w="306" w:type="pct"/>
            <w:shd w:val="clear" w:color="auto" w:fill="E7E6E6" w:themeFill="background2"/>
            <w:textDirection w:val="tbRl"/>
            <w:vAlign w:val="center"/>
          </w:tcPr>
          <w:p w14:paraId="71A0A416" w14:textId="77777777" w:rsidR="00074551" w:rsidRPr="00E50B51" w:rsidRDefault="00074551" w:rsidP="00367133">
            <w:pPr>
              <w:ind w:left="113" w:right="113"/>
              <w:jc w:val="both"/>
              <w:rPr>
                <w:sz w:val="20"/>
                <w:szCs w:val="20"/>
              </w:rPr>
            </w:pPr>
            <w:r w:rsidRPr="00BE3728">
              <w:rPr>
                <w:sz w:val="20"/>
                <w:szCs w:val="20"/>
                <w:lang w:val="en-US"/>
              </w:rPr>
              <w:t xml:space="preserve">Labor </w:t>
            </w:r>
            <w:r>
              <w:rPr>
                <w:sz w:val="20"/>
                <w:szCs w:val="20"/>
                <w:lang w:val="en-US"/>
              </w:rPr>
              <w:t>C</w:t>
            </w:r>
            <w:r w:rsidRPr="00BE3728">
              <w:rPr>
                <w:sz w:val="20"/>
                <w:szCs w:val="20"/>
                <w:lang w:val="en-US"/>
              </w:rPr>
              <w:t>ontracts</w:t>
            </w:r>
          </w:p>
        </w:tc>
        <w:tc>
          <w:tcPr>
            <w:tcW w:w="401" w:type="pct"/>
            <w:shd w:val="clear" w:color="auto" w:fill="E7E6E6" w:themeFill="background2"/>
          </w:tcPr>
          <w:p w14:paraId="3AC3D2C8"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057A26FD" w14:textId="77777777" w:rsidR="00074551" w:rsidRPr="00E50B51" w:rsidRDefault="00074551" w:rsidP="00367133">
            <w:pPr>
              <w:jc w:val="both"/>
              <w:rPr>
                <w:sz w:val="20"/>
                <w:szCs w:val="20"/>
              </w:rPr>
            </w:pPr>
          </w:p>
        </w:tc>
        <w:tc>
          <w:tcPr>
            <w:tcW w:w="1822" w:type="pct"/>
            <w:shd w:val="clear" w:color="auto" w:fill="E7E6E6" w:themeFill="background2"/>
          </w:tcPr>
          <w:p w14:paraId="3A3673B4" w14:textId="5ECD1E54"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298A64E" w14:textId="77777777" w:rsidTr="00BE689F">
        <w:trPr>
          <w:cantSplit/>
          <w:trHeight w:val="3175"/>
        </w:trPr>
        <w:tc>
          <w:tcPr>
            <w:tcW w:w="293" w:type="pct"/>
          </w:tcPr>
          <w:p w14:paraId="163BDE79"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11D2730B" w14:textId="77777777" w:rsidR="00074551" w:rsidRPr="00B45592" w:rsidRDefault="00074551" w:rsidP="00367133">
            <w:pPr>
              <w:ind w:left="113" w:right="416"/>
              <w:jc w:val="both"/>
              <w:rPr>
                <w:i/>
                <w:iCs/>
                <w:sz w:val="20"/>
                <w:szCs w:val="20"/>
              </w:rPr>
            </w:pPr>
            <w:r w:rsidRPr="00B45592">
              <w:rPr>
                <w:i/>
                <w:iCs/>
                <w:sz w:val="20"/>
                <w:szCs w:val="20"/>
                <w:lang w:val="en-US"/>
              </w:rPr>
              <w:t>United States v. Reynolds</w:t>
            </w:r>
          </w:p>
        </w:tc>
        <w:tc>
          <w:tcPr>
            <w:tcW w:w="197" w:type="pct"/>
            <w:textDirection w:val="tbRl"/>
            <w:vAlign w:val="center"/>
          </w:tcPr>
          <w:p w14:paraId="5194317B" w14:textId="77777777" w:rsidR="00074551" w:rsidRPr="00E50B51" w:rsidRDefault="00074551" w:rsidP="00367133">
            <w:pPr>
              <w:ind w:left="113" w:right="113"/>
              <w:jc w:val="both"/>
              <w:rPr>
                <w:sz w:val="20"/>
                <w:szCs w:val="20"/>
                <w:lang w:val="en-US"/>
              </w:rPr>
            </w:pPr>
            <w:r w:rsidRPr="00BE3728">
              <w:rPr>
                <w:sz w:val="20"/>
                <w:szCs w:val="20"/>
              </w:rPr>
              <w:t>235 U.S. 133</w:t>
            </w:r>
          </w:p>
        </w:tc>
        <w:tc>
          <w:tcPr>
            <w:tcW w:w="306" w:type="pct"/>
            <w:textDirection w:val="tbRl"/>
            <w:vAlign w:val="center"/>
          </w:tcPr>
          <w:p w14:paraId="3D3B1646" w14:textId="77777777" w:rsidR="00074551" w:rsidRPr="00E50B51" w:rsidRDefault="00074551" w:rsidP="00367133">
            <w:pPr>
              <w:ind w:left="113" w:right="113"/>
              <w:jc w:val="both"/>
              <w:rPr>
                <w:sz w:val="20"/>
                <w:szCs w:val="20"/>
              </w:rPr>
            </w:pPr>
            <w:r w:rsidRPr="00BE3728">
              <w:rPr>
                <w:sz w:val="20"/>
                <w:szCs w:val="20"/>
              </w:rPr>
              <w:t>30. November 1914</w:t>
            </w:r>
          </w:p>
        </w:tc>
        <w:tc>
          <w:tcPr>
            <w:tcW w:w="401" w:type="pct"/>
          </w:tcPr>
          <w:p w14:paraId="1ED24610"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5792793E" w14:textId="79D8B8FA" w:rsidR="00074551" w:rsidRDefault="00C4236D" w:rsidP="00C4236D">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die </w:t>
            </w:r>
            <w:r w:rsidR="003F5416" w:rsidRPr="003F5416">
              <w:rPr>
                <w:sz w:val="20"/>
                <w:szCs w:val="20"/>
              </w:rPr>
              <w:t>die Entscheidungen der Vorinstanz auf. Die Vereinigten Staaten legten den Angeklagten zu Last, Personen mittels solcher Arbeitsverträge in einem Zustand der Schuldknechtschaft (</w:t>
            </w:r>
            <w:proofErr w:type="spellStart"/>
            <w:r w:rsidR="003F5416" w:rsidRPr="00C4236D">
              <w:rPr>
                <w:i/>
                <w:iCs/>
                <w:sz w:val="20"/>
                <w:szCs w:val="20"/>
              </w:rPr>
              <w:t>peonage</w:t>
            </w:r>
            <w:proofErr w:type="spellEnd"/>
            <w:r w:rsidR="003F5416" w:rsidRPr="003F5416">
              <w:rPr>
                <w:sz w:val="20"/>
                <w:szCs w:val="20"/>
              </w:rPr>
              <w:t>) gehalten zu haben.</w:t>
            </w:r>
            <w:r>
              <w:rPr>
                <w:sz w:val="20"/>
                <w:szCs w:val="20"/>
              </w:rPr>
              <w:t xml:space="preserve"> </w:t>
            </w:r>
            <w:r w:rsidR="003F5416" w:rsidRPr="003F5416">
              <w:rPr>
                <w:sz w:val="20"/>
                <w:szCs w:val="20"/>
              </w:rPr>
              <w:t xml:space="preserve">Nach § 6846 des </w:t>
            </w:r>
            <w:r w:rsidR="003F5416" w:rsidRPr="003F5416">
              <w:rPr>
                <w:i/>
                <w:iCs/>
                <w:sz w:val="20"/>
                <w:szCs w:val="20"/>
              </w:rPr>
              <w:t>Alabama Code</w:t>
            </w:r>
            <w:r w:rsidR="003F5416" w:rsidRPr="003F5416">
              <w:rPr>
                <w:sz w:val="20"/>
                <w:szCs w:val="20"/>
              </w:rPr>
              <w:t xml:space="preserve"> konnte ein wegen einer Straftat zu einer Geldstrafe verurteilter Täter einen privaten Bürgen benennen, der Geldstrafe und Gerichtskosten übernahm.</w:t>
            </w:r>
            <w:r>
              <w:rPr>
                <w:sz w:val="20"/>
                <w:szCs w:val="20"/>
              </w:rPr>
              <w:t xml:space="preserve"> </w:t>
            </w:r>
            <w:r w:rsidR="00074551" w:rsidRPr="00B0214B">
              <w:rPr>
                <w:sz w:val="20"/>
                <w:szCs w:val="20"/>
              </w:rPr>
              <w:t xml:space="preserve">Als Gegenleistung verpflichtete sich der Verurteilte vertraglich zur Arbeit für diesen Bürgen zu Bedingungen, die die Parteien unter sich aushandelten und die gerichtlich genehmigt wurden – ohne dass der Staat selbst Vertragspartei wurde. Verweigerte der Verurteilte die Arbeit, konnte der Bürge ihn auf Grundlage des staatlichen Strafrechts erneut verhaften lassen. Der Verurteilte stand damit vor der Wahl, entweder die Vertragsbedingungen zu erfüllen oder erneute Strafverfolgung zu riskieren – mit der Folge neuer Strafen, die wiederum durch einen neuen Bürgschaftsvertrag zu tilgen waren. </w:t>
            </w:r>
            <w:r w:rsidRPr="00C4236D">
              <w:rPr>
                <w:sz w:val="20"/>
                <w:szCs w:val="20"/>
              </w:rPr>
              <w:t>Diese Vertragskaskade perpetuierte den Zustand der Schuldknechtschaft auf unbestimmte Zeit</w:t>
            </w:r>
            <w:r w:rsidR="00074551" w:rsidRPr="00B0214B">
              <w:rPr>
                <w:sz w:val="20"/>
                <w:szCs w:val="20"/>
              </w:rPr>
              <w:t>.</w:t>
            </w:r>
            <w:r w:rsidR="00074551">
              <w:rPr>
                <w:rStyle w:val="Funotenzeichen"/>
                <w:sz w:val="20"/>
                <w:szCs w:val="20"/>
              </w:rPr>
              <w:footnoteReference w:id="134"/>
            </w:r>
          </w:p>
          <w:p w14:paraId="6D8283E0" w14:textId="77777777" w:rsidR="00074551" w:rsidRDefault="00074551" w:rsidP="00367133">
            <w:pPr>
              <w:jc w:val="both"/>
              <w:rPr>
                <w:sz w:val="20"/>
                <w:szCs w:val="20"/>
              </w:rPr>
            </w:pPr>
          </w:p>
          <w:p w14:paraId="6C60F2AF" w14:textId="7F79FA0A" w:rsidR="00C4236D" w:rsidRDefault="00C4236D" w:rsidP="00367133">
            <w:pPr>
              <w:jc w:val="both"/>
              <w:rPr>
                <w:sz w:val="20"/>
                <w:szCs w:val="20"/>
              </w:rPr>
            </w:pPr>
            <w:r w:rsidRPr="00C4236D">
              <w:rPr>
                <w:sz w:val="20"/>
                <w:szCs w:val="20"/>
              </w:rPr>
              <w:t xml:space="preserve">Die Vorinstanz hielt in beiden Fällen keinen Straftatbestand nach Bundesrecht für hinreichend dargelegt. Doch der U.S. Supreme Court erklärte, dieses System verletze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C4236D">
              <w:rPr>
                <w:sz w:val="20"/>
                <w:szCs w:val="20"/>
              </w:rPr>
              <w:t xml:space="preserve"> sowie die zu seiner Durchsetzung erlassenen Bundesgesetze. Damit konnten die Vereinigten Staaten die Angeklagten nach Bundesrecht strafrechtlich verfolgen. Denn der U.S. Supreme Court befand, die ständige Furcht vor erneuter Verhaftung mache die Arbeitsleistung zur unfreiwilligen Knechtschaft. Der Bürge nutzte die staatliche Strafdrohung als privaten Zwangshebel; der Staat war selbst nicht Partei der Verträge und hatte deren Bedingungen nicht mitbestimmt. Die Verurteilten mussten damit entweder die Vertragsbedingungen erfüllen oder erneute Strafverfolgung nach dem Recht Alabamas riskieren. Das verstieß gegen die bundesrechtlichen </w:t>
            </w:r>
            <w:r w:rsidRPr="00C4236D">
              <w:rPr>
                <w:i/>
                <w:iCs/>
                <w:sz w:val="20"/>
                <w:szCs w:val="20"/>
              </w:rPr>
              <w:t>Peonage</w:t>
            </w:r>
            <w:r w:rsidRPr="00C4236D">
              <w:rPr>
                <w:sz w:val="20"/>
                <w:szCs w:val="20"/>
              </w:rPr>
              <w:t>-Verbote.</w:t>
            </w:r>
            <w:r w:rsidRPr="00BE3728">
              <w:rPr>
                <w:rStyle w:val="Funotenzeichen"/>
                <w:sz w:val="20"/>
                <w:szCs w:val="20"/>
              </w:rPr>
              <w:t xml:space="preserve"> </w:t>
            </w:r>
            <w:r w:rsidRPr="00BE3728">
              <w:rPr>
                <w:rStyle w:val="Funotenzeichen"/>
                <w:sz w:val="20"/>
                <w:szCs w:val="20"/>
              </w:rPr>
              <w:footnoteReference w:id="135"/>
            </w:r>
          </w:p>
          <w:p w14:paraId="430A0CB4" w14:textId="77777777" w:rsidR="00074551" w:rsidRPr="00E50B51" w:rsidRDefault="00074551" w:rsidP="00367133">
            <w:pPr>
              <w:rPr>
                <w:sz w:val="20"/>
                <w:szCs w:val="20"/>
              </w:rPr>
            </w:pPr>
          </w:p>
        </w:tc>
        <w:tc>
          <w:tcPr>
            <w:tcW w:w="1822" w:type="pct"/>
          </w:tcPr>
          <w:p w14:paraId="7396379E" w14:textId="77777777" w:rsidR="00074551" w:rsidRPr="00B45592" w:rsidRDefault="00074551" w:rsidP="00367133">
            <w:pPr>
              <w:jc w:val="both"/>
              <w:rPr>
                <w:i/>
                <w:sz w:val="20"/>
                <w:szCs w:val="20"/>
                <w:lang w:val="en-US"/>
              </w:rPr>
            </w:pPr>
            <w:r w:rsidRPr="00B45592">
              <w:rPr>
                <w:i/>
                <w:sz w:val="20"/>
                <w:szCs w:val="20"/>
                <w:lang w:val="en-US"/>
              </w:rPr>
              <w:t>LexisNexis-</w:t>
            </w:r>
            <w:proofErr w:type="spellStart"/>
            <w:r w:rsidRPr="00B45592">
              <w:rPr>
                <w:i/>
                <w:sz w:val="20"/>
                <w:szCs w:val="20"/>
                <w:lang w:val="en-US"/>
              </w:rPr>
              <w:t>Klassifikation</w:t>
            </w:r>
            <w:proofErr w:type="spellEnd"/>
            <w:r w:rsidRPr="00B45592">
              <w:rPr>
                <w:i/>
                <w:sz w:val="20"/>
                <w:szCs w:val="20"/>
                <w:lang w:val="en-US"/>
              </w:rPr>
              <w:t>:</w:t>
            </w:r>
            <w:r>
              <w:rPr>
                <w:sz w:val="20"/>
                <w:szCs w:val="20"/>
                <w:lang w:val="en-US"/>
              </w:rPr>
              <w:t xml:space="preserve"> </w:t>
            </w:r>
            <w:r w:rsidRPr="00B45592">
              <w:rPr>
                <w:i/>
                <w:sz w:val="20"/>
                <w:szCs w:val="20"/>
                <w:lang w:val="en-US"/>
              </w:rPr>
              <w:t>Constitutional Law &gt; Involuntary Servitude &gt; Peonage &gt; Labor Contracts</w:t>
            </w:r>
          </w:p>
          <w:p w14:paraId="4E93E486" w14:textId="77777777" w:rsidR="00C4236D" w:rsidRDefault="00C4236D" w:rsidP="00367133">
            <w:pPr>
              <w:jc w:val="both"/>
              <w:rPr>
                <w:sz w:val="20"/>
                <w:szCs w:val="20"/>
              </w:rPr>
            </w:pPr>
          </w:p>
          <w:p w14:paraId="584769B1" w14:textId="3FC4FA5F" w:rsidR="00C4236D" w:rsidRPr="00D86117" w:rsidRDefault="00C4236D" w:rsidP="00367133">
            <w:pPr>
              <w:jc w:val="both"/>
              <w:rPr>
                <w:sz w:val="20"/>
                <w:szCs w:val="20"/>
              </w:rPr>
            </w:pPr>
            <w:r w:rsidRPr="00C4236D">
              <w:rPr>
                <w:sz w:val="20"/>
                <w:szCs w:val="20"/>
              </w:rPr>
              <w:t>Ein Zustand der Schuldknechtschaft (</w:t>
            </w:r>
            <w:proofErr w:type="spellStart"/>
            <w:r w:rsidRPr="00C4236D">
              <w:rPr>
                <w:i/>
                <w:iCs/>
                <w:sz w:val="20"/>
                <w:szCs w:val="20"/>
              </w:rPr>
              <w:t>peonage</w:t>
            </w:r>
            <w:proofErr w:type="spellEnd"/>
            <w:r w:rsidRPr="00C4236D">
              <w:rPr>
                <w:sz w:val="20"/>
                <w:szCs w:val="20"/>
              </w:rPr>
              <w:t xml:space="preserve">) sei durch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C4236D">
              <w:rPr>
                <w:sz w:val="20"/>
                <w:szCs w:val="20"/>
              </w:rPr>
              <w:t xml:space="preserve"> und durch einfaches Bundesrecht</w:t>
            </w:r>
            <w:r w:rsidRPr="00D86117">
              <w:rPr>
                <w:rStyle w:val="Funotenzeichen"/>
                <w:sz w:val="20"/>
                <w:szCs w:val="20"/>
              </w:rPr>
              <w:footnoteReference w:id="136"/>
            </w:r>
            <w:r w:rsidRPr="00C4236D">
              <w:rPr>
                <w:sz w:val="20"/>
                <w:szCs w:val="20"/>
              </w:rPr>
              <w:t xml:space="preserve"> verboten. Ein solcher ergebe sich aus dem durch § 6846 des </w:t>
            </w:r>
            <w:r w:rsidRPr="00C4236D">
              <w:rPr>
                <w:i/>
                <w:iCs/>
                <w:sz w:val="20"/>
                <w:szCs w:val="20"/>
              </w:rPr>
              <w:t>Alabama Code</w:t>
            </w:r>
            <w:r w:rsidRPr="00D86117">
              <w:rPr>
                <w:rStyle w:val="Funotenzeichen"/>
                <w:sz w:val="20"/>
                <w:szCs w:val="20"/>
              </w:rPr>
              <w:footnoteReference w:id="137"/>
            </w:r>
            <w:r w:rsidRPr="00B45592">
              <w:rPr>
                <w:sz w:val="20"/>
                <w:szCs w:val="20"/>
              </w:rPr>
              <w:t xml:space="preserve"> </w:t>
            </w:r>
            <w:r w:rsidRPr="00C4236D">
              <w:rPr>
                <w:sz w:val="20"/>
                <w:szCs w:val="20"/>
              </w:rPr>
              <w:t>ermöglichten Bürgschaftssystem.</w:t>
            </w:r>
          </w:p>
          <w:p w14:paraId="10065677" w14:textId="77777777" w:rsidR="00074551" w:rsidRPr="00BE3728" w:rsidRDefault="00074551" w:rsidP="00367133">
            <w:pPr>
              <w:jc w:val="both"/>
              <w:rPr>
                <w:sz w:val="20"/>
                <w:szCs w:val="20"/>
              </w:rPr>
            </w:pPr>
          </w:p>
          <w:p w14:paraId="5E2FD431" w14:textId="7EEDE52A" w:rsidR="00074551" w:rsidRDefault="00074551" w:rsidP="00367133">
            <w:pPr>
              <w:jc w:val="both"/>
              <w:rPr>
                <w:sz w:val="20"/>
                <w:szCs w:val="20"/>
              </w:rPr>
            </w:pPr>
            <w:r w:rsidRPr="00BE3728">
              <w:rPr>
                <w:sz w:val="20"/>
                <w:szCs w:val="20"/>
              </w:rPr>
              <w:t xml:space="preserve">Der Generalstaatsanwalt Alabamas trat für die unterlegenen Beklagten auf. Er trug vor, das streitgegenständliche Gesetz sei verfassungskonform. Denn wenn ein Straftäter eine Strafe ableiste, hier Strafarbeit vollführe, dann deute von außen nichts auf seinen Status als Straftäter hin, außer dass sein Lohn einbehalten werde. </w:t>
            </w:r>
            <w:r w:rsidRPr="00B45592">
              <w:rPr>
                <w:i/>
                <w:sz w:val="20"/>
                <w:szCs w:val="20"/>
              </w:rPr>
              <w:t>De facto</w:t>
            </w:r>
            <w:r w:rsidRPr="00BE3728">
              <w:rPr>
                <w:sz w:val="20"/>
                <w:szCs w:val="20"/>
              </w:rPr>
              <w:t xml:space="preserve"> sei er ein freier Mann. Daher achte das Gesetz die verfassungsrechtlichen Grenzen der Freiheit, die sich in der Möglichkeit des Glücksstrebens des Bürgers ausdrücke („</w:t>
            </w:r>
            <w:proofErr w:type="spellStart"/>
            <w:r w:rsidRPr="00BE3728">
              <w:rPr>
                <w:sz w:val="20"/>
                <w:szCs w:val="20"/>
              </w:rPr>
              <w:t>law</w:t>
            </w:r>
            <w:proofErr w:type="spellEnd"/>
            <w:r w:rsidRPr="00BE3728">
              <w:rPr>
                <w:sz w:val="20"/>
                <w:szCs w:val="20"/>
              </w:rPr>
              <w:t xml:space="preserve"> </w:t>
            </w:r>
            <w:proofErr w:type="spellStart"/>
            <w:r w:rsidRPr="00BE3728">
              <w:rPr>
                <w:sz w:val="20"/>
                <w:szCs w:val="20"/>
              </w:rPr>
              <w:t>delights</w:t>
            </w:r>
            <w:proofErr w:type="spellEnd"/>
            <w:r w:rsidRPr="00BE3728">
              <w:rPr>
                <w:sz w:val="20"/>
                <w:szCs w:val="20"/>
              </w:rPr>
              <w:t xml:space="preserve"> in the </w:t>
            </w:r>
            <w:proofErr w:type="spellStart"/>
            <w:r w:rsidRPr="00BE3728">
              <w:rPr>
                <w:sz w:val="20"/>
                <w:szCs w:val="20"/>
              </w:rPr>
              <w:t>liberty</w:t>
            </w:r>
            <w:proofErr w:type="spellEnd"/>
            <w:r w:rsidRPr="00BE3728">
              <w:rPr>
                <w:sz w:val="20"/>
                <w:szCs w:val="20"/>
              </w:rPr>
              <w:t xml:space="preserve"> and the </w:t>
            </w:r>
            <w:proofErr w:type="spellStart"/>
            <w:r w:rsidRPr="00BE3728">
              <w:rPr>
                <w:sz w:val="20"/>
                <w:szCs w:val="20"/>
              </w:rPr>
              <w:t>happiness</w:t>
            </w:r>
            <w:proofErr w:type="spellEnd"/>
            <w:r w:rsidRPr="00BE3728">
              <w:rPr>
                <w:sz w:val="20"/>
                <w:szCs w:val="20"/>
              </w:rPr>
              <w:t xml:space="preserve"> of the </w:t>
            </w:r>
            <w:proofErr w:type="spellStart"/>
            <w:r w:rsidRPr="00BE3728">
              <w:rPr>
                <w:sz w:val="20"/>
                <w:szCs w:val="20"/>
              </w:rPr>
              <w:t>citizen</w:t>
            </w:r>
            <w:proofErr w:type="spellEnd"/>
            <w:r w:rsidRPr="00BE3728">
              <w:rPr>
                <w:sz w:val="20"/>
                <w:szCs w:val="20"/>
              </w:rPr>
              <w:t>“</w:t>
            </w:r>
            <w:r w:rsidRPr="00BE3728">
              <w:rPr>
                <w:rStyle w:val="Funotenzeichen"/>
                <w:sz w:val="20"/>
                <w:szCs w:val="20"/>
              </w:rPr>
              <w:footnoteReference w:id="138"/>
            </w:r>
            <w:r w:rsidRPr="00BE3728">
              <w:rPr>
                <w:sz w:val="20"/>
                <w:szCs w:val="20"/>
              </w:rPr>
              <w:t xml:space="preserv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BE3728">
              <w:rPr>
                <w:sz w:val="20"/>
                <w:szCs w:val="20"/>
              </w:rPr>
              <w:t xml:space="preserve"> </w:t>
            </w:r>
            <w:r>
              <w:rPr>
                <w:sz w:val="20"/>
                <w:szCs w:val="20"/>
              </w:rPr>
              <w:t>begründe</w:t>
            </w:r>
            <w:r w:rsidRPr="00BE3728">
              <w:rPr>
                <w:sz w:val="20"/>
                <w:szCs w:val="20"/>
              </w:rPr>
              <w:t xml:space="preserve"> zudem keine Kompetenz für den Kongress, Strafen zu regeln und so einem Bundesstaat dieses Recht vorzuenthalten.</w:t>
            </w:r>
            <w:r w:rsidRPr="00BE3728">
              <w:rPr>
                <w:rStyle w:val="Funotenzeichen"/>
                <w:sz w:val="20"/>
                <w:szCs w:val="20"/>
              </w:rPr>
              <w:footnoteReference w:id="139"/>
            </w:r>
          </w:p>
          <w:p w14:paraId="6BEC4825" w14:textId="77777777" w:rsidR="00074551" w:rsidRPr="00E50B51" w:rsidRDefault="00074551" w:rsidP="00367133">
            <w:pPr>
              <w:jc w:val="both"/>
              <w:rPr>
                <w:sz w:val="20"/>
                <w:szCs w:val="20"/>
              </w:rPr>
            </w:pPr>
          </w:p>
        </w:tc>
      </w:tr>
      <w:tr w:rsidR="00074551" w:rsidRPr="00E50B51" w14:paraId="117BDC1B" w14:textId="77777777" w:rsidTr="00752D01">
        <w:trPr>
          <w:cantSplit/>
          <w:trHeight w:val="3175"/>
        </w:trPr>
        <w:tc>
          <w:tcPr>
            <w:tcW w:w="293" w:type="pct"/>
            <w:shd w:val="clear" w:color="auto" w:fill="E7E6E6" w:themeFill="background2"/>
          </w:tcPr>
          <w:p w14:paraId="1530E9B6"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1082A9C3" w14:textId="77777777" w:rsidR="00074551" w:rsidRPr="00E50B51" w:rsidRDefault="00074551" w:rsidP="00367133">
            <w:pPr>
              <w:ind w:left="113" w:right="416"/>
              <w:jc w:val="both"/>
              <w:rPr>
                <w:sz w:val="20"/>
                <w:szCs w:val="20"/>
              </w:rPr>
            </w:pPr>
            <w:r w:rsidRPr="00BE3728">
              <w:rPr>
                <w:sz w:val="20"/>
                <w:szCs w:val="20"/>
              </w:rPr>
              <w:t>Wirtschaftliche Seite</w:t>
            </w:r>
          </w:p>
        </w:tc>
        <w:tc>
          <w:tcPr>
            <w:tcW w:w="197" w:type="pct"/>
            <w:shd w:val="clear" w:color="auto" w:fill="E7E6E6" w:themeFill="background2"/>
            <w:textDirection w:val="tbRl"/>
            <w:vAlign w:val="center"/>
          </w:tcPr>
          <w:p w14:paraId="7FB74B9E" w14:textId="77777777" w:rsidR="00074551" w:rsidRPr="00E50B51" w:rsidRDefault="00074551" w:rsidP="00367133">
            <w:pPr>
              <w:ind w:left="113" w:right="113"/>
              <w:jc w:val="both"/>
              <w:rPr>
                <w:sz w:val="20"/>
                <w:szCs w:val="20"/>
                <w:lang w:val="en-US"/>
              </w:rPr>
            </w:pPr>
            <w:r w:rsidRPr="00BE3728">
              <w:rPr>
                <w:sz w:val="20"/>
                <w:szCs w:val="20"/>
                <w:lang w:val="en-US"/>
              </w:rPr>
              <w:t>Contracts Clause</w:t>
            </w:r>
          </w:p>
        </w:tc>
        <w:tc>
          <w:tcPr>
            <w:tcW w:w="306" w:type="pct"/>
            <w:shd w:val="clear" w:color="auto" w:fill="E7E6E6" w:themeFill="background2"/>
            <w:textDirection w:val="tbRl"/>
            <w:vAlign w:val="center"/>
          </w:tcPr>
          <w:p w14:paraId="35DCEBED" w14:textId="77777777" w:rsidR="00074551" w:rsidRPr="00E50B51" w:rsidRDefault="00074551" w:rsidP="00367133">
            <w:pPr>
              <w:ind w:left="113" w:right="113"/>
              <w:jc w:val="both"/>
              <w:rPr>
                <w:sz w:val="20"/>
                <w:szCs w:val="20"/>
              </w:rPr>
            </w:pPr>
            <w:r w:rsidRPr="00BE3728">
              <w:rPr>
                <w:sz w:val="20"/>
                <w:szCs w:val="20"/>
                <w:lang w:val="en-US"/>
              </w:rPr>
              <w:t>Bankruptcy Clause</w:t>
            </w:r>
          </w:p>
        </w:tc>
        <w:tc>
          <w:tcPr>
            <w:tcW w:w="401" w:type="pct"/>
            <w:shd w:val="clear" w:color="auto" w:fill="E7E6E6" w:themeFill="background2"/>
          </w:tcPr>
          <w:p w14:paraId="7753C2C7"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63644AC5" w14:textId="77777777" w:rsidR="00074551" w:rsidRPr="00E50B51" w:rsidRDefault="00074551" w:rsidP="00367133">
            <w:pPr>
              <w:jc w:val="both"/>
              <w:rPr>
                <w:sz w:val="20"/>
                <w:szCs w:val="20"/>
              </w:rPr>
            </w:pPr>
          </w:p>
        </w:tc>
        <w:tc>
          <w:tcPr>
            <w:tcW w:w="1822" w:type="pct"/>
            <w:shd w:val="clear" w:color="auto" w:fill="E7E6E6" w:themeFill="background2"/>
          </w:tcPr>
          <w:p w14:paraId="199558C9" w14:textId="7BC2E05D"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101A2CCE" w14:textId="77777777" w:rsidTr="00BE689F">
        <w:trPr>
          <w:cantSplit/>
          <w:trHeight w:val="3175"/>
        </w:trPr>
        <w:tc>
          <w:tcPr>
            <w:tcW w:w="293" w:type="pct"/>
          </w:tcPr>
          <w:p w14:paraId="57B7BD6A"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EEA81E5" w14:textId="77777777" w:rsidR="00074551" w:rsidRPr="00B45592" w:rsidRDefault="00074551" w:rsidP="00367133">
            <w:pPr>
              <w:ind w:left="113" w:right="416"/>
              <w:jc w:val="both"/>
              <w:rPr>
                <w:i/>
                <w:iCs/>
                <w:sz w:val="20"/>
                <w:szCs w:val="20"/>
              </w:rPr>
            </w:pPr>
            <w:r w:rsidRPr="00B45592">
              <w:rPr>
                <w:i/>
                <w:iCs/>
                <w:sz w:val="20"/>
                <w:szCs w:val="20"/>
              </w:rPr>
              <w:t>Cook v. Moffat &amp; Curtis</w:t>
            </w:r>
          </w:p>
        </w:tc>
        <w:tc>
          <w:tcPr>
            <w:tcW w:w="197" w:type="pct"/>
            <w:textDirection w:val="tbRl"/>
            <w:vAlign w:val="center"/>
          </w:tcPr>
          <w:p w14:paraId="458607BB" w14:textId="77777777" w:rsidR="00074551" w:rsidRPr="00E50B51" w:rsidRDefault="00074551" w:rsidP="00367133">
            <w:pPr>
              <w:ind w:left="113" w:right="113"/>
              <w:jc w:val="both"/>
              <w:rPr>
                <w:sz w:val="20"/>
                <w:szCs w:val="20"/>
                <w:lang w:val="en-US"/>
              </w:rPr>
            </w:pPr>
            <w:r w:rsidRPr="00BE3728">
              <w:rPr>
                <w:sz w:val="20"/>
                <w:szCs w:val="20"/>
              </w:rPr>
              <w:t>46 U.S. 295</w:t>
            </w:r>
          </w:p>
        </w:tc>
        <w:tc>
          <w:tcPr>
            <w:tcW w:w="306" w:type="pct"/>
            <w:textDirection w:val="tbRl"/>
            <w:vAlign w:val="center"/>
          </w:tcPr>
          <w:p w14:paraId="41E36D18" w14:textId="77777777" w:rsidR="00074551" w:rsidRPr="00E50B51" w:rsidRDefault="00074551" w:rsidP="00367133">
            <w:pPr>
              <w:ind w:left="113" w:right="113"/>
              <w:jc w:val="both"/>
              <w:rPr>
                <w:sz w:val="20"/>
                <w:szCs w:val="20"/>
              </w:rPr>
            </w:pPr>
            <w:r w:rsidRPr="00BE3728">
              <w:rPr>
                <w:sz w:val="20"/>
                <w:szCs w:val="20"/>
              </w:rPr>
              <w:t>06. März 1847</w:t>
            </w:r>
          </w:p>
        </w:tc>
        <w:tc>
          <w:tcPr>
            <w:tcW w:w="401" w:type="pct"/>
          </w:tcPr>
          <w:p w14:paraId="4CDD1B98"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597862F2" w14:textId="1D3E1458" w:rsidR="00074551" w:rsidRPr="00BE3728" w:rsidRDefault="00074551" w:rsidP="00367133">
            <w:pPr>
              <w:jc w:val="both"/>
              <w:rPr>
                <w:sz w:val="20"/>
                <w:szCs w:val="20"/>
              </w:rPr>
            </w:pPr>
            <w:r w:rsidRPr="00BE3728">
              <w:rPr>
                <w:sz w:val="20"/>
                <w:szCs w:val="20"/>
                <w:lang w:val="en-US"/>
              </w:rPr>
              <w:t xml:space="preserve">Der </w:t>
            </w:r>
            <w:r>
              <w:rPr>
                <w:sz w:val="20"/>
                <w:szCs w:val="20"/>
                <w:lang w:val="en-US"/>
              </w:rPr>
              <w:t>U.S. Supreme Court</w:t>
            </w:r>
            <w:r w:rsidRPr="00BE3728">
              <w:rPr>
                <w:sz w:val="20"/>
                <w:szCs w:val="20"/>
                <w:lang w:val="en-US"/>
              </w:rPr>
              <w:t xml:space="preserve"> </w:t>
            </w:r>
            <w:proofErr w:type="spellStart"/>
            <w:r w:rsidRPr="00BE3728">
              <w:rPr>
                <w:sz w:val="20"/>
                <w:szCs w:val="20"/>
                <w:lang w:val="en-US"/>
              </w:rPr>
              <w:t>bestätigte</w:t>
            </w:r>
            <w:proofErr w:type="spellEnd"/>
            <w:r w:rsidRPr="00BE3728">
              <w:rPr>
                <w:sz w:val="20"/>
                <w:szCs w:val="20"/>
                <w:lang w:val="en-US"/>
              </w:rPr>
              <w:t xml:space="preserve"> das </w:t>
            </w:r>
            <w:proofErr w:type="spellStart"/>
            <w:r w:rsidRPr="00BE3728">
              <w:rPr>
                <w:sz w:val="20"/>
                <w:szCs w:val="20"/>
                <w:lang w:val="en-US"/>
              </w:rPr>
              <w:t>Urteil</w:t>
            </w:r>
            <w:proofErr w:type="spellEnd"/>
            <w:r w:rsidRPr="00BE3728">
              <w:rPr>
                <w:sz w:val="20"/>
                <w:szCs w:val="20"/>
                <w:lang w:val="en-US"/>
              </w:rPr>
              <w:t xml:space="preserve"> des </w:t>
            </w:r>
            <w:r w:rsidRPr="00B45592">
              <w:rPr>
                <w:i/>
                <w:sz w:val="20"/>
                <w:szCs w:val="20"/>
                <w:lang w:val="en-US"/>
              </w:rPr>
              <w:t xml:space="preserve">U.S. Circuit Court for the District of Maryland </w:t>
            </w:r>
            <w:proofErr w:type="spellStart"/>
            <w:r w:rsidRPr="00BE3728">
              <w:rPr>
                <w:sz w:val="20"/>
                <w:szCs w:val="20"/>
                <w:lang w:val="en-US"/>
              </w:rPr>
              <w:t>zugunsten</w:t>
            </w:r>
            <w:proofErr w:type="spellEnd"/>
            <w:r w:rsidRPr="00BE3728">
              <w:rPr>
                <w:sz w:val="20"/>
                <w:szCs w:val="20"/>
                <w:lang w:val="en-US"/>
              </w:rPr>
              <w:t xml:space="preserve"> des </w:t>
            </w:r>
            <w:proofErr w:type="spellStart"/>
            <w:r w:rsidRPr="00BE3728">
              <w:rPr>
                <w:sz w:val="20"/>
                <w:szCs w:val="20"/>
                <w:lang w:val="en-US"/>
              </w:rPr>
              <w:t>Vertragspartners</w:t>
            </w:r>
            <w:proofErr w:type="spellEnd"/>
            <w:r w:rsidRPr="00BE3728">
              <w:rPr>
                <w:sz w:val="20"/>
                <w:szCs w:val="20"/>
                <w:lang w:val="en-US"/>
              </w:rPr>
              <w:t xml:space="preserve"> </w:t>
            </w:r>
            <w:proofErr w:type="spellStart"/>
            <w:r w:rsidRPr="00BE3728">
              <w:rPr>
                <w:sz w:val="20"/>
                <w:szCs w:val="20"/>
                <w:lang w:val="en-US"/>
              </w:rPr>
              <w:t>aus</w:t>
            </w:r>
            <w:proofErr w:type="spellEnd"/>
            <w:r w:rsidRPr="00BE3728">
              <w:rPr>
                <w:sz w:val="20"/>
                <w:szCs w:val="20"/>
                <w:lang w:val="en-US"/>
              </w:rPr>
              <w:t xml:space="preserve"> New York. </w:t>
            </w:r>
            <w:r w:rsidRPr="00B45592">
              <w:rPr>
                <w:sz w:val="20"/>
                <w:szCs w:val="20"/>
              </w:rPr>
              <w:t>Der </w:t>
            </w:r>
            <w:r w:rsidRPr="00B45592">
              <w:rPr>
                <w:i/>
                <w:sz w:val="20"/>
                <w:szCs w:val="20"/>
              </w:rPr>
              <w:t xml:space="preserve">U.S. Circuit Court for the </w:t>
            </w:r>
            <w:proofErr w:type="spellStart"/>
            <w:r w:rsidRPr="00B45592">
              <w:rPr>
                <w:i/>
                <w:sz w:val="20"/>
                <w:szCs w:val="20"/>
              </w:rPr>
              <w:t>District</w:t>
            </w:r>
            <w:proofErr w:type="spellEnd"/>
            <w:r w:rsidRPr="00B45592">
              <w:rPr>
                <w:i/>
                <w:sz w:val="20"/>
                <w:szCs w:val="20"/>
              </w:rPr>
              <w:t xml:space="preserve"> of Maryland</w:t>
            </w:r>
            <w:r w:rsidRPr="00B45592">
              <w:rPr>
                <w:sz w:val="20"/>
                <w:szCs w:val="20"/>
              </w:rPr>
              <w:t xml:space="preserve"> hatte zwar entschieden, dass ein Schuldner aus Maryland nach einem Insolvenzverfahren in Maryland als restschuldbefreit gelte. </w:t>
            </w:r>
            <w:r w:rsidRPr="00BE3728">
              <w:rPr>
                <w:sz w:val="20"/>
                <w:szCs w:val="20"/>
              </w:rPr>
              <w:t>Aber er sei weiterhin an einen Vertrag gebunden, den er in New York geschlossen hatte</w:t>
            </w:r>
            <w:r>
              <w:rPr>
                <w:sz w:val="20"/>
                <w:szCs w:val="20"/>
              </w:rPr>
              <w:t>, s</w:t>
            </w:r>
            <w:r w:rsidRPr="00BE3728">
              <w:rPr>
                <w:sz w:val="20"/>
                <w:szCs w:val="20"/>
              </w:rPr>
              <w:t xml:space="preserve">elbst dann, wenn ein Gericht in Maryland den Vertrag im Rahmen des Insolvenzverfahrens zur Insolvenzmasse rechnete. Der Schuldner meinte gleichwohl, seine Restschuldbefreiung in Maryland würde ihn auch von diesem Vertrag befreien. Der </w:t>
            </w:r>
            <w:r>
              <w:rPr>
                <w:sz w:val="20"/>
                <w:szCs w:val="20"/>
              </w:rPr>
              <w:t>U.S. Supreme Court</w:t>
            </w:r>
            <w:r w:rsidRPr="00BE3728">
              <w:rPr>
                <w:sz w:val="20"/>
                <w:szCs w:val="20"/>
              </w:rPr>
              <w:t xml:space="preserve"> urteilte nunmehr, Gerichte </w:t>
            </w:r>
            <w:r>
              <w:rPr>
                <w:sz w:val="20"/>
                <w:szCs w:val="20"/>
              </w:rPr>
              <w:t>hätten</w:t>
            </w:r>
            <w:r w:rsidRPr="00BE3728">
              <w:rPr>
                <w:sz w:val="20"/>
                <w:szCs w:val="20"/>
              </w:rPr>
              <w:t xml:space="preserve"> den Vertrag nach dem Recht von New York zu beurteilen. Die Insolvenz in Maryland habe darauf keinen Einfluss. Die bundesstaatlichen Insolvenzgesetze wirk</w:t>
            </w:r>
            <w:r>
              <w:rPr>
                <w:sz w:val="20"/>
                <w:szCs w:val="20"/>
              </w:rPr>
              <w:t>t</w:t>
            </w:r>
            <w:r w:rsidRPr="00BE3728">
              <w:rPr>
                <w:sz w:val="20"/>
                <w:szCs w:val="20"/>
              </w:rPr>
              <w:t xml:space="preserve">en nicht auf Verträge oder Personen außerhalb der bundesstaatlichen Grenzen nach der </w:t>
            </w:r>
            <w:proofErr w:type="spellStart"/>
            <w:r w:rsidRPr="00A142D9">
              <w:rPr>
                <w:i/>
                <w:sz w:val="20"/>
                <w:szCs w:val="20"/>
              </w:rPr>
              <w:t>Contracts</w:t>
            </w:r>
            <w:proofErr w:type="spellEnd"/>
            <w:r w:rsidRPr="00A142D9">
              <w:rPr>
                <w:i/>
                <w:sz w:val="20"/>
                <w:szCs w:val="20"/>
              </w:rPr>
              <w:t xml:space="preserve"> </w:t>
            </w:r>
            <w:proofErr w:type="spellStart"/>
            <w:r w:rsidRPr="00A142D9">
              <w:rPr>
                <w:i/>
                <w:sz w:val="20"/>
                <w:szCs w:val="20"/>
              </w:rPr>
              <w:t>Clause</w:t>
            </w:r>
            <w:proofErr w:type="spellEnd"/>
            <w:r w:rsidRPr="00BE3728">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BE3728">
              <w:rPr>
                <w:rStyle w:val="Funotenzeichen"/>
                <w:sz w:val="20"/>
                <w:szCs w:val="20"/>
              </w:rPr>
              <w:footnoteReference w:id="140"/>
            </w:r>
          </w:p>
          <w:p w14:paraId="7A78B7C0" w14:textId="77777777" w:rsidR="00074551" w:rsidRPr="00E50B51" w:rsidRDefault="00074551" w:rsidP="00367133">
            <w:pPr>
              <w:jc w:val="both"/>
              <w:rPr>
                <w:sz w:val="20"/>
                <w:szCs w:val="20"/>
              </w:rPr>
            </w:pPr>
          </w:p>
        </w:tc>
        <w:tc>
          <w:tcPr>
            <w:tcW w:w="1822" w:type="pct"/>
          </w:tcPr>
          <w:p w14:paraId="042E38CA"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Bankruptcy Law › Procedural Matters › State Insolvency Laws</w:t>
            </w:r>
          </w:p>
          <w:p w14:paraId="7C455068" w14:textId="77777777" w:rsidR="00074551" w:rsidRPr="00B45592" w:rsidRDefault="00074551" w:rsidP="00367133">
            <w:pPr>
              <w:jc w:val="both"/>
              <w:rPr>
                <w:sz w:val="20"/>
                <w:szCs w:val="20"/>
              </w:rPr>
            </w:pPr>
            <w:r w:rsidRPr="00B45592">
              <w:rPr>
                <w:i/>
                <w:sz w:val="20"/>
                <w:szCs w:val="20"/>
              </w:rPr>
              <w:t xml:space="preserve">Constitutional Law › </w:t>
            </w:r>
            <w:proofErr w:type="spellStart"/>
            <w:r w:rsidRPr="00B45592">
              <w:rPr>
                <w:i/>
                <w:sz w:val="20"/>
                <w:szCs w:val="20"/>
              </w:rPr>
              <w:t>Congressional</w:t>
            </w:r>
            <w:proofErr w:type="spellEnd"/>
            <w:r w:rsidRPr="00B45592">
              <w:rPr>
                <w:i/>
                <w:sz w:val="20"/>
                <w:szCs w:val="20"/>
              </w:rPr>
              <w:t xml:space="preserve"> </w:t>
            </w:r>
            <w:proofErr w:type="spellStart"/>
            <w:r w:rsidRPr="00B45592">
              <w:rPr>
                <w:i/>
                <w:sz w:val="20"/>
                <w:szCs w:val="20"/>
              </w:rPr>
              <w:t>Duties</w:t>
            </w:r>
            <w:proofErr w:type="spellEnd"/>
            <w:r w:rsidRPr="00B45592">
              <w:rPr>
                <w:i/>
                <w:sz w:val="20"/>
                <w:szCs w:val="20"/>
              </w:rPr>
              <w:t xml:space="preserve"> &amp; Powers › </w:t>
            </w:r>
            <w:proofErr w:type="spellStart"/>
            <w:r w:rsidRPr="00B45592">
              <w:rPr>
                <w:i/>
                <w:sz w:val="20"/>
                <w:szCs w:val="20"/>
              </w:rPr>
              <w:t>Contracts</w:t>
            </w:r>
            <w:proofErr w:type="spellEnd"/>
            <w:r w:rsidRPr="00B45592">
              <w:rPr>
                <w:i/>
                <w:sz w:val="20"/>
                <w:szCs w:val="20"/>
              </w:rPr>
              <w:t xml:space="preserve"> </w:t>
            </w:r>
            <w:proofErr w:type="spellStart"/>
            <w:r w:rsidRPr="00B45592">
              <w:rPr>
                <w:i/>
                <w:sz w:val="20"/>
                <w:szCs w:val="20"/>
              </w:rPr>
              <w:t>Clause</w:t>
            </w:r>
            <w:proofErr w:type="spellEnd"/>
          </w:p>
          <w:p w14:paraId="0A2A9A60" w14:textId="77777777" w:rsidR="00074551" w:rsidRPr="00B45592" w:rsidRDefault="00074551" w:rsidP="00367133">
            <w:pPr>
              <w:jc w:val="both"/>
              <w:rPr>
                <w:sz w:val="20"/>
                <w:szCs w:val="20"/>
              </w:rPr>
            </w:pPr>
          </w:p>
          <w:p w14:paraId="1F70FA44" w14:textId="02AA873A" w:rsidR="00074551" w:rsidRDefault="00074551" w:rsidP="00367133">
            <w:pPr>
              <w:jc w:val="both"/>
              <w:rPr>
                <w:sz w:val="20"/>
                <w:szCs w:val="20"/>
              </w:rPr>
            </w:pPr>
            <w:r w:rsidRPr="00BE3728">
              <w:rPr>
                <w:sz w:val="20"/>
                <w:szCs w:val="20"/>
              </w:rPr>
              <w:t xml:space="preserve">Solange kein Gesetz des Kongresses in Kraft </w:t>
            </w:r>
            <w:r>
              <w:rPr>
                <w:sz w:val="20"/>
                <w:szCs w:val="20"/>
              </w:rPr>
              <w:t>trete</w:t>
            </w:r>
            <w:r w:rsidRPr="00BE3728">
              <w:rPr>
                <w:sz w:val="20"/>
                <w:szCs w:val="20"/>
              </w:rPr>
              <w:t xml:space="preserve">, welches ein einheitliches Konkurssystem festlege, habe ein Bundesstaat die Kompetenz, ein Konkursgesetz zu erlassen. Doch der </w:t>
            </w:r>
            <w:r>
              <w:rPr>
                <w:sz w:val="20"/>
                <w:szCs w:val="20"/>
              </w:rPr>
              <w:t>U.S. Supreme Court</w:t>
            </w:r>
            <w:r w:rsidRPr="00BE3728">
              <w:rPr>
                <w:sz w:val="20"/>
                <w:szCs w:val="20"/>
              </w:rPr>
              <w:t xml:space="preserve"> knüpft dies an eine Bedingung, nämlich</w:t>
            </w:r>
            <w:r>
              <w:rPr>
                <w:sz w:val="20"/>
                <w:szCs w:val="20"/>
              </w:rPr>
              <w:t xml:space="preserve"> d</w:t>
            </w:r>
            <w:r w:rsidRPr="00BE3728">
              <w:rPr>
                <w:sz w:val="20"/>
                <w:szCs w:val="20"/>
              </w:rPr>
              <w:t xml:space="preserve">ass ein bundesstaatliches Gesetz im Sinne von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BE3728">
              <w:rPr>
                <w:sz w:val="20"/>
                <w:szCs w:val="20"/>
              </w:rPr>
              <w:t xml:space="preserve"> die Verbindlichkeit von Verträgen nicht beeinträchtige</w:t>
            </w:r>
            <w:r>
              <w:rPr>
                <w:sz w:val="20"/>
                <w:szCs w:val="20"/>
              </w:rPr>
              <w:t>n dürfe</w:t>
            </w:r>
            <w:r w:rsidRPr="00BE3728">
              <w:rPr>
                <w:sz w:val="20"/>
                <w:szCs w:val="20"/>
              </w:rPr>
              <w:t>. Die Rechtsfolge davon laute: Das bundesstaatliche Gesetz dürfe sich nicht auswirken auf Verträge, die einerseits vor dem Konkursantrag oder anderseits außerhalb des Bundesstaats geschlossen wurden.</w:t>
            </w:r>
            <w:r w:rsidRPr="00BE3728">
              <w:rPr>
                <w:rStyle w:val="Funotenzeichen"/>
                <w:sz w:val="20"/>
                <w:szCs w:val="20"/>
              </w:rPr>
              <w:footnoteReference w:id="141"/>
            </w:r>
          </w:p>
          <w:p w14:paraId="4C3DCEAE" w14:textId="77777777" w:rsidR="00074551" w:rsidRPr="00BE3728" w:rsidRDefault="00074551" w:rsidP="00367133">
            <w:pPr>
              <w:jc w:val="both"/>
              <w:rPr>
                <w:sz w:val="20"/>
                <w:szCs w:val="20"/>
              </w:rPr>
            </w:pPr>
          </w:p>
          <w:p w14:paraId="7A2ECA17"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gab indes ein Beispiel, das die Notwendigkeit eines bundeseinheitlichen Insolvenzgesetzes offenlegte: Wenn </w:t>
            </w:r>
            <w:r>
              <w:rPr>
                <w:sz w:val="20"/>
                <w:szCs w:val="20"/>
              </w:rPr>
              <w:t>bundesstaatliche</w:t>
            </w:r>
            <w:r w:rsidRPr="00BE3728">
              <w:rPr>
                <w:sz w:val="20"/>
                <w:szCs w:val="20"/>
              </w:rPr>
              <w:t xml:space="preserve"> Insolvenzgesetze z.B. von Maryland wirkten, dann sei ein Schuldner, der einen Insolvenzantrag stelle, jenseits der bundesstaatlichen Grenzen ungeschützt. Doch </w:t>
            </w:r>
            <w:r>
              <w:rPr>
                <w:sz w:val="20"/>
                <w:szCs w:val="20"/>
              </w:rPr>
              <w:t>die U.S.</w:t>
            </w:r>
            <w:r w:rsidRPr="00BE3728">
              <w:rPr>
                <w:sz w:val="20"/>
                <w:szCs w:val="20"/>
              </w:rPr>
              <w:t xml:space="preserve"> </w:t>
            </w:r>
            <w:proofErr w:type="spellStart"/>
            <w:r w:rsidRPr="00BE3728">
              <w:rPr>
                <w:sz w:val="20"/>
                <w:szCs w:val="20"/>
              </w:rPr>
              <w:t>Const</w:t>
            </w:r>
            <w:proofErr w:type="spellEnd"/>
            <w:r w:rsidRPr="00BE3728">
              <w:rPr>
                <w:sz w:val="20"/>
                <w:szCs w:val="20"/>
              </w:rPr>
              <w:t>. beabsichtige, diesen Mangel zu beheben. Sie regele daher die Kompetenz für den Kongress, ein Gesetz zu erlassen, das Schuldner bundesweit schütze. Diese Kompetenz richte sich nicht gegen die bisherigen, bundesstaatliche</w:t>
            </w:r>
            <w:r>
              <w:rPr>
                <w:sz w:val="20"/>
                <w:szCs w:val="20"/>
              </w:rPr>
              <w:t>n</w:t>
            </w:r>
            <w:r w:rsidRPr="00BE3728">
              <w:rPr>
                <w:sz w:val="20"/>
                <w:szCs w:val="20"/>
              </w:rPr>
              <w:t xml:space="preserve"> Insolvenzgesetze, sondern sie erkenn</w:t>
            </w:r>
            <w:r>
              <w:rPr>
                <w:sz w:val="20"/>
                <w:szCs w:val="20"/>
              </w:rPr>
              <w:t>e</w:t>
            </w:r>
            <w:r w:rsidRPr="00BE3728">
              <w:rPr>
                <w:sz w:val="20"/>
                <w:szCs w:val="20"/>
              </w:rPr>
              <w:t xml:space="preserve"> diese Gesetze vielmehr an und weite sie</w:t>
            </w:r>
            <w:r>
              <w:rPr>
                <w:sz w:val="20"/>
                <w:szCs w:val="20"/>
              </w:rPr>
              <w:t xml:space="preserve"> aus</w:t>
            </w:r>
            <w:r w:rsidRPr="00BE3728">
              <w:rPr>
                <w:sz w:val="20"/>
                <w:szCs w:val="20"/>
              </w:rPr>
              <w:t>. Das bundesstaatliche System solle also nicht zersetzt werden, sondern</w:t>
            </w:r>
            <w:r>
              <w:rPr>
                <w:sz w:val="20"/>
                <w:szCs w:val="20"/>
              </w:rPr>
              <w:t xml:space="preserve"> es solle</w:t>
            </w:r>
            <w:r w:rsidRPr="00BE3728">
              <w:rPr>
                <w:sz w:val="20"/>
                <w:szCs w:val="20"/>
              </w:rPr>
              <w:t xml:space="preserve"> ein einheitliches System errichte</w:t>
            </w:r>
            <w:r>
              <w:rPr>
                <w:sz w:val="20"/>
                <w:szCs w:val="20"/>
              </w:rPr>
              <w:t>t werden</w:t>
            </w:r>
            <w:r w:rsidRPr="00BE3728">
              <w:rPr>
                <w:sz w:val="20"/>
                <w:szCs w:val="20"/>
              </w:rPr>
              <w:t>.</w:t>
            </w:r>
            <w:r w:rsidRPr="00BE3728">
              <w:rPr>
                <w:rStyle w:val="Funotenzeichen"/>
                <w:sz w:val="20"/>
                <w:szCs w:val="20"/>
              </w:rPr>
              <w:footnoteReference w:id="142"/>
            </w:r>
            <w:r w:rsidRPr="00BE3728">
              <w:rPr>
                <w:sz w:val="20"/>
                <w:szCs w:val="20"/>
              </w:rPr>
              <w:t xml:space="preserve"> Doch woher kommt dieser Schuldnerschutz? </w:t>
            </w:r>
            <w:r>
              <w:rPr>
                <w:sz w:val="20"/>
                <w:szCs w:val="20"/>
              </w:rPr>
              <w:t>Humane</w:t>
            </w:r>
            <w:r w:rsidRPr="00BE3728">
              <w:rPr>
                <w:sz w:val="20"/>
                <w:szCs w:val="20"/>
              </w:rPr>
              <w:t xml:space="preserve"> Bestimmungen („humane </w:t>
            </w:r>
            <w:proofErr w:type="spellStart"/>
            <w:r w:rsidRPr="00BE3728">
              <w:rPr>
                <w:sz w:val="20"/>
                <w:szCs w:val="20"/>
              </w:rPr>
              <w:t>provision</w:t>
            </w:r>
            <w:proofErr w:type="spellEnd"/>
            <w:r w:rsidRPr="00BE3728">
              <w:rPr>
                <w:sz w:val="20"/>
                <w:szCs w:val="20"/>
              </w:rPr>
              <w:t>“</w:t>
            </w:r>
            <w:r w:rsidRPr="00BE3728">
              <w:rPr>
                <w:rStyle w:val="Funotenzeichen"/>
                <w:sz w:val="20"/>
                <w:szCs w:val="20"/>
              </w:rPr>
              <w:footnoteReference w:id="143"/>
            </w:r>
            <w:r w:rsidRPr="00BE3728">
              <w:rPr>
                <w:sz w:val="20"/>
                <w:szCs w:val="20"/>
              </w:rPr>
              <w:t>) rühr</w:t>
            </w:r>
            <w:r>
              <w:rPr>
                <w:sz w:val="20"/>
                <w:szCs w:val="20"/>
              </w:rPr>
              <w:t>ten</w:t>
            </w:r>
            <w:r w:rsidRPr="00BE3728">
              <w:rPr>
                <w:sz w:val="20"/>
                <w:szCs w:val="20"/>
              </w:rPr>
              <w:t xml:space="preserve"> </w:t>
            </w:r>
            <w:r>
              <w:rPr>
                <w:sz w:val="20"/>
                <w:szCs w:val="20"/>
              </w:rPr>
              <w:t xml:space="preserve">von </w:t>
            </w:r>
            <w:r w:rsidRPr="00BE3728">
              <w:rPr>
                <w:sz w:val="20"/>
                <w:szCs w:val="20"/>
              </w:rPr>
              <w:t>übergesetzlichen Erwägungen („</w:t>
            </w:r>
            <w:proofErr w:type="spellStart"/>
            <w:r w:rsidRPr="00BE3728">
              <w:rPr>
                <w:sz w:val="20"/>
                <w:szCs w:val="20"/>
              </w:rPr>
              <w:t>higher</w:t>
            </w:r>
            <w:proofErr w:type="spellEnd"/>
            <w:r w:rsidRPr="00BE3728">
              <w:rPr>
                <w:sz w:val="20"/>
                <w:szCs w:val="20"/>
              </w:rPr>
              <w:t xml:space="preserve"> </w:t>
            </w:r>
            <w:proofErr w:type="spellStart"/>
            <w:r w:rsidRPr="00BE3728">
              <w:rPr>
                <w:sz w:val="20"/>
                <w:szCs w:val="20"/>
              </w:rPr>
              <w:t>moral</w:t>
            </w:r>
            <w:proofErr w:type="spellEnd"/>
            <w:r w:rsidRPr="00BE3728">
              <w:rPr>
                <w:sz w:val="20"/>
                <w:szCs w:val="20"/>
              </w:rPr>
              <w:t xml:space="preserve"> </w:t>
            </w:r>
            <w:proofErr w:type="spellStart"/>
            <w:r w:rsidRPr="00BE3728">
              <w:rPr>
                <w:sz w:val="20"/>
                <w:szCs w:val="20"/>
              </w:rPr>
              <w:t>obligations</w:t>
            </w:r>
            <w:proofErr w:type="spellEnd"/>
            <w:r w:rsidRPr="00BE3728">
              <w:rPr>
                <w:sz w:val="20"/>
                <w:szCs w:val="20"/>
              </w:rPr>
              <w:t>“</w:t>
            </w:r>
            <w:r w:rsidRPr="00BE3728">
              <w:rPr>
                <w:rStyle w:val="Funotenzeichen"/>
                <w:sz w:val="20"/>
                <w:szCs w:val="20"/>
              </w:rPr>
              <w:footnoteReference w:id="144"/>
            </w:r>
            <w:r w:rsidRPr="00BE3728">
              <w:rPr>
                <w:sz w:val="20"/>
                <w:szCs w:val="20"/>
              </w:rPr>
              <w:t>)</w:t>
            </w:r>
            <w:r>
              <w:rPr>
                <w:sz w:val="20"/>
                <w:szCs w:val="20"/>
              </w:rPr>
              <w:t xml:space="preserve"> her</w:t>
            </w:r>
            <w:r w:rsidRPr="00BE3728">
              <w:rPr>
                <w:sz w:val="20"/>
                <w:szCs w:val="20"/>
              </w:rPr>
              <w:t xml:space="preserve">, </w:t>
            </w:r>
            <w:r>
              <w:rPr>
                <w:sz w:val="20"/>
                <w:szCs w:val="20"/>
              </w:rPr>
              <w:t>in diesem Fall</w:t>
            </w:r>
            <w:r w:rsidRPr="00BE3728">
              <w:rPr>
                <w:sz w:val="20"/>
                <w:szCs w:val="20"/>
              </w:rPr>
              <w:t>: Dass die Regierung die Pflicht eines Menschen sichern müsse, sich für das Glück seiner Eltern oder Kinder einzusetzen („</w:t>
            </w:r>
            <w:proofErr w:type="spellStart"/>
            <w:r w:rsidRPr="00BE3728">
              <w:rPr>
                <w:sz w:val="20"/>
                <w:szCs w:val="20"/>
              </w:rPr>
              <w:t>duty</w:t>
            </w:r>
            <w:proofErr w:type="spellEnd"/>
            <w:r w:rsidRPr="00BE3728">
              <w:rPr>
                <w:sz w:val="20"/>
                <w:szCs w:val="20"/>
              </w:rPr>
              <w:t xml:space="preserve"> of a man to live for the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his</w:t>
            </w:r>
            <w:proofErr w:type="spellEnd"/>
            <w:r w:rsidRPr="00BE3728">
              <w:rPr>
                <w:sz w:val="20"/>
                <w:szCs w:val="20"/>
              </w:rPr>
              <w:t xml:space="preserve"> </w:t>
            </w:r>
            <w:proofErr w:type="spellStart"/>
            <w:r w:rsidRPr="00BE3728">
              <w:rPr>
                <w:sz w:val="20"/>
                <w:szCs w:val="20"/>
              </w:rPr>
              <w:t>parent</w:t>
            </w:r>
            <w:proofErr w:type="spellEnd"/>
            <w:r w:rsidRPr="00BE3728">
              <w:rPr>
                <w:sz w:val="20"/>
                <w:szCs w:val="20"/>
              </w:rPr>
              <w:t xml:space="preserve"> </w:t>
            </w:r>
            <w:proofErr w:type="spellStart"/>
            <w:r w:rsidRPr="00BE3728">
              <w:rPr>
                <w:sz w:val="20"/>
                <w:szCs w:val="20"/>
              </w:rPr>
              <w:t>or</w:t>
            </w:r>
            <w:proofErr w:type="spellEnd"/>
            <w:r w:rsidRPr="00BE3728">
              <w:rPr>
                <w:sz w:val="20"/>
                <w:szCs w:val="20"/>
              </w:rPr>
              <w:t xml:space="preserve"> </w:t>
            </w:r>
            <w:proofErr w:type="spellStart"/>
            <w:r w:rsidRPr="00BE3728">
              <w:rPr>
                <w:sz w:val="20"/>
                <w:szCs w:val="20"/>
              </w:rPr>
              <w:t>child</w:t>
            </w:r>
            <w:proofErr w:type="spellEnd"/>
            <w:r w:rsidRPr="00BE3728">
              <w:rPr>
                <w:sz w:val="20"/>
                <w:szCs w:val="20"/>
              </w:rPr>
              <w:t>“</w:t>
            </w:r>
            <w:r w:rsidRPr="00BE3728">
              <w:rPr>
                <w:rStyle w:val="Funotenzeichen"/>
                <w:sz w:val="20"/>
                <w:szCs w:val="20"/>
              </w:rPr>
              <w:footnoteReference w:id="145"/>
            </w:r>
            <w:r w:rsidRPr="00BE3728">
              <w:rPr>
                <w:sz w:val="20"/>
                <w:szCs w:val="20"/>
              </w:rPr>
              <w:t>)</w:t>
            </w:r>
            <w:r>
              <w:rPr>
                <w:sz w:val="20"/>
                <w:szCs w:val="20"/>
              </w:rPr>
              <w:t>. G</w:t>
            </w:r>
            <w:r w:rsidRPr="00BE3728">
              <w:rPr>
                <w:sz w:val="20"/>
                <w:szCs w:val="20"/>
              </w:rPr>
              <w:t>utes Regieren habe dafür kein unüberwindliches Hindernis zu schaffen,</w:t>
            </w:r>
            <w:r w:rsidRPr="00BE3728">
              <w:rPr>
                <w:rStyle w:val="Funotenzeichen"/>
                <w:sz w:val="20"/>
                <w:szCs w:val="20"/>
              </w:rPr>
              <w:footnoteReference w:id="146"/>
            </w:r>
            <w:r w:rsidRPr="00BE3728">
              <w:rPr>
                <w:sz w:val="20"/>
                <w:szCs w:val="20"/>
              </w:rPr>
              <w:t xml:space="preserve"> </w:t>
            </w:r>
            <w:r>
              <w:rPr>
                <w:sz w:val="20"/>
                <w:szCs w:val="20"/>
              </w:rPr>
              <w:t>etwa</w:t>
            </w:r>
            <w:r w:rsidRPr="00BE3728">
              <w:rPr>
                <w:sz w:val="20"/>
                <w:szCs w:val="20"/>
              </w:rPr>
              <w:t xml:space="preserve"> mit fehlendem Schuldnerschutz in </w:t>
            </w:r>
            <w:r>
              <w:rPr>
                <w:sz w:val="20"/>
                <w:szCs w:val="20"/>
              </w:rPr>
              <w:t xml:space="preserve">einem </w:t>
            </w:r>
            <w:r w:rsidRPr="00BE3728">
              <w:rPr>
                <w:sz w:val="20"/>
                <w:szCs w:val="20"/>
              </w:rPr>
              <w:t>Bundesstaat nach einem Insolvenzantrag in einem anderen.</w:t>
            </w:r>
          </w:p>
          <w:p w14:paraId="700BCF3C" w14:textId="77777777" w:rsidR="00074551" w:rsidRPr="00E50B51" w:rsidRDefault="00074551" w:rsidP="00367133">
            <w:pPr>
              <w:jc w:val="both"/>
              <w:rPr>
                <w:sz w:val="20"/>
                <w:szCs w:val="20"/>
              </w:rPr>
            </w:pPr>
          </w:p>
        </w:tc>
      </w:tr>
      <w:tr w:rsidR="00074551" w:rsidRPr="002E1085" w14:paraId="33D4EECF" w14:textId="77777777" w:rsidTr="00BE689F">
        <w:trPr>
          <w:cantSplit/>
          <w:trHeight w:val="3175"/>
        </w:trPr>
        <w:tc>
          <w:tcPr>
            <w:tcW w:w="293" w:type="pct"/>
          </w:tcPr>
          <w:p w14:paraId="5735A5FD"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02DBBDE" w14:textId="77777777" w:rsidR="00074551" w:rsidRPr="00B45592" w:rsidRDefault="00074551" w:rsidP="00367133">
            <w:pPr>
              <w:ind w:left="113" w:right="416"/>
              <w:jc w:val="both"/>
              <w:rPr>
                <w:i/>
                <w:iCs/>
                <w:sz w:val="20"/>
                <w:szCs w:val="20"/>
              </w:rPr>
            </w:pPr>
            <w:r w:rsidRPr="00B45592">
              <w:rPr>
                <w:i/>
                <w:iCs/>
                <w:sz w:val="20"/>
                <w:szCs w:val="20"/>
              </w:rPr>
              <w:t>Ogden v. Saunders</w:t>
            </w:r>
          </w:p>
        </w:tc>
        <w:tc>
          <w:tcPr>
            <w:tcW w:w="197" w:type="pct"/>
            <w:textDirection w:val="tbRl"/>
            <w:vAlign w:val="center"/>
          </w:tcPr>
          <w:p w14:paraId="358D0F23" w14:textId="77777777" w:rsidR="00074551" w:rsidRPr="00E50B51" w:rsidRDefault="00074551" w:rsidP="00367133">
            <w:pPr>
              <w:ind w:left="113" w:right="113"/>
              <w:jc w:val="both"/>
              <w:rPr>
                <w:sz w:val="20"/>
                <w:szCs w:val="20"/>
                <w:lang w:val="en-US"/>
              </w:rPr>
            </w:pPr>
            <w:r w:rsidRPr="00BE3728">
              <w:rPr>
                <w:sz w:val="20"/>
                <w:szCs w:val="20"/>
              </w:rPr>
              <w:t>25 U.S. 213</w:t>
            </w:r>
          </w:p>
        </w:tc>
        <w:tc>
          <w:tcPr>
            <w:tcW w:w="306" w:type="pct"/>
            <w:textDirection w:val="tbRl"/>
            <w:vAlign w:val="center"/>
          </w:tcPr>
          <w:p w14:paraId="7F8A833C" w14:textId="77777777" w:rsidR="00074551" w:rsidRPr="00E50B51" w:rsidRDefault="00074551" w:rsidP="00367133">
            <w:pPr>
              <w:ind w:left="113" w:right="113"/>
              <w:jc w:val="both"/>
              <w:rPr>
                <w:sz w:val="20"/>
                <w:szCs w:val="20"/>
              </w:rPr>
            </w:pPr>
            <w:r w:rsidRPr="00BE3728">
              <w:rPr>
                <w:sz w:val="20"/>
                <w:szCs w:val="20"/>
              </w:rPr>
              <w:t>13. März 1827</w:t>
            </w:r>
          </w:p>
        </w:tc>
        <w:tc>
          <w:tcPr>
            <w:tcW w:w="401" w:type="pct"/>
          </w:tcPr>
          <w:p w14:paraId="7FD9869C"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570E0B94" w14:textId="7372DD8F" w:rsidR="00074551" w:rsidRPr="00BE3728" w:rsidRDefault="00074551" w:rsidP="00367133">
            <w:pPr>
              <w:jc w:val="both"/>
              <w:rPr>
                <w:sz w:val="20"/>
                <w:szCs w:val="20"/>
              </w:rPr>
            </w:pPr>
            <w:r w:rsidRPr="00BE3728">
              <w:rPr>
                <w:sz w:val="20"/>
                <w:szCs w:val="20"/>
              </w:rPr>
              <w:t>Der Gläubiger Saunders war Kläger. Er wandte sich gegen seinen Schuldner</w:t>
            </w:r>
            <w:r>
              <w:rPr>
                <w:sz w:val="20"/>
                <w:szCs w:val="20"/>
              </w:rPr>
              <w:t>, einen Mann</w:t>
            </w:r>
            <w:r w:rsidRPr="00BE3728">
              <w:rPr>
                <w:sz w:val="20"/>
                <w:szCs w:val="20"/>
              </w:rPr>
              <w:t xml:space="preserve"> namens Ogden</w:t>
            </w:r>
            <w:r>
              <w:rPr>
                <w:sz w:val="20"/>
                <w:szCs w:val="20"/>
              </w:rPr>
              <w:t>, als Beklagten</w:t>
            </w:r>
            <w:r w:rsidRPr="00BE3728">
              <w:rPr>
                <w:sz w:val="20"/>
                <w:szCs w:val="20"/>
              </w:rPr>
              <w:t>. Letzterer erfüllte nicht seine Zahlungsverpflichtung aus einem Vertrag. Den hatte Ogden aber als Bürger New Yorks 1806 mit Saunders geschlossen. Ogden berief sich auf seine Insolvenz und das Insolvenzgesetz New Yorks aus dem Jahr 1801</w:t>
            </w:r>
            <w:r>
              <w:rPr>
                <w:sz w:val="20"/>
                <w:szCs w:val="20"/>
              </w:rPr>
              <w:t>.</w:t>
            </w:r>
            <w:r w:rsidRPr="00BE3728">
              <w:rPr>
                <w:rStyle w:val="Funotenzeichen"/>
                <w:sz w:val="20"/>
                <w:szCs w:val="20"/>
              </w:rPr>
              <w:footnoteReference w:id="147"/>
            </w:r>
            <w:r w:rsidRPr="00BE3728">
              <w:rPr>
                <w:sz w:val="20"/>
                <w:szCs w:val="20"/>
              </w:rPr>
              <w:t xml:space="preserve"> Die Frage war, ob ein bundesstaatliches Insolvenzgesetz generell auf Verträge wirke, die nach dem Inkrafttreten des Gesetzes geschlossen wurden</w:t>
            </w:r>
            <w:r>
              <w:rPr>
                <w:sz w:val="20"/>
                <w:szCs w:val="20"/>
              </w:rPr>
              <w:t> </w:t>
            </w:r>
            <w:r w:rsidRPr="00BE3728">
              <w:rPr>
                <w:sz w:val="20"/>
                <w:szCs w:val="20"/>
              </w:rPr>
              <w:t xml:space="preserve">– oder ob diese generelle Wirkung gegen die sog. </w:t>
            </w:r>
            <w:r w:rsidRPr="00B45592">
              <w:rPr>
                <w:i/>
                <w:sz w:val="20"/>
                <w:szCs w:val="20"/>
                <w:lang w:val="en-US"/>
              </w:rPr>
              <w:t xml:space="preserve">Obligation of </w:t>
            </w:r>
            <w:r w:rsidRPr="00A142D9">
              <w:rPr>
                <w:i/>
                <w:sz w:val="20"/>
                <w:szCs w:val="20"/>
                <w:lang w:val="en-US"/>
              </w:rPr>
              <w:t>Contracts Clause</w:t>
            </w:r>
            <w:r w:rsidRPr="00BE3728">
              <w:rPr>
                <w:sz w:val="20"/>
                <w:szCs w:val="20"/>
                <w:lang w:val="en-US"/>
              </w:rPr>
              <w:t> (</w:t>
            </w:r>
            <w:proofErr w:type="spellStart"/>
            <w:r w:rsidRPr="00BE3728">
              <w:rPr>
                <w:sz w:val="20"/>
                <w:szCs w:val="20"/>
                <w:lang w:val="en-US"/>
              </w:rPr>
              <w:t>vgl</w:t>
            </w:r>
            <w:proofErr w:type="spellEnd"/>
            <w:r w:rsidRPr="00BE3728">
              <w:rPr>
                <w:sz w:val="20"/>
                <w:szCs w:val="20"/>
                <w:lang w:val="en-US"/>
              </w:rPr>
              <w:t xml:space="preserve">. </w:t>
            </w:r>
            <w:r w:rsidR="00023A37">
              <w:rPr>
                <w:sz w:val="20"/>
                <w:szCs w:val="20"/>
                <w:lang w:val="en-US"/>
              </w:rPr>
              <w:t>U.S. Const. art. I, § 10, cl. 1</w:t>
            </w:r>
            <w:r w:rsidRPr="00BE3728">
              <w:rPr>
                <w:sz w:val="20"/>
                <w:szCs w:val="20"/>
                <w:lang w:val="en-US"/>
              </w:rPr>
              <w:t>)</w:t>
            </w:r>
            <w:r w:rsidRPr="00BE3728">
              <w:rPr>
                <w:rStyle w:val="Funotenzeichen"/>
                <w:sz w:val="20"/>
                <w:szCs w:val="20"/>
              </w:rPr>
              <w:footnoteReference w:id="148"/>
            </w:r>
            <w:r>
              <w:rPr>
                <w:sz w:val="20"/>
                <w:szCs w:val="20"/>
                <w:lang w:val="en-US"/>
              </w:rPr>
              <w:t xml:space="preserve"> </w:t>
            </w:r>
            <w:r w:rsidRPr="00BE3728">
              <w:rPr>
                <w:sz w:val="20"/>
                <w:szCs w:val="20"/>
              </w:rPr>
              <w:t xml:space="preserve">verstoße? Der </w:t>
            </w:r>
            <w:r>
              <w:rPr>
                <w:sz w:val="20"/>
                <w:szCs w:val="20"/>
              </w:rPr>
              <w:t>U.S. Supreme Court</w:t>
            </w:r>
            <w:r w:rsidRPr="00BE3728">
              <w:rPr>
                <w:sz w:val="20"/>
                <w:szCs w:val="20"/>
              </w:rPr>
              <w:t xml:space="preserve"> entschied, dass die </w:t>
            </w:r>
            <w:r w:rsidRPr="00B45592">
              <w:rPr>
                <w:i/>
                <w:sz w:val="20"/>
                <w:szCs w:val="20"/>
              </w:rPr>
              <w:t xml:space="preserve">Obligation of </w:t>
            </w:r>
            <w:proofErr w:type="spellStart"/>
            <w:r w:rsidRPr="00B45592">
              <w:rPr>
                <w:i/>
                <w:sz w:val="20"/>
                <w:szCs w:val="20"/>
              </w:rPr>
              <w:t>Contracts</w:t>
            </w:r>
            <w:proofErr w:type="spellEnd"/>
            <w:r w:rsidRPr="00B45592">
              <w:rPr>
                <w:i/>
                <w:sz w:val="20"/>
                <w:szCs w:val="20"/>
              </w:rPr>
              <w:t xml:space="preserve"> </w:t>
            </w:r>
            <w:proofErr w:type="spellStart"/>
            <w:r w:rsidRPr="00B45592">
              <w:rPr>
                <w:i/>
                <w:sz w:val="20"/>
                <w:szCs w:val="20"/>
              </w:rPr>
              <w:t>Clause</w:t>
            </w:r>
            <w:proofErr w:type="spellEnd"/>
            <w:r w:rsidRPr="00BE3728">
              <w:rPr>
                <w:sz w:val="20"/>
                <w:szCs w:val="20"/>
              </w:rPr>
              <w:t xml:space="preserve"> nicht verletzt sei. Die Verpflichtung aus einem Vertrag, der nach einem Insolvenzgesetz geschlossen wurde, unterliege den Insolvenzgesetzen. In der Praxis wird das Insolvenzgesetz Teil aller nachfolgende</w:t>
            </w:r>
            <w:r>
              <w:rPr>
                <w:sz w:val="20"/>
                <w:szCs w:val="20"/>
              </w:rPr>
              <w:t>n</w:t>
            </w:r>
            <w:r w:rsidRPr="00BE3728">
              <w:rPr>
                <w:sz w:val="20"/>
                <w:szCs w:val="20"/>
              </w:rPr>
              <w:t xml:space="preserve"> Verträge, wodurch sich </w:t>
            </w:r>
            <w:r>
              <w:rPr>
                <w:sz w:val="20"/>
                <w:szCs w:val="20"/>
              </w:rPr>
              <w:t xml:space="preserve">deren </w:t>
            </w:r>
            <w:r w:rsidRPr="00BE3728">
              <w:rPr>
                <w:sz w:val="20"/>
                <w:szCs w:val="20"/>
              </w:rPr>
              <w:t>Verpflichtungen begrenzen.</w:t>
            </w:r>
            <w:r w:rsidRPr="00BE3728">
              <w:rPr>
                <w:rStyle w:val="Funotenzeichen"/>
                <w:sz w:val="20"/>
                <w:szCs w:val="20"/>
              </w:rPr>
              <w:footnoteReference w:id="149"/>
            </w:r>
          </w:p>
          <w:p w14:paraId="50DEFED0" w14:textId="77777777" w:rsidR="00074551" w:rsidRPr="00E50B51" w:rsidRDefault="00074551" w:rsidP="00367133">
            <w:pPr>
              <w:jc w:val="both"/>
              <w:rPr>
                <w:sz w:val="20"/>
                <w:szCs w:val="20"/>
              </w:rPr>
            </w:pPr>
          </w:p>
        </w:tc>
        <w:tc>
          <w:tcPr>
            <w:tcW w:w="1822" w:type="pct"/>
          </w:tcPr>
          <w:p w14:paraId="15E2476F"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sz w:val="20"/>
                <w:szCs w:val="20"/>
                <w:lang w:val="en-US"/>
              </w:rPr>
              <w:t xml:space="preserve"> </w:t>
            </w:r>
            <w:r w:rsidRPr="00B45592">
              <w:rPr>
                <w:i/>
                <w:sz w:val="20"/>
                <w:szCs w:val="20"/>
                <w:lang w:val="en-US"/>
              </w:rPr>
              <w:t>Constitutional Law › Congressional Duties &amp; Powers › Bankruptcy Clause</w:t>
            </w:r>
          </w:p>
          <w:p w14:paraId="24DB26F2" w14:textId="77777777" w:rsidR="00074551" w:rsidRPr="00BE3728" w:rsidRDefault="00074551" w:rsidP="00367133">
            <w:pPr>
              <w:jc w:val="both"/>
              <w:rPr>
                <w:sz w:val="20"/>
                <w:szCs w:val="20"/>
                <w:lang w:val="en-US"/>
              </w:rPr>
            </w:pPr>
          </w:p>
          <w:p w14:paraId="0671DF8B" w14:textId="551A61DC" w:rsidR="00074551" w:rsidRPr="00171615" w:rsidRDefault="00074551" w:rsidP="00367133">
            <w:pPr>
              <w:jc w:val="both"/>
              <w:rPr>
                <w:sz w:val="20"/>
                <w:szCs w:val="20"/>
              </w:rPr>
            </w:pPr>
            <w:r w:rsidRPr="00BE3728">
              <w:rPr>
                <w:sz w:val="20"/>
                <w:szCs w:val="20"/>
              </w:rPr>
              <w:t xml:space="preserve">Ein Insolvenzgesetz, das prospektiv wirke, verstoße nicht gegen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Einerseits heißt es dort, dass es den Bundesstaaten nicht verboten sei, ein Insolvenzgesetz zu erlassen, solange dem Kongress nicht die Kompetenz zukomme, ein einheitliche</w:t>
            </w:r>
            <w:r>
              <w:rPr>
                <w:sz w:val="20"/>
                <w:szCs w:val="20"/>
              </w:rPr>
              <w:t>s</w:t>
            </w:r>
            <w:r w:rsidRPr="00BE3728">
              <w:rPr>
                <w:sz w:val="20"/>
                <w:szCs w:val="20"/>
              </w:rPr>
              <w:t xml:space="preserve"> Insolvenzrecht zu regeln. Und anderseits setzt die Verfassung voraus: Kein Abschnitt des Insolvenzgesetzes solle insbesondere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BE3728">
              <w:rPr>
                <w:sz w:val="20"/>
                <w:szCs w:val="20"/>
              </w:rPr>
              <w:t xml:space="preserve"> widersprechen.</w:t>
            </w:r>
            <w:r w:rsidRPr="00BE3728">
              <w:rPr>
                <w:rStyle w:val="Funotenzeichen"/>
                <w:sz w:val="20"/>
                <w:szCs w:val="20"/>
              </w:rPr>
              <w:footnoteReference w:id="150"/>
            </w:r>
          </w:p>
          <w:p w14:paraId="599991DD" w14:textId="77777777" w:rsidR="00074551" w:rsidRDefault="00074551" w:rsidP="00367133">
            <w:pPr>
              <w:jc w:val="both"/>
              <w:rPr>
                <w:sz w:val="20"/>
                <w:szCs w:val="20"/>
              </w:rPr>
            </w:pPr>
          </w:p>
          <w:p w14:paraId="737DB83A" w14:textId="77777777" w:rsidR="00074551" w:rsidRPr="00BE3728" w:rsidRDefault="00074551" w:rsidP="00367133">
            <w:pPr>
              <w:jc w:val="both"/>
              <w:rPr>
                <w:sz w:val="20"/>
                <w:szCs w:val="20"/>
              </w:rPr>
            </w:pPr>
            <w:r w:rsidRPr="00BE3728">
              <w:rPr>
                <w:sz w:val="20"/>
                <w:szCs w:val="20"/>
              </w:rPr>
              <w:t>Der Dissens konkretisiert dazu: Staatliche Maßnahmen dürf</w:t>
            </w:r>
            <w:r>
              <w:rPr>
                <w:sz w:val="20"/>
                <w:szCs w:val="20"/>
              </w:rPr>
              <w:t>t</w:t>
            </w:r>
            <w:r w:rsidRPr="00BE3728">
              <w:rPr>
                <w:sz w:val="20"/>
                <w:szCs w:val="20"/>
              </w:rPr>
              <w:t xml:space="preserve">en Vertragsparteien und ihrem Willen grundsätzlich keine Schranken setzen. Die äußeren Schranken für den Parteiwillen beschreiben die Verbote von Spielschulden, Wucher, Sittenwidrigkeit, unverhältnismäßigen Maklergebühren sowie </w:t>
            </w:r>
            <w:r>
              <w:rPr>
                <w:sz w:val="20"/>
                <w:szCs w:val="20"/>
              </w:rPr>
              <w:t xml:space="preserve">die </w:t>
            </w:r>
            <w:r w:rsidRPr="00BE3728">
              <w:rPr>
                <w:sz w:val="20"/>
                <w:szCs w:val="20"/>
              </w:rPr>
              <w:t>Verjährungsfristen. Der Grund für diese weiten Schranken sei, dass das staatliche Interesse auf das Glück, die Arbeit und die Familien gerichtet ist („</w:t>
            </w:r>
            <w:proofErr w:type="spellStart"/>
            <w:r w:rsidRPr="00BE3728">
              <w:rPr>
                <w:sz w:val="20"/>
                <w:szCs w:val="20"/>
              </w:rPr>
              <w:t>interest</w:t>
            </w:r>
            <w:proofErr w:type="spellEnd"/>
            <w:r w:rsidRPr="00BE3728">
              <w:rPr>
                <w:sz w:val="20"/>
                <w:szCs w:val="20"/>
              </w:rPr>
              <w:t xml:space="preserve"> in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services</w:t>
            </w:r>
            <w:proofErr w:type="spellEnd"/>
            <w:r w:rsidRPr="00BE3728">
              <w:rPr>
                <w:sz w:val="20"/>
                <w:szCs w:val="20"/>
              </w:rPr>
              <w:t xml:space="preserve">, and </w:t>
            </w:r>
            <w:proofErr w:type="spellStart"/>
            <w:r w:rsidRPr="00BE3728">
              <w:rPr>
                <w:sz w:val="20"/>
                <w:szCs w:val="20"/>
              </w:rPr>
              <w:t>families</w:t>
            </w:r>
            <w:proofErr w:type="spellEnd"/>
            <w:r w:rsidRPr="00BE3728">
              <w:rPr>
                <w:sz w:val="20"/>
                <w:szCs w:val="20"/>
              </w:rPr>
              <w:t xml:space="preserve"> of </w:t>
            </w:r>
            <w:proofErr w:type="spellStart"/>
            <w:r w:rsidRPr="00BE3728">
              <w:rPr>
                <w:sz w:val="20"/>
                <w:szCs w:val="20"/>
              </w:rPr>
              <w:t>this</w:t>
            </w:r>
            <w:proofErr w:type="spellEnd"/>
            <w:r w:rsidRPr="00BE3728">
              <w:rPr>
                <w:sz w:val="20"/>
                <w:szCs w:val="20"/>
              </w:rPr>
              <w:t xml:space="preserve"> </w:t>
            </w:r>
            <w:proofErr w:type="spellStart"/>
            <w:r w:rsidRPr="00BE3728">
              <w:rPr>
                <w:sz w:val="20"/>
                <w:szCs w:val="20"/>
              </w:rPr>
              <w:t>community</w:t>
            </w:r>
            <w:proofErr w:type="spellEnd"/>
            <w:r w:rsidRPr="00BE3728">
              <w:rPr>
                <w:sz w:val="20"/>
                <w:szCs w:val="20"/>
              </w:rPr>
              <w:t>“</w:t>
            </w:r>
            <w:r w:rsidRPr="00BE3728">
              <w:rPr>
                <w:rStyle w:val="Funotenzeichen"/>
                <w:sz w:val="20"/>
                <w:szCs w:val="20"/>
              </w:rPr>
              <w:footnoteReference w:id="151"/>
            </w:r>
            <w:r w:rsidRPr="00BE3728">
              <w:rPr>
                <w:sz w:val="20"/>
                <w:szCs w:val="20"/>
              </w:rPr>
              <w:t>) – also ein Schutz des Individuums. Aus diesem folge auch die Freiheit</w:t>
            </w:r>
            <w:r>
              <w:rPr>
                <w:sz w:val="20"/>
                <w:szCs w:val="20"/>
              </w:rPr>
              <w:t>,</w:t>
            </w:r>
            <w:r w:rsidRPr="00BE3728">
              <w:rPr>
                <w:sz w:val="20"/>
                <w:szCs w:val="20"/>
              </w:rPr>
              <w:t xml:space="preserve"> sich verschulden zu können. Wie weit das möglich ist, drückt sich zuvorderst im Parteiwillen aus und nicht durch Grenzen des Gesetzgebers</w:t>
            </w:r>
            <w:r>
              <w:rPr>
                <w:sz w:val="20"/>
                <w:szCs w:val="20"/>
              </w:rPr>
              <w:t> </w:t>
            </w:r>
            <w:r w:rsidRPr="00BE3728">
              <w:rPr>
                <w:sz w:val="20"/>
                <w:szCs w:val="20"/>
              </w:rPr>
              <w:t>– bis auf die oben genannten.</w:t>
            </w:r>
            <w:r w:rsidRPr="00BE3728">
              <w:rPr>
                <w:rStyle w:val="Funotenzeichen"/>
                <w:sz w:val="20"/>
                <w:szCs w:val="20"/>
              </w:rPr>
              <w:t xml:space="preserve"> </w:t>
            </w:r>
            <w:r w:rsidRPr="00BE3728">
              <w:rPr>
                <w:rStyle w:val="Funotenzeichen"/>
                <w:sz w:val="20"/>
                <w:szCs w:val="20"/>
              </w:rPr>
              <w:footnoteReference w:id="152"/>
            </w:r>
          </w:p>
          <w:p w14:paraId="39118D52" w14:textId="77777777" w:rsidR="00074551" w:rsidRPr="00BE3728" w:rsidRDefault="00074551" w:rsidP="00367133">
            <w:pPr>
              <w:jc w:val="both"/>
              <w:rPr>
                <w:sz w:val="20"/>
                <w:szCs w:val="20"/>
              </w:rPr>
            </w:pPr>
          </w:p>
          <w:p w14:paraId="71674D31" w14:textId="77777777" w:rsidR="00074551" w:rsidRPr="00B45592" w:rsidRDefault="00074551" w:rsidP="00367133">
            <w:pPr>
              <w:jc w:val="both"/>
              <w:rPr>
                <w:sz w:val="20"/>
                <w:szCs w:val="20"/>
                <w:lang w:val="en-IE"/>
              </w:rPr>
            </w:pPr>
            <w:r w:rsidRPr="00BE3728">
              <w:rPr>
                <w:sz w:val="20"/>
                <w:szCs w:val="20"/>
              </w:rPr>
              <w:t xml:space="preserve">Der Dissens greift die Verjährungsgrenzen heraus, um der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BE3728">
              <w:rPr>
                <w:sz w:val="20"/>
                <w:szCs w:val="20"/>
              </w:rPr>
              <w:t xml:space="preserve"> zu widersprechen. Die Verjährungsgrenzen habe der Gläubiger als zu erhebende Einrede selbst in der Hand</w:t>
            </w:r>
            <w:r>
              <w:rPr>
                <w:sz w:val="20"/>
                <w:szCs w:val="20"/>
              </w:rPr>
              <w:t> </w:t>
            </w:r>
            <w:r w:rsidRPr="00BE3728">
              <w:rPr>
                <w:sz w:val="20"/>
                <w:szCs w:val="20"/>
              </w:rPr>
              <w:t xml:space="preserve">– nicht wie bei dem streitgegenständlichen Insolvenzgesetz. Aber würde man staatlichen Maßnahmen gestatten, dass sie den Abschluss von Verträgen, die Grenzen und die Definition von Verträgen regeln, dann würde man die gesellschaftliche Grundlage aufheben („surrender to </w:t>
            </w:r>
            <w:proofErr w:type="spellStart"/>
            <w:r w:rsidRPr="00BE3728">
              <w:rPr>
                <w:sz w:val="20"/>
                <w:szCs w:val="20"/>
              </w:rPr>
              <w:t>us</w:t>
            </w:r>
            <w:proofErr w:type="spellEnd"/>
            <w:r w:rsidRPr="00BE3728">
              <w:rPr>
                <w:sz w:val="20"/>
                <w:szCs w:val="20"/>
              </w:rPr>
              <w:t xml:space="preserve"> of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whole</w:t>
            </w:r>
            <w:proofErr w:type="spellEnd"/>
            <w:r w:rsidRPr="00BE3728">
              <w:rPr>
                <w:sz w:val="20"/>
                <w:szCs w:val="20"/>
              </w:rPr>
              <w:t xml:space="preserve"> </w:t>
            </w:r>
            <w:proofErr w:type="spellStart"/>
            <w:r w:rsidRPr="00BE3728">
              <w:rPr>
                <w:sz w:val="20"/>
                <w:szCs w:val="20"/>
              </w:rPr>
              <w:t>ground</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153"/>
            </w:r>
            <w:r w:rsidRPr="00BE3728">
              <w:rPr>
                <w:sz w:val="20"/>
                <w:szCs w:val="20"/>
              </w:rPr>
              <w:t xml:space="preserve">), nämlich </w:t>
            </w:r>
            <w:r>
              <w:rPr>
                <w:sz w:val="20"/>
                <w:szCs w:val="20"/>
              </w:rPr>
              <w:t xml:space="preserve">die </w:t>
            </w:r>
            <w:r w:rsidRPr="00BE3728">
              <w:rPr>
                <w:sz w:val="20"/>
                <w:szCs w:val="20"/>
              </w:rPr>
              <w:t xml:space="preserve">genannte Freiheit. Damit würde das öffentliche </w:t>
            </w:r>
            <w:r>
              <w:rPr>
                <w:sz w:val="20"/>
                <w:szCs w:val="20"/>
              </w:rPr>
              <w:t xml:space="preserve">Interesse </w:t>
            </w:r>
            <w:r w:rsidRPr="00BE3728">
              <w:rPr>
                <w:sz w:val="20"/>
                <w:szCs w:val="20"/>
              </w:rPr>
              <w:t xml:space="preserve">das private Interesse überwiegen, </w:t>
            </w:r>
            <w:r>
              <w:rPr>
                <w:sz w:val="20"/>
                <w:szCs w:val="20"/>
              </w:rPr>
              <w:t>wohingegen</w:t>
            </w:r>
            <w:r w:rsidRPr="00BE3728">
              <w:rPr>
                <w:sz w:val="20"/>
                <w:szCs w:val="20"/>
              </w:rPr>
              <w:t xml:space="preserve"> der Staat nur die äußeren Grenzen des öffentlichen Interesses sichern müsse: die Bedingungen für Glück („the </w:t>
            </w:r>
            <w:proofErr w:type="spellStart"/>
            <w:r w:rsidRPr="00BE3728">
              <w:rPr>
                <w:sz w:val="20"/>
                <w:szCs w:val="20"/>
              </w:rPr>
              <w:t>interests</w:t>
            </w:r>
            <w:proofErr w:type="spellEnd"/>
            <w:r w:rsidRPr="00BE3728">
              <w:rPr>
                <w:sz w:val="20"/>
                <w:szCs w:val="20"/>
              </w:rPr>
              <w:t xml:space="preserve"> […] due to </w:t>
            </w:r>
            <w:proofErr w:type="spellStart"/>
            <w:r w:rsidRPr="00BE3728">
              <w:rPr>
                <w:sz w:val="20"/>
                <w:szCs w:val="20"/>
              </w:rPr>
              <w:t>his</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 </w:t>
            </w:r>
            <w:r w:rsidRPr="00BE3728">
              <w:rPr>
                <w:sz w:val="20"/>
                <w:szCs w:val="20"/>
                <w:lang w:val="en-US"/>
              </w:rPr>
              <w:t>No one questions the duty of the government to protect and enforce the just rights of every individual over all within its control“</w:t>
            </w:r>
            <w:r w:rsidRPr="00BE3728">
              <w:rPr>
                <w:rStyle w:val="Funotenzeichen"/>
                <w:sz w:val="20"/>
                <w:szCs w:val="20"/>
              </w:rPr>
              <w:footnoteReference w:id="154"/>
            </w:r>
            <w:r w:rsidRPr="00B45592">
              <w:rPr>
                <w:sz w:val="20"/>
                <w:szCs w:val="20"/>
                <w:lang w:val="en-IE"/>
              </w:rPr>
              <w:t>).</w:t>
            </w:r>
          </w:p>
          <w:p w14:paraId="230938CE" w14:textId="77777777" w:rsidR="00074551" w:rsidRPr="00B45592" w:rsidRDefault="00074551" w:rsidP="00367133">
            <w:pPr>
              <w:jc w:val="both"/>
              <w:rPr>
                <w:sz w:val="20"/>
                <w:szCs w:val="20"/>
                <w:lang w:val="en-IE"/>
              </w:rPr>
            </w:pPr>
          </w:p>
        </w:tc>
      </w:tr>
      <w:tr w:rsidR="00074551" w:rsidRPr="00E50B51" w14:paraId="6D282A43" w14:textId="77777777" w:rsidTr="00752D01">
        <w:trPr>
          <w:cantSplit/>
          <w:trHeight w:val="3175"/>
        </w:trPr>
        <w:tc>
          <w:tcPr>
            <w:tcW w:w="293" w:type="pct"/>
            <w:shd w:val="clear" w:color="auto" w:fill="E7E6E6" w:themeFill="background2"/>
          </w:tcPr>
          <w:p w14:paraId="0ADA48FA"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732E6720"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56371B54"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1B204427" w14:textId="77777777" w:rsidR="00074551" w:rsidRPr="00E50B51" w:rsidRDefault="00074551" w:rsidP="00367133">
            <w:pPr>
              <w:ind w:left="113" w:right="113"/>
              <w:jc w:val="both"/>
              <w:rPr>
                <w:sz w:val="20"/>
                <w:szCs w:val="20"/>
              </w:rPr>
            </w:pPr>
            <w:r w:rsidRPr="00E50B51">
              <w:rPr>
                <w:sz w:val="20"/>
                <w:szCs w:val="20"/>
              </w:rPr>
              <w:t xml:space="preserve">Commerce </w:t>
            </w:r>
            <w:proofErr w:type="spellStart"/>
            <w:r w:rsidRPr="00E50B51">
              <w:rPr>
                <w:sz w:val="20"/>
                <w:szCs w:val="20"/>
              </w:rPr>
              <w:t>Clause</w:t>
            </w:r>
            <w:proofErr w:type="spellEnd"/>
          </w:p>
        </w:tc>
        <w:tc>
          <w:tcPr>
            <w:tcW w:w="306" w:type="pct"/>
            <w:shd w:val="clear" w:color="auto" w:fill="E7E6E6" w:themeFill="background2"/>
            <w:textDirection w:val="tbRl"/>
            <w:vAlign w:val="center"/>
          </w:tcPr>
          <w:p w14:paraId="3FE34F74"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0E6BF354"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E629D5A" w14:textId="77777777" w:rsidR="00074551" w:rsidRPr="00E50B51" w:rsidRDefault="00074551" w:rsidP="00367133">
            <w:pPr>
              <w:jc w:val="both"/>
              <w:rPr>
                <w:sz w:val="20"/>
                <w:szCs w:val="20"/>
              </w:rPr>
            </w:pPr>
          </w:p>
        </w:tc>
        <w:tc>
          <w:tcPr>
            <w:tcW w:w="1822" w:type="pct"/>
            <w:shd w:val="clear" w:color="auto" w:fill="E7E6E6" w:themeFill="background2"/>
          </w:tcPr>
          <w:p w14:paraId="083B7C9C" w14:textId="1D50803F"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590D22F8" w14:textId="77777777" w:rsidTr="00BE689F">
        <w:trPr>
          <w:trHeight w:val="3175"/>
        </w:trPr>
        <w:tc>
          <w:tcPr>
            <w:tcW w:w="293" w:type="pct"/>
          </w:tcPr>
          <w:p w14:paraId="38EA320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vAlign w:val="center"/>
          </w:tcPr>
          <w:p w14:paraId="0B8DB007" w14:textId="77777777" w:rsidR="00074551" w:rsidRPr="00B45592" w:rsidRDefault="00074551" w:rsidP="00250E3D">
            <w:pPr>
              <w:ind w:right="416"/>
              <w:jc w:val="both"/>
              <w:rPr>
                <w:i/>
                <w:iCs/>
                <w:sz w:val="20"/>
                <w:szCs w:val="20"/>
                <w:lang w:val="en-US"/>
              </w:rPr>
            </w:pPr>
            <w:r w:rsidRPr="00B45592">
              <w:rPr>
                <w:i/>
                <w:iCs/>
                <w:sz w:val="20"/>
                <w:szCs w:val="20"/>
                <w:lang w:val="en-US"/>
              </w:rPr>
              <w:t xml:space="preserve">American Communications </w:t>
            </w:r>
            <w:proofErr w:type="spellStart"/>
            <w:r w:rsidRPr="00B45592">
              <w:rPr>
                <w:i/>
                <w:iCs/>
                <w:sz w:val="20"/>
                <w:szCs w:val="20"/>
                <w:lang w:val="en-US"/>
              </w:rPr>
              <w:t>Ass’n</w:t>
            </w:r>
            <w:proofErr w:type="spellEnd"/>
            <w:r w:rsidRPr="00B45592">
              <w:rPr>
                <w:i/>
                <w:iCs/>
                <w:sz w:val="20"/>
                <w:szCs w:val="20"/>
                <w:lang w:val="en-US"/>
              </w:rPr>
              <w:t xml:space="preserve"> v. Douds</w:t>
            </w:r>
          </w:p>
        </w:tc>
        <w:tc>
          <w:tcPr>
            <w:tcW w:w="197" w:type="pct"/>
            <w:vAlign w:val="center"/>
          </w:tcPr>
          <w:p w14:paraId="55A6B796" w14:textId="77777777" w:rsidR="00074551" w:rsidRPr="00E50B51" w:rsidRDefault="00074551" w:rsidP="00250E3D">
            <w:pPr>
              <w:jc w:val="both"/>
              <w:rPr>
                <w:sz w:val="20"/>
                <w:szCs w:val="20"/>
                <w:lang w:val="en-US"/>
              </w:rPr>
            </w:pPr>
            <w:r w:rsidRPr="00E50B51">
              <w:rPr>
                <w:sz w:val="20"/>
                <w:szCs w:val="20"/>
                <w:lang w:val="en-US"/>
              </w:rPr>
              <w:t>339 U.S. 382</w:t>
            </w:r>
          </w:p>
        </w:tc>
        <w:tc>
          <w:tcPr>
            <w:tcW w:w="306" w:type="pct"/>
            <w:vAlign w:val="center"/>
          </w:tcPr>
          <w:p w14:paraId="77DDD46C" w14:textId="77777777" w:rsidR="00074551" w:rsidRPr="00E50B51" w:rsidRDefault="00074551" w:rsidP="00250E3D">
            <w:pPr>
              <w:jc w:val="both"/>
              <w:rPr>
                <w:sz w:val="20"/>
                <w:szCs w:val="20"/>
                <w:lang w:val="en-US"/>
              </w:rPr>
            </w:pPr>
            <w:r w:rsidRPr="00E50B51">
              <w:rPr>
                <w:sz w:val="20"/>
                <w:szCs w:val="20"/>
                <w:lang w:val="en-US"/>
              </w:rPr>
              <w:t>8. Mai 1950</w:t>
            </w:r>
          </w:p>
        </w:tc>
        <w:tc>
          <w:tcPr>
            <w:tcW w:w="401" w:type="pct"/>
          </w:tcPr>
          <w:p w14:paraId="142B38C2"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4FB6CB01" w14:textId="5E76812B" w:rsidR="000745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den </w:t>
            </w:r>
            <w:r w:rsidRPr="00B45592">
              <w:rPr>
                <w:i/>
                <w:sz w:val="20"/>
                <w:szCs w:val="20"/>
              </w:rPr>
              <w:t>National Labor Relations Act</w:t>
            </w:r>
            <w:r w:rsidRPr="00E50B51">
              <w:rPr>
                <w:sz w:val="20"/>
                <w:szCs w:val="20"/>
              </w:rPr>
              <w:t xml:space="preserve"> für verfassungskonform. Der</w:t>
            </w:r>
            <w:r>
              <w:rPr>
                <w:sz w:val="20"/>
                <w:szCs w:val="20"/>
              </w:rPr>
              <w:t> § </w:t>
            </w:r>
            <w:r w:rsidRPr="00E50B51">
              <w:rPr>
                <w:sz w:val="20"/>
                <w:szCs w:val="20"/>
              </w:rPr>
              <w:t>9(h)</w:t>
            </w:r>
            <w:r>
              <w:rPr>
                <w:rStyle w:val="Funotenzeichen"/>
                <w:sz w:val="20"/>
                <w:szCs w:val="20"/>
              </w:rPr>
              <w:footnoteReference w:id="155"/>
            </w:r>
            <w:r w:rsidRPr="00E50B51">
              <w:rPr>
                <w:sz w:val="20"/>
                <w:szCs w:val="20"/>
              </w:rPr>
              <w:t xml:space="preserve"> d</w:t>
            </w:r>
            <w:r>
              <w:rPr>
                <w:sz w:val="20"/>
                <w:szCs w:val="20"/>
              </w:rPr>
              <w:t>ieses</w:t>
            </w:r>
            <w:r w:rsidRPr="00E50B51">
              <w:rPr>
                <w:sz w:val="20"/>
                <w:szCs w:val="20"/>
              </w:rPr>
              <w:t xml:space="preserve"> Gesetzes </w:t>
            </w:r>
            <w:proofErr w:type="gramStart"/>
            <w:r>
              <w:rPr>
                <w:sz w:val="20"/>
                <w:szCs w:val="20"/>
              </w:rPr>
              <w:t>er</w:t>
            </w:r>
            <w:r w:rsidRPr="00E50B51">
              <w:rPr>
                <w:sz w:val="20"/>
                <w:szCs w:val="20"/>
              </w:rPr>
              <w:t>legte Gewerkschaftsführern</w:t>
            </w:r>
            <w:proofErr w:type="gramEnd"/>
            <w:r w:rsidRPr="00E50B51">
              <w:rPr>
                <w:sz w:val="20"/>
                <w:szCs w:val="20"/>
              </w:rPr>
              <w:t xml:space="preserve"> einen antikommunistischen Eid auf. </w:t>
            </w:r>
            <w:r>
              <w:rPr>
                <w:sz w:val="20"/>
                <w:szCs w:val="20"/>
              </w:rPr>
              <w:t>Dieser</w:t>
            </w:r>
            <w:r w:rsidRPr="00E50B51">
              <w:rPr>
                <w:sz w:val="20"/>
                <w:szCs w:val="20"/>
              </w:rPr>
              <w:t xml:space="preserve"> verstoße aber nicht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E50B51">
              <w:rPr>
                <w:rStyle w:val="Funotenzeichen"/>
                <w:rFonts w:eastAsiaTheme="majorEastAsia"/>
                <w:sz w:val="20"/>
                <w:szCs w:val="20"/>
              </w:rPr>
              <w:footnoteReference w:id="156"/>
            </w:r>
            <w:r w:rsidRPr="00E50B51">
              <w:rPr>
                <w:sz w:val="20"/>
                <w:szCs w:val="20"/>
              </w:rPr>
              <w:t xml:space="preserve"> Denn es liege in der parlamentarischen </w:t>
            </w:r>
            <w:r w:rsidRPr="00765874">
              <w:rPr>
                <w:sz w:val="20"/>
                <w:szCs w:val="20"/>
              </w:rPr>
              <w:t>Entscheidungsprärogative, den zwischenstaatlichen Handel zu erleichtern („</w:t>
            </w:r>
            <w:proofErr w:type="spellStart"/>
            <w:r w:rsidRPr="00765874">
              <w:rPr>
                <w:sz w:val="20"/>
                <w:szCs w:val="20"/>
              </w:rPr>
              <w:t>need</w:t>
            </w:r>
            <w:proofErr w:type="spellEnd"/>
            <w:r w:rsidRPr="00765874">
              <w:rPr>
                <w:sz w:val="20"/>
                <w:szCs w:val="20"/>
              </w:rPr>
              <w:t xml:space="preserve"> for </w:t>
            </w:r>
            <w:proofErr w:type="spellStart"/>
            <w:r w:rsidRPr="00765874">
              <w:rPr>
                <w:sz w:val="20"/>
                <w:szCs w:val="20"/>
              </w:rPr>
              <w:t>regulation</w:t>
            </w:r>
            <w:proofErr w:type="spellEnd"/>
            <w:r w:rsidRPr="00765874">
              <w:rPr>
                <w:sz w:val="20"/>
                <w:szCs w:val="20"/>
              </w:rPr>
              <w:t xml:space="preserve"> of </w:t>
            </w:r>
            <w:proofErr w:type="spellStart"/>
            <w:r w:rsidRPr="00765874">
              <w:rPr>
                <w:sz w:val="20"/>
                <w:szCs w:val="20"/>
              </w:rPr>
              <w:t>conduct</w:t>
            </w:r>
            <w:proofErr w:type="spellEnd"/>
            <w:r w:rsidRPr="00765874">
              <w:rPr>
                <w:sz w:val="20"/>
                <w:szCs w:val="20"/>
              </w:rPr>
              <w:t xml:space="preserve"> </w:t>
            </w:r>
            <w:proofErr w:type="spellStart"/>
            <w:r w:rsidRPr="00765874">
              <w:rPr>
                <w:sz w:val="20"/>
                <w:szCs w:val="20"/>
              </w:rPr>
              <w:t>affecting</w:t>
            </w:r>
            <w:proofErr w:type="spellEnd"/>
            <w:r w:rsidRPr="00765874">
              <w:rPr>
                <w:sz w:val="20"/>
                <w:szCs w:val="20"/>
              </w:rPr>
              <w:t xml:space="preserve"> </w:t>
            </w:r>
            <w:proofErr w:type="spellStart"/>
            <w:r w:rsidRPr="00765874">
              <w:rPr>
                <w:sz w:val="20"/>
                <w:szCs w:val="20"/>
              </w:rPr>
              <w:t>interstate</w:t>
            </w:r>
            <w:proofErr w:type="spellEnd"/>
            <w:r w:rsidRPr="00765874">
              <w:rPr>
                <w:sz w:val="20"/>
                <w:szCs w:val="20"/>
              </w:rPr>
              <w:t xml:space="preserve"> </w:t>
            </w:r>
            <w:proofErr w:type="spellStart"/>
            <w:r w:rsidRPr="00765874">
              <w:rPr>
                <w:sz w:val="20"/>
                <w:szCs w:val="20"/>
              </w:rPr>
              <w:t>commerce</w:t>
            </w:r>
            <w:proofErr w:type="spellEnd"/>
            <w:r w:rsidRPr="00765874">
              <w:rPr>
                <w:sz w:val="20"/>
                <w:szCs w:val="20"/>
              </w:rPr>
              <w:t>“</w:t>
            </w:r>
            <w:r w:rsidRPr="00765874">
              <w:rPr>
                <w:rStyle w:val="Funotenzeichen"/>
                <w:sz w:val="20"/>
                <w:szCs w:val="20"/>
              </w:rPr>
              <w:footnoteReference w:id="157"/>
            </w:r>
            <w:r w:rsidRPr="00765874">
              <w:rPr>
                <w:sz w:val="20"/>
                <w:szCs w:val="20"/>
              </w:rPr>
              <w:t xml:space="preserve">), was das Ziel des Gesetzes </w:t>
            </w:r>
            <w:r>
              <w:rPr>
                <w:sz w:val="20"/>
                <w:szCs w:val="20"/>
              </w:rPr>
              <w:t>sei</w:t>
            </w:r>
            <w:r w:rsidRPr="00765874">
              <w:rPr>
                <w:sz w:val="20"/>
                <w:szCs w:val="20"/>
              </w:rPr>
              <w:t>. Es ging</w:t>
            </w:r>
            <w:r>
              <w:rPr>
                <w:sz w:val="20"/>
                <w:szCs w:val="20"/>
              </w:rPr>
              <w:t>e</w:t>
            </w:r>
            <w:r w:rsidRPr="00765874">
              <w:rPr>
                <w:sz w:val="20"/>
                <w:szCs w:val="20"/>
              </w:rPr>
              <w:t xml:space="preserve"> nicht darum</w:t>
            </w:r>
            <w:r w:rsidRPr="00E50B51">
              <w:rPr>
                <w:sz w:val="20"/>
                <w:szCs w:val="20"/>
              </w:rPr>
              <w:t>, einen Glauben zu untersagen, sondern die Wahrscheinlichkeit für Umsturzbegehren zu reduzieren („</w:t>
            </w:r>
            <w:proofErr w:type="spellStart"/>
            <w:r w:rsidRPr="00E50B51">
              <w:rPr>
                <w:sz w:val="20"/>
                <w:szCs w:val="20"/>
              </w:rPr>
              <w:t>supports</w:t>
            </w:r>
            <w:proofErr w:type="spellEnd"/>
            <w:r w:rsidRPr="00E50B51">
              <w:rPr>
                <w:sz w:val="20"/>
                <w:szCs w:val="20"/>
              </w:rPr>
              <w:t xml:space="preserve"> </w:t>
            </w:r>
            <w:proofErr w:type="spellStart"/>
            <w:r w:rsidRPr="00E50B51">
              <w:rPr>
                <w:sz w:val="20"/>
                <w:szCs w:val="20"/>
              </w:rPr>
              <w:t>any</w:t>
            </w:r>
            <w:proofErr w:type="spellEnd"/>
            <w:r w:rsidRPr="00E50B51">
              <w:rPr>
                <w:sz w:val="20"/>
                <w:szCs w:val="20"/>
              </w:rPr>
              <w:t xml:space="preserve"> </w:t>
            </w:r>
            <w:proofErr w:type="spellStart"/>
            <w:r w:rsidRPr="00E50B51">
              <w:rPr>
                <w:sz w:val="20"/>
                <w:szCs w:val="20"/>
              </w:rPr>
              <w:t>organization</w:t>
            </w:r>
            <w:proofErr w:type="spellEnd"/>
            <w:r w:rsidRPr="00E50B51">
              <w:rPr>
                <w:sz w:val="20"/>
                <w:szCs w:val="20"/>
              </w:rPr>
              <w:t xml:space="preserve"> </w:t>
            </w:r>
            <w:proofErr w:type="spellStart"/>
            <w:r w:rsidRPr="00E50B51">
              <w:rPr>
                <w:sz w:val="20"/>
                <w:szCs w:val="20"/>
              </w:rPr>
              <w:t>that</w:t>
            </w:r>
            <w:proofErr w:type="spellEnd"/>
            <w:r w:rsidRPr="00E50B51">
              <w:rPr>
                <w:sz w:val="20"/>
                <w:szCs w:val="20"/>
              </w:rPr>
              <w:t xml:space="preserve"> </w:t>
            </w:r>
            <w:proofErr w:type="spellStart"/>
            <w:r w:rsidRPr="00E50B51">
              <w:rPr>
                <w:sz w:val="20"/>
                <w:szCs w:val="20"/>
              </w:rPr>
              <w:t>believes</w:t>
            </w:r>
            <w:proofErr w:type="spellEnd"/>
            <w:r w:rsidRPr="00E50B51">
              <w:rPr>
                <w:sz w:val="20"/>
                <w:szCs w:val="20"/>
              </w:rPr>
              <w:t xml:space="preserve"> in </w:t>
            </w:r>
            <w:proofErr w:type="spellStart"/>
            <w:r w:rsidRPr="00E50B51">
              <w:rPr>
                <w:sz w:val="20"/>
                <w:szCs w:val="20"/>
              </w:rPr>
              <w:t>or</w:t>
            </w:r>
            <w:proofErr w:type="spellEnd"/>
            <w:r w:rsidRPr="00E50B51">
              <w:rPr>
                <w:sz w:val="20"/>
                <w:szCs w:val="20"/>
              </w:rPr>
              <w:t xml:space="preserve"> </w:t>
            </w:r>
            <w:proofErr w:type="spellStart"/>
            <w:r w:rsidRPr="00E50B51">
              <w:rPr>
                <w:sz w:val="20"/>
                <w:szCs w:val="20"/>
              </w:rPr>
              <w:t>teaches</w:t>
            </w:r>
            <w:proofErr w:type="spellEnd"/>
            <w:r w:rsidRPr="00E50B51">
              <w:rPr>
                <w:sz w:val="20"/>
                <w:szCs w:val="20"/>
              </w:rPr>
              <w:t xml:space="preserve">, the </w:t>
            </w:r>
            <w:proofErr w:type="spellStart"/>
            <w:r w:rsidRPr="00E50B51">
              <w:rPr>
                <w:sz w:val="20"/>
                <w:szCs w:val="20"/>
              </w:rPr>
              <w:t>overthrow</w:t>
            </w:r>
            <w:proofErr w:type="spellEnd"/>
            <w:r w:rsidRPr="00E50B51">
              <w:rPr>
                <w:sz w:val="20"/>
                <w:szCs w:val="20"/>
              </w:rPr>
              <w:t xml:space="preserve"> of the United States Government by force </w:t>
            </w:r>
            <w:proofErr w:type="spellStart"/>
            <w:r w:rsidRPr="00E50B51">
              <w:rPr>
                <w:sz w:val="20"/>
                <w:szCs w:val="20"/>
              </w:rPr>
              <w:t>or</w:t>
            </w:r>
            <w:proofErr w:type="spellEnd"/>
            <w:r w:rsidRPr="00E50B51">
              <w:rPr>
                <w:sz w:val="20"/>
                <w:szCs w:val="20"/>
              </w:rPr>
              <w:t xml:space="preserve"> by </w:t>
            </w:r>
            <w:proofErr w:type="spellStart"/>
            <w:r w:rsidRPr="00E50B51">
              <w:rPr>
                <w:sz w:val="20"/>
                <w:szCs w:val="20"/>
              </w:rPr>
              <w:t>any</w:t>
            </w:r>
            <w:proofErr w:type="spellEnd"/>
            <w:r w:rsidRPr="00E50B51">
              <w:rPr>
                <w:sz w:val="20"/>
                <w:szCs w:val="20"/>
              </w:rPr>
              <w:t xml:space="preserve"> illegal </w:t>
            </w:r>
            <w:proofErr w:type="spellStart"/>
            <w:r w:rsidRPr="00E50B51">
              <w:rPr>
                <w:sz w:val="20"/>
                <w:szCs w:val="20"/>
              </w:rPr>
              <w:t>or</w:t>
            </w:r>
            <w:proofErr w:type="spellEnd"/>
            <w:r w:rsidRPr="00E50B51">
              <w:rPr>
                <w:sz w:val="20"/>
                <w:szCs w:val="20"/>
              </w:rPr>
              <w:t xml:space="preserve"> </w:t>
            </w:r>
            <w:proofErr w:type="spellStart"/>
            <w:r w:rsidRPr="00E50B51">
              <w:rPr>
                <w:sz w:val="20"/>
                <w:szCs w:val="20"/>
              </w:rPr>
              <w:t>unconstitutional</w:t>
            </w:r>
            <w:proofErr w:type="spellEnd"/>
            <w:r w:rsidRPr="00E50B51">
              <w:rPr>
                <w:sz w:val="20"/>
                <w:szCs w:val="20"/>
              </w:rPr>
              <w:t xml:space="preserve"> </w:t>
            </w:r>
            <w:proofErr w:type="spellStart"/>
            <w:r w:rsidRPr="00E50B51">
              <w:rPr>
                <w:sz w:val="20"/>
                <w:szCs w:val="20"/>
              </w:rPr>
              <w:t>methods</w:t>
            </w:r>
            <w:proofErr w:type="spellEnd"/>
            <w:r w:rsidRPr="00E50B51">
              <w:rPr>
                <w:sz w:val="20"/>
                <w:szCs w:val="20"/>
              </w:rPr>
              <w:t>“</w:t>
            </w:r>
            <w:r w:rsidRPr="00E50B51">
              <w:rPr>
                <w:rStyle w:val="Funotenzeichen"/>
                <w:rFonts w:eastAsiaTheme="majorEastAsia"/>
                <w:sz w:val="20"/>
                <w:szCs w:val="20"/>
              </w:rPr>
              <w:footnoteReference w:id="158"/>
            </w:r>
            <w:r>
              <w:rPr>
                <w:sz w:val="20"/>
                <w:szCs w:val="20"/>
              </w:rPr>
              <w:t>), welche eine kommunistische Haltung mit sich bringe.</w:t>
            </w:r>
          </w:p>
          <w:p w14:paraId="3296C366" w14:textId="77777777" w:rsidR="00074551" w:rsidRPr="00E50B51" w:rsidRDefault="00074551" w:rsidP="00367133">
            <w:pPr>
              <w:jc w:val="both"/>
              <w:rPr>
                <w:sz w:val="20"/>
                <w:szCs w:val="20"/>
              </w:rPr>
            </w:pPr>
          </w:p>
        </w:tc>
        <w:tc>
          <w:tcPr>
            <w:tcW w:w="1822" w:type="pct"/>
          </w:tcPr>
          <w:p w14:paraId="5CD2F852" w14:textId="77777777" w:rsidR="00074551" w:rsidRPr="00E50B51" w:rsidRDefault="00074551" w:rsidP="00367133">
            <w:pPr>
              <w:jc w:val="both"/>
              <w:rPr>
                <w:sz w:val="20"/>
                <w:szCs w:val="20"/>
              </w:rPr>
            </w:pPr>
            <w:r w:rsidRPr="00E50B51">
              <w:rPr>
                <w:sz w:val="20"/>
                <w:szCs w:val="20"/>
              </w:rPr>
              <w:t xml:space="preserve">Wie weit die </w:t>
            </w:r>
            <w:r w:rsidRPr="00A142D9">
              <w:rPr>
                <w:i/>
                <w:sz w:val="20"/>
                <w:szCs w:val="20"/>
              </w:rPr>
              <w:t xml:space="preserve">Commerce </w:t>
            </w:r>
            <w:proofErr w:type="spellStart"/>
            <w:r w:rsidRPr="00A142D9">
              <w:rPr>
                <w:i/>
                <w:sz w:val="20"/>
                <w:szCs w:val="20"/>
              </w:rPr>
              <w:t>Clause</w:t>
            </w:r>
            <w:proofErr w:type="spellEnd"/>
            <w:r w:rsidRPr="00E50B51">
              <w:rPr>
                <w:sz w:val="20"/>
                <w:szCs w:val="20"/>
              </w:rPr>
              <w:t xml:space="preserve"> verstanden wird, macht der </w:t>
            </w:r>
            <w:r>
              <w:rPr>
                <w:sz w:val="20"/>
                <w:szCs w:val="20"/>
              </w:rPr>
              <w:t>U.S. Supreme Court</w:t>
            </w:r>
            <w:r w:rsidRPr="00E50B51">
              <w:rPr>
                <w:sz w:val="20"/>
                <w:szCs w:val="20"/>
              </w:rPr>
              <w:t xml:space="preserve"> an folgendem Leitsatz deutlich: Keine Bestimmung in der U.S. </w:t>
            </w:r>
            <w:proofErr w:type="spellStart"/>
            <w:r w:rsidRPr="00E50B51">
              <w:rPr>
                <w:sz w:val="20"/>
                <w:szCs w:val="20"/>
              </w:rPr>
              <w:t>Const</w:t>
            </w:r>
            <w:proofErr w:type="spellEnd"/>
            <w:r w:rsidRPr="00E50B51">
              <w:rPr>
                <w:sz w:val="20"/>
                <w:szCs w:val="20"/>
              </w:rPr>
              <w:t>. hindere den Kongress daran, zu verhüten, dass ein potenzieller Schaden für die nationale Wirtschaft eintritt.</w:t>
            </w:r>
            <w:r w:rsidRPr="00E50B51">
              <w:rPr>
                <w:rStyle w:val="Funotenzeichen"/>
                <w:rFonts w:eastAsiaTheme="majorEastAsia"/>
                <w:sz w:val="20"/>
                <w:szCs w:val="20"/>
              </w:rPr>
              <w:footnoteReference w:id="159"/>
            </w:r>
            <w:r w:rsidRPr="00E50B51">
              <w:rPr>
                <w:sz w:val="20"/>
                <w:szCs w:val="20"/>
              </w:rPr>
              <w:t xml:space="preserve"> Damit entsteht ein präventiver Schutzauftrag zugunsten der Wirtschaft. Doch was ist die Grenze dieses Schutzauftrags? Dazu erklärt der Dissens, die Grenze für staatliche Maßnahmen, um Schaden von der Wirtschaft abzuwenden </w:t>
            </w:r>
            <w:r>
              <w:rPr>
                <w:sz w:val="20"/>
                <w:szCs w:val="20"/>
              </w:rPr>
              <w:t>– </w:t>
            </w:r>
            <w:r w:rsidRPr="00E50B51">
              <w:rPr>
                <w:sz w:val="20"/>
                <w:szCs w:val="20"/>
              </w:rPr>
              <w:t xml:space="preserve">z.B. hier durch den </w:t>
            </w:r>
            <w:r>
              <w:rPr>
                <w:sz w:val="20"/>
                <w:szCs w:val="20"/>
              </w:rPr>
              <w:t>a</w:t>
            </w:r>
            <w:r w:rsidRPr="00E50B51">
              <w:rPr>
                <w:sz w:val="20"/>
                <w:szCs w:val="20"/>
              </w:rPr>
              <w:t>ntikommunistischen Eid</w:t>
            </w:r>
            <w:r>
              <w:rPr>
                <w:sz w:val="20"/>
                <w:szCs w:val="20"/>
              </w:rPr>
              <w:t xml:space="preserve"> –</w:t>
            </w:r>
            <w:r w:rsidRPr="00E50B51">
              <w:rPr>
                <w:sz w:val="20"/>
                <w:szCs w:val="20"/>
              </w:rPr>
              <w:t>, beschreib</w:t>
            </w:r>
            <w:r>
              <w:rPr>
                <w:sz w:val="20"/>
                <w:szCs w:val="20"/>
              </w:rPr>
              <w:t>e</w:t>
            </w:r>
            <w:r w:rsidRPr="00E50B51">
              <w:rPr>
                <w:sz w:val="20"/>
                <w:szCs w:val="20"/>
              </w:rPr>
              <w:t xml:space="preserve"> das Willkürverbot. D</w:t>
            </w:r>
            <w:r>
              <w:rPr>
                <w:sz w:val="20"/>
                <w:szCs w:val="20"/>
              </w:rPr>
              <w:t>iese</w:t>
            </w:r>
            <w:r w:rsidRPr="00E50B51">
              <w:rPr>
                <w:sz w:val="20"/>
                <w:szCs w:val="20"/>
              </w:rPr>
              <w:t xml:space="preserve">s binde sich an den Maßstab, ob die Regierung noch </w:t>
            </w:r>
            <w:r>
              <w:rPr>
                <w:sz w:val="20"/>
                <w:szCs w:val="20"/>
              </w:rPr>
              <w:t xml:space="preserve">die </w:t>
            </w:r>
            <w:r w:rsidRPr="00E50B51">
              <w:rPr>
                <w:sz w:val="20"/>
                <w:szCs w:val="20"/>
              </w:rPr>
              <w:t xml:space="preserve">Bedingungen </w:t>
            </w:r>
            <w:r>
              <w:rPr>
                <w:sz w:val="20"/>
                <w:szCs w:val="20"/>
              </w:rPr>
              <w:t xml:space="preserve">dafür </w:t>
            </w:r>
            <w:r w:rsidRPr="00E50B51">
              <w:rPr>
                <w:sz w:val="20"/>
                <w:szCs w:val="20"/>
              </w:rPr>
              <w:t>sichere, dass der Einzelne nach Glück streben kann – falls nicht</w:t>
            </w:r>
            <w:r>
              <w:rPr>
                <w:sz w:val="20"/>
                <w:szCs w:val="20"/>
              </w:rPr>
              <w:t>,</w:t>
            </w:r>
            <w:r w:rsidRPr="00E50B51">
              <w:rPr>
                <w:sz w:val="20"/>
                <w:szCs w:val="20"/>
              </w:rPr>
              <w:t xml:space="preserve"> bestehe ein Widerstandsrecht.</w:t>
            </w:r>
            <w:r w:rsidRPr="00E50B51">
              <w:rPr>
                <w:rStyle w:val="Funotenzeichen"/>
                <w:rFonts w:eastAsiaTheme="majorEastAsia"/>
                <w:sz w:val="20"/>
                <w:szCs w:val="20"/>
              </w:rPr>
              <w:footnoteReference w:id="160"/>
            </w:r>
          </w:p>
          <w:p w14:paraId="248D3A95" w14:textId="77777777" w:rsidR="00074551" w:rsidRPr="00E50B51" w:rsidRDefault="00074551" w:rsidP="00367133">
            <w:pPr>
              <w:jc w:val="both"/>
              <w:rPr>
                <w:sz w:val="20"/>
                <w:szCs w:val="20"/>
              </w:rPr>
            </w:pPr>
          </w:p>
        </w:tc>
      </w:tr>
      <w:tr w:rsidR="00074551" w:rsidRPr="00E50B51" w14:paraId="17FB781D" w14:textId="77777777" w:rsidTr="00BE689F">
        <w:trPr>
          <w:cantSplit/>
          <w:trHeight w:val="3175"/>
        </w:trPr>
        <w:tc>
          <w:tcPr>
            <w:tcW w:w="293" w:type="pct"/>
          </w:tcPr>
          <w:p w14:paraId="680370D0"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670BCAE7" w14:textId="77777777" w:rsidR="00074551" w:rsidRPr="00B45592" w:rsidRDefault="00074551" w:rsidP="00367133">
            <w:pPr>
              <w:ind w:left="113" w:right="416"/>
              <w:jc w:val="both"/>
              <w:rPr>
                <w:i/>
                <w:sz w:val="20"/>
                <w:szCs w:val="20"/>
                <w:lang w:val="en-US"/>
              </w:rPr>
            </w:pPr>
            <w:r w:rsidRPr="00B45592">
              <w:rPr>
                <w:i/>
                <w:sz w:val="20"/>
                <w:szCs w:val="20"/>
              </w:rPr>
              <w:t xml:space="preserve">Conway v. </w:t>
            </w:r>
            <w:proofErr w:type="spellStart"/>
            <w:r w:rsidRPr="00B45592">
              <w:rPr>
                <w:i/>
                <w:sz w:val="20"/>
                <w:szCs w:val="20"/>
              </w:rPr>
              <w:t>Taylor’s</w:t>
            </w:r>
            <w:proofErr w:type="spellEnd"/>
            <w:r w:rsidRPr="00B45592">
              <w:rPr>
                <w:i/>
                <w:sz w:val="20"/>
                <w:szCs w:val="20"/>
              </w:rPr>
              <w:t xml:space="preserve"> </w:t>
            </w:r>
            <w:proofErr w:type="spellStart"/>
            <w:r w:rsidRPr="00B45592">
              <w:rPr>
                <w:i/>
                <w:sz w:val="20"/>
                <w:szCs w:val="20"/>
              </w:rPr>
              <w:t>Ex’x</w:t>
            </w:r>
            <w:proofErr w:type="spellEnd"/>
          </w:p>
        </w:tc>
        <w:tc>
          <w:tcPr>
            <w:tcW w:w="197" w:type="pct"/>
            <w:textDirection w:val="tbRl"/>
            <w:vAlign w:val="center"/>
          </w:tcPr>
          <w:p w14:paraId="4A73FCF9" w14:textId="77777777" w:rsidR="00074551" w:rsidRPr="00E50B51" w:rsidRDefault="00074551" w:rsidP="00367133">
            <w:pPr>
              <w:ind w:left="113" w:right="113"/>
              <w:jc w:val="both"/>
              <w:rPr>
                <w:sz w:val="20"/>
                <w:szCs w:val="20"/>
                <w:lang w:val="en-US"/>
              </w:rPr>
            </w:pPr>
            <w:r w:rsidRPr="00BE3728">
              <w:rPr>
                <w:sz w:val="20"/>
                <w:szCs w:val="20"/>
              </w:rPr>
              <w:t>66 U.S. 603</w:t>
            </w:r>
          </w:p>
        </w:tc>
        <w:tc>
          <w:tcPr>
            <w:tcW w:w="306" w:type="pct"/>
            <w:textDirection w:val="tbRl"/>
            <w:vAlign w:val="center"/>
          </w:tcPr>
          <w:p w14:paraId="5EBCBC5D" w14:textId="77777777" w:rsidR="00074551" w:rsidRPr="00E50B51" w:rsidRDefault="00074551" w:rsidP="00367133">
            <w:pPr>
              <w:ind w:left="113" w:right="113"/>
              <w:jc w:val="both"/>
              <w:rPr>
                <w:sz w:val="20"/>
                <w:szCs w:val="20"/>
                <w:lang w:val="en-US"/>
              </w:rPr>
            </w:pPr>
            <w:r w:rsidRPr="00BE3728">
              <w:rPr>
                <w:sz w:val="20"/>
                <w:szCs w:val="20"/>
              </w:rPr>
              <w:t>17. März 1862</w:t>
            </w:r>
          </w:p>
        </w:tc>
        <w:tc>
          <w:tcPr>
            <w:tcW w:w="401" w:type="pct"/>
          </w:tcPr>
          <w:p w14:paraId="099328CF"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6D914BB0" w14:textId="77777777" w:rsidR="00074551" w:rsidRPr="00BE3728" w:rsidRDefault="00074551" w:rsidP="00367133">
            <w:pPr>
              <w:jc w:val="both"/>
              <w:rPr>
                <w:sz w:val="20"/>
                <w:szCs w:val="20"/>
              </w:rPr>
            </w:pPr>
            <w:r w:rsidRPr="00BE3728">
              <w:rPr>
                <w:sz w:val="20"/>
                <w:szCs w:val="20"/>
              </w:rPr>
              <w:t xml:space="preserve">Die Vorinstanzen entschied, dass eine Stadt und ein Fährschiffkapitän nicht das Recht hatten, einen Fährdienst zwischen Cincinnati und Newport zu betreiben. Denn dies verstieß gegen die exklusive Lizenz eines verstorbenen Lizenzinhabers, welche zu seinem Nachlass gehörte und </w:t>
            </w:r>
            <w:r>
              <w:rPr>
                <w:sz w:val="20"/>
                <w:szCs w:val="20"/>
              </w:rPr>
              <w:t>welche</w:t>
            </w:r>
            <w:r w:rsidRPr="00BE3728">
              <w:rPr>
                <w:sz w:val="20"/>
                <w:szCs w:val="20"/>
              </w:rPr>
              <w:t xml:space="preserve"> ein Testamentsvollstrecker durchsetz</w:t>
            </w:r>
            <w:r>
              <w:rPr>
                <w:sz w:val="20"/>
                <w:szCs w:val="20"/>
              </w:rPr>
              <w:t>en wollte</w:t>
            </w:r>
            <w:r w:rsidRPr="00BE3728">
              <w:rPr>
                <w:sz w:val="20"/>
                <w:szCs w:val="20"/>
              </w:rPr>
              <w:t xml:space="preserve">. Denn nach dem Tod des Lizenzinhabers hatte die Stadt eine eigene Lizenz und einen Fährdienst zwischen Cincinnati und Newport eingerichtet. Der Testamentsvollstrecker hatte dies angefochten. Er obsiegte in den Vorinstanzen. Auch der </w:t>
            </w:r>
            <w:r>
              <w:rPr>
                <w:sz w:val="20"/>
                <w:szCs w:val="20"/>
              </w:rPr>
              <w:t>U.S. Supreme Court</w:t>
            </w:r>
            <w:r w:rsidRPr="00BE3728">
              <w:rPr>
                <w:sz w:val="20"/>
                <w:szCs w:val="20"/>
              </w:rPr>
              <w:t xml:space="preserve"> hob die Lizenz der Stadt auf und verbot den Betrieb des Fährdienstes in dem Bereich, wo die Lizenz wirkte. Der </w:t>
            </w:r>
            <w:r>
              <w:rPr>
                <w:sz w:val="20"/>
                <w:szCs w:val="20"/>
              </w:rPr>
              <w:t>U.S. Supreme Court</w:t>
            </w:r>
            <w:r w:rsidRPr="00BE3728">
              <w:rPr>
                <w:sz w:val="20"/>
                <w:szCs w:val="20"/>
              </w:rPr>
              <w:t xml:space="preserve"> beschränkte indes sein Urteil: Die Stadt und </w:t>
            </w:r>
            <w:r>
              <w:rPr>
                <w:sz w:val="20"/>
                <w:szCs w:val="20"/>
              </w:rPr>
              <w:t>ihr</w:t>
            </w:r>
            <w:r w:rsidRPr="00BE3728">
              <w:rPr>
                <w:sz w:val="20"/>
                <w:szCs w:val="20"/>
              </w:rPr>
              <w:t xml:space="preserve"> Fährdienst könnten unter anderen Lizenzen weiterwirken</w:t>
            </w:r>
            <w:r>
              <w:rPr>
                <w:sz w:val="20"/>
                <w:szCs w:val="20"/>
              </w:rPr>
              <w:t> </w:t>
            </w:r>
            <w:r w:rsidRPr="00BE3728">
              <w:rPr>
                <w:sz w:val="20"/>
                <w:szCs w:val="20"/>
              </w:rPr>
              <w:t xml:space="preserve">– d.h. an Ohio-Land anzulegen. Aber das Recht, Personen und Eigentum zwischen Cincinnati und Newport zu transportieren, </w:t>
            </w:r>
            <w:r>
              <w:rPr>
                <w:sz w:val="20"/>
                <w:szCs w:val="20"/>
              </w:rPr>
              <w:t>liege</w:t>
            </w:r>
            <w:r w:rsidRPr="00BE3728">
              <w:rPr>
                <w:sz w:val="20"/>
                <w:szCs w:val="20"/>
              </w:rPr>
              <w:t xml:space="preserve"> ausschließlich beim Nachlass des ursprünglichen Lizenzinhabers.</w:t>
            </w:r>
            <w:r w:rsidRPr="00BE3728">
              <w:rPr>
                <w:rStyle w:val="Funotenzeichen"/>
                <w:sz w:val="20"/>
                <w:szCs w:val="20"/>
              </w:rPr>
              <w:footnoteReference w:id="161"/>
            </w:r>
          </w:p>
          <w:p w14:paraId="7A118B81" w14:textId="77777777" w:rsidR="00074551" w:rsidRPr="00BE3728" w:rsidRDefault="00074551" w:rsidP="00367133">
            <w:pPr>
              <w:jc w:val="both"/>
              <w:rPr>
                <w:sz w:val="20"/>
                <w:szCs w:val="20"/>
              </w:rPr>
            </w:pPr>
          </w:p>
          <w:p w14:paraId="0E21DBB6" w14:textId="77777777" w:rsidR="00074551" w:rsidRPr="00E50B51" w:rsidRDefault="00074551" w:rsidP="00367133">
            <w:pPr>
              <w:jc w:val="both"/>
              <w:rPr>
                <w:sz w:val="20"/>
                <w:szCs w:val="20"/>
              </w:rPr>
            </w:pPr>
          </w:p>
        </w:tc>
        <w:tc>
          <w:tcPr>
            <w:tcW w:w="1822" w:type="pct"/>
          </w:tcPr>
          <w:p w14:paraId="43F694BB" w14:textId="77777777" w:rsidR="00074551" w:rsidRPr="00B45592" w:rsidRDefault="00074551" w:rsidP="00367133">
            <w:pPr>
              <w:jc w:val="both"/>
              <w:rPr>
                <w:i/>
                <w:sz w:val="20"/>
                <w:szCs w:val="20"/>
              </w:rPr>
            </w:pPr>
            <w:r w:rsidRPr="00B45592">
              <w:rPr>
                <w:i/>
                <w:sz w:val="20"/>
                <w:szCs w:val="20"/>
              </w:rPr>
              <w:t>LexisNexis-Klassifikation:</w:t>
            </w:r>
            <w:r w:rsidRPr="00B45592">
              <w:rPr>
                <w:sz w:val="20"/>
                <w:szCs w:val="20"/>
              </w:rPr>
              <w:t xml:space="preserve"> </w:t>
            </w:r>
            <w:r w:rsidRPr="00B45592">
              <w:rPr>
                <w:i/>
                <w:sz w:val="20"/>
                <w:szCs w:val="20"/>
              </w:rPr>
              <w:t xml:space="preserve">Constitutional Law › </w:t>
            </w:r>
            <w:proofErr w:type="spellStart"/>
            <w:r w:rsidRPr="00B45592">
              <w:rPr>
                <w:i/>
                <w:sz w:val="20"/>
                <w:szCs w:val="20"/>
              </w:rPr>
              <w:t>Congressional</w:t>
            </w:r>
            <w:proofErr w:type="spellEnd"/>
            <w:r w:rsidRPr="00B45592">
              <w:rPr>
                <w:i/>
                <w:sz w:val="20"/>
                <w:szCs w:val="20"/>
              </w:rPr>
              <w:t xml:space="preserve"> </w:t>
            </w:r>
            <w:proofErr w:type="spellStart"/>
            <w:r w:rsidRPr="00B45592">
              <w:rPr>
                <w:i/>
                <w:sz w:val="20"/>
                <w:szCs w:val="20"/>
              </w:rPr>
              <w:t>Duties</w:t>
            </w:r>
            <w:proofErr w:type="spellEnd"/>
            <w:r w:rsidRPr="00B45592">
              <w:rPr>
                <w:i/>
                <w:sz w:val="20"/>
                <w:szCs w:val="20"/>
              </w:rPr>
              <w:t xml:space="preserve"> &amp; Powers › Commerce </w:t>
            </w:r>
            <w:proofErr w:type="spellStart"/>
            <w:r w:rsidRPr="00B45592">
              <w:rPr>
                <w:i/>
                <w:sz w:val="20"/>
                <w:szCs w:val="20"/>
              </w:rPr>
              <w:t>Clause</w:t>
            </w:r>
            <w:proofErr w:type="spellEnd"/>
            <w:r w:rsidRPr="00B45592">
              <w:rPr>
                <w:i/>
                <w:sz w:val="20"/>
                <w:szCs w:val="20"/>
              </w:rPr>
              <w:t xml:space="preserve"> › General </w:t>
            </w:r>
            <w:proofErr w:type="spellStart"/>
            <w:r w:rsidRPr="00B45592">
              <w:rPr>
                <w:i/>
                <w:sz w:val="20"/>
                <w:szCs w:val="20"/>
              </w:rPr>
              <w:t>Overview</w:t>
            </w:r>
            <w:proofErr w:type="spellEnd"/>
          </w:p>
          <w:p w14:paraId="65B4ABF0" w14:textId="77777777" w:rsidR="00074551" w:rsidRPr="00B45592" w:rsidRDefault="00074551" w:rsidP="00367133">
            <w:pPr>
              <w:jc w:val="both"/>
              <w:rPr>
                <w:sz w:val="20"/>
                <w:szCs w:val="20"/>
              </w:rPr>
            </w:pPr>
          </w:p>
          <w:p w14:paraId="5F350681" w14:textId="59CFBC38" w:rsidR="00074551" w:rsidRDefault="00074551" w:rsidP="00367133">
            <w:pPr>
              <w:jc w:val="both"/>
              <w:rPr>
                <w:sz w:val="20"/>
                <w:szCs w:val="20"/>
              </w:rPr>
            </w:pPr>
            <w:r w:rsidRPr="00BE3728">
              <w:rPr>
                <w:sz w:val="20"/>
                <w:szCs w:val="20"/>
              </w:rPr>
              <w:t>Der Kongress hat grundsätzlich die Kompetenz, den Handel mit anderen Ländern</w:t>
            </w:r>
            <w:r>
              <w:rPr>
                <w:sz w:val="20"/>
                <w:szCs w:val="20"/>
              </w:rPr>
              <w:t xml:space="preserve"> sowie</w:t>
            </w:r>
            <w:r w:rsidRPr="00BE3728">
              <w:rPr>
                <w:sz w:val="20"/>
                <w:szCs w:val="20"/>
              </w:rPr>
              <w:t xml:space="preserve"> zwischen Bundesstaaten zu regulieren nach </w:t>
            </w:r>
            <w:r w:rsidR="00023A37">
              <w:rPr>
                <w:sz w:val="20"/>
                <w:szCs w:val="20"/>
              </w:rPr>
              <w:t xml:space="preserve">U.S. </w:t>
            </w:r>
            <w:proofErr w:type="spellStart"/>
            <w:r w:rsidR="00023A37">
              <w:rPr>
                <w:sz w:val="20"/>
                <w:szCs w:val="20"/>
              </w:rPr>
              <w:t>Const</w:t>
            </w:r>
            <w:proofErr w:type="spellEnd"/>
            <w:r w:rsidR="00023A37">
              <w:rPr>
                <w:sz w:val="20"/>
                <w:szCs w:val="20"/>
              </w:rPr>
              <w:t>. art. I, § 8, cl. 4.</w:t>
            </w:r>
            <w:r w:rsidRPr="00BE3728">
              <w:rPr>
                <w:rStyle w:val="Funotenzeichen"/>
                <w:sz w:val="20"/>
                <w:szCs w:val="20"/>
              </w:rPr>
              <w:footnoteReference w:id="162"/>
            </w:r>
          </w:p>
          <w:p w14:paraId="1047676C" w14:textId="77777777" w:rsidR="00074551" w:rsidRPr="00BE3728" w:rsidRDefault="00074551" w:rsidP="00367133">
            <w:pPr>
              <w:jc w:val="both"/>
              <w:rPr>
                <w:sz w:val="20"/>
                <w:szCs w:val="20"/>
              </w:rPr>
            </w:pPr>
          </w:p>
          <w:p w14:paraId="1E574492" w14:textId="77777777" w:rsidR="00074551" w:rsidRPr="00BE3728" w:rsidRDefault="00074551" w:rsidP="00367133">
            <w:pPr>
              <w:jc w:val="both"/>
              <w:rPr>
                <w:sz w:val="20"/>
                <w:szCs w:val="20"/>
              </w:rPr>
            </w:pPr>
            <w:r w:rsidRPr="00BE3728">
              <w:rPr>
                <w:sz w:val="20"/>
                <w:szCs w:val="20"/>
              </w:rPr>
              <w:t xml:space="preserve">Zwar habe der Kongress die ausschließliche Zuständigkeit, Handel zu regeln. Aber die Schifffahrt falle nicht immer in diese ausschließliche Zuständigkeit – anders: die Polizeigewalt der Bundesstaaten. Und nicht jede Schifffahrt sei auch Handel, also ausschließliche Zuständigkeit des Kongresses. Schließlich müssten Bundesstaaten ihre Straßen und öffentlichen Flüsse entwickeln und kontrollieren sowie ihre Fischereien und i. w. S. auch die Gesundheit schützen können. Eine ausschließliche Zuständigkeit des Kongresses bedrohe diese Kompetenz der Bundesstaaten, die sich unter zwei Gesichtspunkten zusammenfassen lässt: Das Recht, das Eigentum und das Glück ihrer Bürger zu schützen – und dieses zu fördern („in a </w:t>
            </w:r>
            <w:proofErr w:type="spellStart"/>
            <w:r w:rsidRPr="00BE3728">
              <w:rPr>
                <w:sz w:val="20"/>
                <w:szCs w:val="20"/>
              </w:rPr>
              <w:t>word</w:t>
            </w:r>
            <w:proofErr w:type="spellEnd"/>
            <w:r w:rsidRPr="00BE3728">
              <w:rPr>
                <w:sz w:val="20"/>
                <w:szCs w:val="20"/>
              </w:rPr>
              <w:t xml:space="preserve">, to </w:t>
            </w:r>
            <w:proofErr w:type="spellStart"/>
            <w:r w:rsidRPr="00BE3728">
              <w:rPr>
                <w:sz w:val="20"/>
                <w:szCs w:val="20"/>
              </w:rPr>
              <w:t>guard</w:t>
            </w:r>
            <w:proofErr w:type="spellEnd"/>
            <w:r w:rsidRPr="00BE3728">
              <w:rPr>
                <w:sz w:val="20"/>
                <w:szCs w:val="20"/>
              </w:rPr>
              <w:t xml:space="preserve"> and </w:t>
            </w:r>
            <w:proofErr w:type="spellStart"/>
            <w:r w:rsidRPr="00BE3728">
              <w:rPr>
                <w:sz w:val="20"/>
                <w:szCs w:val="20"/>
              </w:rPr>
              <w:t>protect</w:t>
            </w:r>
            <w:proofErr w:type="spellEnd"/>
            <w:r w:rsidRPr="00BE3728">
              <w:rPr>
                <w:sz w:val="20"/>
                <w:szCs w:val="20"/>
              </w:rPr>
              <w:t xml:space="preserve"> the </w:t>
            </w:r>
            <w:proofErr w:type="spellStart"/>
            <w:r w:rsidRPr="00BE3728">
              <w:rPr>
                <w:sz w:val="20"/>
                <w:szCs w:val="20"/>
              </w:rPr>
              <w:t>rights</w:t>
            </w:r>
            <w:proofErr w:type="spellEnd"/>
            <w:r w:rsidRPr="00BE3728">
              <w:rPr>
                <w:sz w:val="20"/>
                <w:szCs w:val="20"/>
              </w:rPr>
              <w:t xml:space="preserve">, </w:t>
            </w:r>
            <w:proofErr w:type="spellStart"/>
            <w:r w:rsidRPr="00BE3728">
              <w:rPr>
                <w:sz w:val="20"/>
                <w:szCs w:val="20"/>
              </w:rPr>
              <w:t>property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163"/>
            </w:r>
            <w:r w:rsidRPr="00BE3728">
              <w:rPr>
                <w:sz w:val="20"/>
                <w:szCs w:val="20"/>
              </w:rPr>
              <w:t>).</w:t>
            </w:r>
          </w:p>
          <w:p w14:paraId="14EE6092" w14:textId="77777777" w:rsidR="00074551" w:rsidRPr="00E50B51" w:rsidRDefault="00074551" w:rsidP="00367133">
            <w:pPr>
              <w:jc w:val="both"/>
              <w:rPr>
                <w:sz w:val="20"/>
                <w:szCs w:val="20"/>
              </w:rPr>
            </w:pPr>
          </w:p>
        </w:tc>
      </w:tr>
      <w:tr w:rsidR="00074551" w:rsidRPr="00E50B51" w14:paraId="3C96AF72" w14:textId="77777777" w:rsidTr="00BE689F">
        <w:trPr>
          <w:cantSplit/>
          <w:trHeight w:val="3175"/>
        </w:trPr>
        <w:tc>
          <w:tcPr>
            <w:tcW w:w="293" w:type="pct"/>
          </w:tcPr>
          <w:p w14:paraId="253BB76B"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EF85743" w14:textId="77777777" w:rsidR="00074551" w:rsidRPr="00B45592" w:rsidRDefault="00074551" w:rsidP="00367133">
            <w:pPr>
              <w:ind w:left="113" w:right="416"/>
              <w:jc w:val="both"/>
              <w:rPr>
                <w:i/>
                <w:sz w:val="20"/>
                <w:szCs w:val="20"/>
                <w:lang w:val="en-US"/>
              </w:rPr>
            </w:pPr>
            <w:r w:rsidRPr="00B45592">
              <w:rPr>
                <w:i/>
                <w:sz w:val="20"/>
                <w:szCs w:val="20"/>
              </w:rPr>
              <w:t>Dick v. United States</w:t>
            </w:r>
          </w:p>
        </w:tc>
        <w:tc>
          <w:tcPr>
            <w:tcW w:w="197" w:type="pct"/>
            <w:textDirection w:val="tbRl"/>
            <w:vAlign w:val="center"/>
          </w:tcPr>
          <w:p w14:paraId="1838ABEA" w14:textId="77777777" w:rsidR="00074551" w:rsidRPr="00E50B51" w:rsidRDefault="00074551" w:rsidP="00367133">
            <w:pPr>
              <w:ind w:left="113" w:right="113"/>
              <w:jc w:val="both"/>
              <w:rPr>
                <w:sz w:val="20"/>
                <w:szCs w:val="20"/>
                <w:lang w:val="en-US"/>
              </w:rPr>
            </w:pPr>
            <w:r w:rsidRPr="00BE3728">
              <w:rPr>
                <w:sz w:val="20"/>
                <w:szCs w:val="20"/>
              </w:rPr>
              <w:t>208 U.S. 340</w:t>
            </w:r>
          </w:p>
        </w:tc>
        <w:tc>
          <w:tcPr>
            <w:tcW w:w="306" w:type="pct"/>
            <w:textDirection w:val="tbRl"/>
            <w:vAlign w:val="center"/>
          </w:tcPr>
          <w:p w14:paraId="5127EC2D" w14:textId="77777777" w:rsidR="00074551" w:rsidRPr="00E50B51" w:rsidRDefault="00074551" w:rsidP="00367133">
            <w:pPr>
              <w:ind w:left="113" w:right="113"/>
              <w:jc w:val="both"/>
              <w:rPr>
                <w:sz w:val="20"/>
                <w:szCs w:val="20"/>
                <w:lang w:val="en-US"/>
              </w:rPr>
            </w:pPr>
            <w:r w:rsidRPr="00BE3728">
              <w:rPr>
                <w:sz w:val="20"/>
                <w:szCs w:val="20"/>
              </w:rPr>
              <w:t>24. Februar 1908</w:t>
            </w:r>
          </w:p>
        </w:tc>
        <w:tc>
          <w:tcPr>
            <w:tcW w:w="401" w:type="pct"/>
          </w:tcPr>
          <w:p w14:paraId="039C4EB9"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1E84B08D" w14:textId="77777777" w:rsidR="00074551" w:rsidRPr="00BE3728" w:rsidRDefault="00074551" w:rsidP="00367133">
            <w:pPr>
              <w:jc w:val="both"/>
              <w:rPr>
                <w:sz w:val="20"/>
                <w:szCs w:val="20"/>
              </w:rPr>
            </w:pPr>
            <w:r w:rsidRPr="00B45592">
              <w:rPr>
                <w:sz w:val="20"/>
                <w:szCs w:val="20"/>
                <w:lang w:val="en-IE"/>
              </w:rPr>
              <w:t xml:space="preserve">Der U.S. Supreme Court </w:t>
            </w:r>
            <w:proofErr w:type="spellStart"/>
            <w:r w:rsidRPr="00B45592">
              <w:rPr>
                <w:sz w:val="20"/>
                <w:szCs w:val="20"/>
                <w:lang w:val="en-IE"/>
              </w:rPr>
              <w:t>bestätigte</w:t>
            </w:r>
            <w:proofErr w:type="spellEnd"/>
            <w:r w:rsidRPr="00B45592">
              <w:rPr>
                <w:sz w:val="20"/>
                <w:szCs w:val="20"/>
                <w:lang w:val="en-IE"/>
              </w:rPr>
              <w:t xml:space="preserve"> das </w:t>
            </w:r>
            <w:proofErr w:type="spellStart"/>
            <w:r w:rsidRPr="00B45592">
              <w:rPr>
                <w:sz w:val="20"/>
                <w:szCs w:val="20"/>
                <w:lang w:val="en-IE"/>
              </w:rPr>
              <w:t>Urteil</w:t>
            </w:r>
            <w:proofErr w:type="spellEnd"/>
            <w:r w:rsidRPr="00B45592">
              <w:rPr>
                <w:sz w:val="20"/>
                <w:szCs w:val="20"/>
                <w:lang w:val="en-IE"/>
              </w:rPr>
              <w:t xml:space="preserve"> des </w:t>
            </w:r>
            <w:r w:rsidRPr="00B45592">
              <w:rPr>
                <w:i/>
                <w:sz w:val="20"/>
                <w:szCs w:val="20"/>
                <w:lang w:val="en-IE"/>
              </w:rPr>
              <w:t>U.S. District Court for the District of Idaho</w:t>
            </w:r>
            <w:r w:rsidRPr="00B45592">
              <w:rPr>
                <w:sz w:val="20"/>
                <w:szCs w:val="20"/>
                <w:lang w:val="en-IE"/>
              </w:rPr>
              <w:t xml:space="preserve">. </w:t>
            </w:r>
            <w:r>
              <w:rPr>
                <w:sz w:val="20"/>
                <w:szCs w:val="20"/>
              </w:rPr>
              <w:t>Dieser</w:t>
            </w:r>
            <w:r w:rsidRPr="00BE3728">
              <w:rPr>
                <w:sz w:val="20"/>
                <w:szCs w:val="20"/>
              </w:rPr>
              <w:t xml:space="preserve"> hatte den Angeklagten bestraft, weil er rechtswidrig alkoholische Getränke in ein ehemaliges Indianergebiet eingeführt hatte. Trotz der Abtretung des Gebiets vom Stamm an den Bundesstaat verpflichtete ein Vertrag zwischen den Vereinigten Staaten und dem Stamm</w:t>
            </w:r>
            <w:r w:rsidRPr="00BE3728">
              <w:rPr>
                <w:rStyle w:val="Funotenzeichen"/>
                <w:sz w:val="20"/>
                <w:szCs w:val="20"/>
              </w:rPr>
              <w:footnoteReference w:id="164"/>
            </w:r>
            <w:r w:rsidRPr="00BE3728">
              <w:rPr>
                <w:sz w:val="20"/>
                <w:szCs w:val="20"/>
              </w:rPr>
              <w:t xml:space="preserve"> die USA dazu, für eine bestimmte Zeit nach der Abtretung zu unterbinden, dass in den betreffenden Gebieten Alkohol eingeführt werde. Für diese Zeit liege die Zuständigkeit in Indianerangelegenheiten ausschließlich beim Kongress. </w:t>
            </w:r>
            <w:r>
              <w:rPr>
                <w:sz w:val="20"/>
                <w:szCs w:val="20"/>
              </w:rPr>
              <w:t>Damit verbundene</w:t>
            </w:r>
            <w:r w:rsidRPr="00BE3728">
              <w:rPr>
                <w:sz w:val="20"/>
                <w:szCs w:val="20"/>
              </w:rPr>
              <w:t xml:space="preserve"> vertragliche Vereinbarung</w:t>
            </w:r>
            <w:r>
              <w:rPr>
                <w:sz w:val="20"/>
                <w:szCs w:val="20"/>
              </w:rPr>
              <w:t>en</w:t>
            </w:r>
            <w:r w:rsidRPr="00BE3728">
              <w:rPr>
                <w:sz w:val="20"/>
                <w:szCs w:val="20"/>
              </w:rPr>
              <w:t xml:space="preserve">, einschließlich des Alkoholeinführverbots, </w:t>
            </w:r>
            <w:r>
              <w:rPr>
                <w:sz w:val="20"/>
                <w:szCs w:val="20"/>
              </w:rPr>
              <w:t>hätten</w:t>
            </w:r>
            <w:r w:rsidRPr="00BE3728">
              <w:rPr>
                <w:sz w:val="20"/>
                <w:szCs w:val="20"/>
              </w:rPr>
              <w:t xml:space="preserve"> somit Vorrang vor bundesstaatlichem Recht. Damit war die Verurteilung des Angeklagten gerechtfertigt.</w:t>
            </w:r>
            <w:r w:rsidRPr="00BE3728">
              <w:rPr>
                <w:rStyle w:val="Funotenzeichen"/>
                <w:sz w:val="20"/>
                <w:szCs w:val="20"/>
              </w:rPr>
              <w:footnoteReference w:id="165"/>
            </w:r>
          </w:p>
          <w:p w14:paraId="6375E48B" w14:textId="77777777" w:rsidR="00074551" w:rsidRPr="00E50B51" w:rsidRDefault="00074551" w:rsidP="00367133">
            <w:pPr>
              <w:jc w:val="both"/>
              <w:rPr>
                <w:sz w:val="20"/>
                <w:szCs w:val="20"/>
              </w:rPr>
            </w:pPr>
          </w:p>
        </w:tc>
        <w:tc>
          <w:tcPr>
            <w:tcW w:w="1822" w:type="pct"/>
          </w:tcPr>
          <w:p w14:paraId="3CCD81BC" w14:textId="77777777" w:rsidR="00074551" w:rsidRPr="00B45592" w:rsidRDefault="00074551" w:rsidP="00367133">
            <w:pPr>
              <w:jc w:val="both"/>
              <w:rPr>
                <w:i/>
                <w:sz w:val="20"/>
                <w:szCs w:val="20"/>
              </w:rPr>
            </w:pPr>
            <w:r w:rsidRPr="00B45592">
              <w:rPr>
                <w:i/>
                <w:sz w:val="20"/>
                <w:szCs w:val="20"/>
              </w:rPr>
              <w:t>LexisNexis-Klassifikation:</w:t>
            </w:r>
            <w:r w:rsidRPr="00B45592">
              <w:rPr>
                <w:sz w:val="20"/>
                <w:szCs w:val="20"/>
              </w:rPr>
              <w:t xml:space="preserve"> </w:t>
            </w:r>
            <w:r w:rsidRPr="00B45592">
              <w:rPr>
                <w:i/>
                <w:sz w:val="20"/>
                <w:szCs w:val="20"/>
              </w:rPr>
              <w:t xml:space="preserve">Constitutional Law › </w:t>
            </w:r>
            <w:proofErr w:type="spellStart"/>
            <w:r w:rsidRPr="00B45592">
              <w:rPr>
                <w:i/>
                <w:sz w:val="20"/>
                <w:szCs w:val="20"/>
              </w:rPr>
              <w:t>Congressional</w:t>
            </w:r>
            <w:proofErr w:type="spellEnd"/>
            <w:r w:rsidRPr="00B45592">
              <w:rPr>
                <w:i/>
                <w:sz w:val="20"/>
                <w:szCs w:val="20"/>
              </w:rPr>
              <w:t xml:space="preserve"> </w:t>
            </w:r>
            <w:proofErr w:type="spellStart"/>
            <w:r w:rsidRPr="00B45592">
              <w:rPr>
                <w:i/>
                <w:sz w:val="20"/>
                <w:szCs w:val="20"/>
              </w:rPr>
              <w:t>Duties</w:t>
            </w:r>
            <w:proofErr w:type="spellEnd"/>
            <w:r w:rsidRPr="00B45592">
              <w:rPr>
                <w:i/>
                <w:sz w:val="20"/>
                <w:szCs w:val="20"/>
              </w:rPr>
              <w:t xml:space="preserve"> &amp; Powers › Commerce </w:t>
            </w:r>
            <w:proofErr w:type="spellStart"/>
            <w:r w:rsidRPr="00B45592">
              <w:rPr>
                <w:i/>
                <w:sz w:val="20"/>
                <w:szCs w:val="20"/>
              </w:rPr>
              <w:t>Clause</w:t>
            </w:r>
            <w:proofErr w:type="spellEnd"/>
            <w:r w:rsidRPr="00B45592">
              <w:rPr>
                <w:i/>
                <w:sz w:val="20"/>
                <w:szCs w:val="20"/>
              </w:rPr>
              <w:t xml:space="preserve"> › Commerce </w:t>
            </w:r>
            <w:proofErr w:type="spellStart"/>
            <w:r w:rsidRPr="00B45592">
              <w:rPr>
                <w:i/>
                <w:sz w:val="20"/>
                <w:szCs w:val="20"/>
              </w:rPr>
              <w:t>with</w:t>
            </w:r>
            <w:proofErr w:type="spellEnd"/>
            <w:r w:rsidRPr="00B45592">
              <w:rPr>
                <w:i/>
                <w:sz w:val="20"/>
                <w:szCs w:val="20"/>
              </w:rPr>
              <w:t xml:space="preserve"> Other </w:t>
            </w:r>
            <w:proofErr w:type="spellStart"/>
            <w:r w:rsidRPr="00B45592">
              <w:rPr>
                <w:i/>
                <w:sz w:val="20"/>
                <w:szCs w:val="20"/>
              </w:rPr>
              <w:t>Nations</w:t>
            </w:r>
            <w:proofErr w:type="spellEnd"/>
          </w:p>
          <w:p w14:paraId="32F6EFF3" w14:textId="77777777" w:rsidR="00074551" w:rsidRDefault="00074551" w:rsidP="00367133">
            <w:pPr>
              <w:jc w:val="both"/>
              <w:rPr>
                <w:sz w:val="20"/>
                <w:szCs w:val="20"/>
              </w:rPr>
            </w:pPr>
            <w:r w:rsidRPr="00E05C4B">
              <w:rPr>
                <w:sz w:val="20"/>
                <w:szCs w:val="20"/>
              </w:rPr>
              <w:br/>
            </w:r>
            <w:r w:rsidRPr="00BE3728">
              <w:rPr>
                <w:sz w:val="20"/>
                <w:szCs w:val="20"/>
              </w:rPr>
              <w:t xml:space="preserve">Der Kongress hat die ausschließliche Kompetenz, den Handel mit den Indianerstämmen zu regeln. Diese Kompetenz ist ebenso umfassend wie die Befugnis, den Handel </w:t>
            </w:r>
            <w:r>
              <w:rPr>
                <w:sz w:val="20"/>
                <w:szCs w:val="20"/>
              </w:rPr>
              <w:t xml:space="preserve">mit </w:t>
            </w:r>
            <w:r w:rsidRPr="00BE3728">
              <w:rPr>
                <w:sz w:val="20"/>
                <w:szCs w:val="20"/>
              </w:rPr>
              <w:t>anderen Nationen zu regeln.</w:t>
            </w:r>
            <w:r w:rsidRPr="00BE3728">
              <w:rPr>
                <w:rStyle w:val="Funotenzeichen"/>
                <w:sz w:val="20"/>
                <w:szCs w:val="20"/>
              </w:rPr>
              <w:footnoteReference w:id="166"/>
            </w:r>
          </w:p>
          <w:p w14:paraId="46601146" w14:textId="77777777" w:rsidR="00074551" w:rsidRPr="00BE3728" w:rsidRDefault="00074551" w:rsidP="00367133">
            <w:pPr>
              <w:jc w:val="both"/>
              <w:rPr>
                <w:sz w:val="20"/>
                <w:szCs w:val="20"/>
              </w:rPr>
            </w:pPr>
          </w:p>
          <w:p w14:paraId="6E8375A8" w14:textId="77777777" w:rsidR="00074551" w:rsidRDefault="00074551" w:rsidP="00367133">
            <w:pPr>
              <w:rPr>
                <w:sz w:val="20"/>
                <w:szCs w:val="20"/>
              </w:rPr>
            </w:pPr>
            <w:r w:rsidRPr="00BE3728">
              <w:rPr>
                <w:sz w:val="20"/>
                <w:szCs w:val="20"/>
              </w:rPr>
              <w:t xml:space="preserve">Das Gesetz konkretisierte die höchsten Prinzipien der öffentlichen Politik. </w:t>
            </w:r>
            <w:proofErr w:type="spellStart"/>
            <w:r w:rsidRPr="00BE3728">
              <w:rPr>
                <w:sz w:val="20"/>
                <w:szCs w:val="20"/>
                <w:lang w:val="en-US"/>
              </w:rPr>
              <w:t>Die</w:t>
            </w:r>
            <w:r>
              <w:rPr>
                <w:sz w:val="20"/>
                <w:szCs w:val="20"/>
                <w:lang w:val="en-US"/>
              </w:rPr>
              <w:t>se</w:t>
            </w:r>
            <w:proofErr w:type="spellEnd"/>
            <w:r w:rsidRPr="00BE3728">
              <w:rPr>
                <w:sz w:val="20"/>
                <w:szCs w:val="20"/>
                <w:lang w:val="en-US"/>
              </w:rPr>
              <w:t xml:space="preserve"> </w:t>
            </w:r>
            <w:proofErr w:type="spellStart"/>
            <w:r w:rsidRPr="00BE3728">
              <w:rPr>
                <w:sz w:val="20"/>
                <w:szCs w:val="20"/>
                <w:lang w:val="en-US"/>
              </w:rPr>
              <w:t>lauten</w:t>
            </w:r>
            <w:proofErr w:type="spellEnd"/>
            <w:r w:rsidRPr="00BE3728">
              <w:rPr>
                <w:sz w:val="20"/>
                <w:szCs w:val="20"/>
                <w:lang w:val="en-US"/>
              </w:rPr>
              <w:t xml:space="preserve">: Ein </w:t>
            </w:r>
            <w:proofErr w:type="spellStart"/>
            <w:r w:rsidRPr="00BE3728">
              <w:rPr>
                <w:sz w:val="20"/>
                <w:szCs w:val="20"/>
                <w:lang w:val="en-US"/>
              </w:rPr>
              <w:t>angemessen</w:t>
            </w:r>
            <w:r>
              <w:rPr>
                <w:sz w:val="20"/>
                <w:szCs w:val="20"/>
                <w:lang w:val="en-US"/>
              </w:rPr>
              <w:t>e</w:t>
            </w:r>
            <w:r w:rsidRPr="00BE3728">
              <w:rPr>
                <w:sz w:val="20"/>
                <w:szCs w:val="20"/>
                <w:lang w:val="en-US"/>
              </w:rPr>
              <w:t>s</w:t>
            </w:r>
            <w:proofErr w:type="spellEnd"/>
            <w:r w:rsidRPr="00BE3728">
              <w:rPr>
                <w:sz w:val="20"/>
                <w:szCs w:val="20"/>
                <w:lang w:val="en-US"/>
              </w:rPr>
              <w:t xml:space="preserve"> </w:t>
            </w:r>
            <w:proofErr w:type="spellStart"/>
            <w:r w:rsidRPr="00BE3728">
              <w:rPr>
                <w:sz w:val="20"/>
                <w:szCs w:val="20"/>
                <w:lang w:val="en-US"/>
              </w:rPr>
              <w:t>Regierungshandeln</w:t>
            </w:r>
            <w:proofErr w:type="spellEnd"/>
            <w:r w:rsidRPr="00BE3728">
              <w:rPr>
                <w:sz w:val="20"/>
                <w:szCs w:val="20"/>
                <w:lang w:val="en-US"/>
              </w:rPr>
              <w:t xml:space="preserve"> </w:t>
            </w:r>
            <w:proofErr w:type="spellStart"/>
            <w:r w:rsidRPr="00BE3728">
              <w:rPr>
                <w:sz w:val="20"/>
                <w:szCs w:val="20"/>
                <w:lang w:val="en-US"/>
              </w:rPr>
              <w:t>sowie</w:t>
            </w:r>
            <w:proofErr w:type="spellEnd"/>
            <w:r w:rsidRPr="00BE3728">
              <w:rPr>
                <w:sz w:val="20"/>
                <w:szCs w:val="20"/>
                <w:lang w:val="en-US"/>
              </w:rPr>
              <w:t xml:space="preserve"> die Sicherheit und das Glück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fördern</w:t>
            </w:r>
            <w:proofErr w:type="spellEnd"/>
            <w:r w:rsidRPr="00BE3728">
              <w:rPr>
                <w:sz w:val="20"/>
                <w:szCs w:val="20"/>
                <w:lang w:val="en-US"/>
              </w:rPr>
              <w:t xml:space="preserve">, </w:t>
            </w:r>
            <w:proofErr w:type="spellStart"/>
            <w:r w:rsidRPr="00BE3728">
              <w:rPr>
                <w:sz w:val="20"/>
                <w:szCs w:val="20"/>
                <w:lang w:val="en-US"/>
              </w:rPr>
              <w:t>hier</w:t>
            </w:r>
            <w:proofErr w:type="spellEnd"/>
            <w:r w:rsidRPr="00BE3728">
              <w:rPr>
                <w:sz w:val="20"/>
                <w:szCs w:val="20"/>
                <w:lang w:val="en-US"/>
              </w:rPr>
              <w:t xml:space="preserve"> das der </w:t>
            </w:r>
            <w:proofErr w:type="spellStart"/>
            <w:r w:rsidRPr="00BE3728">
              <w:rPr>
                <w:sz w:val="20"/>
                <w:szCs w:val="20"/>
                <w:lang w:val="en-US"/>
              </w:rPr>
              <w:t>Indianer</w:t>
            </w:r>
            <w:proofErr w:type="spellEnd"/>
            <w:r w:rsidRPr="00BE3728">
              <w:rPr>
                <w:sz w:val="20"/>
                <w:szCs w:val="20"/>
                <w:lang w:val="en-US"/>
              </w:rPr>
              <w:t xml:space="preserve"> („the highest considerations of public policy, whether we look to the proper government of the Indian tribes by the United States or to the safety and happiness of the </w:t>
            </w:r>
            <w:r w:rsidRPr="004331E3">
              <w:rPr>
                <w:sz w:val="20"/>
                <w:szCs w:val="20"/>
                <w:lang w:val="en-US"/>
              </w:rPr>
              <w:t xml:space="preserve">Indians </w:t>
            </w:r>
            <w:proofErr w:type="gramStart"/>
            <w:r w:rsidRPr="004331E3">
              <w:rPr>
                <w:sz w:val="20"/>
                <w:szCs w:val="20"/>
                <w:lang w:val="en-US"/>
              </w:rPr>
              <w:t>themselves“</w:t>
            </w:r>
            <w:proofErr w:type="gramEnd"/>
            <w:r w:rsidRPr="004331E3">
              <w:rPr>
                <w:rStyle w:val="Funotenzeichen"/>
                <w:sz w:val="20"/>
                <w:szCs w:val="20"/>
                <w:lang w:val="en-US"/>
              </w:rPr>
              <w:footnoteReference w:id="167"/>
            </w:r>
            <w:r w:rsidRPr="00B45592">
              <w:rPr>
                <w:sz w:val="20"/>
                <w:szCs w:val="20"/>
                <w:lang w:val="en-IE"/>
              </w:rPr>
              <w:t xml:space="preserve">). </w:t>
            </w:r>
            <w:r w:rsidRPr="00B45592">
              <w:rPr>
                <w:sz w:val="20"/>
                <w:szCs w:val="20"/>
              </w:rPr>
              <w:t>Konkret drückt sich dies in Art. 9 des Abkommens vom 1. Mai 1893 mit den Nez-</w:t>
            </w:r>
            <w:proofErr w:type="spellStart"/>
            <w:r w:rsidRPr="00B45592">
              <w:rPr>
                <w:sz w:val="20"/>
                <w:szCs w:val="20"/>
              </w:rPr>
              <w:t>Percé</w:t>
            </w:r>
            <w:proofErr w:type="spellEnd"/>
            <w:r w:rsidRPr="00B45592">
              <w:rPr>
                <w:sz w:val="20"/>
                <w:szCs w:val="20"/>
              </w:rPr>
              <w:t>-Indianern aus. Danach unterliegen alle drei Kategorien von Ländereien des ehemaligen Reservats für 25 Jahre dem bundesrechtlichen Alkoholeinführverbot: die vom Stamm an die Vereinigten Staaten abgetretenen Ländereien, die vom Stamm zurückbehaltenen Ländereien sowie die von den Vereinigten Staaten den einzelnen Stammesmitgliedern zugeteilten Ländereien.</w:t>
            </w:r>
            <w:r>
              <w:rPr>
                <w:sz w:val="20"/>
                <w:szCs w:val="20"/>
              </w:rPr>
              <w:t xml:space="preserve"> </w:t>
            </w:r>
            <w:r w:rsidRPr="004331E3">
              <w:rPr>
                <w:sz w:val="20"/>
                <w:szCs w:val="20"/>
              </w:rPr>
              <w:t xml:space="preserve">Das </w:t>
            </w:r>
            <w:r w:rsidRPr="00B45592">
              <w:rPr>
                <w:sz w:val="20"/>
                <w:szCs w:val="20"/>
              </w:rPr>
              <w:t>Alkoholeinführverbot</w:t>
            </w:r>
            <w:r w:rsidRPr="004331E3">
              <w:rPr>
                <w:sz w:val="20"/>
                <w:szCs w:val="20"/>
              </w:rPr>
              <w:t xml:space="preserve"> sei notwendig, damit die Indianer, die auf ihren Ländereien verblieben, vor schädlichen Einflüssen geschützt</w:t>
            </w:r>
            <w:r w:rsidRPr="00BE3728">
              <w:rPr>
                <w:sz w:val="20"/>
                <w:szCs w:val="20"/>
              </w:rPr>
              <w:t xml:space="preserve"> würden. Diese entstünden, wenn Bürger der Vereinigten Staaten die ihnen zugeteilten Ländereien für Alkoholexporte in die Indianergebiete nutz</w:t>
            </w:r>
            <w:r>
              <w:rPr>
                <w:sz w:val="20"/>
                <w:szCs w:val="20"/>
              </w:rPr>
              <w:t>t</w:t>
            </w:r>
            <w:r w:rsidRPr="00BE3728">
              <w:rPr>
                <w:sz w:val="20"/>
                <w:szCs w:val="20"/>
              </w:rPr>
              <w:t>en.</w:t>
            </w:r>
            <w:r w:rsidRPr="00BE3728">
              <w:rPr>
                <w:rStyle w:val="Funotenzeichen"/>
                <w:sz w:val="20"/>
                <w:szCs w:val="20"/>
              </w:rPr>
              <w:footnoteReference w:id="168"/>
            </w:r>
          </w:p>
          <w:p w14:paraId="444595F5" w14:textId="77777777" w:rsidR="00074551" w:rsidRPr="00E50B51" w:rsidRDefault="00074551" w:rsidP="00367133">
            <w:pPr>
              <w:spacing w:after="120"/>
              <w:rPr>
                <w:sz w:val="20"/>
                <w:szCs w:val="20"/>
              </w:rPr>
            </w:pPr>
          </w:p>
        </w:tc>
      </w:tr>
      <w:tr w:rsidR="00074551" w:rsidRPr="00E50B51" w14:paraId="39BDEAF0" w14:textId="77777777" w:rsidTr="00BE689F">
        <w:trPr>
          <w:cantSplit/>
          <w:trHeight w:val="3175"/>
        </w:trPr>
        <w:tc>
          <w:tcPr>
            <w:tcW w:w="293" w:type="pct"/>
          </w:tcPr>
          <w:p w14:paraId="7BD5814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8CD6AF7" w14:textId="77777777" w:rsidR="00074551" w:rsidRPr="00B45592" w:rsidRDefault="00074551" w:rsidP="00367133">
            <w:pPr>
              <w:ind w:left="113" w:right="416"/>
              <w:jc w:val="both"/>
              <w:rPr>
                <w:i/>
                <w:sz w:val="20"/>
                <w:szCs w:val="20"/>
                <w:lang w:val="en-US"/>
              </w:rPr>
            </w:pPr>
            <w:r w:rsidRPr="00B45592">
              <w:rPr>
                <w:i/>
                <w:sz w:val="20"/>
                <w:szCs w:val="20"/>
              </w:rPr>
              <w:t>Gibbons v. Ogden</w:t>
            </w:r>
          </w:p>
        </w:tc>
        <w:tc>
          <w:tcPr>
            <w:tcW w:w="197" w:type="pct"/>
            <w:textDirection w:val="tbRl"/>
            <w:vAlign w:val="center"/>
          </w:tcPr>
          <w:p w14:paraId="0B8D6E69" w14:textId="77777777" w:rsidR="00074551" w:rsidRPr="00E50B51" w:rsidRDefault="00074551" w:rsidP="00367133">
            <w:pPr>
              <w:ind w:left="113" w:right="113"/>
              <w:jc w:val="both"/>
              <w:rPr>
                <w:sz w:val="20"/>
                <w:szCs w:val="20"/>
                <w:lang w:val="en-US"/>
              </w:rPr>
            </w:pPr>
            <w:r w:rsidRPr="00BE3728">
              <w:rPr>
                <w:sz w:val="20"/>
                <w:szCs w:val="20"/>
              </w:rPr>
              <w:t>22 U.S. 1</w:t>
            </w:r>
          </w:p>
        </w:tc>
        <w:tc>
          <w:tcPr>
            <w:tcW w:w="306" w:type="pct"/>
            <w:textDirection w:val="tbRl"/>
            <w:vAlign w:val="center"/>
          </w:tcPr>
          <w:p w14:paraId="4BD15C1B" w14:textId="77777777" w:rsidR="00074551" w:rsidRPr="00E50B51" w:rsidRDefault="00074551" w:rsidP="00367133">
            <w:pPr>
              <w:ind w:left="113" w:right="113"/>
              <w:jc w:val="both"/>
              <w:rPr>
                <w:sz w:val="20"/>
                <w:szCs w:val="20"/>
                <w:lang w:val="en-US"/>
              </w:rPr>
            </w:pPr>
            <w:r w:rsidRPr="00BE3728">
              <w:rPr>
                <w:sz w:val="20"/>
                <w:szCs w:val="20"/>
              </w:rPr>
              <w:t>02. März 1824</w:t>
            </w:r>
          </w:p>
        </w:tc>
        <w:tc>
          <w:tcPr>
            <w:tcW w:w="401" w:type="pct"/>
          </w:tcPr>
          <w:p w14:paraId="39C746DC"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2CF6319A" w14:textId="5AD37071" w:rsidR="00074551" w:rsidRPr="00E50B51" w:rsidRDefault="00074551" w:rsidP="00367133">
            <w:pPr>
              <w:jc w:val="both"/>
              <w:rPr>
                <w:sz w:val="20"/>
                <w:szCs w:val="20"/>
              </w:rPr>
            </w:pPr>
            <w:r w:rsidRPr="00BE3728">
              <w:rPr>
                <w:sz w:val="20"/>
                <w:szCs w:val="20"/>
              </w:rPr>
              <w:t xml:space="preserve">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und Bundesgesetze gaben den Beklagten die uneingeschränkte Befugnis, Dampfschiffe in den Gewässern der Vereinigten Staaten zu navigieren. Ein Gesetz des Bundesstaats New York</w:t>
            </w:r>
            <w:r w:rsidRPr="00BE3728">
              <w:rPr>
                <w:rStyle w:val="Funotenzeichen"/>
                <w:sz w:val="20"/>
                <w:szCs w:val="20"/>
              </w:rPr>
              <w:footnoteReference w:id="169"/>
            </w:r>
            <w:r w:rsidRPr="00BE3728">
              <w:rPr>
                <w:sz w:val="20"/>
                <w:szCs w:val="20"/>
              </w:rPr>
              <w:t xml:space="preserve"> privilegierte ausgewählte Schiffe durch einen Lizenzmechanismus. Es kollidierte daher mit den Bundesgesetzen und verstieß so gegen </w:t>
            </w:r>
            <w:r w:rsidR="00023A37">
              <w:rPr>
                <w:sz w:val="20"/>
                <w:szCs w:val="20"/>
              </w:rPr>
              <w:t xml:space="preserve">U.S. </w:t>
            </w:r>
            <w:proofErr w:type="spellStart"/>
            <w:r w:rsidR="00023A37">
              <w:rPr>
                <w:sz w:val="20"/>
                <w:szCs w:val="20"/>
              </w:rPr>
              <w:t>Const</w:t>
            </w:r>
            <w:proofErr w:type="spellEnd"/>
            <w:r w:rsidR="00023A37">
              <w:rPr>
                <w:sz w:val="20"/>
                <w:szCs w:val="20"/>
              </w:rPr>
              <w:t>. art. I, § 10, cl. 3</w:t>
            </w:r>
            <w:r w:rsidRPr="00BE3728">
              <w:rPr>
                <w:sz w:val="20"/>
                <w:szCs w:val="20"/>
                <w:lang w:val="en-US"/>
              </w:rPr>
              <w:t xml:space="preserve"> (</w:t>
            </w:r>
            <w:r w:rsidRPr="00B45592">
              <w:rPr>
                <w:i/>
                <w:sz w:val="20"/>
                <w:szCs w:val="20"/>
                <w:lang w:val="en-US"/>
              </w:rPr>
              <w:t>Congressional Duties &amp; Powers</w:t>
            </w:r>
            <w:r w:rsidRPr="00BE3728">
              <w:rPr>
                <w:sz w:val="20"/>
                <w:szCs w:val="20"/>
                <w:lang w:val="en-US"/>
              </w:rPr>
              <w:t>)</w:t>
            </w:r>
            <w:r w:rsidRPr="00BE3728">
              <w:rPr>
                <w:rStyle w:val="Funotenzeichen"/>
                <w:sz w:val="20"/>
                <w:szCs w:val="20"/>
              </w:rPr>
              <w:footnoteReference w:id="170"/>
            </w:r>
            <w:r w:rsidRPr="00BE3728">
              <w:rPr>
                <w:sz w:val="20"/>
                <w:szCs w:val="20"/>
                <w:lang w:val="en-US"/>
              </w:rPr>
              <w:t xml:space="preserve"> </w:t>
            </w:r>
            <w:proofErr w:type="spellStart"/>
            <w:r w:rsidRPr="00BE3728">
              <w:rPr>
                <w:sz w:val="20"/>
                <w:szCs w:val="20"/>
                <w:lang w:val="en-US"/>
              </w:rPr>
              <w:t>sowie</w:t>
            </w:r>
            <w:proofErr w:type="spellEnd"/>
            <w:r w:rsidRPr="00BE3728">
              <w:rPr>
                <w:sz w:val="20"/>
                <w:szCs w:val="20"/>
                <w:lang w:val="en-US"/>
              </w:rPr>
              <w:t xml:space="preserve"> </w:t>
            </w:r>
            <w:r>
              <w:rPr>
                <w:sz w:val="20"/>
                <w:szCs w:val="20"/>
                <w:lang w:val="en-US"/>
              </w:rPr>
              <w:t>Art. </w:t>
            </w:r>
            <w:r w:rsidRPr="00BE3728">
              <w:rPr>
                <w:sz w:val="20"/>
                <w:szCs w:val="20"/>
                <w:lang w:val="en-US"/>
              </w:rPr>
              <w:t xml:space="preserve">I, </w:t>
            </w:r>
            <w:r>
              <w:rPr>
                <w:sz w:val="20"/>
                <w:szCs w:val="20"/>
                <w:lang w:val="en-US"/>
              </w:rPr>
              <w:t>§ </w:t>
            </w:r>
            <w:r w:rsidRPr="00BE3728">
              <w:rPr>
                <w:sz w:val="20"/>
                <w:szCs w:val="20"/>
                <w:lang w:val="en-US"/>
              </w:rPr>
              <w:t xml:space="preserve">8, </w:t>
            </w:r>
            <w:r>
              <w:rPr>
                <w:sz w:val="20"/>
                <w:szCs w:val="20"/>
                <w:lang w:val="en-US"/>
              </w:rPr>
              <w:t>cl.</w:t>
            </w:r>
            <w:r w:rsidRPr="00BE3728">
              <w:rPr>
                <w:sz w:val="20"/>
                <w:szCs w:val="20"/>
                <w:lang w:val="en-US"/>
              </w:rPr>
              <w:t xml:space="preserve"> 3 (</w:t>
            </w:r>
            <w:r w:rsidRPr="00B45592">
              <w:rPr>
                <w:i/>
                <w:sz w:val="20"/>
                <w:szCs w:val="20"/>
                <w:lang w:val="en-US"/>
              </w:rPr>
              <w:t>Interstate Commerce</w:t>
            </w:r>
            <w:r w:rsidRPr="00BE3728">
              <w:rPr>
                <w:sz w:val="20"/>
                <w:szCs w:val="20"/>
                <w:lang w:val="en-US"/>
              </w:rPr>
              <w:t>).</w:t>
            </w:r>
            <w:r w:rsidRPr="00BE3728">
              <w:rPr>
                <w:rStyle w:val="Funotenzeichen"/>
                <w:sz w:val="20"/>
                <w:szCs w:val="20"/>
                <w:lang w:val="en-US"/>
              </w:rPr>
              <w:footnoteReference w:id="171"/>
            </w:r>
            <w:r w:rsidRPr="00BE3728">
              <w:rPr>
                <w:sz w:val="20"/>
                <w:szCs w:val="20"/>
                <w:lang w:val="en-US"/>
              </w:rPr>
              <w:t xml:space="preserve"> Es war </w:t>
            </w:r>
            <w:proofErr w:type="spellStart"/>
            <w:r w:rsidRPr="00BE3728">
              <w:rPr>
                <w:sz w:val="20"/>
                <w:szCs w:val="20"/>
                <w:lang w:val="en-US"/>
              </w:rPr>
              <w:t>damit</w:t>
            </w:r>
            <w:proofErr w:type="spellEnd"/>
            <w:r w:rsidRPr="00BE3728">
              <w:rPr>
                <w:sz w:val="20"/>
                <w:szCs w:val="20"/>
                <w:lang w:val="en-US"/>
              </w:rPr>
              <w:t xml:space="preserve"> </w:t>
            </w:r>
            <w:proofErr w:type="spellStart"/>
            <w:r w:rsidRPr="00BE3728">
              <w:rPr>
                <w:sz w:val="20"/>
                <w:szCs w:val="20"/>
                <w:lang w:val="en-US"/>
              </w:rPr>
              <w:t>nichtig</w:t>
            </w:r>
            <w:proofErr w:type="spellEnd"/>
            <w:r w:rsidRPr="00BE3728">
              <w:rPr>
                <w:sz w:val="20"/>
                <w:szCs w:val="20"/>
                <w:lang w:val="en-US"/>
              </w:rPr>
              <w:t>.</w:t>
            </w:r>
          </w:p>
        </w:tc>
        <w:tc>
          <w:tcPr>
            <w:tcW w:w="1822" w:type="pct"/>
          </w:tcPr>
          <w:p w14:paraId="7BD9A5F3"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Commerce Clause › General Overview</w:t>
            </w:r>
          </w:p>
          <w:p w14:paraId="67C066A4" w14:textId="77777777" w:rsidR="00074551" w:rsidRPr="00BE3728" w:rsidRDefault="00074551" w:rsidP="00367133">
            <w:pPr>
              <w:jc w:val="both"/>
              <w:rPr>
                <w:sz w:val="20"/>
                <w:szCs w:val="20"/>
                <w:lang w:val="en-US"/>
              </w:rPr>
            </w:pPr>
          </w:p>
          <w:p w14:paraId="5B2E9C16" w14:textId="77777777" w:rsidR="00074551" w:rsidRDefault="00074551" w:rsidP="00367133">
            <w:pPr>
              <w:jc w:val="both"/>
              <w:rPr>
                <w:sz w:val="20"/>
                <w:szCs w:val="20"/>
              </w:rPr>
            </w:pPr>
            <w:r w:rsidRPr="004F6665">
              <w:rPr>
                <w:sz w:val="20"/>
                <w:szCs w:val="20"/>
              </w:rPr>
              <w:t xml:space="preserve">Handel sei zwar Austausch. </w:t>
            </w:r>
            <w:r w:rsidRPr="00BE3728">
              <w:rPr>
                <w:sz w:val="20"/>
                <w:szCs w:val="20"/>
              </w:rPr>
              <w:t xml:space="preserve">Aber er sei auch mehr, nämlich: Verkehr. </w:t>
            </w:r>
            <w:r>
              <w:rPr>
                <w:sz w:val="20"/>
                <w:szCs w:val="20"/>
              </w:rPr>
              <w:t xml:space="preserve">Dazu </w:t>
            </w:r>
            <w:proofErr w:type="gramStart"/>
            <w:r>
              <w:rPr>
                <w:sz w:val="20"/>
                <w:szCs w:val="20"/>
              </w:rPr>
              <w:t>gehören</w:t>
            </w:r>
            <w:proofErr w:type="gramEnd"/>
            <w:r w:rsidRPr="00BE3728">
              <w:rPr>
                <w:sz w:val="20"/>
                <w:szCs w:val="20"/>
              </w:rPr>
              <w:t xml:space="preserve"> z.B. der Handelsverkehr zwischen Nationen, in Teilen von Nationen und die Regeln für seine Ausübung. Indes darf Handel zwischen Bundesstaaten hier nicht an der Außengrenze eines Bundesstaats aufhören.</w:t>
            </w:r>
            <w:r w:rsidRPr="00BE3728">
              <w:rPr>
                <w:rStyle w:val="Funotenzeichen"/>
                <w:sz w:val="20"/>
                <w:szCs w:val="20"/>
              </w:rPr>
              <w:footnoteReference w:id="172"/>
            </w:r>
          </w:p>
          <w:p w14:paraId="2626D129" w14:textId="77777777" w:rsidR="00074551" w:rsidRPr="00BE3728" w:rsidRDefault="00074551" w:rsidP="00367133">
            <w:pPr>
              <w:jc w:val="both"/>
              <w:rPr>
                <w:sz w:val="20"/>
                <w:szCs w:val="20"/>
              </w:rPr>
            </w:pPr>
          </w:p>
          <w:p w14:paraId="3A32CB37" w14:textId="77777777" w:rsidR="00074551" w:rsidRDefault="00074551" w:rsidP="00367133">
            <w:pPr>
              <w:jc w:val="both"/>
              <w:rPr>
                <w:sz w:val="20"/>
                <w:szCs w:val="20"/>
              </w:rPr>
            </w:pPr>
            <w:r w:rsidRPr="00BE3728">
              <w:rPr>
                <w:sz w:val="20"/>
                <w:szCs w:val="20"/>
              </w:rPr>
              <w:t xml:space="preserve">Die Grundlage für das Recht des Handels zwischen den Bundesstaaten in den Vereinigten Staaten sei das Völkerrecht. </w:t>
            </w:r>
            <w:proofErr w:type="spellStart"/>
            <w:r w:rsidRPr="00BE3728">
              <w:rPr>
                <w:sz w:val="20"/>
                <w:szCs w:val="20"/>
                <w:lang w:val="en-US"/>
              </w:rPr>
              <w:t>Danach</w:t>
            </w:r>
            <w:proofErr w:type="spellEnd"/>
            <w:r w:rsidRPr="00BE3728">
              <w:rPr>
                <w:sz w:val="20"/>
                <w:szCs w:val="20"/>
                <w:lang w:val="en-US"/>
              </w:rPr>
              <w:t xml:space="preserve"> </w:t>
            </w:r>
            <w:proofErr w:type="spellStart"/>
            <w:r w:rsidRPr="00BE3728">
              <w:rPr>
                <w:sz w:val="20"/>
                <w:szCs w:val="20"/>
                <w:lang w:val="en-US"/>
              </w:rPr>
              <w:t>laute</w:t>
            </w:r>
            <w:proofErr w:type="spellEnd"/>
            <w:r w:rsidRPr="00BE3728">
              <w:rPr>
                <w:sz w:val="20"/>
                <w:szCs w:val="20"/>
                <w:lang w:val="en-US"/>
              </w:rPr>
              <w:t xml:space="preserve"> die </w:t>
            </w:r>
            <w:proofErr w:type="spellStart"/>
            <w:r w:rsidRPr="00BE3728">
              <w:rPr>
                <w:sz w:val="20"/>
                <w:szCs w:val="20"/>
                <w:lang w:val="en-US"/>
              </w:rPr>
              <w:t>Verpflichtung</w:t>
            </w:r>
            <w:proofErr w:type="spellEnd"/>
            <w:r w:rsidRPr="00BE3728">
              <w:rPr>
                <w:sz w:val="20"/>
                <w:szCs w:val="20"/>
                <w:lang w:val="en-US"/>
              </w:rPr>
              <w:t xml:space="preserve"> </w:t>
            </w:r>
            <w:proofErr w:type="spellStart"/>
            <w:r w:rsidRPr="00BE3728">
              <w:rPr>
                <w:sz w:val="20"/>
                <w:szCs w:val="20"/>
                <w:lang w:val="en-US"/>
              </w:rPr>
              <w:t>aller</w:t>
            </w:r>
            <w:proofErr w:type="spellEnd"/>
            <w:r w:rsidRPr="00BE3728">
              <w:rPr>
                <w:sz w:val="20"/>
                <w:szCs w:val="20"/>
                <w:lang w:val="en-US"/>
              </w:rPr>
              <w:t xml:space="preserve"> Menschen, </w:t>
            </w:r>
            <w:proofErr w:type="spellStart"/>
            <w:r w:rsidRPr="00BE3728">
              <w:rPr>
                <w:sz w:val="20"/>
                <w:szCs w:val="20"/>
                <w:lang w:val="en-US"/>
              </w:rPr>
              <w:t>sich</w:t>
            </w:r>
            <w:proofErr w:type="spellEnd"/>
            <w:r w:rsidRPr="00BE3728">
              <w:rPr>
                <w:sz w:val="20"/>
                <w:szCs w:val="20"/>
                <w:lang w:val="en-US"/>
              </w:rPr>
              <w:t xml:space="preserve"> </w:t>
            </w:r>
            <w:proofErr w:type="spellStart"/>
            <w:r w:rsidRPr="00BE3728">
              <w:rPr>
                <w:sz w:val="20"/>
                <w:szCs w:val="20"/>
                <w:lang w:val="en-US"/>
              </w:rPr>
              <w:t>gegenseitig</w:t>
            </w:r>
            <w:proofErr w:type="spellEnd"/>
            <w:r w:rsidRPr="00BE3728">
              <w:rPr>
                <w:sz w:val="20"/>
                <w:szCs w:val="20"/>
                <w:lang w:val="en-US"/>
              </w:rPr>
              <w:t xml:space="preserve">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unterstützen</w:t>
            </w:r>
            <w:proofErr w:type="spellEnd"/>
            <w:r w:rsidRPr="00BE3728">
              <w:rPr>
                <w:sz w:val="20"/>
                <w:szCs w:val="20"/>
                <w:lang w:val="en-US"/>
              </w:rPr>
              <w:t xml:space="preserve"> und </w:t>
            </w:r>
            <w:proofErr w:type="spellStart"/>
            <w:r w:rsidRPr="00BE3728">
              <w:rPr>
                <w:sz w:val="20"/>
                <w:szCs w:val="20"/>
                <w:lang w:val="en-US"/>
              </w:rPr>
              <w:t>zum</w:t>
            </w:r>
            <w:proofErr w:type="spellEnd"/>
            <w:r w:rsidRPr="00BE3728">
              <w:rPr>
                <w:sz w:val="20"/>
                <w:szCs w:val="20"/>
                <w:lang w:val="en-US"/>
              </w:rPr>
              <w:t xml:space="preserve"> Glück </w:t>
            </w:r>
            <w:proofErr w:type="spellStart"/>
            <w:r w:rsidRPr="00BE3728">
              <w:rPr>
                <w:sz w:val="20"/>
                <w:szCs w:val="20"/>
                <w:lang w:val="en-US"/>
              </w:rPr>
              <w:t>ihrer</w:t>
            </w:r>
            <w:proofErr w:type="spellEnd"/>
            <w:r w:rsidRPr="00BE3728">
              <w:rPr>
                <w:sz w:val="20"/>
                <w:szCs w:val="20"/>
                <w:lang w:val="en-US"/>
              </w:rPr>
              <w:t xml:space="preserve"> </w:t>
            </w:r>
            <w:proofErr w:type="spellStart"/>
            <w:r w:rsidRPr="00BE3728">
              <w:rPr>
                <w:sz w:val="20"/>
                <w:szCs w:val="20"/>
                <w:lang w:val="en-US"/>
              </w:rPr>
              <w:t>Mitmenschen</w:t>
            </w:r>
            <w:proofErr w:type="spellEnd"/>
            <w:r w:rsidRPr="00BE3728">
              <w:rPr>
                <w:sz w:val="20"/>
                <w:szCs w:val="20"/>
                <w:lang w:val="en-US"/>
              </w:rPr>
              <w:t xml:space="preserve"> </w:t>
            </w:r>
            <w:proofErr w:type="spellStart"/>
            <w:r w:rsidRPr="00BE3728">
              <w:rPr>
                <w:sz w:val="20"/>
                <w:szCs w:val="20"/>
                <w:lang w:val="en-US"/>
              </w:rPr>
              <w:t>beizutragen</w:t>
            </w:r>
            <w:proofErr w:type="spellEnd"/>
            <w:r w:rsidRPr="00BE3728">
              <w:rPr>
                <w:sz w:val="20"/>
                <w:szCs w:val="20"/>
                <w:lang w:val="en-US"/>
              </w:rPr>
              <w:t xml:space="preserve"> („By the law of nations, the right of commerce has its foundation in the obligation resting upon all men, mutually to assist each other, and to contribute to the happiness of their fellow </w:t>
            </w:r>
            <w:proofErr w:type="gramStart"/>
            <w:r w:rsidRPr="00BE3728">
              <w:rPr>
                <w:sz w:val="20"/>
                <w:szCs w:val="20"/>
                <w:lang w:val="en-US"/>
              </w:rPr>
              <w:t>creatures.“</w:t>
            </w:r>
            <w:proofErr w:type="gramEnd"/>
            <w:r w:rsidRPr="00BE3728">
              <w:rPr>
                <w:rStyle w:val="Funotenzeichen"/>
                <w:sz w:val="20"/>
                <w:szCs w:val="20"/>
              </w:rPr>
              <w:footnoteReference w:id="173"/>
            </w:r>
            <w:r w:rsidRPr="00BE3728">
              <w:rPr>
                <w:sz w:val="20"/>
                <w:szCs w:val="20"/>
              </w:rPr>
              <w:t>). Hieraus folgt das Naturrecht: Auf der einen Seite steht das Recht, auf der anderen die Pflicht, hier das Recht zu kaufen, entspringt der Verpflichtung zu verkaufen. Wenn ein Bundesstaat als Souverän nicht regle, würde dieses Naturrecht bestehen.</w:t>
            </w:r>
            <w:r w:rsidRPr="00BE3728">
              <w:rPr>
                <w:rStyle w:val="Funotenzeichen"/>
                <w:sz w:val="20"/>
                <w:szCs w:val="20"/>
              </w:rPr>
              <w:footnoteReference w:id="174"/>
            </w:r>
          </w:p>
          <w:p w14:paraId="49AAD519" w14:textId="77777777" w:rsidR="00074551" w:rsidRPr="00E50B51" w:rsidRDefault="00074551" w:rsidP="00367133">
            <w:pPr>
              <w:jc w:val="both"/>
              <w:rPr>
                <w:sz w:val="20"/>
                <w:szCs w:val="20"/>
              </w:rPr>
            </w:pPr>
          </w:p>
        </w:tc>
      </w:tr>
      <w:tr w:rsidR="00074551" w:rsidRPr="00E50B51" w14:paraId="62B1BDD4" w14:textId="77777777" w:rsidTr="00752D01">
        <w:trPr>
          <w:cantSplit/>
          <w:trHeight w:val="3175"/>
        </w:trPr>
        <w:tc>
          <w:tcPr>
            <w:tcW w:w="293" w:type="pct"/>
            <w:shd w:val="clear" w:color="auto" w:fill="E7E6E6" w:themeFill="background2"/>
          </w:tcPr>
          <w:p w14:paraId="45EABE4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59924909"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5C08D4A8" w14:textId="77777777" w:rsidR="00074551" w:rsidRPr="00E50B51" w:rsidRDefault="00074551" w:rsidP="00367133">
            <w:pPr>
              <w:ind w:left="113" w:right="113"/>
              <w:jc w:val="both"/>
              <w:rPr>
                <w:sz w:val="20"/>
                <w:szCs w:val="20"/>
              </w:rPr>
            </w:pPr>
            <w:r w:rsidRPr="00E50B51">
              <w:rPr>
                <w:sz w:val="20"/>
                <w:szCs w:val="20"/>
              </w:rPr>
              <w:t xml:space="preserve">Commerce </w:t>
            </w:r>
            <w:proofErr w:type="spellStart"/>
            <w:r w:rsidRPr="00E50B51">
              <w:rPr>
                <w:sz w:val="20"/>
                <w:szCs w:val="20"/>
              </w:rPr>
              <w:t>Clause</w:t>
            </w:r>
            <w:proofErr w:type="spellEnd"/>
          </w:p>
        </w:tc>
        <w:tc>
          <w:tcPr>
            <w:tcW w:w="306" w:type="pct"/>
            <w:shd w:val="clear" w:color="auto" w:fill="E7E6E6" w:themeFill="background2"/>
            <w:textDirection w:val="tbRl"/>
            <w:vAlign w:val="center"/>
          </w:tcPr>
          <w:p w14:paraId="59D30A92" w14:textId="77777777" w:rsidR="00074551" w:rsidRPr="00E50B51" w:rsidRDefault="00074551" w:rsidP="00367133">
            <w:pPr>
              <w:ind w:left="113" w:right="113"/>
              <w:jc w:val="both"/>
              <w:rPr>
                <w:sz w:val="20"/>
                <w:szCs w:val="20"/>
              </w:rPr>
            </w:pPr>
            <w:r w:rsidRPr="00E50B51">
              <w:rPr>
                <w:sz w:val="20"/>
                <w:szCs w:val="20"/>
              </w:rPr>
              <w:t>Interstate</w:t>
            </w:r>
          </w:p>
          <w:p w14:paraId="10495F34" w14:textId="77777777" w:rsidR="00074551" w:rsidRPr="00E50B51" w:rsidRDefault="00074551" w:rsidP="00367133">
            <w:pPr>
              <w:ind w:left="113" w:right="113"/>
              <w:jc w:val="both"/>
              <w:rPr>
                <w:sz w:val="20"/>
                <w:szCs w:val="20"/>
              </w:rPr>
            </w:pPr>
            <w:r w:rsidRPr="00E50B51">
              <w:rPr>
                <w:sz w:val="20"/>
                <w:szCs w:val="20"/>
              </w:rPr>
              <w:t>Commerce</w:t>
            </w:r>
          </w:p>
        </w:tc>
        <w:tc>
          <w:tcPr>
            <w:tcW w:w="401" w:type="pct"/>
            <w:shd w:val="clear" w:color="auto" w:fill="E7E6E6" w:themeFill="background2"/>
          </w:tcPr>
          <w:p w14:paraId="69D61166"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4666925" w14:textId="77777777" w:rsidR="00074551" w:rsidRPr="00E50B51" w:rsidRDefault="00074551" w:rsidP="00367133">
            <w:pPr>
              <w:jc w:val="both"/>
              <w:rPr>
                <w:sz w:val="20"/>
                <w:szCs w:val="20"/>
              </w:rPr>
            </w:pPr>
          </w:p>
        </w:tc>
        <w:tc>
          <w:tcPr>
            <w:tcW w:w="1822" w:type="pct"/>
            <w:shd w:val="clear" w:color="auto" w:fill="E7E6E6" w:themeFill="background2"/>
          </w:tcPr>
          <w:p w14:paraId="77DC8A47" w14:textId="32B021BA"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3E09A7C2" w14:textId="77777777" w:rsidTr="00BE689F">
        <w:trPr>
          <w:cantSplit/>
          <w:trHeight w:val="3175"/>
        </w:trPr>
        <w:tc>
          <w:tcPr>
            <w:tcW w:w="293" w:type="pct"/>
          </w:tcPr>
          <w:p w14:paraId="57CC4767"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2DC2F01" w14:textId="77777777" w:rsidR="00074551" w:rsidRPr="00B45592" w:rsidRDefault="00074551" w:rsidP="00367133">
            <w:pPr>
              <w:ind w:left="113" w:right="416"/>
              <w:jc w:val="both"/>
              <w:rPr>
                <w:i/>
                <w:sz w:val="20"/>
                <w:szCs w:val="20"/>
                <w:lang w:val="en-US"/>
              </w:rPr>
            </w:pPr>
            <w:r w:rsidRPr="00B45592">
              <w:rPr>
                <w:i/>
                <w:sz w:val="20"/>
                <w:szCs w:val="20"/>
                <w:lang w:val="en-US"/>
              </w:rPr>
              <w:t xml:space="preserve">American Communications </w:t>
            </w:r>
            <w:proofErr w:type="spellStart"/>
            <w:r w:rsidRPr="00B45592">
              <w:rPr>
                <w:i/>
                <w:sz w:val="20"/>
                <w:szCs w:val="20"/>
                <w:lang w:val="en-US"/>
              </w:rPr>
              <w:t>Ass’n</w:t>
            </w:r>
            <w:proofErr w:type="spellEnd"/>
            <w:r w:rsidRPr="00B45592">
              <w:rPr>
                <w:i/>
                <w:sz w:val="20"/>
                <w:szCs w:val="20"/>
                <w:lang w:val="en-US"/>
              </w:rPr>
              <w:t xml:space="preserve"> v. Douds</w:t>
            </w:r>
          </w:p>
        </w:tc>
        <w:tc>
          <w:tcPr>
            <w:tcW w:w="197" w:type="pct"/>
            <w:textDirection w:val="tbRl"/>
            <w:vAlign w:val="center"/>
          </w:tcPr>
          <w:p w14:paraId="64042B7A" w14:textId="77777777" w:rsidR="00074551" w:rsidRPr="00E50B51" w:rsidRDefault="00074551" w:rsidP="00367133">
            <w:pPr>
              <w:ind w:left="113" w:right="113"/>
              <w:jc w:val="both"/>
              <w:rPr>
                <w:sz w:val="20"/>
                <w:szCs w:val="20"/>
                <w:lang w:val="en-US"/>
              </w:rPr>
            </w:pPr>
            <w:r w:rsidRPr="00E50B51">
              <w:rPr>
                <w:sz w:val="20"/>
                <w:szCs w:val="20"/>
                <w:lang w:val="en-US"/>
              </w:rPr>
              <w:t>339 U.S. 382</w:t>
            </w:r>
          </w:p>
        </w:tc>
        <w:tc>
          <w:tcPr>
            <w:tcW w:w="306" w:type="pct"/>
            <w:textDirection w:val="tbRl"/>
            <w:vAlign w:val="center"/>
          </w:tcPr>
          <w:p w14:paraId="0F04D9AA" w14:textId="77777777" w:rsidR="00074551" w:rsidRPr="00E50B51" w:rsidRDefault="00074551" w:rsidP="00367133">
            <w:pPr>
              <w:ind w:left="113" w:right="113"/>
              <w:jc w:val="both"/>
              <w:rPr>
                <w:sz w:val="20"/>
                <w:szCs w:val="20"/>
                <w:lang w:val="en-US"/>
              </w:rPr>
            </w:pPr>
            <w:r w:rsidRPr="00E50B51">
              <w:rPr>
                <w:sz w:val="20"/>
                <w:szCs w:val="20"/>
                <w:lang w:val="en-US"/>
              </w:rPr>
              <w:t>8. Mai 1950</w:t>
            </w:r>
          </w:p>
        </w:tc>
        <w:tc>
          <w:tcPr>
            <w:tcW w:w="401" w:type="pct"/>
          </w:tcPr>
          <w:p w14:paraId="481F0947" w14:textId="77777777" w:rsidR="00074551" w:rsidRPr="00E50B51" w:rsidRDefault="00074551" w:rsidP="00367133">
            <w:pPr>
              <w:jc w:val="center"/>
              <w:rPr>
                <w:sz w:val="20"/>
                <w:szCs w:val="20"/>
                <w:lang w:val="en-US"/>
              </w:rPr>
            </w:pPr>
            <w:r w:rsidRPr="00E50B51">
              <w:rPr>
                <w:sz w:val="20"/>
                <w:szCs w:val="20"/>
                <w:lang w:val="en-US"/>
              </w:rPr>
              <w:t>D</w:t>
            </w:r>
          </w:p>
        </w:tc>
        <w:tc>
          <w:tcPr>
            <w:tcW w:w="1594" w:type="pct"/>
          </w:tcPr>
          <w:p w14:paraId="69B3BD4F"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2F727BB5" w14:textId="77777777" w:rsidR="00074551" w:rsidRPr="00B45592" w:rsidRDefault="00074551" w:rsidP="00367133">
            <w:pPr>
              <w:jc w:val="both"/>
              <w:rPr>
                <w:i/>
                <w:sz w:val="16"/>
                <w:szCs w:val="16"/>
              </w:rPr>
            </w:pPr>
            <w:r w:rsidRPr="00B45592">
              <w:rPr>
                <w:i/>
                <w:sz w:val="20"/>
                <w:szCs w:val="20"/>
              </w:rPr>
              <w:t>LexisNexis-Klassifikation:</w:t>
            </w:r>
            <w:r w:rsidRPr="00B45592">
              <w:rPr>
                <w:sz w:val="20"/>
                <w:szCs w:val="20"/>
              </w:rPr>
              <w:t xml:space="preserve"> </w:t>
            </w:r>
            <w:proofErr w:type="spellStart"/>
            <w:r w:rsidRPr="00B45592">
              <w:rPr>
                <w:i/>
                <w:sz w:val="20"/>
                <w:szCs w:val="20"/>
              </w:rPr>
              <w:t>Terrorism</w:t>
            </w:r>
            <w:proofErr w:type="spellEnd"/>
            <w:r w:rsidRPr="00B45592">
              <w:rPr>
                <w:i/>
                <w:sz w:val="20"/>
                <w:szCs w:val="20"/>
              </w:rPr>
              <w:t xml:space="preserve"> and </w:t>
            </w:r>
            <w:proofErr w:type="spellStart"/>
            <w:r w:rsidRPr="00B45592">
              <w:rPr>
                <w:i/>
                <w:sz w:val="20"/>
                <w:szCs w:val="20"/>
              </w:rPr>
              <w:t>Assassination</w:t>
            </w:r>
            <w:proofErr w:type="spellEnd"/>
          </w:p>
          <w:p w14:paraId="560099D5" w14:textId="77777777" w:rsidR="00074551" w:rsidRDefault="00074551" w:rsidP="00367133">
            <w:pPr>
              <w:jc w:val="both"/>
              <w:rPr>
                <w:sz w:val="20"/>
                <w:szCs w:val="20"/>
              </w:rPr>
            </w:pPr>
          </w:p>
          <w:p w14:paraId="701A5A5D" w14:textId="77777777" w:rsidR="00074551" w:rsidRPr="00E50B51" w:rsidRDefault="00074551" w:rsidP="00367133">
            <w:pPr>
              <w:jc w:val="both"/>
              <w:rPr>
                <w:sz w:val="20"/>
                <w:szCs w:val="20"/>
              </w:rPr>
            </w:pPr>
            <w:r w:rsidRPr="00E50B51">
              <w:rPr>
                <w:sz w:val="20"/>
                <w:szCs w:val="20"/>
              </w:rPr>
              <w:t xml:space="preserve">Zur </w:t>
            </w:r>
            <w:r w:rsidRPr="00A142D9">
              <w:rPr>
                <w:i/>
                <w:sz w:val="20"/>
                <w:szCs w:val="20"/>
              </w:rPr>
              <w:t xml:space="preserve">Interstate </w:t>
            </w:r>
            <w:proofErr w:type="spellStart"/>
            <w:r w:rsidRPr="00A142D9">
              <w:rPr>
                <w:i/>
                <w:sz w:val="20"/>
                <w:szCs w:val="20"/>
              </w:rPr>
              <w:t>Clause</w:t>
            </w:r>
            <w:proofErr w:type="spellEnd"/>
            <w:r w:rsidRPr="00E50B51">
              <w:rPr>
                <w:sz w:val="20"/>
                <w:szCs w:val="20"/>
              </w:rPr>
              <w:t xml:space="preserve"> urteilte der </w:t>
            </w:r>
            <w:r>
              <w:rPr>
                <w:sz w:val="20"/>
                <w:szCs w:val="20"/>
              </w:rPr>
              <w:t>U.S. Supreme Court</w:t>
            </w:r>
            <w:r w:rsidRPr="00E50B51">
              <w:rPr>
                <w:sz w:val="20"/>
                <w:szCs w:val="20"/>
              </w:rPr>
              <w:t>, dass der Kongress im Rahmen seiner verfassungsmäßigen Kompetenz den Handel zwischen Bundesstaaten regeln kann. Dies umfasse im äußersten Fall, politische Streiks zu verbieten, die darauf abziel</w:t>
            </w:r>
            <w:r>
              <w:rPr>
                <w:sz w:val="20"/>
                <w:szCs w:val="20"/>
              </w:rPr>
              <w:t>t</w:t>
            </w:r>
            <w:r w:rsidRPr="00E50B51">
              <w:rPr>
                <w:sz w:val="20"/>
                <w:szCs w:val="20"/>
              </w:rPr>
              <w:t>en, die Handelsfreiheit erheblich einzuschränken.</w:t>
            </w:r>
            <w:r w:rsidRPr="00E50B51">
              <w:rPr>
                <w:rStyle w:val="Funotenzeichen"/>
                <w:rFonts w:eastAsiaTheme="majorEastAsia"/>
                <w:sz w:val="20"/>
                <w:szCs w:val="20"/>
              </w:rPr>
              <w:footnoteReference w:id="175"/>
            </w:r>
            <w:r w:rsidRPr="00E50B51">
              <w:rPr>
                <w:sz w:val="20"/>
                <w:szCs w:val="20"/>
              </w:rPr>
              <w:t xml:space="preserve"> Diese Kompetenz</w:t>
            </w:r>
            <w:r>
              <w:rPr>
                <w:sz w:val="20"/>
                <w:szCs w:val="20"/>
              </w:rPr>
              <w:t>anforderung</w:t>
            </w:r>
            <w:r w:rsidRPr="00E50B51">
              <w:rPr>
                <w:sz w:val="20"/>
                <w:szCs w:val="20"/>
              </w:rPr>
              <w:t xml:space="preserve"> </w:t>
            </w:r>
            <w:r>
              <w:rPr>
                <w:sz w:val="20"/>
                <w:szCs w:val="20"/>
              </w:rPr>
              <w:t>halte</w:t>
            </w:r>
            <w:r w:rsidRPr="00E50B51">
              <w:rPr>
                <w:sz w:val="20"/>
                <w:szCs w:val="20"/>
              </w:rPr>
              <w:t xml:space="preserve"> </w:t>
            </w:r>
            <w:r>
              <w:rPr>
                <w:sz w:val="20"/>
                <w:szCs w:val="20"/>
              </w:rPr>
              <w:t>§ </w:t>
            </w:r>
            <w:r w:rsidRPr="00E50B51">
              <w:rPr>
                <w:sz w:val="20"/>
                <w:szCs w:val="20"/>
              </w:rPr>
              <w:t>9 (h) ein</w:t>
            </w:r>
            <w:r>
              <w:rPr>
                <w:sz w:val="20"/>
                <w:szCs w:val="20"/>
              </w:rPr>
              <w:t>, d</w:t>
            </w:r>
            <w:r w:rsidRPr="00E50B51">
              <w:rPr>
                <w:sz w:val="20"/>
                <w:szCs w:val="20"/>
              </w:rPr>
              <w:t>enn er stell</w:t>
            </w:r>
            <w:r>
              <w:rPr>
                <w:sz w:val="20"/>
                <w:szCs w:val="20"/>
              </w:rPr>
              <w:t>e</w:t>
            </w:r>
            <w:r w:rsidRPr="00E50B51">
              <w:rPr>
                <w:sz w:val="20"/>
                <w:szCs w:val="20"/>
              </w:rPr>
              <w:t xml:space="preserve"> ein angemessenes Mittel dar, um den Handelsverkehr zu sichern. Das Gesetz verbiete, Führungspositionen in den Gewerkschaften an Parteimitglieder der Kommunistischen Partei zu vergeben. Denn diese Partei beabsichtige einen systemischen Umsturz – anders als andere Parteien. Der Handelsverkehr wäre somit erheblich eingeschränkt.</w:t>
            </w:r>
            <w:r w:rsidRPr="00E50B51">
              <w:rPr>
                <w:rStyle w:val="Funotenzeichen"/>
                <w:rFonts w:eastAsiaTheme="majorEastAsia"/>
                <w:sz w:val="20"/>
                <w:szCs w:val="20"/>
              </w:rPr>
              <w:footnoteReference w:id="176"/>
            </w:r>
            <w:r w:rsidRPr="00E50B51">
              <w:rPr>
                <w:sz w:val="20"/>
                <w:szCs w:val="20"/>
              </w:rPr>
              <w:t xml:space="preserve"> Der Dissens stimmt </w:t>
            </w:r>
            <w:r>
              <w:rPr>
                <w:sz w:val="20"/>
                <w:szCs w:val="20"/>
              </w:rPr>
              <w:t xml:space="preserve">teilweise </w:t>
            </w:r>
            <w:r w:rsidRPr="00E50B51">
              <w:rPr>
                <w:sz w:val="20"/>
                <w:szCs w:val="20"/>
              </w:rPr>
              <w:t xml:space="preserve">mit </w:t>
            </w:r>
            <w:r>
              <w:rPr>
                <w:sz w:val="20"/>
                <w:szCs w:val="20"/>
              </w:rPr>
              <w:t xml:space="preserve">dem Ergebnis, aber nicht </w:t>
            </w:r>
            <w:r w:rsidRPr="00E50B51">
              <w:rPr>
                <w:sz w:val="20"/>
                <w:szCs w:val="20"/>
              </w:rPr>
              <w:t>der Begründung überein. Er erklärt nur einen Teil des Gesetzes</w:t>
            </w:r>
            <w:r>
              <w:rPr>
                <w:sz w:val="20"/>
                <w:szCs w:val="20"/>
              </w:rPr>
              <w:t xml:space="preserve">, d.h. nur einen </w:t>
            </w:r>
            <w:r w:rsidRPr="00E50B51">
              <w:rPr>
                <w:sz w:val="20"/>
                <w:szCs w:val="20"/>
              </w:rPr>
              <w:t>Teil der gesetzlichen Eidesformel</w:t>
            </w:r>
            <w:r>
              <w:rPr>
                <w:sz w:val="20"/>
                <w:szCs w:val="20"/>
              </w:rPr>
              <w:t>,</w:t>
            </w:r>
            <w:r w:rsidRPr="00E50B51">
              <w:rPr>
                <w:sz w:val="20"/>
                <w:szCs w:val="20"/>
              </w:rPr>
              <w:t xml:space="preserve"> für verfassungsgemäß</w:t>
            </w:r>
            <w:r>
              <w:rPr>
                <w:sz w:val="20"/>
                <w:szCs w:val="20"/>
              </w:rPr>
              <w:t>.</w:t>
            </w:r>
            <w:r w:rsidRPr="00E50B51">
              <w:rPr>
                <w:sz w:val="20"/>
                <w:szCs w:val="20"/>
              </w:rPr>
              <w:t xml:space="preserve"> Der Dissens beginnt mit der noch offenen Frage: Hinsichtlich anderer Parteimitgliedschaften bedarf es keines Verzichts auf die Mitgliedschaft für Führungspositionen in den Gewerkschaften, warum also sollte die Kommunistische Partei anders behandelt werden? Hierzu beschreibt der Dissens den </w:t>
            </w:r>
            <w:r>
              <w:rPr>
                <w:sz w:val="20"/>
                <w:szCs w:val="20"/>
              </w:rPr>
              <w:t>Unterschied</w:t>
            </w:r>
            <w:r w:rsidRPr="00E50B51">
              <w:rPr>
                <w:sz w:val="20"/>
                <w:szCs w:val="20"/>
              </w:rPr>
              <w:t xml:space="preserve"> zwischen der politischen Fassade, die bei jeder Partei </w:t>
            </w:r>
            <w:proofErr w:type="gramStart"/>
            <w:r w:rsidRPr="00E50B51">
              <w:rPr>
                <w:sz w:val="20"/>
                <w:szCs w:val="20"/>
              </w:rPr>
              <w:t>extrem wirken</w:t>
            </w:r>
            <w:proofErr w:type="gramEnd"/>
            <w:r w:rsidRPr="00E50B51">
              <w:rPr>
                <w:sz w:val="20"/>
                <w:szCs w:val="20"/>
              </w:rPr>
              <w:t xml:space="preserve"> kann</w:t>
            </w:r>
            <w:r>
              <w:rPr>
                <w:sz w:val="20"/>
                <w:szCs w:val="20"/>
              </w:rPr>
              <w:t>,</w:t>
            </w:r>
            <w:r w:rsidRPr="00E50B51">
              <w:rPr>
                <w:sz w:val="20"/>
                <w:szCs w:val="20"/>
              </w:rPr>
              <w:t xml:space="preserve"> und den substanziellen Inhalten</w:t>
            </w:r>
            <w:r>
              <w:rPr>
                <w:sz w:val="20"/>
                <w:szCs w:val="20"/>
              </w:rPr>
              <w:t xml:space="preserve"> auf der anderen Seite</w:t>
            </w:r>
            <w:r w:rsidRPr="00E50B51">
              <w:rPr>
                <w:sz w:val="20"/>
                <w:szCs w:val="20"/>
              </w:rPr>
              <w:t xml:space="preserve">. Letztere untersucht er bei </w:t>
            </w:r>
            <w:r>
              <w:rPr>
                <w:sz w:val="20"/>
                <w:szCs w:val="20"/>
              </w:rPr>
              <w:t xml:space="preserve">der </w:t>
            </w:r>
            <w:r w:rsidRPr="00E50B51">
              <w:rPr>
                <w:sz w:val="20"/>
                <w:szCs w:val="20"/>
              </w:rPr>
              <w:t>kommunistische</w:t>
            </w:r>
            <w:r>
              <w:rPr>
                <w:sz w:val="20"/>
                <w:szCs w:val="20"/>
              </w:rPr>
              <w:t>n</w:t>
            </w:r>
            <w:r w:rsidRPr="00E50B51">
              <w:rPr>
                <w:sz w:val="20"/>
                <w:szCs w:val="20"/>
              </w:rPr>
              <w:t xml:space="preserve"> Partei im Detail und ergänzt damit 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Es </w:t>
            </w:r>
            <w:r>
              <w:rPr>
                <w:sz w:val="20"/>
                <w:szCs w:val="20"/>
              </w:rPr>
              <w:t>ergebe</w:t>
            </w:r>
            <w:r w:rsidRPr="00E50B51">
              <w:rPr>
                <w:sz w:val="20"/>
                <w:szCs w:val="20"/>
              </w:rPr>
              <w:t xml:space="preserve"> sich ein substanzieller Gegensatz der Kommunistischen Partei zu anderen Parteien, nämlich anhand der Zielsetzung des Umsturzes („</w:t>
            </w:r>
            <w:proofErr w:type="spellStart"/>
            <w:r w:rsidRPr="00E50B51">
              <w:rPr>
                <w:sz w:val="20"/>
                <w:szCs w:val="20"/>
              </w:rPr>
              <w:t>model</w:t>
            </w:r>
            <w:proofErr w:type="spellEnd"/>
            <w:r w:rsidRPr="00E50B51">
              <w:rPr>
                <w:sz w:val="20"/>
                <w:szCs w:val="20"/>
              </w:rPr>
              <w:t xml:space="preserve"> of </w:t>
            </w:r>
            <w:proofErr w:type="spellStart"/>
            <w:r w:rsidRPr="00E50B51">
              <w:rPr>
                <w:sz w:val="20"/>
                <w:szCs w:val="20"/>
              </w:rPr>
              <w:t>police-state</w:t>
            </w:r>
            <w:proofErr w:type="spellEnd"/>
            <w:r w:rsidRPr="00E50B51">
              <w:rPr>
                <w:sz w:val="20"/>
                <w:szCs w:val="20"/>
              </w:rPr>
              <w:t xml:space="preserve"> </w:t>
            </w:r>
            <w:proofErr w:type="spellStart"/>
            <w:r w:rsidRPr="00E50B51">
              <w:rPr>
                <w:sz w:val="20"/>
                <w:szCs w:val="20"/>
              </w:rPr>
              <w:t>dictatorship</w:t>
            </w:r>
            <w:proofErr w:type="spellEnd"/>
            <w:r w:rsidRPr="00E50B51">
              <w:rPr>
                <w:sz w:val="20"/>
                <w:szCs w:val="20"/>
              </w:rPr>
              <w:t>“</w:t>
            </w:r>
            <w:r w:rsidRPr="00E50B51">
              <w:rPr>
                <w:rStyle w:val="Funotenzeichen"/>
                <w:rFonts w:eastAsiaTheme="majorEastAsia"/>
                <w:sz w:val="20"/>
                <w:szCs w:val="20"/>
              </w:rPr>
              <w:footnoteReference w:id="177"/>
            </w:r>
            <w:r w:rsidRPr="00E50B51">
              <w:rPr>
                <w:sz w:val="20"/>
                <w:szCs w:val="20"/>
              </w:rPr>
              <w:t>), der Einflussnahme fremder Staaten („</w:t>
            </w:r>
            <w:proofErr w:type="spellStart"/>
            <w:r w:rsidRPr="00E50B51">
              <w:rPr>
                <w:sz w:val="20"/>
                <w:szCs w:val="20"/>
              </w:rPr>
              <w:t>chain</w:t>
            </w:r>
            <w:proofErr w:type="spellEnd"/>
            <w:r w:rsidRPr="00E50B51">
              <w:rPr>
                <w:sz w:val="20"/>
                <w:szCs w:val="20"/>
              </w:rPr>
              <w:t xml:space="preserve"> of </w:t>
            </w:r>
            <w:proofErr w:type="spellStart"/>
            <w:r w:rsidRPr="00E50B51">
              <w:rPr>
                <w:sz w:val="20"/>
                <w:szCs w:val="20"/>
              </w:rPr>
              <w:t>command</w:t>
            </w:r>
            <w:proofErr w:type="spellEnd"/>
            <w:r w:rsidRPr="00E50B51">
              <w:rPr>
                <w:sz w:val="20"/>
                <w:szCs w:val="20"/>
              </w:rPr>
              <w:t xml:space="preserve"> </w:t>
            </w:r>
            <w:proofErr w:type="spellStart"/>
            <w:r w:rsidRPr="00E50B51">
              <w:rPr>
                <w:sz w:val="20"/>
                <w:szCs w:val="20"/>
              </w:rPr>
              <w:t>from</w:t>
            </w:r>
            <w:proofErr w:type="spellEnd"/>
            <w:r w:rsidRPr="00E50B51">
              <w:rPr>
                <w:sz w:val="20"/>
                <w:szCs w:val="20"/>
              </w:rPr>
              <w:t xml:space="preserve"> the Kremlin “</w:t>
            </w:r>
            <w:r w:rsidRPr="00E50B51">
              <w:rPr>
                <w:rStyle w:val="Funotenzeichen"/>
                <w:rFonts w:eastAsiaTheme="majorEastAsia"/>
                <w:sz w:val="20"/>
                <w:szCs w:val="20"/>
              </w:rPr>
              <w:footnoteReference w:id="178"/>
            </w:r>
            <w:r w:rsidRPr="00E50B51">
              <w:rPr>
                <w:sz w:val="20"/>
                <w:szCs w:val="20"/>
              </w:rPr>
              <w:t>) und de</w:t>
            </w:r>
            <w:r>
              <w:rPr>
                <w:sz w:val="20"/>
                <w:szCs w:val="20"/>
              </w:rPr>
              <w:t>r</w:t>
            </w:r>
            <w:r w:rsidRPr="00E50B51">
              <w:rPr>
                <w:sz w:val="20"/>
                <w:szCs w:val="20"/>
              </w:rPr>
              <w:t xml:space="preserve"> gewalttätigen Methoden („</w:t>
            </w:r>
            <w:proofErr w:type="spellStart"/>
            <w:r w:rsidRPr="00E50B51">
              <w:rPr>
                <w:sz w:val="20"/>
                <w:szCs w:val="20"/>
              </w:rPr>
              <w:t>terrorism</w:t>
            </w:r>
            <w:proofErr w:type="spellEnd"/>
            <w:r w:rsidRPr="00E50B51">
              <w:rPr>
                <w:sz w:val="20"/>
                <w:szCs w:val="20"/>
              </w:rPr>
              <w:t xml:space="preserve"> and </w:t>
            </w:r>
            <w:proofErr w:type="spellStart"/>
            <w:r w:rsidRPr="00E50B51">
              <w:rPr>
                <w:sz w:val="20"/>
                <w:szCs w:val="20"/>
              </w:rPr>
              <w:t>assassination</w:t>
            </w:r>
            <w:proofErr w:type="spellEnd"/>
            <w:r w:rsidRPr="00E50B51">
              <w:rPr>
                <w:sz w:val="20"/>
                <w:szCs w:val="20"/>
              </w:rPr>
              <w:t>“</w:t>
            </w:r>
            <w:r w:rsidRPr="00E50B51">
              <w:rPr>
                <w:rStyle w:val="Funotenzeichen"/>
                <w:rFonts w:eastAsiaTheme="majorEastAsia"/>
                <w:sz w:val="20"/>
                <w:szCs w:val="20"/>
              </w:rPr>
              <w:footnoteReference w:id="179"/>
            </w:r>
            <w:r w:rsidRPr="00E50B51">
              <w:rPr>
                <w:sz w:val="20"/>
                <w:szCs w:val="20"/>
              </w:rPr>
              <w:t xml:space="preserve">). Damit </w:t>
            </w:r>
            <w:r>
              <w:rPr>
                <w:sz w:val="20"/>
                <w:szCs w:val="20"/>
              </w:rPr>
              <w:t>sei</w:t>
            </w:r>
            <w:r w:rsidRPr="00E50B51">
              <w:rPr>
                <w:sz w:val="20"/>
                <w:szCs w:val="20"/>
              </w:rPr>
              <w:t xml:space="preserve"> der Verzicht auf die Mitgliedschaft zwar gerechtfertigt. Aber der Dissens konkretisiert weiter: Der letzte Teil des Eides sei nicht verfassungskonform. Denn der habe nichts mit der kommunistischen Partei an sich zu tun. </w:t>
            </w:r>
            <w:r w:rsidRPr="00E50B51">
              <w:rPr>
                <w:sz w:val="20"/>
                <w:szCs w:val="20"/>
                <w:lang w:val="en-US"/>
              </w:rPr>
              <w:t xml:space="preserve">Er </w:t>
            </w:r>
            <w:proofErr w:type="spellStart"/>
            <w:r w:rsidRPr="00E50B51">
              <w:rPr>
                <w:sz w:val="20"/>
                <w:szCs w:val="20"/>
                <w:lang w:val="en-US"/>
              </w:rPr>
              <w:t>laute</w:t>
            </w:r>
            <w:r>
              <w:rPr>
                <w:sz w:val="20"/>
                <w:szCs w:val="20"/>
                <w:lang w:val="en-US"/>
              </w:rPr>
              <w:t>t</w:t>
            </w:r>
            <w:proofErr w:type="spellEnd"/>
            <w:r w:rsidRPr="00E50B51">
              <w:rPr>
                <w:sz w:val="20"/>
                <w:szCs w:val="20"/>
                <w:lang w:val="en-US"/>
              </w:rPr>
              <w:t xml:space="preserve">: </w:t>
            </w:r>
            <w:r>
              <w:rPr>
                <w:sz w:val="20"/>
                <w:szCs w:val="20"/>
                <w:lang w:val="en-US"/>
              </w:rPr>
              <w:t>„</w:t>
            </w:r>
            <w:r w:rsidRPr="00E50B51">
              <w:rPr>
                <w:sz w:val="20"/>
                <w:szCs w:val="20"/>
                <w:lang w:val="en-US"/>
              </w:rPr>
              <w:t xml:space="preserve">A union officer must also swear </w:t>
            </w:r>
            <w:proofErr w:type="gramStart"/>
            <w:r w:rsidRPr="00E50B51">
              <w:rPr>
                <w:sz w:val="20"/>
                <w:szCs w:val="20"/>
                <w:lang w:val="en-US"/>
              </w:rPr>
              <w:t xml:space="preserve">that </w:t>
            </w:r>
            <w:r>
              <w:rPr>
                <w:sz w:val="20"/>
                <w:szCs w:val="20"/>
                <w:lang w:val="en-US"/>
              </w:rPr>
              <w:t>,</w:t>
            </w:r>
            <w:r w:rsidRPr="00E50B51">
              <w:rPr>
                <w:sz w:val="20"/>
                <w:szCs w:val="20"/>
                <w:lang w:val="en-US"/>
              </w:rPr>
              <w:t>he</w:t>
            </w:r>
            <w:proofErr w:type="gramEnd"/>
            <w:r w:rsidRPr="00E50B51">
              <w:rPr>
                <w:sz w:val="20"/>
                <w:szCs w:val="20"/>
                <w:lang w:val="en-US"/>
              </w:rPr>
              <w:t xml:space="preserve"> does not believe in </w:t>
            </w:r>
            <w:r>
              <w:rPr>
                <w:sz w:val="20"/>
                <w:szCs w:val="20"/>
                <w:lang w:val="en-US"/>
              </w:rPr>
              <w:t>[…]</w:t>
            </w:r>
            <w:r w:rsidRPr="00E50B51">
              <w:rPr>
                <w:sz w:val="20"/>
                <w:szCs w:val="20"/>
                <w:lang w:val="en-US"/>
              </w:rPr>
              <w:t xml:space="preserve"> the overthrow of the United States Government by force or by any illegal or unconstitutional </w:t>
            </w:r>
            <w:proofErr w:type="gramStart"/>
            <w:r w:rsidRPr="00E50B51">
              <w:rPr>
                <w:sz w:val="20"/>
                <w:szCs w:val="20"/>
                <w:lang w:val="en-US"/>
              </w:rPr>
              <w:t>methods</w:t>
            </w:r>
            <w:r>
              <w:rPr>
                <w:sz w:val="20"/>
                <w:szCs w:val="20"/>
                <w:lang w:val="en-US"/>
              </w:rPr>
              <w:t>‘</w:t>
            </w:r>
            <w:proofErr w:type="gramEnd"/>
            <w:r w:rsidRPr="00E50B51">
              <w:rPr>
                <w:sz w:val="20"/>
                <w:szCs w:val="20"/>
                <w:lang w:val="en-US"/>
              </w:rPr>
              <w:t>“</w:t>
            </w:r>
            <w:r>
              <w:rPr>
                <w:sz w:val="20"/>
                <w:szCs w:val="20"/>
                <w:lang w:val="en-US"/>
              </w:rPr>
              <w:t>.</w:t>
            </w:r>
            <w:r w:rsidRPr="00E50B51">
              <w:rPr>
                <w:rStyle w:val="Funotenzeichen"/>
                <w:rFonts w:eastAsiaTheme="majorEastAsia"/>
                <w:sz w:val="20"/>
                <w:szCs w:val="20"/>
                <w:lang w:val="en-US"/>
              </w:rPr>
              <w:footnoteReference w:id="180"/>
            </w:r>
            <w:r w:rsidRPr="00E50B51">
              <w:rPr>
                <w:sz w:val="20"/>
                <w:szCs w:val="20"/>
                <w:lang w:val="en-US"/>
              </w:rPr>
              <w:t xml:space="preserve"> </w:t>
            </w:r>
            <w:r w:rsidRPr="00E50B51">
              <w:rPr>
                <w:sz w:val="20"/>
                <w:szCs w:val="20"/>
              </w:rPr>
              <w:t>Diese</w:t>
            </w:r>
            <w:r>
              <w:rPr>
                <w:sz w:val="20"/>
                <w:szCs w:val="20"/>
              </w:rPr>
              <w:t>n</w:t>
            </w:r>
            <w:r w:rsidRPr="00E50B51">
              <w:rPr>
                <w:sz w:val="20"/>
                <w:szCs w:val="20"/>
              </w:rPr>
              <w:t xml:space="preserve"> Teil der gesetzlichen Eidesformel untersage ein für die Freiheit („</w:t>
            </w:r>
            <w:proofErr w:type="spellStart"/>
            <w:r w:rsidRPr="00E50B51">
              <w:rPr>
                <w:sz w:val="20"/>
                <w:szCs w:val="20"/>
              </w:rPr>
              <w:t>basic</w:t>
            </w:r>
            <w:proofErr w:type="spellEnd"/>
            <w:r w:rsidRPr="00E50B51">
              <w:rPr>
                <w:sz w:val="20"/>
                <w:szCs w:val="20"/>
              </w:rPr>
              <w:t xml:space="preserve"> to </w:t>
            </w:r>
            <w:proofErr w:type="spellStart"/>
            <w:r w:rsidRPr="00E50B51">
              <w:rPr>
                <w:sz w:val="20"/>
                <w:szCs w:val="20"/>
              </w:rPr>
              <w:t>our</w:t>
            </w:r>
            <w:proofErr w:type="spellEnd"/>
            <w:r w:rsidRPr="00E50B51">
              <w:rPr>
                <w:sz w:val="20"/>
                <w:szCs w:val="20"/>
              </w:rPr>
              <w:t xml:space="preserve"> </w:t>
            </w:r>
            <w:proofErr w:type="spellStart"/>
            <w:proofErr w:type="gramStart"/>
            <w:r w:rsidRPr="00E50B51">
              <w:rPr>
                <w:sz w:val="20"/>
                <w:szCs w:val="20"/>
              </w:rPr>
              <w:t>freedom</w:t>
            </w:r>
            <w:proofErr w:type="spellEnd"/>
            <w:r w:rsidRPr="00E50B51">
              <w:rPr>
                <w:sz w:val="20"/>
                <w:szCs w:val="20"/>
              </w:rPr>
              <w:t>“</w:t>
            </w:r>
            <w:proofErr w:type="gramEnd"/>
            <w:r w:rsidRPr="00E50B51">
              <w:rPr>
                <w:rStyle w:val="Funotenzeichen"/>
                <w:rFonts w:eastAsiaTheme="majorEastAsia"/>
                <w:sz w:val="20"/>
                <w:szCs w:val="20"/>
              </w:rPr>
              <w:footnoteReference w:id="181"/>
            </w:r>
            <w:r w:rsidRPr="00E50B51">
              <w:rPr>
                <w:sz w:val="20"/>
                <w:szCs w:val="20"/>
              </w:rPr>
              <w:t>) konstituierendes Naturgesetz (“</w:t>
            </w:r>
            <w:proofErr w:type="spellStart"/>
            <w:r w:rsidRPr="00E50B51">
              <w:rPr>
                <w:sz w:val="20"/>
                <w:szCs w:val="20"/>
              </w:rPr>
              <w:t>natural</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w:t>
            </w:r>
            <w:r w:rsidRPr="00E50B51">
              <w:rPr>
                <w:rStyle w:val="Funotenzeichen"/>
                <w:rFonts w:eastAsiaTheme="majorEastAsia"/>
                <w:sz w:val="20"/>
                <w:szCs w:val="20"/>
              </w:rPr>
              <w:footnoteReference w:id="182"/>
            </w:r>
            <w:r w:rsidRPr="00E50B51">
              <w:rPr>
                <w:sz w:val="20"/>
                <w:szCs w:val="20"/>
              </w:rPr>
              <w:t xml:space="preserve">): das Widerstandsrecht bzw. das Recht auf Revolution. Dieses sei ausgelöst bei </w:t>
            </w:r>
            <w:r>
              <w:rPr>
                <w:sz w:val="20"/>
                <w:szCs w:val="20"/>
              </w:rPr>
              <w:t xml:space="preserve">den </w:t>
            </w:r>
            <w:r w:rsidRPr="00E50B51">
              <w:rPr>
                <w:sz w:val="20"/>
                <w:szCs w:val="20"/>
              </w:rPr>
              <w:t>folgenden Voraussetzungen: Wenn staatliche Einrichtungen Willkür ausüb</w:t>
            </w:r>
            <w:r>
              <w:rPr>
                <w:sz w:val="20"/>
                <w:szCs w:val="20"/>
              </w:rPr>
              <w:t>ten</w:t>
            </w:r>
            <w:r w:rsidRPr="00E50B51">
              <w:rPr>
                <w:sz w:val="20"/>
                <w:szCs w:val="20"/>
              </w:rPr>
              <w:t>, womit die unveräußerlichen Rechte wie das Streben nach Glück nicht mehr gesichert seien,</w:t>
            </w:r>
            <w:r w:rsidRPr="00E50B51">
              <w:rPr>
                <w:rStyle w:val="Funotenzeichen"/>
                <w:rFonts w:eastAsiaTheme="majorEastAsia"/>
                <w:sz w:val="20"/>
                <w:szCs w:val="20"/>
              </w:rPr>
              <w:footnoteReference w:id="183"/>
            </w:r>
            <w:r w:rsidRPr="00E50B51">
              <w:rPr>
                <w:sz w:val="20"/>
                <w:szCs w:val="20"/>
              </w:rPr>
              <w:t xml:space="preserve"> </w:t>
            </w:r>
            <w:r>
              <w:rPr>
                <w:sz w:val="20"/>
                <w:szCs w:val="20"/>
              </w:rPr>
              <w:t>und wenn</w:t>
            </w:r>
            <w:r w:rsidRPr="00E50B51">
              <w:rPr>
                <w:sz w:val="20"/>
                <w:szCs w:val="20"/>
              </w:rPr>
              <w:t xml:space="preserve"> auch keine Möglichkeit bestehe, diese Nichtsicherung </w:t>
            </w:r>
            <w:r>
              <w:rPr>
                <w:sz w:val="20"/>
                <w:szCs w:val="20"/>
              </w:rPr>
              <w:t>durch</w:t>
            </w:r>
            <w:r w:rsidRPr="00E50B51">
              <w:rPr>
                <w:sz w:val="20"/>
                <w:szCs w:val="20"/>
              </w:rPr>
              <w:t xml:space="preserve"> Wahlen zu ändern („</w:t>
            </w:r>
            <w:proofErr w:type="spellStart"/>
            <w:r w:rsidRPr="00E50B51">
              <w:rPr>
                <w:sz w:val="20"/>
                <w:szCs w:val="20"/>
              </w:rPr>
              <w:t>no</w:t>
            </w:r>
            <w:proofErr w:type="spellEnd"/>
            <w:r w:rsidRPr="00E50B51">
              <w:rPr>
                <w:sz w:val="20"/>
                <w:szCs w:val="20"/>
              </w:rPr>
              <w:t xml:space="preserve"> </w:t>
            </w:r>
            <w:proofErr w:type="spellStart"/>
            <w:r w:rsidRPr="00E50B51">
              <w:rPr>
                <w:sz w:val="20"/>
                <w:szCs w:val="20"/>
              </w:rPr>
              <w:t>way</w:t>
            </w:r>
            <w:proofErr w:type="spellEnd"/>
            <w:r w:rsidRPr="00E50B51">
              <w:rPr>
                <w:sz w:val="20"/>
                <w:szCs w:val="20"/>
              </w:rPr>
              <w:t xml:space="preserve"> to change by </w:t>
            </w:r>
            <w:proofErr w:type="spellStart"/>
            <w:r w:rsidRPr="00E50B51">
              <w:rPr>
                <w:sz w:val="20"/>
                <w:szCs w:val="20"/>
              </w:rPr>
              <w:t>suffrage</w:t>
            </w:r>
            <w:proofErr w:type="spellEnd"/>
            <w:r w:rsidRPr="00E50B51">
              <w:rPr>
                <w:sz w:val="20"/>
                <w:szCs w:val="20"/>
              </w:rPr>
              <w:t>“</w:t>
            </w:r>
            <w:r w:rsidRPr="00E50B51">
              <w:rPr>
                <w:rStyle w:val="Funotenzeichen"/>
                <w:rFonts w:eastAsiaTheme="majorEastAsia"/>
                <w:sz w:val="20"/>
                <w:szCs w:val="20"/>
              </w:rPr>
              <w:footnoteReference w:id="184"/>
            </w:r>
            <w:r w:rsidRPr="00E50B51">
              <w:rPr>
                <w:sz w:val="20"/>
                <w:szCs w:val="20"/>
              </w:rPr>
              <w:t xml:space="preserve">). Somit </w:t>
            </w:r>
            <w:r>
              <w:rPr>
                <w:sz w:val="20"/>
                <w:szCs w:val="20"/>
              </w:rPr>
              <w:t>beschränke</w:t>
            </w:r>
            <w:r w:rsidRPr="00E50B51">
              <w:rPr>
                <w:sz w:val="20"/>
                <w:szCs w:val="20"/>
              </w:rPr>
              <w:t xml:space="preserve"> diese äußere </w:t>
            </w:r>
            <w:r w:rsidRPr="00E50B51">
              <w:rPr>
                <w:sz w:val="20"/>
                <w:szCs w:val="20"/>
              </w:rPr>
              <w:lastRenderedPageBreak/>
              <w:t>Verfassungsgrenze, die auf dem unveräußerlichen Recht auf Streben nach Glück gründe, staatliche Maßnahmen zur Regelung des bundesstaatlichen Handelsverkehrs.</w:t>
            </w:r>
          </w:p>
        </w:tc>
      </w:tr>
      <w:tr w:rsidR="00074551" w:rsidRPr="00E50B51" w14:paraId="42BC25D2" w14:textId="77777777" w:rsidTr="00752D01">
        <w:trPr>
          <w:cantSplit/>
          <w:trHeight w:val="3175"/>
        </w:trPr>
        <w:tc>
          <w:tcPr>
            <w:tcW w:w="293" w:type="pct"/>
            <w:shd w:val="clear" w:color="auto" w:fill="E7E6E6" w:themeFill="background2"/>
          </w:tcPr>
          <w:p w14:paraId="13758EA0"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1FED5F1A" w14:textId="77777777" w:rsidR="00074551" w:rsidRPr="00E50B51" w:rsidRDefault="00074551" w:rsidP="00367133">
            <w:pPr>
              <w:ind w:left="113" w:right="416"/>
              <w:jc w:val="both"/>
              <w:rPr>
                <w:sz w:val="20"/>
                <w:szCs w:val="20"/>
                <w:lang w:val="en-US"/>
              </w:rPr>
            </w:pPr>
            <w:r w:rsidRPr="00BE3728">
              <w:rPr>
                <w:sz w:val="20"/>
                <w:szCs w:val="20"/>
              </w:rPr>
              <w:t>Wirtschaftliche Seite</w:t>
            </w:r>
          </w:p>
        </w:tc>
        <w:tc>
          <w:tcPr>
            <w:tcW w:w="197" w:type="pct"/>
            <w:shd w:val="clear" w:color="auto" w:fill="E7E6E6" w:themeFill="background2"/>
            <w:textDirection w:val="tbRl"/>
            <w:vAlign w:val="center"/>
          </w:tcPr>
          <w:p w14:paraId="70662D27" w14:textId="77777777" w:rsidR="00074551" w:rsidRPr="00E50B51" w:rsidRDefault="00074551" w:rsidP="00367133">
            <w:pPr>
              <w:ind w:left="113" w:right="113"/>
              <w:jc w:val="both"/>
              <w:rPr>
                <w:sz w:val="20"/>
                <w:szCs w:val="20"/>
                <w:lang w:val="en-US"/>
              </w:rPr>
            </w:pPr>
            <w:r w:rsidRPr="00BE3728">
              <w:rPr>
                <w:sz w:val="20"/>
                <w:szCs w:val="20"/>
              </w:rPr>
              <w:t xml:space="preserve">Commerce </w:t>
            </w:r>
            <w:proofErr w:type="spellStart"/>
            <w:r w:rsidRPr="00BE3728">
              <w:rPr>
                <w:sz w:val="20"/>
                <w:szCs w:val="20"/>
              </w:rPr>
              <w:t>Clause</w:t>
            </w:r>
            <w:proofErr w:type="spellEnd"/>
            <w:r w:rsidRPr="00BE3728">
              <w:rPr>
                <w:sz w:val="20"/>
                <w:szCs w:val="20"/>
                <w:lang w:val="en-US"/>
              </w:rPr>
              <w:t xml:space="preserve"> </w:t>
            </w:r>
          </w:p>
        </w:tc>
        <w:tc>
          <w:tcPr>
            <w:tcW w:w="306" w:type="pct"/>
            <w:shd w:val="clear" w:color="auto" w:fill="E7E6E6" w:themeFill="background2"/>
            <w:textDirection w:val="tbRl"/>
            <w:vAlign w:val="center"/>
          </w:tcPr>
          <w:p w14:paraId="1ADF20AA" w14:textId="77777777" w:rsidR="00074551" w:rsidRPr="00E50B51" w:rsidRDefault="00074551" w:rsidP="00367133">
            <w:pPr>
              <w:ind w:left="113" w:right="113"/>
              <w:jc w:val="both"/>
              <w:rPr>
                <w:sz w:val="20"/>
                <w:szCs w:val="20"/>
                <w:lang w:val="en-US"/>
              </w:rPr>
            </w:pPr>
            <w:r w:rsidRPr="00BE3728">
              <w:rPr>
                <w:sz w:val="20"/>
                <w:szCs w:val="20"/>
                <w:lang w:val="en-US"/>
              </w:rPr>
              <w:t>Interstate Commerce</w:t>
            </w:r>
          </w:p>
        </w:tc>
        <w:tc>
          <w:tcPr>
            <w:tcW w:w="401" w:type="pct"/>
            <w:shd w:val="clear" w:color="auto" w:fill="E7E6E6" w:themeFill="background2"/>
            <w:textDirection w:val="tbRl"/>
          </w:tcPr>
          <w:p w14:paraId="7CF4D805" w14:textId="77777777" w:rsidR="00074551" w:rsidRDefault="00074551" w:rsidP="00367133">
            <w:pPr>
              <w:ind w:left="113" w:right="113"/>
              <w:rPr>
                <w:sz w:val="20"/>
                <w:szCs w:val="20"/>
                <w:lang w:val="en-US"/>
              </w:rPr>
            </w:pPr>
          </w:p>
          <w:p w14:paraId="581035D8" w14:textId="77777777" w:rsidR="00074551" w:rsidRPr="00E50B51" w:rsidRDefault="00074551" w:rsidP="00367133">
            <w:pPr>
              <w:ind w:left="113" w:right="113"/>
              <w:rPr>
                <w:sz w:val="20"/>
                <w:szCs w:val="20"/>
                <w:lang w:val="en-US"/>
              </w:rPr>
            </w:pPr>
            <w:r w:rsidRPr="00BE3728">
              <w:rPr>
                <w:sz w:val="20"/>
                <w:szCs w:val="20"/>
                <w:lang w:val="en-US"/>
              </w:rPr>
              <w:t>State Powers</w:t>
            </w:r>
          </w:p>
        </w:tc>
        <w:tc>
          <w:tcPr>
            <w:tcW w:w="1594" w:type="pct"/>
            <w:shd w:val="clear" w:color="auto" w:fill="E7E6E6" w:themeFill="background2"/>
            <w:vAlign w:val="center"/>
          </w:tcPr>
          <w:p w14:paraId="00EE8D3E" w14:textId="77777777" w:rsidR="00074551" w:rsidRPr="00E50B51" w:rsidRDefault="00074551" w:rsidP="00367133">
            <w:pPr>
              <w:jc w:val="both"/>
              <w:rPr>
                <w:sz w:val="20"/>
                <w:szCs w:val="20"/>
                <w:lang w:val="en-US"/>
              </w:rPr>
            </w:pPr>
          </w:p>
        </w:tc>
        <w:tc>
          <w:tcPr>
            <w:tcW w:w="1822" w:type="pct"/>
            <w:shd w:val="clear" w:color="auto" w:fill="E7E6E6" w:themeFill="background2"/>
          </w:tcPr>
          <w:p w14:paraId="5AAD3AF8" w14:textId="78216A85"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7C71A8AB" w14:textId="77777777" w:rsidTr="00BE689F">
        <w:trPr>
          <w:cantSplit/>
          <w:trHeight w:val="3175"/>
        </w:trPr>
        <w:tc>
          <w:tcPr>
            <w:tcW w:w="293" w:type="pct"/>
          </w:tcPr>
          <w:p w14:paraId="4703B38B"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40BB58F" w14:textId="77777777" w:rsidR="00074551" w:rsidRPr="00B45592" w:rsidRDefault="00074551" w:rsidP="00367133">
            <w:pPr>
              <w:ind w:left="113" w:right="416"/>
              <w:jc w:val="both"/>
              <w:rPr>
                <w:i/>
                <w:sz w:val="20"/>
                <w:szCs w:val="20"/>
                <w:lang w:val="en-US"/>
              </w:rPr>
            </w:pPr>
            <w:r w:rsidRPr="00B45592">
              <w:rPr>
                <w:i/>
                <w:sz w:val="20"/>
                <w:szCs w:val="20"/>
              </w:rPr>
              <w:t>Thurlow v. Massachusetts</w:t>
            </w:r>
          </w:p>
        </w:tc>
        <w:tc>
          <w:tcPr>
            <w:tcW w:w="197" w:type="pct"/>
            <w:textDirection w:val="tbRl"/>
            <w:vAlign w:val="center"/>
          </w:tcPr>
          <w:p w14:paraId="00411588" w14:textId="77777777" w:rsidR="00074551" w:rsidRPr="00E50B51" w:rsidRDefault="00074551" w:rsidP="00367133">
            <w:pPr>
              <w:ind w:left="113" w:right="113"/>
              <w:jc w:val="both"/>
              <w:rPr>
                <w:sz w:val="20"/>
                <w:szCs w:val="20"/>
                <w:lang w:val="en-US"/>
              </w:rPr>
            </w:pPr>
            <w:r w:rsidRPr="00BE3728">
              <w:rPr>
                <w:sz w:val="20"/>
                <w:szCs w:val="20"/>
              </w:rPr>
              <w:t>46 U.S. 504</w:t>
            </w:r>
          </w:p>
        </w:tc>
        <w:tc>
          <w:tcPr>
            <w:tcW w:w="306" w:type="pct"/>
            <w:textDirection w:val="tbRl"/>
            <w:vAlign w:val="center"/>
          </w:tcPr>
          <w:p w14:paraId="5BE3A925" w14:textId="77777777" w:rsidR="00074551" w:rsidRPr="00E50B51" w:rsidRDefault="00074551" w:rsidP="00367133">
            <w:pPr>
              <w:ind w:left="113" w:right="113"/>
              <w:jc w:val="both"/>
              <w:rPr>
                <w:sz w:val="20"/>
                <w:szCs w:val="20"/>
                <w:lang w:val="en-US"/>
              </w:rPr>
            </w:pPr>
            <w:r w:rsidRPr="00BE3728">
              <w:rPr>
                <w:sz w:val="20"/>
                <w:szCs w:val="20"/>
              </w:rPr>
              <w:t>06. März 1847</w:t>
            </w:r>
          </w:p>
        </w:tc>
        <w:tc>
          <w:tcPr>
            <w:tcW w:w="401" w:type="pct"/>
          </w:tcPr>
          <w:p w14:paraId="47DCC6C3" w14:textId="77777777" w:rsidR="00074551" w:rsidRPr="00E50B51" w:rsidRDefault="00074551" w:rsidP="00367133">
            <w:pPr>
              <w:jc w:val="center"/>
              <w:rPr>
                <w:sz w:val="20"/>
                <w:szCs w:val="20"/>
                <w:lang w:val="en-US"/>
              </w:rPr>
            </w:pPr>
            <w:r w:rsidRPr="00BE3728">
              <w:rPr>
                <w:sz w:val="20"/>
                <w:szCs w:val="20"/>
                <w:lang w:val="en-US"/>
              </w:rPr>
              <w:t>C</w:t>
            </w:r>
          </w:p>
        </w:tc>
        <w:tc>
          <w:tcPr>
            <w:tcW w:w="1594" w:type="pct"/>
          </w:tcPr>
          <w:p w14:paraId="7BC1F24A" w14:textId="77108F18" w:rsidR="00074551" w:rsidRPr="00C219EF"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hatte über Gesetze</w:t>
            </w:r>
            <w:r w:rsidRPr="00BE3728">
              <w:rPr>
                <w:rStyle w:val="Funotenzeichen"/>
                <w:sz w:val="20"/>
                <w:szCs w:val="20"/>
              </w:rPr>
              <w:footnoteReference w:id="185"/>
            </w:r>
            <w:r w:rsidRPr="00BE3728">
              <w:rPr>
                <w:sz w:val="20"/>
                <w:szCs w:val="20"/>
              </w:rPr>
              <w:t xml:space="preserve"> zu entscheiden, die</w:t>
            </w:r>
            <w:r>
              <w:rPr>
                <w:sz w:val="20"/>
                <w:szCs w:val="20"/>
              </w:rPr>
              <w:t xml:space="preserve"> den Gebrauch von Spirituosen</w:t>
            </w:r>
            <w:r w:rsidRPr="00BE3728">
              <w:rPr>
                <w:sz w:val="20"/>
                <w:szCs w:val="20"/>
              </w:rPr>
              <w:t xml:space="preserve"> verhindern sollte</w:t>
            </w:r>
            <w:r>
              <w:rPr>
                <w:sz w:val="20"/>
                <w:szCs w:val="20"/>
              </w:rPr>
              <w:t>n</w:t>
            </w:r>
            <w:r w:rsidRPr="00BE3728">
              <w:rPr>
                <w:sz w:val="20"/>
                <w:szCs w:val="20"/>
              </w:rPr>
              <w:t xml:space="preserve">, indem sie </w:t>
            </w:r>
            <w:r>
              <w:rPr>
                <w:sz w:val="20"/>
                <w:szCs w:val="20"/>
              </w:rPr>
              <w:t xml:space="preserve">deren Vertrieb oder Verwendung </w:t>
            </w:r>
            <w:r w:rsidRPr="00BE3728">
              <w:rPr>
                <w:sz w:val="20"/>
                <w:szCs w:val="20"/>
              </w:rPr>
              <w:t xml:space="preserve">nur mit einer Lizenz </w:t>
            </w:r>
            <w:r>
              <w:rPr>
                <w:sz w:val="20"/>
                <w:szCs w:val="20"/>
              </w:rPr>
              <w:t>erlaubten</w:t>
            </w:r>
            <w:r w:rsidRPr="00BE3728">
              <w:rPr>
                <w:sz w:val="20"/>
                <w:szCs w:val="20"/>
              </w:rPr>
              <w:t xml:space="preserve">. Die Händler und Gewerbetreibenden als Kläger fochten die Gesetze an. Sie meinten, die Gesetze verstießen gegen </w:t>
            </w:r>
            <w:r w:rsidR="00023A37">
              <w:rPr>
                <w:sz w:val="20"/>
                <w:szCs w:val="20"/>
              </w:rPr>
              <w:t xml:space="preserve">U.S. </w:t>
            </w:r>
            <w:proofErr w:type="spellStart"/>
            <w:r w:rsidR="00023A37">
              <w:rPr>
                <w:sz w:val="20"/>
                <w:szCs w:val="20"/>
              </w:rPr>
              <w:t>Const</w:t>
            </w:r>
            <w:proofErr w:type="spellEnd"/>
            <w:r w:rsidR="00023A37">
              <w:rPr>
                <w:sz w:val="20"/>
                <w:szCs w:val="20"/>
              </w:rPr>
              <w:t>. art. I, § 8</w:t>
            </w:r>
            <w:r>
              <w:rPr>
                <w:sz w:val="20"/>
                <w:szCs w:val="20"/>
              </w:rPr>
              <w:t xml:space="preserve"> </w:t>
            </w:r>
            <w:r w:rsidRPr="00BE3728">
              <w:rPr>
                <w:sz w:val="20"/>
                <w:szCs w:val="20"/>
              </w:rPr>
              <w:t>(</w:t>
            </w:r>
            <w:r w:rsidRPr="00B45592">
              <w:rPr>
                <w:i/>
                <w:sz w:val="20"/>
                <w:szCs w:val="20"/>
              </w:rPr>
              <w:t>Interstate Commerce</w:t>
            </w:r>
            <w:r w:rsidRPr="00BE3728">
              <w:rPr>
                <w:sz w:val="20"/>
                <w:szCs w:val="20"/>
              </w:rPr>
              <w:t>). Der Entscheidung lagen drei Sachverhalte in drei Bundesstaaten zugrunde: In Rhode Island und in Massachusetts verbot der Gesetzgeber</w:t>
            </w:r>
            <w:r>
              <w:rPr>
                <w:sz w:val="20"/>
                <w:szCs w:val="20"/>
              </w:rPr>
              <w:t xml:space="preserve"> den Verkauf von</w:t>
            </w:r>
            <w:r w:rsidRPr="00BE3728">
              <w:rPr>
                <w:sz w:val="20"/>
                <w:szCs w:val="20"/>
              </w:rPr>
              <w:t xml:space="preserve"> Spirituosen, die aus dem Ausland importiert w</w:t>
            </w:r>
            <w:r>
              <w:rPr>
                <w:sz w:val="20"/>
                <w:szCs w:val="20"/>
              </w:rPr>
              <w:t>u</w:t>
            </w:r>
            <w:r w:rsidRPr="00BE3728">
              <w:rPr>
                <w:sz w:val="20"/>
                <w:szCs w:val="20"/>
              </w:rPr>
              <w:t xml:space="preserve">rden. In New Hampshire </w:t>
            </w:r>
            <w:r>
              <w:rPr>
                <w:sz w:val="20"/>
                <w:szCs w:val="20"/>
              </w:rPr>
              <w:t>war es</w:t>
            </w:r>
            <w:r w:rsidRPr="00BE3728">
              <w:rPr>
                <w:sz w:val="20"/>
                <w:szCs w:val="20"/>
              </w:rPr>
              <w:t xml:space="preserve"> verboten, Spirituosen zu verkaufen, die </w:t>
            </w:r>
            <w:r>
              <w:rPr>
                <w:sz w:val="20"/>
                <w:szCs w:val="20"/>
              </w:rPr>
              <w:t xml:space="preserve">die </w:t>
            </w:r>
            <w:r w:rsidRPr="00BE3728">
              <w:rPr>
                <w:sz w:val="20"/>
                <w:szCs w:val="20"/>
              </w:rPr>
              <w:t xml:space="preserve">Verkäufer in einem anderen Bundesstaat erworben hatten. Nach dem </w:t>
            </w:r>
            <w:r>
              <w:rPr>
                <w:sz w:val="20"/>
                <w:szCs w:val="20"/>
              </w:rPr>
              <w:t>U.S. Supreme Court</w:t>
            </w:r>
            <w:r w:rsidRPr="00BE3728">
              <w:rPr>
                <w:sz w:val="20"/>
                <w:szCs w:val="20"/>
              </w:rPr>
              <w:t xml:space="preserve"> verstießen die Verbotsgesetze nicht gegen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Zwar seien die Bundesstaaten verpflichtet, alle Waren zu empfangen, deren Einfuhr der Kongress genehmigt habe. Bundesstaaten seien aber nicht verpflichtet, einen Markt zu erhalten</w:t>
            </w:r>
            <w:r>
              <w:rPr>
                <w:sz w:val="20"/>
                <w:szCs w:val="20"/>
              </w:rPr>
              <w:t> </w:t>
            </w:r>
            <w:r w:rsidRPr="00BE3728">
              <w:rPr>
                <w:sz w:val="20"/>
                <w:szCs w:val="20"/>
              </w:rPr>
              <w:t xml:space="preserve">– oder von einem Gesetz abzusehen, das sie zum Schutz der Gesundheit ihrer Bürger für notwendig </w:t>
            </w:r>
            <w:r>
              <w:rPr>
                <w:sz w:val="20"/>
                <w:szCs w:val="20"/>
              </w:rPr>
              <w:t>hielten</w:t>
            </w:r>
            <w:r w:rsidRPr="00BE3728">
              <w:rPr>
                <w:sz w:val="20"/>
                <w:szCs w:val="20"/>
              </w:rPr>
              <w:t xml:space="preserve">. Das gelte auch, wenn ein solches Gesetz </w:t>
            </w:r>
            <w:r>
              <w:rPr>
                <w:sz w:val="20"/>
                <w:szCs w:val="20"/>
              </w:rPr>
              <w:t xml:space="preserve">die </w:t>
            </w:r>
            <w:r w:rsidRPr="00BE3728">
              <w:rPr>
                <w:sz w:val="20"/>
                <w:szCs w:val="20"/>
              </w:rPr>
              <w:t>Einfuhr verhindere</w:t>
            </w:r>
            <w:r>
              <w:rPr>
                <w:sz w:val="20"/>
                <w:szCs w:val="20"/>
              </w:rPr>
              <w:t xml:space="preserve"> und die</w:t>
            </w:r>
            <w:r w:rsidRPr="00BE3728">
              <w:rPr>
                <w:sz w:val="20"/>
                <w:szCs w:val="20"/>
              </w:rPr>
              <w:t xml:space="preserve"> Gewinne des Importeurs oder die Einnahmen der Regierung verringere.</w:t>
            </w:r>
            <w:r w:rsidRPr="00BE3728">
              <w:rPr>
                <w:rStyle w:val="Funotenzeichen"/>
                <w:sz w:val="20"/>
                <w:szCs w:val="20"/>
              </w:rPr>
              <w:footnoteReference w:id="186"/>
            </w:r>
          </w:p>
        </w:tc>
        <w:tc>
          <w:tcPr>
            <w:tcW w:w="1822" w:type="pct"/>
          </w:tcPr>
          <w:p w14:paraId="5A78FDB6"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sz w:val="20"/>
                <w:szCs w:val="20"/>
                <w:lang w:val="en-US"/>
              </w:rPr>
              <w:t xml:space="preserve"> </w:t>
            </w:r>
            <w:r w:rsidRPr="00B45592">
              <w:rPr>
                <w:i/>
                <w:sz w:val="20"/>
                <w:szCs w:val="20"/>
                <w:lang w:val="en-US"/>
              </w:rPr>
              <w:t>Transportation Law › Interstate Commerce › State Powers</w:t>
            </w:r>
          </w:p>
          <w:p w14:paraId="6EAA207B" w14:textId="77777777" w:rsidR="00074551" w:rsidRPr="00BE3728" w:rsidRDefault="00074551" w:rsidP="00367133">
            <w:pPr>
              <w:jc w:val="both"/>
              <w:rPr>
                <w:sz w:val="20"/>
                <w:szCs w:val="20"/>
                <w:lang w:val="en-US"/>
              </w:rPr>
            </w:pPr>
          </w:p>
          <w:p w14:paraId="0FAD0812" w14:textId="77777777" w:rsidR="00074551" w:rsidRDefault="00074551" w:rsidP="00367133">
            <w:pPr>
              <w:jc w:val="both"/>
              <w:rPr>
                <w:sz w:val="20"/>
                <w:szCs w:val="20"/>
              </w:rPr>
            </w:pPr>
            <w:r w:rsidRPr="00BE3728">
              <w:rPr>
                <w:sz w:val="20"/>
                <w:szCs w:val="20"/>
              </w:rPr>
              <w:t>Jeder Bundesstaat kann seinen Handelsverkehr nach eigenem Ermessen und unter Berücksichtigung der Interessen und des Wohlergehens seiner Bürger regeln.</w:t>
            </w:r>
            <w:r w:rsidRPr="00BE3728">
              <w:rPr>
                <w:rStyle w:val="Funotenzeichen"/>
                <w:sz w:val="20"/>
                <w:szCs w:val="20"/>
              </w:rPr>
              <w:footnoteReference w:id="187"/>
            </w:r>
          </w:p>
          <w:p w14:paraId="7C1B57E7" w14:textId="77777777" w:rsidR="00074551" w:rsidRPr="00BE3728" w:rsidRDefault="00074551" w:rsidP="00367133">
            <w:pPr>
              <w:jc w:val="both"/>
              <w:rPr>
                <w:sz w:val="20"/>
                <w:szCs w:val="20"/>
              </w:rPr>
            </w:pPr>
          </w:p>
          <w:p w14:paraId="15285B96" w14:textId="034643D0" w:rsidR="00074551" w:rsidRPr="00B45592" w:rsidRDefault="00074551" w:rsidP="00367133">
            <w:pPr>
              <w:jc w:val="both"/>
              <w:rPr>
                <w:sz w:val="20"/>
                <w:szCs w:val="20"/>
              </w:rPr>
            </w:pPr>
            <w:r w:rsidRPr="00BE3728">
              <w:rPr>
                <w:sz w:val="20"/>
                <w:szCs w:val="20"/>
              </w:rPr>
              <w:t xml:space="preserve">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BE3728">
              <w:rPr>
                <w:sz w:val="20"/>
                <w:szCs w:val="20"/>
              </w:rPr>
              <w:t xml:space="preserve"> spezifiziert die Fallfrage: Inwieweit haben die Bundesstaaten überhaupt das Recht, den Verkauf und Konsum eines Handelsartikels zu verbieten, weil dieser sich schädlich auswirke, d.h. Krankheiten, Armut und Verbrechen verursache</w:t>
            </w:r>
            <w:r>
              <w:rPr>
                <w:sz w:val="20"/>
                <w:szCs w:val="20"/>
              </w:rPr>
              <w:t>? L</w:t>
            </w:r>
            <w:r w:rsidRPr="00BE3728">
              <w:rPr>
                <w:sz w:val="20"/>
                <w:szCs w:val="20"/>
              </w:rPr>
              <w:t>etztere</w:t>
            </w:r>
            <w:r>
              <w:rPr>
                <w:sz w:val="20"/>
                <w:szCs w:val="20"/>
              </w:rPr>
              <w:t xml:space="preserve">s stelle </w:t>
            </w:r>
            <w:r w:rsidRPr="00BE3728">
              <w:rPr>
                <w:sz w:val="20"/>
                <w:szCs w:val="20"/>
              </w:rPr>
              <w:t>das Ziel des Gesetzes</w:t>
            </w:r>
            <w:r>
              <w:rPr>
                <w:sz w:val="20"/>
                <w:szCs w:val="20"/>
              </w:rPr>
              <w:t xml:space="preserve"> dar.</w:t>
            </w:r>
            <w:r w:rsidRPr="00BE3728">
              <w:rPr>
                <w:sz w:val="20"/>
                <w:szCs w:val="20"/>
              </w:rPr>
              <w:t xml:space="preserve"> Zunächst liege die Polizeigewalt ausschließlich bei den Bundesstaaten. Sie </w:t>
            </w:r>
            <w:r>
              <w:rPr>
                <w:sz w:val="20"/>
                <w:szCs w:val="20"/>
              </w:rPr>
              <w:t>seien</w:t>
            </w:r>
            <w:r w:rsidRPr="00BE3728">
              <w:rPr>
                <w:sz w:val="20"/>
                <w:szCs w:val="20"/>
              </w:rPr>
              <w:t xml:space="preserve"> damit zuständig für Verbote, </w:t>
            </w:r>
            <w:r>
              <w:rPr>
                <w:sz w:val="20"/>
                <w:szCs w:val="20"/>
              </w:rPr>
              <w:t>welche</w:t>
            </w:r>
            <w:r w:rsidRPr="00BE3728">
              <w:rPr>
                <w:sz w:val="20"/>
                <w:szCs w:val="20"/>
              </w:rPr>
              <w:t xml:space="preserve"> diese Ziele verlangen. Es gebe daher im Grunde keinen Kompetenzkonflikt</w:t>
            </w:r>
            <w:r>
              <w:rPr>
                <w:sz w:val="20"/>
                <w:szCs w:val="20"/>
              </w:rPr>
              <w:t> </w:t>
            </w:r>
            <w:r w:rsidRPr="00BE3728">
              <w:rPr>
                <w:sz w:val="20"/>
                <w:szCs w:val="20"/>
              </w:rPr>
              <w:t xml:space="preserve">– auch wenn das Gesetz weniger Handel in den Vereinigten Staaten insgesamt verursache. Denn </w:t>
            </w:r>
            <w:r>
              <w:rPr>
                <w:sz w:val="20"/>
                <w:szCs w:val="20"/>
              </w:rPr>
              <w:t>die</w:t>
            </w:r>
            <w:r w:rsidRPr="00BE3728">
              <w:rPr>
                <w:sz w:val="20"/>
                <w:szCs w:val="20"/>
              </w:rPr>
              <w:t xml:space="preserve"> Bundesstaat</w:t>
            </w:r>
            <w:r>
              <w:rPr>
                <w:sz w:val="20"/>
                <w:szCs w:val="20"/>
              </w:rPr>
              <w:t>en</w:t>
            </w:r>
            <w:r w:rsidRPr="00BE3728">
              <w:rPr>
                <w:sz w:val="20"/>
                <w:szCs w:val="20"/>
              </w:rPr>
              <w:t xml:space="preserve"> orientier</w:t>
            </w:r>
            <w:r>
              <w:rPr>
                <w:sz w:val="20"/>
                <w:szCs w:val="20"/>
              </w:rPr>
              <w:t>t</w:t>
            </w:r>
            <w:r w:rsidRPr="00BE3728">
              <w:rPr>
                <w:sz w:val="20"/>
                <w:szCs w:val="20"/>
              </w:rPr>
              <w:t xml:space="preserve">en sich innerhalb </w:t>
            </w:r>
            <w:r>
              <w:rPr>
                <w:sz w:val="20"/>
                <w:szCs w:val="20"/>
              </w:rPr>
              <w:t>ihrer</w:t>
            </w:r>
            <w:r w:rsidRPr="00BE3728">
              <w:rPr>
                <w:sz w:val="20"/>
                <w:szCs w:val="20"/>
              </w:rPr>
              <w:t xml:space="preserve"> Kompetenz zuvorderst an Gesundheit, Wohlstand und Glück des Volkes („</w:t>
            </w:r>
            <w:proofErr w:type="spellStart"/>
            <w:r w:rsidRPr="00BE3728">
              <w:rPr>
                <w:sz w:val="20"/>
                <w:szCs w:val="20"/>
              </w:rPr>
              <w:t>health</w:t>
            </w:r>
            <w:proofErr w:type="spellEnd"/>
            <w:r w:rsidRPr="00BE3728">
              <w:rPr>
                <w:sz w:val="20"/>
                <w:szCs w:val="20"/>
              </w:rPr>
              <w:t xml:space="preserve">, </w:t>
            </w:r>
            <w:proofErr w:type="spellStart"/>
            <w:r w:rsidRPr="00BE3728">
              <w:rPr>
                <w:sz w:val="20"/>
                <w:szCs w:val="20"/>
              </w:rPr>
              <w:t>wealth</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188"/>
            </w:r>
            <w:r w:rsidRPr="00BE3728">
              <w:rPr>
                <w:sz w:val="20"/>
                <w:szCs w:val="20"/>
              </w:rPr>
              <w:t>). Diese Ziele rechtfertig</w:t>
            </w:r>
            <w:r>
              <w:rPr>
                <w:sz w:val="20"/>
                <w:szCs w:val="20"/>
              </w:rPr>
              <w:t>t</w:t>
            </w:r>
            <w:r w:rsidRPr="00BE3728">
              <w:rPr>
                <w:sz w:val="20"/>
                <w:szCs w:val="20"/>
              </w:rPr>
              <w:t>en das Gesetz</w:t>
            </w:r>
            <w:r>
              <w:rPr>
                <w:sz w:val="20"/>
                <w:szCs w:val="20"/>
              </w:rPr>
              <w:t xml:space="preserve">, da </w:t>
            </w:r>
            <w:r w:rsidRPr="00BE3728">
              <w:rPr>
                <w:sz w:val="20"/>
                <w:szCs w:val="20"/>
              </w:rPr>
              <w:t>nach der ständige</w:t>
            </w:r>
            <w:r>
              <w:rPr>
                <w:sz w:val="20"/>
                <w:szCs w:val="20"/>
              </w:rPr>
              <w:t>n</w:t>
            </w:r>
            <w:r w:rsidRPr="00BE3728">
              <w:rPr>
                <w:sz w:val="20"/>
                <w:szCs w:val="20"/>
              </w:rPr>
              <w:t xml:space="preserve"> Rechtsprechung jedes Gesetz eines Bundesstaats die zwingende Pflicht</w:t>
            </w:r>
            <w:r>
              <w:rPr>
                <w:sz w:val="20"/>
                <w:szCs w:val="20"/>
              </w:rPr>
              <w:t xml:space="preserve"> </w:t>
            </w:r>
            <w:r w:rsidRPr="00BE3728">
              <w:rPr>
                <w:sz w:val="20"/>
                <w:szCs w:val="20"/>
              </w:rPr>
              <w:t xml:space="preserve">habe, das Glück, die Sicherheit und den Wohlstand seines Volkes zu priorisieren und zu fördern und somit das allgemeine Wohlergehen zu sichern („by the </w:t>
            </w:r>
            <w:proofErr w:type="spellStart"/>
            <w:r w:rsidRPr="00BE3728">
              <w:rPr>
                <w:sz w:val="20"/>
                <w:szCs w:val="20"/>
              </w:rPr>
              <w:t>constitution</w:t>
            </w:r>
            <w:proofErr w:type="spellEnd"/>
            <w:r w:rsidRPr="00BE3728">
              <w:rPr>
                <w:sz w:val="20"/>
                <w:szCs w:val="20"/>
              </w:rPr>
              <w:t xml:space="preserve"> of the United States; </w:t>
            </w:r>
            <w:proofErr w:type="spellStart"/>
            <w:r w:rsidRPr="00BE3728">
              <w:rPr>
                <w:sz w:val="20"/>
                <w:szCs w:val="20"/>
              </w:rPr>
              <w:t>that</w:t>
            </w:r>
            <w:proofErr w:type="spellEnd"/>
            <w:r w:rsidRPr="00BE3728">
              <w:rPr>
                <w:sz w:val="20"/>
                <w:szCs w:val="20"/>
              </w:rPr>
              <w:t xml:space="preserve">, by </w:t>
            </w:r>
            <w:proofErr w:type="spellStart"/>
            <w:r w:rsidRPr="00BE3728">
              <w:rPr>
                <w:sz w:val="20"/>
                <w:szCs w:val="20"/>
              </w:rPr>
              <w:t>virtue</w:t>
            </w:r>
            <w:proofErr w:type="spellEnd"/>
            <w:r w:rsidRPr="00BE3728">
              <w:rPr>
                <w:sz w:val="20"/>
                <w:szCs w:val="20"/>
              </w:rPr>
              <w:t xml:space="preserve"> of </w:t>
            </w:r>
            <w:proofErr w:type="spellStart"/>
            <w:r w:rsidRPr="00BE3728">
              <w:rPr>
                <w:sz w:val="20"/>
                <w:szCs w:val="20"/>
              </w:rPr>
              <w:t>this</w:t>
            </w:r>
            <w:proofErr w:type="spellEnd"/>
            <w:r w:rsidRPr="00BE3728">
              <w:rPr>
                <w:sz w:val="20"/>
                <w:szCs w:val="20"/>
              </w:rPr>
              <w:t xml:space="preserve">, it </w:t>
            </w:r>
            <w:proofErr w:type="spellStart"/>
            <w:r w:rsidRPr="00BE3728">
              <w:rPr>
                <w:sz w:val="20"/>
                <w:szCs w:val="20"/>
              </w:rPr>
              <w:t>is</w:t>
            </w:r>
            <w:proofErr w:type="spellEnd"/>
            <w:r w:rsidRPr="00BE3728">
              <w:rPr>
                <w:sz w:val="20"/>
                <w:szCs w:val="20"/>
              </w:rPr>
              <w:t xml:space="preserve"> not </w:t>
            </w:r>
            <w:proofErr w:type="spellStart"/>
            <w:r w:rsidRPr="00BE3728">
              <w:rPr>
                <w:sz w:val="20"/>
                <w:szCs w:val="20"/>
              </w:rPr>
              <w:t>only</w:t>
            </w:r>
            <w:proofErr w:type="spellEnd"/>
            <w:r w:rsidRPr="00BE3728">
              <w:rPr>
                <w:sz w:val="20"/>
                <w:szCs w:val="20"/>
              </w:rPr>
              <w:t xml:space="preserve"> the </w:t>
            </w:r>
            <w:proofErr w:type="spellStart"/>
            <w:r w:rsidRPr="00BE3728">
              <w:rPr>
                <w:sz w:val="20"/>
                <w:szCs w:val="20"/>
              </w:rPr>
              <w:t>right</w:t>
            </w:r>
            <w:proofErr w:type="spellEnd"/>
            <w:r w:rsidRPr="00BE3728">
              <w:rPr>
                <w:sz w:val="20"/>
                <w:szCs w:val="20"/>
              </w:rPr>
              <w:t xml:space="preserve"> but the </w:t>
            </w:r>
            <w:proofErr w:type="spellStart"/>
            <w:r w:rsidRPr="00BE3728">
              <w:rPr>
                <w:sz w:val="20"/>
                <w:szCs w:val="20"/>
              </w:rPr>
              <w:t>bounden</w:t>
            </w:r>
            <w:proofErr w:type="spellEnd"/>
            <w:r w:rsidRPr="00BE3728">
              <w:rPr>
                <w:sz w:val="20"/>
                <w:szCs w:val="20"/>
              </w:rPr>
              <w:t xml:space="preserve"> and </w:t>
            </w:r>
            <w:proofErr w:type="spellStart"/>
            <w:r w:rsidRPr="00BE3728">
              <w:rPr>
                <w:sz w:val="20"/>
                <w:szCs w:val="20"/>
              </w:rPr>
              <w:t>solemn</w:t>
            </w:r>
            <w:proofErr w:type="spellEnd"/>
            <w:r w:rsidRPr="00BE3728">
              <w:rPr>
                <w:sz w:val="20"/>
                <w:szCs w:val="20"/>
              </w:rPr>
              <w:t xml:space="preserve"> </w:t>
            </w:r>
            <w:proofErr w:type="spellStart"/>
            <w:r w:rsidRPr="00BE3728">
              <w:rPr>
                <w:sz w:val="20"/>
                <w:szCs w:val="20"/>
              </w:rPr>
              <w:t>duty</w:t>
            </w:r>
            <w:proofErr w:type="spellEnd"/>
            <w:r w:rsidRPr="00BE3728">
              <w:rPr>
                <w:sz w:val="20"/>
                <w:szCs w:val="20"/>
              </w:rPr>
              <w:t xml:space="preserve"> of a State to </w:t>
            </w:r>
            <w:proofErr w:type="spellStart"/>
            <w:r w:rsidRPr="00BE3728">
              <w:rPr>
                <w:sz w:val="20"/>
                <w:szCs w:val="20"/>
              </w:rPr>
              <w:t>advance</w:t>
            </w:r>
            <w:proofErr w:type="spellEnd"/>
            <w:r w:rsidRPr="00BE3728">
              <w:rPr>
                <w:sz w:val="20"/>
                <w:szCs w:val="20"/>
              </w:rPr>
              <w:t xml:space="preserve"> the </w:t>
            </w:r>
            <w:proofErr w:type="spellStart"/>
            <w:r w:rsidRPr="00BE3728">
              <w:rPr>
                <w:sz w:val="20"/>
                <w:szCs w:val="20"/>
              </w:rPr>
              <w:t>happiness</w:t>
            </w:r>
            <w:proofErr w:type="spellEnd"/>
            <w:r w:rsidRPr="00BE3728">
              <w:rPr>
                <w:sz w:val="20"/>
                <w:szCs w:val="20"/>
              </w:rPr>
              <w:t xml:space="preserve">, the </w:t>
            </w:r>
            <w:proofErr w:type="spellStart"/>
            <w:r w:rsidRPr="00BE3728">
              <w:rPr>
                <w:sz w:val="20"/>
                <w:szCs w:val="20"/>
              </w:rPr>
              <w:t>safety</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 xml:space="preserve">, and to </w:t>
            </w:r>
            <w:proofErr w:type="spellStart"/>
            <w:r w:rsidRPr="00BE3728">
              <w:rPr>
                <w:sz w:val="20"/>
                <w:szCs w:val="20"/>
              </w:rPr>
              <w:t>provide</w:t>
            </w:r>
            <w:proofErr w:type="spellEnd"/>
            <w:r w:rsidRPr="00BE3728">
              <w:rPr>
                <w:sz w:val="20"/>
                <w:szCs w:val="20"/>
              </w:rPr>
              <w:t xml:space="preserve"> for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general</w:t>
            </w:r>
            <w:proofErr w:type="spellEnd"/>
            <w:r w:rsidRPr="00BE3728">
              <w:rPr>
                <w:sz w:val="20"/>
                <w:szCs w:val="20"/>
              </w:rPr>
              <w:t xml:space="preserve"> </w:t>
            </w:r>
            <w:proofErr w:type="spellStart"/>
            <w:r w:rsidRPr="00BE3728">
              <w:rPr>
                <w:sz w:val="20"/>
                <w:szCs w:val="20"/>
              </w:rPr>
              <w:t>welfare</w:t>
            </w:r>
            <w:proofErr w:type="spellEnd"/>
            <w:r w:rsidRPr="00BE3728">
              <w:rPr>
                <w:sz w:val="20"/>
                <w:szCs w:val="20"/>
              </w:rPr>
              <w:t xml:space="preserve"> by </w:t>
            </w:r>
            <w:proofErr w:type="spellStart"/>
            <w:r w:rsidRPr="00BE3728">
              <w:rPr>
                <w:sz w:val="20"/>
                <w:szCs w:val="20"/>
              </w:rPr>
              <w:t>any</w:t>
            </w:r>
            <w:proofErr w:type="spellEnd"/>
            <w:r w:rsidRPr="00BE3728">
              <w:rPr>
                <w:sz w:val="20"/>
                <w:szCs w:val="20"/>
              </w:rPr>
              <w:t xml:space="preserve"> and </w:t>
            </w:r>
            <w:proofErr w:type="spellStart"/>
            <w:r w:rsidRPr="00BE3728">
              <w:rPr>
                <w:sz w:val="20"/>
                <w:szCs w:val="20"/>
              </w:rPr>
              <w:t>every</w:t>
            </w:r>
            <w:proofErr w:type="spellEnd"/>
            <w:r w:rsidRPr="00BE3728">
              <w:rPr>
                <w:sz w:val="20"/>
                <w:szCs w:val="20"/>
              </w:rPr>
              <w:t xml:space="preserve"> </w:t>
            </w:r>
            <w:proofErr w:type="spellStart"/>
            <w:r w:rsidRPr="00BE3728">
              <w:rPr>
                <w:sz w:val="20"/>
                <w:szCs w:val="20"/>
              </w:rPr>
              <w:t>act</w:t>
            </w:r>
            <w:proofErr w:type="spellEnd"/>
            <w:r w:rsidRPr="00BE3728">
              <w:rPr>
                <w:sz w:val="20"/>
                <w:szCs w:val="20"/>
              </w:rPr>
              <w:t xml:space="preserve"> of </w:t>
            </w:r>
            <w:proofErr w:type="spellStart"/>
            <w:r w:rsidRPr="00BE3728">
              <w:rPr>
                <w:sz w:val="20"/>
                <w:szCs w:val="20"/>
              </w:rPr>
              <w:t>legislation</w:t>
            </w:r>
            <w:proofErr w:type="spellEnd"/>
            <w:r w:rsidRPr="00BE3728">
              <w:rPr>
                <w:sz w:val="20"/>
                <w:szCs w:val="20"/>
              </w:rPr>
              <w:t>“</w:t>
            </w:r>
            <w:r w:rsidRPr="00BE3728">
              <w:rPr>
                <w:rStyle w:val="Funotenzeichen"/>
                <w:sz w:val="20"/>
                <w:szCs w:val="20"/>
              </w:rPr>
              <w:footnoteReference w:id="189"/>
            </w:r>
            <w:r w:rsidRPr="00BE3728">
              <w:rPr>
                <w:sz w:val="20"/>
                <w:szCs w:val="20"/>
              </w:rPr>
              <w:t xml:space="preserve">). </w:t>
            </w:r>
            <w:r w:rsidRPr="00B45592">
              <w:rPr>
                <w:sz w:val="20"/>
                <w:szCs w:val="20"/>
              </w:rPr>
              <w:t>Das täten die Gesetze durch die Alkoholverbote.</w:t>
            </w:r>
          </w:p>
          <w:p w14:paraId="484E3C71" w14:textId="77777777" w:rsidR="00074551" w:rsidRPr="00E50B51" w:rsidRDefault="00074551" w:rsidP="00367133">
            <w:pPr>
              <w:jc w:val="both"/>
              <w:rPr>
                <w:sz w:val="20"/>
                <w:szCs w:val="20"/>
              </w:rPr>
            </w:pPr>
          </w:p>
        </w:tc>
      </w:tr>
      <w:tr w:rsidR="00074551" w:rsidRPr="00E50B51" w14:paraId="5097AA93" w14:textId="77777777" w:rsidTr="00BE689F">
        <w:trPr>
          <w:cantSplit/>
          <w:trHeight w:val="3175"/>
        </w:trPr>
        <w:tc>
          <w:tcPr>
            <w:tcW w:w="293" w:type="pct"/>
          </w:tcPr>
          <w:p w14:paraId="2F609E5C"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28A7FB07" w14:textId="77777777" w:rsidR="00074551" w:rsidRPr="00B45592" w:rsidRDefault="00074551" w:rsidP="00367133">
            <w:pPr>
              <w:ind w:left="113" w:right="416"/>
              <w:jc w:val="both"/>
              <w:rPr>
                <w:i/>
                <w:sz w:val="20"/>
                <w:szCs w:val="20"/>
                <w:lang w:val="en-US"/>
              </w:rPr>
            </w:pPr>
            <w:r w:rsidRPr="00B45592">
              <w:rPr>
                <w:i/>
                <w:sz w:val="20"/>
                <w:szCs w:val="20"/>
                <w:lang w:val="en-US"/>
              </w:rPr>
              <w:t>Shafer v. Farmers Grain Co.</w:t>
            </w:r>
          </w:p>
        </w:tc>
        <w:tc>
          <w:tcPr>
            <w:tcW w:w="197" w:type="pct"/>
            <w:textDirection w:val="tbRl"/>
            <w:vAlign w:val="center"/>
          </w:tcPr>
          <w:p w14:paraId="4F55F995" w14:textId="77777777" w:rsidR="00074551" w:rsidRPr="00E50B51" w:rsidRDefault="00074551" w:rsidP="00367133">
            <w:pPr>
              <w:ind w:left="113" w:right="113"/>
              <w:jc w:val="both"/>
              <w:rPr>
                <w:sz w:val="20"/>
                <w:szCs w:val="20"/>
                <w:lang w:val="en-US"/>
              </w:rPr>
            </w:pPr>
            <w:r w:rsidRPr="00BE3728">
              <w:rPr>
                <w:sz w:val="20"/>
                <w:szCs w:val="20"/>
              </w:rPr>
              <w:t>268 U.S. 189</w:t>
            </w:r>
          </w:p>
        </w:tc>
        <w:tc>
          <w:tcPr>
            <w:tcW w:w="306" w:type="pct"/>
            <w:textDirection w:val="tbRl"/>
            <w:vAlign w:val="center"/>
          </w:tcPr>
          <w:p w14:paraId="3054B241" w14:textId="77777777" w:rsidR="00074551" w:rsidRPr="00E50B51" w:rsidRDefault="00074551" w:rsidP="00367133">
            <w:pPr>
              <w:ind w:left="113" w:right="113"/>
              <w:jc w:val="both"/>
              <w:rPr>
                <w:sz w:val="20"/>
                <w:szCs w:val="20"/>
                <w:lang w:val="en-US"/>
              </w:rPr>
            </w:pPr>
            <w:r w:rsidRPr="00BE3728">
              <w:rPr>
                <w:sz w:val="20"/>
                <w:szCs w:val="20"/>
              </w:rPr>
              <w:t>04. Mai 1925</w:t>
            </w:r>
          </w:p>
        </w:tc>
        <w:tc>
          <w:tcPr>
            <w:tcW w:w="401" w:type="pct"/>
          </w:tcPr>
          <w:p w14:paraId="3C473B62" w14:textId="77777777" w:rsidR="00074551" w:rsidRPr="00E50B51" w:rsidRDefault="00074551" w:rsidP="00367133">
            <w:pPr>
              <w:jc w:val="center"/>
              <w:rPr>
                <w:sz w:val="20"/>
                <w:szCs w:val="20"/>
                <w:lang w:val="en-US"/>
              </w:rPr>
            </w:pPr>
            <w:r w:rsidRPr="00BE3728">
              <w:rPr>
                <w:sz w:val="20"/>
                <w:szCs w:val="20"/>
              </w:rPr>
              <w:t>S</w:t>
            </w:r>
          </w:p>
        </w:tc>
        <w:tc>
          <w:tcPr>
            <w:tcW w:w="1594" w:type="pct"/>
          </w:tcPr>
          <w:p w14:paraId="13BDFB4A"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den Erlass einer einstweiligen Verfügung gegen den </w:t>
            </w:r>
            <w:r w:rsidRPr="00B45592">
              <w:rPr>
                <w:i/>
                <w:sz w:val="20"/>
                <w:szCs w:val="20"/>
              </w:rPr>
              <w:t>North Dakota Grain Grading Act</w:t>
            </w:r>
            <w:r w:rsidRPr="00BE3728">
              <w:rPr>
                <w:sz w:val="20"/>
                <w:szCs w:val="20"/>
              </w:rPr>
              <w:t>, 1923 N. D. Laws 549</w:t>
            </w:r>
            <w:r>
              <w:rPr>
                <w:sz w:val="20"/>
                <w:szCs w:val="20"/>
              </w:rPr>
              <w:t>.</w:t>
            </w:r>
            <w:r w:rsidRPr="00BE3728">
              <w:rPr>
                <w:rStyle w:val="Funotenzeichen"/>
                <w:sz w:val="20"/>
                <w:szCs w:val="20"/>
              </w:rPr>
              <w:footnoteReference w:id="190"/>
            </w:r>
            <w:r w:rsidRPr="00BE3728">
              <w:rPr>
                <w:sz w:val="20"/>
                <w:szCs w:val="20"/>
              </w:rPr>
              <w:t xml:space="preserve"> Die Regelungen </w:t>
            </w:r>
            <w:r>
              <w:rPr>
                <w:sz w:val="20"/>
                <w:szCs w:val="20"/>
              </w:rPr>
              <w:t>würden</w:t>
            </w:r>
            <w:r w:rsidRPr="00BE3728">
              <w:rPr>
                <w:sz w:val="20"/>
                <w:szCs w:val="20"/>
              </w:rPr>
              <w:t xml:space="preserve"> den zwischenstaatlichen Handel unzulässig</w:t>
            </w:r>
            <w:r>
              <w:rPr>
                <w:sz w:val="20"/>
                <w:szCs w:val="20"/>
              </w:rPr>
              <w:t xml:space="preserve"> belasten</w:t>
            </w:r>
            <w:r w:rsidRPr="00BE3728">
              <w:rPr>
                <w:sz w:val="20"/>
                <w:szCs w:val="20"/>
              </w:rPr>
              <w:t xml:space="preserve">. Dazu gehörten die Anforderung einer staatlichen Bewertungslizenz oder eine Bürgschaft des Käufers. Landhandelslagerbetreiber </w:t>
            </w:r>
            <w:r>
              <w:rPr>
                <w:sz w:val="20"/>
                <w:szCs w:val="20"/>
              </w:rPr>
              <w:t>hatten</w:t>
            </w:r>
            <w:r w:rsidRPr="00BE3728">
              <w:rPr>
                <w:sz w:val="20"/>
                <w:szCs w:val="20"/>
              </w:rPr>
              <w:t xml:space="preserve"> </w:t>
            </w:r>
            <w:r>
              <w:rPr>
                <w:sz w:val="20"/>
                <w:szCs w:val="20"/>
              </w:rPr>
              <w:t xml:space="preserve">den Bundesstaat </w:t>
            </w:r>
            <w:r w:rsidRPr="00BE3728">
              <w:rPr>
                <w:sz w:val="20"/>
                <w:szCs w:val="20"/>
              </w:rPr>
              <w:t>wegen des Gesetzes</w:t>
            </w:r>
            <w:r>
              <w:rPr>
                <w:sz w:val="20"/>
                <w:szCs w:val="20"/>
              </w:rPr>
              <w:t xml:space="preserve"> verklagt</w:t>
            </w:r>
            <w:r w:rsidRPr="00BE3728">
              <w:rPr>
                <w:sz w:val="20"/>
                <w:szCs w:val="20"/>
              </w:rPr>
              <w:t>. Dieses schränke den Weizenkauf für den zwischenstaatlichen Versand ein. Das Bezirksgericht verfügte, die Gesetzesdurchsetzung vorläufig aufzuheben. Die Berufung bestätigte dies. Denn der Kongress regele den zwischenstaatlichen Handel, nicht ein Bundesstaat.</w:t>
            </w:r>
            <w:r w:rsidRPr="00BE3728">
              <w:rPr>
                <w:rStyle w:val="Funotenzeichen"/>
                <w:sz w:val="20"/>
                <w:szCs w:val="20"/>
              </w:rPr>
              <w:footnoteReference w:id="191"/>
            </w:r>
          </w:p>
          <w:p w14:paraId="7A5E13CE" w14:textId="77777777" w:rsidR="00074551" w:rsidRPr="00BE3728" w:rsidRDefault="00074551" w:rsidP="00367133">
            <w:pPr>
              <w:jc w:val="both"/>
              <w:rPr>
                <w:sz w:val="20"/>
                <w:szCs w:val="20"/>
              </w:rPr>
            </w:pPr>
          </w:p>
          <w:p w14:paraId="062AC272" w14:textId="77777777" w:rsidR="00074551" w:rsidRPr="00BE3728" w:rsidRDefault="00074551" w:rsidP="00367133">
            <w:pPr>
              <w:jc w:val="both"/>
              <w:rPr>
                <w:sz w:val="20"/>
                <w:szCs w:val="20"/>
              </w:rPr>
            </w:pPr>
          </w:p>
          <w:p w14:paraId="31724597" w14:textId="77777777" w:rsidR="00074551" w:rsidRPr="00BE3728" w:rsidRDefault="00074551" w:rsidP="00367133">
            <w:pPr>
              <w:jc w:val="both"/>
              <w:rPr>
                <w:sz w:val="20"/>
                <w:szCs w:val="20"/>
              </w:rPr>
            </w:pPr>
          </w:p>
          <w:p w14:paraId="07E471D9" w14:textId="77777777" w:rsidR="00074551" w:rsidRPr="00BE3728" w:rsidRDefault="00074551" w:rsidP="00367133">
            <w:pPr>
              <w:jc w:val="both"/>
              <w:rPr>
                <w:sz w:val="20"/>
                <w:szCs w:val="20"/>
              </w:rPr>
            </w:pPr>
          </w:p>
          <w:p w14:paraId="61F049F4" w14:textId="77777777" w:rsidR="00074551" w:rsidRPr="00C219EF" w:rsidRDefault="00074551" w:rsidP="00367133">
            <w:pPr>
              <w:jc w:val="both"/>
              <w:rPr>
                <w:sz w:val="20"/>
                <w:szCs w:val="20"/>
              </w:rPr>
            </w:pPr>
          </w:p>
        </w:tc>
        <w:tc>
          <w:tcPr>
            <w:tcW w:w="1822" w:type="pct"/>
          </w:tcPr>
          <w:p w14:paraId="5A51F15A" w14:textId="4A077FFE" w:rsidR="00074551" w:rsidRDefault="00074551" w:rsidP="00367133">
            <w:pPr>
              <w:jc w:val="both"/>
              <w:rPr>
                <w:rStyle w:val="Hyperlink"/>
                <w:i/>
                <w:color w:val="auto"/>
                <w:sz w:val="20"/>
                <w:szCs w:val="20"/>
                <w:u w:val="none"/>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sz w:val="20"/>
                <w:szCs w:val="20"/>
                <w:lang w:val="en-US"/>
              </w:rPr>
              <w:t xml:space="preserve"> </w:t>
            </w:r>
            <w:r w:rsidRPr="00B45592">
              <w:rPr>
                <w:i/>
                <w:sz w:val="20"/>
                <w:szCs w:val="20"/>
                <w:lang w:val="en-US"/>
              </w:rPr>
              <w:t xml:space="preserve">Business &amp; Corporate Compliance › </w:t>
            </w:r>
            <w:hyperlink r:id="rId12" w:history="1">
              <w:r w:rsidRPr="00B45592">
                <w:rPr>
                  <w:rStyle w:val="Hyperlink"/>
                  <w:i/>
                  <w:color w:val="auto"/>
                  <w:sz w:val="20"/>
                  <w:szCs w:val="20"/>
                  <w:u w:val="none"/>
                  <w:lang w:val="en-US"/>
                </w:rPr>
                <w:t>Transportation</w:t>
              </w:r>
            </w:hyperlink>
            <w:r w:rsidRPr="00B45592">
              <w:rPr>
                <w:i/>
                <w:sz w:val="20"/>
                <w:szCs w:val="20"/>
                <w:lang w:val="en-US"/>
              </w:rPr>
              <w:t xml:space="preserve"> › </w:t>
            </w:r>
            <w:hyperlink r:id="rId13" w:history="1">
              <w:r w:rsidRPr="00B45592">
                <w:rPr>
                  <w:rStyle w:val="Hyperlink"/>
                  <w:i/>
                  <w:color w:val="auto"/>
                  <w:sz w:val="20"/>
                  <w:szCs w:val="20"/>
                  <w:u w:val="none"/>
                  <w:lang w:val="en-US"/>
                </w:rPr>
                <w:t>Interstate Commerce</w:t>
              </w:r>
            </w:hyperlink>
            <w:r w:rsidRPr="00B45592">
              <w:rPr>
                <w:i/>
                <w:sz w:val="20"/>
                <w:szCs w:val="20"/>
                <w:lang w:val="en-US"/>
              </w:rPr>
              <w:t xml:space="preserve"> › </w:t>
            </w:r>
            <w:hyperlink r:id="rId14" w:history="1">
              <w:r w:rsidRPr="00B45592">
                <w:rPr>
                  <w:rStyle w:val="Hyperlink"/>
                  <w:i/>
                  <w:color w:val="auto"/>
                  <w:sz w:val="20"/>
                  <w:szCs w:val="20"/>
                  <w:u w:val="none"/>
                  <w:lang w:val="en-US"/>
                </w:rPr>
                <w:t>State Powers</w:t>
              </w:r>
            </w:hyperlink>
          </w:p>
          <w:p w14:paraId="14A4F020" w14:textId="751D0144" w:rsidR="00074551" w:rsidRPr="00B45592" w:rsidRDefault="00074551" w:rsidP="00367133">
            <w:pPr>
              <w:jc w:val="both"/>
              <w:rPr>
                <w:i/>
                <w:sz w:val="20"/>
                <w:szCs w:val="20"/>
              </w:rPr>
            </w:pPr>
            <w:r w:rsidRPr="00B45592">
              <w:rPr>
                <w:i/>
                <w:sz w:val="20"/>
                <w:szCs w:val="20"/>
              </w:rPr>
              <w:t xml:space="preserve">Transportation Law › </w:t>
            </w:r>
            <w:hyperlink r:id="rId15" w:history="1">
              <w:r w:rsidRPr="00B45592">
                <w:rPr>
                  <w:rStyle w:val="Hyperlink"/>
                  <w:i/>
                  <w:color w:val="auto"/>
                  <w:sz w:val="20"/>
                  <w:szCs w:val="20"/>
                  <w:u w:val="none"/>
                </w:rPr>
                <w:t>Interstate Commerce</w:t>
              </w:r>
            </w:hyperlink>
          </w:p>
          <w:p w14:paraId="169CBAB8" w14:textId="77777777" w:rsidR="00074551" w:rsidRPr="00B45592" w:rsidRDefault="00074551" w:rsidP="00367133">
            <w:pPr>
              <w:jc w:val="both"/>
              <w:rPr>
                <w:sz w:val="20"/>
                <w:szCs w:val="20"/>
              </w:rPr>
            </w:pPr>
          </w:p>
          <w:p w14:paraId="15B3D613" w14:textId="77777777" w:rsidR="00074551" w:rsidRPr="00BE3728" w:rsidRDefault="00074551" w:rsidP="00367133">
            <w:pPr>
              <w:jc w:val="both"/>
              <w:rPr>
                <w:sz w:val="20"/>
                <w:szCs w:val="20"/>
              </w:rPr>
            </w:pPr>
            <w:r w:rsidRPr="00BE3728">
              <w:rPr>
                <w:sz w:val="20"/>
                <w:szCs w:val="20"/>
              </w:rPr>
              <w:t xml:space="preserve">Ein Gesetz, das für verfassungskonforme Zwecken erlassen wurde und den zwischenstaatlichen Handel nur zufällig berührt, ist keine verbotene staatliche Maßnahme im Sinne der </w:t>
            </w:r>
            <w:r w:rsidRPr="00A142D9">
              <w:rPr>
                <w:i/>
                <w:sz w:val="20"/>
                <w:szCs w:val="20"/>
              </w:rPr>
              <w:t xml:space="preserve">Commerce </w:t>
            </w:r>
            <w:proofErr w:type="spellStart"/>
            <w:r w:rsidRPr="00A142D9">
              <w:rPr>
                <w:i/>
                <w:sz w:val="20"/>
                <w:szCs w:val="20"/>
              </w:rPr>
              <w:t>Clause</w:t>
            </w:r>
            <w:proofErr w:type="spellEnd"/>
            <w:r w:rsidRPr="00BE3728">
              <w:rPr>
                <w:sz w:val="20"/>
                <w:szCs w:val="20"/>
              </w:rPr>
              <w:t>.</w:t>
            </w:r>
            <w:r w:rsidRPr="00BE3728">
              <w:rPr>
                <w:rStyle w:val="Funotenzeichen"/>
                <w:sz w:val="20"/>
                <w:szCs w:val="20"/>
              </w:rPr>
              <w:footnoteReference w:id="192"/>
            </w:r>
            <w:r w:rsidRPr="00BE3728">
              <w:rPr>
                <w:sz w:val="20"/>
                <w:szCs w:val="20"/>
              </w:rPr>
              <w:t xml:space="preserve"> Ein Gesetz, das aber</w:t>
            </w:r>
            <w:r>
              <w:rPr>
                <w:sz w:val="20"/>
                <w:szCs w:val="20"/>
              </w:rPr>
              <w:t xml:space="preserve"> – </w:t>
            </w:r>
            <w:r w:rsidRPr="00BE3728">
              <w:rPr>
                <w:sz w:val="20"/>
                <w:szCs w:val="20"/>
              </w:rPr>
              <w:t>unabhängig von seinen verfassungskonformen Zwecken</w:t>
            </w:r>
            <w:r>
              <w:rPr>
                <w:sz w:val="20"/>
                <w:szCs w:val="20"/>
              </w:rPr>
              <w:t> –</w:t>
            </w:r>
            <w:r w:rsidRPr="00BE3728">
              <w:rPr>
                <w:sz w:val="20"/>
                <w:szCs w:val="20"/>
              </w:rPr>
              <w:t xml:space="preserve"> den zwischenstaatlichen Handel unmittelbar beeinträchtigt, ist eine verbotene Regelung und nichtig.</w:t>
            </w:r>
            <w:r w:rsidRPr="00BE3728">
              <w:rPr>
                <w:rStyle w:val="Funotenzeichen"/>
                <w:sz w:val="20"/>
                <w:szCs w:val="20"/>
              </w:rPr>
              <w:footnoteReference w:id="193"/>
            </w:r>
          </w:p>
          <w:p w14:paraId="2F285758" w14:textId="77777777" w:rsidR="00074551" w:rsidRPr="00BE3728" w:rsidRDefault="00074551" w:rsidP="00367133">
            <w:pPr>
              <w:jc w:val="both"/>
              <w:rPr>
                <w:sz w:val="20"/>
                <w:szCs w:val="20"/>
              </w:rPr>
            </w:pPr>
          </w:p>
          <w:p w14:paraId="39AB868A" w14:textId="77777777" w:rsidR="00074551" w:rsidRPr="00BE3728" w:rsidRDefault="00074551" w:rsidP="00367133">
            <w:pPr>
              <w:jc w:val="both"/>
              <w:rPr>
                <w:sz w:val="20"/>
                <w:szCs w:val="20"/>
              </w:rPr>
            </w:pPr>
            <w:r w:rsidRPr="00BE3728">
              <w:rPr>
                <w:sz w:val="20"/>
                <w:szCs w:val="20"/>
              </w:rPr>
              <w:t xml:space="preserve">Der Rechtsbeistand des Berufungsklägers trug drei Argumente für die Verfassungsmäßigkeit des </w:t>
            </w:r>
            <w:r w:rsidRPr="00B45592">
              <w:rPr>
                <w:i/>
                <w:sz w:val="20"/>
                <w:szCs w:val="20"/>
              </w:rPr>
              <w:t>North Dakota Grain Grading Act</w:t>
            </w:r>
            <w:r w:rsidRPr="00BE3728">
              <w:rPr>
                <w:sz w:val="20"/>
                <w:szCs w:val="20"/>
              </w:rPr>
              <w:t xml:space="preserve"> vor. Erstens sei das gesetzgeberische Ziel</w:t>
            </w:r>
            <w:r>
              <w:rPr>
                <w:sz w:val="20"/>
                <w:szCs w:val="20"/>
              </w:rPr>
              <w:t>,</w:t>
            </w:r>
            <w:r w:rsidRPr="00BE3728">
              <w:rPr>
                <w:sz w:val="20"/>
                <w:szCs w:val="20"/>
              </w:rPr>
              <w:t xml:space="preserve"> mit dem </w:t>
            </w:r>
            <w:r w:rsidRPr="00B45592">
              <w:rPr>
                <w:i/>
                <w:sz w:val="20"/>
                <w:szCs w:val="20"/>
              </w:rPr>
              <w:t>North Dakota Grain Grading Act</w:t>
            </w:r>
            <w:r w:rsidRPr="00BE3728">
              <w:rPr>
                <w:sz w:val="20"/>
                <w:szCs w:val="20"/>
              </w:rPr>
              <w:t xml:space="preserve"> das Wohlergehen, das Glück und </w:t>
            </w:r>
            <w:r>
              <w:rPr>
                <w:sz w:val="20"/>
                <w:szCs w:val="20"/>
              </w:rPr>
              <w:t>den</w:t>
            </w:r>
            <w:r w:rsidRPr="00BE3728">
              <w:rPr>
                <w:sz w:val="20"/>
                <w:szCs w:val="20"/>
              </w:rPr>
              <w:t xml:space="preserve"> Wohlstand seiner Bürger zu sichern („</w:t>
            </w:r>
            <w:proofErr w:type="spellStart"/>
            <w:r w:rsidRPr="00BE3728">
              <w:rPr>
                <w:sz w:val="20"/>
                <w:szCs w:val="20"/>
              </w:rPr>
              <w:t>protection</w:t>
            </w:r>
            <w:proofErr w:type="spellEnd"/>
            <w:r w:rsidRPr="00BE3728">
              <w:rPr>
                <w:sz w:val="20"/>
                <w:szCs w:val="20"/>
              </w:rPr>
              <w:t xml:space="preserve"> of the </w:t>
            </w:r>
            <w:proofErr w:type="spellStart"/>
            <w:r w:rsidRPr="00BE3728">
              <w:rPr>
                <w:sz w:val="20"/>
                <w:szCs w:val="20"/>
              </w:rPr>
              <w:t>welfare</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w:t>
            </w:r>
            <w:r w:rsidRPr="00BE3728">
              <w:rPr>
                <w:rStyle w:val="Funotenzeichen"/>
                <w:sz w:val="20"/>
                <w:szCs w:val="20"/>
              </w:rPr>
              <w:footnoteReference w:id="194"/>
            </w:r>
            <w:r w:rsidRPr="00BE3728">
              <w:rPr>
                <w:sz w:val="20"/>
                <w:szCs w:val="20"/>
              </w:rPr>
              <w:t xml:space="preserve">). Dies präge sich in zweierlei Hinsicht aus: Einerseits belaste das Gesetz zumindest nicht messbar den zwischenstaatlichen Handel, so der Berufungskläger. Und andererseits sei der </w:t>
            </w:r>
            <w:r w:rsidRPr="008C36D1">
              <w:rPr>
                <w:i/>
                <w:sz w:val="20"/>
                <w:szCs w:val="20"/>
              </w:rPr>
              <w:t xml:space="preserve">North </w:t>
            </w:r>
            <w:r w:rsidRPr="00B45592">
              <w:rPr>
                <w:i/>
                <w:sz w:val="20"/>
                <w:szCs w:val="20"/>
              </w:rPr>
              <w:t>Dakota Grain Grading Act</w:t>
            </w:r>
            <w:r w:rsidRPr="00BE3728">
              <w:rPr>
                <w:sz w:val="20"/>
                <w:szCs w:val="20"/>
              </w:rPr>
              <w:t xml:space="preserve"> im Lichte des </w:t>
            </w:r>
            <w:r w:rsidRPr="00B45592">
              <w:rPr>
                <w:i/>
                <w:sz w:val="20"/>
                <w:szCs w:val="20"/>
              </w:rPr>
              <w:t>Federal Grain Standards Act</w:t>
            </w:r>
            <w:r w:rsidRPr="00BE3728">
              <w:rPr>
                <w:sz w:val="20"/>
                <w:szCs w:val="20"/>
              </w:rPr>
              <w:t xml:space="preserve"> zu lesen. Mit beiden seien nunmehr die Sorten und Standards für Weizen bundesstaatsübergreifend festgelegt und bekanntgemacht. Bislang waren dafür die bundesstaatlichen Verwaltungen zuständig, was zu zersplitterten Standards führte. Der </w:t>
            </w:r>
            <w:r>
              <w:rPr>
                <w:sz w:val="20"/>
                <w:szCs w:val="20"/>
              </w:rPr>
              <w:t>U.S. Supreme Court</w:t>
            </w:r>
            <w:r w:rsidRPr="00BE3728">
              <w:rPr>
                <w:sz w:val="20"/>
                <w:szCs w:val="20"/>
              </w:rPr>
              <w:t xml:space="preserve"> widersprach insbesondere der ersten Ausprägung: Der </w:t>
            </w:r>
            <w:r w:rsidRPr="00B45592">
              <w:rPr>
                <w:i/>
                <w:sz w:val="20"/>
                <w:szCs w:val="20"/>
              </w:rPr>
              <w:t>North Dakota Grain Grading Act</w:t>
            </w:r>
            <w:r w:rsidRPr="00BE3728">
              <w:rPr>
                <w:sz w:val="20"/>
                <w:szCs w:val="20"/>
              </w:rPr>
              <w:t xml:space="preserve"> </w:t>
            </w:r>
            <w:r>
              <w:rPr>
                <w:sz w:val="20"/>
                <w:szCs w:val="20"/>
              </w:rPr>
              <w:t>greife</w:t>
            </w:r>
            <w:r w:rsidRPr="00BE3728">
              <w:rPr>
                <w:sz w:val="20"/>
                <w:szCs w:val="20"/>
              </w:rPr>
              <w:t xml:space="preserve"> unzulässig in den zwischenstaatlichen Handel ein, den die </w:t>
            </w:r>
            <w:r w:rsidRPr="00A142D9">
              <w:rPr>
                <w:i/>
                <w:sz w:val="20"/>
                <w:szCs w:val="20"/>
              </w:rPr>
              <w:t xml:space="preserve">Commerce </w:t>
            </w:r>
            <w:proofErr w:type="spellStart"/>
            <w:r w:rsidRPr="00A142D9">
              <w:rPr>
                <w:i/>
                <w:sz w:val="20"/>
                <w:szCs w:val="20"/>
              </w:rPr>
              <w:t>Clause</w:t>
            </w:r>
            <w:proofErr w:type="spellEnd"/>
            <w:r w:rsidRPr="00BE3728">
              <w:rPr>
                <w:sz w:val="20"/>
                <w:szCs w:val="20"/>
              </w:rPr>
              <w:t xml:space="preserve"> absichere. Er lege willkürliche Bedingungen für zu exportierenden Weizen fest, dazu gehörten z.B. eine bundesstaatliche Bewertungslizenz („</w:t>
            </w:r>
            <w:proofErr w:type="spellStart"/>
            <w:r w:rsidRPr="00BE3728">
              <w:rPr>
                <w:sz w:val="20"/>
                <w:szCs w:val="20"/>
              </w:rPr>
              <w:t>state</w:t>
            </w:r>
            <w:proofErr w:type="spellEnd"/>
            <w:r w:rsidRPr="00BE3728">
              <w:rPr>
                <w:sz w:val="20"/>
                <w:szCs w:val="20"/>
              </w:rPr>
              <w:t xml:space="preserve"> </w:t>
            </w:r>
            <w:proofErr w:type="spellStart"/>
            <w:r w:rsidRPr="00BE3728">
              <w:rPr>
                <w:sz w:val="20"/>
                <w:szCs w:val="20"/>
              </w:rPr>
              <w:t>grading</w:t>
            </w:r>
            <w:proofErr w:type="spellEnd"/>
            <w:r w:rsidRPr="00BE3728">
              <w:rPr>
                <w:sz w:val="20"/>
                <w:szCs w:val="20"/>
              </w:rPr>
              <w:t xml:space="preserve"> </w:t>
            </w:r>
            <w:proofErr w:type="spellStart"/>
            <w:r w:rsidRPr="00BE3728">
              <w:rPr>
                <w:sz w:val="20"/>
                <w:szCs w:val="20"/>
              </w:rPr>
              <w:t>license</w:t>
            </w:r>
            <w:proofErr w:type="spellEnd"/>
            <w:r w:rsidRPr="00BE3728">
              <w:rPr>
                <w:sz w:val="20"/>
                <w:szCs w:val="20"/>
              </w:rPr>
              <w:t>“).</w:t>
            </w:r>
            <w:r w:rsidRPr="00BE3728">
              <w:rPr>
                <w:rStyle w:val="Funotenzeichen"/>
                <w:sz w:val="20"/>
                <w:szCs w:val="20"/>
              </w:rPr>
              <w:footnoteReference w:id="195"/>
            </w:r>
            <w:r w:rsidRPr="00BE3728">
              <w:rPr>
                <w:sz w:val="20"/>
                <w:szCs w:val="20"/>
              </w:rPr>
              <w:t xml:space="preserve"> </w:t>
            </w:r>
            <w:r>
              <w:rPr>
                <w:sz w:val="20"/>
                <w:szCs w:val="20"/>
              </w:rPr>
              <w:t>Deshalb entspreche</w:t>
            </w:r>
            <w:r w:rsidRPr="00BE3728">
              <w:rPr>
                <w:sz w:val="20"/>
                <w:szCs w:val="20"/>
              </w:rPr>
              <w:t xml:space="preserve"> der </w:t>
            </w:r>
            <w:r w:rsidRPr="008C36D1">
              <w:rPr>
                <w:i/>
                <w:sz w:val="20"/>
                <w:szCs w:val="20"/>
              </w:rPr>
              <w:t>North Dakota Grain Grading Act</w:t>
            </w:r>
            <w:r w:rsidRPr="00BE3728">
              <w:rPr>
                <w:sz w:val="20"/>
                <w:szCs w:val="20"/>
              </w:rPr>
              <w:t xml:space="preserve"> gerade nicht den gesetzgeberischen Zielen, den Handel zu erleichtern.</w:t>
            </w:r>
          </w:p>
          <w:p w14:paraId="04551F1F" w14:textId="77777777" w:rsidR="00074551" w:rsidRPr="00E50B51" w:rsidRDefault="00074551" w:rsidP="00367133">
            <w:pPr>
              <w:jc w:val="both"/>
              <w:rPr>
                <w:sz w:val="20"/>
                <w:szCs w:val="20"/>
              </w:rPr>
            </w:pPr>
          </w:p>
        </w:tc>
      </w:tr>
      <w:tr w:rsidR="00074551" w:rsidRPr="00E50B51" w14:paraId="5C7CBE2A" w14:textId="77777777" w:rsidTr="00752D01">
        <w:trPr>
          <w:cantSplit/>
          <w:trHeight w:val="3175"/>
        </w:trPr>
        <w:tc>
          <w:tcPr>
            <w:tcW w:w="293" w:type="pct"/>
            <w:shd w:val="clear" w:color="auto" w:fill="E7E6E6" w:themeFill="background2"/>
          </w:tcPr>
          <w:p w14:paraId="657799B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3851439F" w14:textId="77777777" w:rsidR="00074551" w:rsidRPr="00E50B51" w:rsidRDefault="00074551" w:rsidP="00367133">
            <w:pPr>
              <w:ind w:left="113" w:right="416"/>
              <w:jc w:val="both"/>
              <w:rPr>
                <w:sz w:val="20"/>
                <w:szCs w:val="20"/>
                <w:lang w:val="en-US"/>
              </w:rPr>
            </w:pPr>
            <w:r w:rsidRPr="00BE3728">
              <w:rPr>
                <w:sz w:val="20"/>
                <w:szCs w:val="20"/>
              </w:rPr>
              <w:t>Wirtschaftliche Seite</w:t>
            </w:r>
          </w:p>
        </w:tc>
        <w:tc>
          <w:tcPr>
            <w:tcW w:w="197" w:type="pct"/>
            <w:shd w:val="clear" w:color="auto" w:fill="E7E6E6" w:themeFill="background2"/>
            <w:textDirection w:val="tbRl"/>
            <w:vAlign w:val="center"/>
          </w:tcPr>
          <w:p w14:paraId="209BF671" w14:textId="77777777" w:rsidR="00074551" w:rsidRPr="00E50B51" w:rsidRDefault="00074551" w:rsidP="00367133">
            <w:pPr>
              <w:ind w:left="113" w:right="113"/>
              <w:jc w:val="both"/>
              <w:rPr>
                <w:sz w:val="20"/>
                <w:szCs w:val="20"/>
                <w:lang w:val="en-US"/>
              </w:rPr>
            </w:pPr>
            <w:r w:rsidRPr="00BE3728">
              <w:rPr>
                <w:sz w:val="20"/>
                <w:szCs w:val="20"/>
                <w:lang w:val="en-US"/>
              </w:rPr>
              <w:t>Commerce Clause</w:t>
            </w:r>
          </w:p>
        </w:tc>
        <w:tc>
          <w:tcPr>
            <w:tcW w:w="306" w:type="pct"/>
            <w:shd w:val="clear" w:color="auto" w:fill="E7E6E6" w:themeFill="background2"/>
            <w:textDirection w:val="tbRl"/>
            <w:vAlign w:val="center"/>
          </w:tcPr>
          <w:p w14:paraId="1A4A1210" w14:textId="77777777" w:rsidR="00074551" w:rsidRPr="00E50B51" w:rsidRDefault="00074551" w:rsidP="00367133">
            <w:pPr>
              <w:ind w:left="113" w:right="113"/>
              <w:jc w:val="both"/>
              <w:rPr>
                <w:sz w:val="20"/>
                <w:szCs w:val="20"/>
                <w:lang w:val="en-US"/>
              </w:rPr>
            </w:pPr>
            <w:r w:rsidRPr="00BE3728">
              <w:rPr>
                <w:sz w:val="20"/>
                <w:szCs w:val="20"/>
                <w:lang w:val="en-US"/>
              </w:rPr>
              <w:t>Interstate Commerce</w:t>
            </w:r>
          </w:p>
        </w:tc>
        <w:tc>
          <w:tcPr>
            <w:tcW w:w="401" w:type="pct"/>
            <w:shd w:val="clear" w:color="auto" w:fill="E7E6E6" w:themeFill="background2"/>
            <w:textDirection w:val="tbRl"/>
          </w:tcPr>
          <w:p w14:paraId="26A3AE74" w14:textId="77777777" w:rsidR="00074551" w:rsidRDefault="00074551" w:rsidP="00367133">
            <w:pPr>
              <w:ind w:left="113" w:right="113"/>
              <w:rPr>
                <w:sz w:val="20"/>
                <w:szCs w:val="20"/>
                <w:lang w:val="en-US"/>
              </w:rPr>
            </w:pPr>
          </w:p>
          <w:p w14:paraId="70686C48" w14:textId="77777777" w:rsidR="00074551" w:rsidRPr="00E50B51" w:rsidRDefault="00074551" w:rsidP="00367133">
            <w:pPr>
              <w:ind w:left="113" w:right="113"/>
              <w:rPr>
                <w:sz w:val="20"/>
                <w:szCs w:val="20"/>
                <w:lang w:val="en-US"/>
              </w:rPr>
            </w:pPr>
            <w:r w:rsidRPr="00BE3728">
              <w:rPr>
                <w:sz w:val="20"/>
                <w:szCs w:val="20"/>
                <w:lang w:val="en-US"/>
              </w:rPr>
              <w:t>Federal Preemption</w:t>
            </w:r>
          </w:p>
        </w:tc>
        <w:tc>
          <w:tcPr>
            <w:tcW w:w="1594" w:type="pct"/>
            <w:shd w:val="clear" w:color="auto" w:fill="E7E6E6" w:themeFill="background2"/>
            <w:vAlign w:val="center"/>
          </w:tcPr>
          <w:p w14:paraId="710F05AE" w14:textId="77777777" w:rsidR="00074551" w:rsidRPr="00E50B51" w:rsidRDefault="00074551" w:rsidP="00367133">
            <w:pPr>
              <w:jc w:val="both"/>
              <w:rPr>
                <w:sz w:val="20"/>
                <w:szCs w:val="20"/>
                <w:lang w:val="en-US"/>
              </w:rPr>
            </w:pPr>
          </w:p>
        </w:tc>
        <w:tc>
          <w:tcPr>
            <w:tcW w:w="1822" w:type="pct"/>
            <w:shd w:val="clear" w:color="auto" w:fill="E7E6E6" w:themeFill="background2"/>
          </w:tcPr>
          <w:p w14:paraId="6859EA41" w14:textId="6C6AF5C0"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12528A6" w14:textId="77777777" w:rsidTr="00BE689F">
        <w:trPr>
          <w:cantSplit/>
          <w:trHeight w:val="3175"/>
        </w:trPr>
        <w:tc>
          <w:tcPr>
            <w:tcW w:w="293" w:type="pct"/>
          </w:tcPr>
          <w:p w14:paraId="38984972"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45465B60" w14:textId="77777777" w:rsidR="00074551" w:rsidRPr="00B45592" w:rsidRDefault="00074551" w:rsidP="00367133">
            <w:pPr>
              <w:ind w:left="113" w:right="416"/>
              <w:jc w:val="both"/>
              <w:rPr>
                <w:i/>
                <w:sz w:val="20"/>
                <w:szCs w:val="20"/>
                <w:lang w:val="en-US"/>
              </w:rPr>
            </w:pPr>
            <w:r w:rsidRPr="00B45592">
              <w:rPr>
                <w:i/>
                <w:sz w:val="20"/>
                <w:szCs w:val="20"/>
                <w:lang w:val="en-US"/>
              </w:rPr>
              <w:t>New York C. R. Co. v. Winfield</w:t>
            </w:r>
          </w:p>
        </w:tc>
        <w:tc>
          <w:tcPr>
            <w:tcW w:w="197" w:type="pct"/>
            <w:textDirection w:val="tbRl"/>
            <w:vAlign w:val="center"/>
          </w:tcPr>
          <w:p w14:paraId="372C5E39" w14:textId="77777777" w:rsidR="00074551" w:rsidRPr="00E50B51" w:rsidRDefault="00074551" w:rsidP="00367133">
            <w:pPr>
              <w:ind w:left="113" w:right="113"/>
              <w:jc w:val="both"/>
              <w:rPr>
                <w:sz w:val="20"/>
                <w:szCs w:val="20"/>
                <w:lang w:val="en-US"/>
              </w:rPr>
            </w:pPr>
            <w:r w:rsidRPr="00BE3728">
              <w:rPr>
                <w:sz w:val="20"/>
                <w:szCs w:val="20"/>
              </w:rPr>
              <w:t>244 U.S. 147</w:t>
            </w:r>
          </w:p>
        </w:tc>
        <w:tc>
          <w:tcPr>
            <w:tcW w:w="306" w:type="pct"/>
            <w:textDirection w:val="tbRl"/>
            <w:vAlign w:val="center"/>
          </w:tcPr>
          <w:p w14:paraId="3C277D36" w14:textId="77777777" w:rsidR="00074551" w:rsidRPr="00E50B51" w:rsidRDefault="00074551" w:rsidP="00367133">
            <w:pPr>
              <w:ind w:left="113" w:right="113"/>
              <w:jc w:val="both"/>
              <w:rPr>
                <w:sz w:val="20"/>
                <w:szCs w:val="20"/>
                <w:lang w:val="en-US"/>
              </w:rPr>
            </w:pPr>
            <w:r w:rsidRPr="00BE3728">
              <w:rPr>
                <w:sz w:val="20"/>
                <w:szCs w:val="20"/>
              </w:rPr>
              <w:t>21. Mai 1917</w:t>
            </w:r>
          </w:p>
        </w:tc>
        <w:tc>
          <w:tcPr>
            <w:tcW w:w="401" w:type="pct"/>
          </w:tcPr>
          <w:p w14:paraId="51FB458D"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2FA81042" w14:textId="77777777" w:rsidR="00074551" w:rsidRPr="00BE3728" w:rsidRDefault="00074551" w:rsidP="00367133">
            <w:pPr>
              <w:jc w:val="both"/>
              <w:rPr>
                <w:sz w:val="20"/>
                <w:szCs w:val="20"/>
              </w:rPr>
            </w:pPr>
            <w:r w:rsidRPr="00B45592">
              <w:rPr>
                <w:sz w:val="20"/>
                <w:szCs w:val="20"/>
              </w:rPr>
              <w:t xml:space="preserve">Der </w:t>
            </w:r>
            <w:r>
              <w:rPr>
                <w:sz w:val="20"/>
                <w:szCs w:val="20"/>
              </w:rPr>
              <w:t>U.S. Supreme Court</w:t>
            </w:r>
            <w:r w:rsidRPr="00B45592">
              <w:rPr>
                <w:sz w:val="20"/>
                <w:szCs w:val="20"/>
              </w:rPr>
              <w:t xml:space="preserve"> hob das Urteil der </w:t>
            </w:r>
            <w:proofErr w:type="spellStart"/>
            <w:r w:rsidRPr="00B45592">
              <w:rPr>
                <w:i/>
                <w:sz w:val="20"/>
                <w:szCs w:val="20"/>
              </w:rPr>
              <w:t>Appellate</w:t>
            </w:r>
            <w:proofErr w:type="spellEnd"/>
            <w:r w:rsidRPr="00B45592">
              <w:rPr>
                <w:i/>
                <w:sz w:val="20"/>
                <w:szCs w:val="20"/>
              </w:rPr>
              <w:t xml:space="preserve"> Division, Third </w:t>
            </w:r>
            <w:proofErr w:type="spellStart"/>
            <w:r w:rsidRPr="00B45592">
              <w:rPr>
                <w:i/>
                <w:sz w:val="20"/>
                <w:szCs w:val="20"/>
              </w:rPr>
              <w:t>Judicial</w:t>
            </w:r>
            <w:proofErr w:type="spellEnd"/>
            <w:r w:rsidRPr="00B45592">
              <w:rPr>
                <w:i/>
                <w:sz w:val="20"/>
                <w:szCs w:val="20"/>
              </w:rPr>
              <w:t xml:space="preserve"> Department, State of New York</w:t>
            </w:r>
            <w:r w:rsidRPr="00B45592">
              <w:rPr>
                <w:sz w:val="20"/>
                <w:szCs w:val="20"/>
              </w:rPr>
              <w:t xml:space="preserve"> auf, welches</w:t>
            </w:r>
            <w:r w:rsidRPr="00BE3728">
              <w:rPr>
                <w:sz w:val="20"/>
                <w:szCs w:val="20"/>
              </w:rPr>
              <w:t xml:space="preserve"> einem Eisenbahnmitarbeiter Leistungen für</w:t>
            </w:r>
            <w:r>
              <w:rPr>
                <w:sz w:val="20"/>
                <w:szCs w:val="20"/>
              </w:rPr>
              <w:t xml:space="preserve"> </w:t>
            </w:r>
            <w:r w:rsidRPr="00BE3728">
              <w:rPr>
                <w:sz w:val="20"/>
                <w:szCs w:val="20"/>
              </w:rPr>
              <w:t>während der Arbeit erlitten</w:t>
            </w:r>
            <w:r>
              <w:rPr>
                <w:sz w:val="20"/>
                <w:szCs w:val="20"/>
              </w:rPr>
              <w:t>e</w:t>
            </w:r>
            <w:r w:rsidRPr="00BE3728">
              <w:rPr>
                <w:sz w:val="20"/>
                <w:szCs w:val="20"/>
              </w:rPr>
              <w:t xml:space="preserve"> Verletzungen zugesprochen hatte. </w:t>
            </w:r>
            <w:r w:rsidRPr="00B45592">
              <w:rPr>
                <w:sz w:val="20"/>
                <w:szCs w:val="20"/>
                <w:lang w:val="en-IE"/>
              </w:rPr>
              <w:t xml:space="preserve">Dies </w:t>
            </w:r>
            <w:proofErr w:type="spellStart"/>
            <w:r w:rsidRPr="00B45592">
              <w:rPr>
                <w:sz w:val="20"/>
                <w:szCs w:val="20"/>
                <w:lang w:val="en-IE"/>
              </w:rPr>
              <w:t>geschah</w:t>
            </w:r>
            <w:proofErr w:type="spellEnd"/>
            <w:r w:rsidRPr="00B45592">
              <w:rPr>
                <w:sz w:val="20"/>
                <w:szCs w:val="20"/>
                <w:lang w:val="en-IE"/>
              </w:rPr>
              <w:t xml:space="preserve"> </w:t>
            </w:r>
            <w:proofErr w:type="spellStart"/>
            <w:r w:rsidRPr="00B45592">
              <w:rPr>
                <w:sz w:val="20"/>
                <w:szCs w:val="20"/>
                <w:lang w:val="en-IE"/>
              </w:rPr>
              <w:t>gemäß</w:t>
            </w:r>
            <w:proofErr w:type="spellEnd"/>
            <w:r w:rsidRPr="00B45592">
              <w:rPr>
                <w:sz w:val="20"/>
                <w:szCs w:val="20"/>
                <w:lang w:val="en-IE"/>
              </w:rPr>
              <w:t xml:space="preserve"> </w:t>
            </w:r>
            <w:proofErr w:type="spellStart"/>
            <w:r w:rsidRPr="00B45592">
              <w:rPr>
                <w:sz w:val="20"/>
                <w:szCs w:val="20"/>
                <w:lang w:val="en-IE"/>
              </w:rPr>
              <w:t>dem</w:t>
            </w:r>
            <w:proofErr w:type="spellEnd"/>
            <w:r w:rsidRPr="00B45592">
              <w:rPr>
                <w:sz w:val="20"/>
                <w:szCs w:val="20"/>
                <w:lang w:val="en-IE"/>
              </w:rPr>
              <w:t xml:space="preserve"> </w:t>
            </w:r>
            <w:r w:rsidRPr="00B45592">
              <w:rPr>
                <w:i/>
                <w:sz w:val="20"/>
                <w:szCs w:val="20"/>
                <w:lang w:val="en-IE"/>
              </w:rPr>
              <w:t>Workmen’s Compensation Law of New York</w:t>
            </w:r>
            <w:r w:rsidRPr="00B45592">
              <w:rPr>
                <w:sz w:val="20"/>
                <w:szCs w:val="20"/>
                <w:lang w:val="en-IE"/>
              </w:rPr>
              <w:t xml:space="preserve">. </w:t>
            </w:r>
            <w:r w:rsidRPr="00BE3728">
              <w:rPr>
                <w:sz w:val="20"/>
                <w:szCs w:val="20"/>
              </w:rPr>
              <w:t xml:space="preserve">Der </w:t>
            </w:r>
            <w:r>
              <w:rPr>
                <w:sz w:val="20"/>
                <w:szCs w:val="20"/>
              </w:rPr>
              <w:t>U.S. Supreme Court</w:t>
            </w:r>
            <w:r w:rsidRPr="00BE3728">
              <w:rPr>
                <w:sz w:val="20"/>
                <w:szCs w:val="20"/>
              </w:rPr>
              <w:t xml:space="preserve"> entschied nun, dass </w:t>
            </w:r>
            <w:r>
              <w:rPr>
                <w:sz w:val="20"/>
                <w:szCs w:val="20"/>
              </w:rPr>
              <w:t>stattdessen</w:t>
            </w:r>
            <w:r w:rsidRPr="00BE3728">
              <w:rPr>
                <w:sz w:val="20"/>
                <w:szCs w:val="20"/>
              </w:rPr>
              <w:t xml:space="preserve"> der </w:t>
            </w:r>
            <w:proofErr w:type="spellStart"/>
            <w:r w:rsidRPr="00B45592">
              <w:rPr>
                <w:i/>
                <w:sz w:val="20"/>
                <w:szCs w:val="20"/>
              </w:rPr>
              <w:t>Employers</w:t>
            </w:r>
            <w:proofErr w:type="spellEnd"/>
            <w:r w:rsidRPr="00B45592">
              <w:rPr>
                <w:i/>
                <w:sz w:val="20"/>
                <w:szCs w:val="20"/>
              </w:rPr>
              <w:t xml:space="preserve">’ </w:t>
            </w:r>
            <w:proofErr w:type="spellStart"/>
            <w:r w:rsidRPr="00B45592">
              <w:rPr>
                <w:i/>
                <w:sz w:val="20"/>
                <w:szCs w:val="20"/>
              </w:rPr>
              <w:t>Liability</w:t>
            </w:r>
            <w:proofErr w:type="spellEnd"/>
            <w:r w:rsidRPr="00B45592">
              <w:rPr>
                <w:i/>
                <w:sz w:val="20"/>
                <w:szCs w:val="20"/>
              </w:rPr>
              <w:t xml:space="preserve"> Act</w:t>
            </w:r>
            <w:r w:rsidRPr="00BE3728">
              <w:rPr>
                <w:rStyle w:val="Funotenzeichen"/>
                <w:sz w:val="20"/>
                <w:szCs w:val="20"/>
              </w:rPr>
              <w:footnoteReference w:id="196"/>
            </w:r>
            <w:r w:rsidRPr="00BE3728">
              <w:rPr>
                <w:sz w:val="20"/>
                <w:szCs w:val="20"/>
              </w:rPr>
              <w:t xml:space="preserve"> des Kongresses Anwendung finden solle, weil die Eisenbahn bundesstaatsübergreifenden Handel betrieb. Und dieses Bundesgesetz finde sowohl für fahrlässige als auch für nicht fahrlässige Verletzungen Anwendung, die </w:t>
            </w:r>
            <w:r>
              <w:rPr>
                <w:sz w:val="20"/>
                <w:szCs w:val="20"/>
              </w:rPr>
              <w:t>durch die</w:t>
            </w:r>
            <w:r w:rsidRPr="00BE3728">
              <w:rPr>
                <w:sz w:val="20"/>
                <w:szCs w:val="20"/>
              </w:rPr>
              <w:t xml:space="preserve"> Eisenbahn </w:t>
            </w:r>
            <w:r>
              <w:rPr>
                <w:sz w:val="20"/>
                <w:szCs w:val="20"/>
              </w:rPr>
              <w:t>ausgelöst wurden</w:t>
            </w:r>
            <w:r w:rsidRPr="00BE3728">
              <w:rPr>
                <w:sz w:val="20"/>
                <w:szCs w:val="20"/>
              </w:rPr>
              <w:t>. E</w:t>
            </w:r>
            <w:r>
              <w:rPr>
                <w:sz w:val="20"/>
                <w:szCs w:val="20"/>
              </w:rPr>
              <w:t>s</w:t>
            </w:r>
            <w:r w:rsidRPr="00BE3728">
              <w:rPr>
                <w:sz w:val="20"/>
                <w:szCs w:val="20"/>
              </w:rPr>
              <w:t xml:space="preserve"> wirke damit umfassend und gelte ausschließlich. Doch dieses Bundesgesetz sah keine Haftung für Verletzungen ohne Fahrlässigkeit vor. Damit regelte es, dass Fahrlässigkeit die unterste Stufe für eine Haftung von Unternehmen bei Verletzungen blieb. Die Folge</w:t>
            </w:r>
            <w:r>
              <w:rPr>
                <w:sz w:val="20"/>
                <w:szCs w:val="20"/>
              </w:rPr>
              <w:t xml:space="preserve">: Das </w:t>
            </w:r>
            <w:r w:rsidRPr="00BE3728">
              <w:rPr>
                <w:sz w:val="20"/>
                <w:szCs w:val="20"/>
              </w:rPr>
              <w:t>Gesetz</w:t>
            </w:r>
            <w:r>
              <w:rPr>
                <w:sz w:val="20"/>
                <w:szCs w:val="20"/>
              </w:rPr>
              <w:t xml:space="preserve"> schließe</w:t>
            </w:r>
            <w:r w:rsidRPr="00BE3728">
              <w:rPr>
                <w:sz w:val="20"/>
                <w:szCs w:val="20"/>
              </w:rPr>
              <w:t xml:space="preserve"> eine Haftung für nicht fahrlässige Verletzungen </w:t>
            </w:r>
            <w:r>
              <w:rPr>
                <w:sz w:val="20"/>
                <w:szCs w:val="20"/>
              </w:rPr>
              <w:t>aus</w:t>
            </w:r>
            <w:r w:rsidRPr="00BE3728">
              <w:rPr>
                <w:sz w:val="20"/>
                <w:szCs w:val="20"/>
              </w:rPr>
              <w:t>, wie hier im Fall. Un</w:t>
            </w:r>
            <w:r>
              <w:rPr>
                <w:sz w:val="20"/>
                <w:szCs w:val="20"/>
              </w:rPr>
              <w:t>d</w:t>
            </w:r>
            <w:r w:rsidRPr="00BE3728">
              <w:rPr>
                <w:sz w:val="20"/>
                <w:szCs w:val="20"/>
              </w:rPr>
              <w:t xml:space="preserve"> die Anwendung des staatlichen </w:t>
            </w:r>
            <w:bookmarkStart w:id="21" w:name="_Hlk228720193"/>
            <w:proofErr w:type="spellStart"/>
            <w:r w:rsidRPr="00B45592">
              <w:rPr>
                <w:i/>
                <w:sz w:val="20"/>
                <w:szCs w:val="20"/>
              </w:rPr>
              <w:t>Workmen’s</w:t>
            </w:r>
            <w:proofErr w:type="spellEnd"/>
            <w:r w:rsidRPr="00B45592">
              <w:rPr>
                <w:i/>
                <w:sz w:val="20"/>
                <w:szCs w:val="20"/>
              </w:rPr>
              <w:t xml:space="preserve"> </w:t>
            </w:r>
            <w:proofErr w:type="spellStart"/>
            <w:r w:rsidRPr="00B45592">
              <w:rPr>
                <w:i/>
                <w:sz w:val="20"/>
                <w:szCs w:val="20"/>
              </w:rPr>
              <w:t>Compensation</w:t>
            </w:r>
            <w:proofErr w:type="spellEnd"/>
            <w:r w:rsidRPr="00B45592">
              <w:rPr>
                <w:i/>
                <w:sz w:val="20"/>
                <w:szCs w:val="20"/>
              </w:rPr>
              <w:t xml:space="preserve"> Law</w:t>
            </w:r>
            <w:bookmarkEnd w:id="21"/>
            <w:r w:rsidRPr="00B45592">
              <w:rPr>
                <w:i/>
                <w:sz w:val="20"/>
                <w:szCs w:val="20"/>
              </w:rPr>
              <w:t xml:space="preserve"> </w:t>
            </w:r>
            <w:r>
              <w:rPr>
                <w:sz w:val="20"/>
                <w:szCs w:val="20"/>
              </w:rPr>
              <w:t>sei</w:t>
            </w:r>
            <w:r w:rsidRPr="00BE3728">
              <w:rPr>
                <w:sz w:val="20"/>
                <w:szCs w:val="20"/>
              </w:rPr>
              <w:t xml:space="preserve"> durch das Bundesgesetz gesperrt.</w:t>
            </w:r>
            <w:r w:rsidRPr="00BE3728">
              <w:rPr>
                <w:rStyle w:val="Funotenzeichen"/>
                <w:sz w:val="20"/>
                <w:szCs w:val="20"/>
              </w:rPr>
              <w:footnoteReference w:id="197"/>
            </w:r>
          </w:p>
          <w:p w14:paraId="5D848C3E" w14:textId="77777777" w:rsidR="00074551" w:rsidRPr="00BE3728" w:rsidRDefault="00074551" w:rsidP="00367133">
            <w:pPr>
              <w:jc w:val="both"/>
              <w:rPr>
                <w:sz w:val="20"/>
                <w:szCs w:val="20"/>
              </w:rPr>
            </w:pPr>
          </w:p>
          <w:p w14:paraId="4104FF50" w14:textId="77777777" w:rsidR="00074551" w:rsidRPr="00BE3728" w:rsidRDefault="00074551" w:rsidP="00367133">
            <w:pPr>
              <w:jc w:val="both"/>
              <w:rPr>
                <w:sz w:val="20"/>
                <w:szCs w:val="20"/>
              </w:rPr>
            </w:pPr>
          </w:p>
          <w:p w14:paraId="77C38344" w14:textId="77777777" w:rsidR="00074551" w:rsidRPr="00C219EF" w:rsidRDefault="00074551" w:rsidP="00367133">
            <w:pPr>
              <w:jc w:val="both"/>
              <w:rPr>
                <w:sz w:val="20"/>
                <w:szCs w:val="20"/>
              </w:rPr>
            </w:pPr>
            <w:r w:rsidRPr="00BE3728">
              <w:rPr>
                <w:sz w:val="20"/>
                <w:szCs w:val="20"/>
              </w:rPr>
              <w:br/>
            </w:r>
          </w:p>
        </w:tc>
        <w:tc>
          <w:tcPr>
            <w:tcW w:w="1822" w:type="pct"/>
          </w:tcPr>
          <w:p w14:paraId="228FB46D"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sz w:val="20"/>
                <w:szCs w:val="20"/>
                <w:lang w:val="en-US"/>
              </w:rPr>
              <w:t xml:space="preserve"> </w:t>
            </w:r>
            <w:r w:rsidRPr="00B45592">
              <w:rPr>
                <w:i/>
                <w:sz w:val="20"/>
                <w:szCs w:val="20"/>
                <w:lang w:val="en-US"/>
              </w:rPr>
              <w:t>Transportation Law › Interstate Commerce › Federal Preemption</w:t>
            </w:r>
          </w:p>
          <w:p w14:paraId="7E0982A6" w14:textId="77777777" w:rsidR="00074551" w:rsidRPr="00BE3728" w:rsidRDefault="00074551" w:rsidP="00367133">
            <w:pPr>
              <w:jc w:val="both"/>
              <w:rPr>
                <w:sz w:val="20"/>
                <w:szCs w:val="20"/>
                <w:lang w:val="en-US"/>
              </w:rPr>
            </w:pPr>
          </w:p>
          <w:p w14:paraId="4DE61E54" w14:textId="77777777" w:rsidR="00074551" w:rsidRDefault="00074551" w:rsidP="00367133">
            <w:pPr>
              <w:jc w:val="both"/>
              <w:rPr>
                <w:sz w:val="20"/>
                <w:szCs w:val="20"/>
              </w:rPr>
            </w:pPr>
            <w:r>
              <w:rPr>
                <w:sz w:val="20"/>
                <w:szCs w:val="20"/>
              </w:rPr>
              <w:t>Der</w:t>
            </w:r>
            <w:r w:rsidRPr="00BE3728">
              <w:rPr>
                <w:sz w:val="20"/>
                <w:szCs w:val="20"/>
              </w:rPr>
              <w:t xml:space="preserve"> </w:t>
            </w:r>
            <w:proofErr w:type="spellStart"/>
            <w:r w:rsidRPr="00B45592">
              <w:rPr>
                <w:i/>
                <w:sz w:val="20"/>
                <w:szCs w:val="20"/>
              </w:rPr>
              <w:t>Employers</w:t>
            </w:r>
            <w:proofErr w:type="spellEnd"/>
            <w:r w:rsidRPr="00B45592">
              <w:rPr>
                <w:i/>
                <w:sz w:val="20"/>
                <w:szCs w:val="20"/>
              </w:rPr>
              <w:t xml:space="preserve">’ </w:t>
            </w:r>
            <w:proofErr w:type="spellStart"/>
            <w:r w:rsidRPr="00B45592">
              <w:rPr>
                <w:i/>
                <w:sz w:val="20"/>
                <w:szCs w:val="20"/>
              </w:rPr>
              <w:t>Liability</w:t>
            </w:r>
            <w:proofErr w:type="spellEnd"/>
            <w:r w:rsidRPr="00B45592">
              <w:rPr>
                <w:i/>
                <w:sz w:val="20"/>
                <w:szCs w:val="20"/>
              </w:rPr>
              <w:t xml:space="preserve"> Act </w:t>
            </w:r>
            <w:r w:rsidRPr="00BE3728">
              <w:rPr>
                <w:sz w:val="20"/>
                <w:szCs w:val="20"/>
              </w:rPr>
              <w:t>des Kongresses, 35 Stat. 85, 36 Stat. 291, verlangt nicht, dass ein Beförderer für Verletzungen haftet, bei denen ihm keine Fahrlässigkeit zur Last gelegt werden kann.</w:t>
            </w:r>
            <w:r w:rsidRPr="00BE3728">
              <w:rPr>
                <w:rStyle w:val="Funotenzeichen"/>
                <w:sz w:val="20"/>
                <w:szCs w:val="20"/>
              </w:rPr>
              <w:footnoteReference w:id="198"/>
            </w:r>
          </w:p>
          <w:p w14:paraId="1026584E" w14:textId="77777777" w:rsidR="00074551" w:rsidRPr="00BE3728" w:rsidRDefault="00074551" w:rsidP="00367133">
            <w:pPr>
              <w:jc w:val="both"/>
              <w:rPr>
                <w:sz w:val="20"/>
                <w:szCs w:val="20"/>
              </w:rPr>
            </w:pPr>
          </w:p>
          <w:p w14:paraId="2A166F5F" w14:textId="77777777" w:rsidR="00074551" w:rsidRDefault="00074551" w:rsidP="00367133">
            <w:pPr>
              <w:jc w:val="both"/>
              <w:rPr>
                <w:sz w:val="20"/>
                <w:szCs w:val="20"/>
              </w:rPr>
            </w:pPr>
            <w:r w:rsidRPr="00BE3728">
              <w:rPr>
                <w:sz w:val="20"/>
                <w:szCs w:val="20"/>
              </w:rPr>
              <w:t>Der Dissens begründe</w:t>
            </w:r>
            <w:r>
              <w:rPr>
                <w:sz w:val="20"/>
                <w:szCs w:val="20"/>
              </w:rPr>
              <w:t>t</w:t>
            </w:r>
            <w:r w:rsidRPr="00BE3728">
              <w:rPr>
                <w:sz w:val="20"/>
                <w:szCs w:val="20"/>
              </w:rPr>
              <w:t xml:space="preserve"> anhand des Glücks als Staatsziel sowie des Sinns und Zweckes des </w:t>
            </w:r>
            <w:proofErr w:type="spellStart"/>
            <w:r w:rsidRPr="00B45592">
              <w:rPr>
                <w:i/>
                <w:sz w:val="20"/>
                <w:szCs w:val="20"/>
              </w:rPr>
              <w:t>Employers</w:t>
            </w:r>
            <w:proofErr w:type="spellEnd"/>
            <w:r w:rsidRPr="00B45592">
              <w:rPr>
                <w:i/>
                <w:sz w:val="20"/>
                <w:szCs w:val="20"/>
              </w:rPr>
              <w:t xml:space="preserve">’ </w:t>
            </w:r>
            <w:proofErr w:type="spellStart"/>
            <w:r w:rsidRPr="00B45592">
              <w:rPr>
                <w:i/>
                <w:sz w:val="20"/>
                <w:szCs w:val="20"/>
              </w:rPr>
              <w:t>Liability</w:t>
            </w:r>
            <w:proofErr w:type="spellEnd"/>
            <w:r w:rsidRPr="00B45592">
              <w:rPr>
                <w:i/>
                <w:sz w:val="20"/>
                <w:szCs w:val="20"/>
              </w:rPr>
              <w:t xml:space="preserve"> Act</w:t>
            </w:r>
            <w:r w:rsidRPr="00BE3728">
              <w:rPr>
                <w:sz w:val="20"/>
                <w:szCs w:val="20"/>
              </w:rPr>
              <w:t xml:space="preserve"> („</w:t>
            </w:r>
            <w:proofErr w:type="spellStart"/>
            <w:r w:rsidRPr="00BE3728">
              <w:rPr>
                <w:sz w:val="20"/>
                <w:szCs w:val="20"/>
              </w:rPr>
              <w:t>purpose</w:t>
            </w:r>
            <w:proofErr w:type="spellEnd"/>
            <w:r w:rsidRPr="00BE3728">
              <w:rPr>
                <w:sz w:val="20"/>
                <w:szCs w:val="20"/>
              </w:rPr>
              <w:t xml:space="preserve"> of the </w:t>
            </w:r>
            <w:proofErr w:type="spellStart"/>
            <w:r w:rsidRPr="00BE3728">
              <w:rPr>
                <w:sz w:val="20"/>
                <w:szCs w:val="20"/>
              </w:rPr>
              <w:t>Employers</w:t>
            </w:r>
            <w:proofErr w:type="spellEnd"/>
            <w:r>
              <w:rPr>
                <w:sz w:val="20"/>
                <w:szCs w:val="20"/>
              </w:rPr>
              <w:t>’</w:t>
            </w:r>
            <w:r w:rsidRPr="00BE3728">
              <w:rPr>
                <w:sz w:val="20"/>
                <w:szCs w:val="20"/>
              </w:rPr>
              <w:t xml:space="preserve"> </w:t>
            </w:r>
            <w:proofErr w:type="spellStart"/>
            <w:r w:rsidRPr="00BE3728">
              <w:rPr>
                <w:sz w:val="20"/>
                <w:szCs w:val="20"/>
              </w:rPr>
              <w:t>Liability</w:t>
            </w:r>
            <w:proofErr w:type="spellEnd"/>
            <w:r w:rsidRPr="00BE3728">
              <w:rPr>
                <w:sz w:val="20"/>
                <w:szCs w:val="20"/>
              </w:rPr>
              <w:t xml:space="preserve"> Act“</w:t>
            </w:r>
            <w:r w:rsidRPr="00BE3728">
              <w:rPr>
                <w:rStyle w:val="Funotenzeichen"/>
                <w:sz w:val="20"/>
                <w:szCs w:val="20"/>
              </w:rPr>
              <w:footnoteReference w:id="199"/>
            </w:r>
            <w:r w:rsidRPr="00BE3728">
              <w:rPr>
                <w:sz w:val="20"/>
                <w:szCs w:val="20"/>
              </w:rPr>
              <w:t xml:space="preserve">), dass die Eisenbahn </w:t>
            </w:r>
            <w:r>
              <w:rPr>
                <w:sz w:val="20"/>
                <w:szCs w:val="20"/>
              </w:rPr>
              <w:t>den</w:t>
            </w:r>
            <w:r w:rsidRPr="00BE3728">
              <w:rPr>
                <w:sz w:val="20"/>
                <w:szCs w:val="20"/>
              </w:rPr>
              <w:t xml:space="preserve"> Mitarbeiter nach </w:t>
            </w:r>
            <w:r>
              <w:rPr>
                <w:sz w:val="20"/>
                <w:szCs w:val="20"/>
              </w:rPr>
              <w:t>s</w:t>
            </w:r>
            <w:r w:rsidRPr="00BE3728">
              <w:rPr>
                <w:sz w:val="20"/>
                <w:szCs w:val="20"/>
              </w:rPr>
              <w:t>einem Arbeitsunfall</w:t>
            </w:r>
            <w:r>
              <w:rPr>
                <w:sz w:val="20"/>
                <w:szCs w:val="20"/>
              </w:rPr>
              <w:t xml:space="preserve"> hätte</w:t>
            </w:r>
            <w:r w:rsidRPr="00BE3728">
              <w:rPr>
                <w:sz w:val="20"/>
                <w:szCs w:val="20"/>
              </w:rPr>
              <w:t xml:space="preserve"> kompensieren müssen. Denn das Ziel staatlichen Handelns richte sich nach einem dualen Regierungssystem: Einerseits für den Einzelnen das Unglück abzuwenden, also das Minimum für Glücksbedingungen zu schaffen</w:t>
            </w:r>
            <w:r w:rsidRPr="00B45592">
              <w:rPr>
                <w:sz w:val="20"/>
                <w:szCs w:val="20"/>
              </w:rPr>
              <w:t xml:space="preserve">, und andererseits das Glück so weit wie möglich zu fördern („Upon the State also </w:t>
            </w:r>
            <w:proofErr w:type="spellStart"/>
            <w:r w:rsidRPr="00B45592">
              <w:rPr>
                <w:sz w:val="20"/>
                <w:szCs w:val="20"/>
              </w:rPr>
              <w:t>rests</w:t>
            </w:r>
            <w:proofErr w:type="spellEnd"/>
            <w:r w:rsidRPr="00B45592">
              <w:rPr>
                <w:sz w:val="20"/>
                <w:szCs w:val="20"/>
              </w:rPr>
              <w:t xml:space="preserve"> </w:t>
            </w:r>
            <w:proofErr w:type="spellStart"/>
            <w:r w:rsidRPr="00B45592">
              <w:rPr>
                <w:sz w:val="20"/>
                <w:szCs w:val="20"/>
              </w:rPr>
              <w:t>under</w:t>
            </w:r>
            <w:proofErr w:type="spellEnd"/>
            <w:r w:rsidRPr="00B45592">
              <w:rPr>
                <w:sz w:val="20"/>
                <w:szCs w:val="20"/>
              </w:rPr>
              <w:t xml:space="preserve"> </w:t>
            </w:r>
            <w:proofErr w:type="spellStart"/>
            <w:r w:rsidRPr="00B45592">
              <w:rPr>
                <w:sz w:val="20"/>
                <w:szCs w:val="20"/>
              </w:rPr>
              <w:t>our</w:t>
            </w:r>
            <w:proofErr w:type="spellEnd"/>
            <w:r w:rsidRPr="00B45592">
              <w:rPr>
                <w:sz w:val="20"/>
                <w:szCs w:val="20"/>
              </w:rPr>
              <w:t xml:space="preserve"> dual </w:t>
            </w:r>
            <w:proofErr w:type="spellStart"/>
            <w:r w:rsidRPr="00B45592">
              <w:rPr>
                <w:sz w:val="20"/>
                <w:szCs w:val="20"/>
              </w:rPr>
              <w:t>system</w:t>
            </w:r>
            <w:proofErr w:type="spellEnd"/>
            <w:r w:rsidRPr="00B45592">
              <w:rPr>
                <w:sz w:val="20"/>
                <w:szCs w:val="20"/>
              </w:rPr>
              <w:t xml:space="preserve"> of </w:t>
            </w:r>
            <w:proofErr w:type="spellStart"/>
            <w:r w:rsidRPr="00B45592">
              <w:rPr>
                <w:sz w:val="20"/>
                <w:szCs w:val="20"/>
              </w:rPr>
              <w:t>government</w:t>
            </w:r>
            <w:proofErr w:type="spellEnd"/>
            <w:r w:rsidRPr="00B45592">
              <w:rPr>
                <w:sz w:val="20"/>
                <w:szCs w:val="20"/>
              </w:rPr>
              <w:t xml:space="preserve"> the </w:t>
            </w:r>
            <w:proofErr w:type="spellStart"/>
            <w:r w:rsidRPr="00B45592">
              <w:rPr>
                <w:sz w:val="20"/>
                <w:szCs w:val="20"/>
              </w:rPr>
              <w:t>duty</w:t>
            </w:r>
            <w:proofErr w:type="spellEnd"/>
            <w:r w:rsidRPr="00B45592">
              <w:rPr>
                <w:sz w:val="20"/>
                <w:szCs w:val="20"/>
              </w:rPr>
              <w:t xml:space="preserve"> </w:t>
            </w:r>
            <w:proofErr w:type="spellStart"/>
            <w:r w:rsidRPr="00B45592">
              <w:rPr>
                <w:sz w:val="20"/>
                <w:szCs w:val="20"/>
              </w:rPr>
              <w:t>owed</w:t>
            </w:r>
            <w:proofErr w:type="spellEnd"/>
            <w:r w:rsidRPr="00B45592">
              <w:rPr>
                <w:sz w:val="20"/>
                <w:szCs w:val="20"/>
              </w:rPr>
              <w:t xml:space="preserve"> to the individual to </w:t>
            </w:r>
            <w:proofErr w:type="spellStart"/>
            <w:r w:rsidRPr="00B45592">
              <w:rPr>
                <w:sz w:val="20"/>
                <w:szCs w:val="20"/>
              </w:rPr>
              <w:t>avert</w:t>
            </w:r>
            <w:proofErr w:type="spellEnd"/>
            <w:r w:rsidRPr="00B45592">
              <w:rPr>
                <w:sz w:val="20"/>
                <w:szCs w:val="20"/>
              </w:rPr>
              <w:t xml:space="preserve"> </w:t>
            </w:r>
            <w:proofErr w:type="spellStart"/>
            <w:r w:rsidRPr="00B45592">
              <w:rPr>
                <w:sz w:val="20"/>
                <w:szCs w:val="20"/>
              </w:rPr>
              <w:t>misery</w:t>
            </w:r>
            <w:proofErr w:type="spellEnd"/>
            <w:r w:rsidRPr="00B45592">
              <w:rPr>
                <w:sz w:val="20"/>
                <w:szCs w:val="20"/>
              </w:rPr>
              <w:t xml:space="preserve"> and promote </w:t>
            </w:r>
            <w:proofErr w:type="spellStart"/>
            <w:r w:rsidRPr="00B45592">
              <w:rPr>
                <w:sz w:val="20"/>
                <w:szCs w:val="20"/>
              </w:rPr>
              <w:t>happiness</w:t>
            </w:r>
            <w:proofErr w:type="spellEnd"/>
            <w:r w:rsidRPr="00B45592">
              <w:rPr>
                <w:sz w:val="20"/>
                <w:szCs w:val="20"/>
              </w:rPr>
              <w:t xml:space="preserve"> so </w:t>
            </w:r>
            <w:proofErr w:type="spellStart"/>
            <w:r w:rsidRPr="00B45592">
              <w:rPr>
                <w:sz w:val="20"/>
                <w:szCs w:val="20"/>
              </w:rPr>
              <w:t>far</w:t>
            </w:r>
            <w:proofErr w:type="spellEnd"/>
            <w:r w:rsidRPr="00B45592">
              <w:rPr>
                <w:sz w:val="20"/>
                <w:szCs w:val="20"/>
              </w:rPr>
              <w:t xml:space="preserve"> as possible.“</w:t>
            </w:r>
            <w:r w:rsidRPr="00BE3728">
              <w:rPr>
                <w:rStyle w:val="Funotenzeichen"/>
                <w:sz w:val="20"/>
                <w:szCs w:val="20"/>
              </w:rPr>
              <w:footnoteReference w:id="200"/>
            </w:r>
            <w:r w:rsidRPr="00BE3728">
              <w:rPr>
                <w:sz w:val="20"/>
                <w:szCs w:val="20"/>
              </w:rPr>
              <w:t>). D</w:t>
            </w:r>
            <w:r>
              <w:rPr>
                <w:sz w:val="20"/>
                <w:szCs w:val="20"/>
              </w:rPr>
              <w:t>ies</w:t>
            </w:r>
            <w:r w:rsidRPr="00BE3728">
              <w:rPr>
                <w:sz w:val="20"/>
                <w:szCs w:val="20"/>
              </w:rPr>
              <w:t>er Dualismus präge auch das Entschädigungssystem für Arbeitnehmer: Wenn der Staat entschädige, dann müsse er zuerst vom Unglück des Arbeitnehmers ausgehen und die Entschädigung nicht vom Verschulden des Arbeit</w:t>
            </w:r>
            <w:r>
              <w:rPr>
                <w:sz w:val="20"/>
                <w:szCs w:val="20"/>
              </w:rPr>
              <w:t>geb</w:t>
            </w:r>
            <w:r w:rsidRPr="00BE3728">
              <w:rPr>
                <w:sz w:val="20"/>
                <w:szCs w:val="20"/>
              </w:rPr>
              <w:t xml:space="preserve">ers abhängig machen. Das tue der </w:t>
            </w:r>
            <w:proofErr w:type="spellStart"/>
            <w:r w:rsidRPr="00B45592">
              <w:rPr>
                <w:i/>
                <w:sz w:val="20"/>
                <w:szCs w:val="20"/>
              </w:rPr>
              <w:t>Employers</w:t>
            </w:r>
            <w:proofErr w:type="spellEnd"/>
            <w:r w:rsidRPr="00B45592">
              <w:rPr>
                <w:i/>
                <w:sz w:val="20"/>
                <w:szCs w:val="20"/>
              </w:rPr>
              <w:t xml:space="preserve">’ </w:t>
            </w:r>
            <w:proofErr w:type="spellStart"/>
            <w:r w:rsidRPr="00B45592">
              <w:rPr>
                <w:i/>
                <w:sz w:val="20"/>
                <w:szCs w:val="20"/>
              </w:rPr>
              <w:t>Liability</w:t>
            </w:r>
            <w:proofErr w:type="spellEnd"/>
            <w:r w:rsidRPr="00B45592">
              <w:rPr>
                <w:i/>
                <w:sz w:val="20"/>
                <w:szCs w:val="20"/>
              </w:rPr>
              <w:t xml:space="preserve"> Act</w:t>
            </w:r>
            <w:r w:rsidRPr="00BE3728">
              <w:rPr>
                <w:sz w:val="20"/>
                <w:szCs w:val="20"/>
              </w:rPr>
              <w:t xml:space="preserve"> aber. Aus dem dualen Regierungssystem folge daher für den </w:t>
            </w:r>
            <w:proofErr w:type="spellStart"/>
            <w:r w:rsidRPr="00B45592">
              <w:rPr>
                <w:i/>
                <w:sz w:val="20"/>
                <w:szCs w:val="20"/>
              </w:rPr>
              <w:t>Employers</w:t>
            </w:r>
            <w:proofErr w:type="spellEnd"/>
            <w:r w:rsidRPr="00B45592">
              <w:rPr>
                <w:i/>
                <w:sz w:val="20"/>
                <w:szCs w:val="20"/>
              </w:rPr>
              <w:t xml:space="preserve">’ </w:t>
            </w:r>
            <w:proofErr w:type="spellStart"/>
            <w:r w:rsidRPr="00B45592">
              <w:rPr>
                <w:i/>
                <w:sz w:val="20"/>
                <w:szCs w:val="20"/>
              </w:rPr>
              <w:t>Liability</w:t>
            </w:r>
            <w:proofErr w:type="spellEnd"/>
            <w:r w:rsidRPr="00B45592">
              <w:rPr>
                <w:i/>
                <w:sz w:val="20"/>
                <w:szCs w:val="20"/>
              </w:rPr>
              <w:t xml:space="preserve"> Act</w:t>
            </w:r>
            <w:r w:rsidRPr="00BE3728">
              <w:rPr>
                <w:sz w:val="20"/>
                <w:szCs w:val="20"/>
              </w:rPr>
              <w:t xml:space="preserve">: Die Entschädigung solle umfassend, nicht teilweise sein; sicher, nicht hypothetisch; schnell, nicht verzögert; </w:t>
            </w:r>
            <w:r>
              <w:rPr>
                <w:sz w:val="20"/>
                <w:szCs w:val="20"/>
              </w:rPr>
              <w:t>klar definiert bezüglich</w:t>
            </w:r>
            <w:r w:rsidRPr="00BE3728">
              <w:rPr>
                <w:sz w:val="20"/>
                <w:szCs w:val="20"/>
              </w:rPr>
              <w:t xml:space="preserve"> des Betrags und des Zeitpunkts der Zahlung; und sie müsse auch gegen verminderte Erwerbsfähigkeit schützen. Denn Unfälle gehör</w:t>
            </w:r>
            <w:r>
              <w:rPr>
                <w:sz w:val="20"/>
                <w:szCs w:val="20"/>
              </w:rPr>
              <w:t>t</w:t>
            </w:r>
            <w:r w:rsidRPr="00BE3728">
              <w:rPr>
                <w:sz w:val="20"/>
                <w:szCs w:val="20"/>
              </w:rPr>
              <w:t>en zu einer Gesellschaft, die zugleich von Arbeit profitiere. Die Unfallfolgen könn</w:t>
            </w:r>
            <w:r>
              <w:rPr>
                <w:sz w:val="20"/>
                <w:szCs w:val="20"/>
              </w:rPr>
              <w:t>t</w:t>
            </w:r>
            <w:r w:rsidRPr="00BE3728">
              <w:rPr>
                <w:sz w:val="20"/>
                <w:szCs w:val="20"/>
              </w:rPr>
              <w:t>en daher im Grundsatz nicht vom Individuum zu tragen sein. Der Dissens schlägt eine steuerfinanzierte Versicherung vor. So schaffe das Bedürfnis nach individueller Gerechtigkeit – nicht dem Arbeitnehmer die Last des Unfalls aufzuerlegen – eine soziale Gerechtigkeit – zu würdigen, dass die Gesellschaft von der individuellen Arbeit profitiere – („</w:t>
            </w:r>
            <w:r w:rsidRPr="00D50391">
              <w:rPr>
                <w:sz w:val="20"/>
                <w:szCs w:val="20"/>
              </w:rPr>
              <w:t xml:space="preserve">out of the </w:t>
            </w:r>
            <w:proofErr w:type="spellStart"/>
            <w:r w:rsidRPr="00D50391">
              <w:rPr>
                <w:sz w:val="20"/>
                <w:szCs w:val="20"/>
              </w:rPr>
              <w:t>attempt</w:t>
            </w:r>
            <w:proofErr w:type="spellEnd"/>
            <w:r w:rsidRPr="00D50391">
              <w:rPr>
                <w:sz w:val="20"/>
                <w:szCs w:val="20"/>
              </w:rPr>
              <w:t xml:space="preserve"> to </w:t>
            </w:r>
            <w:proofErr w:type="spellStart"/>
            <w:r w:rsidRPr="00D50391">
              <w:rPr>
                <w:sz w:val="20"/>
                <w:szCs w:val="20"/>
              </w:rPr>
              <w:t>enforce</w:t>
            </w:r>
            <w:proofErr w:type="spellEnd"/>
            <w:r w:rsidRPr="00D50391">
              <w:rPr>
                <w:sz w:val="20"/>
                <w:szCs w:val="20"/>
              </w:rPr>
              <w:t xml:space="preserve"> individual </w:t>
            </w:r>
            <w:proofErr w:type="spellStart"/>
            <w:r w:rsidRPr="00D50391">
              <w:rPr>
                <w:sz w:val="20"/>
                <w:szCs w:val="20"/>
              </w:rPr>
              <w:t>justice</w:t>
            </w:r>
            <w:proofErr w:type="spellEnd"/>
            <w:r w:rsidRPr="00D50391">
              <w:rPr>
                <w:sz w:val="20"/>
                <w:szCs w:val="20"/>
              </w:rPr>
              <w:t xml:space="preserve"> </w:t>
            </w:r>
            <w:proofErr w:type="spellStart"/>
            <w:r w:rsidRPr="00D50391">
              <w:rPr>
                <w:sz w:val="20"/>
                <w:szCs w:val="20"/>
              </w:rPr>
              <w:t>grew</w:t>
            </w:r>
            <w:proofErr w:type="spellEnd"/>
            <w:r w:rsidRPr="00D50391">
              <w:rPr>
                <w:sz w:val="20"/>
                <w:szCs w:val="20"/>
              </w:rPr>
              <w:t xml:space="preserve"> the </w:t>
            </w:r>
            <w:proofErr w:type="spellStart"/>
            <w:r w:rsidRPr="00D50391">
              <w:rPr>
                <w:sz w:val="20"/>
                <w:szCs w:val="20"/>
              </w:rPr>
              <w:t>attempt</w:t>
            </w:r>
            <w:proofErr w:type="spellEnd"/>
            <w:r w:rsidRPr="00D50391">
              <w:rPr>
                <w:sz w:val="20"/>
                <w:szCs w:val="20"/>
              </w:rPr>
              <w:t xml:space="preserve"> to do social </w:t>
            </w:r>
            <w:proofErr w:type="spellStart"/>
            <w:r w:rsidRPr="00D50391">
              <w:rPr>
                <w:sz w:val="20"/>
                <w:szCs w:val="20"/>
              </w:rPr>
              <w:t>justice</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201"/>
            </w:r>
            <w:r w:rsidRPr="00BE3728">
              <w:rPr>
                <w:sz w:val="20"/>
                <w:szCs w:val="20"/>
              </w:rPr>
              <w:t>). Dies würde heute auch anerkannt, so der Dissens, nicht aber</w:t>
            </w:r>
            <w:r>
              <w:rPr>
                <w:sz w:val="20"/>
                <w:szCs w:val="20"/>
              </w:rPr>
              <w:t>,</w:t>
            </w:r>
            <w:r w:rsidRPr="00BE3728">
              <w:rPr>
                <w:sz w:val="20"/>
                <w:szCs w:val="20"/>
              </w:rPr>
              <w:t xml:space="preserve"> als der Kongress den </w:t>
            </w:r>
            <w:proofErr w:type="spellStart"/>
            <w:r w:rsidRPr="00B45592">
              <w:rPr>
                <w:i/>
                <w:sz w:val="20"/>
                <w:szCs w:val="20"/>
              </w:rPr>
              <w:t>Employers</w:t>
            </w:r>
            <w:proofErr w:type="spellEnd"/>
            <w:r w:rsidRPr="00B45592">
              <w:rPr>
                <w:i/>
                <w:sz w:val="20"/>
                <w:szCs w:val="20"/>
              </w:rPr>
              <w:t xml:space="preserve">’ </w:t>
            </w:r>
            <w:proofErr w:type="spellStart"/>
            <w:r w:rsidRPr="00B45592">
              <w:rPr>
                <w:i/>
                <w:sz w:val="20"/>
                <w:szCs w:val="20"/>
              </w:rPr>
              <w:t>Liability</w:t>
            </w:r>
            <w:proofErr w:type="spellEnd"/>
            <w:r w:rsidRPr="00B45592">
              <w:rPr>
                <w:i/>
                <w:sz w:val="20"/>
                <w:szCs w:val="20"/>
              </w:rPr>
              <w:t xml:space="preserve"> Act</w:t>
            </w:r>
            <w:r>
              <w:rPr>
                <w:sz w:val="20"/>
                <w:szCs w:val="20"/>
              </w:rPr>
              <w:t xml:space="preserve"> am</w:t>
            </w:r>
            <w:r w:rsidRPr="00BE3728">
              <w:rPr>
                <w:sz w:val="20"/>
                <w:szCs w:val="20"/>
              </w:rPr>
              <w:t xml:space="preserve"> 22. April 1908 verabschiedete. Deshalb müsse sich das Gesetz nach dem heutigen Verständnis auslegen, also: </w:t>
            </w:r>
            <w:r>
              <w:rPr>
                <w:sz w:val="20"/>
                <w:szCs w:val="20"/>
              </w:rPr>
              <w:t>N</w:t>
            </w:r>
            <w:r w:rsidRPr="00BE3728">
              <w:rPr>
                <w:sz w:val="20"/>
                <w:szCs w:val="20"/>
              </w:rPr>
              <w:t>icht das Individuum habe die Folgen eines Arbeitsunfalls zu tragen, sondern die Gesellschaft.</w:t>
            </w:r>
            <w:r w:rsidRPr="00BE3728">
              <w:rPr>
                <w:rStyle w:val="Funotenzeichen"/>
                <w:sz w:val="20"/>
                <w:szCs w:val="20"/>
              </w:rPr>
              <w:t xml:space="preserve"> </w:t>
            </w:r>
            <w:r w:rsidRPr="00BE3728">
              <w:rPr>
                <w:rStyle w:val="Funotenzeichen"/>
                <w:sz w:val="20"/>
                <w:szCs w:val="20"/>
              </w:rPr>
              <w:footnoteReference w:id="202"/>
            </w:r>
          </w:p>
          <w:p w14:paraId="39BB4A7B" w14:textId="77777777" w:rsidR="00074551" w:rsidRPr="00E50B51" w:rsidRDefault="00074551" w:rsidP="00367133">
            <w:pPr>
              <w:jc w:val="both"/>
              <w:rPr>
                <w:sz w:val="20"/>
                <w:szCs w:val="20"/>
              </w:rPr>
            </w:pPr>
          </w:p>
        </w:tc>
      </w:tr>
      <w:tr w:rsidR="00074551" w:rsidRPr="00E50B51" w14:paraId="31CB3CA5" w14:textId="77777777" w:rsidTr="00752D01">
        <w:trPr>
          <w:cantSplit/>
          <w:trHeight w:val="3175"/>
        </w:trPr>
        <w:tc>
          <w:tcPr>
            <w:tcW w:w="293" w:type="pct"/>
            <w:shd w:val="clear" w:color="auto" w:fill="E7E6E6" w:themeFill="background2"/>
          </w:tcPr>
          <w:p w14:paraId="69954B95"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1F8186D2" w14:textId="77777777" w:rsidR="00074551" w:rsidRPr="00E50B51" w:rsidRDefault="00074551" w:rsidP="00367133">
            <w:pPr>
              <w:ind w:left="113" w:right="416"/>
              <w:jc w:val="both"/>
              <w:rPr>
                <w:sz w:val="20"/>
                <w:szCs w:val="20"/>
                <w:lang w:val="en-US"/>
              </w:rPr>
            </w:pPr>
            <w:r w:rsidRPr="00BE3728">
              <w:rPr>
                <w:sz w:val="20"/>
                <w:szCs w:val="20"/>
              </w:rPr>
              <w:t>Wirtschaftliche Seite</w:t>
            </w:r>
          </w:p>
        </w:tc>
        <w:tc>
          <w:tcPr>
            <w:tcW w:w="197" w:type="pct"/>
            <w:shd w:val="clear" w:color="auto" w:fill="E7E6E6" w:themeFill="background2"/>
            <w:textDirection w:val="tbRl"/>
            <w:vAlign w:val="center"/>
          </w:tcPr>
          <w:p w14:paraId="471DEB26" w14:textId="77777777" w:rsidR="00074551" w:rsidRPr="00E50B51" w:rsidRDefault="00074551" w:rsidP="00367133">
            <w:pPr>
              <w:ind w:left="113" w:right="113"/>
              <w:jc w:val="both"/>
              <w:rPr>
                <w:sz w:val="20"/>
                <w:szCs w:val="20"/>
                <w:lang w:val="en-US"/>
              </w:rPr>
            </w:pPr>
            <w:r w:rsidRPr="00BE3728">
              <w:rPr>
                <w:sz w:val="20"/>
                <w:szCs w:val="20"/>
                <w:lang w:val="en-US"/>
              </w:rPr>
              <w:t>Commerce Clause</w:t>
            </w:r>
          </w:p>
        </w:tc>
        <w:tc>
          <w:tcPr>
            <w:tcW w:w="306" w:type="pct"/>
            <w:shd w:val="clear" w:color="auto" w:fill="E7E6E6" w:themeFill="background2"/>
            <w:textDirection w:val="tbRl"/>
            <w:vAlign w:val="center"/>
          </w:tcPr>
          <w:p w14:paraId="61D2E7DF" w14:textId="77777777" w:rsidR="00074551" w:rsidRPr="00BE3728" w:rsidRDefault="00074551" w:rsidP="00367133">
            <w:pPr>
              <w:ind w:left="113" w:right="113"/>
              <w:jc w:val="both"/>
              <w:rPr>
                <w:sz w:val="20"/>
                <w:szCs w:val="20"/>
                <w:lang w:val="en-US"/>
              </w:rPr>
            </w:pPr>
            <w:r w:rsidRPr="00BE3728">
              <w:rPr>
                <w:sz w:val="20"/>
                <w:szCs w:val="20"/>
                <w:lang w:val="en-US"/>
              </w:rPr>
              <w:t>Interstate Commerce</w:t>
            </w:r>
          </w:p>
          <w:p w14:paraId="73163265"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extDirection w:val="tbRl"/>
          </w:tcPr>
          <w:p w14:paraId="35984B79" w14:textId="77777777" w:rsidR="00074551" w:rsidRDefault="00074551" w:rsidP="00367133">
            <w:pPr>
              <w:ind w:left="113" w:right="113"/>
              <w:rPr>
                <w:sz w:val="20"/>
                <w:szCs w:val="20"/>
                <w:lang w:val="en-US"/>
              </w:rPr>
            </w:pPr>
          </w:p>
          <w:p w14:paraId="2E942152" w14:textId="77777777" w:rsidR="00074551" w:rsidRPr="00E50B51" w:rsidRDefault="00074551" w:rsidP="00367133">
            <w:pPr>
              <w:ind w:left="113" w:right="113"/>
              <w:rPr>
                <w:sz w:val="20"/>
                <w:szCs w:val="20"/>
                <w:lang w:val="en-US"/>
              </w:rPr>
            </w:pPr>
            <w:r w:rsidRPr="00BE3728">
              <w:rPr>
                <w:sz w:val="20"/>
                <w:szCs w:val="20"/>
                <w:lang w:val="en-US"/>
              </w:rPr>
              <w:t>Rates &amp; Tariffs</w:t>
            </w:r>
          </w:p>
        </w:tc>
        <w:tc>
          <w:tcPr>
            <w:tcW w:w="1594" w:type="pct"/>
            <w:shd w:val="clear" w:color="auto" w:fill="E7E6E6" w:themeFill="background2"/>
            <w:vAlign w:val="center"/>
          </w:tcPr>
          <w:p w14:paraId="03CF21C2" w14:textId="77777777" w:rsidR="00074551" w:rsidRPr="00E50B51" w:rsidRDefault="00074551" w:rsidP="00367133">
            <w:pPr>
              <w:jc w:val="both"/>
              <w:rPr>
                <w:sz w:val="20"/>
                <w:szCs w:val="20"/>
                <w:lang w:val="en-US"/>
              </w:rPr>
            </w:pPr>
          </w:p>
        </w:tc>
        <w:tc>
          <w:tcPr>
            <w:tcW w:w="1822" w:type="pct"/>
            <w:shd w:val="clear" w:color="auto" w:fill="E7E6E6" w:themeFill="background2"/>
          </w:tcPr>
          <w:p w14:paraId="3C4EB039" w14:textId="0DDEF72C"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4F6665" w14:paraId="1E64E0E7" w14:textId="77777777" w:rsidTr="00BE689F">
        <w:trPr>
          <w:cantSplit/>
          <w:trHeight w:val="3175"/>
        </w:trPr>
        <w:tc>
          <w:tcPr>
            <w:tcW w:w="293" w:type="pct"/>
          </w:tcPr>
          <w:p w14:paraId="5CE259C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29B57AC" w14:textId="77777777" w:rsidR="00074551" w:rsidRPr="00B45592" w:rsidRDefault="00074551" w:rsidP="00367133">
            <w:pPr>
              <w:ind w:left="113" w:right="416"/>
              <w:jc w:val="both"/>
              <w:rPr>
                <w:i/>
                <w:sz w:val="20"/>
                <w:szCs w:val="20"/>
                <w:lang w:val="en-US"/>
              </w:rPr>
            </w:pPr>
            <w:r w:rsidRPr="00B45592">
              <w:rPr>
                <w:i/>
                <w:sz w:val="20"/>
                <w:szCs w:val="20"/>
              </w:rPr>
              <w:t>Searight v. Stokes</w:t>
            </w:r>
          </w:p>
        </w:tc>
        <w:tc>
          <w:tcPr>
            <w:tcW w:w="197" w:type="pct"/>
            <w:textDirection w:val="tbRl"/>
            <w:vAlign w:val="center"/>
          </w:tcPr>
          <w:p w14:paraId="4C7F51A7" w14:textId="77777777" w:rsidR="00074551" w:rsidRPr="00E50B51" w:rsidRDefault="00074551" w:rsidP="00367133">
            <w:pPr>
              <w:ind w:left="113" w:right="113"/>
              <w:jc w:val="both"/>
              <w:rPr>
                <w:sz w:val="20"/>
                <w:szCs w:val="20"/>
                <w:lang w:val="en-US"/>
              </w:rPr>
            </w:pPr>
            <w:r w:rsidRPr="00BE3728">
              <w:rPr>
                <w:sz w:val="20"/>
                <w:szCs w:val="20"/>
              </w:rPr>
              <w:t>44 U.S. 151</w:t>
            </w:r>
          </w:p>
        </w:tc>
        <w:tc>
          <w:tcPr>
            <w:tcW w:w="306" w:type="pct"/>
            <w:textDirection w:val="tbRl"/>
            <w:vAlign w:val="center"/>
          </w:tcPr>
          <w:p w14:paraId="4B6C4A5C" w14:textId="77777777" w:rsidR="00074551" w:rsidRPr="00E50B51" w:rsidRDefault="00074551" w:rsidP="00367133">
            <w:pPr>
              <w:ind w:left="113" w:right="113"/>
              <w:jc w:val="both"/>
              <w:rPr>
                <w:sz w:val="20"/>
                <w:szCs w:val="20"/>
                <w:lang w:val="en-US"/>
              </w:rPr>
            </w:pPr>
            <w:r w:rsidRPr="00BE3728">
              <w:rPr>
                <w:sz w:val="20"/>
                <w:szCs w:val="20"/>
              </w:rPr>
              <w:t>04. Februar 1845</w:t>
            </w:r>
          </w:p>
        </w:tc>
        <w:tc>
          <w:tcPr>
            <w:tcW w:w="401" w:type="pct"/>
          </w:tcPr>
          <w:p w14:paraId="146D8B55"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49870289"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die Vorinstanzen: Ein Bundesstaat dürfe keine Maut auf Kutschen erheben, welche die Post der Vereinigten Staaten auf einer für Post gewidmeten Straße in dem Bundesstaat transportier</w:t>
            </w:r>
            <w:r>
              <w:rPr>
                <w:sz w:val="20"/>
                <w:szCs w:val="20"/>
              </w:rPr>
              <w:t>t</w:t>
            </w:r>
            <w:r w:rsidRPr="00BE3728">
              <w:rPr>
                <w:sz w:val="20"/>
                <w:szCs w:val="20"/>
              </w:rPr>
              <w:t>en.</w:t>
            </w:r>
          </w:p>
          <w:p w14:paraId="14841AA8" w14:textId="77777777" w:rsidR="00074551" w:rsidRDefault="00074551" w:rsidP="00367133">
            <w:pPr>
              <w:jc w:val="both"/>
              <w:rPr>
                <w:sz w:val="20"/>
                <w:szCs w:val="20"/>
              </w:rPr>
            </w:pPr>
            <w:r w:rsidRPr="00BE3728">
              <w:rPr>
                <w:sz w:val="20"/>
                <w:szCs w:val="20"/>
              </w:rPr>
              <w:t>Zunächst hatte ein Gesetz Pennsylvanias</w:t>
            </w:r>
            <w:r w:rsidRPr="00BE3728">
              <w:rPr>
                <w:rStyle w:val="Funotenzeichen"/>
                <w:sz w:val="20"/>
                <w:szCs w:val="20"/>
              </w:rPr>
              <w:footnoteReference w:id="203"/>
            </w:r>
            <w:r w:rsidRPr="00BE3728">
              <w:rPr>
                <w:sz w:val="20"/>
                <w:szCs w:val="20"/>
              </w:rPr>
              <w:t xml:space="preserve"> eine Maut erhoben für Wägen, Kutschen, Postkutschen und andere Transportmittel. Die</w:t>
            </w:r>
            <w:r>
              <w:rPr>
                <w:sz w:val="20"/>
                <w:szCs w:val="20"/>
              </w:rPr>
              <w:t>se</w:t>
            </w:r>
            <w:r w:rsidRPr="00BE3728">
              <w:rPr>
                <w:sz w:val="20"/>
                <w:szCs w:val="20"/>
              </w:rPr>
              <w:t xml:space="preserve"> sollte auf dafür gewidmeten Straßen gelten. Die Postunternehmer meinten, sie könn</w:t>
            </w:r>
            <w:r>
              <w:rPr>
                <w:sz w:val="20"/>
                <w:szCs w:val="20"/>
              </w:rPr>
              <w:t>t</w:t>
            </w:r>
            <w:r w:rsidRPr="00BE3728">
              <w:rPr>
                <w:sz w:val="20"/>
                <w:szCs w:val="20"/>
              </w:rPr>
              <w:t>en die Straße mautfrei nutzen. Die Kosten für den Straßenbau tr</w:t>
            </w:r>
            <w:r>
              <w:rPr>
                <w:sz w:val="20"/>
                <w:szCs w:val="20"/>
              </w:rPr>
              <w:t>ü</w:t>
            </w:r>
            <w:r w:rsidRPr="00BE3728">
              <w:rPr>
                <w:sz w:val="20"/>
                <w:szCs w:val="20"/>
              </w:rPr>
              <w:t>gen schließlich die Vereinigten Staaten, nicht die Bundesstaaten. Diese für die Post gewidmeten Straßen verlief</w:t>
            </w:r>
            <w:r>
              <w:rPr>
                <w:sz w:val="20"/>
                <w:szCs w:val="20"/>
              </w:rPr>
              <w:t>en</w:t>
            </w:r>
            <w:r w:rsidRPr="00BE3728">
              <w:rPr>
                <w:sz w:val="20"/>
                <w:szCs w:val="20"/>
              </w:rPr>
              <w:t xml:space="preserve"> durch vier Bundesstaaten. Indes übernahm der Bundesstaat Reparaturen und Instandhaltung der Straßen. Der </w:t>
            </w:r>
            <w:r>
              <w:rPr>
                <w:sz w:val="20"/>
                <w:szCs w:val="20"/>
              </w:rPr>
              <w:t>U.S. Supreme Court</w:t>
            </w:r>
            <w:r w:rsidRPr="00BE3728">
              <w:rPr>
                <w:sz w:val="20"/>
                <w:szCs w:val="20"/>
              </w:rPr>
              <w:t xml:space="preserve"> urteilte, der Generalpostmeister habe das Recht, zu bestimmen, wie die Post befördert wird, z.B. wie viele Kutschen auf Poststraßen eingesetzt werden. </w:t>
            </w:r>
            <w:r>
              <w:rPr>
                <w:sz w:val="20"/>
                <w:szCs w:val="20"/>
              </w:rPr>
              <w:t>Zwar</w:t>
            </w:r>
            <w:r w:rsidRPr="00BE3728">
              <w:rPr>
                <w:sz w:val="20"/>
                <w:szCs w:val="20"/>
              </w:rPr>
              <w:t xml:space="preserve"> transportierten einige Postunternehmer zusätzlich zur Post auch Passagiere und Gepäck. Dennoch sei es nicht durchsetzbar, Mautgebühren gegenüber einem Postunternehmen zu erheben. Denn die Vereinigten Staaten h</w:t>
            </w:r>
            <w:r>
              <w:rPr>
                <w:sz w:val="20"/>
                <w:szCs w:val="20"/>
              </w:rPr>
              <w:t>ä</w:t>
            </w:r>
            <w:r w:rsidRPr="00BE3728">
              <w:rPr>
                <w:sz w:val="20"/>
                <w:szCs w:val="20"/>
              </w:rPr>
              <w:t>tten die Straße</w:t>
            </w:r>
            <w:r>
              <w:rPr>
                <w:sz w:val="20"/>
                <w:szCs w:val="20"/>
              </w:rPr>
              <w:t>n</w:t>
            </w:r>
            <w:r w:rsidRPr="00BE3728">
              <w:rPr>
                <w:sz w:val="20"/>
                <w:szCs w:val="20"/>
              </w:rPr>
              <w:t xml:space="preserve"> mit der Reparatur- und Instandhaltungspflicht nicht der ausschließlichen Kompetenz der Bundesstaaten überlassen. Die Vereinigten Staaten h</w:t>
            </w:r>
            <w:r>
              <w:rPr>
                <w:sz w:val="20"/>
                <w:szCs w:val="20"/>
              </w:rPr>
              <w:t>ä</w:t>
            </w:r>
            <w:r w:rsidRPr="00BE3728">
              <w:rPr>
                <w:sz w:val="20"/>
                <w:szCs w:val="20"/>
              </w:rPr>
              <w:t xml:space="preserve">tten damit Anspruch auf eine Ausnahme für Kutschen, die für den Transport der Post notwendig </w:t>
            </w:r>
            <w:r>
              <w:rPr>
                <w:sz w:val="20"/>
                <w:szCs w:val="20"/>
              </w:rPr>
              <w:t>seien</w:t>
            </w:r>
            <w:r w:rsidRPr="00BE3728">
              <w:rPr>
                <w:sz w:val="20"/>
                <w:szCs w:val="20"/>
              </w:rPr>
              <w:t>.</w:t>
            </w:r>
            <w:r w:rsidRPr="00BE3728">
              <w:rPr>
                <w:rStyle w:val="Funotenzeichen"/>
                <w:sz w:val="20"/>
                <w:szCs w:val="20"/>
              </w:rPr>
              <w:footnoteReference w:id="204"/>
            </w:r>
          </w:p>
          <w:p w14:paraId="5B79269F" w14:textId="77777777" w:rsidR="00FE5F32" w:rsidRPr="00C219EF" w:rsidRDefault="00FE5F32" w:rsidP="00367133">
            <w:pPr>
              <w:jc w:val="both"/>
              <w:rPr>
                <w:sz w:val="20"/>
                <w:szCs w:val="20"/>
              </w:rPr>
            </w:pPr>
          </w:p>
        </w:tc>
        <w:tc>
          <w:tcPr>
            <w:tcW w:w="1822" w:type="pct"/>
          </w:tcPr>
          <w:p w14:paraId="51CB8E55" w14:textId="77777777" w:rsidR="00074551" w:rsidRPr="00B45592" w:rsidRDefault="00074551" w:rsidP="00367133">
            <w:pPr>
              <w:jc w:val="both"/>
              <w:rPr>
                <w:i/>
                <w:sz w:val="20"/>
                <w:szCs w:val="20"/>
              </w:rPr>
            </w:pPr>
            <w:r w:rsidRPr="00B45592">
              <w:rPr>
                <w:i/>
                <w:sz w:val="20"/>
                <w:szCs w:val="20"/>
              </w:rPr>
              <w:t xml:space="preserve">LexisNexis-Klassifikation: Transportation Law › Commercial </w:t>
            </w:r>
            <w:proofErr w:type="spellStart"/>
            <w:r w:rsidRPr="00B45592">
              <w:rPr>
                <w:i/>
                <w:sz w:val="20"/>
                <w:szCs w:val="20"/>
              </w:rPr>
              <w:t>Vehicles</w:t>
            </w:r>
            <w:proofErr w:type="spellEnd"/>
            <w:r w:rsidRPr="00B45592">
              <w:rPr>
                <w:i/>
                <w:sz w:val="20"/>
                <w:szCs w:val="20"/>
              </w:rPr>
              <w:t xml:space="preserve"> › Rates &amp; </w:t>
            </w:r>
            <w:proofErr w:type="spellStart"/>
            <w:r w:rsidRPr="00B45592">
              <w:rPr>
                <w:i/>
                <w:sz w:val="20"/>
                <w:szCs w:val="20"/>
              </w:rPr>
              <w:t>Tariffs</w:t>
            </w:r>
            <w:proofErr w:type="spellEnd"/>
          </w:p>
          <w:p w14:paraId="0920344A" w14:textId="77777777" w:rsidR="00074551" w:rsidRPr="00B45592" w:rsidRDefault="00074551" w:rsidP="00367133">
            <w:pPr>
              <w:jc w:val="both"/>
              <w:rPr>
                <w:sz w:val="20"/>
                <w:szCs w:val="20"/>
              </w:rPr>
            </w:pPr>
          </w:p>
          <w:p w14:paraId="3382B374" w14:textId="77777777" w:rsidR="00074551" w:rsidRPr="009F1CA8" w:rsidRDefault="00074551" w:rsidP="00367133">
            <w:pPr>
              <w:jc w:val="both"/>
              <w:rPr>
                <w:sz w:val="20"/>
                <w:szCs w:val="20"/>
              </w:rPr>
            </w:pPr>
            <w:r w:rsidRPr="00BE3728">
              <w:rPr>
                <w:sz w:val="20"/>
                <w:szCs w:val="20"/>
              </w:rPr>
              <w:t>Ein bundesstaatliches Gesetz sah vor, dass Wagen, Kutschen, Postkutschen und andere Transportmittel, die die Post der Vereinigten Staaten befördern</w:t>
            </w:r>
            <w:r>
              <w:rPr>
                <w:sz w:val="20"/>
                <w:szCs w:val="20"/>
              </w:rPr>
              <w:t xml:space="preserve"> und gleichzeitig auch </w:t>
            </w:r>
            <w:r w:rsidRPr="00BE3728">
              <w:rPr>
                <w:sz w:val="20"/>
                <w:szCs w:val="20"/>
              </w:rPr>
              <w:t>Passagiere oder Güter anderer Personen, mit der Hälfte der Maut belastet werden, die von anderen Fahrzeugen gleicher Art erhoben wird. Dies war aber nicht durchsetzbar.</w:t>
            </w:r>
            <w:r w:rsidRPr="00BE3728">
              <w:rPr>
                <w:rStyle w:val="Funotenzeichen"/>
                <w:sz w:val="20"/>
                <w:szCs w:val="20"/>
              </w:rPr>
              <w:footnoteReference w:id="205"/>
            </w:r>
          </w:p>
          <w:p w14:paraId="382B484D" w14:textId="77777777" w:rsidR="00074551" w:rsidRPr="00BE3728" w:rsidRDefault="00074551" w:rsidP="00367133">
            <w:pPr>
              <w:jc w:val="both"/>
              <w:rPr>
                <w:sz w:val="20"/>
                <w:szCs w:val="20"/>
              </w:rPr>
            </w:pPr>
          </w:p>
          <w:p w14:paraId="6F817FAC" w14:textId="77777777" w:rsidR="00074551" w:rsidRDefault="00074551" w:rsidP="00367133">
            <w:pPr>
              <w:jc w:val="both"/>
              <w:rPr>
                <w:sz w:val="20"/>
                <w:szCs w:val="20"/>
                <w:lang w:val="en-US"/>
              </w:rPr>
            </w:pPr>
            <w:r w:rsidRPr="00BE3728">
              <w:rPr>
                <w:sz w:val="20"/>
                <w:szCs w:val="20"/>
              </w:rPr>
              <w:t xml:space="preserve">Der </w:t>
            </w:r>
            <w:r>
              <w:rPr>
                <w:sz w:val="20"/>
                <w:szCs w:val="20"/>
              </w:rPr>
              <w:t>U.S. Supreme Court</w:t>
            </w:r>
            <w:r w:rsidRPr="00BE3728">
              <w:rPr>
                <w:sz w:val="20"/>
                <w:szCs w:val="20"/>
              </w:rPr>
              <w:t xml:space="preserve"> urteilte, es sei zwar richtig, dass die Gesetze von Pennsylvania und Maryland, die Postkutschen privilegieren soll</w:t>
            </w:r>
            <w:r>
              <w:rPr>
                <w:sz w:val="20"/>
                <w:szCs w:val="20"/>
              </w:rPr>
              <w:t>t</w:t>
            </w:r>
            <w:r w:rsidRPr="00BE3728">
              <w:rPr>
                <w:sz w:val="20"/>
                <w:szCs w:val="20"/>
              </w:rPr>
              <w:t xml:space="preserve">en, nicht so ausdrücklich </w:t>
            </w:r>
            <w:r>
              <w:rPr>
                <w:sz w:val="20"/>
                <w:szCs w:val="20"/>
              </w:rPr>
              <w:t>seien</w:t>
            </w:r>
            <w:r w:rsidRPr="00BE3728">
              <w:rPr>
                <w:sz w:val="20"/>
                <w:szCs w:val="20"/>
              </w:rPr>
              <w:t xml:space="preserve"> wie die Gesetze Ohios und Virginias. Aber bei der Gesetzesauslegung, respektive diesem Privileg, müss</w:t>
            </w:r>
            <w:r>
              <w:rPr>
                <w:sz w:val="20"/>
                <w:szCs w:val="20"/>
              </w:rPr>
              <w:t>t</w:t>
            </w:r>
            <w:r w:rsidRPr="00BE3728">
              <w:rPr>
                <w:sz w:val="20"/>
                <w:szCs w:val="20"/>
              </w:rPr>
              <w:t xml:space="preserve">en Gerichte </w:t>
            </w:r>
            <w:r>
              <w:rPr>
                <w:sz w:val="20"/>
                <w:szCs w:val="20"/>
              </w:rPr>
              <w:t>be</w:t>
            </w:r>
            <w:r w:rsidRPr="00BE3728">
              <w:rPr>
                <w:sz w:val="20"/>
                <w:szCs w:val="20"/>
              </w:rPr>
              <w:t>achten, dass die Regelungsobjekte Bundesstaaten</w:t>
            </w:r>
            <w:r>
              <w:rPr>
                <w:sz w:val="20"/>
                <w:szCs w:val="20"/>
              </w:rPr>
              <w:t xml:space="preserve"> seien</w:t>
            </w:r>
            <w:r w:rsidRPr="00BE3728">
              <w:rPr>
                <w:sz w:val="20"/>
                <w:szCs w:val="20"/>
              </w:rPr>
              <w:t xml:space="preserve">. </w:t>
            </w:r>
            <w:proofErr w:type="spellStart"/>
            <w:r>
              <w:rPr>
                <w:sz w:val="20"/>
                <w:szCs w:val="20"/>
                <w:lang w:val="en-US"/>
              </w:rPr>
              <w:t>Diese</w:t>
            </w:r>
            <w:proofErr w:type="spellEnd"/>
            <w:r>
              <w:rPr>
                <w:sz w:val="20"/>
                <w:szCs w:val="20"/>
                <w:lang w:val="en-US"/>
              </w:rPr>
              <w:t xml:space="preserve"> </w:t>
            </w:r>
            <w:proofErr w:type="spellStart"/>
            <w:r>
              <w:rPr>
                <w:sz w:val="20"/>
                <w:szCs w:val="20"/>
                <w:lang w:val="en-US"/>
              </w:rPr>
              <w:t>hätten</w:t>
            </w:r>
            <w:proofErr w:type="spellEnd"/>
            <w:r>
              <w:rPr>
                <w:sz w:val="20"/>
                <w:szCs w:val="20"/>
                <w:lang w:val="en-US"/>
              </w:rPr>
              <w:t xml:space="preserve"> </w:t>
            </w:r>
            <w:proofErr w:type="spellStart"/>
            <w:r w:rsidRPr="00BE3728">
              <w:rPr>
                <w:sz w:val="20"/>
                <w:szCs w:val="20"/>
                <w:lang w:val="en-US"/>
              </w:rPr>
              <w:t>andere</w:t>
            </w:r>
            <w:proofErr w:type="spellEnd"/>
            <w:r w:rsidRPr="00BE3728">
              <w:rPr>
                <w:sz w:val="20"/>
                <w:szCs w:val="20"/>
                <w:lang w:val="en-US"/>
              </w:rPr>
              <w:t xml:space="preserve"> </w:t>
            </w:r>
            <w:proofErr w:type="spellStart"/>
            <w:r w:rsidRPr="00BE3728">
              <w:rPr>
                <w:sz w:val="20"/>
                <w:szCs w:val="20"/>
                <w:lang w:val="en-US"/>
              </w:rPr>
              <w:t>Ziele</w:t>
            </w:r>
            <w:proofErr w:type="spellEnd"/>
            <w:r w:rsidRPr="00BE3728">
              <w:rPr>
                <w:sz w:val="20"/>
                <w:szCs w:val="20"/>
                <w:lang w:val="en-US"/>
              </w:rPr>
              <w:t xml:space="preserve"> </w:t>
            </w:r>
            <w:proofErr w:type="spellStart"/>
            <w:r w:rsidRPr="00BE3728">
              <w:rPr>
                <w:sz w:val="20"/>
                <w:szCs w:val="20"/>
                <w:lang w:val="en-US"/>
              </w:rPr>
              <w:t>als</w:t>
            </w:r>
            <w:proofErr w:type="spellEnd"/>
            <w:r w:rsidRPr="00BE3728">
              <w:rPr>
                <w:sz w:val="20"/>
                <w:szCs w:val="20"/>
                <w:lang w:val="en-US"/>
              </w:rPr>
              <w:t xml:space="preserve"> </w:t>
            </w:r>
            <w:proofErr w:type="spellStart"/>
            <w:r w:rsidRPr="00BE3728">
              <w:rPr>
                <w:sz w:val="20"/>
                <w:szCs w:val="20"/>
                <w:lang w:val="en-US"/>
              </w:rPr>
              <w:t>Privatpersonen</w:t>
            </w:r>
            <w:proofErr w:type="spellEnd"/>
            <w:r>
              <w:rPr>
                <w:sz w:val="20"/>
                <w:szCs w:val="20"/>
                <w:lang w:val="en-US"/>
              </w:rPr>
              <w:t xml:space="preserve">, </w:t>
            </w:r>
            <w:proofErr w:type="spellStart"/>
            <w:r>
              <w:rPr>
                <w:sz w:val="20"/>
                <w:szCs w:val="20"/>
                <w:lang w:val="en-US"/>
              </w:rPr>
              <w:t>nämlich</w:t>
            </w:r>
            <w:proofErr w:type="spellEnd"/>
            <w:r w:rsidRPr="00BE3728">
              <w:rPr>
                <w:sz w:val="20"/>
                <w:szCs w:val="20"/>
                <w:lang w:val="en-US"/>
              </w:rPr>
              <w:t xml:space="preserve"> das </w:t>
            </w:r>
            <w:proofErr w:type="spellStart"/>
            <w:r w:rsidRPr="00BE3728">
              <w:rPr>
                <w:sz w:val="20"/>
                <w:szCs w:val="20"/>
                <w:lang w:val="en-US"/>
              </w:rPr>
              <w:t>Wohlergehen</w:t>
            </w:r>
            <w:proofErr w:type="spellEnd"/>
            <w:r w:rsidRPr="00BE3728">
              <w:rPr>
                <w:sz w:val="20"/>
                <w:szCs w:val="20"/>
                <w:lang w:val="en-US"/>
              </w:rPr>
              <w:t xml:space="preserve"> und das Glück des </w:t>
            </w:r>
            <w:proofErr w:type="spellStart"/>
            <w:r w:rsidRPr="00BE3728">
              <w:rPr>
                <w:sz w:val="20"/>
                <w:szCs w:val="20"/>
                <w:lang w:val="en-US"/>
              </w:rPr>
              <w:t>jeweils</w:t>
            </w:r>
            <w:proofErr w:type="spellEnd"/>
            <w:r w:rsidRPr="00BE3728">
              <w:rPr>
                <w:sz w:val="20"/>
                <w:szCs w:val="20"/>
                <w:lang w:val="en-US"/>
              </w:rPr>
              <w:t xml:space="preserve"> </w:t>
            </w:r>
            <w:proofErr w:type="spellStart"/>
            <w:r w:rsidRPr="00BE3728">
              <w:rPr>
                <w:sz w:val="20"/>
                <w:szCs w:val="20"/>
                <w:lang w:val="en-US"/>
              </w:rPr>
              <w:t>anderen</w:t>
            </w:r>
            <w:proofErr w:type="spellEnd"/>
            <w:r w:rsidRPr="00BE3728">
              <w:rPr>
                <w:sz w:val="20"/>
                <w:szCs w:val="20"/>
                <w:lang w:val="en-US"/>
              </w:rPr>
              <w:t xml:space="preserve"> Bundesstaats („the objects they evidently had in view, […] a contract between two governments deeply concerned in the welfare of each other; whose dearest interests and happiness are closely and inseparably bound up together”</w:t>
            </w:r>
            <w:r w:rsidRPr="00BE3728">
              <w:rPr>
                <w:rStyle w:val="Funotenzeichen"/>
                <w:sz w:val="20"/>
                <w:szCs w:val="20"/>
                <w:lang w:val="en-US"/>
              </w:rPr>
              <w:footnoteReference w:id="206"/>
            </w:r>
            <w:r w:rsidRPr="00BE3728">
              <w:rPr>
                <w:sz w:val="20"/>
                <w:szCs w:val="20"/>
                <w:lang w:val="en-US"/>
              </w:rPr>
              <w:t xml:space="preserve">). </w:t>
            </w:r>
            <w:r w:rsidRPr="00BE3728">
              <w:rPr>
                <w:sz w:val="20"/>
                <w:szCs w:val="20"/>
              </w:rPr>
              <w:t>Und hier wollte Pennsylvania daher das Privileg auch Maryland zukommen lassen</w:t>
            </w:r>
            <w:r>
              <w:rPr>
                <w:sz w:val="20"/>
                <w:szCs w:val="20"/>
              </w:rPr>
              <w:t> </w:t>
            </w:r>
            <w:r w:rsidRPr="00BE3728">
              <w:rPr>
                <w:sz w:val="20"/>
                <w:szCs w:val="20"/>
              </w:rPr>
              <w:t xml:space="preserve">– und umgekehrt. </w:t>
            </w:r>
            <w:r w:rsidRPr="00BE3728">
              <w:rPr>
                <w:sz w:val="20"/>
                <w:szCs w:val="20"/>
                <w:lang w:val="en-US"/>
              </w:rPr>
              <w:t xml:space="preserve">Ein </w:t>
            </w:r>
            <w:proofErr w:type="spellStart"/>
            <w:r w:rsidRPr="00BE3728">
              <w:rPr>
                <w:sz w:val="20"/>
                <w:szCs w:val="20"/>
                <w:lang w:val="en-US"/>
              </w:rPr>
              <w:t>solches</w:t>
            </w:r>
            <w:proofErr w:type="spellEnd"/>
            <w:r w:rsidRPr="00BE3728">
              <w:rPr>
                <w:sz w:val="20"/>
                <w:szCs w:val="20"/>
                <w:lang w:val="en-US"/>
              </w:rPr>
              <w:t xml:space="preserve"> Ziel </w:t>
            </w:r>
            <w:proofErr w:type="spellStart"/>
            <w:r>
              <w:rPr>
                <w:sz w:val="20"/>
                <w:szCs w:val="20"/>
                <w:lang w:val="en-US"/>
              </w:rPr>
              <w:t>hätten</w:t>
            </w:r>
            <w:proofErr w:type="spellEnd"/>
            <w:r w:rsidRPr="00BE3728">
              <w:rPr>
                <w:sz w:val="20"/>
                <w:szCs w:val="20"/>
                <w:lang w:val="en-US"/>
              </w:rPr>
              <w:t xml:space="preserve"> </w:t>
            </w:r>
            <w:proofErr w:type="spellStart"/>
            <w:r w:rsidRPr="00BE3728">
              <w:rPr>
                <w:sz w:val="20"/>
                <w:szCs w:val="20"/>
                <w:lang w:val="en-US"/>
              </w:rPr>
              <w:t>auch</w:t>
            </w:r>
            <w:proofErr w:type="spellEnd"/>
            <w:r w:rsidRPr="00BE3728">
              <w:rPr>
                <w:sz w:val="20"/>
                <w:szCs w:val="20"/>
                <w:lang w:val="en-US"/>
              </w:rPr>
              <w:t xml:space="preserve"> die </w:t>
            </w:r>
            <w:proofErr w:type="spellStart"/>
            <w:r w:rsidRPr="00BE3728">
              <w:rPr>
                <w:sz w:val="20"/>
                <w:szCs w:val="20"/>
                <w:lang w:val="en-US"/>
              </w:rPr>
              <w:t>Vereinigten</w:t>
            </w:r>
            <w:proofErr w:type="spellEnd"/>
            <w:r w:rsidRPr="00BE3728">
              <w:rPr>
                <w:sz w:val="20"/>
                <w:szCs w:val="20"/>
                <w:lang w:val="en-US"/>
              </w:rPr>
              <w:t xml:space="preserve"> </w:t>
            </w:r>
            <w:proofErr w:type="spellStart"/>
            <w:r w:rsidRPr="00BE3728">
              <w:rPr>
                <w:sz w:val="20"/>
                <w:szCs w:val="20"/>
                <w:lang w:val="en-US"/>
              </w:rPr>
              <w:t>Staaten</w:t>
            </w:r>
            <w:proofErr w:type="spellEnd"/>
            <w:r w:rsidRPr="00BE3728">
              <w:rPr>
                <w:sz w:val="20"/>
                <w:szCs w:val="20"/>
                <w:lang w:val="en-US"/>
              </w:rPr>
              <w:t xml:space="preserve"> („the government of the United States was actuated by a like </w:t>
            </w:r>
            <w:proofErr w:type="gramStart"/>
            <w:r w:rsidRPr="00BE3728">
              <w:rPr>
                <w:sz w:val="20"/>
                <w:szCs w:val="20"/>
                <w:lang w:val="en-US"/>
              </w:rPr>
              <w:t>spirit“</w:t>
            </w:r>
            <w:proofErr w:type="gramEnd"/>
            <w:r w:rsidRPr="00BE3728">
              <w:rPr>
                <w:rStyle w:val="Funotenzeichen"/>
                <w:sz w:val="20"/>
                <w:szCs w:val="20"/>
                <w:lang w:val="en-US"/>
              </w:rPr>
              <w:t xml:space="preserve"> </w:t>
            </w:r>
            <w:r w:rsidRPr="00BE3728">
              <w:rPr>
                <w:rStyle w:val="Funotenzeichen"/>
                <w:sz w:val="20"/>
                <w:szCs w:val="20"/>
                <w:lang w:val="en-US"/>
              </w:rPr>
              <w:footnoteReference w:id="207"/>
            </w:r>
            <w:r w:rsidRPr="00BE3728">
              <w:rPr>
                <w:sz w:val="20"/>
                <w:szCs w:val="20"/>
                <w:lang w:val="en-US"/>
              </w:rPr>
              <w:t>).</w:t>
            </w:r>
          </w:p>
          <w:p w14:paraId="560BD12F" w14:textId="77777777" w:rsidR="00074551" w:rsidRPr="00C219EF" w:rsidRDefault="00074551" w:rsidP="00367133">
            <w:pPr>
              <w:jc w:val="both"/>
              <w:rPr>
                <w:sz w:val="20"/>
                <w:szCs w:val="20"/>
                <w:lang w:val="en-US"/>
              </w:rPr>
            </w:pPr>
          </w:p>
        </w:tc>
      </w:tr>
      <w:tr w:rsidR="00074551" w:rsidRPr="00E50B51" w14:paraId="74418303" w14:textId="77777777" w:rsidTr="00752D01">
        <w:trPr>
          <w:cantSplit/>
          <w:trHeight w:val="3175"/>
        </w:trPr>
        <w:tc>
          <w:tcPr>
            <w:tcW w:w="293" w:type="pct"/>
            <w:shd w:val="clear" w:color="auto" w:fill="E7E6E6" w:themeFill="background2"/>
          </w:tcPr>
          <w:p w14:paraId="1F14B5D1"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shd w:val="clear" w:color="auto" w:fill="E7E6E6" w:themeFill="background2"/>
            <w:textDirection w:val="tbRl"/>
            <w:vAlign w:val="center"/>
          </w:tcPr>
          <w:p w14:paraId="788FD9BB" w14:textId="77777777" w:rsidR="00074551" w:rsidRPr="00E50B51" w:rsidRDefault="00074551" w:rsidP="00367133">
            <w:pPr>
              <w:ind w:left="113" w:right="416"/>
              <w:jc w:val="both"/>
              <w:rPr>
                <w:sz w:val="20"/>
                <w:szCs w:val="20"/>
                <w:lang w:val="en-US"/>
              </w:rPr>
            </w:pPr>
            <w:r w:rsidRPr="00BE3728">
              <w:rPr>
                <w:sz w:val="20"/>
                <w:szCs w:val="20"/>
              </w:rPr>
              <w:t>Wirtschaftliche Seite</w:t>
            </w:r>
          </w:p>
        </w:tc>
        <w:tc>
          <w:tcPr>
            <w:tcW w:w="197" w:type="pct"/>
            <w:shd w:val="clear" w:color="auto" w:fill="E7E6E6" w:themeFill="background2"/>
            <w:textDirection w:val="tbRl"/>
            <w:vAlign w:val="center"/>
          </w:tcPr>
          <w:p w14:paraId="41A0CDB9" w14:textId="77777777" w:rsidR="00074551" w:rsidRPr="00E50B51" w:rsidRDefault="00074551" w:rsidP="00367133">
            <w:pPr>
              <w:ind w:left="113" w:right="113"/>
              <w:jc w:val="both"/>
              <w:rPr>
                <w:sz w:val="20"/>
                <w:szCs w:val="20"/>
                <w:lang w:val="en-US"/>
              </w:rPr>
            </w:pPr>
            <w:r w:rsidRPr="00BE3728">
              <w:rPr>
                <w:sz w:val="20"/>
                <w:szCs w:val="20"/>
              </w:rPr>
              <w:t xml:space="preserve">Commerce </w:t>
            </w:r>
            <w:proofErr w:type="spellStart"/>
            <w:r w:rsidRPr="00BE3728">
              <w:rPr>
                <w:sz w:val="20"/>
                <w:szCs w:val="20"/>
              </w:rPr>
              <w:t>Clause</w:t>
            </w:r>
            <w:proofErr w:type="spellEnd"/>
          </w:p>
        </w:tc>
        <w:tc>
          <w:tcPr>
            <w:tcW w:w="306" w:type="pct"/>
            <w:shd w:val="clear" w:color="auto" w:fill="E7E6E6" w:themeFill="background2"/>
            <w:textDirection w:val="tbRl"/>
            <w:vAlign w:val="center"/>
          </w:tcPr>
          <w:p w14:paraId="51011689" w14:textId="77777777" w:rsidR="00074551" w:rsidRPr="00E50B51" w:rsidRDefault="00074551" w:rsidP="00367133">
            <w:pPr>
              <w:ind w:left="113" w:right="113"/>
              <w:jc w:val="both"/>
              <w:rPr>
                <w:sz w:val="20"/>
                <w:szCs w:val="20"/>
                <w:lang w:val="en-US"/>
              </w:rPr>
            </w:pPr>
            <w:r w:rsidRPr="00BE3728">
              <w:rPr>
                <w:sz w:val="20"/>
                <w:szCs w:val="20"/>
              </w:rPr>
              <w:t>Interstate Commerce</w:t>
            </w:r>
          </w:p>
        </w:tc>
        <w:tc>
          <w:tcPr>
            <w:tcW w:w="401" w:type="pct"/>
            <w:shd w:val="clear" w:color="auto" w:fill="E7E6E6" w:themeFill="background2"/>
            <w:textDirection w:val="tbRl"/>
          </w:tcPr>
          <w:p w14:paraId="31CA67ED" w14:textId="77777777" w:rsidR="00074551" w:rsidRDefault="00074551" w:rsidP="00367133">
            <w:pPr>
              <w:ind w:left="113" w:right="113"/>
              <w:rPr>
                <w:sz w:val="20"/>
                <w:szCs w:val="20"/>
                <w:lang w:val="en-US"/>
              </w:rPr>
            </w:pPr>
          </w:p>
          <w:p w14:paraId="3D01C6FD" w14:textId="77777777" w:rsidR="00074551" w:rsidRPr="00E50B51" w:rsidRDefault="00074551" w:rsidP="00367133">
            <w:pPr>
              <w:ind w:left="113" w:right="113"/>
              <w:rPr>
                <w:sz w:val="20"/>
                <w:szCs w:val="20"/>
                <w:lang w:val="en-US"/>
              </w:rPr>
            </w:pPr>
            <w:proofErr w:type="spellStart"/>
            <w:r w:rsidRPr="00BE3728">
              <w:rPr>
                <w:sz w:val="20"/>
                <w:szCs w:val="20"/>
                <w:lang w:val="en-US"/>
              </w:rPr>
              <w:t>Prohibitition</w:t>
            </w:r>
            <w:proofErr w:type="spellEnd"/>
            <w:r w:rsidRPr="00BE3728">
              <w:rPr>
                <w:sz w:val="20"/>
                <w:szCs w:val="20"/>
                <w:lang w:val="en-US"/>
              </w:rPr>
              <w:t xml:space="preserve"> of Commerce</w:t>
            </w:r>
          </w:p>
        </w:tc>
        <w:tc>
          <w:tcPr>
            <w:tcW w:w="1594" w:type="pct"/>
            <w:shd w:val="clear" w:color="auto" w:fill="E7E6E6" w:themeFill="background2"/>
            <w:vAlign w:val="center"/>
          </w:tcPr>
          <w:p w14:paraId="083BB43A" w14:textId="77777777" w:rsidR="00074551" w:rsidRPr="00E50B51" w:rsidRDefault="00074551" w:rsidP="00367133">
            <w:pPr>
              <w:jc w:val="both"/>
              <w:rPr>
                <w:sz w:val="20"/>
                <w:szCs w:val="20"/>
                <w:lang w:val="en-US"/>
              </w:rPr>
            </w:pPr>
          </w:p>
        </w:tc>
        <w:tc>
          <w:tcPr>
            <w:tcW w:w="1822" w:type="pct"/>
            <w:shd w:val="clear" w:color="auto" w:fill="E7E6E6" w:themeFill="background2"/>
          </w:tcPr>
          <w:p w14:paraId="757DC027" w14:textId="15D9239F"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7AB3E593" w14:textId="77777777" w:rsidTr="00BE689F">
        <w:trPr>
          <w:cantSplit/>
          <w:trHeight w:val="3175"/>
        </w:trPr>
        <w:tc>
          <w:tcPr>
            <w:tcW w:w="293" w:type="pct"/>
          </w:tcPr>
          <w:p w14:paraId="104C0B0B"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50506FB3" w14:textId="77777777" w:rsidR="00074551" w:rsidRPr="00B45592" w:rsidRDefault="00074551" w:rsidP="00367133">
            <w:pPr>
              <w:ind w:left="113" w:right="416"/>
              <w:jc w:val="both"/>
              <w:rPr>
                <w:i/>
                <w:sz w:val="20"/>
                <w:szCs w:val="20"/>
                <w:lang w:val="en-US"/>
              </w:rPr>
            </w:pPr>
            <w:r w:rsidRPr="00B45592">
              <w:rPr>
                <w:i/>
                <w:sz w:val="20"/>
                <w:szCs w:val="20"/>
              </w:rPr>
              <w:t>Woodruff v. Parham</w:t>
            </w:r>
          </w:p>
        </w:tc>
        <w:tc>
          <w:tcPr>
            <w:tcW w:w="197" w:type="pct"/>
            <w:textDirection w:val="tbRl"/>
            <w:vAlign w:val="center"/>
          </w:tcPr>
          <w:p w14:paraId="38DA038A" w14:textId="77777777" w:rsidR="00074551" w:rsidRPr="00E50B51" w:rsidRDefault="00074551" w:rsidP="00367133">
            <w:pPr>
              <w:ind w:left="113" w:right="113"/>
              <w:jc w:val="both"/>
              <w:rPr>
                <w:sz w:val="20"/>
                <w:szCs w:val="20"/>
                <w:lang w:val="en-US"/>
              </w:rPr>
            </w:pPr>
            <w:r w:rsidRPr="00BE3728">
              <w:rPr>
                <w:sz w:val="20"/>
                <w:szCs w:val="20"/>
              </w:rPr>
              <w:t>75 U.S. 123</w:t>
            </w:r>
          </w:p>
        </w:tc>
        <w:tc>
          <w:tcPr>
            <w:tcW w:w="306" w:type="pct"/>
            <w:textDirection w:val="tbRl"/>
            <w:vAlign w:val="center"/>
          </w:tcPr>
          <w:p w14:paraId="1EC692FC" w14:textId="77777777" w:rsidR="00074551" w:rsidRPr="00E50B51" w:rsidRDefault="00074551" w:rsidP="00367133">
            <w:pPr>
              <w:ind w:left="113" w:right="113"/>
              <w:jc w:val="both"/>
              <w:rPr>
                <w:sz w:val="20"/>
                <w:szCs w:val="20"/>
                <w:lang w:val="en-US"/>
              </w:rPr>
            </w:pPr>
            <w:r w:rsidRPr="00BE3728">
              <w:rPr>
                <w:sz w:val="20"/>
                <w:szCs w:val="20"/>
              </w:rPr>
              <w:t>08. November 1869</w:t>
            </w:r>
          </w:p>
        </w:tc>
        <w:tc>
          <w:tcPr>
            <w:tcW w:w="401" w:type="pct"/>
          </w:tcPr>
          <w:p w14:paraId="43019CD2"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2FEA04DF"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das Urteil des </w:t>
            </w:r>
            <w:r w:rsidRPr="00B45592">
              <w:rPr>
                <w:i/>
                <w:sz w:val="20"/>
                <w:szCs w:val="20"/>
              </w:rPr>
              <w:t>Supreme Court of Alabama</w:t>
            </w:r>
            <w:r w:rsidRPr="00BE3728">
              <w:rPr>
                <w:sz w:val="20"/>
                <w:szCs w:val="20"/>
              </w:rPr>
              <w:t xml:space="preserve">. Die Kläger waren Auktionatoren, </w:t>
            </w:r>
            <w:r>
              <w:rPr>
                <w:sz w:val="20"/>
                <w:szCs w:val="20"/>
              </w:rPr>
              <w:t>die</w:t>
            </w:r>
            <w:r w:rsidRPr="00BE3728">
              <w:rPr>
                <w:sz w:val="20"/>
                <w:szCs w:val="20"/>
              </w:rPr>
              <w:t xml:space="preserve"> Beklagte war die Stadt Alabama. Die Kläger begehrten eine Überprüfung einer Steuer, welche die Stadt für kommunale Zwecke erhob, und zwar auf Immobilien, persönliches Vermögen sowie </w:t>
            </w:r>
            <w:r>
              <w:rPr>
                <w:sz w:val="20"/>
                <w:szCs w:val="20"/>
              </w:rPr>
              <w:t>auf</w:t>
            </w:r>
            <w:r w:rsidRPr="00BE3728">
              <w:rPr>
                <w:sz w:val="20"/>
                <w:szCs w:val="20"/>
              </w:rPr>
              <w:t xml:space="preserve"> Verkäufe bei Auktionen. Die Kläger argumentierte</w:t>
            </w:r>
            <w:r>
              <w:rPr>
                <w:sz w:val="20"/>
                <w:szCs w:val="20"/>
              </w:rPr>
              <w:t>n</w:t>
            </w:r>
            <w:r w:rsidRPr="00BE3728">
              <w:rPr>
                <w:sz w:val="20"/>
                <w:szCs w:val="20"/>
              </w:rPr>
              <w:t xml:space="preserve">, die Steuer verstoße </w:t>
            </w:r>
            <w:r>
              <w:rPr>
                <w:sz w:val="20"/>
                <w:szCs w:val="20"/>
              </w:rPr>
              <w:t>gegen die Regel</w:t>
            </w:r>
            <w:r w:rsidRPr="00BE3728">
              <w:rPr>
                <w:sz w:val="20"/>
                <w:szCs w:val="20"/>
              </w:rPr>
              <w:t>, dass Bundesstaaten keine Zölle auf Importe erheben dürf</w:t>
            </w:r>
            <w:r>
              <w:rPr>
                <w:sz w:val="20"/>
                <w:szCs w:val="20"/>
              </w:rPr>
              <w:t>t</w:t>
            </w:r>
            <w:r w:rsidRPr="00BE3728">
              <w:rPr>
                <w:sz w:val="20"/>
                <w:szCs w:val="20"/>
              </w:rPr>
              <w:t xml:space="preserve">en (vgl. </w:t>
            </w:r>
            <w:r>
              <w:rPr>
                <w:sz w:val="20"/>
                <w:szCs w:val="20"/>
              </w:rPr>
              <w:t>Art. I, § 10, cl.</w:t>
            </w:r>
            <w:r w:rsidRPr="00BE3728">
              <w:rPr>
                <w:sz w:val="20"/>
                <w:szCs w:val="20"/>
              </w:rPr>
              <w:t xml:space="preserve"> 2, </w:t>
            </w:r>
            <w:r w:rsidRPr="00B45592">
              <w:rPr>
                <w:i/>
                <w:sz w:val="20"/>
                <w:szCs w:val="20"/>
              </w:rPr>
              <w:t xml:space="preserve">Import-Export </w:t>
            </w:r>
            <w:proofErr w:type="spellStart"/>
            <w:r w:rsidRPr="00B45592">
              <w:rPr>
                <w:i/>
                <w:sz w:val="20"/>
                <w:szCs w:val="20"/>
              </w:rPr>
              <w:t>Clause</w:t>
            </w:r>
            <w:proofErr w:type="spellEnd"/>
            <w:r w:rsidRPr="00BE3728">
              <w:rPr>
                <w:rStyle w:val="Funotenzeichen"/>
                <w:sz w:val="20"/>
                <w:szCs w:val="20"/>
              </w:rPr>
              <w:footnoteReference w:id="208"/>
            </w:r>
            <w:r w:rsidRPr="00BE3728">
              <w:rPr>
                <w:sz w:val="20"/>
                <w:szCs w:val="20"/>
              </w:rPr>
              <w:t xml:space="preserve">). Der </w:t>
            </w:r>
            <w:r w:rsidRPr="00B45592">
              <w:rPr>
                <w:i/>
                <w:sz w:val="20"/>
                <w:szCs w:val="20"/>
              </w:rPr>
              <w:t>Supreme Court of Alabama</w:t>
            </w:r>
            <w:r w:rsidRPr="00BE3728">
              <w:rPr>
                <w:sz w:val="20"/>
                <w:szCs w:val="20"/>
              </w:rPr>
              <w:t xml:space="preserve"> entschied gegen die Kläger. Der </w:t>
            </w:r>
            <w:r>
              <w:rPr>
                <w:sz w:val="20"/>
                <w:szCs w:val="20"/>
              </w:rPr>
              <w:t>U.S. Supreme Court</w:t>
            </w:r>
            <w:r w:rsidRPr="00BE3728">
              <w:rPr>
                <w:sz w:val="20"/>
                <w:szCs w:val="20"/>
              </w:rPr>
              <w:t xml:space="preserve"> bestätig</w:t>
            </w:r>
            <w:r>
              <w:rPr>
                <w:sz w:val="20"/>
                <w:szCs w:val="20"/>
              </w:rPr>
              <w:t>t</w:t>
            </w:r>
            <w:r w:rsidRPr="00BE3728">
              <w:rPr>
                <w:sz w:val="20"/>
                <w:szCs w:val="20"/>
              </w:rPr>
              <w:t>e dies. Er urteilte, zwar könne die Besteuerung von Waren eines Händlers ungerecht sein</w:t>
            </w:r>
            <w:r>
              <w:rPr>
                <w:sz w:val="20"/>
                <w:szCs w:val="20"/>
              </w:rPr>
              <w:t>, w</w:t>
            </w:r>
            <w:r w:rsidRPr="00BE3728">
              <w:rPr>
                <w:sz w:val="20"/>
                <w:szCs w:val="20"/>
              </w:rPr>
              <w:t>enn das Gesetz in Alabama gekauft</w:t>
            </w:r>
            <w:r>
              <w:rPr>
                <w:sz w:val="20"/>
                <w:szCs w:val="20"/>
              </w:rPr>
              <w:t>e</w:t>
            </w:r>
            <w:r w:rsidRPr="00BE3728">
              <w:rPr>
                <w:sz w:val="20"/>
                <w:szCs w:val="20"/>
              </w:rPr>
              <w:t xml:space="preserve"> Waren von</w:t>
            </w:r>
            <w:r>
              <w:rPr>
                <w:sz w:val="20"/>
                <w:szCs w:val="20"/>
              </w:rPr>
              <w:t xml:space="preserve"> </w:t>
            </w:r>
            <w:r w:rsidRPr="00BE3728">
              <w:rPr>
                <w:sz w:val="20"/>
                <w:szCs w:val="20"/>
              </w:rPr>
              <w:t>der Steuer befreie</w:t>
            </w:r>
            <w:r>
              <w:rPr>
                <w:sz w:val="20"/>
                <w:szCs w:val="20"/>
              </w:rPr>
              <w:t> </w:t>
            </w:r>
            <w:r w:rsidRPr="00BE3728">
              <w:rPr>
                <w:sz w:val="20"/>
                <w:szCs w:val="20"/>
              </w:rPr>
              <w:t>–</w:t>
            </w:r>
            <w:r>
              <w:rPr>
                <w:sz w:val="20"/>
                <w:szCs w:val="20"/>
              </w:rPr>
              <w:t xml:space="preserve"> </w:t>
            </w:r>
            <w:r w:rsidRPr="00BE3728">
              <w:rPr>
                <w:sz w:val="20"/>
                <w:szCs w:val="20"/>
              </w:rPr>
              <w:t xml:space="preserve">und Waren anders besteuert würden, wenn jemand diese aus einem anderen Bundesstaat einführe. Aber der </w:t>
            </w:r>
            <w:r>
              <w:rPr>
                <w:sz w:val="20"/>
                <w:szCs w:val="20"/>
              </w:rPr>
              <w:t>U.S. Supreme Court</w:t>
            </w:r>
            <w:r w:rsidRPr="00BE3728">
              <w:rPr>
                <w:sz w:val="20"/>
                <w:szCs w:val="20"/>
              </w:rPr>
              <w:t xml:space="preserve"> befand, dass die Steuer letztendlich keine Verletzung der </w:t>
            </w:r>
            <w:r w:rsidRPr="00B45592">
              <w:rPr>
                <w:i/>
                <w:sz w:val="20"/>
                <w:szCs w:val="20"/>
              </w:rPr>
              <w:t xml:space="preserve">Import-Export </w:t>
            </w:r>
            <w:proofErr w:type="spellStart"/>
            <w:r w:rsidRPr="00B45592">
              <w:rPr>
                <w:i/>
                <w:sz w:val="20"/>
                <w:szCs w:val="20"/>
              </w:rPr>
              <w:t>Clause</w:t>
            </w:r>
            <w:proofErr w:type="spellEnd"/>
            <w:r w:rsidRPr="00B45592">
              <w:rPr>
                <w:i/>
                <w:sz w:val="20"/>
                <w:szCs w:val="20"/>
              </w:rPr>
              <w:t xml:space="preserve"> </w:t>
            </w:r>
            <w:r w:rsidRPr="00BE3728">
              <w:rPr>
                <w:sz w:val="20"/>
                <w:szCs w:val="20"/>
              </w:rPr>
              <w:t xml:space="preserve">darstelle. Denn die Steuer behindere weder den Handel zwischen Bundesstaaten noch </w:t>
            </w:r>
            <w:r>
              <w:rPr>
                <w:sz w:val="20"/>
                <w:szCs w:val="20"/>
              </w:rPr>
              <w:t>die</w:t>
            </w:r>
            <w:r w:rsidRPr="00BE3728">
              <w:rPr>
                <w:sz w:val="20"/>
                <w:szCs w:val="20"/>
              </w:rPr>
              <w:t xml:space="preserve"> Bürger anderer Bundesstaaten. Nur davor schütze die Klausel. Und die Verfassungsgeber beabsichtigten gerade nicht, durch die </w:t>
            </w:r>
            <w:r w:rsidRPr="00B45592">
              <w:rPr>
                <w:i/>
                <w:sz w:val="20"/>
                <w:szCs w:val="20"/>
              </w:rPr>
              <w:t xml:space="preserve">Import-Export </w:t>
            </w:r>
            <w:proofErr w:type="spellStart"/>
            <w:r w:rsidRPr="00B45592">
              <w:rPr>
                <w:i/>
                <w:sz w:val="20"/>
                <w:szCs w:val="20"/>
              </w:rPr>
              <w:t>Clause</w:t>
            </w:r>
            <w:proofErr w:type="spellEnd"/>
            <w:r w:rsidRPr="00BE3728">
              <w:rPr>
                <w:sz w:val="20"/>
                <w:szCs w:val="20"/>
              </w:rPr>
              <w:t xml:space="preserve"> das Recht eines Bundesstaats zu verbieten, Waren zu besteuern, die jemand aus einem anderen Bundesstaat einführe.</w:t>
            </w:r>
            <w:r w:rsidRPr="00BE3728">
              <w:rPr>
                <w:rStyle w:val="Funotenzeichen"/>
                <w:sz w:val="20"/>
                <w:szCs w:val="20"/>
              </w:rPr>
              <w:footnoteReference w:id="209"/>
            </w:r>
          </w:p>
          <w:p w14:paraId="3FC9BE05" w14:textId="77777777" w:rsidR="00074551" w:rsidRPr="00BE3728" w:rsidRDefault="00074551" w:rsidP="00367133">
            <w:pPr>
              <w:jc w:val="both"/>
              <w:rPr>
                <w:sz w:val="20"/>
                <w:szCs w:val="20"/>
              </w:rPr>
            </w:pPr>
          </w:p>
          <w:p w14:paraId="398BABF2" w14:textId="77777777" w:rsidR="00074551" w:rsidRPr="00C219EF" w:rsidRDefault="00074551" w:rsidP="00367133">
            <w:pPr>
              <w:jc w:val="both"/>
              <w:rPr>
                <w:sz w:val="20"/>
                <w:szCs w:val="20"/>
              </w:rPr>
            </w:pPr>
          </w:p>
        </w:tc>
        <w:tc>
          <w:tcPr>
            <w:tcW w:w="1822" w:type="pct"/>
          </w:tcPr>
          <w:p w14:paraId="3E502C7E" w14:textId="77777777" w:rsidR="00074551" w:rsidRPr="00B45592" w:rsidRDefault="00074551" w:rsidP="00367133">
            <w:pPr>
              <w:jc w:val="both"/>
              <w:rPr>
                <w:i/>
                <w:sz w:val="20"/>
                <w:szCs w:val="20"/>
              </w:rPr>
            </w:pPr>
            <w:r w:rsidRPr="00B45592">
              <w:rPr>
                <w:i/>
                <w:sz w:val="20"/>
                <w:szCs w:val="20"/>
              </w:rPr>
              <w:t xml:space="preserve">LexisNexis-Klassifikation: Constitutional Law › Commerce </w:t>
            </w:r>
            <w:proofErr w:type="spellStart"/>
            <w:r w:rsidRPr="00B45592">
              <w:rPr>
                <w:i/>
                <w:sz w:val="20"/>
                <w:szCs w:val="20"/>
              </w:rPr>
              <w:t>Clause</w:t>
            </w:r>
            <w:proofErr w:type="spellEnd"/>
            <w:r w:rsidRPr="00B45592">
              <w:rPr>
                <w:i/>
                <w:sz w:val="20"/>
                <w:szCs w:val="20"/>
              </w:rPr>
              <w:t xml:space="preserve"> › Interstate Commerce › Prohibition of Commerce</w:t>
            </w:r>
          </w:p>
          <w:p w14:paraId="24C7C5DA" w14:textId="77777777" w:rsidR="00074551" w:rsidRPr="00B45592" w:rsidRDefault="00074551" w:rsidP="00367133">
            <w:pPr>
              <w:jc w:val="both"/>
              <w:rPr>
                <w:sz w:val="20"/>
                <w:szCs w:val="20"/>
              </w:rPr>
            </w:pPr>
          </w:p>
          <w:p w14:paraId="1EFDFB23" w14:textId="77777777" w:rsidR="00074551" w:rsidRDefault="00074551" w:rsidP="00367133">
            <w:pPr>
              <w:jc w:val="both"/>
              <w:rPr>
                <w:sz w:val="20"/>
                <w:szCs w:val="20"/>
              </w:rPr>
            </w:pPr>
            <w:r w:rsidRPr="00BE3728">
              <w:rPr>
                <w:sz w:val="20"/>
                <w:szCs w:val="20"/>
              </w:rPr>
              <w:t xml:space="preserve">Eine Steuer für alle Warenverkäufe, unabhängig </w:t>
            </w:r>
            <w:r>
              <w:rPr>
                <w:sz w:val="20"/>
                <w:szCs w:val="20"/>
              </w:rPr>
              <w:t xml:space="preserve">von </w:t>
            </w:r>
            <w:r w:rsidRPr="00BE3728">
              <w:rPr>
                <w:sz w:val="20"/>
                <w:szCs w:val="20"/>
              </w:rPr>
              <w:t>der Herkunft des Verkäufers oder des Produkts</w:t>
            </w:r>
            <w:r>
              <w:rPr>
                <w:sz w:val="20"/>
                <w:szCs w:val="20"/>
              </w:rPr>
              <w:t>,</w:t>
            </w:r>
            <w:r w:rsidRPr="00BE3728">
              <w:rPr>
                <w:sz w:val="20"/>
                <w:szCs w:val="20"/>
              </w:rPr>
              <w:t xml:space="preserve"> behindere nicht den Handel zwischen den Bundesstaaten oder Bürgern und </w:t>
            </w:r>
            <w:r>
              <w:rPr>
                <w:sz w:val="20"/>
                <w:szCs w:val="20"/>
              </w:rPr>
              <w:t>entziehe</w:t>
            </w:r>
            <w:r w:rsidRPr="00BE3728">
              <w:rPr>
                <w:sz w:val="20"/>
                <w:szCs w:val="20"/>
              </w:rPr>
              <w:t xml:space="preserve"> damit auch kein Vorrecht </w:t>
            </w:r>
            <w:r>
              <w:rPr>
                <w:sz w:val="20"/>
                <w:szCs w:val="20"/>
              </w:rPr>
              <w:t>und keine</w:t>
            </w:r>
            <w:r w:rsidRPr="00BE3728">
              <w:rPr>
                <w:sz w:val="20"/>
                <w:szCs w:val="20"/>
              </w:rPr>
              <w:t xml:space="preserve"> Immunität.</w:t>
            </w:r>
            <w:r w:rsidRPr="00BE3728">
              <w:rPr>
                <w:rStyle w:val="Funotenzeichen"/>
                <w:sz w:val="20"/>
                <w:szCs w:val="20"/>
              </w:rPr>
              <w:footnoteReference w:id="210"/>
            </w:r>
          </w:p>
          <w:p w14:paraId="1098375F" w14:textId="77777777" w:rsidR="00074551" w:rsidRPr="00BE3728" w:rsidRDefault="00074551" w:rsidP="00367133">
            <w:pPr>
              <w:jc w:val="both"/>
              <w:rPr>
                <w:sz w:val="20"/>
                <w:szCs w:val="20"/>
              </w:rPr>
            </w:pPr>
          </w:p>
          <w:p w14:paraId="3A910031" w14:textId="71990F9A" w:rsidR="00074551" w:rsidRDefault="00074551" w:rsidP="00367133">
            <w:pPr>
              <w:jc w:val="both"/>
              <w:rPr>
                <w:sz w:val="20"/>
                <w:szCs w:val="20"/>
              </w:rPr>
            </w:pPr>
            <w:r w:rsidRPr="00BE3728">
              <w:rPr>
                <w:sz w:val="20"/>
                <w:szCs w:val="20"/>
              </w:rPr>
              <w:t xml:space="preserve">Der Dissens reduziert den Fall auf die Frage, ob ein Bundesstaat eine Verpackung besteuern </w:t>
            </w:r>
            <w:r>
              <w:rPr>
                <w:sz w:val="20"/>
                <w:szCs w:val="20"/>
              </w:rPr>
              <w:t>könne</w:t>
            </w:r>
            <w:r w:rsidRPr="00BE3728">
              <w:rPr>
                <w:sz w:val="20"/>
                <w:szCs w:val="20"/>
              </w:rPr>
              <w:t xml:space="preserve">, die einen Artikel aus einem anderen Bundesstaat enthalte, und damit der Import eingeschränkt sei. Um darauf zu antworten, benennt der Dissens den Wortlaut von </w:t>
            </w:r>
            <w:r w:rsidR="00023A37">
              <w:rPr>
                <w:sz w:val="20"/>
                <w:szCs w:val="20"/>
              </w:rPr>
              <w:t xml:space="preserve">U.S. </w:t>
            </w:r>
            <w:proofErr w:type="spellStart"/>
            <w:r w:rsidR="00023A37">
              <w:rPr>
                <w:sz w:val="20"/>
                <w:szCs w:val="20"/>
              </w:rPr>
              <w:t>Const</w:t>
            </w:r>
            <w:proofErr w:type="spellEnd"/>
            <w:r w:rsidR="00023A37">
              <w:rPr>
                <w:sz w:val="20"/>
                <w:szCs w:val="20"/>
              </w:rPr>
              <w:t>. art. I, § 10, cl. 2.</w:t>
            </w:r>
            <w:r w:rsidRPr="00BE3728">
              <w:rPr>
                <w:sz w:val="20"/>
                <w:szCs w:val="20"/>
              </w:rPr>
              <w:t xml:space="preserve"> Dieser setzt voraus, dass kein Staat grundsätzlich ohne Zustimmung des Kongresses Zölle oder Abgaben auf Importe oder Exporte erheben dürfe. Nun legte der Dissens diesen Wortlaut aus, insbesondere das Wort Staat. Er griff u.a. auf die Zielsetzung des Verfassungsartikels und die Gesetzgebungsunterlagen des Verfassungskonvent</w:t>
            </w:r>
            <w:r>
              <w:rPr>
                <w:sz w:val="20"/>
                <w:szCs w:val="20"/>
              </w:rPr>
              <w:t>s</w:t>
            </w:r>
            <w:r w:rsidRPr="00BE3728">
              <w:rPr>
                <w:sz w:val="20"/>
                <w:szCs w:val="20"/>
              </w:rPr>
              <w:t xml:space="preserve"> 1787 zurück, der den Verfassungsartikel kodifizierte. </w:t>
            </w:r>
            <w:r w:rsidRPr="00BE3728">
              <w:rPr>
                <w:sz w:val="20"/>
                <w:szCs w:val="20"/>
                <w:lang w:val="en-US"/>
              </w:rPr>
              <w:t xml:space="preserve">Das Ziel </w:t>
            </w:r>
            <w:r>
              <w:rPr>
                <w:sz w:val="20"/>
                <w:szCs w:val="20"/>
                <w:lang w:val="en-US"/>
              </w:rPr>
              <w:t>von</w:t>
            </w:r>
            <w:r w:rsidRPr="00BE3728">
              <w:rPr>
                <w:sz w:val="20"/>
                <w:szCs w:val="20"/>
                <w:lang w:val="en-US"/>
              </w:rPr>
              <w:t xml:space="preserve"> </w:t>
            </w:r>
            <w:r w:rsidR="00023A37">
              <w:rPr>
                <w:sz w:val="20"/>
                <w:szCs w:val="20"/>
                <w:lang w:val="en-US"/>
              </w:rPr>
              <w:t>U.S. Const. art. I, § 10, cl. 2</w:t>
            </w:r>
            <w:r w:rsidRPr="00BE3728">
              <w:rPr>
                <w:sz w:val="20"/>
                <w:szCs w:val="20"/>
                <w:lang w:val="en-US"/>
              </w:rPr>
              <w:t xml:space="preserve"> </w:t>
            </w:r>
            <w:r>
              <w:rPr>
                <w:sz w:val="20"/>
                <w:szCs w:val="20"/>
                <w:lang w:val="en-US"/>
              </w:rPr>
              <w:t>sei</w:t>
            </w:r>
            <w:r w:rsidRPr="00BE3728">
              <w:rPr>
                <w:sz w:val="20"/>
                <w:szCs w:val="20"/>
                <w:lang w:val="en-US"/>
              </w:rPr>
              <w:t xml:space="preserve"> </w:t>
            </w:r>
            <w:proofErr w:type="spellStart"/>
            <w:r>
              <w:rPr>
                <w:sz w:val="20"/>
                <w:szCs w:val="20"/>
                <w:lang w:val="en-US"/>
              </w:rPr>
              <w:t>gewesen</w:t>
            </w:r>
            <w:proofErr w:type="spellEnd"/>
            <w:r w:rsidRPr="00BE3728">
              <w:rPr>
                <w:sz w:val="20"/>
                <w:szCs w:val="20"/>
                <w:lang w:val="en-US"/>
              </w:rPr>
              <w:t xml:space="preserve">, </w:t>
            </w:r>
            <w:proofErr w:type="spellStart"/>
            <w:r w:rsidRPr="00BE3728">
              <w:rPr>
                <w:sz w:val="20"/>
                <w:szCs w:val="20"/>
                <w:lang w:val="en-US"/>
              </w:rPr>
              <w:t>mit</w:t>
            </w:r>
            <w:proofErr w:type="spellEnd"/>
            <w:r w:rsidRPr="00BE3728">
              <w:rPr>
                <w:sz w:val="20"/>
                <w:szCs w:val="20"/>
                <w:lang w:val="en-US"/>
              </w:rPr>
              <w:t xml:space="preserve"> Handel den </w:t>
            </w:r>
            <w:proofErr w:type="spellStart"/>
            <w:r w:rsidRPr="00BE3728">
              <w:rPr>
                <w:sz w:val="20"/>
                <w:szCs w:val="20"/>
                <w:lang w:val="en-US"/>
              </w:rPr>
              <w:t>Wohlstand</w:t>
            </w:r>
            <w:proofErr w:type="spellEnd"/>
            <w:r w:rsidRPr="00BE3728">
              <w:rPr>
                <w:sz w:val="20"/>
                <w:szCs w:val="20"/>
                <w:lang w:val="en-US"/>
              </w:rPr>
              <w:t xml:space="preserve">, die </w:t>
            </w:r>
            <w:proofErr w:type="spellStart"/>
            <w:r w:rsidRPr="00BE3728">
              <w:rPr>
                <w:sz w:val="20"/>
                <w:szCs w:val="20"/>
                <w:lang w:val="en-US"/>
              </w:rPr>
              <w:t>Unabhängigkeit</w:t>
            </w:r>
            <w:proofErr w:type="spellEnd"/>
            <w:r w:rsidRPr="00BE3728">
              <w:rPr>
                <w:sz w:val="20"/>
                <w:szCs w:val="20"/>
                <w:lang w:val="en-US"/>
              </w:rPr>
              <w:t xml:space="preserve"> und das Glück der Menschen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fördern</w:t>
            </w:r>
            <w:proofErr w:type="spellEnd"/>
            <w:r w:rsidRPr="00BE3728">
              <w:rPr>
                <w:sz w:val="20"/>
                <w:szCs w:val="20"/>
                <w:lang w:val="en-US"/>
              </w:rPr>
              <w:t xml:space="preserve"> („Again, at the time the Convention was assembled, […] the commerce among the States was […] more productive of wealth, independence, and happiness of the </w:t>
            </w:r>
            <w:proofErr w:type="gramStart"/>
            <w:r w:rsidRPr="00BE3728">
              <w:rPr>
                <w:sz w:val="20"/>
                <w:szCs w:val="20"/>
                <w:lang w:val="en-US"/>
              </w:rPr>
              <w:t>people“</w:t>
            </w:r>
            <w:proofErr w:type="gramEnd"/>
            <w:r w:rsidRPr="00BE3728">
              <w:rPr>
                <w:rStyle w:val="Funotenzeichen"/>
                <w:sz w:val="20"/>
                <w:szCs w:val="20"/>
                <w:lang w:val="en-US"/>
              </w:rPr>
              <w:footnoteReference w:id="211"/>
            </w:r>
            <w:r w:rsidRPr="00BE3728">
              <w:rPr>
                <w:sz w:val="20"/>
                <w:szCs w:val="20"/>
                <w:lang w:val="en-US"/>
              </w:rPr>
              <w:t xml:space="preserve">). </w:t>
            </w:r>
            <w:r w:rsidRPr="00BE3728">
              <w:rPr>
                <w:sz w:val="20"/>
                <w:szCs w:val="20"/>
              </w:rPr>
              <w:t xml:space="preserve">Unter dieser Zielsetzung </w:t>
            </w:r>
            <w:r>
              <w:rPr>
                <w:sz w:val="20"/>
                <w:szCs w:val="20"/>
              </w:rPr>
              <w:t>müsse</w:t>
            </w:r>
            <w:r w:rsidRPr="00BE3728">
              <w:rPr>
                <w:sz w:val="20"/>
                <w:szCs w:val="20"/>
              </w:rPr>
              <w:t xml:space="preserve"> der Wortlaut weit verstanden werden. D.h. die bundesstaatliche Verpackungssteuer verstoße gegen den Verfassungsartikel. Dafür </w:t>
            </w:r>
            <w:r>
              <w:rPr>
                <w:sz w:val="20"/>
                <w:szCs w:val="20"/>
              </w:rPr>
              <w:t>spreche</w:t>
            </w:r>
            <w:r w:rsidRPr="00BE3728">
              <w:rPr>
                <w:sz w:val="20"/>
                <w:szCs w:val="20"/>
              </w:rPr>
              <w:t xml:space="preserve"> auch der Verfassungskonvent 1787, der den Verfassungsartikel kodifizierte. Denn in dieser Zeit </w:t>
            </w:r>
            <w:r>
              <w:rPr>
                <w:sz w:val="20"/>
                <w:szCs w:val="20"/>
              </w:rPr>
              <w:t>habe</w:t>
            </w:r>
            <w:r w:rsidRPr="00BE3728">
              <w:rPr>
                <w:sz w:val="20"/>
                <w:szCs w:val="20"/>
              </w:rPr>
              <w:t xml:space="preserve"> der interne Handel den Handel mit dem Ausland um ein Vielfaches</w:t>
            </w:r>
            <w:r>
              <w:rPr>
                <w:sz w:val="20"/>
                <w:szCs w:val="20"/>
              </w:rPr>
              <w:t xml:space="preserve"> überstiegen</w:t>
            </w:r>
            <w:r w:rsidRPr="00BE3728">
              <w:rPr>
                <w:sz w:val="20"/>
                <w:szCs w:val="20"/>
              </w:rPr>
              <w:t xml:space="preserve">. Damit </w:t>
            </w:r>
            <w:r>
              <w:rPr>
                <w:sz w:val="20"/>
                <w:szCs w:val="20"/>
              </w:rPr>
              <w:t>solle</w:t>
            </w:r>
            <w:r w:rsidRPr="00BE3728">
              <w:rPr>
                <w:sz w:val="20"/>
                <w:szCs w:val="20"/>
              </w:rPr>
              <w:t xml:space="preserve"> der Wortlaut des </w:t>
            </w:r>
            <w:r w:rsidR="00023A37">
              <w:rPr>
                <w:sz w:val="20"/>
                <w:szCs w:val="20"/>
              </w:rPr>
              <w:t xml:space="preserve">U.S. </w:t>
            </w:r>
            <w:proofErr w:type="spellStart"/>
            <w:r w:rsidR="00023A37">
              <w:rPr>
                <w:sz w:val="20"/>
                <w:szCs w:val="20"/>
              </w:rPr>
              <w:t>Const</w:t>
            </w:r>
            <w:proofErr w:type="spellEnd"/>
            <w:r w:rsidR="00023A37">
              <w:rPr>
                <w:sz w:val="20"/>
                <w:szCs w:val="20"/>
              </w:rPr>
              <w:t>. art. I, § 10, cl. 2.</w:t>
            </w:r>
            <w:r w:rsidRPr="00BE3728">
              <w:rPr>
                <w:sz w:val="20"/>
                <w:szCs w:val="20"/>
              </w:rPr>
              <w:t xml:space="preserve"> Diskriminationen im Handel mit anderen Bundes</w:t>
            </w:r>
            <w:r>
              <w:rPr>
                <w:sz w:val="20"/>
                <w:szCs w:val="20"/>
              </w:rPr>
              <w:t>s</w:t>
            </w:r>
            <w:r w:rsidRPr="00BE3728">
              <w:rPr>
                <w:sz w:val="20"/>
                <w:szCs w:val="20"/>
              </w:rPr>
              <w:t xml:space="preserve">taaten – also internen Handel – beseitigen. Dafür </w:t>
            </w:r>
            <w:r>
              <w:rPr>
                <w:sz w:val="20"/>
                <w:szCs w:val="20"/>
              </w:rPr>
              <w:t>spreche</w:t>
            </w:r>
            <w:r w:rsidRPr="00BE3728">
              <w:rPr>
                <w:sz w:val="20"/>
                <w:szCs w:val="20"/>
              </w:rPr>
              <w:t xml:space="preserve"> auch </w:t>
            </w:r>
            <w:r w:rsidR="00023A37">
              <w:rPr>
                <w:sz w:val="20"/>
                <w:szCs w:val="20"/>
              </w:rPr>
              <w:t xml:space="preserve">U.S. </w:t>
            </w:r>
            <w:proofErr w:type="spellStart"/>
            <w:r w:rsidR="00023A37">
              <w:rPr>
                <w:sz w:val="20"/>
                <w:szCs w:val="20"/>
              </w:rPr>
              <w:t>Const</w:t>
            </w:r>
            <w:proofErr w:type="spellEnd"/>
            <w:r w:rsidR="00023A37">
              <w:rPr>
                <w:sz w:val="20"/>
                <w:szCs w:val="20"/>
              </w:rPr>
              <w:t>. art. I, § 9.</w:t>
            </w:r>
            <w:r w:rsidRPr="00BE3728">
              <w:rPr>
                <w:sz w:val="20"/>
                <w:szCs w:val="20"/>
              </w:rPr>
              <w:t xml:space="preserve"> D</w:t>
            </w:r>
            <w:r>
              <w:rPr>
                <w:sz w:val="20"/>
                <w:szCs w:val="20"/>
              </w:rPr>
              <w:t>ies</w:t>
            </w:r>
            <w:r w:rsidRPr="00BE3728">
              <w:rPr>
                <w:sz w:val="20"/>
                <w:szCs w:val="20"/>
              </w:rPr>
              <w:t xml:space="preserve">er </w:t>
            </w:r>
            <w:r>
              <w:rPr>
                <w:sz w:val="20"/>
                <w:szCs w:val="20"/>
              </w:rPr>
              <w:t>sieht</w:t>
            </w:r>
            <w:r w:rsidRPr="00BE3728">
              <w:rPr>
                <w:sz w:val="20"/>
                <w:szCs w:val="20"/>
              </w:rPr>
              <w:t xml:space="preserve"> vor, dass keine Steuer oder Abgabe auf Artikel erhoben werden soll, die ein Bundesstaat in einen anderen exportier</w:t>
            </w:r>
            <w:r>
              <w:rPr>
                <w:sz w:val="20"/>
                <w:szCs w:val="20"/>
              </w:rPr>
              <w:t>t</w:t>
            </w:r>
            <w:r w:rsidRPr="00BE3728">
              <w:rPr>
                <w:sz w:val="20"/>
                <w:szCs w:val="20"/>
              </w:rPr>
              <w:t>.</w:t>
            </w:r>
            <w:r w:rsidRPr="00BE3728">
              <w:rPr>
                <w:rStyle w:val="Funotenzeichen"/>
                <w:sz w:val="20"/>
                <w:szCs w:val="20"/>
              </w:rPr>
              <w:t xml:space="preserve"> </w:t>
            </w:r>
            <w:r w:rsidRPr="00BE3728">
              <w:rPr>
                <w:rStyle w:val="Funotenzeichen"/>
                <w:sz w:val="20"/>
                <w:szCs w:val="20"/>
                <w:lang w:val="en-US"/>
              </w:rPr>
              <w:footnoteReference w:id="212"/>
            </w:r>
          </w:p>
          <w:p w14:paraId="67C138FB" w14:textId="77777777" w:rsidR="00074551" w:rsidRPr="00E50B51" w:rsidRDefault="00074551" w:rsidP="00367133">
            <w:pPr>
              <w:jc w:val="both"/>
              <w:rPr>
                <w:sz w:val="20"/>
                <w:szCs w:val="20"/>
              </w:rPr>
            </w:pPr>
          </w:p>
        </w:tc>
      </w:tr>
      <w:tr w:rsidR="00074551" w:rsidRPr="00E50B51" w14:paraId="3BD6D9AA" w14:textId="77777777" w:rsidTr="00752D01">
        <w:trPr>
          <w:cantSplit/>
          <w:trHeight w:val="3175"/>
        </w:trPr>
        <w:tc>
          <w:tcPr>
            <w:tcW w:w="293" w:type="pct"/>
            <w:shd w:val="clear" w:color="auto" w:fill="E7E6E6" w:themeFill="background2"/>
          </w:tcPr>
          <w:p w14:paraId="627B23EC"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291E07C0"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001C23A0"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528F608E" w14:textId="77777777" w:rsidR="00074551" w:rsidRPr="00E50B51" w:rsidRDefault="00074551" w:rsidP="00367133">
            <w:pPr>
              <w:ind w:left="113" w:right="113"/>
              <w:jc w:val="both"/>
              <w:rPr>
                <w:sz w:val="20"/>
                <w:szCs w:val="20"/>
              </w:rPr>
            </w:pPr>
            <w:r w:rsidRPr="00E50B51">
              <w:rPr>
                <w:sz w:val="20"/>
                <w:szCs w:val="20"/>
                <w:lang w:val="en-US"/>
              </w:rPr>
              <w:t>Spending &amp; Taxing</w:t>
            </w:r>
          </w:p>
          <w:p w14:paraId="6178009A" w14:textId="77777777" w:rsidR="00074551" w:rsidRPr="00E50B51" w:rsidRDefault="00074551" w:rsidP="00367133">
            <w:pPr>
              <w:ind w:left="113" w:right="113"/>
              <w:jc w:val="both"/>
              <w:rPr>
                <w:sz w:val="20"/>
                <w:szCs w:val="20"/>
              </w:rPr>
            </w:pPr>
          </w:p>
        </w:tc>
        <w:tc>
          <w:tcPr>
            <w:tcW w:w="306" w:type="pct"/>
            <w:shd w:val="clear" w:color="auto" w:fill="E7E6E6" w:themeFill="background2"/>
            <w:textDirection w:val="tbRl"/>
            <w:vAlign w:val="center"/>
          </w:tcPr>
          <w:p w14:paraId="53BBF414" w14:textId="77777777" w:rsidR="00074551" w:rsidRPr="00E50B51" w:rsidRDefault="00074551" w:rsidP="00367133">
            <w:pPr>
              <w:ind w:left="113" w:right="113"/>
              <w:jc w:val="both"/>
              <w:rPr>
                <w:sz w:val="20"/>
                <w:szCs w:val="20"/>
              </w:rPr>
            </w:pPr>
            <w:r w:rsidRPr="00E50B51">
              <w:rPr>
                <w:sz w:val="20"/>
                <w:szCs w:val="20"/>
                <w:lang w:val="en-US"/>
              </w:rPr>
              <w:t>Scope</w:t>
            </w:r>
          </w:p>
        </w:tc>
        <w:tc>
          <w:tcPr>
            <w:tcW w:w="401" w:type="pct"/>
            <w:shd w:val="clear" w:color="auto" w:fill="E7E6E6" w:themeFill="background2"/>
          </w:tcPr>
          <w:p w14:paraId="6C8F7ED3"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8016381" w14:textId="77777777" w:rsidR="00074551" w:rsidRPr="00E50B51" w:rsidRDefault="00074551" w:rsidP="00367133">
            <w:pPr>
              <w:jc w:val="both"/>
              <w:rPr>
                <w:sz w:val="20"/>
                <w:szCs w:val="20"/>
              </w:rPr>
            </w:pPr>
          </w:p>
        </w:tc>
        <w:tc>
          <w:tcPr>
            <w:tcW w:w="1822" w:type="pct"/>
            <w:shd w:val="clear" w:color="auto" w:fill="E7E6E6" w:themeFill="background2"/>
          </w:tcPr>
          <w:p w14:paraId="485339A2" w14:textId="79957ADA"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4DF7F170" w14:textId="77777777" w:rsidTr="00BE689F">
        <w:trPr>
          <w:cantSplit/>
          <w:trHeight w:val="3175"/>
        </w:trPr>
        <w:tc>
          <w:tcPr>
            <w:tcW w:w="293" w:type="pct"/>
          </w:tcPr>
          <w:p w14:paraId="3C69121E"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5E8EE0E" w14:textId="77777777" w:rsidR="00074551" w:rsidRPr="00B45592" w:rsidRDefault="00074551" w:rsidP="00367133">
            <w:pPr>
              <w:ind w:left="113" w:right="416"/>
              <w:jc w:val="both"/>
              <w:rPr>
                <w:i/>
                <w:sz w:val="20"/>
                <w:szCs w:val="20"/>
              </w:rPr>
            </w:pPr>
            <w:r w:rsidRPr="001F38CE">
              <w:rPr>
                <w:i/>
                <w:sz w:val="20"/>
                <w:szCs w:val="20"/>
                <w:lang w:val="en-US"/>
              </w:rPr>
              <w:t xml:space="preserve">Fullilove v. </w:t>
            </w:r>
            <w:proofErr w:type="spellStart"/>
            <w:r w:rsidRPr="001F38CE">
              <w:rPr>
                <w:i/>
                <w:sz w:val="20"/>
                <w:szCs w:val="20"/>
                <w:lang w:val="en-US"/>
              </w:rPr>
              <w:t>Klutznick</w:t>
            </w:r>
            <w:proofErr w:type="spellEnd"/>
          </w:p>
        </w:tc>
        <w:tc>
          <w:tcPr>
            <w:tcW w:w="197" w:type="pct"/>
            <w:textDirection w:val="tbRl"/>
            <w:vAlign w:val="center"/>
          </w:tcPr>
          <w:p w14:paraId="74014ACD" w14:textId="77777777" w:rsidR="00074551" w:rsidRPr="00E50B51" w:rsidRDefault="00074551" w:rsidP="00367133">
            <w:pPr>
              <w:ind w:left="113" w:right="113"/>
              <w:jc w:val="both"/>
              <w:rPr>
                <w:sz w:val="20"/>
                <w:szCs w:val="20"/>
                <w:lang w:val="en-US"/>
              </w:rPr>
            </w:pPr>
            <w:r w:rsidRPr="00E50B51">
              <w:rPr>
                <w:sz w:val="20"/>
                <w:szCs w:val="20"/>
                <w:lang w:val="en-US"/>
              </w:rPr>
              <w:t>448 U.S. 448</w:t>
            </w:r>
          </w:p>
        </w:tc>
        <w:tc>
          <w:tcPr>
            <w:tcW w:w="306" w:type="pct"/>
            <w:textDirection w:val="tbRl"/>
            <w:vAlign w:val="center"/>
          </w:tcPr>
          <w:p w14:paraId="709F91C1" w14:textId="77777777" w:rsidR="00074551" w:rsidRPr="00E50B51" w:rsidRDefault="00074551" w:rsidP="00367133">
            <w:pPr>
              <w:ind w:left="113" w:right="113"/>
              <w:jc w:val="both"/>
              <w:rPr>
                <w:sz w:val="20"/>
                <w:szCs w:val="20"/>
                <w:lang w:val="en-US"/>
              </w:rPr>
            </w:pPr>
            <w:r w:rsidRPr="00E50B51">
              <w:rPr>
                <w:sz w:val="20"/>
                <w:szCs w:val="20"/>
              </w:rPr>
              <w:t>2. Juli 1980</w:t>
            </w:r>
          </w:p>
        </w:tc>
        <w:tc>
          <w:tcPr>
            <w:tcW w:w="401" w:type="pct"/>
          </w:tcPr>
          <w:p w14:paraId="34A79FE9" w14:textId="77777777" w:rsidR="00074551" w:rsidRPr="00E50B51" w:rsidRDefault="00074551" w:rsidP="00367133">
            <w:pPr>
              <w:jc w:val="center"/>
              <w:rPr>
                <w:sz w:val="20"/>
                <w:szCs w:val="20"/>
              </w:rPr>
            </w:pPr>
            <w:r w:rsidRPr="00E50B51">
              <w:rPr>
                <w:sz w:val="20"/>
                <w:szCs w:val="20"/>
              </w:rPr>
              <w:t>D</w:t>
            </w:r>
          </w:p>
        </w:tc>
        <w:tc>
          <w:tcPr>
            <w:tcW w:w="1594" w:type="pct"/>
          </w:tcPr>
          <w:p w14:paraId="1DAE7ECB" w14:textId="41C2FDC5"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bestätige die Verfassungsmäßigkeit einer Minderheitenregelung.</w:t>
            </w:r>
            <w:r>
              <w:rPr>
                <w:rStyle w:val="Funotenzeichen"/>
                <w:sz w:val="20"/>
                <w:szCs w:val="20"/>
              </w:rPr>
              <w:footnoteReference w:id="213"/>
            </w:r>
            <w:r w:rsidRPr="00E50B51">
              <w:rPr>
                <w:sz w:val="20"/>
                <w:szCs w:val="20"/>
              </w:rPr>
              <w:t xml:space="preserve"> Im Fall erhoben Bauunternehmer Klage, um das Urteil </w:t>
            </w:r>
            <w:r>
              <w:rPr>
                <w:sz w:val="20"/>
                <w:szCs w:val="20"/>
              </w:rPr>
              <w:t>eines</w:t>
            </w:r>
            <w:r w:rsidRPr="00E50B51">
              <w:rPr>
                <w:sz w:val="20"/>
                <w:szCs w:val="20"/>
              </w:rPr>
              <w:t xml:space="preserve"> Berufungsgerichts anzufechten, welches die Verfassungsmäßigkeit </w:t>
            </w:r>
            <w:r>
              <w:rPr>
                <w:sz w:val="20"/>
                <w:szCs w:val="20"/>
              </w:rPr>
              <w:t>eines Gesetzes</w:t>
            </w:r>
            <w:r w:rsidRPr="00E50B51">
              <w:rPr>
                <w:sz w:val="20"/>
                <w:szCs w:val="20"/>
              </w:rPr>
              <w:t xml:space="preserve"> bestätigt</w:t>
            </w:r>
            <w:r>
              <w:rPr>
                <w:sz w:val="20"/>
                <w:szCs w:val="20"/>
              </w:rPr>
              <w:t xml:space="preserve"> hatte</w:t>
            </w:r>
            <w:r w:rsidRPr="00E50B51">
              <w:rPr>
                <w:sz w:val="20"/>
                <w:szCs w:val="20"/>
              </w:rPr>
              <w:t xml:space="preserve">. Das Gesetz regelte, dass 10 Prozent der Bundesmittel für kommunale und öffentliche Bauvorhaben für Unternehmen verwendet werden müssen, </w:t>
            </w:r>
            <w:r>
              <w:rPr>
                <w:sz w:val="20"/>
                <w:szCs w:val="20"/>
              </w:rPr>
              <w:t>welche von</w:t>
            </w:r>
            <w:r w:rsidRPr="00E50B51">
              <w:rPr>
                <w:sz w:val="20"/>
                <w:szCs w:val="20"/>
              </w:rPr>
              <w:t xml:space="preserve"> Angehörige</w:t>
            </w:r>
            <w:r>
              <w:rPr>
                <w:sz w:val="20"/>
                <w:szCs w:val="20"/>
              </w:rPr>
              <w:t>n</w:t>
            </w:r>
            <w:r w:rsidRPr="00E50B51">
              <w:rPr>
                <w:sz w:val="20"/>
                <w:szCs w:val="20"/>
              </w:rPr>
              <w:t xml:space="preserve"> einer Minderheit </w:t>
            </w:r>
            <w:r>
              <w:rPr>
                <w:sz w:val="20"/>
                <w:szCs w:val="20"/>
              </w:rPr>
              <w:t>geleitet werden</w:t>
            </w:r>
            <w:r w:rsidRPr="00E50B51">
              <w:rPr>
                <w:sz w:val="20"/>
                <w:szCs w:val="20"/>
              </w:rPr>
              <w:t xml:space="preserve">. Der </w:t>
            </w:r>
            <w:r>
              <w:rPr>
                <w:sz w:val="20"/>
                <w:szCs w:val="20"/>
              </w:rPr>
              <w:t>U.S. Supreme Court</w:t>
            </w:r>
            <w:r w:rsidRPr="00E50B51">
              <w:rPr>
                <w:sz w:val="20"/>
                <w:szCs w:val="20"/>
              </w:rPr>
              <w:t xml:space="preserve"> bestätigte diese Minderheitenregelung des </w:t>
            </w:r>
            <w:r w:rsidRPr="00B45592">
              <w:rPr>
                <w:i/>
                <w:sz w:val="20"/>
                <w:szCs w:val="20"/>
              </w:rPr>
              <w:t xml:space="preserve">Public Works </w:t>
            </w:r>
            <w:proofErr w:type="spellStart"/>
            <w:r w:rsidRPr="00B45592">
              <w:rPr>
                <w:i/>
                <w:sz w:val="20"/>
                <w:szCs w:val="20"/>
              </w:rPr>
              <w:t>Employment</w:t>
            </w:r>
            <w:proofErr w:type="spellEnd"/>
            <w:r w:rsidRPr="00B45592">
              <w:rPr>
                <w:i/>
                <w:sz w:val="20"/>
                <w:szCs w:val="20"/>
              </w:rPr>
              <w:t xml:space="preserve"> Act</w:t>
            </w:r>
            <w:r w:rsidRPr="00E50B51">
              <w:rPr>
                <w:sz w:val="20"/>
                <w:szCs w:val="20"/>
              </w:rPr>
              <w:t xml:space="preserve"> von 1977. Denn der das Gesetz erlassende Kongress dürfe im Rahmen seiner Ausgabenhoheit aus </w:t>
            </w:r>
            <w:r w:rsidR="00023A37">
              <w:rPr>
                <w:sz w:val="20"/>
                <w:szCs w:val="20"/>
              </w:rPr>
              <w:t xml:space="preserve">U.S. </w:t>
            </w:r>
            <w:proofErr w:type="spellStart"/>
            <w:r w:rsidR="00023A37">
              <w:rPr>
                <w:sz w:val="20"/>
                <w:szCs w:val="20"/>
              </w:rPr>
              <w:t>Const</w:t>
            </w:r>
            <w:proofErr w:type="spellEnd"/>
            <w:r w:rsidR="00023A37">
              <w:rPr>
                <w:sz w:val="20"/>
                <w:szCs w:val="20"/>
              </w:rPr>
              <w:t>. art. I, § 8, cl. 1</w:t>
            </w:r>
            <w:r w:rsidRPr="00E50B51">
              <w:rPr>
                <w:sz w:val="20"/>
                <w:szCs w:val="20"/>
              </w:rPr>
              <w:t xml:space="preserve"> rassische und ethnische Kriterien in begrenzter Weise verwenden, hier als eine der Bedingungen für Bundeszuschüsse.</w:t>
            </w:r>
          </w:p>
          <w:p w14:paraId="4A4300B8" w14:textId="77777777" w:rsidR="00074551" w:rsidRPr="00E50B51" w:rsidRDefault="00074551" w:rsidP="00367133">
            <w:pPr>
              <w:jc w:val="both"/>
              <w:rPr>
                <w:sz w:val="20"/>
                <w:szCs w:val="20"/>
              </w:rPr>
            </w:pPr>
          </w:p>
        </w:tc>
        <w:tc>
          <w:tcPr>
            <w:tcW w:w="1822" w:type="pct"/>
          </w:tcPr>
          <w:p w14:paraId="077F7DEC" w14:textId="1B298A3A" w:rsidR="00074551" w:rsidRPr="00B45592" w:rsidRDefault="00074551" w:rsidP="00367133">
            <w:pPr>
              <w:rPr>
                <w:rFonts w:ascii="Calibri" w:hAnsi="Calibri" w:cs="Calibri"/>
                <w:sz w:val="22"/>
                <w:szCs w:val="22"/>
                <w:highlight w:val="yellow"/>
              </w:rPr>
            </w:pPr>
            <w:r w:rsidRPr="00B45592">
              <w:rPr>
                <w:sz w:val="20"/>
                <w:szCs w:val="20"/>
                <w:lang w:val="en-US"/>
              </w:rPr>
              <w:t xml:space="preserve">Der </w:t>
            </w:r>
            <w:r w:rsidRPr="00B45592">
              <w:rPr>
                <w:i/>
                <w:sz w:val="20"/>
                <w:szCs w:val="20"/>
                <w:lang w:val="en-US"/>
              </w:rPr>
              <w:t xml:space="preserve">Public Works Employment Act </w:t>
            </w:r>
            <w:r>
              <w:rPr>
                <w:sz w:val="20"/>
                <w:szCs w:val="20"/>
                <w:lang w:val="en-US"/>
              </w:rPr>
              <w:t>von</w:t>
            </w:r>
            <w:r w:rsidRPr="00B45592">
              <w:rPr>
                <w:sz w:val="20"/>
                <w:szCs w:val="20"/>
                <w:lang w:val="en-US"/>
              </w:rPr>
              <w:t xml:space="preserve"> 1977</w:t>
            </w:r>
            <w:r>
              <w:rPr>
                <w:sz w:val="20"/>
                <w:szCs w:val="20"/>
                <w:lang w:val="en-US"/>
              </w:rPr>
              <w:t>,</w:t>
            </w:r>
            <w:r w:rsidRPr="00B45592">
              <w:rPr>
                <w:sz w:val="20"/>
                <w:szCs w:val="20"/>
                <w:lang w:val="en-US"/>
              </w:rPr>
              <w:t xml:space="preserve"> 42 U.S.C.S. </w:t>
            </w:r>
            <w:r w:rsidRPr="00F94158">
              <w:rPr>
                <w:sz w:val="20"/>
                <w:szCs w:val="20"/>
                <w:lang w:val="en-IE"/>
              </w:rPr>
              <w:t xml:space="preserve">§ 6701 et seq. </w:t>
            </w:r>
            <w:r w:rsidRPr="00B45592">
              <w:rPr>
                <w:sz w:val="20"/>
                <w:szCs w:val="20"/>
              </w:rPr>
              <w:t xml:space="preserve">(1976 ed., Supp. II) konkretisiert die Ausgabenbefugnis nach </w:t>
            </w:r>
            <w:r w:rsidR="00023A37">
              <w:rPr>
                <w:sz w:val="20"/>
                <w:szCs w:val="20"/>
              </w:rPr>
              <w:t xml:space="preserve">U.S. </w:t>
            </w:r>
            <w:proofErr w:type="spellStart"/>
            <w:r w:rsidR="00023A37">
              <w:rPr>
                <w:sz w:val="20"/>
                <w:szCs w:val="20"/>
              </w:rPr>
              <w:t>Const</w:t>
            </w:r>
            <w:proofErr w:type="spellEnd"/>
            <w:r w:rsidR="00023A37">
              <w:rPr>
                <w:sz w:val="20"/>
                <w:szCs w:val="20"/>
              </w:rPr>
              <w:t>. art. I, § 8, cl. 1.</w:t>
            </w:r>
            <w:r w:rsidRPr="00B45592">
              <w:rPr>
                <w:sz w:val="20"/>
                <w:szCs w:val="20"/>
              </w:rPr>
              <w:t xml:space="preserve"> Der Kongress dürfe im Rahmen dieser Ausgabenhoheit rassische und ethnische Kriterien anwenden; der </w:t>
            </w:r>
            <w:r w:rsidRPr="00B45592">
              <w:rPr>
                <w:i/>
                <w:sz w:val="20"/>
                <w:szCs w:val="20"/>
              </w:rPr>
              <w:t xml:space="preserve">Public Works </w:t>
            </w:r>
            <w:proofErr w:type="spellStart"/>
            <w:r w:rsidRPr="00B45592">
              <w:rPr>
                <w:i/>
                <w:sz w:val="20"/>
                <w:szCs w:val="20"/>
              </w:rPr>
              <w:t>Employment</w:t>
            </w:r>
            <w:proofErr w:type="spellEnd"/>
            <w:r w:rsidRPr="00B45592">
              <w:rPr>
                <w:i/>
                <w:sz w:val="20"/>
                <w:szCs w:val="20"/>
              </w:rPr>
              <w:t xml:space="preserve"> Act</w:t>
            </w:r>
            <w:r w:rsidRPr="00B45592">
              <w:rPr>
                <w:sz w:val="20"/>
                <w:szCs w:val="20"/>
              </w:rPr>
              <w:t xml:space="preserve"> sei seinem Wesen nach in erster Linie eine Ausübung dieser Befugnis – wenngleich der Kongress dabei auf ein Bündel seiner delegierten Kompetenzen zurückgreife</w:t>
            </w:r>
            <w:r w:rsidRPr="00E50B51">
              <w:rPr>
                <w:sz w:val="20"/>
                <w:szCs w:val="20"/>
              </w:rPr>
              <w:t>.</w:t>
            </w:r>
            <w:r w:rsidRPr="00E50B51">
              <w:rPr>
                <w:rStyle w:val="Funotenzeichen"/>
                <w:rFonts w:eastAsiaTheme="majorEastAsia"/>
                <w:sz w:val="20"/>
                <w:szCs w:val="20"/>
              </w:rPr>
              <w:footnoteReference w:id="214"/>
            </w:r>
            <w:r w:rsidRPr="00E50B51">
              <w:rPr>
                <w:sz w:val="20"/>
                <w:szCs w:val="20"/>
              </w:rPr>
              <w:t xml:space="preserve"> </w:t>
            </w:r>
            <w:r>
              <w:rPr>
                <w:sz w:val="20"/>
                <w:szCs w:val="20"/>
              </w:rPr>
              <w:t>Damit</w:t>
            </w:r>
            <w:r w:rsidRPr="00E50B51">
              <w:rPr>
                <w:sz w:val="20"/>
                <w:szCs w:val="20"/>
              </w:rPr>
              <w:t xml:space="preserve"> gehe nach ständiger Rechtsprechung die Befugnis einher, für das allgemeine Wohl zu sorgen („</w:t>
            </w:r>
            <w:proofErr w:type="spellStart"/>
            <w:r w:rsidRPr="00E50B51">
              <w:rPr>
                <w:sz w:val="20"/>
                <w:szCs w:val="20"/>
              </w:rPr>
              <w:t>provide</w:t>
            </w:r>
            <w:proofErr w:type="spellEnd"/>
            <w:r w:rsidRPr="00E50B51">
              <w:rPr>
                <w:sz w:val="20"/>
                <w:szCs w:val="20"/>
              </w:rPr>
              <w:t xml:space="preserve"> for the […] </w:t>
            </w:r>
            <w:proofErr w:type="spellStart"/>
            <w:r w:rsidRPr="00E50B51">
              <w:rPr>
                <w:sz w:val="20"/>
                <w:szCs w:val="20"/>
              </w:rPr>
              <w:t>general</w:t>
            </w:r>
            <w:proofErr w:type="spellEnd"/>
            <w:r w:rsidRPr="00E50B51">
              <w:rPr>
                <w:sz w:val="20"/>
                <w:szCs w:val="20"/>
              </w:rPr>
              <w:t xml:space="preserve"> Welfare“</w:t>
            </w:r>
            <w:r w:rsidRPr="00E50B51">
              <w:rPr>
                <w:rStyle w:val="Funotenzeichen"/>
                <w:rFonts w:eastAsiaTheme="majorEastAsia"/>
                <w:sz w:val="20"/>
                <w:szCs w:val="20"/>
              </w:rPr>
              <w:footnoteReference w:id="215"/>
            </w:r>
            <w:r w:rsidRPr="00E50B51">
              <w:rPr>
                <w:sz w:val="20"/>
                <w:szCs w:val="20"/>
              </w:rPr>
              <w:t xml:space="preserve">). Das sei eine eigenständige gesetzgeberische Befugnis. Der Kongress </w:t>
            </w:r>
            <w:r>
              <w:rPr>
                <w:sz w:val="20"/>
                <w:szCs w:val="20"/>
              </w:rPr>
              <w:t>könne</w:t>
            </w:r>
            <w:r w:rsidRPr="00E50B51">
              <w:rPr>
                <w:sz w:val="20"/>
                <w:szCs w:val="20"/>
              </w:rPr>
              <w:t xml:space="preserve"> sie nutzen, um weitreichende politische Ziele zu fördern („to </w:t>
            </w:r>
            <w:proofErr w:type="spellStart"/>
            <w:r w:rsidRPr="00E50B51">
              <w:rPr>
                <w:sz w:val="20"/>
                <w:szCs w:val="20"/>
              </w:rPr>
              <w:t>further</w:t>
            </w:r>
            <w:proofErr w:type="spellEnd"/>
            <w:r w:rsidRPr="00E50B51">
              <w:rPr>
                <w:sz w:val="20"/>
                <w:szCs w:val="20"/>
              </w:rPr>
              <w:t xml:space="preserve"> </w:t>
            </w:r>
            <w:proofErr w:type="spellStart"/>
            <w:r w:rsidRPr="00E50B51">
              <w:rPr>
                <w:sz w:val="20"/>
                <w:szCs w:val="20"/>
              </w:rPr>
              <w:t>broad</w:t>
            </w:r>
            <w:proofErr w:type="spellEnd"/>
            <w:r w:rsidRPr="00E50B51">
              <w:rPr>
                <w:sz w:val="20"/>
                <w:szCs w:val="20"/>
              </w:rPr>
              <w:t xml:space="preserve"> </w:t>
            </w:r>
            <w:proofErr w:type="spellStart"/>
            <w:r w:rsidRPr="00E50B51">
              <w:rPr>
                <w:sz w:val="20"/>
                <w:szCs w:val="20"/>
              </w:rPr>
              <w:t>policy</w:t>
            </w:r>
            <w:proofErr w:type="spellEnd"/>
            <w:r w:rsidRPr="00E50B51">
              <w:rPr>
                <w:sz w:val="20"/>
                <w:szCs w:val="20"/>
              </w:rPr>
              <w:t xml:space="preserve"> </w:t>
            </w:r>
            <w:proofErr w:type="spellStart"/>
            <w:r w:rsidRPr="00E50B51">
              <w:rPr>
                <w:sz w:val="20"/>
                <w:szCs w:val="20"/>
              </w:rPr>
              <w:t>objectives</w:t>
            </w:r>
            <w:proofErr w:type="spellEnd"/>
            <w:r w:rsidRPr="00E50B51">
              <w:rPr>
                <w:sz w:val="20"/>
                <w:szCs w:val="20"/>
              </w:rPr>
              <w:t>“</w:t>
            </w:r>
            <w:r w:rsidRPr="00E50B51">
              <w:rPr>
                <w:rStyle w:val="Funotenzeichen"/>
                <w:rFonts w:eastAsiaTheme="majorEastAsia"/>
                <w:sz w:val="20"/>
                <w:szCs w:val="20"/>
              </w:rPr>
              <w:footnoteReference w:id="216"/>
            </w:r>
            <w:r w:rsidRPr="00E50B51">
              <w:rPr>
                <w:sz w:val="20"/>
                <w:szCs w:val="20"/>
              </w:rPr>
              <w:t xml:space="preserve">), indem er </w:t>
            </w:r>
            <w:r>
              <w:rPr>
                <w:sz w:val="20"/>
                <w:szCs w:val="20"/>
              </w:rPr>
              <w:t xml:space="preserve">z.B. </w:t>
            </w:r>
            <w:r w:rsidRPr="00E50B51">
              <w:rPr>
                <w:sz w:val="20"/>
                <w:szCs w:val="20"/>
              </w:rPr>
              <w:t>Bundes</w:t>
            </w:r>
            <w:r>
              <w:rPr>
                <w:sz w:val="20"/>
                <w:szCs w:val="20"/>
              </w:rPr>
              <w:t>zuschüsse</w:t>
            </w:r>
            <w:r w:rsidRPr="00E50B51">
              <w:rPr>
                <w:sz w:val="20"/>
                <w:szCs w:val="20"/>
              </w:rPr>
              <w:t xml:space="preserve"> davon abhängig mache, dass der Empfänger Richtlinien des Bundes einhalte.</w:t>
            </w:r>
            <w:r w:rsidRPr="00E50B51">
              <w:rPr>
                <w:rStyle w:val="Funotenzeichen"/>
                <w:rFonts w:eastAsiaTheme="majorEastAsia"/>
                <w:sz w:val="20"/>
                <w:szCs w:val="20"/>
              </w:rPr>
              <w:footnoteReference w:id="217"/>
            </w:r>
            <w:r w:rsidRPr="00E50B51">
              <w:rPr>
                <w:sz w:val="20"/>
                <w:szCs w:val="20"/>
              </w:rPr>
              <w:t xml:space="preserve"> </w:t>
            </w:r>
          </w:p>
          <w:p w14:paraId="410E6980" w14:textId="77777777" w:rsidR="00074551" w:rsidRDefault="00074551" w:rsidP="00367133">
            <w:pPr>
              <w:jc w:val="both"/>
              <w:rPr>
                <w:sz w:val="20"/>
                <w:szCs w:val="20"/>
              </w:rPr>
            </w:pPr>
          </w:p>
          <w:p w14:paraId="60F23821" w14:textId="77777777" w:rsidR="00074551" w:rsidRPr="00E50B51" w:rsidRDefault="00074551" w:rsidP="00367133">
            <w:pPr>
              <w:jc w:val="both"/>
              <w:rPr>
                <w:sz w:val="20"/>
                <w:szCs w:val="20"/>
              </w:rPr>
            </w:pPr>
            <w:r w:rsidRPr="00E50B51">
              <w:rPr>
                <w:sz w:val="20"/>
                <w:szCs w:val="20"/>
              </w:rPr>
              <w:t xml:space="preserve">Dabei erklärt der Dissens, dass auch die Ausgabenbefugnis bei rassischen und ethnischen Kriterien den Gleichheitssatz besonders beachten müsse („to </w:t>
            </w:r>
            <w:proofErr w:type="spellStart"/>
            <w:r w:rsidRPr="00E50B51">
              <w:rPr>
                <w:sz w:val="20"/>
                <w:szCs w:val="20"/>
              </w:rPr>
              <w:t>treat</w:t>
            </w:r>
            <w:proofErr w:type="spellEnd"/>
            <w:r w:rsidRPr="00E50B51">
              <w:rPr>
                <w:sz w:val="20"/>
                <w:szCs w:val="20"/>
              </w:rPr>
              <w:t xml:space="preserve"> all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citizens</w:t>
            </w:r>
            <w:proofErr w:type="spellEnd"/>
            <w:r w:rsidRPr="00E50B51">
              <w:rPr>
                <w:sz w:val="20"/>
                <w:szCs w:val="20"/>
              </w:rPr>
              <w:t xml:space="preserve"> as </w:t>
            </w:r>
            <w:proofErr w:type="spellStart"/>
            <w:r w:rsidRPr="00E50B51">
              <w:rPr>
                <w:sz w:val="20"/>
                <w:szCs w:val="20"/>
              </w:rPr>
              <w:t>having</w:t>
            </w:r>
            <w:proofErr w:type="spellEnd"/>
            <w:r w:rsidRPr="00E50B51">
              <w:rPr>
                <w:sz w:val="20"/>
                <w:szCs w:val="20"/>
              </w:rPr>
              <w:t xml:space="preserve"> </w:t>
            </w:r>
            <w:proofErr w:type="spellStart"/>
            <w:proofErr w:type="gramStart"/>
            <w:r w:rsidRPr="00E50B51">
              <w:rPr>
                <w:sz w:val="20"/>
                <w:szCs w:val="20"/>
              </w:rPr>
              <w:t>been</w:t>
            </w:r>
            <w:proofErr w:type="spellEnd"/>
            <w:r w:rsidRPr="00E50B51">
              <w:rPr>
                <w:sz w:val="20"/>
                <w:szCs w:val="20"/>
              </w:rPr>
              <w:t xml:space="preserve"> </w:t>
            </w:r>
            <w:r>
              <w:rPr>
                <w:sz w:val="20"/>
                <w:szCs w:val="20"/>
              </w:rPr>
              <w:t>,</w:t>
            </w:r>
            <w:r w:rsidRPr="00E50B51">
              <w:rPr>
                <w:sz w:val="20"/>
                <w:szCs w:val="20"/>
              </w:rPr>
              <w:t>created</w:t>
            </w:r>
            <w:proofErr w:type="gramEnd"/>
            <w:r w:rsidRPr="00E50B51">
              <w:rPr>
                <w:sz w:val="20"/>
                <w:szCs w:val="20"/>
              </w:rPr>
              <w:t xml:space="preserve"> </w:t>
            </w:r>
            <w:proofErr w:type="spellStart"/>
            <w:r w:rsidRPr="00E50B51">
              <w:rPr>
                <w:sz w:val="20"/>
                <w:szCs w:val="20"/>
              </w:rPr>
              <w:t>equal</w:t>
            </w:r>
            <w:proofErr w:type="spellEnd"/>
            <w:r>
              <w:rPr>
                <w:sz w:val="20"/>
                <w:szCs w:val="20"/>
              </w:rPr>
              <w:t>‘</w:t>
            </w:r>
            <w:r w:rsidRPr="00E50B51">
              <w:rPr>
                <w:sz w:val="20"/>
                <w:szCs w:val="20"/>
              </w:rPr>
              <w:t xml:space="preserve"> in the </w:t>
            </w:r>
            <w:proofErr w:type="spellStart"/>
            <w:r w:rsidRPr="00E50B51">
              <w:rPr>
                <w:sz w:val="20"/>
                <w:szCs w:val="20"/>
              </w:rPr>
              <w:t>eyes</w:t>
            </w:r>
            <w:proofErr w:type="spellEnd"/>
            <w:r w:rsidRPr="00E50B51">
              <w:rPr>
                <w:sz w:val="20"/>
                <w:szCs w:val="20"/>
              </w:rPr>
              <w:t xml:space="preserve"> of the </w:t>
            </w:r>
            <w:proofErr w:type="spellStart"/>
            <w:r w:rsidRPr="00E50B51">
              <w:rPr>
                <w:sz w:val="20"/>
                <w:szCs w:val="20"/>
              </w:rPr>
              <w:t>law</w:t>
            </w:r>
            <w:proofErr w:type="spellEnd"/>
            <w:r w:rsidRPr="00E50B51">
              <w:rPr>
                <w:sz w:val="20"/>
                <w:szCs w:val="20"/>
              </w:rPr>
              <w:t>“</w:t>
            </w:r>
            <w:r w:rsidRPr="00E50B51">
              <w:rPr>
                <w:rStyle w:val="Funotenzeichen"/>
                <w:rFonts w:eastAsiaTheme="majorEastAsia"/>
                <w:sz w:val="20"/>
                <w:szCs w:val="20"/>
              </w:rPr>
              <w:footnoteReference w:id="218"/>
            </w:r>
            <w:r w:rsidRPr="00E50B51">
              <w:rPr>
                <w:sz w:val="20"/>
                <w:szCs w:val="20"/>
              </w:rPr>
              <w:t xml:space="preserve">), </w:t>
            </w:r>
            <w:r>
              <w:rPr>
                <w:sz w:val="20"/>
                <w:szCs w:val="20"/>
              </w:rPr>
              <w:t xml:space="preserve">gerade </w:t>
            </w:r>
            <w:r w:rsidRPr="00E50B51">
              <w:rPr>
                <w:sz w:val="20"/>
                <w:szCs w:val="20"/>
              </w:rPr>
              <w:t xml:space="preserve">weil </w:t>
            </w:r>
            <w:r>
              <w:rPr>
                <w:sz w:val="20"/>
                <w:szCs w:val="20"/>
              </w:rPr>
              <w:t xml:space="preserve">hier </w:t>
            </w:r>
            <w:r w:rsidRPr="00E50B51">
              <w:rPr>
                <w:sz w:val="20"/>
                <w:szCs w:val="20"/>
              </w:rPr>
              <w:t>aufgrund der Geburt unterschi</w:t>
            </w:r>
            <w:r>
              <w:rPr>
                <w:sz w:val="20"/>
                <w:szCs w:val="20"/>
              </w:rPr>
              <w:t>e</w:t>
            </w:r>
            <w:r w:rsidRPr="00E50B51">
              <w:rPr>
                <w:sz w:val="20"/>
                <w:szCs w:val="20"/>
              </w:rPr>
              <w:t xml:space="preserve">den werde. Der Gleichheitssatz leite sich aus der </w:t>
            </w:r>
            <w:r w:rsidRPr="00A142D9">
              <w:rPr>
                <w:i/>
                <w:sz w:val="20"/>
                <w:szCs w:val="20"/>
              </w:rPr>
              <w:t>Declaration of Independence</w:t>
            </w:r>
            <w:r w:rsidRPr="00E50B51">
              <w:rPr>
                <w:sz w:val="20"/>
                <w:szCs w:val="20"/>
              </w:rPr>
              <w:t xml:space="preserve"> </w:t>
            </w:r>
            <w:proofErr w:type="spellStart"/>
            <w:r>
              <w:rPr>
                <w:sz w:val="20"/>
                <w:szCs w:val="20"/>
              </w:rPr>
              <w:t>para</w:t>
            </w:r>
            <w:proofErr w:type="spellEnd"/>
            <w:r>
              <w:rPr>
                <w:sz w:val="20"/>
                <w:szCs w:val="20"/>
              </w:rPr>
              <w:t>.</w:t>
            </w:r>
            <w:r w:rsidRPr="00E50B51">
              <w:rPr>
                <w:sz w:val="20"/>
                <w:szCs w:val="20"/>
              </w:rPr>
              <w:t xml:space="preserve"> 2 her und beruhe auf der Begründungsfolge, dass alle Menschen gleich geschaffen sind, weil sie </w:t>
            </w:r>
            <w:proofErr w:type="gramStart"/>
            <w:r w:rsidRPr="00E50B51">
              <w:rPr>
                <w:sz w:val="20"/>
                <w:szCs w:val="20"/>
              </w:rPr>
              <w:t>mit bestimmten</w:t>
            </w:r>
            <w:proofErr w:type="gramEnd"/>
            <w:r w:rsidRPr="00E50B51">
              <w:rPr>
                <w:sz w:val="20"/>
                <w:szCs w:val="20"/>
              </w:rPr>
              <w:t>, unveräußerlichen Rechten ausgestattet sind</w:t>
            </w:r>
            <w:r>
              <w:rPr>
                <w:sz w:val="20"/>
                <w:szCs w:val="20"/>
              </w:rPr>
              <w:t>;</w:t>
            </w:r>
            <w:r w:rsidRPr="00E50B51">
              <w:rPr>
                <w:sz w:val="20"/>
                <w:szCs w:val="20"/>
              </w:rPr>
              <w:t xml:space="preserve"> zu diesen gehöre das Recht, nach Glück streben zu können.</w:t>
            </w:r>
            <w:r w:rsidRPr="00E50B51">
              <w:rPr>
                <w:rStyle w:val="Funotenzeichen"/>
                <w:rFonts w:eastAsiaTheme="majorEastAsia"/>
                <w:sz w:val="20"/>
                <w:szCs w:val="20"/>
              </w:rPr>
              <w:footnoteReference w:id="219"/>
            </w:r>
          </w:p>
          <w:p w14:paraId="476021A7" w14:textId="77777777" w:rsidR="00074551" w:rsidRPr="00E50B51" w:rsidRDefault="00074551" w:rsidP="00367133">
            <w:pPr>
              <w:jc w:val="both"/>
              <w:rPr>
                <w:sz w:val="20"/>
                <w:szCs w:val="20"/>
              </w:rPr>
            </w:pPr>
          </w:p>
        </w:tc>
      </w:tr>
      <w:tr w:rsidR="00074551" w:rsidRPr="00E50B51" w14:paraId="4623239D" w14:textId="77777777" w:rsidTr="00BE689F">
        <w:trPr>
          <w:cantSplit/>
          <w:trHeight w:val="3175"/>
        </w:trPr>
        <w:tc>
          <w:tcPr>
            <w:tcW w:w="293" w:type="pct"/>
          </w:tcPr>
          <w:p w14:paraId="3BF6338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F2278DC" w14:textId="77777777" w:rsidR="00074551" w:rsidRPr="00B45592" w:rsidRDefault="00074551" w:rsidP="00367133">
            <w:pPr>
              <w:ind w:left="113" w:right="416"/>
              <w:jc w:val="both"/>
              <w:rPr>
                <w:i/>
                <w:sz w:val="20"/>
                <w:szCs w:val="20"/>
                <w:lang w:val="en-US"/>
              </w:rPr>
            </w:pPr>
            <w:r w:rsidRPr="00B45592">
              <w:rPr>
                <w:i/>
                <w:sz w:val="20"/>
                <w:szCs w:val="20"/>
                <w:lang w:val="en-US"/>
              </w:rPr>
              <w:t>James Everard’s Breweries v. Day</w:t>
            </w:r>
          </w:p>
        </w:tc>
        <w:tc>
          <w:tcPr>
            <w:tcW w:w="197" w:type="pct"/>
            <w:textDirection w:val="tbRl"/>
            <w:vAlign w:val="center"/>
          </w:tcPr>
          <w:p w14:paraId="18837514" w14:textId="77777777" w:rsidR="00074551" w:rsidRPr="00E50B51" w:rsidRDefault="00074551" w:rsidP="00367133">
            <w:pPr>
              <w:ind w:left="113" w:right="113"/>
              <w:jc w:val="both"/>
              <w:rPr>
                <w:sz w:val="20"/>
                <w:szCs w:val="20"/>
                <w:lang w:val="en-US"/>
              </w:rPr>
            </w:pPr>
            <w:r w:rsidRPr="00E50B51">
              <w:rPr>
                <w:sz w:val="20"/>
                <w:szCs w:val="20"/>
                <w:lang w:val="en-US"/>
              </w:rPr>
              <w:t>265 U.S. 545</w:t>
            </w:r>
          </w:p>
        </w:tc>
        <w:tc>
          <w:tcPr>
            <w:tcW w:w="306" w:type="pct"/>
            <w:textDirection w:val="tbRl"/>
            <w:vAlign w:val="center"/>
          </w:tcPr>
          <w:p w14:paraId="062F3BFD" w14:textId="77777777" w:rsidR="00074551" w:rsidRPr="00E50B51" w:rsidRDefault="00074551" w:rsidP="00367133">
            <w:pPr>
              <w:ind w:left="113" w:right="113"/>
              <w:jc w:val="both"/>
              <w:rPr>
                <w:sz w:val="20"/>
                <w:szCs w:val="20"/>
                <w:lang w:val="en-US"/>
              </w:rPr>
            </w:pPr>
            <w:r w:rsidRPr="00E50B51">
              <w:rPr>
                <w:sz w:val="20"/>
                <w:szCs w:val="20"/>
              </w:rPr>
              <w:t>9. Juni 1924</w:t>
            </w:r>
          </w:p>
        </w:tc>
        <w:tc>
          <w:tcPr>
            <w:tcW w:w="401" w:type="pct"/>
          </w:tcPr>
          <w:p w14:paraId="5D1D0378"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2268BBBE" w14:textId="77777777" w:rsidR="00074551" w:rsidRDefault="00074551" w:rsidP="00367133">
            <w:pPr>
              <w:jc w:val="both"/>
              <w:rPr>
                <w:sz w:val="20"/>
                <w:szCs w:val="20"/>
              </w:rPr>
            </w:pPr>
            <w:r w:rsidRPr="00E50B51">
              <w:rPr>
                <w:sz w:val="20"/>
                <w:szCs w:val="20"/>
              </w:rPr>
              <w:t xml:space="preserve">Im Fall ging es um das vom Kongress verabschiedete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w:t>
            </w:r>
            <w:r w:rsidRPr="00E50B51">
              <w:rPr>
                <w:sz w:val="20"/>
                <w:szCs w:val="20"/>
              </w:rPr>
              <w:t xml:space="preserve"> </w:t>
            </w:r>
            <w:r>
              <w:rPr>
                <w:sz w:val="20"/>
                <w:szCs w:val="20"/>
              </w:rPr>
              <w:t>Der Kongress</w:t>
            </w:r>
            <w:r w:rsidRPr="00E50B51">
              <w:rPr>
                <w:sz w:val="20"/>
                <w:szCs w:val="20"/>
              </w:rPr>
              <w:t xml:space="preserve"> beschloss auf dessen Grundlage ein Gesetz</w:t>
            </w:r>
            <w:r>
              <w:rPr>
                <w:sz w:val="20"/>
                <w:szCs w:val="20"/>
              </w:rPr>
              <w:t xml:space="preserve">, den sog. </w:t>
            </w:r>
            <w:proofErr w:type="spellStart"/>
            <w:r w:rsidRPr="00B45592">
              <w:rPr>
                <w:i/>
                <w:sz w:val="20"/>
                <w:szCs w:val="20"/>
              </w:rPr>
              <w:t>Supplemental</w:t>
            </w:r>
            <w:proofErr w:type="spellEnd"/>
            <w:r w:rsidRPr="00B45592">
              <w:rPr>
                <w:i/>
                <w:sz w:val="20"/>
                <w:szCs w:val="20"/>
              </w:rPr>
              <w:t xml:space="preserve"> Prohibition Act</w:t>
            </w:r>
            <w:r w:rsidRPr="00E50B51">
              <w:rPr>
                <w:sz w:val="20"/>
                <w:szCs w:val="20"/>
              </w:rPr>
              <w:t>, 42 Stat. 222.</w:t>
            </w:r>
            <w:r w:rsidRPr="00E50B51">
              <w:rPr>
                <w:rStyle w:val="Funotenzeichen"/>
                <w:rFonts w:eastAsiaTheme="majorEastAsia"/>
                <w:sz w:val="20"/>
                <w:szCs w:val="20"/>
              </w:rPr>
              <w:footnoteReference w:id="220"/>
            </w:r>
            <w:r w:rsidRPr="00E50B51">
              <w:rPr>
                <w:sz w:val="20"/>
                <w:szCs w:val="20"/>
              </w:rPr>
              <w:t xml:space="preserve"> Dessen </w:t>
            </w:r>
            <w:r>
              <w:rPr>
                <w:sz w:val="20"/>
                <w:szCs w:val="20"/>
              </w:rPr>
              <w:t>§ </w:t>
            </w:r>
            <w:r w:rsidRPr="00E50B51">
              <w:rPr>
                <w:sz w:val="20"/>
                <w:szCs w:val="20"/>
              </w:rPr>
              <w:t xml:space="preserve">2 verbot dem </w:t>
            </w:r>
            <w:bookmarkStart w:id="22" w:name="_Hlk230003197"/>
            <w:r w:rsidRPr="00B45592">
              <w:rPr>
                <w:i/>
                <w:sz w:val="20"/>
                <w:szCs w:val="20"/>
              </w:rPr>
              <w:t>Commissioner of Internal Revenue</w:t>
            </w:r>
            <w:r>
              <w:rPr>
                <w:sz w:val="20"/>
                <w:szCs w:val="20"/>
              </w:rPr>
              <w:t xml:space="preserve"> </w:t>
            </w:r>
            <w:bookmarkEnd w:id="22"/>
            <w:r>
              <w:rPr>
                <w:sz w:val="20"/>
                <w:szCs w:val="20"/>
              </w:rPr>
              <w:t>(Steuerkommissar)</w:t>
            </w:r>
            <w:r w:rsidRPr="00E50B51">
              <w:rPr>
                <w:sz w:val="20"/>
                <w:szCs w:val="20"/>
              </w:rPr>
              <w:t xml:space="preserve">, Ärzten </w:t>
            </w:r>
            <w:r>
              <w:rPr>
                <w:sz w:val="20"/>
                <w:szCs w:val="20"/>
              </w:rPr>
              <w:t xml:space="preserve">die Verschreibung </w:t>
            </w:r>
            <w:r w:rsidRPr="00E50B51">
              <w:rPr>
                <w:sz w:val="20"/>
                <w:szCs w:val="20"/>
              </w:rPr>
              <w:t>berauschende</w:t>
            </w:r>
            <w:r>
              <w:rPr>
                <w:sz w:val="20"/>
                <w:szCs w:val="20"/>
              </w:rPr>
              <w:t>r</w:t>
            </w:r>
            <w:r w:rsidRPr="00E50B51">
              <w:rPr>
                <w:sz w:val="20"/>
                <w:szCs w:val="20"/>
              </w:rPr>
              <w:t xml:space="preserve"> Malzliköre zu medizinischen Zwecken zu genehmigen. Der </w:t>
            </w:r>
            <w:r>
              <w:rPr>
                <w:sz w:val="20"/>
                <w:szCs w:val="20"/>
              </w:rPr>
              <w:t>§ </w:t>
            </w:r>
            <w:r w:rsidRPr="00E50B51">
              <w:rPr>
                <w:sz w:val="20"/>
                <w:szCs w:val="20"/>
              </w:rPr>
              <w:t>2 des Gesetzes verbot Ärzten aber nicht, andere alkoholische Getränke zu verschreiben. Daher erhoben die Kläger Billigkeitsklage (</w:t>
            </w:r>
            <w:proofErr w:type="spellStart"/>
            <w:r w:rsidRPr="00B45592">
              <w:rPr>
                <w:i/>
                <w:iCs/>
                <w:sz w:val="20"/>
                <w:szCs w:val="20"/>
              </w:rPr>
              <w:t>bills</w:t>
            </w:r>
            <w:proofErr w:type="spellEnd"/>
            <w:r w:rsidRPr="00B45592">
              <w:rPr>
                <w:i/>
                <w:iCs/>
                <w:sz w:val="20"/>
                <w:szCs w:val="20"/>
              </w:rPr>
              <w:t xml:space="preserve"> in </w:t>
            </w:r>
            <w:proofErr w:type="spellStart"/>
            <w:r w:rsidRPr="00B45592">
              <w:rPr>
                <w:i/>
                <w:iCs/>
                <w:sz w:val="20"/>
                <w:szCs w:val="20"/>
              </w:rPr>
              <w:t>equity</w:t>
            </w:r>
            <w:proofErr w:type="spellEnd"/>
            <w:r w:rsidRPr="00E50B51">
              <w:rPr>
                <w:sz w:val="20"/>
                <w:szCs w:val="20"/>
              </w:rPr>
              <w:t xml:space="preserve">), um dem beklagten </w:t>
            </w:r>
            <w:r w:rsidRPr="00B45592">
              <w:rPr>
                <w:i/>
                <w:sz w:val="20"/>
                <w:szCs w:val="20"/>
              </w:rPr>
              <w:t>Commissioner of Internal Revenue</w:t>
            </w:r>
            <w:r w:rsidRPr="00E50B51">
              <w:rPr>
                <w:sz w:val="20"/>
                <w:szCs w:val="20"/>
              </w:rPr>
              <w:t xml:space="preserve"> zu untersagen, den </w:t>
            </w:r>
            <w:r>
              <w:rPr>
                <w:sz w:val="20"/>
                <w:szCs w:val="20"/>
              </w:rPr>
              <w:t>§ </w:t>
            </w:r>
            <w:r w:rsidRPr="00E50B51">
              <w:rPr>
                <w:sz w:val="20"/>
                <w:szCs w:val="20"/>
              </w:rPr>
              <w:t xml:space="preserve">2 des Gesetzes anzuwenden. Die unteren Instanzen wiesen die Klagen ab. Der </w:t>
            </w:r>
            <w:r>
              <w:rPr>
                <w:sz w:val="20"/>
                <w:szCs w:val="20"/>
              </w:rPr>
              <w:t>U.S. Supreme Court</w:t>
            </w:r>
            <w:r w:rsidRPr="00E50B51">
              <w:rPr>
                <w:sz w:val="20"/>
                <w:szCs w:val="20"/>
              </w:rPr>
              <w:t xml:space="preserve"> bestätigte diese Entscheidungen. </w:t>
            </w:r>
            <w:r>
              <w:rPr>
                <w:sz w:val="20"/>
                <w:szCs w:val="20"/>
              </w:rPr>
              <w:t>Und d</w:t>
            </w:r>
            <w:r w:rsidRPr="00E50B51">
              <w:rPr>
                <w:sz w:val="20"/>
                <w:szCs w:val="20"/>
              </w:rPr>
              <w:t xml:space="preserve">er </w:t>
            </w:r>
            <w:r>
              <w:rPr>
                <w:sz w:val="20"/>
                <w:szCs w:val="20"/>
              </w:rPr>
              <w:t>U.S. Supreme Court</w:t>
            </w:r>
            <w:r w:rsidRPr="00E50B51">
              <w:rPr>
                <w:sz w:val="20"/>
                <w:szCs w:val="20"/>
              </w:rPr>
              <w:t xml:space="preserve"> stellte fest, dass gemäß </w:t>
            </w:r>
            <w:r w:rsidR="00023A37">
              <w:rPr>
                <w:sz w:val="20"/>
                <w:szCs w:val="20"/>
              </w:rPr>
              <w:t xml:space="preserve">U.S. </w:t>
            </w:r>
            <w:proofErr w:type="spellStart"/>
            <w:r w:rsidR="00023A37">
              <w:rPr>
                <w:sz w:val="20"/>
                <w:szCs w:val="20"/>
              </w:rPr>
              <w:t>Const</w:t>
            </w:r>
            <w:proofErr w:type="spellEnd"/>
            <w:r w:rsidR="00023A37">
              <w:rPr>
                <w:sz w:val="20"/>
                <w:szCs w:val="20"/>
              </w:rPr>
              <w:t>. art. I, § 8, cl. 18</w:t>
            </w:r>
            <w:r w:rsidRPr="00E50B51">
              <w:rPr>
                <w:rStyle w:val="Funotenzeichen"/>
                <w:rFonts w:eastAsiaTheme="majorEastAsia"/>
                <w:sz w:val="20"/>
                <w:szCs w:val="20"/>
              </w:rPr>
              <w:footnoteReference w:id="221"/>
            </w:r>
            <w:r w:rsidRPr="00E50B51">
              <w:rPr>
                <w:sz w:val="20"/>
                <w:szCs w:val="20"/>
              </w:rPr>
              <w:t xml:space="preserve"> der Kongress die Kompetenz habe, Amendments (z.B.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w:t>
            </w:r>
            <w:r w:rsidRPr="00E50B51">
              <w:rPr>
                <w:sz w:val="20"/>
                <w:szCs w:val="20"/>
              </w:rPr>
              <w:t>) mit Gesetzen (z.B. de</w:t>
            </w:r>
            <w:r>
              <w:rPr>
                <w:sz w:val="20"/>
                <w:szCs w:val="20"/>
              </w:rPr>
              <w:t>m</w:t>
            </w:r>
            <w:r w:rsidRPr="00E50B51">
              <w:rPr>
                <w:sz w:val="20"/>
                <w:szCs w:val="20"/>
              </w:rPr>
              <w:t xml:space="preserve"> </w:t>
            </w:r>
            <w:proofErr w:type="spellStart"/>
            <w:r w:rsidRPr="00B45592">
              <w:rPr>
                <w:i/>
                <w:sz w:val="20"/>
                <w:szCs w:val="20"/>
              </w:rPr>
              <w:t>Supplemental</w:t>
            </w:r>
            <w:proofErr w:type="spellEnd"/>
            <w:r w:rsidRPr="00B45592">
              <w:rPr>
                <w:i/>
                <w:sz w:val="20"/>
                <w:szCs w:val="20"/>
              </w:rPr>
              <w:t xml:space="preserve"> Prohibition Act</w:t>
            </w:r>
            <w:r w:rsidRPr="00E50B51">
              <w:rPr>
                <w:sz w:val="20"/>
                <w:szCs w:val="20"/>
              </w:rPr>
              <w:t xml:space="preserve">, 42 Stat. 222) durchzusetzen, und zwar zu legitimen Zielen, wie </w:t>
            </w:r>
            <w:proofErr w:type="gramStart"/>
            <w:r w:rsidRPr="00E50B51">
              <w:rPr>
                <w:sz w:val="20"/>
                <w:szCs w:val="20"/>
              </w:rPr>
              <w:t>hier</w:t>
            </w:r>
            <w:proofErr w:type="gramEnd"/>
            <w:r>
              <w:rPr>
                <w:sz w:val="20"/>
                <w:szCs w:val="20"/>
              </w:rPr>
              <w:t xml:space="preserve"> u</w:t>
            </w:r>
            <w:r w:rsidRPr="00E50B51">
              <w:rPr>
                <w:sz w:val="20"/>
                <w:szCs w:val="20"/>
              </w:rPr>
              <w:t xml:space="preserve">m höheren Gesundheitsschutz zu erwirken. </w:t>
            </w:r>
            <w:r>
              <w:rPr>
                <w:sz w:val="20"/>
                <w:szCs w:val="20"/>
              </w:rPr>
              <w:t>Und u</w:t>
            </w:r>
            <w:r w:rsidRPr="00E50B51">
              <w:rPr>
                <w:sz w:val="20"/>
                <w:szCs w:val="20"/>
              </w:rPr>
              <w:t xml:space="preserve">m Amendments durchzusetzen, beschreibe nur das Willkürverbot die verfassungsrechtliche Grenze. Der </w:t>
            </w:r>
            <w:r>
              <w:rPr>
                <w:sz w:val="20"/>
                <w:szCs w:val="20"/>
              </w:rPr>
              <w:t>§ </w:t>
            </w:r>
            <w:r w:rsidRPr="00E50B51">
              <w:rPr>
                <w:sz w:val="20"/>
                <w:szCs w:val="20"/>
              </w:rPr>
              <w:t xml:space="preserve">2 des Gesetzes konstruiere aber kein willkürliches oder unangemessenes Verbot </w:t>
            </w:r>
            <w:r>
              <w:rPr>
                <w:sz w:val="20"/>
                <w:szCs w:val="20"/>
              </w:rPr>
              <w:t xml:space="preserve">von </w:t>
            </w:r>
            <w:r w:rsidRPr="00E50B51">
              <w:rPr>
                <w:sz w:val="20"/>
                <w:szCs w:val="20"/>
              </w:rPr>
              <w:t>Medikation</w:t>
            </w:r>
            <w:r>
              <w:rPr>
                <w:sz w:val="20"/>
                <w:szCs w:val="20"/>
              </w:rPr>
              <w:t>en</w:t>
            </w:r>
            <w:r w:rsidRPr="00E50B51">
              <w:rPr>
                <w:sz w:val="20"/>
                <w:szCs w:val="20"/>
              </w:rPr>
              <w:t>. Denn zwischen Malzlikör und anderen alkoholischen Getränken zu unterscheiden, sei nicht offensichtlich unangemessen.</w:t>
            </w:r>
          </w:p>
          <w:p w14:paraId="3D1AF307" w14:textId="6C047293" w:rsidR="00FE5F32" w:rsidRPr="00E50B51" w:rsidRDefault="00FE5F32" w:rsidP="00367133">
            <w:pPr>
              <w:jc w:val="both"/>
              <w:rPr>
                <w:sz w:val="20"/>
                <w:szCs w:val="20"/>
              </w:rPr>
            </w:pPr>
          </w:p>
        </w:tc>
        <w:tc>
          <w:tcPr>
            <w:tcW w:w="1822" w:type="pct"/>
          </w:tcPr>
          <w:p w14:paraId="4DEA249D" w14:textId="6EB39BF7" w:rsidR="00074551" w:rsidRPr="00E50B51" w:rsidRDefault="00074551" w:rsidP="00367133">
            <w:pPr>
              <w:jc w:val="both"/>
              <w:rPr>
                <w:sz w:val="20"/>
                <w:szCs w:val="20"/>
              </w:rPr>
            </w:pPr>
            <w:r w:rsidRPr="00E50B51">
              <w:rPr>
                <w:sz w:val="20"/>
                <w:szCs w:val="20"/>
              </w:rPr>
              <w:t>Der Kläger begehr</w:t>
            </w:r>
            <w:r>
              <w:rPr>
                <w:sz w:val="20"/>
                <w:szCs w:val="20"/>
              </w:rPr>
              <w:t>t</w:t>
            </w:r>
            <w:r w:rsidRPr="00E50B51">
              <w:rPr>
                <w:sz w:val="20"/>
                <w:szCs w:val="20"/>
              </w:rPr>
              <w:t xml:space="preserve">e, berauschende Malzliköre für medizinische Zwecke herzustellen, zu verkaufen und </w:t>
            </w:r>
            <w:r>
              <w:rPr>
                <w:sz w:val="20"/>
                <w:szCs w:val="20"/>
              </w:rPr>
              <w:t xml:space="preserve">diese </w:t>
            </w:r>
            <w:r w:rsidRPr="00E50B51">
              <w:rPr>
                <w:sz w:val="20"/>
                <w:szCs w:val="20"/>
              </w:rPr>
              <w:t>verschreiben</w:t>
            </w:r>
            <w:r>
              <w:rPr>
                <w:sz w:val="20"/>
                <w:szCs w:val="20"/>
              </w:rPr>
              <w:t xml:space="preserve"> zu lassen</w:t>
            </w:r>
            <w:r w:rsidRPr="00E50B51">
              <w:rPr>
                <w:sz w:val="20"/>
                <w:szCs w:val="20"/>
              </w:rPr>
              <w:t xml:space="preserve">. Der </w:t>
            </w:r>
            <w:r>
              <w:rPr>
                <w:sz w:val="20"/>
                <w:szCs w:val="20"/>
              </w:rPr>
              <w:t>U.S. Supreme Court</w:t>
            </w:r>
            <w:r w:rsidRPr="00E50B51">
              <w:rPr>
                <w:sz w:val="20"/>
                <w:szCs w:val="20"/>
              </w:rPr>
              <w:t xml:space="preserve"> meint</w:t>
            </w:r>
            <w:r>
              <w:rPr>
                <w:sz w:val="20"/>
                <w:szCs w:val="20"/>
              </w:rPr>
              <w:t>e</w:t>
            </w:r>
            <w:r w:rsidRPr="00E50B51">
              <w:rPr>
                <w:sz w:val="20"/>
                <w:szCs w:val="20"/>
              </w:rPr>
              <w:t xml:space="preserve">, dies eröffne die Möglichkeit von illegalem Handel unter dem Deckmantel </w:t>
            </w:r>
            <w:r>
              <w:rPr>
                <w:sz w:val="20"/>
                <w:szCs w:val="20"/>
              </w:rPr>
              <w:t xml:space="preserve">von </w:t>
            </w:r>
            <w:r w:rsidRPr="00E50B51">
              <w:rPr>
                <w:sz w:val="20"/>
                <w:szCs w:val="20"/>
              </w:rPr>
              <w:t>Medikation</w:t>
            </w:r>
            <w:r>
              <w:rPr>
                <w:sz w:val="20"/>
                <w:szCs w:val="20"/>
              </w:rPr>
              <w:t>en</w:t>
            </w:r>
            <w:r w:rsidRPr="00E50B51">
              <w:rPr>
                <w:sz w:val="20"/>
                <w:szCs w:val="20"/>
              </w:rPr>
              <w:t xml:space="preserve">. Auch behindere diese Möglichkeit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w:t>
            </w:r>
            <w:r w:rsidRPr="00E50B51">
              <w:rPr>
                <w:sz w:val="20"/>
                <w:szCs w:val="20"/>
              </w:rPr>
              <w:t xml:space="preserve"> Das untersage nämlich </w:t>
            </w:r>
            <w:r>
              <w:rPr>
                <w:sz w:val="20"/>
                <w:szCs w:val="20"/>
              </w:rPr>
              <w:t>grundsätzlich</w:t>
            </w:r>
            <w:r w:rsidRPr="00E50B51">
              <w:rPr>
                <w:sz w:val="20"/>
                <w:szCs w:val="20"/>
              </w:rPr>
              <w:t xml:space="preserve"> die Herstellung, den Verkauf und den Transport alkoholischer Getränke innerhalb der Vereinigten Staaten. </w:t>
            </w:r>
            <w:r>
              <w:rPr>
                <w:sz w:val="20"/>
                <w:szCs w:val="20"/>
              </w:rPr>
              <w:t xml:space="preserve">Ein </w:t>
            </w:r>
            <w:r w:rsidRPr="00E50B51">
              <w:rPr>
                <w:sz w:val="20"/>
                <w:szCs w:val="20"/>
              </w:rPr>
              <w:t>Steuergesetz</w:t>
            </w:r>
            <w:r>
              <w:rPr>
                <w:sz w:val="20"/>
                <w:szCs w:val="20"/>
              </w:rPr>
              <w:t xml:space="preserve"> z.B.</w:t>
            </w:r>
            <w:r w:rsidRPr="00E50B51">
              <w:rPr>
                <w:sz w:val="20"/>
                <w:szCs w:val="20"/>
              </w:rPr>
              <w:t>, d</w:t>
            </w:r>
            <w:r>
              <w:rPr>
                <w:sz w:val="20"/>
                <w:szCs w:val="20"/>
              </w:rPr>
              <w:t>as</w:t>
            </w:r>
            <w:r w:rsidRPr="00E50B51">
              <w:rPr>
                <w:sz w:val="20"/>
                <w:szCs w:val="20"/>
              </w:rPr>
              <w:t xml:space="preserve"> darauf abziele, </w:t>
            </w:r>
            <w:r>
              <w:rPr>
                <w:sz w:val="20"/>
                <w:szCs w:val="20"/>
              </w:rPr>
              <w:t xml:space="preserve">eine </w:t>
            </w:r>
            <w:r w:rsidRPr="00E50B51">
              <w:rPr>
                <w:sz w:val="20"/>
                <w:szCs w:val="20"/>
              </w:rPr>
              <w:t xml:space="preserve">Steuerumgehung </w:t>
            </w:r>
            <w:r>
              <w:rPr>
                <w:sz w:val="20"/>
                <w:szCs w:val="20"/>
              </w:rPr>
              <w:t>durch</w:t>
            </w:r>
            <w:r w:rsidRPr="00E50B51">
              <w:rPr>
                <w:sz w:val="20"/>
                <w:szCs w:val="20"/>
              </w:rPr>
              <w:t xml:space="preserve"> illegalen Handel </w:t>
            </w:r>
            <w:r>
              <w:rPr>
                <w:sz w:val="20"/>
                <w:szCs w:val="20"/>
              </w:rPr>
              <w:t>zu verbieten</w:t>
            </w:r>
            <w:r w:rsidRPr="00E50B51">
              <w:rPr>
                <w:sz w:val="20"/>
                <w:szCs w:val="20"/>
              </w:rPr>
              <w:t>, setze</w:t>
            </w:r>
            <w:r>
              <w:rPr>
                <w:sz w:val="20"/>
                <w:szCs w:val="20"/>
              </w:rPr>
              <w:t xml:space="preserve"> nur</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w:t>
            </w:r>
            <w:r w:rsidRPr="00E50B51">
              <w:rPr>
                <w:sz w:val="20"/>
                <w:szCs w:val="20"/>
              </w:rPr>
              <w:t xml:space="preserve"> durch.</w:t>
            </w:r>
            <w:r w:rsidRPr="00E50B51">
              <w:rPr>
                <w:rStyle w:val="Funotenzeichen"/>
                <w:rFonts w:eastAsiaTheme="majorEastAsia"/>
                <w:sz w:val="20"/>
                <w:szCs w:val="20"/>
                <w:lang w:val="en-US"/>
              </w:rPr>
              <w:footnoteReference w:id="222"/>
            </w:r>
            <w:r w:rsidRPr="00E50B51">
              <w:rPr>
                <w:sz w:val="20"/>
                <w:szCs w:val="20"/>
              </w:rPr>
              <w:t xml:space="preserve"> Der Klägervortrag indes weist daraufhin, dass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w:t>
            </w:r>
            <w:r w:rsidRPr="00E50B51">
              <w:rPr>
                <w:sz w:val="20"/>
                <w:szCs w:val="20"/>
              </w:rPr>
              <w:t xml:space="preserve"> nicht nur Alkohol beschränke, sondern den Bundesstaaten das allgemeine Recht verleihe, das Gesundheitswesen zu regeln („</w:t>
            </w:r>
            <w:proofErr w:type="spellStart"/>
            <w:r w:rsidRPr="00E50B51">
              <w:rPr>
                <w:sz w:val="20"/>
                <w:szCs w:val="20"/>
              </w:rPr>
              <w:t>resting</w:t>
            </w:r>
            <w:proofErr w:type="spellEnd"/>
            <w:r w:rsidRPr="00E50B51">
              <w:rPr>
                <w:sz w:val="20"/>
                <w:szCs w:val="20"/>
              </w:rPr>
              <w:t xml:space="preserve"> on the </w:t>
            </w:r>
            <w:proofErr w:type="spellStart"/>
            <w:r w:rsidRPr="00E50B51">
              <w:rPr>
                <w:sz w:val="20"/>
                <w:szCs w:val="20"/>
              </w:rPr>
              <w:t>general</w:t>
            </w:r>
            <w:proofErr w:type="spellEnd"/>
            <w:r w:rsidRPr="00E50B51">
              <w:rPr>
                <w:sz w:val="20"/>
                <w:szCs w:val="20"/>
              </w:rPr>
              <w:t xml:space="preserve"> </w:t>
            </w:r>
            <w:proofErr w:type="spellStart"/>
            <w:r w:rsidRPr="00E50B51">
              <w:rPr>
                <w:sz w:val="20"/>
                <w:szCs w:val="20"/>
              </w:rPr>
              <w:t>rights</w:t>
            </w:r>
            <w:proofErr w:type="spellEnd"/>
            <w:r w:rsidRPr="00E50B51">
              <w:rPr>
                <w:sz w:val="20"/>
                <w:szCs w:val="20"/>
              </w:rPr>
              <w:t xml:space="preserve"> of the State to </w:t>
            </w:r>
            <w:proofErr w:type="spellStart"/>
            <w:r w:rsidRPr="00E50B51">
              <w:rPr>
                <w:sz w:val="20"/>
                <w:szCs w:val="20"/>
              </w:rPr>
              <w:t>regulate</w:t>
            </w:r>
            <w:proofErr w:type="spellEnd"/>
            <w:r w:rsidRPr="00E50B51">
              <w:rPr>
                <w:sz w:val="20"/>
                <w:szCs w:val="20"/>
              </w:rPr>
              <w:t xml:space="preserve"> the </w:t>
            </w:r>
            <w:proofErr w:type="spellStart"/>
            <w:r w:rsidRPr="00E50B51">
              <w:rPr>
                <w:sz w:val="20"/>
                <w:szCs w:val="20"/>
              </w:rPr>
              <w:t>health</w:t>
            </w:r>
            <w:proofErr w:type="spellEnd"/>
            <w:r w:rsidRPr="00E50B51">
              <w:rPr>
                <w:sz w:val="20"/>
                <w:szCs w:val="20"/>
              </w:rPr>
              <w:t xml:space="preserve"> of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citizens</w:t>
            </w:r>
            <w:proofErr w:type="spellEnd"/>
            <w:r w:rsidRPr="00E50B51">
              <w:rPr>
                <w:sz w:val="20"/>
                <w:szCs w:val="20"/>
              </w:rPr>
              <w:t>“</w:t>
            </w:r>
            <w:r w:rsidRPr="00E50B51">
              <w:rPr>
                <w:rStyle w:val="Funotenzeichen"/>
                <w:rFonts w:eastAsiaTheme="majorEastAsia"/>
                <w:sz w:val="20"/>
                <w:szCs w:val="20"/>
              </w:rPr>
              <w:footnoteReference w:id="223"/>
            </w:r>
            <w:r w:rsidRPr="00E50B51">
              <w:rPr>
                <w:sz w:val="20"/>
                <w:szCs w:val="20"/>
              </w:rPr>
              <w:t>). Zwar erlaub</w:t>
            </w:r>
            <w:r>
              <w:rPr>
                <w:sz w:val="20"/>
                <w:szCs w:val="20"/>
              </w:rPr>
              <w:t>e</w:t>
            </w:r>
            <w:r w:rsidRPr="00E50B51">
              <w:rPr>
                <w:sz w:val="20"/>
                <w:szCs w:val="20"/>
              </w:rPr>
              <w:t xml:space="preserve"> dies Bundesstaaten, berauschende Getränke zu beschränken. Aber diese Beschränkungen müss</w:t>
            </w:r>
            <w:r>
              <w:rPr>
                <w:sz w:val="20"/>
                <w:szCs w:val="20"/>
              </w:rPr>
              <w:t>t</w:t>
            </w:r>
            <w:r w:rsidRPr="00E50B51">
              <w:rPr>
                <w:sz w:val="20"/>
                <w:szCs w:val="20"/>
              </w:rPr>
              <w:t xml:space="preserve">en immer mit den individuellen Verfassungsrechten abgewogen werden, die ein solches einschränkendes Gesetz betreffe. </w:t>
            </w:r>
            <w:r w:rsidRPr="00B45592">
              <w:rPr>
                <w:sz w:val="20"/>
                <w:szCs w:val="20"/>
              </w:rPr>
              <w:t>Hier sei dies das Recht auf Leben, auf Freiheit und auf Streben nach Glück („</w:t>
            </w:r>
            <w:proofErr w:type="spellStart"/>
            <w:r w:rsidRPr="00B45592">
              <w:rPr>
                <w:sz w:val="20"/>
                <w:szCs w:val="20"/>
              </w:rPr>
              <w:t>privileges</w:t>
            </w:r>
            <w:proofErr w:type="spellEnd"/>
            <w:r w:rsidRPr="00B45592">
              <w:rPr>
                <w:sz w:val="20"/>
                <w:szCs w:val="20"/>
              </w:rPr>
              <w:t xml:space="preserve"> of </w:t>
            </w:r>
            <w:proofErr w:type="spellStart"/>
            <w:r w:rsidRPr="00B45592">
              <w:rPr>
                <w:sz w:val="20"/>
                <w:szCs w:val="20"/>
              </w:rPr>
              <w:t>life</w:t>
            </w:r>
            <w:proofErr w:type="spellEnd"/>
            <w:r w:rsidRPr="00B45592">
              <w:rPr>
                <w:sz w:val="20"/>
                <w:szCs w:val="20"/>
              </w:rPr>
              <w:t xml:space="preserve">, </w:t>
            </w:r>
            <w:proofErr w:type="spellStart"/>
            <w:r w:rsidRPr="00B45592">
              <w:rPr>
                <w:sz w:val="20"/>
                <w:szCs w:val="20"/>
              </w:rPr>
              <w:t>liberty</w:t>
            </w:r>
            <w:proofErr w:type="spellEnd"/>
            <w:r w:rsidRPr="00B45592">
              <w:rPr>
                <w:sz w:val="20"/>
                <w:szCs w:val="20"/>
              </w:rPr>
              <w:t xml:space="preserve"> and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B45592">
              <w:rPr>
                <w:sz w:val="20"/>
                <w:szCs w:val="20"/>
              </w:rPr>
              <w:t xml:space="preserve">, </w:t>
            </w:r>
            <w:proofErr w:type="spellStart"/>
            <w:r w:rsidRPr="00B45592">
              <w:rPr>
                <w:sz w:val="20"/>
                <w:szCs w:val="20"/>
              </w:rPr>
              <w:t>which</w:t>
            </w:r>
            <w:proofErr w:type="spellEnd"/>
            <w:r w:rsidRPr="00B45592">
              <w:rPr>
                <w:sz w:val="20"/>
                <w:szCs w:val="20"/>
              </w:rPr>
              <w:t xml:space="preserve"> </w:t>
            </w:r>
            <w:proofErr w:type="spellStart"/>
            <w:r w:rsidRPr="00B45592">
              <w:rPr>
                <w:sz w:val="20"/>
                <w:szCs w:val="20"/>
              </w:rPr>
              <w:t>are</w:t>
            </w:r>
            <w:proofErr w:type="spellEnd"/>
            <w:r w:rsidRPr="00B45592">
              <w:rPr>
                <w:sz w:val="20"/>
                <w:szCs w:val="20"/>
              </w:rPr>
              <w:t xml:space="preserve"> </w:t>
            </w:r>
            <w:proofErr w:type="spellStart"/>
            <w:r w:rsidRPr="00B45592">
              <w:rPr>
                <w:sz w:val="20"/>
                <w:szCs w:val="20"/>
              </w:rPr>
              <w:t>guaranteed</w:t>
            </w:r>
            <w:proofErr w:type="spellEnd"/>
            <w:r w:rsidRPr="00B45592">
              <w:rPr>
                <w:sz w:val="20"/>
                <w:szCs w:val="20"/>
              </w:rPr>
              <w:t xml:space="preserve"> to </w:t>
            </w:r>
            <w:proofErr w:type="spellStart"/>
            <w:r w:rsidRPr="00B45592">
              <w:rPr>
                <w:sz w:val="20"/>
                <w:szCs w:val="20"/>
              </w:rPr>
              <w:t>him</w:t>
            </w:r>
            <w:proofErr w:type="spellEnd"/>
            <w:r w:rsidRPr="00B45592">
              <w:rPr>
                <w:sz w:val="20"/>
                <w:szCs w:val="20"/>
              </w:rPr>
              <w:t xml:space="preserve"> </w:t>
            </w:r>
            <w:proofErr w:type="spellStart"/>
            <w:r w:rsidRPr="00B45592">
              <w:rPr>
                <w:sz w:val="20"/>
                <w:szCs w:val="20"/>
              </w:rPr>
              <w:t>under</w:t>
            </w:r>
            <w:proofErr w:type="spellEnd"/>
            <w:r w:rsidRPr="00B45592">
              <w:rPr>
                <w:sz w:val="20"/>
                <w:szCs w:val="20"/>
              </w:rPr>
              <w:t xml:space="preserve"> the </w:t>
            </w:r>
            <w:proofErr w:type="spellStart"/>
            <w:r w:rsidRPr="00B45592">
              <w:rPr>
                <w:sz w:val="20"/>
                <w:szCs w:val="20"/>
              </w:rPr>
              <w:t>Constitutions</w:t>
            </w:r>
            <w:proofErr w:type="spellEnd"/>
            <w:r w:rsidRPr="00B45592">
              <w:rPr>
                <w:sz w:val="20"/>
                <w:szCs w:val="20"/>
              </w:rPr>
              <w:t>“</w:t>
            </w:r>
            <w:r>
              <w:rPr>
                <w:rStyle w:val="Funotenzeichen"/>
                <w:sz w:val="20"/>
                <w:szCs w:val="20"/>
                <w:lang w:val="en-US"/>
              </w:rPr>
              <w:footnoteReference w:id="224"/>
            </w:r>
            <w:r w:rsidRPr="00B45592">
              <w:rPr>
                <w:sz w:val="20"/>
                <w:szCs w:val="20"/>
              </w:rPr>
              <w:t xml:space="preserve">). </w:t>
            </w:r>
            <w:r w:rsidRPr="00E50B51">
              <w:rPr>
                <w:sz w:val="20"/>
                <w:szCs w:val="20"/>
              </w:rPr>
              <w:t>Eine solch fehlende Abwägung könne zur Verfassungswidrigkeit führen („</w:t>
            </w:r>
            <w:proofErr w:type="spellStart"/>
            <w:r w:rsidRPr="00E50B51">
              <w:rPr>
                <w:sz w:val="20"/>
                <w:szCs w:val="20"/>
              </w:rPr>
              <w:t>held</w:t>
            </w:r>
            <w:proofErr w:type="spellEnd"/>
            <w:r w:rsidRPr="00E50B51">
              <w:rPr>
                <w:sz w:val="20"/>
                <w:szCs w:val="20"/>
              </w:rPr>
              <w:t xml:space="preserve"> to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unconstitutional</w:t>
            </w:r>
            <w:proofErr w:type="spellEnd"/>
            <w:r w:rsidRPr="00E50B51">
              <w:rPr>
                <w:sz w:val="20"/>
                <w:szCs w:val="20"/>
              </w:rPr>
              <w:t>“</w:t>
            </w:r>
            <w:r w:rsidRPr="00E50B51">
              <w:rPr>
                <w:rStyle w:val="Funotenzeichen"/>
                <w:rFonts w:eastAsiaTheme="majorEastAsia"/>
                <w:sz w:val="20"/>
                <w:szCs w:val="20"/>
              </w:rPr>
              <w:footnoteReference w:id="225"/>
            </w:r>
            <w:r w:rsidRPr="00E50B51">
              <w:rPr>
                <w:sz w:val="20"/>
                <w:szCs w:val="20"/>
              </w:rPr>
              <w:t>)</w:t>
            </w:r>
            <w:r>
              <w:rPr>
                <w:sz w:val="20"/>
                <w:szCs w:val="20"/>
              </w:rPr>
              <w:t>.</w:t>
            </w:r>
          </w:p>
          <w:p w14:paraId="2A8B8968" w14:textId="77777777" w:rsidR="00074551" w:rsidRPr="00E50B51" w:rsidRDefault="00074551" w:rsidP="00367133">
            <w:pPr>
              <w:jc w:val="both"/>
              <w:rPr>
                <w:sz w:val="20"/>
                <w:szCs w:val="20"/>
              </w:rPr>
            </w:pPr>
          </w:p>
        </w:tc>
      </w:tr>
      <w:tr w:rsidR="00074551" w:rsidRPr="00E50B51" w14:paraId="2BFBA0D0" w14:textId="77777777" w:rsidTr="00BE689F">
        <w:trPr>
          <w:cantSplit/>
          <w:trHeight w:val="3175"/>
        </w:trPr>
        <w:tc>
          <w:tcPr>
            <w:tcW w:w="293" w:type="pct"/>
          </w:tcPr>
          <w:p w14:paraId="4D1A06CA"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A835B88" w14:textId="77777777" w:rsidR="00074551" w:rsidRPr="00B45592" w:rsidRDefault="00074551" w:rsidP="00367133">
            <w:pPr>
              <w:ind w:left="113" w:right="113"/>
              <w:jc w:val="both"/>
              <w:rPr>
                <w:i/>
                <w:sz w:val="20"/>
                <w:szCs w:val="20"/>
                <w:lang w:val="en-US"/>
              </w:rPr>
            </w:pPr>
            <w:r w:rsidRPr="00B45592">
              <w:rPr>
                <w:i/>
                <w:sz w:val="20"/>
                <w:szCs w:val="20"/>
                <w:lang w:val="en-US"/>
              </w:rPr>
              <w:t>Steward Machine Co. v. Davis</w:t>
            </w:r>
          </w:p>
        </w:tc>
        <w:tc>
          <w:tcPr>
            <w:tcW w:w="197" w:type="pct"/>
            <w:textDirection w:val="tbRl"/>
            <w:vAlign w:val="center"/>
          </w:tcPr>
          <w:p w14:paraId="1C5B5CAE" w14:textId="77777777" w:rsidR="00074551" w:rsidRPr="00E50B51" w:rsidRDefault="00074551" w:rsidP="00367133">
            <w:pPr>
              <w:ind w:left="113" w:right="113"/>
              <w:jc w:val="both"/>
              <w:rPr>
                <w:sz w:val="20"/>
                <w:szCs w:val="20"/>
                <w:lang w:val="en-US"/>
              </w:rPr>
            </w:pPr>
            <w:r w:rsidRPr="00E50B51">
              <w:rPr>
                <w:sz w:val="20"/>
                <w:szCs w:val="20"/>
                <w:lang w:val="en-US"/>
              </w:rPr>
              <w:t>301 U.S. 548</w:t>
            </w:r>
          </w:p>
        </w:tc>
        <w:tc>
          <w:tcPr>
            <w:tcW w:w="306" w:type="pct"/>
            <w:textDirection w:val="tbRl"/>
            <w:vAlign w:val="center"/>
          </w:tcPr>
          <w:p w14:paraId="77FF44D1" w14:textId="77777777" w:rsidR="00074551" w:rsidRPr="00E50B51" w:rsidRDefault="00074551" w:rsidP="00367133">
            <w:pPr>
              <w:ind w:left="113" w:right="113"/>
              <w:jc w:val="both"/>
              <w:rPr>
                <w:sz w:val="20"/>
                <w:szCs w:val="20"/>
              </w:rPr>
            </w:pPr>
            <w:r w:rsidRPr="00E50B51">
              <w:rPr>
                <w:sz w:val="20"/>
                <w:szCs w:val="20"/>
                <w:lang w:val="en-US"/>
              </w:rPr>
              <w:t>24. Mai 1937</w:t>
            </w:r>
          </w:p>
        </w:tc>
        <w:tc>
          <w:tcPr>
            <w:tcW w:w="401" w:type="pct"/>
          </w:tcPr>
          <w:p w14:paraId="16FFFC51"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757F6299" w14:textId="77777777"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den </w:t>
            </w:r>
            <w:proofErr w:type="spellStart"/>
            <w:r w:rsidRPr="00B45592">
              <w:rPr>
                <w:i/>
                <w:sz w:val="20"/>
                <w:szCs w:val="20"/>
              </w:rPr>
              <w:t>Social</w:t>
            </w:r>
            <w:proofErr w:type="spellEnd"/>
            <w:r w:rsidRPr="00B45592">
              <w:rPr>
                <w:i/>
                <w:sz w:val="20"/>
                <w:szCs w:val="20"/>
              </w:rPr>
              <w:t xml:space="preserve"> Security Act</w:t>
            </w:r>
            <w:r w:rsidRPr="00E50B51">
              <w:rPr>
                <w:sz w:val="20"/>
                <w:szCs w:val="20"/>
              </w:rPr>
              <w:t xml:space="preserve"> von 1935 für verfassungskonform. Zunächst beantragte </w:t>
            </w:r>
            <w:r>
              <w:rPr>
                <w:sz w:val="20"/>
                <w:szCs w:val="20"/>
              </w:rPr>
              <w:t xml:space="preserve">die </w:t>
            </w:r>
            <w:r w:rsidRPr="00E50B51">
              <w:rPr>
                <w:sz w:val="20"/>
                <w:szCs w:val="20"/>
              </w:rPr>
              <w:t xml:space="preserve">Gesellschaft Steward </w:t>
            </w:r>
            <w:proofErr w:type="spellStart"/>
            <w:r w:rsidRPr="00E50B51">
              <w:rPr>
                <w:sz w:val="20"/>
                <w:szCs w:val="20"/>
              </w:rPr>
              <w:t>Machine</w:t>
            </w:r>
            <w:proofErr w:type="spellEnd"/>
            <w:r w:rsidRPr="00E50B51">
              <w:rPr>
                <w:sz w:val="20"/>
                <w:szCs w:val="20"/>
              </w:rPr>
              <w:t xml:space="preserve"> Co. beim </w:t>
            </w:r>
            <w:r>
              <w:rPr>
                <w:sz w:val="20"/>
                <w:szCs w:val="20"/>
              </w:rPr>
              <w:t>U.S. Supreme Court</w:t>
            </w:r>
            <w:r w:rsidRPr="00E50B51">
              <w:rPr>
                <w:sz w:val="20"/>
                <w:szCs w:val="20"/>
              </w:rPr>
              <w:t xml:space="preserve">, das Urteil der Vorinstanz zu überprüfen, also das des </w:t>
            </w:r>
            <w:bookmarkStart w:id="23" w:name="_Hlk230169235"/>
            <w:r w:rsidRPr="00B45592">
              <w:rPr>
                <w:i/>
                <w:sz w:val="20"/>
                <w:szCs w:val="20"/>
              </w:rPr>
              <w:t xml:space="preserve">Circuit Court of Appeals for the </w:t>
            </w:r>
            <w:proofErr w:type="spellStart"/>
            <w:r w:rsidRPr="00B45592">
              <w:rPr>
                <w:i/>
                <w:sz w:val="20"/>
                <w:szCs w:val="20"/>
              </w:rPr>
              <w:t>Fifth</w:t>
            </w:r>
            <w:proofErr w:type="spellEnd"/>
            <w:r w:rsidRPr="00B45592">
              <w:rPr>
                <w:i/>
                <w:sz w:val="20"/>
                <w:szCs w:val="20"/>
              </w:rPr>
              <w:t xml:space="preserve"> Circuit</w:t>
            </w:r>
            <w:bookmarkEnd w:id="23"/>
            <w:r w:rsidRPr="00E50B51">
              <w:rPr>
                <w:sz w:val="20"/>
                <w:szCs w:val="20"/>
              </w:rPr>
              <w:t xml:space="preserve">. Dieses Gericht und die anderen Vorinstanzen hatten den Antrag der Steward </w:t>
            </w:r>
            <w:proofErr w:type="spellStart"/>
            <w:r w:rsidRPr="00E50B51">
              <w:rPr>
                <w:sz w:val="20"/>
                <w:szCs w:val="20"/>
              </w:rPr>
              <w:t>Machine</w:t>
            </w:r>
            <w:proofErr w:type="spellEnd"/>
            <w:r w:rsidRPr="00E50B51">
              <w:rPr>
                <w:sz w:val="20"/>
                <w:szCs w:val="20"/>
              </w:rPr>
              <w:t xml:space="preserve"> Co. abgewiesen, welche</w:t>
            </w:r>
            <w:r>
              <w:rPr>
                <w:sz w:val="20"/>
                <w:szCs w:val="20"/>
              </w:rPr>
              <w:t>r</w:t>
            </w:r>
            <w:r w:rsidRPr="00E50B51">
              <w:rPr>
                <w:sz w:val="20"/>
                <w:szCs w:val="20"/>
              </w:rPr>
              <w:t xml:space="preserve"> darauf gerichtet war, der Gesellschaft Steuern wiederzuerstatten</w:t>
            </w:r>
            <w:r>
              <w:rPr>
                <w:sz w:val="20"/>
                <w:szCs w:val="20"/>
              </w:rPr>
              <w:t>. Diese hatte</w:t>
            </w:r>
            <w:r w:rsidRPr="00E50B51">
              <w:rPr>
                <w:sz w:val="20"/>
                <w:szCs w:val="20"/>
              </w:rPr>
              <w:t xml:space="preserve"> sie als Verbrauchssteuer – also indirekte Steuer – für ihre Arbeitnehmer an die beklagte </w:t>
            </w:r>
            <w:bookmarkStart w:id="24" w:name="_Hlk230003350"/>
            <w:proofErr w:type="spellStart"/>
            <w:r w:rsidRPr="00B45592">
              <w:rPr>
                <w:i/>
                <w:sz w:val="20"/>
                <w:szCs w:val="20"/>
              </w:rPr>
              <w:t>Commission</w:t>
            </w:r>
            <w:proofErr w:type="spellEnd"/>
            <w:r w:rsidRPr="00B45592">
              <w:rPr>
                <w:i/>
                <w:sz w:val="20"/>
                <w:szCs w:val="20"/>
              </w:rPr>
              <w:t xml:space="preserve"> of Internal Revenue</w:t>
            </w:r>
            <w:r w:rsidRPr="00E50B51">
              <w:rPr>
                <w:sz w:val="20"/>
                <w:szCs w:val="20"/>
              </w:rPr>
              <w:t xml:space="preserve"> </w:t>
            </w:r>
            <w:bookmarkEnd w:id="24"/>
            <w:r w:rsidRPr="00E50B51">
              <w:rPr>
                <w:sz w:val="20"/>
                <w:szCs w:val="20"/>
              </w:rPr>
              <w:t xml:space="preserve">gezahlt. Der </w:t>
            </w:r>
            <w:r>
              <w:rPr>
                <w:sz w:val="20"/>
                <w:szCs w:val="20"/>
              </w:rPr>
              <w:t>U.S. Supreme Court</w:t>
            </w:r>
            <w:r w:rsidRPr="00E50B51">
              <w:rPr>
                <w:sz w:val="20"/>
                <w:szCs w:val="20"/>
              </w:rPr>
              <w:t xml:space="preserve"> urteilte, der </w:t>
            </w:r>
            <w:proofErr w:type="spellStart"/>
            <w:r w:rsidRPr="00B45592">
              <w:rPr>
                <w:i/>
                <w:sz w:val="20"/>
                <w:szCs w:val="20"/>
              </w:rPr>
              <w:t>Social</w:t>
            </w:r>
            <w:proofErr w:type="spellEnd"/>
            <w:r w:rsidRPr="00B45592">
              <w:rPr>
                <w:i/>
                <w:sz w:val="20"/>
                <w:szCs w:val="20"/>
              </w:rPr>
              <w:t xml:space="preserve"> Security Act</w:t>
            </w:r>
            <w:r w:rsidRPr="00E50B51">
              <w:rPr>
                <w:sz w:val="20"/>
                <w:szCs w:val="20"/>
              </w:rPr>
              <w:t xml:space="preserve"> gebe indes eine verfassungskonforme Verbrauchssteuer auf. Er begründete dies so: Das Gesetz </w:t>
            </w:r>
            <w:r>
              <w:rPr>
                <w:sz w:val="20"/>
                <w:szCs w:val="20"/>
              </w:rPr>
              <w:t>erhebe</w:t>
            </w:r>
            <w:r w:rsidRPr="00E50B51">
              <w:rPr>
                <w:sz w:val="20"/>
                <w:szCs w:val="20"/>
              </w:rPr>
              <w:t xml:space="preserve"> eine angemessen hohe Steuer, die verfassungskonforme Ausnahmen beinhalte</w:t>
            </w:r>
            <w:r>
              <w:rPr>
                <w:sz w:val="20"/>
                <w:szCs w:val="20"/>
              </w:rPr>
              <w:t>,</w:t>
            </w:r>
            <w:r w:rsidRPr="00E50B51">
              <w:rPr>
                <w:sz w:val="20"/>
                <w:szCs w:val="20"/>
              </w:rPr>
              <w:t xml:space="preserve"> in alle</w:t>
            </w:r>
            <w:r>
              <w:rPr>
                <w:sz w:val="20"/>
                <w:szCs w:val="20"/>
              </w:rPr>
              <w:t>n</w:t>
            </w:r>
            <w:r w:rsidRPr="00E50B51">
              <w:rPr>
                <w:sz w:val="20"/>
                <w:szCs w:val="20"/>
              </w:rPr>
              <w:t xml:space="preserve"> Bundesstaaten gleich wirke und </w:t>
            </w:r>
            <w:r>
              <w:rPr>
                <w:sz w:val="20"/>
                <w:szCs w:val="20"/>
              </w:rPr>
              <w:t xml:space="preserve">auch </w:t>
            </w:r>
            <w:r w:rsidRPr="00E50B51">
              <w:rPr>
                <w:sz w:val="20"/>
                <w:szCs w:val="20"/>
              </w:rPr>
              <w:t xml:space="preserve">nicht in die Befugnisse der Bundesstaaten </w:t>
            </w:r>
            <w:r w:rsidRPr="00B45592">
              <w:rPr>
                <w:sz w:val="20"/>
                <w:szCs w:val="20"/>
              </w:rPr>
              <w:t>eingreife.</w:t>
            </w:r>
          </w:p>
          <w:p w14:paraId="32F68A1C" w14:textId="77777777" w:rsidR="00074551" w:rsidRPr="00E50B51" w:rsidRDefault="00074551" w:rsidP="00367133">
            <w:pPr>
              <w:jc w:val="both"/>
              <w:rPr>
                <w:sz w:val="20"/>
                <w:szCs w:val="20"/>
              </w:rPr>
            </w:pPr>
          </w:p>
        </w:tc>
        <w:tc>
          <w:tcPr>
            <w:tcW w:w="1822" w:type="pct"/>
          </w:tcPr>
          <w:p w14:paraId="371D17AF" w14:textId="557FF187" w:rsidR="00074551" w:rsidRPr="00E50B51" w:rsidRDefault="00074551" w:rsidP="00367133">
            <w:pPr>
              <w:jc w:val="both"/>
              <w:rPr>
                <w:sz w:val="20"/>
                <w:szCs w:val="20"/>
              </w:rPr>
            </w:pPr>
            <w:r w:rsidRPr="00E50B51">
              <w:rPr>
                <w:sz w:val="20"/>
                <w:szCs w:val="20"/>
              </w:rPr>
              <w:t>Der Kongress ha</w:t>
            </w:r>
            <w:r>
              <w:rPr>
                <w:sz w:val="20"/>
                <w:szCs w:val="20"/>
              </w:rPr>
              <w:t xml:space="preserve">be </w:t>
            </w:r>
            <w:r w:rsidRPr="00E50B51">
              <w:rPr>
                <w:sz w:val="20"/>
                <w:szCs w:val="20"/>
              </w:rPr>
              <w:t xml:space="preserve">nach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E50B51">
              <w:rPr>
                <w:sz w:val="20"/>
                <w:szCs w:val="20"/>
              </w:rPr>
              <w:t xml:space="preserve"> die Kompetenz, Steuern einheitlich zu erheben, z.B. als Zoll, als Abgabe oder als Verbrauchssteuer – auch auf Arbeitsverhältnisse.</w:t>
            </w:r>
            <w:r>
              <w:rPr>
                <w:sz w:val="20"/>
                <w:szCs w:val="20"/>
              </w:rPr>
              <w:t xml:space="preserve"> Diese Kompetenz halte er hier ein.</w:t>
            </w:r>
            <w:r w:rsidRPr="00E50B51">
              <w:rPr>
                <w:sz w:val="20"/>
                <w:szCs w:val="20"/>
              </w:rPr>
              <w:t xml:space="preserve"> Indes schütze das Recht auf ein Streben nach Glück im Grundsatz Arbeitsverhältnisse vor einer Steuerbelastung. Denn Arbeitsverhältnis</w:t>
            </w:r>
            <w:r>
              <w:rPr>
                <w:sz w:val="20"/>
                <w:szCs w:val="20"/>
              </w:rPr>
              <w:t>se</w:t>
            </w:r>
            <w:r w:rsidRPr="00E50B51">
              <w:rPr>
                <w:sz w:val="20"/>
                <w:szCs w:val="20"/>
              </w:rPr>
              <w:t xml:space="preserve"> seien so wesentlich für das Streben nach Glück, dass sie im Grundsatz nicht mit einer Steuer belastet werden dürf</w:t>
            </w:r>
            <w:r>
              <w:rPr>
                <w:sz w:val="20"/>
                <w:szCs w:val="20"/>
              </w:rPr>
              <w:t>t</w:t>
            </w:r>
            <w:r w:rsidRPr="00E50B51">
              <w:rPr>
                <w:sz w:val="20"/>
                <w:szCs w:val="20"/>
              </w:rPr>
              <w:t>en („</w:t>
            </w:r>
            <w:proofErr w:type="spellStart"/>
            <w:r w:rsidRPr="00E50B51">
              <w:rPr>
                <w:sz w:val="20"/>
                <w:szCs w:val="20"/>
              </w:rPr>
              <w:t>relation</w:t>
            </w:r>
            <w:proofErr w:type="spellEnd"/>
            <w:r w:rsidRPr="00E50B51">
              <w:rPr>
                <w:sz w:val="20"/>
                <w:szCs w:val="20"/>
              </w:rPr>
              <w:t xml:space="preserve"> of </w:t>
            </w:r>
            <w:proofErr w:type="spellStart"/>
            <w:r w:rsidRPr="00E50B51">
              <w:rPr>
                <w:sz w:val="20"/>
                <w:szCs w:val="20"/>
              </w:rPr>
              <w:t>employment</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w:t>
            </w:r>
            <w:proofErr w:type="spellStart"/>
            <w:r w:rsidRPr="00E50B51">
              <w:rPr>
                <w:sz w:val="20"/>
                <w:szCs w:val="20"/>
              </w:rPr>
              <w:t>one</w:t>
            </w:r>
            <w:proofErr w:type="spellEnd"/>
            <w:r w:rsidRPr="00E50B51">
              <w:rPr>
                <w:sz w:val="20"/>
                <w:szCs w:val="20"/>
              </w:rPr>
              <w:t xml:space="preserve"> so essential to the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 xml:space="preserve"> </w:t>
            </w:r>
            <w:proofErr w:type="spellStart"/>
            <w:r w:rsidRPr="00E50B51">
              <w:rPr>
                <w:sz w:val="20"/>
                <w:szCs w:val="20"/>
              </w:rPr>
              <w:t>that</w:t>
            </w:r>
            <w:proofErr w:type="spellEnd"/>
            <w:r w:rsidRPr="00E50B51">
              <w:rPr>
                <w:sz w:val="20"/>
                <w:szCs w:val="20"/>
              </w:rPr>
              <w:t xml:space="preserve"> it </w:t>
            </w:r>
            <w:proofErr w:type="spellStart"/>
            <w:r w:rsidRPr="00E50B51">
              <w:rPr>
                <w:sz w:val="20"/>
                <w:szCs w:val="20"/>
              </w:rPr>
              <w:t>may</w:t>
            </w:r>
            <w:proofErr w:type="spellEnd"/>
            <w:r w:rsidRPr="00E50B51">
              <w:rPr>
                <w:sz w:val="20"/>
                <w:szCs w:val="20"/>
              </w:rPr>
              <w:t xml:space="preserve"> not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burdened</w:t>
            </w:r>
            <w:proofErr w:type="spellEnd"/>
            <w:r w:rsidRPr="00E50B51">
              <w:rPr>
                <w:sz w:val="20"/>
                <w:szCs w:val="20"/>
              </w:rPr>
              <w:t xml:space="preserve"> </w:t>
            </w:r>
            <w:proofErr w:type="spellStart"/>
            <w:r w:rsidRPr="00E50B51">
              <w:rPr>
                <w:sz w:val="20"/>
                <w:szCs w:val="20"/>
              </w:rPr>
              <w:t>with</w:t>
            </w:r>
            <w:proofErr w:type="spellEnd"/>
            <w:r w:rsidRPr="00E50B51">
              <w:rPr>
                <w:sz w:val="20"/>
                <w:szCs w:val="20"/>
              </w:rPr>
              <w:t xml:space="preserve"> a </w:t>
            </w:r>
            <w:proofErr w:type="spellStart"/>
            <w:r w:rsidRPr="00E50B51">
              <w:rPr>
                <w:sz w:val="20"/>
                <w:szCs w:val="20"/>
              </w:rPr>
              <w:t>tax</w:t>
            </w:r>
            <w:proofErr w:type="spellEnd"/>
            <w:r w:rsidRPr="00E50B51">
              <w:rPr>
                <w:sz w:val="20"/>
                <w:szCs w:val="20"/>
              </w:rPr>
              <w:t>“</w:t>
            </w:r>
            <w:r w:rsidRPr="00E50B51">
              <w:rPr>
                <w:rStyle w:val="Funotenzeichen"/>
                <w:rFonts w:eastAsiaTheme="majorEastAsia"/>
                <w:sz w:val="20"/>
                <w:szCs w:val="20"/>
              </w:rPr>
              <w:footnoteReference w:id="226"/>
            </w:r>
            <w:r w:rsidRPr="00E50B51">
              <w:rPr>
                <w:sz w:val="20"/>
                <w:szCs w:val="20"/>
              </w:rPr>
              <w:t xml:space="preserve">). Dieses Argument bespricht der </w:t>
            </w:r>
            <w:r>
              <w:rPr>
                <w:sz w:val="20"/>
                <w:szCs w:val="20"/>
              </w:rPr>
              <w:t>U.S. Supreme Court</w:t>
            </w:r>
            <w:r w:rsidRPr="00E50B51">
              <w:rPr>
                <w:sz w:val="20"/>
                <w:szCs w:val="20"/>
              </w:rPr>
              <w:t xml:space="preserve"> historisch und anhand des Strebens nach Glück. Historisch </w:t>
            </w:r>
            <w:r>
              <w:rPr>
                <w:sz w:val="20"/>
                <w:szCs w:val="20"/>
              </w:rPr>
              <w:t>habe</w:t>
            </w:r>
            <w:r w:rsidRPr="00E50B51">
              <w:rPr>
                <w:sz w:val="20"/>
                <w:szCs w:val="20"/>
              </w:rPr>
              <w:t xml:space="preserve"> es Verbrauchssteuern nicht nur auf Waren, sondern auch auf Arbeitnehmer</w:t>
            </w:r>
            <w:r>
              <w:rPr>
                <w:sz w:val="20"/>
                <w:szCs w:val="20"/>
              </w:rPr>
              <w:t xml:space="preserve"> gegeben</w:t>
            </w:r>
            <w:r w:rsidRPr="00E50B51">
              <w:rPr>
                <w:sz w:val="20"/>
                <w:szCs w:val="20"/>
              </w:rPr>
              <w:t xml:space="preserve"> („to </w:t>
            </w:r>
            <w:proofErr w:type="spellStart"/>
            <w:r w:rsidRPr="00E50B51">
              <w:rPr>
                <w:sz w:val="20"/>
                <w:szCs w:val="20"/>
              </w:rPr>
              <w:t>throw</w:t>
            </w:r>
            <w:proofErr w:type="spellEnd"/>
            <w:r w:rsidRPr="00E50B51">
              <w:rPr>
                <w:sz w:val="20"/>
                <w:szCs w:val="20"/>
              </w:rPr>
              <w:t xml:space="preserve"> </w:t>
            </w:r>
            <w:proofErr w:type="spellStart"/>
            <w:r w:rsidRPr="00E50B51">
              <w:rPr>
                <w:sz w:val="20"/>
                <w:szCs w:val="20"/>
              </w:rPr>
              <w:t>over</w:t>
            </w:r>
            <w:proofErr w:type="spellEnd"/>
            <w:r w:rsidRPr="00E50B51">
              <w:rPr>
                <w:sz w:val="20"/>
                <w:szCs w:val="20"/>
              </w:rPr>
              <w:t xml:space="preserve"> the </w:t>
            </w:r>
            <w:proofErr w:type="spellStart"/>
            <w:r w:rsidRPr="00E50B51">
              <w:rPr>
                <w:sz w:val="20"/>
                <w:szCs w:val="20"/>
              </w:rPr>
              <w:t>argument</w:t>
            </w:r>
            <w:proofErr w:type="spellEnd"/>
            <w:r w:rsidRPr="00E50B51">
              <w:rPr>
                <w:sz w:val="20"/>
                <w:szCs w:val="20"/>
              </w:rPr>
              <w:t xml:space="preserve"> </w:t>
            </w:r>
            <w:proofErr w:type="spellStart"/>
            <w:r w:rsidRPr="00E50B51">
              <w:rPr>
                <w:sz w:val="20"/>
                <w:szCs w:val="20"/>
              </w:rPr>
              <w:t>that</w:t>
            </w:r>
            <w:proofErr w:type="spellEnd"/>
            <w:r w:rsidRPr="00E50B51">
              <w:rPr>
                <w:sz w:val="20"/>
                <w:szCs w:val="20"/>
              </w:rPr>
              <w:t xml:space="preserve"> </w:t>
            </w:r>
            <w:proofErr w:type="spellStart"/>
            <w:r w:rsidRPr="00E50B51">
              <w:rPr>
                <w:sz w:val="20"/>
                <w:szCs w:val="20"/>
              </w:rPr>
              <w:t>historically</w:t>
            </w:r>
            <w:proofErr w:type="spellEnd"/>
            <w:r w:rsidRPr="00E50B51">
              <w:rPr>
                <w:sz w:val="20"/>
                <w:szCs w:val="20"/>
              </w:rPr>
              <w:t xml:space="preserve"> an </w:t>
            </w:r>
            <w:proofErr w:type="spellStart"/>
            <w:r w:rsidRPr="00E50B51">
              <w:rPr>
                <w:sz w:val="20"/>
                <w:szCs w:val="20"/>
              </w:rPr>
              <w:t>excise</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a </w:t>
            </w:r>
            <w:proofErr w:type="spellStart"/>
            <w:r w:rsidRPr="00E50B51">
              <w:rPr>
                <w:sz w:val="20"/>
                <w:szCs w:val="20"/>
              </w:rPr>
              <w:t>tax</w:t>
            </w:r>
            <w:proofErr w:type="spellEnd"/>
            <w:r w:rsidRPr="00E50B51">
              <w:rPr>
                <w:sz w:val="20"/>
                <w:szCs w:val="20"/>
              </w:rPr>
              <w:t xml:space="preserve"> upon the </w:t>
            </w:r>
            <w:proofErr w:type="spellStart"/>
            <w:r w:rsidRPr="00E50B51">
              <w:rPr>
                <w:sz w:val="20"/>
                <w:szCs w:val="20"/>
              </w:rPr>
              <w:t>enjoyment</w:t>
            </w:r>
            <w:proofErr w:type="spellEnd"/>
            <w:r w:rsidRPr="00E50B51">
              <w:rPr>
                <w:sz w:val="20"/>
                <w:szCs w:val="20"/>
              </w:rPr>
              <w:t xml:space="preserve"> of </w:t>
            </w:r>
            <w:proofErr w:type="spellStart"/>
            <w:r w:rsidRPr="00E50B51">
              <w:rPr>
                <w:sz w:val="20"/>
                <w:szCs w:val="20"/>
              </w:rPr>
              <w:t>commodities</w:t>
            </w:r>
            <w:proofErr w:type="spellEnd"/>
            <w:r w:rsidRPr="00E50B51">
              <w:rPr>
                <w:sz w:val="20"/>
                <w:szCs w:val="20"/>
              </w:rPr>
              <w:t>“</w:t>
            </w:r>
            <w:r w:rsidRPr="00E50B51">
              <w:rPr>
                <w:rStyle w:val="Funotenzeichen"/>
                <w:rFonts w:eastAsiaTheme="majorEastAsia"/>
                <w:sz w:val="20"/>
                <w:szCs w:val="20"/>
              </w:rPr>
              <w:footnoteReference w:id="227"/>
            </w:r>
            <w:r w:rsidRPr="00E50B51">
              <w:rPr>
                <w:sz w:val="20"/>
                <w:szCs w:val="20"/>
              </w:rPr>
              <w:t xml:space="preserve">). Daher </w:t>
            </w:r>
            <w:r>
              <w:rPr>
                <w:sz w:val="20"/>
                <w:szCs w:val="20"/>
              </w:rPr>
              <w:t>hätten</w:t>
            </w:r>
            <w:r w:rsidRPr="00E50B51">
              <w:rPr>
                <w:sz w:val="20"/>
                <w:szCs w:val="20"/>
              </w:rPr>
              <w:t xml:space="preserve"> sie die Verfassungsgeber auch im historischen Kontext als Bedingung für Glücksstreben als zulässig erachtet. Beispiel</w:t>
            </w:r>
            <w:r>
              <w:rPr>
                <w:sz w:val="20"/>
                <w:szCs w:val="20"/>
              </w:rPr>
              <w:t xml:space="preserve"> dafür</w:t>
            </w:r>
            <w:r w:rsidRPr="00E50B51">
              <w:rPr>
                <w:sz w:val="20"/>
                <w:szCs w:val="20"/>
              </w:rPr>
              <w:t xml:space="preserve">: </w:t>
            </w:r>
            <w:r>
              <w:rPr>
                <w:sz w:val="20"/>
                <w:szCs w:val="20"/>
              </w:rPr>
              <w:t>e</w:t>
            </w:r>
            <w:r w:rsidRPr="00E50B51">
              <w:rPr>
                <w:sz w:val="20"/>
                <w:szCs w:val="20"/>
              </w:rPr>
              <w:t xml:space="preserve">in Gesetz, das </w:t>
            </w:r>
            <w:r>
              <w:rPr>
                <w:sz w:val="20"/>
                <w:szCs w:val="20"/>
              </w:rPr>
              <w:t>den König</w:t>
            </w:r>
            <w:r w:rsidRPr="00E50B51">
              <w:rPr>
                <w:sz w:val="20"/>
                <w:szCs w:val="20"/>
              </w:rPr>
              <w:t xml:space="preserve"> Abgaben auf Eheschließungen, Geburten</w:t>
            </w:r>
            <w:r>
              <w:rPr>
                <w:sz w:val="20"/>
                <w:szCs w:val="20"/>
              </w:rPr>
              <w:t xml:space="preserve">, </w:t>
            </w:r>
            <w:r w:rsidRPr="00E50B51">
              <w:rPr>
                <w:sz w:val="20"/>
                <w:szCs w:val="20"/>
              </w:rPr>
              <w:t xml:space="preserve">Beerdigungen </w:t>
            </w:r>
            <w:r>
              <w:rPr>
                <w:sz w:val="20"/>
                <w:szCs w:val="20"/>
              </w:rPr>
              <w:t>oder Arbeitsverhältnisse erheben ließ</w:t>
            </w:r>
            <w:r w:rsidRPr="00E50B51">
              <w:rPr>
                <w:sz w:val="20"/>
                <w:szCs w:val="20"/>
              </w:rPr>
              <w:t xml:space="preserve">, um Krieg gegen Frankreich führen zu können (vgl. Parlament 1695 </w:t>
            </w:r>
            <w:r>
              <w:rPr>
                <w:sz w:val="20"/>
                <w:szCs w:val="20"/>
              </w:rPr>
              <w:t>[</w:t>
            </w:r>
            <w:r w:rsidRPr="00E50B51">
              <w:rPr>
                <w:sz w:val="20"/>
                <w:szCs w:val="20"/>
              </w:rPr>
              <w:t xml:space="preserve">6 &amp; 7 </w:t>
            </w:r>
            <w:proofErr w:type="spellStart"/>
            <w:r w:rsidRPr="00E50B51">
              <w:rPr>
                <w:sz w:val="20"/>
                <w:szCs w:val="20"/>
              </w:rPr>
              <w:t>Wm</w:t>
            </w:r>
            <w:proofErr w:type="spellEnd"/>
            <w:r w:rsidRPr="00E50B51">
              <w:rPr>
                <w:sz w:val="20"/>
                <w:szCs w:val="20"/>
              </w:rPr>
              <w:t>. III, c. 6</w:t>
            </w:r>
            <w:r>
              <w:rPr>
                <w:sz w:val="20"/>
                <w:szCs w:val="20"/>
              </w:rPr>
              <w:t>]</w:t>
            </w:r>
            <w:r w:rsidRPr="00E50B51">
              <w:rPr>
                <w:sz w:val="20"/>
                <w:szCs w:val="20"/>
              </w:rPr>
              <w:t xml:space="preserve">) </w:t>
            </w:r>
            <w:r w:rsidRPr="00E50B51">
              <w:rPr>
                <w:rStyle w:val="Funotenzeichen"/>
                <w:rFonts w:eastAsiaTheme="majorEastAsia"/>
                <w:sz w:val="20"/>
                <w:szCs w:val="20"/>
              </w:rPr>
              <w:footnoteReference w:id="228"/>
            </w:r>
            <w:r w:rsidRPr="00E50B51">
              <w:rPr>
                <w:sz w:val="20"/>
                <w:szCs w:val="20"/>
              </w:rPr>
              <w:t xml:space="preserve"> oder die Steuer für bestimmte Tätigkeiten eines Dienstboten (</w:t>
            </w:r>
            <w:r w:rsidRPr="00B45592">
              <w:rPr>
                <w:i/>
                <w:sz w:val="20"/>
                <w:szCs w:val="20"/>
              </w:rPr>
              <w:t>Revenue Act of 1777</w:t>
            </w:r>
            <w:r w:rsidRPr="00E50B51">
              <w:rPr>
                <w:sz w:val="20"/>
                <w:szCs w:val="20"/>
              </w:rPr>
              <w:t>, 17 George III, c. 39.</w:t>
            </w:r>
            <w:r w:rsidRPr="00E50B51">
              <w:rPr>
                <w:rStyle w:val="Funotenzeichen"/>
                <w:rFonts w:eastAsiaTheme="majorEastAsia"/>
                <w:sz w:val="20"/>
                <w:szCs w:val="20"/>
              </w:rPr>
              <w:footnoteReference w:id="229"/>
            </w:r>
            <w:r w:rsidRPr="00E50B51">
              <w:rPr>
                <w:sz w:val="20"/>
                <w:szCs w:val="20"/>
              </w:rPr>
              <w:t>). Als eine Bedingung für Glücksstreben sei die Berufsausübung zum rechtmäßigen Erwerb ein inhärentes („</w:t>
            </w:r>
            <w:proofErr w:type="spellStart"/>
            <w:r w:rsidRPr="00E50B51">
              <w:rPr>
                <w:sz w:val="20"/>
                <w:szCs w:val="20"/>
              </w:rPr>
              <w:t>inherent</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30"/>
            </w:r>
            <w:r w:rsidRPr="00E50B51">
              <w:rPr>
                <w:sz w:val="20"/>
                <w:szCs w:val="20"/>
              </w:rPr>
              <w:t>) und damit natürliches („</w:t>
            </w:r>
            <w:proofErr w:type="spellStart"/>
            <w:r w:rsidRPr="00E50B51">
              <w:rPr>
                <w:sz w:val="20"/>
                <w:szCs w:val="20"/>
              </w:rPr>
              <w:t>natural</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31"/>
            </w:r>
            <w:r w:rsidRPr="00E50B51">
              <w:rPr>
                <w:sz w:val="20"/>
                <w:szCs w:val="20"/>
              </w:rPr>
              <w:t xml:space="preserve">) und daher </w:t>
            </w:r>
            <w:r>
              <w:rPr>
                <w:sz w:val="20"/>
                <w:szCs w:val="20"/>
              </w:rPr>
              <w:t xml:space="preserve">ein </w:t>
            </w:r>
            <w:r w:rsidRPr="00E50B51">
              <w:rPr>
                <w:sz w:val="20"/>
                <w:szCs w:val="20"/>
              </w:rPr>
              <w:t>unveräußerliches („</w:t>
            </w:r>
            <w:proofErr w:type="spellStart"/>
            <w:r>
              <w:rPr>
                <w:sz w:val="20"/>
                <w:szCs w:val="20"/>
              </w:rPr>
              <w:t>inalienable</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32"/>
            </w:r>
            <w:r w:rsidRPr="00E50B51">
              <w:rPr>
                <w:sz w:val="20"/>
                <w:szCs w:val="20"/>
              </w:rPr>
              <w:t>) Recht.</w:t>
            </w:r>
            <w:r w:rsidRPr="00E50B51">
              <w:rPr>
                <w:rStyle w:val="Funotenzeichen"/>
                <w:rFonts w:eastAsiaTheme="majorEastAsia"/>
                <w:sz w:val="20"/>
                <w:szCs w:val="20"/>
              </w:rPr>
              <w:footnoteReference w:id="233"/>
            </w:r>
            <w:r w:rsidRPr="00E50B51">
              <w:rPr>
                <w:sz w:val="20"/>
                <w:szCs w:val="20"/>
              </w:rPr>
              <w:t xml:space="preserve"> Aber auch diese Rechte</w:t>
            </w:r>
            <w:r>
              <w:rPr>
                <w:sz w:val="20"/>
                <w:szCs w:val="20"/>
              </w:rPr>
              <w:t xml:space="preserve"> – </w:t>
            </w:r>
            <w:r w:rsidRPr="00E50B51">
              <w:rPr>
                <w:sz w:val="20"/>
                <w:szCs w:val="20"/>
              </w:rPr>
              <w:t>wie auch Rechte geringerer Bedeutung</w:t>
            </w:r>
            <w:r>
              <w:rPr>
                <w:sz w:val="20"/>
                <w:szCs w:val="20"/>
              </w:rPr>
              <w:t> – könne</w:t>
            </w:r>
            <w:r w:rsidRPr="00E50B51">
              <w:rPr>
                <w:sz w:val="20"/>
                <w:szCs w:val="20"/>
              </w:rPr>
              <w:t xml:space="preserve"> der Staat besteuern. Die Grenze</w:t>
            </w:r>
            <w:r>
              <w:rPr>
                <w:sz w:val="20"/>
                <w:szCs w:val="20"/>
              </w:rPr>
              <w:t xml:space="preserve"> dafür</w:t>
            </w:r>
            <w:r w:rsidRPr="00E50B51">
              <w:rPr>
                <w:sz w:val="20"/>
                <w:szCs w:val="20"/>
              </w:rPr>
              <w:t xml:space="preserve"> beschreib</w:t>
            </w:r>
            <w:r>
              <w:rPr>
                <w:sz w:val="20"/>
                <w:szCs w:val="20"/>
              </w:rPr>
              <w:t>e</w:t>
            </w:r>
            <w:r w:rsidRPr="00E50B51">
              <w:rPr>
                <w:sz w:val="20"/>
                <w:szCs w:val="20"/>
              </w:rPr>
              <w:t xml:space="preserve"> </w:t>
            </w:r>
            <w:r>
              <w:rPr>
                <w:sz w:val="20"/>
                <w:szCs w:val="20"/>
              </w:rPr>
              <w:t>das</w:t>
            </w:r>
            <w:r w:rsidRPr="00E50B51">
              <w:rPr>
                <w:sz w:val="20"/>
                <w:szCs w:val="20"/>
              </w:rPr>
              <w:t xml:space="preserve"> Willkürverbot. Denn der Staat leg</w:t>
            </w:r>
            <w:r>
              <w:rPr>
                <w:sz w:val="20"/>
                <w:szCs w:val="20"/>
              </w:rPr>
              <w:t>e</w:t>
            </w:r>
            <w:r w:rsidRPr="00E50B51">
              <w:rPr>
                <w:sz w:val="20"/>
                <w:szCs w:val="20"/>
              </w:rPr>
              <w:t xml:space="preserve"> in allen Rechtsbeziehungen eine Steuerlast auf („</w:t>
            </w:r>
            <w:proofErr w:type="spellStart"/>
            <w:r w:rsidRPr="00E50B51">
              <w:rPr>
                <w:sz w:val="20"/>
                <w:szCs w:val="20"/>
              </w:rPr>
              <w:t>classification</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not </w:t>
            </w:r>
            <w:proofErr w:type="spellStart"/>
            <w:r w:rsidRPr="00E50B51">
              <w:rPr>
                <w:sz w:val="20"/>
                <w:szCs w:val="20"/>
              </w:rPr>
              <w:t>tyrannical</w:t>
            </w:r>
            <w:proofErr w:type="spellEnd"/>
            <w:r w:rsidRPr="00E50B51">
              <w:rPr>
                <w:sz w:val="20"/>
                <w:szCs w:val="20"/>
              </w:rPr>
              <w:t xml:space="preserve"> </w:t>
            </w:r>
            <w:proofErr w:type="spellStart"/>
            <w:r w:rsidRPr="00E50B51">
              <w:rPr>
                <w:sz w:val="20"/>
                <w:szCs w:val="20"/>
              </w:rPr>
              <w:t>or</w:t>
            </w:r>
            <w:proofErr w:type="spellEnd"/>
            <w:r w:rsidRPr="00E50B51">
              <w:rPr>
                <w:sz w:val="20"/>
                <w:szCs w:val="20"/>
              </w:rPr>
              <w:t xml:space="preserve"> </w:t>
            </w:r>
            <w:proofErr w:type="spellStart"/>
            <w:r w:rsidRPr="00E50B51">
              <w:rPr>
                <w:sz w:val="20"/>
                <w:szCs w:val="20"/>
              </w:rPr>
              <w:t>arbitrary</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34"/>
            </w:r>
            <w:r w:rsidRPr="00E50B51">
              <w:rPr>
                <w:sz w:val="20"/>
                <w:szCs w:val="20"/>
                <w:lang w:val="en-US"/>
              </w:rPr>
              <w:t xml:space="preserve">). </w:t>
            </w:r>
            <w:proofErr w:type="spellStart"/>
            <w:r w:rsidRPr="00E50B51">
              <w:rPr>
                <w:sz w:val="20"/>
                <w:szCs w:val="20"/>
                <w:lang w:val="en-US"/>
              </w:rPr>
              <w:t>Darunter</w:t>
            </w:r>
            <w:proofErr w:type="spellEnd"/>
            <w:r w:rsidRPr="00E50B51">
              <w:rPr>
                <w:sz w:val="20"/>
                <w:szCs w:val="20"/>
                <w:lang w:val="en-US"/>
              </w:rPr>
              <w:t xml:space="preserve"> </w:t>
            </w:r>
            <w:proofErr w:type="spellStart"/>
            <w:r w:rsidRPr="00E50B51">
              <w:rPr>
                <w:sz w:val="20"/>
                <w:szCs w:val="20"/>
                <w:lang w:val="en-US"/>
              </w:rPr>
              <w:t>falle</w:t>
            </w:r>
            <w:proofErr w:type="spellEnd"/>
            <w:r w:rsidRPr="00E50B51">
              <w:rPr>
                <w:sz w:val="20"/>
                <w:szCs w:val="20"/>
                <w:lang w:val="en-US"/>
              </w:rPr>
              <w:t xml:space="preserve"> </w:t>
            </w:r>
            <w:proofErr w:type="spellStart"/>
            <w:r w:rsidRPr="00E50B51">
              <w:rPr>
                <w:sz w:val="20"/>
                <w:szCs w:val="20"/>
                <w:lang w:val="en-US"/>
              </w:rPr>
              <w:t>Eigentum</w:t>
            </w:r>
            <w:proofErr w:type="spellEnd"/>
            <w:r w:rsidRPr="00E50B51">
              <w:rPr>
                <w:sz w:val="20"/>
                <w:szCs w:val="20"/>
                <w:lang w:val="en-US"/>
              </w:rPr>
              <w:t xml:space="preserve">, </w:t>
            </w:r>
            <w:proofErr w:type="spellStart"/>
            <w:r w:rsidRPr="00E50B51">
              <w:rPr>
                <w:sz w:val="20"/>
                <w:szCs w:val="20"/>
                <w:lang w:val="en-US"/>
              </w:rPr>
              <w:t>Unternehmen</w:t>
            </w:r>
            <w:proofErr w:type="spellEnd"/>
            <w:r w:rsidRPr="00E50B51">
              <w:rPr>
                <w:sz w:val="20"/>
                <w:szCs w:val="20"/>
                <w:lang w:val="en-US"/>
              </w:rPr>
              <w:t xml:space="preserve"> („Business is as legitimate an object of the taxing powers as </w:t>
            </w:r>
            <w:proofErr w:type="gramStart"/>
            <w:r w:rsidRPr="00E50B51">
              <w:rPr>
                <w:sz w:val="20"/>
                <w:szCs w:val="20"/>
                <w:lang w:val="en-US"/>
              </w:rPr>
              <w:t>property“</w:t>
            </w:r>
            <w:proofErr w:type="gramEnd"/>
            <w:r w:rsidRPr="00E50B51">
              <w:rPr>
                <w:rStyle w:val="Funotenzeichen"/>
                <w:rFonts w:eastAsiaTheme="majorEastAsia"/>
                <w:sz w:val="20"/>
                <w:szCs w:val="20"/>
              </w:rPr>
              <w:footnoteReference w:id="235"/>
            </w:r>
            <w:r w:rsidRPr="00E50B51">
              <w:rPr>
                <w:sz w:val="20"/>
                <w:szCs w:val="20"/>
                <w:lang w:val="en-US"/>
              </w:rPr>
              <w:t xml:space="preserve">) </w:t>
            </w:r>
            <w:proofErr w:type="spellStart"/>
            <w:r w:rsidRPr="00E50B51">
              <w:rPr>
                <w:sz w:val="20"/>
                <w:szCs w:val="20"/>
                <w:lang w:val="en-US"/>
              </w:rPr>
              <w:t>oder</w:t>
            </w:r>
            <w:proofErr w:type="spellEnd"/>
            <w:r>
              <w:rPr>
                <w:sz w:val="20"/>
                <w:szCs w:val="20"/>
                <w:lang w:val="en-US"/>
              </w:rPr>
              <w:t>,</w:t>
            </w:r>
            <w:r w:rsidRPr="00E50B51">
              <w:rPr>
                <w:sz w:val="20"/>
                <w:szCs w:val="20"/>
                <w:lang w:val="en-US"/>
              </w:rPr>
              <w:t xml:space="preserve"> </w:t>
            </w:r>
            <w:proofErr w:type="spellStart"/>
            <w:r w:rsidRPr="00E50B51">
              <w:rPr>
                <w:sz w:val="20"/>
                <w:szCs w:val="20"/>
                <w:lang w:val="en-US"/>
              </w:rPr>
              <w:t>als</w:t>
            </w:r>
            <w:proofErr w:type="spellEnd"/>
            <w:r w:rsidRPr="00E50B51">
              <w:rPr>
                <w:sz w:val="20"/>
                <w:szCs w:val="20"/>
                <w:lang w:val="en-US"/>
              </w:rPr>
              <w:t xml:space="preserve"> Teil </w:t>
            </w:r>
            <w:proofErr w:type="spellStart"/>
            <w:r w:rsidRPr="00E50B51">
              <w:rPr>
                <w:sz w:val="20"/>
                <w:szCs w:val="20"/>
                <w:lang w:val="en-US"/>
              </w:rPr>
              <w:t>davon</w:t>
            </w:r>
            <w:proofErr w:type="spellEnd"/>
            <w:r>
              <w:rPr>
                <w:sz w:val="20"/>
                <w:szCs w:val="20"/>
                <w:lang w:val="en-US"/>
              </w:rPr>
              <w:t>,</w:t>
            </w:r>
            <w:r w:rsidRPr="00E50B51">
              <w:rPr>
                <w:sz w:val="20"/>
                <w:szCs w:val="20"/>
                <w:lang w:val="en-US"/>
              </w:rPr>
              <w:t xml:space="preserve"> </w:t>
            </w:r>
            <w:proofErr w:type="spellStart"/>
            <w:r w:rsidRPr="00E50B51">
              <w:rPr>
                <w:sz w:val="20"/>
                <w:szCs w:val="20"/>
                <w:lang w:val="en-US"/>
              </w:rPr>
              <w:t>auch</w:t>
            </w:r>
            <w:proofErr w:type="spellEnd"/>
            <w:r w:rsidRPr="00E50B51">
              <w:rPr>
                <w:sz w:val="20"/>
                <w:szCs w:val="20"/>
                <w:lang w:val="en-US"/>
              </w:rPr>
              <w:t xml:space="preserve"> </w:t>
            </w:r>
            <w:proofErr w:type="spellStart"/>
            <w:r w:rsidRPr="00E50B51">
              <w:rPr>
                <w:sz w:val="20"/>
                <w:szCs w:val="20"/>
                <w:lang w:val="en-US"/>
              </w:rPr>
              <w:t>Arbeitsverhältnisse</w:t>
            </w:r>
            <w:proofErr w:type="spellEnd"/>
            <w:r w:rsidRPr="00E50B51">
              <w:rPr>
                <w:sz w:val="20"/>
                <w:szCs w:val="20"/>
                <w:lang w:val="en-US"/>
              </w:rPr>
              <w:t xml:space="preserve"> – </w:t>
            </w:r>
            <w:proofErr w:type="spellStart"/>
            <w:r w:rsidRPr="00E50B51">
              <w:rPr>
                <w:sz w:val="20"/>
                <w:szCs w:val="20"/>
                <w:lang w:val="en-US"/>
              </w:rPr>
              <w:t>solange</w:t>
            </w:r>
            <w:proofErr w:type="spellEnd"/>
            <w:r w:rsidRPr="00E50B51">
              <w:rPr>
                <w:sz w:val="20"/>
                <w:szCs w:val="20"/>
                <w:lang w:val="en-US"/>
              </w:rPr>
              <w:t xml:space="preserve"> </w:t>
            </w:r>
            <w:proofErr w:type="spellStart"/>
            <w:r w:rsidRPr="00E50B51">
              <w:rPr>
                <w:sz w:val="20"/>
                <w:szCs w:val="20"/>
                <w:lang w:val="en-US"/>
              </w:rPr>
              <w:t>sie</w:t>
            </w:r>
            <w:proofErr w:type="spellEnd"/>
            <w:r w:rsidRPr="00E50B51">
              <w:rPr>
                <w:sz w:val="20"/>
                <w:szCs w:val="20"/>
                <w:lang w:val="en-US"/>
              </w:rPr>
              <w:t xml:space="preserve"> </w:t>
            </w:r>
            <w:proofErr w:type="spellStart"/>
            <w:r w:rsidRPr="00E50B51">
              <w:rPr>
                <w:sz w:val="20"/>
                <w:szCs w:val="20"/>
                <w:lang w:val="en-US"/>
              </w:rPr>
              <w:t>gleich</w:t>
            </w:r>
            <w:proofErr w:type="spellEnd"/>
            <w:r w:rsidRPr="00E50B51">
              <w:rPr>
                <w:sz w:val="20"/>
                <w:szCs w:val="20"/>
                <w:lang w:val="en-US"/>
              </w:rPr>
              <w:t xml:space="preserve"> </w:t>
            </w:r>
            <w:proofErr w:type="spellStart"/>
            <w:r w:rsidRPr="00E50B51">
              <w:rPr>
                <w:sz w:val="20"/>
                <w:szCs w:val="20"/>
                <w:lang w:val="en-US"/>
              </w:rPr>
              <w:t>besteuert</w:t>
            </w:r>
            <w:proofErr w:type="spellEnd"/>
            <w:r w:rsidRPr="00E50B51">
              <w:rPr>
                <w:sz w:val="20"/>
                <w:szCs w:val="20"/>
                <w:lang w:val="en-US"/>
              </w:rPr>
              <w:t xml:space="preserve"> </w:t>
            </w:r>
            <w:proofErr w:type="spellStart"/>
            <w:r>
              <w:rPr>
                <w:sz w:val="20"/>
                <w:szCs w:val="20"/>
                <w:lang w:val="en-US"/>
              </w:rPr>
              <w:t>seien</w:t>
            </w:r>
            <w:proofErr w:type="spellEnd"/>
            <w:r w:rsidRPr="00E50B51">
              <w:rPr>
                <w:sz w:val="20"/>
                <w:szCs w:val="20"/>
                <w:lang w:val="en-US"/>
              </w:rPr>
              <w:t xml:space="preserve"> („to tax them all collectively, or to separate the faggots and lay the charge </w:t>
            </w:r>
            <w:proofErr w:type="spellStart"/>
            <w:proofErr w:type="gramStart"/>
            <w:r w:rsidRPr="00E50B51">
              <w:rPr>
                <w:sz w:val="20"/>
                <w:szCs w:val="20"/>
                <w:lang w:val="en-US"/>
              </w:rPr>
              <w:t>distributively</w:t>
            </w:r>
            <w:proofErr w:type="spellEnd"/>
            <w:r w:rsidRPr="00E50B51">
              <w:rPr>
                <w:sz w:val="20"/>
                <w:szCs w:val="20"/>
                <w:lang w:val="en-US"/>
              </w:rPr>
              <w:t>“</w:t>
            </w:r>
            <w:proofErr w:type="gramEnd"/>
            <w:r w:rsidRPr="00E50B51">
              <w:rPr>
                <w:rStyle w:val="Funotenzeichen"/>
                <w:rFonts w:eastAsiaTheme="majorEastAsia"/>
                <w:sz w:val="20"/>
                <w:szCs w:val="20"/>
                <w:lang w:val="en-US"/>
              </w:rPr>
              <w:footnoteReference w:id="236"/>
            </w:r>
            <w:r w:rsidRPr="00B45592">
              <w:rPr>
                <w:sz w:val="20"/>
                <w:szCs w:val="20"/>
                <w:lang w:val="en-IE"/>
              </w:rPr>
              <w:t xml:space="preserve">). </w:t>
            </w:r>
            <w:r w:rsidRPr="00E50B51">
              <w:rPr>
                <w:sz w:val="20"/>
                <w:szCs w:val="20"/>
              </w:rPr>
              <w:t xml:space="preserve">Der Regelungsgehalt dafür findet sich in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E50B51">
              <w:rPr>
                <w:rStyle w:val="Funotenzeichen"/>
                <w:rFonts w:eastAsiaTheme="majorEastAsia"/>
                <w:sz w:val="20"/>
                <w:szCs w:val="20"/>
              </w:rPr>
              <w:footnoteReference w:id="237"/>
            </w:r>
          </w:p>
          <w:p w14:paraId="7222614C" w14:textId="77777777" w:rsidR="00074551" w:rsidRPr="00E50B51" w:rsidRDefault="00074551" w:rsidP="00367133">
            <w:pPr>
              <w:jc w:val="both"/>
              <w:rPr>
                <w:sz w:val="20"/>
                <w:szCs w:val="20"/>
              </w:rPr>
            </w:pPr>
          </w:p>
        </w:tc>
      </w:tr>
      <w:tr w:rsidR="00074551" w:rsidRPr="004F6665" w14:paraId="75602F0E" w14:textId="77777777" w:rsidTr="00BE689F">
        <w:trPr>
          <w:cantSplit/>
          <w:trHeight w:val="3175"/>
        </w:trPr>
        <w:tc>
          <w:tcPr>
            <w:tcW w:w="293" w:type="pct"/>
          </w:tcPr>
          <w:p w14:paraId="6F551D4F"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F52400F" w14:textId="77777777" w:rsidR="00074551" w:rsidRPr="00E50B51" w:rsidRDefault="00074551" w:rsidP="00367133">
            <w:pPr>
              <w:ind w:left="113" w:right="113"/>
              <w:jc w:val="both"/>
              <w:rPr>
                <w:sz w:val="20"/>
                <w:szCs w:val="20"/>
                <w:lang w:val="en-US"/>
              </w:rPr>
            </w:pPr>
            <w:r w:rsidRPr="001F38CE">
              <w:rPr>
                <w:i/>
                <w:sz w:val="20"/>
                <w:szCs w:val="20"/>
              </w:rPr>
              <w:t xml:space="preserve">Fullilove v. </w:t>
            </w:r>
            <w:proofErr w:type="spellStart"/>
            <w:r w:rsidRPr="001F38CE">
              <w:rPr>
                <w:i/>
                <w:sz w:val="20"/>
                <w:szCs w:val="20"/>
              </w:rPr>
              <w:t>Klutznick</w:t>
            </w:r>
            <w:proofErr w:type="spellEnd"/>
          </w:p>
        </w:tc>
        <w:tc>
          <w:tcPr>
            <w:tcW w:w="197" w:type="pct"/>
            <w:textDirection w:val="tbRl"/>
            <w:vAlign w:val="center"/>
          </w:tcPr>
          <w:p w14:paraId="0170498F" w14:textId="77777777" w:rsidR="00074551" w:rsidRPr="00E50B51" w:rsidRDefault="00074551" w:rsidP="00367133">
            <w:pPr>
              <w:ind w:left="113" w:right="113"/>
              <w:jc w:val="both"/>
              <w:rPr>
                <w:sz w:val="20"/>
                <w:szCs w:val="20"/>
                <w:lang w:val="en-US"/>
              </w:rPr>
            </w:pPr>
            <w:r w:rsidRPr="00E50B51">
              <w:rPr>
                <w:sz w:val="20"/>
                <w:szCs w:val="20"/>
                <w:lang w:val="en-US"/>
              </w:rPr>
              <w:t>448 U.S. 448</w:t>
            </w:r>
          </w:p>
        </w:tc>
        <w:tc>
          <w:tcPr>
            <w:tcW w:w="306" w:type="pct"/>
            <w:textDirection w:val="tbRl"/>
            <w:vAlign w:val="center"/>
          </w:tcPr>
          <w:p w14:paraId="4BC298B6" w14:textId="77777777" w:rsidR="00074551" w:rsidRPr="00E50B51" w:rsidRDefault="00074551" w:rsidP="00367133">
            <w:pPr>
              <w:ind w:left="113" w:right="113"/>
              <w:jc w:val="both"/>
              <w:rPr>
                <w:sz w:val="20"/>
                <w:szCs w:val="20"/>
                <w:lang w:val="en-US"/>
              </w:rPr>
            </w:pPr>
            <w:r w:rsidRPr="00E50B51">
              <w:rPr>
                <w:sz w:val="20"/>
                <w:szCs w:val="20"/>
                <w:lang w:val="en-US"/>
              </w:rPr>
              <w:t>2. Juli 1980</w:t>
            </w:r>
          </w:p>
        </w:tc>
        <w:tc>
          <w:tcPr>
            <w:tcW w:w="401" w:type="pct"/>
          </w:tcPr>
          <w:p w14:paraId="03696CF1" w14:textId="77777777" w:rsidR="00074551" w:rsidRPr="00E50B51" w:rsidRDefault="00074551" w:rsidP="00367133">
            <w:pPr>
              <w:jc w:val="center"/>
              <w:rPr>
                <w:sz w:val="20"/>
                <w:szCs w:val="20"/>
                <w:lang w:val="en-US"/>
              </w:rPr>
            </w:pPr>
            <w:r w:rsidRPr="00E50B51">
              <w:rPr>
                <w:sz w:val="20"/>
                <w:szCs w:val="20"/>
              </w:rPr>
              <w:t>D</w:t>
            </w:r>
          </w:p>
        </w:tc>
        <w:tc>
          <w:tcPr>
            <w:tcW w:w="1594" w:type="pct"/>
          </w:tcPr>
          <w:p w14:paraId="7E850AED" w14:textId="77777777" w:rsidR="00074551" w:rsidRPr="00E50B51" w:rsidRDefault="00074551" w:rsidP="00367133">
            <w:pPr>
              <w:jc w:val="both"/>
              <w:rPr>
                <w:sz w:val="20"/>
                <w:szCs w:val="20"/>
              </w:rPr>
            </w:pPr>
            <w:r w:rsidRPr="00E50B51">
              <w:rPr>
                <w:sz w:val="20"/>
                <w:szCs w:val="20"/>
                <w:lang w:val="en-US"/>
              </w:rPr>
              <w:t>*</w:t>
            </w:r>
          </w:p>
        </w:tc>
        <w:tc>
          <w:tcPr>
            <w:tcW w:w="1822" w:type="pct"/>
          </w:tcPr>
          <w:p w14:paraId="51011AD6" w14:textId="1F8F39E7" w:rsidR="00074551" w:rsidRDefault="00074551" w:rsidP="00367133">
            <w:pPr>
              <w:jc w:val="both"/>
              <w:rPr>
                <w:sz w:val="20"/>
                <w:szCs w:val="20"/>
                <w:lang w:val="en-US"/>
              </w:rPr>
            </w:pPr>
            <w:r w:rsidRPr="00650A2B">
              <w:rPr>
                <w:sz w:val="20"/>
                <w:szCs w:val="20"/>
              </w:rPr>
              <w:t xml:space="preserve">Um die Aufgaben und die Befugnisse des Kongresses und dessen Grenzen zu erschließen, müssen Gerichte </w:t>
            </w:r>
            <w:r>
              <w:rPr>
                <w:sz w:val="20"/>
                <w:szCs w:val="20"/>
              </w:rPr>
              <w:t>zunächst</w:t>
            </w:r>
            <w:r w:rsidRPr="00650A2B">
              <w:rPr>
                <w:sz w:val="20"/>
                <w:szCs w:val="20"/>
              </w:rPr>
              <w:t xml:space="preserve"> prüfen, ob die Ziele eines Gesetzes in der Zuständigkeit des Kongresses liegen, z.B. die Ausgabenzuständigkeit nach </w:t>
            </w:r>
            <w:r w:rsidR="00023A37">
              <w:rPr>
                <w:sz w:val="20"/>
                <w:szCs w:val="20"/>
              </w:rPr>
              <w:t xml:space="preserve">U.S. </w:t>
            </w:r>
            <w:proofErr w:type="spellStart"/>
            <w:r w:rsidR="00023A37">
              <w:rPr>
                <w:sz w:val="20"/>
                <w:szCs w:val="20"/>
              </w:rPr>
              <w:t>Const</w:t>
            </w:r>
            <w:proofErr w:type="spellEnd"/>
            <w:r w:rsidR="00023A37">
              <w:rPr>
                <w:sz w:val="20"/>
                <w:szCs w:val="20"/>
              </w:rPr>
              <w:t>. art. I, § 8, cl. 1</w:t>
            </w:r>
            <w:r w:rsidRPr="00B45592">
              <w:rPr>
                <w:sz w:val="20"/>
                <w:szCs w:val="20"/>
              </w:rPr>
              <w:t>, die dem Allgemeinwohl („</w:t>
            </w:r>
            <w:proofErr w:type="spellStart"/>
            <w:r w:rsidRPr="00B45592">
              <w:rPr>
                <w:sz w:val="20"/>
                <w:szCs w:val="20"/>
              </w:rPr>
              <w:t>general</w:t>
            </w:r>
            <w:proofErr w:type="spellEnd"/>
            <w:r>
              <w:rPr>
                <w:sz w:val="20"/>
                <w:szCs w:val="20"/>
              </w:rPr>
              <w:t> </w:t>
            </w:r>
            <w:proofErr w:type="spellStart"/>
            <w:r w:rsidRPr="00B45592">
              <w:rPr>
                <w:sz w:val="20"/>
                <w:szCs w:val="20"/>
              </w:rPr>
              <w:t>welfare</w:t>
            </w:r>
            <w:proofErr w:type="spellEnd"/>
            <w:r w:rsidRPr="00B45592">
              <w:rPr>
                <w:sz w:val="20"/>
                <w:szCs w:val="20"/>
              </w:rPr>
              <w:t>“</w:t>
            </w:r>
            <w:r w:rsidRPr="00650A2B">
              <w:rPr>
                <w:sz w:val="20"/>
                <w:szCs w:val="20"/>
                <w:vertAlign w:val="superscript"/>
              </w:rPr>
              <w:footnoteReference w:id="238"/>
            </w:r>
            <w:r w:rsidRPr="00B45592">
              <w:rPr>
                <w:sz w:val="20"/>
                <w:szCs w:val="20"/>
              </w:rPr>
              <w:t xml:space="preserve">) dienen muss. </w:t>
            </w:r>
            <w:r w:rsidRPr="00650A2B">
              <w:rPr>
                <w:sz w:val="20"/>
                <w:szCs w:val="20"/>
                <w:lang w:val="en-US"/>
              </w:rPr>
              <w:t xml:space="preserve">Laut </w:t>
            </w:r>
            <w:r>
              <w:rPr>
                <w:sz w:val="20"/>
                <w:szCs w:val="20"/>
                <w:lang w:val="en-US"/>
              </w:rPr>
              <w:t>U.S. Supreme Court</w:t>
            </w:r>
            <w:r w:rsidRPr="00650A2B">
              <w:rPr>
                <w:sz w:val="20"/>
                <w:szCs w:val="20"/>
                <w:lang w:val="en-US"/>
              </w:rPr>
              <w:t xml:space="preserve"> </w:t>
            </w:r>
            <w:proofErr w:type="spellStart"/>
            <w:r w:rsidRPr="00650A2B">
              <w:rPr>
                <w:sz w:val="20"/>
                <w:szCs w:val="20"/>
                <w:lang w:val="en-US"/>
              </w:rPr>
              <w:t>stelle</w:t>
            </w:r>
            <w:proofErr w:type="spellEnd"/>
            <w:r w:rsidRPr="00650A2B">
              <w:rPr>
                <w:sz w:val="20"/>
                <w:szCs w:val="20"/>
                <w:lang w:val="en-US"/>
              </w:rPr>
              <w:t xml:space="preserve"> dieses </w:t>
            </w:r>
            <w:proofErr w:type="spellStart"/>
            <w:r w:rsidRPr="00650A2B">
              <w:rPr>
                <w:sz w:val="20"/>
                <w:szCs w:val="20"/>
                <w:lang w:val="en-US"/>
              </w:rPr>
              <w:t>Allgemeinwohl</w:t>
            </w:r>
            <w:proofErr w:type="spellEnd"/>
            <w:r w:rsidRPr="00650A2B">
              <w:rPr>
                <w:sz w:val="20"/>
                <w:szCs w:val="20"/>
                <w:lang w:val="en-US"/>
              </w:rPr>
              <w:t xml:space="preserve"> die </w:t>
            </w:r>
            <w:proofErr w:type="spellStart"/>
            <w:r w:rsidRPr="00650A2B">
              <w:rPr>
                <w:sz w:val="20"/>
                <w:szCs w:val="20"/>
                <w:lang w:val="en-US"/>
              </w:rPr>
              <w:t>öffentliche</w:t>
            </w:r>
            <w:proofErr w:type="spellEnd"/>
            <w:r w:rsidRPr="00650A2B">
              <w:rPr>
                <w:sz w:val="20"/>
                <w:szCs w:val="20"/>
                <w:lang w:val="en-US"/>
              </w:rPr>
              <w:t xml:space="preserve"> </w:t>
            </w:r>
            <w:proofErr w:type="spellStart"/>
            <w:r w:rsidRPr="00650A2B">
              <w:rPr>
                <w:sz w:val="20"/>
                <w:szCs w:val="20"/>
                <w:lang w:val="en-US"/>
              </w:rPr>
              <w:t>Seite</w:t>
            </w:r>
            <w:proofErr w:type="spellEnd"/>
            <w:r w:rsidRPr="00650A2B">
              <w:rPr>
                <w:sz w:val="20"/>
                <w:szCs w:val="20"/>
                <w:lang w:val="en-US"/>
              </w:rPr>
              <w:t xml:space="preserve"> des </w:t>
            </w:r>
            <w:proofErr w:type="spellStart"/>
            <w:r w:rsidRPr="00650A2B">
              <w:rPr>
                <w:sz w:val="20"/>
                <w:szCs w:val="20"/>
                <w:lang w:val="en-US"/>
              </w:rPr>
              <w:t>Strebens</w:t>
            </w:r>
            <w:proofErr w:type="spellEnd"/>
            <w:r w:rsidRPr="00650A2B">
              <w:rPr>
                <w:sz w:val="20"/>
                <w:szCs w:val="20"/>
                <w:lang w:val="en-US"/>
              </w:rPr>
              <w:t xml:space="preserve"> </w:t>
            </w:r>
            <w:proofErr w:type="spellStart"/>
            <w:r w:rsidRPr="00650A2B">
              <w:rPr>
                <w:sz w:val="20"/>
                <w:szCs w:val="20"/>
                <w:lang w:val="en-US"/>
              </w:rPr>
              <w:t>nach</w:t>
            </w:r>
            <w:proofErr w:type="spellEnd"/>
            <w:r w:rsidRPr="00650A2B">
              <w:rPr>
                <w:sz w:val="20"/>
                <w:szCs w:val="20"/>
                <w:lang w:val="en-US"/>
              </w:rPr>
              <w:t xml:space="preserve"> Glück </w:t>
            </w:r>
            <w:proofErr w:type="spellStart"/>
            <w:r w:rsidRPr="00650A2B">
              <w:rPr>
                <w:sz w:val="20"/>
                <w:szCs w:val="20"/>
                <w:lang w:val="en-US"/>
              </w:rPr>
              <w:t>dar</w:t>
            </w:r>
            <w:proofErr w:type="spellEnd"/>
            <w:r w:rsidRPr="00650A2B">
              <w:rPr>
                <w:sz w:val="20"/>
                <w:szCs w:val="20"/>
                <w:lang w:val="en-US"/>
              </w:rPr>
              <w:t xml:space="preserve"> („can serve the public welfare or add substantially to the security of life, liberty or the pursuit of </w:t>
            </w:r>
            <w:proofErr w:type="gramStart"/>
            <w:r w:rsidRPr="00650A2B">
              <w:rPr>
                <w:sz w:val="20"/>
                <w:szCs w:val="20"/>
                <w:lang w:val="en-US"/>
              </w:rPr>
              <w:t>happiness“</w:t>
            </w:r>
            <w:proofErr w:type="gramEnd"/>
            <w:r w:rsidRPr="00650A2B">
              <w:rPr>
                <w:sz w:val="20"/>
                <w:szCs w:val="20"/>
                <w:vertAlign w:val="superscript"/>
                <w:lang w:val="en-US"/>
              </w:rPr>
              <w:footnoteReference w:id="239"/>
            </w:r>
            <w:r w:rsidRPr="00650A2B">
              <w:rPr>
                <w:sz w:val="20"/>
                <w:szCs w:val="20"/>
                <w:lang w:val="en-US"/>
              </w:rPr>
              <w:t>;</w:t>
            </w:r>
            <w:r>
              <w:rPr>
                <w:sz w:val="20"/>
                <w:szCs w:val="20"/>
                <w:lang w:val="en-US"/>
              </w:rPr>
              <w:t xml:space="preserve"> „</w:t>
            </w:r>
            <w:r w:rsidRPr="00650A2B">
              <w:rPr>
                <w:sz w:val="20"/>
                <w:szCs w:val="20"/>
                <w:lang w:val="en-US"/>
              </w:rPr>
              <w:t>the State may exercise its […] power […] to promote the wealth […] and happiness</w:t>
            </w:r>
            <w:r>
              <w:rPr>
                <w:sz w:val="20"/>
                <w:szCs w:val="20"/>
                <w:lang w:val="en-US"/>
              </w:rPr>
              <w:t> –</w:t>
            </w:r>
            <w:r w:rsidRPr="00650A2B">
              <w:rPr>
                <w:sz w:val="20"/>
                <w:szCs w:val="20"/>
                <w:lang w:val="en-US"/>
              </w:rPr>
              <w:t xml:space="preserve"> in short, the general </w:t>
            </w:r>
            <w:proofErr w:type="gramStart"/>
            <w:r w:rsidRPr="00650A2B">
              <w:rPr>
                <w:sz w:val="20"/>
                <w:szCs w:val="20"/>
                <w:lang w:val="en-US"/>
              </w:rPr>
              <w:t>welfare“</w:t>
            </w:r>
            <w:proofErr w:type="gramEnd"/>
            <w:r w:rsidRPr="00650A2B">
              <w:rPr>
                <w:sz w:val="20"/>
                <w:szCs w:val="20"/>
                <w:vertAlign w:val="superscript"/>
                <w:lang w:val="en-US"/>
              </w:rPr>
              <w:footnoteReference w:id="240"/>
            </w:r>
            <w:r w:rsidRPr="00B45592">
              <w:rPr>
                <w:sz w:val="20"/>
                <w:szCs w:val="20"/>
                <w:lang w:val="en-IE"/>
              </w:rPr>
              <w:t xml:space="preserve">). </w:t>
            </w:r>
            <w:r w:rsidRPr="00650A2B">
              <w:rPr>
                <w:sz w:val="20"/>
                <w:szCs w:val="20"/>
              </w:rPr>
              <w:t>Für den Fall, dass ein Gericht d</w:t>
            </w:r>
            <w:r>
              <w:rPr>
                <w:sz w:val="20"/>
                <w:szCs w:val="20"/>
              </w:rPr>
              <w:t>iesen</w:t>
            </w:r>
            <w:r w:rsidRPr="00650A2B">
              <w:rPr>
                <w:sz w:val="20"/>
                <w:szCs w:val="20"/>
              </w:rPr>
              <w:t xml:space="preserve"> ersten Prüfungsschritt bejaht, </w:t>
            </w:r>
            <w:r>
              <w:rPr>
                <w:sz w:val="20"/>
                <w:szCs w:val="20"/>
              </w:rPr>
              <w:t>müsse</w:t>
            </w:r>
            <w:r w:rsidRPr="00650A2B">
              <w:rPr>
                <w:sz w:val="20"/>
                <w:szCs w:val="20"/>
              </w:rPr>
              <w:t xml:space="preserve"> es sich dem zweiten zuwenden und entscheiden: Ob z.B. umgrenzt </w:t>
            </w:r>
            <w:r>
              <w:rPr>
                <w:sz w:val="20"/>
                <w:szCs w:val="20"/>
              </w:rPr>
              <w:t>angewendete</w:t>
            </w:r>
            <w:r w:rsidRPr="00650A2B">
              <w:rPr>
                <w:sz w:val="20"/>
                <w:szCs w:val="20"/>
              </w:rPr>
              <w:t xml:space="preserve"> rassische und ethnische Kriterien im Einzelfall ein verfassungsrechtlich zulässiges Mittel sein könn</w:t>
            </w:r>
            <w:r>
              <w:rPr>
                <w:sz w:val="20"/>
                <w:szCs w:val="20"/>
              </w:rPr>
              <w:t>t</w:t>
            </w:r>
            <w:r w:rsidRPr="00650A2B">
              <w:rPr>
                <w:sz w:val="20"/>
                <w:szCs w:val="20"/>
              </w:rPr>
              <w:t>en, damit de</w:t>
            </w:r>
            <w:r>
              <w:rPr>
                <w:sz w:val="20"/>
                <w:szCs w:val="20"/>
              </w:rPr>
              <w:t>r</w:t>
            </w:r>
            <w:r w:rsidRPr="00650A2B">
              <w:rPr>
                <w:sz w:val="20"/>
                <w:szCs w:val="20"/>
              </w:rPr>
              <w:t xml:space="preserve"> Kongress das Gesetzesziel (z.B. das Allgemeinwohl) erreichen </w:t>
            </w:r>
            <w:r>
              <w:rPr>
                <w:sz w:val="20"/>
                <w:szCs w:val="20"/>
              </w:rPr>
              <w:t>könne</w:t>
            </w:r>
            <w:r w:rsidRPr="00650A2B">
              <w:rPr>
                <w:sz w:val="20"/>
                <w:szCs w:val="20"/>
              </w:rPr>
              <w:t xml:space="preserve"> und nicht zugleich gegen den Gleichheitssatz verstoße, der sich auch aus der Anforderung eines rechtsstaatlichen Verfahrens ableite. Der Gleichheitssatz des rechtsstaatlichen Verfahrens ergebe sich zudem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650A2B">
              <w:rPr>
                <w:sz w:val="20"/>
                <w:szCs w:val="20"/>
                <w:vertAlign w:val="superscript"/>
              </w:rPr>
              <w:footnoteReference w:id="241"/>
            </w:r>
            <w:r>
              <w:rPr>
                <w:sz w:val="20"/>
                <w:szCs w:val="20"/>
              </w:rPr>
              <w:t> </w:t>
            </w:r>
            <w:r w:rsidRPr="00650A2B">
              <w:rPr>
                <w:sz w:val="20"/>
                <w:szCs w:val="20"/>
              </w:rPr>
              <w:t xml:space="preserve">– und, so der Dissens, auch aus der </w:t>
            </w:r>
            <w:r w:rsidRPr="00A142D9">
              <w:rPr>
                <w:i/>
                <w:sz w:val="20"/>
                <w:szCs w:val="20"/>
              </w:rPr>
              <w:t>Declaration of Independence</w:t>
            </w:r>
            <w:r>
              <w:rPr>
                <w:i/>
                <w:sz w:val="20"/>
                <w:szCs w:val="20"/>
              </w:rPr>
              <w:t xml:space="preserve"> </w:t>
            </w:r>
            <w:proofErr w:type="spellStart"/>
            <w:r>
              <w:rPr>
                <w:sz w:val="20"/>
                <w:szCs w:val="20"/>
              </w:rPr>
              <w:t>para</w:t>
            </w:r>
            <w:proofErr w:type="spellEnd"/>
            <w:r>
              <w:rPr>
                <w:sz w:val="20"/>
                <w:szCs w:val="20"/>
              </w:rPr>
              <w:t>.</w:t>
            </w:r>
            <w:r w:rsidRPr="00650A2B">
              <w:rPr>
                <w:sz w:val="20"/>
                <w:szCs w:val="20"/>
              </w:rPr>
              <w:t xml:space="preserve"> 2. Denn dort heißt es</w:t>
            </w:r>
            <w:r>
              <w:rPr>
                <w:sz w:val="20"/>
                <w:szCs w:val="20"/>
              </w:rPr>
              <w:t>, d</w:t>
            </w:r>
            <w:r w:rsidRPr="00650A2B">
              <w:rPr>
                <w:sz w:val="20"/>
                <w:szCs w:val="20"/>
              </w:rPr>
              <w:t xml:space="preserve">ass alle Menschen gleich geschaffen seien und sie daher unveräußerliche Rechte </w:t>
            </w:r>
            <w:r>
              <w:rPr>
                <w:sz w:val="20"/>
                <w:szCs w:val="20"/>
              </w:rPr>
              <w:t>hätten</w:t>
            </w:r>
            <w:r w:rsidRPr="00650A2B">
              <w:rPr>
                <w:sz w:val="20"/>
                <w:szCs w:val="20"/>
              </w:rPr>
              <w:t>, darunter das Streben nach Glück („</w:t>
            </w:r>
            <w:proofErr w:type="spellStart"/>
            <w:r w:rsidRPr="00650A2B">
              <w:rPr>
                <w:sz w:val="20"/>
                <w:szCs w:val="20"/>
              </w:rPr>
              <w:t>citizens</w:t>
            </w:r>
            <w:proofErr w:type="spellEnd"/>
            <w:r w:rsidRPr="00650A2B">
              <w:rPr>
                <w:sz w:val="20"/>
                <w:szCs w:val="20"/>
              </w:rPr>
              <w:t xml:space="preserve"> as </w:t>
            </w:r>
            <w:proofErr w:type="spellStart"/>
            <w:r w:rsidRPr="00650A2B">
              <w:rPr>
                <w:sz w:val="20"/>
                <w:szCs w:val="20"/>
              </w:rPr>
              <w:t>having</w:t>
            </w:r>
            <w:proofErr w:type="spellEnd"/>
            <w:r w:rsidRPr="00650A2B">
              <w:rPr>
                <w:sz w:val="20"/>
                <w:szCs w:val="20"/>
              </w:rPr>
              <w:t xml:space="preserve"> </w:t>
            </w:r>
            <w:proofErr w:type="spellStart"/>
            <w:proofErr w:type="gramStart"/>
            <w:r w:rsidRPr="00650A2B">
              <w:rPr>
                <w:sz w:val="20"/>
                <w:szCs w:val="20"/>
              </w:rPr>
              <w:t>been</w:t>
            </w:r>
            <w:proofErr w:type="spellEnd"/>
            <w:r w:rsidRPr="00650A2B">
              <w:rPr>
                <w:sz w:val="20"/>
                <w:szCs w:val="20"/>
              </w:rPr>
              <w:t xml:space="preserve"> </w:t>
            </w:r>
            <w:r>
              <w:rPr>
                <w:sz w:val="20"/>
                <w:szCs w:val="20"/>
              </w:rPr>
              <w:t>,</w:t>
            </w:r>
            <w:r w:rsidRPr="00650A2B">
              <w:rPr>
                <w:sz w:val="20"/>
                <w:szCs w:val="20"/>
              </w:rPr>
              <w:t>created</w:t>
            </w:r>
            <w:proofErr w:type="gramEnd"/>
            <w:r w:rsidRPr="00650A2B">
              <w:rPr>
                <w:sz w:val="20"/>
                <w:szCs w:val="20"/>
              </w:rPr>
              <w:t xml:space="preserve"> </w:t>
            </w:r>
            <w:proofErr w:type="spellStart"/>
            <w:r w:rsidRPr="00650A2B">
              <w:rPr>
                <w:sz w:val="20"/>
                <w:szCs w:val="20"/>
              </w:rPr>
              <w:t>equal</w:t>
            </w:r>
            <w:proofErr w:type="spellEnd"/>
            <w:r>
              <w:rPr>
                <w:sz w:val="20"/>
                <w:szCs w:val="20"/>
              </w:rPr>
              <w:t>‘</w:t>
            </w:r>
            <w:r w:rsidRPr="00650A2B">
              <w:rPr>
                <w:sz w:val="20"/>
                <w:szCs w:val="20"/>
              </w:rPr>
              <w:t xml:space="preserve"> in the </w:t>
            </w:r>
            <w:proofErr w:type="spellStart"/>
            <w:r w:rsidRPr="00650A2B">
              <w:rPr>
                <w:sz w:val="20"/>
                <w:szCs w:val="20"/>
              </w:rPr>
              <w:t>eyes</w:t>
            </w:r>
            <w:proofErr w:type="spellEnd"/>
            <w:r w:rsidRPr="00650A2B">
              <w:rPr>
                <w:sz w:val="20"/>
                <w:szCs w:val="20"/>
              </w:rPr>
              <w:t xml:space="preserve"> of the </w:t>
            </w:r>
            <w:proofErr w:type="spellStart"/>
            <w:r w:rsidRPr="00650A2B">
              <w:rPr>
                <w:sz w:val="20"/>
                <w:szCs w:val="20"/>
              </w:rPr>
              <w:t>law</w:t>
            </w:r>
            <w:proofErr w:type="spellEnd"/>
            <w:r w:rsidRPr="00650A2B">
              <w:rPr>
                <w:sz w:val="20"/>
                <w:szCs w:val="20"/>
              </w:rPr>
              <w:t xml:space="preserve">. </w:t>
            </w:r>
            <w:r w:rsidRPr="00650A2B">
              <w:rPr>
                <w:sz w:val="20"/>
                <w:szCs w:val="20"/>
                <w:lang w:val="en-US"/>
              </w:rPr>
              <w:t>The Declaration of Independe</w:t>
            </w:r>
            <w:r>
              <w:rPr>
                <w:sz w:val="20"/>
                <w:szCs w:val="20"/>
                <w:lang w:val="en-US"/>
              </w:rPr>
              <w:t>nc</w:t>
            </w:r>
            <w:r w:rsidRPr="00650A2B">
              <w:rPr>
                <w:sz w:val="20"/>
                <w:szCs w:val="20"/>
                <w:lang w:val="en-US"/>
              </w:rPr>
              <w:t xml:space="preserve">e states: </w:t>
            </w:r>
            <w:proofErr w:type="gramStart"/>
            <w:r w:rsidRPr="00650A2B">
              <w:rPr>
                <w:sz w:val="20"/>
                <w:szCs w:val="20"/>
                <w:lang w:val="en-US"/>
              </w:rPr>
              <w:t>‚[</w:t>
            </w:r>
            <w:proofErr w:type="gramEnd"/>
            <w:r w:rsidRPr="00650A2B">
              <w:rPr>
                <w:sz w:val="20"/>
                <w:szCs w:val="20"/>
                <w:lang w:val="en-US"/>
              </w:rPr>
              <w:t xml:space="preserve">…] that all men are created equal, that they are endowed by their Creator with certain unalienable Rights, that among these are Life, Liberty and the pursuit of </w:t>
            </w:r>
            <w:proofErr w:type="gramStart"/>
            <w:r w:rsidRPr="00650A2B">
              <w:rPr>
                <w:sz w:val="20"/>
                <w:szCs w:val="20"/>
                <w:lang w:val="en-US"/>
              </w:rPr>
              <w:t>Happiness</w:t>
            </w:r>
            <w:r w:rsidRPr="00B45592">
              <w:rPr>
                <w:sz w:val="20"/>
                <w:szCs w:val="20"/>
                <w:lang w:val="en-IE"/>
              </w:rPr>
              <w:t>‘</w:t>
            </w:r>
            <w:proofErr w:type="gramEnd"/>
            <w:r w:rsidRPr="00650A2B">
              <w:rPr>
                <w:sz w:val="20"/>
                <w:szCs w:val="20"/>
                <w:lang w:val="en-US"/>
              </w:rPr>
              <w:t>“</w:t>
            </w:r>
            <w:r w:rsidRPr="00650A2B">
              <w:rPr>
                <w:sz w:val="20"/>
                <w:szCs w:val="20"/>
                <w:vertAlign w:val="superscript"/>
                <w:lang w:val="en-US"/>
              </w:rPr>
              <w:footnoteReference w:id="242"/>
            </w:r>
            <w:r w:rsidRPr="00650A2B">
              <w:rPr>
                <w:sz w:val="20"/>
                <w:szCs w:val="20"/>
                <w:lang w:val="en-US"/>
              </w:rPr>
              <w:t>).</w:t>
            </w:r>
          </w:p>
          <w:p w14:paraId="326F5D6F" w14:textId="77777777" w:rsidR="00074551" w:rsidRPr="00650A2B" w:rsidRDefault="00074551" w:rsidP="00367133">
            <w:pPr>
              <w:jc w:val="both"/>
              <w:rPr>
                <w:sz w:val="20"/>
                <w:szCs w:val="20"/>
                <w:lang w:val="en-US"/>
              </w:rPr>
            </w:pPr>
          </w:p>
        </w:tc>
      </w:tr>
      <w:tr w:rsidR="00074551" w:rsidRPr="00E50B51" w14:paraId="14DECFE1" w14:textId="77777777" w:rsidTr="00BE689F">
        <w:trPr>
          <w:cantSplit/>
          <w:trHeight w:val="3175"/>
        </w:trPr>
        <w:tc>
          <w:tcPr>
            <w:tcW w:w="293" w:type="pct"/>
          </w:tcPr>
          <w:p w14:paraId="05FA3416"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6AACD72D" w14:textId="77777777" w:rsidR="00074551" w:rsidRPr="00B45592" w:rsidRDefault="00074551" w:rsidP="00367133">
            <w:pPr>
              <w:ind w:left="113" w:right="113"/>
              <w:jc w:val="both"/>
              <w:rPr>
                <w:i/>
                <w:sz w:val="20"/>
                <w:szCs w:val="20"/>
                <w:lang w:val="en-US"/>
              </w:rPr>
            </w:pPr>
            <w:r w:rsidRPr="00B45592">
              <w:rPr>
                <w:i/>
                <w:sz w:val="20"/>
                <w:szCs w:val="20"/>
              </w:rPr>
              <w:t>Green v. Frazier</w:t>
            </w:r>
          </w:p>
        </w:tc>
        <w:tc>
          <w:tcPr>
            <w:tcW w:w="197" w:type="pct"/>
            <w:textDirection w:val="tbRl"/>
            <w:vAlign w:val="center"/>
          </w:tcPr>
          <w:p w14:paraId="03C7D97B" w14:textId="77777777" w:rsidR="00074551" w:rsidRPr="00E50B51" w:rsidRDefault="00074551" w:rsidP="00367133">
            <w:pPr>
              <w:ind w:left="113" w:right="113"/>
              <w:jc w:val="both"/>
              <w:rPr>
                <w:sz w:val="20"/>
                <w:szCs w:val="20"/>
                <w:lang w:val="en-US"/>
              </w:rPr>
            </w:pPr>
            <w:r w:rsidRPr="00BE3728">
              <w:rPr>
                <w:sz w:val="20"/>
                <w:szCs w:val="20"/>
              </w:rPr>
              <w:t>253 U.S. 233</w:t>
            </w:r>
          </w:p>
        </w:tc>
        <w:tc>
          <w:tcPr>
            <w:tcW w:w="306" w:type="pct"/>
            <w:textDirection w:val="tbRl"/>
            <w:vAlign w:val="center"/>
          </w:tcPr>
          <w:p w14:paraId="24EEE807" w14:textId="77777777" w:rsidR="00074551" w:rsidRPr="00E50B51" w:rsidRDefault="00074551" w:rsidP="00367133">
            <w:pPr>
              <w:ind w:left="113" w:right="113"/>
              <w:jc w:val="both"/>
              <w:rPr>
                <w:sz w:val="20"/>
                <w:szCs w:val="20"/>
                <w:lang w:val="en-US"/>
              </w:rPr>
            </w:pPr>
            <w:r w:rsidRPr="00BE3728">
              <w:rPr>
                <w:sz w:val="20"/>
                <w:szCs w:val="20"/>
              </w:rPr>
              <w:t>01. Juni 1920</w:t>
            </w:r>
          </w:p>
        </w:tc>
        <w:tc>
          <w:tcPr>
            <w:tcW w:w="401" w:type="pct"/>
          </w:tcPr>
          <w:p w14:paraId="7C480BB0"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72F55326" w14:textId="69F94639" w:rsidR="00074551" w:rsidRPr="0088728E" w:rsidRDefault="00074551" w:rsidP="00367133">
            <w:pPr>
              <w:jc w:val="both"/>
              <w:rPr>
                <w:sz w:val="20"/>
                <w:szCs w:val="20"/>
                <w:lang w:val="en-US"/>
              </w:rPr>
            </w:pPr>
            <w:r w:rsidRPr="00BE3728">
              <w:rPr>
                <w:sz w:val="20"/>
                <w:szCs w:val="20"/>
              </w:rPr>
              <w:t xml:space="preserve">Steuerzahler aus North Dakota klagten gegen </w:t>
            </w:r>
            <w:r>
              <w:rPr>
                <w:sz w:val="20"/>
                <w:szCs w:val="20"/>
              </w:rPr>
              <w:t xml:space="preserve">den </w:t>
            </w:r>
            <w:r w:rsidRPr="00BE3728">
              <w:rPr>
                <w:sz w:val="20"/>
                <w:szCs w:val="20"/>
              </w:rPr>
              <w:t>Bundesstaat, um die Anwendung bundesstaatlicher Steuergesetze</w:t>
            </w:r>
            <w:r w:rsidRPr="00BE3728">
              <w:rPr>
                <w:rStyle w:val="Funotenzeichen"/>
                <w:sz w:val="20"/>
                <w:szCs w:val="20"/>
              </w:rPr>
              <w:footnoteReference w:id="243"/>
            </w:r>
            <w:r w:rsidRPr="00BE3728">
              <w:rPr>
                <w:sz w:val="20"/>
                <w:szCs w:val="20"/>
              </w:rPr>
              <w:t xml:space="preserve"> zu unterbinden. Der </w:t>
            </w:r>
            <w:r w:rsidRPr="00B45592">
              <w:rPr>
                <w:i/>
                <w:sz w:val="20"/>
                <w:szCs w:val="20"/>
              </w:rPr>
              <w:t xml:space="preserve">Supreme Court of the State of North Dakota </w:t>
            </w:r>
            <w:r w:rsidRPr="00BE3728">
              <w:rPr>
                <w:sz w:val="20"/>
                <w:szCs w:val="20"/>
              </w:rPr>
              <w:t xml:space="preserve">befand die Gesetze für verfassungskonform. Die Kläger gingen in Berufung. Der </w:t>
            </w:r>
            <w:r>
              <w:rPr>
                <w:sz w:val="20"/>
                <w:szCs w:val="20"/>
              </w:rPr>
              <w:t>U.S. Supreme Court</w:t>
            </w:r>
            <w:r w:rsidRPr="00BE3728">
              <w:rPr>
                <w:sz w:val="20"/>
                <w:szCs w:val="20"/>
              </w:rPr>
              <w:t xml:space="preserve"> urteilte, dass bei einer Überprüfung der Steuerkompetenz eines Bundesstaates durch die Gerichte grundsätzlich von deren Rechtmäßigkeit ausgegangen </w:t>
            </w:r>
            <w:r>
              <w:rPr>
                <w:sz w:val="20"/>
                <w:szCs w:val="20"/>
              </w:rPr>
              <w:t>werde</w:t>
            </w:r>
            <w:r w:rsidRPr="00BE3728">
              <w:rPr>
                <w:sz w:val="20"/>
                <w:szCs w:val="20"/>
              </w:rPr>
              <w:t xml:space="preserve">. Nur eindeutiger Machtmissbrauch könne ein gerichtliches Eingreifen rechtfertigen. Laut </w:t>
            </w:r>
            <w:r>
              <w:rPr>
                <w:sz w:val="20"/>
                <w:szCs w:val="20"/>
              </w:rPr>
              <w:t>U.S. Supreme Court</w:t>
            </w:r>
            <w:r w:rsidRPr="00BE3728">
              <w:rPr>
                <w:sz w:val="20"/>
                <w:szCs w:val="20"/>
              </w:rPr>
              <w:t xml:space="preserve"> erreiche die Besteuerung hier nicht das Niveau der Enteignung ohne rechtsstaatliches Verfahren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lang w:val="en-US"/>
              </w:rPr>
              <w:t xml:space="preserve"> Das </w:t>
            </w:r>
            <w:proofErr w:type="spellStart"/>
            <w:r w:rsidRPr="00BE3728">
              <w:rPr>
                <w:sz w:val="20"/>
                <w:szCs w:val="20"/>
                <w:lang w:val="en-US"/>
              </w:rPr>
              <w:t>Urteil</w:t>
            </w:r>
            <w:proofErr w:type="spellEnd"/>
            <w:r w:rsidRPr="00BE3728">
              <w:rPr>
                <w:sz w:val="20"/>
                <w:szCs w:val="20"/>
                <w:lang w:val="en-US"/>
              </w:rPr>
              <w:t xml:space="preserve"> des </w:t>
            </w:r>
            <w:r w:rsidRPr="00B45592">
              <w:rPr>
                <w:i/>
                <w:sz w:val="20"/>
                <w:szCs w:val="20"/>
                <w:lang w:val="en-US"/>
              </w:rPr>
              <w:t>Supreme Court of the State of North Dakota</w:t>
            </w:r>
            <w:r w:rsidRPr="00BE3728">
              <w:rPr>
                <w:sz w:val="20"/>
                <w:szCs w:val="20"/>
                <w:lang w:val="en-US"/>
              </w:rPr>
              <w:t xml:space="preserve"> </w:t>
            </w:r>
            <w:proofErr w:type="spellStart"/>
            <w:r w:rsidRPr="00BE3728">
              <w:rPr>
                <w:sz w:val="20"/>
                <w:szCs w:val="20"/>
                <w:lang w:val="en-US"/>
              </w:rPr>
              <w:t>wurde</w:t>
            </w:r>
            <w:proofErr w:type="spellEnd"/>
            <w:r w:rsidRPr="00BE3728">
              <w:rPr>
                <w:sz w:val="20"/>
                <w:szCs w:val="20"/>
                <w:lang w:val="en-US"/>
              </w:rPr>
              <w:t xml:space="preserve"> </w:t>
            </w:r>
            <w:proofErr w:type="spellStart"/>
            <w:r w:rsidRPr="00B45592">
              <w:rPr>
                <w:sz w:val="20"/>
                <w:szCs w:val="20"/>
                <w:lang w:val="en-US"/>
              </w:rPr>
              <w:t>bestätigt</w:t>
            </w:r>
            <w:proofErr w:type="spellEnd"/>
            <w:r w:rsidRPr="00B45592">
              <w:rPr>
                <w:sz w:val="20"/>
                <w:szCs w:val="20"/>
                <w:lang w:val="en-US"/>
              </w:rPr>
              <w:t>.</w:t>
            </w:r>
          </w:p>
        </w:tc>
        <w:tc>
          <w:tcPr>
            <w:tcW w:w="1822" w:type="pct"/>
          </w:tcPr>
          <w:p w14:paraId="4883CE84" w14:textId="77777777" w:rsidR="00074551" w:rsidRPr="00B45592" w:rsidRDefault="00074551" w:rsidP="00367133">
            <w:pPr>
              <w:jc w:val="both"/>
              <w:rPr>
                <w:i/>
                <w:sz w:val="20"/>
                <w:szCs w:val="20"/>
                <w:lang w:val="en-IE"/>
              </w:rPr>
            </w:pPr>
            <w:r w:rsidRPr="00B45592">
              <w:rPr>
                <w:i/>
                <w:sz w:val="20"/>
                <w:szCs w:val="20"/>
                <w:lang w:val="en-IE"/>
              </w:rPr>
              <w:t>LexisNexis-</w:t>
            </w:r>
            <w:proofErr w:type="spellStart"/>
            <w:r w:rsidRPr="00B45592">
              <w:rPr>
                <w:i/>
                <w:sz w:val="20"/>
                <w:szCs w:val="20"/>
                <w:lang w:val="en-IE"/>
              </w:rPr>
              <w:t>Klassifikation</w:t>
            </w:r>
            <w:proofErr w:type="spellEnd"/>
            <w:r w:rsidRPr="00B45592">
              <w:rPr>
                <w:i/>
                <w:sz w:val="20"/>
                <w:szCs w:val="20"/>
                <w:lang w:val="en-IE"/>
              </w:rPr>
              <w:t>: Governments › State &amp; Territorial Governments › Finance</w:t>
            </w:r>
          </w:p>
          <w:p w14:paraId="03968595" w14:textId="77777777" w:rsidR="00074551" w:rsidRPr="00B45592" w:rsidRDefault="00074551" w:rsidP="00367133">
            <w:pPr>
              <w:jc w:val="both"/>
              <w:rPr>
                <w:sz w:val="20"/>
                <w:szCs w:val="20"/>
                <w:lang w:val="en-IE"/>
              </w:rPr>
            </w:pPr>
          </w:p>
          <w:p w14:paraId="408F609F" w14:textId="77777777" w:rsidR="00074551" w:rsidRPr="00BE3728" w:rsidRDefault="00074551" w:rsidP="00367133">
            <w:pPr>
              <w:jc w:val="both"/>
              <w:rPr>
                <w:sz w:val="20"/>
                <w:szCs w:val="20"/>
              </w:rPr>
            </w:pPr>
            <w:r w:rsidRPr="00BE3728">
              <w:rPr>
                <w:sz w:val="20"/>
                <w:szCs w:val="20"/>
              </w:rPr>
              <w:t xml:space="preserve">Die absoluten Notwendigkeiten, um Regierungshandeln zu sichern, </w:t>
            </w:r>
            <w:r>
              <w:rPr>
                <w:sz w:val="20"/>
                <w:szCs w:val="20"/>
              </w:rPr>
              <w:t>mit anderen Worten</w:t>
            </w:r>
            <w:r w:rsidRPr="00BE3728">
              <w:rPr>
                <w:sz w:val="20"/>
                <w:szCs w:val="20"/>
              </w:rPr>
              <w:t xml:space="preserve"> das Minimum, wie weit der Staat besteuern</w:t>
            </w:r>
            <w:r>
              <w:rPr>
                <w:sz w:val="20"/>
                <w:szCs w:val="20"/>
              </w:rPr>
              <w:t xml:space="preserve"> muss</w:t>
            </w:r>
            <w:r w:rsidRPr="00BE3728">
              <w:rPr>
                <w:sz w:val="20"/>
                <w:szCs w:val="20"/>
              </w:rPr>
              <w:t xml:space="preserve">, </w:t>
            </w:r>
            <w:r>
              <w:rPr>
                <w:sz w:val="20"/>
                <w:szCs w:val="20"/>
              </w:rPr>
              <w:t xml:space="preserve">bildeten </w:t>
            </w:r>
            <w:r w:rsidRPr="00BE3728">
              <w:rPr>
                <w:sz w:val="20"/>
                <w:szCs w:val="20"/>
              </w:rPr>
              <w:t>eine Untergrenze. Eine andere Grenze</w:t>
            </w:r>
            <w:r>
              <w:rPr>
                <w:sz w:val="20"/>
                <w:szCs w:val="20"/>
              </w:rPr>
              <w:t xml:space="preserve"> für die Besteuerung</w:t>
            </w:r>
            <w:r w:rsidRPr="00BE3728">
              <w:rPr>
                <w:sz w:val="20"/>
                <w:szCs w:val="20"/>
              </w:rPr>
              <w:t xml:space="preserve"> sei, die </w:t>
            </w:r>
            <w:proofErr w:type="gramStart"/>
            <w:r w:rsidRPr="00BE3728">
              <w:rPr>
                <w:sz w:val="20"/>
                <w:szCs w:val="20"/>
              </w:rPr>
              <w:t>Zukunftsperspektive</w:t>
            </w:r>
            <w:proofErr w:type="gramEnd"/>
            <w:r w:rsidRPr="00BE3728">
              <w:rPr>
                <w:sz w:val="20"/>
                <w:szCs w:val="20"/>
              </w:rPr>
              <w:t xml:space="preserve"> zu sichern. Die richte sich darauf aus, das allgemeinen Wohl der Gesellschaft zu sichern, aber auch das gegenwärtige und zukünftige Glück und den Wohlstand des Volkes zu fördern („</w:t>
            </w:r>
            <w:proofErr w:type="spellStart"/>
            <w:r w:rsidRPr="00BE3728">
              <w:rPr>
                <w:sz w:val="20"/>
                <w:szCs w:val="20"/>
              </w:rPr>
              <w:t>advance</w:t>
            </w:r>
            <w:proofErr w:type="spellEnd"/>
            <w:r w:rsidRPr="00BE3728">
              <w:rPr>
                <w:sz w:val="20"/>
                <w:szCs w:val="20"/>
              </w:rPr>
              <w:t xml:space="preserve"> the </w:t>
            </w:r>
            <w:proofErr w:type="spellStart"/>
            <w:r w:rsidRPr="00BE3728">
              <w:rPr>
                <w:sz w:val="20"/>
                <w:szCs w:val="20"/>
              </w:rPr>
              <w:t>present</w:t>
            </w:r>
            <w:proofErr w:type="spellEnd"/>
            <w:r w:rsidRPr="00BE3728">
              <w:rPr>
                <w:sz w:val="20"/>
                <w:szCs w:val="20"/>
              </w:rPr>
              <w:t xml:space="preserve"> and </w:t>
            </w:r>
            <w:proofErr w:type="spellStart"/>
            <w:r w:rsidRPr="00BE3728">
              <w:rPr>
                <w:sz w:val="20"/>
                <w:szCs w:val="20"/>
              </w:rPr>
              <w:t>prospective</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244"/>
            </w:r>
            <w:r w:rsidRPr="00BE3728">
              <w:rPr>
                <w:sz w:val="20"/>
                <w:szCs w:val="20"/>
              </w:rPr>
              <w:t>). Diese Sicherung und Förderung sei zuvorderst eine Frage der Wirtschaftspolitik, die innerhalb der beschriebenen Grenzen nicht der gerichtlichen Kontrolle unterliege.</w:t>
            </w:r>
            <w:r w:rsidRPr="00BE3728">
              <w:rPr>
                <w:rStyle w:val="Funotenzeichen"/>
                <w:sz w:val="20"/>
                <w:szCs w:val="20"/>
              </w:rPr>
              <w:footnoteReference w:id="245"/>
            </w:r>
          </w:p>
          <w:p w14:paraId="577A9624" w14:textId="77777777" w:rsidR="00074551" w:rsidRPr="00E50B51" w:rsidRDefault="00074551" w:rsidP="00367133">
            <w:pPr>
              <w:jc w:val="both"/>
              <w:rPr>
                <w:sz w:val="20"/>
                <w:szCs w:val="20"/>
              </w:rPr>
            </w:pPr>
          </w:p>
        </w:tc>
      </w:tr>
      <w:tr w:rsidR="00074551" w:rsidRPr="00E50B51" w14:paraId="60797DAA" w14:textId="77777777" w:rsidTr="00BE689F">
        <w:trPr>
          <w:cantSplit/>
          <w:trHeight w:val="3175"/>
        </w:trPr>
        <w:tc>
          <w:tcPr>
            <w:tcW w:w="293" w:type="pct"/>
          </w:tcPr>
          <w:p w14:paraId="42D99453"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301C06BA" w14:textId="77777777" w:rsidR="00074551" w:rsidRPr="00B45592" w:rsidRDefault="00074551" w:rsidP="00367133">
            <w:pPr>
              <w:ind w:left="113" w:right="113"/>
              <w:jc w:val="both"/>
              <w:rPr>
                <w:i/>
                <w:sz w:val="20"/>
                <w:szCs w:val="20"/>
                <w:lang w:val="en-US"/>
              </w:rPr>
            </w:pPr>
            <w:r w:rsidRPr="00B45592">
              <w:rPr>
                <w:i/>
                <w:sz w:val="20"/>
                <w:szCs w:val="20"/>
              </w:rPr>
              <w:t>Springfield v. Quick</w:t>
            </w:r>
          </w:p>
        </w:tc>
        <w:tc>
          <w:tcPr>
            <w:tcW w:w="197" w:type="pct"/>
            <w:textDirection w:val="tbRl"/>
            <w:vAlign w:val="center"/>
          </w:tcPr>
          <w:p w14:paraId="3E3AC77E" w14:textId="77777777" w:rsidR="00074551" w:rsidRPr="00E50B51" w:rsidRDefault="00074551" w:rsidP="00367133">
            <w:pPr>
              <w:ind w:left="113" w:right="113"/>
              <w:jc w:val="both"/>
              <w:rPr>
                <w:sz w:val="20"/>
                <w:szCs w:val="20"/>
                <w:lang w:val="en-US"/>
              </w:rPr>
            </w:pPr>
            <w:r w:rsidRPr="00BE3728">
              <w:rPr>
                <w:sz w:val="20"/>
                <w:szCs w:val="20"/>
              </w:rPr>
              <w:t>63 U.S. 56</w:t>
            </w:r>
          </w:p>
        </w:tc>
        <w:tc>
          <w:tcPr>
            <w:tcW w:w="306" w:type="pct"/>
            <w:textDirection w:val="tbRl"/>
            <w:vAlign w:val="center"/>
          </w:tcPr>
          <w:p w14:paraId="7003EFE8" w14:textId="77777777" w:rsidR="00074551" w:rsidRPr="00E50B51" w:rsidRDefault="00074551" w:rsidP="00367133">
            <w:pPr>
              <w:ind w:left="113" w:right="113"/>
              <w:jc w:val="both"/>
              <w:rPr>
                <w:sz w:val="20"/>
                <w:szCs w:val="20"/>
                <w:lang w:val="en-US"/>
              </w:rPr>
            </w:pPr>
            <w:r w:rsidRPr="00BE3728">
              <w:rPr>
                <w:sz w:val="20"/>
                <w:szCs w:val="20"/>
              </w:rPr>
              <w:t>03. Januar 1860</w:t>
            </w:r>
          </w:p>
        </w:tc>
        <w:tc>
          <w:tcPr>
            <w:tcW w:w="401" w:type="pct"/>
          </w:tcPr>
          <w:p w14:paraId="62178DE4"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33EA7FE8" w14:textId="7C885153" w:rsidR="00074551" w:rsidRPr="00BE3728" w:rsidRDefault="002310E1" w:rsidP="00367133">
            <w:pPr>
              <w:jc w:val="both"/>
              <w:rPr>
                <w:sz w:val="20"/>
                <w:szCs w:val="20"/>
              </w:rPr>
            </w:pPr>
            <w:r w:rsidRPr="002310E1">
              <w:rPr>
                <w:sz w:val="20"/>
                <w:szCs w:val="20"/>
              </w:rPr>
              <w:t>Der U.S. Supreme Court bestätigte das Urteil des Supreme Court of Indiana. Dieser hatte eine zugunsten der Gemeinde ergangene Unterlassungsverfügung aufgehoben, die zwei Amtsträgern – einem Kämmerer und einem Buchhalter – die vorgesehene Verteilung öffentlicher Schulmittel untersagt hatte. Die Gemeinde hatte zuvor einen ihr durch Bundesrecht zu Schulzwecken vorbehaltenen Grundstücksabschnitt verkauft; die daraus erzielten Mittel und deren Erträge standen weiterhin ausschließlich für Schulen in der Gemeinde zur Verfügung. Streitig war jedoch, ob Indiana diese Mittel bei der Berechnung des Anteils der Gemeinde am allgemeinen staatlichen Schulfonds berücksichtigen durfte. Der U.S. Supreme Court bejahte dies. Solange die aus dem Grundstücksverkauf stammenden Mittel vollständig für Schulen in der Gemeinde verwendet würden, verstoße die staatliche Verteilungsregelung nicht gegen Bundesrecht. Über zusätzliche, aus staatlichen Quellen stammende Schulmittel könne Indiana grundsätzlich nach eigenem Ermessen verfügen.</w:t>
            </w:r>
            <w:r w:rsidRPr="00BE3728">
              <w:rPr>
                <w:rStyle w:val="Funotenzeichen"/>
                <w:sz w:val="20"/>
                <w:szCs w:val="20"/>
              </w:rPr>
              <w:t xml:space="preserve"> </w:t>
            </w:r>
            <w:r w:rsidRPr="00BE3728">
              <w:rPr>
                <w:rStyle w:val="Funotenzeichen"/>
                <w:sz w:val="20"/>
                <w:szCs w:val="20"/>
              </w:rPr>
              <w:footnoteReference w:id="246"/>
            </w:r>
          </w:p>
          <w:p w14:paraId="4639A625" w14:textId="77777777" w:rsidR="00074551" w:rsidRPr="00E50B51" w:rsidRDefault="00074551" w:rsidP="00367133">
            <w:pPr>
              <w:jc w:val="both"/>
              <w:rPr>
                <w:sz w:val="20"/>
                <w:szCs w:val="20"/>
              </w:rPr>
            </w:pPr>
          </w:p>
        </w:tc>
        <w:tc>
          <w:tcPr>
            <w:tcW w:w="1822" w:type="pct"/>
          </w:tcPr>
          <w:p w14:paraId="2CA7C27E" w14:textId="77777777" w:rsidR="00074551" w:rsidRPr="00B45592" w:rsidRDefault="00074551" w:rsidP="00367133">
            <w:pPr>
              <w:jc w:val="both"/>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Governments › Local Governments › Finance</w:t>
            </w:r>
          </w:p>
          <w:p w14:paraId="3ADD2893" w14:textId="77777777" w:rsidR="00074551" w:rsidRPr="00B45592" w:rsidRDefault="00074551" w:rsidP="00367133">
            <w:pPr>
              <w:jc w:val="both"/>
              <w:rPr>
                <w:sz w:val="20"/>
                <w:szCs w:val="20"/>
                <w:lang w:val="en-IE"/>
              </w:rPr>
            </w:pPr>
          </w:p>
          <w:p w14:paraId="516A7035" w14:textId="77777777" w:rsidR="00074551" w:rsidRPr="00BE3728" w:rsidRDefault="00074551" w:rsidP="00367133">
            <w:pPr>
              <w:jc w:val="both"/>
              <w:rPr>
                <w:sz w:val="20"/>
                <w:szCs w:val="20"/>
              </w:rPr>
            </w:pPr>
            <w:r w:rsidRPr="00BE3728">
              <w:rPr>
                <w:sz w:val="20"/>
                <w:szCs w:val="20"/>
              </w:rPr>
              <w:t>Das streitgegenständliche Gesetz regelt einen Mechanismus, der den Betrag ausgleicht, der für die Ausbildung jedes Schülers im Bundesstaat Indiana bereitgestellt wird.</w:t>
            </w:r>
            <w:r w:rsidRPr="00BE3728">
              <w:rPr>
                <w:rStyle w:val="Funotenzeichen"/>
                <w:sz w:val="20"/>
                <w:szCs w:val="20"/>
              </w:rPr>
              <w:footnoteReference w:id="247"/>
            </w:r>
            <w:r w:rsidRPr="00BE3728">
              <w:rPr>
                <w:sz w:val="20"/>
                <w:szCs w:val="20"/>
              </w:rPr>
              <w:t xml:space="preserve"> </w:t>
            </w:r>
          </w:p>
          <w:p w14:paraId="7B5F952A" w14:textId="77777777" w:rsidR="00074551" w:rsidRPr="00BE3728" w:rsidRDefault="00074551" w:rsidP="00367133">
            <w:pPr>
              <w:jc w:val="both"/>
              <w:rPr>
                <w:sz w:val="20"/>
                <w:szCs w:val="20"/>
              </w:rPr>
            </w:pPr>
          </w:p>
          <w:p w14:paraId="1CEA6C63" w14:textId="77777777" w:rsidR="00074551" w:rsidRPr="00B45592" w:rsidRDefault="00074551" w:rsidP="00367133">
            <w:pPr>
              <w:jc w:val="both"/>
              <w:rPr>
                <w:rFonts w:ascii="Calibri" w:hAnsi="Calibri" w:cs="Calibri"/>
                <w:sz w:val="22"/>
                <w:szCs w:val="22"/>
              </w:rPr>
            </w:pPr>
            <w:r w:rsidRPr="00B45592">
              <w:rPr>
                <w:sz w:val="20"/>
                <w:szCs w:val="20"/>
              </w:rPr>
              <w:t xml:space="preserve">Im Vortrag der </w:t>
            </w:r>
            <w:proofErr w:type="spellStart"/>
            <w:r w:rsidRPr="00B45592">
              <w:rPr>
                <w:i/>
                <w:iCs/>
                <w:sz w:val="20"/>
                <w:szCs w:val="20"/>
              </w:rPr>
              <w:t>Appellees</w:t>
            </w:r>
            <w:proofErr w:type="spellEnd"/>
            <w:r w:rsidRPr="00B45592">
              <w:rPr>
                <w:i/>
                <w:iCs/>
                <w:sz w:val="20"/>
                <w:szCs w:val="20"/>
              </w:rPr>
              <w:t xml:space="preserve"> </w:t>
            </w:r>
            <w:r w:rsidRPr="00B45592">
              <w:rPr>
                <w:sz w:val="20"/>
                <w:szCs w:val="20"/>
              </w:rPr>
              <w:t xml:space="preserve">heißt es, der Staat müsse die für seine Bürger gehaltenen Treuhandmittel redlich und zweckgebunden bewahren. Das bedeute, dass Indiana bei der Ausgestaltung seines Schulwesens die bereits vorhandenen, zu Bildungszwecken gewidmeten Mittel berücksichtigen und andere Mittel so verteilen dürfe, dass sich die Bildungschancen im gesamten Staat angleichen. In diesem Zusammenhang verwiesen die </w:t>
            </w:r>
            <w:proofErr w:type="spellStart"/>
            <w:r w:rsidRPr="00B45592">
              <w:rPr>
                <w:i/>
                <w:sz w:val="20"/>
                <w:szCs w:val="20"/>
              </w:rPr>
              <w:t>Appellees</w:t>
            </w:r>
            <w:proofErr w:type="spellEnd"/>
            <w:r w:rsidRPr="00B45592">
              <w:rPr>
                <w:sz w:val="20"/>
                <w:szCs w:val="20"/>
              </w:rPr>
              <w:t xml:space="preserve"> – unter Rückgriff auf </w:t>
            </w:r>
            <w:r w:rsidRPr="00B45592">
              <w:rPr>
                <w:i/>
                <w:sz w:val="20"/>
                <w:szCs w:val="20"/>
              </w:rPr>
              <w:t xml:space="preserve">Mayor of New York v. </w:t>
            </w:r>
            <w:proofErr w:type="spellStart"/>
            <w:r w:rsidRPr="00B45592">
              <w:rPr>
                <w:i/>
                <w:sz w:val="20"/>
                <w:szCs w:val="20"/>
              </w:rPr>
              <w:t>Miln</w:t>
            </w:r>
            <w:proofErr w:type="spellEnd"/>
            <w:r w:rsidRPr="00B45592">
              <w:rPr>
                <w:sz w:val="20"/>
                <w:szCs w:val="20"/>
              </w:rPr>
              <w:t xml:space="preserve"> – darauf, es sei Recht und Pflicht eines Staates, die Sicherheit, das Glück und den Wohlstand seines Volkes zu fördern</w:t>
            </w:r>
            <w:r w:rsidRPr="00BE3728">
              <w:rPr>
                <w:sz w:val="20"/>
                <w:szCs w:val="20"/>
              </w:rPr>
              <w:t>.</w:t>
            </w:r>
            <w:r w:rsidRPr="00BE3728">
              <w:rPr>
                <w:rStyle w:val="Funotenzeichen"/>
                <w:sz w:val="20"/>
                <w:szCs w:val="20"/>
              </w:rPr>
              <w:footnoteReference w:id="248"/>
            </w:r>
          </w:p>
          <w:p w14:paraId="684CDCAB" w14:textId="77777777" w:rsidR="00074551" w:rsidRPr="00BE3728" w:rsidRDefault="00074551" w:rsidP="00367133">
            <w:pPr>
              <w:jc w:val="both"/>
              <w:rPr>
                <w:sz w:val="20"/>
                <w:szCs w:val="20"/>
              </w:rPr>
            </w:pPr>
          </w:p>
          <w:p w14:paraId="735F32B8" w14:textId="77777777" w:rsidR="00871EA3" w:rsidRDefault="00074551" w:rsidP="00367133">
            <w:pPr>
              <w:jc w:val="both"/>
              <w:rPr>
                <w:sz w:val="20"/>
                <w:szCs w:val="20"/>
              </w:rPr>
            </w:pPr>
            <w:r w:rsidRPr="00BE3728">
              <w:rPr>
                <w:sz w:val="20"/>
                <w:szCs w:val="20"/>
              </w:rPr>
              <w:t xml:space="preserve">Für den Fall ergibt sich daraus folgende Implikation: </w:t>
            </w:r>
            <w:r w:rsidR="00871EA3" w:rsidRPr="00871EA3">
              <w:rPr>
                <w:sz w:val="20"/>
                <w:szCs w:val="20"/>
              </w:rPr>
              <w:t xml:space="preserve">Ein Bundesstaat dürfe bei der Verteilung seiner eigenen Schulmittel bereits vorhandene, zu Bildungszwecken gewidmete Mittel berücksichtigen und andere Mittel so verteilen, dass sich die Bildungschancen im gesamten Bundesstaat angleichen („in </w:t>
            </w:r>
            <w:proofErr w:type="spellStart"/>
            <w:r w:rsidR="00871EA3" w:rsidRPr="00871EA3">
              <w:rPr>
                <w:sz w:val="20"/>
                <w:szCs w:val="20"/>
              </w:rPr>
              <w:t>making</w:t>
            </w:r>
            <w:proofErr w:type="spellEnd"/>
            <w:r w:rsidR="00871EA3" w:rsidRPr="00871EA3">
              <w:rPr>
                <w:sz w:val="20"/>
                <w:szCs w:val="20"/>
              </w:rPr>
              <w:t xml:space="preserve"> </w:t>
            </w:r>
            <w:proofErr w:type="spellStart"/>
            <w:r w:rsidR="00871EA3" w:rsidRPr="00871EA3">
              <w:rPr>
                <w:sz w:val="20"/>
                <w:szCs w:val="20"/>
              </w:rPr>
              <w:t>provisions</w:t>
            </w:r>
            <w:proofErr w:type="spellEnd"/>
            <w:r w:rsidR="00871EA3" w:rsidRPr="00871EA3">
              <w:rPr>
                <w:sz w:val="20"/>
                <w:szCs w:val="20"/>
              </w:rPr>
              <w:t xml:space="preserve"> for the </w:t>
            </w:r>
            <w:proofErr w:type="spellStart"/>
            <w:r w:rsidR="00871EA3" w:rsidRPr="00871EA3">
              <w:rPr>
                <w:sz w:val="20"/>
                <w:szCs w:val="20"/>
              </w:rPr>
              <w:t>education</w:t>
            </w:r>
            <w:proofErr w:type="spellEnd"/>
            <w:r w:rsidR="00871EA3" w:rsidRPr="00871EA3">
              <w:rPr>
                <w:sz w:val="20"/>
                <w:szCs w:val="20"/>
              </w:rPr>
              <w:t xml:space="preserve"> of her </w:t>
            </w:r>
            <w:proofErr w:type="spellStart"/>
            <w:r w:rsidR="00871EA3" w:rsidRPr="00871EA3">
              <w:rPr>
                <w:sz w:val="20"/>
                <w:szCs w:val="20"/>
              </w:rPr>
              <w:t>people</w:t>
            </w:r>
            <w:proofErr w:type="spellEnd"/>
            <w:r w:rsidR="00871EA3" w:rsidRPr="00871EA3">
              <w:rPr>
                <w:sz w:val="20"/>
                <w:szCs w:val="20"/>
              </w:rPr>
              <w:t xml:space="preserve">, to </w:t>
            </w:r>
            <w:proofErr w:type="spellStart"/>
            <w:r w:rsidR="00871EA3" w:rsidRPr="00871EA3">
              <w:rPr>
                <w:sz w:val="20"/>
                <w:szCs w:val="20"/>
              </w:rPr>
              <w:t>take</w:t>
            </w:r>
            <w:proofErr w:type="spellEnd"/>
            <w:r w:rsidR="00871EA3" w:rsidRPr="00871EA3">
              <w:rPr>
                <w:sz w:val="20"/>
                <w:szCs w:val="20"/>
              </w:rPr>
              <w:t xml:space="preserve"> </w:t>
            </w:r>
            <w:proofErr w:type="spellStart"/>
            <w:r w:rsidR="00871EA3" w:rsidRPr="00871EA3">
              <w:rPr>
                <w:sz w:val="20"/>
                <w:szCs w:val="20"/>
              </w:rPr>
              <w:t>into</w:t>
            </w:r>
            <w:proofErr w:type="spellEnd"/>
            <w:r w:rsidR="00871EA3" w:rsidRPr="00871EA3">
              <w:rPr>
                <w:sz w:val="20"/>
                <w:szCs w:val="20"/>
              </w:rPr>
              <w:t xml:space="preserve"> </w:t>
            </w:r>
            <w:proofErr w:type="spellStart"/>
            <w:r w:rsidR="00871EA3" w:rsidRPr="00871EA3">
              <w:rPr>
                <w:sz w:val="20"/>
                <w:szCs w:val="20"/>
              </w:rPr>
              <w:t>consideration</w:t>
            </w:r>
            <w:proofErr w:type="spellEnd"/>
            <w:r w:rsidR="00871EA3" w:rsidRPr="00871EA3">
              <w:rPr>
                <w:sz w:val="20"/>
                <w:szCs w:val="20"/>
              </w:rPr>
              <w:t xml:space="preserve"> </w:t>
            </w:r>
            <w:proofErr w:type="spellStart"/>
            <w:r w:rsidR="00871EA3" w:rsidRPr="00871EA3">
              <w:rPr>
                <w:sz w:val="20"/>
                <w:szCs w:val="20"/>
              </w:rPr>
              <w:t>these</w:t>
            </w:r>
            <w:proofErr w:type="spellEnd"/>
            <w:r w:rsidR="00871EA3" w:rsidRPr="00871EA3">
              <w:rPr>
                <w:sz w:val="20"/>
                <w:szCs w:val="20"/>
              </w:rPr>
              <w:t xml:space="preserve"> </w:t>
            </w:r>
            <w:proofErr w:type="spellStart"/>
            <w:r w:rsidR="00871EA3" w:rsidRPr="00871EA3">
              <w:rPr>
                <w:sz w:val="20"/>
                <w:szCs w:val="20"/>
              </w:rPr>
              <w:t>donations</w:t>
            </w:r>
            <w:proofErr w:type="spellEnd"/>
            <w:r w:rsidR="00871EA3" w:rsidRPr="00871EA3">
              <w:rPr>
                <w:sz w:val="20"/>
                <w:szCs w:val="20"/>
              </w:rPr>
              <w:t xml:space="preserve"> </w:t>
            </w:r>
            <w:proofErr w:type="spellStart"/>
            <w:r w:rsidR="00871EA3" w:rsidRPr="00871EA3">
              <w:rPr>
                <w:sz w:val="20"/>
                <w:szCs w:val="20"/>
              </w:rPr>
              <w:t>made</w:t>
            </w:r>
            <w:proofErr w:type="spellEnd"/>
            <w:r w:rsidR="00871EA3" w:rsidRPr="00871EA3">
              <w:rPr>
                <w:sz w:val="20"/>
                <w:szCs w:val="20"/>
              </w:rPr>
              <w:t xml:space="preserve"> for </w:t>
            </w:r>
            <w:proofErr w:type="spellStart"/>
            <w:r w:rsidR="00871EA3" w:rsidRPr="00871EA3">
              <w:rPr>
                <w:sz w:val="20"/>
                <w:szCs w:val="20"/>
              </w:rPr>
              <w:t>educational</w:t>
            </w:r>
            <w:proofErr w:type="spellEnd"/>
            <w:r w:rsidR="00871EA3" w:rsidRPr="00871EA3">
              <w:rPr>
                <w:sz w:val="20"/>
                <w:szCs w:val="20"/>
              </w:rPr>
              <w:t xml:space="preserve"> </w:t>
            </w:r>
            <w:proofErr w:type="spellStart"/>
            <w:r w:rsidR="00871EA3" w:rsidRPr="00871EA3">
              <w:rPr>
                <w:sz w:val="20"/>
                <w:szCs w:val="20"/>
              </w:rPr>
              <w:t>purposes</w:t>
            </w:r>
            <w:proofErr w:type="spellEnd"/>
            <w:r w:rsidR="00871EA3" w:rsidRPr="00871EA3">
              <w:rPr>
                <w:sz w:val="20"/>
                <w:szCs w:val="20"/>
              </w:rPr>
              <w:t xml:space="preserve">, and to so </w:t>
            </w:r>
            <w:proofErr w:type="spellStart"/>
            <w:r w:rsidR="00871EA3" w:rsidRPr="00871EA3">
              <w:rPr>
                <w:sz w:val="20"/>
                <w:szCs w:val="20"/>
              </w:rPr>
              <w:t>distribute</w:t>
            </w:r>
            <w:proofErr w:type="spellEnd"/>
            <w:r w:rsidR="00871EA3" w:rsidRPr="00871EA3">
              <w:rPr>
                <w:sz w:val="20"/>
                <w:szCs w:val="20"/>
              </w:rPr>
              <w:t xml:space="preserve"> all </w:t>
            </w:r>
            <w:proofErr w:type="spellStart"/>
            <w:r w:rsidR="00871EA3" w:rsidRPr="00871EA3">
              <w:rPr>
                <w:sz w:val="20"/>
                <w:szCs w:val="20"/>
              </w:rPr>
              <w:t>other</w:t>
            </w:r>
            <w:proofErr w:type="spellEnd"/>
            <w:r w:rsidR="00871EA3" w:rsidRPr="00871EA3">
              <w:rPr>
                <w:sz w:val="20"/>
                <w:szCs w:val="20"/>
              </w:rPr>
              <w:t xml:space="preserve"> </w:t>
            </w:r>
            <w:proofErr w:type="spellStart"/>
            <w:r w:rsidR="00871EA3" w:rsidRPr="00871EA3">
              <w:rPr>
                <w:sz w:val="20"/>
                <w:szCs w:val="20"/>
              </w:rPr>
              <w:t>funds</w:t>
            </w:r>
            <w:proofErr w:type="spellEnd"/>
            <w:r w:rsidR="00871EA3" w:rsidRPr="00871EA3">
              <w:rPr>
                <w:sz w:val="20"/>
                <w:szCs w:val="20"/>
              </w:rPr>
              <w:t xml:space="preserve"> as to </w:t>
            </w:r>
            <w:proofErr w:type="spellStart"/>
            <w:r w:rsidR="00871EA3" w:rsidRPr="00871EA3">
              <w:rPr>
                <w:sz w:val="20"/>
                <w:szCs w:val="20"/>
              </w:rPr>
              <w:t>equalize</w:t>
            </w:r>
            <w:proofErr w:type="spellEnd"/>
            <w:r w:rsidR="00871EA3" w:rsidRPr="00871EA3">
              <w:rPr>
                <w:sz w:val="20"/>
                <w:szCs w:val="20"/>
              </w:rPr>
              <w:t xml:space="preserve"> the </w:t>
            </w:r>
            <w:proofErr w:type="spellStart"/>
            <w:r w:rsidR="00871EA3" w:rsidRPr="00871EA3">
              <w:rPr>
                <w:sz w:val="20"/>
                <w:szCs w:val="20"/>
              </w:rPr>
              <w:t>educational</w:t>
            </w:r>
            <w:proofErr w:type="spellEnd"/>
            <w:r w:rsidR="00871EA3" w:rsidRPr="00871EA3">
              <w:rPr>
                <w:sz w:val="20"/>
                <w:szCs w:val="20"/>
              </w:rPr>
              <w:t xml:space="preserve"> </w:t>
            </w:r>
            <w:proofErr w:type="spellStart"/>
            <w:r w:rsidR="00871EA3" w:rsidRPr="00871EA3">
              <w:rPr>
                <w:sz w:val="20"/>
                <w:szCs w:val="20"/>
              </w:rPr>
              <w:t>facilities</w:t>
            </w:r>
            <w:proofErr w:type="spellEnd"/>
            <w:r w:rsidR="00871EA3" w:rsidRPr="00871EA3">
              <w:rPr>
                <w:sz w:val="20"/>
                <w:szCs w:val="20"/>
              </w:rPr>
              <w:t xml:space="preserve"> of the </w:t>
            </w:r>
            <w:proofErr w:type="spellStart"/>
            <w:r w:rsidR="00871EA3" w:rsidRPr="00871EA3">
              <w:rPr>
                <w:sz w:val="20"/>
                <w:szCs w:val="20"/>
              </w:rPr>
              <w:t>whole</w:t>
            </w:r>
            <w:proofErr w:type="spellEnd"/>
            <w:r w:rsidR="00871EA3" w:rsidRPr="00871EA3">
              <w:rPr>
                <w:sz w:val="20"/>
                <w:szCs w:val="20"/>
              </w:rPr>
              <w:t xml:space="preserve"> State“</w:t>
            </w:r>
            <w:r w:rsidR="00871EA3" w:rsidRPr="00BE3728">
              <w:rPr>
                <w:rStyle w:val="Funotenzeichen"/>
                <w:sz w:val="20"/>
                <w:szCs w:val="20"/>
              </w:rPr>
              <w:t xml:space="preserve"> </w:t>
            </w:r>
            <w:r w:rsidR="00871EA3" w:rsidRPr="00BE3728">
              <w:rPr>
                <w:rStyle w:val="Funotenzeichen"/>
                <w:sz w:val="20"/>
                <w:szCs w:val="20"/>
              </w:rPr>
              <w:footnoteReference w:id="249"/>
            </w:r>
            <w:r w:rsidR="00871EA3" w:rsidRPr="00871EA3">
              <w:rPr>
                <w:sz w:val="20"/>
                <w:szCs w:val="20"/>
              </w:rPr>
              <w:t>). Art. IV, § 22 der </w:t>
            </w:r>
            <w:r w:rsidR="00871EA3" w:rsidRPr="00871EA3">
              <w:rPr>
                <w:i/>
                <w:iCs/>
                <w:sz w:val="20"/>
                <w:szCs w:val="20"/>
              </w:rPr>
              <w:t xml:space="preserve">State </w:t>
            </w:r>
            <w:proofErr w:type="spellStart"/>
            <w:r w:rsidR="00871EA3" w:rsidRPr="00871EA3">
              <w:rPr>
                <w:i/>
                <w:iCs/>
                <w:sz w:val="20"/>
                <w:szCs w:val="20"/>
              </w:rPr>
              <w:t>Constitution</w:t>
            </w:r>
            <w:proofErr w:type="spellEnd"/>
            <w:r w:rsidR="00871EA3" w:rsidRPr="00871EA3">
              <w:rPr>
                <w:sz w:val="20"/>
                <w:szCs w:val="20"/>
              </w:rPr>
              <w:t xml:space="preserve"> regle </w:t>
            </w:r>
            <w:r w:rsidR="00871EA3">
              <w:rPr>
                <w:sz w:val="20"/>
                <w:szCs w:val="20"/>
              </w:rPr>
              <w:t>ferner</w:t>
            </w:r>
            <w:r w:rsidR="00871EA3" w:rsidRPr="00871EA3">
              <w:rPr>
                <w:sz w:val="20"/>
                <w:szCs w:val="20"/>
              </w:rPr>
              <w:t>, dass keine lokalen oder speziellen Gesetze zur Unterstützung der Schulen oder zur Erhaltung des Schulfonds erlassen werden dürften.</w:t>
            </w:r>
            <w:r w:rsidR="00871EA3" w:rsidRPr="00BE3728">
              <w:rPr>
                <w:rStyle w:val="Funotenzeichen"/>
                <w:sz w:val="20"/>
                <w:szCs w:val="20"/>
                <w:lang w:val="en-US"/>
              </w:rPr>
              <w:footnoteReference w:id="250"/>
            </w:r>
          </w:p>
          <w:p w14:paraId="757339B3" w14:textId="027478BE" w:rsidR="00FE5F32" w:rsidRPr="00E50B51" w:rsidRDefault="00FE5F32" w:rsidP="00367133">
            <w:pPr>
              <w:jc w:val="both"/>
              <w:rPr>
                <w:sz w:val="20"/>
                <w:szCs w:val="20"/>
              </w:rPr>
            </w:pPr>
          </w:p>
        </w:tc>
      </w:tr>
      <w:tr w:rsidR="00074551" w:rsidRPr="00E50B51" w14:paraId="7DD2DAC1" w14:textId="77777777" w:rsidTr="00BE689F">
        <w:trPr>
          <w:cantSplit/>
          <w:trHeight w:val="3175"/>
        </w:trPr>
        <w:tc>
          <w:tcPr>
            <w:tcW w:w="293" w:type="pct"/>
          </w:tcPr>
          <w:p w14:paraId="2FD6C357"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5D10BF9D" w14:textId="77777777" w:rsidR="00074551" w:rsidRPr="00BE3728" w:rsidRDefault="00074551" w:rsidP="00367133">
            <w:pPr>
              <w:jc w:val="center"/>
              <w:rPr>
                <w:sz w:val="20"/>
                <w:szCs w:val="20"/>
              </w:rPr>
            </w:pPr>
            <w:r>
              <w:rPr>
                <w:sz w:val="20"/>
                <w:szCs w:val="20"/>
                <w:lang w:val="en-US"/>
              </w:rPr>
              <w:t>H</w:t>
            </w:r>
          </w:p>
        </w:tc>
        <w:tc>
          <w:tcPr>
            <w:tcW w:w="387" w:type="pct"/>
            <w:textDirection w:val="tbRl"/>
            <w:vAlign w:val="center"/>
          </w:tcPr>
          <w:p w14:paraId="6693D029" w14:textId="77777777" w:rsidR="00074551" w:rsidRPr="00B45592" w:rsidRDefault="00074551" w:rsidP="00367133">
            <w:pPr>
              <w:ind w:left="113" w:right="113"/>
              <w:jc w:val="both"/>
              <w:rPr>
                <w:i/>
                <w:sz w:val="20"/>
                <w:szCs w:val="20"/>
                <w:lang w:val="en-US"/>
              </w:rPr>
            </w:pPr>
            <w:r w:rsidRPr="00B45592">
              <w:rPr>
                <w:i/>
                <w:sz w:val="20"/>
                <w:szCs w:val="20"/>
                <w:lang w:val="en-US"/>
              </w:rPr>
              <w:t>Singer Sewing Machine Co. v. Brickell</w:t>
            </w:r>
          </w:p>
        </w:tc>
        <w:tc>
          <w:tcPr>
            <w:tcW w:w="197" w:type="pct"/>
            <w:textDirection w:val="tbRl"/>
            <w:vAlign w:val="center"/>
          </w:tcPr>
          <w:p w14:paraId="4FA5A4D6" w14:textId="77777777" w:rsidR="00074551" w:rsidRPr="00BE3728" w:rsidRDefault="00074551" w:rsidP="00367133">
            <w:pPr>
              <w:ind w:left="113" w:right="113"/>
              <w:jc w:val="both"/>
              <w:rPr>
                <w:sz w:val="20"/>
                <w:szCs w:val="20"/>
              </w:rPr>
            </w:pPr>
            <w:r w:rsidRPr="005D0846">
              <w:rPr>
                <w:sz w:val="20"/>
                <w:szCs w:val="20"/>
              </w:rPr>
              <w:t>233 U.S. 304</w:t>
            </w:r>
          </w:p>
        </w:tc>
        <w:tc>
          <w:tcPr>
            <w:tcW w:w="306" w:type="pct"/>
            <w:textDirection w:val="tbRl"/>
            <w:vAlign w:val="center"/>
          </w:tcPr>
          <w:p w14:paraId="20B18DD2" w14:textId="77777777" w:rsidR="00074551" w:rsidRPr="00BE3728" w:rsidRDefault="00074551" w:rsidP="00367133">
            <w:pPr>
              <w:ind w:left="113" w:right="113"/>
              <w:jc w:val="both"/>
              <w:rPr>
                <w:sz w:val="20"/>
                <w:szCs w:val="20"/>
              </w:rPr>
            </w:pPr>
            <w:r>
              <w:rPr>
                <w:sz w:val="20"/>
                <w:szCs w:val="20"/>
              </w:rPr>
              <w:t>6. April 1914</w:t>
            </w:r>
          </w:p>
        </w:tc>
        <w:tc>
          <w:tcPr>
            <w:tcW w:w="401" w:type="pct"/>
          </w:tcPr>
          <w:p w14:paraId="569A703A" w14:textId="77777777" w:rsidR="00074551" w:rsidRPr="00BE3728" w:rsidRDefault="00074551" w:rsidP="00367133">
            <w:pPr>
              <w:jc w:val="center"/>
              <w:rPr>
                <w:sz w:val="20"/>
                <w:szCs w:val="20"/>
                <w:lang w:val="en-US"/>
              </w:rPr>
            </w:pPr>
            <w:r>
              <w:rPr>
                <w:sz w:val="20"/>
                <w:szCs w:val="20"/>
                <w:lang w:val="en-US"/>
              </w:rPr>
              <w:t>M</w:t>
            </w:r>
          </w:p>
        </w:tc>
        <w:tc>
          <w:tcPr>
            <w:tcW w:w="1594" w:type="pct"/>
          </w:tcPr>
          <w:p w14:paraId="7DD05116" w14:textId="1C26F158" w:rsidR="00074551" w:rsidRDefault="00074551" w:rsidP="00367133">
            <w:pPr>
              <w:rPr>
                <w:sz w:val="20"/>
                <w:szCs w:val="20"/>
              </w:rPr>
            </w:pPr>
            <w:r w:rsidRPr="00B45592">
              <w:rPr>
                <w:sz w:val="20"/>
                <w:szCs w:val="20"/>
                <w:lang w:val="en-IE"/>
              </w:rPr>
              <w:t xml:space="preserve">Der U.S. Supreme Court </w:t>
            </w:r>
            <w:proofErr w:type="spellStart"/>
            <w:r w:rsidRPr="00B45592">
              <w:rPr>
                <w:sz w:val="20"/>
                <w:szCs w:val="20"/>
                <w:lang w:val="en-IE"/>
              </w:rPr>
              <w:t>bestätigte</w:t>
            </w:r>
            <w:proofErr w:type="spellEnd"/>
            <w:r w:rsidRPr="00B45592">
              <w:rPr>
                <w:sz w:val="20"/>
                <w:szCs w:val="20"/>
                <w:lang w:val="en-IE"/>
              </w:rPr>
              <w:t xml:space="preserve"> </w:t>
            </w:r>
            <w:proofErr w:type="spellStart"/>
            <w:r w:rsidRPr="00B45592">
              <w:rPr>
                <w:sz w:val="20"/>
                <w:szCs w:val="20"/>
                <w:lang w:val="en-IE"/>
              </w:rPr>
              <w:t>ein</w:t>
            </w:r>
            <w:proofErr w:type="spellEnd"/>
            <w:r w:rsidRPr="00B45592">
              <w:rPr>
                <w:sz w:val="20"/>
                <w:szCs w:val="20"/>
                <w:lang w:val="en-IE"/>
              </w:rPr>
              <w:t xml:space="preserve"> </w:t>
            </w:r>
            <w:proofErr w:type="spellStart"/>
            <w:r w:rsidRPr="00B45592">
              <w:rPr>
                <w:sz w:val="20"/>
                <w:szCs w:val="20"/>
                <w:lang w:val="en-IE"/>
              </w:rPr>
              <w:t>Urteil</w:t>
            </w:r>
            <w:proofErr w:type="spellEnd"/>
            <w:r w:rsidRPr="00B45592">
              <w:rPr>
                <w:sz w:val="20"/>
                <w:szCs w:val="20"/>
                <w:lang w:val="en-IE"/>
              </w:rPr>
              <w:t xml:space="preserve"> des </w:t>
            </w:r>
            <w:r w:rsidRPr="00B45592">
              <w:rPr>
                <w:i/>
                <w:sz w:val="20"/>
                <w:szCs w:val="20"/>
                <w:lang w:val="en-IE"/>
              </w:rPr>
              <w:t>U.S. District Court for the Southern District of Alabama</w:t>
            </w:r>
            <w:r w:rsidRPr="00B45592">
              <w:rPr>
                <w:sz w:val="20"/>
                <w:szCs w:val="20"/>
                <w:lang w:val="en-IE"/>
              </w:rPr>
              <w:t xml:space="preserve"> </w:t>
            </w:r>
            <w:proofErr w:type="spellStart"/>
            <w:r w:rsidRPr="00B45592">
              <w:rPr>
                <w:sz w:val="20"/>
                <w:szCs w:val="20"/>
                <w:lang w:val="en-IE"/>
              </w:rPr>
              <w:t>zugunsten</w:t>
            </w:r>
            <w:proofErr w:type="spellEnd"/>
            <w:r w:rsidRPr="00B45592">
              <w:rPr>
                <w:sz w:val="20"/>
                <w:szCs w:val="20"/>
                <w:lang w:val="en-IE"/>
              </w:rPr>
              <w:t xml:space="preserve"> des </w:t>
            </w:r>
            <w:r w:rsidRPr="00B45592">
              <w:rPr>
                <w:i/>
                <w:sz w:val="20"/>
                <w:szCs w:val="20"/>
                <w:lang w:val="en-IE"/>
              </w:rPr>
              <w:t>Attorney General</w:t>
            </w:r>
            <w:r w:rsidRPr="00B45592">
              <w:rPr>
                <w:sz w:val="20"/>
                <w:szCs w:val="20"/>
                <w:lang w:val="en-IE"/>
              </w:rPr>
              <w:t xml:space="preserve"> von Alabama. </w:t>
            </w:r>
            <w:r w:rsidRPr="00B45592">
              <w:rPr>
                <w:sz w:val="20"/>
                <w:szCs w:val="20"/>
              </w:rPr>
              <w:t>Eine Nähmaschinenfirma klagte gegen die Verfassungsmäßigkeit einer staatlichen Lizenzsteuer,</w:t>
            </w:r>
            <w:r w:rsidRPr="001624B3">
              <w:rPr>
                <w:rStyle w:val="Funotenzeichen"/>
                <w:sz w:val="20"/>
                <w:szCs w:val="20"/>
              </w:rPr>
              <w:footnoteReference w:id="251"/>
            </w:r>
            <w:r w:rsidRPr="00B45592">
              <w:rPr>
                <w:sz w:val="20"/>
                <w:szCs w:val="20"/>
              </w:rPr>
              <w:t xml:space="preserve"> die auf einem bundesstaatlichen Gesetz beruhte. Das Gesetz erhob die Lizenz- und Gewerbesteuer ausschließlich auf Reisegewerbe, hier auf die reisenden Verkäufer der klagenden Firma. Dagegen befreite </w:t>
            </w:r>
            <w:r w:rsidRPr="007B7766">
              <w:rPr>
                <w:sz w:val="20"/>
                <w:szCs w:val="20"/>
              </w:rPr>
              <w:t xml:space="preserve">das </w:t>
            </w:r>
            <w:r w:rsidRPr="00B45592">
              <w:rPr>
                <w:sz w:val="20"/>
                <w:szCs w:val="20"/>
              </w:rPr>
              <w:t xml:space="preserve">Gesetz die Niederlassungen dieser Verkäufer von der Steuer. Die Klägerin argumentierte nun, dass diese Ungleichbehandlung zwischen den Niederlassungen und dem Reisegewerbe die </w:t>
            </w:r>
            <w:r w:rsidRPr="00B45592">
              <w:rPr>
                <w:i/>
                <w:sz w:val="20"/>
                <w:szCs w:val="20"/>
              </w:rPr>
              <w:t xml:space="preserve">Commerce </w:t>
            </w:r>
            <w:proofErr w:type="spellStart"/>
            <w:r w:rsidRPr="00B45592">
              <w:rPr>
                <w:i/>
                <w:sz w:val="20"/>
                <w:szCs w:val="20"/>
              </w:rPr>
              <w:t>Clause</w:t>
            </w:r>
            <w:proofErr w:type="spellEnd"/>
            <w:r w:rsidRPr="00B45592">
              <w:rPr>
                <w:i/>
                <w:sz w:val="20"/>
                <w:szCs w:val="20"/>
              </w:rPr>
              <w:t xml:space="preserve"> </w:t>
            </w:r>
            <w:r w:rsidRPr="00B45592">
              <w:rPr>
                <w:sz w:val="20"/>
                <w:szCs w:val="20"/>
              </w:rPr>
              <w:t xml:space="preserve">und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45592">
              <w:rPr>
                <w:sz w:val="20"/>
                <w:szCs w:val="20"/>
              </w:rPr>
              <w:t xml:space="preserve"> verletze. Aber der U.S. Supreme Court entschied, dass das Gesetz verfassungsgemäß sei. Denn nur eines der Geschäfte der Verkäufer war in nur einem Bezirk des Bundesstaats am zwischenstaatlichen Handel beteiligt; das reiche nicht aus, um eine Anfechtung des Gesetzes unter der </w:t>
            </w:r>
            <w:r w:rsidRPr="00B45592">
              <w:rPr>
                <w:i/>
                <w:sz w:val="20"/>
                <w:szCs w:val="20"/>
              </w:rPr>
              <w:t xml:space="preserve">Commerce </w:t>
            </w:r>
            <w:proofErr w:type="spellStart"/>
            <w:r w:rsidRPr="00B45592">
              <w:rPr>
                <w:i/>
                <w:sz w:val="20"/>
                <w:szCs w:val="20"/>
              </w:rPr>
              <w:t>Clause</w:t>
            </w:r>
            <w:proofErr w:type="spellEnd"/>
            <w:r w:rsidRPr="00B45592">
              <w:rPr>
                <w:sz w:val="20"/>
                <w:szCs w:val="20"/>
              </w:rPr>
              <w:t xml:space="preserve"> zu begründen. </w:t>
            </w:r>
          </w:p>
          <w:p w14:paraId="3BC3A809" w14:textId="6794D6AB" w:rsidR="00074551" w:rsidRDefault="00074551" w:rsidP="00367133">
            <w:pPr>
              <w:rPr>
                <w:sz w:val="20"/>
                <w:szCs w:val="20"/>
              </w:rPr>
            </w:pPr>
            <w:r w:rsidRPr="00B45592">
              <w:rPr>
                <w:sz w:val="20"/>
                <w:szCs w:val="20"/>
              </w:rPr>
              <w:t xml:space="preserve">Ebenso scheiterte die Berufung auf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45592">
              <w:rPr>
                <w:sz w:val="20"/>
                <w:szCs w:val="20"/>
              </w:rPr>
              <w:t xml:space="preserve"> Denn zwischen dem Verkauf an regelmäßig eingerichteten Geschäftsstellen und dem Absatz </w:t>
            </w:r>
            <w:proofErr w:type="gramStart"/>
            <w:r w:rsidRPr="00B45592">
              <w:rPr>
                <w:sz w:val="20"/>
                <w:szCs w:val="20"/>
              </w:rPr>
              <w:t>durch reisende</w:t>
            </w:r>
            <w:proofErr w:type="gramEnd"/>
            <w:r w:rsidRPr="00B45592">
              <w:rPr>
                <w:sz w:val="20"/>
                <w:szCs w:val="20"/>
              </w:rPr>
              <w:t xml:space="preserve"> Verkäufer bestand nach Auffassung des SCOTUS ein sachlicher Unterschied. Die Klägerin betrieb in Alabama zahlreiche feste Niederlassungen, nutzte daneben aber auch Wagenverkäufe im ländlichen Raum. Der Gesetzgeber durfte deshalb den stationären Ladenverkauf von der Lizenzsteuer ausnehmen und nur die </w:t>
            </w:r>
            <w:proofErr w:type="spellStart"/>
            <w:r w:rsidRPr="00B45592">
              <w:rPr>
                <w:i/>
                <w:sz w:val="20"/>
                <w:szCs w:val="20"/>
              </w:rPr>
              <w:t>itinerant</w:t>
            </w:r>
            <w:proofErr w:type="spellEnd"/>
            <w:r w:rsidRPr="00B45592">
              <w:rPr>
                <w:i/>
                <w:sz w:val="20"/>
                <w:szCs w:val="20"/>
              </w:rPr>
              <w:t xml:space="preserve"> </w:t>
            </w:r>
            <w:proofErr w:type="spellStart"/>
            <w:r w:rsidRPr="00B45592">
              <w:rPr>
                <w:i/>
                <w:sz w:val="20"/>
                <w:szCs w:val="20"/>
              </w:rPr>
              <w:t>sales</w:t>
            </w:r>
            <w:proofErr w:type="spellEnd"/>
            <w:r w:rsidRPr="00B45592">
              <w:rPr>
                <w:sz w:val="20"/>
                <w:szCs w:val="20"/>
              </w:rPr>
              <w:t xml:space="preserve"> besteuern, ohne willkürlich zu klassifizieren.</w:t>
            </w:r>
          </w:p>
          <w:p w14:paraId="5C124273" w14:textId="77777777" w:rsidR="00074551" w:rsidRPr="001624B3" w:rsidRDefault="00074551" w:rsidP="00367133">
            <w:pPr>
              <w:rPr>
                <w:sz w:val="20"/>
                <w:szCs w:val="20"/>
              </w:rPr>
            </w:pPr>
            <w:r w:rsidRPr="001624B3">
              <w:rPr>
                <w:sz w:val="20"/>
                <w:szCs w:val="20"/>
              </w:rPr>
              <w:t>Schließlich änderte die Genehmigung durch einen Verkaufsleiter nicht, dass die Verkäufe des Reisegewerbes weiterhin nicht als Verkäufe einer Niederlassung galten. Die Befreiung blieb.</w:t>
            </w:r>
            <w:r w:rsidRPr="001624B3">
              <w:rPr>
                <w:rStyle w:val="Funotenzeichen"/>
                <w:sz w:val="20"/>
                <w:szCs w:val="20"/>
              </w:rPr>
              <w:footnoteReference w:id="252"/>
            </w:r>
          </w:p>
          <w:p w14:paraId="438C262B" w14:textId="77777777" w:rsidR="00074551" w:rsidRPr="00B45592" w:rsidRDefault="00074551" w:rsidP="00367133">
            <w:pPr>
              <w:jc w:val="both"/>
              <w:rPr>
                <w:b/>
                <w:bCs/>
                <w:sz w:val="20"/>
                <w:szCs w:val="20"/>
              </w:rPr>
            </w:pPr>
          </w:p>
        </w:tc>
        <w:tc>
          <w:tcPr>
            <w:tcW w:w="1822" w:type="pct"/>
          </w:tcPr>
          <w:p w14:paraId="72A12B24" w14:textId="77777777" w:rsidR="00074551" w:rsidRPr="00B45592" w:rsidRDefault="00074551" w:rsidP="00367133">
            <w:pPr>
              <w:rPr>
                <w:i/>
                <w:sz w:val="20"/>
                <w:szCs w:val="20"/>
              </w:rPr>
            </w:pPr>
            <w:r w:rsidRPr="00B45592">
              <w:rPr>
                <w:i/>
                <w:sz w:val="20"/>
                <w:szCs w:val="20"/>
              </w:rPr>
              <w:t xml:space="preserve">LexisNexis-Klassifikation: Spending and </w:t>
            </w:r>
            <w:proofErr w:type="spellStart"/>
            <w:r w:rsidRPr="00B45592">
              <w:rPr>
                <w:i/>
                <w:sz w:val="20"/>
                <w:szCs w:val="20"/>
              </w:rPr>
              <w:t>Taxing</w:t>
            </w:r>
            <w:proofErr w:type="spellEnd"/>
          </w:p>
          <w:p w14:paraId="2C00F705" w14:textId="77777777" w:rsidR="00074551" w:rsidRPr="001D69B6" w:rsidRDefault="00074551" w:rsidP="00367133">
            <w:pPr>
              <w:rPr>
                <w:b/>
                <w:bCs/>
                <w:sz w:val="20"/>
                <w:szCs w:val="20"/>
              </w:rPr>
            </w:pPr>
          </w:p>
          <w:p w14:paraId="3C1146B8" w14:textId="77B154D0" w:rsidR="00074551" w:rsidRPr="00BE3728" w:rsidRDefault="00074551" w:rsidP="00367133">
            <w:pPr>
              <w:jc w:val="both"/>
              <w:rPr>
                <w:sz w:val="20"/>
                <w:szCs w:val="20"/>
              </w:rPr>
            </w:pPr>
            <w:r w:rsidRPr="001D69B6">
              <w:rPr>
                <w:sz w:val="20"/>
                <w:szCs w:val="20"/>
              </w:rPr>
              <w:t xml:space="preserve">Der </w:t>
            </w:r>
            <w:r>
              <w:rPr>
                <w:sz w:val="20"/>
                <w:szCs w:val="20"/>
              </w:rPr>
              <w:t>U.S. Supreme Court</w:t>
            </w:r>
            <w:r w:rsidRPr="001D69B6">
              <w:rPr>
                <w:sz w:val="20"/>
                <w:szCs w:val="20"/>
              </w:rPr>
              <w:t xml:space="preserve"> setzt sich mit dem Argument de</w:t>
            </w:r>
            <w:r>
              <w:rPr>
                <w:sz w:val="20"/>
                <w:szCs w:val="20"/>
              </w:rPr>
              <w:t>r</w:t>
            </w:r>
            <w:r w:rsidRPr="001D69B6">
              <w:rPr>
                <w:sz w:val="20"/>
                <w:szCs w:val="20"/>
              </w:rPr>
              <w:t xml:space="preserve"> Kläger</w:t>
            </w:r>
            <w:r>
              <w:rPr>
                <w:sz w:val="20"/>
                <w:szCs w:val="20"/>
              </w:rPr>
              <w:t>in</w:t>
            </w:r>
            <w:r w:rsidRPr="001D69B6">
              <w:rPr>
                <w:sz w:val="20"/>
                <w:szCs w:val="20"/>
              </w:rPr>
              <w:t xml:space="preserve"> auseinander. </w:t>
            </w:r>
            <w:r>
              <w:rPr>
                <w:sz w:val="20"/>
                <w:szCs w:val="20"/>
              </w:rPr>
              <w:t>Diese</w:t>
            </w:r>
            <w:r w:rsidRPr="001D69B6">
              <w:rPr>
                <w:sz w:val="20"/>
                <w:szCs w:val="20"/>
              </w:rPr>
              <w:t xml:space="preserve"> trug vor, dass ein Gesetz gegen die </w:t>
            </w:r>
            <w:r>
              <w:rPr>
                <w:sz w:val="20"/>
                <w:szCs w:val="20"/>
              </w:rPr>
              <w:t>U.S.</w:t>
            </w:r>
            <w:r w:rsidRPr="001D69B6">
              <w:rPr>
                <w:sz w:val="20"/>
                <w:szCs w:val="20"/>
              </w:rPr>
              <w:t xml:space="preserve"> </w:t>
            </w:r>
            <w:proofErr w:type="spellStart"/>
            <w:r>
              <w:rPr>
                <w:sz w:val="20"/>
                <w:szCs w:val="20"/>
              </w:rPr>
              <w:t>Const</w:t>
            </w:r>
            <w:proofErr w:type="spellEnd"/>
            <w:r>
              <w:rPr>
                <w:sz w:val="20"/>
                <w:szCs w:val="20"/>
              </w:rPr>
              <w:t xml:space="preserve">. </w:t>
            </w:r>
            <w:r w:rsidRPr="001D69B6">
              <w:rPr>
                <w:sz w:val="20"/>
                <w:szCs w:val="20"/>
              </w:rPr>
              <w:t xml:space="preserve">verstoße – das Gesetz erhob eine Lizenzgebühr auf Reisegewerbe, aber das Gesetz befreite die Niederlassungen dieser Verkäufer von der Steuer. Die Klägerseite stütze die Verfassungswidrigkeit u.a. auf </w:t>
            </w:r>
            <w:r>
              <w:rPr>
                <w:sz w:val="20"/>
                <w:szCs w:val="20"/>
              </w:rPr>
              <w:t>§ </w:t>
            </w:r>
            <w:r w:rsidRPr="001D69B6">
              <w:rPr>
                <w:sz w:val="20"/>
                <w:szCs w:val="20"/>
              </w:rPr>
              <w:t>1 der Verfassung Alabamas, in welcher es heißt</w:t>
            </w:r>
            <w:r>
              <w:rPr>
                <w:sz w:val="20"/>
                <w:szCs w:val="20"/>
              </w:rPr>
              <w:t>,</w:t>
            </w:r>
            <w:r w:rsidRPr="001D69B6">
              <w:rPr>
                <w:sz w:val="20"/>
                <w:szCs w:val="20"/>
              </w:rPr>
              <w:t xml:space="preserve"> </w:t>
            </w:r>
            <w:r>
              <w:rPr>
                <w:sz w:val="20"/>
                <w:szCs w:val="20"/>
              </w:rPr>
              <w:t>a</w:t>
            </w:r>
            <w:r w:rsidRPr="001D69B6">
              <w:rPr>
                <w:sz w:val="20"/>
                <w:szCs w:val="20"/>
              </w:rPr>
              <w:t>lle Menschen seien mit gewissen unveräußerlichen Rechten ausgestattet; unter diese falle auch das Streben nach Glück.</w:t>
            </w:r>
            <w:r w:rsidRPr="001D69B6">
              <w:rPr>
                <w:sz w:val="20"/>
                <w:szCs w:val="20"/>
                <w:vertAlign w:val="superscript"/>
              </w:rPr>
              <w:footnoteReference w:id="253"/>
            </w:r>
            <w:r w:rsidRPr="001D69B6">
              <w:rPr>
                <w:sz w:val="20"/>
                <w:szCs w:val="20"/>
              </w:rPr>
              <w:t xml:space="preserve"> Der </w:t>
            </w:r>
            <w:r>
              <w:rPr>
                <w:sz w:val="20"/>
                <w:szCs w:val="20"/>
              </w:rPr>
              <w:t>U.S. Supreme Court</w:t>
            </w:r>
            <w:r w:rsidRPr="001D69B6">
              <w:rPr>
                <w:sz w:val="20"/>
                <w:szCs w:val="20"/>
              </w:rPr>
              <w:t xml:space="preserve"> konfundiert das Argument der Klägerseite und den Verstoß gegen das gleiche Streben nach Glück und brachte es auf Ebene der Bundesverfassung: Hier liege eine Einnahmemaßnahme für den Staat vor, diese diskriminiere willkürlich und verletzte damit die </w:t>
            </w:r>
            <w:proofErr w:type="spellStart"/>
            <w:r w:rsidRPr="00B45592">
              <w:rPr>
                <w:i/>
                <w:iCs/>
                <w:sz w:val="20"/>
                <w:szCs w:val="20"/>
              </w:rPr>
              <w:t>equal</w:t>
            </w:r>
            <w:proofErr w:type="spellEnd"/>
            <w:r w:rsidRPr="00B45592">
              <w:rPr>
                <w:i/>
                <w:iCs/>
                <w:sz w:val="20"/>
                <w:szCs w:val="20"/>
              </w:rPr>
              <w:t xml:space="preserve"> </w:t>
            </w:r>
            <w:proofErr w:type="spellStart"/>
            <w:r w:rsidRPr="00B45592">
              <w:rPr>
                <w:i/>
                <w:iCs/>
                <w:sz w:val="20"/>
                <w:szCs w:val="20"/>
              </w:rPr>
              <w:t>protection</w:t>
            </w:r>
            <w:proofErr w:type="spellEnd"/>
            <w:r w:rsidRPr="00B45592">
              <w:rPr>
                <w:i/>
                <w:iCs/>
                <w:sz w:val="20"/>
                <w:szCs w:val="20"/>
              </w:rPr>
              <w:t xml:space="preserve"> </w:t>
            </w:r>
            <w:r w:rsidRPr="001D69B6">
              <w:rPr>
                <w:sz w:val="20"/>
                <w:szCs w:val="20"/>
              </w:rPr>
              <w:t xml:space="preserve">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D69B6">
              <w:rPr>
                <w:sz w:val="20"/>
                <w:szCs w:val="20"/>
              </w:rPr>
              <w:t xml:space="preserve"> Aber staatliche Maßnahmen könn</w:t>
            </w:r>
            <w:r>
              <w:rPr>
                <w:sz w:val="20"/>
                <w:szCs w:val="20"/>
              </w:rPr>
              <w:t>t</w:t>
            </w:r>
            <w:r w:rsidRPr="001D69B6">
              <w:rPr>
                <w:sz w:val="20"/>
                <w:szCs w:val="20"/>
              </w:rPr>
              <w:t>en das gleiche Streben nach Glück und seine Verfassungsrechte durchaus einschränken, insbesondere mit Steuergesetzen. Denn der Bundesstaat habe einen weiten Ermessensspielraum bei der Klassifikation, um Steuern zu erheben</w:t>
            </w:r>
            <w:r>
              <w:rPr>
                <w:sz w:val="20"/>
                <w:szCs w:val="20"/>
              </w:rPr>
              <w:t xml:space="preserve">. Immerhin </w:t>
            </w:r>
            <w:r w:rsidRPr="001D69B6">
              <w:rPr>
                <w:sz w:val="20"/>
                <w:szCs w:val="20"/>
              </w:rPr>
              <w:t>klassifiziere</w:t>
            </w:r>
            <w:r>
              <w:rPr>
                <w:sz w:val="20"/>
                <w:szCs w:val="20"/>
              </w:rPr>
              <w:t xml:space="preserve"> </w:t>
            </w:r>
            <w:r w:rsidRPr="001D69B6">
              <w:rPr>
                <w:sz w:val="20"/>
                <w:szCs w:val="20"/>
              </w:rPr>
              <w:t>Steuergesetzgebung stets; sie könne daher nicht als diskriminierend angesehen werden</w:t>
            </w:r>
            <w:r>
              <w:rPr>
                <w:sz w:val="20"/>
                <w:szCs w:val="20"/>
              </w:rPr>
              <w:t>,</w:t>
            </w:r>
            <w:r w:rsidRPr="001D69B6">
              <w:rPr>
                <w:sz w:val="20"/>
                <w:szCs w:val="20"/>
              </w:rPr>
              <w:t xml:space="preserve"> es sei denn, der Nachweis </w:t>
            </w:r>
            <w:r>
              <w:rPr>
                <w:sz w:val="20"/>
                <w:szCs w:val="20"/>
              </w:rPr>
              <w:t>werde erbracht</w:t>
            </w:r>
            <w:r w:rsidRPr="001D69B6">
              <w:rPr>
                <w:sz w:val="20"/>
                <w:szCs w:val="20"/>
              </w:rPr>
              <w:t xml:space="preserve">, dass es keine vernünftige Grundlage für die Klassifizierung gebe. Dieser Voraussetzung entsprach </w:t>
            </w:r>
            <w:r>
              <w:rPr>
                <w:sz w:val="20"/>
                <w:szCs w:val="20"/>
              </w:rPr>
              <w:t>die</w:t>
            </w:r>
            <w:r w:rsidRPr="001D69B6">
              <w:rPr>
                <w:sz w:val="20"/>
                <w:szCs w:val="20"/>
              </w:rPr>
              <w:t xml:space="preserve"> Kläger</w:t>
            </w:r>
            <w:r>
              <w:rPr>
                <w:sz w:val="20"/>
                <w:szCs w:val="20"/>
              </w:rPr>
              <w:t>in</w:t>
            </w:r>
            <w:r w:rsidRPr="001D69B6">
              <w:rPr>
                <w:sz w:val="20"/>
                <w:szCs w:val="20"/>
              </w:rPr>
              <w:t xml:space="preserve"> nicht, so 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1D69B6">
              <w:rPr>
                <w:sz w:val="20"/>
                <w:szCs w:val="20"/>
              </w:rPr>
              <w:t>.</w:t>
            </w:r>
            <w:r w:rsidRPr="001D69B6">
              <w:rPr>
                <w:sz w:val="20"/>
                <w:szCs w:val="20"/>
                <w:vertAlign w:val="superscript"/>
              </w:rPr>
              <w:footnoteReference w:id="254"/>
            </w:r>
          </w:p>
        </w:tc>
      </w:tr>
      <w:tr w:rsidR="00074551" w:rsidRPr="00E50B51" w14:paraId="111118EA" w14:textId="77777777" w:rsidTr="00BE689F">
        <w:trPr>
          <w:cantSplit/>
          <w:trHeight w:val="3175"/>
        </w:trPr>
        <w:tc>
          <w:tcPr>
            <w:tcW w:w="293" w:type="pct"/>
          </w:tcPr>
          <w:p w14:paraId="1D1F1D1F"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4DACDD3E"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7BB06917" w14:textId="77777777" w:rsidR="00074551" w:rsidRPr="00B45592" w:rsidRDefault="00074551" w:rsidP="00367133">
            <w:pPr>
              <w:ind w:left="113" w:right="113"/>
              <w:jc w:val="both"/>
              <w:rPr>
                <w:i/>
                <w:sz w:val="20"/>
                <w:szCs w:val="20"/>
                <w:lang w:val="en-US"/>
              </w:rPr>
            </w:pPr>
            <w:r w:rsidRPr="00B45592">
              <w:rPr>
                <w:i/>
                <w:sz w:val="20"/>
                <w:szCs w:val="20"/>
                <w:lang w:val="en-US"/>
              </w:rPr>
              <w:t>Bell’s G. R. Co. v. Pennsylvania</w:t>
            </w:r>
          </w:p>
        </w:tc>
        <w:tc>
          <w:tcPr>
            <w:tcW w:w="197" w:type="pct"/>
            <w:textDirection w:val="tbRl"/>
            <w:vAlign w:val="center"/>
          </w:tcPr>
          <w:p w14:paraId="39BC81D4" w14:textId="77777777" w:rsidR="00074551" w:rsidRPr="005D0846" w:rsidRDefault="00074551" w:rsidP="00367133">
            <w:pPr>
              <w:ind w:left="113" w:right="113"/>
              <w:jc w:val="both"/>
              <w:rPr>
                <w:sz w:val="20"/>
                <w:szCs w:val="20"/>
              </w:rPr>
            </w:pPr>
            <w:r w:rsidRPr="00257307">
              <w:rPr>
                <w:sz w:val="20"/>
                <w:szCs w:val="20"/>
              </w:rPr>
              <w:t>134 U.S. 232</w:t>
            </w:r>
          </w:p>
        </w:tc>
        <w:tc>
          <w:tcPr>
            <w:tcW w:w="306" w:type="pct"/>
            <w:textDirection w:val="tbRl"/>
            <w:vAlign w:val="center"/>
          </w:tcPr>
          <w:p w14:paraId="0FCD8034" w14:textId="77777777" w:rsidR="00074551" w:rsidRDefault="00074551" w:rsidP="00367133">
            <w:pPr>
              <w:ind w:left="113" w:right="113"/>
              <w:jc w:val="both"/>
              <w:rPr>
                <w:sz w:val="20"/>
                <w:szCs w:val="20"/>
              </w:rPr>
            </w:pPr>
            <w:r>
              <w:rPr>
                <w:sz w:val="20"/>
                <w:szCs w:val="20"/>
                <w:lang w:val="en-US"/>
              </w:rPr>
              <w:t>3. März 1890</w:t>
            </w:r>
          </w:p>
        </w:tc>
        <w:tc>
          <w:tcPr>
            <w:tcW w:w="401" w:type="pct"/>
          </w:tcPr>
          <w:p w14:paraId="59BC0ABA" w14:textId="77777777" w:rsidR="00074551" w:rsidRDefault="00074551" w:rsidP="00367133">
            <w:pPr>
              <w:jc w:val="center"/>
              <w:rPr>
                <w:sz w:val="20"/>
                <w:szCs w:val="20"/>
                <w:lang w:val="en-US"/>
              </w:rPr>
            </w:pPr>
            <w:r>
              <w:rPr>
                <w:sz w:val="20"/>
                <w:szCs w:val="20"/>
                <w:lang w:val="en-US"/>
              </w:rPr>
              <w:t>M</w:t>
            </w:r>
          </w:p>
        </w:tc>
        <w:tc>
          <w:tcPr>
            <w:tcW w:w="1594" w:type="pct"/>
          </w:tcPr>
          <w:p w14:paraId="1DF4787C" w14:textId="0B5008C1" w:rsidR="00074551" w:rsidRPr="004D07B2" w:rsidRDefault="00074551" w:rsidP="00367133">
            <w:pPr>
              <w:rPr>
                <w:sz w:val="20"/>
                <w:szCs w:val="20"/>
              </w:rPr>
            </w:pPr>
            <w:r w:rsidRPr="004D07B2">
              <w:rPr>
                <w:sz w:val="20"/>
                <w:szCs w:val="20"/>
              </w:rPr>
              <w:t xml:space="preserve">Der </w:t>
            </w:r>
            <w:r>
              <w:rPr>
                <w:sz w:val="20"/>
                <w:szCs w:val="20"/>
              </w:rPr>
              <w:t>U.S. Supreme Court</w:t>
            </w:r>
            <w:r w:rsidRPr="004D07B2">
              <w:rPr>
                <w:sz w:val="20"/>
                <w:szCs w:val="20"/>
              </w:rPr>
              <w:t xml:space="preserve"> bestätigte das Urteil des Berufungsgerichts</w:t>
            </w:r>
            <w:r>
              <w:rPr>
                <w:sz w:val="20"/>
                <w:szCs w:val="20"/>
              </w:rPr>
              <w:t>.</w:t>
            </w:r>
            <w:r w:rsidRPr="004D07B2">
              <w:rPr>
                <w:sz w:val="20"/>
                <w:szCs w:val="20"/>
              </w:rPr>
              <w:t xml:space="preserve"> </w:t>
            </w:r>
            <w:r>
              <w:rPr>
                <w:sz w:val="20"/>
                <w:szCs w:val="20"/>
              </w:rPr>
              <w:t>Dieses</w:t>
            </w:r>
            <w:r w:rsidRPr="004D07B2">
              <w:rPr>
                <w:sz w:val="20"/>
                <w:szCs w:val="20"/>
              </w:rPr>
              <w:t xml:space="preserve"> </w:t>
            </w:r>
            <w:r>
              <w:rPr>
                <w:sz w:val="20"/>
                <w:szCs w:val="20"/>
              </w:rPr>
              <w:t xml:space="preserve">hatte </w:t>
            </w:r>
            <w:r w:rsidRPr="004D07B2">
              <w:rPr>
                <w:sz w:val="20"/>
                <w:szCs w:val="20"/>
              </w:rPr>
              <w:t>das Urteil des erstinstanzlichen Gerichts zugunsten der Klägerin</w:t>
            </w:r>
            <w:r>
              <w:rPr>
                <w:sz w:val="20"/>
                <w:szCs w:val="20"/>
              </w:rPr>
              <w:t xml:space="preserve"> </w:t>
            </w:r>
            <w:r w:rsidRPr="004D07B2">
              <w:rPr>
                <w:sz w:val="20"/>
                <w:szCs w:val="20"/>
              </w:rPr>
              <w:t>aufgehoben.</w:t>
            </w:r>
            <w:r>
              <w:rPr>
                <w:sz w:val="20"/>
                <w:szCs w:val="20"/>
              </w:rPr>
              <w:t xml:space="preserve"> Die </w:t>
            </w:r>
            <w:r w:rsidRPr="004D07B2">
              <w:rPr>
                <w:sz w:val="20"/>
                <w:szCs w:val="20"/>
              </w:rPr>
              <w:t>Klägerin</w:t>
            </w:r>
            <w:r>
              <w:rPr>
                <w:sz w:val="20"/>
                <w:szCs w:val="20"/>
              </w:rPr>
              <w:t xml:space="preserve"> war</w:t>
            </w:r>
            <w:r w:rsidRPr="004D07B2">
              <w:rPr>
                <w:sz w:val="20"/>
                <w:szCs w:val="20"/>
              </w:rPr>
              <w:t xml:space="preserve"> eine Gesellschaft</w:t>
            </w:r>
            <w:r>
              <w:rPr>
                <w:sz w:val="20"/>
                <w:szCs w:val="20"/>
              </w:rPr>
              <w:t xml:space="preserve">, die sich </w:t>
            </w:r>
            <w:r w:rsidRPr="004D07B2">
              <w:rPr>
                <w:sz w:val="20"/>
                <w:szCs w:val="20"/>
              </w:rPr>
              <w:t>gegen d</w:t>
            </w:r>
            <w:r>
              <w:rPr>
                <w:sz w:val="20"/>
                <w:szCs w:val="20"/>
              </w:rPr>
              <w:t>as</w:t>
            </w:r>
            <w:r w:rsidRPr="004D07B2">
              <w:rPr>
                <w:sz w:val="20"/>
                <w:szCs w:val="20"/>
              </w:rPr>
              <w:t xml:space="preserve"> Commonwealth of Pennsylvania</w:t>
            </w:r>
            <w:r>
              <w:rPr>
                <w:sz w:val="20"/>
                <w:szCs w:val="20"/>
              </w:rPr>
              <w:t xml:space="preserve"> wandte</w:t>
            </w:r>
            <w:r w:rsidRPr="004D07B2">
              <w:rPr>
                <w:sz w:val="20"/>
                <w:szCs w:val="20"/>
              </w:rPr>
              <w:t>.</w:t>
            </w:r>
            <w:r>
              <w:rPr>
                <w:sz w:val="20"/>
                <w:szCs w:val="20"/>
              </w:rPr>
              <w:t xml:space="preserve"> Sie</w:t>
            </w:r>
            <w:r w:rsidRPr="004D07B2">
              <w:rPr>
                <w:sz w:val="20"/>
                <w:szCs w:val="20"/>
              </w:rPr>
              <w:t xml:space="preserve"> erhob mehrere Einwände gegen </w:t>
            </w:r>
            <w:r>
              <w:rPr>
                <w:sz w:val="20"/>
                <w:szCs w:val="20"/>
              </w:rPr>
              <w:t xml:space="preserve">eine </w:t>
            </w:r>
            <w:r w:rsidRPr="004D07B2">
              <w:rPr>
                <w:sz w:val="20"/>
                <w:szCs w:val="20"/>
              </w:rPr>
              <w:t xml:space="preserve">Besteuerung </w:t>
            </w:r>
            <w:r>
              <w:rPr>
                <w:sz w:val="20"/>
                <w:szCs w:val="20"/>
              </w:rPr>
              <w:t>ihrer</w:t>
            </w:r>
            <w:r w:rsidRPr="004D07B2">
              <w:rPr>
                <w:sz w:val="20"/>
                <w:szCs w:val="20"/>
              </w:rPr>
              <w:t xml:space="preserve"> Anleihen</w:t>
            </w:r>
            <w:r>
              <w:rPr>
                <w:sz w:val="20"/>
                <w:szCs w:val="20"/>
              </w:rPr>
              <w:t xml:space="preserve">. Diese Besteuerung </w:t>
            </w:r>
            <w:r w:rsidRPr="004D07B2">
              <w:rPr>
                <w:sz w:val="20"/>
                <w:szCs w:val="20"/>
              </w:rPr>
              <w:t>basier</w:t>
            </w:r>
            <w:r>
              <w:rPr>
                <w:sz w:val="20"/>
                <w:szCs w:val="20"/>
              </w:rPr>
              <w:t xml:space="preserve">te </w:t>
            </w:r>
            <w:r w:rsidRPr="004D07B2">
              <w:rPr>
                <w:sz w:val="20"/>
                <w:szCs w:val="20"/>
              </w:rPr>
              <w:t xml:space="preserve">auf Nominal- </w:t>
            </w:r>
            <w:r>
              <w:rPr>
                <w:sz w:val="20"/>
                <w:szCs w:val="20"/>
              </w:rPr>
              <w:t>und</w:t>
            </w:r>
            <w:r w:rsidRPr="004D07B2">
              <w:rPr>
                <w:sz w:val="20"/>
                <w:szCs w:val="20"/>
              </w:rPr>
              <w:t xml:space="preserve"> Nennwert</w:t>
            </w:r>
            <w:r>
              <w:rPr>
                <w:sz w:val="20"/>
                <w:szCs w:val="20"/>
              </w:rPr>
              <w:t>en</w:t>
            </w:r>
            <w:r w:rsidRPr="004D07B2">
              <w:rPr>
                <w:sz w:val="20"/>
                <w:szCs w:val="20"/>
              </w:rPr>
              <w:t>. Die Gesellschaft</w:t>
            </w:r>
            <w:r>
              <w:rPr>
                <w:sz w:val="20"/>
                <w:szCs w:val="20"/>
              </w:rPr>
              <w:t xml:space="preserve"> meinte dazu</w:t>
            </w:r>
            <w:r w:rsidRPr="004D07B2">
              <w:rPr>
                <w:sz w:val="20"/>
                <w:szCs w:val="20"/>
              </w:rPr>
              <w:t xml:space="preserve">, dass </w:t>
            </w:r>
            <w:r>
              <w:rPr>
                <w:sz w:val="20"/>
                <w:szCs w:val="20"/>
              </w:rPr>
              <w:t xml:space="preserve">eine </w:t>
            </w:r>
            <w:r w:rsidRPr="004D07B2">
              <w:rPr>
                <w:sz w:val="20"/>
                <w:szCs w:val="20"/>
              </w:rPr>
              <w:t xml:space="preserve">Steuer </w:t>
            </w:r>
            <w:r>
              <w:rPr>
                <w:sz w:val="20"/>
                <w:szCs w:val="20"/>
              </w:rPr>
              <w:t>nicht derart bewerten dürfe, also eine Einzelfallbewertung auslassen. Damit verstoße die Steuer</w:t>
            </w:r>
            <w:r w:rsidRPr="004D07B2">
              <w:rPr>
                <w:sz w:val="20"/>
                <w:szCs w:val="20"/>
              </w:rPr>
              <w:t xml:space="preserve">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D07B2">
              <w:rPr>
                <w:sz w:val="20"/>
                <w:szCs w:val="20"/>
              </w:rPr>
              <w:t xml:space="preserve"> </w:t>
            </w:r>
            <w:r>
              <w:rPr>
                <w:sz w:val="20"/>
                <w:szCs w:val="20"/>
              </w:rPr>
              <w:t>Denn sie verweigere</w:t>
            </w:r>
            <w:r w:rsidRPr="004D07B2">
              <w:rPr>
                <w:sz w:val="20"/>
                <w:szCs w:val="20"/>
              </w:rPr>
              <w:t xml:space="preserve"> den Anleihegläubigern den gleichen gesetzlichen Schutz</w:t>
            </w:r>
            <w:r>
              <w:rPr>
                <w:sz w:val="20"/>
                <w:szCs w:val="20"/>
              </w:rPr>
              <w:t xml:space="preserve"> gegenüber anderen Anlegern, die anders bewertet würden</w:t>
            </w:r>
            <w:r w:rsidRPr="004D07B2">
              <w:rPr>
                <w:sz w:val="20"/>
                <w:szCs w:val="20"/>
              </w:rPr>
              <w:t xml:space="preserve">. Der </w:t>
            </w:r>
            <w:r>
              <w:rPr>
                <w:sz w:val="20"/>
                <w:szCs w:val="20"/>
              </w:rPr>
              <w:t>U.S. Supreme Court</w:t>
            </w:r>
            <w:r w:rsidRPr="004D07B2">
              <w:rPr>
                <w:sz w:val="20"/>
                <w:szCs w:val="20"/>
              </w:rPr>
              <w:t xml:space="preserve"> hielt fest, </w:t>
            </w:r>
            <w:r>
              <w:rPr>
                <w:sz w:val="20"/>
                <w:szCs w:val="20"/>
              </w:rPr>
              <w:t xml:space="preserve">dass die Bewertung einer Besteuerung durch den </w:t>
            </w:r>
            <w:r w:rsidRPr="004D07B2">
              <w:rPr>
                <w:sz w:val="20"/>
                <w:szCs w:val="20"/>
              </w:rPr>
              <w:t xml:space="preserve">Nennwert der Anleihen nicht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4D07B2">
              <w:rPr>
                <w:sz w:val="20"/>
                <w:szCs w:val="20"/>
              </w:rPr>
              <w:t>verstoße</w:t>
            </w:r>
            <w:r>
              <w:rPr>
                <w:sz w:val="20"/>
                <w:szCs w:val="20"/>
              </w:rPr>
              <w:t>. Denn sie diskriminiere weder</w:t>
            </w:r>
            <w:r w:rsidRPr="004D07B2">
              <w:rPr>
                <w:sz w:val="20"/>
                <w:szCs w:val="20"/>
              </w:rPr>
              <w:t xml:space="preserve"> Personen </w:t>
            </w:r>
            <w:r>
              <w:rPr>
                <w:sz w:val="20"/>
                <w:szCs w:val="20"/>
              </w:rPr>
              <w:t xml:space="preserve">noch </w:t>
            </w:r>
            <w:r w:rsidRPr="004D07B2">
              <w:rPr>
                <w:sz w:val="20"/>
                <w:szCs w:val="20"/>
              </w:rPr>
              <w:t xml:space="preserve">Gesellschaften. </w:t>
            </w:r>
            <w:r>
              <w:rPr>
                <w:sz w:val="20"/>
                <w:szCs w:val="20"/>
              </w:rPr>
              <w:t xml:space="preserve">Und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ziele nicht darauf</w:t>
            </w:r>
            <w:r w:rsidRPr="004D07B2">
              <w:rPr>
                <w:sz w:val="20"/>
                <w:szCs w:val="20"/>
              </w:rPr>
              <w:t>, dass d</w:t>
            </w:r>
            <w:r>
              <w:rPr>
                <w:sz w:val="20"/>
                <w:szCs w:val="20"/>
              </w:rPr>
              <w:t>as</w:t>
            </w:r>
            <w:r w:rsidRPr="004D07B2">
              <w:rPr>
                <w:sz w:val="20"/>
                <w:szCs w:val="20"/>
              </w:rPr>
              <w:t xml:space="preserve"> Steuersystem </w:t>
            </w:r>
            <w:r>
              <w:rPr>
                <w:sz w:val="20"/>
                <w:szCs w:val="20"/>
              </w:rPr>
              <w:t xml:space="preserve">in allen Ungleichbehandlungen </w:t>
            </w:r>
            <w:r w:rsidRPr="004D07B2">
              <w:rPr>
                <w:sz w:val="20"/>
                <w:szCs w:val="20"/>
              </w:rPr>
              <w:t>an</w:t>
            </w:r>
            <w:r>
              <w:rPr>
                <w:sz w:val="20"/>
                <w:szCs w:val="20"/>
              </w:rPr>
              <w:t>zu</w:t>
            </w:r>
            <w:r w:rsidRPr="004D07B2">
              <w:rPr>
                <w:sz w:val="20"/>
                <w:szCs w:val="20"/>
              </w:rPr>
              <w:t xml:space="preserve">passen </w:t>
            </w:r>
            <w:r>
              <w:rPr>
                <w:sz w:val="20"/>
                <w:szCs w:val="20"/>
              </w:rPr>
              <w:t>sei</w:t>
            </w:r>
            <w:r w:rsidRPr="004D07B2">
              <w:rPr>
                <w:sz w:val="20"/>
                <w:szCs w:val="20"/>
              </w:rPr>
              <w:t>.</w:t>
            </w:r>
            <w:r>
              <w:rPr>
                <w:sz w:val="20"/>
                <w:szCs w:val="20"/>
              </w:rPr>
              <w:t xml:space="preserve"> Der U.S. Supreme Court </w:t>
            </w:r>
            <w:r w:rsidRPr="004D07B2">
              <w:rPr>
                <w:sz w:val="20"/>
                <w:szCs w:val="20"/>
              </w:rPr>
              <w:t xml:space="preserve">bestätigte </w:t>
            </w:r>
            <w:r>
              <w:rPr>
                <w:sz w:val="20"/>
                <w:szCs w:val="20"/>
              </w:rPr>
              <w:t xml:space="preserve">daher </w:t>
            </w:r>
            <w:r w:rsidRPr="004D07B2">
              <w:rPr>
                <w:sz w:val="20"/>
                <w:szCs w:val="20"/>
              </w:rPr>
              <w:t xml:space="preserve">das Urteil des Berufungsgerichts, das das zugunsten der Gesellschaft </w:t>
            </w:r>
            <w:r>
              <w:rPr>
                <w:sz w:val="20"/>
                <w:szCs w:val="20"/>
              </w:rPr>
              <w:t xml:space="preserve">ausgefallene </w:t>
            </w:r>
            <w:r w:rsidRPr="004D07B2">
              <w:rPr>
                <w:sz w:val="20"/>
                <w:szCs w:val="20"/>
              </w:rPr>
              <w:t>Urteil des erstinstanzlichen Gerichts aufgehoben hatte.</w:t>
            </w:r>
            <w:r>
              <w:rPr>
                <w:rStyle w:val="Funotenzeichen"/>
                <w:sz w:val="20"/>
                <w:szCs w:val="20"/>
              </w:rPr>
              <w:footnoteReference w:id="255"/>
            </w:r>
          </w:p>
          <w:p w14:paraId="46BEEAA3" w14:textId="77777777" w:rsidR="00074551" w:rsidRPr="00EC0067" w:rsidRDefault="00074551" w:rsidP="00367133">
            <w:pPr>
              <w:rPr>
                <w:sz w:val="20"/>
                <w:szCs w:val="20"/>
              </w:rPr>
            </w:pPr>
          </w:p>
        </w:tc>
        <w:tc>
          <w:tcPr>
            <w:tcW w:w="1822" w:type="pct"/>
          </w:tcPr>
          <w:p w14:paraId="253C54E5" w14:textId="77777777" w:rsidR="00074551" w:rsidRPr="00B45592" w:rsidRDefault="00074551" w:rsidP="00367133">
            <w:pPr>
              <w:rPr>
                <w:i/>
                <w:sz w:val="20"/>
                <w:szCs w:val="20"/>
              </w:rPr>
            </w:pPr>
            <w:r w:rsidRPr="00B45592">
              <w:rPr>
                <w:i/>
                <w:sz w:val="20"/>
                <w:szCs w:val="20"/>
              </w:rPr>
              <w:t>LexisNexis-Klassifikation: Spending/</w:t>
            </w:r>
            <w:proofErr w:type="spellStart"/>
            <w:r w:rsidRPr="00B45592">
              <w:rPr>
                <w:i/>
                <w:sz w:val="20"/>
                <w:szCs w:val="20"/>
              </w:rPr>
              <w:t>Taxing</w:t>
            </w:r>
            <w:proofErr w:type="spellEnd"/>
          </w:p>
          <w:p w14:paraId="16919B54" w14:textId="77777777" w:rsidR="00074551" w:rsidRPr="00B45592" w:rsidRDefault="00074551" w:rsidP="00367133">
            <w:pPr>
              <w:rPr>
                <w:b/>
                <w:bCs/>
                <w:sz w:val="20"/>
                <w:szCs w:val="20"/>
              </w:rPr>
            </w:pPr>
          </w:p>
          <w:p w14:paraId="6B009997" w14:textId="3F769653" w:rsidR="00074551" w:rsidRDefault="00074551" w:rsidP="00367133">
            <w:pPr>
              <w:rPr>
                <w:sz w:val="20"/>
                <w:szCs w:val="20"/>
              </w:rPr>
            </w:pPr>
            <w:r w:rsidRPr="00B45592">
              <w:rPr>
                <w:sz w:val="20"/>
                <w:szCs w:val="20"/>
              </w:rPr>
              <w:t xml:space="preserve">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6347E9">
              <w:rPr>
                <w:sz w:val="20"/>
                <w:szCs w:val="20"/>
                <w:lang w:val="en-US"/>
              </w:rPr>
              <w:t xml:space="preserve"> </w:t>
            </w:r>
            <w:proofErr w:type="spellStart"/>
            <w:r w:rsidRPr="0030780D">
              <w:rPr>
                <w:sz w:val="20"/>
                <w:szCs w:val="20"/>
                <w:lang w:val="en-US"/>
              </w:rPr>
              <w:t>umfasse</w:t>
            </w:r>
            <w:proofErr w:type="spellEnd"/>
            <w:r w:rsidRPr="006347E9">
              <w:rPr>
                <w:sz w:val="20"/>
                <w:szCs w:val="20"/>
                <w:lang w:val="en-US"/>
              </w:rPr>
              <w:t xml:space="preserve"> </w:t>
            </w:r>
            <w:proofErr w:type="spellStart"/>
            <w:r w:rsidRPr="006347E9">
              <w:rPr>
                <w:sz w:val="20"/>
                <w:szCs w:val="20"/>
                <w:lang w:val="en-US"/>
              </w:rPr>
              <w:t>auch</w:t>
            </w:r>
            <w:proofErr w:type="spellEnd"/>
            <w:r w:rsidRPr="006347E9">
              <w:rPr>
                <w:sz w:val="20"/>
                <w:szCs w:val="20"/>
                <w:lang w:val="en-US"/>
              </w:rPr>
              <w:t xml:space="preserve"> das Recht auf </w:t>
            </w:r>
            <w:proofErr w:type="spellStart"/>
            <w:r w:rsidRPr="006347E9">
              <w:rPr>
                <w:sz w:val="20"/>
                <w:szCs w:val="20"/>
                <w:lang w:val="en-US"/>
              </w:rPr>
              <w:t>ein</w:t>
            </w:r>
            <w:proofErr w:type="spellEnd"/>
            <w:r w:rsidRPr="006347E9">
              <w:rPr>
                <w:sz w:val="20"/>
                <w:szCs w:val="20"/>
                <w:lang w:val="en-US"/>
              </w:rPr>
              <w:t xml:space="preserve"> </w:t>
            </w:r>
            <w:proofErr w:type="spellStart"/>
            <w:r w:rsidRPr="006347E9">
              <w:rPr>
                <w:sz w:val="20"/>
                <w:szCs w:val="20"/>
                <w:lang w:val="en-US"/>
              </w:rPr>
              <w:t>gleiches</w:t>
            </w:r>
            <w:proofErr w:type="spellEnd"/>
            <w:r w:rsidRPr="006347E9">
              <w:rPr>
                <w:sz w:val="20"/>
                <w:szCs w:val="20"/>
                <w:lang w:val="en-US"/>
              </w:rPr>
              <w:t xml:space="preserve"> </w:t>
            </w:r>
            <w:proofErr w:type="spellStart"/>
            <w:r w:rsidRPr="006347E9">
              <w:rPr>
                <w:sz w:val="20"/>
                <w:szCs w:val="20"/>
                <w:lang w:val="en-US"/>
              </w:rPr>
              <w:t>Streben</w:t>
            </w:r>
            <w:proofErr w:type="spellEnd"/>
            <w:r w:rsidRPr="006347E9">
              <w:rPr>
                <w:sz w:val="20"/>
                <w:szCs w:val="20"/>
                <w:lang w:val="en-US"/>
              </w:rPr>
              <w:t xml:space="preserve"> </w:t>
            </w:r>
            <w:proofErr w:type="spellStart"/>
            <w:r w:rsidRPr="006347E9">
              <w:rPr>
                <w:sz w:val="20"/>
                <w:szCs w:val="20"/>
                <w:lang w:val="en-US"/>
              </w:rPr>
              <w:t>nach</w:t>
            </w:r>
            <w:proofErr w:type="spellEnd"/>
            <w:r w:rsidRPr="006347E9">
              <w:rPr>
                <w:sz w:val="20"/>
                <w:szCs w:val="20"/>
                <w:lang w:val="en-US"/>
              </w:rPr>
              <w:t xml:space="preserve"> Glück </w:t>
            </w:r>
            <w:r w:rsidRPr="0030780D">
              <w:rPr>
                <w:sz w:val="20"/>
                <w:szCs w:val="20"/>
                <w:lang w:val="en-US"/>
              </w:rPr>
              <w:t xml:space="preserve">und </w:t>
            </w:r>
            <w:proofErr w:type="spellStart"/>
            <w:r w:rsidRPr="0030780D">
              <w:rPr>
                <w:sz w:val="20"/>
                <w:szCs w:val="20"/>
                <w:lang w:val="en-US"/>
              </w:rPr>
              <w:t>schütze</w:t>
            </w:r>
            <w:proofErr w:type="spellEnd"/>
            <w:r w:rsidRPr="0030780D">
              <w:rPr>
                <w:sz w:val="20"/>
                <w:szCs w:val="20"/>
                <w:lang w:val="en-US"/>
              </w:rPr>
              <w:t xml:space="preserve"> </w:t>
            </w:r>
            <w:proofErr w:type="spellStart"/>
            <w:r w:rsidRPr="0030780D">
              <w:rPr>
                <w:sz w:val="20"/>
                <w:szCs w:val="20"/>
                <w:lang w:val="en-US"/>
              </w:rPr>
              <w:t>dagegen</w:t>
            </w:r>
            <w:proofErr w:type="spellEnd"/>
            <w:r w:rsidRPr="0030780D">
              <w:rPr>
                <w:sz w:val="20"/>
                <w:szCs w:val="20"/>
                <w:lang w:val="en-US"/>
              </w:rPr>
              <w:t xml:space="preserve">, </w:t>
            </w:r>
            <w:proofErr w:type="spellStart"/>
            <w:r w:rsidRPr="0030780D">
              <w:rPr>
                <w:sz w:val="20"/>
                <w:szCs w:val="20"/>
                <w:lang w:val="en-US"/>
              </w:rPr>
              <w:t>wenn</w:t>
            </w:r>
            <w:proofErr w:type="spellEnd"/>
            <w:r w:rsidRPr="0030780D">
              <w:rPr>
                <w:sz w:val="20"/>
                <w:szCs w:val="20"/>
                <w:lang w:val="en-US"/>
              </w:rPr>
              <w:t xml:space="preserve"> </w:t>
            </w:r>
            <w:proofErr w:type="spellStart"/>
            <w:r w:rsidRPr="0030780D">
              <w:rPr>
                <w:sz w:val="20"/>
                <w:szCs w:val="20"/>
                <w:lang w:val="en-US"/>
              </w:rPr>
              <w:t>staatliche</w:t>
            </w:r>
            <w:proofErr w:type="spellEnd"/>
            <w:r w:rsidRPr="0030780D">
              <w:rPr>
                <w:sz w:val="20"/>
                <w:szCs w:val="20"/>
                <w:lang w:val="en-US"/>
              </w:rPr>
              <w:t xml:space="preserve"> </w:t>
            </w:r>
            <w:proofErr w:type="spellStart"/>
            <w:r w:rsidRPr="0030780D">
              <w:rPr>
                <w:sz w:val="20"/>
                <w:szCs w:val="20"/>
                <w:lang w:val="en-US"/>
              </w:rPr>
              <w:t>Maßnahmen</w:t>
            </w:r>
            <w:proofErr w:type="spellEnd"/>
            <w:r w:rsidRPr="0030780D">
              <w:rPr>
                <w:sz w:val="20"/>
                <w:szCs w:val="20"/>
                <w:lang w:val="en-US"/>
              </w:rPr>
              <w:t xml:space="preserve"> es </w:t>
            </w:r>
            <w:proofErr w:type="spellStart"/>
            <w:r w:rsidRPr="0030780D">
              <w:rPr>
                <w:sz w:val="20"/>
                <w:szCs w:val="20"/>
                <w:lang w:val="en-US"/>
              </w:rPr>
              <w:t>willkürlich</w:t>
            </w:r>
            <w:proofErr w:type="spellEnd"/>
            <w:r w:rsidRPr="0030780D">
              <w:rPr>
                <w:sz w:val="20"/>
                <w:szCs w:val="20"/>
                <w:lang w:val="en-US"/>
              </w:rPr>
              <w:t xml:space="preserve"> </w:t>
            </w:r>
            <w:proofErr w:type="spellStart"/>
            <w:r w:rsidRPr="0030780D">
              <w:rPr>
                <w:sz w:val="20"/>
                <w:szCs w:val="20"/>
                <w:lang w:val="en-US"/>
              </w:rPr>
              <w:t>einschränken</w:t>
            </w:r>
            <w:proofErr w:type="spellEnd"/>
            <w:r w:rsidRPr="0030780D">
              <w:rPr>
                <w:sz w:val="20"/>
                <w:szCs w:val="20"/>
                <w:lang w:val="en-US"/>
              </w:rPr>
              <w:t xml:space="preserve"> </w:t>
            </w:r>
            <w:proofErr w:type="spellStart"/>
            <w:r w:rsidRPr="0030780D">
              <w:rPr>
                <w:sz w:val="20"/>
                <w:szCs w:val="20"/>
                <w:lang w:val="en-US"/>
              </w:rPr>
              <w:t>woll</w:t>
            </w:r>
            <w:r>
              <w:rPr>
                <w:sz w:val="20"/>
                <w:szCs w:val="20"/>
                <w:lang w:val="en-US"/>
              </w:rPr>
              <w:t>t</w:t>
            </w:r>
            <w:r w:rsidRPr="0030780D">
              <w:rPr>
                <w:sz w:val="20"/>
                <w:szCs w:val="20"/>
                <w:lang w:val="en-US"/>
              </w:rPr>
              <w:t>en</w:t>
            </w:r>
            <w:proofErr w:type="spellEnd"/>
            <w:r w:rsidRPr="0030780D">
              <w:rPr>
                <w:sz w:val="20"/>
                <w:szCs w:val="20"/>
                <w:lang w:val="en-US"/>
              </w:rPr>
              <w:t xml:space="preserve"> </w:t>
            </w:r>
            <w:r w:rsidRPr="006347E9">
              <w:rPr>
                <w:sz w:val="20"/>
                <w:szCs w:val="20"/>
                <w:lang w:val="en-US"/>
              </w:rPr>
              <w:t>(„The Fourteenth Amendment […] undoubtedly intended not only that there should be no arbitrary deprivation of life or liberty, or arbitrary spoliation of property, but that […] all persons should be equally entitled to pursue their happiness”</w:t>
            </w:r>
            <w:r w:rsidRPr="006347E9">
              <w:rPr>
                <w:sz w:val="20"/>
                <w:szCs w:val="20"/>
                <w:vertAlign w:val="superscript"/>
                <w:lang w:val="en-US"/>
              </w:rPr>
              <w:footnoteReference w:id="256"/>
            </w:r>
            <w:r w:rsidRPr="006347E9">
              <w:rPr>
                <w:sz w:val="20"/>
                <w:szCs w:val="20"/>
                <w:lang w:val="en-US"/>
              </w:rPr>
              <w:t xml:space="preserve">). </w:t>
            </w:r>
            <w:r w:rsidRPr="0030780D">
              <w:rPr>
                <w:sz w:val="20"/>
                <w:szCs w:val="20"/>
              </w:rPr>
              <w:t xml:space="preserve">Aber </w:t>
            </w:r>
            <w:r>
              <w:rPr>
                <w:sz w:val="20"/>
                <w:szCs w:val="20"/>
              </w:rPr>
              <w:t>etwa</w:t>
            </w:r>
            <w:r w:rsidRPr="0030780D">
              <w:rPr>
                <w:sz w:val="20"/>
                <w:szCs w:val="20"/>
              </w:rPr>
              <w:t xml:space="preserve"> eine </w:t>
            </w:r>
            <w:r w:rsidRPr="006347E9">
              <w:rPr>
                <w:sz w:val="20"/>
                <w:szCs w:val="20"/>
              </w:rPr>
              <w:t xml:space="preserve">Besteuerungsmethode nach dem Nennwert von Unternehmenswertpapieren als Ausdruck der Polizeihoheit </w:t>
            </w:r>
            <w:r w:rsidRPr="0030780D">
              <w:rPr>
                <w:sz w:val="20"/>
                <w:szCs w:val="20"/>
              </w:rPr>
              <w:t xml:space="preserve">verstoße </w:t>
            </w:r>
            <w:r w:rsidRPr="006347E9">
              <w:rPr>
                <w:sz w:val="20"/>
                <w:szCs w:val="20"/>
              </w:rPr>
              <w:t xml:space="preserve">nicht gegen </w:t>
            </w:r>
            <w:r>
              <w:rPr>
                <w:sz w:val="20"/>
                <w:szCs w:val="20"/>
              </w:rPr>
              <w:t>das</w:t>
            </w:r>
            <w:r w:rsidRPr="006347E9">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6347E9">
              <w:rPr>
                <w:sz w:val="20"/>
                <w:szCs w:val="20"/>
              </w:rPr>
              <w:t xml:space="preserve"> Denn </w:t>
            </w:r>
            <w:r w:rsidRPr="0030780D">
              <w:rPr>
                <w:sz w:val="20"/>
                <w:szCs w:val="20"/>
              </w:rPr>
              <w:t>dabei schränke die staatliche Methode alle</w:t>
            </w:r>
            <w:r w:rsidRPr="006347E9">
              <w:rPr>
                <w:sz w:val="20"/>
                <w:szCs w:val="20"/>
              </w:rPr>
              <w:t xml:space="preserve"> Gesellschaften</w:t>
            </w:r>
            <w:r w:rsidRPr="0030780D">
              <w:rPr>
                <w:sz w:val="20"/>
                <w:szCs w:val="20"/>
              </w:rPr>
              <w:t xml:space="preserve"> gleichermaßen ein</w:t>
            </w:r>
            <w:r>
              <w:rPr>
                <w:sz w:val="20"/>
                <w:szCs w:val="20"/>
              </w:rPr>
              <w:t>.</w:t>
            </w:r>
            <w:r w:rsidRPr="006347E9">
              <w:rPr>
                <w:sz w:val="20"/>
                <w:szCs w:val="20"/>
              </w:rPr>
              <w:t xml:space="preserve"> </w:t>
            </w:r>
            <w:r>
              <w:rPr>
                <w:sz w:val="20"/>
                <w:szCs w:val="20"/>
              </w:rPr>
              <w:t>Z</w:t>
            </w:r>
            <w:r w:rsidRPr="0030780D">
              <w:rPr>
                <w:sz w:val="20"/>
                <w:szCs w:val="20"/>
              </w:rPr>
              <w:t xml:space="preserve">war bestehe </w:t>
            </w:r>
            <w:r w:rsidRPr="006347E9">
              <w:rPr>
                <w:sz w:val="20"/>
                <w:szCs w:val="20"/>
              </w:rPr>
              <w:t>ein gleiches Recht auf ein Streben nach Glück</w:t>
            </w:r>
            <w:r>
              <w:rPr>
                <w:sz w:val="20"/>
                <w:szCs w:val="20"/>
              </w:rPr>
              <w:t>, aber dieses könne eingeschränkt werden durch</w:t>
            </w:r>
            <w:r w:rsidRPr="0030780D">
              <w:rPr>
                <w:sz w:val="20"/>
                <w:szCs w:val="20"/>
              </w:rPr>
              <w:t xml:space="preserve"> Erwägungen wie </w:t>
            </w:r>
            <w:r w:rsidRPr="006347E9">
              <w:rPr>
                <w:sz w:val="20"/>
                <w:szCs w:val="20"/>
              </w:rPr>
              <w:t>Gesundheit, Frieden, Bildung</w:t>
            </w:r>
            <w:r w:rsidRPr="0030780D">
              <w:rPr>
                <w:sz w:val="20"/>
                <w:szCs w:val="20"/>
              </w:rPr>
              <w:t xml:space="preserve">, </w:t>
            </w:r>
            <w:r w:rsidRPr="006347E9">
              <w:rPr>
                <w:sz w:val="20"/>
                <w:szCs w:val="20"/>
              </w:rPr>
              <w:t xml:space="preserve">öffentliche Ordnung oder </w:t>
            </w:r>
            <w:r>
              <w:rPr>
                <w:sz w:val="20"/>
                <w:szCs w:val="20"/>
              </w:rPr>
              <w:t xml:space="preserve">das Ziel, </w:t>
            </w:r>
            <w:r w:rsidRPr="006347E9">
              <w:rPr>
                <w:sz w:val="20"/>
                <w:szCs w:val="20"/>
              </w:rPr>
              <w:t xml:space="preserve">staatliche Industrien </w:t>
            </w:r>
            <w:r w:rsidRPr="0030780D">
              <w:rPr>
                <w:sz w:val="20"/>
                <w:szCs w:val="20"/>
              </w:rPr>
              <w:t xml:space="preserve">zu </w:t>
            </w:r>
            <w:r w:rsidRPr="006347E9">
              <w:rPr>
                <w:sz w:val="20"/>
                <w:szCs w:val="20"/>
              </w:rPr>
              <w:t xml:space="preserve">fördern </w:t>
            </w:r>
            <w:r w:rsidRPr="0030780D">
              <w:rPr>
                <w:sz w:val="20"/>
                <w:szCs w:val="20"/>
              </w:rPr>
              <w:t>und</w:t>
            </w:r>
            <w:r w:rsidRPr="006347E9">
              <w:rPr>
                <w:sz w:val="20"/>
                <w:szCs w:val="20"/>
              </w:rPr>
              <w:t xml:space="preserve"> Ressourcen </w:t>
            </w:r>
            <w:r w:rsidRPr="0030780D">
              <w:rPr>
                <w:sz w:val="20"/>
                <w:szCs w:val="20"/>
              </w:rPr>
              <w:t xml:space="preserve">zu </w:t>
            </w:r>
            <w:r w:rsidRPr="006347E9">
              <w:rPr>
                <w:sz w:val="20"/>
                <w:szCs w:val="20"/>
              </w:rPr>
              <w:t xml:space="preserve">entwickeln </w:t>
            </w:r>
            <w:r>
              <w:rPr>
                <w:sz w:val="20"/>
                <w:szCs w:val="20"/>
              </w:rPr>
              <w:t>sowie</w:t>
            </w:r>
            <w:r w:rsidRPr="0030780D">
              <w:rPr>
                <w:sz w:val="20"/>
                <w:szCs w:val="20"/>
              </w:rPr>
              <w:t xml:space="preserve"> </w:t>
            </w:r>
            <w:r w:rsidRPr="006347E9">
              <w:rPr>
                <w:sz w:val="20"/>
                <w:szCs w:val="20"/>
              </w:rPr>
              <w:t xml:space="preserve">den Wohlstand </w:t>
            </w:r>
            <w:r w:rsidRPr="0030780D">
              <w:rPr>
                <w:sz w:val="20"/>
                <w:szCs w:val="20"/>
              </w:rPr>
              <w:t>zu mehren.</w:t>
            </w:r>
            <w:r w:rsidRPr="006347E9">
              <w:rPr>
                <w:sz w:val="20"/>
                <w:szCs w:val="20"/>
                <w:vertAlign w:val="superscript"/>
              </w:rPr>
              <w:footnoteReference w:id="257"/>
            </w:r>
            <w:r w:rsidRPr="0030780D">
              <w:rPr>
                <w:sz w:val="20"/>
                <w:szCs w:val="20"/>
              </w:rPr>
              <w:t xml:space="preserve"> </w:t>
            </w:r>
            <w:r w:rsidRPr="006347E9">
              <w:rPr>
                <w:sz w:val="20"/>
                <w:szCs w:val="20"/>
              </w:rPr>
              <w:t>Und zudem liege die Kompetenz zu besteuern beim Bundesstaat.</w:t>
            </w:r>
            <w:r w:rsidRPr="006347E9">
              <w:rPr>
                <w:sz w:val="20"/>
                <w:szCs w:val="20"/>
                <w:vertAlign w:val="superscript"/>
              </w:rPr>
              <w:footnoteReference w:id="258"/>
            </w:r>
          </w:p>
        </w:tc>
      </w:tr>
      <w:tr w:rsidR="00074551" w:rsidRPr="00E50B51" w14:paraId="69A6A485" w14:textId="77777777" w:rsidTr="00752D01">
        <w:trPr>
          <w:cantSplit/>
          <w:trHeight w:val="3175"/>
        </w:trPr>
        <w:tc>
          <w:tcPr>
            <w:tcW w:w="293" w:type="pct"/>
            <w:shd w:val="clear" w:color="auto" w:fill="E7E6E6" w:themeFill="background2"/>
          </w:tcPr>
          <w:p w14:paraId="57F5816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00732A30"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5D262304" w14:textId="77777777" w:rsidR="00074551" w:rsidRPr="00E50B51" w:rsidRDefault="00074551" w:rsidP="00367133">
            <w:pPr>
              <w:ind w:left="113" w:right="113"/>
              <w:jc w:val="both"/>
              <w:rPr>
                <w:sz w:val="20"/>
                <w:szCs w:val="20"/>
              </w:rPr>
            </w:pPr>
            <w:r w:rsidRPr="00E50B51">
              <w:rPr>
                <w:sz w:val="20"/>
                <w:szCs w:val="20"/>
                <w:lang w:val="en-US"/>
              </w:rPr>
              <w:t>Spending &amp; Taxing</w:t>
            </w:r>
          </w:p>
          <w:p w14:paraId="1B1A3769" w14:textId="77777777" w:rsidR="00074551" w:rsidRPr="00E50B51" w:rsidRDefault="00074551" w:rsidP="00367133">
            <w:pPr>
              <w:ind w:left="113" w:right="113"/>
              <w:jc w:val="both"/>
              <w:rPr>
                <w:sz w:val="20"/>
                <w:szCs w:val="20"/>
              </w:rPr>
            </w:pPr>
          </w:p>
        </w:tc>
        <w:tc>
          <w:tcPr>
            <w:tcW w:w="306" w:type="pct"/>
            <w:shd w:val="clear" w:color="auto" w:fill="E7E6E6" w:themeFill="background2"/>
            <w:textDirection w:val="tbRl"/>
            <w:vAlign w:val="center"/>
          </w:tcPr>
          <w:p w14:paraId="57CC65C0" w14:textId="77777777" w:rsidR="00074551" w:rsidRPr="00E50B51" w:rsidRDefault="00074551" w:rsidP="00367133">
            <w:pPr>
              <w:ind w:left="113" w:right="113"/>
              <w:jc w:val="both"/>
              <w:rPr>
                <w:sz w:val="20"/>
                <w:szCs w:val="20"/>
              </w:rPr>
            </w:pPr>
            <w:r w:rsidRPr="00E50B51">
              <w:rPr>
                <w:sz w:val="20"/>
                <w:szCs w:val="20"/>
                <w:lang w:val="en-US"/>
              </w:rPr>
              <w:t>Income Tax</w:t>
            </w:r>
          </w:p>
        </w:tc>
        <w:tc>
          <w:tcPr>
            <w:tcW w:w="401" w:type="pct"/>
            <w:shd w:val="clear" w:color="auto" w:fill="E7E6E6" w:themeFill="background2"/>
          </w:tcPr>
          <w:p w14:paraId="57684FD7"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7CBC3D2" w14:textId="77777777" w:rsidR="00074551" w:rsidRPr="00E50B51" w:rsidRDefault="00074551" w:rsidP="00367133">
            <w:pPr>
              <w:jc w:val="both"/>
              <w:rPr>
                <w:sz w:val="20"/>
                <w:szCs w:val="20"/>
              </w:rPr>
            </w:pPr>
          </w:p>
        </w:tc>
        <w:tc>
          <w:tcPr>
            <w:tcW w:w="1822" w:type="pct"/>
            <w:shd w:val="clear" w:color="auto" w:fill="E7E6E6" w:themeFill="background2"/>
          </w:tcPr>
          <w:p w14:paraId="3F242B87" w14:textId="1730FE80"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7E887C83" w14:textId="77777777" w:rsidTr="00BE689F">
        <w:trPr>
          <w:cantSplit/>
          <w:trHeight w:val="3175"/>
        </w:trPr>
        <w:tc>
          <w:tcPr>
            <w:tcW w:w="293" w:type="pct"/>
          </w:tcPr>
          <w:p w14:paraId="3902714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DC0D7BC" w14:textId="77777777" w:rsidR="00074551" w:rsidRPr="00B45592" w:rsidRDefault="00074551" w:rsidP="00367133">
            <w:pPr>
              <w:ind w:left="113" w:right="416"/>
              <w:jc w:val="both"/>
              <w:rPr>
                <w:i/>
                <w:sz w:val="20"/>
                <w:szCs w:val="20"/>
                <w:lang w:val="en-US"/>
              </w:rPr>
            </w:pPr>
            <w:r w:rsidRPr="00B45592">
              <w:rPr>
                <w:i/>
                <w:sz w:val="20"/>
                <w:szCs w:val="20"/>
                <w:lang w:val="en-US"/>
              </w:rPr>
              <w:t>Steward Machine Co. v. Davis</w:t>
            </w:r>
          </w:p>
        </w:tc>
        <w:tc>
          <w:tcPr>
            <w:tcW w:w="197" w:type="pct"/>
            <w:textDirection w:val="tbRl"/>
            <w:vAlign w:val="center"/>
          </w:tcPr>
          <w:p w14:paraId="5A211572" w14:textId="77777777" w:rsidR="00074551" w:rsidRPr="00E50B51" w:rsidRDefault="00074551" w:rsidP="00367133">
            <w:pPr>
              <w:ind w:left="113" w:right="113"/>
              <w:jc w:val="both"/>
              <w:rPr>
                <w:sz w:val="20"/>
                <w:szCs w:val="20"/>
                <w:lang w:val="en-US"/>
              </w:rPr>
            </w:pPr>
            <w:r w:rsidRPr="00E50B51">
              <w:rPr>
                <w:sz w:val="20"/>
                <w:szCs w:val="20"/>
                <w:lang w:val="en-US"/>
              </w:rPr>
              <w:t>301 U.S. 548</w:t>
            </w:r>
          </w:p>
        </w:tc>
        <w:tc>
          <w:tcPr>
            <w:tcW w:w="306" w:type="pct"/>
            <w:textDirection w:val="tbRl"/>
            <w:vAlign w:val="center"/>
          </w:tcPr>
          <w:p w14:paraId="4240A190" w14:textId="77777777" w:rsidR="00074551" w:rsidRPr="00E50B51" w:rsidRDefault="00074551" w:rsidP="00367133">
            <w:pPr>
              <w:ind w:left="113" w:right="113"/>
              <w:jc w:val="both"/>
              <w:rPr>
                <w:sz w:val="20"/>
                <w:szCs w:val="20"/>
              </w:rPr>
            </w:pPr>
            <w:r w:rsidRPr="00E50B51">
              <w:rPr>
                <w:sz w:val="20"/>
                <w:szCs w:val="20"/>
                <w:lang w:val="en-US"/>
              </w:rPr>
              <w:t>24. Mai 1937</w:t>
            </w:r>
          </w:p>
        </w:tc>
        <w:tc>
          <w:tcPr>
            <w:tcW w:w="401" w:type="pct"/>
          </w:tcPr>
          <w:p w14:paraId="4482E169"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6C0E59A6" w14:textId="77777777" w:rsidR="00074551" w:rsidRPr="00E50B51" w:rsidRDefault="00074551" w:rsidP="00367133">
            <w:pPr>
              <w:jc w:val="both"/>
              <w:rPr>
                <w:sz w:val="20"/>
                <w:szCs w:val="20"/>
              </w:rPr>
            </w:pPr>
            <w:r w:rsidRPr="00E50B51">
              <w:rPr>
                <w:sz w:val="20"/>
                <w:szCs w:val="20"/>
              </w:rPr>
              <w:t>*</w:t>
            </w:r>
          </w:p>
        </w:tc>
        <w:tc>
          <w:tcPr>
            <w:tcW w:w="1822" w:type="pct"/>
          </w:tcPr>
          <w:p w14:paraId="7D9233B5" w14:textId="5DBBBF24"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meint</w:t>
            </w:r>
            <w:r>
              <w:rPr>
                <w:sz w:val="20"/>
                <w:szCs w:val="20"/>
              </w:rPr>
              <w:t>e</w:t>
            </w:r>
            <w:r w:rsidRPr="00E50B51">
              <w:rPr>
                <w:sz w:val="20"/>
                <w:szCs w:val="20"/>
              </w:rPr>
              <w:t xml:space="preserve">, der Kongress habe die Kompetenz, Steuern, Zölle, Abgaben und Verbrauchssteuern gemäß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E50B51">
              <w:rPr>
                <w:sz w:val="20"/>
                <w:szCs w:val="20"/>
              </w:rPr>
              <w:t xml:space="preserve"> zu erheben. Dabei ist die direkte von der indirekten Steuer zu unterscheiden. Wenn der Staat direkt besteuert, dann muss die Steuer sich der Volkszählung entsprechend verteilen („</w:t>
            </w:r>
            <w:proofErr w:type="spellStart"/>
            <w:r w:rsidRPr="00E50B51">
              <w:rPr>
                <w:sz w:val="20"/>
                <w:szCs w:val="20"/>
              </w:rPr>
              <w:t>apportioned</w:t>
            </w:r>
            <w:proofErr w:type="spellEnd"/>
            <w:r w:rsidRPr="00E50B51">
              <w:rPr>
                <w:sz w:val="20"/>
                <w:szCs w:val="20"/>
              </w:rPr>
              <w:t xml:space="preserve"> </w:t>
            </w:r>
            <w:proofErr w:type="spellStart"/>
            <w:r w:rsidRPr="00E50B51">
              <w:rPr>
                <w:sz w:val="20"/>
                <w:szCs w:val="20"/>
              </w:rPr>
              <w:t>according</w:t>
            </w:r>
            <w:proofErr w:type="spellEnd"/>
            <w:r w:rsidRPr="00E50B51">
              <w:rPr>
                <w:sz w:val="20"/>
                <w:szCs w:val="20"/>
              </w:rPr>
              <w:t xml:space="preserve"> to the </w:t>
            </w:r>
            <w:proofErr w:type="spellStart"/>
            <w:r w:rsidRPr="00E50B51">
              <w:rPr>
                <w:sz w:val="20"/>
                <w:szCs w:val="20"/>
              </w:rPr>
              <w:t>census</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59"/>
            </w:r>
            <w:r w:rsidRPr="00E50B51">
              <w:rPr>
                <w:sz w:val="20"/>
                <w:szCs w:val="20"/>
              </w:rPr>
              <w:t>). Wenn der Staat indirekt besteuert, z.B. in Form von Zöllen, einer Abgabe oder einer Verbrauchssteuer, dann muss sich die Steuer in den Vereinigten Staaten einheitlich verteilen („</w:t>
            </w:r>
            <w:proofErr w:type="spellStart"/>
            <w:r w:rsidRPr="00E50B51">
              <w:rPr>
                <w:sz w:val="20"/>
                <w:szCs w:val="20"/>
              </w:rPr>
              <w:t>shall</w:t>
            </w:r>
            <w:proofErr w:type="spellEnd"/>
            <w:r w:rsidRPr="00E50B51">
              <w:rPr>
                <w:sz w:val="20"/>
                <w:szCs w:val="20"/>
              </w:rPr>
              <w:t xml:space="preserve"> </w:t>
            </w:r>
            <w:proofErr w:type="spellStart"/>
            <w:r w:rsidRPr="00E50B51">
              <w:rPr>
                <w:sz w:val="20"/>
                <w:szCs w:val="20"/>
              </w:rPr>
              <w:t>be</w:t>
            </w:r>
            <w:proofErr w:type="spellEnd"/>
            <w:r w:rsidRPr="00E50B51">
              <w:rPr>
                <w:sz w:val="20"/>
                <w:szCs w:val="20"/>
              </w:rPr>
              <w:t xml:space="preserve"> uniform“</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60"/>
            </w:r>
            <w:r w:rsidRPr="00E50B51">
              <w:rPr>
                <w:sz w:val="20"/>
                <w:szCs w:val="20"/>
              </w:rPr>
              <w:t>), also nicht anhand der Volkszählung. Im Fall belastet eine indirekte Steuer Arbeitsverhältnisse, die aber als Ausdruck der Berufsfreiheit ein natürliches bzw. unveräußerliche</w:t>
            </w:r>
            <w:r>
              <w:rPr>
                <w:sz w:val="20"/>
                <w:szCs w:val="20"/>
              </w:rPr>
              <w:t>s</w:t>
            </w:r>
            <w:r w:rsidRPr="00E50B51">
              <w:rPr>
                <w:sz w:val="20"/>
                <w:szCs w:val="20"/>
              </w:rPr>
              <w:t xml:space="preserve"> Recht sind, weil sie eine Bedingung für Glücksstreben darstellen. </w:t>
            </w:r>
            <w:r w:rsidRPr="00E50B51">
              <w:rPr>
                <w:sz w:val="20"/>
                <w:szCs w:val="20"/>
                <w:lang w:val="en-US"/>
              </w:rPr>
              <w:t xml:space="preserve">Sie </w:t>
            </w:r>
            <w:proofErr w:type="spellStart"/>
            <w:r w:rsidRPr="00E50B51">
              <w:rPr>
                <w:sz w:val="20"/>
                <w:szCs w:val="20"/>
                <w:lang w:val="en-US"/>
              </w:rPr>
              <w:t>sind</w:t>
            </w:r>
            <w:proofErr w:type="spellEnd"/>
            <w:r w:rsidRPr="00E50B51">
              <w:rPr>
                <w:sz w:val="20"/>
                <w:szCs w:val="20"/>
                <w:lang w:val="en-US"/>
              </w:rPr>
              <w:t xml:space="preserve"> also </w:t>
            </w:r>
            <w:proofErr w:type="spellStart"/>
            <w:r w:rsidRPr="00E50B51">
              <w:rPr>
                <w:sz w:val="20"/>
                <w:szCs w:val="20"/>
                <w:lang w:val="en-US"/>
              </w:rPr>
              <w:t>mehr</w:t>
            </w:r>
            <w:proofErr w:type="spellEnd"/>
            <w:r w:rsidRPr="00E50B51">
              <w:rPr>
                <w:sz w:val="20"/>
                <w:szCs w:val="20"/>
                <w:lang w:val="en-US"/>
              </w:rPr>
              <w:t xml:space="preserve"> </w:t>
            </w:r>
            <w:proofErr w:type="spellStart"/>
            <w:r w:rsidRPr="00E50B51">
              <w:rPr>
                <w:sz w:val="20"/>
                <w:szCs w:val="20"/>
                <w:lang w:val="en-US"/>
              </w:rPr>
              <w:t>als</w:t>
            </w:r>
            <w:proofErr w:type="spellEnd"/>
            <w:r w:rsidRPr="00E50B51">
              <w:rPr>
                <w:sz w:val="20"/>
                <w:szCs w:val="20"/>
                <w:lang w:val="en-US"/>
              </w:rPr>
              <w:t xml:space="preserve"> </w:t>
            </w:r>
            <w:proofErr w:type="spellStart"/>
            <w:r w:rsidRPr="00E50B51">
              <w:rPr>
                <w:sz w:val="20"/>
                <w:szCs w:val="20"/>
                <w:lang w:val="en-US"/>
              </w:rPr>
              <w:t>ein</w:t>
            </w:r>
            <w:proofErr w:type="spellEnd"/>
            <w:r w:rsidRPr="00E50B51">
              <w:rPr>
                <w:sz w:val="20"/>
                <w:szCs w:val="20"/>
                <w:lang w:val="en-US"/>
              </w:rPr>
              <w:t xml:space="preserve"> </w:t>
            </w:r>
            <w:proofErr w:type="spellStart"/>
            <w:r w:rsidRPr="00E50B51">
              <w:rPr>
                <w:sz w:val="20"/>
                <w:szCs w:val="20"/>
                <w:lang w:val="en-US"/>
              </w:rPr>
              <w:t>bloßes</w:t>
            </w:r>
            <w:proofErr w:type="spellEnd"/>
            <w:r w:rsidRPr="00E50B51">
              <w:rPr>
                <w:sz w:val="20"/>
                <w:szCs w:val="20"/>
                <w:lang w:val="en-US"/>
              </w:rPr>
              <w:t xml:space="preserve"> </w:t>
            </w:r>
            <w:proofErr w:type="spellStart"/>
            <w:r w:rsidRPr="00E50B51">
              <w:rPr>
                <w:sz w:val="20"/>
                <w:szCs w:val="20"/>
                <w:lang w:val="en-US"/>
              </w:rPr>
              <w:t>Vorrecht</w:t>
            </w:r>
            <w:proofErr w:type="spellEnd"/>
            <w:r w:rsidRPr="00E50B51">
              <w:rPr>
                <w:sz w:val="20"/>
                <w:szCs w:val="20"/>
                <w:lang w:val="en-US"/>
              </w:rPr>
              <w:t xml:space="preserve"> („employment for lawful gain is </w:t>
            </w:r>
            <w:proofErr w:type="gramStart"/>
            <w:r w:rsidRPr="00E50B51">
              <w:rPr>
                <w:sz w:val="20"/>
                <w:szCs w:val="20"/>
                <w:lang w:val="en-US"/>
              </w:rPr>
              <w:t xml:space="preserve">a </w:t>
            </w:r>
            <w:r>
              <w:rPr>
                <w:sz w:val="20"/>
                <w:szCs w:val="20"/>
                <w:lang w:val="en-US"/>
              </w:rPr>
              <w:t>,</w:t>
            </w:r>
            <w:r w:rsidRPr="00E50B51">
              <w:rPr>
                <w:sz w:val="20"/>
                <w:szCs w:val="20"/>
                <w:lang w:val="en-US"/>
              </w:rPr>
              <w:t>natural</w:t>
            </w:r>
            <w:r>
              <w:rPr>
                <w:sz w:val="20"/>
                <w:szCs w:val="20"/>
                <w:lang w:val="en-US"/>
              </w:rPr>
              <w:t>‘</w:t>
            </w:r>
            <w:r w:rsidRPr="00E50B51">
              <w:rPr>
                <w:sz w:val="20"/>
                <w:szCs w:val="20"/>
                <w:lang w:val="en-US"/>
              </w:rPr>
              <w:t xml:space="preserve"> or </w:t>
            </w:r>
            <w:r>
              <w:rPr>
                <w:sz w:val="20"/>
                <w:szCs w:val="20"/>
                <w:lang w:val="en-US"/>
              </w:rPr>
              <w:t>,</w:t>
            </w:r>
            <w:r w:rsidRPr="00E50B51">
              <w:rPr>
                <w:sz w:val="20"/>
                <w:szCs w:val="20"/>
                <w:lang w:val="en-US"/>
              </w:rPr>
              <w:t>inherent</w:t>
            </w:r>
            <w:r>
              <w:rPr>
                <w:sz w:val="20"/>
                <w:szCs w:val="20"/>
                <w:lang w:val="en-US"/>
              </w:rPr>
              <w:t>‘</w:t>
            </w:r>
            <w:r w:rsidRPr="00E50B51">
              <w:rPr>
                <w:sz w:val="20"/>
                <w:szCs w:val="20"/>
                <w:lang w:val="en-US"/>
              </w:rPr>
              <w:t xml:space="preserve"> or </w:t>
            </w:r>
            <w:r>
              <w:rPr>
                <w:sz w:val="20"/>
                <w:szCs w:val="20"/>
                <w:lang w:val="en-US"/>
              </w:rPr>
              <w:t>,</w:t>
            </w:r>
            <w:r w:rsidRPr="00E50B51">
              <w:rPr>
                <w:sz w:val="20"/>
                <w:szCs w:val="20"/>
                <w:lang w:val="en-US"/>
              </w:rPr>
              <w:t>inalienable</w:t>
            </w:r>
            <w:r>
              <w:rPr>
                <w:sz w:val="20"/>
                <w:szCs w:val="20"/>
                <w:lang w:val="en-US"/>
              </w:rPr>
              <w:t>‘</w:t>
            </w:r>
            <w:r w:rsidRPr="00E50B51">
              <w:rPr>
                <w:sz w:val="20"/>
                <w:szCs w:val="20"/>
                <w:lang w:val="en-US"/>
              </w:rPr>
              <w:t xml:space="preserve"> right</w:t>
            </w:r>
            <w:proofErr w:type="gramEnd"/>
            <w:r w:rsidRPr="00E50B51">
              <w:rPr>
                <w:sz w:val="20"/>
                <w:szCs w:val="20"/>
                <w:lang w:val="en-US"/>
              </w:rPr>
              <w:t xml:space="preserve">, and not </w:t>
            </w:r>
            <w:proofErr w:type="gramStart"/>
            <w:r w:rsidRPr="00E50B51">
              <w:rPr>
                <w:sz w:val="20"/>
                <w:szCs w:val="20"/>
                <w:lang w:val="en-US"/>
              </w:rPr>
              <w:t xml:space="preserve">a </w:t>
            </w:r>
            <w:r>
              <w:rPr>
                <w:sz w:val="20"/>
                <w:szCs w:val="20"/>
                <w:lang w:val="en-US"/>
              </w:rPr>
              <w:t>,</w:t>
            </w:r>
            <w:r w:rsidRPr="00E50B51">
              <w:rPr>
                <w:sz w:val="20"/>
                <w:szCs w:val="20"/>
                <w:lang w:val="en-US"/>
              </w:rPr>
              <w:t>privilege</w:t>
            </w:r>
            <w:r>
              <w:rPr>
                <w:sz w:val="20"/>
                <w:szCs w:val="20"/>
                <w:lang w:val="en-US"/>
              </w:rPr>
              <w:t>‘</w:t>
            </w:r>
            <w:r w:rsidRPr="00E50B51">
              <w:rPr>
                <w:sz w:val="20"/>
                <w:szCs w:val="20"/>
                <w:lang w:val="en-US"/>
              </w:rPr>
              <w:t> at</w:t>
            </w:r>
            <w:proofErr w:type="gramEnd"/>
            <w:r w:rsidRPr="00E50B51">
              <w:rPr>
                <w:sz w:val="20"/>
                <w:szCs w:val="20"/>
                <w:lang w:val="en-US"/>
              </w:rPr>
              <w:t xml:space="preserve"> </w:t>
            </w:r>
            <w:proofErr w:type="gramStart"/>
            <w:r w:rsidRPr="00E50B51">
              <w:rPr>
                <w:sz w:val="20"/>
                <w:szCs w:val="20"/>
                <w:lang w:val="en-US"/>
              </w:rPr>
              <w:t>all“</w:t>
            </w:r>
            <w:proofErr w:type="gramEnd"/>
            <w:r w:rsidRPr="00E50B51">
              <w:rPr>
                <w:rStyle w:val="Funotenzeichen"/>
                <w:rFonts w:eastAsiaTheme="majorEastAsia"/>
                <w:sz w:val="20"/>
                <w:szCs w:val="20"/>
              </w:rPr>
              <w:footnoteReference w:id="261"/>
            </w:r>
            <w:r w:rsidRPr="00E50B51">
              <w:rPr>
                <w:sz w:val="20"/>
                <w:szCs w:val="20"/>
                <w:lang w:val="en-US"/>
              </w:rPr>
              <w:t xml:space="preserve">). Daher </w:t>
            </w:r>
            <w:proofErr w:type="spellStart"/>
            <w:r w:rsidRPr="00E50B51">
              <w:rPr>
                <w:sz w:val="20"/>
                <w:szCs w:val="20"/>
                <w:lang w:val="en-US"/>
              </w:rPr>
              <w:t>seien</w:t>
            </w:r>
            <w:proofErr w:type="spellEnd"/>
            <w:r w:rsidRPr="00E50B51">
              <w:rPr>
                <w:sz w:val="20"/>
                <w:szCs w:val="20"/>
                <w:lang w:val="en-US"/>
              </w:rPr>
              <w:t xml:space="preserve"> </w:t>
            </w:r>
            <w:proofErr w:type="spellStart"/>
            <w:r w:rsidRPr="00E50B51">
              <w:rPr>
                <w:sz w:val="20"/>
                <w:szCs w:val="20"/>
                <w:lang w:val="en-US"/>
              </w:rPr>
              <w:t>sie</w:t>
            </w:r>
            <w:proofErr w:type="spellEnd"/>
            <w:r w:rsidRPr="00E50B51">
              <w:rPr>
                <w:sz w:val="20"/>
                <w:szCs w:val="20"/>
                <w:lang w:val="en-US"/>
              </w:rPr>
              <w:t xml:space="preserve"> </w:t>
            </w:r>
            <w:proofErr w:type="spellStart"/>
            <w:r w:rsidRPr="00E50B51">
              <w:rPr>
                <w:sz w:val="20"/>
                <w:szCs w:val="20"/>
                <w:lang w:val="en-US"/>
              </w:rPr>
              <w:t>im</w:t>
            </w:r>
            <w:proofErr w:type="spellEnd"/>
            <w:r w:rsidRPr="00E50B51">
              <w:rPr>
                <w:sz w:val="20"/>
                <w:szCs w:val="20"/>
                <w:lang w:val="en-US"/>
              </w:rPr>
              <w:t xml:space="preserve"> </w:t>
            </w:r>
            <w:proofErr w:type="spellStart"/>
            <w:r w:rsidRPr="00E50B51">
              <w:rPr>
                <w:sz w:val="20"/>
                <w:szCs w:val="20"/>
                <w:lang w:val="en-US"/>
              </w:rPr>
              <w:t>Grundsatz</w:t>
            </w:r>
            <w:proofErr w:type="spellEnd"/>
            <w:r w:rsidRPr="00E50B51">
              <w:rPr>
                <w:sz w:val="20"/>
                <w:szCs w:val="20"/>
                <w:lang w:val="en-US"/>
              </w:rPr>
              <w:t xml:space="preserve"> </w:t>
            </w:r>
            <w:proofErr w:type="spellStart"/>
            <w:r w:rsidRPr="00E50B51">
              <w:rPr>
                <w:sz w:val="20"/>
                <w:szCs w:val="20"/>
                <w:lang w:val="en-US"/>
              </w:rPr>
              <w:t>auch</w:t>
            </w:r>
            <w:proofErr w:type="spellEnd"/>
            <w:r w:rsidRPr="00E50B51">
              <w:rPr>
                <w:sz w:val="20"/>
                <w:szCs w:val="20"/>
                <w:lang w:val="en-US"/>
              </w:rPr>
              <w:t xml:space="preserve"> </w:t>
            </w:r>
            <w:proofErr w:type="spellStart"/>
            <w:r w:rsidRPr="00E50B51">
              <w:rPr>
                <w:sz w:val="20"/>
                <w:szCs w:val="20"/>
                <w:lang w:val="en-US"/>
              </w:rPr>
              <w:t>frei</w:t>
            </w:r>
            <w:proofErr w:type="spellEnd"/>
            <w:r w:rsidRPr="00E50B51">
              <w:rPr>
                <w:sz w:val="20"/>
                <w:szCs w:val="20"/>
                <w:lang w:val="en-US"/>
              </w:rPr>
              <w:t xml:space="preserve"> von </w:t>
            </w:r>
            <w:proofErr w:type="spellStart"/>
            <w:r w:rsidRPr="00E50B51">
              <w:rPr>
                <w:sz w:val="20"/>
                <w:szCs w:val="20"/>
                <w:lang w:val="en-US"/>
              </w:rPr>
              <w:t>Steuern</w:t>
            </w:r>
            <w:proofErr w:type="spellEnd"/>
            <w:r w:rsidRPr="00E50B51">
              <w:rPr>
                <w:sz w:val="20"/>
                <w:szCs w:val="20"/>
                <w:lang w:val="en-US"/>
              </w:rPr>
              <w:t xml:space="preserve"> </w:t>
            </w:r>
            <w:proofErr w:type="spellStart"/>
            <w:r w:rsidRPr="00E50B51">
              <w:rPr>
                <w:sz w:val="20"/>
                <w:szCs w:val="20"/>
                <w:lang w:val="en-US"/>
              </w:rPr>
              <w:t>zu</w:t>
            </w:r>
            <w:proofErr w:type="spellEnd"/>
            <w:r w:rsidRPr="00E50B51">
              <w:rPr>
                <w:sz w:val="20"/>
                <w:szCs w:val="20"/>
                <w:lang w:val="en-US"/>
              </w:rPr>
              <w:t xml:space="preserve"> </w:t>
            </w:r>
            <w:proofErr w:type="spellStart"/>
            <w:r w:rsidRPr="00E50B51">
              <w:rPr>
                <w:sz w:val="20"/>
                <w:szCs w:val="20"/>
                <w:lang w:val="en-US"/>
              </w:rPr>
              <w:t>halten</w:t>
            </w:r>
            <w:proofErr w:type="spellEnd"/>
            <w:r w:rsidRPr="00E50B51">
              <w:rPr>
                <w:sz w:val="20"/>
                <w:szCs w:val="20"/>
                <w:lang w:val="en-US"/>
              </w:rPr>
              <w:t xml:space="preserve"> („relation of employment is one so essential to the pursuit of happiness that it may not be burdened with a </w:t>
            </w:r>
            <w:proofErr w:type="gramStart"/>
            <w:r w:rsidRPr="00E50B51">
              <w:rPr>
                <w:sz w:val="20"/>
                <w:szCs w:val="20"/>
                <w:lang w:val="en-US"/>
              </w:rPr>
              <w:t>tax“</w:t>
            </w:r>
            <w:proofErr w:type="gramEnd"/>
            <w:r w:rsidRPr="00E50B51">
              <w:rPr>
                <w:rStyle w:val="Funotenzeichen"/>
                <w:rFonts w:eastAsiaTheme="majorEastAsia"/>
                <w:sz w:val="20"/>
                <w:szCs w:val="20"/>
              </w:rPr>
              <w:footnoteReference w:id="262"/>
            </w:r>
            <w:r w:rsidRPr="00B45592">
              <w:rPr>
                <w:sz w:val="20"/>
                <w:szCs w:val="20"/>
                <w:lang w:val="en-IE"/>
              </w:rPr>
              <w:t xml:space="preserve">). </w:t>
            </w:r>
            <w:r w:rsidRPr="00E50B51">
              <w:rPr>
                <w:sz w:val="20"/>
                <w:szCs w:val="20"/>
              </w:rPr>
              <w:t xml:space="preserve">Allerdings </w:t>
            </w:r>
            <w:r>
              <w:rPr>
                <w:sz w:val="20"/>
                <w:szCs w:val="20"/>
              </w:rPr>
              <w:t>könne</w:t>
            </w:r>
            <w:r w:rsidRPr="00E50B51">
              <w:rPr>
                <w:sz w:val="20"/>
                <w:szCs w:val="20"/>
              </w:rPr>
              <w:t xml:space="preserve"> der Staat sowohl Unternehmen als auch Teilelemente davon besteuern, wie </w:t>
            </w:r>
            <w:r>
              <w:rPr>
                <w:sz w:val="20"/>
                <w:szCs w:val="20"/>
              </w:rPr>
              <w:t xml:space="preserve">etwa </w:t>
            </w:r>
            <w:r w:rsidRPr="00E50B51">
              <w:rPr>
                <w:sz w:val="20"/>
                <w:szCs w:val="20"/>
              </w:rPr>
              <w:t>Arbeitsverhältnisse</w:t>
            </w:r>
            <w:r>
              <w:rPr>
                <w:sz w:val="20"/>
                <w:szCs w:val="20"/>
              </w:rPr>
              <w:t>,</w:t>
            </w:r>
            <w:r w:rsidRPr="00E50B51">
              <w:rPr>
                <w:sz w:val="20"/>
                <w:szCs w:val="20"/>
              </w:rPr>
              <w:t xml:space="preserve"> </w:t>
            </w:r>
            <w:r w:rsidRPr="00B45592">
              <w:rPr>
                <w:sz w:val="20"/>
                <w:szCs w:val="20"/>
              </w:rPr>
              <w:t xml:space="preserve">solange er diese gleichermaßen besteuere („A </w:t>
            </w:r>
            <w:proofErr w:type="spellStart"/>
            <w:r w:rsidRPr="00B45592">
              <w:rPr>
                <w:sz w:val="20"/>
                <w:szCs w:val="20"/>
              </w:rPr>
              <w:t>state</w:t>
            </w:r>
            <w:proofErr w:type="spellEnd"/>
            <w:r w:rsidRPr="00B45592">
              <w:rPr>
                <w:sz w:val="20"/>
                <w:szCs w:val="20"/>
              </w:rPr>
              <w:t xml:space="preserve"> </w:t>
            </w:r>
            <w:proofErr w:type="spellStart"/>
            <w:r w:rsidRPr="00B45592">
              <w:rPr>
                <w:sz w:val="20"/>
                <w:szCs w:val="20"/>
              </w:rPr>
              <w:t>is</w:t>
            </w:r>
            <w:proofErr w:type="spellEnd"/>
            <w:r w:rsidRPr="00B45592">
              <w:rPr>
                <w:sz w:val="20"/>
                <w:szCs w:val="20"/>
              </w:rPr>
              <w:t xml:space="preserve"> at </w:t>
            </w:r>
            <w:proofErr w:type="spellStart"/>
            <w:r w:rsidRPr="00B45592">
              <w:rPr>
                <w:sz w:val="20"/>
                <w:szCs w:val="20"/>
              </w:rPr>
              <w:t>liberty</w:t>
            </w:r>
            <w:proofErr w:type="spellEnd"/>
            <w:r w:rsidRPr="00B45592">
              <w:rPr>
                <w:sz w:val="20"/>
                <w:szCs w:val="20"/>
              </w:rPr>
              <w:t xml:space="preserve">, </w:t>
            </w:r>
            <w:proofErr w:type="spellStart"/>
            <w:r w:rsidRPr="00B45592">
              <w:rPr>
                <w:sz w:val="20"/>
                <w:szCs w:val="20"/>
              </w:rPr>
              <w:t>if</w:t>
            </w:r>
            <w:proofErr w:type="spellEnd"/>
            <w:r w:rsidRPr="00B45592">
              <w:rPr>
                <w:sz w:val="20"/>
                <w:szCs w:val="20"/>
              </w:rPr>
              <w:t xml:space="preserve"> it </w:t>
            </w:r>
            <w:proofErr w:type="spellStart"/>
            <w:r w:rsidRPr="00B45592">
              <w:rPr>
                <w:sz w:val="20"/>
                <w:szCs w:val="20"/>
              </w:rPr>
              <w:t>pleases</w:t>
            </w:r>
            <w:proofErr w:type="spellEnd"/>
            <w:r w:rsidRPr="00B45592">
              <w:rPr>
                <w:sz w:val="20"/>
                <w:szCs w:val="20"/>
              </w:rPr>
              <w:t xml:space="preserve">, to </w:t>
            </w:r>
            <w:proofErr w:type="spellStart"/>
            <w:r w:rsidRPr="00B45592">
              <w:rPr>
                <w:sz w:val="20"/>
                <w:szCs w:val="20"/>
              </w:rPr>
              <w:t>tax</w:t>
            </w:r>
            <w:proofErr w:type="spellEnd"/>
            <w:r w:rsidRPr="00B45592">
              <w:rPr>
                <w:sz w:val="20"/>
                <w:szCs w:val="20"/>
              </w:rPr>
              <w:t xml:space="preserve"> </w:t>
            </w:r>
            <w:proofErr w:type="spellStart"/>
            <w:r w:rsidRPr="00B45592">
              <w:rPr>
                <w:sz w:val="20"/>
                <w:szCs w:val="20"/>
              </w:rPr>
              <w:t>them</w:t>
            </w:r>
            <w:proofErr w:type="spellEnd"/>
            <w:r w:rsidRPr="00B45592">
              <w:rPr>
                <w:sz w:val="20"/>
                <w:szCs w:val="20"/>
              </w:rPr>
              <w:t xml:space="preserve"> all </w:t>
            </w:r>
            <w:proofErr w:type="spellStart"/>
            <w:r w:rsidRPr="00B45592">
              <w:rPr>
                <w:sz w:val="20"/>
                <w:szCs w:val="20"/>
              </w:rPr>
              <w:t>collectively</w:t>
            </w:r>
            <w:proofErr w:type="spellEnd"/>
            <w:r w:rsidRPr="00B45592">
              <w:rPr>
                <w:sz w:val="20"/>
                <w:szCs w:val="20"/>
              </w:rPr>
              <w:t>“</w:t>
            </w:r>
            <w:r w:rsidRPr="00E50B51">
              <w:rPr>
                <w:rStyle w:val="Funotenzeichen"/>
                <w:rFonts w:eastAsiaTheme="majorEastAsia"/>
                <w:sz w:val="20"/>
                <w:szCs w:val="20"/>
                <w:lang w:val="en-US"/>
              </w:rPr>
              <w:footnoteReference w:id="263"/>
            </w:r>
            <w:r w:rsidRPr="00B45592">
              <w:rPr>
                <w:sz w:val="20"/>
                <w:szCs w:val="20"/>
              </w:rPr>
              <w:t xml:space="preserve">). </w:t>
            </w:r>
            <w:r w:rsidRPr="00E50B51">
              <w:rPr>
                <w:sz w:val="20"/>
                <w:szCs w:val="20"/>
              </w:rPr>
              <w:t>Aufgrund dieser Gleichmäßigkeit gelte nur die Willkürgrenze (“</w:t>
            </w:r>
            <w:proofErr w:type="spellStart"/>
            <w:r w:rsidRPr="00E50B51">
              <w:rPr>
                <w:sz w:val="20"/>
                <w:szCs w:val="20"/>
              </w:rPr>
              <w:t>if</w:t>
            </w:r>
            <w:proofErr w:type="spellEnd"/>
            <w:r w:rsidRPr="00E50B51">
              <w:rPr>
                <w:sz w:val="20"/>
                <w:szCs w:val="20"/>
              </w:rPr>
              <w:t xml:space="preserve"> the </w:t>
            </w:r>
            <w:proofErr w:type="spellStart"/>
            <w:r w:rsidRPr="00E50B51">
              <w:rPr>
                <w:sz w:val="20"/>
                <w:szCs w:val="20"/>
              </w:rPr>
              <w:t>classification</w:t>
            </w:r>
            <w:proofErr w:type="spellEnd"/>
            <w:r w:rsidRPr="00E50B51">
              <w:rPr>
                <w:sz w:val="20"/>
                <w:szCs w:val="20"/>
              </w:rPr>
              <w:t xml:space="preserve"> </w:t>
            </w:r>
            <w:proofErr w:type="spellStart"/>
            <w:r w:rsidRPr="00E50B51">
              <w:rPr>
                <w:sz w:val="20"/>
                <w:szCs w:val="20"/>
              </w:rPr>
              <w:t>is</w:t>
            </w:r>
            <w:proofErr w:type="spellEnd"/>
            <w:r w:rsidRPr="00E50B51">
              <w:rPr>
                <w:sz w:val="20"/>
                <w:szCs w:val="20"/>
              </w:rPr>
              <w:t xml:space="preserve"> not </w:t>
            </w:r>
            <w:proofErr w:type="spellStart"/>
            <w:r w:rsidRPr="00E50B51">
              <w:rPr>
                <w:sz w:val="20"/>
                <w:szCs w:val="20"/>
              </w:rPr>
              <w:t>tyrannical</w:t>
            </w:r>
            <w:proofErr w:type="spellEnd"/>
            <w:r w:rsidRPr="00E50B51">
              <w:rPr>
                <w:sz w:val="20"/>
                <w:szCs w:val="20"/>
              </w:rPr>
              <w:t xml:space="preserve"> </w:t>
            </w:r>
            <w:proofErr w:type="spellStart"/>
            <w:r w:rsidRPr="00E50B51">
              <w:rPr>
                <w:sz w:val="20"/>
                <w:szCs w:val="20"/>
              </w:rPr>
              <w:t>or</w:t>
            </w:r>
            <w:proofErr w:type="spellEnd"/>
            <w:r w:rsidRPr="00E50B51">
              <w:rPr>
                <w:sz w:val="20"/>
                <w:szCs w:val="20"/>
              </w:rPr>
              <w:t xml:space="preserve"> </w:t>
            </w:r>
            <w:proofErr w:type="spellStart"/>
            <w:r w:rsidRPr="00E50B51">
              <w:rPr>
                <w:sz w:val="20"/>
                <w:szCs w:val="20"/>
              </w:rPr>
              <w:t>arbitrary</w:t>
            </w:r>
            <w:proofErr w:type="spellEnd"/>
            <w:r w:rsidRPr="00E50B51">
              <w:rPr>
                <w:sz w:val="20"/>
                <w:szCs w:val="20"/>
              </w:rPr>
              <w:t>.”</w:t>
            </w:r>
            <w:r w:rsidRPr="00E50B51">
              <w:rPr>
                <w:rStyle w:val="Funotenzeichen"/>
                <w:rFonts w:eastAsiaTheme="majorEastAsia"/>
                <w:sz w:val="20"/>
                <w:szCs w:val="20"/>
                <w:lang w:val="en-US"/>
              </w:rPr>
              <w:footnoteReference w:id="264"/>
            </w:r>
            <w:r w:rsidRPr="00E50B51">
              <w:rPr>
                <w:sz w:val="20"/>
                <w:szCs w:val="20"/>
              </w:rPr>
              <w:t>). Die staatliche Möglichkeit</w:t>
            </w:r>
            <w:r>
              <w:rPr>
                <w:sz w:val="20"/>
                <w:szCs w:val="20"/>
              </w:rPr>
              <w:t>,</w:t>
            </w:r>
            <w:r w:rsidRPr="00E50B51">
              <w:rPr>
                <w:sz w:val="20"/>
                <w:szCs w:val="20"/>
              </w:rPr>
              <w:t xml:space="preserve"> durch Steuern auch unveräußerliche Rechte einzuschränken, </w:t>
            </w:r>
            <w:r>
              <w:rPr>
                <w:sz w:val="20"/>
                <w:szCs w:val="20"/>
              </w:rPr>
              <w:t>sei</w:t>
            </w:r>
            <w:r w:rsidRPr="00E50B51">
              <w:rPr>
                <w:sz w:val="20"/>
                <w:szCs w:val="20"/>
              </w:rPr>
              <w:t xml:space="preserve"> dabei denkbar weit („</w:t>
            </w:r>
            <w:proofErr w:type="spellStart"/>
            <w:r w:rsidRPr="00E50B51">
              <w:rPr>
                <w:sz w:val="20"/>
                <w:szCs w:val="20"/>
              </w:rPr>
              <w:t>subject</w:t>
            </w:r>
            <w:proofErr w:type="spellEnd"/>
            <w:r w:rsidRPr="00E50B51">
              <w:rPr>
                <w:sz w:val="20"/>
                <w:szCs w:val="20"/>
              </w:rPr>
              <w:t xml:space="preserve"> matter of </w:t>
            </w:r>
            <w:proofErr w:type="spellStart"/>
            <w:r w:rsidRPr="00E50B51">
              <w:rPr>
                <w:sz w:val="20"/>
                <w:szCs w:val="20"/>
              </w:rPr>
              <w:t>taxation</w:t>
            </w:r>
            <w:proofErr w:type="spellEnd"/>
            <w:r w:rsidRPr="00E50B51">
              <w:rPr>
                <w:sz w:val="20"/>
                <w:szCs w:val="20"/>
              </w:rPr>
              <w:t xml:space="preserve"> open“</w:t>
            </w:r>
            <w:r w:rsidRPr="00E50B51">
              <w:rPr>
                <w:rStyle w:val="Funotenzeichen"/>
                <w:rFonts w:eastAsiaTheme="majorEastAsia"/>
                <w:sz w:val="20"/>
                <w:szCs w:val="20"/>
              </w:rPr>
              <w:footnoteReference w:id="265"/>
            </w:r>
            <w:r w:rsidRPr="00E50B51">
              <w:rPr>
                <w:sz w:val="20"/>
                <w:szCs w:val="20"/>
              </w:rPr>
              <w:t>), weil Steuern die staatliche Souveränität absicher</w:t>
            </w:r>
            <w:r>
              <w:rPr>
                <w:sz w:val="20"/>
                <w:szCs w:val="20"/>
              </w:rPr>
              <w:t>te</w:t>
            </w:r>
            <w:r w:rsidRPr="00E50B51">
              <w:rPr>
                <w:sz w:val="20"/>
                <w:szCs w:val="20"/>
              </w:rPr>
              <w:t>n („</w:t>
            </w:r>
            <w:proofErr w:type="spellStart"/>
            <w:r w:rsidRPr="00E50B51">
              <w:rPr>
                <w:sz w:val="20"/>
                <w:szCs w:val="20"/>
              </w:rPr>
              <w:t>every</w:t>
            </w:r>
            <w:proofErr w:type="spellEnd"/>
            <w:r w:rsidRPr="00E50B51">
              <w:rPr>
                <w:sz w:val="20"/>
                <w:szCs w:val="20"/>
              </w:rPr>
              <w:t xml:space="preserve"> form of </w:t>
            </w:r>
            <w:proofErr w:type="spellStart"/>
            <w:r w:rsidRPr="00E50B51">
              <w:rPr>
                <w:sz w:val="20"/>
                <w:szCs w:val="20"/>
              </w:rPr>
              <w:t>tax</w:t>
            </w:r>
            <w:proofErr w:type="spellEnd"/>
            <w:r w:rsidRPr="00E50B51">
              <w:rPr>
                <w:sz w:val="20"/>
                <w:szCs w:val="20"/>
              </w:rPr>
              <w:t xml:space="preserve"> </w:t>
            </w:r>
            <w:proofErr w:type="spellStart"/>
            <w:r w:rsidRPr="00E50B51">
              <w:rPr>
                <w:sz w:val="20"/>
                <w:szCs w:val="20"/>
              </w:rPr>
              <w:t>appropriate</w:t>
            </w:r>
            <w:proofErr w:type="spellEnd"/>
            <w:r w:rsidRPr="00E50B51">
              <w:rPr>
                <w:sz w:val="20"/>
                <w:szCs w:val="20"/>
              </w:rPr>
              <w:t xml:space="preserve"> to </w:t>
            </w:r>
            <w:proofErr w:type="spellStart"/>
            <w:r w:rsidRPr="00E50B51">
              <w:rPr>
                <w:sz w:val="20"/>
                <w:szCs w:val="20"/>
              </w:rPr>
              <w:t>sovereignty</w:t>
            </w:r>
            <w:proofErr w:type="spellEnd"/>
            <w:r w:rsidRPr="00E50B51">
              <w:rPr>
                <w:sz w:val="20"/>
                <w:szCs w:val="20"/>
              </w:rPr>
              <w:t>“</w:t>
            </w:r>
            <w:r w:rsidRPr="00E50B51">
              <w:rPr>
                <w:rStyle w:val="Funotenzeichen"/>
                <w:rFonts w:eastAsiaTheme="majorEastAsia"/>
                <w:sz w:val="20"/>
                <w:szCs w:val="20"/>
              </w:rPr>
              <w:footnoteReference w:id="266"/>
            </w:r>
            <w:r w:rsidRPr="00E50B51">
              <w:rPr>
                <w:sz w:val="20"/>
                <w:szCs w:val="20"/>
              </w:rPr>
              <w:t xml:space="preserve">), die auch Grundvoraussetzung </w:t>
            </w:r>
            <w:r>
              <w:rPr>
                <w:sz w:val="20"/>
                <w:szCs w:val="20"/>
              </w:rPr>
              <w:t xml:space="preserve">etwa </w:t>
            </w:r>
            <w:r w:rsidRPr="00E50B51">
              <w:rPr>
                <w:sz w:val="20"/>
                <w:szCs w:val="20"/>
              </w:rPr>
              <w:t xml:space="preserve">für </w:t>
            </w:r>
            <w:r>
              <w:rPr>
                <w:sz w:val="20"/>
                <w:szCs w:val="20"/>
              </w:rPr>
              <w:t xml:space="preserve">die </w:t>
            </w:r>
            <w:r w:rsidRPr="00E50B51">
              <w:rPr>
                <w:sz w:val="20"/>
                <w:szCs w:val="20"/>
              </w:rPr>
              <w:t>Bedingungen für Glücksstreben sei.</w:t>
            </w:r>
          </w:p>
          <w:p w14:paraId="6CD69113" w14:textId="77777777" w:rsidR="00074551" w:rsidRPr="00E50B51" w:rsidRDefault="00074551" w:rsidP="00367133">
            <w:pPr>
              <w:jc w:val="both"/>
              <w:rPr>
                <w:sz w:val="20"/>
                <w:szCs w:val="20"/>
              </w:rPr>
            </w:pPr>
          </w:p>
        </w:tc>
      </w:tr>
      <w:tr w:rsidR="00074551" w:rsidRPr="00E50B51" w14:paraId="56572DCD" w14:textId="77777777" w:rsidTr="00752D01">
        <w:trPr>
          <w:cantSplit/>
          <w:trHeight w:val="3175"/>
        </w:trPr>
        <w:tc>
          <w:tcPr>
            <w:tcW w:w="293" w:type="pct"/>
            <w:shd w:val="clear" w:color="auto" w:fill="E7E6E6" w:themeFill="background2"/>
          </w:tcPr>
          <w:p w14:paraId="551D9C1C"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6BFAB503" w14:textId="77777777" w:rsidR="00074551" w:rsidRPr="00E50B51" w:rsidRDefault="00074551" w:rsidP="00367133">
            <w:pPr>
              <w:ind w:left="113" w:right="416"/>
              <w:jc w:val="both"/>
              <w:rPr>
                <w:sz w:val="20"/>
                <w:szCs w:val="20"/>
                <w:lang w:val="en-US"/>
              </w:rPr>
            </w:pPr>
            <w:r w:rsidRPr="00BE3728">
              <w:rPr>
                <w:sz w:val="20"/>
                <w:szCs w:val="20"/>
              </w:rPr>
              <w:t>Wirtschaftliche Seite</w:t>
            </w:r>
          </w:p>
        </w:tc>
        <w:tc>
          <w:tcPr>
            <w:tcW w:w="197" w:type="pct"/>
            <w:shd w:val="clear" w:color="auto" w:fill="E7E6E6" w:themeFill="background2"/>
            <w:textDirection w:val="tbRl"/>
            <w:vAlign w:val="center"/>
          </w:tcPr>
          <w:p w14:paraId="0BFF21F0" w14:textId="77777777" w:rsidR="00074551" w:rsidRPr="00BE3728" w:rsidRDefault="00074551" w:rsidP="00367133">
            <w:pPr>
              <w:ind w:left="113" w:right="113"/>
              <w:jc w:val="both"/>
              <w:rPr>
                <w:sz w:val="20"/>
                <w:szCs w:val="20"/>
              </w:rPr>
            </w:pPr>
            <w:r w:rsidRPr="00BE3728">
              <w:rPr>
                <w:sz w:val="20"/>
                <w:szCs w:val="20"/>
                <w:lang w:val="en-US"/>
              </w:rPr>
              <w:t>Spending &amp; Taxing</w:t>
            </w:r>
          </w:p>
          <w:p w14:paraId="55C5B29A" w14:textId="77777777" w:rsidR="00074551" w:rsidRPr="00E50B51" w:rsidRDefault="00074551" w:rsidP="00367133">
            <w:pPr>
              <w:ind w:left="113" w:right="113"/>
              <w:jc w:val="both"/>
              <w:rPr>
                <w:sz w:val="20"/>
                <w:szCs w:val="20"/>
                <w:lang w:val="en-US"/>
              </w:rPr>
            </w:pPr>
          </w:p>
        </w:tc>
        <w:tc>
          <w:tcPr>
            <w:tcW w:w="306" w:type="pct"/>
            <w:shd w:val="clear" w:color="auto" w:fill="E7E6E6" w:themeFill="background2"/>
            <w:textDirection w:val="tbRl"/>
            <w:vAlign w:val="center"/>
          </w:tcPr>
          <w:p w14:paraId="1C61A38D" w14:textId="77777777" w:rsidR="00074551" w:rsidRPr="00E50B51" w:rsidRDefault="00074551" w:rsidP="00367133">
            <w:pPr>
              <w:ind w:left="113" w:right="113"/>
              <w:jc w:val="both"/>
              <w:rPr>
                <w:sz w:val="20"/>
                <w:szCs w:val="20"/>
                <w:lang w:val="en-US"/>
              </w:rPr>
            </w:pPr>
            <w:r w:rsidRPr="00BE3728">
              <w:rPr>
                <w:sz w:val="20"/>
                <w:szCs w:val="20"/>
                <w:lang w:val="en-US"/>
              </w:rPr>
              <w:t>Real Property Taxes</w:t>
            </w:r>
          </w:p>
        </w:tc>
        <w:tc>
          <w:tcPr>
            <w:tcW w:w="401" w:type="pct"/>
            <w:shd w:val="clear" w:color="auto" w:fill="E7E6E6" w:themeFill="background2"/>
          </w:tcPr>
          <w:p w14:paraId="68CC1763"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78AA0F85" w14:textId="77777777" w:rsidR="00074551" w:rsidRPr="00E50B51" w:rsidRDefault="00074551" w:rsidP="00367133">
            <w:pPr>
              <w:jc w:val="both"/>
              <w:rPr>
                <w:sz w:val="20"/>
                <w:szCs w:val="20"/>
              </w:rPr>
            </w:pPr>
          </w:p>
        </w:tc>
        <w:tc>
          <w:tcPr>
            <w:tcW w:w="1822" w:type="pct"/>
            <w:shd w:val="clear" w:color="auto" w:fill="E7E6E6" w:themeFill="background2"/>
          </w:tcPr>
          <w:p w14:paraId="2F226A5D" w14:textId="1577E47E"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17ABF5C9" w14:textId="77777777" w:rsidTr="00BE689F">
        <w:trPr>
          <w:cantSplit/>
          <w:trHeight w:val="3175"/>
        </w:trPr>
        <w:tc>
          <w:tcPr>
            <w:tcW w:w="293" w:type="pct"/>
          </w:tcPr>
          <w:p w14:paraId="6984FE44"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2E1B6D04" w14:textId="77777777" w:rsidR="00074551" w:rsidRPr="00B45592" w:rsidRDefault="00074551" w:rsidP="00367133">
            <w:pPr>
              <w:ind w:left="113" w:right="416"/>
              <w:jc w:val="both"/>
              <w:rPr>
                <w:i/>
                <w:sz w:val="20"/>
                <w:szCs w:val="20"/>
                <w:lang w:val="en-US"/>
              </w:rPr>
            </w:pPr>
            <w:r w:rsidRPr="00B45592">
              <w:rPr>
                <w:i/>
                <w:sz w:val="20"/>
                <w:szCs w:val="20"/>
              </w:rPr>
              <w:t>Kelly v. Pittsburgh</w:t>
            </w:r>
          </w:p>
        </w:tc>
        <w:tc>
          <w:tcPr>
            <w:tcW w:w="197" w:type="pct"/>
            <w:textDirection w:val="tbRl"/>
            <w:vAlign w:val="center"/>
          </w:tcPr>
          <w:p w14:paraId="6D320506" w14:textId="77777777" w:rsidR="00074551" w:rsidRPr="00E50B51" w:rsidRDefault="00074551" w:rsidP="00367133">
            <w:pPr>
              <w:ind w:left="113" w:right="113"/>
              <w:jc w:val="both"/>
              <w:rPr>
                <w:sz w:val="20"/>
                <w:szCs w:val="20"/>
                <w:lang w:val="en-US"/>
              </w:rPr>
            </w:pPr>
            <w:r w:rsidRPr="00BE3728">
              <w:rPr>
                <w:sz w:val="20"/>
                <w:szCs w:val="20"/>
              </w:rPr>
              <w:t>104 U.S. 78</w:t>
            </w:r>
          </w:p>
        </w:tc>
        <w:tc>
          <w:tcPr>
            <w:tcW w:w="306" w:type="pct"/>
            <w:textDirection w:val="tbRl"/>
            <w:vAlign w:val="center"/>
          </w:tcPr>
          <w:p w14:paraId="32F79777" w14:textId="77777777" w:rsidR="00074551" w:rsidRPr="00E50B51" w:rsidRDefault="00074551" w:rsidP="00367133">
            <w:pPr>
              <w:ind w:left="113" w:right="113"/>
              <w:jc w:val="both"/>
              <w:rPr>
                <w:sz w:val="20"/>
                <w:szCs w:val="20"/>
                <w:lang w:val="en-US"/>
              </w:rPr>
            </w:pPr>
            <w:r w:rsidRPr="00BE3728">
              <w:rPr>
                <w:sz w:val="20"/>
                <w:szCs w:val="20"/>
              </w:rPr>
              <w:t>07. November 1881</w:t>
            </w:r>
          </w:p>
        </w:tc>
        <w:tc>
          <w:tcPr>
            <w:tcW w:w="401" w:type="pct"/>
          </w:tcPr>
          <w:p w14:paraId="5F7A7371"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77AB8D44" w14:textId="22434A2C" w:rsidR="00074551" w:rsidRPr="00BE3728" w:rsidRDefault="00074551" w:rsidP="00367133">
            <w:pPr>
              <w:jc w:val="both"/>
              <w:rPr>
                <w:sz w:val="20"/>
                <w:szCs w:val="20"/>
              </w:rPr>
            </w:pPr>
            <w:r w:rsidRPr="00BE3728">
              <w:rPr>
                <w:sz w:val="20"/>
                <w:szCs w:val="20"/>
              </w:rPr>
              <w:t xml:space="preserve">Das Gericht bestätigte das Urteil gegen </w:t>
            </w:r>
            <w:r>
              <w:rPr>
                <w:sz w:val="20"/>
                <w:szCs w:val="20"/>
              </w:rPr>
              <w:t>einen</w:t>
            </w:r>
            <w:r w:rsidRPr="00BE3728">
              <w:rPr>
                <w:sz w:val="20"/>
                <w:szCs w:val="20"/>
              </w:rPr>
              <w:t xml:space="preserve"> Bauernhofbesitzer. Seine Berufung gegen die Erhebung von Steuern </w:t>
            </w:r>
            <w:r>
              <w:rPr>
                <w:sz w:val="20"/>
                <w:szCs w:val="20"/>
              </w:rPr>
              <w:t>durch</w:t>
            </w:r>
            <w:r w:rsidRPr="00BE3728">
              <w:rPr>
                <w:sz w:val="20"/>
                <w:szCs w:val="20"/>
              </w:rPr>
              <w:t xml:space="preserve"> die Stadt scheiterte. Nach der Eingliederung seines Landes in die Stadt musste der Besitzer Stadtsteuern zahlen. Er argumentierte, dies sei ein Eigentumsentzug ohne rechtsstaatliches Verfahren. Der </w:t>
            </w:r>
            <w:r>
              <w:rPr>
                <w:sz w:val="20"/>
                <w:szCs w:val="20"/>
              </w:rPr>
              <w:t>U.S. Supreme Court</w:t>
            </w:r>
            <w:r w:rsidRPr="00BE3728">
              <w:rPr>
                <w:sz w:val="20"/>
                <w:szCs w:val="20"/>
              </w:rPr>
              <w:t xml:space="preserve"> sah das anders. Die Steuererhebung diene einem öffentlichen Zweck. Sie verletzte nicht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 selbst bei Härten und ungleicher Last. Der Besitzer profitiere von den Steuern </w:t>
            </w:r>
            <w:r>
              <w:rPr>
                <w:sz w:val="20"/>
                <w:szCs w:val="20"/>
              </w:rPr>
              <w:t xml:space="preserve">durch Leistungen wie </w:t>
            </w:r>
            <w:r w:rsidRPr="00BE3728">
              <w:rPr>
                <w:sz w:val="20"/>
                <w:szCs w:val="20"/>
              </w:rPr>
              <w:t>Straßen, Wasserversorgung, Schulen und Polizeidiensten.</w:t>
            </w:r>
            <w:r w:rsidRPr="00BE3728">
              <w:rPr>
                <w:rStyle w:val="Funotenzeichen"/>
                <w:sz w:val="20"/>
                <w:szCs w:val="20"/>
              </w:rPr>
              <w:footnoteReference w:id="267"/>
            </w:r>
          </w:p>
          <w:p w14:paraId="0B575408" w14:textId="77777777" w:rsidR="00074551" w:rsidRPr="00E50B51" w:rsidRDefault="00074551" w:rsidP="00367133">
            <w:pPr>
              <w:jc w:val="both"/>
              <w:rPr>
                <w:sz w:val="20"/>
                <w:szCs w:val="20"/>
              </w:rPr>
            </w:pPr>
          </w:p>
        </w:tc>
        <w:tc>
          <w:tcPr>
            <w:tcW w:w="1822" w:type="pct"/>
          </w:tcPr>
          <w:p w14:paraId="303F60CB"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Tax Law › Real Property Taxes › Assessment &amp; Valuation › General Overview</w:t>
            </w:r>
          </w:p>
          <w:p w14:paraId="0A7113D5" w14:textId="77777777" w:rsidR="00074551" w:rsidRPr="00BE3728" w:rsidRDefault="00074551" w:rsidP="00367133">
            <w:pPr>
              <w:jc w:val="both"/>
              <w:rPr>
                <w:sz w:val="20"/>
                <w:szCs w:val="20"/>
                <w:lang w:val="en-US"/>
              </w:rPr>
            </w:pPr>
          </w:p>
          <w:p w14:paraId="2F127BD1"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t>
            </w:r>
            <w:r>
              <w:rPr>
                <w:sz w:val="20"/>
                <w:szCs w:val="20"/>
              </w:rPr>
              <w:t>könne</w:t>
            </w:r>
            <w:r w:rsidRPr="00BE3728">
              <w:rPr>
                <w:sz w:val="20"/>
                <w:szCs w:val="20"/>
              </w:rPr>
              <w:t xml:space="preserve"> die Fehler und Irrtümer nicht überprüfen, die staatlich</w:t>
            </w:r>
            <w:r>
              <w:rPr>
                <w:sz w:val="20"/>
                <w:szCs w:val="20"/>
              </w:rPr>
              <w:t>e</w:t>
            </w:r>
            <w:r w:rsidRPr="00BE3728">
              <w:rPr>
                <w:sz w:val="20"/>
                <w:szCs w:val="20"/>
              </w:rPr>
              <w:t xml:space="preserve"> Gerichte </w:t>
            </w:r>
            <w:r>
              <w:rPr>
                <w:sz w:val="20"/>
                <w:szCs w:val="20"/>
              </w:rPr>
              <w:t xml:space="preserve">eventuell bei der Bemessung des </w:t>
            </w:r>
            <w:r w:rsidRPr="00BE3728">
              <w:rPr>
                <w:sz w:val="20"/>
                <w:szCs w:val="20"/>
              </w:rPr>
              <w:t>Grundstückswert</w:t>
            </w:r>
            <w:r>
              <w:rPr>
                <w:sz w:val="20"/>
                <w:szCs w:val="20"/>
              </w:rPr>
              <w:t>s begingen</w:t>
            </w:r>
            <w:r w:rsidRPr="00BE3728">
              <w:rPr>
                <w:sz w:val="20"/>
                <w:szCs w:val="20"/>
              </w:rPr>
              <w:t xml:space="preserve">, der </w:t>
            </w:r>
            <w:r>
              <w:rPr>
                <w:sz w:val="20"/>
                <w:szCs w:val="20"/>
              </w:rPr>
              <w:t>wiederum</w:t>
            </w:r>
            <w:r w:rsidRPr="00BE3728">
              <w:rPr>
                <w:sz w:val="20"/>
                <w:szCs w:val="20"/>
              </w:rPr>
              <w:t xml:space="preserve"> als Grundlage</w:t>
            </w:r>
            <w:r>
              <w:rPr>
                <w:sz w:val="20"/>
                <w:szCs w:val="20"/>
              </w:rPr>
              <w:t xml:space="preserve"> für die Besteuerung</w:t>
            </w:r>
            <w:r w:rsidRPr="00BE3728">
              <w:rPr>
                <w:sz w:val="20"/>
                <w:szCs w:val="20"/>
              </w:rPr>
              <w:t xml:space="preserve"> diene.</w:t>
            </w:r>
            <w:r w:rsidRPr="00BE3728">
              <w:rPr>
                <w:rStyle w:val="Funotenzeichen"/>
                <w:sz w:val="20"/>
                <w:szCs w:val="20"/>
              </w:rPr>
              <w:footnoteReference w:id="268"/>
            </w:r>
          </w:p>
          <w:p w14:paraId="7324C58F" w14:textId="77777777" w:rsidR="00074551" w:rsidRPr="00BE3728" w:rsidRDefault="00074551" w:rsidP="00367133">
            <w:pPr>
              <w:jc w:val="both"/>
              <w:rPr>
                <w:sz w:val="20"/>
                <w:szCs w:val="20"/>
              </w:rPr>
            </w:pPr>
          </w:p>
          <w:p w14:paraId="2691B1C9" w14:textId="77777777" w:rsidR="00074551" w:rsidRDefault="00074551" w:rsidP="00367133">
            <w:pPr>
              <w:spacing w:after="120"/>
              <w:rPr>
                <w:sz w:val="20"/>
                <w:szCs w:val="20"/>
              </w:rPr>
            </w:pPr>
            <w:r w:rsidRPr="00BE3728">
              <w:rPr>
                <w:sz w:val="20"/>
                <w:szCs w:val="20"/>
              </w:rPr>
              <w:t xml:space="preserve">Der </w:t>
            </w:r>
            <w:r>
              <w:rPr>
                <w:sz w:val="20"/>
                <w:szCs w:val="20"/>
              </w:rPr>
              <w:t>U.S. Supreme Court</w:t>
            </w:r>
            <w:r w:rsidRPr="00BE3728">
              <w:rPr>
                <w:sz w:val="20"/>
                <w:szCs w:val="20"/>
              </w:rPr>
              <w:t xml:space="preserve"> urteilte, dass der Kläger aus den Steuern </w:t>
            </w:r>
            <w:r>
              <w:rPr>
                <w:sz w:val="20"/>
                <w:szCs w:val="20"/>
              </w:rPr>
              <w:t xml:space="preserve">zwar </w:t>
            </w:r>
            <w:r w:rsidRPr="00BE3728">
              <w:rPr>
                <w:sz w:val="20"/>
                <w:szCs w:val="20"/>
              </w:rPr>
              <w:t>nicht den gleichen Nutzen ziehe wie Bürger, die z.B. im Stadtkern wohnen. Aber eine</w:t>
            </w:r>
            <w:r>
              <w:rPr>
                <w:sz w:val="20"/>
                <w:szCs w:val="20"/>
              </w:rPr>
              <w:t xml:space="preserve"> Steuer könne in Bezug auf die gewährten Vorteile</w:t>
            </w:r>
            <w:r w:rsidRPr="00BE3728">
              <w:rPr>
                <w:sz w:val="20"/>
                <w:szCs w:val="20"/>
              </w:rPr>
              <w:t xml:space="preserve"> </w:t>
            </w:r>
            <w:r>
              <w:rPr>
                <w:sz w:val="20"/>
                <w:szCs w:val="20"/>
              </w:rPr>
              <w:t>ungleichmäßig sein, d</w:t>
            </w:r>
            <w:r w:rsidRPr="00D20E94">
              <w:rPr>
                <w:sz w:val="20"/>
                <w:szCs w:val="20"/>
              </w:rPr>
              <w:t>a sich Steuern nicht nur nach unmittelbare</w:t>
            </w:r>
            <w:r>
              <w:rPr>
                <w:sz w:val="20"/>
                <w:szCs w:val="20"/>
              </w:rPr>
              <w:t>m</w:t>
            </w:r>
            <w:r w:rsidRPr="00D20E94">
              <w:rPr>
                <w:sz w:val="20"/>
                <w:szCs w:val="20"/>
              </w:rPr>
              <w:t xml:space="preserve"> Einzelnutzen bemessen, sondern auch mittelbare Vorteile für Frieden, Sicherheit und Bildung bringen</w:t>
            </w:r>
            <w:r>
              <w:rPr>
                <w:sz w:val="20"/>
                <w:szCs w:val="20"/>
              </w:rPr>
              <w:t>. D</w:t>
            </w:r>
            <w:r w:rsidRPr="00BE3728">
              <w:rPr>
                <w:sz w:val="20"/>
                <w:szCs w:val="20"/>
              </w:rPr>
              <w:t xml:space="preserve">er </w:t>
            </w:r>
            <w:r>
              <w:rPr>
                <w:sz w:val="20"/>
                <w:szCs w:val="20"/>
              </w:rPr>
              <w:t>U.S. Supreme Court</w:t>
            </w:r>
            <w:r w:rsidRPr="00BE3728">
              <w:rPr>
                <w:sz w:val="20"/>
                <w:szCs w:val="20"/>
              </w:rPr>
              <w:t xml:space="preserve"> vermochte nicht, die exakte Steuerlast fest</w:t>
            </w:r>
            <w:r>
              <w:rPr>
                <w:sz w:val="20"/>
                <w:szCs w:val="20"/>
              </w:rPr>
              <w:t>zu</w:t>
            </w:r>
            <w:r w:rsidRPr="00BE3728">
              <w:rPr>
                <w:sz w:val="20"/>
                <w:szCs w:val="20"/>
              </w:rPr>
              <w:t xml:space="preserve">legen, die ein Einzelner beitragen solle, damit absolute Gleichheit zwischen Last und Vorteil gewährleistet werde. Wie rechtfertigt der </w:t>
            </w:r>
            <w:r>
              <w:rPr>
                <w:sz w:val="20"/>
                <w:szCs w:val="20"/>
              </w:rPr>
              <w:t>U.S. Supreme Court</w:t>
            </w:r>
            <w:r w:rsidRPr="00BE3728">
              <w:rPr>
                <w:sz w:val="20"/>
                <w:szCs w:val="20"/>
              </w:rPr>
              <w:t xml:space="preserve"> dies? Er rechtfertigt dies damit, dass der Kläger mit den Steuern dazu beitrage, dass z.B. Schulen Kinder erziehen könn</w:t>
            </w:r>
            <w:r>
              <w:rPr>
                <w:sz w:val="20"/>
                <w:szCs w:val="20"/>
              </w:rPr>
              <w:t>t</w:t>
            </w:r>
            <w:r w:rsidRPr="00BE3728">
              <w:rPr>
                <w:sz w:val="20"/>
                <w:szCs w:val="20"/>
              </w:rPr>
              <w:t>en</w:t>
            </w:r>
            <w:r>
              <w:rPr>
                <w:sz w:val="20"/>
                <w:szCs w:val="20"/>
              </w:rPr>
              <w:t>, und</w:t>
            </w:r>
            <w:r w:rsidRPr="00B45592">
              <w:rPr>
                <w:sz w:val="20"/>
                <w:szCs w:val="20"/>
              </w:rPr>
              <w:t xml:space="preserve"> sein Glück und sein Wohlstand schließlich von der Bildung abhingen, die öffentliche Schulen Kindern vermittelten („</w:t>
            </w:r>
            <w:proofErr w:type="spellStart"/>
            <w:r w:rsidRPr="00B45592">
              <w:rPr>
                <w:sz w:val="20"/>
                <w:szCs w:val="20"/>
              </w:rPr>
              <w:t>deeply</w:t>
            </w:r>
            <w:proofErr w:type="spellEnd"/>
            <w:r w:rsidRPr="00B45592">
              <w:rPr>
                <w:sz w:val="20"/>
                <w:szCs w:val="20"/>
              </w:rPr>
              <w:t xml:space="preserve"> </w:t>
            </w:r>
            <w:proofErr w:type="spellStart"/>
            <w:r w:rsidRPr="00B45592">
              <w:rPr>
                <w:sz w:val="20"/>
                <w:szCs w:val="20"/>
              </w:rPr>
              <w:t>interested</w:t>
            </w:r>
            <w:proofErr w:type="spellEnd"/>
            <w:r w:rsidRPr="00B45592">
              <w:rPr>
                <w:sz w:val="20"/>
                <w:szCs w:val="20"/>
              </w:rPr>
              <w:t xml:space="preserve"> in the </w:t>
            </w:r>
            <w:proofErr w:type="spellStart"/>
            <w:r w:rsidRPr="00B45592">
              <w:rPr>
                <w:sz w:val="20"/>
                <w:szCs w:val="20"/>
              </w:rPr>
              <w:t>education</w:t>
            </w:r>
            <w:proofErr w:type="spellEnd"/>
            <w:r w:rsidRPr="00B45592">
              <w:rPr>
                <w:sz w:val="20"/>
                <w:szCs w:val="20"/>
              </w:rPr>
              <w:t xml:space="preserve"> of the </w:t>
            </w:r>
            <w:proofErr w:type="spellStart"/>
            <w:r w:rsidRPr="00B45592">
              <w:rPr>
                <w:sz w:val="20"/>
                <w:szCs w:val="20"/>
              </w:rPr>
              <w:t>children</w:t>
            </w:r>
            <w:proofErr w:type="spellEnd"/>
            <w:r w:rsidRPr="00B45592">
              <w:rPr>
                <w:sz w:val="20"/>
                <w:szCs w:val="20"/>
              </w:rPr>
              <w:t xml:space="preserve"> […], </w:t>
            </w:r>
            <w:proofErr w:type="spellStart"/>
            <w:r w:rsidRPr="00B45592">
              <w:rPr>
                <w:sz w:val="20"/>
                <w:szCs w:val="20"/>
              </w:rPr>
              <w:t>because</w:t>
            </w:r>
            <w:proofErr w:type="spellEnd"/>
            <w:r w:rsidRPr="00B45592">
              <w:rPr>
                <w:sz w:val="20"/>
                <w:szCs w:val="20"/>
              </w:rPr>
              <w:t xml:space="preserve"> […] </w:t>
            </w:r>
            <w:proofErr w:type="spellStart"/>
            <w:r w:rsidRPr="00B45592">
              <w:rPr>
                <w:sz w:val="20"/>
                <w:szCs w:val="20"/>
              </w:rPr>
              <w:t>his</w:t>
            </w:r>
            <w:proofErr w:type="spellEnd"/>
            <w:r w:rsidRPr="00B45592">
              <w:rPr>
                <w:sz w:val="20"/>
                <w:szCs w:val="20"/>
              </w:rPr>
              <w:t xml:space="preserve"> </w:t>
            </w:r>
            <w:proofErr w:type="spellStart"/>
            <w:r w:rsidRPr="00B45592">
              <w:rPr>
                <w:sz w:val="20"/>
                <w:szCs w:val="20"/>
              </w:rPr>
              <w:t>happiness</w:t>
            </w:r>
            <w:proofErr w:type="spellEnd"/>
            <w:r w:rsidRPr="00B45592">
              <w:rPr>
                <w:sz w:val="20"/>
                <w:szCs w:val="20"/>
              </w:rPr>
              <w:t xml:space="preserve"> and </w:t>
            </w:r>
            <w:proofErr w:type="spellStart"/>
            <w:r w:rsidRPr="00B45592">
              <w:rPr>
                <w:sz w:val="20"/>
                <w:szCs w:val="20"/>
              </w:rPr>
              <w:t>prosperity</w:t>
            </w:r>
            <w:proofErr w:type="spellEnd"/>
            <w:r w:rsidRPr="00B45592">
              <w:rPr>
                <w:sz w:val="20"/>
                <w:szCs w:val="20"/>
              </w:rPr>
              <w:t xml:space="preserve">, </w:t>
            </w:r>
            <w:proofErr w:type="spellStart"/>
            <w:r w:rsidRPr="00B45592">
              <w:rPr>
                <w:sz w:val="20"/>
                <w:szCs w:val="20"/>
              </w:rPr>
              <w:t>are</w:t>
            </w:r>
            <w:proofErr w:type="spellEnd"/>
            <w:r w:rsidRPr="00B45592">
              <w:rPr>
                <w:sz w:val="20"/>
                <w:szCs w:val="20"/>
              </w:rPr>
              <w:t xml:space="preserve"> </w:t>
            </w:r>
            <w:proofErr w:type="spellStart"/>
            <w:r w:rsidRPr="00B45592">
              <w:rPr>
                <w:sz w:val="20"/>
                <w:szCs w:val="20"/>
              </w:rPr>
              <w:t>largely</w:t>
            </w:r>
            <w:proofErr w:type="spellEnd"/>
            <w:r w:rsidRPr="00B45592">
              <w:rPr>
                <w:sz w:val="20"/>
                <w:szCs w:val="20"/>
              </w:rPr>
              <w:t xml:space="preserve"> </w:t>
            </w:r>
            <w:proofErr w:type="spellStart"/>
            <w:r w:rsidRPr="00B45592">
              <w:rPr>
                <w:sz w:val="20"/>
                <w:szCs w:val="20"/>
              </w:rPr>
              <w:t>dependent</w:t>
            </w:r>
            <w:proofErr w:type="spellEnd"/>
            <w:r w:rsidRPr="00B45592">
              <w:rPr>
                <w:sz w:val="20"/>
                <w:szCs w:val="20"/>
              </w:rPr>
              <w:t xml:space="preserve"> upon the </w:t>
            </w:r>
            <w:proofErr w:type="spellStart"/>
            <w:r w:rsidRPr="00B45592">
              <w:rPr>
                <w:sz w:val="20"/>
                <w:szCs w:val="20"/>
              </w:rPr>
              <w:t>intelligence</w:t>
            </w:r>
            <w:proofErr w:type="spellEnd"/>
            <w:r w:rsidRPr="00B45592">
              <w:rPr>
                <w:sz w:val="20"/>
                <w:szCs w:val="20"/>
              </w:rPr>
              <w:t xml:space="preserve"> and </w:t>
            </w:r>
            <w:proofErr w:type="spellStart"/>
            <w:r w:rsidRPr="00B45592">
              <w:rPr>
                <w:sz w:val="20"/>
                <w:szCs w:val="20"/>
              </w:rPr>
              <w:t>moral</w:t>
            </w:r>
            <w:proofErr w:type="spellEnd"/>
            <w:r w:rsidRPr="00B45592">
              <w:rPr>
                <w:sz w:val="20"/>
                <w:szCs w:val="20"/>
              </w:rPr>
              <w:t xml:space="preserve"> </w:t>
            </w:r>
            <w:proofErr w:type="spellStart"/>
            <w:r w:rsidRPr="00B45592">
              <w:rPr>
                <w:sz w:val="20"/>
                <w:szCs w:val="20"/>
              </w:rPr>
              <w:t>training</w:t>
            </w:r>
            <w:proofErr w:type="spellEnd"/>
            <w:r w:rsidRPr="00B45592">
              <w:rPr>
                <w:sz w:val="20"/>
                <w:szCs w:val="20"/>
              </w:rPr>
              <w:t xml:space="preserve"> </w:t>
            </w:r>
            <w:proofErr w:type="spellStart"/>
            <w:r w:rsidRPr="00B45592">
              <w:rPr>
                <w:sz w:val="20"/>
                <w:szCs w:val="20"/>
              </w:rPr>
              <w:t>which</w:t>
            </w:r>
            <w:proofErr w:type="spellEnd"/>
            <w:r w:rsidRPr="00B45592">
              <w:rPr>
                <w:sz w:val="20"/>
                <w:szCs w:val="20"/>
              </w:rPr>
              <w:t xml:space="preserve"> it </w:t>
            </w:r>
            <w:proofErr w:type="spellStart"/>
            <w:r w:rsidRPr="00B45592">
              <w:rPr>
                <w:sz w:val="20"/>
                <w:szCs w:val="20"/>
              </w:rPr>
              <w:t>is</w:t>
            </w:r>
            <w:proofErr w:type="spellEnd"/>
            <w:r w:rsidRPr="00B45592">
              <w:rPr>
                <w:sz w:val="20"/>
                <w:szCs w:val="20"/>
              </w:rPr>
              <w:t xml:space="preserve"> the </w:t>
            </w:r>
            <w:proofErr w:type="spellStart"/>
            <w:r w:rsidRPr="00B45592">
              <w:rPr>
                <w:sz w:val="20"/>
                <w:szCs w:val="20"/>
              </w:rPr>
              <w:t>object</w:t>
            </w:r>
            <w:proofErr w:type="spellEnd"/>
            <w:r w:rsidRPr="00B45592">
              <w:rPr>
                <w:sz w:val="20"/>
                <w:szCs w:val="20"/>
              </w:rPr>
              <w:t xml:space="preserve"> of </w:t>
            </w:r>
            <w:proofErr w:type="spellStart"/>
            <w:r w:rsidRPr="00B45592">
              <w:rPr>
                <w:sz w:val="20"/>
                <w:szCs w:val="20"/>
              </w:rPr>
              <w:t>public</w:t>
            </w:r>
            <w:proofErr w:type="spellEnd"/>
            <w:r w:rsidRPr="00B45592">
              <w:rPr>
                <w:sz w:val="20"/>
                <w:szCs w:val="20"/>
              </w:rPr>
              <w:t xml:space="preserve"> </w:t>
            </w:r>
            <w:proofErr w:type="spellStart"/>
            <w:r w:rsidRPr="00B45592">
              <w:rPr>
                <w:sz w:val="20"/>
                <w:szCs w:val="20"/>
              </w:rPr>
              <w:t>schools</w:t>
            </w:r>
            <w:proofErr w:type="spellEnd"/>
            <w:r w:rsidRPr="00B45592">
              <w:rPr>
                <w:sz w:val="20"/>
                <w:szCs w:val="20"/>
              </w:rPr>
              <w:t xml:space="preserve"> to </w:t>
            </w:r>
            <w:proofErr w:type="spellStart"/>
            <w:r w:rsidRPr="00B45592">
              <w:rPr>
                <w:sz w:val="20"/>
                <w:szCs w:val="20"/>
              </w:rPr>
              <w:t>supply</w:t>
            </w:r>
            <w:proofErr w:type="spellEnd"/>
            <w:r w:rsidRPr="00B45592">
              <w:rPr>
                <w:sz w:val="20"/>
                <w:szCs w:val="20"/>
              </w:rPr>
              <w:t>“</w:t>
            </w:r>
            <w:r w:rsidRPr="00BE3728">
              <w:rPr>
                <w:rStyle w:val="Funotenzeichen"/>
                <w:sz w:val="20"/>
                <w:szCs w:val="20"/>
              </w:rPr>
              <w:footnoteReference w:id="269"/>
            </w:r>
            <w:r w:rsidRPr="00B45592">
              <w:rPr>
                <w:sz w:val="20"/>
                <w:szCs w:val="20"/>
              </w:rPr>
              <w:t xml:space="preserve">). </w:t>
            </w:r>
            <w:r w:rsidRPr="00BE3728">
              <w:rPr>
                <w:sz w:val="20"/>
                <w:szCs w:val="20"/>
              </w:rPr>
              <w:t xml:space="preserve">Daher </w:t>
            </w:r>
            <w:r>
              <w:rPr>
                <w:sz w:val="20"/>
                <w:szCs w:val="20"/>
              </w:rPr>
              <w:t>ließen</w:t>
            </w:r>
            <w:r w:rsidRPr="00BE3728">
              <w:rPr>
                <w:sz w:val="20"/>
                <w:szCs w:val="20"/>
              </w:rPr>
              <w:t xml:space="preserve"> sich Steuern nicht in direkten Vorteilen und Last bemessen, sondern auch </w:t>
            </w:r>
            <w:r>
              <w:rPr>
                <w:sz w:val="20"/>
                <w:szCs w:val="20"/>
              </w:rPr>
              <w:t>in</w:t>
            </w:r>
            <w:r w:rsidRPr="00BE3728">
              <w:rPr>
                <w:sz w:val="20"/>
                <w:szCs w:val="20"/>
              </w:rPr>
              <w:t xml:space="preserve"> mittelbare</w:t>
            </w:r>
            <w:r>
              <w:rPr>
                <w:sz w:val="20"/>
                <w:szCs w:val="20"/>
              </w:rPr>
              <w:t>m</w:t>
            </w:r>
            <w:r w:rsidRPr="00BE3728">
              <w:rPr>
                <w:sz w:val="20"/>
                <w:szCs w:val="20"/>
              </w:rPr>
              <w:t xml:space="preserve"> Glück und Wohlstand.</w:t>
            </w:r>
          </w:p>
          <w:p w14:paraId="64BBE779" w14:textId="77777777" w:rsidR="00FE5F32" w:rsidRPr="00E50B51" w:rsidRDefault="00FE5F32" w:rsidP="00367133">
            <w:pPr>
              <w:spacing w:after="120"/>
              <w:rPr>
                <w:sz w:val="20"/>
                <w:szCs w:val="20"/>
              </w:rPr>
            </w:pPr>
          </w:p>
        </w:tc>
      </w:tr>
      <w:tr w:rsidR="00074551" w:rsidRPr="00E50B51" w14:paraId="58AEE27D" w14:textId="77777777" w:rsidTr="00752D01">
        <w:trPr>
          <w:cantSplit/>
          <w:trHeight w:val="3175"/>
        </w:trPr>
        <w:tc>
          <w:tcPr>
            <w:tcW w:w="293" w:type="pct"/>
            <w:shd w:val="clear" w:color="auto" w:fill="E7E6E6" w:themeFill="background2"/>
          </w:tcPr>
          <w:p w14:paraId="3B00D7EB"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2A68192E" w14:textId="77777777" w:rsidR="00074551" w:rsidRPr="00E50B51" w:rsidRDefault="00074551" w:rsidP="00367133">
            <w:pPr>
              <w:ind w:left="113" w:right="416"/>
              <w:jc w:val="both"/>
              <w:rPr>
                <w:sz w:val="20"/>
                <w:szCs w:val="20"/>
              </w:rPr>
            </w:pPr>
            <w:r w:rsidRPr="00E50B51">
              <w:rPr>
                <w:sz w:val="20"/>
                <w:szCs w:val="20"/>
              </w:rPr>
              <w:t>Wirtschaftliche Seite</w:t>
            </w:r>
          </w:p>
        </w:tc>
        <w:tc>
          <w:tcPr>
            <w:tcW w:w="197" w:type="pct"/>
            <w:shd w:val="clear" w:color="auto" w:fill="E7E6E6" w:themeFill="background2"/>
            <w:textDirection w:val="tbRl"/>
            <w:vAlign w:val="center"/>
          </w:tcPr>
          <w:p w14:paraId="769AC623" w14:textId="77777777" w:rsidR="00074551" w:rsidRPr="00E50B51" w:rsidRDefault="00074551" w:rsidP="00367133">
            <w:pPr>
              <w:ind w:left="113" w:right="113"/>
              <w:jc w:val="both"/>
              <w:rPr>
                <w:sz w:val="20"/>
                <w:szCs w:val="20"/>
              </w:rPr>
            </w:pPr>
            <w:r w:rsidRPr="00E50B51">
              <w:rPr>
                <w:sz w:val="20"/>
                <w:szCs w:val="20"/>
              </w:rPr>
              <w:t>Prohibition</w:t>
            </w:r>
          </w:p>
        </w:tc>
        <w:tc>
          <w:tcPr>
            <w:tcW w:w="306" w:type="pct"/>
            <w:shd w:val="clear" w:color="auto" w:fill="E7E6E6" w:themeFill="background2"/>
            <w:textDirection w:val="tbRl"/>
            <w:vAlign w:val="center"/>
          </w:tcPr>
          <w:p w14:paraId="2AB0110C"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3F8AB53A"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75750EE" w14:textId="77777777" w:rsidR="00074551" w:rsidRPr="00E50B51" w:rsidRDefault="00074551" w:rsidP="00367133">
            <w:pPr>
              <w:jc w:val="both"/>
              <w:rPr>
                <w:sz w:val="20"/>
                <w:szCs w:val="20"/>
              </w:rPr>
            </w:pPr>
          </w:p>
        </w:tc>
        <w:tc>
          <w:tcPr>
            <w:tcW w:w="1822" w:type="pct"/>
            <w:shd w:val="clear" w:color="auto" w:fill="E7E6E6" w:themeFill="background2"/>
          </w:tcPr>
          <w:p w14:paraId="7BC892A6" w14:textId="232BAB02"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A96D164" w14:textId="77777777" w:rsidTr="00BE689F">
        <w:trPr>
          <w:cantSplit/>
          <w:trHeight w:val="3175"/>
        </w:trPr>
        <w:tc>
          <w:tcPr>
            <w:tcW w:w="293" w:type="pct"/>
          </w:tcPr>
          <w:p w14:paraId="4833BCBC"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03DC64A6" w14:textId="77777777" w:rsidR="00074551" w:rsidRPr="00B45592" w:rsidRDefault="00074551" w:rsidP="00367133">
            <w:pPr>
              <w:ind w:left="113" w:right="113"/>
              <w:jc w:val="both"/>
              <w:rPr>
                <w:i/>
                <w:sz w:val="20"/>
                <w:szCs w:val="20"/>
                <w:lang w:val="en-US"/>
              </w:rPr>
            </w:pPr>
            <w:r w:rsidRPr="00B45592">
              <w:rPr>
                <w:i/>
                <w:sz w:val="20"/>
                <w:szCs w:val="20"/>
                <w:lang w:val="en-US"/>
              </w:rPr>
              <w:t>James Everard’s Breweries v. Day</w:t>
            </w:r>
          </w:p>
        </w:tc>
        <w:tc>
          <w:tcPr>
            <w:tcW w:w="197" w:type="pct"/>
            <w:textDirection w:val="tbRl"/>
            <w:vAlign w:val="center"/>
          </w:tcPr>
          <w:p w14:paraId="390DDA72" w14:textId="77777777" w:rsidR="00074551" w:rsidRPr="00E50B51" w:rsidRDefault="00074551" w:rsidP="00367133">
            <w:pPr>
              <w:ind w:left="113" w:right="113"/>
              <w:jc w:val="both"/>
              <w:rPr>
                <w:sz w:val="20"/>
                <w:szCs w:val="20"/>
                <w:lang w:val="en-US"/>
              </w:rPr>
            </w:pPr>
            <w:r w:rsidRPr="00E50B51">
              <w:rPr>
                <w:sz w:val="20"/>
                <w:szCs w:val="20"/>
                <w:lang w:val="en-US"/>
              </w:rPr>
              <w:t>265 U.S. 545</w:t>
            </w:r>
          </w:p>
        </w:tc>
        <w:tc>
          <w:tcPr>
            <w:tcW w:w="306" w:type="pct"/>
            <w:textDirection w:val="tbRl"/>
            <w:vAlign w:val="center"/>
          </w:tcPr>
          <w:p w14:paraId="63820C59" w14:textId="77777777" w:rsidR="00074551" w:rsidRPr="00E50B51" w:rsidRDefault="00074551" w:rsidP="00367133">
            <w:pPr>
              <w:ind w:left="113" w:right="113"/>
              <w:jc w:val="both"/>
              <w:rPr>
                <w:sz w:val="20"/>
                <w:szCs w:val="20"/>
                <w:lang w:val="en-US"/>
              </w:rPr>
            </w:pPr>
            <w:r w:rsidRPr="00E50B51">
              <w:rPr>
                <w:sz w:val="20"/>
                <w:szCs w:val="20"/>
              </w:rPr>
              <w:t>9. Juni 1924</w:t>
            </w:r>
          </w:p>
        </w:tc>
        <w:tc>
          <w:tcPr>
            <w:tcW w:w="401" w:type="pct"/>
          </w:tcPr>
          <w:p w14:paraId="0F20905F" w14:textId="77777777" w:rsidR="00074551" w:rsidRPr="00E50B51" w:rsidRDefault="00074551" w:rsidP="00367133">
            <w:pPr>
              <w:jc w:val="center"/>
              <w:rPr>
                <w:sz w:val="20"/>
                <w:szCs w:val="20"/>
                <w:lang w:val="en-US"/>
              </w:rPr>
            </w:pPr>
            <w:r w:rsidRPr="00E50B51">
              <w:rPr>
                <w:sz w:val="20"/>
                <w:szCs w:val="20"/>
                <w:lang w:val="en-US"/>
              </w:rPr>
              <w:t>S</w:t>
            </w:r>
          </w:p>
        </w:tc>
        <w:tc>
          <w:tcPr>
            <w:tcW w:w="1594" w:type="pct"/>
          </w:tcPr>
          <w:p w14:paraId="6F4F3E69"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4E1A414C" w14:textId="3C704F0D" w:rsidR="00074551" w:rsidRDefault="00074551" w:rsidP="00367133">
            <w:pPr>
              <w:jc w:val="both"/>
              <w:rPr>
                <w:sz w:val="20"/>
                <w:szCs w:val="20"/>
              </w:rPr>
            </w:pPr>
            <w:r w:rsidRPr="00E50B51">
              <w:rPr>
                <w:sz w:val="20"/>
                <w:szCs w:val="20"/>
              </w:rPr>
              <w:t xml:space="preserve">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 § 1</w:t>
            </w:r>
            <w:r w:rsidRPr="00E50B51">
              <w:rPr>
                <w:sz w:val="20"/>
                <w:szCs w:val="20"/>
              </w:rPr>
              <w:t xml:space="preserve"> verbiete es, berauschende Getränke herzustellen, zu verkaufen, zu befördern sowie sie in die Verein</w:t>
            </w:r>
            <w:r>
              <w:rPr>
                <w:sz w:val="20"/>
                <w:szCs w:val="20"/>
              </w:rPr>
              <w:t>i</w:t>
            </w:r>
            <w:r w:rsidRPr="00E50B51">
              <w:rPr>
                <w:sz w:val="20"/>
                <w:szCs w:val="20"/>
              </w:rPr>
              <w:t xml:space="preserve">gten Staaten einzuführen oder auszuführen. </w:t>
            </w:r>
            <w:r>
              <w:rPr>
                <w:sz w:val="20"/>
                <w:szCs w:val="20"/>
              </w:rPr>
              <w:t>D</w:t>
            </w:r>
            <w:r w:rsidRPr="00E50B51">
              <w:rPr>
                <w:sz w:val="20"/>
                <w:szCs w:val="20"/>
              </w:rPr>
              <w:t>ieses verfassungsrechtliche Verbot mit einfachen Gesetzen durchzusetzen, erlaub</w:t>
            </w:r>
            <w:r>
              <w:rPr>
                <w:sz w:val="20"/>
                <w:szCs w:val="20"/>
              </w:rPr>
              <w:t>e</w:t>
            </w:r>
            <w:r w:rsidRPr="00E50B51">
              <w:rPr>
                <w:sz w:val="20"/>
                <w:szCs w:val="20"/>
              </w:rPr>
              <w:t xml:space="preserve"> dem Kongress der Vereinigten Staaten mit den Bundesstaaten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 § 2.</w:t>
            </w:r>
            <w:r w:rsidRPr="00E50B51">
              <w:rPr>
                <w:rStyle w:val="Funotenzeichen"/>
                <w:rFonts w:eastAsiaTheme="majorEastAsia"/>
                <w:sz w:val="20"/>
                <w:szCs w:val="20"/>
              </w:rPr>
              <w:footnoteReference w:id="270"/>
            </w:r>
          </w:p>
          <w:p w14:paraId="6047E3E3" w14:textId="77777777" w:rsidR="00074551" w:rsidRPr="00E50B51" w:rsidRDefault="00074551" w:rsidP="00367133">
            <w:pPr>
              <w:jc w:val="both"/>
              <w:rPr>
                <w:sz w:val="20"/>
                <w:szCs w:val="20"/>
              </w:rPr>
            </w:pPr>
          </w:p>
          <w:p w14:paraId="40FE6F28" w14:textId="0EAF55B3" w:rsidR="00074551" w:rsidRPr="00E50B51" w:rsidRDefault="00074551" w:rsidP="00367133">
            <w:pPr>
              <w:jc w:val="both"/>
              <w:rPr>
                <w:sz w:val="20"/>
                <w:szCs w:val="20"/>
              </w:rPr>
            </w:pPr>
            <w:r w:rsidRPr="00E50B51">
              <w:rPr>
                <w:sz w:val="20"/>
                <w:szCs w:val="20"/>
              </w:rPr>
              <w:t xml:space="preserve">Zu dem Verbot berauschender Getränke haben der Kongress der Vereinigten Staaten mit den Bundesstaaten den </w:t>
            </w:r>
            <w:r w:rsidRPr="00B45592">
              <w:rPr>
                <w:i/>
                <w:sz w:val="20"/>
                <w:szCs w:val="20"/>
              </w:rPr>
              <w:t>National Prohibition Act</w:t>
            </w:r>
            <w:r>
              <w:rPr>
                <w:sz w:val="20"/>
                <w:szCs w:val="20"/>
              </w:rPr>
              <w:t xml:space="preserve">, </w:t>
            </w:r>
            <w:r w:rsidRPr="00E50B51">
              <w:rPr>
                <w:sz w:val="20"/>
                <w:szCs w:val="20"/>
              </w:rPr>
              <w:t>41 Stat. 305 erlassen.</w:t>
            </w:r>
            <w:r w:rsidRPr="00E50B51">
              <w:rPr>
                <w:rStyle w:val="Funotenzeichen"/>
                <w:rFonts w:eastAsiaTheme="majorEastAsia"/>
                <w:sz w:val="20"/>
                <w:szCs w:val="20"/>
              </w:rPr>
              <w:footnoteReference w:id="271"/>
            </w:r>
            <w:r w:rsidRPr="00E50B51">
              <w:rPr>
                <w:sz w:val="20"/>
                <w:szCs w:val="20"/>
              </w:rPr>
              <w:t xml:space="preserve"> Der Abschnitt 2 des </w:t>
            </w:r>
            <w:proofErr w:type="spellStart"/>
            <w:r w:rsidRPr="00B45592">
              <w:rPr>
                <w:i/>
                <w:sz w:val="20"/>
                <w:szCs w:val="20"/>
              </w:rPr>
              <w:t>Supplemental</w:t>
            </w:r>
            <w:proofErr w:type="spellEnd"/>
            <w:r w:rsidRPr="00B45592">
              <w:rPr>
                <w:i/>
                <w:sz w:val="20"/>
                <w:szCs w:val="20"/>
              </w:rPr>
              <w:t xml:space="preserve"> Prohibition Act</w:t>
            </w:r>
            <w:r>
              <w:rPr>
                <w:sz w:val="20"/>
                <w:szCs w:val="20"/>
              </w:rPr>
              <w:t>,</w:t>
            </w:r>
            <w:r w:rsidRPr="00E50B51">
              <w:rPr>
                <w:sz w:val="20"/>
                <w:szCs w:val="20"/>
              </w:rPr>
              <w:t xml:space="preserve"> 42 Stat. 222 regle, dass ein Arzt nur weinhaltigen Alkohol für medizinische Zwecke verschreiben </w:t>
            </w:r>
            <w:r>
              <w:rPr>
                <w:sz w:val="20"/>
                <w:szCs w:val="20"/>
              </w:rPr>
              <w:t>dürfe</w:t>
            </w:r>
            <w:r w:rsidRPr="00E50B51">
              <w:rPr>
                <w:sz w:val="20"/>
                <w:szCs w:val="20"/>
              </w:rPr>
              <w:t>. Alle Genehmigungen zur Verschreibung für andere Alkoholika wie berauschende Malzgetränke seien damit verboten.</w:t>
            </w:r>
            <w:r w:rsidRPr="00E50B51">
              <w:rPr>
                <w:rStyle w:val="Funotenzeichen"/>
                <w:rFonts w:eastAsiaTheme="majorEastAsia"/>
                <w:sz w:val="20"/>
                <w:szCs w:val="20"/>
              </w:rPr>
              <w:footnoteReference w:id="272"/>
            </w:r>
            <w:r w:rsidRPr="00E50B51">
              <w:rPr>
                <w:sz w:val="20"/>
                <w:szCs w:val="20"/>
              </w:rPr>
              <w:t xml:space="preserve"> Nach dem Klägervortrag, den der </w:t>
            </w:r>
            <w:r>
              <w:rPr>
                <w:sz w:val="20"/>
                <w:szCs w:val="20"/>
              </w:rPr>
              <w:t>U.S. Supreme Court</w:t>
            </w:r>
            <w:r w:rsidRPr="00E50B51">
              <w:rPr>
                <w:sz w:val="20"/>
                <w:szCs w:val="20"/>
              </w:rPr>
              <w:t xml:space="preserve"> </w:t>
            </w:r>
            <w:r>
              <w:rPr>
                <w:sz w:val="20"/>
                <w:szCs w:val="20"/>
              </w:rPr>
              <w:t>wiedergibt</w:t>
            </w:r>
            <w:r w:rsidRPr="00E50B51">
              <w:rPr>
                <w:sz w:val="20"/>
                <w:szCs w:val="20"/>
              </w:rPr>
              <w:t xml:space="preserve">, gelte aber: Wenn ein Gesetz aufgrund 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XVIII</w:t>
            </w:r>
            <w:r w:rsidRPr="00E50B51">
              <w:rPr>
                <w:sz w:val="20"/>
                <w:szCs w:val="20"/>
              </w:rPr>
              <w:t xml:space="preserve"> bestimmte Alkoholika verbiete oder deren Herstellung für legale Zwecke beschränke, dann </w:t>
            </w:r>
            <w:r>
              <w:rPr>
                <w:sz w:val="20"/>
                <w:szCs w:val="20"/>
              </w:rPr>
              <w:t>müsse</w:t>
            </w:r>
            <w:r w:rsidRPr="00E50B51">
              <w:rPr>
                <w:sz w:val="20"/>
                <w:szCs w:val="20"/>
              </w:rPr>
              <w:t xml:space="preserve"> der Gesetzgeber diese Beschränkungen mit dem verfassungsmäßigen Recht des Einzelnen abwiegen („</w:t>
            </w:r>
            <w:proofErr w:type="spellStart"/>
            <w:r w:rsidRPr="00E50B51">
              <w:rPr>
                <w:sz w:val="20"/>
                <w:szCs w:val="20"/>
              </w:rPr>
              <w:t>right</w:t>
            </w:r>
            <w:proofErr w:type="spellEnd"/>
            <w:r w:rsidRPr="00E50B51">
              <w:rPr>
                <w:sz w:val="20"/>
                <w:szCs w:val="20"/>
              </w:rPr>
              <w:t xml:space="preserve"> of the individual“</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273"/>
            </w:r>
            <w:r w:rsidRPr="00E50B51">
              <w:rPr>
                <w:sz w:val="20"/>
                <w:szCs w:val="20"/>
              </w:rPr>
              <w:t xml:space="preserve">), das meint mit dem Recht auf Leben, Freiheit und Streben nach Glück. Denn die garantiert die </w:t>
            </w:r>
            <w:r>
              <w:rPr>
                <w:sz w:val="20"/>
                <w:szCs w:val="20"/>
              </w:rPr>
              <w:t>U.S.</w:t>
            </w:r>
            <w:r w:rsidRPr="00E50B51">
              <w:rPr>
                <w:sz w:val="20"/>
                <w:szCs w:val="20"/>
              </w:rPr>
              <w:t xml:space="preserve"> </w:t>
            </w:r>
            <w:proofErr w:type="spellStart"/>
            <w:r w:rsidRPr="00E50B51">
              <w:rPr>
                <w:sz w:val="20"/>
                <w:szCs w:val="20"/>
              </w:rPr>
              <w:t>Const</w:t>
            </w:r>
            <w:proofErr w:type="spellEnd"/>
            <w:r w:rsidRPr="00E50B51">
              <w:rPr>
                <w:sz w:val="20"/>
                <w:szCs w:val="20"/>
              </w:rPr>
              <w:t>. auf Bundesebene und bundesstaatlicher Ebene stets dem Einzelnen („</w:t>
            </w:r>
            <w:proofErr w:type="spellStart"/>
            <w:r w:rsidRPr="00E50B51">
              <w:rPr>
                <w:sz w:val="20"/>
                <w:szCs w:val="20"/>
              </w:rPr>
              <w:t>guaranteed</w:t>
            </w:r>
            <w:proofErr w:type="spellEnd"/>
            <w:r w:rsidRPr="00E50B51">
              <w:rPr>
                <w:sz w:val="20"/>
                <w:szCs w:val="20"/>
              </w:rPr>
              <w:t xml:space="preserve"> to </w:t>
            </w:r>
            <w:proofErr w:type="spellStart"/>
            <w:r w:rsidRPr="00E50B51">
              <w:rPr>
                <w:sz w:val="20"/>
                <w:szCs w:val="20"/>
              </w:rPr>
              <w:t>him</w:t>
            </w:r>
            <w:proofErr w:type="spellEnd"/>
            <w:r w:rsidRPr="00E50B51">
              <w:rPr>
                <w:sz w:val="20"/>
                <w:szCs w:val="20"/>
              </w:rPr>
              <w:t xml:space="preserve"> </w:t>
            </w:r>
            <w:proofErr w:type="spellStart"/>
            <w:r w:rsidRPr="00E50B51">
              <w:rPr>
                <w:sz w:val="20"/>
                <w:szCs w:val="20"/>
              </w:rPr>
              <w:t>under</w:t>
            </w:r>
            <w:proofErr w:type="spellEnd"/>
            <w:r w:rsidRPr="00E50B51">
              <w:rPr>
                <w:sz w:val="20"/>
                <w:szCs w:val="20"/>
              </w:rPr>
              <w:t xml:space="preserve"> the </w:t>
            </w:r>
            <w:proofErr w:type="spellStart"/>
            <w:r w:rsidRPr="00E50B51">
              <w:rPr>
                <w:sz w:val="20"/>
                <w:szCs w:val="20"/>
              </w:rPr>
              <w:t>Constitutions</w:t>
            </w:r>
            <w:proofErr w:type="spellEnd"/>
            <w:r w:rsidRPr="00E50B51">
              <w:rPr>
                <w:sz w:val="20"/>
                <w:szCs w:val="20"/>
              </w:rPr>
              <w:t>“</w:t>
            </w:r>
            <w:r w:rsidRPr="00E50B51">
              <w:rPr>
                <w:rStyle w:val="Funotenzeichen"/>
                <w:rFonts w:eastAsiaTheme="majorEastAsia"/>
                <w:sz w:val="20"/>
                <w:szCs w:val="20"/>
              </w:rPr>
              <w:footnoteReference w:id="274"/>
            </w:r>
            <w:r w:rsidRPr="00E50B51">
              <w:rPr>
                <w:sz w:val="20"/>
                <w:szCs w:val="20"/>
              </w:rPr>
              <w:t xml:space="preserve">). </w:t>
            </w:r>
            <w:r>
              <w:rPr>
                <w:sz w:val="20"/>
                <w:szCs w:val="20"/>
              </w:rPr>
              <w:t>Dies sei indes nicht geschehen.</w:t>
            </w:r>
          </w:p>
          <w:p w14:paraId="7BFB1663" w14:textId="77777777" w:rsidR="00074551" w:rsidRPr="00E50B51" w:rsidRDefault="00074551" w:rsidP="00367133">
            <w:pPr>
              <w:jc w:val="both"/>
              <w:rPr>
                <w:sz w:val="20"/>
                <w:szCs w:val="20"/>
              </w:rPr>
            </w:pPr>
          </w:p>
        </w:tc>
      </w:tr>
      <w:tr w:rsidR="00074551" w:rsidRPr="00E50B51" w14:paraId="3A3C7AA0" w14:textId="77777777" w:rsidTr="00752D01">
        <w:trPr>
          <w:cantSplit/>
          <w:trHeight w:val="3175"/>
        </w:trPr>
        <w:tc>
          <w:tcPr>
            <w:tcW w:w="293" w:type="pct"/>
            <w:shd w:val="clear" w:color="auto" w:fill="E7E6E6" w:themeFill="background2"/>
          </w:tcPr>
          <w:p w14:paraId="36EBEC1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p w14:paraId="13CC93AF" w14:textId="77777777" w:rsidR="00074551" w:rsidRPr="00E50B51" w:rsidRDefault="00074551" w:rsidP="00367133">
            <w:pPr>
              <w:ind w:right="416"/>
              <w:jc w:val="center"/>
              <w:rPr>
                <w:sz w:val="20"/>
                <w:szCs w:val="20"/>
              </w:rPr>
            </w:pPr>
            <w:r w:rsidRPr="00E50B51">
              <w:rPr>
                <w:sz w:val="20"/>
                <w:szCs w:val="20"/>
              </w:rPr>
              <w:t>H</w:t>
            </w:r>
          </w:p>
        </w:tc>
        <w:tc>
          <w:tcPr>
            <w:tcW w:w="387" w:type="pct"/>
            <w:shd w:val="clear" w:color="auto" w:fill="E7E6E6" w:themeFill="background2"/>
            <w:textDirection w:val="tbRl"/>
            <w:vAlign w:val="center"/>
          </w:tcPr>
          <w:p w14:paraId="2A4A60F0" w14:textId="77777777" w:rsidR="00074551" w:rsidRPr="00E50B51" w:rsidRDefault="00074551" w:rsidP="00367133">
            <w:pPr>
              <w:ind w:left="113" w:right="416"/>
              <w:jc w:val="both"/>
              <w:rPr>
                <w:sz w:val="20"/>
                <w:szCs w:val="20"/>
              </w:rPr>
            </w:pPr>
            <w:r w:rsidRPr="00E50B51">
              <w:rPr>
                <w:sz w:val="20"/>
                <w:szCs w:val="20"/>
              </w:rPr>
              <w:t xml:space="preserve">Souveränitätsrechtliche Seite </w:t>
            </w:r>
          </w:p>
        </w:tc>
        <w:tc>
          <w:tcPr>
            <w:tcW w:w="197" w:type="pct"/>
            <w:shd w:val="clear" w:color="auto" w:fill="E7E6E6" w:themeFill="background2"/>
            <w:textDirection w:val="tbRl"/>
            <w:vAlign w:val="center"/>
          </w:tcPr>
          <w:p w14:paraId="0275B228" w14:textId="77777777" w:rsidR="00074551" w:rsidRPr="00E50B51" w:rsidRDefault="00074551" w:rsidP="00367133">
            <w:pPr>
              <w:ind w:left="113" w:right="113"/>
              <w:jc w:val="both"/>
              <w:rPr>
                <w:sz w:val="20"/>
                <w:szCs w:val="20"/>
              </w:rPr>
            </w:pPr>
          </w:p>
        </w:tc>
        <w:tc>
          <w:tcPr>
            <w:tcW w:w="306" w:type="pct"/>
            <w:shd w:val="clear" w:color="auto" w:fill="E7E6E6" w:themeFill="background2"/>
            <w:textDirection w:val="tbRl"/>
            <w:vAlign w:val="center"/>
          </w:tcPr>
          <w:p w14:paraId="78404946"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5547EABB"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304F2B5" w14:textId="77777777" w:rsidR="00074551" w:rsidRPr="00E50B51" w:rsidRDefault="00074551" w:rsidP="00367133">
            <w:pPr>
              <w:jc w:val="both"/>
              <w:rPr>
                <w:sz w:val="20"/>
                <w:szCs w:val="20"/>
              </w:rPr>
            </w:pPr>
          </w:p>
        </w:tc>
        <w:tc>
          <w:tcPr>
            <w:tcW w:w="1822" w:type="pct"/>
            <w:shd w:val="clear" w:color="auto" w:fill="E7E6E6" w:themeFill="background2"/>
          </w:tcPr>
          <w:p w14:paraId="2FDFDD60" w14:textId="22224D55" w:rsidR="00074551" w:rsidRPr="00E50B51" w:rsidRDefault="00074551" w:rsidP="00752D01">
            <w:pPr>
              <w:rPr>
                <w:sz w:val="20"/>
                <w:szCs w:val="20"/>
              </w:rPr>
            </w:pPr>
          </w:p>
        </w:tc>
      </w:tr>
      <w:tr w:rsidR="00074551" w:rsidRPr="00E50B51" w14:paraId="3E5B62FD" w14:textId="77777777" w:rsidTr="00136C30">
        <w:trPr>
          <w:cantSplit/>
          <w:trHeight w:val="3175"/>
        </w:trPr>
        <w:tc>
          <w:tcPr>
            <w:tcW w:w="293" w:type="pct"/>
            <w:shd w:val="clear" w:color="auto" w:fill="E7E6E6" w:themeFill="background2"/>
          </w:tcPr>
          <w:p w14:paraId="3D39224B" w14:textId="77777777" w:rsidR="00074551" w:rsidRDefault="00074551" w:rsidP="00367133">
            <w:pPr>
              <w:ind w:right="416"/>
              <w:jc w:val="center"/>
              <w:rPr>
                <w:sz w:val="20"/>
                <w:szCs w:val="20"/>
              </w:rPr>
            </w:pPr>
            <w:proofErr w:type="spellStart"/>
            <w:r w:rsidRPr="00E50B51">
              <w:rPr>
                <w:sz w:val="20"/>
                <w:szCs w:val="20"/>
              </w:rPr>
              <w:t>poH</w:t>
            </w:r>
            <w:proofErr w:type="spellEnd"/>
          </w:p>
          <w:p w14:paraId="53E56CBD"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2389722B"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6AED977D" w14:textId="77777777" w:rsidR="00074551" w:rsidRPr="00E50B51" w:rsidRDefault="00074551" w:rsidP="00367133">
            <w:pPr>
              <w:ind w:left="113" w:right="113"/>
              <w:jc w:val="both"/>
              <w:rPr>
                <w:sz w:val="20"/>
                <w:szCs w:val="20"/>
                <w:lang w:val="en-US"/>
              </w:rPr>
            </w:pPr>
            <w:r w:rsidRPr="00E50B51">
              <w:rPr>
                <w:sz w:val="20"/>
                <w:szCs w:val="20"/>
                <w:lang w:val="en-US"/>
              </w:rPr>
              <w:t>Republican Form of Government</w:t>
            </w:r>
          </w:p>
          <w:p w14:paraId="37D97545" w14:textId="77777777" w:rsidR="00074551" w:rsidRPr="00E50B51" w:rsidRDefault="00074551" w:rsidP="00367133">
            <w:pPr>
              <w:ind w:left="113" w:right="113"/>
              <w:jc w:val="both"/>
              <w:rPr>
                <w:sz w:val="20"/>
                <w:szCs w:val="20"/>
                <w:lang w:val="en-US"/>
              </w:rPr>
            </w:pPr>
          </w:p>
        </w:tc>
        <w:tc>
          <w:tcPr>
            <w:tcW w:w="306" w:type="pct"/>
            <w:shd w:val="clear" w:color="auto" w:fill="E7E6E6" w:themeFill="background2"/>
            <w:textDirection w:val="tbRl"/>
            <w:vAlign w:val="center"/>
          </w:tcPr>
          <w:p w14:paraId="2C74B042"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139AA5CD"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2ED76A70" w14:textId="77777777" w:rsidR="00074551" w:rsidRPr="00E50B51" w:rsidRDefault="00074551" w:rsidP="00367133">
            <w:pPr>
              <w:jc w:val="both"/>
              <w:rPr>
                <w:sz w:val="20"/>
                <w:szCs w:val="20"/>
              </w:rPr>
            </w:pPr>
          </w:p>
        </w:tc>
        <w:tc>
          <w:tcPr>
            <w:tcW w:w="1822" w:type="pct"/>
            <w:shd w:val="clear" w:color="auto" w:fill="E7E6E6" w:themeFill="background2"/>
          </w:tcPr>
          <w:p w14:paraId="191B10AC" w14:textId="18FD75F2" w:rsidR="00074551" w:rsidRPr="00E50B51" w:rsidRDefault="00136C30" w:rsidP="00136C30">
            <w:pPr>
              <w:rPr>
                <w:sz w:val="20"/>
                <w:szCs w:val="20"/>
              </w:rPr>
            </w:pPr>
            <w:r w:rsidRPr="00A15DB3">
              <w:rPr>
                <w:i/>
                <w:iCs/>
                <w:sz w:val="16"/>
                <w:szCs w:val="20"/>
              </w:rPr>
              <w:t>Thematische Gliederung der nachfolgenden Entscheidungen ↓</w:t>
            </w:r>
          </w:p>
        </w:tc>
      </w:tr>
      <w:tr w:rsidR="00074551" w:rsidRPr="00E50B51" w14:paraId="005A22BC" w14:textId="77777777" w:rsidTr="00BE689F">
        <w:trPr>
          <w:cantSplit/>
          <w:trHeight w:val="3175"/>
        </w:trPr>
        <w:tc>
          <w:tcPr>
            <w:tcW w:w="293" w:type="pct"/>
          </w:tcPr>
          <w:p w14:paraId="52F148D8"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0D846482" w14:textId="77777777" w:rsidR="00074551" w:rsidRPr="00B45592" w:rsidRDefault="00074551" w:rsidP="00367133">
            <w:pPr>
              <w:ind w:left="113" w:right="113"/>
              <w:jc w:val="both"/>
              <w:rPr>
                <w:i/>
                <w:sz w:val="20"/>
                <w:szCs w:val="20"/>
                <w:lang w:val="en-US"/>
              </w:rPr>
            </w:pPr>
            <w:r w:rsidRPr="00B45592">
              <w:rPr>
                <w:i/>
                <w:sz w:val="20"/>
                <w:szCs w:val="20"/>
                <w:lang w:val="en-US"/>
              </w:rPr>
              <w:t>T</w:t>
            </w:r>
            <w:r>
              <w:rPr>
                <w:i/>
                <w:sz w:val="20"/>
                <w:szCs w:val="20"/>
                <w:lang w:val="en-US"/>
              </w:rPr>
              <w:t>a</w:t>
            </w:r>
            <w:r w:rsidRPr="00B45592">
              <w:rPr>
                <w:i/>
                <w:sz w:val="20"/>
                <w:szCs w:val="20"/>
                <w:lang w:val="en-US"/>
              </w:rPr>
              <w:t>ylor v. Beckham</w:t>
            </w:r>
          </w:p>
        </w:tc>
        <w:tc>
          <w:tcPr>
            <w:tcW w:w="197" w:type="pct"/>
            <w:textDirection w:val="tbRl"/>
            <w:vAlign w:val="center"/>
          </w:tcPr>
          <w:p w14:paraId="2B108121" w14:textId="77777777" w:rsidR="00074551" w:rsidRPr="00E50B51" w:rsidRDefault="00074551" w:rsidP="00367133">
            <w:pPr>
              <w:ind w:left="113" w:right="113"/>
              <w:jc w:val="both"/>
              <w:rPr>
                <w:sz w:val="20"/>
                <w:szCs w:val="20"/>
                <w:lang w:val="en-US"/>
              </w:rPr>
            </w:pPr>
            <w:r w:rsidRPr="00E50B51">
              <w:rPr>
                <w:sz w:val="20"/>
                <w:szCs w:val="20"/>
                <w:lang w:val="en-US"/>
              </w:rPr>
              <w:t>178 U.S. 548</w:t>
            </w:r>
          </w:p>
        </w:tc>
        <w:tc>
          <w:tcPr>
            <w:tcW w:w="306" w:type="pct"/>
            <w:textDirection w:val="tbRl"/>
            <w:vAlign w:val="center"/>
          </w:tcPr>
          <w:p w14:paraId="3336A7C8" w14:textId="77777777" w:rsidR="00074551" w:rsidRPr="00E50B51" w:rsidRDefault="00074551" w:rsidP="00367133">
            <w:pPr>
              <w:ind w:left="113" w:right="113"/>
              <w:jc w:val="both"/>
              <w:rPr>
                <w:sz w:val="20"/>
                <w:szCs w:val="20"/>
                <w:lang w:val="en-US"/>
              </w:rPr>
            </w:pPr>
            <w:r w:rsidRPr="00E50B51">
              <w:rPr>
                <w:sz w:val="20"/>
                <w:szCs w:val="20"/>
              </w:rPr>
              <w:t>21. Mai 19</w:t>
            </w:r>
            <w:r>
              <w:rPr>
                <w:sz w:val="20"/>
                <w:szCs w:val="20"/>
              </w:rPr>
              <w:t>0</w:t>
            </w:r>
            <w:r w:rsidRPr="00E50B51">
              <w:rPr>
                <w:sz w:val="20"/>
                <w:szCs w:val="20"/>
              </w:rPr>
              <w:t>0</w:t>
            </w:r>
          </w:p>
        </w:tc>
        <w:tc>
          <w:tcPr>
            <w:tcW w:w="401" w:type="pct"/>
          </w:tcPr>
          <w:p w14:paraId="52CF607F" w14:textId="77777777" w:rsidR="00074551" w:rsidRPr="00E50B51" w:rsidRDefault="00074551" w:rsidP="00367133">
            <w:pPr>
              <w:jc w:val="center"/>
              <w:rPr>
                <w:sz w:val="20"/>
                <w:szCs w:val="20"/>
              </w:rPr>
            </w:pPr>
            <w:r w:rsidRPr="00E50B51">
              <w:rPr>
                <w:sz w:val="20"/>
                <w:szCs w:val="20"/>
                <w:lang w:val="en-US"/>
              </w:rPr>
              <w:t>R</w:t>
            </w:r>
          </w:p>
        </w:tc>
        <w:tc>
          <w:tcPr>
            <w:tcW w:w="1594" w:type="pct"/>
          </w:tcPr>
          <w:p w14:paraId="78B5D4DB" w14:textId="7E34D6E6" w:rsidR="00074551" w:rsidRPr="00E50B51" w:rsidRDefault="00074551" w:rsidP="00367133">
            <w:pPr>
              <w:jc w:val="both"/>
              <w:rPr>
                <w:sz w:val="20"/>
                <w:szCs w:val="20"/>
              </w:rPr>
            </w:pPr>
            <w:r w:rsidRPr="00E50B51">
              <w:rPr>
                <w:sz w:val="20"/>
                <w:szCs w:val="20"/>
              </w:rPr>
              <w:t>Im Fall trat der Kläger</w:t>
            </w:r>
            <w:r>
              <w:rPr>
                <w:sz w:val="20"/>
                <w:szCs w:val="20"/>
              </w:rPr>
              <w:t xml:space="preserve"> – </w:t>
            </w:r>
            <w:r w:rsidRPr="00E50B51">
              <w:rPr>
                <w:sz w:val="20"/>
                <w:szCs w:val="20"/>
              </w:rPr>
              <w:t>J. C. W. Beckham</w:t>
            </w:r>
            <w:r>
              <w:rPr>
                <w:sz w:val="20"/>
                <w:szCs w:val="20"/>
              </w:rPr>
              <w:t> –</w:t>
            </w:r>
            <w:r w:rsidRPr="00E50B51">
              <w:rPr>
                <w:sz w:val="20"/>
                <w:szCs w:val="20"/>
              </w:rPr>
              <w:t xml:space="preserve"> als Vizego</w:t>
            </w:r>
            <w:r>
              <w:rPr>
                <w:sz w:val="20"/>
                <w:szCs w:val="20"/>
              </w:rPr>
              <w:t>u</w:t>
            </w:r>
            <w:r w:rsidRPr="00E50B51">
              <w:rPr>
                <w:sz w:val="20"/>
                <w:szCs w:val="20"/>
              </w:rPr>
              <w:t xml:space="preserve">verneurskandidat </w:t>
            </w:r>
            <w:r>
              <w:rPr>
                <w:sz w:val="20"/>
                <w:szCs w:val="20"/>
              </w:rPr>
              <w:t>gemeinsam mit einem</w:t>
            </w:r>
            <w:r w:rsidRPr="00E50B51">
              <w:rPr>
                <w:sz w:val="20"/>
                <w:szCs w:val="20"/>
              </w:rPr>
              <w:t xml:space="preserve"> Gouverneurskandidat</w:t>
            </w:r>
            <w:r>
              <w:rPr>
                <w:sz w:val="20"/>
                <w:szCs w:val="20"/>
              </w:rPr>
              <w:t> – </w:t>
            </w:r>
            <w:r w:rsidRPr="00E50B51">
              <w:rPr>
                <w:sz w:val="20"/>
                <w:szCs w:val="20"/>
              </w:rPr>
              <w:t>Wi</w:t>
            </w:r>
            <w:r>
              <w:rPr>
                <w:sz w:val="20"/>
                <w:szCs w:val="20"/>
              </w:rPr>
              <w:t>l</w:t>
            </w:r>
            <w:r w:rsidRPr="00E50B51">
              <w:rPr>
                <w:sz w:val="20"/>
                <w:szCs w:val="20"/>
              </w:rPr>
              <w:t>liam Goebel</w:t>
            </w:r>
            <w:r>
              <w:rPr>
                <w:sz w:val="20"/>
                <w:szCs w:val="20"/>
              </w:rPr>
              <w:t> –</w:t>
            </w:r>
            <w:r w:rsidRPr="00E50B51">
              <w:rPr>
                <w:sz w:val="20"/>
                <w:szCs w:val="20"/>
              </w:rPr>
              <w:t xml:space="preserve"> zur Gouverneurswahl an. Der Kläger und sein </w:t>
            </w:r>
            <w:proofErr w:type="spellStart"/>
            <w:r w:rsidRPr="00E50B51">
              <w:rPr>
                <w:sz w:val="20"/>
                <w:szCs w:val="20"/>
              </w:rPr>
              <w:t>Gouverne</w:t>
            </w:r>
            <w:r>
              <w:rPr>
                <w:sz w:val="20"/>
                <w:szCs w:val="20"/>
              </w:rPr>
              <w:t>u</w:t>
            </w:r>
            <w:r w:rsidRPr="00E50B51">
              <w:rPr>
                <w:sz w:val="20"/>
                <w:szCs w:val="20"/>
              </w:rPr>
              <w:t>rsmitkandidat</w:t>
            </w:r>
            <w:proofErr w:type="spellEnd"/>
            <w:r w:rsidRPr="00E50B51">
              <w:rPr>
                <w:sz w:val="20"/>
                <w:szCs w:val="20"/>
              </w:rPr>
              <w:t xml:space="preserve"> vereinten die meisten Stimmen auf sich. Dann wurde der Gouverne</w:t>
            </w:r>
            <w:r>
              <w:rPr>
                <w:sz w:val="20"/>
                <w:szCs w:val="20"/>
              </w:rPr>
              <w:t>u</w:t>
            </w:r>
            <w:r w:rsidRPr="00E50B51">
              <w:rPr>
                <w:sz w:val="20"/>
                <w:szCs w:val="20"/>
              </w:rPr>
              <w:t>rskandidat Wi</w:t>
            </w:r>
            <w:r>
              <w:rPr>
                <w:sz w:val="20"/>
                <w:szCs w:val="20"/>
              </w:rPr>
              <w:t>l</w:t>
            </w:r>
            <w:r w:rsidRPr="00E50B51">
              <w:rPr>
                <w:sz w:val="20"/>
                <w:szCs w:val="20"/>
              </w:rPr>
              <w:t>liam Goebel ermordet. Das Parlament von Kentucky entschied dennoch über die Wahl, und zwar zugunsten des Klägers. Das hieß: Der Vizegouverneur soll</w:t>
            </w:r>
            <w:r>
              <w:rPr>
                <w:sz w:val="20"/>
                <w:szCs w:val="20"/>
              </w:rPr>
              <w:t>t</w:t>
            </w:r>
            <w:r w:rsidRPr="00E50B51">
              <w:rPr>
                <w:sz w:val="20"/>
                <w:szCs w:val="20"/>
              </w:rPr>
              <w:t xml:space="preserve">e nun Gouverneur werden. Dieser übernahm </w:t>
            </w:r>
            <w:r>
              <w:rPr>
                <w:sz w:val="20"/>
                <w:szCs w:val="20"/>
              </w:rPr>
              <w:t>nun</w:t>
            </w:r>
            <w:r w:rsidRPr="00E50B51">
              <w:rPr>
                <w:sz w:val="20"/>
                <w:szCs w:val="20"/>
              </w:rPr>
              <w:t xml:space="preserve"> das Amt des Gouverneurs. Er reichte sogleich Klage wegen Amtsmissbrauchs ein, um die Beklagten</w:t>
            </w:r>
            <w:r>
              <w:rPr>
                <w:sz w:val="20"/>
                <w:szCs w:val="20"/>
              </w:rPr>
              <w:t>, den</w:t>
            </w:r>
            <w:r w:rsidRPr="00E50B51">
              <w:rPr>
                <w:sz w:val="20"/>
                <w:szCs w:val="20"/>
              </w:rPr>
              <w:t xml:space="preserve"> bisherigen Gouverneur und Vizegouverneur</w:t>
            </w:r>
            <w:r>
              <w:rPr>
                <w:sz w:val="20"/>
                <w:szCs w:val="20"/>
              </w:rPr>
              <w:t>,</w:t>
            </w:r>
            <w:r w:rsidRPr="00E50B51">
              <w:rPr>
                <w:sz w:val="20"/>
                <w:szCs w:val="20"/>
              </w:rPr>
              <w:t xml:space="preserve"> dazu zu zwingen, ihre Ämter aufzugeben</w:t>
            </w:r>
            <w:r>
              <w:rPr>
                <w:sz w:val="20"/>
                <w:szCs w:val="20"/>
              </w:rPr>
              <w:t>, die</w:t>
            </w:r>
            <w:r w:rsidRPr="00E50B51">
              <w:rPr>
                <w:sz w:val="20"/>
                <w:szCs w:val="20"/>
              </w:rPr>
              <w:t xml:space="preserve"> sie nunmehr unrechtmäßig inne</w:t>
            </w:r>
            <w:r>
              <w:rPr>
                <w:sz w:val="20"/>
                <w:szCs w:val="20"/>
              </w:rPr>
              <w:t>hätten</w:t>
            </w:r>
            <w:r w:rsidRPr="00E50B51">
              <w:rPr>
                <w:sz w:val="20"/>
                <w:szCs w:val="20"/>
              </w:rPr>
              <w:t>. Das Berufungsgericht bestätigte das Klagebegehren. Auf Berufung der Beklagten hi</w:t>
            </w:r>
            <w:r>
              <w:rPr>
                <w:sz w:val="20"/>
                <w:szCs w:val="20"/>
              </w:rPr>
              <w:t>n</w:t>
            </w:r>
            <w:r w:rsidRPr="00E50B51">
              <w:rPr>
                <w:sz w:val="20"/>
                <w:szCs w:val="20"/>
              </w:rPr>
              <w:t xml:space="preserve"> entscheid der </w:t>
            </w:r>
            <w:r>
              <w:rPr>
                <w:sz w:val="20"/>
                <w:szCs w:val="20"/>
              </w:rPr>
              <w:t>U.S. Supreme Court</w:t>
            </w:r>
            <w:r w:rsidRPr="00E50B51">
              <w:rPr>
                <w:sz w:val="20"/>
                <w:szCs w:val="20"/>
              </w:rPr>
              <w:t xml:space="preserve">, er </w:t>
            </w:r>
            <w:r>
              <w:rPr>
                <w:sz w:val="20"/>
                <w:szCs w:val="20"/>
              </w:rPr>
              <w:t>sei</w:t>
            </w:r>
            <w:r w:rsidRPr="00E50B51">
              <w:rPr>
                <w:sz w:val="20"/>
                <w:szCs w:val="20"/>
              </w:rPr>
              <w:t xml:space="preserve"> nicht zuständig, die Entscheidung der Vorinstanzen zu überprüfen</w:t>
            </w:r>
            <w:r>
              <w:rPr>
                <w:sz w:val="20"/>
                <w:szCs w:val="20"/>
              </w:rPr>
              <w:t>, d</w:t>
            </w:r>
            <w:r w:rsidRPr="00E50B51">
              <w:rPr>
                <w:sz w:val="20"/>
                <w:szCs w:val="20"/>
              </w:rPr>
              <w:t>enn es stellte</w:t>
            </w:r>
            <w:r>
              <w:rPr>
                <w:sz w:val="20"/>
                <w:szCs w:val="20"/>
              </w:rPr>
              <w:t>n</w:t>
            </w:r>
            <w:r w:rsidRPr="00E50B51">
              <w:rPr>
                <w:sz w:val="20"/>
                <w:szCs w:val="20"/>
              </w:rPr>
              <w:t xml:space="preserve"> sich keine verfassungsrechtlichen Fragen. Das Recht, ein Amt zu bekleiden, sei kein Eigentumsrecht im Sinne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Und der </w:t>
            </w:r>
            <w:r>
              <w:rPr>
                <w:sz w:val="20"/>
                <w:szCs w:val="20"/>
              </w:rPr>
              <w:t>U.S. Supreme Court</w:t>
            </w:r>
            <w:r w:rsidRPr="00E50B51">
              <w:rPr>
                <w:sz w:val="20"/>
                <w:szCs w:val="20"/>
              </w:rPr>
              <w:t xml:space="preserve"> lehnte ein Recht ab, das die Beklagten konstruierten, nämlich dass die Bürger Kentuckys ihres Rechts beraubt worden </w:t>
            </w:r>
            <w:r>
              <w:rPr>
                <w:sz w:val="20"/>
                <w:szCs w:val="20"/>
              </w:rPr>
              <w:t>seien</w:t>
            </w:r>
            <w:r w:rsidRPr="00E50B51">
              <w:rPr>
                <w:sz w:val="20"/>
                <w:szCs w:val="20"/>
              </w:rPr>
              <w:t>, ihre Vertreter zu wählen.</w:t>
            </w:r>
          </w:p>
          <w:p w14:paraId="72B3C4E6" w14:textId="77777777" w:rsidR="00074551" w:rsidRPr="00E50B51" w:rsidRDefault="00074551" w:rsidP="00367133">
            <w:pPr>
              <w:jc w:val="both"/>
              <w:rPr>
                <w:sz w:val="20"/>
                <w:szCs w:val="20"/>
              </w:rPr>
            </w:pPr>
          </w:p>
        </w:tc>
        <w:tc>
          <w:tcPr>
            <w:tcW w:w="1822" w:type="pct"/>
          </w:tcPr>
          <w:p w14:paraId="7595A89B" w14:textId="43BD3616" w:rsidR="00074551" w:rsidRDefault="00074551" w:rsidP="00367133">
            <w:pPr>
              <w:jc w:val="both"/>
              <w:rPr>
                <w:sz w:val="20"/>
                <w:szCs w:val="20"/>
              </w:rPr>
            </w:pPr>
            <w:r w:rsidRPr="00E50B51">
              <w:rPr>
                <w:sz w:val="20"/>
                <w:szCs w:val="20"/>
              </w:rPr>
              <w:t xml:space="preserve">Der </w:t>
            </w:r>
            <w:r w:rsidR="00023A37">
              <w:rPr>
                <w:sz w:val="20"/>
                <w:szCs w:val="20"/>
              </w:rPr>
              <w:t xml:space="preserve">U.S. </w:t>
            </w:r>
            <w:proofErr w:type="spellStart"/>
            <w:r w:rsidR="00023A37">
              <w:rPr>
                <w:sz w:val="20"/>
                <w:szCs w:val="20"/>
              </w:rPr>
              <w:t>Const</w:t>
            </w:r>
            <w:proofErr w:type="spellEnd"/>
            <w:r w:rsidR="00023A37">
              <w:rPr>
                <w:sz w:val="20"/>
                <w:szCs w:val="20"/>
              </w:rPr>
              <w:t>. art. IV, § 4</w:t>
            </w:r>
            <w:r w:rsidRPr="00E50B51">
              <w:rPr>
                <w:sz w:val="20"/>
                <w:szCs w:val="20"/>
              </w:rPr>
              <w:t xml:space="preserve"> garantiere eine republikanische Regierungsform für jeden Bundesstaat („</w:t>
            </w:r>
            <w:proofErr w:type="spellStart"/>
            <w:r w:rsidRPr="00E50B51">
              <w:rPr>
                <w:sz w:val="20"/>
                <w:szCs w:val="20"/>
              </w:rPr>
              <w:t>guaranty</w:t>
            </w:r>
            <w:proofErr w:type="spellEnd"/>
            <w:r w:rsidRPr="00E50B51">
              <w:rPr>
                <w:sz w:val="20"/>
                <w:szCs w:val="20"/>
              </w:rPr>
              <w:t xml:space="preserve"> of a </w:t>
            </w:r>
            <w:proofErr w:type="spellStart"/>
            <w:r w:rsidRPr="00E50B51">
              <w:rPr>
                <w:sz w:val="20"/>
                <w:szCs w:val="20"/>
              </w:rPr>
              <w:t>Republican</w:t>
            </w:r>
            <w:proofErr w:type="spellEnd"/>
            <w:r w:rsidRPr="00E50B51">
              <w:rPr>
                <w:sz w:val="20"/>
                <w:szCs w:val="20"/>
              </w:rPr>
              <w:t xml:space="preserve"> form of </w:t>
            </w:r>
            <w:proofErr w:type="spellStart"/>
            <w:r w:rsidRPr="00E50B51">
              <w:rPr>
                <w:sz w:val="20"/>
                <w:szCs w:val="20"/>
              </w:rPr>
              <w:t>government</w:t>
            </w:r>
            <w:proofErr w:type="spellEnd"/>
            <w:r w:rsidRPr="00E50B51">
              <w:rPr>
                <w:sz w:val="20"/>
                <w:szCs w:val="20"/>
              </w:rPr>
              <w:t xml:space="preserve"> to </w:t>
            </w:r>
            <w:proofErr w:type="spellStart"/>
            <w:r w:rsidRPr="00E50B51">
              <w:rPr>
                <w:sz w:val="20"/>
                <w:szCs w:val="20"/>
              </w:rPr>
              <w:t>each</w:t>
            </w:r>
            <w:proofErr w:type="spellEnd"/>
            <w:r w:rsidRPr="00E50B51">
              <w:rPr>
                <w:sz w:val="20"/>
                <w:szCs w:val="20"/>
              </w:rPr>
              <w:t xml:space="preserve"> </w:t>
            </w:r>
            <w:proofErr w:type="spellStart"/>
            <w:r w:rsidRPr="00E50B51">
              <w:rPr>
                <w:sz w:val="20"/>
                <w:szCs w:val="20"/>
              </w:rPr>
              <w:t>state</w:t>
            </w:r>
            <w:proofErr w:type="spellEnd"/>
            <w:r w:rsidRPr="00E50B51">
              <w:rPr>
                <w:sz w:val="20"/>
                <w:szCs w:val="20"/>
              </w:rPr>
              <w:t>“</w:t>
            </w:r>
            <w:r>
              <w:rPr>
                <w:rStyle w:val="Funotenzeichen"/>
                <w:sz w:val="20"/>
                <w:szCs w:val="20"/>
              </w:rPr>
              <w:footnoteReference w:id="275"/>
            </w:r>
            <w:r w:rsidRPr="00E50B51">
              <w:rPr>
                <w:sz w:val="20"/>
                <w:szCs w:val="20"/>
              </w:rPr>
              <w:t xml:space="preserve">). Damit nehme er dem </w:t>
            </w:r>
            <w:r>
              <w:rPr>
                <w:sz w:val="20"/>
                <w:szCs w:val="20"/>
              </w:rPr>
              <w:t>U.S. Supreme Court</w:t>
            </w:r>
            <w:r w:rsidRPr="00E50B51">
              <w:rPr>
                <w:sz w:val="20"/>
                <w:szCs w:val="20"/>
              </w:rPr>
              <w:t xml:space="preserve"> die Zuständigkeit, eine Entscheidung des höchsten Gerichts eines Bundesstaates zu überprüfen, wenn die Entscheidung einen Wahlstreit nach Bundesverfassung betraf (vgl. </w:t>
            </w:r>
            <w:proofErr w:type="spellStart"/>
            <w:r w:rsidRPr="00B45592">
              <w:rPr>
                <w:i/>
                <w:iCs/>
                <w:sz w:val="20"/>
                <w:szCs w:val="20"/>
              </w:rPr>
              <w:t>writ</w:t>
            </w:r>
            <w:proofErr w:type="spellEnd"/>
            <w:r w:rsidRPr="00B45592">
              <w:rPr>
                <w:i/>
                <w:iCs/>
                <w:sz w:val="20"/>
                <w:szCs w:val="20"/>
              </w:rPr>
              <w:t xml:space="preserve"> of </w:t>
            </w:r>
            <w:proofErr w:type="spellStart"/>
            <w:r w:rsidRPr="00B45592">
              <w:rPr>
                <w:i/>
                <w:iCs/>
                <w:sz w:val="20"/>
                <w:szCs w:val="20"/>
              </w:rPr>
              <w:t>error</w:t>
            </w:r>
            <w:proofErr w:type="spellEnd"/>
            <w:r w:rsidRPr="00E50B51">
              <w:rPr>
                <w:sz w:val="20"/>
                <w:szCs w:val="20"/>
              </w:rPr>
              <w:t xml:space="preserve"> nach </w:t>
            </w:r>
            <w:r>
              <w:rPr>
                <w:sz w:val="20"/>
                <w:szCs w:val="20"/>
              </w:rPr>
              <w:t>U.S.</w:t>
            </w:r>
            <w:r w:rsidRPr="00E50B51">
              <w:rPr>
                <w:sz w:val="20"/>
                <w:szCs w:val="20"/>
              </w:rPr>
              <w:t xml:space="preserve"> Rev. Stat. 709). Denn eine solche Entscheidung würde das Recht des Volkes verletzten, seine eigenen Amtsträger zu wählen („</w:t>
            </w:r>
            <w:proofErr w:type="spellStart"/>
            <w:r w:rsidRPr="00E50B51">
              <w:rPr>
                <w:sz w:val="20"/>
                <w:szCs w:val="20"/>
              </w:rPr>
              <w:t>right</w:t>
            </w:r>
            <w:proofErr w:type="spellEnd"/>
            <w:r w:rsidRPr="00E50B51">
              <w:rPr>
                <w:sz w:val="20"/>
                <w:szCs w:val="20"/>
              </w:rPr>
              <w:t xml:space="preserve"> of the </w:t>
            </w:r>
            <w:proofErr w:type="spellStart"/>
            <w:r w:rsidRPr="00E50B51">
              <w:rPr>
                <w:sz w:val="20"/>
                <w:szCs w:val="20"/>
              </w:rPr>
              <w:t>people</w:t>
            </w:r>
            <w:proofErr w:type="spellEnd"/>
            <w:r w:rsidRPr="00E50B51">
              <w:rPr>
                <w:sz w:val="20"/>
                <w:szCs w:val="20"/>
              </w:rPr>
              <w:t xml:space="preserve"> to </w:t>
            </w:r>
            <w:proofErr w:type="spellStart"/>
            <w:r w:rsidRPr="00E50B51">
              <w:rPr>
                <w:sz w:val="20"/>
                <w:szCs w:val="20"/>
              </w:rPr>
              <w:t>choose</w:t>
            </w:r>
            <w:proofErr w:type="spellEnd"/>
            <w:r w:rsidRPr="00E50B51">
              <w:rPr>
                <w:sz w:val="20"/>
                <w:szCs w:val="20"/>
              </w:rPr>
              <w:t xml:space="preserve"> </w:t>
            </w:r>
            <w:proofErr w:type="spellStart"/>
            <w:r w:rsidRPr="00E50B51">
              <w:rPr>
                <w:sz w:val="20"/>
                <w:szCs w:val="20"/>
              </w:rPr>
              <w:t>their</w:t>
            </w:r>
            <w:proofErr w:type="spellEnd"/>
            <w:r w:rsidRPr="00E50B51">
              <w:rPr>
                <w:sz w:val="20"/>
                <w:szCs w:val="20"/>
              </w:rPr>
              <w:t xml:space="preserve"> own </w:t>
            </w:r>
            <w:proofErr w:type="spellStart"/>
            <w:r w:rsidRPr="00E50B51">
              <w:rPr>
                <w:sz w:val="20"/>
                <w:szCs w:val="20"/>
              </w:rPr>
              <w:t>officers</w:t>
            </w:r>
            <w:proofErr w:type="spellEnd"/>
            <w:r w:rsidRPr="00E50B51">
              <w:rPr>
                <w:sz w:val="20"/>
                <w:szCs w:val="20"/>
              </w:rPr>
              <w:t>“</w:t>
            </w:r>
            <w:r>
              <w:rPr>
                <w:rStyle w:val="Funotenzeichen"/>
                <w:sz w:val="20"/>
                <w:szCs w:val="20"/>
              </w:rPr>
              <w:footnoteReference w:id="276"/>
            </w:r>
            <w:r w:rsidRPr="00E50B51">
              <w:rPr>
                <w:sz w:val="20"/>
                <w:szCs w:val="20"/>
              </w:rPr>
              <w:t xml:space="preserve">) – als Ausprägung der republikanischen Regierungsform für jeden Bundesstaat. Dieses Recht sei verletzt, solange eine der drei bundesstaatlichen Gewalten in einem friedlichen, geordneten und verfassungsrechtlich kodifizierten Verfahren die Amtsträger bestimmen könne („legislative, </w:t>
            </w:r>
            <w:proofErr w:type="spellStart"/>
            <w:r w:rsidRPr="00E50B51">
              <w:rPr>
                <w:sz w:val="20"/>
                <w:szCs w:val="20"/>
              </w:rPr>
              <w:t>executive</w:t>
            </w:r>
            <w:proofErr w:type="spellEnd"/>
            <w:r w:rsidRPr="00E50B51">
              <w:rPr>
                <w:sz w:val="20"/>
                <w:szCs w:val="20"/>
              </w:rPr>
              <w:t xml:space="preserve">, and </w:t>
            </w:r>
            <w:proofErr w:type="spellStart"/>
            <w:r w:rsidRPr="00E50B51">
              <w:rPr>
                <w:sz w:val="20"/>
                <w:szCs w:val="20"/>
              </w:rPr>
              <w:t>judicial</w:t>
            </w:r>
            <w:proofErr w:type="spellEnd"/>
            <w:r w:rsidRPr="00E50B51">
              <w:rPr>
                <w:sz w:val="20"/>
                <w:szCs w:val="20"/>
              </w:rPr>
              <w:t xml:space="preserve"> </w:t>
            </w:r>
            <w:proofErr w:type="spellStart"/>
            <w:r w:rsidRPr="00E50B51">
              <w:rPr>
                <w:sz w:val="20"/>
                <w:szCs w:val="20"/>
              </w:rPr>
              <w:t>departments</w:t>
            </w:r>
            <w:proofErr w:type="spellEnd"/>
            <w:r w:rsidRPr="00E50B51">
              <w:rPr>
                <w:sz w:val="20"/>
                <w:szCs w:val="20"/>
              </w:rPr>
              <w:t xml:space="preserve"> […] </w:t>
            </w:r>
            <w:proofErr w:type="spellStart"/>
            <w:r w:rsidRPr="00E50B51">
              <w:rPr>
                <w:sz w:val="20"/>
                <w:szCs w:val="20"/>
              </w:rPr>
              <w:t>are</w:t>
            </w:r>
            <w:proofErr w:type="spellEnd"/>
            <w:r w:rsidRPr="00E50B51">
              <w:rPr>
                <w:sz w:val="20"/>
                <w:szCs w:val="20"/>
              </w:rPr>
              <w:t xml:space="preserve"> </w:t>
            </w:r>
            <w:proofErr w:type="spellStart"/>
            <w:r w:rsidRPr="00E50B51">
              <w:rPr>
                <w:sz w:val="20"/>
                <w:szCs w:val="20"/>
              </w:rPr>
              <w:t>peace</w:t>
            </w:r>
            <w:proofErr w:type="spellEnd"/>
            <w:r w:rsidRPr="00E50B51">
              <w:rPr>
                <w:sz w:val="20"/>
                <w:szCs w:val="20"/>
              </w:rPr>
              <w:t xml:space="preserve"> fully </w:t>
            </w:r>
            <w:proofErr w:type="spellStart"/>
            <w:r w:rsidRPr="00E50B51">
              <w:rPr>
                <w:sz w:val="20"/>
                <w:szCs w:val="20"/>
              </w:rPr>
              <w:t>operating</w:t>
            </w:r>
            <w:proofErr w:type="spellEnd"/>
            <w:r w:rsidRPr="00E50B51">
              <w:rPr>
                <w:sz w:val="20"/>
                <w:szCs w:val="20"/>
              </w:rPr>
              <w:t xml:space="preserve"> by the </w:t>
            </w:r>
            <w:proofErr w:type="spellStart"/>
            <w:r w:rsidRPr="00E50B51">
              <w:rPr>
                <w:sz w:val="20"/>
                <w:szCs w:val="20"/>
              </w:rPr>
              <w:t>orderly</w:t>
            </w:r>
            <w:proofErr w:type="spellEnd"/>
            <w:r w:rsidRPr="00E50B51">
              <w:rPr>
                <w:sz w:val="20"/>
                <w:szCs w:val="20"/>
              </w:rPr>
              <w:t xml:space="preserve"> and </w:t>
            </w:r>
            <w:proofErr w:type="spellStart"/>
            <w:r w:rsidRPr="00E50B51">
              <w:rPr>
                <w:sz w:val="20"/>
                <w:szCs w:val="20"/>
              </w:rPr>
              <w:t>settled</w:t>
            </w:r>
            <w:proofErr w:type="spellEnd"/>
            <w:r w:rsidRPr="00E50B51">
              <w:rPr>
                <w:sz w:val="20"/>
                <w:szCs w:val="20"/>
              </w:rPr>
              <w:t xml:space="preserve"> </w:t>
            </w:r>
            <w:proofErr w:type="spellStart"/>
            <w:r w:rsidRPr="00E50B51">
              <w:rPr>
                <w:sz w:val="20"/>
                <w:szCs w:val="20"/>
              </w:rPr>
              <w:t>methods</w:t>
            </w:r>
            <w:proofErr w:type="spellEnd"/>
            <w:r w:rsidRPr="00E50B51">
              <w:rPr>
                <w:sz w:val="20"/>
                <w:szCs w:val="20"/>
              </w:rPr>
              <w:t xml:space="preserve"> </w:t>
            </w:r>
            <w:proofErr w:type="spellStart"/>
            <w:r w:rsidRPr="00E50B51">
              <w:rPr>
                <w:sz w:val="20"/>
                <w:szCs w:val="20"/>
              </w:rPr>
              <w:t>prescribed</w:t>
            </w:r>
            <w:proofErr w:type="spellEnd"/>
            <w:r w:rsidRPr="00E50B51">
              <w:rPr>
                <w:sz w:val="20"/>
                <w:szCs w:val="20"/>
              </w:rPr>
              <w:t xml:space="preserve"> by </w:t>
            </w:r>
            <w:proofErr w:type="spellStart"/>
            <w:r w:rsidRPr="00E50B51">
              <w:rPr>
                <w:sz w:val="20"/>
                <w:szCs w:val="20"/>
              </w:rPr>
              <w:t>its</w:t>
            </w:r>
            <w:proofErr w:type="spellEnd"/>
            <w:r w:rsidRPr="00E50B51">
              <w:rPr>
                <w:sz w:val="20"/>
                <w:szCs w:val="20"/>
              </w:rPr>
              <w:t xml:space="preserve"> fundamental </w:t>
            </w:r>
            <w:proofErr w:type="spellStart"/>
            <w:r w:rsidRPr="00E50B51">
              <w:rPr>
                <w:sz w:val="20"/>
                <w:szCs w:val="20"/>
              </w:rPr>
              <w:t>law</w:t>
            </w:r>
            <w:proofErr w:type="spellEnd"/>
            <w:r w:rsidRPr="00E50B51">
              <w:rPr>
                <w:sz w:val="20"/>
                <w:szCs w:val="20"/>
              </w:rPr>
              <w:t>“</w:t>
            </w:r>
            <w:r>
              <w:rPr>
                <w:rStyle w:val="Funotenzeichen"/>
                <w:sz w:val="20"/>
                <w:szCs w:val="20"/>
              </w:rPr>
              <w:footnoteReference w:id="277"/>
            </w:r>
            <w:r w:rsidRPr="00E50B51">
              <w:rPr>
                <w:sz w:val="20"/>
                <w:szCs w:val="20"/>
              </w:rPr>
              <w:t xml:space="preserve">). Was hier der Fall war. Die Verteidigung konkretisiert noch zur republikanischen Regierungsform: Keine der drei bundesstaatlichen Gewalten dürfe aber das Recht auf ein Streben nach Glück einschränken, um Amtsträger zu bestimmen. </w:t>
            </w:r>
            <w:r w:rsidRPr="00B45592">
              <w:rPr>
                <w:sz w:val="20"/>
                <w:szCs w:val="20"/>
                <w:lang w:val="en-IE"/>
              </w:rPr>
              <w:t xml:space="preserve">Dieses Recht </w:t>
            </w:r>
            <w:proofErr w:type="spellStart"/>
            <w:r w:rsidRPr="00B45592">
              <w:rPr>
                <w:sz w:val="20"/>
                <w:szCs w:val="20"/>
                <w:lang w:val="en-IE"/>
              </w:rPr>
              <w:t>drücke</w:t>
            </w:r>
            <w:proofErr w:type="spellEnd"/>
            <w:r w:rsidRPr="00B45592">
              <w:rPr>
                <w:sz w:val="20"/>
                <w:szCs w:val="20"/>
                <w:lang w:val="en-IE"/>
              </w:rPr>
              <w:t xml:space="preserve"> </w:t>
            </w:r>
            <w:proofErr w:type="spellStart"/>
            <w:r w:rsidRPr="00B45592">
              <w:rPr>
                <w:sz w:val="20"/>
                <w:szCs w:val="20"/>
                <w:lang w:val="en-IE"/>
              </w:rPr>
              <w:t>sich</w:t>
            </w:r>
            <w:proofErr w:type="spellEnd"/>
            <w:r w:rsidRPr="00B45592">
              <w:rPr>
                <w:sz w:val="20"/>
                <w:szCs w:val="20"/>
                <w:lang w:val="en-IE"/>
              </w:rPr>
              <w:t xml:space="preserve"> </w:t>
            </w:r>
            <w:proofErr w:type="spellStart"/>
            <w:r w:rsidRPr="00B45592">
              <w:rPr>
                <w:sz w:val="20"/>
                <w:szCs w:val="20"/>
                <w:lang w:val="en-IE"/>
              </w:rPr>
              <w:t>im</w:t>
            </w:r>
            <w:proofErr w:type="spellEnd"/>
            <w:r w:rsidRPr="00B45592">
              <w:rPr>
                <w:sz w:val="20"/>
                <w:szCs w:val="20"/>
                <w:lang w:val="en-IE"/>
              </w:rPr>
              <w:t xml:space="preserve"> </w:t>
            </w:r>
            <w:proofErr w:type="spellStart"/>
            <w:r w:rsidRPr="00B45592">
              <w:rPr>
                <w:sz w:val="20"/>
                <w:szCs w:val="20"/>
                <w:lang w:val="en-IE"/>
              </w:rPr>
              <w:t>aktiven</w:t>
            </w:r>
            <w:proofErr w:type="spellEnd"/>
            <w:r w:rsidRPr="00B45592">
              <w:rPr>
                <w:sz w:val="20"/>
                <w:szCs w:val="20"/>
                <w:lang w:val="en-IE"/>
              </w:rPr>
              <w:t xml:space="preserve"> und </w:t>
            </w:r>
            <w:proofErr w:type="spellStart"/>
            <w:r w:rsidRPr="00B45592">
              <w:rPr>
                <w:sz w:val="20"/>
                <w:szCs w:val="20"/>
                <w:lang w:val="en-IE"/>
              </w:rPr>
              <w:t>passiven</w:t>
            </w:r>
            <w:proofErr w:type="spellEnd"/>
            <w:r w:rsidRPr="00B45592">
              <w:rPr>
                <w:sz w:val="20"/>
                <w:szCs w:val="20"/>
                <w:lang w:val="en-IE"/>
              </w:rPr>
              <w:t xml:space="preserve"> </w:t>
            </w:r>
            <w:proofErr w:type="spellStart"/>
            <w:r w:rsidRPr="00B45592">
              <w:rPr>
                <w:sz w:val="20"/>
                <w:szCs w:val="20"/>
                <w:lang w:val="en-IE"/>
              </w:rPr>
              <w:t>Wahlrecht</w:t>
            </w:r>
            <w:proofErr w:type="spellEnd"/>
            <w:r w:rsidRPr="00B45592">
              <w:rPr>
                <w:sz w:val="20"/>
                <w:szCs w:val="20"/>
                <w:lang w:val="en-IE"/>
              </w:rPr>
              <w:t xml:space="preserve"> </w:t>
            </w:r>
            <w:proofErr w:type="spellStart"/>
            <w:r w:rsidRPr="00B45592">
              <w:rPr>
                <w:sz w:val="20"/>
                <w:szCs w:val="20"/>
                <w:lang w:val="en-IE"/>
              </w:rPr>
              <w:t>aus</w:t>
            </w:r>
            <w:proofErr w:type="spellEnd"/>
            <w:r w:rsidRPr="00B45592">
              <w:rPr>
                <w:sz w:val="20"/>
                <w:szCs w:val="20"/>
                <w:lang w:val="en-IE"/>
              </w:rPr>
              <w:t xml:space="preserve"> (“power by the State or any department thereof, whereby any person shall be deprived of […] the pursuit of happiness, including therein the enjoyment of </w:t>
            </w:r>
            <w:proofErr w:type="spellStart"/>
            <w:r w:rsidRPr="00B45592">
              <w:rPr>
                <w:sz w:val="20"/>
                <w:szCs w:val="20"/>
                <w:lang w:val="en-IE"/>
              </w:rPr>
              <w:t>honors</w:t>
            </w:r>
            <w:proofErr w:type="spellEnd"/>
            <w:r w:rsidRPr="00B45592">
              <w:rPr>
                <w:sz w:val="20"/>
                <w:szCs w:val="20"/>
                <w:lang w:val="en-IE"/>
              </w:rPr>
              <w:t xml:space="preserve"> and the occupation of positions of public trust and emolument, is forbidden“</w:t>
            </w:r>
            <w:r w:rsidRPr="00E50B51">
              <w:rPr>
                <w:rStyle w:val="Funotenzeichen"/>
                <w:rFonts w:eastAsiaTheme="majorEastAsia"/>
                <w:sz w:val="20"/>
                <w:szCs w:val="20"/>
              </w:rPr>
              <w:footnoteReference w:id="278"/>
            </w:r>
            <w:r w:rsidRPr="00B45592">
              <w:rPr>
                <w:sz w:val="20"/>
                <w:szCs w:val="20"/>
                <w:lang w:val="en-IE"/>
              </w:rPr>
              <w:t xml:space="preserve">). </w:t>
            </w:r>
            <w:r>
              <w:rPr>
                <w:sz w:val="20"/>
                <w:szCs w:val="20"/>
              </w:rPr>
              <w:t>Da</w:t>
            </w:r>
            <w:r w:rsidRPr="00E50B51">
              <w:rPr>
                <w:sz w:val="20"/>
                <w:szCs w:val="20"/>
              </w:rPr>
              <w:t xml:space="preserve"> hier aber nicht die Wähler, sondern das Parlament die Amtsträger bestimmten, sei das aktive Wahlrecht verletzt als Ausprägung des Rechts auf ein Streben nach Glück.</w:t>
            </w:r>
          </w:p>
          <w:p w14:paraId="097248A9" w14:textId="77777777" w:rsidR="00074551" w:rsidRPr="00E50B51" w:rsidRDefault="00074551" w:rsidP="00367133">
            <w:pPr>
              <w:jc w:val="both"/>
              <w:rPr>
                <w:sz w:val="20"/>
                <w:szCs w:val="20"/>
              </w:rPr>
            </w:pPr>
          </w:p>
        </w:tc>
      </w:tr>
      <w:tr w:rsidR="00074551" w:rsidRPr="00E50B51" w14:paraId="6590DB47" w14:textId="77777777" w:rsidTr="00BE689F">
        <w:trPr>
          <w:cantSplit/>
          <w:trHeight w:val="3175"/>
        </w:trPr>
        <w:tc>
          <w:tcPr>
            <w:tcW w:w="293" w:type="pct"/>
          </w:tcPr>
          <w:p w14:paraId="1CF347A3"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3C0FFAAE" w14:textId="77777777" w:rsidR="00074551" w:rsidRPr="00E50B51" w:rsidRDefault="00074551" w:rsidP="00367133">
            <w:pPr>
              <w:ind w:left="113" w:right="113"/>
              <w:jc w:val="both"/>
              <w:rPr>
                <w:sz w:val="20"/>
                <w:szCs w:val="20"/>
                <w:lang w:val="en-US"/>
              </w:rPr>
            </w:pPr>
            <w:r w:rsidRPr="00546F93">
              <w:rPr>
                <w:i/>
                <w:sz w:val="20"/>
                <w:szCs w:val="20"/>
              </w:rPr>
              <w:t>Luther v. Borden</w:t>
            </w:r>
          </w:p>
        </w:tc>
        <w:tc>
          <w:tcPr>
            <w:tcW w:w="197" w:type="pct"/>
            <w:textDirection w:val="tbRl"/>
            <w:vAlign w:val="center"/>
          </w:tcPr>
          <w:p w14:paraId="4C10AB7E" w14:textId="77777777" w:rsidR="00074551" w:rsidRPr="00E50B51" w:rsidRDefault="00074551" w:rsidP="00367133">
            <w:pPr>
              <w:ind w:left="113" w:right="113"/>
              <w:jc w:val="both"/>
              <w:rPr>
                <w:sz w:val="20"/>
                <w:szCs w:val="20"/>
                <w:lang w:val="en-US"/>
              </w:rPr>
            </w:pPr>
            <w:r w:rsidRPr="00BE3728">
              <w:rPr>
                <w:sz w:val="20"/>
                <w:szCs w:val="20"/>
              </w:rPr>
              <w:t>48 U.S. 1</w:t>
            </w:r>
          </w:p>
        </w:tc>
        <w:tc>
          <w:tcPr>
            <w:tcW w:w="306" w:type="pct"/>
            <w:textDirection w:val="tbRl"/>
            <w:vAlign w:val="center"/>
          </w:tcPr>
          <w:p w14:paraId="368FE926" w14:textId="77777777" w:rsidR="00074551" w:rsidRPr="00E50B51" w:rsidRDefault="00074551" w:rsidP="00367133">
            <w:pPr>
              <w:ind w:left="113" w:right="113"/>
              <w:jc w:val="both"/>
              <w:rPr>
                <w:sz w:val="20"/>
                <w:szCs w:val="20"/>
              </w:rPr>
            </w:pPr>
            <w:r w:rsidRPr="00BE3728">
              <w:rPr>
                <w:sz w:val="20"/>
                <w:szCs w:val="20"/>
              </w:rPr>
              <w:t>03. Januar 1849</w:t>
            </w:r>
          </w:p>
        </w:tc>
        <w:tc>
          <w:tcPr>
            <w:tcW w:w="401" w:type="pct"/>
          </w:tcPr>
          <w:p w14:paraId="49F0319E" w14:textId="77777777" w:rsidR="00074551" w:rsidRPr="00E50B51" w:rsidRDefault="00074551" w:rsidP="00367133">
            <w:pPr>
              <w:jc w:val="center"/>
              <w:rPr>
                <w:sz w:val="20"/>
                <w:szCs w:val="20"/>
                <w:lang w:val="en-US"/>
              </w:rPr>
            </w:pPr>
            <w:r w:rsidRPr="00BE3728">
              <w:rPr>
                <w:sz w:val="20"/>
                <w:szCs w:val="20"/>
                <w:lang w:val="en-US"/>
              </w:rPr>
              <w:t>R/S</w:t>
            </w:r>
          </w:p>
        </w:tc>
        <w:tc>
          <w:tcPr>
            <w:tcW w:w="1594" w:type="pct"/>
          </w:tcPr>
          <w:p w14:paraId="1EAC59EF" w14:textId="4C0A73F3" w:rsidR="00074551" w:rsidRPr="00BE3728" w:rsidRDefault="00074551" w:rsidP="00367133">
            <w:pPr>
              <w:jc w:val="both"/>
              <w:rPr>
                <w:sz w:val="20"/>
                <w:szCs w:val="20"/>
              </w:rPr>
            </w:pPr>
            <w:r w:rsidRPr="00BE3728">
              <w:rPr>
                <w:sz w:val="20"/>
                <w:szCs w:val="20"/>
              </w:rPr>
              <w:t xml:space="preserve">Im Fall </w:t>
            </w:r>
            <w:r w:rsidRPr="00546F93">
              <w:rPr>
                <w:i/>
                <w:sz w:val="20"/>
                <w:szCs w:val="20"/>
              </w:rPr>
              <w:t>Luther v. Borden</w:t>
            </w:r>
            <w:r w:rsidRPr="00BE3728">
              <w:rPr>
                <w:sz w:val="20"/>
                <w:szCs w:val="20"/>
              </w:rPr>
              <w:t xml:space="preserve"> aus dem Jahr 1849 entschied der </w:t>
            </w:r>
            <w:r>
              <w:rPr>
                <w:sz w:val="20"/>
                <w:szCs w:val="20"/>
              </w:rPr>
              <w:t>U.S. Supreme Court</w:t>
            </w:r>
            <w:r w:rsidRPr="00BE3728">
              <w:rPr>
                <w:sz w:val="20"/>
                <w:szCs w:val="20"/>
              </w:rPr>
              <w:t xml:space="preserve">, </w:t>
            </w:r>
            <w:r>
              <w:rPr>
                <w:sz w:val="20"/>
                <w:szCs w:val="20"/>
              </w:rPr>
              <w:t>das</w:t>
            </w:r>
            <w:r w:rsidRPr="00BE3728">
              <w:rPr>
                <w:sz w:val="20"/>
                <w:szCs w:val="20"/>
              </w:rPr>
              <w:t xml:space="preserve"> Fragen zur republikanischen Regierungsform von Bundesstaaten politische Fragen seien. Diese </w:t>
            </w:r>
            <w:r>
              <w:rPr>
                <w:sz w:val="20"/>
                <w:szCs w:val="20"/>
              </w:rPr>
              <w:t>fielen</w:t>
            </w:r>
            <w:r w:rsidRPr="00BE3728">
              <w:rPr>
                <w:sz w:val="20"/>
                <w:szCs w:val="20"/>
              </w:rPr>
              <w:t xml:space="preserve"> in die Zuständigkeit des </w:t>
            </w:r>
            <w:r>
              <w:rPr>
                <w:sz w:val="20"/>
                <w:szCs w:val="20"/>
              </w:rPr>
              <w:t xml:space="preserve">US-Präsidenten </w:t>
            </w:r>
            <w:r w:rsidRPr="00BE3728">
              <w:rPr>
                <w:sz w:val="20"/>
                <w:szCs w:val="20"/>
              </w:rPr>
              <w:t xml:space="preserve">und des Kongresses, nicht in seine. Sie </w:t>
            </w:r>
            <w:r>
              <w:rPr>
                <w:sz w:val="20"/>
                <w:szCs w:val="20"/>
              </w:rPr>
              <w:t>seien</w:t>
            </w:r>
            <w:r w:rsidRPr="00BE3728">
              <w:rPr>
                <w:sz w:val="20"/>
                <w:szCs w:val="20"/>
              </w:rPr>
              <w:t xml:space="preserve"> nicht vor Gerichten zu überprüfen. Der Kläger, Martin Luther, hatte </w:t>
            </w:r>
            <w:r>
              <w:rPr>
                <w:sz w:val="20"/>
                <w:szCs w:val="20"/>
              </w:rPr>
              <w:t>argumentiert</w:t>
            </w:r>
            <w:r w:rsidRPr="00BE3728">
              <w:rPr>
                <w:sz w:val="20"/>
                <w:szCs w:val="20"/>
              </w:rPr>
              <w:t xml:space="preserve">, die Regierung von Rhode Island sei aufgrund ihrer Wahlrechtsbeschränkungen nicht republikanisch. Er berief sich auf </w:t>
            </w:r>
            <w:r w:rsidR="00023A37">
              <w:rPr>
                <w:sz w:val="20"/>
                <w:szCs w:val="20"/>
              </w:rPr>
              <w:t xml:space="preserve">U.S. </w:t>
            </w:r>
            <w:proofErr w:type="spellStart"/>
            <w:r w:rsidR="00023A37">
              <w:rPr>
                <w:sz w:val="20"/>
                <w:szCs w:val="20"/>
              </w:rPr>
              <w:t>Const</w:t>
            </w:r>
            <w:proofErr w:type="spellEnd"/>
            <w:r w:rsidR="00023A37">
              <w:rPr>
                <w:sz w:val="20"/>
                <w:szCs w:val="20"/>
              </w:rPr>
              <w:t>. art. IV, § 4.</w:t>
            </w:r>
            <w:r w:rsidRPr="00BE3728">
              <w:rPr>
                <w:sz w:val="20"/>
                <w:szCs w:val="20"/>
              </w:rPr>
              <w:t xml:space="preserve"> D</w:t>
            </w:r>
            <w:r>
              <w:rPr>
                <w:sz w:val="20"/>
                <w:szCs w:val="20"/>
              </w:rPr>
              <w:t>ies</w:t>
            </w:r>
            <w:r w:rsidRPr="00BE3728">
              <w:rPr>
                <w:sz w:val="20"/>
                <w:szCs w:val="20"/>
              </w:rPr>
              <w:t>er garantiere eine republikanische Regierungsform. Daraufhin hatte ein Bundesbeamter, Luther M. Borden als Beklagter, das Haus Martin Luthers durchsuchen lassen und dabei Eigentum beschädigt. Fraglich war nunmehr, ob die Durchsuchung rechtmäßig war – oder die Wahlrechtsbeschränkungen dem Staat seine Grundlage entziehen, hier die republikanische Form, und damit auch jedwede staatliche Handlung rechtswidrig machen</w:t>
            </w:r>
            <w:r>
              <w:rPr>
                <w:sz w:val="20"/>
                <w:szCs w:val="20"/>
              </w:rPr>
              <w:t xml:space="preserve">, in diesem Fall </w:t>
            </w:r>
            <w:r w:rsidRPr="00BE3728">
              <w:rPr>
                <w:sz w:val="20"/>
                <w:szCs w:val="20"/>
              </w:rPr>
              <w:t>die Durchsuchung</w:t>
            </w:r>
            <w:r>
              <w:rPr>
                <w:sz w:val="20"/>
                <w:szCs w:val="20"/>
              </w:rPr>
              <w:t>.</w:t>
            </w:r>
            <w:r w:rsidRPr="00BE3728">
              <w:rPr>
                <w:sz w:val="20"/>
                <w:szCs w:val="20"/>
              </w:rPr>
              <w:t xml:space="preserve"> Der </w:t>
            </w:r>
            <w:r>
              <w:rPr>
                <w:sz w:val="20"/>
                <w:szCs w:val="20"/>
              </w:rPr>
              <w:t>U.S. Supreme Court</w:t>
            </w:r>
            <w:r w:rsidRPr="00BE3728">
              <w:rPr>
                <w:sz w:val="20"/>
                <w:szCs w:val="20"/>
              </w:rPr>
              <w:t xml:space="preserve"> stellte fest, dass es nicht in seiner Zuständigkeit liege, über die republikanische Natur der bundesstaatlichen Regierung zu entscheiden. Diese Entscheidung begründete die Doktrin der politischen Fragen („</w:t>
            </w:r>
            <w:proofErr w:type="spellStart"/>
            <w:r w:rsidRPr="00BE3728">
              <w:rPr>
                <w:sz w:val="20"/>
                <w:szCs w:val="20"/>
              </w:rPr>
              <w:t>political</w:t>
            </w:r>
            <w:proofErr w:type="spellEnd"/>
            <w:r w:rsidRPr="00BE3728">
              <w:rPr>
                <w:sz w:val="20"/>
                <w:szCs w:val="20"/>
              </w:rPr>
              <w:t xml:space="preserve"> </w:t>
            </w:r>
            <w:proofErr w:type="spellStart"/>
            <w:r w:rsidRPr="00BE3728">
              <w:rPr>
                <w:sz w:val="20"/>
                <w:szCs w:val="20"/>
              </w:rPr>
              <w:t>question</w:t>
            </w:r>
            <w:proofErr w:type="spellEnd"/>
            <w:r w:rsidRPr="00BE3728">
              <w:rPr>
                <w:sz w:val="20"/>
                <w:szCs w:val="20"/>
              </w:rPr>
              <w:t xml:space="preserve"> </w:t>
            </w:r>
            <w:proofErr w:type="spellStart"/>
            <w:r w:rsidRPr="00BE3728">
              <w:rPr>
                <w:sz w:val="20"/>
                <w:szCs w:val="20"/>
              </w:rPr>
              <w:t>doctrine</w:t>
            </w:r>
            <w:proofErr w:type="spellEnd"/>
            <w:r w:rsidRPr="00BE3728">
              <w:rPr>
                <w:sz w:val="20"/>
                <w:szCs w:val="20"/>
              </w:rPr>
              <w:t xml:space="preserve">“). Zwei Jahrzehnte später führte der Zusatz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w:t>
            </w:r>
            <w:proofErr w:type="spellStart"/>
            <w:r w:rsidRPr="00A142D9">
              <w:rPr>
                <w:i/>
                <w:sz w:val="20"/>
                <w:szCs w:val="20"/>
              </w:rPr>
              <w:t>Equal</w:t>
            </w:r>
            <w:proofErr w:type="spellEnd"/>
            <w:r w:rsidRPr="00A142D9">
              <w:rPr>
                <w:i/>
                <w:sz w:val="20"/>
                <w:szCs w:val="20"/>
              </w:rPr>
              <w:t xml:space="preserve"> </w:t>
            </w:r>
            <w:proofErr w:type="spellStart"/>
            <w:r w:rsidRPr="00A142D9">
              <w:rPr>
                <w:i/>
                <w:sz w:val="20"/>
                <w:szCs w:val="20"/>
              </w:rPr>
              <w:t>Protection</w:t>
            </w:r>
            <w:proofErr w:type="spellEnd"/>
            <w:r w:rsidRPr="00A142D9">
              <w:rPr>
                <w:i/>
                <w:sz w:val="20"/>
                <w:szCs w:val="20"/>
              </w:rPr>
              <w:t xml:space="preserve"> </w:t>
            </w:r>
            <w:proofErr w:type="spellStart"/>
            <w:r w:rsidRPr="00A142D9">
              <w:rPr>
                <w:i/>
                <w:sz w:val="20"/>
                <w:szCs w:val="20"/>
              </w:rPr>
              <w:t>Clause</w:t>
            </w:r>
            <w:proofErr w:type="spellEnd"/>
            <w:r w:rsidRPr="00BE3728">
              <w:rPr>
                <w:sz w:val="20"/>
                <w:szCs w:val="20"/>
              </w:rPr>
              <w:t xml:space="preserve">) dazu, dass in späteren Fällen, wie </w:t>
            </w:r>
            <w:r w:rsidRPr="00B45592">
              <w:rPr>
                <w:i/>
                <w:sz w:val="20"/>
                <w:szCs w:val="20"/>
              </w:rPr>
              <w:t>Baker v. Carr</w:t>
            </w:r>
            <w:r>
              <w:rPr>
                <w:iCs/>
                <w:sz w:val="20"/>
                <w:szCs w:val="20"/>
              </w:rPr>
              <w:t>,</w:t>
            </w:r>
            <w:r w:rsidRPr="00BE3728">
              <w:rPr>
                <w:rStyle w:val="Funotenzeichen"/>
                <w:sz w:val="20"/>
                <w:szCs w:val="20"/>
              </w:rPr>
              <w:footnoteReference w:id="279"/>
            </w:r>
            <w:r w:rsidRPr="00BE3728">
              <w:rPr>
                <w:sz w:val="20"/>
                <w:szCs w:val="20"/>
              </w:rPr>
              <w:t xml:space="preserve"> ähnliche Themen gerichtlich überprüfbar wurden.</w:t>
            </w:r>
            <w:r w:rsidRPr="00BE3728">
              <w:rPr>
                <w:rStyle w:val="Funotenzeichen"/>
                <w:sz w:val="20"/>
                <w:szCs w:val="20"/>
              </w:rPr>
              <w:footnoteReference w:id="280"/>
            </w:r>
          </w:p>
          <w:p w14:paraId="5502F001" w14:textId="77777777" w:rsidR="00074551" w:rsidRPr="00BE3728" w:rsidRDefault="00074551" w:rsidP="00367133">
            <w:pPr>
              <w:jc w:val="both"/>
              <w:rPr>
                <w:sz w:val="20"/>
                <w:szCs w:val="20"/>
              </w:rPr>
            </w:pPr>
          </w:p>
          <w:p w14:paraId="6CBE2975" w14:textId="77777777" w:rsidR="00074551" w:rsidRPr="00E50B51" w:rsidRDefault="00074551" w:rsidP="00367133">
            <w:pPr>
              <w:jc w:val="both"/>
              <w:rPr>
                <w:sz w:val="20"/>
                <w:szCs w:val="20"/>
              </w:rPr>
            </w:pPr>
          </w:p>
        </w:tc>
        <w:tc>
          <w:tcPr>
            <w:tcW w:w="1822" w:type="pct"/>
          </w:tcPr>
          <w:p w14:paraId="56495833"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Relations Among Governments › Republican Form of Government</w:t>
            </w:r>
          </w:p>
          <w:p w14:paraId="56C98F8B" w14:textId="77777777" w:rsidR="00074551" w:rsidRPr="00BE3728" w:rsidRDefault="00074551" w:rsidP="00367133">
            <w:pPr>
              <w:jc w:val="both"/>
              <w:rPr>
                <w:sz w:val="20"/>
                <w:szCs w:val="20"/>
                <w:lang w:val="en-US"/>
              </w:rPr>
            </w:pPr>
          </w:p>
          <w:p w14:paraId="0D949A5F" w14:textId="6DBD0525" w:rsidR="00074551" w:rsidRDefault="00023A37" w:rsidP="00367133">
            <w:pPr>
              <w:jc w:val="both"/>
              <w:rPr>
                <w:sz w:val="20"/>
                <w:szCs w:val="20"/>
              </w:rPr>
            </w:pPr>
            <w:r>
              <w:rPr>
                <w:sz w:val="20"/>
                <w:szCs w:val="20"/>
              </w:rPr>
              <w:t xml:space="preserve">U.S. </w:t>
            </w:r>
            <w:proofErr w:type="spellStart"/>
            <w:r>
              <w:rPr>
                <w:sz w:val="20"/>
                <w:szCs w:val="20"/>
              </w:rPr>
              <w:t>Const</w:t>
            </w:r>
            <w:proofErr w:type="spellEnd"/>
            <w:r>
              <w:rPr>
                <w:sz w:val="20"/>
                <w:szCs w:val="20"/>
              </w:rPr>
              <w:t>. art. IV, § 4</w:t>
            </w:r>
            <w:r w:rsidR="00074551" w:rsidRPr="00BE3728">
              <w:rPr>
                <w:sz w:val="20"/>
                <w:szCs w:val="20"/>
              </w:rPr>
              <w:t xml:space="preserve"> setzt voraus, dass die Vereinigten Staaten jedem Bundesstaat eine republikanische Regierungsform garantieren. Konkret heißt das z.B.</w:t>
            </w:r>
            <w:r w:rsidR="00074551">
              <w:rPr>
                <w:sz w:val="20"/>
                <w:szCs w:val="20"/>
              </w:rPr>
              <w:t>,</w:t>
            </w:r>
            <w:r w:rsidR="00074551" w:rsidRPr="00BE3728">
              <w:rPr>
                <w:sz w:val="20"/>
                <w:szCs w:val="20"/>
              </w:rPr>
              <w:t xml:space="preserve"> dass jeder Bundesstaat gegen Hausdurchsuchungen schützen solle.</w:t>
            </w:r>
            <w:r w:rsidR="00074551" w:rsidRPr="00BE3728">
              <w:rPr>
                <w:rStyle w:val="Funotenzeichen"/>
                <w:sz w:val="20"/>
                <w:szCs w:val="20"/>
              </w:rPr>
              <w:footnoteReference w:id="281"/>
            </w:r>
            <w:r w:rsidR="00074551" w:rsidRPr="00BE3728">
              <w:rPr>
                <w:sz w:val="20"/>
                <w:szCs w:val="20"/>
              </w:rPr>
              <w:t xml:space="preserve"> Das Volk sei der Souverän und daher zuvorderst zu schützen.</w:t>
            </w:r>
          </w:p>
          <w:p w14:paraId="18F2DDF2" w14:textId="77777777" w:rsidR="00074551" w:rsidRDefault="00074551" w:rsidP="00367133">
            <w:pPr>
              <w:jc w:val="both"/>
              <w:rPr>
                <w:sz w:val="20"/>
                <w:szCs w:val="20"/>
              </w:rPr>
            </w:pPr>
          </w:p>
          <w:p w14:paraId="38393F91" w14:textId="77777777" w:rsidR="00074551" w:rsidRPr="00BE3728" w:rsidRDefault="00074551" w:rsidP="00367133">
            <w:pPr>
              <w:jc w:val="both"/>
              <w:rPr>
                <w:sz w:val="20"/>
                <w:szCs w:val="20"/>
              </w:rPr>
            </w:pPr>
            <w:r w:rsidRPr="00BE3728">
              <w:rPr>
                <w:sz w:val="20"/>
                <w:szCs w:val="20"/>
              </w:rPr>
              <w:t xml:space="preserve">Der Syllabus ordnet dann die Frage zur Staatsform der Republik auch anhand von Glück ein. Zunächst </w:t>
            </w:r>
            <w:r>
              <w:rPr>
                <w:sz w:val="20"/>
                <w:szCs w:val="20"/>
              </w:rPr>
              <w:t>äußert</w:t>
            </w:r>
            <w:r w:rsidRPr="00BE3728">
              <w:rPr>
                <w:sz w:val="20"/>
                <w:szCs w:val="20"/>
              </w:rPr>
              <w:t xml:space="preserve"> er sich zur Verfassungsgenese. Wenn ein Bundesstaat </w:t>
            </w:r>
            <w:r>
              <w:rPr>
                <w:sz w:val="20"/>
                <w:szCs w:val="20"/>
              </w:rPr>
              <w:t xml:space="preserve">eine </w:t>
            </w:r>
            <w:r w:rsidRPr="00BE3728">
              <w:rPr>
                <w:sz w:val="20"/>
                <w:szCs w:val="20"/>
              </w:rPr>
              <w:t>demokratische Verfassung durch einen Konvent kodifizieren lasse, dann habe das Volk stets das Recht, dies</w:t>
            </w:r>
            <w:r>
              <w:rPr>
                <w:sz w:val="20"/>
                <w:szCs w:val="20"/>
              </w:rPr>
              <w:t xml:space="preserve">e anzunehmen oder </w:t>
            </w:r>
            <w:proofErr w:type="gramStart"/>
            <w:r>
              <w:rPr>
                <w:sz w:val="20"/>
                <w:szCs w:val="20"/>
              </w:rPr>
              <w:t>abzulehnen</w:t>
            </w:r>
            <w:r w:rsidRPr="00BE3728">
              <w:rPr>
                <w:sz w:val="20"/>
                <w:szCs w:val="20"/>
              </w:rPr>
              <w:t xml:space="preserve"> .</w:t>
            </w:r>
            <w:proofErr w:type="gramEnd"/>
            <w:r w:rsidRPr="00BE3728">
              <w:rPr>
                <w:sz w:val="20"/>
                <w:szCs w:val="20"/>
              </w:rPr>
              <w:t xml:space="preserve"> Und diese Grundlage für eine demokratische Regierungsform </w:t>
            </w:r>
            <w:r>
              <w:rPr>
                <w:sz w:val="20"/>
                <w:szCs w:val="20"/>
              </w:rPr>
              <w:t>müsse</w:t>
            </w:r>
            <w:r w:rsidRPr="00BE3728">
              <w:rPr>
                <w:sz w:val="20"/>
                <w:szCs w:val="20"/>
              </w:rPr>
              <w:t xml:space="preserve"> drei Zielen entsprechen: Frieden, Sicherheit und Glück zu fördern („such a </w:t>
            </w:r>
            <w:proofErr w:type="spellStart"/>
            <w:r w:rsidRPr="00BE3728">
              <w:rPr>
                <w:sz w:val="20"/>
                <w:szCs w:val="20"/>
              </w:rPr>
              <w:t>constitution</w:t>
            </w:r>
            <w:proofErr w:type="spellEnd"/>
            <w:r w:rsidRPr="00BE3728">
              <w:rPr>
                <w:sz w:val="20"/>
                <w:szCs w:val="20"/>
              </w:rPr>
              <w:t xml:space="preserve">, […] for such a form of </w:t>
            </w:r>
            <w:proofErr w:type="spellStart"/>
            <w:r w:rsidRPr="00BE3728">
              <w:rPr>
                <w:sz w:val="20"/>
                <w:szCs w:val="20"/>
              </w:rPr>
              <w:t>government</w:t>
            </w:r>
            <w:proofErr w:type="spellEnd"/>
            <w:r w:rsidRPr="00BE3728">
              <w:rPr>
                <w:sz w:val="20"/>
                <w:szCs w:val="20"/>
              </w:rPr>
              <w:t xml:space="preserve"> as will promote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peace</w:t>
            </w:r>
            <w:proofErr w:type="spellEnd"/>
            <w:r w:rsidRPr="00BE3728">
              <w:rPr>
                <w:sz w:val="20"/>
                <w:szCs w:val="20"/>
              </w:rPr>
              <w:t xml:space="preserve">, </w:t>
            </w:r>
            <w:proofErr w:type="spellStart"/>
            <w:r w:rsidRPr="00BE3728">
              <w:rPr>
                <w:sz w:val="20"/>
                <w:szCs w:val="20"/>
              </w:rPr>
              <w:t>security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w:t>
            </w:r>
            <w:r w:rsidRPr="00BE3728">
              <w:rPr>
                <w:rStyle w:val="Funotenzeichen"/>
                <w:sz w:val="20"/>
                <w:szCs w:val="20"/>
              </w:rPr>
              <w:footnoteReference w:id="282"/>
            </w:r>
            <w:r w:rsidRPr="00BE3728">
              <w:rPr>
                <w:sz w:val="20"/>
                <w:szCs w:val="20"/>
              </w:rPr>
              <w:t>)</w:t>
            </w:r>
            <w:r>
              <w:rPr>
                <w:sz w:val="20"/>
                <w:szCs w:val="20"/>
              </w:rPr>
              <w:t>.</w:t>
            </w:r>
          </w:p>
          <w:p w14:paraId="07486F6D" w14:textId="77777777" w:rsidR="00074551" w:rsidRPr="00BE3728" w:rsidRDefault="00074551" w:rsidP="00367133">
            <w:pPr>
              <w:jc w:val="both"/>
              <w:rPr>
                <w:sz w:val="20"/>
                <w:szCs w:val="20"/>
              </w:rPr>
            </w:pPr>
          </w:p>
          <w:p w14:paraId="00E76299" w14:textId="77777777" w:rsidR="00074551" w:rsidRPr="00BE3728" w:rsidRDefault="00074551" w:rsidP="00367133">
            <w:pPr>
              <w:jc w:val="both"/>
              <w:rPr>
                <w:sz w:val="20"/>
                <w:szCs w:val="20"/>
              </w:rPr>
            </w:pPr>
            <w:r w:rsidRPr="00BE3728">
              <w:rPr>
                <w:sz w:val="20"/>
                <w:szCs w:val="20"/>
              </w:rPr>
              <w:t>Die amerikanischen Institutionen beruhen auf dem Freiheitsbegriff. D</w:t>
            </w:r>
            <w:r>
              <w:rPr>
                <w:sz w:val="20"/>
                <w:szCs w:val="20"/>
              </w:rPr>
              <w:t>as bedeutet</w:t>
            </w:r>
            <w:r w:rsidRPr="00BE3728">
              <w:rPr>
                <w:sz w:val="20"/>
                <w:szCs w:val="20"/>
              </w:rPr>
              <w:t>, dass das Volk sich zuvorderst selbst verwaltet und das unveräußerliche Recht hat, die Verfassung zu ändern, auf der die Regierung fuß</w:t>
            </w:r>
            <w:r>
              <w:rPr>
                <w:sz w:val="20"/>
                <w:szCs w:val="20"/>
              </w:rPr>
              <w:t>t</w:t>
            </w:r>
            <w:r w:rsidRPr="00BE3728">
              <w:rPr>
                <w:sz w:val="20"/>
                <w:szCs w:val="20"/>
              </w:rPr>
              <w:t xml:space="preserve">. Dies gilt für die Bundesstaaten mit einem Vorbehalt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w:t>
            </w:r>
            <w:r>
              <w:rPr>
                <w:sz w:val="20"/>
                <w:szCs w:val="20"/>
              </w:rPr>
              <w:t>dass</w:t>
            </w:r>
            <w:r w:rsidRPr="00BE3728">
              <w:rPr>
                <w:sz w:val="20"/>
                <w:szCs w:val="20"/>
              </w:rPr>
              <w:t xml:space="preserve"> die bun</w:t>
            </w:r>
            <w:r>
              <w:rPr>
                <w:sz w:val="20"/>
                <w:szCs w:val="20"/>
              </w:rPr>
              <w:t>d</w:t>
            </w:r>
            <w:r w:rsidRPr="00BE3728">
              <w:rPr>
                <w:sz w:val="20"/>
                <w:szCs w:val="20"/>
              </w:rPr>
              <w:t xml:space="preserve">esstaatliche Regierung eine Republik entsprechen muss. Nur was heißt das? Hierzu bestehen </w:t>
            </w:r>
            <w:r>
              <w:rPr>
                <w:sz w:val="20"/>
                <w:szCs w:val="20"/>
              </w:rPr>
              <w:t xml:space="preserve">laut U.S. Supreme Court </w:t>
            </w:r>
            <w:r w:rsidRPr="00BE3728">
              <w:rPr>
                <w:sz w:val="20"/>
                <w:szCs w:val="20"/>
              </w:rPr>
              <w:t xml:space="preserve">acht Grundsätze: (1) Die Grundlage jeder Regierung sei die Souveränität des Volkes. (2) Dieser Souverän müsse die Regierung wählen. (3) Das damit korrelierende Recht laute: Das Volk </w:t>
            </w:r>
            <w:r>
              <w:rPr>
                <w:sz w:val="20"/>
                <w:szCs w:val="20"/>
              </w:rPr>
              <w:t>müsse</w:t>
            </w:r>
            <w:r w:rsidRPr="00BE3728">
              <w:rPr>
                <w:sz w:val="20"/>
                <w:szCs w:val="20"/>
              </w:rPr>
              <w:t xml:space="preserve"> jederzeit eine Regierungsform abändern können, soweit ihr Zweck nicht mehr </w:t>
            </w:r>
            <w:r>
              <w:rPr>
                <w:sz w:val="20"/>
                <w:szCs w:val="20"/>
              </w:rPr>
              <w:t>erfüllt werde, nämlich die</w:t>
            </w:r>
            <w:r w:rsidRPr="00BE3728">
              <w:rPr>
                <w:sz w:val="20"/>
                <w:szCs w:val="20"/>
              </w:rPr>
              <w:t xml:space="preserve"> unveräußerlichen Rechte zu sichern. (4) Und wenn ein Volk sich an einer solchen Abänderung beteilig</w:t>
            </w:r>
            <w:r>
              <w:rPr>
                <w:sz w:val="20"/>
                <w:szCs w:val="20"/>
              </w:rPr>
              <w:t>e</w:t>
            </w:r>
            <w:r w:rsidRPr="00BE3728">
              <w:rPr>
                <w:sz w:val="20"/>
                <w:szCs w:val="20"/>
              </w:rPr>
              <w:t xml:space="preserve">, dann dürfe keine Strafe drohen, sondern die Rechtsordnung müsse die Abänderungsversuche als Recht des Souveräns betrachten. (5) Dies sei ein übergeordnetes Recht, der Staat </w:t>
            </w:r>
            <w:r>
              <w:rPr>
                <w:sz w:val="20"/>
                <w:szCs w:val="20"/>
              </w:rPr>
              <w:t>könne</w:t>
            </w:r>
            <w:r w:rsidRPr="00BE3728">
              <w:rPr>
                <w:sz w:val="20"/>
                <w:szCs w:val="20"/>
              </w:rPr>
              <w:t xml:space="preserve"> es nicht derogieren. (7) Im Fall</w:t>
            </w:r>
            <w:r>
              <w:rPr>
                <w:sz w:val="20"/>
                <w:szCs w:val="20"/>
              </w:rPr>
              <w:t> </w:t>
            </w:r>
            <w:r w:rsidRPr="00BE3728">
              <w:rPr>
                <w:sz w:val="20"/>
                <w:szCs w:val="20"/>
              </w:rPr>
              <w:t xml:space="preserve">– </w:t>
            </w:r>
            <w:r>
              <w:rPr>
                <w:sz w:val="20"/>
                <w:szCs w:val="20"/>
              </w:rPr>
              <w:t>nämlich</w:t>
            </w:r>
            <w:r w:rsidRPr="00BE3728">
              <w:rPr>
                <w:sz w:val="20"/>
                <w:szCs w:val="20"/>
              </w:rPr>
              <w:t xml:space="preserve"> bei der Regierung von Rhode Island</w:t>
            </w:r>
            <w:r>
              <w:rPr>
                <w:sz w:val="20"/>
                <w:szCs w:val="20"/>
              </w:rPr>
              <w:t> </w:t>
            </w:r>
            <w:r w:rsidRPr="00BE3728">
              <w:rPr>
                <w:sz w:val="20"/>
                <w:szCs w:val="20"/>
              </w:rPr>
              <w:t>– </w:t>
            </w:r>
            <w:r>
              <w:rPr>
                <w:sz w:val="20"/>
                <w:szCs w:val="20"/>
              </w:rPr>
              <w:t>habe</w:t>
            </w:r>
            <w:r w:rsidRPr="00BE3728">
              <w:rPr>
                <w:sz w:val="20"/>
                <w:szCs w:val="20"/>
              </w:rPr>
              <w:t xml:space="preserve"> gerade nicht der Wille des Souveräns</w:t>
            </w:r>
            <w:r>
              <w:rPr>
                <w:sz w:val="20"/>
                <w:szCs w:val="20"/>
              </w:rPr>
              <w:t xml:space="preserve"> bestanden</w:t>
            </w:r>
            <w:r w:rsidRPr="00BE3728">
              <w:rPr>
                <w:sz w:val="20"/>
                <w:szCs w:val="20"/>
              </w:rPr>
              <w:t xml:space="preserve">, die Regierungsform zu ändern. Dies </w:t>
            </w:r>
            <w:r>
              <w:rPr>
                <w:sz w:val="20"/>
                <w:szCs w:val="20"/>
              </w:rPr>
              <w:t>müsse</w:t>
            </w:r>
            <w:r w:rsidRPr="00BE3728">
              <w:rPr>
                <w:sz w:val="20"/>
                <w:szCs w:val="20"/>
              </w:rPr>
              <w:t xml:space="preserve"> aber vorliegen, um die Regierung</w:t>
            </w:r>
            <w:r>
              <w:rPr>
                <w:sz w:val="20"/>
                <w:szCs w:val="20"/>
              </w:rPr>
              <w:t>s</w:t>
            </w:r>
            <w:r w:rsidRPr="00BE3728">
              <w:rPr>
                <w:sz w:val="20"/>
                <w:szCs w:val="20"/>
              </w:rPr>
              <w:t>form abzuändern. (8) Und bei all dem sei das Volk der einzige Richter über die Regierungsform</w:t>
            </w:r>
            <w:r>
              <w:rPr>
                <w:sz w:val="20"/>
                <w:szCs w:val="20"/>
              </w:rPr>
              <w:t>, welche</w:t>
            </w:r>
            <w:r w:rsidRPr="00B45592">
              <w:rPr>
                <w:sz w:val="20"/>
                <w:szCs w:val="20"/>
              </w:rPr>
              <w:t xml:space="preserve"> diejenige sein müsse, die am geeignetsten sei, um Sicherheit und Glück zu fördern („</w:t>
            </w:r>
            <w:proofErr w:type="spellStart"/>
            <w:r w:rsidRPr="00B45592">
              <w:rPr>
                <w:sz w:val="20"/>
                <w:szCs w:val="20"/>
              </w:rPr>
              <w:t>That</w:t>
            </w:r>
            <w:proofErr w:type="spellEnd"/>
            <w:r w:rsidRPr="00B45592">
              <w:rPr>
                <w:sz w:val="20"/>
                <w:szCs w:val="20"/>
              </w:rPr>
              <w:t xml:space="preserve"> the </w:t>
            </w:r>
            <w:proofErr w:type="spellStart"/>
            <w:r w:rsidRPr="00B45592">
              <w:rPr>
                <w:sz w:val="20"/>
                <w:szCs w:val="20"/>
              </w:rPr>
              <w:t>people</w:t>
            </w:r>
            <w:proofErr w:type="spellEnd"/>
            <w:r w:rsidRPr="00B45592">
              <w:rPr>
                <w:sz w:val="20"/>
                <w:szCs w:val="20"/>
              </w:rPr>
              <w:t xml:space="preserve"> </w:t>
            </w:r>
            <w:proofErr w:type="spellStart"/>
            <w:r w:rsidRPr="00B45592">
              <w:rPr>
                <w:sz w:val="20"/>
                <w:szCs w:val="20"/>
              </w:rPr>
              <w:t>are</w:t>
            </w:r>
            <w:proofErr w:type="spellEnd"/>
            <w:r w:rsidRPr="00B45592">
              <w:rPr>
                <w:sz w:val="20"/>
                <w:szCs w:val="20"/>
              </w:rPr>
              <w:t xml:space="preserve"> the </w:t>
            </w:r>
            <w:proofErr w:type="spellStart"/>
            <w:r w:rsidRPr="00B45592">
              <w:rPr>
                <w:sz w:val="20"/>
                <w:szCs w:val="20"/>
              </w:rPr>
              <w:t>sole</w:t>
            </w:r>
            <w:proofErr w:type="spellEnd"/>
            <w:r w:rsidRPr="00B45592">
              <w:rPr>
                <w:sz w:val="20"/>
                <w:szCs w:val="20"/>
              </w:rPr>
              <w:t xml:space="preserve"> </w:t>
            </w:r>
            <w:proofErr w:type="spellStart"/>
            <w:r w:rsidRPr="00B45592">
              <w:rPr>
                <w:sz w:val="20"/>
                <w:szCs w:val="20"/>
              </w:rPr>
              <w:t>judges</w:t>
            </w:r>
            <w:proofErr w:type="spellEnd"/>
            <w:r w:rsidRPr="00B45592">
              <w:rPr>
                <w:sz w:val="20"/>
                <w:szCs w:val="20"/>
              </w:rPr>
              <w:t xml:space="preserve"> of the form of </w:t>
            </w:r>
            <w:proofErr w:type="spellStart"/>
            <w:r w:rsidRPr="00B45592">
              <w:rPr>
                <w:sz w:val="20"/>
                <w:szCs w:val="20"/>
              </w:rPr>
              <w:t>government</w:t>
            </w:r>
            <w:proofErr w:type="spellEnd"/>
            <w:r w:rsidRPr="00B45592">
              <w:rPr>
                <w:sz w:val="20"/>
                <w:szCs w:val="20"/>
              </w:rPr>
              <w:t xml:space="preserve"> </w:t>
            </w:r>
            <w:proofErr w:type="spellStart"/>
            <w:r w:rsidRPr="00B45592">
              <w:rPr>
                <w:sz w:val="20"/>
                <w:szCs w:val="20"/>
              </w:rPr>
              <w:t>best</w:t>
            </w:r>
            <w:proofErr w:type="spellEnd"/>
            <w:r w:rsidRPr="00B45592">
              <w:rPr>
                <w:sz w:val="20"/>
                <w:szCs w:val="20"/>
              </w:rPr>
              <w:t xml:space="preserve"> </w:t>
            </w:r>
            <w:proofErr w:type="spellStart"/>
            <w:r w:rsidRPr="00B45592">
              <w:rPr>
                <w:sz w:val="20"/>
                <w:szCs w:val="20"/>
              </w:rPr>
              <w:t>calculated</w:t>
            </w:r>
            <w:proofErr w:type="spellEnd"/>
            <w:r w:rsidRPr="00B45592">
              <w:rPr>
                <w:sz w:val="20"/>
                <w:szCs w:val="20"/>
              </w:rPr>
              <w:t xml:space="preserve"> to promote </w:t>
            </w:r>
            <w:proofErr w:type="spellStart"/>
            <w:r w:rsidRPr="00B45592">
              <w:rPr>
                <w:sz w:val="20"/>
                <w:szCs w:val="20"/>
              </w:rPr>
              <w:t>their</w:t>
            </w:r>
            <w:proofErr w:type="spellEnd"/>
            <w:r w:rsidRPr="00B45592">
              <w:rPr>
                <w:sz w:val="20"/>
                <w:szCs w:val="20"/>
              </w:rPr>
              <w:t xml:space="preserve"> </w:t>
            </w:r>
            <w:proofErr w:type="spellStart"/>
            <w:r w:rsidRPr="00B45592">
              <w:rPr>
                <w:sz w:val="20"/>
                <w:szCs w:val="20"/>
              </w:rPr>
              <w:t>safety</w:t>
            </w:r>
            <w:proofErr w:type="spellEnd"/>
            <w:r w:rsidRPr="00B45592">
              <w:rPr>
                <w:sz w:val="20"/>
                <w:szCs w:val="20"/>
              </w:rPr>
              <w:t xml:space="preserve"> and </w:t>
            </w:r>
            <w:proofErr w:type="spellStart"/>
            <w:r w:rsidRPr="00B45592">
              <w:rPr>
                <w:sz w:val="20"/>
                <w:szCs w:val="20"/>
              </w:rPr>
              <w:t>happiness</w:t>
            </w:r>
            <w:proofErr w:type="spellEnd"/>
            <w:r w:rsidRPr="00B45592">
              <w:rPr>
                <w:sz w:val="20"/>
                <w:szCs w:val="20"/>
              </w:rPr>
              <w:t>.“</w:t>
            </w:r>
            <w:r w:rsidRPr="00BE3728">
              <w:rPr>
                <w:rStyle w:val="Funotenzeichen"/>
                <w:sz w:val="20"/>
                <w:szCs w:val="20"/>
              </w:rPr>
              <w:footnoteReference w:id="283"/>
            </w:r>
            <w:r w:rsidRPr="00BE3728">
              <w:rPr>
                <w:sz w:val="20"/>
                <w:szCs w:val="20"/>
              </w:rPr>
              <w:t>)</w:t>
            </w:r>
            <w:r>
              <w:rPr>
                <w:sz w:val="20"/>
                <w:szCs w:val="20"/>
              </w:rPr>
              <w:t>.</w:t>
            </w:r>
          </w:p>
          <w:p w14:paraId="47BE2B53" w14:textId="77777777" w:rsidR="00074551" w:rsidRPr="00E50B51" w:rsidRDefault="00074551" w:rsidP="00367133">
            <w:pPr>
              <w:jc w:val="both"/>
              <w:rPr>
                <w:sz w:val="20"/>
                <w:szCs w:val="20"/>
              </w:rPr>
            </w:pPr>
          </w:p>
        </w:tc>
      </w:tr>
      <w:tr w:rsidR="00074551" w:rsidRPr="00E50B51" w14:paraId="407A437A" w14:textId="77777777" w:rsidTr="00752D01">
        <w:trPr>
          <w:cantSplit/>
          <w:trHeight w:val="3175"/>
        </w:trPr>
        <w:tc>
          <w:tcPr>
            <w:tcW w:w="293" w:type="pct"/>
            <w:shd w:val="clear" w:color="auto" w:fill="E7E6E6" w:themeFill="background2"/>
          </w:tcPr>
          <w:p w14:paraId="01392D15" w14:textId="77777777" w:rsidR="00074551" w:rsidRPr="00BE3728" w:rsidRDefault="00074551" w:rsidP="00367133">
            <w:pPr>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09831C87" w14:textId="77777777" w:rsidR="00074551" w:rsidRPr="00BE3728" w:rsidRDefault="00074551" w:rsidP="00367133">
            <w:pPr>
              <w:ind w:left="113" w:right="113"/>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05EA2CBB" w14:textId="77777777" w:rsidR="00074551" w:rsidRPr="00BE3728" w:rsidRDefault="00074551" w:rsidP="00367133">
            <w:pPr>
              <w:ind w:left="113" w:right="113"/>
              <w:jc w:val="both"/>
              <w:rPr>
                <w:sz w:val="20"/>
                <w:szCs w:val="20"/>
              </w:rPr>
            </w:pPr>
            <w:r w:rsidRPr="00BE3728">
              <w:rPr>
                <w:sz w:val="20"/>
                <w:szCs w:val="20"/>
                <w:lang w:val="en-US"/>
              </w:rPr>
              <w:t>Republican Form of Government</w:t>
            </w:r>
          </w:p>
        </w:tc>
        <w:tc>
          <w:tcPr>
            <w:tcW w:w="306" w:type="pct"/>
            <w:shd w:val="clear" w:color="auto" w:fill="E7E6E6" w:themeFill="background2"/>
            <w:textDirection w:val="tbRl"/>
            <w:vAlign w:val="center"/>
          </w:tcPr>
          <w:p w14:paraId="03C2BE11" w14:textId="77777777" w:rsidR="00074551" w:rsidRPr="00BE3728" w:rsidRDefault="00074551" w:rsidP="00367133">
            <w:pPr>
              <w:ind w:left="113" w:right="113"/>
              <w:jc w:val="both"/>
              <w:rPr>
                <w:sz w:val="20"/>
                <w:szCs w:val="20"/>
              </w:rPr>
            </w:pPr>
            <w:r w:rsidRPr="00BE3728">
              <w:rPr>
                <w:sz w:val="20"/>
                <w:szCs w:val="20"/>
                <w:lang w:val="en-US"/>
              </w:rPr>
              <w:t>State Constitutional Operation</w:t>
            </w:r>
          </w:p>
        </w:tc>
        <w:tc>
          <w:tcPr>
            <w:tcW w:w="401" w:type="pct"/>
            <w:shd w:val="clear" w:color="auto" w:fill="E7E6E6" w:themeFill="background2"/>
          </w:tcPr>
          <w:p w14:paraId="61024FE1" w14:textId="77777777" w:rsidR="00074551" w:rsidRPr="00BE3728" w:rsidRDefault="00074551" w:rsidP="00367133">
            <w:pPr>
              <w:jc w:val="center"/>
              <w:rPr>
                <w:sz w:val="20"/>
                <w:szCs w:val="20"/>
                <w:lang w:val="en-US"/>
              </w:rPr>
            </w:pPr>
          </w:p>
        </w:tc>
        <w:tc>
          <w:tcPr>
            <w:tcW w:w="1594" w:type="pct"/>
            <w:shd w:val="clear" w:color="auto" w:fill="E7E6E6" w:themeFill="background2"/>
            <w:vAlign w:val="center"/>
          </w:tcPr>
          <w:p w14:paraId="30BF47B0" w14:textId="77777777" w:rsidR="00074551" w:rsidRPr="00BE3728" w:rsidRDefault="00074551" w:rsidP="00367133">
            <w:pPr>
              <w:jc w:val="both"/>
              <w:rPr>
                <w:sz w:val="20"/>
                <w:szCs w:val="20"/>
              </w:rPr>
            </w:pPr>
          </w:p>
        </w:tc>
        <w:tc>
          <w:tcPr>
            <w:tcW w:w="1822" w:type="pct"/>
            <w:shd w:val="clear" w:color="auto" w:fill="E7E6E6" w:themeFill="background2"/>
          </w:tcPr>
          <w:p w14:paraId="352DFE1C" w14:textId="2E83F5FF" w:rsidR="00074551" w:rsidRPr="00BE3728" w:rsidRDefault="00A15DB3" w:rsidP="00752D01">
            <w:pPr>
              <w:rPr>
                <w:sz w:val="20"/>
                <w:szCs w:val="20"/>
                <w:lang w:val="en-US"/>
              </w:rPr>
            </w:pPr>
            <w:r w:rsidRPr="00A15DB3">
              <w:rPr>
                <w:i/>
                <w:iCs/>
                <w:sz w:val="16"/>
                <w:szCs w:val="20"/>
              </w:rPr>
              <w:t>Thematische Gliederung der nachfolgenden Entscheidungen ↓</w:t>
            </w:r>
          </w:p>
        </w:tc>
      </w:tr>
      <w:tr w:rsidR="00074551" w:rsidRPr="004F6665" w14:paraId="7EFD8319" w14:textId="77777777" w:rsidTr="00BE689F">
        <w:trPr>
          <w:cantSplit/>
          <w:trHeight w:val="3175"/>
        </w:trPr>
        <w:tc>
          <w:tcPr>
            <w:tcW w:w="293" w:type="pct"/>
          </w:tcPr>
          <w:p w14:paraId="2D7B67DA" w14:textId="77777777" w:rsidR="00074551" w:rsidRPr="00BE3728"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724BE970" w14:textId="77777777" w:rsidR="00074551" w:rsidRPr="00B45592" w:rsidRDefault="00074551" w:rsidP="00367133">
            <w:pPr>
              <w:ind w:left="113" w:right="113"/>
              <w:jc w:val="both"/>
              <w:rPr>
                <w:i/>
                <w:sz w:val="20"/>
                <w:szCs w:val="20"/>
              </w:rPr>
            </w:pPr>
            <w:r w:rsidRPr="00B45592">
              <w:rPr>
                <w:i/>
                <w:sz w:val="20"/>
                <w:szCs w:val="20"/>
              </w:rPr>
              <w:t>Groves v. Slaughter</w:t>
            </w:r>
          </w:p>
        </w:tc>
        <w:tc>
          <w:tcPr>
            <w:tcW w:w="197" w:type="pct"/>
            <w:textDirection w:val="tbRl"/>
            <w:vAlign w:val="center"/>
          </w:tcPr>
          <w:p w14:paraId="65476652" w14:textId="77777777" w:rsidR="00074551" w:rsidRPr="00BE3728" w:rsidRDefault="00074551" w:rsidP="00367133">
            <w:pPr>
              <w:ind w:left="113" w:right="113"/>
              <w:jc w:val="both"/>
              <w:rPr>
                <w:sz w:val="20"/>
                <w:szCs w:val="20"/>
              </w:rPr>
            </w:pPr>
            <w:r w:rsidRPr="00BE3728">
              <w:rPr>
                <w:sz w:val="20"/>
                <w:szCs w:val="20"/>
              </w:rPr>
              <w:t>40 U.S. 449</w:t>
            </w:r>
          </w:p>
        </w:tc>
        <w:tc>
          <w:tcPr>
            <w:tcW w:w="306" w:type="pct"/>
            <w:textDirection w:val="tbRl"/>
            <w:vAlign w:val="center"/>
          </w:tcPr>
          <w:p w14:paraId="7F2D428F" w14:textId="77777777" w:rsidR="00074551" w:rsidRPr="00BE3728" w:rsidRDefault="00074551" w:rsidP="00367133">
            <w:pPr>
              <w:ind w:left="113" w:right="113"/>
              <w:jc w:val="both"/>
              <w:rPr>
                <w:sz w:val="20"/>
                <w:szCs w:val="20"/>
              </w:rPr>
            </w:pPr>
            <w:r w:rsidRPr="00BE3728">
              <w:rPr>
                <w:sz w:val="20"/>
                <w:szCs w:val="20"/>
              </w:rPr>
              <w:t>10. März 1841</w:t>
            </w:r>
          </w:p>
        </w:tc>
        <w:tc>
          <w:tcPr>
            <w:tcW w:w="401" w:type="pct"/>
          </w:tcPr>
          <w:p w14:paraId="065F61F0" w14:textId="77777777" w:rsidR="00074551" w:rsidRPr="00BE3728" w:rsidRDefault="00074551" w:rsidP="00367133">
            <w:pPr>
              <w:jc w:val="center"/>
              <w:rPr>
                <w:sz w:val="20"/>
                <w:szCs w:val="20"/>
                <w:lang w:val="en-US"/>
              </w:rPr>
            </w:pPr>
            <w:r w:rsidRPr="00BE3728">
              <w:rPr>
                <w:sz w:val="20"/>
                <w:szCs w:val="20"/>
                <w:lang w:val="en-US"/>
              </w:rPr>
              <w:t>S</w:t>
            </w:r>
          </w:p>
        </w:tc>
        <w:tc>
          <w:tcPr>
            <w:tcW w:w="1594" w:type="pct"/>
          </w:tcPr>
          <w:p w14:paraId="143CDC94" w14:textId="77777777" w:rsidR="00074551" w:rsidRPr="00BE3728" w:rsidRDefault="00074551" w:rsidP="00367133">
            <w:pPr>
              <w:jc w:val="both"/>
              <w:rPr>
                <w:sz w:val="20"/>
                <w:szCs w:val="20"/>
              </w:rPr>
            </w:pPr>
            <w:r w:rsidRPr="00BE3728">
              <w:rPr>
                <w:sz w:val="20"/>
                <w:szCs w:val="20"/>
              </w:rPr>
              <w:t xml:space="preserve">Die Verkäufer als Kläger gaben an, die Käufer als Beklagte </w:t>
            </w:r>
            <w:r>
              <w:rPr>
                <w:sz w:val="20"/>
                <w:szCs w:val="20"/>
              </w:rPr>
              <w:t>hätten</w:t>
            </w:r>
            <w:r w:rsidRPr="00BE3728">
              <w:rPr>
                <w:sz w:val="20"/>
                <w:szCs w:val="20"/>
              </w:rPr>
              <w:t xml:space="preserve"> 1836 </w:t>
            </w:r>
            <w:r>
              <w:rPr>
                <w:sz w:val="20"/>
                <w:szCs w:val="20"/>
              </w:rPr>
              <w:t>eine</w:t>
            </w:r>
            <w:r w:rsidRPr="00BE3728">
              <w:rPr>
                <w:sz w:val="20"/>
                <w:szCs w:val="20"/>
              </w:rPr>
              <w:t xml:space="preserve"> Teilzahlung für Sklaven mit einem Wechsel vor</w:t>
            </w:r>
            <w:r>
              <w:rPr>
                <w:sz w:val="20"/>
                <w:szCs w:val="20"/>
              </w:rPr>
              <w:t>genommen</w:t>
            </w:r>
            <w:r w:rsidRPr="00BE3728">
              <w:rPr>
                <w:sz w:val="20"/>
                <w:szCs w:val="20"/>
              </w:rPr>
              <w:t xml:space="preserve">. Diesen beanspruchten die Kläger. Der Käufer machte indes geltend, die Wechsel seien nichtig. Denn die dem Wechsel </w:t>
            </w:r>
            <w:r>
              <w:rPr>
                <w:sz w:val="20"/>
                <w:szCs w:val="20"/>
              </w:rPr>
              <w:t>zugrunde liegenden</w:t>
            </w:r>
            <w:r w:rsidRPr="00BE3728">
              <w:rPr>
                <w:sz w:val="20"/>
                <w:szCs w:val="20"/>
              </w:rPr>
              <w:t xml:space="preserve"> Verträge widerspr</w:t>
            </w:r>
            <w:r>
              <w:rPr>
                <w:sz w:val="20"/>
                <w:szCs w:val="20"/>
              </w:rPr>
              <w:t>ä</w:t>
            </w:r>
            <w:r w:rsidRPr="00BE3728">
              <w:rPr>
                <w:sz w:val="20"/>
                <w:szCs w:val="20"/>
              </w:rPr>
              <w:t xml:space="preserve">chen der Verfassung des Staates Mississippi. Diese habe </w:t>
            </w:r>
            <w:r>
              <w:rPr>
                <w:sz w:val="20"/>
                <w:szCs w:val="20"/>
              </w:rPr>
              <w:t>den Verkauf von Sklaven</w:t>
            </w:r>
            <w:r w:rsidRPr="00BE3728">
              <w:rPr>
                <w:sz w:val="20"/>
                <w:szCs w:val="20"/>
              </w:rPr>
              <w:t xml:space="preserve"> nach dem 1. Mai 1833 verboten. Der </w:t>
            </w:r>
            <w:r>
              <w:rPr>
                <w:sz w:val="20"/>
                <w:szCs w:val="20"/>
              </w:rPr>
              <w:t>U.S. Supreme Court</w:t>
            </w:r>
            <w:r w:rsidRPr="00BE3728">
              <w:rPr>
                <w:sz w:val="20"/>
                <w:szCs w:val="20"/>
              </w:rPr>
              <w:t xml:space="preserve"> bestätigte dies nicht. Zwar seien Verträge über den Kauf von Sklaven nichtig, soweit sie zwischen dem 1. Mai 1833 und der Verabschiedung des konkreten Verbotsgesetzes 1837</w:t>
            </w:r>
            <w:r w:rsidRPr="00BE3728">
              <w:rPr>
                <w:rStyle w:val="Funotenzeichen"/>
                <w:sz w:val="20"/>
                <w:szCs w:val="20"/>
              </w:rPr>
              <w:footnoteReference w:id="284"/>
            </w:r>
            <w:r w:rsidRPr="00BE3728">
              <w:rPr>
                <w:sz w:val="20"/>
                <w:szCs w:val="20"/>
              </w:rPr>
              <w:t xml:space="preserve"> geschlossen </w:t>
            </w:r>
            <w:r>
              <w:rPr>
                <w:sz w:val="20"/>
                <w:szCs w:val="20"/>
              </w:rPr>
              <w:t>worden seien</w:t>
            </w:r>
            <w:r w:rsidRPr="00BE3728">
              <w:rPr>
                <w:sz w:val="20"/>
                <w:szCs w:val="20"/>
              </w:rPr>
              <w:t xml:space="preserve">. Aber erst das Gesetz von 1837 setze diese Verfassungsvorgaben auch um. Das Gesetz regelte, dass Sklaven als Handelsware verboten seien. Der Gesetzgeber </w:t>
            </w:r>
            <w:r>
              <w:rPr>
                <w:sz w:val="20"/>
                <w:szCs w:val="20"/>
              </w:rPr>
              <w:t>sei</w:t>
            </w:r>
            <w:r w:rsidRPr="00BE3728">
              <w:rPr>
                <w:sz w:val="20"/>
                <w:szCs w:val="20"/>
              </w:rPr>
              <w:t xml:space="preserve"> daher nicht davon aus</w:t>
            </w:r>
            <w:r>
              <w:rPr>
                <w:sz w:val="20"/>
                <w:szCs w:val="20"/>
              </w:rPr>
              <w:t>gegangen</w:t>
            </w:r>
            <w:r w:rsidRPr="00BE3728">
              <w:rPr>
                <w:sz w:val="20"/>
                <w:szCs w:val="20"/>
              </w:rPr>
              <w:t xml:space="preserve">, dass ein solches Verbot aufgrund der Verfassungsbestimmung bereits bestand. Der </w:t>
            </w:r>
            <w:r>
              <w:rPr>
                <w:sz w:val="20"/>
                <w:szCs w:val="20"/>
              </w:rPr>
              <w:t>U.S. Supreme Court</w:t>
            </w:r>
            <w:r w:rsidRPr="00BE3728">
              <w:rPr>
                <w:sz w:val="20"/>
                <w:szCs w:val="20"/>
              </w:rPr>
              <w:t xml:space="preserve"> entschied daher </w:t>
            </w:r>
            <w:r>
              <w:rPr>
                <w:sz w:val="20"/>
                <w:szCs w:val="20"/>
              </w:rPr>
              <w:t>zugunsten</w:t>
            </w:r>
            <w:r w:rsidRPr="00BE3728">
              <w:rPr>
                <w:sz w:val="20"/>
                <w:szCs w:val="20"/>
              </w:rPr>
              <w:t xml:space="preserve"> der klagenden Verkäufer, also: Die Verfassungsbestimmung gegen </w:t>
            </w:r>
            <w:r>
              <w:rPr>
                <w:sz w:val="20"/>
                <w:szCs w:val="20"/>
              </w:rPr>
              <w:t xml:space="preserve">den Verkauf von </w:t>
            </w:r>
            <w:r w:rsidRPr="00BE3728">
              <w:rPr>
                <w:sz w:val="20"/>
                <w:szCs w:val="20"/>
              </w:rPr>
              <w:t>Sklaven wurde erst mit dem umsetzenden Gesetz wirksam, das jedoch nach dem Verkauf der Sklaven in Kraft trat. Der Vertrag war damit gültig.</w:t>
            </w:r>
            <w:r w:rsidRPr="00BE3728">
              <w:rPr>
                <w:rStyle w:val="Funotenzeichen"/>
                <w:sz w:val="20"/>
                <w:szCs w:val="20"/>
              </w:rPr>
              <w:footnoteReference w:id="285"/>
            </w:r>
          </w:p>
        </w:tc>
        <w:tc>
          <w:tcPr>
            <w:tcW w:w="1822" w:type="pct"/>
          </w:tcPr>
          <w:p w14:paraId="7DE6C991" w14:textId="77777777" w:rsidR="00074551" w:rsidRPr="00B45592" w:rsidRDefault="00074551" w:rsidP="00367133">
            <w:pPr>
              <w:jc w:val="both"/>
              <w:rPr>
                <w:i/>
                <w:sz w:val="20"/>
                <w:szCs w:val="20"/>
              </w:rPr>
            </w:pPr>
            <w:r w:rsidRPr="00B45592">
              <w:rPr>
                <w:i/>
                <w:sz w:val="20"/>
                <w:szCs w:val="20"/>
              </w:rPr>
              <w:t>LexisNexis-Klassifikation: Constitutional Law › State Constitutional Operation</w:t>
            </w:r>
          </w:p>
          <w:p w14:paraId="19CFBB89" w14:textId="77777777" w:rsidR="00074551" w:rsidRPr="00BE3728" w:rsidRDefault="00074551" w:rsidP="00367133">
            <w:pPr>
              <w:jc w:val="both"/>
              <w:rPr>
                <w:sz w:val="20"/>
                <w:szCs w:val="20"/>
              </w:rPr>
            </w:pPr>
          </w:p>
          <w:p w14:paraId="515A33FC" w14:textId="77777777" w:rsidR="00074551" w:rsidRDefault="00074551" w:rsidP="00367133">
            <w:pPr>
              <w:jc w:val="both"/>
              <w:rPr>
                <w:sz w:val="20"/>
                <w:szCs w:val="20"/>
              </w:rPr>
            </w:pPr>
            <w:r w:rsidRPr="00BE3728">
              <w:rPr>
                <w:sz w:val="20"/>
                <w:szCs w:val="20"/>
              </w:rPr>
              <w:t>Die Verfassung von Mississippi, angenommen am 26. Oktober 1832, verbietet die Einführung von Sklaven in diesen Staat als Handelsware oder zum Verkauf ab dem 1. Mai 1833.</w:t>
            </w:r>
            <w:r w:rsidRPr="00BE3728">
              <w:rPr>
                <w:rStyle w:val="Funotenzeichen"/>
                <w:sz w:val="20"/>
                <w:szCs w:val="20"/>
              </w:rPr>
              <w:footnoteReference w:id="286"/>
            </w:r>
          </w:p>
          <w:p w14:paraId="0C8933C0" w14:textId="77777777" w:rsidR="00074551" w:rsidRPr="00BE3728" w:rsidRDefault="00074551" w:rsidP="00367133">
            <w:pPr>
              <w:jc w:val="both"/>
              <w:rPr>
                <w:strike/>
                <w:sz w:val="20"/>
                <w:szCs w:val="20"/>
              </w:rPr>
            </w:pPr>
          </w:p>
          <w:p w14:paraId="06930121" w14:textId="200F1E5C" w:rsidR="00074551" w:rsidRDefault="00074551" w:rsidP="00367133">
            <w:pPr>
              <w:jc w:val="both"/>
              <w:rPr>
                <w:sz w:val="20"/>
                <w:szCs w:val="20"/>
                <w:lang w:val="en-US"/>
              </w:rPr>
            </w:pPr>
            <w:r w:rsidRPr="00BE3728">
              <w:rPr>
                <w:sz w:val="20"/>
                <w:szCs w:val="20"/>
              </w:rPr>
              <w:t xml:space="preserve">Im Syllabus erklärt der </w:t>
            </w:r>
            <w:r>
              <w:rPr>
                <w:sz w:val="20"/>
                <w:szCs w:val="20"/>
              </w:rPr>
              <w:t>U.S. Supreme Court</w:t>
            </w:r>
            <w:r w:rsidRPr="00BE3728">
              <w:rPr>
                <w:sz w:val="20"/>
                <w:szCs w:val="20"/>
              </w:rPr>
              <w:t xml:space="preserve">, warum </w:t>
            </w:r>
            <w:r>
              <w:rPr>
                <w:sz w:val="20"/>
                <w:szCs w:val="20"/>
              </w:rPr>
              <w:t xml:space="preserve">das Verbot des </w:t>
            </w:r>
            <w:r w:rsidRPr="00BE3728">
              <w:rPr>
                <w:sz w:val="20"/>
                <w:szCs w:val="20"/>
              </w:rPr>
              <w:t>Sklavenhandel</w:t>
            </w:r>
            <w:r>
              <w:rPr>
                <w:sz w:val="20"/>
                <w:szCs w:val="20"/>
              </w:rPr>
              <w:t xml:space="preserve">s </w:t>
            </w:r>
            <w:r w:rsidRPr="00BE3728">
              <w:rPr>
                <w:sz w:val="20"/>
                <w:szCs w:val="20"/>
              </w:rPr>
              <w:t xml:space="preserve">eine bundesstaatliche Kompetenz sei. Die Herleitung lautet wie folgt: Der </w:t>
            </w:r>
            <w:r w:rsidR="00023A37">
              <w:rPr>
                <w:sz w:val="20"/>
                <w:szCs w:val="20"/>
              </w:rPr>
              <w:t xml:space="preserve">U.S. </w:t>
            </w:r>
            <w:proofErr w:type="spellStart"/>
            <w:r w:rsidR="00023A37">
              <w:rPr>
                <w:sz w:val="20"/>
                <w:szCs w:val="20"/>
              </w:rPr>
              <w:t>Const</w:t>
            </w:r>
            <w:proofErr w:type="spellEnd"/>
            <w:r w:rsidR="00023A37">
              <w:rPr>
                <w:sz w:val="20"/>
                <w:szCs w:val="20"/>
              </w:rPr>
              <w:t>. art. IV, § 4</w:t>
            </w:r>
            <w:r w:rsidRPr="00BE3728">
              <w:rPr>
                <w:sz w:val="20"/>
                <w:szCs w:val="20"/>
              </w:rPr>
              <w:t xml:space="preserve"> regelt, die Vereinigten Staaten haben den Bundesstaaten eine republikanische Regierungsform zu garantieren und </w:t>
            </w:r>
            <w:r>
              <w:rPr>
                <w:sz w:val="20"/>
                <w:szCs w:val="20"/>
              </w:rPr>
              <w:t>sie</w:t>
            </w:r>
            <w:r w:rsidRPr="00BE3728">
              <w:rPr>
                <w:sz w:val="20"/>
                <w:szCs w:val="20"/>
              </w:rPr>
              <w:t xml:space="preserve"> gegen Invasion sowie gegen innerstaatliche Gewalt zu schützen – </w:t>
            </w:r>
            <w:r>
              <w:rPr>
                <w:sz w:val="20"/>
                <w:szCs w:val="20"/>
              </w:rPr>
              <w:t>L</w:t>
            </w:r>
            <w:r w:rsidRPr="00BE3728">
              <w:rPr>
                <w:sz w:val="20"/>
                <w:szCs w:val="20"/>
              </w:rPr>
              <w:t>etzteres auf Antrag. Folglich halten die Bundesstaaten die ausschließliche Kompetenz, Gesetze zu erlassen, die darauf abzielen, ihre Bürger gegen innerstaatliche Gewalt zu schützen. Sie dürfen dies umsetzen durch Gesetze oder, auf Antrag und im Eilfall, mit Hilfe des Kongresses. Dahinter steht also, dass der Schutz der Bürger vor innerstaatlicher Gewalt eine ausschließliche Kompetenz der Bundesstaaten sei</w:t>
            </w:r>
            <w:r>
              <w:rPr>
                <w:sz w:val="20"/>
                <w:szCs w:val="20"/>
              </w:rPr>
              <w:t> </w:t>
            </w:r>
            <w:r w:rsidRPr="00BE3728">
              <w:rPr>
                <w:sz w:val="20"/>
                <w:szCs w:val="20"/>
              </w:rPr>
              <w:t>– doch woher kommt diese Kompetenz? Aus der Kompetenz zur Selbstbewahrung („</w:t>
            </w:r>
            <w:proofErr w:type="spellStart"/>
            <w:r w:rsidRPr="00BE3728">
              <w:rPr>
                <w:sz w:val="20"/>
                <w:szCs w:val="20"/>
              </w:rPr>
              <w:t>inalienable</w:t>
            </w:r>
            <w:proofErr w:type="spellEnd"/>
            <w:r w:rsidRPr="00BE3728">
              <w:rPr>
                <w:sz w:val="20"/>
                <w:szCs w:val="20"/>
              </w:rPr>
              <w:t xml:space="preserve"> </w:t>
            </w:r>
            <w:proofErr w:type="spellStart"/>
            <w:r w:rsidRPr="00BE3728">
              <w:rPr>
                <w:sz w:val="20"/>
                <w:szCs w:val="20"/>
              </w:rPr>
              <w:t>right</w:t>
            </w:r>
            <w:proofErr w:type="spellEnd"/>
            <w:r w:rsidRPr="00BE3728">
              <w:rPr>
                <w:sz w:val="20"/>
                <w:szCs w:val="20"/>
              </w:rPr>
              <w:t xml:space="preserve"> of </w:t>
            </w:r>
            <w:proofErr w:type="spellStart"/>
            <w:r w:rsidRPr="00BE3728">
              <w:rPr>
                <w:sz w:val="20"/>
                <w:szCs w:val="20"/>
              </w:rPr>
              <w:t>self-preservation</w:t>
            </w:r>
            <w:proofErr w:type="spellEnd"/>
            <w:r w:rsidRPr="00BE3728">
              <w:rPr>
                <w:sz w:val="20"/>
                <w:szCs w:val="20"/>
              </w:rPr>
              <w:t>“</w:t>
            </w:r>
            <w:r w:rsidRPr="00BE3728">
              <w:rPr>
                <w:rStyle w:val="Funotenzeichen"/>
                <w:sz w:val="20"/>
                <w:szCs w:val="20"/>
              </w:rPr>
              <w:footnoteReference w:id="287"/>
            </w:r>
            <w:r w:rsidRPr="00BE3728">
              <w:rPr>
                <w:sz w:val="20"/>
                <w:szCs w:val="20"/>
              </w:rPr>
              <w:t>) und der Polizeihoheit eines Bundesstaats, die sich wiederum aus den Staatsziele</w:t>
            </w:r>
            <w:r>
              <w:rPr>
                <w:sz w:val="20"/>
                <w:szCs w:val="20"/>
              </w:rPr>
              <w:t>n</w:t>
            </w:r>
            <w:r w:rsidRPr="00BE3728">
              <w:rPr>
                <w:sz w:val="20"/>
                <w:szCs w:val="20"/>
              </w:rPr>
              <w:t xml:space="preserve"> ergeben. </w:t>
            </w:r>
            <w:proofErr w:type="spellStart"/>
            <w:r w:rsidRPr="00BE3728">
              <w:rPr>
                <w:sz w:val="20"/>
                <w:szCs w:val="20"/>
                <w:lang w:val="en-US"/>
              </w:rPr>
              <w:t>Die</w:t>
            </w:r>
            <w:r>
              <w:rPr>
                <w:sz w:val="20"/>
                <w:szCs w:val="20"/>
                <w:lang w:val="en-US"/>
              </w:rPr>
              <w:t>se</w:t>
            </w:r>
            <w:proofErr w:type="spellEnd"/>
            <w:r w:rsidRPr="00BE3728">
              <w:rPr>
                <w:sz w:val="20"/>
                <w:szCs w:val="20"/>
                <w:lang w:val="en-US"/>
              </w:rPr>
              <w:t xml:space="preserve"> </w:t>
            </w:r>
            <w:proofErr w:type="spellStart"/>
            <w:r w:rsidRPr="00BE3728">
              <w:rPr>
                <w:sz w:val="20"/>
                <w:szCs w:val="20"/>
                <w:lang w:val="en-US"/>
              </w:rPr>
              <w:t>sind</w:t>
            </w:r>
            <w:proofErr w:type="spellEnd"/>
            <w:r w:rsidRPr="00BE3728">
              <w:rPr>
                <w:sz w:val="20"/>
                <w:szCs w:val="20"/>
                <w:lang w:val="en-US"/>
              </w:rPr>
              <w:t xml:space="preserve"> </w:t>
            </w:r>
            <w:proofErr w:type="spellStart"/>
            <w:r w:rsidRPr="00BE3728">
              <w:rPr>
                <w:sz w:val="20"/>
                <w:szCs w:val="20"/>
                <w:lang w:val="en-US"/>
              </w:rPr>
              <w:t>dreigeteilt</w:t>
            </w:r>
            <w:proofErr w:type="spellEnd"/>
            <w:r w:rsidRPr="00BE3728">
              <w:rPr>
                <w:sz w:val="20"/>
                <w:szCs w:val="20"/>
                <w:lang w:val="en-US"/>
              </w:rPr>
              <w:t>:</w:t>
            </w:r>
            <w:r>
              <w:rPr>
                <w:sz w:val="20"/>
                <w:szCs w:val="20"/>
                <w:lang w:val="en-US"/>
              </w:rPr>
              <w:t xml:space="preserve"> den </w:t>
            </w:r>
            <w:proofErr w:type="spellStart"/>
            <w:r w:rsidRPr="00BE3728">
              <w:rPr>
                <w:sz w:val="20"/>
                <w:szCs w:val="20"/>
                <w:lang w:val="en-US"/>
              </w:rPr>
              <w:t>Wohlstand</w:t>
            </w:r>
            <w:proofErr w:type="spellEnd"/>
            <w:r w:rsidRPr="00BE3728">
              <w:rPr>
                <w:sz w:val="20"/>
                <w:szCs w:val="20"/>
                <w:lang w:val="en-US"/>
              </w:rPr>
              <w:t xml:space="preserve"> des </w:t>
            </w:r>
            <w:proofErr w:type="spellStart"/>
            <w:r w:rsidRPr="00BE3728">
              <w:rPr>
                <w:sz w:val="20"/>
                <w:szCs w:val="20"/>
                <w:lang w:val="en-US"/>
              </w:rPr>
              <w:t>Staates</w:t>
            </w:r>
            <w:proofErr w:type="spellEnd"/>
            <w:r w:rsidRPr="00BE3728">
              <w:rPr>
                <w:sz w:val="20"/>
                <w:szCs w:val="20"/>
                <w:lang w:val="en-US"/>
              </w:rPr>
              <w:t xml:space="preserve">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bewahren</w:t>
            </w:r>
            <w:proofErr w:type="spellEnd"/>
            <w:r>
              <w:rPr>
                <w:sz w:val="20"/>
                <w:szCs w:val="20"/>
                <w:lang w:val="en-US"/>
              </w:rPr>
              <w:t xml:space="preserve">, die </w:t>
            </w:r>
            <w:r w:rsidRPr="00BE3728">
              <w:rPr>
                <w:sz w:val="20"/>
                <w:szCs w:val="20"/>
                <w:lang w:val="en-US"/>
              </w:rPr>
              <w:t xml:space="preserve">Sicherheit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gewähren</w:t>
            </w:r>
            <w:proofErr w:type="spellEnd"/>
            <w:r w:rsidRPr="00BE3728">
              <w:rPr>
                <w:sz w:val="20"/>
                <w:szCs w:val="20"/>
                <w:lang w:val="en-US"/>
              </w:rPr>
              <w:t xml:space="preserve"> („promote the prosperity of the state, and guard the lives of its </w:t>
            </w:r>
            <w:proofErr w:type="gramStart"/>
            <w:r w:rsidRPr="00BE3728">
              <w:rPr>
                <w:sz w:val="20"/>
                <w:szCs w:val="20"/>
                <w:lang w:val="en-US"/>
              </w:rPr>
              <w:t>inhabitants“</w:t>
            </w:r>
            <w:proofErr w:type="gramEnd"/>
            <w:r w:rsidRPr="00BE3728">
              <w:rPr>
                <w:rStyle w:val="Funotenzeichen"/>
                <w:sz w:val="20"/>
                <w:szCs w:val="20"/>
                <w:lang w:val="en-US"/>
              </w:rPr>
              <w:footnoteReference w:id="288"/>
            </w:r>
            <w:r w:rsidRPr="00BE3728">
              <w:rPr>
                <w:sz w:val="20"/>
                <w:szCs w:val="20"/>
                <w:lang w:val="en-US"/>
              </w:rPr>
              <w:t xml:space="preserve">) und </w:t>
            </w:r>
            <w:r>
              <w:rPr>
                <w:sz w:val="20"/>
                <w:szCs w:val="20"/>
                <w:lang w:val="en-US"/>
              </w:rPr>
              <w:t xml:space="preserve">die </w:t>
            </w:r>
            <w:proofErr w:type="spellStart"/>
            <w:r w:rsidRPr="00BE3728">
              <w:rPr>
                <w:sz w:val="20"/>
                <w:szCs w:val="20"/>
                <w:lang w:val="en-US"/>
              </w:rPr>
              <w:t>Bedingung</w:t>
            </w:r>
            <w:r>
              <w:rPr>
                <w:sz w:val="20"/>
                <w:szCs w:val="20"/>
                <w:lang w:val="en-US"/>
              </w:rPr>
              <w:t>en</w:t>
            </w:r>
            <w:proofErr w:type="spellEnd"/>
            <w:r w:rsidRPr="00BE3728">
              <w:rPr>
                <w:sz w:val="20"/>
                <w:szCs w:val="20"/>
                <w:lang w:val="en-US"/>
              </w:rPr>
              <w:t xml:space="preserve"> für Glück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schaffen</w:t>
            </w:r>
            <w:proofErr w:type="spellEnd"/>
            <w:r w:rsidRPr="00BE3728">
              <w:rPr>
                <w:sz w:val="20"/>
                <w:szCs w:val="20"/>
                <w:lang w:val="en-US"/>
              </w:rPr>
              <w:t xml:space="preserve"> („This is permitted as a measure of internal police, to guard the peace of the state, and promote […] happiness of its </w:t>
            </w:r>
            <w:proofErr w:type="gramStart"/>
            <w:r w:rsidRPr="00BE3728">
              <w:rPr>
                <w:sz w:val="20"/>
                <w:szCs w:val="20"/>
                <w:lang w:val="en-US"/>
              </w:rPr>
              <w:t>people“</w:t>
            </w:r>
            <w:proofErr w:type="gramEnd"/>
            <w:r w:rsidRPr="00BE3728">
              <w:rPr>
                <w:rStyle w:val="Funotenzeichen"/>
                <w:sz w:val="20"/>
                <w:szCs w:val="20"/>
                <w:lang w:val="en-US"/>
              </w:rPr>
              <w:footnoteReference w:id="289"/>
            </w:r>
            <w:r w:rsidRPr="00BE3728">
              <w:rPr>
                <w:sz w:val="20"/>
                <w:szCs w:val="20"/>
                <w:lang w:val="en-US"/>
              </w:rPr>
              <w:t>).</w:t>
            </w:r>
          </w:p>
          <w:p w14:paraId="509F0131" w14:textId="77777777" w:rsidR="00074551" w:rsidRPr="00BE3728" w:rsidRDefault="00074551" w:rsidP="00367133">
            <w:pPr>
              <w:jc w:val="both"/>
              <w:rPr>
                <w:sz w:val="20"/>
                <w:szCs w:val="20"/>
                <w:lang w:val="en-US"/>
              </w:rPr>
            </w:pPr>
          </w:p>
        </w:tc>
      </w:tr>
      <w:tr w:rsidR="00074551" w:rsidRPr="00E50B51" w14:paraId="4A71599E" w14:textId="77777777" w:rsidTr="00752D01">
        <w:trPr>
          <w:cantSplit/>
          <w:trHeight w:val="3175"/>
        </w:trPr>
        <w:tc>
          <w:tcPr>
            <w:tcW w:w="293" w:type="pct"/>
            <w:shd w:val="clear" w:color="auto" w:fill="E7E6E6" w:themeFill="background2"/>
          </w:tcPr>
          <w:p w14:paraId="5E9B4F2A"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0738EC7B"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2DD4E594"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5B782FC3" w14:textId="77777777" w:rsidR="00074551" w:rsidRPr="00E50B51" w:rsidRDefault="00074551" w:rsidP="00367133">
            <w:pPr>
              <w:ind w:left="113" w:right="113"/>
              <w:jc w:val="both"/>
              <w:rPr>
                <w:sz w:val="20"/>
                <w:szCs w:val="20"/>
                <w:lang w:val="en-US"/>
              </w:rPr>
            </w:pPr>
            <w:r w:rsidRPr="00E50B51">
              <w:rPr>
                <w:sz w:val="20"/>
                <w:szCs w:val="20"/>
                <w:lang w:val="en-US"/>
              </w:rPr>
              <w:t>Necessary &amp; Proper Clause</w:t>
            </w:r>
          </w:p>
        </w:tc>
        <w:tc>
          <w:tcPr>
            <w:tcW w:w="306" w:type="pct"/>
            <w:shd w:val="clear" w:color="auto" w:fill="E7E6E6" w:themeFill="background2"/>
            <w:textDirection w:val="tbRl"/>
            <w:vAlign w:val="center"/>
          </w:tcPr>
          <w:p w14:paraId="2CCD333E"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57339E79"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725376B3" w14:textId="77777777" w:rsidR="00074551" w:rsidRPr="00E50B51" w:rsidRDefault="00074551" w:rsidP="00367133">
            <w:pPr>
              <w:jc w:val="both"/>
              <w:rPr>
                <w:sz w:val="20"/>
                <w:szCs w:val="20"/>
                <w:lang w:val="en-US"/>
              </w:rPr>
            </w:pPr>
          </w:p>
        </w:tc>
        <w:tc>
          <w:tcPr>
            <w:tcW w:w="1822" w:type="pct"/>
            <w:shd w:val="clear" w:color="auto" w:fill="E7E6E6" w:themeFill="background2"/>
          </w:tcPr>
          <w:p w14:paraId="06FD9CB4" w14:textId="49E4F0E5"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33A308C4" w14:textId="77777777" w:rsidTr="00BE689F">
        <w:trPr>
          <w:cantSplit/>
          <w:trHeight w:val="3175"/>
        </w:trPr>
        <w:tc>
          <w:tcPr>
            <w:tcW w:w="293" w:type="pct"/>
          </w:tcPr>
          <w:p w14:paraId="7987CD06" w14:textId="77777777" w:rsidR="00074551" w:rsidRPr="00E50B51" w:rsidRDefault="00074551" w:rsidP="00367133">
            <w:pPr>
              <w:jc w:val="center"/>
              <w:rPr>
                <w:sz w:val="20"/>
                <w:szCs w:val="20"/>
                <w:lang w:val="en-US"/>
              </w:rPr>
            </w:pPr>
            <w:proofErr w:type="spellStart"/>
            <w:r w:rsidRPr="00E50B51">
              <w:rPr>
                <w:sz w:val="20"/>
                <w:szCs w:val="20"/>
              </w:rPr>
              <w:t>poH</w:t>
            </w:r>
            <w:proofErr w:type="spellEnd"/>
          </w:p>
        </w:tc>
        <w:tc>
          <w:tcPr>
            <w:tcW w:w="387" w:type="pct"/>
            <w:textDirection w:val="tbRl"/>
            <w:vAlign w:val="center"/>
          </w:tcPr>
          <w:p w14:paraId="69D15C15" w14:textId="77777777" w:rsidR="00074551" w:rsidRPr="00B45592" w:rsidRDefault="00074551" w:rsidP="00367133">
            <w:pPr>
              <w:ind w:left="113" w:right="113"/>
              <w:jc w:val="both"/>
              <w:rPr>
                <w:i/>
                <w:sz w:val="20"/>
                <w:szCs w:val="20"/>
                <w:lang w:val="en-US"/>
              </w:rPr>
            </w:pPr>
            <w:r w:rsidRPr="00B45592">
              <w:rPr>
                <w:i/>
                <w:sz w:val="20"/>
                <w:szCs w:val="20"/>
                <w:lang w:val="en-US"/>
              </w:rPr>
              <w:t>James Everard’s Breweries v. Day</w:t>
            </w:r>
          </w:p>
        </w:tc>
        <w:tc>
          <w:tcPr>
            <w:tcW w:w="197" w:type="pct"/>
            <w:textDirection w:val="tbRl"/>
            <w:vAlign w:val="center"/>
          </w:tcPr>
          <w:p w14:paraId="1FC68A0A" w14:textId="77777777" w:rsidR="00074551" w:rsidRPr="00E50B51" w:rsidRDefault="00074551" w:rsidP="00367133">
            <w:pPr>
              <w:ind w:left="113" w:right="113"/>
              <w:jc w:val="both"/>
              <w:rPr>
                <w:sz w:val="20"/>
                <w:szCs w:val="20"/>
                <w:lang w:val="en-US"/>
              </w:rPr>
            </w:pPr>
            <w:r w:rsidRPr="00E50B51">
              <w:rPr>
                <w:sz w:val="20"/>
                <w:szCs w:val="20"/>
                <w:lang w:val="en-US"/>
              </w:rPr>
              <w:t>265 U.S. 545</w:t>
            </w:r>
          </w:p>
        </w:tc>
        <w:tc>
          <w:tcPr>
            <w:tcW w:w="306" w:type="pct"/>
            <w:textDirection w:val="tbRl"/>
            <w:vAlign w:val="center"/>
          </w:tcPr>
          <w:p w14:paraId="1EAA7781" w14:textId="77777777" w:rsidR="00074551" w:rsidRPr="00E50B51" w:rsidRDefault="00074551" w:rsidP="00367133">
            <w:pPr>
              <w:ind w:left="113" w:right="113"/>
              <w:jc w:val="both"/>
              <w:rPr>
                <w:sz w:val="20"/>
                <w:szCs w:val="20"/>
              </w:rPr>
            </w:pPr>
            <w:r w:rsidRPr="00E50B51">
              <w:rPr>
                <w:sz w:val="20"/>
                <w:szCs w:val="20"/>
              </w:rPr>
              <w:t>9. Juni 1924</w:t>
            </w:r>
          </w:p>
        </w:tc>
        <w:tc>
          <w:tcPr>
            <w:tcW w:w="401" w:type="pct"/>
          </w:tcPr>
          <w:p w14:paraId="0CB7497D" w14:textId="77777777" w:rsidR="00074551" w:rsidRPr="00E50B51" w:rsidRDefault="00074551" w:rsidP="00367133">
            <w:pPr>
              <w:jc w:val="center"/>
              <w:rPr>
                <w:sz w:val="20"/>
                <w:szCs w:val="20"/>
                <w:lang w:val="en-US"/>
              </w:rPr>
            </w:pPr>
            <w:r w:rsidRPr="00E50B51">
              <w:rPr>
                <w:sz w:val="20"/>
                <w:szCs w:val="20"/>
                <w:lang w:val="en-US"/>
              </w:rPr>
              <w:t>S</w:t>
            </w:r>
          </w:p>
          <w:p w14:paraId="6E8AE7AC" w14:textId="77777777" w:rsidR="00074551" w:rsidRPr="00E50B51" w:rsidRDefault="00074551" w:rsidP="00367133">
            <w:pPr>
              <w:jc w:val="center"/>
              <w:rPr>
                <w:sz w:val="20"/>
                <w:szCs w:val="20"/>
              </w:rPr>
            </w:pPr>
          </w:p>
        </w:tc>
        <w:tc>
          <w:tcPr>
            <w:tcW w:w="1594" w:type="pct"/>
          </w:tcPr>
          <w:p w14:paraId="61E69237" w14:textId="77777777" w:rsidR="00074551" w:rsidRPr="00E50B51" w:rsidRDefault="00074551" w:rsidP="00367133">
            <w:pPr>
              <w:jc w:val="both"/>
              <w:rPr>
                <w:sz w:val="20"/>
                <w:szCs w:val="20"/>
              </w:rPr>
            </w:pPr>
            <w:r w:rsidRPr="00E50B51">
              <w:rPr>
                <w:sz w:val="20"/>
                <w:szCs w:val="20"/>
              </w:rPr>
              <w:t>*</w:t>
            </w:r>
          </w:p>
        </w:tc>
        <w:tc>
          <w:tcPr>
            <w:tcW w:w="1822" w:type="pct"/>
          </w:tcPr>
          <w:p w14:paraId="65843500" w14:textId="2A57CA1A" w:rsidR="00074551" w:rsidRPr="00E50B51" w:rsidRDefault="00023A37" w:rsidP="00367133">
            <w:pPr>
              <w:jc w:val="both"/>
              <w:rPr>
                <w:sz w:val="20"/>
                <w:szCs w:val="20"/>
              </w:rPr>
            </w:pPr>
            <w:r>
              <w:rPr>
                <w:sz w:val="20"/>
                <w:szCs w:val="20"/>
              </w:rPr>
              <w:t xml:space="preserve">U.S. </w:t>
            </w:r>
            <w:proofErr w:type="spellStart"/>
            <w:r>
              <w:rPr>
                <w:sz w:val="20"/>
                <w:szCs w:val="20"/>
              </w:rPr>
              <w:t>Const</w:t>
            </w:r>
            <w:proofErr w:type="spellEnd"/>
            <w:r>
              <w:rPr>
                <w:sz w:val="20"/>
                <w:szCs w:val="20"/>
              </w:rPr>
              <w:t>. art. I, § 8, cl. 18</w:t>
            </w:r>
            <w:r w:rsidR="00074551" w:rsidRPr="006A3045">
              <w:rPr>
                <w:sz w:val="20"/>
                <w:szCs w:val="20"/>
              </w:rPr>
              <w:t xml:space="preserve"> </w:t>
            </w:r>
            <w:r w:rsidR="00074551" w:rsidRPr="00E50B51">
              <w:rPr>
                <w:sz w:val="20"/>
                <w:szCs w:val="20"/>
              </w:rPr>
              <w:t xml:space="preserve">überträgt dem Kongress die Befugnis, Gesetze zu erlassen, die notwendig und angemessen sind, um seine Kompetenz auszuüben. Daraus ergeben sich nicht aufgezählte </w:t>
            </w:r>
            <w:r w:rsidR="00074551">
              <w:rPr>
                <w:sz w:val="20"/>
                <w:szCs w:val="20"/>
              </w:rPr>
              <w:t>bzw.</w:t>
            </w:r>
            <w:r w:rsidR="00074551" w:rsidRPr="00E50B51">
              <w:rPr>
                <w:sz w:val="20"/>
                <w:szCs w:val="20"/>
              </w:rPr>
              <w:t xml:space="preserve"> implizite Kompetenzen. Denn der Kongress </w:t>
            </w:r>
            <w:r w:rsidR="00074551">
              <w:rPr>
                <w:sz w:val="20"/>
                <w:szCs w:val="20"/>
              </w:rPr>
              <w:t>ist</w:t>
            </w:r>
            <w:r w:rsidR="00074551" w:rsidRPr="00E50B51">
              <w:rPr>
                <w:sz w:val="20"/>
                <w:szCs w:val="20"/>
              </w:rPr>
              <w:t xml:space="preserve"> nicht auf Gesetze oder staatliche Maßnahmen beschränkt, die</w:t>
            </w:r>
            <w:r w:rsidR="00074551">
              <w:rPr>
                <w:sz w:val="20"/>
                <w:szCs w:val="20"/>
              </w:rPr>
              <w:t xml:space="preserve"> für die Ausübung seiner Kompetenzen</w:t>
            </w:r>
            <w:r w:rsidR="00074551" w:rsidRPr="00E50B51">
              <w:rPr>
                <w:sz w:val="20"/>
                <w:szCs w:val="20"/>
              </w:rPr>
              <w:t xml:space="preserve"> unabdingbar sind</w:t>
            </w:r>
            <w:r w:rsidR="00074551">
              <w:rPr>
                <w:sz w:val="20"/>
                <w:szCs w:val="20"/>
              </w:rPr>
              <w:t>.</w:t>
            </w:r>
            <w:r w:rsidR="00074551" w:rsidRPr="00E50B51">
              <w:rPr>
                <w:sz w:val="20"/>
                <w:szCs w:val="20"/>
              </w:rPr>
              <w:t xml:space="preserve"> Sondern der Kongress kann seinem Ermessen nach alle ihm geeigneten und angemessenen Gesetze oder staatliche Maßnahmen beschließen, um seine Kompetenz auszuüben, soweit diese einem legitimen Ziel entsprechen und mit dem </w:t>
            </w:r>
            <w:r w:rsidR="00074551">
              <w:rPr>
                <w:sz w:val="20"/>
                <w:szCs w:val="20"/>
              </w:rPr>
              <w:t>Wortlaut</w:t>
            </w:r>
            <w:r w:rsidR="00074551" w:rsidRPr="00E50B51">
              <w:rPr>
                <w:sz w:val="20"/>
                <w:szCs w:val="20"/>
              </w:rPr>
              <w:t xml:space="preserve"> und dem Geist der Verfassung übereinstimmen. Mit dem Geist der Verfassung </w:t>
            </w:r>
            <w:r w:rsidR="00074551">
              <w:rPr>
                <w:sz w:val="20"/>
                <w:szCs w:val="20"/>
              </w:rPr>
              <w:t>im Einklang ist das Prinzip, die</w:t>
            </w:r>
            <w:r w:rsidR="00074551" w:rsidRPr="00E50B51">
              <w:rPr>
                <w:sz w:val="20"/>
                <w:szCs w:val="20"/>
              </w:rPr>
              <w:t xml:space="preserve"> Bedingungen für ein Streben nach Glück zu sichern.</w:t>
            </w:r>
            <w:r w:rsidR="00074551" w:rsidRPr="00E50B51">
              <w:rPr>
                <w:rStyle w:val="Funotenzeichen"/>
                <w:rFonts w:eastAsiaTheme="majorEastAsia"/>
                <w:sz w:val="20"/>
                <w:szCs w:val="20"/>
              </w:rPr>
              <w:footnoteReference w:id="290"/>
            </w:r>
            <w:r w:rsidR="00074551" w:rsidRPr="00E50B51">
              <w:rPr>
                <w:sz w:val="20"/>
                <w:szCs w:val="20"/>
              </w:rPr>
              <w:t xml:space="preserve"> Wenn der Kongress Kompetenzen außerhalb seiner ausdrücklich zugeschriebenen und unabdingbar notwendigen ausüben will, dann </w:t>
            </w:r>
            <w:r w:rsidR="00074551">
              <w:rPr>
                <w:sz w:val="20"/>
                <w:szCs w:val="20"/>
              </w:rPr>
              <w:t xml:space="preserve">muss </w:t>
            </w:r>
            <w:r w:rsidR="00074551" w:rsidRPr="00E50B51">
              <w:rPr>
                <w:sz w:val="20"/>
                <w:szCs w:val="20"/>
              </w:rPr>
              <w:t>er diese Kompetenzen daran messen, wie sie die Bedingungen für ein Glücksstreben sichern.</w:t>
            </w:r>
          </w:p>
          <w:p w14:paraId="1BF225DB" w14:textId="77777777" w:rsidR="00074551" w:rsidRPr="00E50B51" w:rsidRDefault="00074551" w:rsidP="00367133">
            <w:pPr>
              <w:jc w:val="both"/>
              <w:rPr>
                <w:sz w:val="20"/>
                <w:szCs w:val="20"/>
              </w:rPr>
            </w:pPr>
          </w:p>
        </w:tc>
      </w:tr>
      <w:tr w:rsidR="00074551" w:rsidRPr="00E50B51" w14:paraId="24202800" w14:textId="77777777" w:rsidTr="00BE689F">
        <w:trPr>
          <w:cantSplit/>
          <w:trHeight w:val="3175"/>
        </w:trPr>
        <w:tc>
          <w:tcPr>
            <w:tcW w:w="293" w:type="pct"/>
          </w:tcPr>
          <w:p w14:paraId="1094289D" w14:textId="77777777" w:rsidR="00074551" w:rsidRPr="00E50B51" w:rsidRDefault="00074551" w:rsidP="00367133">
            <w:pPr>
              <w:jc w:val="center"/>
              <w:rPr>
                <w:sz w:val="20"/>
                <w:szCs w:val="20"/>
              </w:rPr>
            </w:pPr>
            <w:r w:rsidRPr="00BE3728">
              <w:rPr>
                <w:sz w:val="20"/>
                <w:szCs w:val="20"/>
                <w:lang w:val="en-US"/>
              </w:rPr>
              <w:lastRenderedPageBreak/>
              <w:t>H</w:t>
            </w:r>
          </w:p>
        </w:tc>
        <w:tc>
          <w:tcPr>
            <w:tcW w:w="387" w:type="pct"/>
            <w:textDirection w:val="tbRl"/>
            <w:vAlign w:val="center"/>
          </w:tcPr>
          <w:p w14:paraId="1EE6C79C" w14:textId="77777777" w:rsidR="00074551" w:rsidRPr="00B45592" w:rsidRDefault="00074551" w:rsidP="00367133">
            <w:pPr>
              <w:ind w:left="113" w:right="113"/>
              <w:jc w:val="both"/>
              <w:rPr>
                <w:i/>
                <w:sz w:val="20"/>
                <w:szCs w:val="20"/>
                <w:lang w:val="en-US"/>
              </w:rPr>
            </w:pPr>
            <w:r w:rsidRPr="00B45592">
              <w:rPr>
                <w:i/>
                <w:sz w:val="20"/>
                <w:szCs w:val="20"/>
                <w:lang w:val="en-US"/>
              </w:rPr>
              <w:t>Norman v. Baltimore &amp; O. R. Co</w:t>
            </w:r>
          </w:p>
        </w:tc>
        <w:tc>
          <w:tcPr>
            <w:tcW w:w="197" w:type="pct"/>
            <w:textDirection w:val="tbRl"/>
            <w:vAlign w:val="center"/>
          </w:tcPr>
          <w:p w14:paraId="16846478" w14:textId="77777777" w:rsidR="00074551" w:rsidRPr="00BE3728" w:rsidRDefault="00074551" w:rsidP="00367133">
            <w:pPr>
              <w:ind w:left="113" w:right="113"/>
              <w:jc w:val="both"/>
              <w:rPr>
                <w:sz w:val="20"/>
                <w:szCs w:val="20"/>
              </w:rPr>
            </w:pPr>
            <w:r w:rsidRPr="00BE3728">
              <w:rPr>
                <w:sz w:val="20"/>
                <w:szCs w:val="20"/>
              </w:rPr>
              <w:t>294 U.S. 240</w:t>
            </w:r>
          </w:p>
          <w:p w14:paraId="700F1D4B" w14:textId="77777777" w:rsidR="00074551" w:rsidRPr="00E50B51" w:rsidRDefault="00074551" w:rsidP="00367133">
            <w:pPr>
              <w:ind w:left="113" w:right="113"/>
              <w:jc w:val="both"/>
              <w:rPr>
                <w:sz w:val="20"/>
                <w:szCs w:val="20"/>
                <w:lang w:val="en-US"/>
              </w:rPr>
            </w:pPr>
          </w:p>
        </w:tc>
        <w:tc>
          <w:tcPr>
            <w:tcW w:w="306" w:type="pct"/>
            <w:textDirection w:val="tbRl"/>
            <w:vAlign w:val="center"/>
          </w:tcPr>
          <w:p w14:paraId="0EE3ADF3" w14:textId="77777777" w:rsidR="00074551" w:rsidRPr="00E50B51" w:rsidRDefault="00074551" w:rsidP="00367133">
            <w:pPr>
              <w:ind w:left="113" w:right="113"/>
              <w:jc w:val="both"/>
              <w:rPr>
                <w:sz w:val="20"/>
                <w:szCs w:val="20"/>
              </w:rPr>
            </w:pPr>
            <w:r w:rsidRPr="00BE3728">
              <w:rPr>
                <w:sz w:val="20"/>
                <w:szCs w:val="20"/>
              </w:rPr>
              <w:t>18. Februar 1935</w:t>
            </w:r>
          </w:p>
        </w:tc>
        <w:tc>
          <w:tcPr>
            <w:tcW w:w="401" w:type="pct"/>
          </w:tcPr>
          <w:p w14:paraId="4F9505BD"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230A01EC"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die Entscheidungen der unteren Gerichte. Sie </w:t>
            </w:r>
            <w:r>
              <w:rPr>
                <w:sz w:val="20"/>
                <w:szCs w:val="20"/>
              </w:rPr>
              <w:t>hatten</w:t>
            </w:r>
            <w:r w:rsidRPr="00BE3728">
              <w:rPr>
                <w:sz w:val="20"/>
                <w:szCs w:val="20"/>
              </w:rPr>
              <w:t xml:space="preserve"> eine gemeinsame Resolution des Kongresses, 48 Stat. 112</w:t>
            </w:r>
            <w:r>
              <w:rPr>
                <w:sz w:val="20"/>
                <w:szCs w:val="20"/>
              </w:rPr>
              <w:t>,</w:t>
            </w:r>
            <w:r w:rsidRPr="00BE3728">
              <w:rPr>
                <w:rStyle w:val="Funotenzeichen"/>
                <w:sz w:val="20"/>
                <w:szCs w:val="20"/>
              </w:rPr>
              <w:footnoteReference w:id="291"/>
            </w:r>
            <w:r w:rsidRPr="00BE3728">
              <w:rPr>
                <w:sz w:val="20"/>
                <w:szCs w:val="20"/>
              </w:rPr>
              <w:t xml:space="preserve"> für verfassungskonform</w:t>
            </w:r>
            <w:r>
              <w:rPr>
                <w:sz w:val="20"/>
                <w:szCs w:val="20"/>
              </w:rPr>
              <w:t xml:space="preserve"> erklärt</w:t>
            </w:r>
            <w:r w:rsidRPr="00BE3728">
              <w:rPr>
                <w:sz w:val="20"/>
                <w:szCs w:val="20"/>
              </w:rPr>
              <w:t xml:space="preserve">. Die Resolution regelte, dass Vertragsklauseln, die eine Zahlung in Gold erfordern, gegen die öffentliche Ordnung verstoßen. Der </w:t>
            </w:r>
            <w:r>
              <w:rPr>
                <w:sz w:val="20"/>
                <w:szCs w:val="20"/>
              </w:rPr>
              <w:t>U.S. Supreme Court</w:t>
            </w:r>
            <w:r w:rsidRPr="00BE3728">
              <w:rPr>
                <w:sz w:val="20"/>
                <w:szCs w:val="20"/>
              </w:rPr>
              <w:t xml:space="preserve"> urteilte, dass der Kongress aus der Gesamtschau seiner Kompetenz, die Steuern, die Finanzen und die Währung zu regulieren, auch die Kompetenz habe, die Zahlung in Gold zu untersagen.</w:t>
            </w:r>
            <w:r w:rsidRPr="00BE3728">
              <w:rPr>
                <w:rStyle w:val="Funotenzeichen"/>
                <w:sz w:val="20"/>
                <w:szCs w:val="20"/>
              </w:rPr>
              <w:footnoteReference w:id="292"/>
            </w:r>
          </w:p>
          <w:p w14:paraId="51F8818A" w14:textId="77777777" w:rsidR="00074551" w:rsidRPr="00E50B51" w:rsidRDefault="00074551" w:rsidP="00367133">
            <w:pPr>
              <w:jc w:val="both"/>
              <w:rPr>
                <w:sz w:val="20"/>
                <w:szCs w:val="20"/>
              </w:rPr>
            </w:pPr>
          </w:p>
        </w:tc>
        <w:tc>
          <w:tcPr>
            <w:tcW w:w="1822" w:type="pct"/>
          </w:tcPr>
          <w:p w14:paraId="458E7DEC"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Necessary &amp; Proper Clause</w:t>
            </w:r>
          </w:p>
          <w:p w14:paraId="0681AB11" w14:textId="77777777" w:rsidR="00074551" w:rsidRPr="00BE3728" w:rsidRDefault="00074551" w:rsidP="00367133">
            <w:pPr>
              <w:jc w:val="both"/>
              <w:rPr>
                <w:sz w:val="20"/>
                <w:szCs w:val="20"/>
                <w:lang w:val="en-US"/>
              </w:rPr>
            </w:pPr>
          </w:p>
          <w:p w14:paraId="378C66F8" w14:textId="116FF2B2" w:rsidR="00074551" w:rsidRDefault="00074551" w:rsidP="00367133">
            <w:pPr>
              <w:jc w:val="both"/>
              <w:rPr>
                <w:sz w:val="20"/>
                <w:szCs w:val="20"/>
              </w:rPr>
            </w:pPr>
            <w:r w:rsidRPr="00BE3728">
              <w:rPr>
                <w:sz w:val="20"/>
                <w:szCs w:val="20"/>
              </w:rPr>
              <w:t xml:space="preserve">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verleiht dem Kongress die Kompetenz, Geld zu prägen und dessen Wert sowie den Wert gegenüber ausländischen Münzen zu regulieren. Dies richtet sich nach </w:t>
            </w:r>
            <w:r w:rsidR="00023A37">
              <w:rPr>
                <w:sz w:val="20"/>
                <w:szCs w:val="20"/>
              </w:rPr>
              <w:t xml:space="preserve">U.S. </w:t>
            </w:r>
            <w:proofErr w:type="spellStart"/>
            <w:r w:rsidR="00023A37">
              <w:rPr>
                <w:sz w:val="20"/>
                <w:szCs w:val="20"/>
              </w:rPr>
              <w:t>Const</w:t>
            </w:r>
            <w:proofErr w:type="spellEnd"/>
            <w:r w:rsidR="00023A37">
              <w:rPr>
                <w:sz w:val="20"/>
                <w:szCs w:val="20"/>
              </w:rPr>
              <w:t>. art. I, § 8, cl. 5.</w:t>
            </w:r>
            <w:r w:rsidRPr="00BE3728">
              <w:rPr>
                <w:rStyle w:val="Funotenzeichen"/>
                <w:sz w:val="20"/>
                <w:szCs w:val="20"/>
              </w:rPr>
              <w:footnoteReference w:id="293"/>
            </w:r>
          </w:p>
          <w:p w14:paraId="20570FFD" w14:textId="77777777" w:rsidR="00074551" w:rsidRDefault="00074551" w:rsidP="00367133">
            <w:pPr>
              <w:jc w:val="both"/>
              <w:rPr>
                <w:sz w:val="20"/>
                <w:szCs w:val="20"/>
              </w:rPr>
            </w:pPr>
          </w:p>
          <w:p w14:paraId="470D12DC" w14:textId="77777777" w:rsidR="00074551" w:rsidRDefault="00074551" w:rsidP="00367133">
            <w:pPr>
              <w:jc w:val="both"/>
              <w:rPr>
                <w:sz w:val="20"/>
                <w:szCs w:val="20"/>
              </w:rPr>
            </w:pPr>
            <w:r w:rsidRPr="00BE3728">
              <w:rPr>
                <w:sz w:val="20"/>
                <w:szCs w:val="20"/>
              </w:rPr>
              <w:t>Die Vereinigten Staaten ha</w:t>
            </w:r>
            <w:r>
              <w:rPr>
                <w:sz w:val="20"/>
                <w:szCs w:val="20"/>
              </w:rPr>
              <w:t>tt</w:t>
            </w:r>
            <w:r w:rsidRPr="00BE3728">
              <w:rPr>
                <w:sz w:val="20"/>
                <w:szCs w:val="20"/>
              </w:rPr>
              <w:t>en in mehreren Gesetzesinitiativen die Finanz- und Währungsstruktur neu geordnet: Gold und Goldbarren wurden nunmehr im Finanzministerium der Vereinigten Staaten verwahrt; die US-Regierung brachte den Handel mit Goldzertifikate</w:t>
            </w:r>
            <w:r>
              <w:rPr>
                <w:sz w:val="20"/>
                <w:szCs w:val="20"/>
              </w:rPr>
              <w:t>n</w:t>
            </w:r>
            <w:r w:rsidRPr="00BE3728">
              <w:rPr>
                <w:sz w:val="20"/>
                <w:szCs w:val="20"/>
              </w:rPr>
              <w:t xml:space="preserve"> unter ihre Kontrolle; der Devisenhandel wurde weiter reguliert; Banken konnten wieder öffnen, denn die Hortung von Gold reduzierte sich; zudem wurde ein Übergang zum Goldbarrenstandard geregelt; letztendlich konnte dadurch der Wert des US-Dollars stabilisiert werden. Diese Rechtsakte zeig</w:t>
            </w:r>
            <w:r>
              <w:rPr>
                <w:sz w:val="20"/>
                <w:szCs w:val="20"/>
              </w:rPr>
              <w:t>t</w:t>
            </w:r>
            <w:r w:rsidRPr="00BE3728">
              <w:rPr>
                <w:sz w:val="20"/>
                <w:szCs w:val="20"/>
              </w:rPr>
              <w:t xml:space="preserve">en eine gesetzgeberische Kontinuität, </w:t>
            </w:r>
            <w:r>
              <w:rPr>
                <w:sz w:val="20"/>
                <w:szCs w:val="20"/>
              </w:rPr>
              <w:t>wiesen</w:t>
            </w:r>
            <w:r w:rsidRPr="00BE3728">
              <w:rPr>
                <w:sz w:val="20"/>
                <w:szCs w:val="20"/>
              </w:rPr>
              <w:t xml:space="preserve"> einen einheitlichen Zweck auf und stabilisierten die Wirtschaft. Damit </w:t>
            </w:r>
            <w:r>
              <w:rPr>
                <w:sz w:val="20"/>
                <w:szCs w:val="20"/>
              </w:rPr>
              <w:t>hätten</w:t>
            </w:r>
            <w:r w:rsidRPr="00BE3728">
              <w:rPr>
                <w:sz w:val="20"/>
                <w:szCs w:val="20"/>
              </w:rPr>
              <w:t xml:space="preserve"> die Legislative und die Exekutive sich an einem gemeinsamen Ziel orientiert: Kongress und </w:t>
            </w:r>
            <w:r>
              <w:rPr>
                <w:sz w:val="20"/>
                <w:szCs w:val="20"/>
              </w:rPr>
              <w:t>US-Präsident hätten</w:t>
            </w:r>
            <w:r w:rsidRPr="00BE3728">
              <w:rPr>
                <w:sz w:val="20"/>
                <w:szCs w:val="20"/>
              </w:rPr>
              <w:t xml:space="preserve"> mit dem Gesetz das Glück, den Wohlstand und das Wohlergehen </w:t>
            </w:r>
            <w:r>
              <w:rPr>
                <w:sz w:val="20"/>
                <w:szCs w:val="20"/>
              </w:rPr>
              <w:t>des</w:t>
            </w:r>
            <w:r w:rsidRPr="00BE3728">
              <w:rPr>
                <w:sz w:val="20"/>
                <w:szCs w:val="20"/>
              </w:rPr>
              <w:t xml:space="preserve"> Landes gefördert („</w:t>
            </w:r>
            <w:proofErr w:type="spellStart"/>
            <w:r w:rsidRPr="00BE3728">
              <w:rPr>
                <w:sz w:val="20"/>
                <w:szCs w:val="20"/>
              </w:rPr>
              <w:t>appealing</w:t>
            </w:r>
            <w:proofErr w:type="spellEnd"/>
            <w:r w:rsidRPr="00BE3728">
              <w:rPr>
                <w:sz w:val="20"/>
                <w:szCs w:val="20"/>
              </w:rPr>
              <w:t xml:space="preserve"> to </w:t>
            </w:r>
            <w:proofErr w:type="spellStart"/>
            <w:r w:rsidRPr="00BE3728">
              <w:rPr>
                <w:sz w:val="20"/>
                <w:szCs w:val="20"/>
              </w:rPr>
              <w:t>both</w:t>
            </w:r>
            <w:proofErr w:type="spellEnd"/>
            <w:r w:rsidRPr="00BE3728">
              <w:rPr>
                <w:sz w:val="20"/>
                <w:szCs w:val="20"/>
              </w:rPr>
              <w:t xml:space="preserve"> as essential to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and </w:t>
            </w:r>
            <w:proofErr w:type="spellStart"/>
            <w:r w:rsidRPr="00BE3728">
              <w:rPr>
                <w:sz w:val="20"/>
                <w:szCs w:val="20"/>
              </w:rPr>
              <w:t>welfare</w:t>
            </w:r>
            <w:proofErr w:type="spellEnd"/>
            <w:r w:rsidRPr="00BE3728">
              <w:rPr>
                <w:sz w:val="20"/>
                <w:szCs w:val="20"/>
              </w:rPr>
              <w:t xml:space="preserve"> of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country</w:t>
            </w:r>
            <w:proofErr w:type="spellEnd"/>
            <w:r w:rsidRPr="00BE3728">
              <w:rPr>
                <w:sz w:val="20"/>
                <w:szCs w:val="20"/>
              </w:rPr>
              <w:t>“</w:t>
            </w:r>
            <w:r w:rsidRPr="00BE3728">
              <w:rPr>
                <w:rStyle w:val="Funotenzeichen"/>
                <w:sz w:val="20"/>
                <w:szCs w:val="20"/>
              </w:rPr>
              <w:footnoteReference w:id="294"/>
            </w:r>
            <w:r w:rsidRPr="00BE3728">
              <w:rPr>
                <w:sz w:val="20"/>
                <w:szCs w:val="20"/>
              </w:rPr>
              <w:t>).</w:t>
            </w:r>
          </w:p>
          <w:p w14:paraId="5B99535E" w14:textId="77777777" w:rsidR="00074551" w:rsidRPr="00996DA4" w:rsidRDefault="00074551" w:rsidP="00367133">
            <w:pPr>
              <w:jc w:val="both"/>
              <w:rPr>
                <w:sz w:val="20"/>
                <w:szCs w:val="20"/>
              </w:rPr>
            </w:pPr>
          </w:p>
        </w:tc>
      </w:tr>
      <w:tr w:rsidR="00074551" w:rsidRPr="00E50B51" w14:paraId="6E597CB4" w14:textId="77777777" w:rsidTr="00752D01">
        <w:trPr>
          <w:cantSplit/>
          <w:trHeight w:val="3175"/>
        </w:trPr>
        <w:tc>
          <w:tcPr>
            <w:tcW w:w="293" w:type="pct"/>
            <w:shd w:val="clear" w:color="auto" w:fill="E7E6E6" w:themeFill="background2"/>
          </w:tcPr>
          <w:p w14:paraId="00AB3C3B"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443247B3"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57F57492"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7E85E279" w14:textId="77777777" w:rsidR="00074551" w:rsidRPr="00E50B51" w:rsidRDefault="00074551" w:rsidP="00367133">
            <w:pPr>
              <w:ind w:left="113" w:right="113"/>
              <w:jc w:val="both"/>
              <w:rPr>
                <w:sz w:val="20"/>
                <w:szCs w:val="20"/>
                <w:lang w:val="en-US"/>
              </w:rPr>
            </w:pPr>
            <w:r w:rsidRPr="00E50B51">
              <w:rPr>
                <w:sz w:val="20"/>
                <w:szCs w:val="20"/>
                <w:lang w:val="en-US"/>
              </w:rPr>
              <w:t>Supremacy Clause</w:t>
            </w:r>
          </w:p>
        </w:tc>
        <w:tc>
          <w:tcPr>
            <w:tcW w:w="306" w:type="pct"/>
            <w:shd w:val="clear" w:color="auto" w:fill="E7E6E6" w:themeFill="background2"/>
            <w:textDirection w:val="tbRl"/>
            <w:vAlign w:val="center"/>
          </w:tcPr>
          <w:p w14:paraId="714E2933"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5E8F8349"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42AC67CD" w14:textId="77777777" w:rsidR="00074551" w:rsidRPr="00E50B51" w:rsidRDefault="00074551" w:rsidP="00367133">
            <w:pPr>
              <w:jc w:val="both"/>
              <w:rPr>
                <w:sz w:val="20"/>
                <w:szCs w:val="20"/>
                <w:lang w:val="en-US"/>
              </w:rPr>
            </w:pPr>
          </w:p>
        </w:tc>
        <w:tc>
          <w:tcPr>
            <w:tcW w:w="1822" w:type="pct"/>
            <w:shd w:val="clear" w:color="auto" w:fill="E7E6E6" w:themeFill="background2"/>
          </w:tcPr>
          <w:p w14:paraId="6B170CF8" w14:textId="1452614A"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15BD6E04" w14:textId="77777777" w:rsidTr="00BE689F">
        <w:trPr>
          <w:cantSplit/>
          <w:trHeight w:val="3175"/>
        </w:trPr>
        <w:tc>
          <w:tcPr>
            <w:tcW w:w="293" w:type="pct"/>
          </w:tcPr>
          <w:p w14:paraId="7A11F3E8"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DC7087D" w14:textId="77777777" w:rsidR="00074551" w:rsidRPr="00B45592" w:rsidRDefault="00074551" w:rsidP="00367133">
            <w:pPr>
              <w:ind w:left="113" w:right="113"/>
              <w:jc w:val="both"/>
              <w:rPr>
                <w:i/>
                <w:sz w:val="20"/>
                <w:szCs w:val="20"/>
              </w:rPr>
            </w:pPr>
            <w:r w:rsidRPr="00B45592">
              <w:rPr>
                <w:i/>
                <w:sz w:val="20"/>
                <w:szCs w:val="20"/>
              </w:rPr>
              <w:t>Blake v. McClung</w:t>
            </w:r>
          </w:p>
        </w:tc>
        <w:tc>
          <w:tcPr>
            <w:tcW w:w="197" w:type="pct"/>
            <w:textDirection w:val="tbRl"/>
            <w:vAlign w:val="center"/>
          </w:tcPr>
          <w:p w14:paraId="779D6AF7" w14:textId="77777777" w:rsidR="00074551" w:rsidRPr="00E50B51" w:rsidRDefault="00074551" w:rsidP="00367133">
            <w:pPr>
              <w:ind w:left="113" w:right="113"/>
              <w:jc w:val="both"/>
              <w:rPr>
                <w:sz w:val="20"/>
                <w:szCs w:val="20"/>
                <w:lang w:val="en-US"/>
              </w:rPr>
            </w:pPr>
            <w:r w:rsidRPr="00E50B51">
              <w:rPr>
                <w:sz w:val="20"/>
                <w:szCs w:val="20"/>
                <w:lang w:val="en-US"/>
              </w:rPr>
              <w:t>172 U.S. 239</w:t>
            </w:r>
          </w:p>
        </w:tc>
        <w:tc>
          <w:tcPr>
            <w:tcW w:w="306" w:type="pct"/>
            <w:textDirection w:val="tbRl"/>
            <w:vAlign w:val="center"/>
          </w:tcPr>
          <w:p w14:paraId="6D1D717A" w14:textId="77777777" w:rsidR="00074551" w:rsidRPr="00E50B51" w:rsidRDefault="00074551" w:rsidP="00367133">
            <w:pPr>
              <w:ind w:left="113" w:right="113"/>
              <w:jc w:val="both"/>
              <w:rPr>
                <w:sz w:val="20"/>
                <w:szCs w:val="20"/>
              </w:rPr>
            </w:pPr>
            <w:r w:rsidRPr="00E50B51">
              <w:rPr>
                <w:sz w:val="20"/>
                <w:szCs w:val="20"/>
              </w:rPr>
              <w:t>12. Dezember 1898</w:t>
            </w:r>
          </w:p>
        </w:tc>
        <w:tc>
          <w:tcPr>
            <w:tcW w:w="401" w:type="pct"/>
          </w:tcPr>
          <w:p w14:paraId="1D9736CE"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4D1E3C73" w14:textId="51832925" w:rsidR="000745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w:t>
            </w:r>
            <w:bookmarkStart w:id="27" w:name="_Hlk230003713"/>
            <w:r w:rsidRPr="00E50B51">
              <w:rPr>
                <w:sz w:val="20"/>
                <w:szCs w:val="20"/>
              </w:rPr>
              <w:t xml:space="preserve">Gesetz (1877 Tenn. Acts </w:t>
            </w:r>
            <w:proofErr w:type="spellStart"/>
            <w:r w:rsidRPr="00E50B51">
              <w:rPr>
                <w:sz w:val="20"/>
                <w:szCs w:val="20"/>
              </w:rPr>
              <w:t>ch</w:t>
            </w:r>
            <w:proofErr w:type="spellEnd"/>
            <w:r w:rsidRPr="00E50B51">
              <w:rPr>
                <w:sz w:val="20"/>
                <w:szCs w:val="20"/>
              </w:rPr>
              <w:t xml:space="preserve">. 31) </w:t>
            </w:r>
            <w:bookmarkEnd w:id="27"/>
            <w:r w:rsidRPr="00E50B51">
              <w:rPr>
                <w:sz w:val="20"/>
                <w:szCs w:val="20"/>
              </w:rPr>
              <w:t>für verfassungswidrig, das während eines Insolvenzverfahrens Gläubigern aus einem Bundesstaat einen Vorrang gegenüber Gläubigern aus einem anderen Bundesstaat einräum</w:t>
            </w:r>
            <w:r>
              <w:rPr>
                <w:sz w:val="20"/>
                <w:szCs w:val="20"/>
              </w:rPr>
              <w:t>t</w:t>
            </w:r>
            <w:r w:rsidRPr="00E50B51">
              <w:rPr>
                <w:sz w:val="20"/>
                <w:szCs w:val="20"/>
              </w:rPr>
              <w:t>e.</w:t>
            </w:r>
            <w:r w:rsidRPr="00E50B51">
              <w:rPr>
                <w:rStyle w:val="Funotenzeichen"/>
                <w:rFonts w:eastAsiaTheme="majorEastAsia"/>
                <w:sz w:val="20"/>
                <w:szCs w:val="20"/>
              </w:rPr>
              <w:footnoteReference w:id="295"/>
            </w:r>
            <w:r w:rsidRPr="00E50B51">
              <w:rPr>
                <w:sz w:val="20"/>
                <w:szCs w:val="20"/>
              </w:rPr>
              <w:t xml:space="preserve"> Der </w:t>
            </w:r>
            <w:r>
              <w:rPr>
                <w:sz w:val="20"/>
                <w:szCs w:val="20"/>
              </w:rPr>
              <w:t>U.S. Supreme Court</w:t>
            </w:r>
            <w:r w:rsidRPr="00E50B51">
              <w:rPr>
                <w:sz w:val="20"/>
                <w:szCs w:val="20"/>
              </w:rPr>
              <w:t xml:space="preserve"> meinte, dieser Vorrang diskriminiere gegenüber Bürgern anderer Bundesstaaten. Er widerspreche damit </w:t>
            </w:r>
            <w:r w:rsidR="004D6F76" w:rsidRPr="004D6F76">
              <w:rPr>
                <w:sz w:val="20"/>
                <w:szCs w:val="20"/>
              </w:rPr>
              <w:t xml:space="preserve">U.S. </w:t>
            </w:r>
            <w:proofErr w:type="spellStart"/>
            <w:r w:rsidR="004D6F76" w:rsidRPr="004D6F76">
              <w:rPr>
                <w:sz w:val="20"/>
                <w:szCs w:val="20"/>
              </w:rPr>
              <w:t>Const</w:t>
            </w:r>
            <w:proofErr w:type="spellEnd"/>
            <w:r w:rsidR="004D6F76" w:rsidRPr="004D6F76">
              <w:rPr>
                <w:sz w:val="20"/>
                <w:szCs w:val="20"/>
              </w:rPr>
              <w:t>. art. IV, § 2</w:t>
            </w:r>
            <w:r w:rsidR="004D6F76">
              <w:rPr>
                <w:sz w:val="20"/>
                <w:szCs w:val="20"/>
              </w:rPr>
              <w:t xml:space="preserve">. </w:t>
            </w:r>
            <w:r w:rsidRPr="00E50B51">
              <w:rPr>
                <w:sz w:val="20"/>
                <w:szCs w:val="20"/>
              </w:rPr>
              <w:t xml:space="preserve">Im Detail drehte </w:t>
            </w:r>
            <w:r>
              <w:rPr>
                <w:sz w:val="20"/>
                <w:szCs w:val="20"/>
              </w:rPr>
              <w:t>der Fall</w:t>
            </w:r>
            <w:r w:rsidRPr="00E50B51">
              <w:rPr>
                <w:sz w:val="20"/>
                <w:szCs w:val="20"/>
              </w:rPr>
              <w:t xml:space="preserve"> sich um eine ausländische Gesellschaft, die in Tennessee </w:t>
            </w:r>
            <w:proofErr w:type="spellStart"/>
            <w:r w:rsidRPr="00E50B51">
              <w:rPr>
                <w:sz w:val="20"/>
                <w:szCs w:val="20"/>
              </w:rPr>
              <w:t>konzessiert</w:t>
            </w:r>
            <w:proofErr w:type="spellEnd"/>
            <w:r>
              <w:rPr>
                <w:sz w:val="20"/>
                <w:szCs w:val="20"/>
              </w:rPr>
              <w:t xml:space="preserve">, aber auch insolvent </w:t>
            </w:r>
            <w:r w:rsidRPr="00E50B51">
              <w:rPr>
                <w:sz w:val="20"/>
                <w:szCs w:val="20"/>
              </w:rPr>
              <w:t xml:space="preserve">war, </w:t>
            </w:r>
            <w:r>
              <w:rPr>
                <w:sz w:val="20"/>
                <w:szCs w:val="20"/>
              </w:rPr>
              <w:t xml:space="preserve">und um </w:t>
            </w:r>
            <w:r w:rsidRPr="00E50B51">
              <w:rPr>
                <w:sz w:val="20"/>
                <w:szCs w:val="20"/>
              </w:rPr>
              <w:t xml:space="preserve">ihre Gläubiger. </w:t>
            </w:r>
            <w:r>
              <w:rPr>
                <w:sz w:val="20"/>
                <w:szCs w:val="20"/>
              </w:rPr>
              <w:t>Letztere</w:t>
            </w:r>
            <w:r w:rsidRPr="00E50B51">
              <w:rPr>
                <w:sz w:val="20"/>
                <w:szCs w:val="20"/>
              </w:rPr>
              <w:t xml:space="preserve"> waren Einzelpersonen aus Tennessee und Ohio sowie ein Unternehmen aus Virginia. Ein Gesetz (1877 Tenn. Acts </w:t>
            </w:r>
            <w:proofErr w:type="spellStart"/>
            <w:r w:rsidRPr="00E50B51">
              <w:rPr>
                <w:sz w:val="20"/>
                <w:szCs w:val="20"/>
              </w:rPr>
              <w:t>ch</w:t>
            </w:r>
            <w:proofErr w:type="spellEnd"/>
            <w:r w:rsidRPr="00E50B51">
              <w:rPr>
                <w:sz w:val="20"/>
                <w:szCs w:val="20"/>
              </w:rPr>
              <w:t xml:space="preserve">. 31) regelte, dass die Gläubiger aus Tennessee gegenüber anderen Gläubigern Vorrang hatten. Der </w:t>
            </w:r>
            <w:r>
              <w:rPr>
                <w:sz w:val="20"/>
                <w:szCs w:val="20"/>
              </w:rPr>
              <w:t>U.S. Supreme Court</w:t>
            </w:r>
            <w:r w:rsidRPr="00E50B51">
              <w:rPr>
                <w:sz w:val="20"/>
                <w:szCs w:val="20"/>
              </w:rPr>
              <w:t xml:space="preserve"> meinte, dieser Vorrang diskriminiere gegenüber Bürgern anderer Bundesstaaten. </w:t>
            </w:r>
            <w:r>
              <w:rPr>
                <w:sz w:val="20"/>
                <w:szCs w:val="20"/>
              </w:rPr>
              <w:t xml:space="preserve">Das verstoße gegen </w:t>
            </w:r>
            <w:r w:rsidR="004D6F76" w:rsidRPr="004D6F76">
              <w:rPr>
                <w:sz w:val="20"/>
                <w:szCs w:val="20"/>
              </w:rPr>
              <w:t xml:space="preserve">U.S. </w:t>
            </w:r>
            <w:proofErr w:type="spellStart"/>
            <w:r w:rsidR="004D6F76" w:rsidRPr="004D6F76">
              <w:rPr>
                <w:sz w:val="20"/>
                <w:szCs w:val="20"/>
              </w:rPr>
              <w:t>Const</w:t>
            </w:r>
            <w:proofErr w:type="spellEnd"/>
            <w:r w:rsidR="004D6F76" w:rsidRPr="004D6F76">
              <w:rPr>
                <w:sz w:val="20"/>
                <w:szCs w:val="20"/>
              </w:rPr>
              <w:t>. art. IV, § 2</w:t>
            </w:r>
            <w:r w:rsidRPr="00E50B51">
              <w:rPr>
                <w:sz w:val="20"/>
                <w:szCs w:val="20"/>
              </w:rPr>
              <w:t>. Denn die Kompetenz des Bundesstaates Tennessee</w:t>
            </w:r>
            <w:r>
              <w:rPr>
                <w:sz w:val="20"/>
                <w:szCs w:val="20"/>
              </w:rPr>
              <w:t>, die Ausgestaltung eines</w:t>
            </w:r>
            <w:r w:rsidRPr="00E50B51">
              <w:rPr>
                <w:sz w:val="20"/>
                <w:szCs w:val="20"/>
              </w:rPr>
              <w:t xml:space="preserve"> Insolvenzverfahren</w:t>
            </w:r>
            <w:r>
              <w:rPr>
                <w:sz w:val="20"/>
                <w:szCs w:val="20"/>
              </w:rPr>
              <w:t>s</w:t>
            </w:r>
            <w:r w:rsidRPr="00E50B51">
              <w:rPr>
                <w:sz w:val="20"/>
                <w:szCs w:val="20"/>
              </w:rPr>
              <w:t xml:space="preserve"> festzulegen</w:t>
            </w:r>
            <w:r>
              <w:rPr>
                <w:sz w:val="20"/>
                <w:szCs w:val="20"/>
              </w:rPr>
              <w:t xml:space="preserve">, </w:t>
            </w:r>
            <w:r w:rsidRPr="00E50B51">
              <w:rPr>
                <w:sz w:val="20"/>
                <w:szCs w:val="20"/>
              </w:rPr>
              <w:t xml:space="preserve">müsse mit den Vorrechten und </w:t>
            </w:r>
            <w:r>
              <w:rPr>
                <w:sz w:val="20"/>
                <w:szCs w:val="20"/>
              </w:rPr>
              <w:t>Immunitäten</w:t>
            </w:r>
            <w:r w:rsidRPr="00E50B51">
              <w:rPr>
                <w:sz w:val="20"/>
                <w:szCs w:val="20"/>
              </w:rPr>
              <w:t xml:space="preserve"> nach</w:t>
            </w:r>
            <w:r w:rsidR="004D6F76">
              <w:rPr>
                <w:sz w:val="20"/>
                <w:szCs w:val="20"/>
              </w:rPr>
              <w:t xml:space="preserve"> </w:t>
            </w:r>
            <w:r w:rsidR="004D6F76" w:rsidRPr="004D6F76">
              <w:rPr>
                <w:sz w:val="20"/>
                <w:szCs w:val="20"/>
              </w:rPr>
              <w:t xml:space="preserve">U.S. </w:t>
            </w:r>
            <w:proofErr w:type="spellStart"/>
            <w:r w:rsidR="004D6F76" w:rsidRPr="004D6F76">
              <w:rPr>
                <w:sz w:val="20"/>
                <w:szCs w:val="20"/>
              </w:rPr>
              <w:t>Const</w:t>
            </w:r>
            <w:proofErr w:type="spellEnd"/>
            <w:r w:rsidR="004D6F76" w:rsidRPr="004D6F76">
              <w:rPr>
                <w:sz w:val="20"/>
                <w:szCs w:val="20"/>
              </w:rPr>
              <w:t>. art. IV, § 2</w:t>
            </w:r>
            <w:r w:rsidRPr="00E50B51">
              <w:rPr>
                <w:sz w:val="20"/>
                <w:szCs w:val="20"/>
              </w:rPr>
              <w:t>.</w:t>
            </w:r>
            <w:r>
              <w:rPr>
                <w:sz w:val="20"/>
                <w:szCs w:val="20"/>
              </w:rPr>
              <w:t xml:space="preserve"> im Einklang sein.</w:t>
            </w:r>
            <w:r w:rsidRPr="00E50B51">
              <w:rPr>
                <w:sz w:val="20"/>
                <w:szCs w:val="20"/>
              </w:rPr>
              <w:t xml:space="preserve"> Danach dürf</w:t>
            </w:r>
            <w:r>
              <w:rPr>
                <w:sz w:val="20"/>
                <w:szCs w:val="20"/>
              </w:rPr>
              <w:t>t</w:t>
            </w:r>
            <w:r w:rsidRPr="00E50B51">
              <w:rPr>
                <w:sz w:val="20"/>
                <w:szCs w:val="20"/>
              </w:rPr>
              <w:t>en Bundesstaaten</w:t>
            </w:r>
            <w:r>
              <w:rPr>
                <w:sz w:val="20"/>
                <w:szCs w:val="20"/>
              </w:rPr>
              <w:t> </w:t>
            </w:r>
            <w:r w:rsidRPr="00E50B51">
              <w:rPr>
                <w:sz w:val="20"/>
                <w:szCs w:val="20"/>
              </w:rPr>
              <w:t>– hier Tennessee</w:t>
            </w:r>
            <w:r>
              <w:rPr>
                <w:sz w:val="20"/>
                <w:szCs w:val="20"/>
              </w:rPr>
              <w:t> </w:t>
            </w:r>
            <w:r w:rsidRPr="00E50B51">
              <w:rPr>
                <w:sz w:val="20"/>
                <w:szCs w:val="20"/>
              </w:rPr>
              <w:t>– auf Einzelgläubiger aus anderen Bundesstaaten</w:t>
            </w:r>
            <w:r>
              <w:rPr>
                <w:sz w:val="20"/>
                <w:szCs w:val="20"/>
              </w:rPr>
              <w:t> </w:t>
            </w:r>
            <w:r w:rsidRPr="00E50B51">
              <w:rPr>
                <w:sz w:val="20"/>
                <w:szCs w:val="20"/>
              </w:rPr>
              <w:t>– hier Ohio</w:t>
            </w:r>
            <w:r>
              <w:rPr>
                <w:sz w:val="20"/>
                <w:szCs w:val="20"/>
              </w:rPr>
              <w:t> </w:t>
            </w:r>
            <w:r w:rsidRPr="00E50B51">
              <w:rPr>
                <w:sz w:val="20"/>
                <w:szCs w:val="20"/>
              </w:rPr>
              <w:t>– kein Gesetz anwenden, welches nicht auch für Gläubiger aus dem eigenen Bundesstaat</w:t>
            </w:r>
            <w:r>
              <w:rPr>
                <w:sz w:val="20"/>
                <w:szCs w:val="20"/>
              </w:rPr>
              <w:t> </w:t>
            </w:r>
            <w:r w:rsidRPr="00E50B51">
              <w:rPr>
                <w:sz w:val="20"/>
                <w:szCs w:val="20"/>
              </w:rPr>
              <w:t>– hier Tennessee</w:t>
            </w:r>
            <w:r>
              <w:rPr>
                <w:sz w:val="20"/>
                <w:szCs w:val="20"/>
              </w:rPr>
              <w:t> </w:t>
            </w:r>
            <w:r w:rsidRPr="00E50B51">
              <w:rPr>
                <w:sz w:val="20"/>
                <w:szCs w:val="20"/>
              </w:rPr>
              <w:t>– gelte. Das war aber der Fall</w:t>
            </w:r>
            <w:r>
              <w:rPr>
                <w:sz w:val="20"/>
                <w:szCs w:val="20"/>
              </w:rPr>
              <w:t>, w</w:t>
            </w:r>
            <w:r w:rsidRPr="00E50B51">
              <w:rPr>
                <w:sz w:val="20"/>
                <w:szCs w:val="20"/>
              </w:rPr>
              <w:t xml:space="preserve">eshalb das Gesetz verfassungswidrig sei. Indes </w:t>
            </w:r>
            <w:r>
              <w:rPr>
                <w:sz w:val="20"/>
                <w:szCs w:val="20"/>
              </w:rPr>
              <w:t>schloss der U.S. Supreme Court das Urteil mit der Konklusion:</w:t>
            </w:r>
            <w:r w:rsidRPr="00E50B51">
              <w:rPr>
                <w:sz w:val="20"/>
                <w:szCs w:val="20"/>
              </w:rPr>
              <w:t xml:space="preserve"> </w:t>
            </w:r>
            <w:r>
              <w:rPr>
                <w:sz w:val="20"/>
                <w:szCs w:val="20"/>
              </w:rPr>
              <w:t>D</w:t>
            </w:r>
            <w:r w:rsidRPr="00E50B51">
              <w:rPr>
                <w:sz w:val="20"/>
                <w:szCs w:val="20"/>
              </w:rPr>
              <w:t xml:space="preserve">as Unternehmen aus Virginia </w:t>
            </w:r>
            <w:r>
              <w:rPr>
                <w:sz w:val="20"/>
                <w:szCs w:val="20"/>
              </w:rPr>
              <w:t xml:space="preserve">falle </w:t>
            </w:r>
            <w:r w:rsidRPr="00E50B51">
              <w:rPr>
                <w:sz w:val="20"/>
                <w:szCs w:val="20"/>
              </w:rPr>
              <w:t xml:space="preserve">nicht unter die Vorrechte und </w:t>
            </w:r>
            <w:r>
              <w:rPr>
                <w:sz w:val="20"/>
                <w:szCs w:val="20"/>
              </w:rPr>
              <w:t>Immunitäten</w:t>
            </w:r>
            <w:r w:rsidRPr="00E50B51">
              <w:rPr>
                <w:sz w:val="20"/>
                <w:szCs w:val="20"/>
              </w:rPr>
              <w:t xml:space="preserve">, denn </w:t>
            </w:r>
            <w:r>
              <w:rPr>
                <w:sz w:val="20"/>
                <w:szCs w:val="20"/>
              </w:rPr>
              <w:t>es</w:t>
            </w:r>
            <w:r w:rsidRPr="00E50B51">
              <w:rPr>
                <w:sz w:val="20"/>
                <w:szCs w:val="20"/>
              </w:rPr>
              <w:t xml:space="preserve"> sei</w:t>
            </w:r>
            <w:r>
              <w:rPr>
                <w:sz w:val="20"/>
                <w:szCs w:val="20"/>
              </w:rPr>
              <w:t xml:space="preserve"> </w:t>
            </w:r>
            <w:r w:rsidRPr="00E50B51">
              <w:rPr>
                <w:sz w:val="20"/>
                <w:szCs w:val="20"/>
              </w:rPr>
              <w:t>nicht Bürger im Sinne des Wortlauts des Amendments.</w:t>
            </w:r>
            <w:r>
              <w:rPr>
                <w:sz w:val="20"/>
                <w:szCs w:val="20"/>
              </w:rPr>
              <w:t xml:space="preserve"> Nur die Einzelpersonen aus Ohio obsiegten.</w:t>
            </w:r>
          </w:p>
          <w:p w14:paraId="1C01E9C9" w14:textId="77777777" w:rsidR="00074551" w:rsidRPr="00E50B51" w:rsidRDefault="00074551" w:rsidP="00367133">
            <w:pPr>
              <w:jc w:val="both"/>
              <w:rPr>
                <w:sz w:val="20"/>
                <w:szCs w:val="20"/>
              </w:rPr>
            </w:pPr>
          </w:p>
        </w:tc>
        <w:tc>
          <w:tcPr>
            <w:tcW w:w="1822" w:type="pct"/>
          </w:tcPr>
          <w:p w14:paraId="10728DFA" w14:textId="142789A1"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urteilte, wenn ein Bundesstaat Bürger anderer Bundesstaaten beim Verteilungsverfahren einer insolventen Gesellschaft </w:t>
            </w:r>
            <w:r>
              <w:rPr>
                <w:sz w:val="20"/>
                <w:szCs w:val="20"/>
              </w:rPr>
              <w:t xml:space="preserve">aus einem anderen Bundesstaat </w:t>
            </w:r>
            <w:r w:rsidRPr="00E50B51">
              <w:rPr>
                <w:sz w:val="20"/>
                <w:szCs w:val="20"/>
              </w:rPr>
              <w:t xml:space="preserve">benachteilige, dann verstoße dies gegen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134532">
              <w:rPr>
                <w:sz w:val="20"/>
                <w:szCs w:val="20"/>
                <w:lang w:val="en-IE"/>
              </w:rPr>
              <w:t xml:space="preserve">, die sog. </w:t>
            </w:r>
            <w:r w:rsidRPr="00134532">
              <w:rPr>
                <w:i/>
                <w:sz w:val="20"/>
                <w:szCs w:val="20"/>
                <w:lang w:val="en-IE"/>
              </w:rPr>
              <w:t>Privileges and Immunities Clause</w:t>
            </w:r>
            <w:r w:rsidRPr="00134532">
              <w:rPr>
                <w:sz w:val="20"/>
                <w:szCs w:val="20"/>
                <w:lang w:val="en-IE"/>
              </w:rPr>
              <w:t xml:space="preserve">. </w:t>
            </w:r>
            <w:r w:rsidRPr="00E50B51">
              <w:rPr>
                <w:sz w:val="20"/>
                <w:szCs w:val="20"/>
              </w:rPr>
              <w:t>Der Verstoß lieg</w:t>
            </w:r>
            <w:r>
              <w:rPr>
                <w:sz w:val="20"/>
                <w:szCs w:val="20"/>
              </w:rPr>
              <w:t>e</w:t>
            </w:r>
            <w:r w:rsidRPr="00E50B51">
              <w:rPr>
                <w:sz w:val="20"/>
                <w:szCs w:val="20"/>
              </w:rPr>
              <w:t xml:space="preserve"> vor, obwohl dem Bundesstaat </w:t>
            </w:r>
            <w:r>
              <w:rPr>
                <w:sz w:val="20"/>
                <w:szCs w:val="20"/>
              </w:rPr>
              <w:t xml:space="preserve">grundsätzlich </w:t>
            </w:r>
            <w:r w:rsidRPr="00E50B51">
              <w:rPr>
                <w:sz w:val="20"/>
                <w:szCs w:val="20"/>
              </w:rPr>
              <w:t>die Kompetenz zukomm</w:t>
            </w:r>
            <w:r>
              <w:rPr>
                <w:sz w:val="20"/>
                <w:szCs w:val="20"/>
              </w:rPr>
              <w:t>e</w:t>
            </w:r>
            <w:r w:rsidRPr="00E50B51">
              <w:rPr>
                <w:sz w:val="20"/>
                <w:szCs w:val="20"/>
              </w:rPr>
              <w:t>, Voraussetzungen vorzugeben, unter denen ausländische Unternehmen sich auf seinem Gebiet niederlassen und wirtschaften dürfen. Denn eine solche Kompetenz m</w:t>
            </w:r>
            <w:r>
              <w:rPr>
                <w:sz w:val="20"/>
                <w:szCs w:val="20"/>
              </w:rPr>
              <w:t xml:space="preserve">üsse </w:t>
            </w:r>
            <w:r w:rsidRPr="00E50B51">
              <w:rPr>
                <w:sz w:val="20"/>
                <w:szCs w:val="20"/>
              </w:rPr>
              <w:t>sich im bundesrechtlichen Rahmen bewegen („</w:t>
            </w:r>
            <w:proofErr w:type="spellStart"/>
            <w:r w:rsidRPr="00E50B51">
              <w:rPr>
                <w:sz w:val="20"/>
                <w:szCs w:val="20"/>
              </w:rPr>
              <w:t>supreme</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 xml:space="preserve"> of the </w:t>
            </w:r>
            <w:proofErr w:type="spellStart"/>
            <w:r w:rsidRPr="00E50B51">
              <w:rPr>
                <w:sz w:val="20"/>
                <w:szCs w:val="20"/>
              </w:rPr>
              <w:t>land</w:t>
            </w:r>
            <w:proofErr w:type="spellEnd"/>
            <w:r w:rsidRPr="00E50B51">
              <w:rPr>
                <w:sz w:val="20"/>
                <w:szCs w:val="20"/>
              </w:rPr>
              <w:t>.“</w:t>
            </w:r>
            <w:r w:rsidRPr="00E50B51">
              <w:rPr>
                <w:rStyle w:val="Funotenzeichen"/>
                <w:rFonts w:eastAsiaTheme="majorEastAsia"/>
                <w:sz w:val="20"/>
                <w:szCs w:val="20"/>
              </w:rPr>
              <w:footnoteReference w:id="296"/>
            </w:r>
            <w:r w:rsidRPr="00E50B51">
              <w:rPr>
                <w:sz w:val="20"/>
                <w:szCs w:val="20"/>
              </w:rPr>
              <w:t xml:space="preserve">). Im Fall </w:t>
            </w:r>
            <w:r>
              <w:rPr>
                <w:sz w:val="20"/>
                <w:szCs w:val="20"/>
              </w:rPr>
              <w:t>müsse</w:t>
            </w:r>
            <w:r w:rsidRPr="00E50B51">
              <w:rPr>
                <w:sz w:val="20"/>
                <w:szCs w:val="20"/>
              </w:rPr>
              <w:t xml:space="preserve"> der Bundesstaat die gleichen grundlegenden Vorrechte und </w:t>
            </w:r>
            <w:r>
              <w:rPr>
                <w:sz w:val="20"/>
                <w:szCs w:val="20"/>
              </w:rPr>
              <w:t>Immunitäten</w:t>
            </w:r>
            <w:r w:rsidRPr="00E50B51">
              <w:rPr>
                <w:sz w:val="20"/>
                <w:szCs w:val="20"/>
              </w:rPr>
              <w:t xml:space="preserve"> gewähren, die</w:t>
            </w:r>
            <w:r>
              <w:rPr>
                <w:sz w:val="20"/>
                <w:szCs w:val="20"/>
              </w:rPr>
              <w:t>s gebe</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E50B51">
              <w:rPr>
                <w:sz w:val="20"/>
                <w:szCs w:val="20"/>
              </w:rPr>
              <w:t xml:space="preserve"> vo</w:t>
            </w:r>
            <w:r>
              <w:rPr>
                <w:sz w:val="20"/>
                <w:szCs w:val="20"/>
              </w:rPr>
              <w:t>r</w:t>
            </w:r>
            <w:r w:rsidRPr="00E50B51">
              <w:rPr>
                <w:sz w:val="20"/>
                <w:szCs w:val="20"/>
              </w:rPr>
              <w:t xml:space="preserve">. Im Rahmen dieser Verfassungsvorgabe </w:t>
            </w:r>
            <w:r>
              <w:rPr>
                <w:sz w:val="20"/>
                <w:szCs w:val="20"/>
              </w:rPr>
              <w:t>müsse</w:t>
            </w:r>
            <w:r w:rsidRPr="00E50B51">
              <w:rPr>
                <w:sz w:val="20"/>
                <w:szCs w:val="20"/>
              </w:rPr>
              <w:t xml:space="preserve"> sich bundesstaatliche Kompetenzausübung bewegen. Eine Ausprägung dieser Verfassungsvorgabe sei, Bürgern anderer Bundesstaaten die gleiche Freiheit zu sichern, die</w:t>
            </w:r>
            <w:r>
              <w:rPr>
                <w:sz w:val="20"/>
                <w:szCs w:val="20"/>
              </w:rPr>
              <w:t xml:space="preserve"> die eigenen</w:t>
            </w:r>
            <w:r w:rsidRPr="00E50B51">
              <w:rPr>
                <w:sz w:val="20"/>
                <w:szCs w:val="20"/>
              </w:rPr>
              <w:t xml:space="preserve"> Bürger beim Streben nach Glück besitzen.</w:t>
            </w:r>
            <w:r w:rsidRPr="00E50B51">
              <w:rPr>
                <w:rStyle w:val="Funotenzeichen"/>
                <w:rFonts w:eastAsiaTheme="majorEastAsia"/>
                <w:sz w:val="20"/>
                <w:szCs w:val="20"/>
              </w:rPr>
              <w:footnoteReference w:id="297"/>
            </w:r>
            <w:r w:rsidRPr="00E50B51">
              <w:rPr>
                <w:sz w:val="20"/>
                <w:szCs w:val="20"/>
              </w:rPr>
              <w:t xml:space="preserve"> Damit wirk</w:t>
            </w:r>
            <w:r>
              <w:rPr>
                <w:sz w:val="20"/>
                <w:szCs w:val="20"/>
              </w:rPr>
              <w:t>t</w:t>
            </w:r>
            <w:r w:rsidRPr="00E50B51">
              <w:rPr>
                <w:sz w:val="20"/>
                <w:szCs w:val="20"/>
              </w:rPr>
              <w:t>en die Bedingungen für Glücksstreben als Rahmen für bundesstaatliches Recht.</w:t>
            </w:r>
          </w:p>
        </w:tc>
      </w:tr>
      <w:tr w:rsidR="00074551" w:rsidRPr="00E50B51" w14:paraId="72E478F8" w14:textId="77777777" w:rsidTr="00BE689F">
        <w:trPr>
          <w:cantSplit/>
          <w:trHeight w:val="3175"/>
        </w:trPr>
        <w:tc>
          <w:tcPr>
            <w:tcW w:w="293" w:type="pct"/>
          </w:tcPr>
          <w:p w14:paraId="1F3239CA"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4DFC5E9" w14:textId="77777777" w:rsidR="00074551" w:rsidRPr="00B45592" w:rsidRDefault="00074551" w:rsidP="00367133">
            <w:pPr>
              <w:ind w:left="113" w:right="113"/>
              <w:jc w:val="both"/>
              <w:rPr>
                <w:i/>
                <w:sz w:val="20"/>
                <w:szCs w:val="20"/>
                <w:lang w:val="en-US"/>
              </w:rPr>
            </w:pPr>
            <w:r w:rsidRPr="00B45592">
              <w:rPr>
                <w:i/>
                <w:sz w:val="20"/>
                <w:szCs w:val="20"/>
                <w:lang w:val="en-US"/>
              </w:rPr>
              <w:t>Chambers v. Baltimore &amp; O. R. Co.</w:t>
            </w:r>
          </w:p>
        </w:tc>
        <w:tc>
          <w:tcPr>
            <w:tcW w:w="197" w:type="pct"/>
            <w:textDirection w:val="tbRl"/>
            <w:vAlign w:val="center"/>
          </w:tcPr>
          <w:p w14:paraId="77B85914" w14:textId="77777777" w:rsidR="00074551" w:rsidRPr="00E50B51" w:rsidRDefault="00074551" w:rsidP="00367133">
            <w:pPr>
              <w:ind w:left="113" w:right="113"/>
              <w:jc w:val="both"/>
              <w:rPr>
                <w:sz w:val="20"/>
                <w:szCs w:val="20"/>
                <w:lang w:val="en-US"/>
              </w:rPr>
            </w:pPr>
            <w:r w:rsidRPr="00E50B51">
              <w:rPr>
                <w:sz w:val="20"/>
                <w:szCs w:val="20"/>
                <w:lang w:val="en-US"/>
              </w:rPr>
              <w:t>207 U.S. 142</w:t>
            </w:r>
          </w:p>
        </w:tc>
        <w:tc>
          <w:tcPr>
            <w:tcW w:w="306" w:type="pct"/>
            <w:textDirection w:val="tbRl"/>
            <w:vAlign w:val="center"/>
          </w:tcPr>
          <w:p w14:paraId="763E4182" w14:textId="77777777" w:rsidR="00074551" w:rsidRPr="00E50B51" w:rsidRDefault="00074551" w:rsidP="00367133">
            <w:pPr>
              <w:ind w:left="113" w:right="113"/>
              <w:jc w:val="both"/>
              <w:rPr>
                <w:sz w:val="20"/>
                <w:szCs w:val="20"/>
              </w:rPr>
            </w:pPr>
            <w:r w:rsidRPr="00E50B51">
              <w:rPr>
                <w:sz w:val="20"/>
                <w:szCs w:val="20"/>
              </w:rPr>
              <w:t>18. November 1907</w:t>
            </w:r>
          </w:p>
        </w:tc>
        <w:tc>
          <w:tcPr>
            <w:tcW w:w="401" w:type="pct"/>
          </w:tcPr>
          <w:p w14:paraId="4D6411FC"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3F7A53D0" w14:textId="77777777" w:rsidR="00074551" w:rsidRDefault="00074551" w:rsidP="00367133">
            <w:pPr>
              <w:jc w:val="both"/>
              <w:rPr>
                <w:sz w:val="20"/>
                <w:szCs w:val="20"/>
              </w:rPr>
            </w:pPr>
            <w:r w:rsidRPr="00E50B51">
              <w:rPr>
                <w:sz w:val="20"/>
                <w:szCs w:val="20"/>
              </w:rPr>
              <w:t xml:space="preserve">Im Fall bestätige der </w:t>
            </w:r>
            <w:r>
              <w:rPr>
                <w:sz w:val="20"/>
                <w:szCs w:val="20"/>
              </w:rPr>
              <w:t>U.S. Supreme Court</w:t>
            </w:r>
            <w:r w:rsidRPr="00E50B51">
              <w:rPr>
                <w:sz w:val="20"/>
                <w:szCs w:val="20"/>
              </w:rPr>
              <w:t xml:space="preserve"> das Urteil des </w:t>
            </w:r>
            <w:r w:rsidRPr="00B45592">
              <w:rPr>
                <w:i/>
                <w:sz w:val="20"/>
                <w:szCs w:val="20"/>
              </w:rPr>
              <w:t>Supreme Court of Ohio</w:t>
            </w:r>
            <w:r w:rsidRPr="00E50B51">
              <w:rPr>
                <w:sz w:val="20"/>
                <w:szCs w:val="20"/>
              </w:rPr>
              <w:t>, das die Klage einer Witwe aus Pennsylvania abwies. Die</w:t>
            </w:r>
            <w:r>
              <w:rPr>
                <w:sz w:val="20"/>
                <w:szCs w:val="20"/>
              </w:rPr>
              <w:t>se</w:t>
            </w:r>
            <w:r w:rsidRPr="00E50B51">
              <w:rPr>
                <w:sz w:val="20"/>
                <w:szCs w:val="20"/>
              </w:rPr>
              <w:t xml:space="preserve"> hatte Schadensersatz gefordert wegen des Todes ihres bei der Arbeit in </w:t>
            </w:r>
            <w:r>
              <w:rPr>
                <w:sz w:val="20"/>
                <w:szCs w:val="20"/>
              </w:rPr>
              <w:t>Pennsylvania</w:t>
            </w:r>
            <w:r w:rsidRPr="00E50B51">
              <w:rPr>
                <w:sz w:val="20"/>
                <w:szCs w:val="20"/>
              </w:rPr>
              <w:t xml:space="preserve"> verstorbenen Mannes</w:t>
            </w:r>
            <w:r>
              <w:rPr>
                <w:sz w:val="20"/>
                <w:szCs w:val="20"/>
              </w:rPr>
              <w:t>, eines</w:t>
            </w:r>
            <w:r w:rsidRPr="00E50B51">
              <w:rPr>
                <w:sz w:val="20"/>
                <w:szCs w:val="20"/>
              </w:rPr>
              <w:t xml:space="preserve"> </w:t>
            </w:r>
            <w:r>
              <w:rPr>
                <w:sz w:val="20"/>
                <w:szCs w:val="20"/>
              </w:rPr>
              <w:t>Eisenbahnangestellten</w:t>
            </w:r>
            <w:r w:rsidRPr="00E50B51">
              <w:rPr>
                <w:sz w:val="20"/>
                <w:szCs w:val="20"/>
              </w:rPr>
              <w:t>. Beklagter war</w:t>
            </w:r>
            <w:r>
              <w:rPr>
                <w:sz w:val="20"/>
                <w:szCs w:val="20"/>
              </w:rPr>
              <w:t xml:space="preserve"> entsprechend</w:t>
            </w:r>
            <w:r w:rsidRPr="00E50B51">
              <w:rPr>
                <w:sz w:val="20"/>
                <w:szCs w:val="20"/>
              </w:rPr>
              <w:t xml:space="preserve"> das Eisenbahnunternehmen</w:t>
            </w:r>
            <w:r>
              <w:rPr>
                <w:sz w:val="20"/>
                <w:szCs w:val="20"/>
              </w:rPr>
              <w:t xml:space="preserve"> aus Ohio</w:t>
            </w:r>
            <w:r w:rsidRPr="00E50B51">
              <w:rPr>
                <w:sz w:val="20"/>
                <w:szCs w:val="20"/>
              </w:rPr>
              <w:t>. Zum Zeitpunkt des Unfall</w:t>
            </w:r>
            <w:r>
              <w:rPr>
                <w:sz w:val="20"/>
                <w:szCs w:val="20"/>
              </w:rPr>
              <w:t xml:space="preserve">todes </w:t>
            </w:r>
            <w:r w:rsidRPr="00E50B51">
              <w:rPr>
                <w:sz w:val="20"/>
                <w:szCs w:val="20"/>
              </w:rPr>
              <w:t xml:space="preserve">waren die Klägerin und ihr Ehemann Bürger Pennsylvanias. Der </w:t>
            </w:r>
            <w:r>
              <w:rPr>
                <w:sz w:val="20"/>
                <w:szCs w:val="20"/>
              </w:rPr>
              <w:t>U.S. Supreme Court</w:t>
            </w:r>
            <w:r w:rsidRPr="00E50B51">
              <w:rPr>
                <w:sz w:val="20"/>
                <w:szCs w:val="20"/>
              </w:rPr>
              <w:t xml:space="preserve"> entschied, dass Kläger, </w:t>
            </w:r>
            <w:r>
              <w:rPr>
                <w:sz w:val="20"/>
                <w:szCs w:val="20"/>
              </w:rPr>
              <w:t xml:space="preserve">welche </w:t>
            </w:r>
            <w:r w:rsidRPr="00E50B51">
              <w:rPr>
                <w:sz w:val="20"/>
                <w:szCs w:val="20"/>
              </w:rPr>
              <w:t>Hinterbliebene</w:t>
            </w:r>
            <w:r>
              <w:rPr>
                <w:sz w:val="20"/>
                <w:szCs w:val="20"/>
              </w:rPr>
              <w:t xml:space="preserve"> sind, </w:t>
            </w:r>
            <w:r w:rsidRPr="00E50B51">
              <w:rPr>
                <w:sz w:val="20"/>
                <w:szCs w:val="20"/>
              </w:rPr>
              <w:t xml:space="preserve">die Gerichte von Ohio bei widerrechtlicher Tötung </w:t>
            </w:r>
            <w:r>
              <w:rPr>
                <w:sz w:val="20"/>
                <w:szCs w:val="20"/>
              </w:rPr>
              <w:t xml:space="preserve">in einem anderen Bundesstaat </w:t>
            </w:r>
            <w:r w:rsidRPr="00E50B51">
              <w:rPr>
                <w:sz w:val="20"/>
                <w:szCs w:val="20"/>
              </w:rPr>
              <w:t xml:space="preserve">anrufen können, soweit der Verstorbene ein Bürger Ohios war. Aber wenn der Verstorbene ein Bürger eines anderen Bundesstaates war, seien die Gerichte von Ohio nicht zuständig. Damit diskriminiere der Bundesstaat Ohio </w:t>
            </w:r>
            <w:r>
              <w:rPr>
                <w:sz w:val="20"/>
                <w:szCs w:val="20"/>
              </w:rPr>
              <w:t xml:space="preserve">Kläger </w:t>
            </w:r>
            <w:r w:rsidRPr="00E50B51">
              <w:rPr>
                <w:sz w:val="20"/>
                <w:szCs w:val="20"/>
              </w:rPr>
              <w:t xml:space="preserve">nicht aufgrund der Staatsangehörigkeit. Denn er habe den Bürgern </w:t>
            </w:r>
            <w:r>
              <w:rPr>
                <w:sz w:val="20"/>
                <w:szCs w:val="20"/>
              </w:rPr>
              <w:t>aller Bundesstaaten</w:t>
            </w:r>
            <w:r w:rsidRPr="00E50B51">
              <w:rPr>
                <w:sz w:val="20"/>
                <w:szCs w:val="20"/>
              </w:rPr>
              <w:t xml:space="preserve"> genau die gleichen Vorrechte gewährt, die er auch seinen eigenen Bürgern </w:t>
            </w:r>
            <w:r w:rsidRPr="00B45592">
              <w:rPr>
                <w:sz w:val="20"/>
                <w:szCs w:val="20"/>
              </w:rPr>
              <w:t>gewähre</w:t>
            </w:r>
            <w:r>
              <w:rPr>
                <w:sz w:val="20"/>
                <w:szCs w:val="20"/>
              </w:rPr>
              <w:t>, hier die Anknüpfung an die Staatsbürgerschaft des Verstorbenen.</w:t>
            </w:r>
          </w:p>
          <w:p w14:paraId="1312D0D5" w14:textId="77777777" w:rsidR="00FE5F32" w:rsidRPr="00E50B51" w:rsidRDefault="00FE5F32" w:rsidP="00367133">
            <w:pPr>
              <w:jc w:val="both"/>
              <w:rPr>
                <w:sz w:val="20"/>
                <w:szCs w:val="20"/>
              </w:rPr>
            </w:pPr>
          </w:p>
        </w:tc>
        <w:tc>
          <w:tcPr>
            <w:tcW w:w="1822" w:type="pct"/>
          </w:tcPr>
          <w:p w14:paraId="53E23E84" w14:textId="4300B2A5" w:rsidR="00074551" w:rsidRPr="00E50B51" w:rsidRDefault="00074551" w:rsidP="00367133">
            <w:pPr>
              <w:jc w:val="both"/>
              <w:rPr>
                <w:sz w:val="20"/>
                <w:szCs w:val="20"/>
              </w:rPr>
            </w:pPr>
            <w:r w:rsidRPr="00E50B51">
              <w:rPr>
                <w:sz w:val="20"/>
                <w:szCs w:val="20"/>
              </w:rPr>
              <w:t xml:space="preserve">Anhand der Klausel zu </w:t>
            </w:r>
            <w:r>
              <w:rPr>
                <w:sz w:val="20"/>
                <w:szCs w:val="20"/>
              </w:rPr>
              <w:t xml:space="preserve">den </w:t>
            </w:r>
            <w:r w:rsidRPr="00E50B51">
              <w:rPr>
                <w:sz w:val="20"/>
                <w:szCs w:val="20"/>
              </w:rPr>
              <w:t xml:space="preserve">Vorrechten und </w:t>
            </w:r>
            <w:r>
              <w:rPr>
                <w:sz w:val="20"/>
                <w:szCs w:val="20"/>
              </w:rPr>
              <w:t>Immunitäten</w:t>
            </w:r>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E50B51">
              <w:rPr>
                <w:sz w:val="20"/>
                <w:szCs w:val="20"/>
              </w:rPr>
              <w:t xml:space="preserve"> erklärt der </w:t>
            </w:r>
            <w:r>
              <w:rPr>
                <w:sz w:val="20"/>
                <w:szCs w:val="20"/>
              </w:rPr>
              <w:t>U.S. Supreme Court</w:t>
            </w:r>
            <w:r w:rsidRPr="00E50B51">
              <w:rPr>
                <w:sz w:val="20"/>
                <w:szCs w:val="20"/>
              </w:rPr>
              <w:t xml:space="preserve"> die </w:t>
            </w:r>
            <w:r w:rsidRPr="00A142D9">
              <w:rPr>
                <w:i/>
                <w:sz w:val="20"/>
                <w:szCs w:val="20"/>
              </w:rPr>
              <w:t xml:space="preserve">Supremacy </w:t>
            </w:r>
            <w:proofErr w:type="spellStart"/>
            <w:r w:rsidRPr="00A142D9">
              <w:rPr>
                <w:i/>
                <w:sz w:val="20"/>
                <w:szCs w:val="20"/>
              </w:rPr>
              <w:t>Clause</w:t>
            </w:r>
            <w:proofErr w:type="spellEnd"/>
            <w:r w:rsidRPr="00E50B51">
              <w:rPr>
                <w:sz w:val="20"/>
                <w:szCs w:val="20"/>
              </w:rPr>
              <w:t xml:space="preserve">. Zunächst gibt der </w:t>
            </w:r>
            <w:r>
              <w:rPr>
                <w:sz w:val="20"/>
                <w:szCs w:val="20"/>
              </w:rPr>
              <w:t>U.S. Supreme Court</w:t>
            </w:r>
            <w:r w:rsidRPr="00E50B51">
              <w:rPr>
                <w:sz w:val="20"/>
                <w:szCs w:val="20"/>
              </w:rPr>
              <w:t xml:space="preserve"> zu den Vorrechten und </w:t>
            </w:r>
            <w:r>
              <w:rPr>
                <w:sz w:val="20"/>
                <w:szCs w:val="20"/>
              </w:rPr>
              <w:t>Immunitäten</w:t>
            </w:r>
            <w:r w:rsidRPr="00E50B51">
              <w:rPr>
                <w:sz w:val="20"/>
                <w:szCs w:val="20"/>
              </w:rPr>
              <w:t xml:space="preserve"> vor, </w:t>
            </w:r>
            <w:r>
              <w:rPr>
                <w:sz w:val="20"/>
                <w:szCs w:val="20"/>
              </w:rPr>
              <w:t xml:space="preserve">dass </w:t>
            </w:r>
            <w:r w:rsidRPr="00E50B51">
              <w:rPr>
                <w:sz w:val="20"/>
                <w:szCs w:val="20"/>
              </w:rPr>
              <w:t>staatliche Maßnahme</w:t>
            </w:r>
            <w:r>
              <w:rPr>
                <w:sz w:val="20"/>
                <w:szCs w:val="20"/>
              </w:rPr>
              <w:t>n</w:t>
            </w:r>
            <w:r w:rsidRPr="00E50B51">
              <w:rPr>
                <w:sz w:val="20"/>
                <w:szCs w:val="20"/>
              </w:rPr>
              <w:t xml:space="preserve"> eines Bundesstaats sich in gleicher </w:t>
            </w:r>
            <w:r w:rsidRPr="00C006C4">
              <w:rPr>
                <w:sz w:val="20"/>
                <w:szCs w:val="20"/>
              </w:rPr>
              <w:t>Weise auf seine eigenen Bürger und die Bürger anderer Bundesstaat</w:t>
            </w:r>
            <w:r>
              <w:rPr>
                <w:sz w:val="20"/>
                <w:szCs w:val="20"/>
              </w:rPr>
              <w:t>en</w:t>
            </w:r>
            <w:r w:rsidRPr="00C006C4">
              <w:rPr>
                <w:sz w:val="20"/>
                <w:szCs w:val="20"/>
              </w:rPr>
              <w:t xml:space="preserve"> auszuwirken haben. </w:t>
            </w:r>
            <w:r w:rsidRPr="00E50B51">
              <w:rPr>
                <w:sz w:val="20"/>
                <w:szCs w:val="20"/>
              </w:rPr>
              <w:t xml:space="preserve">Wenn ein Bundesstaat seinen Bürgern Vorrechte gewähre, dann </w:t>
            </w:r>
            <w:r>
              <w:rPr>
                <w:sz w:val="20"/>
                <w:szCs w:val="20"/>
              </w:rPr>
              <w:t>müsse</w:t>
            </w:r>
            <w:r w:rsidRPr="00E50B51">
              <w:rPr>
                <w:sz w:val="20"/>
                <w:szCs w:val="20"/>
              </w:rPr>
              <w:t xml:space="preserve"> er diese Vorrechte auch Bürgern anderer Bundesstaaten gewähren. Zum Beispiel</w:t>
            </w:r>
            <w:r>
              <w:rPr>
                <w:sz w:val="20"/>
                <w:szCs w:val="20"/>
              </w:rPr>
              <w:t xml:space="preserve"> sei</w:t>
            </w:r>
            <w:r w:rsidRPr="00E50B51">
              <w:rPr>
                <w:sz w:val="20"/>
                <w:szCs w:val="20"/>
              </w:rPr>
              <w:t xml:space="preserve"> jedes Gesetz, das den eigenen Bürgern ein Klagerecht gebe und es Bürgern anderer Bundesstaaten vorenthalte, verfassungswidrig. Denn es widerspreche höherrangige</w:t>
            </w:r>
            <w:r>
              <w:rPr>
                <w:sz w:val="20"/>
                <w:szCs w:val="20"/>
              </w:rPr>
              <w:t>n</w:t>
            </w:r>
            <w:r w:rsidRPr="00E50B51">
              <w:rPr>
                <w:sz w:val="20"/>
                <w:szCs w:val="20"/>
              </w:rPr>
              <w:t xml:space="preserve"> Rechte</w:t>
            </w:r>
            <w:r>
              <w:rPr>
                <w:sz w:val="20"/>
                <w:szCs w:val="20"/>
              </w:rPr>
              <w:t>n</w:t>
            </w:r>
            <w:r w:rsidRPr="00E50B51">
              <w:rPr>
                <w:sz w:val="20"/>
                <w:szCs w:val="20"/>
              </w:rPr>
              <w:t xml:space="preserve"> („</w:t>
            </w:r>
            <w:proofErr w:type="spellStart"/>
            <w:r w:rsidRPr="00E50B51">
              <w:rPr>
                <w:sz w:val="20"/>
                <w:szCs w:val="20"/>
              </w:rPr>
              <w:t>supreme</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 xml:space="preserve"> of the </w:t>
            </w:r>
            <w:proofErr w:type="spellStart"/>
            <w:r w:rsidRPr="00E50B51">
              <w:rPr>
                <w:sz w:val="20"/>
                <w:szCs w:val="20"/>
              </w:rPr>
              <w:t>land</w:t>
            </w:r>
            <w:proofErr w:type="spellEnd"/>
            <w:r w:rsidRPr="00E50B51">
              <w:rPr>
                <w:sz w:val="20"/>
                <w:szCs w:val="20"/>
              </w:rPr>
              <w:t>“</w:t>
            </w:r>
            <w:r w:rsidRPr="00E50B51">
              <w:rPr>
                <w:rStyle w:val="Funotenzeichen"/>
                <w:rFonts w:eastAsiaTheme="majorEastAsia"/>
                <w:sz w:val="20"/>
                <w:szCs w:val="20"/>
              </w:rPr>
              <w:footnoteReference w:id="298"/>
            </w:r>
            <w:r w:rsidRPr="00E50B51">
              <w:rPr>
                <w:sz w:val="20"/>
                <w:szCs w:val="20"/>
              </w:rPr>
              <w:t>). Dabei bilde</w:t>
            </w:r>
            <w:r>
              <w:rPr>
                <w:sz w:val="20"/>
                <w:szCs w:val="20"/>
              </w:rPr>
              <w:t>te</w:t>
            </w:r>
            <w:r w:rsidRPr="00E50B51">
              <w:rPr>
                <w:sz w:val="20"/>
                <w:szCs w:val="20"/>
              </w:rPr>
              <w:t xml:space="preserve">n verschiedene Verfassungsbestimmungen den Maßstab, wie weit Vorrechte und </w:t>
            </w:r>
            <w:r>
              <w:rPr>
                <w:sz w:val="20"/>
                <w:szCs w:val="20"/>
              </w:rPr>
              <w:t>Immunitäten</w:t>
            </w:r>
            <w:r w:rsidRPr="00E50B51">
              <w:rPr>
                <w:sz w:val="20"/>
                <w:szCs w:val="20"/>
              </w:rPr>
              <w:t xml:space="preserve"> im Rahmen d</w:t>
            </w:r>
            <w:r>
              <w:rPr>
                <w:sz w:val="20"/>
                <w:szCs w:val="20"/>
              </w:rPr>
              <w:t>ieses</w:t>
            </w:r>
            <w:r w:rsidRPr="00E50B51">
              <w:rPr>
                <w:sz w:val="20"/>
                <w:szCs w:val="20"/>
              </w:rPr>
              <w:t xml:space="preserve"> höherrangigen Rechts gleichzustellen sind. Ein Maßstab lautet</w:t>
            </w:r>
            <w:r>
              <w:rPr>
                <w:sz w:val="20"/>
                <w:szCs w:val="20"/>
              </w:rPr>
              <w:t>,</w:t>
            </w:r>
            <w:r w:rsidRPr="00E50B51">
              <w:rPr>
                <w:sz w:val="20"/>
                <w:szCs w:val="20"/>
              </w:rPr>
              <w:t xml:space="preserve"> Bürgern anderer Bundesstaaten die gleiche Freiheit zu sichern, die</w:t>
            </w:r>
            <w:r>
              <w:rPr>
                <w:sz w:val="20"/>
                <w:szCs w:val="20"/>
              </w:rPr>
              <w:t xml:space="preserve"> eigene</w:t>
            </w:r>
            <w:r w:rsidRPr="00E50B51">
              <w:rPr>
                <w:sz w:val="20"/>
                <w:szCs w:val="20"/>
              </w:rPr>
              <w:t xml:space="preserve"> Bürger beim Streben nach Glück besitzen.</w:t>
            </w:r>
            <w:r w:rsidRPr="00E50B51">
              <w:rPr>
                <w:rStyle w:val="Funotenzeichen"/>
                <w:rFonts w:eastAsiaTheme="majorEastAsia"/>
                <w:sz w:val="20"/>
                <w:szCs w:val="20"/>
              </w:rPr>
              <w:footnoteReference w:id="299"/>
            </w:r>
          </w:p>
          <w:p w14:paraId="29851E34" w14:textId="77777777" w:rsidR="00074551" w:rsidRPr="00E50B51" w:rsidRDefault="00074551" w:rsidP="00367133">
            <w:pPr>
              <w:jc w:val="both"/>
              <w:rPr>
                <w:sz w:val="20"/>
                <w:szCs w:val="20"/>
              </w:rPr>
            </w:pPr>
          </w:p>
        </w:tc>
      </w:tr>
      <w:tr w:rsidR="00074551" w:rsidRPr="002E1085" w14:paraId="45EB31E1" w14:textId="77777777" w:rsidTr="00BE689F">
        <w:trPr>
          <w:cantSplit/>
          <w:trHeight w:val="3175"/>
        </w:trPr>
        <w:tc>
          <w:tcPr>
            <w:tcW w:w="293" w:type="pct"/>
          </w:tcPr>
          <w:p w14:paraId="4201B84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70680AF" w14:textId="77777777" w:rsidR="00074551" w:rsidRPr="00B45592" w:rsidRDefault="00074551" w:rsidP="00367133">
            <w:pPr>
              <w:ind w:left="113" w:right="416"/>
              <w:jc w:val="both"/>
              <w:rPr>
                <w:i/>
                <w:sz w:val="20"/>
                <w:szCs w:val="20"/>
              </w:rPr>
            </w:pPr>
            <w:r w:rsidRPr="00A15962">
              <w:rPr>
                <w:i/>
                <w:sz w:val="20"/>
                <w:szCs w:val="20"/>
                <w:lang w:val="en-US"/>
              </w:rPr>
              <w:t>Powell v. Pennsylvania</w:t>
            </w:r>
          </w:p>
        </w:tc>
        <w:tc>
          <w:tcPr>
            <w:tcW w:w="197" w:type="pct"/>
            <w:textDirection w:val="tbRl"/>
            <w:vAlign w:val="center"/>
          </w:tcPr>
          <w:p w14:paraId="2F83A912" w14:textId="77777777" w:rsidR="00074551" w:rsidRPr="00E50B51" w:rsidRDefault="00074551" w:rsidP="00367133">
            <w:pPr>
              <w:ind w:left="113" w:right="113"/>
              <w:jc w:val="both"/>
              <w:rPr>
                <w:sz w:val="20"/>
                <w:szCs w:val="20"/>
              </w:rPr>
            </w:pPr>
            <w:r w:rsidRPr="00E50B51">
              <w:rPr>
                <w:sz w:val="20"/>
                <w:szCs w:val="20"/>
                <w:lang w:val="en-US"/>
              </w:rPr>
              <w:t>127 U.S. 678</w:t>
            </w:r>
          </w:p>
        </w:tc>
        <w:tc>
          <w:tcPr>
            <w:tcW w:w="306" w:type="pct"/>
            <w:textDirection w:val="tbRl"/>
            <w:vAlign w:val="center"/>
          </w:tcPr>
          <w:p w14:paraId="68F9D5CD" w14:textId="77777777" w:rsidR="00074551" w:rsidRPr="00E50B51" w:rsidRDefault="00074551" w:rsidP="00367133">
            <w:pPr>
              <w:ind w:left="113" w:right="113"/>
              <w:jc w:val="both"/>
              <w:rPr>
                <w:sz w:val="20"/>
                <w:szCs w:val="20"/>
              </w:rPr>
            </w:pPr>
            <w:r w:rsidRPr="00E50B51">
              <w:rPr>
                <w:sz w:val="20"/>
                <w:szCs w:val="20"/>
              </w:rPr>
              <w:t>9. April 1888</w:t>
            </w:r>
          </w:p>
        </w:tc>
        <w:tc>
          <w:tcPr>
            <w:tcW w:w="401" w:type="pct"/>
          </w:tcPr>
          <w:p w14:paraId="538C1780" w14:textId="77777777" w:rsidR="00074551" w:rsidRPr="00E50B51" w:rsidRDefault="00074551" w:rsidP="00367133">
            <w:pPr>
              <w:jc w:val="center"/>
              <w:rPr>
                <w:sz w:val="20"/>
                <w:szCs w:val="20"/>
              </w:rPr>
            </w:pPr>
            <w:r w:rsidRPr="00E50B51">
              <w:rPr>
                <w:sz w:val="20"/>
                <w:szCs w:val="20"/>
              </w:rPr>
              <w:t>D</w:t>
            </w:r>
          </w:p>
        </w:tc>
        <w:tc>
          <w:tcPr>
            <w:tcW w:w="1594" w:type="pct"/>
          </w:tcPr>
          <w:p w14:paraId="406E7745" w14:textId="0272835C"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ein </w:t>
            </w:r>
            <w:proofErr w:type="spellStart"/>
            <w:r w:rsidRPr="00E50B51">
              <w:rPr>
                <w:sz w:val="20"/>
                <w:szCs w:val="20"/>
              </w:rPr>
              <w:t>unterinstanzielles</w:t>
            </w:r>
            <w:proofErr w:type="spellEnd"/>
            <w:r w:rsidRPr="00E50B51">
              <w:rPr>
                <w:sz w:val="20"/>
                <w:szCs w:val="20"/>
              </w:rPr>
              <w:t xml:space="preserve"> Urteil, nach welchem der Angeklagte verurteilt </w:t>
            </w:r>
            <w:r>
              <w:rPr>
                <w:sz w:val="20"/>
                <w:szCs w:val="20"/>
              </w:rPr>
              <w:t>worden war</w:t>
            </w:r>
            <w:r w:rsidRPr="00E50B51">
              <w:rPr>
                <w:sz w:val="20"/>
                <w:szCs w:val="20"/>
              </w:rPr>
              <w:t>. Er hatte entgegen einem Gesetz</w:t>
            </w:r>
            <w:r>
              <w:rPr>
                <w:sz w:val="20"/>
                <w:szCs w:val="20"/>
              </w:rPr>
              <w:t xml:space="preserve">, hier </w:t>
            </w:r>
            <w:bookmarkStart w:id="28" w:name="_Hlk230003775"/>
            <w:r w:rsidRPr="00E50B51">
              <w:rPr>
                <w:sz w:val="20"/>
                <w:szCs w:val="20"/>
              </w:rPr>
              <w:t xml:space="preserve">1885 </w:t>
            </w:r>
            <w:proofErr w:type="spellStart"/>
            <w:r w:rsidRPr="00E50B51">
              <w:rPr>
                <w:sz w:val="20"/>
                <w:szCs w:val="20"/>
              </w:rPr>
              <w:t>Pa</w:t>
            </w:r>
            <w:proofErr w:type="spellEnd"/>
            <w:r w:rsidRPr="00E50B51">
              <w:rPr>
                <w:sz w:val="20"/>
                <w:szCs w:val="20"/>
              </w:rPr>
              <w:t>. Laws 25</w:t>
            </w:r>
            <w:bookmarkEnd w:id="28"/>
            <w:r>
              <w:rPr>
                <w:sz w:val="20"/>
                <w:szCs w:val="20"/>
              </w:rPr>
              <w:t>,</w:t>
            </w:r>
            <w:r>
              <w:rPr>
                <w:rStyle w:val="Funotenzeichen"/>
                <w:sz w:val="20"/>
                <w:szCs w:val="20"/>
              </w:rPr>
              <w:footnoteReference w:id="300"/>
            </w:r>
            <w:r>
              <w:rPr>
                <w:sz w:val="20"/>
                <w:szCs w:val="20"/>
              </w:rPr>
              <w:t xml:space="preserve"> </w:t>
            </w:r>
            <w:proofErr w:type="spellStart"/>
            <w:r w:rsidRPr="00E50B51">
              <w:rPr>
                <w:sz w:val="20"/>
                <w:szCs w:val="20"/>
              </w:rPr>
              <w:t>Oleomargarine</w:t>
            </w:r>
            <w:proofErr w:type="spellEnd"/>
            <w:r w:rsidRPr="00E50B51">
              <w:rPr>
                <w:sz w:val="20"/>
                <w:szCs w:val="20"/>
              </w:rPr>
              <w:t xml:space="preserve"> als Butterimitat in seinem Besitz gehabt und </w:t>
            </w:r>
            <w:r>
              <w:rPr>
                <w:sz w:val="20"/>
                <w:szCs w:val="20"/>
              </w:rPr>
              <w:t xml:space="preserve">diese </w:t>
            </w:r>
            <w:r w:rsidRPr="00E50B51">
              <w:rPr>
                <w:sz w:val="20"/>
                <w:szCs w:val="20"/>
              </w:rPr>
              <w:t xml:space="preserve">verkauft. Zwar berief sich der Kläger darauf, ein Nahrungsmittel erfunden zu haben, welches das Gesetz </w:t>
            </w:r>
            <w:r>
              <w:rPr>
                <w:sz w:val="20"/>
                <w:szCs w:val="20"/>
              </w:rPr>
              <w:t xml:space="preserve">dann </w:t>
            </w:r>
            <w:r w:rsidRPr="00E50B51">
              <w:rPr>
                <w:sz w:val="20"/>
                <w:szCs w:val="20"/>
              </w:rPr>
              <w:t>nicht pönalisier</w:t>
            </w:r>
            <w:r>
              <w:rPr>
                <w:sz w:val="20"/>
                <w:szCs w:val="20"/>
              </w:rPr>
              <w:t>t hätte</w:t>
            </w:r>
            <w:r w:rsidRPr="00E50B51">
              <w:rPr>
                <w:sz w:val="20"/>
                <w:szCs w:val="20"/>
              </w:rPr>
              <w:t xml:space="preserve">. Aber er erbrachte keinen Beweis dafür. Vielmehr </w:t>
            </w:r>
            <w:r>
              <w:rPr>
                <w:sz w:val="20"/>
                <w:szCs w:val="20"/>
              </w:rPr>
              <w:t>habe</w:t>
            </w:r>
            <w:r w:rsidRPr="00E50B51">
              <w:rPr>
                <w:sz w:val="20"/>
                <w:szCs w:val="20"/>
              </w:rPr>
              <w:t xml:space="preserve"> der Gesetzgeber in seiner </w:t>
            </w:r>
            <w:r>
              <w:rPr>
                <w:sz w:val="20"/>
                <w:szCs w:val="20"/>
              </w:rPr>
              <w:t>Einschätzungsp</w:t>
            </w:r>
            <w:r w:rsidRPr="00E50B51">
              <w:rPr>
                <w:sz w:val="20"/>
                <w:szCs w:val="20"/>
              </w:rPr>
              <w:t xml:space="preserve">rärogative („legislative </w:t>
            </w:r>
            <w:proofErr w:type="spellStart"/>
            <w:r w:rsidRPr="00E50B51">
              <w:rPr>
                <w:sz w:val="20"/>
                <w:szCs w:val="20"/>
              </w:rPr>
              <w:t>department</w:t>
            </w:r>
            <w:proofErr w:type="spellEnd"/>
            <w:r w:rsidRPr="00E50B51">
              <w:rPr>
                <w:sz w:val="20"/>
                <w:szCs w:val="20"/>
              </w:rPr>
              <w:t xml:space="preserve"> to </w:t>
            </w:r>
            <w:proofErr w:type="spellStart"/>
            <w:r w:rsidRPr="00BF2296">
              <w:rPr>
                <w:sz w:val="20"/>
                <w:szCs w:val="20"/>
              </w:rPr>
              <w:t>determine</w:t>
            </w:r>
            <w:proofErr w:type="spellEnd"/>
            <w:r w:rsidRPr="00BF2296">
              <w:rPr>
                <w:sz w:val="20"/>
                <w:szCs w:val="20"/>
              </w:rPr>
              <w:t>“</w:t>
            </w:r>
            <w:r w:rsidRPr="00BF2296">
              <w:rPr>
                <w:rStyle w:val="Funotenzeichen"/>
                <w:sz w:val="20"/>
                <w:szCs w:val="20"/>
              </w:rPr>
              <w:footnoteReference w:id="301"/>
            </w:r>
            <w:r w:rsidRPr="00BF2296">
              <w:rPr>
                <w:sz w:val="20"/>
                <w:szCs w:val="20"/>
              </w:rPr>
              <w:t>)</w:t>
            </w:r>
            <w:r w:rsidRPr="00E50B51">
              <w:rPr>
                <w:sz w:val="20"/>
                <w:szCs w:val="20"/>
              </w:rPr>
              <w:t xml:space="preserve"> </w:t>
            </w:r>
            <w:proofErr w:type="spellStart"/>
            <w:r w:rsidRPr="00E50B51">
              <w:rPr>
                <w:sz w:val="20"/>
                <w:szCs w:val="20"/>
              </w:rPr>
              <w:t>Oleomargarine</w:t>
            </w:r>
            <w:proofErr w:type="spellEnd"/>
            <w:r>
              <w:rPr>
                <w:sz w:val="20"/>
                <w:szCs w:val="20"/>
              </w:rPr>
              <w:t xml:space="preserve"> verbieten wollen</w:t>
            </w:r>
            <w:r w:rsidRPr="00E50B51">
              <w:rPr>
                <w:sz w:val="20"/>
                <w:szCs w:val="20"/>
              </w:rPr>
              <w:t xml:space="preserve">. Das Gesetz verweigere dem Angeklagten auch keine Rechte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denn es </w:t>
            </w:r>
            <w:r>
              <w:rPr>
                <w:sz w:val="20"/>
                <w:szCs w:val="20"/>
              </w:rPr>
              <w:t>unterwerfe</w:t>
            </w:r>
            <w:r w:rsidRPr="00E50B51">
              <w:rPr>
                <w:sz w:val="20"/>
                <w:szCs w:val="20"/>
              </w:rPr>
              <w:t xml:space="preserve"> alle Unternehmen des gleichen Geschäftszweigs den gleichen Beschränkungen und gleichen </w:t>
            </w:r>
            <w:r>
              <w:rPr>
                <w:sz w:val="20"/>
                <w:szCs w:val="20"/>
              </w:rPr>
              <w:t xml:space="preserve">Rechtsfolgen, hier </w:t>
            </w:r>
            <w:r w:rsidRPr="00E50B51">
              <w:rPr>
                <w:sz w:val="20"/>
                <w:szCs w:val="20"/>
              </w:rPr>
              <w:t>Strafen.</w:t>
            </w:r>
          </w:p>
          <w:p w14:paraId="68E26FE0" w14:textId="77777777" w:rsidR="00074551" w:rsidRPr="00E50B51" w:rsidRDefault="00074551" w:rsidP="00367133">
            <w:pPr>
              <w:jc w:val="both"/>
              <w:rPr>
                <w:sz w:val="20"/>
                <w:szCs w:val="20"/>
              </w:rPr>
            </w:pPr>
          </w:p>
        </w:tc>
        <w:tc>
          <w:tcPr>
            <w:tcW w:w="1822" w:type="pct"/>
          </w:tcPr>
          <w:p w14:paraId="51EACE19" w14:textId="0A2BC365" w:rsidR="00074551" w:rsidRPr="00B45592" w:rsidRDefault="00074551" w:rsidP="00367133">
            <w:pPr>
              <w:jc w:val="both"/>
              <w:rPr>
                <w:sz w:val="20"/>
                <w:szCs w:val="20"/>
                <w:lang w:val="en-IE"/>
              </w:rPr>
            </w:pPr>
            <w:r w:rsidRPr="00E50B51">
              <w:rPr>
                <w:sz w:val="20"/>
                <w:szCs w:val="20"/>
              </w:rPr>
              <w:t>Wenn die Verfassung und ein Gesetz sich nicht vereinen lassen, dann seien Gerichte verpflichtet, der Verfassung Geltung verschaffen. Diese gerichtliche Pflicht ergebe sich, wenn eine staatliche Maßnahme vorg</w:t>
            </w:r>
            <w:r>
              <w:rPr>
                <w:sz w:val="20"/>
                <w:szCs w:val="20"/>
              </w:rPr>
              <w:t>ebe</w:t>
            </w:r>
            <w:r w:rsidRPr="00E50B51">
              <w:rPr>
                <w:sz w:val="20"/>
                <w:szCs w:val="20"/>
              </w:rPr>
              <w:t>, die öffentliche Gesundheit, die öffentliche Moral oder die öffentliche Sicherheit zu schützen</w:t>
            </w:r>
            <w:r>
              <w:rPr>
                <w:sz w:val="20"/>
                <w:szCs w:val="20"/>
              </w:rPr>
              <w:t>, doch dann u</w:t>
            </w:r>
            <w:r w:rsidRPr="00E50B51">
              <w:rPr>
                <w:sz w:val="20"/>
                <w:szCs w:val="20"/>
              </w:rPr>
              <w:t>nter diesem Vorwand unrechtmäßig in die Rechte auf Leben, Freiheit oder Eigentum oder andere Rechte ein</w:t>
            </w:r>
            <w:r>
              <w:rPr>
                <w:sz w:val="20"/>
                <w:szCs w:val="20"/>
              </w:rPr>
              <w:t>greife</w:t>
            </w:r>
            <w:r w:rsidRPr="00E50B51">
              <w:rPr>
                <w:sz w:val="20"/>
                <w:szCs w:val="20"/>
              </w:rPr>
              <w:t xml:space="preserve">, die aber </w:t>
            </w:r>
            <w:r>
              <w:rPr>
                <w:sz w:val="20"/>
                <w:szCs w:val="20"/>
              </w:rPr>
              <w:t xml:space="preserve">wiederum </w:t>
            </w:r>
            <w:r w:rsidRPr="00E50B51">
              <w:rPr>
                <w:sz w:val="20"/>
                <w:szCs w:val="20"/>
              </w:rPr>
              <w:t>das Verfassungsrecht sicher</w:t>
            </w:r>
            <w:r>
              <w:rPr>
                <w:sz w:val="20"/>
                <w:szCs w:val="20"/>
              </w:rPr>
              <w:t>e</w:t>
            </w:r>
            <w:r w:rsidRPr="00E50B51">
              <w:rPr>
                <w:sz w:val="20"/>
                <w:szCs w:val="20"/>
              </w:rPr>
              <w:t xml:space="preserve"> („</w:t>
            </w:r>
            <w:proofErr w:type="spellStart"/>
            <w:r w:rsidRPr="00E50B51">
              <w:rPr>
                <w:sz w:val="20"/>
                <w:szCs w:val="20"/>
              </w:rPr>
              <w:t>secured</w:t>
            </w:r>
            <w:proofErr w:type="spellEnd"/>
            <w:r w:rsidRPr="00E50B51">
              <w:rPr>
                <w:sz w:val="20"/>
                <w:szCs w:val="20"/>
              </w:rPr>
              <w:t xml:space="preserve"> by the </w:t>
            </w:r>
            <w:proofErr w:type="spellStart"/>
            <w:r w:rsidRPr="00E50B51">
              <w:rPr>
                <w:sz w:val="20"/>
                <w:szCs w:val="20"/>
              </w:rPr>
              <w:t>supreme</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 xml:space="preserve"> of the </w:t>
            </w:r>
            <w:proofErr w:type="spellStart"/>
            <w:r w:rsidRPr="00E50B51">
              <w:rPr>
                <w:sz w:val="20"/>
                <w:szCs w:val="20"/>
              </w:rPr>
              <w:t>land</w:t>
            </w:r>
            <w:proofErr w:type="spellEnd"/>
            <w:r w:rsidRPr="00E50B51">
              <w:rPr>
                <w:sz w:val="20"/>
                <w:szCs w:val="20"/>
              </w:rPr>
              <w:t>“</w:t>
            </w:r>
            <w:r w:rsidRPr="00E50B51">
              <w:rPr>
                <w:rStyle w:val="Funotenzeichen"/>
                <w:rFonts w:eastAsiaTheme="majorEastAsia"/>
                <w:sz w:val="20"/>
                <w:szCs w:val="20"/>
              </w:rPr>
              <w:footnoteReference w:id="302"/>
            </w:r>
            <w:r w:rsidRPr="00E50B51">
              <w:rPr>
                <w:sz w:val="20"/>
                <w:szCs w:val="20"/>
              </w:rPr>
              <w:t>). Im Fall erg</w:t>
            </w:r>
            <w:r>
              <w:rPr>
                <w:sz w:val="20"/>
                <w:szCs w:val="20"/>
              </w:rPr>
              <w:t>ebe</w:t>
            </w:r>
            <w:r w:rsidRPr="00E50B51">
              <w:rPr>
                <w:sz w:val="20"/>
                <w:szCs w:val="20"/>
              </w:rPr>
              <w:t xml:space="preserve"> sich diese gerichtliche Pflicht nicht, weil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r>
              <w:rPr>
                <w:sz w:val="20"/>
                <w:szCs w:val="20"/>
              </w:rPr>
              <w:t xml:space="preserve">gar </w:t>
            </w:r>
            <w:r w:rsidRPr="00E50B51">
              <w:rPr>
                <w:sz w:val="20"/>
                <w:szCs w:val="20"/>
              </w:rPr>
              <w:t xml:space="preserve">nicht betroffen </w:t>
            </w:r>
            <w:r>
              <w:rPr>
                <w:sz w:val="20"/>
                <w:szCs w:val="20"/>
              </w:rPr>
              <w:t>sei. D</w:t>
            </w:r>
            <w:r w:rsidRPr="00E50B51">
              <w:rPr>
                <w:sz w:val="20"/>
                <w:szCs w:val="20"/>
              </w:rPr>
              <w:t xml:space="preserve">enn </w:t>
            </w:r>
            <w:r>
              <w:rPr>
                <w:sz w:val="20"/>
                <w:szCs w:val="20"/>
              </w:rPr>
              <w:t xml:space="preserve">die Maßnahme </w:t>
            </w:r>
            <w:r w:rsidRPr="00E50B51">
              <w:rPr>
                <w:sz w:val="20"/>
                <w:szCs w:val="20"/>
              </w:rPr>
              <w:t>diskriminiere alle Unternehmen</w:t>
            </w:r>
            <w:r>
              <w:rPr>
                <w:sz w:val="20"/>
                <w:szCs w:val="20"/>
              </w:rPr>
              <w:t xml:space="preserve"> gleich</w:t>
            </w:r>
            <w:r w:rsidRPr="00E50B51">
              <w:rPr>
                <w:sz w:val="20"/>
                <w:szCs w:val="20"/>
              </w:rPr>
              <w:t>.</w:t>
            </w:r>
            <w:r w:rsidRPr="00E50B51">
              <w:rPr>
                <w:rStyle w:val="Funotenzeichen"/>
                <w:rFonts w:eastAsiaTheme="majorEastAsia"/>
                <w:sz w:val="20"/>
                <w:szCs w:val="20"/>
              </w:rPr>
              <w:footnoteReference w:id="303"/>
            </w:r>
            <w:r w:rsidRPr="00E50B51">
              <w:rPr>
                <w:sz w:val="20"/>
                <w:szCs w:val="20"/>
              </w:rPr>
              <w:t xml:space="preserve"> </w:t>
            </w:r>
            <w:r w:rsidRPr="001D6A31">
              <w:rPr>
                <w:sz w:val="20"/>
                <w:szCs w:val="20"/>
              </w:rPr>
              <w:t xml:space="preserve">Dabei gehört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E7D01">
              <w:rPr>
                <w:sz w:val="20"/>
                <w:szCs w:val="20"/>
              </w:rPr>
              <w:t xml:space="preserve"> laut Dissens zum sog. </w:t>
            </w:r>
            <w:r>
              <w:rPr>
                <w:sz w:val="20"/>
                <w:szCs w:val="20"/>
                <w:lang w:val="en-US"/>
              </w:rPr>
              <w:t>„</w:t>
            </w:r>
            <w:r w:rsidRPr="00B45592">
              <w:rPr>
                <w:sz w:val="20"/>
                <w:szCs w:val="20"/>
                <w:lang w:val="en-US"/>
              </w:rPr>
              <w:t>supreme law of the land“</w:t>
            </w:r>
            <w:r>
              <w:rPr>
                <w:sz w:val="20"/>
                <w:szCs w:val="20"/>
                <w:lang w:val="en-US"/>
              </w:rPr>
              <w:t>,</w:t>
            </w:r>
            <w:r w:rsidRPr="00B45592">
              <w:rPr>
                <w:rStyle w:val="Funotenzeichen"/>
                <w:sz w:val="20"/>
                <w:szCs w:val="20"/>
                <w:lang w:val="en-US"/>
              </w:rPr>
              <w:footnoteReference w:id="304"/>
            </w:r>
            <w:r w:rsidRPr="00E50B51">
              <w:rPr>
                <w:sz w:val="20"/>
                <w:szCs w:val="20"/>
                <w:lang w:val="en-US"/>
              </w:rPr>
              <w:t xml:space="preserve"> was </w:t>
            </w:r>
            <w:proofErr w:type="spellStart"/>
            <w:r>
              <w:rPr>
                <w:sz w:val="20"/>
                <w:szCs w:val="20"/>
                <w:lang w:val="en-US"/>
              </w:rPr>
              <w:t>sich</w:t>
            </w:r>
            <w:proofErr w:type="spellEnd"/>
            <w:r>
              <w:rPr>
                <w:sz w:val="20"/>
                <w:szCs w:val="20"/>
                <w:lang w:val="en-US"/>
              </w:rPr>
              <w:t xml:space="preserve"> </w:t>
            </w:r>
            <w:proofErr w:type="spellStart"/>
            <w:r w:rsidRPr="00E50B51">
              <w:rPr>
                <w:sz w:val="20"/>
                <w:szCs w:val="20"/>
                <w:lang w:val="en-US"/>
              </w:rPr>
              <w:t>mit</w:t>
            </w:r>
            <w:proofErr w:type="spellEnd"/>
            <w:r w:rsidRPr="00E50B51">
              <w:rPr>
                <w:sz w:val="20"/>
                <w:szCs w:val="20"/>
                <w:lang w:val="en-US"/>
              </w:rPr>
              <w:t xml:space="preserve"> </w:t>
            </w:r>
            <w:proofErr w:type="spellStart"/>
            <w:r w:rsidRPr="00E50B51">
              <w:rPr>
                <w:sz w:val="20"/>
                <w:szCs w:val="20"/>
                <w:lang w:val="en-US"/>
              </w:rPr>
              <w:t>seinem</w:t>
            </w:r>
            <w:proofErr w:type="spellEnd"/>
            <w:r w:rsidRPr="00E50B51">
              <w:rPr>
                <w:sz w:val="20"/>
                <w:szCs w:val="20"/>
                <w:lang w:val="en-US"/>
              </w:rPr>
              <w:t xml:space="preserve"> </w:t>
            </w:r>
            <w:proofErr w:type="spellStart"/>
            <w:r w:rsidRPr="00E50B51">
              <w:rPr>
                <w:sz w:val="20"/>
                <w:szCs w:val="20"/>
                <w:lang w:val="en-US"/>
              </w:rPr>
              <w:t>Regelungsgehalt</w:t>
            </w:r>
            <w:proofErr w:type="spellEnd"/>
            <w:r w:rsidRPr="00E50B51">
              <w:rPr>
                <w:sz w:val="20"/>
                <w:szCs w:val="20"/>
                <w:lang w:val="en-US"/>
              </w:rPr>
              <w:t xml:space="preserve"> („deprive any person of life, liberty, or property without due process of law“</w:t>
            </w:r>
            <w:r w:rsidRPr="00E50B51">
              <w:rPr>
                <w:rStyle w:val="Funotenzeichen"/>
                <w:rFonts w:eastAsiaTheme="majorEastAsia"/>
                <w:sz w:val="20"/>
                <w:szCs w:val="20"/>
                <w:lang w:val="en-US"/>
              </w:rPr>
              <w:footnoteReference w:id="305"/>
            </w:r>
            <w:r w:rsidRPr="00E50B51">
              <w:rPr>
                <w:sz w:val="20"/>
                <w:szCs w:val="20"/>
                <w:lang w:val="en-US"/>
              </w:rPr>
              <w:t>)</w:t>
            </w:r>
            <w:r>
              <w:rPr>
                <w:sz w:val="20"/>
                <w:szCs w:val="20"/>
                <w:lang w:val="en-US"/>
              </w:rPr>
              <w:t xml:space="preserve"> </w:t>
            </w:r>
            <w:proofErr w:type="spellStart"/>
            <w:r w:rsidRPr="00E50B51">
              <w:rPr>
                <w:sz w:val="20"/>
                <w:szCs w:val="20"/>
                <w:lang w:val="en-US"/>
              </w:rPr>
              <w:t>darauf</w:t>
            </w:r>
            <w:proofErr w:type="spellEnd"/>
            <w:r w:rsidRPr="00E50B51">
              <w:rPr>
                <w:sz w:val="20"/>
                <w:szCs w:val="20"/>
                <w:lang w:val="en-US"/>
              </w:rPr>
              <w:t xml:space="preserve"> </w:t>
            </w:r>
            <w:proofErr w:type="spellStart"/>
            <w:r w:rsidRPr="00E50B51">
              <w:rPr>
                <w:sz w:val="20"/>
                <w:szCs w:val="20"/>
                <w:lang w:val="en-US"/>
              </w:rPr>
              <w:t>ausrichte</w:t>
            </w:r>
            <w:proofErr w:type="spellEnd"/>
            <w:r w:rsidRPr="00E50B51">
              <w:rPr>
                <w:sz w:val="20"/>
                <w:szCs w:val="20"/>
                <w:lang w:val="en-US"/>
              </w:rPr>
              <w:t xml:space="preserve">, </w:t>
            </w:r>
            <w:r>
              <w:rPr>
                <w:sz w:val="20"/>
                <w:szCs w:val="20"/>
                <w:lang w:val="en-US"/>
              </w:rPr>
              <w:t xml:space="preserve">die </w:t>
            </w:r>
            <w:proofErr w:type="spellStart"/>
            <w:r w:rsidRPr="00E50B51">
              <w:rPr>
                <w:sz w:val="20"/>
                <w:szCs w:val="20"/>
                <w:lang w:val="en-US"/>
              </w:rPr>
              <w:t>Bedingungen</w:t>
            </w:r>
            <w:proofErr w:type="spellEnd"/>
            <w:r w:rsidRPr="00E50B51">
              <w:rPr>
                <w:sz w:val="20"/>
                <w:szCs w:val="20"/>
                <w:lang w:val="en-US"/>
              </w:rPr>
              <w:t xml:space="preserve"> für </w:t>
            </w:r>
            <w:proofErr w:type="spellStart"/>
            <w:r w:rsidRPr="00E50B51">
              <w:rPr>
                <w:sz w:val="20"/>
                <w:szCs w:val="20"/>
                <w:lang w:val="en-US"/>
              </w:rPr>
              <w:t>Glück</w:t>
            </w:r>
            <w:r>
              <w:rPr>
                <w:sz w:val="20"/>
                <w:szCs w:val="20"/>
                <w:lang w:val="en-US"/>
              </w:rPr>
              <w:t>sstreben</w:t>
            </w:r>
            <w:proofErr w:type="spellEnd"/>
            <w:r w:rsidRPr="00E50B51">
              <w:rPr>
                <w:sz w:val="20"/>
                <w:szCs w:val="20"/>
                <w:lang w:val="en-US"/>
              </w:rPr>
              <w:t xml:space="preserve"> </w:t>
            </w:r>
            <w:proofErr w:type="spellStart"/>
            <w:r w:rsidRPr="00E50B51">
              <w:rPr>
                <w:sz w:val="20"/>
                <w:szCs w:val="20"/>
                <w:lang w:val="en-US"/>
              </w:rPr>
              <w:t>zu</w:t>
            </w:r>
            <w:proofErr w:type="spellEnd"/>
            <w:r w:rsidRPr="00E50B51">
              <w:rPr>
                <w:sz w:val="20"/>
                <w:szCs w:val="20"/>
                <w:lang w:val="en-US"/>
              </w:rPr>
              <w:t xml:space="preserve"> </w:t>
            </w:r>
            <w:proofErr w:type="spellStart"/>
            <w:r w:rsidRPr="00E50B51">
              <w:rPr>
                <w:sz w:val="20"/>
                <w:szCs w:val="20"/>
                <w:lang w:val="en-US"/>
              </w:rPr>
              <w:t>sichern</w:t>
            </w:r>
            <w:proofErr w:type="spellEnd"/>
            <w:r w:rsidRPr="00E50B51">
              <w:rPr>
                <w:sz w:val="20"/>
                <w:szCs w:val="20"/>
                <w:lang w:val="en-US"/>
              </w:rPr>
              <w:t xml:space="preserve"> („secure to every person the essential conditions for the pursuit of happiness“</w:t>
            </w:r>
            <w:r w:rsidRPr="00E50B51">
              <w:rPr>
                <w:rStyle w:val="Funotenzeichen"/>
                <w:rFonts w:eastAsiaTheme="majorEastAsia"/>
                <w:sz w:val="20"/>
                <w:szCs w:val="20"/>
                <w:lang w:val="en-US"/>
              </w:rPr>
              <w:t xml:space="preserve"> </w:t>
            </w:r>
            <w:r w:rsidRPr="00E50B51">
              <w:rPr>
                <w:rStyle w:val="Funotenzeichen"/>
                <w:rFonts w:eastAsiaTheme="majorEastAsia"/>
                <w:sz w:val="20"/>
                <w:szCs w:val="20"/>
                <w:lang w:val="en-US"/>
              </w:rPr>
              <w:footnoteReference w:id="306"/>
            </w:r>
            <w:r w:rsidRPr="00E50B51">
              <w:rPr>
                <w:sz w:val="20"/>
                <w:szCs w:val="20"/>
                <w:lang w:val="en-US"/>
              </w:rPr>
              <w:t>)</w:t>
            </w:r>
            <w:r>
              <w:rPr>
                <w:sz w:val="20"/>
                <w:szCs w:val="20"/>
                <w:lang w:val="en-US"/>
              </w:rPr>
              <w:t>,</w:t>
            </w:r>
            <w:r w:rsidRPr="00E50B51">
              <w:rPr>
                <w:sz w:val="20"/>
                <w:szCs w:val="20"/>
                <w:lang w:val="en-US"/>
              </w:rPr>
              <w:t xml:space="preserve"> </w:t>
            </w:r>
            <w:proofErr w:type="spellStart"/>
            <w:r w:rsidRPr="00B45592">
              <w:rPr>
                <w:sz w:val="20"/>
                <w:szCs w:val="20"/>
                <w:lang w:val="en-IE"/>
              </w:rPr>
              <w:t>denn</w:t>
            </w:r>
            <w:proofErr w:type="spellEnd"/>
            <w:r w:rsidRPr="00B45592">
              <w:rPr>
                <w:sz w:val="20"/>
                <w:szCs w:val="20"/>
                <w:lang w:val="en-IE"/>
              </w:rPr>
              <w:t xml:space="preserve"> dieses </w:t>
            </w:r>
            <w:proofErr w:type="spellStart"/>
            <w:r w:rsidRPr="00B45592">
              <w:rPr>
                <w:sz w:val="20"/>
                <w:szCs w:val="20"/>
                <w:lang w:val="en-IE"/>
              </w:rPr>
              <w:t>Glücksstreben</w:t>
            </w:r>
            <w:proofErr w:type="spellEnd"/>
            <w:r w:rsidRPr="00B45592">
              <w:rPr>
                <w:sz w:val="20"/>
                <w:szCs w:val="20"/>
                <w:lang w:val="en-IE"/>
              </w:rPr>
              <w:t xml:space="preserve"> sei </w:t>
            </w:r>
            <w:proofErr w:type="spellStart"/>
            <w:r w:rsidRPr="00B45592">
              <w:rPr>
                <w:sz w:val="20"/>
                <w:szCs w:val="20"/>
                <w:lang w:val="en-IE"/>
              </w:rPr>
              <w:t>ein</w:t>
            </w:r>
            <w:proofErr w:type="spellEnd"/>
            <w:r w:rsidRPr="00B45592">
              <w:rPr>
                <w:sz w:val="20"/>
                <w:szCs w:val="20"/>
                <w:lang w:val="en-IE"/>
              </w:rPr>
              <w:t xml:space="preserve"> Recht („right to pursue one’s happiness“</w:t>
            </w:r>
            <w:r w:rsidRPr="00E50B51">
              <w:rPr>
                <w:rStyle w:val="Funotenzeichen"/>
                <w:rFonts w:eastAsiaTheme="majorEastAsia"/>
                <w:sz w:val="20"/>
                <w:szCs w:val="20"/>
              </w:rPr>
              <w:footnoteReference w:id="307"/>
            </w:r>
            <w:r w:rsidRPr="00B45592">
              <w:rPr>
                <w:sz w:val="20"/>
                <w:szCs w:val="20"/>
                <w:lang w:val="en-IE"/>
              </w:rPr>
              <w:t>).</w:t>
            </w:r>
          </w:p>
          <w:p w14:paraId="37F17A3C" w14:textId="77777777" w:rsidR="00074551" w:rsidRPr="00B45592" w:rsidRDefault="00074551" w:rsidP="00367133">
            <w:pPr>
              <w:jc w:val="both"/>
              <w:rPr>
                <w:sz w:val="20"/>
                <w:szCs w:val="20"/>
                <w:lang w:val="en-IE"/>
              </w:rPr>
            </w:pPr>
          </w:p>
        </w:tc>
      </w:tr>
      <w:tr w:rsidR="00074551" w:rsidRPr="00E50B51" w14:paraId="0BEBC49C" w14:textId="77777777" w:rsidTr="00BE689F">
        <w:trPr>
          <w:cantSplit/>
          <w:trHeight w:val="3175"/>
        </w:trPr>
        <w:tc>
          <w:tcPr>
            <w:tcW w:w="293" w:type="pct"/>
          </w:tcPr>
          <w:p w14:paraId="6AE555A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B1414D3" w14:textId="77777777" w:rsidR="00074551" w:rsidRPr="00B45592" w:rsidRDefault="00074551" w:rsidP="00367133">
            <w:pPr>
              <w:ind w:left="113" w:right="416"/>
              <w:jc w:val="both"/>
              <w:rPr>
                <w:i/>
                <w:sz w:val="20"/>
                <w:szCs w:val="20"/>
                <w:lang w:val="en-US"/>
              </w:rPr>
            </w:pPr>
            <w:r w:rsidRPr="00B45592">
              <w:rPr>
                <w:i/>
                <w:sz w:val="20"/>
                <w:szCs w:val="20"/>
              </w:rPr>
              <w:t>Presser v. Ill.</w:t>
            </w:r>
          </w:p>
        </w:tc>
        <w:tc>
          <w:tcPr>
            <w:tcW w:w="197" w:type="pct"/>
            <w:textDirection w:val="tbRl"/>
            <w:vAlign w:val="center"/>
          </w:tcPr>
          <w:p w14:paraId="4C6FDA2A" w14:textId="77777777" w:rsidR="00074551" w:rsidRPr="00E50B51" w:rsidRDefault="00074551" w:rsidP="00367133">
            <w:pPr>
              <w:ind w:left="113" w:right="113"/>
              <w:jc w:val="both"/>
              <w:rPr>
                <w:sz w:val="20"/>
                <w:szCs w:val="20"/>
                <w:lang w:val="en-US"/>
              </w:rPr>
            </w:pPr>
            <w:r w:rsidRPr="00BE3728">
              <w:rPr>
                <w:sz w:val="20"/>
                <w:szCs w:val="20"/>
              </w:rPr>
              <w:t>116 U.S. 252</w:t>
            </w:r>
          </w:p>
        </w:tc>
        <w:tc>
          <w:tcPr>
            <w:tcW w:w="306" w:type="pct"/>
            <w:textDirection w:val="tbRl"/>
            <w:vAlign w:val="center"/>
          </w:tcPr>
          <w:p w14:paraId="7A114C4E" w14:textId="77777777" w:rsidR="00074551" w:rsidRPr="00E50B51" w:rsidRDefault="00074551" w:rsidP="00367133">
            <w:pPr>
              <w:ind w:left="113" w:right="113"/>
              <w:jc w:val="both"/>
              <w:rPr>
                <w:sz w:val="20"/>
                <w:szCs w:val="20"/>
              </w:rPr>
            </w:pPr>
            <w:r w:rsidRPr="00BE3728">
              <w:rPr>
                <w:sz w:val="20"/>
                <w:szCs w:val="20"/>
              </w:rPr>
              <w:t>04. Januar 1886</w:t>
            </w:r>
          </w:p>
        </w:tc>
        <w:tc>
          <w:tcPr>
            <w:tcW w:w="401" w:type="pct"/>
          </w:tcPr>
          <w:p w14:paraId="04A93E61"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6BCAD43F" w14:textId="44EF42B6" w:rsidR="00074551" w:rsidRPr="00E50B51" w:rsidRDefault="00074551" w:rsidP="00367133">
            <w:pPr>
              <w:jc w:val="both"/>
              <w:rPr>
                <w:sz w:val="20"/>
                <w:szCs w:val="20"/>
              </w:rPr>
            </w:pPr>
            <w:r w:rsidRPr="00BE3728">
              <w:rPr>
                <w:sz w:val="20"/>
                <w:szCs w:val="20"/>
              </w:rPr>
              <w:t xml:space="preserve">Der </w:t>
            </w:r>
            <w:r w:rsidRPr="00B45592">
              <w:rPr>
                <w:i/>
                <w:sz w:val="20"/>
                <w:szCs w:val="20"/>
              </w:rPr>
              <w:t>Supreme Court of the State of Illinois</w:t>
            </w:r>
            <w:r w:rsidRPr="00BE3728">
              <w:rPr>
                <w:sz w:val="20"/>
                <w:szCs w:val="20"/>
              </w:rPr>
              <w:t xml:space="preserve"> verurteilte einen Milizionär, was der </w:t>
            </w:r>
            <w:r>
              <w:rPr>
                <w:sz w:val="20"/>
                <w:szCs w:val="20"/>
              </w:rPr>
              <w:t>U.S. Supreme Court</w:t>
            </w:r>
            <w:r w:rsidRPr="00BE3728">
              <w:rPr>
                <w:sz w:val="20"/>
                <w:szCs w:val="20"/>
              </w:rPr>
              <w:t xml:space="preserve"> bestätigte. Der Kläger hatte ohne Lizenz des Gouverneurs paradiert und geübt. Dies verstieß gegen </w:t>
            </w:r>
            <w:r w:rsidRPr="00D67593">
              <w:rPr>
                <w:sz w:val="20"/>
                <w:szCs w:val="20"/>
              </w:rPr>
              <w:t>den</w:t>
            </w:r>
            <w:r w:rsidRPr="00B45592">
              <w:rPr>
                <w:i/>
                <w:sz w:val="20"/>
                <w:szCs w:val="20"/>
              </w:rPr>
              <w:t xml:space="preserve"> Military Code</w:t>
            </w:r>
            <w:r w:rsidRPr="00BE3728">
              <w:rPr>
                <w:rStyle w:val="Funotenzeichen"/>
                <w:sz w:val="20"/>
                <w:szCs w:val="20"/>
              </w:rPr>
              <w:footnoteReference w:id="308"/>
            </w:r>
            <w:r w:rsidRPr="00BE3728">
              <w:rPr>
                <w:sz w:val="20"/>
                <w:szCs w:val="20"/>
              </w:rPr>
              <w:t xml:space="preserve"> von Illinois. Der Milizionär </w:t>
            </w:r>
            <w:r>
              <w:rPr>
                <w:sz w:val="20"/>
                <w:szCs w:val="20"/>
              </w:rPr>
              <w:t>hatte</w:t>
            </w:r>
            <w:r w:rsidRPr="00BE3728">
              <w:rPr>
                <w:sz w:val="20"/>
                <w:szCs w:val="20"/>
              </w:rPr>
              <w:t xml:space="preserve"> bewaffnete Männer durch Chicagos Straßen</w:t>
            </w:r>
            <w:r>
              <w:rPr>
                <w:sz w:val="20"/>
                <w:szCs w:val="20"/>
              </w:rPr>
              <w:t xml:space="preserve"> geführt, ohne dass</w:t>
            </w:r>
            <w:r w:rsidRPr="00BE3728">
              <w:rPr>
                <w:sz w:val="20"/>
                <w:szCs w:val="20"/>
              </w:rPr>
              <w:t xml:space="preserve"> seine Gruppe </w:t>
            </w:r>
            <w:r>
              <w:rPr>
                <w:sz w:val="20"/>
                <w:szCs w:val="20"/>
              </w:rPr>
              <w:t>dafür eine</w:t>
            </w:r>
            <w:r w:rsidRPr="00BE3728">
              <w:rPr>
                <w:sz w:val="20"/>
                <w:szCs w:val="20"/>
              </w:rPr>
              <w:t xml:space="preserve"> Genehmigung </w:t>
            </w:r>
            <w:r>
              <w:rPr>
                <w:sz w:val="20"/>
                <w:szCs w:val="20"/>
              </w:rPr>
              <w:t>hatte</w:t>
            </w:r>
            <w:r w:rsidRPr="00BE3728">
              <w:rPr>
                <w:sz w:val="20"/>
                <w:szCs w:val="20"/>
              </w:rPr>
              <w:t xml:space="preserve">. Und sie war nicht Teil der regulären Miliz oder des Militärs. Der </w:t>
            </w:r>
            <w:r>
              <w:rPr>
                <w:sz w:val="20"/>
                <w:szCs w:val="20"/>
              </w:rPr>
              <w:t>U.S. Supreme Court</w:t>
            </w:r>
            <w:r w:rsidRPr="00BE3728">
              <w:rPr>
                <w:sz w:val="20"/>
                <w:szCs w:val="20"/>
              </w:rPr>
              <w:t xml:space="preserve"> bestätigte die Verurteilung. Er entschied, der </w:t>
            </w:r>
            <w:r w:rsidRPr="00B45592">
              <w:rPr>
                <w:i/>
                <w:sz w:val="20"/>
                <w:szCs w:val="20"/>
              </w:rPr>
              <w:t xml:space="preserve">Military Code </w:t>
            </w:r>
            <w:r w:rsidRPr="00B45592">
              <w:rPr>
                <w:sz w:val="20"/>
                <w:szCs w:val="20"/>
              </w:rPr>
              <w:t>von</w:t>
            </w:r>
            <w:r w:rsidRPr="00D67593">
              <w:rPr>
                <w:sz w:val="20"/>
                <w:szCs w:val="20"/>
              </w:rPr>
              <w:t xml:space="preserve"> Illinois</w:t>
            </w:r>
            <w:r w:rsidRPr="00BE3728">
              <w:rPr>
                <w:sz w:val="20"/>
                <w:szCs w:val="20"/>
              </w:rPr>
              <w:t xml:space="preserve"> (</w:t>
            </w:r>
            <w:r>
              <w:rPr>
                <w:sz w:val="20"/>
                <w:szCs w:val="20"/>
              </w:rPr>
              <w:t>Art. </w:t>
            </w:r>
            <w:r w:rsidRPr="00BE3728">
              <w:rPr>
                <w:sz w:val="20"/>
                <w:szCs w:val="20"/>
              </w:rPr>
              <w:t>XI, §</w:t>
            </w:r>
            <w:r>
              <w:rPr>
                <w:sz w:val="20"/>
                <w:szCs w:val="20"/>
              </w:rPr>
              <w:t>§ </w:t>
            </w:r>
            <w:r w:rsidRPr="00BE3728">
              <w:rPr>
                <w:sz w:val="20"/>
                <w:szCs w:val="20"/>
              </w:rPr>
              <w:t xml:space="preserve">5, 6, Act of May 28, 1879, Laws of 1879, 192) verstoße nicht gegen das Recht, Waffen zu tragen. Denn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w:t>
            </w:r>
            <w:r w:rsidRPr="00BE3728">
              <w:rPr>
                <w:sz w:val="20"/>
                <w:szCs w:val="20"/>
              </w:rPr>
              <w:t xml:space="preserve"> begrenz</w:t>
            </w:r>
            <w:r>
              <w:rPr>
                <w:sz w:val="20"/>
                <w:szCs w:val="20"/>
              </w:rPr>
              <w:t>e</w:t>
            </w:r>
            <w:r w:rsidRPr="00BE3728">
              <w:rPr>
                <w:sz w:val="20"/>
                <w:szCs w:val="20"/>
              </w:rPr>
              <w:t xml:space="preserve"> nur den Kongress, nicht aber die Bundesstaaten. Diese dürf</w:t>
            </w:r>
            <w:r>
              <w:rPr>
                <w:sz w:val="20"/>
                <w:szCs w:val="20"/>
              </w:rPr>
              <w:t>t</w:t>
            </w:r>
            <w:r w:rsidRPr="00BE3728">
              <w:rPr>
                <w:sz w:val="20"/>
                <w:szCs w:val="20"/>
              </w:rPr>
              <w:t xml:space="preserve">en die Bürgerrechte regulieren. Es </w:t>
            </w:r>
            <w:r>
              <w:rPr>
                <w:sz w:val="20"/>
                <w:szCs w:val="20"/>
              </w:rPr>
              <w:t>gebe</w:t>
            </w:r>
            <w:r w:rsidRPr="00BE3728">
              <w:rPr>
                <w:sz w:val="20"/>
                <w:szCs w:val="20"/>
              </w:rPr>
              <w:t xml:space="preserve"> kein nationales Recht, eine Miliz zu bilden. Der Staat </w:t>
            </w:r>
            <w:r>
              <w:rPr>
                <w:sz w:val="20"/>
                <w:szCs w:val="20"/>
              </w:rPr>
              <w:t>habe</w:t>
            </w:r>
            <w:r w:rsidRPr="00BE3728">
              <w:rPr>
                <w:sz w:val="20"/>
                <w:szCs w:val="20"/>
              </w:rPr>
              <w:t xml:space="preserve"> die Befugnis</w:t>
            </w:r>
            <w:r>
              <w:rPr>
                <w:sz w:val="20"/>
                <w:szCs w:val="20"/>
              </w:rPr>
              <w:t xml:space="preserve"> gehabt</w:t>
            </w:r>
            <w:r w:rsidRPr="00BE3728">
              <w:rPr>
                <w:sz w:val="20"/>
                <w:szCs w:val="20"/>
              </w:rPr>
              <w:t>, die §</w:t>
            </w:r>
            <w:r>
              <w:rPr>
                <w:sz w:val="20"/>
                <w:szCs w:val="20"/>
              </w:rPr>
              <w:t>§ </w:t>
            </w:r>
            <w:r w:rsidRPr="00BE3728">
              <w:rPr>
                <w:sz w:val="20"/>
                <w:szCs w:val="20"/>
              </w:rPr>
              <w:t>5, 6 zu erlassen.</w:t>
            </w:r>
            <w:r w:rsidRPr="00BE3728">
              <w:rPr>
                <w:rStyle w:val="Funotenzeichen"/>
                <w:sz w:val="20"/>
                <w:szCs w:val="20"/>
              </w:rPr>
              <w:footnoteReference w:id="309"/>
            </w:r>
          </w:p>
        </w:tc>
        <w:tc>
          <w:tcPr>
            <w:tcW w:w="1822" w:type="pct"/>
          </w:tcPr>
          <w:p w14:paraId="5F3D59E3"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Supremacy Clause › General Overview</w:t>
            </w:r>
          </w:p>
          <w:p w14:paraId="4FAE53F9" w14:textId="77777777" w:rsidR="00074551" w:rsidRPr="00BE3728" w:rsidRDefault="00074551" w:rsidP="00367133">
            <w:pPr>
              <w:jc w:val="both"/>
              <w:rPr>
                <w:sz w:val="20"/>
                <w:szCs w:val="20"/>
                <w:lang w:val="en-US"/>
              </w:rPr>
            </w:pPr>
          </w:p>
          <w:p w14:paraId="6DD8509F" w14:textId="77777777" w:rsidR="00074551" w:rsidRDefault="00074551" w:rsidP="00367133">
            <w:pPr>
              <w:jc w:val="both"/>
              <w:rPr>
                <w:sz w:val="20"/>
                <w:szCs w:val="20"/>
              </w:rPr>
            </w:pPr>
            <w:r w:rsidRPr="00BE3728">
              <w:rPr>
                <w:sz w:val="20"/>
                <w:szCs w:val="20"/>
              </w:rPr>
              <w:t>Ein Bundesstaat ha</w:t>
            </w:r>
            <w:r>
              <w:rPr>
                <w:sz w:val="20"/>
                <w:szCs w:val="20"/>
              </w:rPr>
              <w:t>be</w:t>
            </w:r>
            <w:r w:rsidRPr="00BE3728">
              <w:rPr>
                <w:sz w:val="20"/>
                <w:szCs w:val="20"/>
              </w:rPr>
              <w:t xml:space="preserve"> grundsätzlich die Gerichtsbarkeit über alle Personen und Sachen, </w:t>
            </w:r>
            <w:proofErr w:type="spellStart"/>
            <w:r>
              <w:rPr>
                <w:sz w:val="20"/>
                <w:szCs w:val="20"/>
              </w:rPr>
              <w:t>so weit</w:t>
            </w:r>
            <w:proofErr w:type="spellEnd"/>
            <w:r w:rsidRPr="00BE3728">
              <w:rPr>
                <w:sz w:val="20"/>
                <w:szCs w:val="20"/>
              </w:rPr>
              <w:t xml:space="preserve"> sich die Gerichtsbarkeit im Rahmen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bewege. Bei der Ausübung dieser Gerichtsbarkeit ha</w:t>
            </w:r>
            <w:r>
              <w:rPr>
                <w:sz w:val="20"/>
                <w:szCs w:val="20"/>
              </w:rPr>
              <w:t>be</w:t>
            </w:r>
            <w:r w:rsidRPr="00BE3728">
              <w:rPr>
                <w:sz w:val="20"/>
                <w:szCs w:val="20"/>
              </w:rPr>
              <w:t xml:space="preserve"> ein Bundesstaat das Recht und die Pflicht</w:t>
            </w:r>
            <w:r>
              <w:rPr>
                <w:sz w:val="20"/>
                <w:szCs w:val="20"/>
              </w:rPr>
              <w:t>,</w:t>
            </w:r>
            <w:r w:rsidRPr="00BE3728">
              <w:rPr>
                <w:sz w:val="20"/>
                <w:szCs w:val="20"/>
              </w:rPr>
              <w:t xml:space="preserve"> folgende Ziele zu beachten: Die Sicherheit, das Glück, den Wohlstand seines Volkes und </w:t>
            </w:r>
            <w:r>
              <w:rPr>
                <w:sz w:val="20"/>
                <w:szCs w:val="20"/>
              </w:rPr>
              <w:t>dessen</w:t>
            </w:r>
            <w:r w:rsidRPr="00BE3728">
              <w:rPr>
                <w:sz w:val="20"/>
                <w:szCs w:val="20"/>
              </w:rPr>
              <w:t xml:space="preserve"> allgemeines Wohlergehen zu fördern („</w:t>
            </w:r>
            <w:proofErr w:type="spellStart"/>
            <w:r w:rsidRPr="00BE3728">
              <w:rPr>
                <w:sz w:val="20"/>
                <w:szCs w:val="20"/>
              </w:rPr>
              <w:t>right</w:t>
            </w:r>
            <w:proofErr w:type="spellEnd"/>
            <w:r w:rsidRPr="00BE3728">
              <w:rPr>
                <w:sz w:val="20"/>
                <w:szCs w:val="20"/>
              </w:rPr>
              <w:t xml:space="preserve"> […] and […] </w:t>
            </w:r>
            <w:proofErr w:type="spellStart"/>
            <w:r w:rsidRPr="00BE3728">
              <w:rPr>
                <w:sz w:val="20"/>
                <w:szCs w:val="20"/>
              </w:rPr>
              <w:t>duty</w:t>
            </w:r>
            <w:proofErr w:type="spellEnd"/>
            <w:r w:rsidRPr="00BE3728">
              <w:rPr>
                <w:sz w:val="20"/>
                <w:szCs w:val="20"/>
              </w:rPr>
              <w:t xml:space="preserve"> of a </w:t>
            </w:r>
            <w:proofErr w:type="spellStart"/>
            <w:r w:rsidRPr="00BE3728">
              <w:rPr>
                <w:sz w:val="20"/>
                <w:szCs w:val="20"/>
              </w:rPr>
              <w:t>state</w:t>
            </w:r>
            <w:proofErr w:type="spellEnd"/>
            <w:r w:rsidRPr="00BE3728">
              <w:rPr>
                <w:sz w:val="20"/>
                <w:szCs w:val="20"/>
              </w:rPr>
              <w:t xml:space="preserve"> to </w:t>
            </w:r>
            <w:proofErr w:type="spellStart"/>
            <w:r w:rsidRPr="00BE3728">
              <w:rPr>
                <w:sz w:val="20"/>
                <w:szCs w:val="20"/>
              </w:rPr>
              <w:t>advance</w:t>
            </w:r>
            <w:proofErr w:type="spellEnd"/>
            <w:r w:rsidRPr="00BE3728">
              <w:rPr>
                <w:sz w:val="20"/>
                <w:szCs w:val="20"/>
              </w:rPr>
              <w:t xml:space="preserve"> the </w:t>
            </w:r>
            <w:proofErr w:type="spellStart"/>
            <w:r w:rsidRPr="00BE3728">
              <w:rPr>
                <w:sz w:val="20"/>
                <w:szCs w:val="20"/>
              </w:rPr>
              <w:t>safety</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 xml:space="preserve">, and to </w:t>
            </w:r>
            <w:proofErr w:type="spellStart"/>
            <w:r w:rsidRPr="00BE3728">
              <w:rPr>
                <w:sz w:val="20"/>
                <w:szCs w:val="20"/>
              </w:rPr>
              <w:t>provide</w:t>
            </w:r>
            <w:proofErr w:type="spellEnd"/>
            <w:r w:rsidRPr="00BE3728">
              <w:rPr>
                <w:sz w:val="20"/>
                <w:szCs w:val="20"/>
              </w:rPr>
              <w:t xml:space="preserve"> for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general</w:t>
            </w:r>
            <w:proofErr w:type="spellEnd"/>
            <w:r w:rsidRPr="00BE3728">
              <w:rPr>
                <w:sz w:val="20"/>
                <w:szCs w:val="20"/>
              </w:rPr>
              <w:t xml:space="preserve"> </w:t>
            </w:r>
            <w:proofErr w:type="spellStart"/>
            <w:r w:rsidRPr="00BE3728">
              <w:rPr>
                <w:sz w:val="20"/>
                <w:szCs w:val="20"/>
              </w:rPr>
              <w:t>welfare</w:t>
            </w:r>
            <w:proofErr w:type="spellEnd"/>
            <w:r w:rsidRPr="00BE3728">
              <w:rPr>
                <w:sz w:val="20"/>
                <w:szCs w:val="20"/>
              </w:rPr>
              <w:t xml:space="preserve"> by </w:t>
            </w:r>
            <w:proofErr w:type="spellStart"/>
            <w:r w:rsidRPr="00BE3728">
              <w:rPr>
                <w:sz w:val="20"/>
                <w:szCs w:val="20"/>
              </w:rPr>
              <w:t>any</w:t>
            </w:r>
            <w:proofErr w:type="spellEnd"/>
            <w:r w:rsidRPr="00BE3728">
              <w:rPr>
                <w:sz w:val="20"/>
                <w:szCs w:val="20"/>
              </w:rPr>
              <w:t xml:space="preserve"> and </w:t>
            </w:r>
            <w:proofErr w:type="spellStart"/>
            <w:r w:rsidRPr="00BE3728">
              <w:rPr>
                <w:sz w:val="20"/>
                <w:szCs w:val="20"/>
              </w:rPr>
              <w:t>every</w:t>
            </w:r>
            <w:proofErr w:type="spellEnd"/>
            <w:r w:rsidRPr="00BE3728">
              <w:rPr>
                <w:sz w:val="20"/>
                <w:szCs w:val="20"/>
              </w:rPr>
              <w:t xml:space="preserve"> </w:t>
            </w:r>
            <w:proofErr w:type="spellStart"/>
            <w:r w:rsidRPr="00BE3728">
              <w:rPr>
                <w:sz w:val="20"/>
                <w:szCs w:val="20"/>
              </w:rPr>
              <w:t>act</w:t>
            </w:r>
            <w:proofErr w:type="spellEnd"/>
            <w:r w:rsidRPr="00BE3728">
              <w:rPr>
                <w:sz w:val="20"/>
                <w:szCs w:val="20"/>
              </w:rPr>
              <w:t xml:space="preserve"> of </w:t>
            </w:r>
            <w:proofErr w:type="spellStart"/>
            <w:r w:rsidRPr="00BE3728">
              <w:rPr>
                <w:sz w:val="20"/>
                <w:szCs w:val="20"/>
              </w:rPr>
              <w:t>legislation</w:t>
            </w:r>
            <w:proofErr w:type="spellEnd"/>
            <w:r w:rsidRPr="00BE3728">
              <w:rPr>
                <w:sz w:val="20"/>
                <w:szCs w:val="20"/>
              </w:rPr>
              <w:t>“).</w:t>
            </w:r>
            <w:r w:rsidRPr="00BE3728">
              <w:rPr>
                <w:rStyle w:val="Funotenzeichen"/>
                <w:sz w:val="20"/>
                <w:szCs w:val="20"/>
              </w:rPr>
              <w:footnoteReference w:id="310"/>
            </w:r>
            <w:r w:rsidRPr="00BE3728">
              <w:rPr>
                <w:sz w:val="20"/>
                <w:szCs w:val="20"/>
              </w:rPr>
              <w:t xml:space="preserve"> Dies tu</w:t>
            </w:r>
            <w:r>
              <w:rPr>
                <w:sz w:val="20"/>
                <w:szCs w:val="20"/>
              </w:rPr>
              <w:t>e</w:t>
            </w:r>
            <w:r w:rsidRPr="00BE3728">
              <w:rPr>
                <w:sz w:val="20"/>
                <w:szCs w:val="20"/>
              </w:rPr>
              <w:t xml:space="preserve"> er mit Gesetzgebungen, die er als förderlich für diese Ziele erachte und die sich an die Grenzen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h</w:t>
            </w:r>
            <w:r>
              <w:rPr>
                <w:sz w:val="20"/>
                <w:szCs w:val="20"/>
              </w:rPr>
              <w:t>ie</w:t>
            </w:r>
            <w:r w:rsidRPr="00BE3728">
              <w:rPr>
                <w:sz w:val="20"/>
                <w:szCs w:val="20"/>
              </w:rPr>
              <w:t>lten.</w:t>
            </w:r>
            <w:r w:rsidRPr="00BE3728">
              <w:rPr>
                <w:rStyle w:val="Funotenzeichen"/>
                <w:sz w:val="20"/>
                <w:szCs w:val="20"/>
              </w:rPr>
              <w:footnoteReference w:id="311"/>
            </w:r>
            <w:r w:rsidRPr="00BE3728">
              <w:rPr>
                <w:sz w:val="20"/>
                <w:szCs w:val="20"/>
              </w:rPr>
              <w:t xml:space="preserve"> Mit diesen Zielen </w:t>
            </w:r>
            <w:r>
              <w:rPr>
                <w:sz w:val="20"/>
                <w:szCs w:val="20"/>
              </w:rPr>
              <w:t>habe</w:t>
            </w:r>
            <w:r w:rsidRPr="00BE3728">
              <w:rPr>
                <w:sz w:val="20"/>
                <w:szCs w:val="20"/>
              </w:rPr>
              <w:t xml:space="preserve"> der Bundesstaat Illinois die Abschnitte 5 und 6 von </w:t>
            </w:r>
            <w:r>
              <w:rPr>
                <w:sz w:val="20"/>
                <w:szCs w:val="20"/>
              </w:rPr>
              <w:t>Art. </w:t>
            </w:r>
            <w:r w:rsidRPr="00BE3728">
              <w:rPr>
                <w:sz w:val="20"/>
                <w:szCs w:val="20"/>
              </w:rPr>
              <w:t>XI des Militärgesetzes</w:t>
            </w:r>
            <w:r>
              <w:rPr>
                <w:sz w:val="20"/>
                <w:szCs w:val="20"/>
              </w:rPr>
              <w:t xml:space="preserve"> erlassen</w:t>
            </w:r>
            <w:r w:rsidRPr="00BE3728">
              <w:rPr>
                <w:sz w:val="20"/>
                <w:szCs w:val="20"/>
              </w:rPr>
              <w:t xml:space="preserve">. Das stellte der </w:t>
            </w:r>
            <w:r>
              <w:rPr>
                <w:sz w:val="20"/>
                <w:szCs w:val="20"/>
              </w:rPr>
              <w:t>U.S. Supreme Court</w:t>
            </w:r>
            <w:r w:rsidRPr="00BE3728">
              <w:rPr>
                <w:sz w:val="20"/>
                <w:szCs w:val="20"/>
              </w:rPr>
              <w:t xml:space="preserve"> fest, indem er aus den Zielen folgende Konstruktionsregel ableitete: Ein Gesetz </w:t>
            </w:r>
            <w:r>
              <w:rPr>
                <w:sz w:val="20"/>
                <w:szCs w:val="20"/>
              </w:rPr>
              <w:t>müsse</w:t>
            </w:r>
            <w:r w:rsidRPr="00BE3728">
              <w:rPr>
                <w:sz w:val="20"/>
                <w:szCs w:val="20"/>
              </w:rPr>
              <w:t xml:space="preserve"> so ausgelegt werden, dass es mit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und dem übergeordneten Recht in Einklang stehe.</w:t>
            </w:r>
            <w:r w:rsidRPr="00BE3728">
              <w:rPr>
                <w:rStyle w:val="Funotenzeichen"/>
                <w:sz w:val="20"/>
                <w:szCs w:val="20"/>
              </w:rPr>
              <w:footnoteReference w:id="312"/>
            </w:r>
            <w:r w:rsidRPr="00BE3728">
              <w:rPr>
                <w:sz w:val="20"/>
                <w:szCs w:val="20"/>
              </w:rPr>
              <w:t xml:space="preserve"> Das übergeordnete Recht </w:t>
            </w:r>
            <w:r>
              <w:rPr>
                <w:sz w:val="20"/>
                <w:szCs w:val="20"/>
              </w:rPr>
              <w:t>seien</w:t>
            </w:r>
            <w:r w:rsidRPr="00BE3728">
              <w:rPr>
                <w:sz w:val="20"/>
                <w:szCs w:val="20"/>
              </w:rPr>
              <w:t xml:space="preserve"> die genannten Ziele. Hier bestand der Zweck konkret darin, freiwillige militärische Vereinigungen zu verbieten, damit sie sich nicht organisieren oder mit Waffen paradieren. Denn der Verfassungsgeber sah sie nicht vor, sondern nur das Militär.</w:t>
            </w:r>
            <w:r w:rsidRPr="00BE3728">
              <w:rPr>
                <w:rStyle w:val="Funotenzeichen"/>
                <w:sz w:val="20"/>
                <w:szCs w:val="20"/>
              </w:rPr>
              <w:footnoteReference w:id="313"/>
            </w:r>
          </w:p>
          <w:p w14:paraId="1E99C373" w14:textId="77777777" w:rsidR="00074551" w:rsidRPr="00E50B51" w:rsidRDefault="00074551" w:rsidP="00367133">
            <w:pPr>
              <w:jc w:val="both"/>
              <w:rPr>
                <w:sz w:val="20"/>
                <w:szCs w:val="20"/>
              </w:rPr>
            </w:pPr>
          </w:p>
        </w:tc>
      </w:tr>
      <w:tr w:rsidR="00074551" w:rsidRPr="00E50B51" w14:paraId="25029B60" w14:textId="77777777" w:rsidTr="00BE689F">
        <w:trPr>
          <w:cantSplit/>
          <w:trHeight w:val="3175"/>
        </w:trPr>
        <w:tc>
          <w:tcPr>
            <w:tcW w:w="293" w:type="pct"/>
          </w:tcPr>
          <w:p w14:paraId="6EE24021"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8C31950" w14:textId="77777777" w:rsidR="00074551" w:rsidRPr="00B45592" w:rsidRDefault="00074551" w:rsidP="00367133">
            <w:pPr>
              <w:ind w:left="113" w:right="416"/>
              <w:jc w:val="both"/>
              <w:rPr>
                <w:i/>
                <w:sz w:val="20"/>
                <w:szCs w:val="20"/>
                <w:lang w:val="en-US"/>
              </w:rPr>
            </w:pPr>
            <w:r w:rsidRPr="00B45592">
              <w:rPr>
                <w:i/>
                <w:sz w:val="20"/>
                <w:szCs w:val="20"/>
              </w:rPr>
              <w:t>Halter v. Nebraska</w:t>
            </w:r>
          </w:p>
        </w:tc>
        <w:tc>
          <w:tcPr>
            <w:tcW w:w="197" w:type="pct"/>
            <w:textDirection w:val="tbRl"/>
            <w:vAlign w:val="center"/>
          </w:tcPr>
          <w:p w14:paraId="6FAEFE7B" w14:textId="77777777" w:rsidR="00074551" w:rsidRPr="00E50B51" w:rsidRDefault="00074551" w:rsidP="00367133">
            <w:pPr>
              <w:ind w:left="113" w:right="113"/>
              <w:jc w:val="both"/>
              <w:rPr>
                <w:sz w:val="20"/>
                <w:szCs w:val="20"/>
                <w:lang w:val="en-US"/>
              </w:rPr>
            </w:pPr>
            <w:r w:rsidRPr="00BE3728">
              <w:rPr>
                <w:sz w:val="20"/>
                <w:szCs w:val="20"/>
              </w:rPr>
              <w:t>205 U.S. 34</w:t>
            </w:r>
          </w:p>
        </w:tc>
        <w:tc>
          <w:tcPr>
            <w:tcW w:w="306" w:type="pct"/>
            <w:textDirection w:val="tbRl"/>
            <w:vAlign w:val="center"/>
          </w:tcPr>
          <w:p w14:paraId="2765AE98" w14:textId="77777777" w:rsidR="00074551" w:rsidRPr="00E50B51" w:rsidRDefault="00074551" w:rsidP="00367133">
            <w:pPr>
              <w:ind w:left="113" w:right="113"/>
              <w:jc w:val="both"/>
              <w:rPr>
                <w:sz w:val="20"/>
                <w:szCs w:val="20"/>
              </w:rPr>
            </w:pPr>
            <w:r w:rsidRPr="00BE3728">
              <w:rPr>
                <w:sz w:val="20"/>
                <w:szCs w:val="20"/>
              </w:rPr>
              <w:t>04. März 1907</w:t>
            </w:r>
          </w:p>
        </w:tc>
        <w:tc>
          <w:tcPr>
            <w:tcW w:w="401" w:type="pct"/>
          </w:tcPr>
          <w:p w14:paraId="02E7C514"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10804B2A" w14:textId="5CC02DE1" w:rsidR="00074551" w:rsidRPr="00BE3728" w:rsidRDefault="00074551" w:rsidP="00367133">
            <w:pPr>
              <w:jc w:val="both"/>
              <w:rPr>
                <w:sz w:val="20"/>
                <w:szCs w:val="20"/>
              </w:rPr>
            </w:pPr>
            <w:r w:rsidRPr="00BE3728">
              <w:rPr>
                <w:sz w:val="20"/>
                <w:szCs w:val="20"/>
              </w:rPr>
              <w:t xml:space="preserve">Die Verurteilungen der Angeklagten wurden bestätigt. Sie hatten die US-Flagge auf Bierflaschen für Werbezwecke genutzt. Das </w:t>
            </w:r>
            <w:proofErr w:type="spellStart"/>
            <w:r w:rsidRPr="00BE3728">
              <w:rPr>
                <w:sz w:val="20"/>
                <w:szCs w:val="20"/>
              </w:rPr>
              <w:t>verbot</w:t>
            </w:r>
            <w:proofErr w:type="spellEnd"/>
            <w:r w:rsidRPr="00BE3728">
              <w:rPr>
                <w:sz w:val="20"/>
                <w:szCs w:val="20"/>
              </w:rPr>
              <w:t xml:space="preserve"> 1903 </w:t>
            </w:r>
            <w:proofErr w:type="spellStart"/>
            <w:r w:rsidRPr="00BE3728">
              <w:rPr>
                <w:sz w:val="20"/>
                <w:szCs w:val="20"/>
              </w:rPr>
              <w:t>Neb</w:t>
            </w:r>
            <w:proofErr w:type="spellEnd"/>
            <w:r w:rsidRPr="00BE3728">
              <w:rPr>
                <w:sz w:val="20"/>
                <w:szCs w:val="20"/>
              </w:rPr>
              <w:t xml:space="preserve">. Laws </w:t>
            </w:r>
            <w:r>
              <w:rPr>
                <w:sz w:val="20"/>
                <w:szCs w:val="20"/>
              </w:rPr>
              <w:t>§ </w:t>
            </w:r>
            <w:r w:rsidRPr="00BE3728">
              <w:rPr>
                <w:sz w:val="20"/>
                <w:szCs w:val="20"/>
              </w:rPr>
              <w:t>2375(g).</w:t>
            </w:r>
            <w:r w:rsidRPr="00BE3728">
              <w:rPr>
                <w:rStyle w:val="Funotenzeichen"/>
                <w:sz w:val="20"/>
                <w:szCs w:val="20"/>
              </w:rPr>
              <w:footnoteReference w:id="314"/>
            </w:r>
            <w:r w:rsidRPr="00BE3728">
              <w:rPr>
                <w:sz w:val="20"/>
                <w:szCs w:val="20"/>
              </w:rPr>
              <w:t xml:space="preserve"> Dieses Gesetz verletze weder ihre persönliche Freiheit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noch den Gleichheitssatz. </w:t>
            </w:r>
            <w:r>
              <w:rPr>
                <w:sz w:val="20"/>
                <w:szCs w:val="20"/>
              </w:rPr>
              <w:t>Der</w:t>
            </w:r>
            <w:r w:rsidRPr="00BE3728">
              <w:rPr>
                <w:sz w:val="20"/>
                <w:szCs w:val="20"/>
              </w:rPr>
              <w:t xml:space="preserve"> </w:t>
            </w:r>
            <w:r>
              <w:rPr>
                <w:sz w:val="20"/>
                <w:szCs w:val="20"/>
              </w:rPr>
              <w:t>U.S. Supreme Court</w:t>
            </w:r>
            <w:r w:rsidRPr="00BE3728">
              <w:rPr>
                <w:sz w:val="20"/>
                <w:szCs w:val="20"/>
              </w:rPr>
              <w:t xml:space="preserve"> urteilte weiter, die Nutzung der Flagge für Werbezwecke sei verfassungskonform untersagt. Der Kongress hatte dies nicht geregelt, daher l</w:t>
            </w:r>
            <w:r>
              <w:rPr>
                <w:sz w:val="20"/>
                <w:szCs w:val="20"/>
              </w:rPr>
              <w:t>ie</w:t>
            </w:r>
            <w:r w:rsidRPr="00BE3728">
              <w:rPr>
                <w:sz w:val="20"/>
                <w:szCs w:val="20"/>
              </w:rPr>
              <w:t>g</w:t>
            </w:r>
            <w:r>
              <w:rPr>
                <w:sz w:val="20"/>
                <w:szCs w:val="20"/>
              </w:rPr>
              <w:t>e</w:t>
            </w:r>
            <w:r w:rsidRPr="00BE3728">
              <w:rPr>
                <w:sz w:val="20"/>
                <w:szCs w:val="20"/>
              </w:rPr>
              <w:t xml:space="preserve"> die Kompetenz bei Nebraska. Die Klassifizierung durch Nebraska </w:t>
            </w:r>
            <w:r>
              <w:rPr>
                <w:sz w:val="20"/>
                <w:szCs w:val="20"/>
              </w:rPr>
              <w:t>sei</w:t>
            </w:r>
            <w:r w:rsidRPr="00BE3728">
              <w:rPr>
                <w:sz w:val="20"/>
                <w:szCs w:val="20"/>
              </w:rPr>
              <w:t xml:space="preserve"> nicht willkürlich</w:t>
            </w:r>
            <w:r>
              <w:rPr>
                <w:sz w:val="20"/>
                <w:szCs w:val="20"/>
              </w:rPr>
              <w:t>, denn das</w:t>
            </w:r>
            <w:r w:rsidRPr="00BE3728">
              <w:rPr>
                <w:sz w:val="20"/>
                <w:szCs w:val="20"/>
              </w:rPr>
              <w:t xml:space="preserve"> Gesetz diene dem Gemeinwohl und der öffentlichen Ordnung.</w:t>
            </w:r>
            <w:r w:rsidRPr="00BE3728">
              <w:rPr>
                <w:rStyle w:val="Funotenzeichen"/>
                <w:sz w:val="20"/>
                <w:szCs w:val="20"/>
              </w:rPr>
              <w:footnoteReference w:id="315"/>
            </w:r>
          </w:p>
          <w:p w14:paraId="24D034E5" w14:textId="77777777" w:rsidR="00074551" w:rsidRPr="00E50B51" w:rsidRDefault="00074551" w:rsidP="00367133">
            <w:pPr>
              <w:jc w:val="both"/>
              <w:rPr>
                <w:sz w:val="20"/>
                <w:szCs w:val="20"/>
              </w:rPr>
            </w:pPr>
          </w:p>
        </w:tc>
        <w:tc>
          <w:tcPr>
            <w:tcW w:w="1822" w:type="pct"/>
          </w:tcPr>
          <w:p w14:paraId="628A0D3B"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Supremacy Clause › General Overview</w:t>
            </w:r>
          </w:p>
          <w:p w14:paraId="652A7AAE" w14:textId="77777777" w:rsidR="00074551" w:rsidRPr="00BE3728" w:rsidRDefault="00074551" w:rsidP="00367133">
            <w:pPr>
              <w:jc w:val="both"/>
              <w:rPr>
                <w:sz w:val="20"/>
                <w:szCs w:val="20"/>
                <w:lang w:val="en-US"/>
              </w:rPr>
            </w:pPr>
          </w:p>
          <w:p w14:paraId="29B154C8" w14:textId="77777777" w:rsidR="00074551" w:rsidRPr="00BE3728" w:rsidRDefault="00074551" w:rsidP="00367133">
            <w:pPr>
              <w:jc w:val="both"/>
              <w:rPr>
                <w:sz w:val="20"/>
                <w:szCs w:val="20"/>
              </w:rPr>
            </w:pPr>
            <w:r w:rsidRPr="00BE3728">
              <w:rPr>
                <w:sz w:val="20"/>
                <w:szCs w:val="20"/>
              </w:rPr>
              <w:t>Ein Bundesstaat hat die gesetzgebende Gewalt, sofern sie nicht eingeschrä</w:t>
            </w:r>
            <w:r>
              <w:rPr>
                <w:sz w:val="20"/>
                <w:szCs w:val="20"/>
              </w:rPr>
              <w:t>n</w:t>
            </w:r>
            <w:r w:rsidRPr="00BE3728">
              <w:rPr>
                <w:sz w:val="20"/>
                <w:szCs w:val="20"/>
              </w:rPr>
              <w:t>kt wird durch die bundesstaatliche Verfassung</w:t>
            </w:r>
            <w:r>
              <w:rPr>
                <w:sz w:val="20"/>
                <w:szCs w:val="20"/>
              </w:rPr>
              <w:t xml:space="preserve"> oder</w:t>
            </w:r>
            <w:r w:rsidRPr="00BE3728">
              <w:rPr>
                <w:sz w:val="20"/>
                <w:szCs w:val="20"/>
              </w:rPr>
              <w:t xml:space="preserv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und sie vereinbar ist mit einer republikanischen Regierungsform. In diesem Rahmen kann ein Bundesstaat die Gesetzgebung ausüben. Er soll damit nicht nur für die Gesundheit, die Moral und die Sicherheit seines Volkes sorgen, sondern auch für das Gemeinwohl, das mit dem Wohlergehen, Frieden, Glück und Wohlstand des Volkes verbunden ist („</w:t>
            </w:r>
            <w:proofErr w:type="spellStart"/>
            <w:r w:rsidRPr="00BE3728">
              <w:rPr>
                <w:sz w:val="20"/>
                <w:szCs w:val="20"/>
              </w:rPr>
              <w:t>common</w:t>
            </w:r>
            <w:proofErr w:type="spellEnd"/>
            <w:r w:rsidRPr="00BE3728">
              <w:rPr>
                <w:sz w:val="20"/>
                <w:szCs w:val="20"/>
              </w:rPr>
              <w:t xml:space="preserve"> </w:t>
            </w:r>
            <w:proofErr w:type="spellStart"/>
            <w:r w:rsidRPr="00BE3728">
              <w:rPr>
                <w:sz w:val="20"/>
                <w:szCs w:val="20"/>
              </w:rPr>
              <w:t>good</w:t>
            </w:r>
            <w:proofErr w:type="spellEnd"/>
            <w:r w:rsidRPr="00BE3728">
              <w:rPr>
                <w:sz w:val="20"/>
                <w:szCs w:val="20"/>
              </w:rPr>
              <w:t xml:space="preserve">, as </w:t>
            </w:r>
            <w:proofErr w:type="spellStart"/>
            <w:r w:rsidRPr="00BE3728">
              <w:rPr>
                <w:sz w:val="20"/>
                <w:szCs w:val="20"/>
              </w:rPr>
              <w:t>involved</w:t>
            </w:r>
            <w:proofErr w:type="spellEnd"/>
            <w:r w:rsidRPr="00BE3728">
              <w:rPr>
                <w:sz w:val="20"/>
                <w:szCs w:val="20"/>
              </w:rPr>
              <w:t xml:space="preserve"> in the well-</w:t>
            </w:r>
            <w:proofErr w:type="spellStart"/>
            <w:r w:rsidRPr="00BE3728">
              <w:rPr>
                <w:sz w:val="20"/>
                <w:szCs w:val="20"/>
              </w:rPr>
              <w:t>being</w:t>
            </w:r>
            <w:proofErr w:type="spellEnd"/>
            <w:r w:rsidRPr="00BE3728">
              <w:rPr>
                <w:sz w:val="20"/>
                <w:szCs w:val="20"/>
              </w:rPr>
              <w:t xml:space="preserve">, </w:t>
            </w:r>
            <w:proofErr w:type="spellStart"/>
            <w:r w:rsidRPr="00BE3728">
              <w:rPr>
                <w:sz w:val="20"/>
                <w:szCs w:val="20"/>
              </w:rPr>
              <w:t>peace</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316"/>
            </w:r>
            <w:r w:rsidRPr="00BE3728">
              <w:rPr>
                <w:sz w:val="20"/>
                <w:szCs w:val="20"/>
              </w:rPr>
              <w:t xml:space="preserve">). Ausgehend von diesen Grundsätzen („Guided by </w:t>
            </w:r>
            <w:proofErr w:type="spellStart"/>
            <w:r w:rsidRPr="00BE3728">
              <w:rPr>
                <w:sz w:val="20"/>
                <w:szCs w:val="20"/>
              </w:rPr>
              <w:t>these</w:t>
            </w:r>
            <w:proofErr w:type="spellEnd"/>
            <w:r w:rsidRPr="00BE3728">
              <w:rPr>
                <w:sz w:val="20"/>
                <w:szCs w:val="20"/>
              </w:rPr>
              <w:t xml:space="preserve"> </w:t>
            </w:r>
            <w:proofErr w:type="spellStart"/>
            <w:r w:rsidRPr="00BE3728">
              <w:rPr>
                <w:sz w:val="20"/>
                <w:szCs w:val="20"/>
              </w:rPr>
              <w:t>principles</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317"/>
            </w:r>
            <w:r w:rsidRPr="00BE3728">
              <w:rPr>
                <w:sz w:val="20"/>
                <w:szCs w:val="20"/>
              </w:rPr>
              <w:t>) können Flaggen zu Werbezwecken verboten werden</w:t>
            </w:r>
            <w:r>
              <w:rPr>
                <w:sz w:val="20"/>
                <w:szCs w:val="20"/>
              </w:rPr>
              <w:t>, d</w:t>
            </w:r>
            <w:r w:rsidRPr="00BE3728">
              <w:rPr>
                <w:sz w:val="20"/>
                <w:szCs w:val="20"/>
              </w:rPr>
              <w:t xml:space="preserve">enn sie sind Symbol für Souveränität und Staatsbürgerschaft. </w:t>
            </w:r>
            <w:r>
              <w:rPr>
                <w:sz w:val="20"/>
                <w:szCs w:val="20"/>
              </w:rPr>
              <w:t>Schmähungen der Flagge hätten</w:t>
            </w:r>
            <w:r w:rsidRPr="00BE3728">
              <w:rPr>
                <w:sz w:val="20"/>
                <w:szCs w:val="20"/>
              </w:rPr>
              <w:t xml:space="preserve"> in der </w:t>
            </w:r>
            <w:r w:rsidRPr="00B45592">
              <w:rPr>
                <w:sz w:val="20"/>
                <w:szCs w:val="20"/>
              </w:rPr>
              <w:t>Vergangenheit sogar zu Kriegen</w:t>
            </w:r>
            <w:r>
              <w:rPr>
                <w:sz w:val="20"/>
                <w:szCs w:val="20"/>
              </w:rPr>
              <w:t xml:space="preserve"> geführt</w:t>
            </w:r>
            <w:r w:rsidRPr="00B45592">
              <w:rPr>
                <w:sz w:val="20"/>
                <w:szCs w:val="20"/>
              </w:rPr>
              <w:t>, weshalb sie als Symbol besonders zu schützen sei.</w:t>
            </w:r>
            <w:r w:rsidRPr="00B45592">
              <w:rPr>
                <w:rStyle w:val="Funotenzeichen"/>
                <w:sz w:val="20"/>
                <w:szCs w:val="20"/>
              </w:rPr>
              <w:footnoteReference w:id="318"/>
            </w:r>
          </w:p>
          <w:p w14:paraId="130E41E5" w14:textId="77777777" w:rsidR="00074551" w:rsidRPr="00E50B51" w:rsidRDefault="00074551" w:rsidP="00367133">
            <w:pPr>
              <w:jc w:val="both"/>
              <w:rPr>
                <w:sz w:val="20"/>
                <w:szCs w:val="20"/>
              </w:rPr>
            </w:pPr>
          </w:p>
        </w:tc>
      </w:tr>
      <w:tr w:rsidR="00074551" w:rsidRPr="00E50B51" w14:paraId="26E7987E" w14:textId="77777777" w:rsidTr="00BE689F">
        <w:trPr>
          <w:cantSplit/>
          <w:trHeight w:val="3175"/>
        </w:trPr>
        <w:tc>
          <w:tcPr>
            <w:tcW w:w="293" w:type="pct"/>
          </w:tcPr>
          <w:p w14:paraId="700F79A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1CBAFC53" w14:textId="77777777" w:rsidR="00074551" w:rsidRPr="00E50B51" w:rsidRDefault="00074551" w:rsidP="00367133">
            <w:pPr>
              <w:ind w:left="113" w:right="416"/>
              <w:jc w:val="both"/>
              <w:rPr>
                <w:sz w:val="20"/>
                <w:szCs w:val="20"/>
                <w:lang w:val="en-US"/>
              </w:rPr>
            </w:pPr>
            <w:r w:rsidRPr="007360B0">
              <w:rPr>
                <w:i/>
                <w:sz w:val="20"/>
                <w:szCs w:val="20"/>
              </w:rPr>
              <w:t>Marbury v. Madison</w:t>
            </w:r>
          </w:p>
        </w:tc>
        <w:tc>
          <w:tcPr>
            <w:tcW w:w="197" w:type="pct"/>
            <w:textDirection w:val="tbRl"/>
            <w:vAlign w:val="center"/>
          </w:tcPr>
          <w:p w14:paraId="4C6EAAFB" w14:textId="77777777" w:rsidR="00074551" w:rsidRPr="00E50B51" w:rsidRDefault="00074551" w:rsidP="00367133">
            <w:pPr>
              <w:ind w:left="113" w:right="113"/>
              <w:jc w:val="both"/>
              <w:rPr>
                <w:sz w:val="20"/>
                <w:szCs w:val="20"/>
                <w:lang w:val="en-US"/>
              </w:rPr>
            </w:pPr>
            <w:r w:rsidRPr="00BE3728">
              <w:rPr>
                <w:sz w:val="20"/>
                <w:szCs w:val="20"/>
              </w:rPr>
              <w:t>5 U.S. 137</w:t>
            </w:r>
          </w:p>
        </w:tc>
        <w:tc>
          <w:tcPr>
            <w:tcW w:w="306" w:type="pct"/>
            <w:textDirection w:val="tbRl"/>
            <w:vAlign w:val="center"/>
          </w:tcPr>
          <w:p w14:paraId="4CA24D2E" w14:textId="77777777" w:rsidR="00074551" w:rsidRPr="00E50B51" w:rsidRDefault="00074551" w:rsidP="00367133">
            <w:pPr>
              <w:ind w:left="113" w:right="113"/>
              <w:jc w:val="both"/>
              <w:rPr>
                <w:sz w:val="20"/>
                <w:szCs w:val="20"/>
              </w:rPr>
            </w:pPr>
            <w:r w:rsidRPr="00BE3728">
              <w:rPr>
                <w:sz w:val="20"/>
                <w:szCs w:val="20"/>
              </w:rPr>
              <w:t>24. Februar 1803</w:t>
            </w:r>
          </w:p>
        </w:tc>
        <w:tc>
          <w:tcPr>
            <w:tcW w:w="401" w:type="pct"/>
          </w:tcPr>
          <w:p w14:paraId="0977AA11"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4EC4052C" w14:textId="7E5D6669" w:rsidR="00074551" w:rsidRPr="00E50B51" w:rsidRDefault="00074551" w:rsidP="00367133">
            <w:pPr>
              <w:jc w:val="both"/>
              <w:rPr>
                <w:sz w:val="20"/>
                <w:szCs w:val="20"/>
              </w:rPr>
            </w:pPr>
            <w:r>
              <w:rPr>
                <w:sz w:val="20"/>
                <w:szCs w:val="20"/>
              </w:rPr>
              <w:t xml:space="preserve">In </w:t>
            </w:r>
            <w:r w:rsidRPr="007360B0">
              <w:rPr>
                <w:i/>
                <w:sz w:val="20"/>
                <w:szCs w:val="20"/>
              </w:rPr>
              <w:t>Marbury v. Madison</w:t>
            </w:r>
            <w:r w:rsidRPr="00BE3728">
              <w:rPr>
                <w:sz w:val="20"/>
                <w:szCs w:val="20"/>
              </w:rPr>
              <w:t xml:space="preserve"> ging es darum, dass der Kongress </w:t>
            </w:r>
            <w:r>
              <w:rPr>
                <w:sz w:val="20"/>
                <w:szCs w:val="20"/>
              </w:rPr>
              <w:t>1801</w:t>
            </w:r>
            <w:r w:rsidRPr="00BE3728">
              <w:rPr>
                <w:sz w:val="20"/>
                <w:szCs w:val="20"/>
              </w:rPr>
              <w:t xml:space="preserve"> den</w:t>
            </w:r>
            <w:r>
              <w:rPr>
                <w:sz w:val="20"/>
                <w:szCs w:val="20"/>
              </w:rPr>
              <w:t xml:space="preserve"> </w:t>
            </w:r>
            <w:proofErr w:type="spellStart"/>
            <w:r w:rsidRPr="00763E53">
              <w:rPr>
                <w:i/>
                <w:sz w:val="20"/>
                <w:szCs w:val="20"/>
              </w:rPr>
              <w:t>Judiciary</w:t>
            </w:r>
            <w:proofErr w:type="spellEnd"/>
            <w:r w:rsidRPr="00763E53">
              <w:rPr>
                <w:i/>
                <w:sz w:val="20"/>
                <w:szCs w:val="20"/>
              </w:rPr>
              <w:t xml:space="preserve"> Act</w:t>
            </w:r>
            <w:r w:rsidRPr="00BE3728">
              <w:rPr>
                <w:i/>
                <w:iCs/>
                <w:sz w:val="20"/>
                <w:szCs w:val="20"/>
              </w:rPr>
              <w:t xml:space="preserve"> </w:t>
            </w:r>
            <w:r w:rsidRPr="00BE3728">
              <w:rPr>
                <w:sz w:val="20"/>
                <w:szCs w:val="20"/>
              </w:rPr>
              <w:t>verabschiedet</w:t>
            </w:r>
            <w:r>
              <w:rPr>
                <w:sz w:val="20"/>
                <w:szCs w:val="20"/>
              </w:rPr>
              <w:t xml:space="preserve"> hatte</w:t>
            </w:r>
            <w:r w:rsidRPr="00BE3728">
              <w:rPr>
                <w:sz w:val="20"/>
                <w:szCs w:val="20"/>
              </w:rPr>
              <w:t xml:space="preserve">. Dieser schuf neue Gerichte sowie Richterstellen. Er gab dem </w:t>
            </w:r>
            <w:r>
              <w:rPr>
                <w:sz w:val="20"/>
                <w:szCs w:val="20"/>
              </w:rPr>
              <w:t xml:space="preserve">US-Präsidenten </w:t>
            </w:r>
            <w:r w:rsidRPr="00BE3728">
              <w:rPr>
                <w:sz w:val="20"/>
                <w:szCs w:val="20"/>
              </w:rPr>
              <w:t xml:space="preserve">zugleich mehr Kontrolle darüber, Richter zu ernennen. Diese Ernennungen musste dann der Senat billigen. Sie würden indes erst gültig, wenn der Außenminister die Ernennungsurkunde zustellte. Zwar </w:t>
            </w:r>
            <w:r>
              <w:rPr>
                <w:sz w:val="20"/>
                <w:szCs w:val="20"/>
              </w:rPr>
              <w:t>hatte</w:t>
            </w:r>
            <w:r w:rsidRPr="00BE3728">
              <w:rPr>
                <w:sz w:val="20"/>
                <w:szCs w:val="20"/>
              </w:rPr>
              <w:t xml:space="preserve"> der Senat</w:t>
            </w:r>
            <w:r>
              <w:rPr>
                <w:sz w:val="20"/>
                <w:szCs w:val="20"/>
              </w:rPr>
              <w:t xml:space="preserve"> gebilligt, </w:t>
            </w:r>
            <w:r w:rsidRPr="00BE3728">
              <w:rPr>
                <w:sz w:val="20"/>
                <w:szCs w:val="20"/>
              </w:rPr>
              <w:t>William Marbury zum Richter (</w:t>
            </w:r>
            <w:proofErr w:type="spellStart"/>
            <w:r w:rsidRPr="00BE3728">
              <w:rPr>
                <w:i/>
                <w:iCs/>
                <w:sz w:val="20"/>
                <w:szCs w:val="20"/>
              </w:rPr>
              <w:t>justice</w:t>
            </w:r>
            <w:proofErr w:type="spellEnd"/>
            <w:r w:rsidRPr="00BE3728">
              <w:rPr>
                <w:i/>
                <w:iCs/>
                <w:sz w:val="20"/>
                <w:szCs w:val="20"/>
              </w:rPr>
              <w:t xml:space="preserve"> of </w:t>
            </w:r>
            <w:proofErr w:type="spellStart"/>
            <w:r w:rsidRPr="00BE3728">
              <w:rPr>
                <w:i/>
                <w:iCs/>
                <w:sz w:val="20"/>
                <w:szCs w:val="20"/>
              </w:rPr>
              <w:t>peace</w:t>
            </w:r>
            <w:proofErr w:type="spellEnd"/>
            <w:r w:rsidRPr="00B45592">
              <w:rPr>
                <w:sz w:val="20"/>
                <w:szCs w:val="20"/>
                <w:vertAlign w:val="superscript"/>
              </w:rPr>
              <w:footnoteReference w:id="319"/>
            </w:r>
            <w:r w:rsidRPr="00BE3728">
              <w:rPr>
                <w:sz w:val="20"/>
                <w:szCs w:val="20"/>
              </w:rPr>
              <w:t xml:space="preserve">) zu ernennen. Aber seine Ernennungsurkunde stellte der Außenminister Madison nicht zu. Marbury und andere Richter beantragten daher beim </w:t>
            </w:r>
            <w:r>
              <w:rPr>
                <w:sz w:val="20"/>
                <w:szCs w:val="20"/>
              </w:rPr>
              <w:t>U.S. Supreme Court</w:t>
            </w:r>
            <w:r w:rsidRPr="00BE3728">
              <w:rPr>
                <w:sz w:val="20"/>
                <w:szCs w:val="20"/>
              </w:rPr>
              <w:t xml:space="preserve">, dem Außenminister aufzugeben, die Ernennungsurkunde zuzustellen. Diese Zustellungsurkunde nennt sich </w:t>
            </w:r>
            <w:proofErr w:type="spellStart"/>
            <w:r w:rsidRPr="00BE3728">
              <w:rPr>
                <w:sz w:val="20"/>
                <w:szCs w:val="20"/>
              </w:rPr>
              <w:t>Mandamus</w:t>
            </w:r>
            <w:proofErr w:type="spellEnd"/>
            <w:r w:rsidRPr="00BE3728">
              <w:rPr>
                <w:sz w:val="20"/>
                <w:szCs w:val="20"/>
              </w:rPr>
              <w:t xml:space="preserve">-Schreiben. An den </w:t>
            </w:r>
            <w:r>
              <w:rPr>
                <w:sz w:val="20"/>
                <w:szCs w:val="20"/>
              </w:rPr>
              <w:t>U.S. Supreme Court</w:t>
            </w:r>
            <w:r w:rsidRPr="00BE3728">
              <w:rPr>
                <w:sz w:val="20"/>
                <w:szCs w:val="20"/>
              </w:rPr>
              <w:t xml:space="preserve"> richteten sich drei Fragen: Haben die Richter ein Recht, ihre Ernennungsurkunden zugestellt zu bekommen? Können sie entgangenes Gehalt einklagen? Und ist der </w:t>
            </w:r>
            <w:r>
              <w:rPr>
                <w:sz w:val="20"/>
                <w:szCs w:val="20"/>
              </w:rPr>
              <w:t>U.S. Supreme Court</w:t>
            </w:r>
            <w:r w:rsidRPr="00BE3728">
              <w:rPr>
                <w:sz w:val="20"/>
                <w:szCs w:val="20"/>
              </w:rPr>
              <w:t xml:space="preserve"> überhaupt befugt, solche Urteilssprüche zu treffen? Der </w:t>
            </w:r>
            <w:r>
              <w:rPr>
                <w:sz w:val="20"/>
                <w:szCs w:val="20"/>
              </w:rPr>
              <w:t>U.S. Supreme Court</w:t>
            </w:r>
            <w:r w:rsidRPr="00BE3728">
              <w:rPr>
                <w:sz w:val="20"/>
                <w:szCs w:val="20"/>
              </w:rPr>
              <w:t xml:space="preserve"> urteilte, zwar sei es rechtswidr</w:t>
            </w:r>
            <w:r>
              <w:rPr>
                <w:sz w:val="20"/>
                <w:szCs w:val="20"/>
              </w:rPr>
              <w:t>i</w:t>
            </w:r>
            <w:r w:rsidRPr="00BE3728">
              <w:rPr>
                <w:sz w:val="20"/>
                <w:szCs w:val="20"/>
              </w:rPr>
              <w:t xml:space="preserve">g, dass der Außenminister sich weigere, die Ernennungsurkunde zuzustellen. Aber er ordnete kein </w:t>
            </w:r>
            <w:proofErr w:type="spellStart"/>
            <w:r w:rsidRPr="00BE3728">
              <w:rPr>
                <w:sz w:val="20"/>
                <w:szCs w:val="20"/>
              </w:rPr>
              <w:t>Mandamus</w:t>
            </w:r>
            <w:proofErr w:type="spellEnd"/>
            <w:r w:rsidRPr="00BE3728">
              <w:rPr>
                <w:sz w:val="20"/>
                <w:szCs w:val="20"/>
              </w:rPr>
              <w:t xml:space="preserve">-Schreiben an. Stattdessen sei der </w:t>
            </w:r>
            <w:proofErr w:type="spellStart"/>
            <w:r w:rsidRPr="00763E53">
              <w:rPr>
                <w:i/>
                <w:sz w:val="20"/>
                <w:szCs w:val="20"/>
              </w:rPr>
              <w:t>Judiciary</w:t>
            </w:r>
            <w:proofErr w:type="spellEnd"/>
            <w:r w:rsidRPr="00763E53">
              <w:rPr>
                <w:i/>
                <w:sz w:val="20"/>
                <w:szCs w:val="20"/>
              </w:rPr>
              <w:t xml:space="preserve"> Act</w:t>
            </w:r>
            <w:r w:rsidRPr="00BE3728">
              <w:rPr>
                <w:sz w:val="20"/>
                <w:szCs w:val="20"/>
              </w:rPr>
              <w:t xml:space="preserve"> insgesamt verfassungswidrig. Denn der </w:t>
            </w:r>
            <w:proofErr w:type="spellStart"/>
            <w:r w:rsidRPr="00763E53">
              <w:rPr>
                <w:i/>
                <w:sz w:val="20"/>
                <w:szCs w:val="20"/>
              </w:rPr>
              <w:t>Judiciary</w:t>
            </w:r>
            <w:proofErr w:type="spellEnd"/>
            <w:r w:rsidRPr="00763E53">
              <w:rPr>
                <w:i/>
                <w:sz w:val="20"/>
                <w:szCs w:val="20"/>
              </w:rPr>
              <w:t xml:space="preserve"> Act</w:t>
            </w:r>
            <w:r w:rsidRPr="00BE3728">
              <w:rPr>
                <w:sz w:val="20"/>
                <w:szCs w:val="20"/>
              </w:rPr>
              <w:t xml:space="preserve"> ermögliche u.a. Marbury, seine Klage direkt beim </w:t>
            </w:r>
            <w:r>
              <w:rPr>
                <w:sz w:val="20"/>
                <w:szCs w:val="20"/>
              </w:rPr>
              <w:t>U.S. Supreme Court</w:t>
            </w:r>
            <w:r w:rsidRPr="00BE3728">
              <w:rPr>
                <w:sz w:val="20"/>
                <w:szCs w:val="20"/>
              </w:rPr>
              <w:t xml:space="preserve"> einzureichen, was aber über die Zuständigkeit des Gerichts in </w:t>
            </w:r>
            <w:r w:rsidR="00023A37">
              <w:rPr>
                <w:sz w:val="20"/>
                <w:szCs w:val="20"/>
              </w:rPr>
              <w:t xml:space="preserve">U.S. </w:t>
            </w:r>
            <w:proofErr w:type="spellStart"/>
            <w:r w:rsidR="00023A37">
              <w:rPr>
                <w:sz w:val="20"/>
                <w:szCs w:val="20"/>
              </w:rPr>
              <w:t>Const</w:t>
            </w:r>
            <w:proofErr w:type="spellEnd"/>
            <w:r w:rsidR="00023A37">
              <w:rPr>
                <w:sz w:val="20"/>
                <w:szCs w:val="20"/>
              </w:rPr>
              <w:t>. art. III, § 2</w:t>
            </w:r>
            <w:r w:rsidRPr="00BE3728">
              <w:rPr>
                <w:sz w:val="20"/>
                <w:szCs w:val="20"/>
              </w:rPr>
              <w:t xml:space="preserve"> hinaus gehe.</w:t>
            </w:r>
            <w:r>
              <w:rPr>
                <w:sz w:val="20"/>
                <w:szCs w:val="20"/>
              </w:rPr>
              <w:t xml:space="preserve"> </w:t>
            </w:r>
            <w:r w:rsidRPr="00BE3728">
              <w:rPr>
                <w:sz w:val="20"/>
                <w:szCs w:val="20"/>
              </w:rPr>
              <w:t>Zudem sei der Kongress ohnehin nicht befugt, die Verfassung durch ein einfaches Gesetz (</w:t>
            </w:r>
            <w:proofErr w:type="spellStart"/>
            <w:r w:rsidRPr="00B45592">
              <w:rPr>
                <w:i/>
                <w:sz w:val="20"/>
                <w:szCs w:val="20"/>
              </w:rPr>
              <w:t>Judiciary</w:t>
            </w:r>
            <w:proofErr w:type="spellEnd"/>
            <w:r w:rsidRPr="00B45592">
              <w:rPr>
                <w:i/>
                <w:sz w:val="20"/>
                <w:szCs w:val="20"/>
              </w:rPr>
              <w:t xml:space="preserve"> Act</w:t>
            </w:r>
            <w:r w:rsidRPr="00BE3728">
              <w:rPr>
                <w:sz w:val="20"/>
                <w:szCs w:val="20"/>
              </w:rPr>
              <w:t xml:space="preserve">) zu abzuändern. Wegen der </w:t>
            </w:r>
            <w:r w:rsidRPr="00A142D9">
              <w:rPr>
                <w:i/>
                <w:sz w:val="20"/>
                <w:szCs w:val="20"/>
              </w:rPr>
              <w:t xml:space="preserve">Supremacy </w:t>
            </w:r>
            <w:proofErr w:type="spellStart"/>
            <w:r w:rsidRPr="00A142D9">
              <w:rPr>
                <w:i/>
                <w:sz w:val="20"/>
                <w:szCs w:val="20"/>
              </w:rPr>
              <w:t>Clause</w:t>
            </w:r>
            <w:proofErr w:type="spellEnd"/>
            <w:r w:rsidRPr="00BE3728">
              <w:rPr>
                <w:sz w:val="20"/>
                <w:szCs w:val="20"/>
              </w:rPr>
              <w:t xml:space="preserve"> gehe die Verfassung einfachen Gesetzen vor.</w:t>
            </w:r>
            <w:r w:rsidRPr="00BE3728">
              <w:rPr>
                <w:sz w:val="20"/>
                <w:szCs w:val="20"/>
                <w:vertAlign w:val="superscript"/>
              </w:rPr>
              <w:footnoteReference w:id="320"/>
            </w:r>
            <w:r w:rsidRPr="00BE3728">
              <w:rPr>
                <w:sz w:val="20"/>
                <w:szCs w:val="20"/>
              </w:rPr>
              <w:t xml:space="preserve"> So begründete der </w:t>
            </w:r>
            <w:r>
              <w:rPr>
                <w:sz w:val="20"/>
                <w:szCs w:val="20"/>
              </w:rPr>
              <w:t>U.S. Supreme Court</w:t>
            </w:r>
            <w:r w:rsidRPr="00BE3728">
              <w:rPr>
                <w:sz w:val="20"/>
                <w:szCs w:val="20"/>
              </w:rPr>
              <w:t xml:space="preserve"> auch den sog. </w:t>
            </w:r>
            <w:proofErr w:type="spellStart"/>
            <w:r w:rsidRPr="00BE3728">
              <w:rPr>
                <w:i/>
                <w:iCs/>
                <w:sz w:val="20"/>
                <w:szCs w:val="20"/>
              </w:rPr>
              <w:t>judicial</w:t>
            </w:r>
            <w:proofErr w:type="spellEnd"/>
            <w:r w:rsidRPr="00BE3728">
              <w:rPr>
                <w:i/>
                <w:iCs/>
                <w:sz w:val="20"/>
                <w:szCs w:val="20"/>
              </w:rPr>
              <w:t xml:space="preserve"> review</w:t>
            </w:r>
            <w:r w:rsidRPr="00BE3728">
              <w:rPr>
                <w:sz w:val="20"/>
                <w:szCs w:val="20"/>
              </w:rPr>
              <w:t>:</w:t>
            </w:r>
            <w:r w:rsidRPr="00BE3728">
              <w:rPr>
                <w:sz w:val="20"/>
                <w:szCs w:val="20"/>
                <w:vertAlign w:val="superscript"/>
              </w:rPr>
              <w:footnoteReference w:id="321"/>
            </w:r>
            <w:r w:rsidRPr="00BE3728">
              <w:rPr>
                <w:sz w:val="20"/>
                <w:szCs w:val="20"/>
              </w:rPr>
              <w:t xml:space="preserve"> Gerichte </w:t>
            </w:r>
            <w:r>
              <w:rPr>
                <w:sz w:val="20"/>
                <w:szCs w:val="20"/>
              </w:rPr>
              <w:t>hätten</w:t>
            </w:r>
            <w:r w:rsidRPr="00BE3728">
              <w:rPr>
                <w:sz w:val="20"/>
                <w:szCs w:val="20"/>
              </w:rPr>
              <w:t xml:space="preserve"> nunmehr zu prüfen, ob Parlamentsgesetze gegen die Verfassung verstoßen.</w:t>
            </w:r>
          </w:p>
        </w:tc>
        <w:tc>
          <w:tcPr>
            <w:tcW w:w="1822" w:type="pct"/>
          </w:tcPr>
          <w:p w14:paraId="51074F43"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Supremacy Clause › General Overview</w:t>
            </w:r>
          </w:p>
          <w:p w14:paraId="207894DC" w14:textId="77777777" w:rsidR="00074551" w:rsidRPr="00BE3728" w:rsidRDefault="00074551" w:rsidP="00367133">
            <w:pPr>
              <w:jc w:val="both"/>
              <w:rPr>
                <w:sz w:val="20"/>
                <w:szCs w:val="20"/>
                <w:lang w:val="en-US"/>
              </w:rPr>
            </w:pPr>
          </w:p>
          <w:p w14:paraId="4CF37564" w14:textId="77777777" w:rsidR="00074551" w:rsidRPr="00BE3728" w:rsidRDefault="00074551" w:rsidP="00367133">
            <w:pPr>
              <w:jc w:val="both"/>
              <w:rPr>
                <w:sz w:val="20"/>
                <w:szCs w:val="20"/>
              </w:rPr>
            </w:pPr>
            <w:r w:rsidRPr="00BE3728">
              <w:rPr>
                <w:sz w:val="20"/>
                <w:szCs w:val="20"/>
              </w:rPr>
              <w:t xml:space="preserve">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setzt den Gewalten Grenzen. Damit definiert, verschriftlich</w:t>
            </w:r>
            <w:r>
              <w:rPr>
                <w:sz w:val="20"/>
                <w:szCs w:val="20"/>
              </w:rPr>
              <w:t>t</w:t>
            </w:r>
            <w:r w:rsidRPr="00BE3728">
              <w:rPr>
                <w:sz w:val="20"/>
                <w:szCs w:val="20"/>
              </w:rPr>
              <w:t xml:space="preserve"> und expliziert sie die Kompetenzen der Gewalten. Doch welchen Zweck haben Grenzen, wenn Eingeschränkte diese übertreten? Keinen: Begrenztes staatliches Handeln wird unbegrenzt, verbotene Handlungen werden erlaubt. Damit dies nicht passiert, steht jeder gesetzgeberische Akt unter der Kontrolle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Widerspricht er ihr</w:t>
            </w:r>
            <w:r>
              <w:rPr>
                <w:sz w:val="20"/>
                <w:szCs w:val="20"/>
              </w:rPr>
              <w:t xml:space="preserve"> </w:t>
            </w:r>
            <w:r w:rsidRPr="00BE3728">
              <w:rPr>
                <w:sz w:val="20"/>
                <w:szCs w:val="20"/>
              </w:rPr>
              <w:t>– oder nicht?</w:t>
            </w:r>
            <w:r w:rsidRPr="00BE3728">
              <w:rPr>
                <w:sz w:val="20"/>
                <w:szCs w:val="20"/>
                <w:vertAlign w:val="superscript"/>
              </w:rPr>
              <w:footnoteReference w:id="322"/>
            </w:r>
            <w:r>
              <w:rPr>
                <w:sz w:val="20"/>
                <w:szCs w:val="20"/>
              </w:rPr>
              <w:t xml:space="preserve"> </w:t>
            </w:r>
            <w:r w:rsidRPr="00BE3728">
              <w:rPr>
                <w:sz w:val="20"/>
                <w:szCs w:val="20"/>
              </w:rPr>
              <w:t xml:space="preserve">Das wesentliche Merkmal der Rechtsmittelgerichtsbarkeit sei es, dass sie eine vorherige Entscheidung korrigiere. Sie urteile aber nicht initial über einen Streitgegenstand. Dieses Merkmal hält der Fall nicht ein. Zwar kann ein Betroffener gegenüber einem Richterverhalten, respektive seinem Urteil, statt einem Rechtsmittel ein </w:t>
            </w:r>
            <w:proofErr w:type="spellStart"/>
            <w:r w:rsidRPr="00BE3728">
              <w:rPr>
                <w:sz w:val="20"/>
                <w:szCs w:val="20"/>
              </w:rPr>
              <w:t>Mandamus</w:t>
            </w:r>
            <w:proofErr w:type="spellEnd"/>
            <w:r w:rsidRPr="00BE3728">
              <w:rPr>
                <w:sz w:val="20"/>
                <w:szCs w:val="20"/>
              </w:rPr>
              <w:t xml:space="preserve"> erheben, also versuchen, Abhilfe bei der Ausgangsinstanz (</w:t>
            </w:r>
            <w:proofErr w:type="spellStart"/>
            <w:r w:rsidRPr="00B45592">
              <w:rPr>
                <w:i/>
                <w:sz w:val="20"/>
                <w:szCs w:val="20"/>
              </w:rPr>
              <w:t>iudex</w:t>
            </w:r>
            <w:proofErr w:type="spellEnd"/>
            <w:r w:rsidRPr="00B45592">
              <w:rPr>
                <w:i/>
                <w:sz w:val="20"/>
                <w:szCs w:val="20"/>
              </w:rPr>
              <w:t xml:space="preserve"> a quo</w:t>
            </w:r>
            <w:r w:rsidRPr="00BE3728">
              <w:rPr>
                <w:sz w:val="20"/>
                <w:szCs w:val="20"/>
              </w:rPr>
              <w:t>) zu erreichen</w:t>
            </w:r>
            <w:r>
              <w:rPr>
                <w:sz w:val="20"/>
                <w:szCs w:val="20"/>
              </w:rPr>
              <w:t> </w:t>
            </w:r>
            <w:r w:rsidRPr="00BE3728">
              <w:rPr>
                <w:sz w:val="20"/>
                <w:szCs w:val="20"/>
              </w:rPr>
              <w:t>– statt bei der Rechtsmittelinstanz (</w:t>
            </w:r>
            <w:proofErr w:type="spellStart"/>
            <w:r w:rsidRPr="00B45592">
              <w:rPr>
                <w:i/>
                <w:sz w:val="20"/>
                <w:szCs w:val="20"/>
              </w:rPr>
              <w:t>iudex</w:t>
            </w:r>
            <w:proofErr w:type="spellEnd"/>
            <w:r w:rsidRPr="00B45592">
              <w:rPr>
                <w:i/>
                <w:sz w:val="20"/>
                <w:szCs w:val="20"/>
              </w:rPr>
              <w:t xml:space="preserve"> ad </w:t>
            </w:r>
            <w:proofErr w:type="spellStart"/>
            <w:r w:rsidRPr="00B45592">
              <w:rPr>
                <w:i/>
                <w:sz w:val="20"/>
                <w:szCs w:val="20"/>
              </w:rPr>
              <w:t>quem</w:t>
            </w:r>
            <w:proofErr w:type="spellEnd"/>
            <w:r w:rsidRPr="00BE3728">
              <w:rPr>
                <w:sz w:val="20"/>
                <w:szCs w:val="20"/>
              </w:rPr>
              <w:t xml:space="preserve">). Doch diese Art des </w:t>
            </w:r>
            <w:proofErr w:type="spellStart"/>
            <w:r w:rsidRPr="00BE3728">
              <w:rPr>
                <w:sz w:val="20"/>
                <w:szCs w:val="20"/>
              </w:rPr>
              <w:t>Mandamus</w:t>
            </w:r>
            <w:proofErr w:type="spellEnd"/>
            <w:r w:rsidRPr="00BE3728">
              <w:rPr>
                <w:sz w:val="20"/>
                <w:szCs w:val="20"/>
              </w:rPr>
              <w:t xml:space="preserve"> ist nicht vergl</w:t>
            </w:r>
            <w:r>
              <w:rPr>
                <w:sz w:val="20"/>
                <w:szCs w:val="20"/>
              </w:rPr>
              <w:t>e</w:t>
            </w:r>
            <w:r w:rsidRPr="00BE3728">
              <w:rPr>
                <w:sz w:val="20"/>
                <w:szCs w:val="20"/>
              </w:rPr>
              <w:t xml:space="preserve">ichbar mit dem streitgegenständlichen </w:t>
            </w:r>
            <w:proofErr w:type="spellStart"/>
            <w:r w:rsidRPr="00BE3728">
              <w:rPr>
                <w:sz w:val="20"/>
                <w:szCs w:val="20"/>
              </w:rPr>
              <w:t>Mandamus</w:t>
            </w:r>
            <w:proofErr w:type="spellEnd"/>
            <w:r w:rsidRPr="00BE3728">
              <w:rPr>
                <w:sz w:val="20"/>
                <w:szCs w:val="20"/>
              </w:rPr>
              <w:t xml:space="preserve">. Denn bei letzterem verlangt ein ernannter Richter vom Außenminister die Herausgabe einer Ernennungsurkunde, also eine andere Art des </w:t>
            </w:r>
            <w:proofErr w:type="spellStart"/>
            <w:r w:rsidRPr="00BE3728">
              <w:rPr>
                <w:sz w:val="20"/>
                <w:szCs w:val="20"/>
              </w:rPr>
              <w:t>Mandamus</w:t>
            </w:r>
            <w:proofErr w:type="spellEnd"/>
            <w:r w:rsidRPr="00BE3728">
              <w:rPr>
                <w:sz w:val="20"/>
                <w:szCs w:val="20"/>
              </w:rPr>
              <w:t>. Dies gleicht einer erstinstanzlichen Klage</w:t>
            </w:r>
            <w:r>
              <w:rPr>
                <w:sz w:val="20"/>
                <w:szCs w:val="20"/>
              </w:rPr>
              <w:t>, k</w:t>
            </w:r>
            <w:r w:rsidRPr="00BE3728">
              <w:rPr>
                <w:sz w:val="20"/>
                <w:szCs w:val="20"/>
              </w:rPr>
              <w:t xml:space="preserve">einem </w:t>
            </w:r>
            <w:proofErr w:type="spellStart"/>
            <w:r w:rsidRPr="00BE3728">
              <w:rPr>
                <w:sz w:val="20"/>
                <w:szCs w:val="20"/>
              </w:rPr>
              <w:t>Mandamus</w:t>
            </w:r>
            <w:proofErr w:type="spellEnd"/>
            <w:r w:rsidRPr="00BE3728">
              <w:rPr>
                <w:sz w:val="20"/>
                <w:szCs w:val="20"/>
              </w:rPr>
              <w:t xml:space="preserve"> bei der Ausgangsinstanz (</w:t>
            </w:r>
            <w:proofErr w:type="spellStart"/>
            <w:r w:rsidRPr="00B45592">
              <w:rPr>
                <w:i/>
                <w:sz w:val="20"/>
                <w:szCs w:val="20"/>
              </w:rPr>
              <w:t>iudex</w:t>
            </w:r>
            <w:proofErr w:type="spellEnd"/>
            <w:r w:rsidRPr="00B45592">
              <w:rPr>
                <w:i/>
                <w:sz w:val="20"/>
                <w:szCs w:val="20"/>
              </w:rPr>
              <w:t xml:space="preserve"> a quo</w:t>
            </w:r>
            <w:r w:rsidRPr="00BE3728">
              <w:rPr>
                <w:sz w:val="20"/>
                <w:szCs w:val="20"/>
              </w:rPr>
              <w:t>). Es fällt eher unter die Kategorie der Erstgerichtsbarkeit, wo neue Fälle begonnen werden.</w:t>
            </w:r>
            <w:r w:rsidRPr="00BE3728">
              <w:rPr>
                <w:rStyle w:val="Funotenzeichen"/>
                <w:sz w:val="20"/>
                <w:szCs w:val="20"/>
              </w:rPr>
              <w:footnoteReference w:id="323"/>
            </w:r>
          </w:p>
          <w:p w14:paraId="32EB6362" w14:textId="77777777" w:rsidR="00074551" w:rsidRPr="00BE3728" w:rsidRDefault="00074551" w:rsidP="00367133">
            <w:pPr>
              <w:jc w:val="both"/>
              <w:rPr>
                <w:sz w:val="20"/>
                <w:szCs w:val="20"/>
              </w:rPr>
            </w:pPr>
          </w:p>
          <w:p w14:paraId="0B506937" w14:textId="77777777" w:rsidR="00074551" w:rsidRPr="00BE3728" w:rsidRDefault="00074551" w:rsidP="00367133">
            <w:pPr>
              <w:jc w:val="both"/>
              <w:rPr>
                <w:sz w:val="20"/>
                <w:szCs w:val="20"/>
              </w:rPr>
            </w:pPr>
            <w:r>
              <w:rPr>
                <w:sz w:val="20"/>
                <w:szCs w:val="20"/>
              </w:rPr>
              <w:t>D</w:t>
            </w:r>
            <w:r w:rsidRPr="00BE3728">
              <w:rPr>
                <w:sz w:val="20"/>
                <w:szCs w:val="20"/>
              </w:rPr>
              <w:t xml:space="preserve">ie Zuständigkeit </w:t>
            </w:r>
            <w:r>
              <w:rPr>
                <w:sz w:val="20"/>
                <w:szCs w:val="20"/>
              </w:rPr>
              <w:t>z</w:t>
            </w:r>
            <w:r w:rsidRPr="00BE3728">
              <w:rPr>
                <w:sz w:val="20"/>
                <w:szCs w:val="20"/>
              </w:rPr>
              <w:t xml:space="preserve">wischen den Instanzen zu trennen, sei ein Grundprinzip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w:t>
            </w:r>
            <w:r>
              <w:rPr>
                <w:sz w:val="20"/>
                <w:szCs w:val="20"/>
              </w:rPr>
              <w:t xml:space="preserve">ebenso </w:t>
            </w:r>
            <w:r w:rsidRPr="00BE3728">
              <w:rPr>
                <w:sz w:val="20"/>
                <w:szCs w:val="20"/>
              </w:rPr>
              <w:t xml:space="preserve">wie die Trennung der Gewalten. </w:t>
            </w:r>
            <w:r w:rsidRPr="00BE3728">
              <w:rPr>
                <w:sz w:val="20"/>
                <w:szCs w:val="20"/>
                <w:lang w:val="en-US"/>
              </w:rPr>
              <w:t xml:space="preserve">Es sei </w:t>
            </w:r>
            <w:proofErr w:type="spellStart"/>
            <w:r w:rsidRPr="00BE3728">
              <w:rPr>
                <w:sz w:val="20"/>
                <w:szCs w:val="20"/>
                <w:lang w:val="en-US"/>
              </w:rPr>
              <w:t>ein</w:t>
            </w:r>
            <w:proofErr w:type="spellEnd"/>
            <w:r w:rsidRPr="00BE3728">
              <w:rPr>
                <w:sz w:val="20"/>
                <w:szCs w:val="20"/>
                <w:lang w:val="en-US"/>
              </w:rPr>
              <w:t xml:space="preserve"> </w:t>
            </w:r>
            <w:proofErr w:type="spellStart"/>
            <w:r w:rsidRPr="00BE3728">
              <w:rPr>
                <w:sz w:val="20"/>
                <w:szCs w:val="20"/>
                <w:lang w:val="en-US"/>
              </w:rPr>
              <w:t>solches</w:t>
            </w:r>
            <w:proofErr w:type="spellEnd"/>
            <w:r w:rsidRPr="00BE3728">
              <w:rPr>
                <w:sz w:val="20"/>
                <w:szCs w:val="20"/>
                <w:lang w:val="en-US"/>
              </w:rPr>
              <w:t xml:space="preserve">, </w:t>
            </w:r>
            <w:proofErr w:type="spellStart"/>
            <w:r w:rsidRPr="00BE3728">
              <w:rPr>
                <w:sz w:val="20"/>
                <w:szCs w:val="20"/>
                <w:lang w:val="en-US"/>
              </w:rPr>
              <w:t>weil</w:t>
            </w:r>
            <w:proofErr w:type="spellEnd"/>
            <w:r w:rsidRPr="00BE3728">
              <w:rPr>
                <w:sz w:val="20"/>
                <w:szCs w:val="20"/>
                <w:lang w:val="en-US"/>
              </w:rPr>
              <w:t xml:space="preserve"> es </w:t>
            </w:r>
            <w:proofErr w:type="spellStart"/>
            <w:r w:rsidRPr="00BE3728">
              <w:rPr>
                <w:sz w:val="20"/>
                <w:szCs w:val="20"/>
                <w:lang w:val="en-US"/>
              </w:rPr>
              <w:t>mit</w:t>
            </w:r>
            <w:proofErr w:type="spellEnd"/>
            <w:r w:rsidRPr="00BE3728">
              <w:rPr>
                <w:sz w:val="20"/>
                <w:szCs w:val="20"/>
                <w:lang w:val="en-US"/>
              </w:rPr>
              <w:t xml:space="preserve"> am </w:t>
            </w:r>
            <w:proofErr w:type="spellStart"/>
            <w:r w:rsidRPr="00BE3728">
              <w:rPr>
                <w:sz w:val="20"/>
                <w:szCs w:val="20"/>
                <w:lang w:val="en-US"/>
              </w:rPr>
              <w:t>meisten</w:t>
            </w:r>
            <w:proofErr w:type="spellEnd"/>
            <w:r w:rsidRPr="00BE3728">
              <w:rPr>
                <w:sz w:val="20"/>
                <w:szCs w:val="20"/>
                <w:lang w:val="en-US"/>
              </w:rPr>
              <w:t xml:space="preserve"> </w:t>
            </w:r>
            <w:proofErr w:type="spellStart"/>
            <w:r w:rsidRPr="00BE3728">
              <w:rPr>
                <w:sz w:val="20"/>
                <w:szCs w:val="20"/>
                <w:lang w:val="en-US"/>
              </w:rPr>
              <w:t>zum</w:t>
            </w:r>
            <w:proofErr w:type="spellEnd"/>
            <w:r w:rsidRPr="00BE3728">
              <w:rPr>
                <w:sz w:val="20"/>
                <w:szCs w:val="20"/>
                <w:lang w:val="en-US"/>
              </w:rPr>
              <w:t xml:space="preserve"> Glück </w:t>
            </w:r>
            <w:proofErr w:type="spellStart"/>
            <w:r w:rsidRPr="00BE3728">
              <w:rPr>
                <w:sz w:val="20"/>
                <w:szCs w:val="20"/>
                <w:lang w:val="en-US"/>
              </w:rPr>
              <w:t>beitrage</w:t>
            </w:r>
            <w:proofErr w:type="spellEnd"/>
            <w:r w:rsidRPr="00BE3728">
              <w:rPr>
                <w:sz w:val="20"/>
                <w:szCs w:val="20"/>
                <w:lang w:val="en-US"/>
              </w:rPr>
              <w:t xml:space="preserve"> („That the people have an original right to establish, for their future government, such principles as, in their opinion, shall most conduce to their own happiness, is the basis, on which the whole American fabric has been </w:t>
            </w:r>
            <w:proofErr w:type="gramStart"/>
            <w:r w:rsidRPr="00BE3728">
              <w:rPr>
                <w:sz w:val="20"/>
                <w:szCs w:val="20"/>
                <w:lang w:val="en-US"/>
              </w:rPr>
              <w:t>erected.“</w:t>
            </w:r>
            <w:proofErr w:type="gramEnd"/>
            <w:r w:rsidRPr="00BE3728">
              <w:rPr>
                <w:rStyle w:val="Funotenzeichen"/>
                <w:sz w:val="20"/>
                <w:szCs w:val="20"/>
              </w:rPr>
              <w:footnoteReference w:id="324"/>
            </w:r>
            <w:r w:rsidRPr="00BE3728">
              <w:rPr>
                <w:sz w:val="20"/>
                <w:szCs w:val="20"/>
              </w:rPr>
              <w:t>). Denn die Trennung von Gewalten und Zuständigkeiten verhüte einen Monismus der Gewalten, die Machtkonzentration und als Folge Willkür.</w:t>
            </w:r>
            <w:r w:rsidRPr="00BE3728">
              <w:rPr>
                <w:rStyle w:val="Funotenzeichen"/>
                <w:sz w:val="20"/>
                <w:szCs w:val="20"/>
              </w:rPr>
              <w:footnoteReference w:id="325"/>
            </w:r>
          </w:p>
          <w:p w14:paraId="26E128D1" w14:textId="77777777" w:rsidR="00074551" w:rsidRPr="00E50B51" w:rsidRDefault="00074551" w:rsidP="00367133">
            <w:pPr>
              <w:jc w:val="both"/>
              <w:rPr>
                <w:sz w:val="20"/>
                <w:szCs w:val="20"/>
              </w:rPr>
            </w:pPr>
          </w:p>
        </w:tc>
      </w:tr>
      <w:tr w:rsidR="00074551" w:rsidRPr="00E50B51" w14:paraId="798B122B" w14:textId="77777777" w:rsidTr="00BE689F">
        <w:trPr>
          <w:cantSplit/>
          <w:trHeight w:val="3175"/>
        </w:trPr>
        <w:tc>
          <w:tcPr>
            <w:tcW w:w="293" w:type="pct"/>
          </w:tcPr>
          <w:p w14:paraId="1DD1E6F4"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1895D591" w14:textId="77777777" w:rsidR="00074551" w:rsidRPr="00B45592" w:rsidRDefault="00074551" w:rsidP="00367133">
            <w:pPr>
              <w:ind w:left="113" w:right="416"/>
              <w:jc w:val="both"/>
              <w:rPr>
                <w:i/>
                <w:sz w:val="20"/>
                <w:szCs w:val="20"/>
                <w:lang w:val="en-US"/>
              </w:rPr>
            </w:pPr>
            <w:r w:rsidRPr="00B45592">
              <w:rPr>
                <w:i/>
                <w:sz w:val="20"/>
                <w:szCs w:val="20"/>
              </w:rPr>
              <w:t>Dodge v. Woolsey</w:t>
            </w:r>
          </w:p>
        </w:tc>
        <w:tc>
          <w:tcPr>
            <w:tcW w:w="197" w:type="pct"/>
            <w:textDirection w:val="tbRl"/>
            <w:vAlign w:val="center"/>
          </w:tcPr>
          <w:p w14:paraId="472ED49F" w14:textId="77777777" w:rsidR="00074551" w:rsidRPr="00E50B51" w:rsidRDefault="00074551" w:rsidP="00367133">
            <w:pPr>
              <w:ind w:left="113" w:right="113"/>
              <w:jc w:val="both"/>
              <w:rPr>
                <w:sz w:val="20"/>
                <w:szCs w:val="20"/>
                <w:lang w:val="en-US"/>
              </w:rPr>
            </w:pPr>
            <w:r w:rsidRPr="00BE3728">
              <w:rPr>
                <w:sz w:val="20"/>
                <w:szCs w:val="20"/>
              </w:rPr>
              <w:t>59 U.S. 331</w:t>
            </w:r>
          </w:p>
        </w:tc>
        <w:tc>
          <w:tcPr>
            <w:tcW w:w="306" w:type="pct"/>
            <w:textDirection w:val="tbRl"/>
            <w:vAlign w:val="center"/>
          </w:tcPr>
          <w:p w14:paraId="6A9FB366" w14:textId="77777777" w:rsidR="00074551" w:rsidRPr="00E50B51" w:rsidRDefault="00074551" w:rsidP="00367133">
            <w:pPr>
              <w:ind w:left="113" w:right="113"/>
              <w:jc w:val="both"/>
              <w:rPr>
                <w:sz w:val="20"/>
                <w:szCs w:val="20"/>
              </w:rPr>
            </w:pPr>
            <w:r w:rsidRPr="00BE3728">
              <w:rPr>
                <w:sz w:val="20"/>
                <w:szCs w:val="20"/>
              </w:rPr>
              <w:t>08. April 1856</w:t>
            </w:r>
          </w:p>
        </w:tc>
        <w:tc>
          <w:tcPr>
            <w:tcW w:w="401" w:type="pct"/>
          </w:tcPr>
          <w:p w14:paraId="0BB22F84" w14:textId="77777777" w:rsidR="00074551" w:rsidRPr="00E50B51" w:rsidRDefault="00074551" w:rsidP="00367133">
            <w:pPr>
              <w:jc w:val="center"/>
              <w:rPr>
                <w:sz w:val="20"/>
                <w:szCs w:val="20"/>
              </w:rPr>
            </w:pPr>
            <w:r w:rsidRPr="00BE3728">
              <w:rPr>
                <w:sz w:val="20"/>
                <w:szCs w:val="20"/>
                <w:lang w:val="en-US"/>
              </w:rPr>
              <w:t>D</w:t>
            </w:r>
          </w:p>
        </w:tc>
        <w:tc>
          <w:tcPr>
            <w:tcW w:w="1594" w:type="pct"/>
          </w:tcPr>
          <w:p w14:paraId="4DD59E2A" w14:textId="1486EEF1"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dass Ohio eine Bank nicht besteuern </w:t>
            </w:r>
            <w:r>
              <w:rPr>
                <w:sz w:val="20"/>
                <w:szCs w:val="20"/>
              </w:rPr>
              <w:t>dürfe, d</w:t>
            </w:r>
            <w:r w:rsidRPr="00BE3728">
              <w:rPr>
                <w:sz w:val="20"/>
                <w:szCs w:val="20"/>
              </w:rPr>
              <w:t xml:space="preserve">enn die Steuer verstoße gegen </w:t>
            </w:r>
            <w:r>
              <w:rPr>
                <w:sz w:val="20"/>
                <w:szCs w:val="20"/>
              </w:rPr>
              <w:t xml:space="preserve">Art. I, § 10, </w:t>
            </w:r>
            <w:proofErr w:type="spellStart"/>
            <w:r>
              <w:rPr>
                <w:sz w:val="20"/>
                <w:szCs w:val="20"/>
              </w:rPr>
              <w:t>cl</w:t>
            </w:r>
            <w:r w:rsidR="004D6F76">
              <w:rPr>
                <w:sz w:val="20"/>
                <w:szCs w:val="20"/>
              </w:rPr>
              <w:t>s</w:t>
            </w:r>
            <w:proofErr w:type="spellEnd"/>
            <w:r>
              <w:rPr>
                <w:sz w:val="20"/>
                <w:szCs w:val="20"/>
              </w:rPr>
              <w:t>.</w:t>
            </w:r>
            <w:r w:rsidRPr="00BE3728">
              <w:rPr>
                <w:sz w:val="20"/>
                <w:szCs w:val="20"/>
              </w:rPr>
              <w:t xml:space="preserve"> 1, 2 </w:t>
            </w:r>
            <w:r>
              <w:rPr>
                <w:sz w:val="20"/>
                <w:szCs w:val="20"/>
              </w:rPr>
              <w:t>U.S.</w:t>
            </w:r>
            <w:r w:rsidRPr="00BE3728">
              <w:rPr>
                <w:sz w:val="20"/>
                <w:szCs w:val="20"/>
              </w:rPr>
              <w:t xml:space="preserve"> </w:t>
            </w:r>
            <w:proofErr w:type="spellStart"/>
            <w:r w:rsidRPr="00BE3728">
              <w:rPr>
                <w:sz w:val="20"/>
                <w:szCs w:val="20"/>
              </w:rPr>
              <w:t>Const</w:t>
            </w:r>
            <w:proofErr w:type="spellEnd"/>
            <w:r w:rsidRPr="00BE3728">
              <w:rPr>
                <w:rStyle w:val="Funotenzeichen"/>
                <w:sz w:val="20"/>
                <w:szCs w:val="20"/>
              </w:rPr>
              <w:footnoteReference w:id="326"/>
            </w:r>
            <w:r w:rsidRPr="00BE3728">
              <w:rPr>
                <w:sz w:val="20"/>
                <w:szCs w:val="20"/>
              </w:rPr>
              <w:t xml:space="preserve">. Ein Aktionär einer Bank </w:t>
            </w:r>
            <w:r>
              <w:rPr>
                <w:sz w:val="20"/>
                <w:szCs w:val="20"/>
              </w:rPr>
              <w:t>hatte</w:t>
            </w:r>
            <w:r w:rsidRPr="00BE3728">
              <w:rPr>
                <w:sz w:val="20"/>
                <w:szCs w:val="20"/>
              </w:rPr>
              <w:t xml:space="preserve"> gegen die Steuerbehörde</w:t>
            </w:r>
            <w:r>
              <w:rPr>
                <w:sz w:val="20"/>
                <w:szCs w:val="20"/>
              </w:rPr>
              <w:t xml:space="preserve"> geklagt</w:t>
            </w:r>
            <w:r w:rsidRPr="00BE3728">
              <w:rPr>
                <w:sz w:val="20"/>
                <w:szCs w:val="20"/>
              </w:rPr>
              <w:t xml:space="preserve">, um eine Steuer auf seine Bank zu verhindern. </w:t>
            </w:r>
            <w:r>
              <w:rPr>
                <w:sz w:val="20"/>
                <w:szCs w:val="20"/>
              </w:rPr>
              <w:t>Er argumentierte,</w:t>
            </w:r>
            <w:r w:rsidRPr="00BE3728">
              <w:rPr>
                <w:sz w:val="20"/>
                <w:szCs w:val="20"/>
              </w:rPr>
              <w:t xml:space="preserve"> sie verletze mittelbar seine Verträge und Vertragsfreiheit (vgl. </w:t>
            </w:r>
            <w:r>
              <w:rPr>
                <w:sz w:val="20"/>
                <w:szCs w:val="20"/>
              </w:rPr>
              <w:t xml:space="preserve">Art. I, § 10, </w:t>
            </w:r>
            <w:proofErr w:type="spellStart"/>
            <w:r>
              <w:rPr>
                <w:sz w:val="20"/>
                <w:szCs w:val="20"/>
              </w:rPr>
              <w:t>cl</w:t>
            </w:r>
            <w:r w:rsidR="004D6F76">
              <w:rPr>
                <w:sz w:val="20"/>
                <w:szCs w:val="20"/>
              </w:rPr>
              <w:t>s</w:t>
            </w:r>
            <w:proofErr w:type="spellEnd"/>
            <w:r>
              <w:rPr>
                <w:sz w:val="20"/>
                <w:szCs w:val="20"/>
              </w:rPr>
              <w:t>.</w:t>
            </w:r>
            <w:r w:rsidRPr="00BE3728">
              <w:rPr>
                <w:sz w:val="20"/>
                <w:szCs w:val="20"/>
              </w:rPr>
              <w:t xml:space="preserve"> 1, 2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Das Berufungsgericht stimmte dem zu, der </w:t>
            </w:r>
            <w:r>
              <w:rPr>
                <w:sz w:val="20"/>
                <w:szCs w:val="20"/>
              </w:rPr>
              <w:t>U.S. Supreme Court</w:t>
            </w:r>
            <w:r w:rsidRPr="00BE3728">
              <w:rPr>
                <w:sz w:val="20"/>
                <w:szCs w:val="20"/>
              </w:rPr>
              <w:t xml:space="preserve"> auch. Letzter</w:t>
            </w:r>
            <w:r>
              <w:rPr>
                <w:sz w:val="20"/>
                <w:szCs w:val="20"/>
              </w:rPr>
              <w:t>er</w:t>
            </w:r>
            <w:r w:rsidRPr="00BE3728">
              <w:rPr>
                <w:sz w:val="20"/>
                <w:szCs w:val="20"/>
              </w:rPr>
              <w:t xml:space="preserve"> befand zudem, der Fall könne auf Bundesebene verhandelt werden, da u.a. der Aktionär aus einem anderen Bundesstaat kam als die besteuernde Behörde. Die neue Verfassung Ohios ermögliche zwar, das Eigentum von Banken in gleicher Weise zu besteuern wie das von Grundstückseigentümern, was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zulasse. Aber eine neue Verfassung Ohios enthafte nicht davon, mit der vorherigen Verfassung Verträge ohne Rechtsgrundlage eingeschränkt zu haben.</w:t>
            </w:r>
            <w:r w:rsidRPr="00BE3728">
              <w:rPr>
                <w:rStyle w:val="Funotenzeichen"/>
                <w:sz w:val="20"/>
                <w:szCs w:val="20"/>
              </w:rPr>
              <w:footnoteReference w:id="327"/>
            </w:r>
          </w:p>
        </w:tc>
        <w:tc>
          <w:tcPr>
            <w:tcW w:w="1822" w:type="pct"/>
          </w:tcPr>
          <w:p w14:paraId="1721887A"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Supremacy Clause › General Overview</w:t>
            </w:r>
          </w:p>
          <w:p w14:paraId="7C7D7447" w14:textId="77777777" w:rsidR="00074551" w:rsidRPr="00BE3728" w:rsidRDefault="00074551" w:rsidP="00367133">
            <w:pPr>
              <w:jc w:val="both"/>
              <w:rPr>
                <w:sz w:val="20"/>
                <w:szCs w:val="20"/>
                <w:lang w:val="en-US"/>
              </w:rPr>
            </w:pPr>
          </w:p>
          <w:p w14:paraId="73E2BE54" w14:textId="77777777" w:rsidR="00074551" w:rsidRDefault="00074551" w:rsidP="00367133">
            <w:pPr>
              <w:jc w:val="both"/>
              <w:rPr>
                <w:sz w:val="20"/>
                <w:szCs w:val="20"/>
              </w:rPr>
            </w:pPr>
            <w:r w:rsidRPr="00BE3728">
              <w:rPr>
                <w:sz w:val="20"/>
                <w:szCs w:val="20"/>
              </w:rPr>
              <w:t xml:space="preserve">Die Bundesstaaten sind derart an die Verfassungsgrundsätze gebunden, wie der Einzelne an seine Verträge. Kein Bundesstaat könne der letzte Richter über die Kompetenz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sein oder gar über die Auslegung der Gesetze allein entscheiden, die der Kongress zuvor erlassen hatte.</w:t>
            </w:r>
            <w:r w:rsidRPr="00BE3728">
              <w:rPr>
                <w:rStyle w:val="Funotenzeichen"/>
                <w:sz w:val="20"/>
                <w:szCs w:val="20"/>
              </w:rPr>
              <w:footnoteReference w:id="328"/>
            </w:r>
          </w:p>
          <w:p w14:paraId="5CAC83FD" w14:textId="77777777" w:rsidR="00074551" w:rsidRPr="00BE3728" w:rsidRDefault="00074551" w:rsidP="00367133">
            <w:pPr>
              <w:jc w:val="both"/>
              <w:rPr>
                <w:strike/>
                <w:sz w:val="20"/>
                <w:szCs w:val="20"/>
              </w:rPr>
            </w:pPr>
          </w:p>
          <w:p w14:paraId="61507B44" w14:textId="77777777" w:rsidR="00074551" w:rsidRDefault="00074551" w:rsidP="00367133">
            <w:pPr>
              <w:jc w:val="both"/>
              <w:rPr>
                <w:sz w:val="20"/>
                <w:szCs w:val="20"/>
              </w:rPr>
            </w:pPr>
            <w:r w:rsidRPr="00BE3728">
              <w:rPr>
                <w:sz w:val="20"/>
                <w:szCs w:val="20"/>
              </w:rPr>
              <w:t xml:space="preserve">Die Richter </w:t>
            </w:r>
            <w:r w:rsidRPr="00B45592">
              <w:rPr>
                <w:i/>
                <w:sz w:val="20"/>
                <w:szCs w:val="20"/>
              </w:rPr>
              <w:t>Campbell</w:t>
            </w:r>
            <w:r w:rsidRPr="00BE3728">
              <w:rPr>
                <w:sz w:val="20"/>
                <w:szCs w:val="20"/>
              </w:rPr>
              <w:t xml:space="preserve">, </w:t>
            </w:r>
            <w:r w:rsidRPr="00B45592">
              <w:rPr>
                <w:i/>
                <w:sz w:val="20"/>
                <w:szCs w:val="20"/>
              </w:rPr>
              <w:t>Daniel</w:t>
            </w:r>
            <w:r w:rsidRPr="00BE3728">
              <w:rPr>
                <w:sz w:val="20"/>
                <w:szCs w:val="20"/>
              </w:rPr>
              <w:t xml:space="preserve"> und </w:t>
            </w:r>
            <w:r w:rsidRPr="00B45592">
              <w:rPr>
                <w:i/>
                <w:sz w:val="20"/>
                <w:szCs w:val="20"/>
              </w:rPr>
              <w:t>Catron</w:t>
            </w:r>
            <w:r w:rsidRPr="00BE3728">
              <w:rPr>
                <w:sz w:val="20"/>
                <w:szCs w:val="20"/>
              </w:rPr>
              <w:t xml:space="preserve"> waren anderer Meinung. Sie argumentierten,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verleihe Ohio Souveränität. Daher sei hier der </w:t>
            </w:r>
            <w:r>
              <w:rPr>
                <w:sz w:val="20"/>
                <w:szCs w:val="20"/>
              </w:rPr>
              <w:t>U.S. Supreme Court</w:t>
            </w:r>
            <w:r w:rsidRPr="00BE3728">
              <w:rPr>
                <w:sz w:val="20"/>
                <w:szCs w:val="20"/>
              </w:rPr>
              <w:t xml:space="preserve"> </w:t>
            </w:r>
            <w:r>
              <w:rPr>
                <w:sz w:val="20"/>
                <w:szCs w:val="20"/>
              </w:rPr>
              <w:t xml:space="preserve">daran </w:t>
            </w:r>
            <w:r w:rsidRPr="00BE3728">
              <w:rPr>
                <w:sz w:val="20"/>
                <w:szCs w:val="20"/>
              </w:rPr>
              <w:t xml:space="preserve">gehindert einzugreifen. Aber warum? Das Volk eines Bundesstaates habe eine Autorität und damit das Recht, Einrichtungen zu verbessern sowie selbst Bedingungen für Glück zu schaffen („It was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right</w:t>
            </w:r>
            <w:proofErr w:type="spellEnd"/>
            <w:r w:rsidRPr="00BE3728">
              <w:rPr>
                <w:sz w:val="20"/>
                <w:szCs w:val="20"/>
              </w:rPr>
              <w:t xml:space="preserve"> to </w:t>
            </w:r>
            <w:proofErr w:type="spellStart"/>
            <w:r w:rsidRPr="00BE3728">
              <w:rPr>
                <w:sz w:val="20"/>
                <w:szCs w:val="20"/>
              </w:rPr>
              <w:t>ameliorate</w:t>
            </w:r>
            <w:proofErr w:type="spellEnd"/>
            <w:r w:rsidRPr="00BE3728">
              <w:rPr>
                <w:sz w:val="20"/>
                <w:szCs w:val="20"/>
              </w:rPr>
              <w:t xml:space="preserve"> </w:t>
            </w:r>
            <w:proofErr w:type="spellStart"/>
            <w:r w:rsidRPr="00BE3728">
              <w:rPr>
                <w:sz w:val="20"/>
                <w:szCs w:val="20"/>
              </w:rPr>
              <w:t>every</w:t>
            </w:r>
            <w:proofErr w:type="spellEnd"/>
            <w:r w:rsidRPr="00BE3728">
              <w:rPr>
                <w:sz w:val="20"/>
                <w:szCs w:val="20"/>
              </w:rPr>
              <w:t xml:space="preserve"> </w:t>
            </w:r>
            <w:proofErr w:type="spellStart"/>
            <w:r w:rsidRPr="00BE3728">
              <w:rPr>
                <w:sz w:val="20"/>
                <w:szCs w:val="20"/>
              </w:rPr>
              <w:t>vicious</w:t>
            </w:r>
            <w:proofErr w:type="spellEnd"/>
            <w:r w:rsidRPr="00BE3728">
              <w:rPr>
                <w:sz w:val="20"/>
                <w:szCs w:val="20"/>
              </w:rPr>
              <w:t xml:space="preserve"> </w:t>
            </w:r>
            <w:proofErr w:type="spellStart"/>
            <w:r w:rsidRPr="00BE3728">
              <w:rPr>
                <w:sz w:val="20"/>
                <w:szCs w:val="20"/>
              </w:rPr>
              <w:t>institution</w:t>
            </w:r>
            <w:proofErr w:type="spellEnd"/>
            <w:r>
              <w:rPr>
                <w:sz w:val="20"/>
                <w:szCs w:val="20"/>
              </w:rPr>
              <w:t xml:space="preserve"> </w:t>
            </w:r>
            <w:r w:rsidRPr="00BE3728">
              <w:rPr>
                <w:sz w:val="20"/>
                <w:szCs w:val="20"/>
              </w:rPr>
              <w:t xml:space="preserve">[…] for the </w:t>
            </w:r>
            <w:proofErr w:type="spellStart"/>
            <w:r w:rsidRPr="00BE3728">
              <w:rPr>
                <w:sz w:val="20"/>
                <w:szCs w:val="20"/>
              </w:rPr>
              <w:t>advancement</w:t>
            </w:r>
            <w:proofErr w:type="spellEnd"/>
            <w:r w:rsidRPr="00BE3728">
              <w:rPr>
                <w:sz w:val="20"/>
                <w:szCs w:val="20"/>
              </w:rPr>
              <w:t xml:space="preserve"> of </w:t>
            </w:r>
            <w:proofErr w:type="spellStart"/>
            <w:r w:rsidRPr="00BE3728">
              <w:rPr>
                <w:sz w:val="20"/>
                <w:szCs w:val="20"/>
              </w:rPr>
              <w:t>their</w:t>
            </w:r>
            <w:proofErr w:type="spellEnd"/>
            <w:r w:rsidRPr="00BE3728">
              <w:rPr>
                <w:sz w:val="20"/>
                <w:szCs w:val="20"/>
              </w:rPr>
              <w:t xml:space="preserve"> own </w:t>
            </w:r>
            <w:proofErr w:type="spellStart"/>
            <w:r w:rsidRPr="00BE3728">
              <w:rPr>
                <w:sz w:val="20"/>
                <w:szCs w:val="20"/>
              </w:rPr>
              <w:t>happiness</w:t>
            </w:r>
            <w:proofErr w:type="spellEnd"/>
            <w:r w:rsidRPr="00BE3728">
              <w:rPr>
                <w:sz w:val="20"/>
                <w:szCs w:val="20"/>
              </w:rPr>
              <w:t xml:space="preserve">; and for </w:t>
            </w:r>
            <w:proofErr w:type="spellStart"/>
            <w:r w:rsidRPr="00BE3728">
              <w:rPr>
                <w:sz w:val="20"/>
                <w:szCs w:val="20"/>
              </w:rPr>
              <w:t>this</w:t>
            </w:r>
            <w:proofErr w:type="spellEnd"/>
            <w:r w:rsidRPr="00BE3728">
              <w:rPr>
                <w:sz w:val="20"/>
                <w:szCs w:val="20"/>
              </w:rPr>
              <w:t xml:space="preserve"> end“</w:t>
            </w:r>
            <w:r w:rsidRPr="00BE3728">
              <w:rPr>
                <w:rStyle w:val="Funotenzeichen"/>
                <w:sz w:val="20"/>
                <w:szCs w:val="20"/>
              </w:rPr>
              <w:footnoteReference w:id="329"/>
            </w:r>
            <w:r w:rsidRPr="00BE3728">
              <w:rPr>
                <w:sz w:val="20"/>
                <w:szCs w:val="20"/>
              </w:rPr>
              <w:t>). Genau zu diesem Zweck sei das Volk der Souverän und dafür seien ihm Personen und Sachen unterstellt. Zuvorderst konstituier</w:t>
            </w:r>
            <w:r>
              <w:rPr>
                <w:sz w:val="20"/>
                <w:szCs w:val="20"/>
              </w:rPr>
              <w:t>t</w:t>
            </w:r>
            <w:r w:rsidRPr="00BE3728">
              <w:rPr>
                <w:sz w:val="20"/>
                <w:szCs w:val="20"/>
              </w:rPr>
              <w:t xml:space="preserve">en Individuen als Teil des Volkes den Staat. Sie </w:t>
            </w:r>
            <w:r>
              <w:rPr>
                <w:sz w:val="20"/>
                <w:szCs w:val="20"/>
              </w:rPr>
              <w:t>käme bereits mit unantastbaren</w:t>
            </w:r>
            <w:r w:rsidRPr="00BE3728">
              <w:rPr>
                <w:sz w:val="20"/>
                <w:szCs w:val="20"/>
              </w:rPr>
              <w:t xml:space="preserve"> Rechten in die Gesellschaftsordnung. Demgegenüber leite</w:t>
            </w:r>
            <w:r>
              <w:rPr>
                <w:sz w:val="20"/>
                <w:szCs w:val="20"/>
              </w:rPr>
              <w:t>te</w:t>
            </w:r>
            <w:r w:rsidRPr="00BE3728">
              <w:rPr>
                <w:sz w:val="20"/>
                <w:szCs w:val="20"/>
              </w:rPr>
              <w:t>n Banken als gesellschaftsrechtliche Entitäten ihre Rechte aus der Gesellschaftsordnung ab. Sie vertr</w:t>
            </w:r>
            <w:r>
              <w:rPr>
                <w:sz w:val="20"/>
                <w:szCs w:val="20"/>
              </w:rPr>
              <w:t>ä</w:t>
            </w:r>
            <w:r w:rsidRPr="00BE3728">
              <w:rPr>
                <w:sz w:val="20"/>
                <w:szCs w:val="20"/>
              </w:rPr>
              <w:t>ten profitable Interessen, was den öffentlichen Interessen gegenübersteh</w:t>
            </w:r>
            <w:r>
              <w:rPr>
                <w:sz w:val="20"/>
                <w:szCs w:val="20"/>
              </w:rPr>
              <w:t>e</w:t>
            </w:r>
            <w:r w:rsidRPr="00BE3728">
              <w:rPr>
                <w:sz w:val="20"/>
                <w:szCs w:val="20"/>
              </w:rPr>
              <w:t xml:space="preserve">. Wenn gesellschaftsrechtliche Entitäten das öffentliche Interesse zu sehr </w:t>
            </w:r>
            <w:r>
              <w:rPr>
                <w:sz w:val="20"/>
                <w:szCs w:val="20"/>
              </w:rPr>
              <w:t>beeinträchtigten</w:t>
            </w:r>
            <w:r w:rsidRPr="00BE3728">
              <w:rPr>
                <w:sz w:val="20"/>
                <w:szCs w:val="20"/>
              </w:rPr>
              <w:t>, dann könn</w:t>
            </w:r>
            <w:r>
              <w:rPr>
                <w:sz w:val="20"/>
                <w:szCs w:val="20"/>
              </w:rPr>
              <w:t>t</w:t>
            </w:r>
            <w:r w:rsidRPr="00BE3728">
              <w:rPr>
                <w:sz w:val="20"/>
                <w:szCs w:val="20"/>
              </w:rPr>
              <w:t>en staatliche Maßnahmen ihre Privilegien zugunsten individueller Freiheiten des Volkes einschränken</w:t>
            </w:r>
            <w:r>
              <w:rPr>
                <w:sz w:val="20"/>
                <w:szCs w:val="20"/>
              </w:rPr>
              <w:t>; a</w:t>
            </w:r>
            <w:r w:rsidRPr="00BE3728">
              <w:rPr>
                <w:sz w:val="20"/>
                <w:szCs w:val="20"/>
              </w:rPr>
              <w:t>ber nur dann. Dieser Grad sei hier nicht erreicht, so die abweichende Meinung.</w:t>
            </w:r>
            <w:r w:rsidRPr="00BE3728">
              <w:rPr>
                <w:rStyle w:val="Funotenzeichen"/>
                <w:sz w:val="20"/>
                <w:szCs w:val="20"/>
              </w:rPr>
              <w:footnoteReference w:id="330"/>
            </w:r>
            <w:r w:rsidRPr="00BE3728">
              <w:rPr>
                <w:sz w:val="20"/>
                <w:szCs w:val="20"/>
              </w:rPr>
              <w:t xml:space="preserve"> </w:t>
            </w:r>
          </w:p>
          <w:p w14:paraId="6795D14B" w14:textId="77777777" w:rsidR="00074551" w:rsidRPr="00E50B51" w:rsidRDefault="00074551" w:rsidP="00367133">
            <w:pPr>
              <w:jc w:val="both"/>
              <w:rPr>
                <w:sz w:val="20"/>
                <w:szCs w:val="20"/>
              </w:rPr>
            </w:pPr>
          </w:p>
        </w:tc>
      </w:tr>
      <w:tr w:rsidR="00074551" w:rsidRPr="002E1085" w14:paraId="23C9BF3F" w14:textId="77777777" w:rsidTr="00752D01">
        <w:trPr>
          <w:cantSplit/>
          <w:trHeight w:val="3175"/>
        </w:trPr>
        <w:tc>
          <w:tcPr>
            <w:tcW w:w="293" w:type="pct"/>
            <w:shd w:val="clear" w:color="auto" w:fill="E7E6E6" w:themeFill="background2"/>
          </w:tcPr>
          <w:p w14:paraId="6744F95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5C1EC397" w14:textId="77777777" w:rsidR="00074551" w:rsidRPr="00E50B51" w:rsidRDefault="00074551" w:rsidP="00367133">
            <w:pPr>
              <w:ind w:left="113" w:right="416"/>
              <w:jc w:val="both"/>
              <w:rPr>
                <w:sz w:val="20"/>
                <w:szCs w:val="20"/>
                <w:lang w:val="en-US"/>
              </w:rPr>
            </w:pPr>
            <w:r w:rsidRPr="00E50B51">
              <w:rPr>
                <w:sz w:val="20"/>
                <w:szCs w:val="20"/>
              </w:rPr>
              <w:t>Souveränitätsrechtliche Seite</w:t>
            </w:r>
          </w:p>
        </w:tc>
        <w:tc>
          <w:tcPr>
            <w:tcW w:w="197" w:type="pct"/>
            <w:shd w:val="clear" w:color="auto" w:fill="E7E6E6" w:themeFill="background2"/>
            <w:textDirection w:val="tbRl"/>
            <w:vAlign w:val="center"/>
          </w:tcPr>
          <w:p w14:paraId="23426627" w14:textId="77777777" w:rsidR="00074551" w:rsidRPr="00E50B51" w:rsidRDefault="00074551" w:rsidP="00367133">
            <w:pPr>
              <w:ind w:left="113" w:right="113"/>
              <w:jc w:val="both"/>
              <w:rPr>
                <w:sz w:val="20"/>
                <w:szCs w:val="20"/>
                <w:lang w:val="en-US"/>
              </w:rPr>
            </w:pPr>
            <w:r w:rsidRPr="00BE3728">
              <w:rPr>
                <w:sz w:val="20"/>
                <w:szCs w:val="20"/>
                <w:lang w:val="en-US"/>
              </w:rPr>
              <w:t>Supremacy Clause</w:t>
            </w:r>
          </w:p>
        </w:tc>
        <w:tc>
          <w:tcPr>
            <w:tcW w:w="306" w:type="pct"/>
            <w:shd w:val="clear" w:color="auto" w:fill="E7E6E6" w:themeFill="background2"/>
            <w:textDirection w:val="tbRl"/>
            <w:vAlign w:val="center"/>
          </w:tcPr>
          <w:p w14:paraId="4555A808" w14:textId="77777777" w:rsidR="00074551" w:rsidRPr="0068014A" w:rsidRDefault="00074551" w:rsidP="00367133">
            <w:pPr>
              <w:ind w:left="113" w:right="113"/>
              <w:jc w:val="both"/>
              <w:rPr>
                <w:sz w:val="20"/>
                <w:szCs w:val="20"/>
                <w:lang w:val="en-US"/>
              </w:rPr>
            </w:pPr>
            <w:r w:rsidRPr="00BE3728">
              <w:rPr>
                <w:sz w:val="20"/>
                <w:szCs w:val="20"/>
                <w:lang w:val="en-US"/>
              </w:rPr>
              <w:t>Supreme Law of the Land</w:t>
            </w:r>
          </w:p>
        </w:tc>
        <w:tc>
          <w:tcPr>
            <w:tcW w:w="401" w:type="pct"/>
            <w:shd w:val="clear" w:color="auto" w:fill="E7E6E6" w:themeFill="background2"/>
          </w:tcPr>
          <w:p w14:paraId="021C07C9" w14:textId="77777777" w:rsidR="00074551" w:rsidRPr="0068014A" w:rsidRDefault="00074551" w:rsidP="00367133">
            <w:pPr>
              <w:jc w:val="center"/>
              <w:rPr>
                <w:sz w:val="20"/>
                <w:szCs w:val="20"/>
                <w:lang w:val="en-US"/>
              </w:rPr>
            </w:pPr>
          </w:p>
        </w:tc>
        <w:tc>
          <w:tcPr>
            <w:tcW w:w="1594" w:type="pct"/>
            <w:shd w:val="clear" w:color="auto" w:fill="E7E6E6" w:themeFill="background2"/>
            <w:vAlign w:val="center"/>
          </w:tcPr>
          <w:p w14:paraId="08636B70" w14:textId="77777777" w:rsidR="00074551" w:rsidRPr="0068014A" w:rsidRDefault="00074551" w:rsidP="00367133">
            <w:pPr>
              <w:jc w:val="both"/>
              <w:rPr>
                <w:sz w:val="20"/>
                <w:szCs w:val="20"/>
                <w:lang w:val="en-US"/>
              </w:rPr>
            </w:pPr>
          </w:p>
        </w:tc>
        <w:tc>
          <w:tcPr>
            <w:tcW w:w="1822" w:type="pct"/>
            <w:shd w:val="clear" w:color="auto" w:fill="E7E6E6" w:themeFill="background2"/>
          </w:tcPr>
          <w:p w14:paraId="691D4AC1" w14:textId="222E0D44" w:rsidR="00074551" w:rsidRPr="0068014A" w:rsidRDefault="00A15DB3" w:rsidP="00752D01">
            <w:pPr>
              <w:rPr>
                <w:sz w:val="20"/>
                <w:szCs w:val="20"/>
                <w:lang w:val="en-US"/>
              </w:rPr>
            </w:pPr>
            <w:r w:rsidRPr="00A15DB3">
              <w:rPr>
                <w:i/>
                <w:iCs/>
                <w:sz w:val="16"/>
                <w:szCs w:val="20"/>
              </w:rPr>
              <w:t>Thematische Gliederung der nachfolgenden Entscheidungen ↓</w:t>
            </w:r>
          </w:p>
        </w:tc>
      </w:tr>
      <w:tr w:rsidR="00074551" w:rsidRPr="00E50B51" w14:paraId="16E6047D" w14:textId="77777777" w:rsidTr="00BE689F">
        <w:trPr>
          <w:cantSplit/>
          <w:trHeight w:val="3175"/>
        </w:trPr>
        <w:tc>
          <w:tcPr>
            <w:tcW w:w="293" w:type="pct"/>
          </w:tcPr>
          <w:p w14:paraId="0DBAA915"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4CF55243" w14:textId="77777777" w:rsidR="00074551" w:rsidRPr="00B45592" w:rsidRDefault="00074551" w:rsidP="00367133">
            <w:pPr>
              <w:ind w:left="113" w:right="416"/>
              <w:jc w:val="both"/>
              <w:rPr>
                <w:i/>
                <w:sz w:val="20"/>
                <w:szCs w:val="20"/>
                <w:lang w:val="en-US"/>
              </w:rPr>
            </w:pPr>
            <w:r w:rsidRPr="00B45592">
              <w:rPr>
                <w:i/>
                <w:sz w:val="20"/>
                <w:szCs w:val="20"/>
              </w:rPr>
              <w:t>Cohens v. Virginia</w:t>
            </w:r>
          </w:p>
        </w:tc>
        <w:tc>
          <w:tcPr>
            <w:tcW w:w="197" w:type="pct"/>
            <w:textDirection w:val="tbRl"/>
            <w:vAlign w:val="center"/>
          </w:tcPr>
          <w:p w14:paraId="7A61A0B0" w14:textId="77777777" w:rsidR="00074551" w:rsidRPr="00E50B51" w:rsidRDefault="00074551" w:rsidP="00367133">
            <w:pPr>
              <w:ind w:left="113" w:right="113"/>
              <w:jc w:val="both"/>
              <w:rPr>
                <w:sz w:val="20"/>
                <w:szCs w:val="20"/>
                <w:lang w:val="en-US"/>
              </w:rPr>
            </w:pPr>
            <w:r w:rsidRPr="00BE3728">
              <w:rPr>
                <w:sz w:val="20"/>
                <w:szCs w:val="20"/>
              </w:rPr>
              <w:t>19 U.S. 264</w:t>
            </w:r>
          </w:p>
        </w:tc>
        <w:tc>
          <w:tcPr>
            <w:tcW w:w="306" w:type="pct"/>
            <w:textDirection w:val="tbRl"/>
            <w:vAlign w:val="center"/>
          </w:tcPr>
          <w:p w14:paraId="0E5E83AA" w14:textId="77777777" w:rsidR="00074551" w:rsidRPr="00E50B51" w:rsidRDefault="00074551" w:rsidP="00367133">
            <w:pPr>
              <w:ind w:left="113" w:right="113"/>
              <w:jc w:val="both"/>
              <w:rPr>
                <w:sz w:val="20"/>
                <w:szCs w:val="20"/>
              </w:rPr>
            </w:pPr>
            <w:r w:rsidRPr="00BE3728">
              <w:rPr>
                <w:sz w:val="20"/>
                <w:szCs w:val="20"/>
              </w:rPr>
              <w:t>05. März 1821</w:t>
            </w:r>
          </w:p>
        </w:tc>
        <w:tc>
          <w:tcPr>
            <w:tcW w:w="401" w:type="pct"/>
          </w:tcPr>
          <w:p w14:paraId="5AEDD0AC"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706B2DFF" w14:textId="6EF3E4A2" w:rsidR="00074551" w:rsidRPr="00BE3728" w:rsidRDefault="00074551" w:rsidP="00367133">
            <w:pPr>
              <w:jc w:val="both"/>
              <w:rPr>
                <w:sz w:val="20"/>
                <w:szCs w:val="20"/>
              </w:rPr>
            </w:pPr>
            <w:r w:rsidRPr="00BE3728">
              <w:rPr>
                <w:sz w:val="20"/>
                <w:szCs w:val="20"/>
              </w:rPr>
              <w:t xml:space="preserve">Die Kläger legten Berufung gegen das Urteil der Vorinstanz ein. In der </w:t>
            </w:r>
            <w:r>
              <w:rPr>
                <w:sz w:val="20"/>
                <w:szCs w:val="20"/>
              </w:rPr>
              <w:t>waren</w:t>
            </w:r>
            <w:r w:rsidRPr="00BE3728">
              <w:rPr>
                <w:sz w:val="20"/>
                <w:szCs w:val="20"/>
              </w:rPr>
              <w:t xml:space="preserve"> sie wegen Verstoßes gegen die Glücksspielgesetz</w:t>
            </w:r>
            <w:r>
              <w:rPr>
                <w:sz w:val="20"/>
                <w:szCs w:val="20"/>
              </w:rPr>
              <w:t>e</w:t>
            </w:r>
            <w:r w:rsidRPr="00BE3728">
              <w:rPr>
                <w:rStyle w:val="Funotenzeichen"/>
                <w:sz w:val="20"/>
                <w:szCs w:val="20"/>
              </w:rPr>
              <w:footnoteReference w:id="331"/>
            </w:r>
            <w:r w:rsidRPr="00BE3728">
              <w:rPr>
                <w:sz w:val="20"/>
                <w:szCs w:val="20"/>
              </w:rPr>
              <w:t xml:space="preserve"> Virginias verurteilt</w:t>
            </w:r>
            <w:r>
              <w:rPr>
                <w:sz w:val="20"/>
                <w:szCs w:val="20"/>
              </w:rPr>
              <w:t xml:space="preserve"> worden</w:t>
            </w:r>
            <w:r w:rsidRPr="00BE3728">
              <w:rPr>
                <w:sz w:val="20"/>
                <w:szCs w:val="20"/>
              </w:rPr>
              <w:t>. Zwar hatten die Kläger rechtmäßig Lotteriescheine in Washington D. C. erworben</w:t>
            </w:r>
            <w:r>
              <w:rPr>
                <w:sz w:val="20"/>
                <w:szCs w:val="20"/>
              </w:rPr>
              <w:t>; dies</w:t>
            </w:r>
            <w:r w:rsidRPr="00B45592">
              <w:rPr>
                <w:sz w:val="20"/>
                <w:szCs w:val="20"/>
              </w:rPr>
              <w:t xml:space="preserve"> war nach dem </w:t>
            </w:r>
            <w:r w:rsidRPr="00B45592">
              <w:rPr>
                <w:i/>
                <w:iCs/>
                <w:sz w:val="20"/>
                <w:szCs w:val="20"/>
              </w:rPr>
              <w:t xml:space="preserve">Act </w:t>
            </w:r>
            <w:proofErr w:type="spellStart"/>
            <w:r w:rsidRPr="00B45592">
              <w:rPr>
                <w:i/>
                <w:iCs/>
                <w:sz w:val="20"/>
                <w:szCs w:val="20"/>
              </w:rPr>
              <w:t>further</w:t>
            </w:r>
            <w:proofErr w:type="spellEnd"/>
            <w:r w:rsidRPr="00B45592">
              <w:rPr>
                <w:i/>
                <w:iCs/>
                <w:sz w:val="20"/>
                <w:szCs w:val="20"/>
              </w:rPr>
              <w:t xml:space="preserve"> to </w:t>
            </w:r>
            <w:proofErr w:type="spellStart"/>
            <w:r w:rsidRPr="00B45592">
              <w:rPr>
                <w:i/>
                <w:iCs/>
                <w:sz w:val="20"/>
                <w:szCs w:val="20"/>
              </w:rPr>
              <w:t>amend</w:t>
            </w:r>
            <w:proofErr w:type="spellEnd"/>
            <w:r w:rsidRPr="00B45592">
              <w:rPr>
                <w:i/>
                <w:iCs/>
                <w:sz w:val="20"/>
                <w:szCs w:val="20"/>
              </w:rPr>
              <w:t xml:space="preserve"> the </w:t>
            </w:r>
            <w:proofErr w:type="spellStart"/>
            <w:r w:rsidRPr="00B45592">
              <w:rPr>
                <w:i/>
                <w:iCs/>
                <w:sz w:val="20"/>
                <w:szCs w:val="20"/>
              </w:rPr>
              <w:t>charter</w:t>
            </w:r>
            <w:proofErr w:type="spellEnd"/>
            <w:r w:rsidRPr="00B45592">
              <w:rPr>
                <w:i/>
                <w:iCs/>
                <w:sz w:val="20"/>
                <w:szCs w:val="20"/>
              </w:rPr>
              <w:t xml:space="preserve"> of the </w:t>
            </w:r>
            <w:proofErr w:type="spellStart"/>
            <w:r w:rsidRPr="00B45592">
              <w:rPr>
                <w:i/>
                <w:iCs/>
                <w:sz w:val="20"/>
                <w:szCs w:val="20"/>
              </w:rPr>
              <w:t>city</w:t>
            </w:r>
            <w:proofErr w:type="spellEnd"/>
            <w:r w:rsidRPr="00B45592">
              <w:rPr>
                <w:i/>
                <w:iCs/>
                <w:sz w:val="20"/>
                <w:szCs w:val="20"/>
              </w:rPr>
              <w:t xml:space="preserve"> of Washington</w:t>
            </w:r>
            <w:r w:rsidRPr="00B45592">
              <w:rPr>
                <w:sz w:val="20"/>
                <w:szCs w:val="20"/>
              </w:rPr>
              <w:t xml:space="preserve"> erlaubt. </w:t>
            </w:r>
            <w:r w:rsidRPr="00BE3728">
              <w:rPr>
                <w:sz w:val="20"/>
                <w:szCs w:val="20"/>
              </w:rPr>
              <w:t>Aber die Scheine hatten sie dann in Virginia verkauft</w:t>
            </w:r>
            <w:r>
              <w:rPr>
                <w:sz w:val="20"/>
                <w:szCs w:val="20"/>
              </w:rPr>
              <w:t xml:space="preserve">, obwohl </w:t>
            </w:r>
            <w:r w:rsidRPr="00BE3728">
              <w:rPr>
                <w:sz w:val="20"/>
                <w:szCs w:val="20"/>
              </w:rPr>
              <w:t>Virginia den Verkauf nach seinem Glücksspielgesetz</w:t>
            </w:r>
            <w:r>
              <w:rPr>
                <w:sz w:val="20"/>
                <w:szCs w:val="20"/>
              </w:rPr>
              <w:t xml:space="preserve"> verbot</w:t>
            </w:r>
            <w:r w:rsidRPr="00BE3728">
              <w:rPr>
                <w:sz w:val="20"/>
                <w:szCs w:val="20"/>
              </w:rPr>
              <w:t xml:space="preserve">. Der </w:t>
            </w:r>
            <w:r>
              <w:rPr>
                <w:sz w:val="20"/>
                <w:szCs w:val="20"/>
              </w:rPr>
              <w:t>U.S. Supreme Court</w:t>
            </w:r>
            <w:r w:rsidRPr="00BE3728">
              <w:rPr>
                <w:sz w:val="20"/>
                <w:szCs w:val="20"/>
              </w:rPr>
              <w:t xml:space="preserve"> stellte zunächst fest,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verleihe ihm die Zuständigkeit, den Streit zu entscheiden. Denn es handel</w:t>
            </w:r>
            <w:r>
              <w:rPr>
                <w:sz w:val="20"/>
                <w:szCs w:val="20"/>
              </w:rPr>
              <w:t>e</w:t>
            </w:r>
            <w:r w:rsidRPr="00BE3728">
              <w:rPr>
                <w:sz w:val="20"/>
                <w:szCs w:val="20"/>
              </w:rPr>
              <w:t xml:space="preserve"> sich um einen Konflikt zwischen einem vom Kongress erlassenen Glücksspielgesetz, das den Verkauf von Lotterielosen gestatte</w:t>
            </w:r>
            <w:r>
              <w:rPr>
                <w:sz w:val="20"/>
                <w:szCs w:val="20"/>
              </w:rPr>
              <w:t> </w:t>
            </w:r>
            <w:r w:rsidRPr="00BE3728">
              <w:rPr>
                <w:sz w:val="20"/>
                <w:szCs w:val="20"/>
              </w:rPr>
              <w:t xml:space="preserve">– dem </w:t>
            </w:r>
            <w:r w:rsidRPr="00B45592">
              <w:rPr>
                <w:i/>
                <w:iCs/>
                <w:sz w:val="20"/>
                <w:szCs w:val="20"/>
              </w:rPr>
              <w:t xml:space="preserve">Act </w:t>
            </w:r>
            <w:proofErr w:type="spellStart"/>
            <w:r w:rsidRPr="00B45592">
              <w:rPr>
                <w:i/>
                <w:iCs/>
                <w:sz w:val="20"/>
                <w:szCs w:val="20"/>
              </w:rPr>
              <w:t>further</w:t>
            </w:r>
            <w:proofErr w:type="spellEnd"/>
            <w:r w:rsidRPr="00B45592">
              <w:rPr>
                <w:i/>
                <w:iCs/>
                <w:sz w:val="20"/>
                <w:szCs w:val="20"/>
              </w:rPr>
              <w:t xml:space="preserve"> to </w:t>
            </w:r>
            <w:proofErr w:type="spellStart"/>
            <w:r w:rsidRPr="00B45592">
              <w:rPr>
                <w:i/>
                <w:iCs/>
                <w:sz w:val="20"/>
                <w:szCs w:val="20"/>
              </w:rPr>
              <w:t>amend</w:t>
            </w:r>
            <w:proofErr w:type="spellEnd"/>
            <w:r w:rsidRPr="00B45592">
              <w:rPr>
                <w:i/>
                <w:iCs/>
                <w:sz w:val="20"/>
                <w:szCs w:val="20"/>
              </w:rPr>
              <w:t xml:space="preserve"> the </w:t>
            </w:r>
            <w:proofErr w:type="spellStart"/>
            <w:r w:rsidRPr="00B45592">
              <w:rPr>
                <w:i/>
                <w:iCs/>
                <w:sz w:val="20"/>
                <w:szCs w:val="20"/>
              </w:rPr>
              <w:t>charter</w:t>
            </w:r>
            <w:proofErr w:type="spellEnd"/>
            <w:r w:rsidRPr="00B45592">
              <w:rPr>
                <w:i/>
                <w:iCs/>
                <w:sz w:val="20"/>
                <w:szCs w:val="20"/>
              </w:rPr>
              <w:t xml:space="preserve"> of the </w:t>
            </w:r>
            <w:proofErr w:type="spellStart"/>
            <w:r w:rsidRPr="00B45592">
              <w:rPr>
                <w:i/>
                <w:iCs/>
                <w:sz w:val="20"/>
                <w:szCs w:val="20"/>
              </w:rPr>
              <w:t>city</w:t>
            </w:r>
            <w:proofErr w:type="spellEnd"/>
            <w:r w:rsidRPr="00B45592">
              <w:rPr>
                <w:i/>
                <w:iCs/>
                <w:sz w:val="20"/>
                <w:szCs w:val="20"/>
              </w:rPr>
              <w:t xml:space="preserve"> of Washington</w:t>
            </w:r>
            <w:r w:rsidRPr="00BE3728">
              <w:rPr>
                <w:sz w:val="20"/>
                <w:szCs w:val="20"/>
              </w:rPr>
              <w:t xml:space="preserve"> –, und einem bundesstaatlichen Gesetz, das den Verkauf von Lotterielosen verbiete – dem </w:t>
            </w:r>
            <w:r w:rsidRPr="00B45592">
              <w:rPr>
                <w:i/>
                <w:iCs/>
                <w:sz w:val="20"/>
                <w:szCs w:val="20"/>
              </w:rPr>
              <w:t xml:space="preserve">Act to </w:t>
            </w:r>
            <w:proofErr w:type="spellStart"/>
            <w:r w:rsidRPr="00B45592">
              <w:rPr>
                <w:i/>
                <w:iCs/>
                <w:sz w:val="20"/>
                <w:szCs w:val="20"/>
              </w:rPr>
              <w:t>reduce</w:t>
            </w:r>
            <w:proofErr w:type="spellEnd"/>
            <w:r w:rsidRPr="00B45592">
              <w:rPr>
                <w:i/>
                <w:iCs/>
                <w:sz w:val="20"/>
                <w:szCs w:val="20"/>
              </w:rPr>
              <w:t xml:space="preserve"> </w:t>
            </w:r>
            <w:proofErr w:type="spellStart"/>
            <w:r w:rsidRPr="00B45592">
              <w:rPr>
                <w:i/>
                <w:iCs/>
                <w:sz w:val="20"/>
                <w:szCs w:val="20"/>
              </w:rPr>
              <w:t>into</w:t>
            </w:r>
            <w:proofErr w:type="spellEnd"/>
            <w:r w:rsidRPr="00B45592">
              <w:rPr>
                <w:i/>
                <w:iCs/>
                <w:sz w:val="20"/>
                <w:szCs w:val="20"/>
              </w:rPr>
              <w:t xml:space="preserve"> </w:t>
            </w:r>
            <w:proofErr w:type="spellStart"/>
            <w:r w:rsidRPr="00B45592">
              <w:rPr>
                <w:i/>
                <w:iCs/>
                <w:sz w:val="20"/>
                <w:szCs w:val="20"/>
              </w:rPr>
              <w:t>one</w:t>
            </w:r>
            <w:proofErr w:type="spellEnd"/>
            <w:r w:rsidRPr="00B45592">
              <w:rPr>
                <w:i/>
                <w:iCs/>
                <w:sz w:val="20"/>
                <w:szCs w:val="20"/>
              </w:rPr>
              <w:t xml:space="preserve">, the </w:t>
            </w:r>
            <w:proofErr w:type="spellStart"/>
            <w:r w:rsidRPr="00B45592">
              <w:rPr>
                <w:i/>
                <w:iCs/>
                <w:sz w:val="20"/>
                <w:szCs w:val="20"/>
              </w:rPr>
              <w:t>several</w:t>
            </w:r>
            <w:proofErr w:type="spellEnd"/>
            <w:r w:rsidRPr="00B45592">
              <w:rPr>
                <w:i/>
                <w:iCs/>
                <w:sz w:val="20"/>
                <w:szCs w:val="20"/>
              </w:rPr>
              <w:t xml:space="preserve"> </w:t>
            </w:r>
            <w:proofErr w:type="spellStart"/>
            <w:r w:rsidRPr="00B45592">
              <w:rPr>
                <w:i/>
                <w:iCs/>
                <w:sz w:val="20"/>
                <w:szCs w:val="20"/>
              </w:rPr>
              <w:t>acts</w:t>
            </w:r>
            <w:proofErr w:type="spellEnd"/>
            <w:r w:rsidRPr="00B45592">
              <w:rPr>
                <w:i/>
                <w:iCs/>
                <w:sz w:val="20"/>
                <w:szCs w:val="20"/>
              </w:rPr>
              <w:t xml:space="preserve">, and </w:t>
            </w:r>
            <w:proofErr w:type="spellStart"/>
            <w:r w:rsidRPr="00B45592">
              <w:rPr>
                <w:i/>
                <w:iCs/>
                <w:sz w:val="20"/>
                <w:szCs w:val="20"/>
              </w:rPr>
              <w:t>parts</w:t>
            </w:r>
            <w:proofErr w:type="spellEnd"/>
            <w:r w:rsidRPr="00B45592">
              <w:rPr>
                <w:i/>
                <w:iCs/>
                <w:sz w:val="20"/>
                <w:szCs w:val="20"/>
              </w:rPr>
              <w:t xml:space="preserve"> of </w:t>
            </w:r>
            <w:proofErr w:type="spellStart"/>
            <w:r w:rsidRPr="00B45592">
              <w:rPr>
                <w:i/>
                <w:iCs/>
                <w:sz w:val="20"/>
                <w:szCs w:val="20"/>
              </w:rPr>
              <w:t>acts</w:t>
            </w:r>
            <w:proofErr w:type="spellEnd"/>
            <w:r w:rsidRPr="00B45592">
              <w:rPr>
                <w:i/>
                <w:iCs/>
                <w:sz w:val="20"/>
                <w:szCs w:val="20"/>
              </w:rPr>
              <w:t xml:space="preserve">, to </w:t>
            </w:r>
            <w:proofErr w:type="spellStart"/>
            <w:r w:rsidRPr="00B45592">
              <w:rPr>
                <w:i/>
                <w:iCs/>
                <w:sz w:val="20"/>
                <w:szCs w:val="20"/>
              </w:rPr>
              <w:t>prevent</w:t>
            </w:r>
            <w:proofErr w:type="spellEnd"/>
            <w:r w:rsidRPr="00B45592">
              <w:rPr>
                <w:i/>
                <w:iCs/>
                <w:sz w:val="20"/>
                <w:szCs w:val="20"/>
              </w:rPr>
              <w:t xml:space="preserve"> </w:t>
            </w:r>
            <w:proofErr w:type="spellStart"/>
            <w:r w:rsidRPr="00B45592">
              <w:rPr>
                <w:i/>
                <w:iCs/>
                <w:sz w:val="20"/>
                <w:szCs w:val="20"/>
              </w:rPr>
              <w:t>unlawful</w:t>
            </w:r>
            <w:proofErr w:type="spellEnd"/>
            <w:r w:rsidRPr="00B45592">
              <w:rPr>
                <w:i/>
                <w:iCs/>
                <w:sz w:val="20"/>
                <w:szCs w:val="20"/>
              </w:rPr>
              <w:t xml:space="preserve"> </w:t>
            </w:r>
            <w:proofErr w:type="spellStart"/>
            <w:r w:rsidRPr="00B45592">
              <w:rPr>
                <w:i/>
                <w:iCs/>
                <w:sz w:val="20"/>
                <w:szCs w:val="20"/>
              </w:rPr>
              <w:t>gaming</w:t>
            </w:r>
            <w:proofErr w:type="spellEnd"/>
            <w:r w:rsidRPr="00BE3728">
              <w:rPr>
                <w:sz w:val="20"/>
                <w:szCs w:val="20"/>
              </w:rPr>
              <w:t xml:space="preserve">. Darüber hinaus räume die Verfassung der Bundesgerichtsbarkeit eine Aufsicht über die Urteile der einzelstaatlichen Gerichte ein gemäß </w:t>
            </w:r>
            <w:r w:rsidR="00023A37">
              <w:rPr>
                <w:sz w:val="20"/>
                <w:szCs w:val="20"/>
              </w:rPr>
              <w:t xml:space="preserve">U.S. </w:t>
            </w:r>
            <w:proofErr w:type="spellStart"/>
            <w:r w:rsidR="00023A37">
              <w:rPr>
                <w:sz w:val="20"/>
                <w:szCs w:val="20"/>
              </w:rPr>
              <w:t>Const</w:t>
            </w:r>
            <w:proofErr w:type="spellEnd"/>
            <w:r w:rsidR="00023A37">
              <w:rPr>
                <w:sz w:val="20"/>
                <w:szCs w:val="20"/>
              </w:rPr>
              <w:t>. art. III, § 2.</w:t>
            </w:r>
            <w:r w:rsidRPr="00BE3728">
              <w:rPr>
                <w:rStyle w:val="Funotenzeichen"/>
                <w:sz w:val="20"/>
                <w:szCs w:val="20"/>
              </w:rPr>
              <w:footnoteReference w:id="332"/>
            </w:r>
            <w:r w:rsidRPr="00BE3728">
              <w:rPr>
                <w:sz w:val="20"/>
                <w:szCs w:val="20"/>
              </w:rPr>
              <w:t xml:space="preserve"> Schließlich urteilte der </w:t>
            </w:r>
            <w:r>
              <w:rPr>
                <w:sz w:val="20"/>
                <w:szCs w:val="20"/>
              </w:rPr>
              <w:t>U.S. Supreme Court</w:t>
            </w:r>
            <w:r w:rsidRPr="00BE3728">
              <w:rPr>
                <w:sz w:val="20"/>
                <w:szCs w:val="20"/>
              </w:rPr>
              <w:t>, dass der Kongress das Lotteriegesetz im Rahmen seiner ausschließlichen Gesetzgebungsbefugnis für Washington D. C. erlassen habe. Die Absicht sei eine bundesstaatliche Gesetzgebung gewesen. Da also das Lotteriegesetz des Kongresses nicht als Gesetz der Vereinigten Staaten erlassen wurde, ha</w:t>
            </w:r>
            <w:r>
              <w:rPr>
                <w:sz w:val="20"/>
                <w:szCs w:val="20"/>
              </w:rPr>
              <w:t>be</w:t>
            </w:r>
            <w:r w:rsidRPr="00BE3728">
              <w:rPr>
                <w:sz w:val="20"/>
                <w:szCs w:val="20"/>
              </w:rPr>
              <w:t xml:space="preserve"> es keinen Vorrang vor den Gesetzen der Bundesstaaten, hier Virginias. Der </w:t>
            </w:r>
            <w:r>
              <w:rPr>
                <w:sz w:val="20"/>
                <w:szCs w:val="20"/>
              </w:rPr>
              <w:t>U.S. Supreme Court</w:t>
            </w:r>
            <w:r w:rsidRPr="00BE3728">
              <w:rPr>
                <w:sz w:val="20"/>
                <w:szCs w:val="20"/>
              </w:rPr>
              <w:t xml:space="preserve"> bestätigte somit die Verurteilung der Kläger nach dem Glücksspielgesetz Virgin</w:t>
            </w:r>
            <w:r>
              <w:rPr>
                <w:sz w:val="20"/>
                <w:szCs w:val="20"/>
              </w:rPr>
              <w:t>i</w:t>
            </w:r>
            <w:r w:rsidRPr="00BE3728">
              <w:rPr>
                <w:sz w:val="20"/>
                <w:szCs w:val="20"/>
              </w:rPr>
              <w:t>as.</w:t>
            </w:r>
            <w:r w:rsidRPr="00BE3728">
              <w:rPr>
                <w:rStyle w:val="Funotenzeichen"/>
                <w:sz w:val="20"/>
                <w:szCs w:val="20"/>
              </w:rPr>
              <w:footnoteReference w:id="333"/>
            </w:r>
          </w:p>
          <w:p w14:paraId="5AD095D5" w14:textId="77777777" w:rsidR="00074551" w:rsidRPr="00E50B51" w:rsidRDefault="00074551" w:rsidP="00367133">
            <w:pPr>
              <w:jc w:val="both"/>
              <w:rPr>
                <w:sz w:val="20"/>
                <w:szCs w:val="20"/>
              </w:rPr>
            </w:pPr>
          </w:p>
        </w:tc>
        <w:tc>
          <w:tcPr>
            <w:tcW w:w="1822" w:type="pct"/>
          </w:tcPr>
          <w:p w14:paraId="0F10F282" w14:textId="77777777" w:rsidR="00074551" w:rsidRPr="00B45592" w:rsidRDefault="00074551" w:rsidP="00367133">
            <w:pPr>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Supremacy Clause › Supreme Law of the Land</w:t>
            </w:r>
          </w:p>
          <w:p w14:paraId="18342ECF" w14:textId="77777777" w:rsidR="00074551" w:rsidRPr="00BE3728" w:rsidRDefault="00074551" w:rsidP="00367133">
            <w:pPr>
              <w:jc w:val="both"/>
              <w:rPr>
                <w:sz w:val="20"/>
                <w:szCs w:val="20"/>
                <w:lang w:val="en-US"/>
              </w:rPr>
            </w:pPr>
          </w:p>
          <w:p w14:paraId="24F47CEA" w14:textId="45C27E9E"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urteilte zur </w:t>
            </w:r>
            <w:r w:rsidRPr="00A142D9">
              <w:rPr>
                <w:i/>
                <w:sz w:val="20"/>
                <w:szCs w:val="20"/>
              </w:rPr>
              <w:t xml:space="preserve">Supremacy </w:t>
            </w:r>
            <w:proofErr w:type="spellStart"/>
            <w:r w:rsidRPr="00A142D9">
              <w:rPr>
                <w:i/>
                <w:sz w:val="20"/>
                <w:szCs w:val="20"/>
              </w:rPr>
              <w:t>Clause</w:t>
            </w:r>
            <w:proofErr w:type="spellEnd"/>
            <w:r w:rsidRPr="00BE3728">
              <w:rPr>
                <w:sz w:val="20"/>
                <w:szCs w:val="20"/>
              </w:rPr>
              <w:t xml:space="preserve">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art. VI, cl. 2</w:t>
            </w:r>
            <w:r>
              <w:rPr>
                <w:sz w:val="20"/>
                <w:szCs w:val="20"/>
              </w:rPr>
              <w:t>:</w:t>
            </w:r>
            <w:r w:rsidRPr="00BE3728">
              <w:rPr>
                <w:rStyle w:val="Funotenzeichen"/>
                <w:sz w:val="20"/>
                <w:szCs w:val="20"/>
              </w:rPr>
              <w:footnoteReference w:id="334"/>
            </w:r>
            <w:r w:rsidRPr="00BE3728">
              <w:rPr>
                <w:sz w:val="20"/>
                <w:szCs w:val="20"/>
              </w:rPr>
              <w:t xml:space="preserve"> Die</w:t>
            </w:r>
            <w:r>
              <w:rPr>
                <w:sz w:val="20"/>
                <w:szCs w:val="20"/>
              </w:rPr>
              <w:t>se</w:t>
            </w:r>
            <w:r w:rsidRPr="00BE3728">
              <w:rPr>
                <w:sz w:val="20"/>
                <w:szCs w:val="20"/>
              </w:rPr>
              <w:t xml:space="preserve"> besage, dass die Bundesverfassung das sog. </w:t>
            </w:r>
            <w:proofErr w:type="spellStart"/>
            <w:r w:rsidRPr="00B45592">
              <w:rPr>
                <w:i/>
                <w:iCs/>
                <w:sz w:val="20"/>
                <w:szCs w:val="20"/>
              </w:rPr>
              <w:t>supreme</w:t>
            </w:r>
            <w:proofErr w:type="spellEnd"/>
            <w:r w:rsidRPr="00B45592">
              <w:rPr>
                <w:i/>
                <w:iCs/>
                <w:sz w:val="20"/>
                <w:szCs w:val="20"/>
              </w:rPr>
              <w:t xml:space="preserve"> </w:t>
            </w:r>
            <w:proofErr w:type="spellStart"/>
            <w:r w:rsidRPr="00B45592">
              <w:rPr>
                <w:i/>
                <w:iCs/>
                <w:sz w:val="20"/>
                <w:szCs w:val="20"/>
              </w:rPr>
              <w:t>law</w:t>
            </w:r>
            <w:proofErr w:type="spellEnd"/>
            <w:r w:rsidRPr="00B45592">
              <w:rPr>
                <w:i/>
                <w:iCs/>
                <w:sz w:val="20"/>
                <w:szCs w:val="20"/>
              </w:rPr>
              <w:t xml:space="preserve"> of the </w:t>
            </w:r>
            <w:proofErr w:type="spellStart"/>
            <w:r w:rsidRPr="00B45592">
              <w:rPr>
                <w:i/>
                <w:iCs/>
                <w:sz w:val="20"/>
                <w:szCs w:val="20"/>
              </w:rPr>
              <w:t>land</w:t>
            </w:r>
            <w:proofErr w:type="spellEnd"/>
            <w:r w:rsidRPr="00BE3728">
              <w:rPr>
                <w:sz w:val="20"/>
                <w:szCs w:val="20"/>
              </w:rPr>
              <w:t xml:space="preserve"> sei, also über allen anderen Gesetzen steh</w:t>
            </w:r>
            <w:r>
              <w:rPr>
                <w:sz w:val="20"/>
                <w:szCs w:val="20"/>
              </w:rPr>
              <w:t>e</w:t>
            </w:r>
            <w:r w:rsidRPr="00BE3728">
              <w:rPr>
                <w:sz w:val="20"/>
                <w:szCs w:val="20"/>
              </w:rPr>
              <w:t>.</w:t>
            </w:r>
            <w:r w:rsidRPr="00BE3728">
              <w:rPr>
                <w:rStyle w:val="Funotenzeichen"/>
                <w:sz w:val="20"/>
                <w:szCs w:val="20"/>
              </w:rPr>
              <w:footnoteReference w:id="335"/>
            </w:r>
          </w:p>
          <w:p w14:paraId="5268DBF2" w14:textId="77777777" w:rsidR="00074551" w:rsidRDefault="00074551" w:rsidP="00367133">
            <w:pPr>
              <w:jc w:val="both"/>
              <w:rPr>
                <w:sz w:val="20"/>
                <w:szCs w:val="20"/>
              </w:rPr>
            </w:pPr>
          </w:p>
          <w:p w14:paraId="1BCAC2EF" w14:textId="54F06A3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 dann noch weiter,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gehe im Zweifel vor. Woher rührt dieses Urteil? Die Bundesstaaten und das Volk </w:t>
            </w:r>
            <w:r>
              <w:rPr>
                <w:sz w:val="20"/>
                <w:szCs w:val="20"/>
              </w:rPr>
              <w:t>teilten</w:t>
            </w:r>
            <w:r w:rsidRPr="00BE3728">
              <w:rPr>
                <w:sz w:val="20"/>
                <w:szCs w:val="20"/>
              </w:rPr>
              <w:t xml:space="preserve"> historisch das Ziel, eine stabile Union zu sichern.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solle</w:t>
            </w:r>
            <w:proofErr w:type="spellEnd"/>
            <w:r w:rsidRPr="00BE3728">
              <w:rPr>
                <w:sz w:val="20"/>
                <w:szCs w:val="20"/>
                <w:lang w:val="en-US"/>
              </w:rPr>
              <w:t xml:space="preserve"> </w:t>
            </w:r>
            <w:proofErr w:type="spellStart"/>
            <w:r w:rsidRPr="00BE3728">
              <w:rPr>
                <w:sz w:val="20"/>
                <w:szCs w:val="20"/>
                <w:lang w:val="en-US"/>
              </w:rPr>
              <w:t>im</w:t>
            </w:r>
            <w:proofErr w:type="spellEnd"/>
            <w:r w:rsidRPr="00BE3728">
              <w:rPr>
                <w:sz w:val="20"/>
                <w:szCs w:val="20"/>
                <w:lang w:val="en-US"/>
              </w:rPr>
              <w:t xml:space="preserve"> </w:t>
            </w:r>
            <w:proofErr w:type="spellStart"/>
            <w:r w:rsidRPr="00BE3728">
              <w:rPr>
                <w:sz w:val="20"/>
                <w:szCs w:val="20"/>
                <w:lang w:val="en-US"/>
              </w:rPr>
              <w:t>Wesentlichen</w:t>
            </w:r>
            <w:proofErr w:type="spellEnd"/>
            <w:r w:rsidRPr="00BE3728">
              <w:rPr>
                <w:sz w:val="20"/>
                <w:szCs w:val="20"/>
                <w:lang w:val="en-US"/>
              </w:rPr>
              <w:t xml:space="preserve"> Freiheit und Glück </w:t>
            </w:r>
            <w:proofErr w:type="spellStart"/>
            <w:r w:rsidRPr="00BE3728">
              <w:rPr>
                <w:sz w:val="20"/>
                <w:szCs w:val="20"/>
                <w:lang w:val="en-US"/>
              </w:rPr>
              <w:t>sichern</w:t>
            </w:r>
            <w:proofErr w:type="spellEnd"/>
            <w:r w:rsidRPr="00BE3728">
              <w:rPr>
                <w:sz w:val="20"/>
                <w:szCs w:val="20"/>
                <w:lang w:val="en-US"/>
              </w:rPr>
              <w:t xml:space="preserve"> („The American States, as well as the American people, have believed a close and firm Union to be essential to their liberty and to their </w:t>
            </w:r>
            <w:proofErr w:type="gramStart"/>
            <w:r w:rsidRPr="00BE3728">
              <w:rPr>
                <w:sz w:val="20"/>
                <w:szCs w:val="20"/>
                <w:lang w:val="en-US"/>
              </w:rPr>
              <w:t>happiness.“</w:t>
            </w:r>
            <w:proofErr w:type="gramEnd"/>
            <w:r w:rsidRPr="00BE3728">
              <w:rPr>
                <w:rStyle w:val="Funotenzeichen"/>
                <w:sz w:val="20"/>
                <w:szCs w:val="20"/>
              </w:rPr>
              <w:footnoteReference w:id="336"/>
            </w:r>
            <w:r w:rsidRPr="00BE3728">
              <w:rPr>
                <w:sz w:val="20"/>
                <w:szCs w:val="20"/>
              </w:rPr>
              <w:t xml:space="preserve">). Aber eine Union kann nicht ohne eine nationale Regierung bestehen. Um effektiver Teil der staatlichen Souveränität zu sein, muss die nationale Regierung auch Kompetenzen haben. Unter diesem Eindruck </w:t>
            </w:r>
            <w:r>
              <w:rPr>
                <w:sz w:val="20"/>
                <w:szCs w:val="20"/>
              </w:rPr>
              <w:t xml:space="preserve">habe </w:t>
            </w:r>
            <w:r w:rsidRPr="00BE3728">
              <w:rPr>
                <w:sz w:val="20"/>
                <w:szCs w:val="20"/>
              </w:rPr>
              <w:t xml:space="preserve">der Verfassungskonvent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kodifiziert</w:t>
            </w:r>
            <w:r>
              <w:rPr>
                <w:sz w:val="20"/>
                <w:szCs w:val="20"/>
              </w:rPr>
              <w:t xml:space="preserve">. </w:t>
            </w:r>
            <w:r w:rsidRPr="00BE3728">
              <w:rPr>
                <w:sz w:val="20"/>
                <w:szCs w:val="20"/>
              </w:rPr>
              <w:t xml:space="preserve">Diese gehe im Zweifel allen Gesetzen vor, schließlich sichere sie das Staatsgefüge, genannt: Union. Dafür spricht der Wortlaut des dann kodifizierten </w:t>
            </w:r>
            <w:r>
              <w:rPr>
                <w:sz w:val="20"/>
                <w:szCs w:val="20"/>
              </w:rPr>
              <w:t>Art. </w:t>
            </w:r>
            <w:r w:rsidRPr="00BE3728">
              <w:rPr>
                <w:sz w:val="20"/>
                <w:szCs w:val="20"/>
              </w:rPr>
              <w:t xml:space="preserve">IV, </w:t>
            </w:r>
            <w:r w:rsidR="004D6F76">
              <w:rPr>
                <w:sz w:val="20"/>
                <w:szCs w:val="20"/>
              </w:rPr>
              <w:t xml:space="preserve">§ 3, </w:t>
            </w:r>
            <w:r>
              <w:rPr>
                <w:sz w:val="20"/>
                <w:szCs w:val="20"/>
              </w:rPr>
              <w:t>cl. 2</w:t>
            </w:r>
            <w:r w:rsidRPr="00BE3728">
              <w:rPr>
                <w:sz w:val="20"/>
                <w:szCs w:val="20"/>
              </w:rPr>
              <w:t xml:space="preserv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Der lautet, dass jedwedes Recht verfassungskonform sein müsse.</w:t>
            </w:r>
            <w:r w:rsidRPr="00BE3728">
              <w:rPr>
                <w:rStyle w:val="Funotenzeichen"/>
                <w:sz w:val="20"/>
                <w:szCs w:val="20"/>
              </w:rPr>
              <w:footnoteReference w:id="337"/>
            </w:r>
          </w:p>
          <w:p w14:paraId="4CA51381" w14:textId="77777777" w:rsidR="00074551" w:rsidRPr="00BE3728" w:rsidRDefault="00074551" w:rsidP="00367133">
            <w:pPr>
              <w:jc w:val="both"/>
              <w:rPr>
                <w:sz w:val="20"/>
                <w:szCs w:val="20"/>
              </w:rPr>
            </w:pPr>
          </w:p>
          <w:p w14:paraId="73EA1D0B" w14:textId="77777777" w:rsidR="00074551" w:rsidRPr="00BE3728" w:rsidRDefault="00074551" w:rsidP="00367133">
            <w:pPr>
              <w:jc w:val="both"/>
              <w:rPr>
                <w:sz w:val="20"/>
                <w:szCs w:val="20"/>
              </w:rPr>
            </w:pPr>
          </w:p>
          <w:p w14:paraId="77691F63" w14:textId="77777777" w:rsidR="00074551" w:rsidRPr="00E50B51" w:rsidRDefault="00074551" w:rsidP="00367133">
            <w:pPr>
              <w:jc w:val="both"/>
              <w:rPr>
                <w:sz w:val="20"/>
                <w:szCs w:val="20"/>
              </w:rPr>
            </w:pPr>
          </w:p>
        </w:tc>
      </w:tr>
      <w:tr w:rsidR="00074551" w:rsidRPr="00E50B51" w14:paraId="3B4DDC2A" w14:textId="77777777" w:rsidTr="00752D01">
        <w:trPr>
          <w:cantSplit/>
          <w:trHeight w:val="3175"/>
        </w:trPr>
        <w:tc>
          <w:tcPr>
            <w:tcW w:w="293" w:type="pct"/>
            <w:shd w:val="clear" w:color="auto" w:fill="E7E6E6" w:themeFill="background2"/>
          </w:tcPr>
          <w:p w14:paraId="1146FC11"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6B40C4AE"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2EC6435E"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0713463E" w14:textId="77777777" w:rsidR="00074551" w:rsidRPr="00E50B51" w:rsidRDefault="00074551" w:rsidP="00367133">
            <w:pPr>
              <w:ind w:left="113" w:right="113"/>
              <w:jc w:val="both"/>
              <w:rPr>
                <w:sz w:val="20"/>
                <w:szCs w:val="20"/>
                <w:lang w:val="en-US"/>
              </w:rPr>
            </w:pPr>
            <w:r w:rsidRPr="00E50B51">
              <w:rPr>
                <w:sz w:val="20"/>
                <w:szCs w:val="20"/>
                <w:lang w:val="en-US"/>
              </w:rPr>
              <w:t>Reserved Powers</w:t>
            </w:r>
          </w:p>
        </w:tc>
        <w:tc>
          <w:tcPr>
            <w:tcW w:w="306" w:type="pct"/>
            <w:shd w:val="clear" w:color="auto" w:fill="E7E6E6" w:themeFill="background2"/>
            <w:textDirection w:val="tbRl"/>
            <w:vAlign w:val="center"/>
          </w:tcPr>
          <w:p w14:paraId="097A6AE1"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3862EF9D"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468F2484" w14:textId="77777777" w:rsidR="00074551" w:rsidRPr="00E50B51" w:rsidRDefault="00074551" w:rsidP="00367133">
            <w:pPr>
              <w:jc w:val="both"/>
              <w:rPr>
                <w:sz w:val="20"/>
                <w:szCs w:val="20"/>
                <w:lang w:val="en-US"/>
              </w:rPr>
            </w:pPr>
          </w:p>
        </w:tc>
        <w:tc>
          <w:tcPr>
            <w:tcW w:w="1822" w:type="pct"/>
            <w:shd w:val="clear" w:color="auto" w:fill="E7E6E6" w:themeFill="background2"/>
          </w:tcPr>
          <w:p w14:paraId="7C78A48E" w14:textId="63146754"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29E15EB0" w14:textId="77777777" w:rsidTr="00BE689F">
        <w:trPr>
          <w:cantSplit/>
          <w:trHeight w:val="3175"/>
        </w:trPr>
        <w:tc>
          <w:tcPr>
            <w:tcW w:w="293" w:type="pct"/>
          </w:tcPr>
          <w:p w14:paraId="35040569"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65051ED" w14:textId="77777777" w:rsidR="00074551" w:rsidRPr="00B45592" w:rsidRDefault="00074551" w:rsidP="00367133">
            <w:pPr>
              <w:ind w:left="113" w:right="113"/>
              <w:jc w:val="both"/>
              <w:rPr>
                <w:i/>
                <w:sz w:val="20"/>
                <w:szCs w:val="20"/>
                <w:lang w:val="en-US"/>
              </w:rPr>
            </w:pPr>
            <w:r w:rsidRPr="00B45592">
              <w:rPr>
                <w:i/>
                <w:sz w:val="20"/>
                <w:szCs w:val="20"/>
                <w:lang w:val="en-US"/>
              </w:rPr>
              <w:t>James Everard’s Breweries v. Day</w:t>
            </w:r>
          </w:p>
        </w:tc>
        <w:tc>
          <w:tcPr>
            <w:tcW w:w="197" w:type="pct"/>
            <w:textDirection w:val="tbRl"/>
            <w:vAlign w:val="center"/>
          </w:tcPr>
          <w:p w14:paraId="0263E790" w14:textId="77777777" w:rsidR="00074551" w:rsidRPr="00E50B51" w:rsidRDefault="00074551" w:rsidP="00367133">
            <w:pPr>
              <w:ind w:left="113" w:right="113"/>
              <w:jc w:val="both"/>
              <w:rPr>
                <w:sz w:val="20"/>
                <w:szCs w:val="20"/>
                <w:lang w:val="en-US"/>
              </w:rPr>
            </w:pPr>
            <w:r w:rsidRPr="00E50B51">
              <w:rPr>
                <w:sz w:val="20"/>
                <w:szCs w:val="20"/>
                <w:lang w:val="en-US"/>
              </w:rPr>
              <w:t>265 U.S. 545</w:t>
            </w:r>
          </w:p>
        </w:tc>
        <w:tc>
          <w:tcPr>
            <w:tcW w:w="306" w:type="pct"/>
            <w:textDirection w:val="tbRl"/>
            <w:vAlign w:val="center"/>
          </w:tcPr>
          <w:p w14:paraId="4DB73988" w14:textId="77777777" w:rsidR="00074551" w:rsidRPr="00E50B51" w:rsidRDefault="00074551" w:rsidP="00367133">
            <w:pPr>
              <w:ind w:left="113" w:right="113"/>
              <w:jc w:val="both"/>
              <w:rPr>
                <w:sz w:val="20"/>
                <w:szCs w:val="20"/>
              </w:rPr>
            </w:pPr>
            <w:r w:rsidRPr="00E50B51">
              <w:rPr>
                <w:sz w:val="20"/>
                <w:szCs w:val="20"/>
              </w:rPr>
              <w:t>9. Juni 1924</w:t>
            </w:r>
          </w:p>
          <w:p w14:paraId="0926F56C" w14:textId="77777777" w:rsidR="00074551" w:rsidRPr="00E50B51" w:rsidRDefault="00074551" w:rsidP="00367133">
            <w:pPr>
              <w:ind w:left="113" w:right="113"/>
              <w:jc w:val="both"/>
              <w:rPr>
                <w:sz w:val="20"/>
                <w:szCs w:val="20"/>
              </w:rPr>
            </w:pPr>
          </w:p>
          <w:p w14:paraId="36A1E0A4" w14:textId="77777777" w:rsidR="00074551" w:rsidRPr="00E50B51" w:rsidRDefault="00074551" w:rsidP="00367133">
            <w:pPr>
              <w:ind w:left="113" w:right="113"/>
              <w:jc w:val="both"/>
              <w:rPr>
                <w:sz w:val="20"/>
                <w:szCs w:val="20"/>
              </w:rPr>
            </w:pPr>
          </w:p>
          <w:p w14:paraId="7B33B417" w14:textId="77777777" w:rsidR="00074551" w:rsidRPr="00E50B51" w:rsidRDefault="00074551" w:rsidP="00367133">
            <w:pPr>
              <w:ind w:left="113" w:right="113"/>
              <w:jc w:val="both"/>
              <w:rPr>
                <w:sz w:val="20"/>
                <w:szCs w:val="20"/>
              </w:rPr>
            </w:pPr>
          </w:p>
        </w:tc>
        <w:tc>
          <w:tcPr>
            <w:tcW w:w="401" w:type="pct"/>
          </w:tcPr>
          <w:p w14:paraId="0990BF42"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110605D8" w14:textId="77777777" w:rsidR="00074551" w:rsidRPr="00E50B51" w:rsidRDefault="00074551" w:rsidP="00367133">
            <w:pPr>
              <w:jc w:val="both"/>
              <w:rPr>
                <w:sz w:val="20"/>
                <w:szCs w:val="20"/>
              </w:rPr>
            </w:pPr>
            <w:r w:rsidRPr="00E50B51">
              <w:rPr>
                <w:sz w:val="20"/>
                <w:szCs w:val="20"/>
              </w:rPr>
              <w:t>*</w:t>
            </w:r>
          </w:p>
        </w:tc>
        <w:tc>
          <w:tcPr>
            <w:tcW w:w="1822" w:type="pct"/>
          </w:tcPr>
          <w:p w14:paraId="2F1AF228" w14:textId="77777777" w:rsidR="00074551" w:rsidRPr="00E50B51" w:rsidRDefault="00074551" w:rsidP="00367133">
            <w:pPr>
              <w:jc w:val="both"/>
              <w:rPr>
                <w:sz w:val="20"/>
                <w:szCs w:val="20"/>
              </w:rPr>
            </w:pPr>
            <w:r w:rsidRPr="00E50B51">
              <w:rPr>
                <w:sz w:val="20"/>
                <w:szCs w:val="20"/>
              </w:rPr>
              <w:t xml:space="preserve">Nach dem Klägervortrag, den der </w:t>
            </w:r>
            <w:r>
              <w:rPr>
                <w:sz w:val="20"/>
                <w:szCs w:val="20"/>
              </w:rPr>
              <w:t>U.S. Supreme Court</w:t>
            </w:r>
            <w:r w:rsidRPr="00E50B51">
              <w:rPr>
                <w:sz w:val="20"/>
                <w:szCs w:val="20"/>
              </w:rPr>
              <w:t xml:space="preserve"> hervorhebt, seien die Bundesstaaten zuständig, solange die Verfassung die Kompetenz nicht auf den Bund übertr</w:t>
            </w:r>
            <w:r>
              <w:rPr>
                <w:sz w:val="20"/>
                <w:szCs w:val="20"/>
              </w:rPr>
              <w:t>age</w:t>
            </w:r>
            <w:r w:rsidRPr="00E50B51">
              <w:rPr>
                <w:sz w:val="20"/>
                <w:szCs w:val="20"/>
              </w:rPr>
              <w:t xml:space="preserve"> („</w:t>
            </w:r>
            <w:proofErr w:type="spellStart"/>
            <w:r w:rsidRPr="00E50B51">
              <w:rPr>
                <w:sz w:val="20"/>
                <w:szCs w:val="20"/>
              </w:rPr>
              <w:t>powers</w:t>
            </w:r>
            <w:proofErr w:type="spellEnd"/>
            <w:r w:rsidRPr="00E50B51">
              <w:rPr>
                <w:sz w:val="20"/>
                <w:szCs w:val="20"/>
              </w:rPr>
              <w:t xml:space="preserve"> </w:t>
            </w:r>
            <w:proofErr w:type="spellStart"/>
            <w:r w:rsidRPr="00E50B51">
              <w:rPr>
                <w:sz w:val="20"/>
                <w:szCs w:val="20"/>
              </w:rPr>
              <w:t>which</w:t>
            </w:r>
            <w:proofErr w:type="spellEnd"/>
            <w:r w:rsidRPr="00E50B51">
              <w:rPr>
                <w:sz w:val="20"/>
                <w:szCs w:val="20"/>
              </w:rPr>
              <w:t xml:space="preserve"> </w:t>
            </w:r>
            <w:proofErr w:type="spellStart"/>
            <w:r w:rsidRPr="00E50B51">
              <w:rPr>
                <w:sz w:val="20"/>
                <w:szCs w:val="20"/>
              </w:rPr>
              <w:t>are</w:t>
            </w:r>
            <w:proofErr w:type="spellEnd"/>
            <w:r w:rsidRPr="00E50B51">
              <w:rPr>
                <w:sz w:val="20"/>
                <w:szCs w:val="20"/>
              </w:rPr>
              <w:t xml:space="preserve"> </w:t>
            </w:r>
            <w:proofErr w:type="spellStart"/>
            <w:r w:rsidRPr="00E50B51">
              <w:rPr>
                <w:sz w:val="20"/>
                <w:szCs w:val="20"/>
              </w:rPr>
              <w:t>undelegated</w:t>
            </w:r>
            <w:proofErr w:type="spellEnd"/>
            <w:r w:rsidRPr="00E50B51">
              <w:rPr>
                <w:sz w:val="20"/>
                <w:szCs w:val="20"/>
              </w:rPr>
              <w:t xml:space="preserve"> still </w:t>
            </w:r>
            <w:proofErr w:type="spellStart"/>
            <w:r w:rsidRPr="00E50B51">
              <w:rPr>
                <w:sz w:val="20"/>
                <w:szCs w:val="20"/>
              </w:rPr>
              <w:t>rest</w:t>
            </w:r>
            <w:proofErr w:type="spellEnd"/>
            <w:r w:rsidRPr="00E50B51">
              <w:rPr>
                <w:sz w:val="20"/>
                <w:szCs w:val="20"/>
              </w:rPr>
              <w:t xml:space="preserve"> in the States“</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338"/>
            </w:r>
            <w:r w:rsidRPr="00E50B51">
              <w:rPr>
                <w:sz w:val="20"/>
                <w:szCs w:val="20"/>
              </w:rPr>
              <w:t xml:space="preserve">). Zum Beispiel die Kompetenz, das Gesundheitswesen zu regeln, </w:t>
            </w:r>
            <w:r>
              <w:rPr>
                <w:sz w:val="20"/>
                <w:szCs w:val="20"/>
              </w:rPr>
              <w:t>habe</w:t>
            </w:r>
            <w:r w:rsidRPr="00E50B51">
              <w:rPr>
                <w:sz w:val="20"/>
                <w:szCs w:val="20"/>
              </w:rPr>
              <w:t xml:space="preserve"> die Verfassung bis</w:t>
            </w:r>
            <w:r>
              <w:rPr>
                <w:sz w:val="20"/>
                <w:szCs w:val="20"/>
              </w:rPr>
              <w:t>lang</w:t>
            </w:r>
            <w:r w:rsidRPr="00E50B51">
              <w:rPr>
                <w:sz w:val="20"/>
                <w:szCs w:val="20"/>
              </w:rPr>
              <w:t xml:space="preserve"> nicht auf den Bund</w:t>
            </w:r>
            <w:r>
              <w:rPr>
                <w:sz w:val="20"/>
                <w:szCs w:val="20"/>
              </w:rPr>
              <w:t xml:space="preserve"> übertragen</w:t>
            </w:r>
            <w:r w:rsidRPr="00E50B51">
              <w:rPr>
                <w:sz w:val="20"/>
                <w:szCs w:val="20"/>
              </w:rPr>
              <w:t>. Daher lieg</w:t>
            </w:r>
            <w:r>
              <w:rPr>
                <w:sz w:val="20"/>
                <w:szCs w:val="20"/>
              </w:rPr>
              <w:t>e</w:t>
            </w:r>
            <w:r w:rsidRPr="00E50B51">
              <w:rPr>
                <w:sz w:val="20"/>
                <w:szCs w:val="20"/>
              </w:rPr>
              <w:t xml:space="preserve"> sie bei den Bundesstaaten. Eine Ausprägung </w:t>
            </w:r>
            <w:r>
              <w:rPr>
                <w:sz w:val="20"/>
                <w:szCs w:val="20"/>
              </w:rPr>
              <w:t>der Regelung des</w:t>
            </w:r>
            <w:r w:rsidRPr="00E50B51">
              <w:rPr>
                <w:sz w:val="20"/>
                <w:szCs w:val="20"/>
              </w:rPr>
              <w:t xml:space="preserve"> Gesundheitswesen</w:t>
            </w:r>
            <w:r>
              <w:rPr>
                <w:sz w:val="20"/>
                <w:szCs w:val="20"/>
              </w:rPr>
              <w:t xml:space="preserve">s </w:t>
            </w:r>
            <w:r w:rsidRPr="00E50B51">
              <w:rPr>
                <w:sz w:val="20"/>
                <w:szCs w:val="20"/>
              </w:rPr>
              <w:t>sei das Recht zu regeln, inwieweit Spirituosen zu medizinischen Zwecken hergestellt oder verschrieben werden können („</w:t>
            </w:r>
            <w:proofErr w:type="spellStart"/>
            <w:r w:rsidRPr="00E50B51">
              <w:rPr>
                <w:sz w:val="20"/>
                <w:szCs w:val="20"/>
              </w:rPr>
              <w:t>right</w:t>
            </w:r>
            <w:proofErr w:type="spellEnd"/>
            <w:r w:rsidRPr="00E50B51">
              <w:rPr>
                <w:sz w:val="20"/>
                <w:szCs w:val="20"/>
              </w:rPr>
              <w:t xml:space="preserve"> to </w:t>
            </w:r>
            <w:proofErr w:type="spellStart"/>
            <w:r w:rsidRPr="00E50B51">
              <w:rPr>
                <w:sz w:val="20"/>
                <w:szCs w:val="20"/>
              </w:rPr>
              <w:t>manufacture</w:t>
            </w:r>
            <w:proofErr w:type="spellEnd"/>
            <w:r w:rsidRPr="00E50B51">
              <w:rPr>
                <w:sz w:val="20"/>
                <w:szCs w:val="20"/>
              </w:rPr>
              <w:t xml:space="preserve"> </w:t>
            </w:r>
            <w:proofErr w:type="spellStart"/>
            <w:r w:rsidRPr="00E50B51">
              <w:rPr>
                <w:sz w:val="20"/>
                <w:szCs w:val="20"/>
              </w:rPr>
              <w:t>liquors</w:t>
            </w:r>
            <w:proofErr w:type="spellEnd"/>
            <w:r w:rsidRPr="00E50B51">
              <w:rPr>
                <w:sz w:val="20"/>
                <w:szCs w:val="20"/>
              </w:rPr>
              <w:t xml:space="preserve"> for </w:t>
            </w:r>
            <w:proofErr w:type="spellStart"/>
            <w:r w:rsidRPr="00E50B51">
              <w:rPr>
                <w:sz w:val="20"/>
                <w:szCs w:val="20"/>
              </w:rPr>
              <w:t>medicinal</w:t>
            </w:r>
            <w:proofErr w:type="spellEnd"/>
            <w:r w:rsidRPr="00E50B51">
              <w:rPr>
                <w:sz w:val="20"/>
                <w:szCs w:val="20"/>
              </w:rPr>
              <w:t xml:space="preserve"> </w:t>
            </w:r>
            <w:proofErr w:type="spellStart"/>
            <w:r w:rsidRPr="00B45592">
              <w:rPr>
                <w:sz w:val="20"/>
                <w:szCs w:val="20"/>
              </w:rPr>
              <w:t>purposes</w:t>
            </w:r>
            <w:proofErr w:type="spellEnd"/>
            <w:r w:rsidRPr="00B45592">
              <w:rPr>
                <w:sz w:val="20"/>
                <w:szCs w:val="20"/>
              </w:rPr>
              <w:t>“</w:t>
            </w:r>
            <w:r>
              <w:rPr>
                <w:rStyle w:val="Funotenzeichen"/>
                <w:sz w:val="20"/>
                <w:szCs w:val="20"/>
              </w:rPr>
              <w:footnoteReference w:id="339"/>
            </w:r>
            <w:r w:rsidRPr="00B45592">
              <w:rPr>
                <w:sz w:val="20"/>
                <w:szCs w:val="20"/>
              </w:rPr>
              <w:t>).</w:t>
            </w:r>
            <w:r w:rsidRPr="00034FA0">
              <w:rPr>
                <w:sz w:val="20"/>
                <w:szCs w:val="20"/>
              </w:rPr>
              <w:t xml:space="preserve"> </w:t>
            </w:r>
            <w:r w:rsidRPr="00E50B51">
              <w:rPr>
                <w:sz w:val="20"/>
                <w:szCs w:val="20"/>
              </w:rPr>
              <w:t>Wenn der Bundesstaat in seiner Kompetenz eine Herstellung verbiete, dann bleibe er dennoch an die äußeren Verfassungsgrenzen gebunden, nämlich</w:t>
            </w:r>
            <w:r>
              <w:rPr>
                <w:sz w:val="20"/>
                <w:szCs w:val="20"/>
              </w:rPr>
              <w:t xml:space="preserve"> d</w:t>
            </w:r>
            <w:r w:rsidRPr="00E50B51">
              <w:rPr>
                <w:sz w:val="20"/>
                <w:szCs w:val="20"/>
              </w:rPr>
              <w:t>as verfassungsmäßige Recht des Einzelnen, seine Persönlichkeit auszudrücken („</w:t>
            </w:r>
            <w:proofErr w:type="spellStart"/>
            <w:r w:rsidRPr="00E50B51">
              <w:rPr>
                <w:sz w:val="20"/>
                <w:szCs w:val="20"/>
              </w:rPr>
              <w:t>constitutional</w:t>
            </w:r>
            <w:proofErr w:type="spellEnd"/>
            <w:r w:rsidRPr="00E50B51">
              <w:rPr>
                <w:sz w:val="20"/>
                <w:szCs w:val="20"/>
              </w:rPr>
              <w:t xml:space="preserve"> </w:t>
            </w:r>
            <w:proofErr w:type="spellStart"/>
            <w:r w:rsidRPr="00E50B51">
              <w:rPr>
                <w:sz w:val="20"/>
                <w:szCs w:val="20"/>
              </w:rPr>
              <w:t>right</w:t>
            </w:r>
            <w:proofErr w:type="spellEnd"/>
            <w:r w:rsidRPr="00E50B51">
              <w:rPr>
                <w:sz w:val="20"/>
                <w:szCs w:val="20"/>
              </w:rPr>
              <w:t xml:space="preserve"> of the individual“</w:t>
            </w:r>
            <w:r w:rsidRPr="00E50B51">
              <w:rPr>
                <w:rStyle w:val="Funotenzeichen"/>
                <w:rFonts w:eastAsiaTheme="majorEastAsia"/>
                <w:sz w:val="20"/>
                <w:szCs w:val="20"/>
              </w:rPr>
              <w:footnoteReference w:id="340"/>
            </w:r>
            <w:r w:rsidRPr="00E50B51">
              <w:rPr>
                <w:sz w:val="20"/>
                <w:szCs w:val="20"/>
              </w:rPr>
              <w:t xml:space="preserve">). </w:t>
            </w:r>
            <w:r>
              <w:rPr>
                <w:sz w:val="20"/>
                <w:szCs w:val="20"/>
              </w:rPr>
              <w:t>Dies</w:t>
            </w:r>
            <w:r w:rsidRPr="00E50B51">
              <w:rPr>
                <w:sz w:val="20"/>
                <w:szCs w:val="20"/>
              </w:rPr>
              <w:t xml:space="preserve"> sei Ausdruck der unveräußerlichen Rechte: das Recht auf Leben, Freiheit und d</w:t>
            </w:r>
            <w:r>
              <w:rPr>
                <w:sz w:val="20"/>
                <w:szCs w:val="20"/>
              </w:rPr>
              <w:t>as</w:t>
            </w:r>
            <w:r w:rsidRPr="00E50B51">
              <w:rPr>
                <w:sz w:val="20"/>
                <w:szCs w:val="20"/>
              </w:rPr>
              <w:t xml:space="preserve"> Streben nach Glück auszuüben („the </w:t>
            </w:r>
            <w:proofErr w:type="spellStart"/>
            <w:r w:rsidRPr="00E50B51">
              <w:rPr>
                <w:sz w:val="20"/>
                <w:szCs w:val="20"/>
              </w:rPr>
              <w:t>constitutional</w:t>
            </w:r>
            <w:proofErr w:type="spellEnd"/>
            <w:r w:rsidRPr="00E50B51">
              <w:rPr>
                <w:sz w:val="20"/>
                <w:szCs w:val="20"/>
              </w:rPr>
              <w:t xml:space="preserve"> </w:t>
            </w:r>
            <w:proofErr w:type="spellStart"/>
            <w:r w:rsidRPr="00E50B51">
              <w:rPr>
                <w:sz w:val="20"/>
                <w:szCs w:val="20"/>
              </w:rPr>
              <w:t>right</w:t>
            </w:r>
            <w:proofErr w:type="spellEnd"/>
            <w:r w:rsidRPr="00E50B51">
              <w:rPr>
                <w:sz w:val="20"/>
                <w:szCs w:val="20"/>
              </w:rPr>
              <w:t xml:space="preserve"> of the individual to </w:t>
            </w:r>
            <w:proofErr w:type="spellStart"/>
            <w:r w:rsidRPr="00E50B51">
              <w:rPr>
                <w:sz w:val="20"/>
                <w:szCs w:val="20"/>
              </w:rPr>
              <w:t>enjoy</w:t>
            </w:r>
            <w:proofErr w:type="spellEnd"/>
            <w:r w:rsidRPr="00E50B51">
              <w:rPr>
                <w:sz w:val="20"/>
                <w:szCs w:val="20"/>
              </w:rPr>
              <w:t xml:space="preserve"> </w:t>
            </w:r>
            <w:proofErr w:type="spellStart"/>
            <w:r w:rsidRPr="00E50B51">
              <w:rPr>
                <w:sz w:val="20"/>
                <w:szCs w:val="20"/>
              </w:rPr>
              <w:t>those</w:t>
            </w:r>
            <w:proofErr w:type="spellEnd"/>
            <w:r w:rsidRPr="00E50B51">
              <w:rPr>
                <w:sz w:val="20"/>
                <w:szCs w:val="20"/>
              </w:rPr>
              <w:t xml:space="preserve"> </w:t>
            </w:r>
            <w:proofErr w:type="spellStart"/>
            <w:r w:rsidRPr="00E50B51">
              <w:rPr>
                <w:sz w:val="20"/>
                <w:szCs w:val="20"/>
              </w:rPr>
              <w:t>privileges</w:t>
            </w:r>
            <w:proofErr w:type="spellEnd"/>
            <w:r w:rsidRPr="00E50B51">
              <w:rPr>
                <w:sz w:val="20"/>
                <w:szCs w:val="20"/>
              </w:rPr>
              <w:t xml:space="preserve"> of </w:t>
            </w:r>
            <w:proofErr w:type="spellStart"/>
            <w:r w:rsidRPr="00E50B51">
              <w:rPr>
                <w:sz w:val="20"/>
                <w:szCs w:val="20"/>
              </w:rPr>
              <w:t>life</w:t>
            </w:r>
            <w:proofErr w:type="spellEnd"/>
            <w:r w:rsidRPr="00E50B51">
              <w:rPr>
                <w:sz w:val="20"/>
                <w:szCs w:val="20"/>
              </w:rPr>
              <w:t xml:space="preserve">, </w:t>
            </w:r>
            <w:proofErr w:type="spellStart"/>
            <w:r w:rsidRPr="00E50B51">
              <w:rPr>
                <w:sz w:val="20"/>
                <w:szCs w:val="20"/>
              </w:rPr>
              <w:t>liberty</w:t>
            </w:r>
            <w:proofErr w:type="spellEnd"/>
            <w:r w:rsidRPr="00E50B51">
              <w:rPr>
                <w:sz w:val="20"/>
                <w:szCs w:val="20"/>
              </w:rPr>
              <w:t xml:space="preserve"> and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341"/>
            </w:r>
            <w:r w:rsidRPr="00E50B51">
              <w:rPr>
                <w:sz w:val="20"/>
                <w:szCs w:val="20"/>
              </w:rPr>
              <w:t>). Damit beschreib</w:t>
            </w:r>
            <w:r>
              <w:rPr>
                <w:sz w:val="20"/>
                <w:szCs w:val="20"/>
              </w:rPr>
              <w:t>e</w:t>
            </w:r>
            <w:r w:rsidRPr="00E50B51">
              <w:rPr>
                <w:sz w:val="20"/>
                <w:szCs w:val="20"/>
              </w:rPr>
              <w:t xml:space="preserve"> das Streben nach Glück eine äußere Regelungsgrenze für staatliche Verbote.</w:t>
            </w:r>
          </w:p>
          <w:p w14:paraId="37C8B555" w14:textId="77777777" w:rsidR="00074551" w:rsidRPr="00E50B51" w:rsidRDefault="00074551" w:rsidP="00367133">
            <w:pPr>
              <w:jc w:val="both"/>
              <w:rPr>
                <w:sz w:val="20"/>
                <w:szCs w:val="20"/>
              </w:rPr>
            </w:pPr>
          </w:p>
        </w:tc>
      </w:tr>
      <w:tr w:rsidR="00074551" w:rsidRPr="00E50B51" w14:paraId="51DEFA31" w14:textId="77777777" w:rsidTr="00BE689F">
        <w:trPr>
          <w:cantSplit/>
          <w:trHeight w:val="3175"/>
        </w:trPr>
        <w:tc>
          <w:tcPr>
            <w:tcW w:w="293" w:type="pct"/>
          </w:tcPr>
          <w:p w14:paraId="45FA537D"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F61BC2D" w14:textId="77777777" w:rsidR="00074551" w:rsidRPr="00B45592" w:rsidRDefault="00074551" w:rsidP="00367133">
            <w:pPr>
              <w:ind w:left="113" w:right="113"/>
              <w:jc w:val="both"/>
              <w:rPr>
                <w:i/>
                <w:sz w:val="20"/>
                <w:szCs w:val="20"/>
              </w:rPr>
            </w:pPr>
            <w:r w:rsidRPr="00584023">
              <w:rPr>
                <w:i/>
                <w:sz w:val="20"/>
                <w:szCs w:val="20"/>
              </w:rPr>
              <w:t>Kansas v. Colorado</w:t>
            </w:r>
          </w:p>
        </w:tc>
        <w:tc>
          <w:tcPr>
            <w:tcW w:w="197" w:type="pct"/>
            <w:textDirection w:val="tbRl"/>
            <w:vAlign w:val="center"/>
          </w:tcPr>
          <w:p w14:paraId="537CD50D" w14:textId="77777777" w:rsidR="00074551" w:rsidRPr="00E50B51" w:rsidRDefault="00074551" w:rsidP="00367133">
            <w:pPr>
              <w:ind w:left="113" w:right="113"/>
              <w:jc w:val="both"/>
              <w:rPr>
                <w:sz w:val="20"/>
                <w:szCs w:val="20"/>
                <w:lang w:val="en-US"/>
              </w:rPr>
            </w:pPr>
            <w:r w:rsidRPr="00E50B51">
              <w:rPr>
                <w:sz w:val="20"/>
                <w:szCs w:val="20"/>
                <w:lang w:val="en-US"/>
              </w:rPr>
              <w:t>206 U.S. 46</w:t>
            </w:r>
          </w:p>
        </w:tc>
        <w:tc>
          <w:tcPr>
            <w:tcW w:w="306" w:type="pct"/>
            <w:textDirection w:val="tbRl"/>
            <w:vAlign w:val="center"/>
          </w:tcPr>
          <w:p w14:paraId="7706313B" w14:textId="77777777" w:rsidR="00074551" w:rsidRPr="00E50B51" w:rsidRDefault="00074551" w:rsidP="00367133">
            <w:pPr>
              <w:ind w:left="113" w:right="113"/>
              <w:jc w:val="both"/>
              <w:rPr>
                <w:sz w:val="20"/>
                <w:szCs w:val="20"/>
              </w:rPr>
            </w:pPr>
            <w:r w:rsidRPr="00E50B51">
              <w:rPr>
                <w:sz w:val="20"/>
                <w:szCs w:val="20"/>
              </w:rPr>
              <w:t>13. Mai 1907</w:t>
            </w:r>
          </w:p>
        </w:tc>
        <w:tc>
          <w:tcPr>
            <w:tcW w:w="401" w:type="pct"/>
          </w:tcPr>
          <w:p w14:paraId="439B98A6"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433BE7A7" w14:textId="77777777" w:rsidR="00074551" w:rsidRPr="00E50B51" w:rsidRDefault="00074551" w:rsidP="00367133">
            <w:pPr>
              <w:jc w:val="both"/>
              <w:rPr>
                <w:sz w:val="20"/>
                <w:szCs w:val="20"/>
              </w:rPr>
            </w:pPr>
            <w:r w:rsidRPr="00E50B51">
              <w:rPr>
                <w:sz w:val="20"/>
                <w:szCs w:val="20"/>
              </w:rPr>
              <w:t>Im Fall erhob der Bundesstaat Kansas eine Klage gegen den Bundesstaat Colorado. Das Klagebegehren von Kansas</w:t>
            </w:r>
            <w:r>
              <w:rPr>
                <w:sz w:val="20"/>
                <w:szCs w:val="20"/>
              </w:rPr>
              <w:t>’</w:t>
            </w:r>
            <w:r w:rsidRPr="00E50B51">
              <w:rPr>
                <w:sz w:val="20"/>
                <w:szCs w:val="20"/>
              </w:rPr>
              <w:t xml:space="preserve"> richtete sich darauf, Colorado zu untersagen, dem Arkansas River</w:t>
            </w:r>
            <w:r>
              <w:rPr>
                <w:sz w:val="20"/>
                <w:szCs w:val="20"/>
              </w:rPr>
              <w:t xml:space="preserve">, </w:t>
            </w:r>
            <w:r w:rsidRPr="00E50B51">
              <w:rPr>
                <w:sz w:val="20"/>
                <w:szCs w:val="20"/>
              </w:rPr>
              <w:t xml:space="preserve">der </w:t>
            </w:r>
            <w:r>
              <w:rPr>
                <w:sz w:val="20"/>
                <w:szCs w:val="20"/>
              </w:rPr>
              <w:t xml:space="preserve">auch </w:t>
            </w:r>
            <w:r w:rsidRPr="00E50B51">
              <w:rPr>
                <w:sz w:val="20"/>
                <w:szCs w:val="20"/>
              </w:rPr>
              <w:t>nach Kansas floss</w:t>
            </w:r>
            <w:r>
              <w:rPr>
                <w:sz w:val="20"/>
                <w:szCs w:val="20"/>
              </w:rPr>
              <w:t>,</w:t>
            </w:r>
            <w:r w:rsidRPr="00E50B51">
              <w:rPr>
                <w:sz w:val="20"/>
                <w:szCs w:val="20"/>
              </w:rPr>
              <w:t xml:space="preserve"> Wasser zu entziehen. Colorado bestritt indes, den Wasserfluss wesentlich verringert zu haben. Der </w:t>
            </w:r>
            <w:r>
              <w:rPr>
                <w:sz w:val="20"/>
                <w:szCs w:val="20"/>
              </w:rPr>
              <w:t>U.S. Supreme Court</w:t>
            </w:r>
            <w:r w:rsidRPr="00E50B51">
              <w:rPr>
                <w:sz w:val="20"/>
                <w:szCs w:val="20"/>
              </w:rPr>
              <w:t xml:space="preserve"> urteilte, Kansas habe keinen Anspruch auf ein Urteil zulasten Colorados. Denn Colorado verringere zwar den Wasserfluss, indem es sein Gebiet bewässere, was auch den Südwesten von Kansas benachteilige. Aber gleichzeitig nutze die Bewässerung </w:t>
            </w:r>
            <w:r>
              <w:rPr>
                <w:sz w:val="20"/>
                <w:szCs w:val="20"/>
              </w:rPr>
              <w:t xml:space="preserve">dem Bundesstaat </w:t>
            </w:r>
            <w:r w:rsidRPr="00E50B51">
              <w:rPr>
                <w:sz w:val="20"/>
                <w:szCs w:val="20"/>
              </w:rPr>
              <w:t xml:space="preserve">Colorado erheblich. </w:t>
            </w:r>
            <w:r>
              <w:rPr>
                <w:sz w:val="20"/>
                <w:szCs w:val="20"/>
              </w:rPr>
              <w:t>Doch</w:t>
            </w:r>
            <w:r w:rsidRPr="00E50B51">
              <w:rPr>
                <w:sz w:val="20"/>
                <w:szCs w:val="20"/>
              </w:rPr>
              <w:t xml:space="preserve"> die Gleichheit vor dem Gesetz und der Billigkeitsgrundsatz verb</w:t>
            </w:r>
            <w:r>
              <w:rPr>
                <w:sz w:val="20"/>
                <w:szCs w:val="20"/>
              </w:rPr>
              <w:t>ö</w:t>
            </w:r>
            <w:r w:rsidRPr="00E50B51">
              <w:rPr>
                <w:sz w:val="20"/>
                <w:szCs w:val="20"/>
              </w:rPr>
              <w:t>ten einem Bundesstaat</w:t>
            </w:r>
            <w:r>
              <w:rPr>
                <w:sz w:val="20"/>
                <w:szCs w:val="20"/>
              </w:rPr>
              <w:t xml:space="preserve"> grundsätzlich</w:t>
            </w:r>
            <w:r w:rsidRPr="00E50B51">
              <w:rPr>
                <w:sz w:val="20"/>
                <w:szCs w:val="20"/>
              </w:rPr>
              <w:t>, in die Wasserentnahme eines anderen Bundesstaats zu Bewässerungszwecken einzugreifen. Indes könne Kansas in Zukunft einen Anspruch darauf haben, Colorado</w:t>
            </w:r>
            <w:r>
              <w:rPr>
                <w:sz w:val="20"/>
                <w:szCs w:val="20"/>
              </w:rPr>
              <w:t xml:space="preserve"> die Wasserentnahme</w:t>
            </w:r>
            <w:r w:rsidRPr="00E50B51">
              <w:rPr>
                <w:sz w:val="20"/>
                <w:szCs w:val="20"/>
              </w:rPr>
              <w:t xml:space="preserve"> zu untersagen, nämlich wenn sich der Wasserfluss noch weiter verringere.</w:t>
            </w:r>
          </w:p>
          <w:p w14:paraId="6C32D937" w14:textId="77777777" w:rsidR="00074551" w:rsidRPr="00E50B51" w:rsidRDefault="00074551" w:rsidP="00367133">
            <w:pPr>
              <w:jc w:val="both"/>
              <w:rPr>
                <w:sz w:val="20"/>
                <w:szCs w:val="20"/>
              </w:rPr>
            </w:pPr>
          </w:p>
        </w:tc>
        <w:tc>
          <w:tcPr>
            <w:tcW w:w="1822" w:type="pct"/>
          </w:tcPr>
          <w:p w14:paraId="75C4143B" w14:textId="56E896D8" w:rsidR="00074551" w:rsidRPr="00E50B51" w:rsidRDefault="00074551" w:rsidP="00367133">
            <w:pPr>
              <w:jc w:val="both"/>
              <w:rPr>
                <w:sz w:val="20"/>
                <w:szCs w:val="20"/>
              </w:rPr>
            </w:pPr>
            <w:r w:rsidRPr="00E50B51">
              <w:rPr>
                <w:sz w:val="20"/>
                <w:szCs w:val="20"/>
              </w:rPr>
              <w:t xml:space="preserve">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E50B51">
              <w:rPr>
                <w:sz w:val="20"/>
                <w:szCs w:val="20"/>
              </w:rPr>
              <w:t xml:space="preserve"> setz</w:t>
            </w:r>
            <w:r>
              <w:rPr>
                <w:sz w:val="20"/>
                <w:szCs w:val="20"/>
              </w:rPr>
              <w:t>e</w:t>
            </w:r>
            <w:r w:rsidRPr="00E50B51">
              <w:rPr>
                <w:sz w:val="20"/>
                <w:szCs w:val="20"/>
              </w:rPr>
              <w:t xml:space="preserve"> voraus, dass Kompetenzen, die die Verfassung nicht an die Bundesregierung übertr</w:t>
            </w:r>
            <w:r>
              <w:rPr>
                <w:sz w:val="20"/>
                <w:szCs w:val="20"/>
              </w:rPr>
              <w:t>agen habe</w:t>
            </w:r>
            <w:r w:rsidRPr="00E50B51">
              <w:rPr>
                <w:sz w:val="20"/>
                <w:szCs w:val="20"/>
              </w:rPr>
              <w:t>, den einzelnen Bundesstaaten zust</w:t>
            </w:r>
            <w:r>
              <w:rPr>
                <w:sz w:val="20"/>
                <w:szCs w:val="20"/>
              </w:rPr>
              <w:t>ünden</w:t>
            </w:r>
            <w:r w:rsidRPr="00E50B51">
              <w:rPr>
                <w:sz w:val="20"/>
                <w:szCs w:val="20"/>
              </w:rPr>
              <w:t xml:space="preserve">. Hierzu warf der </w:t>
            </w:r>
            <w:r>
              <w:rPr>
                <w:sz w:val="20"/>
                <w:szCs w:val="20"/>
              </w:rPr>
              <w:t>U.S. Supreme Court</w:t>
            </w:r>
            <w:r w:rsidRPr="00E50B51">
              <w:rPr>
                <w:sz w:val="20"/>
                <w:szCs w:val="20"/>
              </w:rPr>
              <w:t xml:space="preserve"> die Frage auf, ob es in die Kompetenz des Bundes</w:t>
            </w:r>
            <w:r>
              <w:rPr>
                <w:sz w:val="20"/>
                <w:szCs w:val="20"/>
              </w:rPr>
              <w:t xml:space="preserve"> </w:t>
            </w:r>
            <w:r w:rsidRPr="00E50B51">
              <w:rPr>
                <w:sz w:val="20"/>
                <w:szCs w:val="20"/>
              </w:rPr>
              <w:t xml:space="preserve">fällt, Wasserressourcen zu regulieren, die mehrere Bundesstaaten </w:t>
            </w:r>
            <w:proofErr w:type="gramStart"/>
            <w:r w:rsidRPr="00E50B51">
              <w:rPr>
                <w:sz w:val="20"/>
                <w:szCs w:val="20"/>
              </w:rPr>
              <w:t>berühren?</w:t>
            </w:r>
            <w:proofErr w:type="gramEnd"/>
            <w:r w:rsidRPr="00E50B51">
              <w:rPr>
                <w:sz w:val="20"/>
                <w:szCs w:val="20"/>
              </w:rPr>
              <w:t xml:space="preserve"> Diese Fragestellung berührt Souveränitäts- und Kompetenzbereiche zwischen dem Bund und den Bundesstaaten. </w:t>
            </w:r>
            <w:r w:rsidRPr="00E171B5">
              <w:rPr>
                <w:sz w:val="20"/>
                <w:szCs w:val="20"/>
              </w:rPr>
              <w:t xml:space="preserve">Der </w:t>
            </w:r>
            <w:r>
              <w:rPr>
                <w:sz w:val="20"/>
                <w:szCs w:val="20"/>
              </w:rPr>
              <w:t>U.S. Supreme Court</w:t>
            </w:r>
            <w:r w:rsidRPr="00E50B51">
              <w:rPr>
                <w:sz w:val="20"/>
                <w:szCs w:val="20"/>
              </w:rPr>
              <w:t xml:space="preserve"> leitete die Antwort her: Das Streben nach Glück </w:t>
            </w:r>
            <w:r>
              <w:rPr>
                <w:sz w:val="20"/>
                <w:szCs w:val="20"/>
              </w:rPr>
              <w:t>gebe</w:t>
            </w:r>
            <w:r w:rsidRPr="00E50B51">
              <w:rPr>
                <w:sz w:val="20"/>
                <w:szCs w:val="20"/>
              </w:rPr>
              <w:t xml:space="preserve"> Individuen das Recht, essenzielle Ressourcen wie Wasser für ihr persönliches Wohlbefinden und ihre ökonomische Entwicklung zu nutzen. Die bundesstaatliche Verwaltung solcher Ressourcen, die mehrere Bundesstaaten betr</w:t>
            </w:r>
            <w:r>
              <w:rPr>
                <w:sz w:val="20"/>
                <w:szCs w:val="20"/>
              </w:rPr>
              <w:t>ä</w:t>
            </w:r>
            <w:r w:rsidRPr="00E50B51">
              <w:rPr>
                <w:sz w:val="20"/>
                <w:szCs w:val="20"/>
              </w:rPr>
              <w:t>fen, könnte erforderlich machen, dass der Bund im Rahmen der Kompetenz der Bundesstaaten interveniere, um zu gewährleisten, dass Individuen Gewässer fair und effizient nutzen könn</w:t>
            </w:r>
            <w:r>
              <w:rPr>
                <w:sz w:val="20"/>
                <w:szCs w:val="20"/>
              </w:rPr>
              <w:t>t</w:t>
            </w:r>
            <w:r w:rsidRPr="00E50B51">
              <w:rPr>
                <w:sz w:val="20"/>
                <w:szCs w:val="20"/>
              </w:rPr>
              <w:t>en. Das Recht auf das Streben nach Glück verpflichte also sowohl die Bundes</w:t>
            </w:r>
            <w:r>
              <w:rPr>
                <w:sz w:val="20"/>
                <w:szCs w:val="20"/>
              </w:rPr>
              <w:t>regierung</w:t>
            </w:r>
            <w:r w:rsidRPr="00E50B51">
              <w:rPr>
                <w:sz w:val="20"/>
                <w:szCs w:val="20"/>
              </w:rPr>
              <w:t xml:space="preserve"> als auch die </w:t>
            </w:r>
            <w:r>
              <w:rPr>
                <w:sz w:val="20"/>
                <w:szCs w:val="20"/>
              </w:rPr>
              <w:t>Bundesstaaten</w:t>
            </w:r>
            <w:r w:rsidRPr="00E50B51">
              <w:rPr>
                <w:sz w:val="20"/>
                <w:szCs w:val="20"/>
              </w:rPr>
              <w:t>, Maßnahmen zu ergreifen, die es Bürgern ermöglichen, lebenswichtige Ressourcen wie Wasser nutzen zu können. Der Kerngedanke bei der Verteilung der Kompetenzen zwischen Bund und Bundesstaaten müsse daher auch sein, Bedingungen zu schaffen, die das Streben nach Glück erhalten.</w:t>
            </w:r>
            <w:r w:rsidRPr="00E50B51">
              <w:rPr>
                <w:rStyle w:val="Funotenzeichen"/>
                <w:sz w:val="20"/>
                <w:szCs w:val="20"/>
              </w:rPr>
              <w:footnoteReference w:id="342"/>
            </w:r>
          </w:p>
          <w:p w14:paraId="7E490202" w14:textId="77777777" w:rsidR="00074551" w:rsidRPr="00E50B51" w:rsidRDefault="00074551" w:rsidP="00367133">
            <w:pPr>
              <w:jc w:val="both"/>
              <w:rPr>
                <w:sz w:val="20"/>
                <w:szCs w:val="20"/>
              </w:rPr>
            </w:pPr>
          </w:p>
        </w:tc>
      </w:tr>
      <w:tr w:rsidR="00074551" w:rsidRPr="00E50B51" w14:paraId="571DE7F0" w14:textId="77777777" w:rsidTr="00BE689F">
        <w:trPr>
          <w:cantSplit/>
          <w:trHeight w:val="3175"/>
        </w:trPr>
        <w:tc>
          <w:tcPr>
            <w:tcW w:w="293" w:type="pct"/>
          </w:tcPr>
          <w:p w14:paraId="72310031" w14:textId="77777777" w:rsidR="00074551" w:rsidRPr="00E50B51" w:rsidRDefault="00074551" w:rsidP="00367133">
            <w:pPr>
              <w:jc w:val="center"/>
              <w:rPr>
                <w:sz w:val="20"/>
                <w:szCs w:val="20"/>
              </w:rPr>
            </w:pPr>
            <w:r w:rsidRPr="00BE3728">
              <w:rPr>
                <w:sz w:val="20"/>
                <w:szCs w:val="20"/>
                <w:lang w:val="en-US"/>
              </w:rPr>
              <w:lastRenderedPageBreak/>
              <w:t>H</w:t>
            </w:r>
          </w:p>
        </w:tc>
        <w:tc>
          <w:tcPr>
            <w:tcW w:w="387" w:type="pct"/>
            <w:textDirection w:val="tbRl"/>
            <w:vAlign w:val="center"/>
          </w:tcPr>
          <w:p w14:paraId="5CE14233" w14:textId="77777777" w:rsidR="00074551" w:rsidRPr="00B45592" w:rsidRDefault="00074551" w:rsidP="00367133">
            <w:pPr>
              <w:ind w:left="113" w:right="113"/>
              <w:jc w:val="both"/>
              <w:rPr>
                <w:i/>
                <w:sz w:val="20"/>
                <w:szCs w:val="20"/>
                <w:lang w:val="en-US"/>
              </w:rPr>
            </w:pPr>
            <w:r w:rsidRPr="00B45592">
              <w:rPr>
                <w:i/>
                <w:sz w:val="20"/>
                <w:szCs w:val="20"/>
                <w:lang w:val="en-US"/>
              </w:rPr>
              <w:t xml:space="preserve">New York v. </w:t>
            </w:r>
            <w:proofErr w:type="spellStart"/>
            <w:r w:rsidRPr="00B45592">
              <w:rPr>
                <w:i/>
                <w:sz w:val="20"/>
                <w:szCs w:val="20"/>
                <w:lang w:val="en-US"/>
              </w:rPr>
              <w:t>Miln</w:t>
            </w:r>
            <w:proofErr w:type="spellEnd"/>
          </w:p>
        </w:tc>
        <w:tc>
          <w:tcPr>
            <w:tcW w:w="197" w:type="pct"/>
            <w:textDirection w:val="tbRl"/>
            <w:vAlign w:val="center"/>
          </w:tcPr>
          <w:p w14:paraId="48B575AB" w14:textId="77777777" w:rsidR="00074551" w:rsidRPr="00E50B51" w:rsidRDefault="00074551" w:rsidP="00367133">
            <w:pPr>
              <w:ind w:left="113" w:right="113"/>
              <w:jc w:val="both"/>
              <w:rPr>
                <w:sz w:val="20"/>
                <w:szCs w:val="20"/>
                <w:lang w:val="en-US"/>
              </w:rPr>
            </w:pPr>
            <w:r w:rsidRPr="00BE3728">
              <w:rPr>
                <w:sz w:val="20"/>
                <w:szCs w:val="20"/>
              </w:rPr>
              <w:t>36 U.S. 102</w:t>
            </w:r>
          </w:p>
        </w:tc>
        <w:tc>
          <w:tcPr>
            <w:tcW w:w="306" w:type="pct"/>
            <w:textDirection w:val="tbRl"/>
            <w:vAlign w:val="center"/>
          </w:tcPr>
          <w:p w14:paraId="74700479" w14:textId="77777777" w:rsidR="00074551" w:rsidRPr="00E50B51" w:rsidRDefault="00074551" w:rsidP="00367133">
            <w:pPr>
              <w:ind w:left="113" w:right="113"/>
              <w:jc w:val="both"/>
              <w:rPr>
                <w:sz w:val="20"/>
                <w:szCs w:val="20"/>
              </w:rPr>
            </w:pPr>
            <w:r w:rsidRPr="00BE3728">
              <w:rPr>
                <w:sz w:val="20"/>
                <w:szCs w:val="20"/>
              </w:rPr>
              <w:t>16. Februar 1837</w:t>
            </w:r>
          </w:p>
        </w:tc>
        <w:tc>
          <w:tcPr>
            <w:tcW w:w="401" w:type="pct"/>
          </w:tcPr>
          <w:p w14:paraId="0868909E"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2E80BE36"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erklärte ein bundesstaatliches Gesetz</w:t>
            </w:r>
            <w:r w:rsidRPr="00BE3728">
              <w:rPr>
                <w:rStyle w:val="Funotenzeichen"/>
                <w:sz w:val="20"/>
                <w:szCs w:val="20"/>
              </w:rPr>
              <w:footnoteReference w:id="343"/>
            </w:r>
            <w:r w:rsidRPr="00BE3728">
              <w:rPr>
                <w:sz w:val="20"/>
                <w:szCs w:val="20"/>
              </w:rPr>
              <w:t xml:space="preserve"> für verfassungskonform. </w:t>
            </w:r>
          </w:p>
          <w:p w14:paraId="1C0DFC08" w14:textId="11C3DD40" w:rsidR="00074551" w:rsidRPr="00BE3728" w:rsidRDefault="00074551" w:rsidP="00367133">
            <w:pPr>
              <w:jc w:val="both"/>
              <w:rPr>
                <w:sz w:val="20"/>
                <w:szCs w:val="20"/>
              </w:rPr>
            </w:pPr>
            <w:r w:rsidRPr="00BE3728">
              <w:rPr>
                <w:sz w:val="20"/>
                <w:szCs w:val="20"/>
              </w:rPr>
              <w:t>Dieses verlangte von Schiffen in New York, einen Passagierbericht vorzulegen. Die Regelung zielte darauf ab, die Stadt vor Überbevölkerung zu schützen. Sie griff also nicht in den internationalen Handel ein und lag im Zuständigkeitsbereich</w:t>
            </w:r>
            <w:r>
              <w:rPr>
                <w:sz w:val="20"/>
                <w:szCs w:val="20"/>
              </w:rPr>
              <w:t> </w:t>
            </w:r>
            <w:r w:rsidRPr="00BE3728">
              <w:rPr>
                <w:sz w:val="20"/>
                <w:szCs w:val="20"/>
              </w:rPr>
              <w:t>– d.h. der Polizeihoheit</w:t>
            </w:r>
            <w:r>
              <w:rPr>
                <w:sz w:val="20"/>
                <w:szCs w:val="20"/>
              </w:rPr>
              <w:t> </w:t>
            </w:r>
            <w:r w:rsidRPr="00BE3728">
              <w:rPr>
                <w:sz w:val="20"/>
                <w:szCs w:val="20"/>
              </w:rPr>
              <w:t xml:space="preserve">– des Bundesstaats New York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BE3728">
              <w:rPr>
                <w:rStyle w:val="Funotenzeichen"/>
                <w:sz w:val="20"/>
                <w:szCs w:val="20"/>
              </w:rPr>
              <w:footnoteReference w:id="344"/>
            </w:r>
          </w:p>
          <w:p w14:paraId="5F8A6D49" w14:textId="77777777" w:rsidR="00074551" w:rsidRPr="00BE3728" w:rsidRDefault="00074551" w:rsidP="00367133">
            <w:pPr>
              <w:jc w:val="both"/>
              <w:rPr>
                <w:sz w:val="20"/>
                <w:szCs w:val="20"/>
              </w:rPr>
            </w:pPr>
          </w:p>
          <w:p w14:paraId="5C8F7411" w14:textId="77777777" w:rsidR="00074551" w:rsidRPr="00BE3728" w:rsidRDefault="00074551" w:rsidP="00367133">
            <w:pPr>
              <w:jc w:val="both"/>
              <w:rPr>
                <w:sz w:val="20"/>
                <w:szCs w:val="20"/>
              </w:rPr>
            </w:pPr>
          </w:p>
          <w:p w14:paraId="06649542" w14:textId="77777777" w:rsidR="00074551" w:rsidRPr="00BE3728" w:rsidRDefault="00074551" w:rsidP="00367133">
            <w:pPr>
              <w:jc w:val="both"/>
              <w:rPr>
                <w:sz w:val="20"/>
                <w:szCs w:val="20"/>
              </w:rPr>
            </w:pPr>
          </w:p>
          <w:p w14:paraId="5BBEB9BA" w14:textId="77777777" w:rsidR="00074551" w:rsidRPr="00E50B51" w:rsidRDefault="00074551" w:rsidP="00367133">
            <w:pPr>
              <w:jc w:val="both"/>
              <w:rPr>
                <w:sz w:val="20"/>
                <w:szCs w:val="20"/>
              </w:rPr>
            </w:pPr>
          </w:p>
        </w:tc>
        <w:tc>
          <w:tcPr>
            <w:tcW w:w="1822" w:type="pct"/>
          </w:tcPr>
          <w:p w14:paraId="3EE7E99D"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Reserved Powers</w:t>
            </w:r>
          </w:p>
          <w:p w14:paraId="61FA0C17" w14:textId="77777777" w:rsidR="00074551" w:rsidRPr="00B45592" w:rsidRDefault="00074551" w:rsidP="00367133">
            <w:pPr>
              <w:jc w:val="both"/>
              <w:rPr>
                <w:i/>
                <w:sz w:val="20"/>
                <w:szCs w:val="20"/>
              </w:rPr>
            </w:pPr>
            <w:r w:rsidRPr="00B45592">
              <w:rPr>
                <w:i/>
                <w:sz w:val="20"/>
                <w:szCs w:val="20"/>
              </w:rPr>
              <w:t>Governments › Topic Summary Police Powers</w:t>
            </w:r>
          </w:p>
          <w:p w14:paraId="50AEC950" w14:textId="77777777" w:rsidR="00074551" w:rsidRPr="00BE3728" w:rsidRDefault="00074551" w:rsidP="00367133">
            <w:pPr>
              <w:jc w:val="both"/>
              <w:rPr>
                <w:sz w:val="20"/>
                <w:szCs w:val="20"/>
              </w:rPr>
            </w:pPr>
          </w:p>
          <w:p w14:paraId="5C6DDEAC" w14:textId="77777777" w:rsidR="00074551" w:rsidRPr="00BE3728" w:rsidRDefault="00074551" w:rsidP="00367133">
            <w:pPr>
              <w:jc w:val="both"/>
              <w:rPr>
                <w:sz w:val="20"/>
                <w:szCs w:val="20"/>
              </w:rPr>
            </w:pPr>
            <w:r w:rsidRPr="00BE3728">
              <w:rPr>
                <w:sz w:val="20"/>
                <w:szCs w:val="20"/>
              </w:rPr>
              <w:t xml:space="preserve">Ein Bundesstaat habe die Gerichtsbarkeit über alle Personen und Sachen innerhalb seiner Grenzen, sofern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diese Gerichtsbarkeit nicht begrenze. Im Rahmen dieser Gerichtsbarkeit ha</w:t>
            </w:r>
            <w:r>
              <w:rPr>
                <w:sz w:val="20"/>
                <w:szCs w:val="20"/>
              </w:rPr>
              <w:t>be</w:t>
            </w:r>
            <w:r w:rsidRPr="00BE3728">
              <w:rPr>
                <w:sz w:val="20"/>
                <w:szCs w:val="20"/>
              </w:rPr>
              <w:t xml:space="preserve"> ein Bundesstaat das Recht und die Pflicht, die Sicherheit, das Glück und den Wohlstand seines Volkes zu fördern und für </w:t>
            </w:r>
            <w:r>
              <w:rPr>
                <w:sz w:val="20"/>
                <w:szCs w:val="20"/>
              </w:rPr>
              <w:t>dessen</w:t>
            </w:r>
            <w:r w:rsidRPr="00BE3728">
              <w:rPr>
                <w:sz w:val="20"/>
                <w:szCs w:val="20"/>
              </w:rPr>
              <w:t xml:space="preserve"> allgemeines Wohlergehen zu sorgen („</w:t>
            </w:r>
            <w:proofErr w:type="spellStart"/>
            <w:r w:rsidRPr="00BE3728">
              <w:rPr>
                <w:sz w:val="20"/>
                <w:szCs w:val="20"/>
              </w:rPr>
              <w:t>right</w:t>
            </w:r>
            <w:proofErr w:type="spellEnd"/>
            <w:r w:rsidRPr="00BE3728">
              <w:rPr>
                <w:sz w:val="20"/>
                <w:szCs w:val="20"/>
              </w:rPr>
              <w:t xml:space="preserve"> […] and […] </w:t>
            </w:r>
            <w:proofErr w:type="spellStart"/>
            <w:r w:rsidRPr="00BE3728">
              <w:rPr>
                <w:sz w:val="20"/>
                <w:szCs w:val="20"/>
              </w:rPr>
              <w:t>duty</w:t>
            </w:r>
            <w:proofErr w:type="spellEnd"/>
            <w:r w:rsidRPr="00BE3728">
              <w:rPr>
                <w:sz w:val="20"/>
                <w:szCs w:val="20"/>
              </w:rPr>
              <w:t xml:space="preserve"> of a </w:t>
            </w:r>
            <w:proofErr w:type="spellStart"/>
            <w:r w:rsidRPr="00BE3728">
              <w:rPr>
                <w:sz w:val="20"/>
                <w:szCs w:val="20"/>
              </w:rPr>
              <w:t>state</w:t>
            </w:r>
            <w:proofErr w:type="spellEnd"/>
            <w:r w:rsidRPr="00BE3728">
              <w:rPr>
                <w:sz w:val="20"/>
                <w:szCs w:val="20"/>
              </w:rPr>
              <w:t xml:space="preserve"> to </w:t>
            </w:r>
            <w:proofErr w:type="spellStart"/>
            <w:r w:rsidRPr="00BE3728">
              <w:rPr>
                <w:sz w:val="20"/>
                <w:szCs w:val="20"/>
              </w:rPr>
              <w:t>advance</w:t>
            </w:r>
            <w:proofErr w:type="spellEnd"/>
            <w:r w:rsidRPr="00BE3728">
              <w:rPr>
                <w:sz w:val="20"/>
                <w:szCs w:val="20"/>
              </w:rPr>
              <w:t xml:space="preserve"> the </w:t>
            </w:r>
            <w:proofErr w:type="spellStart"/>
            <w:r w:rsidRPr="00BE3728">
              <w:rPr>
                <w:sz w:val="20"/>
                <w:szCs w:val="20"/>
              </w:rPr>
              <w:t>safety</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 xml:space="preserve">, and to </w:t>
            </w:r>
            <w:proofErr w:type="spellStart"/>
            <w:r w:rsidRPr="00BE3728">
              <w:rPr>
                <w:sz w:val="20"/>
                <w:szCs w:val="20"/>
              </w:rPr>
              <w:t>provide</w:t>
            </w:r>
            <w:proofErr w:type="spellEnd"/>
            <w:r w:rsidRPr="00BE3728">
              <w:rPr>
                <w:sz w:val="20"/>
                <w:szCs w:val="20"/>
              </w:rPr>
              <w:t xml:space="preserve"> for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general</w:t>
            </w:r>
            <w:proofErr w:type="spellEnd"/>
            <w:r w:rsidRPr="00BE3728">
              <w:rPr>
                <w:sz w:val="20"/>
                <w:szCs w:val="20"/>
              </w:rPr>
              <w:t xml:space="preserve"> </w:t>
            </w:r>
            <w:proofErr w:type="spellStart"/>
            <w:r w:rsidRPr="00BE3728">
              <w:rPr>
                <w:sz w:val="20"/>
                <w:szCs w:val="20"/>
              </w:rPr>
              <w:t>welfare</w:t>
            </w:r>
            <w:proofErr w:type="spellEnd"/>
            <w:r w:rsidRPr="00BE3728">
              <w:rPr>
                <w:sz w:val="20"/>
                <w:szCs w:val="20"/>
              </w:rPr>
              <w:t xml:space="preserve"> by </w:t>
            </w:r>
            <w:proofErr w:type="spellStart"/>
            <w:r w:rsidRPr="00BE3728">
              <w:rPr>
                <w:sz w:val="20"/>
                <w:szCs w:val="20"/>
              </w:rPr>
              <w:t>any</w:t>
            </w:r>
            <w:proofErr w:type="spellEnd"/>
            <w:r w:rsidRPr="00BE3728">
              <w:rPr>
                <w:sz w:val="20"/>
                <w:szCs w:val="20"/>
              </w:rPr>
              <w:t xml:space="preserve"> and </w:t>
            </w:r>
            <w:proofErr w:type="spellStart"/>
            <w:r w:rsidRPr="00BE3728">
              <w:rPr>
                <w:sz w:val="20"/>
                <w:szCs w:val="20"/>
              </w:rPr>
              <w:t>every</w:t>
            </w:r>
            <w:proofErr w:type="spellEnd"/>
            <w:r w:rsidRPr="00BE3728">
              <w:rPr>
                <w:sz w:val="20"/>
                <w:szCs w:val="20"/>
              </w:rPr>
              <w:t xml:space="preserve"> </w:t>
            </w:r>
            <w:proofErr w:type="spellStart"/>
            <w:r w:rsidRPr="00BE3728">
              <w:rPr>
                <w:sz w:val="20"/>
                <w:szCs w:val="20"/>
              </w:rPr>
              <w:t>act</w:t>
            </w:r>
            <w:proofErr w:type="spellEnd"/>
            <w:r w:rsidRPr="00BE3728">
              <w:rPr>
                <w:sz w:val="20"/>
                <w:szCs w:val="20"/>
              </w:rPr>
              <w:t xml:space="preserve"> of </w:t>
            </w:r>
            <w:proofErr w:type="spellStart"/>
            <w:r w:rsidRPr="00BE3728">
              <w:rPr>
                <w:sz w:val="20"/>
                <w:szCs w:val="20"/>
              </w:rPr>
              <w:t>legislation</w:t>
            </w:r>
            <w:proofErr w:type="spellEnd"/>
            <w:r w:rsidRPr="00BE3728">
              <w:rPr>
                <w:sz w:val="20"/>
                <w:szCs w:val="20"/>
              </w:rPr>
              <w:t>“).</w:t>
            </w:r>
            <w:r w:rsidRPr="00BE3728">
              <w:rPr>
                <w:rStyle w:val="Funotenzeichen"/>
                <w:sz w:val="20"/>
                <w:szCs w:val="20"/>
              </w:rPr>
              <w:footnoteReference w:id="345"/>
            </w:r>
            <w:r w:rsidRPr="00BE3728">
              <w:rPr>
                <w:sz w:val="20"/>
                <w:szCs w:val="20"/>
              </w:rPr>
              <w:t xml:space="preserve"> Dies tu</w:t>
            </w:r>
            <w:r>
              <w:rPr>
                <w:sz w:val="20"/>
                <w:szCs w:val="20"/>
              </w:rPr>
              <w:t>e</w:t>
            </w:r>
            <w:r w:rsidRPr="00BE3728">
              <w:rPr>
                <w:sz w:val="20"/>
                <w:szCs w:val="20"/>
              </w:rPr>
              <w:t xml:space="preserve"> er mit Gesetzgebungen, die er als förderlich für diese Ziele erachte. Dafür liefere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die Schranken.</w:t>
            </w:r>
            <w:r w:rsidRPr="00BE3728">
              <w:rPr>
                <w:rStyle w:val="Funotenzeichen"/>
                <w:sz w:val="20"/>
                <w:szCs w:val="20"/>
              </w:rPr>
              <w:footnoteReference w:id="346"/>
            </w:r>
            <w:r w:rsidRPr="00BE3728">
              <w:rPr>
                <w:sz w:val="20"/>
                <w:szCs w:val="20"/>
              </w:rPr>
              <w:t xml:space="preserve"> </w:t>
            </w:r>
            <w:r>
              <w:rPr>
                <w:sz w:val="20"/>
                <w:szCs w:val="20"/>
              </w:rPr>
              <w:t>S</w:t>
            </w:r>
            <w:r w:rsidRPr="00BE3728">
              <w:rPr>
                <w:sz w:val="20"/>
                <w:szCs w:val="20"/>
              </w:rPr>
              <w:t xml:space="preserve">ie schränke indes nicht die Kompetenz in kommunalen und polizeilichen Angelegenheiten ein. Hier </w:t>
            </w:r>
            <w:r>
              <w:rPr>
                <w:sz w:val="20"/>
                <w:szCs w:val="20"/>
              </w:rPr>
              <w:t>sei</w:t>
            </w:r>
            <w:r w:rsidRPr="00BE3728">
              <w:rPr>
                <w:sz w:val="20"/>
                <w:szCs w:val="20"/>
              </w:rPr>
              <w:t xml:space="preserve"> der Regelungsbereich der Legislative aufgrund der Bürgernähe weit. Die Judikative </w:t>
            </w:r>
            <w:r>
              <w:rPr>
                <w:sz w:val="20"/>
                <w:szCs w:val="20"/>
              </w:rPr>
              <w:t>könne</w:t>
            </w:r>
            <w:r w:rsidRPr="00BE3728">
              <w:rPr>
                <w:sz w:val="20"/>
                <w:szCs w:val="20"/>
              </w:rPr>
              <w:t xml:space="preserve"> nur die äußeren Verfassungsgrenzen kontrollieren („All </w:t>
            </w:r>
            <w:proofErr w:type="spellStart"/>
            <w:r w:rsidRPr="00BE3728">
              <w:rPr>
                <w:sz w:val="20"/>
                <w:szCs w:val="20"/>
              </w:rPr>
              <w:t>those</w:t>
            </w:r>
            <w:proofErr w:type="spellEnd"/>
            <w:r w:rsidRPr="00BE3728">
              <w:rPr>
                <w:sz w:val="20"/>
                <w:szCs w:val="20"/>
              </w:rPr>
              <w:t xml:space="preserve"> </w:t>
            </w:r>
            <w:proofErr w:type="spellStart"/>
            <w:r w:rsidRPr="00BE3728">
              <w:rPr>
                <w:sz w:val="20"/>
                <w:szCs w:val="20"/>
              </w:rPr>
              <w:t>powers</w:t>
            </w:r>
            <w:proofErr w:type="spellEnd"/>
            <w:r w:rsidRPr="00BE3728">
              <w:rPr>
                <w:sz w:val="20"/>
                <w:szCs w:val="20"/>
              </w:rPr>
              <w:t xml:space="preserve"> </w:t>
            </w:r>
            <w:proofErr w:type="spellStart"/>
            <w:r w:rsidRPr="00BE3728">
              <w:rPr>
                <w:sz w:val="20"/>
                <w:szCs w:val="20"/>
              </w:rPr>
              <w:t>which</w:t>
            </w:r>
            <w:proofErr w:type="spellEnd"/>
            <w:r w:rsidRPr="00BE3728">
              <w:rPr>
                <w:sz w:val="20"/>
                <w:szCs w:val="20"/>
              </w:rPr>
              <w:t xml:space="preserve"> </w:t>
            </w:r>
            <w:proofErr w:type="spellStart"/>
            <w:r w:rsidRPr="00BE3728">
              <w:rPr>
                <w:sz w:val="20"/>
                <w:szCs w:val="20"/>
              </w:rPr>
              <w:t>relate</w:t>
            </w:r>
            <w:proofErr w:type="spellEnd"/>
            <w:r w:rsidRPr="00BE3728">
              <w:rPr>
                <w:sz w:val="20"/>
                <w:szCs w:val="20"/>
              </w:rPr>
              <w:t xml:space="preserve"> to </w:t>
            </w:r>
            <w:proofErr w:type="spellStart"/>
            <w:r w:rsidRPr="00BE3728">
              <w:rPr>
                <w:sz w:val="20"/>
                <w:szCs w:val="20"/>
              </w:rPr>
              <w:t>merely</w:t>
            </w:r>
            <w:proofErr w:type="spellEnd"/>
            <w:r w:rsidRPr="00BE3728">
              <w:rPr>
                <w:sz w:val="20"/>
                <w:szCs w:val="20"/>
              </w:rPr>
              <w:t xml:space="preserve"> municipal </w:t>
            </w:r>
            <w:proofErr w:type="spellStart"/>
            <w:r w:rsidRPr="00BE3728">
              <w:rPr>
                <w:sz w:val="20"/>
                <w:szCs w:val="20"/>
              </w:rPr>
              <w:t>legislation</w:t>
            </w:r>
            <w:proofErr w:type="spellEnd"/>
            <w:r w:rsidRPr="00BE3728">
              <w:rPr>
                <w:sz w:val="20"/>
                <w:szCs w:val="20"/>
              </w:rPr>
              <w:t xml:space="preserve"> […] </w:t>
            </w:r>
            <w:proofErr w:type="spellStart"/>
            <w:r w:rsidRPr="00BE3728">
              <w:rPr>
                <w:sz w:val="20"/>
                <w:szCs w:val="20"/>
              </w:rPr>
              <w:t>are</w:t>
            </w:r>
            <w:proofErr w:type="spellEnd"/>
            <w:r w:rsidRPr="00BE3728">
              <w:rPr>
                <w:sz w:val="20"/>
                <w:szCs w:val="20"/>
              </w:rPr>
              <w:t xml:space="preserve"> not </w:t>
            </w:r>
            <w:proofErr w:type="spellStart"/>
            <w:r w:rsidRPr="00BE3728">
              <w:rPr>
                <w:sz w:val="20"/>
                <w:szCs w:val="20"/>
              </w:rPr>
              <w:t>thus</w:t>
            </w:r>
            <w:proofErr w:type="spellEnd"/>
            <w:r w:rsidRPr="00BE3728">
              <w:rPr>
                <w:sz w:val="20"/>
                <w:szCs w:val="20"/>
              </w:rPr>
              <w:t xml:space="preserve"> […] </w:t>
            </w:r>
            <w:proofErr w:type="spellStart"/>
            <w:r w:rsidRPr="00BE3728">
              <w:rPr>
                <w:sz w:val="20"/>
                <w:szCs w:val="20"/>
              </w:rPr>
              <w:t>restrained</w:t>
            </w:r>
            <w:proofErr w:type="spellEnd"/>
            <w:r w:rsidRPr="00BE3728">
              <w:rPr>
                <w:sz w:val="20"/>
                <w:szCs w:val="20"/>
              </w:rPr>
              <w:t>“</w:t>
            </w:r>
            <w:r w:rsidRPr="00BE3728">
              <w:rPr>
                <w:rStyle w:val="Funotenzeichen"/>
                <w:sz w:val="20"/>
                <w:szCs w:val="20"/>
              </w:rPr>
              <w:footnoteReference w:id="347"/>
            </w:r>
            <w:r w:rsidRPr="00BE3728">
              <w:rPr>
                <w:sz w:val="20"/>
                <w:szCs w:val="20"/>
              </w:rPr>
              <w:t xml:space="preserve">). </w:t>
            </w:r>
          </w:p>
          <w:p w14:paraId="7E0459CD" w14:textId="77777777" w:rsidR="00074551" w:rsidRPr="00BE3728" w:rsidRDefault="00074551" w:rsidP="00367133">
            <w:pPr>
              <w:jc w:val="both"/>
              <w:rPr>
                <w:sz w:val="20"/>
                <w:szCs w:val="20"/>
              </w:rPr>
            </w:pPr>
          </w:p>
          <w:p w14:paraId="07F60E34" w14:textId="77777777" w:rsidR="00074551" w:rsidRDefault="00074551" w:rsidP="00367133">
            <w:pPr>
              <w:jc w:val="both"/>
              <w:rPr>
                <w:sz w:val="20"/>
                <w:szCs w:val="20"/>
              </w:rPr>
            </w:pPr>
            <w:r w:rsidRPr="00BE3728">
              <w:rPr>
                <w:sz w:val="20"/>
                <w:szCs w:val="20"/>
              </w:rPr>
              <w:t xml:space="preserve">Um in diesem Rahmen zu beurteilen, ob Gesetze der Verfassung entsprechen, schlägt der </w:t>
            </w:r>
            <w:r>
              <w:rPr>
                <w:sz w:val="20"/>
                <w:szCs w:val="20"/>
              </w:rPr>
              <w:t>U.S. Supreme Court</w:t>
            </w:r>
            <w:r w:rsidRPr="00BE3728">
              <w:rPr>
                <w:sz w:val="20"/>
                <w:szCs w:val="20"/>
              </w:rPr>
              <w:t xml:space="preserve"> Kontrollkategorien vor, wobei das Glück bzw. Wohlergehen des Volkes („</w:t>
            </w:r>
            <w:proofErr w:type="spellStart"/>
            <w:r w:rsidRPr="00BE3728">
              <w:rPr>
                <w:sz w:val="20"/>
                <w:szCs w:val="20"/>
              </w:rPr>
              <w:t>welfare</w:t>
            </w:r>
            <w:proofErr w:type="spellEnd"/>
            <w:r w:rsidRPr="00BE3728">
              <w:rPr>
                <w:sz w:val="20"/>
                <w:szCs w:val="20"/>
              </w:rPr>
              <w:t xml:space="preserve"> of the </w:t>
            </w:r>
            <w:proofErr w:type="spellStart"/>
            <w:r w:rsidRPr="00BE3728">
              <w:rPr>
                <w:sz w:val="20"/>
                <w:szCs w:val="20"/>
              </w:rPr>
              <w:t>whole</w:t>
            </w:r>
            <w:proofErr w:type="spellEnd"/>
            <w:r>
              <w:rPr>
                <w:sz w:val="20"/>
                <w:szCs w:val="20"/>
              </w:rPr>
              <w:t xml:space="preserve"> </w:t>
            </w:r>
            <w:proofErr w:type="spellStart"/>
            <w:r>
              <w:rPr>
                <w:sz w:val="20"/>
                <w:szCs w:val="20"/>
              </w:rPr>
              <w:t>people</w:t>
            </w:r>
            <w:proofErr w:type="spellEnd"/>
            <w:r w:rsidRPr="00BE3728">
              <w:rPr>
                <w:sz w:val="20"/>
                <w:szCs w:val="20"/>
              </w:rPr>
              <w:t>“</w:t>
            </w:r>
            <w:r w:rsidRPr="00BE3728">
              <w:rPr>
                <w:rStyle w:val="Funotenzeichen"/>
                <w:sz w:val="20"/>
                <w:szCs w:val="20"/>
              </w:rPr>
              <w:footnoteReference w:id="348"/>
            </w:r>
            <w:r w:rsidRPr="00BE3728">
              <w:rPr>
                <w:sz w:val="20"/>
                <w:szCs w:val="20"/>
              </w:rPr>
              <w:t xml:space="preserve">) eine Kategorie beschreibe. </w:t>
            </w:r>
            <w:r>
              <w:rPr>
                <w:sz w:val="20"/>
                <w:szCs w:val="20"/>
              </w:rPr>
              <w:t xml:space="preserve">Eine Kategorie zur Beurteilung der </w:t>
            </w:r>
            <w:r w:rsidRPr="00BE3728">
              <w:rPr>
                <w:sz w:val="20"/>
                <w:szCs w:val="20"/>
              </w:rPr>
              <w:t xml:space="preserve">Verfassungsmäßigkeit </w:t>
            </w:r>
            <w:r>
              <w:rPr>
                <w:sz w:val="20"/>
                <w:szCs w:val="20"/>
              </w:rPr>
              <w:t>laute also:</w:t>
            </w:r>
            <w:r w:rsidRPr="00BE3728">
              <w:rPr>
                <w:sz w:val="20"/>
                <w:szCs w:val="20"/>
              </w:rPr>
              <w:t xml:space="preserve"> Zielt das Gesetz auf das Wohlergehen des ganzen Volkes eines Staates oder einer einzelnen Person ab</w:t>
            </w:r>
            <w:r>
              <w:rPr>
                <w:sz w:val="20"/>
                <w:szCs w:val="20"/>
              </w:rPr>
              <w:t>?</w:t>
            </w:r>
            <w:r w:rsidRPr="00BE3728">
              <w:rPr>
                <w:sz w:val="20"/>
                <w:szCs w:val="20"/>
              </w:rPr>
              <w:t xml:space="preserve"> </w:t>
            </w:r>
            <w:r>
              <w:rPr>
                <w:sz w:val="20"/>
                <w:szCs w:val="20"/>
              </w:rPr>
              <w:t>W</w:t>
            </w:r>
            <w:r w:rsidRPr="00BE3728">
              <w:rPr>
                <w:sz w:val="20"/>
                <w:szCs w:val="20"/>
              </w:rPr>
              <w:t xml:space="preserve">eitere Kategorien lauten: </w:t>
            </w:r>
            <w:r>
              <w:rPr>
                <w:sz w:val="20"/>
                <w:szCs w:val="20"/>
              </w:rPr>
              <w:t>r</w:t>
            </w:r>
            <w:r w:rsidRPr="00BE3728">
              <w:rPr>
                <w:sz w:val="20"/>
                <w:szCs w:val="20"/>
              </w:rPr>
              <w:t>egelt das Gesetz Rechte oder Pflichten; adressiert das Gesetz den Mensch</w:t>
            </w:r>
            <w:r>
              <w:rPr>
                <w:sz w:val="20"/>
                <w:szCs w:val="20"/>
              </w:rPr>
              <w:t>en</w:t>
            </w:r>
            <w:r w:rsidRPr="00BE3728">
              <w:rPr>
                <w:sz w:val="20"/>
                <w:szCs w:val="20"/>
              </w:rPr>
              <w:t xml:space="preserve"> oder den Bürger; bezieht sich das Gesetz auf öffentliche oder private Beziehungen; regelt das Gesetz die Rechte der Personen oder des Privat- bzw. Kollektiveigentums; wie weit reicht der territoriale </w:t>
            </w:r>
            <w:r>
              <w:rPr>
                <w:sz w:val="20"/>
                <w:szCs w:val="20"/>
              </w:rPr>
              <w:t>Wirkungsbereich</w:t>
            </w:r>
            <w:r w:rsidRPr="00BE3728">
              <w:rPr>
                <w:sz w:val="20"/>
                <w:szCs w:val="20"/>
              </w:rPr>
              <w:t xml:space="preserve"> des Gesetzes</w:t>
            </w:r>
            <w:r>
              <w:rPr>
                <w:sz w:val="20"/>
                <w:szCs w:val="20"/>
              </w:rPr>
              <w:t>?</w:t>
            </w:r>
            <w:r w:rsidRPr="00BE3728">
              <w:rPr>
                <w:rStyle w:val="Funotenzeichen"/>
                <w:sz w:val="20"/>
                <w:szCs w:val="20"/>
              </w:rPr>
              <w:footnoteReference w:id="349"/>
            </w:r>
          </w:p>
          <w:p w14:paraId="058B969E" w14:textId="77777777" w:rsidR="00074551" w:rsidRPr="00E50B51" w:rsidRDefault="00074551" w:rsidP="00367133">
            <w:pPr>
              <w:jc w:val="both"/>
              <w:rPr>
                <w:sz w:val="20"/>
                <w:szCs w:val="20"/>
              </w:rPr>
            </w:pPr>
          </w:p>
        </w:tc>
      </w:tr>
      <w:tr w:rsidR="00074551" w:rsidRPr="004F6665" w14:paraId="278262FC" w14:textId="77777777" w:rsidTr="00BE689F">
        <w:trPr>
          <w:cantSplit/>
          <w:trHeight w:val="3175"/>
        </w:trPr>
        <w:tc>
          <w:tcPr>
            <w:tcW w:w="293" w:type="pct"/>
          </w:tcPr>
          <w:p w14:paraId="3157D966"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123BF786" w14:textId="77777777" w:rsidR="00074551" w:rsidRPr="00E50B51" w:rsidRDefault="00074551" w:rsidP="00367133">
            <w:pPr>
              <w:ind w:left="113" w:right="113"/>
              <w:jc w:val="both"/>
              <w:rPr>
                <w:sz w:val="20"/>
                <w:szCs w:val="20"/>
              </w:rPr>
            </w:pPr>
            <w:r w:rsidRPr="007360B0">
              <w:rPr>
                <w:i/>
                <w:sz w:val="20"/>
                <w:szCs w:val="20"/>
              </w:rPr>
              <w:t>McCulloch v. Maryland</w:t>
            </w:r>
          </w:p>
        </w:tc>
        <w:tc>
          <w:tcPr>
            <w:tcW w:w="197" w:type="pct"/>
            <w:textDirection w:val="tbRl"/>
            <w:vAlign w:val="center"/>
          </w:tcPr>
          <w:p w14:paraId="21937E83" w14:textId="77777777" w:rsidR="00074551" w:rsidRPr="00E50B51" w:rsidRDefault="00074551" w:rsidP="00367133">
            <w:pPr>
              <w:ind w:left="113" w:right="113"/>
              <w:jc w:val="both"/>
              <w:rPr>
                <w:sz w:val="20"/>
                <w:szCs w:val="20"/>
                <w:lang w:val="en-US"/>
              </w:rPr>
            </w:pPr>
            <w:r w:rsidRPr="00BE3728">
              <w:rPr>
                <w:sz w:val="20"/>
                <w:szCs w:val="20"/>
              </w:rPr>
              <w:t>17 U.S. 316</w:t>
            </w:r>
          </w:p>
        </w:tc>
        <w:tc>
          <w:tcPr>
            <w:tcW w:w="306" w:type="pct"/>
            <w:textDirection w:val="tbRl"/>
            <w:vAlign w:val="center"/>
          </w:tcPr>
          <w:p w14:paraId="32692F39" w14:textId="77777777" w:rsidR="00074551" w:rsidRPr="00E50B51" w:rsidRDefault="00074551" w:rsidP="00367133">
            <w:pPr>
              <w:ind w:left="113" w:right="113"/>
              <w:jc w:val="both"/>
              <w:rPr>
                <w:sz w:val="20"/>
                <w:szCs w:val="20"/>
              </w:rPr>
            </w:pPr>
            <w:r w:rsidRPr="00BE3728">
              <w:rPr>
                <w:sz w:val="20"/>
                <w:szCs w:val="20"/>
              </w:rPr>
              <w:t>06. März 1819</w:t>
            </w:r>
          </w:p>
        </w:tc>
        <w:tc>
          <w:tcPr>
            <w:tcW w:w="401" w:type="pct"/>
          </w:tcPr>
          <w:p w14:paraId="08456A10"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6A029ECF" w14:textId="494FDD0A" w:rsidR="00074551" w:rsidRPr="00BE3728" w:rsidRDefault="00074551" w:rsidP="00367133">
            <w:pPr>
              <w:jc w:val="both"/>
              <w:rPr>
                <w:sz w:val="20"/>
                <w:szCs w:val="20"/>
              </w:rPr>
            </w:pPr>
            <w:r w:rsidRPr="00BE3728">
              <w:rPr>
                <w:sz w:val="20"/>
                <w:szCs w:val="20"/>
              </w:rPr>
              <w:t xml:space="preserve">Im Fall </w:t>
            </w:r>
            <w:r w:rsidRPr="00B45592">
              <w:rPr>
                <w:i/>
                <w:sz w:val="20"/>
                <w:szCs w:val="20"/>
              </w:rPr>
              <w:t>McCulloch v. Maryland</w:t>
            </w:r>
            <w:r w:rsidRPr="00BE3728">
              <w:rPr>
                <w:sz w:val="20"/>
                <w:szCs w:val="20"/>
              </w:rPr>
              <w:t xml:space="preserve"> entschied der </w:t>
            </w:r>
            <w:r>
              <w:rPr>
                <w:sz w:val="20"/>
                <w:szCs w:val="20"/>
              </w:rPr>
              <w:t>U.S. Supreme Court</w:t>
            </w:r>
            <w:r w:rsidRPr="00BE3728">
              <w:rPr>
                <w:sz w:val="20"/>
                <w:szCs w:val="20"/>
              </w:rPr>
              <w:t>, dass der Kongress die verfassungsrechtliche Kompetenz ha</w:t>
            </w:r>
            <w:r>
              <w:rPr>
                <w:sz w:val="20"/>
                <w:szCs w:val="20"/>
              </w:rPr>
              <w:t>b</w:t>
            </w:r>
            <w:r w:rsidRPr="00BE3728">
              <w:rPr>
                <w:sz w:val="20"/>
                <w:szCs w:val="20"/>
              </w:rPr>
              <w:t>e, eine Bank der Vereinigten Staaten („Bank of the United States“</w:t>
            </w:r>
            <w:r w:rsidRPr="00BE3728">
              <w:rPr>
                <w:rStyle w:val="Funotenzeichen"/>
                <w:sz w:val="20"/>
                <w:szCs w:val="20"/>
              </w:rPr>
              <w:footnoteReference w:id="350"/>
            </w:r>
            <w:r w:rsidRPr="00BE3728">
              <w:rPr>
                <w:sz w:val="20"/>
                <w:szCs w:val="20"/>
              </w:rPr>
              <w:t>) per Bunde</w:t>
            </w:r>
            <w:r>
              <w:rPr>
                <w:sz w:val="20"/>
                <w:szCs w:val="20"/>
              </w:rPr>
              <w:t>s</w:t>
            </w:r>
            <w:r w:rsidRPr="00BE3728">
              <w:rPr>
                <w:sz w:val="20"/>
                <w:szCs w:val="20"/>
              </w:rPr>
              <w:t>gesetz</w:t>
            </w:r>
            <w:r w:rsidRPr="00BE3728">
              <w:rPr>
                <w:rStyle w:val="Funotenzeichen"/>
                <w:sz w:val="20"/>
                <w:szCs w:val="20"/>
              </w:rPr>
              <w:footnoteReference w:id="351"/>
            </w:r>
            <w:r w:rsidRPr="00BE3728">
              <w:rPr>
                <w:sz w:val="20"/>
                <w:szCs w:val="20"/>
              </w:rPr>
              <w:t xml:space="preserve"> zu gründen. Aber der Bundesstaat Maryland dürfe keine Steuern auf diese Bank mit einem bundesstaatlichen Gesetz</w:t>
            </w:r>
            <w:r w:rsidRPr="00BE3728">
              <w:rPr>
                <w:rStyle w:val="Funotenzeichen"/>
                <w:sz w:val="20"/>
                <w:szCs w:val="20"/>
              </w:rPr>
              <w:footnoteReference w:id="352"/>
            </w:r>
            <w:r w:rsidRPr="00BE3728">
              <w:rPr>
                <w:sz w:val="20"/>
                <w:szCs w:val="20"/>
              </w:rPr>
              <w:t xml:space="preserve"> erheben. Der </w:t>
            </w:r>
            <w:r>
              <w:rPr>
                <w:sz w:val="20"/>
                <w:szCs w:val="20"/>
              </w:rPr>
              <w:t>U.S. Supreme Court</w:t>
            </w:r>
            <w:r w:rsidRPr="00BE3728">
              <w:rPr>
                <w:sz w:val="20"/>
                <w:szCs w:val="20"/>
              </w:rPr>
              <w:t xml:space="preserve"> argumentierte, dass der Kongress unter der </w:t>
            </w:r>
            <w:r w:rsidRPr="00B45592">
              <w:rPr>
                <w:i/>
                <w:sz w:val="20"/>
                <w:szCs w:val="20"/>
              </w:rPr>
              <w:t xml:space="preserve">Necessary and Proper </w:t>
            </w:r>
            <w:proofErr w:type="spellStart"/>
            <w:r w:rsidRPr="00B45592">
              <w:rPr>
                <w:i/>
                <w:sz w:val="20"/>
                <w:szCs w:val="20"/>
              </w:rPr>
              <w:t>Clause</w:t>
            </w:r>
            <w:proofErr w:type="spellEnd"/>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BE3728">
              <w:rPr>
                <w:sz w:val="20"/>
                <w:szCs w:val="20"/>
              </w:rPr>
              <w:t xml:space="preserve">) die Kompetenz habe, Maßnahmen zu ergreifen, die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nicht explizit aufführt. Dafür müss</w:t>
            </w:r>
            <w:r>
              <w:rPr>
                <w:sz w:val="20"/>
                <w:szCs w:val="20"/>
              </w:rPr>
              <w:t>t</w:t>
            </w:r>
            <w:r w:rsidRPr="00BE3728">
              <w:rPr>
                <w:sz w:val="20"/>
                <w:szCs w:val="20"/>
              </w:rPr>
              <w:t>en diese Maßnahmen sowohl angemessen als auch legitim sein. Nur so unterstütz</w:t>
            </w:r>
            <w:r>
              <w:rPr>
                <w:sz w:val="20"/>
                <w:szCs w:val="20"/>
              </w:rPr>
              <w:t>t</w:t>
            </w:r>
            <w:r w:rsidRPr="00BE3728">
              <w:rPr>
                <w:sz w:val="20"/>
                <w:szCs w:val="20"/>
              </w:rPr>
              <w:t xml:space="preserve">en sie die enumerierten Kompetenzen. Der </w:t>
            </w:r>
            <w:r>
              <w:rPr>
                <w:sz w:val="20"/>
                <w:szCs w:val="20"/>
              </w:rPr>
              <w:t>U.S. Supreme Court</w:t>
            </w:r>
            <w:r w:rsidRPr="00BE3728">
              <w:rPr>
                <w:sz w:val="20"/>
                <w:szCs w:val="20"/>
              </w:rPr>
              <w:t xml:space="preserve"> stellte zudem klar, zwar habe ein Bundesstaat die Kompetenz </w:t>
            </w:r>
            <w:r>
              <w:rPr>
                <w:sz w:val="20"/>
                <w:szCs w:val="20"/>
              </w:rPr>
              <w:t>der Besteuerung</w:t>
            </w:r>
            <w:r w:rsidRPr="00BE3728">
              <w:rPr>
                <w:sz w:val="20"/>
                <w:szCs w:val="20"/>
              </w:rPr>
              <w:t xml:space="preserve">. Aber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und die Gesetze, die sie umsetzen, prävalier</w:t>
            </w:r>
            <w:r>
              <w:rPr>
                <w:sz w:val="20"/>
                <w:szCs w:val="20"/>
              </w:rPr>
              <w:t>t</w:t>
            </w:r>
            <w:r w:rsidRPr="00BE3728">
              <w:rPr>
                <w:sz w:val="20"/>
                <w:szCs w:val="20"/>
              </w:rPr>
              <w:t>en. Der Bundesstaat könne diese nicht mit bundesstaatlichen Gesetzen abändern.</w:t>
            </w:r>
            <w:r w:rsidRPr="00BE3728">
              <w:rPr>
                <w:rStyle w:val="Funotenzeichen"/>
                <w:sz w:val="20"/>
                <w:szCs w:val="20"/>
              </w:rPr>
              <w:footnoteReference w:id="353"/>
            </w:r>
          </w:p>
          <w:p w14:paraId="0193517B" w14:textId="77777777" w:rsidR="00074551" w:rsidRPr="00E50B51" w:rsidRDefault="00074551" w:rsidP="00367133">
            <w:pPr>
              <w:jc w:val="both"/>
              <w:rPr>
                <w:sz w:val="20"/>
                <w:szCs w:val="20"/>
              </w:rPr>
            </w:pPr>
          </w:p>
        </w:tc>
        <w:tc>
          <w:tcPr>
            <w:tcW w:w="1822" w:type="pct"/>
          </w:tcPr>
          <w:p w14:paraId="0BA98CD7"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Reserved Powers</w:t>
            </w:r>
          </w:p>
          <w:p w14:paraId="028CCD95" w14:textId="77777777" w:rsidR="00074551" w:rsidRPr="00BE3728" w:rsidRDefault="00074551" w:rsidP="00367133">
            <w:pPr>
              <w:jc w:val="both"/>
              <w:rPr>
                <w:sz w:val="20"/>
                <w:szCs w:val="20"/>
                <w:lang w:val="en-US"/>
              </w:rPr>
            </w:pPr>
          </w:p>
          <w:p w14:paraId="6EB771F4" w14:textId="303223A0" w:rsidR="00074551" w:rsidRPr="00E25AD3" w:rsidRDefault="00074551" w:rsidP="00367133">
            <w:pPr>
              <w:jc w:val="both"/>
              <w:rPr>
                <w:sz w:val="20"/>
                <w:szCs w:val="20"/>
              </w:rPr>
            </w:pPr>
            <w:r w:rsidRPr="00134532">
              <w:rPr>
                <w:sz w:val="20"/>
                <w:szCs w:val="20"/>
              </w:rPr>
              <w:t xml:space="preserve">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134532">
              <w:rPr>
                <w:sz w:val="20"/>
                <w:szCs w:val="20"/>
              </w:rPr>
              <w:t xml:space="preserve"> </w:t>
            </w:r>
            <w:r w:rsidRPr="00BE3728">
              <w:rPr>
                <w:sz w:val="20"/>
                <w:szCs w:val="20"/>
              </w:rPr>
              <w:t>setz</w:t>
            </w:r>
            <w:r>
              <w:rPr>
                <w:sz w:val="20"/>
                <w:szCs w:val="20"/>
              </w:rPr>
              <w:t>e</w:t>
            </w:r>
            <w:r w:rsidRPr="00BE3728">
              <w:rPr>
                <w:sz w:val="20"/>
                <w:szCs w:val="20"/>
              </w:rPr>
              <w:t xml:space="preserve"> voraus, dass die Kompetenzen den Bundesstaaten oder dem Volk vorbehalten sei</w:t>
            </w:r>
            <w:r>
              <w:rPr>
                <w:sz w:val="20"/>
                <w:szCs w:val="20"/>
              </w:rPr>
              <w:t>en</w:t>
            </w:r>
            <w:r w:rsidRPr="00BE3728">
              <w:rPr>
                <w:sz w:val="20"/>
                <w:szCs w:val="20"/>
              </w:rPr>
              <w:t xml:space="preserve">, soweit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sie weder den Vereinigten Staaten übertragen noch den Bundesstaaten untersagt habe. Somit stelle sich die Frage</w:t>
            </w:r>
            <w:r>
              <w:rPr>
                <w:sz w:val="20"/>
                <w:szCs w:val="20"/>
              </w:rPr>
              <w:t>, o</w:t>
            </w:r>
            <w:r w:rsidRPr="00BE3728">
              <w:rPr>
                <w:sz w:val="20"/>
                <w:szCs w:val="20"/>
              </w:rPr>
              <w:t xml:space="preserve">b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die streitgegenständliche Kompetenz</w:t>
            </w:r>
            <w:r>
              <w:rPr>
                <w:sz w:val="20"/>
                <w:szCs w:val="20"/>
              </w:rPr>
              <w:t xml:space="preserve"> den</w:t>
            </w:r>
            <w:r w:rsidRPr="00BE3728">
              <w:rPr>
                <w:sz w:val="20"/>
                <w:szCs w:val="20"/>
              </w:rPr>
              <w:t xml:space="preserve"> Vereinigten Staaten übertragen oder den Bundesstaaten untersagt habe. Hierzu </w:t>
            </w:r>
            <w:r>
              <w:rPr>
                <w:sz w:val="20"/>
                <w:szCs w:val="20"/>
              </w:rPr>
              <w:t>sei</w:t>
            </w:r>
            <w:r w:rsidRPr="00BE3728">
              <w:rPr>
                <w:sz w:val="20"/>
                <w:szCs w:val="20"/>
              </w:rPr>
              <w:t xml:space="preserve"> die Verfassung auszulegen.</w:t>
            </w:r>
            <w:r w:rsidRPr="00BE3728">
              <w:rPr>
                <w:rStyle w:val="Funotenzeichen"/>
                <w:sz w:val="20"/>
                <w:szCs w:val="20"/>
              </w:rPr>
              <w:footnoteReference w:id="354"/>
            </w:r>
          </w:p>
          <w:p w14:paraId="0E9B9545" w14:textId="77777777" w:rsidR="00074551" w:rsidRPr="00BE3728" w:rsidRDefault="00074551" w:rsidP="00367133">
            <w:pPr>
              <w:jc w:val="both"/>
              <w:rPr>
                <w:sz w:val="20"/>
                <w:szCs w:val="20"/>
              </w:rPr>
            </w:pPr>
          </w:p>
          <w:p w14:paraId="01BA2EFE" w14:textId="77777777" w:rsidR="00074551" w:rsidRPr="00BE3728" w:rsidRDefault="00074551" w:rsidP="00367133">
            <w:pPr>
              <w:jc w:val="both"/>
              <w:rPr>
                <w:sz w:val="20"/>
                <w:szCs w:val="20"/>
                <w:lang w:val="en-US"/>
              </w:rPr>
            </w:pPr>
            <w:r w:rsidRPr="00BE3728">
              <w:rPr>
                <w:sz w:val="20"/>
                <w:szCs w:val="20"/>
              </w:rPr>
              <w:t xml:space="preserve">Der Staat habe nach dem Wortlaut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nicht die Kompetenz, Steuern auf das Bankwesen zu erheben. Das Wort Bank findet sich nicht in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Demgegenüber haben die Vereinigten Staat</w:t>
            </w:r>
            <w:r>
              <w:rPr>
                <w:sz w:val="20"/>
                <w:szCs w:val="20"/>
              </w:rPr>
              <w:t>en</w:t>
            </w:r>
            <w:r w:rsidRPr="00BE3728">
              <w:rPr>
                <w:sz w:val="20"/>
                <w:szCs w:val="20"/>
              </w:rPr>
              <w:t xml:space="preserve"> nach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die Kompetenz, Steuern auf andere Bereiche wie Einkommen zu erheben oder Bereich</w:t>
            </w:r>
            <w:r>
              <w:rPr>
                <w:sz w:val="20"/>
                <w:szCs w:val="20"/>
              </w:rPr>
              <w:t>e</w:t>
            </w:r>
            <w:r w:rsidRPr="00BE3728">
              <w:rPr>
                <w:sz w:val="20"/>
                <w:szCs w:val="20"/>
              </w:rPr>
              <w:t xml:space="preserve"> zu regeln wie den Handel, die Verteidigungsangelegenheiten oder auswärtige Beziehungen sowie Industriepolitik. Doch es sei ein Trugschluss, von dieser gewichtigen Kompetenz auf weniger gewichtige Kompetenzen zu schließen, wie </w:t>
            </w:r>
            <w:r>
              <w:rPr>
                <w:sz w:val="20"/>
                <w:szCs w:val="20"/>
              </w:rPr>
              <w:t xml:space="preserve">etwa die Besteuerung von </w:t>
            </w:r>
            <w:r w:rsidRPr="00BE3728">
              <w:rPr>
                <w:sz w:val="20"/>
                <w:szCs w:val="20"/>
              </w:rPr>
              <w:t>Banken. Denn Kompetenz</w:t>
            </w:r>
            <w:r>
              <w:rPr>
                <w:sz w:val="20"/>
                <w:szCs w:val="20"/>
              </w:rPr>
              <w:t>en</w:t>
            </w:r>
            <w:r w:rsidRPr="00BE3728">
              <w:rPr>
                <w:sz w:val="20"/>
                <w:szCs w:val="20"/>
              </w:rPr>
              <w:t xml:space="preserve"> müss</w:t>
            </w:r>
            <w:r>
              <w:rPr>
                <w:sz w:val="20"/>
                <w:szCs w:val="20"/>
              </w:rPr>
              <w:t>t</w:t>
            </w:r>
            <w:r w:rsidRPr="00BE3728">
              <w:rPr>
                <w:sz w:val="20"/>
                <w:szCs w:val="20"/>
              </w:rPr>
              <w:t>en in der Verfassung niedergeschrieben sein</w:t>
            </w:r>
            <w:r>
              <w:rPr>
                <w:sz w:val="20"/>
                <w:szCs w:val="20"/>
              </w:rPr>
              <w:t xml:space="preserve"> u</w:t>
            </w:r>
            <w:r w:rsidRPr="00BE3728">
              <w:rPr>
                <w:sz w:val="20"/>
                <w:szCs w:val="20"/>
              </w:rPr>
              <w:t xml:space="preserve">nd diese </w:t>
            </w:r>
            <w:r>
              <w:rPr>
                <w:sz w:val="20"/>
                <w:szCs w:val="20"/>
              </w:rPr>
              <w:t>seien</w:t>
            </w:r>
            <w:r w:rsidRPr="00BE3728">
              <w:rPr>
                <w:sz w:val="20"/>
                <w:szCs w:val="20"/>
              </w:rPr>
              <w:t xml:space="preserve"> bereits weit. </w:t>
            </w:r>
            <w:r>
              <w:rPr>
                <w:sz w:val="20"/>
                <w:szCs w:val="20"/>
              </w:rPr>
              <w:t>Immerhin umfassten die</w:t>
            </w:r>
            <w:r w:rsidRPr="00BE3728">
              <w:rPr>
                <w:sz w:val="20"/>
                <w:szCs w:val="20"/>
              </w:rPr>
              <w:t xml:space="preserve"> verfassungsrechtlich zugewiesenen Kompetenzen nicht nur die Handlungs-, sondern auch die Durchsetzungskompetenz. </w:t>
            </w:r>
            <w:r w:rsidRPr="00BE3728">
              <w:rPr>
                <w:sz w:val="20"/>
                <w:szCs w:val="20"/>
                <w:lang w:val="en-US"/>
              </w:rPr>
              <w:t xml:space="preserve">Dabei </w:t>
            </w:r>
            <w:proofErr w:type="spellStart"/>
            <w:r>
              <w:rPr>
                <w:sz w:val="20"/>
                <w:szCs w:val="20"/>
                <w:lang w:val="en-US"/>
              </w:rPr>
              <w:t>müsse</w:t>
            </w:r>
            <w:proofErr w:type="spellEnd"/>
            <w:r w:rsidRPr="00BE3728">
              <w:rPr>
                <w:sz w:val="20"/>
                <w:szCs w:val="20"/>
                <w:lang w:val="en-US"/>
              </w:rPr>
              <w:t xml:space="preserve"> </w:t>
            </w:r>
            <w:r>
              <w:rPr>
                <w:sz w:val="20"/>
                <w:szCs w:val="20"/>
                <w:lang w:val="en-US"/>
              </w:rPr>
              <w:t xml:space="preserve">die </w:t>
            </w:r>
            <w:proofErr w:type="spellStart"/>
            <w:r>
              <w:rPr>
                <w:sz w:val="20"/>
                <w:szCs w:val="20"/>
                <w:lang w:val="en-US"/>
              </w:rPr>
              <w:t>Regierung</w:t>
            </w:r>
            <w:proofErr w:type="spellEnd"/>
            <w:r>
              <w:rPr>
                <w:sz w:val="20"/>
                <w:szCs w:val="20"/>
                <w:lang w:val="en-US"/>
              </w:rPr>
              <w:t xml:space="preserve"> </w:t>
            </w:r>
            <w:proofErr w:type="spellStart"/>
            <w:r w:rsidRPr="00BE3728">
              <w:rPr>
                <w:sz w:val="20"/>
                <w:szCs w:val="20"/>
                <w:lang w:val="en-US"/>
              </w:rPr>
              <w:t>Kompetenzen</w:t>
            </w:r>
            <w:proofErr w:type="spellEnd"/>
            <w:r w:rsidRPr="00BE3728">
              <w:rPr>
                <w:sz w:val="20"/>
                <w:szCs w:val="20"/>
                <w:lang w:val="en-US"/>
              </w:rPr>
              <w:t xml:space="preserve"> so </w:t>
            </w:r>
            <w:proofErr w:type="spellStart"/>
            <w:r w:rsidRPr="00BE3728">
              <w:rPr>
                <w:sz w:val="20"/>
                <w:szCs w:val="20"/>
                <w:lang w:val="en-US"/>
              </w:rPr>
              <w:t>durchsetzen</w:t>
            </w:r>
            <w:proofErr w:type="spellEnd"/>
            <w:r w:rsidRPr="00BE3728">
              <w:rPr>
                <w:sz w:val="20"/>
                <w:szCs w:val="20"/>
                <w:lang w:val="en-US"/>
              </w:rPr>
              <w:t xml:space="preserve">, </w:t>
            </w:r>
            <w:proofErr w:type="spellStart"/>
            <w:r w:rsidRPr="00BE3728">
              <w:rPr>
                <w:sz w:val="20"/>
                <w:szCs w:val="20"/>
                <w:lang w:val="en-US"/>
              </w:rPr>
              <w:t>dass</w:t>
            </w:r>
            <w:proofErr w:type="spellEnd"/>
            <w:r w:rsidRPr="00BE3728">
              <w:rPr>
                <w:sz w:val="20"/>
                <w:szCs w:val="20"/>
                <w:lang w:val="en-US"/>
              </w:rPr>
              <w:t xml:space="preserve"> </w:t>
            </w:r>
            <w:proofErr w:type="spellStart"/>
            <w:r w:rsidRPr="00BE3728">
              <w:rPr>
                <w:sz w:val="20"/>
                <w:szCs w:val="20"/>
                <w:lang w:val="en-US"/>
              </w:rPr>
              <w:t>sie</w:t>
            </w:r>
            <w:proofErr w:type="spellEnd"/>
            <w:r w:rsidRPr="00BE3728">
              <w:rPr>
                <w:sz w:val="20"/>
                <w:szCs w:val="20"/>
                <w:lang w:val="en-US"/>
              </w:rPr>
              <w:t xml:space="preserve"> Glück und </w:t>
            </w:r>
            <w:proofErr w:type="spellStart"/>
            <w:r w:rsidRPr="00BE3728">
              <w:rPr>
                <w:sz w:val="20"/>
                <w:szCs w:val="20"/>
                <w:lang w:val="en-US"/>
              </w:rPr>
              <w:t>Wohlstand</w:t>
            </w:r>
            <w:proofErr w:type="spellEnd"/>
            <w:r w:rsidRPr="00BE3728">
              <w:rPr>
                <w:sz w:val="20"/>
                <w:szCs w:val="20"/>
                <w:lang w:val="en-US"/>
              </w:rPr>
              <w:t xml:space="preserve"> </w:t>
            </w:r>
            <w:proofErr w:type="spellStart"/>
            <w:r w:rsidRPr="00BE3728">
              <w:rPr>
                <w:sz w:val="20"/>
                <w:szCs w:val="20"/>
                <w:lang w:val="en-US"/>
              </w:rPr>
              <w:t>fördern</w:t>
            </w:r>
            <w:proofErr w:type="spellEnd"/>
            <w:r w:rsidRPr="00BE3728">
              <w:rPr>
                <w:sz w:val="20"/>
                <w:szCs w:val="20"/>
                <w:lang w:val="en-US"/>
              </w:rPr>
              <w:t xml:space="preserve"> („a government, entrusted with such ample powers, on the due execution of which the happiness and prosperity of the nation so vitally </w:t>
            </w:r>
            <w:proofErr w:type="gramStart"/>
            <w:r w:rsidRPr="00BE3728">
              <w:rPr>
                <w:sz w:val="20"/>
                <w:szCs w:val="20"/>
                <w:lang w:val="en-US"/>
              </w:rPr>
              <w:t>depends“</w:t>
            </w:r>
            <w:proofErr w:type="gramEnd"/>
            <w:r w:rsidRPr="00BE3728">
              <w:rPr>
                <w:rStyle w:val="Funotenzeichen"/>
                <w:sz w:val="20"/>
                <w:szCs w:val="20"/>
                <w:lang w:val="en-US"/>
              </w:rPr>
              <w:footnoteReference w:id="355"/>
            </w:r>
            <w:r w:rsidRPr="00BE3728">
              <w:rPr>
                <w:sz w:val="20"/>
                <w:szCs w:val="20"/>
                <w:lang w:val="en-US"/>
              </w:rPr>
              <w:t>)</w:t>
            </w:r>
            <w:r>
              <w:rPr>
                <w:sz w:val="20"/>
                <w:szCs w:val="20"/>
                <w:lang w:val="en-US"/>
              </w:rPr>
              <w:t>.</w:t>
            </w:r>
          </w:p>
          <w:p w14:paraId="5EA97F38" w14:textId="77777777" w:rsidR="00074551" w:rsidRPr="00996DA4" w:rsidRDefault="00074551" w:rsidP="00367133">
            <w:pPr>
              <w:jc w:val="both"/>
              <w:rPr>
                <w:sz w:val="20"/>
                <w:szCs w:val="20"/>
                <w:lang w:val="en-US"/>
              </w:rPr>
            </w:pPr>
          </w:p>
        </w:tc>
      </w:tr>
      <w:tr w:rsidR="00074551" w:rsidRPr="00E50B51" w14:paraId="41A5E97E" w14:textId="77777777" w:rsidTr="00BE689F">
        <w:trPr>
          <w:cantSplit/>
          <w:trHeight w:val="3175"/>
        </w:trPr>
        <w:tc>
          <w:tcPr>
            <w:tcW w:w="293" w:type="pct"/>
          </w:tcPr>
          <w:p w14:paraId="501C2DA5" w14:textId="77777777" w:rsidR="00074551" w:rsidRPr="00E50B51" w:rsidRDefault="00074551" w:rsidP="00367133">
            <w:pPr>
              <w:jc w:val="center"/>
              <w:rPr>
                <w:sz w:val="20"/>
                <w:szCs w:val="20"/>
              </w:rPr>
            </w:pPr>
            <w:r w:rsidRPr="00BE3728">
              <w:rPr>
                <w:sz w:val="20"/>
                <w:szCs w:val="20"/>
                <w:lang w:val="en-US"/>
              </w:rPr>
              <w:lastRenderedPageBreak/>
              <w:t>H</w:t>
            </w:r>
          </w:p>
        </w:tc>
        <w:tc>
          <w:tcPr>
            <w:tcW w:w="387" w:type="pct"/>
            <w:textDirection w:val="tbRl"/>
            <w:vAlign w:val="center"/>
          </w:tcPr>
          <w:p w14:paraId="640FF372" w14:textId="77777777" w:rsidR="00074551" w:rsidRPr="00B45592" w:rsidRDefault="00074551" w:rsidP="00367133">
            <w:pPr>
              <w:ind w:left="113" w:right="113"/>
              <w:jc w:val="both"/>
              <w:rPr>
                <w:i/>
                <w:sz w:val="20"/>
                <w:szCs w:val="20"/>
                <w:lang w:val="en-US"/>
              </w:rPr>
            </w:pPr>
            <w:r w:rsidRPr="007360B0">
              <w:rPr>
                <w:i/>
                <w:sz w:val="20"/>
                <w:szCs w:val="20"/>
                <w:lang w:val="en-US"/>
              </w:rPr>
              <w:t>R.R. Co. v. Peniston</w:t>
            </w:r>
          </w:p>
        </w:tc>
        <w:tc>
          <w:tcPr>
            <w:tcW w:w="197" w:type="pct"/>
            <w:textDirection w:val="tbRl"/>
            <w:vAlign w:val="center"/>
          </w:tcPr>
          <w:p w14:paraId="52FB5AD1" w14:textId="77777777" w:rsidR="00074551" w:rsidRPr="00E50B51" w:rsidRDefault="00074551" w:rsidP="00367133">
            <w:pPr>
              <w:ind w:left="113" w:right="113"/>
              <w:jc w:val="both"/>
              <w:rPr>
                <w:sz w:val="20"/>
                <w:szCs w:val="20"/>
                <w:lang w:val="en-US"/>
              </w:rPr>
            </w:pPr>
            <w:r w:rsidRPr="00BE3728">
              <w:rPr>
                <w:sz w:val="20"/>
                <w:szCs w:val="20"/>
              </w:rPr>
              <w:t>85 U.S. 5</w:t>
            </w:r>
          </w:p>
        </w:tc>
        <w:tc>
          <w:tcPr>
            <w:tcW w:w="306" w:type="pct"/>
            <w:textDirection w:val="tbRl"/>
            <w:vAlign w:val="center"/>
          </w:tcPr>
          <w:p w14:paraId="0FD7EE2D" w14:textId="77777777" w:rsidR="00074551" w:rsidRPr="00E50B51" w:rsidRDefault="00074551" w:rsidP="00367133">
            <w:pPr>
              <w:ind w:left="113" w:right="113"/>
              <w:jc w:val="both"/>
              <w:rPr>
                <w:sz w:val="20"/>
                <w:szCs w:val="20"/>
              </w:rPr>
            </w:pPr>
            <w:r w:rsidRPr="00BE3728">
              <w:rPr>
                <w:sz w:val="20"/>
                <w:szCs w:val="20"/>
              </w:rPr>
              <w:t>15. März 1873</w:t>
            </w:r>
          </w:p>
        </w:tc>
        <w:tc>
          <w:tcPr>
            <w:tcW w:w="401" w:type="pct"/>
          </w:tcPr>
          <w:p w14:paraId="69D8FD8D"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4483F5D2" w14:textId="77777777" w:rsidR="00074551" w:rsidRPr="00E50B51" w:rsidRDefault="00074551" w:rsidP="00367133">
            <w:pPr>
              <w:jc w:val="both"/>
              <w:rPr>
                <w:sz w:val="20"/>
                <w:szCs w:val="20"/>
              </w:rPr>
            </w:pPr>
            <w:r w:rsidRPr="00B45592">
              <w:rPr>
                <w:sz w:val="20"/>
                <w:szCs w:val="20"/>
              </w:rPr>
              <w:t>Der U.S. Supreme Court und das Berufungsgericht bestätigte</w:t>
            </w:r>
            <w:r>
              <w:rPr>
                <w:sz w:val="20"/>
                <w:szCs w:val="20"/>
              </w:rPr>
              <w:t>n</w:t>
            </w:r>
            <w:r w:rsidRPr="00B45592">
              <w:rPr>
                <w:sz w:val="20"/>
                <w:szCs w:val="20"/>
              </w:rPr>
              <w:t xml:space="preserve"> das Urteil des </w:t>
            </w:r>
            <w:r w:rsidRPr="00B45592">
              <w:rPr>
                <w:i/>
                <w:sz w:val="20"/>
                <w:szCs w:val="20"/>
              </w:rPr>
              <w:t xml:space="preserve">U.S. Circuit Court for the </w:t>
            </w:r>
            <w:proofErr w:type="spellStart"/>
            <w:r w:rsidRPr="00B45592">
              <w:rPr>
                <w:i/>
                <w:sz w:val="20"/>
                <w:szCs w:val="20"/>
              </w:rPr>
              <w:t>District</w:t>
            </w:r>
            <w:proofErr w:type="spellEnd"/>
            <w:r w:rsidRPr="00B45592">
              <w:rPr>
                <w:i/>
                <w:sz w:val="20"/>
                <w:szCs w:val="20"/>
              </w:rPr>
              <w:t xml:space="preserve"> of Nebraska</w:t>
            </w:r>
            <w:r w:rsidRPr="00B45592">
              <w:rPr>
                <w:sz w:val="20"/>
                <w:szCs w:val="20"/>
              </w:rPr>
              <w:t>, welches die Gültigkeit des Einkommensgesetz</w:t>
            </w:r>
            <w:r>
              <w:rPr>
                <w:sz w:val="20"/>
                <w:szCs w:val="20"/>
              </w:rPr>
              <w:t>es</w:t>
            </w:r>
            <w:r w:rsidRPr="00B45592">
              <w:rPr>
                <w:sz w:val="20"/>
                <w:szCs w:val="20"/>
              </w:rPr>
              <w:t xml:space="preserve"> des Staates bekräftigt hatte.</w:t>
            </w:r>
            <w:r w:rsidRPr="00BE3728">
              <w:rPr>
                <w:rStyle w:val="Funotenzeichen"/>
                <w:sz w:val="20"/>
                <w:szCs w:val="20"/>
              </w:rPr>
              <w:footnoteReference w:id="356"/>
            </w:r>
            <w:r w:rsidRPr="00BE3728">
              <w:rPr>
                <w:sz w:val="20"/>
                <w:szCs w:val="20"/>
              </w:rPr>
              <w:t xml:space="preserve"> Dieses erlaub</w:t>
            </w:r>
            <w:r>
              <w:rPr>
                <w:sz w:val="20"/>
                <w:szCs w:val="20"/>
              </w:rPr>
              <w:t>t</w:t>
            </w:r>
            <w:r w:rsidRPr="00BE3728">
              <w:rPr>
                <w:sz w:val="20"/>
                <w:szCs w:val="20"/>
              </w:rPr>
              <w:t xml:space="preserve">e dem Kämmerer von Lincoln County, </w:t>
            </w:r>
            <w:r>
              <w:rPr>
                <w:sz w:val="20"/>
                <w:szCs w:val="20"/>
              </w:rPr>
              <w:t>Ne</w:t>
            </w:r>
            <w:r w:rsidRPr="00BE3728">
              <w:rPr>
                <w:sz w:val="20"/>
                <w:szCs w:val="20"/>
              </w:rPr>
              <w:t>braska, eine Steuer auf das Eigentum einer bundeseigenen Eisenbahngesellschaft</w:t>
            </w:r>
            <w:r w:rsidRPr="00BE3728">
              <w:rPr>
                <w:rStyle w:val="Funotenzeichen"/>
                <w:sz w:val="20"/>
                <w:szCs w:val="20"/>
              </w:rPr>
              <w:footnoteReference w:id="357"/>
            </w:r>
            <w:r w:rsidRPr="00BE3728">
              <w:rPr>
                <w:sz w:val="20"/>
                <w:szCs w:val="20"/>
              </w:rPr>
              <w:t xml:space="preserve"> zu erheben. Die Eisenbahngesellschaft meinte indes, ihr Eigentum sei davon ausgenommen, besteuert zu werden. Denn die Vereinigten Staaten habe die Eisenbahngesellschaft dafür gegründet, öffentliche Aufgaben auszufüllen. Und eine Besteuerung würde dem zuwiderlaufen. Zudem liege die Eisenbahngesellschaft außerhalb </w:t>
            </w:r>
            <w:r>
              <w:rPr>
                <w:sz w:val="20"/>
                <w:szCs w:val="20"/>
              </w:rPr>
              <w:t>von</w:t>
            </w:r>
            <w:r w:rsidRPr="00BE3728">
              <w:rPr>
                <w:sz w:val="20"/>
                <w:szCs w:val="20"/>
              </w:rPr>
              <w:t xml:space="preserve"> Lincoln County und daher sei die Besteuerung des Eigentums nichtig. Sie liege nicht im Kompetenzbereich des Kämmerers von Lincoln County. Der </w:t>
            </w:r>
            <w:r>
              <w:rPr>
                <w:sz w:val="20"/>
                <w:szCs w:val="20"/>
              </w:rPr>
              <w:t>U.S. Supreme Court</w:t>
            </w:r>
            <w:r w:rsidRPr="00BE3728">
              <w:rPr>
                <w:sz w:val="20"/>
                <w:szCs w:val="20"/>
              </w:rPr>
              <w:t xml:space="preserve"> entschied indes, dass bundesstaatliche Steuern auf das Eigentum einer bundeseigenen Agentur nicht verboten sei. Ein Verbot besteh</w:t>
            </w:r>
            <w:r>
              <w:rPr>
                <w:sz w:val="20"/>
                <w:szCs w:val="20"/>
              </w:rPr>
              <w:t>e</w:t>
            </w:r>
            <w:r w:rsidRPr="00BE3728">
              <w:rPr>
                <w:sz w:val="20"/>
                <w:szCs w:val="20"/>
              </w:rPr>
              <w:t xml:space="preserve"> nur, wenn die Steuer die Kompetenzen des Bundes einschränke</w:t>
            </w:r>
            <w:r>
              <w:rPr>
                <w:sz w:val="20"/>
                <w:szCs w:val="20"/>
              </w:rPr>
              <w:t>.</w:t>
            </w:r>
            <w:r w:rsidRPr="00BE3728">
              <w:rPr>
                <w:sz w:val="20"/>
                <w:szCs w:val="20"/>
              </w:rPr>
              <w:t xml:space="preserve"> Aber die Steuer auf Eigentum beeinträchtige diese Kompetenzen gerade nicht. Zudem erklärte der </w:t>
            </w:r>
            <w:r>
              <w:rPr>
                <w:sz w:val="20"/>
                <w:szCs w:val="20"/>
              </w:rPr>
              <w:t>U.S. Supreme Court</w:t>
            </w:r>
            <w:r w:rsidRPr="00BE3728">
              <w:rPr>
                <w:sz w:val="20"/>
                <w:szCs w:val="20"/>
              </w:rPr>
              <w:t>, nach den bundesstaatlichen Gesetzen Nebraskas sei das Lincoln County berechtigt, Steuern auf das Eigentum der Eisenbahn in bisher nicht besteuerten Gebieten zu erheben.</w:t>
            </w:r>
            <w:r w:rsidRPr="00BE3728">
              <w:rPr>
                <w:rStyle w:val="Funotenzeichen"/>
                <w:sz w:val="20"/>
                <w:szCs w:val="20"/>
              </w:rPr>
              <w:footnoteReference w:id="358"/>
            </w:r>
          </w:p>
        </w:tc>
        <w:tc>
          <w:tcPr>
            <w:tcW w:w="1822" w:type="pct"/>
          </w:tcPr>
          <w:p w14:paraId="157A4CD6"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Reserved Powers</w:t>
            </w:r>
          </w:p>
          <w:p w14:paraId="0FE27587" w14:textId="77777777" w:rsidR="00074551" w:rsidRPr="00BE3728" w:rsidRDefault="00074551" w:rsidP="00367133">
            <w:pPr>
              <w:jc w:val="both"/>
              <w:rPr>
                <w:sz w:val="20"/>
                <w:szCs w:val="20"/>
                <w:lang w:val="en-US"/>
              </w:rPr>
            </w:pPr>
          </w:p>
          <w:p w14:paraId="7DC36FF7" w14:textId="63E2DC63" w:rsidR="00074551" w:rsidRDefault="00023A37" w:rsidP="00367133">
            <w:pPr>
              <w:jc w:val="both"/>
              <w:rPr>
                <w:sz w:val="20"/>
                <w:szCs w:val="20"/>
              </w:rPr>
            </w:pPr>
            <w:r>
              <w:rPr>
                <w:sz w:val="20"/>
                <w:szCs w:val="20"/>
              </w:rPr>
              <w:t xml:space="preserve">U.S. </w:t>
            </w:r>
            <w:proofErr w:type="spellStart"/>
            <w:r>
              <w:rPr>
                <w:sz w:val="20"/>
                <w:szCs w:val="20"/>
              </w:rPr>
              <w:t>Const</w:t>
            </w:r>
            <w:proofErr w:type="spellEnd"/>
            <w:r>
              <w:rPr>
                <w:sz w:val="20"/>
                <w:szCs w:val="20"/>
              </w:rPr>
              <w:t xml:space="preserve">. </w:t>
            </w:r>
            <w:proofErr w:type="spellStart"/>
            <w:r>
              <w:rPr>
                <w:sz w:val="20"/>
                <w:szCs w:val="20"/>
              </w:rPr>
              <w:t>amend</w:t>
            </w:r>
            <w:proofErr w:type="spellEnd"/>
            <w:r>
              <w:rPr>
                <w:sz w:val="20"/>
                <w:szCs w:val="20"/>
              </w:rPr>
              <w:t>. X</w:t>
            </w:r>
            <w:r w:rsidR="00074551" w:rsidRPr="00BE3728">
              <w:rPr>
                <w:sz w:val="20"/>
                <w:szCs w:val="20"/>
              </w:rPr>
              <w:t xml:space="preserve"> setzt voraus, dass die Kompetenzen den Bundesstaaten oder dem Volk vorbehalten </w:t>
            </w:r>
            <w:r w:rsidR="00074551">
              <w:rPr>
                <w:sz w:val="20"/>
                <w:szCs w:val="20"/>
              </w:rPr>
              <w:t>sind</w:t>
            </w:r>
            <w:r w:rsidR="00074551" w:rsidRPr="00BE3728">
              <w:rPr>
                <w:sz w:val="20"/>
                <w:szCs w:val="20"/>
              </w:rPr>
              <w:t xml:space="preserve">, </w:t>
            </w:r>
            <w:r w:rsidR="00074551">
              <w:rPr>
                <w:sz w:val="20"/>
                <w:szCs w:val="20"/>
              </w:rPr>
              <w:t>soweit</w:t>
            </w:r>
            <w:r w:rsidR="00074551" w:rsidRPr="00BE3728">
              <w:rPr>
                <w:sz w:val="20"/>
                <w:szCs w:val="20"/>
              </w:rPr>
              <w:t xml:space="preserve"> die </w:t>
            </w:r>
            <w:r w:rsidR="00074551">
              <w:rPr>
                <w:sz w:val="20"/>
                <w:szCs w:val="20"/>
              </w:rPr>
              <w:t>U.S.</w:t>
            </w:r>
            <w:r w:rsidR="00074551" w:rsidRPr="00BE3728">
              <w:rPr>
                <w:sz w:val="20"/>
                <w:szCs w:val="20"/>
              </w:rPr>
              <w:t xml:space="preserve"> </w:t>
            </w:r>
            <w:proofErr w:type="spellStart"/>
            <w:r w:rsidR="00074551" w:rsidRPr="00BE3728">
              <w:rPr>
                <w:sz w:val="20"/>
                <w:szCs w:val="20"/>
              </w:rPr>
              <w:t>Const</w:t>
            </w:r>
            <w:proofErr w:type="spellEnd"/>
            <w:r w:rsidR="00074551" w:rsidRPr="00BE3728">
              <w:rPr>
                <w:sz w:val="20"/>
                <w:szCs w:val="20"/>
              </w:rPr>
              <w:t>. sie weder den Vereinigten Staaten übertragen noch den Bundesstaaten untersagt ha</w:t>
            </w:r>
            <w:r w:rsidR="00074551">
              <w:rPr>
                <w:sz w:val="20"/>
                <w:szCs w:val="20"/>
              </w:rPr>
              <w:t>t</w:t>
            </w:r>
            <w:r w:rsidR="00074551" w:rsidRPr="00BE3728">
              <w:rPr>
                <w:sz w:val="20"/>
                <w:szCs w:val="20"/>
              </w:rPr>
              <w:t>. Somit stell</w:t>
            </w:r>
            <w:r w:rsidR="00074551">
              <w:rPr>
                <w:sz w:val="20"/>
                <w:szCs w:val="20"/>
              </w:rPr>
              <w:t>t</w:t>
            </w:r>
            <w:r w:rsidR="00074551" w:rsidRPr="00BE3728">
              <w:rPr>
                <w:sz w:val="20"/>
                <w:szCs w:val="20"/>
              </w:rPr>
              <w:t xml:space="preserve"> sich </w:t>
            </w:r>
            <w:r w:rsidR="00074551">
              <w:rPr>
                <w:sz w:val="20"/>
                <w:szCs w:val="20"/>
              </w:rPr>
              <w:t xml:space="preserve">laut Dissens </w:t>
            </w:r>
            <w:r w:rsidR="00074551" w:rsidRPr="00BE3728">
              <w:rPr>
                <w:sz w:val="20"/>
                <w:szCs w:val="20"/>
              </w:rPr>
              <w:t>die Frage</w:t>
            </w:r>
            <w:r w:rsidR="00074551">
              <w:rPr>
                <w:sz w:val="20"/>
                <w:szCs w:val="20"/>
              </w:rPr>
              <w:t>, o</w:t>
            </w:r>
            <w:r w:rsidR="00074551" w:rsidRPr="00BE3728">
              <w:rPr>
                <w:sz w:val="20"/>
                <w:szCs w:val="20"/>
              </w:rPr>
              <w:t xml:space="preserve">b </w:t>
            </w:r>
            <w:r w:rsidR="00074551">
              <w:rPr>
                <w:sz w:val="20"/>
                <w:szCs w:val="20"/>
              </w:rPr>
              <w:t>es in Bezug auf die</w:t>
            </w:r>
            <w:r w:rsidR="00074551" w:rsidRPr="00BE3728">
              <w:rPr>
                <w:sz w:val="20"/>
                <w:szCs w:val="20"/>
              </w:rPr>
              <w:t xml:space="preserve"> streitgegenständliche Kompetenz </w:t>
            </w:r>
            <w:r w:rsidR="00074551">
              <w:rPr>
                <w:sz w:val="20"/>
                <w:szCs w:val="20"/>
              </w:rPr>
              <w:t>eine solche Übertragung oder Untersagung gebe. Hierzu sei</w:t>
            </w:r>
            <w:r w:rsidR="00074551" w:rsidRPr="00BE3728">
              <w:rPr>
                <w:sz w:val="20"/>
                <w:szCs w:val="20"/>
              </w:rPr>
              <w:t xml:space="preserve"> die Verfassung auszulegen.</w:t>
            </w:r>
            <w:r w:rsidR="00074551" w:rsidRPr="00BE3728">
              <w:rPr>
                <w:rStyle w:val="Funotenzeichen"/>
                <w:sz w:val="20"/>
                <w:szCs w:val="20"/>
              </w:rPr>
              <w:footnoteReference w:id="359"/>
            </w:r>
          </w:p>
          <w:p w14:paraId="4DAB5236" w14:textId="77777777" w:rsidR="00074551" w:rsidRPr="002F383B" w:rsidRDefault="00074551" w:rsidP="00367133">
            <w:pPr>
              <w:jc w:val="both"/>
              <w:rPr>
                <w:sz w:val="20"/>
                <w:szCs w:val="20"/>
              </w:rPr>
            </w:pPr>
          </w:p>
          <w:p w14:paraId="407DC8A5" w14:textId="77777777" w:rsidR="00074551" w:rsidRPr="00BE3728" w:rsidRDefault="00074551" w:rsidP="00367133">
            <w:pPr>
              <w:jc w:val="both"/>
              <w:rPr>
                <w:sz w:val="20"/>
                <w:szCs w:val="20"/>
              </w:rPr>
            </w:pPr>
            <w:r w:rsidRPr="00BE3728">
              <w:rPr>
                <w:sz w:val="20"/>
                <w:szCs w:val="20"/>
              </w:rPr>
              <w:t xml:space="preserve">Der Kongress habe nach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die Kompetenz, Körperschaften für Zwecke mit nationalem Charakter einzurichten</w:t>
            </w:r>
            <w:r>
              <w:rPr>
                <w:sz w:val="20"/>
                <w:szCs w:val="20"/>
              </w:rPr>
              <w:t>, z</w:t>
            </w:r>
            <w:r w:rsidRPr="00BE3728">
              <w:rPr>
                <w:sz w:val="20"/>
                <w:szCs w:val="20"/>
              </w:rPr>
              <w:t xml:space="preserve">um Beispiel die </w:t>
            </w:r>
            <w:r>
              <w:rPr>
                <w:sz w:val="20"/>
                <w:szCs w:val="20"/>
              </w:rPr>
              <w:t>bundesstaatenübergreifende</w:t>
            </w:r>
            <w:r w:rsidRPr="00BE3728">
              <w:rPr>
                <w:sz w:val="20"/>
                <w:szCs w:val="20"/>
              </w:rPr>
              <w:t xml:space="preserve"> Eisenbahngesellschaft (Union Pacific Railroad). Diese Kompetenz zeige sich auch formal daran, dass der Kongress die Eisenbahngesellschaft einrichtete, ohne die Bundesstaaten zu beteiligen. Ein gleich gelagertes Beispiel sei die Zentralbank. Wie leitet die abweichende Meinung diese Grundsätze zu den Kompetenzen her?</w:t>
            </w:r>
            <w:r w:rsidRPr="00BE3728">
              <w:rPr>
                <w:rStyle w:val="Funotenzeichen"/>
                <w:sz w:val="20"/>
                <w:szCs w:val="20"/>
                <w:lang w:val="en-US"/>
              </w:rPr>
              <w:footnoteReference w:id="360"/>
            </w:r>
            <w:r w:rsidRPr="00BE3728">
              <w:rPr>
                <w:sz w:val="20"/>
                <w:szCs w:val="20"/>
              </w:rPr>
              <w:t xml:space="preserve"> Die Antwort: anhand der Rechtsprechung zu </w:t>
            </w:r>
            <w:r w:rsidRPr="007360B0">
              <w:rPr>
                <w:i/>
                <w:sz w:val="20"/>
                <w:szCs w:val="20"/>
              </w:rPr>
              <w:t>McCulloch v. Maryland</w:t>
            </w:r>
            <w:r w:rsidRPr="00BE3728">
              <w:rPr>
                <w:sz w:val="20"/>
                <w:szCs w:val="20"/>
              </w:rPr>
              <w:t xml:space="preserve">. Danach verleihe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der Bundesebene nur ausdrücklich Kompetenzen. Diese seien zwar weit. Sie umfass</w:t>
            </w:r>
            <w:r>
              <w:rPr>
                <w:sz w:val="20"/>
                <w:szCs w:val="20"/>
              </w:rPr>
              <w:t>t</w:t>
            </w:r>
            <w:r w:rsidRPr="00BE3728">
              <w:rPr>
                <w:sz w:val="20"/>
                <w:szCs w:val="20"/>
              </w:rPr>
              <w:t>en z.B. Handel oder auswärtige Beziehungen. Aber dennoch dürfe kein Erst</w:t>
            </w:r>
            <w:r>
              <w:rPr>
                <w:sz w:val="20"/>
                <w:szCs w:val="20"/>
              </w:rPr>
              <w:t>-</w:t>
            </w:r>
            <w:r w:rsidRPr="00BE3728">
              <w:rPr>
                <w:sz w:val="20"/>
                <w:szCs w:val="20"/>
              </w:rPr>
              <w:t>recht</w:t>
            </w:r>
            <w:r>
              <w:rPr>
                <w:sz w:val="20"/>
                <w:szCs w:val="20"/>
              </w:rPr>
              <w:t>-S</w:t>
            </w:r>
            <w:r w:rsidRPr="00BE3728">
              <w:rPr>
                <w:sz w:val="20"/>
                <w:szCs w:val="20"/>
              </w:rPr>
              <w:t xml:space="preserve">chluss gezogen werden, d.h. von weiten Kompetenzen auf weniger weite Kompetenzen zu schließen. Schließlich müsse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Kompetenzen ausdrücklich regeln. Ein weiteres Argument, warum die Kompetenzen bereits weit </w:t>
            </w:r>
            <w:r>
              <w:rPr>
                <w:sz w:val="20"/>
                <w:szCs w:val="20"/>
              </w:rPr>
              <w:t>seien</w:t>
            </w:r>
            <w:r w:rsidRPr="00BE3728">
              <w:rPr>
                <w:sz w:val="20"/>
                <w:szCs w:val="20"/>
              </w:rPr>
              <w:t xml:space="preserve"> und deshalb der Wortlaut entscheide, laute: Die verfassungsrechtlich zugewiesenen Kompetenzen umfass</w:t>
            </w:r>
            <w:r>
              <w:rPr>
                <w:sz w:val="20"/>
                <w:szCs w:val="20"/>
              </w:rPr>
              <w:t>t</w:t>
            </w:r>
            <w:r w:rsidRPr="00BE3728">
              <w:rPr>
                <w:sz w:val="20"/>
                <w:szCs w:val="20"/>
              </w:rPr>
              <w:t xml:space="preserve">en nicht nur die Handlungs-, sondern auch die Durchsetzungskompetenz. </w:t>
            </w:r>
            <w:r w:rsidRPr="00BE3728">
              <w:rPr>
                <w:sz w:val="20"/>
                <w:szCs w:val="20"/>
                <w:lang w:val="en-US"/>
              </w:rPr>
              <w:t xml:space="preserve">Dabei </w:t>
            </w:r>
            <w:proofErr w:type="spellStart"/>
            <w:r w:rsidRPr="00BE3728">
              <w:rPr>
                <w:sz w:val="20"/>
                <w:szCs w:val="20"/>
                <w:lang w:val="en-US"/>
              </w:rPr>
              <w:t>m</w:t>
            </w:r>
            <w:r>
              <w:rPr>
                <w:sz w:val="20"/>
                <w:szCs w:val="20"/>
                <w:lang w:val="en-US"/>
              </w:rPr>
              <w:t>ü</w:t>
            </w:r>
            <w:r w:rsidRPr="00BE3728">
              <w:rPr>
                <w:sz w:val="20"/>
                <w:szCs w:val="20"/>
                <w:lang w:val="en-US"/>
              </w:rPr>
              <w:t>ss</w:t>
            </w:r>
            <w:r>
              <w:rPr>
                <w:sz w:val="20"/>
                <w:szCs w:val="20"/>
                <w:lang w:val="en-US"/>
              </w:rPr>
              <w:t>e</w:t>
            </w:r>
            <w:proofErr w:type="spellEnd"/>
            <w:r w:rsidRPr="00BE3728">
              <w:rPr>
                <w:sz w:val="20"/>
                <w:szCs w:val="20"/>
                <w:lang w:val="en-US"/>
              </w:rPr>
              <w:t xml:space="preserve"> die </w:t>
            </w:r>
            <w:proofErr w:type="spellStart"/>
            <w:r w:rsidRPr="00BE3728">
              <w:rPr>
                <w:sz w:val="20"/>
                <w:szCs w:val="20"/>
                <w:lang w:val="en-US"/>
              </w:rPr>
              <w:t>Regierung</w:t>
            </w:r>
            <w:proofErr w:type="spellEnd"/>
            <w:r w:rsidRPr="00BE3728">
              <w:rPr>
                <w:sz w:val="20"/>
                <w:szCs w:val="20"/>
                <w:lang w:val="en-US"/>
              </w:rPr>
              <w:t xml:space="preserve"> </w:t>
            </w:r>
            <w:proofErr w:type="spellStart"/>
            <w:r w:rsidRPr="00BE3728">
              <w:rPr>
                <w:sz w:val="20"/>
                <w:szCs w:val="20"/>
                <w:lang w:val="en-US"/>
              </w:rPr>
              <w:t>Kompetenzen</w:t>
            </w:r>
            <w:proofErr w:type="spellEnd"/>
            <w:r w:rsidRPr="00BE3728">
              <w:rPr>
                <w:sz w:val="20"/>
                <w:szCs w:val="20"/>
                <w:lang w:val="en-US"/>
              </w:rPr>
              <w:t xml:space="preserve"> so </w:t>
            </w:r>
            <w:proofErr w:type="spellStart"/>
            <w:r w:rsidRPr="00BE3728">
              <w:rPr>
                <w:sz w:val="20"/>
                <w:szCs w:val="20"/>
                <w:lang w:val="en-US"/>
              </w:rPr>
              <w:t>durchsetzen</w:t>
            </w:r>
            <w:proofErr w:type="spellEnd"/>
            <w:r w:rsidRPr="00BE3728">
              <w:rPr>
                <w:sz w:val="20"/>
                <w:szCs w:val="20"/>
                <w:lang w:val="en-US"/>
              </w:rPr>
              <w:t xml:space="preserve">, </w:t>
            </w:r>
            <w:proofErr w:type="spellStart"/>
            <w:r w:rsidRPr="00BE3728">
              <w:rPr>
                <w:sz w:val="20"/>
                <w:szCs w:val="20"/>
                <w:lang w:val="en-US"/>
              </w:rPr>
              <w:t>dass</w:t>
            </w:r>
            <w:proofErr w:type="spellEnd"/>
            <w:r w:rsidRPr="00BE3728">
              <w:rPr>
                <w:sz w:val="20"/>
                <w:szCs w:val="20"/>
                <w:lang w:val="en-US"/>
              </w:rPr>
              <w:t xml:space="preserve"> </w:t>
            </w:r>
            <w:proofErr w:type="spellStart"/>
            <w:r w:rsidRPr="00BE3728">
              <w:rPr>
                <w:sz w:val="20"/>
                <w:szCs w:val="20"/>
                <w:lang w:val="en-US"/>
              </w:rPr>
              <w:t>sie</w:t>
            </w:r>
            <w:proofErr w:type="spellEnd"/>
            <w:r w:rsidRPr="00BE3728">
              <w:rPr>
                <w:sz w:val="20"/>
                <w:szCs w:val="20"/>
                <w:lang w:val="en-US"/>
              </w:rPr>
              <w:t xml:space="preserve"> Glück und </w:t>
            </w:r>
            <w:proofErr w:type="spellStart"/>
            <w:r w:rsidRPr="00BE3728">
              <w:rPr>
                <w:sz w:val="20"/>
                <w:szCs w:val="20"/>
                <w:lang w:val="en-US"/>
              </w:rPr>
              <w:t>Wohlstand</w:t>
            </w:r>
            <w:proofErr w:type="spellEnd"/>
            <w:r w:rsidRPr="00BE3728">
              <w:rPr>
                <w:sz w:val="20"/>
                <w:szCs w:val="20"/>
                <w:lang w:val="en-US"/>
              </w:rPr>
              <w:t xml:space="preserve"> </w:t>
            </w:r>
            <w:proofErr w:type="spellStart"/>
            <w:r w:rsidRPr="00BE3728">
              <w:rPr>
                <w:sz w:val="20"/>
                <w:szCs w:val="20"/>
                <w:lang w:val="en-US"/>
              </w:rPr>
              <w:t>förder</w:t>
            </w:r>
            <w:r>
              <w:rPr>
                <w:sz w:val="20"/>
                <w:szCs w:val="20"/>
                <w:lang w:val="en-US"/>
              </w:rPr>
              <w:t>te</w:t>
            </w:r>
            <w:r w:rsidRPr="00BE3728">
              <w:rPr>
                <w:sz w:val="20"/>
                <w:szCs w:val="20"/>
                <w:lang w:val="en-US"/>
              </w:rPr>
              <w:t>n</w:t>
            </w:r>
            <w:proofErr w:type="spellEnd"/>
            <w:r w:rsidRPr="00BE3728">
              <w:rPr>
                <w:sz w:val="20"/>
                <w:szCs w:val="20"/>
                <w:lang w:val="en-US"/>
              </w:rPr>
              <w:t xml:space="preserve"> („a government, entrusted with such ample powers, on the due execution of which the happiness and prosperity of the nation so vitally </w:t>
            </w:r>
            <w:proofErr w:type="gramStart"/>
            <w:r w:rsidRPr="00BE3728">
              <w:rPr>
                <w:sz w:val="20"/>
                <w:szCs w:val="20"/>
                <w:lang w:val="en-US"/>
              </w:rPr>
              <w:t>depends“</w:t>
            </w:r>
            <w:proofErr w:type="gramEnd"/>
            <w:r w:rsidRPr="00BE3728">
              <w:rPr>
                <w:rStyle w:val="Funotenzeichen"/>
                <w:sz w:val="20"/>
                <w:szCs w:val="20"/>
                <w:lang w:val="en-US"/>
              </w:rPr>
              <w:footnoteReference w:id="361"/>
            </w:r>
            <w:r w:rsidRPr="00BE3728">
              <w:rPr>
                <w:sz w:val="20"/>
                <w:szCs w:val="20"/>
                <w:lang w:val="en-US"/>
              </w:rPr>
              <w:t xml:space="preserve">). </w:t>
            </w:r>
            <w:r w:rsidRPr="00BE3728">
              <w:rPr>
                <w:sz w:val="20"/>
                <w:szCs w:val="20"/>
              </w:rPr>
              <w:t xml:space="preserve">Mit dieser Kompetenzzuschreibung, die sich anhand des Ziels </w:t>
            </w:r>
            <w:r>
              <w:rPr>
                <w:sz w:val="20"/>
                <w:szCs w:val="20"/>
              </w:rPr>
              <w:t xml:space="preserve">der Glücksförderung </w:t>
            </w:r>
            <w:r w:rsidRPr="00BE3728">
              <w:rPr>
                <w:sz w:val="20"/>
                <w:szCs w:val="20"/>
              </w:rPr>
              <w:t xml:space="preserve">weite, </w:t>
            </w:r>
            <w:r>
              <w:rPr>
                <w:sz w:val="20"/>
                <w:szCs w:val="20"/>
              </w:rPr>
              <w:t>breche</w:t>
            </w:r>
            <w:r w:rsidRPr="00BE3728">
              <w:rPr>
                <w:sz w:val="20"/>
                <w:szCs w:val="20"/>
              </w:rPr>
              <w:t xml:space="preserve"> 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BE3728">
              <w:rPr>
                <w:sz w:val="20"/>
                <w:szCs w:val="20"/>
              </w:rPr>
              <w:t xml:space="preserve"> – so zumindest die abweichende Meinung. Denn die Bundesbahn betreffe den nationalen Handel, nicht der Bundesstaat </w:t>
            </w:r>
            <w:r>
              <w:rPr>
                <w:sz w:val="20"/>
                <w:szCs w:val="20"/>
              </w:rPr>
              <w:t>könne</w:t>
            </w:r>
            <w:r w:rsidRPr="00BE3728">
              <w:rPr>
                <w:sz w:val="20"/>
                <w:szCs w:val="20"/>
              </w:rPr>
              <w:t xml:space="preserve"> ihre Tarife, ihre Konzessionen oder irgendeinen Teil ihrer Satzung ändern. Sonst würde ein Bundesstaat in die Souveränität des Kongresses eingreifen. Würde man dies zulassen, dann wäre der nationale Handel entwertet, der bundesstaatlich partikuläre</w:t>
            </w:r>
            <w:r>
              <w:rPr>
                <w:sz w:val="20"/>
                <w:szCs w:val="20"/>
              </w:rPr>
              <w:t xml:space="preserve"> dagegen</w:t>
            </w:r>
            <w:r w:rsidRPr="00BE3728">
              <w:rPr>
                <w:sz w:val="20"/>
                <w:szCs w:val="20"/>
              </w:rPr>
              <w:t xml:space="preserve"> begründet. </w:t>
            </w:r>
            <w:r>
              <w:rPr>
                <w:sz w:val="20"/>
                <w:szCs w:val="20"/>
              </w:rPr>
              <w:t>Dies</w:t>
            </w:r>
            <w:r w:rsidRPr="00BE3728">
              <w:rPr>
                <w:sz w:val="20"/>
                <w:szCs w:val="20"/>
              </w:rPr>
              <w:t xml:space="preserve"> widerspreche der Verfassung.</w:t>
            </w:r>
            <w:r w:rsidRPr="00BE3728">
              <w:rPr>
                <w:rStyle w:val="Funotenzeichen"/>
                <w:sz w:val="20"/>
                <w:szCs w:val="20"/>
              </w:rPr>
              <w:footnoteReference w:id="362"/>
            </w:r>
          </w:p>
          <w:p w14:paraId="3487326A" w14:textId="77777777" w:rsidR="00074551" w:rsidRPr="00E50B51" w:rsidRDefault="00074551" w:rsidP="00367133">
            <w:pPr>
              <w:jc w:val="both"/>
              <w:rPr>
                <w:sz w:val="20"/>
                <w:szCs w:val="20"/>
              </w:rPr>
            </w:pPr>
          </w:p>
        </w:tc>
      </w:tr>
      <w:tr w:rsidR="00074551" w:rsidRPr="00E50B51" w14:paraId="0E7D4FED" w14:textId="77777777" w:rsidTr="00BE689F">
        <w:trPr>
          <w:cantSplit/>
          <w:trHeight w:val="3175"/>
        </w:trPr>
        <w:tc>
          <w:tcPr>
            <w:tcW w:w="293" w:type="pct"/>
          </w:tcPr>
          <w:p w14:paraId="14FB7093"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0D1A7D2A" w14:textId="77777777" w:rsidR="00074551" w:rsidRPr="00B45592" w:rsidRDefault="00074551" w:rsidP="00367133">
            <w:pPr>
              <w:ind w:left="113" w:right="113"/>
              <w:jc w:val="both"/>
              <w:rPr>
                <w:i/>
                <w:sz w:val="20"/>
                <w:szCs w:val="20"/>
              </w:rPr>
            </w:pPr>
            <w:r w:rsidRPr="00B45592">
              <w:rPr>
                <w:i/>
                <w:sz w:val="20"/>
                <w:szCs w:val="20"/>
              </w:rPr>
              <w:t>Smith v. Turner</w:t>
            </w:r>
          </w:p>
        </w:tc>
        <w:tc>
          <w:tcPr>
            <w:tcW w:w="197" w:type="pct"/>
            <w:textDirection w:val="tbRl"/>
            <w:vAlign w:val="center"/>
          </w:tcPr>
          <w:p w14:paraId="4C406BDB" w14:textId="77777777" w:rsidR="00074551" w:rsidRPr="00E50B51" w:rsidRDefault="00074551" w:rsidP="00367133">
            <w:pPr>
              <w:ind w:left="113" w:right="113"/>
              <w:jc w:val="both"/>
              <w:rPr>
                <w:sz w:val="20"/>
                <w:szCs w:val="20"/>
                <w:lang w:val="en-US"/>
              </w:rPr>
            </w:pPr>
            <w:r w:rsidRPr="00BE3728">
              <w:rPr>
                <w:sz w:val="20"/>
                <w:szCs w:val="20"/>
              </w:rPr>
              <w:t>48 U.S. 283</w:t>
            </w:r>
          </w:p>
        </w:tc>
        <w:tc>
          <w:tcPr>
            <w:tcW w:w="306" w:type="pct"/>
            <w:textDirection w:val="tbRl"/>
            <w:vAlign w:val="center"/>
          </w:tcPr>
          <w:p w14:paraId="5E7681DB" w14:textId="77777777" w:rsidR="00074551" w:rsidRPr="00E50B51" w:rsidRDefault="00074551" w:rsidP="00367133">
            <w:pPr>
              <w:ind w:left="113" w:right="113"/>
              <w:jc w:val="both"/>
              <w:rPr>
                <w:sz w:val="20"/>
                <w:szCs w:val="20"/>
              </w:rPr>
            </w:pPr>
            <w:r w:rsidRPr="00BE3728">
              <w:rPr>
                <w:sz w:val="20"/>
                <w:szCs w:val="20"/>
              </w:rPr>
              <w:t>07. Februar 1849</w:t>
            </w:r>
          </w:p>
        </w:tc>
        <w:tc>
          <w:tcPr>
            <w:tcW w:w="401" w:type="pct"/>
          </w:tcPr>
          <w:p w14:paraId="03608B79" w14:textId="77777777" w:rsidR="00074551" w:rsidRPr="00E50B51" w:rsidRDefault="00074551" w:rsidP="00367133">
            <w:pPr>
              <w:jc w:val="center"/>
              <w:rPr>
                <w:sz w:val="20"/>
                <w:szCs w:val="20"/>
                <w:lang w:val="en-US"/>
              </w:rPr>
            </w:pPr>
            <w:r w:rsidRPr="00BE3728">
              <w:rPr>
                <w:sz w:val="20"/>
                <w:szCs w:val="20"/>
                <w:lang w:val="en-US"/>
              </w:rPr>
              <w:t>S/D</w:t>
            </w:r>
          </w:p>
        </w:tc>
        <w:tc>
          <w:tcPr>
            <w:tcW w:w="1594" w:type="pct"/>
          </w:tcPr>
          <w:p w14:paraId="29D35D6D"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hatte über die Verfassungskonformität </w:t>
            </w:r>
            <w:r>
              <w:rPr>
                <w:sz w:val="20"/>
                <w:szCs w:val="20"/>
              </w:rPr>
              <w:t>des</w:t>
            </w:r>
            <w:r w:rsidRPr="00BE3728">
              <w:rPr>
                <w:sz w:val="20"/>
                <w:szCs w:val="20"/>
              </w:rPr>
              <w:t xml:space="preserve"> </w:t>
            </w:r>
            <w:r w:rsidRPr="00B45592">
              <w:rPr>
                <w:i/>
                <w:iCs/>
                <w:sz w:val="20"/>
                <w:szCs w:val="20"/>
              </w:rPr>
              <w:t xml:space="preserve">Act </w:t>
            </w:r>
            <w:proofErr w:type="spellStart"/>
            <w:r w:rsidRPr="00B45592">
              <w:rPr>
                <w:i/>
                <w:iCs/>
                <w:sz w:val="20"/>
                <w:szCs w:val="20"/>
              </w:rPr>
              <w:t>relating</w:t>
            </w:r>
            <w:proofErr w:type="spellEnd"/>
            <w:r w:rsidRPr="00B45592">
              <w:rPr>
                <w:i/>
                <w:iCs/>
                <w:sz w:val="20"/>
                <w:szCs w:val="20"/>
              </w:rPr>
              <w:t xml:space="preserve"> to </w:t>
            </w:r>
            <w:proofErr w:type="spellStart"/>
            <w:r w:rsidRPr="00B45592">
              <w:rPr>
                <w:i/>
                <w:iCs/>
                <w:sz w:val="20"/>
                <w:szCs w:val="20"/>
              </w:rPr>
              <w:t>alien</w:t>
            </w:r>
            <w:proofErr w:type="spellEnd"/>
            <w:r w:rsidRPr="00B45592">
              <w:rPr>
                <w:i/>
                <w:iCs/>
                <w:sz w:val="20"/>
                <w:szCs w:val="20"/>
              </w:rPr>
              <w:t xml:space="preserve"> </w:t>
            </w:r>
            <w:proofErr w:type="spellStart"/>
            <w:r w:rsidRPr="00B45592">
              <w:rPr>
                <w:i/>
                <w:iCs/>
                <w:sz w:val="20"/>
                <w:szCs w:val="20"/>
              </w:rPr>
              <w:t>passengers</w:t>
            </w:r>
            <w:proofErr w:type="spellEnd"/>
            <w:r w:rsidRPr="00BE3728">
              <w:rPr>
                <w:rStyle w:val="Funotenzeichen"/>
                <w:sz w:val="20"/>
                <w:szCs w:val="20"/>
              </w:rPr>
              <w:footnoteReference w:id="363"/>
            </w:r>
            <w:r w:rsidRPr="00BE3728">
              <w:rPr>
                <w:sz w:val="20"/>
                <w:szCs w:val="20"/>
              </w:rPr>
              <w:t xml:space="preserve"> zu entscheiden. Diese</w:t>
            </w:r>
            <w:r>
              <w:rPr>
                <w:sz w:val="20"/>
                <w:szCs w:val="20"/>
              </w:rPr>
              <w:t>s und vergleichbare</w:t>
            </w:r>
            <w:r w:rsidRPr="00BE3728">
              <w:rPr>
                <w:sz w:val="20"/>
                <w:szCs w:val="20"/>
              </w:rPr>
              <w:t xml:space="preserve"> Gesetze ermächtig</w:t>
            </w:r>
            <w:r>
              <w:rPr>
                <w:sz w:val="20"/>
                <w:szCs w:val="20"/>
              </w:rPr>
              <w:t>t</w:t>
            </w:r>
            <w:r w:rsidRPr="00BE3728">
              <w:rPr>
                <w:sz w:val="20"/>
                <w:szCs w:val="20"/>
              </w:rPr>
              <w:t xml:space="preserve">en Bundesstaaten, Passagiere zu besteuern, die mit einem Schiff von einem ausländischen Hafen in </w:t>
            </w:r>
            <w:r>
              <w:rPr>
                <w:sz w:val="20"/>
                <w:szCs w:val="20"/>
              </w:rPr>
              <w:t>die</w:t>
            </w:r>
            <w:r w:rsidRPr="00BE3728">
              <w:rPr>
                <w:sz w:val="20"/>
                <w:szCs w:val="20"/>
              </w:rPr>
              <w:t xml:space="preserve"> Vereinigten Staaten einfuhren. Die Kläger fochten die Verfassungsmäßigkeit dieser Gesetze an. Die unteren Instanzen bejahten die Verfassungsmäßigkeit der Gesetze. Doch der </w:t>
            </w:r>
            <w:r>
              <w:rPr>
                <w:sz w:val="20"/>
                <w:szCs w:val="20"/>
              </w:rPr>
              <w:t>U.S. Supreme Court</w:t>
            </w:r>
            <w:r w:rsidRPr="00BE3728">
              <w:rPr>
                <w:sz w:val="20"/>
                <w:szCs w:val="20"/>
              </w:rPr>
              <w:t xml:space="preserve"> hob die Entscheidungen auf. Er befand, dass die Gesetze verfassungswidrig seien. Denn sie regel</w:t>
            </w:r>
            <w:r>
              <w:rPr>
                <w:sz w:val="20"/>
                <w:szCs w:val="20"/>
              </w:rPr>
              <w:t>te</w:t>
            </w:r>
            <w:r w:rsidRPr="00BE3728">
              <w:rPr>
                <w:sz w:val="20"/>
                <w:szCs w:val="20"/>
              </w:rPr>
              <w:t>n den Außenhandel, der in die Zuständigkeit des Kongresses falle</w:t>
            </w:r>
            <w:r>
              <w:rPr>
                <w:sz w:val="20"/>
                <w:szCs w:val="20"/>
              </w:rPr>
              <w:t> </w:t>
            </w:r>
            <w:r w:rsidRPr="00BE3728">
              <w:rPr>
                <w:sz w:val="20"/>
                <w:szCs w:val="20"/>
              </w:rPr>
              <w:t>– nicht der Bundesstaaten. Außerdem handele es sich bei den Gesetzen um Steuergesetze, die den Handel der Vereinigten Staaten regel</w:t>
            </w:r>
            <w:r>
              <w:rPr>
                <w:sz w:val="20"/>
                <w:szCs w:val="20"/>
              </w:rPr>
              <w:t>te</w:t>
            </w:r>
            <w:r w:rsidRPr="00BE3728">
              <w:rPr>
                <w:sz w:val="20"/>
                <w:szCs w:val="20"/>
              </w:rPr>
              <w:t xml:space="preserve">n. </w:t>
            </w:r>
            <w:r>
              <w:rPr>
                <w:sz w:val="20"/>
                <w:szCs w:val="20"/>
              </w:rPr>
              <w:t>Für</w:t>
            </w:r>
            <w:r w:rsidRPr="00BE3728">
              <w:rPr>
                <w:sz w:val="20"/>
                <w:szCs w:val="20"/>
              </w:rPr>
              <w:t xml:space="preserve"> deren Erlass sei aber kein Bundesstaat verfassungsrechtlich zuständig.</w:t>
            </w:r>
            <w:r w:rsidRPr="00BE3728">
              <w:rPr>
                <w:rStyle w:val="Funotenzeichen"/>
                <w:sz w:val="20"/>
                <w:szCs w:val="20"/>
              </w:rPr>
              <w:footnoteReference w:id="364"/>
            </w:r>
          </w:p>
          <w:p w14:paraId="2CB3E87A" w14:textId="77777777" w:rsidR="00074551" w:rsidRPr="00E50B51" w:rsidRDefault="00074551" w:rsidP="00367133">
            <w:pPr>
              <w:jc w:val="both"/>
              <w:rPr>
                <w:sz w:val="20"/>
                <w:szCs w:val="20"/>
              </w:rPr>
            </w:pPr>
          </w:p>
        </w:tc>
        <w:tc>
          <w:tcPr>
            <w:tcW w:w="1822" w:type="pct"/>
          </w:tcPr>
          <w:p w14:paraId="0CEA6DE9"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Reserved Powers</w:t>
            </w:r>
          </w:p>
          <w:p w14:paraId="1887321A" w14:textId="77777777" w:rsidR="00074551" w:rsidRPr="00BE3728" w:rsidRDefault="00074551" w:rsidP="00367133">
            <w:pPr>
              <w:jc w:val="both"/>
              <w:rPr>
                <w:sz w:val="20"/>
                <w:szCs w:val="20"/>
                <w:lang w:val="en-US"/>
              </w:rPr>
            </w:pPr>
          </w:p>
          <w:p w14:paraId="1599DA9A" w14:textId="77777777" w:rsidR="00074551" w:rsidRDefault="00074551" w:rsidP="00367133">
            <w:pPr>
              <w:jc w:val="both"/>
              <w:rPr>
                <w:sz w:val="20"/>
                <w:szCs w:val="20"/>
              </w:rPr>
            </w:pPr>
            <w:r w:rsidRPr="00BE3728">
              <w:rPr>
                <w:sz w:val="20"/>
                <w:szCs w:val="20"/>
              </w:rPr>
              <w:t xml:space="preserve">Bei der Handelskompetenz </w:t>
            </w:r>
            <w:r>
              <w:rPr>
                <w:sz w:val="20"/>
                <w:szCs w:val="20"/>
              </w:rPr>
              <w:t>könne</w:t>
            </w:r>
            <w:r w:rsidRPr="00BE3728">
              <w:rPr>
                <w:sz w:val="20"/>
                <w:szCs w:val="20"/>
              </w:rPr>
              <w:t xml:space="preserve"> nicht davon ausgegangen werden, dass die Bundesstaaten die Souveränität abgetrennt </w:t>
            </w:r>
            <w:r>
              <w:rPr>
                <w:sz w:val="20"/>
                <w:szCs w:val="20"/>
              </w:rPr>
              <w:t>hätten</w:t>
            </w:r>
            <w:r w:rsidRPr="00BE3728">
              <w:rPr>
                <w:sz w:val="20"/>
                <w:szCs w:val="20"/>
              </w:rPr>
              <w:t>, die der Bundesregierung zustehe, weshalb sie daher den Bundesstaaten implizit untersagt sei.</w:t>
            </w:r>
            <w:r w:rsidRPr="00BE3728">
              <w:rPr>
                <w:rStyle w:val="Funotenzeichen"/>
                <w:sz w:val="20"/>
                <w:szCs w:val="20"/>
              </w:rPr>
              <w:footnoteReference w:id="365"/>
            </w:r>
            <w:r>
              <w:rPr>
                <w:sz w:val="20"/>
                <w:szCs w:val="20"/>
              </w:rPr>
              <w:t xml:space="preserve"> Eine </w:t>
            </w:r>
            <w:r w:rsidRPr="00BE3728">
              <w:rPr>
                <w:sz w:val="20"/>
                <w:szCs w:val="20"/>
              </w:rPr>
              <w:t>Befugnis der Bundesstaaten, den Handel zu regeln, stelle eine Anomalie dar. Die</w:t>
            </w:r>
            <w:r>
              <w:rPr>
                <w:sz w:val="20"/>
                <w:szCs w:val="20"/>
              </w:rPr>
              <w:t>se</w:t>
            </w:r>
            <w:r w:rsidRPr="00BE3728">
              <w:rPr>
                <w:sz w:val="20"/>
                <w:szCs w:val="20"/>
              </w:rPr>
              <w:t xml:space="preserve"> habe</w:t>
            </w:r>
            <w:r>
              <w:rPr>
                <w:sz w:val="20"/>
                <w:szCs w:val="20"/>
              </w:rPr>
              <w:t xml:space="preserve"> die</w:t>
            </w:r>
            <w:r w:rsidRPr="00BE3728">
              <w:rPr>
                <w:sz w:val="20"/>
                <w:szCs w:val="20"/>
              </w:rPr>
              <w:t xml:space="preserv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nicht vorgesehen. Sollte eine solche Befugnis bestehen, könnte sie nur unabhängig von der Bundesbehörde ausgeübt werden.</w:t>
            </w:r>
            <w:r w:rsidRPr="00BE3728">
              <w:rPr>
                <w:rStyle w:val="Funotenzeichen"/>
                <w:sz w:val="20"/>
                <w:szCs w:val="20"/>
              </w:rPr>
              <w:footnoteReference w:id="366"/>
            </w:r>
          </w:p>
          <w:p w14:paraId="4A64008A" w14:textId="77777777" w:rsidR="00074551" w:rsidRPr="00BE3728" w:rsidRDefault="00074551" w:rsidP="00367133">
            <w:pPr>
              <w:jc w:val="both"/>
              <w:rPr>
                <w:sz w:val="20"/>
                <w:szCs w:val="20"/>
              </w:rPr>
            </w:pPr>
          </w:p>
          <w:p w14:paraId="7975899E" w14:textId="77777777" w:rsidR="00074551" w:rsidRPr="00BE3728" w:rsidRDefault="00074551" w:rsidP="00367133">
            <w:pPr>
              <w:jc w:val="both"/>
              <w:rPr>
                <w:sz w:val="20"/>
                <w:szCs w:val="20"/>
              </w:rPr>
            </w:pPr>
            <w:r w:rsidRPr="00BE3728">
              <w:rPr>
                <w:sz w:val="20"/>
                <w:szCs w:val="20"/>
              </w:rPr>
              <w:t>Der Kläger trug vor und der Syllabus griff auf, das</w:t>
            </w:r>
            <w:r>
              <w:rPr>
                <w:sz w:val="20"/>
                <w:szCs w:val="20"/>
              </w:rPr>
              <w:t>s</w:t>
            </w:r>
            <w:r w:rsidRPr="00BE3728">
              <w:rPr>
                <w:sz w:val="20"/>
                <w:szCs w:val="20"/>
              </w:rPr>
              <w:t xml:space="preserve"> unabhängig davon, wie ungünstig die Rechtsprechung des </w:t>
            </w:r>
            <w:r>
              <w:rPr>
                <w:sz w:val="20"/>
                <w:szCs w:val="20"/>
              </w:rPr>
              <w:t>U.S. Supreme Court</w:t>
            </w:r>
            <w:r w:rsidRPr="00BE3728">
              <w:rPr>
                <w:sz w:val="20"/>
                <w:szCs w:val="20"/>
              </w:rPr>
              <w:t xml:space="preserve"> für den Bundesstaat New York sei, sich dieser ihr </w:t>
            </w:r>
            <w:r>
              <w:rPr>
                <w:sz w:val="20"/>
                <w:szCs w:val="20"/>
              </w:rPr>
              <w:t>zu unterwerfen habe</w:t>
            </w:r>
            <w:r w:rsidRPr="00BE3728">
              <w:rPr>
                <w:sz w:val="20"/>
                <w:szCs w:val="20"/>
              </w:rPr>
              <w:t xml:space="preserve">. Das sei der Fall, weil die Staatsform eine Republik ist. </w:t>
            </w:r>
            <w:r w:rsidRPr="00BE3728">
              <w:rPr>
                <w:sz w:val="20"/>
                <w:szCs w:val="20"/>
                <w:lang w:val="en-US"/>
              </w:rPr>
              <w:t xml:space="preserve">Und </w:t>
            </w:r>
            <w:proofErr w:type="spellStart"/>
            <w:r w:rsidRPr="00BE3728">
              <w:rPr>
                <w:sz w:val="20"/>
                <w:szCs w:val="20"/>
                <w:lang w:val="en-US"/>
              </w:rPr>
              <w:t>eine</w:t>
            </w:r>
            <w:r>
              <w:rPr>
                <w:sz w:val="20"/>
                <w:szCs w:val="20"/>
                <w:lang w:val="en-US"/>
              </w:rPr>
              <w:t>r</w:t>
            </w:r>
            <w:proofErr w:type="spellEnd"/>
            <w:r w:rsidRPr="00BE3728">
              <w:rPr>
                <w:sz w:val="20"/>
                <w:szCs w:val="20"/>
                <w:lang w:val="en-US"/>
              </w:rPr>
              <w:t xml:space="preserve"> Republik </w:t>
            </w:r>
            <w:proofErr w:type="spellStart"/>
            <w:r>
              <w:rPr>
                <w:sz w:val="20"/>
                <w:szCs w:val="20"/>
                <w:lang w:val="en-US"/>
              </w:rPr>
              <w:t>kämen</w:t>
            </w:r>
            <w:proofErr w:type="spellEnd"/>
            <w:r w:rsidRPr="00BE3728">
              <w:rPr>
                <w:sz w:val="20"/>
                <w:szCs w:val="20"/>
                <w:lang w:val="en-US"/>
              </w:rPr>
              <w:t xml:space="preserve"> </w:t>
            </w:r>
            <w:proofErr w:type="spellStart"/>
            <w:r w:rsidRPr="00BE3728">
              <w:rPr>
                <w:sz w:val="20"/>
                <w:szCs w:val="20"/>
                <w:lang w:val="en-US"/>
              </w:rPr>
              <w:t>mit</w:t>
            </w:r>
            <w:proofErr w:type="spellEnd"/>
            <w:r w:rsidRPr="00BE3728">
              <w:rPr>
                <w:sz w:val="20"/>
                <w:szCs w:val="20"/>
                <w:lang w:val="en-US"/>
              </w:rPr>
              <w:t xml:space="preserve"> der </w:t>
            </w:r>
            <w:r>
              <w:rPr>
                <w:sz w:val="20"/>
                <w:szCs w:val="20"/>
                <w:lang w:val="en-US"/>
              </w:rPr>
              <w:t>U.S.</w:t>
            </w:r>
            <w:r w:rsidRPr="00BE3728">
              <w:rPr>
                <w:sz w:val="20"/>
                <w:szCs w:val="20"/>
                <w:lang w:val="en-US"/>
              </w:rPr>
              <w:t xml:space="preserve"> Const. </w:t>
            </w:r>
            <w:proofErr w:type="spellStart"/>
            <w:r w:rsidRPr="00BE3728">
              <w:rPr>
                <w:sz w:val="20"/>
                <w:szCs w:val="20"/>
                <w:lang w:val="en-US"/>
              </w:rPr>
              <w:t>drei</w:t>
            </w:r>
            <w:proofErr w:type="spellEnd"/>
            <w:r w:rsidRPr="00BE3728">
              <w:rPr>
                <w:sz w:val="20"/>
                <w:szCs w:val="20"/>
                <w:lang w:val="en-US"/>
              </w:rPr>
              <w:t xml:space="preserve"> </w:t>
            </w:r>
            <w:proofErr w:type="spellStart"/>
            <w:r w:rsidRPr="00BE3728">
              <w:rPr>
                <w:sz w:val="20"/>
                <w:szCs w:val="20"/>
                <w:lang w:val="en-US"/>
              </w:rPr>
              <w:t>Zwecke</w:t>
            </w:r>
            <w:proofErr w:type="spellEnd"/>
            <w:r w:rsidRPr="00BE3728">
              <w:rPr>
                <w:sz w:val="20"/>
                <w:szCs w:val="20"/>
                <w:lang w:val="en-US"/>
              </w:rPr>
              <w:t xml:space="preserve">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Erhaltung</w:t>
            </w:r>
            <w:proofErr w:type="spellEnd"/>
            <w:r w:rsidRPr="00BE3728">
              <w:rPr>
                <w:sz w:val="20"/>
                <w:szCs w:val="20"/>
                <w:lang w:val="en-US"/>
              </w:rPr>
              <w:t xml:space="preserve"> des Friedens, des </w:t>
            </w:r>
            <w:proofErr w:type="spellStart"/>
            <w:r w:rsidRPr="00BE3728">
              <w:rPr>
                <w:sz w:val="20"/>
                <w:szCs w:val="20"/>
                <w:lang w:val="en-US"/>
              </w:rPr>
              <w:t>Wohlstands</w:t>
            </w:r>
            <w:proofErr w:type="spellEnd"/>
            <w:r w:rsidRPr="00BE3728">
              <w:rPr>
                <w:sz w:val="20"/>
                <w:szCs w:val="20"/>
                <w:lang w:val="en-US"/>
              </w:rPr>
              <w:t xml:space="preserve"> und des </w:t>
            </w:r>
            <w:proofErr w:type="spellStart"/>
            <w:r w:rsidRPr="00BE3728">
              <w:rPr>
                <w:sz w:val="20"/>
                <w:szCs w:val="20"/>
                <w:lang w:val="en-US"/>
              </w:rPr>
              <w:t>Glücks</w:t>
            </w:r>
            <w:proofErr w:type="spellEnd"/>
            <w:r w:rsidRPr="00BE3728">
              <w:rPr>
                <w:sz w:val="20"/>
                <w:szCs w:val="20"/>
                <w:lang w:val="en-US"/>
              </w:rPr>
              <w:t xml:space="preserve"> der Menschen („republic has a </w:t>
            </w:r>
            <w:proofErr w:type="gramStart"/>
            <w:r w:rsidRPr="00BE3728">
              <w:rPr>
                <w:sz w:val="20"/>
                <w:szCs w:val="20"/>
                <w:lang w:val="en-US"/>
              </w:rPr>
              <w:t>Constitution</w:t>
            </w:r>
            <w:proofErr w:type="gramEnd"/>
            <w:r w:rsidRPr="00BE3728">
              <w:rPr>
                <w:sz w:val="20"/>
                <w:szCs w:val="20"/>
                <w:lang w:val="en-US"/>
              </w:rPr>
              <w:t xml:space="preserve"> made and adopted for the purpose of preserving the peace, prosperity, and happiness of the </w:t>
            </w:r>
            <w:proofErr w:type="gramStart"/>
            <w:r w:rsidRPr="00BE3728">
              <w:rPr>
                <w:sz w:val="20"/>
                <w:szCs w:val="20"/>
                <w:lang w:val="en-US"/>
              </w:rPr>
              <w:t>people“</w:t>
            </w:r>
            <w:proofErr w:type="gramEnd"/>
            <w:r w:rsidRPr="00BE3728">
              <w:rPr>
                <w:rStyle w:val="Funotenzeichen"/>
                <w:sz w:val="20"/>
                <w:szCs w:val="20"/>
              </w:rPr>
              <w:footnoteReference w:id="367"/>
            </w:r>
            <w:r w:rsidRPr="00B45592">
              <w:rPr>
                <w:sz w:val="20"/>
                <w:szCs w:val="20"/>
                <w:lang w:val="en-IE"/>
              </w:rPr>
              <w:t xml:space="preserve">). </w:t>
            </w:r>
            <w:r w:rsidRPr="00BE3728">
              <w:rPr>
                <w:sz w:val="20"/>
                <w:szCs w:val="20"/>
              </w:rPr>
              <w:t xml:space="preserve">Die Union und </w:t>
            </w:r>
            <w:r>
              <w:rPr>
                <w:sz w:val="20"/>
                <w:szCs w:val="20"/>
              </w:rPr>
              <w:t xml:space="preserve">die </w:t>
            </w:r>
            <w:r w:rsidRPr="00BE3728">
              <w:rPr>
                <w:sz w:val="20"/>
                <w:szCs w:val="20"/>
              </w:rPr>
              <w:t xml:space="preserve">Verfassung </w:t>
            </w:r>
            <w:r>
              <w:rPr>
                <w:sz w:val="20"/>
                <w:szCs w:val="20"/>
              </w:rPr>
              <w:t>hingen</w:t>
            </w:r>
            <w:r w:rsidRPr="00BE3728">
              <w:rPr>
                <w:sz w:val="20"/>
                <w:szCs w:val="20"/>
              </w:rPr>
              <w:t xml:space="preserve"> davon ab, diese Ziele zu bewahren, weshalb als </w:t>
            </w:r>
            <w:r>
              <w:rPr>
                <w:sz w:val="20"/>
                <w:szCs w:val="20"/>
              </w:rPr>
              <w:t>F</w:t>
            </w:r>
            <w:r w:rsidRPr="00BE3728">
              <w:rPr>
                <w:sz w:val="20"/>
                <w:szCs w:val="20"/>
              </w:rPr>
              <w:t>olge die Rechtsprechung zu achten sei</w:t>
            </w:r>
            <w:r>
              <w:rPr>
                <w:sz w:val="20"/>
                <w:szCs w:val="20"/>
              </w:rPr>
              <w:t> </w:t>
            </w:r>
            <w:r w:rsidRPr="00BE3728">
              <w:rPr>
                <w:sz w:val="20"/>
                <w:szCs w:val="20"/>
              </w:rPr>
              <w:t xml:space="preserve">– so </w:t>
            </w:r>
            <w:r>
              <w:rPr>
                <w:sz w:val="20"/>
                <w:szCs w:val="20"/>
              </w:rPr>
              <w:t>würden</w:t>
            </w:r>
            <w:r w:rsidRPr="00BE3728">
              <w:rPr>
                <w:sz w:val="20"/>
                <w:szCs w:val="20"/>
              </w:rPr>
              <w:t xml:space="preserve"> das Glück, der Wohlstand und die Freiheit der Menschen in den Vereinigten Staaten bewahrt („Union </w:t>
            </w:r>
            <w:proofErr w:type="spellStart"/>
            <w:r w:rsidRPr="00BE3728">
              <w:rPr>
                <w:sz w:val="20"/>
                <w:szCs w:val="20"/>
              </w:rPr>
              <w:t>depend</w:t>
            </w:r>
            <w:proofErr w:type="spellEnd"/>
            <w:r w:rsidRPr="00BE3728">
              <w:rPr>
                <w:sz w:val="20"/>
                <w:szCs w:val="20"/>
              </w:rPr>
              <w:t xml:space="preserve">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and the </w:t>
            </w:r>
            <w:proofErr w:type="spellStart"/>
            <w:r w:rsidRPr="00BE3728">
              <w:rPr>
                <w:sz w:val="20"/>
                <w:szCs w:val="20"/>
              </w:rPr>
              <w:t>liberties</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 xml:space="preserve"> of </w:t>
            </w:r>
            <w:proofErr w:type="spellStart"/>
            <w:r w:rsidRPr="00BE3728">
              <w:rPr>
                <w:sz w:val="20"/>
                <w:szCs w:val="20"/>
              </w:rPr>
              <w:t>these</w:t>
            </w:r>
            <w:proofErr w:type="spellEnd"/>
            <w:r w:rsidRPr="00BE3728">
              <w:rPr>
                <w:sz w:val="20"/>
                <w:szCs w:val="20"/>
              </w:rPr>
              <w:t xml:space="preserve"> United States“</w:t>
            </w:r>
            <w:r w:rsidRPr="00BE3728">
              <w:rPr>
                <w:rStyle w:val="Funotenzeichen"/>
                <w:sz w:val="20"/>
                <w:szCs w:val="20"/>
                <w:lang w:val="en-US"/>
              </w:rPr>
              <w:footnoteReference w:id="368"/>
            </w:r>
            <w:r w:rsidRPr="00BE3728">
              <w:rPr>
                <w:sz w:val="20"/>
                <w:szCs w:val="20"/>
              </w:rPr>
              <w:t>). Durch diese Zielsetzungen seien sowohl Union als auch Verfassung auf Ewigkeit ausgerichtet.</w:t>
            </w:r>
            <w:r w:rsidRPr="00BE3728">
              <w:rPr>
                <w:rStyle w:val="Funotenzeichen"/>
                <w:sz w:val="20"/>
                <w:szCs w:val="20"/>
                <w:lang w:val="en-US"/>
              </w:rPr>
              <w:footnoteReference w:id="369"/>
            </w:r>
          </w:p>
          <w:p w14:paraId="2D2D6A49" w14:textId="77777777" w:rsidR="00074551" w:rsidRPr="00BE3728" w:rsidRDefault="00074551" w:rsidP="00367133">
            <w:pPr>
              <w:jc w:val="both"/>
              <w:rPr>
                <w:sz w:val="20"/>
                <w:szCs w:val="20"/>
              </w:rPr>
            </w:pPr>
          </w:p>
          <w:p w14:paraId="42533DF9" w14:textId="787FF81A" w:rsidR="00074551" w:rsidRPr="00E50B51" w:rsidRDefault="00074551" w:rsidP="00367133">
            <w:pPr>
              <w:jc w:val="both"/>
              <w:rPr>
                <w:sz w:val="20"/>
                <w:szCs w:val="20"/>
              </w:rPr>
            </w:pPr>
            <w:r w:rsidRPr="00BE3728">
              <w:rPr>
                <w:sz w:val="20"/>
                <w:szCs w:val="20"/>
              </w:rPr>
              <w:t xml:space="preserve">Der Dissens verteidigt die Unabhängigkeit der Bundesstaaten. </w:t>
            </w:r>
            <w:r w:rsidRPr="00134532">
              <w:rPr>
                <w:sz w:val="20"/>
                <w:szCs w:val="20"/>
              </w:rPr>
              <w:t xml:space="preserve">Nach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134532">
              <w:rPr>
                <w:sz w:val="20"/>
                <w:szCs w:val="20"/>
              </w:rPr>
              <w:t> </w:t>
            </w:r>
            <w:r>
              <w:rPr>
                <w:sz w:val="20"/>
                <w:szCs w:val="20"/>
              </w:rPr>
              <w:t>habe</w:t>
            </w:r>
            <w:r w:rsidRPr="00BE3728">
              <w:rPr>
                <w:sz w:val="20"/>
                <w:szCs w:val="20"/>
              </w:rPr>
              <w:t xml:space="preserve"> der Kongress die Befugnis</w:t>
            </w:r>
            <w:r>
              <w:rPr>
                <w:sz w:val="20"/>
                <w:szCs w:val="20"/>
              </w:rPr>
              <w:t>,</w:t>
            </w:r>
            <w:r w:rsidRPr="00BE3728">
              <w:rPr>
                <w:sz w:val="20"/>
                <w:szCs w:val="20"/>
              </w:rPr>
              <w:t xml:space="preserve"> Steuern, Zölle, Abgaben und Verbrauchssteuern zu erheben, welche auch einheitlich sein müss</w:t>
            </w:r>
            <w:r>
              <w:rPr>
                <w:sz w:val="20"/>
                <w:szCs w:val="20"/>
              </w:rPr>
              <w:t>t</w:t>
            </w:r>
            <w:r w:rsidRPr="00BE3728">
              <w:rPr>
                <w:sz w:val="20"/>
                <w:szCs w:val="20"/>
              </w:rPr>
              <w:t>en. Aber erst eine separate Klausel befuge den Kongress, den Handel zu regeln. Die Verfassung betrachte also diese beiden Befugnisse getrennt</w:t>
            </w:r>
            <w:r>
              <w:rPr>
                <w:sz w:val="20"/>
                <w:szCs w:val="20"/>
              </w:rPr>
              <w:t>,</w:t>
            </w:r>
            <w:r w:rsidRPr="00BE3728">
              <w:rPr>
                <w:sz w:val="20"/>
                <w:szCs w:val="20"/>
              </w:rPr>
              <w:t xml:space="preserve"> </w:t>
            </w:r>
            <w:r>
              <w:rPr>
                <w:sz w:val="20"/>
                <w:szCs w:val="20"/>
              </w:rPr>
              <w:t>d</w:t>
            </w:r>
            <w:r w:rsidRPr="00BE3728">
              <w:rPr>
                <w:sz w:val="20"/>
                <w:szCs w:val="20"/>
              </w:rPr>
              <w:t xml:space="preserve">aher zähle </w:t>
            </w:r>
            <w:r>
              <w:rPr>
                <w:sz w:val="20"/>
                <w:szCs w:val="20"/>
              </w:rPr>
              <w:t>sie sie</w:t>
            </w:r>
            <w:r w:rsidRPr="00BE3728">
              <w:rPr>
                <w:sz w:val="20"/>
                <w:szCs w:val="20"/>
              </w:rPr>
              <w:t xml:space="preserve"> auch getrennt auf. Dieses dogmatische Argument ergänzt der Dissens tatsächlich: Die Einnahmen für die Zwecke der lokalen Selbstverwaltung seien ebenso notwendig wie für die der Union. </w:t>
            </w:r>
            <w:r w:rsidRPr="00BE3728">
              <w:rPr>
                <w:sz w:val="20"/>
                <w:szCs w:val="20"/>
                <w:lang w:val="en-US"/>
              </w:rPr>
              <w:t xml:space="preserve">Denn die </w:t>
            </w:r>
            <w:proofErr w:type="spellStart"/>
            <w:r w:rsidRPr="00BE3728">
              <w:rPr>
                <w:sz w:val="20"/>
                <w:szCs w:val="20"/>
                <w:lang w:val="en-US"/>
              </w:rPr>
              <w:t>ersteren</w:t>
            </w:r>
            <w:proofErr w:type="spellEnd"/>
            <w:r w:rsidRPr="00BE3728">
              <w:rPr>
                <w:sz w:val="20"/>
                <w:szCs w:val="20"/>
                <w:lang w:val="en-US"/>
              </w:rPr>
              <w:t xml:space="preserve"> </w:t>
            </w:r>
            <w:proofErr w:type="spellStart"/>
            <w:r w:rsidRPr="00BE3728">
              <w:rPr>
                <w:sz w:val="20"/>
                <w:szCs w:val="20"/>
                <w:lang w:val="en-US"/>
              </w:rPr>
              <w:t>seien</w:t>
            </w:r>
            <w:proofErr w:type="spellEnd"/>
            <w:r w:rsidRPr="00BE3728">
              <w:rPr>
                <w:sz w:val="20"/>
                <w:szCs w:val="20"/>
                <w:lang w:val="en-US"/>
              </w:rPr>
              <w:t xml:space="preserve"> für das Glück des Volkes </w:t>
            </w:r>
            <w:proofErr w:type="spellStart"/>
            <w:r w:rsidRPr="00BE3728">
              <w:rPr>
                <w:sz w:val="20"/>
                <w:szCs w:val="20"/>
                <w:lang w:val="en-US"/>
              </w:rPr>
              <w:t>mindestens</w:t>
            </w:r>
            <w:proofErr w:type="spellEnd"/>
            <w:r w:rsidRPr="00BE3728">
              <w:rPr>
                <w:sz w:val="20"/>
                <w:szCs w:val="20"/>
                <w:lang w:val="en-US"/>
              </w:rPr>
              <w:t xml:space="preserve"> </w:t>
            </w:r>
            <w:proofErr w:type="spellStart"/>
            <w:r w:rsidRPr="00BE3728">
              <w:rPr>
                <w:sz w:val="20"/>
                <w:szCs w:val="20"/>
                <w:lang w:val="en-US"/>
              </w:rPr>
              <w:t>ebenso</w:t>
            </w:r>
            <w:proofErr w:type="spellEnd"/>
            <w:r w:rsidRPr="00BE3728">
              <w:rPr>
                <w:sz w:val="20"/>
                <w:szCs w:val="20"/>
                <w:lang w:val="en-US"/>
              </w:rPr>
              <w:t xml:space="preserve"> </w:t>
            </w:r>
            <w:proofErr w:type="spellStart"/>
            <w:r w:rsidRPr="00BE3728">
              <w:rPr>
                <w:sz w:val="20"/>
                <w:szCs w:val="20"/>
                <w:lang w:val="en-US"/>
              </w:rPr>
              <w:t>verantwortlich</w:t>
            </w:r>
            <w:proofErr w:type="spellEnd"/>
            <w:r w:rsidRPr="00BE3728">
              <w:rPr>
                <w:sz w:val="20"/>
                <w:szCs w:val="20"/>
                <w:lang w:val="en-US"/>
              </w:rPr>
              <w:t xml:space="preserve"> </w:t>
            </w:r>
            <w:proofErr w:type="spellStart"/>
            <w:r w:rsidRPr="00BE3728">
              <w:rPr>
                <w:sz w:val="20"/>
                <w:szCs w:val="20"/>
                <w:lang w:val="en-US"/>
              </w:rPr>
              <w:t>wie</w:t>
            </w:r>
            <w:proofErr w:type="spellEnd"/>
            <w:r w:rsidRPr="00BE3728">
              <w:rPr>
                <w:sz w:val="20"/>
                <w:szCs w:val="20"/>
                <w:lang w:val="en-US"/>
              </w:rPr>
              <w:t xml:space="preserve"> die Union („They insisted that revenue was as requisite to the purposes of the local administrations as to those of the Union, and that the former were at least of equal importance with the latter to the happiness of the </w:t>
            </w:r>
            <w:proofErr w:type="gramStart"/>
            <w:r w:rsidRPr="00BE3728">
              <w:rPr>
                <w:sz w:val="20"/>
                <w:szCs w:val="20"/>
                <w:lang w:val="en-US"/>
              </w:rPr>
              <w:t>people“</w:t>
            </w:r>
            <w:proofErr w:type="gramEnd"/>
            <w:r w:rsidRPr="00BE3728">
              <w:rPr>
                <w:rStyle w:val="Funotenzeichen"/>
                <w:sz w:val="20"/>
                <w:szCs w:val="20"/>
              </w:rPr>
              <w:footnoteReference w:id="370"/>
            </w:r>
            <w:r w:rsidRPr="00BE3728">
              <w:rPr>
                <w:sz w:val="20"/>
                <w:szCs w:val="20"/>
                <w:lang w:val="en-US"/>
              </w:rPr>
              <w:t xml:space="preserve">). </w:t>
            </w:r>
            <w:r w:rsidRPr="00BE3728">
              <w:rPr>
                <w:sz w:val="20"/>
                <w:szCs w:val="20"/>
              </w:rPr>
              <w:t>Die Folge: Es sei daher ebenso notwendig, dass die Regierungen der Bundesstaaten über die Mittel zur Deckung ihrer Bedürfnisse verfügen könn</w:t>
            </w:r>
            <w:r>
              <w:rPr>
                <w:sz w:val="20"/>
                <w:szCs w:val="20"/>
              </w:rPr>
              <w:t>t</w:t>
            </w:r>
            <w:r w:rsidRPr="00BE3728">
              <w:rPr>
                <w:sz w:val="20"/>
                <w:szCs w:val="20"/>
              </w:rPr>
              <w:t>e</w:t>
            </w:r>
            <w:r>
              <w:rPr>
                <w:sz w:val="20"/>
                <w:szCs w:val="20"/>
              </w:rPr>
              <w:t>n</w:t>
            </w:r>
            <w:r w:rsidRPr="00BE3728">
              <w:rPr>
                <w:sz w:val="20"/>
                <w:szCs w:val="20"/>
              </w:rPr>
              <w:t xml:space="preserve"> wie die nationale Regierung.</w:t>
            </w:r>
            <w:r w:rsidRPr="00BE3728">
              <w:rPr>
                <w:rStyle w:val="Funotenzeichen"/>
                <w:sz w:val="20"/>
                <w:szCs w:val="20"/>
              </w:rPr>
              <w:footnoteReference w:id="371"/>
            </w:r>
          </w:p>
        </w:tc>
      </w:tr>
      <w:tr w:rsidR="00074551" w:rsidRPr="00E50B51" w14:paraId="20F3FD75" w14:textId="77777777" w:rsidTr="00752D01">
        <w:trPr>
          <w:cantSplit/>
          <w:trHeight w:val="3175"/>
        </w:trPr>
        <w:tc>
          <w:tcPr>
            <w:tcW w:w="293" w:type="pct"/>
            <w:shd w:val="clear" w:color="auto" w:fill="E7E6E6" w:themeFill="background2"/>
          </w:tcPr>
          <w:p w14:paraId="78700219"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7C0D7276"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2AED22F6"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66630836" w14:textId="77777777" w:rsidR="00074551" w:rsidRPr="00E50B51" w:rsidRDefault="00074551" w:rsidP="00367133">
            <w:pPr>
              <w:ind w:left="113" w:right="113"/>
              <w:jc w:val="both"/>
              <w:rPr>
                <w:sz w:val="20"/>
                <w:szCs w:val="20"/>
                <w:lang w:val="en-US"/>
              </w:rPr>
            </w:pPr>
            <w:r w:rsidRPr="00E50B51">
              <w:rPr>
                <w:sz w:val="20"/>
                <w:szCs w:val="20"/>
                <w:lang w:val="en-US"/>
              </w:rPr>
              <w:t>Congressional Duties &amp; Powers</w:t>
            </w:r>
          </w:p>
        </w:tc>
        <w:tc>
          <w:tcPr>
            <w:tcW w:w="306" w:type="pct"/>
            <w:shd w:val="clear" w:color="auto" w:fill="E7E6E6" w:themeFill="background2"/>
            <w:textDirection w:val="tbRl"/>
            <w:vAlign w:val="center"/>
          </w:tcPr>
          <w:p w14:paraId="003EFF73" w14:textId="77777777" w:rsidR="00074551" w:rsidRPr="00E50B51" w:rsidRDefault="00074551" w:rsidP="00367133">
            <w:pPr>
              <w:ind w:left="113" w:right="113"/>
              <w:jc w:val="both"/>
              <w:rPr>
                <w:sz w:val="20"/>
                <w:szCs w:val="20"/>
                <w:lang w:val="en-US"/>
              </w:rPr>
            </w:pPr>
            <w:r w:rsidRPr="00E50B51">
              <w:rPr>
                <w:sz w:val="20"/>
                <w:szCs w:val="20"/>
                <w:lang w:val="en-US"/>
              </w:rPr>
              <w:t>Scope</w:t>
            </w:r>
          </w:p>
        </w:tc>
        <w:tc>
          <w:tcPr>
            <w:tcW w:w="401" w:type="pct"/>
            <w:shd w:val="clear" w:color="auto" w:fill="E7E6E6" w:themeFill="background2"/>
          </w:tcPr>
          <w:p w14:paraId="0BDA8D9C"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5A77614E" w14:textId="77777777" w:rsidR="00074551" w:rsidRPr="00E50B51" w:rsidRDefault="00074551" w:rsidP="00367133">
            <w:pPr>
              <w:jc w:val="both"/>
              <w:rPr>
                <w:sz w:val="20"/>
                <w:szCs w:val="20"/>
                <w:lang w:val="en-US"/>
              </w:rPr>
            </w:pPr>
          </w:p>
        </w:tc>
        <w:tc>
          <w:tcPr>
            <w:tcW w:w="1822" w:type="pct"/>
            <w:shd w:val="clear" w:color="auto" w:fill="E7E6E6" w:themeFill="background2"/>
          </w:tcPr>
          <w:p w14:paraId="30DCC811" w14:textId="6E138336"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3D7D6F54" w14:textId="77777777" w:rsidTr="00BE689F">
        <w:trPr>
          <w:cantSplit/>
          <w:trHeight w:val="3175"/>
        </w:trPr>
        <w:tc>
          <w:tcPr>
            <w:tcW w:w="293" w:type="pct"/>
          </w:tcPr>
          <w:p w14:paraId="4B4F3DB5"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9FF182E" w14:textId="77777777" w:rsidR="00074551" w:rsidRPr="00B45592" w:rsidRDefault="00074551" w:rsidP="00367133">
            <w:pPr>
              <w:ind w:left="113" w:right="113"/>
              <w:jc w:val="both"/>
              <w:rPr>
                <w:i/>
                <w:sz w:val="20"/>
                <w:szCs w:val="20"/>
                <w:lang w:val="en-US"/>
              </w:rPr>
            </w:pPr>
            <w:r w:rsidRPr="007360B0">
              <w:rPr>
                <w:i/>
                <w:sz w:val="20"/>
                <w:szCs w:val="20"/>
                <w:lang w:val="en-US"/>
              </w:rPr>
              <w:t>Budd v. New York</w:t>
            </w:r>
          </w:p>
        </w:tc>
        <w:tc>
          <w:tcPr>
            <w:tcW w:w="197" w:type="pct"/>
            <w:textDirection w:val="tbRl"/>
            <w:vAlign w:val="center"/>
          </w:tcPr>
          <w:p w14:paraId="0A4F64DF" w14:textId="77777777" w:rsidR="00074551" w:rsidRPr="00E50B51" w:rsidRDefault="00074551" w:rsidP="00367133">
            <w:pPr>
              <w:ind w:left="113" w:right="113"/>
              <w:jc w:val="both"/>
              <w:rPr>
                <w:sz w:val="20"/>
                <w:szCs w:val="20"/>
                <w:lang w:val="en-US"/>
              </w:rPr>
            </w:pPr>
            <w:r w:rsidRPr="00E50B51">
              <w:rPr>
                <w:sz w:val="20"/>
                <w:szCs w:val="20"/>
                <w:lang w:val="en-US"/>
              </w:rPr>
              <w:t>143 U.S. 517</w:t>
            </w:r>
          </w:p>
        </w:tc>
        <w:tc>
          <w:tcPr>
            <w:tcW w:w="306" w:type="pct"/>
            <w:textDirection w:val="tbRl"/>
            <w:vAlign w:val="center"/>
          </w:tcPr>
          <w:p w14:paraId="22DD6F6B" w14:textId="77777777" w:rsidR="00074551" w:rsidRPr="00E50B51" w:rsidRDefault="00074551" w:rsidP="00367133">
            <w:pPr>
              <w:ind w:left="113" w:right="113"/>
              <w:jc w:val="both"/>
              <w:rPr>
                <w:sz w:val="20"/>
                <w:szCs w:val="20"/>
                <w:lang w:val="en-US"/>
              </w:rPr>
            </w:pPr>
            <w:r w:rsidRPr="00E50B51">
              <w:rPr>
                <w:sz w:val="20"/>
                <w:szCs w:val="20"/>
              </w:rPr>
              <w:t>29. Februar 1892</w:t>
            </w:r>
          </w:p>
        </w:tc>
        <w:tc>
          <w:tcPr>
            <w:tcW w:w="401" w:type="pct"/>
          </w:tcPr>
          <w:p w14:paraId="24081C63" w14:textId="77777777" w:rsidR="00074551" w:rsidRPr="00E50B51" w:rsidRDefault="00074551" w:rsidP="00367133">
            <w:pPr>
              <w:jc w:val="center"/>
              <w:rPr>
                <w:sz w:val="20"/>
                <w:szCs w:val="20"/>
              </w:rPr>
            </w:pPr>
            <w:r w:rsidRPr="00E50B51">
              <w:rPr>
                <w:sz w:val="20"/>
                <w:szCs w:val="20"/>
                <w:lang w:val="en-US"/>
              </w:rPr>
              <w:t>S/D</w:t>
            </w:r>
          </w:p>
        </w:tc>
        <w:tc>
          <w:tcPr>
            <w:tcW w:w="1594" w:type="pct"/>
          </w:tcPr>
          <w:p w14:paraId="6635C480" w14:textId="2F1F99DD" w:rsidR="00074551" w:rsidRPr="00E50B51" w:rsidRDefault="00074551" w:rsidP="00367133">
            <w:pPr>
              <w:jc w:val="both"/>
              <w:rPr>
                <w:sz w:val="20"/>
                <w:szCs w:val="20"/>
              </w:rPr>
            </w:pPr>
            <w:r w:rsidRPr="00E50B51">
              <w:rPr>
                <w:sz w:val="20"/>
                <w:szCs w:val="20"/>
              </w:rPr>
              <w:t>Im Fall stellt</w:t>
            </w:r>
            <w:r>
              <w:rPr>
                <w:sz w:val="20"/>
                <w:szCs w:val="20"/>
              </w:rPr>
              <w:t>e</w:t>
            </w:r>
            <w:r w:rsidRPr="00E50B51">
              <w:rPr>
                <w:sz w:val="20"/>
                <w:szCs w:val="20"/>
              </w:rPr>
              <w:t xml:space="preserve"> der </w:t>
            </w:r>
            <w:r>
              <w:rPr>
                <w:sz w:val="20"/>
                <w:szCs w:val="20"/>
              </w:rPr>
              <w:t>U.S. Supreme Court</w:t>
            </w:r>
            <w:r w:rsidRPr="00E50B51">
              <w:rPr>
                <w:sz w:val="20"/>
                <w:szCs w:val="20"/>
              </w:rPr>
              <w:t xml:space="preserve"> die Verfassungsmäßigkeit eines Gesetzes fest</w:t>
            </w:r>
            <w:r>
              <w:rPr>
                <w:sz w:val="20"/>
                <w:szCs w:val="20"/>
              </w:rPr>
              <w:t xml:space="preserve">, nämlich des </w:t>
            </w:r>
            <w:r w:rsidRPr="00B45592">
              <w:rPr>
                <w:i/>
                <w:sz w:val="20"/>
                <w:szCs w:val="20"/>
              </w:rPr>
              <w:t>Elevator Act</w:t>
            </w:r>
            <w:r w:rsidRPr="00E50B51">
              <w:rPr>
                <w:sz w:val="20"/>
                <w:szCs w:val="20"/>
              </w:rPr>
              <w:t xml:space="preserve">, 1888 N.Y. Laws </w:t>
            </w:r>
            <w:r w:rsidRPr="00B45592">
              <w:rPr>
                <w:sz w:val="20"/>
                <w:szCs w:val="20"/>
              </w:rPr>
              <w:t>581.</w:t>
            </w:r>
            <w:r>
              <w:rPr>
                <w:sz w:val="20"/>
                <w:szCs w:val="20"/>
              </w:rPr>
              <w:t xml:space="preserve"> Dieses</w:t>
            </w:r>
            <w:r w:rsidRPr="00E50B51">
              <w:rPr>
                <w:sz w:val="20"/>
                <w:szCs w:val="20"/>
              </w:rPr>
              <w:t xml:space="preserve"> </w:t>
            </w:r>
            <w:r>
              <w:rPr>
                <w:sz w:val="20"/>
                <w:szCs w:val="20"/>
              </w:rPr>
              <w:t xml:space="preserve">legte die </w:t>
            </w:r>
            <w:r w:rsidRPr="00E50B51">
              <w:rPr>
                <w:sz w:val="20"/>
                <w:szCs w:val="20"/>
              </w:rPr>
              <w:t xml:space="preserve">Höchstgebühren für den Verkauf von Getreide fest. Der </w:t>
            </w:r>
            <w:r>
              <w:rPr>
                <w:sz w:val="20"/>
                <w:szCs w:val="20"/>
              </w:rPr>
              <w:t>U.S. Supreme Court</w:t>
            </w:r>
            <w:r w:rsidRPr="00E50B51">
              <w:rPr>
                <w:sz w:val="20"/>
                <w:szCs w:val="20"/>
              </w:rPr>
              <w:t xml:space="preserve"> bestätigt</w:t>
            </w:r>
            <w:r>
              <w:rPr>
                <w:sz w:val="20"/>
                <w:szCs w:val="20"/>
              </w:rPr>
              <w:t>e</w:t>
            </w:r>
            <w:r w:rsidRPr="00E50B51">
              <w:rPr>
                <w:sz w:val="20"/>
                <w:szCs w:val="20"/>
              </w:rPr>
              <w:t xml:space="preserve"> die Verurteilungen wegen Verstoßes gegen den </w:t>
            </w:r>
            <w:r w:rsidRPr="00B45592">
              <w:rPr>
                <w:i/>
                <w:sz w:val="20"/>
                <w:szCs w:val="20"/>
              </w:rPr>
              <w:t>Elevator Act</w:t>
            </w:r>
            <w:r w:rsidRPr="00E50B51">
              <w:rPr>
                <w:sz w:val="20"/>
                <w:szCs w:val="20"/>
              </w:rPr>
              <w:t xml:space="preserve">. Die Angeklagten vertrieben Getreide. Sie argumentierten, der </w:t>
            </w:r>
            <w:r w:rsidRPr="00B45592">
              <w:rPr>
                <w:i/>
                <w:sz w:val="20"/>
                <w:szCs w:val="20"/>
              </w:rPr>
              <w:t>Elevator Act</w:t>
            </w:r>
            <w:r w:rsidRPr="00E50B51">
              <w:rPr>
                <w:sz w:val="20"/>
                <w:szCs w:val="20"/>
              </w:rPr>
              <w:t xml:space="preserve"> verletze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da er Eigentum ohne</w:t>
            </w:r>
            <w:r>
              <w:rPr>
                <w:sz w:val="20"/>
                <w:szCs w:val="20"/>
              </w:rPr>
              <w:t xml:space="preserve"> ein rechtsstaatliches Verfahren</w:t>
            </w:r>
            <w:r w:rsidRPr="00E50B51">
              <w:rPr>
                <w:sz w:val="20"/>
                <w:szCs w:val="20"/>
              </w:rPr>
              <w:t xml:space="preserve"> entziehe. Das Berufungsgericht urteilte, der Elevator Act verstoße nicht gegen den Verfassungsschutz des privaten Eigentums. Er sei eine legitime Ausübung der Polizeigewalt über einen Geschäftszweig von öffentlichem Interesse. Der </w:t>
            </w:r>
            <w:r>
              <w:rPr>
                <w:sz w:val="20"/>
                <w:szCs w:val="20"/>
              </w:rPr>
              <w:t>U.S. Supreme Court</w:t>
            </w:r>
            <w:r w:rsidRPr="00E50B51">
              <w:rPr>
                <w:sz w:val="20"/>
                <w:szCs w:val="20"/>
              </w:rPr>
              <w:t xml:space="preserve"> bestätigte dies, da auch die durch den Act festgelegten Gebühren nicht unangemessen seien. Es liege daher kein Eigentumsentzug ohne rechtliches Verfahren vor, noch sei die Gleichheit vor dem Gesetz verweigert.</w:t>
            </w:r>
          </w:p>
          <w:p w14:paraId="37C047BB" w14:textId="77777777" w:rsidR="00074551" w:rsidRPr="00E50B51" w:rsidRDefault="00074551" w:rsidP="00367133">
            <w:pPr>
              <w:jc w:val="both"/>
              <w:rPr>
                <w:sz w:val="20"/>
                <w:szCs w:val="20"/>
              </w:rPr>
            </w:pPr>
          </w:p>
        </w:tc>
        <w:tc>
          <w:tcPr>
            <w:tcW w:w="1822" w:type="pct"/>
          </w:tcPr>
          <w:p w14:paraId="668C939E" w14:textId="0D2FCF41" w:rsidR="00074551" w:rsidRDefault="00074551" w:rsidP="00367133">
            <w:pPr>
              <w:jc w:val="both"/>
              <w:rPr>
                <w:sz w:val="20"/>
                <w:szCs w:val="20"/>
              </w:rPr>
            </w:pPr>
            <w:r w:rsidRPr="00E50B51">
              <w:rPr>
                <w:sz w:val="20"/>
                <w:szCs w:val="20"/>
              </w:rPr>
              <w:t xml:space="preserve">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E50B51">
              <w:rPr>
                <w:sz w:val="20"/>
                <w:szCs w:val="20"/>
              </w:rPr>
              <w:t xml:space="preserve"> erklärt, der </w:t>
            </w:r>
            <w:r w:rsidR="00023A37">
              <w:rPr>
                <w:sz w:val="20"/>
                <w:szCs w:val="20"/>
              </w:rPr>
              <w:t xml:space="preserve">U.S. </w:t>
            </w:r>
            <w:proofErr w:type="spellStart"/>
            <w:r w:rsidR="00023A37">
              <w:rPr>
                <w:sz w:val="20"/>
                <w:szCs w:val="20"/>
              </w:rPr>
              <w:t>Const</w:t>
            </w:r>
            <w:proofErr w:type="spellEnd"/>
            <w:r w:rsidR="00023A37">
              <w:rPr>
                <w:sz w:val="20"/>
                <w:szCs w:val="20"/>
              </w:rPr>
              <w:t>. art. I, § 9</w:t>
            </w:r>
            <w:r w:rsidRPr="00E50B51">
              <w:rPr>
                <w:sz w:val="20"/>
                <w:szCs w:val="20"/>
              </w:rPr>
              <w:t xml:space="preserve"> schränk</w:t>
            </w:r>
            <w:r>
              <w:rPr>
                <w:sz w:val="20"/>
                <w:szCs w:val="20"/>
              </w:rPr>
              <w:t>e</w:t>
            </w:r>
            <w:r w:rsidRPr="00E50B51">
              <w:rPr>
                <w:sz w:val="20"/>
                <w:szCs w:val="20"/>
              </w:rPr>
              <w:t xml:space="preserve"> vom Wortlaut her nur </w:t>
            </w:r>
            <w:r>
              <w:rPr>
                <w:sz w:val="20"/>
                <w:szCs w:val="20"/>
              </w:rPr>
              <w:t>die</w:t>
            </w:r>
            <w:r w:rsidRPr="00E50B51">
              <w:rPr>
                <w:sz w:val="20"/>
                <w:szCs w:val="20"/>
              </w:rPr>
              <w:t xml:space="preserve"> Befugnisse des Kongresses ein. Er betreffe nicht die Bundesstaaten. Daher verstoße das Gesetz von Illinois (</w:t>
            </w:r>
            <w:r w:rsidRPr="00B45592">
              <w:rPr>
                <w:i/>
                <w:sz w:val="20"/>
                <w:szCs w:val="20"/>
              </w:rPr>
              <w:t>Elevator Act</w:t>
            </w:r>
            <w:r w:rsidRPr="00E50B51">
              <w:rPr>
                <w:sz w:val="20"/>
                <w:szCs w:val="20"/>
              </w:rPr>
              <w:t xml:space="preserve">, 1888 N.Y. Laws 581) als bundesstaatliches Gesetz nicht gegen </w:t>
            </w:r>
            <w:r w:rsidR="00023A37">
              <w:rPr>
                <w:sz w:val="20"/>
                <w:szCs w:val="20"/>
              </w:rPr>
              <w:t xml:space="preserve">U.S. </w:t>
            </w:r>
            <w:proofErr w:type="spellStart"/>
            <w:r w:rsidR="00023A37">
              <w:rPr>
                <w:sz w:val="20"/>
                <w:szCs w:val="20"/>
              </w:rPr>
              <w:t>Const</w:t>
            </w:r>
            <w:proofErr w:type="spellEnd"/>
            <w:r w:rsidR="00023A37">
              <w:rPr>
                <w:sz w:val="20"/>
                <w:szCs w:val="20"/>
              </w:rPr>
              <w:t>. art. I, § 9</w:t>
            </w:r>
            <w:r w:rsidRPr="00E50B51">
              <w:rPr>
                <w:sz w:val="20"/>
                <w:szCs w:val="20"/>
              </w:rPr>
              <w:t xml:space="preserve"> oder andere, noch allgemeinere Verfassungsbestimmungen.</w:t>
            </w:r>
          </w:p>
          <w:p w14:paraId="3A080790" w14:textId="77777777" w:rsidR="00074551" w:rsidRDefault="00074551" w:rsidP="00367133">
            <w:pPr>
              <w:jc w:val="both"/>
              <w:rPr>
                <w:sz w:val="20"/>
                <w:szCs w:val="20"/>
              </w:rPr>
            </w:pPr>
          </w:p>
          <w:p w14:paraId="6117001E" w14:textId="77777777" w:rsidR="00074551" w:rsidRPr="00E50B51" w:rsidRDefault="00074551" w:rsidP="00367133">
            <w:pPr>
              <w:jc w:val="both"/>
              <w:rPr>
                <w:sz w:val="20"/>
                <w:szCs w:val="20"/>
              </w:rPr>
            </w:pPr>
            <w:r>
              <w:rPr>
                <w:sz w:val="20"/>
                <w:szCs w:val="20"/>
              </w:rPr>
              <w:t xml:space="preserve">Laut </w:t>
            </w:r>
            <w:r w:rsidRPr="00E50B51">
              <w:rPr>
                <w:sz w:val="20"/>
                <w:szCs w:val="20"/>
              </w:rPr>
              <w:t>Dissens gebe es</w:t>
            </w:r>
            <w:r>
              <w:rPr>
                <w:sz w:val="20"/>
                <w:szCs w:val="20"/>
              </w:rPr>
              <w:t xml:space="preserve"> aber</w:t>
            </w:r>
            <w:r w:rsidRPr="00E50B51">
              <w:rPr>
                <w:sz w:val="20"/>
                <w:szCs w:val="20"/>
              </w:rPr>
              <w:t xml:space="preserve"> Dogmen</w:t>
            </w:r>
            <w:r>
              <w:rPr>
                <w:sz w:val="20"/>
                <w:szCs w:val="20"/>
              </w:rPr>
              <w:t xml:space="preserve">, die immer wirksam seien. </w:t>
            </w:r>
            <w:r w:rsidRPr="00E50B51">
              <w:rPr>
                <w:sz w:val="20"/>
                <w:szCs w:val="20"/>
              </w:rPr>
              <w:t xml:space="preserve">Nach denen habe sich staatliches Handeln – ob vom Kongress oder vom Bundesstaat – zurückzuhalten, insbesondere </w:t>
            </w:r>
            <w:r>
              <w:rPr>
                <w:sz w:val="20"/>
                <w:szCs w:val="20"/>
              </w:rPr>
              <w:t xml:space="preserve">im </w:t>
            </w:r>
            <w:r w:rsidRPr="00E50B51">
              <w:rPr>
                <w:sz w:val="20"/>
                <w:szCs w:val="20"/>
              </w:rPr>
              <w:t>Anwendungsbereich grundsätzlicher Freiheiten</w:t>
            </w:r>
            <w:r>
              <w:rPr>
                <w:sz w:val="20"/>
                <w:szCs w:val="20"/>
              </w:rPr>
              <w:t xml:space="preserve"> </w:t>
            </w:r>
            <w:r w:rsidRPr="00E50B51">
              <w:rPr>
                <w:sz w:val="20"/>
                <w:szCs w:val="20"/>
              </w:rPr>
              <w:t>wie</w:t>
            </w:r>
            <w:r>
              <w:rPr>
                <w:sz w:val="20"/>
                <w:szCs w:val="20"/>
              </w:rPr>
              <w:t xml:space="preserve"> </w:t>
            </w:r>
            <w:r w:rsidRPr="00E50B51">
              <w:rPr>
                <w:sz w:val="20"/>
                <w:szCs w:val="20"/>
              </w:rPr>
              <w:t>der Berufsfreiheit.</w:t>
            </w:r>
            <w:r w:rsidRPr="00E50B51">
              <w:rPr>
                <w:rStyle w:val="Funotenzeichen"/>
                <w:rFonts w:eastAsiaTheme="majorEastAsia"/>
                <w:sz w:val="20"/>
                <w:szCs w:val="20"/>
              </w:rPr>
              <w:footnoteReference w:id="372"/>
            </w:r>
            <w:r w:rsidRPr="00E50B51">
              <w:rPr>
                <w:sz w:val="20"/>
                <w:szCs w:val="20"/>
              </w:rPr>
              <w:t xml:space="preserve"> Diese Dogm</w:t>
            </w:r>
            <w:r>
              <w:rPr>
                <w:sz w:val="20"/>
                <w:szCs w:val="20"/>
              </w:rPr>
              <w:t xml:space="preserve">en </w:t>
            </w:r>
            <w:r w:rsidRPr="00E50B51">
              <w:rPr>
                <w:sz w:val="20"/>
                <w:szCs w:val="20"/>
              </w:rPr>
              <w:t>wirkt</w:t>
            </w:r>
            <w:r>
              <w:rPr>
                <w:sz w:val="20"/>
                <w:szCs w:val="20"/>
              </w:rPr>
              <w:t>en</w:t>
            </w:r>
            <w:r w:rsidRPr="00E50B51">
              <w:rPr>
                <w:sz w:val="20"/>
                <w:szCs w:val="20"/>
              </w:rPr>
              <w:t xml:space="preserve"> sich im Fall wie folgt aus: Zwar liege die Versorgung mit Nahrungsmitteln im öffentlichen Interesse. Doch wie weit </w:t>
            </w:r>
            <w:r>
              <w:rPr>
                <w:sz w:val="20"/>
                <w:szCs w:val="20"/>
              </w:rPr>
              <w:t xml:space="preserve">reiche </w:t>
            </w:r>
            <w:r w:rsidRPr="00E50B51">
              <w:rPr>
                <w:sz w:val="20"/>
                <w:szCs w:val="20"/>
              </w:rPr>
              <w:t>das öffentliche Interesse</w:t>
            </w:r>
            <w:r>
              <w:rPr>
                <w:sz w:val="20"/>
                <w:szCs w:val="20"/>
              </w:rPr>
              <w:t xml:space="preserve"> – reiche </w:t>
            </w:r>
            <w:r w:rsidRPr="00E50B51">
              <w:rPr>
                <w:sz w:val="20"/>
                <w:szCs w:val="20"/>
              </w:rPr>
              <w:t xml:space="preserve">es z.B. auch so weit, dass der Staat Preise festlegen </w:t>
            </w:r>
            <w:r>
              <w:rPr>
                <w:sz w:val="20"/>
                <w:szCs w:val="20"/>
              </w:rPr>
              <w:t>könne</w:t>
            </w:r>
            <w:r w:rsidRPr="00E50B51">
              <w:rPr>
                <w:sz w:val="20"/>
                <w:szCs w:val="20"/>
              </w:rPr>
              <w:t>, zu welchen ein Metzger sein Fleisch verkaufe</w:t>
            </w:r>
            <w:r>
              <w:rPr>
                <w:sz w:val="20"/>
                <w:szCs w:val="20"/>
              </w:rPr>
              <w:t>n müsse</w:t>
            </w:r>
            <w:r w:rsidRPr="00E50B51">
              <w:rPr>
                <w:sz w:val="20"/>
                <w:szCs w:val="20"/>
              </w:rPr>
              <w:t xml:space="preserve">? Die Antwort lautet </w:t>
            </w:r>
            <w:r>
              <w:rPr>
                <w:sz w:val="20"/>
                <w:szCs w:val="20"/>
              </w:rPr>
              <w:t>nach dem Dissens</w:t>
            </w:r>
            <w:r w:rsidRPr="00E50B51">
              <w:rPr>
                <w:sz w:val="20"/>
                <w:szCs w:val="20"/>
              </w:rPr>
              <w:t>: Menschen sind mit unveräußerlichen Rechten ausgestattet. Dazu gehör</w:t>
            </w:r>
            <w:r>
              <w:rPr>
                <w:sz w:val="20"/>
                <w:szCs w:val="20"/>
              </w:rPr>
              <w:t>t</w:t>
            </w:r>
            <w:r w:rsidRPr="00E50B51">
              <w:rPr>
                <w:sz w:val="20"/>
                <w:szCs w:val="20"/>
              </w:rPr>
              <w:t xml:space="preserve"> das Streben nach Glück. Um diese Rechte zu sichern, nicht aber um sie gewährt zu bekommen, wählen Bürger Regierungen. Aus diesem Sicherungsauftrag u.a. für die Bedingungen für Glücksstreben folg</w:t>
            </w:r>
            <w:r>
              <w:rPr>
                <w:sz w:val="20"/>
                <w:szCs w:val="20"/>
              </w:rPr>
              <w:t>e</w:t>
            </w:r>
            <w:r w:rsidRPr="00E50B51">
              <w:rPr>
                <w:sz w:val="20"/>
                <w:szCs w:val="20"/>
              </w:rPr>
              <w:t>: Wenn jemand durch den Beruf Eigentum erwirbt, z.B. bei der Herstellung von Nahrungsmitteln, dann stehe das Eigentum zuvorderst unter seiner Kontrolle, aber nicht im Regelungs</w:t>
            </w:r>
            <w:r>
              <w:rPr>
                <w:sz w:val="20"/>
                <w:szCs w:val="20"/>
              </w:rPr>
              <w:t xml:space="preserve">auftrag </w:t>
            </w:r>
            <w:r w:rsidRPr="00E50B51">
              <w:rPr>
                <w:sz w:val="20"/>
                <w:szCs w:val="20"/>
              </w:rPr>
              <w:t>des Staat</w:t>
            </w:r>
            <w:r>
              <w:rPr>
                <w:sz w:val="20"/>
                <w:szCs w:val="20"/>
              </w:rPr>
              <w:t>es</w:t>
            </w:r>
            <w:r w:rsidRPr="00E50B51">
              <w:rPr>
                <w:sz w:val="20"/>
                <w:szCs w:val="20"/>
              </w:rPr>
              <w:t xml:space="preserve">. Die eigene Kontrolle </w:t>
            </w:r>
            <w:r>
              <w:rPr>
                <w:sz w:val="20"/>
                <w:szCs w:val="20"/>
              </w:rPr>
              <w:t>sei</w:t>
            </w:r>
            <w:r w:rsidRPr="00E50B51">
              <w:rPr>
                <w:sz w:val="20"/>
                <w:szCs w:val="20"/>
              </w:rPr>
              <w:t xml:space="preserve"> indes in dreierlei Hinsicht zugunsten </w:t>
            </w:r>
            <w:r>
              <w:rPr>
                <w:sz w:val="20"/>
                <w:szCs w:val="20"/>
              </w:rPr>
              <w:t xml:space="preserve">des </w:t>
            </w:r>
            <w:r w:rsidRPr="00E50B51">
              <w:rPr>
                <w:sz w:val="20"/>
                <w:szCs w:val="20"/>
              </w:rPr>
              <w:t>staatliche</w:t>
            </w:r>
            <w:r>
              <w:rPr>
                <w:sz w:val="20"/>
                <w:szCs w:val="20"/>
              </w:rPr>
              <w:t>n</w:t>
            </w:r>
            <w:r w:rsidRPr="00E50B51">
              <w:rPr>
                <w:sz w:val="20"/>
                <w:szCs w:val="20"/>
              </w:rPr>
              <w:t xml:space="preserve"> Regelungs</w:t>
            </w:r>
            <w:r>
              <w:rPr>
                <w:sz w:val="20"/>
                <w:szCs w:val="20"/>
              </w:rPr>
              <w:t>auftrag</w:t>
            </w:r>
            <w:r w:rsidRPr="00E50B51">
              <w:rPr>
                <w:sz w:val="20"/>
                <w:szCs w:val="20"/>
              </w:rPr>
              <w:t xml:space="preserve"> ein</w:t>
            </w:r>
            <w:r>
              <w:rPr>
                <w:sz w:val="20"/>
                <w:szCs w:val="20"/>
              </w:rPr>
              <w:t>geschränkt</w:t>
            </w:r>
            <w:r w:rsidRPr="00E50B51">
              <w:rPr>
                <w:sz w:val="20"/>
                <w:szCs w:val="20"/>
              </w:rPr>
              <w:t xml:space="preserve">: Erstens </w:t>
            </w:r>
            <w:r>
              <w:rPr>
                <w:sz w:val="20"/>
                <w:szCs w:val="20"/>
              </w:rPr>
              <w:t>dürfe</w:t>
            </w:r>
            <w:r w:rsidRPr="00E50B51">
              <w:rPr>
                <w:sz w:val="20"/>
                <w:szCs w:val="20"/>
              </w:rPr>
              <w:t xml:space="preserve"> der Betroffene das Eigentum nicht zum Schaden seiner Mitmenschen einsetzen. Gemeint </w:t>
            </w:r>
            <w:r>
              <w:rPr>
                <w:sz w:val="20"/>
                <w:szCs w:val="20"/>
              </w:rPr>
              <w:t xml:space="preserve">sei aber </w:t>
            </w:r>
            <w:r w:rsidRPr="00E50B51">
              <w:rPr>
                <w:sz w:val="20"/>
                <w:szCs w:val="20"/>
              </w:rPr>
              <w:t>nicht, dass er sein Eigentum zum Nutzen seiner Mitmenschen verwenden muss. Und zweitens: Nur wenn der Betroffene sein Eigentum selbst einer öffentlichen Nutzung unterstell</w:t>
            </w:r>
            <w:r>
              <w:rPr>
                <w:sz w:val="20"/>
                <w:szCs w:val="20"/>
              </w:rPr>
              <w:t>e</w:t>
            </w:r>
            <w:r w:rsidRPr="00E50B51">
              <w:rPr>
                <w:sz w:val="20"/>
                <w:szCs w:val="20"/>
              </w:rPr>
              <w:t xml:space="preserve">, dann </w:t>
            </w:r>
            <w:r>
              <w:rPr>
                <w:sz w:val="20"/>
                <w:szCs w:val="20"/>
              </w:rPr>
              <w:t>erteile</w:t>
            </w:r>
            <w:r w:rsidRPr="00E50B51">
              <w:rPr>
                <w:sz w:val="20"/>
                <w:szCs w:val="20"/>
              </w:rPr>
              <w:t xml:space="preserve"> er damit de</w:t>
            </w:r>
            <w:r>
              <w:rPr>
                <w:sz w:val="20"/>
                <w:szCs w:val="20"/>
              </w:rPr>
              <w:t>m</w:t>
            </w:r>
            <w:r w:rsidRPr="00E50B51">
              <w:rPr>
                <w:sz w:val="20"/>
                <w:szCs w:val="20"/>
              </w:rPr>
              <w:t xml:space="preserve"> Staat das Recht, sein Eigentum zu regeln. Und drittens: Wenn die Eigentumsnutzung im öffentlichen Interesse lieg</w:t>
            </w:r>
            <w:r>
              <w:rPr>
                <w:sz w:val="20"/>
                <w:szCs w:val="20"/>
              </w:rPr>
              <w:t>e</w:t>
            </w:r>
            <w:r w:rsidRPr="00E50B51">
              <w:rPr>
                <w:sz w:val="20"/>
                <w:szCs w:val="20"/>
              </w:rPr>
              <w:t xml:space="preserve">, dann müsse der Betroffene </w:t>
            </w:r>
            <w:r>
              <w:rPr>
                <w:sz w:val="20"/>
                <w:szCs w:val="20"/>
              </w:rPr>
              <w:t xml:space="preserve">bei Regelung dessen </w:t>
            </w:r>
            <w:r w:rsidRPr="00E50B51">
              <w:rPr>
                <w:sz w:val="20"/>
                <w:szCs w:val="20"/>
              </w:rPr>
              <w:t>zumindest entschädigt werden.</w:t>
            </w:r>
            <w:r w:rsidRPr="00E50B51">
              <w:rPr>
                <w:rStyle w:val="Funotenzeichen"/>
                <w:rFonts w:eastAsiaTheme="majorEastAsia"/>
                <w:sz w:val="20"/>
                <w:szCs w:val="20"/>
              </w:rPr>
              <w:footnoteReference w:id="373"/>
            </w:r>
            <w:r w:rsidRPr="00E50B51">
              <w:rPr>
                <w:sz w:val="20"/>
                <w:szCs w:val="20"/>
              </w:rPr>
              <w:t xml:space="preserve"> Diese Anforderungen, die die Bedingungen für Glücksstreben mitentstehen lassen, erg</w:t>
            </w:r>
            <w:r>
              <w:rPr>
                <w:sz w:val="20"/>
                <w:szCs w:val="20"/>
              </w:rPr>
              <w:t>ä</w:t>
            </w:r>
            <w:r w:rsidRPr="00E50B51">
              <w:rPr>
                <w:sz w:val="20"/>
                <w:szCs w:val="20"/>
              </w:rPr>
              <w:t xml:space="preserve">ben sich </w:t>
            </w:r>
            <w:r>
              <w:rPr>
                <w:sz w:val="20"/>
                <w:szCs w:val="20"/>
              </w:rPr>
              <w:t xml:space="preserve">somit </w:t>
            </w:r>
            <w:r w:rsidRPr="00E50B51">
              <w:rPr>
                <w:sz w:val="20"/>
                <w:szCs w:val="20"/>
              </w:rPr>
              <w:t>für staatliche Maßnahme</w:t>
            </w:r>
            <w:r>
              <w:rPr>
                <w:sz w:val="20"/>
                <w:szCs w:val="20"/>
              </w:rPr>
              <w:t>n</w:t>
            </w:r>
            <w:r w:rsidRPr="00E50B51">
              <w:rPr>
                <w:sz w:val="20"/>
                <w:szCs w:val="20"/>
              </w:rPr>
              <w:t>.</w:t>
            </w:r>
          </w:p>
          <w:p w14:paraId="4A6C72D0" w14:textId="77777777" w:rsidR="00074551" w:rsidRPr="00E50B51" w:rsidRDefault="00074551" w:rsidP="00367133">
            <w:pPr>
              <w:jc w:val="both"/>
              <w:rPr>
                <w:sz w:val="20"/>
                <w:szCs w:val="20"/>
              </w:rPr>
            </w:pPr>
          </w:p>
        </w:tc>
      </w:tr>
      <w:tr w:rsidR="00074551" w:rsidRPr="004F6665" w14:paraId="0703A22A" w14:textId="77777777" w:rsidTr="00BE689F">
        <w:trPr>
          <w:cantSplit/>
          <w:trHeight w:val="3175"/>
        </w:trPr>
        <w:tc>
          <w:tcPr>
            <w:tcW w:w="293" w:type="pct"/>
          </w:tcPr>
          <w:p w14:paraId="1024B439"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B22A5DA" w14:textId="77777777" w:rsidR="00074551" w:rsidRPr="00E50B51" w:rsidRDefault="00074551" w:rsidP="00367133">
            <w:pPr>
              <w:ind w:left="113" w:right="113"/>
              <w:jc w:val="both"/>
              <w:rPr>
                <w:sz w:val="20"/>
                <w:szCs w:val="20"/>
              </w:rPr>
            </w:pPr>
            <w:r w:rsidRPr="001F38CE">
              <w:rPr>
                <w:i/>
                <w:sz w:val="20"/>
                <w:szCs w:val="20"/>
              </w:rPr>
              <w:t xml:space="preserve">Fullilove v. </w:t>
            </w:r>
            <w:proofErr w:type="spellStart"/>
            <w:r w:rsidRPr="001F38CE">
              <w:rPr>
                <w:i/>
                <w:sz w:val="20"/>
                <w:szCs w:val="20"/>
              </w:rPr>
              <w:t>Klutznick</w:t>
            </w:r>
            <w:proofErr w:type="spellEnd"/>
          </w:p>
        </w:tc>
        <w:tc>
          <w:tcPr>
            <w:tcW w:w="197" w:type="pct"/>
            <w:textDirection w:val="tbRl"/>
            <w:vAlign w:val="center"/>
          </w:tcPr>
          <w:p w14:paraId="2B419069" w14:textId="77777777" w:rsidR="00074551" w:rsidRPr="00E50B51" w:rsidRDefault="00074551" w:rsidP="00367133">
            <w:pPr>
              <w:ind w:left="113" w:right="113"/>
              <w:jc w:val="both"/>
              <w:rPr>
                <w:sz w:val="20"/>
                <w:szCs w:val="20"/>
              </w:rPr>
            </w:pPr>
            <w:r w:rsidRPr="00E50B51">
              <w:rPr>
                <w:sz w:val="20"/>
                <w:szCs w:val="20"/>
                <w:lang w:val="en-US"/>
              </w:rPr>
              <w:t>448 U.S. 448</w:t>
            </w:r>
          </w:p>
        </w:tc>
        <w:tc>
          <w:tcPr>
            <w:tcW w:w="306" w:type="pct"/>
            <w:textDirection w:val="tbRl"/>
            <w:vAlign w:val="center"/>
          </w:tcPr>
          <w:p w14:paraId="0D4DDB7F" w14:textId="77777777" w:rsidR="00074551" w:rsidRPr="00E50B51" w:rsidRDefault="00074551" w:rsidP="00367133">
            <w:pPr>
              <w:ind w:left="113" w:right="113"/>
              <w:jc w:val="both"/>
              <w:rPr>
                <w:sz w:val="20"/>
                <w:szCs w:val="20"/>
                <w:lang w:val="en-US"/>
              </w:rPr>
            </w:pPr>
            <w:r w:rsidRPr="00E50B51">
              <w:rPr>
                <w:sz w:val="20"/>
                <w:szCs w:val="20"/>
                <w:lang w:val="en-US"/>
              </w:rPr>
              <w:t>2. Juli 1980</w:t>
            </w:r>
          </w:p>
        </w:tc>
        <w:tc>
          <w:tcPr>
            <w:tcW w:w="401" w:type="pct"/>
          </w:tcPr>
          <w:p w14:paraId="7EEA5852" w14:textId="77777777" w:rsidR="00074551" w:rsidRPr="00E50B51" w:rsidRDefault="00074551" w:rsidP="00367133">
            <w:pPr>
              <w:jc w:val="center"/>
              <w:rPr>
                <w:sz w:val="20"/>
                <w:szCs w:val="20"/>
                <w:lang w:val="en-US"/>
              </w:rPr>
            </w:pPr>
            <w:r w:rsidRPr="00E50B51">
              <w:rPr>
                <w:sz w:val="20"/>
                <w:szCs w:val="20"/>
              </w:rPr>
              <w:t>D</w:t>
            </w:r>
          </w:p>
        </w:tc>
        <w:tc>
          <w:tcPr>
            <w:tcW w:w="1594" w:type="pct"/>
          </w:tcPr>
          <w:p w14:paraId="7F4B4309"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0557BD37" w14:textId="0FE05F94" w:rsidR="00074551" w:rsidRDefault="00074551" w:rsidP="00367133">
            <w:pPr>
              <w:jc w:val="both"/>
              <w:rPr>
                <w:sz w:val="20"/>
                <w:szCs w:val="20"/>
                <w:lang w:val="en-US"/>
              </w:rPr>
            </w:pPr>
            <w:r w:rsidRPr="00650A2B">
              <w:rPr>
                <w:sz w:val="20"/>
                <w:szCs w:val="20"/>
              </w:rPr>
              <w:t xml:space="preserve">Um die Aufgaben und die Befugnisse des Kongresses und dessen Grenzen zu erschließen, müssen Gerichte zwei Prüfungsschritte einhalten, wobei </w:t>
            </w:r>
            <w:r>
              <w:rPr>
                <w:sz w:val="20"/>
                <w:szCs w:val="20"/>
              </w:rPr>
              <w:t>das</w:t>
            </w:r>
            <w:r w:rsidRPr="00650A2B">
              <w:rPr>
                <w:sz w:val="20"/>
                <w:szCs w:val="20"/>
              </w:rPr>
              <w:t xml:space="preserve"> </w:t>
            </w:r>
            <w:proofErr w:type="spellStart"/>
            <w:r w:rsidRPr="00B45592">
              <w:rPr>
                <w:i/>
                <w:iCs/>
                <w:sz w:val="20"/>
                <w:szCs w:val="20"/>
              </w:rPr>
              <w:t>pursuit</w:t>
            </w:r>
            <w:proofErr w:type="spellEnd"/>
            <w:r w:rsidRPr="00B45592">
              <w:rPr>
                <w:i/>
                <w:iCs/>
                <w:sz w:val="20"/>
                <w:szCs w:val="20"/>
              </w:rPr>
              <w:t xml:space="preserve"> of </w:t>
            </w:r>
            <w:r>
              <w:rPr>
                <w:i/>
                <w:iCs/>
                <w:sz w:val="20"/>
                <w:szCs w:val="20"/>
              </w:rPr>
              <w:t>H</w:t>
            </w:r>
            <w:r w:rsidRPr="00B45592">
              <w:rPr>
                <w:i/>
                <w:iCs/>
                <w:sz w:val="20"/>
                <w:szCs w:val="20"/>
              </w:rPr>
              <w:t>appiness</w:t>
            </w:r>
            <w:r w:rsidRPr="00650A2B">
              <w:rPr>
                <w:sz w:val="20"/>
                <w:szCs w:val="20"/>
              </w:rPr>
              <w:t xml:space="preserve"> beide Schritte prägt: Erstens </w:t>
            </w:r>
            <w:r>
              <w:rPr>
                <w:sz w:val="20"/>
                <w:szCs w:val="20"/>
              </w:rPr>
              <w:t>müsse</w:t>
            </w:r>
            <w:r w:rsidRPr="00650A2B">
              <w:rPr>
                <w:sz w:val="20"/>
                <w:szCs w:val="20"/>
              </w:rPr>
              <w:t xml:space="preserve"> das Gericht prüfen, ob die Ziele eines Gesetzes in der Zuständigkeit des Kongresses liegen, z.B. die Ausgabenzuständigkeit nach </w:t>
            </w:r>
            <w:r>
              <w:rPr>
                <w:sz w:val="20"/>
                <w:szCs w:val="20"/>
              </w:rPr>
              <w:t>Art. </w:t>
            </w:r>
            <w:r w:rsidRPr="00B45592">
              <w:rPr>
                <w:sz w:val="20"/>
                <w:szCs w:val="20"/>
              </w:rPr>
              <w:t xml:space="preserve">I, </w:t>
            </w:r>
            <w:r>
              <w:rPr>
                <w:sz w:val="20"/>
                <w:szCs w:val="20"/>
              </w:rPr>
              <w:t>§ </w:t>
            </w:r>
            <w:r w:rsidRPr="00B45592">
              <w:rPr>
                <w:sz w:val="20"/>
                <w:szCs w:val="20"/>
              </w:rPr>
              <w:t xml:space="preserve">8, </w:t>
            </w:r>
            <w:r>
              <w:rPr>
                <w:sz w:val="20"/>
                <w:szCs w:val="20"/>
              </w:rPr>
              <w:t>cl. 1</w:t>
            </w:r>
            <w:r w:rsidRPr="00B45592">
              <w:rPr>
                <w:sz w:val="20"/>
                <w:szCs w:val="20"/>
              </w:rPr>
              <w:t xml:space="preserve">. U.S. </w:t>
            </w:r>
            <w:proofErr w:type="spellStart"/>
            <w:r w:rsidRPr="00B45592">
              <w:rPr>
                <w:sz w:val="20"/>
                <w:szCs w:val="20"/>
              </w:rPr>
              <w:t>Const</w:t>
            </w:r>
            <w:proofErr w:type="spellEnd"/>
            <w:r w:rsidRPr="00B45592">
              <w:rPr>
                <w:sz w:val="20"/>
                <w:szCs w:val="20"/>
              </w:rPr>
              <w:t>., die dem Allgemeinwohl („</w:t>
            </w:r>
            <w:proofErr w:type="spellStart"/>
            <w:r w:rsidRPr="00B45592">
              <w:rPr>
                <w:sz w:val="20"/>
                <w:szCs w:val="20"/>
              </w:rPr>
              <w:t>general</w:t>
            </w:r>
            <w:proofErr w:type="spellEnd"/>
            <w:r w:rsidRPr="00B45592">
              <w:rPr>
                <w:sz w:val="20"/>
                <w:szCs w:val="20"/>
              </w:rPr>
              <w:t xml:space="preserve"> </w:t>
            </w:r>
            <w:proofErr w:type="spellStart"/>
            <w:r w:rsidRPr="00B45592">
              <w:rPr>
                <w:sz w:val="20"/>
                <w:szCs w:val="20"/>
              </w:rPr>
              <w:t>welfare</w:t>
            </w:r>
            <w:proofErr w:type="spellEnd"/>
            <w:r w:rsidRPr="00B45592">
              <w:rPr>
                <w:sz w:val="20"/>
                <w:szCs w:val="20"/>
              </w:rPr>
              <w:t>“</w:t>
            </w:r>
            <w:r w:rsidRPr="00650A2B">
              <w:rPr>
                <w:sz w:val="20"/>
                <w:szCs w:val="20"/>
                <w:vertAlign w:val="superscript"/>
              </w:rPr>
              <w:footnoteReference w:id="374"/>
            </w:r>
            <w:r w:rsidRPr="00B45592">
              <w:rPr>
                <w:sz w:val="20"/>
                <w:szCs w:val="20"/>
              </w:rPr>
              <w:t xml:space="preserve">) dienen muss. </w:t>
            </w:r>
            <w:r w:rsidRPr="00650A2B">
              <w:rPr>
                <w:sz w:val="20"/>
                <w:szCs w:val="20"/>
                <w:lang w:val="en-US"/>
              </w:rPr>
              <w:t xml:space="preserve">Laut </w:t>
            </w:r>
            <w:r>
              <w:rPr>
                <w:sz w:val="20"/>
                <w:szCs w:val="20"/>
                <w:lang w:val="en-US"/>
              </w:rPr>
              <w:t>U.S. Supreme Court</w:t>
            </w:r>
            <w:r w:rsidRPr="00650A2B">
              <w:rPr>
                <w:sz w:val="20"/>
                <w:szCs w:val="20"/>
                <w:lang w:val="en-US"/>
              </w:rPr>
              <w:t xml:space="preserve"> </w:t>
            </w:r>
            <w:proofErr w:type="spellStart"/>
            <w:r w:rsidRPr="00650A2B">
              <w:rPr>
                <w:sz w:val="20"/>
                <w:szCs w:val="20"/>
                <w:lang w:val="en-US"/>
              </w:rPr>
              <w:t>stelle</w:t>
            </w:r>
            <w:proofErr w:type="spellEnd"/>
            <w:r w:rsidRPr="00650A2B">
              <w:rPr>
                <w:sz w:val="20"/>
                <w:szCs w:val="20"/>
                <w:lang w:val="en-US"/>
              </w:rPr>
              <w:t xml:space="preserve"> dieses </w:t>
            </w:r>
            <w:proofErr w:type="spellStart"/>
            <w:r w:rsidRPr="00650A2B">
              <w:rPr>
                <w:sz w:val="20"/>
                <w:szCs w:val="20"/>
                <w:lang w:val="en-US"/>
              </w:rPr>
              <w:t>Allgemeinwohl</w:t>
            </w:r>
            <w:proofErr w:type="spellEnd"/>
            <w:r w:rsidRPr="00650A2B">
              <w:rPr>
                <w:sz w:val="20"/>
                <w:szCs w:val="20"/>
                <w:lang w:val="en-US"/>
              </w:rPr>
              <w:t xml:space="preserve"> die </w:t>
            </w:r>
            <w:proofErr w:type="spellStart"/>
            <w:r w:rsidRPr="00650A2B">
              <w:rPr>
                <w:sz w:val="20"/>
                <w:szCs w:val="20"/>
                <w:lang w:val="en-US"/>
              </w:rPr>
              <w:t>öffentliche</w:t>
            </w:r>
            <w:proofErr w:type="spellEnd"/>
            <w:r w:rsidRPr="00650A2B">
              <w:rPr>
                <w:sz w:val="20"/>
                <w:szCs w:val="20"/>
                <w:lang w:val="en-US"/>
              </w:rPr>
              <w:t xml:space="preserve"> </w:t>
            </w:r>
            <w:proofErr w:type="spellStart"/>
            <w:r w:rsidRPr="00650A2B">
              <w:rPr>
                <w:sz w:val="20"/>
                <w:szCs w:val="20"/>
                <w:lang w:val="en-US"/>
              </w:rPr>
              <w:t>Seite</w:t>
            </w:r>
            <w:proofErr w:type="spellEnd"/>
            <w:r w:rsidRPr="00650A2B">
              <w:rPr>
                <w:sz w:val="20"/>
                <w:szCs w:val="20"/>
                <w:lang w:val="en-US"/>
              </w:rPr>
              <w:t xml:space="preserve"> des </w:t>
            </w:r>
            <w:proofErr w:type="spellStart"/>
            <w:r w:rsidRPr="00650A2B">
              <w:rPr>
                <w:sz w:val="20"/>
                <w:szCs w:val="20"/>
                <w:lang w:val="en-US"/>
              </w:rPr>
              <w:t>Strebens</w:t>
            </w:r>
            <w:proofErr w:type="spellEnd"/>
            <w:r w:rsidRPr="00650A2B">
              <w:rPr>
                <w:sz w:val="20"/>
                <w:szCs w:val="20"/>
                <w:lang w:val="en-US"/>
              </w:rPr>
              <w:t xml:space="preserve"> </w:t>
            </w:r>
            <w:proofErr w:type="spellStart"/>
            <w:r w:rsidRPr="00650A2B">
              <w:rPr>
                <w:sz w:val="20"/>
                <w:szCs w:val="20"/>
                <w:lang w:val="en-US"/>
              </w:rPr>
              <w:t>nach</w:t>
            </w:r>
            <w:proofErr w:type="spellEnd"/>
            <w:r w:rsidRPr="00650A2B">
              <w:rPr>
                <w:sz w:val="20"/>
                <w:szCs w:val="20"/>
                <w:lang w:val="en-US"/>
              </w:rPr>
              <w:t xml:space="preserve"> Glück </w:t>
            </w:r>
            <w:proofErr w:type="spellStart"/>
            <w:r w:rsidRPr="00650A2B">
              <w:rPr>
                <w:sz w:val="20"/>
                <w:szCs w:val="20"/>
                <w:lang w:val="en-US"/>
              </w:rPr>
              <w:t>dar</w:t>
            </w:r>
            <w:proofErr w:type="spellEnd"/>
            <w:r w:rsidRPr="00650A2B">
              <w:rPr>
                <w:sz w:val="20"/>
                <w:szCs w:val="20"/>
                <w:lang w:val="en-US"/>
              </w:rPr>
              <w:t xml:space="preserve"> („can serve the public welfare or add substantially to the security of life, liberty or the pursuit of </w:t>
            </w:r>
            <w:proofErr w:type="gramStart"/>
            <w:r w:rsidRPr="00650A2B">
              <w:rPr>
                <w:sz w:val="20"/>
                <w:szCs w:val="20"/>
                <w:lang w:val="en-US"/>
              </w:rPr>
              <w:t>happiness“</w:t>
            </w:r>
            <w:proofErr w:type="gramEnd"/>
            <w:r w:rsidRPr="00650A2B">
              <w:rPr>
                <w:sz w:val="20"/>
                <w:szCs w:val="20"/>
                <w:vertAlign w:val="superscript"/>
                <w:lang w:val="en-US"/>
              </w:rPr>
              <w:footnoteReference w:id="375"/>
            </w:r>
            <w:r w:rsidRPr="00650A2B">
              <w:rPr>
                <w:sz w:val="20"/>
                <w:szCs w:val="20"/>
                <w:lang w:val="en-US"/>
              </w:rPr>
              <w:t xml:space="preserve">; </w:t>
            </w:r>
            <w:r>
              <w:rPr>
                <w:sz w:val="20"/>
                <w:szCs w:val="20"/>
                <w:lang w:val="en-US"/>
              </w:rPr>
              <w:t>„</w:t>
            </w:r>
            <w:r w:rsidRPr="00650A2B">
              <w:rPr>
                <w:sz w:val="20"/>
                <w:szCs w:val="20"/>
                <w:lang w:val="en-US"/>
              </w:rPr>
              <w:t>the State may exercise its […] power […] to promote the wealth […] and happiness</w:t>
            </w:r>
            <w:r>
              <w:rPr>
                <w:sz w:val="20"/>
                <w:szCs w:val="20"/>
                <w:lang w:val="en-US"/>
              </w:rPr>
              <w:t> –</w:t>
            </w:r>
            <w:r w:rsidRPr="00650A2B">
              <w:rPr>
                <w:sz w:val="20"/>
                <w:szCs w:val="20"/>
                <w:lang w:val="en-US"/>
              </w:rPr>
              <w:t xml:space="preserve"> in short, the general </w:t>
            </w:r>
            <w:proofErr w:type="gramStart"/>
            <w:r w:rsidRPr="00650A2B">
              <w:rPr>
                <w:sz w:val="20"/>
                <w:szCs w:val="20"/>
                <w:lang w:val="en-US"/>
              </w:rPr>
              <w:t>welfare</w:t>
            </w:r>
            <w:r>
              <w:rPr>
                <w:sz w:val="20"/>
                <w:szCs w:val="20"/>
                <w:lang w:val="en-US"/>
              </w:rPr>
              <w:t>“</w:t>
            </w:r>
            <w:proofErr w:type="gramEnd"/>
            <w:r w:rsidRPr="00650A2B">
              <w:rPr>
                <w:sz w:val="20"/>
                <w:szCs w:val="20"/>
                <w:vertAlign w:val="superscript"/>
                <w:lang w:val="en-US"/>
              </w:rPr>
              <w:footnoteReference w:id="376"/>
            </w:r>
            <w:r w:rsidRPr="00B45592">
              <w:rPr>
                <w:sz w:val="20"/>
                <w:szCs w:val="20"/>
                <w:lang w:val="en-IE"/>
              </w:rPr>
              <w:t xml:space="preserve">). </w:t>
            </w:r>
            <w:r w:rsidRPr="00650A2B">
              <w:rPr>
                <w:sz w:val="20"/>
                <w:szCs w:val="20"/>
              </w:rPr>
              <w:t xml:space="preserve">Für den Fall, dass ein Gericht den ersten Prüfungsschritt bejaht, muss es sich dem zweiten zuwenden und entscheiden: Ob z.B. umgrenzt </w:t>
            </w:r>
            <w:r>
              <w:rPr>
                <w:sz w:val="20"/>
                <w:szCs w:val="20"/>
              </w:rPr>
              <w:t>angewendete</w:t>
            </w:r>
            <w:r w:rsidRPr="00650A2B">
              <w:rPr>
                <w:sz w:val="20"/>
                <w:szCs w:val="20"/>
              </w:rPr>
              <w:t xml:space="preserve"> rassische und ethnische Kriterien im Einzelfall ein verfassungsrechtlich zulässiges Mittel sein könn</w:t>
            </w:r>
            <w:r>
              <w:rPr>
                <w:sz w:val="20"/>
                <w:szCs w:val="20"/>
              </w:rPr>
              <w:t>t</w:t>
            </w:r>
            <w:r w:rsidRPr="00650A2B">
              <w:rPr>
                <w:sz w:val="20"/>
                <w:szCs w:val="20"/>
              </w:rPr>
              <w:t xml:space="preserve">en, damit </w:t>
            </w:r>
            <w:r>
              <w:rPr>
                <w:sz w:val="20"/>
                <w:szCs w:val="20"/>
              </w:rPr>
              <w:t>der</w:t>
            </w:r>
            <w:r w:rsidRPr="00650A2B">
              <w:rPr>
                <w:sz w:val="20"/>
                <w:szCs w:val="20"/>
              </w:rPr>
              <w:t xml:space="preserve"> Kongress das Gesetzesziel (z.B. das Allgemeinwohl) erreichen </w:t>
            </w:r>
            <w:r>
              <w:rPr>
                <w:sz w:val="20"/>
                <w:szCs w:val="20"/>
              </w:rPr>
              <w:t>könne</w:t>
            </w:r>
            <w:r w:rsidRPr="00650A2B">
              <w:rPr>
                <w:sz w:val="20"/>
                <w:szCs w:val="20"/>
              </w:rPr>
              <w:t xml:space="preserve"> und nicht zugleich gegen den Gleichheitssatz verstoße, der sich auch aus der Anforderung eines rechtsstaatlichen Verfahrens ableite. Der Gleichheitssatz des rechtsstaatlichen Verfahrens ergebe sich zudem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650A2B">
              <w:rPr>
                <w:sz w:val="20"/>
                <w:szCs w:val="20"/>
                <w:vertAlign w:val="superscript"/>
              </w:rPr>
              <w:footnoteReference w:id="377"/>
            </w:r>
            <w:r>
              <w:rPr>
                <w:sz w:val="20"/>
                <w:szCs w:val="20"/>
              </w:rPr>
              <w:t> </w:t>
            </w:r>
            <w:r w:rsidRPr="00650A2B">
              <w:rPr>
                <w:sz w:val="20"/>
                <w:szCs w:val="20"/>
              </w:rPr>
              <w:t xml:space="preserve">– und, so der Dissens, auch aus der </w:t>
            </w:r>
            <w:r w:rsidRPr="00A142D9">
              <w:rPr>
                <w:i/>
                <w:sz w:val="20"/>
                <w:szCs w:val="20"/>
              </w:rPr>
              <w:t>Declaration of Independence</w:t>
            </w:r>
            <w:r>
              <w:rPr>
                <w:i/>
                <w:sz w:val="20"/>
                <w:szCs w:val="20"/>
              </w:rPr>
              <w:t xml:space="preserve"> </w:t>
            </w:r>
            <w:proofErr w:type="spellStart"/>
            <w:r>
              <w:rPr>
                <w:sz w:val="20"/>
                <w:szCs w:val="20"/>
              </w:rPr>
              <w:t>para</w:t>
            </w:r>
            <w:proofErr w:type="spellEnd"/>
            <w:r>
              <w:rPr>
                <w:sz w:val="20"/>
                <w:szCs w:val="20"/>
              </w:rPr>
              <w:t>.</w:t>
            </w:r>
            <w:r w:rsidRPr="00650A2B">
              <w:rPr>
                <w:sz w:val="20"/>
                <w:szCs w:val="20"/>
              </w:rPr>
              <w:t xml:space="preserve"> 2. Denn dort heißt es</w:t>
            </w:r>
            <w:r>
              <w:rPr>
                <w:sz w:val="20"/>
                <w:szCs w:val="20"/>
              </w:rPr>
              <w:t>, d</w:t>
            </w:r>
            <w:r w:rsidRPr="00650A2B">
              <w:rPr>
                <w:sz w:val="20"/>
                <w:szCs w:val="20"/>
              </w:rPr>
              <w:t xml:space="preserve">ass alle Menschen gleich geschaffen seien und sie daher unveräußerliche Rechte </w:t>
            </w:r>
            <w:r>
              <w:rPr>
                <w:sz w:val="20"/>
                <w:szCs w:val="20"/>
              </w:rPr>
              <w:t>hätten</w:t>
            </w:r>
            <w:r w:rsidRPr="00650A2B">
              <w:rPr>
                <w:sz w:val="20"/>
                <w:szCs w:val="20"/>
              </w:rPr>
              <w:t>, darunter: das Streben nach Glück („</w:t>
            </w:r>
            <w:proofErr w:type="spellStart"/>
            <w:r w:rsidRPr="00650A2B">
              <w:rPr>
                <w:sz w:val="20"/>
                <w:szCs w:val="20"/>
              </w:rPr>
              <w:t>citizens</w:t>
            </w:r>
            <w:proofErr w:type="spellEnd"/>
            <w:r w:rsidRPr="00650A2B">
              <w:rPr>
                <w:sz w:val="20"/>
                <w:szCs w:val="20"/>
              </w:rPr>
              <w:t xml:space="preserve"> as </w:t>
            </w:r>
            <w:proofErr w:type="spellStart"/>
            <w:r w:rsidRPr="00650A2B">
              <w:rPr>
                <w:sz w:val="20"/>
                <w:szCs w:val="20"/>
              </w:rPr>
              <w:t>having</w:t>
            </w:r>
            <w:proofErr w:type="spellEnd"/>
            <w:r w:rsidRPr="00650A2B">
              <w:rPr>
                <w:sz w:val="20"/>
                <w:szCs w:val="20"/>
              </w:rPr>
              <w:t xml:space="preserve"> </w:t>
            </w:r>
            <w:proofErr w:type="spellStart"/>
            <w:proofErr w:type="gramStart"/>
            <w:r w:rsidRPr="00650A2B">
              <w:rPr>
                <w:sz w:val="20"/>
                <w:szCs w:val="20"/>
              </w:rPr>
              <w:t>been</w:t>
            </w:r>
            <w:proofErr w:type="spellEnd"/>
            <w:r w:rsidRPr="00650A2B">
              <w:rPr>
                <w:sz w:val="20"/>
                <w:szCs w:val="20"/>
              </w:rPr>
              <w:t xml:space="preserve"> </w:t>
            </w:r>
            <w:r>
              <w:rPr>
                <w:sz w:val="20"/>
                <w:szCs w:val="20"/>
              </w:rPr>
              <w:t>,</w:t>
            </w:r>
            <w:r w:rsidRPr="00650A2B">
              <w:rPr>
                <w:sz w:val="20"/>
                <w:szCs w:val="20"/>
              </w:rPr>
              <w:t>created</w:t>
            </w:r>
            <w:proofErr w:type="gramEnd"/>
            <w:r w:rsidRPr="00650A2B">
              <w:rPr>
                <w:sz w:val="20"/>
                <w:szCs w:val="20"/>
              </w:rPr>
              <w:t xml:space="preserve"> </w:t>
            </w:r>
            <w:proofErr w:type="spellStart"/>
            <w:r w:rsidRPr="00650A2B">
              <w:rPr>
                <w:sz w:val="20"/>
                <w:szCs w:val="20"/>
              </w:rPr>
              <w:t>equal</w:t>
            </w:r>
            <w:proofErr w:type="spellEnd"/>
            <w:r>
              <w:rPr>
                <w:sz w:val="20"/>
                <w:szCs w:val="20"/>
              </w:rPr>
              <w:t>‘</w:t>
            </w:r>
            <w:r w:rsidRPr="00650A2B">
              <w:rPr>
                <w:sz w:val="20"/>
                <w:szCs w:val="20"/>
              </w:rPr>
              <w:t xml:space="preserve"> in the </w:t>
            </w:r>
            <w:proofErr w:type="spellStart"/>
            <w:r w:rsidRPr="00650A2B">
              <w:rPr>
                <w:sz w:val="20"/>
                <w:szCs w:val="20"/>
              </w:rPr>
              <w:t>eyes</w:t>
            </w:r>
            <w:proofErr w:type="spellEnd"/>
            <w:r w:rsidRPr="00650A2B">
              <w:rPr>
                <w:sz w:val="20"/>
                <w:szCs w:val="20"/>
              </w:rPr>
              <w:t xml:space="preserve"> of the </w:t>
            </w:r>
            <w:proofErr w:type="spellStart"/>
            <w:r w:rsidRPr="00650A2B">
              <w:rPr>
                <w:sz w:val="20"/>
                <w:szCs w:val="20"/>
              </w:rPr>
              <w:t>law</w:t>
            </w:r>
            <w:proofErr w:type="spellEnd"/>
            <w:r w:rsidRPr="00650A2B">
              <w:rPr>
                <w:sz w:val="20"/>
                <w:szCs w:val="20"/>
              </w:rPr>
              <w:t xml:space="preserve">. </w:t>
            </w:r>
            <w:r w:rsidRPr="00650A2B">
              <w:rPr>
                <w:sz w:val="20"/>
                <w:szCs w:val="20"/>
                <w:lang w:val="en-US"/>
              </w:rPr>
              <w:t xml:space="preserve">The Declaration of Independence states: </w:t>
            </w:r>
            <w:proofErr w:type="gramStart"/>
            <w:r w:rsidRPr="00650A2B">
              <w:rPr>
                <w:sz w:val="20"/>
                <w:szCs w:val="20"/>
                <w:lang w:val="en-US"/>
              </w:rPr>
              <w:t>‚[</w:t>
            </w:r>
            <w:proofErr w:type="gramEnd"/>
            <w:r w:rsidRPr="00650A2B">
              <w:rPr>
                <w:sz w:val="20"/>
                <w:szCs w:val="20"/>
                <w:lang w:val="en-US"/>
              </w:rPr>
              <w:t xml:space="preserve">…] that all men are created equal, that they are endowed by their Creator with certain unalienable Rights, that among these are Life, Liberty and the pursuit of </w:t>
            </w:r>
            <w:proofErr w:type="gramStart"/>
            <w:r w:rsidRPr="00650A2B">
              <w:rPr>
                <w:sz w:val="20"/>
                <w:szCs w:val="20"/>
                <w:lang w:val="en-US"/>
              </w:rPr>
              <w:t>Happiness</w:t>
            </w:r>
            <w:r w:rsidRPr="00B45592">
              <w:rPr>
                <w:sz w:val="20"/>
                <w:szCs w:val="20"/>
                <w:lang w:val="en-IE"/>
              </w:rPr>
              <w:t>‘</w:t>
            </w:r>
            <w:proofErr w:type="gramEnd"/>
            <w:r w:rsidRPr="00650A2B">
              <w:rPr>
                <w:sz w:val="20"/>
                <w:szCs w:val="20"/>
                <w:lang w:val="en-US"/>
              </w:rPr>
              <w:t>“</w:t>
            </w:r>
            <w:r w:rsidRPr="00650A2B">
              <w:rPr>
                <w:sz w:val="20"/>
                <w:szCs w:val="20"/>
                <w:vertAlign w:val="superscript"/>
                <w:lang w:val="en-US"/>
              </w:rPr>
              <w:footnoteReference w:id="378"/>
            </w:r>
            <w:r w:rsidRPr="00650A2B">
              <w:rPr>
                <w:sz w:val="20"/>
                <w:szCs w:val="20"/>
                <w:lang w:val="en-US"/>
              </w:rPr>
              <w:t>).</w:t>
            </w:r>
          </w:p>
          <w:p w14:paraId="12028DB9" w14:textId="77777777" w:rsidR="00074551" w:rsidRPr="00E50B51" w:rsidRDefault="00074551" w:rsidP="00367133">
            <w:pPr>
              <w:jc w:val="both"/>
              <w:rPr>
                <w:sz w:val="20"/>
                <w:szCs w:val="20"/>
                <w:lang w:val="en-US"/>
              </w:rPr>
            </w:pPr>
          </w:p>
        </w:tc>
      </w:tr>
      <w:tr w:rsidR="00074551" w:rsidRPr="00E50B51" w14:paraId="6EF324BB" w14:textId="77777777" w:rsidTr="00BE689F">
        <w:trPr>
          <w:cantSplit/>
          <w:trHeight w:val="3175"/>
        </w:trPr>
        <w:tc>
          <w:tcPr>
            <w:tcW w:w="293" w:type="pct"/>
          </w:tcPr>
          <w:p w14:paraId="3170E253"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2A7656A" w14:textId="77777777" w:rsidR="00074551" w:rsidRPr="00B45592" w:rsidRDefault="00074551" w:rsidP="00367133">
            <w:pPr>
              <w:ind w:left="113" w:right="113"/>
              <w:jc w:val="both"/>
              <w:rPr>
                <w:i/>
                <w:sz w:val="20"/>
                <w:szCs w:val="20"/>
                <w:lang w:val="en-US"/>
              </w:rPr>
            </w:pPr>
            <w:r w:rsidRPr="00B45592">
              <w:rPr>
                <w:i/>
                <w:sz w:val="20"/>
                <w:szCs w:val="20"/>
                <w:lang w:val="en-US"/>
              </w:rPr>
              <w:t>James Everard’s Breweries v. Day</w:t>
            </w:r>
          </w:p>
        </w:tc>
        <w:tc>
          <w:tcPr>
            <w:tcW w:w="197" w:type="pct"/>
            <w:textDirection w:val="tbRl"/>
            <w:vAlign w:val="center"/>
          </w:tcPr>
          <w:p w14:paraId="7AEA767C" w14:textId="77777777" w:rsidR="00074551" w:rsidRPr="00E50B51" w:rsidRDefault="00074551" w:rsidP="00367133">
            <w:pPr>
              <w:ind w:left="113" w:right="113"/>
              <w:jc w:val="both"/>
              <w:rPr>
                <w:sz w:val="20"/>
                <w:szCs w:val="20"/>
                <w:lang w:val="en-US"/>
              </w:rPr>
            </w:pPr>
            <w:r w:rsidRPr="00E50B51">
              <w:rPr>
                <w:sz w:val="20"/>
                <w:szCs w:val="20"/>
                <w:lang w:val="en-US"/>
              </w:rPr>
              <w:t>265 U.S. 545</w:t>
            </w:r>
          </w:p>
        </w:tc>
        <w:tc>
          <w:tcPr>
            <w:tcW w:w="306" w:type="pct"/>
            <w:textDirection w:val="tbRl"/>
            <w:vAlign w:val="center"/>
          </w:tcPr>
          <w:p w14:paraId="0FD0713B" w14:textId="77777777" w:rsidR="00074551" w:rsidRPr="00E50B51" w:rsidRDefault="00074551" w:rsidP="00367133">
            <w:pPr>
              <w:ind w:left="113" w:right="113"/>
              <w:jc w:val="both"/>
              <w:rPr>
                <w:sz w:val="20"/>
                <w:szCs w:val="20"/>
                <w:lang w:val="en-US"/>
              </w:rPr>
            </w:pPr>
            <w:r w:rsidRPr="00E50B51">
              <w:rPr>
                <w:sz w:val="20"/>
                <w:szCs w:val="20"/>
              </w:rPr>
              <w:t>9. Juni 1924</w:t>
            </w:r>
          </w:p>
        </w:tc>
        <w:tc>
          <w:tcPr>
            <w:tcW w:w="401" w:type="pct"/>
          </w:tcPr>
          <w:p w14:paraId="4A94936A" w14:textId="77777777" w:rsidR="00074551" w:rsidRPr="00E50B51" w:rsidRDefault="00074551" w:rsidP="00367133">
            <w:pPr>
              <w:jc w:val="center"/>
              <w:rPr>
                <w:sz w:val="20"/>
                <w:szCs w:val="20"/>
                <w:lang w:val="en-US"/>
              </w:rPr>
            </w:pPr>
            <w:r w:rsidRPr="00E50B51">
              <w:rPr>
                <w:sz w:val="20"/>
                <w:szCs w:val="20"/>
                <w:lang w:val="en-US"/>
              </w:rPr>
              <w:t>S</w:t>
            </w:r>
          </w:p>
        </w:tc>
        <w:tc>
          <w:tcPr>
            <w:tcW w:w="1594" w:type="pct"/>
          </w:tcPr>
          <w:p w14:paraId="40E81F14"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23FD0661" w14:textId="77777777" w:rsidR="00074551" w:rsidRPr="00B45592" w:rsidRDefault="00074551" w:rsidP="00367133">
            <w:pPr>
              <w:jc w:val="both"/>
              <w:rPr>
                <w:i/>
                <w:sz w:val="20"/>
                <w:szCs w:val="20"/>
              </w:rPr>
            </w:pPr>
            <w:r w:rsidRPr="00B45592">
              <w:rPr>
                <w:i/>
                <w:sz w:val="20"/>
                <w:szCs w:val="20"/>
              </w:rPr>
              <w:t xml:space="preserve">LexisNexis-Klassifikation: </w:t>
            </w:r>
            <w:proofErr w:type="spellStart"/>
            <w:r w:rsidRPr="00B45592">
              <w:rPr>
                <w:i/>
                <w:sz w:val="20"/>
                <w:szCs w:val="20"/>
              </w:rPr>
              <w:t>Privileges</w:t>
            </w:r>
            <w:proofErr w:type="spellEnd"/>
          </w:p>
          <w:p w14:paraId="3CEA6EFC" w14:textId="77777777" w:rsidR="00074551" w:rsidRDefault="00074551" w:rsidP="00367133">
            <w:pPr>
              <w:jc w:val="both"/>
              <w:rPr>
                <w:sz w:val="20"/>
                <w:szCs w:val="20"/>
              </w:rPr>
            </w:pPr>
          </w:p>
          <w:p w14:paraId="08B098C9" w14:textId="77777777" w:rsidR="00074551" w:rsidRDefault="00074551" w:rsidP="00367133">
            <w:pPr>
              <w:jc w:val="both"/>
              <w:rPr>
                <w:sz w:val="20"/>
                <w:szCs w:val="20"/>
              </w:rPr>
            </w:pPr>
            <w:r w:rsidRPr="00E50B51">
              <w:rPr>
                <w:sz w:val="20"/>
                <w:szCs w:val="20"/>
              </w:rPr>
              <w:t xml:space="preserve">Der Kongress habe die Kompetenz, Handel z.B. mit alkoholischen Getränken zu verbieten. Um dieses Verbot durchzusetzen, </w:t>
            </w:r>
            <w:r>
              <w:rPr>
                <w:sz w:val="20"/>
                <w:szCs w:val="20"/>
              </w:rPr>
              <w:t>könne</w:t>
            </w:r>
            <w:r w:rsidRPr="00E50B51">
              <w:rPr>
                <w:sz w:val="20"/>
                <w:szCs w:val="20"/>
              </w:rPr>
              <w:t xml:space="preserve"> der Kongress geeignete sowie angemessenen </w:t>
            </w:r>
            <w:r w:rsidRPr="008D3DFE">
              <w:rPr>
                <w:sz w:val="20"/>
                <w:szCs w:val="20"/>
              </w:rPr>
              <w:t>Mittel ergreifen („</w:t>
            </w:r>
            <w:proofErr w:type="spellStart"/>
            <w:r w:rsidRPr="008D3DFE">
              <w:rPr>
                <w:sz w:val="20"/>
                <w:szCs w:val="20"/>
              </w:rPr>
              <w:t>may</w:t>
            </w:r>
            <w:proofErr w:type="spellEnd"/>
            <w:r w:rsidRPr="008D3DFE">
              <w:rPr>
                <w:sz w:val="20"/>
                <w:szCs w:val="20"/>
              </w:rPr>
              <w:t xml:space="preserve"> </w:t>
            </w:r>
            <w:proofErr w:type="spellStart"/>
            <w:r w:rsidRPr="008D3DFE">
              <w:rPr>
                <w:sz w:val="20"/>
                <w:szCs w:val="20"/>
              </w:rPr>
              <w:t>adopt</w:t>
            </w:r>
            <w:proofErr w:type="spellEnd"/>
            <w:r w:rsidRPr="008D3DFE">
              <w:rPr>
                <w:sz w:val="20"/>
                <w:szCs w:val="20"/>
              </w:rPr>
              <w:t xml:space="preserve"> </w:t>
            </w:r>
            <w:proofErr w:type="spellStart"/>
            <w:r w:rsidRPr="008D3DFE">
              <w:rPr>
                <w:sz w:val="20"/>
                <w:szCs w:val="20"/>
              </w:rPr>
              <w:t>any</w:t>
            </w:r>
            <w:proofErr w:type="spellEnd"/>
            <w:r w:rsidRPr="008D3DFE">
              <w:rPr>
                <w:sz w:val="20"/>
                <w:szCs w:val="20"/>
              </w:rPr>
              <w:t xml:space="preserve"> </w:t>
            </w:r>
            <w:proofErr w:type="spellStart"/>
            <w:r w:rsidRPr="008D3DFE">
              <w:rPr>
                <w:sz w:val="20"/>
                <w:szCs w:val="20"/>
              </w:rPr>
              <w:t>eligible</w:t>
            </w:r>
            <w:proofErr w:type="spellEnd"/>
            <w:r w:rsidRPr="008D3DFE">
              <w:rPr>
                <w:sz w:val="20"/>
                <w:szCs w:val="20"/>
              </w:rPr>
              <w:t xml:space="preserve"> and </w:t>
            </w:r>
            <w:proofErr w:type="spellStart"/>
            <w:r w:rsidRPr="008D3DFE">
              <w:rPr>
                <w:sz w:val="20"/>
                <w:szCs w:val="20"/>
              </w:rPr>
              <w:t>appropriate</w:t>
            </w:r>
            <w:proofErr w:type="spellEnd"/>
            <w:r w:rsidRPr="008D3DFE">
              <w:rPr>
                <w:sz w:val="20"/>
                <w:szCs w:val="20"/>
              </w:rPr>
              <w:t xml:space="preserve"> </w:t>
            </w:r>
            <w:proofErr w:type="spellStart"/>
            <w:r w:rsidRPr="008D3DFE">
              <w:rPr>
                <w:sz w:val="20"/>
                <w:szCs w:val="20"/>
              </w:rPr>
              <w:t>mean</w:t>
            </w:r>
            <w:r w:rsidRPr="00C34E8B">
              <w:rPr>
                <w:sz w:val="20"/>
                <w:szCs w:val="20"/>
              </w:rPr>
              <w:t>s</w:t>
            </w:r>
            <w:proofErr w:type="spellEnd"/>
            <w:r w:rsidRPr="00C34E8B">
              <w:rPr>
                <w:sz w:val="20"/>
                <w:szCs w:val="20"/>
              </w:rPr>
              <w:t>“</w:t>
            </w:r>
            <w:r w:rsidRPr="00C34E8B">
              <w:rPr>
                <w:rStyle w:val="Funotenzeichen"/>
                <w:sz w:val="20"/>
                <w:szCs w:val="20"/>
              </w:rPr>
              <w:footnoteReference w:id="379"/>
            </w:r>
            <w:r w:rsidRPr="00C34E8B">
              <w:rPr>
                <w:sz w:val="20"/>
                <w:szCs w:val="20"/>
              </w:rPr>
              <w:t>).</w:t>
            </w:r>
            <w:r w:rsidRPr="008D3DFE">
              <w:rPr>
                <w:sz w:val="20"/>
                <w:szCs w:val="20"/>
              </w:rPr>
              <w:t xml:space="preserve"> Ein möglicher Missbrauch dieser Kompetenz sei indes kein Argument gegen dessen Existenz, so der</w:t>
            </w:r>
            <w:r w:rsidRPr="00E50B51">
              <w:rPr>
                <w:sz w:val="20"/>
                <w:szCs w:val="20"/>
              </w:rPr>
              <w:t xml:space="preserve"> </w:t>
            </w:r>
            <w:r>
              <w:rPr>
                <w:sz w:val="20"/>
                <w:szCs w:val="20"/>
              </w:rPr>
              <w:t>U.S. Supreme Court</w:t>
            </w:r>
            <w:r w:rsidRPr="00E50B51">
              <w:rPr>
                <w:sz w:val="20"/>
                <w:szCs w:val="20"/>
              </w:rPr>
              <w:t xml:space="preserve"> zum Klägervortrag („The possible </w:t>
            </w:r>
            <w:proofErr w:type="spellStart"/>
            <w:r w:rsidRPr="00E50B51">
              <w:rPr>
                <w:sz w:val="20"/>
                <w:szCs w:val="20"/>
              </w:rPr>
              <w:t>abuse</w:t>
            </w:r>
            <w:proofErr w:type="spellEnd"/>
            <w:r w:rsidRPr="00E50B51">
              <w:rPr>
                <w:sz w:val="20"/>
                <w:szCs w:val="20"/>
              </w:rPr>
              <w:t xml:space="preserve"> of a power </w:t>
            </w:r>
            <w:proofErr w:type="spellStart"/>
            <w:r w:rsidRPr="00E50B51">
              <w:rPr>
                <w:sz w:val="20"/>
                <w:szCs w:val="20"/>
              </w:rPr>
              <w:t>is</w:t>
            </w:r>
            <w:proofErr w:type="spellEnd"/>
            <w:r w:rsidRPr="00E50B51">
              <w:rPr>
                <w:sz w:val="20"/>
                <w:szCs w:val="20"/>
              </w:rPr>
              <w:t xml:space="preserve"> not an </w:t>
            </w:r>
            <w:proofErr w:type="spellStart"/>
            <w:r w:rsidRPr="00E50B51">
              <w:rPr>
                <w:sz w:val="20"/>
                <w:szCs w:val="20"/>
              </w:rPr>
              <w:t>argument</w:t>
            </w:r>
            <w:proofErr w:type="spellEnd"/>
            <w:r w:rsidRPr="00E50B51">
              <w:rPr>
                <w:sz w:val="20"/>
                <w:szCs w:val="20"/>
              </w:rPr>
              <w:t xml:space="preserve"> </w:t>
            </w:r>
            <w:proofErr w:type="spellStart"/>
            <w:r w:rsidRPr="00E50B51">
              <w:rPr>
                <w:sz w:val="20"/>
                <w:szCs w:val="20"/>
              </w:rPr>
              <w:t>against</w:t>
            </w:r>
            <w:proofErr w:type="spellEnd"/>
            <w:r w:rsidRPr="00E50B51">
              <w:rPr>
                <w:sz w:val="20"/>
                <w:szCs w:val="20"/>
              </w:rPr>
              <w:t xml:space="preserve"> </w:t>
            </w:r>
            <w:proofErr w:type="spellStart"/>
            <w:r w:rsidRPr="00E50B51">
              <w:rPr>
                <w:sz w:val="20"/>
                <w:szCs w:val="20"/>
              </w:rPr>
              <w:t>its</w:t>
            </w:r>
            <w:proofErr w:type="spellEnd"/>
            <w:r w:rsidRPr="00E50B51">
              <w:rPr>
                <w:sz w:val="20"/>
                <w:szCs w:val="20"/>
              </w:rPr>
              <w:t xml:space="preserve"> </w:t>
            </w:r>
            <w:proofErr w:type="spellStart"/>
            <w:r w:rsidRPr="00E50B51">
              <w:rPr>
                <w:sz w:val="20"/>
                <w:szCs w:val="20"/>
              </w:rPr>
              <w:t>existenc</w:t>
            </w:r>
            <w:r w:rsidRPr="00FE7D01">
              <w:rPr>
                <w:sz w:val="20"/>
                <w:szCs w:val="20"/>
              </w:rPr>
              <w:t>e</w:t>
            </w:r>
            <w:proofErr w:type="spellEnd"/>
            <w:r w:rsidRPr="00C34E8B">
              <w:rPr>
                <w:sz w:val="20"/>
                <w:szCs w:val="20"/>
              </w:rPr>
              <w:t>“</w:t>
            </w:r>
            <w:r w:rsidRPr="00C34E8B">
              <w:rPr>
                <w:rStyle w:val="Funotenzeichen"/>
                <w:sz w:val="20"/>
                <w:szCs w:val="20"/>
              </w:rPr>
              <w:footnoteReference w:id="380"/>
            </w:r>
            <w:r w:rsidRPr="00C34E8B">
              <w:rPr>
                <w:sz w:val="20"/>
                <w:szCs w:val="20"/>
              </w:rPr>
              <w:t>). Die Prärogative des Kongresses ist im Fall weit: Zum Beispiel umfasst die Befugnis, den Handel mit alkoholischen Getränken zu verbieten, auch die Befugnis, Handel mit vergleichbaren Getränken zu verbieten, auch wenn sie nicht berauschend sind („</w:t>
            </w:r>
            <w:proofErr w:type="spellStart"/>
            <w:r w:rsidRPr="00C34E8B">
              <w:rPr>
                <w:sz w:val="20"/>
                <w:szCs w:val="20"/>
              </w:rPr>
              <w:t>similar</w:t>
            </w:r>
            <w:proofErr w:type="spellEnd"/>
            <w:r w:rsidRPr="00C34E8B">
              <w:rPr>
                <w:sz w:val="20"/>
                <w:szCs w:val="20"/>
              </w:rPr>
              <w:t xml:space="preserve"> </w:t>
            </w:r>
            <w:proofErr w:type="spellStart"/>
            <w:r w:rsidRPr="00C34E8B">
              <w:rPr>
                <w:sz w:val="20"/>
                <w:szCs w:val="20"/>
              </w:rPr>
              <w:t>liquors</w:t>
            </w:r>
            <w:proofErr w:type="spellEnd"/>
            <w:r w:rsidRPr="00C34E8B">
              <w:rPr>
                <w:sz w:val="20"/>
                <w:szCs w:val="20"/>
              </w:rPr>
              <w:t xml:space="preserve">, </w:t>
            </w:r>
            <w:proofErr w:type="spellStart"/>
            <w:r w:rsidRPr="00C34E8B">
              <w:rPr>
                <w:sz w:val="20"/>
                <w:szCs w:val="20"/>
              </w:rPr>
              <w:t>although</w:t>
            </w:r>
            <w:proofErr w:type="spellEnd"/>
            <w:r w:rsidRPr="00C34E8B">
              <w:rPr>
                <w:sz w:val="20"/>
                <w:szCs w:val="20"/>
              </w:rPr>
              <w:t xml:space="preserve"> non-</w:t>
            </w:r>
            <w:proofErr w:type="spellStart"/>
            <w:r w:rsidRPr="00C34E8B">
              <w:rPr>
                <w:sz w:val="20"/>
                <w:szCs w:val="20"/>
              </w:rPr>
              <w:t>intoxicating</w:t>
            </w:r>
            <w:proofErr w:type="spellEnd"/>
            <w:r w:rsidRPr="00C34E8B">
              <w:rPr>
                <w:sz w:val="20"/>
                <w:szCs w:val="20"/>
              </w:rPr>
              <w:t>“</w:t>
            </w:r>
            <w:r w:rsidRPr="00C34E8B">
              <w:rPr>
                <w:rStyle w:val="Funotenzeichen"/>
                <w:sz w:val="20"/>
                <w:szCs w:val="20"/>
              </w:rPr>
              <w:footnoteReference w:id="381"/>
            </w:r>
            <w:r w:rsidRPr="00C34E8B">
              <w:rPr>
                <w:sz w:val="20"/>
                <w:szCs w:val="20"/>
              </w:rPr>
              <w:t>).</w:t>
            </w:r>
            <w:r w:rsidRPr="00E50B51">
              <w:rPr>
                <w:sz w:val="20"/>
                <w:szCs w:val="20"/>
              </w:rPr>
              <w:t xml:space="preserve"> Doch warum ist die Prärogative </w:t>
            </w:r>
            <w:proofErr w:type="spellStart"/>
            <w:r w:rsidRPr="00E50B51">
              <w:rPr>
                <w:sz w:val="20"/>
                <w:szCs w:val="20"/>
              </w:rPr>
              <w:t>so weit</w:t>
            </w:r>
            <w:proofErr w:type="spellEnd"/>
            <w:r w:rsidRPr="00E50B51">
              <w:rPr>
                <w:sz w:val="20"/>
                <w:szCs w:val="20"/>
              </w:rPr>
              <w:t xml:space="preserve">? Das erklärt der Klägervortrag, den der </w:t>
            </w:r>
            <w:r>
              <w:rPr>
                <w:sz w:val="20"/>
                <w:szCs w:val="20"/>
              </w:rPr>
              <w:t>U.S. Supreme Court</w:t>
            </w:r>
            <w:r w:rsidRPr="00E50B51">
              <w:rPr>
                <w:sz w:val="20"/>
                <w:szCs w:val="20"/>
              </w:rPr>
              <w:t xml:space="preserve"> hervorhebt. Dort heißt es: Wenn der Kongress oder ein Bundesstaat in seiner Kompetenz („</w:t>
            </w:r>
            <w:proofErr w:type="spellStart"/>
            <w:r w:rsidRPr="00E50B51">
              <w:rPr>
                <w:sz w:val="20"/>
                <w:szCs w:val="20"/>
              </w:rPr>
              <w:t>powers</w:t>
            </w:r>
            <w:proofErr w:type="spellEnd"/>
            <w:r w:rsidRPr="00E50B51">
              <w:rPr>
                <w:sz w:val="20"/>
                <w:szCs w:val="20"/>
              </w:rPr>
              <w:t xml:space="preserve"> </w:t>
            </w:r>
            <w:proofErr w:type="spellStart"/>
            <w:r w:rsidRPr="00E50B51">
              <w:rPr>
                <w:sz w:val="20"/>
                <w:szCs w:val="20"/>
              </w:rPr>
              <w:t>which</w:t>
            </w:r>
            <w:proofErr w:type="spellEnd"/>
            <w:r w:rsidRPr="00E50B51">
              <w:rPr>
                <w:sz w:val="20"/>
                <w:szCs w:val="20"/>
              </w:rPr>
              <w:t xml:space="preserve"> </w:t>
            </w:r>
            <w:proofErr w:type="spellStart"/>
            <w:r w:rsidRPr="00E50B51">
              <w:rPr>
                <w:sz w:val="20"/>
                <w:szCs w:val="20"/>
              </w:rPr>
              <w:t>are</w:t>
            </w:r>
            <w:proofErr w:type="spellEnd"/>
            <w:r w:rsidRPr="00E50B51">
              <w:rPr>
                <w:sz w:val="20"/>
                <w:szCs w:val="20"/>
              </w:rPr>
              <w:t xml:space="preserve"> </w:t>
            </w:r>
            <w:proofErr w:type="spellStart"/>
            <w:r w:rsidRPr="00E50B51">
              <w:rPr>
                <w:sz w:val="20"/>
                <w:szCs w:val="20"/>
              </w:rPr>
              <w:t>undelegated</w:t>
            </w:r>
            <w:proofErr w:type="spellEnd"/>
            <w:r w:rsidRPr="00E50B51">
              <w:rPr>
                <w:sz w:val="20"/>
                <w:szCs w:val="20"/>
              </w:rPr>
              <w:t xml:space="preserve"> still </w:t>
            </w:r>
            <w:proofErr w:type="spellStart"/>
            <w:r w:rsidRPr="00E50B51">
              <w:rPr>
                <w:sz w:val="20"/>
                <w:szCs w:val="20"/>
              </w:rPr>
              <w:t>rest</w:t>
            </w:r>
            <w:proofErr w:type="spellEnd"/>
            <w:r w:rsidRPr="00E50B51">
              <w:rPr>
                <w:sz w:val="20"/>
                <w:szCs w:val="20"/>
              </w:rPr>
              <w:t xml:space="preserve"> in the States“</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382"/>
            </w:r>
            <w:r w:rsidRPr="00E50B51">
              <w:rPr>
                <w:sz w:val="20"/>
                <w:szCs w:val="20"/>
              </w:rPr>
              <w:t>) ein</w:t>
            </w:r>
            <w:r>
              <w:rPr>
                <w:sz w:val="20"/>
                <w:szCs w:val="20"/>
              </w:rPr>
              <w:t>e</w:t>
            </w:r>
            <w:r w:rsidRPr="00E50B51">
              <w:rPr>
                <w:sz w:val="20"/>
                <w:szCs w:val="20"/>
              </w:rPr>
              <w:t xml:space="preserve"> Handel</w:t>
            </w:r>
            <w:r>
              <w:rPr>
                <w:sz w:val="20"/>
                <w:szCs w:val="20"/>
              </w:rPr>
              <w:t xml:space="preserve">sart </w:t>
            </w:r>
            <w:r w:rsidRPr="00E50B51">
              <w:rPr>
                <w:sz w:val="20"/>
                <w:szCs w:val="20"/>
              </w:rPr>
              <w:t>verbiete, dann bleib</w:t>
            </w:r>
            <w:r>
              <w:rPr>
                <w:sz w:val="20"/>
                <w:szCs w:val="20"/>
              </w:rPr>
              <w:t>e</w:t>
            </w:r>
            <w:r w:rsidRPr="00E50B51">
              <w:rPr>
                <w:sz w:val="20"/>
                <w:szCs w:val="20"/>
              </w:rPr>
              <w:t xml:space="preserve"> er zumindest an die äußeren Verfassungsgrenzen gebunden („</w:t>
            </w:r>
            <w:proofErr w:type="spellStart"/>
            <w:r w:rsidRPr="00E50B51">
              <w:rPr>
                <w:sz w:val="20"/>
                <w:szCs w:val="20"/>
              </w:rPr>
              <w:t>guaranteed</w:t>
            </w:r>
            <w:proofErr w:type="spellEnd"/>
            <w:r w:rsidRPr="00E50B51">
              <w:rPr>
                <w:sz w:val="20"/>
                <w:szCs w:val="20"/>
              </w:rPr>
              <w:t xml:space="preserve"> to </w:t>
            </w:r>
            <w:proofErr w:type="spellStart"/>
            <w:r w:rsidRPr="00E50B51">
              <w:rPr>
                <w:sz w:val="20"/>
                <w:szCs w:val="20"/>
              </w:rPr>
              <w:t>him</w:t>
            </w:r>
            <w:proofErr w:type="spellEnd"/>
            <w:r w:rsidRPr="00E50B51">
              <w:rPr>
                <w:sz w:val="20"/>
                <w:szCs w:val="20"/>
              </w:rPr>
              <w:t xml:space="preserve"> </w:t>
            </w:r>
            <w:proofErr w:type="spellStart"/>
            <w:r w:rsidRPr="00E50B51">
              <w:rPr>
                <w:sz w:val="20"/>
                <w:szCs w:val="20"/>
              </w:rPr>
              <w:t>under</w:t>
            </w:r>
            <w:proofErr w:type="spellEnd"/>
            <w:r w:rsidRPr="00E50B51">
              <w:rPr>
                <w:sz w:val="20"/>
                <w:szCs w:val="20"/>
              </w:rPr>
              <w:t xml:space="preserve"> the </w:t>
            </w:r>
            <w:proofErr w:type="spellStart"/>
            <w:r w:rsidRPr="00E50B51">
              <w:rPr>
                <w:sz w:val="20"/>
                <w:szCs w:val="20"/>
              </w:rPr>
              <w:t>Constitutions</w:t>
            </w:r>
            <w:proofErr w:type="spellEnd"/>
            <w:r w:rsidRPr="00E50B51">
              <w:rPr>
                <w:sz w:val="20"/>
                <w:szCs w:val="20"/>
              </w:rPr>
              <w:t xml:space="preserve"> not </w:t>
            </w:r>
            <w:proofErr w:type="spellStart"/>
            <w:r w:rsidRPr="00E50B51">
              <w:rPr>
                <w:sz w:val="20"/>
                <w:szCs w:val="20"/>
              </w:rPr>
              <w:t>only</w:t>
            </w:r>
            <w:proofErr w:type="spellEnd"/>
            <w:r w:rsidRPr="00E50B51">
              <w:rPr>
                <w:sz w:val="20"/>
                <w:szCs w:val="20"/>
              </w:rPr>
              <w:t xml:space="preserve"> of the United States, but also of the States“</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383"/>
            </w:r>
            <w:r w:rsidRPr="00E50B51">
              <w:rPr>
                <w:sz w:val="20"/>
                <w:szCs w:val="20"/>
              </w:rPr>
              <w:t>), nämlich</w:t>
            </w:r>
            <w:r>
              <w:rPr>
                <w:sz w:val="20"/>
                <w:szCs w:val="20"/>
              </w:rPr>
              <w:t xml:space="preserve"> an d</w:t>
            </w:r>
            <w:r w:rsidRPr="00E50B51">
              <w:rPr>
                <w:sz w:val="20"/>
                <w:szCs w:val="20"/>
              </w:rPr>
              <w:t xml:space="preserve">as verfassungsmäßige Recht des Einzelnen, u.a. sein Streben nach Glück auszuüben („the </w:t>
            </w:r>
            <w:proofErr w:type="spellStart"/>
            <w:r w:rsidRPr="00E50B51">
              <w:rPr>
                <w:sz w:val="20"/>
                <w:szCs w:val="20"/>
              </w:rPr>
              <w:t>constitutional</w:t>
            </w:r>
            <w:proofErr w:type="spellEnd"/>
            <w:r w:rsidRPr="00E50B51">
              <w:rPr>
                <w:sz w:val="20"/>
                <w:szCs w:val="20"/>
              </w:rPr>
              <w:t xml:space="preserve"> </w:t>
            </w:r>
            <w:proofErr w:type="spellStart"/>
            <w:r w:rsidRPr="00E50B51">
              <w:rPr>
                <w:sz w:val="20"/>
                <w:szCs w:val="20"/>
              </w:rPr>
              <w:t>right</w:t>
            </w:r>
            <w:proofErr w:type="spellEnd"/>
            <w:r w:rsidRPr="00E50B51">
              <w:rPr>
                <w:sz w:val="20"/>
                <w:szCs w:val="20"/>
              </w:rPr>
              <w:t xml:space="preserve"> of the individual to </w:t>
            </w:r>
            <w:proofErr w:type="spellStart"/>
            <w:r w:rsidRPr="00E50B51">
              <w:rPr>
                <w:sz w:val="20"/>
                <w:szCs w:val="20"/>
              </w:rPr>
              <w:t>enjoy</w:t>
            </w:r>
            <w:proofErr w:type="spellEnd"/>
            <w:r w:rsidRPr="00E50B51">
              <w:rPr>
                <w:sz w:val="20"/>
                <w:szCs w:val="20"/>
              </w:rPr>
              <w:t xml:space="preserve"> </w:t>
            </w:r>
            <w:proofErr w:type="spellStart"/>
            <w:r w:rsidRPr="00E50B51">
              <w:rPr>
                <w:sz w:val="20"/>
                <w:szCs w:val="20"/>
              </w:rPr>
              <w:t>those</w:t>
            </w:r>
            <w:proofErr w:type="spellEnd"/>
            <w:r w:rsidRPr="00E50B51">
              <w:rPr>
                <w:sz w:val="20"/>
                <w:szCs w:val="20"/>
              </w:rPr>
              <w:t xml:space="preserve"> </w:t>
            </w:r>
            <w:proofErr w:type="spellStart"/>
            <w:r w:rsidRPr="00E50B51">
              <w:rPr>
                <w:sz w:val="20"/>
                <w:szCs w:val="20"/>
              </w:rPr>
              <w:t>privileges</w:t>
            </w:r>
            <w:proofErr w:type="spellEnd"/>
            <w:r w:rsidRPr="00E50B51">
              <w:rPr>
                <w:sz w:val="20"/>
                <w:szCs w:val="20"/>
              </w:rPr>
              <w:t xml:space="preserve"> of </w:t>
            </w:r>
            <w:proofErr w:type="spellStart"/>
            <w:r w:rsidRPr="00E50B51">
              <w:rPr>
                <w:sz w:val="20"/>
                <w:szCs w:val="20"/>
              </w:rPr>
              <w:t>life</w:t>
            </w:r>
            <w:proofErr w:type="spellEnd"/>
            <w:r w:rsidRPr="00E50B51">
              <w:rPr>
                <w:sz w:val="20"/>
                <w:szCs w:val="20"/>
              </w:rPr>
              <w:t xml:space="preserve">, </w:t>
            </w:r>
            <w:proofErr w:type="spellStart"/>
            <w:r w:rsidRPr="00E50B51">
              <w:rPr>
                <w:sz w:val="20"/>
                <w:szCs w:val="20"/>
              </w:rPr>
              <w:t>liberty</w:t>
            </w:r>
            <w:proofErr w:type="spellEnd"/>
            <w:r w:rsidRPr="00E50B51">
              <w:rPr>
                <w:sz w:val="20"/>
                <w:szCs w:val="20"/>
              </w:rPr>
              <w:t xml:space="preserve"> and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384"/>
            </w:r>
            <w:r w:rsidRPr="00E50B51">
              <w:rPr>
                <w:sz w:val="20"/>
                <w:szCs w:val="20"/>
              </w:rPr>
              <w:t>). Damit beschreibt das Streben nach Glück eine äußere Regelungsgrenze für staatliche Verbote.</w:t>
            </w:r>
            <w:r w:rsidRPr="00E50B51">
              <w:rPr>
                <w:rStyle w:val="Funotenzeichen"/>
                <w:rFonts w:eastAsiaTheme="majorEastAsia"/>
                <w:sz w:val="20"/>
                <w:szCs w:val="20"/>
              </w:rPr>
              <w:footnoteReference w:id="385"/>
            </w:r>
          </w:p>
          <w:p w14:paraId="79E20552" w14:textId="77777777" w:rsidR="00074551" w:rsidRPr="00E50B51" w:rsidRDefault="00074551" w:rsidP="00367133">
            <w:pPr>
              <w:jc w:val="both"/>
              <w:rPr>
                <w:sz w:val="20"/>
                <w:szCs w:val="20"/>
              </w:rPr>
            </w:pPr>
          </w:p>
        </w:tc>
      </w:tr>
      <w:tr w:rsidR="00074551" w:rsidRPr="00E50B51" w14:paraId="0EDB1ED8" w14:textId="77777777" w:rsidTr="00BE689F">
        <w:trPr>
          <w:cantSplit/>
          <w:trHeight w:val="3175"/>
        </w:trPr>
        <w:tc>
          <w:tcPr>
            <w:tcW w:w="293" w:type="pct"/>
          </w:tcPr>
          <w:p w14:paraId="00D50336"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06E8EA0A" w14:textId="77777777" w:rsidR="00074551" w:rsidRPr="00E50B51" w:rsidRDefault="00074551" w:rsidP="00367133">
            <w:pPr>
              <w:jc w:val="center"/>
              <w:rPr>
                <w:sz w:val="20"/>
                <w:szCs w:val="20"/>
              </w:rPr>
            </w:pPr>
            <w:r>
              <w:rPr>
                <w:sz w:val="20"/>
                <w:szCs w:val="20"/>
                <w:lang w:val="en-US"/>
              </w:rPr>
              <w:t>H</w:t>
            </w:r>
          </w:p>
        </w:tc>
        <w:tc>
          <w:tcPr>
            <w:tcW w:w="387" w:type="pct"/>
            <w:textDirection w:val="tbRl"/>
            <w:vAlign w:val="center"/>
          </w:tcPr>
          <w:p w14:paraId="306736AF" w14:textId="77777777" w:rsidR="00074551" w:rsidRPr="00E50B51" w:rsidRDefault="00074551" w:rsidP="00367133">
            <w:pPr>
              <w:ind w:left="113" w:right="113"/>
              <w:jc w:val="both"/>
              <w:rPr>
                <w:sz w:val="20"/>
                <w:szCs w:val="20"/>
                <w:lang w:val="en-US"/>
              </w:rPr>
            </w:pPr>
            <w:r w:rsidRPr="007360B0">
              <w:rPr>
                <w:i/>
                <w:sz w:val="20"/>
                <w:szCs w:val="20"/>
              </w:rPr>
              <w:t>Keegan v. United States</w:t>
            </w:r>
          </w:p>
        </w:tc>
        <w:tc>
          <w:tcPr>
            <w:tcW w:w="197" w:type="pct"/>
            <w:textDirection w:val="tbRl"/>
            <w:vAlign w:val="center"/>
          </w:tcPr>
          <w:p w14:paraId="02A9ADA2" w14:textId="77777777" w:rsidR="00074551" w:rsidRPr="00E50B51" w:rsidRDefault="00074551" w:rsidP="00367133">
            <w:pPr>
              <w:ind w:left="113" w:right="113"/>
              <w:jc w:val="both"/>
              <w:rPr>
                <w:sz w:val="20"/>
                <w:szCs w:val="20"/>
                <w:lang w:val="en-US"/>
              </w:rPr>
            </w:pPr>
            <w:r w:rsidRPr="00257307">
              <w:rPr>
                <w:sz w:val="20"/>
                <w:szCs w:val="20"/>
              </w:rPr>
              <w:t>325 U.S. 478</w:t>
            </w:r>
          </w:p>
        </w:tc>
        <w:tc>
          <w:tcPr>
            <w:tcW w:w="306" w:type="pct"/>
            <w:textDirection w:val="tbRl"/>
            <w:vAlign w:val="center"/>
          </w:tcPr>
          <w:p w14:paraId="4276D7B6" w14:textId="77777777" w:rsidR="00074551" w:rsidRPr="00E50B51" w:rsidRDefault="00074551" w:rsidP="00367133">
            <w:pPr>
              <w:ind w:left="113" w:right="113"/>
              <w:jc w:val="both"/>
              <w:rPr>
                <w:sz w:val="20"/>
                <w:szCs w:val="20"/>
              </w:rPr>
            </w:pPr>
            <w:r>
              <w:rPr>
                <w:sz w:val="20"/>
                <w:szCs w:val="20"/>
              </w:rPr>
              <w:t>11. Juni 1945</w:t>
            </w:r>
          </w:p>
        </w:tc>
        <w:tc>
          <w:tcPr>
            <w:tcW w:w="401" w:type="pct"/>
          </w:tcPr>
          <w:p w14:paraId="643E379F" w14:textId="77777777" w:rsidR="00074551" w:rsidRPr="00E50B51" w:rsidRDefault="00074551" w:rsidP="00367133">
            <w:pPr>
              <w:jc w:val="center"/>
              <w:rPr>
                <w:sz w:val="20"/>
                <w:szCs w:val="20"/>
                <w:lang w:val="en-US"/>
              </w:rPr>
            </w:pPr>
            <w:r>
              <w:rPr>
                <w:sz w:val="20"/>
                <w:szCs w:val="20"/>
                <w:lang w:val="en-US"/>
              </w:rPr>
              <w:t>C</w:t>
            </w:r>
          </w:p>
        </w:tc>
        <w:tc>
          <w:tcPr>
            <w:tcW w:w="1594" w:type="pct"/>
          </w:tcPr>
          <w:p w14:paraId="41E8C765" w14:textId="77777777" w:rsidR="00074551" w:rsidRPr="000F36AE" w:rsidRDefault="00074551" w:rsidP="00367133">
            <w:pPr>
              <w:rPr>
                <w:sz w:val="20"/>
                <w:szCs w:val="20"/>
              </w:rPr>
            </w:pPr>
            <w:r w:rsidRPr="00FA7A44">
              <w:rPr>
                <w:sz w:val="20"/>
                <w:szCs w:val="20"/>
              </w:rPr>
              <w:t>Der</w:t>
            </w:r>
            <w:r w:rsidRPr="000F36AE">
              <w:rPr>
                <w:sz w:val="20"/>
                <w:szCs w:val="20"/>
              </w:rPr>
              <w:t xml:space="preserve"> </w:t>
            </w:r>
            <w:r>
              <w:rPr>
                <w:sz w:val="20"/>
                <w:szCs w:val="20"/>
              </w:rPr>
              <w:t xml:space="preserve">U.S. Supreme Court </w:t>
            </w:r>
            <w:r w:rsidRPr="000F36AE">
              <w:rPr>
                <w:sz w:val="20"/>
                <w:szCs w:val="20"/>
              </w:rPr>
              <w:t xml:space="preserve">hob die Verurteilung des Häftlings wegen </w:t>
            </w:r>
            <w:r>
              <w:rPr>
                <w:sz w:val="20"/>
                <w:szCs w:val="20"/>
              </w:rPr>
              <w:t xml:space="preserve">einer angeblichen </w:t>
            </w:r>
            <w:r w:rsidRPr="000F36AE">
              <w:rPr>
                <w:sz w:val="20"/>
                <w:szCs w:val="20"/>
              </w:rPr>
              <w:t>Verschwörung</w:t>
            </w:r>
            <w:r>
              <w:rPr>
                <w:sz w:val="20"/>
                <w:szCs w:val="20"/>
              </w:rPr>
              <w:t xml:space="preserve"> („</w:t>
            </w:r>
            <w:proofErr w:type="spellStart"/>
            <w:r w:rsidRPr="009D0A72">
              <w:rPr>
                <w:sz w:val="20"/>
                <w:szCs w:val="20"/>
              </w:rPr>
              <w:t>alleged</w:t>
            </w:r>
            <w:proofErr w:type="spellEnd"/>
            <w:r w:rsidRPr="009D0A72">
              <w:rPr>
                <w:sz w:val="20"/>
                <w:szCs w:val="20"/>
              </w:rPr>
              <w:t xml:space="preserve"> </w:t>
            </w:r>
            <w:proofErr w:type="spellStart"/>
            <w:r w:rsidRPr="009D0A72">
              <w:rPr>
                <w:sz w:val="20"/>
                <w:szCs w:val="20"/>
              </w:rPr>
              <w:t>co-conspirators</w:t>
            </w:r>
            <w:proofErr w:type="spellEnd"/>
            <w:r>
              <w:rPr>
                <w:sz w:val="20"/>
                <w:szCs w:val="20"/>
              </w:rPr>
              <w:t>“</w:t>
            </w:r>
            <w:r>
              <w:rPr>
                <w:rStyle w:val="Funotenzeichen"/>
                <w:sz w:val="20"/>
                <w:szCs w:val="20"/>
              </w:rPr>
              <w:footnoteReference w:id="386"/>
            </w:r>
            <w:r>
              <w:rPr>
                <w:sz w:val="20"/>
                <w:szCs w:val="20"/>
              </w:rPr>
              <w:t>)</w:t>
            </w:r>
            <w:r w:rsidRPr="000F36AE">
              <w:rPr>
                <w:sz w:val="20"/>
                <w:szCs w:val="20"/>
              </w:rPr>
              <w:t xml:space="preserve"> auf und verwies den Fall zur weiteren Verhandlung an das Bezirksgericht zurück.</w:t>
            </w:r>
            <w:r>
              <w:rPr>
                <w:sz w:val="20"/>
                <w:szCs w:val="20"/>
              </w:rPr>
              <w:t xml:space="preserve"> Ein </w:t>
            </w:r>
            <w:r w:rsidRPr="000F36AE">
              <w:rPr>
                <w:sz w:val="20"/>
                <w:szCs w:val="20"/>
              </w:rPr>
              <w:t xml:space="preserve">Häftling </w:t>
            </w:r>
            <w:r>
              <w:rPr>
                <w:sz w:val="20"/>
                <w:szCs w:val="20"/>
              </w:rPr>
              <w:t>hatte gegen die</w:t>
            </w:r>
            <w:r w:rsidRPr="000F36AE">
              <w:rPr>
                <w:sz w:val="20"/>
                <w:szCs w:val="20"/>
              </w:rPr>
              <w:t xml:space="preserve"> Vereinigten Staaten</w:t>
            </w:r>
            <w:r>
              <w:rPr>
                <w:sz w:val="20"/>
                <w:szCs w:val="20"/>
              </w:rPr>
              <w:t xml:space="preserve"> geklagt</w:t>
            </w:r>
            <w:r w:rsidRPr="000F36AE">
              <w:rPr>
                <w:sz w:val="20"/>
                <w:szCs w:val="20"/>
              </w:rPr>
              <w:t>.</w:t>
            </w:r>
            <w:r>
              <w:rPr>
                <w:sz w:val="20"/>
                <w:szCs w:val="20"/>
              </w:rPr>
              <w:t xml:space="preserve"> </w:t>
            </w:r>
            <w:r w:rsidRPr="000F36AE">
              <w:rPr>
                <w:sz w:val="20"/>
                <w:szCs w:val="20"/>
              </w:rPr>
              <w:t xml:space="preserve">Der Häftling und seine angeblichen Mitverschwörer waren Mitglieder einer deutsch-amerikanischen </w:t>
            </w:r>
            <w:r>
              <w:rPr>
                <w:sz w:val="20"/>
                <w:szCs w:val="20"/>
              </w:rPr>
              <w:t>G</w:t>
            </w:r>
            <w:r w:rsidRPr="000F36AE">
              <w:rPr>
                <w:sz w:val="20"/>
                <w:szCs w:val="20"/>
              </w:rPr>
              <w:t xml:space="preserve">ruppe. </w:t>
            </w:r>
            <w:r>
              <w:rPr>
                <w:sz w:val="20"/>
                <w:szCs w:val="20"/>
              </w:rPr>
              <w:t xml:space="preserve">Zunächst wurden sie </w:t>
            </w:r>
            <w:r w:rsidRPr="000F36AE">
              <w:rPr>
                <w:sz w:val="20"/>
                <w:szCs w:val="20"/>
              </w:rPr>
              <w:t>wegen Verschwörung angeklagt</w:t>
            </w:r>
            <w:r>
              <w:rPr>
                <w:sz w:val="20"/>
                <w:szCs w:val="20"/>
              </w:rPr>
              <w:t>. Denn sie hatten</w:t>
            </w:r>
            <w:r w:rsidRPr="000F36AE">
              <w:rPr>
                <w:sz w:val="20"/>
                <w:szCs w:val="20"/>
              </w:rPr>
              <w:t xml:space="preserve"> andere Deutsch-Amerikaner beraten, den </w:t>
            </w:r>
            <w:r>
              <w:rPr>
                <w:sz w:val="20"/>
                <w:szCs w:val="20"/>
              </w:rPr>
              <w:t>Wehrdienst</w:t>
            </w:r>
            <w:r w:rsidRPr="000F36AE">
              <w:rPr>
                <w:sz w:val="20"/>
                <w:szCs w:val="20"/>
              </w:rPr>
              <w:t xml:space="preserve"> zu verweigern</w:t>
            </w:r>
            <w:r>
              <w:rPr>
                <w:sz w:val="20"/>
                <w:szCs w:val="20"/>
              </w:rPr>
              <w:t xml:space="preserve">. </w:t>
            </w:r>
            <w:r w:rsidRPr="00F32FF6">
              <w:rPr>
                <w:sz w:val="20"/>
                <w:szCs w:val="20"/>
                <w:lang w:val="en-US"/>
              </w:rPr>
              <w:t xml:space="preserve">Das </w:t>
            </w:r>
            <w:proofErr w:type="spellStart"/>
            <w:r w:rsidRPr="00F32FF6">
              <w:rPr>
                <w:sz w:val="20"/>
                <w:szCs w:val="20"/>
                <w:lang w:val="en-US"/>
              </w:rPr>
              <w:t>aber</w:t>
            </w:r>
            <w:proofErr w:type="spellEnd"/>
            <w:r w:rsidRPr="00F32FF6">
              <w:rPr>
                <w:sz w:val="20"/>
                <w:szCs w:val="20"/>
                <w:lang w:val="en-US"/>
              </w:rPr>
              <w:t xml:space="preserve"> </w:t>
            </w:r>
            <w:proofErr w:type="spellStart"/>
            <w:r w:rsidRPr="00F32FF6">
              <w:rPr>
                <w:sz w:val="20"/>
                <w:szCs w:val="20"/>
                <w:lang w:val="en-US"/>
              </w:rPr>
              <w:t>ver</w:t>
            </w:r>
            <w:r>
              <w:rPr>
                <w:sz w:val="20"/>
                <w:szCs w:val="20"/>
                <w:lang w:val="en-US"/>
              </w:rPr>
              <w:t>s</w:t>
            </w:r>
            <w:r w:rsidRPr="00F32FF6">
              <w:rPr>
                <w:sz w:val="20"/>
                <w:szCs w:val="20"/>
                <w:lang w:val="en-US"/>
              </w:rPr>
              <w:t>tieß</w:t>
            </w:r>
            <w:proofErr w:type="spellEnd"/>
            <w:r w:rsidRPr="00F32FF6">
              <w:rPr>
                <w:sz w:val="20"/>
                <w:szCs w:val="20"/>
                <w:lang w:val="en-US"/>
              </w:rPr>
              <w:t xml:space="preserve"> </w:t>
            </w:r>
            <w:proofErr w:type="spellStart"/>
            <w:r w:rsidRPr="00F32FF6">
              <w:rPr>
                <w:sz w:val="20"/>
                <w:szCs w:val="20"/>
                <w:lang w:val="en-US"/>
              </w:rPr>
              <w:t>gegen</w:t>
            </w:r>
            <w:proofErr w:type="spellEnd"/>
            <w:r w:rsidRPr="00F32FF6">
              <w:rPr>
                <w:sz w:val="20"/>
                <w:szCs w:val="20"/>
                <w:lang w:val="en-US"/>
              </w:rPr>
              <w:t xml:space="preserve"> </w:t>
            </w:r>
            <w:r>
              <w:rPr>
                <w:sz w:val="20"/>
                <w:szCs w:val="20"/>
                <w:lang w:val="en-US"/>
              </w:rPr>
              <w:t>§ </w:t>
            </w:r>
            <w:r w:rsidRPr="00F32FF6">
              <w:rPr>
                <w:sz w:val="20"/>
                <w:szCs w:val="20"/>
                <w:lang w:val="en-US"/>
              </w:rPr>
              <w:t xml:space="preserve">11 des </w:t>
            </w:r>
            <w:r w:rsidRPr="00B45592">
              <w:rPr>
                <w:i/>
                <w:sz w:val="20"/>
                <w:szCs w:val="20"/>
                <w:lang w:val="en-US"/>
              </w:rPr>
              <w:t>Selective Training and Service Act of 1940</w:t>
            </w:r>
            <w:r w:rsidRPr="00F32FF6">
              <w:rPr>
                <w:sz w:val="20"/>
                <w:szCs w:val="20"/>
                <w:lang w:val="en-US"/>
              </w:rPr>
              <w:t xml:space="preserve">, 50 U.S.C.S. </w:t>
            </w:r>
            <w:r w:rsidRPr="00134532">
              <w:rPr>
                <w:sz w:val="20"/>
                <w:szCs w:val="20"/>
                <w:lang w:val="en-IE"/>
              </w:rPr>
              <w:t>§ 311.</w:t>
            </w:r>
            <w:r>
              <w:rPr>
                <w:rStyle w:val="Funotenzeichen"/>
                <w:sz w:val="20"/>
                <w:szCs w:val="20"/>
                <w:lang w:val="en-US"/>
              </w:rPr>
              <w:footnoteReference w:id="387"/>
            </w:r>
            <w:r w:rsidRPr="00134532">
              <w:rPr>
                <w:sz w:val="20"/>
                <w:szCs w:val="20"/>
                <w:lang w:val="en-IE"/>
              </w:rPr>
              <w:t xml:space="preserve"> </w:t>
            </w:r>
            <w:r>
              <w:rPr>
                <w:sz w:val="20"/>
                <w:szCs w:val="20"/>
              </w:rPr>
              <w:t>Ein</w:t>
            </w:r>
            <w:r w:rsidRPr="000F36AE">
              <w:rPr>
                <w:sz w:val="20"/>
                <w:szCs w:val="20"/>
              </w:rPr>
              <w:t xml:space="preserve"> Bezirksgericht verurteilt</w:t>
            </w:r>
            <w:r>
              <w:rPr>
                <w:sz w:val="20"/>
                <w:szCs w:val="20"/>
              </w:rPr>
              <w:t>e den Kläger entsprechend, u</w:t>
            </w:r>
            <w:r w:rsidRPr="000F36AE">
              <w:rPr>
                <w:sz w:val="20"/>
                <w:szCs w:val="20"/>
              </w:rPr>
              <w:t>nd das Berufungsgericht bestätigte diese Verurteilung.</w:t>
            </w:r>
            <w:r>
              <w:rPr>
                <w:sz w:val="20"/>
                <w:szCs w:val="20"/>
              </w:rPr>
              <w:t xml:space="preserve"> Der Verurteilte wandte sich nunmehr an den U.S. Supreme Court. Der </w:t>
            </w:r>
            <w:r w:rsidRPr="000F36AE">
              <w:rPr>
                <w:sz w:val="20"/>
                <w:szCs w:val="20"/>
              </w:rPr>
              <w:t>entschied, dass die Bekanntmachung und Kommunikation der deutsch-amerikanischen Bürgergruppe nicht automatisch</w:t>
            </w:r>
            <w:r>
              <w:rPr>
                <w:sz w:val="20"/>
                <w:szCs w:val="20"/>
              </w:rPr>
              <w:t xml:space="preserve"> dazu aufforderten, einen Wehrdienst zu verweigern</w:t>
            </w:r>
            <w:r w:rsidRPr="000F36AE">
              <w:rPr>
                <w:sz w:val="20"/>
                <w:szCs w:val="20"/>
              </w:rPr>
              <w:t>. D</w:t>
            </w:r>
            <w:r>
              <w:rPr>
                <w:sz w:val="20"/>
                <w:szCs w:val="20"/>
              </w:rPr>
              <w:t>enn die aufgeforderten Personen</w:t>
            </w:r>
            <w:r w:rsidRPr="000F36AE">
              <w:rPr>
                <w:sz w:val="20"/>
                <w:szCs w:val="20"/>
              </w:rPr>
              <w:t xml:space="preserve"> wollte</w:t>
            </w:r>
            <w:r>
              <w:rPr>
                <w:sz w:val="20"/>
                <w:szCs w:val="20"/>
              </w:rPr>
              <w:t>n</w:t>
            </w:r>
            <w:r w:rsidRPr="000F36AE">
              <w:rPr>
                <w:sz w:val="20"/>
                <w:szCs w:val="20"/>
              </w:rPr>
              <w:t xml:space="preserve"> </w:t>
            </w:r>
            <w:r>
              <w:rPr>
                <w:sz w:val="20"/>
                <w:szCs w:val="20"/>
              </w:rPr>
              <w:t xml:space="preserve">ohnehin </w:t>
            </w:r>
            <w:r w:rsidRPr="000F36AE">
              <w:rPr>
                <w:sz w:val="20"/>
                <w:szCs w:val="20"/>
              </w:rPr>
              <w:t>den Dienst in den Streitkräften verweigern</w:t>
            </w:r>
            <w:r>
              <w:rPr>
                <w:sz w:val="20"/>
                <w:szCs w:val="20"/>
              </w:rPr>
              <w:t>. Zum Beispiel hielten</w:t>
            </w:r>
            <w:r w:rsidRPr="000F36AE">
              <w:rPr>
                <w:sz w:val="20"/>
                <w:szCs w:val="20"/>
              </w:rPr>
              <w:t xml:space="preserve"> </w:t>
            </w:r>
            <w:r>
              <w:rPr>
                <w:sz w:val="20"/>
                <w:szCs w:val="20"/>
              </w:rPr>
              <w:t>sie selbst § </w:t>
            </w:r>
            <w:r w:rsidRPr="000F36AE">
              <w:rPr>
                <w:sz w:val="20"/>
                <w:szCs w:val="20"/>
              </w:rPr>
              <w:t>8</w:t>
            </w:r>
            <w:r>
              <w:rPr>
                <w:rStyle w:val="Funotenzeichen"/>
                <w:sz w:val="20"/>
                <w:szCs w:val="20"/>
              </w:rPr>
              <w:footnoteReference w:id="388"/>
            </w:r>
            <w:r w:rsidRPr="000F36AE">
              <w:rPr>
                <w:sz w:val="20"/>
                <w:szCs w:val="20"/>
              </w:rPr>
              <w:t xml:space="preserve"> des Gesetzes für verfassungswidrig</w:t>
            </w:r>
            <w:r>
              <w:rPr>
                <w:sz w:val="20"/>
                <w:szCs w:val="20"/>
              </w:rPr>
              <w:t xml:space="preserve">; sie </w:t>
            </w:r>
            <w:r w:rsidRPr="000F36AE">
              <w:rPr>
                <w:sz w:val="20"/>
                <w:szCs w:val="20"/>
              </w:rPr>
              <w:t>beabsichtig</w:t>
            </w:r>
            <w:r>
              <w:rPr>
                <w:sz w:val="20"/>
                <w:szCs w:val="20"/>
              </w:rPr>
              <w:t>t</w:t>
            </w:r>
            <w:r w:rsidRPr="000F36AE">
              <w:rPr>
                <w:sz w:val="20"/>
                <w:szCs w:val="20"/>
              </w:rPr>
              <w:t>e</w:t>
            </w:r>
            <w:r>
              <w:rPr>
                <w:sz w:val="20"/>
                <w:szCs w:val="20"/>
              </w:rPr>
              <w:t>n zudem</w:t>
            </w:r>
            <w:r w:rsidRPr="000F36AE">
              <w:rPr>
                <w:sz w:val="20"/>
                <w:szCs w:val="20"/>
              </w:rPr>
              <w:t>, diese</w:t>
            </w:r>
            <w:r>
              <w:rPr>
                <w:sz w:val="20"/>
                <w:szCs w:val="20"/>
              </w:rPr>
              <w:t>n Paragrafen</w:t>
            </w:r>
            <w:r w:rsidRPr="000F36AE">
              <w:rPr>
                <w:sz w:val="20"/>
                <w:szCs w:val="20"/>
              </w:rPr>
              <w:t xml:space="preserve"> vor Gericht anzufechten. </w:t>
            </w:r>
            <w:r>
              <w:rPr>
                <w:sz w:val="20"/>
                <w:szCs w:val="20"/>
              </w:rPr>
              <w:t>Aufgrund der</w:t>
            </w:r>
            <w:r w:rsidRPr="000F36AE">
              <w:rPr>
                <w:sz w:val="20"/>
                <w:szCs w:val="20"/>
              </w:rPr>
              <w:t xml:space="preserve"> Haltung der</w:t>
            </w:r>
            <w:r>
              <w:rPr>
                <w:sz w:val="20"/>
                <w:szCs w:val="20"/>
              </w:rPr>
              <w:t xml:space="preserve"> aufgeforderten</w:t>
            </w:r>
            <w:r w:rsidRPr="000F36AE">
              <w:rPr>
                <w:sz w:val="20"/>
                <w:szCs w:val="20"/>
              </w:rPr>
              <w:t xml:space="preserve"> Gruppe gegenüber der Regierung oder dem Gesetz </w:t>
            </w:r>
            <w:r>
              <w:rPr>
                <w:sz w:val="20"/>
                <w:szCs w:val="20"/>
              </w:rPr>
              <w:t xml:space="preserve">konnte </w:t>
            </w:r>
            <w:r w:rsidRPr="000F36AE">
              <w:rPr>
                <w:sz w:val="20"/>
                <w:szCs w:val="20"/>
              </w:rPr>
              <w:t>die Bekanntmachung</w:t>
            </w:r>
            <w:r>
              <w:rPr>
                <w:sz w:val="20"/>
                <w:szCs w:val="20"/>
              </w:rPr>
              <w:t xml:space="preserve"> der </w:t>
            </w:r>
            <w:r w:rsidRPr="000F36AE">
              <w:rPr>
                <w:sz w:val="20"/>
                <w:szCs w:val="20"/>
              </w:rPr>
              <w:t xml:space="preserve">deutsch-amerikanischen Bürgergruppe </w:t>
            </w:r>
            <w:r>
              <w:rPr>
                <w:sz w:val="20"/>
                <w:szCs w:val="20"/>
              </w:rPr>
              <w:t xml:space="preserve">also gar </w:t>
            </w:r>
            <w:r w:rsidRPr="000F36AE">
              <w:rPr>
                <w:sz w:val="20"/>
                <w:szCs w:val="20"/>
              </w:rPr>
              <w:t xml:space="preserve">nicht </w:t>
            </w:r>
            <w:r>
              <w:rPr>
                <w:sz w:val="20"/>
                <w:szCs w:val="20"/>
              </w:rPr>
              <w:t>da</w:t>
            </w:r>
            <w:r w:rsidRPr="000F36AE">
              <w:rPr>
                <w:sz w:val="20"/>
                <w:szCs w:val="20"/>
              </w:rPr>
              <w:t xml:space="preserve">zu </w:t>
            </w:r>
            <w:r>
              <w:rPr>
                <w:sz w:val="20"/>
                <w:szCs w:val="20"/>
              </w:rPr>
              <w:t>auffordern, den Wehrdienst zu verweigern</w:t>
            </w:r>
            <w:r w:rsidRPr="000F36AE">
              <w:rPr>
                <w:sz w:val="20"/>
                <w:szCs w:val="20"/>
              </w:rPr>
              <w:t xml:space="preserve">. </w:t>
            </w:r>
            <w:r>
              <w:rPr>
                <w:sz w:val="20"/>
                <w:szCs w:val="20"/>
              </w:rPr>
              <w:t>Und d</w:t>
            </w:r>
            <w:r w:rsidRPr="000F36AE">
              <w:rPr>
                <w:sz w:val="20"/>
                <w:szCs w:val="20"/>
              </w:rPr>
              <w:t>ie Beweise</w:t>
            </w:r>
            <w:r>
              <w:rPr>
                <w:sz w:val="20"/>
                <w:szCs w:val="20"/>
              </w:rPr>
              <w:t xml:space="preserve"> sowie die</w:t>
            </w:r>
            <w:r w:rsidRPr="000F36AE">
              <w:rPr>
                <w:sz w:val="20"/>
                <w:szCs w:val="20"/>
              </w:rPr>
              <w:t xml:space="preserve"> mündlichen Aussagen der Mitverschwörer bei Gruppentreffen</w:t>
            </w:r>
            <w:r>
              <w:rPr>
                <w:sz w:val="20"/>
                <w:szCs w:val="20"/>
              </w:rPr>
              <w:t xml:space="preserve"> widersprachen der Behauptung</w:t>
            </w:r>
            <w:r w:rsidRPr="000F36AE">
              <w:rPr>
                <w:sz w:val="20"/>
                <w:szCs w:val="20"/>
              </w:rPr>
              <w:t xml:space="preserve">, dass </w:t>
            </w:r>
            <w:r>
              <w:rPr>
                <w:sz w:val="20"/>
                <w:szCs w:val="20"/>
              </w:rPr>
              <w:t xml:space="preserve">die </w:t>
            </w:r>
            <w:r w:rsidRPr="000F36AE">
              <w:rPr>
                <w:sz w:val="20"/>
                <w:szCs w:val="20"/>
              </w:rPr>
              <w:t xml:space="preserve">deutsch-amerikanische Bürgergruppe </w:t>
            </w:r>
            <w:r>
              <w:rPr>
                <w:sz w:val="20"/>
                <w:szCs w:val="20"/>
              </w:rPr>
              <w:t xml:space="preserve">überhaupt </w:t>
            </w:r>
            <w:r w:rsidRPr="000F36AE">
              <w:rPr>
                <w:sz w:val="20"/>
                <w:szCs w:val="20"/>
              </w:rPr>
              <w:t>zu</w:t>
            </w:r>
            <w:r>
              <w:rPr>
                <w:sz w:val="20"/>
                <w:szCs w:val="20"/>
              </w:rPr>
              <w:t xml:space="preserve"> einer</w:t>
            </w:r>
            <w:r w:rsidRPr="000F36AE">
              <w:rPr>
                <w:sz w:val="20"/>
                <w:szCs w:val="20"/>
              </w:rPr>
              <w:t xml:space="preserve"> Dienstverweigerung </w:t>
            </w:r>
            <w:r>
              <w:rPr>
                <w:sz w:val="20"/>
                <w:szCs w:val="20"/>
              </w:rPr>
              <w:t>im Sinne von § </w:t>
            </w:r>
            <w:r w:rsidRPr="000F36AE">
              <w:rPr>
                <w:sz w:val="20"/>
                <w:szCs w:val="20"/>
              </w:rPr>
              <w:t>11 des Gesetzes</w:t>
            </w:r>
            <w:r>
              <w:rPr>
                <w:sz w:val="20"/>
                <w:szCs w:val="20"/>
              </w:rPr>
              <w:t xml:space="preserve"> </w:t>
            </w:r>
            <w:r w:rsidRPr="000F36AE">
              <w:rPr>
                <w:sz w:val="20"/>
                <w:szCs w:val="20"/>
              </w:rPr>
              <w:t>riet.</w:t>
            </w:r>
            <w:r>
              <w:rPr>
                <w:sz w:val="20"/>
                <w:szCs w:val="20"/>
              </w:rPr>
              <w:t xml:space="preserve"> Deshalb hob der U.S. Supreme Court d</w:t>
            </w:r>
            <w:r w:rsidRPr="000F36AE">
              <w:rPr>
                <w:sz w:val="20"/>
                <w:szCs w:val="20"/>
              </w:rPr>
              <w:t>as Urteil des Berufungsgerichts auf</w:t>
            </w:r>
            <w:r>
              <w:rPr>
                <w:sz w:val="20"/>
                <w:szCs w:val="20"/>
              </w:rPr>
              <w:t xml:space="preserve"> – </w:t>
            </w:r>
            <w:r w:rsidRPr="000F36AE">
              <w:rPr>
                <w:sz w:val="20"/>
                <w:szCs w:val="20"/>
              </w:rPr>
              <w:t xml:space="preserve">und </w:t>
            </w:r>
            <w:r>
              <w:rPr>
                <w:sz w:val="20"/>
                <w:szCs w:val="20"/>
              </w:rPr>
              <w:t xml:space="preserve">damit </w:t>
            </w:r>
            <w:r w:rsidRPr="000F36AE">
              <w:rPr>
                <w:sz w:val="20"/>
                <w:szCs w:val="20"/>
              </w:rPr>
              <w:t xml:space="preserve">die Verurteilung des Häftlings. </w:t>
            </w:r>
          </w:p>
          <w:p w14:paraId="1A365878" w14:textId="77777777" w:rsidR="00074551" w:rsidRPr="007D1CA0" w:rsidRDefault="00074551" w:rsidP="00367133">
            <w:pPr>
              <w:jc w:val="both"/>
              <w:rPr>
                <w:sz w:val="20"/>
                <w:szCs w:val="20"/>
              </w:rPr>
            </w:pPr>
          </w:p>
        </w:tc>
        <w:tc>
          <w:tcPr>
            <w:tcW w:w="1822" w:type="pct"/>
          </w:tcPr>
          <w:p w14:paraId="31ECA0DA" w14:textId="77777777" w:rsidR="00074551" w:rsidRPr="00B45592" w:rsidRDefault="00074551" w:rsidP="00367133">
            <w:pPr>
              <w:rPr>
                <w:i/>
                <w:iCs/>
                <w:sz w:val="20"/>
                <w:szCs w:val="20"/>
              </w:rPr>
            </w:pPr>
            <w:r w:rsidRPr="00B45592">
              <w:rPr>
                <w:i/>
                <w:sz w:val="20"/>
                <w:szCs w:val="20"/>
              </w:rPr>
              <w:t xml:space="preserve">LexisNexis-Klassifikation: </w:t>
            </w:r>
            <w:proofErr w:type="spellStart"/>
            <w:r w:rsidRPr="00B45592">
              <w:rPr>
                <w:i/>
                <w:sz w:val="20"/>
                <w:szCs w:val="20"/>
              </w:rPr>
              <w:t>Congressional</w:t>
            </w:r>
            <w:proofErr w:type="spellEnd"/>
            <w:r w:rsidRPr="00B45592">
              <w:rPr>
                <w:i/>
                <w:sz w:val="20"/>
                <w:szCs w:val="20"/>
              </w:rPr>
              <w:t xml:space="preserve"> </w:t>
            </w:r>
            <w:proofErr w:type="spellStart"/>
            <w:r w:rsidRPr="00B45592">
              <w:rPr>
                <w:i/>
                <w:sz w:val="20"/>
                <w:szCs w:val="20"/>
              </w:rPr>
              <w:t>Duties</w:t>
            </w:r>
            <w:proofErr w:type="spellEnd"/>
            <w:r w:rsidRPr="00B45592">
              <w:rPr>
                <w:i/>
                <w:sz w:val="20"/>
                <w:szCs w:val="20"/>
              </w:rPr>
              <w:t xml:space="preserve"> &amp; Powers</w:t>
            </w:r>
            <w:r w:rsidRPr="00B45592">
              <w:rPr>
                <w:i/>
                <w:iCs/>
                <w:sz w:val="20"/>
                <w:szCs w:val="20"/>
              </w:rPr>
              <w:t xml:space="preserve"> › </w:t>
            </w:r>
            <w:r w:rsidRPr="00B45592">
              <w:rPr>
                <w:i/>
                <w:sz w:val="20"/>
                <w:szCs w:val="20"/>
              </w:rPr>
              <w:t>Governments › Legislation › Interpretation</w:t>
            </w:r>
          </w:p>
          <w:p w14:paraId="5DE399F2" w14:textId="77777777" w:rsidR="00074551" w:rsidRPr="00327580" w:rsidRDefault="00074551" w:rsidP="00367133">
            <w:pPr>
              <w:rPr>
                <w:sz w:val="20"/>
                <w:szCs w:val="20"/>
              </w:rPr>
            </w:pPr>
          </w:p>
          <w:p w14:paraId="7F95AF14" w14:textId="77777777" w:rsidR="00074551" w:rsidRPr="008B6972" w:rsidRDefault="00074551" w:rsidP="00367133">
            <w:pPr>
              <w:rPr>
                <w:sz w:val="20"/>
                <w:szCs w:val="20"/>
              </w:rPr>
            </w:pPr>
            <w:r w:rsidRPr="008B6972">
              <w:rPr>
                <w:sz w:val="20"/>
                <w:szCs w:val="20"/>
              </w:rPr>
              <w:t>Insgesamt müsse der Gesetzgeber bei Gesetzes</w:t>
            </w:r>
            <w:r>
              <w:rPr>
                <w:sz w:val="20"/>
                <w:szCs w:val="20"/>
              </w:rPr>
              <w:t>i</w:t>
            </w:r>
            <w:r w:rsidRPr="008B6972">
              <w:rPr>
                <w:sz w:val="20"/>
                <w:szCs w:val="20"/>
              </w:rPr>
              <w:t xml:space="preserve">nitiativen das gleiche Streben nach Glück beachten. 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8B6972">
              <w:rPr>
                <w:sz w:val="20"/>
                <w:szCs w:val="20"/>
              </w:rPr>
              <w:t xml:space="preserve"> stimmt mit der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8B6972">
              <w:rPr>
                <w:sz w:val="20"/>
                <w:szCs w:val="20"/>
              </w:rPr>
              <w:t xml:space="preserve"> darin überein, dass </w:t>
            </w:r>
            <w:r>
              <w:rPr>
                <w:sz w:val="20"/>
                <w:szCs w:val="20"/>
              </w:rPr>
              <w:t>im</w:t>
            </w:r>
            <w:r w:rsidRPr="008B6972">
              <w:rPr>
                <w:sz w:val="20"/>
                <w:szCs w:val="20"/>
              </w:rPr>
              <w:t xml:space="preserve"> Fall </w:t>
            </w:r>
            <w:r>
              <w:rPr>
                <w:sz w:val="20"/>
                <w:szCs w:val="20"/>
              </w:rPr>
              <w:t xml:space="preserve">die </w:t>
            </w:r>
            <w:r w:rsidRPr="008B6972">
              <w:rPr>
                <w:sz w:val="20"/>
                <w:szCs w:val="20"/>
              </w:rPr>
              <w:t>Beweise nicht ausreich</w:t>
            </w:r>
            <w:r>
              <w:rPr>
                <w:sz w:val="20"/>
                <w:szCs w:val="20"/>
              </w:rPr>
              <w:t>t</w:t>
            </w:r>
            <w:r w:rsidRPr="008B6972">
              <w:rPr>
                <w:sz w:val="20"/>
                <w:szCs w:val="20"/>
              </w:rPr>
              <w:t>en, um jemanden zu verurteilen, weil er Kritik an einem Gesetz übe, hier a</w:t>
            </w:r>
            <w:r>
              <w:rPr>
                <w:sz w:val="20"/>
                <w:szCs w:val="20"/>
              </w:rPr>
              <w:t>n einem</w:t>
            </w:r>
            <w:r w:rsidRPr="008B6972">
              <w:rPr>
                <w:sz w:val="20"/>
                <w:szCs w:val="20"/>
              </w:rPr>
              <w:t xml:space="preserve"> Abschnitt des </w:t>
            </w:r>
            <w:proofErr w:type="spellStart"/>
            <w:r w:rsidRPr="008B6972">
              <w:rPr>
                <w:sz w:val="20"/>
                <w:szCs w:val="20"/>
              </w:rPr>
              <w:t>Selective</w:t>
            </w:r>
            <w:proofErr w:type="spellEnd"/>
            <w:r w:rsidRPr="008B6972">
              <w:rPr>
                <w:sz w:val="20"/>
                <w:szCs w:val="20"/>
              </w:rPr>
              <w:t xml:space="preserve"> Service Act; der Abschnitt räumte ehrenhaft entlassene</w:t>
            </w:r>
            <w:r>
              <w:rPr>
                <w:sz w:val="20"/>
                <w:szCs w:val="20"/>
              </w:rPr>
              <w:t>n</w:t>
            </w:r>
            <w:r w:rsidRPr="008B6972">
              <w:rPr>
                <w:sz w:val="20"/>
                <w:szCs w:val="20"/>
              </w:rPr>
              <w:t xml:space="preserve"> Soldaten bei ihrer Wiederbeschäftigung durch öffentliche oder private Arbeitgeber Vorzugsrechte ein. Und er ordnete strafrechtliche Folgen an, wenn man gegen den Wehrdienst aufrufe. Zwar </w:t>
            </w:r>
            <w:r>
              <w:rPr>
                <w:sz w:val="20"/>
                <w:szCs w:val="20"/>
              </w:rPr>
              <w:t>sei</w:t>
            </w:r>
            <w:r w:rsidRPr="008B6972">
              <w:rPr>
                <w:sz w:val="20"/>
                <w:szCs w:val="20"/>
              </w:rPr>
              <w:t xml:space="preserve"> dieser Abschnitt im Ergebnis verfassungswidrig („</w:t>
            </w:r>
            <w:proofErr w:type="spellStart"/>
            <w:r w:rsidRPr="008B6972">
              <w:rPr>
                <w:sz w:val="20"/>
                <w:szCs w:val="20"/>
              </w:rPr>
              <w:t>obviously</w:t>
            </w:r>
            <w:proofErr w:type="spellEnd"/>
            <w:r w:rsidRPr="008B6972">
              <w:rPr>
                <w:sz w:val="20"/>
                <w:szCs w:val="20"/>
              </w:rPr>
              <w:t xml:space="preserve"> </w:t>
            </w:r>
            <w:proofErr w:type="spellStart"/>
            <w:r w:rsidRPr="008B6972">
              <w:rPr>
                <w:sz w:val="20"/>
                <w:szCs w:val="20"/>
              </w:rPr>
              <w:t>unconstitutional</w:t>
            </w:r>
            <w:proofErr w:type="spellEnd"/>
            <w:r w:rsidRPr="008B6972">
              <w:rPr>
                <w:sz w:val="20"/>
                <w:szCs w:val="20"/>
              </w:rPr>
              <w:t>“</w:t>
            </w:r>
            <w:r w:rsidRPr="008B6972">
              <w:rPr>
                <w:sz w:val="20"/>
                <w:szCs w:val="20"/>
                <w:vertAlign w:val="superscript"/>
              </w:rPr>
              <w:footnoteReference w:id="389"/>
            </w:r>
            <w:r w:rsidRPr="008B6972">
              <w:rPr>
                <w:sz w:val="20"/>
                <w:szCs w:val="20"/>
              </w:rPr>
              <w:t xml:space="preserve">). Aber der Gesetzgeber </w:t>
            </w:r>
            <w:r>
              <w:rPr>
                <w:sz w:val="20"/>
                <w:szCs w:val="20"/>
              </w:rPr>
              <w:t>könne</w:t>
            </w:r>
            <w:r w:rsidRPr="008B6972">
              <w:rPr>
                <w:sz w:val="20"/>
                <w:szCs w:val="20"/>
              </w:rPr>
              <w:t xml:space="preserve"> Laien nicht unter Androhung strafrechtlicher Verfolgung die Pflicht auferlegen, Gesetzesbestimmungen wie folgt zu trennen: </w:t>
            </w:r>
            <w:r>
              <w:rPr>
                <w:sz w:val="20"/>
                <w:szCs w:val="20"/>
              </w:rPr>
              <w:t>in</w:t>
            </w:r>
            <w:r w:rsidRPr="008B6972">
              <w:rPr>
                <w:sz w:val="20"/>
                <w:szCs w:val="20"/>
              </w:rPr>
              <w:t xml:space="preserve"> Bestimmungen, gegen die protestiert werden kann</w:t>
            </w:r>
            <w:r>
              <w:rPr>
                <w:sz w:val="20"/>
                <w:szCs w:val="20"/>
              </w:rPr>
              <w:t>,</w:t>
            </w:r>
            <w:r w:rsidRPr="008B6972">
              <w:rPr>
                <w:sz w:val="20"/>
                <w:szCs w:val="20"/>
              </w:rPr>
              <w:t xml:space="preserve"> und die, gegen die ein Protest strafrechtlich relevante Folgen hervorrufe. Denn damit lege der Gesetzgeber Laien die Pflicht auf, verfassungsrechtliche Fragen zu lösen. Und bei diese</w:t>
            </w:r>
            <w:r>
              <w:rPr>
                <w:sz w:val="20"/>
                <w:szCs w:val="20"/>
              </w:rPr>
              <w:t>n</w:t>
            </w:r>
            <w:r w:rsidRPr="008B6972">
              <w:rPr>
                <w:sz w:val="20"/>
                <w:szCs w:val="20"/>
              </w:rPr>
              <w:t xml:space="preserve"> Fragen könnten womöglich Gerichte selbst noch uneinig sein.</w:t>
            </w:r>
            <w:r w:rsidRPr="008B6972">
              <w:rPr>
                <w:sz w:val="20"/>
                <w:szCs w:val="20"/>
                <w:vertAlign w:val="superscript"/>
              </w:rPr>
              <w:footnoteReference w:id="390"/>
            </w:r>
            <w:r w:rsidRPr="008B6972">
              <w:rPr>
                <w:sz w:val="20"/>
                <w:szCs w:val="20"/>
              </w:rPr>
              <w:t xml:space="preserve"> Doch woher stammt die Argumentation zur Verfassungswidrigkeit? Das Gesetz verstoße u.a. gegen das gleiche Streben nach Glück. Das drückt sich hier generell so</w:t>
            </w:r>
            <w:r>
              <w:rPr>
                <w:sz w:val="20"/>
                <w:szCs w:val="20"/>
              </w:rPr>
              <w:t xml:space="preserve"> aus</w:t>
            </w:r>
            <w:r w:rsidRPr="008B6972">
              <w:rPr>
                <w:sz w:val="20"/>
                <w:szCs w:val="20"/>
              </w:rPr>
              <w:t>: Berufe und Planstellen seien gleichermaßen für jeden offen zu halten und beim Schutz dieses Rechts seien alle vor dem Gesetz gleich; jede Einschränkung dieser Rechte wirke wie eine Bestrafung und müsse entsprechend gerechtfertigt werden</w:t>
            </w:r>
            <w:r>
              <w:rPr>
                <w:sz w:val="20"/>
                <w:szCs w:val="20"/>
              </w:rPr>
              <w:t>. W</w:t>
            </w:r>
            <w:r w:rsidRPr="008B6972">
              <w:rPr>
                <w:sz w:val="20"/>
                <w:szCs w:val="20"/>
              </w:rPr>
              <w:t xml:space="preserve">enn nun eine staatliche Maßnahme ein solches Verhalten doch einschränken </w:t>
            </w:r>
            <w:r>
              <w:rPr>
                <w:sz w:val="20"/>
                <w:szCs w:val="20"/>
              </w:rPr>
              <w:t>wolle</w:t>
            </w:r>
            <w:r w:rsidRPr="008B6972">
              <w:rPr>
                <w:sz w:val="20"/>
                <w:szCs w:val="20"/>
              </w:rPr>
              <w:t>, dann bedürfe sie eines strengen, rechtsstaatlichen Verfahrens, sonst sei eine Einschränkung einem „</w:t>
            </w:r>
            <w:proofErr w:type="spellStart"/>
            <w:r w:rsidRPr="008B6972">
              <w:rPr>
                <w:sz w:val="20"/>
                <w:szCs w:val="20"/>
              </w:rPr>
              <w:t>bill</w:t>
            </w:r>
            <w:proofErr w:type="spellEnd"/>
            <w:r w:rsidRPr="008B6972">
              <w:rPr>
                <w:sz w:val="20"/>
                <w:szCs w:val="20"/>
              </w:rPr>
              <w:t xml:space="preserve"> of </w:t>
            </w:r>
            <w:proofErr w:type="spellStart"/>
            <w:r w:rsidRPr="008B6972">
              <w:rPr>
                <w:sz w:val="20"/>
                <w:szCs w:val="20"/>
              </w:rPr>
              <w:t>attainder</w:t>
            </w:r>
            <w:proofErr w:type="spellEnd"/>
            <w:r w:rsidRPr="008B6972">
              <w:rPr>
                <w:sz w:val="20"/>
                <w:szCs w:val="20"/>
              </w:rPr>
              <w:t>“</w:t>
            </w:r>
            <w:r w:rsidRPr="008B6972">
              <w:rPr>
                <w:sz w:val="20"/>
                <w:szCs w:val="20"/>
                <w:vertAlign w:val="superscript"/>
              </w:rPr>
              <w:t xml:space="preserve"> </w:t>
            </w:r>
            <w:r w:rsidRPr="008B6972">
              <w:rPr>
                <w:sz w:val="20"/>
                <w:szCs w:val="20"/>
                <w:vertAlign w:val="superscript"/>
              </w:rPr>
              <w:footnoteReference w:id="391"/>
            </w:r>
            <w:r w:rsidRPr="008B6972">
              <w:rPr>
                <w:sz w:val="20"/>
                <w:szCs w:val="20"/>
                <w:vertAlign w:val="superscript"/>
              </w:rPr>
              <w:t xml:space="preserve"> </w:t>
            </w:r>
            <w:r w:rsidRPr="008B6972">
              <w:rPr>
                <w:sz w:val="20"/>
                <w:szCs w:val="20"/>
              </w:rPr>
              <w:t>vergleichbar</w:t>
            </w:r>
            <w:r>
              <w:rPr>
                <w:sz w:val="20"/>
                <w:szCs w:val="20"/>
              </w:rPr>
              <w:t>. Die</w:t>
            </w:r>
            <w:r w:rsidRPr="008B6972">
              <w:rPr>
                <w:sz w:val="20"/>
                <w:szCs w:val="20"/>
              </w:rPr>
              <w:t xml:space="preserve"> Grenze dieser Schranke bilde </w:t>
            </w:r>
            <w:r>
              <w:rPr>
                <w:sz w:val="20"/>
                <w:szCs w:val="20"/>
              </w:rPr>
              <w:t>wiederum</w:t>
            </w:r>
            <w:r w:rsidRPr="008B6972">
              <w:rPr>
                <w:sz w:val="20"/>
                <w:szCs w:val="20"/>
              </w:rPr>
              <w:t xml:space="preserve"> eine Klassifikation</w:t>
            </w:r>
            <w:r>
              <w:rPr>
                <w:sz w:val="20"/>
                <w:szCs w:val="20"/>
              </w:rPr>
              <w:t>,</w:t>
            </w:r>
            <w:r w:rsidRPr="008B6972">
              <w:rPr>
                <w:sz w:val="20"/>
                <w:szCs w:val="20"/>
              </w:rPr>
              <w:t xml:space="preserve"> wie hier in Soldaten und Nichtsoldaten; diese widerspreche dem Grundgedanken des gleichen Strebens nach Glück.</w:t>
            </w:r>
            <w:r w:rsidRPr="008B6972">
              <w:rPr>
                <w:sz w:val="20"/>
                <w:szCs w:val="20"/>
                <w:vertAlign w:val="superscript"/>
              </w:rPr>
              <w:footnoteReference w:id="392"/>
            </w:r>
            <w:r w:rsidRPr="008B6972">
              <w:rPr>
                <w:sz w:val="20"/>
                <w:szCs w:val="20"/>
              </w:rPr>
              <w:t xml:space="preserve"> Denn allein der Gedanke des Abschnitts des </w:t>
            </w:r>
            <w:proofErr w:type="spellStart"/>
            <w:r w:rsidRPr="00B45592">
              <w:rPr>
                <w:i/>
                <w:sz w:val="20"/>
                <w:szCs w:val="20"/>
              </w:rPr>
              <w:t>Selective</w:t>
            </w:r>
            <w:proofErr w:type="spellEnd"/>
            <w:r w:rsidRPr="00B45592">
              <w:rPr>
                <w:i/>
                <w:sz w:val="20"/>
                <w:szCs w:val="20"/>
              </w:rPr>
              <w:t xml:space="preserve"> Service Act</w:t>
            </w:r>
            <w:r w:rsidRPr="008B6972">
              <w:rPr>
                <w:sz w:val="20"/>
                <w:szCs w:val="20"/>
              </w:rPr>
              <w:t xml:space="preserve"> stigmatisiere Wehrdienstverweigerer, es mache sie unwürdiger dafür, z.B. eine</w:t>
            </w:r>
            <w:r>
              <w:rPr>
                <w:sz w:val="20"/>
                <w:szCs w:val="20"/>
              </w:rPr>
              <w:t>r</w:t>
            </w:r>
            <w:r w:rsidRPr="008B6972">
              <w:rPr>
                <w:sz w:val="20"/>
                <w:szCs w:val="20"/>
              </w:rPr>
              <w:t xml:space="preserve"> Arbeit nachzugehen und ihren Lebensunterhalt zu verdienen.</w:t>
            </w:r>
            <w:r w:rsidRPr="008B6972">
              <w:rPr>
                <w:sz w:val="20"/>
                <w:szCs w:val="20"/>
                <w:vertAlign w:val="superscript"/>
              </w:rPr>
              <w:footnoteReference w:id="393"/>
            </w:r>
          </w:p>
          <w:p w14:paraId="2C6A8E20" w14:textId="77777777" w:rsidR="00074551" w:rsidRPr="00E50B51" w:rsidRDefault="00074551" w:rsidP="00367133">
            <w:pPr>
              <w:jc w:val="both"/>
              <w:rPr>
                <w:sz w:val="20"/>
                <w:szCs w:val="20"/>
              </w:rPr>
            </w:pPr>
          </w:p>
        </w:tc>
      </w:tr>
      <w:tr w:rsidR="00074551" w:rsidRPr="00E50B51" w14:paraId="3BC46FE9" w14:textId="77777777" w:rsidTr="00BE689F">
        <w:trPr>
          <w:cantSplit/>
          <w:trHeight w:val="3175"/>
        </w:trPr>
        <w:tc>
          <w:tcPr>
            <w:tcW w:w="293" w:type="pct"/>
          </w:tcPr>
          <w:p w14:paraId="073B074F"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7E941612"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121FAF79" w14:textId="77777777" w:rsidR="00074551" w:rsidRPr="00B45592" w:rsidRDefault="00074551" w:rsidP="00367133">
            <w:pPr>
              <w:ind w:left="113" w:right="113"/>
              <w:jc w:val="both"/>
              <w:rPr>
                <w:i/>
                <w:sz w:val="20"/>
                <w:szCs w:val="20"/>
              </w:rPr>
            </w:pPr>
            <w:r w:rsidRPr="00B45592">
              <w:rPr>
                <w:i/>
                <w:sz w:val="20"/>
                <w:szCs w:val="20"/>
                <w:lang w:val="en-US"/>
              </w:rPr>
              <w:t xml:space="preserve">Monell v. </w:t>
            </w:r>
            <w:proofErr w:type="spellStart"/>
            <w:r w:rsidRPr="00B45592">
              <w:rPr>
                <w:i/>
                <w:sz w:val="20"/>
                <w:szCs w:val="20"/>
                <w:lang w:val="en-US"/>
              </w:rPr>
              <w:t>Dep’t</w:t>
            </w:r>
            <w:proofErr w:type="spellEnd"/>
            <w:r w:rsidRPr="00B45592">
              <w:rPr>
                <w:i/>
                <w:sz w:val="20"/>
                <w:szCs w:val="20"/>
                <w:lang w:val="en-US"/>
              </w:rPr>
              <w:t xml:space="preserve"> of Soc. </w:t>
            </w:r>
            <w:proofErr w:type="spellStart"/>
            <w:r w:rsidRPr="00B45592">
              <w:rPr>
                <w:i/>
                <w:sz w:val="20"/>
                <w:szCs w:val="20"/>
              </w:rPr>
              <w:t>Servs</w:t>
            </w:r>
            <w:proofErr w:type="spellEnd"/>
            <w:r w:rsidRPr="00B45592">
              <w:rPr>
                <w:i/>
                <w:sz w:val="20"/>
                <w:szCs w:val="20"/>
              </w:rPr>
              <w:t>.</w:t>
            </w:r>
          </w:p>
        </w:tc>
        <w:tc>
          <w:tcPr>
            <w:tcW w:w="197" w:type="pct"/>
            <w:textDirection w:val="tbRl"/>
            <w:vAlign w:val="center"/>
          </w:tcPr>
          <w:p w14:paraId="649B5CE4" w14:textId="77777777" w:rsidR="00074551" w:rsidRPr="00257307" w:rsidRDefault="00074551" w:rsidP="00367133">
            <w:pPr>
              <w:ind w:left="113" w:right="113"/>
              <w:jc w:val="both"/>
              <w:rPr>
                <w:sz w:val="20"/>
                <w:szCs w:val="20"/>
              </w:rPr>
            </w:pPr>
            <w:r w:rsidRPr="00257307">
              <w:rPr>
                <w:sz w:val="20"/>
                <w:szCs w:val="20"/>
              </w:rPr>
              <w:t>436 U.S. 658</w:t>
            </w:r>
          </w:p>
        </w:tc>
        <w:tc>
          <w:tcPr>
            <w:tcW w:w="306" w:type="pct"/>
            <w:textDirection w:val="tbRl"/>
            <w:vAlign w:val="center"/>
          </w:tcPr>
          <w:p w14:paraId="37478FEA" w14:textId="77777777" w:rsidR="00074551" w:rsidRDefault="00074551" w:rsidP="00367133">
            <w:pPr>
              <w:ind w:left="113" w:right="113"/>
              <w:jc w:val="both"/>
              <w:rPr>
                <w:sz w:val="20"/>
                <w:szCs w:val="20"/>
              </w:rPr>
            </w:pPr>
            <w:r>
              <w:rPr>
                <w:sz w:val="20"/>
                <w:szCs w:val="20"/>
                <w:lang w:val="en-US"/>
              </w:rPr>
              <w:t>6. Juni 1978</w:t>
            </w:r>
          </w:p>
        </w:tc>
        <w:tc>
          <w:tcPr>
            <w:tcW w:w="401" w:type="pct"/>
          </w:tcPr>
          <w:p w14:paraId="4F68CBDD" w14:textId="77777777" w:rsidR="00074551" w:rsidRDefault="00074551" w:rsidP="00367133">
            <w:pPr>
              <w:jc w:val="center"/>
              <w:rPr>
                <w:sz w:val="20"/>
                <w:szCs w:val="20"/>
                <w:lang w:val="en-US"/>
              </w:rPr>
            </w:pPr>
            <w:r>
              <w:rPr>
                <w:sz w:val="20"/>
                <w:szCs w:val="20"/>
                <w:lang w:val="en-US"/>
              </w:rPr>
              <w:t>M</w:t>
            </w:r>
          </w:p>
        </w:tc>
        <w:tc>
          <w:tcPr>
            <w:tcW w:w="1594" w:type="pct"/>
          </w:tcPr>
          <w:p w14:paraId="0261BE8C" w14:textId="77777777" w:rsidR="00074551" w:rsidRPr="00F179AD" w:rsidRDefault="00074551" w:rsidP="00367133">
            <w:pPr>
              <w:rPr>
                <w:sz w:val="20"/>
                <w:szCs w:val="20"/>
              </w:rPr>
            </w:pPr>
            <w:r>
              <w:rPr>
                <w:sz w:val="20"/>
                <w:szCs w:val="20"/>
              </w:rPr>
              <w:t>Der U.S. Supreme Court</w:t>
            </w:r>
            <w:r w:rsidRPr="00F179AD">
              <w:rPr>
                <w:sz w:val="20"/>
                <w:szCs w:val="20"/>
              </w:rPr>
              <w:t xml:space="preserve"> hob </w:t>
            </w:r>
            <w:r>
              <w:rPr>
                <w:sz w:val="20"/>
                <w:szCs w:val="20"/>
              </w:rPr>
              <w:t>eine</w:t>
            </w:r>
            <w:r w:rsidRPr="00F179AD">
              <w:rPr>
                <w:sz w:val="20"/>
                <w:szCs w:val="20"/>
              </w:rPr>
              <w:t xml:space="preserve"> Entscheidung des Berufungsgerichts auf.</w:t>
            </w:r>
            <w:r>
              <w:rPr>
                <w:sz w:val="20"/>
                <w:szCs w:val="20"/>
              </w:rPr>
              <w:t xml:space="preserve"> E</w:t>
            </w:r>
            <w:r w:rsidRPr="00F179AD">
              <w:rPr>
                <w:sz w:val="20"/>
                <w:szCs w:val="20"/>
              </w:rPr>
              <w:t xml:space="preserve">ine Gruppe von Angestellten </w:t>
            </w:r>
            <w:r>
              <w:rPr>
                <w:sz w:val="20"/>
                <w:szCs w:val="20"/>
              </w:rPr>
              <w:t>begehrte, ein Urteil des</w:t>
            </w:r>
            <w:r w:rsidRPr="00F179AD">
              <w:rPr>
                <w:sz w:val="20"/>
                <w:szCs w:val="20"/>
              </w:rPr>
              <w:t xml:space="preserve"> </w:t>
            </w:r>
            <w:r>
              <w:rPr>
                <w:sz w:val="20"/>
                <w:szCs w:val="20"/>
              </w:rPr>
              <w:t>Berufungsgerichts überprüfen zu lassen.</w:t>
            </w:r>
            <w:r w:rsidRPr="00F179AD">
              <w:rPr>
                <w:sz w:val="20"/>
                <w:szCs w:val="20"/>
              </w:rPr>
              <w:t xml:space="preserve"> Dieses hatte ihren </w:t>
            </w:r>
            <w:r w:rsidRPr="001C19AD">
              <w:rPr>
                <w:sz w:val="20"/>
                <w:szCs w:val="20"/>
              </w:rPr>
              <w:t>Antrag</w:t>
            </w:r>
            <w:r>
              <w:rPr>
                <w:sz w:val="20"/>
                <w:szCs w:val="20"/>
              </w:rPr>
              <w:t xml:space="preserve"> </w:t>
            </w:r>
            <w:r w:rsidRPr="001C19AD">
              <w:rPr>
                <w:sz w:val="20"/>
                <w:szCs w:val="20"/>
              </w:rPr>
              <w:t xml:space="preserve">abgewiesen, </w:t>
            </w:r>
            <w:r>
              <w:rPr>
                <w:sz w:val="20"/>
                <w:szCs w:val="20"/>
              </w:rPr>
              <w:t>als</w:t>
            </w:r>
            <w:r w:rsidRPr="001C19AD">
              <w:rPr>
                <w:sz w:val="20"/>
                <w:szCs w:val="20"/>
              </w:rPr>
              <w:t xml:space="preserve"> </w:t>
            </w:r>
            <w:r>
              <w:rPr>
                <w:sz w:val="20"/>
                <w:szCs w:val="20"/>
              </w:rPr>
              <w:t>s</w:t>
            </w:r>
            <w:r w:rsidRPr="001C19AD">
              <w:rPr>
                <w:sz w:val="20"/>
                <w:szCs w:val="20"/>
              </w:rPr>
              <w:t>chwangere Mitarbeite</w:t>
            </w:r>
            <w:r>
              <w:rPr>
                <w:sz w:val="20"/>
                <w:szCs w:val="20"/>
              </w:rPr>
              <w:t>rinnen</w:t>
            </w:r>
            <w:r w:rsidRPr="001C19AD">
              <w:rPr>
                <w:sz w:val="20"/>
                <w:szCs w:val="20"/>
              </w:rPr>
              <w:t xml:space="preserve"> für medizinisch nicht indizierten Zwangsurlaub</w:t>
            </w:r>
            <w:r>
              <w:rPr>
                <w:sz w:val="20"/>
                <w:szCs w:val="20"/>
              </w:rPr>
              <w:t>, der auf einer veröffentlichten Richtlinie basierte,</w:t>
            </w:r>
            <w:r>
              <w:rPr>
                <w:rStyle w:val="Funotenzeichen"/>
                <w:sz w:val="20"/>
                <w:szCs w:val="20"/>
              </w:rPr>
              <w:footnoteReference w:id="394"/>
            </w:r>
            <w:r w:rsidRPr="001C19AD">
              <w:rPr>
                <w:sz w:val="20"/>
                <w:szCs w:val="20"/>
              </w:rPr>
              <w:t xml:space="preserve"> Gehalt zu erhalten</w:t>
            </w:r>
            <w:r>
              <w:rPr>
                <w:sz w:val="20"/>
                <w:szCs w:val="20"/>
              </w:rPr>
              <w:t>. Es hatte zudem entschieden, dass</w:t>
            </w:r>
            <w:r w:rsidRPr="00F179AD">
              <w:rPr>
                <w:sz w:val="20"/>
                <w:szCs w:val="20"/>
              </w:rPr>
              <w:t xml:space="preserve"> eine Schadensersatzklage </w:t>
            </w:r>
            <w:r>
              <w:rPr>
                <w:sz w:val="20"/>
                <w:szCs w:val="20"/>
              </w:rPr>
              <w:t xml:space="preserve">aufgrund der Ablehnung von Gehaltszahlungen </w:t>
            </w:r>
            <w:r w:rsidRPr="00F179AD">
              <w:rPr>
                <w:sz w:val="20"/>
                <w:szCs w:val="20"/>
              </w:rPr>
              <w:t xml:space="preserve">gegen </w:t>
            </w:r>
            <w:r>
              <w:rPr>
                <w:sz w:val="20"/>
                <w:szCs w:val="20"/>
              </w:rPr>
              <w:t xml:space="preserve">die </w:t>
            </w:r>
            <w:r w:rsidRPr="00F179AD">
              <w:rPr>
                <w:sz w:val="20"/>
                <w:szCs w:val="20"/>
              </w:rPr>
              <w:t>Beamte</w:t>
            </w:r>
            <w:r>
              <w:rPr>
                <w:sz w:val="20"/>
                <w:szCs w:val="20"/>
              </w:rPr>
              <w:t>n, die aufgrund obiger Richtlinie</w:t>
            </w:r>
            <w:r w:rsidRPr="00F179AD">
              <w:rPr>
                <w:sz w:val="20"/>
                <w:szCs w:val="20"/>
              </w:rPr>
              <w:t xml:space="preserve"> </w:t>
            </w:r>
            <w:proofErr w:type="gramStart"/>
            <w:r>
              <w:rPr>
                <w:sz w:val="20"/>
                <w:szCs w:val="20"/>
              </w:rPr>
              <w:t>entschieden</w:t>
            </w:r>
            <w:proofErr w:type="gramEnd"/>
            <w:r>
              <w:rPr>
                <w:sz w:val="20"/>
                <w:szCs w:val="20"/>
              </w:rPr>
              <w:t xml:space="preserve"> hatten, </w:t>
            </w:r>
            <w:r w:rsidRPr="00F179AD">
              <w:rPr>
                <w:sz w:val="20"/>
                <w:szCs w:val="20"/>
              </w:rPr>
              <w:t>nicht zulässig sei</w:t>
            </w:r>
            <w:r>
              <w:rPr>
                <w:sz w:val="20"/>
                <w:szCs w:val="20"/>
              </w:rPr>
              <w:t xml:space="preserve">: Denn diese Richtlinie hätten die Beamten nur </w:t>
            </w:r>
            <w:r w:rsidRPr="00F179AD">
              <w:rPr>
                <w:sz w:val="20"/>
                <w:szCs w:val="20"/>
              </w:rPr>
              <w:t>in ihrer Eigenschaft als städtische Angestellte</w:t>
            </w:r>
            <w:r>
              <w:rPr>
                <w:sz w:val="20"/>
                <w:szCs w:val="20"/>
              </w:rPr>
              <w:t xml:space="preserve"> durchgesetzt und eine</w:t>
            </w:r>
            <w:r w:rsidRPr="00F179AD">
              <w:rPr>
                <w:sz w:val="20"/>
                <w:szCs w:val="20"/>
              </w:rPr>
              <w:t xml:space="preserve"> Stadt </w:t>
            </w:r>
            <w:r>
              <w:rPr>
                <w:sz w:val="20"/>
                <w:szCs w:val="20"/>
              </w:rPr>
              <w:t>genieße Immunität gegen private Klagebegehren. Der Ursprung des Streits war, dass die</w:t>
            </w:r>
            <w:r w:rsidRPr="00F179AD">
              <w:rPr>
                <w:sz w:val="20"/>
                <w:szCs w:val="20"/>
              </w:rPr>
              <w:t xml:space="preserve"> Beklagte</w:t>
            </w:r>
            <w:r>
              <w:rPr>
                <w:sz w:val="20"/>
                <w:szCs w:val="20"/>
              </w:rPr>
              <w:t xml:space="preserve"> </w:t>
            </w:r>
            <w:r w:rsidRPr="00F179AD">
              <w:rPr>
                <w:sz w:val="20"/>
                <w:szCs w:val="20"/>
              </w:rPr>
              <w:t xml:space="preserve">schwangere Angestellte aufgrund einer </w:t>
            </w:r>
            <w:r>
              <w:rPr>
                <w:sz w:val="20"/>
                <w:szCs w:val="20"/>
              </w:rPr>
              <w:t xml:space="preserve">städtischen </w:t>
            </w:r>
            <w:r w:rsidRPr="00F179AD">
              <w:rPr>
                <w:sz w:val="20"/>
                <w:szCs w:val="20"/>
              </w:rPr>
              <w:t>Richtlinie</w:t>
            </w:r>
            <w:r>
              <w:rPr>
                <w:sz w:val="20"/>
                <w:szCs w:val="20"/>
              </w:rPr>
              <w:t xml:space="preserve"> in</w:t>
            </w:r>
            <w:r w:rsidRPr="00F179AD">
              <w:rPr>
                <w:sz w:val="20"/>
                <w:szCs w:val="20"/>
              </w:rPr>
              <w:t xml:space="preserve"> unbezahlten Urlaub </w:t>
            </w:r>
            <w:r>
              <w:rPr>
                <w:sz w:val="20"/>
                <w:szCs w:val="20"/>
              </w:rPr>
              <w:t>versetzte</w:t>
            </w:r>
            <w:r w:rsidRPr="00F179AD">
              <w:rPr>
                <w:sz w:val="20"/>
                <w:szCs w:val="20"/>
              </w:rPr>
              <w:t>,</w:t>
            </w:r>
            <w:r>
              <w:rPr>
                <w:sz w:val="20"/>
                <w:szCs w:val="20"/>
              </w:rPr>
              <w:t xml:space="preserve"> bevor dies aus medizinischen Gründen erforderlich war</w:t>
            </w:r>
            <w:r w:rsidRPr="00F179AD">
              <w:rPr>
                <w:sz w:val="20"/>
                <w:szCs w:val="20"/>
              </w:rPr>
              <w:t xml:space="preserve">. Der </w:t>
            </w:r>
            <w:r>
              <w:rPr>
                <w:sz w:val="20"/>
                <w:szCs w:val="20"/>
              </w:rPr>
              <w:t>U.S. Supreme Court</w:t>
            </w:r>
            <w:r w:rsidRPr="00F179AD">
              <w:rPr>
                <w:sz w:val="20"/>
                <w:szCs w:val="20"/>
              </w:rPr>
              <w:t xml:space="preserve"> hob </w:t>
            </w:r>
            <w:r>
              <w:rPr>
                <w:sz w:val="20"/>
                <w:szCs w:val="20"/>
              </w:rPr>
              <w:t xml:space="preserve">nun </w:t>
            </w:r>
            <w:r w:rsidRPr="00F179AD">
              <w:rPr>
                <w:sz w:val="20"/>
                <w:szCs w:val="20"/>
              </w:rPr>
              <w:t xml:space="preserve">die Entscheidung des Berufungsgerichts auf. Nach Prüfung der Gesetzesgeschichte des </w:t>
            </w:r>
            <w:proofErr w:type="spellStart"/>
            <w:r w:rsidRPr="004F6665">
              <w:rPr>
                <w:i/>
                <w:sz w:val="20"/>
                <w:szCs w:val="20"/>
              </w:rPr>
              <w:t>Civil</w:t>
            </w:r>
            <w:proofErr w:type="spellEnd"/>
            <w:r w:rsidRPr="004F6665">
              <w:rPr>
                <w:i/>
                <w:sz w:val="20"/>
                <w:szCs w:val="20"/>
              </w:rPr>
              <w:t xml:space="preserve"> Rights Act</w:t>
            </w:r>
            <w:r w:rsidRPr="00F179AD">
              <w:rPr>
                <w:sz w:val="20"/>
                <w:szCs w:val="20"/>
              </w:rPr>
              <w:t xml:space="preserve"> </w:t>
            </w:r>
            <w:r>
              <w:rPr>
                <w:sz w:val="20"/>
                <w:szCs w:val="20"/>
              </w:rPr>
              <w:t>(</w:t>
            </w:r>
            <w:r w:rsidRPr="00F179AD">
              <w:rPr>
                <w:sz w:val="20"/>
                <w:szCs w:val="20"/>
              </w:rPr>
              <w:t>1871</w:t>
            </w:r>
            <w:r>
              <w:rPr>
                <w:sz w:val="20"/>
                <w:szCs w:val="20"/>
              </w:rPr>
              <w:t>),</w:t>
            </w:r>
            <w:r>
              <w:rPr>
                <w:rStyle w:val="Funotenzeichen"/>
                <w:sz w:val="20"/>
                <w:szCs w:val="20"/>
              </w:rPr>
              <w:footnoteReference w:id="395"/>
            </w:r>
            <w:r>
              <w:rPr>
                <w:sz w:val="20"/>
                <w:szCs w:val="20"/>
              </w:rPr>
              <w:t xml:space="preserve"> </w:t>
            </w:r>
            <w:r w:rsidRPr="00F179AD">
              <w:rPr>
                <w:sz w:val="20"/>
                <w:szCs w:val="20"/>
              </w:rPr>
              <w:t xml:space="preserve">dem Vorläufer von 42 U.S.C.S. </w:t>
            </w:r>
            <w:r>
              <w:rPr>
                <w:sz w:val="20"/>
                <w:szCs w:val="20"/>
              </w:rPr>
              <w:t>§ </w:t>
            </w:r>
            <w:r w:rsidRPr="00F179AD">
              <w:rPr>
                <w:sz w:val="20"/>
                <w:szCs w:val="20"/>
              </w:rPr>
              <w:t>1983</w:t>
            </w:r>
            <w:r>
              <w:rPr>
                <w:sz w:val="20"/>
                <w:szCs w:val="20"/>
              </w:rPr>
              <w:t>,</w:t>
            </w:r>
            <w:r>
              <w:rPr>
                <w:rStyle w:val="Funotenzeichen"/>
                <w:sz w:val="20"/>
                <w:szCs w:val="20"/>
              </w:rPr>
              <w:footnoteReference w:id="396"/>
            </w:r>
            <w:r w:rsidRPr="00F179AD">
              <w:rPr>
                <w:sz w:val="20"/>
                <w:szCs w:val="20"/>
              </w:rPr>
              <w:t xml:space="preserve"> stellte </w:t>
            </w:r>
            <w:r>
              <w:rPr>
                <w:sz w:val="20"/>
                <w:szCs w:val="20"/>
              </w:rPr>
              <w:t>der U.S. Supreme Court</w:t>
            </w:r>
            <w:r w:rsidRPr="00F179AD">
              <w:rPr>
                <w:sz w:val="20"/>
                <w:szCs w:val="20"/>
              </w:rPr>
              <w:t xml:space="preserve"> fest, dass kommunale Körperschaften </w:t>
            </w:r>
            <w:r>
              <w:rPr>
                <w:sz w:val="20"/>
                <w:szCs w:val="20"/>
              </w:rPr>
              <w:t xml:space="preserve">sehr wohl </w:t>
            </w:r>
            <w:r w:rsidRPr="00F179AD">
              <w:rPr>
                <w:sz w:val="20"/>
                <w:szCs w:val="20"/>
              </w:rPr>
              <w:t xml:space="preserve">Personen </w:t>
            </w:r>
            <w:r>
              <w:rPr>
                <w:sz w:val="20"/>
                <w:szCs w:val="20"/>
              </w:rPr>
              <w:t xml:space="preserve">im Sinne des Wortlauts </w:t>
            </w:r>
            <w:r w:rsidRPr="00F179AD">
              <w:rPr>
                <w:sz w:val="20"/>
                <w:szCs w:val="20"/>
              </w:rPr>
              <w:t>sind</w:t>
            </w:r>
            <w:r>
              <w:rPr>
                <w:sz w:val="20"/>
                <w:szCs w:val="20"/>
              </w:rPr>
              <w:t>. Und gegen diese können sich Kläger wenden</w:t>
            </w:r>
            <w:r w:rsidRPr="00F179AD">
              <w:rPr>
                <w:sz w:val="20"/>
                <w:szCs w:val="20"/>
              </w:rPr>
              <w:t>.</w:t>
            </w:r>
            <w:r>
              <w:rPr>
                <w:sz w:val="20"/>
                <w:szCs w:val="20"/>
              </w:rPr>
              <w:t xml:space="preserve"> Damit setzte sich der U.S. Supreme Court</w:t>
            </w:r>
            <w:r w:rsidRPr="00F179AD">
              <w:rPr>
                <w:sz w:val="20"/>
                <w:szCs w:val="20"/>
              </w:rPr>
              <w:t xml:space="preserve"> über </w:t>
            </w:r>
            <w:r>
              <w:rPr>
                <w:sz w:val="20"/>
                <w:szCs w:val="20"/>
              </w:rPr>
              <w:t xml:space="preserve">die </w:t>
            </w:r>
            <w:proofErr w:type="spellStart"/>
            <w:r w:rsidRPr="00B45592">
              <w:rPr>
                <w:i/>
                <w:sz w:val="20"/>
                <w:szCs w:val="20"/>
              </w:rPr>
              <w:t>stare</w:t>
            </w:r>
            <w:proofErr w:type="spellEnd"/>
            <w:r w:rsidRPr="00B45592">
              <w:rPr>
                <w:i/>
                <w:sz w:val="20"/>
                <w:szCs w:val="20"/>
              </w:rPr>
              <w:t xml:space="preserve"> </w:t>
            </w:r>
            <w:proofErr w:type="spellStart"/>
            <w:r w:rsidRPr="00B45592">
              <w:rPr>
                <w:i/>
                <w:sz w:val="20"/>
                <w:szCs w:val="20"/>
              </w:rPr>
              <w:t>decisis</w:t>
            </w:r>
            <w:proofErr w:type="spellEnd"/>
            <w:r w:rsidRPr="00F179AD">
              <w:rPr>
                <w:sz w:val="20"/>
                <w:szCs w:val="20"/>
              </w:rPr>
              <w:t xml:space="preserve"> hinweg</w:t>
            </w:r>
            <w:r>
              <w:rPr>
                <w:sz w:val="20"/>
                <w:szCs w:val="20"/>
              </w:rPr>
              <w:t>; er</w:t>
            </w:r>
            <w:r w:rsidRPr="00F179AD">
              <w:rPr>
                <w:sz w:val="20"/>
                <w:szCs w:val="20"/>
              </w:rPr>
              <w:t xml:space="preserve"> hob </w:t>
            </w:r>
            <w:r w:rsidRPr="00B45592">
              <w:rPr>
                <w:i/>
                <w:sz w:val="20"/>
                <w:szCs w:val="20"/>
              </w:rPr>
              <w:t>Monroe v. Pape</w:t>
            </w:r>
            <w:r>
              <w:rPr>
                <w:rStyle w:val="Funotenzeichen"/>
                <w:sz w:val="20"/>
                <w:szCs w:val="20"/>
              </w:rPr>
              <w:footnoteReference w:id="397"/>
            </w:r>
            <w:r>
              <w:rPr>
                <w:sz w:val="20"/>
                <w:szCs w:val="20"/>
              </w:rPr>
              <w:t xml:space="preserve"> teilweise </w:t>
            </w:r>
            <w:r w:rsidRPr="00F179AD">
              <w:rPr>
                <w:sz w:val="20"/>
                <w:szCs w:val="20"/>
              </w:rPr>
              <w:t>auf</w:t>
            </w:r>
            <w:r>
              <w:rPr>
                <w:sz w:val="20"/>
                <w:szCs w:val="20"/>
              </w:rPr>
              <w:t>. Dort hatte der U.S. Supreme Court noch</w:t>
            </w:r>
            <w:r w:rsidRPr="00F179AD">
              <w:rPr>
                <w:sz w:val="20"/>
                <w:szCs w:val="20"/>
              </w:rPr>
              <w:t xml:space="preserve"> entschieden, dass </w:t>
            </w:r>
            <w:r>
              <w:rPr>
                <w:sz w:val="20"/>
                <w:szCs w:val="20"/>
              </w:rPr>
              <w:t xml:space="preserve">Kläger </w:t>
            </w:r>
            <w:r w:rsidRPr="00F179AD">
              <w:rPr>
                <w:sz w:val="20"/>
                <w:szCs w:val="20"/>
              </w:rPr>
              <w:t xml:space="preserve">unter 42 U.S.C.S. </w:t>
            </w:r>
            <w:r>
              <w:rPr>
                <w:sz w:val="20"/>
                <w:szCs w:val="20"/>
              </w:rPr>
              <w:t>§ </w:t>
            </w:r>
            <w:r w:rsidRPr="00F179AD">
              <w:rPr>
                <w:sz w:val="20"/>
                <w:szCs w:val="20"/>
              </w:rPr>
              <w:t>1983</w:t>
            </w:r>
            <w:r>
              <w:rPr>
                <w:sz w:val="20"/>
                <w:szCs w:val="20"/>
              </w:rPr>
              <w:t xml:space="preserve"> </w:t>
            </w:r>
            <w:r w:rsidRPr="00F179AD">
              <w:rPr>
                <w:sz w:val="20"/>
                <w:szCs w:val="20"/>
              </w:rPr>
              <w:t xml:space="preserve">kommunale Körperschaften nicht </w:t>
            </w:r>
            <w:r>
              <w:rPr>
                <w:sz w:val="20"/>
                <w:szCs w:val="20"/>
              </w:rPr>
              <w:t>verklagen könnten</w:t>
            </w:r>
            <w:r w:rsidRPr="00F179AD">
              <w:rPr>
                <w:sz w:val="20"/>
                <w:szCs w:val="20"/>
              </w:rPr>
              <w:t xml:space="preserve">. </w:t>
            </w:r>
            <w:r>
              <w:rPr>
                <w:sz w:val="20"/>
                <w:szCs w:val="20"/>
              </w:rPr>
              <w:t>Aber der U.S. Supreme Court</w:t>
            </w:r>
            <w:r w:rsidRPr="00F179AD">
              <w:rPr>
                <w:sz w:val="20"/>
                <w:szCs w:val="20"/>
              </w:rPr>
              <w:t xml:space="preserve"> bestätigte</w:t>
            </w:r>
            <w:r>
              <w:rPr>
                <w:sz w:val="20"/>
                <w:szCs w:val="20"/>
              </w:rPr>
              <w:t xml:space="preserve"> nun zumindest</w:t>
            </w:r>
            <w:r w:rsidRPr="00F179AD">
              <w:rPr>
                <w:sz w:val="20"/>
                <w:szCs w:val="20"/>
              </w:rPr>
              <w:t xml:space="preserve">, dass </w:t>
            </w:r>
            <w:r>
              <w:rPr>
                <w:sz w:val="20"/>
                <w:szCs w:val="20"/>
              </w:rPr>
              <w:t xml:space="preserve">eine sog. </w:t>
            </w:r>
            <w:r w:rsidRPr="008924B3">
              <w:rPr>
                <w:sz w:val="20"/>
                <w:szCs w:val="20"/>
              </w:rPr>
              <w:t>Dienstherr</w:t>
            </w:r>
            <w:r>
              <w:rPr>
                <w:sz w:val="20"/>
                <w:szCs w:val="20"/>
              </w:rPr>
              <w:t>e</w:t>
            </w:r>
            <w:r w:rsidRPr="008924B3">
              <w:rPr>
                <w:sz w:val="20"/>
                <w:szCs w:val="20"/>
              </w:rPr>
              <w:t xml:space="preserve">nhaftung </w:t>
            </w:r>
            <w:r>
              <w:rPr>
                <w:sz w:val="20"/>
                <w:szCs w:val="20"/>
              </w:rPr>
              <w:t>(„</w:t>
            </w:r>
            <w:proofErr w:type="spellStart"/>
            <w:r w:rsidRPr="00F179AD">
              <w:rPr>
                <w:sz w:val="20"/>
                <w:szCs w:val="20"/>
              </w:rPr>
              <w:t>respondeat</w:t>
            </w:r>
            <w:proofErr w:type="spellEnd"/>
            <w:r w:rsidRPr="00F179AD">
              <w:rPr>
                <w:sz w:val="20"/>
                <w:szCs w:val="20"/>
              </w:rPr>
              <w:t xml:space="preserve"> superior</w:t>
            </w:r>
            <w:r>
              <w:rPr>
                <w:sz w:val="20"/>
                <w:szCs w:val="20"/>
              </w:rPr>
              <w:t>“</w:t>
            </w:r>
            <w:r>
              <w:rPr>
                <w:rStyle w:val="Funotenzeichen"/>
                <w:sz w:val="20"/>
                <w:szCs w:val="20"/>
              </w:rPr>
              <w:footnoteReference w:id="398"/>
            </w:r>
            <w:r>
              <w:rPr>
                <w:sz w:val="20"/>
                <w:szCs w:val="20"/>
              </w:rPr>
              <w:t>)</w:t>
            </w:r>
            <w:r w:rsidRPr="00F179AD">
              <w:rPr>
                <w:sz w:val="20"/>
                <w:szCs w:val="20"/>
              </w:rPr>
              <w:t xml:space="preserve"> keine Haftung </w:t>
            </w:r>
            <w:r>
              <w:rPr>
                <w:sz w:val="20"/>
                <w:szCs w:val="20"/>
              </w:rPr>
              <w:t xml:space="preserve">der </w:t>
            </w:r>
            <w:r w:rsidRPr="00F179AD">
              <w:rPr>
                <w:sz w:val="20"/>
                <w:szCs w:val="20"/>
              </w:rPr>
              <w:t>Angestellten</w:t>
            </w:r>
            <w:r>
              <w:rPr>
                <w:sz w:val="20"/>
                <w:szCs w:val="20"/>
              </w:rPr>
              <w:t xml:space="preserve"> der </w:t>
            </w:r>
            <w:r w:rsidRPr="00F179AD">
              <w:rPr>
                <w:sz w:val="20"/>
                <w:szCs w:val="20"/>
              </w:rPr>
              <w:t xml:space="preserve">Gemeinden </w:t>
            </w:r>
            <w:r>
              <w:rPr>
                <w:sz w:val="20"/>
                <w:szCs w:val="20"/>
              </w:rPr>
              <w:t>oder Städte begründe</w:t>
            </w:r>
            <w:r w:rsidRPr="00F179AD">
              <w:rPr>
                <w:sz w:val="20"/>
                <w:szCs w:val="20"/>
              </w:rPr>
              <w:t xml:space="preserve">. </w:t>
            </w:r>
            <w:r>
              <w:rPr>
                <w:sz w:val="20"/>
                <w:szCs w:val="20"/>
              </w:rPr>
              <w:t xml:space="preserve">Aber wenn </w:t>
            </w:r>
            <w:r w:rsidRPr="00F179AD">
              <w:rPr>
                <w:sz w:val="20"/>
                <w:szCs w:val="20"/>
              </w:rPr>
              <w:t>eine</w:t>
            </w:r>
            <w:r>
              <w:rPr>
                <w:sz w:val="20"/>
                <w:szCs w:val="20"/>
              </w:rPr>
              <w:t xml:space="preserve"> politische Maßnahme oder Richtlinie die U.S. </w:t>
            </w:r>
            <w:proofErr w:type="spellStart"/>
            <w:r>
              <w:rPr>
                <w:sz w:val="20"/>
                <w:szCs w:val="20"/>
              </w:rPr>
              <w:t>Const</w:t>
            </w:r>
            <w:proofErr w:type="spellEnd"/>
            <w:r>
              <w:rPr>
                <w:sz w:val="20"/>
                <w:szCs w:val="20"/>
              </w:rPr>
              <w:t>. verletze</w:t>
            </w:r>
            <w:r w:rsidRPr="00F179AD">
              <w:rPr>
                <w:sz w:val="20"/>
                <w:szCs w:val="20"/>
              </w:rPr>
              <w:t xml:space="preserve">, </w:t>
            </w:r>
            <w:r>
              <w:rPr>
                <w:sz w:val="20"/>
                <w:szCs w:val="20"/>
              </w:rPr>
              <w:t xml:space="preserve">dann müsse jedenfalls </w:t>
            </w:r>
            <w:r w:rsidRPr="00F179AD">
              <w:rPr>
                <w:sz w:val="20"/>
                <w:szCs w:val="20"/>
              </w:rPr>
              <w:t xml:space="preserve">eine </w:t>
            </w:r>
            <w:r>
              <w:rPr>
                <w:sz w:val="20"/>
                <w:szCs w:val="20"/>
              </w:rPr>
              <w:t>B</w:t>
            </w:r>
            <w:r w:rsidRPr="00F179AD">
              <w:rPr>
                <w:sz w:val="20"/>
                <w:szCs w:val="20"/>
              </w:rPr>
              <w:t xml:space="preserve">ehörde </w:t>
            </w:r>
            <w:r>
              <w:rPr>
                <w:sz w:val="20"/>
                <w:szCs w:val="20"/>
              </w:rPr>
              <w:t xml:space="preserve">sich verantworten </w:t>
            </w:r>
            <w:r w:rsidRPr="00F179AD">
              <w:rPr>
                <w:sz w:val="20"/>
                <w:szCs w:val="20"/>
              </w:rPr>
              <w:t xml:space="preserve">unter 42 U.S.C.S. </w:t>
            </w:r>
            <w:r>
              <w:rPr>
                <w:sz w:val="20"/>
                <w:szCs w:val="20"/>
              </w:rPr>
              <w:t>§ </w:t>
            </w:r>
            <w:r w:rsidRPr="00F179AD">
              <w:rPr>
                <w:sz w:val="20"/>
                <w:szCs w:val="20"/>
              </w:rPr>
              <w:t xml:space="preserve">1983. Da </w:t>
            </w:r>
            <w:r>
              <w:rPr>
                <w:sz w:val="20"/>
                <w:szCs w:val="20"/>
              </w:rPr>
              <w:t xml:space="preserve">hier </w:t>
            </w:r>
            <w:r w:rsidRPr="00F179AD">
              <w:rPr>
                <w:sz w:val="20"/>
                <w:szCs w:val="20"/>
              </w:rPr>
              <w:t xml:space="preserve">eine </w:t>
            </w:r>
            <w:r>
              <w:rPr>
                <w:sz w:val="20"/>
                <w:szCs w:val="20"/>
              </w:rPr>
              <w:t>politische Maßnahme durch die Richtlinie eine Rechtsgutsverletzung verursache</w:t>
            </w:r>
            <w:r w:rsidRPr="00F179AD">
              <w:rPr>
                <w:sz w:val="20"/>
                <w:szCs w:val="20"/>
              </w:rPr>
              <w:t xml:space="preserve">, </w:t>
            </w:r>
            <w:r>
              <w:rPr>
                <w:sz w:val="20"/>
                <w:szCs w:val="20"/>
              </w:rPr>
              <w:t xml:space="preserve">hob der U.S. Supreme Court </w:t>
            </w:r>
            <w:r w:rsidRPr="00F179AD">
              <w:rPr>
                <w:sz w:val="20"/>
                <w:szCs w:val="20"/>
              </w:rPr>
              <w:t xml:space="preserve">die Entscheidung des Berufungsgerichts </w:t>
            </w:r>
            <w:r>
              <w:rPr>
                <w:sz w:val="20"/>
                <w:szCs w:val="20"/>
              </w:rPr>
              <w:t xml:space="preserve">auf. Denn </w:t>
            </w:r>
            <w:r w:rsidRPr="00F179AD">
              <w:rPr>
                <w:sz w:val="20"/>
                <w:szCs w:val="20"/>
              </w:rPr>
              <w:t>kommunale Körperschaften</w:t>
            </w:r>
            <w:r>
              <w:rPr>
                <w:sz w:val="20"/>
                <w:szCs w:val="20"/>
              </w:rPr>
              <w:t xml:space="preserve"> seien</w:t>
            </w:r>
            <w:r w:rsidRPr="00F179AD">
              <w:rPr>
                <w:sz w:val="20"/>
                <w:szCs w:val="20"/>
              </w:rPr>
              <w:t xml:space="preserve"> Personen unter 42 U.S.C.S. </w:t>
            </w:r>
            <w:r>
              <w:rPr>
                <w:sz w:val="20"/>
                <w:szCs w:val="20"/>
              </w:rPr>
              <w:t>§ </w:t>
            </w:r>
            <w:r w:rsidRPr="00F179AD">
              <w:rPr>
                <w:sz w:val="20"/>
                <w:szCs w:val="20"/>
              </w:rPr>
              <w:t>1983</w:t>
            </w:r>
            <w:r>
              <w:rPr>
                <w:sz w:val="20"/>
                <w:szCs w:val="20"/>
              </w:rPr>
              <w:t>, die</w:t>
            </w:r>
            <w:r w:rsidRPr="00F179AD">
              <w:rPr>
                <w:sz w:val="20"/>
                <w:szCs w:val="20"/>
              </w:rPr>
              <w:t xml:space="preserve"> verklagt werden könn</w:t>
            </w:r>
            <w:r>
              <w:rPr>
                <w:sz w:val="20"/>
                <w:szCs w:val="20"/>
              </w:rPr>
              <w:t>t</w:t>
            </w:r>
            <w:r w:rsidRPr="00F179AD">
              <w:rPr>
                <w:sz w:val="20"/>
                <w:szCs w:val="20"/>
              </w:rPr>
              <w:t>en, wenn die Durchführung eine</w:t>
            </w:r>
            <w:r>
              <w:rPr>
                <w:sz w:val="20"/>
                <w:szCs w:val="20"/>
              </w:rPr>
              <w:t>r politischen Maßnahme</w:t>
            </w:r>
            <w:r w:rsidRPr="00F179AD">
              <w:rPr>
                <w:sz w:val="20"/>
                <w:szCs w:val="20"/>
              </w:rPr>
              <w:t xml:space="preserve"> </w:t>
            </w:r>
            <w:r>
              <w:rPr>
                <w:sz w:val="20"/>
                <w:szCs w:val="20"/>
              </w:rPr>
              <w:t xml:space="preserve">die U.S. </w:t>
            </w:r>
            <w:proofErr w:type="spellStart"/>
            <w:r>
              <w:rPr>
                <w:sz w:val="20"/>
                <w:szCs w:val="20"/>
              </w:rPr>
              <w:t>Const</w:t>
            </w:r>
            <w:proofErr w:type="spellEnd"/>
            <w:r>
              <w:rPr>
                <w:sz w:val="20"/>
                <w:szCs w:val="20"/>
              </w:rPr>
              <w:t>. verletze. A</w:t>
            </w:r>
            <w:r w:rsidRPr="00F179AD">
              <w:rPr>
                <w:sz w:val="20"/>
                <w:szCs w:val="20"/>
              </w:rPr>
              <w:t xml:space="preserve">ber </w:t>
            </w:r>
            <w:r>
              <w:rPr>
                <w:sz w:val="20"/>
                <w:szCs w:val="20"/>
              </w:rPr>
              <w:t>einzelne Beamte</w:t>
            </w:r>
            <w:r w:rsidRPr="00F179AD">
              <w:rPr>
                <w:sz w:val="20"/>
                <w:szCs w:val="20"/>
              </w:rPr>
              <w:t xml:space="preserve"> könn</w:t>
            </w:r>
            <w:r>
              <w:rPr>
                <w:sz w:val="20"/>
                <w:szCs w:val="20"/>
              </w:rPr>
              <w:t>t</w:t>
            </w:r>
            <w:r w:rsidRPr="00F179AD">
              <w:rPr>
                <w:sz w:val="20"/>
                <w:szCs w:val="20"/>
              </w:rPr>
              <w:t xml:space="preserve">en nicht auf Grundlage </w:t>
            </w:r>
            <w:r>
              <w:rPr>
                <w:sz w:val="20"/>
                <w:szCs w:val="20"/>
              </w:rPr>
              <w:t>der Dienstherrenhaftung</w:t>
            </w:r>
            <w:r w:rsidRPr="00F179AD">
              <w:rPr>
                <w:sz w:val="20"/>
                <w:szCs w:val="20"/>
              </w:rPr>
              <w:t xml:space="preserve"> haftbar gemacht werden. </w:t>
            </w:r>
          </w:p>
          <w:p w14:paraId="7AD7AB7E" w14:textId="77777777" w:rsidR="00074551" w:rsidRPr="00FA7A44" w:rsidRDefault="00074551" w:rsidP="00367133">
            <w:pPr>
              <w:rPr>
                <w:sz w:val="20"/>
                <w:szCs w:val="20"/>
              </w:rPr>
            </w:pPr>
          </w:p>
        </w:tc>
        <w:tc>
          <w:tcPr>
            <w:tcW w:w="1822" w:type="pct"/>
          </w:tcPr>
          <w:p w14:paraId="3EDAE82D" w14:textId="77777777" w:rsidR="00074551" w:rsidRPr="00B45592" w:rsidRDefault="00074551" w:rsidP="00367133">
            <w:pPr>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Congressional Duties &amp; Powers, Reserved Powers</w:t>
            </w:r>
          </w:p>
          <w:p w14:paraId="6F09EA39" w14:textId="77777777" w:rsidR="00074551" w:rsidRPr="00B45592" w:rsidRDefault="00074551" w:rsidP="00367133">
            <w:pPr>
              <w:rPr>
                <w:b/>
                <w:bCs/>
                <w:sz w:val="20"/>
                <w:szCs w:val="20"/>
                <w:lang w:val="en-IE"/>
              </w:rPr>
            </w:pPr>
          </w:p>
          <w:p w14:paraId="6A6B91C7" w14:textId="57D72D5D" w:rsidR="00074551" w:rsidRPr="00BF6E8C" w:rsidRDefault="00074551" w:rsidP="00367133">
            <w:pPr>
              <w:rPr>
                <w:b/>
                <w:bCs/>
                <w:i/>
                <w:iCs/>
                <w:sz w:val="20"/>
                <w:szCs w:val="20"/>
              </w:rPr>
            </w:pPr>
            <w:r w:rsidRPr="008D051B">
              <w:rPr>
                <w:sz w:val="20"/>
                <w:szCs w:val="20"/>
              </w:rPr>
              <w:t xml:space="preserve">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8D051B">
              <w:rPr>
                <w:sz w:val="20"/>
                <w:szCs w:val="20"/>
              </w:rPr>
              <w:t xml:space="preserve"> setzte sich mit der Debatte zum </w:t>
            </w:r>
            <w:r w:rsidRPr="00B45592">
              <w:rPr>
                <w:i/>
                <w:sz w:val="20"/>
                <w:szCs w:val="20"/>
              </w:rPr>
              <w:t>First Conference Report</w:t>
            </w:r>
            <w:r w:rsidRPr="008D051B">
              <w:rPr>
                <w:sz w:val="20"/>
                <w:szCs w:val="20"/>
                <w:vertAlign w:val="superscript"/>
              </w:rPr>
              <w:footnoteReference w:id="399"/>
            </w:r>
            <w:r w:rsidRPr="008D051B">
              <w:rPr>
                <w:sz w:val="20"/>
                <w:szCs w:val="20"/>
              </w:rPr>
              <w:t xml:space="preserve"> auseinander. Der besprach u.a. den Sinn und Zweck der Vorrechte. Damit begründet der </w:t>
            </w:r>
            <w:r>
              <w:rPr>
                <w:sz w:val="20"/>
                <w:szCs w:val="20"/>
              </w:rPr>
              <w:t>U.S. Supreme Court</w:t>
            </w:r>
            <w:r w:rsidRPr="008D051B">
              <w:rPr>
                <w:sz w:val="20"/>
                <w:szCs w:val="20"/>
              </w:rPr>
              <w:t xml:space="preserve">, dass auch kommunale Körperschaften verantwortlich für Verstöße gegen die Vorrechte sein können („The </w:t>
            </w:r>
            <w:proofErr w:type="spellStart"/>
            <w:r w:rsidRPr="008D051B">
              <w:rPr>
                <w:sz w:val="20"/>
                <w:szCs w:val="20"/>
              </w:rPr>
              <w:t>account</w:t>
            </w:r>
            <w:proofErr w:type="spellEnd"/>
            <w:r w:rsidRPr="008D051B">
              <w:rPr>
                <w:sz w:val="20"/>
                <w:szCs w:val="20"/>
              </w:rPr>
              <w:t xml:space="preserve"> of </w:t>
            </w:r>
            <w:proofErr w:type="spellStart"/>
            <w:r w:rsidRPr="008D051B">
              <w:rPr>
                <w:sz w:val="20"/>
                <w:szCs w:val="20"/>
              </w:rPr>
              <w:t>Representative</w:t>
            </w:r>
            <w:proofErr w:type="spellEnd"/>
            <w:r w:rsidRPr="008D051B">
              <w:rPr>
                <w:sz w:val="20"/>
                <w:szCs w:val="20"/>
              </w:rPr>
              <w:t>“</w:t>
            </w:r>
            <w:r w:rsidRPr="008D051B">
              <w:rPr>
                <w:sz w:val="20"/>
                <w:szCs w:val="20"/>
                <w:vertAlign w:val="superscript"/>
              </w:rPr>
              <w:footnoteReference w:id="400"/>
            </w:r>
            <w:r w:rsidRPr="008D051B">
              <w:rPr>
                <w:sz w:val="20"/>
                <w:szCs w:val="20"/>
              </w:rPr>
              <w:t>), z.B. wenn Beamte einen Antrag von schwangeren Mitarbeite</w:t>
            </w:r>
            <w:r>
              <w:rPr>
                <w:sz w:val="20"/>
                <w:szCs w:val="20"/>
              </w:rPr>
              <w:t>rinnen</w:t>
            </w:r>
            <w:r w:rsidRPr="008D051B">
              <w:rPr>
                <w:sz w:val="20"/>
                <w:szCs w:val="20"/>
              </w:rPr>
              <w:t xml:space="preserve"> abwiesen, welcher begehrte, für medizinisch </w:t>
            </w:r>
            <w:r>
              <w:rPr>
                <w:sz w:val="20"/>
                <w:szCs w:val="20"/>
              </w:rPr>
              <w:t xml:space="preserve">nicht </w:t>
            </w:r>
            <w:r w:rsidRPr="008D051B">
              <w:rPr>
                <w:sz w:val="20"/>
                <w:szCs w:val="20"/>
              </w:rPr>
              <w:t xml:space="preserve">indizierten Zwangsurlaub Gehalt ausgezahlt zu bekommen. Zugleich sei die Verantwortung – der Beamten – von der Haftung – der kommunalen Körperschaften – zu trennen. Doch wie weit reicht der Begriff der Vorrechte in </w:t>
            </w:r>
            <w:r w:rsidR="00023A37">
              <w:rPr>
                <w:sz w:val="20"/>
                <w:szCs w:val="20"/>
              </w:rPr>
              <w:t xml:space="preserve">U.S. </w:t>
            </w:r>
            <w:proofErr w:type="spellStart"/>
            <w:r w:rsidR="00023A37">
              <w:rPr>
                <w:sz w:val="20"/>
                <w:szCs w:val="20"/>
              </w:rPr>
              <w:t>Const</w:t>
            </w:r>
            <w:proofErr w:type="spellEnd"/>
            <w:r w:rsidR="00023A37">
              <w:rPr>
                <w:sz w:val="20"/>
                <w:szCs w:val="20"/>
              </w:rPr>
              <w:t>. art. IV</w:t>
            </w:r>
            <w:r>
              <w:rPr>
                <w:sz w:val="20"/>
                <w:szCs w:val="20"/>
              </w:rPr>
              <w:t>,</w:t>
            </w:r>
            <w:r w:rsidRPr="008D051B">
              <w:rPr>
                <w:sz w:val="20"/>
                <w:szCs w:val="20"/>
              </w:rPr>
              <w:t xml:space="preserve"> der Verantwortung und Haftung auslöse? Er umfasst die Grundrechte, und zwar in diesen Kategorien</w:t>
            </w:r>
            <w:r>
              <w:rPr>
                <w:sz w:val="20"/>
                <w:szCs w:val="20"/>
              </w:rPr>
              <w:t>:</w:t>
            </w:r>
            <w:r w:rsidRPr="008D051B">
              <w:rPr>
                <w:sz w:val="20"/>
                <w:szCs w:val="20"/>
              </w:rPr>
              <w:t> die Gewährung von Abwehr</w:t>
            </w:r>
            <w:r>
              <w:rPr>
                <w:sz w:val="20"/>
                <w:szCs w:val="20"/>
              </w:rPr>
              <w:t>r</w:t>
            </w:r>
            <w:r w:rsidRPr="008D051B">
              <w:rPr>
                <w:sz w:val="20"/>
                <w:szCs w:val="20"/>
              </w:rPr>
              <w:t>echte</w:t>
            </w:r>
            <w:r>
              <w:rPr>
                <w:sz w:val="20"/>
                <w:szCs w:val="20"/>
              </w:rPr>
              <w:t>n</w:t>
            </w:r>
            <w:r w:rsidRPr="008D051B">
              <w:rPr>
                <w:sz w:val="20"/>
                <w:szCs w:val="20"/>
              </w:rPr>
              <w:t xml:space="preserve"> durch die Regierung, das Recht auf Leben und Freiheit, das Recht, Eigentum zu erwerben und zu besitzen, </w:t>
            </w:r>
            <w:r>
              <w:rPr>
                <w:sz w:val="20"/>
                <w:szCs w:val="20"/>
              </w:rPr>
              <w:t xml:space="preserve">sowie </w:t>
            </w:r>
            <w:r w:rsidRPr="008D051B">
              <w:rPr>
                <w:sz w:val="20"/>
                <w:szCs w:val="20"/>
              </w:rPr>
              <w:t>das Recht</w:t>
            </w:r>
            <w:r>
              <w:rPr>
                <w:sz w:val="20"/>
                <w:szCs w:val="20"/>
              </w:rPr>
              <w:t>,</w:t>
            </w:r>
            <w:r w:rsidRPr="008D051B">
              <w:rPr>
                <w:sz w:val="20"/>
                <w:szCs w:val="20"/>
              </w:rPr>
              <w:t xml:space="preserve"> nach Glück</w:t>
            </w:r>
            <w:r>
              <w:rPr>
                <w:sz w:val="20"/>
                <w:szCs w:val="20"/>
              </w:rPr>
              <w:t xml:space="preserve"> und Sicherheit</w:t>
            </w:r>
            <w:r w:rsidRPr="008D051B">
              <w:rPr>
                <w:sz w:val="20"/>
                <w:szCs w:val="20"/>
              </w:rPr>
              <w:t xml:space="preserve"> streben zu können (</w:t>
            </w:r>
            <w:r>
              <w:rPr>
                <w:sz w:val="20"/>
                <w:szCs w:val="20"/>
              </w:rPr>
              <w:t>„</w:t>
            </w:r>
            <w:proofErr w:type="spellStart"/>
            <w:r w:rsidRPr="008D051B">
              <w:rPr>
                <w:sz w:val="20"/>
                <w:szCs w:val="20"/>
              </w:rPr>
              <w:t>protection</w:t>
            </w:r>
            <w:proofErr w:type="spellEnd"/>
            <w:r w:rsidRPr="008D051B">
              <w:rPr>
                <w:sz w:val="20"/>
                <w:szCs w:val="20"/>
              </w:rPr>
              <w:t xml:space="preserve"> by the Government; the </w:t>
            </w:r>
            <w:proofErr w:type="spellStart"/>
            <w:r w:rsidRPr="008D051B">
              <w:rPr>
                <w:sz w:val="20"/>
                <w:szCs w:val="20"/>
              </w:rPr>
              <w:t>enjoyment</w:t>
            </w:r>
            <w:proofErr w:type="spellEnd"/>
            <w:r w:rsidRPr="008D051B">
              <w:rPr>
                <w:sz w:val="20"/>
                <w:szCs w:val="20"/>
              </w:rPr>
              <w:t xml:space="preserve"> of </w:t>
            </w:r>
            <w:proofErr w:type="spellStart"/>
            <w:r w:rsidRPr="008D051B">
              <w:rPr>
                <w:sz w:val="20"/>
                <w:szCs w:val="20"/>
              </w:rPr>
              <w:t>life</w:t>
            </w:r>
            <w:proofErr w:type="spellEnd"/>
            <w:r w:rsidRPr="008D051B">
              <w:rPr>
                <w:sz w:val="20"/>
                <w:szCs w:val="20"/>
              </w:rPr>
              <w:t xml:space="preserve"> and </w:t>
            </w:r>
            <w:proofErr w:type="spellStart"/>
            <w:r w:rsidRPr="008D051B">
              <w:rPr>
                <w:sz w:val="20"/>
                <w:szCs w:val="20"/>
              </w:rPr>
              <w:t>liberty</w:t>
            </w:r>
            <w:proofErr w:type="spellEnd"/>
            <w:r w:rsidRPr="008D051B">
              <w:rPr>
                <w:sz w:val="20"/>
                <w:szCs w:val="20"/>
              </w:rPr>
              <w:t xml:space="preserve">, </w:t>
            </w:r>
            <w:proofErr w:type="spellStart"/>
            <w:r w:rsidRPr="008D051B">
              <w:rPr>
                <w:sz w:val="20"/>
                <w:szCs w:val="20"/>
              </w:rPr>
              <w:t>with</w:t>
            </w:r>
            <w:proofErr w:type="spellEnd"/>
            <w:r w:rsidRPr="008D051B">
              <w:rPr>
                <w:sz w:val="20"/>
                <w:szCs w:val="20"/>
              </w:rPr>
              <w:t xml:space="preserve"> the </w:t>
            </w:r>
            <w:proofErr w:type="spellStart"/>
            <w:r w:rsidRPr="008D051B">
              <w:rPr>
                <w:sz w:val="20"/>
                <w:szCs w:val="20"/>
              </w:rPr>
              <w:t>right</w:t>
            </w:r>
            <w:proofErr w:type="spellEnd"/>
            <w:r w:rsidRPr="008D051B">
              <w:rPr>
                <w:sz w:val="20"/>
                <w:szCs w:val="20"/>
              </w:rPr>
              <w:t xml:space="preserve"> to </w:t>
            </w:r>
            <w:proofErr w:type="spellStart"/>
            <w:r w:rsidRPr="008D051B">
              <w:rPr>
                <w:sz w:val="20"/>
                <w:szCs w:val="20"/>
              </w:rPr>
              <w:t>acquire</w:t>
            </w:r>
            <w:proofErr w:type="spellEnd"/>
            <w:r w:rsidRPr="008D051B">
              <w:rPr>
                <w:sz w:val="20"/>
                <w:szCs w:val="20"/>
              </w:rPr>
              <w:t xml:space="preserve"> and </w:t>
            </w:r>
            <w:proofErr w:type="spellStart"/>
            <w:r w:rsidRPr="008D051B">
              <w:rPr>
                <w:sz w:val="20"/>
                <w:szCs w:val="20"/>
              </w:rPr>
              <w:t>possess</w:t>
            </w:r>
            <w:proofErr w:type="spellEnd"/>
            <w:r w:rsidRPr="008D051B">
              <w:rPr>
                <w:sz w:val="20"/>
                <w:szCs w:val="20"/>
              </w:rPr>
              <w:t xml:space="preserve"> </w:t>
            </w:r>
            <w:proofErr w:type="spellStart"/>
            <w:r w:rsidRPr="008D051B">
              <w:rPr>
                <w:sz w:val="20"/>
                <w:szCs w:val="20"/>
              </w:rPr>
              <w:t>property</w:t>
            </w:r>
            <w:proofErr w:type="spellEnd"/>
            <w:r w:rsidRPr="008D051B">
              <w:rPr>
                <w:sz w:val="20"/>
                <w:szCs w:val="20"/>
              </w:rPr>
              <w:t xml:space="preserve"> of </w:t>
            </w:r>
            <w:proofErr w:type="spellStart"/>
            <w:r w:rsidRPr="008D051B">
              <w:rPr>
                <w:sz w:val="20"/>
                <w:szCs w:val="20"/>
              </w:rPr>
              <w:t>every</w:t>
            </w:r>
            <w:proofErr w:type="spellEnd"/>
            <w:r w:rsidRPr="008D051B">
              <w:rPr>
                <w:sz w:val="20"/>
                <w:szCs w:val="20"/>
              </w:rPr>
              <w:t xml:space="preserve"> </w:t>
            </w:r>
            <w:proofErr w:type="spellStart"/>
            <w:r w:rsidRPr="008D051B">
              <w:rPr>
                <w:sz w:val="20"/>
                <w:szCs w:val="20"/>
              </w:rPr>
              <w:t>kind</w:t>
            </w:r>
            <w:proofErr w:type="spellEnd"/>
            <w:r w:rsidRPr="008D051B">
              <w:rPr>
                <w:sz w:val="20"/>
                <w:szCs w:val="20"/>
              </w:rPr>
              <w:t xml:space="preserve">, and to </w:t>
            </w:r>
            <w:proofErr w:type="spellStart"/>
            <w:r w:rsidRPr="008D051B">
              <w:rPr>
                <w:sz w:val="20"/>
                <w:szCs w:val="20"/>
              </w:rPr>
              <w:t>pursue</w:t>
            </w:r>
            <w:proofErr w:type="spellEnd"/>
            <w:r w:rsidRPr="008D051B">
              <w:rPr>
                <w:sz w:val="20"/>
                <w:szCs w:val="20"/>
              </w:rPr>
              <w:t xml:space="preserve"> and </w:t>
            </w:r>
            <w:proofErr w:type="spellStart"/>
            <w:r w:rsidRPr="008D051B">
              <w:rPr>
                <w:sz w:val="20"/>
                <w:szCs w:val="20"/>
              </w:rPr>
              <w:t>obtain</w:t>
            </w:r>
            <w:proofErr w:type="spellEnd"/>
            <w:r w:rsidRPr="008D051B">
              <w:rPr>
                <w:sz w:val="20"/>
                <w:szCs w:val="20"/>
              </w:rPr>
              <w:t xml:space="preserve"> </w:t>
            </w:r>
            <w:proofErr w:type="spellStart"/>
            <w:r w:rsidRPr="008D051B">
              <w:rPr>
                <w:sz w:val="20"/>
                <w:szCs w:val="20"/>
              </w:rPr>
              <w:t>happiness</w:t>
            </w:r>
            <w:proofErr w:type="spellEnd"/>
            <w:r w:rsidRPr="008D051B">
              <w:rPr>
                <w:sz w:val="20"/>
                <w:szCs w:val="20"/>
              </w:rPr>
              <w:t xml:space="preserve"> and </w:t>
            </w:r>
            <w:proofErr w:type="spellStart"/>
            <w:r w:rsidRPr="008D051B">
              <w:rPr>
                <w:sz w:val="20"/>
                <w:szCs w:val="20"/>
              </w:rPr>
              <w:t>safety</w:t>
            </w:r>
            <w:proofErr w:type="spellEnd"/>
            <w:r w:rsidRPr="008D051B">
              <w:rPr>
                <w:sz w:val="20"/>
                <w:szCs w:val="20"/>
              </w:rPr>
              <w:t>“)</w:t>
            </w:r>
            <w:r w:rsidRPr="008D051B">
              <w:rPr>
                <w:sz w:val="20"/>
                <w:szCs w:val="20"/>
                <w:vertAlign w:val="superscript"/>
              </w:rPr>
              <w:footnoteReference w:id="401"/>
            </w:r>
            <w:r w:rsidRPr="008D051B">
              <w:rPr>
                <w:sz w:val="20"/>
                <w:szCs w:val="20"/>
              </w:rPr>
              <w:t xml:space="preserve">. Wenn diese betroffen </w:t>
            </w:r>
            <w:r>
              <w:rPr>
                <w:sz w:val="20"/>
                <w:szCs w:val="20"/>
              </w:rPr>
              <w:t>seien</w:t>
            </w:r>
            <w:r w:rsidRPr="008D051B">
              <w:rPr>
                <w:sz w:val="20"/>
                <w:szCs w:val="20"/>
              </w:rPr>
              <w:t>, dann müsse sich der Staat verantworten.</w:t>
            </w:r>
          </w:p>
        </w:tc>
      </w:tr>
      <w:tr w:rsidR="00074551" w:rsidRPr="00E50B51" w14:paraId="0144BF43" w14:textId="77777777" w:rsidTr="00752D01">
        <w:trPr>
          <w:cantSplit/>
          <w:trHeight w:val="3175"/>
        </w:trPr>
        <w:tc>
          <w:tcPr>
            <w:tcW w:w="293" w:type="pct"/>
            <w:shd w:val="clear" w:color="auto" w:fill="E7E6E6" w:themeFill="background2"/>
          </w:tcPr>
          <w:p w14:paraId="7A0617B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56C86154"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604AC6FA" w14:textId="77777777" w:rsidR="00074551" w:rsidRPr="00E50B51" w:rsidRDefault="00074551" w:rsidP="00367133">
            <w:pPr>
              <w:ind w:left="113" w:right="113"/>
              <w:jc w:val="both"/>
              <w:rPr>
                <w:sz w:val="20"/>
                <w:szCs w:val="20"/>
                <w:lang w:val="en-US"/>
              </w:rPr>
            </w:pPr>
            <w:r w:rsidRPr="00E50B51">
              <w:rPr>
                <w:sz w:val="20"/>
                <w:szCs w:val="20"/>
                <w:lang w:val="en-US"/>
              </w:rPr>
              <w:t>Congressional Duties &amp; Powers</w:t>
            </w:r>
          </w:p>
        </w:tc>
        <w:tc>
          <w:tcPr>
            <w:tcW w:w="306" w:type="pct"/>
            <w:shd w:val="clear" w:color="auto" w:fill="E7E6E6" w:themeFill="background2"/>
            <w:textDirection w:val="tbRl"/>
            <w:vAlign w:val="center"/>
          </w:tcPr>
          <w:p w14:paraId="2FC06181" w14:textId="77777777" w:rsidR="00074551" w:rsidRPr="00E50B51" w:rsidRDefault="00074551" w:rsidP="00367133">
            <w:pPr>
              <w:ind w:left="113" w:right="113"/>
              <w:jc w:val="both"/>
              <w:rPr>
                <w:sz w:val="20"/>
                <w:szCs w:val="20"/>
                <w:lang w:val="en-US"/>
              </w:rPr>
            </w:pPr>
            <w:proofErr w:type="spellStart"/>
            <w:r>
              <w:rPr>
                <w:iCs/>
                <w:sz w:val="20"/>
                <w:szCs w:val="20"/>
              </w:rPr>
              <w:t>Census</w:t>
            </w:r>
            <w:proofErr w:type="spellEnd"/>
          </w:p>
        </w:tc>
        <w:tc>
          <w:tcPr>
            <w:tcW w:w="401" w:type="pct"/>
            <w:shd w:val="clear" w:color="auto" w:fill="E7E6E6" w:themeFill="background2"/>
          </w:tcPr>
          <w:p w14:paraId="02694EEF" w14:textId="77777777" w:rsidR="00074551" w:rsidRPr="00E50B51" w:rsidRDefault="00074551" w:rsidP="00367133">
            <w:pPr>
              <w:rPr>
                <w:sz w:val="20"/>
                <w:szCs w:val="20"/>
                <w:lang w:val="en-US"/>
              </w:rPr>
            </w:pPr>
          </w:p>
        </w:tc>
        <w:tc>
          <w:tcPr>
            <w:tcW w:w="1594" w:type="pct"/>
            <w:shd w:val="clear" w:color="auto" w:fill="E7E6E6" w:themeFill="background2"/>
            <w:vAlign w:val="center"/>
          </w:tcPr>
          <w:p w14:paraId="1D05DBBA" w14:textId="77777777" w:rsidR="00074551" w:rsidRPr="00E50B51" w:rsidRDefault="00074551" w:rsidP="00367133">
            <w:pPr>
              <w:jc w:val="both"/>
              <w:rPr>
                <w:sz w:val="20"/>
                <w:szCs w:val="20"/>
                <w:lang w:val="en-US"/>
              </w:rPr>
            </w:pPr>
          </w:p>
        </w:tc>
        <w:tc>
          <w:tcPr>
            <w:tcW w:w="1822" w:type="pct"/>
            <w:shd w:val="clear" w:color="auto" w:fill="E7E6E6" w:themeFill="background2"/>
          </w:tcPr>
          <w:p w14:paraId="04CB2B32" w14:textId="22BEDD44"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2EDB1E18" w14:textId="77777777" w:rsidTr="00BE689F">
        <w:trPr>
          <w:cantSplit/>
          <w:trHeight w:val="3175"/>
        </w:trPr>
        <w:tc>
          <w:tcPr>
            <w:tcW w:w="293" w:type="pct"/>
          </w:tcPr>
          <w:p w14:paraId="456A1341"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1717B03" w14:textId="77777777" w:rsidR="00074551" w:rsidRPr="00B45592" w:rsidRDefault="00074551" w:rsidP="00367133">
            <w:pPr>
              <w:ind w:left="113" w:right="113"/>
              <w:jc w:val="both"/>
              <w:rPr>
                <w:i/>
                <w:sz w:val="20"/>
                <w:szCs w:val="20"/>
                <w:lang w:val="en-US"/>
              </w:rPr>
            </w:pPr>
            <w:r w:rsidRPr="00B45592">
              <w:rPr>
                <w:i/>
                <w:sz w:val="20"/>
                <w:szCs w:val="20"/>
                <w:lang w:val="en-US"/>
              </w:rPr>
              <w:t>Steward Machine Co. v. Davis</w:t>
            </w:r>
          </w:p>
        </w:tc>
        <w:tc>
          <w:tcPr>
            <w:tcW w:w="197" w:type="pct"/>
            <w:textDirection w:val="tbRl"/>
            <w:vAlign w:val="center"/>
          </w:tcPr>
          <w:p w14:paraId="4988CB3A" w14:textId="77777777" w:rsidR="00074551" w:rsidRPr="00E50B51" w:rsidRDefault="00074551" w:rsidP="00367133">
            <w:pPr>
              <w:ind w:left="113" w:right="113"/>
              <w:jc w:val="both"/>
              <w:rPr>
                <w:sz w:val="20"/>
                <w:szCs w:val="20"/>
                <w:lang w:val="en-US"/>
              </w:rPr>
            </w:pPr>
            <w:r w:rsidRPr="00E50B51">
              <w:rPr>
                <w:sz w:val="20"/>
                <w:szCs w:val="20"/>
                <w:lang w:val="en-US"/>
              </w:rPr>
              <w:t>301 U.S. 548</w:t>
            </w:r>
          </w:p>
        </w:tc>
        <w:tc>
          <w:tcPr>
            <w:tcW w:w="306" w:type="pct"/>
            <w:textDirection w:val="tbRl"/>
            <w:vAlign w:val="center"/>
          </w:tcPr>
          <w:p w14:paraId="1FE93F32" w14:textId="77777777" w:rsidR="00074551" w:rsidRPr="00E50B51" w:rsidRDefault="00074551" w:rsidP="00367133">
            <w:pPr>
              <w:ind w:left="113" w:right="113"/>
              <w:jc w:val="both"/>
              <w:rPr>
                <w:sz w:val="20"/>
                <w:szCs w:val="20"/>
                <w:lang w:val="en-US"/>
              </w:rPr>
            </w:pPr>
            <w:r w:rsidRPr="00E50B51">
              <w:rPr>
                <w:sz w:val="20"/>
                <w:szCs w:val="20"/>
                <w:lang w:val="en-US"/>
              </w:rPr>
              <w:t>24. Mai 1937</w:t>
            </w:r>
          </w:p>
        </w:tc>
        <w:tc>
          <w:tcPr>
            <w:tcW w:w="401" w:type="pct"/>
          </w:tcPr>
          <w:p w14:paraId="522A33CF" w14:textId="77777777" w:rsidR="00074551" w:rsidRPr="00E50B51" w:rsidRDefault="00074551" w:rsidP="00367133">
            <w:pPr>
              <w:jc w:val="center"/>
              <w:rPr>
                <w:sz w:val="20"/>
                <w:szCs w:val="20"/>
                <w:lang w:val="en-US"/>
              </w:rPr>
            </w:pPr>
            <w:r w:rsidRPr="00E50B51">
              <w:rPr>
                <w:iCs/>
                <w:sz w:val="20"/>
                <w:szCs w:val="20"/>
                <w:lang w:val="en-US"/>
              </w:rPr>
              <w:t>M</w:t>
            </w:r>
          </w:p>
        </w:tc>
        <w:tc>
          <w:tcPr>
            <w:tcW w:w="1594" w:type="pct"/>
          </w:tcPr>
          <w:p w14:paraId="38127374"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36E3E828" w14:textId="5ADB0CC4"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meint, der Kongress habe die Kompetenz, Steuern, Zölle, Abgaben und Verbrauchssteuern gemäß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E50B51">
              <w:rPr>
                <w:sz w:val="20"/>
                <w:szCs w:val="20"/>
              </w:rPr>
              <w:t xml:space="preserve"> zu erheben. Dabei </w:t>
            </w:r>
            <w:r>
              <w:rPr>
                <w:sz w:val="20"/>
                <w:szCs w:val="20"/>
              </w:rPr>
              <w:t>sei</w:t>
            </w:r>
            <w:r w:rsidRPr="00E50B51">
              <w:rPr>
                <w:sz w:val="20"/>
                <w:szCs w:val="20"/>
              </w:rPr>
              <w:t xml:space="preserve"> zu unterscheiden: Wenn es sich um eine direkte Steuer handel</w:t>
            </w:r>
            <w:r>
              <w:rPr>
                <w:sz w:val="20"/>
                <w:szCs w:val="20"/>
              </w:rPr>
              <w:t>e</w:t>
            </w:r>
            <w:r w:rsidRPr="00E50B51">
              <w:rPr>
                <w:sz w:val="20"/>
                <w:szCs w:val="20"/>
              </w:rPr>
              <w:t xml:space="preserve">, dann </w:t>
            </w:r>
            <w:r>
              <w:rPr>
                <w:sz w:val="20"/>
                <w:szCs w:val="20"/>
              </w:rPr>
              <w:t>müsse</w:t>
            </w:r>
            <w:r w:rsidRPr="00E50B51">
              <w:rPr>
                <w:sz w:val="20"/>
                <w:szCs w:val="20"/>
              </w:rPr>
              <w:t xml:space="preserve"> die Steuer sich der Volkszählung entsprechend gewichtet verteilten („</w:t>
            </w:r>
            <w:proofErr w:type="spellStart"/>
            <w:r w:rsidRPr="00E50B51">
              <w:rPr>
                <w:sz w:val="20"/>
                <w:szCs w:val="20"/>
              </w:rPr>
              <w:t>apportioned</w:t>
            </w:r>
            <w:proofErr w:type="spellEnd"/>
            <w:r w:rsidRPr="00E50B51">
              <w:rPr>
                <w:sz w:val="20"/>
                <w:szCs w:val="20"/>
              </w:rPr>
              <w:t xml:space="preserve"> </w:t>
            </w:r>
            <w:proofErr w:type="spellStart"/>
            <w:r w:rsidRPr="00E50B51">
              <w:rPr>
                <w:sz w:val="20"/>
                <w:szCs w:val="20"/>
              </w:rPr>
              <w:t>according</w:t>
            </w:r>
            <w:proofErr w:type="spellEnd"/>
            <w:r w:rsidRPr="00E50B51">
              <w:rPr>
                <w:sz w:val="20"/>
                <w:szCs w:val="20"/>
              </w:rPr>
              <w:t xml:space="preserve"> to the </w:t>
            </w:r>
            <w:proofErr w:type="spellStart"/>
            <w:r w:rsidRPr="00E50B51">
              <w:rPr>
                <w:sz w:val="20"/>
                <w:szCs w:val="20"/>
              </w:rPr>
              <w:t>census</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402"/>
            </w:r>
            <w:r w:rsidRPr="00E50B51">
              <w:rPr>
                <w:sz w:val="20"/>
                <w:szCs w:val="20"/>
              </w:rPr>
              <w:t>). Wenn es sich um eine indirekte Steuer handel</w:t>
            </w:r>
            <w:r>
              <w:rPr>
                <w:sz w:val="20"/>
                <w:szCs w:val="20"/>
              </w:rPr>
              <w:t>e</w:t>
            </w:r>
            <w:r w:rsidRPr="00E50B51">
              <w:rPr>
                <w:sz w:val="20"/>
                <w:szCs w:val="20"/>
              </w:rPr>
              <w:t xml:space="preserve">, also um einen Zoll, eine Abgabe oder eine Verbrauchssteuer, dann </w:t>
            </w:r>
            <w:r>
              <w:rPr>
                <w:sz w:val="20"/>
                <w:szCs w:val="20"/>
              </w:rPr>
              <w:t>müsse</w:t>
            </w:r>
            <w:r w:rsidRPr="00E50B51">
              <w:rPr>
                <w:sz w:val="20"/>
                <w:szCs w:val="20"/>
              </w:rPr>
              <w:t xml:space="preserve"> die Steuer sich in den Vereinigten Staaten einheitlich verteilen („</w:t>
            </w:r>
            <w:proofErr w:type="spellStart"/>
            <w:r w:rsidRPr="00E50B51">
              <w:rPr>
                <w:sz w:val="20"/>
                <w:szCs w:val="20"/>
              </w:rPr>
              <w:t>shall</w:t>
            </w:r>
            <w:proofErr w:type="spellEnd"/>
            <w:r w:rsidRPr="00E50B51">
              <w:rPr>
                <w:sz w:val="20"/>
                <w:szCs w:val="20"/>
              </w:rPr>
              <w:t xml:space="preserve"> </w:t>
            </w:r>
            <w:proofErr w:type="spellStart"/>
            <w:r w:rsidRPr="00E50B51">
              <w:rPr>
                <w:sz w:val="20"/>
                <w:szCs w:val="20"/>
              </w:rPr>
              <w:t>be</w:t>
            </w:r>
            <w:proofErr w:type="spellEnd"/>
            <w:r w:rsidRPr="00E50B51">
              <w:rPr>
                <w:sz w:val="20"/>
                <w:szCs w:val="20"/>
              </w:rPr>
              <w:t xml:space="preserve"> uniform“</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403"/>
            </w:r>
            <w:r w:rsidRPr="00E50B51">
              <w:rPr>
                <w:sz w:val="20"/>
                <w:szCs w:val="20"/>
              </w:rPr>
              <w:t xml:space="preserve">), also nicht anhand der Volkszählung. Mit den steuerlichen Verteilungsfragen </w:t>
            </w:r>
            <w:r>
              <w:rPr>
                <w:sz w:val="20"/>
                <w:szCs w:val="20"/>
              </w:rPr>
              <w:t>konkurrierten</w:t>
            </w:r>
            <w:r w:rsidRPr="00E50B51">
              <w:rPr>
                <w:sz w:val="20"/>
                <w:szCs w:val="20"/>
              </w:rPr>
              <w:t xml:space="preserve"> als Gegenrecht die Bedingungen, die wesentlich für das Streben nach Glück sind</w:t>
            </w:r>
            <w:r>
              <w:rPr>
                <w:sz w:val="20"/>
                <w:szCs w:val="20"/>
              </w:rPr>
              <w:t> </w:t>
            </w:r>
            <w:r w:rsidRPr="00E50B51">
              <w:rPr>
                <w:sz w:val="20"/>
                <w:szCs w:val="20"/>
              </w:rPr>
              <w:t xml:space="preserve">– eine Bedingung davon </w:t>
            </w:r>
            <w:r>
              <w:rPr>
                <w:sz w:val="20"/>
                <w:szCs w:val="20"/>
              </w:rPr>
              <w:t>sei</w:t>
            </w:r>
            <w:r w:rsidRPr="00E50B51">
              <w:rPr>
                <w:sz w:val="20"/>
                <w:szCs w:val="20"/>
              </w:rPr>
              <w:t xml:space="preserve"> z.B. das Arbeitsverhältnis. </w:t>
            </w:r>
            <w:r w:rsidRPr="00B45592">
              <w:rPr>
                <w:sz w:val="20"/>
                <w:szCs w:val="20"/>
              </w:rPr>
              <w:t xml:space="preserve">Das sei im Grundsatz von Steuern freizuhalten („the </w:t>
            </w:r>
            <w:proofErr w:type="spellStart"/>
            <w:r w:rsidRPr="00B45592">
              <w:rPr>
                <w:sz w:val="20"/>
                <w:szCs w:val="20"/>
              </w:rPr>
              <w:t>relation</w:t>
            </w:r>
            <w:proofErr w:type="spellEnd"/>
            <w:r w:rsidRPr="00B45592">
              <w:rPr>
                <w:sz w:val="20"/>
                <w:szCs w:val="20"/>
              </w:rPr>
              <w:t xml:space="preserve"> of </w:t>
            </w:r>
            <w:proofErr w:type="spellStart"/>
            <w:r w:rsidRPr="00B45592">
              <w:rPr>
                <w:sz w:val="20"/>
                <w:szCs w:val="20"/>
              </w:rPr>
              <w:t>employment</w:t>
            </w:r>
            <w:proofErr w:type="spellEnd"/>
            <w:r w:rsidRPr="00B45592">
              <w:rPr>
                <w:sz w:val="20"/>
                <w:szCs w:val="20"/>
              </w:rPr>
              <w:t xml:space="preserve"> </w:t>
            </w:r>
            <w:proofErr w:type="spellStart"/>
            <w:r w:rsidRPr="00B45592">
              <w:rPr>
                <w:sz w:val="20"/>
                <w:szCs w:val="20"/>
              </w:rPr>
              <w:t>is</w:t>
            </w:r>
            <w:proofErr w:type="spellEnd"/>
            <w:r w:rsidRPr="00B45592">
              <w:rPr>
                <w:sz w:val="20"/>
                <w:szCs w:val="20"/>
              </w:rPr>
              <w:t xml:space="preserve"> </w:t>
            </w:r>
            <w:proofErr w:type="spellStart"/>
            <w:r w:rsidRPr="00B45592">
              <w:rPr>
                <w:sz w:val="20"/>
                <w:szCs w:val="20"/>
              </w:rPr>
              <w:t>one</w:t>
            </w:r>
            <w:proofErr w:type="spellEnd"/>
            <w:r w:rsidRPr="00B45592">
              <w:rPr>
                <w:sz w:val="20"/>
                <w:szCs w:val="20"/>
              </w:rPr>
              <w:t xml:space="preserve"> so essential to the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B45592">
              <w:rPr>
                <w:sz w:val="20"/>
                <w:szCs w:val="20"/>
              </w:rPr>
              <w:t xml:space="preserve"> </w:t>
            </w:r>
            <w:proofErr w:type="spellStart"/>
            <w:r w:rsidRPr="00B45592">
              <w:rPr>
                <w:sz w:val="20"/>
                <w:szCs w:val="20"/>
              </w:rPr>
              <w:t>that</w:t>
            </w:r>
            <w:proofErr w:type="spellEnd"/>
            <w:r w:rsidRPr="00B45592">
              <w:rPr>
                <w:sz w:val="20"/>
                <w:szCs w:val="20"/>
              </w:rPr>
              <w:t xml:space="preserve"> it </w:t>
            </w:r>
            <w:proofErr w:type="spellStart"/>
            <w:r w:rsidRPr="00B45592">
              <w:rPr>
                <w:sz w:val="20"/>
                <w:szCs w:val="20"/>
              </w:rPr>
              <w:t>may</w:t>
            </w:r>
            <w:proofErr w:type="spellEnd"/>
            <w:r w:rsidRPr="00B45592">
              <w:rPr>
                <w:sz w:val="20"/>
                <w:szCs w:val="20"/>
              </w:rPr>
              <w:t xml:space="preserve"> not </w:t>
            </w:r>
            <w:proofErr w:type="spellStart"/>
            <w:r w:rsidRPr="00B45592">
              <w:rPr>
                <w:sz w:val="20"/>
                <w:szCs w:val="20"/>
              </w:rPr>
              <w:t>be</w:t>
            </w:r>
            <w:proofErr w:type="spellEnd"/>
            <w:r w:rsidRPr="00B45592">
              <w:rPr>
                <w:sz w:val="20"/>
                <w:szCs w:val="20"/>
              </w:rPr>
              <w:t xml:space="preserve"> </w:t>
            </w:r>
            <w:proofErr w:type="spellStart"/>
            <w:r w:rsidRPr="00B45592">
              <w:rPr>
                <w:sz w:val="20"/>
                <w:szCs w:val="20"/>
              </w:rPr>
              <w:t>burdened</w:t>
            </w:r>
            <w:proofErr w:type="spellEnd"/>
            <w:r w:rsidRPr="00B45592">
              <w:rPr>
                <w:sz w:val="20"/>
                <w:szCs w:val="20"/>
              </w:rPr>
              <w:t xml:space="preserve"> </w:t>
            </w:r>
            <w:proofErr w:type="spellStart"/>
            <w:r w:rsidRPr="00B45592">
              <w:rPr>
                <w:sz w:val="20"/>
                <w:szCs w:val="20"/>
              </w:rPr>
              <w:t>with</w:t>
            </w:r>
            <w:proofErr w:type="spellEnd"/>
            <w:r w:rsidRPr="00B45592">
              <w:rPr>
                <w:sz w:val="20"/>
                <w:szCs w:val="20"/>
              </w:rPr>
              <w:t xml:space="preserve"> a </w:t>
            </w:r>
            <w:proofErr w:type="spellStart"/>
            <w:r w:rsidRPr="00B45592">
              <w:rPr>
                <w:sz w:val="20"/>
                <w:szCs w:val="20"/>
              </w:rPr>
              <w:t>tax</w:t>
            </w:r>
            <w:proofErr w:type="spellEnd"/>
            <w:r w:rsidRPr="00B45592">
              <w:rPr>
                <w:sz w:val="20"/>
                <w:szCs w:val="20"/>
              </w:rPr>
              <w:t>“</w:t>
            </w:r>
            <w:r w:rsidRPr="00E50B51">
              <w:rPr>
                <w:rStyle w:val="Funotenzeichen"/>
                <w:rFonts w:eastAsiaTheme="majorEastAsia"/>
                <w:sz w:val="20"/>
                <w:szCs w:val="20"/>
              </w:rPr>
              <w:footnoteReference w:id="404"/>
            </w:r>
            <w:r w:rsidRPr="00E50B51">
              <w:rPr>
                <w:sz w:val="20"/>
                <w:szCs w:val="20"/>
              </w:rPr>
              <w:t xml:space="preserve">) und der Staat </w:t>
            </w:r>
            <w:r>
              <w:rPr>
                <w:sz w:val="20"/>
                <w:szCs w:val="20"/>
              </w:rPr>
              <w:t>könne</w:t>
            </w:r>
            <w:r w:rsidRPr="00E50B51">
              <w:rPr>
                <w:sz w:val="20"/>
                <w:szCs w:val="20"/>
              </w:rPr>
              <w:t xml:space="preserve"> es nur indirekt mit Steuern belegen.</w:t>
            </w:r>
          </w:p>
          <w:p w14:paraId="604E1727" w14:textId="77777777" w:rsidR="00074551" w:rsidRPr="00E50B51" w:rsidRDefault="00074551" w:rsidP="00367133">
            <w:pPr>
              <w:jc w:val="both"/>
              <w:rPr>
                <w:sz w:val="20"/>
                <w:szCs w:val="20"/>
              </w:rPr>
            </w:pPr>
          </w:p>
        </w:tc>
      </w:tr>
      <w:tr w:rsidR="00074551" w:rsidRPr="00E50B51" w14:paraId="3F6B64F0" w14:textId="77777777" w:rsidTr="00BE689F">
        <w:trPr>
          <w:cantSplit/>
          <w:trHeight w:val="3175"/>
        </w:trPr>
        <w:tc>
          <w:tcPr>
            <w:tcW w:w="293" w:type="pct"/>
          </w:tcPr>
          <w:p w14:paraId="271E39EA"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DA08C84" w14:textId="77777777" w:rsidR="00074551" w:rsidRPr="00B45592" w:rsidRDefault="00074551" w:rsidP="00367133">
            <w:pPr>
              <w:ind w:left="113" w:right="113"/>
              <w:jc w:val="both"/>
              <w:rPr>
                <w:i/>
                <w:sz w:val="20"/>
                <w:szCs w:val="20"/>
                <w:lang w:val="en-US"/>
              </w:rPr>
            </w:pPr>
            <w:r w:rsidRPr="00584023">
              <w:rPr>
                <w:i/>
                <w:sz w:val="20"/>
                <w:szCs w:val="20"/>
                <w:lang w:val="en-US"/>
              </w:rPr>
              <w:t>Kansas v. Colorado</w:t>
            </w:r>
          </w:p>
        </w:tc>
        <w:tc>
          <w:tcPr>
            <w:tcW w:w="197" w:type="pct"/>
            <w:textDirection w:val="tbRl"/>
            <w:vAlign w:val="center"/>
          </w:tcPr>
          <w:p w14:paraId="233B7ADF" w14:textId="77777777" w:rsidR="00074551" w:rsidRPr="00E50B51" w:rsidRDefault="00074551" w:rsidP="00367133">
            <w:pPr>
              <w:ind w:left="113" w:right="113"/>
              <w:jc w:val="both"/>
              <w:rPr>
                <w:sz w:val="20"/>
                <w:szCs w:val="20"/>
                <w:lang w:val="en-US"/>
              </w:rPr>
            </w:pPr>
            <w:r w:rsidRPr="00E50B51">
              <w:rPr>
                <w:sz w:val="20"/>
                <w:szCs w:val="20"/>
                <w:lang w:val="en-US"/>
              </w:rPr>
              <w:t>206 U.S. 46</w:t>
            </w:r>
          </w:p>
        </w:tc>
        <w:tc>
          <w:tcPr>
            <w:tcW w:w="306" w:type="pct"/>
            <w:textDirection w:val="tbRl"/>
            <w:vAlign w:val="center"/>
          </w:tcPr>
          <w:p w14:paraId="3BE58B76" w14:textId="77777777" w:rsidR="00074551" w:rsidRPr="00E50B51" w:rsidRDefault="00074551" w:rsidP="00367133">
            <w:pPr>
              <w:ind w:left="113" w:right="113"/>
              <w:jc w:val="both"/>
              <w:rPr>
                <w:sz w:val="20"/>
                <w:szCs w:val="20"/>
              </w:rPr>
            </w:pPr>
            <w:r w:rsidRPr="00E50B51">
              <w:rPr>
                <w:sz w:val="20"/>
                <w:szCs w:val="20"/>
              </w:rPr>
              <w:t>13. Mai 1907</w:t>
            </w:r>
          </w:p>
        </w:tc>
        <w:tc>
          <w:tcPr>
            <w:tcW w:w="401" w:type="pct"/>
          </w:tcPr>
          <w:p w14:paraId="70240E86"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324E10A9" w14:textId="77777777" w:rsidR="00074551" w:rsidRPr="00E50B51" w:rsidRDefault="00074551" w:rsidP="00367133">
            <w:pPr>
              <w:jc w:val="both"/>
              <w:rPr>
                <w:sz w:val="20"/>
                <w:szCs w:val="20"/>
              </w:rPr>
            </w:pPr>
            <w:r w:rsidRPr="00E50B51">
              <w:rPr>
                <w:sz w:val="20"/>
                <w:szCs w:val="20"/>
              </w:rPr>
              <w:t>*</w:t>
            </w:r>
          </w:p>
        </w:tc>
        <w:tc>
          <w:tcPr>
            <w:tcW w:w="1822" w:type="pct"/>
          </w:tcPr>
          <w:p w14:paraId="77E1DF1C" w14:textId="21D5506F" w:rsidR="00074551" w:rsidRDefault="00074551" w:rsidP="00367133">
            <w:pPr>
              <w:jc w:val="both"/>
              <w:rPr>
                <w:sz w:val="20"/>
                <w:szCs w:val="20"/>
              </w:rPr>
            </w:pPr>
            <w:r w:rsidRPr="00E50B51">
              <w:rPr>
                <w:sz w:val="20"/>
                <w:szCs w:val="20"/>
              </w:rPr>
              <w:t xml:space="preserve">Die Regierung der Vereinigten Staaten kann keine Kompetenz ausüben, die ihr nicht die Verfassung zugesteht. Denn Kompetenzen muss die Verfassung entweder ausdrücklich – beim Bund – oder </w:t>
            </w:r>
            <w:proofErr w:type="gramStart"/>
            <w:r w:rsidRPr="00E50B51">
              <w:rPr>
                <w:sz w:val="20"/>
                <w:szCs w:val="20"/>
              </w:rPr>
              <w:t>stillschweigend</w:t>
            </w:r>
            <w:proofErr w:type="gramEnd"/>
            <w:r w:rsidRPr="00E50B51">
              <w:rPr>
                <w:sz w:val="20"/>
                <w:szCs w:val="20"/>
              </w:rPr>
              <w:t xml:space="preserve"> – bei den Bundesstaaten</w:t>
            </w:r>
            <w:r>
              <w:rPr>
                <w:sz w:val="20"/>
                <w:szCs w:val="20"/>
              </w:rPr>
              <w:t> </w:t>
            </w:r>
            <w:r w:rsidRPr="00E50B51">
              <w:rPr>
                <w:sz w:val="20"/>
                <w:szCs w:val="20"/>
              </w:rPr>
              <w:t xml:space="preserve">– verleihen. Die Regierung der Vereinigten Staaten auf Bundesebene habe daher nur ausdrücklich aufgezählte bzw. enumerative Kompetenzen. Und weil im Fall der </w:t>
            </w:r>
            <w:r w:rsidR="00023A37">
              <w:rPr>
                <w:sz w:val="20"/>
                <w:szCs w:val="20"/>
              </w:rPr>
              <w:t xml:space="preserve">U.S. </w:t>
            </w:r>
            <w:proofErr w:type="spellStart"/>
            <w:r w:rsidR="00023A37">
              <w:rPr>
                <w:sz w:val="20"/>
                <w:szCs w:val="20"/>
              </w:rPr>
              <w:t>Const</w:t>
            </w:r>
            <w:proofErr w:type="spellEnd"/>
            <w:r w:rsidR="00023A37">
              <w:rPr>
                <w:sz w:val="20"/>
                <w:szCs w:val="20"/>
              </w:rPr>
              <w:t>. art. I, § 8</w:t>
            </w:r>
            <w:r w:rsidRPr="00E50B51">
              <w:rPr>
                <w:sz w:val="20"/>
                <w:szCs w:val="20"/>
              </w:rPr>
              <w:t xml:space="preserve"> die Kompetenz</w:t>
            </w:r>
            <w:r>
              <w:rPr>
                <w:sz w:val="20"/>
                <w:szCs w:val="20"/>
              </w:rPr>
              <w:t>,</w:t>
            </w:r>
            <w:r w:rsidRPr="00E50B51">
              <w:rPr>
                <w:sz w:val="20"/>
                <w:szCs w:val="20"/>
              </w:rPr>
              <w:t xml:space="preserve"> zwischenstaatliche Flüsse zu kontrollieren, nicht für die Regierung der Vereinigten Staaten enumeriert</w:t>
            </w:r>
            <w:r>
              <w:rPr>
                <w:sz w:val="20"/>
                <w:szCs w:val="20"/>
              </w:rPr>
              <w:t xml:space="preserve"> sei</w:t>
            </w:r>
            <w:r w:rsidRPr="00E50B51">
              <w:rPr>
                <w:sz w:val="20"/>
                <w:szCs w:val="20"/>
              </w:rPr>
              <w:t>, so komm</w:t>
            </w:r>
            <w:r>
              <w:rPr>
                <w:sz w:val="20"/>
                <w:szCs w:val="20"/>
              </w:rPr>
              <w:t>e</w:t>
            </w:r>
            <w:r w:rsidRPr="00E50B51">
              <w:rPr>
                <w:sz w:val="20"/>
                <w:szCs w:val="20"/>
              </w:rPr>
              <w:t xml:space="preserve"> der Regierung diese Kompetenz nicht zu. Doch gibt es hierfür Grenzen? </w:t>
            </w:r>
            <w:r>
              <w:rPr>
                <w:sz w:val="20"/>
                <w:szCs w:val="20"/>
              </w:rPr>
              <w:t xml:space="preserve">Die kurze Antwort lautet: </w:t>
            </w:r>
            <w:r w:rsidRPr="00E50B51">
              <w:rPr>
                <w:sz w:val="20"/>
                <w:szCs w:val="20"/>
              </w:rPr>
              <w:t xml:space="preserve">Ja. </w:t>
            </w:r>
            <w:r>
              <w:rPr>
                <w:sz w:val="20"/>
                <w:szCs w:val="20"/>
              </w:rPr>
              <w:t>Und dies leitet sich nach dem</w:t>
            </w:r>
            <w:r w:rsidRPr="00E50B51">
              <w:rPr>
                <w:sz w:val="20"/>
                <w:szCs w:val="20"/>
              </w:rPr>
              <w:t xml:space="preserve"> Syllabus des Urteils</w:t>
            </w:r>
            <w:r>
              <w:rPr>
                <w:sz w:val="20"/>
                <w:szCs w:val="20"/>
              </w:rPr>
              <w:t xml:space="preserve"> wie folgt her</w:t>
            </w:r>
            <w:r w:rsidRPr="00E50B51">
              <w:rPr>
                <w:sz w:val="20"/>
                <w:szCs w:val="20"/>
              </w:rPr>
              <w:t xml:space="preserve">: Das Streben nach Glück sei eines der Grundrechte des Einzelnen. </w:t>
            </w:r>
            <w:r w:rsidRPr="00E50B51">
              <w:rPr>
                <w:sz w:val="20"/>
                <w:szCs w:val="20"/>
                <w:lang w:val="en-US"/>
              </w:rPr>
              <w:t xml:space="preserve">Es </w:t>
            </w:r>
            <w:proofErr w:type="spellStart"/>
            <w:r w:rsidRPr="00E50B51">
              <w:rPr>
                <w:sz w:val="20"/>
                <w:szCs w:val="20"/>
                <w:lang w:val="en-US"/>
              </w:rPr>
              <w:t>schütze</w:t>
            </w:r>
            <w:proofErr w:type="spellEnd"/>
            <w:r w:rsidRPr="00E50B51">
              <w:rPr>
                <w:sz w:val="20"/>
                <w:szCs w:val="20"/>
                <w:lang w:val="en-US"/>
              </w:rPr>
              <w:t xml:space="preserve"> </w:t>
            </w:r>
            <w:proofErr w:type="spellStart"/>
            <w:r w:rsidRPr="00E50B51">
              <w:rPr>
                <w:sz w:val="20"/>
                <w:szCs w:val="20"/>
                <w:lang w:val="en-US"/>
              </w:rPr>
              <w:t>gegen</w:t>
            </w:r>
            <w:proofErr w:type="spellEnd"/>
            <w:r w:rsidRPr="00E50B51">
              <w:rPr>
                <w:sz w:val="20"/>
                <w:szCs w:val="20"/>
                <w:lang w:val="en-US"/>
              </w:rPr>
              <w:t xml:space="preserve"> </w:t>
            </w:r>
            <w:proofErr w:type="spellStart"/>
            <w:r w:rsidRPr="00E50B51">
              <w:rPr>
                <w:sz w:val="20"/>
                <w:szCs w:val="20"/>
                <w:lang w:val="en-US"/>
              </w:rPr>
              <w:t>staatliche</w:t>
            </w:r>
            <w:proofErr w:type="spellEnd"/>
            <w:r w:rsidRPr="00E50B51">
              <w:rPr>
                <w:sz w:val="20"/>
                <w:szCs w:val="20"/>
                <w:lang w:val="en-US"/>
              </w:rPr>
              <w:t xml:space="preserve"> </w:t>
            </w:r>
            <w:proofErr w:type="spellStart"/>
            <w:r w:rsidRPr="00E50B51">
              <w:rPr>
                <w:sz w:val="20"/>
                <w:szCs w:val="20"/>
                <w:lang w:val="en-US"/>
              </w:rPr>
              <w:t>Eingriffe</w:t>
            </w:r>
            <w:proofErr w:type="spellEnd"/>
            <w:r w:rsidRPr="00E50B51">
              <w:rPr>
                <w:sz w:val="20"/>
                <w:szCs w:val="20"/>
                <w:lang w:val="en-US"/>
              </w:rPr>
              <w:t xml:space="preserve">, sei dem </w:t>
            </w:r>
            <w:proofErr w:type="spellStart"/>
            <w:r w:rsidRPr="00E50B51">
              <w:rPr>
                <w:sz w:val="20"/>
                <w:szCs w:val="20"/>
                <w:lang w:val="en-US"/>
              </w:rPr>
              <w:t>Einzelnen</w:t>
            </w:r>
            <w:proofErr w:type="spellEnd"/>
            <w:r w:rsidRPr="00E50B51">
              <w:rPr>
                <w:sz w:val="20"/>
                <w:szCs w:val="20"/>
                <w:lang w:val="en-US"/>
              </w:rPr>
              <w:t xml:space="preserve"> </w:t>
            </w:r>
            <w:proofErr w:type="spellStart"/>
            <w:r w:rsidRPr="00E50B51">
              <w:rPr>
                <w:sz w:val="20"/>
                <w:szCs w:val="20"/>
                <w:lang w:val="en-US"/>
              </w:rPr>
              <w:t>inhärent</w:t>
            </w:r>
            <w:proofErr w:type="spellEnd"/>
            <w:r w:rsidRPr="00E50B51">
              <w:rPr>
                <w:sz w:val="20"/>
                <w:szCs w:val="20"/>
                <w:lang w:val="en-US"/>
              </w:rPr>
              <w:t xml:space="preserve"> und </w:t>
            </w:r>
            <w:proofErr w:type="spellStart"/>
            <w:r w:rsidRPr="00E50B51">
              <w:rPr>
                <w:sz w:val="20"/>
                <w:szCs w:val="20"/>
                <w:lang w:val="en-US"/>
              </w:rPr>
              <w:t>damit</w:t>
            </w:r>
            <w:proofErr w:type="spellEnd"/>
            <w:r w:rsidRPr="00E50B51">
              <w:rPr>
                <w:sz w:val="20"/>
                <w:szCs w:val="20"/>
                <w:lang w:val="en-US"/>
              </w:rPr>
              <w:t xml:space="preserve"> dem Volk </w:t>
            </w:r>
            <w:proofErr w:type="spellStart"/>
            <w:r w:rsidRPr="00E50B51">
              <w:rPr>
                <w:sz w:val="20"/>
                <w:szCs w:val="20"/>
                <w:lang w:val="en-US"/>
              </w:rPr>
              <w:t>vorbehalten</w:t>
            </w:r>
            <w:proofErr w:type="spellEnd"/>
            <w:r w:rsidRPr="00E50B51">
              <w:rPr>
                <w:sz w:val="20"/>
                <w:szCs w:val="20"/>
                <w:lang w:val="en-US"/>
              </w:rPr>
              <w:t xml:space="preserve"> („powers reserved to the people relate to possible encroachments on their personal and individual rights of life, liberty, and the pursuit of </w:t>
            </w:r>
            <w:proofErr w:type="gramStart"/>
            <w:r w:rsidRPr="00FE7D01">
              <w:rPr>
                <w:sz w:val="20"/>
                <w:szCs w:val="20"/>
                <w:lang w:val="en-US"/>
              </w:rPr>
              <w:t>happiness“</w:t>
            </w:r>
            <w:proofErr w:type="gramEnd"/>
            <w:r w:rsidRPr="00FE7D01">
              <w:rPr>
                <w:rStyle w:val="Funotenzeichen"/>
                <w:sz w:val="20"/>
                <w:szCs w:val="20"/>
                <w:lang w:val="en-US"/>
              </w:rPr>
              <w:footnoteReference w:id="405"/>
            </w:r>
            <w:r w:rsidRPr="00B45592">
              <w:rPr>
                <w:sz w:val="20"/>
                <w:szCs w:val="20"/>
                <w:lang w:val="en-IE"/>
              </w:rPr>
              <w:t xml:space="preserve">). </w:t>
            </w:r>
            <w:r w:rsidRPr="00E50B51">
              <w:rPr>
                <w:sz w:val="20"/>
                <w:szCs w:val="20"/>
              </w:rPr>
              <w:t xml:space="preserve">Zugleich meint der Sinn und Zweck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E50B51">
              <w:rPr>
                <w:sz w:val="20"/>
                <w:szCs w:val="20"/>
              </w:rPr>
              <w:t xml:space="preserve">, dass es nicht sein kann, allein dem Volke den Schutz seiner Rechten aufzuerlegen, wie z.B. den Schutz des inhärenten Rechts auf Bedingungen für Glücksstreben. Denn um solche Rechte weitgehend zu schützen, </w:t>
            </w:r>
            <w:r>
              <w:rPr>
                <w:sz w:val="20"/>
                <w:szCs w:val="20"/>
              </w:rPr>
              <w:t>müsse</w:t>
            </w:r>
            <w:r w:rsidRPr="00E50B51">
              <w:rPr>
                <w:sz w:val="20"/>
                <w:szCs w:val="20"/>
              </w:rPr>
              <w:t xml:space="preserve"> eine Regierung auf nationaler Ebene effektiv regieren („essential </w:t>
            </w:r>
            <w:proofErr w:type="spellStart"/>
            <w:r w:rsidRPr="00E50B51">
              <w:rPr>
                <w:sz w:val="20"/>
                <w:szCs w:val="20"/>
              </w:rPr>
              <w:t>because</w:t>
            </w:r>
            <w:proofErr w:type="spellEnd"/>
            <w:r w:rsidRPr="00E50B51">
              <w:rPr>
                <w:sz w:val="20"/>
                <w:szCs w:val="20"/>
              </w:rPr>
              <w:t xml:space="preserve"> </w:t>
            </w:r>
            <w:proofErr w:type="spellStart"/>
            <w:r w:rsidRPr="00E50B51">
              <w:rPr>
                <w:sz w:val="20"/>
                <w:szCs w:val="20"/>
              </w:rPr>
              <w:t>neither</w:t>
            </w:r>
            <w:proofErr w:type="spellEnd"/>
            <w:r w:rsidRPr="00E50B51">
              <w:rPr>
                <w:sz w:val="20"/>
                <w:szCs w:val="20"/>
              </w:rPr>
              <w:t xml:space="preserve"> the separate States </w:t>
            </w:r>
            <w:proofErr w:type="spellStart"/>
            <w:r w:rsidRPr="00E50B51">
              <w:rPr>
                <w:sz w:val="20"/>
                <w:szCs w:val="20"/>
              </w:rPr>
              <w:t>nor</w:t>
            </w:r>
            <w:proofErr w:type="spellEnd"/>
            <w:r w:rsidRPr="00E50B51">
              <w:rPr>
                <w:sz w:val="20"/>
                <w:szCs w:val="20"/>
              </w:rPr>
              <w:t xml:space="preserve"> the </w:t>
            </w:r>
            <w:proofErr w:type="spellStart"/>
            <w:r w:rsidRPr="00E50B51">
              <w:rPr>
                <w:sz w:val="20"/>
                <w:szCs w:val="20"/>
              </w:rPr>
              <w:t>people</w:t>
            </w:r>
            <w:proofErr w:type="spellEnd"/>
            <w:r w:rsidRPr="00E50B51">
              <w:rPr>
                <w:sz w:val="20"/>
                <w:szCs w:val="20"/>
              </w:rPr>
              <w:t xml:space="preserve"> at large </w:t>
            </w:r>
            <w:proofErr w:type="spellStart"/>
            <w:r w:rsidRPr="00E50B51">
              <w:rPr>
                <w:sz w:val="20"/>
                <w:szCs w:val="20"/>
              </w:rPr>
              <w:t>can</w:t>
            </w:r>
            <w:proofErr w:type="spellEnd"/>
            <w:r w:rsidRPr="00E50B51">
              <w:rPr>
                <w:sz w:val="20"/>
                <w:szCs w:val="20"/>
              </w:rPr>
              <w:t xml:space="preserve"> deal </w:t>
            </w:r>
            <w:proofErr w:type="spellStart"/>
            <w:r w:rsidRPr="00E50B51">
              <w:rPr>
                <w:sz w:val="20"/>
                <w:szCs w:val="20"/>
              </w:rPr>
              <w:t>with</w:t>
            </w:r>
            <w:proofErr w:type="spellEnd"/>
            <w:r w:rsidRPr="00E50B51">
              <w:rPr>
                <w:sz w:val="20"/>
                <w:szCs w:val="20"/>
              </w:rPr>
              <w:t xml:space="preserve"> it </w:t>
            </w:r>
            <w:proofErr w:type="spellStart"/>
            <w:r w:rsidRPr="00E50B51">
              <w:rPr>
                <w:sz w:val="20"/>
                <w:szCs w:val="20"/>
              </w:rPr>
              <w:t>effectively</w:t>
            </w:r>
            <w:proofErr w:type="spellEnd"/>
            <w:r w:rsidRPr="00E50B51">
              <w:rPr>
                <w:sz w:val="20"/>
                <w:szCs w:val="20"/>
              </w:rPr>
              <w:t xml:space="preserve"> </w:t>
            </w:r>
            <w:proofErr w:type="spellStart"/>
            <w:r w:rsidRPr="00E50B51">
              <w:rPr>
                <w:sz w:val="20"/>
                <w:szCs w:val="20"/>
              </w:rPr>
              <w:t>or</w:t>
            </w:r>
            <w:proofErr w:type="spellEnd"/>
            <w:r w:rsidRPr="00E50B51">
              <w:rPr>
                <w:sz w:val="20"/>
                <w:szCs w:val="20"/>
              </w:rPr>
              <w:t xml:space="preserve"> </w:t>
            </w:r>
            <w:proofErr w:type="spellStart"/>
            <w:r w:rsidRPr="00E50B51">
              <w:rPr>
                <w:sz w:val="20"/>
                <w:szCs w:val="20"/>
              </w:rPr>
              <w:t>indeed</w:t>
            </w:r>
            <w:proofErr w:type="spellEnd"/>
            <w:r w:rsidRPr="00E50B51">
              <w:rPr>
                <w:sz w:val="20"/>
                <w:szCs w:val="20"/>
              </w:rPr>
              <w:t xml:space="preserve"> at all“</w:t>
            </w:r>
            <w:r w:rsidRPr="00E50B51">
              <w:rPr>
                <w:rStyle w:val="Funotenzeichen"/>
                <w:rFonts w:eastAsiaTheme="majorEastAsia"/>
                <w:sz w:val="20"/>
                <w:szCs w:val="20"/>
              </w:rPr>
              <w:footnoteReference w:id="406"/>
            </w:r>
            <w:r>
              <w:rPr>
                <w:sz w:val="20"/>
                <w:szCs w:val="20"/>
              </w:rPr>
              <w:t>).</w:t>
            </w:r>
            <w:r w:rsidRPr="00E50B51">
              <w:rPr>
                <w:sz w:val="20"/>
                <w:szCs w:val="20"/>
              </w:rPr>
              <w:t xml:space="preserve"> </w:t>
            </w:r>
            <w:r>
              <w:rPr>
                <w:sz w:val="20"/>
                <w:szCs w:val="20"/>
              </w:rPr>
              <w:t>Dies bedeutet</w:t>
            </w:r>
            <w:r w:rsidRPr="00E50B51">
              <w:rPr>
                <w:sz w:val="20"/>
                <w:szCs w:val="20"/>
              </w:rPr>
              <w:t xml:space="preserve"> für den Fall: Der Bund kann die Nutzung zwischenstaatlicher Flüsse doch regeln, wenn in Ausnahmefällen die inhärenten Rechte betroffen s</w:t>
            </w:r>
            <w:r>
              <w:rPr>
                <w:sz w:val="20"/>
                <w:szCs w:val="20"/>
              </w:rPr>
              <w:t>ind</w:t>
            </w:r>
            <w:r w:rsidRPr="00E50B51">
              <w:rPr>
                <w:sz w:val="20"/>
                <w:szCs w:val="20"/>
              </w:rPr>
              <w:t>. Denn zu deren Schutz ist eine Regierung eingesetzt.</w:t>
            </w:r>
          </w:p>
          <w:p w14:paraId="2F392C76" w14:textId="77777777" w:rsidR="00074551" w:rsidRPr="00E50B51" w:rsidRDefault="00074551" w:rsidP="00367133">
            <w:pPr>
              <w:jc w:val="both"/>
              <w:rPr>
                <w:sz w:val="20"/>
                <w:szCs w:val="20"/>
              </w:rPr>
            </w:pPr>
          </w:p>
        </w:tc>
      </w:tr>
      <w:tr w:rsidR="00074551" w:rsidRPr="00E50B51" w14:paraId="2786C6DA" w14:textId="77777777" w:rsidTr="00BE689F">
        <w:trPr>
          <w:cantSplit/>
          <w:trHeight w:val="3175"/>
        </w:trPr>
        <w:tc>
          <w:tcPr>
            <w:tcW w:w="293" w:type="pct"/>
          </w:tcPr>
          <w:p w14:paraId="160C1C43"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9A4FE58" w14:textId="77777777" w:rsidR="00074551" w:rsidRPr="00E50B51" w:rsidRDefault="00074551" w:rsidP="00367133">
            <w:pPr>
              <w:ind w:left="113" w:right="113"/>
              <w:jc w:val="both"/>
              <w:rPr>
                <w:sz w:val="20"/>
                <w:szCs w:val="20"/>
              </w:rPr>
            </w:pPr>
            <w:r w:rsidRPr="007360B0">
              <w:rPr>
                <w:i/>
                <w:sz w:val="20"/>
                <w:szCs w:val="20"/>
              </w:rPr>
              <w:t>Taylor v. Beckham</w:t>
            </w:r>
          </w:p>
        </w:tc>
        <w:tc>
          <w:tcPr>
            <w:tcW w:w="197" w:type="pct"/>
            <w:textDirection w:val="tbRl"/>
            <w:vAlign w:val="center"/>
          </w:tcPr>
          <w:p w14:paraId="79BE6529" w14:textId="77777777" w:rsidR="00074551" w:rsidRPr="00E50B51" w:rsidRDefault="00074551" w:rsidP="00367133">
            <w:pPr>
              <w:ind w:left="113" w:right="113"/>
              <w:jc w:val="both"/>
              <w:rPr>
                <w:sz w:val="20"/>
                <w:szCs w:val="20"/>
              </w:rPr>
            </w:pPr>
            <w:r w:rsidRPr="00E50B51">
              <w:rPr>
                <w:sz w:val="20"/>
                <w:szCs w:val="20"/>
                <w:lang w:val="en-US"/>
              </w:rPr>
              <w:t>178 U.S. 548</w:t>
            </w:r>
          </w:p>
        </w:tc>
        <w:tc>
          <w:tcPr>
            <w:tcW w:w="306" w:type="pct"/>
            <w:textDirection w:val="tbRl"/>
            <w:vAlign w:val="center"/>
          </w:tcPr>
          <w:p w14:paraId="183BC504" w14:textId="77777777" w:rsidR="00074551" w:rsidRPr="00E50B51" w:rsidRDefault="00074551" w:rsidP="00367133">
            <w:pPr>
              <w:ind w:left="113" w:right="113"/>
              <w:jc w:val="both"/>
              <w:rPr>
                <w:sz w:val="20"/>
                <w:szCs w:val="20"/>
              </w:rPr>
            </w:pPr>
            <w:r w:rsidRPr="00E50B51">
              <w:rPr>
                <w:sz w:val="20"/>
                <w:szCs w:val="20"/>
              </w:rPr>
              <w:t>21. Mai 19</w:t>
            </w:r>
            <w:r>
              <w:rPr>
                <w:sz w:val="20"/>
                <w:szCs w:val="20"/>
              </w:rPr>
              <w:t>00</w:t>
            </w:r>
          </w:p>
        </w:tc>
        <w:tc>
          <w:tcPr>
            <w:tcW w:w="401" w:type="pct"/>
          </w:tcPr>
          <w:p w14:paraId="4801EC51" w14:textId="77777777" w:rsidR="00074551" w:rsidRPr="00E50B51" w:rsidRDefault="00074551" w:rsidP="00367133">
            <w:pPr>
              <w:jc w:val="center"/>
              <w:rPr>
                <w:sz w:val="20"/>
                <w:szCs w:val="20"/>
              </w:rPr>
            </w:pPr>
            <w:r w:rsidRPr="00E50B51">
              <w:rPr>
                <w:iCs/>
                <w:sz w:val="20"/>
                <w:szCs w:val="20"/>
              </w:rPr>
              <w:t>R</w:t>
            </w:r>
          </w:p>
        </w:tc>
        <w:tc>
          <w:tcPr>
            <w:tcW w:w="1594" w:type="pct"/>
          </w:tcPr>
          <w:p w14:paraId="0CD3AC4E" w14:textId="77777777" w:rsidR="00074551" w:rsidRPr="00E50B51" w:rsidRDefault="00074551" w:rsidP="00367133">
            <w:pPr>
              <w:jc w:val="both"/>
              <w:rPr>
                <w:sz w:val="20"/>
                <w:szCs w:val="20"/>
              </w:rPr>
            </w:pPr>
            <w:r w:rsidRPr="00E50B51">
              <w:rPr>
                <w:sz w:val="20"/>
                <w:szCs w:val="20"/>
              </w:rPr>
              <w:t>*</w:t>
            </w:r>
          </w:p>
        </w:tc>
        <w:tc>
          <w:tcPr>
            <w:tcW w:w="1822" w:type="pct"/>
          </w:tcPr>
          <w:p w14:paraId="2F85EDC0" w14:textId="72DBA365" w:rsidR="00074551" w:rsidRPr="00E50B51" w:rsidRDefault="00074551" w:rsidP="00367133">
            <w:pPr>
              <w:jc w:val="both"/>
              <w:rPr>
                <w:sz w:val="20"/>
                <w:szCs w:val="20"/>
              </w:rPr>
            </w:pPr>
            <w:r w:rsidRPr="5B67C1D2">
              <w:rPr>
                <w:sz w:val="20"/>
                <w:szCs w:val="20"/>
              </w:rPr>
              <w:t xml:space="preserve">Die Beklagten trugen vor und der U.S. Supreme Court nahm auf,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5B67C1D2">
              <w:rPr>
                <w:sz w:val="20"/>
                <w:szCs w:val="20"/>
              </w:rPr>
              <w:t xml:space="preserve"> eine Willkürgrenze enthielten wegen ihrer Wortlautanforderung des rechtsstaatlichen Verfahrens. Das meint: Beide Amendments schützen die Freiheit, das Eigentum oder das Streben nach Glück dagegen, dass staatliche Maßnahmen diese Rechtsgüter willkürlich entziehen. Doch wie weit ist der U.S. Supreme Court zuständig, um willkürliche staatliche Handlungen zu überprüfen, hier am Beispiel einer angefochtenen Wahl, die das Streben nach Glück in Form des freien Ämterzugangs einschränken könnten („</w:t>
            </w:r>
            <w:proofErr w:type="spellStart"/>
            <w:r w:rsidRPr="5B67C1D2">
              <w:rPr>
                <w:sz w:val="20"/>
                <w:szCs w:val="20"/>
              </w:rPr>
              <w:t>pursuit</w:t>
            </w:r>
            <w:proofErr w:type="spellEnd"/>
            <w:r w:rsidRPr="5B67C1D2">
              <w:rPr>
                <w:sz w:val="20"/>
                <w:szCs w:val="20"/>
              </w:rPr>
              <w:t xml:space="preserve"> of </w:t>
            </w:r>
            <w:proofErr w:type="spellStart"/>
            <w:r w:rsidRPr="5B67C1D2">
              <w:rPr>
                <w:sz w:val="20"/>
                <w:szCs w:val="20"/>
              </w:rPr>
              <w:t>happiness</w:t>
            </w:r>
            <w:proofErr w:type="spellEnd"/>
            <w:r w:rsidRPr="5B67C1D2">
              <w:rPr>
                <w:sz w:val="20"/>
                <w:szCs w:val="20"/>
              </w:rPr>
              <w:t xml:space="preserve">, </w:t>
            </w:r>
            <w:proofErr w:type="spellStart"/>
            <w:r w:rsidRPr="5B67C1D2">
              <w:rPr>
                <w:sz w:val="20"/>
                <w:szCs w:val="20"/>
              </w:rPr>
              <w:t>including</w:t>
            </w:r>
            <w:proofErr w:type="spellEnd"/>
            <w:r w:rsidRPr="5B67C1D2">
              <w:rPr>
                <w:sz w:val="20"/>
                <w:szCs w:val="20"/>
              </w:rPr>
              <w:t xml:space="preserve"> </w:t>
            </w:r>
            <w:proofErr w:type="spellStart"/>
            <w:r w:rsidRPr="5B67C1D2">
              <w:rPr>
                <w:sz w:val="20"/>
                <w:szCs w:val="20"/>
              </w:rPr>
              <w:t>therein</w:t>
            </w:r>
            <w:proofErr w:type="spellEnd"/>
            <w:r w:rsidRPr="5B67C1D2">
              <w:rPr>
                <w:sz w:val="20"/>
                <w:szCs w:val="20"/>
              </w:rPr>
              <w:t xml:space="preserve"> the </w:t>
            </w:r>
            <w:proofErr w:type="spellStart"/>
            <w:r w:rsidRPr="5B67C1D2">
              <w:rPr>
                <w:sz w:val="20"/>
                <w:szCs w:val="20"/>
              </w:rPr>
              <w:t>enjoyment</w:t>
            </w:r>
            <w:proofErr w:type="spellEnd"/>
            <w:r w:rsidRPr="5B67C1D2">
              <w:rPr>
                <w:sz w:val="20"/>
                <w:szCs w:val="20"/>
              </w:rPr>
              <w:t xml:space="preserve"> of </w:t>
            </w:r>
            <w:proofErr w:type="spellStart"/>
            <w:r w:rsidRPr="5B67C1D2">
              <w:rPr>
                <w:sz w:val="20"/>
                <w:szCs w:val="20"/>
              </w:rPr>
              <w:t>honors</w:t>
            </w:r>
            <w:proofErr w:type="spellEnd"/>
            <w:r w:rsidRPr="5B67C1D2">
              <w:rPr>
                <w:sz w:val="20"/>
                <w:szCs w:val="20"/>
              </w:rPr>
              <w:t xml:space="preserve"> and the </w:t>
            </w:r>
            <w:proofErr w:type="spellStart"/>
            <w:r w:rsidRPr="5B67C1D2">
              <w:rPr>
                <w:sz w:val="20"/>
                <w:szCs w:val="20"/>
              </w:rPr>
              <w:t>occupation</w:t>
            </w:r>
            <w:proofErr w:type="spellEnd"/>
            <w:r w:rsidRPr="5B67C1D2">
              <w:rPr>
                <w:sz w:val="20"/>
                <w:szCs w:val="20"/>
              </w:rPr>
              <w:t xml:space="preserve"> of </w:t>
            </w:r>
            <w:proofErr w:type="spellStart"/>
            <w:r w:rsidRPr="5B67C1D2">
              <w:rPr>
                <w:sz w:val="20"/>
                <w:szCs w:val="20"/>
              </w:rPr>
              <w:t>positions</w:t>
            </w:r>
            <w:proofErr w:type="spellEnd"/>
            <w:r w:rsidRPr="5B67C1D2">
              <w:rPr>
                <w:sz w:val="20"/>
                <w:szCs w:val="20"/>
              </w:rPr>
              <w:t xml:space="preserve"> of </w:t>
            </w:r>
            <w:proofErr w:type="spellStart"/>
            <w:r w:rsidRPr="5B67C1D2">
              <w:rPr>
                <w:sz w:val="20"/>
                <w:szCs w:val="20"/>
              </w:rPr>
              <w:t>public</w:t>
            </w:r>
            <w:proofErr w:type="spellEnd"/>
            <w:r w:rsidRPr="5B67C1D2">
              <w:rPr>
                <w:sz w:val="20"/>
                <w:szCs w:val="20"/>
              </w:rPr>
              <w:t xml:space="preserve"> </w:t>
            </w:r>
            <w:proofErr w:type="spellStart"/>
            <w:r w:rsidRPr="5B67C1D2">
              <w:rPr>
                <w:sz w:val="20"/>
                <w:szCs w:val="20"/>
              </w:rPr>
              <w:t>trust</w:t>
            </w:r>
            <w:proofErr w:type="spellEnd"/>
            <w:r w:rsidRPr="5B67C1D2">
              <w:rPr>
                <w:sz w:val="20"/>
                <w:szCs w:val="20"/>
              </w:rPr>
              <w:t xml:space="preserve"> and </w:t>
            </w:r>
            <w:proofErr w:type="spellStart"/>
            <w:r w:rsidRPr="5B67C1D2">
              <w:rPr>
                <w:sz w:val="20"/>
                <w:szCs w:val="20"/>
              </w:rPr>
              <w:t>emolument</w:t>
            </w:r>
            <w:proofErr w:type="spellEnd"/>
            <w:r w:rsidRPr="5B67C1D2">
              <w:rPr>
                <w:sz w:val="20"/>
                <w:szCs w:val="20"/>
              </w:rPr>
              <w:t>“</w:t>
            </w:r>
            <w:r w:rsidRPr="5B67C1D2">
              <w:rPr>
                <w:sz w:val="20"/>
                <w:szCs w:val="20"/>
                <w:vertAlign w:val="superscript"/>
              </w:rPr>
              <w:footnoteReference w:id="407"/>
            </w:r>
            <w:r w:rsidRPr="5B67C1D2">
              <w:rPr>
                <w:sz w:val="20"/>
                <w:szCs w:val="20"/>
              </w:rPr>
              <w:t xml:space="preserve">)? Dafür gibt es einen Prüfungsmaßstab aus zwei Schritten: Erstens müsste ein Parlament Ämter ohne rechtsstaatliches Verfahren entziehen. Und zweitens müsste das Parlament dem Volk ohne rechtsstaatliches Verfahren das Recht zu wählen entziehen, </w:t>
            </w:r>
            <w:proofErr w:type="gramStart"/>
            <w:r w:rsidRPr="5B67C1D2">
              <w:rPr>
                <w:sz w:val="20"/>
                <w:szCs w:val="20"/>
              </w:rPr>
              <w:t>das</w:t>
            </w:r>
            <w:proofErr w:type="gramEnd"/>
            <w:r w:rsidRPr="5B67C1D2">
              <w:rPr>
                <w:sz w:val="20"/>
                <w:szCs w:val="20"/>
              </w:rPr>
              <w:t xml:space="preserve"> die republikanische Regierungsform auch für jeden Bundesstaat sichere. Die Verfassungsgrenze sei damit überschritten und die Überprüfung des U.S. Supreme Court ausgelöst, soweit also ein Parlament ohne rechtsstaatliches Verfahren die politische Freiheit nehme.</w:t>
            </w:r>
            <w:r w:rsidRPr="5B67C1D2">
              <w:rPr>
                <w:sz w:val="20"/>
                <w:szCs w:val="20"/>
                <w:vertAlign w:val="superscript"/>
              </w:rPr>
              <w:footnoteReference w:id="408"/>
            </w:r>
          </w:p>
          <w:p w14:paraId="3FFEA82E" w14:textId="77777777" w:rsidR="00074551" w:rsidRPr="00E50B51" w:rsidRDefault="00074551" w:rsidP="00367133">
            <w:pPr>
              <w:jc w:val="both"/>
              <w:rPr>
                <w:sz w:val="20"/>
                <w:szCs w:val="20"/>
              </w:rPr>
            </w:pPr>
          </w:p>
        </w:tc>
      </w:tr>
      <w:tr w:rsidR="00074551" w:rsidRPr="00E50B51" w14:paraId="4BD44C91" w14:textId="77777777" w:rsidTr="00752D01">
        <w:trPr>
          <w:cantSplit/>
          <w:trHeight w:val="3175"/>
        </w:trPr>
        <w:tc>
          <w:tcPr>
            <w:tcW w:w="293" w:type="pct"/>
            <w:shd w:val="clear" w:color="auto" w:fill="E7E6E6" w:themeFill="background2"/>
          </w:tcPr>
          <w:p w14:paraId="78876060" w14:textId="77777777" w:rsidR="00074551" w:rsidRPr="00E50B51" w:rsidRDefault="00074551" w:rsidP="00367133">
            <w:pPr>
              <w:jc w:val="center"/>
              <w:rPr>
                <w:sz w:val="20"/>
                <w:szCs w:val="20"/>
              </w:rPr>
            </w:pPr>
            <w:r w:rsidRPr="00BE3728">
              <w:rPr>
                <w:sz w:val="20"/>
                <w:szCs w:val="20"/>
              </w:rPr>
              <w:t>H</w:t>
            </w:r>
          </w:p>
        </w:tc>
        <w:tc>
          <w:tcPr>
            <w:tcW w:w="387" w:type="pct"/>
            <w:shd w:val="clear" w:color="auto" w:fill="E7E6E6" w:themeFill="background2"/>
            <w:textDirection w:val="tbRl"/>
            <w:vAlign w:val="center"/>
          </w:tcPr>
          <w:p w14:paraId="7C893224" w14:textId="77777777" w:rsidR="00074551" w:rsidRPr="00E50B51" w:rsidRDefault="00074551" w:rsidP="00367133">
            <w:pPr>
              <w:ind w:left="113" w:right="113"/>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3655853E" w14:textId="77777777" w:rsidR="00074551" w:rsidRPr="00E50B51" w:rsidRDefault="00074551" w:rsidP="00367133">
            <w:pPr>
              <w:ind w:left="113" w:right="113"/>
              <w:jc w:val="both"/>
              <w:rPr>
                <w:sz w:val="20"/>
                <w:szCs w:val="20"/>
                <w:lang w:val="en-US"/>
              </w:rPr>
            </w:pPr>
            <w:r w:rsidRPr="00BE3728">
              <w:rPr>
                <w:sz w:val="20"/>
                <w:szCs w:val="20"/>
              </w:rPr>
              <w:t xml:space="preserve">Local Governments </w:t>
            </w:r>
          </w:p>
        </w:tc>
        <w:tc>
          <w:tcPr>
            <w:tcW w:w="306" w:type="pct"/>
            <w:shd w:val="clear" w:color="auto" w:fill="E7E6E6" w:themeFill="background2"/>
            <w:textDirection w:val="tbRl"/>
            <w:vAlign w:val="center"/>
          </w:tcPr>
          <w:p w14:paraId="09E5603C" w14:textId="77777777" w:rsidR="00074551" w:rsidRPr="00E50B51" w:rsidRDefault="00074551" w:rsidP="00367133">
            <w:pPr>
              <w:ind w:left="113" w:right="113"/>
              <w:jc w:val="both"/>
              <w:rPr>
                <w:sz w:val="20"/>
                <w:szCs w:val="20"/>
              </w:rPr>
            </w:pPr>
            <w:proofErr w:type="spellStart"/>
            <w:r w:rsidRPr="00BE3728">
              <w:rPr>
                <w:sz w:val="20"/>
                <w:szCs w:val="20"/>
              </w:rPr>
              <w:t>Licenses</w:t>
            </w:r>
            <w:proofErr w:type="spellEnd"/>
          </w:p>
        </w:tc>
        <w:tc>
          <w:tcPr>
            <w:tcW w:w="401" w:type="pct"/>
            <w:shd w:val="clear" w:color="auto" w:fill="E7E6E6" w:themeFill="background2"/>
          </w:tcPr>
          <w:p w14:paraId="3FA9A6ED" w14:textId="77777777" w:rsidR="00074551" w:rsidRPr="00E50B51" w:rsidRDefault="00074551" w:rsidP="00367133">
            <w:pPr>
              <w:jc w:val="center"/>
              <w:rPr>
                <w:iCs/>
                <w:sz w:val="20"/>
                <w:szCs w:val="20"/>
              </w:rPr>
            </w:pPr>
          </w:p>
        </w:tc>
        <w:tc>
          <w:tcPr>
            <w:tcW w:w="1594" w:type="pct"/>
            <w:shd w:val="clear" w:color="auto" w:fill="E7E6E6" w:themeFill="background2"/>
            <w:vAlign w:val="center"/>
          </w:tcPr>
          <w:p w14:paraId="6A75B6B9" w14:textId="77777777" w:rsidR="00074551" w:rsidRPr="00E50B51" w:rsidRDefault="00074551" w:rsidP="00367133">
            <w:pPr>
              <w:jc w:val="both"/>
              <w:rPr>
                <w:sz w:val="20"/>
                <w:szCs w:val="20"/>
              </w:rPr>
            </w:pPr>
          </w:p>
        </w:tc>
        <w:tc>
          <w:tcPr>
            <w:tcW w:w="1822" w:type="pct"/>
            <w:shd w:val="clear" w:color="auto" w:fill="E7E6E6" w:themeFill="background2"/>
          </w:tcPr>
          <w:p w14:paraId="40EFD53D" w14:textId="6ED631A3"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E50B51" w14:paraId="649F0808" w14:textId="77777777" w:rsidTr="00BE689F">
        <w:trPr>
          <w:cantSplit/>
          <w:trHeight w:val="3175"/>
        </w:trPr>
        <w:tc>
          <w:tcPr>
            <w:tcW w:w="293" w:type="pct"/>
          </w:tcPr>
          <w:p w14:paraId="2A8A347D"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130C62C6" w14:textId="77777777" w:rsidR="00074551" w:rsidRPr="00B45592" w:rsidRDefault="00074551" w:rsidP="00367133">
            <w:pPr>
              <w:ind w:left="113" w:right="113"/>
              <w:jc w:val="both"/>
              <w:rPr>
                <w:i/>
                <w:sz w:val="20"/>
                <w:szCs w:val="20"/>
              </w:rPr>
            </w:pPr>
            <w:r w:rsidRPr="00B45592">
              <w:rPr>
                <w:i/>
                <w:sz w:val="20"/>
                <w:szCs w:val="20"/>
              </w:rPr>
              <w:t>Fanning v. Gregoire</w:t>
            </w:r>
          </w:p>
        </w:tc>
        <w:tc>
          <w:tcPr>
            <w:tcW w:w="197" w:type="pct"/>
            <w:textDirection w:val="tbRl"/>
            <w:vAlign w:val="center"/>
          </w:tcPr>
          <w:p w14:paraId="5D3604B8" w14:textId="77777777" w:rsidR="00074551" w:rsidRPr="00E50B51" w:rsidRDefault="00074551" w:rsidP="00367133">
            <w:pPr>
              <w:ind w:left="113" w:right="113"/>
              <w:jc w:val="both"/>
              <w:rPr>
                <w:sz w:val="20"/>
                <w:szCs w:val="20"/>
                <w:lang w:val="en-US"/>
              </w:rPr>
            </w:pPr>
            <w:r w:rsidRPr="00BE3728">
              <w:rPr>
                <w:sz w:val="20"/>
                <w:szCs w:val="20"/>
              </w:rPr>
              <w:t>57 U.S. 524</w:t>
            </w:r>
          </w:p>
        </w:tc>
        <w:tc>
          <w:tcPr>
            <w:tcW w:w="306" w:type="pct"/>
            <w:textDirection w:val="tbRl"/>
            <w:vAlign w:val="center"/>
          </w:tcPr>
          <w:p w14:paraId="7C5FE8EC" w14:textId="77777777" w:rsidR="00074551" w:rsidRPr="00E50B51" w:rsidRDefault="00074551" w:rsidP="00367133">
            <w:pPr>
              <w:ind w:left="113" w:right="113"/>
              <w:jc w:val="both"/>
              <w:rPr>
                <w:sz w:val="20"/>
                <w:szCs w:val="20"/>
              </w:rPr>
            </w:pPr>
            <w:r w:rsidRPr="00BE3728">
              <w:rPr>
                <w:sz w:val="20"/>
                <w:szCs w:val="20"/>
              </w:rPr>
              <w:t>26. Mai 1854</w:t>
            </w:r>
          </w:p>
        </w:tc>
        <w:tc>
          <w:tcPr>
            <w:tcW w:w="401" w:type="pct"/>
          </w:tcPr>
          <w:p w14:paraId="06779D06" w14:textId="77777777" w:rsidR="00074551" w:rsidRPr="00E50B51" w:rsidRDefault="00074551" w:rsidP="00367133">
            <w:pPr>
              <w:jc w:val="center"/>
              <w:rPr>
                <w:iCs/>
                <w:sz w:val="20"/>
                <w:szCs w:val="20"/>
              </w:rPr>
            </w:pPr>
            <w:r w:rsidRPr="00BE3728">
              <w:rPr>
                <w:sz w:val="20"/>
                <w:szCs w:val="20"/>
                <w:lang w:val="en-US"/>
              </w:rPr>
              <w:t>S</w:t>
            </w:r>
          </w:p>
        </w:tc>
        <w:tc>
          <w:tcPr>
            <w:tcW w:w="1594" w:type="pct"/>
          </w:tcPr>
          <w:p w14:paraId="35CFA940"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das Klagebegehren zurück und bestätigte das Urteil der Vorinstanz. Der Kläger begehrte, dem Beklagten den Betrieb einer Fähre über einen Fluss zu untersagen. Er berief sich auf eine angeblich exklusive Fährlizenz, die ihm ein Akt der Legislative Iowas</w:t>
            </w:r>
            <w:r w:rsidRPr="00BE3728">
              <w:rPr>
                <w:rStyle w:val="Funotenzeichen"/>
                <w:sz w:val="20"/>
                <w:szCs w:val="20"/>
              </w:rPr>
              <w:footnoteReference w:id="409"/>
            </w:r>
            <w:r w:rsidRPr="00BE3728">
              <w:rPr>
                <w:sz w:val="20"/>
                <w:szCs w:val="20"/>
              </w:rPr>
              <w:t xml:space="preserve"> für zwanzig Jahre erteilt habe. </w:t>
            </w:r>
            <w:r>
              <w:rPr>
                <w:sz w:val="20"/>
                <w:szCs w:val="20"/>
              </w:rPr>
              <w:t>O</w:t>
            </w:r>
            <w:r w:rsidRPr="00BE3728">
              <w:rPr>
                <w:sz w:val="20"/>
                <w:szCs w:val="20"/>
              </w:rPr>
              <w:t xml:space="preserve">bwohl die Fährlizenz des Klägers noch nicht abgelaufen war, betrieben die Beklagten eine Dampffähre in Dubuque, Iowa, für den Transport von Passagieren. Der </w:t>
            </w:r>
            <w:r>
              <w:rPr>
                <w:sz w:val="20"/>
                <w:szCs w:val="20"/>
              </w:rPr>
              <w:t>U.S. Supreme Court</w:t>
            </w:r>
            <w:r w:rsidRPr="00BE3728">
              <w:rPr>
                <w:sz w:val="20"/>
                <w:szCs w:val="20"/>
              </w:rPr>
              <w:t xml:space="preserve"> entschied, dass die vom Kläger beanspruchte Exklusivität der Fährlizenz weder explizit noch implizit in der erteilten Bewilligung oder den damit verbundenen Umständen zum Ausdruck </w:t>
            </w:r>
            <w:r>
              <w:rPr>
                <w:sz w:val="20"/>
                <w:szCs w:val="20"/>
              </w:rPr>
              <w:t>käme</w:t>
            </w:r>
            <w:r w:rsidRPr="00BE3728">
              <w:rPr>
                <w:sz w:val="20"/>
                <w:szCs w:val="20"/>
              </w:rPr>
              <w:t xml:space="preserve">. Er berief sich auf </w:t>
            </w:r>
            <w:r>
              <w:rPr>
                <w:sz w:val="20"/>
                <w:szCs w:val="20"/>
              </w:rPr>
              <w:t>§ </w:t>
            </w:r>
            <w:r w:rsidRPr="00BE3728">
              <w:rPr>
                <w:sz w:val="20"/>
                <w:szCs w:val="20"/>
              </w:rPr>
              <w:t xml:space="preserve">15 des </w:t>
            </w:r>
            <w:r w:rsidRPr="00B45592">
              <w:rPr>
                <w:i/>
                <w:sz w:val="20"/>
                <w:szCs w:val="20"/>
              </w:rPr>
              <w:t xml:space="preserve">Act </w:t>
            </w:r>
            <w:proofErr w:type="spellStart"/>
            <w:r w:rsidRPr="00B45592">
              <w:rPr>
                <w:i/>
                <w:sz w:val="20"/>
                <w:szCs w:val="20"/>
              </w:rPr>
              <w:t>incorporating</w:t>
            </w:r>
            <w:proofErr w:type="spellEnd"/>
            <w:r w:rsidRPr="00B45592">
              <w:rPr>
                <w:i/>
                <w:sz w:val="20"/>
                <w:szCs w:val="20"/>
              </w:rPr>
              <w:t xml:space="preserve"> the </w:t>
            </w:r>
            <w:proofErr w:type="spellStart"/>
            <w:r w:rsidRPr="00B45592">
              <w:rPr>
                <w:i/>
                <w:sz w:val="20"/>
                <w:szCs w:val="20"/>
              </w:rPr>
              <w:t>city</w:t>
            </w:r>
            <w:proofErr w:type="spellEnd"/>
            <w:r>
              <w:rPr>
                <w:sz w:val="20"/>
                <w:szCs w:val="20"/>
              </w:rPr>
              <w:t>.</w:t>
            </w:r>
            <w:r w:rsidRPr="00BE3728">
              <w:rPr>
                <w:rStyle w:val="Funotenzeichen"/>
                <w:sz w:val="20"/>
                <w:szCs w:val="20"/>
              </w:rPr>
              <w:footnoteReference w:id="410"/>
            </w:r>
            <w:r w:rsidRPr="00BE3728">
              <w:rPr>
                <w:sz w:val="20"/>
                <w:szCs w:val="20"/>
              </w:rPr>
              <w:t xml:space="preserve"> Der </w:t>
            </w:r>
            <w:r>
              <w:rPr>
                <w:sz w:val="20"/>
                <w:szCs w:val="20"/>
              </w:rPr>
              <w:t>verleihe</w:t>
            </w:r>
            <w:r w:rsidRPr="00BE3728">
              <w:rPr>
                <w:sz w:val="20"/>
                <w:szCs w:val="20"/>
              </w:rPr>
              <w:t xml:space="preserve"> dem Stadtrat die Befugnis, Fähren zu lizenzieren. Damit sei </w:t>
            </w:r>
            <w:r>
              <w:rPr>
                <w:sz w:val="20"/>
                <w:szCs w:val="20"/>
              </w:rPr>
              <w:t xml:space="preserve">auch </w:t>
            </w:r>
            <w:r w:rsidRPr="00BE3728">
              <w:rPr>
                <w:sz w:val="20"/>
                <w:szCs w:val="20"/>
              </w:rPr>
              <w:t>die Lizenz an die Beklagten bindend.</w:t>
            </w:r>
            <w:r w:rsidRPr="00BE3728">
              <w:rPr>
                <w:rStyle w:val="Funotenzeichen"/>
                <w:sz w:val="20"/>
                <w:szCs w:val="20"/>
              </w:rPr>
              <w:footnoteReference w:id="411"/>
            </w:r>
          </w:p>
          <w:p w14:paraId="7A9CCD52" w14:textId="77777777" w:rsidR="00074551" w:rsidRPr="00BE3728" w:rsidRDefault="00074551" w:rsidP="00367133">
            <w:pPr>
              <w:jc w:val="both"/>
              <w:rPr>
                <w:sz w:val="20"/>
                <w:szCs w:val="20"/>
              </w:rPr>
            </w:pPr>
          </w:p>
          <w:p w14:paraId="6C7DB128" w14:textId="77777777" w:rsidR="00074551" w:rsidRPr="00BE3728" w:rsidRDefault="00074551" w:rsidP="00367133">
            <w:pPr>
              <w:jc w:val="both"/>
              <w:rPr>
                <w:sz w:val="20"/>
                <w:szCs w:val="20"/>
              </w:rPr>
            </w:pPr>
          </w:p>
          <w:p w14:paraId="2D023ACD" w14:textId="77777777" w:rsidR="00074551" w:rsidRPr="00BE3728" w:rsidRDefault="00074551" w:rsidP="00367133">
            <w:pPr>
              <w:jc w:val="both"/>
              <w:rPr>
                <w:sz w:val="20"/>
                <w:szCs w:val="20"/>
              </w:rPr>
            </w:pPr>
          </w:p>
          <w:p w14:paraId="49969A45" w14:textId="77777777" w:rsidR="00074551" w:rsidRPr="00BE3728" w:rsidRDefault="00074551" w:rsidP="00367133">
            <w:pPr>
              <w:jc w:val="both"/>
              <w:rPr>
                <w:sz w:val="20"/>
                <w:szCs w:val="20"/>
              </w:rPr>
            </w:pPr>
          </w:p>
          <w:p w14:paraId="31A93411" w14:textId="77777777" w:rsidR="00074551" w:rsidRPr="00BE3728" w:rsidRDefault="00074551" w:rsidP="00367133">
            <w:pPr>
              <w:jc w:val="both"/>
              <w:rPr>
                <w:sz w:val="20"/>
                <w:szCs w:val="20"/>
              </w:rPr>
            </w:pPr>
          </w:p>
          <w:p w14:paraId="433F3256" w14:textId="77777777" w:rsidR="00074551" w:rsidRPr="00BE3728" w:rsidRDefault="00074551" w:rsidP="00367133">
            <w:pPr>
              <w:jc w:val="both"/>
              <w:rPr>
                <w:sz w:val="20"/>
                <w:szCs w:val="20"/>
              </w:rPr>
            </w:pPr>
          </w:p>
          <w:p w14:paraId="6A7AF5FD" w14:textId="77777777" w:rsidR="00074551" w:rsidRPr="00BE3728" w:rsidRDefault="00074551" w:rsidP="00367133">
            <w:pPr>
              <w:jc w:val="both"/>
              <w:rPr>
                <w:sz w:val="20"/>
                <w:szCs w:val="20"/>
              </w:rPr>
            </w:pPr>
          </w:p>
          <w:p w14:paraId="0A3BE892" w14:textId="77777777" w:rsidR="00074551" w:rsidRPr="00E50B51" w:rsidRDefault="00074551" w:rsidP="00367133">
            <w:pPr>
              <w:jc w:val="both"/>
              <w:rPr>
                <w:sz w:val="20"/>
                <w:szCs w:val="20"/>
              </w:rPr>
            </w:pPr>
          </w:p>
        </w:tc>
        <w:tc>
          <w:tcPr>
            <w:tcW w:w="1822" w:type="pct"/>
          </w:tcPr>
          <w:p w14:paraId="3755CD9B" w14:textId="77777777" w:rsidR="00074551" w:rsidRPr="00B45592" w:rsidRDefault="00074551" w:rsidP="00367133">
            <w:pPr>
              <w:jc w:val="both"/>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Governments › Local Governments › Licenses</w:t>
            </w:r>
          </w:p>
          <w:p w14:paraId="71BD7F5C" w14:textId="77777777" w:rsidR="00074551" w:rsidRPr="00B45592" w:rsidRDefault="00074551" w:rsidP="00367133">
            <w:pPr>
              <w:jc w:val="both"/>
              <w:rPr>
                <w:sz w:val="20"/>
                <w:szCs w:val="20"/>
                <w:lang w:val="en-IE"/>
              </w:rPr>
            </w:pPr>
          </w:p>
          <w:p w14:paraId="0DCBD447" w14:textId="77777777" w:rsidR="00074551" w:rsidRDefault="00074551" w:rsidP="00367133">
            <w:pPr>
              <w:jc w:val="both"/>
              <w:rPr>
                <w:sz w:val="20"/>
                <w:szCs w:val="20"/>
              </w:rPr>
            </w:pPr>
            <w:r>
              <w:rPr>
                <w:sz w:val="20"/>
                <w:szCs w:val="20"/>
              </w:rPr>
              <w:t>Eine</w:t>
            </w:r>
            <w:r w:rsidRPr="00BE3728">
              <w:rPr>
                <w:sz w:val="20"/>
                <w:szCs w:val="20"/>
              </w:rPr>
              <w:t xml:space="preserve"> ausschließliche Lizenz muss hinreichend bestimmt zum Ausdruck kommen – oder sich zwangsläufig als Interpretation ergeben.</w:t>
            </w:r>
            <w:r w:rsidRPr="00BE3728">
              <w:rPr>
                <w:rStyle w:val="Funotenzeichen"/>
                <w:sz w:val="20"/>
                <w:szCs w:val="20"/>
              </w:rPr>
              <w:footnoteReference w:id="412"/>
            </w:r>
            <w:r>
              <w:rPr>
                <w:sz w:val="20"/>
                <w:szCs w:val="20"/>
              </w:rPr>
              <w:t xml:space="preserve"> Dieses Ergebnis leitet sich wie folgt her: </w:t>
            </w:r>
            <w:r w:rsidRPr="00BE3728">
              <w:rPr>
                <w:sz w:val="20"/>
                <w:szCs w:val="20"/>
              </w:rPr>
              <w:t xml:space="preserve">Wenn ein öffentlich-rechtlicher Vertrag bestehe, dann gehe jede Unklarheit in den Vertragsbedingungen </w:t>
            </w:r>
            <w:r>
              <w:rPr>
                <w:sz w:val="20"/>
                <w:szCs w:val="20"/>
              </w:rPr>
              <w:t>zulasten</w:t>
            </w:r>
            <w:r w:rsidRPr="00BE3728">
              <w:rPr>
                <w:sz w:val="20"/>
                <w:szCs w:val="20"/>
              </w:rPr>
              <w:t xml:space="preserve"> der privaten Seite und wirke sich zugunsten der Öffentlichkeit aus. Denn die private Seite – hier die Kläger – könne nur beanspruchen, was </w:t>
            </w:r>
            <w:r>
              <w:rPr>
                <w:sz w:val="20"/>
                <w:szCs w:val="20"/>
              </w:rPr>
              <w:t>ihr</w:t>
            </w:r>
            <w:r w:rsidRPr="00BE3728">
              <w:rPr>
                <w:sz w:val="20"/>
                <w:szCs w:val="20"/>
              </w:rPr>
              <w:t xml:space="preserve"> der Vertrag oder ein Gesetz eindeutig zugestehe.</w:t>
            </w:r>
            <w:r w:rsidRPr="00BE3728">
              <w:rPr>
                <w:rStyle w:val="Funotenzeichen"/>
                <w:sz w:val="20"/>
                <w:szCs w:val="20"/>
              </w:rPr>
              <w:footnoteReference w:id="413"/>
            </w:r>
            <w:r w:rsidRPr="00BE3728">
              <w:rPr>
                <w:sz w:val="20"/>
                <w:szCs w:val="20"/>
              </w:rPr>
              <w:t xml:space="preserve"> Wenn also in einem solchen Vertrag z.B. die Hoheit </w:t>
            </w:r>
            <w:r>
              <w:rPr>
                <w:sz w:val="20"/>
                <w:szCs w:val="20"/>
              </w:rPr>
              <w:t>über</w:t>
            </w:r>
            <w:r w:rsidRPr="00BE3728">
              <w:rPr>
                <w:sz w:val="20"/>
                <w:szCs w:val="20"/>
              </w:rPr>
              <w:t xml:space="preserve"> die Verkehrsroute – eine typisch staatliche Kompetenz – nicht </w:t>
            </w:r>
            <w:r w:rsidRPr="00B45592">
              <w:rPr>
                <w:i/>
                <w:sz w:val="20"/>
                <w:szCs w:val="20"/>
              </w:rPr>
              <w:t xml:space="preserve">expressis verbis </w:t>
            </w:r>
            <w:r w:rsidRPr="00BE3728">
              <w:rPr>
                <w:sz w:val="20"/>
                <w:szCs w:val="20"/>
              </w:rPr>
              <w:t xml:space="preserve">von </w:t>
            </w:r>
            <w:r>
              <w:rPr>
                <w:sz w:val="20"/>
                <w:szCs w:val="20"/>
              </w:rPr>
              <w:t xml:space="preserve">der </w:t>
            </w:r>
            <w:r w:rsidRPr="00BE3728">
              <w:rPr>
                <w:sz w:val="20"/>
                <w:szCs w:val="20"/>
              </w:rPr>
              <w:t>staatliche</w:t>
            </w:r>
            <w:r>
              <w:rPr>
                <w:sz w:val="20"/>
                <w:szCs w:val="20"/>
              </w:rPr>
              <w:t>n</w:t>
            </w:r>
            <w:r w:rsidRPr="00BE3728">
              <w:rPr>
                <w:sz w:val="20"/>
                <w:szCs w:val="20"/>
              </w:rPr>
              <w:t xml:space="preserve"> an die private Seite abgetreten </w:t>
            </w:r>
            <w:r>
              <w:rPr>
                <w:sz w:val="20"/>
                <w:szCs w:val="20"/>
              </w:rPr>
              <w:t>werde</w:t>
            </w:r>
            <w:r w:rsidRPr="00BE3728">
              <w:rPr>
                <w:sz w:val="20"/>
                <w:szCs w:val="20"/>
              </w:rPr>
              <w:t xml:space="preserve">, dann </w:t>
            </w:r>
            <w:r>
              <w:rPr>
                <w:sz w:val="20"/>
                <w:szCs w:val="20"/>
              </w:rPr>
              <w:t>müsse</w:t>
            </w:r>
            <w:r w:rsidRPr="00BE3728">
              <w:rPr>
                <w:sz w:val="20"/>
                <w:szCs w:val="20"/>
              </w:rPr>
              <w:t xml:space="preserve"> vermutet werden, der Staat </w:t>
            </w:r>
            <w:r>
              <w:rPr>
                <w:sz w:val="20"/>
                <w:szCs w:val="20"/>
              </w:rPr>
              <w:t>behalte</w:t>
            </w:r>
            <w:r w:rsidRPr="00BE3728">
              <w:rPr>
                <w:sz w:val="20"/>
                <w:szCs w:val="20"/>
              </w:rPr>
              <w:t xml:space="preserve"> sich diese Kompetenz vor („</w:t>
            </w:r>
            <w:proofErr w:type="spellStart"/>
            <w:r w:rsidRPr="00BE3728">
              <w:rPr>
                <w:sz w:val="20"/>
                <w:szCs w:val="20"/>
              </w:rPr>
              <w:t>deliberate</w:t>
            </w:r>
            <w:proofErr w:type="spellEnd"/>
            <w:r w:rsidRPr="00BE3728">
              <w:rPr>
                <w:sz w:val="20"/>
                <w:szCs w:val="20"/>
              </w:rPr>
              <w:t xml:space="preserve"> </w:t>
            </w:r>
            <w:proofErr w:type="spellStart"/>
            <w:r w:rsidRPr="00BE3728">
              <w:rPr>
                <w:sz w:val="20"/>
                <w:szCs w:val="20"/>
              </w:rPr>
              <w:t>purpose</w:t>
            </w:r>
            <w:proofErr w:type="spellEnd"/>
            <w:r w:rsidRPr="00BE3728">
              <w:rPr>
                <w:sz w:val="20"/>
                <w:szCs w:val="20"/>
              </w:rPr>
              <w:t xml:space="preserve"> of the State to </w:t>
            </w:r>
            <w:proofErr w:type="spellStart"/>
            <w:r w:rsidRPr="00BE3728">
              <w:rPr>
                <w:sz w:val="20"/>
                <w:szCs w:val="20"/>
              </w:rPr>
              <w:t>abandon</w:t>
            </w:r>
            <w:proofErr w:type="spellEnd"/>
            <w:r w:rsidRPr="00BE3728">
              <w:rPr>
                <w:sz w:val="20"/>
                <w:szCs w:val="20"/>
              </w:rPr>
              <w:t xml:space="preserve"> it </w:t>
            </w:r>
            <w:proofErr w:type="spellStart"/>
            <w:r w:rsidRPr="00BE3728">
              <w:rPr>
                <w:sz w:val="20"/>
                <w:szCs w:val="20"/>
              </w:rPr>
              <w:t>does</w:t>
            </w:r>
            <w:proofErr w:type="spellEnd"/>
            <w:r w:rsidRPr="00BE3728">
              <w:rPr>
                <w:sz w:val="20"/>
                <w:szCs w:val="20"/>
              </w:rPr>
              <w:t xml:space="preserve"> not </w:t>
            </w:r>
            <w:proofErr w:type="spellStart"/>
            <w:r w:rsidRPr="00BE3728">
              <w:rPr>
                <w:sz w:val="20"/>
                <w:szCs w:val="20"/>
              </w:rPr>
              <w:t>appea</w:t>
            </w:r>
            <w:r w:rsidRPr="00491F9F">
              <w:rPr>
                <w:sz w:val="20"/>
                <w:szCs w:val="20"/>
              </w:rPr>
              <w:t>r</w:t>
            </w:r>
            <w:proofErr w:type="spellEnd"/>
            <w:r w:rsidRPr="00491F9F">
              <w:rPr>
                <w:sz w:val="20"/>
                <w:szCs w:val="20"/>
              </w:rPr>
              <w:t>“</w:t>
            </w:r>
            <w:r w:rsidRPr="00491F9F">
              <w:rPr>
                <w:rStyle w:val="Funotenzeichen"/>
                <w:sz w:val="20"/>
                <w:szCs w:val="20"/>
              </w:rPr>
              <w:footnoteReference w:id="414"/>
            </w:r>
            <w:r w:rsidRPr="00491F9F">
              <w:rPr>
                <w:sz w:val="20"/>
                <w:szCs w:val="20"/>
              </w:rPr>
              <w:t>).</w:t>
            </w:r>
            <w:r w:rsidRPr="00BE3728">
              <w:rPr>
                <w:sz w:val="20"/>
                <w:szCs w:val="20"/>
              </w:rPr>
              <w:t xml:space="preserve"> Doch was ist die Begründung dafür? Eine Regierung bestehe, weil sie Ziele des öffentlichen Interesses verfolgen solle. </w:t>
            </w:r>
            <w:r w:rsidRPr="00B45592">
              <w:rPr>
                <w:sz w:val="20"/>
                <w:szCs w:val="20"/>
                <w:lang w:val="en-IE"/>
              </w:rPr>
              <w:t xml:space="preserve">Wenn </w:t>
            </w:r>
            <w:proofErr w:type="spellStart"/>
            <w:r w:rsidRPr="00B45592">
              <w:rPr>
                <w:sz w:val="20"/>
                <w:szCs w:val="20"/>
                <w:lang w:val="en-IE"/>
              </w:rPr>
              <w:t>sie</w:t>
            </w:r>
            <w:proofErr w:type="spellEnd"/>
            <w:r w:rsidRPr="00B45592">
              <w:rPr>
                <w:sz w:val="20"/>
                <w:szCs w:val="20"/>
                <w:lang w:val="en-IE"/>
              </w:rPr>
              <w:t xml:space="preserve"> nun </w:t>
            </w:r>
            <w:proofErr w:type="spellStart"/>
            <w:r w:rsidRPr="00B45592">
              <w:rPr>
                <w:sz w:val="20"/>
                <w:szCs w:val="20"/>
                <w:lang w:val="en-IE"/>
              </w:rPr>
              <w:t>diese</w:t>
            </w:r>
            <w:proofErr w:type="spellEnd"/>
            <w:r w:rsidRPr="00B45592">
              <w:rPr>
                <w:sz w:val="20"/>
                <w:szCs w:val="20"/>
                <w:lang w:val="en-IE"/>
              </w:rPr>
              <w:t xml:space="preserve"> </w:t>
            </w:r>
            <w:proofErr w:type="spellStart"/>
            <w:r w:rsidRPr="00B45592">
              <w:rPr>
                <w:sz w:val="20"/>
                <w:szCs w:val="20"/>
                <w:lang w:val="en-IE"/>
              </w:rPr>
              <w:t>Funktionen</w:t>
            </w:r>
            <w:proofErr w:type="spellEnd"/>
            <w:r w:rsidRPr="00B45592">
              <w:rPr>
                <w:sz w:val="20"/>
                <w:szCs w:val="20"/>
                <w:lang w:val="en-IE"/>
              </w:rPr>
              <w:t xml:space="preserve"> in die </w:t>
            </w:r>
            <w:proofErr w:type="spellStart"/>
            <w:r w:rsidRPr="00B45592">
              <w:rPr>
                <w:sz w:val="20"/>
                <w:szCs w:val="20"/>
                <w:lang w:val="en-IE"/>
              </w:rPr>
              <w:t>Hände</w:t>
            </w:r>
            <w:proofErr w:type="spellEnd"/>
            <w:r w:rsidRPr="00B45592">
              <w:rPr>
                <w:sz w:val="20"/>
                <w:szCs w:val="20"/>
                <w:lang w:val="en-IE"/>
              </w:rPr>
              <w:t xml:space="preserve"> </w:t>
            </w:r>
            <w:proofErr w:type="spellStart"/>
            <w:r w:rsidRPr="00B45592">
              <w:rPr>
                <w:sz w:val="20"/>
                <w:szCs w:val="20"/>
                <w:lang w:val="en-IE"/>
              </w:rPr>
              <w:t>Privater</w:t>
            </w:r>
            <w:proofErr w:type="spellEnd"/>
            <w:r w:rsidRPr="00B45592">
              <w:rPr>
                <w:sz w:val="20"/>
                <w:szCs w:val="20"/>
                <w:lang w:val="en-IE"/>
              </w:rPr>
              <w:t xml:space="preserve"> </w:t>
            </w:r>
            <w:proofErr w:type="spellStart"/>
            <w:r w:rsidRPr="00B45592">
              <w:rPr>
                <w:sz w:val="20"/>
                <w:szCs w:val="20"/>
                <w:lang w:val="en-IE"/>
              </w:rPr>
              <w:t>lege</w:t>
            </w:r>
            <w:proofErr w:type="spellEnd"/>
            <w:r w:rsidRPr="00B45592">
              <w:rPr>
                <w:sz w:val="20"/>
                <w:szCs w:val="20"/>
                <w:lang w:val="en-IE"/>
              </w:rPr>
              <w:t xml:space="preserve">, </w:t>
            </w:r>
            <w:proofErr w:type="spellStart"/>
            <w:r w:rsidRPr="00B45592">
              <w:rPr>
                <w:sz w:val="20"/>
                <w:szCs w:val="20"/>
                <w:lang w:val="en-IE"/>
              </w:rPr>
              <w:t>dann</w:t>
            </w:r>
            <w:proofErr w:type="spellEnd"/>
            <w:r w:rsidRPr="00B45592">
              <w:rPr>
                <w:sz w:val="20"/>
                <w:szCs w:val="20"/>
                <w:lang w:val="en-IE"/>
              </w:rPr>
              <w:t xml:space="preserve"> </w:t>
            </w:r>
            <w:proofErr w:type="spellStart"/>
            <w:r w:rsidRPr="00B45592">
              <w:rPr>
                <w:sz w:val="20"/>
                <w:szCs w:val="20"/>
                <w:lang w:val="en-IE"/>
              </w:rPr>
              <w:t>wäre</w:t>
            </w:r>
            <w:proofErr w:type="spellEnd"/>
            <w:r w:rsidRPr="00B45592">
              <w:rPr>
                <w:sz w:val="20"/>
                <w:szCs w:val="20"/>
                <w:lang w:val="en-IE"/>
              </w:rPr>
              <w:t xml:space="preserve"> </w:t>
            </w:r>
            <w:proofErr w:type="spellStart"/>
            <w:r w:rsidRPr="00B45592">
              <w:rPr>
                <w:sz w:val="20"/>
                <w:szCs w:val="20"/>
                <w:lang w:val="en-IE"/>
              </w:rPr>
              <w:t>sie</w:t>
            </w:r>
            <w:proofErr w:type="spellEnd"/>
            <w:r w:rsidRPr="00B45592">
              <w:rPr>
                <w:sz w:val="20"/>
                <w:szCs w:val="20"/>
                <w:lang w:val="en-IE"/>
              </w:rPr>
              <w:t xml:space="preserve"> </w:t>
            </w:r>
            <w:proofErr w:type="spellStart"/>
            <w:r w:rsidRPr="00B45592">
              <w:rPr>
                <w:sz w:val="20"/>
                <w:szCs w:val="20"/>
                <w:lang w:val="en-IE"/>
              </w:rPr>
              <w:t>obsolet</w:t>
            </w:r>
            <w:proofErr w:type="spellEnd"/>
            <w:r>
              <w:rPr>
                <w:sz w:val="20"/>
                <w:szCs w:val="20"/>
                <w:lang w:val="en-US"/>
              </w:rPr>
              <w:t xml:space="preserve">, </w:t>
            </w:r>
            <w:proofErr w:type="spellStart"/>
            <w:r>
              <w:rPr>
                <w:sz w:val="20"/>
                <w:szCs w:val="20"/>
                <w:lang w:val="en-US"/>
              </w:rPr>
              <w:t>w</w:t>
            </w:r>
            <w:r w:rsidRPr="00BE3728">
              <w:rPr>
                <w:sz w:val="20"/>
                <w:szCs w:val="20"/>
                <w:lang w:val="en-US"/>
              </w:rPr>
              <w:t>eshalb</w:t>
            </w:r>
            <w:proofErr w:type="spellEnd"/>
            <w:r w:rsidRPr="00BE3728">
              <w:rPr>
                <w:sz w:val="20"/>
                <w:szCs w:val="20"/>
                <w:lang w:val="en-US"/>
              </w:rPr>
              <w:t xml:space="preserve"> dies </w:t>
            </w:r>
            <w:proofErr w:type="spellStart"/>
            <w:r w:rsidRPr="00BE3728">
              <w:rPr>
                <w:sz w:val="20"/>
                <w:szCs w:val="20"/>
                <w:lang w:val="en-US"/>
              </w:rPr>
              <w:t>nur</w:t>
            </w:r>
            <w:proofErr w:type="spellEnd"/>
            <w:r w:rsidRPr="00BE3728">
              <w:rPr>
                <w:sz w:val="20"/>
                <w:szCs w:val="20"/>
                <w:lang w:val="en-US"/>
              </w:rPr>
              <w:t xml:space="preserve"> </w:t>
            </w:r>
            <w:proofErr w:type="spellStart"/>
            <w:r w:rsidRPr="00BE3728">
              <w:rPr>
                <w:sz w:val="20"/>
                <w:szCs w:val="20"/>
                <w:lang w:val="en-US"/>
              </w:rPr>
              <w:t>unter</w:t>
            </w:r>
            <w:proofErr w:type="spellEnd"/>
            <w:r w:rsidRPr="00BE3728">
              <w:rPr>
                <w:sz w:val="20"/>
                <w:szCs w:val="20"/>
                <w:lang w:val="en-US"/>
              </w:rPr>
              <w:t xml:space="preserve"> </w:t>
            </w:r>
            <w:proofErr w:type="spellStart"/>
            <w:r w:rsidRPr="00BE3728">
              <w:rPr>
                <w:sz w:val="20"/>
                <w:szCs w:val="20"/>
                <w:lang w:val="en-US"/>
              </w:rPr>
              <w:t>strengen</w:t>
            </w:r>
            <w:proofErr w:type="spellEnd"/>
            <w:r w:rsidRPr="00BE3728">
              <w:rPr>
                <w:sz w:val="20"/>
                <w:szCs w:val="20"/>
                <w:lang w:val="en-US"/>
              </w:rPr>
              <w:t xml:space="preserve"> </w:t>
            </w:r>
            <w:proofErr w:type="spellStart"/>
            <w:r w:rsidRPr="00BE3728">
              <w:rPr>
                <w:sz w:val="20"/>
                <w:szCs w:val="20"/>
                <w:lang w:val="en-US"/>
              </w:rPr>
              <w:t>Voraussetzungen</w:t>
            </w:r>
            <w:proofErr w:type="spellEnd"/>
            <w:r w:rsidRPr="00BE3728">
              <w:rPr>
                <w:sz w:val="20"/>
                <w:szCs w:val="20"/>
                <w:lang w:val="en-US"/>
              </w:rPr>
              <w:t xml:space="preserve"> </w:t>
            </w:r>
            <w:proofErr w:type="spellStart"/>
            <w:r w:rsidRPr="00BE3728">
              <w:rPr>
                <w:sz w:val="20"/>
                <w:szCs w:val="20"/>
                <w:lang w:val="en-US"/>
              </w:rPr>
              <w:t>erfolgen</w:t>
            </w:r>
            <w:proofErr w:type="spellEnd"/>
            <w:r w:rsidRPr="00BE3728">
              <w:rPr>
                <w:sz w:val="20"/>
                <w:szCs w:val="20"/>
                <w:lang w:val="en-US"/>
              </w:rPr>
              <w:t xml:space="preserve"> </w:t>
            </w:r>
            <w:proofErr w:type="spellStart"/>
            <w:r w:rsidRPr="00BE3728">
              <w:rPr>
                <w:sz w:val="20"/>
                <w:szCs w:val="20"/>
                <w:lang w:val="en-US"/>
              </w:rPr>
              <w:t>könne</w:t>
            </w:r>
            <w:proofErr w:type="spellEnd"/>
            <w:r w:rsidRPr="00BE3728">
              <w:rPr>
                <w:sz w:val="20"/>
                <w:szCs w:val="20"/>
                <w:lang w:val="en-US"/>
              </w:rPr>
              <w:t xml:space="preserve"> („The continued existence of a government would be of no great value, if […] it was disarmed of the powers necessary to accomplish the ends of its </w:t>
            </w:r>
            <w:proofErr w:type="gramStart"/>
            <w:r w:rsidRPr="00BE3728">
              <w:rPr>
                <w:sz w:val="20"/>
                <w:szCs w:val="20"/>
                <w:lang w:val="en-US"/>
              </w:rPr>
              <w:t>creation“</w:t>
            </w:r>
            <w:proofErr w:type="gramEnd"/>
            <w:r w:rsidRPr="00BE3728">
              <w:rPr>
                <w:rStyle w:val="Funotenzeichen"/>
                <w:sz w:val="20"/>
                <w:szCs w:val="20"/>
              </w:rPr>
              <w:footnoteReference w:id="415"/>
            </w:r>
            <w:r w:rsidRPr="00BE3728">
              <w:rPr>
                <w:sz w:val="20"/>
                <w:szCs w:val="20"/>
                <w:lang w:val="en-US"/>
              </w:rPr>
              <w:t xml:space="preserve">). </w:t>
            </w:r>
            <w:r w:rsidRPr="00BE3728">
              <w:rPr>
                <w:sz w:val="20"/>
                <w:szCs w:val="20"/>
              </w:rPr>
              <w:t xml:space="preserve">Dabei </w:t>
            </w:r>
            <w:r>
              <w:rPr>
                <w:sz w:val="20"/>
                <w:szCs w:val="20"/>
              </w:rPr>
              <w:t>müsse</w:t>
            </w:r>
            <w:r w:rsidRPr="00BE3728">
              <w:rPr>
                <w:sz w:val="20"/>
                <w:szCs w:val="20"/>
              </w:rPr>
              <w:t xml:space="preserve"> das Interesse der großen Mehrheit der Bevölkerung des Staates gewertet werden. D</w:t>
            </w:r>
            <w:r>
              <w:rPr>
                <w:sz w:val="20"/>
                <w:szCs w:val="20"/>
              </w:rPr>
              <w:t>i</w:t>
            </w:r>
            <w:r w:rsidRPr="00BE3728">
              <w:rPr>
                <w:sz w:val="20"/>
                <w:szCs w:val="20"/>
              </w:rPr>
              <w:t xml:space="preserve">eses wende sich dagegen, eine Verkehrsroute einem einzigen Unternehmen zu überlassen und diesem z.B. das Recht zu gewähren, Mautgebühren zu erheben sowie Wettbewerber auszuschließen. Dies zu untersagen und die Kompetenzen in den Händen des Staats zu belassen, begründet der </w:t>
            </w:r>
            <w:r>
              <w:rPr>
                <w:sz w:val="20"/>
                <w:szCs w:val="20"/>
              </w:rPr>
              <w:t>U.S. Supreme Court</w:t>
            </w:r>
            <w:r w:rsidRPr="00BE3728">
              <w:rPr>
                <w:sz w:val="20"/>
                <w:szCs w:val="20"/>
              </w:rPr>
              <w:t xml:space="preserve"> mit dem Recht der Gemeinschaft</w:t>
            </w:r>
            <w:r w:rsidRPr="00491F9F">
              <w:rPr>
                <w:sz w:val="20"/>
                <w:szCs w:val="20"/>
              </w:rPr>
              <w:t>,</w:t>
            </w:r>
            <w:r w:rsidRPr="00BE3728">
              <w:rPr>
                <w:sz w:val="20"/>
                <w:szCs w:val="20"/>
              </w:rPr>
              <w:t xml:space="preserve"> von dessen Wahrung Glück und Wohlergehen eines jeden Bürgers abhänge („the </w:t>
            </w:r>
            <w:proofErr w:type="spellStart"/>
            <w:r w:rsidRPr="00BE3728">
              <w:rPr>
                <w:sz w:val="20"/>
                <w:szCs w:val="20"/>
              </w:rPr>
              <w:t>community</w:t>
            </w:r>
            <w:proofErr w:type="spellEnd"/>
            <w:r w:rsidRPr="00BE3728">
              <w:rPr>
                <w:sz w:val="20"/>
                <w:szCs w:val="20"/>
              </w:rPr>
              <w:t xml:space="preserve"> also </w:t>
            </w:r>
            <w:proofErr w:type="spellStart"/>
            <w:r w:rsidRPr="00BE3728">
              <w:rPr>
                <w:sz w:val="20"/>
                <w:szCs w:val="20"/>
              </w:rPr>
              <w:t>have</w:t>
            </w:r>
            <w:proofErr w:type="spellEnd"/>
            <w:r w:rsidRPr="00BE3728">
              <w:rPr>
                <w:sz w:val="20"/>
                <w:szCs w:val="20"/>
              </w:rPr>
              <w:t xml:space="preserve"> </w:t>
            </w:r>
            <w:proofErr w:type="spellStart"/>
            <w:r w:rsidRPr="00BE3728">
              <w:rPr>
                <w:sz w:val="20"/>
                <w:szCs w:val="20"/>
              </w:rPr>
              <w:t>rights</w:t>
            </w:r>
            <w:proofErr w:type="spellEnd"/>
            <w:r w:rsidRPr="00BE3728">
              <w:rPr>
                <w:sz w:val="20"/>
                <w:szCs w:val="20"/>
              </w:rPr>
              <w:t xml:space="preserve">, and </w:t>
            </w:r>
            <w:proofErr w:type="spellStart"/>
            <w:r w:rsidRPr="00BE3728">
              <w:rPr>
                <w:sz w:val="20"/>
                <w:szCs w:val="20"/>
              </w:rPr>
              <w:t>that</w:t>
            </w:r>
            <w:proofErr w:type="spellEnd"/>
            <w:r w:rsidRPr="00BE3728">
              <w:rPr>
                <w:sz w:val="20"/>
                <w:szCs w:val="20"/>
              </w:rPr>
              <w:t xml:space="preserve">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well</w:t>
            </w:r>
            <w:proofErr w:type="spellEnd"/>
            <w:r w:rsidRPr="00BE3728">
              <w:rPr>
                <w:sz w:val="20"/>
                <w:szCs w:val="20"/>
              </w:rPr>
              <w:t xml:space="preserve"> </w:t>
            </w:r>
            <w:proofErr w:type="spellStart"/>
            <w:r w:rsidRPr="00BE3728">
              <w:rPr>
                <w:sz w:val="20"/>
                <w:szCs w:val="20"/>
              </w:rPr>
              <w:t>being</w:t>
            </w:r>
            <w:proofErr w:type="spellEnd"/>
            <w:r w:rsidRPr="00BE3728">
              <w:rPr>
                <w:sz w:val="20"/>
                <w:szCs w:val="20"/>
              </w:rPr>
              <w:t xml:space="preserve"> of </w:t>
            </w:r>
            <w:proofErr w:type="spellStart"/>
            <w:r w:rsidRPr="00BE3728">
              <w:rPr>
                <w:sz w:val="20"/>
                <w:szCs w:val="20"/>
              </w:rPr>
              <w:t>every</w:t>
            </w:r>
            <w:proofErr w:type="spellEnd"/>
            <w:r w:rsidRPr="00BE3728">
              <w:rPr>
                <w:sz w:val="20"/>
                <w:szCs w:val="20"/>
              </w:rPr>
              <w:t xml:space="preserve"> </w:t>
            </w:r>
            <w:proofErr w:type="spellStart"/>
            <w:r w:rsidRPr="00BE3728">
              <w:rPr>
                <w:sz w:val="20"/>
                <w:szCs w:val="20"/>
              </w:rPr>
              <w:t>citizen</w:t>
            </w:r>
            <w:proofErr w:type="spellEnd"/>
            <w:r w:rsidRPr="00BE3728">
              <w:rPr>
                <w:sz w:val="20"/>
                <w:szCs w:val="20"/>
              </w:rPr>
              <w:t xml:space="preserve"> </w:t>
            </w:r>
            <w:proofErr w:type="spellStart"/>
            <w:r w:rsidRPr="00BE3728">
              <w:rPr>
                <w:sz w:val="20"/>
                <w:szCs w:val="20"/>
              </w:rPr>
              <w:t>depend</w:t>
            </w:r>
            <w:proofErr w:type="spellEnd"/>
            <w:r w:rsidRPr="00BE3728">
              <w:rPr>
                <w:sz w:val="20"/>
                <w:szCs w:val="20"/>
              </w:rPr>
              <w:t xml:space="preserve"> on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faithful</w:t>
            </w:r>
            <w:proofErr w:type="spellEnd"/>
            <w:r w:rsidRPr="00BE3728">
              <w:rPr>
                <w:sz w:val="20"/>
                <w:szCs w:val="20"/>
              </w:rPr>
              <w:t xml:space="preserve"> </w:t>
            </w:r>
            <w:proofErr w:type="spellStart"/>
            <w:r w:rsidRPr="00BE3728">
              <w:rPr>
                <w:sz w:val="20"/>
                <w:szCs w:val="20"/>
              </w:rPr>
              <w:t>preservation</w:t>
            </w:r>
            <w:proofErr w:type="spellEnd"/>
            <w:r w:rsidRPr="00BE3728">
              <w:rPr>
                <w:sz w:val="20"/>
                <w:szCs w:val="20"/>
              </w:rPr>
              <w:t>“</w:t>
            </w:r>
            <w:r w:rsidRPr="00BE3728">
              <w:rPr>
                <w:rStyle w:val="Funotenzeichen"/>
                <w:sz w:val="20"/>
                <w:szCs w:val="20"/>
                <w:lang w:val="en-US"/>
              </w:rPr>
              <w:footnoteReference w:id="416"/>
            </w:r>
            <w:r w:rsidRPr="00BE3728">
              <w:rPr>
                <w:sz w:val="20"/>
                <w:szCs w:val="20"/>
              </w:rPr>
              <w:t>).</w:t>
            </w:r>
          </w:p>
          <w:p w14:paraId="5F9B51D3" w14:textId="77777777" w:rsidR="00074551" w:rsidRPr="00E50B51" w:rsidRDefault="00074551" w:rsidP="00367133">
            <w:pPr>
              <w:jc w:val="both"/>
              <w:rPr>
                <w:sz w:val="20"/>
                <w:szCs w:val="20"/>
              </w:rPr>
            </w:pPr>
          </w:p>
        </w:tc>
      </w:tr>
      <w:tr w:rsidR="00074551" w:rsidRPr="00E50B51" w14:paraId="43B06A5D" w14:textId="77777777" w:rsidTr="00752D01">
        <w:trPr>
          <w:cantSplit/>
          <w:trHeight w:val="3175"/>
        </w:trPr>
        <w:tc>
          <w:tcPr>
            <w:tcW w:w="293" w:type="pct"/>
            <w:shd w:val="clear" w:color="auto" w:fill="E7E6E6" w:themeFill="background2"/>
          </w:tcPr>
          <w:p w14:paraId="440408D3"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69D37266"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6FD89489"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62C731AC" w14:textId="77777777" w:rsidR="00074551" w:rsidRPr="00E50B51" w:rsidRDefault="00074551" w:rsidP="00367133">
            <w:pPr>
              <w:ind w:left="113" w:right="113"/>
              <w:jc w:val="both"/>
              <w:rPr>
                <w:sz w:val="20"/>
                <w:szCs w:val="20"/>
                <w:lang w:val="en-US"/>
              </w:rPr>
            </w:pPr>
            <w:r w:rsidRPr="00E50B51">
              <w:rPr>
                <w:sz w:val="20"/>
                <w:szCs w:val="20"/>
                <w:lang w:val="en-US"/>
              </w:rPr>
              <w:t>Federal Territory &amp; New States</w:t>
            </w:r>
          </w:p>
        </w:tc>
        <w:tc>
          <w:tcPr>
            <w:tcW w:w="306" w:type="pct"/>
            <w:shd w:val="clear" w:color="auto" w:fill="E7E6E6" w:themeFill="background2"/>
            <w:textDirection w:val="tbRl"/>
            <w:vAlign w:val="center"/>
          </w:tcPr>
          <w:p w14:paraId="0EC96E87"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60A1D8C1"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3C05484B" w14:textId="77777777" w:rsidR="00074551" w:rsidRPr="00E50B51" w:rsidRDefault="00074551" w:rsidP="00367133">
            <w:pPr>
              <w:jc w:val="both"/>
              <w:rPr>
                <w:sz w:val="20"/>
                <w:szCs w:val="20"/>
                <w:lang w:val="en-US"/>
              </w:rPr>
            </w:pPr>
          </w:p>
        </w:tc>
        <w:tc>
          <w:tcPr>
            <w:tcW w:w="1822" w:type="pct"/>
            <w:shd w:val="clear" w:color="auto" w:fill="E7E6E6" w:themeFill="background2"/>
          </w:tcPr>
          <w:p w14:paraId="31B33977" w14:textId="391B1C36"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170EF967" w14:textId="77777777" w:rsidTr="00BE689F">
        <w:trPr>
          <w:cantSplit/>
          <w:trHeight w:val="3175"/>
        </w:trPr>
        <w:tc>
          <w:tcPr>
            <w:tcW w:w="293" w:type="pct"/>
          </w:tcPr>
          <w:p w14:paraId="61ED4D59"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7BD27D2" w14:textId="77777777" w:rsidR="00074551" w:rsidRPr="00E50B51" w:rsidRDefault="00074551" w:rsidP="00367133">
            <w:pPr>
              <w:ind w:left="113" w:right="113"/>
              <w:jc w:val="both"/>
              <w:rPr>
                <w:sz w:val="20"/>
                <w:szCs w:val="20"/>
                <w:lang w:val="en-US"/>
              </w:rPr>
            </w:pPr>
            <w:r w:rsidRPr="00584023">
              <w:rPr>
                <w:i/>
                <w:sz w:val="20"/>
                <w:szCs w:val="20"/>
                <w:lang w:val="en-US"/>
              </w:rPr>
              <w:t>Kansas v. Colorado</w:t>
            </w:r>
          </w:p>
        </w:tc>
        <w:tc>
          <w:tcPr>
            <w:tcW w:w="197" w:type="pct"/>
            <w:textDirection w:val="tbRl"/>
            <w:vAlign w:val="center"/>
          </w:tcPr>
          <w:p w14:paraId="5EAD90FC" w14:textId="77777777" w:rsidR="00074551" w:rsidRPr="00E50B51" w:rsidRDefault="00074551" w:rsidP="00367133">
            <w:pPr>
              <w:ind w:left="113" w:right="113"/>
              <w:jc w:val="both"/>
              <w:rPr>
                <w:sz w:val="20"/>
                <w:szCs w:val="20"/>
                <w:lang w:val="en-US"/>
              </w:rPr>
            </w:pPr>
            <w:r w:rsidRPr="00E50B51">
              <w:rPr>
                <w:sz w:val="20"/>
                <w:szCs w:val="20"/>
                <w:lang w:val="en-US"/>
              </w:rPr>
              <w:t>206 U.S. 46</w:t>
            </w:r>
          </w:p>
        </w:tc>
        <w:tc>
          <w:tcPr>
            <w:tcW w:w="306" w:type="pct"/>
            <w:textDirection w:val="tbRl"/>
            <w:vAlign w:val="center"/>
          </w:tcPr>
          <w:p w14:paraId="439FEA64" w14:textId="77777777" w:rsidR="00074551" w:rsidRPr="00E50B51" w:rsidRDefault="00074551" w:rsidP="00367133">
            <w:pPr>
              <w:ind w:left="113" w:right="113"/>
              <w:jc w:val="both"/>
              <w:rPr>
                <w:sz w:val="20"/>
                <w:szCs w:val="20"/>
              </w:rPr>
            </w:pPr>
            <w:r w:rsidRPr="00E50B51">
              <w:rPr>
                <w:sz w:val="20"/>
                <w:szCs w:val="20"/>
              </w:rPr>
              <w:t>13. Mai 1907</w:t>
            </w:r>
          </w:p>
        </w:tc>
        <w:tc>
          <w:tcPr>
            <w:tcW w:w="401" w:type="pct"/>
          </w:tcPr>
          <w:p w14:paraId="68EFC5CF" w14:textId="77777777" w:rsidR="00074551" w:rsidRPr="00E50B51" w:rsidRDefault="00074551" w:rsidP="00367133">
            <w:pPr>
              <w:jc w:val="center"/>
              <w:rPr>
                <w:sz w:val="20"/>
                <w:szCs w:val="20"/>
              </w:rPr>
            </w:pPr>
            <w:r w:rsidRPr="00E50B51">
              <w:rPr>
                <w:sz w:val="20"/>
                <w:szCs w:val="20"/>
              </w:rPr>
              <w:t>S</w:t>
            </w:r>
          </w:p>
        </w:tc>
        <w:tc>
          <w:tcPr>
            <w:tcW w:w="1594" w:type="pct"/>
          </w:tcPr>
          <w:p w14:paraId="51847AFA" w14:textId="77777777" w:rsidR="00074551" w:rsidRPr="00E50B51" w:rsidRDefault="00074551" w:rsidP="00367133">
            <w:pPr>
              <w:jc w:val="both"/>
              <w:rPr>
                <w:sz w:val="20"/>
                <w:szCs w:val="20"/>
              </w:rPr>
            </w:pPr>
            <w:r w:rsidRPr="00E50B51">
              <w:rPr>
                <w:sz w:val="20"/>
                <w:szCs w:val="20"/>
              </w:rPr>
              <w:t>*</w:t>
            </w:r>
          </w:p>
        </w:tc>
        <w:tc>
          <w:tcPr>
            <w:tcW w:w="1822" w:type="pct"/>
          </w:tcPr>
          <w:p w14:paraId="626EAE6C" w14:textId="1116406F" w:rsidR="00074551" w:rsidRPr="00E50B51" w:rsidRDefault="00074551" w:rsidP="00367133">
            <w:pPr>
              <w:jc w:val="both"/>
              <w:rPr>
                <w:sz w:val="20"/>
                <w:szCs w:val="20"/>
              </w:rPr>
            </w:pPr>
            <w:r w:rsidRPr="00E50B51">
              <w:rPr>
                <w:sz w:val="20"/>
                <w:szCs w:val="20"/>
              </w:rPr>
              <w:t>Einem Bundesstaat kommt in seinen Grenzen die Kompetenz zu, über sein Eigentum wie Ländereien frei zu verfügen und entsprechend Gesetze zu beschließen</w:t>
            </w:r>
            <w:r>
              <w:rPr>
                <w:sz w:val="20"/>
                <w:szCs w:val="20"/>
              </w:rPr>
              <w:t xml:space="preserve">, </w:t>
            </w:r>
            <w:r w:rsidRPr="00E50B51">
              <w:rPr>
                <w:sz w:val="20"/>
                <w:szCs w:val="20"/>
              </w:rPr>
              <w:t xml:space="preserve">vgl. </w:t>
            </w:r>
            <w:r w:rsidR="00023A37">
              <w:rPr>
                <w:sz w:val="20"/>
                <w:szCs w:val="20"/>
              </w:rPr>
              <w:t xml:space="preserve">U.S. </w:t>
            </w:r>
            <w:proofErr w:type="spellStart"/>
            <w:r w:rsidR="00023A37">
              <w:rPr>
                <w:sz w:val="20"/>
                <w:szCs w:val="20"/>
              </w:rPr>
              <w:t>Const</w:t>
            </w:r>
            <w:proofErr w:type="spellEnd"/>
            <w:r w:rsidR="00023A37">
              <w:rPr>
                <w:sz w:val="20"/>
                <w:szCs w:val="20"/>
              </w:rPr>
              <w:t>. art. IV, § 3.</w:t>
            </w:r>
            <w:r w:rsidRPr="5B67C1D2">
              <w:rPr>
                <w:rStyle w:val="Funotenzeichen"/>
                <w:rFonts w:eastAsiaTheme="majorEastAsia"/>
                <w:sz w:val="20"/>
                <w:szCs w:val="20"/>
              </w:rPr>
              <w:footnoteReference w:id="417"/>
            </w:r>
            <w:r w:rsidRPr="00E50B51">
              <w:rPr>
                <w:sz w:val="20"/>
                <w:szCs w:val="20"/>
              </w:rPr>
              <w:t xml:space="preserve"> Dem liegt die bundesstaatliche Souveränität zugrunde. </w:t>
            </w:r>
            <w:r w:rsidRPr="004F1107">
              <w:rPr>
                <w:sz w:val="20"/>
                <w:szCs w:val="20"/>
              </w:rPr>
              <w:t>Doch woher kommt die bundesstaatliche Souveränität; i</w:t>
            </w:r>
            <w:r>
              <w:rPr>
                <w:sz w:val="20"/>
                <w:szCs w:val="20"/>
              </w:rPr>
              <w:t>m</w:t>
            </w:r>
            <w:r w:rsidRPr="004F1107">
              <w:rPr>
                <w:sz w:val="20"/>
                <w:szCs w:val="20"/>
              </w:rPr>
              <w:t xml:space="preserve"> Fall fragt der </w:t>
            </w:r>
            <w:r>
              <w:rPr>
                <w:sz w:val="20"/>
                <w:szCs w:val="20"/>
              </w:rPr>
              <w:t>U.S. Supreme Court</w:t>
            </w:r>
            <w:r w:rsidRPr="004F1107">
              <w:rPr>
                <w:sz w:val="20"/>
                <w:szCs w:val="20"/>
              </w:rPr>
              <w:t xml:space="preserve"> dazu: </w:t>
            </w:r>
            <w:r w:rsidRPr="005B58EA">
              <w:rPr>
                <w:sz w:val="20"/>
                <w:szCs w:val="20"/>
              </w:rPr>
              <w:t xml:space="preserve">Inwieweit kann die Bundesverwaltung in Kansas in die Kompetenz eines anderen Bundesstaats bzw. seiner Bevölkerung – hier Colorado – eingreifen? </w:t>
            </w:r>
            <w:r>
              <w:rPr>
                <w:sz w:val="20"/>
                <w:szCs w:val="20"/>
              </w:rPr>
              <w:t>Wie</w:t>
            </w:r>
            <w:r w:rsidRPr="005B58EA">
              <w:rPr>
                <w:sz w:val="20"/>
                <w:szCs w:val="20"/>
              </w:rPr>
              <w:t xml:space="preserve"> weit die Kompetenz eines Bundesstaats reiche, </w:t>
            </w:r>
            <w:r>
              <w:rPr>
                <w:sz w:val="20"/>
                <w:szCs w:val="20"/>
              </w:rPr>
              <w:t>ergebe</w:t>
            </w:r>
            <w:r w:rsidRPr="005B58EA">
              <w:rPr>
                <w:sz w:val="20"/>
                <w:szCs w:val="20"/>
              </w:rPr>
              <w:t xml:space="preserve"> sich aus den der Bevölkerung vorbehaltenen, individuellen Rechten wie dem Streben nach Glück („personal and individual </w:t>
            </w:r>
            <w:proofErr w:type="spellStart"/>
            <w:r w:rsidRPr="005B58EA">
              <w:rPr>
                <w:sz w:val="20"/>
                <w:szCs w:val="20"/>
              </w:rPr>
              <w:t>rights</w:t>
            </w:r>
            <w:proofErr w:type="spellEnd"/>
            <w:r w:rsidRPr="005B58EA">
              <w:rPr>
                <w:sz w:val="20"/>
                <w:szCs w:val="20"/>
              </w:rPr>
              <w:t xml:space="preserve"> of </w:t>
            </w:r>
            <w:proofErr w:type="spellStart"/>
            <w:r w:rsidRPr="005B58EA">
              <w:rPr>
                <w:sz w:val="20"/>
                <w:szCs w:val="20"/>
              </w:rPr>
              <w:t>life</w:t>
            </w:r>
            <w:proofErr w:type="spellEnd"/>
            <w:r w:rsidRPr="005B58EA">
              <w:rPr>
                <w:sz w:val="20"/>
                <w:szCs w:val="20"/>
              </w:rPr>
              <w:t xml:space="preserve">, </w:t>
            </w:r>
            <w:proofErr w:type="spellStart"/>
            <w:r w:rsidRPr="005B58EA">
              <w:rPr>
                <w:sz w:val="20"/>
                <w:szCs w:val="20"/>
              </w:rPr>
              <w:t>liberty</w:t>
            </w:r>
            <w:proofErr w:type="spellEnd"/>
            <w:r w:rsidRPr="005B58EA">
              <w:rPr>
                <w:sz w:val="20"/>
                <w:szCs w:val="20"/>
              </w:rPr>
              <w:t xml:space="preserve">, and the </w:t>
            </w:r>
            <w:proofErr w:type="spellStart"/>
            <w:r w:rsidRPr="005B58EA">
              <w:rPr>
                <w:sz w:val="20"/>
                <w:szCs w:val="20"/>
              </w:rPr>
              <w:t>pursuit</w:t>
            </w:r>
            <w:proofErr w:type="spellEnd"/>
            <w:r w:rsidRPr="005B58EA">
              <w:rPr>
                <w:sz w:val="20"/>
                <w:szCs w:val="20"/>
              </w:rPr>
              <w:t xml:space="preserve"> of </w:t>
            </w:r>
            <w:proofErr w:type="spellStart"/>
            <w:r w:rsidRPr="005B58EA">
              <w:rPr>
                <w:sz w:val="20"/>
                <w:szCs w:val="20"/>
              </w:rPr>
              <w:t>happiness</w:t>
            </w:r>
            <w:proofErr w:type="spellEnd"/>
            <w:r w:rsidRPr="005B58EA">
              <w:rPr>
                <w:sz w:val="20"/>
                <w:szCs w:val="20"/>
              </w:rPr>
              <w:t>“</w:t>
            </w:r>
            <w:r w:rsidRPr="005B58EA">
              <w:rPr>
                <w:sz w:val="20"/>
                <w:szCs w:val="20"/>
                <w:vertAlign w:val="superscript"/>
              </w:rPr>
              <w:footnoteReference w:id="418"/>
            </w:r>
            <w:r w:rsidRPr="005B58EA">
              <w:rPr>
                <w:sz w:val="20"/>
                <w:szCs w:val="20"/>
              </w:rPr>
              <w:t>). Der Vorbehalt dieser Rechte mach</w:t>
            </w:r>
            <w:r>
              <w:rPr>
                <w:sz w:val="20"/>
                <w:szCs w:val="20"/>
              </w:rPr>
              <w:t>e</w:t>
            </w:r>
            <w:r w:rsidRPr="005B58EA">
              <w:rPr>
                <w:sz w:val="20"/>
                <w:szCs w:val="20"/>
              </w:rPr>
              <w:t xml:space="preserve"> gerade die Souveränität eines Volkes aus („</w:t>
            </w:r>
            <w:proofErr w:type="spellStart"/>
            <w:r w:rsidRPr="005B58EA">
              <w:rPr>
                <w:sz w:val="20"/>
                <w:szCs w:val="20"/>
              </w:rPr>
              <w:t>underlying</w:t>
            </w:r>
            <w:proofErr w:type="spellEnd"/>
            <w:r w:rsidRPr="005B58EA">
              <w:rPr>
                <w:sz w:val="20"/>
                <w:szCs w:val="20"/>
              </w:rPr>
              <w:t xml:space="preserve"> </w:t>
            </w:r>
            <w:proofErr w:type="spellStart"/>
            <w:r w:rsidRPr="005B58EA">
              <w:rPr>
                <w:sz w:val="20"/>
                <w:szCs w:val="20"/>
              </w:rPr>
              <w:t>sovereignty</w:t>
            </w:r>
            <w:proofErr w:type="spellEnd"/>
            <w:r w:rsidRPr="005B58EA">
              <w:rPr>
                <w:sz w:val="20"/>
                <w:szCs w:val="20"/>
              </w:rPr>
              <w:t xml:space="preserve"> of the </w:t>
            </w:r>
            <w:proofErr w:type="spellStart"/>
            <w:r w:rsidRPr="005B58EA">
              <w:rPr>
                <w:sz w:val="20"/>
                <w:szCs w:val="20"/>
              </w:rPr>
              <w:t>people</w:t>
            </w:r>
            <w:proofErr w:type="spellEnd"/>
            <w:r w:rsidRPr="005B58EA">
              <w:rPr>
                <w:sz w:val="20"/>
                <w:szCs w:val="20"/>
              </w:rPr>
              <w:t>“</w:t>
            </w:r>
            <w:r w:rsidRPr="005B58EA">
              <w:rPr>
                <w:sz w:val="20"/>
                <w:szCs w:val="20"/>
                <w:vertAlign w:val="superscript"/>
              </w:rPr>
              <w:footnoteReference w:id="419"/>
            </w:r>
            <w:r w:rsidRPr="005B58EA">
              <w:rPr>
                <w:sz w:val="20"/>
                <w:szCs w:val="20"/>
              </w:rPr>
              <w:t xml:space="preserve">). Und das Volk habe die Souveränität an die Regierung abgetreten, damit die Regierung </w:t>
            </w:r>
            <w:r>
              <w:rPr>
                <w:sz w:val="20"/>
                <w:szCs w:val="20"/>
              </w:rPr>
              <w:t xml:space="preserve">die </w:t>
            </w:r>
            <w:r w:rsidRPr="005B58EA">
              <w:rPr>
                <w:sz w:val="20"/>
                <w:szCs w:val="20"/>
              </w:rPr>
              <w:t xml:space="preserve">Souveränität des Volkes sichere, vgl.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5B58EA">
              <w:rPr>
                <w:sz w:val="20"/>
                <w:szCs w:val="20"/>
                <w:vertAlign w:val="superscript"/>
              </w:rPr>
              <w:footnoteReference w:id="420"/>
            </w:r>
            <w:r w:rsidRPr="005B58EA">
              <w:rPr>
                <w:sz w:val="20"/>
                <w:szCs w:val="20"/>
              </w:rPr>
              <w:t xml:space="preserve"> – und damit letztendlich auch </w:t>
            </w:r>
            <w:r>
              <w:rPr>
                <w:sz w:val="20"/>
                <w:szCs w:val="20"/>
              </w:rPr>
              <w:t>seine</w:t>
            </w:r>
            <w:r w:rsidRPr="005B58EA">
              <w:rPr>
                <w:sz w:val="20"/>
                <w:szCs w:val="20"/>
              </w:rPr>
              <w:t xml:space="preserve"> unveräußerlichen Rechte. Daraus folgt, dass ein Bürger sich mit seiner Souveränität nicht umfassend gegen staatliches Handeln eines Bundesstaats wehren kann, denn die Souveränität hatten die Bürger zuvor abgetreten. Und aus der Abtretung der Souveränität erwächst Kompetenz für den Bundesstaat. Folglich kommt es für die Bestimmung der Kompetenz nicht auf das Verhältnis zwischen Bürger und Bundesstaat an. Stattdessen </w:t>
            </w:r>
            <w:r>
              <w:rPr>
                <w:sz w:val="20"/>
                <w:szCs w:val="20"/>
              </w:rPr>
              <w:t>geht</w:t>
            </w:r>
            <w:r w:rsidRPr="005B58EA">
              <w:rPr>
                <w:sz w:val="20"/>
                <w:szCs w:val="20"/>
              </w:rPr>
              <w:t xml:space="preserve"> es zuvorderst dar</w:t>
            </w:r>
            <w:r>
              <w:rPr>
                <w:sz w:val="20"/>
                <w:szCs w:val="20"/>
              </w:rPr>
              <w:t>um</w:t>
            </w:r>
            <w:r w:rsidRPr="005B58EA">
              <w:rPr>
                <w:sz w:val="20"/>
                <w:szCs w:val="20"/>
              </w:rPr>
              <w:t xml:space="preserve">, die Souveränität eines Bundesstaats (z.B. </w:t>
            </w:r>
            <w:r>
              <w:rPr>
                <w:sz w:val="20"/>
                <w:szCs w:val="20"/>
              </w:rPr>
              <w:t>des</w:t>
            </w:r>
            <w:r w:rsidRPr="005B58EA">
              <w:rPr>
                <w:sz w:val="20"/>
                <w:szCs w:val="20"/>
              </w:rPr>
              <w:t xml:space="preserve"> Parlament</w:t>
            </w:r>
            <w:r>
              <w:rPr>
                <w:sz w:val="20"/>
                <w:szCs w:val="20"/>
              </w:rPr>
              <w:t>s</w:t>
            </w:r>
            <w:r w:rsidRPr="005B58EA">
              <w:rPr>
                <w:sz w:val="20"/>
                <w:szCs w:val="20"/>
              </w:rPr>
              <w:t xml:space="preserve"> in Colorado) zu der Souveränität eines anderen Bundesstaats (z.B. </w:t>
            </w:r>
            <w:r w:rsidRPr="00134532">
              <w:rPr>
                <w:sz w:val="20"/>
                <w:szCs w:val="20"/>
              </w:rPr>
              <w:t>der Verwaltung in Kansas) abzugrenzen („</w:t>
            </w:r>
            <w:proofErr w:type="spellStart"/>
            <w:r w:rsidRPr="00134532">
              <w:rPr>
                <w:sz w:val="20"/>
                <w:szCs w:val="20"/>
              </w:rPr>
              <w:t>function</w:t>
            </w:r>
            <w:proofErr w:type="spellEnd"/>
            <w:r w:rsidRPr="00134532">
              <w:rPr>
                <w:sz w:val="20"/>
                <w:szCs w:val="20"/>
              </w:rPr>
              <w:t xml:space="preserve"> and power of the Government, on the legislative and </w:t>
            </w:r>
            <w:proofErr w:type="spellStart"/>
            <w:r w:rsidRPr="00134532">
              <w:rPr>
                <w:sz w:val="20"/>
                <w:szCs w:val="20"/>
              </w:rPr>
              <w:t>executive</w:t>
            </w:r>
            <w:proofErr w:type="spellEnd"/>
            <w:r w:rsidRPr="00134532">
              <w:rPr>
                <w:sz w:val="20"/>
                <w:szCs w:val="20"/>
              </w:rPr>
              <w:t xml:space="preserve"> </w:t>
            </w:r>
            <w:proofErr w:type="spellStart"/>
            <w:r w:rsidRPr="00134532">
              <w:rPr>
                <w:sz w:val="20"/>
                <w:szCs w:val="20"/>
              </w:rPr>
              <w:t>side</w:t>
            </w:r>
            <w:proofErr w:type="spellEnd"/>
            <w:r w:rsidRPr="00134532">
              <w:rPr>
                <w:sz w:val="20"/>
                <w:szCs w:val="20"/>
              </w:rPr>
              <w:t>“</w:t>
            </w:r>
            <w:r w:rsidRPr="005B58EA">
              <w:rPr>
                <w:sz w:val="20"/>
                <w:szCs w:val="20"/>
                <w:vertAlign w:val="superscript"/>
              </w:rPr>
              <w:footnoteReference w:id="421"/>
            </w:r>
            <w:r w:rsidRPr="00134532">
              <w:rPr>
                <w:sz w:val="20"/>
                <w:szCs w:val="20"/>
              </w:rPr>
              <w:t xml:space="preserve">). </w:t>
            </w:r>
            <w:r w:rsidRPr="005B58EA">
              <w:rPr>
                <w:sz w:val="20"/>
                <w:szCs w:val="20"/>
              </w:rPr>
              <w:t>Aber auch diese Abgrenzung beruhe auf der genannten Souveränität des Volkes („</w:t>
            </w:r>
            <w:proofErr w:type="spellStart"/>
            <w:r w:rsidRPr="005B58EA">
              <w:rPr>
                <w:sz w:val="20"/>
                <w:szCs w:val="20"/>
              </w:rPr>
              <w:t>sovereignty</w:t>
            </w:r>
            <w:proofErr w:type="spellEnd"/>
            <w:r w:rsidRPr="005B58EA">
              <w:rPr>
                <w:sz w:val="20"/>
                <w:szCs w:val="20"/>
              </w:rPr>
              <w:t xml:space="preserve"> of the </w:t>
            </w:r>
            <w:proofErr w:type="spellStart"/>
            <w:r w:rsidRPr="005B58EA">
              <w:rPr>
                <w:sz w:val="20"/>
                <w:szCs w:val="20"/>
              </w:rPr>
              <w:t>people</w:t>
            </w:r>
            <w:proofErr w:type="spellEnd"/>
            <w:r w:rsidRPr="005B58EA">
              <w:rPr>
                <w:sz w:val="20"/>
                <w:szCs w:val="20"/>
              </w:rPr>
              <w:t xml:space="preserve"> […] created an essential </w:t>
            </w:r>
            <w:proofErr w:type="spellStart"/>
            <w:r w:rsidRPr="005B58EA">
              <w:rPr>
                <w:sz w:val="20"/>
                <w:szCs w:val="20"/>
              </w:rPr>
              <w:t>branch</w:t>
            </w:r>
            <w:proofErr w:type="spellEnd"/>
            <w:r w:rsidRPr="005B58EA">
              <w:rPr>
                <w:sz w:val="20"/>
                <w:szCs w:val="20"/>
              </w:rPr>
              <w:t xml:space="preserve"> of national power“</w:t>
            </w:r>
            <w:r w:rsidRPr="005B58EA">
              <w:rPr>
                <w:sz w:val="20"/>
                <w:szCs w:val="20"/>
                <w:vertAlign w:val="superscript"/>
              </w:rPr>
              <w:footnoteReference w:id="422"/>
            </w:r>
            <w:r w:rsidRPr="005B58EA">
              <w:rPr>
                <w:sz w:val="20"/>
                <w:szCs w:val="20"/>
              </w:rPr>
              <w:t xml:space="preserve">). Und die wiederum beruhe auf den dem Volk vorbehaltenen, individuellen Rechte wie dem Streben nach Glück, die eine Regierung zu sichern habe, um die Souveränität überhaupt abgetreten zu erhalten („The </w:t>
            </w:r>
            <w:proofErr w:type="spellStart"/>
            <w:r w:rsidRPr="005B58EA">
              <w:rPr>
                <w:sz w:val="20"/>
                <w:szCs w:val="20"/>
              </w:rPr>
              <w:t>powers</w:t>
            </w:r>
            <w:proofErr w:type="spellEnd"/>
            <w:r w:rsidRPr="005B58EA">
              <w:rPr>
                <w:sz w:val="20"/>
                <w:szCs w:val="20"/>
              </w:rPr>
              <w:t xml:space="preserve"> </w:t>
            </w:r>
            <w:proofErr w:type="spellStart"/>
            <w:r w:rsidRPr="005B58EA">
              <w:rPr>
                <w:sz w:val="20"/>
                <w:szCs w:val="20"/>
              </w:rPr>
              <w:t>reserved</w:t>
            </w:r>
            <w:proofErr w:type="spellEnd"/>
            <w:r w:rsidRPr="005B58EA">
              <w:rPr>
                <w:sz w:val="20"/>
                <w:szCs w:val="20"/>
              </w:rPr>
              <w:t xml:space="preserve"> to the </w:t>
            </w:r>
            <w:proofErr w:type="spellStart"/>
            <w:r w:rsidRPr="005B58EA">
              <w:rPr>
                <w:sz w:val="20"/>
                <w:szCs w:val="20"/>
              </w:rPr>
              <w:t>people</w:t>
            </w:r>
            <w:proofErr w:type="spellEnd"/>
            <w:r w:rsidRPr="005B58EA">
              <w:rPr>
                <w:sz w:val="20"/>
                <w:szCs w:val="20"/>
              </w:rPr>
              <w:t xml:space="preserve"> </w:t>
            </w:r>
            <w:proofErr w:type="spellStart"/>
            <w:r w:rsidRPr="005B58EA">
              <w:rPr>
                <w:sz w:val="20"/>
                <w:szCs w:val="20"/>
              </w:rPr>
              <w:t>relate</w:t>
            </w:r>
            <w:proofErr w:type="spellEnd"/>
            <w:r w:rsidRPr="005B58EA">
              <w:rPr>
                <w:sz w:val="20"/>
                <w:szCs w:val="20"/>
              </w:rPr>
              <w:t xml:space="preserve"> to […] </w:t>
            </w:r>
            <w:proofErr w:type="spellStart"/>
            <w:r w:rsidRPr="005B58EA">
              <w:rPr>
                <w:sz w:val="20"/>
                <w:szCs w:val="20"/>
              </w:rPr>
              <w:t>their</w:t>
            </w:r>
            <w:proofErr w:type="spellEnd"/>
            <w:r w:rsidRPr="005B58EA">
              <w:rPr>
                <w:sz w:val="20"/>
                <w:szCs w:val="20"/>
              </w:rPr>
              <w:t xml:space="preserve"> personal and individual </w:t>
            </w:r>
            <w:proofErr w:type="spellStart"/>
            <w:r w:rsidRPr="005B58EA">
              <w:rPr>
                <w:sz w:val="20"/>
                <w:szCs w:val="20"/>
              </w:rPr>
              <w:t>rights</w:t>
            </w:r>
            <w:proofErr w:type="spellEnd"/>
            <w:r w:rsidRPr="005B58EA">
              <w:rPr>
                <w:sz w:val="20"/>
                <w:szCs w:val="20"/>
              </w:rPr>
              <w:t xml:space="preserve"> of </w:t>
            </w:r>
            <w:proofErr w:type="spellStart"/>
            <w:r w:rsidRPr="005B58EA">
              <w:rPr>
                <w:sz w:val="20"/>
                <w:szCs w:val="20"/>
              </w:rPr>
              <w:t>life</w:t>
            </w:r>
            <w:proofErr w:type="spellEnd"/>
            <w:r w:rsidRPr="005B58EA">
              <w:rPr>
                <w:sz w:val="20"/>
                <w:szCs w:val="20"/>
              </w:rPr>
              <w:t xml:space="preserve">, </w:t>
            </w:r>
            <w:proofErr w:type="spellStart"/>
            <w:r w:rsidRPr="005B58EA">
              <w:rPr>
                <w:sz w:val="20"/>
                <w:szCs w:val="20"/>
              </w:rPr>
              <w:t>liberty</w:t>
            </w:r>
            <w:proofErr w:type="spellEnd"/>
            <w:r w:rsidRPr="005B58EA">
              <w:rPr>
                <w:sz w:val="20"/>
                <w:szCs w:val="20"/>
              </w:rPr>
              <w:t xml:space="preserve">, and the </w:t>
            </w:r>
            <w:proofErr w:type="spellStart"/>
            <w:r w:rsidRPr="005B58EA">
              <w:rPr>
                <w:sz w:val="20"/>
                <w:szCs w:val="20"/>
              </w:rPr>
              <w:t>pursuit</w:t>
            </w:r>
            <w:proofErr w:type="spellEnd"/>
            <w:r w:rsidRPr="005B58EA">
              <w:rPr>
                <w:sz w:val="20"/>
                <w:szCs w:val="20"/>
              </w:rPr>
              <w:t xml:space="preserve"> of </w:t>
            </w:r>
            <w:proofErr w:type="spellStart"/>
            <w:r w:rsidRPr="005B58EA">
              <w:rPr>
                <w:sz w:val="20"/>
                <w:szCs w:val="20"/>
              </w:rPr>
              <w:t>happiness</w:t>
            </w:r>
            <w:proofErr w:type="spellEnd"/>
            <w:r w:rsidRPr="005B58EA">
              <w:rPr>
                <w:sz w:val="20"/>
                <w:szCs w:val="20"/>
              </w:rPr>
              <w:t>“</w:t>
            </w:r>
            <w:r w:rsidRPr="005B58EA">
              <w:rPr>
                <w:sz w:val="20"/>
                <w:szCs w:val="20"/>
                <w:vertAlign w:val="superscript"/>
              </w:rPr>
              <w:footnoteReference w:id="423"/>
            </w:r>
            <w:r w:rsidRPr="005B58EA">
              <w:rPr>
                <w:sz w:val="20"/>
                <w:szCs w:val="20"/>
              </w:rPr>
              <w:t>).</w:t>
            </w:r>
          </w:p>
          <w:p w14:paraId="4B264AC3" w14:textId="77777777" w:rsidR="00074551" w:rsidRPr="00E50B51" w:rsidRDefault="00074551" w:rsidP="00367133">
            <w:pPr>
              <w:jc w:val="both"/>
              <w:rPr>
                <w:sz w:val="20"/>
                <w:szCs w:val="20"/>
              </w:rPr>
            </w:pPr>
          </w:p>
        </w:tc>
      </w:tr>
      <w:tr w:rsidR="00074551" w:rsidRPr="00E50B51" w14:paraId="3286E443" w14:textId="77777777" w:rsidTr="00BE689F">
        <w:trPr>
          <w:cantSplit/>
          <w:trHeight w:val="3175"/>
        </w:trPr>
        <w:tc>
          <w:tcPr>
            <w:tcW w:w="293" w:type="pct"/>
          </w:tcPr>
          <w:p w14:paraId="3482A0BC" w14:textId="77777777" w:rsidR="00074551" w:rsidRPr="00E50B51" w:rsidRDefault="00074551" w:rsidP="00367133">
            <w:pPr>
              <w:jc w:val="center"/>
              <w:rPr>
                <w:sz w:val="20"/>
                <w:szCs w:val="20"/>
              </w:rPr>
            </w:pPr>
            <w:r w:rsidRPr="00BE3728">
              <w:rPr>
                <w:sz w:val="20"/>
                <w:szCs w:val="20"/>
                <w:lang w:val="en-US"/>
              </w:rPr>
              <w:lastRenderedPageBreak/>
              <w:t>H</w:t>
            </w:r>
          </w:p>
        </w:tc>
        <w:tc>
          <w:tcPr>
            <w:tcW w:w="387" w:type="pct"/>
            <w:textDirection w:val="tbRl"/>
            <w:vAlign w:val="center"/>
          </w:tcPr>
          <w:p w14:paraId="125D2E9B" w14:textId="77777777" w:rsidR="00074551" w:rsidRPr="00B45592" w:rsidRDefault="00074551" w:rsidP="00367133">
            <w:pPr>
              <w:ind w:left="113" w:right="113"/>
              <w:jc w:val="both"/>
              <w:rPr>
                <w:i/>
                <w:sz w:val="20"/>
                <w:szCs w:val="20"/>
                <w:lang w:val="en-US"/>
              </w:rPr>
            </w:pPr>
            <w:r w:rsidRPr="00B45592">
              <w:rPr>
                <w:i/>
                <w:sz w:val="20"/>
                <w:szCs w:val="20"/>
                <w:lang w:val="en-US"/>
              </w:rPr>
              <w:t>Holmes v. Jennison</w:t>
            </w:r>
          </w:p>
        </w:tc>
        <w:tc>
          <w:tcPr>
            <w:tcW w:w="197" w:type="pct"/>
            <w:textDirection w:val="tbRl"/>
            <w:vAlign w:val="center"/>
          </w:tcPr>
          <w:p w14:paraId="1BD1AFC7" w14:textId="77777777" w:rsidR="00074551" w:rsidRPr="00E50B51" w:rsidRDefault="00074551" w:rsidP="00367133">
            <w:pPr>
              <w:ind w:left="113" w:right="113"/>
              <w:jc w:val="both"/>
              <w:rPr>
                <w:sz w:val="20"/>
                <w:szCs w:val="20"/>
                <w:lang w:val="en-US"/>
              </w:rPr>
            </w:pPr>
            <w:r w:rsidRPr="00BE3728">
              <w:rPr>
                <w:sz w:val="20"/>
                <w:szCs w:val="20"/>
              </w:rPr>
              <w:t>39 U.S. 540</w:t>
            </w:r>
          </w:p>
        </w:tc>
        <w:tc>
          <w:tcPr>
            <w:tcW w:w="306" w:type="pct"/>
            <w:textDirection w:val="tbRl"/>
            <w:vAlign w:val="center"/>
          </w:tcPr>
          <w:p w14:paraId="56511300" w14:textId="77777777" w:rsidR="00074551" w:rsidRPr="00E50B51" w:rsidRDefault="00074551" w:rsidP="00367133">
            <w:pPr>
              <w:ind w:left="113" w:right="113"/>
              <w:jc w:val="both"/>
              <w:rPr>
                <w:sz w:val="20"/>
                <w:szCs w:val="20"/>
              </w:rPr>
            </w:pPr>
            <w:r w:rsidRPr="00BE3728">
              <w:rPr>
                <w:sz w:val="20"/>
                <w:szCs w:val="20"/>
              </w:rPr>
              <w:t>04. März 1840</w:t>
            </w:r>
          </w:p>
        </w:tc>
        <w:tc>
          <w:tcPr>
            <w:tcW w:w="401" w:type="pct"/>
          </w:tcPr>
          <w:p w14:paraId="7F52B931" w14:textId="77777777" w:rsidR="00074551" w:rsidRPr="00E50B51" w:rsidRDefault="00074551" w:rsidP="00367133">
            <w:pPr>
              <w:jc w:val="center"/>
              <w:rPr>
                <w:sz w:val="20"/>
                <w:szCs w:val="20"/>
              </w:rPr>
            </w:pPr>
            <w:r w:rsidRPr="00BE3728">
              <w:rPr>
                <w:sz w:val="20"/>
                <w:szCs w:val="20"/>
                <w:lang w:val="en-US"/>
              </w:rPr>
              <w:t>C</w:t>
            </w:r>
          </w:p>
        </w:tc>
        <w:tc>
          <w:tcPr>
            <w:tcW w:w="1594" w:type="pct"/>
          </w:tcPr>
          <w:p w14:paraId="239796F8" w14:textId="75279DFB" w:rsidR="00074551" w:rsidRPr="00E50B51" w:rsidRDefault="00074551" w:rsidP="00367133">
            <w:pPr>
              <w:jc w:val="both"/>
              <w:rPr>
                <w:sz w:val="20"/>
                <w:szCs w:val="20"/>
              </w:rPr>
            </w:pPr>
            <w:r w:rsidRPr="00BE3728">
              <w:rPr>
                <w:sz w:val="20"/>
                <w:szCs w:val="20"/>
              </w:rPr>
              <w:t xml:space="preserve">Der Gouverneur </w:t>
            </w:r>
            <w:r>
              <w:rPr>
                <w:sz w:val="20"/>
                <w:szCs w:val="20"/>
              </w:rPr>
              <w:t xml:space="preserve">von </w:t>
            </w:r>
            <w:r w:rsidRPr="00BE3728">
              <w:rPr>
                <w:sz w:val="20"/>
                <w:szCs w:val="20"/>
              </w:rPr>
              <w:t>Vermont gab dem Ersuchen eines kanadischen Beamten statt. Letzterer begehrte, den Kläger, einen Staatsbürger der Vereinigten Staaten, in Haft nehmen und aus</w:t>
            </w:r>
            <w:r>
              <w:rPr>
                <w:sz w:val="20"/>
                <w:szCs w:val="20"/>
              </w:rPr>
              <w:t>liefern zu lassen</w:t>
            </w:r>
            <w:r w:rsidRPr="00BE3728">
              <w:rPr>
                <w:sz w:val="20"/>
                <w:szCs w:val="20"/>
              </w:rPr>
              <w:t xml:space="preserve">. Der </w:t>
            </w:r>
            <w:r>
              <w:rPr>
                <w:sz w:val="20"/>
                <w:szCs w:val="20"/>
              </w:rPr>
              <w:t xml:space="preserve">amerikanische </w:t>
            </w:r>
            <w:r w:rsidRPr="00BE3728">
              <w:rPr>
                <w:sz w:val="20"/>
                <w:szCs w:val="20"/>
              </w:rPr>
              <w:t>Gouverneur stellte also einen Haftbefehl aus. Der Kläger soll</w:t>
            </w:r>
            <w:r>
              <w:rPr>
                <w:sz w:val="20"/>
                <w:szCs w:val="20"/>
              </w:rPr>
              <w:t>t</w:t>
            </w:r>
            <w:r w:rsidRPr="00BE3728">
              <w:rPr>
                <w:sz w:val="20"/>
                <w:szCs w:val="20"/>
              </w:rPr>
              <w:t xml:space="preserve">e sich in Quebec wegen Mordes verantworten. Der </w:t>
            </w:r>
            <w:r>
              <w:rPr>
                <w:sz w:val="20"/>
                <w:szCs w:val="20"/>
              </w:rPr>
              <w:t>U.S. Supreme Court</w:t>
            </w:r>
            <w:r w:rsidRPr="00BE3728">
              <w:rPr>
                <w:sz w:val="20"/>
                <w:szCs w:val="20"/>
              </w:rPr>
              <w:t xml:space="preserve"> hatte nun die Frage zu beantworten</w:t>
            </w:r>
            <w:r>
              <w:rPr>
                <w:sz w:val="20"/>
                <w:szCs w:val="20"/>
              </w:rPr>
              <w:t>, o</w:t>
            </w:r>
            <w:r w:rsidRPr="00BE3728">
              <w:rPr>
                <w:sz w:val="20"/>
                <w:szCs w:val="20"/>
              </w:rPr>
              <w:t xml:space="preserve">b ein Bundesstaat nach der </w:t>
            </w:r>
            <w:r>
              <w:rPr>
                <w:sz w:val="20"/>
                <w:szCs w:val="20"/>
              </w:rPr>
              <w:t>U.S.</w:t>
            </w:r>
            <w:r w:rsidRPr="00BE3728">
              <w:rPr>
                <w:sz w:val="20"/>
                <w:szCs w:val="20"/>
              </w:rPr>
              <w:t> </w:t>
            </w:r>
            <w:proofErr w:type="spellStart"/>
            <w:r w:rsidRPr="00BE3728">
              <w:rPr>
                <w:sz w:val="20"/>
                <w:szCs w:val="20"/>
              </w:rPr>
              <w:t>Const</w:t>
            </w:r>
            <w:proofErr w:type="spellEnd"/>
            <w:r w:rsidRPr="00BE3728">
              <w:rPr>
                <w:sz w:val="20"/>
                <w:szCs w:val="20"/>
              </w:rPr>
              <w:t xml:space="preserve">. eine Person, die sich in seinem Hoheitsgebiet aufhalte, an eine ausländische Regierung ausliefern müsse, damit sie </w:t>
            </w:r>
            <w:r>
              <w:rPr>
                <w:sz w:val="20"/>
                <w:szCs w:val="20"/>
              </w:rPr>
              <w:t xml:space="preserve">sich </w:t>
            </w:r>
            <w:r w:rsidRPr="00BE3728">
              <w:rPr>
                <w:sz w:val="20"/>
                <w:szCs w:val="20"/>
              </w:rPr>
              <w:t>wegen einer möglichen Straftat verantworte?</w:t>
            </w:r>
            <w:r>
              <w:rPr>
                <w:sz w:val="20"/>
                <w:szCs w:val="20"/>
              </w:rPr>
              <w:t xml:space="preserve"> </w:t>
            </w:r>
            <w:r w:rsidRPr="00BE3728">
              <w:rPr>
                <w:sz w:val="20"/>
                <w:szCs w:val="20"/>
              </w:rPr>
              <w:t xml:space="preserve">Der </w:t>
            </w:r>
            <w:r>
              <w:rPr>
                <w:sz w:val="20"/>
                <w:szCs w:val="20"/>
              </w:rPr>
              <w:t>U.S. Supreme Court</w:t>
            </w:r>
            <w:r w:rsidRPr="00BE3728">
              <w:rPr>
                <w:sz w:val="20"/>
                <w:szCs w:val="20"/>
              </w:rPr>
              <w:t xml:space="preserve"> verneinte. Denn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BE3728">
              <w:rPr>
                <w:sz w:val="20"/>
                <w:szCs w:val="20"/>
              </w:rPr>
              <w:t xml:space="preserve"> verbiete dem Bundesstaat, jedwede Abkommen mit ausländischen Regierungen zu schließen. Daher war der Gouverneur nicht befugt, den Haftbefehl zu erlassen. Und wegen des nichtigen Haftbefehls hatte der Kläger demnach einen Anspruch, freigelassen zu werden.</w:t>
            </w:r>
            <w:r w:rsidRPr="00BE3728">
              <w:rPr>
                <w:rStyle w:val="Funotenzeichen"/>
                <w:sz w:val="20"/>
                <w:szCs w:val="20"/>
              </w:rPr>
              <w:footnoteReference w:id="424"/>
            </w:r>
          </w:p>
        </w:tc>
        <w:tc>
          <w:tcPr>
            <w:tcW w:w="1822" w:type="pct"/>
          </w:tcPr>
          <w:p w14:paraId="09877FD7"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Congressional Duties &amp; Powers › General Overview</w:t>
            </w:r>
          </w:p>
          <w:p w14:paraId="2E40031E" w14:textId="77777777" w:rsidR="00074551" w:rsidRPr="00BE3728" w:rsidRDefault="00074551" w:rsidP="00367133">
            <w:pPr>
              <w:jc w:val="both"/>
              <w:rPr>
                <w:sz w:val="20"/>
                <w:szCs w:val="20"/>
                <w:lang w:val="en-US"/>
              </w:rPr>
            </w:pPr>
          </w:p>
          <w:p w14:paraId="68C46F96" w14:textId="59D6637E" w:rsidR="00074551" w:rsidRDefault="00074551" w:rsidP="00367133">
            <w:pPr>
              <w:jc w:val="both"/>
              <w:rPr>
                <w:sz w:val="20"/>
                <w:szCs w:val="20"/>
              </w:rPr>
            </w:pPr>
            <w:r w:rsidRPr="00BE3728">
              <w:rPr>
                <w:sz w:val="20"/>
                <w:szCs w:val="20"/>
              </w:rPr>
              <w:t xml:space="preserve">Der </w:t>
            </w:r>
            <w:r w:rsidR="00023A37">
              <w:rPr>
                <w:sz w:val="20"/>
                <w:szCs w:val="20"/>
              </w:rPr>
              <w:t xml:space="preserve">U.S. </w:t>
            </w:r>
            <w:proofErr w:type="spellStart"/>
            <w:r w:rsidR="00023A37">
              <w:rPr>
                <w:sz w:val="20"/>
                <w:szCs w:val="20"/>
              </w:rPr>
              <w:t>Const</w:t>
            </w:r>
            <w:proofErr w:type="spellEnd"/>
            <w:r w:rsidR="00023A37">
              <w:rPr>
                <w:sz w:val="20"/>
                <w:szCs w:val="20"/>
              </w:rPr>
              <w:t>. art. I, § 10, cl. 1</w:t>
            </w:r>
            <w:r w:rsidRPr="00BE3728">
              <w:rPr>
                <w:sz w:val="20"/>
                <w:szCs w:val="20"/>
              </w:rPr>
              <w:t xml:space="preserve"> erklärt neben anderen Beschränkungen der Staatsgewalt, dass kein Bundesstaat einen Vertrag, ein Bündnis oder eine Konföderation eingehen </w:t>
            </w:r>
            <w:r w:rsidRPr="005B58EA">
              <w:rPr>
                <w:sz w:val="20"/>
                <w:szCs w:val="20"/>
              </w:rPr>
              <w:t>d</w:t>
            </w:r>
            <w:r>
              <w:rPr>
                <w:sz w:val="20"/>
                <w:szCs w:val="20"/>
              </w:rPr>
              <w:t>a</w:t>
            </w:r>
            <w:r w:rsidRPr="005B58EA">
              <w:rPr>
                <w:sz w:val="20"/>
                <w:szCs w:val="20"/>
              </w:rPr>
              <w:t xml:space="preserve">rf; </w:t>
            </w:r>
            <w:r w:rsidR="00023A37">
              <w:rPr>
                <w:sz w:val="20"/>
                <w:szCs w:val="20"/>
              </w:rPr>
              <w:t xml:space="preserve">U.S. </w:t>
            </w:r>
            <w:proofErr w:type="spellStart"/>
            <w:r w:rsidR="00023A37">
              <w:rPr>
                <w:sz w:val="20"/>
                <w:szCs w:val="20"/>
              </w:rPr>
              <w:t>Const</w:t>
            </w:r>
            <w:proofErr w:type="spellEnd"/>
            <w:r w:rsidR="00023A37">
              <w:rPr>
                <w:sz w:val="20"/>
                <w:szCs w:val="20"/>
              </w:rPr>
              <w:t>. art. I, § 10, cl. 2</w:t>
            </w:r>
            <w:r w:rsidRPr="005B58EA">
              <w:rPr>
                <w:sz w:val="20"/>
                <w:szCs w:val="20"/>
              </w:rPr>
              <w:t xml:space="preserve"> erklärt dann, dass kein Bundesstaat ohne die Zustimmung des Kongresses einen Vertrag mit einem ausländischen Staat eingehen </w:t>
            </w:r>
            <w:r>
              <w:rPr>
                <w:sz w:val="20"/>
                <w:szCs w:val="20"/>
              </w:rPr>
              <w:t>darf</w:t>
            </w:r>
            <w:r w:rsidRPr="005B58EA">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5B58EA">
              <w:rPr>
                <w:sz w:val="20"/>
                <w:szCs w:val="20"/>
              </w:rPr>
              <w:t xml:space="preserve"> beschränk</w:t>
            </w:r>
            <w:r>
              <w:rPr>
                <w:sz w:val="20"/>
                <w:szCs w:val="20"/>
              </w:rPr>
              <w:t>t</w:t>
            </w:r>
            <w:r w:rsidRPr="005B58EA">
              <w:rPr>
                <w:sz w:val="20"/>
                <w:szCs w:val="20"/>
              </w:rPr>
              <w:t xml:space="preserve"> insgesamt die Befugnisse der Bundesstaaten. Im ersten Absatz sind die Beschränkungen absolut und bedingungslos</w:t>
            </w:r>
            <w:r w:rsidRPr="00BE3728">
              <w:rPr>
                <w:sz w:val="20"/>
                <w:szCs w:val="20"/>
              </w:rPr>
              <w:t>; im zweiten Absatz können die verbotenen Befugnisse mit Zustimmung des Kongresses ausgeübt werden.</w:t>
            </w:r>
            <w:r w:rsidRPr="00BE3728">
              <w:rPr>
                <w:rStyle w:val="Funotenzeichen"/>
                <w:sz w:val="20"/>
                <w:szCs w:val="20"/>
              </w:rPr>
              <w:footnoteReference w:id="425"/>
            </w:r>
            <w:r>
              <w:rPr>
                <w:sz w:val="20"/>
                <w:szCs w:val="20"/>
              </w:rPr>
              <w:t xml:space="preserve"> </w:t>
            </w:r>
            <w:r w:rsidRPr="00BE3728">
              <w:rPr>
                <w:sz w:val="20"/>
                <w:szCs w:val="20"/>
              </w:rPr>
              <w:t xml:space="preserve">Wenn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der Ebene der Vereinigten Staaten eine Kompetenz einräum</w:t>
            </w:r>
            <w:r>
              <w:rPr>
                <w:sz w:val="20"/>
                <w:szCs w:val="20"/>
              </w:rPr>
              <w:t>e</w:t>
            </w:r>
            <w:r w:rsidRPr="00BE3728">
              <w:rPr>
                <w:sz w:val="20"/>
                <w:szCs w:val="20"/>
              </w:rPr>
              <w:t xml:space="preserve">, </w:t>
            </w:r>
            <w:r>
              <w:rPr>
                <w:sz w:val="20"/>
                <w:szCs w:val="20"/>
              </w:rPr>
              <w:t>welcher</w:t>
            </w:r>
            <w:r w:rsidRPr="00BE3728">
              <w:rPr>
                <w:sz w:val="20"/>
                <w:szCs w:val="20"/>
              </w:rPr>
              <w:t xml:space="preserve"> dann eine Kompetenz der Bundesstaaten widerspreche, so sei </w:t>
            </w:r>
            <w:r>
              <w:rPr>
                <w:sz w:val="20"/>
                <w:szCs w:val="20"/>
              </w:rPr>
              <w:t>in diesem Fall</w:t>
            </w:r>
            <w:r w:rsidRPr="00BE3728">
              <w:rPr>
                <w:sz w:val="20"/>
                <w:szCs w:val="20"/>
              </w:rPr>
              <w:t xml:space="preserve"> die Kompetenz der Vereinigten Staaten ausschließlich. Diese Kompetenz könn</w:t>
            </w:r>
            <w:r>
              <w:rPr>
                <w:sz w:val="20"/>
                <w:szCs w:val="20"/>
              </w:rPr>
              <w:t>t</w:t>
            </w:r>
            <w:r w:rsidRPr="00BE3728">
              <w:rPr>
                <w:sz w:val="20"/>
                <w:szCs w:val="20"/>
              </w:rPr>
              <w:t>en die Bundesstaaten nicht verfassungsmäßig ausüben.</w:t>
            </w:r>
            <w:r w:rsidRPr="00BE3728">
              <w:rPr>
                <w:rStyle w:val="Funotenzeichen"/>
                <w:sz w:val="20"/>
                <w:szCs w:val="20"/>
              </w:rPr>
              <w:footnoteReference w:id="426"/>
            </w:r>
          </w:p>
          <w:p w14:paraId="52F9B797" w14:textId="77777777" w:rsidR="00074551" w:rsidRDefault="00074551" w:rsidP="00367133">
            <w:pPr>
              <w:jc w:val="both"/>
              <w:rPr>
                <w:sz w:val="20"/>
                <w:szCs w:val="20"/>
              </w:rPr>
            </w:pPr>
          </w:p>
          <w:p w14:paraId="5104FD7C" w14:textId="77777777" w:rsidR="00074551" w:rsidRDefault="00074551" w:rsidP="00367133">
            <w:pPr>
              <w:jc w:val="both"/>
              <w:rPr>
                <w:sz w:val="20"/>
                <w:szCs w:val="20"/>
              </w:rPr>
            </w:pPr>
            <w:r w:rsidRPr="00BE3728">
              <w:rPr>
                <w:sz w:val="20"/>
                <w:szCs w:val="20"/>
              </w:rPr>
              <w:t xml:space="preserve">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BE3728">
              <w:rPr>
                <w:sz w:val="20"/>
                <w:szCs w:val="20"/>
              </w:rPr>
              <w:t xml:space="preserve"> meint, ein Bundesstaat habe die Jurisdiktion, über Personen und Sachen innerhalb seiner territorialen Grenzen zu urteilen</w:t>
            </w:r>
            <w:r>
              <w:rPr>
                <w:sz w:val="20"/>
                <w:szCs w:val="20"/>
              </w:rPr>
              <w:t> </w:t>
            </w:r>
            <w:r w:rsidRPr="00BE3728">
              <w:rPr>
                <w:sz w:val="20"/>
                <w:szCs w:val="20"/>
              </w:rPr>
              <w:t xml:space="preserve">– wie eine ausländische Nation. Denn wenn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Kompetenzen wie die Jurisdiktion nicht an die Vereinigten Staaten delegiere, dann verbli</w:t>
            </w:r>
            <w:r>
              <w:rPr>
                <w:sz w:val="20"/>
                <w:szCs w:val="20"/>
              </w:rPr>
              <w:t>e</w:t>
            </w:r>
            <w:r w:rsidRPr="00BE3728">
              <w:rPr>
                <w:sz w:val="20"/>
                <w:szCs w:val="20"/>
              </w:rPr>
              <w:t xml:space="preserve">ben diese bei den Bundesstaaten. Damit bestehe für Bundesstaaten </w:t>
            </w:r>
            <w:r>
              <w:rPr>
                <w:sz w:val="20"/>
                <w:szCs w:val="20"/>
              </w:rPr>
              <w:t>sowohl</w:t>
            </w:r>
            <w:r w:rsidRPr="00BE3728">
              <w:rPr>
                <w:sz w:val="20"/>
                <w:szCs w:val="20"/>
              </w:rPr>
              <w:t xml:space="preserve"> das Recht als auch die Pflicht</w:t>
            </w:r>
            <w:r>
              <w:rPr>
                <w:sz w:val="20"/>
                <w:szCs w:val="20"/>
              </w:rPr>
              <w:t>,</w:t>
            </w:r>
            <w:r w:rsidRPr="00BE3728">
              <w:rPr>
                <w:sz w:val="20"/>
                <w:szCs w:val="20"/>
              </w:rPr>
              <w:t xml:space="preserve"> drei Ziele zu fördern: </w:t>
            </w:r>
            <w:r>
              <w:rPr>
                <w:sz w:val="20"/>
                <w:szCs w:val="20"/>
              </w:rPr>
              <w:t>d</w:t>
            </w:r>
            <w:r w:rsidRPr="00BE3728">
              <w:rPr>
                <w:sz w:val="20"/>
                <w:szCs w:val="20"/>
              </w:rPr>
              <w:t xml:space="preserve">ie Sicherheit, das Glück und den Wohlstand </w:t>
            </w:r>
            <w:r>
              <w:rPr>
                <w:sz w:val="20"/>
                <w:szCs w:val="20"/>
              </w:rPr>
              <w:t>ihres</w:t>
            </w:r>
            <w:r w:rsidRPr="00BE3728">
              <w:rPr>
                <w:sz w:val="20"/>
                <w:szCs w:val="20"/>
              </w:rPr>
              <w:t xml:space="preserve"> </w:t>
            </w:r>
            <w:r>
              <w:rPr>
                <w:sz w:val="20"/>
                <w:szCs w:val="20"/>
              </w:rPr>
              <w:t xml:space="preserve">jeweiligen </w:t>
            </w:r>
            <w:r w:rsidRPr="00BE3728">
              <w:rPr>
                <w:sz w:val="20"/>
                <w:szCs w:val="20"/>
              </w:rPr>
              <w:t xml:space="preserve">Volkes – kumuliert darin, für allgemeines Wohlergehen zu sorgen („it </w:t>
            </w:r>
            <w:proofErr w:type="spellStart"/>
            <w:r w:rsidRPr="00BE3728">
              <w:rPr>
                <w:sz w:val="20"/>
                <w:szCs w:val="20"/>
              </w:rPr>
              <w:t>is</w:t>
            </w:r>
            <w:proofErr w:type="spellEnd"/>
            <w:r w:rsidRPr="00BE3728">
              <w:rPr>
                <w:sz w:val="20"/>
                <w:szCs w:val="20"/>
              </w:rPr>
              <w:t xml:space="preserve"> not </w:t>
            </w:r>
            <w:proofErr w:type="spellStart"/>
            <w:r w:rsidRPr="00BE3728">
              <w:rPr>
                <w:sz w:val="20"/>
                <w:szCs w:val="20"/>
              </w:rPr>
              <w:t>only</w:t>
            </w:r>
            <w:proofErr w:type="spellEnd"/>
            <w:r w:rsidRPr="00BE3728">
              <w:rPr>
                <w:sz w:val="20"/>
                <w:szCs w:val="20"/>
              </w:rPr>
              <w:t xml:space="preserve"> the </w:t>
            </w:r>
            <w:proofErr w:type="spellStart"/>
            <w:r w:rsidRPr="00BE3728">
              <w:rPr>
                <w:sz w:val="20"/>
                <w:szCs w:val="20"/>
              </w:rPr>
              <w:t>right</w:t>
            </w:r>
            <w:proofErr w:type="spellEnd"/>
            <w:r w:rsidRPr="00BE3728">
              <w:rPr>
                <w:sz w:val="20"/>
                <w:szCs w:val="20"/>
              </w:rPr>
              <w:t xml:space="preserve">, but the </w:t>
            </w:r>
            <w:proofErr w:type="spellStart"/>
            <w:r w:rsidRPr="00BE3728">
              <w:rPr>
                <w:sz w:val="20"/>
                <w:szCs w:val="20"/>
              </w:rPr>
              <w:t>bounden</w:t>
            </w:r>
            <w:proofErr w:type="spellEnd"/>
            <w:r w:rsidRPr="00BE3728">
              <w:rPr>
                <w:sz w:val="20"/>
                <w:szCs w:val="20"/>
              </w:rPr>
              <w:t xml:space="preserve"> and </w:t>
            </w:r>
            <w:proofErr w:type="spellStart"/>
            <w:r w:rsidRPr="00BE3728">
              <w:rPr>
                <w:sz w:val="20"/>
                <w:szCs w:val="20"/>
              </w:rPr>
              <w:t>solemn</w:t>
            </w:r>
            <w:proofErr w:type="spellEnd"/>
            <w:r w:rsidRPr="00BE3728">
              <w:rPr>
                <w:sz w:val="20"/>
                <w:szCs w:val="20"/>
              </w:rPr>
              <w:t xml:space="preserve"> </w:t>
            </w:r>
            <w:proofErr w:type="spellStart"/>
            <w:r w:rsidRPr="00BE3728">
              <w:rPr>
                <w:sz w:val="20"/>
                <w:szCs w:val="20"/>
              </w:rPr>
              <w:t>duty</w:t>
            </w:r>
            <w:proofErr w:type="spellEnd"/>
            <w:r w:rsidRPr="00BE3728">
              <w:rPr>
                <w:sz w:val="20"/>
                <w:szCs w:val="20"/>
              </w:rPr>
              <w:t xml:space="preserve"> of a </w:t>
            </w:r>
            <w:proofErr w:type="spellStart"/>
            <w:r w:rsidRPr="00BE3728">
              <w:rPr>
                <w:sz w:val="20"/>
                <w:szCs w:val="20"/>
              </w:rPr>
              <w:t>state</w:t>
            </w:r>
            <w:proofErr w:type="spellEnd"/>
            <w:r w:rsidRPr="00BE3728">
              <w:rPr>
                <w:sz w:val="20"/>
                <w:szCs w:val="20"/>
              </w:rPr>
              <w:t xml:space="preserve">, to </w:t>
            </w:r>
            <w:proofErr w:type="spellStart"/>
            <w:r w:rsidRPr="00BE3728">
              <w:rPr>
                <w:sz w:val="20"/>
                <w:szCs w:val="20"/>
              </w:rPr>
              <w:t>advance</w:t>
            </w:r>
            <w:proofErr w:type="spellEnd"/>
            <w:r w:rsidRPr="00BE3728">
              <w:rPr>
                <w:sz w:val="20"/>
                <w:szCs w:val="20"/>
              </w:rPr>
              <w:t xml:space="preserve"> the </w:t>
            </w:r>
            <w:proofErr w:type="spellStart"/>
            <w:r w:rsidRPr="00BE3728">
              <w:rPr>
                <w:sz w:val="20"/>
                <w:szCs w:val="20"/>
              </w:rPr>
              <w:t>safety</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w:t>
            </w:r>
            <w:proofErr w:type="spellStart"/>
            <w:r w:rsidRPr="00BE3728">
              <w:rPr>
                <w:sz w:val="20"/>
                <w:szCs w:val="20"/>
              </w:rPr>
              <w:t>its</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427"/>
            </w:r>
            <w:r w:rsidRPr="00BE3728">
              <w:rPr>
                <w:sz w:val="20"/>
                <w:szCs w:val="20"/>
              </w:rPr>
              <w:t>). Diese drei Ziele soll</w:t>
            </w:r>
            <w:r>
              <w:rPr>
                <w:sz w:val="20"/>
                <w:szCs w:val="20"/>
              </w:rPr>
              <w:t>e</w:t>
            </w:r>
            <w:r w:rsidRPr="00BE3728">
              <w:rPr>
                <w:sz w:val="20"/>
                <w:szCs w:val="20"/>
              </w:rPr>
              <w:t xml:space="preserve"> jeder Akt der Gesetzgebung miteinander vereinbaren. Mit der Jurisdiktion zusammenhängende, ausschließliche Kompetenz des Bundesstaats sei es, die kommunalen Angelegenheiten zu regeln. Diese sichere zugleich die Polizeigewalt ab.</w:t>
            </w:r>
            <w:r w:rsidRPr="00BE3728">
              <w:rPr>
                <w:rStyle w:val="Funotenzeichen"/>
                <w:sz w:val="20"/>
                <w:szCs w:val="20"/>
              </w:rPr>
              <w:footnoteReference w:id="428"/>
            </w:r>
          </w:p>
          <w:p w14:paraId="477D71E3" w14:textId="77777777" w:rsidR="00074551" w:rsidRPr="00E50B51" w:rsidRDefault="00074551" w:rsidP="00367133">
            <w:pPr>
              <w:jc w:val="both"/>
              <w:rPr>
                <w:sz w:val="20"/>
                <w:szCs w:val="20"/>
              </w:rPr>
            </w:pPr>
          </w:p>
        </w:tc>
      </w:tr>
      <w:tr w:rsidR="00074551" w:rsidRPr="00E50B51" w14:paraId="24046DD7" w14:textId="77777777" w:rsidTr="00BE689F">
        <w:trPr>
          <w:cantSplit/>
          <w:trHeight w:val="3175"/>
        </w:trPr>
        <w:tc>
          <w:tcPr>
            <w:tcW w:w="293" w:type="pct"/>
          </w:tcPr>
          <w:p w14:paraId="7BEFAD29"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34D30165" w14:textId="77777777" w:rsidR="00074551" w:rsidRPr="00E50B51" w:rsidRDefault="00074551" w:rsidP="00367133">
            <w:pPr>
              <w:ind w:left="113" w:right="113"/>
              <w:jc w:val="both"/>
              <w:rPr>
                <w:sz w:val="20"/>
                <w:szCs w:val="20"/>
                <w:lang w:val="en-US"/>
              </w:rPr>
            </w:pPr>
            <w:r w:rsidRPr="00584023">
              <w:rPr>
                <w:i/>
                <w:sz w:val="20"/>
                <w:szCs w:val="20"/>
              </w:rPr>
              <w:t xml:space="preserve">In </w:t>
            </w:r>
            <w:proofErr w:type="spellStart"/>
            <w:r w:rsidRPr="00584023">
              <w:rPr>
                <w:i/>
                <w:sz w:val="20"/>
                <w:szCs w:val="20"/>
              </w:rPr>
              <w:t>re</w:t>
            </w:r>
            <w:proofErr w:type="spellEnd"/>
            <w:r w:rsidRPr="00584023">
              <w:rPr>
                <w:i/>
                <w:sz w:val="20"/>
                <w:szCs w:val="20"/>
              </w:rPr>
              <w:t xml:space="preserve"> Coy</w:t>
            </w:r>
          </w:p>
        </w:tc>
        <w:tc>
          <w:tcPr>
            <w:tcW w:w="197" w:type="pct"/>
            <w:textDirection w:val="tbRl"/>
            <w:vAlign w:val="center"/>
          </w:tcPr>
          <w:p w14:paraId="1DE95124" w14:textId="77777777" w:rsidR="00074551" w:rsidRPr="00E50B51" w:rsidRDefault="00074551" w:rsidP="00367133">
            <w:pPr>
              <w:ind w:left="113" w:right="113"/>
              <w:jc w:val="both"/>
              <w:rPr>
                <w:sz w:val="20"/>
                <w:szCs w:val="20"/>
                <w:lang w:val="en-US"/>
              </w:rPr>
            </w:pPr>
            <w:r w:rsidRPr="00BE3728">
              <w:rPr>
                <w:sz w:val="20"/>
                <w:szCs w:val="20"/>
              </w:rPr>
              <w:t>127 U.S. 731</w:t>
            </w:r>
          </w:p>
        </w:tc>
        <w:tc>
          <w:tcPr>
            <w:tcW w:w="306" w:type="pct"/>
            <w:textDirection w:val="tbRl"/>
            <w:vAlign w:val="center"/>
          </w:tcPr>
          <w:p w14:paraId="1ADA9691" w14:textId="77777777" w:rsidR="00074551" w:rsidRPr="00E50B51" w:rsidRDefault="00074551" w:rsidP="00367133">
            <w:pPr>
              <w:ind w:left="113" w:right="113"/>
              <w:jc w:val="both"/>
              <w:rPr>
                <w:sz w:val="20"/>
                <w:szCs w:val="20"/>
              </w:rPr>
            </w:pPr>
            <w:r w:rsidRPr="00BE3728">
              <w:rPr>
                <w:sz w:val="20"/>
                <w:szCs w:val="20"/>
              </w:rPr>
              <w:t>14. Mai 1888</w:t>
            </w:r>
          </w:p>
        </w:tc>
        <w:tc>
          <w:tcPr>
            <w:tcW w:w="401" w:type="pct"/>
          </w:tcPr>
          <w:p w14:paraId="4ECEECE6" w14:textId="77777777" w:rsidR="00074551" w:rsidRPr="00E50B51" w:rsidRDefault="00074551" w:rsidP="00367133">
            <w:pPr>
              <w:jc w:val="center"/>
              <w:rPr>
                <w:sz w:val="20"/>
                <w:szCs w:val="20"/>
              </w:rPr>
            </w:pPr>
            <w:r w:rsidRPr="00BE3728">
              <w:rPr>
                <w:sz w:val="20"/>
                <w:szCs w:val="20"/>
                <w:lang w:val="en-US"/>
              </w:rPr>
              <w:t>D</w:t>
            </w:r>
          </w:p>
        </w:tc>
        <w:tc>
          <w:tcPr>
            <w:tcW w:w="1594" w:type="pct"/>
          </w:tcPr>
          <w:p w14:paraId="7363248B" w14:textId="73ACF773" w:rsidR="00074551" w:rsidRPr="00E50B51" w:rsidRDefault="007975B6" w:rsidP="00367133">
            <w:pPr>
              <w:jc w:val="both"/>
              <w:rPr>
                <w:sz w:val="20"/>
                <w:szCs w:val="20"/>
              </w:rPr>
            </w:pPr>
            <w:r w:rsidRPr="007975B6">
              <w:rPr>
                <w:sz w:val="20"/>
                <w:szCs w:val="20"/>
              </w:rPr>
              <w:t xml:space="preserve">Der Bundes-Marshal und der bundesstaatliche Sheriff hielten als Beklagte gemeinsam die Wahlinspektoren als Antragsteller in </w:t>
            </w:r>
            <w:proofErr w:type="spellStart"/>
            <w:r w:rsidRPr="007975B6">
              <w:rPr>
                <w:sz w:val="20"/>
                <w:szCs w:val="20"/>
              </w:rPr>
              <w:t>Gewahrsam.</w:t>
            </w:r>
            <w:r w:rsidR="00074551" w:rsidRPr="00BE3728">
              <w:rPr>
                <w:sz w:val="20"/>
                <w:szCs w:val="20"/>
              </w:rPr>
              <w:t>Die</w:t>
            </w:r>
            <w:proofErr w:type="spellEnd"/>
            <w:r w:rsidR="00074551" w:rsidRPr="00BE3728">
              <w:rPr>
                <w:sz w:val="20"/>
                <w:szCs w:val="20"/>
              </w:rPr>
              <w:t xml:space="preserve"> Inspektoren meinten, ihre Freiheit sei unangemessen eingeschränkt. Denn die auf den Gewahrsam folgende Anklage stelle keine Straftaten gegen die Vereinigten Staaten dar. Die angeklagten Verbrechen richteten sich allenfalls gegen den Bundesstaat. Daher wäre der </w:t>
            </w:r>
            <w:proofErr w:type="spellStart"/>
            <w:r w:rsidR="00074551" w:rsidRPr="003D4947">
              <w:rPr>
                <w:i/>
                <w:sz w:val="20"/>
                <w:szCs w:val="20"/>
              </w:rPr>
              <w:t>District</w:t>
            </w:r>
            <w:proofErr w:type="spellEnd"/>
            <w:r w:rsidR="00074551" w:rsidRPr="003D4947">
              <w:rPr>
                <w:i/>
                <w:sz w:val="20"/>
                <w:szCs w:val="20"/>
              </w:rPr>
              <w:t xml:space="preserve"> Court</w:t>
            </w:r>
            <w:r w:rsidR="00074551" w:rsidRPr="00BE3728">
              <w:rPr>
                <w:sz w:val="20"/>
                <w:szCs w:val="20"/>
              </w:rPr>
              <w:t xml:space="preserve"> unzuständig. Die unteren Instanzen wie auch der </w:t>
            </w:r>
            <w:r w:rsidR="00074551">
              <w:rPr>
                <w:sz w:val="20"/>
                <w:szCs w:val="20"/>
              </w:rPr>
              <w:t>U.S. Supreme Court</w:t>
            </w:r>
            <w:r w:rsidR="00074551" w:rsidRPr="00BE3728">
              <w:rPr>
                <w:sz w:val="20"/>
                <w:szCs w:val="20"/>
              </w:rPr>
              <w:t xml:space="preserve"> befanden indes, die Wahlinspektoren </w:t>
            </w:r>
            <w:r w:rsidR="00074551">
              <w:rPr>
                <w:sz w:val="20"/>
                <w:szCs w:val="20"/>
              </w:rPr>
              <w:t>hätten</w:t>
            </w:r>
            <w:r w:rsidR="00074551" w:rsidRPr="00BE3728">
              <w:rPr>
                <w:sz w:val="20"/>
                <w:szCs w:val="20"/>
              </w:rPr>
              <w:t xml:space="preserve"> nicht nur</w:t>
            </w:r>
            <w:r w:rsidR="00074551">
              <w:rPr>
                <w:sz w:val="20"/>
                <w:szCs w:val="20"/>
              </w:rPr>
              <w:t xml:space="preserve"> versäumt</w:t>
            </w:r>
            <w:r w:rsidR="00074551" w:rsidRPr="00BE3728">
              <w:rPr>
                <w:sz w:val="20"/>
                <w:szCs w:val="20"/>
              </w:rPr>
              <w:t xml:space="preserve">, beglaubigte Wählerlisten mit der Richterunterschrift bis zur Übergabe an den Wahlprüfungsausschuss aufzubewahren. Sie </w:t>
            </w:r>
            <w:r w:rsidR="00074551">
              <w:rPr>
                <w:sz w:val="20"/>
                <w:szCs w:val="20"/>
              </w:rPr>
              <w:t xml:space="preserve">hätten </w:t>
            </w:r>
            <w:r w:rsidR="00074551" w:rsidRPr="00BE3728">
              <w:rPr>
                <w:sz w:val="20"/>
                <w:szCs w:val="20"/>
              </w:rPr>
              <w:t>die Wahlunterlagen sogar</w:t>
            </w:r>
            <w:r w:rsidR="00074551">
              <w:rPr>
                <w:sz w:val="20"/>
                <w:szCs w:val="20"/>
              </w:rPr>
              <w:t xml:space="preserve"> ge</w:t>
            </w:r>
            <w:r w:rsidR="00074551" w:rsidRPr="00BE3728">
              <w:rPr>
                <w:sz w:val="20"/>
                <w:szCs w:val="20"/>
              </w:rPr>
              <w:t xml:space="preserve">öffnet, untersucht und </w:t>
            </w:r>
            <w:r w:rsidR="00074551">
              <w:rPr>
                <w:sz w:val="20"/>
                <w:szCs w:val="20"/>
              </w:rPr>
              <w:t>ge</w:t>
            </w:r>
            <w:r w:rsidR="00074551" w:rsidRPr="00BE3728">
              <w:rPr>
                <w:sz w:val="20"/>
                <w:szCs w:val="20"/>
              </w:rPr>
              <w:t xml:space="preserve">fälscht. Das widersprach </w:t>
            </w:r>
            <w:bookmarkStart w:id="29" w:name="_Hlk230006255"/>
            <w:r w:rsidR="00074551" w:rsidRPr="00BE3728">
              <w:rPr>
                <w:sz w:val="20"/>
                <w:szCs w:val="20"/>
              </w:rPr>
              <w:t>Rev. Stat. §</w:t>
            </w:r>
            <w:r w:rsidR="00074551">
              <w:rPr>
                <w:sz w:val="20"/>
                <w:szCs w:val="20"/>
              </w:rPr>
              <w:t>§ </w:t>
            </w:r>
            <w:r w:rsidR="00074551" w:rsidRPr="00BE3728">
              <w:rPr>
                <w:sz w:val="20"/>
                <w:szCs w:val="20"/>
              </w:rPr>
              <w:t>5440</w:t>
            </w:r>
            <w:r w:rsidR="00074551">
              <w:rPr>
                <w:sz w:val="20"/>
                <w:szCs w:val="20"/>
              </w:rPr>
              <w:t>,</w:t>
            </w:r>
            <w:r w:rsidR="00074551" w:rsidRPr="00BE3728">
              <w:rPr>
                <w:rStyle w:val="Funotenzeichen"/>
                <w:sz w:val="20"/>
                <w:szCs w:val="20"/>
              </w:rPr>
              <w:footnoteReference w:id="429"/>
            </w:r>
            <w:r w:rsidR="00074551" w:rsidRPr="00BE3728">
              <w:rPr>
                <w:sz w:val="20"/>
                <w:szCs w:val="20"/>
              </w:rPr>
              <w:t xml:space="preserve"> 5441, 5512</w:t>
            </w:r>
            <w:r w:rsidR="00074551">
              <w:rPr>
                <w:sz w:val="20"/>
                <w:szCs w:val="20"/>
              </w:rPr>
              <w:t>,</w:t>
            </w:r>
            <w:r w:rsidR="00074551" w:rsidRPr="00BE3728">
              <w:rPr>
                <w:rStyle w:val="Funotenzeichen"/>
                <w:sz w:val="20"/>
                <w:szCs w:val="20"/>
              </w:rPr>
              <w:footnoteReference w:id="430"/>
            </w:r>
            <w:r w:rsidR="00074551" w:rsidRPr="00BE3728">
              <w:rPr>
                <w:sz w:val="20"/>
                <w:szCs w:val="20"/>
              </w:rPr>
              <w:t xml:space="preserve"> 5515</w:t>
            </w:r>
            <w:r w:rsidR="00074551" w:rsidRPr="00BE3728">
              <w:rPr>
                <w:rStyle w:val="Funotenzeichen"/>
                <w:sz w:val="20"/>
                <w:szCs w:val="20"/>
              </w:rPr>
              <w:footnoteReference w:id="431"/>
            </w:r>
            <w:r w:rsidR="00074551" w:rsidRPr="00BE3728">
              <w:rPr>
                <w:sz w:val="20"/>
                <w:szCs w:val="20"/>
              </w:rPr>
              <w:t xml:space="preserve"> und </w:t>
            </w:r>
            <w:proofErr w:type="spellStart"/>
            <w:r w:rsidR="00074551" w:rsidRPr="00BE3728">
              <w:rPr>
                <w:sz w:val="20"/>
                <w:szCs w:val="20"/>
              </w:rPr>
              <w:t>Ind</w:t>
            </w:r>
            <w:proofErr w:type="spellEnd"/>
            <w:r w:rsidR="00074551" w:rsidRPr="00BE3728">
              <w:rPr>
                <w:sz w:val="20"/>
                <w:szCs w:val="20"/>
              </w:rPr>
              <w:t>. Code §</w:t>
            </w:r>
            <w:r w:rsidR="00074551">
              <w:rPr>
                <w:sz w:val="20"/>
                <w:szCs w:val="20"/>
              </w:rPr>
              <w:t>§ </w:t>
            </w:r>
            <w:r w:rsidR="00074551" w:rsidRPr="00BE3728">
              <w:rPr>
                <w:sz w:val="20"/>
                <w:szCs w:val="20"/>
              </w:rPr>
              <w:t>4712</w:t>
            </w:r>
            <w:r w:rsidR="00074551">
              <w:rPr>
                <w:sz w:val="20"/>
                <w:szCs w:val="20"/>
              </w:rPr>
              <w:t>–</w:t>
            </w:r>
            <w:r w:rsidR="00074551" w:rsidRPr="00BE3728">
              <w:rPr>
                <w:sz w:val="20"/>
                <w:szCs w:val="20"/>
              </w:rPr>
              <w:t>4716</w:t>
            </w:r>
            <w:r w:rsidR="00074551">
              <w:rPr>
                <w:sz w:val="20"/>
                <w:szCs w:val="20"/>
              </w:rPr>
              <w:t>.</w:t>
            </w:r>
            <w:bookmarkEnd w:id="29"/>
            <w:r w:rsidR="00074551" w:rsidRPr="00BE3728">
              <w:rPr>
                <w:rStyle w:val="Funotenzeichen"/>
                <w:sz w:val="20"/>
                <w:szCs w:val="20"/>
              </w:rPr>
              <w:footnoteReference w:id="432"/>
            </w:r>
            <w:r w:rsidR="00074551" w:rsidRPr="00BE3728">
              <w:rPr>
                <w:sz w:val="20"/>
                <w:szCs w:val="20"/>
              </w:rPr>
              <w:t xml:space="preserve"> </w:t>
            </w:r>
            <w:proofErr w:type="gramStart"/>
            <w:r w:rsidR="00074551" w:rsidRPr="00BE3728">
              <w:rPr>
                <w:sz w:val="20"/>
                <w:szCs w:val="20"/>
              </w:rPr>
              <w:t>Unerheblich</w:t>
            </w:r>
            <w:proofErr w:type="gramEnd"/>
            <w:r w:rsidR="00074551" w:rsidRPr="00BE3728">
              <w:rPr>
                <w:sz w:val="20"/>
                <w:szCs w:val="20"/>
              </w:rPr>
              <w:t xml:space="preserve"> sei, dass der Bundesstaat die Wahlinspektoren ernannt</w:t>
            </w:r>
            <w:r w:rsidR="00074551">
              <w:rPr>
                <w:sz w:val="20"/>
                <w:szCs w:val="20"/>
              </w:rPr>
              <w:t xml:space="preserve"> hatte</w:t>
            </w:r>
            <w:r w:rsidR="00074551" w:rsidRPr="00BE3728">
              <w:rPr>
                <w:sz w:val="20"/>
                <w:szCs w:val="20"/>
              </w:rPr>
              <w:t>. Denn sie beaufsichtigten Wahlen für den Kongress</w:t>
            </w:r>
            <w:r w:rsidR="00074551">
              <w:rPr>
                <w:sz w:val="20"/>
                <w:szCs w:val="20"/>
              </w:rPr>
              <w:t>; d</w:t>
            </w:r>
            <w:r w:rsidR="00074551" w:rsidRPr="00BE3728">
              <w:rPr>
                <w:sz w:val="20"/>
                <w:szCs w:val="20"/>
              </w:rPr>
              <w:t>amit fielen sie in die Kompetenz der Vereinigten Staaten. In der</w:t>
            </w:r>
            <w:r w:rsidR="00074551">
              <w:rPr>
                <w:sz w:val="20"/>
                <w:szCs w:val="20"/>
              </w:rPr>
              <w:t>en</w:t>
            </w:r>
            <w:r w:rsidR="00074551" w:rsidRPr="00BE3728">
              <w:rPr>
                <w:sz w:val="20"/>
                <w:szCs w:val="20"/>
              </w:rPr>
              <w:t xml:space="preserve"> Zuständigkeit lag auch die Bestrafung. Zudem habe das Bezirksgericht die Zuständigkeit für Straftaten. Dort l</w:t>
            </w:r>
            <w:r w:rsidR="00074551">
              <w:rPr>
                <w:sz w:val="20"/>
                <w:szCs w:val="20"/>
              </w:rPr>
              <w:t>ä</w:t>
            </w:r>
            <w:r w:rsidR="00074551" w:rsidRPr="00BE3728">
              <w:rPr>
                <w:sz w:val="20"/>
                <w:szCs w:val="20"/>
              </w:rPr>
              <w:t>gen Verstöße gegen staatliche und bundesstaatliche Wahlgesetze vor.</w:t>
            </w:r>
            <w:r w:rsidR="00074551" w:rsidRPr="00BE3728">
              <w:rPr>
                <w:rStyle w:val="Funotenzeichen"/>
                <w:sz w:val="20"/>
                <w:szCs w:val="20"/>
              </w:rPr>
              <w:footnoteReference w:id="433"/>
            </w:r>
          </w:p>
        </w:tc>
        <w:tc>
          <w:tcPr>
            <w:tcW w:w="1822" w:type="pct"/>
          </w:tcPr>
          <w:p w14:paraId="3D7DE567" w14:textId="77777777" w:rsidR="00074551" w:rsidRPr="00B45592" w:rsidRDefault="00074551" w:rsidP="00367133">
            <w:pPr>
              <w:jc w:val="both"/>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Governments › Federal Government › Elections</w:t>
            </w:r>
          </w:p>
          <w:p w14:paraId="21D67277" w14:textId="77777777" w:rsidR="00074551" w:rsidRPr="00B45592" w:rsidRDefault="00074551" w:rsidP="00367133">
            <w:pPr>
              <w:jc w:val="both"/>
              <w:rPr>
                <w:sz w:val="20"/>
                <w:szCs w:val="20"/>
                <w:lang w:val="en-IE"/>
              </w:rPr>
            </w:pPr>
          </w:p>
          <w:p w14:paraId="3AF21519" w14:textId="3D7EB6A9" w:rsidR="00074551" w:rsidRPr="00BE3728" w:rsidRDefault="00074551" w:rsidP="00367133">
            <w:pPr>
              <w:jc w:val="both"/>
              <w:rPr>
                <w:sz w:val="20"/>
                <w:szCs w:val="20"/>
              </w:rPr>
            </w:pPr>
            <w:r w:rsidRPr="00BE3728">
              <w:rPr>
                <w:sz w:val="20"/>
                <w:szCs w:val="20"/>
              </w:rPr>
              <w:t>Die Statuten der Vereinigten Staaten, die einen Betrug regel</w:t>
            </w:r>
            <w:r>
              <w:rPr>
                <w:sz w:val="20"/>
                <w:szCs w:val="20"/>
              </w:rPr>
              <w:t>te</w:t>
            </w:r>
            <w:r w:rsidRPr="00BE3728">
              <w:rPr>
                <w:sz w:val="20"/>
                <w:szCs w:val="20"/>
              </w:rPr>
              <w:t>n, ergänze das Bundesrecht zum Schutz der Wahlen der Delegierten, respektive Abgeordneten für den Kongress. Diese</w:t>
            </w:r>
            <w:r w:rsidR="0017623A">
              <w:rPr>
                <w:sz w:val="20"/>
                <w:szCs w:val="20"/>
              </w:rPr>
              <w:t>s</w:t>
            </w:r>
            <w:r w:rsidRPr="00BE3728">
              <w:rPr>
                <w:sz w:val="20"/>
                <w:szCs w:val="20"/>
              </w:rPr>
              <w:t xml:space="preserve"> g</w:t>
            </w:r>
            <w:r w:rsidR="0017623A">
              <w:rPr>
                <w:sz w:val="20"/>
                <w:szCs w:val="20"/>
              </w:rPr>
              <w:t>ehe</w:t>
            </w:r>
            <w:r w:rsidRPr="00BE3728">
              <w:rPr>
                <w:sz w:val="20"/>
                <w:szCs w:val="20"/>
              </w:rPr>
              <w:t xml:space="preserve"> den Statuten der Vereinigten Staaten vor. Beide verl</w:t>
            </w:r>
            <w:r>
              <w:rPr>
                <w:sz w:val="20"/>
                <w:szCs w:val="20"/>
              </w:rPr>
              <w:t>ieh</w:t>
            </w:r>
            <w:r w:rsidRPr="00BE3728">
              <w:rPr>
                <w:sz w:val="20"/>
                <w:szCs w:val="20"/>
              </w:rPr>
              <w:t>en miteinander die Kompetenz, einen Betrug auch vor den Bundesgerichten zu bestrafen.</w:t>
            </w:r>
            <w:r w:rsidRPr="00BE3728">
              <w:rPr>
                <w:rStyle w:val="Funotenzeichen"/>
                <w:sz w:val="20"/>
                <w:szCs w:val="20"/>
              </w:rPr>
              <w:footnoteReference w:id="434"/>
            </w:r>
          </w:p>
          <w:p w14:paraId="74204010" w14:textId="77777777" w:rsidR="00074551" w:rsidRDefault="00074551" w:rsidP="00367133">
            <w:pPr>
              <w:jc w:val="both"/>
              <w:rPr>
                <w:sz w:val="20"/>
                <w:szCs w:val="20"/>
              </w:rPr>
            </w:pPr>
          </w:p>
          <w:p w14:paraId="144699CE" w14:textId="77777777" w:rsidR="00074551" w:rsidRDefault="00074551" w:rsidP="00367133">
            <w:pPr>
              <w:jc w:val="both"/>
              <w:rPr>
                <w:sz w:val="20"/>
                <w:szCs w:val="20"/>
              </w:rPr>
            </w:pPr>
            <w:r w:rsidRPr="00BE3728">
              <w:rPr>
                <w:sz w:val="20"/>
                <w:szCs w:val="20"/>
              </w:rPr>
              <w:t xml:space="preserve">Der Dissens spricht sich im Fall gegen die Zuständigkeit des </w:t>
            </w:r>
            <w:r>
              <w:rPr>
                <w:sz w:val="20"/>
                <w:szCs w:val="20"/>
              </w:rPr>
              <w:t>U.S. Supreme Court</w:t>
            </w:r>
            <w:r w:rsidRPr="00BE3728">
              <w:rPr>
                <w:sz w:val="20"/>
                <w:szCs w:val="20"/>
              </w:rPr>
              <w:t xml:space="preserve"> und der Bundesgerichte aus. Soweit ein Betrug bei bundesstaatlichen Wahlen für bundesstaatliche Amtsträger </w:t>
            </w:r>
            <w:r>
              <w:rPr>
                <w:sz w:val="20"/>
                <w:szCs w:val="20"/>
              </w:rPr>
              <w:t>stattgefunden habe</w:t>
            </w:r>
            <w:r w:rsidRPr="00BE3728">
              <w:rPr>
                <w:sz w:val="20"/>
                <w:szCs w:val="20"/>
              </w:rPr>
              <w:t xml:space="preserve">, </w:t>
            </w:r>
            <w:r>
              <w:rPr>
                <w:sz w:val="20"/>
                <w:szCs w:val="20"/>
              </w:rPr>
              <w:t>sah</w:t>
            </w:r>
            <w:r w:rsidRPr="00BE3728">
              <w:rPr>
                <w:sz w:val="20"/>
                <w:szCs w:val="20"/>
              </w:rPr>
              <w:t xml:space="preserve"> die abweichende Meinung keinen Grund, warum Betrug auf Bundesebene verurteilt bzw. die strafrechtliche Verurteilung den Bundesgerichten übertragen werden solle. Die Bundesstaaten bedürf</w:t>
            </w:r>
            <w:r>
              <w:rPr>
                <w:sz w:val="20"/>
                <w:szCs w:val="20"/>
              </w:rPr>
              <w:t>t</w:t>
            </w:r>
            <w:r w:rsidRPr="00BE3728">
              <w:rPr>
                <w:sz w:val="20"/>
                <w:szCs w:val="20"/>
              </w:rPr>
              <w:t xml:space="preserve">en hier </w:t>
            </w:r>
            <w:r>
              <w:rPr>
                <w:sz w:val="20"/>
                <w:szCs w:val="20"/>
              </w:rPr>
              <w:t>nicht mehr des</w:t>
            </w:r>
            <w:r w:rsidRPr="00BE3728">
              <w:rPr>
                <w:sz w:val="20"/>
                <w:szCs w:val="20"/>
              </w:rPr>
              <w:t xml:space="preserve"> Schutz</w:t>
            </w:r>
            <w:r>
              <w:rPr>
                <w:sz w:val="20"/>
                <w:szCs w:val="20"/>
              </w:rPr>
              <w:t>es</w:t>
            </w:r>
            <w:r w:rsidRPr="00BE3728">
              <w:rPr>
                <w:sz w:val="20"/>
                <w:szCs w:val="20"/>
              </w:rPr>
              <w:t xml:space="preserve"> </w:t>
            </w:r>
            <w:r>
              <w:rPr>
                <w:sz w:val="20"/>
                <w:szCs w:val="20"/>
              </w:rPr>
              <w:t>durch den</w:t>
            </w:r>
            <w:r w:rsidRPr="00BE3728">
              <w:rPr>
                <w:sz w:val="20"/>
                <w:szCs w:val="20"/>
              </w:rPr>
              <w:t xml:space="preserve"> Bund</w:t>
            </w:r>
            <w:r>
              <w:rPr>
                <w:sz w:val="20"/>
                <w:szCs w:val="20"/>
              </w:rPr>
              <w:t>,</w:t>
            </w:r>
            <w:r w:rsidRPr="00BE3728">
              <w:rPr>
                <w:sz w:val="20"/>
                <w:szCs w:val="20"/>
              </w:rPr>
              <w:t xml:space="preserve"> als dies in anderen Angelegenheiten der Fall sei. </w:t>
            </w:r>
            <w:r>
              <w:rPr>
                <w:sz w:val="20"/>
                <w:szCs w:val="20"/>
              </w:rPr>
              <w:t>W</w:t>
            </w:r>
            <w:r w:rsidRPr="00BE3728">
              <w:rPr>
                <w:sz w:val="20"/>
                <w:szCs w:val="20"/>
              </w:rPr>
              <w:t xml:space="preserve">arum? Die Bundesstaaten </w:t>
            </w:r>
            <w:r>
              <w:rPr>
                <w:sz w:val="20"/>
                <w:szCs w:val="20"/>
              </w:rPr>
              <w:t>hätten</w:t>
            </w:r>
            <w:r w:rsidRPr="00BE3728">
              <w:rPr>
                <w:sz w:val="20"/>
                <w:szCs w:val="20"/>
              </w:rPr>
              <w:t xml:space="preserve"> die Kompetenz, innenpolitischen Angelegenheiten zu regeln, die für den Wohlstand und das Glück ihres Volkes von höchster Bedeutung sei</w:t>
            </w:r>
            <w:r>
              <w:rPr>
                <w:sz w:val="20"/>
                <w:szCs w:val="20"/>
              </w:rPr>
              <w:t>en</w:t>
            </w:r>
            <w:r w:rsidRPr="00BE3728">
              <w:rPr>
                <w:sz w:val="20"/>
                <w:szCs w:val="20"/>
              </w:rPr>
              <w:t xml:space="preserve"> („</w:t>
            </w:r>
            <w:proofErr w:type="spellStart"/>
            <w:r w:rsidRPr="00BE3728">
              <w:rPr>
                <w:sz w:val="20"/>
                <w:szCs w:val="20"/>
              </w:rPr>
              <w:t>with</w:t>
            </w:r>
            <w:proofErr w:type="spellEnd"/>
            <w:r w:rsidRPr="00BE3728">
              <w:rPr>
                <w:sz w:val="20"/>
                <w:szCs w:val="20"/>
              </w:rPr>
              <w:t xml:space="preserve"> the </w:t>
            </w:r>
            <w:proofErr w:type="spellStart"/>
            <w:r w:rsidRPr="00BE3728">
              <w:rPr>
                <w:sz w:val="20"/>
                <w:szCs w:val="20"/>
              </w:rPr>
              <w:t>sole</w:t>
            </w:r>
            <w:proofErr w:type="spellEnd"/>
            <w:r w:rsidRPr="00BE3728">
              <w:rPr>
                <w:sz w:val="20"/>
                <w:szCs w:val="20"/>
              </w:rPr>
              <w:t xml:space="preserve"> power to </w:t>
            </w:r>
            <w:proofErr w:type="spellStart"/>
            <w:r w:rsidRPr="00BE3728">
              <w:rPr>
                <w:sz w:val="20"/>
                <w:szCs w:val="20"/>
              </w:rPr>
              <w:t>regulate</w:t>
            </w:r>
            <w:proofErr w:type="spellEnd"/>
            <w:r w:rsidRPr="00BE3728">
              <w:rPr>
                <w:sz w:val="20"/>
                <w:szCs w:val="20"/>
              </w:rPr>
              <w:t xml:space="preserve"> </w:t>
            </w:r>
            <w:proofErr w:type="spellStart"/>
            <w:r w:rsidRPr="00BE3728">
              <w:rPr>
                <w:sz w:val="20"/>
                <w:szCs w:val="20"/>
              </w:rPr>
              <w:t>domestic</w:t>
            </w:r>
            <w:proofErr w:type="spellEnd"/>
            <w:r w:rsidRPr="00BE3728">
              <w:rPr>
                <w:sz w:val="20"/>
                <w:szCs w:val="20"/>
              </w:rPr>
              <w:t xml:space="preserve"> </w:t>
            </w:r>
            <w:proofErr w:type="spellStart"/>
            <w:r w:rsidRPr="00BE3728">
              <w:rPr>
                <w:sz w:val="20"/>
                <w:szCs w:val="20"/>
              </w:rPr>
              <w:t>affairs</w:t>
            </w:r>
            <w:proofErr w:type="spellEnd"/>
            <w:r w:rsidRPr="00BE3728">
              <w:rPr>
                <w:sz w:val="20"/>
                <w:szCs w:val="20"/>
              </w:rPr>
              <w:t xml:space="preserve"> of the </w:t>
            </w:r>
            <w:proofErr w:type="spellStart"/>
            <w:r w:rsidRPr="00BE3728">
              <w:rPr>
                <w:sz w:val="20"/>
                <w:szCs w:val="20"/>
              </w:rPr>
              <w:t>highest</w:t>
            </w:r>
            <w:proofErr w:type="spellEnd"/>
            <w:r w:rsidRPr="00BE3728">
              <w:rPr>
                <w:sz w:val="20"/>
                <w:szCs w:val="20"/>
              </w:rPr>
              <w:t xml:space="preserve"> </w:t>
            </w:r>
            <w:proofErr w:type="spellStart"/>
            <w:r w:rsidRPr="00BE3728">
              <w:rPr>
                <w:sz w:val="20"/>
                <w:szCs w:val="20"/>
              </w:rPr>
              <w:t>moment</w:t>
            </w:r>
            <w:proofErr w:type="spellEnd"/>
            <w:r w:rsidRPr="00BE3728">
              <w:rPr>
                <w:sz w:val="20"/>
                <w:szCs w:val="20"/>
              </w:rPr>
              <w:t xml:space="preserve"> to the </w:t>
            </w:r>
            <w:proofErr w:type="spellStart"/>
            <w:r w:rsidRPr="00BE3728">
              <w:rPr>
                <w:sz w:val="20"/>
                <w:szCs w:val="20"/>
              </w:rPr>
              <w:t>prosperity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435"/>
            </w:r>
            <w:r w:rsidRPr="00BE3728">
              <w:rPr>
                <w:sz w:val="20"/>
                <w:szCs w:val="20"/>
              </w:rPr>
              <w:t xml:space="preserve">). Darunter falle </w:t>
            </w:r>
            <w:r>
              <w:rPr>
                <w:sz w:val="20"/>
                <w:szCs w:val="20"/>
              </w:rPr>
              <w:t>beispielsweise,</w:t>
            </w:r>
            <w:r w:rsidRPr="00BE3728">
              <w:rPr>
                <w:sz w:val="20"/>
                <w:szCs w:val="20"/>
              </w:rPr>
              <w:t xml:space="preserve"> die Eigentumsfreiheit zu fördern oder die Ehe und die Erziehung von Kindern zu regeln. Wenn Bundesstaaten für solch lebenswichtige Angelegenheiten die Kompetenz </w:t>
            </w:r>
            <w:proofErr w:type="gramStart"/>
            <w:r w:rsidRPr="00BE3728">
              <w:rPr>
                <w:sz w:val="20"/>
                <w:szCs w:val="20"/>
              </w:rPr>
              <w:t>zukomme</w:t>
            </w:r>
            <w:proofErr w:type="gramEnd"/>
            <w:r w:rsidRPr="00BE3728">
              <w:rPr>
                <w:sz w:val="20"/>
                <w:szCs w:val="20"/>
              </w:rPr>
              <w:t>, dann müss</w:t>
            </w:r>
            <w:r>
              <w:rPr>
                <w:sz w:val="20"/>
                <w:szCs w:val="20"/>
              </w:rPr>
              <w:t>ten</w:t>
            </w:r>
            <w:r w:rsidRPr="00BE3728">
              <w:rPr>
                <w:sz w:val="20"/>
                <w:szCs w:val="20"/>
              </w:rPr>
              <w:t xml:space="preserve"> </w:t>
            </w:r>
            <w:r>
              <w:rPr>
                <w:sz w:val="20"/>
                <w:szCs w:val="20"/>
              </w:rPr>
              <w:t>s</w:t>
            </w:r>
            <w:r w:rsidRPr="00BE3728">
              <w:rPr>
                <w:sz w:val="20"/>
                <w:szCs w:val="20"/>
              </w:rPr>
              <w:t>ie erst recht Wahlen in ihren Bundesstaaten ausüben können.</w:t>
            </w:r>
            <w:r w:rsidRPr="00BE3728">
              <w:rPr>
                <w:rStyle w:val="Funotenzeichen"/>
                <w:sz w:val="20"/>
                <w:szCs w:val="20"/>
              </w:rPr>
              <w:footnoteReference w:id="436"/>
            </w:r>
          </w:p>
          <w:p w14:paraId="73872E34" w14:textId="77777777" w:rsidR="00074551" w:rsidRPr="00E50B51" w:rsidRDefault="00074551" w:rsidP="00367133">
            <w:pPr>
              <w:jc w:val="both"/>
              <w:rPr>
                <w:sz w:val="20"/>
                <w:szCs w:val="20"/>
              </w:rPr>
            </w:pPr>
          </w:p>
        </w:tc>
      </w:tr>
      <w:tr w:rsidR="00074551" w:rsidRPr="00E50B51" w14:paraId="6949C7B9" w14:textId="77777777" w:rsidTr="00BE689F">
        <w:trPr>
          <w:cantSplit/>
          <w:trHeight w:val="3175"/>
        </w:trPr>
        <w:tc>
          <w:tcPr>
            <w:tcW w:w="293" w:type="pct"/>
          </w:tcPr>
          <w:p w14:paraId="58F688A0"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04E452D2" w14:textId="77777777" w:rsidR="00074551" w:rsidRPr="00BE3728" w:rsidRDefault="00074551" w:rsidP="00367133">
            <w:pPr>
              <w:jc w:val="center"/>
              <w:rPr>
                <w:sz w:val="20"/>
                <w:szCs w:val="20"/>
              </w:rPr>
            </w:pPr>
            <w:r>
              <w:rPr>
                <w:sz w:val="20"/>
                <w:szCs w:val="20"/>
                <w:lang w:val="en-US"/>
              </w:rPr>
              <w:t>H</w:t>
            </w:r>
          </w:p>
        </w:tc>
        <w:tc>
          <w:tcPr>
            <w:tcW w:w="387" w:type="pct"/>
            <w:textDirection w:val="tbRl"/>
            <w:vAlign w:val="center"/>
          </w:tcPr>
          <w:p w14:paraId="4649FCF5" w14:textId="77777777" w:rsidR="00074551" w:rsidRPr="00B45592" w:rsidRDefault="00074551" w:rsidP="00367133">
            <w:pPr>
              <w:ind w:left="113" w:right="113"/>
              <w:jc w:val="both"/>
              <w:rPr>
                <w:i/>
                <w:sz w:val="20"/>
                <w:szCs w:val="20"/>
              </w:rPr>
            </w:pPr>
            <w:r w:rsidRPr="00B45592">
              <w:rPr>
                <w:i/>
                <w:sz w:val="20"/>
                <w:szCs w:val="20"/>
              </w:rPr>
              <w:t>Hooper v. Cal.</w:t>
            </w:r>
          </w:p>
        </w:tc>
        <w:tc>
          <w:tcPr>
            <w:tcW w:w="197" w:type="pct"/>
            <w:textDirection w:val="tbRl"/>
            <w:vAlign w:val="center"/>
          </w:tcPr>
          <w:p w14:paraId="1F7A2576" w14:textId="77777777" w:rsidR="00074551" w:rsidRPr="00BE3728" w:rsidRDefault="00074551" w:rsidP="00367133">
            <w:pPr>
              <w:ind w:left="113" w:right="113"/>
              <w:jc w:val="both"/>
              <w:rPr>
                <w:sz w:val="20"/>
                <w:szCs w:val="20"/>
              </w:rPr>
            </w:pPr>
            <w:r w:rsidRPr="00257307">
              <w:rPr>
                <w:sz w:val="20"/>
                <w:szCs w:val="20"/>
              </w:rPr>
              <w:t>155 U.S. 648</w:t>
            </w:r>
          </w:p>
        </w:tc>
        <w:tc>
          <w:tcPr>
            <w:tcW w:w="306" w:type="pct"/>
            <w:textDirection w:val="tbRl"/>
            <w:vAlign w:val="center"/>
          </w:tcPr>
          <w:p w14:paraId="2BFBED45" w14:textId="77777777" w:rsidR="00074551" w:rsidRPr="00BE3728" w:rsidRDefault="00074551" w:rsidP="00367133">
            <w:pPr>
              <w:ind w:left="113" w:right="113"/>
              <w:jc w:val="both"/>
              <w:rPr>
                <w:sz w:val="20"/>
                <w:szCs w:val="20"/>
              </w:rPr>
            </w:pPr>
            <w:r>
              <w:rPr>
                <w:sz w:val="20"/>
                <w:szCs w:val="20"/>
                <w:lang w:val="en-US"/>
              </w:rPr>
              <w:t xml:space="preserve">7. </w:t>
            </w:r>
            <w:proofErr w:type="spellStart"/>
            <w:r>
              <w:rPr>
                <w:sz w:val="20"/>
                <w:szCs w:val="20"/>
                <w:lang w:val="en-US"/>
              </w:rPr>
              <w:t>Januar</w:t>
            </w:r>
            <w:proofErr w:type="spellEnd"/>
            <w:r>
              <w:rPr>
                <w:sz w:val="20"/>
                <w:szCs w:val="20"/>
                <w:lang w:val="en-US"/>
              </w:rPr>
              <w:t xml:space="preserve"> 1895</w:t>
            </w:r>
          </w:p>
        </w:tc>
        <w:tc>
          <w:tcPr>
            <w:tcW w:w="401" w:type="pct"/>
          </w:tcPr>
          <w:p w14:paraId="7ACA3BE4" w14:textId="77777777" w:rsidR="00074551" w:rsidRPr="00BE3728" w:rsidRDefault="00074551" w:rsidP="00367133">
            <w:pPr>
              <w:jc w:val="center"/>
              <w:rPr>
                <w:sz w:val="20"/>
                <w:szCs w:val="20"/>
                <w:lang w:val="en-US"/>
              </w:rPr>
            </w:pPr>
            <w:r>
              <w:rPr>
                <w:sz w:val="20"/>
                <w:szCs w:val="20"/>
                <w:lang w:val="en-US"/>
              </w:rPr>
              <w:t>D</w:t>
            </w:r>
          </w:p>
        </w:tc>
        <w:tc>
          <w:tcPr>
            <w:tcW w:w="1594" w:type="pct"/>
          </w:tcPr>
          <w:p w14:paraId="3B689323" w14:textId="77777777" w:rsidR="00074551" w:rsidRPr="00A306A0" w:rsidRDefault="00074551" w:rsidP="00367133">
            <w:pPr>
              <w:rPr>
                <w:sz w:val="20"/>
                <w:szCs w:val="20"/>
              </w:rPr>
            </w:pPr>
            <w:r w:rsidRPr="00A306A0">
              <w:rPr>
                <w:sz w:val="20"/>
                <w:szCs w:val="20"/>
              </w:rPr>
              <w:t>D</w:t>
            </w:r>
            <w:r>
              <w:rPr>
                <w:sz w:val="20"/>
                <w:szCs w:val="20"/>
              </w:rPr>
              <w:t>e</w:t>
            </w:r>
            <w:r w:rsidRPr="00A306A0">
              <w:rPr>
                <w:sz w:val="20"/>
                <w:szCs w:val="20"/>
              </w:rPr>
              <w:t xml:space="preserve">r </w:t>
            </w:r>
            <w:r>
              <w:rPr>
                <w:sz w:val="20"/>
                <w:szCs w:val="20"/>
              </w:rPr>
              <w:t>U.S. Supreme Court</w:t>
            </w:r>
            <w:r w:rsidRPr="00A306A0">
              <w:rPr>
                <w:sz w:val="20"/>
                <w:szCs w:val="20"/>
              </w:rPr>
              <w:t xml:space="preserve"> bestätig</w:t>
            </w:r>
            <w:r>
              <w:rPr>
                <w:sz w:val="20"/>
                <w:szCs w:val="20"/>
              </w:rPr>
              <w:t>t</w:t>
            </w:r>
            <w:r w:rsidRPr="00A306A0">
              <w:rPr>
                <w:sz w:val="20"/>
                <w:szCs w:val="20"/>
              </w:rPr>
              <w:t xml:space="preserve">e ein Urteil, das den Kläger </w:t>
            </w:r>
            <w:r>
              <w:rPr>
                <w:sz w:val="20"/>
                <w:szCs w:val="20"/>
              </w:rPr>
              <w:t>nach § </w:t>
            </w:r>
            <w:r w:rsidRPr="00A306A0">
              <w:rPr>
                <w:sz w:val="20"/>
                <w:szCs w:val="20"/>
              </w:rPr>
              <w:t>439</w:t>
            </w:r>
            <w:r>
              <w:rPr>
                <w:sz w:val="20"/>
                <w:szCs w:val="20"/>
              </w:rPr>
              <w:t xml:space="preserve"> des </w:t>
            </w:r>
            <w:r w:rsidRPr="00B45592">
              <w:rPr>
                <w:i/>
                <w:sz w:val="20"/>
                <w:szCs w:val="20"/>
              </w:rPr>
              <w:t>Cal</w:t>
            </w:r>
            <w:r>
              <w:rPr>
                <w:i/>
                <w:sz w:val="20"/>
                <w:szCs w:val="20"/>
              </w:rPr>
              <w:t>ifornia</w:t>
            </w:r>
            <w:r w:rsidRPr="00B45592">
              <w:rPr>
                <w:i/>
                <w:sz w:val="20"/>
                <w:szCs w:val="20"/>
              </w:rPr>
              <w:t xml:space="preserve"> Penal Code</w:t>
            </w:r>
            <w:r>
              <w:rPr>
                <w:rStyle w:val="Funotenzeichen"/>
                <w:sz w:val="20"/>
                <w:szCs w:val="20"/>
              </w:rPr>
              <w:footnoteReference w:id="437"/>
            </w:r>
            <w:r>
              <w:rPr>
                <w:sz w:val="20"/>
                <w:szCs w:val="20"/>
              </w:rPr>
              <w:t xml:space="preserve"> bestraft hatte, weil er Versicherungsverträge </w:t>
            </w:r>
            <w:r w:rsidRPr="00A306A0">
              <w:rPr>
                <w:sz w:val="20"/>
                <w:szCs w:val="20"/>
              </w:rPr>
              <w:t xml:space="preserve">an Einwohner Kaliforniens </w:t>
            </w:r>
            <w:r>
              <w:rPr>
                <w:sz w:val="20"/>
                <w:szCs w:val="20"/>
              </w:rPr>
              <w:t xml:space="preserve">vermittelt hatte – und zwar für eine </w:t>
            </w:r>
            <w:r w:rsidRPr="00A306A0">
              <w:rPr>
                <w:sz w:val="20"/>
                <w:szCs w:val="20"/>
              </w:rPr>
              <w:t>nicht in Kalifornien gegründete Versicherungsgesellschaft</w:t>
            </w:r>
            <w:r>
              <w:rPr>
                <w:sz w:val="20"/>
                <w:szCs w:val="20"/>
              </w:rPr>
              <w:t xml:space="preserve">. Der </w:t>
            </w:r>
            <w:r w:rsidRPr="00A306A0">
              <w:rPr>
                <w:sz w:val="20"/>
                <w:szCs w:val="20"/>
              </w:rPr>
              <w:t>Kläger</w:t>
            </w:r>
            <w:r>
              <w:rPr>
                <w:sz w:val="20"/>
                <w:szCs w:val="20"/>
              </w:rPr>
              <w:t xml:space="preserve"> war </w:t>
            </w:r>
            <w:r w:rsidRPr="00A306A0">
              <w:rPr>
                <w:sz w:val="20"/>
                <w:szCs w:val="20"/>
              </w:rPr>
              <w:t>ein Versicherungsvertreter in San Francisco</w:t>
            </w:r>
            <w:r>
              <w:rPr>
                <w:sz w:val="20"/>
                <w:szCs w:val="20"/>
              </w:rPr>
              <w:t xml:space="preserve">, der </w:t>
            </w:r>
            <w:r w:rsidRPr="00A306A0">
              <w:rPr>
                <w:sz w:val="20"/>
                <w:szCs w:val="20"/>
              </w:rPr>
              <w:t xml:space="preserve">Beklagte </w:t>
            </w:r>
            <w:r>
              <w:rPr>
                <w:sz w:val="20"/>
                <w:szCs w:val="20"/>
              </w:rPr>
              <w:t xml:space="preserve">der Bundesstaat </w:t>
            </w:r>
            <w:r w:rsidRPr="00A306A0">
              <w:rPr>
                <w:sz w:val="20"/>
                <w:szCs w:val="20"/>
              </w:rPr>
              <w:t>Kalifornien.</w:t>
            </w:r>
            <w:r>
              <w:rPr>
                <w:sz w:val="20"/>
                <w:szCs w:val="20"/>
              </w:rPr>
              <w:t xml:space="preserve"> </w:t>
            </w:r>
            <w:r w:rsidRPr="00A306A0">
              <w:rPr>
                <w:sz w:val="20"/>
                <w:szCs w:val="20"/>
              </w:rPr>
              <w:t xml:space="preserve">Der Kläger wurde </w:t>
            </w:r>
            <w:r>
              <w:rPr>
                <w:sz w:val="20"/>
                <w:szCs w:val="20"/>
              </w:rPr>
              <w:t xml:space="preserve">zunächst </w:t>
            </w:r>
            <w:r w:rsidRPr="00A306A0">
              <w:rPr>
                <w:sz w:val="20"/>
                <w:szCs w:val="20"/>
              </w:rPr>
              <w:t>verurteilt</w:t>
            </w:r>
            <w:r>
              <w:rPr>
                <w:sz w:val="20"/>
                <w:szCs w:val="20"/>
              </w:rPr>
              <w:t>, weil</w:t>
            </w:r>
            <w:r w:rsidRPr="00A306A0">
              <w:rPr>
                <w:sz w:val="20"/>
                <w:szCs w:val="20"/>
              </w:rPr>
              <w:t xml:space="preserve"> er für </w:t>
            </w:r>
            <w:r>
              <w:rPr>
                <w:sz w:val="20"/>
                <w:szCs w:val="20"/>
              </w:rPr>
              <w:t xml:space="preserve">einen </w:t>
            </w:r>
            <w:r w:rsidRPr="00A306A0">
              <w:rPr>
                <w:sz w:val="20"/>
                <w:szCs w:val="20"/>
              </w:rPr>
              <w:t xml:space="preserve">Einwohner Kaliforniens eine Versicherung </w:t>
            </w:r>
            <w:r>
              <w:rPr>
                <w:sz w:val="20"/>
                <w:szCs w:val="20"/>
              </w:rPr>
              <w:t>bei einer</w:t>
            </w:r>
            <w:r w:rsidRPr="00A306A0">
              <w:rPr>
                <w:sz w:val="20"/>
                <w:szCs w:val="20"/>
              </w:rPr>
              <w:t xml:space="preserve"> Gesellschaft abgeschlossen</w:t>
            </w:r>
            <w:r>
              <w:rPr>
                <w:sz w:val="20"/>
                <w:szCs w:val="20"/>
              </w:rPr>
              <w:t xml:space="preserve"> hatte</w:t>
            </w:r>
            <w:r w:rsidRPr="00A306A0">
              <w:rPr>
                <w:sz w:val="20"/>
                <w:szCs w:val="20"/>
              </w:rPr>
              <w:t>, die nicht nach kalifornischem Recht gegründet war</w:t>
            </w:r>
            <w:r>
              <w:rPr>
                <w:sz w:val="20"/>
                <w:szCs w:val="20"/>
              </w:rPr>
              <w:t xml:space="preserve">, sondern in New York; somit war der </w:t>
            </w:r>
            <w:r w:rsidRPr="00A306A0">
              <w:rPr>
                <w:sz w:val="20"/>
                <w:szCs w:val="20"/>
              </w:rPr>
              <w:t>Kläger Vertreter einer Versicherungsgesellschaft mit Sitz in New York City.</w:t>
            </w:r>
            <w:r>
              <w:rPr>
                <w:sz w:val="20"/>
                <w:szCs w:val="20"/>
              </w:rPr>
              <w:t xml:space="preserve"> </w:t>
            </w:r>
            <w:r w:rsidRPr="00466ABD">
              <w:rPr>
                <w:sz w:val="20"/>
                <w:szCs w:val="20"/>
              </w:rPr>
              <w:t xml:space="preserve">Der </w:t>
            </w:r>
            <w:r>
              <w:rPr>
                <w:sz w:val="20"/>
                <w:szCs w:val="20"/>
              </w:rPr>
              <w:t>U.S. Supreme Court</w:t>
            </w:r>
            <w:r w:rsidRPr="00466ABD">
              <w:rPr>
                <w:sz w:val="20"/>
                <w:szCs w:val="20"/>
              </w:rPr>
              <w:t xml:space="preserve"> bestätigte diese Entscheidung. </w:t>
            </w:r>
            <w:r>
              <w:rPr>
                <w:sz w:val="20"/>
                <w:szCs w:val="20"/>
              </w:rPr>
              <w:t>Ein Bundesstaat</w:t>
            </w:r>
            <w:r w:rsidRPr="00A306A0">
              <w:rPr>
                <w:sz w:val="20"/>
                <w:szCs w:val="20"/>
              </w:rPr>
              <w:t xml:space="preserve"> habe das Recht, Unternehmen </w:t>
            </w:r>
            <w:r>
              <w:rPr>
                <w:sz w:val="20"/>
                <w:szCs w:val="20"/>
              </w:rPr>
              <w:t xml:space="preserve">mit Sitz außerhalb des Bundesstaats </w:t>
            </w:r>
            <w:r w:rsidRPr="00A306A0">
              <w:rPr>
                <w:sz w:val="20"/>
                <w:szCs w:val="20"/>
              </w:rPr>
              <w:t xml:space="preserve">Bedingungen </w:t>
            </w:r>
            <w:r>
              <w:rPr>
                <w:sz w:val="20"/>
                <w:szCs w:val="20"/>
              </w:rPr>
              <w:t xml:space="preserve">aufzuerlegen </w:t>
            </w:r>
            <w:r w:rsidRPr="00A306A0">
              <w:rPr>
                <w:sz w:val="20"/>
                <w:szCs w:val="20"/>
              </w:rPr>
              <w:t xml:space="preserve">für die Geschäftstätigkeit im </w:t>
            </w:r>
            <w:r>
              <w:rPr>
                <w:sz w:val="20"/>
                <w:szCs w:val="20"/>
              </w:rPr>
              <w:t>Bundesstaat</w:t>
            </w:r>
            <w:r w:rsidRPr="00A306A0">
              <w:rPr>
                <w:sz w:val="20"/>
                <w:szCs w:val="20"/>
              </w:rPr>
              <w:t xml:space="preserve">. </w:t>
            </w:r>
            <w:r>
              <w:rPr>
                <w:sz w:val="20"/>
                <w:szCs w:val="20"/>
              </w:rPr>
              <w:t>Denn der</w:t>
            </w:r>
            <w:r w:rsidRPr="00A306A0">
              <w:rPr>
                <w:sz w:val="20"/>
                <w:szCs w:val="20"/>
              </w:rPr>
              <w:t xml:space="preserve"> Verkauf von Versicherungen sei kein Instrument des zwischenstaatlichen Handels</w:t>
            </w:r>
            <w:r>
              <w:rPr>
                <w:sz w:val="20"/>
                <w:szCs w:val="20"/>
              </w:rPr>
              <w:t xml:space="preserve">; er sei </w:t>
            </w:r>
            <w:r w:rsidRPr="00A306A0">
              <w:rPr>
                <w:sz w:val="20"/>
                <w:szCs w:val="20"/>
              </w:rPr>
              <w:t xml:space="preserve">eine lokale Transaktion. </w:t>
            </w:r>
            <w:r>
              <w:rPr>
                <w:sz w:val="20"/>
                <w:szCs w:val="20"/>
              </w:rPr>
              <w:t xml:space="preserve">Daher dürfe der Bundesstaat </w:t>
            </w:r>
            <w:r w:rsidRPr="00A306A0">
              <w:rPr>
                <w:sz w:val="20"/>
                <w:szCs w:val="20"/>
              </w:rPr>
              <w:t xml:space="preserve">seinen Bürgern </w:t>
            </w:r>
            <w:r>
              <w:rPr>
                <w:sz w:val="20"/>
                <w:szCs w:val="20"/>
              </w:rPr>
              <w:t xml:space="preserve">auch </w:t>
            </w:r>
            <w:r w:rsidRPr="00A306A0">
              <w:rPr>
                <w:sz w:val="20"/>
                <w:szCs w:val="20"/>
              </w:rPr>
              <w:t>verbieten, mit einem Vertreter Gesellschaft</w:t>
            </w:r>
            <w:r>
              <w:rPr>
                <w:sz w:val="20"/>
                <w:szCs w:val="20"/>
              </w:rPr>
              <w:t>sv</w:t>
            </w:r>
            <w:r w:rsidRPr="00A306A0">
              <w:rPr>
                <w:sz w:val="20"/>
                <w:szCs w:val="20"/>
              </w:rPr>
              <w:t>erträge abzuschließen, d</w:t>
            </w:r>
            <w:r>
              <w:rPr>
                <w:sz w:val="20"/>
                <w:szCs w:val="20"/>
              </w:rPr>
              <w:t>er</w:t>
            </w:r>
            <w:r w:rsidRPr="00A306A0">
              <w:rPr>
                <w:sz w:val="20"/>
                <w:szCs w:val="20"/>
              </w:rPr>
              <w:t xml:space="preserve"> nicht im </w:t>
            </w:r>
            <w:r>
              <w:rPr>
                <w:sz w:val="20"/>
                <w:szCs w:val="20"/>
              </w:rPr>
              <w:t xml:space="preserve">Bundesstaat </w:t>
            </w:r>
            <w:r w:rsidRPr="00A306A0">
              <w:rPr>
                <w:sz w:val="20"/>
                <w:szCs w:val="20"/>
              </w:rPr>
              <w:t>geschäftlich tätig sein dürfe.</w:t>
            </w:r>
            <w:r>
              <w:rPr>
                <w:rStyle w:val="Funotenzeichen"/>
                <w:sz w:val="20"/>
                <w:szCs w:val="20"/>
              </w:rPr>
              <w:footnoteReference w:id="438"/>
            </w:r>
          </w:p>
          <w:p w14:paraId="35E1828D" w14:textId="77777777" w:rsidR="00074551" w:rsidRPr="00BE3728" w:rsidRDefault="00074551" w:rsidP="00367133">
            <w:pPr>
              <w:jc w:val="both"/>
              <w:rPr>
                <w:sz w:val="20"/>
                <w:szCs w:val="20"/>
              </w:rPr>
            </w:pPr>
          </w:p>
        </w:tc>
        <w:tc>
          <w:tcPr>
            <w:tcW w:w="1822" w:type="pct"/>
          </w:tcPr>
          <w:p w14:paraId="275A3716" w14:textId="77777777" w:rsidR="00074551" w:rsidRPr="00B45592" w:rsidRDefault="00074551" w:rsidP="00367133">
            <w:pPr>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Governments, State &amp; Territorial Governments</w:t>
            </w:r>
          </w:p>
          <w:p w14:paraId="4B0014FE" w14:textId="77777777" w:rsidR="00074551" w:rsidRPr="00402ECC" w:rsidRDefault="00074551" w:rsidP="00367133">
            <w:pPr>
              <w:rPr>
                <w:b/>
                <w:bCs/>
                <w:sz w:val="20"/>
                <w:szCs w:val="20"/>
                <w:lang w:val="en-US"/>
              </w:rPr>
            </w:pPr>
          </w:p>
          <w:p w14:paraId="5D32317C" w14:textId="49054E89" w:rsidR="00074551" w:rsidRPr="0045388E" w:rsidRDefault="00074551" w:rsidP="00367133">
            <w:pPr>
              <w:rPr>
                <w:sz w:val="20"/>
                <w:szCs w:val="20"/>
              </w:rPr>
            </w:pPr>
            <w:r w:rsidRPr="00B45592">
              <w:rPr>
                <w:sz w:val="20"/>
                <w:szCs w:val="20"/>
              </w:rPr>
              <w:t xml:space="preserve">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B45592">
              <w:rPr>
                <w:sz w:val="20"/>
                <w:szCs w:val="20"/>
              </w:rPr>
              <w:t xml:space="preserve"> erklärte, dass </w:t>
            </w:r>
            <w:r>
              <w:rPr>
                <w:sz w:val="20"/>
                <w:szCs w:val="20"/>
              </w:rPr>
              <w:t>§ </w:t>
            </w:r>
            <w:r w:rsidRPr="00A306A0">
              <w:rPr>
                <w:sz w:val="20"/>
                <w:szCs w:val="20"/>
              </w:rPr>
              <w:t>439</w:t>
            </w:r>
            <w:r>
              <w:rPr>
                <w:sz w:val="20"/>
                <w:szCs w:val="20"/>
              </w:rPr>
              <w:t xml:space="preserve"> des </w:t>
            </w:r>
            <w:r w:rsidRPr="009E3055">
              <w:rPr>
                <w:i/>
                <w:sz w:val="20"/>
                <w:szCs w:val="20"/>
              </w:rPr>
              <w:t>Cal</w:t>
            </w:r>
            <w:r>
              <w:rPr>
                <w:i/>
                <w:sz w:val="20"/>
                <w:szCs w:val="20"/>
              </w:rPr>
              <w:t>ifornia</w:t>
            </w:r>
            <w:r w:rsidRPr="009E3055">
              <w:rPr>
                <w:i/>
                <w:sz w:val="20"/>
                <w:szCs w:val="20"/>
              </w:rPr>
              <w:t xml:space="preserve"> Penal Code</w:t>
            </w:r>
            <w:r>
              <w:rPr>
                <w:sz w:val="20"/>
                <w:szCs w:val="20"/>
                <w:vertAlign w:val="superscript"/>
              </w:rPr>
              <w:t xml:space="preserve"> </w:t>
            </w:r>
            <w:r w:rsidRPr="0045388E">
              <w:rPr>
                <w:sz w:val="20"/>
                <w:szCs w:val="20"/>
              </w:rPr>
              <w:t xml:space="preserve">einen rechtswidrigen Eingriff in die Freiheit darstelle. Das Gesetz greife in die Berufsfreiheit ein – und pönalisiere einen nicht zu pönalisierenden Vorgang, nämlich: Wenn Gesellschaften außerhalb des Bundesstaats ihrer Niederlassung keine weitere </w:t>
            </w:r>
            <w:r>
              <w:rPr>
                <w:sz w:val="20"/>
                <w:szCs w:val="20"/>
              </w:rPr>
              <w:t>hätten</w:t>
            </w:r>
            <w:r w:rsidRPr="0045388E">
              <w:rPr>
                <w:sz w:val="20"/>
                <w:szCs w:val="20"/>
              </w:rPr>
              <w:t xml:space="preserve">, aber sie dennoch per Vertreter mit einem Bürger eines anderen Bundesstaats, hier Kaliforniens, einen Kreditvertrag abschlössen, dann ziehe dies strafrechtliche Folgen nach sich gemäß </w:t>
            </w:r>
            <w:r>
              <w:rPr>
                <w:sz w:val="20"/>
                <w:szCs w:val="20"/>
              </w:rPr>
              <w:t>§ </w:t>
            </w:r>
            <w:r w:rsidRPr="00A306A0">
              <w:rPr>
                <w:sz w:val="20"/>
                <w:szCs w:val="20"/>
              </w:rPr>
              <w:t>439</w:t>
            </w:r>
            <w:r>
              <w:rPr>
                <w:sz w:val="20"/>
                <w:szCs w:val="20"/>
              </w:rPr>
              <w:t xml:space="preserve"> des </w:t>
            </w:r>
            <w:r w:rsidRPr="009E3055">
              <w:rPr>
                <w:i/>
                <w:sz w:val="20"/>
                <w:szCs w:val="20"/>
              </w:rPr>
              <w:t>Cal</w:t>
            </w:r>
            <w:r>
              <w:rPr>
                <w:i/>
                <w:sz w:val="20"/>
                <w:szCs w:val="20"/>
              </w:rPr>
              <w:t>ifornia</w:t>
            </w:r>
            <w:r w:rsidRPr="009E3055">
              <w:rPr>
                <w:i/>
                <w:sz w:val="20"/>
                <w:szCs w:val="20"/>
              </w:rPr>
              <w:t xml:space="preserve"> Penal Code</w:t>
            </w:r>
            <w:r w:rsidRPr="0045388E">
              <w:rPr>
                <w:sz w:val="20"/>
                <w:szCs w:val="20"/>
              </w:rPr>
              <w:t xml:space="preserve">. Das aber laufe der Berufsfreiheit entgegen. Dazu führte 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45388E">
              <w:rPr>
                <w:sz w:val="20"/>
                <w:szCs w:val="20"/>
              </w:rPr>
              <w:t xml:space="preserve"> aus: Zwar unterl</w:t>
            </w:r>
            <w:r>
              <w:rPr>
                <w:sz w:val="20"/>
                <w:szCs w:val="20"/>
              </w:rPr>
              <w:t>ä</w:t>
            </w:r>
            <w:r w:rsidRPr="0045388E">
              <w:rPr>
                <w:sz w:val="20"/>
                <w:szCs w:val="20"/>
              </w:rPr>
              <w:t>gen Berufe staatlicher Regulierung und staatlichen Eingriffe; das aber in Grenzen. Denn die staatliche Regulierung und die staatlichen Eingriffe dürf</w:t>
            </w:r>
            <w:r>
              <w:rPr>
                <w:sz w:val="20"/>
                <w:szCs w:val="20"/>
              </w:rPr>
              <w:t>t</w:t>
            </w:r>
            <w:r w:rsidRPr="0045388E">
              <w:rPr>
                <w:sz w:val="20"/>
                <w:szCs w:val="20"/>
              </w:rPr>
              <w:t xml:space="preserve">en nicht den Kernbereich der Freiheit und des Eigentumes verletzen, </w:t>
            </w:r>
            <w:r>
              <w:rPr>
                <w:sz w:val="20"/>
                <w:szCs w:val="20"/>
              </w:rPr>
              <w:t>L</w:t>
            </w:r>
            <w:r w:rsidRPr="0045388E">
              <w:rPr>
                <w:sz w:val="20"/>
                <w:szCs w:val="20"/>
              </w:rPr>
              <w:t xml:space="preserve">etzteres garantiere die </w:t>
            </w:r>
            <w:r>
              <w:rPr>
                <w:sz w:val="20"/>
                <w:szCs w:val="20"/>
              </w:rPr>
              <w:t>U.S.</w:t>
            </w:r>
            <w:r w:rsidRPr="0045388E">
              <w:rPr>
                <w:sz w:val="20"/>
                <w:szCs w:val="20"/>
              </w:rPr>
              <w:t xml:space="preserve"> </w:t>
            </w:r>
            <w:proofErr w:type="spellStart"/>
            <w:r w:rsidRPr="0045388E">
              <w:rPr>
                <w:sz w:val="20"/>
                <w:szCs w:val="20"/>
              </w:rPr>
              <w:t>Const</w:t>
            </w:r>
            <w:proofErr w:type="spellEnd"/>
            <w:r w:rsidRPr="0045388E">
              <w:rPr>
                <w:sz w:val="20"/>
                <w:szCs w:val="20"/>
              </w:rPr>
              <w:t>. Das sei hier aber der Fall, weil keine gleichen Bedingungen mehr für Gesellschaften verschiedener Bundesstaaten g</w:t>
            </w:r>
            <w:r>
              <w:rPr>
                <w:sz w:val="20"/>
                <w:szCs w:val="20"/>
              </w:rPr>
              <w:t>ä</w:t>
            </w:r>
            <w:r w:rsidRPr="0045388E">
              <w:rPr>
                <w:sz w:val="20"/>
                <w:szCs w:val="20"/>
              </w:rPr>
              <w:t xml:space="preserve">lten. Woher stammt dieses Dogma? Zunächst sei die gleichberechtigte Inanspruchnahme des Vorrechts, einen Beruf oder ein Gewerbe unter ähnlichen Umständen wie </w:t>
            </w:r>
            <w:r>
              <w:rPr>
                <w:sz w:val="20"/>
                <w:szCs w:val="20"/>
              </w:rPr>
              <w:t>andere</w:t>
            </w:r>
            <w:r w:rsidRPr="0045388E">
              <w:rPr>
                <w:sz w:val="20"/>
                <w:szCs w:val="20"/>
              </w:rPr>
              <w:t xml:space="preserve"> auszuüben, ein Teil der Freiheit. Und die garantiere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5388E">
              <w:rPr>
                <w:sz w:val="20"/>
                <w:szCs w:val="20"/>
                <w:vertAlign w:val="superscript"/>
              </w:rPr>
              <w:footnoteReference w:id="439"/>
            </w:r>
            <w:r w:rsidRPr="0045388E">
              <w:rPr>
                <w:sz w:val="20"/>
                <w:szCs w:val="20"/>
              </w:rPr>
              <w:t xml:space="preserve"> Doch was heißt Freiheit genau? Zu </w:t>
            </w:r>
            <w:r>
              <w:rPr>
                <w:sz w:val="20"/>
                <w:szCs w:val="20"/>
              </w:rPr>
              <w:t>diesem</w:t>
            </w:r>
            <w:r w:rsidRPr="0045388E">
              <w:rPr>
                <w:sz w:val="20"/>
                <w:szCs w:val="20"/>
              </w:rPr>
              <w:t xml:space="preserve"> unveräußerlichen Recht der amerikanischen Bürger gehöre als Korrelat das Recht, </w:t>
            </w:r>
            <w:r>
              <w:rPr>
                <w:sz w:val="20"/>
                <w:szCs w:val="20"/>
              </w:rPr>
              <w:t>das</w:t>
            </w:r>
            <w:r w:rsidRPr="0045388E">
              <w:rPr>
                <w:sz w:val="20"/>
                <w:szCs w:val="20"/>
              </w:rPr>
              <w:t xml:space="preserve"> Menschen ihrem Glück nachgehen können. Das bedeute </w:t>
            </w:r>
            <w:r>
              <w:rPr>
                <w:sz w:val="20"/>
                <w:szCs w:val="20"/>
              </w:rPr>
              <w:t>wiederum</w:t>
            </w:r>
            <w:r w:rsidRPr="0045388E">
              <w:rPr>
                <w:sz w:val="20"/>
                <w:szCs w:val="20"/>
              </w:rPr>
              <w:t xml:space="preserve">, dass man das Recht habe, jedem rechtmäßigen Geschäft oder Beruf nachzugehen, soweit es anderen nicht </w:t>
            </w:r>
            <w:r>
              <w:rPr>
                <w:sz w:val="20"/>
                <w:szCs w:val="20"/>
              </w:rPr>
              <w:t>schade und</w:t>
            </w:r>
            <w:r w:rsidRPr="0045388E">
              <w:rPr>
                <w:sz w:val="20"/>
                <w:szCs w:val="20"/>
              </w:rPr>
              <w:t xml:space="preserve"> man damit Wohlstand vermehren und Fähigkeiten entwickeln könne.</w:t>
            </w:r>
            <w:r w:rsidRPr="0045388E">
              <w:rPr>
                <w:sz w:val="20"/>
                <w:szCs w:val="20"/>
                <w:vertAlign w:val="superscript"/>
              </w:rPr>
              <w:footnoteReference w:id="440"/>
            </w:r>
            <w:r w:rsidRPr="0045388E">
              <w:rPr>
                <w:sz w:val="20"/>
                <w:szCs w:val="20"/>
              </w:rPr>
              <w:t xml:space="preserve"> </w:t>
            </w:r>
            <w:proofErr w:type="gramStart"/>
            <w:r w:rsidRPr="0045388E">
              <w:rPr>
                <w:sz w:val="20"/>
                <w:szCs w:val="20"/>
              </w:rPr>
              <w:t>Ferner</w:t>
            </w:r>
            <w:proofErr w:type="gramEnd"/>
            <w:r w:rsidRPr="0045388E">
              <w:rPr>
                <w:sz w:val="20"/>
                <w:szCs w:val="20"/>
              </w:rPr>
              <w:t xml:space="preserve"> sei das Recht auf Berufsausübung eines der Vorrechte eines Bürgers der Vereinigten Staaten. Und staatliche Maßnahmen könn</w:t>
            </w:r>
            <w:r>
              <w:rPr>
                <w:sz w:val="20"/>
                <w:szCs w:val="20"/>
              </w:rPr>
              <w:t>t</w:t>
            </w:r>
            <w:r w:rsidRPr="0045388E">
              <w:rPr>
                <w:sz w:val="20"/>
                <w:szCs w:val="20"/>
              </w:rPr>
              <w:t>en dieses verfassungsmäßige Freiheitsrecht verletzen</w:t>
            </w:r>
            <w:r>
              <w:rPr>
                <w:sz w:val="20"/>
                <w:szCs w:val="20"/>
              </w:rPr>
              <w:t xml:space="preserve">, </w:t>
            </w:r>
            <w:r w:rsidRPr="0045388E">
              <w:rPr>
                <w:sz w:val="20"/>
                <w:szCs w:val="20"/>
              </w:rPr>
              <w:t>ohne dass</w:t>
            </w:r>
            <w:r>
              <w:rPr>
                <w:sz w:val="20"/>
                <w:szCs w:val="20"/>
              </w:rPr>
              <w:t> </w:t>
            </w:r>
            <w:r w:rsidRPr="0045388E">
              <w:rPr>
                <w:sz w:val="20"/>
                <w:szCs w:val="20"/>
              </w:rPr>
              <w:t xml:space="preserve">– überspitzt gesagt – </w:t>
            </w:r>
            <w:r>
              <w:rPr>
                <w:sz w:val="20"/>
                <w:szCs w:val="20"/>
              </w:rPr>
              <w:t xml:space="preserve">die </w:t>
            </w:r>
            <w:r w:rsidRPr="0045388E">
              <w:rPr>
                <w:sz w:val="20"/>
                <w:szCs w:val="20"/>
              </w:rPr>
              <w:t xml:space="preserve">Bewegungsfreiheit durch Gefangenschaft aufgehoben werden müsse. Denn Freiheit in Verbindung mit den Bedingungen für ein Glücksstreben impliziere auch die folgenden Rechte: Einerseits </w:t>
            </w:r>
            <w:r>
              <w:rPr>
                <w:sz w:val="20"/>
                <w:szCs w:val="20"/>
              </w:rPr>
              <w:t xml:space="preserve">das Recht, </w:t>
            </w:r>
            <w:r w:rsidRPr="0045388E">
              <w:rPr>
                <w:sz w:val="20"/>
                <w:szCs w:val="20"/>
              </w:rPr>
              <w:t>frei von körperlicher Beschränkung zu sein, aber andererseits auch das Recht, seine Fähigkeiten in rechtmäßigen Weisen nutzen zu können, dort leben und arbeiten zu können, wo man will, und dann seine Lebensgrundlage mit einem rechtmäßigen Beruf zu verdienen</w:t>
            </w:r>
            <w:r>
              <w:rPr>
                <w:sz w:val="20"/>
                <w:szCs w:val="20"/>
              </w:rPr>
              <w:t>,</w:t>
            </w:r>
            <w:r w:rsidRPr="0045388E">
              <w:rPr>
                <w:sz w:val="20"/>
                <w:szCs w:val="20"/>
              </w:rPr>
              <w:t xml:space="preserve"> sowie als weitere Folge: jedem rechtmäßigen Handel oder Gewerbe nachgehen zu können.</w:t>
            </w:r>
            <w:r w:rsidRPr="0045388E">
              <w:rPr>
                <w:sz w:val="20"/>
                <w:szCs w:val="20"/>
                <w:vertAlign w:val="superscript"/>
              </w:rPr>
              <w:footnoteReference w:id="441"/>
            </w:r>
          </w:p>
          <w:p w14:paraId="69A13A63" w14:textId="77777777" w:rsidR="00074551" w:rsidRPr="00BE3728" w:rsidRDefault="00074551" w:rsidP="00367133">
            <w:pPr>
              <w:jc w:val="both"/>
              <w:rPr>
                <w:sz w:val="20"/>
                <w:szCs w:val="20"/>
              </w:rPr>
            </w:pPr>
          </w:p>
        </w:tc>
      </w:tr>
      <w:tr w:rsidR="00074551" w:rsidRPr="00E50B51" w14:paraId="687DCB5E" w14:textId="77777777" w:rsidTr="00BE689F">
        <w:trPr>
          <w:cantSplit/>
          <w:trHeight w:val="3175"/>
        </w:trPr>
        <w:tc>
          <w:tcPr>
            <w:tcW w:w="293" w:type="pct"/>
          </w:tcPr>
          <w:p w14:paraId="4E7FE34A"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B3F7AFB"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6D5DB4A4" w14:textId="77777777" w:rsidR="00074551" w:rsidRPr="00B45592" w:rsidRDefault="00074551" w:rsidP="00367133">
            <w:pPr>
              <w:ind w:left="113" w:right="113"/>
              <w:jc w:val="both"/>
              <w:rPr>
                <w:i/>
                <w:sz w:val="20"/>
                <w:szCs w:val="20"/>
              </w:rPr>
            </w:pPr>
            <w:r w:rsidRPr="00B45592">
              <w:rPr>
                <w:i/>
                <w:sz w:val="20"/>
                <w:szCs w:val="20"/>
              </w:rPr>
              <w:t>La Tourette v. McMaster</w:t>
            </w:r>
          </w:p>
        </w:tc>
        <w:tc>
          <w:tcPr>
            <w:tcW w:w="197" w:type="pct"/>
            <w:textDirection w:val="tbRl"/>
            <w:vAlign w:val="center"/>
          </w:tcPr>
          <w:p w14:paraId="3EE7E007" w14:textId="77777777" w:rsidR="00074551" w:rsidRPr="00257307" w:rsidRDefault="00074551" w:rsidP="00367133">
            <w:pPr>
              <w:ind w:left="113" w:right="113"/>
              <w:jc w:val="both"/>
              <w:rPr>
                <w:sz w:val="20"/>
                <w:szCs w:val="20"/>
              </w:rPr>
            </w:pPr>
            <w:r w:rsidRPr="00257307">
              <w:rPr>
                <w:sz w:val="20"/>
                <w:szCs w:val="20"/>
              </w:rPr>
              <w:t>248 U.S. 465</w:t>
            </w:r>
          </w:p>
        </w:tc>
        <w:tc>
          <w:tcPr>
            <w:tcW w:w="306" w:type="pct"/>
            <w:textDirection w:val="tbRl"/>
            <w:vAlign w:val="center"/>
          </w:tcPr>
          <w:p w14:paraId="608A4E53" w14:textId="77777777" w:rsidR="00074551" w:rsidRDefault="00074551" w:rsidP="00367133">
            <w:pPr>
              <w:ind w:left="113" w:right="113"/>
              <w:jc w:val="both"/>
              <w:rPr>
                <w:sz w:val="20"/>
                <w:szCs w:val="20"/>
                <w:lang w:val="en-US"/>
              </w:rPr>
            </w:pPr>
            <w:r>
              <w:rPr>
                <w:sz w:val="20"/>
                <w:szCs w:val="20"/>
                <w:lang w:val="en-US"/>
              </w:rPr>
              <w:t xml:space="preserve">20. </w:t>
            </w:r>
            <w:proofErr w:type="spellStart"/>
            <w:r>
              <w:rPr>
                <w:sz w:val="20"/>
                <w:szCs w:val="20"/>
                <w:lang w:val="en-US"/>
              </w:rPr>
              <w:t>Januar</w:t>
            </w:r>
            <w:proofErr w:type="spellEnd"/>
            <w:r>
              <w:rPr>
                <w:sz w:val="20"/>
                <w:szCs w:val="20"/>
                <w:lang w:val="en-US"/>
              </w:rPr>
              <w:t xml:space="preserve"> 1919</w:t>
            </w:r>
          </w:p>
        </w:tc>
        <w:tc>
          <w:tcPr>
            <w:tcW w:w="401" w:type="pct"/>
          </w:tcPr>
          <w:p w14:paraId="34EBA191" w14:textId="77777777" w:rsidR="00074551" w:rsidRDefault="00074551" w:rsidP="00367133">
            <w:pPr>
              <w:jc w:val="center"/>
              <w:rPr>
                <w:sz w:val="20"/>
                <w:szCs w:val="20"/>
                <w:lang w:val="en-US"/>
              </w:rPr>
            </w:pPr>
            <w:r>
              <w:rPr>
                <w:sz w:val="20"/>
                <w:szCs w:val="20"/>
                <w:lang w:val="en-US"/>
              </w:rPr>
              <w:t>M</w:t>
            </w:r>
          </w:p>
        </w:tc>
        <w:tc>
          <w:tcPr>
            <w:tcW w:w="1594" w:type="pct"/>
          </w:tcPr>
          <w:p w14:paraId="4EA2023B" w14:textId="5F89C964" w:rsidR="00074551" w:rsidRDefault="00074551" w:rsidP="00367133">
            <w:pPr>
              <w:rPr>
                <w:sz w:val="20"/>
                <w:szCs w:val="20"/>
              </w:rPr>
            </w:pPr>
            <w:r>
              <w:rPr>
                <w:sz w:val="20"/>
                <w:szCs w:val="20"/>
              </w:rPr>
              <w:t xml:space="preserve">Der U.S. Supreme Court bestätigte ein </w:t>
            </w:r>
            <w:r w:rsidRPr="00516310">
              <w:rPr>
                <w:sz w:val="20"/>
                <w:szCs w:val="20"/>
              </w:rPr>
              <w:t xml:space="preserve">Urteil, das die Klage </w:t>
            </w:r>
            <w:r>
              <w:rPr>
                <w:sz w:val="20"/>
                <w:szCs w:val="20"/>
              </w:rPr>
              <w:t xml:space="preserve">eines </w:t>
            </w:r>
            <w:r w:rsidRPr="00516310">
              <w:rPr>
                <w:sz w:val="20"/>
                <w:szCs w:val="20"/>
              </w:rPr>
              <w:t xml:space="preserve">Versicherungsvertreters gegen den Versicherungsbeauftragten </w:t>
            </w:r>
            <w:r>
              <w:rPr>
                <w:sz w:val="20"/>
                <w:szCs w:val="20"/>
              </w:rPr>
              <w:t xml:space="preserve">des Bundesstaats South Carolina </w:t>
            </w:r>
            <w:r w:rsidRPr="00516310">
              <w:rPr>
                <w:sz w:val="20"/>
                <w:szCs w:val="20"/>
              </w:rPr>
              <w:t>abwies</w:t>
            </w:r>
            <w:r>
              <w:rPr>
                <w:sz w:val="20"/>
                <w:szCs w:val="20"/>
              </w:rPr>
              <w:t xml:space="preserve">. Dem in New York ansässigen Vertreter war eine Lizenz verweigert worden. Daher klagte er gegen den </w:t>
            </w:r>
            <w:r w:rsidRPr="00516310">
              <w:rPr>
                <w:sz w:val="20"/>
                <w:szCs w:val="20"/>
              </w:rPr>
              <w:t>Versicherungsbeauftragte</w:t>
            </w:r>
            <w:r>
              <w:rPr>
                <w:sz w:val="20"/>
                <w:szCs w:val="20"/>
              </w:rPr>
              <w:t xml:space="preserve">n </w:t>
            </w:r>
            <w:r w:rsidRPr="00516310">
              <w:rPr>
                <w:sz w:val="20"/>
                <w:szCs w:val="20"/>
              </w:rPr>
              <w:t>South Carolina</w:t>
            </w:r>
            <w:r>
              <w:rPr>
                <w:sz w:val="20"/>
                <w:szCs w:val="20"/>
              </w:rPr>
              <w:t xml:space="preserve">s, denn dieser verweigerte dem Vertreter </w:t>
            </w:r>
            <w:r w:rsidRPr="00516310">
              <w:rPr>
                <w:sz w:val="20"/>
                <w:szCs w:val="20"/>
              </w:rPr>
              <w:t xml:space="preserve">aufgrund seines Wohnsitzes in New York </w:t>
            </w:r>
            <w:r>
              <w:rPr>
                <w:sz w:val="20"/>
                <w:szCs w:val="20"/>
              </w:rPr>
              <w:t>die</w:t>
            </w:r>
            <w:r w:rsidRPr="00516310">
              <w:rPr>
                <w:sz w:val="20"/>
                <w:szCs w:val="20"/>
              </w:rPr>
              <w:t xml:space="preserve"> Versicherungsvertreterlizenz. </w:t>
            </w:r>
            <w:r>
              <w:rPr>
                <w:sz w:val="20"/>
                <w:szCs w:val="20"/>
              </w:rPr>
              <w:t xml:space="preserve">Der </w:t>
            </w:r>
            <w:r w:rsidRPr="00B45592">
              <w:rPr>
                <w:i/>
                <w:sz w:val="20"/>
                <w:szCs w:val="20"/>
              </w:rPr>
              <w:t>Supreme Court of South Carolina</w:t>
            </w:r>
            <w:r w:rsidRPr="00516310">
              <w:rPr>
                <w:sz w:val="20"/>
                <w:szCs w:val="20"/>
              </w:rPr>
              <w:t xml:space="preserve"> wies die Klage ab</w:t>
            </w:r>
            <w:r>
              <w:rPr>
                <w:sz w:val="20"/>
                <w:szCs w:val="20"/>
              </w:rPr>
              <w:t xml:space="preserve">. Ein </w:t>
            </w:r>
            <w:r w:rsidRPr="00516310">
              <w:rPr>
                <w:sz w:val="20"/>
                <w:szCs w:val="20"/>
              </w:rPr>
              <w:t>Gesetz von South Carolina</w:t>
            </w:r>
            <w:r>
              <w:rPr>
                <w:sz w:val="20"/>
                <w:szCs w:val="20"/>
              </w:rPr>
              <w:t>,</w:t>
            </w:r>
            <w:r>
              <w:rPr>
                <w:rStyle w:val="Funotenzeichen"/>
                <w:sz w:val="20"/>
                <w:szCs w:val="20"/>
              </w:rPr>
              <w:footnoteReference w:id="442"/>
            </w:r>
            <w:r w:rsidRPr="00516310">
              <w:rPr>
                <w:sz w:val="20"/>
                <w:szCs w:val="20"/>
              </w:rPr>
              <w:t xml:space="preserve"> </w:t>
            </w:r>
            <w:proofErr w:type="gramStart"/>
            <w:r>
              <w:rPr>
                <w:sz w:val="20"/>
                <w:szCs w:val="20"/>
              </w:rPr>
              <w:t>das</w:t>
            </w:r>
            <w:proofErr w:type="gramEnd"/>
            <w:r w:rsidRPr="00516310">
              <w:rPr>
                <w:sz w:val="20"/>
                <w:szCs w:val="20"/>
              </w:rPr>
              <w:t xml:space="preserve"> nur Staatsbürgern eine solche Lizenz erlaub</w:t>
            </w:r>
            <w:r>
              <w:rPr>
                <w:sz w:val="20"/>
                <w:szCs w:val="20"/>
              </w:rPr>
              <w:t>e</w:t>
            </w:r>
            <w:r w:rsidRPr="00516310">
              <w:rPr>
                <w:sz w:val="20"/>
                <w:szCs w:val="20"/>
              </w:rPr>
              <w:t xml:space="preserve">, </w:t>
            </w:r>
            <w:r>
              <w:rPr>
                <w:sz w:val="20"/>
                <w:szCs w:val="20"/>
              </w:rPr>
              <w:t xml:space="preserve">sei </w:t>
            </w:r>
            <w:r w:rsidRPr="00516310">
              <w:rPr>
                <w:sz w:val="20"/>
                <w:szCs w:val="20"/>
              </w:rPr>
              <w:t>verfassungsgemäß. D</w:t>
            </w:r>
            <w:r>
              <w:rPr>
                <w:sz w:val="20"/>
                <w:szCs w:val="20"/>
              </w:rPr>
              <w:t>enn ein</w:t>
            </w:r>
            <w:r w:rsidRPr="00516310">
              <w:rPr>
                <w:sz w:val="20"/>
                <w:szCs w:val="20"/>
              </w:rPr>
              <w:t xml:space="preserve"> Versicherungsgeschäft </w:t>
            </w:r>
            <w:r>
              <w:rPr>
                <w:sz w:val="20"/>
                <w:szCs w:val="20"/>
              </w:rPr>
              <w:t xml:space="preserve">sei </w:t>
            </w:r>
            <w:r w:rsidRPr="00516310">
              <w:rPr>
                <w:sz w:val="20"/>
                <w:szCs w:val="20"/>
              </w:rPr>
              <w:t>von öffentlichem Interesse</w:t>
            </w:r>
            <w:r>
              <w:rPr>
                <w:sz w:val="20"/>
                <w:szCs w:val="20"/>
              </w:rPr>
              <w:t xml:space="preserve">. Daher habe der Bundesstaat </w:t>
            </w:r>
            <w:r w:rsidRPr="00516310">
              <w:rPr>
                <w:sz w:val="20"/>
                <w:szCs w:val="20"/>
              </w:rPr>
              <w:t xml:space="preserve">ein Interesse daran, diejenigen zu überwachen, die daran beteiligt sind. </w:t>
            </w:r>
            <w:r>
              <w:rPr>
                <w:sz w:val="20"/>
                <w:szCs w:val="20"/>
              </w:rPr>
              <w:t>Und d</w:t>
            </w:r>
            <w:r w:rsidRPr="00516310">
              <w:rPr>
                <w:sz w:val="20"/>
                <w:szCs w:val="20"/>
              </w:rPr>
              <w:t>ie Wohnsitzanforderung sei ein geeignetes Mittel, um d</w:t>
            </w:r>
            <w:r>
              <w:rPr>
                <w:sz w:val="20"/>
                <w:szCs w:val="20"/>
              </w:rPr>
              <w:t>ieses</w:t>
            </w:r>
            <w:r w:rsidRPr="00516310">
              <w:rPr>
                <w:sz w:val="20"/>
                <w:szCs w:val="20"/>
              </w:rPr>
              <w:t xml:space="preserve"> Interesse zu schützen</w:t>
            </w:r>
            <w:r>
              <w:rPr>
                <w:sz w:val="20"/>
                <w:szCs w:val="20"/>
              </w:rPr>
              <w:t xml:space="preserve">, denn </w:t>
            </w:r>
            <w:r w:rsidRPr="00516310">
              <w:rPr>
                <w:sz w:val="20"/>
                <w:szCs w:val="20"/>
              </w:rPr>
              <w:t xml:space="preserve">die </w:t>
            </w:r>
            <w:r>
              <w:rPr>
                <w:sz w:val="20"/>
                <w:szCs w:val="20"/>
              </w:rPr>
              <w:t>Versicherungsv</w:t>
            </w:r>
            <w:r w:rsidRPr="00516310">
              <w:rPr>
                <w:sz w:val="20"/>
                <w:szCs w:val="20"/>
              </w:rPr>
              <w:t xml:space="preserve">ertreter </w:t>
            </w:r>
            <w:r>
              <w:rPr>
                <w:sz w:val="20"/>
                <w:szCs w:val="20"/>
              </w:rPr>
              <w:t>hätten so eine räumliche Nähe zu den Überwachungsinstrumenten des</w:t>
            </w:r>
            <w:r w:rsidRPr="00516310">
              <w:rPr>
                <w:sz w:val="20"/>
                <w:szCs w:val="20"/>
              </w:rPr>
              <w:t xml:space="preserve"> Beklagten. Daher habe der Beklagte dem Kläger weder ein Freiheits- noch ein Eigentumsrecht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verfassungswidrig </w:t>
            </w:r>
            <w:r w:rsidRPr="00516310">
              <w:rPr>
                <w:sz w:val="20"/>
                <w:szCs w:val="20"/>
              </w:rPr>
              <w:t xml:space="preserve">entzogen. Außerdem diskriminiere das Gesetz nicht Bürger anderer Staaten zugunsten der Bürger von South Carolina gemäß </w:t>
            </w:r>
            <w:r w:rsidR="00023A37">
              <w:rPr>
                <w:sz w:val="20"/>
                <w:szCs w:val="20"/>
              </w:rPr>
              <w:t xml:space="preserve">U.S. </w:t>
            </w:r>
            <w:proofErr w:type="spellStart"/>
            <w:r w:rsidR="00023A37">
              <w:rPr>
                <w:sz w:val="20"/>
                <w:szCs w:val="20"/>
              </w:rPr>
              <w:t>Const</w:t>
            </w:r>
            <w:proofErr w:type="spellEnd"/>
            <w:r w:rsidR="00023A37">
              <w:rPr>
                <w:sz w:val="20"/>
                <w:szCs w:val="20"/>
              </w:rPr>
              <w:t>. art. IV, § 2.</w:t>
            </w:r>
            <w:r>
              <w:rPr>
                <w:sz w:val="20"/>
                <w:szCs w:val="20"/>
              </w:rPr>
              <w:t xml:space="preserve"> Denn das</w:t>
            </w:r>
            <w:r w:rsidRPr="00516310">
              <w:rPr>
                <w:sz w:val="20"/>
                <w:szCs w:val="20"/>
              </w:rPr>
              <w:t xml:space="preserve"> Gesetz </w:t>
            </w:r>
            <w:r>
              <w:rPr>
                <w:sz w:val="20"/>
                <w:szCs w:val="20"/>
              </w:rPr>
              <w:t xml:space="preserve">verlange </w:t>
            </w:r>
            <w:r w:rsidRPr="00516310">
              <w:rPr>
                <w:sz w:val="20"/>
                <w:szCs w:val="20"/>
              </w:rPr>
              <w:t xml:space="preserve">lediglich den Wohnsitz des Klägers in South Carolina und </w:t>
            </w:r>
            <w:r>
              <w:rPr>
                <w:sz w:val="20"/>
                <w:szCs w:val="20"/>
              </w:rPr>
              <w:t xml:space="preserve">gelte damit </w:t>
            </w:r>
            <w:r w:rsidRPr="00516310">
              <w:rPr>
                <w:sz w:val="20"/>
                <w:szCs w:val="20"/>
              </w:rPr>
              <w:t xml:space="preserve">gleichermaßen für alle Staatsbürger </w:t>
            </w:r>
            <w:r>
              <w:rPr>
                <w:sz w:val="20"/>
                <w:szCs w:val="20"/>
              </w:rPr>
              <w:t>der Vereinigten Staaten</w:t>
            </w:r>
            <w:r w:rsidRPr="00516310">
              <w:rPr>
                <w:sz w:val="20"/>
                <w:szCs w:val="20"/>
              </w:rPr>
              <w:t>.</w:t>
            </w:r>
            <w:r>
              <w:rPr>
                <w:sz w:val="20"/>
                <w:szCs w:val="20"/>
              </w:rPr>
              <w:t xml:space="preserve"> </w:t>
            </w:r>
            <w:r w:rsidRPr="00516310">
              <w:rPr>
                <w:sz w:val="20"/>
                <w:szCs w:val="20"/>
              </w:rPr>
              <w:t>D</w:t>
            </w:r>
            <w:r>
              <w:rPr>
                <w:sz w:val="20"/>
                <w:szCs w:val="20"/>
              </w:rPr>
              <w:t xml:space="preserve">er U.S. Supreme Court bestätigte das </w:t>
            </w:r>
            <w:proofErr w:type="spellStart"/>
            <w:r>
              <w:rPr>
                <w:sz w:val="20"/>
                <w:szCs w:val="20"/>
              </w:rPr>
              <w:t>vorinstanzielle</w:t>
            </w:r>
            <w:proofErr w:type="spellEnd"/>
            <w:r w:rsidRPr="00516310">
              <w:rPr>
                <w:sz w:val="20"/>
                <w:szCs w:val="20"/>
              </w:rPr>
              <w:t xml:space="preserve"> Urteil.</w:t>
            </w:r>
            <w:r>
              <w:rPr>
                <w:rStyle w:val="Funotenzeichen"/>
                <w:sz w:val="20"/>
                <w:szCs w:val="20"/>
              </w:rPr>
              <w:footnoteReference w:id="443"/>
            </w:r>
          </w:p>
          <w:p w14:paraId="383C6102" w14:textId="77777777" w:rsidR="00074551" w:rsidRPr="00A306A0" w:rsidRDefault="00074551" w:rsidP="00367133">
            <w:pPr>
              <w:rPr>
                <w:sz w:val="20"/>
                <w:szCs w:val="20"/>
              </w:rPr>
            </w:pPr>
          </w:p>
        </w:tc>
        <w:tc>
          <w:tcPr>
            <w:tcW w:w="1822" w:type="pct"/>
          </w:tcPr>
          <w:p w14:paraId="7F625FD1" w14:textId="77777777" w:rsidR="00074551" w:rsidRPr="00B45592" w:rsidRDefault="00074551" w:rsidP="00367133">
            <w:pPr>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Governments, State &amp; Territorial Governments</w:t>
            </w:r>
          </w:p>
          <w:p w14:paraId="7C02C9D0" w14:textId="77777777" w:rsidR="00074551" w:rsidRPr="00B45592" w:rsidRDefault="00074551" w:rsidP="00367133">
            <w:pPr>
              <w:rPr>
                <w:b/>
                <w:bCs/>
                <w:sz w:val="20"/>
                <w:szCs w:val="20"/>
                <w:lang w:val="en-IE"/>
              </w:rPr>
            </w:pPr>
          </w:p>
          <w:p w14:paraId="12051831" w14:textId="77777777" w:rsidR="00074551" w:rsidRDefault="00074551" w:rsidP="00367133">
            <w:pPr>
              <w:rPr>
                <w:sz w:val="20"/>
                <w:szCs w:val="20"/>
              </w:rPr>
            </w:pPr>
            <w:r w:rsidRPr="00B45592">
              <w:rPr>
                <w:sz w:val="20"/>
                <w:szCs w:val="20"/>
                <w:lang w:val="en-IE"/>
              </w:rPr>
              <w:t xml:space="preserve">Die Rechte, die </w:t>
            </w:r>
            <w:proofErr w:type="spellStart"/>
            <w:r w:rsidRPr="00B45592">
              <w:rPr>
                <w:sz w:val="20"/>
                <w:szCs w:val="20"/>
                <w:lang w:val="en-IE"/>
              </w:rPr>
              <w:t>ein</w:t>
            </w:r>
            <w:proofErr w:type="spellEnd"/>
            <w:r w:rsidRPr="00B45592">
              <w:rPr>
                <w:sz w:val="20"/>
                <w:szCs w:val="20"/>
                <w:lang w:val="en-IE"/>
              </w:rPr>
              <w:t xml:space="preserve"> Bundesstaat seinen </w:t>
            </w:r>
            <w:proofErr w:type="spellStart"/>
            <w:r w:rsidRPr="00B45592">
              <w:rPr>
                <w:sz w:val="20"/>
                <w:szCs w:val="20"/>
                <w:lang w:val="en-IE"/>
              </w:rPr>
              <w:t>Bürgern</w:t>
            </w:r>
            <w:proofErr w:type="spellEnd"/>
            <w:r w:rsidRPr="00B45592">
              <w:rPr>
                <w:sz w:val="20"/>
                <w:szCs w:val="20"/>
                <w:lang w:val="en-IE"/>
              </w:rPr>
              <w:t xml:space="preserve"> </w:t>
            </w:r>
            <w:proofErr w:type="spellStart"/>
            <w:r w:rsidRPr="00B45592">
              <w:rPr>
                <w:sz w:val="20"/>
                <w:szCs w:val="20"/>
                <w:lang w:val="en-IE"/>
              </w:rPr>
              <w:t>innerhalb</w:t>
            </w:r>
            <w:proofErr w:type="spellEnd"/>
            <w:r w:rsidRPr="00B45592">
              <w:rPr>
                <w:sz w:val="20"/>
                <w:szCs w:val="20"/>
                <w:lang w:val="en-IE"/>
              </w:rPr>
              <w:t xml:space="preserve"> seiner </w:t>
            </w:r>
            <w:proofErr w:type="spellStart"/>
            <w:r w:rsidRPr="00B45592">
              <w:rPr>
                <w:sz w:val="20"/>
                <w:szCs w:val="20"/>
                <w:lang w:val="en-IE"/>
              </w:rPr>
              <w:t>Gerichtsbarkeit</w:t>
            </w:r>
            <w:proofErr w:type="spellEnd"/>
            <w:r w:rsidRPr="00B45592">
              <w:rPr>
                <w:sz w:val="20"/>
                <w:szCs w:val="20"/>
                <w:lang w:val="en-IE"/>
              </w:rPr>
              <w:t xml:space="preserve"> </w:t>
            </w:r>
            <w:proofErr w:type="spellStart"/>
            <w:r w:rsidRPr="00B45592">
              <w:rPr>
                <w:sz w:val="20"/>
                <w:szCs w:val="20"/>
                <w:lang w:val="en-IE"/>
              </w:rPr>
              <w:t>gewähre</w:t>
            </w:r>
            <w:proofErr w:type="spellEnd"/>
            <w:r w:rsidRPr="00B45592">
              <w:rPr>
                <w:sz w:val="20"/>
                <w:szCs w:val="20"/>
                <w:lang w:val="en-IE"/>
              </w:rPr>
              <w:t xml:space="preserve">, </w:t>
            </w:r>
            <w:proofErr w:type="spellStart"/>
            <w:r w:rsidRPr="00B45592">
              <w:rPr>
                <w:sz w:val="20"/>
                <w:szCs w:val="20"/>
                <w:lang w:val="en-IE"/>
              </w:rPr>
              <w:t>gäben</w:t>
            </w:r>
            <w:proofErr w:type="spellEnd"/>
            <w:r w:rsidRPr="00B45592">
              <w:rPr>
                <w:sz w:val="20"/>
                <w:szCs w:val="20"/>
                <w:lang w:val="en-IE"/>
              </w:rPr>
              <w:t xml:space="preserve"> das </w:t>
            </w:r>
            <w:proofErr w:type="spellStart"/>
            <w:r w:rsidRPr="00B45592">
              <w:rPr>
                <w:sz w:val="20"/>
                <w:szCs w:val="20"/>
                <w:lang w:val="en-IE"/>
              </w:rPr>
              <w:t>Maß</w:t>
            </w:r>
            <w:proofErr w:type="spellEnd"/>
            <w:r w:rsidRPr="00B45592">
              <w:rPr>
                <w:sz w:val="20"/>
                <w:szCs w:val="20"/>
                <w:lang w:val="en-IE"/>
              </w:rPr>
              <w:t xml:space="preserve"> für die Rechte der Bürger </w:t>
            </w:r>
            <w:proofErr w:type="spellStart"/>
            <w:r w:rsidRPr="00B45592">
              <w:rPr>
                <w:sz w:val="20"/>
                <w:szCs w:val="20"/>
                <w:lang w:val="en-IE"/>
              </w:rPr>
              <w:t>anderer</w:t>
            </w:r>
            <w:proofErr w:type="spellEnd"/>
            <w:r w:rsidRPr="00B45592">
              <w:rPr>
                <w:sz w:val="20"/>
                <w:szCs w:val="20"/>
                <w:lang w:val="en-IE"/>
              </w:rPr>
              <w:t xml:space="preserve"> Bundesstaat </w:t>
            </w:r>
            <w:proofErr w:type="spellStart"/>
            <w:r w:rsidRPr="00B45592">
              <w:rPr>
                <w:sz w:val="20"/>
                <w:szCs w:val="20"/>
                <w:lang w:val="en-IE"/>
              </w:rPr>
              <w:t>vor</w:t>
            </w:r>
            <w:proofErr w:type="spellEnd"/>
            <w:r w:rsidRPr="00B45592">
              <w:rPr>
                <w:sz w:val="20"/>
                <w:szCs w:val="20"/>
                <w:lang w:val="en-IE"/>
              </w:rPr>
              <w:t xml:space="preserve"> („whatever rights a State grants to its own citizens are the measure within its jurisdiction of the rights of the citizens of other States, and for these propositions“</w:t>
            </w:r>
            <w:r w:rsidRPr="00AF58AD">
              <w:rPr>
                <w:sz w:val="20"/>
                <w:szCs w:val="20"/>
                <w:vertAlign w:val="superscript"/>
              </w:rPr>
              <w:footnoteReference w:id="444"/>
            </w:r>
            <w:r w:rsidRPr="00B45592">
              <w:rPr>
                <w:sz w:val="20"/>
                <w:szCs w:val="20"/>
                <w:lang w:val="en-IE"/>
              </w:rPr>
              <w:t xml:space="preserve">). </w:t>
            </w:r>
            <w:r w:rsidRPr="00AF58AD">
              <w:rPr>
                <w:sz w:val="20"/>
                <w:szCs w:val="20"/>
              </w:rPr>
              <w:t xml:space="preserve">Dafür definierte </w:t>
            </w:r>
            <w:r>
              <w:rPr>
                <w:sz w:val="20"/>
                <w:szCs w:val="20"/>
              </w:rPr>
              <w:t>U.S. Supreme Court</w:t>
            </w:r>
            <w:r w:rsidRPr="00AF58AD">
              <w:rPr>
                <w:sz w:val="20"/>
                <w:szCs w:val="20"/>
              </w:rPr>
              <w:t xml:space="preserve"> die Staatsbürgerschaft: Dieses Vorrecht eines Bürgers bestimme sich durch zwei Elemente. Einerseits </w:t>
            </w:r>
            <w:r>
              <w:rPr>
                <w:sz w:val="20"/>
                <w:szCs w:val="20"/>
              </w:rPr>
              <w:t>sei es</w:t>
            </w:r>
            <w:r w:rsidRPr="00AF58AD">
              <w:rPr>
                <w:sz w:val="20"/>
                <w:szCs w:val="20"/>
              </w:rPr>
              <w:t xml:space="preserve"> das Recht, Glück und Sicherheit verfolgen und erlangen zu können („the </w:t>
            </w:r>
            <w:proofErr w:type="spellStart"/>
            <w:r w:rsidRPr="00AF58AD">
              <w:rPr>
                <w:sz w:val="20"/>
                <w:szCs w:val="20"/>
              </w:rPr>
              <w:t>privilege</w:t>
            </w:r>
            <w:proofErr w:type="spellEnd"/>
            <w:r w:rsidRPr="00AF58AD">
              <w:rPr>
                <w:sz w:val="20"/>
                <w:szCs w:val="20"/>
              </w:rPr>
              <w:t xml:space="preserve"> of a </w:t>
            </w:r>
            <w:proofErr w:type="spellStart"/>
            <w:r w:rsidRPr="00AF58AD">
              <w:rPr>
                <w:sz w:val="20"/>
                <w:szCs w:val="20"/>
              </w:rPr>
              <w:t>citizen</w:t>
            </w:r>
            <w:proofErr w:type="spellEnd"/>
            <w:r w:rsidRPr="00AF58AD">
              <w:rPr>
                <w:sz w:val="20"/>
                <w:szCs w:val="20"/>
              </w:rPr>
              <w:t xml:space="preserve"> </w:t>
            </w:r>
            <w:proofErr w:type="spellStart"/>
            <w:r w:rsidRPr="00AF58AD">
              <w:rPr>
                <w:sz w:val="20"/>
                <w:szCs w:val="20"/>
              </w:rPr>
              <w:t>is</w:t>
            </w:r>
            <w:proofErr w:type="spellEnd"/>
            <w:r w:rsidRPr="00AF58AD">
              <w:rPr>
                <w:sz w:val="20"/>
                <w:szCs w:val="20"/>
              </w:rPr>
              <w:t xml:space="preserve"> </w:t>
            </w:r>
            <w:proofErr w:type="spellStart"/>
            <w:r w:rsidRPr="00AF58AD">
              <w:rPr>
                <w:sz w:val="20"/>
                <w:szCs w:val="20"/>
              </w:rPr>
              <w:t>defined</w:t>
            </w:r>
            <w:proofErr w:type="spellEnd"/>
            <w:r w:rsidRPr="00AF58AD">
              <w:rPr>
                <w:sz w:val="20"/>
                <w:szCs w:val="20"/>
              </w:rPr>
              <w:t xml:space="preserve"> </w:t>
            </w:r>
            <w:proofErr w:type="gramStart"/>
            <w:r w:rsidRPr="00AF58AD">
              <w:rPr>
                <w:sz w:val="20"/>
                <w:szCs w:val="20"/>
              </w:rPr>
              <w:t xml:space="preserve">to </w:t>
            </w:r>
            <w:proofErr w:type="spellStart"/>
            <w:r w:rsidRPr="00AF58AD">
              <w:rPr>
                <w:sz w:val="20"/>
                <w:szCs w:val="20"/>
              </w:rPr>
              <w:t>be</w:t>
            </w:r>
            <w:proofErr w:type="spellEnd"/>
            <w:proofErr w:type="gramEnd"/>
            <w:r w:rsidRPr="00AF58AD">
              <w:rPr>
                <w:sz w:val="20"/>
                <w:szCs w:val="20"/>
              </w:rPr>
              <w:t xml:space="preserve"> ‚the </w:t>
            </w:r>
            <w:proofErr w:type="spellStart"/>
            <w:r w:rsidRPr="00AF58AD">
              <w:rPr>
                <w:sz w:val="20"/>
                <w:szCs w:val="20"/>
              </w:rPr>
              <w:t>right</w:t>
            </w:r>
            <w:proofErr w:type="spellEnd"/>
            <w:r w:rsidRPr="00AF58AD">
              <w:rPr>
                <w:sz w:val="20"/>
                <w:szCs w:val="20"/>
              </w:rPr>
              <w:t xml:space="preserve"> to </w:t>
            </w:r>
            <w:proofErr w:type="spellStart"/>
            <w:r w:rsidRPr="00AF58AD">
              <w:rPr>
                <w:sz w:val="20"/>
                <w:szCs w:val="20"/>
              </w:rPr>
              <w:t>pursue</w:t>
            </w:r>
            <w:proofErr w:type="spellEnd"/>
            <w:r w:rsidRPr="00AF58AD">
              <w:rPr>
                <w:sz w:val="20"/>
                <w:szCs w:val="20"/>
              </w:rPr>
              <w:t xml:space="preserve"> and </w:t>
            </w:r>
            <w:proofErr w:type="spellStart"/>
            <w:r w:rsidRPr="00AF58AD">
              <w:rPr>
                <w:sz w:val="20"/>
                <w:szCs w:val="20"/>
              </w:rPr>
              <w:t>obtain</w:t>
            </w:r>
            <w:proofErr w:type="spellEnd"/>
            <w:r w:rsidRPr="00AF58AD">
              <w:rPr>
                <w:sz w:val="20"/>
                <w:szCs w:val="20"/>
              </w:rPr>
              <w:t xml:space="preserve"> </w:t>
            </w:r>
            <w:proofErr w:type="spellStart"/>
            <w:r w:rsidRPr="00AF58AD">
              <w:rPr>
                <w:sz w:val="20"/>
                <w:szCs w:val="20"/>
              </w:rPr>
              <w:t>happiness</w:t>
            </w:r>
            <w:proofErr w:type="spellEnd"/>
            <w:r w:rsidRPr="00AF58AD">
              <w:rPr>
                <w:sz w:val="20"/>
                <w:szCs w:val="20"/>
              </w:rPr>
              <w:t xml:space="preserve"> and </w:t>
            </w:r>
            <w:proofErr w:type="spellStart"/>
            <w:r w:rsidRPr="00AF58AD">
              <w:rPr>
                <w:sz w:val="20"/>
                <w:szCs w:val="20"/>
              </w:rPr>
              <w:t>safety</w:t>
            </w:r>
            <w:proofErr w:type="spellEnd"/>
            <w:r>
              <w:rPr>
                <w:sz w:val="20"/>
                <w:szCs w:val="20"/>
              </w:rPr>
              <w:t>‘</w:t>
            </w:r>
            <w:r w:rsidRPr="00AF58AD">
              <w:rPr>
                <w:sz w:val="20"/>
                <w:szCs w:val="20"/>
              </w:rPr>
              <w:t>“</w:t>
            </w:r>
            <w:r w:rsidRPr="00AF58AD">
              <w:rPr>
                <w:sz w:val="20"/>
                <w:szCs w:val="20"/>
                <w:vertAlign w:val="superscript"/>
              </w:rPr>
              <w:footnoteReference w:id="445"/>
            </w:r>
            <w:r w:rsidRPr="00AF58AD">
              <w:rPr>
                <w:sz w:val="20"/>
                <w:szCs w:val="20"/>
              </w:rPr>
              <w:t>)</w:t>
            </w:r>
            <w:r>
              <w:rPr>
                <w:sz w:val="20"/>
                <w:szCs w:val="20"/>
              </w:rPr>
              <w:t>,</w:t>
            </w:r>
            <w:r w:rsidRPr="00AF58AD">
              <w:rPr>
                <w:sz w:val="20"/>
                <w:szCs w:val="20"/>
              </w:rPr>
              <w:t xml:space="preserve"> und </w:t>
            </w:r>
            <w:r>
              <w:rPr>
                <w:sz w:val="20"/>
                <w:szCs w:val="20"/>
              </w:rPr>
              <w:t>andererseits jedem</w:t>
            </w:r>
            <w:r w:rsidRPr="00AF58AD">
              <w:rPr>
                <w:sz w:val="20"/>
                <w:szCs w:val="20"/>
              </w:rPr>
              <w:t xml:space="preserve"> rechtmäßigen Geschäft oder Beruf nachgehen zu können, in einer Weise, die die gleichen Rechten anderer unverletzt lasse („to </w:t>
            </w:r>
            <w:proofErr w:type="spellStart"/>
            <w:r w:rsidRPr="00AF58AD">
              <w:rPr>
                <w:sz w:val="20"/>
                <w:szCs w:val="20"/>
              </w:rPr>
              <w:t>pursue</w:t>
            </w:r>
            <w:proofErr w:type="spellEnd"/>
            <w:r w:rsidRPr="00AF58AD">
              <w:rPr>
                <w:sz w:val="20"/>
                <w:szCs w:val="20"/>
              </w:rPr>
              <w:t xml:space="preserve"> </w:t>
            </w:r>
            <w:proofErr w:type="spellStart"/>
            <w:r w:rsidRPr="00AF58AD">
              <w:rPr>
                <w:sz w:val="20"/>
                <w:szCs w:val="20"/>
              </w:rPr>
              <w:t>any</w:t>
            </w:r>
            <w:proofErr w:type="spellEnd"/>
            <w:r w:rsidRPr="00AF58AD">
              <w:rPr>
                <w:sz w:val="20"/>
                <w:szCs w:val="20"/>
              </w:rPr>
              <w:t xml:space="preserve"> </w:t>
            </w:r>
            <w:proofErr w:type="spellStart"/>
            <w:r w:rsidRPr="00AF58AD">
              <w:rPr>
                <w:sz w:val="20"/>
                <w:szCs w:val="20"/>
              </w:rPr>
              <w:t>lawful</w:t>
            </w:r>
            <w:proofErr w:type="spellEnd"/>
            <w:r w:rsidRPr="00AF58AD">
              <w:rPr>
                <w:sz w:val="20"/>
                <w:szCs w:val="20"/>
              </w:rPr>
              <w:t xml:space="preserve"> </w:t>
            </w:r>
            <w:proofErr w:type="spellStart"/>
            <w:r w:rsidRPr="00AF58AD">
              <w:rPr>
                <w:sz w:val="20"/>
                <w:szCs w:val="20"/>
              </w:rPr>
              <w:t>business</w:t>
            </w:r>
            <w:proofErr w:type="spellEnd"/>
            <w:r w:rsidRPr="00AF58AD">
              <w:rPr>
                <w:sz w:val="20"/>
                <w:szCs w:val="20"/>
              </w:rPr>
              <w:t xml:space="preserve"> </w:t>
            </w:r>
            <w:proofErr w:type="spellStart"/>
            <w:r w:rsidRPr="00AF58AD">
              <w:rPr>
                <w:sz w:val="20"/>
                <w:szCs w:val="20"/>
              </w:rPr>
              <w:t>or</w:t>
            </w:r>
            <w:proofErr w:type="spellEnd"/>
            <w:r w:rsidRPr="00AF58AD">
              <w:rPr>
                <w:sz w:val="20"/>
                <w:szCs w:val="20"/>
              </w:rPr>
              <w:t xml:space="preserve"> </w:t>
            </w:r>
            <w:proofErr w:type="spellStart"/>
            <w:r w:rsidRPr="00AF58AD">
              <w:rPr>
                <w:sz w:val="20"/>
                <w:szCs w:val="20"/>
              </w:rPr>
              <w:t>vocation</w:t>
            </w:r>
            <w:proofErr w:type="spellEnd"/>
            <w:r w:rsidRPr="00AF58AD">
              <w:rPr>
                <w:sz w:val="20"/>
                <w:szCs w:val="20"/>
              </w:rPr>
              <w:t xml:space="preserve">, in </w:t>
            </w:r>
            <w:proofErr w:type="spellStart"/>
            <w:r w:rsidRPr="00AF58AD">
              <w:rPr>
                <w:sz w:val="20"/>
                <w:szCs w:val="20"/>
              </w:rPr>
              <w:t>any</w:t>
            </w:r>
            <w:proofErr w:type="spellEnd"/>
            <w:r w:rsidRPr="00AF58AD">
              <w:rPr>
                <w:sz w:val="20"/>
                <w:szCs w:val="20"/>
              </w:rPr>
              <w:t xml:space="preserve"> </w:t>
            </w:r>
            <w:proofErr w:type="spellStart"/>
            <w:r w:rsidRPr="00AF58AD">
              <w:rPr>
                <w:sz w:val="20"/>
                <w:szCs w:val="20"/>
              </w:rPr>
              <w:t>manner</w:t>
            </w:r>
            <w:proofErr w:type="spellEnd"/>
            <w:r w:rsidRPr="00AF58AD">
              <w:rPr>
                <w:sz w:val="20"/>
                <w:szCs w:val="20"/>
              </w:rPr>
              <w:t xml:space="preserve"> not </w:t>
            </w:r>
            <w:proofErr w:type="spellStart"/>
            <w:r w:rsidRPr="00AF58AD">
              <w:rPr>
                <w:sz w:val="20"/>
                <w:szCs w:val="20"/>
              </w:rPr>
              <w:t>inconsistent</w:t>
            </w:r>
            <w:proofErr w:type="spellEnd"/>
            <w:r w:rsidRPr="00AF58AD">
              <w:rPr>
                <w:sz w:val="20"/>
                <w:szCs w:val="20"/>
              </w:rPr>
              <w:t xml:space="preserve"> </w:t>
            </w:r>
            <w:proofErr w:type="spellStart"/>
            <w:r w:rsidRPr="00AF58AD">
              <w:rPr>
                <w:sz w:val="20"/>
                <w:szCs w:val="20"/>
              </w:rPr>
              <w:t>with</w:t>
            </w:r>
            <w:proofErr w:type="spellEnd"/>
            <w:r w:rsidRPr="00AF58AD">
              <w:rPr>
                <w:sz w:val="20"/>
                <w:szCs w:val="20"/>
              </w:rPr>
              <w:t xml:space="preserve"> the </w:t>
            </w:r>
            <w:proofErr w:type="spellStart"/>
            <w:r w:rsidRPr="00AF58AD">
              <w:rPr>
                <w:sz w:val="20"/>
                <w:szCs w:val="20"/>
              </w:rPr>
              <w:t>equal</w:t>
            </w:r>
            <w:proofErr w:type="spellEnd"/>
            <w:r w:rsidRPr="00AF58AD">
              <w:rPr>
                <w:sz w:val="20"/>
                <w:szCs w:val="20"/>
              </w:rPr>
              <w:t xml:space="preserve"> </w:t>
            </w:r>
            <w:proofErr w:type="spellStart"/>
            <w:r w:rsidRPr="00AF58AD">
              <w:rPr>
                <w:sz w:val="20"/>
                <w:szCs w:val="20"/>
              </w:rPr>
              <w:t>rights</w:t>
            </w:r>
            <w:proofErr w:type="spellEnd"/>
            <w:r w:rsidRPr="00AF58AD">
              <w:rPr>
                <w:sz w:val="20"/>
                <w:szCs w:val="20"/>
              </w:rPr>
              <w:t xml:space="preserve"> of </w:t>
            </w:r>
            <w:proofErr w:type="spellStart"/>
            <w:r w:rsidRPr="00AF58AD">
              <w:rPr>
                <w:sz w:val="20"/>
                <w:szCs w:val="20"/>
              </w:rPr>
              <w:t>others</w:t>
            </w:r>
            <w:proofErr w:type="spellEnd"/>
            <w:r w:rsidRPr="00AF58AD">
              <w:rPr>
                <w:sz w:val="20"/>
                <w:szCs w:val="20"/>
              </w:rPr>
              <w:t>“</w:t>
            </w:r>
            <w:r w:rsidRPr="00AF58AD">
              <w:rPr>
                <w:sz w:val="20"/>
                <w:szCs w:val="20"/>
                <w:vertAlign w:val="superscript"/>
              </w:rPr>
              <w:t xml:space="preserve"> </w:t>
            </w:r>
            <w:r w:rsidRPr="00AF58AD">
              <w:rPr>
                <w:sz w:val="20"/>
                <w:szCs w:val="20"/>
                <w:vertAlign w:val="superscript"/>
              </w:rPr>
              <w:footnoteReference w:id="446"/>
            </w:r>
            <w:r w:rsidRPr="00AF58AD">
              <w:rPr>
                <w:sz w:val="20"/>
                <w:szCs w:val="20"/>
              </w:rPr>
              <w:t xml:space="preserve">). Und Gerichte </w:t>
            </w:r>
            <w:r>
              <w:rPr>
                <w:sz w:val="20"/>
                <w:szCs w:val="20"/>
              </w:rPr>
              <w:t>hätten</w:t>
            </w:r>
            <w:r w:rsidRPr="00AF58AD">
              <w:rPr>
                <w:sz w:val="20"/>
                <w:szCs w:val="20"/>
              </w:rPr>
              <w:t xml:space="preserve"> zwischen Staatsbürgerschaft </w:t>
            </w:r>
            <w:r>
              <w:rPr>
                <w:sz w:val="20"/>
                <w:szCs w:val="20"/>
              </w:rPr>
              <w:t xml:space="preserve">einerseits </w:t>
            </w:r>
            <w:r w:rsidRPr="00AF58AD">
              <w:rPr>
                <w:sz w:val="20"/>
                <w:szCs w:val="20"/>
              </w:rPr>
              <w:t xml:space="preserve">und Einwohnern bzw. dem Wohnsitz </w:t>
            </w:r>
            <w:r>
              <w:rPr>
                <w:sz w:val="20"/>
                <w:szCs w:val="20"/>
              </w:rPr>
              <w:t xml:space="preserve">andererseits </w:t>
            </w:r>
            <w:r w:rsidRPr="00AF58AD">
              <w:rPr>
                <w:sz w:val="20"/>
                <w:szCs w:val="20"/>
              </w:rPr>
              <w:t xml:space="preserve">zu unterscheiden. Zum Beispiel sei die Absicht des </w:t>
            </w:r>
            <w:r>
              <w:rPr>
                <w:sz w:val="20"/>
                <w:szCs w:val="20"/>
              </w:rPr>
              <w:t xml:space="preserve">besagten </w:t>
            </w:r>
            <w:r w:rsidRPr="00AF58AD">
              <w:rPr>
                <w:sz w:val="20"/>
                <w:szCs w:val="20"/>
              </w:rPr>
              <w:t xml:space="preserve">Gesetzes </w:t>
            </w:r>
            <w:r>
              <w:rPr>
                <w:sz w:val="20"/>
                <w:szCs w:val="20"/>
              </w:rPr>
              <w:t xml:space="preserve">von </w:t>
            </w:r>
            <w:r w:rsidRPr="00AF58AD">
              <w:rPr>
                <w:sz w:val="20"/>
                <w:szCs w:val="20"/>
              </w:rPr>
              <w:t>South Carolina,</w:t>
            </w:r>
            <w:r>
              <w:rPr>
                <w:sz w:val="20"/>
                <w:szCs w:val="20"/>
              </w:rPr>
              <w:t xml:space="preserve"> </w:t>
            </w:r>
            <w:r w:rsidRPr="00AF58AD">
              <w:rPr>
                <w:sz w:val="20"/>
                <w:szCs w:val="20"/>
              </w:rPr>
              <w:t>Bürger anderer Bundesstaaten nur so weit zu diskriminieren, indem es für eine Lizenz für Versicherungsgeschäfte einen Wohnsitz im Bundesstaat South Carolina voraussetze.</w:t>
            </w:r>
          </w:p>
        </w:tc>
      </w:tr>
      <w:tr w:rsidR="00074551" w:rsidRPr="00E50B51" w14:paraId="288019B1" w14:textId="77777777" w:rsidTr="00752D01">
        <w:trPr>
          <w:cantSplit/>
          <w:trHeight w:val="3175"/>
        </w:trPr>
        <w:tc>
          <w:tcPr>
            <w:tcW w:w="293" w:type="pct"/>
            <w:shd w:val="clear" w:color="auto" w:fill="E7E6E6" w:themeFill="background2"/>
          </w:tcPr>
          <w:p w14:paraId="3CEFBE80"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546BF6D0"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4CE859E3"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08CD2885" w14:textId="77777777" w:rsidR="00074551" w:rsidRPr="00E50B51" w:rsidRDefault="00074551" w:rsidP="00367133">
            <w:pPr>
              <w:ind w:left="113" w:right="113"/>
              <w:jc w:val="both"/>
              <w:rPr>
                <w:sz w:val="20"/>
                <w:szCs w:val="20"/>
                <w:lang w:val="en-US"/>
              </w:rPr>
            </w:pPr>
            <w:r w:rsidRPr="00E50B51">
              <w:rPr>
                <w:sz w:val="20"/>
                <w:szCs w:val="20"/>
                <w:lang w:val="en-US"/>
              </w:rPr>
              <w:t>Relations Among Governments</w:t>
            </w:r>
          </w:p>
        </w:tc>
        <w:tc>
          <w:tcPr>
            <w:tcW w:w="306" w:type="pct"/>
            <w:shd w:val="clear" w:color="auto" w:fill="E7E6E6" w:themeFill="background2"/>
            <w:textDirection w:val="tbRl"/>
            <w:vAlign w:val="center"/>
          </w:tcPr>
          <w:p w14:paraId="41981BA2" w14:textId="77777777" w:rsidR="00074551" w:rsidRPr="00E50B51" w:rsidRDefault="00074551" w:rsidP="00367133">
            <w:pPr>
              <w:ind w:left="113" w:right="113"/>
              <w:jc w:val="both"/>
              <w:rPr>
                <w:sz w:val="20"/>
                <w:szCs w:val="20"/>
                <w:lang w:val="en-US"/>
              </w:rPr>
            </w:pPr>
            <w:r w:rsidRPr="00E50B51">
              <w:rPr>
                <w:sz w:val="20"/>
                <w:szCs w:val="20"/>
              </w:rPr>
              <w:t>Scope</w:t>
            </w:r>
          </w:p>
        </w:tc>
        <w:tc>
          <w:tcPr>
            <w:tcW w:w="401" w:type="pct"/>
            <w:shd w:val="clear" w:color="auto" w:fill="E7E6E6" w:themeFill="background2"/>
          </w:tcPr>
          <w:p w14:paraId="0368DADD"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68A10EEC" w14:textId="77777777" w:rsidR="00074551" w:rsidRPr="00E50B51" w:rsidRDefault="00074551" w:rsidP="00367133">
            <w:pPr>
              <w:jc w:val="both"/>
              <w:rPr>
                <w:sz w:val="20"/>
                <w:szCs w:val="20"/>
                <w:lang w:val="en-US"/>
              </w:rPr>
            </w:pPr>
          </w:p>
        </w:tc>
        <w:tc>
          <w:tcPr>
            <w:tcW w:w="1822" w:type="pct"/>
            <w:shd w:val="clear" w:color="auto" w:fill="E7E6E6" w:themeFill="background2"/>
          </w:tcPr>
          <w:p w14:paraId="05C66E3F" w14:textId="49BD16F6" w:rsidR="00074551" w:rsidRPr="00E50B51" w:rsidRDefault="00A15DB3" w:rsidP="00752D01">
            <w:pPr>
              <w:rPr>
                <w:sz w:val="20"/>
                <w:szCs w:val="20"/>
                <w:lang w:val="en-US"/>
              </w:rPr>
            </w:pPr>
            <w:r w:rsidRPr="00A15DB3">
              <w:rPr>
                <w:i/>
                <w:iCs/>
                <w:sz w:val="16"/>
                <w:szCs w:val="20"/>
              </w:rPr>
              <w:t>Thematische Gliederung der nachfolgenden Entscheidungen ↓</w:t>
            </w:r>
          </w:p>
        </w:tc>
      </w:tr>
      <w:tr w:rsidR="00074551" w:rsidRPr="00E50B51" w14:paraId="5E573BCE" w14:textId="77777777" w:rsidTr="00BE689F">
        <w:trPr>
          <w:cantSplit/>
          <w:trHeight w:val="3175"/>
        </w:trPr>
        <w:tc>
          <w:tcPr>
            <w:tcW w:w="293" w:type="pct"/>
          </w:tcPr>
          <w:p w14:paraId="5566549F"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1C92FE0" w14:textId="77777777" w:rsidR="00074551" w:rsidRPr="00B45592" w:rsidRDefault="00074551" w:rsidP="00367133">
            <w:pPr>
              <w:ind w:left="113" w:right="113"/>
              <w:jc w:val="both"/>
              <w:rPr>
                <w:i/>
                <w:sz w:val="20"/>
                <w:szCs w:val="20"/>
                <w:lang w:val="en-US"/>
              </w:rPr>
            </w:pPr>
            <w:r w:rsidRPr="00584023">
              <w:rPr>
                <w:i/>
                <w:sz w:val="20"/>
                <w:szCs w:val="20"/>
                <w:lang w:val="en-US"/>
              </w:rPr>
              <w:t>Blake v. McClung</w:t>
            </w:r>
          </w:p>
        </w:tc>
        <w:tc>
          <w:tcPr>
            <w:tcW w:w="197" w:type="pct"/>
            <w:textDirection w:val="tbRl"/>
            <w:vAlign w:val="center"/>
          </w:tcPr>
          <w:p w14:paraId="2E3E9598" w14:textId="77777777" w:rsidR="00074551" w:rsidRPr="00E50B51" w:rsidRDefault="00074551" w:rsidP="00367133">
            <w:pPr>
              <w:ind w:left="113" w:right="113"/>
              <w:jc w:val="both"/>
              <w:rPr>
                <w:sz w:val="20"/>
                <w:szCs w:val="20"/>
                <w:lang w:val="en-US"/>
              </w:rPr>
            </w:pPr>
            <w:r w:rsidRPr="00E50B51">
              <w:rPr>
                <w:sz w:val="20"/>
                <w:szCs w:val="20"/>
                <w:lang w:val="en-US"/>
              </w:rPr>
              <w:t>172 U.S. 239</w:t>
            </w:r>
          </w:p>
        </w:tc>
        <w:tc>
          <w:tcPr>
            <w:tcW w:w="306" w:type="pct"/>
            <w:textDirection w:val="tbRl"/>
            <w:vAlign w:val="center"/>
          </w:tcPr>
          <w:p w14:paraId="31FDAD4E" w14:textId="77777777" w:rsidR="00074551" w:rsidRPr="00E50B51" w:rsidRDefault="00074551" w:rsidP="00367133">
            <w:pPr>
              <w:ind w:left="113" w:right="113"/>
              <w:jc w:val="both"/>
              <w:rPr>
                <w:sz w:val="20"/>
                <w:szCs w:val="20"/>
              </w:rPr>
            </w:pPr>
            <w:r w:rsidRPr="00E50B51">
              <w:rPr>
                <w:sz w:val="20"/>
                <w:szCs w:val="20"/>
              </w:rPr>
              <w:t>12. Dezember 1898</w:t>
            </w:r>
          </w:p>
        </w:tc>
        <w:tc>
          <w:tcPr>
            <w:tcW w:w="401" w:type="pct"/>
          </w:tcPr>
          <w:p w14:paraId="6BEE4EF1"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305769F0" w14:textId="77777777" w:rsidR="00074551" w:rsidRPr="00E50B51" w:rsidRDefault="00074551" w:rsidP="00367133">
            <w:pPr>
              <w:jc w:val="both"/>
              <w:rPr>
                <w:sz w:val="20"/>
                <w:szCs w:val="20"/>
              </w:rPr>
            </w:pPr>
            <w:r w:rsidRPr="00E50B51">
              <w:rPr>
                <w:sz w:val="20"/>
                <w:szCs w:val="20"/>
              </w:rPr>
              <w:t>*</w:t>
            </w:r>
          </w:p>
        </w:tc>
        <w:tc>
          <w:tcPr>
            <w:tcW w:w="1822" w:type="pct"/>
          </w:tcPr>
          <w:p w14:paraId="2487F5BB" w14:textId="77777777" w:rsidR="00074551" w:rsidRDefault="00074551" w:rsidP="00367133">
            <w:pPr>
              <w:jc w:val="both"/>
              <w:rPr>
                <w:sz w:val="20"/>
                <w:szCs w:val="20"/>
              </w:rPr>
            </w:pPr>
            <w:r w:rsidRPr="00E50B51">
              <w:rPr>
                <w:sz w:val="20"/>
                <w:szCs w:val="20"/>
              </w:rPr>
              <w:t xml:space="preserve">Der Zweck der verfassungsmäßigen Vorrechte und </w:t>
            </w:r>
            <w:r>
              <w:rPr>
                <w:sz w:val="20"/>
                <w:szCs w:val="20"/>
              </w:rPr>
              <w:t>Immunitäten</w:t>
            </w:r>
            <w:r w:rsidRPr="00E50B51">
              <w:rPr>
                <w:sz w:val="20"/>
                <w:szCs w:val="20"/>
              </w:rPr>
              <w:t xml:space="preserve"> bestehe darin, den Bürgern der einzelnen Staaten eine gemeinsame Staatsbürgerschaft zu verleihen. Das </w:t>
            </w:r>
            <w:r>
              <w:rPr>
                <w:sz w:val="20"/>
                <w:szCs w:val="20"/>
              </w:rPr>
              <w:t>bedeute</w:t>
            </w:r>
            <w:r w:rsidRPr="00E50B51">
              <w:rPr>
                <w:sz w:val="20"/>
                <w:szCs w:val="20"/>
              </w:rPr>
              <w:t xml:space="preserve">, Vorrechte und </w:t>
            </w:r>
            <w:r>
              <w:rPr>
                <w:sz w:val="20"/>
                <w:szCs w:val="20"/>
              </w:rPr>
              <w:t>Immunitäten</w:t>
            </w:r>
            <w:r w:rsidRPr="00E50B51">
              <w:rPr>
                <w:sz w:val="20"/>
                <w:szCs w:val="20"/>
              </w:rPr>
              <w:t xml:space="preserve"> so zu gewähren, wie sie Bürgern im selben Bundesstaat unter gleichen Umständen zustehen. Ein Beispiel dafür sei das Klagerecht. Doch woraus ergibt sich dieser Zweck der Vorrechte und </w:t>
            </w:r>
            <w:r>
              <w:rPr>
                <w:sz w:val="20"/>
                <w:szCs w:val="20"/>
              </w:rPr>
              <w:t>Immunitäten</w:t>
            </w:r>
            <w:r w:rsidRPr="00E50B51">
              <w:rPr>
                <w:sz w:val="20"/>
                <w:szCs w:val="20"/>
              </w:rPr>
              <w:t>? Der Zweck</w:t>
            </w:r>
            <w:r>
              <w:rPr>
                <w:sz w:val="20"/>
                <w:szCs w:val="20"/>
              </w:rPr>
              <w:t>,</w:t>
            </w:r>
            <w:r w:rsidRPr="00E50B51">
              <w:rPr>
                <w:sz w:val="20"/>
                <w:szCs w:val="20"/>
              </w:rPr>
              <w:t xml:space="preserve"> Bürgerrechte anzugleichen, beschränke sich auf die</w:t>
            </w:r>
            <w:r>
              <w:rPr>
                <w:sz w:val="20"/>
                <w:szCs w:val="20"/>
              </w:rPr>
              <w:t>jenigen</w:t>
            </w:r>
            <w:r w:rsidRPr="00E50B51">
              <w:rPr>
                <w:sz w:val="20"/>
                <w:szCs w:val="20"/>
              </w:rPr>
              <w:t xml:space="preserve"> Vorrechte und </w:t>
            </w:r>
            <w:r>
              <w:rPr>
                <w:sz w:val="20"/>
                <w:szCs w:val="20"/>
              </w:rPr>
              <w:t>Immunitäten</w:t>
            </w:r>
            <w:r w:rsidRPr="00E50B51">
              <w:rPr>
                <w:sz w:val="20"/>
                <w:szCs w:val="20"/>
              </w:rPr>
              <w:t xml:space="preserve">, die grundlegend </w:t>
            </w:r>
            <w:r>
              <w:rPr>
                <w:sz w:val="20"/>
                <w:szCs w:val="20"/>
              </w:rPr>
              <w:t xml:space="preserve">oder </w:t>
            </w:r>
            <w:r w:rsidRPr="00E50B51">
              <w:rPr>
                <w:sz w:val="20"/>
                <w:szCs w:val="20"/>
              </w:rPr>
              <w:t>fundamental</w:t>
            </w:r>
            <w:r>
              <w:rPr>
                <w:sz w:val="20"/>
                <w:szCs w:val="20"/>
              </w:rPr>
              <w:t xml:space="preserve"> sind</w:t>
            </w:r>
            <w:r w:rsidRPr="00E50B51">
              <w:rPr>
                <w:sz w:val="20"/>
                <w:szCs w:val="20"/>
              </w:rPr>
              <w:t xml:space="preserve">. Grundlegend sind Vorrechte und </w:t>
            </w:r>
            <w:r>
              <w:rPr>
                <w:sz w:val="20"/>
                <w:szCs w:val="20"/>
              </w:rPr>
              <w:t>Immunitäten</w:t>
            </w:r>
            <w:r w:rsidRPr="00E50B51">
              <w:rPr>
                <w:sz w:val="20"/>
                <w:szCs w:val="20"/>
              </w:rPr>
              <w:t xml:space="preserve"> </w:t>
            </w:r>
            <w:r>
              <w:rPr>
                <w:sz w:val="20"/>
                <w:szCs w:val="20"/>
              </w:rPr>
              <w:t>dann</w:t>
            </w:r>
            <w:r w:rsidRPr="00E50B51">
              <w:rPr>
                <w:sz w:val="20"/>
                <w:szCs w:val="20"/>
              </w:rPr>
              <w:t xml:space="preserve">, wenn sie zu den Rechten gehören, die Bürgern freier Regierungen zustehen, seitdem </w:t>
            </w:r>
            <w:r>
              <w:rPr>
                <w:sz w:val="20"/>
                <w:szCs w:val="20"/>
              </w:rPr>
              <w:t>diese</w:t>
            </w:r>
            <w:r w:rsidRPr="00E50B51">
              <w:rPr>
                <w:sz w:val="20"/>
                <w:szCs w:val="20"/>
              </w:rPr>
              <w:t xml:space="preserve"> frei, unabhängig und souverän sind. </w:t>
            </w:r>
            <w:r>
              <w:rPr>
                <w:sz w:val="20"/>
                <w:szCs w:val="20"/>
              </w:rPr>
              <w:t>Und die</w:t>
            </w:r>
            <w:r w:rsidRPr="00E50B51">
              <w:rPr>
                <w:sz w:val="20"/>
                <w:szCs w:val="20"/>
              </w:rPr>
              <w:t xml:space="preserve"> grundlegenden Vorrechte und </w:t>
            </w:r>
            <w:r>
              <w:rPr>
                <w:sz w:val="20"/>
                <w:szCs w:val="20"/>
              </w:rPr>
              <w:t>Immunitäten</w:t>
            </w:r>
            <w:r w:rsidRPr="00E50B51">
              <w:rPr>
                <w:sz w:val="20"/>
                <w:szCs w:val="20"/>
              </w:rPr>
              <w:t xml:space="preserve"> bzw. Grundprinzipien („fundamental </w:t>
            </w:r>
            <w:proofErr w:type="spellStart"/>
            <w:r w:rsidRPr="00E50B51">
              <w:rPr>
                <w:sz w:val="20"/>
                <w:szCs w:val="20"/>
              </w:rPr>
              <w:t>principle</w:t>
            </w:r>
            <w:r w:rsidRPr="00B45592">
              <w:rPr>
                <w:sz w:val="20"/>
                <w:szCs w:val="20"/>
              </w:rPr>
              <w:t>s</w:t>
            </w:r>
            <w:proofErr w:type="spellEnd"/>
            <w:r w:rsidRPr="001931CD">
              <w:rPr>
                <w:sz w:val="20"/>
                <w:szCs w:val="20"/>
              </w:rPr>
              <w:t>“</w:t>
            </w:r>
            <w:r w:rsidRPr="001931CD">
              <w:rPr>
                <w:rStyle w:val="Funotenzeichen"/>
                <w:sz w:val="20"/>
                <w:szCs w:val="20"/>
              </w:rPr>
              <w:footnoteReference w:id="447"/>
            </w:r>
            <w:r w:rsidRPr="001931CD">
              <w:rPr>
                <w:sz w:val="20"/>
                <w:szCs w:val="20"/>
              </w:rPr>
              <w:t xml:space="preserve">) fasst der </w:t>
            </w:r>
            <w:r>
              <w:rPr>
                <w:sz w:val="20"/>
                <w:szCs w:val="20"/>
              </w:rPr>
              <w:t>U.S. Supreme Court</w:t>
            </w:r>
            <w:r w:rsidRPr="001931CD">
              <w:rPr>
                <w:sz w:val="20"/>
                <w:szCs w:val="20"/>
              </w:rPr>
              <w:t xml:space="preserve"> u.a. unter dem folgenden Ziel zusammen („</w:t>
            </w:r>
            <w:proofErr w:type="spellStart"/>
            <w:r w:rsidRPr="001931CD">
              <w:rPr>
                <w:sz w:val="20"/>
                <w:szCs w:val="20"/>
              </w:rPr>
              <w:t>comprehended</w:t>
            </w:r>
            <w:proofErr w:type="spellEnd"/>
            <w:r w:rsidRPr="001931CD">
              <w:rPr>
                <w:sz w:val="20"/>
                <w:szCs w:val="20"/>
              </w:rPr>
              <w:t xml:space="preserve"> </w:t>
            </w:r>
            <w:proofErr w:type="spellStart"/>
            <w:r w:rsidRPr="001931CD">
              <w:rPr>
                <w:sz w:val="20"/>
                <w:szCs w:val="20"/>
              </w:rPr>
              <w:t>under</w:t>
            </w:r>
            <w:proofErr w:type="spellEnd"/>
            <w:r w:rsidRPr="001931CD">
              <w:rPr>
                <w:sz w:val="20"/>
                <w:szCs w:val="20"/>
              </w:rPr>
              <w:t xml:space="preserve"> the </w:t>
            </w:r>
            <w:proofErr w:type="spellStart"/>
            <w:r w:rsidRPr="001931CD">
              <w:rPr>
                <w:sz w:val="20"/>
                <w:szCs w:val="20"/>
              </w:rPr>
              <w:t>following</w:t>
            </w:r>
            <w:proofErr w:type="spellEnd"/>
            <w:r w:rsidRPr="001931CD">
              <w:rPr>
                <w:sz w:val="20"/>
                <w:szCs w:val="20"/>
              </w:rPr>
              <w:t xml:space="preserve"> </w:t>
            </w:r>
            <w:proofErr w:type="spellStart"/>
            <w:r w:rsidRPr="001931CD">
              <w:rPr>
                <w:sz w:val="20"/>
                <w:szCs w:val="20"/>
              </w:rPr>
              <w:t>general</w:t>
            </w:r>
            <w:proofErr w:type="spellEnd"/>
            <w:r w:rsidRPr="001931CD">
              <w:rPr>
                <w:sz w:val="20"/>
                <w:szCs w:val="20"/>
              </w:rPr>
              <w:t xml:space="preserve"> </w:t>
            </w:r>
            <w:proofErr w:type="spellStart"/>
            <w:r w:rsidRPr="001931CD">
              <w:rPr>
                <w:sz w:val="20"/>
                <w:szCs w:val="20"/>
              </w:rPr>
              <w:t>heads</w:t>
            </w:r>
            <w:proofErr w:type="spellEnd"/>
            <w:r w:rsidRPr="001931CD">
              <w:rPr>
                <w:sz w:val="20"/>
                <w:szCs w:val="20"/>
              </w:rPr>
              <w:t>“</w:t>
            </w:r>
            <w:r w:rsidRPr="001931CD">
              <w:rPr>
                <w:rStyle w:val="Funotenzeichen"/>
                <w:sz w:val="20"/>
                <w:szCs w:val="20"/>
              </w:rPr>
              <w:footnoteReference w:id="448"/>
            </w:r>
            <w:r w:rsidRPr="001931CD">
              <w:rPr>
                <w:sz w:val="20"/>
                <w:szCs w:val="20"/>
              </w:rPr>
              <w:t>): Die gleiche Möglichkeit zu haben, Glück und Sicherheit zu suchen und erlangen zu können („</w:t>
            </w:r>
            <w:proofErr w:type="spellStart"/>
            <w:r w:rsidRPr="001931CD">
              <w:rPr>
                <w:sz w:val="20"/>
                <w:szCs w:val="20"/>
              </w:rPr>
              <w:t>pursue</w:t>
            </w:r>
            <w:proofErr w:type="spellEnd"/>
            <w:r w:rsidRPr="001931CD">
              <w:rPr>
                <w:sz w:val="20"/>
                <w:szCs w:val="20"/>
              </w:rPr>
              <w:t xml:space="preserve"> and </w:t>
            </w:r>
            <w:proofErr w:type="spellStart"/>
            <w:r w:rsidRPr="001931CD">
              <w:rPr>
                <w:sz w:val="20"/>
                <w:szCs w:val="20"/>
              </w:rPr>
              <w:t>obtain</w:t>
            </w:r>
            <w:proofErr w:type="spellEnd"/>
            <w:r w:rsidRPr="001931CD">
              <w:rPr>
                <w:sz w:val="20"/>
                <w:szCs w:val="20"/>
              </w:rPr>
              <w:t xml:space="preserve"> </w:t>
            </w:r>
            <w:proofErr w:type="spellStart"/>
            <w:r w:rsidRPr="001931CD">
              <w:rPr>
                <w:sz w:val="20"/>
                <w:szCs w:val="20"/>
              </w:rPr>
              <w:t>happiness</w:t>
            </w:r>
            <w:proofErr w:type="spellEnd"/>
            <w:r w:rsidRPr="001931CD">
              <w:rPr>
                <w:sz w:val="20"/>
                <w:szCs w:val="20"/>
              </w:rPr>
              <w:t xml:space="preserve"> and </w:t>
            </w:r>
            <w:proofErr w:type="spellStart"/>
            <w:r w:rsidRPr="001931CD">
              <w:rPr>
                <w:sz w:val="20"/>
                <w:szCs w:val="20"/>
              </w:rPr>
              <w:t>safety</w:t>
            </w:r>
            <w:proofErr w:type="spellEnd"/>
            <w:r w:rsidRPr="001931CD">
              <w:rPr>
                <w:sz w:val="20"/>
                <w:szCs w:val="20"/>
              </w:rPr>
              <w:t>“</w:t>
            </w:r>
            <w:r w:rsidRPr="001931CD">
              <w:rPr>
                <w:rStyle w:val="Funotenzeichen"/>
                <w:sz w:val="20"/>
                <w:szCs w:val="20"/>
              </w:rPr>
              <w:footnoteReference w:id="449"/>
            </w:r>
            <w:r w:rsidRPr="001931CD">
              <w:rPr>
                <w:sz w:val="20"/>
                <w:szCs w:val="20"/>
              </w:rPr>
              <w:t>). Damit</w:t>
            </w:r>
            <w:r w:rsidRPr="00E50B51">
              <w:rPr>
                <w:sz w:val="20"/>
                <w:szCs w:val="20"/>
              </w:rPr>
              <w:t xml:space="preserve"> soll</w:t>
            </w:r>
            <w:r>
              <w:rPr>
                <w:sz w:val="20"/>
                <w:szCs w:val="20"/>
              </w:rPr>
              <w:t>t</w:t>
            </w:r>
            <w:r w:rsidRPr="00E50B51">
              <w:rPr>
                <w:sz w:val="20"/>
                <w:szCs w:val="20"/>
              </w:rPr>
              <w:t xml:space="preserve">en die Bürger eines jeden </w:t>
            </w:r>
            <w:r>
              <w:rPr>
                <w:sz w:val="20"/>
                <w:szCs w:val="20"/>
              </w:rPr>
              <w:t xml:space="preserve">Bundesstaats </w:t>
            </w:r>
            <w:r w:rsidRPr="00E50B51">
              <w:rPr>
                <w:sz w:val="20"/>
                <w:szCs w:val="20"/>
              </w:rPr>
              <w:t>mit den Bürgern anderer</w:t>
            </w:r>
            <w:r>
              <w:rPr>
                <w:sz w:val="20"/>
                <w:szCs w:val="20"/>
              </w:rPr>
              <w:t xml:space="preserve"> Bundesstaaten</w:t>
            </w:r>
            <w:r w:rsidRPr="00E50B51">
              <w:rPr>
                <w:sz w:val="20"/>
                <w:szCs w:val="20"/>
              </w:rPr>
              <w:t xml:space="preserve"> gleichgestellt werden („to </w:t>
            </w:r>
            <w:proofErr w:type="spellStart"/>
            <w:r w:rsidRPr="00E50B51">
              <w:rPr>
                <w:sz w:val="20"/>
                <w:szCs w:val="20"/>
              </w:rPr>
              <w:t>place</w:t>
            </w:r>
            <w:proofErr w:type="spellEnd"/>
            <w:r w:rsidRPr="00E50B51">
              <w:rPr>
                <w:sz w:val="20"/>
                <w:szCs w:val="20"/>
              </w:rPr>
              <w:t xml:space="preserve"> the </w:t>
            </w:r>
            <w:proofErr w:type="spellStart"/>
            <w:r w:rsidRPr="00E50B51">
              <w:rPr>
                <w:sz w:val="20"/>
                <w:szCs w:val="20"/>
              </w:rPr>
              <w:t>citizens</w:t>
            </w:r>
            <w:proofErr w:type="spellEnd"/>
            <w:r w:rsidRPr="00E50B51">
              <w:rPr>
                <w:sz w:val="20"/>
                <w:szCs w:val="20"/>
              </w:rPr>
              <w:t xml:space="preserve"> of </w:t>
            </w:r>
            <w:proofErr w:type="spellStart"/>
            <w:r w:rsidRPr="00E50B51">
              <w:rPr>
                <w:sz w:val="20"/>
                <w:szCs w:val="20"/>
              </w:rPr>
              <w:t>each</w:t>
            </w:r>
            <w:proofErr w:type="spellEnd"/>
            <w:r w:rsidRPr="00E50B51">
              <w:rPr>
                <w:sz w:val="20"/>
                <w:szCs w:val="20"/>
              </w:rPr>
              <w:t xml:space="preserve"> State upon the same </w:t>
            </w:r>
            <w:proofErr w:type="spellStart"/>
            <w:r w:rsidRPr="00E50B51">
              <w:rPr>
                <w:sz w:val="20"/>
                <w:szCs w:val="20"/>
              </w:rPr>
              <w:t>footing</w:t>
            </w:r>
            <w:proofErr w:type="spellEnd"/>
            <w:r w:rsidRPr="00E50B51">
              <w:rPr>
                <w:sz w:val="20"/>
                <w:szCs w:val="20"/>
              </w:rPr>
              <w:t xml:space="preserve"> </w:t>
            </w:r>
            <w:proofErr w:type="spellStart"/>
            <w:r w:rsidRPr="00E50B51">
              <w:rPr>
                <w:sz w:val="20"/>
                <w:szCs w:val="20"/>
              </w:rPr>
              <w:t>with</w:t>
            </w:r>
            <w:proofErr w:type="spellEnd"/>
            <w:r w:rsidRPr="00E50B51">
              <w:rPr>
                <w:sz w:val="20"/>
                <w:szCs w:val="20"/>
              </w:rPr>
              <w:t xml:space="preserve"> </w:t>
            </w:r>
            <w:proofErr w:type="spellStart"/>
            <w:r w:rsidRPr="00E50B51">
              <w:rPr>
                <w:sz w:val="20"/>
                <w:szCs w:val="20"/>
              </w:rPr>
              <w:t>citizens</w:t>
            </w:r>
            <w:proofErr w:type="spellEnd"/>
            <w:r w:rsidRPr="00E50B51">
              <w:rPr>
                <w:sz w:val="20"/>
                <w:szCs w:val="20"/>
              </w:rPr>
              <w:t xml:space="preserve"> of </w:t>
            </w:r>
            <w:proofErr w:type="spellStart"/>
            <w:r w:rsidRPr="00E50B51">
              <w:rPr>
                <w:sz w:val="20"/>
                <w:szCs w:val="20"/>
              </w:rPr>
              <w:t>other</w:t>
            </w:r>
            <w:proofErr w:type="spellEnd"/>
            <w:r w:rsidRPr="00E50B51">
              <w:rPr>
                <w:sz w:val="20"/>
                <w:szCs w:val="20"/>
              </w:rPr>
              <w:t xml:space="preserve"> States“</w:t>
            </w:r>
            <w:r w:rsidRPr="00E50B51">
              <w:rPr>
                <w:rStyle w:val="Funotenzeichen"/>
                <w:rFonts w:eastAsiaTheme="majorEastAsia"/>
                <w:sz w:val="20"/>
                <w:szCs w:val="20"/>
              </w:rPr>
              <w:footnoteReference w:id="450"/>
            </w:r>
            <w:r w:rsidRPr="00E50B51">
              <w:rPr>
                <w:sz w:val="20"/>
                <w:szCs w:val="20"/>
              </w:rPr>
              <w:t>). Dazu gehör</w:t>
            </w:r>
            <w:r>
              <w:rPr>
                <w:sz w:val="20"/>
                <w:szCs w:val="20"/>
              </w:rPr>
              <w:t>ten</w:t>
            </w:r>
            <w:r w:rsidRPr="00E50B51">
              <w:rPr>
                <w:sz w:val="20"/>
                <w:szCs w:val="20"/>
              </w:rPr>
              <w:t xml:space="preserve"> als Korrelat</w:t>
            </w:r>
            <w:r>
              <w:rPr>
                <w:sz w:val="20"/>
                <w:szCs w:val="20"/>
              </w:rPr>
              <w:t>e</w:t>
            </w:r>
            <w:r w:rsidRPr="00E50B51">
              <w:rPr>
                <w:sz w:val="20"/>
                <w:szCs w:val="20"/>
              </w:rPr>
              <w:t xml:space="preserve">: </w:t>
            </w:r>
            <w:r>
              <w:rPr>
                <w:sz w:val="20"/>
                <w:szCs w:val="20"/>
              </w:rPr>
              <w:t>d</w:t>
            </w:r>
            <w:r w:rsidRPr="00E50B51">
              <w:rPr>
                <w:sz w:val="20"/>
                <w:szCs w:val="20"/>
              </w:rPr>
              <w:t>ie Befreiung von Behinderung</w:t>
            </w:r>
            <w:r>
              <w:rPr>
                <w:sz w:val="20"/>
                <w:szCs w:val="20"/>
              </w:rPr>
              <w:t xml:space="preserve"> und die </w:t>
            </w:r>
            <w:r w:rsidRPr="00E50B51">
              <w:rPr>
                <w:sz w:val="20"/>
                <w:szCs w:val="20"/>
              </w:rPr>
              <w:t>Verhinderung diskriminierender Gesetzgebung</w:t>
            </w:r>
            <w:r>
              <w:rPr>
                <w:sz w:val="20"/>
                <w:szCs w:val="20"/>
              </w:rPr>
              <w:t xml:space="preserve"> sowie die </w:t>
            </w:r>
            <w:r w:rsidRPr="00E50B51">
              <w:rPr>
                <w:sz w:val="20"/>
                <w:szCs w:val="20"/>
              </w:rPr>
              <w:t>Reisefreiheit und Freizügigkeit</w:t>
            </w:r>
            <w:r>
              <w:rPr>
                <w:sz w:val="20"/>
                <w:szCs w:val="20"/>
              </w:rPr>
              <w:t xml:space="preserve"> und </w:t>
            </w:r>
            <w:r w:rsidRPr="00E50B51">
              <w:rPr>
                <w:sz w:val="20"/>
                <w:szCs w:val="20"/>
              </w:rPr>
              <w:t>Gleichheit vor dem Gesetz</w:t>
            </w:r>
            <w:r>
              <w:rPr>
                <w:sz w:val="20"/>
                <w:szCs w:val="20"/>
              </w:rPr>
              <w:t> </w:t>
            </w:r>
            <w:r w:rsidRPr="00E50B51">
              <w:rPr>
                <w:sz w:val="20"/>
                <w:szCs w:val="20"/>
              </w:rPr>
              <w:t>– zusammengefasst als Freiheit der Bürger</w:t>
            </w:r>
            <w:r>
              <w:rPr>
                <w:sz w:val="20"/>
                <w:szCs w:val="20"/>
              </w:rPr>
              <w:t>, dem Erwerb und der Nutzung von Eigentum sowie</w:t>
            </w:r>
            <w:r w:rsidRPr="00E50B51">
              <w:rPr>
                <w:sz w:val="20"/>
                <w:szCs w:val="20"/>
              </w:rPr>
              <w:t xml:space="preserve"> dem Streben nach Glück weitgehend unbeschränkt nachgehen </w:t>
            </w:r>
            <w:r>
              <w:rPr>
                <w:sz w:val="20"/>
                <w:szCs w:val="20"/>
              </w:rPr>
              <w:t xml:space="preserve">zu können </w:t>
            </w:r>
            <w:r w:rsidRPr="00E50B51">
              <w:rPr>
                <w:sz w:val="20"/>
                <w:szCs w:val="20"/>
              </w:rPr>
              <w:t>(„</w:t>
            </w:r>
            <w:proofErr w:type="spellStart"/>
            <w:r w:rsidRPr="00E50B51">
              <w:rPr>
                <w:sz w:val="20"/>
                <w:szCs w:val="20"/>
              </w:rPr>
              <w:t>freedom</w:t>
            </w:r>
            <w:proofErr w:type="spellEnd"/>
            <w:r w:rsidRPr="00E50B51">
              <w:rPr>
                <w:sz w:val="20"/>
                <w:szCs w:val="20"/>
              </w:rPr>
              <w:t xml:space="preserve"> </w:t>
            </w:r>
            <w:proofErr w:type="spellStart"/>
            <w:r w:rsidRPr="00E50B51">
              <w:rPr>
                <w:sz w:val="20"/>
                <w:szCs w:val="20"/>
              </w:rPr>
              <w:t>possessed</w:t>
            </w:r>
            <w:proofErr w:type="spellEnd"/>
            <w:r w:rsidRPr="00E50B51">
              <w:rPr>
                <w:sz w:val="20"/>
                <w:szCs w:val="20"/>
              </w:rPr>
              <w:t xml:space="preserve"> by the </w:t>
            </w:r>
            <w:proofErr w:type="spellStart"/>
            <w:r w:rsidRPr="00E50B51">
              <w:rPr>
                <w:sz w:val="20"/>
                <w:szCs w:val="20"/>
              </w:rPr>
              <w:t>citizens</w:t>
            </w:r>
            <w:proofErr w:type="spellEnd"/>
            <w:r w:rsidRPr="00E50B51">
              <w:rPr>
                <w:sz w:val="20"/>
                <w:szCs w:val="20"/>
              </w:rPr>
              <w:t xml:space="preserve"> of </w:t>
            </w:r>
            <w:proofErr w:type="spellStart"/>
            <w:r w:rsidRPr="00E50B51">
              <w:rPr>
                <w:sz w:val="20"/>
                <w:szCs w:val="20"/>
              </w:rPr>
              <w:t>those</w:t>
            </w:r>
            <w:proofErr w:type="spellEnd"/>
            <w:r w:rsidRPr="00E50B51">
              <w:rPr>
                <w:sz w:val="20"/>
                <w:szCs w:val="20"/>
              </w:rPr>
              <w:t xml:space="preserve"> States in the </w:t>
            </w:r>
            <w:proofErr w:type="spellStart"/>
            <w:r w:rsidRPr="00E50B51">
              <w:rPr>
                <w:sz w:val="20"/>
                <w:szCs w:val="20"/>
              </w:rPr>
              <w:t>acquisition</w:t>
            </w:r>
            <w:proofErr w:type="spellEnd"/>
            <w:r w:rsidRPr="00E50B51">
              <w:rPr>
                <w:sz w:val="20"/>
                <w:szCs w:val="20"/>
              </w:rPr>
              <w:t xml:space="preserve"> and </w:t>
            </w:r>
            <w:proofErr w:type="spellStart"/>
            <w:r w:rsidRPr="00E50B51">
              <w:rPr>
                <w:sz w:val="20"/>
                <w:szCs w:val="20"/>
              </w:rPr>
              <w:t>enjoyment</w:t>
            </w:r>
            <w:proofErr w:type="spellEnd"/>
            <w:r w:rsidRPr="00E50B51">
              <w:rPr>
                <w:sz w:val="20"/>
                <w:szCs w:val="20"/>
              </w:rPr>
              <w:t xml:space="preserve"> of </w:t>
            </w:r>
            <w:proofErr w:type="spellStart"/>
            <w:r w:rsidRPr="00E50B51">
              <w:rPr>
                <w:sz w:val="20"/>
                <w:szCs w:val="20"/>
              </w:rPr>
              <w:t>property</w:t>
            </w:r>
            <w:proofErr w:type="spellEnd"/>
            <w:r w:rsidRPr="00E50B51">
              <w:rPr>
                <w:sz w:val="20"/>
                <w:szCs w:val="20"/>
              </w:rPr>
              <w:t xml:space="preserve"> and in the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00E50B51">
              <w:rPr>
                <w:rStyle w:val="Funotenzeichen"/>
                <w:rFonts w:eastAsiaTheme="majorEastAsia"/>
                <w:sz w:val="20"/>
                <w:szCs w:val="20"/>
              </w:rPr>
              <w:footnoteReference w:id="451"/>
            </w:r>
            <w:r w:rsidRPr="00E50B51">
              <w:rPr>
                <w:sz w:val="20"/>
                <w:szCs w:val="20"/>
              </w:rPr>
              <w:t>).</w:t>
            </w:r>
          </w:p>
          <w:p w14:paraId="0EEABCBC" w14:textId="77777777" w:rsidR="00074551" w:rsidRPr="00E50B51" w:rsidRDefault="00074551" w:rsidP="00367133">
            <w:pPr>
              <w:jc w:val="both"/>
              <w:rPr>
                <w:sz w:val="20"/>
                <w:szCs w:val="20"/>
              </w:rPr>
            </w:pPr>
          </w:p>
        </w:tc>
      </w:tr>
      <w:tr w:rsidR="00074551" w:rsidRPr="00E50B51" w14:paraId="466B3218" w14:textId="77777777" w:rsidTr="00BE689F">
        <w:trPr>
          <w:cantSplit/>
          <w:trHeight w:val="3175"/>
        </w:trPr>
        <w:tc>
          <w:tcPr>
            <w:tcW w:w="293" w:type="pct"/>
          </w:tcPr>
          <w:p w14:paraId="539E40ED"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92D9DEF" w14:textId="77777777" w:rsidR="00074551" w:rsidRPr="00E50B51" w:rsidRDefault="00074551" w:rsidP="00367133">
            <w:pPr>
              <w:ind w:left="113" w:right="113"/>
              <w:jc w:val="both"/>
              <w:rPr>
                <w:sz w:val="20"/>
                <w:szCs w:val="20"/>
              </w:rPr>
            </w:pPr>
            <w:r w:rsidRPr="007360B0">
              <w:rPr>
                <w:i/>
                <w:sz w:val="20"/>
                <w:szCs w:val="20"/>
              </w:rPr>
              <w:t>Taylor v. Beckham</w:t>
            </w:r>
          </w:p>
        </w:tc>
        <w:tc>
          <w:tcPr>
            <w:tcW w:w="197" w:type="pct"/>
            <w:textDirection w:val="tbRl"/>
            <w:vAlign w:val="center"/>
          </w:tcPr>
          <w:p w14:paraId="6610D1DB" w14:textId="77777777" w:rsidR="00074551" w:rsidRPr="00E50B51" w:rsidRDefault="00074551" w:rsidP="00367133">
            <w:pPr>
              <w:ind w:left="113" w:right="113"/>
              <w:jc w:val="both"/>
              <w:rPr>
                <w:sz w:val="20"/>
                <w:szCs w:val="20"/>
              </w:rPr>
            </w:pPr>
            <w:r w:rsidRPr="00E50B51">
              <w:rPr>
                <w:sz w:val="20"/>
                <w:szCs w:val="20"/>
                <w:lang w:val="en-US"/>
              </w:rPr>
              <w:t>178 U.S. 548</w:t>
            </w:r>
          </w:p>
        </w:tc>
        <w:tc>
          <w:tcPr>
            <w:tcW w:w="306" w:type="pct"/>
            <w:textDirection w:val="tbRl"/>
            <w:vAlign w:val="center"/>
          </w:tcPr>
          <w:p w14:paraId="2E4FBE50" w14:textId="77777777" w:rsidR="00074551" w:rsidRPr="00E50B51" w:rsidRDefault="00074551" w:rsidP="00367133">
            <w:pPr>
              <w:ind w:left="113" w:right="113"/>
              <w:jc w:val="both"/>
              <w:rPr>
                <w:sz w:val="20"/>
                <w:szCs w:val="20"/>
              </w:rPr>
            </w:pPr>
            <w:r w:rsidRPr="00E50B51">
              <w:rPr>
                <w:sz w:val="20"/>
                <w:szCs w:val="20"/>
              </w:rPr>
              <w:t>21. Mai 19</w:t>
            </w:r>
            <w:r>
              <w:rPr>
                <w:sz w:val="20"/>
                <w:szCs w:val="20"/>
              </w:rPr>
              <w:t>00</w:t>
            </w:r>
          </w:p>
        </w:tc>
        <w:tc>
          <w:tcPr>
            <w:tcW w:w="401" w:type="pct"/>
          </w:tcPr>
          <w:p w14:paraId="4444D14A" w14:textId="77777777" w:rsidR="00074551" w:rsidRPr="00E50B51" w:rsidRDefault="00074551" w:rsidP="00367133">
            <w:pPr>
              <w:jc w:val="center"/>
              <w:rPr>
                <w:sz w:val="20"/>
                <w:szCs w:val="20"/>
              </w:rPr>
            </w:pPr>
            <w:r w:rsidRPr="00E50B51">
              <w:rPr>
                <w:iCs/>
                <w:sz w:val="20"/>
                <w:szCs w:val="20"/>
              </w:rPr>
              <w:t>R</w:t>
            </w:r>
          </w:p>
        </w:tc>
        <w:tc>
          <w:tcPr>
            <w:tcW w:w="1594" w:type="pct"/>
          </w:tcPr>
          <w:p w14:paraId="1F1DCFA3" w14:textId="77777777" w:rsidR="00074551" w:rsidRPr="00E50B51" w:rsidRDefault="00074551" w:rsidP="00367133">
            <w:pPr>
              <w:jc w:val="both"/>
              <w:rPr>
                <w:sz w:val="20"/>
                <w:szCs w:val="20"/>
              </w:rPr>
            </w:pPr>
            <w:r w:rsidRPr="00E50B51">
              <w:rPr>
                <w:sz w:val="20"/>
                <w:szCs w:val="20"/>
              </w:rPr>
              <w:t>*</w:t>
            </w:r>
          </w:p>
        </w:tc>
        <w:tc>
          <w:tcPr>
            <w:tcW w:w="1822" w:type="pct"/>
          </w:tcPr>
          <w:p w14:paraId="55B36C31" w14:textId="12324F7B" w:rsidR="00074551" w:rsidRPr="00E50B51" w:rsidRDefault="00074551" w:rsidP="00367133">
            <w:pPr>
              <w:jc w:val="both"/>
              <w:rPr>
                <w:sz w:val="20"/>
                <w:szCs w:val="20"/>
              </w:rPr>
            </w:pPr>
            <w:r w:rsidRPr="00E50B51">
              <w:rPr>
                <w:sz w:val="20"/>
                <w:szCs w:val="20"/>
              </w:rPr>
              <w:t>Die Beklagten trugen das Streben nach Glück als ein Verfassungsrecht vor. Es beschränke die Kompetenz des Parlaments, allein den Ausgang einer Wahl zu bestimmen. Doch wie gelang</w:t>
            </w:r>
            <w:r>
              <w:rPr>
                <w:sz w:val="20"/>
                <w:szCs w:val="20"/>
              </w:rPr>
              <w:t>t</w:t>
            </w:r>
            <w:r w:rsidRPr="00E50B51">
              <w:rPr>
                <w:sz w:val="20"/>
                <w:szCs w:val="20"/>
              </w:rPr>
              <w:t xml:space="preserve">en die Beklagten zu dieser Argumentation? Zunächst unterliege die Kompetenz des Parlaments, den Wahlausgang zu bestimmen, denselben Verfahrensanforderungen wie ein gerichtliches Verfahren. Daher seien insbesondere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00E50B51">
              <w:rPr>
                <w:sz w:val="20"/>
                <w:szCs w:val="20"/>
              </w:rPr>
              <w:t xml:space="preserve"> anzuwenden. Beide schütz</w:t>
            </w:r>
            <w:r>
              <w:rPr>
                <w:sz w:val="20"/>
                <w:szCs w:val="20"/>
              </w:rPr>
              <w:t>t</w:t>
            </w:r>
            <w:r w:rsidRPr="00E50B51">
              <w:rPr>
                <w:sz w:val="20"/>
                <w:szCs w:val="20"/>
              </w:rPr>
              <w:t>en grundsätzlich dagegen, dass ein Staat willkürlich</w:t>
            </w:r>
            <w:r>
              <w:rPr>
                <w:sz w:val="20"/>
                <w:szCs w:val="20"/>
              </w:rPr>
              <w:t>e</w:t>
            </w:r>
            <w:r w:rsidRPr="00E50B51">
              <w:rPr>
                <w:sz w:val="20"/>
                <w:szCs w:val="20"/>
              </w:rPr>
              <w:t xml:space="preserve"> Macht ausübe. Und Willkür liege vor, wenn jemandem u.a. das Streben nach Glück entzogen wird. Das </w:t>
            </w:r>
            <w:r>
              <w:rPr>
                <w:sz w:val="20"/>
                <w:szCs w:val="20"/>
              </w:rPr>
              <w:t>sei</w:t>
            </w:r>
            <w:r w:rsidRPr="00E50B51">
              <w:rPr>
                <w:sz w:val="20"/>
                <w:szCs w:val="20"/>
              </w:rPr>
              <w:t xml:space="preserve"> die Grenze, um einen Wahlausgang zu bestimmen. Im Fall präge sich das Streben nach Glück als Willkürgrenze darin aus, dass öffentliche Ämter angestrebt und besetzt werden können</w:t>
            </w:r>
            <w:r>
              <w:rPr>
                <w:sz w:val="20"/>
                <w:szCs w:val="20"/>
              </w:rPr>
              <w:t xml:space="preserve"> müssten</w:t>
            </w:r>
            <w:r w:rsidRPr="00E50B51">
              <w:rPr>
                <w:sz w:val="20"/>
                <w:szCs w:val="20"/>
              </w:rPr>
              <w:t xml:space="preserve"> („</w:t>
            </w:r>
            <w:proofErr w:type="spellStart"/>
            <w:r w:rsidRPr="00E50B51">
              <w:rPr>
                <w:sz w:val="20"/>
                <w:szCs w:val="20"/>
              </w:rPr>
              <w:t>enjoyment</w:t>
            </w:r>
            <w:proofErr w:type="spellEnd"/>
            <w:r w:rsidRPr="00E50B51">
              <w:rPr>
                <w:sz w:val="20"/>
                <w:szCs w:val="20"/>
              </w:rPr>
              <w:t xml:space="preserve"> of </w:t>
            </w:r>
            <w:proofErr w:type="spellStart"/>
            <w:r w:rsidRPr="00E50B51">
              <w:rPr>
                <w:sz w:val="20"/>
                <w:szCs w:val="20"/>
              </w:rPr>
              <w:t>honors</w:t>
            </w:r>
            <w:proofErr w:type="spellEnd"/>
            <w:r w:rsidRPr="00E50B51">
              <w:rPr>
                <w:sz w:val="20"/>
                <w:szCs w:val="20"/>
              </w:rPr>
              <w:t xml:space="preserve"> and the </w:t>
            </w:r>
            <w:proofErr w:type="spellStart"/>
            <w:r w:rsidRPr="00E50B51">
              <w:rPr>
                <w:sz w:val="20"/>
                <w:szCs w:val="20"/>
              </w:rPr>
              <w:t>occupation</w:t>
            </w:r>
            <w:proofErr w:type="spellEnd"/>
            <w:r w:rsidRPr="00E50B51">
              <w:rPr>
                <w:sz w:val="20"/>
                <w:szCs w:val="20"/>
              </w:rPr>
              <w:t xml:space="preserve"> of </w:t>
            </w:r>
            <w:proofErr w:type="spellStart"/>
            <w:r w:rsidRPr="00E50B51">
              <w:rPr>
                <w:sz w:val="20"/>
                <w:szCs w:val="20"/>
              </w:rPr>
              <w:t>positions</w:t>
            </w:r>
            <w:proofErr w:type="spellEnd"/>
            <w:r w:rsidRPr="00E50B51">
              <w:rPr>
                <w:sz w:val="20"/>
                <w:szCs w:val="20"/>
              </w:rPr>
              <w:t xml:space="preserve"> of </w:t>
            </w:r>
            <w:proofErr w:type="spellStart"/>
            <w:r w:rsidRPr="00E50B51">
              <w:rPr>
                <w:sz w:val="20"/>
                <w:szCs w:val="20"/>
              </w:rPr>
              <w:t>public</w:t>
            </w:r>
            <w:proofErr w:type="spellEnd"/>
            <w:r w:rsidRPr="00E50B51">
              <w:rPr>
                <w:sz w:val="20"/>
                <w:szCs w:val="20"/>
              </w:rPr>
              <w:t xml:space="preserve"> </w:t>
            </w:r>
            <w:proofErr w:type="spellStart"/>
            <w:r w:rsidRPr="00E50B51">
              <w:rPr>
                <w:sz w:val="20"/>
                <w:szCs w:val="20"/>
              </w:rPr>
              <w:t>trust</w:t>
            </w:r>
            <w:proofErr w:type="spellEnd"/>
            <w:r w:rsidRPr="00E50B51">
              <w:rPr>
                <w:sz w:val="20"/>
                <w:szCs w:val="20"/>
              </w:rPr>
              <w:t>“</w:t>
            </w:r>
            <w:r w:rsidRPr="00E50B51">
              <w:rPr>
                <w:rStyle w:val="Funotenzeichen"/>
                <w:rFonts w:eastAsiaTheme="majorEastAsia"/>
                <w:sz w:val="20"/>
                <w:szCs w:val="20"/>
              </w:rPr>
              <w:footnoteReference w:id="452"/>
            </w:r>
            <w:r w:rsidRPr="00E50B51">
              <w:rPr>
                <w:sz w:val="20"/>
                <w:szCs w:val="20"/>
              </w:rPr>
              <w:t>). Als Kehrseite besteh</w:t>
            </w:r>
            <w:r>
              <w:rPr>
                <w:sz w:val="20"/>
                <w:szCs w:val="20"/>
              </w:rPr>
              <w:t>e</w:t>
            </w:r>
            <w:r w:rsidRPr="00E50B51">
              <w:rPr>
                <w:sz w:val="20"/>
                <w:szCs w:val="20"/>
              </w:rPr>
              <w:t xml:space="preserve"> die politische Freiheit des Volk</w:t>
            </w:r>
            <w:r>
              <w:rPr>
                <w:sz w:val="20"/>
                <w:szCs w:val="20"/>
              </w:rPr>
              <w:t>e</w:t>
            </w:r>
            <w:r w:rsidRPr="00E50B51">
              <w:rPr>
                <w:sz w:val="20"/>
                <w:szCs w:val="20"/>
              </w:rPr>
              <w:t>s</w:t>
            </w:r>
            <w:r>
              <w:rPr>
                <w:sz w:val="20"/>
                <w:szCs w:val="20"/>
              </w:rPr>
              <w:t>,</w:t>
            </w:r>
            <w:r w:rsidRPr="00E50B51">
              <w:rPr>
                <w:sz w:val="20"/>
                <w:szCs w:val="20"/>
              </w:rPr>
              <w:t xml:space="preserve"> wählen zu können. Diese politische Freiheit sei im Fall ohne ein </w:t>
            </w:r>
            <w:r>
              <w:rPr>
                <w:sz w:val="20"/>
                <w:szCs w:val="20"/>
              </w:rPr>
              <w:t>rechtsstaatliches Verfahren</w:t>
            </w:r>
            <w:r w:rsidRPr="00E50B51">
              <w:rPr>
                <w:sz w:val="20"/>
                <w:szCs w:val="20"/>
              </w:rPr>
              <w:t xml:space="preserve"> beschränkt („</w:t>
            </w:r>
            <w:proofErr w:type="spellStart"/>
            <w:r w:rsidRPr="00E50B51">
              <w:rPr>
                <w:sz w:val="20"/>
                <w:szCs w:val="20"/>
              </w:rPr>
              <w:t>people</w:t>
            </w:r>
            <w:proofErr w:type="spellEnd"/>
            <w:r w:rsidRPr="00E50B51">
              <w:rPr>
                <w:sz w:val="20"/>
                <w:szCs w:val="20"/>
              </w:rPr>
              <w:t xml:space="preserve"> of Kentucky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deprived</w:t>
            </w:r>
            <w:proofErr w:type="spellEnd"/>
            <w:r w:rsidRPr="00E50B51">
              <w:rPr>
                <w:sz w:val="20"/>
                <w:szCs w:val="20"/>
              </w:rPr>
              <w:t xml:space="preserve"> of </w:t>
            </w:r>
            <w:proofErr w:type="spellStart"/>
            <w:r w:rsidRPr="00E50B51">
              <w:rPr>
                <w:sz w:val="20"/>
                <w:szCs w:val="20"/>
              </w:rPr>
              <w:t>their</w:t>
            </w:r>
            <w:proofErr w:type="spellEnd"/>
            <w:r w:rsidRPr="00E50B51">
              <w:rPr>
                <w:sz w:val="20"/>
                <w:szCs w:val="20"/>
              </w:rPr>
              <w:t xml:space="preserve"> </w:t>
            </w:r>
            <w:proofErr w:type="spellStart"/>
            <w:r w:rsidRPr="00E50B51">
              <w:rPr>
                <w:sz w:val="20"/>
                <w:szCs w:val="20"/>
              </w:rPr>
              <w:t>political</w:t>
            </w:r>
            <w:proofErr w:type="spellEnd"/>
            <w:r w:rsidRPr="00E50B51">
              <w:rPr>
                <w:sz w:val="20"/>
                <w:szCs w:val="20"/>
              </w:rPr>
              <w:t xml:space="preserve"> </w:t>
            </w:r>
            <w:proofErr w:type="spellStart"/>
            <w:r w:rsidRPr="00E50B51">
              <w:rPr>
                <w:sz w:val="20"/>
                <w:szCs w:val="20"/>
              </w:rPr>
              <w:t>liberty</w:t>
            </w:r>
            <w:proofErr w:type="spellEnd"/>
            <w:r w:rsidRPr="00E50B51">
              <w:rPr>
                <w:sz w:val="20"/>
                <w:szCs w:val="20"/>
              </w:rPr>
              <w:t xml:space="preserve"> </w:t>
            </w:r>
            <w:proofErr w:type="spellStart"/>
            <w:r w:rsidRPr="00E50B51">
              <w:rPr>
                <w:sz w:val="20"/>
                <w:szCs w:val="20"/>
              </w:rPr>
              <w:t>without</w:t>
            </w:r>
            <w:proofErr w:type="spellEnd"/>
            <w:r w:rsidRPr="00E50B51">
              <w:rPr>
                <w:sz w:val="20"/>
                <w:szCs w:val="20"/>
              </w:rPr>
              <w:t xml:space="preserve"> due </w:t>
            </w:r>
            <w:proofErr w:type="spellStart"/>
            <w:r w:rsidRPr="00E50B51">
              <w:rPr>
                <w:sz w:val="20"/>
                <w:szCs w:val="20"/>
              </w:rPr>
              <w:t>process</w:t>
            </w:r>
            <w:proofErr w:type="spellEnd"/>
            <w:r w:rsidRPr="00E50B51">
              <w:rPr>
                <w:sz w:val="20"/>
                <w:szCs w:val="20"/>
              </w:rPr>
              <w:t xml:space="preserve"> of </w:t>
            </w:r>
            <w:proofErr w:type="spellStart"/>
            <w:r w:rsidRPr="00E50B51">
              <w:rPr>
                <w:sz w:val="20"/>
                <w:szCs w:val="20"/>
              </w:rPr>
              <w:t>law</w:t>
            </w:r>
            <w:proofErr w:type="spellEnd"/>
            <w:r w:rsidRPr="00E50B51">
              <w:rPr>
                <w:sz w:val="20"/>
                <w:szCs w:val="20"/>
              </w:rPr>
              <w:t>“</w:t>
            </w:r>
            <w:r w:rsidRPr="00E50B51">
              <w:rPr>
                <w:rStyle w:val="Funotenzeichen"/>
                <w:rFonts w:eastAsiaTheme="majorEastAsia"/>
                <w:sz w:val="20"/>
                <w:szCs w:val="20"/>
              </w:rPr>
              <w:footnoteReference w:id="453"/>
            </w:r>
            <w:r w:rsidRPr="00E50B51">
              <w:rPr>
                <w:sz w:val="20"/>
                <w:szCs w:val="20"/>
              </w:rPr>
              <w:t>)</w:t>
            </w:r>
            <w:r>
              <w:rPr>
                <w:sz w:val="20"/>
                <w:szCs w:val="20"/>
              </w:rPr>
              <w:t>, so der Vortrag der Prozessvertreter, den der U.S. Supreme Court aufgriff</w:t>
            </w:r>
            <w:r w:rsidRPr="00E50B51">
              <w:rPr>
                <w:sz w:val="20"/>
                <w:szCs w:val="20"/>
              </w:rPr>
              <w:t xml:space="preserve">. Denn </w:t>
            </w:r>
            <w:proofErr w:type="gramStart"/>
            <w:r w:rsidRPr="00E50B51">
              <w:rPr>
                <w:sz w:val="20"/>
                <w:szCs w:val="20"/>
              </w:rPr>
              <w:t>soweit</w:t>
            </w:r>
            <w:proofErr w:type="gramEnd"/>
            <w:r w:rsidRPr="00E50B51">
              <w:rPr>
                <w:sz w:val="20"/>
                <w:szCs w:val="20"/>
              </w:rPr>
              <w:t xml:space="preserve"> das Parlament den Wahlausgang bestimme, greife es willkürlich darin ein, wie öffentliche Ämter angestrebt und besetzt werden können</w:t>
            </w:r>
            <w:r>
              <w:rPr>
                <w:sz w:val="20"/>
                <w:szCs w:val="20"/>
              </w:rPr>
              <w:t>,</w:t>
            </w:r>
            <w:r w:rsidRPr="00E50B51">
              <w:rPr>
                <w:sz w:val="20"/>
                <w:szCs w:val="20"/>
              </w:rPr>
              <w:t xml:space="preserve"> aber auch in die politische Freiheit, wählen zu können, d.h. es wird am Ende auch in den politischen Wettbewerb zwischen Kandidaten eingegriffen („</w:t>
            </w:r>
            <w:proofErr w:type="spellStart"/>
            <w:r w:rsidRPr="00E50B51">
              <w:rPr>
                <w:sz w:val="20"/>
                <w:szCs w:val="20"/>
              </w:rPr>
              <w:t>contest</w:t>
            </w:r>
            <w:proofErr w:type="spellEnd"/>
            <w:r w:rsidRPr="00E50B51">
              <w:rPr>
                <w:sz w:val="20"/>
                <w:szCs w:val="20"/>
              </w:rPr>
              <w:t xml:space="preserve"> </w:t>
            </w:r>
            <w:proofErr w:type="spellStart"/>
            <w:r w:rsidRPr="00E50B51">
              <w:rPr>
                <w:sz w:val="20"/>
                <w:szCs w:val="20"/>
              </w:rPr>
              <w:t>over</w:t>
            </w:r>
            <w:proofErr w:type="spellEnd"/>
            <w:r w:rsidRPr="00E50B51">
              <w:rPr>
                <w:sz w:val="20"/>
                <w:szCs w:val="20"/>
              </w:rPr>
              <w:t xml:space="preserve"> </w:t>
            </w:r>
            <w:proofErr w:type="spellStart"/>
            <w:r w:rsidRPr="00E50B51">
              <w:rPr>
                <w:sz w:val="20"/>
                <w:szCs w:val="20"/>
              </w:rPr>
              <w:t>said</w:t>
            </w:r>
            <w:proofErr w:type="spellEnd"/>
            <w:r w:rsidRPr="00E50B51">
              <w:rPr>
                <w:sz w:val="20"/>
                <w:szCs w:val="20"/>
              </w:rPr>
              <w:t xml:space="preserve"> </w:t>
            </w:r>
            <w:proofErr w:type="spellStart"/>
            <w:r w:rsidRPr="00E50B51">
              <w:rPr>
                <w:sz w:val="20"/>
                <w:szCs w:val="20"/>
              </w:rPr>
              <w:t>offices</w:t>
            </w:r>
            <w:proofErr w:type="spellEnd"/>
            <w:r w:rsidRPr="00E50B51">
              <w:rPr>
                <w:sz w:val="20"/>
                <w:szCs w:val="20"/>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454"/>
            </w:r>
            <w:r w:rsidRPr="00E50B51">
              <w:rPr>
                <w:sz w:val="20"/>
                <w:szCs w:val="20"/>
              </w:rPr>
              <w:t>).</w:t>
            </w:r>
          </w:p>
          <w:p w14:paraId="5F4A74AE" w14:textId="77777777" w:rsidR="00074551" w:rsidRPr="00E50B51" w:rsidRDefault="00074551" w:rsidP="00367133">
            <w:pPr>
              <w:jc w:val="both"/>
              <w:rPr>
                <w:sz w:val="20"/>
                <w:szCs w:val="20"/>
              </w:rPr>
            </w:pPr>
          </w:p>
        </w:tc>
      </w:tr>
      <w:tr w:rsidR="00074551" w:rsidRPr="00E50B51" w14:paraId="4415C8E6" w14:textId="77777777" w:rsidTr="00FE5F32">
        <w:trPr>
          <w:cantSplit/>
          <w:trHeight w:val="1209"/>
        </w:trPr>
        <w:tc>
          <w:tcPr>
            <w:tcW w:w="293" w:type="pct"/>
          </w:tcPr>
          <w:p w14:paraId="196D985D"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C7AF2DE" w14:textId="77777777" w:rsidR="00074551" w:rsidRPr="00E50B51" w:rsidRDefault="00074551" w:rsidP="00367133">
            <w:pPr>
              <w:jc w:val="center"/>
              <w:rPr>
                <w:sz w:val="20"/>
                <w:szCs w:val="20"/>
              </w:rPr>
            </w:pPr>
            <w:r>
              <w:rPr>
                <w:sz w:val="20"/>
                <w:szCs w:val="20"/>
                <w:lang w:val="en-US"/>
              </w:rPr>
              <w:t>H</w:t>
            </w:r>
          </w:p>
        </w:tc>
        <w:tc>
          <w:tcPr>
            <w:tcW w:w="387" w:type="pct"/>
            <w:textDirection w:val="tbRl"/>
            <w:vAlign w:val="center"/>
          </w:tcPr>
          <w:p w14:paraId="33C3E246" w14:textId="77777777" w:rsidR="00074551" w:rsidRPr="00B45592" w:rsidRDefault="00074551" w:rsidP="00367133">
            <w:pPr>
              <w:ind w:left="113" w:right="113"/>
              <w:jc w:val="both"/>
              <w:rPr>
                <w:i/>
                <w:sz w:val="20"/>
                <w:szCs w:val="20"/>
              </w:rPr>
            </w:pPr>
            <w:r w:rsidRPr="00B45592">
              <w:rPr>
                <w:i/>
                <w:sz w:val="20"/>
                <w:szCs w:val="20"/>
              </w:rPr>
              <w:t>Saenz v. Roe</w:t>
            </w:r>
          </w:p>
        </w:tc>
        <w:tc>
          <w:tcPr>
            <w:tcW w:w="197" w:type="pct"/>
            <w:textDirection w:val="tbRl"/>
            <w:vAlign w:val="center"/>
          </w:tcPr>
          <w:p w14:paraId="7CCC7709" w14:textId="77777777" w:rsidR="00074551" w:rsidRPr="00E50B51" w:rsidRDefault="00074551" w:rsidP="00367133">
            <w:pPr>
              <w:ind w:left="113" w:right="113"/>
              <w:jc w:val="both"/>
              <w:rPr>
                <w:sz w:val="20"/>
                <w:szCs w:val="20"/>
                <w:lang w:val="en-US"/>
              </w:rPr>
            </w:pPr>
            <w:r w:rsidRPr="00257307">
              <w:rPr>
                <w:sz w:val="20"/>
                <w:szCs w:val="20"/>
              </w:rPr>
              <w:t>526 U.S. 489</w:t>
            </w:r>
          </w:p>
        </w:tc>
        <w:tc>
          <w:tcPr>
            <w:tcW w:w="306" w:type="pct"/>
            <w:textDirection w:val="tbRl"/>
            <w:vAlign w:val="center"/>
          </w:tcPr>
          <w:p w14:paraId="4AFF8BC8" w14:textId="77777777" w:rsidR="00074551" w:rsidRPr="00E50B51" w:rsidRDefault="00074551" w:rsidP="00367133">
            <w:pPr>
              <w:ind w:left="113" w:right="113"/>
              <w:jc w:val="both"/>
              <w:rPr>
                <w:sz w:val="20"/>
                <w:szCs w:val="20"/>
              </w:rPr>
            </w:pPr>
            <w:r>
              <w:rPr>
                <w:sz w:val="20"/>
                <w:szCs w:val="20"/>
                <w:lang w:val="en-US"/>
              </w:rPr>
              <w:t>17. Mai 1999</w:t>
            </w:r>
          </w:p>
        </w:tc>
        <w:tc>
          <w:tcPr>
            <w:tcW w:w="401" w:type="pct"/>
          </w:tcPr>
          <w:p w14:paraId="48A246B5" w14:textId="77777777" w:rsidR="00074551" w:rsidRPr="00E50B51" w:rsidRDefault="00074551" w:rsidP="00367133">
            <w:pPr>
              <w:jc w:val="center"/>
              <w:rPr>
                <w:iCs/>
                <w:sz w:val="20"/>
                <w:szCs w:val="20"/>
              </w:rPr>
            </w:pPr>
            <w:r>
              <w:rPr>
                <w:sz w:val="20"/>
                <w:szCs w:val="20"/>
                <w:lang w:val="en-US"/>
              </w:rPr>
              <w:t>D</w:t>
            </w:r>
          </w:p>
        </w:tc>
        <w:tc>
          <w:tcPr>
            <w:tcW w:w="1594" w:type="pct"/>
          </w:tcPr>
          <w:p w14:paraId="147F596F" w14:textId="08EB286C" w:rsidR="00074551" w:rsidRPr="00F55A63" w:rsidRDefault="001A1BB8" w:rsidP="00367133">
            <w:pPr>
              <w:rPr>
                <w:sz w:val="20"/>
                <w:szCs w:val="20"/>
              </w:rPr>
            </w:pPr>
            <w:r w:rsidRPr="001A1BB8">
              <w:rPr>
                <w:sz w:val="20"/>
                <w:szCs w:val="20"/>
              </w:rPr>
              <w:t xml:space="preserve">Kalifornien erließ 1992 mit </w:t>
            </w:r>
            <w:r w:rsidRPr="5B67C1D2">
              <w:rPr>
                <w:i/>
                <w:iCs/>
                <w:sz w:val="20"/>
                <w:szCs w:val="20"/>
              </w:rPr>
              <w:t xml:space="preserve">§ 11450.03 Cal. Welf. &amp; </w:t>
            </w:r>
            <w:proofErr w:type="spellStart"/>
            <w:r w:rsidRPr="5B67C1D2">
              <w:rPr>
                <w:i/>
                <w:iCs/>
                <w:sz w:val="20"/>
                <w:szCs w:val="20"/>
              </w:rPr>
              <w:t>Inst</w:t>
            </w:r>
            <w:proofErr w:type="spellEnd"/>
            <w:r w:rsidRPr="5B67C1D2">
              <w:rPr>
                <w:i/>
                <w:iCs/>
                <w:sz w:val="20"/>
                <w:szCs w:val="20"/>
              </w:rPr>
              <w:t>. Code</w:t>
            </w:r>
            <w:r w:rsidRPr="001A1BB8">
              <w:rPr>
                <w:sz w:val="20"/>
                <w:szCs w:val="20"/>
              </w:rPr>
              <w:t xml:space="preserve"> ein Gesetz, das die Höhe der Sozialleistungen für eine Familie, die weniger als 12 Monate in Kalifornien gelebt hatte, auf den Betrag begrenzte, welchen der Bundesstaat ihres vorherigen Wohnsitzes an die Familie ausgezahlt hätte.</w:t>
            </w:r>
            <w:r>
              <w:rPr>
                <w:rStyle w:val="Funotenzeichen"/>
                <w:sz w:val="20"/>
                <w:szCs w:val="20"/>
              </w:rPr>
              <w:footnoteReference w:id="455"/>
            </w:r>
            <w:r w:rsidRPr="00F55A63">
              <w:rPr>
                <w:sz w:val="20"/>
                <w:szCs w:val="20"/>
              </w:rPr>
              <w:t xml:space="preserve"> </w:t>
            </w:r>
            <w:r w:rsidRPr="001A1BB8">
              <w:rPr>
                <w:sz w:val="20"/>
                <w:szCs w:val="20"/>
              </w:rPr>
              <w:t xml:space="preserve"> Nachdem der Kongress 1996 den </w:t>
            </w:r>
            <w:r w:rsidRPr="5B67C1D2">
              <w:rPr>
                <w:i/>
                <w:iCs/>
                <w:sz w:val="20"/>
                <w:szCs w:val="20"/>
              </w:rPr>
              <w:t xml:space="preserve">Personal </w:t>
            </w:r>
            <w:proofErr w:type="spellStart"/>
            <w:r w:rsidRPr="5B67C1D2">
              <w:rPr>
                <w:i/>
                <w:iCs/>
                <w:sz w:val="20"/>
                <w:szCs w:val="20"/>
              </w:rPr>
              <w:t>Responsibility</w:t>
            </w:r>
            <w:proofErr w:type="spellEnd"/>
            <w:r w:rsidRPr="5B67C1D2">
              <w:rPr>
                <w:i/>
                <w:iCs/>
                <w:sz w:val="20"/>
                <w:szCs w:val="20"/>
              </w:rPr>
              <w:t xml:space="preserve"> and Work </w:t>
            </w:r>
            <w:proofErr w:type="spellStart"/>
            <w:r w:rsidRPr="5B67C1D2">
              <w:rPr>
                <w:i/>
                <w:iCs/>
                <w:sz w:val="20"/>
                <w:szCs w:val="20"/>
              </w:rPr>
              <w:t>Opportunity</w:t>
            </w:r>
            <w:proofErr w:type="spellEnd"/>
            <w:r w:rsidRPr="5B67C1D2">
              <w:rPr>
                <w:i/>
                <w:iCs/>
                <w:sz w:val="20"/>
                <w:szCs w:val="20"/>
              </w:rPr>
              <w:t xml:space="preserve"> Reconciliation Act</w:t>
            </w:r>
            <w:r w:rsidRPr="001A1BB8">
              <w:rPr>
                <w:sz w:val="20"/>
                <w:szCs w:val="20"/>
              </w:rPr>
              <w:t xml:space="preserve"> erlassen hatte, der es den Bundesstaaten ausdrücklich gestattete, solche Wohnsitzdauer-Regelungen einzuführen,</w:t>
            </w:r>
            <w:r>
              <w:rPr>
                <w:rStyle w:val="Funotenzeichen"/>
                <w:sz w:val="20"/>
                <w:szCs w:val="20"/>
              </w:rPr>
              <w:footnoteReference w:id="456"/>
            </w:r>
            <w:r>
              <w:rPr>
                <w:sz w:val="20"/>
                <w:szCs w:val="20"/>
              </w:rPr>
              <w:t xml:space="preserve"> </w:t>
            </w:r>
            <w:r w:rsidRPr="001A1BB8">
              <w:rPr>
                <w:sz w:val="20"/>
                <w:szCs w:val="20"/>
              </w:rPr>
              <w:t xml:space="preserve"> wandten sich die Kläger zusätzlich auch gegen diese bundesrechtliche Ermächtigungsgrundlage.</w:t>
            </w:r>
            <w:r>
              <w:t xml:space="preserve"> </w:t>
            </w:r>
            <w:r w:rsidR="00074551">
              <w:rPr>
                <w:sz w:val="20"/>
                <w:szCs w:val="20"/>
              </w:rPr>
              <w:t>Der U.S. Supreme Court</w:t>
            </w:r>
            <w:r w:rsidR="00074551" w:rsidRPr="00F55A63">
              <w:rPr>
                <w:sz w:val="20"/>
                <w:szCs w:val="20"/>
              </w:rPr>
              <w:t xml:space="preserve"> bestätigte</w:t>
            </w:r>
            <w:r w:rsidR="00074551">
              <w:rPr>
                <w:sz w:val="20"/>
                <w:szCs w:val="20"/>
              </w:rPr>
              <w:t xml:space="preserve"> eine</w:t>
            </w:r>
            <w:r w:rsidR="00074551" w:rsidRPr="00F55A63">
              <w:rPr>
                <w:sz w:val="20"/>
                <w:szCs w:val="20"/>
              </w:rPr>
              <w:t xml:space="preserve"> einstweilige Verfügung gegen d</w:t>
            </w:r>
            <w:r w:rsidR="00074551">
              <w:rPr>
                <w:sz w:val="20"/>
                <w:szCs w:val="20"/>
              </w:rPr>
              <w:t>en</w:t>
            </w:r>
            <w:r w:rsidR="00074551" w:rsidRPr="00F55A63">
              <w:rPr>
                <w:sz w:val="20"/>
                <w:szCs w:val="20"/>
              </w:rPr>
              <w:t xml:space="preserve"> </w:t>
            </w:r>
            <w:r w:rsidR="00074551" w:rsidRPr="5B67C1D2">
              <w:rPr>
                <w:i/>
                <w:iCs/>
                <w:sz w:val="20"/>
                <w:szCs w:val="20"/>
              </w:rPr>
              <w:t xml:space="preserve">Personal </w:t>
            </w:r>
            <w:proofErr w:type="spellStart"/>
            <w:r w:rsidR="00074551" w:rsidRPr="5B67C1D2">
              <w:rPr>
                <w:i/>
                <w:iCs/>
                <w:sz w:val="20"/>
                <w:szCs w:val="20"/>
              </w:rPr>
              <w:t>Responsibility</w:t>
            </w:r>
            <w:proofErr w:type="spellEnd"/>
            <w:r w:rsidR="00074551" w:rsidRPr="5B67C1D2">
              <w:rPr>
                <w:i/>
                <w:iCs/>
                <w:sz w:val="20"/>
                <w:szCs w:val="20"/>
              </w:rPr>
              <w:t xml:space="preserve"> and Work </w:t>
            </w:r>
            <w:proofErr w:type="spellStart"/>
            <w:r w:rsidR="00074551" w:rsidRPr="5B67C1D2">
              <w:rPr>
                <w:i/>
                <w:iCs/>
                <w:sz w:val="20"/>
                <w:szCs w:val="20"/>
              </w:rPr>
              <w:t>Opportunity</w:t>
            </w:r>
            <w:proofErr w:type="spellEnd"/>
            <w:r w:rsidR="00074551" w:rsidRPr="5B67C1D2">
              <w:rPr>
                <w:i/>
                <w:iCs/>
                <w:sz w:val="20"/>
                <w:szCs w:val="20"/>
              </w:rPr>
              <w:t xml:space="preserve"> Reconciliation Act</w:t>
            </w:r>
            <w:r w:rsidR="00074551" w:rsidRPr="00F55A63">
              <w:rPr>
                <w:sz w:val="20"/>
                <w:szCs w:val="20"/>
              </w:rPr>
              <w:t xml:space="preserve"> von 1996</w:t>
            </w:r>
            <w:r w:rsidR="00074551">
              <w:rPr>
                <w:sz w:val="20"/>
                <w:szCs w:val="20"/>
              </w:rPr>
              <w:t>.</w:t>
            </w:r>
            <w:r>
              <w:rPr>
                <w:sz w:val="20"/>
                <w:szCs w:val="20"/>
              </w:rPr>
              <w:t xml:space="preserve"> </w:t>
            </w:r>
            <w:r w:rsidR="00074551">
              <w:rPr>
                <w:sz w:val="20"/>
                <w:szCs w:val="20"/>
              </w:rPr>
              <w:t>Denn</w:t>
            </w:r>
            <w:r w:rsidR="00074551" w:rsidRPr="00F55A63">
              <w:rPr>
                <w:sz w:val="20"/>
                <w:szCs w:val="20"/>
              </w:rPr>
              <w:t xml:space="preserve"> das Gesetz </w:t>
            </w:r>
            <w:r w:rsidR="00074551">
              <w:rPr>
                <w:sz w:val="20"/>
                <w:szCs w:val="20"/>
              </w:rPr>
              <w:t xml:space="preserve">verstoße </w:t>
            </w:r>
            <w:r w:rsidR="00074551" w:rsidRPr="00F55A63">
              <w:rPr>
                <w:sz w:val="20"/>
                <w:szCs w:val="20"/>
              </w:rPr>
              <w:t xml:space="preserve">gegen die </w:t>
            </w:r>
            <w:proofErr w:type="spellStart"/>
            <w:r w:rsidR="00074551" w:rsidRPr="5B67C1D2">
              <w:rPr>
                <w:i/>
                <w:iCs/>
                <w:sz w:val="20"/>
                <w:szCs w:val="20"/>
              </w:rPr>
              <w:t>Privileges</w:t>
            </w:r>
            <w:proofErr w:type="spellEnd"/>
            <w:r w:rsidR="00074551" w:rsidRPr="5B67C1D2">
              <w:rPr>
                <w:i/>
                <w:iCs/>
                <w:sz w:val="20"/>
                <w:szCs w:val="20"/>
              </w:rPr>
              <w:t xml:space="preserve"> and </w:t>
            </w:r>
            <w:proofErr w:type="spellStart"/>
            <w:r w:rsidR="00074551" w:rsidRPr="5B67C1D2">
              <w:rPr>
                <w:i/>
                <w:iCs/>
                <w:sz w:val="20"/>
                <w:szCs w:val="20"/>
              </w:rPr>
              <w:t>Immunities</w:t>
            </w:r>
            <w:proofErr w:type="spellEnd"/>
            <w:r w:rsidR="00074551" w:rsidRPr="5B67C1D2">
              <w:rPr>
                <w:i/>
                <w:iCs/>
                <w:sz w:val="20"/>
                <w:szCs w:val="20"/>
              </w:rPr>
              <w:t xml:space="preserve"> </w:t>
            </w:r>
            <w:proofErr w:type="spellStart"/>
            <w:r w:rsidR="00074551" w:rsidRPr="5B67C1D2">
              <w:rPr>
                <w:i/>
                <w:iCs/>
                <w:sz w:val="20"/>
                <w:szCs w:val="20"/>
              </w:rPr>
              <w:t>Clause</w:t>
            </w:r>
            <w:proofErr w:type="spellEnd"/>
            <w:r w:rsidR="00074551" w:rsidRPr="00F55A63">
              <w:rPr>
                <w:sz w:val="20"/>
                <w:szCs w:val="20"/>
              </w:rPr>
              <w:t xml:space="preserve"> und </w:t>
            </w:r>
            <w:r w:rsidR="00074551">
              <w:rPr>
                <w:sz w:val="20"/>
                <w:szCs w:val="20"/>
              </w:rPr>
              <w:t>diskriminiere Bürger in einem</w:t>
            </w:r>
            <w:r w:rsidR="00074551" w:rsidRPr="00F55A63">
              <w:rPr>
                <w:sz w:val="20"/>
                <w:szCs w:val="20"/>
              </w:rPr>
              <w:t xml:space="preserve"> </w:t>
            </w:r>
            <w:r w:rsidR="00074551">
              <w:rPr>
                <w:sz w:val="20"/>
                <w:szCs w:val="20"/>
              </w:rPr>
              <w:t xml:space="preserve">Bundesstaat </w:t>
            </w:r>
            <w:r w:rsidR="00074551" w:rsidRPr="00F55A63">
              <w:rPr>
                <w:sz w:val="20"/>
                <w:szCs w:val="20"/>
              </w:rPr>
              <w:t>aufgrund ihrer Aufenthaltsdauer</w:t>
            </w:r>
            <w:r w:rsidR="00074551">
              <w:rPr>
                <w:sz w:val="20"/>
                <w:szCs w:val="20"/>
              </w:rPr>
              <w:t>, sog. Neubürger</w:t>
            </w:r>
            <w:r w:rsidR="00074551" w:rsidRPr="00F55A63">
              <w:rPr>
                <w:sz w:val="20"/>
                <w:szCs w:val="20"/>
              </w:rPr>
              <w:t>.</w:t>
            </w:r>
            <w:r w:rsidR="00074551">
              <w:rPr>
                <w:sz w:val="20"/>
                <w:szCs w:val="20"/>
              </w:rPr>
              <w:t xml:space="preserve"> Zunächst hatten sich die Kläger </w:t>
            </w:r>
            <w:r w:rsidR="00074551" w:rsidRPr="00F55A63">
              <w:rPr>
                <w:sz w:val="20"/>
                <w:szCs w:val="20"/>
              </w:rPr>
              <w:t xml:space="preserve">gegen </w:t>
            </w:r>
            <w:r w:rsidR="00074551">
              <w:rPr>
                <w:sz w:val="20"/>
                <w:szCs w:val="20"/>
              </w:rPr>
              <w:t xml:space="preserve">das </w:t>
            </w:r>
            <w:r>
              <w:rPr>
                <w:sz w:val="20"/>
                <w:szCs w:val="20"/>
              </w:rPr>
              <w:t>kalifornische</w:t>
            </w:r>
            <w:r w:rsidR="00074551">
              <w:rPr>
                <w:sz w:val="20"/>
                <w:szCs w:val="20"/>
              </w:rPr>
              <w:t xml:space="preserve"> Gesetz gewandt</w:t>
            </w:r>
            <w:r w:rsidR="00074551" w:rsidRPr="00F55A63">
              <w:rPr>
                <w:sz w:val="20"/>
                <w:szCs w:val="20"/>
              </w:rPr>
              <w:t>.</w:t>
            </w:r>
            <w:r w:rsidR="00074551">
              <w:rPr>
                <w:sz w:val="20"/>
                <w:szCs w:val="20"/>
              </w:rPr>
              <w:t xml:space="preserve"> Die Kläger</w:t>
            </w:r>
            <w:r w:rsidR="00074551" w:rsidRPr="00F55A63">
              <w:rPr>
                <w:sz w:val="20"/>
                <w:szCs w:val="20"/>
              </w:rPr>
              <w:t xml:space="preserve"> argumentierten, dass </w:t>
            </w:r>
            <w:r w:rsidR="00074551">
              <w:rPr>
                <w:sz w:val="20"/>
                <w:szCs w:val="20"/>
              </w:rPr>
              <w:t xml:space="preserve">das Gesetz sie </w:t>
            </w:r>
            <w:r w:rsidR="00074551" w:rsidRPr="00F55A63">
              <w:rPr>
                <w:sz w:val="20"/>
                <w:szCs w:val="20"/>
              </w:rPr>
              <w:t>aufgrund ihrer Aufenthaltsdauer</w:t>
            </w:r>
            <w:r w:rsidR="00074551">
              <w:rPr>
                <w:sz w:val="20"/>
                <w:szCs w:val="20"/>
              </w:rPr>
              <w:t xml:space="preserve"> verfassungswidrig diskriminiere</w:t>
            </w:r>
            <w:r w:rsidR="00074551" w:rsidRPr="00F55A63">
              <w:rPr>
                <w:sz w:val="20"/>
                <w:szCs w:val="20"/>
              </w:rPr>
              <w:t xml:space="preserve">. Das Bezirksgericht erließ </w:t>
            </w:r>
            <w:r w:rsidR="00074551">
              <w:rPr>
                <w:sz w:val="20"/>
                <w:szCs w:val="20"/>
              </w:rPr>
              <w:t xml:space="preserve">daher </w:t>
            </w:r>
            <w:r w:rsidR="00074551" w:rsidRPr="00F55A63">
              <w:rPr>
                <w:sz w:val="20"/>
                <w:szCs w:val="20"/>
              </w:rPr>
              <w:t>eine einstweilige Verfügung</w:t>
            </w:r>
            <w:r w:rsidR="00074551">
              <w:rPr>
                <w:sz w:val="20"/>
                <w:szCs w:val="20"/>
              </w:rPr>
              <w:t xml:space="preserve">. Es begründete dies damit, dass das </w:t>
            </w:r>
            <w:r w:rsidR="00074551" w:rsidRPr="00F55A63">
              <w:rPr>
                <w:sz w:val="20"/>
                <w:szCs w:val="20"/>
              </w:rPr>
              <w:t xml:space="preserve">Gesetz </w:t>
            </w:r>
            <w:r w:rsidR="00074551">
              <w:rPr>
                <w:sz w:val="20"/>
                <w:szCs w:val="20"/>
              </w:rPr>
              <w:t xml:space="preserve">Neubürger </w:t>
            </w:r>
            <w:r w:rsidR="00074551" w:rsidRPr="00F55A63">
              <w:rPr>
                <w:sz w:val="20"/>
                <w:szCs w:val="20"/>
              </w:rPr>
              <w:t xml:space="preserve">mit </w:t>
            </w:r>
            <w:r w:rsidR="00074551">
              <w:rPr>
                <w:sz w:val="20"/>
                <w:szCs w:val="20"/>
              </w:rPr>
              <w:t xml:space="preserve">bisherigen Bürgern </w:t>
            </w:r>
            <w:r w:rsidR="00074551" w:rsidRPr="00F55A63">
              <w:rPr>
                <w:sz w:val="20"/>
                <w:szCs w:val="20"/>
              </w:rPr>
              <w:t>nicht gleichberechtigt</w:t>
            </w:r>
            <w:r w:rsidR="00074551">
              <w:rPr>
                <w:sz w:val="20"/>
                <w:szCs w:val="20"/>
              </w:rPr>
              <w:t xml:space="preserve"> behandle</w:t>
            </w:r>
            <w:r w:rsidR="00074551" w:rsidRPr="00F55A63">
              <w:rPr>
                <w:sz w:val="20"/>
                <w:szCs w:val="20"/>
              </w:rPr>
              <w:t xml:space="preserve">. </w:t>
            </w:r>
            <w:r w:rsidR="00074551">
              <w:rPr>
                <w:sz w:val="20"/>
                <w:szCs w:val="20"/>
              </w:rPr>
              <w:t>Und d</w:t>
            </w:r>
            <w:r w:rsidR="00074551" w:rsidRPr="00F55A63">
              <w:rPr>
                <w:sz w:val="20"/>
                <w:szCs w:val="20"/>
              </w:rPr>
              <w:t>as Berufungsgericht bestätigte</w:t>
            </w:r>
            <w:r w:rsidR="00074551">
              <w:rPr>
                <w:sz w:val="20"/>
                <w:szCs w:val="20"/>
              </w:rPr>
              <w:t xml:space="preserve"> dies</w:t>
            </w:r>
            <w:r w:rsidR="00074551" w:rsidRPr="00F55A63">
              <w:rPr>
                <w:sz w:val="20"/>
                <w:szCs w:val="20"/>
              </w:rPr>
              <w:t>.</w:t>
            </w:r>
            <w:r w:rsidR="00074551">
              <w:rPr>
                <w:sz w:val="20"/>
                <w:szCs w:val="20"/>
              </w:rPr>
              <w:t xml:space="preserve"> </w:t>
            </w:r>
            <w:r w:rsidR="00074551" w:rsidRPr="00F55A63">
              <w:rPr>
                <w:sz w:val="20"/>
                <w:szCs w:val="20"/>
              </w:rPr>
              <w:t xml:space="preserve">Der </w:t>
            </w:r>
            <w:r w:rsidR="00074551">
              <w:rPr>
                <w:sz w:val="20"/>
                <w:szCs w:val="20"/>
              </w:rPr>
              <w:t>U.S. Supreme Court</w:t>
            </w:r>
            <w:r w:rsidR="00074551" w:rsidRPr="00F55A63">
              <w:rPr>
                <w:sz w:val="20"/>
                <w:szCs w:val="20"/>
              </w:rPr>
              <w:t xml:space="preserve"> </w:t>
            </w:r>
            <w:r w:rsidR="00074551">
              <w:rPr>
                <w:sz w:val="20"/>
                <w:szCs w:val="20"/>
              </w:rPr>
              <w:t>urteilte dann</w:t>
            </w:r>
            <w:r w:rsidR="00074551" w:rsidRPr="00F55A63">
              <w:rPr>
                <w:sz w:val="20"/>
                <w:szCs w:val="20"/>
              </w:rPr>
              <w:t>, dass di</w:t>
            </w:r>
            <w:r w:rsidR="00074551">
              <w:rPr>
                <w:sz w:val="20"/>
                <w:szCs w:val="20"/>
              </w:rPr>
              <w:t>e Schutzrechte aus</w:t>
            </w:r>
            <w:r w:rsidR="00074551" w:rsidRPr="00F55A63">
              <w:rPr>
                <w:sz w:val="20"/>
                <w:szCs w:val="20"/>
              </w:rPr>
              <w:t xml:space="preserve"> </w:t>
            </w:r>
            <w:r w:rsidR="00074551">
              <w:rPr>
                <w:sz w:val="20"/>
                <w:szCs w:val="20"/>
              </w:rPr>
              <w:t xml:space="preserve">der U.S. </w:t>
            </w:r>
            <w:proofErr w:type="spellStart"/>
            <w:r w:rsidR="00074551">
              <w:rPr>
                <w:sz w:val="20"/>
                <w:szCs w:val="20"/>
              </w:rPr>
              <w:t>Const</w:t>
            </w:r>
            <w:proofErr w:type="spellEnd"/>
            <w:r w:rsidR="00074551">
              <w:rPr>
                <w:sz w:val="20"/>
                <w:szCs w:val="20"/>
              </w:rPr>
              <w:t xml:space="preserve">. – wie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00074551">
              <w:rPr>
                <w:sz w:val="20"/>
                <w:szCs w:val="20"/>
              </w:rPr>
              <w:t> – in die Kompetenzen der Bundesstaaten eingreifen und diese beschränken könnten</w:t>
            </w:r>
            <w:r w:rsidR="00074551" w:rsidRPr="00F55A63">
              <w:rPr>
                <w:sz w:val="20"/>
                <w:szCs w:val="20"/>
              </w:rPr>
              <w:t xml:space="preserve">. </w:t>
            </w:r>
            <w:r w:rsidR="00074551">
              <w:rPr>
                <w:sz w:val="20"/>
                <w:szCs w:val="20"/>
              </w:rPr>
              <w:t xml:space="preserve">Das meint hier, das Gesetz greife unzulässig ein in das </w:t>
            </w:r>
            <w:r w:rsidR="00074551" w:rsidRPr="00F55A63">
              <w:rPr>
                <w:sz w:val="20"/>
                <w:szCs w:val="20"/>
              </w:rPr>
              <w:t>Recht</w:t>
            </w:r>
            <w:r w:rsidR="00074551">
              <w:rPr>
                <w:sz w:val="20"/>
                <w:szCs w:val="20"/>
              </w:rPr>
              <w:t xml:space="preserve"> der Neubürger auf </w:t>
            </w:r>
            <w:r w:rsidR="00074551" w:rsidRPr="00F55A63">
              <w:rPr>
                <w:sz w:val="20"/>
                <w:szCs w:val="20"/>
              </w:rPr>
              <w:t xml:space="preserve">gleiche </w:t>
            </w:r>
            <w:r w:rsidR="00074551">
              <w:rPr>
                <w:sz w:val="20"/>
                <w:szCs w:val="20"/>
              </w:rPr>
              <w:t>Vorrechte</w:t>
            </w:r>
            <w:r w:rsidR="00074551" w:rsidRPr="00F55A63">
              <w:rPr>
                <w:sz w:val="20"/>
                <w:szCs w:val="20"/>
              </w:rPr>
              <w:t xml:space="preserve"> und Immunitäten</w:t>
            </w:r>
            <w:r w:rsidR="000745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00074551">
              <w:rPr>
                <w:sz w:val="20"/>
                <w:szCs w:val="20"/>
              </w:rPr>
              <w:t xml:space="preserve"> Zudem sei die Freizügigkeit</w:t>
            </w:r>
            <w:r w:rsidR="00074551" w:rsidRPr="00F55A63">
              <w:rPr>
                <w:sz w:val="20"/>
                <w:szCs w:val="20"/>
              </w:rPr>
              <w:t xml:space="preserve"> </w:t>
            </w:r>
            <w:r w:rsidR="00074551">
              <w:rPr>
                <w:sz w:val="20"/>
                <w:szCs w:val="20"/>
              </w:rPr>
              <w:t xml:space="preserve">verletzt. Denn diese umfasse </w:t>
            </w:r>
            <w:r w:rsidR="00074551" w:rsidRPr="00F55A63">
              <w:rPr>
                <w:sz w:val="20"/>
                <w:szCs w:val="20"/>
              </w:rPr>
              <w:t xml:space="preserve">das Recht eines Bürgers, </w:t>
            </w:r>
            <w:r w:rsidR="00074551">
              <w:rPr>
                <w:sz w:val="20"/>
                <w:szCs w:val="20"/>
              </w:rPr>
              <w:t>im Bundesstaat seines neuen Wohnsitzes</w:t>
            </w:r>
            <w:r w:rsidR="00074551" w:rsidRPr="00F55A63">
              <w:rPr>
                <w:sz w:val="20"/>
                <w:szCs w:val="20"/>
              </w:rPr>
              <w:t xml:space="preserve"> gleich behandelt zu werden. </w:t>
            </w:r>
            <w:r w:rsidR="00074551">
              <w:rPr>
                <w:sz w:val="20"/>
                <w:szCs w:val="20"/>
              </w:rPr>
              <w:t>Eine Klassifizierung, die hier diskriminiere, komme einer unverhältnismäßigen Bestrafung gleich.</w:t>
            </w:r>
            <w:r w:rsidR="00074551">
              <w:rPr>
                <w:rStyle w:val="Funotenzeichen"/>
                <w:sz w:val="20"/>
                <w:szCs w:val="20"/>
              </w:rPr>
              <w:footnoteReference w:id="457"/>
            </w:r>
          </w:p>
          <w:p w14:paraId="7496BC55" w14:textId="77777777" w:rsidR="00074551" w:rsidRPr="00E50B51" w:rsidRDefault="00074551" w:rsidP="00367133">
            <w:pPr>
              <w:jc w:val="both"/>
              <w:rPr>
                <w:sz w:val="20"/>
                <w:szCs w:val="20"/>
              </w:rPr>
            </w:pPr>
          </w:p>
        </w:tc>
        <w:tc>
          <w:tcPr>
            <w:tcW w:w="1822" w:type="pct"/>
          </w:tcPr>
          <w:p w14:paraId="55C3EDE2" w14:textId="77777777" w:rsidR="00074551" w:rsidRPr="00B45592" w:rsidRDefault="00074551" w:rsidP="00367133">
            <w:pPr>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Relations Among Governments, Privileges &amp; Immunities</w:t>
            </w:r>
          </w:p>
          <w:p w14:paraId="5889CB3F" w14:textId="77777777" w:rsidR="00074551" w:rsidRPr="00B45592" w:rsidRDefault="00074551" w:rsidP="00367133">
            <w:pPr>
              <w:rPr>
                <w:sz w:val="20"/>
                <w:szCs w:val="20"/>
                <w:lang w:val="en-IE"/>
              </w:rPr>
            </w:pPr>
          </w:p>
          <w:p w14:paraId="3947090D" w14:textId="6825F0F8" w:rsidR="00074551" w:rsidRPr="00046058" w:rsidRDefault="00074551" w:rsidP="00367133">
            <w:pPr>
              <w:rPr>
                <w:sz w:val="20"/>
                <w:szCs w:val="20"/>
              </w:rPr>
            </w:pPr>
            <w:r w:rsidRPr="001A1BB8">
              <w:rPr>
                <w:sz w:val="20"/>
                <w:szCs w:val="20"/>
              </w:rPr>
              <w:t xml:space="preserve">Die </w:t>
            </w:r>
            <w:proofErr w:type="spellStart"/>
            <w:r w:rsidRPr="001A1BB8">
              <w:rPr>
                <w:i/>
                <w:iCs/>
                <w:sz w:val="20"/>
                <w:szCs w:val="20"/>
              </w:rPr>
              <w:t>dissenting</w:t>
            </w:r>
            <w:proofErr w:type="spellEnd"/>
            <w:r w:rsidRPr="001A1BB8">
              <w:rPr>
                <w:i/>
                <w:iCs/>
                <w:sz w:val="20"/>
                <w:szCs w:val="20"/>
              </w:rPr>
              <w:t xml:space="preserve"> </w:t>
            </w:r>
            <w:proofErr w:type="spellStart"/>
            <w:r w:rsidRPr="001A1BB8">
              <w:rPr>
                <w:i/>
                <w:iCs/>
                <w:sz w:val="20"/>
                <w:szCs w:val="20"/>
              </w:rPr>
              <w:t>opinion</w:t>
            </w:r>
            <w:proofErr w:type="spellEnd"/>
            <w:r w:rsidRPr="001A1BB8">
              <w:rPr>
                <w:sz w:val="20"/>
                <w:szCs w:val="20"/>
              </w:rPr>
              <w:t xml:space="preserve"> sprach sich für die </w:t>
            </w:r>
            <w:proofErr w:type="gramStart"/>
            <w:r w:rsidRPr="001A1BB8">
              <w:rPr>
                <w:sz w:val="20"/>
                <w:szCs w:val="20"/>
              </w:rPr>
              <w:t xml:space="preserve">Verfassungsmäßigkeit  </w:t>
            </w:r>
            <w:r w:rsidR="001A1BB8" w:rsidRPr="001A1BB8">
              <w:rPr>
                <w:sz w:val="20"/>
                <w:szCs w:val="20"/>
              </w:rPr>
              <w:t>des</w:t>
            </w:r>
            <w:proofErr w:type="gramEnd"/>
            <w:r w:rsidR="001A1BB8" w:rsidRPr="001A1BB8">
              <w:rPr>
                <w:sz w:val="20"/>
                <w:szCs w:val="20"/>
              </w:rPr>
              <w:t xml:space="preserve"> kalifornischen Gesetzes </w:t>
            </w:r>
            <w:r w:rsidR="001A1BB8" w:rsidRPr="001A1BB8">
              <w:rPr>
                <w:i/>
                <w:iCs/>
                <w:sz w:val="20"/>
                <w:szCs w:val="20"/>
              </w:rPr>
              <w:t xml:space="preserve">§ 11450.03 Cal. Welf. &amp; </w:t>
            </w:r>
            <w:proofErr w:type="spellStart"/>
            <w:r w:rsidR="001A1BB8" w:rsidRPr="001A1BB8">
              <w:rPr>
                <w:i/>
                <w:iCs/>
                <w:sz w:val="20"/>
                <w:szCs w:val="20"/>
              </w:rPr>
              <w:t>Inst</w:t>
            </w:r>
            <w:proofErr w:type="spellEnd"/>
            <w:r w:rsidR="001A1BB8" w:rsidRPr="001A1BB8">
              <w:rPr>
                <w:i/>
                <w:iCs/>
                <w:sz w:val="20"/>
                <w:szCs w:val="20"/>
              </w:rPr>
              <w:t>. Code</w:t>
            </w:r>
            <w:r w:rsidR="001A1BB8" w:rsidRPr="001A1BB8">
              <w:rPr>
                <w:sz w:val="20"/>
                <w:szCs w:val="20"/>
              </w:rPr>
              <w:t xml:space="preserve"> von 1992</w:t>
            </w:r>
            <w:r w:rsidR="001A1BB8">
              <w:t xml:space="preserve"> </w:t>
            </w:r>
            <w:r w:rsidR="001A1BB8" w:rsidRPr="001A1BB8">
              <w:rPr>
                <w:sz w:val="20"/>
                <w:szCs w:val="20"/>
              </w:rPr>
              <w:t>aus</w:t>
            </w:r>
            <w:r w:rsidRPr="00046058">
              <w:rPr>
                <w:sz w:val="20"/>
                <w:szCs w:val="20"/>
              </w:rPr>
              <w:t>; das Gesetz regel</w:t>
            </w:r>
            <w:r>
              <w:rPr>
                <w:sz w:val="20"/>
                <w:szCs w:val="20"/>
              </w:rPr>
              <w:t>t</w:t>
            </w:r>
            <w:r w:rsidRPr="00046058">
              <w:rPr>
                <w:sz w:val="20"/>
                <w:szCs w:val="20"/>
              </w:rPr>
              <w:t>e, dass die Höhe der Sozialleistungen für eine Familie, die weniger als 12 Monate in Kalifornien gelebt hatte, auf den Betrag begrenzt sei, welchen der Bundesstaat des vorherigen Wohnsitzes an sie als Familie ausgezahlt hatte.</w:t>
            </w:r>
            <w:r w:rsidRPr="00046058">
              <w:rPr>
                <w:sz w:val="20"/>
                <w:szCs w:val="20"/>
                <w:vertAlign w:val="superscript"/>
              </w:rPr>
              <w:footnoteReference w:id="458"/>
            </w:r>
            <w:r w:rsidRPr="00046058">
              <w:rPr>
                <w:sz w:val="20"/>
                <w:szCs w:val="20"/>
              </w:rPr>
              <w:t xml:space="preserve"> Doch warum </w:t>
            </w:r>
            <w:r>
              <w:rPr>
                <w:sz w:val="20"/>
                <w:szCs w:val="20"/>
              </w:rPr>
              <w:t>sei</w:t>
            </w:r>
            <w:r w:rsidRPr="00046058">
              <w:rPr>
                <w:sz w:val="20"/>
                <w:szCs w:val="20"/>
              </w:rPr>
              <w:t xml:space="preserve"> das Gesetz verfassungsgemäß? Zunächst indiziere der historische Hintergrund zum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46058">
              <w:rPr>
                <w:sz w:val="20"/>
                <w:szCs w:val="20"/>
              </w:rPr>
              <w:t>, dass die Vorrechte und Immunitäten der Bürger nur die grundlegenden Rechte umfass</w:t>
            </w:r>
            <w:r>
              <w:rPr>
                <w:sz w:val="20"/>
                <w:szCs w:val="20"/>
              </w:rPr>
              <w:t>ten</w:t>
            </w:r>
            <w:r w:rsidRPr="00046058">
              <w:rPr>
                <w:sz w:val="20"/>
                <w:szCs w:val="20"/>
              </w:rPr>
              <w:t xml:space="preserve">, aber nicht jede öffentliche Leistung, </w:t>
            </w:r>
            <w:r>
              <w:rPr>
                <w:sz w:val="20"/>
                <w:szCs w:val="20"/>
              </w:rPr>
              <w:t>welche</w:t>
            </w:r>
            <w:r w:rsidRPr="00046058">
              <w:rPr>
                <w:sz w:val="20"/>
                <w:szCs w:val="20"/>
              </w:rPr>
              <w:t xml:space="preserve"> das positive Recht schaffe (</w:t>
            </w:r>
            <w:proofErr w:type="gramStart"/>
            <w:r w:rsidRPr="00046058">
              <w:rPr>
                <w:sz w:val="20"/>
                <w:szCs w:val="20"/>
              </w:rPr>
              <w:t>„</w:t>
            </w:r>
            <w:r>
              <w:rPr>
                <w:sz w:val="20"/>
                <w:szCs w:val="20"/>
              </w:rPr>
              <w:t>,</w:t>
            </w:r>
            <w:proofErr w:type="spellStart"/>
            <w:r w:rsidRPr="00046058">
              <w:rPr>
                <w:sz w:val="20"/>
                <w:szCs w:val="20"/>
              </w:rPr>
              <w:t>privileges</w:t>
            </w:r>
            <w:proofErr w:type="spellEnd"/>
            <w:proofErr w:type="gramEnd"/>
            <w:r w:rsidRPr="00046058">
              <w:rPr>
                <w:sz w:val="20"/>
                <w:szCs w:val="20"/>
              </w:rPr>
              <w:t xml:space="preserve"> </w:t>
            </w:r>
            <w:proofErr w:type="spellStart"/>
            <w:r w:rsidRPr="00046058">
              <w:rPr>
                <w:sz w:val="20"/>
                <w:szCs w:val="20"/>
              </w:rPr>
              <w:t>or</w:t>
            </w:r>
            <w:proofErr w:type="spellEnd"/>
            <w:r w:rsidRPr="00046058">
              <w:rPr>
                <w:sz w:val="20"/>
                <w:szCs w:val="20"/>
              </w:rPr>
              <w:t xml:space="preserve"> </w:t>
            </w:r>
            <w:proofErr w:type="spellStart"/>
            <w:r w:rsidRPr="00046058">
              <w:rPr>
                <w:sz w:val="20"/>
                <w:szCs w:val="20"/>
              </w:rPr>
              <w:t>immunities</w:t>
            </w:r>
            <w:proofErr w:type="spellEnd"/>
            <w:r w:rsidRPr="00046058">
              <w:rPr>
                <w:sz w:val="20"/>
                <w:szCs w:val="20"/>
              </w:rPr>
              <w:t xml:space="preserve"> of </w:t>
            </w:r>
            <w:proofErr w:type="spellStart"/>
            <w:r w:rsidRPr="00046058">
              <w:rPr>
                <w:sz w:val="20"/>
                <w:szCs w:val="20"/>
              </w:rPr>
              <w:t>citizens</w:t>
            </w:r>
            <w:proofErr w:type="spellEnd"/>
            <w:r>
              <w:rPr>
                <w:sz w:val="20"/>
                <w:szCs w:val="20"/>
              </w:rPr>
              <w:t>‘</w:t>
            </w:r>
            <w:r w:rsidRPr="00046058">
              <w:rPr>
                <w:sz w:val="20"/>
                <w:szCs w:val="20"/>
              </w:rPr>
              <w:t xml:space="preserve"> </w:t>
            </w:r>
            <w:proofErr w:type="spellStart"/>
            <w:r w:rsidRPr="00046058">
              <w:rPr>
                <w:sz w:val="20"/>
                <w:szCs w:val="20"/>
              </w:rPr>
              <w:t>were</w:t>
            </w:r>
            <w:proofErr w:type="spellEnd"/>
            <w:r w:rsidRPr="00046058">
              <w:rPr>
                <w:sz w:val="20"/>
                <w:szCs w:val="20"/>
              </w:rPr>
              <w:t xml:space="preserve"> fundamental </w:t>
            </w:r>
            <w:proofErr w:type="spellStart"/>
            <w:r w:rsidRPr="00046058">
              <w:rPr>
                <w:sz w:val="20"/>
                <w:szCs w:val="20"/>
              </w:rPr>
              <w:t>rights</w:t>
            </w:r>
            <w:proofErr w:type="spellEnd"/>
            <w:r w:rsidRPr="00046058">
              <w:rPr>
                <w:sz w:val="20"/>
                <w:szCs w:val="20"/>
              </w:rPr>
              <w:t xml:space="preserve">, </w:t>
            </w:r>
            <w:proofErr w:type="spellStart"/>
            <w:r w:rsidRPr="00046058">
              <w:rPr>
                <w:sz w:val="20"/>
                <w:szCs w:val="20"/>
              </w:rPr>
              <w:t>rather</w:t>
            </w:r>
            <w:proofErr w:type="spellEnd"/>
            <w:r w:rsidRPr="00046058">
              <w:rPr>
                <w:sz w:val="20"/>
                <w:szCs w:val="20"/>
              </w:rPr>
              <w:t xml:space="preserve"> </w:t>
            </w:r>
            <w:proofErr w:type="spellStart"/>
            <w:r w:rsidRPr="00046058">
              <w:rPr>
                <w:sz w:val="20"/>
                <w:szCs w:val="20"/>
              </w:rPr>
              <w:t>than</w:t>
            </w:r>
            <w:proofErr w:type="spellEnd"/>
            <w:r w:rsidRPr="00046058">
              <w:rPr>
                <w:sz w:val="20"/>
                <w:szCs w:val="20"/>
              </w:rPr>
              <w:t xml:space="preserve"> </w:t>
            </w:r>
            <w:proofErr w:type="spellStart"/>
            <w:r w:rsidRPr="00046058">
              <w:rPr>
                <w:sz w:val="20"/>
                <w:szCs w:val="20"/>
              </w:rPr>
              <w:t>every</w:t>
            </w:r>
            <w:proofErr w:type="spellEnd"/>
            <w:r w:rsidRPr="00046058">
              <w:rPr>
                <w:sz w:val="20"/>
                <w:szCs w:val="20"/>
              </w:rPr>
              <w:t xml:space="preserve"> </w:t>
            </w:r>
            <w:proofErr w:type="spellStart"/>
            <w:r w:rsidRPr="00046058">
              <w:rPr>
                <w:sz w:val="20"/>
                <w:szCs w:val="20"/>
              </w:rPr>
              <w:t>public</w:t>
            </w:r>
            <w:proofErr w:type="spellEnd"/>
            <w:r w:rsidRPr="00046058">
              <w:rPr>
                <w:sz w:val="20"/>
                <w:szCs w:val="20"/>
              </w:rPr>
              <w:t xml:space="preserve"> </w:t>
            </w:r>
            <w:proofErr w:type="spellStart"/>
            <w:r w:rsidRPr="00046058">
              <w:rPr>
                <w:sz w:val="20"/>
                <w:szCs w:val="20"/>
              </w:rPr>
              <w:t>benefit</w:t>
            </w:r>
            <w:proofErr w:type="spellEnd"/>
            <w:r w:rsidRPr="00046058">
              <w:rPr>
                <w:sz w:val="20"/>
                <w:szCs w:val="20"/>
              </w:rPr>
              <w:t xml:space="preserve"> </w:t>
            </w:r>
            <w:proofErr w:type="spellStart"/>
            <w:r w:rsidRPr="00046058">
              <w:rPr>
                <w:sz w:val="20"/>
                <w:szCs w:val="20"/>
              </w:rPr>
              <w:t>established</w:t>
            </w:r>
            <w:proofErr w:type="spellEnd"/>
            <w:r w:rsidRPr="00046058">
              <w:rPr>
                <w:sz w:val="20"/>
                <w:szCs w:val="20"/>
              </w:rPr>
              <w:t xml:space="preserve"> by positive </w:t>
            </w:r>
            <w:proofErr w:type="spellStart"/>
            <w:r w:rsidRPr="00046058">
              <w:rPr>
                <w:sz w:val="20"/>
                <w:szCs w:val="20"/>
              </w:rPr>
              <w:t>law</w:t>
            </w:r>
            <w:proofErr w:type="spellEnd"/>
            <w:r w:rsidRPr="00046058">
              <w:rPr>
                <w:sz w:val="20"/>
                <w:szCs w:val="20"/>
              </w:rPr>
              <w:t>“</w:t>
            </w:r>
            <w:r w:rsidRPr="00046058">
              <w:rPr>
                <w:sz w:val="20"/>
                <w:szCs w:val="20"/>
                <w:vertAlign w:val="superscript"/>
              </w:rPr>
              <w:footnoteReference w:id="459"/>
            </w:r>
            <w:r w:rsidRPr="00046058">
              <w:rPr>
                <w:sz w:val="20"/>
                <w:szCs w:val="20"/>
              </w:rPr>
              <w:t xml:space="preserve">), wie hier Sozialleistungen. Richter </w:t>
            </w:r>
            <w:r w:rsidRPr="00B45592">
              <w:rPr>
                <w:i/>
                <w:sz w:val="20"/>
                <w:szCs w:val="20"/>
              </w:rPr>
              <w:t>Washingtons</w:t>
            </w:r>
            <w:r w:rsidRPr="00046058">
              <w:rPr>
                <w:sz w:val="20"/>
                <w:szCs w:val="20"/>
              </w:rPr>
              <w:t xml:space="preserve"> Rechtsprechung</w:t>
            </w:r>
            <w:r>
              <w:rPr>
                <w:sz w:val="20"/>
                <w:szCs w:val="20"/>
              </w:rPr>
              <w:t xml:space="preserve"> in </w:t>
            </w:r>
            <w:r w:rsidRPr="009747B9">
              <w:rPr>
                <w:i/>
                <w:iCs/>
                <w:sz w:val="20"/>
                <w:szCs w:val="20"/>
              </w:rPr>
              <w:t>Corfield v. Coryell</w:t>
            </w:r>
            <w:r w:rsidRPr="00046058">
              <w:rPr>
                <w:sz w:val="20"/>
                <w:szCs w:val="20"/>
                <w:vertAlign w:val="superscript"/>
              </w:rPr>
              <w:t xml:space="preserve"> </w:t>
            </w:r>
            <w:r w:rsidRPr="00046058">
              <w:rPr>
                <w:sz w:val="20"/>
                <w:szCs w:val="20"/>
                <w:vertAlign w:val="superscript"/>
              </w:rPr>
              <w:footnoteReference w:id="460"/>
            </w:r>
            <w:r w:rsidRPr="00046058">
              <w:rPr>
                <w:sz w:val="20"/>
                <w:szCs w:val="20"/>
              </w:rPr>
              <w:t xml:space="preserve"> fasste den historischen Hintergrund der Vorrechte und Immunitäten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46058">
              <w:rPr>
                <w:sz w:val="20"/>
                <w:szCs w:val="20"/>
              </w:rPr>
              <w:t xml:space="preserve"> zusammen. Er lehnte dabei </w:t>
            </w:r>
            <w:r>
              <w:rPr>
                <w:sz w:val="20"/>
                <w:szCs w:val="20"/>
              </w:rPr>
              <w:t xml:space="preserve">die Vorstellung </w:t>
            </w:r>
            <w:r w:rsidRPr="00046058">
              <w:rPr>
                <w:sz w:val="20"/>
                <w:szCs w:val="20"/>
              </w:rPr>
              <w:t>ab, dass die Vorrechte und Immunitäten gleichen Zugang zu allen öffentlichen Leistungen garantier</w:t>
            </w:r>
            <w:r>
              <w:rPr>
                <w:sz w:val="20"/>
                <w:szCs w:val="20"/>
              </w:rPr>
              <w:t>ten </w:t>
            </w:r>
            <w:r w:rsidRPr="00046058">
              <w:rPr>
                <w:sz w:val="20"/>
                <w:szCs w:val="20"/>
              </w:rPr>
              <w:t xml:space="preserve">– er nannte als Beispiel das Recht, Austern in öffentlichen Gewässern zu fangen. Stattdessen befürwortete er zwar das kolonialzeitliche Verständnis </w:t>
            </w:r>
            <w:r>
              <w:rPr>
                <w:sz w:val="20"/>
                <w:szCs w:val="20"/>
              </w:rPr>
              <w:t>von „</w:t>
            </w:r>
            <w:r w:rsidRPr="00046058">
              <w:rPr>
                <w:sz w:val="20"/>
                <w:szCs w:val="20"/>
              </w:rPr>
              <w:t>Vorrechte und Immunitäten</w:t>
            </w:r>
            <w:r>
              <w:rPr>
                <w:sz w:val="20"/>
                <w:szCs w:val="20"/>
              </w:rPr>
              <w:t>“, also</w:t>
            </w:r>
            <w:r w:rsidRPr="00046058">
              <w:rPr>
                <w:sz w:val="20"/>
                <w:szCs w:val="20"/>
              </w:rPr>
              <w:t xml:space="preserve"> dass das Begriffspaar aus </w:t>
            </w:r>
            <w:r w:rsidR="002F58F4" w:rsidRPr="002F58F4">
              <w:rPr>
                <w:sz w:val="20"/>
                <w:szCs w:val="20"/>
              </w:rPr>
              <w:t xml:space="preserve">U.S. </w:t>
            </w:r>
            <w:proofErr w:type="spellStart"/>
            <w:r w:rsidR="002F58F4" w:rsidRPr="002F58F4">
              <w:rPr>
                <w:sz w:val="20"/>
                <w:szCs w:val="20"/>
              </w:rPr>
              <w:t>Const</w:t>
            </w:r>
            <w:proofErr w:type="spellEnd"/>
            <w:r w:rsidR="002F58F4" w:rsidRPr="002F58F4">
              <w:rPr>
                <w:sz w:val="20"/>
                <w:szCs w:val="20"/>
              </w:rPr>
              <w:t xml:space="preserve">. </w:t>
            </w:r>
            <w:proofErr w:type="spellStart"/>
            <w:r w:rsidR="002F58F4" w:rsidRPr="002F58F4">
              <w:rPr>
                <w:sz w:val="20"/>
                <w:szCs w:val="20"/>
              </w:rPr>
              <w:t>amend</w:t>
            </w:r>
            <w:proofErr w:type="spellEnd"/>
            <w:r w:rsidR="002F58F4" w:rsidRPr="002F58F4">
              <w:rPr>
                <w:sz w:val="20"/>
                <w:szCs w:val="20"/>
              </w:rPr>
              <w:t>. XIV und art. IV</w:t>
            </w:r>
            <w:r w:rsidR="002F58F4">
              <w:rPr>
                <w:sz w:val="20"/>
                <w:szCs w:val="20"/>
              </w:rPr>
              <w:t xml:space="preserve"> </w:t>
            </w:r>
            <w:r w:rsidRPr="00046058">
              <w:rPr>
                <w:sz w:val="20"/>
                <w:szCs w:val="20"/>
              </w:rPr>
              <w:t>nur grundlegende Rechte bzw. Grundrechte umfasse; diese müss</w:t>
            </w:r>
            <w:r>
              <w:rPr>
                <w:sz w:val="20"/>
                <w:szCs w:val="20"/>
              </w:rPr>
              <w:t>t</w:t>
            </w:r>
            <w:r w:rsidRPr="00046058">
              <w:rPr>
                <w:sz w:val="20"/>
                <w:szCs w:val="20"/>
              </w:rPr>
              <w:t>en dann aber allen Bürgern der Vereinigten Staaten zustehen. Und dieses Verständnis teile der Gesetzgeber, wie sich am Cong. Globe, 39th Cong., 1st Sess., 2765 (1866)</w:t>
            </w:r>
            <w:r w:rsidRPr="00046058">
              <w:rPr>
                <w:sz w:val="20"/>
                <w:szCs w:val="20"/>
                <w:vertAlign w:val="superscript"/>
              </w:rPr>
              <w:footnoteReference w:id="461"/>
            </w:r>
            <w:r w:rsidRPr="00046058">
              <w:rPr>
                <w:sz w:val="20"/>
                <w:szCs w:val="20"/>
              </w:rPr>
              <w:t xml:space="preserve"> zeige. Damit stellt sich die Frage, was diese Grundrechte sind, die überhaupt unter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46058">
              <w:rPr>
                <w:sz w:val="20"/>
                <w:szCs w:val="20"/>
              </w:rPr>
              <w:t xml:space="preserve"> und seine Begriffe </w:t>
            </w:r>
            <w:r>
              <w:rPr>
                <w:sz w:val="20"/>
                <w:szCs w:val="20"/>
              </w:rPr>
              <w:t xml:space="preserve">der </w:t>
            </w:r>
            <w:r w:rsidRPr="00046058">
              <w:rPr>
                <w:sz w:val="20"/>
                <w:szCs w:val="20"/>
              </w:rPr>
              <w:t xml:space="preserve">Vorrechte und Immunitäten fallen – und </w:t>
            </w:r>
            <w:r>
              <w:rPr>
                <w:sz w:val="20"/>
                <w:szCs w:val="20"/>
              </w:rPr>
              <w:t xml:space="preserve">welche </w:t>
            </w:r>
            <w:r w:rsidRPr="00046058">
              <w:rPr>
                <w:sz w:val="20"/>
                <w:szCs w:val="20"/>
              </w:rPr>
              <w:t>die Bundesstaaten den Bürgern zu gewähren haben</w:t>
            </w:r>
            <w:r>
              <w:rPr>
                <w:sz w:val="20"/>
                <w:szCs w:val="20"/>
              </w:rPr>
              <w:t>.</w:t>
            </w:r>
            <w:r w:rsidRPr="00046058">
              <w:rPr>
                <w:sz w:val="20"/>
                <w:szCs w:val="20"/>
              </w:rPr>
              <w:t xml:space="preserve"> Die</w:t>
            </w:r>
            <w:r>
              <w:rPr>
                <w:sz w:val="20"/>
                <w:szCs w:val="20"/>
              </w:rPr>
              <w:t>se Grundrechte</w:t>
            </w:r>
            <w:r w:rsidRPr="00046058">
              <w:rPr>
                <w:sz w:val="20"/>
                <w:szCs w:val="20"/>
              </w:rPr>
              <w:t xml:space="preserve"> </w:t>
            </w:r>
            <w:r>
              <w:rPr>
                <w:sz w:val="20"/>
                <w:szCs w:val="20"/>
              </w:rPr>
              <w:t xml:space="preserve">sind laut der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046058">
              <w:rPr>
                <w:sz w:val="20"/>
                <w:szCs w:val="20"/>
              </w:rPr>
              <w:t xml:space="preserve"> </w:t>
            </w:r>
            <w:r>
              <w:rPr>
                <w:sz w:val="20"/>
                <w:szCs w:val="20"/>
              </w:rPr>
              <w:t>folgende</w:t>
            </w:r>
            <w:r w:rsidRPr="00046058">
              <w:rPr>
                <w:sz w:val="20"/>
                <w:szCs w:val="20"/>
              </w:rPr>
              <w:t xml:space="preserve">: </w:t>
            </w:r>
            <w:r>
              <w:rPr>
                <w:sz w:val="20"/>
                <w:szCs w:val="20"/>
              </w:rPr>
              <w:t>d</w:t>
            </w:r>
            <w:r w:rsidRPr="00046058">
              <w:rPr>
                <w:sz w:val="20"/>
                <w:szCs w:val="20"/>
              </w:rPr>
              <w:t>e</w:t>
            </w:r>
            <w:r>
              <w:rPr>
                <w:sz w:val="20"/>
                <w:szCs w:val="20"/>
              </w:rPr>
              <w:t>r</w:t>
            </w:r>
            <w:r w:rsidRPr="00046058">
              <w:rPr>
                <w:sz w:val="20"/>
                <w:szCs w:val="20"/>
              </w:rPr>
              <w:t xml:space="preserve"> Schutz durch die Regierung; das Recht auf Leben und Freiheit; das Recht, Eigentum jeder Art zu erwerben und zu besitzen; das Recht, nach Glück und Sicherheit zu streben und diese erlangen zu können</w:t>
            </w:r>
            <w:r>
              <w:rPr>
                <w:sz w:val="20"/>
                <w:szCs w:val="20"/>
              </w:rPr>
              <w:t> </w:t>
            </w:r>
            <w:r w:rsidRPr="00046058">
              <w:rPr>
                <w:sz w:val="20"/>
                <w:szCs w:val="20"/>
              </w:rPr>
              <w:t>– vorbehaltlich, dass die Regierung jene Rechte zugunsten des Allgemeinwohls einschränken dürfe</w:t>
            </w:r>
            <w:r>
              <w:rPr>
                <w:sz w:val="20"/>
                <w:szCs w:val="20"/>
              </w:rPr>
              <w:t> –</w:t>
            </w:r>
            <w:r w:rsidRPr="00046058">
              <w:rPr>
                <w:sz w:val="20"/>
                <w:szCs w:val="20"/>
              </w:rPr>
              <w:t xml:space="preserve"> und das Recht eines Bürgers eines Bundesstaats, durch einen anderen Bundesstaat reisen oder sich dort niederlassen zu dürfen, zum Zwecke des Handels, der Landwirtschaft, der beruflichen Tätigkeiten oder auch aus anderen Gründen; das Recht, das Habeas-Corpus-Recht in Anspruch zu nehmen; sowie das Recht, Klagen vor den Gerichten der Bundesstaaten zu erheben; das Recht auf Befreiung von höheren Steuern oder </w:t>
            </w:r>
            <w:r w:rsidRPr="00046058">
              <w:rPr>
                <w:sz w:val="20"/>
                <w:szCs w:val="20"/>
              </w:rPr>
              <w:lastRenderedPageBreak/>
              <w:t>Abgaben als die anderen Bürger des Bundesstaats;</w:t>
            </w:r>
            <w:r>
              <w:rPr>
                <w:sz w:val="20"/>
                <w:szCs w:val="20"/>
              </w:rPr>
              <w:t xml:space="preserve"> und</w:t>
            </w:r>
            <w:r w:rsidRPr="00046058">
              <w:rPr>
                <w:sz w:val="20"/>
                <w:szCs w:val="20"/>
              </w:rPr>
              <w:t xml:space="preserve"> das Wahlrecht, wie es durch die einfachen Gesetze oder die Verfassung des Bundesstaats geregelt ist.</w:t>
            </w:r>
            <w:r w:rsidRPr="00046058">
              <w:rPr>
                <w:sz w:val="20"/>
                <w:szCs w:val="20"/>
                <w:vertAlign w:val="superscript"/>
              </w:rPr>
              <w:footnoteReference w:id="462"/>
            </w:r>
            <w:r w:rsidRPr="00046058">
              <w:rPr>
                <w:sz w:val="20"/>
                <w:szCs w:val="20"/>
              </w:rPr>
              <w:t xml:space="preserve"> Selbst das Recht auf ein gleiches Streben nach Glück – oder eine andere Grundrechtskategorie – umfasse nicht den Anspruch auf höhere Sozialleistungen in einem anderen Bundesstaat, so 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046058">
              <w:rPr>
                <w:sz w:val="20"/>
                <w:szCs w:val="20"/>
              </w:rPr>
              <w:t>.</w:t>
            </w:r>
          </w:p>
          <w:p w14:paraId="75331767" w14:textId="77777777" w:rsidR="00074551" w:rsidRPr="00E50B51" w:rsidRDefault="00074551" w:rsidP="00367133">
            <w:pPr>
              <w:jc w:val="both"/>
              <w:rPr>
                <w:sz w:val="20"/>
                <w:szCs w:val="20"/>
              </w:rPr>
            </w:pPr>
          </w:p>
        </w:tc>
      </w:tr>
      <w:tr w:rsidR="00074551" w:rsidRPr="00E50B51" w14:paraId="28FBE758" w14:textId="77777777" w:rsidTr="00BE689F">
        <w:trPr>
          <w:cantSplit/>
          <w:trHeight w:val="3175"/>
        </w:trPr>
        <w:tc>
          <w:tcPr>
            <w:tcW w:w="293" w:type="pct"/>
            <w:shd w:val="clear" w:color="auto" w:fill="E7E6E6" w:themeFill="background2"/>
          </w:tcPr>
          <w:p w14:paraId="12C8EA69"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40D5833B"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5A18340A"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6D915A04" w14:textId="77777777" w:rsidR="00074551" w:rsidRPr="00E50B51" w:rsidRDefault="00074551" w:rsidP="00367133">
            <w:pPr>
              <w:ind w:left="113" w:right="113"/>
              <w:jc w:val="both"/>
              <w:rPr>
                <w:sz w:val="20"/>
                <w:szCs w:val="20"/>
                <w:lang w:val="en-US"/>
              </w:rPr>
            </w:pPr>
            <w:r w:rsidRPr="00E50B51">
              <w:rPr>
                <w:sz w:val="20"/>
                <w:szCs w:val="20"/>
                <w:lang w:val="en-US"/>
              </w:rPr>
              <w:t>Relations Among Governments</w:t>
            </w:r>
          </w:p>
        </w:tc>
        <w:tc>
          <w:tcPr>
            <w:tcW w:w="306" w:type="pct"/>
            <w:shd w:val="clear" w:color="auto" w:fill="E7E6E6" w:themeFill="background2"/>
            <w:textDirection w:val="tbRl"/>
            <w:vAlign w:val="center"/>
          </w:tcPr>
          <w:p w14:paraId="7C374B5A" w14:textId="77777777" w:rsidR="00074551" w:rsidRPr="00E50B51" w:rsidRDefault="00074551" w:rsidP="00367133">
            <w:pPr>
              <w:ind w:left="113" w:right="113"/>
              <w:jc w:val="both"/>
              <w:rPr>
                <w:sz w:val="20"/>
                <w:szCs w:val="20"/>
                <w:lang w:val="en-US"/>
              </w:rPr>
            </w:pPr>
            <w:r w:rsidRPr="00E50B51">
              <w:rPr>
                <w:sz w:val="20"/>
                <w:szCs w:val="20"/>
                <w:lang w:val="en-US"/>
              </w:rPr>
              <w:t>Full Faith &amp; Credit</w:t>
            </w:r>
          </w:p>
        </w:tc>
        <w:tc>
          <w:tcPr>
            <w:tcW w:w="401" w:type="pct"/>
            <w:shd w:val="clear" w:color="auto" w:fill="E7E6E6" w:themeFill="background2"/>
          </w:tcPr>
          <w:p w14:paraId="7052BE4B"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315B342A" w14:textId="77777777" w:rsidR="00074551" w:rsidRPr="00E50B51" w:rsidRDefault="00074551" w:rsidP="00367133">
            <w:pPr>
              <w:jc w:val="both"/>
              <w:rPr>
                <w:sz w:val="20"/>
                <w:szCs w:val="20"/>
                <w:lang w:val="en-US"/>
              </w:rPr>
            </w:pPr>
          </w:p>
        </w:tc>
        <w:tc>
          <w:tcPr>
            <w:tcW w:w="1822" w:type="pct"/>
            <w:shd w:val="clear" w:color="auto" w:fill="E7E6E6" w:themeFill="background2"/>
            <w:vAlign w:val="center"/>
          </w:tcPr>
          <w:p w14:paraId="12ECFEE9" w14:textId="77777777" w:rsidR="00074551" w:rsidRPr="00E50B51" w:rsidRDefault="00074551" w:rsidP="00367133">
            <w:pPr>
              <w:jc w:val="both"/>
              <w:rPr>
                <w:sz w:val="20"/>
                <w:szCs w:val="20"/>
                <w:lang w:val="en-US"/>
              </w:rPr>
            </w:pPr>
          </w:p>
        </w:tc>
      </w:tr>
      <w:tr w:rsidR="00074551" w:rsidRPr="00E50B51" w14:paraId="120F7842" w14:textId="77777777" w:rsidTr="00BE689F">
        <w:trPr>
          <w:cantSplit/>
          <w:trHeight w:val="3175"/>
        </w:trPr>
        <w:tc>
          <w:tcPr>
            <w:tcW w:w="293" w:type="pct"/>
          </w:tcPr>
          <w:p w14:paraId="62E6E55F"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EFA5583" w14:textId="77777777" w:rsidR="00074551" w:rsidRPr="00E50B51" w:rsidRDefault="00074551" w:rsidP="00367133">
            <w:pPr>
              <w:ind w:left="113" w:right="113"/>
              <w:jc w:val="both"/>
              <w:rPr>
                <w:sz w:val="20"/>
                <w:szCs w:val="20"/>
                <w:lang w:val="en-US"/>
              </w:rPr>
            </w:pPr>
            <w:r w:rsidRPr="00584023">
              <w:rPr>
                <w:i/>
                <w:sz w:val="20"/>
                <w:szCs w:val="20"/>
                <w:lang w:val="en-US"/>
              </w:rPr>
              <w:t>Sosna v. Iowa</w:t>
            </w:r>
          </w:p>
        </w:tc>
        <w:tc>
          <w:tcPr>
            <w:tcW w:w="197" w:type="pct"/>
            <w:textDirection w:val="tbRl"/>
            <w:vAlign w:val="center"/>
          </w:tcPr>
          <w:p w14:paraId="74AF60EC" w14:textId="77777777" w:rsidR="00074551" w:rsidRPr="00E50B51" w:rsidRDefault="00074551" w:rsidP="00367133">
            <w:pPr>
              <w:ind w:left="113" w:right="113"/>
              <w:jc w:val="both"/>
              <w:rPr>
                <w:sz w:val="20"/>
                <w:szCs w:val="20"/>
                <w:lang w:val="en-US"/>
              </w:rPr>
            </w:pPr>
            <w:r w:rsidRPr="00E50B51">
              <w:rPr>
                <w:sz w:val="20"/>
                <w:szCs w:val="20"/>
                <w:lang w:val="en-US"/>
              </w:rPr>
              <w:t>419 U.S. 393</w:t>
            </w:r>
          </w:p>
        </w:tc>
        <w:tc>
          <w:tcPr>
            <w:tcW w:w="306" w:type="pct"/>
            <w:textDirection w:val="tbRl"/>
            <w:vAlign w:val="center"/>
          </w:tcPr>
          <w:p w14:paraId="072631E1" w14:textId="77777777" w:rsidR="00074551" w:rsidRPr="00E50B51" w:rsidRDefault="00074551" w:rsidP="00367133">
            <w:pPr>
              <w:ind w:left="113" w:right="113"/>
              <w:jc w:val="both"/>
              <w:rPr>
                <w:sz w:val="20"/>
                <w:szCs w:val="20"/>
              </w:rPr>
            </w:pPr>
            <w:r w:rsidRPr="00E50B51">
              <w:rPr>
                <w:sz w:val="20"/>
                <w:szCs w:val="20"/>
              </w:rPr>
              <w:t>14. Januar 1975</w:t>
            </w:r>
          </w:p>
        </w:tc>
        <w:tc>
          <w:tcPr>
            <w:tcW w:w="401" w:type="pct"/>
          </w:tcPr>
          <w:p w14:paraId="5F5426AE"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3A5CC5EA" w14:textId="2139FF1A" w:rsidR="00074551" w:rsidRPr="00E50B51" w:rsidRDefault="00074551" w:rsidP="00367133">
            <w:pPr>
              <w:jc w:val="both"/>
              <w:rPr>
                <w:sz w:val="20"/>
                <w:szCs w:val="20"/>
              </w:rPr>
            </w:pPr>
            <w:r>
              <w:rPr>
                <w:sz w:val="20"/>
                <w:szCs w:val="20"/>
              </w:rPr>
              <w:t>Der</w:t>
            </w:r>
            <w:r w:rsidRPr="00E50B51">
              <w:rPr>
                <w:sz w:val="20"/>
                <w:szCs w:val="20"/>
              </w:rPr>
              <w:t xml:space="preserve"> </w:t>
            </w:r>
            <w:r>
              <w:rPr>
                <w:sz w:val="20"/>
                <w:szCs w:val="20"/>
              </w:rPr>
              <w:t>U.S. Supreme Court</w:t>
            </w:r>
            <w:r w:rsidRPr="00E50B51">
              <w:rPr>
                <w:sz w:val="20"/>
                <w:szCs w:val="20"/>
              </w:rPr>
              <w:t xml:space="preserve"> bestätigt</w:t>
            </w:r>
            <w:r>
              <w:rPr>
                <w:sz w:val="20"/>
                <w:szCs w:val="20"/>
              </w:rPr>
              <w:t>e</w:t>
            </w:r>
            <w:r w:rsidDel="00584023">
              <w:rPr>
                <w:sz w:val="20"/>
                <w:szCs w:val="20"/>
              </w:rPr>
              <w:t xml:space="preserve"> </w:t>
            </w:r>
            <w:r w:rsidRPr="00E50B51">
              <w:rPr>
                <w:sz w:val="20"/>
                <w:szCs w:val="20"/>
              </w:rPr>
              <w:t>eine einjährige Wohnsitzanforderung Iowas</w:t>
            </w:r>
            <w:r>
              <w:rPr>
                <w:sz w:val="20"/>
                <w:szCs w:val="20"/>
              </w:rPr>
              <w:t>. D</w:t>
            </w:r>
            <w:r w:rsidRPr="00E50B51">
              <w:rPr>
                <w:sz w:val="20"/>
                <w:szCs w:val="20"/>
              </w:rPr>
              <w:t>ie</w:t>
            </w:r>
            <w:r>
              <w:rPr>
                <w:sz w:val="20"/>
                <w:szCs w:val="20"/>
              </w:rPr>
              <w:t>se</w:t>
            </w:r>
            <w:r w:rsidRPr="00E50B51">
              <w:rPr>
                <w:sz w:val="20"/>
                <w:szCs w:val="20"/>
              </w:rPr>
              <w:t xml:space="preserve"> </w:t>
            </w:r>
            <w:r>
              <w:rPr>
                <w:sz w:val="20"/>
                <w:szCs w:val="20"/>
              </w:rPr>
              <w:t xml:space="preserve">galt </w:t>
            </w:r>
            <w:r w:rsidRPr="00E50B51">
              <w:rPr>
                <w:sz w:val="20"/>
                <w:szCs w:val="20"/>
              </w:rPr>
              <w:t>dafür, Iowas Scheidungsgerichtsbarkeit in Anspruch nehmen zu können („</w:t>
            </w:r>
            <w:proofErr w:type="spellStart"/>
            <w:r w:rsidRPr="00E50B51">
              <w:rPr>
                <w:sz w:val="20"/>
                <w:szCs w:val="20"/>
              </w:rPr>
              <w:t>one-year</w:t>
            </w:r>
            <w:proofErr w:type="spellEnd"/>
            <w:r w:rsidRPr="00E50B51">
              <w:rPr>
                <w:sz w:val="20"/>
                <w:szCs w:val="20"/>
              </w:rPr>
              <w:t xml:space="preserve"> </w:t>
            </w:r>
            <w:proofErr w:type="spellStart"/>
            <w:r w:rsidRPr="00E50B51">
              <w:rPr>
                <w:sz w:val="20"/>
                <w:szCs w:val="20"/>
              </w:rPr>
              <w:t>residency</w:t>
            </w:r>
            <w:proofErr w:type="spellEnd"/>
            <w:r w:rsidRPr="00E50B51">
              <w:rPr>
                <w:sz w:val="20"/>
                <w:szCs w:val="20"/>
              </w:rPr>
              <w:t xml:space="preserve"> </w:t>
            </w:r>
            <w:proofErr w:type="spellStart"/>
            <w:r w:rsidRPr="00E50B51">
              <w:rPr>
                <w:sz w:val="20"/>
                <w:szCs w:val="20"/>
              </w:rPr>
              <w:t>requirement</w:t>
            </w:r>
            <w:proofErr w:type="spellEnd"/>
            <w:r w:rsidRPr="00E50B51">
              <w:rPr>
                <w:sz w:val="20"/>
                <w:szCs w:val="20"/>
              </w:rPr>
              <w:t>“</w:t>
            </w:r>
            <w:r w:rsidRPr="00E50B51">
              <w:rPr>
                <w:rStyle w:val="Funotenzeichen"/>
                <w:rFonts w:eastAsiaTheme="majorEastAsia"/>
                <w:sz w:val="20"/>
                <w:szCs w:val="20"/>
              </w:rPr>
              <w:footnoteReference w:id="463"/>
            </w:r>
            <w:r w:rsidRPr="00E50B51">
              <w:rPr>
                <w:sz w:val="20"/>
                <w:szCs w:val="20"/>
              </w:rPr>
              <w:t xml:space="preserve">). </w:t>
            </w:r>
            <w:r>
              <w:rPr>
                <w:sz w:val="20"/>
                <w:szCs w:val="20"/>
              </w:rPr>
              <w:t>Und d</w:t>
            </w:r>
            <w:r w:rsidRPr="00E50B51">
              <w:rPr>
                <w:sz w:val="20"/>
                <w:szCs w:val="20"/>
              </w:rPr>
              <w:t xml:space="preserve">iese Anforderung verstoße nicht gegen die </w:t>
            </w:r>
            <w:r w:rsidRPr="00A142D9">
              <w:rPr>
                <w:i/>
                <w:sz w:val="20"/>
                <w:szCs w:val="20"/>
              </w:rPr>
              <w:t xml:space="preserve">Due </w:t>
            </w:r>
            <w:proofErr w:type="spellStart"/>
            <w:r w:rsidRPr="00A142D9">
              <w:rPr>
                <w:i/>
                <w:sz w:val="20"/>
                <w:szCs w:val="20"/>
              </w:rPr>
              <w:t>Process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proofErr w:type="gramStart"/>
            <w:r>
              <w:rPr>
                <w:sz w:val="20"/>
                <w:szCs w:val="20"/>
              </w:rPr>
              <w:t>Konkret</w:t>
            </w:r>
            <w:proofErr w:type="gramEnd"/>
            <w:r>
              <w:rPr>
                <w:sz w:val="20"/>
                <w:szCs w:val="20"/>
              </w:rPr>
              <w:t xml:space="preserve"> legte i</w:t>
            </w:r>
            <w:r w:rsidRPr="00E50B51">
              <w:rPr>
                <w:sz w:val="20"/>
                <w:szCs w:val="20"/>
              </w:rPr>
              <w:t>m</w:t>
            </w:r>
            <w:r>
              <w:rPr>
                <w:sz w:val="20"/>
                <w:szCs w:val="20"/>
              </w:rPr>
              <w:t xml:space="preserve"> Fall</w:t>
            </w:r>
            <w:r w:rsidRPr="00E50B51">
              <w:rPr>
                <w:sz w:val="20"/>
                <w:szCs w:val="20"/>
              </w:rPr>
              <w:t xml:space="preserve"> ein geschiedener Ehemann Berufung gegen ein Urteil des </w:t>
            </w:r>
            <w:bookmarkStart w:id="30" w:name="_Hlk230170077"/>
            <w:bookmarkStart w:id="31" w:name="_Hlk224547983"/>
            <w:r w:rsidRPr="00B45592">
              <w:rPr>
                <w:i/>
                <w:sz w:val="20"/>
                <w:szCs w:val="20"/>
              </w:rPr>
              <w:t xml:space="preserve">U.S. </w:t>
            </w:r>
            <w:proofErr w:type="spellStart"/>
            <w:r w:rsidRPr="00B45592">
              <w:rPr>
                <w:i/>
                <w:sz w:val="20"/>
                <w:szCs w:val="20"/>
              </w:rPr>
              <w:t>District</w:t>
            </w:r>
            <w:proofErr w:type="spellEnd"/>
            <w:r w:rsidRPr="00B45592">
              <w:rPr>
                <w:i/>
                <w:sz w:val="20"/>
                <w:szCs w:val="20"/>
              </w:rPr>
              <w:t xml:space="preserve"> Court for the Northern </w:t>
            </w:r>
            <w:proofErr w:type="spellStart"/>
            <w:r w:rsidRPr="00B45592">
              <w:rPr>
                <w:i/>
                <w:sz w:val="20"/>
                <w:szCs w:val="20"/>
              </w:rPr>
              <w:t>District</w:t>
            </w:r>
            <w:proofErr w:type="spellEnd"/>
            <w:r w:rsidRPr="00B45592">
              <w:rPr>
                <w:i/>
                <w:sz w:val="20"/>
                <w:szCs w:val="20"/>
              </w:rPr>
              <w:t xml:space="preserve"> of Iowa</w:t>
            </w:r>
            <w:bookmarkEnd w:id="30"/>
            <w:r w:rsidRPr="00E50B51">
              <w:rPr>
                <w:sz w:val="20"/>
                <w:szCs w:val="20"/>
              </w:rPr>
              <w:t xml:space="preserve"> </w:t>
            </w:r>
            <w:bookmarkEnd w:id="31"/>
            <w:r w:rsidRPr="00E50B51">
              <w:rPr>
                <w:sz w:val="20"/>
                <w:szCs w:val="20"/>
              </w:rPr>
              <w:t>ein. Das Gericht hatte die einjährige Wohnsitzanforderung Iowas bestätigt</w:t>
            </w:r>
            <w:r>
              <w:rPr>
                <w:sz w:val="20"/>
                <w:szCs w:val="20"/>
              </w:rPr>
              <w:t xml:space="preserve"> und d</w:t>
            </w:r>
            <w:r w:rsidRPr="00E50B51">
              <w:rPr>
                <w:sz w:val="20"/>
                <w:szCs w:val="20"/>
              </w:rPr>
              <w:t xml:space="preserve">er </w:t>
            </w:r>
            <w:r>
              <w:rPr>
                <w:sz w:val="20"/>
                <w:szCs w:val="20"/>
              </w:rPr>
              <w:t>U.S. Supreme Court</w:t>
            </w:r>
            <w:r w:rsidRPr="00E50B51">
              <w:rPr>
                <w:sz w:val="20"/>
                <w:szCs w:val="20"/>
              </w:rPr>
              <w:t xml:space="preserve"> </w:t>
            </w:r>
            <w:r>
              <w:rPr>
                <w:sz w:val="20"/>
                <w:szCs w:val="20"/>
              </w:rPr>
              <w:t>folgte dieser Auffassung</w:t>
            </w:r>
            <w:r w:rsidRPr="00E50B51">
              <w:rPr>
                <w:sz w:val="20"/>
                <w:szCs w:val="20"/>
              </w:rPr>
              <w:t xml:space="preserve">. Zwar bestehe ein Rechtschutzbedürfnis in der Zulässigkeit, obwohl der Zeitablauf von einem Jahr den Anspruch </w:t>
            </w:r>
            <w:r>
              <w:rPr>
                <w:sz w:val="20"/>
                <w:szCs w:val="20"/>
              </w:rPr>
              <w:t>des Ehemanns gegenstandslos</w:t>
            </w:r>
            <w:r w:rsidRPr="00E50B51">
              <w:rPr>
                <w:sz w:val="20"/>
                <w:szCs w:val="20"/>
              </w:rPr>
              <w:t xml:space="preserve"> gemacht hatte. </w:t>
            </w:r>
            <w:r>
              <w:rPr>
                <w:sz w:val="20"/>
                <w:szCs w:val="20"/>
              </w:rPr>
              <w:t>Doch</w:t>
            </w:r>
            <w:r w:rsidRPr="00E50B51">
              <w:rPr>
                <w:sz w:val="20"/>
                <w:szCs w:val="20"/>
              </w:rPr>
              <w:t xml:space="preserve"> in der Sache sei die einjährige Wohnsitzanforderung verfassungskonform. </w:t>
            </w:r>
            <w:r>
              <w:rPr>
                <w:sz w:val="20"/>
                <w:szCs w:val="20"/>
              </w:rPr>
              <w:t>Schließlich</w:t>
            </w:r>
            <w:r w:rsidRPr="00E50B51">
              <w:rPr>
                <w:sz w:val="20"/>
                <w:szCs w:val="20"/>
              </w:rPr>
              <w:t xml:space="preserve"> sie basiere auf dem staatlichen Interesse, dass jemand sich nur vor einem Gericht scheiden lassen könne, zu dessen Bundesstaat eine hinreichende Verbindung bestehe. Zwar waren Abweichung</w:t>
            </w:r>
            <w:r>
              <w:rPr>
                <w:sz w:val="20"/>
                <w:szCs w:val="20"/>
              </w:rPr>
              <w:t>en</w:t>
            </w:r>
            <w:r w:rsidRPr="00E50B51">
              <w:rPr>
                <w:sz w:val="20"/>
                <w:szCs w:val="20"/>
              </w:rPr>
              <w:t xml:space="preserve"> von der einjährigen Wohnsitzanforderung nach dem Gesetz nicht individuell zu prüfen, was Verfassungswidrigkeit nahelegen könne – so der </w:t>
            </w:r>
            <w:r>
              <w:rPr>
                <w:sz w:val="20"/>
                <w:szCs w:val="20"/>
              </w:rPr>
              <w:t>U.S. Supreme Court</w:t>
            </w:r>
            <w:r w:rsidRPr="00E50B51">
              <w:rPr>
                <w:sz w:val="20"/>
                <w:szCs w:val="20"/>
              </w:rPr>
              <w:t xml:space="preserve">. Aber diese Pauschalierung verletze noch nicht das Gebot des </w:t>
            </w:r>
            <w:r>
              <w:rPr>
                <w:sz w:val="20"/>
                <w:szCs w:val="20"/>
              </w:rPr>
              <w:t xml:space="preserve">rechtsstaatlichen </w:t>
            </w:r>
            <w:r w:rsidRPr="00E50B51">
              <w:rPr>
                <w:sz w:val="20"/>
                <w:szCs w:val="20"/>
              </w:rPr>
              <w:t xml:space="preserve">Verfahrens. Denn die Rechte des Klägers seien lediglich verzögert, nicht aber gänzlich </w:t>
            </w:r>
            <w:r w:rsidRPr="00B45592">
              <w:rPr>
                <w:sz w:val="20"/>
                <w:szCs w:val="20"/>
              </w:rPr>
              <w:t>verweigert.</w:t>
            </w:r>
          </w:p>
        </w:tc>
        <w:tc>
          <w:tcPr>
            <w:tcW w:w="1822" w:type="pct"/>
          </w:tcPr>
          <w:p w14:paraId="142180A5" w14:textId="75469956" w:rsidR="00074551" w:rsidRDefault="00074551" w:rsidP="00367133">
            <w:pPr>
              <w:jc w:val="both"/>
              <w:rPr>
                <w:sz w:val="20"/>
                <w:szCs w:val="20"/>
              </w:rPr>
            </w:pPr>
            <w:r w:rsidRPr="00E50B51">
              <w:rPr>
                <w:sz w:val="20"/>
                <w:szCs w:val="20"/>
              </w:rPr>
              <w:t xml:space="preserve">Ein Bundesstaat </w:t>
            </w:r>
            <w:r>
              <w:rPr>
                <w:sz w:val="20"/>
                <w:szCs w:val="20"/>
              </w:rPr>
              <w:t>könne</w:t>
            </w:r>
            <w:r w:rsidRPr="00E50B51">
              <w:rPr>
                <w:sz w:val="20"/>
                <w:szCs w:val="20"/>
              </w:rPr>
              <w:t xml:space="preserve"> </w:t>
            </w:r>
            <w:r>
              <w:rPr>
                <w:sz w:val="20"/>
                <w:szCs w:val="20"/>
              </w:rPr>
              <w:t>Rechtsbeziehungen</w:t>
            </w:r>
            <w:r w:rsidRPr="00E50B51">
              <w:rPr>
                <w:sz w:val="20"/>
                <w:szCs w:val="20"/>
              </w:rPr>
              <w:t xml:space="preserve"> von erheblicher Bedeutung wie eine Scheidung nur kontrollieren, wenn eine hinreichende Verbindung zwischen Person und Bundesstaat bestehe („</w:t>
            </w:r>
            <w:proofErr w:type="spellStart"/>
            <w:r w:rsidRPr="00E50B51">
              <w:rPr>
                <w:sz w:val="20"/>
                <w:szCs w:val="20"/>
              </w:rPr>
              <w:t>nexus</w:t>
            </w:r>
            <w:proofErr w:type="spellEnd"/>
            <w:r w:rsidRPr="00E50B51">
              <w:rPr>
                <w:sz w:val="20"/>
                <w:szCs w:val="20"/>
              </w:rPr>
              <w:t xml:space="preserve"> </w:t>
            </w:r>
            <w:proofErr w:type="spellStart"/>
            <w:r w:rsidRPr="00E50B51">
              <w:rPr>
                <w:sz w:val="20"/>
                <w:szCs w:val="20"/>
              </w:rPr>
              <w:t>between</w:t>
            </w:r>
            <w:proofErr w:type="spellEnd"/>
            <w:r w:rsidRPr="00E50B51">
              <w:rPr>
                <w:sz w:val="20"/>
                <w:szCs w:val="20"/>
              </w:rPr>
              <w:t xml:space="preserve"> </w:t>
            </w:r>
            <w:proofErr w:type="spellStart"/>
            <w:r w:rsidRPr="00E50B51">
              <w:rPr>
                <w:sz w:val="20"/>
                <w:szCs w:val="20"/>
              </w:rPr>
              <w:t>person</w:t>
            </w:r>
            <w:proofErr w:type="spellEnd"/>
            <w:r w:rsidRPr="00E50B51">
              <w:rPr>
                <w:sz w:val="20"/>
                <w:szCs w:val="20"/>
              </w:rPr>
              <w:t xml:space="preserve"> and </w:t>
            </w:r>
            <w:proofErr w:type="spellStart"/>
            <w:r w:rsidRPr="00E50B51">
              <w:rPr>
                <w:sz w:val="20"/>
                <w:szCs w:val="20"/>
              </w:rPr>
              <w:t>place</w:t>
            </w:r>
            <w:proofErr w:type="spellEnd"/>
            <w:r w:rsidRPr="00E50B51">
              <w:rPr>
                <w:sz w:val="20"/>
                <w:szCs w:val="20"/>
              </w:rPr>
              <w:t>“</w:t>
            </w:r>
            <w:r w:rsidRPr="00E50B51">
              <w:rPr>
                <w:rStyle w:val="Funotenzeichen"/>
                <w:rFonts w:eastAsiaTheme="majorEastAsia"/>
                <w:sz w:val="20"/>
                <w:szCs w:val="20"/>
              </w:rPr>
              <w:footnoteReference w:id="464"/>
            </w:r>
            <w:r w:rsidRPr="00E50B51">
              <w:rPr>
                <w:sz w:val="20"/>
                <w:szCs w:val="20"/>
              </w:rPr>
              <w:t xml:space="preserve">). Diese hinreichende Verbindung als Zuständigkeitskriterium </w:t>
            </w:r>
            <w:r>
              <w:rPr>
                <w:sz w:val="20"/>
                <w:szCs w:val="20"/>
              </w:rPr>
              <w:t>müsse</w:t>
            </w:r>
            <w:r w:rsidRPr="00E50B51">
              <w:rPr>
                <w:sz w:val="20"/>
                <w:szCs w:val="20"/>
              </w:rPr>
              <w:t xml:space="preserve"> es geben, weil Bundesstaaten Scheidungsurteile einander anerkennen gemäß </w:t>
            </w:r>
            <w:r w:rsidR="00023A37">
              <w:rPr>
                <w:sz w:val="20"/>
                <w:szCs w:val="20"/>
              </w:rPr>
              <w:t xml:space="preserve">U.S. </w:t>
            </w:r>
            <w:proofErr w:type="spellStart"/>
            <w:r w:rsidR="00023A37">
              <w:rPr>
                <w:sz w:val="20"/>
                <w:szCs w:val="20"/>
              </w:rPr>
              <w:t>Const</w:t>
            </w:r>
            <w:proofErr w:type="spellEnd"/>
            <w:r w:rsidR="00023A37">
              <w:rPr>
                <w:sz w:val="20"/>
                <w:szCs w:val="20"/>
              </w:rPr>
              <w:t>. art. IV, § 1</w:t>
            </w:r>
            <w:r>
              <w:rPr>
                <w:sz w:val="20"/>
                <w:szCs w:val="20"/>
              </w:rPr>
              <w:t xml:space="preserve">, im Rahmen der sog. </w:t>
            </w:r>
            <w:r w:rsidRPr="00A142D9">
              <w:rPr>
                <w:i/>
                <w:sz w:val="20"/>
                <w:szCs w:val="20"/>
              </w:rPr>
              <w:t xml:space="preserve">Full Faith and </w:t>
            </w:r>
            <w:proofErr w:type="spellStart"/>
            <w:r w:rsidRPr="00A142D9">
              <w:rPr>
                <w:i/>
                <w:sz w:val="20"/>
                <w:szCs w:val="20"/>
              </w:rPr>
              <w:t>Credit</w:t>
            </w:r>
            <w:proofErr w:type="spellEnd"/>
            <w:r w:rsidRPr="00A142D9">
              <w:rPr>
                <w:i/>
                <w:sz w:val="20"/>
                <w:szCs w:val="20"/>
              </w:rPr>
              <w:t xml:space="preserve"> </w:t>
            </w:r>
            <w:proofErr w:type="spellStart"/>
            <w:r w:rsidRPr="00A142D9">
              <w:rPr>
                <w:i/>
                <w:sz w:val="20"/>
                <w:szCs w:val="20"/>
              </w:rPr>
              <w:t>Clause</w:t>
            </w:r>
            <w:proofErr w:type="spellEnd"/>
            <w:r>
              <w:rPr>
                <w:sz w:val="20"/>
                <w:szCs w:val="20"/>
              </w:rPr>
              <w:t xml:space="preserve"> – </w:t>
            </w:r>
            <w:r w:rsidRPr="00E50B51">
              <w:rPr>
                <w:sz w:val="20"/>
                <w:szCs w:val="20"/>
              </w:rPr>
              <w:t xml:space="preserve">und </w:t>
            </w:r>
            <w:r>
              <w:rPr>
                <w:sz w:val="20"/>
                <w:szCs w:val="20"/>
              </w:rPr>
              <w:t xml:space="preserve">zumindest müsse </w:t>
            </w:r>
            <w:r w:rsidRPr="00E50B51">
              <w:rPr>
                <w:sz w:val="20"/>
                <w:szCs w:val="20"/>
              </w:rPr>
              <w:t xml:space="preserve">ein Bundesstaat </w:t>
            </w:r>
            <w:r>
              <w:rPr>
                <w:sz w:val="20"/>
                <w:szCs w:val="20"/>
              </w:rPr>
              <w:t xml:space="preserve">hinreichend bestimmt </w:t>
            </w:r>
            <w:r w:rsidRPr="00E50B51">
              <w:rPr>
                <w:sz w:val="20"/>
                <w:szCs w:val="20"/>
              </w:rPr>
              <w:t>zuständig sein.</w:t>
            </w:r>
            <w:r w:rsidRPr="00E50B51">
              <w:rPr>
                <w:rStyle w:val="Funotenzeichen"/>
                <w:rFonts w:eastAsiaTheme="majorEastAsia"/>
                <w:sz w:val="20"/>
                <w:szCs w:val="20"/>
              </w:rPr>
              <w:footnoteReference w:id="465"/>
            </w:r>
            <w:r w:rsidRPr="00E50B51">
              <w:rPr>
                <w:sz w:val="20"/>
                <w:szCs w:val="20"/>
              </w:rPr>
              <w:t xml:space="preserve"> Der Gesetzgeber ha</w:t>
            </w:r>
            <w:r>
              <w:rPr>
                <w:sz w:val="20"/>
                <w:szCs w:val="20"/>
              </w:rPr>
              <w:t>be</w:t>
            </w:r>
            <w:r w:rsidRPr="00E50B51">
              <w:rPr>
                <w:sz w:val="20"/>
                <w:szCs w:val="20"/>
              </w:rPr>
              <w:t xml:space="preserve"> sich für das Zuständigkeitskriterium des Wohnsitzes entschieden („</w:t>
            </w:r>
            <w:proofErr w:type="spellStart"/>
            <w:r w:rsidRPr="00E50B51">
              <w:rPr>
                <w:sz w:val="20"/>
                <w:szCs w:val="20"/>
              </w:rPr>
              <w:t>judicial</w:t>
            </w:r>
            <w:proofErr w:type="spellEnd"/>
            <w:r w:rsidRPr="00E50B51">
              <w:rPr>
                <w:sz w:val="20"/>
                <w:szCs w:val="20"/>
              </w:rPr>
              <w:t xml:space="preserve"> power to </w:t>
            </w:r>
            <w:proofErr w:type="spellStart"/>
            <w:r w:rsidRPr="00E50B51">
              <w:rPr>
                <w:sz w:val="20"/>
                <w:szCs w:val="20"/>
              </w:rPr>
              <w:t>grant</w:t>
            </w:r>
            <w:proofErr w:type="spellEnd"/>
            <w:r w:rsidRPr="00E50B51">
              <w:rPr>
                <w:sz w:val="20"/>
                <w:szCs w:val="20"/>
              </w:rPr>
              <w:t xml:space="preserve"> a </w:t>
            </w:r>
            <w:proofErr w:type="spellStart"/>
            <w:r w:rsidRPr="00E50B51">
              <w:rPr>
                <w:sz w:val="20"/>
                <w:szCs w:val="20"/>
              </w:rPr>
              <w:t>divorce</w:t>
            </w:r>
            <w:proofErr w:type="spellEnd"/>
            <w:r>
              <w:rPr>
                <w:sz w:val="20"/>
                <w:szCs w:val="20"/>
              </w:rPr>
              <w:t> –</w:t>
            </w:r>
            <w:r w:rsidRPr="00E50B51">
              <w:rPr>
                <w:sz w:val="20"/>
                <w:szCs w:val="20"/>
              </w:rPr>
              <w:t xml:space="preserve"> </w:t>
            </w:r>
            <w:proofErr w:type="spellStart"/>
            <w:r w:rsidRPr="00E50B51">
              <w:rPr>
                <w:sz w:val="20"/>
                <w:szCs w:val="20"/>
              </w:rPr>
              <w:t>jurisdiction</w:t>
            </w:r>
            <w:proofErr w:type="spellEnd"/>
            <w:r w:rsidRPr="00E50B51">
              <w:rPr>
                <w:sz w:val="20"/>
                <w:szCs w:val="20"/>
              </w:rPr>
              <w:t xml:space="preserve">, </w:t>
            </w:r>
            <w:proofErr w:type="spellStart"/>
            <w:r w:rsidRPr="00E50B51">
              <w:rPr>
                <w:sz w:val="20"/>
                <w:szCs w:val="20"/>
              </w:rPr>
              <w:t>strictly</w:t>
            </w:r>
            <w:proofErr w:type="spellEnd"/>
            <w:r w:rsidRPr="00E50B51">
              <w:rPr>
                <w:sz w:val="20"/>
                <w:szCs w:val="20"/>
              </w:rPr>
              <w:t xml:space="preserve"> </w:t>
            </w:r>
            <w:proofErr w:type="spellStart"/>
            <w:r w:rsidRPr="00E50B51">
              <w:rPr>
                <w:sz w:val="20"/>
                <w:szCs w:val="20"/>
              </w:rPr>
              <w:t>speaking</w:t>
            </w:r>
            <w:proofErr w:type="spellEnd"/>
            <w:r>
              <w:rPr>
                <w:sz w:val="20"/>
                <w:szCs w:val="20"/>
              </w:rPr>
              <w:t> –</w:t>
            </w:r>
            <w:r w:rsidRPr="00E50B51">
              <w:rPr>
                <w:sz w:val="20"/>
                <w:szCs w:val="20"/>
              </w:rPr>
              <w:t xml:space="preserve"> </w:t>
            </w:r>
            <w:proofErr w:type="spellStart"/>
            <w:r w:rsidRPr="00E50B51">
              <w:rPr>
                <w:sz w:val="20"/>
                <w:szCs w:val="20"/>
              </w:rPr>
              <w:t>is</w:t>
            </w:r>
            <w:proofErr w:type="spellEnd"/>
            <w:r w:rsidRPr="00E50B51">
              <w:rPr>
                <w:sz w:val="20"/>
                <w:szCs w:val="20"/>
              </w:rPr>
              <w:t xml:space="preserve"> </w:t>
            </w:r>
            <w:proofErr w:type="spellStart"/>
            <w:r w:rsidRPr="00E50B51">
              <w:rPr>
                <w:sz w:val="20"/>
                <w:szCs w:val="20"/>
              </w:rPr>
              <w:t>founded</w:t>
            </w:r>
            <w:proofErr w:type="spellEnd"/>
            <w:r w:rsidRPr="00E50B51">
              <w:rPr>
                <w:sz w:val="20"/>
                <w:szCs w:val="20"/>
              </w:rPr>
              <w:t xml:space="preserve"> on </w:t>
            </w:r>
            <w:proofErr w:type="spellStart"/>
            <w:r w:rsidRPr="00E50B51">
              <w:rPr>
                <w:sz w:val="20"/>
                <w:szCs w:val="20"/>
              </w:rPr>
              <w:t>domicil</w:t>
            </w:r>
            <w:proofErr w:type="spellEnd"/>
            <w:r w:rsidRPr="00E50B51">
              <w:rPr>
                <w:sz w:val="20"/>
                <w:szCs w:val="20"/>
              </w:rPr>
              <w:t>“</w:t>
            </w:r>
            <w:r w:rsidRPr="00E50B51">
              <w:rPr>
                <w:rStyle w:val="Funotenzeichen"/>
                <w:rFonts w:eastAsiaTheme="majorEastAsia"/>
                <w:sz w:val="20"/>
                <w:szCs w:val="20"/>
              </w:rPr>
              <w:footnoteReference w:id="466"/>
            </w:r>
            <w:r w:rsidRPr="00E50B51">
              <w:rPr>
                <w:sz w:val="20"/>
                <w:szCs w:val="20"/>
              </w:rPr>
              <w:t xml:space="preserve">). Im Fall stellte der Ehemann einen Scheidungsantrag im einstweiligen Rechtsschutz. Zwar </w:t>
            </w:r>
            <w:r>
              <w:rPr>
                <w:sz w:val="20"/>
                <w:szCs w:val="20"/>
              </w:rPr>
              <w:t>sei</w:t>
            </w:r>
            <w:r w:rsidRPr="00E50B51">
              <w:rPr>
                <w:sz w:val="20"/>
                <w:szCs w:val="20"/>
              </w:rPr>
              <w:t xml:space="preserve"> der Scheidungsbeschluss dann nicht bindend für einen anderen Bundesstaat – er </w:t>
            </w:r>
            <w:r>
              <w:rPr>
                <w:sz w:val="20"/>
                <w:szCs w:val="20"/>
              </w:rPr>
              <w:t>gelte</w:t>
            </w:r>
            <w:r w:rsidRPr="00E50B51">
              <w:rPr>
                <w:sz w:val="20"/>
                <w:szCs w:val="20"/>
              </w:rPr>
              <w:t xml:space="preserve"> indes als gesetzliche Vermutung, d.h. nur der Beweis des Gegenteils ist noch möglich (</w:t>
            </w:r>
            <w:proofErr w:type="gramStart"/>
            <w:r w:rsidRPr="00E50B51">
              <w:rPr>
                <w:sz w:val="20"/>
                <w:szCs w:val="20"/>
              </w:rPr>
              <w:t>„</w:t>
            </w:r>
            <w:r>
              <w:rPr>
                <w:sz w:val="20"/>
                <w:szCs w:val="20"/>
              </w:rPr>
              <w:t>,</w:t>
            </w:r>
            <w:proofErr w:type="spellStart"/>
            <w:r w:rsidRPr="00E50B51">
              <w:rPr>
                <w:sz w:val="20"/>
                <w:szCs w:val="20"/>
              </w:rPr>
              <w:t>cogent</w:t>
            </w:r>
            <w:proofErr w:type="spellEnd"/>
            <w:proofErr w:type="gramEnd"/>
            <w:r w:rsidRPr="00E50B51">
              <w:rPr>
                <w:sz w:val="20"/>
                <w:szCs w:val="20"/>
              </w:rPr>
              <w:t xml:space="preserve"> </w:t>
            </w:r>
            <w:proofErr w:type="spellStart"/>
            <w:r w:rsidRPr="00E50B51">
              <w:rPr>
                <w:sz w:val="20"/>
                <w:szCs w:val="20"/>
              </w:rPr>
              <w:t>evidence</w:t>
            </w:r>
            <w:proofErr w:type="spellEnd"/>
            <w:r>
              <w:rPr>
                <w:sz w:val="20"/>
                <w:szCs w:val="20"/>
              </w:rPr>
              <w:t>‘</w:t>
            </w:r>
            <w:r w:rsidRPr="00E50B51">
              <w:rPr>
                <w:sz w:val="20"/>
                <w:szCs w:val="20"/>
              </w:rPr>
              <w:t xml:space="preserve"> to the </w:t>
            </w:r>
            <w:proofErr w:type="spellStart"/>
            <w:r w:rsidRPr="00E50B51">
              <w:rPr>
                <w:sz w:val="20"/>
                <w:szCs w:val="20"/>
              </w:rPr>
              <w:t>contrary</w:t>
            </w:r>
            <w:proofErr w:type="spellEnd"/>
            <w:r w:rsidRPr="00E50B51">
              <w:rPr>
                <w:sz w:val="20"/>
                <w:szCs w:val="20"/>
              </w:rPr>
              <w:t>“</w:t>
            </w:r>
            <w:r w:rsidRPr="00E50B51">
              <w:rPr>
                <w:rStyle w:val="Funotenzeichen"/>
                <w:rFonts w:eastAsiaTheme="majorEastAsia"/>
                <w:sz w:val="20"/>
                <w:szCs w:val="20"/>
              </w:rPr>
              <w:footnoteReference w:id="467"/>
            </w:r>
            <w:r w:rsidRPr="00E50B51">
              <w:rPr>
                <w:sz w:val="20"/>
                <w:szCs w:val="20"/>
              </w:rPr>
              <w:t xml:space="preserve">). Aber auch beim einstweiligen Rechtsschutz </w:t>
            </w:r>
            <w:r>
              <w:rPr>
                <w:sz w:val="20"/>
                <w:szCs w:val="20"/>
              </w:rPr>
              <w:t>müsse</w:t>
            </w:r>
            <w:r w:rsidRPr="00E50B51">
              <w:rPr>
                <w:sz w:val="20"/>
                <w:szCs w:val="20"/>
              </w:rPr>
              <w:t xml:space="preserve"> das verfassungsrechtliche Minimum für einen Scheidungsantrag erfüllt sein: die Zuständigkeit nach dem Wohnsitz. Dabei machte der Dissens deutlich, dass diese Entscheidung bestimmte Personengruppen wie Reisende zwischen Bundesstaaten oder auch Neubürger erheblich benachteilige, und zwar in einem zentralen Recht, dem Spiegelrecht zur Ehefreiheit als Freiheit, sich scheiden zu lassen. Dies beachte das Urteil nicht hinreichend. Zumal diese Freiheiten auf der Grundfreiheit gründe</w:t>
            </w:r>
            <w:r>
              <w:rPr>
                <w:sz w:val="20"/>
                <w:szCs w:val="20"/>
              </w:rPr>
              <w:t>te</w:t>
            </w:r>
            <w:r w:rsidRPr="00E50B51">
              <w:rPr>
                <w:sz w:val="20"/>
                <w:szCs w:val="20"/>
              </w:rPr>
              <w:t>n, seine persönlichen Beziehungen ohne staatliche Einschränkung ausleben zu können („</w:t>
            </w:r>
            <w:proofErr w:type="spellStart"/>
            <w:r w:rsidRPr="00E50B51">
              <w:rPr>
                <w:sz w:val="20"/>
                <w:szCs w:val="20"/>
              </w:rPr>
              <w:t>adjustment</w:t>
            </w:r>
            <w:proofErr w:type="spellEnd"/>
            <w:r w:rsidRPr="00E50B51">
              <w:rPr>
                <w:sz w:val="20"/>
                <w:szCs w:val="20"/>
              </w:rPr>
              <w:t xml:space="preserve"> of the same fundamental human </w:t>
            </w:r>
            <w:proofErr w:type="spellStart"/>
            <w:r w:rsidRPr="00E50B51">
              <w:rPr>
                <w:sz w:val="20"/>
                <w:szCs w:val="20"/>
              </w:rPr>
              <w:t>relationship</w:t>
            </w:r>
            <w:proofErr w:type="spellEnd"/>
            <w:r w:rsidRPr="00E50B51">
              <w:rPr>
                <w:sz w:val="20"/>
                <w:szCs w:val="20"/>
              </w:rPr>
              <w:t>“</w:t>
            </w:r>
            <w:r w:rsidRPr="00E50B51">
              <w:rPr>
                <w:rStyle w:val="Funotenzeichen"/>
                <w:rFonts w:eastAsiaTheme="majorEastAsia"/>
                <w:sz w:val="20"/>
                <w:szCs w:val="20"/>
              </w:rPr>
              <w:footnoteReference w:id="468"/>
            </w:r>
            <w:r w:rsidRPr="00E50B51">
              <w:rPr>
                <w:sz w:val="20"/>
                <w:szCs w:val="20"/>
              </w:rPr>
              <w:t>). Dies sei eines der lebenswichtigen persönlichen Rechte</w:t>
            </w:r>
            <w:r>
              <w:rPr>
                <w:sz w:val="20"/>
                <w:szCs w:val="20"/>
              </w:rPr>
              <w:t>, weil es</w:t>
            </w:r>
            <w:r w:rsidRPr="00E50B51">
              <w:rPr>
                <w:sz w:val="20"/>
                <w:szCs w:val="20"/>
              </w:rPr>
              <w:t xml:space="preserve"> für das geordnete Streben freier Menschen nach Glück unerlässlich sei.</w:t>
            </w:r>
            <w:r w:rsidRPr="00E50B51">
              <w:rPr>
                <w:rStyle w:val="Funotenzeichen"/>
                <w:rFonts w:eastAsiaTheme="majorEastAsia"/>
                <w:sz w:val="20"/>
                <w:szCs w:val="20"/>
              </w:rPr>
              <w:footnoteReference w:id="469"/>
            </w:r>
          </w:p>
          <w:p w14:paraId="6450FD3A" w14:textId="77777777" w:rsidR="00074551" w:rsidRPr="00E50B51" w:rsidRDefault="00074551" w:rsidP="00367133">
            <w:pPr>
              <w:jc w:val="both"/>
              <w:rPr>
                <w:sz w:val="20"/>
                <w:szCs w:val="20"/>
              </w:rPr>
            </w:pPr>
          </w:p>
        </w:tc>
      </w:tr>
      <w:tr w:rsidR="00074551" w:rsidRPr="00E50B51" w14:paraId="1F9AF578" w14:textId="77777777" w:rsidTr="00BE689F">
        <w:trPr>
          <w:cantSplit/>
          <w:trHeight w:val="3175"/>
        </w:trPr>
        <w:tc>
          <w:tcPr>
            <w:tcW w:w="293" w:type="pct"/>
          </w:tcPr>
          <w:p w14:paraId="76853BD0"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70549179" w14:textId="77777777" w:rsidR="00074551" w:rsidRPr="00B45592" w:rsidRDefault="00074551" w:rsidP="00367133">
            <w:pPr>
              <w:ind w:left="113" w:right="113"/>
              <w:jc w:val="both"/>
              <w:rPr>
                <w:i/>
                <w:sz w:val="20"/>
                <w:szCs w:val="20"/>
                <w:lang w:val="en-US"/>
              </w:rPr>
            </w:pPr>
            <w:r w:rsidRPr="00B45592">
              <w:rPr>
                <w:i/>
                <w:sz w:val="20"/>
                <w:szCs w:val="20"/>
              </w:rPr>
              <w:t>Fauntleroy v. Lum</w:t>
            </w:r>
          </w:p>
        </w:tc>
        <w:tc>
          <w:tcPr>
            <w:tcW w:w="197" w:type="pct"/>
            <w:textDirection w:val="tbRl"/>
            <w:vAlign w:val="center"/>
          </w:tcPr>
          <w:p w14:paraId="775DB2FC" w14:textId="77777777" w:rsidR="00074551" w:rsidRPr="00E50B51" w:rsidRDefault="00074551" w:rsidP="00367133">
            <w:pPr>
              <w:ind w:left="113" w:right="113"/>
              <w:jc w:val="both"/>
              <w:rPr>
                <w:sz w:val="20"/>
                <w:szCs w:val="20"/>
                <w:lang w:val="en-US"/>
              </w:rPr>
            </w:pPr>
            <w:r w:rsidRPr="00BE3728">
              <w:rPr>
                <w:sz w:val="20"/>
                <w:szCs w:val="20"/>
              </w:rPr>
              <w:t>210 U.S. 230</w:t>
            </w:r>
          </w:p>
        </w:tc>
        <w:tc>
          <w:tcPr>
            <w:tcW w:w="306" w:type="pct"/>
            <w:textDirection w:val="tbRl"/>
            <w:vAlign w:val="center"/>
          </w:tcPr>
          <w:p w14:paraId="60A85A44" w14:textId="77777777" w:rsidR="00074551" w:rsidRPr="00E50B51" w:rsidRDefault="00074551" w:rsidP="00367133">
            <w:pPr>
              <w:ind w:left="113" w:right="113"/>
              <w:jc w:val="both"/>
              <w:rPr>
                <w:sz w:val="20"/>
                <w:szCs w:val="20"/>
              </w:rPr>
            </w:pPr>
            <w:r w:rsidRPr="00BE3728">
              <w:rPr>
                <w:sz w:val="20"/>
                <w:szCs w:val="20"/>
              </w:rPr>
              <w:t>18. Mai 1908</w:t>
            </w:r>
          </w:p>
        </w:tc>
        <w:tc>
          <w:tcPr>
            <w:tcW w:w="401" w:type="pct"/>
          </w:tcPr>
          <w:p w14:paraId="359BD21F"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35D8CCEC" w14:textId="24D707F5" w:rsidR="00074551" w:rsidRPr="00BE3728" w:rsidRDefault="00074551" w:rsidP="00367133">
            <w:pPr>
              <w:jc w:val="both"/>
              <w:rPr>
                <w:sz w:val="20"/>
                <w:szCs w:val="20"/>
              </w:rPr>
            </w:pPr>
            <w:r w:rsidRPr="00B45592">
              <w:rPr>
                <w:sz w:val="20"/>
                <w:szCs w:val="20"/>
                <w:lang w:val="en-IE"/>
              </w:rPr>
              <w:t xml:space="preserve">Der U.S. Supreme Court </w:t>
            </w:r>
            <w:proofErr w:type="spellStart"/>
            <w:r w:rsidRPr="00B45592">
              <w:rPr>
                <w:sz w:val="20"/>
                <w:szCs w:val="20"/>
                <w:lang w:val="en-IE"/>
              </w:rPr>
              <w:t>urteilte</w:t>
            </w:r>
            <w:proofErr w:type="spellEnd"/>
            <w:r w:rsidRPr="00B45592">
              <w:rPr>
                <w:sz w:val="20"/>
                <w:szCs w:val="20"/>
                <w:lang w:val="en-IE"/>
              </w:rPr>
              <w:t xml:space="preserve">, die </w:t>
            </w:r>
            <w:r w:rsidRPr="00A142D9">
              <w:rPr>
                <w:i/>
                <w:sz w:val="20"/>
                <w:szCs w:val="20"/>
                <w:lang w:val="en-IE"/>
              </w:rPr>
              <w:t>Full Faith and Credit Clause</w:t>
            </w:r>
            <w:r w:rsidRPr="00B45592">
              <w:rPr>
                <w:sz w:val="20"/>
                <w:szCs w:val="20"/>
                <w:lang w:val="en-IE"/>
              </w:rPr>
              <w:t xml:space="preserve"> (</w:t>
            </w:r>
            <w:proofErr w:type="spellStart"/>
            <w:r w:rsidRPr="00B45592">
              <w:rPr>
                <w:sz w:val="20"/>
                <w:szCs w:val="20"/>
                <w:lang w:val="en-IE"/>
              </w:rPr>
              <w:t>vgl</w:t>
            </w:r>
            <w:proofErr w:type="spellEnd"/>
            <w:r w:rsidRPr="00B45592">
              <w:rPr>
                <w:sz w:val="20"/>
                <w:szCs w:val="20"/>
                <w:lang w:val="en-IE"/>
              </w:rPr>
              <w:t xml:space="preserve">. </w:t>
            </w:r>
            <w:r w:rsidR="00023A37">
              <w:rPr>
                <w:sz w:val="20"/>
                <w:szCs w:val="20"/>
                <w:lang w:val="en-IE"/>
              </w:rPr>
              <w:t>U.S. Const. art. IV, § 1</w:t>
            </w:r>
            <w:r w:rsidRPr="00BE3728">
              <w:rPr>
                <w:sz w:val="20"/>
                <w:szCs w:val="20"/>
              </w:rPr>
              <w:t xml:space="preserve">) verpflichtete die Gerichte in Mississippi, das Urteil des Klägers aus Missouri durchzusetzen. Dies </w:t>
            </w:r>
            <w:r>
              <w:rPr>
                <w:sz w:val="20"/>
                <w:szCs w:val="20"/>
              </w:rPr>
              <w:t>gelte</w:t>
            </w:r>
            <w:r w:rsidRPr="00BE3728">
              <w:rPr>
                <w:sz w:val="20"/>
                <w:szCs w:val="20"/>
              </w:rPr>
              <w:t xml:space="preserve"> auch dann, wenn es auf einem falschen Verständnis der Rechtslage in Mississippi beruhe,</w:t>
            </w:r>
            <w:r w:rsidRPr="00BE3728">
              <w:rPr>
                <w:rStyle w:val="Funotenzeichen"/>
                <w:sz w:val="20"/>
                <w:szCs w:val="20"/>
              </w:rPr>
              <w:footnoteReference w:id="470"/>
            </w:r>
            <w:r w:rsidRPr="00BE3728">
              <w:rPr>
                <w:sz w:val="20"/>
                <w:szCs w:val="20"/>
              </w:rPr>
              <w:t xml:space="preserve"> vorausgesetzt, das Gericht in Missouri </w:t>
            </w:r>
            <w:r>
              <w:rPr>
                <w:sz w:val="20"/>
                <w:szCs w:val="20"/>
              </w:rPr>
              <w:t xml:space="preserve">sei </w:t>
            </w:r>
            <w:r w:rsidRPr="00BE3728">
              <w:rPr>
                <w:sz w:val="20"/>
                <w:szCs w:val="20"/>
              </w:rPr>
              <w:t>zuständig</w:t>
            </w:r>
            <w:r>
              <w:rPr>
                <w:sz w:val="20"/>
                <w:szCs w:val="20"/>
              </w:rPr>
              <w:t xml:space="preserve"> gewesen</w:t>
            </w:r>
            <w:r w:rsidRPr="00BE3728">
              <w:rPr>
                <w:sz w:val="20"/>
                <w:szCs w:val="20"/>
              </w:rPr>
              <w:t>.</w:t>
            </w:r>
            <w:r w:rsidRPr="00BE3728">
              <w:rPr>
                <w:rStyle w:val="Funotenzeichen"/>
                <w:sz w:val="20"/>
                <w:szCs w:val="20"/>
              </w:rPr>
              <w:footnoteReference w:id="471"/>
            </w:r>
          </w:p>
          <w:p w14:paraId="593A5585" w14:textId="77777777" w:rsidR="00074551" w:rsidRPr="00E50B51" w:rsidRDefault="00074551" w:rsidP="00367133">
            <w:pPr>
              <w:jc w:val="both"/>
              <w:rPr>
                <w:sz w:val="20"/>
                <w:szCs w:val="20"/>
              </w:rPr>
            </w:pPr>
          </w:p>
        </w:tc>
        <w:tc>
          <w:tcPr>
            <w:tcW w:w="1822" w:type="pct"/>
          </w:tcPr>
          <w:p w14:paraId="2DEFBCB7"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Civil Procedure › Preclusion of Judgments › Full Faith &amp; Credit</w:t>
            </w:r>
          </w:p>
          <w:p w14:paraId="61277373" w14:textId="77777777" w:rsidR="00074551" w:rsidRPr="00BE3728" w:rsidRDefault="00074551" w:rsidP="00367133">
            <w:pPr>
              <w:jc w:val="both"/>
              <w:rPr>
                <w:sz w:val="20"/>
                <w:szCs w:val="20"/>
                <w:lang w:val="en-US"/>
              </w:rPr>
            </w:pPr>
          </w:p>
          <w:p w14:paraId="4184DABE" w14:textId="3A88C1EE" w:rsidR="00074551" w:rsidRDefault="00023A37" w:rsidP="00367133">
            <w:pPr>
              <w:jc w:val="both"/>
              <w:rPr>
                <w:sz w:val="20"/>
                <w:szCs w:val="20"/>
              </w:rPr>
            </w:pPr>
            <w:r>
              <w:rPr>
                <w:sz w:val="20"/>
                <w:szCs w:val="20"/>
              </w:rPr>
              <w:t xml:space="preserve">U.S. </w:t>
            </w:r>
            <w:proofErr w:type="spellStart"/>
            <w:r>
              <w:rPr>
                <w:sz w:val="20"/>
                <w:szCs w:val="20"/>
              </w:rPr>
              <w:t>Const</w:t>
            </w:r>
            <w:proofErr w:type="spellEnd"/>
            <w:r>
              <w:rPr>
                <w:sz w:val="20"/>
                <w:szCs w:val="20"/>
              </w:rPr>
              <w:t>. art. IV, § 1</w:t>
            </w:r>
            <w:r w:rsidR="00074551" w:rsidRPr="00BE3728">
              <w:rPr>
                <w:sz w:val="20"/>
                <w:szCs w:val="20"/>
              </w:rPr>
              <w:t xml:space="preserve"> legt fest, dass ein Urteil eines bundesstaatlichen Gerichts in jedem anderen Bundesstaat dieselbe Geltung, Gültigkeit und Wirkung habe wie im Bundesstaat, in dem es gefällt wurde. Nur die Einwände, die in diesem Bundesstaat gegen eine darauf basierende Klage vorgebracht werden könnten, und keine anderen, dürf</w:t>
            </w:r>
            <w:r w:rsidR="00074551">
              <w:rPr>
                <w:sz w:val="20"/>
                <w:szCs w:val="20"/>
              </w:rPr>
              <w:t>t</w:t>
            </w:r>
            <w:r w:rsidR="00074551" w:rsidRPr="00BE3728">
              <w:rPr>
                <w:sz w:val="20"/>
                <w:szCs w:val="20"/>
              </w:rPr>
              <w:t>en geltend gemacht werden.</w:t>
            </w:r>
            <w:r w:rsidR="00074551" w:rsidRPr="00BE3728">
              <w:rPr>
                <w:rStyle w:val="Funotenzeichen"/>
                <w:sz w:val="20"/>
                <w:szCs w:val="20"/>
              </w:rPr>
              <w:footnoteReference w:id="472"/>
            </w:r>
          </w:p>
          <w:p w14:paraId="20C88E4E" w14:textId="77777777" w:rsidR="00074551" w:rsidRDefault="00074551" w:rsidP="00367133">
            <w:pPr>
              <w:jc w:val="both"/>
              <w:rPr>
                <w:sz w:val="20"/>
                <w:szCs w:val="20"/>
              </w:rPr>
            </w:pPr>
          </w:p>
          <w:p w14:paraId="490813A9" w14:textId="31985D51" w:rsidR="00074551" w:rsidRPr="00BE3728" w:rsidRDefault="00074551" w:rsidP="00367133">
            <w:pPr>
              <w:jc w:val="both"/>
              <w:rPr>
                <w:sz w:val="20"/>
                <w:szCs w:val="20"/>
              </w:rPr>
            </w:pPr>
            <w:r w:rsidRPr="00BE3728">
              <w:rPr>
                <w:sz w:val="20"/>
                <w:szCs w:val="20"/>
              </w:rPr>
              <w:t>Der Dissens bespricht Glück als Rechtsprinzip. Damit begründet d</w:t>
            </w:r>
            <w:r w:rsidR="00427BF6">
              <w:rPr>
                <w:sz w:val="20"/>
                <w:szCs w:val="20"/>
              </w:rPr>
              <w:t>ie abweichende Richtermeinung im</w:t>
            </w:r>
            <w:r w:rsidRPr="00BE3728">
              <w:rPr>
                <w:sz w:val="20"/>
                <w:szCs w:val="20"/>
              </w:rPr>
              <w:t xml:space="preserve"> </w:t>
            </w:r>
            <w:r>
              <w:rPr>
                <w:sz w:val="20"/>
                <w:szCs w:val="20"/>
              </w:rPr>
              <w:t>U.S. Supreme Court</w:t>
            </w:r>
            <w:r w:rsidRPr="00BE3728">
              <w:rPr>
                <w:sz w:val="20"/>
                <w:szCs w:val="20"/>
              </w:rPr>
              <w:t xml:space="preserve"> u.a., dass das Urteil die </w:t>
            </w:r>
            <w:r w:rsidRPr="00A142D9">
              <w:rPr>
                <w:i/>
                <w:sz w:val="20"/>
                <w:szCs w:val="20"/>
              </w:rPr>
              <w:t xml:space="preserve">Full Faith and </w:t>
            </w:r>
            <w:proofErr w:type="spellStart"/>
            <w:r w:rsidRPr="00A142D9">
              <w:rPr>
                <w:i/>
                <w:sz w:val="20"/>
                <w:szCs w:val="20"/>
              </w:rPr>
              <w:t>Credit</w:t>
            </w:r>
            <w:proofErr w:type="spellEnd"/>
            <w:r w:rsidRPr="00A142D9">
              <w:rPr>
                <w:i/>
                <w:sz w:val="20"/>
                <w:szCs w:val="20"/>
              </w:rPr>
              <w:t xml:space="preserve"> </w:t>
            </w:r>
            <w:proofErr w:type="spellStart"/>
            <w:r w:rsidRPr="00A142D9">
              <w:rPr>
                <w:i/>
                <w:sz w:val="20"/>
                <w:szCs w:val="20"/>
              </w:rPr>
              <w:t>Clause</w:t>
            </w:r>
            <w:proofErr w:type="spellEnd"/>
            <w:r w:rsidRPr="00BE3728">
              <w:rPr>
                <w:sz w:val="20"/>
                <w:szCs w:val="20"/>
              </w:rPr>
              <w:t xml:space="preserve">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in unzulässiger Weise ausweite. Und zwar in zweierlei Hinsicht: Auf der einen Seite verwische die Auslegung im Urteil bundesstaatliche Grenzen, da das Urteils jeden Bundesstaat befuge, die strafrechtlichen Gesetze eines anderen zu missachten. Dies schränke die bundesstaatlichen Souveränitäten ein. Und andererseits widerspreche das Urteil dem gesetzgeberischen Willen, der sich in der </w:t>
            </w:r>
            <w:r w:rsidRPr="00B45592">
              <w:rPr>
                <w:i/>
                <w:sz w:val="20"/>
                <w:szCs w:val="20"/>
              </w:rPr>
              <w:t xml:space="preserve">Full Faith and </w:t>
            </w:r>
            <w:proofErr w:type="spellStart"/>
            <w:r w:rsidRPr="00B45592">
              <w:rPr>
                <w:i/>
                <w:sz w:val="20"/>
                <w:szCs w:val="20"/>
              </w:rPr>
              <w:t>Credit</w:t>
            </w:r>
            <w:proofErr w:type="spellEnd"/>
            <w:r w:rsidRPr="00B45592">
              <w:rPr>
                <w:i/>
                <w:sz w:val="20"/>
                <w:szCs w:val="20"/>
              </w:rPr>
              <w:t xml:space="preserve"> </w:t>
            </w:r>
            <w:proofErr w:type="spellStart"/>
            <w:r w:rsidRPr="00B45592">
              <w:rPr>
                <w:i/>
                <w:sz w:val="20"/>
                <w:szCs w:val="20"/>
              </w:rPr>
              <w:t>Clause</w:t>
            </w:r>
            <w:proofErr w:type="spellEnd"/>
            <w:r w:rsidRPr="00BE3728">
              <w:rPr>
                <w:sz w:val="20"/>
                <w:szCs w:val="20"/>
              </w:rPr>
              <w:t xml:space="preserve"> ausdrücke. Dieser Wille gründe auf dem Fundament des Regierungssystems: Die Polizeihoheit sei so auszuüben, wie es das Glück und das Wohlergehen der Bürger im Rahmen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fördere („to </w:t>
            </w:r>
            <w:proofErr w:type="spellStart"/>
            <w:r w:rsidRPr="00BE3728">
              <w:rPr>
                <w:sz w:val="20"/>
                <w:szCs w:val="20"/>
              </w:rPr>
              <w:t>exert</w:t>
            </w:r>
            <w:proofErr w:type="spellEnd"/>
            <w:r w:rsidRPr="00BE3728">
              <w:rPr>
                <w:sz w:val="20"/>
                <w:szCs w:val="20"/>
              </w:rPr>
              <w:t xml:space="preserve">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police</w:t>
            </w:r>
            <w:proofErr w:type="spellEnd"/>
            <w:r w:rsidRPr="00BE3728">
              <w:rPr>
                <w:sz w:val="20"/>
                <w:szCs w:val="20"/>
              </w:rPr>
              <w:t xml:space="preserve"> </w:t>
            </w:r>
            <w:proofErr w:type="spellStart"/>
            <w:r w:rsidRPr="00BE3728">
              <w:rPr>
                <w:sz w:val="20"/>
                <w:szCs w:val="20"/>
              </w:rPr>
              <w:t>powers</w:t>
            </w:r>
            <w:proofErr w:type="spellEnd"/>
            <w:r w:rsidRPr="00BE3728">
              <w:rPr>
                <w:sz w:val="20"/>
                <w:szCs w:val="20"/>
              </w:rPr>
              <w:t xml:space="preserve"> as </w:t>
            </w:r>
            <w:proofErr w:type="spellStart"/>
            <w:r w:rsidRPr="00BE3728">
              <w:rPr>
                <w:sz w:val="20"/>
                <w:szCs w:val="20"/>
              </w:rPr>
              <w:t>they</w:t>
            </w:r>
            <w:proofErr w:type="spellEnd"/>
            <w:r w:rsidRPr="00BE3728">
              <w:rPr>
                <w:sz w:val="20"/>
                <w:szCs w:val="20"/>
              </w:rPr>
              <w:t xml:space="preserve"> </w:t>
            </w:r>
            <w:proofErr w:type="spellStart"/>
            <w:r w:rsidRPr="00BE3728">
              <w:rPr>
                <w:sz w:val="20"/>
                <w:szCs w:val="20"/>
              </w:rPr>
              <w:t>may</w:t>
            </w:r>
            <w:proofErr w:type="spellEnd"/>
            <w:r w:rsidRPr="00BE3728">
              <w:rPr>
                <w:sz w:val="20"/>
                <w:szCs w:val="20"/>
              </w:rPr>
              <w:t xml:space="preserve"> </w:t>
            </w:r>
            <w:proofErr w:type="spellStart"/>
            <w:r w:rsidRPr="00BE3728">
              <w:rPr>
                <w:sz w:val="20"/>
                <w:szCs w:val="20"/>
              </w:rPr>
              <w:t>deem</w:t>
            </w:r>
            <w:proofErr w:type="spellEnd"/>
            <w:r w:rsidRPr="00BE3728">
              <w:rPr>
                <w:sz w:val="20"/>
                <w:szCs w:val="20"/>
              </w:rPr>
              <w:t xml:space="preserve"> </w:t>
            </w:r>
            <w:proofErr w:type="spellStart"/>
            <w:r w:rsidRPr="00BE3728">
              <w:rPr>
                <w:sz w:val="20"/>
                <w:szCs w:val="20"/>
              </w:rPr>
              <w:t>best</w:t>
            </w:r>
            <w:proofErr w:type="spellEnd"/>
            <w:r w:rsidRPr="00BE3728">
              <w:rPr>
                <w:sz w:val="20"/>
                <w:szCs w:val="20"/>
              </w:rPr>
              <w:t xml:space="preserve"> for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welfare</w:t>
            </w:r>
            <w:proofErr w:type="spellEnd"/>
            <w:r w:rsidRPr="00BE3728">
              <w:rPr>
                <w:sz w:val="20"/>
                <w:szCs w:val="20"/>
              </w:rPr>
              <w:t xml:space="preserve"> of </w:t>
            </w:r>
            <w:proofErr w:type="spellStart"/>
            <w:r w:rsidRPr="00BE3728">
              <w:rPr>
                <w:sz w:val="20"/>
                <w:szCs w:val="20"/>
              </w:rPr>
              <w:t>those</w:t>
            </w:r>
            <w:proofErr w:type="spellEnd"/>
            <w:r w:rsidRPr="00BE3728">
              <w:rPr>
                <w:sz w:val="20"/>
                <w:szCs w:val="20"/>
              </w:rPr>
              <w:t xml:space="preserve"> </w:t>
            </w:r>
            <w:proofErr w:type="spellStart"/>
            <w:r w:rsidRPr="00BE3728">
              <w:rPr>
                <w:sz w:val="20"/>
                <w:szCs w:val="20"/>
              </w:rPr>
              <w:t>subject</w:t>
            </w:r>
            <w:proofErr w:type="spellEnd"/>
            <w:r w:rsidRPr="00BE3728">
              <w:rPr>
                <w:sz w:val="20"/>
                <w:szCs w:val="20"/>
              </w:rPr>
              <w:t xml:space="preserve"> to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authority</w:t>
            </w:r>
            <w:proofErr w:type="spellEnd"/>
            <w:r w:rsidRPr="00BE3728">
              <w:rPr>
                <w:sz w:val="20"/>
                <w:szCs w:val="20"/>
              </w:rPr>
              <w:t>“</w:t>
            </w:r>
            <w:r w:rsidRPr="00BE3728">
              <w:rPr>
                <w:rStyle w:val="Funotenzeichen"/>
                <w:sz w:val="20"/>
                <w:szCs w:val="20"/>
              </w:rPr>
              <w:footnoteReference w:id="473"/>
            </w:r>
            <w:r w:rsidRPr="00BE3728">
              <w:rPr>
                <w:sz w:val="20"/>
                <w:szCs w:val="20"/>
              </w:rPr>
              <w:t>). Konkret drück</w:t>
            </w:r>
            <w:r>
              <w:rPr>
                <w:sz w:val="20"/>
                <w:szCs w:val="20"/>
              </w:rPr>
              <w:t>t</w:t>
            </w:r>
            <w:r w:rsidRPr="00BE3728">
              <w:rPr>
                <w:sz w:val="20"/>
                <w:szCs w:val="20"/>
              </w:rPr>
              <w:t>en sich beide Seiten so aus, dass in Bundesstaaten unterschiedliche Bedingungen herrschen könn</w:t>
            </w:r>
            <w:r>
              <w:rPr>
                <w:sz w:val="20"/>
                <w:szCs w:val="20"/>
              </w:rPr>
              <w:t>t</w:t>
            </w:r>
            <w:r w:rsidRPr="00BE3728">
              <w:rPr>
                <w:sz w:val="20"/>
                <w:szCs w:val="20"/>
              </w:rPr>
              <w:t xml:space="preserve">en, die unterschiedliche Gesetze erfordern. Das Urteil breche mit diesem Fundament. Denn die </w:t>
            </w:r>
            <w:r w:rsidRPr="00A142D9">
              <w:rPr>
                <w:i/>
                <w:sz w:val="20"/>
                <w:szCs w:val="20"/>
              </w:rPr>
              <w:t xml:space="preserve">Full Faith and </w:t>
            </w:r>
            <w:proofErr w:type="spellStart"/>
            <w:r w:rsidRPr="00A142D9">
              <w:rPr>
                <w:i/>
                <w:sz w:val="20"/>
                <w:szCs w:val="20"/>
              </w:rPr>
              <w:t>Credit</w:t>
            </w:r>
            <w:proofErr w:type="spellEnd"/>
            <w:r w:rsidRPr="00A142D9">
              <w:rPr>
                <w:i/>
                <w:sz w:val="20"/>
                <w:szCs w:val="20"/>
              </w:rPr>
              <w:t xml:space="preserve"> </w:t>
            </w:r>
            <w:proofErr w:type="spellStart"/>
            <w:r w:rsidRPr="00A142D9">
              <w:rPr>
                <w:i/>
                <w:sz w:val="20"/>
                <w:szCs w:val="20"/>
              </w:rPr>
              <w:t>Clause</w:t>
            </w:r>
            <w:proofErr w:type="spellEnd"/>
            <w:r w:rsidRPr="00BE3728">
              <w:rPr>
                <w:sz w:val="20"/>
                <w:szCs w:val="20"/>
              </w:rPr>
              <w:t xml:space="preserve"> bedeute nunmehr, dass Urteile aus anderen Bundesstaaten, die gegen die eigenen Gesetze verstoßen, dennoch durchgesetzt werden müssten, was die eigene Polizeimacht </w:t>
            </w:r>
            <w:r w:rsidRPr="00B45592">
              <w:rPr>
                <w:i/>
                <w:sz w:val="20"/>
                <w:szCs w:val="20"/>
              </w:rPr>
              <w:t>de facto</w:t>
            </w:r>
            <w:r w:rsidRPr="00BE3728">
              <w:rPr>
                <w:sz w:val="20"/>
                <w:szCs w:val="20"/>
              </w:rPr>
              <w:t xml:space="preserve"> aufhebe. Dies untergrabe die bundesstaatliche Kompetenz, die eigenen Gesetze durchzusetzen. Es konterkariere </w:t>
            </w:r>
            <w:r>
              <w:rPr>
                <w:sz w:val="20"/>
                <w:szCs w:val="20"/>
              </w:rPr>
              <w:t xml:space="preserve">damit </w:t>
            </w:r>
            <w:r w:rsidRPr="00BE3728">
              <w:rPr>
                <w:sz w:val="20"/>
                <w:szCs w:val="20"/>
              </w:rPr>
              <w:t>das Regierungsfundament.</w:t>
            </w:r>
          </w:p>
          <w:p w14:paraId="55E7259E" w14:textId="77777777" w:rsidR="00074551" w:rsidRPr="00E50B51" w:rsidRDefault="00074551" w:rsidP="00367133">
            <w:pPr>
              <w:jc w:val="both"/>
              <w:rPr>
                <w:sz w:val="20"/>
                <w:szCs w:val="20"/>
              </w:rPr>
            </w:pPr>
          </w:p>
        </w:tc>
      </w:tr>
      <w:tr w:rsidR="00074551" w:rsidRPr="00E50B51" w14:paraId="534C631F" w14:textId="77777777" w:rsidTr="00752D01">
        <w:trPr>
          <w:cantSplit/>
          <w:trHeight w:val="3175"/>
        </w:trPr>
        <w:tc>
          <w:tcPr>
            <w:tcW w:w="293" w:type="pct"/>
            <w:shd w:val="clear" w:color="auto" w:fill="E7E6E6" w:themeFill="background2"/>
          </w:tcPr>
          <w:p w14:paraId="16C7B29F" w14:textId="77777777" w:rsidR="00074551" w:rsidRDefault="00074551" w:rsidP="00367133">
            <w:pPr>
              <w:jc w:val="center"/>
              <w:rPr>
                <w:sz w:val="20"/>
                <w:szCs w:val="20"/>
              </w:rPr>
            </w:pPr>
            <w:r w:rsidRPr="00BE3728">
              <w:rPr>
                <w:sz w:val="20"/>
                <w:szCs w:val="20"/>
              </w:rPr>
              <w:lastRenderedPageBreak/>
              <w:t>H</w:t>
            </w:r>
          </w:p>
          <w:p w14:paraId="061C2FD1" w14:textId="77777777" w:rsidR="00074551" w:rsidRPr="00E50B51" w:rsidRDefault="00074551" w:rsidP="00367133">
            <w:pPr>
              <w:jc w:val="center"/>
              <w:rPr>
                <w:sz w:val="20"/>
                <w:szCs w:val="20"/>
              </w:rPr>
            </w:pPr>
            <w:proofErr w:type="spellStart"/>
            <w:r>
              <w:rPr>
                <w:sz w:val="20"/>
                <w:szCs w:val="20"/>
              </w:rPr>
              <w:t>poH</w:t>
            </w:r>
            <w:proofErr w:type="spellEnd"/>
          </w:p>
        </w:tc>
        <w:tc>
          <w:tcPr>
            <w:tcW w:w="387" w:type="pct"/>
            <w:shd w:val="clear" w:color="auto" w:fill="E7E6E6" w:themeFill="background2"/>
            <w:textDirection w:val="tbRl"/>
            <w:vAlign w:val="center"/>
          </w:tcPr>
          <w:p w14:paraId="0263254B" w14:textId="77777777" w:rsidR="00074551" w:rsidRPr="00190715" w:rsidRDefault="00074551" w:rsidP="00367133">
            <w:pPr>
              <w:ind w:left="113" w:right="113"/>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309A62D9" w14:textId="77777777" w:rsidR="00074551" w:rsidRPr="00190715" w:rsidRDefault="00074551" w:rsidP="00367133">
            <w:pPr>
              <w:ind w:left="113" w:right="113"/>
              <w:jc w:val="both"/>
              <w:rPr>
                <w:sz w:val="20"/>
                <w:szCs w:val="20"/>
              </w:rPr>
            </w:pPr>
            <w:r w:rsidRPr="00BE3728">
              <w:rPr>
                <w:sz w:val="20"/>
                <w:szCs w:val="20"/>
                <w:lang w:val="en-US"/>
              </w:rPr>
              <w:t xml:space="preserve">Relations </w:t>
            </w:r>
            <w:r>
              <w:rPr>
                <w:sz w:val="20"/>
                <w:szCs w:val="20"/>
                <w:lang w:val="en-US"/>
              </w:rPr>
              <w:t>w</w:t>
            </w:r>
            <w:r w:rsidRPr="00BE3728">
              <w:rPr>
                <w:sz w:val="20"/>
                <w:szCs w:val="20"/>
                <w:lang w:val="en-US"/>
              </w:rPr>
              <w:t>ith Governments</w:t>
            </w:r>
          </w:p>
        </w:tc>
        <w:tc>
          <w:tcPr>
            <w:tcW w:w="306" w:type="pct"/>
            <w:shd w:val="clear" w:color="auto" w:fill="E7E6E6" w:themeFill="background2"/>
            <w:textDirection w:val="tbRl"/>
            <w:vAlign w:val="center"/>
          </w:tcPr>
          <w:p w14:paraId="2DCEE5F1"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7558277D" w14:textId="77777777" w:rsidR="00074551" w:rsidRPr="00190715" w:rsidRDefault="00074551" w:rsidP="00367133">
            <w:pPr>
              <w:jc w:val="center"/>
              <w:rPr>
                <w:sz w:val="20"/>
                <w:szCs w:val="20"/>
              </w:rPr>
            </w:pPr>
          </w:p>
        </w:tc>
        <w:tc>
          <w:tcPr>
            <w:tcW w:w="1594" w:type="pct"/>
            <w:shd w:val="clear" w:color="auto" w:fill="E7E6E6" w:themeFill="background2"/>
            <w:vAlign w:val="center"/>
          </w:tcPr>
          <w:p w14:paraId="51EFD78D" w14:textId="77777777" w:rsidR="00074551" w:rsidRPr="00E50B51" w:rsidRDefault="00074551" w:rsidP="00367133">
            <w:pPr>
              <w:jc w:val="both"/>
              <w:rPr>
                <w:sz w:val="20"/>
                <w:szCs w:val="20"/>
              </w:rPr>
            </w:pPr>
          </w:p>
        </w:tc>
        <w:tc>
          <w:tcPr>
            <w:tcW w:w="1822" w:type="pct"/>
            <w:shd w:val="clear" w:color="auto" w:fill="E7E6E6" w:themeFill="background2"/>
          </w:tcPr>
          <w:p w14:paraId="792D20B3" w14:textId="487247DD" w:rsidR="00074551" w:rsidRPr="00E50B51" w:rsidRDefault="00A15DB3" w:rsidP="00752D01">
            <w:pPr>
              <w:rPr>
                <w:sz w:val="20"/>
                <w:szCs w:val="20"/>
              </w:rPr>
            </w:pPr>
            <w:r w:rsidRPr="00A15DB3">
              <w:rPr>
                <w:i/>
                <w:iCs/>
                <w:sz w:val="16"/>
                <w:szCs w:val="20"/>
              </w:rPr>
              <w:t>Thematische Gliederung der nachfolgenden Entscheidungen ↓</w:t>
            </w:r>
          </w:p>
        </w:tc>
      </w:tr>
      <w:tr w:rsidR="00074551" w:rsidRPr="008804DD" w14:paraId="3F5CC51E" w14:textId="77777777" w:rsidTr="00BE689F">
        <w:trPr>
          <w:cantSplit/>
          <w:trHeight w:val="3175"/>
        </w:trPr>
        <w:tc>
          <w:tcPr>
            <w:tcW w:w="293" w:type="pct"/>
          </w:tcPr>
          <w:p w14:paraId="34836BE9" w14:textId="77777777" w:rsidR="00074551" w:rsidRPr="00E50B51" w:rsidRDefault="00074551" w:rsidP="00367133">
            <w:pPr>
              <w:jc w:val="center"/>
              <w:rPr>
                <w:sz w:val="20"/>
                <w:szCs w:val="20"/>
              </w:rPr>
            </w:pPr>
            <w:r w:rsidRPr="00BE3728">
              <w:rPr>
                <w:sz w:val="20"/>
                <w:szCs w:val="20"/>
              </w:rPr>
              <w:lastRenderedPageBreak/>
              <w:t>H</w:t>
            </w:r>
          </w:p>
        </w:tc>
        <w:tc>
          <w:tcPr>
            <w:tcW w:w="387" w:type="pct"/>
            <w:textDirection w:val="tbRl"/>
            <w:vAlign w:val="center"/>
          </w:tcPr>
          <w:p w14:paraId="0DDC9DC9" w14:textId="308294A2" w:rsidR="006640BF" w:rsidRPr="006640BF" w:rsidRDefault="006640BF" w:rsidP="006640BF">
            <w:pPr>
              <w:pStyle w:val="berschrift1"/>
              <w:shd w:val="clear" w:color="auto" w:fill="FFFFFF"/>
              <w:spacing w:before="0" w:beforeAutospacing="0" w:after="0" w:afterAutospacing="0"/>
              <w:textAlignment w:val="baseline"/>
              <w:rPr>
                <w:b w:val="0"/>
                <w:bCs w:val="0"/>
                <w:color w:val="00172E"/>
                <w:sz w:val="20"/>
                <w:szCs w:val="20"/>
              </w:rPr>
            </w:pPr>
            <w:r>
              <w:rPr>
                <w:b w:val="0"/>
                <w:bCs w:val="0"/>
                <w:color w:val="00172E"/>
                <w:sz w:val="20"/>
                <w:szCs w:val="20"/>
              </w:rPr>
              <w:t xml:space="preserve"> </w:t>
            </w:r>
            <w:r w:rsidRPr="006640BF">
              <w:rPr>
                <w:b w:val="0"/>
                <w:bCs w:val="0"/>
                <w:color w:val="00172E"/>
                <w:sz w:val="20"/>
                <w:szCs w:val="20"/>
              </w:rPr>
              <w:t>The </w:t>
            </w:r>
            <w:r w:rsidRPr="006640BF">
              <w:rPr>
                <w:rStyle w:val="sssh"/>
                <w:b w:val="0"/>
                <w:bCs w:val="0"/>
                <w:color w:val="00172E"/>
                <w:sz w:val="20"/>
                <w:szCs w:val="20"/>
                <w:bdr w:val="none" w:sz="0" w:space="0" w:color="auto" w:frame="1"/>
                <w:shd w:val="clear" w:color="auto" w:fill="FFF099"/>
              </w:rPr>
              <w:t>Antelope</w:t>
            </w:r>
          </w:p>
          <w:p w14:paraId="30CFA6B5" w14:textId="48EFFCF7" w:rsidR="00074551" w:rsidRPr="00B45592" w:rsidRDefault="00074551" w:rsidP="00367133">
            <w:pPr>
              <w:ind w:left="113" w:right="113"/>
              <w:jc w:val="both"/>
              <w:rPr>
                <w:i/>
                <w:sz w:val="20"/>
                <w:szCs w:val="20"/>
              </w:rPr>
            </w:pPr>
          </w:p>
        </w:tc>
        <w:tc>
          <w:tcPr>
            <w:tcW w:w="197" w:type="pct"/>
            <w:textDirection w:val="tbRl"/>
            <w:vAlign w:val="center"/>
          </w:tcPr>
          <w:p w14:paraId="293B3829" w14:textId="58EA0661" w:rsidR="00074551" w:rsidRPr="00190715" w:rsidRDefault="006640BF" w:rsidP="00367133">
            <w:pPr>
              <w:ind w:left="113" w:right="113"/>
              <w:jc w:val="both"/>
              <w:rPr>
                <w:sz w:val="20"/>
                <w:szCs w:val="20"/>
              </w:rPr>
            </w:pPr>
            <w:r>
              <w:rPr>
                <w:sz w:val="20"/>
                <w:szCs w:val="20"/>
              </w:rPr>
              <w:t>23</w:t>
            </w:r>
            <w:r w:rsidR="00074551" w:rsidRPr="00BE3728">
              <w:rPr>
                <w:sz w:val="20"/>
                <w:szCs w:val="20"/>
              </w:rPr>
              <w:t xml:space="preserve"> U.S. </w:t>
            </w:r>
            <w:r>
              <w:rPr>
                <w:sz w:val="20"/>
                <w:szCs w:val="20"/>
              </w:rPr>
              <w:t>66</w:t>
            </w:r>
          </w:p>
        </w:tc>
        <w:tc>
          <w:tcPr>
            <w:tcW w:w="306" w:type="pct"/>
            <w:textDirection w:val="tbRl"/>
            <w:vAlign w:val="center"/>
          </w:tcPr>
          <w:p w14:paraId="5FE63E88" w14:textId="690C9539" w:rsidR="00074551" w:rsidRPr="00E50B51" w:rsidRDefault="006640BF" w:rsidP="00367133">
            <w:pPr>
              <w:ind w:left="113" w:right="113"/>
              <w:jc w:val="both"/>
              <w:rPr>
                <w:sz w:val="20"/>
                <w:szCs w:val="20"/>
              </w:rPr>
            </w:pPr>
            <w:r>
              <w:rPr>
                <w:sz w:val="20"/>
                <w:szCs w:val="20"/>
              </w:rPr>
              <w:t>25</w:t>
            </w:r>
            <w:r w:rsidR="00074551" w:rsidRPr="00BE3728">
              <w:rPr>
                <w:sz w:val="20"/>
                <w:szCs w:val="20"/>
              </w:rPr>
              <w:t xml:space="preserve">. März </w:t>
            </w:r>
            <w:r>
              <w:rPr>
                <w:sz w:val="20"/>
                <w:szCs w:val="20"/>
              </w:rPr>
              <w:t>1825</w:t>
            </w:r>
          </w:p>
        </w:tc>
        <w:tc>
          <w:tcPr>
            <w:tcW w:w="401" w:type="pct"/>
          </w:tcPr>
          <w:p w14:paraId="1EF9C5BE" w14:textId="77777777" w:rsidR="00074551" w:rsidRPr="00190715" w:rsidRDefault="00074551" w:rsidP="00367133">
            <w:pPr>
              <w:jc w:val="center"/>
              <w:rPr>
                <w:sz w:val="20"/>
                <w:szCs w:val="20"/>
              </w:rPr>
            </w:pPr>
            <w:r w:rsidRPr="00BE3728">
              <w:rPr>
                <w:sz w:val="20"/>
                <w:szCs w:val="20"/>
                <w:lang w:val="en-US"/>
              </w:rPr>
              <w:t>S</w:t>
            </w:r>
          </w:p>
        </w:tc>
        <w:tc>
          <w:tcPr>
            <w:tcW w:w="1594" w:type="pct"/>
          </w:tcPr>
          <w:p w14:paraId="6F23D7CC" w14:textId="77777777" w:rsidR="00074551" w:rsidRPr="00BE3728" w:rsidRDefault="00074551" w:rsidP="00367133">
            <w:pPr>
              <w:jc w:val="both"/>
              <w:rPr>
                <w:sz w:val="20"/>
                <w:szCs w:val="20"/>
              </w:rPr>
            </w:pPr>
            <w:r w:rsidRPr="00BE3728">
              <w:rPr>
                <w:sz w:val="20"/>
                <w:szCs w:val="20"/>
              </w:rPr>
              <w:t>Ein Schiff eines ausländischen Staats führte Sklaven mit. Piraten erbeuteten die Sklaven. Dann fing ein amerikanisches Schiff die Piraten ab</w:t>
            </w:r>
            <w:r>
              <w:rPr>
                <w:sz w:val="20"/>
                <w:szCs w:val="20"/>
              </w:rPr>
              <w:t xml:space="preserve"> u</w:t>
            </w:r>
            <w:r w:rsidRPr="00BE3728">
              <w:rPr>
                <w:sz w:val="20"/>
                <w:szCs w:val="20"/>
              </w:rPr>
              <w:t xml:space="preserve">nd nahm die Sklaven auf. Die ausländischen Staaten forderten ihre Sklaven zurück. Die US-Regierung argumentierte, der Sklavenhandel sei verfassungswidrig. Daher hätten die </w:t>
            </w:r>
            <w:r>
              <w:rPr>
                <w:sz w:val="20"/>
                <w:szCs w:val="20"/>
              </w:rPr>
              <w:t xml:space="preserve">ausländischen </w:t>
            </w:r>
            <w:r w:rsidRPr="00BE3728">
              <w:rPr>
                <w:sz w:val="20"/>
                <w:szCs w:val="20"/>
              </w:rPr>
              <w:t xml:space="preserve">Staaten keinen Anspruch. Der </w:t>
            </w:r>
            <w:r>
              <w:rPr>
                <w:sz w:val="20"/>
                <w:szCs w:val="20"/>
              </w:rPr>
              <w:t>U.S. Supreme Court</w:t>
            </w:r>
            <w:r w:rsidRPr="00BE3728">
              <w:rPr>
                <w:sz w:val="20"/>
                <w:szCs w:val="20"/>
              </w:rPr>
              <w:t xml:space="preserve"> urteilte indes, die ausländischen Staaten hätten Anspruch auf Rückgabe einiger Sklaven, da es d</w:t>
            </w:r>
            <w:r>
              <w:rPr>
                <w:sz w:val="20"/>
                <w:szCs w:val="20"/>
              </w:rPr>
              <w:t>a</w:t>
            </w:r>
            <w:r w:rsidRPr="00BE3728">
              <w:rPr>
                <w:sz w:val="20"/>
                <w:szCs w:val="20"/>
              </w:rPr>
              <w:t xml:space="preserve">rauf ankomme, ob der Sklavenhandel im ausländischen Staat legalisiert sei oder nicht. Die US-Regierung könne die Rechtslage anderer Staaten nicht außer Kraft setzen. Aber der </w:t>
            </w:r>
            <w:r>
              <w:rPr>
                <w:sz w:val="20"/>
                <w:szCs w:val="20"/>
              </w:rPr>
              <w:t>U.S. Supreme Court</w:t>
            </w:r>
            <w:r w:rsidRPr="00BE3728">
              <w:rPr>
                <w:sz w:val="20"/>
                <w:szCs w:val="20"/>
              </w:rPr>
              <w:t xml:space="preserve"> änderte die </w:t>
            </w:r>
            <w:proofErr w:type="spellStart"/>
            <w:r w:rsidRPr="00BE3728">
              <w:rPr>
                <w:sz w:val="20"/>
                <w:szCs w:val="20"/>
              </w:rPr>
              <w:t>vorinstanzielle</w:t>
            </w:r>
            <w:proofErr w:type="spellEnd"/>
            <w:r w:rsidRPr="00BE3728">
              <w:rPr>
                <w:sz w:val="20"/>
                <w:szCs w:val="20"/>
              </w:rPr>
              <w:t xml:space="preserve"> Entscheidung dahingehend ab, die Anzahl der zurückzugebenden Sklaven zu verringern. </w:t>
            </w:r>
            <w:r>
              <w:rPr>
                <w:sz w:val="20"/>
                <w:szCs w:val="20"/>
              </w:rPr>
              <w:t xml:space="preserve">Es bedurfte eines qualifizierten Eigentumsbeweises, und </w:t>
            </w:r>
            <w:r w:rsidRPr="00BE3728">
              <w:rPr>
                <w:sz w:val="20"/>
                <w:szCs w:val="20"/>
              </w:rPr>
              <w:t>einer der ausländische</w:t>
            </w:r>
            <w:r>
              <w:rPr>
                <w:sz w:val="20"/>
                <w:szCs w:val="20"/>
              </w:rPr>
              <w:t>n</w:t>
            </w:r>
            <w:r w:rsidRPr="00BE3728">
              <w:rPr>
                <w:sz w:val="20"/>
                <w:szCs w:val="20"/>
              </w:rPr>
              <w:t xml:space="preserve"> Staat</w:t>
            </w:r>
            <w:r>
              <w:rPr>
                <w:sz w:val="20"/>
                <w:szCs w:val="20"/>
              </w:rPr>
              <w:t>en hatte</w:t>
            </w:r>
            <w:r w:rsidRPr="00BE3728">
              <w:rPr>
                <w:sz w:val="20"/>
                <w:szCs w:val="20"/>
              </w:rPr>
              <w:t xml:space="preserve"> keinen Eigentumsnachweis</w:t>
            </w:r>
            <w:r>
              <w:rPr>
                <w:sz w:val="20"/>
                <w:szCs w:val="20"/>
              </w:rPr>
              <w:t xml:space="preserve"> erbracht</w:t>
            </w:r>
            <w:r w:rsidRPr="00BE3728">
              <w:rPr>
                <w:sz w:val="20"/>
                <w:szCs w:val="20"/>
              </w:rPr>
              <w:t xml:space="preserve">. Er erhielt </w:t>
            </w:r>
            <w:r>
              <w:rPr>
                <w:sz w:val="20"/>
                <w:szCs w:val="20"/>
              </w:rPr>
              <w:t xml:space="preserve">damit </w:t>
            </w:r>
            <w:r w:rsidRPr="00BE3728">
              <w:rPr>
                <w:sz w:val="20"/>
                <w:szCs w:val="20"/>
              </w:rPr>
              <w:t xml:space="preserve">keine Sklaven. Ein anderer Staat bekam nur einen Anteil seiner Sklaven zurück, nämlich die, deren Eigentum er beweisen konnte. Pauschale Behauptungen reichten dem </w:t>
            </w:r>
            <w:r>
              <w:rPr>
                <w:sz w:val="20"/>
                <w:szCs w:val="20"/>
              </w:rPr>
              <w:t>U.S. Supreme Court</w:t>
            </w:r>
            <w:r w:rsidRPr="00BE3728">
              <w:rPr>
                <w:sz w:val="20"/>
                <w:szCs w:val="20"/>
              </w:rPr>
              <w:t xml:space="preserve"> nicht.</w:t>
            </w:r>
            <w:r w:rsidRPr="00BE3728">
              <w:rPr>
                <w:rStyle w:val="Funotenzeichen"/>
                <w:sz w:val="20"/>
                <w:szCs w:val="20"/>
              </w:rPr>
              <w:footnoteReference w:id="474"/>
            </w:r>
          </w:p>
          <w:p w14:paraId="4D1A9BC7" w14:textId="77777777" w:rsidR="00074551" w:rsidRPr="00E50B51" w:rsidRDefault="00074551" w:rsidP="00367133">
            <w:pPr>
              <w:jc w:val="both"/>
              <w:rPr>
                <w:sz w:val="20"/>
                <w:szCs w:val="20"/>
              </w:rPr>
            </w:pPr>
          </w:p>
        </w:tc>
        <w:tc>
          <w:tcPr>
            <w:tcW w:w="1822" w:type="pct"/>
          </w:tcPr>
          <w:p w14:paraId="2410C625" w14:textId="6A181FC5" w:rsidR="00074551" w:rsidRPr="006640BF"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Governments › State &amp; Territorial Governments › Relations with Governments</w:t>
            </w:r>
          </w:p>
          <w:p w14:paraId="151E70DF" w14:textId="77777777" w:rsidR="00074551" w:rsidRPr="00BE3728" w:rsidRDefault="00074551" w:rsidP="00367133">
            <w:pPr>
              <w:jc w:val="both"/>
              <w:rPr>
                <w:sz w:val="20"/>
                <w:szCs w:val="20"/>
              </w:rPr>
            </w:pPr>
          </w:p>
          <w:p w14:paraId="4BDCD754" w14:textId="77777777" w:rsidR="00074551" w:rsidRPr="00BE3728" w:rsidRDefault="00074551" w:rsidP="00367133">
            <w:pPr>
              <w:jc w:val="both"/>
              <w:rPr>
                <w:sz w:val="20"/>
                <w:szCs w:val="20"/>
                <w:lang w:val="en-US"/>
              </w:rPr>
            </w:pPr>
            <w:r w:rsidRPr="00BE3728">
              <w:rPr>
                <w:sz w:val="20"/>
                <w:szCs w:val="20"/>
              </w:rPr>
              <w:t xml:space="preserve">Der </w:t>
            </w:r>
            <w:r>
              <w:rPr>
                <w:sz w:val="20"/>
                <w:szCs w:val="20"/>
              </w:rPr>
              <w:t>U.S. Supreme Court</w:t>
            </w:r>
            <w:r w:rsidRPr="00BE3728">
              <w:rPr>
                <w:sz w:val="20"/>
                <w:szCs w:val="20"/>
              </w:rPr>
              <w:t xml:space="preserve"> griff im Syllabus den Bericht des Ausschusses auf, der sich </w:t>
            </w:r>
            <w:r>
              <w:rPr>
                <w:sz w:val="20"/>
                <w:szCs w:val="20"/>
              </w:rPr>
              <w:t>mit der</w:t>
            </w:r>
            <w:r w:rsidRPr="00BE3728">
              <w:rPr>
                <w:sz w:val="20"/>
                <w:szCs w:val="20"/>
              </w:rPr>
              <w:t xml:space="preserve"> Unterdrückung des Sklavenhandels </w:t>
            </w:r>
            <w:r>
              <w:rPr>
                <w:sz w:val="20"/>
                <w:szCs w:val="20"/>
              </w:rPr>
              <w:t>auseinandersetzte</w:t>
            </w:r>
            <w:r w:rsidRPr="00BE3728">
              <w:rPr>
                <w:sz w:val="20"/>
                <w:szCs w:val="20"/>
              </w:rPr>
              <w:t xml:space="preserve">. </w:t>
            </w:r>
            <w:r>
              <w:rPr>
                <w:sz w:val="20"/>
                <w:szCs w:val="20"/>
              </w:rPr>
              <w:t>Ein</w:t>
            </w:r>
            <w:r w:rsidRPr="00BE3728">
              <w:rPr>
                <w:sz w:val="20"/>
                <w:szCs w:val="20"/>
              </w:rPr>
              <w:t xml:space="preserve"> Gesetz </w:t>
            </w:r>
            <w:r w:rsidRPr="00B45592">
              <w:rPr>
                <w:sz w:val="20"/>
                <w:szCs w:val="20"/>
              </w:rPr>
              <w:t>vom 3. März 1819</w:t>
            </w:r>
            <w:r w:rsidRPr="00461398">
              <w:rPr>
                <w:sz w:val="20"/>
                <w:szCs w:val="20"/>
              </w:rPr>
              <w:t xml:space="preserve"> verpflichte die Regierung, Gefangene in ihr Heimatland zurückzuführen. </w:t>
            </w:r>
            <w:r w:rsidRPr="00BE3728">
              <w:rPr>
                <w:sz w:val="20"/>
                <w:szCs w:val="20"/>
                <w:lang w:val="en-US"/>
              </w:rPr>
              <w:t xml:space="preserve">Wie </w:t>
            </w:r>
            <w:proofErr w:type="spellStart"/>
            <w:r w:rsidRPr="00BE3728">
              <w:rPr>
                <w:sz w:val="20"/>
                <w:szCs w:val="20"/>
                <w:lang w:val="en-US"/>
              </w:rPr>
              <w:t>weit</w:t>
            </w:r>
            <w:proofErr w:type="spellEnd"/>
            <w:r w:rsidRPr="00BE3728">
              <w:rPr>
                <w:sz w:val="20"/>
                <w:szCs w:val="20"/>
                <w:lang w:val="en-US"/>
              </w:rPr>
              <w:t xml:space="preserve">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Hilfe</w:t>
            </w:r>
            <w:proofErr w:type="spellEnd"/>
            <w:r w:rsidRPr="00BE3728">
              <w:rPr>
                <w:sz w:val="20"/>
                <w:szCs w:val="20"/>
                <w:lang w:val="en-US"/>
              </w:rPr>
              <w:t xml:space="preserve"> </w:t>
            </w:r>
            <w:r>
              <w:rPr>
                <w:sz w:val="20"/>
                <w:szCs w:val="20"/>
                <w:lang w:val="en-US"/>
              </w:rPr>
              <w:t xml:space="preserve">für </w:t>
            </w:r>
            <w:proofErr w:type="spellStart"/>
            <w:r w:rsidRPr="00BE3728">
              <w:rPr>
                <w:sz w:val="20"/>
                <w:szCs w:val="20"/>
                <w:lang w:val="en-US"/>
              </w:rPr>
              <w:t>fremde</w:t>
            </w:r>
            <w:proofErr w:type="spellEnd"/>
            <w:r>
              <w:rPr>
                <w:sz w:val="20"/>
                <w:szCs w:val="20"/>
                <w:lang w:val="en-US"/>
              </w:rPr>
              <w:t xml:space="preserve"> </w:t>
            </w:r>
            <w:proofErr w:type="spellStart"/>
            <w:r w:rsidRPr="00BE3728">
              <w:rPr>
                <w:sz w:val="20"/>
                <w:szCs w:val="20"/>
                <w:lang w:val="en-US"/>
              </w:rPr>
              <w:t>Nationen</w:t>
            </w:r>
            <w:proofErr w:type="spellEnd"/>
            <w:r w:rsidRPr="00BE3728">
              <w:rPr>
                <w:sz w:val="20"/>
                <w:szCs w:val="20"/>
                <w:lang w:val="en-US"/>
              </w:rPr>
              <w:t xml:space="preserve"> </w:t>
            </w:r>
            <w:proofErr w:type="spellStart"/>
            <w:r w:rsidRPr="00BE3728">
              <w:rPr>
                <w:sz w:val="20"/>
                <w:szCs w:val="20"/>
                <w:lang w:val="en-US"/>
              </w:rPr>
              <w:t>reiche</w:t>
            </w:r>
            <w:proofErr w:type="spellEnd"/>
            <w:r w:rsidRPr="00BE3728">
              <w:rPr>
                <w:sz w:val="20"/>
                <w:szCs w:val="20"/>
                <w:lang w:val="en-US"/>
              </w:rPr>
              <w:t xml:space="preserve">, </w:t>
            </w:r>
            <w:proofErr w:type="spellStart"/>
            <w:r w:rsidRPr="00BE3728">
              <w:rPr>
                <w:sz w:val="20"/>
                <w:szCs w:val="20"/>
                <w:lang w:val="en-US"/>
              </w:rPr>
              <w:t>überlasse</w:t>
            </w:r>
            <w:proofErr w:type="spellEnd"/>
            <w:r w:rsidRPr="00BE3728">
              <w:rPr>
                <w:sz w:val="20"/>
                <w:szCs w:val="20"/>
                <w:lang w:val="en-US"/>
              </w:rPr>
              <w:t xml:space="preserve"> der </w:t>
            </w:r>
            <w:r>
              <w:rPr>
                <w:sz w:val="20"/>
                <w:szCs w:val="20"/>
                <w:lang w:val="en-US"/>
              </w:rPr>
              <w:t>U.S. Supreme Court</w:t>
            </w:r>
            <w:r w:rsidRPr="00BE3728">
              <w:rPr>
                <w:sz w:val="20"/>
                <w:szCs w:val="20"/>
                <w:lang w:val="en-US"/>
              </w:rPr>
              <w:t xml:space="preserve"> dem </w:t>
            </w:r>
            <w:proofErr w:type="spellStart"/>
            <w:r w:rsidRPr="00BE3728">
              <w:rPr>
                <w:sz w:val="20"/>
                <w:szCs w:val="20"/>
                <w:lang w:val="en-US"/>
              </w:rPr>
              <w:t>Kongress</w:t>
            </w:r>
            <w:proofErr w:type="spellEnd"/>
            <w:r w:rsidRPr="00BE3728">
              <w:rPr>
                <w:sz w:val="20"/>
                <w:szCs w:val="20"/>
                <w:lang w:val="en-US"/>
              </w:rPr>
              <w:t xml:space="preserve">, der die </w:t>
            </w:r>
            <w:proofErr w:type="spellStart"/>
            <w:r w:rsidRPr="00BE3728">
              <w:rPr>
                <w:sz w:val="20"/>
                <w:szCs w:val="20"/>
                <w:lang w:val="en-US"/>
              </w:rPr>
              <w:t>Ziele</w:t>
            </w:r>
            <w:proofErr w:type="spellEnd"/>
            <w:r w:rsidRPr="00BE3728">
              <w:rPr>
                <w:sz w:val="20"/>
                <w:szCs w:val="20"/>
                <w:lang w:val="en-US"/>
              </w:rPr>
              <w:t xml:space="preserve"> des </w:t>
            </w:r>
            <w:proofErr w:type="spellStart"/>
            <w:r w:rsidRPr="00BE3728">
              <w:rPr>
                <w:sz w:val="20"/>
                <w:szCs w:val="20"/>
                <w:lang w:val="en-US"/>
              </w:rPr>
              <w:t>Staat</w:t>
            </w:r>
            <w:r>
              <w:rPr>
                <w:sz w:val="20"/>
                <w:szCs w:val="20"/>
                <w:lang w:val="en-US"/>
              </w:rPr>
              <w:t>e</w:t>
            </w:r>
            <w:r w:rsidRPr="00BE3728">
              <w:rPr>
                <w:sz w:val="20"/>
                <w:szCs w:val="20"/>
                <w:lang w:val="en-US"/>
              </w:rPr>
              <w:t>s</w:t>
            </w:r>
            <w:proofErr w:type="spellEnd"/>
            <w:r w:rsidRPr="00BE3728">
              <w:rPr>
                <w:sz w:val="20"/>
                <w:szCs w:val="20"/>
                <w:lang w:val="en-US"/>
              </w:rPr>
              <w:t xml:space="preserve"> – </w:t>
            </w:r>
            <w:proofErr w:type="spellStart"/>
            <w:r w:rsidRPr="00BE3728">
              <w:rPr>
                <w:sz w:val="20"/>
                <w:szCs w:val="20"/>
                <w:lang w:val="en-US"/>
              </w:rPr>
              <w:t>größeren</w:t>
            </w:r>
            <w:proofErr w:type="spellEnd"/>
            <w:r w:rsidRPr="00BE3728">
              <w:rPr>
                <w:sz w:val="20"/>
                <w:szCs w:val="20"/>
                <w:lang w:val="en-US"/>
              </w:rPr>
              <w:t xml:space="preserve"> </w:t>
            </w:r>
            <w:proofErr w:type="spellStart"/>
            <w:r w:rsidRPr="00BE3728">
              <w:rPr>
                <w:sz w:val="20"/>
                <w:szCs w:val="20"/>
                <w:lang w:val="en-US"/>
              </w:rPr>
              <w:t>nationalen</w:t>
            </w:r>
            <w:proofErr w:type="spellEnd"/>
            <w:r w:rsidRPr="00BE3728">
              <w:rPr>
                <w:sz w:val="20"/>
                <w:szCs w:val="20"/>
                <w:lang w:val="en-US"/>
              </w:rPr>
              <w:t xml:space="preserve"> </w:t>
            </w:r>
            <w:proofErr w:type="spellStart"/>
            <w:r w:rsidRPr="00BE3728">
              <w:rPr>
                <w:sz w:val="20"/>
                <w:szCs w:val="20"/>
                <w:lang w:val="en-US"/>
              </w:rPr>
              <w:t>Wohlstand</w:t>
            </w:r>
            <w:proofErr w:type="spellEnd"/>
            <w:r w:rsidRPr="00BE3728">
              <w:rPr>
                <w:sz w:val="20"/>
                <w:szCs w:val="20"/>
                <w:lang w:val="en-US"/>
              </w:rPr>
              <w:t xml:space="preserve">, </w:t>
            </w:r>
            <w:proofErr w:type="spellStart"/>
            <w:r w:rsidRPr="00BE3728">
              <w:rPr>
                <w:sz w:val="20"/>
                <w:szCs w:val="20"/>
                <w:lang w:val="en-US"/>
              </w:rPr>
              <w:t>Wohlergehen</w:t>
            </w:r>
            <w:proofErr w:type="spellEnd"/>
            <w:r w:rsidRPr="00BE3728">
              <w:rPr>
                <w:sz w:val="20"/>
                <w:szCs w:val="20"/>
                <w:lang w:val="en-US"/>
              </w:rPr>
              <w:t xml:space="preserve"> und Glück – </w:t>
            </w:r>
            <w:proofErr w:type="spellStart"/>
            <w:r w:rsidRPr="00BE3728">
              <w:rPr>
                <w:sz w:val="20"/>
                <w:szCs w:val="20"/>
                <w:lang w:val="en-US"/>
              </w:rPr>
              <w:t>abwägen</w:t>
            </w:r>
            <w:proofErr w:type="spellEnd"/>
            <w:r w:rsidRPr="00BE3728">
              <w:rPr>
                <w:sz w:val="20"/>
                <w:szCs w:val="20"/>
                <w:lang w:val="en-US"/>
              </w:rPr>
              <w:t xml:space="preserve"> </w:t>
            </w:r>
            <w:proofErr w:type="spellStart"/>
            <w:r>
              <w:rPr>
                <w:sz w:val="20"/>
                <w:szCs w:val="20"/>
                <w:lang w:val="en-US"/>
              </w:rPr>
              <w:t>müsse</w:t>
            </w:r>
            <w:proofErr w:type="spellEnd"/>
            <w:r w:rsidRPr="00BE3728">
              <w:rPr>
                <w:sz w:val="20"/>
                <w:szCs w:val="20"/>
                <w:lang w:val="en-US"/>
              </w:rPr>
              <w:t xml:space="preserve"> („Of the constitutional power of the General Government to grant the limited aid contemplated by the accompanying bill […]; and they leave it to […] the authority of Congress, the resources of the National Government, and the welfare and happiness of the United States, will warrant or require its extension.”</w:t>
            </w:r>
            <w:r w:rsidRPr="00BE3728">
              <w:rPr>
                <w:rStyle w:val="Funotenzeichen"/>
                <w:sz w:val="20"/>
                <w:szCs w:val="20"/>
                <w:lang w:val="en-US"/>
              </w:rPr>
              <w:footnoteReference w:id="475"/>
            </w:r>
            <w:r w:rsidRPr="00BE3728">
              <w:rPr>
                <w:sz w:val="20"/>
                <w:szCs w:val="20"/>
                <w:lang w:val="en-US"/>
              </w:rPr>
              <w:t>).</w:t>
            </w:r>
          </w:p>
          <w:p w14:paraId="723D93D2" w14:textId="77777777" w:rsidR="00074551" w:rsidRPr="008804DD" w:rsidRDefault="00074551" w:rsidP="00367133">
            <w:pPr>
              <w:jc w:val="both"/>
              <w:rPr>
                <w:sz w:val="20"/>
                <w:szCs w:val="20"/>
                <w:lang w:val="en-US"/>
              </w:rPr>
            </w:pPr>
          </w:p>
        </w:tc>
      </w:tr>
      <w:tr w:rsidR="00074551" w:rsidRPr="00E50B51" w14:paraId="543803A7" w14:textId="77777777" w:rsidTr="00BE689F">
        <w:trPr>
          <w:cantSplit/>
          <w:trHeight w:val="3175"/>
        </w:trPr>
        <w:tc>
          <w:tcPr>
            <w:tcW w:w="293" w:type="pct"/>
          </w:tcPr>
          <w:p w14:paraId="6502E40A" w14:textId="77777777" w:rsidR="00074551" w:rsidRPr="00BE3728"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AF35329" w14:textId="77777777" w:rsidR="00074551" w:rsidRPr="00B45592" w:rsidRDefault="00074551" w:rsidP="00367133">
            <w:pPr>
              <w:ind w:left="113" w:right="113"/>
              <w:jc w:val="both"/>
              <w:rPr>
                <w:i/>
                <w:sz w:val="20"/>
                <w:szCs w:val="20"/>
              </w:rPr>
            </w:pPr>
            <w:r w:rsidRPr="00B45592">
              <w:rPr>
                <w:i/>
                <w:sz w:val="20"/>
                <w:szCs w:val="20"/>
              </w:rPr>
              <w:t>Kennett v. Chambers</w:t>
            </w:r>
          </w:p>
        </w:tc>
        <w:tc>
          <w:tcPr>
            <w:tcW w:w="197" w:type="pct"/>
            <w:textDirection w:val="tbRl"/>
            <w:vAlign w:val="center"/>
          </w:tcPr>
          <w:p w14:paraId="23CA2B94" w14:textId="77777777" w:rsidR="00074551" w:rsidRPr="00BE3728" w:rsidRDefault="00074551" w:rsidP="00367133">
            <w:pPr>
              <w:ind w:left="113" w:right="113"/>
              <w:jc w:val="both"/>
              <w:rPr>
                <w:sz w:val="20"/>
                <w:szCs w:val="20"/>
              </w:rPr>
            </w:pPr>
            <w:r w:rsidRPr="00E50B51">
              <w:rPr>
                <w:sz w:val="20"/>
                <w:szCs w:val="20"/>
                <w:lang w:val="en-US"/>
              </w:rPr>
              <w:t>55 U.S. 38</w:t>
            </w:r>
          </w:p>
        </w:tc>
        <w:tc>
          <w:tcPr>
            <w:tcW w:w="306" w:type="pct"/>
            <w:textDirection w:val="tbRl"/>
            <w:vAlign w:val="center"/>
          </w:tcPr>
          <w:p w14:paraId="1DF6A4E2" w14:textId="77777777" w:rsidR="00074551" w:rsidRPr="00BE3728" w:rsidRDefault="00074551" w:rsidP="00367133">
            <w:pPr>
              <w:ind w:left="113" w:right="113"/>
              <w:jc w:val="both"/>
              <w:rPr>
                <w:sz w:val="20"/>
                <w:szCs w:val="20"/>
              </w:rPr>
            </w:pPr>
            <w:r w:rsidRPr="00E50B51">
              <w:rPr>
                <w:sz w:val="20"/>
                <w:szCs w:val="20"/>
              </w:rPr>
              <w:t>29. Dezember 1952</w:t>
            </w:r>
          </w:p>
        </w:tc>
        <w:tc>
          <w:tcPr>
            <w:tcW w:w="401" w:type="pct"/>
          </w:tcPr>
          <w:p w14:paraId="1A203CF5" w14:textId="77777777" w:rsidR="00074551" w:rsidRPr="00BE3728" w:rsidRDefault="00074551" w:rsidP="00367133">
            <w:pPr>
              <w:jc w:val="center"/>
              <w:rPr>
                <w:sz w:val="20"/>
                <w:szCs w:val="20"/>
                <w:lang w:val="en-US"/>
              </w:rPr>
            </w:pPr>
            <w:r w:rsidRPr="00E50B51">
              <w:rPr>
                <w:sz w:val="20"/>
                <w:szCs w:val="20"/>
                <w:lang w:val="en-US"/>
              </w:rPr>
              <w:t>S</w:t>
            </w:r>
          </w:p>
        </w:tc>
        <w:tc>
          <w:tcPr>
            <w:tcW w:w="1594" w:type="pct"/>
          </w:tcPr>
          <w:p w14:paraId="61CF4816" w14:textId="77777777" w:rsidR="00074551" w:rsidRPr="00E50B51" w:rsidRDefault="00074551" w:rsidP="00367133">
            <w:pPr>
              <w:jc w:val="both"/>
              <w:rPr>
                <w:sz w:val="20"/>
                <w:szCs w:val="20"/>
              </w:rPr>
            </w:pPr>
            <w:r w:rsidRPr="00E50B51">
              <w:rPr>
                <w:sz w:val="20"/>
                <w:szCs w:val="20"/>
              </w:rPr>
              <w:t>Im Fall begehr</w:t>
            </w:r>
            <w:r>
              <w:rPr>
                <w:sz w:val="20"/>
                <w:szCs w:val="20"/>
              </w:rPr>
              <w:t>t</w:t>
            </w:r>
            <w:r w:rsidRPr="00E50B51">
              <w:rPr>
                <w:sz w:val="20"/>
                <w:szCs w:val="20"/>
              </w:rPr>
              <w:t>en die klagenden Käufer vom beklagten Verkäufer eine Eigentumsübertragung. Die Käufer hatten den Kaufpreis gezahlt. Der Verkäufer aber wandte ein, der Vertrag sei nicht durchsetzbar</w:t>
            </w:r>
            <w:r>
              <w:rPr>
                <w:sz w:val="20"/>
                <w:szCs w:val="20"/>
              </w:rPr>
              <w:t>, da</w:t>
            </w:r>
            <w:r w:rsidRPr="00E50B51">
              <w:rPr>
                <w:sz w:val="20"/>
                <w:szCs w:val="20"/>
              </w:rPr>
              <w:t xml:space="preserve"> er gegen den Freundschafts- und Neutralitätsvertrag</w:t>
            </w:r>
            <w:r>
              <w:rPr>
                <w:sz w:val="20"/>
                <w:szCs w:val="20"/>
              </w:rPr>
              <w:t xml:space="preserve">, den sog. </w:t>
            </w:r>
            <w:r w:rsidRPr="00B45592">
              <w:rPr>
                <w:i/>
                <w:sz w:val="20"/>
                <w:szCs w:val="20"/>
              </w:rPr>
              <w:t xml:space="preserve">Treaty of </w:t>
            </w:r>
            <w:proofErr w:type="spellStart"/>
            <w:r w:rsidRPr="00B45592">
              <w:rPr>
                <w:i/>
                <w:sz w:val="20"/>
                <w:szCs w:val="20"/>
              </w:rPr>
              <w:t>Friendship</w:t>
            </w:r>
            <w:proofErr w:type="spellEnd"/>
            <w:r w:rsidRPr="00B45592">
              <w:rPr>
                <w:i/>
                <w:sz w:val="20"/>
                <w:szCs w:val="20"/>
              </w:rPr>
              <w:t xml:space="preserve"> and </w:t>
            </w:r>
            <w:proofErr w:type="spellStart"/>
            <w:r w:rsidRPr="00B45592">
              <w:rPr>
                <w:i/>
                <w:sz w:val="20"/>
                <w:szCs w:val="20"/>
              </w:rPr>
              <w:t>Neutrality</w:t>
            </w:r>
            <w:proofErr w:type="spellEnd"/>
            <w:r>
              <w:rPr>
                <w:sz w:val="20"/>
                <w:szCs w:val="20"/>
              </w:rPr>
              <w:t xml:space="preserve">, </w:t>
            </w:r>
            <w:r w:rsidRPr="00E50B51">
              <w:rPr>
                <w:sz w:val="20"/>
                <w:szCs w:val="20"/>
              </w:rPr>
              <w:t>zwischen Mexiko und den Vereinigten Staaten</w:t>
            </w:r>
            <w:r>
              <w:rPr>
                <w:sz w:val="20"/>
                <w:szCs w:val="20"/>
              </w:rPr>
              <w:t xml:space="preserve"> </w:t>
            </w:r>
            <w:r w:rsidRPr="00E50B51">
              <w:rPr>
                <w:sz w:val="20"/>
                <w:szCs w:val="20"/>
              </w:rPr>
              <w:t>verstoße</w:t>
            </w:r>
            <w:r>
              <w:rPr>
                <w:sz w:val="20"/>
                <w:szCs w:val="20"/>
              </w:rPr>
              <w:t>. Denn d</w:t>
            </w:r>
            <w:r w:rsidRPr="00E50B51">
              <w:rPr>
                <w:sz w:val="20"/>
                <w:szCs w:val="20"/>
              </w:rPr>
              <w:t xml:space="preserve">er Vertragszweck sei darauf gerichtet, Freiwillige für Texas zu vereinigen und zu bewaffnen, um Mexiko anzugreifen. Der Vertrag sei </w:t>
            </w:r>
            <w:r>
              <w:rPr>
                <w:sz w:val="20"/>
                <w:szCs w:val="20"/>
              </w:rPr>
              <w:t xml:space="preserve">daher </w:t>
            </w:r>
            <w:r w:rsidRPr="00E50B51">
              <w:rPr>
                <w:sz w:val="20"/>
                <w:szCs w:val="20"/>
              </w:rPr>
              <w:t>nichtig</w:t>
            </w:r>
            <w:r>
              <w:rPr>
                <w:sz w:val="20"/>
                <w:szCs w:val="20"/>
              </w:rPr>
              <w:t>.</w:t>
            </w:r>
            <w:r w:rsidRPr="00E50B51">
              <w:rPr>
                <w:sz w:val="20"/>
                <w:szCs w:val="20"/>
              </w:rPr>
              <w:t xml:space="preserve"> </w:t>
            </w:r>
            <w:r>
              <w:rPr>
                <w:sz w:val="20"/>
                <w:szCs w:val="20"/>
              </w:rPr>
              <w:t>E</w:t>
            </w:r>
            <w:r w:rsidRPr="00E50B51">
              <w:rPr>
                <w:sz w:val="20"/>
                <w:szCs w:val="20"/>
              </w:rPr>
              <w:t xml:space="preserve">r </w:t>
            </w:r>
            <w:r>
              <w:rPr>
                <w:sz w:val="20"/>
                <w:szCs w:val="20"/>
              </w:rPr>
              <w:t xml:space="preserve">gefährde </w:t>
            </w:r>
            <w:r w:rsidRPr="00E50B51">
              <w:rPr>
                <w:sz w:val="20"/>
                <w:szCs w:val="20"/>
              </w:rPr>
              <w:t xml:space="preserve">die Beziehungen </w:t>
            </w:r>
            <w:r>
              <w:rPr>
                <w:sz w:val="20"/>
                <w:szCs w:val="20"/>
              </w:rPr>
              <w:t xml:space="preserve">mit </w:t>
            </w:r>
            <w:r w:rsidRPr="00E50B51">
              <w:rPr>
                <w:sz w:val="20"/>
                <w:szCs w:val="20"/>
              </w:rPr>
              <w:t xml:space="preserve">Mexiko. Eine Eigentumsübertragung sei </w:t>
            </w:r>
            <w:r>
              <w:rPr>
                <w:sz w:val="20"/>
                <w:szCs w:val="20"/>
              </w:rPr>
              <w:t>darum</w:t>
            </w:r>
            <w:r w:rsidRPr="00E50B51">
              <w:rPr>
                <w:sz w:val="20"/>
                <w:szCs w:val="20"/>
              </w:rPr>
              <w:t xml:space="preserve"> nicht möglich.</w:t>
            </w:r>
          </w:p>
          <w:p w14:paraId="680D5FF6" w14:textId="77777777" w:rsidR="00074551" w:rsidRPr="00BE3728" w:rsidRDefault="00074551" w:rsidP="00367133">
            <w:pPr>
              <w:jc w:val="both"/>
              <w:rPr>
                <w:sz w:val="20"/>
                <w:szCs w:val="20"/>
              </w:rPr>
            </w:pPr>
          </w:p>
        </w:tc>
        <w:tc>
          <w:tcPr>
            <w:tcW w:w="1822" w:type="pct"/>
          </w:tcPr>
          <w:p w14:paraId="613221A4" w14:textId="77777777" w:rsidR="00074551" w:rsidRDefault="00074551" w:rsidP="00367133">
            <w:pPr>
              <w:jc w:val="both"/>
              <w:rPr>
                <w:sz w:val="20"/>
                <w:szCs w:val="20"/>
              </w:rPr>
            </w:pPr>
            <w:r>
              <w:rPr>
                <w:sz w:val="20"/>
                <w:szCs w:val="20"/>
              </w:rPr>
              <w:t>Z</w:t>
            </w:r>
            <w:r w:rsidRPr="00E50B51">
              <w:rPr>
                <w:sz w:val="20"/>
                <w:szCs w:val="20"/>
              </w:rPr>
              <w:t>wischenstaatliche</w:t>
            </w:r>
            <w:r>
              <w:rPr>
                <w:sz w:val="20"/>
                <w:szCs w:val="20"/>
              </w:rPr>
              <w:t xml:space="preserve"> V</w:t>
            </w:r>
            <w:r w:rsidRPr="00E50B51">
              <w:rPr>
                <w:sz w:val="20"/>
                <w:szCs w:val="20"/>
              </w:rPr>
              <w:t>erträge wie der Freundschafts- und Neutralitätsvertrag</w:t>
            </w:r>
            <w:r>
              <w:rPr>
                <w:sz w:val="20"/>
                <w:szCs w:val="20"/>
              </w:rPr>
              <w:t xml:space="preserve"> fallen</w:t>
            </w:r>
            <w:r w:rsidRPr="00E50B51">
              <w:rPr>
                <w:sz w:val="20"/>
                <w:szCs w:val="20"/>
              </w:rPr>
              <w:t xml:space="preserve"> nach der Verfassung der Vereinigten Staaten </w:t>
            </w:r>
            <w:r>
              <w:rPr>
                <w:sz w:val="20"/>
                <w:szCs w:val="20"/>
              </w:rPr>
              <w:t>unter das sog.</w:t>
            </w:r>
            <w:r w:rsidRPr="00E50B51">
              <w:rPr>
                <w:sz w:val="20"/>
                <w:szCs w:val="20"/>
              </w:rPr>
              <w:t xml:space="preserve"> oberste Gesetz („</w:t>
            </w:r>
            <w:proofErr w:type="spellStart"/>
            <w:r w:rsidRPr="00E50B51">
              <w:rPr>
                <w:sz w:val="20"/>
                <w:szCs w:val="20"/>
              </w:rPr>
              <w:t>supreme</w:t>
            </w:r>
            <w:proofErr w:type="spellEnd"/>
            <w:r w:rsidRPr="00E50B51">
              <w:rPr>
                <w:sz w:val="20"/>
                <w:szCs w:val="20"/>
              </w:rPr>
              <w:t xml:space="preserve"> </w:t>
            </w:r>
            <w:proofErr w:type="spellStart"/>
            <w:r w:rsidRPr="00E50B51">
              <w:rPr>
                <w:sz w:val="20"/>
                <w:szCs w:val="20"/>
              </w:rPr>
              <w:t>la</w:t>
            </w:r>
            <w:r w:rsidRPr="008804DD">
              <w:rPr>
                <w:sz w:val="20"/>
                <w:szCs w:val="20"/>
              </w:rPr>
              <w:t>w</w:t>
            </w:r>
            <w:proofErr w:type="spellEnd"/>
            <w:r w:rsidRPr="008804DD">
              <w:rPr>
                <w:sz w:val="20"/>
                <w:szCs w:val="20"/>
              </w:rPr>
              <w:t>“</w:t>
            </w:r>
            <w:r w:rsidRPr="008804DD">
              <w:rPr>
                <w:rStyle w:val="Funotenzeichen"/>
                <w:sz w:val="20"/>
                <w:szCs w:val="20"/>
              </w:rPr>
              <w:footnoteReference w:id="476"/>
            </w:r>
            <w:r w:rsidRPr="008804DD">
              <w:rPr>
                <w:sz w:val="20"/>
                <w:szCs w:val="20"/>
              </w:rPr>
              <w:t>).</w:t>
            </w:r>
            <w:r w:rsidRPr="00E50B51">
              <w:rPr>
                <w:sz w:val="20"/>
                <w:szCs w:val="20"/>
              </w:rPr>
              <w:t xml:space="preserve"> Sie sind für die Regierung und jeden Bürger verbindlich. Kein </w:t>
            </w:r>
            <w:r>
              <w:rPr>
                <w:sz w:val="20"/>
                <w:szCs w:val="20"/>
              </w:rPr>
              <w:t>Vertrag zwischen natürlichen Personen</w:t>
            </w:r>
            <w:r w:rsidRPr="00E50B51">
              <w:rPr>
                <w:sz w:val="20"/>
                <w:szCs w:val="20"/>
              </w:rPr>
              <w:t xml:space="preserve"> kann im Widerspruch zu ihren Bestimmungen geschlossen werden. Im Fall verstößt der Individualvertrag gegen </w:t>
            </w:r>
            <w:r>
              <w:rPr>
                <w:sz w:val="20"/>
                <w:szCs w:val="20"/>
              </w:rPr>
              <w:t>Art. </w:t>
            </w:r>
            <w:r w:rsidRPr="00E50B51">
              <w:rPr>
                <w:sz w:val="20"/>
                <w:szCs w:val="20"/>
              </w:rPr>
              <w:t>1 des Freundschafts- und Neutralitätsvertrag</w:t>
            </w:r>
            <w:r>
              <w:rPr>
                <w:sz w:val="20"/>
                <w:szCs w:val="20"/>
              </w:rPr>
              <w:t>s</w:t>
            </w:r>
            <w:r w:rsidRPr="00E50B51">
              <w:rPr>
                <w:sz w:val="20"/>
                <w:szCs w:val="20"/>
              </w:rPr>
              <w:t>, der das Gewaltverbot regelt.</w:t>
            </w:r>
            <w:r w:rsidRPr="00E50B51">
              <w:rPr>
                <w:rStyle w:val="Funotenzeichen"/>
                <w:rFonts w:eastAsiaTheme="majorEastAsia"/>
                <w:sz w:val="20"/>
                <w:szCs w:val="20"/>
              </w:rPr>
              <w:footnoteReference w:id="477"/>
            </w:r>
            <w:r w:rsidRPr="00E50B51">
              <w:rPr>
                <w:sz w:val="20"/>
                <w:szCs w:val="20"/>
              </w:rPr>
              <w:t xml:space="preserve"> Dabei hebt der </w:t>
            </w:r>
            <w:r>
              <w:rPr>
                <w:sz w:val="20"/>
                <w:szCs w:val="20"/>
              </w:rPr>
              <w:t>U.S. Supreme Court</w:t>
            </w:r>
            <w:r w:rsidRPr="00E50B51">
              <w:rPr>
                <w:sz w:val="20"/>
                <w:szCs w:val="20"/>
              </w:rPr>
              <w:t xml:space="preserve"> den Klägervortrag hervor. Der ben</w:t>
            </w:r>
            <w:r>
              <w:rPr>
                <w:sz w:val="20"/>
                <w:szCs w:val="20"/>
              </w:rPr>
              <w:t>e</w:t>
            </w:r>
            <w:r w:rsidRPr="00E50B51">
              <w:rPr>
                <w:sz w:val="20"/>
                <w:szCs w:val="20"/>
              </w:rPr>
              <w:t>nnt den ersten Grundsatz des geschriebenen Völkerrechts („</w:t>
            </w:r>
            <w:proofErr w:type="spellStart"/>
            <w:r w:rsidRPr="00E50B51">
              <w:rPr>
                <w:sz w:val="20"/>
                <w:szCs w:val="20"/>
              </w:rPr>
              <w:t>first</w:t>
            </w:r>
            <w:proofErr w:type="spellEnd"/>
            <w:r w:rsidRPr="00E50B51">
              <w:rPr>
                <w:sz w:val="20"/>
                <w:szCs w:val="20"/>
              </w:rPr>
              <w:t xml:space="preserve"> </w:t>
            </w:r>
            <w:proofErr w:type="spellStart"/>
            <w:r w:rsidRPr="00E50B51">
              <w:rPr>
                <w:sz w:val="20"/>
                <w:szCs w:val="20"/>
              </w:rPr>
              <w:t>principles</w:t>
            </w:r>
            <w:proofErr w:type="spellEnd"/>
            <w:r w:rsidRPr="00E50B51">
              <w:rPr>
                <w:sz w:val="20"/>
                <w:szCs w:val="20"/>
              </w:rPr>
              <w:t xml:space="preserve"> of the </w:t>
            </w:r>
            <w:proofErr w:type="spellStart"/>
            <w:r w:rsidRPr="00E50B51">
              <w:rPr>
                <w:sz w:val="20"/>
                <w:szCs w:val="20"/>
              </w:rPr>
              <w:t>first</w:t>
            </w:r>
            <w:proofErr w:type="spellEnd"/>
            <w:r w:rsidRPr="00E50B51">
              <w:rPr>
                <w:sz w:val="20"/>
                <w:szCs w:val="20"/>
              </w:rPr>
              <w:t xml:space="preserve"> </w:t>
            </w:r>
            <w:proofErr w:type="spellStart"/>
            <w:r w:rsidRPr="00E50B51">
              <w:rPr>
                <w:sz w:val="20"/>
                <w:szCs w:val="20"/>
              </w:rPr>
              <w:t>truly</w:t>
            </w:r>
            <w:proofErr w:type="spellEnd"/>
            <w:r w:rsidRPr="00E50B51">
              <w:rPr>
                <w:sz w:val="20"/>
                <w:szCs w:val="20"/>
              </w:rPr>
              <w:t xml:space="preserve"> </w:t>
            </w:r>
            <w:proofErr w:type="spellStart"/>
            <w:r w:rsidRPr="00E50B51">
              <w:rPr>
                <w:sz w:val="20"/>
                <w:szCs w:val="20"/>
              </w:rPr>
              <w:t>written</w:t>
            </w:r>
            <w:proofErr w:type="spellEnd"/>
            <w:r w:rsidRPr="00E50B51">
              <w:rPr>
                <w:sz w:val="20"/>
                <w:szCs w:val="20"/>
              </w:rPr>
              <w:t xml:space="preserve"> international </w:t>
            </w:r>
            <w:proofErr w:type="spellStart"/>
            <w:r w:rsidRPr="00E50B51">
              <w:rPr>
                <w:sz w:val="20"/>
                <w:szCs w:val="20"/>
              </w:rPr>
              <w:t>law</w:t>
            </w:r>
            <w:proofErr w:type="spellEnd"/>
            <w:r w:rsidRPr="00E50B51">
              <w:rPr>
                <w:sz w:val="20"/>
                <w:szCs w:val="20"/>
              </w:rPr>
              <w:t>“</w:t>
            </w:r>
            <w:r w:rsidRPr="00E50B51">
              <w:rPr>
                <w:rStyle w:val="Funotenzeichen"/>
                <w:rFonts w:eastAsiaTheme="majorEastAsia"/>
                <w:sz w:val="20"/>
                <w:szCs w:val="20"/>
              </w:rPr>
              <w:footnoteReference w:id="478"/>
            </w:r>
            <w:r w:rsidRPr="00E50B51">
              <w:rPr>
                <w:sz w:val="20"/>
                <w:szCs w:val="20"/>
              </w:rPr>
              <w:t>)</w:t>
            </w:r>
            <w:r>
              <w:rPr>
                <w:sz w:val="20"/>
                <w:szCs w:val="20"/>
              </w:rPr>
              <w:t>, welcher sich mit</w:t>
            </w:r>
            <w:r w:rsidRPr="00E50B51">
              <w:rPr>
                <w:sz w:val="20"/>
                <w:szCs w:val="20"/>
              </w:rPr>
              <w:t xml:space="preserve"> der </w:t>
            </w:r>
            <w:r w:rsidRPr="00A142D9">
              <w:rPr>
                <w:i/>
                <w:sz w:val="20"/>
                <w:szCs w:val="20"/>
              </w:rPr>
              <w:t>Declaration of Independence</w:t>
            </w:r>
            <w:r w:rsidRPr="00E50B51">
              <w:rPr>
                <w:sz w:val="20"/>
                <w:szCs w:val="20"/>
              </w:rPr>
              <w:t xml:space="preserve"> </w:t>
            </w:r>
            <w:proofErr w:type="spellStart"/>
            <w:r>
              <w:rPr>
                <w:sz w:val="20"/>
                <w:szCs w:val="20"/>
              </w:rPr>
              <w:t>para</w:t>
            </w:r>
            <w:proofErr w:type="spellEnd"/>
            <w:r>
              <w:rPr>
                <w:sz w:val="20"/>
                <w:szCs w:val="20"/>
              </w:rPr>
              <w:t>.</w:t>
            </w:r>
            <w:r w:rsidRPr="00E50B51">
              <w:rPr>
                <w:sz w:val="20"/>
                <w:szCs w:val="20"/>
              </w:rPr>
              <w:t xml:space="preserve"> 2 </w:t>
            </w:r>
            <w:r>
              <w:rPr>
                <w:sz w:val="20"/>
                <w:szCs w:val="20"/>
              </w:rPr>
              <w:t>s</w:t>
            </w:r>
            <w:r w:rsidRPr="00E50B51">
              <w:rPr>
                <w:sz w:val="20"/>
                <w:szCs w:val="20"/>
              </w:rPr>
              <w:t xml:space="preserve">. 1 und </w:t>
            </w:r>
            <w:r>
              <w:rPr>
                <w:sz w:val="20"/>
                <w:szCs w:val="20"/>
              </w:rPr>
              <w:t>ihrem</w:t>
            </w:r>
            <w:r w:rsidRPr="00E50B51">
              <w:rPr>
                <w:sz w:val="20"/>
                <w:szCs w:val="20"/>
              </w:rPr>
              <w:t xml:space="preserve"> Regierungsauftrag</w:t>
            </w:r>
            <w:r>
              <w:rPr>
                <w:sz w:val="20"/>
                <w:szCs w:val="20"/>
              </w:rPr>
              <w:t xml:space="preserve"> decke: </w:t>
            </w:r>
            <w:r w:rsidRPr="00E50B51">
              <w:rPr>
                <w:sz w:val="20"/>
                <w:szCs w:val="20"/>
              </w:rPr>
              <w:t>die unveräußerlichen Rechte wie das Streben nach Glück zu sichern.</w:t>
            </w:r>
            <w:r w:rsidRPr="00E50B51">
              <w:rPr>
                <w:rStyle w:val="Funotenzeichen"/>
                <w:rFonts w:eastAsiaTheme="majorEastAsia"/>
                <w:sz w:val="20"/>
                <w:szCs w:val="20"/>
              </w:rPr>
              <w:footnoteReference w:id="479"/>
            </w:r>
            <w:r w:rsidRPr="00E50B51">
              <w:rPr>
                <w:sz w:val="20"/>
                <w:szCs w:val="20"/>
              </w:rPr>
              <w:t xml:space="preserve"> Damit </w:t>
            </w:r>
            <w:r>
              <w:rPr>
                <w:sz w:val="20"/>
                <w:szCs w:val="20"/>
              </w:rPr>
              <w:t>seien</w:t>
            </w:r>
            <w:r w:rsidRPr="00E50B51">
              <w:rPr>
                <w:sz w:val="20"/>
                <w:szCs w:val="20"/>
              </w:rPr>
              <w:t xml:space="preserve"> </w:t>
            </w:r>
            <w:r>
              <w:rPr>
                <w:sz w:val="20"/>
                <w:szCs w:val="20"/>
              </w:rPr>
              <w:t>v</w:t>
            </w:r>
            <w:r w:rsidRPr="00E50B51">
              <w:rPr>
                <w:sz w:val="20"/>
                <w:szCs w:val="20"/>
              </w:rPr>
              <w:t xml:space="preserve">ölkerrechtliche und zwischenstaatliche Verträge </w:t>
            </w:r>
            <w:r>
              <w:rPr>
                <w:sz w:val="20"/>
                <w:szCs w:val="20"/>
              </w:rPr>
              <w:t xml:space="preserve">auch </w:t>
            </w:r>
            <w:r w:rsidRPr="00E50B51">
              <w:rPr>
                <w:sz w:val="20"/>
                <w:szCs w:val="20"/>
              </w:rPr>
              <w:t>an diese ersten Prinzipien</w:t>
            </w:r>
            <w:r>
              <w:rPr>
                <w:sz w:val="20"/>
                <w:szCs w:val="20"/>
              </w:rPr>
              <w:t xml:space="preserve"> gebunden</w:t>
            </w:r>
            <w:r w:rsidRPr="00E50B51">
              <w:rPr>
                <w:sz w:val="20"/>
                <w:szCs w:val="20"/>
              </w:rPr>
              <w:t>.</w:t>
            </w:r>
          </w:p>
          <w:p w14:paraId="642756C1" w14:textId="77777777" w:rsidR="00FE5F32" w:rsidRPr="00313FE1" w:rsidRDefault="00FE5F32" w:rsidP="00367133">
            <w:pPr>
              <w:jc w:val="both"/>
              <w:rPr>
                <w:sz w:val="20"/>
                <w:szCs w:val="20"/>
              </w:rPr>
            </w:pPr>
          </w:p>
        </w:tc>
      </w:tr>
      <w:tr w:rsidR="00074551" w:rsidRPr="00E50B51" w14:paraId="5EE14D87" w14:textId="77777777" w:rsidTr="00BE689F">
        <w:trPr>
          <w:cantSplit/>
          <w:trHeight w:val="3175"/>
        </w:trPr>
        <w:tc>
          <w:tcPr>
            <w:tcW w:w="293" w:type="pct"/>
          </w:tcPr>
          <w:p w14:paraId="03F0F9D5"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4EAD23E4" w14:textId="77777777" w:rsidR="00074551" w:rsidRPr="00E50B51" w:rsidRDefault="00074551" w:rsidP="00367133">
            <w:pPr>
              <w:jc w:val="center"/>
              <w:rPr>
                <w:sz w:val="20"/>
                <w:szCs w:val="20"/>
              </w:rPr>
            </w:pPr>
            <w:r>
              <w:rPr>
                <w:sz w:val="20"/>
                <w:szCs w:val="20"/>
                <w:lang w:val="en-US"/>
              </w:rPr>
              <w:t>H</w:t>
            </w:r>
          </w:p>
        </w:tc>
        <w:tc>
          <w:tcPr>
            <w:tcW w:w="387" w:type="pct"/>
            <w:textDirection w:val="tbRl"/>
            <w:vAlign w:val="center"/>
          </w:tcPr>
          <w:p w14:paraId="6346AE8E" w14:textId="77777777" w:rsidR="00074551" w:rsidRPr="00B45592" w:rsidRDefault="00074551" w:rsidP="00367133">
            <w:pPr>
              <w:ind w:left="113" w:right="113"/>
              <w:jc w:val="both"/>
              <w:rPr>
                <w:i/>
                <w:sz w:val="20"/>
                <w:szCs w:val="20"/>
                <w:lang w:val="en-US"/>
              </w:rPr>
            </w:pPr>
            <w:r w:rsidRPr="00B45592">
              <w:rPr>
                <w:i/>
                <w:sz w:val="20"/>
                <w:szCs w:val="20"/>
                <w:lang w:val="en-US"/>
              </w:rPr>
              <w:t>United States v. Libellants &amp; Claimants of The Schooner Amistad</w:t>
            </w:r>
          </w:p>
        </w:tc>
        <w:tc>
          <w:tcPr>
            <w:tcW w:w="197" w:type="pct"/>
            <w:textDirection w:val="tbRl"/>
            <w:vAlign w:val="center"/>
          </w:tcPr>
          <w:p w14:paraId="29A3576D" w14:textId="77777777" w:rsidR="00074551" w:rsidRPr="00E50B51" w:rsidRDefault="00074551" w:rsidP="00367133">
            <w:pPr>
              <w:ind w:left="113" w:right="113"/>
              <w:jc w:val="both"/>
              <w:rPr>
                <w:sz w:val="20"/>
                <w:szCs w:val="20"/>
                <w:lang w:val="en-US"/>
              </w:rPr>
            </w:pPr>
            <w:r w:rsidRPr="00257307">
              <w:rPr>
                <w:sz w:val="20"/>
                <w:szCs w:val="20"/>
              </w:rPr>
              <w:t>40 U.S. 518</w:t>
            </w:r>
          </w:p>
        </w:tc>
        <w:tc>
          <w:tcPr>
            <w:tcW w:w="306" w:type="pct"/>
            <w:textDirection w:val="tbRl"/>
            <w:vAlign w:val="center"/>
          </w:tcPr>
          <w:p w14:paraId="7A5DC244" w14:textId="77777777" w:rsidR="00074551" w:rsidRPr="00E50B51" w:rsidRDefault="00074551" w:rsidP="00367133">
            <w:pPr>
              <w:ind w:left="113" w:right="113"/>
              <w:jc w:val="both"/>
              <w:rPr>
                <w:sz w:val="20"/>
                <w:szCs w:val="20"/>
              </w:rPr>
            </w:pPr>
            <w:r>
              <w:rPr>
                <w:sz w:val="20"/>
                <w:szCs w:val="20"/>
              </w:rPr>
              <w:t>9. März 1841</w:t>
            </w:r>
          </w:p>
        </w:tc>
        <w:tc>
          <w:tcPr>
            <w:tcW w:w="401" w:type="pct"/>
          </w:tcPr>
          <w:p w14:paraId="79F2AA74" w14:textId="77777777" w:rsidR="00074551" w:rsidRPr="00E50B51" w:rsidRDefault="00074551" w:rsidP="00367133">
            <w:pPr>
              <w:jc w:val="center"/>
              <w:rPr>
                <w:sz w:val="20"/>
                <w:szCs w:val="20"/>
                <w:lang w:val="en-US"/>
              </w:rPr>
            </w:pPr>
            <w:r>
              <w:rPr>
                <w:sz w:val="20"/>
                <w:szCs w:val="20"/>
                <w:lang w:val="en-US"/>
              </w:rPr>
              <w:t>S</w:t>
            </w:r>
          </w:p>
        </w:tc>
        <w:tc>
          <w:tcPr>
            <w:tcW w:w="1594" w:type="pct"/>
          </w:tcPr>
          <w:p w14:paraId="6D8218CD" w14:textId="77777777" w:rsidR="00074551" w:rsidRPr="00072524" w:rsidRDefault="00074551" w:rsidP="00367133">
            <w:pPr>
              <w:rPr>
                <w:sz w:val="20"/>
                <w:szCs w:val="20"/>
              </w:rPr>
            </w:pPr>
            <w:r w:rsidRPr="00072524">
              <w:rPr>
                <w:sz w:val="20"/>
                <w:szCs w:val="20"/>
              </w:rPr>
              <w:t xml:space="preserve">Das Gericht hob die </w:t>
            </w:r>
            <w:proofErr w:type="spellStart"/>
            <w:r>
              <w:rPr>
                <w:sz w:val="20"/>
                <w:szCs w:val="20"/>
              </w:rPr>
              <w:t>vorinstanzielle</w:t>
            </w:r>
            <w:proofErr w:type="spellEnd"/>
            <w:r>
              <w:rPr>
                <w:sz w:val="20"/>
                <w:szCs w:val="20"/>
              </w:rPr>
              <w:t xml:space="preserve"> </w:t>
            </w:r>
            <w:r w:rsidRPr="00072524">
              <w:rPr>
                <w:sz w:val="20"/>
                <w:szCs w:val="20"/>
              </w:rPr>
              <w:t xml:space="preserve">Entscheidung auf, die </w:t>
            </w:r>
            <w:r>
              <w:rPr>
                <w:sz w:val="20"/>
                <w:szCs w:val="20"/>
              </w:rPr>
              <w:t>anordnete,</w:t>
            </w:r>
            <w:r w:rsidRPr="00072524">
              <w:rPr>
                <w:sz w:val="20"/>
                <w:szCs w:val="20"/>
              </w:rPr>
              <w:t xml:space="preserve"> </w:t>
            </w:r>
            <w:r>
              <w:rPr>
                <w:sz w:val="20"/>
                <w:szCs w:val="20"/>
              </w:rPr>
              <w:t>eine Gruppe von</w:t>
            </w:r>
            <w:r w:rsidRPr="00072524">
              <w:rPr>
                <w:sz w:val="20"/>
                <w:szCs w:val="20"/>
              </w:rPr>
              <w:t xml:space="preserve"> Sklaven nach Afrika</w:t>
            </w:r>
            <w:r>
              <w:rPr>
                <w:sz w:val="20"/>
                <w:szCs w:val="20"/>
              </w:rPr>
              <w:t xml:space="preserve"> zurückzuführen. Stattdessen mussten sie freigelassen werden. Im Fall traten </w:t>
            </w:r>
            <w:r w:rsidRPr="00072524">
              <w:rPr>
                <w:sz w:val="20"/>
                <w:szCs w:val="20"/>
              </w:rPr>
              <w:t xml:space="preserve">Bergungskräfte </w:t>
            </w:r>
            <w:r>
              <w:rPr>
                <w:sz w:val="20"/>
                <w:szCs w:val="20"/>
              </w:rPr>
              <w:t xml:space="preserve">als </w:t>
            </w:r>
            <w:r w:rsidRPr="00072524">
              <w:rPr>
                <w:sz w:val="20"/>
                <w:szCs w:val="20"/>
              </w:rPr>
              <w:t>Kläger</w:t>
            </w:r>
            <w:r>
              <w:rPr>
                <w:sz w:val="20"/>
                <w:szCs w:val="20"/>
              </w:rPr>
              <w:t xml:space="preserve"> auf</w:t>
            </w:r>
            <w:r w:rsidRPr="00072524">
              <w:rPr>
                <w:sz w:val="20"/>
                <w:szCs w:val="20"/>
              </w:rPr>
              <w:t>;</w:t>
            </w:r>
            <w:r>
              <w:rPr>
                <w:sz w:val="20"/>
                <w:szCs w:val="20"/>
              </w:rPr>
              <w:t xml:space="preserve"> ein</w:t>
            </w:r>
            <w:r w:rsidRPr="00072524">
              <w:rPr>
                <w:sz w:val="20"/>
                <w:szCs w:val="20"/>
              </w:rPr>
              <w:t xml:space="preserve"> Frachtbesitzer und </w:t>
            </w:r>
            <w:r>
              <w:rPr>
                <w:sz w:val="20"/>
                <w:szCs w:val="20"/>
              </w:rPr>
              <w:t xml:space="preserve">ein </w:t>
            </w:r>
            <w:r w:rsidRPr="00072524">
              <w:rPr>
                <w:sz w:val="20"/>
                <w:szCs w:val="20"/>
              </w:rPr>
              <w:t xml:space="preserve">Schiffseigner </w:t>
            </w:r>
            <w:r>
              <w:rPr>
                <w:sz w:val="20"/>
                <w:szCs w:val="20"/>
              </w:rPr>
              <w:t>waren</w:t>
            </w:r>
            <w:r w:rsidRPr="00072524">
              <w:rPr>
                <w:sz w:val="20"/>
                <w:szCs w:val="20"/>
              </w:rPr>
              <w:t xml:space="preserve"> </w:t>
            </w:r>
            <w:r>
              <w:rPr>
                <w:sz w:val="20"/>
                <w:szCs w:val="20"/>
              </w:rPr>
              <w:t xml:space="preserve">die </w:t>
            </w:r>
            <w:r w:rsidRPr="00072524">
              <w:rPr>
                <w:sz w:val="20"/>
                <w:szCs w:val="20"/>
              </w:rPr>
              <w:t>Beklagte</w:t>
            </w:r>
            <w:r>
              <w:rPr>
                <w:sz w:val="20"/>
                <w:szCs w:val="20"/>
              </w:rPr>
              <w:t>n</w:t>
            </w:r>
            <w:r w:rsidRPr="00072524">
              <w:rPr>
                <w:sz w:val="20"/>
                <w:szCs w:val="20"/>
              </w:rPr>
              <w:t xml:space="preserve">; die Vereinigten Staaten </w:t>
            </w:r>
            <w:r>
              <w:rPr>
                <w:sz w:val="20"/>
                <w:szCs w:val="20"/>
              </w:rPr>
              <w:t>intervenierten</w:t>
            </w:r>
            <w:r w:rsidRPr="00072524">
              <w:rPr>
                <w:sz w:val="20"/>
                <w:szCs w:val="20"/>
              </w:rPr>
              <w:t xml:space="preserve"> im Namen Spaniens.</w:t>
            </w:r>
            <w:r>
              <w:rPr>
                <w:sz w:val="20"/>
                <w:szCs w:val="20"/>
              </w:rPr>
              <w:t xml:space="preserve"> Zunächst hatten d</w:t>
            </w:r>
            <w:r w:rsidRPr="00072524">
              <w:rPr>
                <w:sz w:val="20"/>
                <w:szCs w:val="20"/>
              </w:rPr>
              <w:t>ie Bergungskräfte ein spanisches Schiff</w:t>
            </w:r>
            <w:r>
              <w:rPr>
                <w:sz w:val="20"/>
                <w:szCs w:val="20"/>
              </w:rPr>
              <w:t xml:space="preserve"> gerettet. Daraufhin </w:t>
            </w:r>
            <w:r w:rsidRPr="00072524">
              <w:rPr>
                <w:sz w:val="20"/>
                <w:szCs w:val="20"/>
              </w:rPr>
              <w:t xml:space="preserve">verlangten </w:t>
            </w:r>
            <w:r>
              <w:rPr>
                <w:sz w:val="20"/>
                <w:szCs w:val="20"/>
              </w:rPr>
              <w:t>sie L</w:t>
            </w:r>
            <w:r w:rsidRPr="00072524">
              <w:rPr>
                <w:sz w:val="20"/>
                <w:szCs w:val="20"/>
              </w:rPr>
              <w:t>ohn</w:t>
            </w:r>
            <w:r>
              <w:rPr>
                <w:sz w:val="20"/>
                <w:szCs w:val="20"/>
              </w:rPr>
              <w:t xml:space="preserve"> für die Bergung</w:t>
            </w:r>
            <w:r w:rsidRPr="00072524">
              <w:rPr>
                <w:sz w:val="20"/>
                <w:szCs w:val="20"/>
              </w:rPr>
              <w:t xml:space="preserve">. </w:t>
            </w:r>
            <w:r>
              <w:rPr>
                <w:sz w:val="20"/>
                <w:szCs w:val="20"/>
              </w:rPr>
              <w:t xml:space="preserve">Doch die </w:t>
            </w:r>
            <w:r w:rsidRPr="00072524">
              <w:rPr>
                <w:sz w:val="20"/>
                <w:szCs w:val="20"/>
              </w:rPr>
              <w:t>Vereinigten Staaten und die</w:t>
            </w:r>
            <w:r>
              <w:rPr>
                <w:sz w:val="20"/>
                <w:szCs w:val="20"/>
              </w:rPr>
              <w:t xml:space="preserve"> ursprünglichen</w:t>
            </w:r>
            <w:r w:rsidRPr="00072524">
              <w:rPr>
                <w:sz w:val="20"/>
                <w:szCs w:val="20"/>
              </w:rPr>
              <w:t xml:space="preserve"> Frachtbesitzer beriefen sich auf </w:t>
            </w:r>
            <w:r>
              <w:rPr>
                <w:sz w:val="20"/>
                <w:szCs w:val="20"/>
              </w:rPr>
              <w:t xml:space="preserve">einen völkerrechtlichen </w:t>
            </w:r>
            <w:r w:rsidRPr="00072524">
              <w:rPr>
                <w:sz w:val="20"/>
                <w:szCs w:val="20"/>
              </w:rPr>
              <w:t xml:space="preserve">Vertrag von 1819, </w:t>
            </w:r>
            <w:r>
              <w:rPr>
                <w:sz w:val="20"/>
                <w:szCs w:val="20"/>
              </w:rPr>
              <w:t>dort Art. </w:t>
            </w:r>
            <w:r w:rsidRPr="00072524">
              <w:rPr>
                <w:sz w:val="20"/>
                <w:szCs w:val="20"/>
              </w:rPr>
              <w:t>9</w:t>
            </w:r>
            <w:r>
              <w:rPr>
                <w:sz w:val="20"/>
                <w:szCs w:val="20"/>
              </w:rPr>
              <w:t>.</w:t>
            </w:r>
            <w:r>
              <w:rPr>
                <w:rStyle w:val="Funotenzeichen"/>
                <w:sz w:val="20"/>
                <w:szCs w:val="20"/>
              </w:rPr>
              <w:footnoteReference w:id="480"/>
            </w:r>
            <w:r>
              <w:rPr>
                <w:sz w:val="20"/>
                <w:szCs w:val="20"/>
              </w:rPr>
              <w:t xml:space="preserve"> Danach sei </w:t>
            </w:r>
            <w:r w:rsidRPr="00072524">
              <w:rPr>
                <w:sz w:val="20"/>
                <w:szCs w:val="20"/>
              </w:rPr>
              <w:t>die Ladung</w:t>
            </w:r>
            <w:r>
              <w:rPr>
                <w:sz w:val="20"/>
                <w:szCs w:val="20"/>
              </w:rPr>
              <w:t xml:space="preserve">, samt </w:t>
            </w:r>
            <w:r w:rsidRPr="00072524">
              <w:rPr>
                <w:sz w:val="20"/>
                <w:szCs w:val="20"/>
              </w:rPr>
              <w:t>Sklaven</w:t>
            </w:r>
            <w:r>
              <w:rPr>
                <w:sz w:val="20"/>
                <w:szCs w:val="20"/>
              </w:rPr>
              <w:t>, zurückzugeben</w:t>
            </w:r>
            <w:r w:rsidRPr="00072524">
              <w:rPr>
                <w:sz w:val="20"/>
                <w:szCs w:val="20"/>
              </w:rPr>
              <w:t xml:space="preserve">. Die Frachtbesitzer bestritten zudem </w:t>
            </w:r>
            <w:r>
              <w:rPr>
                <w:sz w:val="20"/>
                <w:szCs w:val="20"/>
              </w:rPr>
              <w:t>den</w:t>
            </w:r>
            <w:r w:rsidRPr="00072524">
              <w:rPr>
                <w:sz w:val="20"/>
                <w:szCs w:val="20"/>
              </w:rPr>
              <w:t xml:space="preserve"> Bergelohn. </w:t>
            </w:r>
            <w:r>
              <w:rPr>
                <w:sz w:val="20"/>
                <w:szCs w:val="20"/>
              </w:rPr>
              <w:t>Ein solcher sei nicht geregelt. Der U.S. Supreme Court</w:t>
            </w:r>
            <w:r w:rsidRPr="00072524">
              <w:rPr>
                <w:sz w:val="20"/>
                <w:szCs w:val="20"/>
              </w:rPr>
              <w:t xml:space="preserve"> bestätigte die</w:t>
            </w:r>
            <w:r>
              <w:rPr>
                <w:sz w:val="20"/>
                <w:szCs w:val="20"/>
              </w:rPr>
              <w:t xml:space="preserve">s – mit der Ausnahme, dass </w:t>
            </w:r>
            <w:r w:rsidRPr="00072524">
              <w:rPr>
                <w:sz w:val="20"/>
                <w:szCs w:val="20"/>
              </w:rPr>
              <w:t xml:space="preserve">die Sklaven </w:t>
            </w:r>
            <w:r>
              <w:rPr>
                <w:sz w:val="20"/>
                <w:szCs w:val="20"/>
              </w:rPr>
              <w:t xml:space="preserve">nicht </w:t>
            </w:r>
            <w:proofErr w:type="spellStart"/>
            <w:r>
              <w:rPr>
                <w:sz w:val="20"/>
                <w:szCs w:val="20"/>
              </w:rPr>
              <w:t>zurückzuübereignen</w:t>
            </w:r>
            <w:proofErr w:type="spellEnd"/>
            <w:r>
              <w:rPr>
                <w:sz w:val="20"/>
                <w:szCs w:val="20"/>
              </w:rPr>
              <w:t xml:space="preserve"> seien</w:t>
            </w:r>
            <w:r w:rsidRPr="00072524">
              <w:rPr>
                <w:sz w:val="20"/>
                <w:szCs w:val="20"/>
              </w:rPr>
              <w:t>. D</w:t>
            </w:r>
            <w:r>
              <w:rPr>
                <w:sz w:val="20"/>
                <w:szCs w:val="20"/>
              </w:rPr>
              <w:t>enn einerseits konnten die</w:t>
            </w:r>
            <w:r w:rsidRPr="00072524">
              <w:rPr>
                <w:sz w:val="20"/>
                <w:szCs w:val="20"/>
              </w:rPr>
              <w:t xml:space="preserve"> Frachtbesitzer nicht nachweisen, dass die Sklaven nach spanischem Recht als Eigentum angesehen wurden</w:t>
            </w:r>
            <w:r>
              <w:rPr>
                <w:sz w:val="20"/>
                <w:szCs w:val="20"/>
              </w:rPr>
              <w:t>, d</w:t>
            </w:r>
            <w:r w:rsidRPr="00072524">
              <w:rPr>
                <w:sz w:val="20"/>
                <w:szCs w:val="20"/>
              </w:rPr>
              <w:t xml:space="preserve">a Spanien den Sklavenhandel abgeschafft hatte. </w:t>
            </w:r>
            <w:r>
              <w:rPr>
                <w:sz w:val="20"/>
                <w:szCs w:val="20"/>
              </w:rPr>
              <w:t>Und d</w:t>
            </w:r>
            <w:r w:rsidRPr="00072524">
              <w:rPr>
                <w:sz w:val="20"/>
                <w:szCs w:val="20"/>
              </w:rPr>
              <w:t xml:space="preserve">ie Schiffsdokumente, die den Kauf der Sklaven in Kuba belegen sollten, wurden als </w:t>
            </w:r>
            <w:r>
              <w:rPr>
                <w:sz w:val="20"/>
                <w:szCs w:val="20"/>
              </w:rPr>
              <w:t>gefälscht betrachtet. Sie</w:t>
            </w:r>
            <w:r w:rsidRPr="00072524">
              <w:rPr>
                <w:sz w:val="20"/>
                <w:szCs w:val="20"/>
              </w:rPr>
              <w:t xml:space="preserve"> konnten </w:t>
            </w:r>
            <w:r>
              <w:rPr>
                <w:sz w:val="20"/>
                <w:szCs w:val="20"/>
              </w:rPr>
              <w:t xml:space="preserve">damit </w:t>
            </w:r>
            <w:r w:rsidRPr="00072524">
              <w:rPr>
                <w:sz w:val="20"/>
                <w:szCs w:val="20"/>
              </w:rPr>
              <w:t xml:space="preserve">nicht als Beweis dienen. </w:t>
            </w:r>
            <w:r>
              <w:rPr>
                <w:sz w:val="20"/>
                <w:szCs w:val="20"/>
              </w:rPr>
              <w:t>Entsprechend</w:t>
            </w:r>
            <w:r w:rsidRPr="00072524">
              <w:rPr>
                <w:sz w:val="20"/>
                <w:szCs w:val="20"/>
              </w:rPr>
              <w:t xml:space="preserve"> </w:t>
            </w:r>
            <w:r>
              <w:rPr>
                <w:sz w:val="20"/>
                <w:szCs w:val="20"/>
              </w:rPr>
              <w:t xml:space="preserve">konnte </w:t>
            </w:r>
            <w:r w:rsidRPr="00072524">
              <w:rPr>
                <w:sz w:val="20"/>
                <w:szCs w:val="20"/>
              </w:rPr>
              <w:t xml:space="preserve">der Vertrag von 1819 </w:t>
            </w:r>
            <w:r>
              <w:rPr>
                <w:sz w:val="20"/>
                <w:szCs w:val="20"/>
              </w:rPr>
              <w:t xml:space="preserve">zur Rückübereignung </w:t>
            </w:r>
            <w:r w:rsidRPr="00072524">
              <w:rPr>
                <w:sz w:val="20"/>
                <w:szCs w:val="20"/>
              </w:rPr>
              <w:t>nicht auf die Sklaven an</w:t>
            </w:r>
            <w:r>
              <w:rPr>
                <w:sz w:val="20"/>
                <w:szCs w:val="20"/>
              </w:rPr>
              <w:t>gewendet werden</w:t>
            </w:r>
            <w:r w:rsidRPr="00072524">
              <w:rPr>
                <w:sz w:val="20"/>
                <w:szCs w:val="20"/>
              </w:rPr>
              <w:t xml:space="preserve">. </w:t>
            </w:r>
            <w:r>
              <w:rPr>
                <w:sz w:val="20"/>
                <w:szCs w:val="20"/>
              </w:rPr>
              <w:t>Andererseits konnten</w:t>
            </w:r>
            <w:r w:rsidRPr="00072524">
              <w:rPr>
                <w:sz w:val="20"/>
                <w:szCs w:val="20"/>
              </w:rPr>
              <w:t xml:space="preserve"> sie </w:t>
            </w:r>
            <w:r>
              <w:rPr>
                <w:sz w:val="20"/>
                <w:szCs w:val="20"/>
              </w:rPr>
              <w:t xml:space="preserve">auch </w:t>
            </w:r>
            <w:r w:rsidRPr="00072524">
              <w:rPr>
                <w:sz w:val="20"/>
                <w:szCs w:val="20"/>
              </w:rPr>
              <w:t xml:space="preserve">nicht entgegen den US-Gesetzen </w:t>
            </w:r>
            <w:r>
              <w:rPr>
                <w:sz w:val="20"/>
                <w:szCs w:val="20"/>
              </w:rPr>
              <w:t>zurückgegeben</w:t>
            </w:r>
            <w:r w:rsidRPr="00072524">
              <w:rPr>
                <w:sz w:val="20"/>
                <w:szCs w:val="20"/>
              </w:rPr>
              <w:t xml:space="preserve"> w</w:t>
            </w:r>
            <w:r>
              <w:rPr>
                <w:sz w:val="20"/>
                <w:szCs w:val="20"/>
              </w:rPr>
              <w:t>erden.</w:t>
            </w:r>
            <w:r w:rsidRPr="00072524">
              <w:rPr>
                <w:sz w:val="20"/>
                <w:szCs w:val="20"/>
              </w:rPr>
              <w:t xml:space="preserve"> </w:t>
            </w:r>
            <w:r>
              <w:rPr>
                <w:sz w:val="20"/>
                <w:szCs w:val="20"/>
              </w:rPr>
              <w:t xml:space="preserve">Daher mussten sie </w:t>
            </w:r>
            <w:r w:rsidRPr="00072524">
              <w:rPr>
                <w:sz w:val="20"/>
                <w:szCs w:val="20"/>
              </w:rPr>
              <w:t>freigelassen werden.</w:t>
            </w:r>
            <w:r>
              <w:rPr>
                <w:sz w:val="20"/>
                <w:szCs w:val="20"/>
              </w:rPr>
              <w:t xml:space="preserve"> </w:t>
            </w:r>
            <w:r w:rsidRPr="00072524">
              <w:rPr>
                <w:sz w:val="20"/>
                <w:szCs w:val="20"/>
              </w:rPr>
              <w:t>D</w:t>
            </w:r>
            <w:r>
              <w:rPr>
                <w:sz w:val="20"/>
                <w:szCs w:val="20"/>
              </w:rPr>
              <w:t>er U.S. Supreme Court</w:t>
            </w:r>
            <w:r w:rsidRPr="00072524">
              <w:rPr>
                <w:sz w:val="20"/>
                <w:szCs w:val="20"/>
              </w:rPr>
              <w:t xml:space="preserve"> </w:t>
            </w:r>
            <w:r>
              <w:rPr>
                <w:sz w:val="20"/>
                <w:szCs w:val="20"/>
              </w:rPr>
              <w:t xml:space="preserve">traf </w:t>
            </w:r>
            <w:proofErr w:type="gramStart"/>
            <w:r>
              <w:rPr>
                <w:sz w:val="20"/>
                <w:szCs w:val="20"/>
              </w:rPr>
              <w:t>soweit</w:t>
            </w:r>
            <w:proofErr w:type="gramEnd"/>
            <w:r>
              <w:rPr>
                <w:sz w:val="20"/>
                <w:szCs w:val="20"/>
              </w:rPr>
              <w:t xml:space="preserve"> eine Entscheidung</w:t>
            </w:r>
            <w:r w:rsidRPr="00072524">
              <w:rPr>
                <w:sz w:val="20"/>
                <w:szCs w:val="20"/>
              </w:rPr>
              <w:t xml:space="preserve"> zugunsten der Bergungskräfte</w:t>
            </w:r>
            <w:r>
              <w:rPr>
                <w:sz w:val="20"/>
                <w:szCs w:val="20"/>
              </w:rPr>
              <w:t> –</w:t>
            </w:r>
            <w:r w:rsidRPr="00072524">
              <w:rPr>
                <w:sz w:val="20"/>
                <w:szCs w:val="20"/>
              </w:rPr>
              <w:t xml:space="preserve"> und gegen die Frachtbesitzer</w:t>
            </w:r>
            <w:r>
              <w:rPr>
                <w:sz w:val="20"/>
                <w:szCs w:val="20"/>
              </w:rPr>
              <w:t xml:space="preserve"> sowie</w:t>
            </w:r>
            <w:r w:rsidRPr="00072524">
              <w:rPr>
                <w:sz w:val="20"/>
                <w:szCs w:val="20"/>
              </w:rPr>
              <w:t xml:space="preserve"> die Vereinigten Staaten. E</w:t>
            </w:r>
            <w:r>
              <w:rPr>
                <w:sz w:val="20"/>
                <w:szCs w:val="20"/>
              </w:rPr>
              <w:t>r</w:t>
            </w:r>
            <w:r w:rsidRPr="00072524">
              <w:rPr>
                <w:sz w:val="20"/>
                <w:szCs w:val="20"/>
              </w:rPr>
              <w:t xml:space="preserve"> hob die Entscheidung auf, die die Rückführung der Sklaven anordnete, und ordnete deren Freilassung an.</w:t>
            </w:r>
            <w:r>
              <w:rPr>
                <w:rStyle w:val="Funotenzeichen"/>
                <w:sz w:val="20"/>
                <w:szCs w:val="20"/>
              </w:rPr>
              <w:footnoteReference w:id="481"/>
            </w:r>
          </w:p>
          <w:p w14:paraId="32FE69A2" w14:textId="77777777" w:rsidR="00074551" w:rsidRPr="00E50B51" w:rsidRDefault="00074551" w:rsidP="00367133">
            <w:pPr>
              <w:jc w:val="both"/>
              <w:rPr>
                <w:sz w:val="20"/>
                <w:szCs w:val="20"/>
              </w:rPr>
            </w:pPr>
          </w:p>
        </w:tc>
        <w:tc>
          <w:tcPr>
            <w:tcW w:w="1822" w:type="pct"/>
          </w:tcPr>
          <w:p w14:paraId="65273AC0" w14:textId="77777777" w:rsidR="00074551" w:rsidRPr="00B45592" w:rsidRDefault="00074551" w:rsidP="00367133">
            <w:pPr>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Relations with Government: International Law, Treaty Interpretation</w:t>
            </w:r>
          </w:p>
          <w:p w14:paraId="2D05BBDB" w14:textId="77777777" w:rsidR="00074551" w:rsidRPr="00FF4E5A" w:rsidRDefault="00074551" w:rsidP="00367133">
            <w:pPr>
              <w:rPr>
                <w:b/>
                <w:bCs/>
                <w:sz w:val="20"/>
                <w:szCs w:val="20"/>
                <w:lang w:val="en-US"/>
              </w:rPr>
            </w:pPr>
          </w:p>
          <w:p w14:paraId="50048DCF" w14:textId="77777777" w:rsidR="00074551" w:rsidRPr="0018316F" w:rsidRDefault="00074551" w:rsidP="00367133">
            <w:pPr>
              <w:rPr>
                <w:sz w:val="20"/>
                <w:szCs w:val="20"/>
              </w:rPr>
            </w:pPr>
            <w:r w:rsidRPr="0018316F">
              <w:rPr>
                <w:sz w:val="20"/>
                <w:szCs w:val="20"/>
              </w:rPr>
              <w:t xml:space="preserve">Der </w:t>
            </w:r>
            <w:r>
              <w:rPr>
                <w:sz w:val="20"/>
                <w:szCs w:val="20"/>
              </w:rPr>
              <w:t>U.S. Supreme Court</w:t>
            </w:r>
            <w:r w:rsidRPr="0018316F">
              <w:rPr>
                <w:sz w:val="20"/>
                <w:szCs w:val="20"/>
              </w:rPr>
              <w:t xml:space="preserve"> erklärt im Syllabus den völkerrechtlichen Vertrag von 1819</w:t>
            </w:r>
            <w:r>
              <w:rPr>
                <w:sz w:val="20"/>
                <w:szCs w:val="20"/>
              </w:rPr>
              <w:t xml:space="preserve"> und dessen</w:t>
            </w:r>
            <w:r w:rsidRPr="0018316F">
              <w:rPr>
                <w:sz w:val="20"/>
                <w:szCs w:val="20"/>
              </w:rPr>
              <w:t xml:space="preserve"> </w:t>
            </w:r>
            <w:r>
              <w:rPr>
                <w:sz w:val="20"/>
                <w:szCs w:val="20"/>
              </w:rPr>
              <w:t>Art. </w:t>
            </w:r>
            <w:r w:rsidRPr="0018316F">
              <w:rPr>
                <w:sz w:val="20"/>
                <w:szCs w:val="20"/>
              </w:rPr>
              <w:t>9</w:t>
            </w:r>
            <w:r>
              <w:rPr>
                <w:sz w:val="20"/>
                <w:szCs w:val="20"/>
              </w:rPr>
              <w:t>,</w:t>
            </w:r>
            <w:r w:rsidRPr="0018316F">
              <w:rPr>
                <w:sz w:val="20"/>
                <w:szCs w:val="20"/>
              </w:rPr>
              <w:t xml:space="preserve"> der regelt, unter welchen Voraussetzungen Waren zurückzugeben seien: Aber unter den Begriff der Waren könn</w:t>
            </w:r>
            <w:r>
              <w:rPr>
                <w:sz w:val="20"/>
                <w:szCs w:val="20"/>
              </w:rPr>
              <w:t>t</w:t>
            </w:r>
            <w:r w:rsidRPr="0018316F">
              <w:rPr>
                <w:sz w:val="20"/>
                <w:szCs w:val="20"/>
              </w:rPr>
              <w:t>en keine Sklaven fallen. Denn dies entspreche nicht den Auslegungsregel</w:t>
            </w:r>
            <w:r>
              <w:rPr>
                <w:sz w:val="20"/>
                <w:szCs w:val="20"/>
              </w:rPr>
              <w:t>n</w:t>
            </w:r>
            <w:r w:rsidRPr="0018316F">
              <w:rPr>
                <w:sz w:val="20"/>
                <w:szCs w:val="20"/>
              </w:rPr>
              <w:t>, die die Gerichte leiten soll</w:t>
            </w:r>
            <w:r>
              <w:rPr>
                <w:sz w:val="20"/>
                <w:szCs w:val="20"/>
              </w:rPr>
              <w:t>t</w:t>
            </w:r>
            <w:r w:rsidRPr="0018316F">
              <w:rPr>
                <w:sz w:val="20"/>
                <w:szCs w:val="20"/>
              </w:rPr>
              <w:t>en („</w:t>
            </w:r>
            <w:proofErr w:type="spellStart"/>
            <w:r w:rsidRPr="0018316F">
              <w:rPr>
                <w:sz w:val="20"/>
                <w:szCs w:val="20"/>
              </w:rPr>
              <w:t>interpretation</w:t>
            </w:r>
            <w:proofErr w:type="spellEnd"/>
            <w:r w:rsidRPr="0018316F">
              <w:rPr>
                <w:sz w:val="20"/>
                <w:szCs w:val="20"/>
              </w:rPr>
              <w:t xml:space="preserve"> </w:t>
            </w:r>
            <w:proofErr w:type="spellStart"/>
            <w:r w:rsidRPr="0018316F">
              <w:rPr>
                <w:sz w:val="20"/>
                <w:szCs w:val="20"/>
              </w:rPr>
              <w:t>which</w:t>
            </w:r>
            <w:proofErr w:type="spellEnd"/>
            <w:r w:rsidRPr="0018316F">
              <w:rPr>
                <w:sz w:val="20"/>
                <w:szCs w:val="20"/>
              </w:rPr>
              <w:t xml:space="preserve"> </w:t>
            </w:r>
            <w:proofErr w:type="spellStart"/>
            <w:r w:rsidRPr="0018316F">
              <w:rPr>
                <w:sz w:val="20"/>
                <w:szCs w:val="20"/>
              </w:rPr>
              <w:t>ought</w:t>
            </w:r>
            <w:proofErr w:type="spellEnd"/>
            <w:r w:rsidRPr="0018316F">
              <w:rPr>
                <w:sz w:val="20"/>
                <w:szCs w:val="20"/>
              </w:rPr>
              <w:t xml:space="preserve"> to </w:t>
            </w:r>
            <w:proofErr w:type="spellStart"/>
            <w:r w:rsidRPr="0018316F">
              <w:rPr>
                <w:sz w:val="20"/>
                <w:szCs w:val="20"/>
              </w:rPr>
              <w:t>govern</w:t>
            </w:r>
            <w:proofErr w:type="spellEnd"/>
            <w:r w:rsidRPr="0018316F">
              <w:rPr>
                <w:sz w:val="20"/>
                <w:szCs w:val="20"/>
              </w:rPr>
              <w:t xml:space="preserve"> </w:t>
            </w:r>
            <w:proofErr w:type="spellStart"/>
            <w:r w:rsidRPr="0018316F">
              <w:rPr>
                <w:sz w:val="20"/>
                <w:szCs w:val="20"/>
              </w:rPr>
              <w:t>our</w:t>
            </w:r>
            <w:proofErr w:type="spellEnd"/>
            <w:r w:rsidRPr="0018316F">
              <w:rPr>
                <w:sz w:val="20"/>
                <w:szCs w:val="20"/>
              </w:rPr>
              <w:t xml:space="preserve"> Courts“</w:t>
            </w:r>
            <w:r w:rsidRPr="0018316F">
              <w:rPr>
                <w:sz w:val="20"/>
                <w:szCs w:val="20"/>
                <w:vertAlign w:val="superscript"/>
              </w:rPr>
              <w:footnoteReference w:id="482"/>
            </w:r>
            <w:r w:rsidRPr="0018316F">
              <w:rPr>
                <w:sz w:val="20"/>
                <w:szCs w:val="20"/>
              </w:rPr>
              <w:t xml:space="preserve">). Das meint einerseits das Völkerrecht. Dieses gibt keinen Hinweis darauf, dass ein Eigentum an Menschen begründet werden könne. Und andererseits deutet auch das innerstaatliche Recht der USA auf nichts anderes </w:t>
            </w:r>
            <w:r>
              <w:rPr>
                <w:sz w:val="20"/>
                <w:szCs w:val="20"/>
              </w:rPr>
              <w:t>hin</w:t>
            </w:r>
            <w:r w:rsidRPr="0018316F">
              <w:rPr>
                <w:sz w:val="20"/>
                <w:szCs w:val="20"/>
              </w:rPr>
              <w:t xml:space="preserve">. Denn die Vereinigten Staaten basieren seit 1776 zuvorderst auf den Prinzipien der </w:t>
            </w:r>
            <w:r w:rsidRPr="00A142D9">
              <w:rPr>
                <w:i/>
                <w:sz w:val="20"/>
                <w:szCs w:val="20"/>
              </w:rPr>
              <w:t>Declaration of Independence</w:t>
            </w:r>
            <w:r w:rsidRPr="0018316F">
              <w:rPr>
                <w:sz w:val="20"/>
                <w:szCs w:val="20"/>
              </w:rPr>
              <w:t xml:space="preserve">. </w:t>
            </w:r>
            <w:r w:rsidRPr="00B45592">
              <w:rPr>
                <w:sz w:val="20"/>
                <w:szCs w:val="20"/>
                <w:lang w:val="en-IE"/>
              </w:rPr>
              <w:t>(„government of the United States is based on the principles promulgated in the Declaration of Independence“</w:t>
            </w:r>
            <w:r w:rsidRPr="0018316F">
              <w:rPr>
                <w:sz w:val="20"/>
                <w:szCs w:val="20"/>
                <w:vertAlign w:val="superscript"/>
                <w:lang w:val="en-US"/>
              </w:rPr>
              <w:footnoteReference w:id="483"/>
            </w:r>
            <w:r w:rsidRPr="00B45592">
              <w:rPr>
                <w:sz w:val="20"/>
                <w:szCs w:val="20"/>
                <w:lang w:val="en-IE"/>
              </w:rPr>
              <w:t xml:space="preserve">), die </w:t>
            </w:r>
            <w:proofErr w:type="spellStart"/>
            <w:r w:rsidRPr="00B45592">
              <w:rPr>
                <w:sz w:val="20"/>
                <w:szCs w:val="20"/>
                <w:lang w:val="en-IE"/>
              </w:rPr>
              <w:t>eine</w:t>
            </w:r>
            <w:proofErr w:type="spellEnd"/>
            <w:r w:rsidRPr="00B45592">
              <w:rPr>
                <w:sz w:val="20"/>
                <w:szCs w:val="20"/>
                <w:lang w:val="en-IE"/>
              </w:rPr>
              <w:t xml:space="preserve"> </w:t>
            </w:r>
            <w:proofErr w:type="spellStart"/>
            <w:r w:rsidRPr="00B45592">
              <w:rPr>
                <w:sz w:val="20"/>
                <w:szCs w:val="20"/>
                <w:lang w:val="en-IE"/>
              </w:rPr>
              <w:t>bindende</w:t>
            </w:r>
            <w:proofErr w:type="spellEnd"/>
            <w:r w:rsidRPr="00B45592">
              <w:rPr>
                <w:sz w:val="20"/>
                <w:szCs w:val="20"/>
                <w:lang w:val="en-IE"/>
              </w:rPr>
              <w:t xml:space="preserve"> </w:t>
            </w:r>
            <w:proofErr w:type="spellStart"/>
            <w:r w:rsidRPr="00B45592">
              <w:rPr>
                <w:sz w:val="20"/>
                <w:szCs w:val="20"/>
                <w:lang w:val="en-IE"/>
              </w:rPr>
              <w:t>Auslegung</w:t>
            </w:r>
            <w:proofErr w:type="spellEnd"/>
            <w:r w:rsidRPr="00B45592">
              <w:rPr>
                <w:sz w:val="20"/>
                <w:szCs w:val="20"/>
                <w:lang w:val="en-IE"/>
              </w:rPr>
              <w:t xml:space="preserve"> </w:t>
            </w:r>
            <w:proofErr w:type="spellStart"/>
            <w:r w:rsidRPr="00B45592">
              <w:rPr>
                <w:sz w:val="20"/>
                <w:szCs w:val="20"/>
                <w:lang w:val="en-IE"/>
              </w:rPr>
              <w:t>auch</w:t>
            </w:r>
            <w:proofErr w:type="spellEnd"/>
            <w:r w:rsidRPr="00B45592">
              <w:rPr>
                <w:sz w:val="20"/>
                <w:szCs w:val="20"/>
                <w:lang w:val="en-IE"/>
              </w:rPr>
              <w:t xml:space="preserve"> für die </w:t>
            </w:r>
            <w:proofErr w:type="spellStart"/>
            <w:r w:rsidRPr="00B45592">
              <w:rPr>
                <w:sz w:val="20"/>
                <w:szCs w:val="20"/>
                <w:lang w:val="en-IE"/>
              </w:rPr>
              <w:t>Gerichte</w:t>
            </w:r>
            <w:proofErr w:type="spellEnd"/>
            <w:r w:rsidRPr="00B45592">
              <w:rPr>
                <w:sz w:val="20"/>
                <w:szCs w:val="20"/>
                <w:lang w:val="en-IE"/>
              </w:rPr>
              <w:t xml:space="preserve"> </w:t>
            </w:r>
            <w:proofErr w:type="spellStart"/>
            <w:r w:rsidRPr="00B45592">
              <w:rPr>
                <w:sz w:val="20"/>
                <w:szCs w:val="20"/>
                <w:lang w:val="en-IE"/>
              </w:rPr>
              <w:t>vorgeben</w:t>
            </w:r>
            <w:proofErr w:type="spellEnd"/>
            <w:r w:rsidRPr="00B45592">
              <w:rPr>
                <w:sz w:val="20"/>
                <w:szCs w:val="20"/>
                <w:lang w:val="en-IE"/>
              </w:rPr>
              <w:t xml:space="preserve">. </w:t>
            </w:r>
            <w:r w:rsidRPr="0018316F">
              <w:rPr>
                <w:sz w:val="20"/>
                <w:szCs w:val="20"/>
              </w:rPr>
              <w:t xml:space="preserve">Diese laute u.a.: Alle Menschen </w:t>
            </w:r>
            <w:r>
              <w:rPr>
                <w:sz w:val="20"/>
                <w:szCs w:val="20"/>
              </w:rPr>
              <w:t xml:space="preserve">hätten </w:t>
            </w:r>
            <w:r w:rsidRPr="0018316F">
              <w:rPr>
                <w:sz w:val="20"/>
                <w:szCs w:val="20"/>
              </w:rPr>
              <w:t xml:space="preserve">das gleiche unveräußerliche Recht, nach Glück streben zu können. </w:t>
            </w:r>
            <w:r>
              <w:rPr>
                <w:sz w:val="20"/>
                <w:szCs w:val="20"/>
              </w:rPr>
              <w:t xml:space="preserve">Ein </w:t>
            </w:r>
            <w:r w:rsidRPr="0018316F">
              <w:rPr>
                <w:sz w:val="20"/>
                <w:szCs w:val="20"/>
              </w:rPr>
              <w:t>Eigentum an Menschen zu begründen, würde diese</w:t>
            </w:r>
            <w:r>
              <w:rPr>
                <w:sz w:val="20"/>
                <w:szCs w:val="20"/>
              </w:rPr>
              <w:t>m</w:t>
            </w:r>
            <w:r w:rsidRPr="0018316F">
              <w:rPr>
                <w:sz w:val="20"/>
                <w:szCs w:val="20"/>
              </w:rPr>
              <w:t xml:space="preserve"> Grundgedanken Amerikas schlicht entgegenstehen.</w:t>
            </w:r>
            <w:r w:rsidRPr="0018316F">
              <w:rPr>
                <w:sz w:val="20"/>
                <w:szCs w:val="20"/>
                <w:vertAlign w:val="superscript"/>
                <w:lang w:val="en-US"/>
              </w:rPr>
              <w:footnoteReference w:id="484"/>
            </w:r>
          </w:p>
          <w:p w14:paraId="59C12274" w14:textId="77777777" w:rsidR="00074551" w:rsidRDefault="00074551" w:rsidP="00367133">
            <w:pPr>
              <w:rPr>
                <w:sz w:val="20"/>
                <w:szCs w:val="20"/>
              </w:rPr>
            </w:pPr>
          </w:p>
          <w:p w14:paraId="61539754" w14:textId="77777777" w:rsidR="00074551" w:rsidRDefault="00074551" w:rsidP="00367133">
            <w:pPr>
              <w:jc w:val="both"/>
              <w:rPr>
                <w:sz w:val="20"/>
                <w:szCs w:val="20"/>
              </w:rPr>
            </w:pPr>
          </w:p>
        </w:tc>
      </w:tr>
      <w:tr w:rsidR="00074551" w:rsidRPr="00E50B51" w14:paraId="5AED51E5" w14:textId="77777777" w:rsidTr="006C6CE7">
        <w:trPr>
          <w:cantSplit/>
          <w:trHeight w:val="3175"/>
        </w:trPr>
        <w:tc>
          <w:tcPr>
            <w:tcW w:w="293" w:type="pct"/>
            <w:shd w:val="clear" w:color="auto" w:fill="E7E6E6" w:themeFill="background2"/>
          </w:tcPr>
          <w:p w14:paraId="04680FFC"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2739E527"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7318E241"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1CACD6B2" w14:textId="77777777" w:rsidR="00074551" w:rsidRPr="00E50B51" w:rsidRDefault="00074551" w:rsidP="00367133">
            <w:pPr>
              <w:ind w:left="113" w:right="113"/>
              <w:jc w:val="both"/>
              <w:rPr>
                <w:sz w:val="20"/>
                <w:szCs w:val="20"/>
                <w:lang w:val="en-US"/>
              </w:rPr>
            </w:pPr>
            <w:r w:rsidRPr="00E50B51">
              <w:rPr>
                <w:sz w:val="20"/>
                <w:szCs w:val="20"/>
                <w:lang w:val="en-US"/>
              </w:rPr>
              <w:t>Citizenship</w:t>
            </w:r>
          </w:p>
        </w:tc>
        <w:tc>
          <w:tcPr>
            <w:tcW w:w="306" w:type="pct"/>
            <w:shd w:val="clear" w:color="auto" w:fill="E7E6E6" w:themeFill="background2"/>
            <w:textDirection w:val="tbRl"/>
            <w:vAlign w:val="center"/>
          </w:tcPr>
          <w:p w14:paraId="2DB5208A" w14:textId="77777777" w:rsidR="00074551" w:rsidRPr="00E50B51" w:rsidRDefault="00074551" w:rsidP="00367133">
            <w:pPr>
              <w:ind w:left="113" w:right="113"/>
              <w:jc w:val="both"/>
              <w:rPr>
                <w:sz w:val="20"/>
                <w:szCs w:val="20"/>
                <w:lang w:val="en-US"/>
              </w:rPr>
            </w:pPr>
            <w:r w:rsidRPr="00E50B51">
              <w:rPr>
                <w:sz w:val="20"/>
                <w:szCs w:val="20"/>
                <w:lang w:val="en-US"/>
              </w:rPr>
              <w:t>Privileges and Immunities</w:t>
            </w:r>
          </w:p>
        </w:tc>
        <w:tc>
          <w:tcPr>
            <w:tcW w:w="401" w:type="pct"/>
            <w:shd w:val="clear" w:color="auto" w:fill="E7E6E6" w:themeFill="background2"/>
          </w:tcPr>
          <w:p w14:paraId="18AE189D"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69F307A3" w14:textId="77777777" w:rsidR="00074551" w:rsidRPr="00E50B51" w:rsidRDefault="00074551" w:rsidP="00367133">
            <w:pPr>
              <w:jc w:val="both"/>
              <w:rPr>
                <w:sz w:val="20"/>
                <w:szCs w:val="20"/>
                <w:lang w:val="en-US"/>
              </w:rPr>
            </w:pPr>
          </w:p>
        </w:tc>
        <w:tc>
          <w:tcPr>
            <w:tcW w:w="1822" w:type="pct"/>
            <w:shd w:val="clear" w:color="auto" w:fill="E7E6E6" w:themeFill="background2"/>
          </w:tcPr>
          <w:p w14:paraId="2B78F8CB" w14:textId="04E20983" w:rsidR="00074551" w:rsidRPr="006C6CE7" w:rsidRDefault="00A15DB3" w:rsidP="006C6CE7">
            <w:pPr>
              <w:rPr>
                <w:sz w:val="20"/>
                <w:szCs w:val="20"/>
              </w:rPr>
            </w:pPr>
            <w:r w:rsidRPr="00A15DB3">
              <w:rPr>
                <w:i/>
                <w:iCs/>
                <w:sz w:val="16"/>
                <w:szCs w:val="20"/>
              </w:rPr>
              <w:t>Thematische Gliederung der nachfolgenden Entscheidungen ↓</w:t>
            </w:r>
          </w:p>
        </w:tc>
      </w:tr>
      <w:tr w:rsidR="00074551" w:rsidRPr="00E50B51" w14:paraId="62E6229A" w14:textId="77777777" w:rsidTr="00BE689F">
        <w:trPr>
          <w:cantSplit/>
          <w:trHeight w:val="3175"/>
        </w:trPr>
        <w:tc>
          <w:tcPr>
            <w:tcW w:w="293" w:type="pct"/>
          </w:tcPr>
          <w:p w14:paraId="5D6BA956"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064C3EB5" w14:textId="77777777" w:rsidR="00074551" w:rsidRPr="00B45592" w:rsidRDefault="00074551" w:rsidP="00367133">
            <w:pPr>
              <w:ind w:left="113" w:right="113"/>
              <w:jc w:val="both"/>
              <w:rPr>
                <w:i/>
                <w:sz w:val="20"/>
                <w:szCs w:val="20"/>
                <w:lang w:val="en-US"/>
              </w:rPr>
            </w:pPr>
            <w:r w:rsidRPr="00B45592">
              <w:rPr>
                <w:i/>
                <w:sz w:val="20"/>
                <w:szCs w:val="20"/>
                <w:lang w:val="en-US"/>
              </w:rPr>
              <w:t>Baldwin v. Fish &amp; Game Comm’n</w:t>
            </w:r>
          </w:p>
        </w:tc>
        <w:tc>
          <w:tcPr>
            <w:tcW w:w="197" w:type="pct"/>
            <w:textDirection w:val="tbRl"/>
            <w:vAlign w:val="center"/>
          </w:tcPr>
          <w:p w14:paraId="360E5FE6" w14:textId="77777777" w:rsidR="00074551" w:rsidRPr="00E50B51" w:rsidRDefault="00074551" w:rsidP="00367133">
            <w:pPr>
              <w:ind w:left="113" w:right="113"/>
              <w:jc w:val="both"/>
              <w:rPr>
                <w:sz w:val="20"/>
                <w:szCs w:val="20"/>
                <w:lang w:val="en-US"/>
              </w:rPr>
            </w:pPr>
            <w:r w:rsidRPr="00E50B51">
              <w:rPr>
                <w:sz w:val="20"/>
                <w:szCs w:val="20"/>
                <w:lang w:val="en-US"/>
              </w:rPr>
              <w:t>436 U.S. 371</w:t>
            </w:r>
          </w:p>
        </w:tc>
        <w:tc>
          <w:tcPr>
            <w:tcW w:w="306" w:type="pct"/>
            <w:textDirection w:val="tbRl"/>
            <w:vAlign w:val="center"/>
          </w:tcPr>
          <w:p w14:paraId="6081D298" w14:textId="77777777" w:rsidR="00074551" w:rsidRPr="00E50B51" w:rsidRDefault="00074551" w:rsidP="00367133">
            <w:pPr>
              <w:ind w:left="113" w:right="113"/>
              <w:jc w:val="both"/>
              <w:rPr>
                <w:sz w:val="20"/>
                <w:szCs w:val="20"/>
              </w:rPr>
            </w:pPr>
            <w:r w:rsidRPr="00E50B51">
              <w:rPr>
                <w:sz w:val="20"/>
                <w:szCs w:val="20"/>
              </w:rPr>
              <w:t>23. Mai 1975</w:t>
            </w:r>
          </w:p>
        </w:tc>
        <w:tc>
          <w:tcPr>
            <w:tcW w:w="401" w:type="pct"/>
          </w:tcPr>
          <w:p w14:paraId="6F78FB77"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0F53F3CD" w14:textId="105155E0" w:rsidR="00074551" w:rsidRPr="00AF05E9" w:rsidRDefault="00074551" w:rsidP="00367133">
            <w:pPr>
              <w:jc w:val="both"/>
              <w:rPr>
                <w:sz w:val="20"/>
                <w:szCs w:val="20"/>
              </w:rPr>
            </w:pPr>
            <w:r w:rsidRPr="00E50B51">
              <w:rPr>
                <w:sz w:val="20"/>
                <w:szCs w:val="20"/>
              </w:rPr>
              <w:t xml:space="preserve">Im Fall ging es um </w:t>
            </w:r>
            <w:r>
              <w:rPr>
                <w:sz w:val="20"/>
                <w:szCs w:val="20"/>
              </w:rPr>
              <w:t xml:space="preserve">ein </w:t>
            </w:r>
            <w:r w:rsidRPr="00E50B51">
              <w:rPr>
                <w:sz w:val="20"/>
                <w:szCs w:val="20"/>
              </w:rPr>
              <w:t>Lizenzsystem für Elchjäger in Montana</w:t>
            </w:r>
            <w:r>
              <w:rPr>
                <w:sz w:val="20"/>
                <w:szCs w:val="20"/>
              </w:rPr>
              <w:t>. Das System forderte von</w:t>
            </w:r>
            <w:r w:rsidRPr="00E50B51">
              <w:rPr>
                <w:sz w:val="20"/>
                <w:szCs w:val="20"/>
              </w:rPr>
              <w:t xml:space="preserve"> Gebietsfremden eine erhöhte Gebühr für eine Jagderlaubnis. Da</w:t>
            </w:r>
            <w:r>
              <w:rPr>
                <w:sz w:val="20"/>
                <w:szCs w:val="20"/>
              </w:rPr>
              <w:t xml:space="preserve">zu </w:t>
            </w:r>
            <w:r w:rsidRPr="00E50B51">
              <w:rPr>
                <w:sz w:val="20"/>
                <w:szCs w:val="20"/>
              </w:rPr>
              <w:t xml:space="preserve">verneinte der </w:t>
            </w:r>
            <w:r>
              <w:rPr>
                <w:sz w:val="20"/>
                <w:szCs w:val="20"/>
              </w:rPr>
              <w:t>U.S. Supreme Court</w:t>
            </w:r>
            <w:r w:rsidRPr="00E50B51">
              <w:rPr>
                <w:sz w:val="20"/>
                <w:szCs w:val="20"/>
              </w:rPr>
              <w:t xml:space="preserve"> die Frage, ob das Gesetz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E50B51">
              <w:rPr>
                <w:sz w:val="20"/>
                <w:szCs w:val="20"/>
              </w:rPr>
              <w:t xml:space="preserve"> verletze. Denn 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w:t>
            </w:r>
            <w:r>
              <w:rPr>
                <w:sz w:val="20"/>
                <w:szCs w:val="20"/>
              </w:rPr>
              <w:t xml:space="preserve">nach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E50B51">
              <w:rPr>
                <w:sz w:val="20"/>
                <w:szCs w:val="20"/>
              </w:rPr>
              <w:t xml:space="preserve"> sei nur anwendbar</w:t>
            </w:r>
            <w:r>
              <w:rPr>
                <w:sz w:val="20"/>
                <w:szCs w:val="20"/>
              </w:rPr>
              <w:t xml:space="preserve"> bei Aktivitäten</w:t>
            </w:r>
            <w:r w:rsidRPr="00E50B51">
              <w:rPr>
                <w:sz w:val="20"/>
                <w:szCs w:val="20"/>
              </w:rPr>
              <w:t>, die die Nation als Einheit betr</w:t>
            </w:r>
            <w:r>
              <w:rPr>
                <w:sz w:val="20"/>
                <w:szCs w:val="20"/>
              </w:rPr>
              <w:t>ä</w:t>
            </w:r>
            <w:r w:rsidRPr="00E50B51">
              <w:rPr>
                <w:sz w:val="20"/>
                <w:szCs w:val="20"/>
              </w:rPr>
              <w:t>fen („</w:t>
            </w:r>
            <w:proofErr w:type="spellStart"/>
            <w:r w:rsidRPr="00E50B51">
              <w:rPr>
                <w:sz w:val="20"/>
                <w:szCs w:val="20"/>
              </w:rPr>
              <w:t>vitality</w:t>
            </w:r>
            <w:proofErr w:type="spellEnd"/>
            <w:r w:rsidRPr="00E50B51">
              <w:rPr>
                <w:sz w:val="20"/>
                <w:szCs w:val="20"/>
              </w:rPr>
              <w:t xml:space="preserve"> of the </w:t>
            </w:r>
            <w:proofErr w:type="spellStart"/>
            <w:r w:rsidRPr="00E50B51">
              <w:rPr>
                <w:sz w:val="20"/>
                <w:szCs w:val="20"/>
              </w:rPr>
              <w:t>nation</w:t>
            </w:r>
            <w:proofErr w:type="spellEnd"/>
            <w:r w:rsidRPr="00E50B51">
              <w:rPr>
                <w:sz w:val="20"/>
                <w:szCs w:val="20"/>
              </w:rPr>
              <w:t xml:space="preserve"> as a </w:t>
            </w:r>
            <w:proofErr w:type="spellStart"/>
            <w:r w:rsidRPr="00E50B51">
              <w:rPr>
                <w:sz w:val="20"/>
                <w:szCs w:val="20"/>
              </w:rPr>
              <w:t>single</w:t>
            </w:r>
            <w:proofErr w:type="spellEnd"/>
            <w:r w:rsidRPr="00E50B51">
              <w:rPr>
                <w:sz w:val="20"/>
                <w:szCs w:val="20"/>
              </w:rPr>
              <w:t xml:space="preserve"> </w:t>
            </w:r>
            <w:proofErr w:type="spellStart"/>
            <w:r w:rsidRPr="00E50B51">
              <w:rPr>
                <w:sz w:val="20"/>
                <w:szCs w:val="20"/>
              </w:rPr>
              <w:t>entity</w:t>
            </w:r>
            <w:proofErr w:type="spellEnd"/>
            <w:r w:rsidRPr="00E50B51">
              <w:rPr>
                <w:sz w:val="20"/>
                <w:szCs w:val="20"/>
              </w:rPr>
              <w:t>“</w:t>
            </w:r>
            <w:r w:rsidRPr="00E50B51">
              <w:rPr>
                <w:rStyle w:val="Funotenzeichen"/>
                <w:rFonts w:eastAsiaTheme="majorEastAsia"/>
                <w:sz w:val="20"/>
                <w:szCs w:val="20"/>
              </w:rPr>
              <w:footnoteReference w:id="485"/>
            </w:r>
            <w:r w:rsidRPr="00E50B51">
              <w:rPr>
                <w:sz w:val="20"/>
                <w:szCs w:val="20"/>
              </w:rPr>
              <w:t xml:space="preserve">). Da die Elchjagd eine Freizeitbeschäftigung und nicht grundlegend für </w:t>
            </w:r>
            <w:r>
              <w:rPr>
                <w:sz w:val="20"/>
                <w:szCs w:val="20"/>
              </w:rPr>
              <w:t xml:space="preserve">die </w:t>
            </w:r>
            <w:r w:rsidRPr="00E50B51">
              <w:rPr>
                <w:sz w:val="20"/>
                <w:szCs w:val="20"/>
              </w:rPr>
              <w:t xml:space="preserve">Nation als Einheit sei, finde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E50B51">
              <w:rPr>
                <w:sz w:val="20"/>
                <w:szCs w:val="20"/>
              </w:rPr>
              <w:t xml:space="preserve"> keine Anwendung. Im Detail bestätigte der </w:t>
            </w:r>
            <w:r>
              <w:rPr>
                <w:sz w:val="20"/>
                <w:szCs w:val="20"/>
              </w:rPr>
              <w:t>U.S. Supreme Court</w:t>
            </w:r>
            <w:r w:rsidRPr="00E50B51">
              <w:rPr>
                <w:sz w:val="20"/>
                <w:szCs w:val="20"/>
              </w:rPr>
              <w:t xml:space="preserve"> das Urteil des </w:t>
            </w:r>
            <w:r w:rsidRPr="00B45592">
              <w:rPr>
                <w:i/>
                <w:sz w:val="20"/>
                <w:szCs w:val="20"/>
              </w:rPr>
              <w:t xml:space="preserve">U.S. </w:t>
            </w:r>
            <w:proofErr w:type="spellStart"/>
            <w:r w:rsidRPr="00B45592">
              <w:rPr>
                <w:i/>
                <w:sz w:val="20"/>
                <w:szCs w:val="20"/>
              </w:rPr>
              <w:t>District</w:t>
            </w:r>
            <w:proofErr w:type="spellEnd"/>
            <w:r w:rsidRPr="00B45592">
              <w:rPr>
                <w:i/>
                <w:sz w:val="20"/>
                <w:szCs w:val="20"/>
              </w:rPr>
              <w:t xml:space="preserve"> Court for the </w:t>
            </w:r>
            <w:proofErr w:type="spellStart"/>
            <w:r w:rsidRPr="00B45592">
              <w:rPr>
                <w:i/>
                <w:sz w:val="20"/>
                <w:szCs w:val="20"/>
              </w:rPr>
              <w:t>District</w:t>
            </w:r>
            <w:proofErr w:type="spellEnd"/>
            <w:r w:rsidRPr="00B45592">
              <w:rPr>
                <w:i/>
                <w:sz w:val="20"/>
                <w:szCs w:val="20"/>
              </w:rPr>
              <w:t xml:space="preserve"> of Montana</w:t>
            </w:r>
            <w:r w:rsidRPr="00E50B51">
              <w:rPr>
                <w:sz w:val="20"/>
                <w:szCs w:val="20"/>
              </w:rPr>
              <w:t>, welches alle Ansprüche eines Einwohners und mehrerer Nicht-Einwohner als Kläger gegen die beklagte staatliche Fisch- und Wildkommission abwies. Die Kläger hatten das Lizenzierungssystem für die Elchjagd in Montana angefochten. D</w:t>
            </w:r>
            <w:r>
              <w:rPr>
                <w:sz w:val="20"/>
                <w:szCs w:val="20"/>
              </w:rPr>
              <w:t>enn d</w:t>
            </w:r>
            <w:r w:rsidRPr="00E50B51">
              <w:rPr>
                <w:sz w:val="20"/>
                <w:szCs w:val="20"/>
              </w:rPr>
              <w:t>ie Kläger als Nicht</w:t>
            </w:r>
            <w:r>
              <w:rPr>
                <w:sz w:val="20"/>
                <w:szCs w:val="20"/>
              </w:rPr>
              <w:t>e</w:t>
            </w:r>
            <w:r w:rsidRPr="00E50B51">
              <w:rPr>
                <w:sz w:val="20"/>
                <w:szCs w:val="20"/>
              </w:rPr>
              <w:t xml:space="preserve">inwohner Montanas zahlten </w:t>
            </w:r>
            <w:r>
              <w:rPr>
                <w:sz w:val="20"/>
                <w:szCs w:val="20"/>
              </w:rPr>
              <w:t>höhere</w:t>
            </w:r>
            <w:r w:rsidRPr="00E50B51">
              <w:rPr>
                <w:sz w:val="20"/>
                <w:szCs w:val="20"/>
              </w:rPr>
              <w:t xml:space="preserve"> Gebühren für Jagdlizenzen</w:t>
            </w:r>
            <w:r>
              <w:rPr>
                <w:sz w:val="20"/>
                <w:szCs w:val="20"/>
              </w:rPr>
              <w:t xml:space="preserve"> und </w:t>
            </w:r>
            <w:r w:rsidRPr="00E50B51">
              <w:rPr>
                <w:sz w:val="20"/>
                <w:szCs w:val="20"/>
              </w:rPr>
              <w:t>reichten daher Klage ein. In d</w:t>
            </w:r>
            <w:r>
              <w:rPr>
                <w:sz w:val="20"/>
                <w:szCs w:val="20"/>
              </w:rPr>
              <w:t>ieser</w:t>
            </w:r>
            <w:r w:rsidRPr="00E50B51">
              <w:rPr>
                <w:sz w:val="20"/>
                <w:szCs w:val="20"/>
              </w:rPr>
              <w:t xml:space="preserve"> behaupteten sie, die unterschiedliche Gebührenstruktur verstoße gegen 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w:t>
            </w:r>
            <w:r>
              <w:rPr>
                <w:sz w:val="20"/>
                <w:szCs w:val="20"/>
              </w:rPr>
              <w:t xml:space="preserve">nach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45592">
              <w:rPr>
                <w:sz w:val="20"/>
                <w:szCs w:val="20"/>
                <w:lang w:val="en-IE"/>
              </w:rPr>
              <w:t xml:space="preserve"> und die </w:t>
            </w:r>
            <w:r w:rsidRPr="00B45592">
              <w:rPr>
                <w:i/>
                <w:sz w:val="20"/>
                <w:szCs w:val="20"/>
                <w:lang w:val="en-IE"/>
              </w:rPr>
              <w:t>Equal Protection Clause</w:t>
            </w:r>
            <w:r w:rsidRPr="00B45592">
              <w:rPr>
                <w:sz w:val="20"/>
                <w:szCs w:val="20"/>
                <w:lang w:val="en-IE"/>
              </w:rPr>
              <w:t xml:space="preserve"> </w:t>
            </w:r>
            <w:proofErr w:type="spellStart"/>
            <w:r w:rsidRPr="00B45592">
              <w:rPr>
                <w:sz w:val="20"/>
                <w:szCs w:val="20"/>
                <w:lang w:val="en-IE"/>
              </w:rPr>
              <w:t>nach</w:t>
            </w:r>
            <w:proofErr w:type="spellEnd"/>
            <w:r w:rsidRPr="00B45592">
              <w:rPr>
                <w:sz w:val="20"/>
                <w:szCs w:val="20"/>
                <w:lang w:val="en-IE"/>
              </w:rPr>
              <w:t xml:space="preserve"> </w:t>
            </w:r>
            <w:r w:rsidR="00023A37">
              <w:rPr>
                <w:sz w:val="20"/>
                <w:szCs w:val="20"/>
                <w:lang w:val="en-IE"/>
              </w:rPr>
              <w:t>U.S. Const. amend. XIV.</w:t>
            </w:r>
            <w:r w:rsidRPr="00B45592">
              <w:rPr>
                <w:sz w:val="20"/>
                <w:szCs w:val="20"/>
                <w:lang w:val="en-IE"/>
              </w:rPr>
              <w:t xml:space="preserve"> </w:t>
            </w:r>
            <w:r w:rsidRPr="00E50B51">
              <w:rPr>
                <w:sz w:val="20"/>
                <w:szCs w:val="20"/>
              </w:rPr>
              <w:t xml:space="preserve">Der </w:t>
            </w:r>
            <w:r>
              <w:rPr>
                <w:sz w:val="20"/>
                <w:szCs w:val="20"/>
              </w:rPr>
              <w:t>U.S. Supreme Court</w:t>
            </w:r>
            <w:r w:rsidRPr="00E50B51">
              <w:rPr>
                <w:sz w:val="20"/>
                <w:szCs w:val="20"/>
              </w:rPr>
              <w:t xml:space="preserve"> folgerte</w:t>
            </w:r>
            <w:r>
              <w:rPr>
                <w:sz w:val="20"/>
                <w:szCs w:val="20"/>
              </w:rPr>
              <w:t xml:space="preserve"> aber: Das </w:t>
            </w:r>
            <w:r w:rsidRPr="00E50B51">
              <w:rPr>
                <w:sz w:val="20"/>
                <w:szCs w:val="20"/>
              </w:rPr>
              <w:t>Interesse der Nicht-Einwohner</w:t>
            </w:r>
            <w:r>
              <w:rPr>
                <w:sz w:val="20"/>
                <w:szCs w:val="20"/>
              </w:rPr>
              <w:t>, d</w:t>
            </w:r>
            <w:r w:rsidRPr="00E50B51">
              <w:rPr>
                <w:sz w:val="20"/>
                <w:szCs w:val="20"/>
              </w:rPr>
              <w:t>ie Ressource Elch unter gleichberechtig</w:t>
            </w:r>
            <w:r>
              <w:rPr>
                <w:sz w:val="20"/>
                <w:szCs w:val="20"/>
              </w:rPr>
              <w:t>t</w:t>
            </w:r>
            <w:r w:rsidRPr="00E50B51">
              <w:rPr>
                <w:sz w:val="20"/>
                <w:szCs w:val="20"/>
              </w:rPr>
              <w:t>en Bedingungen jagen</w:t>
            </w:r>
            <w:r>
              <w:rPr>
                <w:sz w:val="20"/>
                <w:szCs w:val="20"/>
              </w:rPr>
              <w:t xml:space="preserve"> zu können, </w:t>
            </w:r>
            <w:r w:rsidRPr="00E50B51">
              <w:rPr>
                <w:sz w:val="20"/>
                <w:szCs w:val="20"/>
              </w:rPr>
              <w:t xml:space="preserve">falle nicht unter den Schutz der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Der gleiche Zugang zur Elchjagd sei nicht grundlegend für die Erhaltung oder das Wohlergehen der Union</w:t>
            </w:r>
            <w:r>
              <w:rPr>
                <w:sz w:val="20"/>
                <w:szCs w:val="20"/>
              </w:rPr>
              <w:t xml:space="preserve"> bzw. der Nation</w:t>
            </w:r>
            <w:r w:rsidRPr="00E50B51">
              <w:rPr>
                <w:sz w:val="20"/>
                <w:szCs w:val="20"/>
              </w:rPr>
              <w:t xml:space="preserve">, was aber Sinn und Zweck des </w:t>
            </w:r>
            <w:r>
              <w:rPr>
                <w:sz w:val="20"/>
                <w:szCs w:val="20"/>
              </w:rPr>
              <w:t xml:space="preserve">genannten </w:t>
            </w:r>
            <w:r w:rsidRPr="00E50B51">
              <w:rPr>
                <w:sz w:val="20"/>
                <w:szCs w:val="20"/>
              </w:rPr>
              <w:t xml:space="preserve">Amendments sei. Damit gehöre die Elchjagd durch Nicht-Einwohner nicht zu den unter der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geschützten fundamentalen Rechte. Die Entscheidung des Bundesstaats sei vielmehr ein wirtschaftspolitisches Mittel, um eine begrenzte Ressource zu erhalten. Ein wesentliches Regulierungsinteresse des Staates liege vor</w:t>
            </w:r>
            <w:r>
              <w:rPr>
                <w:sz w:val="20"/>
                <w:szCs w:val="20"/>
              </w:rPr>
              <w:t>, nämlich d</w:t>
            </w:r>
            <w:r w:rsidRPr="00E50B51">
              <w:rPr>
                <w:sz w:val="20"/>
                <w:szCs w:val="20"/>
              </w:rPr>
              <w:t xml:space="preserve">ie Elchjagd zu </w:t>
            </w:r>
            <w:r w:rsidRPr="00A3333F">
              <w:rPr>
                <w:sz w:val="20"/>
                <w:szCs w:val="20"/>
              </w:rPr>
              <w:t>begrenzen.</w:t>
            </w:r>
            <w:r w:rsidRPr="00A3333F">
              <w:rPr>
                <w:rStyle w:val="Funotenzeichen"/>
                <w:sz w:val="20"/>
                <w:szCs w:val="20"/>
              </w:rPr>
              <w:footnoteReference w:id="486"/>
            </w:r>
            <w:r>
              <w:rPr>
                <w:sz w:val="20"/>
                <w:szCs w:val="20"/>
              </w:rPr>
              <w:t xml:space="preserve"> Auf </w:t>
            </w:r>
            <w:r w:rsidRPr="00AF05E9">
              <w:rPr>
                <w:sz w:val="20"/>
                <w:szCs w:val="20"/>
              </w:rPr>
              <w:t xml:space="preserve">die </w:t>
            </w:r>
            <w:proofErr w:type="spellStart"/>
            <w:r w:rsidRPr="00A142D9">
              <w:rPr>
                <w:i/>
                <w:sz w:val="20"/>
                <w:szCs w:val="20"/>
              </w:rPr>
              <w:t>Equal</w:t>
            </w:r>
            <w:proofErr w:type="spellEnd"/>
            <w:r w:rsidRPr="00A142D9">
              <w:rPr>
                <w:i/>
                <w:sz w:val="20"/>
                <w:szCs w:val="20"/>
              </w:rPr>
              <w:t xml:space="preserve"> </w:t>
            </w:r>
            <w:proofErr w:type="spellStart"/>
            <w:r w:rsidRPr="00A142D9">
              <w:rPr>
                <w:i/>
                <w:sz w:val="20"/>
                <w:szCs w:val="20"/>
              </w:rPr>
              <w:t>Protection</w:t>
            </w:r>
            <w:proofErr w:type="spellEnd"/>
            <w:r w:rsidRPr="00A142D9">
              <w:rPr>
                <w:i/>
                <w:sz w:val="20"/>
                <w:szCs w:val="20"/>
              </w:rPr>
              <w:t xml:space="preserve"> </w:t>
            </w:r>
            <w:proofErr w:type="spellStart"/>
            <w:r w:rsidRPr="00A142D9">
              <w:rPr>
                <w:i/>
                <w:sz w:val="20"/>
                <w:szCs w:val="20"/>
              </w:rPr>
              <w:t>Clause</w:t>
            </w:r>
            <w:proofErr w:type="spellEnd"/>
            <w:r w:rsidRPr="00AF05E9">
              <w:rPr>
                <w:sz w:val="20"/>
                <w:szCs w:val="20"/>
              </w:rPr>
              <w:t xml:space="preserve"> komme es damit nicht mehr an.</w:t>
            </w:r>
            <w:r w:rsidRPr="00E50B51">
              <w:rPr>
                <w:rStyle w:val="Funotenzeichen"/>
                <w:rFonts w:eastAsiaTheme="majorEastAsia"/>
                <w:sz w:val="20"/>
                <w:szCs w:val="20"/>
              </w:rPr>
              <w:footnoteReference w:id="487"/>
            </w:r>
          </w:p>
          <w:p w14:paraId="22BCC4C9" w14:textId="77777777" w:rsidR="00074551" w:rsidRPr="00E50B51" w:rsidRDefault="00074551" w:rsidP="00367133">
            <w:pPr>
              <w:jc w:val="both"/>
              <w:rPr>
                <w:sz w:val="20"/>
                <w:szCs w:val="20"/>
              </w:rPr>
            </w:pPr>
          </w:p>
        </w:tc>
        <w:tc>
          <w:tcPr>
            <w:tcW w:w="1822" w:type="pct"/>
          </w:tcPr>
          <w:p w14:paraId="3ED6072C" w14:textId="40F15D10" w:rsidR="00074551" w:rsidRPr="00A3333F" w:rsidRDefault="00074551" w:rsidP="00367133">
            <w:pPr>
              <w:jc w:val="both"/>
              <w:rPr>
                <w:sz w:val="20"/>
                <w:szCs w:val="20"/>
              </w:rPr>
            </w:pPr>
            <w:r w:rsidRPr="00A3333F">
              <w:rPr>
                <w:sz w:val="20"/>
                <w:szCs w:val="20"/>
              </w:rPr>
              <w:t xml:space="preserve">Der </w:t>
            </w:r>
            <w:r>
              <w:rPr>
                <w:sz w:val="20"/>
                <w:szCs w:val="20"/>
              </w:rPr>
              <w:t>U.S. Supreme Court</w:t>
            </w:r>
            <w:r w:rsidRPr="00A3333F">
              <w:rPr>
                <w:sz w:val="20"/>
                <w:szCs w:val="20"/>
              </w:rPr>
              <w:t xml:space="preserve"> grenzte 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w:t>
            </w:r>
            <w:r w:rsidRPr="00A3333F">
              <w:rPr>
                <w:sz w:val="20"/>
                <w:szCs w:val="20"/>
              </w:rPr>
              <w:t xml:space="preserve">aus </w:t>
            </w:r>
            <w:r w:rsidR="00023A37">
              <w:rPr>
                <w:sz w:val="20"/>
                <w:szCs w:val="20"/>
              </w:rPr>
              <w:t xml:space="preserve">U.S. </w:t>
            </w:r>
            <w:proofErr w:type="spellStart"/>
            <w:r w:rsidR="00023A37">
              <w:rPr>
                <w:sz w:val="20"/>
                <w:szCs w:val="20"/>
              </w:rPr>
              <w:t>Const</w:t>
            </w:r>
            <w:proofErr w:type="spellEnd"/>
            <w:r w:rsidR="00023A37">
              <w:rPr>
                <w:sz w:val="20"/>
                <w:szCs w:val="20"/>
              </w:rPr>
              <w:t>. art. IV</w:t>
            </w:r>
            <w:r w:rsidRPr="00A3333F">
              <w:rPr>
                <w:sz w:val="20"/>
                <w:szCs w:val="20"/>
              </w:rPr>
              <w:t xml:space="preserve"> und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3333F">
              <w:rPr>
                <w:sz w:val="20"/>
                <w:szCs w:val="20"/>
              </w:rPr>
              <w:t xml:space="preserve"> anhand dreier Elemente ab – auch anhand des </w:t>
            </w:r>
            <w:proofErr w:type="spellStart"/>
            <w:r w:rsidRPr="00B45592">
              <w:rPr>
                <w:i/>
                <w:iCs/>
                <w:sz w:val="20"/>
                <w:szCs w:val="20"/>
              </w:rPr>
              <w:t>pursuit</w:t>
            </w:r>
            <w:proofErr w:type="spellEnd"/>
            <w:r w:rsidRPr="00B45592">
              <w:rPr>
                <w:i/>
                <w:iCs/>
                <w:sz w:val="20"/>
                <w:szCs w:val="20"/>
              </w:rPr>
              <w:t xml:space="preserve"> of Happiness</w:t>
            </w:r>
            <w:r w:rsidRPr="00A3333F">
              <w:rPr>
                <w:sz w:val="20"/>
                <w:szCs w:val="20"/>
              </w:rPr>
              <w:t xml:space="preserve">. Erstens garantiere </w:t>
            </w:r>
            <w:r w:rsidR="002F58F4" w:rsidRPr="002F58F4">
              <w:rPr>
                <w:sz w:val="20"/>
                <w:szCs w:val="20"/>
              </w:rPr>
              <w:t xml:space="preserve">U.S. </w:t>
            </w:r>
            <w:proofErr w:type="spellStart"/>
            <w:r w:rsidR="002F58F4" w:rsidRPr="002F58F4">
              <w:rPr>
                <w:sz w:val="20"/>
                <w:szCs w:val="20"/>
              </w:rPr>
              <w:t>Const</w:t>
            </w:r>
            <w:proofErr w:type="spellEnd"/>
            <w:r w:rsidR="002F58F4" w:rsidRPr="002F58F4">
              <w:rPr>
                <w:sz w:val="20"/>
                <w:szCs w:val="20"/>
              </w:rPr>
              <w:t>. art. IV, § 2, cl. 1</w:t>
            </w:r>
            <w:r w:rsidR="002F58F4">
              <w:rPr>
                <w:sz w:val="20"/>
                <w:szCs w:val="20"/>
              </w:rPr>
              <w:t xml:space="preserve"> </w:t>
            </w:r>
            <w:r w:rsidRPr="00A3333F">
              <w:rPr>
                <w:sz w:val="20"/>
                <w:szCs w:val="20"/>
              </w:rPr>
              <w:t>vor allem die nationale Einheit</w:t>
            </w:r>
            <w:r>
              <w:rPr>
                <w:sz w:val="20"/>
                <w:szCs w:val="20"/>
              </w:rPr>
              <w:t>, d</w:t>
            </w:r>
            <w:r w:rsidRPr="00A3333F">
              <w:rPr>
                <w:sz w:val="20"/>
                <w:szCs w:val="20"/>
              </w:rPr>
              <w:t>.h. das Verbot der Diskriminierung und die Garantie der Gleichheit aller Bürger in jedem Bundesstaat („</w:t>
            </w:r>
            <w:proofErr w:type="spellStart"/>
            <w:r w:rsidRPr="00A3333F">
              <w:rPr>
                <w:sz w:val="20"/>
                <w:szCs w:val="20"/>
              </w:rPr>
              <w:t>nationalism</w:t>
            </w:r>
            <w:proofErr w:type="spellEnd"/>
            <w:r w:rsidRPr="00A3333F">
              <w:rPr>
                <w:sz w:val="20"/>
                <w:szCs w:val="20"/>
              </w:rPr>
              <w:t xml:space="preserve">, the </w:t>
            </w:r>
            <w:proofErr w:type="spellStart"/>
            <w:r w:rsidRPr="00A3333F">
              <w:rPr>
                <w:sz w:val="20"/>
                <w:szCs w:val="20"/>
              </w:rPr>
              <w:t>proscription</w:t>
            </w:r>
            <w:proofErr w:type="spellEnd"/>
            <w:r w:rsidRPr="00A3333F">
              <w:rPr>
                <w:sz w:val="20"/>
                <w:szCs w:val="20"/>
              </w:rPr>
              <w:t xml:space="preserve"> of </w:t>
            </w:r>
            <w:proofErr w:type="spellStart"/>
            <w:r w:rsidRPr="00A3333F">
              <w:rPr>
                <w:sz w:val="20"/>
                <w:szCs w:val="20"/>
              </w:rPr>
              <w:t>discrimination</w:t>
            </w:r>
            <w:proofErr w:type="spellEnd"/>
            <w:r w:rsidRPr="00A3333F">
              <w:rPr>
                <w:sz w:val="20"/>
                <w:szCs w:val="20"/>
              </w:rPr>
              <w:t xml:space="preserve">, and the </w:t>
            </w:r>
            <w:proofErr w:type="spellStart"/>
            <w:r w:rsidRPr="00A3333F">
              <w:rPr>
                <w:sz w:val="20"/>
                <w:szCs w:val="20"/>
              </w:rPr>
              <w:t>assurance</w:t>
            </w:r>
            <w:proofErr w:type="spellEnd"/>
            <w:r w:rsidRPr="00A3333F">
              <w:rPr>
                <w:sz w:val="20"/>
                <w:szCs w:val="20"/>
              </w:rPr>
              <w:t xml:space="preserve"> of </w:t>
            </w:r>
            <w:proofErr w:type="spellStart"/>
            <w:r w:rsidRPr="00A3333F">
              <w:rPr>
                <w:sz w:val="20"/>
                <w:szCs w:val="20"/>
              </w:rPr>
              <w:t>equality</w:t>
            </w:r>
            <w:proofErr w:type="spellEnd"/>
            <w:r w:rsidRPr="00A3333F">
              <w:rPr>
                <w:sz w:val="20"/>
                <w:szCs w:val="20"/>
              </w:rPr>
              <w:t xml:space="preserve"> of all </w:t>
            </w:r>
            <w:proofErr w:type="spellStart"/>
            <w:r w:rsidRPr="00A3333F">
              <w:rPr>
                <w:sz w:val="20"/>
                <w:szCs w:val="20"/>
              </w:rPr>
              <w:t>citizens</w:t>
            </w:r>
            <w:proofErr w:type="spellEnd"/>
            <w:r w:rsidRPr="00A3333F">
              <w:rPr>
                <w:sz w:val="20"/>
                <w:szCs w:val="20"/>
              </w:rPr>
              <w:t xml:space="preserve"> </w:t>
            </w:r>
            <w:proofErr w:type="spellStart"/>
            <w:r w:rsidRPr="00A3333F">
              <w:rPr>
                <w:sz w:val="20"/>
                <w:szCs w:val="20"/>
              </w:rPr>
              <w:t>within</w:t>
            </w:r>
            <w:proofErr w:type="spellEnd"/>
            <w:r w:rsidRPr="00A3333F">
              <w:rPr>
                <w:sz w:val="20"/>
                <w:szCs w:val="20"/>
              </w:rPr>
              <w:t xml:space="preserve"> </w:t>
            </w:r>
            <w:proofErr w:type="spellStart"/>
            <w:r w:rsidRPr="00A3333F">
              <w:rPr>
                <w:sz w:val="20"/>
                <w:szCs w:val="20"/>
              </w:rPr>
              <w:t>any</w:t>
            </w:r>
            <w:proofErr w:type="spellEnd"/>
            <w:r w:rsidRPr="00A3333F">
              <w:rPr>
                <w:sz w:val="20"/>
                <w:szCs w:val="20"/>
              </w:rPr>
              <w:t xml:space="preserve"> State“</w:t>
            </w:r>
            <w:r w:rsidRPr="00A3333F">
              <w:rPr>
                <w:sz w:val="20"/>
                <w:szCs w:val="20"/>
                <w:vertAlign w:val="superscript"/>
              </w:rPr>
              <w:footnoteReference w:id="488"/>
            </w:r>
            <w:r w:rsidRPr="00A3333F">
              <w:rPr>
                <w:sz w:val="20"/>
                <w:szCs w:val="20"/>
              </w:rPr>
              <w:t>). Zielsetzung sei also</w:t>
            </w:r>
            <w:r>
              <w:rPr>
                <w:sz w:val="20"/>
                <w:szCs w:val="20"/>
              </w:rPr>
              <w:t>,</w:t>
            </w:r>
            <w:r w:rsidRPr="00A3333F">
              <w:rPr>
                <w:sz w:val="20"/>
                <w:szCs w:val="20"/>
              </w:rPr>
              <w:t xml:space="preserve"> die Bürger eines Bundesstaats mit den Bürgern anderer Bundesstaaten gleichzustellen, soweit es darum gehe, Behinderungen zu vermeiden – als negative Seite – und Vorteile zu gewähren – als positive Seite. Damit sei </w:t>
            </w:r>
            <w:r>
              <w:rPr>
                <w:sz w:val="20"/>
                <w:szCs w:val="20"/>
              </w:rPr>
              <w:t>im negativen Sinne</w:t>
            </w:r>
            <w:r w:rsidRPr="00A3333F">
              <w:rPr>
                <w:sz w:val="20"/>
                <w:szCs w:val="20"/>
              </w:rPr>
              <w:t xml:space="preserve"> also eine diskriminierende Gesetzgebung zu verhindern und die Gleichheit vor dem Gesetz zwischen Bundesstaaten zu gewähren. </w:t>
            </w:r>
            <w:r w:rsidRPr="00A3333F">
              <w:rPr>
                <w:sz w:val="20"/>
                <w:szCs w:val="20"/>
                <w:lang w:val="en-US"/>
              </w:rPr>
              <w:t xml:space="preserve">Und </w:t>
            </w:r>
            <w:r>
              <w:rPr>
                <w:sz w:val="20"/>
                <w:szCs w:val="20"/>
                <w:lang w:val="en-US"/>
              </w:rPr>
              <w:t xml:space="preserve">die positive </w:t>
            </w:r>
            <w:proofErr w:type="spellStart"/>
            <w:r>
              <w:rPr>
                <w:sz w:val="20"/>
                <w:szCs w:val="20"/>
                <w:lang w:val="en-US"/>
              </w:rPr>
              <w:t>Seite</w:t>
            </w:r>
            <w:proofErr w:type="spellEnd"/>
            <w:r>
              <w:rPr>
                <w:sz w:val="20"/>
                <w:szCs w:val="20"/>
                <w:lang w:val="en-US"/>
              </w:rPr>
              <w:t xml:space="preserve"> </w:t>
            </w:r>
            <w:proofErr w:type="spellStart"/>
            <w:r>
              <w:rPr>
                <w:sz w:val="20"/>
                <w:szCs w:val="20"/>
                <w:lang w:val="en-US"/>
              </w:rPr>
              <w:t>bedeute</w:t>
            </w:r>
            <w:proofErr w:type="spellEnd"/>
            <w:r w:rsidRPr="00A3333F">
              <w:rPr>
                <w:sz w:val="20"/>
                <w:szCs w:val="20"/>
                <w:lang w:val="en-US"/>
              </w:rPr>
              <w:t xml:space="preserve">, die Freiheit </w:t>
            </w:r>
            <w:proofErr w:type="spellStart"/>
            <w:r w:rsidRPr="00A3333F">
              <w:rPr>
                <w:sz w:val="20"/>
                <w:szCs w:val="20"/>
                <w:lang w:val="en-US"/>
              </w:rPr>
              <w:t>beim</w:t>
            </w:r>
            <w:proofErr w:type="spellEnd"/>
            <w:r w:rsidRPr="00A3333F">
              <w:rPr>
                <w:sz w:val="20"/>
                <w:szCs w:val="20"/>
                <w:lang w:val="en-US"/>
              </w:rPr>
              <w:t xml:space="preserve"> </w:t>
            </w:r>
            <w:proofErr w:type="spellStart"/>
            <w:r w:rsidRPr="00A3333F">
              <w:rPr>
                <w:sz w:val="20"/>
                <w:szCs w:val="20"/>
                <w:lang w:val="en-US"/>
              </w:rPr>
              <w:t>Erwerb</w:t>
            </w:r>
            <w:proofErr w:type="spellEnd"/>
            <w:r w:rsidRPr="00A3333F">
              <w:rPr>
                <w:sz w:val="20"/>
                <w:szCs w:val="20"/>
                <w:lang w:val="en-US"/>
              </w:rPr>
              <w:t xml:space="preserve"> und </w:t>
            </w:r>
            <w:proofErr w:type="spellStart"/>
            <w:r w:rsidRPr="00A3333F">
              <w:rPr>
                <w:sz w:val="20"/>
                <w:szCs w:val="20"/>
                <w:lang w:val="en-US"/>
              </w:rPr>
              <w:t>Genuss</w:t>
            </w:r>
            <w:proofErr w:type="spellEnd"/>
            <w:r w:rsidRPr="00A3333F">
              <w:rPr>
                <w:sz w:val="20"/>
                <w:szCs w:val="20"/>
                <w:lang w:val="en-US"/>
              </w:rPr>
              <w:t xml:space="preserve"> von </w:t>
            </w:r>
            <w:proofErr w:type="spellStart"/>
            <w:r w:rsidRPr="00A3333F">
              <w:rPr>
                <w:sz w:val="20"/>
                <w:szCs w:val="20"/>
                <w:lang w:val="en-US"/>
              </w:rPr>
              <w:t>Eigentum</w:t>
            </w:r>
            <w:proofErr w:type="spellEnd"/>
            <w:r w:rsidRPr="00A3333F">
              <w:rPr>
                <w:sz w:val="20"/>
                <w:szCs w:val="20"/>
                <w:lang w:val="en-US"/>
              </w:rPr>
              <w:t xml:space="preserve"> und </w:t>
            </w:r>
            <w:proofErr w:type="spellStart"/>
            <w:r>
              <w:rPr>
                <w:sz w:val="20"/>
                <w:szCs w:val="20"/>
                <w:lang w:val="en-US"/>
              </w:rPr>
              <w:t>beim</w:t>
            </w:r>
            <w:proofErr w:type="spellEnd"/>
            <w:r w:rsidRPr="00A3333F">
              <w:rPr>
                <w:sz w:val="20"/>
                <w:szCs w:val="20"/>
                <w:lang w:val="en-US"/>
              </w:rPr>
              <w:t xml:space="preserve"> </w:t>
            </w:r>
            <w:proofErr w:type="spellStart"/>
            <w:r w:rsidRPr="00A3333F">
              <w:rPr>
                <w:sz w:val="20"/>
                <w:szCs w:val="20"/>
                <w:lang w:val="en-US"/>
              </w:rPr>
              <w:t>Streben</w:t>
            </w:r>
            <w:proofErr w:type="spellEnd"/>
            <w:r w:rsidRPr="00A3333F">
              <w:rPr>
                <w:sz w:val="20"/>
                <w:szCs w:val="20"/>
                <w:lang w:val="en-US"/>
              </w:rPr>
              <w:t xml:space="preserve"> </w:t>
            </w:r>
            <w:proofErr w:type="spellStart"/>
            <w:r w:rsidRPr="00A3333F">
              <w:rPr>
                <w:sz w:val="20"/>
                <w:szCs w:val="20"/>
                <w:lang w:val="en-US"/>
              </w:rPr>
              <w:t>nach</w:t>
            </w:r>
            <w:proofErr w:type="spellEnd"/>
            <w:r w:rsidRPr="00A3333F">
              <w:rPr>
                <w:sz w:val="20"/>
                <w:szCs w:val="20"/>
                <w:lang w:val="en-US"/>
              </w:rPr>
              <w:t xml:space="preserve"> Glück </w:t>
            </w:r>
            <w:proofErr w:type="spellStart"/>
            <w:r w:rsidRPr="00A3333F">
              <w:rPr>
                <w:sz w:val="20"/>
                <w:szCs w:val="20"/>
                <w:lang w:val="en-US"/>
              </w:rPr>
              <w:t>zu</w:t>
            </w:r>
            <w:proofErr w:type="spellEnd"/>
            <w:r w:rsidRPr="00A3333F">
              <w:rPr>
                <w:sz w:val="20"/>
                <w:szCs w:val="20"/>
                <w:lang w:val="en-US"/>
              </w:rPr>
              <w:t xml:space="preserve"> </w:t>
            </w:r>
            <w:proofErr w:type="spellStart"/>
            <w:r w:rsidRPr="00A3333F">
              <w:rPr>
                <w:sz w:val="20"/>
                <w:szCs w:val="20"/>
                <w:lang w:val="en-US"/>
              </w:rPr>
              <w:t>sichern</w:t>
            </w:r>
            <w:proofErr w:type="spellEnd"/>
            <w:r w:rsidRPr="00A3333F">
              <w:rPr>
                <w:sz w:val="20"/>
                <w:szCs w:val="20"/>
                <w:lang w:val="en-US"/>
              </w:rPr>
              <w:t xml:space="preserve"> („it insures to them in other States the same freedom possessed by the citizens of those States in the acquisition and enjoyment of property and in the pursuit of </w:t>
            </w:r>
            <w:proofErr w:type="gramStart"/>
            <w:r w:rsidRPr="00A3333F">
              <w:rPr>
                <w:sz w:val="20"/>
                <w:szCs w:val="20"/>
                <w:lang w:val="en-US"/>
              </w:rPr>
              <w:t>happiness“</w:t>
            </w:r>
            <w:proofErr w:type="gramEnd"/>
            <w:r w:rsidRPr="00A3333F">
              <w:rPr>
                <w:sz w:val="20"/>
                <w:szCs w:val="20"/>
                <w:vertAlign w:val="superscript"/>
                <w:lang w:val="en-US"/>
              </w:rPr>
              <w:footnoteReference w:id="489"/>
            </w:r>
            <w:r w:rsidRPr="00A3333F">
              <w:rPr>
                <w:sz w:val="20"/>
                <w:szCs w:val="20"/>
                <w:lang w:val="en-US"/>
              </w:rPr>
              <w:t xml:space="preserve">). </w:t>
            </w:r>
            <w:r w:rsidRPr="00A3333F">
              <w:rPr>
                <w:sz w:val="20"/>
                <w:szCs w:val="20"/>
              </w:rPr>
              <w:t xml:space="preserve">Zweitens wurde der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A3333F">
              <w:rPr>
                <w:sz w:val="20"/>
                <w:szCs w:val="20"/>
              </w:rPr>
              <w:t xml:space="preserve"> vor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3333F">
              <w:rPr>
                <w:sz w:val="20"/>
                <w:szCs w:val="20"/>
              </w:rPr>
              <w:t xml:space="preserve"> kodifiziert. Damit fielen in seinen Schutzbereich die sog. natürlichen Rechte („</w:t>
            </w:r>
            <w:proofErr w:type="spellStart"/>
            <w:r w:rsidRPr="00A3333F">
              <w:rPr>
                <w:sz w:val="20"/>
                <w:szCs w:val="20"/>
              </w:rPr>
              <w:t>natural</w:t>
            </w:r>
            <w:proofErr w:type="spellEnd"/>
            <w:r w:rsidRPr="00A3333F">
              <w:rPr>
                <w:sz w:val="20"/>
                <w:szCs w:val="20"/>
              </w:rPr>
              <w:t xml:space="preserve"> </w:t>
            </w:r>
            <w:proofErr w:type="spellStart"/>
            <w:r w:rsidRPr="00A3333F">
              <w:rPr>
                <w:sz w:val="20"/>
                <w:szCs w:val="20"/>
              </w:rPr>
              <w:t>rights</w:t>
            </w:r>
            <w:proofErr w:type="spellEnd"/>
            <w:r w:rsidRPr="00A3333F">
              <w:rPr>
                <w:sz w:val="20"/>
                <w:szCs w:val="20"/>
              </w:rPr>
              <w:t>“</w:t>
            </w:r>
            <w:r w:rsidRPr="00A3333F">
              <w:rPr>
                <w:sz w:val="20"/>
                <w:szCs w:val="20"/>
                <w:vertAlign w:val="superscript"/>
              </w:rPr>
              <w:footnoteReference w:id="490"/>
            </w:r>
            <w:r w:rsidRPr="00A3333F">
              <w:rPr>
                <w:sz w:val="20"/>
                <w:szCs w:val="20"/>
              </w:rPr>
              <w:t>), m</w:t>
            </w:r>
            <w:r>
              <w:rPr>
                <w:sz w:val="20"/>
                <w:szCs w:val="20"/>
              </w:rPr>
              <w:t>it anderen Worten:</w:t>
            </w:r>
            <w:r w:rsidRPr="00A3333F">
              <w:rPr>
                <w:sz w:val="20"/>
                <w:szCs w:val="20"/>
              </w:rPr>
              <w:t xml:space="preserve"> die staatsbürgerschaftlichen Rechte, die allen Bürgern gleich zu gewähren seien. Doch was ist mit dieser Gleichheit gemeint? Es ist nicht die Übertragung aller Rechte von einem Bundesstaat zu einem anderen. Sondern in jedem Bundesstaat soll jeder Bürger eines anderen Bundesstaats nur dieselben </w:t>
            </w:r>
            <w:r>
              <w:rPr>
                <w:sz w:val="20"/>
                <w:szCs w:val="20"/>
              </w:rPr>
              <w:t>Vorrechte</w:t>
            </w:r>
            <w:r w:rsidRPr="00A3333F">
              <w:rPr>
                <w:sz w:val="20"/>
                <w:szCs w:val="20"/>
              </w:rPr>
              <w:t xml:space="preserve"> und </w:t>
            </w:r>
            <w:r>
              <w:rPr>
                <w:sz w:val="20"/>
                <w:szCs w:val="20"/>
              </w:rPr>
              <w:t>Immunitäten</w:t>
            </w:r>
            <w:r w:rsidRPr="00E50B51">
              <w:rPr>
                <w:sz w:val="20"/>
                <w:szCs w:val="20"/>
              </w:rPr>
              <w:t xml:space="preserve"> </w:t>
            </w:r>
            <w:r w:rsidRPr="00A3333F">
              <w:rPr>
                <w:sz w:val="20"/>
                <w:szCs w:val="20"/>
              </w:rPr>
              <w:t xml:space="preserve">genießen, so wie die Bürger des </w:t>
            </w:r>
            <w:r>
              <w:rPr>
                <w:sz w:val="20"/>
                <w:szCs w:val="20"/>
              </w:rPr>
              <w:t>jeweiligen</w:t>
            </w:r>
            <w:r w:rsidRPr="00A3333F">
              <w:rPr>
                <w:sz w:val="20"/>
                <w:szCs w:val="20"/>
              </w:rPr>
              <w:t xml:space="preserve"> Bundesstaats. Die Bundesstaaten können also ihre eigenen Gesetze haben, solange sie keine Bürger anderer Bundesstaaten diskriminieren.</w:t>
            </w:r>
            <w:r w:rsidRPr="00A3333F">
              <w:rPr>
                <w:sz w:val="20"/>
                <w:szCs w:val="20"/>
                <w:vertAlign w:val="superscript"/>
              </w:rPr>
              <w:t xml:space="preserve"> </w:t>
            </w:r>
            <w:r w:rsidRPr="00A3333F">
              <w:rPr>
                <w:sz w:val="20"/>
                <w:szCs w:val="20"/>
                <w:vertAlign w:val="superscript"/>
              </w:rPr>
              <w:footnoteReference w:id="491"/>
            </w:r>
            <w:r w:rsidRPr="00A3333F">
              <w:rPr>
                <w:sz w:val="20"/>
                <w:szCs w:val="20"/>
              </w:rPr>
              <w:t xml:space="preserve"> Und drittens hindere 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w:t>
            </w:r>
            <w:r w:rsidRPr="00A3333F">
              <w:rPr>
                <w:sz w:val="20"/>
                <w:szCs w:val="20"/>
              </w:rPr>
              <w:t>laut Fallrecht die Bundesstaaten daran, Bürger anderer Bundesstaaten unangemessen zu belasten, z.</w:t>
            </w:r>
            <w:r>
              <w:rPr>
                <w:sz w:val="20"/>
                <w:szCs w:val="20"/>
              </w:rPr>
              <w:t>B</w:t>
            </w:r>
            <w:r w:rsidRPr="00A3333F">
              <w:rPr>
                <w:sz w:val="20"/>
                <w:szCs w:val="20"/>
              </w:rPr>
              <w:t>. bei der Ausübung eines Berufs,</w:t>
            </w:r>
            <w:r w:rsidRPr="00A3333F">
              <w:rPr>
                <w:sz w:val="20"/>
                <w:szCs w:val="20"/>
                <w:vertAlign w:val="superscript"/>
              </w:rPr>
              <w:footnoteReference w:id="492"/>
            </w:r>
            <w:r w:rsidRPr="00A3333F">
              <w:rPr>
                <w:sz w:val="20"/>
                <w:szCs w:val="20"/>
              </w:rPr>
              <w:t xml:space="preserve"> bei der Verfügung über Privateigentum innerhalb eines Bundesstaats</w:t>
            </w:r>
            <w:r w:rsidRPr="00A3333F">
              <w:rPr>
                <w:sz w:val="20"/>
                <w:szCs w:val="20"/>
                <w:vertAlign w:val="superscript"/>
              </w:rPr>
              <w:footnoteReference w:id="493"/>
            </w:r>
            <w:r w:rsidRPr="00A3333F">
              <w:rPr>
                <w:sz w:val="20"/>
                <w:szCs w:val="20"/>
              </w:rPr>
              <w:t xml:space="preserve"> und dem Zugang zu den bundesstaatlichen Gerichten.</w:t>
            </w:r>
            <w:r w:rsidRPr="00A3333F">
              <w:rPr>
                <w:sz w:val="20"/>
                <w:szCs w:val="20"/>
                <w:vertAlign w:val="superscript"/>
              </w:rPr>
              <w:footnoteReference w:id="494"/>
            </w:r>
            <w:r w:rsidRPr="00A3333F">
              <w:rPr>
                <w:sz w:val="20"/>
                <w:szCs w:val="20"/>
              </w:rPr>
              <w:t xml:space="preserve"> Doch wie weit geh</w:t>
            </w:r>
            <w:r>
              <w:rPr>
                <w:sz w:val="20"/>
                <w:szCs w:val="20"/>
              </w:rPr>
              <w:t>t</w:t>
            </w:r>
            <w:r w:rsidRPr="00A3333F">
              <w:rPr>
                <w:sz w:val="20"/>
                <w:szCs w:val="20"/>
              </w:rPr>
              <w:t xml:space="preserve"> diese Gleichberechtigung? Sie verankert sich an den natürlichen Rechten („</w:t>
            </w:r>
            <w:proofErr w:type="spellStart"/>
            <w:r w:rsidRPr="00A3333F">
              <w:rPr>
                <w:sz w:val="20"/>
                <w:szCs w:val="20"/>
              </w:rPr>
              <w:t>natural</w:t>
            </w:r>
            <w:proofErr w:type="spellEnd"/>
            <w:r w:rsidRPr="00A3333F">
              <w:rPr>
                <w:sz w:val="20"/>
                <w:szCs w:val="20"/>
              </w:rPr>
              <w:t xml:space="preserve"> </w:t>
            </w:r>
            <w:proofErr w:type="spellStart"/>
            <w:r w:rsidRPr="00A3333F">
              <w:rPr>
                <w:sz w:val="20"/>
                <w:szCs w:val="20"/>
              </w:rPr>
              <w:t>rights</w:t>
            </w:r>
            <w:proofErr w:type="spellEnd"/>
            <w:r w:rsidRPr="00A3333F">
              <w:rPr>
                <w:sz w:val="20"/>
                <w:szCs w:val="20"/>
              </w:rPr>
              <w:t>“</w:t>
            </w:r>
            <w:r w:rsidRPr="00A3333F">
              <w:rPr>
                <w:sz w:val="20"/>
                <w:szCs w:val="20"/>
                <w:vertAlign w:val="superscript"/>
              </w:rPr>
              <w:footnoteReference w:id="495"/>
            </w:r>
            <w:r w:rsidRPr="00A3333F">
              <w:rPr>
                <w:sz w:val="20"/>
                <w:szCs w:val="20"/>
              </w:rPr>
              <w:t>). Die</w:t>
            </w:r>
            <w:r>
              <w:rPr>
                <w:sz w:val="20"/>
                <w:szCs w:val="20"/>
              </w:rPr>
              <w:t>se</w:t>
            </w:r>
            <w:r w:rsidRPr="00A3333F">
              <w:rPr>
                <w:sz w:val="20"/>
                <w:szCs w:val="20"/>
              </w:rPr>
              <w:t xml:space="preserve"> meinen die Rechte, die grundlegend sind („fundamental“</w:t>
            </w:r>
            <w:r w:rsidRPr="00A3333F">
              <w:rPr>
                <w:sz w:val="20"/>
                <w:szCs w:val="20"/>
                <w:vertAlign w:val="superscript"/>
              </w:rPr>
              <w:t xml:space="preserve"> </w:t>
            </w:r>
            <w:r w:rsidRPr="00A3333F">
              <w:rPr>
                <w:sz w:val="20"/>
                <w:szCs w:val="20"/>
                <w:vertAlign w:val="superscript"/>
              </w:rPr>
              <w:footnoteReference w:id="496"/>
            </w:r>
            <w:r w:rsidRPr="00A3333F">
              <w:rPr>
                <w:sz w:val="20"/>
                <w:szCs w:val="20"/>
              </w:rPr>
              <w:t xml:space="preserve">) und allen Bürgern zustehen, seitdem sie einer freien, unabhängigen, souveränen Regierung unterstehen. Diese grundlegenden Rechte nennt der </w:t>
            </w:r>
            <w:r>
              <w:rPr>
                <w:sz w:val="20"/>
                <w:szCs w:val="20"/>
              </w:rPr>
              <w:t>U.S. Supreme Court</w:t>
            </w:r>
            <w:r w:rsidRPr="00A3333F">
              <w:rPr>
                <w:sz w:val="20"/>
                <w:szCs w:val="20"/>
              </w:rPr>
              <w:t xml:space="preserve"> Grundprinzipien („fundamental </w:t>
            </w:r>
            <w:proofErr w:type="spellStart"/>
            <w:r w:rsidRPr="00A3333F">
              <w:rPr>
                <w:sz w:val="20"/>
                <w:szCs w:val="20"/>
              </w:rPr>
              <w:t>principles</w:t>
            </w:r>
            <w:proofErr w:type="spellEnd"/>
            <w:r w:rsidRPr="00A3333F">
              <w:rPr>
                <w:sz w:val="20"/>
                <w:szCs w:val="20"/>
              </w:rPr>
              <w:t>“</w:t>
            </w:r>
            <w:r w:rsidRPr="00A3333F">
              <w:rPr>
                <w:sz w:val="20"/>
                <w:szCs w:val="20"/>
                <w:vertAlign w:val="superscript"/>
              </w:rPr>
              <w:t xml:space="preserve"> </w:t>
            </w:r>
            <w:r w:rsidRPr="00A3333F">
              <w:rPr>
                <w:sz w:val="20"/>
                <w:szCs w:val="20"/>
                <w:vertAlign w:val="superscript"/>
              </w:rPr>
              <w:footnoteReference w:id="497"/>
            </w:r>
            <w:r w:rsidRPr="00A3333F">
              <w:rPr>
                <w:sz w:val="20"/>
                <w:szCs w:val="20"/>
              </w:rPr>
              <w:t>). Sie fallen alle unter die Freiheit</w:t>
            </w:r>
            <w:r>
              <w:rPr>
                <w:sz w:val="20"/>
                <w:szCs w:val="20"/>
              </w:rPr>
              <w:t>,</w:t>
            </w:r>
            <w:r w:rsidRPr="00A3333F">
              <w:rPr>
                <w:sz w:val="20"/>
                <w:szCs w:val="20"/>
              </w:rPr>
              <w:t xml:space="preserve"> Eigentum jeder Art zu erwerben und zu besitzen sowie Glück und Sicherheit zu suchen und auch erlangen zu können („</w:t>
            </w:r>
            <w:proofErr w:type="spellStart"/>
            <w:r w:rsidRPr="00A3333F">
              <w:rPr>
                <w:sz w:val="20"/>
                <w:szCs w:val="20"/>
              </w:rPr>
              <w:t>comprehended</w:t>
            </w:r>
            <w:proofErr w:type="spellEnd"/>
            <w:r w:rsidRPr="00A3333F">
              <w:rPr>
                <w:sz w:val="20"/>
                <w:szCs w:val="20"/>
              </w:rPr>
              <w:t xml:space="preserve"> </w:t>
            </w:r>
            <w:proofErr w:type="spellStart"/>
            <w:r w:rsidRPr="00A3333F">
              <w:rPr>
                <w:sz w:val="20"/>
                <w:szCs w:val="20"/>
              </w:rPr>
              <w:t>under</w:t>
            </w:r>
            <w:proofErr w:type="spellEnd"/>
            <w:r w:rsidRPr="00A3333F">
              <w:rPr>
                <w:sz w:val="20"/>
                <w:szCs w:val="20"/>
              </w:rPr>
              <w:t xml:space="preserve"> the </w:t>
            </w:r>
            <w:proofErr w:type="spellStart"/>
            <w:r w:rsidRPr="00A3333F">
              <w:rPr>
                <w:sz w:val="20"/>
                <w:szCs w:val="20"/>
              </w:rPr>
              <w:t>following</w:t>
            </w:r>
            <w:proofErr w:type="spellEnd"/>
            <w:r w:rsidRPr="00A3333F">
              <w:rPr>
                <w:sz w:val="20"/>
                <w:szCs w:val="20"/>
              </w:rPr>
              <w:t xml:space="preserve"> </w:t>
            </w:r>
            <w:proofErr w:type="spellStart"/>
            <w:r w:rsidRPr="00A3333F">
              <w:rPr>
                <w:sz w:val="20"/>
                <w:szCs w:val="20"/>
              </w:rPr>
              <w:t>general</w:t>
            </w:r>
            <w:proofErr w:type="spellEnd"/>
            <w:r w:rsidRPr="00A3333F">
              <w:rPr>
                <w:sz w:val="20"/>
                <w:szCs w:val="20"/>
              </w:rPr>
              <w:t xml:space="preserve"> </w:t>
            </w:r>
            <w:proofErr w:type="spellStart"/>
            <w:r w:rsidRPr="00A3333F">
              <w:rPr>
                <w:sz w:val="20"/>
                <w:szCs w:val="20"/>
              </w:rPr>
              <w:t>heads</w:t>
            </w:r>
            <w:proofErr w:type="spellEnd"/>
            <w:r w:rsidRPr="00A3333F">
              <w:rPr>
                <w:sz w:val="20"/>
                <w:szCs w:val="20"/>
              </w:rPr>
              <w:t xml:space="preserve">: […] </w:t>
            </w:r>
            <w:proofErr w:type="spellStart"/>
            <w:r w:rsidRPr="00A3333F">
              <w:rPr>
                <w:sz w:val="20"/>
                <w:szCs w:val="20"/>
              </w:rPr>
              <w:lastRenderedPageBreak/>
              <w:t>right</w:t>
            </w:r>
            <w:proofErr w:type="spellEnd"/>
            <w:r w:rsidRPr="00A3333F">
              <w:rPr>
                <w:sz w:val="20"/>
                <w:szCs w:val="20"/>
              </w:rPr>
              <w:t xml:space="preserve"> to </w:t>
            </w:r>
            <w:proofErr w:type="spellStart"/>
            <w:r w:rsidRPr="00A3333F">
              <w:rPr>
                <w:sz w:val="20"/>
                <w:szCs w:val="20"/>
              </w:rPr>
              <w:t>acquire</w:t>
            </w:r>
            <w:proofErr w:type="spellEnd"/>
            <w:r w:rsidRPr="00A3333F">
              <w:rPr>
                <w:sz w:val="20"/>
                <w:szCs w:val="20"/>
              </w:rPr>
              <w:t xml:space="preserve"> and </w:t>
            </w:r>
            <w:proofErr w:type="spellStart"/>
            <w:r w:rsidRPr="00A3333F">
              <w:rPr>
                <w:sz w:val="20"/>
                <w:szCs w:val="20"/>
              </w:rPr>
              <w:t>possess</w:t>
            </w:r>
            <w:proofErr w:type="spellEnd"/>
            <w:r w:rsidRPr="00A3333F">
              <w:rPr>
                <w:sz w:val="20"/>
                <w:szCs w:val="20"/>
              </w:rPr>
              <w:t xml:space="preserve"> </w:t>
            </w:r>
            <w:proofErr w:type="spellStart"/>
            <w:r w:rsidRPr="00A3333F">
              <w:rPr>
                <w:sz w:val="20"/>
                <w:szCs w:val="20"/>
              </w:rPr>
              <w:t>property</w:t>
            </w:r>
            <w:proofErr w:type="spellEnd"/>
            <w:r w:rsidRPr="00A3333F">
              <w:rPr>
                <w:sz w:val="20"/>
                <w:szCs w:val="20"/>
              </w:rPr>
              <w:t xml:space="preserve"> of </w:t>
            </w:r>
            <w:proofErr w:type="spellStart"/>
            <w:r w:rsidRPr="00A3333F">
              <w:rPr>
                <w:sz w:val="20"/>
                <w:szCs w:val="20"/>
              </w:rPr>
              <w:t>every</w:t>
            </w:r>
            <w:proofErr w:type="spellEnd"/>
            <w:r w:rsidRPr="00A3333F">
              <w:rPr>
                <w:sz w:val="20"/>
                <w:szCs w:val="20"/>
              </w:rPr>
              <w:t xml:space="preserve"> </w:t>
            </w:r>
            <w:proofErr w:type="spellStart"/>
            <w:r w:rsidRPr="00A3333F">
              <w:rPr>
                <w:sz w:val="20"/>
                <w:szCs w:val="20"/>
              </w:rPr>
              <w:t>kind</w:t>
            </w:r>
            <w:proofErr w:type="spellEnd"/>
            <w:r w:rsidRPr="00A3333F">
              <w:rPr>
                <w:sz w:val="20"/>
                <w:szCs w:val="20"/>
              </w:rPr>
              <w:t xml:space="preserve">, and to </w:t>
            </w:r>
            <w:proofErr w:type="spellStart"/>
            <w:r w:rsidRPr="00A3333F">
              <w:rPr>
                <w:sz w:val="20"/>
                <w:szCs w:val="20"/>
              </w:rPr>
              <w:t>pursue</w:t>
            </w:r>
            <w:proofErr w:type="spellEnd"/>
            <w:r w:rsidRPr="00A3333F">
              <w:rPr>
                <w:sz w:val="20"/>
                <w:szCs w:val="20"/>
              </w:rPr>
              <w:t xml:space="preserve"> and </w:t>
            </w:r>
            <w:proofErr w:type="spellStart"/>
            <w:r w:rsidRPr="00A3333F">
              <w:rPr>
                <w:sz w:val="20"/>
                <w:szCs w:val="20"/>
              </w:rPr>
              <w:t>obtain</w:t>
            </w:r>
            <w:proofErr w:type="spellEnd"/>
            <w:r w:rsidRPr="00A3333F">
              <w:rPr>
                <w:sz w:val="20"/>
                <w:szCs w:val="20"/>
              </w:rPr>
              <w:t xml:space="preserve"> </w:t>
            </w:r>
            <w:proofErr w:type="spellStart"/>
            <w:r w:rsidRPr="00A3333F">
              <w:rPr>
                <w:sz w:val="20"/>
                <w:szCs w:val="20"/>
              </w:rPr>
              <w:t>happiness</w:t>
            </w:r>
            <w:proofErr w:type="spellEnd"/>
            <w:r w:rsidRPr="00A3333F">
              <w:rPr>
                <w:sz w:val="20"/>
                <w:szCs w:val="20"/>
              </w:rPr>
              <w:t xml:space="preserve"> and </w:t>
            </w:r>
            <w:proofErr w:type="spellStart"/>
            <w:r w:rsidRPr="00A3333F">
              <w:rPr>
                <w:sz w:val="20"/>
                <w:szCs w:val="20"/>
              </w:rPr>
              <w:t>safety</w:t>
            </w:r>
            <w:proofErr w:type="spellEnd"/>
            <w:r w:rsidRPr="00A3333F">
              <w:rPr>
                <w:sz w:val="20"/>
                <w:szCs w:val="20"/>
              </w:rPr>
              <w:t>“</w:t>
            </w:r>
            <w:r w:rsidRPr="00A3333F">
              <w:rPr>
                <w:sz w:val="20"/>
                <w:szCs w:val="20"/>
                <w:vertAlign w:val="superscript"/>
              </w:rPr>
              <w:t xml:space="preserve"> </w:t>
            </w:r>
            <w:r w:rsidRPr="00A3333F">
              <w:rPr>
                <w:sz w:val="20"/>
                <w:szCs w:val="20"/>
                <w:vertAlign w:val="superscript"/>
              </w:rPr>
              <w:footnoteReference w:id="498"/>
            </w:r>
            <w:r w:rsidRPr="00A3333F">
              <w:rPr>
                <w:sz w:val="20"/>
                <w:szCs w:val="20"/>
              </w:rPr>
              <w:t>).</w:t>
            </w:r>
          </w:p>
          <w:p w14:paraId="33DDE6A5" w14:textId="77777777" w:rsidR="00074551" w:rsidRPr="00E50B51" w:rsidRDefault="00074551" w:rsidP="00367133">
            <w:pPr>
              <w:jc w:val="both"/>
              <w:rPr>
                <w:sz w:val="20"/>
                <w:szCs w:val="20"/>
              </w:rPr>
            </w:pPr>
          </w:p>
        </w:tc>
      </w:tr>
      <w:tr w:rsidR="00074551" w:rsidRPr="009D12DD" w14:paraId="150CD0F0" w14:textId="77777777" w:rsidTr="00BE689F">
        <w:trPr>
          <w:cantSplit/>
          <w:trHeight w:val="3175"/>
        </w:trPr>
        <w:tc>
          <w:tcPr>
            <w:tcW w:w="293" w:type="pct"/>
          </w:tcPr>
          <w:p w14:paraId="31CA65E8"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CB447B4" w14:textId="77777777" w:rsidR="00074551" w:rsidRPr="00B45592" w:rsidRDefault="00074551" w:rsidP="00367133">
            <w:pPr>
              <w:ind w:left="113" w:right="113"/>
              <w:jc w:val="both"/>
              <w:rPr>
                <w:i/>
                <w:sz w:val="20"/>
                <w:szCs w:val="20"/>
              </w:rPr>
            </w:pPr>
            <w:r w:rsidRPr="00584023">
              <w:rPr>
                <w:i/>
                <w:sz w:val="20"/>
                <w:szCs w:val="20"/>
              </w:rPr>
              <w:t>Bradwell v. State</w:t>
            </w:r>
          </w:p>
        </w:tc>
        <w:tc>
          <w:tcPr>
            <w:tcW w:w="197" w:type="pct"/>
            <w:textDirection w:val="tbRl"/>
            <w:vAlign w:val="center"/>
          </w:tcPr>
          <w:p w14:paraId="6B2F96BC" w14:textId="77777777" w:rsidR="00074551" w:rsidRPr="00E50B51" w:rsidRDefault="00074551" w:rsidP="00367133">
            <w:pPr>
              <w:ind w:left="113" w:right="113"/>
              <w:jc w:val="both"/>
              <w:rPr>
                <w:sz w:val="20"/>
                <w:szCs w:val="20"/>
                <w:lang w:val="en-US"/>
              </w:rPr>
            </w:pPr>
            <w:r w:rsidRPr="00E50B51">
              <w:rPr>
                <w:sz w:val="20"/>
                <w:szCs w:val="20"/>
                <w:lang w:val="en-US"/>
              </w:rPr>
              <w:t>83 U.S. 130</w:t>
            </w:r>
          </w:p>
        </w:tc>
        <w:tc>
          <w:tcPr>
            <w:tcW w:w="306" w:type="pct"/>
            <w:textDirection w:val="tbRl"/>
            <w:vAlign w:val="center"/>
          </w:tcPr>
          <w:p w14:paraId="1BB69C0A" w14:textId="77777777" w:rsidR="00074551" w:rsidRPr="00E50B51" w:rsidRDefault="00074551" w:rsidP="00367133">
            <w:pPr>
              <w:ind w:left="113" w:right="113"/>
              <w:jc w:val="both"/>
              <w:rPr>
                <w:sz w:val="20"/>
                <w:szCs w:val="20"/>
              </w:rPr>
            </w:pPr>
            <w:r w:rsidRPr="00E50B51">
              <w:rPr>
                <w:sz w:val="20"/>
                <w:szCs w:val="20"/>
                <w:lang w:val="en-US"/>
              </w:rPr>
              <w:t>15. April 1873</w:t>
            </w:r>
          </w:p>
        </w:tc>
        <w:tc>
          <w:tcPr>
            <w:tcW w:w="401" w:type="pct"/>
          </w:tcPr>
          <w:p w14:paraId="478CFB22" w14:textId="77777777" w:rsidR="00074551" w:rsidRPr="00E50B51" w:rsidRDefault="00074551" w:rsidP="00367133">
            <w:pPr>
              <w:jc w:val="center"/>
              <w:rPr>
                <w:sz w:val="20"/>
                <w:szCs w:val="20"/>
              </w:rPr>
            </w:pPr>
            <w:r w:rsidRPr="00E50B51">
              <w:rPr>
                <w:sz w:val="20"/>
                <w:szCs w:val="20"/>
                <w:lang w:val="en-US"/>
              </w:rPr>
              <w:t>S</w:t>
            </w:r>
          </w:p>
        </w:tc>
        <w:tc>
          <w:tcPr>
            <w:tcW w:w="1594" w:type="pct"/>
          </w:tcPr>
          <w:p w14:paraId="068B167B" w14:textId="77777777" w:rsidR="00074551" w:rsidRPr="00E50B51" w:rsidRDefault="00074551" w:rsidP="00367133">
            <w:pPr>
              <w:jc w:val="both"/>
              <w:rPr>
                <w:sz w:val="20"/>
                <w:szCs w:val="20"/>
              </w:rPr>
            </w:pPr>
            <w:r>
              <w:rPr>
                <w:sz w:val="20"/>
                <w:szCs w:val="20"/>
              </w:rPr>
              <w:t>Der</w:t>
            </w:r>
            <w:r w:rsidRPr="00E50B51">
              <w:rPr>
                <w:sz w:val="20"/>
                <w:szCs w:val="20"/>
              </w:rPr>
              <w:t xml:space="preserve"> </w:t>
            </w:r>
            <w:r>
              <w:rPr>
                <w:sz w:val="20"/>
                <w:szCs w:val="20"/>
              </w:rPr>
              <w:t>U.S. Supreme Court bestätigte</w:t>
            </w:r>
            <w:r w:rsidRPr="00E50B51">
              <w:rPr>
                <w:sz w:val="20"/>
                <w:szCs w:val="20"/>
              </w:rPr>
              <w:t xml:space="preserve">, dass der Bundesstaat Illinois eine Anwaltszulassung verfassungsgemäß </w:t>
            </w:r>
            <w:r>
              <w:rPr>
                <w:sz w:val="20"/>
                <w:szCs w:val="20"/>
              </w:rPr>
              <w:t>abgelehnt habe</w:t>
            </w:r>
            <w:r w:rsidRPr="00E50B51">
              <w:rPr>
                <w:sz w:val="20"/>
                <w:szCs w:val="20"/>
              </w:rPr>
              <w:t xml:space="preserve">. Die Klägerin argumentierte, als US-Bürgerin </w:t>
            </w:r>
            <w:r>
              <w:rPr>
                <w:sz w:val="20"/>
                <w:szCs w:val="20"/>
              </w:rPr>
              <w:t xml:space="preserve">kämen </w:t>
            </w:r>
            <w:proofErr w:type="gramStart"/>
            <w:r>
              <w:rPr>
                <w:sz w:val="20"/>
                <w:szCs w:val="20"/>
              </w:rPr>
              <w:t>ihr</w:t>
            </w:r>
            <w:r w:rsidRPr="00E50B51">
              <w:rPr>
                <w:sz w:val="20"/>
                <w:szCs w:val="20"/>
              </w:rPr>
              <w:t xml:space="preserve"> bestimmte Vorrechte</w:t>
            </w:r>
            <w:proofErr w:type="gramEnd"/>
            <w:r w:rsidRPr="00E50B51">
              <w:rPr>
                <w:sz w:val="20"/>
                <w:szCs w:val="20"/>
              </w:rPr>
              <w:t xml:space="preserve"> und</w:t>
            </w:r>
            <w:r>
              <w:rPr>
                <w:sz w:val="20"/>
                <w:szCs w:val="20"/>
              </w:rPr>
              <w:t xml:space="preserve"> Immunitäten</w:t>
            </w:r>
            <w:r w:rsidRPr="00E50B51">
              <w:rPr>
                <w:sz w:val="20"/>
                <w:szCs w:val="20"/>
              </w:rPr>
              <w:t xml:space="preserve"> </w:t>
            </w:r>
            <w:r>
              <w:rPr>
                <w:sz w:val="20"/>
                <w:szCs w:val="20"/>
              </w:rPr>
              <w:t>zu</w:t>
            </w:r>
            <w:r w:rsidRPr="00E50B51">
              <w:rPr>
                <w:sz w:val="20"/>
                <w:szCs w:val="20"/>
              </w:rPr>
              <w:t xml:space="preserve">. Diese </w:t>
            </w:r>
            <w:r>
              <w:rPr>
                <w:sz w:val="20"/>
                <w:szCs w:val="20"/>
              </w:rPr>
              <w:t>schlössen</w:t>
            </w:r>
            <w:r w:rsidRPr="00E50B51">
              <w:rPr>
                <w:sz w:val="20"/>
                <w:szCs w:val="20"/>
              </w:rPr>
              <w:t xml:space="preserve"> das Recht ein, in jedem Bundesstaat als Anwältin zugelassen zu werden. Der </w:t>
            </w:r>
            <w:r>
              <w:rPr>
                <w:sz w:val="20"/>
                <w:szCs w:val="20"/>
              </w:rPr>
              <w:t>U.S. Supreme Court</w:t>
            </w:r>
            <w:r w:rsidRPr="00E50B51">
              <w:rPr>
                <w:sz w:val="20"/>
                <w:szCs w:val="20"/>
              </w:rPr>
              <w:t xml:space="preserve"> erkannte zwar an, dass US-Bürger</w:t>
            </w:r>
            <w:r>
              <w:rPr>
                <w:sz w:val="20"/>
                <w:szCs w:val="20"/>
              </w:rPr>
              <w:t>n</w:t>
            </w:r>
            <w:r w:rsidRPr="00E50B51">
              <w:rPr>
                <w:sz w:val="20"/>
                <w:szCs w:val="20"/>
              </w:rPr>
              <w:t xml:space="preserve"> bestimmte Vorrechte und </w:t>
            </w:r>
            <w:r>
              <w:rPr>
                <w:sz w:val="20"/>
                <w:szCs w:val="20"/>
              </w:rPr>
              <w:t>Immunitäten</w:t>
            </w:r>
            <w:r w:rsidRPr="00E50B51">
              <w:rPr>
                <w:sz w:val="20"/>
                <w:szCs w:val="20"/>
              </w:rPr>
              <w:t xml:space="preserve"> inhärieren. Aber er entschied, dass die Anwaltszulassung nicht darunterfalle. Der </w:t>
            </w:r>
            <w:r>
              <w:rPr>
                <w:sz w:val="20"/>
                <w:szCs w:val="20"/>
              </w:rPr>
              <w:t>U.S. Supreme Court</w:t>
            </w:r>
            <w:r w:rsidRPr="00E50B51">
              <w:rPr>
                <w:sz w:val="20"/>
                <w:szCs w:val="20"/>
              </w:rPr>
              <w:t xml:space="preserve"> begründete, dass die Anwaltszulassung in der Zuständigkeit der </w:t>
            </w:r>
            <w:r>
              <w:rPr>
                <w:sz w:val="20"/>
                <w:szCs w:val="20"/>
              </w:rPr>
              <w:t>einzelnen Bundesstaaten</w:t>
            </w:r>
            <w:r w:rsidRPr="00E50B51">
              <w:rPr>
                <w:sz w:val="20"/>
                <w:szCs w:val="20"/>
              </w:rPr>
              <w:t xml:space="preserve"> liege. Sie sei kein für die amerikanische Staatsbürgerschaft notwendiges </w:t>
            </w:r>
            <w:r w:rsidRPr="00A75862">
              <w:rPr>
                <w:sz w:val="20"/>
                <w:szCs w:val="20"/>
              </w:rPr>
              <w:t>Recht.</w:t>
            </w:r>
            <w:r w:rsidRPr="00A75862">
              <w:rPr>
                <w:rStyle w:val="Funotenzeichen"/>
                <w:sz w:val="20"/>
                <w:szCs w:val="20"/>
              </w:rPr>
              <w:footnoteReference w:id="499"/>
            </w:r>
          </w:p>
          <w:p w14:paraId="20EA18F8" w14:textId="77777777" w:rsidR="00074551" w:rsidRPr="00A75862" w:rsidRDefault="00074551" w:rsidP="00367133">
            <w:pPr>
              <w:jc w:val="both"/>
              <w:rPr>
                <w:sz w:val="20"/>
                <w:szCs w:val="20"/>
              </w:rPr>
            </w:pPr>
          </w:p>
        </w:tc>
        <w:tc>
          <w:tcPr>
            <w:tcW w:w="1822" w:type="pct"/>
          </w:tcPr>
          <w:p w14:paraId="4FCCA2FB" w14:textId="77777777" w:rsidR="00074551" w:rsidRPr="009D12DD" w:rsidRDefault="00074551" w:rsidP="00367133">
            <w:pPr>
              <w:jc w:val="both"/>
              <w:rPr>
                <w:sz w:val="20"/>
                <w:szCs w:val="20"/>
              </w:rPr>
            </w:pPr>
            <w:r w:rsidRPr="00E50B51">
              <w:rPr>
                <w:sz w:val="20"/>
                <w:szCs w:val="20"/>
              </w:rPr>
              <w:t xml:space="preserve">Die Klägerin trug zum </w:t>
            </w:r>
            <w:r>
              <w:rPr>
                <w:sz w:val="20"/>
                <w:szCs w:val="20"/>
              </w:rPr>
              <w:t>Verständnis</w:t>
            </w:r>
            <w:r w:rsidRPr="00E50B51">
              <w:rPr>
                <w:sz w:val="20"/>
                <w:szCs w:val="20"/>
              </w:rPr>
              <w:t xml:space="preserve"> des </w:t>
            </w:r>
            <w:proofErr w:type="spellStart"/>
            <w:r w:rsidRPr="00B45592">
              <w:rPr>
                <w:i/>
                <w:iCs/>
                <w:sz w:val="20"/>
                <w:szCs w:val="20"/>
              </w:rPr>
              <w:t>pursuit</w:t>
            </w:r>
            <w:proofErr w:type="spellEnd"/>
            <w:r w:rsidRPr="00B45592">
              <w:rPr>
                <w:i/>
                <w:iCs/>
                <w:sz w:val="20"/>
                <w:szCs w:val="20"/>
              </w:rPr>
              <w:t xml:space="preserve"> of </w:t>
            </w:r>
            <w:r>
              <w:rPr>
                <w:i/>
                <w:iCs/>
                <w:sz w:val="20"/>
                <w:szCs w:val="20"/>
              </w:rPr>
              <w:t>H</w:t>
            </w:r>
            <w:r w:rsidRPr="00B45592">
              <w:rPr>
                <w:i/>
                <w:iCs/>
                <w:sz w:val="20"/>
                <w:szCs w:val="20"/>
              </w:rPr>
              <w:t>appiness</w:t>
            </w:r>
            <w:r w:rsidRPr="00E50B51">
              <w:rPr>
                <w:sz w:val="20"/>
                <w:szCs w:val="20"/>
              </w:rPr>
              <w:t xml:space="preserve"> bei. Sie fragte: </w:t>
            </w:r>
            <w:r w:rsidRPr="00881400">
              <w:rPr>
                <w:sz w:val="20"/>
                <w:szCs w:val="20"/>
              </w:rPr>
              <w:t>Gehört die Zulassung zur Anwaltschaft zu den Vorrechten bzw. Privilegien, die ein Staat nicht einschränken darf</w:t>
            </w:r>
            <w:r>
              <w:rPr>
                <w:sz w:val="20"/>
                <w:szCs w:val="20"/>
              </w:rPr>
              <w:t> </w:t>
            </w:r>
            <w:r w:rsidRPr="00881400">
              <w:rPr>
                <w:sz w:val="20"/>
                <w:szCs w:val="20"/>
              </w:rPr>
              <w:t xml:space="preserve">– oder gehört sie nur zu den politischen Rechten, bei denen ein Staat zwischen Bürgern verschiedener Bundesstaaten diskriminieren könne? Als Antwort erklärte die Klägerseite die Rechtsprechung des </w:t>
            </w:r>
            <w:r>
              <w:rPr>
                <w:sz w:val="20"/>
                <w:szCs w:val="20"/>
              </w:rPr>
              <w:t>U.S. Supreme Court</w:t>
            </w:r>
            <w:r w:rsidRPr="00881400">
              <w:rPr>
                <w:sz w:val="20"/>
                <w:szCs w:val="20"/>
              </w:rPr>
              <w:t xml:space="preserve"> aus </w:t>
            </w:r>
            <w:r w:rsidRPr="00B45592">
              <w:rPr>
                <w:i/>
                <w:sz w:val="20"/>
                <w:szCs w:val="20"/>
              </w:rPr>
              <w:t>Cummings v. Missouri</w:t>
            </w:r>
            <w:r w:rsidRPr="00881400">
              <w:rPr>
                <w:sz w:val="20"/>
                <w:szCs w:val="20"/>
              </w:rPr>
              <w:t>.</w:t>
            </w:r>
            <w:r w:rsidRPr="00881400">
              <w:rPr>
                <w:sz w:val="20"/>
                <w:szCs w:val="20"/>
                <w:vertAlign w:val="superscript"/>
              </w:rPr>
              <w:footnoteReference w:id="500"/>
            </w:r>
            <w:r w:rsidRPr="00881400">
              <w:rPr>
                <w:sz w:val="20"/>
                <w:szCs w:val="20"/>
              </w:rPr>
              <w:t xml:space="preserve"> </w:t>
            </w:r>
            <w:proofErr w:type="gramStart"/>
            <w:r w:rsidRPr="00881400">
              <w:rPr>
                <w:sz w:val="20"/>
                <w:szCs w:val="20"/>
              </w:rPr>
              <w:t>Dort</w:t>
            </w:r>
            <w:proofErr w:type="gramEnd"/>
            <w:r w:rsidRPr="00881400">
              <w:rPr>
                <w:sz w:val="20"/>
                <w:szCs w:val="20"/>
              </w:rPr>
              <w:t xml:space="preserve"> wurden die Rechte beschrieben, die ein Staat grundsätzlich nicht einschränken dürfe</w:t>
            </w:r>
            <w:r>
              <w:rPr>
                <w:sz w:val="20"/>
                <w:szCs w:val="20"/>
              </w:rPr>
              <w:t>, d</w:t>
            </w:r>
            <w:r w:rsidRPr="00881400">
              <w:rPr>
                <w:sz w:val="20"/>
                <w:szCs w:val="20"/>
              </w:rPr>
              <w:t>enn auf diesen beruh</w:t>
            </w:r>
            <w:r>
              <w:rPr>
                <w:sz w:val="20"/>
                <w:szCs w:val="20"/>
              </w:rPr>
              <w:t>t</w:t>
            </w:r>
            <w:r w:rsidRPr="00881400">
              <w:rPr>
                <w:sz w:val="20"/>
                <w:szCs w:val="20"/>
              </w:rPr>
              <w:t>en die politischen Institutionen („</w:t>
            </w:r>
            <w:proofErr w:type="spellStart"/>
            <w:r w:rsidRPr="00881400">
              <w:rPr>
                <w:sz w:val="20"/>
                <w:szCs w:val="20"/>
              </w:rPr>
              <w:t>theory</w:t>
            </w:r>
            <w:proofErr w:type="spellEnd"/>
            <w:r w:rsidRPr="00881400">
              <w:rPr>
                <w:sz w:val="20"/>
                <w:szCs w:val="20"/>
              </w:rPr>
              <w:t xml:space="preserve"> upon </w:t>
            </w:r>
            <w:proofErr w:type="spellStart"/>
            <w:r w:rsidRPr="00881400">
              <w:rPr>
                <w:sz w:val="20"/>
                <w:szCs w:val="20"/>
              </w:rPr>
              <w:t>which</w:t>
            </w:r>
            <w:proofErr w:type="spellEnd"/>
            <w:r w:rsidRPr="00881400">
              <w:rPr>
                <w:sz w:val="20"/>
                <w:szCs w:val="20"/>
              </w:rPr>
              <w:t xml:space="preserve"> </w:t>
            </w:r>
            <w:proofErr w:type="spellStart"/>
            <w:r w:rsidRPr="00881400">
              <w:rPr>
                <w:sz w:val="20"/>
                <w:szCs w:val="20"/>
              </w:rPr>
              <w:t>our</w:t>
            </w:r>
            <w:proofErr w:type="spellEnd"/>
            <w:r w:rsidRPr="00881400">
              <w:rPr>
                <w:sz w:val="20"/>
                <w:szCs w:val="20"/>
              </w:rPr>
              <w:t xml:space="preserve"> </w:t>
            </w:r>
            <w:proofErr w:type="spellStart"/>
            <w:r w:rsidRPr="00881400">
              <w:rPr>
                <w:sz w:val="20"/>
                <w:szCs w:val="20"/>
              </w:rPr>
              <w:t>political</w:t>
            </w:r>
            <w:proofErr w:type="spellEnd"/>
            <w:r w:rsidRPr="00881400">
              <w:rPr>
                <w:sz w:val="20"/>
                <w:szCs w:val="20"/>
              </w:rPr>
              <w:t xml:space="preserve"> </w:t>
            </w:r>
            <w:proofErr w:type="spellStart"/>
            <w:r w:rsidRPr="00881400">
              <w:rPr>
                <w:sz w:val="20"/>
                <w:szCs w:val="20"/>
              </w:rPr>
              <w:t>institutions</w:t>
            </w:r>
            <w:proofErr w:type="spellEnd"/>
            <w:r w:rsidRPr="00881400">
              <w:rPr>
                <w:sz w:val="20"/>
                <w:szCs w:val="20"/>
              </w:rPr>
              <w:t xml:space="preserve"> </w:t>
            </w:r>
            <w:proofErr w:type="spellStart"/>
            <w:r w:rsidRPr="00881400">
              <w:rPr>
                <w:sz w:val="20"/>
                <w:szCs w:val="20"/>
              </w:rPr>
              <w:t>rest</w:t>
            </w:r>
            <w:proofErr w:type="spellEnd"/>
            <w:r w:rsidRPr="00881400">
              <w:rPr>
                <w:sz w:val="20"/>
                <w:szCs w:val="20"/>
              </w:rPr>
              <w:t>“</w:t>
            </w:r>
            <w:r w:rsidRPr="00881400">
              <w:rPr>
                <w:sz w:val="20"/>
                <w:szCs w:val="20"/>
                <w:vertAlign w:val="superscript"/>
              </w:rPr>
              <w:footnoteReference w:id="501"/>
            </w:r>
            <w:r w:rsidRPr="00881400">
              <w:rPr>
                <w:sz w:val="20"/>
                <w:szCs w:val="20"/>
              </w:rPr>
              <w:t xml:space="preserve">). </w:t>
            </w:r>
            <w:r w:rsidRPr="009D12DD">
              <w:rPr>
                <w:sz w:val="20"/>
                <w:szCs w:val="20"/>
              </w:rPr>
              <w:t>D</w:t>
            </w:r>
            <w:r w:rsidRPr="00881400">
              <w:rPr>
                <w:sz w:val="20"/>
                <w:szCs w:val="20"/>
              </w:rPr>
              <w:t xml:space="preserve">iese Rechte seien </w:t>
            </w:r>
            <w:r w:rsidRPr="009D12DD">
              <w:rPr>
                <w:sz w:val="20"/>
                <w:szCs w:val="20"/>
              </w:rPr>
              <w:t xml:space="preserve">daher </w:t>
            </w:r>
            <w:r w:rsidRPr="00881400">
              <w:rPr>
                <w:sz w:val="20"/>
                <w:szCs w:val="20"/>
              </w:rPr>
              <w:t xml:space="preserve">unveräußerlich. Sie </w:t>
            </w:r>
            <w:r>
              <w:rPr>
                <w:sz w:val="20"/>
                <w:szCs w:val="20"/>
              </w:rPr>
              <w:t>müssen</w:t>
            </w:r>
            <w:r w:rsidRPr="009D12DD">
              <w:rPr>
                <w:sz w:val="20"/>
                <w:szCs w:val="20"/>
              </w:rPr>
              <w:t xml:space="preserve"> stets </w:t>
            </w:r>
            <w:r w:rsidRPr="00881400">
              <w:rPr>
                <w:sz w:val="20"/>
                <w:szCs w:val="20"/>
              </w:rPr>
              <w:t>zu den Vorrechten eines jeden Bürgers</w:t>
            </w:r>
            <w:r w:rsidRPr="009D12DD">
              <w:rPr>
                <w:sz w:val="20"/>
                <w:szCs w:val="20"/>
              </w:rPr>
              <w:t xml:space="preserve"> gehören</w:t>
            </w:r>
            <w:r w:rsidRPr="00881400">
              <w:rPr>
                <w:sz w:val="20"/>
                <w:szCs w:val="20"/>
              </w:rPr>
              <w:t xml:space="preserve"> („</w:t>
            </w:r>
            <w:proofErr w:type="spellStart"/>
            <w:proofErr w:type="gramStart"/>
            <w:r w:rsidRPr="00881400">
              <w:rPr>
                <w:sz w:val="20"/>
                <w:szCs w:val="20"/>
              </w:rPr>
              <w:t>certain</w:t>
            </w:r>
            <w:proofErr w:type="spellEnd"/>
            <w:r w:rsidRPr="00881400">
              <w:rPr>
                <w:sz w:val="20"/>
                <w:szCs w:val="20"/>
              </w:rPr>
              <w:t xml:space="preserve"> </w:t>
            </w:r>
            <w:r>
              <w:rPr>
                <w:sz w:val="20"/>
                <w:szCs w:val="20"/>
              </w:rPr>
              <w:t>,</w:t>
            </w:r>
            <w:proofErr w:type="spellStart"/>
            <w:r w:rsidRPr="00881400">
              <w:rPr>
                <w:sz w:val="20"/>
                <w:szCs w:val="20"/>
              </w:rPr>
              <w:t>privileges</w:t>
            </w:r>
            <w:proofErr w:type="spellEnd"/>
            <w:proofErr w:type="gramEnd"/>
            <w:r w:rsidRPr="00881400">
              <w:rPr>
                <w:sz w:val="20"/>
                <w:szCs w:val="20"/>
              </w:rPr>
              <w:t xml:space="preserve"> and </w:t>
            </w:r>
            <w:proofErr w:type="spellStart"/>
            <w:r w:rsidRPr="00881400">
              <w:rPr>
                <w:sz w:val="20"/>
                <w:szCs w:val="20"/>
              </w:rPr>
              <w:t>immunities</w:t>
            </w:r>
            <w:proofErr w:type="spellEnd"/>
            <w:r>
              <w:rPr>
                <w:sz w:val="20"/>
                <w:szCs w:val="20"/>
              </w:rPr>
              <w:t>‘</w:t>
            </w:r>
            <w:r w:rsidRPr="00881400">
              <w:rPr>
                <w:sz w:val="20"/>
                <w:szCs w:val="20"/>
              </w:rPr>
              <w:t xml:space="preserve"> </w:t>
            </w:r>
            <w:proofErr w:type="spellStart"/>
            <w:r w:rsidRPr="00881400">
              <w:rPr>
                <w:sz w:val="20"/>
                <w:szCs w:val="20"/>
              </w:rPr>
              <w:t>which</w:t>
            </w:r>
            <w:proofErr w:type="spellEnd"/>
            <w:r w:rsidRPr="00881400">
              <w:rPr>
                <w:sz w:val="20"/>
                <w:szCs w:val="20"/>
              </w:rPr>
              <w:t xml:space="preserve"> </w:t>
            </w:r>
            <w:proofErr w:type="spellStart"/>
            <w:r w:rsidRPr="00881400">
              <w:rPr>
                <w:sz w:val="20"/>
                <w:szCs w:val="20"/>
              </w:rPr>
              <w:t>belong</w:t>
            </w:r>
            <w:proofErr w:type="spellEnd"/>
            <w:r w:rsidRPr="00881400">
              <w:rPr>
                <w:sz w:val="20"/>
                <w:szCs w:val="20"/>
              </w:rPr>
              <w:t xml:space="preserve"> to a </w:t>
            </w:r>
            <w:proofErr w:type="spellStart"/>
            <w:r w:rsidRPr="00881400">
              <w:rPr>
                <w:sz w:val="20"/>
                <w:szCs w:val="20"/>
              </w:rPr>
              <w:t>citizen</w:t>
            </w:r>
            <w:proofErr w:type="spellEnd"/>
            <w:r w:rsidRPr="00881400">
              <w:rPr>
                <w:sz w:val="20"/>
                <w:szCs w:val="20"/>
              </w:rPr>
              <w:t xml:space="preserve"> of the United States as such“</w:t>
            </w:r>
            <w:r w:rsidRPr="00881400">
              <w:rPr>
                <w:sz w:val="20"/>
                <w:szCs w:val="20"/>
                <w:vertAlign w:val="superscript"/>
              </w:rPr>
              <w:t xml:space="preserve"> </w:t>
            </w:r>
            <w:r w:rsidRPr="00881400">
              <w:rPr>
                <w:sz w:val="20"/>
                <w:szCs w:val="20"/>
                <w:vertAlign w:val="superscript"/>
              </w:rPr>
              <w:footnoteReference w:id="502"/>
            </w:r>
            <w:r w:rsidRPr="00881400">
              <w:rPr>
                <w:sz w:val="20"/>
                <w:szCs w:val="20"/>
              </w:rPr>
              <w:t xml:space="preserve">). Leitprinzip dieser unveräußerlichen Vorrechte sei, das gleiche Streben nach Glück zu eröffnen („the </w:t>
            </w:r>
            <w:proofErr w:type="spellStart"/>
            <w:r w:rsidRPr="00881400">
              <w:rPr>
                <w:sz w:val="20"/>
                <w:szCs w:val="20"/>
              </w:rPr>
              <w:t>pursuit</w:t>
            </w:r>
            <w:proofErr w:type="spellEnd"/>
            <w:r w:rsidRPr="00881400">
              <w:rPr>
                <w:sz w:val="20"/>
                <w:szCs w:val="20"/>
              </w:rPr>
              <w:t xml:space="preserve"> of </w:t>
            </w:r>
            <w:proofErr w:type="spellStart"/>
            <w:r w:rsidRPr="00881400">
              <w:rPr>
                <w:sz w:val="20"/>
                <w:szCs w:val="20"/>
              </w:rPr>
              <w:t>happiness</w:t>
            </w:r>
            <w:proofErr w:type="spellEnd"/>
            <w:r w:rsidRPr="00881400">
              <w:rPr>
                <w:sz w:val="20"/>
                <w:szCs w:val="20"/>
              </w:rPr>
              <w:t xml:space="preserve"> [of] all </w:t>
            </w:r>
            <w:proofErr w:type="spellStart"/>
            <w:r w:rsidRPr="00881400">
              <w:rPr>
                <w:sz w:val="20"/>
                <w:szCs w:val="20"/>
              </w:rPr>
              <w:t>avocations</w:t>
            </w:r>
            <w:proofErr w:type="spellEnd"/>
            <w:r w:rsidRPr="00881400">
              <w:rPr>
                <w:sz w:val="20"/>
                <w:szCs w:val="20"/>
              </w:rPr>
              <w:t>“</w:t>
            </w:r>
            <w:r w:rsidRPr="00881400">
              <w:rPr>
                <w:sz w:val="20"/>
                <w:szCs w:val="20"/>
                <w:vertAlign w:val="superscript"/>
              </w:rPr>
              <w:t xml:space="preserve"> </w:t>
            </w:r>
            <w:r w:rsidRPr="00881400">
              <w:rPr>
                <w:sz w:val="20"/>
                <w:szCs w:val="20"/>
                <w:vertAlign w:val="superscript"/>
              </w:rPr>
              <w:footnoteReference w:id="503"/>
            </w:r>
            <w:r w:rsidRPr="00881400">
              <w:rPr>
                <w:sz w:val="20"/>
                <w:szCs w:val="20"/>
              </w:rPr>
              <w:t>). Dieses besage</w:t>
            </w:r>
            <w:r>
              <w:rPr>
                <w:sz w:val="20"/>
                <w:szCs w:val="20"/>
              </w:rPr>
              <w:t>, d</w:t>
            </w:r>
            <w:r w:rsidRPr="00881400">
              <w:rPr>
                <w:sz w:val="20"/>
                <w:szCs w:val="20"/>
              </w:rPr>
              <w:t>ass beim Streben nach Glück alle Berufe</w:t>
            </w:r>
            <w:r>
              <w:rPr>
                <w:sz w:val="20"/>
                <w:szCs w:val="20"/>
              </w:rPr>
              <w:t xml:space="preserve"> und</w:t>
            </w:r>
            <w:r w:rsidRPr="00881400">
              <w:rPr>
                <w:sz w:val="20"/>
                <w:szCs w:val="20"/>
              </w:rPr>
              <w:t xml:space="preserve"> alle öffentlichen Ämter</w:t>
            </w:r>
            <w:r>
              <w:rPr>
                <w:sz w:val="20"/>
                <w:szCs w:val="20"/>
              </w:rPr>
              <w:t xml:space="preserve"> a</w:t>
            </w:r>
            <w:r w:rsidRPr="00881400">
              <w:rPr>
                <w:sz w:val="20"/>
                <w:szCs w:val="20"/>
              </w:rPr>
              <w:t>llen</w:t>
            </w:r>
            <w:r>
              <w:rPr>
                <w:sz w:val="20"/>
                <w:szCs w:val="20"/>
              </w:rPr>
              <w:t xml:space="preserve"> Bürgern</w:t>
            </w:r>
            <w:r w:rsidRPr="00881400">
              <w:rPr>
                <w:sz w:val="20"/>
                <w:szCs w:val="20"/>
              </w:rPr>
              <w:t xml:space="preserve"> gleichermaßen offenstehen müss</w:t>
            </w:r>
            <w:r>
              <w:rPr>
                <w:sz w:val="20"/>
                <w:szCs w:val="20"/>
              </w:rPr>
              <w:t>t</w:t>
            </w:r>
            <w:r w:rsidRPr="00881400">
              <w:rPr>
                <w:sz w:val="20"/>
                <w:szCs w:val="20"/>
              </w:rPr>
              <w:t>en; dass beim Schutz dieser Rechte alle vor dem Gesetz gleich seien; sowie</w:t>
            </w:r>
            <w:r>
              <w:rPr>
                <w:sz w:val="20"/>
                <w:szCs w:val="20"/>
              </w:rPr>
              <w:t xml:space="preserve"> dass</w:t>
            </w:r>
            <w:r w:rsidRPr="00881400">
              <w:rPr>
                <w:sz w:val="20"/>
                <w:szCs w:val="20"/>
              </w:rPr>
              <w:t xml:space="preserve"> jede Einschränkung dieser Rechte einer Straftat gleichkäme. Nach dem</w:t>
            </w:r>
            <w:r w:rsidRPr="009D12DD">
              <w:rPr>
                <w:sz w:val="20"/>
                <w:szCs w:val="20"/>
              </w:rPr>
              <w:t xml:space="preserve"> gleichen</w:t>
            </w:r>
            <w:r w:rsidRPr="00881400">
              <w:rPr>
                <w:sz w:val="20"/>
                <w:szCs w:val="20"/>
              </w:rPr>
              <w:t xml:space="preserve"> Streben nach Glück als Leitprinzip dieser unveräußerlichen Vorrechte gäbe es zwei Folgen für den Fall: Einerseits sei der Beruf des Anwalts kein vom Staat geschaffenes Amt, dessen Zugang er besonders beschränken könne. Sondern es sei ein Beruf, den jeder Bürger aus eigener Kraft erreichen könne,</w:t>
            </w:r>
            <w:r w:rsidRPr="00881400">
              <w:rPr>
                <w:sz w:val="20"/>
                <w:szCs w:val="20"/>
                <w:vertAlign w:val="superscript"/>
              </w:rPr>
              <w:footnoteReference w:id="504"/>
            </w:r>
            <w:r w:rsidRPr="00881400">
              <w:rPr>
                <w:sz w:val="20"/>
                <w:szCs w:val="20"/>
              </w:rPr>
              <w:t xml:space="preserve"> also aus eigenem Streben nach Glück. Damit sei andererseits der Beruf des Rechtsanwalts ein Beruf, der jedem Bürger der Vereinigten Staaten offenstehen müsse. Zwar </w:t>
            </w:r>
            <w:r>
              <w:rPr>
                <w:sz w:val="20"/>
                <w:szCs w:val="20"/>
              </w:rPr>
              <w:t>könne</w:t>
            </w:r>
            <w:r w:rsidRPr="00881400">
              <w:rPr>
                <w:sz w:val="20"/>
                <w:szCs w:val="20"/>
              </w:rPr>
              <w:t xml:space="preserve"> der Gesetzgeber Qualifikationen für diese Tätigkeit vorgeben</w:t>
            </w:r>
            <w:r>
              <w:rPr>
                <w:sz w:val="20"/>
                <w:szCs w:val="20"/>
              </w:rPr>
              <w:t>, etwa</w:t>
            </w:r>
            <w:r w:rsidRPr="00881400">
              <w:rPr>
                <w:sz w:val="20"/>
                <w:szCs w:val="20"/>
              </w:rPr>
              <w:t xml:space="preserve"> eine Altersgrenze oder das Bildungsniveau </w:t>
            </w:r>
            <w:r w:rsidRPr="009D12DD">
              <w:rPr>
                <w:sz w:val="20"/>
                <w:szCs w:val="20"/>
              </w:rPr>
              <w:t>bestimmen</w:t>
            </w:r>
            <w:r w:rsidRPr="00881400">
              <w:rPr>
                <w:sz w:val="20"/>
                <w:szCs w:val="20"/>
              </w:rPr>
              <w:t xml:space="preserve">. Aber er </w:t>
            </w:r>
            <w:r>
              <w:rPr>
                <w:sz w:val="20"/>
                <w:szCs w:val="20"/>
              </w:rPr>
              <w:t>könne</w:t>
            </w:r>
            <w:r w:rsidRPr="00881400">
              <w:rPr>
                <w:sz w:val="20"/>
                <w:szCs w:val="20"/>
              </w:rPr>
              <w:t xml:space="preserve"> nicht unter dem Deckmantel einer Vorgabe eine </w:t>
            </w:r>
            <w:r w:rsidRPr="009D12DD">
              <w:rPr>
                <w:sz w:val="20"/>
                <w:szCs w:val="20"/>
              </w:rPr>
              <w:t xml:space="preserve">ganze </w:t>
            </w:r>
            <w:r w:rsidRPr="00881400">
              <w:rPr>
                <w:sz w:val="20"/>
                <w:szCs w:val="20"/>
              </w:rPr>
              <w:t>Gruppe von Bürgern von d</w:t>
            </w:r>
            <w:r w:rsidRPr="009D12DD">
              <w:rPr>
                <w:sz w:val="20"/>
                <w:szCs w:val="20"/>
              </w:rPr>
              <w:t>er</w:t>
            </w:r>
            <w:r w:rsidRPr="00881400">
              <w:rPr>
                <w:sz w:val="20"/>
                <w:szCs w:val="20"/>
              </w:rPr>
              <w:t xml:space="preserve"> Anwalts</w:t>
            </w:r>
            <w:r w:rsidRPr="009D12DD">
              <w:rPr>
                <w:sz w:val="20"/>
                <w:szCs w:val="20"/>
              </w:rPr>
              <w:t xml:space="preserve">zulassung </w:t>
            </w:r>
            <w:r w:rsidRPr="00881400">
              <w:rPr>
                <w:sz w:val="20"/>
                <w:szCs w:val="20"/>
              </w:rPr>
              <w:t>in einem anderen Bundesstaat absolut ausschließen</w:t>
            </w:r>
            <w:r w:rsidRPr="009D12DD">
              <w:rPr>
                <w:sz w:val="20"/>
                <w:szCs w:val="20"/>
              </w:rPr>
              <w:t xml:space="preserve">, </w:t>
            </w:r>
            <w:r w:rsidRPr="00881400">
              <w:rPr>
                <w:sz w:val="20"/>
                <w:szCs w:val="20"/>
              </w:rPr>
              <w:t xml:space="preserve">indem er </w:t>
            </w:r>
            <w:r w:rsidRPr="009D12DD">
              <w:rPr>
                <w:sz w:val="20"/>
                <w:szCs w:val="20"/>
              </w:rPr>
              <w:t xml:space="preserve">z.B. </w:t>
            </w:r>
            <w:r w:rsidRPr="00881400">
              <w:rPr>
                <w:sz w:val="20"/>
                <w:szCs w:val="20"/>
              </w:rPr>
              <w:t>eine Qualifikation einführ</w:t>
            </w:r>
            <w:r w:rsidRPr="009D12DD">
              <w:rPr>
                <w:sz w:val="20"/>
                <w:szCs w:val="20"/>
              </w:rPr>
              <w:t>e</w:t>
            </w:r>
            <w:r w:rsidRPr="00881400">
              <w:rPr>
                <w:sz w:val="20"/>
                <w:szCs w:val="20"/>
              </w:rPr>
              <w:t>, die eine ganze Gruppe niemals erreichen könne, wie die Herkunft aus einem anderen Bundesstaat. Das sei keine Regelung der Anwaltszulassung</w:t>
            </w:r>
            <w:r>
              <w:rPr>
                <w:sz w:val="20"/>
                <w:szCs w:val="20"/>
              </w:rPr>
              <w:t>, s</w:t>
            </w:r>
            <w:r w:rsidRPr="00881400">
              <w:rPr>
                <w:sz w:val="20"/>
                <w:szCs w:val="20"/>
              </w:rPr>
              <w:t>ondern es sei ein Verbot für Bürger.</w:t>
            </w:r>
            <w:r w:rsidRPr="00881400">
              <w:rPr>
                <w:sz w:val="20"/>
                <w:szCs w:val="20"/>
                <w:vertAlign w:val="superscript"/>
              </w:rPr>
              <w:footnoteReference w:id="505"/>
            </w:r>
            <w:r w:rsidRPr="00881400">
              <w:rPr>
                <w:sz w:val="20"/>
                <w:szCs w:val="20"/>
              </w:rPr>
              <w:t xml:space="preserve"> </w:t>
            </w:r>
            <w:r w:rsidRPr="009D12DD">
              <w:rPr>
                <w:sz w:val="20"/>
                <w:szCs w:val="20"/>
              </w:rPr>
              <w:t>Ein solches</w:t>
            </w:r>
            <w:r w:rsidRPr="00881400">
              <w:rPr>
                <w:sz w:val="20"/>
                <w:szCs w:val="20"/>
              </w:rPr>
              <w:t xml:space="preserve"> sei aber unvereinbar mit dem gleichen Streben nach Glück in allen Bundesstaaten („the </w:t>
            </w:r>
            <w:proofErr w:type="spellStart"/>
            <w:r w:rsidRPr="00881400">
              <w:rPr>
                <w:sz w:val="20"/>
                <w:szCs w:val="20"/>
              </w:rPr>
              <w:t>pursuit</w:t>
            </w:r>
            <w:proofErr w:type="spellEnd"/>
            <w:r w:rsidRPr="00881400">
              <w:rPr>
                <w:sz w:val="20"/>
                <w:szCs w:val="20"/>
              </w:rPr>
              <w:t xml:space="preserve"> of </w:t>
            </w:r>
            <w:proofErr w:type="spellStart"/>
            <w:r w:rsidRPr="00881400">
              <w:rPr>
                <w:sz w:val="20"/>
                <w:szCs w:val="20"/>
              </w:rPr>
              <w:t>happiness</w:t>
            </w:r>
            <w:proofErr w:type="spellEnd"/>
            <w:r w:rsidRPr="00881400">
              <w:rPr>
                <w:sz w:val="20"/>
                <w:szCs w:val="20"/>
              </w:rPr>
              <w:t xml:space="preserve"> [of] all </w:t>
            </w:r>
            <w:proofErr w:type="spellStart"/>
            <w:r w:rsidRPr="00881400">
              <w:rPr>
                <w:sz w:val="20"/>
                <w:szCs w:val="20"/>
              </w:rPr>
              <w:t>avocations</w:t>
            </w:r>
            <w:proofErr w:type="spellEnd"/>
            <w:r w:rsidRPr="00881400">
              <w:rPr>
                <w:sz w:val="20"/>
                <w:szCs w:val="20"/>
              </w:rPr>
              <w:t xml:space="preserve">“; „the </w:t>
            </w:r>
            <w:proofErr w:type="spellStart"/>
            <w:r w:rsidRPr="00881400">
              <w:rPr>
                <w:sz w:val="20"/>
                <w:szCs w:val="20"/>
              </w:rPr>
              <w:t>pursuit</w:t>
            </w:r>
            <w:proofErr w:type="spellEnd"/>
            <w:r w:rsidRPr="00881400">
              <w:rPr>
                <w:sz w:val="20"/>
                <w:szCs w:val="20"/>
              </w:rPr>
              <w:t xml:space="preserve"> of the </w:t>
            </w:r>
            <w:proofErr w:type="spellStart"/>
            <w:r w:rsidRPr="00881400">
              <w:rPr>
                <w:sz w:val="20"/>
                <w:szCs w:val="20"/>
              </w:rPr>
              <w:t>other</w:t>
            </w:r>
            <w:proofErr w:type="spellEnd"/>
            <w:r w:rsidRPr="00881400">
              <w:rPr>
                <w:sz w:val="20"/>
                <w:szCs w:val="20"/>
              </w:rPr>
              <w:t xml:space="preserve"> </w:t>
            </w:r>
            <w:proofErr w:type="spellStart"/>
            <w:r w:rsidRPr="00881400">
              <w:rPr>
                <w:sz w:val="20"/>
                <w:szCs w:val="20"/>
              </w:rPr>
              <w:t>ordinary</w:t>
            </w:r>
            <w:proofErr w:type="spellEnd"/>
            <w:r w:rsidRPr="00881400">
              <w:rPr>
                <w:sz w:val="20"/>
                <w:szCs w:val="20"/>
              </w:rPr>
              <w:t xml:space="preserve"> </w:t>
            </w:r>
            <w:proofErr w:type="spellStart"/>
            <w:r w:rsidRPr="00881400">
              <w:rPr>
                <w:sz w:val="20"/>
                <w:szCs w:val="20"/>
              </w:rPr>
              <w:t>avocations</w:t>
            </w:r>
            <w:proofErr w:type="spellEnd"/>
            <w:r w:rsidRPr="00881400">
              <w:rPr>
                <w:sz w:val="20"/>
                <w:szCs w:val="20"/>
              </w:rPr>
              <w:t xml:space="preserve"> of </w:t>
            </w:r>
            <w:proofErr w:type="spellStart"/>
            <w:r w:rsidRPr="00881400">
              <w:rPr>
                <w:sz w:val="20"/>
                <w:szCs w:val="20"/>
              </w:rPr>
              <w:t>life</w:t>
            </w:r>
            <w:proofErr w:type="spellEnd"/>
            <w:r w:rsidRPr="00881400">
              <w:rPr>
                <w:sz w:val="20"/>
                <w:szCs w:val="20"/>
              </w:rPr>
              <w:t>“).</w:t>
            </w:r>
            <w:r w:rsidRPr="00881400">
              <w:rPr>
                <w:sz w:val="20"/>
                <w:szCs w:val="20"/>
                <w:vertAlign w:val="superscript"/>
              </w:rPr>
              <w:footnoteReference w:id="506"/>
            </w:r>
          </w:p>
          <w:p w14:paraId="78955C8F" w14:textId="77777777" w:rsidR="00074551" w:rsidRPr="009D12DD" w:rsidRDefault="00074551" w:rsidP="00367133">
            <w:pPr>
              <w:jc w:val="both"/>
              <w:rPr>
                <w:sz w:val="20"/>
                <w:szCs w:val="20"/>
              </w:rPr>
            </w:pPr>
          </w:p>
        </w:tc>
      </w:tr>
      <w:tr w:rsidR="00074551" w:rsidRPr="00E50B51" w14:paraId="0840A31E" w14:textId="77777777" w:rsidTr="00BE689F">
        <w:trPr>
          <w:cantSplit/>
          <w:trHeight w:val="3175"/>
        </w:trPr>
        <w:tc>
          <w:tcPr>
            <w:tcW w:w="293" w:type="pct"/>
          </w:tcPr>
          <w:p w14:paraId="27B84BC0"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43EBFF1" w14:textId="77777777" w:rsidR="00074551" w:rsidRPr="00E50B51" w:rsidRDefault="00074551" w:rsidP="00367133">
            <w:pPr>
              <w:ind w:left="113" w:right="113"/>
              <w:jc w:val="both"/>
              <w:rPr>
                <w:sz w:val="20"/>
                <w:szCs w:val="20"/>
                <w:lang w:val="en-US"/>
              </w:rPr>
            </w:pPr>
            <w:r w:rsidRPr="00584023">
              <w:rPr>
                <w:i/>
                <w:sz w:val="20"/>
                <w:szCs w:val="20"/>
                <w:lang w:val="en-US"/>
              </w:rPr>
              <w:t>Chambers v. Baltimore &amp; O. R. Co.</w:t>
            </w:r>
          </w:p>
        </w:tc>
        <w:tc>
          <w:tcPr>
            <w:tcW w:w="197" w:type="pct"/>
            <w:textDirection w:val="tbRl"/>
            <w:vAlign w:val="center"/>
          </w:tcPr>
          <w:p w14:paraId="56566D6C" w14:textId="77777777" w:rsidR="00074551" w:rsidRPr="00E50B51" w:rsidRDefault="00074551" w:rsidP="00367133">
            <w:pPr>
              <w:ind w:left="113" w:right="113"/>
              <w:jc w:val="both"/>
              <w:rPr>
                <w:sz w:val="20"/>
                <w:szCs w:val="20"/>
                <w:lang w:val="en-US"/>
              </w:rPr>
            </w:pPr>
            <w:r w:rsidRPr="00E50B51">
              <w:rPr>
                <w:sz w:val="20"/>
                <w:szCs w:val="20"/>
                <w:lang w:val="en-US"/>
              </w:rPr>
              <w:t>207 U.S. 142</w:t>
            </w:r>
          </w:p>
        </w:tc>
        <w:tc>
          <w:tcPr>
            <w:tcW w:w="306" w:type="pct"/>
            <w:textDirection w:val="tbRl"/>
            <w:vAlign w:val="center"/>
          </w:tcPr>
          <w:p w14:paraId="4CB09F27" w14:textId="77777777" w:rsidR="00074551" w:rsidRPr="00E50B51" w:rsidRDefault="00074551" w:rsidP="00367133">
            <w:pPr>
              <w:ind w:left="113" w:right="113"/>
              <w:jc w:val="both"/>
              <w:rPr>
                <w:sz w:val="20"/>
                <w:szCs w:val="20"/>
              </w:rPr>
            </w:pPr>
            <w:r w:rsidRPr="00E50B51">
              <w:rPr>
                <w:sz w:val="20"/>
                <w:szCs w:val="20"/>
              </w:rPr>
              <w:t>18. November 1907</w:t>
            </w:r>
          </w:p>
        </w:tc>
        <w:tc>
          <w:tcPr>
            <w:tcW w:w="401" w:type="pct"/>
          </w:tcPr>
          <w:p w14:paraId="2ED6699F"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729EB30E" w14:textId="77777777" w:rsidR="00074551" w:rsidRPr="00E50B51" w:rsidRDefault="00074551" w:rsidP="00367133">
            <w:pPr>
              <w:jc w:val="both"/>
              <w:rPr>
                <w:sz w:val="20"/>
                <w:szCs w:val="20"/>
              </w:rPr>
            </w:pPr>
            <w:r w:rsidRPr="00E50B51">
              <w:rPr>
                <w:sz w:val="20"/>
                <w:szCs w:val="20"/>
              </w:rPr>
              <w:t>*</w:t>
            </w:r>
          </w:p>
        </w:tc>
        <w:tc>
          <w:tcPr>
            <w:tcW w:w="1822" w:type="pct"/>
          </w:tcPr>
          <w:p w14:paraId="4D480610" w14:textId="7AEED86D" w:rsidR="00074551" w:rsidRPr="00E50B51" w:rsidRDefault="00074551" w:rsidP="00367133">
            <w:pPr>
              <w:jc w:val="both"/>
              <w:rPr>
                <w:sz w:val="20"/>
                <w:szCs w:val="20"/>
              </w:rPr>
            </w:pPr>
            <w:r w:rsidRPr="00E50B51">
              <w:rPr>
                <w:sz w:val="20"/>
                <w:szCs w:val="20"/>
              </w:rPr>
              <w:t xml:space="preserve">Der Dissens fragte, </w:t>
            </w:r>
            <w:r>
              <w:rPr>
                <w:sz w:val="20"/>
                <w:szCs w:val="20"/>
              </w:rPr>
              <w:t>welche die</w:t>
            </w:r>
            <w:r w:rsidRPr="00E50B51">
              <w:rPr>
                <w:sz w:val="20"/>
                <w:szCs w:val="20"/>
              </w:rPr>
              <w:t xml:space="preserve"> Vorrechte und </w:t>
            </w:r>
            <w:r>
              <w:rPr>
                <w:sz w:val="20"/>
                <w:szCs w:val="20"/>
              </w:rPr>
              <w:t>Immunitäten</w:t>
            </w:r>
            <w:r w:rsidRPr="00E50B51">
              <w:rPr>
                <w:sz w:val="20"/>
                <w:szCs w:val="20"/>
              </w:rPr>
              <w:t xml:space="preserve"> seien, die </w:t>
            </w:r>
            <w:r>
              <w:rPr>
                <w:sz w:val="20"/>
                <w:szCs w:val="20"/>
              </w:rPr>
              <w:t>in allen</w:t>
            </w:r>
            <w:r w:rsidRPr="00E50B51">
              <w:rPr>
                <w:sz w:val="20"/>
                <w:szCs w:val="20"/>
              </w:rPr>
              <w:t xml:space="preserve"> Bundesstaaten gelten</w:t>
            </w:r>
            <w:r>
              <w:rPr>
                <w:sz w:val="20"/>
                <w:szCs w:val="20"/>
              </w:rPr>
              <w:t xml:space="preserve"> müssten.</w:t>
            </w:r>
            <w:r w:rsidRPr="00E50B51">
              <w:rPr>
                <w:sz w:val="20"/>
                <w:szCs w:val="20"/>
              </w:rPr>
              <w:t xml:space="preserve"> </w:t>
            </w:r>
            <w:r w:rsidRPr="008C27EF">
              <w:rPr>
                <w:sz w:val="20"/>
                <w:szCs w:val="20"/>
              </w:rPr>
              <w:t xml:space="preserve">Das seien solche, die ihrer Natur nach grundlegend </w:t>
            </w:r>
            <w:r>
              <w:rPr>
                <w:sz w:val="20"/>
                <w:szCs w:val="20"/>
              </w:rPr>
              <w:t>seien</w:t>
            </w:r>
            <w:r w:rsidRPr="008C27EF">
              <w:rPr>
                <w:sz w:val="20"/>
                <w:szCs w:val="20"/>
              </w:rPr>
              <w:t>. D</w:t>
            </w:r>
            <w:r w:rsidRPr="002409B7">
              <w:rPr>
                <w:sz w:val="20"/>
                <w:szCs w:val="20"/>
              </w:rPr>
              <w:t xml:space="preserve">.h. diese </w:t>
            </w:r>
            <w:r>
              <w:rPr>
                <w:sz w:val="20"/>
                <w:szCs w:val="20"/>
              </w:rPr>
              <w:t>stünden den</w:t>
            </w:r>
            <w:r w:rsidRPr="008C27EF">
              <w:rPr>
                <w:sz w:val="20"/>
                <w:szCs w:val="20"/>
              </w:rPr>
              <w:t xml:space="preserve"> Bürgern freier Regierungen typischerweise seit der Unabhängigkeit und Souveränität zu. Doch welche Rechte gehen damit einher? Als Antwort zitierte der Dissens den </w:t>
            </w:r>
            <w:r>
              <w:rPr>
                <w:sz w:val="20"/>
                <w:szCs w:val="20"/>
              </w:rPr>
              <w:t>U.S. Supreme Court</w:t>
            </w:r>
            <w:r w:rsidRPr="008C27EF">
              <w:rPr>
                <w:sz w:val="20"/>
                <w:szCs w:val="20"/>
              </w:rPr>
              <w:t xml:space="preserve"> in </w:t>
            </w:r>
            <w:r w:rsidRPr="00B45592">
              <w:rPr>
                <w:i/>
                <w:sz w:val="20"/>
                <w:szCs w:val="20"/>
              </w:rPr>
              <w:t>Paul v. Virginia</w:t>
            </w:r>
            <w:r w:rsidRPr="008C27EF">
              <w:rPr>
                <w:sz w:val="20"/>
                <w:szCs w:val="20"/>
              </w:rPr>
              <w:t>.</w:t>
            </w:r>
            <w:r w:rsidRPr="008C27EF">
              <w:rPr>
                <w:sz w:val="20"/>
                <w:szCs w:val="20"/>
                <w:vertAlign w:val="superscript"/>
              </w:rPr>
              <w:footnoteReference w:id="507"/>
            </w:r>
            <w:r w:rsidRPr="008C27EF">
              <w:rPr>
                <w:sz w:val="20"/>
                <w:szCs w:val="20"/>
              </w:rPr>
              <w:t xml:space="preserve"> </w:t>
            </w:r>
            <w:proofErr w:type="gramStart"/>
            <w:r w:rsidRPr="008C27EF">
              <w:rPr>
                <w:sz w:val="20"/>
                <w:szCs w:val="20"/>
              </w:rPr>
              <w:t>Dort</w:t>
            </w:r>
            <w:proofErr w:type="gramEnd"/>
            <w:r w:rsidRPr="008C27EF">
              <w:rPr>
                <w:sz w:val="20"/>
                <w:szCs w:val="20"/>
              </w:rPr>
              <w:t xml:space="preserve"> erklärte der </w:t>
            </w:r>
            <w:r>
              <w:rPr>
                <w:sz w:val="20"/>
                <w:szCs w:val="20"/>
              </w:rPr>
              <w:t>U.S. Supreme Court</w:t>
            </w:r>
            <w:r w:rsidRPr="008C27EF">
              <w:rPr>
                <w:sz w:val="20"/>
                <w:szCs w:val="20"/>
              </w:rPr>
              <w:t xml:space="preserve"> anhand des Ziels des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8C27EF">
              <w:rPr>
                <w:sz w:val="20"/>
                <w:szCs w:val="20"/>
              </w:rPr>
              <w:t xml:space="preserve"> die Vorrechte und </w:t>
            </w:r>
            <w:r>
              <w:rPr>
                <w:sz w:val="20"/>
                <w:szCs w:val="20"/>
              </w:rPr>
              <w:t>Immunitäten</w:t>
            </w:r>
            <w:r w:rsidRPr="008C27EF">
              <w:rPr>
                <w:sz w:val="20"/>
                <w:szCs w:val="20"/>
              </w:rPr>
              <w:t>, die über die einzelnen Bundesstaaten hinweg g</w:t>
            </w:r>
            <w:r>
              <w:rPr>
                <w:sz w:val="20"/>
                <w:szCs w:val="20"/>
              </w:rPr>
              <w:t>ä</w:t>
            </w:r>
            <w:r w:rsidRPr="008C27EF">
              <w:rPr>
                <w:sz w:val="20"/>
                <w:szCs w:val="20"/>
              </w:rPr>
              <w:t>lten</w:t>
            </w:r>
            <w:r w:rsidRPr="002409B7">
              <w:rPr>
                <w:sz w:val="20"/>
                <w:szCs w:val="20"/>
              </w:rPr>
              <w:t>, die also grundlegend seien</w:t>
            </w:r>
            <w:r w:rsidRPr="008C27EF">
              <w:rPr>
                <w:sz w:val="20"/>
                <w:szCs w:val="20"/>
              </w:rPr>
              <w:t xml:space="preserve">. </w:t>
            </w:r>
            <w:r>
              <w:rPr>
                <w:sz w:val="20"/>
                <w:szCs w:val="20"/>
              </w:rPr>
              <w:t>Deren</w:t>
            </w:r>
            <w:r w:rsidRPr="008C27EF">
              <w:rPr>
                <w:sz w:val="20"/>
                <w:szCs w:val="20"/>
              </w:rPr>
              <w:t xml:space="preserve"> Ziel: </w:t>
            </w:r>
            <w:r>
              <w:rPr>
                <w:sz w:val="20"/>
                <w:szCs w:val="20"/>
              </w:rPr>
              <w:t>d</w:t>
            </w:r>
            <w:r w:rsidRPr="008C27EF">
              <w:rPr>
                <w:sz w:val="20"/>
                <w:szCs w:val="20"/>
              </w:rPr>
              <w:t>ie Bürger eines jeden Bundesstaats auf die gleiche Stufe mit den Bürgern anderer Bundesstaaten zu stellen, soweit es um Vorteile geh</w:t>
            </w:r>
            <w:r>
              <w:rPr>
                <w:sz w:val="20"/>
                <w:szCs w:val="20"/>
              </w:rPr>
              <w:t>t</w:t>
            </w:r>
            <w:r w:rsidRPr="008C27EF">
              <w:rPr>
                <w:sz w:val="20"/>
                <w:szCs w:val="20"/>
              </w:rPr>
              <w:t xml:space="preserve">, die sich aus der Staatsbürgerschaft in diesen Bundesstaaten ergeben. Oder kehrseitlich ausgedrückt: Bundesstaaten haben von Behinderungen zu befreien, die sich aus der Zugehörigkeit </w:t>
            </w:r>
            <w:r w:rsidRPr="002409B7">
              <w:rPr>
                <w:sz w:val="20"/>
                <w:szCs w:val="20"/>
              </w:rPr>
              <w:t>zu einem</w:t>
            </w:r>
            <w:r w:rsidRPr="008C27EF">
              <w:rPr>
                <w:sz w:val="20"/>
                <w:szCs w:val="20"/>
              </w:rPr>
              <w:t xml:space="preserve"> Bundesstaat ergeben. Und in diesem Rahmen seien dann Gleichheit und bürgerliche Freiheiten zu gewähren. Darunter falle die Reisefreiheit bzw. Freizügigkeit, die Gleichheit vor dem Gesetz und die gleiche Erwerbs- und Nutzungsmöglichkeit von Eigentum. Insgesamt sei die gleiche Freiheit zu sichern, die </w:t>
            </w:r>
            <w:r>
              <w:rPr>
                <w:sz w:val="20"/>
                <w:szCs w:val="20"/>
              </w:rPr>
              <w:t>den</w:t>
            </w:r>
            <w:r w:rsidRPr="008C27EF">
              <w:rPr>
                <w:sz w:val="20"/>
                <w:szCs w:val="20"/>
              </w:rPr>
              <w:t xml:space="preserve"> Bürger</w:t>
            </w:r>
            <w:r>
              <w:rPr>
                <w:sz w:val="20"/>
                <w:szCs w:val="20"/>
              </w:rPr>
              <w:t>n</w:t>
            </w:r>
            <w:r w:rsidRPr="008C27EF">
              <w:rPr>
                <w:sz w:val="20"/>
                <w:szCs w:val="20"/>
              </w:rPr>
              <w:t xml:space="preserve"> der Bundesstaaten beim Streben nach Glück zukomme („it </w:t>
            </w:r>
            <w:proofErr w:type="spellStart"/>
            <w:r w:rsidRPr="008C27EF">
              <w:rPr>
                <w:sz w:val="20"/>
                <w:szCs w:val="20"/>
              </w:rPr>
              <w:t>insures</w:t>
            </w:r>
            <w:proofErr w:type="spellEnd"/>
            <w:r w:rsidRPr="008C27EF">
              <w:rPr>
                <w:sz w:val="20"/>
                <w:szCs w:val="20"/>
              </w:rPr>
              <w:t xml:space="preserve"> to </w:t>
            </w:r>
            <w:proofErr w:type="spellStart"/>
            <w:r w:rsidRPr="008C27EF">
              <w:rPr>
                <w:sz w:val="20"/>
                <w:szCs w:val="20"/>
              </w:rPr>
              <w:t>them</w:t>
            </w:r>
            <w:proofErr w:type="spellEnd"/>
            <w:r w:rsidRPr="008C27EF">
              <w:rPr>
                <w:sz w:val="20"/>
                <w:szCs w:val="20"/>
              </w:rPr>
              <w:t xml:space="preserve"> in </w:t>
            </w:r>
            <w:proofErr w:type="spellStart"/>
            <w:r w:rsidRPr="008C27EF">
              <w:rPr>
                <w:sz w:val="20"/>
                <w:szCs w:val="20"/>
              </w:rPr>
              <w:t>other</w:t>
            </w:r>
            <w:proofErr w:type="spellEnd"/>
            <w:r w:rsidRPr="008C27EF">
              <w:rPr>
                <w:sz w:val="20"/>
                <w:szCs w:val="20"/>
              </w:rPr>
              <w:t xml:space="preserve"> States the same </w:t>
            </w:r>
            <w:proofErr w:type="spellStart"/>
            <w:r w:rsidRPr="008C27EF">
              <w:rPr>
                <w:sz w:val="20"/>
                <w:szCs w:val="20"/>
              </w:rPr>
              <w:t>freedom</w:t>
            </w:r>
            <w:proofErr w:type="spellEnd"/>
            <w:r w:rsidRPr="008C27EF">
              <w:rPr>
                <w:sz w:val="20"/>
                <w:szCs w:val="20"/>
              </w:rPr>
              <w:t xml:space="preserve"> </w:t>
            </w:r>
            <w:proofErr w:type="spellStart"/>
            <w:r w:rsidRPr="008C27EF">
              <w:rPr>
                <w:sz w:val="20"/>
                <w:szCs w:val="20"/>
              </w:rPr>
              <w:t>possessed</w:t>
            </w:r>
            <w:proofErr w:type="spellEnd"/>
            <w:r w:rsidRPr="008C27EF">
              <w:rPr>
                <w:sz w:val="20"/>
                <w:szCs w:val="20"/>
              </w:rPr>
              <w:t xml:space="preserve"> by the </w:t>
            </w:r>
            <w:proofErr w:type="spellStart"/>
            <w:r w:rsidRPr="008C27EF">
              <w:rPr>
                <w:sz w:val="20"/>
                <w:szCs w:val="20"/>
              </w:rPr>
              <w:t>citizens</w:t>
            </w:r>
            <w:proofErr w:type="spellEnd"/>
            <w:r w:rsidRPr="008C27EF">
              <w:rPr>
                <w:sz w:val="20"/>
                <w:szCs w:val="20"/>
              </w:rPr>
              <w:t xml:space="preserve"> of </w:t>
            </w:r>
            <w:proofErr w:type="spellStart"/>
            <w:r w:rsidRPr="008C27EF">
              <w:rPr>
                <w:sz w:val="20"/>
                <w:szCs w:val="20"/>
              </w:rPr>
              <w:t>those</w:t>
            </w:r>
            <w:proofErr w:type="spellEnd"/>
            <w:r w:rsidRPr="008C27EF">
              <w:rPr>
                <w:sz w:val="20"/>
                <w:szCs w:val="20"/>
              </w:rPr>
              <w:t xml:space="preserve"> States […] in the </w:t>
            </w:r>
            <w:proofErr w:type="spellStart"/>
            <w:r w:rsidRPr="008C27EF">
              <w:rPr>
                <w:sz w:val="20"/>
                <w:szCs w:val="20"/>
              </w:rPr>
              <w:t>pursuit</w:t>
            </w:r>
            <w:proofErr w:type="spellEnd"/>
            <w:r w:rsidRPr="008C27EF">
              <w:rPr>
                <w:sz w:val="20"/>
                <w:szCs w:val="20"/>
              </w:rPr>
              <w:t xml:space="preserve"> of </w:t>
            </w:r>
            <w:proofErr w:type="spellStart"/>
            <w:r w:rsidRPr="008C27EF">
              <w:rPr>
                <w:sz w:val="20"/>
                <w:szCs w:val="20"/>
              </w:rPr>
              <w:t>happiness</w:t>
            </w:r>
            <w:proofErr w:type="spellEnd"/>
            <w:r w:rsidRPr="008C27EF">
              <w:rPr>
                <w:sz w:val="20"/>
                <w:szCs w:val="20"/>
              </w:rPr>
              <w:t>“</w:t>
            </w:r>
            <w:r w:rsidRPr="008C27EF">
              <w:rPr>
                <w:sz w:val="20"/>
                <w:szCs w:val="20"/>
                <w:vertAlign w:val="superscript"/>
              </w:rPr>
              <w:footnoteReference w:id="508"/>
            </w:r>
            <w:r w:rsidRPr="008C27EF">
              <w:rPr>
                <w:sz w:val="20"/>
                <w:szCs w:val="20"/>
              </w:rPr>
              <w:t>). Zwei Ausprägungen bestünden danach, die auch das Streben nach Glück konkretisier</w:t>
            </w:r>
            <w:r>
              <w:rPr>
                <w:sz w:val="20"/>
                <w:szCs w:val="20"/>
              </w:rPr>
              <w:t>ten</w:t>
            </w:r>
            <w:r w:rsidRPr="008C27EF">
              <w:rPr>
                <w:sz w:val="20"/>
                <w:szCs w:val="20"/>
              </w:rPr>
              <w:t>. Einerseits g</w:t>
            </w:r>
            <w:r>
              <w:rPr>
                <w:sz w:val="20"/>
                <w:szCs w:val="20"/>
              </w:rPr>
              <w:t>ä</w:t>
            </w:r>
            <w:r w:rsidRPr="008C27EF">
              <w:rPr>
                <w:sz w:val="20"/>
                <w:szCs w:val="20"/>
              </w:rPr>
              <w:t xml:space="preserve">ben die </w:t>
            </w:r>
            <w:r w:rsidRPr="00B45592">
              <w:rPr>
                <w:i/>
                <w:sz w:val="20"/>
                <w:szCs w:val="20"/>
              </w:rPr>
              <w:t>Slaughter-House Cases</w:t>
            </w:r>
            <w:r w:rsidRPr="008C27EF">
              <w:rPr>
                <w:sz w:val="20"/>
                <w:szCs w:val="20"/>
                <w:vertAlign w:val="superscript"/>
              </w:rPr>
              <w:footnoteReference w:id="509"/>
            </w:r>
            <w:r w:rsidRPr="008C27EF">
              <w:rPr>
                <w:sz w:val="20"/>
                <w:szCs w:val="20"/>
              </w:rPr>
              <w:t xml:space="preserve"> für die Vorrechte und </w:t>
            </w:r>
            <w:r>
              <w:rPr>
                <w:sz w:val="20"/>
                <w:szCs w:val="20"/>
              </w:rPr>
              <w:t>Immunitäten</w:t>
            </w:r>
            <w:r w:rsidRPr="00E50B51">
              <w:rPr>
                <w:sz w:val="20"/>
                <w:szCs w:val="20"/>
              </w:rPr>
              <w:t xml:space="preserve"> </w:t>
            </w:r>
            <w:r w:rsidRPr="008C27EF">
              <w:rPr>
                <w:sz w:val="20"/>
                <w:szCs w:val="20"/>
              </w:rPr>
              <w:t xml:space="preserve">auf, dass die Rechte, die ein Bundesstaat den eigenen Bürgern gewähre oder ihnen einschränke, das Maß </w:t>
            </w:r>
            <w:r w:rsidRPr="002409B7">
              <w:rPr>
                <w:sz w:val="20"/>
                <w:szCs w:val="20"/>
              </w:rPr>
              <w:t xml:space="preserve">dafür </w:t>
            </w:r>
            <w:r w:rsidRPr="008C27EF">
              <w:rPr>
                <w:sz w:val="20"/>
                <w:szCs w:val="20"/>
              </w:rPr>
              <w:t>vorgebe, wie dieser Bundesstaat die Rechte von Bürgern anderer Bundesstaaten gewähren oder einschränken könne – und zwar innerhalb seiner Gerichtsbarkeit.</w:t>
            </w:r>
            <w:r w:rsidRPr="008C27EF">
              <w:rPr>
                <w:sz w:val="20"/>
                <w:szCs w:val="20"/>
                <w:vertAlign w:val="superscript"/>
              </w:rPr>
              <w:footnoteReference w:id="510"/>
            </w:r>
            <w:r w:rsidRPr="008C27EF">
              <w:rPr>
                <w:sz w:val="20"/>
                <w:szCs w:val="20"/>
              </w:rPr>
              <w:t xml:space="preserve"> Und andererseits konkretisier</w:t>
            </w:r>
            <w:r w:rsidRPr="002409B7">
              <w:rPr>
                <w:sz w:val="20"/>
                <w:szCs w:val="20"/>
              </w:rPr>
              <w:t>t</w:t>
            </w:r>
            <w:r w:rsidRPr="008C27EF">
              <w:rPr>
                <w:sz w:val="20"/>
                <w:szCs w:val="20"/>
              </w:rPr>
              <w:t xml:space="preserve">e der </w:t>
            </w:r>
            <w:r>
              <w:rPr>
                <w:sz w:val="20"/>
                <w:szCs w:val="20"/>
              </w:rPr>
              <w:t>U.S. Supreme Court</w:t>
            </w:r>
            <w:r w:rsidRPr="008C27EF">
              <w:rPr>
                <w:sz w:val="20"/>
                <w:szCs w:val="20"/>
              </w:rPr>
              <w:t xml:space="preserve"> in </w:t>
            </w:r>
            <w:r w:rsidRPr="00584023">
              <w:rPr>
                <w:i/>
                <w:sz w:val="20"/>
                <w:szCs w:val="20"/>
              </w:rPr>
              <w:t>Blake v. McClung</w:t>
            </w:r>
            <w:r w:rsidRPr="002409B7">
              <w:rPr>
                <w:sz w:val="20"/>
                <w:szCs w:val="20"/>
              </w:rPr>
              <w:t>,</w:t>
            </w:r>
            <w:r w:rsidRPr="008C27EF">
              <w:rPr>
                <w:sz w:val="20"/>
                <w:szCs w:val="20"/>
                <w:vertAlign w:val="superscript"/>
              </w:rPr>
              <w:footnoteReference w:id="511"/>
            </w:r>
            <w:r w:rsidRPr="002409B7">
              <w:rPr>
                <w:sz w:val="20"/>
                <w:szCs w:val="20"/>
              </w:rPr>
              <w:t xml:space="preserve"> dass</w:t>
            </w:r>
            <w:r w:rsidRPr="008C27EF">
              <w:rPr>
                <w:sz w:val="20"/>
                <w:szCs w:val="20"/>
              </w:rPr>
              <w:t xml:space="preserve"> ein Bürger eines Bundesstaates </w:t>
            </w:r>
            <w:r w:rsidRPr="002409B7">
              <w:rPr>
                <w:sz w:val="20"/>
                <w:szCs w:val="20"/>
              </w:rPr>
              <w:t xml:space="preserve">nicht </w:t>
            </w:r>
            <w:r w:rsidRPr="008C27EF">
              <w:rPr>
                <w:sz w:val="20"/>
                <w:szCs w:val="20"/>
              </w:rPr>
              <w:t>berechtigt sei</w:t>
            </w:r>
            <w:r w:rsidRPr="002409B7">
              <w:rPr>
                <w:sz w:val="20"/>
                <w:szCs w:val="20"/>
              </w:rPr>
              <w:t>n müsse</w:t>
            </w:r>
            <w:r w:rsidRPr="008C27EF">
              <w:rPr>
                <w:sz w:val="20"/>
                <w:szCs w:val="20"/>
              </w:rPr>
              <w:t xml:space="preserve">, in einem anderen Bundesstaat jedes Vorrecht wahrzunehmen, dass jener Bundesstaat </w:t>
            </w:r>
            <w:r w:rsidRPr="002409B7">
              <w:rPr>
                <w:sz w:val="20"/>
                <w:szCs w:val="20"/>
              </w:rPr>
              <w:t xml:space="preserve">auch </w:t>
            </w:r>
            <w:r w:rsidRPr="008C27EF">
              <w:rPr>
                <w:sz w:val="20"/>
                <w:szCs w:val="20"/>
              </w:rPr>
              <w:t xml:space="preserve">den eigenen Bürgern gewähre. Denn es gebe Vorrechte, die ein Bundesstaat nur seiner eigenen Bevölkerung ermögliche. </w:t>
            </w:r>
            <w:r>
              <w:rPr>
                <w:sz w:val="20"/>
                <w:szCs w:val="20"/>
              </w:rPr>
              <w:t>Etwa</w:t>
            </w:r>
            <w:r w:rsidRPr="008C27EF">
              <w:rPr>
                <w:sz w:val="20"/>
                <w:szCs w:val="20"/>
              </w:rPr>
              <w:t xml:space="preserve"> könne ein Bundesstaat zwar nicht verbieten, dass jeder Bürger vor seinen Gerichten klagen könne. Aber ein Bundesstaat könne von Bürgern eines anderen Bundesstaats für die Kosten der Klage eine Kaution verlangen. </w:t>
            </w:r>
            <w:r w:rsidRPr="00E50B51">
              <w:rPr>
                <w:sz w:val="20"/>
                <w:szCs w:val="20"/>
              </w:rPr>
              <w:t xml:space="preserve">Dies sei bloß eine innere Angelegenheit. Sie schränke nicht die Grundrechte ein („fundamental </w:t>
            </w:r>
            <w:proofErr w:type="spellStart"/>
            <w:r w:rsidRPr="00E50B51">
              <w:rPr>
                <w:sz w:val="20"/>
                <w:szCs w:val="20"/>
              </w:rPr>
              <w:t>rights</w:t>
            </w:r>
            <w:proofErr w:type="spellEnd"/>
            <w:r w:rsidRPr="00E50B51">
              <w:rPr>
                <w:sz w:val="20"/>
                <w:szCs w:val="20"/>
              </w:rPr>
              <w:t xml:space="preserve"> of </w:t>
            </w:r>
            <w:proofErr w:type="spellStart"/>
            <w:r w:rsidRPr="00E50B51">
              <w:rPr>
                <w:sz w:val="20"/>
                <w:szCs w:val="20"/>
              </w:rPr>
              <w:t>citizens</w:t>
            </w:r>
            <w:proofErr w:type="spellEnd"/>
            <w:r w:rsidRPr="00E50B51">
              <w:rPr>
                <w:sz w:val="20"/>
                <w:szCs w:val="20"/>
              </w:rPr>
              <w:t> “</w:t>
            </w:r>
            <w:r w:rsidRPr="00E50B51">
              <w:rPr>
                <w:rStyle w:val="Funotenzeichen"/>
                <w:rFonts w:eastAsiaTheme="majorEastAsia"/>
                <w:sz w:val="20"/>
                <w:szCs w:val="20"/>
              </w:rPr>
              <w:footnoteReference w:id="512"/>
            </w:r>
            <w:r w:rsidRPr="00E50B51">
              <w:rPr>
                <w:sz w:val="20"/>
                <w:szCs w:val="20"/>
              </w:rPr>
              <w:t>)</w:t>
            </w:r>
            <w:r>
              <w:rPr>
                <w:sz w:val="20"/>
                <w:szCs w:val="20"/>
              </w:rPr>
              <w:t xml:space="preserve"> – </w:t>
            </w:r>
            <w:r w:rsidRPr="00E50B51">
              <w:rPr>
                <w:sz w:val="20"/>
                <w:szCs w:val="20"/>
              </w:rPr>
              <w:t>wie das Streben nach Glück. Und nur diese bilde</w:t>
            </w:r>
            <w:r>
              <w:rPr>
                <w:sz w:val="20"/>
                <w:szCs w:val="20"/>
              </w:rPr>
              <w:t>te</w:t>
            </w:r>
            <w:r w:rsidRPr="00E50B51">
              <w:rPr>
                <w:sz w:val="20"/>
                <w:szCs w:val="20"/>
              </w:rPr>
              <w:t>n die Grenze, um Bürger unterschiedlich zu behandeln.</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513"/>
            </w:r>
          </w:p>
          <w:p w14:paraId="5F1D75E4" w14:textId="77777777" w:rsidR="00074551" w:rsidRPr="00E50B51" w:rsidRDefault="00074551" w:rsidP="00367133">
            <w:pPr>
              <w:jc w:val="both"/>
              <w:rPr>
                <w:sz w:val="20"/>
                <w:szCs w:val="20"/>
              </w:rPr>
            </w:pPr>
          </w:p>
        </w:tc>
      </w:tr>
      <w:tr w:rsidR="00074551" w:rsidRPr="00E50B51" w14:paraId="46571263" w14:textId="77777777" w:rsidTr="00BE689F">
        <w:trPr>
          <w:cantSplit/>
          <w:trHeight w:val="3175"/>
        </w:trPr>
        <w:tc>
          <w:tcPr>
            <w:tcW w:w="293" w:type="pct"/>
          </w:tcPr>
          <w:p w14:paraId="32BE6FF8"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EDA4E2A" w14:textId="77777777" w:rsidR="00074551" w:rsidRPr="00B45592" w:rsidRDefault="00074551" w:rsidP="00367133">
            <w:pPr>
              <w:ind w:left="113" w:right="113"/>
              <w:jc w:val="both"/>
              <w:rPr>
                <w:i/>
                <w:sz w:val="20"/>
                <w:szCs w:val="20"/>
                <w:lang w:val="en-IE"/>
              </w:rPr>
            </w:pPr>
            <w:r w:rsidRPr="00B45592">
              <w:rPr>
                <w:i/>
                <w:sz w:val="20"/>
                <w:szCs w:val="20"/>
                <w:lang w:val="en-IE"/>
              </w:rPr>
              <w:t xml:space="preserve">Travis v. Yale </w:t>
            </w:r>
            <w:r w:rsidRPr="00B45592">
              <w:rPr>
                <w:i/>
                <w:sz w:val="20"/>
                <w:szCs w:val="20"/>
                <w:lang w:val="en-US"/>
              </w:rPr>
              <w:t>&amp; Towne Mfg. Co.</w:t>
            </w:r>
          </w:p>
        </w:tc>
        <w:tc>
          <w:tcPr>
            <w:tcW w:w="197" w:type="pct"/>
            <w:textDirection w:val="tbRl"/>
            <w:vAlign w:val="center"/>
          </w:tcPr>
          <w:p w14:paraId="27F58FA1" w14:textId="77777777" w:rsidR="00074551" w:rsidRPr="00E50B51" w:rsidRDefault="00074551" w:rsidP="00367133">
            <w:pPr>
              <w:ind w:left="113" w:right="113"/>
              <w:jc w:val="both"/>
              <w:rPr>
                <w:sz w:val="20"/>
                <w:szCs w:val="20"/>
                <w:lang w:val="en-US"/>
              </w:rPr>
            </w:pPr>
            <w:r w:rsidRPr="00E50B51">
              <w:rPr>
                <w:sz w:val="20"/>
                <w:szCs w:val="20"/>
                <w:lang w:val="en-US"/>
              </w:rPr>
              <w:t>252 U.S. 60</w:t>
            </w:r>
          </w:p>
        </w:tc>
        <w:tc>
          <w:tcPr>
            <w:tcW w:w="306" w:type="pct"/>
            <w:textDirection w:val="tbRl"/>
            <w:vAlign w:val="center"/>
          </w:tcPr>
          <w:p w14:paraId="1293DC52" w14:textId="77777777" w:rsidR="00074551" w:rsidRPr="00E50B51" w:rsidRDefault="00074551" w:rsidP="00367133">
            <w:pPr>
              <w:ind w:left="113" w:right="113"/>
              <w:jc w:val="both"/>
              <w:rPr>
                <w:sz w:val="20"/>
                <w:szCs w:val="20"/>
              </w:rPr>
            </w:pPr>
            <w:r w:rsidRPr="00E50B51">
              <w:rPr>
                <w:sz w:val="20"/>
                <w:szCs w:val="20"/>
              </w:rPr>
              <w:t>1. März 1920</w:t>
            </w:r>
          </w:p>
        </w:tc>
        <w:tc>
          <w:tcPr>
            <w:tcW w:w="401" w:type="pct"/>
          </w:tcPr>
          <w:p w14:paraId="4D77FE8B"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0F6D02A6" w14:textId="77777777"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eine Entscheidung </w:t>
            </w:r>
            <w:r w:rsidRPr="00B45592">
              <w:rPr>
                <w:i/>
                <w:sz w:val="20"/>
                <w:szCs w:val="20"/>
              </w:rPr>
              <w:t xml:space="preserve">des </w:t>
            </w:r>
            <w:bookmarkStart w:id="32" w:name="_Hlk224547950"/>
            <w:r w:rsidRPr="00B45592">
              <w:rPr>
                <w:i/>
                <w:sz w:val="20"/>
                <w:szCs w:val="20"/>
              </w:rPr>
              <w:t xml:space="preserve">U.S. </w:t>
            </w:r>
            <w:proofErr w:type="spellStart"/>
            <w:r w:rsidRPr="00B45592">
              <w:rPr>
                <w:i/>
                <w:sz w:val="20"/>
                <w:szCs w:val="20"/>
              </w:rPr>
              <w:t>District</w:t>
            </w:r>
            <w:proofErr w:type="spellEnd"/>
            <w:r w:rsidRPr="00B45592">
              <w:rPr>
                <w:i/>
                <w:sz w:val="20"/>
                <w:szCs w:val="20"/>
              </w:rPr>
              <w:t xml:space="preserve"> Court for the</w:t>
            </w:r>
            <w:r w:rsidRPr="00B45592" w:rsidDel="000B343C">
              <w:rPr>
                <w:i/>
                <w:sz w:val="20"/>
                <w:szCs w:val="20"/>
              </w:rPr>
              <w:t xml:space="preserve"> </w:t>
            </w:r>
            <w:r w:rsidRPr="00B45592">
              <w:rPr>
                <w:i/>
                <w:sz w:val="20"/>
                <w:szCs w:val="20"/>
              </w:rPr>
              <w:t xml:space="preserve">Southern </w:t>
            </w:r>
            <w:proofErr w:type="spellStart"/>
            <w:r w:rsidRPr="00B45592">
              <w:rPr>
                <w:i/>
                <w:sz w:val="20"/>
                <w:szCs w:val="20"/>
              </w:rPr>
              <w:t>District</w:t>
            </w:r>
            <w:proofErr w:type="spellEnd"/>
            <w:r w:rsidRPr="00B45592">
              <w:rPr>
                <w:i/>
                <w:sz w:val="20"/>
                <w:szCs w:val="20"/>
              </w:rPr>
              <w:t xml:space="preserve"> of New York</w:t>
            </w:r>
            <w:bookmarkEnd w:id="32"/>
            <w:r w:rsidRPr="00E50B51">
              <w:rPr>
                <w:sz w:val="20"/>
                <w:szCs w:val="20"/>
              </w:rPr>
              <w:t xml:space="preserve">, die zugunsten eines klagenden Steuerzahlers erging. Der </w:t>
            </w:r>
            <w:r>
              <w:rPr>
                <w:sz w:val="20"/>
                <w:szCs w:val="20"/>
              </w:rPr>
              <w:t>U.S. Supreme Court</w:t>
            </w:r>
            <w:r w:rsidRPr="00E50B51">
              <w:rPr>
                <w:sz w:val="20"/>
                <w:szCs w:val="20"/>
              </w:rPr>
              <w:t xml:space="preserve"> bestätigte damit eine einstweilige Verfügung gegen den </w:t>
            </w:r>
            <w:r>
              <w:rPr>
                <w:sz w:val="20"/>
                <w:szCs w:val="20"/>
              </w:rPr>
              <w:t xml:space="preserve">Bundesstaat </w:t>
            </w:r>
            <w:r w:rsidRPr="00E50B51">
              <w:rPr>
                <w:sz w:val="20"/>
                <w:szCs w:val="20"/>
              </w:rPr>
              <w:t xml:space="preserve">New York als Beklagten, der versuchte, ein verfassungswidriges Einkommensteuergesetz durchzusetzen. </w:t>
            </w:r>
            <w:r>
              <w:rPr>
                <w:sz w:val="20"/>
                <w:szCs w:val="20"/>
              </w:rPr>
              <w:t>D</w:t>
            </w:r>
            <w:r w:rsidRPr="00E50B51">
              <w:rPr>
                <w:sz w:val="20"/>
                <w:szCs w:val="20"/>
              </w:rPr>
              <w:t xml:space="preserve">as New Yorker Steuergesetz taxierte die Einkommenssteuer für Einwohner und Nicht-Einwohner unterschiedlich, </w:t>
            </w:r>
            <w:r>
              <w:rPr>
                <w:sz w:val="20"/>
                <w:szCs w:val="20"/>
              </w:rPr>
              <w:t>ungeachtet dessen, dass</w:t>
            </w:r>
            <w:r w:rsidRPr="00E50B51">
              <w:rPr>
                <w:sz w:val="20"/>
                <w:szCs w:val="20"/>
              </w:rPr>
              <w:t xml:space="preserve"> beide </w:t>
            </w:r>
            <w:r>
              <w:rPr>
                <w:sz w:val="20"/>
                <w:szCs w:val="20"/>
              </w:rPr>
              <w:t>in</w:t>
            </w:r>
            <w:r w:rsidRPr="00E50B51">
              <w:rPr>
                <w:sz w:val="20"/>
                <w:szCs w:val="20"/>
              </w:rPr>
              <w:t xml:space="preserve"> New York arbeiteten. Der </w:t>
            </w:r>
            <w:r>
              <w:rPr>
                <w:sz w:val="20"/>
                <w:szCs w:val="20"/>
              </w:rPr>
              <w:t>U.S. Supreme Court</w:t>
            </w:r>
            <w:r w:rsidRPr="00E50B51">
              <w:rPr>
                <w:sz w:val="20"/>
                <w:szCs w:val="20"/>
              </w:rPr>
              <w:t xml:space="preserve"> urteilte, die Steuer verweigere ungerechtfertigt den Bürger</w:t>
            </w:r>
            <w:r>
              <w:rPr>
                <w:sz w:val="20"/>
                <w:szCs w:val="20"/>
              </w:rPr>
              <w:t>n</w:t>
            </w:r>
            <w:r w:rsidRPr="00E50B51">
              <w:rPr>
                <w:sz w:val="20"/>
                <w:szCs w:val="20"/>
              </w:rPr>
              <w:t xml:space="preserve"> aus anderen Bundesstaaten wie Connecticut und New Jersey die Vorrechte und </w:t>
            </w:r>
            <w:r>
              <w:rPr>
                <w:sz w:val="20"/>
                <w:szCs w:val="20"/>
              </w:rPr>
              <w:t>Immunitäten</w:t>
            </w:r>
            <w:r w:rsidRPr="00E50B51">
              <w:rPr>
                <w:sz w:val="20"/>
                <w:szCs w:val="20"/>
              </w:rPr>
              <w:t xml:space="preserve"> der Bürger New York</w:t>
            </w:r>
            <w:r>
              <w:rPr>
                <w:sz w:val="20"/>
                <w:szCs w:val="20"/>
              </w:rPr>
              <w:t>s</w:t>
            </w:r>
            <w:r w:rsidRPr="00E50B51">
              <w:rPr>
                <w:sz w:val="20"/>
                <w:szCs w:val="20"/>
              </w:rPr>
              <w:t>. Er stellte fest, die unterschiedliche Behandlung von ansässigen und nicht-ansässigen Steuerzahlern sei ungerechtfertigt.</w:t>
            </w:r>
          </w:p>
          <w:p w14:paraId="640B6036" w14:textId="77777777" w:rsidR="00074551" w:rsidRPr="00E50B51" w:rsidRDefault="00074551" w:rsidP="00367133">
            <w:pPr>
              <w:jc w:val="both"/>
              <w:rPr>
                <w:sz w:val="20"/>
                <w:szCs w:val="20"/>
              </w:rPr>
            </w:pPr>
          </w:p>
        </w:tc>
        <w:tc>
          <w:tcPr>
            <w:tcW w:w="1822" w:type="pct"/>
          </w:tcPr>
          <w:p w14:paraId="2376E384" w14:textId="77777777" w:rsidR="00074551" w:rsidRPr="000A151D" w:rsidRDefault="00074551" w:rsidP="00367133">
            <w:pPr>
              <w:jc w:val="both"/>
              <w:rPr>
                <w:sz w:val="20"/>
                <w:szCs w:val="20"/>
              </w:rPr>
            </w:pPr>
            <w:r w:rsidRPr="00E50B51">
              <w:rPr>
                <w:sz w:val="20"/>
                <w:szCs w:val="20"/>
              </w:rPr>
              <w:t xml:space="preserve">Diesmal fand sich das Streben nach Glück im Urteilsausspruch des </w:t>
            </w:r>
            <w:r>
              <w:rPr>
                <w:sz w:val="20"/>
                <w:szCs w:val="20"/>
              </w:rPr>
              <w:t>U.S. Supreme Court</w:t>
            </w:r>
            <w:r w:rsidRPr="00E50B51">
              <w:rPr>
                <w:sz w:val="20"/>
                <w:szCs w:val="20"/>
              </w:rPr>
              <w:t xml:space="preserve">. Der </w:t>
            </w:r>
            <w:r>
              <w:rPr>
                <w:sz w:val="20"/>
                <w:szCs w:val="20"/>
              </w:rPr>
              <w:t>U.S. Supreme Court</w:t>
            </w:r>
            <w:r w:rsidRPr="00E50B51">
              <w:rPr>
                <w:sz w:val="20"/>
                <w:szCs w:val="20"/>
              </w:rPr>
              <w:t xml:space="preserve"> zitier</w:t>
            </w:r>
            <w:r>
              <w:rPr>
                <w:sz w:val="20"/>
                <w:szCs w:val="20"/>
              </w:rPr>
              <w:t>t</w:t>
            </w:r>
            <w:r w:rsidRPr="00E50B51">
              <w:rPr>
                <w:sz w:val="20"/>
                <w:szCs w:val="20"/>
              </w:rPr>
              <w:t xml:space="preserve">e dort </w:t>
            </w:r>
            <w:r>
              <w:rPr>
                <w:sz w:val="20"/>
                <w:szCs w:val="20"/>
              </w:rPr>
              <w:t xml:space="preserve">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Pr>
                <w:sz w:val="20"/>
                <w:szCs w:val="20"/>
              </w:rPr>
              <w:t xml:space="preserve"> aus </w:t>
            </w:r>
            <w:r w:rsidRPr="00B45592">
              <w:rPr>
                <w:i/>
                <w:sz w:val="20"/>
                <w:szCs w:val="20"/>
              </w:rPr>
              <w:t>Paul v. Virginia</w:t>
            </w:r>
            <w:r w:rsidRPr="00E50B51">
              <w:rPr>
                <w:sz w:val="20"/>
                <w:szCs w:val="20"/>
              </w:rPr>
              <w:t xml:space="preserve">. Nach diesem Urteil kämen nur die grundlegenden Vorrechte und Immunitäten allen Bürgern zu. </w:t>
            </w:r>
            <w:r w:rsidRPr="000A151D">
              <w:rPr>
                <w:sz w:val="20"/>
                <w:szCs w:val="20"/>
              </w:rPr>
              <w:t>Diese grundlegenden Vorrechte und Immunitäten bem</w:t>
            </w:r>
            <w:r>
              <w:rPr>
                <w:sz w:val="20"/>
                <w:szCs w:val="20"/>
              </w:rPr>
              <w:t>ä</w:t>
            </w:r>
            <w:r w:rsidRPr="000A151D">
              <w:rPr>
                <w:sz w:val="20"/>
                <w:szCs w:val="20"/>
              </w:rPr>
              <w:t xml:space="preserve">ßen sich am Schutzbereich der unveräußerlichen Rechten wie dem Streben nach Glück („it </w:t>
            </w:r>
            <w:proofErr w:type="spellStart"/>
            <w:r w:rsidRPr="000A151D">
              <w:rPr>
                <w:sz w:val="20"/>
                <w:szCs w:val="20"/>
              </w:rPr>
              <w:t>insures</w:t>
            </w:r>
            <w:proofErr w:type="spellEnd"/>
            <w:r w:rsidRPr="000A151D">
              <w:rPr>
                <w:sz w:val="20"/>
                <w:szCs w:val="20"/>
              </w:rPr>
              <w:t xml:space="preserve"> to </w:t>
            </w:r>
            <w:proofErr w:type="spellStart"/>
            <w:r w:rsidRPr="000A151D">
              <w:rPr>
                <w:sz w:val="20"/>
                <w:szCs w:val="20"/>
              </w:rPr>
              <w:t>them</w:t>
            </w:r>
            <w:proofErr w:type="spellEnd"/>
            <w:r w:rsidRPr="000A151D">
              <w:rPr>
                <w:sz w:val="20"/>
                <w:szCs w:val="20"/>
              </w:rPr>
              <w:t xml:space="preserve"> in </w:t>
            </w:r>
            <w:proofErr w:type="spellStart"/>
            <w:r w:rsidRPr="000A151D">
              <w:rPr>
                <w:sz w:val="20"/>
                <w:szCs w:val="20"/>
              </w:rPr>
              <w:t>other</w:t>
            </w:r>
            <w:proofErr w:type="spellEnd"/>
            <w:r w:rsidRPr="000A151D">
              <w:rPr>
                <w:sz w:val="20"/>
                <w:szCs w:val="20"/>
              </w:rPr>
              <w:t xml:space="preserve"> States the same </w:t>
            </w:r>
            <w:proofErr w:type="spellStart"/>
            <w:r w:rsidRPr="000A151D">
              <w:rPr>
                <w:sz w:val="20"/>
                <w:szCs w:val="20"/>
              </w:rPr>
              <w:t>freedom</w:t>
            </w:r>
            <w:proofErr w:type="spellEnd"/>
            <w:r w:rsidRPr="000A151D">
              <w:rPr>
                <w:sz w:val="20"/>
                <w:szCs w:val="20"/>
              </w:rPr>
              <w:t xml:space="preserve"> […] in the </w:t>
            </w:r>
            <w:proofErr w:type="spellStart"/>
            <w:r w:rsidRPr="000A151D">
              <w:rPr>
                <w:sz w:val="20"/>
                <w:szCs w:val="20"/>
              </w:rPr>
              <w:t>pursuit</w:t>
            </w:r>
            <w:proofErr w:type="spellEnd"/>
            <w:r w:rsidRPr="000A151D">
              <w:rPr>
                <w:sz w:val="20"/>
                <w:szCs w:val="20"/>
              </w:rPr>
              <w:t xml:space="preserve"> of </w:t>
            </w:r>
            <w:proofErr w:type="spellStart"/>
            <w:r w:rsidRPr="000A151D">
              <w:rPr>
                <w:sz w:val="20"/>
                <w:szCs w:val="20"/>
              </w:rPr>
              <w:t>happiness</w:t>
            </w:r>
            <w:proofErr w:type="spellEnd"/>
            <w:r w:rsidRPr="000A151D">
              <w:rPr>
                <w:sz w:val="20"/>
                <w:szCs w:val="20"/>
              </w:rPr>
              <w:t>“</w:t>
            </w:r>
            <w:r w:rsidRPr="000A151D">
              <w:rPr>
                <w:sz w:val="20"/>
                <w:szCs w:val="20"/>
                <w:vertAlign w:val="superscript"/>
              </w:rPr>
              <w:footnoteReference w:id="514"/>
            </w:r>
            <w:r w:rsidRPr="000A151D">
              <w:rPr>
                <w:sz w:val="20"/>
                <w:szCs w:val="20"/>
              </w:rPr>
              <w:t xml:space="preserve">). </w:t>
            </w:r>
            <w:r>
              <w:rPr>
                <w:sz w:val="20"/>
                <w:szCs w:val="20"/>
              </w:rPr>
              <w:t>Das</w:t>
            </w:r>
            <w:r w:rsidRPr="000A151D">
              <w:rPr>
                <w:sz w:val="20"/>
                <w:szCs w:val="20"/>
              </w:rPr>
              <w:t xml:space="preserve"> New Yorker Steuergesetz verstoße gegen diese grundlegenden Vorrechte und </w:t>
            </w:r>
            <w:r>
              <w:rPr>
                <w:sz w:val="20"/>
                <w:szCs w:val="20"/>
              </w:rPr>
              <w:t>Immunitäten</w:t>
            </w:r>
            <w:r w:rsidRPr="000A151D">
              <w:rPr>
                <w:sz w:val="20"/>
                <w:szCs w:val="20"/>
              </w:rPr>
              <w:t>, womit es verfassungswidrig sei („</w:t>
            </w:r>
            <w:proofErr w:type="spellStart"/>
            <w:r w:rsidRPr="000A151D">
              <w:rPr>
                <w:sz w:val="20"/>
                <w:szCs w:val="20"/>
              </w:rPr>
              <w:t>discriminatory</w:t>
            </w:r>
            <w:proofErr w:type="spellEnd"/>
            <w:r w:rsidRPr="000A151D">
              <w:rPr>
                <w:sz w:val="20"/>
                <w:szCs w:val="20"/>
              </w:rPr>
              <w:t xml:space="preserve"> </w:t>
            </w:r>
            <w:proofErr w:type="spellStart"/>
            <w:r w:rsidRPr="000A151D">
              <w:rPr>
                <w:sz w:val="20"/>
                <w:szCs w:val="20"/>
              </w:rPr>
              <w:t>state</w:t>
            </w:r>
            <w:proofErr w:type="spellEnd"/>
            <w:r w:rsidRPr="000A151D">
              <w:rPr>
                <w:sz w:val="20"/>
                <w:szCs w:val="20"/>
              </w:rPr>
              <w:t xml:space="preserve"> </w:t>
            </w:r>
            <w:proofErr w:type="spellStart"/>
            <w:r w:rsidRPr="000A151D">
              <w:rPr>
                <w:sz w:val="20"/>
                <w:szCs w:val="20"/>
              </w:rPr>
              <w:t>tax</w:t>
            </w:r>
            <w:proofErr w:type="spellEnd"/>
            <w:r w:rsidRPr="000A151D">
              <w:rPr>
                <w:sz w:val="20"/>
                <w:szCs w:val="20"/>
              </w:rPr>
              <w:t xml:space="preserve"> upon non-resident </w:t>
            </w:r>
            <w:proofErr w:type="spellStart"/>
            <w:r w:rsidRPr="000A151D">
              <w:rPr>
                <w:sz w:val="20"/>
                <w:szCs w:val="20"/>
              </w:rPr>
              <w:t>traders</w:t>
            </w:r>
            <w:proofErr w:type="spellEnd"/>
            <w:r w:rsidRPr="000A151D">
              <w:rPr>
                <w:sz w:val="20"/>
                <w:szCs w:val="20"/>
              </w:rPr>
              <w:t xml:space="preserve"> to </w:t>
            </w:r>
            <w:proofErr w:type="spellStart"/>
            <w:r w:rsidRPr="000A151D">
              <w:rPr>
                <w:sz w:val="20"/>
                <w:szCs w:val="20"/>
              </w:rPr>
              <w:t>be</w:t>
            </w:r>
            <w:proofErr w:type="spellEnd"/>
            <w:r w:rsidRPr="000A151D">
              <w:rPr>
                <w:sz w:val="20"/>
                <w:szCs w:val="20"/>
              </w:rPr>
              <w:t xml:space="preserve"> </w:t>
            </w:r>
            <w:proofErr w:type="spellStart"/>
            <w:r w:rsidRPr="000A151D">
              <w:rPr>
                <w:sz w:val="20"/>
                <w:szCs w:val="20"/>
              </w:rPr>
              <w:t>void</w:t>
            </w:r>
            <w:proofErr w:type="spellEnd"/>
            <w:r w:rsidRPr="000A151D">
              <w:rPr>
                <w:sz w:val="20"/>
                <w:szCs w:val="20"/>
              </w:rPr>
              <w:t>“</w:t>
            </w:r>
            <w:r w:rsidRPr="000A151D">
              <w:rPr>
                <w:sz w:val="20"/>
                <w:szCs w:val="20"/>
                <w:vertAlign w:val="superscript"/>
                <w:lang w:val="en-US"/>
              </w:rPr>
              <w:footnoteReference w:id="515"/>
            </w:r>
            <w:r w:rsidRPr="000A151D">
              <w:rPr>
                <w:sz w:val="20"/>
                <w:szCs w:val="20"/>
              </w:rPr>
              <w:t xml:space="preserve">). Konkret verletze es die wirtschaftliche Ausprägung der grundlegenden Vorrechte und </w:t>
            </w:r>
            <w:r>
              <w:rPr>
                <w:sz w:val="20"/>
                <w:szCs w:val="20"/>
              </w:rPr>
              <w:t>Immunitäten</w:t>
            </w:r>
            <w:r w:rsidRPr="000A151D">
              <w:rPr>
                <w:sz w:val="20"/>
                <w:szCs w:val="20"/>
              </w:rPr>
              <w:t>, die sich auch an das Streben nach Glück b</w:t>
            </w:r>
            <w:r>
              <w:rPr>
                <w:sz w:val="20"/>
                <w:szCs w:val="20"/>
              </w:rPr>
              <w:t>ä</w:t>
            </w:r>
            <w:r w:rsidRPr="000A151D">
              <w:rPr>
                <w:sz w:val="20"/>
                <w:szCs w:val="20"/>
              </w:rPr>
              <w:t xml:space="preserve">nden. </w:t>
            </w:r>
            <w:r>
              <w:rPr>
                <w:sz w:val="20"/>
                <w:szCs w:val="20"/>
              </w:rPr>
              <w:t>Deren</w:t>
            </w:r>
            <w:r w:rsidRPr="000A151D">
              <w:rPr>
                <w:sz w:val="20"/>
                <w:szCs w:val="20"/>
              </w:rPr>
              <w:t xml:space="preserve"> wirtschaftliche Seite beinhalte</w:t>
            </w:r>
            <w:r>
              <w:rPr>
                <w:sz w:val="20"/>
                <w:szCs w:val="20"/>
              </w:rPr>
              <w:t xml:space="preserve"> d</w:t>
            </w:r>
            <w:r w:rsidRPr="000A151D">
              <w:rPr>
                <w:sz w:val="20"/>
                <w:szCs w:val="20"/>
              </w:rPr>
              <w:t>ie Freizügigkeit, um Handel oder ein Gewerbe zu betreiben und Eigentum zu erwerben, dieses zu besitzen sowie Klagemöglichkeiten vor allen Gerichten und auch von höheren Steuern oder Abgaben befreit zu sein, soweit ein Bundesstaat sie seinen eigenen Bürgern erlasse.</w:t>
            </w:r>
            <w:r w:rsidRPr="000A151D">
              <w:rPr>
                <w:sz w:val="20"/>
                <w:szCs w:val="20"/>
                <w:vertAlign w:val="superscript"/>
              </w:rPr>
              <w:footnoteReference w:id="516"/>
            </w:r>
          </w:p>
          <w:p w14:paraId="23030803" w14:textId="77777777" w:rsidR="00074551" w:rsidRPr="00E50B51" w:rsidRDefault="00074551" w:rsidP="00367133">
            <w:pPr>
              <w:jc w:val="both"/>
              <w:rPr>
                <w:sz w:val="20"/>
                <w:szCs w:val="20"/>
              </w:rPr>
            </w:pPr>
          </w:p>
        </w:tc>
      </w:tr>
      <w:tr w:rsidR="00074551" w:rsidRPr="00E50B51" w14:paraId="377561CC" w14:textId="77777777" w:rsidTr="00BE689F">
        <w:trPr>
          <w:cantSplit/>
          <w:trHeight w:val="3175"/>
        </w:trPr>
        <w:tc>
          <w:tcPr>
            <w:tcW w:w="293" w:type="pct"/>
          </w:tcPr>
          <w:p w14:paraId="15693BC1"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1262226" w14:textId="77777777" w:rsidR="00074551" w:rsidRPr="00B45592" w:rsidRDefault="00074551" w:rsidP="00367133">
            <w:pPr>
              <w:ind w:left="113" w:right="113"/>
              <w:jc w:val="both"/>
              <w:rPr>
                <w:i/>
                <w:sz w:val="20"/>
                <w:szCs w:val="20"/>
                <w:lang w:val="en-US"/>
              </w:rPr>
            </w:pPr>
            <w:r w:rsidRPr="00B45592">
              <w:rPr>
                <w:i/>
                <w:sz w:val="20"/>
                <w:szCs w:val="20"/>
                <w:lang w:val="en-US"/>
              </w:rPr>
              <w:t>United States v. Wheeler</w:t>
            </w:r>
          </w:p>
        </w:tc>
        <w:tc>
          <w:tcPr>
            <w:tcW w:w="197" w:type="pct"/>
            <w:textDirection w:val="tbRl"/>
            <w:vAlign w:val="center"/>
          </w:tcPr>
          <w:p w14:paraId="2EF8C6C6" w14:textId="77777777" w:rsidR="00074551" w:rsidRPr="00E50B51" w:rsidRDefault="00074551" w:rsidP="00367133">
            <w:pPr>
              <w:ind w:left="113" w:right="113"/>
              <w:jc w:val="both"/>
              <w:rPr>
                <w:sz w:val="20"/>
                <w:szCs w:val="20"/>
                <w:lang w:val="en-US"/>
              </w:rPr>
            </w:pPr>
            <w:r w:rsidRPr="00E50B51">
              <w:rPr>
                <w:sz w:val="20"/>
                <w:szCs w:val="20"/>
                <w:lang w:val="en-US"/>
              </w:rPr>
              <w:t>254 U.S. 281</w:t>
            </w:r>
          </w:p>
        </w:tc>
        <w:tc>
          <w:tcPr>
            <w:tcW w:w="306" w:type="pct"/>
            <w:textDirection w:val="tbRl"/>
            <w:vAlign w:val="center"/>
          </w:tcPr>
          <w:p w14:paraId="18EE71E6" w14:textId="77777777" w:rsidR="00074551" w:rsidRPr="00E50B51" w:rsidRDefault="00074551" w:rsidP="00367133">
            <w:pPr>
              <w:ind w:left="113" w:right="113"/>
              <w:jc w:val="both"/>
              <w:rPr>
                <w:sz w:val="20"/>
                <w:szCs w:val="20"/>
              </w:rPr>
            </w:pPr>
            <w:r w:rsidRPr="00E50B51">
              <w:rPr>
                <w:sz w:val="20"/>
                <w:szCs w:val="20"/>
              </w:rPr>
              <w:t>13. Dezember 1920</w:t>
            </w:r>
          </w:p>
        </w:tc>
        <w:tc>
          <w:tcPr>
            <w:tcW w:w="401" w:type="pct"/>
          </w:tcPr>
          <w:p w14:paraId="0E944CFA" w14:textId="77777777" w:rsidR="00074551" w:rsidRPr="00E50B51" w:rsidRDefault="00074551" w:rsidP="00367133">
            <w:pPr>
              <w:jc w:val="center"/>
              <w:rPr>
                <w:sz w:val="20"/>
                <w:szCs w:val="20"/>
              </w:rPr>
            </w:pPr>
            <w:r w:rsidRPr="00E50B51">
              <w:rPr>
                <w:sz w:val="20"/>
                <w:szCs w:val="20"/>
                <w:lang w:val="en-US"/>
              </w:rPr>
              <w:t>M</w:t>
            </w:r>
            <w:r>
              <w:rPr>
                <w:sz w:val="20"/>
                <w:szCs w:val="20"/>
                <w:lang w:val="en-US"/>
              </w:rPr>
              <w:t>/S</w:t>
            </w:r>
          </w:p>
        </w:tc>
        <w:tc>
          <w:tcPr>
            <w:tcW w:w="1594" w:type="pct"/>
          </w:tcPr>
          <w:p w14:paraId="6A59C86E" w14:textId="147407B1" w:rsidR="00074551" w:rsidRPr="00E50B51" w:rsidRDefault="00074551" w:rsidP="00367133">
            <w:pPr>
              <w:jc w:val="both"/>
              <w:rPr>
                <w:sz w:val="20"/>
                <w:szCs w:val="20"/>
              </w:rPr>
            </w:pPr>
            <w:r w:rsidRPr="00E50B51">
              <w:rPr>
                <w:sz w:val="20"/>
                <w:szCs w:val="20"/>
              </w:rPr>
              <w:t xml:space="preserve">Im Fall klagten die Vereinigten Staaten Personen an, da sie vermeintlich gegen </w:t>
            </w:r>
            <w:r>
              <w:rPr>
                <w:sz w:val="20"/>
                <w:szCs w:val="20"/>
              </w:rPr>
              <w:t>§ </w:t>
            </w:r>
            <w:r w:rsidRPr="00E50B51">
              <w:rPr>
                <w:sz w:val="20"/>
                <w:szCs w:val="20"/>
              </w:rPr>
              <w:t xml:space="preserve">19 </w:t>
            </w:r>
            <w:r>
              <w:rPr>
                <w:sz w:val="20"/>
                <w:szCs w:val="20"/>
              </w:rPr>
              <w:t xml:space="preserve">des </w:t>
            </w:r>
            <w:proofErr w:type="spellStart"/>
            <w:r w:rsidRPr="00B45592">
              <w:rPr>
                <w:i/>
                <w:sz w:val="20"/>
                <w:szCs w:val="20"/>
              </w:rPr>
              <w:t>Criminal</w:t>
            </w:r>
            <w:proofErr w:type="spellEnd"/>
            <w:r w:rsidRPr="00B45592">
              <w:rPr>
                <w:i/>
                <w:sz w:val="20"/>
                <w:szCs w:val="20"/>
              </w:rPr>
              <w:t xml:space="preserve"> Code</w:t>
            </w:r>
            <w:r w:rsidRPr="00546797">
              <w:rPr>
                <w:rStyle w:val="Funotenzeichen"/>
                <w:sz w:val="20"/>
                <w:szCs w:val="20"/>
              </w:rPr>
              <w:footnoteReference w:id="517"/>
            </w:r>
            <w:r w:rsidRPr="00E50B51">
              <w:rPr>
                <w:sz w:val="20"/>
                <w:szCs w:val="20"/>
              </w:rPr>
              <w:t xml:space="preserve"> verstoßen </w:t>
            </w:r>
            <w:r>
              <w:rPr>
                <w:sz w:val="20"/>
                <w:szCs w:val="20"/>
              </w:rPr>
              <w:t>hätten</w:t>
            </w:r>
            <w:r w:rsidRPr="00E50B51">
              <w:rPr>
                <w:sz w:val="20"/>
                <w:szCs w:val="20"/>
              </w:rPr>
              <w:t xml:space="preserve">. Konkret warf die Anklage vor, Personen hätten sich vereinigt, um </w:t>
            </w:r>
            <w:r>
              <w:rPr>
                <w:sz w:val="20"/>
                <w:szCs w:val="20"/>
              </w:rPr>
              <w:t>a</w:t>
            </w:r>
            <w:r w:rsidRPr="00E50B51">
              <w:rPr>
                <w:sz w:val="20"/>
                <w:szCs w:val="20"/>
              </w:rPr>
              <w:t xml:space="preserve">ndere gewaltsam mit dem Zug von Arizona nach New Mexico zu transportieren. Damit </w:t>
            </w:r>
            <w:r>
              <w:rPr>
                <w:sz w:val="20"/>
                <w:szCs w:val="20"/>
              </w:rPr>
              <w:t>hätten sie</w:t>
            </w:r>
            <w:r w:rsidRPr="00E50B51">
              <w:rPr>
                <w:sz w:val="20"/>
                <w:szCs w:val="20"/>
              </w:rPr>
              <w:t xml:space="preserve"> zwei verfassungsmäßige Rechte verletz</w:t>
            </w:r>
            <w:r>
              <w:rPr>
                <w:sz w:val="20"/>
                <w:szCs w:val="20"/>
              </w:rPr>
              <w:t>t</w:t>
            </w:r>
            <w:r w:rsidRPr="00E50B51">
              <w:rPr>
                <w:sz w:val="20"/>
                <w:szCs w:val="20"/>
              </w:rPr>
              <w:t xml:space="preserve">: das </w:t>
            </w:r>
            <w:r>
              <w:rPr>
                <w:sz w:val="20"/>
                <w:szCs w:val="20"/>
              </w:rPr>
              <w:t xml:space="preserve">Recht, </w:t>
            </w:r>
            <w:r w:rsidRPr="00E50B51">
              <w:rPr>
                <w:sz w:val="20"/>
                <w:szCs w:val="20"/>
              </w:rPr>
              <w:t xml:space="preserve">in Arizona </w:t>
            </w:r>
            <w:r>
              <w:rPr>
                <w:sz w:val="20"/>
                <w:szCs w:val="20"/>
              </w:rPr>
              <w:t xml:space="preserve">zu verbleiben </w:t>
            </w:r>
            <w:r w:rsidRPr="00E50B51">
              <w:rPr>
                <w:sz w:val="20"/>
                <w:szCs w:val="20"/>
              </w:rPr>
              <w:t xml:space="preserve">und das Recht, vor einer unrechtmäßigen Abschiebung in einen anderen Bundesstaat geschützt zu sein. </w:t>
            </w:r>
            <w:r w:rsidRPr="005C53CB">
              <w:rPr>
                <w:sz w:val="20"/>
                <w:szCs w:val="20"/>
              </w:rPr>
              <w:t xml:space="preserve">Der </w:t>
            </w:r>
            <w:r w:rsidRPr="00B45592">
              <w:rPr>
                <w:i/>
                <w:sz w:val="20"/>
                <w:szCs w:val="20"/>
              </w:rPr>
              <w:t xml:space="preserve">U.S. </w:t>
            </w:r>
            <w:proofErr w:type="spellStart"/>
            <w:r w:rsidRPr="00B45592">
              <w:rPr>
                <w:i/>
                <w:sz w:val="20"/>
                <w:szCs w:val="20"/>
              </w:rPr>
              <w:t>District</w:t>
            </w:r>
            <w:proofErr w:type="spellEnd"/>
            <w:r w:rsidRPr="00B45592">
              <w:rPr>
                <w:i/>
                <w:sz w:val="20"/>
                <w:szCs w:val="20"/>
              </w:rPr>
              <w:t xml:space="preserve"> Court for the </w:t>
            </w:r>
            <w:proofErr w:type="spellStart"/>
            <w:r w:rsidRPr="00B45592">
              <w:rPr>
                <w:i/>
                <w:sz w:val="20"/>
                <w:szCs w:val="20"/>
              </w:rPr>
              <w:t>District</w:t>
            </w:r>
            <w:proofErr w:type="spellEnd"/>
            <w:r w:rsidRPr="00B45592">
              <w:rPr>
                <w:i/>
                <w:sz w:val="20"/>
                <w:szCs w:val="20"/>
              </w:rPr>
              <w:t xml:space="preserve"> of Arizona</w:t>
            </w:r>
            <w:r w:rsidRPr="005C53CB">
              <w:rPr>
                <w:sz w:val="20"/>
                <w:szCs w:val="20"/>
              </w:rPr>
              <w:t xml:space="preserve"> hob </w:t>
            </w:r>
            <w:r>
              <w:rPr>
                <w:sz w:val="20"/>
                <w:szCs w:val="20"/>
              </w:rPr>
              <w:t xml:space="preserve">indes </w:t>
            </w:r>
            <w:r w:rsidRPr="005C53CB">
              <w:rPr>
                <w:sz w:val="20"/>
                <w:szCs w:val="20"/>
              </w:rPr>
              <w:t>die Anklage auf, was der</w:t>
            </w:r>
            <w:r w:rsidRPr="00E50B51">
              <w:rPr>
                <w:sz w:val="20"/>
                <w:szCs w:val="20"/>
              </w:rPr>
              <w:t xml:space="preserve"> </w:t>
            </w:r>
            <w:r>
              <w:rPr>
                <w:sz w:val="20"/>
                <w:szCs w:val="20"/>
              </w:rPr>
              <w:t>U.S. Supreme Court</w:t>
            </w:r>
            <w:r w:rsidRPr="00E50B51">
              <w:rPr>
                <w:sz w:val="20"/>
                <w:szCs w:val="20"/>
              </w:rPr>
              <w:t xml:space="preserve"> aus zwei Gründen bestätig</w:t>
            </w:r>
            <w:r>
              <w:rPr>
                <w:sz w:val="20"/>
                <w:szCs w:val="20"/>
              </w:rPr>
              <w:t>t</w:t>
            </w:r>
            <w:r w:rsidRPr="00E50B51">
              <w:rPr>
                <w:sz w:val="20"/>
                <w:szCs w:val="20"/>
              </w:rPr>
              <w:t xml:space="preserve">e. Erstens sehe die </w:t>
            </w:r>
            <w:r>
              <w:rPr>
                <w:sz w:val="20"/>
                <w:szCs w:val="20"/>
              </w:rPr>
              <w:t>U.S.</w:t>
            </w:r>
            <w:r w:rsidRPr="00E50B51">
              <w:rPr>
                <w:sz w:val="20"/>
                <w:szCs w:val="20"/>
              </w:rPr>
              <w:t xml:space="preserve"> </w:t>
            </w:r>
            <w:proofErr w:type="spellStart"/>
            <w:r w:rsidRPr="00E50B51">
              <w:rPr>
                <w:sz w:val="20"/>
                <w:szCs w:val="20"/>
              </w:rPr>
              <w:t>Const</w:t>
            </w:r>
            <w:proofErr w:type="spellEnd"/>
            <w:r w:rsidRPr="00E50B51">
              <w:rPr>
                <w:sz w:val="20"/>
                <w:szCs w:val="20"/>
              </w:rPr>
              <w:t xml:space="preserve">. zwar vor, </w:t>
            </w:r>
            <w:r>
              <w:rPr>
                <w:sz w:val="20"/>
                <w:szCs w:val="20"/>
              </w:rPr>
              <w:t xml:space="preserve">dass </w:t>
            </w:r>
            <w:r w:rsidRPr="00E50B51">
              <w:rPr>
                <w:sz w:val="20"/>
                <w:szCs w:val="20"/>
              </w:rPr>
              <w:t>ein Bundesstaat mit staatlichen Maßnahmen Bürgern anderer Bundesstaaten nicht die Rechte verweigern</w:t>
            </w:r>
            <w:r>
              <w:rPr>
                <w:sz w:val="20"/>
                <w:szCs w:val="20"/>
              </w:rPr>
              <w:t xml:space="preserve"> dürfe</w:t>
            </w:r>
            <w:r w:rsidRPr="00E50B51">
              <w:rPr>
                <w:sz w:val="20"/>
                <w:szCs w:val="20"/>
              </w:rPr>
              <w:t xml:space="preserve">, die </w:t>
            </w:r>
            <w:r>
              <w:rPr>
                <w:sz w:val="20"/>
                <w:szCs w:val="20"/>
              </w:rPr>
              <w:t>er</w:t>
            </w:r>
            <w:r w:rsidRPr="00E50B51">
              <w:rPr>
                <w:sz w:val="20"/>
                <w:szCs w:val="20"/>
              </w:rPr>
              <w:t xml:space="preserve"> seinen eigenen Bürgern gewähre. Aber ein Verfassungsrecht existiere nicht für den Fall </w:t>
            </w:r>
            <w:r>
              <w:rPr>
                <w:sz w:val="20"/>
                <w:szCs w:val="20"/>
              </w:rPr>
              <w:t xml:space="preserve">– als </w:t>
            </w:r>
            <w:r w:rsidRPr="00E50B51">
              <w:rPr>
                <w:sz w:val="20"/>
                <w:szCs w:val="20"/>
              </w:rPr>
              <w:t xml:space="preserve">Umkehrschluss aus </w:t>
            </w:r>
            <w:r w:rsidR="00023A37">
              <w:rPr>
                <w:sz w:val="20"/>
                <w:szCs w:val="20"/>
              </w:rPr>
              <w:t xml:space="preserve">U.S. </w:t>
            </w:r>
            <w:proofErr w:type="spellStart"/>
            <w:r w:rsidR="00023A37">
              <w:rPr>
                <w:sz w:val="20"/>
                <w:szCs w:val="20"/>
              </w:rPr>
              <w:t>Const</w:t>
            </w:r>
            <w:proofErr w:type="spellEnd"/>
            <w:r w:rsidR="00023A37">
              <w:rPr>
                <w:sz w:val="20"/>
                <w:szCs w:val="20"/>
              </w:rPr>
              <w:t>. art. IV, § 2</w:t>
            </w:r>
            <w:r>
              <w:rPr>
                <w:sz w:val="20"/>
                <w:szCs w:val="20"/>
              </w:rPr>
              <w:t xml:space="preserve"> –</w:t>
            </w:r>
            <w:r w:rsidRPr="00E50B51">
              <w:rPr>
                <w:sz w:val="20"/>
                <w:szCs w:val="20"/>
              </w:rPr>
              <w:t>, wenn natürliche Personen</w:t>
            </w:r>
            <w:r>
              <w:rPr>
                <w:sz w:val="20"/>
                <w:szCs w:val="20"/>
              </w:rPr>
              <w:t xml:space="preserve"> – hier die Angeklagten – </w:t>
            </w:r>
            <w:r w:rsidRPr="00E50B51">
              <w:rPr>
                <w:sz w:val="20"/>
                <w:szCs w:val="20"/>
              </w:rPr>
              <w:t xml:space="preserve">das Bleiberecht und den Schutz vor Abschiebung einschränken. Es könne daher keine Verletzung von Verfassungsrecht vorliegen. </w:t>
            </w:r>
            <w:r>
              <w:rPr>
                <w:sz w:val="20"/>
                <w:szCs w:val="20"/>
              </w:rPr>
              <w:t>Und z</w:t>
            </w:r>
            <w:r w:rsidRPr="00E50B51">
              <w:rPr>
                <w:sz w:val="20"/>
                <w:szCs w:val="20"/>
              </w:rPr>
              <w:t xml:space="preserve">weitens </w:t>
            </w:r>
            <w:r>
              <w:rPr>
                <w:sz w:val="20"/>
                <w:szCs w:val="20"/>
              </w:rPr>
              <w:t xml:space="preserve">bestehe </w:t>
            </w:r>
            <w:r w:rsidRPr="00E50B51">
              <w:rPr>
                <w:sz w:val="20"/>
                <w:szCs w:val="20"/>
              </w:rPr>
              <w:t>die Zuständigkeit für den Schutz beider</w:t>
            </w:r>
            <w:r>
              <w:rPr>
                <w:sz w:val="20"/>
                <w:szCs w:val="20"/>
              </w:rPr>
              <w:t xml:space="preserve"> vermeintlich verletzter Verfassungsrechte</w:t>
            </w:r>
            <w:r w:rsidRPr="00E50B51">
              <w:rPr>
                <w:sz w:val="20"/>
                <w:szCs w:val="20"/>
              </w:rPr>
              <w:t xml:space="preserve"> Rechte bei den Bundesstaaten</w:t>
            </w:r>
            <w:r>
              <w:rPr>
                <w:sz w:val="20"/>
                <w:szCs w:val="20"/>
              </w:rPr>
              <w:t xml:space="preserve"> und</w:t>
            </w:r>
            <w:r w:rsidRPr="00E50B51">
              <w:rPr>
                <w:sz w:val="20"/>
                <w:szCs w:val="20"/>
              </w:rPr>
              <w:t xml:space="preserve"> nicht </w:t>
            </w:r>
            <w:r>
              <w:rPr>
                <w:sz w:val="20"/>
                <w:szCs w:val="20"/>
              </w:rPr>
              <w:t>bei d</w:t>
            </w:r>
            <w:r w:rsidRPr="00E50B51">
              <w:rPr>
                <w:sz w:val="20"/>
                <w:szCs w:val="20"/>
              </w:rPr>
              <w:t>en Vereinigten Staaten</w:t>
            </w:r>
            <w:r>
              <w:rPr>
                <w:sz w:val="20"/>
                <w:szCs w:val="20"/>
              </w:rPr>
              <w:t>; d</w:t>
            </w:r>
            <w:r w:rsidRPr="00E50B51">
              <w:rPr>
                <w:sz w:val="20"/>
                <w:szCs w:val="20"/>
              </w:rPr>
              <w:t>ie</w:t>
            </w:r>
            <w:r>
              <w:rPr>
                <w:sz w:val="20"/>
                <w:szCs w:val="20"/>
              </w:rPr>
              <w:t>se</w:t>
            </w:r>
            <w:r w:rsidRPr="00E50B51">
              <w:rPr>
                <w:sz w:val="20"/>
                <w:szCs w:val="20"/>
              </w:rPr>
              <w:t xml:space="preserve"> klagten</w:t>
            </w:r>
            <w:r>
              <w:rPr>
                <w:sz w:val="20"/>
                <w:szCs w:val="20"/>
              </w:rPr>
              <w:t xml:space="preserve"> aber an</w:t>
            </w:r>
            <w:r w:rsidRPr="00E50B51">
              <w:rPr>
                <w:sz w:val="20"/>
                <w:szCs w:val="20"/>
              </w:rPr>
              <w:t xml:space="preserve">. </w:t>
            </w:r>
            <w:r>
              <w:rPr>
                <w:sz w:val="20"/>
                <w:szCs w:val="20"/>
              </w:rPr>
              <w:t xml:space="preserve">Der Grund für diese Kompetenzverteilung ist, dass </w:t>
            </w:r>
            <w:r w:rsidRPr="00E50B51">
              <w:rPr>
                <w:sz w:val="20"/>
                <w:szCs w:val="20"/>
              </w:rPr>
              <w:t>vor allem Bunde</w:t>
            </w:r>
            <w:r>
              <w:rPr>
                <w:sz w:val="20"/>
                <w:szCs w:val="20"/>
              </w:rPr>
              <w:t>s</w:t>
            </w:r>
            <w:r w:rsidRPr="00E50B51">
              <w:rPr>
                <w:sz w:val="20"/>
                <w:szCs w:val="20"/>
              </w:rPr>
              <w:t>staaten Gleichheit zwischen den Bürgern herstellen</w:t>
            </w:r>
            <w:r>
              <w:rPr>
                <w:sz w:val="20"/>
                <w:szCs w:val="20"/>
              </w:rPr>
              <w:t xml:space="preserve"> sollen</w:t>
            </w:r>
            <w:r w:rsidRPr="00E50B51">
              <w:rPr>
                <w:sz w:val="20"/>
                <w:szCs w:val="20"/>
              </w:rPr>
              <w:t xml:space="preserve">. Die </w:t>
            </w:r>
            <w:r>
              <w:rPr>
                <w:sz w:val="20"/>
                <w:szCs w:val="20"/>
              </w:rPr>
              <w:t>Zuständigkeit</w:t>
            </w:r>
            <w:r w:rsidRPr="00E50B51">
              <w:rPr>
                <w:sz w:val="20"/>
                <w:szCs w:val="20"/>
              </w:rPr>
              <w:t xml:space="preserve"> der Vereinigten Staaten sei damit grundsätzlich ausschlossen</w:t>
            </w:r>
            <w:r>
              <w:rPr>
                <w:sz w:val="20"/>
                <w:szCs w:val="20"/>
              </w:rPr>
              <w:t xml:space="preserve">, </w:t>
            </w:r>
            <w:r w:rsidRPr="00E50B51">
              <w:rPr>
                <w:sz w:val="20"/>
                <w:szCs w:val="20"/>
              </w:rPr>
              <w:t>es sei denn, Bundes</w:t>
            </w:r>
            <w:r>
              <w:rPr>
                <w:sz w:val="20"/>
                <w:szCs w:val="20"/>
              </w:rPr>
              <w:t>s</w:t>
            </w:r>
            <w:r w:rsidRPr="00E50B51">
              <w:rPr>
                <w:sz w:val="20"/>
                <w:szCs w:val="20"/>
              </w:rPr>
              <w:t xml:space="preserve">taaten riefen explizit die Bundeszuständigkeit an. Das war hier nicht der Fall. Damit läge die Zuständigkeit für die Vorrechte und </w:t>
            </w:r>
            <w:r>
              <w:rPr>
                <w:sz w:val="20"/>
                <w:szCs w:val="20"/>
              </w:rPr>
              <w:t>Immunitäten</w:t>
            </w:r>
            <w:r w:rsidRPr="00E50B51">
              <w:rPr>
                <w:sz w:val="20"/>
                <w:szCs w:val="20"/>
              </w:rPr>
              <w:t xml:space="preserve"> der Bürger bei den Bundesstaaten, nicht auf Ebene der Vereinigten Staaten, respektive der </w:t>
            </w:r>
            <w:r w:rsidRPr="00FD6796">
              <w:rPr>
                <w:sz w:val="20"/>
                <w:szCs w:val="20"/>
              </w:rPr>
              <w:t>Bundesregierung.</w:t>
            </w:r>
            <w:r w:rsidRPr="00FD6796">
              <w:rPr>
                <w:rStyle w:val="Funotenzeichen"/>
                <w:sz w:val="20"/>
                <w:szCs w:val="20"/>
              </w:rPr>
              <w:footnoteReference w:id="518"/>
            </w:r>
          </w:p>
          <w:p w14:paraId="116B0F99" w14:textId="77777777" w:rsidR="00074551" w:rsidRPr="00E50B51" w:rsidRDefault="00074551" w:rsidP="00367133">
            <w:pPr>
              <w:jc w:val="both"/>
              <w:rPr>
                <w:sz w:val="20"/>
                <w:szCs w:val="20"/>
              </w:rPr>
            </w:pPr>
          </w:p>
        </w:tc>
        <w:tc>
          <w:tcPr>
            <w:tcW w:w="1822" w:type="pct"/>
          </w:tcPr>
          <w:p w14:paraId="53422477" w14:textId="2D8C613B" w:rsidR="00074551" w:rsidRDefault="00074551" w:rsidP="00367133">
            <w:pPr>
              <w:jc w:val="both"/>
              <w:rPr>
                <w:sz w:val="20"/>
                <w:szCs w:val="20"/>
              </w:rPr>
            </w:pPr>
            <w:r>
              <w:rPr>
                <w:sz w:val="20"/>
                <w:szCs w:val="20"/>
              </w:rPr>
              <w:t>Das</w:t>
            </w:r>
            <w:r w:rsidRPr="00E51EA5">
              <w:rPr>
                <w:sz w:val="20"/>
                <w:szCs w:val="20"/>
              </w:rPr>
              <w:t xml:space="preserve"> </w:t>
            </w:r>
            <w:proofErr w:type="spellStart"/>
            <w:r w:rsidRPr="00B45592">
              <w:rPr>
                <w:i/>
                <w:iCs/>
                <w:sz w:val="20"/>
                <w:szCs w:val="20"/>
              </w:rPr>
              <w:t>pursuit</w:t>
            </w:r>
            <w:proofErr w:type="spellEnd"/>
            <w:r w:rsidRPr="00B45592">
              <w:rPr>
                <w:i/>
                <w:iCs/>
                <w:sz w:val="20"/>
                <w:szCs w:val="20"/>
              </w:rPr>
              <w:t xml:space="preserve"> of </w:t>
            </w:r>
            <w:r>
              <w:rPr>
                <w:i/>
                <w:iCs/>
                <w:sz w:val="20"/>
                <w:szCs w:val="20"/>
              </w:rPr>
              <w:t>H</w:t>
            </w:r>
            <w:r w:rsidRPr="00B45592">
              <w:rPr>
                <w:i/>
                <w:iCs/>
                <w:sz w:val="20"/>
                <w:szCs w:val="20"/>
              </w:rPr>
              <w:t>appiness</w:t>
            </w:r>
            <w:r w:rsidRPr="00E51EA5">
              <w:rPr>
                <w:sz w:val="20"/>
                <w:szCs w:val="20"/>
              </w:rPr>
              <w:t xml:space="preserve"> erwähnt der </w:t>
            </w:r>
            <w:r>
              <w:rPr>
                <w:sz w:val="20"/>
                <w:szCs w:val="20"/>
              </w:rPr>
              <w:t>U.S. Supreme Court</w:t>
            </w:r>
            <w:r w:rsidRPr="00E51EA5">
              <w:rPr>
                <w:sz w:val="20"/>
                <w:szCs w:val="20"/>
              </w:rPr>
              <w:t xml:space="preserve"> drei Mal in </w:t>
            </w:r>
            <w:r w:rsidRPr="00B45592">
              <w:rPr>
                <w:i/>
                <w:sz w:val="20"/>
                <w:szCs w:val="20"/>
              </w:rPr>
              <w:t>United States v. Wheeler</w:t>
            </w:r>
            <w:r w:rsidRPr="00E51EA5">
              <w:rPr>
                <w:sz w:val="20"/>
                <w:szCs w:val="20"/>
              </w:rPr>
              <w:t xml:space="preserve"> – erstens im Zusammenhang mit </w:t>
            </w:r>
            <w:r w:rsidR="004D6F76" w:rsidRPr="004D6F76">
              <w:rPr>
                <w:sz w:val="20"/>
                <w:szCs w:val="20"/>
              </w:rPr>
              <w:t xml:space="preserve">U.S. </w:t>
            </w:r>
            <w:proofErr w:type="spellStart"/>
            <w:r w:rsidR="004D6F76" w:rsidRPr="004D6F76">
              <w:rPr>
                <w:sz w:val="20"/>
                <w:szCs w:val="20"/>
              </w:rPr>
              <w:t>Const</w:t>
            </w:r>
            <w:proofErr w:type="spellEnd"/>
            <w:r w:rsidR="004D6F76" w:rsidRPr="004D6F76">
              <w:rPr>
                <w:sz w:val="20"/>
                <w:szCs w:val="20"/>
              </w:rPr>
              <w:t>. art. IV, § 2</w:t>
            </w:r>
            <w:r w:rsidR="004D6F76">
              <w:rPr>
                <w:sz w:val="20"/>
                <w:szCs w:val="20"/>
              </w:rPr>
              <w:t xml:space="preserve">. </w:t>
            </w:r>
            <w:r w:rsidRPr="00E51EA5">
              <w:rPr>
                <w:sz w:val="20"/>
                <w:szCs w:val="20"/>
              </w:rPr>
              <w:t xml:space="preserve">Dieses sichere das Recht auf ein Streben nach Glück in allen Bundesstaaten. Zugleich verhüte es Diskriminierungen beim gleichen Streben nach dem Glück. Und das </w:t>
            </w:r>
            <w:r w:rsidR="004D6F76" w:rsidRPr="004D6F76">
              <w:rPr>
                <w:sz w:val="20"/>
                <w:szCs w:val="20"/>
              </w:rPr>
              <w:t xml:space="preserve">U.S. </w:t>
            </w:r>
            <w:proofErr w:type="spellStart"/>
            <w:r w:rsidR="004D6F76" w:rsidRPr="004D6F76">
              <w:rPr>
                <w:sz w:val="20"/>
                <w:szCs w:val="20"/>
              </w:rPr>
              <w:t>Const</w:t>
            </w:r>
            <w:proofErr w:type="spellEnd"/>
            <w:r w:rsidR="004D6F76" w:rsidRPr="004D6F76">
              <w:rPr>
                <w:sz w:val="20"/>
                <w:szCs w:val="20"/>
              </w:rPr>
              <w:t>. art. IV, § 2</w:t>
            </w:r>
            <w:r w:rsidR="004D6F76">
              <w:rPr>
                <w:sz w:val="20"/>
                <w:szCs w:val="20"/>
              </w:rPr>
              <w:t xml:space="preserve"> </w:t>
            </w:r>
            <w:r w:rsidRPr="00E51EA5">
              <w:rPr>
                <w:sz w:val="20"/>
                <w:szCs w:val="20"/>
              </w:rPr>
              <w:t xml:space="preserve">sei </w:t>
            </w:r>
            <w:proofErr w:type="spellStart"/>
            <w:r w:rsidRPr="00B45592">
              <w:rPr>
                <w:i/>
                <w:sz w:val="20"/>
                <w:szCs w:val="20"/>
              </w:rPr>
              <w:t>lex</w:t>
            </w:r>
            <w:proofErr w:type="spellEnd"/>
            <w:r w:rsidRPr="00B45592">
              <w:rPr>
                <w:i/>
                <w:sz w:val="20"/>
                <w:szCs w:val="20"/>
              </w:rPr>
              <w:t xml:space="preserve"> </w:t>
            </w:r>
            <w:proofErr w:type="spellStart"/>
            <w:r w:rsidRPr="00B45592">
              <w:rPr>
                <w:i/>
                <w:sz w:val="20"/>
                <w:szCs w:val="20"/>
              </w:rPr>
              <w:t>speciales</w:t>
            </w:r>
            <w:proofErr w:type="spellEnd"/>
            <w:r w:rsidRPr="00E51EA5">
              <w:rPr>
                <w:sz w:val="20"/>
                <w:szCs w:val="20"/>
              </w:rPr>
              <w:t xml:space="preserve"> zur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w:t>
            </w:r>
            <w:proofErr w:type="spellStart"/>
            <w:r w:rsidRPr="00B45592">
              <w:rPr>
                <w:i/>
                <w:sz w:val="20"/>
                <w:szCs w:val="20"/>
              </w:rPr>
              <w:t>Clause</w:t>
            </w:r>
            <w:proofErr w:type="spellEnd"/>
            <w:r w:rsidRPr="00E51EA5">
              <w:rPr>
                <w:sz w:val="20"/>
                <w:szCs w:val="20"/>
              </w:rPr>
              <w:t xml:space="preserve">, um Bürger der Bundesstaaten gleichzustellen. </w:t>
            </w:r>
            <w:r>
              <w:rPr>
                <w:sz w:val="20"/>
                <w:szCs w:val="20"/>
              </w:rPr>
              <w:t>E</w:t>
            </w:r>
            <w:r w:rsidRPr="00E51EA5">
              <w:rPr>
                <w:sz w:val="20"/>
                <w:szCs w:val="20"/>
              </w:rPr>
              <w:t xml:space="preserve">s habe </w:t>
            </w:r>
            <w:r>
              <w:rPr>
                <w:sz w:val="20"/>
                <w:szCs w:val="20"/>
              </w:rPr>
              <w:t xml:space="preserve">darüber hinaus </w:t>
            </w:r>
            <w:r w:rsidRPr="00E51EA5">
              <w:rPr>
                <w:sz w:val="20"/>
                <w:szCs w:val="20"/>
              </w:rPr>
              <w:t>dazu beigetragen, die Bürger der Vereinigten Staaten zu einem Volk zu einen („</w:t>
            </w:r>
            <w:proofErr w:type="spellStart"/>
            <w:r w:rsidRPr="00E51EA5">
              <w:rPr>
                <w:sz w:val="20"/>
                <w:szCs w:val="20"/>
              </w:rPr>
              <w:t>no</w:t>
            </w:r>
            <w:proofErr w:type="spellEnd"/>
            <w:r w:rsidRPr="00E51EA5">
              <w:rPr>
                <w:sz w:val="20"/>
                <w:szCs w:val="20"/>
              </w:rPr>
              <w:t xml:space="preserve"> </w:t>
            </w:r>
            <w:proofErr w:type="spellStart"/>
            <w:r w:rsidRPr="00E51EA5">
              <w:rPr>
                <w:sz w:val="20"/>
                <w:szCs w:val="20"/>
              </w:rPr>
              <w:t>provision</w:t>
            </w:r>
            <w:proofErr w:type="spellEnd"/>
            <w:r w:rsidRPr="00E51EA5">
              <w:rPr>
                <w:sz w:val="20"/>
                <w:szCs w:val="20"/>
              </w:rPr>
              <w:t xml:space="preserve"> in the </w:t>
            </w:r>
            <w:proofErr w:type="spellStart"/>
            <w:r w:rsidRPr="00E51EA5">
              <w:rPr>
                <w:sz w:val="20"/>
                <w:szCs w:val="20"/>
              </w:rPr>
              <w:t>Constitution</w:t>
            </w:r>
            <w:proofErr w:type="spellEnd"/>
            <w:r w:rsidRPr="00E51EA5">
              <w:rPr>
                <w:sz w:val="20"/>
                <w:szCs w:val="20"/>
              </w:rPr>
              <w:t xml:space="preserve"> </w:t>
            </w:r>
            <w:proofErr w:type="spellStart"/>
            <w:r w:rsidRPr="00E51EA5">
              <w:rPr>
                <w:sz w:val="20"/>
                <w:szCs w:val="20"/>
              </w:rPr>
              <w:t>has</w:t>
            </w:r>
            <w:proofErr w:type="spellEnd"/>
            <w:r w:rsidRPr="00E51EA5">
              <w:rPr>
                <w:sz w:val="20"/>
                <w:szCs w:val="20"/>
              </w:rPr>
              <w:t xml:space="preserve"> </w:t>
            </w:r>
            <w:proofErr w:type="spellStart"/>
            <w:r w:rsidRPr="00E51EA5">
              <w:rPr>
                <w:sz w:val="20"/>
                <w:szCs w:val="20"/>
              </w:rPr>
              <w:t>tended</w:t>
            </w:r>
            <w:proofErr w:type="spellEnd"/>
            <w:r w:rsidRPr="00E51EA5">
              <w:rPr>
                <w:sz w:val="20"/>
                <w:szCs w:val="20"/>
              </w:rPr>
              <w:t xml:space="preserve"> so </w:t>
            </w:r>
            <w:proofErr w:type="spellStart"/>
            <w:r w:rsidRPr="00E51EA5">
              <w:rPr>
                <w:sz w:val="20"/>
                <w:szCs w:val="20"/>
              </w:rPr>
              <w:t>strongly</w:t>
            </w:r>
            <w:proofErr w:type="spellEnd"/>
            <w:r w:rsidRPr="00E51EA5">
              <w:rPr>
                <w:sz w:val="20"/>
                <w:szCs w:val="20"/>
              </w:rPr>
              <w:t xml:space="preserve"> to </w:t>
            </w:r>
            <w:proofErr w:type="spellStart"/>
            <w:r w:rsidRPr="00E51EA5">
              <w:rPr>
                <w:sz w:val="20"/>
                <w:szCs w:val="20"/>
              </w:rPr>
              <w:t>constitute</w:t>
            </w:r>
            <w:proofErr w:type="spellEnd"/>
            <w:r w:rsidRPr="00E51EA5">
              <w:rPr>
                <w:sz w:val="20"/>
                <w:szCs w:val="20"/>
              </w:rPr>
              <w:t xml:space="preserve"> the </w:t>
            </w:r>
            <w:proofErr w:type="spellStart"/>
            <w:r w:rsidRPr="00E51EA5">
              <w:rPr>
                <w:sz w:val="20"/>
                <w:szCs w:val="20"/>
              </w:rPr>
              <w:t>citizens</w:t>
            </w:r>
            <w:proofErr w:type="spellEnd"/>
            <w:r w:rsidRPr="00E51EA5">
              <w:rPr>
                <w:sz w:val="20"/>
                <w:szCs w:val="20"/>
              </w:rPr>
              <w:t xml:space="preserve"> of the United States </w:t>
            </w:r>
            <w:proofErr w:type="spellStart"/>
            <w:r w:rsidRPr="00E51EA5">
              <w:rPr>
                <w:sz w:val="20"/>
                <w:szCs w:val="20"/>
              </w:rPr>
              <w:t>one</w:t>
            </w:r>
            <w:proofErr w:type="spellEnd"/>
            <w:r w:rsidRPr="00E51EA5">
              <w:rPr>
                <w:sz w:val="20"/>
                <w:szCs w:val="20"/>
              </w:rPr>
              <w:t xml:space="preserve"> </w:t>
            </w:r>
            <w:proofErr w:type="spellStart"/>
            <w:r w:rsidRPr="00E51EA5">
              <w:rPr>
                <w:sz w:val="20"/>
                <w:szCs w:val="20"/>
              </w:rPr>
              <w:t>people</w:t>
            </w:r>
            <w:proofErr w:type="spellEnd"/>
            <w:r w:rsidRPr="00E51EA5">
              <w:rPr>
                <w:sz w:val="20"/>
                <w:szCs w:val="20"/>
              </w:rPr>
              <w:t xml:space="preserve"> as </w:t>
            </w:r>
            <w:proofErr w:type="spellStart"/>
            <w:r w:rsidRPr="00E51EA5">
              <w:rPr>
                <w:sz w:val="20"/>
                <w:szCs w:val="20"/>
              </w:rPr>
              <w:t>this</w:t>
            </w:r>
            <w:proofErr w:type="spellEnd"/>
            <w:r w:rsidRPr="00E51EA5">
              <w:rPr>
                <w:sz w:val="20"/>
                <w:szCs w:val="20"/>
              </w:rPr>
              <w:t>“</w:t>
            </w:r>
            <w:r w:rsidRPr="00E51EA5">
              <w:rPr>
                <w:sz w:val="20"/>
                <w:szCs w:val="20"/>
                <w:vertAlign w:val="superscript"/>
              </w:rPr>
              <w:footnoteReference w:id="519"/>
            </w:r>
            <w:r w:rsidRPr="00E51EA5">
              <w:rPr>
                <w:sz w:val="20"/>
                <w:szCs w:val="20"/>
              </w:rPr>
              <w:t xml:space="preserve">). Das Ziel des Amendments sei also, Bürger der unterschiedlichen Bundesstaaten gleichzustellen. Diese Gleichstellung umfasse eben auch das Recht auf ein gleiches Streben nach Glück. Doch was umfasse das Amendment damit dann auch? Um zu antworten, stellte der </w:t>
            </w:r>
            <w:r>
              <w:rPr>
                <w:sz w:val="20"/>
                <w:szCs w:val="20"/>
              </w:rPr>
              <w:t>U.S. Supreme Court</w:t>
            </w:r>
            <w:r w:rsidRPr="00E51EA5">
              <w:rPr>
                <w:sz w:val="20"/>
                <w:szCs w:val="20"/>
              </w:rPr>
              <w:t xml:space="preserve"> den Hauptregelungsgehalt des </w:t>
            </w:r>
            <w:r w:rsidR="004D6F76" w:rsidRPr="004D6F76">
              <w:rPr>
                <w:sz w:val="20"/>
                <w:szCs w:val="20"/>
              </w:rPr>
              <w:t xml:space="preserve">U.S. </w:t>
            </w:r>
            <w:proofErr w:type="spellStart"/>
            <w:r w:rsidR="004D6F76" w:rsidRPr="004D6F76">
              <w:rPr>
                <w:sz w:val="20"/>
                <w:szCs w:val="20"/>
              </w:rPr>
              <w:t>Const</w:t>
            </w:r>
            <w:proofErr w:type="spellEnd"/>
            <w:r w:rsidR="004D6F76" w:rsidRPr="004D6F76">
              <w:rPr>
                <w:sz w:val="20"/>
                <w:szCs w:val="20"/>
              </w:rPr>
              <w:t>. art. IV, § 2</w:t>
            </w:r>
            <w:r w:rsidR="004D6F76">
              <w:rPr>
                <w:sz w:val="20"/>
                <w:szCs w:val="20"/>
              </w:rPr>
              <w:t xml:space="preserve"> </w:t>
            </w:r>
            <w:r w:rsidRPr="00E51EA5">
              <w:rPr>
                <w:sz w:val="20"/>
                <w:szCs w:val="20"/>
              </w:rPr>
              <w:t>fest. Der laute: Gleiche Vorteile zu gewähren und unterschiedliche Behinderung</w:t>
            </w:r>
            <w:r>
              <w:rPr>
                <w:sz w:val="20"/>
                <w:szCs w:val="20"/>
              </w:rPr>
              <w:t>en</w:t>
            </w:r>
            <w:r w:rsidRPr="00E51EA5">
              <w:rPr>
                <w:sz w:val="20"/>
                <w:szCs w:val="20"/>
              </w:rPr>
              <w:t xml:space="preserve"> zu </w:t>
            </w:r>
            <w:r>
              <w:rPr>
                <w:sz w:val="20"/>
                <w:szCs w:val="20"/>
              </w:rPr>
              <w:t>vermeiden</w:t>
            </w:r>
            <w:r w:rsidRPr="00E51EA5">
              <w:rPr>
                <w:sz w:val="20"/>
                <w:szCs w:val="20"/>
              </w:rPr>
              <w:t>, die sich aus der Zugehörigkeit zu einem anderen Bundesstaat ergeben könn</w:t>
            </w:r>
            <w:r>
              <w:rPr>
                <w:sz w:val="20"/>
                <w:szCs w:val="20"/>
              </w:rPr>
              <w:t>t</w:t>
            </w:r>
            <w:r w:rsidRPr="00E51EA5">
              <w:rPr>
                <w:sz w:val="20"/>
                <w:szCs w:val="20"/>
              </w:rPr>
              <w:t xml:space="preserve">en. Beides verletze eine diskriminierende Gesetzgebung, die zulasten anderer Bundesstaaten wirke. Neben dieser Antidiskriminierungsregelung </w:t>
            </w:r>
            <w:r>
              <w:rPr>
                <w:sz w:val="20"/>
                <w:szCs w:val="20"/>
              </w:rPr>
              <w:t>bestünden</w:t>
            </w:r>
            <w:r w:rsidRPr="00E51EA5">
              <w:rPr>
                <w:sz w:val="20"/>
                <w:szCs w:val="20"/>
              </w:rPr>
              <w:t xml:space="preserve"> weitere Ausformungen: die Reisefreiheit bzw. Freizügigkeit, der gleiche Schutz durch Gesetze, aber auch </w:t>
            </w:r>
            <w:r>
              <w:rPr>
                <w:sz w:val="20"/>
                <w:szCs w:val="20"/>
              </w:rPr>
              <w:t xml:space="preserve">der Anspruch, </w:t>
            </w:r>
            <w:r w:rsidRPr="00E51EA5">
              <w:rPr>
                <w:sz w:val="20"/>
                <w:szCs w:val="20"/>
              </w:rPr>
              <w:t>Bürgern in anderen Bundesstaaten die gleiche Freiheitsausübung zu sichern, namentlich: Eigentum zu erwerben und zu nutzen, kulminiert im gleichen Streben nach Glück.</w:t>
            </w:r>
            <w:r w:rsidRPr="00E51EA5">
              <w:rPr>
                <w:sz w:val="20"/>
                <w:szCs w:val="20"/>
                <w:vertAlign w:val="superscript"/>
              </w:rPr>
              <w:footnoteReference w:id="520"/>
            </w:r>
          </w:p>
          <w:p w14:paraId="2B7DD8CD" w14:textId="77777777" w:rsidR="00074551" w:rsidRPr="00E51EA5" w:rsidRDefault="00074551" w:rsidP="00367133">
            <w:pPr>
              <w:jc w:val="both"/>
              <w:rPr>
                <w:sz w:val="20"/>
                <w:szCs w:val="20"/>
              </w:rPr>
            </w:pPr>
          </w:p>
          <w:p w14:paraId="15F2F5B6" w14:textId="77777777" w:rsidR="00074551" w:rsidRPr="00E51EA5" w:rsidRDefault="00074551" w:rsidP="00367133">
            <w:pPr>
              <w:jc w:val="both"/>
              <w:rPr>
                <w:sz w:val="20"/>
                <w:szCs w:val="20"/>
                <w:u w:val="single"/>
              </w:rPr>
            </w:pPr>
            <w:r w:rsidRPr="00E51EA5">
              <w:rPr>
                <w:sz w:val="20"/>
                <w:szCs w:val="20"/>
              </w:rPr>
              <w:t xml:space="preserve">Zweitens urteilte der </w:t>
            </w:r>
            <w:r>
              <w:rPr>
                <w:sz w:val="20"/>
                <w:szCs w:val="20"/>
              </w:rPr>
              <w:t>U.S. Supreme Court</w:t>
            </w:r>
            <w:r w:rsidRPr="00E51EA5">
              <w:rPr>
                <w:sz w:val="20"/>
                <w:szCs w:val="20"/>
              </w:rPr>
              <w:t xml:space="preserve"> zur Frage: Was sind die verfassungsmäßigen Vorrechte und </w:t>
            </w:r>
            <w:r>
              <w:rPr>
                <w:sz w:val="20"/>
                <w:szCs w:val="20"/>
              </w:rPr>
              <w:t>Immunitäten</w:t>
            </w:r>
            <w:r w:rsidRPr="00E50B51">
              <w:rPr>
                <w:sz w:val="20"/>
                <w:szCs w:val="20"/>
              </w:rPr>
              <w:t xml:space="preserve"> </w:t>
            </w:r>
            <w:r w:rsidRPr="00E51EA5">
              <w:rPr>
                <w:sz w:val="20"/>
                <w:szCs w:val="20"/>
              </w:rPr>
              <w:t xml:space="preserve">der Bürger? </w:t>
            </w:r>
            <w:r>
              <w:rPr>
                <w:sz w:val="20"/>
                <w:szCs w:val="20"/>
              </w:rPr>
              <w:t>Das</w:t>
            </w:r>
            <w:r w:rsidRPr="00E51EA5">
              <w:rPr>
                <w:sz w:val="20"/>
                <w:szCs w:val="20"/>
              </w:rPr>
              <w:t xml:space="preserve"> </w:t>
            </w:r>
            <w:proofErr w:type="spellStart"/>
            <w:r w:rsidRPr="00B45592">
              <w:rPr>
                <w:i/>
                <w:iCs/>
                <w:sz w:val="20"/>
                <w:szCs w:val="20"/>
              </w:rPr>
              <w:t>pursuit</w:t>
            </w:r>
            <w:proofErr w:type="spellEnd"/>
            <w:r w:rsidRPr="00B45592">
              <w:rPr>
                <w:i/>
                <w:iCs/>
                <w:sz w:val="20"/>
                <w:szCs w:val="20"/>
              </w:rPr>
              <w:t xml:space="preserve"> of </w:t>
            </w:r>
            <w:r>
              <w:rPr>
                <w:i/>
                <w:iCs/>
                <w:sz w:val="20"/>
                <w:szCs w:val="20"/>
              </w:rPr>
              <w:t>H</w:t>
            </w:r>
            <w:r w:rsidRPr="00B45592">
              <w:rPr>
                <w:i/>
                <w:iCs/>
                <w:sz w:val="20"/>
                <w:szCs w:val="20"/>
              </w:rPr>
              <w:t>appiness</w:t>
            </w:r>
            <w:r w:rsidRPr="00E51EA5">
              <w:rPr>
                <w:sz w:val="20"/>
                <w:szCs w:val="20"/>
              </w:rPr>
              <w:t xml:space="preserve"> war eine der ersten Ausprägung dieser verfassungsmäßigen Vorrechte und </w:t>
            </w:r>
            <w:r>
              <w:rPr>
                <w:sz w:val="20"/>
                <w:szCs w:val="20"/>
              </w:rPr>
              <w:t>Immunitäten</w:t>
            </w:r>
            <w:r w:rsidRPr="00E51EA5">
              <w:rPr>
                <w:sz w:val="20"/>
                <w:szCs w:val="20"/>
              </w:rPr>
              <w:t xml:space="preserve">. Denn ihren verfassungsmäßigen Schutz üben die Vorrechte und </w:t>
            </w:r>
            <w:r>
              <w:rPr>
                <w:sz w:val="20"/>
                <w:szCs w:val="20"/>
              </w:rPr>
              <w:t>Immunitäten</w:t>
            </w:r>
            <w:r w:rsidRPr="00E50B51">
              <w:rPr>
                <w:sz w:val="20"/>
                <w:szCs w:val="20"/>
              </w:rPr>
              <w:t xml:space="preserve"> </w:t>
            </w:r>
            <w:r w:rsidRPr="00E51EA5">
              <w:rPr>
                <w:sz w:val="20"/>
                <w:szCs w:val="20"/>
              </w:rPr>
              <w:t>dann aus, wenn sie grundlegend („fundamental“</w:t>
            </w:r>
            <w:r w:rsidRPr="00E51EA5">
              <w:rPr>
                <w:sz w:val="20"/>
                <w:szCs w:val="20"/>
                <w:vertAlign w:val="superscript"/>
              </w:rPr>
              <w:footnoteReference w:id="521"/>
            </w:r>
            <w:r w:rsidRPr="00E51EA5">
              <w:rPr>
                <w:sz w:val="20"/>
                <w:szCs w:val="20"/>
              </w:rPr>
              <w:t>) sind. Wann die Vorrechte und Immunitäten aber grundlegend sind, bestimmt sich auch anhand der Schutzbereiche der unveräußerlichen Rechte. Das sind solche Rechte, die Bürgern aller freien Regierungen seit der Staatsgründung zukommen und die damit der Unabhängigkeit sowie Souveränität zugrund</w:t>
            </w:r>
            <w:r>
              <w:rPr>
                <w:sz w:val="20"/>
                <w:szCs w:val="20"/>
              </w:rPr>
              <w:t xml:space="preserve">e </w:t>
            </w:r>
            <w:r w:rsidRPr="00E51EA5">
              <w:rPr>
                <w:sz w:val="20"/>
                <w:szCs w:val="20"/>
              </w:rPr>
              <w:t xml:space="preserve">liegen. Das waren zunächst </w:t>
            </w:r>
            <w:r>
              <w:rPr>
                <w:sz w:val="20"/>
                <w:szCs w:val="20"/>
              </w:rPr>
              <w:t xml:space="preserve">die </w:t>
            </w:r>
            <w:r w:rsidRPr="00E51EA5">
              <w:rPr>
                <w:sz w:val="20"/>
                <w:szCs w:val="20"/>
              </w:rPr>
              <w:t>folgenden drei: Der grundsätzliche Auftrag der Regierung</w:t>
            </w:r>
            <w:r>
              <w:rPr>
                <w:sz w:val="20"/>
                <w:szCs w:val="20"/>
              </w:rPr>
              <w:t>,</w:t>
            </w:r>
            <w:r w:rsidRPr="00E51EA5">
              <w:rPr>
                <w:sz w:val="20"/>
                <w:szCs w:val="20"/>
              </w:rPr>
              <w:t xml:space="preserve"> seine Bürger zu schützen</w:t>
            </w:r>
            <w:r>
              <w:rPr>
                <w:sz w:val="20"/>
                <w:szCs w:val="20"/>
              </w:rPr>
              <w:t xml:space="preserve">; </w:t>
            </w:r>
            <w:r w:rsidRPr="00E51EA5">
              <w:rPr>
                <w:sz w:val="20"/>
                <w:szCs w:val="20"/>
              </w:rPr>
              <w:t>dass diese Eigentum erwerben und besitzen dürfen</w:t>
            </w:r>
            <w:r>
              <w:rPr>
                <w:sz w:val="20"/>
                <w:szCs w:val="20"/>
              </w:rPr>
              <w:t>;</w:t>
            </w:r>
            <w:r w:rsidRPr="00E51EA5">
              <w:rPr>
                <w:sz w:val="20"/>
                <w:szCs w:val="20"/>
              </w:rPr>
              <w:t xml:space="preserve"> sowie zuletzt, dass sie damit Glück und Sicherheit erstreben und erlangen können („to </w:t>
            </w:r>
            <w:proofErr w:type="spellStart"/>
            <w:r w:rsidRPr="00E51EA5">
              <w:rPr>
                <w:sz w:val="20"/>
                <w:szCs w:val="20"/>
              </w:rPr>
              <w:t>pursue</w:t>
            </w:r>
            <w:proofErr w:type="spellEnd"/>
            <w:r w:rsidRPr="00E51EA5">
              <w:rPr>
                <w:sz w:val="20"/>
                <w:szCs w:val="20"/>
              </w:rPr>
              <w:t xml:space="preserve"> and </w:t>
            </w:r>
            <w:proofErr w:type="spellStart"/>
            <w:r w:rsidRPr="00E51EA5">
              <w:rPr>
                <w:sz w:val="20"/>
                <w:szCs w:val="20"/>
              </w:rPr>
              <w:t>obtain</w:t>
            </w:r>
            <w:proofErr w:type="spellEnd"/>
            <w:r w:rsidRPr="00E51EA5">
              <w:rPr>
                <w:sz w:val="20"/>
                <w:szCs w:val="20"/>
              </w:rPr>
              <w:t xml:space="preserve"> </w:t>
            </w:r>
            <w:proofErr w:type="spellStart"/>
            <w:r w:rsidRPr="00E51EA5">
              <w:rPr>
                <w:sz w:val="20"/>
                <w:szCs w:val="20"/>
              </w:rPr>
              <w:t>happiness</w:t>
            </w:r>
            <w:proofErr w:type="spellEnd"/>
            <w:r w:rsidRPr="00E51EA5">
              <w:rPr>
                <w:sz w:val="20"/>
                <w:szCs w:val="20"/>
              </w:rPr>
              <w:t xml:space="preserve"> and </w:t>
            </w:r>
            <w:proofErr w:type="spellStart"/>
            <w:r w:rsidRPr="00E51EA5">
              <w:rPr>
                <w:sz w:val="20"/>
                <w:szCs w:val="20"/>
              </w:rPr>
              <w:t>safety</w:t>
            </w:r>
            <w:proofErr w:type="spellEnd"/>
            <w:r w:rsidRPr="00E51EA5">
              <w:rPr>
                <w:sz w:val="20"/>
                <w:szCs w:val="20"/>
              </w:rPr>
              <w:t>“</w:t>
            </w:r>
            <w:r w:rsidRPr="00E51EA5">
              <w:rPr>
                <w:sz w:val="20"/>
                <w:szCs w:val="20"/>
                <w:vertAlign w:val="superscript"/>
              </w:rPr>
              <w:footnoteReference w:id="522"/>
            </w:r>
            <w:r w:rsidRPr="00E51EA5">
              <w:rPr>
                <w:sz w:val="20"/>
                <w:szCs w:val="20"/>
              </w:rPr>
              <w:t>). Diese Rechte stehen indes unter dem Vorbehalt, dass staatliche Maßnahmen sie nur aufgrund des Allgemeinwohls einschränken können („</w:t>
            </w:r>
            <w:proofErr w:type="spellStart"/>
            <w:r w:rsidRPr="00E51EA5">
              <w:rPr>
                <w:sz w:val="20"/>
                <w:szCs w:val="20"/>
              </w:rPr>
              <w:t>general</w:t>
            </w:r>
            <w:proofErr w:type="spellEnd"/>
            <w:r w:rsidRPr="00E51EA5">
              <w:rPr>
                <w:sz w:val="20"/>
                <w:szCs w:val="20"/>
              </w:rPr>
              <w:t xml:space="preserve"> </w:t>
            </w:r>
            <w:proofErr w:type="spellStart"/>
            <w:r w:rsidRPr="00E51EA5">
              <w:rPr>
                <w:sz w:val="20"/>
                <w:szCs w:val="20"/>
              </w:rPr>
              <w:t>good</w:t>
            </w:r>
            <w:proofErr w:type="spellEnd"/>
            <w:r w:rsidRPr="00E51EA5">
              <w:rPr>
                <w:sz w:val="20"/>
                <w:szCs w:val="20"/>
              </w:rPr>
              <w:t xml:space="preserve"> of the </w:t>
            </w:r>
            <w:proofErr w:type="spellStart"/>
            <w:r w:rsidRPr="00E51EA5">
              <w:rPr>
                <w:sz w:val="20"/>
                <w:szCs w:val="20"/>
              </w:rPr>
              <w:t>whole</w:t>
            </w:r>
            <w:proofErr w:type="spellEnd"/>
            <w:r w:rsidRPr="00E51EA5">
              <w:rPr>
                <w:sz w:val="20"/>
                <w:szCs w:val="20"/>
              </w:rPr>
              <w:t>“</w:t>
            </w:r>
            <w:r w:rsidRPr="00E51EA5">
              <w:rPr>
                <w:sz w:val="20"/>
                <w:szCs w:val="20"/>
                <w:vertAlign w:val="superscript"/>
              </w:rPr>
              <w:footnoteReference w:id="523"/>
            </w:r>
            <w:r w:rsidRPr="00E51EA5">
              <w:rPr>
                <w:sz w:val="20"/>
                <w:szCs w:val="20"/>
              </w:rPr>
              <w:t xml:space="preserve">). </w:t>
            </w:r>
            <w:r w:rsidRPr="00E51EA5">
              <w:rPr>
                <w:sz w:val="20"/>
                <w:szCs w:val="20"/>
              </w:rPr>
              <w:lastRenderedPageBreak/>
              <w:t>Diese Definition bestätigt die Rechtspr</w:t>
            </w:r>
            <w:r>
              <w:rPr>
                <w:sz w:val="20"/>
                <w:szCs w:val="20"/>
              </w:rPr>
              <w:t>e</w:t>
            </w:r>
            <w:r w:rsidRPr="00E51EA5">
              <w:rPr>
                <w:sz w:val="20"/>
                <w:szCs w:val="20"/>
              </w:rPr>
              <w:t xml:space="preserve">chung </w:t>
            </w:r>
            <w:r>
              <w:rPr>
                <w:sz w:val="20"/>
                <w:szCs w:val="20"/>
              </w:rPr>
              <w:t xml:space="preserve">der </w:t>
            </w:r>
            <w:r w:rsidRPr="008C36D1">
              <w:rPr>
                <w:i/>
                <w:sz w:val="20"/>
                <w:szCs w:val="20"/>
              </w:rPr>
              <w:t>Slaughter-House Cases</w:t>
            </w:r>
            <w:r w:rsidRPr="00E51EA5">
              <w:rPr>
                <w:sz w:val="20"/>
                <w:szCs w:val="20"/>
                <w:vertAlign w:val="superscript"/>
              </w:rPr>
              <w:footnoteReference w:id="524"/>
            </w:r>
            <w:r w:rsidRPr="00E51EA5">
              <w:rPr>
                <w:sz w:val="20"/>
                <w:szCs w:val="20"/>
              </w:rPr>
              <w:t xml:space="preserve">: Vorrechte und </w:t>
            </w:r>
            <w:r>
              <w:rPr>
                <w:sz w:val="20"/>
                <w:szCs w:val="20"/>
              </w:rPr>
              <w:t>Immunitäten</w:t>
            </w:r>
            <w:r w:rsidRPr="00E50B51">
              <w:rPr>
                <w:sz w:val="20"/>
                <w:szCs w:val="20"/>
              </w:rPr>
              <w:t xml:space="preserve"> </w:t>
            </w:r>
            <w:r w:rsidRPr="00E51EA5">
              <w:rPr>
                <w:sz w:val="20"/>
                <w:szCs w:val="20"/>
              </w:rPr>
              <w:t>seien letztendlich alle Bürgerrechte („</w:t>
            </w:r>
            <w:proofErr w:type="spellStart"/>
            <w:r w:rsidRPr="00E51EA5">
              <w:rPr>
                <w:sz w:val="20"/>
                <w:szCs w:val="20"/>
              </w:rPr>
              <w:t>every</w:t>
            </w:r>
            <w:proofErr w:type="spellEnd"/>
            <w:r w:rsidRPr="00E51EA5">
              <w:rPr>
                <w:sz w:val="20"/>
                <w:szCs w:val="20"/>
              </w:rPr>
              <w:t xml:space="preserve"> </w:t>
            </w:r>
            <w:proofErr w:type="spellStart"/>
            <w:r w:rsidRPr="00E51EA5">
              <w:rPr>
                <w:sz w:val="20"/>
                <w:szCs w:val="20"/>
              </w:rPr>
              <w:t>civil</w:t>
            </w:r>
            <w:proofErr w:type="spellEnd"/>
            <w:r w:rsidRPr="00E51EA5">
              <w:rPr>
                <w:sz w:val="20"/>
                <w:szCs w:val="20"/>
              </w:rPr>
              <w:t xml:space="preserve"> </w:t>
            </w:r>
            <w:proofErr w:type="spellStart"/>
            <w:r w:rsidRPr="00E51EA5">
              <w:rPr>
                <w:sz w:val="20"/>
                <w:szCs w:val="20"/>
              </w:rPr>
              <w:t>right</w:t>
            </w:r>
            <w:proofErr w:type="spellEnd"/>
            <w:r w:rsidRPr="00E51EA5">
              <w:rPr>
                <w:sz w:val="20"/>
                <w:szCs w:val="20"/>
              </w:rPr>
              <w:t>“</w:t>
            </w:r>
            <w:r w:rsidRPr="00E51EA5">
              <w:rPr>
                <w:sz w:val="20"/>
                <w:szCs w:val="20"/>
                <w:vertAlign w:val="superscript"/>
              </w:rPr>
              <w:footnoteReference w:id="525"/>
            </w:r>
            <w:r w:rsidRPr="00E51EA5">
              <w:rPr>
                <w:sz w:val="20"/>
                <w:szCs w:val="20"/>
              </w:rPr>
              <w:t>), die eine freie Regierung konstituier</w:t>
            </w:r>
            <w:r>
              <w:rPr>
                <w:sz w:val="20"/>
                <w:szCs w:val="20"/>
              </w:rPr>
              <w:t>t</w:t>
            </w:r>
            <w:r w:rsidRPr="00E51EA5">
              <w:rPr>
                <w:sz w:val="20"/>
                <w:szCs w:val="20"/>
              </w:rPr>
              <w:t>en und die das Bestehen einer Regierung rechtfertig</w:t>
            </w:r>
            <w:r>
              <w:rPr>
                <w:sz w:val="20"/>
                <w:szCs w:val="20"/>
              </w:rPr>
              <w:t>t</w:t>
            </w:r>
            <w:r w:rsidRPr="00E51EA5">
              <w:rPr>
                <w:sz w:val="20"/>
                <w:szCs w:val="20"/>
              </w:rPr>
              <w:t>en. Und jene Bürgerrechte seien ebenfalls grundlegend („fundamental“</w:t>
            </w:r>
            <w:r w:rsidRPr="00E51EA5">
              <w:rPr>
                <w:sz w:val="20"/>
                <w:szCs w:val="20"/>
                <w:vertAlign w:val="superscript"/>
              </w:rPr>
              <w:footnoteReference w:id="526"/>
            </w:r>
            <w:r w:rsidRPr="00E51EA5">
              <w:rPr>
                <w:sz w:val="20"/>
                <w:szCs w:val="20"/>
              </w:rPr>
              <w:t xml:space="preserve">). Denn die Bürger </w:t>
            </w:r>
            <w:r>
              <w:rPr>
                <w:sz w:val="20"/>
                <w:szCs w:val="20"/>
              </w:rPr>
              <w:t>hätten</w:t>
            </w:r>
            <w:r w:rsidRPr="00E51EA5">
              <w:rPr>
                <w:sz w:val="20"/>
                <w:szCs w:val="20"/>
              </w:rPr>
              <w:t xml:space="preserve"> vor allem zu deren Schutz und zu deren Sicherung eine Regierung geschaffen („</w:t>
            </w:r>
            <w:proofErr w:type="spellStart"/>
            <w:r w:rsidRPr="00E51EA5">
              <w:rPr>
                <w:sz w:val="20"/>
                <w:szCs w:val="20"/>
              </w:rPr>
              <w:t>class</w:t>
            </w:r>
            <w:proofErr w:type="spellEnd"/>
            <w:r w:rsidRPr="00E51EA5">
              <w:rPr>
                <w:sz w:val="20"/>
                <w:szCs w:val="20"/>
              </w:rPr>
              <w:t xml:space="preserve"> of </w:t>
            </w:r>
            <w:proofErr w:type="spellStart"/>
            <w:r w:rsidRPr="00E51EA5">
              <w:rPr>
                <w:sz w:val="20"/>
                <w:szCs w:val="20"/>
              </w:rPr>
              <w:t>rights</w:t>
            </w:r>
            <w:proofErr w:type="spellEnd"/>
            <w:r w:rsidRPr="00E51EA5">
              <w:rPr>
                <w:sz w:val="20"/>
                <w:szCs w:val="20"/>
              </w:rPr>
              <w:t xml:space="preserve"> </w:t>
            </w:r>
            <w:proofErr w:type="spellStart"/>
            <w:r w:rsidRPr="00E51EA5">
              <w:rPr>
                <w:sz w:val="20"/>
                <w:szCs w:val="20"/>
              </w:rPr>
              <w:t>which</w:t>
            </w:r>
            <w:proofErr w:type="spellEnd"/>
            <w:r w:rsidRPr="00E51EA5">
              <w:rPr>
                <w:sz w:val="20"/>
                <w:szCs w:val="20"/>
              </w:rPr>
              <w:t xml:space="preserve"> the </w:t>
            </w:r>
            <w:proofErr w:type="spellStart"/>
            <w:r w:rsidRPr="00E51EA5">
              <w:rPr>
                <w:sz w:val="20"/>
                <w:szCs w:val="20"/>
              </w:rPr>
              <w:t>state</w:t>
            </w:r>
            <w:proofErr w:type="spellEnd"/>
            <w:r w:rsidRPr="00E51EA5">
              <w:rPr>
                <w:sz w:val="20"/>
                <w:szCs w:val="20"/>
              </w:rPr>
              <w:t xml:space="preserve"> </w:t>
            </w:r>
            <w:proofErr w:type="spellStart"/>
            <w:r w:rsidRPr="00E51EA5">
              <w:rPr>
                <w:sz w:val="20"/>
                <w:szCs w:val="20"/>
              </w:rPr>
              <w:t>governments</w:t>
            </w:r>
            <w:proofErr w:type="spellEnd"/>
            <w:r w:rsidRPr="00E51EA5">
              <w:rPr>
                <w:sz w:val="20"/>
                <w:szCs w:val="20"/>
              </w:rPr>
              <w:t xml:space="preserve"> </w:t>
            </w:r>
            <w:proofErr w:type="spellStart"/>
            <w:r w:rsidRPr="00E51EA5">
              <w:rPr>
                <w:sz w:val="20"/>
                <w:szCs w:val="20"/>
              </w:rPr>
              <w:t>were</w:t>
            </w:r>
            <w:proofErr w:type="spellEnd"/>
            <w:r w:rsidRPr="00E51EA5">
              <w:rPr>
                <w:sz w:val="20"/>
                <w:szCs w:val="20"/>
              </w:rPr>
              <w:t xml:space="preserve"> created to </w:t>
            </w:r>
            <w:proofErr w:type="spellStart"/>
            <w:r w:rsidRPr="00E51EA5">
              <w:rPr>
                <w:sz w:val="20"/>
                <w:szCs w:val="20"/>
              </w:rPr>
              <w:t>establish</w:t>
            </w:r>
            <w:proofErr w:type="spellEnd"/>
            <w:r w:rsidRPr="00E51EA5">
              <w:rPr>
                <w:sz w:val="20"/>
                <w:szCs w:val="20"/>
              </w:rPr>
              <w:t xml:space="preserve"> and </w:t>
            </w:r>
            <w:proofErr w:type="spellStart"/>
            <w:r w:rsidRPr="00E51EA5">
              <w:rPr>
                <w:sz w:val="20"/>
                <w:szCs w:val="20"/>
              </w:rPr>
              <w:t>secure</w:t>
            </w:r>
            <w:proofErr w:type="spellEnd"/>
            <w:r w:rsidRPr="00E51EA5">
              <w:rPr>
                <w:sz w:val="20"/>
                <w:szCs w:val="20"/>
              </w:rPr>
              <w:t>“</w:t>
            </w:r>
            <w:r w:rsidRPr="00E51EA5">
              <w:rPr>
                <w:sz w:val="20"/>
                <w:szCs w:val="20"/>
                <w:vertAlign w:val="superscript"/>
              </w:rPr>
              <w:footnoteReference w:id="527"/>
            </w:r>
            <w:r w:rsidRPr="00E51EA5">
              <w:rPr>
                <w:sz w:val="20"/>
                <w:szCs w:val="20"/>
              </w:rPr>
              <w:t>).</w:t>
            </w:r>
          </w:p>
          <w:p w14:paraId="24C8F44D" w14:textId="77777777" w:rsidR="00074551" w:rsidRPr="00E50B51" w:rsidRDefault="00074551" w:rsidP="00367133">
            <w:pPr>
              <w:jc w:val="both"/>
              <w:rPr>
                <w:sz w:val="20"/>
                <w:szCs w:val="20"/>
              </w:rPr>
            </w:pPr>
          </w:p>
          <w:p w14:paraId="4C50F5C1" w14:textId="294FAC02" w:rsidR="00074551" w:rsidRDefault="00074551" w:rsidP="00367133">
            <w:pPr>
              <w:jc w:val="both"/>
              <w:rPr>
                <w:sz w:val="20"/>
                <w:szCs w:val="20"/>
              </w:rPr>
            </w:pPr>
            <w:r w:rsidRPr="00B8491C">
              <w:rPr>
                <w:sz w:val="20"/>
                <w:szCs w:val="20"/>
              </w:rPr>
              <w:t>Und drittens, in Wiederholung des Vortrags der Vereinigten Staaten als Kläger</w:t>
            </w:r>
            <w:r>
              <w:rPr>
                <w:sz w:val="20"/>
                <w:szCs w:val="20"/>
              </w:rPr>
              <w:t>,</w:t>
            </w:r>
            <w:r w:rsidRPr="00B8491C">
              <w:rPr>
                <w:sz w:val="20"/>
                <w:szCs w:val="20"/>
              </w:rPr>
              <w:t xml:space="preserve"> erklärte der </w:t>
            </w:r>
            <w:r>
              <w:rPr>
                <w:sz w:val="20"/>
                <w:szCs w:val="20"/>
              </w:rPr>
              <w:t>U.S. Supreme Court,</w:t>
            </w:r>
            <w:r w:rsidRPr="00B8491C">
              <w:rPr>
                <w:sz w:val="20"/>
                <w:szCs w:val="20"/>
              </w:rPr>
              <w:t xml:space="preserve"> wie sich </w:t>
            </w:r>
            <w:r w:rsidR="00023A37">
              <w:rPr>
                <w:sz w:val="20"/>
                <w:szCs w:val="20"/>
              </w:rPr>
              <w:t xml:space="preserve">U.S. </w:t>
            </w:r>
            <w:proofErr w:type="spellStart"/>
            <w:r w:rsidR="00023A37">
              <w:rPr>
                <w:sz w:val="20"/>
                <w:szCs w:val="20"/>
              </w:rPr>
              <w:t>Const</w:t>
            </w:r>
            <w:proofErr w:type="spellEnd"/>
            <w:r w:rsidR="00023A37">
              <w:rPr>
                <w:sz w:val="20"/>
                <w:szCs w:val="20"/>
              </w:rPr>
              <w:t>. art. IV, § 2</w:t>
            </w:r>
            <w:r>
              <w:rPr>
                <w:sz w:val="20"/>
                <w:szCs w:val="20"/>
                <w:lang w:val="en-US"/>
              </w:rPr>
              <w:t xml:space="preserve"> </w:t>
            </w:r>
            <w:proofErr w:type="spellStart"/>
            <w:r w:rsidRPr="00B8491C">
              <w:rPr>
                <w:sz w:val="20"/>
                <w:szCs w:val="20"/>
                <w:lang w:val="en-US"/>
              </w:rPr>
              <w:t>u.a.</w:t>
            </w:r>
            <w:proofErr w:type="spellEnd"/>
            <w:r w:rsidRPr="00B8491C">
              <w:rPr>
                <w:sz w:val="20"/>
                <w:szCs w:val="20"/>
                <w:lang w:val="en-US"/>
              </w:rPr>
              <w:t xml:space="preserve"> </w:t>
            </w:r>
            <w:proofErr w:type="spellStart"/>
            <w:r w:rsidRPr="00B8491C">
              <w:rPr>
                <w:sz w:val="20"/>
                <w:szCs w:val="20"/>
                <w:lang w:val="en-US"/>
              </w:rPr>
              <w:t>zum</w:t>
            </w:r>
            <w:proofErr w:type="spellEnd"/>
            <w:r w:rsidRPr="00B8491C">
              <w:rPr>
                <w:sz w:val="20"/>
                <w:szCs w:val="20"/>
                <w:lang w:val="en-US"/>
              </w:rPr>
              <w:t xml:space="preserve"> </w:t>
            </w:r>
            <w:r w:rsidRPr="00B45592">
              <w:rPr>
                <w:i/>
                <w:sz w:val="20"/>
                <w:szCs w:val="20"/>
                <w:lang w:val="en-US"/>
              </w:rPr>
              <w:t xml:space="preserve">pursuit of </w:t>
            </w:r>
            <w:r>
              <w:rPr>
                <w:i/>
                <w:sz w:val="20"/>
                <w:szCs w:val="20"/>
                <w:lang w:val="en-US"/>
              </w:rPr>
              <w:t>H</w:t>
            </w:r>
            <w:r w:rsidRPr="00B45592">
              <w:rPr>
                <w:i/>
                <w:sz w:val="20"/>
                <w:szCs w:val="20"/>
                <w:lang w:val="en-US"/>
              </w:rPr>
              <w:t>appiness</w:t>
            </w:r>
            <w:r w:rsidRPr="00B8491C">
              <w:rPr>
                <w:sz w:val="20"/>
                <w:szCs w:val="20"/>
                <w:lang w:val="en-US"/>
              </w:rPr>
              <w:t xml:space="preserve"> </w:t>
            </w:r>
            <w:proofErr w:type="spellStart"/>
            <w:r w:rsidRPr="00B8491C">
              <w:rPr>
                <w:sz w:val="20"/>
                <w:szCs w:val="20"/>
                <w:lang w:val="en-US"/>
              </w:rPr>
              <w:t>verhalte</w:t>
            </w:r>
            <w:proofErr w:type="spellEnd"/>
            <w:r w:rsidRPr="00B8491C">
              <w:rPr>
                <w:sz w:val="20"/>
                <w:szCs w:val="20"/>
                <w:lang w:val="en-US"/>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8491C">
              <w:rPr>
                <w:sz w:val="20"/>
                <w:szCs w:val="20"/>
              </w:rPr>
              <w:t xml:space="preserve"> regel</w:t>
            </w:r>
            <w:r>
              <w:rPr>
                <w:sz w:val="20"/>
                <w:szCs w:val="20"/>
              </w:rPr>
              <w:t>e</w:t>
            </w:r>
            <w:r w:rsidRPr="00B8491C">
              <w:rPr>
                <w:sz w:val="20"/>
                <w:szCs w:val="20"/>
              </w:rPr>
              <w:t xml:space="preserve"> heute das Grundrecht der Staatsbürgerschaft („fundamental </w:t>
            </w:r>
            <w:proofErr w:type="spellStart"/>
            <w:r w:rsidRPr="00B8491C">
              <w:rPr>
                <w:sz w:val="20"/>
                <w:szCs w:val="20"/>
              </w:rPr>
              <w:t>rights</w:t>
            </w:r>
            <w:proofErr w:type="spellEnd"/>
            <w:r w:rsidRPr="00B8491C">
              <w:rPr>
                <w:sz w:val="20"/>
                <w:szCs w:val="20"/>
              </w:rPr>
              <w:t xml:space="preserve"> of </w:t>
            </w:r>
            <w:proofErr w:type="spellStart"/>
            <w:r w:rsidRPr="00B8491C">
              <w:rPr>
                <w:sz w:val="20"/>
                <w:szCs w:val="20"/>
              </w:rPr>
              <w:t>citizenship</w:t>
            </w:r>
            <w:proofErr w:type="spellEnd"/>
            <w:r w:rsidRPr="00B8491C">
              <w:rPr>
                <w:sz w:val="20"/>
                <w:szCs w:val="20"/>
              </w:rPr>
              <w:t>“</w:t>
            </w:r>
            <w:r w:rsidRPr="00B8491C">
              <w:rPr>
                <w:rStyle w:val="Funotenzeichen"/>
                <w:rFonts w:eastAsiaTheme="majorEastAsia"/>
                <w:sz w:val="20"/>
                <w:szCs w:val="20"/>
              </w:rPr>
              <w:footnoteReference w:id="528"/>
            </w:r>
            <w:r w:rsidRPr="00B8491C">
              <w:rPr>
                <w:sz w:val="20"/>
                <w:szCs w:val="20"/>
              </w:rPr>
              <w:t>). Aber er regel</w:t>
            </w:r>
            <w:r>
              <w:rPr>
                <w:sz w:val="20"/>
                <w:szCs w:val="20"/>
              </w:rPr>
              <w:t>e</w:t>
            </w:r>
            <w:r w:rsidRPr="00B8491C">
              <w:rPr>
                <w:sz w:val="20"/>
                <w:szCs w:val="20"/>
              </w:rPr>
              <w:t xml:space="preserve"> nicht die verfassungsmäßig ersten, durch die Verfassung verliehenen Rechte („not the </w:t>
            </w:r>
            <w:proofErr w:type="spellStart"/>
            <w:r w:rsidRPr="00B8491C">
              <w:rPr>
                <w:sz w:val="20"/>
                <w:szCs w:val="20"/>
              </w:rPr>
              <w:t>rights</w:t>
            </w:r>
            <w:proofErr w:type="spellEnd"/>
            <w:r w:rsidRPr="00B8491C">
              <w:rPr>
                <w:sz w:val="20"/>
                <w:szCs w:val="20"/>
              </w:rPr>
              <w:t xml:space="preserve"> […] </w:t>
            </w:r>
            <w:proofErr w:type="spellStart"/>
            <w:r w:rsidRPr="00B8491C">
              <w:rPr>
                <w:sz w:val="20"/>
                <w:szCs w:val="20"/>
              </w:rPr>
              <w:t>first</w:t>
            </w:r>
            <w:proofErr w:type="spellEnd"/>
            <w:r w:rsidRPr="00B8491C">
              <w:rPr>
                <w:sz w:val="20"/>
                <w:szCs w:val="20"/>
              </w:rPr>
              <w:t xml:space="preserve"> created by the </w:t>
            </w:r>
            <w:proofErr w:type="spellStart"/>
            <w:r w:rsidRPr="00B8491C">
              <w:rPr>
                <w:sz w:val="20"/>
                <w:szCs w:val="20"/>
              </w:rPr>
              <w:t>Constitution</w:t>
            </w:r>
            <w:proofErr w:type="spellEnd"/>
            <w:r w:rsidRPr="00B8491C">
              <w:rPr>
                <w:sz w:val="20"/>
                <w:szCs w:val="20"/>
              </w:rPr>
              <w:t>.“</w:t>
            </w:r>
            <w:r w:rsidRPr="00B8491C">
              <w:rPr>
                <w:rStyle w:val="Funotenzeichen"/>
                <w:rFonts w:eastAsiaTheme="majorEastAsia"/>
                <w:sz w:val="20"/>
                <w:szCs w:val="20"/>
              </w:rPr>
              <w:footnoteReference w:id="529"/>
            </w:r>
            <w:r w:rsidRPr="00B8491C">
              <w:rPr>
                <w:sz w:val="20"/>
                <w:szCs w:val="20"/>
              </w:rPr>
              <w:t xml:space="preserve">). Ein Beispiel für die ersten, durch die Verfassung verliehenen Rechte </w:t>
            </w:r>
            <w:r>
              <w:rPr>
                <w:sz w:val="20"/>
                <w:szCs w:val="20"/>
              </w:rPr>
              <w:t>seien</w:t>
            </w:r>
            <w:r w:rsidRPr="00B8491C">
              <w:rPr>
                <w:sz w:val="20"/>
                <w:szCs w:val="20"/>
              </w:rPr>
              <w:t xml:space="preserve"> die Ein- und Ausreiserechte („</w:t>
            </w:r>
            <w:proofErr w:type="spellStart"/>
            <w:r w:rsidRPr="00B8491C">
              <w:rPr>
                <w:sz w:val="20"/>
                <w:szCs w:val="20"/>
              </w:rPr>
              <w:t>rights</w:t>
            </w:r>
            <w:proofErr w:type="spellEnd"/>
            <w:r w:rsidRPr="00B8491C">
              <w:rPr>
                <w:sz w:val="20"/>
                <w:szCs w:val="20"/>
              </w:rPr>
              <w:t xml:space="preserve"> of </w:t>
            </w:r>
            <w:proofErr w:type="spellStart"/>
            <w:r w:rsidRPr="00B8491C">
              <w:rPr>
                <w:sz w:val="20"/>
                <w:szCs w:val="20"/>
              </w:rPr>
              <w:t>ingress</w:t>
            </w:r>
            <w:proofErr w:type="spellEnd"/>
            <w:r w:rsidRPr="00B8491C">
              <w:rPr>
                <w:sz w:val="20"/>
                <w:szCs w:val="20"/>
              </w:rPr>
              <w:t xml:space="preserve"> and </w:t>
            </w:r>
            <w:proofErr w:type="spellStart"/>
            <w:r w:rsidRPr="00B8491C">
              <w:rPr>
                <w:sz w:val="20"/>
                <w:szCs w:val="20"/>
              </w:rPr>
              <w:t>regress</w:t>
            </w:r>
            <w:proofErr w:type="spellEnd"/>
            <w:r w:rsidRPr="00B8491C">
              <w:rPr>
                <w:sz w:val="20"/>
                <w:szCs w:val="20"/>
              </w:rPr>
              <w:t>“</w:t>
            </w:r>
            <w:r w:rsidRPr="00B8491C">
              <w:rPr>
                <w:rStyle w:val="Funotenzeichen"/>
                <w:rFonts w:eastAsiaTheme="majorEastAsia"/>
                <w:sz w:val="20"/>
                <w:szCs w:val="20"/>
              </w:rPr>
              <w:footnoteReference w:id="530"/>
            </w:r>
            <w:r w:rsidRPr="00B8491C">
              <w:rPr>
                <w:sz w:val="20"/>
                <w:szCs w:val="20"/>
              </w:rPr>
              <w:t>). Die erg</w:t>
            </w:r>
            <w:r>
              <w:rPr>
                <w:sz w:val="20"/>
                <w:szCs w:val="20"/>
              </w:rPr>
              <w:t>ä</w:t>
            </w:r>
            <w:r w:rsidRPr="00B8491C">
              <w:rPr>
                <w:sz w:val="20"/>
                <w:szCs w:val="20"/>
              </w:rPr>
              <w:t xml:space="preserve">ben sich nur implizit aus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8491C">
              <w:rPr>
                <w:sz w:val="20"/>
                <w:szCs w:val="20"/>
              </w:rPr>
              <w:t xml:space="preserve"> Denn die Ein- und Ausreiserechte seien eines der ersten von der Verfassung verliehenen Rechte</w:t>
            </w:r>
            <w:r>
              <w:rPr>
                <w:sz w:val="20"/>
                <w:szCs w:val="20"/>
              </w:rPr>
              <w:t>, welche vor den Amendments existierten und</w:t>
            </w:r>
            <w:r w:rsidRPr="00B8491C">
              <w:rPr>
                <w:sz w:val="20"/>
                <w:szCs w:val="20"/>
              </w:rPr>
              <w:t xml:space="preserve"> sich daher u.a. aus dem Streben nach Glück erg</w:t>
            </w:r>
            <w:r>
              <w:rPr>
                <w:sz w:val="20"/>
                <w:szCs w:val="20"/>
              </w:rPr>
              <w:t>äben</w:t>
            </w:r>
            <w:r w:rsidRPr="00B8491C">
              <w:rPr>
                <w:sz w:val="20"/>
                <w:szCs w:val="20"/>
              </w:rPr>
              <w:t xml:space="preserve"> („included in the fundamental </w:t>
            </w:r>
            <w:proofErr w:type="spellStart"/>
            <w:r w:rsidRPr="00B8491C">
              <w:rPr>
                <w:sz w:val="20"/>
                <w:szCs w:val="20"/>
              </w:rPr>
              <w:t>rights</w:t>
            </w:r>
            <w:proofErr w:type="spellEnd"/>
            <w:r w:rsidRPr="00B8491C">
              <w:rPr>
                <w:sz w:val="20"/>
                <w:szCs w:val="20"/>
              </w:rPr>
              <w:t xml:space="preserve"> to </w:t>
            </w:r>
            <w:proofErr w:type="spellStart"/>
            <w:r w:rsidRPr="00B8491C">
              <w:rPr>
                <w:sz w:val="20"/>
                <w:szCs w:val="20"/>
              </w:rPr>
              <w:t>life</w:t>
            </w:r>
            <w:proofErr w:type="spellEnd"/>
            <w:r w:rsidRPr="00B8491C">
              <w:rPr>
                <w:sz w:val="20"/>
                <w:szCs w:val="20"/>
              </w:rPr>
              <w:t xml:space="preserve">, </w:t>
            </w:r>
            <w:proofErr w:type="spellStart"/>
            <w:r w:rsidRPr="00B8491C">
              <w:rPr>
                <w:sz w:val="20"/>
                <w:szCs w:val="20"/>
              </w:rPr>
              <w:t>liberty</w:t>
            </w:r>
            <w:proofErr w:type="spellEnd"/>
            <w:r w:rsidRPr="00B8491C">
              <w:rPr>
                <w:sz w:val="20"/>
                <w:szCs w:val="20"/>
              </w:rPr>
              <w:t xml:space="preserve">, and the </w:t>
            </w:r>
            <w:proofErr w:type="spellStart"/>
            <w:r w:rsidRPr="00B8491C">
              <w:rPr>
                <w:sz w:val="20"/>
                <w:szCs w:val="20"/>
              </w:rPr>
              <w:t>pursuit</w:t>
            </w:r>
            <w:proofErr w:type="spellEnd"/>
            <w:r w:rsidRPr="00B8491C">
              <w:rPr>
                <w:sz w:val="20"/>
                <w:szCs w:val="20"/>
              </w:rPr>
              <w:t xml:space="preserve"> of </w:t>
            </w:r>
            <w:proofErr w:type="spellStart"/>
            <w:r w:rsidRPr="00B8491C">
              <w:rPr>
                <w:sz w:val="20"/>
                <w:szCs w:val="20"/>
              </w:rPr>
              <w:t>happiness</w:t>
            </w:r>
            <w:proofErr w:type="spellEnd"/>
            <w:r w:rsidRPr="00B8491C">
              <w:rPr>
                <w:sz w:val="20"/>
                <w:szCs w:val="20"/>
              </w:rPr>
              <w:t>.“</w:t>
            </w:r>
            <w:r w:rsidRPr="00B8491C">
              <w:rPr>
                <w:rStyle w:val="Funotenzeichen"/>
                <w:rFonts w:eastAsiaTheme="majorEastAsia"/>
                <w:sz w:val="20"/>
                <w:szCs w:val="20"/>
              </w:rPr>
              <w:footnoteReference w:id="531"/>
            </w:r>
            <w:r w:rsidRPr="00B8491C">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8491C">
              <w:rPr>
                <w:sz w:val="20"/>
                <w:szCs w:val="20"/>
              </w:rPr>
              <w:t xml:space="preserve"> sichere </w:t>
            </w:r>
            <w:r>
              <w:rPr>
                <w:sz w:val="20"/>
                <w:szCs w:val="20"/>
              </w:rPr>
              <w:t xml:space="preserve">daher </w:t>
            </w:r>
            <w:r w:rsidRPr="00B8491C">
              <w:rPr>
                <w:sz w:val="20"/>
                <w:szCs w:val="20"/>
              </w:rPr>
              <w:t xml:space="preserve">nur </w:t>
            </w:r>
            <w:r>
              <w:rPr>
                <w:sz w:val="20"/>
                <w:szCs w:val="20"/>
              </w:rPr>
              <w:t xml:space="preserve">implizit die </w:t>
            </w:r>
            <w:r w:rsidRPr="00B8491C">
              <w:rPr>
                <w:sz w:val="20"/>
                <w:szCs w:val="20"/>
              </w:rPr>
              <w:t>Ein- und Ausreise</w:t>
            </w:r>
            <w:r>
              <w:rPr>
                <w:sz w:val="20"/>
                <w:szCs w:val="20"/>
              </w:rPr>
              <w:t>freiheit</w:t>
            </w:r>
            <w:r w:rsidRPr="00B8491C">
              <w:rPr>
                <w:sz w:val="20"/>
                <w:szCs w:val="20"/>
              </w:rPr>
              <w:t>.</w:t>
            </w:r>
            <w:r w:rsidRPr="00E50B51">
              <w:rPr>
                <w:sz w:val="20"/>
                <w:szCs w:val="20"/>
              </w:rPr>
              <w:t xml:space="preserve"> </w:t>
            </w:r>
          </w:p>
          <w:p w14:paraId="58F0C767" w14:textId="77777777" w:rsidR="00074551" w:rsidRDefault="00074551" w:rsidP="00367133">
            <w:pPr>
              <w:jc w:val="both"/>
              <w:rPr>
                <w:sz w:val="20"/>
                <w:szCs w:val="20"/>
              </w:rPr>
            </w:pPr>
          </w:p>
          <w:p w14:paraId="7CC980EC" w14:textId="77777777" w:rsidR="00074551" w:rsidRDefault="00074551" w:rsidP="00367133">
            <w:pPr>
              <w:jc w:val="both"/>
              <w:rPr>
                <w:sz w:val="20"/>
                <w:szCs w:val="20"/>
              </w:rPr>
            </w:pPr>
            <w:r>
              <w:rPr>
                <w:sz w:val="20"/>
                <w:szCs w:val="20"/>
              </w:rPr>
              <w:t xml:space="preserve">Doch es gibt eine Einschränkung, die der U.S. Supreme Court </w:t>
            </w:r>
            <w:r w:rsidRPr="00B45592">
              <w:rPr>
                <w:i/>
                <w:sz w:val="20"/>
                <w:szCs w:val="20"/>
              </w:rPr>
              <w:t xml:space="preserve">en </w:t>
            </w:r>
            <w:proofErr w:type="spellStart"/>
            <w:r w:rsidRPr="00B45592">
              <w:rPr>
                <w:i/>
                <w:sz w:val="20"/>
                <w:szCs w:val="20"/>
              </w:rPr>
              <w:t>passant</w:t>
            </w:r>
            <w:proofErr w:type="spellEnd"/>
            <w:r>
              <w:rPr>
                <w:sz w:val="20"/>
                <w:szCs w:val="20"/>
              </w:rPr>
              <w:t xml:space="preserve"> erklärt: D</w:t>
            </w:r>
            <w:r w:rsidRPr="00E50B51">
              <w:rPr>
                <w:sz w:val="20"/>
                <w:szCs w:val="20"/>
              </w:rPr>
              <w:t>as Ein- und Ausreiserechte stehe zwar dem Bürger jedes Bundesstaats zu. Aber es steh</w:t>
            </w:r>
            <w:r>
              <w:rPr>
                <w:sz w:val="20"/>
                <w:szCs w:val="20"/>
              </w:rPr>
              <w:t>e ihm</w:t>
            </w:r>
            <w:r w:rsidRPr="00E50B51">
              <w:rPr>
                <w:sz w:val="20"/>
                <w:szCs w:val="20"/>
              </w:rPr>
              <w:t xml:space="preserve"> nur in dem Umfang zu, wie es ein Bundesstaat seinen jeweiligen Bürgern gewähre. D.h. ein Bürger eines anderen Bundesstaats ha</w:t>
            </w:r>
            <w:r>
              <w:rPr>
                <w:sz w:val="20"/>
                <w:szCs w:val="20"/>
              </w:rPr>
              <w:t>be</w:t>
            </w:r>
            <w:r w:rsidRPr="00E50B51">
              <w:rPr>
                <w:sz w:val="20"/>
                <w:szCs w:val="20"/>
              </w:rPr>
              <w:t xml:space="preserve"> nur Anspruch darauf, dass ein anderer Bundesstaat ihn nicht diskriminiere, außer es bestehe ein sachlicher Grund dafür (“</w:t>
            </w:r>
            <w:proofErr w:type="spellStart"/>
            <w:r w:rsidRPr="00E50B51">
              <w:rPr>
                <w:sz w:val="20"/>
                <w:szCs w:val="20"/>
              </w:rPr>
              <w:t>reasonable</w:t>
            </w:r>
            <w:proofErr w:type="spellEnd"/>
            <w:r w:rsidRPr="00E50B51">
              <w:rPr>
                <w:sz w:val="20"/>
                <w:szCs w:val="20"/>
              </w:rPr>
              <w:t xml:space="preserve"> </w:t>
            </w:r>
            <w:proofErr w:type="spellStart"/>
            <w:r w:rsidRPr="00E50B51">
              <w:rPr>
                <w:sz w:val="20"/>
                <w:szCs w:val="20"/>
              </w:rPr>
              <w:t>ground</w:t>
            </w:r>
            <w:proofErr w:type="spellEnd"/>
            <w:r w:rsidRPr="00E50B51">
              <w:rPr>
                <w:sz w:val="20"/>
                <w:szCs w:val="20"/>
              </w:rPr>
              <w:t xml:space="preserve"> for the </w:t>
            </w:r>
            <w:proofErr w:type="spellStart"/>
            <w:r w:rsidRPr="00E50B51">
              <w:rPr>
                <w:sz w:val="20"/>
                <w:szCs w:val="20"/>
              </w:rPr>
              <w:t>diversity</w:t>
            </w:r>
            <w:proofErr w:type="spellEnd"/>
            <w:r w:rsidRPr="00E50B51">
              <w:rPr>
                <w:sz w:val="20"/>
                <w:szCs w:val="20"/>
              </w:rPr>
              <w:t xml:space="preserve"> of </w:t>
            </w:r>
            <w:proofErr w:type="spellStart"/>
            <w:r w:rsidRPr="00E50B51">
              <w:rPr>
                <w:sz w:val="20"/>
                <w:szCs w:val="20"/>
              </w:rPr>
              <w:t>treatment</w:t>
            </w:r>
            <w:proofErr w:type="spellEnd"/>
            <w:r w:rsidRPr="00E50B51">
              <w:rPr>
                <w:sz w:val="20"/>
                <w:szCs w:val="20"/>
              </w:rPr>
              <w:t>“</w:t>
            </w:r>
            <w:r w:rsidRPr="00E50B51">
              <w:rPr>
                <w:rStyle w:val="Funotenzeichen"/>
                <w:rFonts w:eastAsiaTheme="majorEastAsia"/>
                <w:sz w:val="20"/>
                <w:szCs w:val="20"/>
              </w:rPr>
              <w:footnoteReference w:id="532"/>
            </w:r>
            <w:r w:rsidRPr="00E50B51">
              <w:rPr>
                <w:sz w:val="20"/>
                <w:szCs w:val="20"/>
              </w:rPr>
              <w:t xml:space="preserve">). Im Fall war aber nicht das Grundrecht der Staatsbürgerschaft betroffen. </w:t>
            </w:r>
            <w:r>
              <w:rPr>
                <w:sz w:val="20"/>
                <w:szCs w:val="20"/>
              </w:rPr>
              <w:t>Und n</w:t>
            </w:r>
            <w:r w:rsidRPr="00E50B51">
              <w:rPr>
                <w:sz w:val="20"/>
                <w:szCs w:val="20"/>
              </w:rPr>
              <w:t>ur d</w:t>
            </w:r>
            <w:r>
              <w:rPr>
                <w:sz w:val="20"/>
                <w:szCs w:val="20"/>
              </w:rPr>
              <w:t>ieses</w:t>
            </w:r>
            <w:r w:rsidRPr="00E50B51">
              <w:rPr>
                <w:sz w:val="20"/>
                <w:szCs w:val="20"/>
              </w:rPr>
              <w:t xml:space="preserve"> Grundrecht der Staatsbürgerschaft schützt</w:t>
            </w:r>
            <w:r>
              <w:rPr>
                <w:sz w:val="20"/>
                <w:szCs w:val="20"/>
              </w:rPr>
              <w:t>en</w:t>
            </w:r>
            <w:r w:rsidRPr="00E50B51">
              <w:rPr>
                <w:sz w:val="20"/>
                <w:szCs w:val="20"/>
              </w:rPr>
              <w:t xml:space="preserve"> Rechtsbehelf</w:t>
            </w:r>
            <w:r>
              <w:rPr>
                <w:sz w:val="20"/>
                <w:szCs w:val="20"/>
              </w:rPr>
              <w:t>e – zumindest bisher</w:t>
            </w:r>
            <w:r w:rsidRPr="00E50B51">
              <w:rPr>
                <w:sz w:val="20"/>
                <w:szCs w:val="20"/>
              </w:rPr>
              <w:t xml:space="preserve">. Doch warum? Dafür bestehen </w:t>
            </w:r>
            <w:r>
              <w:rPr>
                <w:sz w:val="20"/>
                <w:szCs w:val="20"/>
              </w:rPr>
              <w:t>drei</w:t>
            </w:r>
            <w:r w:rsidRPr="00E50B51">
              <w:rPr>
                <w:sz w:val="20"/>
                <w:szCs w:val="20"/>
              </w:rPr>
              <w:t xml:space="preserve"> Gründe. </w:t>
            </w:r>
            <w:r>
              <w:rPr>
                <w:sz w:val="20"/>
                <w:szCs w:val="20"/>
              </w:rPr>
              <w:t>Einerseits</w:t>
            </w:r>
            <w:r w:rsidRPr="00E50B51">
              <w:rPr>
                <w:sz w:val="20"/>
                <w:szCs w:val="20"/>
              </w:rPr>
              <w:t xml:space="preserve"> ließe der Wortlaut </w:t>
            </w:r>
            <w:r>
              <w:rPr>
                <w:sz w:val="20"/>
                <w:szCs w:val="20"/>
              </w:rPr>
              <w:t>des</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E50B51">
              <w:rPr>
                <w:sz w:val="20"/>
                <w:szCs w:val="20"/>
              </w:rPr>
              <w:t xml:space="preserve"> zwar Rechtsbehelf</w:t>
            </w:r>
            <w:r>
              <w:rPr>
                <w:sz w:val="20"/>
                <w:szCs w:val="20"/>
              </w:rPr>
              <w:t>e</w:t>
            </w:r>
            <w:r w:rsidRPr="00E50B51">
              <w:rPr>
                <w:sz w:val="20"/>
                <w:szCs w:val="20"/>
              </w:rPr>
              <w:t xml:space="preserve"> wie Klagemöglichkeiten zu, um die Staatsbürgerschaft vor den Gerichten des Bundesstaates zu schützen. Dafür </w:t>
            </w:r>
            <w:r>
              <w:rPr>
                <w:sz w:val="20"/>
                <w:szCs w:val="20"/>
              </w:rPr>
              <w:t>müsse</w:t>
            </w:r>
            <w:r w:rsidRPr="00E50B51">
              <w:rPr>
                <w:sz w:val="20"/>
                <w:szCs w:val="20"/>
              </w:rPr>
              <w:t xml:space="preserve"> aber das einfache Gesetz des Bundesstaats einen solchen Rechtsbehelf regeln. Das war hier nicht der Fall. Und </w:t>
            </w:r>
            <w:r>
              <w:rPr>
                <w:sz w:val="20"/>
                <w:szCs w:val="20"/>
              </w:rPr>
              <w:t>andererseits</w:t>
            </w:r>
            <w:r w:rsidRPr="00E50B51">
              <w:rPr>
                <w:sz w:val="20"/>
                <w:szCs w:val="20"/>
              </w:rPr>
              <w:t xml:space="preserve"> wäre </w:t>
            </w:r>
            <w:r>
              <w:rPr>
                <w:sz w:val="20"/>
                <w:szCs w:val="20"/>
              </w:rPr>
              <w:t xml:space="preserve">es </w:t>
            </w:r>
            <w:r w:rsidRPr="00E50B51">
              <w:rPr>
                <w:sz w:val="20"/>
                <w:szCs w:val="20"/>
              </w:rPr>
              <w:t xml:space="preserve">zwar möglich, </w:t>
            </w:r>
            <w:r>
              <w:rPr>
                <w:sz w:val="20"/>
                <w:szCs w:val="20"/>
              </w:rPr>
              <w:t xml:space="preserve">dass </w:t>
            </w:r>
            <w:r w:rsidRPr="00E50B51">
              <w:rPr>
                <w:sz w:val="20"/>
                <w:szCs w:val="20"/>
              </w:rPr>
              <w:t xml:space="preserve">der Kongress </w:t>
            </w:r>
            <w:r>
              <w:rPr>
                <w:sz w:val="20"/>
                <w:szCs w:val="20"/>
              </w:rPr>
              <w:t xml:space="preserve">einen solchen </w:t>
            </w:r>
            <w:r w:rsidRPr="00E50B51">
              <w:rPr>
                <w:sz w:val="20"/>
                <w:szCs w:val="20"/>
              </w:rPr>
              <w:t>beschlösse</w:t>
            </w:r>
            <w:r>
              <w:rPr>
                <w:sz w:val="20"/>
                <w:szCs w:val="20"/>
              </w:rPr>
              <w:t>, etwa</w:t>
            </w:r>
            <w:r w:rsidRPr="00E50B51">
              <w:rPr>
                <w:sz w:val="20"/>
                <w:szCs w:val="20"/>
              </w:rPr>
              <w:t xml:space="preserve"> einen Rechtsbehelf </w:t>
            </w:r>
            <w:r>
              <w:rPr>
                <w:sz w:val="20"/>
                <w:szCs w:val="20"/>
              </w:rPr>
              <w:t>für den Fall</w:t>
            </w:r>
            <w:r w:rsidRPr="00E50B51">
              <w:rPr>
                <w:sz w:val="20"/>
                <w:szCs w:val="20"/>
              </w:rPr>
              <w:t xml:space="preserve">, </w:t>
            </w:r>
            <w:r>
              <w:rPr>
                <w:sz w:val="20"/>
                <w:szCs w:val="20"/>
              </w:rPr>
              <w:t>dass</w:t>
            </w:r>
            <w:r w:rsidRPr="00E50B51">
              <w:rPr>
                <w:sz w:val="20"/>
                <w:szCs w:val="20"/>
              </w:rPr>
              <w:t xml:space="preserve"> </w:t>
            </w:r>
            <w:r>
              <w:rPr>
                <w:sz w:val="20"/>
                <w:szCs w:val="20"/>
              </w:rPr>
              <w:t>e</w:t>
            </w:r>
            <w:r w:rsidRPr="00E50B51">
              <w:rPr>
                <w:sz w:val="20"/>
                <w:szCs w:val="20"/>
              </w:rPr>
              <w:t xml:space="preserve">in </w:t>
            </w:r>
            <w:r>
              <w:rPr>
                <w:sz w:val="20"/>
                <w:szCs w:val="20"/>
              </w:rPr>
              <w:t>Bundesstaat</w:t>
            </w:r>
            <w:r w:rsidRPr="00E50B51">
              <w:rPr>
                <w:sz w:val="20"/>
                <w:szCs w:val="20"/>
              </w:rPr>
              <w:t xml:space="preserve"> den Bürger eines anderen Bundesstaats diskriminiere. Aber auch der </w:t>
            </w:r>
            <w:r w:rsidRPr="00E50B51">
              <w:rPr>
                <w:sz w:val="20"/>
                <w:szCs w:val="20"/>
              </w:rPr>
              <w:lastRenderedPageBreak/>
              <w:t xml:space="preserve">Kongress habe solch einen Rechtsbehelf nicht geregelt. Insbesondere sei ein solcher nicht </w:t>
            </w:r>
            <w:r>
              <w:rPr>
                <w:sz w:val="20"/>
                <w:szCs w:val="20"/>
              </w:rPr>
              <w:t>durch § </w:t>
            </w:r>
            <w:r w:rsidRPr="00E50B51">
              <w:rPr>
                <w:sz w:val="20"/>
                <w:szCs w:val="20"/>
              </w:rPr>
              <w:t>19 Crim. Code</w:t>
            </w:r>
            <w:r>
              <w:rPr>
                <w:sz w:val="20"/>
                <w:szCs w:val="20"/>
              </w:rPr>
              <w:t xml:space="preserve"> begründet</w:t>
            </w:r>
            <w:r w:rsidRPr="00E50B51">
              <w:rPr>
                <w:sz w:val="20"/>
                <w:szCs w:val="20"/>
              </w:rPr>
              <w:t>. Denn der Wortlaut regel</w:t>
            </w:r>
            <w:r>
              <w:rPr>
                <w:sz w:val="20"/>
                <w:szCs w:val="20"/>
              </w:rPr>
              <w:t>e</w:t>
            </w:r>
            <w:r w:rsidRPr="00E50B51">
              <w:rPr>
                <w:sz w:val="20"/>
                <w:szCs w:val="20"/>
              </w:rPr>
              <w:t xml:space="preserve"> keinen Rechtsbehelf. </w:t>
            </w:r>
            <w:r>
              <w:rPr>
                <w:sz w:val="20"/>
                <w:szCs w:val="20"/>
              </w:rPr>
              <w:t>Dass d</w:t>
            </w:r>
            <w:r w:rsidRPr="00E50B51">
              <w:rPr>
                <w:sz w:val="20"/>
                <w:szCs w:val="20"/>
              </w:rPr>
              <w:t>rittens</w:t>
            </w:r>
            <w:r>
              <w:rPr>
                <w:sz w:val="20"/>
                <w:szCs w:val="20"/>
              </w:rPr>
              <w:t xml:space="preserve"> </w:t>
            </w:r>
            <w:r w:rsidRPr="00E50B51">
              <w:rPr>
                <w:sz w:val="20"/>
                <w:szCs w:val="20"/>
              </w:rPr>
              <w:t xml:space="preserve">ein </w:t>
            </w:r>
            <w:r w:rsidRPr="00546797">
              <w:rPr>
                <w:sz w:val="20"/>
                <w:szCs w:val="20"/>
              </w:rPr>
              <w:t xml:space="preserve">Grundrecht des Betroffenen verletzt war („fundamental </w:t>
            </w:r>
            <w:proofErr w:type="spellStart"/>
            <w:r w:rsidRPr="00546797">
              <w:rPr>
                <w:sz w:val="20"/>
                <w:szCs w:val="20"/>
              </w:rPr>
              <w:t>right</w:t>
            </w:r>
            <w:proofErr w:type="spellEnd"/>
            <w:r w:rsidRPr="00546797">
              <w:rPr>
                <w:sz w:val="20"/>
                <w:szCs w:val="20"/>
              </w:rPr>
              <w:t xml:space="preserve"> </w:t>
            </w:r>
            <w:proofErr w:type="spellStart"/>
            <w:r w:rsidRPr="00546797">
              <w:rPr>
                <w:sz w:val="20"/>
                <w:szCs w:val="20"/>
              </w:rPr>
              <w:t>common</w:t>
            </w:r>
            <w:proofErr w:type="spellEnd"/>
            <w:r w:rsidRPr="00546797">
              <w:rPr>
                <w:sz w:val="20"/>
                <w:szCs w:val="20"/>
              </w:rPr>
              <w:t xml:space="preserve"> to all </w:t>
            </w:r>
            <w:proofErr w:type="spellStart"/>
            <w:r w:rsidRPr="00546797">
              <w:rPr>
                <w:sz w:val="20"/>
                <w:szCs w:val="20"/>
              </w:rPr>
              <w:t>citizens</w:t>
            </w:r>
            <w:proofErr w:type="spellEnd"/>
            <w:r w:rsidRPr="00546797">
              <w:rPr>
                <w:sz w:val="20"/>
                <w:szCs w:val="20"/>
              </w:rPr>
              <w:t xml:space="preserve"> of </w:t>
            </w:r>
            <w:proofErr w:type="spellStart"/>
            <w:r w:rsidRPr="00546797">
              <w:rPr>
                <w:sz w:val="20"/>
                <w:szCs w:val="20"/>
              </w:rPr>
              <w:t>civilized</w:t>
            </w:r>
            <w:proofErr w:type="spellEnd"/>
            <w:r w:rsidRPr="00546797">
              <w:rPr>
                <w:sz w:val="20"/>
                <w:szCs w:val="20"/>
              </w:rPr>
              <w:t xml:space="preserve"> States“</w:t>
            </w:r>
            <w:r w:rsidRPr="00546797">
              <w:rPr>
                <w:rStyle w:val="Funotenzeichen"/>
                <w:rFonts w:eastAsiaTheme="majorEastAsia"/>
                <w:sz w:val="20"/>
                <w:szCs w:val="20"/>
              </w:rPr>
              <w:footnoteReference w:id="533"/>
            </w:r>
            <w:r w:rsidRPr="00546797">
              <w:rPr>
                <w:sz w:val="20"/>
                <w:szCs w:val="20"/>
              </w:rPr>
              <w:t xml:space="preserve">), ändere nichts am fehlenden Rechtsbehelf. Und für die bereits existenten Rechtsbehelfsmöglichkeiten </w:t>
            </w:r>
            <w:r>
              <w:rPr>
                <w:sz w:val="20"/>
                <w:szCs w:val="20"/>
              </w:rPr>
              <w:t>müsse</w:t>
            </w:r>
            <w:r w:rsidRPr="00546797">
              <w:rPr>
                <w:sz w:val="20"/>
                <w:szCs w:val="20"/>
              </w:rPr>
              <w:t xml:space="preserve"> der Betroffene nachweisen, dass eine staatliche Maßnahme ein Recht der Staatsbürgerschaft betroffen habe. Eine staatliche Maßnahme </w:t>
            </w:r>
            <w:r>
              <w:rPr>
                <w:sz w:val="20"/>
                <w:szCs w:val="20"/>
              </w:rPr>
              <w:t>läge</w:t>
            </w:r>
            <w:r w:rsidRPr="00546797">
              <w:rPr>
                <w:sz w:val="20"/>
                <w:szCs w:val="20"/>
              </w:rPr>
              <w:t xml:space="preserve"> aber nicht vor</w:t>
            </w:r>
            <w:r>
              <w:rPr>
                <w:sz w:val="20"/>
                <w:szCs w:val="20"/>
              </w:rPr>
              <w:t xml:space="preserve">, </w:t>
            </w:r>
            <w:r w:rsidRPr="00E51EA5">
              <w:rPr>
                <w:sz w:val="20"/>
                <w:szCs w:val="20"/>
              </w:rPr>
              <w:t>wenn Private handelten</w:t>
            </w:r>
            <w:r w:rsidRPr="00546797">
              <w:rPr>
                <w:sz w:val="20"/>
                <w:szCs w:val="20"/>
              </w:rPr>
              <w:t>. Und warum muss eine staatliche Maßnahme vorliegen? Weil die Staatsbürgerschaft das Grundrecht des Betroffenen wie das Streben nach Glück oder das der unauflöslichen Union („</w:t>
            </w:r>
            <w:proofErr w:type="spellStart"/>
            <w:r w:rsidRPr="00546797">
              <w:rPr>
                <w:sz w:val="20"/>
                <w:szCs w:val="20"/>
              </w:rPr>
              <w:t>indissoluble</w:t>
            </w:r>
            <w:proofErr w:type="spellEnd"/>
            <w:r w:rsidRPr="00546797">
              <w:rPr>
                <w:sz w:val="20"/>
                <w:szCs w:val="20"/>
              </w:rPr>
              <w:t xml:space="preserve"> Union of </w:t>
            </w:r>
            <w:proofErr w:type="spellStart"/>
            <w:r w:rsidRPr="00546797">
              <w:rPr>
                <w:sz w:val="20"/>
                <w:szCs w:val="20"/>
              </w:rPr>
              <w:t>indestructible</w:t>
            </w:r>
            <w:proofErr w:type="spellEnd"/>
            <w:r w:rsidRPr="00546797">
              <w:rPr>
                <w:sz w:val="20"/>
                <w:szCs w:val="20"/>
              </w:rPr>
              <w:t xml:space="preserve"> States“</w:t>
            </w:r>
            <w:r w:rsidRPr="00546797">
              <w:rPr>
                <w:rStyle w:val="Funotenzeichen"/>
                <w:rFonts w:eastAsiaTheme="majorEastAsia"/>
                <w:sz w:val="20"/>
                <w:szCs w:val="20"/>
              </w:rPr>
              <w:footnoteReference w:id="534"/>
            </w:r>
            <w:r w:rsidRPr="00546797">
              <w:rPr>
                <w:sz w:val="20"/>
                <w:szCs w:val="20"/>
              </w:rPr>
              <w:t>) spezifiziere. Und beides schütze zuvorderst gegen staatliche Maßnahmen.</w:t>
            </w:r>
            <w:r w:rsidRPr="00546797">
              <w:rPr>
                <w:rStyle w:val="Funotenzeichen"/>
                <w:rFonts w:eastAsiaTheme="majorEastAsia"/>
                <w:sz w:val="20"/>
                <w:szCs w:val="20"/>
              </w:rPr>
              <w:footnoteReference w:id="535"/>
            </w:r>
          </w:p>
          <w:p w14:paraId="281E8F8A" w14:textId="76C155BC" w:rsidR="00FE5F32" w:rsidRPr="00E50B51" w:rsidRDefault="00FE5F32" w:rsidP="00367133">
            <w:pPr>
              <w:jc w:val="both"/>
              <w:rPr>
                <w:sz w:val="20"/>
                <w:szCs w:val="20"/>
              </w:rPr>
            </w:pPr>
          </w:p>
        </w:tc>
      </w:tr>
      <w:tr w:rsidR="00074551" w:rsidRPr="00E50B51" w14:paraId="51C9558B" w14:textId="77777777" w:rsidTr="00BE689F">
        <w:trPr>
          <w:cantSplit/>
          <w:trHeight w:val="3175"/>
        </w:trPr>
        <w:tc>
          <w:tcPr>
            <w:tcW w:w="293" w:type="pct"/>
          </w:tcPr>
          <w:p w14:paraId="2D359F95"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D37F41D" w14:textId="77777777" w:rsidR="00074551" w:rsidRPr="00E50B51" w:rsidRDefault="00074551" w:rsidP="00367133">
            <w:pPr>
              <w:ind w:left="113" w:right="113"/>
              <w:jc w:val="both"/>
              <w:rPr>
                <w:sz w:val="20"/>
                <w:szCs w:val="20"/>
              </w:rPr>
            </w:pPr>
            <w:proofErr w:type="spellStart"/>
            <w:r w:rsidRPr="00584023">
              <w:rPr>
                <w:i/>
                <w:sz w:val="20"/>
                <w:szCs w:val="20"/>
              </w:rPr>
              <w:t>Bartemeyer</w:t>
            </w:r>
            <w:proofErr w:type="spellEnd"/>
            <w:r w:rsidRPr="00584023">
              <w:rPr>
                <w:i/>
                <w:sz w:val="20"/>
                <w:szCs w:val="20"/>
              </w:rPr>
              <w:t xml:space="preserve"> v. Iowa</w:t>
            </w:r>
          </w:p>
        </w:tc>
        <w:tc>
          <w:tcPr>
            <w:tcW w:w="197" w:type="pct"/>
            <w:textDirection w:val="tbRl"/>
            <w:vAlign w:val="center"/>
          </w:tcPr>
          <w:p w14:paraId="669CE655" w14:textId="77777777" w:rsidR="00074551" w:rsidRPr="00E50B51" w:rsidRDefault="00074551" w:rsidP="00367133">
            <w:pPr>
              <w:ind w:left="113" w:right="113"/>
              <w:jc w:val="both"/>
              <w:rPr>
                <w:sz w:val="20"/>
                <w:szCs w:val="20"/>
              </w:rPr>
            </w:pPr>
            <w:r w:rsidRPr="00E50B51">
              <w:rPr>
                <w:sz w:val="20"/>
                <w:szCs w:val="20"/>
                <w:lang w:val="en-US"/>
              </w:rPr>
              <w:t>85 U.S. 129</w:t>
            </w:r>
          </w:p>
        </w:tc>
        <w:tc>
          <w:tcPr>
            <w:tcW w:w="306" w:type="pct"/>
            <w:textDirection w:val="tbRl"/>
            <w:vAlign w:val="center"/>
          </w:tcPr>
          <w:p w14:paraId="2C3D3701" w14:textId="77777777" w:rsidR="00074551" w:rsidRPr="00E50B51" w:rsidRDefault="00074551" w:rsidP="00367133">
            <w:pPr>
              <w:ind w:left="113" w:right="113"/>
              <w:jc w:val="both"/>
              <w:rPr>
                <w:sz w:val="20"/>
                <w:szCs w:val="20"/>
              </w:rPr>
            </w:pPr>
            <w:r w:rsidRPr="00E50B51">
              <w:rPr>
                <w:sz w:val="20"/>
                <w:szCs w:val="20"/>
              </w:rPr>
              <w:t>4. März 1874</w:t>
            </w:r>
          </w:p>
        </w:tc>
        <w:tc>
          <w:tcPr>
            <w:tcW w:w="401" w:type="pct"/>
          </w:tcPr>
          <w:p w14:paraId="4373D8F6" w14:textId="77777777" w:rsidR="00074551" w:rsidRPr="00E50B51" w:rsidRDefault="00074551" w:rsidP="00367133">
            <w:pPr>
              <w:jc w:val="center"/>
              <w:rPr>
                <w:sz w:val="20"/>
                <w:szCs w:val="20"/>
              </w:rPr>
            </w:pPr>
            <w:r w:rsidRPr="00E50B51">
              <w:rPr>
                <w:sz w:val="20"/>
                <w:szCs w:val="20"/>
              </w:rPr>
              <w:t>C</w:t>
            </w:r>
          </w:p>
        </w:tc>
        <w:tc>
          <w:tcPr>
            <w:tcW w:w="1594" w:type="pct"/>
          </w:tcPr>
          <w:p w14:paraId="4E5726AA" w14:textId="7BA5FE50"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ein Urteil der unteren Instanzen. Er stellte fest, dass der Angeklagten unter Verstoß </w:t>
            </w:r>
            <w:r>
              <w:rPr>
                <w:sz w:val="20"/>
                <w:szCs w:val="20"/>
              </w:rPr>
              <w:t xml:space="preserve">gegen </w:t>
            </w:r>
            <w:r w:rsidRPr="00E50B51">
              <w:rPr>
                <w:sz w:val="20"/>
                <w:szCs w:val="20"/>
              </w:rPr>
              <w:t>ein Alkoholverkaufsverbot (</w:t>
            </w:r>
            <w:bookmarkStart w:id="33" w:name="_Hlk230007458"/>
            <w:r w:rsidRPr="00B45592">
              <w:rPr>
                <w:i/>
                <w:iCs/>
                <w:sz w:val="20"/>
                <w:szCs w:val="20"/>
              </w:rPr>
              <w:t>Iowa Code</w:t>
            </w:r>
            <w:r w:rsidRPr="00B45592">
              <w:rPr>
                <w:i/>
                <w:sz w:val="20"/>
                <w:szCs w:val="20"/>
              </w:rPr>
              <w:t xml:space="preserve"> </w:t>
            </w:r>
            <w:r w:rsidRPr="00D67593">
              <w:rPr>
                <w:sz w:val="20"/>
                <w:szCs w:val="20"/>
              </w:rPr>
              <w:t>123.49</w:t>
            </w:r>
            <w:bookmarkEnd w:id="33"/>
            <w:r w:rsidRPr="003461C7">
              <w:rPr>
                <w:rStyle w:val="Funotenzeichen"/>
                <w:sz w:val="20"/>
                <w:szCs w:val="20"/>
              </w:rPr>
              <w:footnoteReference w:id="536"/>
            </w:r>
            <w:r w:rsidRPr="003461C7">
              <w:rPr>
                <w:sz w:val="20"/>
                <w:szCs w:val="20"/>
              </w:rPr>
              <w:t>)</w:t>
            </w:r>
            <w:r w:rsidRPr="00E50B51">
              <w:rPr>
                <w:sz w:val="20"/>
                <w:szCs w:val="20"/>
              </w:rPr>
              <w:t xml:space="preserve"> dennoch Alkohol verkauft hatte und diese Verurteilung weder Leben, Freiheit oder Eigentum ohne ein ordentliches Gerichtsverfahren entzogen habe noch der gleiche Schutz verweigert worden sei </w:t>
            </w:r>
            <w:r>
              <w:rPr>
                <w:sz w:val="20"/>
                <w:szCs w:val="20"/>
              </w:rPr>
              <w:t>nach</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rStyle w:val="Funotenzeichen"/>
                <w:rFonts w:eastAsiaTheme="majorEastAsia"/>
                <w:sz w:val="20"/>
                <w:szCs w:val="20"/>
              </w:rPr>
              <w:footnoteReference w:id="537"/>
            </w:r>
          </w:p>
          <w:p w14:paraId="007324AC" w14:textId="77777777" w:rsidR="00074551" w:rsidRPr="00E50B51" w:rsidRDefault="00074551" w:rsidP="00367133">
            <w:pPr>
              <w:jc w:val="both"/>
              <w:rPr>
                <w:sz w:val="20"/>
                <w:szCs w:val="20"/>
              </w:rPr>
            </w:pPr>
          </w:p>
        </w:tc>
        <w:tc>
          <w:tcPr>
            <w:tcW w:w="1822" w:type="pct"/>
          </w:tcPr>
          <w:p w14:paraId="5C5296F3" w14:textId="77777777" w:rsidR="00074551" w:rsidRDefault="00074551" w:rsidP="00367133">
            <w:pPr>
              <w:jc w:val="both"/>
              <w:rPr>
                <w:sz w:val="20"/>
                <w:szCs w:val="20"/>
              </w:rPr>
            </w:pPr>
            <w:r w:rsidRPr="00E50B51">
              <w:rPr>
                <w:sz w:val="20"/>
                <w:szCs w:val="20"/>
              </w:rPr>
              <w:t>Das Streben nach Glück bestimm</w:t>
            </w:r>
            <w:r>
              <w:rPr>
                <w:sz w:val="20"/>
                <w:szCs w:val="20"/>
              </w:rPr>
              <w:t>e,</w:t>
            </w:r>
            <w:r w:rsidRPr="00E50B51">
              <w:rPr>
                <w:sz w:val="20"/>
                <w:szCs w:val="20"/>
              </w:rPr>
              <w:t xml:space="preserve"> welche Vorrechte so grundlegend seien, dass staatliche Maßnahmen sie nur mit </w:t>
            </w:r>
            <w:r>
              <w:rPr>
                <w:sz w:val="20"/>
                <w:szCs w:val="20"/>
              </w:rPr>
              <w:t>einem rechtsstaatlichen</w:t>
            </w:r>
            <w:r w:rsidRPr="00E50B51">
              <w:rPr>
                <w:sz w:val="20"/>
                <w:szCs w:val="20"/>
              </w:rPr>
              <w:t xml:space="preserve"> </w:t>
            </w:r>
            <w:r>
              <w:rPr>
                <w:sz w:val="20"/>
                <w:szCs w:val="20"/>
              </w:rPr>
              <w:t xml:space="preserve">Verfahren </w:t>
            </w:r>
            <w:r w:rsidRPr="00E50B51">
              <w:rPr>
                <w:sz w:val="20"/>
                <w:szCs w:val="20"/>
              </w:rPr>
              <w:t>einschränken dürf</w:t>
            </w:r>
            <w:r>
              <w:rPr>
                <w:sz w:val="20"/>
                <w:szCs w:val="20"/>
              </w:rPr>
              <w:t>t</w:t>
            </w:r>
            <w:r w:rsidRPr="00E50B51">
              <w:rPr>
                <w:sz w:val="20"/>
                <w:szCs w:val="20"/>
              </w:rPr>
              <w:t xml:space="preserve">en. Zu diesen Vorrechten gehöre nicht das Alkoholabgabeverbot. Doch wie kam der </w:t>
            </w:r>
            <w:r>
              <w:rPr>
                <w:sz w:val="20"/>
                <w:szCs w:val="20"/>
              </w:rPr>
              <w:t>U.S. Supreme Court</w:t>
            </w:r>
            <w:r w:rsidRPr="00E50B51">
              <w:rPr>
                <w:sz w:val="20"/>
                <w:szCs w:val="20"/>
              </w:rPr>
              <w:t xml:space="preserve"> zu dieser Argumentation? </w:t>
            </w:r>
          </w:p>
          <w:p w14:paraId="6775D885" w14:textId="77777777" w:rsidR="00074551" w:rsidRDefault="00074551" w:rsidP="00367133">
            <w:pPr>
              <w:jc w:val="both"/>
              <w:rPr>
                <w:sz w:val="20"/>
                <w:szCs w:val="20"/>
              </w:rPr>
            </w:pPr>
          </w:p>
          <w:p w14:paraId="2F004F5E" w14:textId="51F0D82D" w:rsidR="00074551" w:rsidRDefault="00074551" w:rsidP="00367133">
            <w:pPr>
              <w:jc w:val="both"/>
              <w:rPr>
                <w:sz w:val="20"/>
                <w:szCs w:val="20"/>
              </w:rPr>
            </w:pPr>
            <w:r w:rsidRPr="00E50B51">
              <w:rPr>
                <w:sz w:val="20"/>
                <w:szCs w:val="20"/>
              </w:rPr>
              <w:t xml:space="preserve">Grundsätzlich </w:t>
            </w:r>
            <w:r>
              <w:rPr>
                <w:sz w:val="20"/>
                <w:szCs w:val="20"/>
              </w:rPr>
              <w:t>dürfe</w:t>
            </w:r>
            <w:r w:rsidRPr="00E50B51">
              <w:rPr>
                <w:sz w:val="20"/>
                <w:szCs w:val="20"/>
              </w:rPr>
              <w:t xml:space="preserve"> der Staat verbieten, dass Produkte verkauft w</w:t>
            </w:r>
            <w:r>
              <w:rPr>
                <w:sz w:val="20"/>
                <w:szCs w:val="20"/>
              </w:rPr>
              <w:t>ü</w:t>
            </w:r>
            <w:r w:rsidRPr="00E50B51">
              <w:rPr>
                <w:sz w:val="20"/>
                <w:szCs w:val="20"/>
              </w:rPr>
              <w:t xml:space="preserve">rden, die schädlich für die öffentliche Gesundheit oder </w:t>
            </w:r>
            <w:r>
              <w:rPr>
                <w:sz w:val="20"/>
                <w:szCs w:val="20"/>
              </w:rPr>
              <w:t xml:space="preserve">die </w:t>
            </w:r>
            <w:r w:rsidRPr="00E50B51">
              <w:rPr>
                <w:sz w:val="20"/>
                <w:szCs w:val="20"/>
              </w:rPr>
              <w:t>öffentliche Ordnung seien, vorausgesetzt</w:t>
            </w:r>
            <w:r>
              <w:rPr>
                <w:sz w:val="20"/>
                <w:szCs w:val="20"/>
              </w:rPr>
              <w:t>,</w:t>
            </w:r>
            <w:r w:rsidRPr="00E50B51">
              <w:rPr>
                <w:sz w:val="20"/>
                <w:szCs w:val="20"/>
              </w:rPr>
              <w:t xml:space="preserve"> dieses Verbot greife nicht in bereits gesetzlich zugesichertes Eigentum ein. Wenn das allerdings der Fall sei, aber das Verbot dennoch für das öffentliche Wohl notwendig</w:t>
            </w:r>
            <w:r>
              <w:rPr>
                <w:sz w:val="20"/>
                <w:szCs w:val="20"/>
              </w:rPr>
              <w:t xml:space="preserve"> sei</w:t>
            </w:r>
            <w:r w:rsidRPr="00E50B51">
              <w:rPr>
                <w:sz w:val="20"/>
                <w:szCs w:val="20"/>
              </w:rPr>
              <w:t>, dann habe der Staat die Betroffenen zu entschädigen</w:t>
            </w:r>
            <w:r>
              <w:rPr>
                <w:sz w:val="20"/>
                <w:szCs w:val="20"/>
              </w:rPr>
              <w:t xml:space="preserve">. Das ergebe </w:t>
            </w:r>
            <w:r w:rsidRPr="00E50B51">
              <w:rPr>
                <w:sz w:val="20"/>
                <w:szCs w:val="20"/>
              </w:rPr>
              <w:t xml:space="preserve">sich aus </w:t>
            </w:r>
            <w:r>
              <w:rPr>
                <w:sz w:val="20"/>
                <w:szCs w:val="20"/>
              </w:rPr>
              <w:t xml:space="preserve">den </w:t>
            </w:r>
            <w:proofErr w:type="spellStart"/>
            <w:r w:rsidRPr="00E50B51">
              <w:rPr>
                <w:sz w:val="20"/>
                <w:szCs w:val="20"/>
              </w:rPr>
              <w:t>den</w:t>
            </w:r>
            <w:proofErr w:type="spellEnd"/>
            <w:r w:rsidRPr="00E50B51">
              <w:rPr>
                <w:sz w:val="20"/>
                <w:szCs w:val="20"/>
              </w:rPr>
              <w:t xml:space="preserve"> Bürgern zugesicherten Vorrechten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Diese Vorrechte z.B. in Form einer Entschädigung schütz</w:t>
            </w:r>
            <w:r>
              <w:rPr>
                <w:sz w:val="20"/>
                <w:szCs w:val="20"/>
              </w:rPr>
              <w:t>t</w:t>
            </w:r>
            <w:r w:rsidRPr="00E50B51">
              <w:rPr>
                <w:sz w:val="20"/>
                <w:szCs w:val="20"/>
              </w:rPr>
              <w:t xml:space="preserve">en aber nicht dagegen, wenn jemand ein Produkt verkaufe, das bereits verboten sei. </w:t>
            </w:r>
            <w:r>
              <w:rPr>
                <w:sz w:val="20"/>
                <w:szCs w:val="20"/>
              </w:rPr>
              <w:t>Wie leitet sich diese Argumentation her</w:t>
            </w:r>
            <w:r w:rsidRPr="00E50B51">
              <w:rPr>
                <w:sz w:val="20"/>
                <w:szCs w:val="20"/>
              </w:rPr>
              <w:t xml:space="preserve">? Staatliche Maßnahmen können in das Eigentum oder die Berufsausübung als Vorrechte </w:t>
            </w:r>
            <w:r>
              <w:rPr>
                <w:sz w:val="20"/>
                <w:szCs w:val="20"/>
              </w:rPr>
              <w:t xml:space="preserve">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nur mit einem </w:t>
            </w:r>
            <w:r>
              <w:rPr>
                <w:sz w:val="20"/>
                <w:szCs w:val="20"/>
              </w:rPr>
              <w:t>rechtsstaatlichen</w:t>
            </w:r>
            <w:r w:rsidRPr="00E50B51">
              <w:rPr>
                <w:sz w:val="20"/>
                <w:szCs w:val="20"/>
              </w:rPr>
              <w:t xml:space="preserve"> Verfahren eingreifen. Damit sei </w:t>
            </w:r>
            <w:r>
              <w:rPr>
                <w:sz w:val="20"/>
                <w:szCs w:val="20"/>
              </w:rPr>
              <w:t xml:space="preserve">das </w:t>
            </w:r>
            <w:r w:rsidRPr="00E50B51">
              <w:rPr>
                <w:sz w:val="20"/>
                <w:szCs w:val="20"/>
              </w:rPr>
              <w:t>Ziel ein</w:t>
            </w:r>
            <w:r>
              <w:rPr>
                <w:sz w:val="20"/>
                <w:szCs w:val="20"/>
              </w:rPr>
              <w:t xml:space="preserve"> rechtsstaatliches</w:t>
            </w:r>
            <w:r w:rsidRPr="00E50B51">
              <w:rPr>
                <w:sz w:val="20"/>
                <w:szCs w:val="20"/>
              </w:rPr>
              <w:t xml:space="preserve"> Verfahren, </w:t>
            </w:r>
            <w:r>
              <w:rPr>
                <w:sz w:val="20"/>
                <w:szCs w:val="20"/>
              </w:rPr>
              <w:t xml:space="preserve">welches </w:t>
            </w:r>
            <w:r w:rsidRPr="00E50B51">
              <w:rPr>
                <w:sz w:val="20"/>
                <w:szCs w:val="20"/>
              </w:rPr>
              <w:t xml:space="preserve">das Eigentum oder die Berufsausübung als Vorrechte nur sehr zurückhaltend einschränke, z.B. indem durch </w:t>
            </w:r>
            <w:r>
              <w:rPr>
                <w:sz w:val="20"/>
                <w:szCs w:val="20"/>
              </w:rPr>
              <w:t xml:space="preserve">staatliche Eingriffe </w:t>
            </w:r>
            <w:r w:rsidRPr="00E50B51">
              <w:rPr>
                <w:sz w:val="20"/>
                <w:szCs w:val="20"/>
              </w:rPr>
              <w:t>Monopole verhütet w</w:t>
            </w:r>
            <w:r>
              <w:rPr>
                <w:sz w:val="20"/>
                <w:szCs w:val="20"/>
              </w:rPr>
              <w:t>ü</w:t>
            </w:r>
            <w:r w:rsidRPr="00E50B51">
              <w:rPr>
                <w:sz w:val="20"/>
                <w:szCs w:val="20"/>
              </w:rPr>
              <w:t>rden</w:t>
            </w:r>
            <w:r>
              <w:rPr>
                <w:sz w:val="20"/>
                <w:szCs w:val="20"/>
              </w:rPr>
              <w:t>.</w:t>
            </w:r>
          </w:p>
          <w:p w14:paraId="39F195F3" w14:textId="77777777" w:rsidR="00074551" w:rsidRDefault="00074551" w:rsidP="00367133">
            <w:pPr>
              <w:jc w:val="both"/>
              <w:rPr>
                <w:sz w:val="20"/>
                <w:szCs w:val="20"/>
              </w:rPr>
            </w:pPr>
          </w:p>
          <w:p w14:paraId="04126C17" w14:textId="77777777" w:rsidR="00074551" w:rsidRPr="00E50B51" w:rsidRDefault="00074551" w:rsidP="00367133">
            <w:pPr>
              <w:jc w:val="both"/>
              <w:rPr>
                <w:sz w:val="20"/>
                <w:szCs w:val="20"/>
              </w:rPr>
            </w:pPr>
            <w:r>
              <w:rPr>
                <w:sz w:val="20"/>
                <w:szCs w:val="20"/>
              </w:rPr>
              <w:t>Der weitere Hintergrund: K</w:t>
            </w:r>
            <w:r w:rsidRPr="00E50B51">
              <w:rPr>
                <w:sz w:val="20"/>
                <w:szCs w:val="20"/>
              </w:rPr>
              <w:t xml:space="preserve">ein Bundesstaat dürfe eine staatliche Maßnahme erlassen, die ohne ein </w:t>
            </w:r>
            <w:r>
              <w:rPr>
                <w:sz w:val="20"/>
                <w:szCs w:val="20"/>
              </w:rPr>
              <w:t>rechtsstaatliches</w:t>
            </w:r>
            <w:r w:rsidRPr="00E50B51">
              <w:rPr>
                <w:sz w:val="20"/>
                <w:szCs w:val="20"/>
              </w:rPr>
              <w:t xml:space="preserve"> Verfahren die Vorrechte</w:t>
            </w:r>
            <w:r>
              <w:rPr>
                <w:sz w:val="20"/>
                <w:szCs w:val="20"/>
              </w:rPr>
              <w:t xml:space="preserve"> </w:t>
            </w:r>
            <w:r w:rsidRPr="00E50B51">
              <w:rPr>
                <w:sz w:val="20"/>
                <w:szCs w:val="20"/>
              </w:rPr>
              <w:t xml:space="preserve">entziehe, </w:t>
            </w:r>
            <w:r>
              <w:rPr>
                <w:sz w:val="20"/>
                <w:szCs w:val="20"/>
              </w:rPr>
              <w:t xml:space="preserve">also </w:t>
            </w:r>
            <w:r w:rsidRPr="00E50B51">
              <w:rPr>
                <w:sz w:val="20"/>
                <w:szCs w:val="20"/>
              </w:rPr>
              <w:t xml:space="preserve">das Leben, die Freiheit oder das Eigentum. Diese Einschränkung für staatliche </w:t>
            </w:r>
            <w:r>
              <w:rPr>
                <w:sz w:val="20"/>
                <w:szCs w:val="20"/>
              </w:rPr>
              <w:t xml:space="preserve">Eingriffe </w:t>
            </w:r>
            <w:r w:rsidRPr="00E50B51">
              <w:rPr>
                <w:sz w:val="20"/>
                <w:szCs w:val="20"/>
              </w:rPr>
              <w:t xml:space="preserve">sei ein Grundgesetz („fundamental </w:t>
            </w:r>
            <w:proofErr w:type="spellStart"/>
            <w:r w:rsidRPr="00E50B51">
              <w:rPr>
                <w:sz w:val="20"/>
                <w:szCs w:val="20"/>
              </w:rPr>
              <w:t>law</w:t>
            </w:r>
            <w:proofErr w:type="spellEnd"/>
            <w:r w:rsidRPr="00E50B51">
              <w:rPr>
                <w:sz w:val="20"/>
                <w:szCs w:val="20"/>
              </w:rPr>
              <w:t>“</w:t>
            </w:r>
            <w:r w:rsidRPr="00E50B51">
              <w:rPr>
                <w:rStyle w:val="Funotenzeichen"/>
                <w:rFonts w:eastAsiaTheme="majorEastAsia"/>
                <w:sz w:val="20"/>
                <w:szCs w:val="20"/>
              </w:rPr>
              <w:footnoteReference w:id="538"/>
            </w:r>
            <w:r w:rsidRPr="00E50B51">
              <w:rPr>
                <w:sz w:val="20"/>
                <w:szCs w:val="20"/>
              </w:rPr>
              <w:t>). Doch warum? Ein Grundgesetz lieg</w:t>
            </w:r>
            <w:r>
              <w:rPr>
                <w:sz w:val="20"/>
                <w:szCs w:val="20"/>
              </w:rPr>
              <w:t>e</w:t>
            </w:r>
            <w:r w:rsidRPr="00E50B51">
              <w:rPr>
                <w:sz w:val="20"/>
                <w:szCs w:val="20"/>
              </w:rPr>
              <w:t xml:space="preserve"> nur vor, wenn das Leben, die Freiheit und das Streben nach Glück, was Eigentum einschließt, als unveräußerliche Rechte betroffen seien. Denn diese unveräußerlichen Rechte verleihe die amerikanische Verfassung Bürgern immer, damit sie sich gegen repressive staatliche Maßnahmen wehren könn</w:t>
            </w:r>
            <w:r>
              <w:rPr>
                <w:sz w:val="20"/>
                <w:szCs w:val="20"/>
              </w:rPr>
              <w:t>t</w:t>
            </w:r>
            <w:r w:rsidRPr="00E50B51">
              <w:rPr>
                <w:sz w:val="20"/>
                <w:szCs w:val="20"/>
              </w:rPr>
              <w:t xml:space="preserve">en. Somit sei Bürgern gegen staatliche Maßnahmen stets ein </w:t>
            </w:r>
            <w:r>
              <w:rPr>
                <w:sz w:val="20"/>
                <w:szCs w:val="20"/>
              </w:rPr>
              <w:t>rechtsstaatliches</w:t>
            </w:r>
            <w:r w:rsidRPr="00E50B51">
              <w:rPr>
                <w:sz w:val="20"/>
                <w:szCs w:val="20"/>
              </w:rPr>
              <w:t xml:space="preserve"> Verfahren garantiert. </w:t>
            </w:r>
            <w:r>
              <w:rPr>
                <w:sz w:val="20"/>
                <w:szCs w:val="20"/>
              </w:rPr>
              <w:t>Und s</w:t>
            </w:r>
            <w:r w:rsidRPr="00E50B51">
              <w:rPr>
                <w:sz w:val="20"/>
                <w:szCs w:val="20"/>
              </w:rPr>
              <w:t>taatliche Maßnahmen, die z.B. Monopole förder</w:t>
            </w:r>
            <w:r>
              <w:rPr>
                <w:sz w:val="20"/>
                <w:szCs w:val="20"/>
              </w:rPr>
              <w:t>te</w:t>
            </w:r>
            <w:r w:rsidRPr="00E50B51">
              <w:rPr>
                <w:sz w:val="20"/>
                <w:szCs w:val="20"/>
              </w:rPr>
              <w:t>n, verst</w:t>
            </w:r>
            <w:r>
              <w:rPr>
                <w:sz w:val="20"/>
                <w:szCs w:val="20"/>
              </w:rPr>
              <w:t>ie</w:t>
            </w:r>
            <w:r w:rsidRPr="00E50B51">
              <w:rPr>
                <w:sz w:val="20"/>
                <w:szCs w:val="20"/>
              </w:rPr>
              <w:t>ßen gegen diese Garantie. Denn sie untersag</w:t>
            </w:r>
            <w:r>
              <w:rPr>
                <w:sz w:val="20"/>
                <w:szCs w:val="20"/>
              </w:rPr>
              <w:t>t</w:t>
            </w:r>
            <w:r w:rsidRPr="00E50B51">
              <w:rPr>
                <w:sz w:val="20"/>
                <w:szCs w:val="20"/>
              </w:rPr>
              <w:t xml:space="preserve">en mit dem Monopol faktisch </w:t>
            </w:r>
            <w:r>
              <w:rPr>
                <w:sz w:val="20"/>
                <w:szCs w:val="20"/>
              </w:rPr>
              <w:t xml:space="preserve">eine </w:t>
            </w:r>
            <w:r w:rsidRPr="00E50B51">
              <w:rPr>
                <w:sz w:val="20"/>
                <w:szCs w:val="20"/>
              </w:rPr>
              <w:t>rechtmäßige Berufsausübung („</w:t>
            </w:r>
            <w:proofErr w:type="spellStart"/>
            <w:r w:rsidRPr="00E50B51">
              <w:rPr>
                <w:sz w:val="20"/>
                <w:szCs w:val="20"/>
              </w:rPr>
              <w:t>lawful</w:t>
            </w:r>
            <w:proofErr w:type="spellEnd"/>
            <w:r w:rsidRPr="00E50B51">
              <w:rPr>
                <w:sz w:val="20"/>
                <w:szCs w:val="20"/>
              </w:rPr>
              <w:t xml:space="preserve"> </w:t>
            </w:r>
            <w:proofErr w:type="spellStart"/>
            <w:r w:rsidRPr="00E50B51">
              <w:rPr>
                <w:sz w:val="20"/>
                <w:szCs w:val="20"/>
              </w:rPr>
              <w:t>calling</w:t>
            </w:r>
            <w:proofErr w:type="spellEnd"/>
            <w:r w:rsidRPr="00E50B51">
              <w:rPr>
                <w:sz w:val="20"/>
                <w:szCs w:val="20"/>
              </w:rPr>
              <w:t>“</w:t>
            </w:r>
            <w:r w:rsidRPr="00E50B51">
              <w:rPr>
                <w:rStyle w:val="Funotenzeichen"/>
                <w:rFonts w:eastAsiaTheme="majorEastAsia"/>
                <w:sz w:val="20"/>
                <w:szCs w:val="20"/>
              </w:rPr>
              <w:footnoteReference w:id="539"/>
            </w:r>
            <w:r w:rsidRPr="00E50B51">
              <w:rPr>
                <w:sz w:val="20"/>
                <w:szCs w:val="20"/>
              </w:rPr>
              <w:t xml:space="preserve">), die sich aus </w:t>
            </w:r>
            <w:r>
              <w:rPr>
                <w:sz w:val="20"/>
                <w:szCs w:val="20"/>
              </w:rPr>
              <w:t xml:space="preserve">dem </w:t>
            </w:r>
            <w:r w:rsidRPr="00E50B51">
              <w:rPr>
                <w:sz w:val="20"/>
                <w:szCs w:val="20"/>
              </w:rPr>
              <w:t>Streben nach Glück ableite</w:t>
            </w:r>
            <w:r>
              <w:rPr>
                <w:sz w:val="20"/>
                <w:szCs w:val="20"/>
              </w:rPr>
              <w:t> </w:t>
            </w:r>
            <w:r w:rsidRPr="00E50B51">
              <w:rPr>
                <w:sz w:val="20"/>
                <w:szCs w:val="20"/>
              </w:rPr>
              <w:t xml:space="preserve">– wie sich an den </w:t>
            </w:r>
            <w:r w:rsidRPr="00B45592">
              <w:rPr>
                <w:i/>
                <w:sz w:val="20"/>
                <w:szCs w:val="20"/>
              </w:rPr>
              <w:t>Slaughter-House Cases</w:t>
            </w:r>
            <w:r w:rsidRPr="003461C7">
              <w:rPr>
                <w:rStyle w:val="Funotenzeichen"/>
                <w:sz w:val="20"/>
                <w:szCs w:val="20"/>
              </w:rPr>
              <w:footnoteReference w:id="540"/>
            </w:r>
            <w:r w:rsidRPr="00E50B51">
              <w:rPr>
                <w:sz w:val="20"/>
                <w:szCs w:val="20"/>
              </w:rPr>
              <w:t xml:space="preserve"> zeige. Staatliche Maßnahmen, die</w:t>
            </w:r>
            <w:r>
              <w:rPr>
                <w:sz w:val="20"/>
                <w:szCs w:val="20"/>
              </w:rPr>
              <w:t xml:space="preserve"> beispielsweise </w:t>
            </w:r>
            <w:r w:rsidRPr="00E50B51">
              <w:rPr>
                <w:sz w:val="20"/>
                <w:szCs w:val="20"/>
              </w:rPr>
              <w:t>die Alkoholabgabe verb</w:t>
            </w:r>
            <w:r>
              <w:rPr>
                <w:sz w:val="20"/>
                <w:szCs w:val="20"/>
              </w:rPr>
              <w:t>ö</w:t>
            </w:r>
            <w:r w:rsidRPr="00E50B51">
              <w:rPr>
                <w:sz w:val="20"/>
                <w:szCs w:val="20"/>
              </w:rPr>
              <w:t xml:space="preserve">ten, um öffentliche Gesundheit oder öffentliche Ordnung zu fördern, </w:t>
            </w:r>
            <w:r>
              <w:rPr>
                <w:sz w:val="20"/>
                <w:szCs w:val="20"/>
              </w:rPr>
              <w:t>stünden</w:t>
            </w:r>
            <w:r w:rsidRPr="00E50B51">
              <w:rPr>
                <w:sz w:val="20"/>
                <w:szCs w:val="20"/>
              </w:rPr>
              <w:t xml:space="preserve"> </w:t>
            </w:r>
            <w:r>
              <w:rPr>
                <w:sz w:val="20"/>
                <w:szCs w:val="20"/>
              </w:rPr>
              <w:t>wiederum</w:t>
            </w:r>
            <w:r w:rsidRPr="00E50B51">
              <w:rPr>
                <w:sz w:val="20"/>
                <w:szCs w:val="20"/>
              </w:rPr>
              <w:t xml:space="preserve"> im Einklang mit dieser Garantie. Denn sie untersag</w:t>
            </w:r>
            <w:r>
              <w:rPr>
                <w:sz w:val="20"/>
                <w:szCs w:val="20"/>
              </w:rPr>
              <w:t>t</w:t>
            </w:r>
            <w:r w:rsidRPr="00E50B51">
              <w:rPr>
                <w:sz w:val="20"/>
                <w:szCs w:val="20"/>
              </w:rPr>
              <w:t>en unrechtmäßige Berufe („</w:t>
            </w:r>
            <w:proofErr w:type="spellStart"/>
            <w:r w:rsidRPr="00E50B51">
              <w:rPr>
                <w:sz w:val="20"/>
                <w:szCs w:val="20"/>
              </w:rPr>
              <w:t>unlawful</w:t>
            </w:r>
            <w:proofErr w:type="spellEnd"/>
            <w:r w:rsidRPr="00E50B51">
              <w:rPr>
                <w:sz w:val="20"/>
                <w:szCs w:val="20"/>
              </w:rPr>
              <w:t xml:space="preserve"> </w:t>
            </w:r>
            <w:proofErr w:type="spellStart"/>
            <w:r w:rsidRPr="00E50B51">
              <w:rPr>
                <w:sz w:val="20"/>
                <w:szCs w:val="20"/>
              </w:rPr>
              <w:t>calling</w:t>
            </w:r>
            <w:proofErr w:type="spellEnd"/>
            <w:r w:rsidRPr="00E50B51">
              <w:rPr>
                <w:sz w:val="20"/>
                <w:szCs w:val="20"/>
              </w:rPr>
              <w:t>“</w:t>
            </w:r>
            <w:r w:rsidRPr="00E50B51">
              <w:rPr>
                <w:rStyle w:val="Funotenzeichen"/>
                <w:rFonts w:eastAsiaTheme="majorEastAsia"/>
                <w:sz w:val="20"/>
                <w:szCs w:val="20"/>
              </w:rPr>
              <w:footnoteReference w:id="541"/>
            </w:r>
            <w:r w:rsidRPr="00E50B51">
              <w:rPr>
                <w:sz w:val="20"/>
                <w:szCs w:val="20"/>
              </w:rPr>
              <w:t>) oder unlizenzierte Berufsausübung („</w:t>
            </w:r>
            <w:proofErr w:type="spellStart"/>
            <w:r w:rsidRPr="00E50B51">
              <w:rPr>
                <w:sz w:val="20"/>
                <w:szCs w:val="20"/>
              </w:rPr>
              <w:t>disregard</w:t>
            </w:r>
            <w:proofErr w:type="spellEnd"/>
            <w:r w:rsidRPr="00E50B51">
              <w:rPr>
                <w:sz w:val="20"/>
                <w:szCs w:val="20"/>
              </w:rPr>
              <w:t xml:space="preserve"> </w:t>
            </w:r>
            <w:proofErr w:type="spellStart"/>
            <w:r w:rsidRPr="00E50B51">
              <w:rPr>
                <w:sz w:val="20"/>
                <w:szCs w:val="20"/>
              </w:rPr>
              <w:t>license</w:t>
            </w:r>
            <w:proofErr w:type="spellEnd"/>
            <w:r w:rsidRPr="00E50B51">
              <w:rPr>
                <w:sz w:val="20"/>
                <w:szCs w:val="20"/>
              </w:rPr>
              <w:t xml:space="preserve"> </w:t>
            </w:r>
            <w:proofErr w:type="spellStart"/>
            <w:r w:rsidRPr="00E50B51">
              <w:rPr>
                <w:sz w:val="20"/>
                <w:szCs w:val="20"/>
              </w:rPr>
              <w:t>laws</w:t>
            </w:r>
            <w:proofErr w:type="spellEnd"/>
            <w:r w:rsidRPr="00E50B51">
              <w:rPr>
                <w:sz w:val="20"/>
                <w:szCs w:val="20"/>
              </w:rPr>
              <w:t>“</w:t>
            </w:r>
            <w:r w:rsidRPr="00E50B51">
              <w:rPr>
                <w:rStyle w:val="Funotenzeichen"/>
                <w:rFonts w:eastAsiaTheme="majorEastAsia"/>
                <w:sz w:val="20"/>
                <w:szCs w:val="20"/>
              </w:rPr>
              <w:footnoteReference w:id="542"/>
            </w:r>
            <w:r w:rsidRPr="00E50B51">
              <w:rPr>
                <w:sz w:val="20"/>
                <w:szCs w:val="20"/>
              </w:rPr>
              <w:t>). M</w:t>
            </w:r>
            <w:r>
              <w:rPr>
                <w:sz w:val="20"/>
                <w:szCs w:val="20"/>
              </w:rPr>
              <w:t xml:space="preserve">it </w:t>
            </w:r>
            <w:r>
              <w:rPr>
                <w:sz w:val="20"/>
                <w:szCs w:val="20"/>
              </w:rPr>
              <w:lastRenderedPageBreak/>
              <w:t>anderen Worten</w:t>
            </w:r>
            <w:r w:rsidRPr="00E50B51">
              <w:rPr>
                <w:sz w:val="20"/>
                <w:szCs w:val="20"/>
              </w:rPr>
              <w:t xml:space="preserve">.: Das Recht, Alkohol zu verkaufen, gehöre also nicht zu den für das Streben nach Glück notwendigen Vorrechten, </w:t>
            </w:r>
            <w:r>
              <w:rPr>
                <w:sz w:val="20"/>
                <w:szCs w:val="20"/>
              </w:rPr>
              <w:t>welche</w:t>
            </w:r>
            <w:r w:rsidRPr="00E50B51">
              <w:rPr>
                <w:sz w:val="20"/>
                <w:szCs w:val="20"/>
              </w:rPr>
              <w:t xml:space="preserve"> staatliche Maßnahmen nur mit </w:t>
            </w:r>
            <w:r>
              <w:rPr>
                <w:sz w:val="20"/>
                <w:szCs w:val="20"/>
              </w:rPr>
              <w:t>rechtsstaatlichen Verfahren</w:t>
            </w:r>
            <w:r w:rsidRPr="00E50B51">
              <w:rPr>
                <w:sz w:val="20"/>
                <w:szCs w:val="20"/>
              </w:rPr>
              <w:t xml:space="preserve"> einschränken dürf</w:t>
            </w:r>
            <w:r>
              <w:rPr>
                <w:sz w:val="20"/>
                <w:szCs w:val="20"/>
              </w:rPr>
              <w:t>t</w:t>
            </w:r>
            <w:r w:rsidRPr="00E50B51">
              <w:rPr>
                <w:sz w:val="20"/>
                <w:szCs w:val="20"/>
              </w:rPr>
              <w:t>en. Diese auf dem Streben nach Glück gründende Unterscheidung fehle der Urteilsbegründung</w:t>
            </w:r>
            <w:r>
              <w:rPr>
                <w:sz w:val="20"/>
                <w:szCs w:val="20"/>
              </w:rPr>
              <w:t xml:space="preserve">, so die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Pr>
                <w:sz w:val="20"/>
                <w:szCs w:val="20"/>
              </w:rPr>
              <w:t>.</w:t>
            </w:r>
            <w:r>
              <w:rPr>
                <w:rStyle w:val="Funotenzeichen"/>
                <w:sz w:val="20"/>
                <w:szCs w:val="20"/>
              </w:rPr>
              <w:footnoteReference w:id="543"/>
            </w:r>
          </w:p>
        </w:tc>
      </w:tr>
      <w:tr w:rsidR="00074551" w:rsidRPr="001A3B64" w14:paraId="3AFAFB77" w14:textId="77777777" w:rsidTr="00BE689F">
        <w:trPr>
          <w:cantSplit/>
          <w:trHeight w:val="3175"/>
        </w:trPr>
        <w:tc>
          <w:tcPr>
            <w:tcW w:w="293" w:type="pct"/>
          </w:tcPr>
          <w:p w14:paraId="33E38F43" w14:textId="77777777" w:rsidR="00074551" w:rsidRPr="00E50B51" w:rsidRDefault="00074551" w:rsidP="00367133">
            <w:pPr>
              <w:jc w:val="center"/>
              <w:rPr>
                <w:sz w:val="20"/>
                <w:szCs w:val="20"/>
              </w:rPr>
            </w:pPr>
            <w:r w:rsidRPr="00BE3728">
              <w:rPr>
                <w:sz w:val="20"/>
                <w:szCs w:val="20"/>
                <w:lang w:val="en-US"/>
              </w:rPr>
              <w:lastRenderedPageBreak/>
              <w:t>H</w:t>
            </w:r>
          </w:p>
        </w:tc>
        <w:tc>
          <w:tcPr>
            <w:tcW w:w="387" w:type="pct"/>
            <w:textDirection w:val="tbRl"/>
            <w:vAlign w:val="center"/>
          </w:tcPr>
          <w:p w14:paraId="3BFBC80B" w14:textId="77777777" w:rsidR="00074551" w:rsidRPr="00190715" w:rsidRDefault="00074551" w:rsidP="00367133">
            <w:pPr>
              <w:ind w:left="113" w:right="113"/>
              <w:jc w:val="both"/>
              <w:rPr>
                <w:sz w:val="20"/>
                <w:szCs w:val="20"/>
                <w:lang w:val="en-US"/>
              </w:rPr>
            </w:pPr>
            <w:r w:rsidRPr="00584023">
              <w:rPr>
                <w:i/>
                <w:sz w:val="20"/>
                <w:szCs w:val="20"/>
                <w:lang w:val="en-US"/>
              </w:rPr>
              <w:t>United States v. Wong Kim Ark</w:t>
            </w:r>
          </w:p>
        </w:tc>
        <w:tc>
          <w:tcPr>
            <w:tcW w:w="197" w:type="pct"/>
            <w:textDirection w:val="tbRl"/>
            <w:vAlign w:val="center"/>
          </w:tcPr>
          <w:p w14:paraId="45362B82" w14:textId="77777777" w:rsidR="00074551" w:rsidRPr="00E50B51" w:rsidRDefault="00074551" w:rsidP="00367133">
            <w:pPr>
              <w:ind w:left="113" w:right="113"/>
              <w:jc w:val="both"/>
              <w:rPr>
                <w:sz w:val="20"/>
                <w:szCs w:val="20"/>
                <w:lang w:val="en-US"/>
              </w:rPr>
            </w:pPr>
            <w:r w:rsidRPr="00BE3728">
              <w:rPr>
                <w:sz w:val="20"/>
                <w:szCs w:val="20"/>
              </w:rPr>
              <w:t>169 U.S. 649</w:t>
            </w:r>
          </w:p>
        </w:tc>
        <w:tc>
          <w:tcPr>
            <w:tcW w:w="306" w:type="pct"/>
            <w:textDirection w:val="tbRl"/>
            <w:vAlign w:val="center"/>
          </w:tcPr>
          <w:p w14:paraId="4A2FE814" w14:textId="77777777" w:rsidR="00074551" w:rsidRPr="00E50B51" w:rsidRDefault="00074551" w:rsidP="00367133">
            <w:pPr>
              <w:ind w:left="113" w:right="113"/>
              <w:jc w:val="both"/>
              <w:rPr>
                <w:sz w:val="20"/>
                <w:szCs w:val="20"/>
              </w:rPr>
            </w:pPr>
            <w:r w:rsidRPr="00BE3728">
              <w:rPr>
                <w:sz w:val="20"/>
                <w:szCs w:val="20"/>
              </w:rPr>
              <w:t>28. März 1898</w:t>
            </w:r>
          </w:p>
        </w:tc>
        <w:tc>
          <w:tcPr>
            <w:tcW w:w="401" w:type="pct"/>
          </w:tcPr>
          <w:p w14:paraId="2AE7168B" w14:textId="77777777" w:rsidR="00074551" w:rsidRPr="00E50B51" w:rsidRDefault="00074551" w:rsidP="00367133">
            <w:pPr>
              <w:jc w:val="center"/>
              <w:rPr>
                <w:sz w:val="20"/>
                <w:szCs w:val="20"/>
              </w:rPr>
            </w:pPr>
            <w:r w:rsidRPr="00BE3728">
              <w:rPr>
                <w:sz w:val="20"/>
                <w:szCs w:val="20"/>
                <w:lang w:val="en-US"/>
              </w:rPr>
              <w:t>D</w:t>
            </w:r>
          </w:p>
        </w:tc>
        <w:tc>
          <w:tcPr>
            <w:tcW w:w="1594" w:type="pct"/>
          </w:tcPr>
          <w:p w14:paraId="7E588CB6"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dass ein in den Vereinigten Staaten geborenes Kind Staatsbürger ist, auch wenn seine Eltern chinesischer Abstammung waren und zum Zeitpunkt der Geburt noch als </w:t>
            </w:r>
            <w:r>
              <w:rPr>
                <w:sz w:val="20"/>
                <w:szCs w:val="20"/>
              </w:rPr>
              <w:t>Staatsb</w:t>
            </w:r>
            <w:r w:rsidRPr="00BE3728">
              <w:rPr>
                <w:sz w:val="20"/>
                <w:szCs w:val="20"/>
              </w:rPr>
              <w:t xml:space="preserve">ürger </w:t>
            </w:r>
            <w:r>
              <w:rPr>
                <w:sz w:val="20"/>
                <w:szCs w:val="20"/>
              </w:rPr>
              <w:t xml:space="preserve">dem chinesischen Kaiserreich </w:t>
            </w:r>
            <w:r w:rsidRPr="00BE3728">
              <w:rPr>
                <w:sz w:val="20"/>
                <w:szCs w:val="20"/>
              </w:rPr>
              <w:t xml:space="preserve">angehörten. Dennoch </w:t>
            </w:r>
            <w:r>
              <w:rPr>
                <w:sz w:val="20"/>
                <w:szCs w:val="20"/>
              </w:rPr>
              <w:t>war</w:t>
            </w:r>
            <w:r w:rsidRPr="00BE3728">
              <w:rPr>
                <w:sz w:val="20"/>
                <w:szCs w:val="20"/>
              </w:rPr>
              <w:t xml:space="preserve"> der Kläger bei der Rückkehr in die Vereinigten Staaten inhaftiert</w:t>
            </w:r>
            <w:r>
              <w:rPr>
                <w:sz w:val="20"/>
                <w:szCs w:val="20"/>
              </w:rPr>
              <w:t xml:space="preserve"> worden</w:t>
            </w:r>
            <w:r w:rsidRPr="00BE3728">
              <w:rPr>
                <w:sz w:val="20"/>
                <w:szCs w:val="20"/>
              </w:rPr>
              <w:t xml:space="preserve">. Er meinte, die Grenzbehörden hätten ihn wegen des </w:t>
            </w:r>
            <w:r w:rsidRPr="5B67C1D2">
              <w:rPr>
                <w:i/>
                <w:iCs/>
                <w:sz w:val="20"/>
                <w:szCs w:val="20"/>
              </w:rPr>
              <w:t xml:space="preserve">Chinese </w:t>
            </w:r>
            <w:proofErr w:type="spellStart"/>
            <w:r w:rsidRPr="5B67C1D2">
              <w:rPr>
                <w:i/>
                <w:iCs/>
                <w:sz w:val="20"/>
                <w:szCs w:val="20"/>
              </w:rPr>
              <w:t>Exclusion</w:t>
            </w:r>
            <w:proofErr w:type="spellEnd"/>
            <w:r w:rsidRPr="5B67C1D2">
              <w:rPr>
                <w:i/>
                <w:iCs/>
                <w:sz w:val="20"/>
                <w:szCs w:val="20"/>
              </w:rPr>
              <w:t xml:space="preserve"> Act</w:t>
            </w:r>
            <w:r w:rsidRPr="00BE3728">
              <w:rPr>
                <w:rStyle w:val="Funotenzeichen"/>
                <w:sz w:val="20"/>
                <w:szCs w:val="20"/>
              </w:rPr>
              <w:footnoteReference w:id="544"/>
            </w:r>
            <w:r w:rsidRPr="00BE3728">
              <w:rPr>
                <w:sz w:val="20"/>
                <w:szCs w:val="20"/>
              </w:rPr>
              <w:t xml:space="preserve"> inhaftiert. Der Kläger behauptete, er sei ein US-Bürger chinesischer Abstammung</w:t>
            </w:r>
            <w:r>
              <w:rPr>
                <w:sz w:val="20"/>
                <w:szCs w:val="20"/>
              </w:rPr>
              <w:t xml:space="preserve"> und</w:t>
            </w:r>
            <w:r w:rsidRPr="00BE3728">
              <w:rPr>
                <w:sz w:val="20"/>
                <w:szCs w:val="20"/>
              </w:rPr>
              <w:t xml:space="preserve"> gehöre </w:t>
            </w:r>
            <w:r>
              <w:rPr>
                <w:sz w:val="20"/>
                <w:szCs w:val="20"/>
              </w:rPr>
              <w:t xml:space="preserve">damit </w:t>
            </w:r>
            <w:r w:rsidRPr="00BE3728">
              <w:rPr>
                <w:sz w:val="20"/>
                <w:szCs w:val="20"/>
              </w:rPr>
              <w:t xml:space="preserve">nicht zu den im </w:t>
            </w:r>
            <w:r w:rsidRPr="5B67C1D2">
              <w:rPr>
                <w:i/>
                <w:iCs/>
                <w:sz w:val="20"/>
                <w:szCs w:val="20"/>
              </w:rPr>
              <w:t xml:space="preserve">Chinese </w:t>
            </w:r>
            <w:proofErr w:type="spellStart"/>
            <w:r w:rsidRPr="5B67C1D2">
              <w:rPr>
                <w:i/>
                <w:iCs/>
                <w:sz w:val="20"/>
                <w:szCs w:val="20"/>
              </w:rPr>
              <w:t>Exclusion</w:t>
            </w:r>
            <w:proofErr w:type="spellEnd"/>
            <w:r w:rsidRPr="5B67C1D2">
              <w:rPr>
                <w:i/>
                <w:iCs/>
                <w:sz w:val="20"/>
                <w:szCs w:val="20"/>
              </w:rPr>
              <w:t xml:space="preserve"> Act</w:t>
            </w:r>
            <w:r w:rsidRPr="00BE3728">
              <w:rPr>
                <w:sz w:val="20"/>
                <w:szCs w:val="20"/>
              </w:rPr>
              <w:t xml:space="preserve"> genannten Regelbeispielen. Die Beklagten stimmten zu,</w:t>
            </w:r>
            <w:r>
              <w:rPr>
                <w:sz w:val="20"/>
                <w:szCs w:val="20"/>
              </w:rPr>
              <w:t xml:space="preserve"> dass</w:t>
            </w:r>
            <w:r w:rsidRPr="00BE3728">
              <w:rPr>
                <w:sz w:val="20"/>
                <w:szCs w:val="20"/>
              </w:rPr>
              <w:t xml:space="preserve"> der </w:t>
            </w:r>
            <w:r w:rsidRPr="5B67C1D2">
              <w:rPr>
                <w:i/>
                <w:iCs/>
                <w:sz w:val="20"/>
                <w:szCs w:val="20"/>
              </w:rPr>
              <w:t>Act</w:t>
            </w:r>
            <w:r w:rsidRPr="00BE3728">
              <w:rPr>
                <w:sz w:val="20"/>
                <w:szCs w:val="20"/>
              </w:rPr>
              <w:t xml:space="preserve"> nicht</w:t>
            </w:r>
            <w:r>
              <w:rPr>
                <w:sz w:val="20"/>
                <w:szCs w:val="20"/>
              </w:rPr>
              <w:t xml:space="preserve"> </w:t>
            </w:r>
            <w:r w:rsidRPr="00BE3728">
              <w:rPr>
                <w:sz w:val="20"/>
                <w:szCs w:val="20"/>
              </w:rPr>
              <w:t xml:space="preserve">gelte, wenn er US-Bürger sei. </w:t>
            </w:r>
            <w:r>
              <w:rPr>
                <w:sz w:val="20"/>
                <w:szCs w:val="20"/>
              </w:rPr>
              <w:t>Dies habe</w:t>
            </w:r>
            <w:r w:rsidRPr="00BE3728">
              <w:rPr>
                <w:sz w:val="20"/>
                <w:szCs w:val="20"/>
              </w:rPr>
              <w:t xml:space="preserve"> aber der </w:t>
            </w:r>
            <w:r>
              <w:rPr>
                <w:sz w:val="20"/>
                <w:szCs w:val="20"/>
              </w:rPr>
              <w:t>U.S. Supreme Court</w:t>
            </w:r>
            <w:r w:rsidRPr="00BE3728">
              <w:rPr>
                <w:sz w:val="20"/>
                <w:szCs w:val="20"/>
              </w:rPr>
              <w:t xml:space="preserve"> zu entscheiden. Der </w:t>
            </w:r>
            <w:r>
              <w:rPr>
                <w:sz w:val="20"/>
                <w:szCs w:val="20"/>
              </w:rPr>
              <w:t>U.S. Supreme Court</w:t>
            </w:r>
            <w:r w:rsidRPr="00BE3728">
              <w:rPr>
                <w:sz w:val="20"/>
                <w:szCs w:val="20"/>
              </w:rPr>
              <w:t xml:space="preserve"> entschied: </w:t>
            </w:r>
            <w:r>
              <w:rPr>
                <w:sz w:val="20"/>
                <w:szCs w:val="20"/>
              </w:rPr>
              <w:t>D</w:t>
            </w:r>
            <w:r w:rsidRPr="00BE3728">
              <w:rPr>
                <w:sz w:val="20"/>
                <w:szCs w:val="20"/>
              </w:rPr>
              <w:t>ie Geburt in den Vereinigten Staaten begründe</w:t>
            </w:r>
            <w:r>
              <w:rPr>
                <w:sz w:val="20"/>
                <w:szCs w:val="20"/>
              </w:rPr>
              <w:t>t</w:t>
            </w:r>
            <w:r w:rsidRPr="00BE3728">
              <w:rPr>
                <w:sz w:val="20"/>
                <w:szCs w:val="20"/>
              </w:rPr>
              <w:t xml:space="preserve"> die Staatsbürgerschaft.</w:t>
            </w:r>
            <w:r w:rsidRPr="00BE3728">
              <w:rPr>
                <w:rStyle w:val="Funotenzeichen"/>
                <w:sz w:val="20"/>
                <w:szCs w:val="20"/>
              </w:rPr>
              <w:footnoteReference w:id="545"/>
            </w:r>
          </w:p>
        </w:tc>
        <w:tc>
          <w:tcPr>
            <w:tcW w:w="1822" w:type="pct"/>
          </w:tcPr>
          <w:p w14:paraId="261B277E"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Substantive Due Process › Citizenship</w:t>
            </w:r>
          </w:p>
          <w:p w14:paraId="7AC6CC89" w14:textId="77777777" w:rsidR="00074551" w:rsidRPr="00BE3728" w:rsidRDefault="00074551" w:rsidP="00367133">
            <w:pPr>
              <w:jc w:val="both"/>
              <w:rPr>
                <w:sz w:val="20"/>
                <w:szCs w:val="20"/>
                <w:lang w:val="en-US"/>
              </w:rPr>
            </w:pPr>
          </w:p>
          <w:p w14:paraId="37A193B7" w14:textId="2A7B8EC5" w:rsidR="00074551" w:rsidRDefault="00023A37" w:rsidP="00367133">
            <w:pPr>
              <w:jc w:val="both"/>
              <w:rPr>
                <w:sz w:val="20"/>
                <w:szCs w:val="20"/>
              </w:rPr>
            </w:pPr>
            <w:r>
              <w:rPr>
                <w:sz w:val="20"/>
                <w:szCs w:val="20"/>
              </w:rPr>
              <w:t xml:space="preserve">U.S. </w:t>
            </w:r>
            <w:proofErr w:type="spellStart"/>
            <w:r>
              <w:rPr>
                <w:sz w:val="20"/>
                <w:szCs w:val="20"/>
              </w:rPr>
              <w:t>Const</w:t>
            </w:r>
            <w:proofErr w:type="spellEnd"/>
            <w:r>
              <w:rPr>
                <w:sz w:val="20"/>
                <w:szCs w:val="20"/>
              </w:rPr>
              <w:t xml:space="preserve">. </w:t>
            </w:r>
            <w:proofErr w:type="spellStart"/>
            <w:r>
              <w:rPr>
                <w:sz w:val="20"/>
                <w:szCs w:val="20"/>
              </w:rPr>
              <w:t>amend</w:t>
            </w:r>
            <w:proofErr w:type="spellEnd"/>
            <w:r>
              <w:rPr>
                <w:sz w:val="20"/>
                <w:szCs w:val="20"/>
              </w:rPr>
              <w:t>. XIV</w:t>
            </w:r>
            <w:r w:rsidR="00074551" w:rsidRPr="00BE3728">
              <w:rPr>
                <w:sz w:val="20"/>
                <w:szCs w:val="20"/>
              </w:rPr>
              <w:t xml:space="preserve"> legt fest, dass alle in den Vereinigten Staaten geborenen oder naturalisierten Personen Bürger der Vereinigten Staaten sind. E</w:t>
            </w:r>
            <w:r w:rsidR="00074551">
              <w:rPr>
                <w:sz w:val="20"/>
                <w:szCs w:val="20"/>
              </w:rPr>
              <w:t>s</w:t>
            </w:r>
            <w:r w:rsidR="00074551" w:rsidRPr="00BE3728">
              <w:rPr>
                <w:sz w:val="20"/>
                <w:szCs w:val="20"/>
              </w:rPr>
              <w:t xml:space="preserve"> bestimm</w:t>
            </w:r>
            <w:r w:rsidR="00074551">
              <w:rPr>
                <w:sz w:val="20"/>
                <w:szCs w:val="20"/>
              </w:rPr>
              <w:t>t</w:t>
            </w:r>
            <w:r w:rsidR="00074551" w:rsidRPr="00BE3728">
              <w:rPr>
                <w:sz w:val="20"/>
                <w:szCs w:val="20"/>
              </w:rPr>
              <w:t xml:space="preserve"> auch, dass kein </w:t>
            </w:r>
            <w:r w:rsidR="00074551">
              <w:rPr>
                <w:sz w:val="20"/>
                <w:szCs w:val="20"/>
              </w:rPr>
              <w:t>Bundess</w:t>
            </w:r>
            <w:r w:rsidR="00074551" w:rsidRPr="00BE3728">
              <w:rPr>
                <w:sz w:val="20"/>
                <w:szCs w:val="20"/>
              </w:rPr>
              <w:t xml:space="preserve">taat ein Gesetz erlassen oder durchsetzen darf, </w:t>
            </w:r>
            <w:r w:rsidR="00074551">
              <w:rPr>
                <w:sz w:val="20"/>
                <w:szCs w:val="20"/>
              </w:rPr>
              <w:t>welches</w:t>
            </w:r>
            <w:r w:rsidR="00074551" w:rsidRPr="00BE3728">
              <w:rPr>
                <w:sz w:val="20"/>
                <w:szCs w:val="20"/>
              </w:rPr>
              <w:t xml:space="preserve"> die </w:t>
            </w:r>
            <w:r w:rsidR="00074551">
              <w:rPr>
                <w:sz w:val="20"/>
                <w:szCs w:val="20"/>
              </w:rPr>
              <w:t>Vorrechte</w:t>
            </w:r>
            <w:r w:rsidR="00074551" w:rsidRPr="00BE3728">
              <w:rPr>
                <w:sz w:val="20"/>
                <w:szCs w:val="20"/>
              </w:rPr>
              <w:t xml:space="preserve"> oder Immunitäten der Bürger der Vereinigten Staaten einschränk</w:t>
            </w:r>
            <w:r w:rsidR="00074551">
              <w:rPr>
                <w:sz w:val="20"/>
                <w:szCs w:val="20"/>
              </w:rPr>
              <w:t>t</w:t>
            </w:r>
            <w:r w:rsidR="00074551" w:rsidRPr="00BE3728">
              <w:rPr>
                <w:sz w:val="20"/>
                <w:szCs w:val="20"/>
              </w:rPr>
              <w:t xml:space="preserve">. Weiterhin darf kein </w:t>
            </w:r>
            <w:r w:rsidR="00074551">
              <w:rPr>
                <w:sz w:val="20"/>
                <w:szCs w:val="20"/>
              </w:rPr>
              <w:t>Bundess</w:t>
            </w:r>
            <w:r w:rsidR="00074551" w:rsidRPr="00BE3728">
              <w:rPr>
                <w:sz w:val="20"/>
                <w:szCs w:val="20"/>
              </w:rPr>
              <w:t>taat eine Person ohne rechtsstaatliches Verfahren des Lebens, der Freiheit oder des Eigentums berauben. Er darf auch niemandem innerhalb seiner Gerichtsbarkeit den gleichen Schutz durch die Gesetze verweigern.</w:t>
            </w:r>
            <w:r w:rsidR="00074551" w:rsidRPr="00BE3728">
              <w:rPr>
                <w:rStyle w:val="Funotenzeichen"/>
                <w:sz w:val="20"/>
                <w:szCs w:val="20"/>
              </w:rPr>
              <w:footnoteReference w:id="546"/>
            </w:r>
          </w:p>
          <w:p w14:paraId="4CAC9531" w14:textId="77777777" w:rsidR="00074551" w:rsidRPr="00BE3728" w:rsidRDefault="00074551" w:rsidP="00367133">
            <w:pPr>
              <w:jc w:val="both"/>
              <w:rPr>
                <w:sz w:val="20"/>
                <w:szCs w:val="20"/>
              </w:rPr>
            </w:pPr>
          </w:p>
          <w:p w14:paraId="13E45E1B" w14:textId="216F20BD" w:rsidR="00074551" w:rsidRPr="00B45592" w:rsidRDefault="00074551" w:rsidP="5B67C1D2">
            <w:pPr>
              <w:spacing w:line="259" w:lineRule="auto"/>
              <w:jc w:val="both"/>
              <w:rPr>
                <w:sz w:val="20"/>
                <w:szCs w:val="20"/>
              </w:rPr>
            </w:pPr>
            <w:r w:rsidRPr="00BE3728">
              <w:rPr>
                <w:sz w:val="20"/>
                <w:szCs w:val="20"/>
              </w:rPr>
              <w:t xml:space="preserve">Zwar meinte der Dissens,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schließe Kinder </w:t>
            </w:r>
            <w:r>
              <w:rPr>
                <w:sz w:val="20"/>
                <w:szCs w:val="20"/>
              </w:rPr>
              <w:t>in die</w:t>
            </w:r>
            <w:r w:rsidRPr="00BE3728">
              <w:rPr>
                <w:sz w:val="20"/>
                <w:szCs w:val="20"/>
              </w:rPr>
              <w:t xml:space="preserve"> Staatsbürgerschaft durch Geburt ein, soweit </w:t>
            </w:r>
            <w:r>
              <w:rPr>
                <w:sz w:val="20"/>
                <w:szCs w:val="20"/>
              </w:rPr>
              <w:t>deren</w:t>
            </w:r>
            <w:r w:rsidRPr="00BE3728">
              <w:rPr>
                <w:sz w:val="20"/>
                <w:szCs w:val="20"/>
              </w:rPr>
              <w:t xml:space="preserve"> </w:t>
            </w:r>
            <w:r>
              <w:rPr>
                <w:sz w:val="20"/>
                <w:szCs w:val="20"/>
              </w:rPr>
              <w:t xml:space="preserve">Eltern </w:t>
            </w:r>
            <w:r w:rsidRPr="00BE3728">
              <w:rPr>
                <w:sz w:val="20"/>
                <w:szCs w:val="20"/>
              </w:rPr>
              <w:t xml:space="preserve">dauerhaft in den Vereinigten Staaten ansässig </w:t>
            </w:r>
            <w:r>
              <w:rPr>
                <w:sz w:val="20"/>
                <w:szCs w:val="20"/>
              </w:rPr>
              <w:t>seien</w:t>
            </w:r>
            <w:r w:rsidRPr="00BE3728">
              <w:rPr>
                <w:sz w:val="20"/>
                <w:szCs w:val="20"/>
              </w:rPr>
              <w:t xml:space="preserve"> und diese Eltern auch selbst Bürger werden könnten. Andererseits mache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aber nicht willkürlich Kinder zu Bürgern: D.h. Kinder werden keine Staatsbürger, </w:t>
            </w:r>
            <w:r w:rsidR="608678B6" w:rsidRPr="5B67C1D2">
              <w:rPr>
                <w:sz w:val="20"/>
                <w:szCs w:val="20"/>
              </w:rPr>
              <w:t>wenn</w:t>
            </w:r>
            <w:r w:rsidRPr="5B67C1D2">
              <w:rPr>
                <w:sz w:val="20"/>
                <w:szCs w:val="20"/>
              </w:rPr>
              <w:t xml:space="preserve"> sie von Eltern in den Vereinigten Staaten geboren werden, w</w:t>
            </w:r>
            <w:r w:rsidR="40E05671" w:rsidRPr="5B67C1D2">
              <w:rPr>
                <w:sz w:val="20"/>
                <w:szCs w:val="20"/>
              </w:rPr>
              <w:t>obei</w:t>
            </w:r>
            <w:r w:rsidRPr="5B67C1D2">
              <w:rPr>
                <w:sz w:val="20"/>
                <w:szCs w:val="20"/>
              </w:rPr>
              <w:t xml:space="preserve"> die Eltern aber selbst Staatsbürger einer anderen Nation bleiben – nach dem Willen ihrer Regierung und der Regierung der Vereinigten Staaten. Trotz dieser zur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5B67C1D2">
              <w:rPr>
                <w:sz w:val="20"/>
                <w:szCs w:val="20"/>
              </w:rPr>
              <w:t xml:space="preserve"> konterkarierenden Meinung erklärt der Dissens die normative Herkunft der Staatsbürgerschaft: Die U.S. </w:t>
            </w:r>
            <w:proofErr w:type="spellStart"/>
            <w:r w:rsidRPr="5B67C1D2">
              <w:rPr>
                <w:sz w:val="20"/>
                <w:szCs w:val="20"/>
              </w:rPr>
              <w:t>Const</w:t>
            </w:r>
            <w:proofErr w:type="spellEnd"/>
            <w:r w:rsidRPr="5B67C1D2">
              <w:rPr>
                <w:sz w:val="20"/>
                <w:szCs w:val="20"/>
              </w:rPr>
              <w:t xml:space="preserve">. </w:t>
            </w:r>
            <w:proofErr w:type="gramStart"/>
            <w:r w:rsidRPr="5B67C1D2">
              <w:rPr>
                <w:sz w:val="20"/>
                <w:szCs w:val="20"/>
              </w:rPr>
              <w:t>habe</w:t>
            </w:r>
            <w:proofErr w:type="gramEnd"/>
            <w:r w:rsidRPr="5B67C1D2">
              <w:rPr>
                <w:sz w:val="20"/>
                <w:szCs w:val="20"/>
              </w:rPr>
              <w:t xml:space="preserve"> nicht versucht, den Begriffe Bürger (</w:t>
            </w:r>
            <w:proofErr w:type="gramStart"/>
            <w:r w:rsidRPr="5B67C1D2">
              <w:rPr>
                <w:sz w:val="20"/>
                <w:szCs w:val="20"/>
              </w:rPr>
              <w:t>„,</w:t>
            </w:r>
            <w:proofErr w:type="spellStart"/>
            <w:r w:rsidRPr="5B67C1D2">
              <w:rPr>
                <w:sz w:val="20"/>
                <w:szCs w:val="20"/>
              </w:rPr>
              <w:t>citizens</w:t>
            </w:r>
            <w:proofErr w:type="spellEnd"/>
            <w:proofErr w:type="gramEnd"/>
            <w:r w:rsidRPr="5B67C1D2">
              <w:rPr>
                <w:sz w:val="20"/>
                <w:szCs w:val="20"/>
              </w:rPr>
              <w:t xml:space="preserve"> of the United States‘ </w:t>
            </w:r>
            <w:proofErr w:type="gramStart"/>
            <w:r w:rsidRPr="5B67C1D2">
              <w:rPr>
                <w:sz w:val="20"/>
                <w:szCs w:val="20"/>
              </w:rPr>
              <w:t>and ,natural</w:t>
            </w:r>
            <w:proofErr w:type="gramEnd"/>
            <w:r w:rsidRPr="5B67C1D2">
              <w:rPr>
                <w:sz w:val="20"/>
                <w:szCs w:val="20"/>
              </w:rPr>
              <w:t xml:space="preserve">-born </w:t>
            </w:r>
            <w:proofErr w:type="spellStart"/>
            <w:r w:rsidRPr="5B67C1D2">
              <w:rPr>
                <w:sz w:val="20"/>
                <w:szCs w:val="20"/>
              </w:rPr>
              <w:t>citizen</w:t>
            </w:r>
            <w:proofErr w:type="spellEnd"/>
            <w:r w:rsidRPr="5B67C1D2">
              <w:rPr>
                <w:sz w:val="20"/>
                <w:szCs w:val="20"/>
              </w:rPr>
              <w:t xml:space="preserve">‘“) zu definieren. Daher beruhe die Doktrin auf den englischen Common-Law-Regeln.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fasse diese zusammen und bleibe daher deklarativ. Und was besagt diese Doktrin? Einerseits sei der Geburtsort das Kriterium der Staatsangehörigkeit. Andererseits bestehe die Vermutung, die Staatsbürgerschaft sei unauslöschlich. Aber hier habe sich die Doktrin auch entwickelt, sodass die Kommission zur Staatsbürgerschaft</w:t>
            </w:r>
            <w:r w:rsidR="599E9069" w:rsidRPr="5B67C1D2">
              <w:rPr>
                <w:sz w:val="20"/>
                <w:szCs w:val="20"/>
              </w:rPr>
              <w:t xml:space="preserve"> die Möglichkeit empfahl die Staatsbürgerschaft abzulegen</w:t>
            </w:r>
            <w:r w:rsidRPr="5B67C1D2">
              <w:rPr>
                <w:sz w:val="20"/>
                <w:szCs w:val="20"/>
              </w:rPr>
              <w:t>.</w:t>
            </w:r>
            <w:r w:rsidRPr="5B67C1D2">
              <w:rPr>
                <w:rStyle w:val="Funotenzeichen"/>
                <w:sz w:val="20"/>
                <w:szCs w:val="20"/>
              </w:rPr>
              <w:footnoteReference w:id="547"/>
            </w:r>
            <w:r w:rsidRPr="5B67C1D2">
              <w:rPr>
                <w:sz w:val="20"/>
                <w:szCs w:val="20"/>
              </w:rPr>
              <w:t xml:space="preserve"> Denn </w:t>
            </w:r>
            <w:r w:rsidR="74497FB5" w:rsidRPr="5B67C1D2">
              <w:rPr>
                <w:sz w:val="20"/>
                <w:szCs w:val="20"/>
              </w:rPr>
              <w:t>die anderslautende Doktrin</w:t>
            </w:r>
            <w:r w:rsidRPr="5B67C1D2">
              <w:rPr>
                <w:sz w:val="20"/>
                <w:szCs w:val="20"/>
              </w:rPr>
              <w:t xml:space="preserve"> stehe mit genannter Vermutung im Widerspruch zu den fundamentalen Staatsprinzipien („</w:t>
            </w:r>
            <w:proofErr w:type="spellStart"/>
            <w:r w:rsidRPr="5B67C1D2">
              <w:rPr>
                <w:sz w:val="20"/>
                <w:szCs w:val="20"/>
              </w:rPr>
              <w:t>principles</w:t>
            </w:r>
            <w:proofErr w:type="spellEnd"/>
            <w:r w:rsidRPr="5B67C1D2">
              <w:rPr>
                <w:sz w:val="20"/>
                <w:szCs w:val="20"/>
              </w:rPr>
              <w:t xml:space="preserve"> on </w:t>
            </w:r>
            <w:proofErr w:type="spellStart"/>
            <w:r w:rsidRPr="5B67C1D2">
              <w:rPr>
                <w:sz w:val="20"/>
                <w:szCs w:val="20"/>
              </w:rPr>
              <w:t>which</w:t>
            </w:r>
            <w:proofErr w:type="spellEnd"/>
            <w:r w:rsidRPr="5B67C1D2">
              <w:rPr>
                <w:sz w:val="20"/>
                <w:szCs w:val="20"/>
              </w:rPr>
              <w:t xml:space="preserve"> the </w:t>
            </w:r>
            <w:proofErr w:type="spellStart"/>
            <w:r w:rsidRPr="5B67C1D2">
              <w:rPr>
                <w:sz w:val="20"/>
                <w:szCs w:val="20"/>
              </w:rPr>
              <w:t>rights</w:t>
            </w:r>
            <w:proofErr w:type="spellEnd"/>
            <w:r w:rsidRPr="5B67C1D2">
              <w:rPr>
                <w:sz w:val="20"/>
                <w:szCs w:val="20"/>
              </w:rPr>
              <w:t xml:space="preserve"> and </w:t>
            </w:r>
            <w:proofErr w:type="spellStart"/>
            <w:r w:rsidRPr="5B67C1D2">
              <w:rPr>
                <w:sz w:val="20"/>
                <w:szCs w:val="20"/>
              </w:rPr>
              <w:t>duties</w:t>
            </w:r>
            <w:proofErr w:type="spellEnd"/>
            <w:r w:rsidRPr="5B67C1D2">
              <w:rPr>
                <w:sz w:val="20"/>
                <w:szCs w:val="20"/>
              </w:rPr>
              <w:t xml:space="preserve"> of a </w:t>
            </w:r>
            <w:proofErr w:type="spellStart"/>
            <w:r w:rsidRPr="5B67C1D2">
              <w:rPr>
                <w:sz w:val="20"/>
                <w:szCs w:val="20"/>
              </w:rPr>
              <w:t>subject</w:t>
            </w:r>
            <w:proofErr w:type="spellEnd"/>
            <w:r w:rsidRPr="5B67C1D2">
              <w:rPr>
                <w:sz w:val="20"/>
                <w:szCs w:val="20"/>
              </w:rPr>
              <w:t xml:space="preserve"> </w:t>
            </w:r>
            <w:proofErr w:type="spellStart"/>
            <w:r w:rsidRPr="5B67C1D2">
              <w:rPr>
                <w:sz w:val="20"/>
                <w:szCs w:val="20"/>
              </w:rPr>
              <w:t>should</w:t>
            </w:r>
            <w:proofErr w:type="spellEnd"/>
            <w:r w:rsidRPr="5B67C1D2">
              <w:rPr>
                <w:sz w:val="20"/>
                <w:szCs w:val="20"/>
              </w:rPr>
              <w:t xml:space="preserve"> </w:t>
            </w:r>
            <w:proofErr w:type="spellStart"/>
            <w:r w:rsidRPr="5B67C1D2">
              <w:rPr>
                <w:sz w:val="20"/>
                <w:szCs w:val="20"/>
              </w:rPr>
              <w:t>be</w:t>
            </w:r>
            <w:proofErr w:type="spellEnd"/>
            <w:r w:rsidRPr="5B67C1D2">
              <w:rPr>
                <w:sz w:val="20"/>
                <w:szCs w:val="20"/>
              </w:rPr>
              <w:t xml:space="preserve"> </w:t>
            </w:r>
            <w:proofErr w:type="spellStart"/>
            <w:r w:rsidRPr="5B67C1D2">
              <w:rPr>
                <w:sz w:val="20"/>
                <w:szCs w:val="20"/>
              </w:rPr>
              <w:t>deemed</w:t>
            </w:r>
            <w:proofErr w:type="spellEnd"/>
            <w:r w:rsidRPr="5B67C1D2">
              <w:rPr>
                <w:sz w:val="20"/>
                <w:szCs w:val="20"/>
              </w:rPr>
              <w:t xml:space="preserve"> to </w:t>
            </w:r>
            <w:proofErr w:type="spellStart"/>
            <w:r w:rsidRPr="5B67C1D2">
              <w:rPr>
                <w:sz w:val="20"/>
                <w:szCs w:val="20"/>
              </w:rPr>
              <w:t>rest</w:t>
            </w:r>
            <w:proofErr w:type="spellEnd"/>
            <w:r w:rsidRPr="5B67C1D2">
              <w:rPr>
                <w:sz w:val="20"/>
                <w:szCs w:val="20"/>
              </w:rPr>
              <w:t>“</w:t>
            </w:r>
            <w:r w:rsidRPr="5B67C1D2">
              <w:rPr>
                <w:rStyle w:val="Funotenzeichen"/>
                <w:sz w:val="20"/>
                <w:szCs w:val="20"/>
              </w:rPr>
              <w:footnoteReference w:id="548"/>
            </w:r>
            <w:r w:rsidRPr="5B67C1D2">
              <w:rPr>
                <w:sz w:val="20"/>
                <w:szCs w:val="20"/>
              </w:rPr>
              <w:t>); sie kollidiere mit der Handlungsfreiheit, die am förderlichsten für das Gemeinwohl sowie für das individuelle Glück und Wohlstand anerkannt werde („</w:t>
            </w:r>
            <w:proofErr w:type="spellStart"/>
            <w:r w:rsidRPr="5B67C1D2">
              <w:rPr>
                <w:sz w:val="20"/>
                <w:szCs w:val="20"/>
              </w:rPr>
              <w:t>freedom</w:t>
            </w:r>
            <w:proofErr w:type="spellEnd"/>
            <w:r w:rsidRPr="5B67C1D2">
              <w:rPr>
                <w:sz w:val="20"/>
                <w:szCs w:val="20"/>
              </w:rPr>
              <w:t xml:space="preserve"> of </w:t>
            </w:r>
            <w:proofErr w:type="spellStart"/>
            <w:r w:rsidRPr="5B67C1D2">
              <w:rPr>
                <w:sz w:val="20"/>
                <w:szCs w:val="20"/>
              </w:rPr>
              <w:t>action</w:t>
            </w:r>
            <w:proofErr w:type="spellEnd"/>
            <w:r w:rsidRPr="5B67C1D2">
              <w:rPr>
                <w:sz w:val="20"/>
                <w:szCs w:val="20"/>
              </w:rPr>
              <w:t xml:space="preserve"> </w:t>
            </w:r>
            <w:proofErr w:type="spellStart"/>
            <w:r w:rsidRPr="5B67C1D2">
              <w:rPr>
                <w:sz w:val="20"/>
                <w:szCs w:val="20"/>
              </w:rPr>
              <w:t>which</w:t>
            </w:r>
            <w:proofErr w:type="spellEnd"/>
            <w:r w:rsidRPr="5B67C1D2">
              <w:rPr>
                <w:sz w:val="20"/>
                <w:szCs w:val="20"/>
              </w:rPr>
              <w:t xml:space="preserve"> </w:t>
            </w:r>
            <w:proofErr w:type="spellStart"/>
            <w:r w:rsidRPr="5B67C1D2">
              <w:rPr>
                <w:sz w:val="20"/>
                <w:szCs w:val="20"/>
              </w:rPr>
              <w:t>is</w:t>
            </w:r>
            <w:proofErr w:type="spellEnd"/>
            <w:r w:rsidRPr="5B67C1D2">
              <w:rPr>
                <w:sz w:val="20"/>
                <w:szCs w:val="20"/>
              </w:rPr>
              <w:t xml:space="preserve"> </w:t>
            </w:r>
            <w:proofErr w:type="spellStart"/>
            <w:r w:rsidRPr="5B67C1D2">
              <w:rPr>
                <w:sz w:val="20"/>
                <w:szCs w:val="20"/>
              </w:rPr>
              <w:t>now</w:t>
            </w:r>
            <w:proofErr w:type="spellEnd"/>
            <w:r w:rsidRPr="5B67C1D2">
              <w:rPr>
                <w:sz w:val="20"/>
                <w:szCs w:val="20"/>
              </w:rPr>
              <w:t xml:space="preserve"> </w:t>
            </w:r>
            <w:proofErr w:type="spellStart"/>
            <w:r w:rsidRPr="5B67C1D2">
              <w:rPr>
                <w:sz w:val="20"/>
                <w:szCs w:val="20"/>
              </w:rPr>
              <w:t>recognized</w:t>
            </w:r>
            <w:proofErr w:type="spellEnd"/>
            <w:r w:rsidRPr="5B67C1D2">
              <w:rPr>
                <w:sz w:val="20"/>
                <w:szCs w:val="20"/>
              </w:rPr>
              <w:t xml:space="preserve"> as </w:t>
            </w:r>
            <w:proofErr w:type="spellStart"/>
            <w:r w:rsidRPr="5B67C1D2">
              <w:rPr>
                <w:sz w:val="20"/>
                <w:szCs w:val="20"/>
              </w:rPr>
              <w:t>most</w:t>
            </w:r>
            <w:proofErr w:type="spellEnd"/>
            <w:r w:rsidRPr="5B67C1D2">
              <w:rPr>
                <w:sz w:val="20"/>
                <w:szCs w:val="20"/>
              </w:rPr>
              <w:t xml:space="preserve"> </w:t>
            </w:r>
            <w:proofErr w:type="spellStart"/>
            <w:r w:rsidRPr="5B67C1D2">
              <w:rPr>
                <w:sz w:val="20"/>
                <w:szCs w:val="20"/>
              </w:rPr>
              <w:t>conducive</w:t>
            </w:r>
            <w:proofErr w:type="spellEnd"/>
            <w:r w:rsidRPr="5B67C1D2">
              <w:rPr>
                <w:sz w:val="20"/>
                <w:szCs w:val="20"/>
              </w:rPr>
              <w:t xml:space="preserve"> to the </w:t>
            </w:r>
            <w:proofErr w:type="spellStart"/>
            <w:r w:rsidRPr="5B67C1D2">
              <w:rPr>
                <w:sz w:val="20"/>
                <w:szCs w:val="20"/>
              </w:rPr>
              <w:t>general</w:t>
            </w:r>
            <w:proofErr w:type="spellEnd"/>
            <w:r w:rsidRPr="5B67C1D2">
              <w:rPr>
                <w:sz w:val="20"/>
                <w:szCs w:val="20"/>
              </w:rPr>
              <w:t xml:space="preserve"> </w:t>
            </w:r>
            <w:proofErr w:type="spellStart"/>
            <w:r w:rsidRPr="5B67C1D2">
              <w:rPr>
                <w:sz w:val="20"/>
                <w:szCs w:val="20"/>
              </w:rPr>
              <w:t>good</w:t>
            </w:r>
            <w:proofErr w:type="spellEnd"/>
            <w:r w:rsidRPr="5B67C1D2">
              <w:rPr>
                <w:sz w:val="20"/>
                <w:szCs w:val="20"/>
              </w:rPr>
              <w:t xml:space="preserve"> as </w:t>
            </w:r>
            <w:proofErr w:type="spellStart"/>
            <w:r w:rsidRPr="5B67C1D2">
              <w:rPr>
                <w:sz w:val="20"/>
                <w:szCs w:val="20"/>
              </w:rPr>
              <w:t>well</w:t>
            </w:r>
            <w:proofErr w:type="spellEnd"/>
            <w:r w:rsidRPr="5B67C1D2">
              <w:rPr>
                <w:sz w:val="20"/>
                <w:szCs w:val="20"/>
              </w:rPr>
              <w:t xml:space="preserve"> as to individual </w:t>
            </w:r>
            <w:proofErr w:type="spellStart"/>
            <w:r w:rsidRPr="5B67C1D2">
              <w:rPr>
                <w:sz w:val="20"/>
                <w:szCs w:val="20"/>
              </w:rPr>
              <w:t>happiness</w:t>
            </w:r>
            <w:proofErr w:type="spellEnd"/>
            <w:r w:rsidRPr="5B67C1D2">
              <w:rPr>
                <w:sz w:val="20"/>
                <w:szCs w:val="20"/>
              </w:rPr>
              <w:t xml:space="preserve"> and </w:t>
            </w:r>
            <w:proofErr w:type="spellStart"/>
            <w:r w:rsidRPr="5B67C1D2">
              <w:rPr>
                <w:sz w:val="20"/>
                <w:szCs w:val="20"/>
              </w:rPr>
              <w:lastRenderedPageBreak/>
              <w:t>prosperity</w:t>
            </w:r>
            <w:proofErr w:type="spellEnd"/>
            <w:r w:rsidRPr="5B67C1D2">
              <w:rPr>
                <w:sz w:val="20"/>
                <w:szCs w:val="20"/>
              </w:rPr>
              <w:t>“</w:t>
            </w:r>
            <w:r w:rsidRPr="5B67C1D2">
              <w:rPr>
                <w:rStyle w:val="Funotenzeichen"/>
                <w:sz w:val="20"/>
                <w:szCs w:val="20"/>
              </w:rPr>
              <w:footnoteReference w:id="549"/>
            </w:r>
            <w:r w:rsidRPr="5B67C1D2">
              <w:rPr>
                <w:sz w:val="20"/>
                <w:szCs w:val="20"/>
              </w:rPr>
              <w:t>). Daher müsse die Doktrin auch die absolute Freiheit zur Auswanderung gewähren.</w:t>
            </w:r>
          </w:p>
        </w:tc>
      </w:tr>
      <w:tr w:rsidR="00074551" w:rsidRPr="00E50B51" w14:paraId="73ABDB42" w14:textId="77777777" w:rsidTr="00BE689F">
        <w:trPr>
          <w:cantSplit/>
          <w:trHeight w:val="3175"/>
        </w:trPr>
        <w:tc>
          <w:tcPr>
            <w:tcW w:w="293" w:type="pct"/>
          </w:tcPr>
          <w:p w14:paraId="498DCCE9" w14:textId="77777777" w:rsidR="00074551" w:rsidRPr="00E50B51" w:rsidRDefault="00074551" w:rsidP="00367133">
            <w:pPr>
              <w:jc w:val="center"/>
              <w:rPr>
                <w:sz w:val="20"/>
                <w:szCs w:val="20"/>
              </w:rPr>
            </w:pPr>
            <w:r w:rsidRPr="00BE3728">
              <w:rPr>
                <w:sz w:val="20"/>
                <w:szCs w:val="20"/>
                <w:lang w:val="en-US"/>
              </w:rPr>
              <w:lastRenderedPageBreak/>
              <w:t>H</w:t>
            </w:r>
          </w:p>
        </w:tc>
        <w:tc>
          <w:tcPr>
            <w:tcW w:w="387" w:type="pct"/>
            <w:textDirection w:val="tbRl"/>
            <w:vAlign w:val="center"/>
          </w:tcPr>
          <w:p w14:paraId="5FFAE7D3" w14:textId="77777777" w:rsidR="00074551" w:rsidRPr="00B45592" w:rsidRDefault="00074551" w:rsidP="00367133">
            <w:pPr>
              <w:ind w:left="113" w:right="113"/>
              <w:jc w:val="both"/>
              <w:rPr>
                <w:i/>
                <w:sz w:val="20"/>
                <w:szCs w:val="20"/>
                <w:lang w:val="en-US"/>
              </w:rPr>
            </w:pPr>
            <w:r w:rsidRPr="00B45592">
              <w:rPr>
                <w:i/>
                <w:sz w:val="20"/>
                <w:szCs w:val="20"/>
                <w:lang w:val="en-US"/>
              </w:rPr>
              <w:t>McDonald v. City of Chicago</w:t>
            </w:r>
          </w:p>
        </w:tc>
        <w:tc>
          <w:tcPr>
            <w:tcW w:w="197" w:type="pct"/>
            <w:textDirection w:val="tbRl"/>
            <w:vAlign w:val="center"/>
          </w:tcPr>
          <w:p w14:paraId="379C7A0C" w14:textId="77777777" w:rsidR="00074551" w:rsidRPr="00E50B51" w:rsidRDefault="00074551" w:rsidP="00367133">
            <w:pPr>
              <w:ind w:left="113" w:right="113"/>
              <w:jc w:val="both"/>
              <w:rPr>
                <w:sz w:val="20"/>
                <w:szCs w:val="20"/>
                <w:lang w:val="en-US"/>
              </w:rPr>
            </w:pPr>
            <w:r w:rsidRPr="00BE3728">
              <w:rPr>
                <w:sz w:val="20"/>
                <w:szCs w:val="20"/>
              </w:rPr>
              <w:t>561 U.S. 742</w:t>
            </w:r>
          </w:p>
        </w:tc>
        <w:tc>
          <w:tcPr>
            <w:tcW w:w="306" w:type="pct"/>
            <w:textDirection w:val="tbRl"/>
            <w:vAlign w:val="center"/>
          </w:tcPr>
          <w:p w14:paraId="0902E386" w14:textId="77777777" w:rsidR="00074551" w:rsidRPr="00E50B51" w:rsidRDefault="00074551" w:rsidP="00367133">
            <w:pPr>
              <w:ind w:left="113" w:right="113"/>
              <w:jc w:val="both"/>
              <w:rPr>
                <w:sz w:val="20"/>
                <w:szCs w:val="20"/>
              </w:rPr>
            </w:pPr>
            <w:r w:rsidRPr="00BE3728">
              <w:rPr>
                <w:sz w:val="20"/>
                <w:szCs w:val="20"/>
              </w:rPr>
              <w:t>28. Juni 2010</w:t>
            </w:r>
          </w:p>
        </w:tc>
        <w:tc>
          <w:tcPr>
            <w:tcW w:w="401" w:type="pct"/>
          </w:tcPr>
          <w:p w14:paraId="4EDF31E4" w14:textId="77777777" w:rsidR="00074551" w:rsidRPr="00E50B51" w:rsidRDefault="00074551" w:rsidP="00367133">
            <w:pPr>
              <w:jc w:val="center"/>
              <w:rPr>
                <w:sz w:val="20"/>
                <w:szCs w:val="20"/>
              </w:rPr>
            </w:pPr>
            <w:r w:rsidRPr="00BE3728">
              <w:rPr>
                <w:sz w:val="20"/>
                <w:szCs w:val="20"/>
                <w:lang w:val="en-US"/>
              </w:rPr>
              <w:t>C</w:t>
            </w:r>
          </w:p>
        </w:tc>
        <w:tc>
          <w:tcPr>
            <w:tcW w:w="1594" w:type="pct"/>
          </w:tcPr>
          <w:p w14:paraId="6389EA18" w14:textId="0E3B849A" w:rsidR="00074551" w:rsidRPr="00BE3728" w:rsidRDefault="00074551" w:rsidP="00367133">
            <w:pPr>
              <w:jc w:val="both"/>
              <w:rPr>
                <w:sz w:val="20"/>
                <w:szCs w:val="20"/>
              </w:rPr>
            </w:pPr>
            <w:r w:rsidRPr="00BE3728">
              <w:rPr>
                <w:sz w:val="20"/>
                <w:szCs w:val="20"/>
              </w:rPr>
              <w:t>Die streitgegenständlichen Verordnungen</w:t>
            </w:r>
            <w:r w:rsidRPr="00BE3728">
              <w:rPr>
                <w:rStyle w:val="Funotenzeichen"/>
                <w:sz w:val="20"/>
                <w:szCs w:val="20"/>
              </w:rPr>
              <w:footnoteReference w:id="550"/>
            </w:r>
            <w:r w:rsidRPr="00BE3728">
              <w:rPr>
                <w:sz w:val="20"/>
                <w:szCs w:val="20"/>
              </w:rPr>
              <w:t xml:space="preserve"> eines Bundesstaats untersag</w:t>
            </w:r>
            <w:r>
              <w:rPr>
                <w:sz w:val="20"/>
                <w:szCs w:val="20"/>
              </w:rPr>
              <w:t>ten</w:t>
            </w:r>
            <w:r w:rsidRPr="00BE3728">
              <w:rPr>
                <w:sz w:val="20"/>
                <w:szCs w:val="20"/>
              </w:rPr>
              <w:t xml:space="preserve"> den Privatbesitz von Handfeuerwaffen. Indes stellte der </w:t>
            </w:r>
            <w:r>
              <w:rPr>
                <w:sz w:val="20"/>
                <w:szCs w:val="20"/>
              </w:rPr>
              <w:t>U.S. Supreme Court</w:t>
            </w:r>
            <w:r w:rsidRPr="00BE3728">
              <w:rPr>
                <w:sz w:val="20"/>
                <w:szCs w:val="20"/>
              </w:rPr>
              <w:t xml:space="preserve"> fest,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w:t>
            </w:r>
            <w:r w:rsidRPr="00BE3728">
              <w:rPr>
                <w:sz w:val="20"/>
                <w:szCs w:val="20"/>
              </w:rPr>
              <w:t xml:space="preserve"> das Recht gewähre, Waffen zum Zwecke der Selbstverteidigung zu besitzen und mitzuführen. Und dieses Amendment gelte uneingeschränkt</w:t>
            </w:r>
            <w:r>
              <w:rPr>
                <w:sz w:val="20"/>
                <w:szCs w:val="20"/>
              </w:rPr>
              <w:t>, d</w:t>
            </w:r>
            <w:r w:rsidRPr="00BE3728">
              <w:rPr>
                <w:sz w:val="20"/>
                <w:szCs w:val="20"/>
              </w:rPr>
              <w:t xml:space="preserve">.h. es sei auch auf die Bundesstaaten anwendbar. Damit konstituiere sich dieses Recht der Selbstverteidigung als ein fundamentales Grundrecht: Es gelte also in den ganzen Vereinigten Staaten. Zudem sei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w:t>
            </w:r>
            <w:r w:rsidRPr="00BE3728">
              <w:rPr>
                <w:sz w:val="20"/>
                <w:szCs w:val="20"/>
              </w:rPr>
              <w:t xml:space="preserve"> auf Handfeuerwaffen anwendbar. Denn diese stell</w:t>
            </w:r>
            <w:r>
              <w:rPr>
                <w:sz w:val="20"/>
                <w:szCs w:val="20"/>
              </w:rPr>
              <w:t>t</w:t>
            </w:r>
            <w:r w:rsidRPr="00BE3728">
              <w:rPr>
                <w:sz w:val="20"/>
                <w:szCs w:val="20"/>
              </w:rPr>
              <w:t xml:space="preserve">en die bevorzugte Schusswaffe für den Schutz des eigenen Heims und der Familie dar. Wäre dem nicht so, würde die gesetzgeberische Intention mit dem Amendment faktisch leerlaufen. Für diese Urteilsgründe hat der </w:t>
            </w:r>
            <w:r>
              <w:rPr>
                <w:sz w:val="20"/>
                <w:szCs w:val="20"/>
              </w:rPr>
              <w:t>U.S. Supreme Court</w:t>
            </w:r>
            <w:r w:rsidRPr="00BE3728">
              <w:rPr>
                <w:sz w:val="20"/>
                <w:szCs w:val="20"/>
              </w:rPr>
              <w:t xml:space="preserve"> einen gleichgelagerten Präzedenzfall</w:t>
            </w:r>
            <w:r w:rsidRPr="00BE3728">
              <w:rPr>
                <w:rStyle w:val="Funotenzeichen"/>
                <w:sz w:val="20"/>
                <w:szCs w:val="20"/>
              </w:rPr>
              <w:footnoteReference w:id="551"/>
            </w:r>
            <w:r w:rsidRPr="00BE3728">
              <w:rPr>
                <w:sz w:val="20"/>
                <w:szCs w:val="20"/>
              </w:rPr>
              <w:t xml:space="preserve"> unverändert belassen können. Der hatte noch die Vorrechte und Immunitätsklausel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eng ausgelegt. D.h.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habe nur Waffenrechte geschützt, die auch der Bund kodifiziert hatte – </w:t>
            </w:r>
            <w:r>
              <w:rPr>
                <w:sz w:val="20"/>
                <w:szCs w:val="20"/>
              </w:rPr>
              <w:t xml:space="preserve">es habe </w:t>
            </w:r>
            <w:r w:rsidRPr="00BE3728">
              <w:rPr>
                <w:sz w:val="20"/>
                <w:szCs w:val="20"/>
              </w:rPr>
              <w:t xml:space="preserve">also nicht </w:t>
            </w:r>
            <w:r>
              <w:rPr>
                <w:sz w:val="20"/>
                <w:szCs w:val="20"/>
              </w:rPr>
              <w:t xml:space="preserve">Waffenrechte </w:t>
            </w:r>
            <w:r w:rsidRPr="00BE3728">
              <w:rPr>
                <w:sz w:val="20"/>
                <w:szCs w:val="20"/>
              </w:rPr>
              <w:t xml:space="preserve">in Bundesstaaten geschützt, hier z.B. gegen die Verordnung. Aber die Verfasser des </w:t>
            </w:r>
            <w:proofErr w:type="spellStart"/>
            <w:r>
              <w:rPr>
                <w:sz w:val="20"/>
                <w:szCs w:val="20"/>
              </w:rPr>
              <w:t>Amd</w:t>
            </w:r>
            <w:proofErr w:type="spellEnd"/>
            <w:r>
              <w:rPr>
                <w:sz w:val="20"/>
                <w:szCs w:val="20"/>
              </w:rPr>
              <w:t>. </w:t>
            </w:r>
            <w:r w:rsidRPr="00BE3728">
              <w:rPr>
                <w:sz w:val="20"/>
                <w:szCs w:val="20"/>
              </w:rPr>
              <w:t xml:space="preserve">II und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betrachteten das Recht, Waffen zu </w:t>
            </w:r>
            <w:r>
              <w:rPr>
                <w:sz w:val="20"/>
                <w:szCs w:val="20"/>
              </w:rPr>
              <w:t>besitzen</w:t>
            </w:r>
            <w:r w:rsidRPr="00BE3728">
              <w:rPr>
                <w:sz w:val="20"/>
                <w:szCs w:val="20"/>
              </w:rPr>
              <w:t xml:space="preserve"> und zu tragen,</w:t>
            </w:r>
            <w:r>
              <w:rPr>
                <w:sz w:val="20"/>
                <w:szCs w:val="20"/>
              </w:rPr>
              <w:t xml:space="preserve"> laut Urteil des U.S. Supreme Court</w:t>
            </w:r>
            <w:r w:rsidRPr="00BE3728">
              <w:rPr>
                <w:sz w:val="20"/>
                <w:szCs w:val="20"/>
              </w:rPr>
              <w:t xml:space="preserve"> doch als ein fundamentales Grundrecht. Es trage das System der geordneten Freiheit der Vereinigten Staaten. Zwar sei das Recht, Waffen zu </w:t>
            </w:r>
            <w:r>
              <w:rPr>
                <w:sz w:val="20"/>
                <w:szCs w:val="20"/>
              </w:rPr>
              <w:t>besitzen</w:t>
            </w:r>
            <w:r w:rsidRPr="00BE3728">
              <w:rPr>
                <w:sz w:val="20"/>
                <w:szCs w:val="20"/>
              </w:rPr>
              <w:t xml:space="preserve"> und zu tragen</w:t>
            </w:r>
            <w:r>
              <w:rPr>
                <w:sz w:val="20"/>
                <w:szCs w:val="20"/>
              </w:rPr>
              <w:t>,</w:t>
            </w:r>
            <w:r w:rsidRPr="00BE3728">
              <w:rPr>
                <w:sz w:val="20"/>
                <w:szCs w:val="20"/>
              </w:rPr>
              <w:t xml:space="preserve"> nur im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w:t>
            </w:r>
            <w:r w:rsidRPr="00BE3728">
              <w:rPr>
                <w:sz w:val="20"/>
                <w:szCs w:val="20"/>
              </w:rPr>
              <w:t xml:space="preserve"> verankert. Aber durch das universell geltende</w:t>
            </w:r>
            <w:r>
              <w:rPr>
                <w:sz w:val="20"/>
                <w:szCs w:val="20"/>
              </w:rPr>
              <w:t xml:space="preserve"> Prinzip des</w:t>
            </w:r>
            <w:r w:rsidRPr="00BE3728">
              <w:rPr>
                <w:sz w:val="20"/>
                <w:szCs w:val="20"/>
              </w:rPr>
              <w:t xml:space="preserve"> rechtsstaatliche</w:t>
            </w:r>
            <w:r>
              <w:rPr>
                <w:sz w:val="20"/>
                <w:szCs w:val="20"/>
              </w:rPr>
              <w:t>n</w:t>
            </w:r>
            <w:r w:rsidRPr="00BE3728">
              <w:rPr>
                <w:sz w:val="20"/>
                <w:szCs w:val="20"/>
              </w:rPr>
              <w:t xml:space="preserve"> Verfahren</w:t>
            </w:r>
            <w:r>
              <w:rPr>
                <w:sz w:val="20"/>
                <w:szCs w:val="20"/>
              </w:rPr>
              <w:t>s</w:t>
            </w:r>
            <w:r w:rsidRPr="00BE3728">
              <w:rPr>
                <w:sz w:val="20"/>
                <w:szCs w:val="20"/>
              </w:rPr>
              <w:t xml:space="preserve"> und den Freiheitsbegriff</w:t>
            </w:r>
            <w:r w:rsidRPr="00BE3728">
              <w:rPr>
                <w:rStyle w:val="Funotenzeichen"/>
                <w:sz w:val="20"/>
                <w:szCs w:val="20"/>
              </w:rPr>
              <w:footnoteReference w:id="552"/>
            </w:r>
            <w:r w:rsidRPr="00BE3728">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gelte dieses Recht nunmehr auch für Bundesstaaten. Damit wurde das Urteil des Berufungsgerichts aufgehoben, das die Verordnung noch bestätigt hatte. Und der </w:t>
            </w:r>
            <w:r>
              <w:rPr>
                <w:sz w:val="20"/>
                <w:szCs w:val="20"/>
              </w:rPr>
              <w:t>U.S. Supreme Court</w:t>
            </w:r>
            <w:r w:rsidRPr="00BE3728">
              <w:rPr>
                <w:sz w:val="20"/>
                <w:szCs w:val="20"/>
              </w:rPr>
              <w:t xml:space="preserve"> </w:t>
            </w:r>
            <w:r>
              <w:rPr>
                <w:sz w:val="20"/>
                <w:szCs w:val="20"/>
              </w:rPr>
              <w:t>ver</w:t>
            </w:r>
            <w:r w:rsidRPr="00BE3728">
              <w:rPr>
                <w:sz w:val="20"/>
                <w:szCs w:val="20"/>
              </w:rPr>
              <w:t>wies die Angelegenheit zur weiteren Verhandlung zurück.</w:t>
            </w:r>
          </w:p>
          <w:p w14:paraId="3CE674A2" w14:textId="77777777" w:rsidR="00074551" w:rsidRPr="00E50B51" w:rsidRDefault="00074551" w:rsidP="00367133">
            <w:pPr>
              <w:jc w:val="both"/>
              <w:rPr>
                <w:sz w:val="20"/>
                <w:szCs w:val="20"/>
              </w:rPr>
            </w:pPr>
          </w:p>
        </w:tc>
        <w:tc>
          <w:tcPr>
            <w:tcW w:w="1822" w:type="pct"/>
          </w:tcPr>
          <w:p w14:paraId="7015437D" w14:textId="77777777" w:rsidR="00074551" w:rsidRPr="00B45592" w:rsidRDefault="00074551" w:rsidP="00367133">
            <w:pPr>
              <w:jc w:val="both"/>
              <w:rPr>
                <w:i/>
                <w:sz w:val="20"/>
                <w:szCs w:val="20"/>
              </w:rPr>
            </w:pPr>
            <w:r w:rsidRPr="00B45592">
              <w:rPr>
                <w:i/>
                <w:sz w:val="20"/>
                <w:szCs w:val="20"/>
              </w:rPr>
              <w:t xml:space="preserve">LexisNexis-Klassifikation: Constitutional Law › </w:t>
            </w:r>
            <w:proofErr w:type="spellStart"/>
            <w:r w:rsidRPr="00B45592">
              <w:rPr>
                <w:i/>
                <w:sz w:val="20"/>
                <w:szCs w:val="20"/>
              </w:rPr>
              <w:t>Privileges</w:t>
            </w:r>
            <w:proofErr w:type="spellEnd"/>
            <w:r w:rsidRPr="00B45592">
              <w:rPr>
                <w:i/>
                <w:sz w:val="20"/>
                <w:szCs w:val="20"/>
              </w:rPr>
              <w:t xml:space="preserve"> &amp; </w:t>
            </w:r>
            <w:proofErr w:type="spellStart"/>
            <w:r w:rsidRPr="00B45592">
              <w:rPr>
                <w:i/>
                <w:sz w:val="20"/>
                <w:szCs w:val="20"/>
              </w:rPr>
              <w:t>Immunities</w:t>
            </w:r>
            <w:proofErr w:type="spellEnd"/>
          </w:p>
          <w:p w14:paraId="7ACB0E0A" w14:textId="77777777" w:rsidR="00074551" w:rsidRPr="00BE3728" w:rsidRDefault="00074551" w:rsidP="00367133">
            <w:pPr>
              <w:jc w:val="both"/>
              <w:rPr>
                <w:sz w:val="20"/>
                <w:szCs w:val="20"/>
              </w:rPr>
            </w:pPr>
          </w:p>
          <w:p w14:paraId="5AE68A98" w14:textId="267BBE5C" w:rsidR="00074551" w:rsidRDefault="00074551" w:rsidP="00367133">
            <w:pPr>
              <w:jc w:val="both"/>
              <w:rPr>
                <w:sz w:val="20"/>
                <w:szCs w:val="20"/>
              </w:rPr>
            </w:pPr>
            <w:r w:rsidRPr="00BE3728">
              <w:rPr>
                <w:sz w:val="20"/>
                <w:szCs w:val="20"/>
              </w:rPr>
              <w:t xml:space="preserve">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E50B51">
              <w:rPr>
                <w:sz w:val="20"/>
                <w:szCs w:val="20"/>
              </w:rPr>
              <w:t xml:space="preserve"> </w:t>
            </w:r>
            <w:r>
              <w:rPr>
                <w:sz w:val="20"/>
                <w:szCs w:val="20"/>
              </w:rPr>
              <w:t xml:space="preserve">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schütz</w:t>
            </w:r>
            <w:r>
              <w:rPr>
                <w:sz w:val="20"/>
                <w:szCs w:val="20"/>
              </w:rPr>
              <w:t>t</w:t>
            </w:r>
            <w:r w:rsidRPr="00BE3728">
              <w:rPr>
                <w:sz w:val="20"/>
                <w:szCs w:val="20"/>
              </w:rPr>
              <w:t xml:space="preserve"> nur Rechte, die </w:t>
            </w:r>
            <w:r>
              <w:rPr>
                <w:sz w:val="20"/>
                <w:szCs w:val="20"/>
              </w:rPr>
              <w:t>von Folgendem geprägt sind</w:t>
            </w:r>
            <w:r w:rsidRPr="00BE3728">
              <w:rPr>
                <w:sz w:val="20"/>
                <w:szCs w:val="20"/>
              </w:rPr>
              <w:t xml:space="preserve">: Die Bundesregierung hat sie erlassen, sie haben einen nationalen Charakter oder die Verfassung erfordert sie. Aber es gibt auch andere Grundrechte. Das sind solche, die </w:t>
            </w:r>
            <w:r>
              <w:rPr>
                <w:sz w:val="20"/>
                <w:szCs w:val="20"/>
              </w:rPr>
              <w:t xml:space="preserve">bereits </w:t>
            </w:r>
            <w:r w:rsidRPr="00BE3728">
              <w:rPr>
                <w:sz w:val="20"/>
                <w:szCs w:val="20"/>
              </w:rPr>
              <w:t>vor der Gründung der Bundesregierung bestanden. Um diese zu sichern, schafften die Menschen die Regierungen der Bundesstaaten. Und diese Rechte schützt</w:t>
            </w:r>
            <w:r>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 § 1</w:t>
            </w:r>
            <w:r w:rsidRPr="00BE3728">
              <w:rPr>
                <w:sz w:val="20"/>
                <w:szCs w:val="20"/>
              </w:rPr>
              <w:t xml:space="preserve"> nicht.</w:t>
            </w:r>
            <w:r w:rsidRPr="00BE3728">
              <w:rPr>
                <w:rStyle w:val="Funotenzeichen"/>
                <w:sz w:val="20"/>
                <w:szCs w:val="20"/>
              </w:rPr>
              <w:footnoteReference w:id="553"/>
            </w:r>
          </w:p>
          <w:p w14:paraId="595FD7E3" w14:textId="77777777" w:rsidR="00074551" w:rsidRPr="00BE3728" w:rsidRDefault="00074551" w:rsidP="00367133">
            <w:pPr>
              <w:jc w:val="both"/>
              <w:rPr>
                <w:sz w:val="20"/>
                <w:szCs w:val="20"/>
              </w:rPr>
            </w:pPr>
          </w:p>
          <w:p w14:paraId="4CEA042B" w14:textId="39424518" w:rsidR="00074551" w:rsidRPr="00BE3728" w:rsidRDefault="00074551" w:rsidP="00367133">
            <w:pPr>
              <w:jc w:val="both"/>
              <w:rPr>
                <w:sz w:val="20"/>
                <w:szCs w:val="20"/>
              </w:rPr>
            </w:pPr>
            <w:r w:rsidRPr="00BE3728">
              <w:rPr>
                <w:sz w:val="20"/>
                <w:szCs w:val="20"/>
              </w:rPr>
              <w:t>Um die fundamentalen Grundrechte (</w:t>
            </w:r>
            <w:proofErr w:type="gramStart"/>
            <w:r w:rsidRPr="00BE3728">
              <w:rPr>
                <w:sz w:val="20"/>
                <w:szCs w:val="20"/>
              </w:rPr>
              <w:t>„</w:t>
            </w:r>
            <w:r>
              <w:rPr>
                <w:sz w:val="20"/>
                <w:szCs w:val="20"/>
              </w:rPr>
              <w:t>,</w:t>
            </w:r>
            <w:r w:rsidRPr="00BE3728">
              <w:rPr>
                <w:sz w:val="20"/>
                <w:szCs w:val="20"/>
              </w:rPr>
              <w:t>fundamental</w:t>
            </w:r>
            <w:proofErr w:type="gramEnd"/>
            <w:r>
              <w:rPr>
                <w:sz w:val="20"/>
                <w:szCs w:val="20"/>
              </w:rPr>
              <w:t>‘</w:t>
            </w:r>
            <w:r w:rsidRPr="00BE3728">
              <w:rPr>
                <w:sz w:val="20"/>
                <w:szCs w:val="20"/>
              </w:rPr>
              <w:t xml:space="preserve"> </w:t>
            </w:r>
            <w:proofErr w:type="spellStart"/>
            <w:r w:rsidRPr="00BE3728">
              <w:rPr>
                <w:sz w:val="20"/>
                <w:szCs w:val="20"/>
              </w:rPr>
              <w:t>rights</w:t>
            </w:r>
            <w:proofErr w:type="spellEnd"/>
            <w:r w:rsidRPr="00BE3728">
              <w:rPr>
                <w:sz w:val="20"/>
                <w:szCs w:val="20"/>
              </w:rPr>
              <w:t>“</w:t>
            </w:r>
            <w:r w:rsidRPr="00BE3728">
              <w:rPr>
                <w:rStyle w:val="Funotenzeichen"/>
                <w:sz w:val="20"/>
                <w:szCs w:val="20"/>
              </w:rPr>
              <w:footnoteReference w:id="554"/>
            </w:r>
            <w:r w:rsidRPr="00BE3728">
              <w:rPr>
                <w:sz w:val="20"/>
                <w:szCs w:val="20"/>
              </w:rPr>
              <w:t xml:space="preserve">) zu beschreiben, schlug Richter </w:t>
            </w:r>
            <w:r w:rsidRPr="5B67C1D2">
              <w:rPr>
                <w:i/>
                <w:iCs/>
                <w:sz w:val="20"/>
                <w:szCs w:val="20"/>
              </w:rPr>
              <w:t>Washington</w:t>
            </w:r>
            <w:r w:rsidRPr="00BE3728">
              <w:rPr>
                <w:sz w:val="20"/>
                <w:szCs w:val="20"/>
              </w:rPr>
              <w:t xml:space="preserve"> </w:t>
            </w:r>
            <w:r>
              <w:rPr>
                <w:sz w:val="20"/>
                <w:szCs w:val="20"/>
              </w:rPr>
              <w:t xml:space="preserve">in </w:t>
            </w:r>
            <w:r w:rsidRPr="5B67C1D2">
              <w:rPr>
                <w:i/>
                <w:iCs/>
                <w:sz w:val="20"/>
                <w:szCs w:val="20"/>
              </w:rPr>
              <w:t xml:space="preserve">Corfield v. Coryell </w:t>
            </w:r>
            <w:r w:rsidRPr="00BE3728">
              <w:rPr>
                <w:sz w:val="20"/>
                <w:szCs w:val="20"/>
              </w:rPr>
              <w:t>vor, sie unter allgemeine Begriffe zusammenzufassen. Er führte dazu eine Liste auf. Die</w:t>
            </w:r>
            <w:r>
              <w:rPr>
                <w:sz w:val="20"/>
                <w:szCs w:val="20"/>
              </w:rPr>
              <w:t>se</w:t>
            </w:r>
            <w:r w:rsidRPr="00BE3728">
              <w:rPr>
                <w:sz w:val="20"/>
                <w:szCs w:val="20"/>
              </w:rPr>
              <w:t xml:space="preserve"> beginnt mit dem Schutz durch die Regierung, dem Recht auf Leben und auf Freiheit. Es folg</w:t>
            </w:r>
            <w:r>
              <w:rPr>
                <w:sz w:val="20"/>
                <w:szCs w:val="20"/>
              </w:rPr>
              <w:t>en</w:t>
            </w:r>
            <w:r w:rsidRPr="00BE3728">
              <w:rPr>
                <w:sz w:val="20"/>
                <w:szCs w:val="20"/>
              </w:rPr>
              <w:t xml:space="preserve"> die Eigentumsfreiheit und</w:t>
            </w:r>
            <w:r>
              <w:rPr>
                <w:sz w:val="20"/>
                <w:szCs w:val="20"/>
              </w:rPr>
              <w:t xml:space="preserve"> das Recht,</w:t>
            </w:r>
            <w:r w:rsidRPr="00BE3728">
              <w:rPr>
                <w:sz w:val="20"/>
                <w:szCs w:val="20"/>
              </w:rPr>
              <w:t xml:space="preserve"> nach Glück und Sicherheit streben sowie beides auch erlangen zu können. Diese fundamentalen Grundrechte </w:t>
            </w:r>
            <w:r>
              <w:rPr>
                <w:sz w:val="20"/>
                <w:szCs w:val="20"/>
              </w:rPr>
              <w:t>könne</w:t>
            </w:r>
            <w:r w:rsidRPr="00BE3728">
              <w:rPr>
                <w:sz w:val="20"/>
                <w:szCs w:val="20"/>
              </w:rPr>
              <w:t xml:space="preserve"> die Regierung nur mit Erwägungen des Allgemeinwohls beschränken. Weitere sind die Fortbewegungsfreiheit, die Freizügigkeit und das Aufenthaltsrecht zum Zwecke des Handels, der La</w:t>
            </w:r>
            <w:r>
              <w:rPr>
                <w:sz w:val="20"/>
                <w:szCs w:val="20"/>
              </w:rPr>
              <w:t>n</w:t>
            </w:r>
            <w:r w:rsidRPr="00BE3728">
              <w:rPr>
                <w:sz w:val="20"/>
                <w:szCs w:val="20"/>
              </w:rPr>
              <w:t xml:space="preserve">dwirtschaft und der Berufsausübung. Auch das </w:t>
            </w:r>
            <w:bookmarkStart w:id="35" w:name="_Hlk230007613"/>
            <w:r w:rsidRPr="00BE3728">
              <w:rPr>
                <w:sz w:val="20"/>
                <w:szCs w:val="20"/>
              </w:rPr>
              <w:t xml:space="preserve">Habeas-Corpus-Gesetz </w:t>
            </w:r>
            <w:bookmarkEnd w:id="35"/>
            <w:r w:rsidRPr="00BE3728">
              <w:rPr>
                <w:sz w:val="20"/>
                <w:szCs w:val="20"/>
              </w:rPr>
              <w:t xml:space="preserve">in Anspruch zu nehmen </w:t>
            </w:r>
            <w:r>
              <w:rPr>
                <w:sz w:val="20"/>
                <w:szCs w:val="20"/>
              </w:rPr>
              <w:t>und</w:t>
            </w:r>
            <w:r w:rsidRPr="00BE3728">
              <w:rPr>
                <w:sz w:val="20"/>
                <w:szCs w:val="20"/>
              </w:rPr>
              <w:t xml:space="preserve"> das Recht</w:t>
            </w:r>
            <w:r>
              <w:rPr>
                <w:sz w:val="20"/>
                <w:szCs w:val="20"/>
              </w:rPr>
              <w:t>,</w:t>
            </w:r>
            <w:r w:rsidRPr="00BE3728">
              <w:rPr>
                <w:sz w:val="20"/>
                <w:szCs w:val="20"/>
              </w:rPr>
              <w:t xml:space="preserve"> vor jedem Bundesstaat Klage erheben zu können, also der Zugang zu den Gerichten, aber auch die Steuergleichheit</w:t>
            </w:r>
            <w:r>
              <w:rPr>
                <w:sz w:val="20"/>
                <w:szCs w:val="20"/>
              </w:rPr>
              <w:t xml:space="preserve"> gehören dazu</w:t>
            </w:r>
            <w:r w:rsidRPr="00BE3728">
              <w:rPr>
                <w:sz w:val="20"/>
                <w:szCs w:val="20"/>
              </w:rPr>
              <w:t xml:space="preserve">. Das sind die fundamentalen Rechte, </w:t>
            </w:r>
            <w:r>
              <w:rPr>
                <w:sz w:val="20"/>
                <w:szCs w:val="20"/>
              </w:rPr>
              <w:t>mit anderen Worten:</w:t>
            </w:r>
            <w:r w:rsidRPr="00BE3728">
              <w:rPr>
                <w:sz w:val="20"/>
                <w:szCs w:val="20"/>
              </w:rPr>
              <w:t xml:space="preserve"> die grundlegenden Vorrechte der Bürger. Dazu komm</w:t>
            </w:r>
            <w:r>
              <w:rPr>
                <w:sz w:val="20"/>
                <w:szCs w:val="20"/>
              </w:rPr>
              <w:t>en</w:t>
            </w:r>
            <w:r w:rsidRPr="00BE3728">
              <w:rPr>
                <w:sz w:val="20"/>
                <w:szCs w:val="20"/>
              </w:rPr>
              <w:t xml:space="preserve"> abschließend das Wahlrecht und die Wahlfreiheit.</w:t>
            </w:r>
            <w:r w:rsidRPr="00BE3728">
              <w:rPr>
                <w:rStyle w:val="Funotenzeichen"/>
                <w:sz w:val="20"/>
                <w:szCs w:val="20"/>
              </w:rPr>
              <w:footnoteReference w:id="555"/>
            </w:r>
            <w:r w:rsidRPr="00BE3728">
              <w:rPr>
                <w:sz w:val="20"/>
                <w:szCs w:val="20"/>
              </w:rPr>
              <w:t xml:space="preserve"> Aber warum diese Liste? Weil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zwar übereinstimmt, dass es das Recht auf Waffen gebe. Aber sie stimmt nicht zu, dass es gegenüber den Bundesstaaten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durchsetzbar sei, weil der Wortlaut nur von Verfahren spreche. Stattdessen </w:t>
            </w:r>
            <w:r>
              <w:rPr>
                <w:sz w:val="20"/>
                <w:szCs w:val="20"/>
              </w:rPr>
              <w:t>sei</w:t>
            </w:r>
            <w:r w:rsidRPr="00BE3728">
              <w:rPr>
                <w:sz w:val="20"/>
                <w:szCs w:val="20"/>
              </w:rPr>
              <w:t xml:space="preserve"> das </w:t>
            </w:r>
            <w:r>
              <w:rPr>
                <w:sz w:val="20"/>
                <w:szCs w:val="20"/>
              </w:rPr>
              <w:t>Recht, Waffen</w:t>
            </w:r>
            <w:r w:rsidRPr="00BE3728">
              <w:rPr>
                <w:sz w:val="20"/>
                <w:szCs w:val="20"/>
              </w:rPr>
              <w:t xml:space="preserve"> zu besitzen und zu tragen, ein Privileg der amerikanischen Staatsbürgerschaft bzw. fundamentales Grundrecht, das nicht durch die Verfahrensklausel, sondern durch die </w:t>
            </w:r>
            <w:proofErr w:type="spellStart"/>
            <w:r w:rsidRPr="5B67C1D2">
              <w:rPr>
                <w:i/>
                <w:iCs/>
                <w:sz w:val="20"/>
                <w:szCs w:val="20"/>
              </w:rPr>
              <w:t>Privileges</w:t>
            </w:r>
            <w:proofErr w:type="spellEnd"/>
            <w:r w:rsidRPr="5B67C1D2">
              <w:rPr>
                <w:i/>
                <w:iCs/>
                <w:sz w:val="20"/>
                <w:szCs w:val="20"/>
              </w:rPr>
              <w:t xml:space="preserve"> and </w:t>
            </w:r>
            <w:proofErr w:type="spellStart"/>
            <w:r w:rsidRPr="5B67C1D2">
              <w:rPr>
                <w:i/>
                <w:iCs/>
                <w:sz w:val="20"/>
                <w:szCs w:val="20"/>
              </w:rPr>
              <w:t>Immunities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w:t>
            </w:r>
            <w:r>
              <w:rPr>
                <w:sz w:val="20"/>
                <w:szCs w:val="20"/>
              </w:rPr>
              <w:t xml:space="preserve">von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E3728">
              <w:rPr>
                <w:sz w:val="20"/>
                <w:szCs w:val="20"/>
              </w:rPr>
              <w:t xml:space="preserve"> für die Bundesstaaten gelte.</w:t>
            </w:r>
            <w:r w:rsidRPr="00BE3728">
              <w:rPr>
                <w:rStyle w:val="Funotenzeichen"/>
                <w:sz w:val="20"/>
                <w:szCs w:val="20"/>
              </w:rPr>
              <w:footnoteReference w:id="556"/>
            </w:r>
            <w:r w:rsidRPr="00BE3728">
              <w:rPr>
                <w:sz w:val="20"/>
                <w:szCs w:val="20"/>
              </w:rPr>
              <w:t xml:space="preserve"> Daraus folgt aber eine andere Konnotation, nämlich dass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E3728">
              <w:rPr>
                <w:sz w:val="20"/>
                <w:szCs w:val="20"/>
              </w:rPr>
              <w:t xml:space="preserve"> den Bundesstaaten</w:t>
            </w:r>
            <w:r>
              <w:rPr>
                <w:sz w:val="20"/>
                <w:szCs w:val="20"/>
              </w:rPr>
              <w:t xml:space="preserve"> verbietet,</w:t>
            </w:r>
            <w:r w:rsidRPr="00BE3728">
              <w:rPr>
                <w:sz w:val="20"/>
                <w:szCs w:val="20"/>
              </w:rPr>
              <w:t xml:space="preserve"> Bürger bei den fundamentalen Grundrechten zu diskriminieren</w:t>
            </w:r>
            <w:r w:rsidRPr="00BE3728">
              <w:rPr>
                <w:rStyle w:val="Funotenzeichen"/>
                <w:sz w:val="20"/>
                <w:szCs w:val="20"/>
              </w:rPr>
              <w:footnoteReference w:id="557"/>
            </w:r>
            <w:r w:rsidRPr="00BE3728">
              <w:rPr>
                <w:sz w:val="20"/>
                <w:szCs w:val="20"/>
              </w:rPr>
              <w:t xml:space="preserve"> – dazu gehöre das Recht Waffen zu besitzen und zu tragen („fundamental </w:t>
            </w:r>
            <w:proofErr w:type="spellStart"/>
            <w:r w:rsidRPr="00BE3728">
              <w:rPr>
                <w:sz w:val="20"/>
                <w:szCs w:val="20"/>
              </w:rPr>
              <w:t>right</w:t>
            </w:r>
            <w:proofErr w:type="spellEnd"/>
            <w:r w:rsidRPr="00BE3728">
              <w:rPr>
                <w:sz w:val="20"/>
                <w:szCs w:val="20"/>
              </w:rPr>
              <w:t xml:space="preserve"> </w:t>
            </w:r>
            <w:proofErr w:type="spellStart"/>
            <w:r w:rsidRPr="00BE3728">
              <w:rPr>
                <w:sz w:val="20"/>
                <w:szCs w:val="20"/>
              </w:rPr>
              <w:t>necessary</w:t>
            </w:r>
            <w:proofErr w:type="spellEnd"/>
            <w:r w:rsidRPr="00BE3728">
              <w:rPr>
                <w:sz w:val="20"/>
                <w:szCs w:val="20"/>
              </w:rPr>
              <w:t xml:space="preserve"> to the </w:t>
            </w:r>
            <w:proofErr w:type="spellStart"/>
            <w:r w:rsidRPr="00BE3728">
              <w:rPr>
                <w:sz w:val="20"/>
                <w:szCs w:val="20"/>
              </w:rPr>
              <w:t>nation</w:t>
            </w:r>
            <w:r>
              <w:rPr>
                <w:sz w:val="20"/>
                <w:szCs w:val="20"/>
              </w:rPr>
              <w:t>’</w:t>
            </w:r>
            <w:r w:rsidRPr="00BE3728">
              <w:rPr>
                <w:sz w:val="20"/>
                <w:szCs w:val="20"/>
              </w:rPr>
              <w:t>s</w:t>
            </w:r>
            <w:proofErr w:type="spellEnd"/>
            <w:r w:rsidRPr="00BE3728">
              <w:rPr>
                <w:sz w:val="20"/>
                <w:szCs w:val="20"/>
              </w:rPr>
              <w:t xml:space="preserve"> </w:t>
            </w:r>
            <w:proofErr w:type="spellStart"/>
            <w:r w:rsidRPr="00BE3728">
              <w:rPr>
                <w:sz w:val="20"/>
                <w:szCs w:val="20"/>
              </w:rPr>
              <w:t>system</w:t>
            </w:r>
            <w:proofErr w:type="spellEnd"/>
            <w:r w:rsidRPr="00BE3728">
              <w:rPr>
                <w:sz w:val="20"/>
                <w:szCs w:val="20"/>
              </w:rPr>
              <w:t xml:space="preserve"> of </w:t>
            </w:r>
            <w:proofErr w:type="spellStart"/>
            <w:r w:rsidRPr="00BE3728">
              <w:rPr>
                <w:sz w:val="20"/>
                <w:szCs w:val="20"/>
              </w:rPr>
              <w:t>ordered</w:t>
            </w:r>
            <w:proofErr w:type="spellEnd"/>
            <w:r w:rsidRPr="00BE3728">
              <w:rPr>
                <w:sz w:val="20"/>
                <w:szCs w:val="20"/>
              </w:rPr>
              <w:t xml:space="preserve"> </w:t>
            </w:r>
            <w:proofErr w:type="spellStart"/>
            <w:r w:rsidRPr="00BE3728">
              <w:rPr>
                <w:sz w:val="20"/>
                <w:szCs w:val="20"/>
              </w:rPr>
              <w:t>liberty</w:t>
            </w:r>
            <w:proofErr w:type="spellEnd"/>
            <w:r w:rsidRPr="00BE3728">
              <w:rPr>
                <w:sz w:val="20"/>
                <w:szCs w:val="20"/>
              </w:rPr>
              <w:t>“</w:t>
            </w:r>
            <w:r w:rsidRPr="00BE3728">
              <w:rPr>
                <w:rStyle w:val="Funotenzeichen"/>
                <w:sz w:val="20"/>
                <w:szCs w:val="20"/>
              </w:rPr>
              <w:footnoteReference w:id="558"/>
            </w:r>
            <w:r w:rsidRPr="00BE3728">
              <w:rPr>
                <w:sz w:val="20"/>
                <w:szCs w:val="20"/>
              </w:rPr>
              <w:t>).</w:t>
            </w:r>
          </w:p>
          <w:p w14:paraId="48AEC441" w14:textId="77777777" w:rsidR="00074551" w:rsidRPr="00E50B51" w:rsidRDefault="00074551" w:rsidP="00367133">
            <w:pPr>
              <w:jc w:val="both"/>
              <w:rPr>
                <w:sz w:val="20"/>
                <w:szCs w:val="20"/>
              </w:rPr>
            </w:pPr>
          </w:p>
        </w:tc>
      </w:tr>
      <w:tr w:rsidR="00074551" w:rsidRPr="00E50B51" w14:paraId="414A4869" w14:textId="77777777" w:rsidTr="00BE689F">
        <w:trPr>
          <w:cantSplit/>
          <w:trHeight w:val="3175"/>
        </w:trPr>
        <w:tc>
          <w:tcPr>
            <w:tcW w:w="293" w:type="pct"/>
          </w:tcPr>
          <w:p w14:paraId="23077787"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708135F4" w14:textId="77777777" w:rsidR="00074551" w:rsidRPr="00BE3728" w:rsidRDefault="00074551" w:rsidP="00367133">
            <w:pPr>
              <w:jc w:val="center"/>
              <w:rPr>
                <w:sz w:val="20"/>
                <w:szCs w:val="20"/>
                <w:lang w:val="en-US"/>
              </w:rPr>
            </w:pPr>
            <w:r>
              <w:rPr>
                <w:sz w:val="20"/>
                <w:szCs w:val="20"/>
                <w:lang w:val="en-US"/>
              </w:rPr>
              <w:t>H</w:t>
            </w:r>
          </w:p>
        </w:tc>
        <w:tc>
          <w:tcPr>
            <w:tcW w:w="387" w:type="pct"/>
            <w:textDirection w:val="tbRl"/>
            <w:vAlign w:val="center"/>
          </w:tcPr>
          <w:p w14:paraId="27FFCF86" w14:textId="77777777" w:rsidR="00074551" w:rsidRPr="00BE3728" w:rsidRDefault="00074551" w:rsidP="00367133">
            <w:pPr>
              <w:ind w:left="113" w:right="113"/>
              <w:jc w:val="both"/>
              <w:rPr>
                <w:sz w:val="20"/>
                <w:szCs w:val="20"/>
                <w:lang w:val="en-US"/>
              </w:rPr>
            </w:pPr>
            <w:r w:rsidRPr="00584023">
              <w:rPr>
                <w:i/>
                <w:sz w:val="20"/>
                <w:szCs w:val="20"/>
              </w:rPr>
              <w:t xml:space="preserve">Ex </w:t>
            </w:r>
            <w:proofErr w:type="spellStart"/>
            <w:r w:rsidRPr="00584023">
              <w:rPr>
                <w:i/>
                <w:sz w:val="20"/>
                <w:szCs w:val="20"/>
              </w:rPr>
              <w:t>parte</w:t>
            </w:r>
            <w:proofErr w:type="spellEnd"/>
            <w:r w:rsidRPr="00584023">
              <w:rPr>
                <w:i/>
                <w:sz w:val="20"/>
                <w:szCs w:val="20"/>
              </w:rPr>
              <w:t xml:space="preserve"> Garland</w:t>
            </w:r>
          </w:p>
        </w:tc>
        <w:tc>
          <w:tcPr>
            <w:tcW w:w="197" w:type="pct"/>
            <w:textDirection w:val="tbRl"/>
            <w:vAlign w:val="center"/>
          </w:tcPr>
          <w:p w14:paraId="1BC90127" w14:textId="77777777" w:rsidR="00074551" w:rsidRPr="00BE3728" w:rsidRDefault="00074551" w:rsidP="00367133">
            <w:pPr>
              <w:ind w:left="113" w:right="113"/>
              <w:jc w:val="both"/>
              <w:rPr>
                <w:sz w:val="20"/>
                <w:szCs w:val="20"/>
              </w:rPr>
            </w:pPr>
            <w:r w:rsidRPr="00257307">
              <w:rPr>
                <w:sz w:val="20"/>
                <w:szCs w:val="20"/>
              </w:rPr>
              <w:t>71 U.S. 333</w:t>
            </w:r>
          </w:p>
        </w:tc>
        <w:tc>
          <w:tcPr>
            <w:tcW w:w="306" w:type="pct"/>
            <w:textDirection w:val="tbRl"/>
            <w:vAlign w:val="center"/>
          </w:tcPr>
          <w:p w14:paraId="093DF4DC" w14:textId="77777777" w:rsidR="00074551" w:rsidRPr="00BE3728" w:rsidRDefault="00074551" w:rsidP="00367133">
            <w:pPr>
              <w:ind w:left="113" w:right="113"/>
              <w:jc w:val="both"/>
              <w:rPr>
                <w:sz w:val="20"/>
                <w:szCs w:val="20"/>
              </w:rPr>
            </w:pPr>
            <w:r>
              <w:rPr>
                <w:sz w:val="20"/>
                <w:szCs w:val="20"/>
              </w:rPr>
              <w:t>1. Dezember 1866</w:t>
            </w:r>
          </w:p>
        </w:tc>
        <w:tc>
          <w:tcPr>
            <w:tcW w:w="401" w:type="pct"/>
          </w:tcPr>
          <w:p w14:paraId="28E75E89" w14:textId="77777777" w:rsidR="00074551" w:rsidRPr="00BE3728" w:rsidRDefault="00074551" w:rsidP="00367133">
            <w:pPr>
              <w:jc w:val="center"/>
              <w:rPr>
                <w:sz w:val="20"/>
                <w:szCs w:val="20"/>
                <w:lang w:val="en-US"/>
              </w:rPr>
            </w:pPr>
            <w:r>
              <w:rPr>
                <w:sz w:val="20"/>
                <w:szCs w:val="20"/>
                <w:lang w:val="en-US"/>
              </w:rPr>
              <w:t>D</w:t>
            </w:r>
          </w:p>
        </w:tc>
        <w:tc>
          <w:tcPr>
            <w:tcW w:w="1594" w:type="pct"/>
          </w:tcPr>
          <w:p w14:paraId="6435552A" w14:textId="77777777" w:rsidR="00074551" w:rsidRDefault="00074551" w:rsidP="00367133">
            <w:pPr>
              <w:jc w:val="both"/>
              <w:rPr>
                <w:sz w:val="20"/>
                <w:szCs w:val="20"/>
              </w:rPr>
            </w:pPr>
            <w:r w:rsidRPr="00CE2990">
              <w:rPr>
                <w:sz w:val="20"/>
                <w:szCs w:val="20"/>
              </w:rPr>
              <w:t>Der</w:t>
            </w:r>
            <w:r w:rsidRPr="00F32FF6">
              <w:rPr>
                <w:sz w:val="20"/>
                <w:szCs w:val="20"/>
              </w:rPr>
              <w:t xml:space="preserve"> </w:t>
            </w:r>
            <w:r>
              <w:rPr>
                <w:sz w:val="20"/>
                <w:szCs w:val="20"/>
              </w:rPr>
              <w:t>U.S. Supreme Court</w:t>
            </w:r>
            <w:r w:rsidRPr="00F32FF6">
              <w:rPr>
                <w:sz w:val="20"/>
                <w:szCs w:val="20"/>
              </w:rPr>
              <w:t xml:space="preserve"> erlaubte dem Kläger, weiterhin als Anwalt tätig zu sein, ohne den </w:t>
            </w:r>
            <w:r>
              <w:rPr>
                <w:sz w:val="20"/>
                <w:szCs w:val="20"/>
              </w:rPr>
              <w:t>Treuee</w:t>
            </w:r>
            <w:r w:rsidRPr="00F32FF6">
              <w:rPr>
                <w:sz w:val="20"/>
                <w:szCs w:val="20"/>
              </w:rPr>
              <w:t xml:space="preserve">id gemäß </w:t>
            </w:r>
            <w:r>
              <w:rPr>
                <w:sz w:val="20"/>
                <w:szCs w:val="20"/>
              </w:rPr>
              <w:t xml:space="preserve">einem </w:t>
            </w:r>
            <w:r w:rsidRPr="00F32FF6">
              <w:rPr>
                <w:sz w:val="20"/>
                <w:szCs w:val="20"/>
              </w:rPr>
              <w:t>Gesetz vom 24. Januar 1865</w:t>
            </w:r>
            <w:r>
              <w:rPr>
                <w:rStyle w:val="Funotenzeichen"/>
                <w:sz w:val="20"/>
                <w:szCs w:val="20"/>
              </w:rPr>
              <w:footnoteReference w:id="559"/>
            </w:r>
            <w:r w:rsidRPr="00F32FF6">
              <w:rPr>
                <w:sz w:val="20"/>
                <w:szCs w:val="20"/>
              </w:rPr>
              <w:t xml:space="preserve"> abzulegen.</w:t>
            </w:r>
            <w:r>
              <w:rPr>
                <w:sz w:val="20"/>
                <w:szCs w:val="20"/>
              </w:rPr>
              <w:t xml:space="preserve"> Der Eid lautete u.a., nicht der </w:t>
            </w:r>
            <w:r w:rsidRPr="000F1ECB">
              <w:rPr>
                <w:sz w:val="20"/>
                <w:szCs w:val="20"/>
              </w:rPr>
              <w:t>k</w:t>
            </w:r>
            <w:r w:rsidRPr="00F32FF6">
              <w:rPr>
                <w:sz w:val="20"/>
                <w:szCs w:val="20"/>
              </w:rPr>
              <w:t>onföderierten Regierung</w:t>
            </w:r>
            <w:r w:rsidRPr="000F1ECB">
              <w:rPr>
                <w:sz w:val="20"/>
                <w:szCs w:val="20"/>
              </w:rPr>
              <w:t xml:space="preserve"> angehört</w:t>
            </w:r>
            <w:r>
              <w:rPr>
                <w:sz w:val="20"/>
                <w:szCs w:val="20"/>
              </w:rPr>
              <w:t xml:space="preserve"> zu haben. </w:t>
            </w:r>
            <w:r w:rsidRPr="00F32FF6">
              <w:rPr>
                <w:sz w:val="20"/>
                <w:szCs w:val="20"/>
              </w:rPr>
              <w:t xml:space="preserve">Der Kläger, ein ehemaliger Beamter der </w:t>
            </w:r>
            <w:r>
              <w:rPr>
                <w:sz w:val="20"/>
                <w:szCs w:val="20"/>
              </w:rPr>
              <w:t>k</w:t>
            </w:r>
            <w:r w:rsidRPr="00F32FF6">
              <w:rPr>
                <w:sz w:val="20"/>
                <w:szCs w:val="20"/>
              </w:rPr>
              <w:t>onföderierten Regierung</w:t>
            </w:r>
            <w:r>
              <w:rPr>
                <w:sz w:val="20"/>
                <w:szCs w:val="20"/>
              </w:rPr>
              <w:t xml:space="preserve">, klagte gegen </w:t>
            </w:r>
            <w:r w:rsidRPr="00F32FF6">
              <w:rPr>
                <w:sz w:val="20"/>
                <w:szCs w:val="20"/>
              </w:rPr>
              <w:t>die US-Regierung.</w:t>
            </w:r>
            <w:r>
              <w:rPr>
                <w:sz w:val="20"/>
                <w:szCs w:val="20"/>
              </w:rPr>
              <w:t xml:space="preserve"> </w:t>
            </w:r>
            <w:r w:rsidRPr="00F32FF6">
              <w:rPr>
                <w:sz w:val="20"/>
                <w:szCs w:val="20"/>
              </w:rPr>
              <w:t xml:space="preserve">Der Kläger </w:t>
            </w:r>
            <w:r>
              <w:rPr>
                <w:sz w:val="20"/>
                <w:szCs w:val="20"/>
              </w:rPr>
              <w:t>präsentierte</w:t>
            </w:r>
            <w:r w:rsidRPr="00F32FF6">
              <w:rPr>
                <w:sz w:val="20"/>
                <w:szCs w:val="20"/>
              </w:rPr>
              <w:t xml:space="preserve"> eine Begnadigung </w:t>
            </w:r>
            <w:r>
              <w:rPr>
                <w:sz w:val="20"/>
                <w:szCs w:val="20"/>
              </w:rPr>
              <w:t xml:space="preserve">des US-Präsidenten, welche </w:t>
            </w:r>
            <w:r w:rsidRPr="00F32FF6">
              <w:rPr>
                <w:sz w:val="20"/>
                <w:szCs w:val="20"/>
              </w:rPr>
              <w:t>alle</w:t>
            </w:r>
            <w:r>
              <w:rPr>
                <w:sz w:val="20"/>
                <w:szCs w:val="20"/>
              </w:rPr>
              <w:t xml:space="preserve"> von ihm begangenen</w:t>
            </w:r>
            <w:r w:rsidRPr="00F32FF6">
              <w:rPr>
                <w:sz w:val="20"/>
                <w:szCs w:val="20"/>
              </w:rPr>
              <w:t xml:space="preserve"> Vergehen</w:t>
            </w:r>
            <w:r>
              <w:rPr>
                <w:sz w:val="20"/>
                <w:szCs w:val="20"/>
              </w:rPr>
              <w:t xml:space="preserve"> </w:t>
            </w:r>
            <w:r w:rsidRPr="00F32FF6">
              <w:rPr>
                <w:sz w:val="20"/>
                <w:szCs w:val="20"/>
              </w:rPr>
              <w:t>des Hochverrats</w:t>
            </w:r>
            <w:r>
              <w:rPr>
                <w:sz w:val="20"/>
                <w:szCs w:val="20"/>
              </w:rPr>
              <w:t xml:space="preserve"> umfasste. Diese lagen vor, weil er</w:t>
            </w:r>
            <w:r w:rsidRPr="00F32FF6">
              <w:rPr>
                <w:sz w:val="20"/>
                <w:szCs w:val="20"/>
              </w:rPr>
              <w:t xml:space="preserve"> der </w:t>
            </w:r>
            <w:r>
              <w:rPr>
                <w:sz w:val="20"/>
                <w:szCs w:val="20"/>
              </w:rPr>
              <w:t>k</w:t>
            </w:r>
            <w:r w:rsidRPr="00F32FF6">
              <w:rPr>
                <w:sz w:val="20"/>
                <w:szCs w:val="20"/>
              </w:rPr>
              <w:t>onföderierten Regierung</w:t>
            </w:r>
            <w:r>
              <w:rPr>
                <w:sz w:val="20"/>
                <w:szCs w:val="20"/>
              </w:rPr>
              <w:t xml:space="preserve"> angehört hatte</w:t>
            </w:r>
            <w:r w:rsidRPr="00F32FF6">
              <w:rPr>
                <w:sz w:val="20"/>
                <w:szCs w:val="20"/>
              </w:rPr>
              <w:t>. Er beantragte,</w:t>
            </w:r>
            <w:r>
              <w:rPr>
                <w:sz w:val="20"/>
                <w:szCs w:val="20"/>
              </w:rPr>
              <w:t xml:space="preserve"> nun</w:t>
            </w:r>
            <w:r w:rsidRPr="00F32FF6">
              <w:rPr>
                <w:sz w:val="20"/>
                <w:szCs w:val="20"/>
              </w:rPr>
              <w:t xml:space="preserve"> als Anwalt am </w:t>
            </w:r>
            <w:r>
              <w:rPr>
                <w:sz w:val="20"/>
                <w:szCs w:val="20"/>
              </w:rPr>
              <w:t>U.S. Supreme Court</w:t>
            </w:r>
            <w:r w:rsidRPr="00F32FF6">
              <w:rPr>
                <w:sz w:val="20"/>
                <w:szCs w:val="20"/>
              </w:rPr>
              <w:t xml:space="preserve"> tätig sein zu dürfen, ohne den Eid gemäß dem Gesetz </w:t>
            </w:r>
            <w:r>
              <w:rPr>
                <w:sz w:val="20"/>
                <w:szCs w:val="20"/>
              </w:rPr>
              <w:t>von</w:t>
            </w:r>
            <w:r w:rsidRPr="00F32FF6">
              <w:rPr>
                <w:sz w:val="20"/>
                <w:szCs w:val="20"/>
              </w:rPr>
              <w:t xml:space="preserve"> 1865 ablegen</w:t>
            </w:r>
            <w:r>
              <w:rPr>
                <w:sz w:val="20"/>
                <w:szCs w:val="20"/>
              </w:rPr>
              <w:t xml:space="preserve"> zu müssen. Denn</w:t>
            </w:r>
            <w:r w:rsidRPr="00F32FF6">
              <w:rPr>
                <w:sz w:val="20"/>
                <w:szCs w:val="20"/>
              </w:rPr>
              <w:t xml:space="preserve"> er </w:t>
            </w:r>
            <w:r>
              <w:rPr>
                <w:sz w:val="20"/>
                <w:szCs w:val="20"/>
              </w:rPr>
              <w:t xml:space="preserve">könne </w:t>
            </w:r>
            <w:r w:rsidRPr="00F32FF6">
              <w:rPr>
                <w:sz w:val="20"/>
                <w:szCs w:val="20"/>
              </w:rPr>
              <w:t xml:space="preserve">diesen Eid aufgrund seiner </w:t>
            </w:r>
            <w:r>
              <w:rPr>
                <w:sz w:val="20"/>
                <w:szCs w:val="20"/>
              </w:rPr>
              <w:t xml:space="preserve">vorherigen </w:t>
            </w:r>
            <w:r w:rsidRPr="00F32FF6">
              <w:rPr>
                <w:sz w:val="20"/>
                <w:szCs w:val="20"/>
              </w:rPr>
              <w:t>Ämter nicht ablegen. Der Kläger</w:t>
            </w:r>
            <w:r>
              <w:rPr>
                <w:sz w:val="20"/>
                <w:szCs w:val="20"/>
              </w:rPr>
              <w:t xml:space="preserve"> meinte zudem</w:t>
            </w:r>
            <w:r w:rsidRPr="00F32FF6">
              <w:rPr>
                <w:sz w:val="20"/>
                <w:szCs w:val="20"/>
              </w:rPr>
              <w:t xml:space="preserve">, dass das Gesetz in Bezug auf </w:t>
            </w:r>
            <w:r>
              <w:rPr>
                <w:sz w:val="20"/>
                <w:szCs w:val="20"/>
              </w:rPr>
              <w:t>seine anwaltliche Tätigkeit</w:t>
            </w:r>
            <w:r w:rsidRPr="00F32FF6">
              <w:rPr>
                <w:sz w:val="20"/>
                <w:szCs w:val="20"/>
              </w:rPr>
              <w:t xml:space="preserve"> </w:t>
            </w:r>
            <w:r>
              <w:rPr>
                <w:sz w:val="20"/>
                <w:szCs w:val="20"/>
              </w:rPr>
              <w:t xml:space="preserve">vor Gericht </w:t>
            </w:r>
            <w:r w:rsidRPr="00F32FF6">
              <w:rPr>
                <w:sz w:val="20"/>
                <w:szCs w:val="20"/>
              </w:rPr>
              <w:t>verfassungswidrig sei</w:t>
            </w:r>
            <w:r>
              <w:rPr>
                <w:sz w:val="20"/>
                <w:szCs w:val="20"/>
              </w:rPr>
              <w:t>, weil kein Bezug bestehe;</w:t>
            </w:r>
            <w:r w:rsidRPr="00F32FF6">
              <w:rPr>
                <w:sz w:val="20"/>
                <w:szCs w:val="20"/>
              </w:rPr>
              <w:t xml:space="preserve"> </w:t>
            </w:r>
            <w:r>
              <w:rPr>
                <w:sz w:val="20"/>
                <w:szCs w:val="20"/>
              </w:rPr>
              <w:t xml:space="preserve">jedenfalls aber sei er mit der Begnadigung des US-Präsidenten von den Rechtsfolgen des Gesetzes ausgenommen. </w:t>
            </w:r>
            <w:r w:rsidRPr="000F1ECB">
              <w:rPr>
                <w:sz w:val="20"/>
                <w:szCs w:val="20"/>
              </w:rPr>
              <w:t>Der</w:t>
            </w:r>
            <w:r w:rsidRPr="00F32FF6">
              <w:rPr>
                <w:sz w:val="20"/>
                <w:szCs w:val="20"/>
              </w:rPr>
              <w:t xml:space="preserve"> </w:t>
            </w:r>
            <w:r>
              <w:rPr>
                <w:sz w:val="20"/>
                <w:szCs w:val="20"/>
              </w:rPr>
              <w:t>U.S. Supreme Court</w:t>
            </w:r>
            <w:r w:rsidRPr="00F32FF6">
              <w:rPr>
                <w:sz w:val="20"/>
                <w:szCs w:val="20"/>
              </w:rPr>
              <w:t xml:space="preserve"> stellte </w:t>
            </w:r>
            <w:r>
              <w:rPr>
                <w:sz w:val="20"/>
                <w:szCs w:val="20"/>
              </w:rPr>
              <w:t xml:space="preserve">dann </w:t>
            </w:r>
            <w:r w:rsidRPr="00F32FF6">
              <w:rPr>
                <w:sz w:val="20"/>
                <w:szCs w:val="20"/>
              </w:rPr>
              <w:t xml:space="preserve">fest, dass die Begnadigung </w:t>
            </w:r>
            <w:r>
              <w:rPr>
                <w:sz w:val="20"/>
                <w:szCs w:val="20"/>
              </w:rPr>
              <w:t xml:space="preserve">die gesamten </w:t>
            </w:r>
            <w:r w:rsidRPr="00F32FF6">
              <w:rPr>
                <w:sz w:val="20"/>
                <w:szCs w:val="20"/>
              </w:rPr>
              <w:t>Vergehen</w:t>
            </w:r>
            <w:r>
              <w:rPr>
                <w:sz w:val="20"/>
                <w:szCs w:val="20"/>
              </w:rPr>
              <w:t xml:space="preserve"> des Klägers umfasse</w:t>
            </w:r>
            <w:r w:rsidRPr="00F32FF6">
              <w:rPr>
                <w:sz w:val="20"/>
                <w:szCs w:val="20"/>
              </w:rPr>
              <w:t xml:space="preserve">. Die Begnadigung </w:t>
            </w:r>
            <w:r>
              <w:rPr>
                <w:sz w:val="20"/>
                <w:szCs w:val="20"/>
              </w:rPr>
              <w:t>befreie den</w:t>
            </w:r>
            <w:r w:rsidRPr="00F32FF6">
              <w:rPr>
                <w:sz w:val="20"/>
                <w:szCs w:val="20"/>
              </w:rPr>
              <w:t xml:space="preserve"> Kläger </w:t>
            </w:r>
            <w:r>
              <w:rPr>
                <w:sz w:val="20"/>
                <w:szCs w:val="20"/>
              </w:rPr>
              <w:t xml:space="preserve">daher </w:t>
            </w:r>
            <w:r w:rsidRPr="00F32FF6">
              <w:rPr>
                <w:sz w:val="20"/>
                <w:szCs w:val="20"/>
              </w:rPr>
              <w:t>von Strafen, die mit d</w:t>
            </w:r>
            <w:r>
              <w:rPr>
                <w:sz w:val="20"/>
                <w:szCs w:val="20"/>
              </w:rPr>
              <w:t>iesen</w:t>
            </w:r>
            <w:r w:rsidRPr="00F32FF6">
              <w:rPr>
                <w:sz w:val="20"/>
                <w:szCs w:val="20"/>
              </w:rPr>
              <w:t xml:space="preserve"> Vergehen verbunden waren. </w:t>
            </w:r>
            <w:r>
              <w:rPr>
                <w:sz w:val="20"/>
                <w:szCs w:val="20"/>
              </w:rPr>
              <w:t>Daneben liege es</w:t>
            </w:r>
            <w:r w:rsidRPr="00F32FF6">
              <w:rPr>
                <w:sz w:val="20"/>
                <w:szCs w:val="20"/>
              </w:rPr>
              <w:t xml:space="preserve"> nicht in der </w:t>
            </w:r>
            <w:r>
              <w:rPr>
                <w:sz w:val="20"/>
                <w:szCs w:val="20"/>
              </w:rPr>
              <w:t>Kompetenz des</w:t>
            </w:r>
            <w:r w:rsidRPr="00F32FF6">
              <w:rPr>
                <w:sz w:val="20"/>
                <w:szCs w:val="20"/>
              </w:rPr>
              <w:t xml:space="preserve"> Kongresses, Strafen zu verhängen, die über das hinausg</w:t>
            </w:r>
            <w:r>
              <w:rPr>
                <w:sz w:val="20"/>
                <w:szCs w:val="20"/>
              </w:rPr>
              <w:t>ingen</w:t>
            </w:r>
            <w:r w:rsidRPr="00F32FF6">
              <w:rPr>
                <w:sz w:val="20"/>
                <w:szCs w:val="20"/>
              </w:rPr>
              <w:t>, was die Exekutiv</w:t>
            </w:r>
            <w:r>
              <w:rPr>
                <w:sz w:val="20"/>
                <w:szCs w:val="20"/>
              </w:rPr>
              <w:t xml:space="preserve">e begnadige. Das war aber mit dem Eid der Fall. Damit </w:t>
            </w:r>
            <w:r w:rsidRPr="00F32FF6">
              <w:rPr>
                <w:sz w:val="20"/>
                <w:szCs w:val="20"/>
              </w:rPr>
              <w:t>entschied</w:t>
            </w:r>
            <w:r>
              <w:rPr>
                <w:sz w:val="20"/>
                <w:szCs w:val="20"/>
              </w:rPr>
              <w:t xml:space="preserve"> der U.S. Supreme Court</w:t>
            </w:r>
            <w:r w:rsidRPr="00F32FF6">
              <w:rPr>
                <w:sz w:val="20"/>
                <w:szCs w:val="20"/>
              </w:rPr>
              <w:t xml:space="preserve">, dass </w:t>
            </w:r>
            <w:r>
              <w:rPr>
                <w:sz w:val="20"/>
                <w:szCs w:val="20"/>
              </w:rPr>
              <w:t>das Gesetz</w:t>
            </w:r>
            <w:r w:rsidRPr="00F32FF6">
              <w:rPr>
                <w:sz w:val="20"/>
                <w:szCs w:val="20"/>
              </w:rPr>
              <w:t xml:space="preserve"> aufgehoben werden m</w:t>
            </w:r>
            <w:r>
              <w:rPr>
                <w:sz w:val="20"/>
                <w:szCs w:val="20"/>
              </w:rPr>
              <w:t>üss</w:t>
            </w:r>
            <w:r w:rsidRPr="00F32FF6">
              <w:rPr>
                <w:sz w:val="20"/>
                <w:szCs w:val="20"/>
              </w:rPr>
              <w:t>e</w:t>
            </w:r>
            <w:r>
              <w:rPr>
                <w:sz w:val="20"/>
                <w:szCs w:val="20"/>
              </w:rPr>
              <w:t xml:space="preserve">, welches von Anwälten </w:t>
            </w:r>
            <w:r w:rsidRPr="00F32FF6">
              <w:rPr>
                <w:sz w:val="20"/>
                <w:szCs w:val="20"/>
              </w:rPr>
              <w:t>verlang</w:t>
            </w:r>
            <w:r>
              <w:rPr>
                <w:sz w:val="20"/>
                <w:szCs w:val="20"/>
              </w:rPr>
              <w:t>t hatte</w:t>
            </w:r>
            <w:r w:rsidRPr="00F32FF6">
              <w:rPr>
                <w:sz w:val="20"/>
                <w:szCs w:val="20"/>
              </w:rPr>
              <w:t xml:space="preserve">, </w:t>
            </w:r>
            <w:r>
              <w:rPr>
                <w:sz w:val="20"/>
                <w:szCs w:val="20"/>
              </w:rPr>
              <w:t xml:space="preserve">den obigen </w:t>
            </w:r>
            <w:r w:rsidRPr="00F32FF6">
              <w:rPr>
                <w:sz w:val="20"/>
                <w:szCs w:val="20"/>
              </w:rPr>
              <w:t>Eid ab</w:t>
            </w:r>
            <w:r>
              <w:rPr>
                <w:sz w:val="20"/>
                <w:szCs w:val="20"/>
              </w:rPr>
              <w:t>zu</w:t>
            </w:r>
            <w:r w:rsidRPr="00F32FF6">
              <w:rPr>
                <w:sz w:val="20"/>
                <w:szCs w:val="20"/>
              </w:rPr>
              <w:t>legen</w:t>
            </w:r>
            <w:r>
              <w:rPr>
                <w:sz w:val="20"/>
                <w:szCs w:val="20"/>
              </w:rPr>
              <w:t xml:space="preserve">. Daher wurde dem </w:t>
            </w:r>
            <w:r w:rsidRPr="00F32FF6">
              <w:rPr>
                <w:sz w:val="20"/>
                <w:szCs w:val="20"/>
              </w:rPr>
              <w:t>Antrag des Klägers</w:t>
            </w:r>
            <w:r>
              <w:rPr>
                <w:sz w:val="20"/>
                <w:szCs w:val="20"/>
              </w:rPr>
              <w:t xml:space="preserve"> entsprochen und die Begnadigung befreite den Kläger auch von Strafen des Gesetzes</w:t>
            </w:r>
            <w:r w:rsidRPr="00F32FF6">
              <w:rPr>
                <w:sz w:val="20"/>
                <w:szCs w:val="20"/>
              </w:rPr>
              <w:t xml:space="preserve">. </w:t>
            </w:r>
            <w:r>
              <w:rPr>
                <w:sz w:val="20"/>
                <w:szCs w:val="20"/>
              </w:rPr>
              <w:t>Zudem wurde die</w:t>
            </w:r>
            <w:r w:rsidRPr="00F32FF6">
              <w:rPr>
                <w:sz w:val="20"/>
                <w:szCs w:val="20"/>
              </w:rPr>
              <w:t xml:space="preserve"> Eid</w:t>
            </w:r>
            <w:r>
              <w:rPr>
                <w:sz w:val="20"/>
                <w:szCs w:val="20"/>
              </w:rPr>
              <w:t>espflicht</w:t>
            </w:r>
            <w:r w:rsidRPr="00F32FF6">
              <w:rPr>
                <w:sz w:val="20"/>
                <w:szCs w:val="20"/>
              </w:rPr>
              <w:t xml:space="preserve"> für Anwälte aufgehoben</w:t>
            </w:r>
            <w:r>
              <w:rPr>
                <w:sz w:val="20"/>
                <w:szCs w:val="20"/>
              </w:rPr>
              <w:t>.</w:t>
            </w:r>
          </w:p>
          <w:p w14:paraId="4F22739A" w14:textId="77777777" w:rsidR="00FE5F32" w:rsidRPr="00BE3728" w:rsidRDefault="00FE5F32" w:rsidP="00367133">
            <w:pPr>
              <w:jc w:val="both"/>
              <w:rPr>
                <w:sz w:val="20"/>
                <w:szCs w:val="20"/>
              </w:rPr>
            </w:pPr>
          </w:p>
        </w:tc>
        <w:tc>
          <w:tcPr>
            <w:tcW w:w="1822" w:type="pct"/>
          </w:tcPr>
          <w:p w14:paraId="77B9BFDF"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Privileges</w:t>
            </w:r>
            <w:proofErr w:type="spellEnd"/>
            <w:r w:rsidRPr="00B45592">
              <w:rPr>
                <w:i/>
                <w:sz w:val="20"/>
                <w:szCs w:val="20"/>
              </w:rPr>
              <w:t xml:space="preserve"> and </w:t>
            </w:r>
            <w:proofErr w:type="spellStart"/>
            <w:r w:rsidRPr="00B45592">
              <w:rPr>
                <w:i/>
                <w:sz w:val="20"/>
                <w:szCs w:val="20"/>
              </w:rPr>
              <w:t>Immunities</w:t>
            </w:r>
            <w:proofErr w:type="spellEnd"/>
            <w:r w:rsidRPr="00B45592">
              <w:rPr>
                <w:i/>
                <w:sz w:val="20"/>
                <w:szCs w:val="20"/>
              </w:rPr>
              <w:t xml:space="preserve"> </w:t>
            </w:r>
          </w:p>
          <w:p w14:paraId="2C02C18D" w14:textId="77777777" w:rsidR="00074551" w:rsidRDefault="00074551" w:rsidP="00367133">
            <w:pPr>
              <w:rPr>
                <w:sz w:val="20"/>
                <w:szCs w:val="20"/>
              </w:rPr>
            </w:pPr>
          </w:p>
          <w:p w14:paraId="00C81B83" w14:textId="77777777" w:rsidR="00074551" w:rsidRPr="004F09B3" w:rsidRDefault="00074551" w:rsidP="00367133">
            <w:pPr>
              <w:rPr>
                <w:sz w:val="20"/>
                <w:szCs w:val="20"/>
              </w:rPr>
            </w:pPr>
            <w:r w:rsidRPr="004F09B3">
              <w:rPr>
                <w:sz w:val="20"/>
                <w:szCs w:val="20"/>
              </w:rPr>
              <w:t xml:space="preserve">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4F09B3">
              <w:rPr>
                <w:sz w:val="20"/>
                <w:szCs w:val="20"/>
              </w:rPr>
              <w:t xml:space="preserve"> argumentierte, dass der Kongress und die Bundesstaaten das Recht </w:t>
            </w:r>
            <w:r>
              <w:rPr>
                <w:sz w:val="20"/>
                <w:szCs w:val="20"/>
              </w:rPr>
              <w:t>hätten</w:t>
            </w:r>
            <w:r w:rsidRPr="004F09B3">
              <w:rPr>
                <w:sz w:val="20"/>
                <w:szCs w:val="20"/>
              </w:rPr>
              <w:t xml:space="preserve">, Voraussetzungen für Berufsausübungen festzulegen – wie </w:t>
            </w:r>
            <w:r>
              <w:rPr>
                <w:sz w:val="20"/>
                <w:szCs w:val="20"/>
              </w:rPr>
              <w:t>die Voraussetzung, gemäß dem</w:t>
            </w:r>
            <w:r w:rsidRPr="004F09B3">
              <w:rPr>
                <w:sz w:val="20"/>
                <w:szCs w:val="20"/>
              </w:rPr>
              <w:t xml:space="preserve"> Gesetz vom 24. Januar 1865 („</w:t>
            </w:r>
            <w:proofErr w:type="spellStart"/>
            <w:r w:rsidRPr="004F09B3">
              <w:rPr>
                <w:sz w:val="20"/>
                <w:szCs w:val="20"/>
              </w:rPr>
              <w:t>act</w:t>
            </w:r>
            <w:proofErr w:type="spellEnd"/>
            <w:r w:rsidRPr="004F09B3">
              <w:rPr>
                <w:sz w:val="20"/>
                <w:szCs w:val="20"/>
              </w:rPr>
              <w:t xml:space="preserve"> of </w:t>
            </w:r>
            <w:proofErr w:type="spellStart"/>
            <w:r w:rsidRPr="004F09B3">
              <w:rPr>
                <w:sz w:val="20"/>
                <w:szCs w:val="20"/>
              </w:rPr>
              <w:t>Congress</w:t>
            </w:r>
            <w:proofErr w:type="spellEnd"/>
            <w:r w:rsidRPr="004F09B3">
              <w:rPr>
                <w:sz w:val="20"/>
                <w:szCs w:val="20"/>
              </w:rPr>
              <w:t xml:space="preserve"> of </w:t>
            </w:r>
            <w:proofErr w:type="spellStart"/>
            <w:r w:rsidRPr="004F09B3">
              <w:rPr>
                <w:sz w:val="20"/>
                <w:szCs w:val="20"/>
              </w:rPr>
              <w:t>January</w:t>
            </w:r>
            <w:proofErr w:type="spellEnd"/>
            <w:r w:rsidRPr="004F09B3">
              <w:rPr>
                <w:sz w:val="20"/>
                <w:szCs w:val="20"/>
              </w:rPr>
              <w:t xml:space="preserve"> 24th, 1865“) einen Treueeid ablegen zu müssen, um Anwalt zu werden. Und sie sahen in der Voraussetzung</w:t>
            </w:r>
            <w:r>
              <w:rPr>
                <w:sz w:val="20"/>
                <w:szCs w:val="20"/>
              </w:rPr>
              <w:t>,</w:t>
            </w:r>
            <w:r w:rsidRPr="004F09B3">
              <w:rPr>
                <w:sz w:val="20"/>
                <w:szCs w:val="20"/>
              </w:rPr>
              <w:t xml:space="preserve"> diesen Treueeid ablegen zu müssen</w:t>
            </w:r>
            <w:r>
              <w:rPr>
                <w:sz w:val="20"/>
                <w:szCs w:val="20"/>
              </w:rPr>
              <w:t>,</w:t>
            </w:r>
            <w:r w:rsidRPr="004F09B3">
              <w:rPr>
                <w:sz w:val="20"/>
                <w:szCs w:val="20"/>
              </w:rPr>
              <w:t xml:space="preserve"> keine Strafe</w:t>
            </w:r>
            <w:r>
              <w:rPr>
                <w:sz w:val="20"/>
                <w:szCs w:val="20"/>
              </w:rPr>
              <w:t>, s</w:t>
            </w:r>
            <w:r w:rsidRPr="004F09B3">
              <w:rPr>
                <w:sz w:val="20"/>
                <w:szCs w:val="20"/>
              </w:rPr>
              <w:t xml:space="preserve">ondern ein Eid sei vielmehr eine Qualifikation, um Loyalität gegenüber der Regierung sicherzustellen. Daher betrachtete 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4F09B3">
              <w:rPr>
                <w:sz w:val="20"/>
                <w:szCs w:val="20"/>
              </w:rPr>
              <w:t xml:space="preserve"> das Gesetz als verfassungskonform.</w:t>
            </w:r>
            <w:r w:rsidRPr="004F09B3">
              <w:rPr>
                <w:sz w:val="20"/>
                <w:szCs w:val="20"/>
                <w:vertAlign w:val="superscript"/>
              </w:rPr>
              <w:footnoteReference w:id="560"/>
            </w:r>
            <w:r w:rsidRPr="004F09B3">
              <w:rPr>
                <w:sz w:val="20"/>
                <w:szCs w:val="20"/>
              </w:rPr>
              <w:t xml:space="preserve"> Doch wie kam sie dogmatisch auf dieses Ergebnis? Zunächst sei das Recht, als Anwalt vor Gericht zu praktizieren, ein Vorrecht oder Privileg. Ein Gesetz </w:t>
            </w:r>
            <w:r>
              <w:rPr>
                <w:sz w:val="20"/>
                <w:szCs w:val="20"/>
              </w:rPr>
              <w:t>könne</w:t>
            </w:r>
            <w:r w:rsidRPr="004F09B3">
              <w:rPr>
                <w:sz w:val="20"/>
                <w:szCs w:val="20"/>
              </w:rPr>
              <w:t xml:space="preserve"> es daher unter Voraussetzungen stellen, welche eine Regierung oder ein Bundesstaat festlegen </w:t>
            </w:r>
            <w:r>
              <w:rPr>
                <w:sz w:val="20"/>
                <w:szCs w:val="20"/>
              </w:rPr>
              <w:t>könnten</w:t>
            </w:r>
            <w:r w:rsidRPr="004F09B3">
              <w:rPr>
                <w:sz w:val="20"/>
                <w:szCs w:val="20"/>
              </w:rPr>
              <w:t xml:space="preserve">. </w:t>
            </w:r>
            <w:r>
              <w:rPr>
                <w:sz w:val="20"/>
                <w:szCs w:val="20"/>
              </w:rPr>
              <w:t>Der</w:t>
            </w:r>
            <w:r w:rsidRPr="004F09B3">
              <w:rPr>
                <w:sz w:val="20"/>
                <w:szCs w:val="20"/>
              </w:rPr>
              <w:t xml:space="preserve"> Beruf des Anwalts </w:t>
            </w:r>
            <w:r>
              <w:rPr>
                <w:sz w:val="20"/>
                <w:szCs w:val="20"/>
              </w:rPr>
              <w:t xml:space="preserve">sei also </w:t>
            </w:r>
            <w:r w:rsidRPr="004F09B3">
              <w:rPr>
                <w:sz w:val="20"/>
                <w:szCs w:val="20"/>
              </w:rPr>
              <w:t xml:space="preserve">ein Vorrecht bzw. Privileg, aber kein absolutes Recht. </w:t>
            </w:r>
            <w:r>
              <w:rPr>
                <w:sz w:val="20"/>
                <w:szCs w:val="20"/>
              </w:rPr>
              <w:t>W</w:t>
            </w:r>
            <w:r w:rsidRPr="004F09B3">
              <w:rPr>
                <w:sz w:val="20"/>
                <w:szCs w:val="20"/>
              </w:rPr>
              <w:t xml:space="preserve">ie erklärt sich dieser Unterschied? Die </w:t>
            </w:r>
            <w:proofErr w:type="spellStart"/>
            <w:r w:rsidRPr="00B45592">
              <w:rPr>
                <w:i/>
                <w:iCs/>
                <w:sz w:val="20"/>
                <w:szCs w:val="20"/>
              </w:rPr>
              <w:t>dissenting</w:t>
            </w:r>
            <w:proofErr w:type="spellEnd"/>
            <w:r w:rsidRPr="00B45592">
              <w:rPr>
                <w:i/>
                <w:iCs/>
                <w:sz w:val="20"/>
                <w:szCs w:val="20"/>
              </w:rPr>
              <w:t xml:space="preserve"> </w:t>
            </w:r>
            <w:proofErr w:type="spellStart"/>
            <w:r w:rsidRPr="00B45592">
              <w:rPr>
                <w:i/>
                <w:iCs/>
                <w:sz w:val="20"/>
                <w:szCs w:val="20"/>
              </w:rPr>
              <w:t>opinion</w:t>
            </w:r>
            <w:proofErr w:type="spellEnd"/>
            <w:r w:rsidRPr="004F09B3">
              <w:rPr>
                <w:sz w:val="20"/>
                <w:szCs w:val="20"/>
              </w:rPr>
              <w:t xml:space="preserve"> erläutert dies beispielbezogen: Einerseits gibt es das Recht einer Partei, sich in einem Gerichtsverfahren zu verteidigen; und andererseits gibt es das Recht eines </w:t>
            </w:r>
            <w:r>
              <w:rPr>
                <w:sz w:val="20"/>
                <w:szCs w:val="20"/>
              </w:rPr>
              <w:t>a</w:t>
            </w:r>
            <w:r w:rsidRPr="004F09B3">
              <w:rPr>
                <w:sz w:val="20"/>
                <w:szCs w:val="20"/>
              </w:rPr>
              <w:t xml:space="preserve">nderen, für die Partei zu erscheinen und sie zu verteidigen. </w:t>
            </w:r>
            <w:proofErr w:type="spellStart"/>
            <w:r w:rsidRPr="004F09B3">
              <w:rPr>
                <w:sz w:val="20"/>
                <w:szCs w:val="20"/>
                <w:lang w:val="en-US"/>
              </w:rPr>
              <w:t>Ersteres</w:t>
            </w:r>
            <w:proofErr w:type="spellEnd"/>
            <w:r w:rsidRPr="004F09B3">
              <w:rPr>
                <w:sz w:val="20"/>
                <w:szCs w:val="20"/>
                <w:lang w:val="en-US"/>
              </w:rPr>
              <w:t xml:space="preserve"> </w:t>
            </w:r>
            <w:proofErr w:type="spellStart"/>
            <w:r w:rsidRPr="004F09B3">
              <w:rPr>
                <w:sz w:val="20"/>
                <w:szCs w:val="20"/>
                <w:lang w:val="en-US"/>
              </w:rPr>
              <w:t>ist</w:t>
            </w:r>
            <w:proofErr w:type="spellEnd"/>
            <w:r w:rsidRPr="004F09B3">
              <w:rPr>
                <w:sz w:val="20"/>
                <w:szCs w:val="20"/>
                <w:lang w:val="en-US"/>
              </w:rPr>
              <w:t xml:space="preserve"> </w:t>
            </w:r>
            <w:proofErr w:type="spellStart"/>
            <w:r w:rsidRPr="004F09B3">
              <w:rPr>
                <w:sz w:val="20"/>
                <w:szCs w:val="20"/>
                <w:lang w:val="en-US"/>
              </w:rPr>
              <w:t>wie</w:t>
            </w:r>
            <w:proofErr w:type="spellEnd"/>
            <w:r w:rsidRPr="004F09B3">
              <w:rPr>
                <w:sz w:val="20"/>
                <w:szCs w:val="20"/>
                <w:lang w:val="en-US"/>
              </w:rPr>
              <w:t xml:space="preserve"> das Recht auf das </w:t>
            </w:r>
            <w:proofErr w:type="spellStart"/>
            <w:r w:rsidRPr="004F09B3">
              <w:rPr>
                <w:sz w:val="20"/>
                <w:szCs w:val="20"/>
                <w:lang w:val="en-US"/>
              </w:rPr>
              <w:t>Streben</w:t>
            </w:r>
            <w:proofErr w:type="spellEnd"/>
            <w:r w:rsidRPr="004F09B3">
              <w:rPr>
                <w:sz w:val="20"/>
                <w:szCs w:val="20"/>
                <w:lang w:val="en-US"/>
              </w:rPr>
              <w:t xml:space="preserve"> </w:t>
            </w:r>
            <w:proofErr w:type="spellStart"/>
            <w:r w:rsidRPr="004F09B3">
              <w:rPr>
                <w:sz w:val="20"/>
                <w:szCs w:val="20"/>
                <w:lang w:val="en-US"/>
              </w:rPr>
              <w:t>nach</w:t>
            </w:r>
            <w:proofErr w:type="spellEnd"/>
            <w:r w:rsidRPr="004F09B3">
              <w:rPr>
                <w:sz w:val="20"/>
                <w:szCs w:val="20"/>
                <w:lang w:val="en-US"/>
              </w:rPr>
              <w:t xml:space="preserve"> Glück </w:t>
            </w:r>
            <w:proofErr w:type="spellStart"/>
            <w:r w:rsidRPr="004F09B3">
              <w:rPr>
                <w:sz w:val="20"/>
                <w:szCs w:val="20"/>
                <w:lang w:val="en-US"/>
              </w:rPr>
              <w:t>unveräußerlich</w:t>
            </w:r>
            <w:proofErr w:type="spellEnd"/>
            <w:r w:rsidRPr="004F09B3">
              <w:rPr>
                <w:sz w:val="20"/>
                <w:szCs w:val="20"/>
                <w:lang w:val="en-US"/>
              </w:rPr>
              <w:t xml:space="preserve"> („the right of a party to a suit in court to defend his own cause, […] like the right to […] the pursuit of happiness, is </w:t>
            </w:r>
            <w:proofErr w:type="gramStart"/>
            <w:r w:rsidRPr="004F09B3">
              <w:rPr>
                <w:sz w:val="20"/>
                <w:szCs w:val="20"/>
                <w:lang w:val="en-US"/>
              </w:rPr>
              <w:t>inalienable“</w:t>
            </w:r>
            <w:proofErr w:type="gramEnd"/>
            <w:r w:rsidRPr="004F09B3">
              <w:rPr>
                <w:sz w:val="20"/>
                <w:szCs w:val="20"/>
                <w:vertAlign w:val="superscript"/>
                <w:lang w:val="en-US"/>
              </w:rPr>
              <w:footnoteReference w:id="561"/>
            </w:r>
            <w:r w:rsidRPr="00B45592">
              <w:rPr>
                <w:sz w:val="20"/>
                <w:szCs w:val="20"/>
                <w:lang w:val="en-IE"/>
              </w:rPr>
              <w:t xml:space="preserve">). </w:t>
            </w:r>
            <w:r w:rsidRPr="004F09B3">
              <w:rPr>
                <w:sz w:val="20"/>
                <w:szCs w:val="20"/>
              </w:rPr>
              <w:t>Letzteres ist ein durch das Gesetz verliehenes Vorrecht bzw. Privileg für eine Person, die die vorgeschriebenen Bedingungen erfüll</w:t>
            </w:r>
            <w:r>
              <w:rPr>
                <w:sz w:val="20"/>
                <w:szCs w:val="20"/>
              </w:rPr>
              <w:t>t</w:t>
            </w:r>
            <w:r w:rsidRPr="004F09B3">
              <w:rPr>
                <w:sz w:val="20"/>
                <w:szCs w:val="20"/>
              </w:rPr>
              <w:t>.</w:t>
            </w:r>
            <w:r w:rsidRPr="004F09B3">
              <w:rPr>
                <w:sz w:val="20"/>
                <w:szCs w:val="20"/>
                <w:vertAlign w:val="superscript"/>
                <w:lang w:val="en-US"/>
              </w:rPr>
              <w:footnoteReference w:id="562"/>
            </w:r>
          </w:p>
          <w:p w14:paraId="17D4298A" w14:textId="77777777" w:rsidR="00074551" w:rsidRPr="00BE3728" w:rsidRDefault="00074551" w:rsidP="00367133">
            <w:pPr>
              <w:jc w:val="both"/>
              <w:rPr>
                <w:sz w:val="20"/>
                <w:szCs w:val="20"/>
              </w:rPr>
            </w:pPr>
          </w:p>
        </w:tc>
      </w:tr>
      <w:tr w:rsidR="00074551" w:rsidRPr="00E50B51" w14:paraId="54F7DB39" w14:textId="77777777" w:rsidTr="00BE689F">
        <w:trPr>
          <w:cantSplit/>
          <w:trHeight w:val="3175"/>
        </w:trPr>
        <w:tc>
          <w:tcPr>
            <w:tcW w:w="293" w:type="pct"/>
          </w:tcPr>
          <w:p w14:paraId="59C8A8BD"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01FE52ED"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14BFEFAB" w14:textId="77777777" w:rsidR="00074551" w:rsidRPr="00257307" w:rsidRDefault="00074551" w:rsidP="00367133">
            <w:pPr>
              <w:ind w:left="113" w:right="113"/>
              <w:jc w:val="both"/>
              <w:rPr>
                <w:sz w:val="20"/>
                <w:szCs w:val="20"/>
              </w:rPr>
            </w:pPr>
            <w:r w:rsidRPr="008F73D7">
              <w:rPr>
                <w:i/>
                <w:sz w:val="20"/>
                <w:szCs w:val="20"/>
              </w:rPr>
              <w:t xml:space="preserve">Marchie Tiger v. Western </w:t>
            </w:r>
            <w:proofErr w:type="spellStart"/>
            <w:r w:rsidRPr="008F73D7">
              <w:rPr>
                <w:i/>
                <w:sz w:val="20"/>
                <w:szCs w:val="20"/>
              </w:rPr>
              <w:t>Inv</w:t>
            </w:r>
            <w:proofErr w:type="spellEnd"/>
            <w:r w:rsidRPr="008F73D7">
              <w:rPr>
                <w:i/>
                <w:sz w:val="20"/>
                <w:szCs w:val="20"/>
              </w:rPr>
              <w:t>. Co.</w:t>
            </w:r>
          </w:p>
        </w:tc>
        <w:tc>
          <w:tcPr>
            <w:tcW w:w="197" w:type="pct"/>
            <w:textDirection w:val="tbRl"/>
            <w:vAlign w:val="center"/>
          </w:tcPr>
          <w:p w14:paraId="225A34FD" w14:textId="77777777" w:rsidR="00074551" w:rsidRPr="00257307" w:rsidRDefault="00074551" w:rsidP="00367133">
            <w:pPr>
              <w:ind w:left="113" w:right="113"/>
              <w:jc w:val="both"/>
              <w:rPr>
                <w:sz w:val="20"/>
                <w:szCs w:val="20"/>
              </w:rPr>
            </w:pPr>
            <w:r w:rsidRPr="00257307">
              <w:rPr>
                <w:sz w:val="20"/>
                <w:szCs w:val="20"/>
              </w:rPr>
              <w:t>221 U.S. 286</w:t>
            </w:r>
          </w:p>
        </w:tc>
        <w:tc>
          <w:tcPr>
            <w:tcW w:w="306" w:type="pct"/>
            <w:textDirection w:val="tbRl"/>
            <w:vAlign w:val="center"/>
          </w:tcPr>
          <w:p w14:paraId="79AF8B6C" w14:textId="77777777" w:rsidR="00074551" w:rsidRDefault="00074551" w:rsidP="00367133">
            <w:pPr>
              <w:ind w:left="113" w:right="113"/>
              <w:jc w:val="both"/>
              <w:rPr>
                <w:sz w:val="20"/>
                <w:szCs w:val="20"/>
              </w:rPr>
            </w:pPr>
            <w:r>
              <w:rPr>
                <w:sz w:val="20"/>
                <w:szCs w:val="20"/>
                <w:lang w:val="en-US"/>
              </w:rPr>
              <w:t>15. Mai 1911</w:t>
            </w:r>
          </w:p>
        </w:tc>
        <w:tc>
          <w:tcPr>
            <w:tcW w:w="401" w:type="pct"/>
          </w:tcPr>
          <w:p w14:paraId="5E84B34E" w14:textId="77777777" w:rsidR="00074551" w:rsidRDefault="00074551" w:rsidP="00367133">
            <w:pPr>
              <w:jc w:val="center"/>
              <w:rPr>
                <w:sz w:val="20"/>
                <w:szCs w:val="20"/>
                <w:lang w:val="en-US"/>
              </w:rPr>
            </w:pPr>
            <w:r>
              <w:rPr>
                <w:sz w:val="20"/>
                <w:szCs w:val="20"/>
                <w:lang w:val="en-US"/>
              </w:rPr>
              <w:t>M</w:t>
            </w:r>
          </w:p>
        </w:tc>
        <w:tc>
          <w:tcPr>
            <w:tcW w:w="1594" w:type="pct"/>
          </w:tcPr>
          <w:p w14:paraId="23DFA7F5" w14:textId="77777777" w:rsidR="00074551" w:rsidRPr="00CE2990" w:rsidRDefault="00074551" w:rsidP="00367133">
            <w:pPr>
              <w:jc w:val="both"/>
              <w:rPr>
                <w:sz w:val="20"/>
                <w:szCs w:val="20"/>
              </w:rPr>
            </w:pPr>
            <w:r>
              <w:rPr>
                <w:sz w:val="20"/>
                <w:szCs w:val="20"/>
              </w:rPr>
              <w:t>*</w:t>
            </w:r>
          </w:p>
        </w:tc>
        <w:tc>
          <w:tcPr>
            <w:tcW w:w="1822" w:type="pct"/>
          </w:tcPr>
          <w:p w14:paraId="563B15B4"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Immunities</w:t>
            </w:r>
            <w:proofErr w:type="spellEnd"/>
            <w:r w:rsidRPr="00B45592">
              <w:rPr>
                <w:i/>
                <w:sz w:val="20"/>
                <w:szCs w:val="20"/>
              </w:rPr>
              <w:t>/Citizenship</w:t>
            </w:r>
          </w:p>
          <w:p w14:paraId="33BC80F8" w14:textId="77777777" w:rsidR="00074551" w:rsidRPr="00423357" w:rsidRDefault="00074551" w:rsidP="00367133">
            <w:pPr>
              <w:rPr>
                <w:b/>
                <w:bCs/>
                <w:sz w:val="20"/>
                <w:szCs w:val="20"/>
              </w:rPr>
            </w:pPr>
          </w:p>
          <w:p w14:paraId="61AC771E" w14:textId="77777777" w:rsidR="00074551" w:rsidRPr="00A748C6" w:rsidRDefault="00074551" w:rsidP="00367133">
            <w:pPr>
              <w:rPr>
                <w:sz w:val="20"/>
                <w:szCs w:val="20"/>
              </w:rPr>
            </w:pPr>
            <w:r w:rsidRPr="00306CF5">
              <w:rPr>
                <w:sz w:val="20"/>
                <w:szCs w:val="20"/>
              </w:rPr>
              <w:t xml:space="preserve">Nach der </w:t>
            </w:r>
            <w:r>
              <w:rPr>
                <w:sz w:val="20"/>
                <w:szCs w:val="20"/>
              </w:rPr>
              <w:t xml:space="preserve">z.B. in </w:t>
            </w:r>
            <w:r w:rsidRPr="008F73D7">
              <w:rPr>
                <w:i/>
                <w:sz w:val="20"/>
                <w:szCs w:val="20"/>
              </w:rPr>
              <w:t xml:space="preserve">Marchie Tiger v. Western </w:t>
            </w:r>
            <w:proofErr w:type="spellStart"/>
            <w:r w:rsidRPr="008F73D7">
              <w:rPr>
                <w:i/>
                <w:sz w:val="20"/>
                <w:szCs w:val="20"/>
              </w:rPr>
              <w:t>Inv</w:t>
            </w:r>
            <w:proofErr w:type="spellEnd"/>
            <w:r w:rsidRPr="008F73D7">
              <w:rPr>
                <w:i/>
                <w:sz w:val="20"/>
                <w:szCs w:val="20"/>
              </w:rPr>
              <w:t>. Co.</w:t>
            </w:r>
            <w:r>
              <w:rPr>
                <w:sz w:val="20"/>
                <w:szCs w:val="20"/>
              </w:rPr>
              <w:t xml:space="preserve"> </w:t>
            </w:r>
            <w:r w:rsidRPr="00306CF5">
              <w:rPr>
                <w:sz w:val="20"/>
                <w:szCs w:val="20"/>
              </w:rPr>
              <w:t>zitierten Slaughter-House</w:t>
            </w:r>
            <w:r>
              <w:rPr>
                <w:sz w:val="20"/>
                <w:szCs w:val="20"/>
              </w:rPr>
              <w:t>-</w:t>
            </w:r>
            <w:r w:rsidRPr="00306CF5">
              <w:rPr>
                <w:sz w:val="20"/>
                <w:szCs w:val="20"/>
              </w:rPr>
              <w:t>Rechtsprechung</w:t>
            </w:r>
            <w:r w:rsidRPr="00306CF5">
              <w:rPr>
                <w:sz w:val="20"/>
                <w:szCs w:val="20"/>
                <w:vertAlign w:val="superscript"/>
                <w:lang w:val="en-US"/>
              </w:rPr>
              <w:footnoteReference w:id="563"/>
            </w:r>
            <w:r w:rsidRPr="00306CF5">
              <w:rPr>
                <w:sz w:val="20"/>
                <w:szCs w:val="20"/>
              </w:rPr>
              <w:t xml:space="preserve"> </w:t>
            </w:r>
            <w:r>
              <w:rPr>
                <w:sz w:val="20"/>
                <w:szCs w:val="20"/>
              </w:rPr>
              <w:t>muss</w:t>
            </w:r>
            <w:r w:rsidRPr="00306CF5">
              <w:rPr>
                <w:sz w:val="20"/>
                <w:szCs w:val="20"/>
              </w:rPr>
              <w:t xml:space="preserve"> der Staat bestimmte Vorrechte und Immunitäten als Kernbereich der Staatsbürgerschaft sichern und staatliche Maßnahmen können diese nur ausnahmsweise einschränken, eben mit dem </w:t>
            </w:r>
            <w:r>
              <w:rPr>
                <w:sz w:val="20"/>
                <w:szCs w:val="20"/>
              </w:rPr>
              <w:t>Allgemeinwohl</w:t>
            </w:r>
            <w:r w:rsidRPr="00306CF5">
              <w:rPr>
                <w:sz w:val="20"/>
                <w:szCs w:val="20"/>
              </w:rPr>
              <w:t>. Eine Formel, die das Recht auf ein Streben nach Glück umfasst, lautet: Ein Schutz durch die Regierung muss das Recht</w:t>
            </w:r>
            <w:r>
              <w:rPr>
                <w:sz w:val="20"/>
                <w:szCs w:val="20"/>
              </w:rPr>
              <w:t xml:space="preserve"> beinhalten</w:t>
            </w:r>
            <w:r w:rsidRPr="00306CF5">
              <w:rPr>
                <w:sz w:val="20"/>
                <w:szCs w:val="20"/>
              </w:rPr>
              <w:t xml:space="preserve">, Eigentum erwerben und besitzen zu können sowie Glück und Sicherheit verfolgen und erlangen zu können, und staatliche Maßnahmen </w:t>
            </w:r>
            <w:r w:rsidRPr="00423357">
              <w:rPr>
                <w:sz w:val="20"/>
                <w:szCs w:val="20"/>
              </w:rPr>
              <w:t xml:space="preserve">können dies </w:t>
            </w:r>
            <w:r w:rsidRPr="00306CF5">
              <w:rPr>
                <w:sz w:val="20"/>
                <w:szCs w:val="20"/>
              </w:rPr>
              <w:t>nur aufgrund des Wohl</w:t>
            </w:r>
            <w:r>
              <w:rPr>
                <w:sz w:val="20"/>
                <w:szCs w:val="20"/>
              </w:rPr>
              <w:t>s</w:t>
            </w:r>
            <w:r w:rsidRPr="00306CF5">
              <w:rPr>
                <w:sz w:val="20"/>
                <w:szCs w:val="20"/>
              </w:rPr>
              <w:t xml:space="preserve"> der Allgemeinheit einschränken („</w:t>
            </w:r>
            <w:proofErr w:type="spellStart"/>
            <w:r w:rsidRPr="00306CF5">
              <w:rPr>
                <w:sz w:val="20"/>
                <w:szCs w:val="20"/>
              </w:rPr>
              <w:t>Protection</w:t>
            </w:r>
            <w:proofErr w:type="spellEnd"/>
            <w:r w:rsidRPr="00306CF5">
              <w:rPr>
                <w:sz w:val="20"/>
                <w:szCs w:val="20"/>
              </w:rPr>
              <w:t xml:space="preserve"> by the Government </w:t>
            </w:r>
            <w:proofErr w:type="spellStart"/>
            <w:r w:rsidRPr="00306CF5">
              <w:rPr>
                <w:sz w:val="20"/>
                <w:szCs w:val="20"/>
              </w:rPr>
              <w:t>with</w:t>
            </w:r>
            <w:proofErr w:type="spellEnd"/>
            <w:r w:rsidRPr="00306CF5">
              <w:rPr>
                <w:sz w:val="20"/>
                <w:szCs w:val="20"/>
              </w:rPr>
              <w:t xml:space="preserve"> the </w:t>
            </w:r>
            <w:proofErr w:type="spellStart"/>
            <w:r w:rsidRPr="00306CF5">
              <w:rPr>
                <w:sz w:val="20"/>
                <w:szCs w:val="20"/>
              </w:rPr>
              <w:t>right</w:t>
            </w:r>
            <w:proofErr w:type="spellEnd"/>
            <w:r w:rsidRPr="00306CF5">
              <w:rPr>
                <w:sz w:val="20"/>
                <w:szCs w:val="20"/>
              </w:rPr>
              <w:t xml:space="preserve"> to […] </w:t>
            </w:r>
            <w:proofErr w:type="spellStart"/>
            <w:r w:rsidRPr="00306CF5">
              <w:rPr>
                <w:sz w:val="20"/>
                <w:szCs w:val="20"/>
              </w:rPr>
              <w:t>obtain</w:t>
            </w:r>
            <w:proofErr w:type="spellEnd"/>
            <w:r w:rsidRPr="00306CF5">
              <w:rPr>
                <w:sz w:val="20"/>
                <w:szCs w:val="20"/>
              </w:rPr>
              <w:t xml:space="preserve"> </w:t>
            </w:r>
            <w:proofErr w:type="spellStart"/>
            <w:r w:rsidRPr="00306CF5">
              <w:rPr>
                <w:sz w:val="20"/>
                <w:szCs w:val="20"/>
              </w:rPr>
              <w:t>happiness</w:t>
            </w:r>
            <w:proofErr w:type="spellEnd"/>
            <w:r w:rsidRPr="00306CF5">
              <w:rPr>
                <w:sz w:val="20"/>
                <w:szCs w:val="20"/>
              </w:rPr>
              <w:t xml:space="preserve"> and </w:t>
            </w:r>
            <w:proofErr w:type="spellStart"/>
            <w:r w:rsidRPr="00306CF5">
              <w:rPr>
                <w:sz w:val="20"/>
                <w:szCs w:val="20"/>
              </w:rPr>
              <w:t>safety</w:t>
            </w:r>
            <w:proofErr w:type="spellEnd"/>
            <w:r w:rsidRPr="00306CF5">
              <w:rPr>
                <w:sz w:val="20"/>
                <w:szCs w:val="20"/>
              </w:rPr>
              <w:t xml:space="preserve">, </w:t>
            </w:r>
            <w:proofErr w:type="spellStart"/>
            <w:r w:rsidRPr="00306CF5">
              <w:rPr>
                <w:sz w:val="20"/>
                <w:szCs w:val="20"/>
              </w:rPr>
              <w:t>subject</w:t>
            </w:r>
            <w:proofErr w:type="spellEnd"/>
            <w:r w:rsidRPr="00306CF5">
              <w:rPr>
                <w:sz w:val="20"/>
                <w:szCs w:val="20"/>
              </w:rPr>
              <w:t xml:space="preserve">, </w:t>
            </w:r>
            <w:proofErr w:type="spellStart"/>
            <w:r w:rsidRPr="00306CF5">
              <w:rPr>
                <w:sz w:val="20"/>
                <w:szCs w:val="20"/>
              </w:rPr>
              <w:t>nevertheless</w:t>
            </w:r>
            <w:proofErr w:type="spellEnd"/>
            <w:r w:rsidRPr="00306CF5">
              <w:rPr>
                <w:sz w:val="20"/>
                <w:szCs w:val="20"/>
              </w:rPr>
              <w:t xml:space="preserve">, to such restraints as the Government </w:t>
            </w:r>
            <w:proofErr w:type="spellStart"/>
            <w:r w:rsidRPr="00306CF5">
              <w:rPr>
                <w:sz w:val="20"/>
                <w:szCs w:val="20"/>
              </w:rPr>
              <w:t>may</w:t>
            </w:r>
            <w:proofErr w:type="spellEnd"/>
            <w:r w:rsidRPr="00306CF5">
              <w:rPr>
                <w:sz w:val="20"/>
                <w:szCs w:val="20"/>
              </w:rPr>
              <w:t xml:space="preserve"> </w:t>
            </w:r>
            <w:proofErr w:type="spellStart"/>
            <w:r w:rsidRPr="00306CF5">
              <w:rPr>
                <w:sz w:val="20"/>
                <w:szCs w:val="20"/>
              </w:rPr>
              <w:t>prescribe</w:t>
            </w:r>
            <w:proofErr w:type="spellEnd"/>
            <w:r w:rsidRPr="00306CF5">
              <w:rPr>
                <w:sz w:val="20"/>
                <w:szCs w:val="20"/>
              </w:rPr>
              <w:t xml:space="preserve"> for the </w:t>
            </w:r>
            <w:proofErr w:type="spellStart"/>
            <w:r w:rsidRPr="00306CF5">
              <w:rPr>
                <w:sz w:val="20"/>
                <w:szCs w:val="20"/>
              </w:rPr>
              <w:t>general</w:t>
            </w:r>
            <w:proofErr w:type="spellEnd"/>
            <w:r w:rsidRPr="00306CF5">
              <w:rPr>
                <w:sz w:val="20"/>
                <w:szCs w:val="20"/>
              </w:rPr>
              <w:t xml:space="preserve"> </w:t>
            </w:r>
            <w:proofErr w:type="spellStart"/>
            <w:r w:rsidRPr="00306CF5">
              <w:rPr>
                <w:sz w:val="20"/>
                <w:szCs w:val="20"/>
              </w:rPr>
              <w:t>good</w:t>
            </w:r>
            <w:proofErr w:type="spellEnd"/>
            <w:r w:rsidRPr="00306CF5">
              <w:rPr>
                <w:sz w:val="20"/>
                <w:szCs w:val="20"/>
              </w:rPr>
              <w:t xml:space="preserve"> of the </w:t>
            </w:r>
            <w:proofErr w:type="spellStart"/>
            <w:r w:rsidRPr="00306CF5">
              <w:rPr>
                <w:sz w:val="20"/>
                <w:szCs w:val="20"/>
              </w:rPr>
              <w:t>whole</w:t>
            </w:r>
            <w:proofErr w:type="spellEnd"/>
            <w:r w:rsidRPr="00306CF5">
              <w:rPr>
                <w:sz w:val="20"/>
                <w:szCs w:val="20"/>
              </w:rPr>
              <w:t>“</w:t>
            </w:r>
            <w:r w:rsidRPr="00306CF5">
              <w:rPr>
                <w:sz w:val="20"/>
                <w:szCs w:val="20"/>
                <w:vertAlign w:val="superscript"/>
                <w:lang w:val="en-US"/>
              </w:rPr>
              <w:footnoteReference w:id="564"/>
            </w:r>
            <w:r w:rsidRPr="00306CF5">
              <w:rPr>
                <w:sz w:val="20"/>
                <w:szCs w:val="20"/>
              </w:rPr>
              <w:t>)</w:t>
            </w:r>
            <w:r w:rsidRPr="00423357">
              <w:rPr>
                <w:sz w:val="20"/>
                <w:szCs w:val="20"/>
              </w:rPr>
              <w:t>.</w:t>
            </w:r>
          </w:p>
          <w:p w14:paraId="3062AF9D" w14:textId="77777777" w:rsidR="00074551" w:rsidRPr="00402ECC" w:rsidRDefault="00074551" w:rsidP="00367133">
            <w:pPr>
              <w:rPr>
                <w:b/>
                <w:bCs/>
                <w:sz w:val="20"/>
                <w:szCs w:val="20"/>
              </w:rPr>
            </w:pPr>
          </w:p>
        </w:tc>
      </w:tr>
      <w:tr w:rsidR="00074551" w:rsidRPr="00E50B51" w14:paraId="22822D0C" w14:textId="77777777" w:rsidTr="00BE689F">
        <w:trPr>
          <w:cantSplit/>
          <w:trHeight w:val="3175"/>
        </w:trPr>
        <w:tc>
          <w:tcPr>
            <w:tcW w:w="293" w:type="pct"/>
          </w:tcPr>
          <w:p w14:paraId="43A1F498"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373151B9"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7A18EC43" w14:textId="77777777" w:rsidR="00074551" w:rsidRPr="00B45592" w:rsidRDefault="00074551" w:rsidP="00367133">
            <w:pPr>
              <w:ind w:left="113" w:right="113"/>
              <w:jc w:val="both"/>
              <w:rPr>
                <w:i/>
                <w:sz w:val="20"/>
                <w:szCs w:val="20"/>
              </w:rPr>
            </w:pPr>
            <w:r w:rsidRPr="00B45592">
              <w:rPr>
                <w:i/>
                <w:sz w:val="20"/>
                <w:szCs w:val="20"/>
              </w:rPr>
              <w:t>Maxwell v. Dow</w:t>
            </w:r>
          </w:p>
        </w:tc>
        <w:tc>
          <w:tcPr>
            <w:tcW w:w="197" w:type="pct"/>
            <w:textDirection w:val="tbRl"/>
            <w:vAlign w:val="center"/>
          </w:tcPr>
          <w:p w14:paraId="292CC02D" w14:textId="77777777" w:rsidR="00074551" w:rsidRPr="00257307" w:rsidRDefault="00074551" w:rsidP="00367133">
            <w:pPr>
              <w:ind w:left="113" w:right="113"/>
              <w:jc w:val="both"/>
              <w:rPr>
                <w:sz w:val="20"/>
                <w:szCs w:val="20"/>
              </w:rPr>
            </w:pPr>
            <w:r w:rsidRPr="00257307">
              <w:rPr>
                <w:sz w:val="20"/>
                <w:szCs w:val="20"/>
              </w:rPr>
              <w:t>176 U.S. 581</w:t>
            </w:r>
          </w:p>
        </w:tc>
        <w:tc>
          <w:tcPr>
            <w:tcW w:w="306" w:type="pct"/>
            <w:textDirection w:val="tbRl"/>
            <w:vAlign w:val="center"/>
          </w:tcPr>
          <w:p w14:paraId="34D53F29" w14:textId="77777777" w:rsidR="00074551" w:rsidRDefault="00074551" w:rsidP="00367133">
            <w:pPr>
              <w:ind w:left="113" w:right="113"/>
              <w:jc w:val="both"/>
              <w:rPr>
                <w:sz w:val="20"/>
                <w:szCs w:val="20"/>
                <w:lang w:val="en-US"/>
              </w:rPr>
            </w:pPr>
            <w:r>
              <w:rPr>
                <w:sz w:val="20"/>
                <w:szCs w:val="20"/>
                <w:lang w:val="en-US"/>
              </w:rPr>
              <w:t xml:space="preserve">26. </w:t>
            </w:r>
            <w:proofErr w:type="spellStart"/>
            <w:r>
              <w:rPr>
                <w:sz w:val="20"/>
                <w:szCs w:val="20"/>
                <w:lang w:val="en-US"/>
              </w:rPr>
              <w:t>Februar</w:t>
            </w:r>
            <w:proofErr w:type="spellEnd"/>
            <w:r>
              <w:rPr>
                <w:sz w:val="20"/>
                <w:szCs w:val="20"/>
                <w:lang w:val="en-US"/>
              </w:rPr>
              <w:t xml:space="preserve"> 1900</w:t>
            </w:r>
          </w:p>
        </w:tc>
        <w:tc>
          <w:tcPr>
            <w:tcW w:w="401" w:type="pct"/>
          </w:tcPr>
          <w:p w14:paraId="73E4E64D" w14:textId="77777777" w:rsidR="00074551" w:rsidRDefault="00074551" w:rsidP="00367133">
            <w:pPr>
              <w:jc w:val="center"/>
              <w:rPr>
                <w:sz w:val="20"/>
                <w:szCs w:val="20"/>
                <w:lang w:val="en-US"/>
              </w:rPr>
            </w:pPr>
            <w:r>
              <w:rPr>
                <w:sz w:val="20"/>
                <w:szCs w:val="20"/>
                <w:lang w:val="en-US"/>
              </w:rPr>
              <w:t>M</w:t>
            </w:r>
          </w:p>
        </w:tc>
        <w:tc>
          <w:tcPr>
            <w:tcW w:w="1594" w:type="pct"/>
          </w:tcPr>
          <w:p w14:paraId="42F289EF" w14:textId="77777777" w:rsidR="00074551" w:rsidRDefault="00074551" w:rsidP="00367133">
            <w:pPr>
              <w:jc w:val="both"/>
              <w:rPr>
                <w:sz w:val="20"/>
                <w:szCs w:val="20"/>
              </w:rPr>
            </w:pPr>
            <w:r>
              <w:rPr>
                <w:sz w:val="20"/>
                <w:szCs w:val="20"/>
              </w:rPr>
              <w:t>Der U.S. Supreme Court</w:t>
            </w:r>
            <w:r w:rsidRPr="00761D63">
              <w:rPr>
                <w:sz w:val="20"/>
                <w:szCs w:val="20"/>
              </w:rPr>
              <w:t xml:space="preserve"> </w:t>
            </w:r>
            <w:r>
              <w:rPr>
                <w:sz w:val="20"/>
                <w:szCs w:val="20"/>
              </w:rPr>
              <w:t xml:space="preserve">bestätigte </w:t>
            </w:r>
            <w:r w:rsidRPr="00761D63">
              <w:rPr>
                <w:sz w:val="20"/>
                <w:szCs w:val="20"/>
              </w:rPr>
              <w:t xml:space="preserve">die Entscheidung der unteren Instanz, die </w:t>
            </w:r>
            <w:r>
              <w:rPr>
                <w:sz w:val="20"/>
                <w:szCs w:val="20"/>
              </w:rPr>
              <w:t>ein</w:t>
            </w:r>
            <w:r w:rsidRPr="00761D63">
              <w:rPr>
                <w:sz w:val="20"/>
                <w:szCs w:val="20"/>
              </w:rPr>
              <w:t xml:space="preserve"> Kläger</w:t>
            </w:r>
            <w:r>
              <w:rPr>
                <w:sz w:val="20"/>
                <w:szCs w:val="20"/>
              </w:rPr>
              <w:t>begehren auf einen</w:t>
            </w:r>
            <w:r w:rsidRPr="00761D63">
              <w:rPr>
                <w:sz w:val="20"/>
                <w:szCs w:val="20"/>
              </w:rPr>
              <w:t xml:space="preserve"> Habeas</w:t>
            </w:r>
            <w:r>
              <w:rPr>
                <w:sz w:val="20"/>
                <w:szCs w:val="20"/>
              </w:rPr>
              <w:t>-</w:t>
            </w:r>
            <w:r w:rsidRPr="00761D63">
              <w:rPr>
                <w:sz w:val="20"/>
                <w:szCs w:val="20"/>
              </w:rPr>
              <w:t>Corpus</w:t>
            </w:r>
            <w:r>
              <w:rPr>
                <w:sz w:val="20"/>
                <w:szCs w:val="20"/>
              </w:rPr>
              <w:t>-Erlass abgewiesen hatten.</w:t>
            </w:r>
            <w:r w:rsidRPr="00761D63">
              <w:rPr>
                <w:sz w:val="20"/>
                <w:szCs w:val="20"/>
              </w:rPr>
              <w:t xml:space="preserve"> </w:t>
            </w:r>
            <w:r>
              <w:rPr>
                <w:sz w:val="20"/>
                <w:szCs w:val="20"/>
              </w:rPr>
              <w:t xml:space="preserve">Der Kläger musste in Haft verbleiben. Ursprünglich hatte ein Gericht den </w:t>
            </w:r>
            <w:r w:rsidRPr="00761D63">
              <w:rPr>
                <w:sz w:val="20"/>
                <w:szCs w:val="20"/>
              </w:rPr>
              <w:t>Kläger wegen Raubes</w:t>
            </w:r>
            <w:r>
              <w:rPr>
                <w:sz w:val="20"/>
                <w:szCs w:val="20"/>
              </w:rPr>
              <w:t xml:space="preserve"> verurteilt</w:t>
            </w:r>
            <w:r w:rsidRPr="00761D63">
              <w:rPr>
                <w:sz w:val="20"/>
                <w:szCs w:val="20"/>
              </w:rPr>
              <w:t xml:space="preserve">, </w:t>
            </w:r>
            <w:r>
              <w:rPr>
                <w:sz w:val="20"/>
                <w:szCs w:val="20"/>
              </w:rPr>
              <w:t>und zwar aufgrund einer</w:t>
            </w:r>
            <w:r w:rsidRPr="00761D63">
              <w:rPr>
                <w:sz w:val="20"/>
                <w:szCs w:val="20"/>
              </w:rPr>
              <w:t xml:space="preserve"> Anklageschrift</w:t>
            </w:r>
            <w:r>
              <w:rPr>
                <w:sz w:val="20"/>
                <w:szCs w:val="20"/>
              </w:rPr>
              <w:t xml:space="preserve"> </w:t>
            </w:r>
            <w:r w:rsidRPr="00761D63">
              <w:rPr>
                <w:sz w:val="20"/>
                <w:szCs w:val="20"/>
              </w:rPr>
              <w:t>und eine</w:t>
            </w:r>
            <w:r>
              <w:rPr>
                <w:sz w:val="20"/>
                <w:szCs w:val="20"/>
              </w:rPr>
              <w:t>r</w:t>
            </w:r>
            <w:r w:rsidRPr="00761D63">
              <w:rPr>
                <w:sz w:val="20"/>
                <w:szCs w:val="20"/>
              </w:rPr>
              <w:t xml:space="preserve"> Jury</w:t>
            </w:r>
            <w:r>
              <w:rPr>
                <w:sz w:val="20"/>
                <w:szCs w:val="20"/>
              </w:rPr>
              <w:t>entscheidung</w:t>
            </w:r>
            <w:r w:rsidRPr="00761D63">
              <w:rPr>
                <w:sz w:val="20"/>
                <w:szCs w:val="20"/>
              </w:rPr>
              <w:t xml:space="preserve"> von acht Geschworenen. Der Kläger beantragte </w:t>
            </w:r>
            <w:r>
              <w:rPr>
                <w:sz w:val="20"/>
                <w:szCs w:val="20"/>
              </w:rPr>
              <w:t xml:space="preserve">dann, die </w:t>
            </w:r>
            <w:r w:rsidRPr="00761D63">
              <w:rPr>
                <w:sz w:val="20"/>
                <w:szCs w:val="20"/>
              </w:rPr>
              <w:t>Entscheidung der unteren Instanz durch einen</w:t>
            </w:r>
            <w:r>
              <w:rPr>
                <w:sz w:val="20"/>
                <w:szCs w:val="20"/>
              </w:rPr>
              <w:t xml:space="preserve"> „</w:t>
            </w:r>
            <w:proofErr w:type="spellStart"/>
            <w:r w:rsidRPr="00F25C38">
              <w:rPr>
                <w:sz w:val="20"/>
                <w:szCs w:val="20"/>
              </w:rPr>
              <w:t>writ</w:t>
            </w:r>
            <w:proofErr w:type="spellEnd"/>
            <w:r w:rsidRPr="00F25C38">
              <w:rPr>
                <w:sz w:val="20"/>
                <w:szCs w:val="20"/>
              </w:rPr>
              <w:t xml:space="preserve"> of </w:t>
            </w:r>
            <w:proofErr w:type="spellStart"/>
            <w:r w:rsidRPr="00F25C38">
              <w:rPr>
                <w:sz w:val="20"/>
                <w:szCs w:val="20"/>
              </w:rPr>
              <w:t>error</w:t>
            </w:r>
            <w:proofErr w:type="spellEnd"/>
            <w:r>
              <w:rPr>
                <w:sz w:val="20"/>
                <w:szCs w:val="20"/>
              </w:rPr>
              <w:t>“</w:t>
            </w:r>
            <w:r>
              <w:rPr>
                <w:rStyle w:val="Funotenzeichen"/>
                <w:sz w:val="20"/>
                <w:szCs w:val="20"/>
              </w:rPr>
              <w:footnoteReference w:id="565"/>
            </w:r>
            <w:r>
              <w:rPr>
                <w:sz w:val="20"/>
                <w:szCs w:val="20"/>
              </w:rPr>
              <w:t xml:space="preserve"> zu überprüfen, also anhand eines </w:t>
            </w:r>
            <w:r w:rsidRPr="00761D63">
              <w:rPr>
                <w:sz w:val="20"/>
                <w:szCs w:val="20"/>
              </w:rPr>
              <w:t>Fehlerbericht</w:t>
            </w:r>
            <w:r>
              <w:rPr>
                <w:sz w:val="20"/>
                <w:szCs w:val="20"/>
              </w:rPr>
              <w:t>s</w:t>
            </w:r>
            <w:r w:rsidRPr="00761D63">
              <w:rPr>
                <w:sz w:val="20"/>
                <w:szCs w:val="20"/>
              </w:rPr>
              <w:t>. Der Kläger</w:t>
            </w:r>
            <w:r>
              <w:rPr>
                <w:sz w:val="20"/>
                <w:szCs w:val="20"/>
              </w:rPr>
              <w:t xml:space="preserve"> wandte sich gegen drei Entscheidungsinhalte: D</w:t>
            </w:r>
            <w:r w:rsidRPr="00761D63">
              <w:rPr>
                <w:sz w:val="20"/>
                <w:szCs w:val="20"/>
              </w:rPr>
              <w:t xml:space="preserve">ass seine Anklage </w:t>
            </w:r>
            <w:r>
              <w:rPr>
                <w:sz w:val="20"/>
                <w:szCs w:val="20"/>
              </w:rPr>
              <w:t>nach einer Strafanzeige</w:t>
            </w:r>
            <w:r w:rsidRPr="00761D63">
              <w:rPr>
                <w:sz w:val="20"/>
                <w:szCs w:val="20"/>
              </w:rPr>
              <w:t xml:space="preserve"> gemäß </w:t>
            </w:r>
            <w:r>
              <w:rPr>
                <w:sz w:val="20"/>
                <w:szCs w:val="20"/>
              </w:rPr>
              <w:t>Art. </w:t>
            </w:r>
            <w:r w:rsidRPr="00761D63">
              <w:rPr>
                <w:sz w:val="20"/>
                <w:szCs w:val="20"/>
              </w:rPr>
              <w:t>I</w:t>
            </w:r>
            <w:r>
              <w:rPr>
                <w:sz w:val="20"/>
                <w:szCs w:val="20"/>
              </w:rPr>
              <w:t>,</w:t>
            </w:r>
            <w:r w:rsidRPr="00761D63">
              <w:rPr>
                <w:sz w:val="20"/>
                <w:szCs w:val="20"/>
              </w:rPr>
              <w:t xml:space="preserve"> </w:t>
            </w:r>
            <w:r>
              <w:rPr>
                <w:sz w:val="20"/>
                <w:szCs w:val="20"/>
              </w:rPr>
              <w:t>§ </w:t>
            </w:r>
            <w:r w:rsidRPr="00761D63">
              <w:rPr>
                <w:sz w:val="20"/>
                <w:szCs w:val="20"/>
              </w:rPr>
              <w:t xml:space="preserve">13 </w:t>
            </w:r>
            <w:r>
              <w:rPr>
                <w:sz w:val="20"/>
                <w:szCs w:val="20"/>
              </w:rPr>
              <w:t xml:space="preserve">der </w:t>
            </w:r>
            <w:r w:rsidRPr="00761D63">
              <w:rPr>
                <w:sz w:val="20"/>
                <w:szCs w:val="20"/>
              </w:rPr>
              <w:t>Verfassung</w:t>
            </w:r>
            <w:r>
              <w:rPr>
                <w:sz w:val="20"/>
                <w:szCs w:val="20"/>
              </w:rPr>
              <w:t xml:space="preserve"> </w:t>
            </w:r>
            <w:r w:rsidRPr="00761D63">
              <w:rPr>
                <w:sz w:val="20"/>
                <w:szCs w:val="20"/>
              </w:rPr>
              <w:t>Utah</w:t>
            </w:r>
            <w:r>
              <w:rPr>
                <w:sz w:val="20"/>
                <w:szCs w:val="20"/>
              </w:rPr>
              <w:t>s</w:t>
            </w:r>
            <w:r w:rsidRPr="00761D63">
              <w:rPr>
                <w:sz w:val="20"/>
                <w:szCs w:val="20"/>
              </w:rPr>
              <w:t xml:space="preserve">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761D63">
              <w:rPr>
                <w:sz w:val="20"/>
                <w:szCs w:val="20"/>
              </w:rPr>
              <w:t xml:space="preserve"> verstoße; </w:t>
            </w:r>
            <w:r>
              <w:rPr>
                <w:sz w:val="20"/>
                <w:szCs w:val="20"/>
              </w:rPr>
              <w:t xml:space="preserve">dass </w:t>
            </w:r>
            <w:r w:rsidRPr="00761D63">
              <w:rPr>
                <w:sz w:val="20"/>
                <w:szCs w:val="20"/>
              </w:rPr>
              <w:t xml:space="preserve">sein Prozess vor einer Jury von nur acht </w:t>
            </w:r>
            <w:r>
              <w:rPr>
                <w:sz w:val="20"/>
                <w:szCs w:val="20"/>
              </w:rPr>
              <w:t>und nicht mehr</w:t>
            </w:r>
            <w:r w:rsidRPr="00761D63">
              <w:rPr>
                <w:sz w:val="20"/>
                <w:szCs w:val="20"/>
              </w:rPr>
              <w:t xml:space="preserve"> </w:t>
            </w:r>
            <w:r>
              <w:rPr>
                <w:sz w:val="20"/>
                <w:szCs w:val="20"/>
              </w:rPr>
              <w:t xml:space="preserve">Personen stattfand </w:t>
            </w:r>
            <w:r w:rsidRPr="00761D63">
              <w:rPr>
                <w:sz w:val="20"/>
                <w:szCs w:val="20"/>
              </w:rPr>
              <w:t xml:space="preserve">gemäß </w:t>
            </w:r>
            <w:r>
              <w:rPr>
                <w:sz w:val="20"/>
                <w:szCs w:val="20"/>
              </w:rPr>
              <w:t>Art. </w:t>
            </w:r>
            <w:r w:rsidRPr="00761D63">
              <w:rPr>
                <w:sz w:val="20"/>
                <w:szCs w:val="20"/>
              </w:rPr>
              <w:t xml:space="preserve">I, </w:t>
            </w:r>
            <w:r>
              <w:rPr>
                <w:sz w:val="20"/>
                <w:szCs w:val="20"/>
              </w:rPr>
              <w:t>§ </w:t>
            </w:r>
            <w:r w:rsidRPr="00761D63">
              <w:rPr>
                <w:sz w:val="20"/>
                <w:szCs w:val="20"/>
              </w:rPr>
              <w:t xml:space="preserve">10 </w:t>
            </w:r>
            <w:r>
              <w:rPr>
                <w:sz w:val="20"/>
                <w:szCs w:val="20"/>
              </w:rPr>
              <w:t xml:space="preserve">der </w:t>
            </w:r>
            <w:r w:rsidRPr="00761D63">
              <w:rPr>
                <w:sz w:val="20"/>
                <w:szCs w:val="20"/>
              </w:rPr>
              <w:t>Verfassung</w:t>
            </w:r>
            <w:r>
              <w:rPr>
                <w:sz w:val="20"/>
                <w:szCs w:val="20"/>
              </w:rPr>
              <w:t xml:space="preserve"> </w:t>
            </w:r>
            <w:r w:rsidRPr="00761D63">
              <w:rPr>
                <w:sz w:val="20"/>
                <w:szCs w:val="20"/>
              </w:rPr>
              <w:t>Utah</w:t>
            </w:r>
            <w:r>
              <w:rPr>
                <w:sz w:val="20"/>
                <w:szCs w:val="20"/>
              </w:rPr>
              <w:t xml:space="preserve">s, was </w:t>
            </w:r>
            <w:r w:rsidRPr="00761D63">
              <w:rPr>
                <w:sz w:val="20"/>
                <w:szCs w:val="20"/>
              </w:rPr>
              <w:t xml:space="preserve">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 und XIV</w:t>
            </w:r>
            <w:r w:rsidRPr="00761D63">
              <w:rPr>
                <w:sz w:val="20"/>
                <w:szCs w:val="20"/>
              </w:rPr>
              <w:t xml:space="preserve"> verstoße; und dass </w:t>
            </w:r>
            <w:r>
              <w:rPr>
                <w:sz w:val="20"/>
                <w:szCs w:val="20"/>
              </w:rPr>
              <w:t>als Folge die</w:t>
            </w:r>
            <w:r w:rsidRPr="00761D63">
              <w:rPr>
                <w:sz w:val="20"/>
                <w:szCs w:val="20"/>
              </w:rPr>
              <w:t xml:space="preserve"> Inhaftierung </w:t>
            </w:r>
            <w:r>
              <w:rPr>
                <w:sz w:val="20"/>
                <w:szCs w:val="20"/>
              </w:rPr>
              <w:t xml:space="preserve">auch </w:t>
            </w:r>
            <w:r w:rsidRPr="00761D63">
              <w:rPr>
                <w:sz w:val="20"/>
                <w:szCs w:val="20"/>
              </w:rPr>
              <w:t xml:space="preserve">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761D63">
              <w:rPr>
                <w:sz w:val="20"/>
                <w:szCs w:val="20"/>
              </w:rPr>
              <w:t xml:space="preserve"> verstoße</w:t>
            </w:r>
            <w:r>
              <w:rPr>
                <w:sz w:val="20"/>
                <w:szCs w:val="20"/>
              </w:rPr>
              <w:t>n müsse</w:t>
            </w:r>
            <w:r w:rsidRPr="00761D63">
              <w:rPr>
                <w:sz w:val="20"/>
                <w:szCs w:val="20"/>
              </w:rPr>
              <w:t xml:space="preserve">. </w:t>
            </w:r>
            <w:r>
              <w:rPr>
                <w:sz w:val="20"/>
                <w:szCs w:val="20"/>
              </w:rPr>
              <w:t>Der U.S. Supreme Court</w:t>
            </w:r>
            <w:r w:rsidRPr="00761D63">
              <w:rPr>
                <w:sz w:val="20"/>
                <w:szCs w:val="20"/>
              </w:rPr>
              <w:t xml:space="preserve"> bestätigte das Urteil der unteren Instanz. </w:t>
            </w:r>
            <w:r>
              <w:rPr>
                <w:sz w:val="20"/>
                <w:szCs w:val="20"/>
              </w:rPr>
              <w:t>Er</w:t>
            </w:r>
            <w:r w:rsidRPr="00761D63">
              <w:rPr>
                <w:sz w:val="20"/>
                <w:szCs w:val="20"/>
              </w:rPr>
              <w:t xml:space="preserve"> entschied, dass </w:t>
            </w:r>
            <w:r>
              <w:rPr>
                <w:sz w:val="20"/>
                <w:szCs w:val="20"/>
              </w:rPr>
              <w:t xml:space="preserve">die U.S. </w:t>
            </w:r>
            <w:proofErr w:type="spellStart"/>
            <w:r>
              <w:rPr>
                <w:sz w:val="20"/>
                <w:szCs w:val="20"/>
              </w:rPr>
              <w:t>Const</w:t>
            </w:r>
            <w:proofErr w:type="spellEnd"/>
            <w:r>
              <w:rPr>
                <w:sz w:val="20"/>
                <w:szCs w:val="20"/>
              </w:rPr>
              <w:t xml:space="preserve">. – hier in Form der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761D63">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761D63">
              <w:rPr>
                <w:sz w:val="20"/>
                <w:szCs w:val="20"/>
              </w:rPr>
              <w:t xml:space="preserve"> </w:t>
            </w:r>
            <w:r>
              <w:rPr>
                <w:sz w:val="20"/>
                <w:szCs w:val="20"/>
              </w:rPr>
              <w:t>– </w:t>
            </w:r>
            <w:r w:rsidRPr="00761D63">
              <w:rPr>
                <w:sz w:val="20"/>
                <w:szCs w:val="20"/>
              </w:rPr>
              <w:t xml:space="preserve">die Gültigkeit von </w:t>
            </w:r>
            <w:r>
              <w:rPr>
                <w:sz w:val="20"/>
                <w:szCs w:val="20"/>
              </w:rPr>
              <w:t>Art. </w:t>
            </w:r>
            <w:r w:rsidRPr="00761D63">
              <w:rPr>
                <w:sz w:val="20"/>
                <w:szCs w:val="20"/>
              </w:rPr>
              <w:t xml:space="preserve">I, </w:t>
            </w:r>
            <w:r>
              <w:rPr>
                <w:sz w:val="20"/>
                <w:szCs w:val="20"/>
              </w:rPr>
              <w:t>§ </w:t>
            </w:r>
            <w:r w:rsidRPr="00761D63">
              <w:rPr>
                <w:sz w:val="20"/>
                <w:szCs w:val="20"/>
              </w:rPr>
              <w:t xml:space="preserve">13 und </w:t>
            </w:r>
            <w:r>
              <w:rPr>
                <w:sz w:val="20"/>
                <w:szCs w:val="20"/>
              </w:rPr>
              <w:t>Art. </w:t>
            </w:r>
            <w:r w:rsidRPr="00761D63">
              <w:rPr>
                <w:sz w:val="20"/>
                <w:szCs w:val="20"/>
              </w:rPr>
              <w:t xml:space="preserve">I, </w:t>
            </w:r>
            <w:r>
              <w:rPr>
                <w:sz w:val="20"/>
                <w:szCs w:val="20"/>
              </w:rPr>
              <w:t>§ </w:t>
            </w:r>
            <w:r w:rsidRPr="00761D63">
              <w:rPr>
                <w:sz w:val="20"/>
                <w:szCs w:val="20"/>
              </w:rPr>
              <w:t>10 der Verfassung</w:t>
            </w:r>
            <w:r>
              <w:rPr>
                <w:sz w:val="20"/>
                <w:szCs w:val="20"/>
              </w:rPr>
              <w:t xml:space="preserve"> </w:t>
            </w:r>
            <w:r w:rsidRPr="00761D63">
              <w:rPr>
                <w:sz w:val="20"/>
                <w:szCs w:val="20"/>
              </w:rPr>
              <w:t>Utah</w:t>
            </w:r>
            <w:r>
              <w:rPr>
                <w:sz w:val="20"/>
                <w:szCs w:val="20"/>
              </w:rPr>
              <w:t>s</w:t>
            </w:r>
            <w:r w:rsidRPr="00761D63">
              <w:rPr>
                <w:sz w:val="20"/>
                <w:szCs w:val="20"/>
              </w:rPr>
              <w:t xml:space="preserve"> </w:t>
            </w:r>
            <w:r>
              <w:rPr>
                <w:sz w:val="20"/>
                <w:szCs w:val="20"/>
              </w:rPr>
              <w:t xml:space="preserve">überhaupt </w:t>
            </w:r>
            <w:r w:rsidRPr="00761D63">
              <w:rPr>
                <w:sz w:val="20"/>
                <w:szCs w:val="20"/>
              </w:rPr>
              <w:t>nicht beeinträchtige.</w:t>
            </w:r>
            <w:r>
              <w:rPr>
                <w:sz w:val="20"/>
                <w:szCs w:val="20"/>
              </w:rPr>
              <w:t xml:space="preserve"> Und der U.S. Supreme Court </w:t>
            </w:r>
            <w:r w:rsidRPr="00761D63">
              <w:rPr>
                <w:sz w:val="20"/>
                <w:szCs w:val="20"/>
              </w:rPr>
              <w:t xml:space="preserve">entschied,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761D63">
              <w:rPr>
                <w:sz w:val="20"/>
                <w:szCs w:val="20"/>
              </w:rPr>
              <w:t xml:space="preserve"> die </w:t>
            </w:r>
            <w:r>
              <w:rPr>
                <w:sz w:val="20"/>
                <w:szCs w:val="20"/>
              </w:rPr>
              <w:t xml:space="preserve">Wirksamkeit der Verfassung Utahs </w:t>
            </w:r>
            <w:r w:rsidRPr="002B4A9E">
              <w:rPr>
                <w:sz w:val="20"/>
                <w:szCs w:val="20"/>
              </w:rPr>
              <w:t xml:space="preserve">ebenso </w:t>
            </w:r>
            <w:r w:rsidRPr="00761D63">
              <w:rPr>
                <w:sz w:val="20"/>
                <w:szCs w:val="20"/>
              </w:rPr>
              <w:t>nicht beeinträchtige,</w:t>
            </w:r>
            <w:r>
              <w:rPr>
                <w:sz w:val="20"/>
                <w:szCs w:val="20"/>
              </w:rPr>
              <w:t xml:space="preserve"> welche</w:t>
            </w:r>
            <w:r w:rsidRPr="00761D63">
              <w:rPr>
                <w:sz w:val="20"/>
                <w:szCs w:val="20"/>
              </w:rPr>
              <w:t xml:space="preserve"> eine Anklage </w:t>
            </w:r>
            <w:r>
              <w:rPr>
                <w:sz w:val="20"/>
                <w:szCs w:val="20"/>
              </w:rPr>
              <w:t>nach einer Strafanzeige</w:t>
            </w:r>
            <w:r w:rsidRPr="00761D63">
              <w:rPr>
                <w:sz w:val="20"/>
                <w:szCs w:val="20"/>
              </w:rPr>
              <w:t xml:space="preserve"> und eine Jury von </w:t>
            </w:r>
            <w:r>
              <w:rPr>
                <w:sz w:val="20"/>
                <w:szCs w:val="20"/>
              </w:rPr>
              <w:t xml:space="preserve">nur </w:t>
            </w:r>
            <w:r w:rsidRPr="00761D63">
              <w:rPr>
                <w:sz w:val="20"/>
                <w:szCs w:val="20"/>
              </w:rPr>
              <w:t>acht Personen zuließe</w:t>
            </w:r>
            <w:r>
              <w:rPr>
                <w:sz w:val="20"/>
                <w:szCs w:val="20"/>
              </w:rPr>
              <w:t xml:space="preserve"> und als Rechtsfolge eine Haft eröffne.</w:t>
            </w:r>
            <w:r>
              <w:rPr>
                <w:rStyle w:val="Funotenzeichen"/>
                <w:sz w:val="20"/>
                <w:szCs w:val="20"/>
              </w:rPr>
              <w:footnoteReference w:id="566"/>
            </w:r>
          </w:p>
          <w:p w14:paraId="2F641315" w14:textId="22FC8A1E" w:rsidR="00FE5F32" w:rsidRPr="005B7BE9" w:rsidRDefault="00FE5F32" w:rsidP="00367133">
            <w:pPr>
              <w:jc w:val="both"/>
              <w:rPr>
                <w:sz w:val="20"/>
                <w:szCs w:val="20"/>
              </w:rPr>
            </w:pPr>
          </w:p>
        </w:tc>
        <w:tc>
          <w:tcPr>
            <w:tcW w:w="1822" w:type="pct"/>
          </w:tcPr>
          <w:p w14:paraId="2D3CD0E4" w14:textId="77777777" w:rsidR="00074551" w:rsidRPr="00B45592" w:rsidRDefault="00074551" w:rsidP="00367133">
            <w:pPr>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Substantive Due Process, Citizenship/</w:t>
            </w:r>
          </w:p>
          <w:p w14:paraId="11268084" w14:textId="77777777" w:rsidR="00074551" w:rsidRPr="002E1085" w:rsidRDefault="00074551" w:rsidP="00367133">
            <w:pPr>
              <w:rPr>
                <w:i/>
                <w:sz w:val="20"/>
                <w:szCs w:val="20"/>
              </w:rPr>
            </w:pPr>
            <w:r w:rsidRPr="002E1085">
              <w:rPr>
                <w:i/>
                <w:sz w:val="20"/>
                <w:szCs w:val="20"/>
              </w:rPr>
              <w:t xml:space="preserve">Constitutional Law, </w:t>
            </w:r>
            <w:proofErr w:type="spellStart"/>
            <w:r w:rsidRPr="002E1085">
              <w:rPr>
                <w:i/>
                <w:sz w:val="20"/>
                <w:szCs w:val="20"/>
              </w:rPr>
              <w:t>Privileges</w:t>
            </w:r>
            <w:proofErr w:type="spellEnd"/>
            <w:r w:rsidRPr="002E1085">
              <w:rPr>
                <w:i/>
                <w:sz w:val="20"/>
                <w:szCs w:val="20"/>
              </w:rPr>
              <w:t xml:space="preserve"> &amp; </w:t>
            </w:r>
            <w:proofErr w:type="spellStart"/>
            <w:r w:rsidRPr="002E1085">
              <w:rPr>
                <w:i/>
                <w:sz w:val="20"/>
                <w:szCs w:val="20"/>
              </w:rPr>
              <w:t>Immunities</w:t>
            </w:r>
            <w:proofErr w:type="spellEnd"/>
          </w:p>
          <w:p w14:paraId="0D1CF896" w14:textId="77777777" w:rsidR="00074551" w:rsidRPr="002E1085" w:rsidRDefault="00074551" w:rsidP="00367133">
            <w:pPr>
              <w:rPr>
                <w:sz w:val="20"/>
                <w:szCs w:val="20"/>
              </w:rPr>
            </w:pPr>
          </w:p>
          <w:p w14:paraId="2B79418C" w14:textId="19834047" w:rsidR="00074551" w:rsidRDefault="00074551" w:rsidP="00367133">
            <w:pPr>
              <w:rPr>
                <w:sz w:val="20"/>
                <w:szCs w:val="20"/>
              </w:rPr>
            </w:pPr>
            <w:r w:rsidRPr="002E1085">
              <w:rPr>
                <w:sz w:val="20"/>
                <w:szCs w:val="20"/>
              </w:rPr>
              <w:t xml:space="preserve">Der U.S. Supreme Court beginnt u.a. damit,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3170BE">
              <w:rPr>
                <w:sz w:val="20"/>
                <w:szCs w:val="20"/>
              </w:rPr>
              <w:t xml:space="preserve"> wiederzugeben – und zu erklären, wie eng der Artikel zu verstehen </w:t>
            </w:r>
            <w:r>
              <w:rPr>
                <w:sz w:val="20"/>
                <w:szCs w:val="20"/>
              </w:rPr>
              <w:t>sei</w:t>
            </w:r>
            <w:r w:rsidRPr="003170BE">
              <w:rPr>
                <w:sz w:val="20"/>
                <w:szCs w:val="20"/>
              </w:rPr>
              <w:t xml:space="preserve">. </w:t>
            </w:r>
            <w:r w:rsidRPr="003170BE">
              <w:rPr>
                <w:sz w:val="20"/>
                <w:szCs w:val="20"/>
                <w:lang w:val="en-US"/>
              </w:rPr>
              <w:t xml:space="preserve">Der </w:t>
            </w:r>
            <w:proofErr w:type="spellStart"/>
            <w:r>
              <w:rPr>
                <w:sz w:val="20"/>
                <w:szCs w:val="20"/>
                <w:lang w:val="en-US"/>
              </w:rPr>
              <w:t>be</w:t>
            </w:r>
            <w:r w:rsidRPr="003170BE">
              <w:rPr>
                <w:sz w:val="20"/>
                <w:szCs w:val="20"/>
                <w:lang w:val="en-US"/>
              </w:rPr>
              <w:t>sagt</w:t>
            </w:r>
            <w:proofErr w:type="spellEnd"/>
            <w:r w:rsidRPr="003170BE">
              <w:rPr>
                <w:sz w:val="20"/>
                <w:szCs w:val="20"/>
                <w:lang w:val="en-US"/>
              </w:rPr>
              <w:t xml:space="preserve">: „the citizens of each State shall be entitled to all the privileges and immunities of citizens of the several </w:t>
            </w:r>
            <w:proofErr w:type="gramStart"/>
            <w:r w:rsidRPr="003170BE">
              <w:rPr>
                <w:sz w:val="20"/>
                <w:szCs w:val="20"/>
                <w:lang w:val="en-US"/>
              </w:rPr>
              <w:t>States“</w:t>
            </w:r>
            <w:proofErr w:type="gramEnd"/>
            <w:r>
              <w:rPr>
                <w:sz w:val="20"/>
                <w:szCs w:val="20"/>
                <w:lang w:val="en-US"/>
              </w:rPr>
              <w:t>.</w:t>
            </w:r>
            <w:r w:rsidRPr="003170BE">
              <w:rPr>
                <w:sz w:val="20"/>
                <w:szCs w:val="20"/>
                <w:vertAlign w:val="superscript"/>
              </w:rPr>
              <w:footnoteReference w:id="567"/>
            </w:r>
            <w:r w:rsidRPr="003170BE">
              <w:rPr>
                <w:sz w:val="20"/>
                <w:szCs w:val="20"/>
                <w:lang w:val="en-US"/>
              </w:rPr>
              <w:t xml:space="preserve"> </w:t>
            </w:r>
            <w:r w:rsidRPr="003170BE">
              <w:rPr>
                <w:sz w:val="20"/>
                <w:szCs w:val="20"/>
              </w:rPr>
              <w:t xml:space="preserve">Zwar definiere die </w:t>
            </w:r>
            <w:r>
              <w:rPr>
                <w:sz w:val="20"/>
                <w:szCs w:val="20"/>
              </w:rPr>
              <w:t>U.S.</w:t>
            </w:r>
            <w:r w:rsidRPr="003170BE">
              <w:rPr>
                <w:sz w:val="20"/>
                <w:szCs w:val="20"/>
              </w:rPr>
              <w:t xml:space="preserve"> </w:t>
            </w:r>
            <w:proofErr w:type="spellStart"/>
            <w:r w:rsidRPr="003170BE">
              <w:rPr>
                <w:sz w:val="20"/>
                <w:szCs w:val="20"/>
              </w:rPr>
              <w:t>Const</w:t>
            </w:r>
            <w:proofErr w:type="spellEnd"/>
            <w:r w:rsidRPr="003170BE">
              <w:rPr>
                <w:sz w:val="20"/>
                <w:szCs w:val="20"/>
              </w:rPr>
              <w:t xml:space="preserve">. dann nicht weiter, welche diese Vorrechte der Bürger </w:t>
            </w:r>
            <w:r>
              <w:rPr>
                <w:sz w:val="20"/>
                <w:szCs w:val="20"/>
              </w:rPr>
              <w:t>seien</w:t>
            </w:r>
            <w:r w:rsidRPr="003170BE">
              <w:rPr>
                <w:sz w:val="20"/>
                <w:szCs w:val="20"/>
              </w:rPr>
              <w:t xml:space="preserve">. Aber die ständige Rechtsprechung des </w:t>
            </w:r>
            <w:r>
              <w:rPr>
                <w:sz w:val="20"/>
                <w:szCs w:val="20"/>
              </w:rPr>
              <w:t>U.S. Supreme Court</w:t>
            </w:r>
            <w:r w:rsidRPr="003170BE">
              <w:rPr>
                <w:sz w:val="20"/>
                <w:szCs w:val="20"/>
              </w:rPr>
              <w:t xml:space="preserve"> </w:t>
            </w:r>
            <w:r>
              <w:rPr>
                <w:sz w:val="20"/>
                <w:szCs w:val="20"/>
              </w:rPr>
              <w:t>gebe</w:t>
            </w:r>
            <w:r w:rsidRPr="003170BE">
              <w:rPr>
                <w:sz w:val="20"/>
                <w:szCs w:val="20"/>
              </w:rPr>
              <w:t xml:space="preserve"> eine Formel vor: Der </w:t>
            </w:r>
            <w:r>
              <w:rPr>
                <w:sz w:val="20"/>
                <w:szCs w:val="20"/>
              </w:rPr>
              <w:t>U.S. Supreme Court</w:t>
            </w:r>
            <w:r w:rsidRPr="003170BE">
              <w:rPr>
                <w:sz w:val="20"/>
                <w:szCs w:val="20"/>
              </w:rPr>
              <w:t xml:space="preserve"> beschränke die Vorrechte und Immunitäten auf Grundrechte („in </w:t>
            </w:r>
            <w:proofErr w:type="spellStart"/>
            <w:r w:rsidRPr="003170BE">
              <w:rPr>
                <w:sz w:val="20"/>
                <w:szCs w:val="20"/>
              </w:rPr>
              <w:t>their</w:t>
            </w:r>
            <w:proofErr w:type="spellEnd"/>
            <w:r w:rsidRPr="003170BE">
              <w:rPr>
                <w:sz w:val="20"/>
                <w:szCs w:val="20"/>
              </w:rPr>
              <w:t xml:space="preserve"> </w:t>
            </w:r>
            <w:proofErr w:type="spellStart"/>
            <w:r w:rsidRPr="003170BE">
              <w:rPr>
                <w:sz w:val="20"/>
                <w:szCs w:val="20"/>
              </w:rPr>
              <w:t>nature</w:t>
            </w:r>
            <w:proofErr w:type="spellEnd"/>
            <w:r w:rsidRPr="003170BE">
              <w:rPr>
                <w:sz w:val="20"/>
                <w:szCs w:val="20"/>
              </w:rPr>
              <w:t xml:space="preserve"> fundamental“</w:t>
            </w:r>
            <w:r w:rsidRPr="003170BE">
              <w:rPr>
                <w:sz w:val="20"/>
                <w:szCs w:val="20"/>
                <w:vertAlign w:val="superscript"/>
              </w:rPr>
              <w:footnoteReference w:id="568"/>
            </w:r>
            <w:r w:rsidRPr="003170BE">
              <w:rPr>
                <w:sz w:val="20"/>
                <w:szCs w:val="20"/>
              </w:rPr>
              <w:t>), die den Bürgern freier Regierungen natürlicherweise zustehen und die auch Bürger</w:t>
            </w:r>
            <w:r>
              <w:rPr>
                <w:sz w:val="20"/>
                <w:szCs w:val="20"/>
              </w:rPr>
              <w:t>n</w:t>
            </w:r>
            <w:r w:rsidRPr="003170BE">
              <w:rPr>
                <w:sz w:val="20"/>
                <w:szCs w:val="20"/>
              </w:rPr>
              <w:t xml:space="preserve"> der verschiedene</w:t>
            </w:r>
            <w:r>
              <w:rPr>
                <w:sz w:val="20"/>
                <w:szCs w:val="20"/>
              </w:rPr>
              <w:t>n</w:t>
            </w:r>
            <w:r w:rsidRPr="003170BE">
              <w:rPr>
                <w:sz w:val="20"/>
                <w:szCs w:val="20"/>
              </w:rPr>
              <w:t xml:space="preserve"> Nationen und Bundesstaaten seit ihrer Unabhängigkeit zukommen; diese grundlegenden Prinzipien („fundamental </w:t>
            </w:r>
            <w:proofErr w:type="spellStart"/>
            <w:r w:rsidRPr="003170BE">
              <w:rPr>
                <w:sz w:val="20"/>
                <w:szCs w:val="20"/>
              </w:rPr>
              <w:t>principles</w:t>
            </w:r>
            <w:proofErr w:type="spellEnd"/>
            <w:r w:rsidRPr="003170BE">
              <w:rPr>
                <w:sz w:val="20"/>
                <w:szCs w:val="20"/>
              </w:rPr>
              <w:t>“</w:t>
            </w:r>
            <w:r w:rsidRPr="003170BE">
              <w:rPr>
                <w:sz w:val="20"/>
                <w:szCs w:val="20"/>
                <w:vertAlign w:val="superscript"/>
              </w:rPr>
              <w:footnoteReference w:id="569"/>
            </w:r>
            <w:r w:rsidRPr="003170BE">
              <w:rPr>
                <w:sz w:val="20"/>
                <w:szCs w:val="20"/>
              </w:rPr>
              <w:t>) lassen sich unter folgenden Überschriften zusammenfassen: Schutz durch die Regierung, der Genuss von Leben und Freiheit, das Recht, Eigentum zu erwerben und zu besitzen, sowie das Recht auf ein Streben nach Glück und auf Sicherheit („</w:t>
            </w:r>
            <w:proofErr w:type="spellStart"/>
            <w:r w:rsidRPr="003170BE">
              <w:rPr>
                <w:sz w:val="20"/>
                <w:szCs w:val="20"/>
              </w:rPr>
              <w:t>Protection</w:t>
            </w:r>
            <w:proofErr w:type="spellEnd"/>
            <w:r w:rsidRPr="003170BE">
              <w:rPr>
                <w:sz w:val="20"/>
                <w:szCs w:val="20"/>
              </w:rPr>
              <w:t xml:space="preserve"> by the </w:t>
            </w:r>
            <w:proofErr w:type="spellStart"/>
            <w:r w:rsidRPr="003170BE">
              <w:rPr>
                <w:sz w:val="20"/>
                <w:szCs w:val="20"/>
              </w:rPr>
              <w:t>government</w:t>
            </w:r>
            <w:proofErr w:type="spellEnd"/>
            <w:r w:rsidRPr="003170BE">
              <w:rPr>
                <w:sz w:val="20"/>
                <w:szCs w:val="20"/>
              </w:rPr>
              <w:t xml:space="preserve">; […] </w:t>
            </w:r>
            <w:proofErr w:type="spellStart"/>
            <w:r w:rsidRPr="003170BE">
              <w:rPr>
                <w:sz w:val="20"/>
                <w:szCs w:val="20"/>
              </w:rPr>
              <w:t>right</w:t>
            </w:r>
            <w:proofErr w:type="spellEnd"/>
            <w:r w:rsidRPr="003170BE">
              <w:rPr>
                <w:sz w:val="20"/>
                <w:szCs w:val="20"/>
              </w:rPr>
              <w:t xml:space="preserve"> to […] </w:t>
            </w:r>
            <w:proofErr w:type="spellStart"/>
            <w:r w:rsidRPr="003170BE">
              <w:rPr>
                <w:sz w:val="20"/>
                <w:szCs w:val="20"/>
              </w:rPr>
              <w:t>obtain</w:t>
            </w:r>
            <w:proofErr w:type="spellEnd"/>
            <w:r w:rsidRPr="003170BE">
              <w:rPr>
                <w:sz w:val="20"/>
                <w:szCs w:val="20"/>
              </w:rPr>
              <w:t xml:space="preserve"> </w:t>
            </w:r>
            <w:proofErr w:type="spellStart"/>
            <w:r w:rsidRPr="003170BE">
              <w:rPr>
                <w:sz w:val="20"/>
                <w:szCs w:val="20"/>
              </w:rPr>
              <w:t>happiness</w:t>
            </w:r>
            <w:proofErr w:type="spellEnd"/>
            <w:r w:rsidRPr="003170BE">
              <w:rPr>
                <w:sz w:val="20"/>
                <w:szCs w:val="20"/>
              </w:rPr>
              <w:t xml:space="preserve"> and </w:t>
            </w:r>
            <w:proofErr w:type="spellStart"/>
            <w:r w:rsidRPr="003170BE">
              <w:rPr>
                <w:sz w:val="20"/>
                <w:szCs w:val="20"/>
              </w:rPr>
              <w:t>safety</w:t>
            </w:r>
            <w:proofErr w:type="spellEnd"/>
            <w:r w:rsidRPr="003170BE">
              <w:rPr>
                <w:sz w:val="20"/>
                <w:szCs w:val="20"/>
              </w:rPr>
              <w:t>“</w:t>
            </w:r>
            <w:r w:rsidRPr="003170BE">
              <w:rPr>
                <w:sz w:val="20"/>
                <w:szCs w:val="20"/>
                <w:vertAlign w:val="superscript"/>
              </w:rPr>
              <w:footnoteReference w:id="570"/>
            </w:r>
            <w:r w:rsidRPr="003170BE">
              <w:rPr>
                <w:sz w:val="20"/>
                <w:szCs w:val="20"/>
              </w:rPr>
              <w:t>). Diese Rechte könn</w:t>
            </w:r>
            <w:r>
              <w:rPr>
                <w:sz w:val="20"/>
                <w:szCs w:val="20"/>
              </w:rPr>
              <w:t>t</w:t>
            </w:r>
            <w:r w:rsidRPr="003170BE">
              <w:rPr>
                <w:sz w:val="20"/>
                <w:szCs w:val="20"/>
              </w:rPr>
              <w:t>en staatliche Maßnahmen nur mit dem Allgemeinwohl einschränken.</w:t>
            </w:r>
            <w:r w:rsidRPr="003170BE">
              <w:rPr>
                <w:sz w:val="20"/>
                <w:szCs w:val="20"/>
                <w:vertAlign w:val="superscript"/>
              </w:rPr>
              <w:footnoteReference w:id="571"/>
            </w:r>
          </w:p>
          <w:p w14:paraId="65D47465" w14:textId="77777777" w:rsidR="00074551" w:rsidRPr="00423357" w:rsidRDefault="00074551" w:rsidP="00367133">
            <w:pPr>
              <w:rPr>
                <w:sz w:val="20"/>
                <w:szCs w:val="20"/>
              </w:rPr>
            </w:pPr>
          </w:p>
        </w:tc>
      </w:tr>
      <w:tr w:rsidR="00074551" w:rsidRPr="00E50B51" w14:paraId="37B788BA" w14:textId="77777777" w:rsidTr="00A15DB3">
        <w:trPr>
          <w:cantSplit/>
          <w:trHeight w:val="3175"/>
        </w:trPr>
        <w:tc>
          <w:tcPr>
            <w:tcW w:w="293" w:type="pct"/>
            <w:shd w:val="clear" w:color="auto" w:fill="E7E6E6" w:themeFill="background2"/>
          </w:tcPr>
          <w:p w14:paraId="7706DD7A"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5D6B9365"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0302701F"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0F94145B" w14:textId="77777777" w:rsidR="00074551" w:rsidRPr="00E50B51" w:rsidRDefault="00074551" w:rsidP="00367133">
            <w:pPr>
              <w:ind w:left="113" w:right="113"/>
              <w:jc w:val="both"/>
              <w:rPr>
                <w:sz w:val="20"/>
                <w:szCs w:val="20"/>
              </w:rPr>
            </w:pPr>
            <w:r w:rsidRPr="00E50B51">
              <w:rPr>
                <w:sz w:val="20"/>
                <w:szCs w:val="20"/>
              </w:rPr>
              <w:t>Citizenship</w:t>
            </w:r>
          </w:p>
        </w:tc>
        <w:tc>
          <w:tcPr>
            <w:tcW w:w="306" w:type="pct"/>
            <w:shd w:val="clear" w:color="auto" w:fill="E7E6E6" w:themeFill="background2"/>
            <w:textDirection w:val="tbRl"/>
            <w:vAlign w:val="center"/>
          </w:tcPr>
          <w:p w14:paraId="3EDD984A" w14:textId="77777777" w:rsidR="00074551" w:rsidRPr="00E50B51" w:rsidRDefault="00074551" w:rsidP="00367133">
            <w:pPr>
              <w:ind w:left="113" w:right="113"/>
              <w:jc w:val="both"/>
              <w:rPr>
                <w:sz w:val="20"/>
                <w:szCs w:val="20"/>
              </w:rPr>
            </w:pPr>
            <w:r w:rsidRPr="00E50B51">
              <w:rPr>
                <w:sz w:val="20"/>
                <w:szCs w:val="20"/>
              </w:rPr>
              <w:t>Scope</w:t>
            </w:r>
          </w:p>
        </w:tc>
        <w:tc>
          <w:tcPr>
            <w:tcW w:w="401" w:type="pct"/>
            <w:shd w:val="clear" w:color="auto" w:fill="E7E6E6" w:themeFill="background2"/>
          </w:tcPr>
          <w:p w14:paraId="56282653"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D531704" w14:textId="77777777" w:rsidR="00074551" w:rsidRPr="00E50B51" w:rsidRDefault="00074551" w:rsidP="00367133">
            <w:pPr>
              <w:jc w:val="both"/>
              <w:rPr>
                <w:sz w:val="20"/>
                <w:szCs w:val="20"/>
              </w:rPr>
            </w:pPr>
          </w:p>
        </w:tc>
        <w:tc>
          <w:tcPr>
            <w:tcW w:w="1822" w:type="pct"/>
            <w:shd w:val="clear" w:color="auto" w:fill="E7E6E6" w:themeFill="background2"/>
          </w:tcPr>
          <w:p w14:paraId="57A6DEA0" w14:textId="2D45A9F9" w:rsidR="00074551" w:rsidRPr="00E50B51" w:rsidRDefault="00A15DB3" w:rsidP="00A15DB3">
            <w:pPr>
              <w:rPr>
                <w:sz w:val="20"/>
                <w:szCs w:val="20"/>
              </w:rPr>
            </w:pPr>
            <w:r w:rsidRPr="00A15DB3">
              <w:rPr>
                <w:i/>
                <w:iCs/>
                <w:sz w:val="16"/>
                <w:szCs w:val="20"/>
              </w:rPr>
              <w:t>Thematische Gliederung der nachfolgenden Entscheidungen ↓</w:t>
            </w:r>
          </w:p>
        </w:tc>
      </w:tr>
      <w:tr w:rsidR="00074551" w:rsidRPr="00E50B51" w14:paraId="2A126F76" w14:textId="77777777" w:rsidTr="00BE689F">
        <w:trPr>
          <w:cantSplit/>
          <w:trHeight w:val="3175"/>
        </w:trPr>
        <w:tc>
          <w:tcPr>
            <w:tcW w:w="293" w:type="pct"/>
          </w:tcPr>
          <w:p w14:paraId="170510EE"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textDirection w:val="tbRl"/>
            <w:vAlign w:val="center"/>
          </w:tcPr>
          <w:p w14:paraId="38672745" w14:textId="77777777" w:rsidR="00074551" w:rsidRPr="00B45592" w:rsidRDefault="00074551" w:rsidP="00367133">
            <w:pPr>
              <w:ind w:left="113" w:right="416"/>
              <w:jc w:val="both"/>
              <w:rPr>
                <w:i/>
                <w:sz w:val="20"/>
                <w:szCs w:val="20"/>
                <w:lang w:val="en-IE"/>
              </w:rPr>
            </w:pPr>
            <w:r w:rsidRPr="00B45592">
              <w:rPr>
                <w:i/>
                <w:sz w:val="20"/>
                <w:szCs w:val="20"/>
                <w:lang w:val="en-IE"/>
              </w:rPr>
              <w:t>Baldwin </w:t>
            </w:r>
            <w:r w:rsidRPr="00B45592">
              <w:rPr>
                <w:i/>
                <w:iCs/>
                <w:sz w:val="20"/>
                <w:szCs w:val="20"/>
                <w:lang w:val="en-IE"/>
              </w:rPr>
              <w:t>v.</w:t>
            </w:r>
            <w:r w:rsidRPr="00B45592">
              <w:rPr>
                <w:i/>
                <w:sz w:val="20"/>
                <w:szCs w:val="20"/>
                <w:lang w:val="en-IE"/>
              </w:rPr>
              <w:t xml:space="preserve"> Fish </w:t>
            </w:r>
            <w:r w:rsidRPr="00B45592">
              <w:rPr>
                <w:i/>
                <w:sz w:val="20"/>
                <w:szCs w:val="20"/>
                <w:lang w:val="en-US"/>
              </w:rPr>
              <w:t>&amp; Game Comm’n</w:t>
            </w:r>
          </w:p>
        </w:tc>
        <w:tc>
          <w:tcPr>
            <w:tcW w:w="197" w:type="pct"/>
            <w:textDirection w:val="tbRl"/>
            <w:vAlign w:val="center"/>
          </w:tcPr>
          <w:p w14:paraId="685A4D5E" w14:textId="77777777" w:rsidR="00074551" w:rsidRPr="00E50B51" w:rsidRDefault="00074551" w:rsidP="00367133">
            <w:pPr>
              <w:ind w:left="113" w:right="113"/>
              <w:jc w:val="both"/>
              <w:rPr>
                <w:sz w:val="20"/>
                <w:szCs w:val="20"/>
              </w:rPr>
            </w:pPr>
            <w:r w:rsidRPr="00E50B51">
              <w:rPr>
                <w:sz w:val="20"/>
                <w:szCs w:val="20"/>
                <w:lang w:val="en-US"/>
              </w:rPr>
              <w:t>436 U.S. 371</w:t>
            </w:r>
          </w:p>
        </w:tc>
        <w:tc>
          <w:tcPr>
            <w:tcW w:w="306" w:type="pct"/>
            <w:textDirection w:val="tbRl"/>
            <w:vAlign w:val="center"/>
          </w:tcPr>
          <w:p w14:paraId="6B56FE0A" w14:textId="77777777" w:rsidR="00074551" w:rsidRPr="00E50B51" w:rsidRDefault="00074551" w:rsidP="00367133">
            <w:pPr>
              <w:ind w:left="113" w:right="113"/>
              <w:jc w:val="both"/>
              <w:rPr>
                <w:sz w:val="20"/>
                <w:szCs w:val="20"/>
              </w:rPr>
            </w:pPr>
            <w:r>
              <w:rPr>
                <w:sz w:val="20"/>
                <w:szCs w:val="20"/>
              </w:rPr>
              <w:t>23. Mai 1978</w:t>
            </w:r>
          </w:p>
        </w:tc>
        <w:tc>
          <w:tcPr>
            <w:tcW w:w="401" w:type="pct"/>
          </w:tcPr>
          <w:p w14:paraId="035CBF3F" w14:textId="77777777" w:rsidR="00074551" w:rsidRPr="00E50B51" w:rsidRDefault="00074551" w:rsidP="00367133">
            <w:pPr>
              <w:jc w:val="center"/>
              <w:rPr>
                <w:sz w:val="20"/>
                <w:szCs w:val="20"/>
              </w:rPr>
            </w:pPr>
            <w:r w:rsidRPr="00E50B51">
              <w:rPr>
                <w:sz w:val="20"/>
                <w:szCs w:val="20"/>
              </w:rPr>
              <w:t>M</w:t>
            </w:r>
          </w:p>
        </w:tc>
        <w:tc>
          <w:tcPr>
            <w:tcW w:w="1594" w:type="pct"/>
          </w:tcPr>
          <w:p w14:paraId="18217FDF" w14:textId="77777777" w:rsidR="00074551" w:rsidRPr="00E50B51" w:rsidRDefault="00074551" w:rsidP="00367133">
            <w:pPr>
              <w:jc w:val="both"/>
              <w:rPr>
                <w:sz w:val="20"/>
                <w:szCs w:val="20"/>
              </w:rPr>
            </w:pPr>
            <w:r w:rsidRPr="00E50B51">
              <w:rPr>
                <w:sz w:val="20"/>
                <w:szCs w:val="20"/>
              </w:rPr>
              <w:t>*</w:t>
            </w:r>
          </w:p>
        </w:tc>
        <w:tc>
          <w:tcPr>
            <w:tcW w:w="1822" w:type="pct"/>
          </w:tcPr>
          <w:p w14:paraId="58335963" w14:textId="4C748A43" w:rsidR="00074551" w:rsidRDefault="00074551" w:rsidP="00367133">
            <w:pPr>
              <w:jc w:val="both"/>
              <w:rPr>
                <w:sz w:val="20"/>
                <w:szCs w:val="20"/>
              </w:rPr>
            </w:pPr>
            <w:r w:rsidRPr="008E25E2">
              <w:rPr>
                <w:sz w:val="20"/>
                <w:szCs w:val="20"/>
              </w:rPr>
              <w:t xml:space="preserve">Anhand des </w:t>
            </w:r>
            <w:proofErr w:type="spellStart"/>
            <w:r w:rsidRPr="00B45592">
              <w:rPr>
                <w:i/>
                <w:iCs/>
                <w:sz w:val="20"/>
                <w:szCs w:val="20"/>
              </w:rPr>
              <w:t>pursuit</w:t>
            </w:r>
            <w:proofErr w:type="spellEnd"/>
            <w:r w:rsidRPr="00B45592">
              <w:rPr>
                <w:i/>
                <w:iCs/>
                <w:sz w:val="20"/>
                <w:szCs w:val="20"/>
              </w:rPr>
              <w:t xml:space="preserve"> of Happiness</w:t>
            </w:r>
            <w:r w:rsidRPr="008E25E2">
              <w:rPr>
                <w:sz w:val="20"/>
                <w:szCs w:val="20"/>
              </w:rPr>
              <w:t xml:space="preserve"> bespricht der </w:t>
            </w:r>
            <w:r>
              <w:rPr>
                <w:sz w:val="20"/>
                <w:szCs w:val="20"/>
              </w:rPr>
              <w:t>U.S. Supreme Court</w:t>
            </w:r>
            <w:r w:rsidRPr="008E25E2">
              <w:rPr>
                <w:sz w:val="20"/>
                <w:szCs w:val="20"/>
              </w:rPr>
              <w:t xml:space="preserve"> die Reichweite des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8E25E2">
              <w:rPr>
                <w:sz w:val="20"/>
                <w:szCs w:val="20"/>
              </w:rPr>
              <w:t>, d</w:t>
            </w:r>
            <w:r>
              <w:rPr>
                <w:sz w:val="20"/>
                <w:szCs w:val="20"/>
              </w:rPr>
              <w:t>er</w:t>
            </w:r>
            <w:r w:rsidRPr="008E25E2">
              <w:rPr>
                <w:sz w:val="20"/>
                <w:szCs w:val="20"/>
              </w:rPr>
              <w:t xml:space="preserve"> sich in der Rechtsprechung mit seinem Wortlaut („Citizens of </w:t>
            </w:r>
            <w:proofErr w:type="spellStart"/>
            <w:r w:rsidRPr="008E25E2">
              <w:rPr>
                <w:sz w:val="20"/>
                <w:szCs w:val="20"/>
              </w:rPr>
              <w:t>each</w:t>
            </w:r>
            <w:proofErr w:type="spellEnd"/>
            <w:r w:rsidRPr="008E25E2">
              <w:rPr>
                <w:sz w:val="20"/>
                <w:szCs w:val="20"/>
              </w:rPr>
              <w:t xml:space="preserve"> State </w:t>
            </w:r>
            <w:proofErr w:type="spellStart"/>
            <w:r w:rsidRPr="008E25E2">
              <w:rPr>
                <w:sz w:val="20"/>
                <w:szCs w:val="20"/>
              </w:rPr>
              <w:t>shall</w:t>
            </w:r>
            <w:proofErr w:type="spellEnd"/>
            <w:r w:rsidRPr="008E25E2">
              <w:rPr>
                <w:sz w:val="20"/>
                <w:szCs w:val="20"/>
              </w:rPr>
              <w:t xml:space="preserve"> </w:t>
            </w:r>
            <w:proofErr w:type="spellStart"/>
            <w:r w:rsidRPr="008E25E2">
              <w:rPr>
                <w:sz w:val="20"/>
                <w:szCs w:val="20"/>
              </w:rPr>
              <w:t>be</w:t>
            </w:r>
            <w:proofErr w:type="spellEnd"/>
            <w:r w:rsidRPr="008E25E2">
              <w:rPr>
                <w:sz w:val="20"/>
                <w:szCs w:val="20"/>
              </w:rPr>
              <w:t xml:space="preserve"> </w:t>
            </w:r>
            <w:proofErr w:type="spellStart"/>
            <w:r w:rsidRPr="008E25E2">
              <w:rPr>
                <w:sz w:val="20"/>
                <w:szCs w:val="20"/>
              </w:rPr>
              <w:t>entitled</w:t>
            </w:r>
            <w:proofErr w:type="spellEnd"/>
            <w:r w:rsidRPr="008E25E2">
              <w:rPr>
                <w:sz w:val="20"/>
                <w:szCs w:val="20"/>
              </w:rPr>
              <w:t xml:space="preserve"> to all </w:t>
            </w:r>
            <w:proofErr w:type="spellStart"/>
            <w:r w:rsidRPr="008E25E2">
              <w:rPr>
                <w:sz w:val="20"/>
                <w:szCs w:val="20"/>
              </w:rPr>
              <w:t>Privileges</w:t>
            </w:r>
            <w:proofErr w:type="spellEnd"/>
            <w:r w:rsidRPr="008E25E2">
              <w:rPr>
                <w:sz w:val="20"/>
                <w:szCs w:val="20"/>
              </w:rPr>
              <w:t xml:space="preserve"> and </w:t>
            </w:r>
            <w:proofErr w:type="spellStart"/>
            <w:r w:rsidRPr="008E25E2">
              <w:rPr>
                <w:sz w:val="20"/>
                <w:szCs w:val="20"/>
              </w:rPr>
              <w:t>Immunities</w:t>
            </w:r>
            <w:proofErr w:type="spellEnd"/>
            <w:r w:rsidRPr="008E25E2">
              <w:rPr>
                <w:sz w:val="20"/>
                <w:szCs w:val="20"/>
              </w:rPr>
              <w:t xml:space="preserve"> of Citizens“</w:t>
            </w:r>
            <w:r w:rsidRPr="008E25E2">
              <w:rPr>
                <w:sz w:val="20"/>
                <w:szCs w:val="20"/>
                <w:vertAlign w:val="superscript"/>
              </w:rPr>
              <w:footnoteReference w:id="572"/>
            </w:r>
            <w:r w:rsidRPr="008E25E2">
              <w:rPr>
                <w:sz w:val="20"/>
                <w:szCs w:val="20"/>
              </w:rPr>
              <w:t xml:space="preserve">) nur zurückhaltend vom ähnlichen Wortlaut </w:t>
            </w:r>
            <w:r>
              <w:rPr>
                <w:sz w:val="20"/>
                <w:szCs w:val="20"/>
              </w:rPr>
              <w:t>von</w:t>
            </w:r>
            <w:r w:rsidRPr="008E25E2">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lang w:val="en-US"/>
              </w:rPr>
              <w:t xml:space="preserve"> </w:t>
            </w:r>
            <w:proofErr w:type="spellStart"/>
            <w:r w:rsidRPr="008E25E2">
              <w:rPr>
                <w:sz w:val="20"/>
                <w:szCs w:val="20"/>
                <w:lang w:val="en-US"/>
              </w:rPr>
              <w:t>abgesetzt</w:t>
            </w:r>
            <w:proofErr w:type="spellEnd"/>
            <w:r w:rsidRPr="008E25E2">
              <w:rPr>
                <w:sz w:val="20"/>
                <w:szCs w:val="20"/>
                <w:lang w:val="en-US"/>
              </w:rPr>
              <w:t xml:space="preserve"> hat (“No state shall […] abridge the privileges or immunities of citizens”</w:t>
            </w:r>
            <w:r w:rsidRPr="008E25E2">
              <w:rPr>
                <w:sz w:val="20"/>
                <w:szCs w:val="20"/>
                <w:vertAlign w:val="superscript"/>
                <w:lang w:val="en-US"/>
              </w:rPr>
              <w:footnoteReference w:id="573"/>
            </w:r>
            <w:r w:rsidRPr="008E25E2">
              <w:rPr>
                <w:sz w:val="20"/>
                <w:szCs w:val="20"/>
                <w:lang w:val="en-US"/>
              </w:rPr>
              <w:t xml:space="preserve">). </w:t>
            </w:r>
            <w:r w:rsidRPr="008E25E2">
              <w:rPr>
                <w:sz w:val="20"/>
                <w:szCs w:val="20"/>
              </w:rPr>
              <w:t xml:space="preserve">Ziel </w:t>
            </w:r>
            <w:r>
              <w:rPr>
                <w:sz w:val="20"/>
                <w:szCs w:val="20"/>
              </w:rPr>
              <w:t>von</w:t>
            </w:r>
            <w:r w:rsidRPr="008E25E2">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8E25E2">
              <w:rPr>
                <w:sz w:val="20"/>
                <w:szCs w:val="20"/>
              </w:rPr>
              <w:t xml:space="preserve"> sei, Bürger eines Bundesstaats mit den Bürgern eines anderen Bundesstaats gleichzusetzen, soweit sich Vorteile aus der Staatsbürgerschaft ergeben; zugleich sei diskriminierende Gesetzgebung zu verhindern. Dafür </w:t>
            </w:r>
            <w:r>
              <w:rPr>
                <w:sz w:val="20"/>
                <w:szCs w:val="20"/>
              </w:rPr>
              <w:t>seien</w:t>
            </w:r>
            <w:r w:rsidRPr="008E25E2">
              <w:rPr>
                <w:sz w:val="20"/>
                <w:szCs w:val="20"/>
              </w:rPr>
              <w:t xml:space="preserve"> gleiche Bedingungen für ein Streben nach Glück einzurichten</w:t>
            </w:r>
            <w:r>
              <w:rPr>
                <w:sz w:val="20"/>
                <w:szCs w:val="20"/>
              </w:rPr>
              <w:t>, d</w:t>
            </w:r>
            <w:r w:rsidRPr="008E25E2">
              <w:rPr>
                <w:sz w:val="20"/>
                <w:szCs w:val="20"/>
              </w:rPr>
              <w:t>.h. Bedingungen für die Nation als Einheit. Darunter fallen Einreisefreiheit, Eigentumsfreiheit und die Gleichheit vor dem Gesetz.</w:t>
            </w:r>
            <w:r w:rsidRPr="008E25E2">
              <w:rPr>
                <w:sz w:val="20"/>
                <w:szCs w:val="20"/>
                <w:vertAlign w:val="superscript"/>
              </w:rPr>
              <w:footnoteReference w:id="574"/>
            </w:r>
          </w:p>
          <w:p w14:paraId="0C761BBA" w14:textId="77777777" w:rsidR="00074551" w:rsidRPr="00E50B51" w:rsidRDefault="00074551" w:rsidP="00367133">
            <w:pPr>
              <w:jc w:val="both"/>
              <w:rPr>
                <w:sz w:val="20"/>
                <w:szCs w:val="20"/>
              </w:rPr>
            </w:pPr>
          </w:p>
        </w:tc>
      </w:tr>
      <w:tr w:rsidR="00074551" w:rsidRPr="00E50B51" w14:paraId="69E9909D" w14:textId="77777777" w:rsidTr="00BE689F">
        <w:trPr>
          <w:cantSplit/>
          <w:trHeight w:val="3175"/>
        </w:trPr>
        <w:tc>
          <w:tcPr>
            <w:tcW w:w="293" w:type="pct"/>
          </w:tcPr>
          <w:p w14:paraId="204AC0E2"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ED66EB9" w14:textId="77777777" w:rsidR="00074551" w:rsidRPr="00E50B51" w:rsidRDefault="00074551" w:rsidP="00367133">
            <w:pPr>
              <w:ind w:left="113" w:right="416"/>
              <w:jc w:val="both"/>
              <w:rPr>
                <w:sz w:val="20"/>
                <w:szCs w:val="20"/>
              </w:rPr>
            </w:pPr>
            <w:r w:rsidRPr="00584023">
              <w:rPr>
                <w:i/>
                <w:sz w:val="20"/>
                <w:szCs w:val="20"/>
                <w:lang w:val="en-US"/>
              </w:rPr>
              <w:t>Bradwell v. State</w:t>
            </w:r>
          </w:p>
        </w:tc>
        <w:tc>
          <w:tcPr>
            <w:tcW w:w="197" w:type="pct"/>
            <w:textDirection w:val="tbRl"/>
            <w:vAlign w:val="center"/>
          </w:tcPr>
          <w:p w14:paraId="33629A21" w14:textId="77777777" w:rsidR="00074551" w:rsidRPr="00E50B51" w:rsidRDefault="00074551" w:rsidP="00367133">
            <w:pPr>
              <w:ind w:left="113" w:right="113"/>
              <w:jc w:val="both"/>
              <w:rPr>
                <w:sz w:val="20"/>
                <w:szCs w:val="20"/>
              </w:rPr>
            </w:pPr>
            <w:r w:rsidRPr="00E50B51">
              <w:rPr>
                <w:sz w:val="20"/>
                <w:szCs w:val="20"/>
                <w:lang w:val="en-US"/>
              </w:rPr>
              <w:t>83 U.S. 130</w:t>
            </w:r>
          </w:p>
        </w:tc>
        <w:tc>
          <w:tcPr>
            <w:tcW w:w="306" w:type="pct"/>
            <w:textDirection w:val="tbRl"/>
            <w:vAlign w:val="center"/>
          </w:tcPr>
          <w:p w14:paraId="68BFC59E" w14:textId="77777777" w:rsidR="00074551" w:rsidRPr="00E50B51" w:rsidRDefault="00074551" w:rsidP="00367133">
            <w:pPr>
              <w:ind w:left="113" w:right="113"/>
              <w:jc w:val="both"/>
              <w:rPr>
                <w:sz w:val="20"/>
                <w:szCs w:val="20"/>
              </w:rPr>
            </w:pPr>
            <w:r w:rsidRPr="00E50B51">
              <w:rPr>
                <w:sz w:val="20"/>
                <w:szCs w:val="20"/>
              </w:rPr>
              <w:t>15. April 1873</w:t>
            </w:r>
          </w:p>
        </w:tc>
        <w:tc>
          <w:tcPr>
            <w:tcW w:w="401" w:type="pct"/>
          </w:tcPr>
          <w:p w14:paraId="200D323D" w14:textId="77777777" w:rsidR="00074551" w:rsidRPr="00E50B51" w:rsidRDefault="00074551" w:rsidP="00367133">
            <w:pPr>
              <w:jc w:val="center"/>
              <w:rPr>
                <w:sz w:val="20"/>
                <w:szCs w:val="20"/>
              </w:rPr>
            </w:pPr>
            <w:r w:rsidRPr="00E50B51">
              <w:rPr>
                <w:sz w:val="20"/>
                <w:szCs w:val="20"/>
              </w:rPr>
              <w:t>S</w:t>
            </w:r>
          </w:p>
        </w:tc>
        <w:tc>
          <w:tcPr>
            <w:tcW w:w="1594" w:type="pct"/>
          </w:tcPr>
          <w:p w14:paraId="354D20F5" w14:textId="77777777" w:rsidR="00074551" w:rsidRPr="00E50B51" w:rsidRDefault="00074551" w:rsidP="00367133">
            <w:pPr>
              <w:jc w:val="both"/>
              <w:rPr>
                <w:sz w:val="20"/>
                <w:szCs w:val="20"/>
              </w:rPr>
            </w:pPr>
            <w:r w:rsidRPr="00E50B51">
              <w:rPr>
                <w:sz w:val="20"/>
                <w:szCs w:val="20"/>
              </w:rPr>
              <w:t>*</w:t>
            </w:r>
          </w:p>
        </w:tc>
        <w:tc>
          <w:tcPr>
            <w:tcW w:w="1822" w:type="pct"/>
          </w:tcPr>
          <w:p w14:paraId="6AF625D4" w14:textId="66117FFD"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urteilt,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r>
              <w:rPr>
                <w:sz w:val="20"/>
                <w:szCs w:val="20"/>
              </w:rPr>
              <w:t>ermögliche</w:t>
            </w:r>
            <w:r w:rsidRPr="00E50B51">
              <w:rPr>
                <w:sz w:val="20"/>
                <w:szCs w:val="20"/>
              </w:rPr>
              <w:t xml:space="preserve">, </w:t>
            </w:r>
            <w:r>
              <w:rPr>
                <w:sz w:val="20"/>
                <w:szCs w:val="20"/>
              </w:rPr>
              <w:t xml:space="preserve">dass </w:t>
            </w:r>
            <w:r w:rsidRPr="00E50B51">
              <w:rPr>
                <w:sz w:val="20"/>
                <w:szCs w:val="20"/>
              </w:rPr>
              <w:t>Staatsbürger der Vereinigten Staaten zugleich Bürger des Bundes</w:t>
            </w:r>
            <w:r>
              <w:rPr>
                <w:sz w:val="20"/>
                <w:szCs w:val="20"/>
              </w:rPr>
              <w:t>s</w:t>
            </w:r>
            <w:r w:rsidRPr="00E50B51">
              <w:rPr>
                <w:sz w:val="20"/>
                <w:szCs w:val="20"/>
              </w:rPr>
              <w:t>taates</w:t>
            </w:r>
            <w:r>
              <w:rPr>
                <w:sz w:val="20"/>
                <w:szCs w:val="20"/>
              </w:rPr>
              <w:t xml:space="preserve"> sein können müssen</w:t>
            </w:r>
            <w:r w:rsidRPr="00E50B51">
              <w:rPr>
                <w:sz w:val="20"/>
                <w:szCs w:val="20"/>
              </w:rPr>
              <w:t xml:space="preserve">, in dem sie </w:t>
            </w:r>
            <w:r>
              <w:rPr>
                <w:sz w:val="20"/>
                <w:szCs w:val="20"/>
              </w:rPr>
              <w:t>eine längere Zeit gewohnt haben</w:t>
            </w:r>
            <w:r w:rsidRPr="00E50B51">
              <w:rPr>
                <w:sz w:val="20"/>
                <w:szCs w:val="20"/>
              </w:rPr>
              <w:t>. Daher war die Klägerin Staatsbürgerin der Vereinigten Staaten</w:t>
            </w:r>
            <w:r>
              <w:rPr>
                <w:sz w:val="20"/>
                <w:szCs w:val="20"/>
              </w:rPr>
              <w:t xml:space="preserve"> – </w:t>
            </w:r>
            <w:r w:rsidRPr="00E50B51">
              <w:rPr>
                <w:sz w:val="20"/>
                <w:szCs w:val="20"/>
              </w:rPr>
              <w:t>und zugleich Bürgerin des</w:t>
            </w:r>
            <w:r>
              <w:rPr>
                <w:sz w:val="20"/>
                <w:szCs w:val="20"/>
              </w:rPr>
              <w:t xml:space="preserve"> Bundesstaats</w:t>
            </w:r>
            <w:r w:rsidRPr="00E50B51">
              <w:rPr>
                <w:sz w:val="20"/>
                <w:szCs w:val="20"/>
              </w:rPr>
              <w:t xml:space="preserve"> Illinois, obwohl sie in Vermo</w:t>
            </w:r>
            <w:r>
              <w:rPr>
                <w:sz w:val="20"/>
                <w:szCs w:val="20"/>
              </w:rPr>
              <w:t>n</w:t>
            </w:r>
            <w:r w:rsidRPr="00E50B51">
              <w:rPr>
                <w:sz w:val="20"/>
                <w:szCs w:val="20"/>
              </w:rPr>
              <w:t>t geboren wurde.</w:t>
            </w:r>
            <w:r w:rsidRPr="00E50B51">
              <w:rPr>
                <w:rStyle w:val="Funotenzeichen"/>
                <w:rFonts w:eastAsiaTheme="majorEastAsia"/>
                <w:sz w:val="20"/>
                <w:szCs w:val="20"/>
              </w:rPr>
              <w:footnoteReference w:id="575"/>
            </w:r>
            <w:r w:rsidRPr="00E50B51">
              <w:rPr>
                <w:sz w:val="20"/>
                <w:szCs w:val="20"/>
              </w:rPr>
              <w:t xml:space="preserve"> Der </w:t>
            </w:r>
            <w:r>
              <w:rPr>
                <w:sz w:val="20"/>
                <w:szCs w:val="20"/>
              </w:rPr>
              <w:t>U.S. Supreme Court</w:t>
            </w:r>
            <w:r w:rsidRPr="00E50B51">
              <w:rPr>
                <w:sz w:val="20"/>
                <w:szCs w:val="20"/>
              </w:rPr>
              <w:t xml:space="preserve"> stellte dann fest, die Anwaltszulassung gehöre nicht zu den grundlegenden Vorrechten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da</w:t>
            </w:r>
            <w:r>
              <w:rPr>
                <w:sz w:val="20"/>
                <w:szCs w:val="20"/>
              </w:rPr>
              <w:t> – als Prüffrage – </w:t>
            </w:r>
            <w:r w:rsidRPr="00E50B51">
              <w:rPr>
                <w:sz w:val="20"/>
                <w:szCs w:val="20"/>
              </w:rPr>
              <w:t xml:space="preserve">die amerikanische Staatsbürgerschaft nicht von ihr abhinge. Die </w:t>
            </w:r>
            <w:r>
              <w:rPr>
                <w:sz w:val="20"/>
                <w:szCs w:val="20"/>
              </w:rPr>
              <w:t xml:space="preserve">Prüfung </w:t>
            </w:r>
            <w:r w:rsidRPr="00E50B51">
              <w:rPr>
                <w:sz w:val="20"/>
                <w:szCs w:val="20"/>
              </w:rPr>
              <w:t>laute</w:t>
            </w:r>
            <w:r>
              <w:rPr>
                <w:sz w:val="20"/>
                <w:szCs w:val="20"/>
              </w:rPr>
              <w:t xml:space="preserve"> im Detail</w:t>
            </w:r>
            <w:r w:rsidRPr="00E50B51">
              <w:rPr>
                <w:sz w:val="20"/>
                <w:szCs w:val="20"/>
              </w:rPr>
              <w:t xml:space="preserve">: Ein Recht gehöre dann zu den grundlegenden Vorrechten </w:t>
            </w:r>
            <w:r>
              <w:rPr>
                <w:sz w:val="20"/>
                <w:szCs w:val="20"/>
              </w:rPr>
              <w:t>eines</w:t>
            </w:r>
            <w:r w:rsidRPr="00E50B51">
              <w:rPr>
                <w:sz w:val="20"/>
                <w:szCs w:val="20"/>
              </w:rPr>
              <w:t xml:space="preserve"> Bürger</w:t>
            </w:r>
            <w:r>
              <w:rPr>
                <w:sz w:val="20"/>
                <w:szCs w:val="20"/>
              </w:rPr>
              <w:t>s</w:t>
            </w:r>
            <w:r w:rsidRPr="00E50B51">
              <w:rPr>
                <w:sz w:val="20"/>
                <w:szCs w:val="20"/>
              </w:rPr>
              <w:t xml:space="preserve"> und damit </w:t>
            </w:r>
            <w:r>
              <w:rPr>
                <w:sz w:val="20"/>
                <w:szCs w:val="20"/>
              </w:rPr>
              <w:t xml:space="preserve">zu </w:t>
            </w:r>
            <w:r w:rsidRPr="00E50B51">
              <w:rPr>
                <w:sz w:val="20"/>
                <w:szCs w:val="20"/>
              </w:rPr>
              <w:t xml:space="preserve">seiner Staatsbürgerschaft, wenn die Kompetenz für das Recht beim Bund läge. Das </w:t>
            </w:r>
            <w:r>
              <w:rPr>
                <w:sz w:val="20"/>
                <w:szCs w:val="20"/>
              </w:rPr>
              <w:t>sei</w:t>
            </w:r>
            <w:r w:rsidRPr="00E50B51">
              <w:rPr>
                <w:sz w:val="20"/>
                <w:szCs w:val="20"/>
              </w:rPr>
              <w:t xml:space="preserve"> hier aber nicht der Fall</w:t>
            </w:r>
            <w:r>
              <w:rPr>
                <w:sz w:val="20"/>
                <w:szCs w:val="20"/>
              </w:rPr>
              <w:t>, w</w:t>
            </w:r>
            <w:r w:rsidRPr="00E50B51">
              <w:rPr>
                <w:sz w:val="20"/>
                <w:szCs w:val="20"/>
              </w:rPr>
              <w:t xml:space="preserve">eil die Kompetenz, einen Anwalt zuzulassen, bei den Bundesstaaten liege. Die US-Staatsbürgerschaft wäre </w:t>
            </w:r>
            <w:r>
              <w:rPr>
                <w:sz w:val="20"/>
                <w:szCs w:val="20"/>
              </w:rPr>
              <w:t xml:space="preserve">darüber hinaus </w:t>
            </w:r>
            <w:r w:rsidRPr="00E50B51">
              <w:rPr>
                <w:sz w:val="20"/>
                <w:szCs w:val="20"/>
              </w:rPr>
              <w:t>nur berührt, wenn ein Recht wie die Anwaltszulassung das Streben nach Glück bzgl. des Berufszugangs für jedermann verwehre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 xml:space="preserve"> all </w:t>
            </w:r>
            <w:proofErr w:type="spellStart"/>
            <w:r w:rsidRPr="00E50B51">
              <w:rPr>
                <w:sz w:val="20"/>
                <w:szCs w:val="20"/>
              </w:rPr>
              <w:t>avocations</w:t>
            </w:r>
            <w:proofErr w:type="spellEnd"/>
            <w:r w:rsidRPr="00E50B51">
              <w:rPr>
                <w:sz w:val="20"/>
                <w:szCs w:val="20"/>
              </w:rPr>
              <w:t>“).</w:t>
            </w:r>
            <w:r w:rsidRPr="00E50B51">
              <w:rPr>
                <w:rStyle w:val="Funotenzeichen"/>
                <w:rFonts w:eastAsiaTheme="majorEastAsia"/>
                <w:sz w:val="20"/>
                <w:szCs w:val="20"/>
              </w:rPr>
              <w:footnoteReference w:id="576"/>
            </w:r>
            <w:r w:rsidRPr="00E50B51">
              <w:rPr>
                <w:sz w:val="20"/>
                <w:szCs w:val="20"/>
              </w:rPr>
              <w:t xml:space="preserve"> </w:t>
            </w:r>
            <w:r>
              <w:rPr>
                <w:sz w:val="20"/>
                <w:szCs w:val="20"/>
              </w:rPr>
              <w:t>Und auch da</w:t>
            </w:r>
            <w:r w:rsidRPr="00E50B51">
              <w:rPr>
                <w:sz w:val="20"/>
                <w:szCs w:val="20"/>
              </w:rPr>
              <w:t xml:space="preserve">s </w:t>
            </w:r>
            <w:r>
              <w:rPr>
                <w:sz w:val="20"/>
                <w:szCs w:val="20"/>
              </w:rPr>
              <w:t>sei</w:t>
            </w:r>
            <w:r w:rsidRPr="00E50B51">
              <w:rPr>
                <w:sz w:val="20"/>
                <w:szCs w:val="20"/>
              </w:rPr>
              <w:t xml:space="preserve"> hier nicht der Fall</w:t>
            </w:r>
            <w:r>
              <w:rPr>
                <w:sz w:val="20"/>
                <w:szCs w:val="20"/>
              </w:rPr>
              <w:t>. D</w:t>
            </w:r>
            <w:r w:rsidRPr="00E50B51">
              <w:rPr>
                <w:sz w:val="20"/>
                <w:szCs w:val="20"/>
              </w:rPr>
              <w:t xml:space="preserve">enn ein Berufszugang </w:t>
            </w:r>
            <w:r>
              <w:rPr>
                <w:sz w:val="20"/>
                <w:szCs w:val="20"/>
              </w:rPr>
              <w:t>sei</w:t>
            </w:r>
            <w:r w:rsidRPr="00E50B51">
              <w:rPr>
                <w:sz w:val="20"/>
                <w:szCs w:val="20"/>
              </w:rPr>
              <w:t xml:space="preserve"> g</w:t>
            </w:r>
            <w:r>
              <w:rPr>
                <w:sz w:val="20"/>
                <w:szCs w:val="20"/>
              </w:rPr>
              <w:t>rundsätzlich</w:t>
            </w:r>
            <w:r w:rsidRPr="00E50B51">
              <w:rPr>
                <w:sz w:val="20"/>
                <w:szCs w:val="20"/>
              </w:rPr>
              <w:t xml:space="preserve"> möglich und der </w:t>
            </w:r>
            <w:r>
              <w:rPr>
                <w:sz w:val="20"/>
                <w:szCs w:val="20"/>
              </w:rPr>
              <w:t>e</w:t>
            </w:r>
            <w:r w:rsidRPr="00E50B51">
              <w:rPr>
                <w:sz w:val="20"/>
                <w:szCs w:val="20"/>
              </w:rPr>
              <w:t xml:space="preserve">inzelfallbezogene Berufszugang falle nicht unter die grundlegenden Vorrechte. Nur die </w:t>
            </w:r>
            <w:r>
              <w:rPr>
                <w:sz w:val="20"/>
                <w:szCs w:val="20"/>
              </w:rPr>
              <w:t xml:space="preserve">generelle </w:t>
            </w:r>
            <w:r w:rsidRPr="00E50B51">
              <w:rPr>
                <w:sz w:val="20"/>
                <w:szCs w:val="20"/>
              </w:rPr>
              <w:t>Berufsausübung</w:t>
            </w:r>
            <w:r>
              <w:rPr>
                <w:sz w:val="20"/>
                <w:szCs w:val="20"/>
              </w:rPr>
              <w:t xml:space="preserve"> </w:t>
            </w:r>
            <w:r w:rsidRPr="00E50B51">
              <w:rPr>
                <w:sz w:val="20"/>
                <w:szCs w:val="20"/>
              </w:rPr>
              <w:t>(„</w:t>
            </w:r>
            <w:proofErr w:type="spellStart"/>
            <w:r w:rsidRPr="00E50B51">
              <w:rPr>
                <w:sz w:val="20"/>
                <w:szCs w:val="20"/>
              </w:rPr>
              <w:t>pursuit</w:t>
            </w:r>
            <w:proofErr w:type="spellEnd"/>
            <w:r w:rsidRPr="00E50B51">
              <w:rPr>
                <w:sz w:val="20"/>
                <w:szCs w:val="20"/>
              </w:rPr>
              <w:t xml:space="preserve"> of the </w:t>
            </w:r>
            <w:proofErr w:type="spellStart"/>
            <w:r w:rsidRPr="00E50B51">
              <w:rPr>
                <w:sz w:val="20"/>
                <w:szCs w:val="20"/>
              </w:rPr>
              <w:t>other</w:t>
            </w:r>
            <w:proofErr w:type="spellEnd"/>
            <w:r w:rsidRPr="00E50B51">
              <w:rPr>
                <w:sz w:val="20"/>
                <w:szCs w:val="20"/>
              </w:rPr>
              <w:t xml:space="preserve"> </w:t>
            </w:r>
            <w:proofErr w:type="spellStart"/>
            <w:r w:rsidRPr="00E50B51">
              <w:rPr>
                <w:sz w:val="20"/>
                <w:szCs w:val="20"/>
              </w:rPr>
              <w:t>ordinary</w:t>
            </w:r>
            <w:proofErr w:type="spellEnd"/>
            <w:r w:rsidRPr="00E50B51">
              <w:rPr>
                <w:sz w:val="20"/>
                <w:szCs w:val="20"/>
              </w:rPr>
              <w:t xml:space="preserve"> </w:t>
            </w:r>
            <w:proofErr w:type="spellStart"/>
            <w:r w:rsidRPr="00E50B51">
              <w:rPr>
                <w:sz w:val="20"/>
                <w:szCs w:val="20"/>
              </w:rPr>
              <w:t>avocations</w:t>
            </w:r>
            <w:proofErr w:type="spellEnd"/>
            <w:r w:rsidRPr="00E50B51">
              <w:rPr>
                <w:sz w:val="20"/>
                <w:szCs w:val="20"/>
              </w:rPr>
              <w:t xml:space="preserve"> of </w:t>
            </w:r>
            <w:proofErr w:type="spellStart"/>
            <w:r w:rsidRPr="00E50B51">
              <w:rPr>
                <w:sz w:val="20"/>
                <w:szCs w:val="20"/>
              </w:rPr>
              <w:t>life</w:t>
            </w:r>
            <w:proofErr w:type="spellEnd"/>
            <w:r w:rsidRPr="00E50B51">
              <w:rPr>
                <w:sz w:val="20"/>
                <w:szCs w:val="20"/>
              </w:rPr>
              <w:t>“</w:t>
            </w:r>
            <w:r w:rsidRPr="00E50B51">
              <w:rPr>
                <w:rStyle w:val="Funotenzeichen"/>
                <w:rFonts w:eastAsiaTheme="majorEastAsia"/>
                <w:sz w:val="20"/>
                <w:szCs w:val="20"/>
              </w:rPr>
              <w:footnoteReference w:id="577"/>
            </w:r>
            <w:r w:rsidRPr="00E50B51">
              <w:rPr>
                <w:sz w:val="20"/>
                <w:szCs w:val="20"/>
              </w:rPr>
              <w:t xml:space="preserve">) falle unter die grundlegenden Vorrechte der Staatsbürgerschaft und sei </w:t>
            </w:r>
            <w:r>
              <w:rPr>
                <w:sz w:val="20"/>
                <w:szCs w:val="20"/>
              </w:rPr>
              <w:t xml:space="preserve">im Grundsatz </w:t>
            </w:r>
            <w:r w:rsidRPr="00E50B51">
              <w:rPr>
                <w:sz w:val="20"/>
                <w:szCs w:val="20"/>
              </w:rPr>
              <w:t>nicht einzuschränken.</w:t>
            </w:r>
          </w:p>
          <w:p w14:paraId="00161328" w14:textId="77777777" w:rsidR="00074551" w:rsidRPr="00E50B51" w:rsidRDefault="00074551" w:rsidP="00367133">
            <w:pPr>
              <w:jc w:val="both"/>
              <w:rPr>
                <w:sz w:val="20"/>
                <w:szCs w:val="20"/>
              </w:rPr>
            </w:pPr>
          </w:p>
        </w:tc>
      </w:tr>
      <w:tr w:rsidR="00074551" w:rsidRPr="00E50B51" w14:paraId="58D125DD" w14:textId="77777777" w:rsidTr="00BE689F">
        <w:trPr>
          <w:cantSplit/>
          <w:trHeight w:val="3175"/>
        </w:trPr>
        <w:tc>
          <w:tcPr>
            <w:tcW w:w="293" w:type="pct"/>
          </w:tcPr>
          <w:p w14:paraId="405DC1E2"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7E3E353" w14:textId="77777777" w:rsidR="00074551" w:rsidRPr="00E50B51" w:rsidRDefault="00074551" w:rsidP="00367133">
            <w:pPr>
              <w:ind w:left="113" w:right="113"/>
              <w:jc w:val="both"/>
              <w:rPr>
                <w:sz w:val="20"/>
                <w:szCs w:val="20"/>
              </w:rPr>
            </w:pPr>
            <w:r w:rsidRPr="00584023">
              <w:rPr>
                <w:i/>
                <w:sz w:val="20"/>
                <w:szCs w:val="20"/>
              </w:rPr>
              <w:t>Loving v. Virginia</w:t>
            </w:r>
          </w:p>
          <w:p w14:paraId="2C94DA65" w14:textId="77777777" w:rsidR="00074551" w:rsidRPr="00E50B51" w:rsidRDefault="00074551" w:rsidP="00367133">
            <w:pPr>
              <w:ind w:left="113" w:right="416"/>
              <w:jc w:val="both"/>
              <w:rPr>
                <w:sz w:val="20"/>
                <w:szCs w:val="20"/>
              </w:rPr>
            </w:pPr>
          </w:p>
        </w:tc>
        <w:tc>
          <w:tcPr>
            <w:tcW w:w="197" w:type="pct"/>
            <w:textDirection w:val="tbRl"/>
            <w:vAlign w:val="center"/>
          </w:tcPr>
          <w:p w14:paraId="658B161A" w14:textId="77777777" w:rsidR="00074551" w:rsidRPr="00E50B51" w:rsidRDefault="00074551" w:rsidP="00367133">
            <w:pPr>
              <w:ind w:left="113" w:right="113"/>
              <w:jc w:val="both"/>
              <w:rPr>
                <w:sz w:val="20"/>
                <w:szCs w:val="20"/>
              </w:rPr>
            </w:pPr>
            <w:r w:rsidRPr="00E50B51">
              <w:rPr>
                <w:sz w:val="20"/>
                <w:szCs w:val="20"/>
                <w:lang w:val="en-US"/>
              </w:rPr>
              <w:t>388 U.S. 1</w:t>
            </w:r>
          </w:p>
        </w:tc>
        <w:tc>
          <w:tcPr>
            <w:tcW w:w="306" w:type="pct"/>
            <w:textDirection w:val="tbRl"/>
            <w:vAlign w:val="center"/>
          </w:tcPr>
          <w:p w14:paraId="23DBD33E" w14:textId="77777777" w:rsidR="00074551" w:rsidRPr="00E50B51" w:rsidRDefault="00074551" w:rsidP="00367133">
            <w:pPr>
              <w:ind w:left="113" w:right="113"/>
              <w:jc w:val="both"/>
              <w:rPr>
                <w:sz w:val="20"/>
                <w:szCs w:val="20"/>
              </w:rPr>
            </w:pPr>
            <w:r w:rsidRPr="00E50B51">
              <w:rPr>
                <w:sz w:val="20"/>
                <w:szCs w:val="20"/>
              </w:rPr>
              <w:t>12. Juni 1967</w:t>
            </w:r>
          </w:p>
        </w:tc>
        <w:tc>
          <w:tcPr>
            <w:tcW w:w="401" w:type="pct"/>
          </w:tcPr>
          <w:p w14:paraId="4343A54D" w14:textId="77777777" w:rsidR="00074551" w:rsidRPr="00E50B51" w:rsidRDefault="00074551" w:rsidP="00367133">
            <w:pPr>
              <w:jc w:val="center"/>
              <w:rPr>
                <w:sz w:val="20"/>
                <w:szCs w:val="20"/>
              </w:rPr>
            </w:pPr>
            <w:r w:rsidRPr="00E50B51">
              <w:rPr>
                <w:sz w:val="20"/>
                <w:szCs w:val="20"/>
              </w:rPr>
              <w:t>M</w:t>
            </w:r>
          </w:p>
        </w:tc>
        <w:tc>
          <w:tcPr>
            <w:tcW w:w="1594" w:type="pct"/>
          </w:tcPr>
          <w:p w14:paraId="6ADBC16F" w14:textId="6DA263F9"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Gesetz (Va. Code Ann. §</w:t>
            </w:r>
            <w:r>
              <w:rPr>
                <w:sz w:val="20"/>
                <w:szCs w:val="20"/>
              </w:rPr>
              <w:t>§ </w:t>
            </w:r>
            <w:r w:rsidRPr="00E50B51">
              <w:rPr>
                <w:sz w:val="20"/>
                <w:szCs w:val="20"/>
              </w:rPr>
              <w:t xml:space="preserve">20-58 and 20-59) für verfassungswidrig. Das Gesetz verbot Eheschließungen zwischen verschiedenen Rassen. </w:t>
            </w:r>
            <w:r>
              <w:rPr>
                <w:sz w:val="20"/>
                <w:szCs w:val="20"/>
              </w:rPr>
              <w:t>Die Tatsache, dass</w:t>
            </w:r>
            <w:r w:rsidRPr="00E50B51">
              <w:rPr>
                <w:sz w:val="20"/>
                <w:szCs w:val="20"/>
              </w:rPr>
              <w:t xml:space="preserve"> aufgrund der gleichen Anwendung des Gesetzes in allen Fällen („</w:t>
            </w:r>
            <w:bookmarkStart w:id="36" w:name="_Hlk229726669"/>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application</w:t>
            </w:r>
            <w:bookmarkEnd w:id="36"/>
            <w:proofErr w:type="spellEnd"/>
            <w:r w:rsidRPr="00E50B51">
              <w:rPr>
                <w:sz w:val="20"/>
                <w:szCs w:val="20"/>
              </w:rPr>
              <w:t>“</w:t>
            </w:r>
            <w:r>
              <w:rPr>
                <w:rStyle w:val="Funotenzeichen"/>
                <w:sz w:val="20"/>
                <w:szCs w:val="20"/>
              </w:rPr>
              <w:footnoteReference w:id="578"/>
            </w:r>
            <w:r w:rsidRPr="00E50B51">
              <w:rPr>
                <w:sz w:val="20"/>
                <w:szCs w:val="20"/>
              </w:rPr>
              <w:t xml:space="preserve">) keine Verletzung </w:t>
            </w:r>
            <w:r>
              <w:rPr>
                <w:sz w:val="20"/>
                <w:szCs w:val="20"/>
              </w:rPr>
              <w:t>des</w:t>
            </w:r>
            <w:r w:rsidRPr="00E50B51">
              <w:rPr>
                <w:sz w:val="20"/>
                <w:szCs w:val="20"/>
              </w:rPr>
              <w:t xml:space="preserve"> ordnungs</w:t>
            </w:r>
            <w:r>
              <w:rPr>
                <w:sz w:val="20"/>
                <w:szCs w:val="20"/>
              </w:rPr>
              <w:t>ge</w:t>
            </w:r>
            <w:r w:rsidRPr="00E50B51">
              <w:rPr>
                <w:sz w:val="20"/>
                <w:szCs w:val="20"/>
              </w:rPr>
              <w:t>mäßen Verfahren</w:t>
            </w:r>
            <w:r>
              <w:rPr>
                <w:sz w:val="20"/>
                <w:szCs w:val="20"/>
              </w:rPr>
              <w:t>s</w:t>
            </w:r>
            <w:r w:rsidRPr="00E50B51">
              <w:rPr>
                <w:sz w:val="20"/>
                <w:szCs w:val="20"/>
              </w:rPr>
              <w:t xml:space="preserve"> bestehe, nivelliere nicht, dass das Gesetz rassisch klassifiziere. Das Gesetz liefere keinen legitimen Zweck („</w:t>
            </w:r>
            <w:proofErr w:type="spellStart"/>
            <w:r w:rsidRPr="00E50B51">
              <w:rPr>
                <w:sz w:val="20"/>
                <w:szCs w:val="20"/>
              </w:rPr>
              <w:t>no</w:t>
            </w:r>
            <w:proofErr w:type="spellEnd"/>
            <w:r w:rsidRPr="00E50B51">
              <w:rPr>
                <w:sz w:val="20"/>
                <w:szCs w:val="20"/>
              </w:rPr>
              <w:t xml:space="preserve"> </w:t>
            </w:r>
            <w:proofErr w:type="spellStart"/>
            <w:r w:rsidRPr="00E50B51">
              <w:rPr>
                <w:sz w:val="20"/>
                <w:szCs w:val="20"/>
              </w:rPr>
              <w:t>legitimate</w:t>
            </w:r>
            <w:proofErr w:type="spellEnd"/>
            <w:r w:rsidRPr="00E50B51">
              <w:rPr>
                <w:sz w:val="20"/>
                <w:szCs w:val="20"/>
              </w:rPr>
              <w:t xml:space="preserve"> </w:t>
            </w:r>
            <w:proofErr w:type="spellStart"/>
            <w:r w:rsidRPr="00E50B51">
              <w:rPr>
                <w:sz w:val="20"/>
                <w:szCs w:val="20"/>
              </w:rPr>
              <w:t>overriding</w:t>
            </w:r>
            <w:proofErr w:type="spellEnd"/>
            <w:r w:rsidRPr="00E50B51">
              <w:rPr>
                <w:sz w:val="20"/>
                <w:szCs w:val="20"/>
              </w:rPr>
              <w:t xml:space="preserve"> </w:t>
            </w:r>
            <w:proofErr w:type="spellStart"/>
            <w:r w:rsidRPr="00E50B51">
              <w:rPr>
                <w:sz w:val="20"/>
                <w:szCs w:val="20"/>
              </w:rPr>
              <w:t>purpose</w:t>
            </w:r>
            <w:proofErr w:type="spellEnd"/>
            <w:r w:rsidRPr="00E50B51">
              <w:rPr>
                <w:sz w:val="20"/>
                <w:szCs w:val="20"/>
              </w:rPr>
              <w:t>“</w:t>
            </w:r>
            <w:r>
              <w:rPr>
                <w:rStyle w:val="Funotenzeichen"/>
                <w:sz w:val="20"/>
                <w:szCs w:val="20"/>
              </w:rPr>
              <w:footnoteReference w:id="579"/>
            </w:r>
            <w:r w:rsidRPr="00E50B51">
              <w:rPr>
                <w:sz w:val="20"/>
                <w:szCs w:val="20"/>
              </w:rPr>
              <w:t>) für die Klassifikation in Rassen</w:t>
            </w:r>
            <w:r>
              <w:rPr>
                <w:sz w:val="20"/>
                <w:szCs w:val="20"/>
              </w:rPr>
              <w:t>, w</w:t>
            </w:r>
            <w:r w:rsidRPr="00E50B51">
              <w:rPr>
                <w:sz w:val="20"/>
                <w:szCs w:val="20"/>
              </w:rPr>
              <w:t xml:space="preserve">eshalb ein Verstoß gegen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bestehe und Freiheit entzogen sei </w:t>
            </w:r>
            <w:r>
              <w:rPr>
                <w:sz w:val="20"/>
                <w:szCs w:val="20"/>
              </w:rPr>
              <w:t>entgegen</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p>
          <w:p w14:paraId="0B98B56A" w14:textId="77777777" w:rsidR="00074551" w:rsidRPr="00E50B51" w:rsidRDefault="00074551" w:rsidP="00367133">
            <w:pPr>
              <w:jc w:val="both"/>
              <w:rPr>
                <w:sz w:val="20"/>
                <w:szCs w:val="20"/>
              </w:rPr>
            </w:pPr>
          </w:p>
        </w:tc>
        <w:tc>
          <w:tcPr>
            <w:tcW w:w="1822" w:type="pct"/>
          </w:tcPr>
          <w:p w14:paraId="7C74612C" w14:textId="5A3C29AC" w:rsidR="00074551" w:rsidRPr="00D701DE" w:rsidRDefault="00074551" w:rsidP="00367133">
            <w:pPr>
              <w:jc w:val="both"/>
              <w:rPr>
                <w:sz w:val="20"/>
                <w:szCs w:val="20"/>
              </w:rPr>
            </w:pPr>
            <w:r w:rsidRPr="00D701DE">
              <w:rPr>
                <w:sz w:val="20"/>
                <w:szCs w:val="20"/>
              </w:rPr>
              <w:t xml:space="preserve">Der </w:t>
            </w:r>
            <w:r>
              <w:rPr>
                <w:sz w:val="20"/>
                <w:szCs w:val="20"/>
              </w:rPr>
              <w:t>U.S. Supreme Court</w:t>
            </w:r>
            <w:r w:rsidRPr="00D701DE">
              <w:rPr>
                <w:sz w:val="20"/>
                <w:szCs w:val="20"/>
              </w:rPr>
              <w:t xml:space="preserve"> erklärt,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D701DE">
              <w:rPr>
                <w:sz w:val="20"/>
                <w:szCs w:val="20"/>
              </w:rPr>
              <w:t xml:space="preserve"> schütze die Staatsbürgerschaft. Aus dem Wortlaut des Amendments folge: Unterschiede zwischen Bürgern allein aufgrund ihrer Abstammung bzw. Rasse sind für ein freies Volk, dessen Institutionen auf der Doktrin der Gleichheit beruhen, verfassungswidrig. Denn aus der Staatsbürgerschaft und der Doktrin der Gleichheit erwachsen grundlegende Bürgerrechte („</w:t>
            </w:r>
            <w:proofErr w:type="spellStart"/>
            <w:r w:rsidRPr="00D701DE">
              <w:rPr>
                <w:sz w:val="20"/>
                <w:szCs w:val="20"/>
              </w:rPr>
              <w:t>basic</w:t>
            </w:r>
            <w:proofErr w:type="spellEnd"/>
            <w:r w:rsidRPr="00D701DE">
              <w:rPr>
                <w:sz w:val="20"/>
                <w:szCs w:val="20"/>
              </w:rPr>
              <w:t xml:space="preserve"> </w:t>
            </w:r>
            <w:proofErr w:type="spellStart"/>
            <w:r w:rsidRPr="00D701DE">
              <w:rPr>
                <w:sz w:val="20"/>
                <w:szCs w:val="20"/>
              </w:rPr>
              <w:t>civil</w:t>
            </w:r>
            <w:proofErr w:type="spellEnd"/>
            <w:r w:rsidRPr="00D701DE">
              <w:rPr>
                <w:sz w:val="20"/>
                <w:szCs w:val="20"/>
              </w:rPr>
              <w:t xml:space="preserve"> </w:t>
            </w:r>
            <w:proofErr w:type="spellStart"/>
            <w:r w:rsidRPr="00D701DE">
              <w:rPr>
                <w:sz w:val="20"/>
                <w:szCs w:val="20"/>
              </w:rPr>
              <w:t>rights</w:t>
            </w:r>
            <w:proofErr w:type="spellEnd"/>
            <w:r w:rsidRPr="00D701DE">
              <w:rPr>
                <w:sz w:val="20"/>
                <w:szCs w:val="20"/>
              </w:rPr>
              <w:t xml:space="preserve"> of man“</w:t>
            </w:r>
            <w:r w:rsidRPr="00D701DE">
              <w:rPr>
                <w:sz w:val="20"/>
                <w:szCs w:val="20"/>
                <w:vertAlign w:val="superscript"/>
              </w:rPr>
              <w:footnoteReference w:id="580"/>
            </w:r>
            <w:r w:rsidRPr="00D701DE">
              <w:rPr>
                <w:sz w:val="20"/>
                <w:szCs w:val="20"/>
              </w:rPr>
              <w:t xml:space="preserve">) wie das Recht auf ein Streben nach Glück, ausgedrückt </w:t>
            </w:r>
            <w:r>
              <w:rPr>
                <w:sz w:val="20"/>
                <w:szCs w:val="20"/>
              </w:rPr>
              <w:t>z.B.</w:t>
            </w:r>
            <w:r w:rsidRPr="00D701DE">
              <w:rPr>
                <w:sz w:val="20"/>
                <w:szCs w:val="20"/>
              </w:rPr>
              <w:t xml:space="preserve"> in der Ehefreiheit, die ganz weitgehend </w:t>
            </w:r>
            <w:proofErr w:type="spellStart"/>
            <w:r w:rsidRPr="00D701DE">
              <w:rPr>
                <w:sz w:val="20"/>
                <w:szCs w:val="20"/>
              </w:rPr>
              <w:t>uneinschränkbar</w:t>
            </w:r>
            <w:proofErr w:type="spellEnd"/>
            <w:r w:rsidRPr="00D701DE">
              <w:rPr>
                <w:sz w:val="20"/>
                <w:szCs w:val="20"/>
              </w:rPr>
              <w:t xml:space="preserve"> bleiben müssen („</w:t>
            </w:r>
            <w:proofErr w:type="spellStart"/>
            <w:r w:rsidRPr="00D701DE">
              <w:rPr>
                <w:sz w:val="20"/>
                <w:szCs w:val="20"/>
              </w:rPr>
              <w:t>cannot</w:t>
            </w:r>
            <w:proofErr w:type="spellEnd"/>
            <w:r w:rsidRPr="00D701DE">
              <w:rPr>
                <w:sz w:val="20"/>
                <w:szCs w:val="20"/>
              </w:rPr>
              <w:t xml:space="preserve"> </w:t>
            </w:r>
            <w:proofErr w:type="spellStart"/>
            <w:r w:rsidRPr="00D701DE">
              <w:rPr>
                <w:sz w:val="20"/>
                <w:szCs w:val="20"/>
              </w:rPr>
              <w:t>be</w:t>
            </w:r>
            <w:proofErr w:type="spellEnd"/>
            <w:r w:rsidRPr="00D701DE">
              <w:rPr>
                <w:sz w:val="20"/>
                <w:szCs w:val="20"/>
              </w:rPr>
              <w:t xml:space="preserve"> </w:t>
            </w:r>
            <w:proofErr w:type="spellStart"/>
            <w:r w:rsidRPr="00D701DE">
              <w:rPr>
                <w:sz w:val="20"/>
                <w:szCs w:val="20"/>
              </w:rPr>
              <w:t>infringed</w:t>
            </w:r>
            <w:proofErr w:type="spellEnd"/>
            <w:r w:rsidRPr="00D701DE">
              <w:rPr>
                <w:sz w:val="20"/>
                <w:szCs w:val="20"/>
              </w:rPr>
              <w:t xml:space="preserve"> by the State“</w:t>
            </w:r>
            <w:r w:rsidRPr="00D701DE">
              <w:rPr>
                <w:sz w:val="20"/>
                <w:szCs w:val="20"/>
                <w:vertAlign w:val="superscript"/>
              </w:rPr>
              <w:t xml:space="preserve"> </w:t>
            </w:r>
            <w:r w:rsidRPr="00D701DE">
              <w:rPr>
                <w:sz w:val="20"/>
                <w:szCs w:val="20"/>
                <w:vertAlign w:val="superscript"/>
              </w:rPr>
              <w:footnoteReference w:id="581"/>
            </w:r>
            <w:r w:rsidRPr="00D701DE">
              <w:rPr>
                <w:sz w:val="20"/>
                <w:szCs w:val="20"/>
              </w:rPr>
              <w:t>).</w:t>
            </w:r>
          </w:p>
          <w:p w14:paraId="17C0C1A2" w14:textId="77777777" w:rsidR="00074551" w:rsidRPr="00E50B51" w:rsidRDefault="00074551" w:rsidP="00367133">
            <w:pPr>
              <w:jc w:val="both"/>
              <w:rPr>
                <w:sz w:val="20"/>
                <w:szCs w:val="20"/>
              </w:rPr>
            </w:pPr>
          </w:p>
        </w:tc>
      </w:tr>
      <w:tr w:rsidR="00074551" w:rsidRPr="00E50B51" w14:paraId="5E540B7B" w14:textId="77777777" w:rsidTr="00BE689F">
        <w:trPr>
          <w:cantSplit/>
          <w:trHeight w:val="3175"/>
        </w:trPr>
        <w:tc>
          <w:tcPr>
            <w:tcW w:w="293" w:type="pct"/>
          </w:tcPr>
          <w:p w14:paraId="6AA66A1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D41209E" w14:textId="77777777" w:rsidR="00074551" w:rsidRPr="00B45592" w:rsidRDefault="00074551" w:rsidP="00367133">
            <w:pPr>
              <w:ind w:left="113" w:right="416"/>
              <w:jc w:val="both"/>
              <w:rPr>
                <w:i/>
                <w:sz w:val="20"/>
                <w:szCs w:val="20"/>
              </w:rPr>
            </w:pPr>
            <w:proofErr w:type="spellStart"/>
            <w:r w:rsidRPr="00B45592">
              <w:rPr>
                <w:i/>
                <w:sz w:val="20"/>
                <w:szCs w:val="20"/>
              </w:rPr>
              <w:t>Mandoli</w:t>
            </w:r>
            <w:proofErr w:type="spellEnd"/>
            <w:r w:rsidRPr="00B45592">
              <w:rPr>
                <w:i/>
                <w:sz w:val="20"/>
                <w:szCs w:val="20"/>
              </w:rPr>
              <w:t xml:space="preserve"> v. Acheson</w:t>
            </w:r>
          </w:p>
        </w:tc>
        <w:tc>
          <w:tcPr>
            <w:tcW w:w="197" w:type="pct"/>
            <w:textDirection w:val="tbRl"/>
            <w:vAlign w:val="center"/>
          </w:tcPr>
          <w:p w14:paraId="168D1795" w14:textId="77777777" w:rsidR="00074551" w:rsidRPr="00E50B51" w:rsidRDefault="00074551" w:rsidP="00367133">
            <w:pPr>
              <w:ind w:left="113" w:right="113"/>
              <w:jc w:val="both"/>
              <w:rPr>
                <w:sz w:val="20"/>
                <w:szCs w:val="20"/>
              </w:rPr>
            </w:pPr>
            <w:r w:rsidRPr="00E50B51">
              <w:rPr>
                <w:sz w:val="20"/>
                <w:szCs w:val="20"/>
                <w:lang w:val="en-US"/>
              </w:rPr>
              <w:t>344 U.S. 133</w:t>
            </w:r>
          </w:p>
        </w:tc>
        <w:tc>
          <w:tcPr>
            <w:tcW w:w="306" w:type="pct"/>
            <w:textDirection w:val="tbRl"/>
            <w:vAlign w:val="center"/>
          </w:tcPr>
          <w:p w14:paraId="3DCE5BDD" w14:textId="77777777" w:rsidR="00074551" w:rsidRPr="00E50B51" w:rsidRDefault="00074551" w:rsidP="00367133">
            <w:pPr>
              <w:ind w:left="113" w:right="113"/>
              <w:jc w:val="both"/>
              <w:rPr>
                <w:sz w:val="20"/>
                <w:szCs w:val="20"/>
              </w:rPr>
            </w:pPr>
            <w:r w:rsidRPr="00E50B51">
              <w:rPr>
                <w:sz w:val="20"/>
                <w:szCs w:val="20"/>
              </w:rPr>
              <w:t>24. November 1952</w:t>
            </w:r>
          </w:p>
        </w:tc>
        <w:tc>
          <w:tcPr>
            <w:tcW w:w="401" w:type="pct"/>
          </w:tcPr>
          <w:p w14:paraId="30A6F19F" w14:textId="77777777" w:rsidR="00074551" w:rsidRPr="00E50B51" w:rsidRDefault="00074551" w:rsidP="00367133">
            <w:pPr>
              <w:jc w:val="center"/>
              <w:rPr>
                <w:sz w:val="20"/>
                <w:szCs w:val="20"/>
              </w:rPr>
            </w:pPr>
            <w:r w:rsidRPr="00E50B51">
              <w:rPr>
                <w:sz w:val="20"/>
                <w:szCs w:val="20"/>
              </w:rPr>
              <w:t>M</w:t>
            </w:r>
          </w:p>
        </w:tc>
        <w:tc>
          <w:tcPr>
            <w:tcW w:w="1594" w:type="pct"/>
          </w:tcPr>
          <w:p w14:paraId="0F902D6B" w14:textId="77777777" w:rsidR="00074551" w:rsidRPr="00E50B51" w:rsidRDefault="00074551" w:rsidP="00367133">
            <w:pPr>
              <w:jc w:val="both"/>
              <w:rPr>
                <w:sz w:val="20"/>
                <w:szCs w:val="20"/>
              </w:rPr>
            </w:pPr>
            <w:r w:rsidRPr="00E50B51">
              <w:rPr>
                <w:sz w:val="20"/>
                <w:szCs w:val="20"/>
              </w:rPr>
              <w:t xml:space="preserve">Im Fall stellte der </w:t>
            </w:r>
            <w:r>
              <w:rPr>
                <w:sz w:val="20"/>
                <w:szCs w:val="20"/>
              </w:rPr>
              <w:t>U.S. Supreme Court</w:t>
            </w:r>
            <w:r w:rsidRPr="00E50B51">
              <w:rPr>
                <w:sz w:val="20"/>
                <w:szCs w:val="20"/>
              </w:rPr>
              <w:t xml:space="preserve"> die doppelte Staatsbürgerschaft von </w:t>
            </w:r>
            <w:proofErr w:type="spellStart"/>
            <w:r w:rsidRPr="00E50B51">
              <w:rPr>
                <w:sz w:val="20"/>
                <w:szCs w:val="20"/>
              </w:rPr>
              <w:t>Mandoli</w:t>
            </w:r>
            <w:proofErr w:type="spellEnd"/>
            <w:r w:rsidRPr="00E50B51">
              <w:rPr>
                <w:sz w:val="20"/>
                <w:szCs w:val="20"/>
              </w:rPr>
              <w:t xml:space="preserve"> fest</w:t>
            </w:r>
            <w:r>
              <w:rPr>
                <w:sz w:val="20"/>
                <w:szCs w:val="20"/>
              </w:rPr>
              <w:t xml:space="preserve">. Zwar hatte dieser </w:t>
            </w:r>
            <w:r w:rsidRPr="00E50B51">
              <w:rPr>
                <w:sz w:val="20"/>
                <w:szCs w:val="20"/>
              </w:rPr>
              <w:t>Eltern mit italienischer Staatsbürgschaft</w:t>
            </w:r>
            <w:r>
              <w:rPr>
                <w:sz w:val="20"/>
                <w:szCs w:val="20"/>
              </w:rPr>
              <w:t>, a</w:t>
            </w:r>
            <w:r w:rsidRPr="00E50B51">
              <w:rPr>
                <w:sz w:val="20"/>
                <w:szCs w:val="20"/>
              </w:rPr>
              <w:t xml:space="preserve">ber </w:t>
            </w:r>
            <w:r>
              <w:rPr>
                <w:sz w:val="20"/>
                <w:szCs w:val="20"/>
              </w:rPr>
              <w:t xml:space="preserve">er wurde </w:t>
            </w:r>
            <w:r w:rsidRPr="00E50B51">
              <w:rPr>
                <w:sz w:val="20"/>
                <w:szCs w:val="20"/>
              </w:rPr>
              <w:t xml:space="preserve">in den USA geboren. Letzteres führte zur amerikanischen Staatsbürgerschaft. Dabei hatten die Vorinstanzen noch geurteilt, dass </w:t>
            </w:r>
            <w:proofErr w:type="spellStart"/>
            <w:r w:rsidRPr="00E50B51">
              <w:rPr>
                <w:sz w:val="20"/>
                <w:szCs w:val="20"/>
              </w:rPr>
              <w:t>Mandoli</w:t>
            </w:r>
            <w:proofErr w:type="spellEnd"/>
            <w:r w:rsidRPr="00E50B51">
              <w:rPr>
                <w:sz w:val="20"/>
                <w:szCs w:val="20"/>
              </w:rPr>
              <w:t xml:space="preserve"> auszubürgern sei</w:t>
            </w:r>
            <w:r>
              <w:rPr>
                <w:sz w:val="20"/>
                <w:szCs w:val="20"/>
              </w:rPr>
              <w:t>. D</w:t>
            </w:r>
            <w:r w:rsidRPr="00E50B51">
              <w:rPr>
                <w:sz w:val="20"/>
                <w:szCs w:val="20"/>
              </w:rPr>
              <w:t>enn er habe sich zwischen den beiden Staatsbürgerschaft für die italienische entsch</w:t>
            </w:r>
            <w:r>
              <w:rPr>
                <w:sz w:val="20"/>
                <w:szCs w:val="20"/>
              </w:rPr>
              <w:t>ie</w:t>
            </w:r>
            <w:r w:rsidRPr="00E50B51">
              <w:rPr>
                <w:sz w:val="20"/>
                <w:szCs w:val="20"/>
              </w:rPr>
              <w:t>den</w:t>
            </w:r>
            <w:r>
              <w:rPr>
                <w:sz w:val="20"/>
                <w:szCs w:val="20"/>
              </w:rPr>
              <w:t>:</w:t>
            </w:r>
            <w:r w:rsidRPr="00E50B51">
              <w:rPr>
                <w:sz w:val="20"/>
                <w:szCs w:val="20"/>
              </w:rPr>
              <w:t xml:space="preserve"> </w:t>
            </w:r>
            <w:r>
              <w:rPr>
                <w:sz w:val="20"/>
                <w:szCs w:val="20"/>
              </w:rPr>
              <w:t>Er</w:t>
            </w:r>
            <w:r w:rsidRPr="00E50B51">
              <w:rPr>
                <w:sz w:val="20"/>
                <w:szCs w:val="20"/>
              </w:rPr>
              <w:t xml:space="preserve"> hatte einerseits einen freiwilligen Dienst in der italienischen Armee abgeleistet und andererseits </w:t>
            </w:r>
            <w:r>
              <w:rPr>
                <w:sz w:val="20"/>
                <w:szCs w:val="20"/>
              </w:rPr>
              <w:t>war</w:t>
            </w:r>
            <w:r w:rsidRPr="00E50B51">
              <w:rPr>
                <w:sz w:val="20"/>
                <w:szCs w:val="20"/>
              </w:rPr>
              <w:t xml:space="preserve"> er nach Erreichen der Volljährigkeit in Italien wohnen geblieben. Diese Urteile hob der </w:t>
            </w:r>
            <w:r>
              <w:rPr>
                <w:sz w:val="20"/>
                <w:szCs w:val="20"/>
              </w:rPr>
              <w:t>U.S. Supreme Court</w:t>
            </w:r>
            <w:r w:rsidRPr="00E50B51">
              <w:rPr>
                <w:sz w:val="20"/>
                <w:szCs w:val="20"/>
              </w:rPr>
              <w:t xml:space="preserve"> </w:t>
            </w:r>
            <w:r w:rsidRPr="00627BD7">
              <w:rPr>
                <w:sz w:val="20"/>
                <w:szCs w:val="20"/>
              </w:rPr>
              <w:t>auf.</w:t>
            </w:r>
            <w:r w:rsidRPr="00627BD7">
              <w:rPr>
                <w:rStyle w:val="Funotenzeichen"/>
                <w:sz w:val="20"/>
                <w:szCs w:val="20"/>
              </w:rPr>
              <w:footnoteReference w:id="582"/>
            </w:r>
          </w:p>
          <w:p w14:paraId="292B0E61" w14:textId="77777777" w:rsidR="00074551" w:rsidRPr="00E50B51" w:rsidRDefault="00074551" w:rsidP="00367133">
            <w:pPr>
              <w:jc w:val="both"/>
              <w:rPr>
                <w:sz w:val="20"/>
                <w:szCs w:val="20"/>
              </w:rPr>
            </w:pPr>
          </w:p>
        </w:tc>
        <w:tc>
          <w:tcPr>
            <w:tcW w:w="1822" w:type="pct"/>
          </w:tcPr>
          <w:p w14:paraId="73D37507" w14:textId="77777777" w:rsidR="00074551" w:rsidRPr="00E50B51" w:rsidRDefault="00074551" w:rsidP="00367133">
            <w:pPr>
              <w:jc w:val="both"/>
              <w:rPr>
                <w:sz w:val="20"/>
                <w:szCs w:val="20"/>
              </w:rPr>
            </w:pPr>
            <w:r w:rsidRPr="00E50B51">
              <w:rPr>
                <w:sz w:val="20"/>
                <w:szCs w:val="20"/>
              </w:rPr>
              <w:t>Nachdem ein Bürger auswander</w:t>
            </w:r>
            <w:r>
              <w:rPr>
                <w:sz w:val="20"/>
                <w:szCs w:val="20"/>
              </w:rPr>
              <w:t>e</w:t>
            </w:r>
            <w:r w:rsidRPr="00E50B51">
              <w:rPr>
                <w:sz w:val="20"/>
                <w:szCs w:val="20"/>
              </w:rPr>
              <w:t xml:space="preserve">, solle die Staatsbürgerschaft bestehen bleiben, so der </w:t>
            </w:r>
            <w:r>
              <w:rPr>
                <w:sz w:val="20"/>
                <w:szCs w:val="20"/>
              </w:rPr>
              <w:t>U.S. Supreme Court</w:t>
            </w:r>
            <w:r w:rsidRPr="00E50B51">
              <w:rPr>
                <w:sz w:val="20"/>
                <w:szCs w:val="20"/>
              </w:rPr>
              <w:t xml:space="preserve">. Das gründe auf dem Streben nach Glück. Denn historisch </w:t>
            </w:r>
            <w:r>
              <w:rPr>
                <w:sz w:val="20"/>
                <w:szCs w:val="20"/>
              </w:rPr>
              <w:t>bestünden</w:t>
            </w:r>
            <w:r w:rsidRPr="00E50B51">
              <w:rPr>
                <w:sz w:val="20"/>
                <w:szCs w:val="20"/>
              </w:rPr>
              <w:t xml:space="preserve"> die Vereinigten Staaten nur, weil es ein individuelles Recht auf Auswanderung </w:t>
            </w:r>
            <w:r>
              <w:rPr>
                <w:sz w:val="20"/>
                <w:szCs w:val="20"/>
              </w:rPr>
              <w:t>gäbe</w:t>
            </w:r>
            <w:r w:rsidRPr="00E50B51">
              <w:rPr>
                <w:sz w:val="20"/>
                <w:szCs w:val="20"/>
              </w:rPr>
              <w:t xml:space="preserve"> („</w:t>
            </w:r>
            <w:proofErr w:type="spellStart"/>
            <w:r w:rsidRPr="00E50B51">
              <w:rPr>
                <w:sz w:val="20"/>
                <w:szCs w:val="20"/>
              </w:rPr>
              <w:t>champion</w:t>
            </w:r>
            <w:proofErr w:type="spellEnd"/>
            <w:r w:rsidRPr="00E50B51">
              <w:rPr>
                <w:sz w:val="20"/>
                <w:szCs w:val="20"/>
              </w:rPr>
              <w:t xml:space="preserve"> of the </w:t>
            </w:r>
            <w:proofErr w:type="spellStart"/>
            <w:r w:rsidRPr="00E50B51">
              <w:rPr>
                <w:sz w:val="20"/>
                <w:szCs w:val="20"/>
              </w:rPr>
              <w:t>individual</w:t>
            </w:r>
            <w:r>
              <w:rPr>
                <w:sz w:val="20"/>
                <w:szCs w:val="20"/>
              </w:rPr>
              <w:t>’</w:t>
            </w:r>
            <w:r w:rsidRPr="00E50B51">
              <w:rPr>
                <w:sz w:val="20"/>
                <w:szCs w:val="20"/>
              </w:rPr>
              <w:t>s</w:t>
            </w:r>
            <w:proofErr w:type="spellEnd"/>
            <w:r w:rsidRPr="00E50B51">
              <w:rPr>
                <w:sz w:val="20"/>
                <w:szCs w:val="20"/>
              </w:rPr>
              <w:t xml:space="preserve"> </w:t>
            </w:r>
            <w:proofErr w:type="spellStart"/>
            <w:r w:rsidRPr="00E50B51">
              <w:rPr>
                <w:sz w:val="20"/>
                <w:szCs w:val="20"/>
              </w:rPr>
              <w:t>right</w:t>
            </w:r>
            <w:proofErr w:type="spellEnd"/>
            <w:r w:rsidRPr="00E50B51">
              <w:rPr>
                <w:sz w:val="20"/>
                <w:szCs w:val="20"/>
              </w:rPr>
              <w:t xml:space="preserve"> to </w:t>
            </w:r>
            <w:proofErr w:type="spellStart"/>
            <w:r w:rsidRPr="00627BD7">
              <w:rPr>
                <w:sz w:val="20"/>
                <w:szCs w:val="20"/>
              </w:rPr>
              <w:t>expatriate</w:t>
            </w:r>
            <w:proofErr w:type="spellEnd"/>
            <w:r w:rsidRPr="00627BD7">
              <w:rPr>
                <w:sz w:val="20"/>
                <w:szCs w:val="20"/>
              </w:rPr>
              <w:t>“</w:t>
            </w:r>
            <w:r w:rsidRPr="00627BD7">
              <w:rPr>
                <w:rStyle w:val="Funotenzeichen"/>
                <w:sz w:val="20"/>
                <w:szCs w:val="20"/>
              </w:rPr>
              <w:footnoteReference w:id="583"/>
            </w:r>
            <w:r w:rsidRPr="00627BD7">
              <w:rPr>
                <w:sz w:val="20"/>
                <w:szCs w:val="20"/>
              </w:rPr>
              <w:t>).</w:t>
            </w:r>
            <w:r w:rsidRPr="00E50B51">
              <w:rPr>
                <w:sz w:val="20"/>
                <w:szCs w:val="20"/>
              </w:rPr>
              <w:t xml:space="preserve"> Deshalb </w:t>
            </w:r>
            <w:r>
              <w:rPr>
                <w:sz w:val="20"/>
                <w:szCs w:val="20"/>
              </w:rPr>
              <w:t>hätten</w:t>
            </w:r>
            <w:r w:rsidRPr="00E50B51">
              <w:rPr>
                <w:sz w:val="20"/>
                <w:szCs w:val="20"/>
              </w:rPr>
              <w:t xml:space="preserve"> die Vereinigten Staaten dieses Recht</w:t>
            </w:r>
            <w:r>
              <w:rPr>
                <w:sz w:val="20"/>
                <w:szCs w:val="20"/>
              </w:rPr>
              <w:t xml:space="preserve"> zu verteidigen</w:t>
            </w:r>
            <w:r w:rsidRPr="00E50B51">
              <w:rPr>
                <w:sz w:val="20"/>
                <w:szCs w:val="20"/>
              </w:rPr>
              <w:t xml:space="preserve">. Das Recht auf Auswanderung sei in den USA daher </w:t>
            </w:r>
            <w:proofErr w:type="gramStart"/>
            <w:r w:rsidRPr="00E50B51">
              <w:rPr>
                <w:sz w:val="20"/>
                <w:szCs w:val="20"/>
              </w:rPr>
              <w:t>ein natürliches und inhärentes Recht</w:t>
            </w:r>
            <w:r>
              <w:rPr>
                <w:sz w:val="20"/>
                <w:szCs w:val="20"/>
              </w:rPr>
              <w:t xml:space="preserve"> </w:t>
            </w:r>
            <w:r w:rsidRPr="00E50B51">
              <w:rPr>
                <w:sz w:val="20"/>
                <w:szCs w:val="20"/>
              </w:rPr>
              <w:t>aller Menschen</w:t>
            </w:r>
            <w:proofErr w:type="gramEnd"/>
            <w:r w:rsidRPr="00E50B51">
              <w:rPr>
                <w:sz w:val="20"/>
                <w:szCs w:val="20"/>
              </w:rPr>
              <w:t xml:space="preserve">, </w:t>
            </w:r>
            <w:r>
              <w:rPr>
                <w:sz w:val="20"/>
                <w:szCs w:val="20"/>
              </w:rPr>
              <w:t>welches</w:t>
            </w:r>
            <w:r w:rsidRPr="00E50B51">
              <w:rPr>
                <w:sz w:val="20"/>
                <w:szCs w:val="20"/>
              </w:rPr>
              <w:t xml:space="preserve"> für die Ausübung des Streben</w:t>
            </w:r>
            <w:r>
              <w:rPr>
                <w:sz w:val="20"/>
                <w:szCs w:val="20"/>
              </w:rPr>
              <w:t>s</w:t>
            </w:r>
            <w:r w:rsidRPr="00E50B51">
              <w:rPr>
                <w:sz w:val="20"/>
                <w:szCs w:val="20"/>
              </w:rPr>
              <w:t xml:space="preserve"> nach Glück unabdingbar sei. D.h. eine Einschränkung des Rechts </w:t>
            </w:r>
            <w:r>
              <w:rPr>
                <w:sz w:val="20"/>
                <w:szCs w:val="20"/>
              </w:rPr>
              <w:t>auf Auswanderung</w:t>
            </w:r>
            <w:r w:rsidRPr="00E50B51">
              <w:rPr>
                <w:sz w:val="20"/>
                <w:szCs w:val="20"/>
              </w:rPr>
              <w:t xml:space="preserve"> sei unvereinbar mit </w:t>
            </w:r>
            <w:r>
              <w:rPr>
                <w:sz w:val="20"/>
                <w:szCs w:val="20"/>
              </w:rPr>
              <w:t>den</w:t>
            </w:r>
            <w:r w:rsidRPr="00E50B51">
              <w:rPr>
                <w:sz w:val="20"/>
                <w:szCs w:val="20"/>
              </w:rPr>
              <w:t xml:space="preserve"> </w:t>
            </w:r>
            <w:r>
              <w:rPr>
                <w:sz w:val="20"/>
                <w:szCs w:val="20"/>
              </w:rPr>
              <w:t xml:space="preserve">Gründungs- und </w:t>
            </w:r>
            <w:r w:rsidRPr="00E50B51">
              <w:rPr>
                <w:sz w:val="20"/>
                <w:szCs w:val="20"/>
              </w:rPr>
              <w:t xml:space="preserve">Grundprinzipien </w:t>
            </w:r>
            <w:r>
              <w:rPr>
                <w:sz w:val="20"/>
                <w:szCs w:val="20"/>
              </w:rPr>
              <w:t xml:space="preserve">der Regierung </w:t>
            </w:r>
            <w:r w:rsidRPr="00E50B51">
              <w:rPr>
                <w:sz w:val="20"/>
                <w:szCs w:val="20"/>
              </w:rPr>
              <w:t xml:space="preserve">(„fundamental </w:t>
            </w:r>
            <w:proofErr w:type="spellStart"/>
            <w:r w:rsidRPr="00E50B51">
              <w:rPr>
                <w:sz w:val="20"/>
                <w:szCs w:val="20"/>
              </w:rPr>
              <w:t>principles</w:t>
            </w:r>
            <w:proofErr w:type="spellEnd"/>
            <w:r w:rsidRPr="00E50B51">
              <w:rPr>
                <w:sz w:val="20"/>
                <w:szCs w:val="20"/>
              </w:rPr>
              <w:t xml:space="preserve"> of </w:t>
            </w:r>
            <w:proofErr w:type="spellStart"/>
            <w:r w:rsidRPr="00E50B51">
              <w:rPr>
                <w:sz w:val="20"/>
                <w:szCs w:val="20"/>
              </w:rPr>
              <w:t>this</w:t>
            </w:r>
            <w:proofErr w:type="spellEnd"/>
            <w:r w:rsidRPr="00E50B51">
              <w:rPr>
                <w:sz w:val="20"/>
                <w:szCs w:val="20"/>
              </w:rPr>
              <w:t xml:space="preserve"> </w:t>
            </w:r>
            <w:proofErr w:type="spellStart"/>
            <w:r w:rsidRPr="00E50B51">
              <w:rPr>
                <w:sz w:val="20"/>
                <w:szCs w:val="20"/>
              </w:rPr>
              <w:t>government</w:t>
            </w:r>
            <w:proofErr w:type="spellEnd"/>
            <w:r w:rsidRPr="00E50B51">
              <w:rPr>
                <w:sz w:val="20"/>
                <w:szCs w:val="20"/>
              </w:rPr>
              <w:t>“</w:t>
            </w:r>
            <w:r w:rsidRPr="00E50B51">
              <w:rPr>
                <w:rStyle w:val="Funotenzeichen"/>
                <w:rFonts w:eastAsiaTheme="majorEastAsia"/>
                <w:sz w:val="20"/>
                <w:szCs w:val="20"/>
              </w:rPr>
              <w:footnoteReference w:id="584"/>
            </w:r>
            <w:r w:rsidRPr="00E50B51">
              <w:rPr>
                <w:sz w:val="20"/>
                <w:szCs w:val="20"/>
              </w:rPr>
              <w:t xml:space="preserve">). Einfach gesetzlich drückt sich dieser Zusammenhang aus </w:t>
            </w:r>
            <w:r>
              <w:rPr>
                <w:sz w:val="20"/>
                <w:szCs w:val="20"/>
              </w:rPr>
              <w:t>im Gesetz</w:t>
            </w:r>
            <w:r w:rsidRPr="00E50B51">
              <w:rPr>
                <w:sz w:val="20"/>
                <w:szCs w:val="20"/>
              </w:rPr>
              <w:t xml:space="preserve"> </w:t>
            </w:r>
            <w:r>
              <w:rPr>
                <w:sz w:val="20"/>
                <w:szCs w:val="20"/>
              </w:rPr>
              <w:t>des Kongresses vom 27. Juli 1868</w:t>
            </w:r>
            <w:r w:rsidRPr="00E50B51">
              <w:rPr>
                <w:sz w:val="20"/>
                <w:szCs w:val="20"/>
              </w:rPr>
              <w:t xml:space="preserve">, geändert in den </w:t>
            </w:r>
            <w:proofErr w:type="spellStart"/>
            <w:r w:rsidRPr="00B45592">
              <w:rPr>
                <w:i/>
                <w:sz w:val="20"/>
                <w:szCs w:val="20"/>
              </w:rPr>
              <w:t>Revised</w:t>
            </w:r>
            <w:proofErr w:type="spellEnd"/>
            <w:r w:rsidRPr="00B45592">
              <w:rPr>
                <w:i/>
                <w:sz w:val="20"/>
                <w:szCs w:val="20"/>
              </w:rPr>
              <w:t xml:space="preserve"> Statutes</w:t>
            </w:r>
            <w:r w:rsidRPr="00E50B51">
              <w:rPr>
                <w:sz w:val="20"/>
                <w:szCs w:val="20"/>
              </w:rPr>
              <w:t xml:space="preserve"> </w:t>
            </w:r>
            <w:r>
              <w:rPr>
                <w:sz w:val="20"/>
                <w:szCs w:val="20"/>
              </w:rPr>
              <w:t>§ </w:t>
            </w:r>
            <w:r w:rsidRPr="00E50B51">
              <w:rPr>
                <w:sz w:val="20"/>
                <w:szCs w:val="20"/>
              </w:rPr>
              <w:t>1999.</w:t>
            </w:r>
            <w:r w:rsidRPr="00E50B51">
              <w:rPr>
                <w:rStyle w:val="Funotenzeichen"/>
                <w:rFonts w:eastAsiaTheme="majorEastAsia"/>
                <w:sz w:val="20"/>
                <w:szCs w:val="20"/>
              </w:rPr>
              <w:footnoteReference w:id="585"/>
            </w:r>
          </w:p>
          <w:p w14:paraId="123D8CED" w14:textId="77777777" w:rsidR="00074551" w:rsidRPr="00E50B51" w:rsidRDefault="00074551" w:rsidP="00367133">
            <w:pPr>
              <w:jc w:val="both"/>
              <w:rPr>
                <w:sz w:val="20"/>
                <w:szCs w:val="20"/>
              </w:rPr>
            </w:pPr>
          </w:p>
        </w:tc>
      </w:tr>
      <w:tr w:rsidR="00074551" w:rsidRPr="00E50B51" w14:paraId="4F42BF7A" w14:textId="77777777" w:rsidTr="00BE689F">
        <w:trPr>
          <w:cantSplit/>
          <w:trHeight w:val="3175"/>
        </w:trPr>
        <w:tc>
          <w:tcPr>
            <w:tcW w:w="293" w:type="pct"/>
          </w:tcPr>
          <w:p w14:paraId="59494E0A"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C43C619" w14:textId="77777777" w:rsidR="00074551" w:rsidRPr="00E50B51" w:rsidRDefault="00074551" w:rsidP="00367133">
            <w:pPr>
              <w:ind w:left="113" w:right="113"/>
              <w:jc w:val="both"/>
              <w:rPr>
                <w:sz w:val="20"/>
                <w:szCs w:val="20"/>
              </w:rPr>
            </w:pPr>
            <w:r w:rsidRPr="00584023">
              <w:rPr>
                <w:i/>
                <w:sz w:val="20"/>
                <w:szCs w:val="20"/>
              </w:rPr>
              <w:t>Mugler v. Kansas</w:t>
            </w:r>
          </w:p>
        </w:tc>
        <w:tc>
          <w:tcPr>
            <w:tcW w:w="197" w:type="pct"/>
            <w:textDirection w:val="tbRl"/>
            <w:vAlign w:val="center"/>
          </w:tcPr>
          <w:p w14:paraId="7F139F92" w14:textId="77777777" w:rsidR="00074551" w:rsidRPr="00E50B51" w:rsidRDefault="00074551" w:rsidP="00367133">
            <w:pPr>
              <w:ind w:left="113" w:right="113"/>
              <w:jc w:val="both"/>
              <w:rPr>
                <w:sz w:val="20"/>
                <w:szCs w:val="20"/>
              </w:rPr>
            </w:pPr>
            <w:r w:rsidRPr="00E50B51">
              <w:rPr>
                <w:sz w:val="20"/>
                <w:szCs w:val="20"/>
                <w:lang w:val="en-US"/>
              </w:rPr>
              <w:t>123 U.S. 623</w:t>
            </w:r>
          </w:p>
        </w:tc>
        <w:tc>
          <w:tcPr>
            <w:tcW w:w="306" w:type="pct"/>
            <w:textDirection w:val="tbRl"/>
            <w:vAlign w:val="center"/>
          </w:tcPr>
          <w:p w14:paraId="2EDD92DC" w14:textId="77777777" w:rsidR="00074551" w:rsidRPr="00E50B51" w:rsidRDefault="00074551" w:rsidP="00367133">
            <w:pPr>
              <w:ind w:left="113" w:right="113"/>
              <w:jc w:val="both"/>
              <w:rPr>
                <w:sz w:val="20"/>
                <w:szCs w:val="20"/>
              </w:rPr>
            </w:pPr>
            <w:r w:rsidRPr="00E50B51">
              <w:rPr>
                <w:sz w:val="20"/>
                <w:szCs w:val="20"/>
              </w:rPr>
              <w:t>5. Dezember 1887</w:t>
            </w:r>
          </w:p>
        </w:tc>
        <w:tc>
          <w:tcPr>
            <w:tcW w:w="401" w:type="pct"/>
          </w:tcPr>
          <w:p w14:paraId="0557CE47" w14:textId="77777777" w:rsidR="00074551" w:rsidRPr="00E50B51" w:rsidRDefault="00074551" w:rsidP="00367133">
            <w:pPr>
              <w:jc w:val="center"/>
              <w:rPr>
                <w:sz w:val="20"/>
                <w:szCs w:val="20"/>
              </w:rPr>
            </w:pPr>
            <w:r w:rsidRPr="00E50B51">
              <w:rPr>
                <w:sz w:val="20"/>
                <w:szCs w:val="20"/>
              </w:rPr>
              <w:t>S</w:t>
            </w:r>
          </w:p>
        </w:tc>
        <w:tc>
          <w:tcPr>
            <w:tcW w:w="1594" w:type="pct"/>
          </w:tcPr>
          <w:p w14:paraId="149130CB" w14:textId="77777777" w:rsidR="00074551" w:rsidRPr="00E50B51" w:rsidRDefault="00074551" w:rsidP="00367133">
            <w:pPr>
              <w:jc w:val="both"/>
              <w:rPr>
                <w:sz w:val="20"/>
                <w:szCs w:val="20"/>
              </w:rPr>
            </w:pPr>
            <w:r w:rsidRPr="00E50B51">
              <w:rPr>
                <w:sz w:val="20"/>
                <w:szCs w:val="20"/>
              </w:rPr>
              <w:t>*</w:t>
            </w:r>
          </w:p>
        </w:tc>
        <w:tc>
          <w:tcPr>
            <w:tcW w:w="1822" w:type="pct"/>
          </w:tcPr>
          <w:p w14:paraId="21099BAA" w14:textId="10737B08" w:rsidR="00074551" w:rsidRPr="00E50B51" w:rsidRDefault="00074551" w:rsidP="00367133">
            <w:pPr>
              <w:jc w:val="both"/>
              <w:rPr>
                <w:sz w:val="20"/>
                <w:szCs w:val="20"/>
              </w:rPr>
            </w:pPr>
            <w:r w:rsidRPr="00E50B51">
              <w:rPr>
                <w:sz w:val="20"/>
                <w:szCs w:val="20"/>
              </w:rPr>
              <w:t>Zwar setz</w:t>
            </w:r>
            <w:r>
              <w:rPr>
                <w:sz w:val="20"/>
                <w:szCs w:val="20"/>
              </w:rPr>
              <w:t>e</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voraus, </w:t>
            </w:r>
            <w:r>
              <w:rPr>
                <w:sz w:val="20"/>
                <w:szCs w:val="20"/>
              </w:rPr>
              <w:t xml:space="preserve">dass </w:t>
            </w:r>
            <w:r w:rsidRPr="00E50B51">
              <w:rPr>
                <w:sz w:val="20"/>
                <w:szCs w:val="20"/>
              </w:rPr>
              <w:t xml:space="preserve">kein </w:t>
            </w:r>
            <w:r>
              <w:rPr>
                <w:sz w:val="20"/>
                <w:szCs w:val="20"/>
              </w:rPr>
              <w:t xml:space="preserve">Bundesstaat </w:t>
            </w:r>
            <w:r w:rsidRPr="00E50B51">
              <w:rPr>
                <w:sz w:val="20"/>
                <w:szCs w:val="20"/>
              </w:rPr>
              <w:t>ein Gesetz erlassen oder durchsetzen</w:t>
            </w:r>
            <w:r>
              <w:rPr>
                <w:sz w:val="20"/>
                <w:szCs w:val="20"/>
              </w:rPr>
              <w:t xml:space="preserve"> dürfe</w:t>
            </w:r>
            <w:r w:rsidRPr="00E50B51">
              <w:rPr>
                <w:sz w:val="20"/>
                <w:szCs w:val="20"/>
              </w:rPr>
              <w:t xml:space="preserve">, dass die Vorrechte der Bürger unangemessen </w:t>
            </w:r>
            <w:proofErr w:type="gramStart"/>
            <w:r w:rsidRPr="00E50B51">
              <w:rPr>
                <w:sz w:val="20"/>
                <w:szCs w:val="20"/>
              </w:rPr>
              <w:t>einschränke</w:t>
            </w:r>
            <w:proofErr w:type="gramEnd"/>
            <w:r w:rsidRPr="00E50B51">
              <w:rPr>
                <w:sz w:val="20"/>
                <w:szCs w:val="20"/>
              </w:rPr>
              <w:t>.</w:t>
            </w:r>
            <w:r w:rsidRPr="00E50B51">
              <w:rPr>
                <w:rStyle w:val="Funotenzeichen"/>
                <w:rFonts w:eastAsiaTheme="majorEastAsia"/>
                <w:sz w:val="20"/>
                <w:szCs w:val="20"/>
              </w:rPr>
              <w:footnoteReference w:id="586"/>
            </w:r>
            <w:r w:rsidRPr="00E50B51">
              <w:rPr>
                <w:sz w:val="20"/>
                <w:szCs w:val="20"/>
              </w:rPr>
              <w:t xml:space="preserve"> Als Vorrecht habe Mugler das Recht bzw. die Freiheit, Alkohol für seinen eigenen Gebrauch herzustellen. Denn der Bürger habe eine doppelte Rolle („dual </w:t>
            </w:r>
            <w:proofErr w:type="spellStart"/>
            <w:r w:rsidRPr="00E50B51">
              <w:rPr>
                <w:sz w:val="20"/>
                <w:szCs w:val="20"/>
              </w:rPr>
              <w:t>character</w:t>
            </w:r>
            <w:proofErr w:type="spellEnd"/>
            <w:r w:rsidRPr="00E50B51">
              <w:rPr>
                <w:sz w:val="20"/>
                <w:szCs w:val="20"/>
              </w:rPr>
              <w:t>“</w:t>
            </w:r>
            <w:r w:rsidRPr="00E50B51">
              <w:rPr>
                <w:rStyle w:val="Funotenzeichen"/>
                <w:rFonts w:eastAsiaTheme="majorEastAsia"/>
                <w:sz w:val="20"/>
                <w:szCs w:val="20"/>
              </w:rPr>
              <w:footnoteReference w:id="587"/>
            </w:r>
            <w:r w:rsidRPr="00E50B51">
              <w:rPr>
                <w:sz w:val="20"/>
                <w:szCs w:val="20"/>
              </w:rPr>
              <w:t>): als Individuum und als Mitglied der Gesellschaft. Den Status als Individuum rahmt das Streben nach Glück als unveräußerliches Recht</w:t>
            </w:r>
            <w:r>
              <w:rPr>
                <w:sz w:val="20"/>
                <w:szCs w:val="20"/>
              </w:rPr>
              <w:t xml:space="preserve"> ein</w:t>
            </w:r>
            <w:r w:rsidRPr="00E50B51">
              <w:rPr>
                <w:sz w:val="20"/>
                <w:szCs w:val="20"/>
              </w:rPr>
              <w:t>. Und zu dieser Unveräußerlichkeit gehöre auch, die Lebensgrundlagen wie Nahrung, Kleidung</w:t>
            </w:r>
            <w:r>
              <w:rPr>
                <w:sz w:val="20"/>
                <w:szCs w:val="20"/>
              </w:rPr>
              <w:t xml:space="preserve"> und</w:t>
            </w:r>
            <w:r w:rsidRPr="00E50B51">
              <w:rPr>
                <w:sz w:val="20"/>
                <w:szCs w:val="20"/>
              </w:rPr>
              <w:t xml:space="preserve"> Getränke herstellen zu können. Aber diese Unveräußerlichkeit gehe nur so weit, </w:t>
            </w:r>
            <w:r>
              <w:rPr>
                <w:sz w:val="20"/>
                <w:szCs w:val="20"/>
              </w:rPr>
              <w:t>wie</w:t>
            </w:r>
            <w:r w:rsidRPr="00E50B51">
              <w:rPr>
                <w:sz w:val="20"/>
                <w:szCs w:val="20"/>
              </w:rPr>
              <w:t xml:space="preserve"> sie nicht das Leben oder </w:t>
            </w:r>
            <w:r>
              <w:rPr>
                <w:sz w:val="20"/>
                <w:szCs w:val="20"/>
              </w:rPr>
              <w:t xml:space="preserve">das </w:t>
            </w:r>
            <w:r w:rsidRPr="00E50B51">
              <w:rPr>
                <w:sz w:val="20"/>
                <w:szCs w:val="20"/>
              </w:rPr>
              <w:t>Eigentum anderer verletze</w:t>
            </w:r>
            <w:r>
              <w:rPr>
                <w:sz w:val="20"/>
                <w:szCs w:val="20"/>
              </w:rPr>
              <w:t> </w:t>
            </w:r>
            <w:r w:rsidRPr="00E50B51">
              <w:rPr>
                <w:sz w:val="20"/>
                <w:szCs w:val="20"/>
              </w:rPr>
              <w:t>– als Mitglied der Gesellschaft. Ein solches Vorrecht</w:t>
            </w:r>
            <w:r>
              <w:rPr>
                <w:sz w:val="20"/>
                <w:szCs w:val="20"/>
              </w:rPr>
              <w:t> </w:t>
            </w:r>
            <w:r w:rsidRPr="00E50B51">
              <w:rPr>
                <w:sz w:val="20"/>
                <w:szCs w:val="20"/>
              </w:rPr>
              <w:t>– Herstellung von Nahrung, Kleidung, Getränken</w:t>
            </w:r>
            <w:r>
              <w:rPr>
                <w:sz w:val="20"/>
                <w:szCs w:val="20"/>
              </w:rPr>
              <w:t> </w:t>
            </w:r>
            <w:r w:rsidRPr="00E50B51">
              <w:rPr>
                <w:sz w:val="20"/>
                <w:szCs w:val="20"/>
              </w:rPr>
              <w:t xml:space="preserve">– müsse also davon abhängen, wie es sich konkret auf andere auswirke. Auswirkungen zu verbieten, falle unter die bundesstaatliche Polizeihoheit, hier </w:t>
            </w:r>
            <w:r>
              <w:rPr>
                <w:sz w:val="20"/>
                <w:szCs w:val="20"/>
              </w:rPr>
              <w:t>z.B.</w:t>
            </w:r>
            <w:r w:rsidRPr="00E50B51">
              <w:rPr>
                <w:sz w:val="20"/>
                <w:szCs w:val="20"/>
              </w:rPr>
              <w:t xml:space="preserve"> </w:t>
            </w:r>
            <w:r>
              <w:rPr>
                <w:sz w:val="20"/>
                <w:szCs w:val="20"/>
              </w:rPr>
              <w:t xml:space="preserve">den </w:t>
            </w:r>
            <w:r w:rsidRPr="00E50B51">
              <w:rPr>
                <w:sz w:val="20"/>
                <w:szCs w:val="20"/>
              </w:rPr>
              <w:t>Alkoholkonsum und das damit verbundene Gesundheitsübel zurückzudrängen.</w:t>
            </w:r>
            <w:r w:rsidRPr="00E50B51">
              <w:rPr>
                <w:rStyle w:val="Funotenzeichen"/>
                <w:rFonts w:eastAsiaTheme="majorEastAsia"/>
                <w:sz w:val="20"/>
                <w:szCs w:val="20"/>
              </w:rPr>
              <w:footnoteReference w:id="588"/>
            </w:r>
            <w:r w:rsidRPr="00E50B51">
              <w:rPr>
                <w:sz w:val="20"/>
                <w:szCs w:val="20"/>
              </w:rPr>
              <w:t xml:space="preserve"> Daher </w:t>
            </w:r>
            <w:r>
              <w:rPr>
                <w:sz w:val="20"/>
                <w:szCs w:val="20"/>
              </w:rPr>
              <w:t>könne</w:t>
            </w:r>
            <w:r w:rsidRPr="00E50B51">
              <w:rPr>
                <w:sz w:val="20"/>
                <w:szCs w:val="20"/>
              </w:rPr>
              <w:t xml:space="preserve"> die Unveräußerlichkeit des </w:t>
            </w:r>
            <w:r>
              <w:rPr>
                <w:sz w:val="20"/>
                <w:szCs w:val="20"/>
              </w:rPr>
              <w:t>Glücksstrebens</w:t>
            </w:r>
            <w:r w:rsidRPr="00E50B51">
              <w:rPr>
                <w:sz w:val="20"/>
                <w:szCs w:val="20"/>
              </w:rPr>
              <w:t xml:space="preserve"> der Käufer die Unveräußerlichkeit des </w:t>
            </w:r>
            <w:r>
              <w:rPr>
                <w:sz w:val="20"/>
                <w:szCs w:val="20"/>
              </w:rPr>
              <w:t>Glücksstrebens</w:t>
            </w:r>
            <w:r w:rsidRPr="00E50B51">
              <w:rPr>
                <w:sz w:val="20"/>
                <w:szCs w:val="20"/>
              </w:rPr>
              <w:t xml:space="preserve"> der Verkäufer einschränken. Das Resultat: </w:t>
            </w:r>
            <w:r>
              <w:rPr>
                <w:sz w:val="20"/>
                <w:szCs w:val="20"/>
              </w:rPr>
              <w:t>E</w:t>
            </w:r>
            <w:r w:rsidRPr="00E50B51">
              <w:rPr>
                <w:sz w:val="20"/>
                <w:szCs w:val="20"/>
              </w:rPr>
              <w:t>in Verbotsgesetz, das auch ein unveräußerliches Recht wie das Streben nach Glück einschränkt.</w:t>
            </w:r>
          </w:p>
          <w:p w14:paraId="08A579EA" w14:textId="77777777" w:rsidR="00074551" w:rsidRPr="00E50B51" w:rsidRDefault="00074551" w:rsidP="00367133">
            <w:pPr>
              <w:jc w:val="both"/>
              <w:rPr>
                <w:sz w:val="20"/>
                <w:szCs w:val="20"/>
              </w:rPr>
            </w:pPr>
          </w:p>
        </w:tc>
      </w:tr>
      <w:tr w:rsidR="00074551" w:rsidRPr="00E50B51" w14:paraId="541ED625" w14:textId="77777777" w:rsidTr="00BE689F">
        <w:trPr>
          <w:cantSplit/>
          <w:trHeight w:val="3175"/>
        </w:trPr>
        <w:tc>
          <w:tcPr>
            <w:tcW w:w="293" w:type="pct"/>
          </w:tcPr>
          <w:p w14:paraId="4EB8915F"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9ADD27D" w14:textId="77777777" w:rsidR="00074551" w:rsidRPr="00E50B51" w:rsidRDefault="00074551" w:rsidP="00367133">
            <w:pPr>
              <w:ind w:left="113" w:right="416"/>
              <w:jc w:val="both"/>
              <w:rPr>
                <w:sz w:val="20"/>
                <w:szCs w:val="20"/>
              </w:rPr>
            </w:pPr>
            <w:r w:rsidRPr="008F73D7">
              <w:rPr>
                <w:i/>
                <w:sz w:val="20"/>
                <w:szCs w:val="20"/>
                <w:lang w:val="en-US"/>
              </w:rPr>
              <w:t>Munn v. Ill.</w:t>
            </w:r>
          </w:p>
        </w:tc>
        <w:tc>
          <w:tcPr>
            <w:tcW w:w="197" w:type="pct"/>
            <w:textDirection w:val="tbRl"/>
            <w:vAlign w:val="center"/>
          </w:tcPr>
          <w:p w14:paraId="3C70CB3E" w14:textId="77777777" w:rsidR="00074551" w:rsidRPr="00E50B51" w:rsidRDefault="00074551" w:rsidP="00367133">
            <w:pPr>
              <w:ind w:left="113" w:right="113"/>
              <w:jc w:val="both"/>
              <w:rPr>
                <w:sz w:val="20"/>
                <w:szCs w:val="20"/>
              </w:rPr>
            </w:pPr>
            <w:r w:rsidRPr="00E50B51">
              <w:rPr>
                <w:sz w:val="20"/>
                <w:szCs w:val="20"/>
                <w:lang w:val="en-US"/>
              </w:rPr>
              <w:t>94 U.S. 113</w:t>
            </w:r>
          </w:p>
        </w:tc>
        <w:tc>
          <w:tcPr>
            <w:tcW w:w="306" w:type="pct"/>
            <w:textDirection w:val="tbRl"/>
            <w:vAlign w:val="center"/>
          </w:tcPr>
          <w:p w14:paraId="4E31EE74" w14:textId="77777777" w:rsidR="00074551" w:rsidRPr="00E50B51" w:rsidRDefault="00074551" w:rsidP="00367133">
            <w:pPr>
              <w:ind w:left="113" w:right="113"/>
              <w:jc w:val="both"/>
              <w:rPr>
                <w:sz w:val="20"/>
                <w:szCs w:val="20"/>
              </w:rPr>
            </w:pPr>
            <w:r w:rsidRPr="00E50B51">
              <w:rPr>
                <w:sz w:val="20"/>
                <w:szCs w:val="20"/>
              </w:rPr>
              <w:t>1. März 1877</w:t>
            </w:r>
          </w:p>
        </w:tc>
        <w:tc>
          <w:tcPr>
            <w:tcW w:w="401" w:type="pct"/>
          </w:tcPr>
          <w:p w14:paraId="6C95A550" w14:textId="77777777" w:rsidR="00074551" w:rsidRPr="00E50B51" w:rsidRDefault="00074551" w:rsidP="00367133">
            <w:pPr>
              <w:jc w:val="center"/>
              <w:rPr>
                <w:sz w:val="20"/>
                <w:szCs w:val="20"/>
              </w:rPr>
            </w:pPr>
            <w:r w:rsidRPr="00E50B51">
              <w:rPr>
                <w:sz w:val="20"/>
                <w:szCs w:val="20"/>
              </w:rPr>
              <w:t>D</w:t>
            </w:r>
          </w:p>
        </w:tc>
        <w:tc>
          <w:tcPr>
            <w:tcW w:w="1594" w:type="pct"/>
          </w:tcPr>
          <w:p w14:paraId="43F3F1B6" w14:textId="77777777" w:rsidR="00074551" w:rsidRPr="00E50B51" w:rsidRDefault="00074551" w:rsidP="00367133">
            <w:pPr>
              <w:jc w:val="both"/>
              <w:rPr>
                <w:sz w:val="20"/>
                <w:szCs w:val="20"/>
              </w:rPr>
            </w:pPr>
            <w:r w:rsidRPr="00E50B51">
              <w:rPr>
                <w:sz w:val="20"/>
                <w:szCs w:val="20"/>
              </w:rPr>
              <w:t>*</w:t>
            </w:r>
          </w:p>
        </w:tc>
        <w:tc>
          <w:tcPr>
            <w:tcW w:w="1822" w:type="pct"/>
          </w:tcPr>
          <w:p w14:paraId="008CB281" w14:textId="63575A57" w:rsidR="00074551" w:rsidRPr="00B2186B" w:rsidRDefault="00074551" w:rsidP="00367133">
            <w:pPr>
              <w:jc w:val="both"/>
              <w:rPr>
                <w:sz w:val="20"/>
                <w:szCs w:val="20"/>
              </w:rPr>
            </w:pPr>
            <w:r w:rsidRPr="00B2186B">
              <w:rPr>
                <w:sz w:val="20"/>
                <w:szCs w:val="20"/>
                <w:lang w:val="en-US"/>
              </w:rPr>
              <w:t xml:space="preserve">Das </w:t>
            </w:r>
            <w:r w:rsidR="00023A37">
              <w:rPr>
                <w:sz w:val="20"/>
                <w:szCs w:val="20"/>
                <w:lang w:val="en-US"/>
              </w:rPr>
              <w:t xml:space="preserve">U.S. Const. </w:t>
            </w:r>
            <w:proofErr w:type="gramStart"/>
            <w:r w:rsidR="00023A37">
              <w:rPr>
                <w:sz w:val="20"/>
                <w:szCs w:val="20"/>
                <w:lang w:val="en-US"/>
              </w:rPr>
              <w:t>amend</w:t>
            </w:r>
            <w:proofErr w:type="gramEnd"/>
            <w:r w:rsidR="00023A37">
              <w:rPr>
                <w:sz w:val="20"/>
                <w:szCs w:val="20"/>
                <w:lang w:val="en-US"/>
              </w:rPr>
              <w:t>. V</w:t>
            </w:r>
            <w:r w:rsidRPr="00B2186B">
              <w:rPr>
                <w:sz w:val="20"/>
                <w:szCs w:val="20"/>
                <w:lang w:val="en-US"/>
              </w:rPr>
              <w:t xml:space="preserve"> </w:t>
            </w:r>
            <w:proofErr w:type="spellStart"/>
            <w:r w:rsidRPr="00B2186B">
              <w:rPr>
                <w:sz w:val="20"/>
                <w:szCs w:val="20"/>
                <w:lang w:val="en-US"/>
              </w:rPr>
              <w:t>begrenz</w:t>
            </w:r>
            <w:r>
              <w:rPr>
                <w:sz w:val="20"/>
                <w:szCs w:val="20"/>
                <w:lang w:val="en-US"/>
              </w:rPr>
              <w:t>e</w:t>
            </w:r>
            <w:proofErr w:type="spellEnd"/>
            <w:r w:rsidRPr="00B2186B">
              <w:rPr>
                <w:sz w:val="20"/>
                <w:szCs w:val="20"/>
                <w:lang w:val="en-US"/>
              </w:rPr>
              <w:t xml:space="preserve"> die </w:t>
            </w:r>
            <w:proofErr w:type="spellStart"/>
            <w:r w:rsidRPr="00B2186B">
              <w:rPr>
                <w:sz w:val="20"/>
                <w:szCs w:val="20"/>
                <w:lang w:val="en-US"/>
              </w:rPr>
              <w:t>Staatsgewalt</w:t>
            </w:r>
            <w:proofErr w:type="spellEnd"/>
            <w:r w:rsidRPr="00B2186B">
              <w:rPr>
                <w:sz w:val="20"/>
                <w:szCs w:val="20"/>
                <w:lang w:val="en-US"/>
              </w:rPr>
              <w:t xml:space="preserve"> („principle of limitation of state </w:t>
            </w:r>
            <w:proofErr w:type="gramStart"/>
            <w:r w:rsidRPr="00B2186B">
              <w:rPr>
                <w:sz w:val="20"/>
                <w:szCs w:val="20"/>
                <w:lang w:val="en-US"/>
              </w:rPr>
              <w:t>power“</w:t>
            </w:r>
            <w:proofErr w:type="gramEnd"/>
            <w:r w:rsidRPr="00B2186B">
              <w:rPr>
                <w:sz w:val="20"/>
                <w:szCs w:val="20"/>
                <w:vertAlign w:val="superscript"/>
              </w:rPr>
              <w:footnoteReference w:id="589"/>
            </w:r>
            <w:r w:rsidRPr="00B2186B">
              <w:rPr>
                <w:sz w:val="20"/>
                <w:szCs w:val="20"/>
                <w:lang w:val="en-US"/>
              </w:rPr>
              <w:t xml:space="preserve">). </w:t>
            </w:r>
            <w:r w:rsidRPr="00B2186B">
              <w:rPr>
                <w:sz w:val="20"/>
                <w:szCs w:val="20"/>
              </w:rPr>
              <w:t>Damit beschränk</w:t>
            </w:r>
            <w:r>
              <w:rPr>
                <w:sz w:val="20"/>
                <w:szCs w:val="20"/>
              </w:rPr>
              <w:t>e</w:t>
            </w:r>
            <w:r w:rsidRPr="00B2186B">
              <w:rPr>
                <w:sz w:val="20"/>
                <w:szCs w:val="20"/>
              </w:rPr>
              <w:t xml:space="preserve"> es auch die Kompetenz der Regierung.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2186B">
              <w:rPr>
                <w:sz w:val="20"/>
                <w:szCs w:val="20"/>
              </w:rPr>
              <w:t xml:space="preserve"> begrenz</w:t>
            </w:r>
            <w:r>
              <w:rPr>
                <w:sz w:val="20"/>
                <w:szCs w:val="20"/>
              </w:rPr>
              <w:t>e</w:t>
            </w:r>
            <w:r w:rsidRPr="00B2186B">
              <w:rPr>
                <w:sz w:val="20"/>
                <w:szCs w:val="20"/>
              </w:rPr>
              <w:t xml:space="preserve"> ebenso die Staatsgewalt, aber als eine Garantie. Die laute </w:t>
            </w:r>
            <w:r>
              <w:rPr>
                <w:sz w:val="20"/>
                <w:szCs w:val="20"/>
              </w:rPr>
              <w:t>u.a.</w:t>
            </w:r>
            <w:r w:rsidRPr="00B2186B">
              <w:rPr>
                <w:sz w:val="20"/>
                <w:szCs w:val="20"/>
              </w:rPr>
              <w:t xml:space="preserve">: </w:t>
            </w:r>
            <w:r>
              <w:rPr>
                <w:sz w:val="20"/>
                <w:szCs w:val="20"/>
              </w:rPr>
              <w:t>a</w:t>
            </w:r>
            <w:r w:rsidRPr="00B2186B">
              <w:rPr>
                <w:sz w:val="20"/>
                <w:szCs w:val="20"/>
              </w:rPr>
              <w:t xml:space="preserve">ls Bürger geschützt zu sein, wenn staatliche Maßnahmen in die Rechte als Staatsbürger eingreifen. Beide Amendments </w:t>
            </w:r>
            <w:r>
              <w:rPr>
                <w:sz w:val="20"/>
                <w:szCs w:val="20"/>
              </w:rPr>
              <w:t>gleichen</w:t>
            </w:r>
            <w:r w:rsidRPr="00B2186B">
              <w:rPr>
                <w:sz w:val="20"/>
                <w:szCs w:val="20"/>
              </w:rPr>
              <w:t xml:space="preserve"> sich in folgender Formel zur Begrenzung der Staatsgewalt: Sie schützen das Eigentum genau wie das Leben und die Freiheit</w:t>
            </w:r>
            <w:r>
              <w:rPr>
                <w:sz w:val="20"/>
                <w:szCs w:val="20"/>
              </w:rPr>
              <w:t> </w:t>
            </w:r>
            <w:r w:rsidRPr="00B2186B">
              <w:rPr>
                <w:sz w:val="20"/>
                <w:szCs w:val="20"/>
              </w:rPr>
              <w:t>– staatsbürgerliche Rechte</w:t>
            </w:r>
            <w:r>
              <w:rPr>
                <w:sz w:val="20"/>
                <w:szCs w:val="20"/>
              </w:rPr>
              <w:t> </w:t>
            </w:r>
            <w:r w:rsidRPr="00B2186B">
              <w:rPr>
                <w:sz w:val="20"/>
                <w:szCs w:val="20"/>
              </w:rPr>
              <w:t>– gegen staatliche Eingriffe</w:t>
            </w:r>
            <w:r>
              <w:rPr>
                <w:sz w:val="20"/>
                <w:szCs w:val="20"/>
              </w:rPr>
              <w:t>;</w:t>
            </w:r>
            <w:r w:rsidRPr="00B2186B">
              <w:rPr>
                <w:sz w:val="20"/>
                <w:szCs w:val="20"/>
              </w:rPr>
              <w:t xml:space="preserve"> diese können die Rechte nur mit einem rechtsstaatlichen Verfahren begrenzen. Und damit sollen diese beiden Amendments jedem Einzelnen die wesentlichen Voraussetzungen für das unveräußerliche Streben nach Glück gegenüber staatlichen Eingriffen sichern („</w:t>
            </w:r>
            <w:proofErr w:type="spellStart"/>
            <w:r w:rsidRPr="00B2186B">
              <w:rPr>
                <w:sz w:val="20"/>
                <w:szCs w:val="20"/>
              </w:rPr>
              <w:t>provision</w:t>
            </w:r>
            <w:proofErr w:type="spellEnd"/>
            <w:r w:rsidRPr="00B2186B">
              <w:rPr>
                <w:sz w:val="20"/>
                <w:szCs w:val="20"/>
              </w:rPr>
              <w:t xml:space="preserve"> </w:t>
            </w:r>
            <w:proofErr w:type="spellStart"/>
            <w:r w:rsidRPr="00B2186B">
              <w:rPr>
                <w:sz w:val="20"/>
                <w:szCs w:val="20"/>
              </w:rPr>
              <w:t>has</w:t>
            </w:r>
            <w:proofErr w:type="spellEnd"/>
            <w:r w:rsidRPr="00B2186B">
              <w:rPr>
                <w:sz w:val="20"/>
                <w:szCs w:val="20"/>
              </w:rPr>
              <w:t xml:space="preserve"> </w:t>
            </w:r>
            <w:proofErr w:type="spellStart"/>
            <w:r w:rsidRPr="00B2186B">
              <w:rPr>
                <w:sz w:val="20"/>
                <w:szCs w:val="20"/>
              </w:rPr>
              <w:t>been</w:t>
            </w:r>
            <w:proofErr w:type="spellEnd"/>
            <w:r w:rsidRPr="00B2186B">
              <w:rPr>
                <w:sz w:val="20"/>
                <w:szCs w:val="20"/>
              </w:rPr>
              <w:t xml:space="preserve"> </w:t>
            </w:r>
            <w:proofErr w:type="spellStart"/>
            <w:r w:rsidRPr="00B2186B">
              <w:rPr>
                <w:sz w:val="20"/>
                <w:szCs w:val="20"/>
              </w:rPr>
              <w:t>supposed</w:t>
            </w:r>
            <w:proofErr w:type="spellEnd"/>
            <w:r w:rsidRPr="00B2186B">
              <w:rPr>
                <w:sz w:val="20"/>
                <w:szCs w:val="20"/>
              </w:rPr>
              <w:t xml:space="preserve"> to </w:t>
            </w:r>
            <w:proofErr w:type="spellStart"/>
            <w:r w:rsidRPr="00B2186B">
              <w:rPr>
                <w:sz w:val="20"/>
                <w:szCs w:val="20"/>
              </w:rPr>
              <w:t>secure</w:t>
            </w:r>
            <w:proofErr w:type="spellEnd"/>
            <w:r w:rsidRPr="00B2186B">
              <w:rPr>
                <w:sz w:val="20"/>
                <w:szCs w:val="20"/>
              </w:rPr>
              <w:t xml:space="preserve"> to </w:t>
            </w:r>
            <w:proofErr w:type="spellStart"/>
            <w:r w:rsidRPr="00B2186B">
              <w:rPr>
                <w:sz w:val="20"/>
                <w:szCs w:val="20"/>
              </w:rPr>
              <w:t>every</w:t>
            </w:r>
            <w:proofErr w:type="spellEnd"/>
            <w:r w:rsidRPr="00B2186B">
              <w:rPr>
                <w:sz w:val="20"/>
                <w:szCs w:val="20"/>
              </w:rPr>
              <w:t xml:space="preserve"> individual the essential </w:t>
            </w:r>
            <w:proofErr w:type="spellStart"/>
            <w:r w:rsidRPr="00B2186B">
              <w:rPr>
                <w:sz w:val="20"/>
                <w:szCs w:val="20"/>
              </w:rPr>
              <w:t>conditions</w:t>
            </w:r>
            <w:proofErr w:type="spellEnd"/>
            <w:r w:rsidRPr="00B2186B">
              <w:rPr>
                <w:sz w:val="20"/>
                <w:szCs w:val="20"/>
              </w:rPr>
              <w:t xml:space="preserve"> for the </w:t>
            </w:r>
            <w:proofErr w:type="spellStart"/>
            <w:r w:rsidRPr="00B2186B">
              <w:rPr>
                <w:sz w:val="20"/>
                <w:szCs w:val="20"/>
              </w:rPr>
              <w:t>pursuit</w:t>
            </w:r>
            <w:proofErr w:type="spellEnd"/>
            <w:r w:rsidRPr="00B2186B">
              <w:rPr>
                <w:sz w:val="20"/>
                <w:szCs w:val="20"/>
              </w:rPr>
              <w:t xml:space="preserve"> of </w:t>
            </w:r>
            <w:proofErr w:type="spellStart"/>
            <w:r w:rsidRPr="00B2186B">
              <w:rPr>
                <w:sz w:val="20"/>
                <w:szCs w:val="20"/>
              </w:rPr>
              <w:t>happiness</w:t>
            </w:r>
            <w:proofErr w:type="spellEnd"/>
            <w:r w:rsidRPr="00B2186B">
              <w:rPr>
                <w:sz w:val="20"/>
                <w:szCs w:val="20"/>
              </w:rPr>
              <w:t>“</w:t>
            </w:r>
            <w:r w:rsidRPr="00B2186B">
              <w:rPr>
                <w:sz w:val="20"/>
                <w:szCs w:val="20"/>
                <w:vertAlign w:val="superscript"/>
              </w:rPr>
              <w:t xml:space="preserve"> </w:t>
            </w:r>
            <w:r w:rsidRPr="00B2186B">
              <w:rPr>
                <w:sz w:val="20"/>
                <w:szCs w:val="20"/>
                <w:vertAlign w:val="superscript"/>
              </w:rPr>
              <w:footnoteReference w:id="590"/>
            </w:r>
            <w:r w:rsidRPr="00B2186B">
              <w:rPr>
                <w:sz w:val="20"/>
                <w:szCs w:val="20"/>
              </w:rPr>
              <w:t xml:space="preserve">). Wegen dieser Unveräußerlichkeit </w:t>
            </w:r>
            <w:r>
              <w:rPr>
                <w:sz w:val="20"/>
                <w:szCs w:val="20"/>
              </w:rPr>
              <w:t>seien</w:t>
            </w:r>
            <w:r w:rsidRPr="00B2186B">
              <w:rPr>
                <w:sz w:val="20"/>
                <w:szCs w:val="20"/>
              </w:rPr>
              <w:t xml:space="preserve"> sie weit auszulegen.</w:t>
            </w:r>
          </w:p>
          <w:p w14:paraId="30A8BB1B" w14:textId="77777777" w:rsidR="00074551" w:rsidRPr="00E50B51" w:rsidRDefault="00074551" w:rsidP="00367133">
            <w:pPr>
              <w:jc w:val="both"/>
              <w:rPr>
                <w:sz w:val="20"/>
                <w:szCs w:val="20"/>
              </w:rPr>
            </w:pPr>
          </w:p>
        </w:tc>
      </w:tr>
      <w:tr w:rsidR="00074551" w:rsidRPr="00E50B51" w14:paraId="3294D9D4" w14:textId="77777777" w:rsidTr="00BE689F">
        <w:trPr>
          <w:cantSplit/>
          <w:trHeight w:val="3175"/>
        </w:trPr>
        <w:tc>
          <w:tcPr>
            <w:tcW w:w="293" w:type="pct"/>
          </w:tcPr>
          <w:p w14:paraId="3E0A3EE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A1B9336" w14:textId="77777777" w:rsidR="00074551" w:rsidRPr="00B45592" w:rsidRDefault="00074551" w:rsidP="00367133">
            <w:pPr>
              <w:ind w:left="113" w:right="416"/>
              <w:jc w:val="both"/>
              <w:rPr>
                <w:i/>
                <w:sz w:val="20"/>
                <w:szCs w:val="20"/>
              </w:rPr>
            </w:pPr>
            <w:proofErr w:type="spellStart"/>
            <w:r w:rsidRPr="00B45592">
              <w:rPr>
                <w:i/>
                <w:sz w:val="20"/>
                <w:szCs w:val="20"/>
              </w:rPr>
              <w:t>Savorgnan</w:t>
            </w:r>
            <w:proofErr w:type="spellEnd"/>
            <w:r w:rsidRPr="00B45592">
              <w:rPr>
                <w:i/>
                <w:sz w:val="20"/>
                <w:szCs w:val="20"/>
              </w:rPr>
              <w:t xml:space="preserve"> v. United States</w:t>
            </w:r>
          </w:p>
        </w:tc>
        <w:tc>
          <w:tcPr>
            <w:tcW w:w="197" w:type="pct"/>
            <w:textDirection w:val="tbRl"/>
            <w:vAlign w:val="center"/>
          </w:tcPr>
          <w:p w14:paraId="7EEB450C" w14:textId="77777777" w:rsidR="00074551" w:rsidRPr="00E50B51" w:rsidRDefault="00074551" w:rsidP="00367133">
            <w:pPr>
              <w:ind w:left="113" w:right="113"/>
              <w:jc w:val="both"/>
              <w:rPr>
                <w:sz w:val="20"/>
                <w:szCs w:val="20"/>
              </w:rPr>
            </w:pPr>
            <w:r w:rsidRPr="00E50B51">
              <w:rPr>
                <w:sz w:val="20"/>
                <w:szCs w:val="20"/>
                <w:lang w:val="en-US"/>
              </w:rPr>
              <w:t>338 U.S. 491</w:t>
            </w:r>
          </w:p>
        </w:tc>
        <w:tc>
          <w:tcPr>
            <w:tcW w:w="306" w:type="pct"/>
            <w:textDirection w:val="tbRl"/>
            <w:vAlign w:val="center"/>
          </w:tcPr>
          <w:p w14:paraId="22C4D3AC" w14:textId="77777777" w:rsidR="00074551" w:rsidRPr="00E50B51" w:rsidRDefault="00074551" w:rsidP="00367133">
            <w:pPr>
              <w:ind w:left="113" w:right="113"/>
              <w:jc w:val="both"/>
              <w:rPr>
                <w:sz w:val="20"/>
                <w:szCs w:val="20"/>
              </w:rPr>
            </w:pPr>
            <w:r w:rsidRPr="00E50B51">
              <w:rPr>
                <w:sz w:val="20"/>
                <w:szCs w:val="20"/>
              </w:rPr>
              <w:t>9. Januar 1950</w:t>
            </w:r>
          </w:p>
        </w:tc>
        <w:tc>
          <w:tcPr>
            <w:tcW w:w="401" w:type="pct"/>
          </w:tcPr>
          <w:p w14:paraId="73F94021" w14:textId="77777777" w:rsidR="00074551" w:rsidRPr="00E50B51" w:rsidRDefault="00074551" w:rsidP="00367133">
            <w:pPr>
              <w:jc w:val="center"/>
              <w:rPr>
                <w:sz w:val="20"/>
                <w:szCs w:val="20"/>
              </w:rPr>
            </w:pPr>
            <w:r w:rsidRPr="00E50B51">
              <w:rPr>
                <w:sz w:val="20"/>
                <w:szCs w:val="20"/>
              </w:rPr>
              <w:t>M</w:t>
            </w:r>
          </w:p>
        </w:tc>
        <w:tc>
          <w:tcPr>
            <w:tcW w:w="1594" w:type="pct"/>
          </w:tcPr>
          <w:p w14:paraId="3C1E193D" w14:textId="77777777" w:rsidR="00074551" w:rsidRPr="00E50B51" w:rsidRDefault="00074551" w:rsidP="00367133">
            <w:pPr>
              <w:jc w:val="both"/>
              <w:rPr>
                <w:sz w:val="20"/>
                <w:szCs w:val="20"/>
              </w:rPr>
            </w:pPr>
            <w:r w:rsidRPr="00E50B51">
              <w:rPr>
                <w:sz w:val="20"/>
                <w:szCs w:val="20"/>
              </w:rPr>
              <w:t xml:space="preserve">Im Fall urteilte der </w:t>
            </w:r>
            <w:r>
              <w:rPr>
                <w:sz w:val="20"/>
                <w:szCs w:val="20"/>
              </w:rPr>
              <w:t>U.S. Supreme Court</w:t>
            </w:r>
            <w:r w:rsidRPr="00E50B51">
              <w:rPr>
                <w:sz w:val="20"/>
                <w:szCs w:val="20"/>
              </w:rPr>
              <w:t>, dass eine amerikanische Klägerin sich ausgebürgert</w:t>
            </w:r>
            <w:r>
              <w:rPr>
                <w:sz w:val="20"/>
                <w:szCs w:val="20"/>
              </w:rPr>
              <w:t xml:space="preserve"> hatte</w:t>
            </w:r>
            <w:r w:rsidRPr="00E50B51">
              <w:rPr>
                <w:sz w:val="20"/>
                <w:szCs w:val="20"/>
              </w:rPr>
              <w:t xml:space="preserve">, da sie einen Treueeid auf einen fremden Staat geleistet und dort ihren Wohnsitz begründet hatte. </w:t>
            </w:r>
            <w:r>
              <w:rPr>
                <w:sz w:val="20"/>
                <w:szCs w:val="20"/>
              </w:rPr>
              <w:t>Die Ausbürgerung</w:t>
            </w:r>
            <w:r w:rsidRPr="00E50B51">
              <w:rPr>
                <w:sz w:val="20"/>
                <w:szCs w:val="20"/>
              </w:rPr>
              <w:t xml:space="preserve"> gelte unabhängig davon, ob </w:t>
            </w:r>
            <w:r>
              <w:rPr>
                <w:sz w:val="20"/>
                <w:szCs w:val="20"/>
              </w:rPr>
              <w:t>die</w:t>
            </w:r>
            <w:r w:rsidRPr="00E50B51">
              <w:rPr>
                <w:sz w:val="20"/>
                <w:szCs w:val="20"/>
              </w:rPr>
              <w:t xml:space="preserve"> Betroffene auch die Absicht </w:t>
            </w:r>
            <w:r>
              <w:rPr>
                <w:sz w:val="20"/>
                <w:szCs w:val="20"/>
              </w:rPr>
              <w:t xml:space="preserve">gehabt </w:t>
            </w:r>
            <w:proofErr w:type="gramStart"/>
            <w:r>
              <w:rPr>
                <w:sz w:val="20"/>
                <w:szCs w:val="20"/>
              </w:rPr>
              <w:t>habe</w:t>
            </w:r>
            <w:proofErr w:type="gramEnd"/>
            <w:r w:rsidRPr="00E50B51">
              <w:rPr>
                <w:sz w:val="20"/>
                <w:szCs w:val="20"/>
              </w:rPr>
              <w:t xml:space="preserve">, </w:t>
            </w:r>
            <w:r>
              <w:rPr>
                <w:sz w:val="20"/>
                <w:szCs w:val="20"/>
              </w:rPr>
              <w:t>ihre</w:t>
            </w:r>
            <w:r w:rsidRPr="00E50B51">
              <w:rPr>
                <w:sz w:val="20"/>
                <w:szCs w:val="20"/>
              </w:rPr>
              <w:t xml:space="preserve"> amerikanische Staatsbürgerschaft aufzugeben. Zunächst beantragte die als amerikanische Staatsbürgerin geborene Klägerin die italienische </w:t>
            </w:r>
            <w:r>
              <w:rPr>
                <w:sz w:val="20"/>
                <w:szCs w:val="20"/>
              </w:rPr>
              <w:t xml:space="preserve">Staatsangehörigkeit; dort lebte sie </w:t>
            </w:r>
            <w:r w:rsidRPr="00E50B51">
              <w:rPr>
                <w:sz w:val="20"/>
                <w:szCs w:val="20"/>
              </w:rPr>
              <w:t>mit ihrem italienischen Ehemann</w:t>
            </w:r>
            <w:r>
              <w:rPr>
                <w:sz w:val="20"/>
                <w:szCs w:val="20"/>
              </w:rPr>
              <w:t>. B</w:t>
            </w:r>
            <w:r w:rsidRPr="00E50B51">
              <w:rPr>
                <w:sz w:val="20"/>
                <w:szCs w:val="20"/>
              </w:rPr>
              <w:t xml:space="preserve">eim </w:t>
            </w:r>
            <w:r w:rsidRPr="00B45592">
              <w:rPr>
                <w:i/>
                <w:sz w:val="20"/>
                <w:szCs w:val="20"/>
              </w:rPr>
              <w:t xml:space="preserve">U.S. Court of Appeals for the </w:t>
            </w:r>
            <w:proofErr w:type="spellStart"/>
            <w:r w:rsidRPr="00B45592">
              <w:rPr>
                <w:i/>
                <w:sz w:val="20"/>
                <w:szCs w:val="20"/>
              </w:rPr>
              <w:t>Seventh</w:t>
            </w:r>
            <w:proofErr w:type="spellEnd"/>
            <w:r w:rsidRPr="00B45592">
              <w:rPr>
                <w:i/>
                <w:sz w:val="20"/>
                <w:szCs w:val="20"/>
              </w:rPr>
              <w:t xml:space="preserve"> Circuit</w:t>
            </w:r>
            <w:r w:rsidRPr="00E50B51">
              <w:rPr>
                <w:sz w:val="20"/>
                <w:szCs w:val="20"/>
              </w:rPr>
              <w:t xml:space="preserve"> </w:t>
            </w:r>
            <w:r>
              <w:rPr>
                <w:sz w:val="20"/>
                <w:szCs w:val="20"/>
              </w:rPr>
              <w:t xml:space="preserve">beantragte sie später </w:t>
            </w:r>
            <w:r w:rsidRPr="00E50B51">
              <w:rPr>
                <w:sz w:val="20"/>
                <w:szCs w:val="20"/>
              </w:rPr>
              <w:t xml:space="preserve">die Überprüfung eines Urteils, das </w:t>
            </w:r>
            <w:r>
              <w:rPr>
                <w:sz w:val="20"/>
                <w:szCs w:val="20"/>
              </w:rPr>
              <w:t xml:space="preserve">deshalb </w:t>
            </w:r>
            <w:r w:rsidRPr="00E50B51">
              <w:rPr>
                <w:sz w:val="20"/>
                <w:szCs w:val="20"/>
              </w:rPr>
              <w:t xml:space="preserve">den Verlust </w:t>
            </w:r>
            <w:r>
              <w:rPr>
                <w:sz w:val="20"/>
                <w:szCs w:val="20"/>
              </w:rPr>
              <w:t>ihrer amerikanischen</w:t>
            </w:r>
            <w:r w:rsidRPr="00E50B51">
              <w:rPr>
                <w:sz w:val="20"/>
                <w:szCs w:val="20"/>
              </w:rPr>
              <w:t xml:space="preserve"> Staatsbürgerschaft feststellte. Sie machte geltend, dass sie ihre amerikanische Staatsbürgerschaft gemäß </w:t>
            </w:r>
            <w:r>
              <w:rPr>
                <w:sz w:val="20"/>
                <w:szCs w:val="20"/>
              </w:rPr>
              <w:t>§ </w:t>
            </w:r>
            <w:r w:rsidRPr="00DA36DB">
              <w:rPr>
                <w:sz w:val="20"/>
                <w:szCs w:val="20"/>
              </w:rPr>
              <w:t xml:space="preserve">2 des </w:t>
            </w:r>
            <w:r w:rsidRPr="00B45592">
              <w:rPr>
                <w:i/>
                <w:sz w:val="20"/>
                <w:szCs w:val="20"/>
              </w:rPr>
              <w:t>Citizenship Act</w:t>
            </w:r>
            <w:r w:rsidRPr="00DA36DB">
              <w:rPr>
                <w:sz w:val="20"/>
                <w:szCs w:val="20"/>
              </w:rPr>
              <w:t xml:space="preserve"> von 1907</w:t>
            </w:r>
            <w:r w:rsidRPr="00DA36DB">
              <w:rPr>
                <w:rStyle w:val="Funotenzeichen"/>
                <w:sz w:val="20"/>
                <w:szCs w:val="20"/>
              </w:rPr>
              <w:footnoteReference w:id="591"/>
            </w:r>
            <w:r w:rsidRPr="00DA36DB">
              <w:rPr>
                <w:sz w:val="20"/>
                <w:szCs w:val="20"/>
              </w:rPr>
              <w:t xml:space="preserve"> und §</w:t>
            </w:r>
            <w:r>
              <w:rPr>
                <w:sz w:val="20"/>
                <w:szCs w:val="20"/>
              </w:rPr>
              <w:t>§ </w:t>
            </w:r>
            <w:r w:rsidRPr="00DA36DB">
              <w:rPr>
                <w:sz w:val="20"/>
                <w:szCs w:val="20"/>
              </w:rPr>
              <w:t xml:space="preserve">401, 403 und 104 des </w:t>
            </w:r>
            <w:proofErr w:type="spellStart"/>
            <w:r w:rsidRPr="00B45592">
              <w:rPr>
                <w:i/>
                <w:sz w:val="20"/>
                <w:szCs w:val="20"/>
              </w:rPr>
              <w:t>Nationality</w:t>
            </w:r>
            <w:proofErr w:type="spellEnd"/>
            <w:r w:rsidRPr="00B45592">
              <w:rPr>
                <w:i/>
                <w:sz w:val="20"/>
                <w:szCs w:val="20"/>
              </w:rPr>
              <w:t xml:space="preserve"> Act</w:t>
            </w:r>
            <w:r w:rsidRPr="00DA36DB">
              <w:rPr>
                <w:sz w:val="20"/>
                <w:szCs w:val="20"/>
              </w:rPr>
              <w:t xml:space="preserve"> von 1940</w:t>
            </w:r>
            <w:r w:rsidRPr="00DA36DB">
              <w:rPr>
                <w:rStyle w:val="Funotenzeichen"/>
                <w:sz w:val="20"/>
                <w:szCs w:val="20"/>
              </w:rPr>
              <w:footnoteReference w:id="592"/>
            </w:r>
            <w:r w:rsidRPr="00DA36DB">
              <w:rPr>
                <w:sz w:val="20"/>
                <w:szCs w:val="20"/>
              </w:rPr>
              <w:t xml:space="preserve"> behalten habe. Denn sie habe nie beabsichtigt, auf ihre amerikanische Staatsbürgerschaft zu verzichten. Zudem habe sie nie einen Wohnsitz in Italien begründet. Das Berufungsurteil und der </w:t>
            </w:r>
            <w:r>
              <w:rPr>
                <w:sz w:val="20"/>
                <w:szCs w:val="20"/>
              </w:rPr>
              <w:t>U.S. Supreme Court</w:t>
            </w:r>
            <w:r w:rsidRPr="00DA36DB">
              <w:rPr>
                <w:sz w:val="20"/>
                <w:szCs w:val="20"/>
              </w:rPr>
              <w:t xml:space="preserve"> bestätigten indes den Verlust der Staatsbürgerschaft. Der </w:t>
            </w:r>
            <w:r>
              <w:rPr>
                <w:sz w:val="20"/>
                <w:szCs w:val="20"/>
              </w:rPr>
              <w:t>U.S. Supreme Court</w:t>
            </w:r>
            <w:r w:rsidRPr="00DA36DB">
              <w:rPr>
                <w:sz w:val="20"/>
                <w:szCs w:val="20"/>
              </w:rPr>
              <w:t xml:space="preserve"> begründete seine Entscheidung damit, dass jeder amerikanische Staatsbürger als ausgebürgert </w:t>
            </w:r>
            <w:r>
              <w:rPr>
                <w:sz w:val="20"/>
                <w:szCs w:val="20"/>
              </w:rPr>
              <w:t>gelte</w:t>
            </w:r>
            <w:r w:rsidRPr="00DA36DB">
              <w:rPr>
                <w:sz w:val="20"/>
                <w:szCs w:val="20"/>
              </w:rPr>
              <w:t xml:space="preserve">, wenn er in einem fremden Staat eingebürgert </w:t>
            </w:r>
            <w:r>
              <w:rPr>
                <w:sz w:val="20"/>
                <w:szCs w:val="20"/>
              </w:rPr>
              <w:t>worden sei</w:t>
            </w:r>
            <w:r w:rsidRPr="00DA36DB">
              <w:rPr>
                <w:sz w:val="20"/>
                <w:szCs w:val="20"/>
              </w:rPr>
              <w:t xml:space="preserve"> oder wenn er einen Treueeid auf einen fremden Staat geleistet habe. Der </w:t>
            </w:r>
            <w:r>
              <w:rPr>
                <w:sz w:val="20"/>
                <w:szCs w:val="20"/>
              </w:rPr>
              <w:t>U.S. Supreme Court</w:t>
            </w:r>
            <w:r w:rsidRPr="00DA36DB">
              <w:rPr>
                <w:sz w:val="20"/>
                <w:szCs w:val="20"/>
              </w:rPr>
              <w:t xml:space="preserve"> stellte fest, dass der Wortlaut der Gesetze (</w:t>
            </w:r>
            <w:r>
              <w:rPr>
                <w:sz w:val="20"/>
                <w:szCs w:val="20"/>
              </w:rPr>
              <w:t>§ </w:t>
            </w:r>
            <w:r w:rsidRPr="00DA36DB">
              <w:rPr>
                <w:sz w:val="20"/>
                <w:szCs w:val="20"/>
              </w:rPr>
              <w:t xml:space="preserve">2 des </w:t>
            </w:r>
            <w:r w:rsidRPr="00B45592">
              <w:rPr>
                <w:i/>
                <w:sz w:val="20"/>
                <w:szCs w:val="20"/>
              </w:rPr>
              <w:t>Citizenship Act</w:t>
            </w:r>
            <w:r w:rsidRPr="00DA36DB">
              <w:rPr>
                <w:sz w:val="20"/>
                <w:szCs w:val="20"/>
              </w:rPr>
              <w:t xml:space="preserve"> von 1907 und §</w:t>
            </w:r>
            <w:r>
              <w:rPr>
                <w:sz w:val="20"/>
                <w:szCs w:val="20"/>
              </w:rPr>
              <w:t>§ </w:t>
            </w:r>
            <w:r w:rsidRPr="00DA36DB">
              <w:rPr>
                <w:sz w:val="20"/>
                <w:szCs w:val="20"/>
              </w:rPr>
              <w:t xml:space="preserve">401, 403 und 104 des </w:t>
            </w:r>
            <w:proofErr w:type="spellStart"/>
            <w:r w:rsidRPr="00B45592">
              <w:rPr>
                <w:i/>
                <w:sz w:val="20"/>
                <w:szCs w:val="20"/>
              </w:rPr>
              <w:t>Nationality</w:t>
            </w:r>
            <w:proofErr w:type="spellEnd"/>
            <w:r w:rsidRPr="00B45592">
              <w:rPr>
                <w:i/>
                <w:sz w:val="20"/>
                <w:szCs w:val="20"/>
              </w:rPr>
              <w:t xml:space="preserve"> Act</w:t>
            </w:r>
            <w:r w:rsidRPr="00DA36DB">
              <w:rPr>
                <w:sz w:val="20"/>
                <w:szCs w:val="20"/>
              </w:rPr>
              <w:t xml:space="preserve"> von 1940) darauf deute, dass die Ausbürgerung nicht von der Absicht des Betroffenen abhänge, soweit der Betroffene die Ein-, respektive Ausbürgerung freiwillig vorgenommen </w:t>
            </w:r>
            <w:r>
              <w:rPr>
                <w:sz w:val="20"/>
                <w:szCs w:val="20"/>
              </w:rPr>
              <w:t>habe</w:t>
            </w:r>
            <w:r w:rsidRPr="00DA36DB">
              <w:rPr>
                <w:sz w:val="20"/>
                <w:szCs w:val="20"/>
              </w:rPr>
              <w:t xml:space="preserve">. </w:t>
            </w:r>
            <w:r>
              <w:rPr>
                <w:sz w:val="20"/>
                <w:szCs w:val="20"/>
              </w:rPr>
              <w:t xml:space="preserve">Das war hier der Fall. </w:t>
            </w:r>
            <w:r w:rsidRPr="00DA36DB">
              <w:rPr>
                <w:sz w:val="20"/>
                <w:szCs w:val="20"/>
              </w:rPr>
              <w:t xml:space="preserve">Darüber hinaus ging der </w:t>
            </w:r>
            <w:r>
              <w:rPr>
                <w:sz w:val="20"/>
                <w:szCs w:val="20"/>
              </w:rPr>
              <w:t>U.S. Supreme Court</w:t>
            </w:r>
            <w:r w:rsidRPr="00DA36DB">
              <w:rPr>
                <w:sz w:val="20"/>
                <w:szCs w:val="20"/>
              </w:rPr>
              <w:t xml:space="preserve"> davon aus, dass die Klägerin </w:t>
            </w:r>
            <w:r>
              <w:rPr>
                <w:sz w:val="20"/>
                <w:szCs w:val="20"/>
              </w:rPr>
              <w:t xml:space="preserve">einen für die </w:t>
            </w:r>
            <w:r w:rsidRPr="00DA36DB">
              <w:rPr>
                <w:sz w:val="20"/>
                <w:szCs w:val="20"/>
              </w:rPr>
              <w:t xml:space="preserve">Ausbürgerung </w:t>
            </w:r>
            <w:r>
              <w:rPr>
                <w:sz w:val="20"/>
                <w:szCs w:val="20"/>
              </w:rPr>
              <w:t xml:space="preserve">notwendigen Wohnsitz </w:t>
            </w:r>
            <w:r w:rsidRPr="00DA36DB">
              <w:rPr>
                <w:sz w:val="20"/>
                <w:szCs w:val="20"/>
              </w:rPr>
              <w:t xml:space="preserve">in Italien </w:t>
            </w:r>
            <w:r>
              <w:rPr>
                <w:sz w:val="20"/>
                <w:szCs w:val="20"/>
              </w:rPr>
              <w:t>zumindest faktisch</w:t>
            </w:r>
            <w:r w:rsidRPr="00DA36DB">
              <w:rPr>
                <w:sz w:val="20"/>
                <w:szCs w:val="20"/>
              </w:rPr>
              <w:t xml:space="preserve"> begründet hatte.</w:t>
            </w:r>
            <w:r w:rsidRPr="00DA36DB">
              <w:rPr>
                <w:rStyle w:val="Funotenzeichen"/>
                <w:sz w:val="20"/>
                <w:szCs w:val="20"/>
              </w:rPr>
              <w:footnoteReference w:id="593"/>
            </w:r>
          </w:p>
          <w:p w14:paraId="69BB1E89" w14:textId="77777777" w:rsidR="00074551" w:rsidRPr="00E50B51" w:rsidRDefault="00074551" w:rsidP="00367133">
            <w:pPr>
              <w:jc w:val="both"/>
              <w:rPr>
                <w:sz w:val="20"/>
                <w:szCs w:val="20"/>
              </w:rPr>
            </w:pPr>
          </w:p>
        </w:tc>
        <w:tc>
          <w:tcPr>
            <w:tcW w:w="1822" w:type="pct"/>
          </w:tcPr>
          <w:p w14:paraId="4A8F64C1" w14:textId="77777777" w:rsidR="00074551" w:rsidRDefault="00074551" w:rsidP="00367133">
            <w:pPr>
              <w:jc w:val="both"/>
              <w:rPr>
                <w:sz w:val="20"/>
                <w:szCs w:val="20"/>
              </w:rPr>
            </w:pPr>
            <w:r w:rsidRPr="00E50B51">
              <w:rPr>
                <w:sz w:val="20"/>
                <w:szCs w:val="20"/>
              </w:rPr>
              <w:t>Historisch haben die Vereinigten Staaten das Recht auf Auswanderung als ein natürliches und angeborenes Recht aller Menschen unterstützt,</w:t>
            </w:r>
            <w:r>
              <w:rPr>
                <w:rStyle w:val="Funotenzeichen"/>
                <w:sz w:val="20"/>
                <w:szCs w:val="20"/>
              </w:rPr>
              <w:footnoteReference w:id="594"/>
            </w:r>
            <w:r w:rsidRPr="00E50B51">
              <w:rPr>
                <w:sz w:val="20"/>
                <w:szCs w:val="20"/>
              </w:rPr>
              <w:t xml:space="preserve"> </w:t>
            </w:r>
            <w:r>
              <w:rPr>
                <w:sz w:val="20"/>
                <w:szCs w:val="20"/>
              </w:rPr>
              <w:t>z.B.</w:t>
            </w:r>
            <w:r w:rsidRPr="00E50B51">
              <w:rPr>
                <w:sz w:val="20"/>
                <w:szCs w:val="20"/>
              </w:rPr>
              <w:t xml:space="preserve"> durch diplomatische </w:t>
            </w:r>
            <w:r w:rsidRPr="00DA36DB">
              <w:rPr>
                <w:sz w:val="20"/>
                <w:szCs w:val="20"/>
              </w:rPr>
              <w:t xml:space="preserve">Initiativen gegenüber Großbritannien. </w:t>
            </w:r>
            <w:r>
              <w:rPr>
                <w:sz w:val="20"/>
                <w:szCs w:val="20"/>
              </w:rPr>
              <w:t xml:space="preserve">Eine Einschränkung dieses Rechts </w:t>
            </w:r>
            <w:r w:rsidRPr="00DA36DB">
              <w:rPr>
                <w:sz w:val="20"/>
                <w:szCs w:val="20"/>
              </w:rPr>
              <w:t>erklärte der Kongress 1868 (15 Stat. 223</w:t>
            </w:r>
            <w:r>
              <w:rPr>
                <w:sz w:val="20"/>
                <w:szCs w:val="20"/>
              </w:rPr>
              <w:t>–</w:t>
            </w:r>
            <w:r w:rsidRPr="00DA36DB">
              <w:rPr>
                <w:sz w:val="20"/>
                <w:szCs w:val="20"/>
              </w:rPr>
              <w:t xml:space="preserve">224, R. S. </w:t>
            </w:r>
            <w:r>
              <w:rPr>
                <w:sz w:val="20"/>
                <w:szCs w:val="20"/>
              </w:rPr>
              <w:t>§ </w:t>
            </w:r>
            <w:r w:rsidRPr="00DA36DB">
              <w:rPr>
                <w:sz w:val="20"/>
                <w:szCs w:val="20"/>
              </w:rPr>
              <w:t xml:space="preserve">1999, 8 </w:t>
            </w:r>
            <w:r>
              <w:rPr>
                <w:sz w:val="20"/>
                <w:szCs w:val="20"/>
              </w:rPr>
              <w:t>U.S.</w:t>
            </w:r>
            <w:r w:rsidRPr="00DA36DB">
              <w:rPr>
                <w:sz w:val="20"/>
                <w:szCs w:val="20"/>
              </w:rPr>
              <w:t xml:space="preserve"> C. </w:t>
            </w:r>
            <w:r>
              <w:rPr>
                <w:sz w:val="20"/>
                <w:szCs w:val="20"/>
              </w:rPr>
              <w:t>§ </w:t>
            </w:r>
            <w:r w:rsidRPr="00DA36DB">
              <w:rPr>
                <w:sz w:val="20"/>
                <w:szCs w:val="20"/>
              </w:rPr>
              <w:t>800</w:t>
            </w:r>
            <w:r w:rsidRPr="00DA36DB">
              <w:rPr>
                <w:rStyle w:val="Funotenzeichen"/>
                <w:sz w:val="20"/>
                <w:szCs w:val="20"/>
              </w:rPr>
              <w:footnoteReference w:id="595"/>
            </w:r>
            <w:r w:rsidRPr="00DA36DB">
              <w:rPr>
                <w:sz w:val="20"/>
                <w:szCs w:val="20"/>
              </w:rPr>
              <w:t xml:space="preserve">) </w:t>
            </w:r>
            <w:r>
              <w:rPr>
                <w:sz w:val="20"/>
                <w:szCs w:val="20"/>
              </w:rPr>
              <w:t>für</w:t>
            </w:r>
            <w:r w:rsidRPr="00DA36DB">
              <w:rPr>
                <w:sz w:val="20"/>
                <w:szCs w:val="20"/>
              </w:rPr>
              <w:t xml:space="preserve"> unvereinbar mit den Grundprinzipien der Regierung („fundamental </w:t>
            </w:r>
            <w:proofErr w:type="spellStart"/>
            <w:r w:rsidRPr="00DA36DB">
              <w:rPr>
                <w:sz w:val="20"/>
                <w:szCs w:val="20"/>
              </w:rPr>
              <w:t>principles</w:t>
            </w:r>
            <w:proofErr w:type="spellEnd"/>
            <w:r w:rsidRPr="00DA36DB">
              <w:rPr>
                <w:sz w:val="20"/>
                <w:szCs w:val="20"/>
              </w:rPr>
              <w:t xml:space="preserve"> of </w:t>
            </w:r>
            <w:proofErr w:type="spellStart"/>
            <w:r w:rsidRPr="00DA36DB">
              <w:rPr>
                <w:sz w:val="20"/>
                <w:szCs w:val="20"/>
              </w:rPr>
              <w:t>this</w:t>
            </w:r>
            <w:proofErr w:type="spellEnd"/>
            <w:r w:rsidRPr="00DA36DB">
              <w:rPr>
                <w:sz w:val="20"/>
                <w:szCs w:val="20"/>
              </w:rPr>
              <w:t xml:space="preserve"> Government“</w:t>
            </w:r>
            <w:r>
              <w:rPr>
                <w:rStyle w:val="Funotenzeichen"/>
                <w:sz w:val="20"/>
                <w:szCs w:val="20"/>
              </w:rPr>
              <w:footnoteReference w:id="596"/>
            </w:r>
            <w:r w:rsidRPr="00DA36DB">
              <w:rPr>
                <w:sz w:val="20"/>
                <w:szCs w:val="20"/>
              </w:rPr>
              <w:t>).</w:t>
            </w:r>
            <w:r>
              <w:rPr>
                <w:sz w:val="20"/>
                <w:szCs w:val="20"/>
              </w:rPr>
              <w:t xml:space="preserve"> Die lauten</w:t>
            </w:r>
            <w:r w:rsidRPr="00E50B51">
              <w:rPr>
                <w:sz w:val="20"/>
                <w:szCs w:val="20"/>
              </w:rPr>
              <w:t xml:space="preserve">: Leben, Freiheit und das Streben nach Glück. </w:t>
            </w:r>
            <w:r>
              <w:rPr>
                <w:sz w:val="20"/>
                <w:szCs w:val="20"/>
              </w:rPr>
              <w:t>Aber</w:t>
            </w:r>
            <w:r w:rsidRPr="00E50B51">
              <w:rPr>
                <w:sz w:val="20"/>
                <w:szCs w:val="20"/>
              </w:rPr>
              <w:t xml:space="preserve"> warum </w:t>
            </w:r>
            <w:r>
              <w:rPr>
                <w:sz w:val="20"/>
                <w:szCs w:val="20"/>
              </w:rPr>
              <w:t xml:space="preserve">sollte gleichzeitig </w:t>
            </w:r>
            <w:r w:rsidRPr="00E50B51">
              <w:rPr>
                <w:sz w:val="20"/>
                <w:szCs w:val="20"/>
              </w:rPr>
              <w:t>die Ausbürgerung nicht eingeschränkt werden? Weil ein Souverän mit Ausbürgerungen kontrollieren können müsse, wer Staatsvolk sei und wer nicht</w:t>
            </w:r>
            <w:r>
              <w:rPr>
                <w:sz w:val="20"/>
                <w:szCs w:val="20"/>
              </w:rPr>
              <w:t> – d</w:t>
            </w:r>
            <w:r w:rsidRPr="00E50B51">
              <w:rPr>
                <w:sz w:val="20"/>
                <w:szCs w:val="20"/>
              </w:rPr>
              <w:t xml:space="preserve">amit er wisse, wie ein Glücksstreben zu ermöglichen sei. Das </w:t>
            </w:r>
            <w:r w:rsidRPr="001C5275">
              <w:rPr>
                <w:sz w:val="20"/>
                <w:szCs w:val="20"/>
              </w:rPr>
              <w:t>Gesetz von 1868</w:t>
            </w:r>
            <w:r w:rsidRPr="001C5275">
              <w:rPr>
                <w:rStyle w:val="Funotenzeichen"/>
                <w:sz w:val="20"/>
                <w:szCs w:val="20"/>
              </w:rPr>
              <w:footnoteReference w:id="597"/>
            </w:r>
            <w:r w:rsidRPr="00E50B51">
              <w:rPr>
                <w:sz w:val="20"/>
                <w:szCs w:val="20"/>
              </w:rPr>
              <w:t xml:space="preserve"> besteht bis heute als Ausdruck des Verhältnisses der Ausbürgerung und de</w:t>
            </w:r>
            <w:r>
              <w:rPr>
                <w:sz w:val="20"/>
                <w:szCs w:val="20"/>
              </w:rPr>
              <w:t>r</w:t>
            </w:r>
            <w:r w:rsidRPr="00E50B51">
              <w:rPr>
                <w:sz w:val="20"/>
                <w:szCs w:val="20"/>
              </w:rPr>
              <w:t xml:space="preserve"> unveräußerlichen Rechten wie dem Streben nach Glück</w:t>
            </w:r>
            <w:r>
              <w:rPr>
                <w:sz w:val="20"/>
                <w:szCs w:val="20"/>
              </w:rPr>
              <w:t xml:space="preserve">, </w:t>
            </w:r>
            <w:r w:rsidRPr="00E50B51">
              <w:rPr>
                <w:sz w:val="20"/>
                <w:szCs w:val="20"/>
              </w:rPr>
              <w:t xml:space="preserve">vgl. </w:t>
            </w:r>
            <w:proofErr w:type="spellStart"/>
            <w:r w:rsidRPr="00B45592">
              <w:rPr>
                <w:i/>
                <w:sz w:val="20"/>
                <w:szCs w:val="20"/>
              </w:rPr>
              <w:t>Revised</w:t>
            </w:r>
            <w:proofErr w:type="spellEnd"/>
            <w:r w:rsidRPr="00B45592">
              <w:rPr>
                <w:i/>
                <w:sz w:val="20"/>
                <w:szCs w:val="20"/>
              </w:rPr>
              <w:t xml:space="preserve"> Statutes</w:t>
            </w:r>
            <w:r w:rsidRPr="00E50B51">
              <w:rPr>
                <w:sz w:val="20"/>
                <w:szCs w:val="20"/>
              </w:rPr>
              <w:t xml:space="preserve"> </w:t>
            </w:r>
            <w:r>
              <w:rPr>
                <w:sz w:val="20"/>
                <w:szCs w:val="20"/>
              </w:rPr>
              <w:t>§ </w:t>
            </w:r>
            <w:r w:rsidRPr="00E50B51">
              <w:rPr>
                <w:sz w:val="20"/>
                <w:szCs w:val="20"/>
              </w:rPr>
              <w:t>1999 in 8</w:t>
            </w:r>
            <w:r>
              <w:rPr>
                <w:sz w:val="20"/>
                <w:szCs w:val="20"/>
              </w:rPr>
              <w:t> </w:t>
            </w:r>
            <w:r w:rsidRPr="00E50B51">
              <w:rPr>
                <w:sz w:val="20"/>
                <w:szCs w:val="20"/>
              </w:rPr>
              <w:t>U</w:t>
            </w:r>
            <w:r>
              <w:rPr>
                <w:sz w:val="20"/>
                <w:szCs w:val="20"/>
              </w:rPr>
              <w:t>.</w:t>
            </w:r>
            <w:r w:rsidRPr="00E50B51">
              <w:rPr>
                <w:sz w:val="20"/>
                <w:szCs w:val="20"/>
              </w:rPr>
              <w:t>S</w:t>
            </w:r>
            <w:r>
              <w:rPr>
                <w:sz w:val="20"/>
                <w:szCs w:val="20"/>
              </w:rPr>
              <w:t>.</w:t>
            </w:r>
            <w:r w:rsidRPr="00E50B51">
              <w:rPr>
                <w:sz w:val="20"/>
                <w:szCs w:val="20"/>
              </w:rPr>
              <w:t>C</w:t>
            </w:r>
            <w:r>
              <w:rPr>
                <w:sz w:val="20"/>
                <w:szCs w:val="20"/>
              </w:rPr>
              <w:t>.</w:t>
            </w:r>
            <w:r w:rsidRPr="00E50B51">
              <w:rPr>
                <w:sz w:val="20"/>
                <w:szCs w:val="20"/>
              </w:rPr>
              <w:t xml:space="preserve">S </w:t>
            </w:r>
            <w:r>
              <w:rPr>
                <w:sz w:val="20"/>
                <w:szCs w:val="20"/>
              </w:rPr>
              <w:t>§ </w:t>
            </w:r>
            <w:r w:rsidRPr="00DA36DB">
              <w:rPr>
                <w:sz w:val="20"/>
                <w:szCs w:val="20"/>
              </w:rPr>
              <w:t>1481.</w:t>
            </w:r>
            <w:r w:rsidRPr="00E50B51">
              <w:rPr>
                <w:sz w:val="20"/>
                <w:szCs w:val="20"/>
              </w:rPr>
              <w:t xml:space="preserve"> </w:t>
            </w:r>
            <w:r>
              <w:rPr>
                <w:sz w:val="20"/>
                <w:szCs w:val="20"/>
              </w:rPr>
              <w:t>Doch</w:t>
            </w:r>
            <w:r w:rsidRPr="00E50B51">
              <w:rPr>
                <w:sz w:val="20"/>
                <w:szCs w:val="20"/>
              </w:rPr>
              <w:t xml:space="preserve"> wie kam es zu dem Gesetz? Historisch war die erste Form</w:t>
            </w:r>
            <w:r>
              <w:rPr>
                <w:sz w:val="20"/>
                <w:szCs w:val="20"/>
              </w:rPr>
              <w:t>,</w:t>
            </w:r>
            <w:r w:rsidRPr="00E50B51">
              <w:rPr>
                <w:sz w:val="20"/>
                <w:szCs w:val="20"/>
              </w:rPr>
              <w:t xml:space="preserve"> jemanden auszubürgern, den Betroffenen in einen anderen Staat einzubürgern. Aber aufgrund des gewohnheitsrechtlichen Verbots</w:t>
            </w:r>
            <w:r>
              <w:rPr>
                <w:sz w:val="20"/>
                <w:szCs w:val="20"/>
              </w:rPr>
              <w:t>,</w:t>
            </w:r>
            <w:r w:rsidRPr="00E50B51">
              <w:rPr>
                <w:sz w:val="20"/>
                <w:szCs w:val="20"/>
              </w:rPr>
              <w:t xml:space="preserve"> nur auszubürgern („</w:t>
            </w:r>
            <w:proofErr w:type="spellStart"/>
            <w:r w:rsidRPr="00E50B51">
              <w:rPr>
                <w:sz w:val="20"/>
                <w:szCs w:val="20"/>
              </w:rPr>
              <w:t>common-law</w:t>
            </w:r>
            <w:proofErr w:type="spellEnd"/>
            <w:r w:rsidRPr="00E50B51">
              <w:rPr>
                <w:sz w:val="20"/>
                <w:szCs w:val="20"/>
              </w:rPr>
              <w:t xml:space="preserve"> </w:t>
            </w:r>
            <w:proofErr w:type="spellStart"/>
            <w:r w:rsidRPr="00E50B51">
              <w:rPr>
                <w:sz w:val="20"/>
                <w:szCs w:val="20"/>
              </w:rPr>
              <w:t>prohibition</w:t>
            </w:r>
            <w:proofErr w:type="spellEnd"/>
            <w:r w:rsidRPr="00E50B51">
              <w:rPr>
                <w:sz w:val="20"/>
                <w:szCs w:val="20"/>
              </w:rPr>
              <w:t xml:space="preserve"> of </w:t>
            </w:r>
            <w:proofErr w:type="spellStart"/>
            <w:r w:rsidRPr="00E50B51">
              <w:rPr>
                <w:sz w:val="20"/>
                <w:szCs w:val="20"/>
              </w:rPr>
              <w:t>expatriation</w:t>
            </w:r>
            <w:proofErr w:type="spellEnd"/>
            <w:r w:rsidRPr="00E50B51">
              <w:rPr>
                <w:sz w:val="20"/>
                <w:szCs w:val="20"/>
              </w:rPr>
              <w:t>“</w:t>
            </w:r>
            <w:r w:rsidRPr="00E50B51">
              <w:rPr>
                <w:rStyle w:val="Funotenzeichen"/>
                <w:rFonts w:eastAsiaTheme="majorEastAsia"/>
                <w:sz w:val="20"/>
                <w:szCs w:val="20"/>
              </w:rPr>
              <w:footnoteReference w:id="598"/>
            </w:r>
            <w:r w:rsidRPr="00E50B51">
              <w:rPr>
                <w:sz w:val="20"/>
                <w:szCs w:val="20"/>
              </w:rPr>
              <w:t>)</w:t>
            </w:r>
            <w:r>
              <w:rPr>
                <w:sz w:val="20"/>
                <w:szCs w:val="20"/>
              </w:rPr>
              <w:t xml:space="preserve"> – um Staatenlosigkeit zu verhindern –</w:t>
            </w:r>
            <w:r w:rsidRPr="00E50B51">
              <w:rPr>
                <w:sz w:val="20"/>
                <w:szCs w:val="20"/>
              </w:rPr>
              <w:t xml:space="preserve">, wenn </w:t>
            </w:r>
            <w:r>
              <w:rPr>
                <w:sz w:val="20"/>
                <w:szCs w:val="20"/>
              </w:rPr>
              <w:t xml:space="preserve">der </w:t>
            </w:r>
            <w:r w:rsidRPr="00E50B51">
              <w:rPr>
                <w:sz w:val="20"/>
                <w:szCs w:val="20"/>
              </w:rPr>
              <w:t xml:space="preserve">betroffene Staat </w:t>
            </w:r>
            <w:r>
              <w:rPr>
                <w:sz w:val="20"/>
                <w:szCs w:val="20"/>
              </w:rPr>
              <w:t xml:space="preserve">explizit </w:t>
            </w:r>
            <w:r w:rsidRPr="00E50B51">
              <w:rPr>
                <w:sz w:val="20"/>
                <w:szCs w:val="20"/>
              </w:rPr>
              <w:t xml:space="preserve">zugestimmt hatte, zögerten amerikanische Gerichte zunächst, amerikanische Bürger auszubürgern – </w:t>
            </w:r>
            <w:proofErr w:type="gramStart"/>
            <w:r w:rsidRPr="00E50B51">
              <w:rPr>
                <w:sz w:val="20"/>
                <w:szCs w:val="20"/>
              </w:rPr>
              <w:t>selbst</w:t>
            </w:r>
            <w:proofErr w:type="gramEnd"/>
            <w:r w:rsidRPr="00E50B51">
              <w:rPr>
                <w:sz w:val="20"/>
                <w:szCs w:val="20"/>
              </w:rPr>
              <w:t xml:space="preserve"> wenn ein anderer Staat </w:t>
            </w:r>
            <w:r>
              <w:rPr>
                <w:sz w:val="20"/>
                <w:szCs w:val="20"/>
              </w:rPr>
              <w:t>sie</w:t>
            </w:r>
            <w:r w:rsidRPr="00E50B51">
              <w:rPr>
                <w:sz w:val="20"/>
                <w:szCs w:val="20"/>
              </w:rPr>
              <w:t xml:space="preserve"> ein</w:t>
            </w:r>
            <w:r>
              <w:rPr>
                <w:sz w:val="20"/>
                <w:szCs w:val="20"/>
              </w:rPr>
              <w:t>ge</w:t>
            </w:r>
            <w:r w:rsidRPr="00E50B51">
              <w:rPr>
                <w:sz w:val="20"/>
                <w:szCs w:val="20"/>
              </w:rPr>
              <w:t xml:space="preserve">bürgert hatte. Denn die </w:t>
            </w:r>
            <w:r>
              <w:rPr>
                <w:sz w:val="20"/>
                <w:szCs w:val="20"/>
              </w:rPr>
              <w:t xml:space="preserve">Legislative </w:t>
            </w:r>
            <w:r w:rsidRPr="00E50B51">
              <w:rPr>
                <w:sz w:val="20"/>
                <w:szCs w:val="20"/>
              </w:rPr>
              <w:t>hatte</w:t>
            </w:r>
            <w:r>
              <w:rPr>
                <w:sz w:val="20"/>
                <w:szCs w:val="20"/>
              </w:rPr>
              <w:t xml:space="preserve"> zunächst kein </w:t>
            </w:r>
            <w:r w:rsidRPr="00E50B51">
              <w:rPr>
                <w:sz w:val="20"/>
                <w:szCs w:val="20"/>
              </w:rPr>
              <w:t>Gesetz</w:t>
            </w:r>
            <w:r>
              <w:rPr>
                <w:sz w:val="20"/>
                <w:szCs w:val="20"/>
              </w:rPr>
              <w:t xml:space="preserve"> vorgebracht</w:t>
            </w:r>
            <w:r w:rsidRPr="00E50B51">
              <w:rPr>
                <w:sz w:val="20"/>
                <w:szCs w:val="20"/>
              </w:rPr>
              <w:t xml:space="preserve">, </w:t>
            </w:r>
            <w:r>
              <w:rPr>
                <w:sz w:val="20"/>
                <w:szCs w:val="20"/>
              </w:rPr>
              <w:t>welches</w:t>
            </w:r>
            <w:r w:rsidRPr="00E50B51">
              <w:rPr>
                <w:sz w:val="20"/>
                <w:szCs w:val="20"/>
              </w:rPr>
              <w:t xml:space="preserve"> die Voraussetzungen</w:t>
            </w:r>
            <w:r>
              <w:rPr>
                <w:sz w:val="20"/>
                <w:szCs w:val="20"/>
              </w:rPr>
              <w:t xml:space="preserve"> für Ausbürgerungen</w:t>
            </w:r>
            <w:r w:rsidRPr="00E50B51">
              <w:rPr>
                <w:sz w:val="20"/>
                <w:szCs w:val="20"/>
              </w:rPr>
              <w:t xml:space="preserve"> regel</w:t>
            </w:r>
            <w:r>
              <w:rPr>
                <w:sz w:val="20"/>
                <w:szCs w:val="20"/>
              </w:rPr>
              <w:t>te</w:t>
            </w:r>
            <w:r w:rsidRPr="00E50B51">
              <w:rPr>
                <w:sz w:val="20"/>
                <w:szCs w:val="20"/>
              </w:rPr>
              <w:t>. Das änderte der Kongress schließlich. Er stimmte einer solchen Ausbürgerung nach Einbürgerung zu</w:t>
            </w:r>
            <w:r>
              <w:rPr>
                <w:sz w:val="20"/>
                <w:szCs w:val="20"/>
              </w:rPr>
              <w:t xml:space="preserve"> – ohne weiteres Zustimmungserfordernis –</w:t>
            </w:r>
            <w:r w:rsidRPr="00E50B51">
              <w:rPr>
                <w:sz w:val="20"/>
                <w:szCs w:val="20"/>
              </w:rPr>
              <w:t>, indem er Voraussetzungen</w:t>
            </w:r>
            <w:r>
              <w:rPr>
                <w:sz w:val="20"/>
                <w:szCs w:val="20"/>
              </w:rPr>
              <w:t xml:space="preserve"> für die Ausbürgerung</w:t>
            </w:r>
            <w:r w:rsidRPr="00E50B51">
              <w:rPr>
                <w:sz w:val="20"/>
                <w:szCs w:val="20"/>
              </w:rPr>
              <w:t xml:space="preserve"> festlegte: zunächst im </w:t>
            </w:r>
            <w:r w:rsidRPr="00B45592">
              <w:rPr>
                <w:i/>
                <w:sz w:val="20"/>
                <w:szCs w:val="20"/>
              </w:rPr>
              <w:t>Citizenship Act</w:t>
            </w:r>
            <w:r w:rsidRPr="00E50B51">
              <w:rPr>
                <w:sz w:val="20"/>
                <w:szCs w:val="20"/>
              </w:rPr>
              <w:t xml:space="preserve"> </w:t>
            </w:r>
            <w:r>
              <w:rPr>
                <w:sz w:val="20"/>
                <w:szCs w:val="20"/>
              </w:rPr>
              <w:t>von</w:t>
            </w:r>
            <w:r w:rsidRPr="00E50B51">
              <w:rPr>
                <w:sz w:val="20"/>
                <w:szCs w:val="20"/>
              </w:rPr>
              <w:t xml:space="preserve"> 1907 und dann in seinem Nachfolger, dem </w:t>
            </w:r>
            <w:proofErr w:type="spellStart"/>
            <w:r w:rsidRPr="00B45592">
              <w:rPr>
                <w:i/>
                <w:sz w:val="20"/>
                <w:szCs w:val="20"/>
              </w:rPr>
              <w:t>Nationality</w:t>
            </w:r>
            <w:proofErr w:type="spellEnd"/>
            <w:r w:rsidRPr="00B45592">
              <w:rPr>
                <w:i/>
                <w:sz w:val="20"/>
                <w:szCs w:val="20"/>
              </w:rPr>
              <w:t xml:space="preserve"> Act</w:t>
            </w:r>
            <w:r w:rsidRPr="00E50B51">
              <w:rPr>
                <w:sz w:val="20"/>
                <w:szCs w:val="20"/>
              </w:rPr>
              <w:t xml:space="preserve"> </w:t>
            </w:r>
            <w:r>
              <w:rPr>
                <w:sz w:val="20"/>
                <w:szCs w:val="20"/>
              </w:rPr>
              <w:t>von</w:t>
            </w:r>
            <w:r w:rsidRPr="00E50B51">
              <w:rPr>
                <w:sz w:val="20"/>
                <w:szCs w:val="20"/>
              </w:rPr>
              <w:t xml:space="preserve"> 1940. Diese Gesetze sind im Lichte der jeweiligen politischen Erklärungen der Regierung zu lesen,</w:t>
            </w:r>
            <w:r w:rsidRPr="00E50B51">
              <w:rPr>
                <w:rStyle w:val="Funotenzeichen"/>
                <w:rFonts w:eastAsiaTheme="majorEastAsia"/>
                <w:sz w:val="20"/>
                <w:szCs w:val="20"/>
              </w:rPr>
              <w:footnoteReference w:id="599"/>
            </w:r>
            <w:r w:rsidRPr="00E50B51">
              <w:rPr>
                <w:sz w:val="20"/>
                <w:szCs w:val="20"/>
              </w:rPr>
              <w:t xml:space="preserve"> </w:t>
            </w:r>
            <w:r>
              <w:rPr>
                <w:sz w:val="20"/>
                <w:szCs w:val="20"/>
              </w:rPr>
              <w:t>welche</w:t>
            </w:r>
            <w:r w:rsidRPr="00E50B51">
              <w:rPr>
                <w:sz w:val="20"/>
                <w:szCs w:val="20"/>
              </w:rPr>
              <w:t xml:space="preserve"> die Ausbürgerungsvoraussetzungen weiter spezifizierten. Diese Voraussetzungen für die Ausbürgerung seien grundlegend für einen Staat, damit dieser für sich entscheiden könne, wie er seine Bedingungen für Glück errichtet, so schrieb</w:t>
            </w:r>
            <w:r>
              <w:rPr>
                <w:sz w:val="20"/>
                <w:szCs w:val="20"/>
              </w:rPr>
              <w:t>en es</w:t>
            </w:r>
            <w:r w:rsidRPr="00E50B51">
              <w:rPr>
                <w:sz w:val="20"/>
                <w:szCs w:val="20"/>
              </w:rPr>
              <w:t xml:space="preserve"> der </w:t>
            </w:r>
            <w:r>
              <w:rPr>
                <w:sz w:val="20"/>
                <w:szCs w:val="20"/>
              </w:rPr>
              <w:t>U.S. Supreme Court</w:t>
            </w:r>
            <w:r w:rsidRPr="00E50B51">
              <w:rPr>
                <w:sz w:val="20"/>
                <w:szCs w:val="20"/>
              </w:rPr>
              <w:t xml:space="preserve"> und das im Urteil zitierte </w:t>
            </w:r>
            <w:r w:rsidRPr="00B45592">
              <w:rPr>
                <w:i/>
                <w:sz w:val="20"/>
                <w:szCs w:val="20"/>
              </w:rPr>
              <w:t>Digest of International Law</w:t>
            </w:r>
            <w:r w:rsidRPr="00E50B51">
              <w:rPr>
                <w:sz w:val="20"/>
                <w:szCs w:val="20"/>
              </w:rPr>
              <w:t>.</w:t>
            </w:r>
            <w:r w:rsidRPr="00E50B51">
              <w:rPr>
                <w:rStyle w:val="Funotenzeichen"/>
                <w:rFonts w:eastAsiaTheme="majorEastAsia"/>
                <w:sz w:val="20"/>
                <w:szCs w:val="20"/>
              </w:rPr>
              <w:footnoteReference w:id="600"/>
            </w:r>
          </w:p>
          <w:p w14:paraId="7A192B08" w14:textId="77777777" w:rsidR="00074551" w:rsidRPr="00E50B51" w:rsidRDefault="00074551" w:rsidP="00367133">
            <w:pPr>
              <w:jc w:val="both"/>
              <w:rPr>
                <w:sz w:val="20"/>
                <w:szCs w:val="20"/>
              </w:rPr>
            </w:pPr>
          </w:p>
        </w:tc>
      </w:tr>
      <w:tr w:rsidR="00074551" w:rsidRPr="00E50B51" w14:paraId="1FC39080" w14:textId="77777777" w:rsidTr="00BE689F">
        <w:trPr>
          <w:cantSplit/>
          <w:trHeight w:val="3175"/>
        </w:trPr>
        <w:tc>
          <w:tcPr>
            <w:tcW w:w="293" w:type="pct"/>
          </w:tcPr>
          <w:p w14:paraId="13756087"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904CB99" w14:textId="77777777" w:rsidR="00074551" w:rsidRPr="00E50B51" w:rsidRDefault="00074551" w:rsidP="00367133">
            <w:pPr>
              <w:ind w:right="416"/>
              <w:jc w:val="center"/>
              <w:rPr>
                <w:sz w:val="20"/>
                <w:szCs w:val="20"/>
              </w:rPr>
            </w:pPr>
            <w:r>
              <w:rPr>
                <w:sz w:val="20"/>
                <w:szCs w:val="20"/>
                <w:lang w:val="en-US"/>
              </w:rPr>
              <w:t>H</w:t>
            </w:r>
          </w:p>
        </w:tc>
        <w:tc>
          <w:tcPr>
            <w:tcW w:w="387" w:type="pct"/>
            <w:textDirection w:val="tbRl"/>
            <w:vAlign w:val="center"/>
          </w:tcPr>
          <w:p w14:paraId="68037B08" w14:textId="77777777" w:rsidR="00074551" w:rsidRPr="00B45592" w:rsidRDefault="00074551" w:rsidP="00367133">
            <w:pPr>
              <w:ind w:left="113" w:right="416"/>
              <w:jc w:val="both"/>
              <w:rPr>
                <w:i/>
                <w:sz w:val="20"/>
                <w:szCs w:val="20"/>
              </w:rPr>
            </w:pPr>
            <w:r w:rsidRPr="00B45592">
              <w:rPr>
                <w:i/>
                <w:sz w:val="20"/>
                <w:szCs w:val="20"/>
              </w:rPr>
              <w:t>Hicklin v. Orbeck</w:t>
            </w:r>
          </w:p>
        </w:tc>
        <w:tc>
          <w:tcPr>
            <w:tcW w:w="197" w:type="pct"/>
            <w:textDirection w:val="tbRl"/>
            <w:vAlign w:val="center"/>
          </w:tcPr>
          <w:p w14:paraId="6893C290" w14:textId="77777777" w:rsidR="00074551" w:rsidRPr="00E50B51" w:rsidRDefault="00074551" w:rsidP="00367133">
            <w:pPr>
              <w:ind w:left="113" w:right="113"/>
              <w:jc w:val="both"/>
              <w:rPr>
                <w:sz w:val="20"/>
                <w:szCs w:val="20"/>
                <w:lang w:val="en-US"/>
              </w:rPr>
            </w:pPr>
            <w:r w:rsidRPr="005D0846">
              <w:rPr>
                <w:sz w:val="20"/>
                <w:szCs w:val="20"/>
              </w:rPr>
              <w:t>437 U.S. 518</w:t>
            </w:r>
          </w:p>
        </w:tc>
        <w:tc>
          <w:tcPr>
            <w:tcW w:w="306" w:type="pct"/>
            <w:textDirection w:val="tbRl"/>
            <w:vAlign w:val="center"/>
          </w:tcPr>
          <w:p w14:paraId="079BF44B" w14:textId="77777777" w:rsidR="00074551" w:rsidRPr="00E50B51" w:rsidRDefault="00074551" w:rsidP="00367133">
            <w:pPr>
              <w:ind w:left="113" w:right="113"/>
              <w:jc w:val="both"/>
              <w:rPr>
                <w:sz w:val="20"/>
                <w:szCs w:val="20"/>
              </w:rPr>
            </w:pPr>
            <w:r>
              <w:rPr>
                <w:sz w:val="20"/>
                <w:szCs w:val="20"/>
              </w:rPr>
              <w:t>22. Juni 1978</w:t>
            </w:r>
          </w:p>
        </w:tc>
        <w:tc>
          <w:tcPr>
            <w:tcW w:w="401" w:type="pct"/>
          </w:tcPr>
          <w:p w14:paraId="04F79CE5" w14:textId="77777777" w:rsidR="00074551" w:rsidRPr="00E50B51" w:rsidRDefault="00074551" w:rsidP="00367133">
            <w:pPr>
              <w:jc w:val="center"/>
              <w:rPr>
                <w:sz w:val="20"/>
                <w:szCs w:val="20"/>
              </w:rPr>
            </w:pPr>
            <w:r>
              <w:rPr>
                <w:sz w:val="20"/>
                <w:szCs w:val="20"/>
                <w:lang w:val="en-US"/>
              </w:rPr>
              <w:t>M</w:t>
            </w:r>
          </w:p>
        </w:tc>
        <w:tc>
          <w:tcPr>
            <w:tcW w:w="1594" w:type="pct"/>
          </w:tcPr>
          <w:p w14:paraId="2A4AA0C9" w14:textId="5FD3300B" w:rsidR="00074551" w:rsidRPr="006156D2" w:rsidRDefault="00074551" w:rsidP="00367133">
            <w:pPr>
              <w:rPr>
                <w:sz w:val="20"/>
                <w:szCs w:val="20"/>
              </w:rPr>
            </w:pPr>
            <w:r w:rsidRPr="006156D2">
              <w:rPr>
                <w:sz w:val="20"/>
                <w:szCs w:val="20"/>
              </w:rPr>
              <w:t xml:space="preserve">Der </w:t>
            </w:r>
            <w:r>
              <w:rPr>
                <w:sz w:val="20"/>
                <w:szCs w:val="20"/>
              </w:rPr>
              <w:t>U.S. Supreme Court</w:t>
            </w:r>
            <w:r w:rsidRPr="006156D2">
              <w:rPr>
                <w:sz w:val="20"/>
                <w:szCs w:val="20"/>
              </w:rPr>
              <w:t xml:space="preserve"> entschied, dass das sog. Alaska</w:t>
            </w:r>
            <w:r>
              <w:rPr>
                <w:sz w:val="20"/>
                <w:szCs w:val="20"/>
              </w:rPr>
              <w:t>-</w:t>
            </w:r>
            <w:r w:rsidRPr="006156D2">
              <w:rPr>
                <w:sz w:val="20"/>
                <w:szCs w:val="20"/>
              </w:rPr>
              <w:t>Hire-Gesetz</w:t>
            </w:r>
            <w:r>
              <w:rPr>
                <w:sz w:val="20"/>
                <w:szCs w:val="20"/>
                <w:vertAlign w:val="superscript"/>
              </w:rPr>
              <w:t xml:space="preserve"> </w:t>
            </w:r>
            <w:r w:rsidRPr="006156D2">
              <w:rPr>
                <w:sz w:val="20"/>
                <w:szCs w:val="20"/>
              </w:rPr>
              <w:t>(vgl. Alaska Stat. von §</w:t>
            </w:r>
            <w:r>
              <w:rPr>
                <w:sz w:val="20"/>
                <w:szCs w:val="20"/>
              </w:rPr>
              <w:t>§ </w:t>
            </w:r>
            <w:r w:rsidRPr="006156D2">
              <w:rPr>
                <w:sz w:val="20"/>
                <w:szCs w:val="20"/>
              </w:rPr>
              <w:t>38.40.010 bis 38.40.090</w:t>
            </w:r>
            <w:r w:rsidRPr="006156D2">
              <w:rPr>
                <w:sz w:val="20"/>
                <w:szCs w:val="20"/>
                <w:vertAlign w:val="superscript"/>
              </w:rPr>
              <w:footnoteReference w:id="601"/>
            </w:r>
            <w:r w:rsidRPr="006156D2">
              <w:rPr>
                <w:sz w:val="20"/>
                <w:szCs w:val="20"/>
              </w:rPr>
              <w:t>) verfassungswidrig</w:t>
            </w:r>
            <w:r>
              <w:rPr>
                <w:sz w:val="20"/>
                <w:szCs w:val="20"/>
              </w:rPr>
              <w:t xml:space="preserve"> sei. D</w:t>
            </w:r>
            <w:r w:rsidRPr="006156D2">
              <w:rPr>
                <w:sz w:val="20"/>
                <w:szCs w:val="20"/>
              </w:rPr>
              <w:t xml:space="preserve">enn dieses habe Bewohner Alaskas bevorzugt, und zwar bei der Einstellung für Arbeiten an Pipelines. Die Kläger waren Nichtansässige in Alaska, die aber eine Arbeit an Pipelines in Alaska suchten. Die Kläger hatten das Gesetz als Verstoß gegen 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6156D2">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6156D2">
              <w:rPr>
                <w:sz w:val="20"/>
                <w:szCs w:val="20"/>
              </w:rPr>
              <w:t xml:space="preserve"> angefochten. Der </w:t>
            </w:r>
            <w:r>
              <w:rPr>
                <w:sz w:val="20"/>
                <w:szCs w:val="20"/>
              </w:rPr>
              <w:t>U.S. Supreme Court</w:t>
            </w:r>
            <w:r w:rsidRPr="006156D2">
              <w:rPr>
                <w:sz w:val="20"/>
                <w:szCs w:val="20"/>
              </w:rPr>
              <w:t xml:space="preserve"> hob das Urteil des </w:t>
            </w:r>
            <w:r w:rsidRPr="00B45592">
              <w:rPr>
                <w:i/>
                <w:sz w:val="20"/>
                <w:szCs w:val="20"/>
              </w:rPr>
              <w:t>Alaska Supreme Court</w:t>
            </w:r>
            <w:r>
              <w:rPr>
                <w:sz w:val="20"/>
                <w:szCs w:val="20"/>
              </w:rPr>
              <w:t xml:space="preserve"> </w:t>
            </w:r>
            <w:r w:rsidRPr="006156D2">
              <w:rPr>
                <w:sz w:val="20"/>
                <w:szCs w:val="20"/>
              </w:rPr>
              <w:t xml:space="preserve">auf, </w:t>
            </w:r>
            <w:r>
              <w:rPr>
                <w:sz w:val="20"/>
                <w:szCs w:val="20"/>
              </w:rPr>
              <w:t xml:space="preserve">welches </w:t>
            </w:r>
            <w:r w:rsidRPr="006156D2">
              <w:rPr>
                <w:sz w:val="20"/>
                <w:szCs w:val="20"/>
              </w:rPr>
              <w:t>das Alaska</w:t>
            </w:r>
            <w:r>
              <w:rPr>
                <w:sz w:val="20"/>
                <w:szCs w:val="20"/>
              </w:rPr>
              <w:t>-</w:t>
            </w:r>
            <w:r w:rsidRPr="006156D2">
              <w:rPr>
                <w:sz w:val="20"/>
                <w:szCs w:val="20"/>
              </w:rPr>
              <w:t xml:space="preserve">Hire-Gesetz noch bestätigt hatte. </w:t>
            </w:r>
            <w:r>
              <w:rPr>
                <w:sz w:val="20"/>
                <w:szCs w:val="20"/>
              </w:rPr>
              <w:t>Er</w:t>
            </w:r>
            <w:r w:rsidRPr="006156D2">
              <w:rPr>
                <w:sz w:val="20"/>
                <w:szCs w:val="20"/>
              </w:rPr>
              <w:t xml:space="preserve"> stellte fest</w:t>
            </w:r>
            <w:r>
              <w:rPr>
                <w:sz w:val="20"/>
                <w:szCs w:val="20"/>
              </w:rPr>
              <w:t xml:space="preserve">: </w:t>
            </w:r>
            <w:proofErr w:type="gramStart"/>
            <w:r>
              <w:rPr>
                <w:sz w:val="20"/>
                <w:szCs w:val="20"/>
              </w:rPr>
              <w:t>S</w:t>
            </w:r>
            <w:r w:rsidRPr="006156D2">
              <w:rPr>
                <w:sz w:val="20"/>
                <w:szCs w:val="20"/>
              </w:rPr>
              <w:t>elbst</w:t>
            </w:r>
            <w:proofErr w:type="gramEnd"/>
            <w:r w:rsidRPr="006156D2">
              <w:rPr>
                <w:sz w:val="20"/>
                <w:szCs w:val="20"/>
              </w:rPr>
              <w:t xml:space="preserve"> wenn es zulässig wäre, Nichtansässige zu diskriminieren, um </w:t>
            </w:r>
            <w:r>
              <w:rPr>
                <w:sz w:val="20"/>
                <w:szCs w:val="20"/>
              </w:rPr>
              <w:t xml:space="preserve">z.B. </w:t>
            </w:r>
            <w:r w:rsidRPr="006156D2">
              <w:rPr>
                <w:sz w:val="20"/>
                <w:szCs w:val="20"/>
              </w:rPr>
              <w:t xml:space="preserve">das Problem der Arbeitslosigkeit zu lindern, </w:t>
            </w:r>
            <w:r>
              <w:rPr>
                <w:sz w:val="20"/>
                <w:szCs w:val="20"/>
              </w:rPr>
              <w:t xml:space="preserve">habe </w:t>
            </w:r>
            <w:r w:rsidRPr="006156D2">
              <w:rPr>
                <w:sz w:val="20"/>
                <w:szCs w:val="20"/>
              </w:rPr>
              <w:t xml:space="preserve">Alaska nicht einmal nachweisen </w:t>
            </w:r>
            <w:r>
              <w:rPr>
                <w:sz w:val="20"/>
                <w:szCs w:val="20"/>
              </w:rPr>
              <w:t>können</w:t>
            </w:r>
            <w:r w:rsidRPr="006156D2">
              <w:rPr>
                <w:sz w:val="20"/>
                <w:szCs w:val="20"/>
              </w:rPr>
              <w:t>, dass Nichtansässige eine Quelle dieses Problems darstellten. Letzteres hätte aber das Gesetz beheben sollen. Außerdem führte der Umstand, das</w:t>
            </w:r>
            <w:r>
              <w:rPr>
                <w:sz w:val="20"/>
                <w:szCs w:val="20"/>
              </w:rPr>
              <w:t>s</w:t>
            </w:r>
            <w:r w:rsidRPr="006156D2">
              <w:rPr>
                <w:sz w:val="20"/>
                <w:szCs w:val="20"/>
              </w:rPr>
              <w:t xml:space="preserve"> Alaska Ressourcen wie Öl und Gas besaß, auf </w:t>
            </w:r>
            <w:r>
              <w:rPr>
                <w:sz w:val="20"/>
                <w:szCs w:val="20"/>
              </w:rPr>
              <w:t>den</w:t>
            </w:r>
            <w:r w:rsidRPr="006156D2">
              <w:rPr>
                <w:sz w:val="20"/>
                <w:szCs w:val="20"/>
              </w:rPr>
              <w:t xml:space="preserve"> sich das Gesetz </w:t>
            </w:r>
            <w:r>
              <w:rPr>
                <w:sz w:val="20"/>
                <w:szCs w:val="20"/>
              </w:rPr>
              <w:t xml:space="preserve">auch </w:t>
            </w:r>
            <w:r w:rsidRPr="006156D2">
              <w:rPr>
                <w:sz w:val="20"/>
                <w:szCs w:val="20"/>
              </w:rPr>
              <w:t xml:space="preserve">bezog, nicht dazu, </w:t>
            </w:r>
            <w:r>
              <w:rPr>
                <w:sz w:val="20"/>
                <w:szCs w:val="20"/>
              </w:rPr>
              <w:t>jene</w:t>
            </w:r>
            <w:r w:rsidRPr="006156D2">
              <w:rPr>
                <w:sz w:val="20"/>
                <w:szCs w:val="20"/>
              </w:rPr>
              <w:t xml:space="preserve"> von den Verboten der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Pr>
                <w:sz w:val="20"/>
                <w:szCs w:val="20"/>
              </w:rPr>
              <w:t xml:space="preserve"> </w:t>
            </w:r>
            <w:r w:rsidRPr="006156D2">
              <w:rPr>
                <w:sz w:val="20"/>
                <w:szCs w:val="20"/>
              </w:rPr>
              <w:t xml:space="preserve">auszunehmen. Daher hob der </w:t>
            </w:r>
            <w:r>
              <w:rPr>
                <w:sz w:val="20"/>
                <w:szCs w:val="20"/>
              </w:rPr>
              <w:t>U.S. Supreme Court</w:t>
            </w:r>
            <w:r w:rsidRPr="006156D2">
              <w:rPr>
                <w:sz w:val="20"/>
                <w:szCs w:val="20"/>
              </w:rPr>
              <w:t xml:space="preserve"> das </w:t>
            </w:r>
            <w:proofErr w:type="spellStart"/>
            <w:r w:rsidRPr="006156D2">
              <w:rPr>
                <w:sz w:val="20"/>
                <w:szCs w:val="20"/>
              </w:rPr>
              <w:t>vorinstanzielle</w:t>
            </w:r>
            <w:proofErr w:type="spellEnd"/>
            <w:r w:rsidRPr="006156D2">
              <w:rPr>
                <w:sz w:val="20"/>
                <w:szCs w:val="20"/>
              </w:rPr>
              <w:t xml:space="preserve"> Urteil auf, das das Alaska-</w:t>
            </w:r>
            <w:r>
              <w:rPr>
                <w:sz w:val="20"/>
                <w:szCs w:val="20"/>
              </w:rPr>
              <w:t>Hire-</w:t>
            </w:r>
            <w:r w:rsidRPr="006156D2">
              <w:rPr>
                <w:sz w:val="20"/>
                <w:szCs w:val="20"/>
              </w:rPr>
              <w:t>Gesetz bestätigt</w:t>
            </w:r>
            <w:r>
              <w:rPr>
                <w:sz w:val="20"/>
                <w:szCs w:val="20"/>
              </w:rPr>
              <w:t xml:space="preserve"> hatte</w:t>
            </w:r>
            <w:r w:rsidRPr="006156D2">
              <w:rPr>
                <w:sz w:val="20"/>
                <w:szCs w:val="20"/>
              </w:rPr>
              <w:t xml:space="preserve">, da kein Nachweis erbracht </w:t>
            </w:r>
            <w:r>
              <w:rPr>
                <w:sz w:val="20"/>
                <w:szCs w:val="20"/>
              </w:rPr>
              <w:t>worden sei</w:t>
            </w:r>
            <w:r w:rsidRPr="006156D2">
              <w:rPr>
                <w:sz w:val="20"/>
                <w:szCs w:val="20"/>
              </w:rPr>
              <w:t>, dass Nichtansässige eine Quelle der hohen Arbeitslosigkeit darstellten.</w:t>
            </w:r>
            <w:r>
              <w:rPr>
                <w:rStyle w:val="Funotenzeichen"/>
                <w:sz w:val="20"/>
                <w:szCs w:val="20"/>
              </w:rPr>
              <w:footnoteReference w:id="602"/>
            </w:r>
          </w:p>
          <w:p w14:paraId="0C06FD37" w14:textId="77777777" w:rsidR="00074551" w:rsidRPr="00E50B51" w:rsidRDefault="00074551" w:rsidP="00367133">
            <w:pPr>
              <w:jc w:val="both"/>
              <w:rPr>
                <w:sz w:val="20"/>
                <w:szCs w:val="20"/>
              </w:rPr>
            </w:pPr>
          </w:p>
        </w:tc>
        <w:tc>
          <w:tcPr>
            <w:tcW w:w="1822" w:type="pct"/>
          </w:tcPr>
          <w:p w14:paraId="032CD152" w14:textId="3E45EFF2" w:rsidR="00074551" w:rsidRPr="00B45592" w:rsidRDefault="00074551" w:rsidP="5B67C1D2">
            <w:pPr>
              <w:rPr>
                <w:sz w:val="20"/>
                <w:szCs w:val="20"/>
                <w:lang w:val="en-US"/>
              </w:rPr>
            </w:pPr>
            <w:r w:rsidRPr="5B67C1D2">
              <w:rPr>
                <w:i/>
                <w:iCs/>
                <w:sz w:val="20"/>
                <w:szCs w:val="20"/>
                <w:lang w:val="en-US"/>
              </w:rPr>
              <w:t>LexisNexis-</w:t>
            </w:r>
            <w:proofErr w:type="spellStart"/>
            <w:r w:rsidRPr="5B67C1D2">
              <w:rPr>
                <w:i/>
                <w:iCs/>
                <w:sz w:val="20"/>
                <w:szCs w:val="20"/>
                <w:lang w:val="en-US"/>
              </w:rPr>
              <w:t>Klassifikation</w:t>
            </w:r>
            <w:proofErr w:type="spellEnd"/>
            <w:r w:rsidRPr="5B67C1D2">
              <w:rPr>
                <w:i/>
                <w:iCs/>
                <w:sz w:val="20"/>
                <w:szCs w:val="20"/>
                <w:lang w:val="en-US"/>
              </w:rPr>
              <w:t>: Privileges and Immunities </w:t>
            </w:r>
            <w:r w:rsidRPr="5B67C1D2">
              <w:rPr>
                <w:sz w:val="20"/>
                <w:szCs w:val="20"/>
                <w:lang w:val="en-US"/>
              </w:rPr>
              <w:t xml:space="preserve">› </w:t>
            </w:r>
            <w:r w:rsidRPr="5B67C1D2">
              <w:rPr>
                <w:i/>
                <w:iCs/>
                <w:sz w:val="20"/>
                <w:szCs w:val="20"/>
                <w:lang w:val="en-US"/>
              </w:rPr>
              <w:t xml:space="preserve">Citizen </w:t>
            </w:r>
            <w:r w:rsidRPr="5B67C1D2">
              <w:rPr>
                <w:sz w:val="20"/>
                <w:szCs w:val="20"/>
                <w:lang w:val="en-US"/>
              </w:rPr>
              <w:t>›</w:t>
            </w:r>
            <w:r w:rsidRPr="5B67C1D2">
              <w:rPr>
                <w:i/>
                <w:iCs/>
                <w:sz w:val="20"/>
                <w:szCs w:val="20"/>
                <w:lang w:val="en-US"/>
              </w:rPr>
              <w:t xml:space="preserve"> Resident</w:t>
            </w:r>
          </w:p>
          <w:p w14:paraId="6966DBF4" w14:textId="77777777" w:rsidR="00074551" w:rsidRPr="00F46814" w:rsidRDefault="00074551" w:rsidP="00367133">
            <w:pPr>
              <w:rPr>
                <w:sz w:val="20"/>
                <w:szCs w:val="20"/>
                <w:lang w:val="en-US"/>
              </w:rPr>
            </w:pPr>
          </w:p>
          <w:p w14:paraId="2A10FD15" w14:textId="3B33F995" w:rsidR="00074551" w:rsidRDefault="00074551" w:rsidP="00367133">
            <w:pPr>
              <w:jc w:val="both"/>
              <w:rPr>
                <w:sz w:val="20"/>
                <w:szCs w:val="20"/>
              </w:rPr>
            </w:pPr>
            <w:r w:rsidRPr="00822FEA">
              <w:rPr>
                <w:sz w:val="20"/>
                <w:szCs w:val="20"/>
              </w:rPr>
              <w:t xml:space="preserve">Die Anfechtung der Kläger gegen </w:t>
            </w:r>
            <w:r>
              <w:rPr>
                <w:sz w:val="20"/>
                <w:szCs w:val="20"/>
              </w:rPr>
              <w:t xml:space="preserve">das </w:t>
            </w:r>
            <w:r w:rsidRPr="00822FEA">
              <w:rPr>
                <w:sz w:val="20"/>
                <w:szCs w:val="20"/>
              </w:rPr>
              <w:t>Alaska</w:t>
            </w:r>
            <w:r>
              <w:rPr>
                <w:sz w:val="20"/>
                <w:szCs w:val="20"/>
              </w:rPr>
              <w:t>-</w:t>
            </w:r>
            <w:r w:rsidRPr="00822FEA">
              <w:rPr>
                <w:sz w:val="20"/>
                <w:szCs w:val="20"/>
              </w:rPr>
              <w:t>Hire-Gesetz</w:t>
            </w:r>
            <w:r w:rsidRPr="00822FEA">
              <w:rPr>
                <w:sz w:val="20"/>
                <w:szCs w:val="20"/>
                <w:vertAlign w:val="superscript"/>
              </w:rPr>
              <w:t xml:space="preserve"> </w:t>
            </w:r>
            <w:r w:rsidRPr="00822FEA">
              <w:rPr>
                <w:sz w:val="20"/>
                <w:szCs w:val="20"/>
              </w:rPr>
              <w:t>(vgl. Alaska Stat. von §</w:t>
            </w:r>
            <w:r>
              <w:rPr>
                <w:sz w:val="20"/>
                <w:szCs w:val="20"/>
              </w:rPr>
              <w:t>§ </w:t>
            </w:r>
            <w:r w:rsidRPr="00822FEA">
              <w:rPr>
                <w:sz w:val="20"/>
                <w:szCs w:val="20"/>
              </w:rPr>
              <w:t>38.40.010 bis 38.40.090</w:t>
            </w:r>
            <w:r w:rsidRPr="00822FEA">
              <w:rPr>
                <w:sz w:val="20"/>
                <w:szCs w:val="20"/>
                <w:vertAlign w:val="superscript"/>
              </w:rPr>
              <w:footnoteReference w:id="603"/>
            </w:r>
            <w:r w:rsidRPr="00822FEA">
              <w:rPr>
                <w:sz w:val="20"/>
                <w:szCs w:val="20"/>
              </w:rPr>
              <w:t xml:space="preserve">) erfolgte auf Grundlage der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sidRPr="00822FEA">
              <w:rPr>
                <w:sz w:val="20"/>
                <w:szCs w:val="20"/>
                <w:vertAlign w:val="superscript"/>
              </w:rPr>
              <w:footnoteReference w:id="604"/>
            </w:r>
            <w:r w:rsidRPr="00822FEA">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822FEA">
              <w:rPr>
                <w:sz w:val="20"/>
                <w:szCs w:val="20"/>
              </w:rPr>
              <w:t xml:space="preserve"> Das Gesetz habe Bewohner Alaskas bevorzugt, und zwar bei der Einstellung für Arbeiten an Pipelines. Doch </w:t>
            </w:r>
            <w:r>
              <w:rPr>
                <w:sz w:val="20"/>
                <w:szCs w:val="20"/>
              </w:rPr>
              <w:t>in</w:t>
            </w:r>
            <w:r w:rsidRPr="00822FEA">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822FEA">
              <w:rPr>
                <w:sz w:val="20"/>
                <w:szCs w:val="20"/>
              </w:rPr>
              <w:t xml:space="preserve"> heißt es: Bürger jedes Bundesstaats sollen einen Anspruch auf alle Vorrechte und Immunitäten der Bürger in den anderen Bundesstaaten haben. </w:t>
            </w:r>
            <w:r>
              <w:rPr>
                <w:sz w:val="20"/>
                <w:szCs w:val="20"/>
              </w:rPr>
              <w:t>Aber</w:t>
            </w:r>
            <w:r w:rsidRPr="00822FEA">
              <w:rPr>
                <w:sz w:val="20"/>
                <w:szCs w:val="20"/>
              </w:rPr>
              <w:t xml:space="preserve"> was ist der genaue Zweck dieser Klausel bzw. woraus leite</w:t>
            </w:r>
            <w:r>
              <w:rPr>
                <w:sz w:val="20"/>
                <w:szCs w:val="20"/>
              </w:rPr>
              <w:t>t</w:t>
            </w:r>
            <w:r w:rsidRPr="00822FEA">
              <w:rPr>
                <w:sz w:val="20"/>
                <w:szCs w:val="20"/>
              </w:rPr>
              <w:t xml:space="preserve"> sich diese Regelungsrichtung ab? Den Zweck beschreibt </w:t>
            </w:r>
            <w:r w:rsidRPr="00B45592">
              <w:rPr>
                <w:i/>
                <w:sz w:val="20"/>
                <w:szCs w:val="20"/>
              </w:rPr>
              <w:t>Paul v. Virginia</w:t>
            </w:r>
            <w:r>
              <w:rPr>
                <w:sz w:val="20"/>
                <w:szCs w:val="20"/>
              </w:rPr>
              <w:t>:</w:t>
            </w:r>
            <w:r w:rsidRPr="00822FEA">
              <w:rPr>
                <w:sz w:val="20"/>
                <w:szCs w:val="20"/>
                <w:vertAlign w:val="superscript"/>
              </w:rPr>
              <w:footnoteReference w:id="605"/>
            </w:r>
            <w:r w:rsidRPr="00822FEA">
              <w:rPr>
                <w:sz w:val="20"/>
                <w:szCs w:val="20"/>
              </w:rPr>
              <w:t xml:space="preserve"> Die Klausel sichert </w:t>
            </w:r>
            <w:r>
              <w:rPr>
                <w:sz w:val="20"/>
                <w:szCs w:val="20"/>
              </w:rPr>
              <w:t>u.a.</w:t>
            </w:r>
            <w:r w:rsidRPr="00822FEA">
              <w:rPr>
                <w:sz w:val="20"/>
                <w:szCs w:val="20"/>
              </w:rPr>
              <w:t xml:space="preserve"> in anderen Bundesstaaten die gleichen grundlegenden Freiheiten zu, die die Bürger dieser Bundesstaaten beim Erwerb und bei der Nutzung des Eigentums und des Strebens nach Glück besitzen („it </w:t>
            </w:r>
            <w:proofErr w:type="spellStart"/>
            <w:r w:rsidRPr="00822FEA">
              <w:rPr>
                <w:sz w:val="20"/>
                <w:szCs w:val="20"/>
              </w:rPr>
              <w:t>insures</w:t>
            </w:r>
            <w:proofErr w:type="spellEnd"/>
            <w:r w:rsidRPr="00822FEA">
              <w:rPr>
                <w:sz w:val="20"/>
                <w:szCs w:val="20"/>
              </w:rPr>
              <w:t xml:space="preserve"> to </w:t>
            </w:r>
            <w:proofErr w:type="spellStart"/>
            <w:r w:rsidRPr="00822FEA">
              <w:rPr>
                <w:sz w:val="20"/>
                <w:szCs w:val="20"/>
              </w:rPr>
              <w:t>them</w:t>
            </w:r>
            <w:proofErr w:type="spellEnd"/>
            <w:r w:rsidRPr="00822FEA">
              <w:rPr>
                <w:sz w:val="20"/>
                <w:szCs w:val="20"/>
              </w:rPr>
              <w:t xml:space="preserve"> in </w:t>
            </w:r>
            <w:proofErr w:type="spellStart"/>
            <w:r w:rsidRPr="00822FEA">
              <w:rPr>
                <w:sz w:val="20"/>
                <w:szCs w:val="20"/>
              </w:rPr>
              <w:t>other</w:t>
            </w:r>
            <w:proofErr w:type="spellEnd"/>
            <w:r w:rsidRPr="00822FEA">
              <w:rPr>
                <w:sz w:val="20"/>
                <w:szCs w:val="20"/>
              </w:rPr>
              <w:t xml:space="preserve"> States the same </w:t>
            </w:r>
            <w:proofErr w:type="spellStart"/>
            <w:r w:rsidRPr="00822FEA">
              <w:rPr>
                <w:sz w:val="20"/>
                <w:szCs w:val="20"/>
              </w:rPr>
              <w:t>freedom</w:t>
            </w:r>
            <w:proofErr w:type="spellEnd"/>
            <w:r w:rsidRPr="00822FEA">
              <w:rPr>
                <w:sz w:val="20"/>
                <w:szCs w:val="20"/>
              </w:rPr>
              <w:t xml:space="preserve"> </w:t>
            </w:r>
            <w:proofErr w:type="spellStart"/>
            <w:r w:rsidRPr="00822FEA">
              <w:rPr>
                <w:sz w:val="20"/>
                <w:szCs w:val="20"/>
              </w:rPr>
              <w:t>possessed</w:t>
            </w:r>
            <w:proofErr w:type="spellEnd"/>
            <w:r w:rsidRPr="00822FEA">
              <w:rPr>
                <w:sz w:val="20"/>
                <w:szCs w:val="20"/>
              </w:rPr>
              <w:t xml:space="preserve"> by the </w:t>
            </w:r>
            <w:proofErr w:type="spellStart"/>
            <w:r w:rsidRPr="00822FEA">
              <w:rPr>
                <w:sz w:val="20"/>
                <w:szCs w:val="20"/>
              </w:rPr>
              <w:t>citizens</w:t>
            </w:r>
            <w:proofErr w:type="spellEnd"/>
            <w:r w:rsidRPr="00822FEA">
              <w:rPr>
                <w:sz w:val="20"/>
                <w:szCs w:val="20"/>
              </w:rPr>
              <w:t xml:space="preserve"> of </w:t>
            </w:r>
            <w:proofErr w:type="spellStart"/>
            <w:r w:rsidRPr="00822FEA">
              <w:rPr>
                <w:sz w:val="20"/>
                <w:szCs w:val="20"/>
              </w:rPr>
              <w:t>those</w:t>
            </w:r>
            <w:proofErr w:type="spellEnd"/>
            <w:r w:rsidRPr="00822FEA">
              <w:rPr>
                <w:sz w:val="20"/>
                <w:szCs w:val="20"/>
              </w:rPr>
              <w:t xml:space="preserve"> States in the </w:t>
            </w:r>
            <w:proofErr w:type="spellStart"/>
            <w:r w:rsidRPr="00822FEA">
              <w:rPr>
                <w:sz w:val="20"/>
                <w:szCs w:val="20"/>
              </w:rPr>
              <w:t>acquisition</w:t>
            </w:r>
            <w:proofErr w:type="spellEnd"/>
            <w:r w:rsidRPr="00822FEA">
              <w:rPr>
                <w:sz w:val="20"/>
                <w:szCs w:val="20"/>
              </w:rPr>
              <w:t xml:space="preserve"> and </w:t>
            </w:r>
            <w:proofErr w:type="spellStart"/>
            <w:r w:rsidRPr="00822FEA">
              <w:rPr>
                <w:sz w:val="20"/>
                <w:szCs w:val="20"/>
              </w:rPr>
              <w:t>enjoyment</w:t>
            </w:r>
            <w:proofErr w:type="spellEnd"/>
            <w:r w:rsidRPr="00822FEA">
              <w:rPr>
                <w:sz w:val="20"/>
                <w:szCs w:val="20"/>
              </w:rPr>
              <w:t xml:space="preserve"> of </w:t>
            </w:r>
            <w:proofErr w:type="spellStart"/>
            <w:r w:rsidRPr="00822FEA">
              <w:rPr>
                <w:sz w:val="20"/>
                <w:szCs w:val="20"/>
              </w:rPr>
              <w:t>property</w:t>
            </w:r>
            <w:proofErr w:type="spellEnd"/>
            <w:r w:rsidRPr="00822FEA">
              <w:rPr>
                <w:sz w:val="20"/>
                <w:szCs w:val="20"/>
              </w:rPr>
              <w:t xml:space="preserve"> and in the </w:t>
            </w:r>
            <w:proofErr w:type="spellStart"/>
            <w:r w:rsidRPr="00822FEA">
              <w:rPr>
                <w:sz w:val="20"/>
                <w:szCs w:val="20"/>
              </w:rPr>
              <w:t>pursuit</w:t>
            </w:r>
            <w:proofErr w:type="spellEnd"/>
            <w:r w:rsidRPr="00822FEA">
              <w:rPr>
                <w:sz w:val="20"/>
                <w:szCs w:val="20"/>
              </w:rPr>
              <w:t xml:space="preserve"> of </w:t>
            </w:r>
            <w:proofErr w:type="spellStart"/>
            <w:r w:rsidRPr="00822FEA">
              <w:rPr>
                <w:sz w:val="20"/>
                <w:szCs w:val="20"/>
              </w:rPr>
              <w:t>happiness</w:t>
            </w:r>
            <w:proofErr w:type="spellEnd"/>
            <w:r w:rsidRPr="00822FEA">
              <w:rPr>
                <w:sz w:val="20"/>
                <w:szCs w:val="20"/>
              </w:rPr>
              <w:t>“</w:t>
            </w:r>
            <w:r w:rsidRPr="00822FEA">
              <w:rPr>
                <w:sz w:val="20"/>
                <w:szCs w:val="20"/>
                <w:vertAlign w:val="superscript"/>
              </w:rPr>
              <w:footnoteReference w:id="606"/>
            </w:r>
            <w:r w:rsidRPr="00822FEA">
              <w:rPr>
                <w:sz w:val="20"/>
                <w:szCs w:val="20"/>
              </w:rPr>
              <w:t xml:space="preserve">). Doch wie wird </w:t>
            </w:r>
            <w:r>
              <w:rPr>
                <w:sz w:val="20"/>
                <w:szCs w:val="20"/>
              </w:rPr>
              <w:t>das</w:t>
            </w:r>
            <w:r w:rsidRPr="00822FEA">
              <w:rPr>
                <w:sz w:val="20"/>
                <w:szCs w:val="20"/>
              </w:rPr>
              <w:t xml:space="preserve"> </w:t>
            </w:r>
            <w:proofErr w:type="spellStart"/>
            <w:r w:rsidRPr="00B45592">
              <w:rPr>
                <w:i/>
                <w:iCs/>
                <w:sz w:val="20"/>
                <w:szCs w:val="20"/>
              </w:rPr>
              <w:t>pursuit</w:t>
            </w:r>
            <w:proofErr w:type="spellEnd"/>
            <w:r w:rsidRPr="00B45592">
              <w:rPr>
                <w:i/>
                <w:iCs/>
                <w:sz w:val="20"/>
                <w:szCs w:val="20"/>
              </w:rPr>
              <w:t xml:space="preserve"> of Happiness</w:t>
            </w:r>
            <w:r w:rsidRPr="00822FEA">
              <w:rPr>
                <w:sz w:val="20"/>
                <w:szCs w:val="20"/>
              </w:rPr>
              <w:t xml:space="preserve"> genau durch ein Gesetz, </w:t>
            </w:r>
            <w:r>
              <w:rPr>
                <w:sz w:val="20"/>
                <w:szCs w:val="20"/>
              </w:rPr>
              <w:t>d</w:t>
            </w:r>
            <w:r w:rsidRPr="00822FEA">
              <w:rPr>
                <w:sz w:val="20"/>
                <w:szCs w:val="20"/>
              </w:rPr>
              <w:t xml:space="preserve">as </w:t>
            </w:r>
            <w:r>
              <w:rPr>
                <w:sz w:val="20"/>
                <w:szCs w:val="20"/>
              </w:rPr>
              <w:t>z.B.</w:t>
            </w:r>
            <w:r w:rsidRPr="00822FEA">
              <w:rPr>
                <w:sz w:val="20"/>
                <w:szCs w:val="20"/>
              </w:rPr>
              <w:t xml:space="preserve"> diskriminierend wirk</w:t>
            </w:r>
            <w:r>
              <w:rPr>
                <w:sz w:val="20"/>
                <w:szCs w:val="20"/>
              </w:rPr>
              <w:t>t</w:t>
            </w:r>
            <w:r w:rsidRPr="00822FEA">
              <w:rPr>
                <w:sz w:val="20"/>
                <w:szCs w:val="20"/>
              </w:rPr>
              <w:t xml:space="preserve">, berührt? Die staatliche Diskriminierung gegen Nichtansässige, die ihren Beruf </w:t>
            </w:r>
            <w:r>
              <w:rPr>
                <w:sz w:val="20"/>
                <w:szCs w:val="20"/>
              </w:rPr>
              <w:t>ausüben</w:t>
            </w:r>
            <w:r w:rsidRPr="00822FEA">
              <w:rPr>
                <w:sz w:val="20"/>
                <w:szCs w:val="20"/>
              </w:rPr>
              <w:t xml:space="preserve">, ihrem Gewerbe nachgehen oder einer allgemeinen Berufung innerhalb des Staates nachgehen wollen, verstoße gegen das Recht auf ein gleiches Streben nach Glück, respektive die </w:t>
            </w:r>
            <w:proofErr w:type="spellStart"/>
            <w:r w:rsidRPr="00A142D9">
              <w:rPr>
                <w:i/>
                <w:sz w:val="20"/>
                <w:szCs w:val="20"/>
              </w:rPr>
              <w:t>Privileges</w:t>
            </w:r>
            <w:proofErr w:type="spellEnd"/>
            <w:r w:rsidRPr="00A142D9">
              <w:rPr>
                <w:i/>
                <w:sz w:val="20"/>
                <w:szCs w:val="20"/>
              </w:rPr>
              <w:t xml:space="preserve"> and </w:t>
            </w:r>
            <w:proofErr w:type="spellStart"/>
            <w:r w:rsidRPr="00A142D9">
              <w:rPr>
                <w:i/>
                <w:sz w:val="20"/>
                <w:szCs w:val="20"/>
              </w:rPr>
              <w:t>Immunities</w:t>
            </w:r>
            <w:proofErr w:type="spellEnd"/>
            <w:r w:rsidRPr="00A142D9">
              <w:rPr>
                <w:i/>
                <w:sz w:val="20"/>
                <w:szCs w:val="20"/>
              </w:rPr>
              <w:t xml:space="preserve"> </w:t>
            </w:r>
            <w:proofErr w:type="spellStart"/>
            <w:r w:rsidRPr="00A142D9">
              <w:rPr>
                <w:i/>
                <w:sz w:val="20"/>
                <w:szCs w:val="20"/>
              </w:rPr>
              <w:t>Clause</w:t>
            </w:r>
            <w:proofErr w:type="spellEnd"/>
            <w:r>
              <w:rPr>
                <w:sz w:val="20"/>
                <w:szCs w:val="20"/>
              </w:rPr>
              <w:t>, so der U.S. Supreme Court.</w:t>
            </w:r>
            <w:r w:rsidRPr="00822FEA">
              <w:rPr>
                <w:sz w:val="20"/>
                <w:szCs w:val="20"/>
                <w:vertAlign w:val="superscript"/>
              </w:rPr>
              <w:footnoteReference w:id="607"/>
            </w:r>
          </w:p>
          <w:p w14:paraId="68C9C626" w14:textId="77777777" w:rsidR="00074551" w:rsidRPr="00E50B51" w:rsidRDefault="00074551" w:rsidP="00367133">
            <w:pPr>
              <w:jc w:val="both"/>
              <w:rPr>
                <w:sz w:val="20"/>
                <w:szCs w:val="20"/>
              </w:rPr>
            </w:pPr>
          </w:p>
        </w:tc>
      </w:tr>
      <w:tr w:rsidR="00074551" w:rsidRPr="00E50B51" w14:paraId="5BC2AEF1" w14:textId="77777777" w:rsidTr="00BE689F">
        <w:trPr>
          <w:cantSplit/>
          <w:trHeight w:val="3175"/>
        </w:trPr>
        <w:tc>
          <w:tcPr>
            <w:tcW w:w="293" w:type="pct"/>
          </w:tcPr>
          <w:p w14:paraId="2C8B392C"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741D0913"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18F211AB" w14:textId="77777777" w:rsidR="00074551" w:rsidRPr="00B45592" w:rsidRDefault="00074551" w:rsidP="00367133">
            <w:pPr>
              <w:ind w:left="113" w:right="416"/>
              <w:jc w:val="both"/>
              <w:rPr>
                <w:i/>
                <w:sz w:val="20"/>
                <w:szCs w:val="20"/>
              </w:rPr>
            </w:pPr>
            <w:r w:rsidRPr="00B45592">
              <w:rPr>
                <w:i/>
                <w:sz w:val="20"/>
                <w:szCs w:val="20"/>
              </w:rPr>
              <w:t>La Tourette v. McMaster</w:t>
            </w:r>
          </w:p>
        </w:tc>
        <w:tc>
          <w:tcPr>
            <w:tcW w:w="197" w:type="pct"/>
            <w:textDirection w:val="tbRl"/>
            <w:vAlign w:val="center"/>
          </w:tcPr>
          <w:p w14:paraId="199C9907" w14:textId="77777777" w:rsidR="00074551" w:rsidRPr="005D0846" w:rsidRDefault="00074551" w:rsidP="00367133">
            <w:pPr>
              <w:ind w:left="113" w:right="113"/>
              <w:jc w:val="both"/>
              <w:rPr>
                <w:sz w:val="20"/>
                <w:szCs w:val="20"/>
              </w:rPr>
            </w:pPr>
            <w:r w:rsidRPr="00257307">
              <w:rPr>
                <w:sz w:val="20"/>
                <w:szCs w:val="20"/>
              </w:rPr>
              <w:t>248 U.S. 465</w:t>
            </w:r>
          </w:p>
        </w:tc>
        <w:tc>
          <w:tcPr>
            <w:tcW w:w="306" w:type="pct"/>
            <w:textDirection w:val="tbRl"/>
            <w:vAlign w:val="center"/>
          </w:tcPr>
          <w:p w14:paraId="27A75518" w14:textId="77777777" w:rsidR="00074551" w:rsidRDefault="00074551" w:rsidP="00367133">
            <w:pPr>
              <w:ind w:left="113" w:right="113"/>
              <w:jc w:val="both"/>
              <w:rPr>
                <w:sz w:val="20"/>
                <w:szCs w:val="20"/>
              </w:rPr>
            </w:pPr>
            <w:r>
              <w:rPr>
                <w:sz w:val="20"/>
                <w:szCs w:val="20"/>
                <w:lang w:val="en-US"/>
              </w:rPr>
              <w:t xml:space="preserve">20. </w:t>
            </w:r>
            <w:proofErr w:type="spellStart"/>
            <w:r>
              <w:rPr>
                <w:sz w:val="20"/>
                <w:szCs w:val="20"/>
                <w:lang w:val="en-US"/>
              </w:rPr>
              <w:t>Januar</w:t>
            </w:r>
            <w:proofErr w:type="spellEnd"/>
            <w:r>
              <w:rPr>
                <w:sz w:val="20"/>
                <w:szCs w:val="20"/>
                <w:lang w:val="en-US"/>
              </w:rPr>
              <w:t xml:space="preserve"> 1919</w:t>
            </w:r>
          </w:p>
        </w:tc>
        <w:tc>
          <w:tcPr>
            <w:tcW w:w="401" w:type="pct"/>
          </w:tcPr>
          <w:p w14:paraId="5978525C" w14:textId="77777777" w:rsidR="00074551" w:rsidRDefault="00074551" w:rsidP="00367133">
            <w:pPr>
              <w:jc w:val="center"/>
              <w:rPr>
                <w:sz w:val="20"/>
                <w:szCs w:val="20"/>
                <w:lang w:val="en-US"/>
              </w:rPr>
            </w:pPr>
            <w:r>
              <w:rPr>
                <w:sz w:val="20"/>
                <w:szCs w:val="20"/>
                <w:lang w:val="en-US"/>
              </w:rPr>
              <w:t>M</w:t>
            </w:r>
          </w:p>
        </w:tc>
        <w:tc>
          <w:tcPr>
            <w:tcW w:w="1594" w:type="pct"/>
          </w:tcPr>
          <w:p w14:paraId="77FC68B0" w14:textId="77777777" w:rsidR="00074551" w:rsidRPr="006156D2" w:rsidRDefault="00074551" w:rsidP="00367133">
            <w:pPr>
              <w:rPr>
                <w:sz w:val="20"/>
                <w:szCs w:val="20"/>
              </w:rPr>
            </w:pPr>
            <w:r>
              <w:rPr>
                <w:sz w:val="20"/>
                <w:szCs w:val="20"/>
              </w:rPr>
              <w:t>*</w:t>
            </w:r>
          </w:p>
        </w:tc>
        <w:tc>
          <w:tcPr>
            <w:tcW w:w="1822" w:type="pct"/>
          </w:tcPr>
          <w:p w14:paraId="29491CE7" w14:textId="77777777" w:rsidR="00074551" w:rsidRPr="00B45592" w:rsidRDefault="00074551" w:rsidP="00367133">
            <w:pPr>
              <w:rPr>
                <w:i/>
                <w:sz w:val="20"/>
                <w:szCs w:val="20"/>
              </w:rPr>
            </w:pPr>
            <w:r w:rsidRPr="00B45592">
              <w:rPr>
                <w:i/>
                <w:sz w:val="20"/>
                <w:szCs w:val="20"/>
              </w:rPr>
              <w:t>LexisNexis-Klassifikation: Citizenship/Scope</w:t>
            </w:r>
          </w:p>
          <w:p w14:paraId="74E69239" w14:textId="77777777" w:rsidR="00074551" w:rsidRDefault="00074551" w:rsidP="00367133">
            <w:pPr>
              <w:rPr>
                <w:b/>
                <w:bCs/>
                <w:sz w:val="20"/>
                <w:szCs w:val="20"/>
              </w:rPr>
            </w:pPr>
          </w:p>
          <w:p w14:paraId="4C847969" w14:textId="77777777" w:rsidR="00074551" w:rsidRDefault="00074551" w:rsidP="00367133">
            <w:pPr>
              <w:rPr>
                <w:sz w:val="20"/>
                <w:szCs w:val="20"/>
              </w:rPr>
            </w:pPr>
            <w:r w:rsidRPr="00F21F8C">
              <w:rPr>
                <w:sz w:val="20"/>
                <w:szCs w:val="20"/>
              </w:rPr>
              <w:t xml:space="preserve">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F21F8C">
              <w:rPr>
                <w:sz w:val="20"/>
                <w:szCs w:val="20"/>
              </w:rPr>
              <w:t xml:space="preserve"> setzt sich damit auseinander, ob ein Gesetz South Carolinas</w:t>
            </w:r>
            <w:r w:rsidRPr="00F21F8C">
              <w:rPr>
                <w:sz w:val="20"/>
                <w:szCs w:val="20"/>
                <w:vertAlign w:val="superscript"/>
              </w:rPr>
              <w:footnoteReference w:id="608"/>
            </w:r>
            <w:r w:rsidRPr="00F21F8C">
              <w:rPr>
                <w:sz w:val="20"/>
                <w:szCs w:val="20"/>
              </w:rPr>
              <w:t xml:space="preserve"> Bürger anderer Bundesstaaten diskriminiere, indem es </w:t>
            </w:r>
            <w:r>
              <w:rPr>
                <w:sz w:val="20"/>
                <w:szCs w:val="20"/>
              </w:rPr>
              <w:t xml:space="preserve">für </w:t>
            </w:r>
            <w:r w:rsidRPr="00F21F8C">
              <w:rPr>
                <w:sz w:val="20"/>
                <w:szCs w:val="20"/>
              </w:rPr>
              <w:t xml:space="preserve">eine </w:t>
            </w:r>
            <w:r w:rsidRPr="00CC4F6D">
              <w:rPr>
                <w:color w:val="000000" w:themeColor="text1"/>
                <w:sz w:val="20"/>
                <w:szCs w:val="20"/>
              </w:rPr>
              <w:t xml:space="preserve">Lizenz für Versicherungsgeschäfte einen Wohnsitz im Bundesstaat South Carolina voraussetzte. Dadurch könne es die </w:t>
            </w:r>
            <w:r>
              <w:rPr>
                <w:color w:val="000000" w:themeColor="text1"/>
                <w:sz w:val="20"/>
                <w:szCs w:val="20"/>
              </w:rPr>
              <w:t>U.S.</w:t>
            </w:r>
            <w:r w:rsidRPr="00CC4F6D">
              <w:rPr>
                <w:color w:val="000000" w:themeColor="text1"/>
                <w:sz w:val="20"/>
                <w:szCs w:val="20"/>
              </w:rPr>
              <w:t xml:space="preserve"> </w:t>
            </w:r>
            <w:proofErr w:type="spellStart"/>
            <w:r w:rsidRPr="00CC4F6D">
              <w:rPr>
                <w:color w:val="000000" w:themeColor="text1"/>
                <w:sz w:val="20"/>
                <w:szCs w:val="20"/>
              </w:rPr>
              <w:t>Const</w:t>
            </w:r>
            <w:proofErr w:type="spellEnd"/>
            <w:r w:rsidRPr="00CC4F6D">
              <w:rPr>
                <w:color w:val="000000" w:themeColor="text1"/>
                <w:sz w:val="20"/>
                <w:szCs w:val="20"/>
              </w:rPr>
              <w:t xml:space="preserve">. verletzen. Dieser These tritt der </w:t>
            </w:r>
            <w:r>
              <w:rPr>
                <w:color w:val="000000" w:themeColor="text1"/>
                <w:sz w:val="20"/>
                <w:szCs w:val="20"/>
              </w:rPr>
              <w:t>U.S. Supreme Court</w:t>
            </w:r>
            <w:r w:rsidRPr="00CC4F6D">
              <w:rPr>
                <w:color w:val="000000" w:themeColor="text1"/>
                <w:sz w:val="20"/>
                <w:szCs w:val="20"/>
              </w:rPr>
              <w:t xml:space="preserve"> dann aber selbst entgegen. Zunächst definiert er die Staatsbürgerschaft: Dieses Vorrecht eines Bürgers bestimme sich durch zwei Elemente. Einerseits wird es als </w:t>
            </w:r>
            <w:r w:rsidRPr="00F21F8C">
              <w:rPr>
                <w:sz w:val="20"/>
                <w:szCs w:val="20"/>
              </w:rPr>
              <w:t xml:space="preserve">das Recht bezeichnet, Glück und Sicherheit verfolgen und erlangen zu können („the </w:t>
            </w:r>
            <w:proofErr w:type="spellStart"/>
            <w:r w:rsidRPr="00F21F8C">
              <w:rPr>
                <w:sz w:val="20"/>
                <w:szCs w:val="20"/>
              </w:rPr>
              <w:t>privilege</w:t>
            </w:r>
            <w:proofErr w:type="spellEnd"/>
            <w:r w:rsidRPr="00F21F8C">
              <w:rPr>
                <w:sz w:val="20"/>
                <w:szCs w:val="20"/>
              </w:rPr>
              <w:t xml:space="preserve"> of a </w:t>
            </w:r>
            <w:proofErr w:type="spellStart"/>
            <w:r w:rsidRPr="00F21F8C">
              <w:rPr>
                <w:sz w:val="20"/>
                <w:szCs w:val="20"/>
              </w:rPr>
              <w:t>citizen</w:t>
            </w:r>
            <w:proofErr w:type="spellEnd"/>
            <w:r w:rsidRPr="00F21F8C">
              <w:rPr>
                <w:sz w:val="20"/>
                <w:szCs w:val="20"/>
              </w:rPr>
              <w:t xml:space="preserve"> </w:t>
            </w:r>
            <w:proofErr w:type="spellStart"/>
            <w:r w:rsidRPr="00F21F8C">
              <w:rPr>
                <w:sz w:val="20"/>
                <w:szCs w:val="20"/>
              </w:rPr>
              <w:t>is</w:t>
            </w:r>
            <w:proofErr w:type="spellEnd"/>
            <w:r w:rsidRPr="00F21F8C">
              <w:rPr>
                <w:sz w:val="20"/>
                <w:szCs w:val="20"/>
              </w:rPr>
              <w:t xml:space="preserve"> </w:t>
            </w:r>
            <w:proofErr w:type="spellStart"/>
            <w:r w:rsidRPr="00F21F8C">
              <w:rPr>
                <w:sz w:val="20"/>
                <w:szCs w:val="20"/>
              </w:rPr>
              <w:t>defined</w:t>
            </w:r>
            <w:proofErr w:type="spellEnd"/>
            <w:r w:rsidRPr="00F21F8C">
              <w:rPr>
                <w:sz w:val="20"/>
                <w:szCs w:val="20"/>
              </w:rPr>
              <w:t xml:space="preserve"> </w:t>
            </w:r>
            <w:proofErr w:type="gramStart"/>
            <w:r w:rsidRPr="00F21F8C">
              <w:rPr>
                <w:sz w:val="20"/>
                <w:szCs w:val="20"/>
              </w:rPr>
              <w:t xml:space="preserve">to </w:t>
            </w:r>
            <w:proofErr w:type="spellStart"/>
            <w:r w:rsidRPr="00F21F8C">
              <w:rPr>
                <w:sz w:val="20"/>
                <w:szCs w:val="20"/>
              </w:rPr>
              <w:t>be</w:t>
            </w:r>
            <w:proofErr w:type="spellEnd"/>
            <w:proofErr w:type="gramEnd"/>
            <w:r w:rsidRPr="00F21F8C">
              <w:rPr>
                <w:sz w:val="20"/>
                <w:szCs w:val="20"/>
              </w:rPr>
              <w:t xml:space="preserve"> ‚the </w:t>
            </w:r>
            <w:proofErr w:type="spellStart"/>
            <w:r w:rsidRPr="00F21F8C">
              <w:rPr>
                <w:sz w:val="20"/>
                <w:szCs w:val="20"/>
              </w:rPr>
              <w:t>right</w:t>
            </w:r>
            <w:proofErr w:type="spellEnd"/>
            <w:r w:rsidRPr="00F21F8C">
              <w:rPr>
                <w:sz w:val="20"/>
                <w:szCs w:val="20"/>
              </w:rPr>
              <w:t xml:space="preserve"> to </w:t>
            </w:r>
            <w:proofErr w:type="spellStart"/>
            <w:r w:rsidRPr="00F21F8C">
              <w:rPr>
                <w:sz w:val="20"/>
                <w:szCs w:val="20"/>
              </w:rPr>
              <w:t>pursue</w:t>
            </w:r>
            <w:proofErr w:type="spellEnd"/>
            <w:r w:rsidRPr="00F21F8C">
              <w:rPr>
                <w:sz w:val="20"/>
                <w:szCs w:val="20"/>
              </w:rPr>
              <w:t xml:space="preserve"> and </w:t>
            </w:r>
            <w:proofErr w:type="spellStart"/>
            <w:r w:rsidRPr="00F21F8C">
              <w:rPr>
                <w:sz w:val="20"/>
                <w:szCs w:val="20"/>
              </w:rPr>
              <w:t>obtain</w:t>
            </w:r>
            <w:proofErr w:type="spellEnd"/>
            <w:r w:rsidRPr="00F21F8C">
              <w:rPr>
                <w:sz w:val="20"/>
                <w:szCs w:val="20"/>
              </w:rPr>
              <w:t xml:space="preserve"> </w:t>
            </w:r>
            <w:proofErr w:type="spellStart"/>
            <w:r w:rsidRPr="00F21F8C">
              <w:rPr>
                <w:sz w:val="20"/>
                <w:szCs w:val="20"/>
              </w:rPr>
              <w:t>happiness</w:t>
            </w:r>
            <w:proofErr w:type="spellEnd"/>
            <w:r w:rsidRPr="00F21F8C">
              <w:rPr>
                <w:sz w:val="20"/>
                <w:szCs w:val="20"/>
              </w:rPr>
              <w:t xml:space="preserve"> and </w:t>
            </w:r>
            <w:proofErr w:type="spellStart"/>
            <w:r w:rsidRPr="00F21F8C">
              <w:rPr>
                <w:sz w:val="20"/>
                <w:szCs w:val="20"/>
              </w:rPr>
              <w:t>safety</w:t>
            </w:r>
            <w:proofErr w:type="spellEnd"/>
            <w:r>
              <w:rPr>
                <w:sz w:val="20"/>
                <w:szCs w:val="20"/>
              </w:rPr>
              <w:t>‘</w:t>
            </w:r>
            <w:r w:rsidRPr="00F21F8C">
              <w:rPr>
                <w:sz w:val="20"/>
                <w:szCs w:val="20"/>
              </w:rPr>
              <w:t>“</w:t>
            </w:r>
            <w:r w:rsidRPr="00F21F8C">
              <w:rPr>
                <w:sz w:val="20"/>
                <w:szCs w:val="20"/>
                <w:vertAlign w:val="superscript"/>
              </w:rPr>
              <w:footnoteReference w:id="609"/>
            </w:r>
            <w:r w:rsidRPr="00F21F8C">
              <w:rPr>
                <w:sz w:val="20"/>
                <w:szCs w:val="20"/>
              </w:rPr>
              <w:t>)</w:t>
            </w:r>
            <w:r>
              <w:rPr>
                <w:sz w:val="20"/>
                <w:szCs w:val="20"/>
              </w:rPr>
              <w:t>,</w:t>
            </w:r>
            <w:r w:rsidRPr="00F21F8C">
              <w:rPr>
                <w:sz w:val="20"/>
                <w:szCs w:val="20"/>
              </w:rPr>
              <w:t xml:space="preserve"> und </w:t>
            </w:r>
            <w:r>
              <w:rPr>
                <w:sz w:val="20"/>
                <w:szCs w:val="20"/>
              </w:rPr>
              <w:t>andererseits jedem</w:t>
            </w:r>
            <w:r w:rsidRPr="00F21F8C">
              <w:rPr>
                <w:sz w:val="20"/>
                <w:szCs w:val="20"/>
              </w:rPr>
              <w:t xml:space="preserve"> rechtmäßigen Geschäft oder Beruf nachgehen zu können, in einer Weise, die die gleichen Rechten anderer unverletzt lasse („to </w:t>
            </w:r>
            <w:proofErr w:type="spellStart"/>
            <w:r w:rsidRPr="00F21F8C">
              <w:rPr>
                <w:sz w:val="20"/>
                <w:szCs w:val="20"/>
              </w:rPr>
              <w:t>pursue</w:t>
            </w:r>
            <w:proofErr w:type="spellEnd"/>
            <w:r w:rsidRPr="00F21F8C">
              <w:rPr>
                <w:sz w:val="20"/>
                <w:szCs w:val="20"/>
              </w:rPr>
              <w:t xml:space="preserve"> </w:t>
            </w:r>
            <w:proofErr w:type="spellStart"/>
            <w:r w:rsidRPr="00F21F8C">
              <w:rPr>
                <w:sz w:val="20"/>
                <w:szCs w:val="20"/>
              </w:rPr>
              <w:t>any</w:t>
            </w:r>
            <w:proofErr w:type="spellEnd"/>
            <w:r w:rsidRPr="00F21F8C">
              <w:rPr>
                <w:sz w:val="20"/>
                <w:szCs w:val="20"/>
              </w:rPr>
              <w:t xml:space="preserve"> </w:t>
            </w:r>
            <w:proofErr w:type="spellStart"/>
            <w:r w:rsidRPr="00F21F8C">
              <w:rPr>
                <w:sz w:val="20"/>
                <w:szCs w:val="20"/>
              </w:rPr>
              <w:t>lawful</w:t>
            </w:r>
            <w:proofErr w:type="spellEnd"/>
            <w:r w:rsidRPr="00F21F8C">
              <w:rPr>
                <w:sz w:val="20"/>
                <w:szCs w:val="20"/>
              </w:rPr>
              <w:t xml:space="preserve"> </w:t>
            </w:r>
            <w:proofErr w:type="spellStart"/>
            <w:r w:rsidRPr="00F21F8C">
              <w:rPr>
                <w:sz w:val="20"/>
                <w:szCs w:val="20"/>
              </w:rPr>
              <w:t>business</w:t>
            </w:r>
            <w:proofErr w:type="spellEnd"/>
            <w:r w:rsidRPr="00F21F8C">
              <w:rPr>
                <w:sz w:val="20"/>
                <w:szCs w:val="20"/>
              </w:rPr>
              <w:t xml:space="preserve"> </w:t>
            </w:r>
            <w:proofErr w:type="spellStart"/>
            <w:r w:rsidRPr="00F21F8C">
              <w:rPr>
                <w:sz w:val="20"/>
                <w:szCs w:val="20"/>
              </w:rPr>
              <w:t>or</w:t>
            </w:r>
            <w:proofErr w:type="spellEnd"/>
            <w:r w:rsidRPr="00F21F8C">
              <w:rPr>
                <w:sz w:val="20"/>
                <w:szCs w:val="20"/>
              </w:rPr>
              <w:t xml:space="preserve"> </w:t>
            </w:r>
            <w:proofErr w:type="spellStart"/>
            <w:r w:rsidRPr="00F21F8C">
              <w:rPr>
                <w:sz w:val="20"/>
                <w:szCs w:val="20"/>
              </w:rPr>
              <w:t>vocation</w:t>
            </w:r>
            <w:proofErr w:type="spellEnd"/>
            <w:r w:rsidRPr="00F21F8C">
              <w:rPr>
                <w:sz w:val="20"/>
                <w:szCs w:val="20"/>
              </w:rPr>
              <w:t xml:space="preserve">, in </w:t>
            </w:r>
            <w:proofErr w:type="spellStart"/>
            <w:r w:rsidRPr="00F21F8C">
              <w:rPr>
                <w:sz w:val="20"/>
                <w:szCs w:val="20"/>
              </w:rPr>
              <w:t>any</w:t>
            </w:r>
            <w:proofErr w:type="spellEnd"/>
            <w:r w:rsidRPr="00F21F8C">
              <w:rPr>
                <w:sz w:val="20"/>
                <w:szCs w:val="20"/>
              </w:rPr>
              <w:t xml:space="preserve"> </w:t>
            </w:r>
            <w:proofErr w:type="spellStart"/>
            <w:r w:rsidRPr="00F21F8C">
              <w:rPr>
                <w:sz w:val="20"/>
                <w:szCs w:val="20"/>
              </w:rPr>
              <w:t>manner</w:t>
            </w:r>
            <w:proofErr w:type="spellEnd"/>
            <w:r w:rsidRPr="00F21F8C">
              <w:rPr>
                <w:sz w:val="20"/>
                <w:szCs w:val="20"/>
              </w:rPr>
              <w:t xml:space="preserve"> not </w:t>
            </w:r>
            <w:proofErr w:type="spellStart"/>
            <w:r w:rsidRPr="00F21F8C">
              <w:rPr>
                <w:sz w:val="20"/>
                <w:szCs w:val="20"/>
              </w:rPr>
              <w:t>inconsistent</w:t>
            </w:r>
            <w:proofErr w:type="spellEnd"/>
            <w:r w:rsidRPr="00F21F8C">
              <w:rPr>
                <w:sz w:val="20"/>
                <w:szCs w:val="20"/>
              </w:rPr>
              <w:t xml:space="preserve"> </w:t>
            </w:r>
            <w:proofErr w:type="spellStart"/>
            <w:r w:rsidRPr="00F21F8C">
              <w:rPr>
                <w:sz w:val="20"/>
                <w:szCs w:val="20"/>
              </w:rPr>
              <w:t>with</w:t>
            </w:r>
            <w:proofErr w:type="spellEnd"/>
            <w:r w:rsidRPr="00F21F8C">
              <w:rPr>
                <w:sz w:val="20"/>
                <w:szCs w:val="20"/>
              </w:rPr>
              <w:t xml:space="preserve"> the </w:t>
            </w:r>
            <w:proofErr w:type="spellStart"/>
            <w:r w:rsidRPr="00F21F8C">
              <w:rPr>
                <w:sz w:val="20"/>
                <w:szCs w:val="20"/>
              </w:rPr>
              <w:t>equal</w:t>
            </w:r>
            <w:proofErr w:type="spellEnd"/>
            <w:r w:rsidRPr="00F21F8C">
              <w:rPr>
                <w:sz w:val="20"/>
                <w:szCs w:val="20"/>
              </w:rPr>
              <w:t xml:space="preserve"> </w:t>
            </w:r>
            <w:proofErr w:type="spellStart"/>
            <w:r w:rsidRPr="00F21F8C">
              <w:rPr>
                <w:sz w:val="20"/>
                <w:szCs w:val="20"/>
              </w:rPr>
              <w:t>rights</w:t>
            </w:r>
            <w:proofErr w:type="spellEnd"/>
            <w:r w:rsidRPr="00F21F8C">
              <w:rPr>
                <w:sz w:val="20"/>
                <w:szCs w:val="20"/>
              </w:rPr>
              <w:t xml:space="preserve"> of </w:t>
            </w:r>
            <w:proofErr w:type="spellStart"/>
            <w:r w:rsidRPr="00F21F8C">
              <w:rPr>
                <w:sz w:val="20"/>
                <w:szCs w:val="20"/>
              </w:rPr>
              <w:t>others</w:t>
            </w:r>
            <w:proofErr w:type="spellEnd"/>
            <w:r w:rsidRPr="00F21F8C">
              <w:rPr>
                <w:sz w:val="20"/>
                <w:szCs w:val="20"/>
              </w:rPr>
              <w:t>“</w:t>
            </w:r>
            <w:r w:rsidRPr="00F21F8C">
              <w:rPr>
                <w:sz w:val="20"/>
                <w:szCs w:val="20"/>
                <w:vertAlign w:val="superscript"/>
              </w:rPr>
              <w:t xml:space="preserve"> </w:t>
            </w:r>
            <w:r w:rsidRPr="00F21F8C">
              <w:rPr>
                <w:sz w:val="20"/>
                <w:szCs w:val="20"/>
                <w:vertAlign w:val="superscript"/>
              </w:rPr>
              <w:footnoteReference w:id="610"/>
            </w:r>
            <w:r w:rsidRPr="00F21F8C">
              <w:rPr>
                <w:sz w:val="20"/>
                <w:szCs w:val="20"/>
              </w:rPr>
              <w:t xml:space="preserve">). Und die Rechte, die ein Bundesstaat seinen Bürgern </w:t>
            </w:r>
            <w:r>
              <w:rPr>
                <w:sz w:val="20"/>
                <w:szCs w:val="20"/>
              </w:rPr>
              <w:t xml:space="preserve">innerhalb seiner Gerichtsbarkeit </w:t>
            </w:r>
            <w:r w:rsidRPr="00F21F8C">
              <w:rPr>
                <w:sz w:val="20"/>
                <w:szCs w:val="20"/>
              </w:rPr>
              <w:t xml:space="preserve">gewähre, </w:t>
            </w:r>
            <w:r>
              <w:rPr>
                <w:sz w:val="20"/>
                <w:szCs w:val="20"/>
              </w:rPr>
              <w:t>gäben</w:t>
            </w:r>
            <w:r w:rsidRPr="00F21F8C">
              <w:rPr>
                <w:sz w:val="20"/>
                <w:szCs w:val="20"/>
              </w:rPr>
              <w:t xml:space="preserve"> das Maß für die Rechte der Bürger anderer Bundesstaat</w:t>
            </w:r>
            <w:r>
              <w:rPr>
                <w:sz w:val="20"/>
                <w:szCs w:val="20"/>
              </w:rPr>
              <w:t>en</w:t>
            </w:r>
            <w:r w:rsidRPr="00F21F8C">
              <w:rPr>
                <w:sz w:val="20"/>
                <w:szCs w:val="20"/>
              </w:rPr>
              <w:t xml:space="preserve"> vor („</w:t>
            </w:r>
            <w:proofErr w:type="spellStart"/>
            <w:r w:rsidRPr="00F21F8C">
              <w:rPr>
                <w:sz w:val="20"/>
                <w:szCs w:val="20"/>
              </w:rPr>
              <w:t>whatever</w:t>
            </w:r>
            <w:proofErr w:type="spellEnd"/>
            <w:r w:rsidRPr="00F21F8C">
              <w:rPr>
                <w:sz w:val="20"/>
                <w:szCs w:val="20"/>
              </w:rPr>
              <w:t xml:space="preserve"> </w:t>
            </w:r>
            <w:proofErr w:type="spellStart"/>
            <w:r w:rsidRPr="00F21F8C">
              <w:rPr>
                <w:sz w:val="20"/>
                <w:szCs w:val="20"/>
              </w:rPr>
              <w:t>rights</w:t>
            </w:r>
            <w:proofErr w:type="spellEnd"/>
            <w:r w:rsidRPr="00F21F8C">
              <w:rPr>
                <w:sz w:val="20"/>
                <w:szCs w:val="20"/>
              </w:rPr>
              <w:t xml:space="preserve"> a State </w:t>
            </w:r>
            <w:proofErr w:type="spellStart"/>
            <w:r w:rsidRPr="00F21F8C">
              <w:rPr>
                <w:sz w:val="20"/>
                <w:szCs w:val="20"/>
              </w:rPr>
              <w:t>grants</w:t>
            </w:r>
            <w:proofErr w:type="spellEnd"/>
            <w:r w:rsidRPr="00F21F8C">
              <w:rPr>
                <w:sz w:val="20"/>
                <w:szCs w:val="20"/>
              </w:rPr>
              <w:t xml:space="preserve"> to </w:t>
            </w:r>
            <w:proofErr w:type="spellStart"/>
            <w:r w:rsidRPr="00F21F8C">
              <w:rPr>
                <w:sz w:val="20"/>
                <w:szCs w:val="20"/>
              </w:rPr>
              <w:t>its</w:t>
            </w:r>
            <w:proofErr w:type="spellEnd"/>
            <w:r w:rsidRPr="00F21F8C">
              <w:rPr>
                <w:sz w:val="20"/>
                <w:szCs w:val="20"/>
              </w:rPr>
              <w:t xml:space="preserve"> own </w:t>
            </w:r>
            <w:proofErr w:type="spellStart"/>
            <w:r w:rsidRPr="00F21F8C">
              <w:rPr>
                <w:sz w:val="20"/>
                <w:szCs w:val="20"/>
              </w:rPr>
              <w:t>citizens</w:t>
            </w:r>
            <w:proofErr w:type="spellEnd"/>
            <w:r w:rsidRPr="00F21F8C">
              <w:rPr>
                <w:sz w:val="20"/>
                <w:szCs w:val="20"/>
              </w:rPr>
              <w:t xml:space="preserve"> </w:t>
            </w:r>
            <w:proofErr w:type="spellStart"/>
            <w:r w:rsidRPr="00F21F8C">
              <w:rPr>
                <w:sz w:val="20"/>
                <w:szCs w:val="20"/>
              </w:rPr>
              <w:t>are</w:t>
            </w:r>
            <w:proofErr w:type="spellEnd"/>
            <w:r w:rsidRPr="00F21F8C">
              <w:rPr>
                <w:sz w:val="20"/>
                <w:szCs w:val="20"/>
              </w:rPr>
              <w:t xml:space="preserve"> the </w:t>
            </w:r>
            <w:proofErr w:type="spellStart"/>
            <w:r w:rsidRPr="00F21F8C">
              <w:rPr>
                <w:sz w:val="20"/>
                <w:szCs w:val="20"/>
              </w:rPr>
              <w:t>measure</w:t>
            </w:r>
            <w:proofErr w:type="spellEnd"/>
            <w:r w:rsidRPr="00F21F8C">
              <w:rPr>
                <w:sz w:val="20"/>
                <w:szCs w:val="20"/>
              </w:rPr>
              <w:t xml:space="preserve"> </w:t>
            </w:r>
            <w:proofErr w:type="spellStart"/>
            <w:r w:rsidRPr="00F21F8C">
              <w:rPr>
                <w:sz w:val="20"/>
                <w:szCs w:val="20"/>
              </w:rPr>
              <w:t>within</w:t>
            </w:r>
            <w:proofErr w:type="spellEnd"/>
            <w:r w:rsidRPr="00F21F8C">
              <w:rPr>
                <w:sz w:val="20"/>
                <w:szCs w:val="20"/>
              </w:rPr>
              <w:t xml:space="preserve"> </w:t>
            </w:r>
            <w:proofErr w:type="spellStart"/>
            <w:r w:rsidRPr="00F21F8C">
              <w:rPr>
                <w:sz w:val="20"/>
                <w:szCs w:val="20"/>
              </w:rPr>
              <w:t>its</w:t>
            </w:r>
            <w:proofErr w:type="spellEnd"/>
            <w:r w:rsidRPr="00F21F8C">
              <w:rPr>
                <w:sz w:val="20"/>
                <w:szCs w:val="20"/>
              </w:rPr>
              <w:t xml:space="preserve"> </w:t>
            </w:r>
            <w:proofErr w:type="spellStart"/>
            <w:r w:rsidRPr="00F21F8C">
              <w:rPr>
                <w:sz w:val="20"/>
                <w:szCs w:val="20"/>
              </w:rPr>
              <w:t>jurisdiction</w:t>
            </w:r>
            <w:proofErr w:type="spellEnd"/>
            <w:r w:rsidRPr="00F21F8C">
              <w:rPr>
                <w:sz w:val="20"/>
                <w:szCs w:val="20"/>
              </w:rPr>
              <w:t xml:space="preserve"> of the </w:t>
            </w:r>
            <w:proofErr w:type="spellStart"/>
            <w:r w:rsidRPr="00F21F8C">
              <w:rPr>
                <w:sz w:val="20"/>
                <w:szCs w:val="20"/>
              </w:rPr>
              <w:t>rights</w:t>
            </w:r>
            <w:proofErr w:type="spellEnd"/>
            <w:r w:rsidRPr="00F21F8C">
              <w:rPr>
                <w:sz w:val="20"/>
                <w:szCs w:val="20"/>
              </w:rPr>
              <w:t xml:space="preserve"> of the </w:t>
            </w:r>
            <w:proofErr w:type="spellStart"/>
            <w:r w:rsidRPr="00F21F8C">
              <w:rPr>
                <w:sz w:val="20"/>
                <w:szCs w:val="20"/>
              </w:rPr>
              <w:t>citizens</w:t>
            </w:r>
            <w:proofErr w:type="spellEnd"/>
            <w:r w:rsidRPr="00F21F8C">
              <w:rPr>
                <w:sz w:val="20"/>
                <w:szCs w:val="20"/>
              </w:rPr>
              <w:t xml:space="preserve"> of </w:t>
            </w:r>
            <w:proofErr w:type="spellStart"/>
            <w:r w:rsidRPr="00F21F8C">
              <w:rPr>
                <w:sz w:val="20"/>
                <w:szCs w:val="20"/>
              </w:rPr>
              <w:t>other</w:t>
            </w:r>
            <w:proofErr w:type="spellEnd"/>
            <w:r w:rsidRPr="00F21F8C">
              <w:rPr>
                <w:sz w:val="20"/>
                <w:szCs w:val="20"/>
              </w:rPr>
              <w:t xml:space="preserve"> States, and for </w:t>
            </w:r>
            <w:proofErr w:type="spellStart"/>
            <w:r w:rsidRPr="00F21F8C">
              <w:rPr>
                <w:sz w:val="20"/>
                <w:szCs w:val="20"/>
              </w:rPr>
              <w:t>these</w:t>
            </w:r>
            <w:proofErr w:type="spellEnd"/>
            <w:r w:rsidRPr="00F21F8C">
              <w:rPr>
                <w:sz w:val="20"/>
                <w:szCs w:val="20"/>
              </w:rPr>
              <w:t xml:space="preserve"> </w:t>
            </w:r>
            <w:proofErr w:type="spellStart"/>
            <w:r w:rsidRPr="00F21F8C">
              <w:rPr>
                <w:sz w:val="20"/>
                <w:szCs w:val="20"/>
              </w:rPr>
              <w:t>propositions</w:t>
            </w:r>
            <w:proofErr w:type="spellEnd"/>
            <w:r w:rsidRPr="00F21F8C">
              <w:rPr>
                <w:sz w:val="20"/>
                <w:szCs w:val="20"/>
              </w:rPr>
              <w:t>“</w:t>
            </w:r>
            <w:r w:rsidRPr="00F21F8C">
              <w:rPr>
                <w:sz w:val="20"/>
                <w:szCs w:val="20"/>
                <w:vertAlign w:val="superscript"/>
              </w:rPr>
              <w:footnoteReference w:id="611"/>
            </w:r>
            <w:r w:rsidRPr="00F21F8C">
              <w:rPr>
                <w:sz w:val="20"/>
                <w:szCs w:val="20"/>
              </w:rPr>
              <w:t xml:space="preserve">). Aber Gerichte </w:t>
            </w:r>
            <w:r>
              <w:rPr>
                <w:sz w:val="20"/>
                <w:szCs w:val="20"/>
              </w:rPr>
              <w:t>hätten</w:t>
            </w:r>
            <w:r w:rsidRPr="00F21F8C">
              <w:rPr>
                <w:sz w:val="20"/>
                <w:szCs w:val="20"/>
              </w:rPr>
              <w:t xml:space="preserve"> zwischen Staatsbürgerschaft und Einwohnern bzw. dem Wohnsitz zu unterscheiden. Und das sei die Absicht des streitgegenständlichen Gesetzes</w:t>
            </w:r>
            <w:r>
              <w:rPr>
                <w:sz w:val="20"/>
                <w:szCs w:val="20"/>
              </w:rPr>
              <w:t>; g</w:t>
            </w:r>
            <w:r w:rsidRPr="00F21F8C">
              <w:rPr>
                <w:sz w:val="20"/>
                <w:szCs w:val="20"/>
              </w:rPr>
              <w:t xml:space="preserve">enau dadurch diskriminiere es nicht. Vielmehr bewirke das Gesetz, </w:t>
            </w:r>
            <w:r>
              <w:rPr>
                <w:sz w:val="20"/>
                <w:szCs w:val="20"/>
              </w:rPr>
              <w:t>das</w:t>
            </w:r>
            <w:r w:rsidRPr="00F21F8C">
              <w:rPr>
                <w:sz w:val="20"/>
                <w:szCs w:val="20"/>
              </w:rPr>
              <w:t xml:space="preserve"> seine Voraussetzungen sowohl für Bürger des Bundesstaats South Carolina als auch für Bürger anderer Bundesstaaten g</w:t>
            </w:r>
            <w:r>
              <w:rPr>
                <w:sz w:val="20"/>
                <w:szCs w:val="20"/>
              </w:rPr>
              <w:t>ä</w:t>
            </w:r>
            <w:r w:rsidRPr="00F21F8C">
              <w:rPr>
                <w:sz w:val="20"/>
                <w:szCs w:val="20"/>
              </w:rPr>
              <w:t xml:space="preserve">lten. Denn Wohnsitz und Staatsbürgerschaft unterscheiden sich, so die </w:t>
            </w:r>
            <w:proofErr w:type="spellStart"/>
            <w:r w:rsidRPr="00B45592">
              <w:rPr>
                <w:i/>
                <w:iCs/>
                <w:sz w:val="20"/>
                <w:szCs w:val="20"/>
              </w:rPr>
              <w:t>majority</w:t>
            </w:r>
            <w:proofErr w:type="spellEnd"/>
            <w:r w:rsidRPr="00B45592">
              <w:rPr>
                <w:i/>
                <w:iCs/>
                <w:sz w:val="20"/>
                <w:szCs w:val="20"/>
              </w:rPr>
              <w:t xml:space="preserve"> </w:t>
            </w:r>
            <w:proofErr w:type="spellStart"/>
            <w:r w:rsidRPr="00B45592">
              <w:rPr>
                <w:i/>
                <w:iCs/>
                <w:sz w:val="20"/>
                <w:szCs w:val="20"/>
              </w:rPr>
              <w:t>opinion</w:t>
            </w:r>
            <w:proofErr w:type="spellEnd"/>
            <w:r w:rsidRPr="00F21F8C">
              <w:rPr>
                <w:sz w:val="20"/>
                <w:szCs w:val="20"/>
              </w:rPr>
              <w:t>.</w:t>
            </w:r>
            <w:r w:rsidRPr="00F21F8C">
              <w:rPr>
                <w:sz w:val="20"/>
                <w:szCs w:val="20"/>
                <w:vertAlign w:val="superscript"/>
              </w:rPr>
              <w:footnoteReference w:id="612"/>
            </w:r>
          </w:p>
          <w:p w14:paraId="11328FC8" w14:textId="77777777" w:rsidR="00074551" w:rsidRPr="00CC4F6D" w:rsidRDefault="00074551" w:rsidP="00367133">
            <w:pPr>
              <w:rPr>
                <w:sz w:val="20"/>
                <w:szCs w:val="20"/>
              </w:rPr>
            </w:pPr>
          </w:p>
        </w:tc>
      </w:tr>
      <w:tr w:rsidR="00074551" w:rsidRPr="00E50B51" w14:paraId="5E0E10CA" w14:textId="77777777" w:rsidTr="00A15DB3">
        <w:trPr>
          <w:cantSplit/>
          <w:trHeight w:val="3175"/>
        </w:trPr>
        <w:tc>
          <w:tcPr>
            <w:tcW w:w="293" w:type="pct"/>
            <w:shd w:val="clear" w:color="auto" w:fill="E7E6E6" w:themeFill="background2"/>
          </w:tcPr>
          <w:p w14:paraId="56BE31BC"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5986DF7F"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2639020D" w14:textId="77777777" w:rsidR="00074551" w:rsidRPr="00E50B51" w:rsidRDefault="00074551" w:rsidP="00367133">
            <w:pPr>
              <w:ind w:left="113" w:right="113"/>
              <w:jc w:val="both"/>
              <w:rPr>
                <w:sz w:val="20"/>
                <w:szCs w:val="20"/>
                <w:lang w:val="en-US"/>
              </w:rPr>
            </w:pPr>
            <w:r w:rsidRPr="00BE3728">
              <w:rPr>
                <w:sz w:val="20"/>
                <w:szCs w:val="20"/>
                <w:lang w:val="en-US"/>
              </w:rPr>
              <w:t>Citizenship</w:t>
            </w:r>
          </w:p>
        </w:tc>
        <w:tc>
          <w:tcPr>
            <w:tcW w:w="306" w:type="pct"/>
            <w:shd w:val="clear" w:color="auto" w:fill="E7E6E6" w:themeFill="background2"/>
            <w:textDirection w:val="tbRl"/>
            <w:vAlign w:val="center"/>
          </w:tcPr>
          <w:p w14:paraId="74106A50" w14:textId="77777777" w:rsidR="00074551" w:rsidRPr="00E50B51" w:rsidRDefault="00074551" w:rsidP="00367133">
            <w:pPr>
              <w:ind w:left="113" w:right="113"/>
              <w:jc w:val="both"/>
              <w:rPr>
                <w:sz w:val="20"/>
                <w:szCs w:val="20"/>
              </w:rPr>
            </w:pPr>
            <w:r w:rsidRPr="00BE3728">
              <w:rPr>
                <w:sz w:val="20"/>
                <w:szCs w:val="20"/>
                <w:lang w:val="en-US"/>
              </w:rPr>
              <w:t>Immigration Law</w:t>
            </w:r>
          </w:p>
        </w:tc>
        <w:tc>
          <w:tcPr>
            <w:tcW w:w="401" w:type="pct"/>
            <w:shd w:val="clear" w:color="auto" w:fill="E7E6E6" w:themeFill="background2"/>
            <w:textDirection w:val="tbRl"/>
          </w:tcPr>
          <w:p w14:paraId="34CB64BE" w14:textId="77777777" w:rsidR="00074551" w:rsidRDefault="00074551" w:rsidP="00367133">
            <w:pPr>
              <w:ind w:left="113" w:right="113"/>
              <w:rPr>
                <w:sz w:val="20"/>
                <w:szCs w:val="20"/>
                <w:lang w:val="en-US"/>
              </w:rPr>
            </w:pPr>
          </w:p>
          <w:p w14:paraId="79E4933A" w14:textId="77777777" w:rsidR="00074551" w:rsidRPr="00E50B51" w:rsidRDefault="00074551" w:rsidP="00367133">
            <w:pPr>
              <w:ind w:left="113" w:right="113"/>
              <w:rPr>
                <w:sz w:val="20"/>
                <w:szCs w:val="20"/>
              </w:rPr>
            </w:pPr>
            <w:r w:rsidRPr="00BE3728">
              <w:rPr>
                <w:sz w:val="20"/>
                <w:szCs w:val="20"/>
                <w:lang w:val="en-US"/>
              </w:rPr>
              <w:t>Types of US Citizenship</w:t>
            </w:r>
          </w:p>
        </w:tc>
        <w:tc>
          <w:tcPr>
            <w:tcW w:w="1594" w:type="pct"/>
            <w:shd w:val="clear" w:color="auto" w:fill="E7E6E6" w:themeFill="background2"/>
            <w:vAlign w:val="center"/>
          </w:tcPr>
          <w:p w14:paraId="50F11FD7" w14:textId="77777777" w:rsidR="00074551" w:rsidRPr="00E50B51" w:rsidRDefault="00074551" w:rsidP="00367133">
            <w:pPr>
              <w:jc w:val="both"/>
              <w:rPr>
                <w:sz w:val="20"/>
                <w:szCs w:val="20"/>
              </w:rPr>
            </w:pPr>
          </w:p>
        </w:tc>
        <w:tc>
          <w:tcPr>
            <w:tcW w:w="1822" w:type="pct"/>
            <w:shd w:val="clear" w:color="auto" w:fill="E7E6E6" w:themeFill="background2"/>
          </w:tcPr>
          <w:p w14:paraId="4D5F5A0A" w14:textId="7D383CF8" w:rsidR="00074551" w:rsidRPr="00E50B51" w:rsidRDefault="00A15DB3" w:rsidP="00A15DB3">
            <w:pPr>
              <w:rPr>
                <w:sz w:val="20"/>
                <w:szCs w:val="20"/>
              </w:rPr>
            </w:pPr>
            <w:r w:rsidRPr="00A15DB3">
              <w:rPr>
                <w:i/>
                <w:iCs/>
                <w:sz w:val="16"/>
                <w:szCs w:val="20"/>
              </w:rPr>
              <w:t>Thematische Gliederung der nachfolgenden Entscheidungen ↓</w:t>
            </w:r>
          </w:p>
        </w:tc>
      </w:tr>
      <w:tr w:rsidR="00074551" w:rsidRPr="00E50B51" w14:paraId="6D5C074F" w14:textId="77777777" w:rsidTr="00BE689F">
        <w:trPr>
          <w:cantSplit/>
          <w:trHeight w:val="3175"/>
        </w:trPr>
        <w:tc>
          <w:tcPr>
            <w:tcW w:w="293" w:type="pct"/>
          </w:tcPr>
          <w:p w14:paraId="5CA70972"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0F22421E" w14:textId="77777777" w:rsidR="00074551" w:rsidRPr="00B45592" w:rsidRDefault="00074551" w:rsidP="00367133">
            <w:pPr>
              <w:ind w:left="113" w:right="416"/>
              <w:jc w:val="both"/>
              <w:rPr>
                <w:i/>
                <w:sz w:val="20"/>
                <w:szCs w:val="20"/>
              </w:rPr>
            </w:pPr>
            <w:r w:rsidRPr="00B45592">
              <w:rPr>
                <w:i/>
                <w:sz w:val="20"/>
                <w:szCs w:val="20"/>
              </w:rPr>
              <w:t>Luria v. United States</w:t>
            </w:r>
          </w:p>
        </w:tc>
        <w:tc>
          <w:tcPr>
            <w:tcW w:w="197" w:type="pct"/>
            <w:textDirection w:val="tbRl"/>
            <w:vAlign w:val="center"/>
          </w:tcPr>
          <w:p w14:paraId="304F3B5C" w14:textId="77777777" w:rsidR="00074551" w:rsidRPr="00E50B51" w:rsidRDefault="00074551" w:rsidP="00367133">
            <w:pPr>
              <w:ind w:left="113" w:right="113"/>
              <w:jc w:val="both"/>
              <w:rPr>
                <w:sz w:val="20"/>
                <w:szCs w:val="20"/>
                <w:lang w:val="en-US"/>
              </w:rPr>
            </w:pPr>
            <w:r w:rsidRPr="00BE3728">
              <w:rPr>
                <w:sz w:val="20"/>
                <w:szCs w:val="20"/>
              </w:rPr>
              <w:t>231 U.S. 9</w:t>
            </w:r>
          </w:p>
        </w:tc>
        <w:tc>
          <w:tcPr>
            <w:tcW w:w="306" w:type="pct"/>
            <w:textDirection w:val="tbRl"/>
            <w:vAlign w:val="center"/>
          </w:tcPr>
          <w:p w14:paraId="6AA516AE" w14:textId="77777777" w:rsidR="00074551" w:rsidRPr="00BE3728" w:rsidRDefault="00074551" w:rsidP="00367133">
            <w:pPr>
              <w:ind w:left="113" w:right="113"/>
              <w:jc w:val="both"/>
              <w:rPr>
                <w:sz w:val="20"/>
                <w:szCs w:val="20"/>
              </w:rPr>
            </w:pPr>
            <w:r w:rsidRPr="00BE3728">
              <w:rPr>
                <w:sz w:val="20"/>
                <w:szCs w:val="20"/>
              </w:rPr>
              <w:t xml:space="preserve">20. Oktober </w:t>
            </w:r>
            <w:r>
              <w:rPr>
                <w:sz w:val="20"/>
                <w:szCs w:val="20"/>
              </w:rPr>
              <w:t>19</w:t>
            </w:r>
            <w:r w:rsidRPr="00BE3728">
              <w:rPr>
                <w:sz w:val="20"/>
                <w:szCs w:val="20"/>
              </w:rPr>
              <w:t>13</w:t>
            </w:r>
          </w:p>
          <w:p w14:paraId="5A63FE61" w14:textId="77777777" w:rsidR="00074551" w:rsidRPr="00E50B51" w:rsidRDefault="00074551" w:rsidP="00367133">
            <w:pPr>
              <w:ind w:left="113" w:right="113"/>
              <w:jc w:val="both"/>
              <w:rPr>
                <w:sz w:val="20"/>
                <w:szCs w:val="20"/>
              </w:rPr>
            </w:pPr>
          </w:p>
        </w:tc>
        <w:tc>
          <w:tcPr>
            <w:tcW w:w="401" w:type="pct"/>
          </w:tcPr>
          <w:p w14:paraId="4922C207"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557A6ADF"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erachtete die Entscheidungen der Vorinstanzen für gerechtfertigt, eine Einbürgerungsurkunde aufzuheben. Der Kläger beantragte, das Urteil des </w:t>
            </w:r>
            <w:bookmarkStart w:id="37" w:name="_Hlk224547916"/>
            <w:r w:rsidRPr="00B45592">
              <w:rPr>
                <w:i/>
                <w:sz w:val="20"/>
                <w:szCs w:val="20"/>
              </w:rPr>
              <w:t xml:space="preserve">U.S. </w:t>
            </w:r>
            <w:proofErr w:type="spellStart"/>
            <w:r w:rsidRPr="00B45592">
              <w:rPr>
                <w:i/>
                <w:sz w:val="20"/>
                <w:szCs w:val="20"/>
              </w:rPr>
              <w:t>District</w:t>
            </w:r>
            <w:proofErr w:type="spellEnd"/>
            <w:r w:rsidRPr="00B45592">
              <w:rPr>
                <w:i/>
                <w:sz w:val="20"/>
                <w:szCs w:val="20"/>
              </w:rPr>
              <w:t xml:space="preserve"> Court for the Southern </w:t>
            </w:r>
            <w:proofErr w:type="spellStart"/>
            <w:r w:rsidRPr="00B45592">
              <w:rPr>
                <w:i/>
                <w:sz w:val="20"/>
                <w:szCs w:val="20"/>
              </w:rPr>
              <w:t>District</w:t>
            </w:r>
            <w:proofErr w:type="spellEnd"/>
            <w:r w:rsidRPr="00B45592">
              <w:rPr>
                <w:i/>
                <w:sz w:val="20"/>
                <w:szCs w:val="20"/>
              </w:rPr>
              <w:t xml:space="preserve"> of New York</w:t>
            </w:r>
            <w:r w:rsidRPr="00BE3728">
              <w:rPr>
                <w:sz w:val="20"/>
                <w:szCs w:val="20"/>
              </w:rPr>
              <w:t xml:space="preserve"> </w:t>
            </w:r>
            <w:bookmarkEnd w:id="37"/>
            <w:r w:rsidRPr="00BE3728">
              <w:rPr>
                <w:sz w:val="20"/>
                <w:szCs w:val="20"/>
              </w:rPr>
              <w:t xml:space="preserve">zu überprüfen. </w:t>
            </w:r>
            <w:r>
              <w:rPr>
                <w:sz w:val="20"/>
                <w:szCs w:val="20"/>
              </w:rPr>
              <w:t>Dieses</w:t>
            </w:r>
            <w:r w:rsidRPr="00BE3728">
              <w:rPr>
                <w:sz w:val="20"/>
                <w:szCs w:val="20"/>
              </w:rPr>
              <w:t xml:space="preserve"> hatte </w:t>
            </w:r>
            <w:r>
              <w:rPr>
                <w:sz w:val="20"/>
                <w:szCs w:val="20"/>
              </w:rPr>
              <w:t>die</w:t>
            </w:r>
            <w:r w:rsidRPr="00BE3728">
              <w:rPr>
                <w:sz w:val="20"/>
                <w:szCs w:val="20"/>
              </w:rPr>
              <w:t xml:space="preserve"> aufgrund von Täuschung erlangte Einbürgerungsurkunde </w:t>
            </w:r>
            <w:r>
              <w:rPr>
                <w:sz w:val="20"/>
                <w:szCs w:val="20"/>
              </w:rPr>
              <w:t xml:space="preserve">des Klägers </w:t>
            </w:r>
            <w:r w:rsidRPr="00BE3728">
              <w:rPr>
                <w:sz w:val="20"/>
                <w:szCs w:val="20"/>
              </w:rPr>
              <w:t xml:space="preserve">für nichtig erklärt. Denn kurz nach Erhalt der Einbürgerungsurkunde </w:t>
            </w:r>
            <w:r>
              <w:rPr>
                <w:sz w:val="20"/>
                <w:szCs w:val="20"/>
              </w:rPr>
              <w:t>hatte</w:t>
            </w:r>
            <w:r w:rsidRPr="00BE3728">
              <w:rPr>
                <w:sz w:val="20"/>
                <w:szCs w:val="20"/>
              </w:rPr>
              <w:t xml:space="preserve"> der Kläger seinen Wohnsitz in Südafrika</w:t>
            </w:r>
            <w:r>
              <w:rPr>
                <w:sz w:val="20"/>
                <w:szCs w:val="20"/>
              </w:rPr>
              <w:t xml:space="preserve"> etabliert</w:t>
            </w:r>
            <w:r w:rsidRPr="00BE3728">
              <w:rPr>
                <w:sz w:val="20"/>
                <w:szCs w:val="20"/>
              </w:rPr>
              <w:t>. Das galt nach </w:t>
            </w:r>
            <w:r>
              <w:rPr>
                <w:sz w:val="20"/>
                <w:szCs w:val="20"/>
              </w:rPr>
              <w:t>§ </w:t>
            </w:r>
            <w:r w:rsidRPr="00BE3728">
              <w:rPr>
                <w:sz w:val="20"/>
                <w:szCs w:val="20"/>
              </w:rPr>
              <w:t xml:space="preserve">15 </w:t>
            </w:r>
            <w:r>
              <w:rPr>
                <w:sz w:val="20"/>
                <w:szCs w:val="20"/>
              </w:rPr>
              <w:t>des</w:t>
            </w:r>
            <w:r w:rsidRPr="00BE3728">
              <w:rPr>
                <w:sz w:val="20"/>
                <w:szCs w:val="20"/>
              </w:rPr>
              <w:t xml:space="preserve"> </w:t>
            </w:r>
            <w:r w:rsidRPr="00B45592">
              <w:rPr>
                <w:i/>
                <w:sz w:val="20"/>
                <w:szCs w:val="20"/>
              </w:rPr>
              <w:t>Act of June 29, 1906</w:t>
            </w:r>
            <w:r w:rsidRPr="00BE3728">
              <w:rPr>
                <w:rStyle w:val="Funotenzeichen"/>
                <w:sz w:val="20"/>
                <w:szCs w:val="20"/>
              </w:rPr>
              <w:footnoteReference w:id="613"/>
            </w:r>
            <w:r w:rsidRPr="00BE3728">
              <w:rPr>
                <w:sz w:val="20"/>
                <w:szCs w:val="20"/>
              </w:rPr>
              <w:t xml:space="preserve"> </w:t>
            </w:r>
            <w:r w:rsidRPr="00B45592">
              <w:rPr>
                <w:i/>
                <w:sz w:val="20"/>
                <w:szCs w:val="20"/>
              </w:rPr>
              <w:t>prima facie</w:t>
            </w:r>
            <w:r w:rsidRPr="00BE3728">
              <w:rPr>
                <w:sz w:val="20"/>
                <w:szCs w:val="20"/>
              </w:rPr>
              <w:t xml:space="preserve"> als Beweis für das Fehlen der Absicht, dauerhafter Bürger der USA werden zu wollen. Und der Kläger lieferte keine hinreichenden Beweise, die diese Vermutung widerleg</w:t>
            </w:r>
            <w:r>
              <w:rPr>
                <w:sz w:val="20"/>
                <w:szCs w:val="20"/>
              </w:rPr>
              <w:t>t hätten</w:t>
            </w:r>
            <w:r w:rsidRPr="00BE3728">
              <w:rPr>
                <w:sz w:val="20"/>
                <w:szCs w:val="20"/>
              </w:rPr>
              <w:t xml:space="preserve">. Der </w:t>
            </w:r>
            <w:r>
              <w:rPr>
                <w:sz w:val="20"/>
                <w:szCs w:val="20"/>
              </w:rPr>
              <w:t>U.S. Supreme Court</w:t>
            </w:r>
            <w:r w:rsidRPr="00BE3728">
              <w:rPr>
                <w:sz w:val="20"/>
                <w:szCs w:val="20"/>
              </w:rPr>
              <w:t xml:space="preserve"> erachtete das genannte Gesetz für verfassungskonform, obwohl es eine widerlegbare Vermutung zuungunsten des Staatsbürgers </w:t>
            </w:r>
            <w:r>
              <w:rPr>
                <w:sz w:val="20"/>
                <w:szCs w:val="20"/>
              </w:rPr>
              <w:t>vorsah</w:t>
            </w:r>
            <w:r w:rsidRPr="00BE3728">
              <w:rPr>
                <w:sz w:val="20"/>
                <w:szCs w:val="20"/>
              </w:rPr>
              <w:t xml:space="preserve">. Denn der Urkundeninhaber, also </w:t>
            </w:r>
            <w:r>
              <w:rPr>
                <w:sz w:val="20"/>
                <w:szCs w:val="20"/>
              </w:rPr>
              <w:t xml:space="preserve">der </w:t>
            </w:r>
            <w:r w:rsidRPr="00BE3728">
              <w:rPr>
                <w:sz w:val="20"/>
                <w:szCs w:val="20"/>
              </w:rPr>
              <w:t xml:space="preserve">Staatsbürger, hatte die abstrakte Möglichkeit, diese Vermutung zu entkräften. Der Kläger vermochte </w:t>
            </w:r>
            <w:r>
              <w:rPr>
                <w:sz w:val="20"/>
                <w:szCs w:val="20"/>
              </w:rPr>
              <w:t xml:space="preserve">jedoch </w:t>
            </w:r>
            <w:r w:rsidRPr="00BE3728">
              <w:rPr>
                <w:sz w:val="20"/>
                <w:szCs w:val="20"/>
              </w:rPr>
              <w:t>nicht seinen Absichtsmangel zu widerlegen, dauerhaft Einwohner der USA zu sein.</w:t>
            </w:r>
            <w:r w:rsidRPr="00BE3728">
              <w:rPr>
                <w:rStyle w:val="Funotenzeichen"/>
                <w:sz w:val="20"/>
                <w:szCs w:val="20"/>
              </w:rPr>
              <w:footnoteReference w:id="614"/>
            </w:r>
          </w:p>
        </w:tc>
        <w:tc>
          <w:tcPr>
            <w:tcW w:w="1822" w:type="pct"/>
          </w:tcPr>
          <w:p w14:paraId="5462CF2B"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Immigration Law › Types of US Citizenship › General Overview</w:t>
            </w:r>
          </w:p>
          <w:p w14:paraId="6DB27C82" w14:textId="77777777" w:rsidR="00074551" w:rsidRDefault="00074551" w:rsidP="00367133">
            <w:pPr>
              <w:jc w:val="both"/>
              <w:rPr>
                <w:sz w:val="20"/>
                <w:szCs w:val="20"/>
              </w:rPr>
            </w:pPr>
            <w:r w:rsidRPr="002E1085">
              <w:rPr>
                <w:sz w:val="20"/>
                <w:szCs w:val="20"/>
              </w:rPr>
              <w:br/>
            </w:r>
            <w:r w:rsidRPr="00BE3728">
              <w:rPr>
                <w:sz w:val="20"/>
                <w:szCs w:val="20"/>
              </w:rPr>
              <w:t xml:space="preserve">Staatsbürgerschaft meint Mitgliedschaft in einer politischen Gesellschaft. Sie impliziert eine Treuepflicht des Mitglieds sowie eine Schutzpflicht der Gesellschaft. Diese Verpflichtungen sind wechselseitig. In diesem Rahmen und laut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stehen naturalisierte Bürger in allen Belangen auf gleicher Stufe mit Bürgern von Geburt, ausgenommen davon sei nur das Amt des </w:t>
            </w:r>
            <w:r>
              <w:rPr>
                <w:sz w:val="20"/>
                <w:szCs w:val="20"/>
              </w:rPr>
              <w:t>US-Präsidenten</w:t>
            </w:r>
            <w:r w:rsidRPr="00BE3728">
              <w:rPr>
                <w:sz w:val="20"/>
                <w:szCs w:val="20"/>
              </w:rPr>
              <w:t>.</w:t>
            </w:r>
            <w:r w:rsidRPr="00BE3728">
              <w:rPr>
                <w:rStyle w:val="Funotenzeichen"/>
                <w:sz w:val="20"/>
                <w:szCs w:val="20"/>
              </w:rPr>
              <w:footnoteReference w:id="615"/>
            </w:r>
          </w:p>
          <w:p w14:paraId="735F89E6" w14:textId="77777777" w:rsidR="00074551" w:rsidRDefault="00074551" w:rsidP="00367133">
            <w:pPr>
              <w:jc w:val="both"/>
              <w:rPr>
                <w:sz w:val="20"/>
                <w:szCs w:val="20"/>
              </w:rPr>
            </w:pPr>
          </w:p>
          <w:p w14:paraId="333A345E" w14:textId="77777777" w:rsidR="00074551" w:rsidRDefault="00074551" w:rsidP="00367133">
            <w:pPr>
              <w:jc w:val="both"/>
              <w:rPr>
                <w:sz w:val="20"/>
                <w:szCs w:val="20"/>
              </w:rPr>
            </w:pPr>
            <w:r w:rsidRPr="00BE3728">
              <w:rPr>
                <w:sz w:val="20"/>
                <w:szCs w:val="20"/>
              </w:rPr>
              <w:t>Die Naturalisierungsgesetze (</w:t>
            </w:r>
            <w:proofErr w:type="spellStart"/>
            <w:r w:rsidRPr="00B45592">
              <w:rPr>
                <w:i/>
                <w:sz w:val="20"/>
                <w:szCs w:val="20"/>
              </w:rPr>
              <w:t>naturalization</w:t>
            </w:r>
            <w:proofErr w:type="spellEnd"/>
            <w:r w:rsidRPr="00B45592">
              <w:rPr>
                <w:i/>
                <w:sz w:val="20"/>
                <w:szCs w:val="20"/>
              </w:rPr>
              <w:t xml:space="preserve"> </w:t>
            </w:r>
            <w:proofErr w:type="spellStart"/>
            <w:r w:rsidRPr="00B45592">
              <w:rPr>
                <w:i/>
                <w:sz w:val="20"/>
                <w:szCs w:val="20"/>
              </w:rPr>
              <w:t>laws</w:t>
            </w:r>
            <w:proofErr w:type="spellEnd"/>
            <w:r w:rsidRPr="00B45592">
              <w:rPr>
                <w:i/>
                <w:sz w:val="20"/>
                <w:szCs w:val="20"/>
              </w:rPr>
              <w:t xml:space="preserve"> </w:t>
            </w:r>
            <w:proofErr w:type="spellStart"/>
            <w:r w:rsidRPr="00B45592">
              <w:rPr>
                <w:i/>
                <w:sz w:val="20"/>
                <w:szCs w:val="20"/>
              </w:rPr>
              <w:t>preceding</w:t>
            </w:r>
            <w:proofErr w:type="spellEnd"/>
            <w:r w:rsidRPr="00B45592">
              <w:rPr>
                <w:i/>
                <w:sz w:val="20"/>
                <w:szCs w:val="20"/>
              </w:rPr>
              <w:t xml:space="preserve"> the </w:t>
            </w:r>
            <w:proofErr w:type="spellStart"/>
            <w:r w:rsidRPr="00B45592">
              <w:rPr>
                <w:i/>
                <w:sz w:val="20"/>
                <w:szCs w:val="20"/>
              </w:rPr>
              <w:t>act</w:t>
            </w:r>
            <w:proofErr w:type="spellEnd"/>
            <w:r w:rsidRPr="00B45592">
              <w:rPr>
                <w:i/>
                <w:sz w:val="20"/>
                <w:szCs w:val="20"/>
              </w:rPr>
              <w:t xml:space="preserve"> of 1906</w:t>
            </w:r>
            <w:r w:rsidRPr="00BE3728">
              <w:rPr>
                <w:sz w:val="20"/>
                <w:szCs w:val="20"/>
              </w:rPr>
              <w:t xml:space="preserve">) stellten drei Voraussetzungen, damit ein Gericht einbürgern könne, darunter befand sich die Voraussetzung, am Glück der Vereinigten Staaten mitzuwirken: Erstens muss der Ausländer vor einem Gericht der Vereinigten Staaten eidlich erklären, dass er beabsichtige, Bürger der Vereinigten Staaten werden zu wollen und jedem fremden Staat die Treue und Loyalität entsage. Zweitens gab es eine Frist: Es mussten mindestens zwei Jahre zwischen dieser Erklärung und seinem Antrag auf Einbürgerung liegen. Und drittens hatte das Gericht anhand von Zeugenaussagen zu entscheiden, dass der </w:t>
            </w:r>
            <w:r>
              <w:rPr>
                <w:sz w:val="20"/>
                <w:szCs w:val="20"/>
              </w:rPr>
              <w:t>Antragsteller</w:t>
            </w:r>
            <w:r w:rsidRPr="00BE3728">
              <w:rPr>
                <w:sz w:val="20"/>
                <w:szCs w:val="20"/>
              </w:rPr>
              <w:t xml:space="preserve"> mindestens fünf Jahre in den Vereinigten Staaten gelebt hatte und den Prinzipien der Verfassung der Vereinigten Staaten verbunden war, d.h. konkret dem Wohl und Glück der Vereinigten Staaten diene („</w:t>
            </w:r>
            <w:proofErr w:type="spellStart"/>
            <w:r w:rsidRPr="00BE3728">
              <w:rPr>
                <w:sz w:val="20"/>
                <w:szCs w:val="20"/>
              </w:rPr>
              <w:t>attached</w:t>
            </w:r>
            <w:proofErr w:type="spellEnd"/>
            <w:r w:rsidRPr="00BE3728">
              <w:rPr>
                <w:sz w:val="20"/>
                <w:szCs w:val="20"/>
              </w:rPr>
              <w:t xml:space="preserve"> to the </w:t>
            </w:r>
            <w:proofErr w:type="spellStart"/>
            <w:r w:rsidRPr="00BE3728">
              <w:rPr>
                <w:sz w:val="20"/>
                <w:szCs w:val="20"/>
              </w:rPr>
              <w:t>principles</w:t>
            </w:r>
            <w:proofErr w:type="spellEnd"/>
            <w:r w:rsidRPr="00BE3728">
              <w:rPr>
                <w:sz w:val="20"/>
                <w:szCs w:val="20"/>
              </w:rPr>
              <w:t xml:space="preserve"> of the </w:t>
            </w:r>
            <w:proofErr w:type="spellStart"/>
            <w:r w:rsidRPr="00BE3728">
              <w:rPr>
                <w:sz w:val="20"/>
                <w:szCs w:val="20"/>
              </w:rPr>
              <w:t>Constitution</w:t>
            </w:r>
            <w:proofErr w:type="spellEnd"/>
            <w:r w:rsidRPr="00BE3728">
              <w:rPr>
                <w:sz w:val="20"/>
                <w:szCs w:val="20"/>
              </w:rPr>
              <w:t xml:space="preserve"> of the United States, and </w:t>
            </w:r>
            <w:proofErr w:type="spellStart"/>
            <w:r w:rsidRPr="00BE3728">
              <w:rPr>
                <w:sz w:val="20"/>
                <w:szCs w:val="20"/>
              </w:rPr>
              <w:t>well</w:t>
            </w:r>
            <w:proofErr w:type="spellEnd"/>
            <w:r w:rsidRPr="00BE3728">
              <w:rPr>
                <w:sz w:val="20"/>
                <w:szCs w:val="20"/>
              </w:rPr>
              <w:t xml:space="preserve"> </w:t>
            </w:r>
            <w:proofErr w:type="spellStart"/>
            <w:r w:rsidRPr="00BE3728">
              <w:rPr>
                <w:sz w:val="20"/>
                <w:szCs w:val="20"/>
              </w:rPr>
              <w:t>disposed</w:t>
            </w:r>
            <w:proofErr w:type="spellEnd"/>
            <w:r w:rsidRPr="00BE3728">
              <w:rPr>
                <w:sz w:val="20"/>
                <w:szCs w:val="20"/>
              </w:rPr>
              <w:t xml:space="preserve"> to the </w:t>
            </w:r>
            <w:proofErr w:type="spellStart"/>
            <w:r w:rsidRPr="00BE3728">
              <w:rPr>
                <w:sz w:val="20"/>
                <w:szCs w:val="20"/>
              </w:rPr>
              <w:t>good</w:t>
            </w:r>
            <w:proofErr w:type="spellEnd"/>
            <w:r w:rsidRPr="00BE3728">
              <w:rPr>
                <w:sz w:val="20"/>
                <w:szCs w:val="20"/>
              </w:rPr>
              <w:t xml:space="preserve"> </w:t>
            </w:r>
            <w:proofErr w:type="spellStart"/>
            <w:r w:rsidRPr="00BE3728">
              <w:rPr>
                <w:sz w:val="20"/>
                <w:szCs w:val="20"/>
              </w:rPr>
              <w:t>order</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the same“</w:t>
            </w:r>
            <w:r w:rsidRPr="00BE3728">
              <w:rPr>
                <w:rStyle w:val="Funotenzeichen"/>
                <w:sz w:val="20"/>
                <w:szCs w:val="20"/>
              </w:rPr>
              <w:footnoteReference w:id="616"/>
            </w:r>
            <w:r w:rsidRPr="00BE3728">
              <w:rPr>
                <w:sz w:val="20"/>
                <w:szCs w:val="20"/>
              </w:rPr>
              <w:t xml:space="preserve">). </w:t>
            </w:r>
          </w:p>
          <w:p w14:paraId="5AF7BEB5" w14:textId="77777777" w:rsidR="00074551" w:rsidRPr="00E50B51" w:rsidRDefault="00074551" w:rsidP="00367133">
            <w:pPr>
              <w:jc w:val="both"/>
              <w:rPr>
                <w:sz w:val="20"/>
                <w:szCs w:val="20"/>
              </w:rPr>
            </w:pPr>
          </w:p>
        </w:tc>
      </w:tr>
      <w:tr w:rsidR="00074551" w:rsidRPr="00E50B51" w14:paraId="0620FB77" w14:textId="77777777" w:rsidTr="00FE5F32">
        <w:trPr>
          <w:cantSplit/>
          <w:trHeight w:val="3175"/>
        </w:trPr>
        <w:tc>
          <w:tcPr>
            <w:tcW w:w="293" w:type="pct"/>
            <w:shd w:val="clear" w:color="auto" w:fill="E7E6E6" w:themeFill="background2"/>
          </w:tcPr>
          <w:p w14:paraId="7E914E91"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27800E08"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76A71E65" w14:textId="77777777" w:rsidR="00074551" w:rsidRPr="00E50B51" w:rsidRDefault="00074551" w:rsidP="00367133">
            <w:pPr>
              <w:ind w:left="113" w:right="113"/>
              <w:jc w:val="both"/>
              <w:rPr>
                <w:sz w:val="20"/>
                <w:szCs w:val="20"/>
                <w:lang w:val="en-US"/>
              </w:rPr>
            </w:pPr>
            <w:r w:rsidRPr="00BE3728">
              <w:rPr>
                <w:sz w:val="20"/>
                <w:szCs w:val="20"/>
                <w:lang w:val="en-US"/>
              </w:rPr>
              <w:t>Citizenship</w:t>
            </w:r>
          </w:p>
        </w:tc>
        <w:tc>
          <w:tcPr>
            <w:tcW w:w="306" w:type="pct"/>
            <w:shd w:val="clear" w:color="auto" w:fill="E7E6E6" w:themeFill="background2"/>
            <w:textDirection w:val="tbRl"/>
            <w:vAlign w:val="center"/>
          </w:tcPr>
          <w:p w14:paraId="04461290" w14:textId="77777777" w:rsidR="00074551" w:rsidRPr="00E50B51" w:rsidRDefault="00074551" w:rsidP="00367133">
            <w:pPr>
              <w:ind w:left="113" w:right="113"/>
              <w:jc w:val="both"/>
              <w:rPr>
                <w:sz w:val="20"/>
                <w:szCs w:val="20"/>
              </w:rPr>
            </w:pPr>
            <w:r w:rsidRPr="00BE3728">
              <w:rPr>
                <w:sz w:val="20"/>
                <w:szCs w:val="20"/>
                <w:lang w:val="en-US"/>
              </w:rPr>
              <w:t>Immigration Law</w:t>
            </w:r>
          </w:p>
        </w:tc>
        <w:tc>
          <w:tcPr>
            <w:tcW w:w="401" w:type="pct"/>
            <w:shd w:val="clear" w:color="auto" w:fill="E7E6E6" w:themeFill="background2"/>
            <w:textDirection w:val="tbRl"/>
          </w:tcPr>
          <w:p w14:paraId="0F42DA2F" w14:textId="77777777" w:rsidR="00074551" w:rsidRDefault="00074551" w:rsidP="00367133">
            <w:pPr>
              <w:ind w:left="113" w:right="113"/>
              <w:rPr>
                <w:sz w:val="20"/>
                <w:szCs w:val="20"/>
                <w:lang w:val="en-US"/>
              </w:rPr>
            </w:pPr>
          </w:p>
          <w:p w14:paraId="12B8F593" w14:textId="77777777" w:rsidR="00074551" w:rsidRPr="00E50B51" w:rsidRDefault="00074551" w:rsidP="00367133">
            <w:pPr>
              <w:ind w:left="113" w:right="113"/>
              <w:rPr>
                <w:sz w:val="20"/>
                <w:szCs w:val="20"/>
              </w:rPr>
            </w:pPr>
            <w:r w:rsidRPr="00BE3728">
              <w:rPr>
                <w:sz w:val="20"/>
                <w:szCs w:val="20"/>
                <w:lang w:val="en-US"/>
              </w:rPr>
              <w:t>Denaturalization of Naturalized Citizens</w:t>
            </w:r>
          </w:p>
        </w:tc>
        <w:tc>
          <w:tcPr>
            <w:tcW w:w="1594" w:type="pct"/>
            <w:shd w:val="clear" w:color="auto" w:fill="E7E6E6" w:themeFill="background2"/>
            <w:textDirection w:val="tbRl"/>
            <w:vAlign w:val="center"/>
          </w:tcPr>
          <w:p w14:paraId="5CB1BA3A" w14:textId="77777777" w:rsidR="00074551" w:rsidRDefault="00074551" w:rsidP="00367133">
            <w:pPr>
              <w:ind w:left="113" w:right="113"/>
              <w:jc w:val="both"/>
              <w:rPr>
                <w:sz w:val="20"/>
                <w:szCs w:val="20"/>
                <w:lang w:val="en-US"/>
              </w:rPr>
            </w:pPr>
            <w:r w:rsidRPr="00BE3728">
              <w:rPr>
                <w:sz w:val="20"/>
                <w:szCs w:val="20"/>
                <w:lang w:val="en-US"/>
              </w:rPr>
              <w:t>Administrative Proceedings</w:t>
            </w:r>
          </w:p>
          <w:p w14:paraId="29423B42" w14:textId="77777777" w:rsidR="00074551" w:rsidRDefault="00074551" w:rsidP="00367133">
            <w:pPr>
              <w:ind w:left="113" w:right="113"/>
              <w:jc w:val="both"/>
              <w:rPr>
                <w:sz w:val="20"/>
                <w:szCs w:val="20"/>
                <w:lang w:val="en-US"/>
              </w:rPr>
            </w:pPr>
          </w:p>
          <w:p w14:paraId="6CE813F0" w14:textId="77777777" w:rsidR="00074551" w:rsidRPr="00E50B51" w:rsidRDefault="00074551" w:rsidP="00367133">
            <w:pPr>
              <w:ind w:left="113" w:right="113"/>
              <w:jc w:val="both"/>
              <w:rPr>
                <w:sz w:val="20"/>
                <w:szCs w:val="20"/>
              </w:rPr>
            </w:pPr>
          </w:p>
        </w:tc>
        <w:tc>
          <w:tcPr>
            <w:tcW w:w="1822" w:type="pct"/>
            <w:shd w:val="clear" w:color="auto" w:fill="E7E6E6" w:themeFill="background2"/>
          </w:tcPr>
          <w:p w14:paraId="58D53361" w14:textId="09E2329C" w:rsidR="00074551" w:rsidRPr="00E50B51" w:rsidRDefault="00A15DB3" w:rsidP="00FE5F32">
            <w:pPr>
              <w:rPr>
                <w:sz w:val="20"/>
                <w:szCs w:val="20"/>
              </w:rPr>
            </w:pPr>
            <w:r w:rsidRPr="00A15DB3">
              <w:rPr>
                <w:i/>
                <w:iCs/>
                <w:sz w:val="16"/>
                <w:szCs w:val="20"/>
              </w:rPr>
              <w:t>Thematische Gliederung der nachfolgenden Entscheidungen ↓</w:t>
            </w:r>
          </w:p>
        </w:tc>
      </w:tr>
      <w:tr w:rsidR="00074551" w:rsidRPr="00E50B51" w14:paraId="700942BD" w14:textId="77777777" w:rsidTr="00BE689F">
        <w:trPr>
          <w:cantSplit/>
          <w:trHeight w:val="3175"/>
        </w:trPr>
        <w:tc>
          <w:tcPr>
            <w:tcW w:w="293" w:type="pct"/>
          </w:tcPr>
          <w:p w14:paraId="3A5BB4EF"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6B391135" w14:textId="77777777" w:rsidR="00074551" w:rsidRPr="00B45592" w:rsidRDefault="00074551" w:rsidP="00367133">
            <w:pPr>
              <w:ind w:left="113" w:right="416"/>
              <w:jc w:val="both"/>
              <w:rPr>
                <w:i/>
                <w:sz w:val="20"/>
                <w:szCs w:val="20"/>
              </w:rPr>
            </w:pPr>
            <w:r w:rsidRPr="00B45592">
              <w:rPr>
                <w:i/>
                <w:sz w:val="20"/>
                <w:szCs w:val="20"/>
              </w:rPr>
              <w:t>United States v. Zucca</w:t>
            </w:r>
          </w:p>
        </w:tc>
        <w:tc>
          <w:tcPr>
            <w:tcW w:w="197" w:type="pct"/>
            <w:textDirection w:val="tbRl"/>
            <w:vAlign w:val="center"/>
          </w:tcPr>
          <w:p w14:paraId="07561D09" w14:textId="77777777" w:rsidR="00074551" w:rsidRPr="00E50B51" w:rsidRDefault="00074551" w:rsidP="00367133">
            <w:pPr>
              <w:ind w:left="113" w:right="113"/>
              <w:jc w:val="both"/>
              <w:rPr>
                <w:sz w:val="20"/>
                <w:szCs w:val="20"/>
                <w:lang w:val="en-US"/>
              </w:rPr>
            </w:pPr>
            <w:r w:rsidRPr="00BE3728">
              <w:rPr>
                <w:sz w:val="20"/>
                <w:szCs w:val="20"/>
              </w:rPr>
              <w:t>351 U.S. 91</w:t>
            </w:r>
          </w:p>
        </w:tc>
        <w:tc>
          <w:tcPr>
            <w:tcW w:w="306" w:type="pct"/>
            <w:textDirection w:val="tbRl"/>
            <w:vAlign w:val="center"/>
          </w:tcPr>
          <w:p w14:paraId="0DA4A2A3" w14:textId="77777777" w:rsidR="00074551" w:rsidRPr="00E50B51" w:rsidRDefault="00074551" w:rsidP="00367133">
            <w:pPr>
              <w:ind w:left="113" w:right="113"/>
              <w:jc w:val="both"/>
              <w:rPr>
                <w:sz w:val="20"/>
                <w:szCs w:val="20"/>
              </w:rPr>
            </w:pPr>
            <w:r w:rsidRPr="00BE3728">
              <w:rPr>
                <w:sz w:val="20"/>
                <w:szCs w:val="20"/>
              </w:rPr>
              <w:t>30. April 1956</w:t>
            </w:r>
          </w:p>
        </w:tc>
        <w:tc>
          <w:tcPr>
            <w:tcW w:w="401" w:type="pct"/>
          </w:tcPr>
          <w:p w14:paraId="7FFFFBD0"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1A6C4809" w14:textId="77777777" w:rsidR="00074551" w:rsidRPr="00E50B51" w:rsidRDefault="00074551" w:rsidP="00367133">
            <w:pPr>
              <w:jc w:val="both"/>
              <w:rPr>
                <w:sz w:val="20"/>
                <w:szCs w:val="20"/>
              </w:rPr>
            </w:pPr>
            <w:r>
              <w:rPr>
                <w:sz w:val="20"/>
                <w:szCs w:val="20"/>
              </w:rPr>
              <w:t>Der</w:t>
            </w:r>
            <w:r w:rsidRPr="00BE3728">
              <w:rPr>
                <w:sz w:val="20"/>
                <w:szCs w:val="20"/>
              </w:rPr>
              <w:t xml:space="preserve"> </w:t>
            </w:r>
            <w:r>
              <w:rPr>
                <w:sz w:val="20"/>
                <w:szCs w:val="20"/>
              </w:rPr>
              <w:t>U.S. Supreme Court</w:t>
            </w:r>
            <w:r w:rsidRPr="00BE3728">
              <w:rPr>
                <w:sz w:val="20"/>
                <w:szCs w:val="20"/>
              </w:rPr>
              <w:t xml:space="preserve"> hielt die Entscheidung der Vorinstanz aufrecht, eine Klage abzuweisen, die eine Einbürgerung aufheben sollte. Die USA als Kläger behauptete</w:t>
            </w:r>
            <w:r>
              <w:rPr>
                <w:sz w:val="20"/>
                <w:szCs w:val="20"/>
              </w:rPr>
              <w:t>n</w:t>
            </w:r>
            <w:r w:rsidRPr="00BE3728">
              <w:rPr>
                <w:sz w:val="20"/>
                <w:szCs w:val="20"/>
              </w:rPr>
              <w:t xml:space="preserve"> nur pauschal ein Verschweigen wesentlicher Tatsachen und vorsätzliche Falschangaben während des Einbürgerungsverfahrens des Beklagten. Und die USA als Kläger hatten nur eine eidesstattliche Erklärung vorgelegt, die keinen erheblichen Grund </w:t>
            </w:r>
            <w:r>
              <w:rPr>
                <w:sz w:val="20"/>
                <w:szCs w:val="20"/>
              </w:rPr>
              <w:t xml:space="preserve">für eine Ausbürgerung </w:t>
            </w:r>
            <w:r w:rsidRPr="00BE3728">
              <w:rPr>
                <w:sz w:val="20"/>
                <w:szCs w:val="20"/>
              </w:rPr>
              <w:t xml:space="preserve">darlege. </w:t>
            </w:r>
            <w:r>
              <w:rPr>
                <w:sz w:val="20"/>
                <w:szCs w:val="20"/>
              </w:rPr>
              <w:t>Das</w:t>
            </w:r>
            <w:r w:rsidRPr="00BE3728">
              <w:rPr>
                <w:sz w:val="20"/>
                <w:szCs w:val="20"/>
              </w:rPr>
              <w:t xml:space="preserve"> war </w:t>
            </w:r>
            <w:r>
              <w:rPr>
                <w:sz w:val="20"/>
                <w:szCs w:val="20"/>
              </w:rPr>
              <w:t xml:space="preserve">jedoch </w:t>
            </w:r>
            <w:r w:rsidRPr="00BE3728">
              <w:rPr>
                <w:sz w:val="20"/>
                <w:szCs w:val="20"/>
              </w:rPr>
              <w:t xml:space="preserve">eine Voraussetzung für das Verfahren gemäß </w:t>
            </w:r>
            <w:r>
              <w:rPr>
                <w:sz w:val="20"/>
                <w:szCs w:val="20"/>
              </w:rPr>
              <w:t>§ </w:t>
            </w:r>
            <w:r w:rsidRPr="00BE3728">
              <w:rPr>
                <w:sz w:val="20"/>
                <w:szCs w:val="20"/>
              </w:rPr>
              <w:t xml:space="preserve">340(a) des Einwanderungs- und Staatsangehörigkeitsgesetzes von 1952 </w:t>
            </w:r>
            <w:r>
              <w:rPr>
                <w:sz w:val="20"/>
                <w:szCs w:val="20"/>
              </w:rPr>
              <w:t>in Verbindung mit</w:t>
            </w:r>
            <w:r w:rsidRPr="00BE3728">
              <w:rPr>
                <w:sz w:val="20"/>
                <w:szCs w:val="20"/>
              </w:rPr>
              <w:t xml:space="preserve"> 8 U.S.C.S. </w:t>
            </w:r>
            <w:r>
              <w:rPr>
                <w:sz w:val="20"/>
                <w:szCs w:val="20"/>
              </w:rPr>
              <w:t>§ </w:t>
            </w:r>
            <w:r w:rsidRPr="00BE3728">
              <w:rPr>
                <w:sz w:val="20"/>
                <w:szCs w:val="20"/>
              </w:rPr>
              <w:t>1451(a)</w:t>
            </w:r>
            <w:r w:rsidRPr="00BE3728">
              <w:rPr>
                <w:rStyle w:val="Funotenzeichen"/>
                <w:sz w:val="20"/>
                <w:szCs w:val="20"/>
              </w:rPr>
              <w:footnoteReference w:id="617"/>
            </w:r>
            <w:r w:rsidRPr="00BE3728">
              <w:rPr>
                <w:sz w:val="20"/>
                <w:szCs w:val="20"/>
              </w:rPr>
              <w:t>. Die Kläger erfüllten also nicht die prozeduralen Anforderungen.</w:t>
            </w:r>
            <w:r w:rsidRPr="00BE3728">
              <w:rPr>
                <w:rStyle w:val="Funotenzeichen"/>
                <w:sz w:val="20"/>
                <w:szCs w:val="20"/>
              </w:rPr>
              <w:footnoteReference w:id="618"/>
            </w:r>
            <w:r w:rsidRPr="00BE3728">
              <w:rPr>
                <w:sz w:val="20"/>
                <w:szCs w:val="20"/>
              </w:rPr>
              <w:t xml:space="preserve"> </w:t>
            </w:r>
          </w:p>
        </w:tc>
        <w:tc>
          <w:tcPr>
            <w:tcW w:w="1822" w:type="pct"/>
          </w:tcPr>
          <w:p w14:paraId="47144348"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Immigration Law › Denaturalization of Naturalized Citizens › Administrative Proceedings</w:t>
            </w:r>
          </w:p>
          <w:p w14:paraId="6F65FBF7" w14:textId="77777777" w:rsidR="00074551" w:rsidRPr="00BE3728" w:rsidRDefault="00074551" w:rsidP="00367133">
            <w:pPr>
              <w:jc w:val="both"/>
              <w:rPr>
                <w:sz w:val="20"/>
                <w:szCs w:val="20"/>
                <w:lang w:val="en-US"/>
              </w:rPr>
            </w:pPr>
          </w:p>
          <w:p w14:paraId="368038A1"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beschrieb den Eid, der für eine Einbürgerung nötig sei. Er beinhalte </w:t>
            </w:r>
            <w:r>
              <w:rPr>
                <w:sz w:val="20"/>
                <w:szCs w:val="20"/>
              </w:rPr>
              <w:t>u.a.</w:t>
            </w:r>
            <w:r w:rsidRPr="00BE3728">
              <w:rPr>
                <w:sz w:val="20"/>
                <w:szCs w:val="20"/>
              </w:rPr>
              <w:t xml:space="preserve"> folgende Formulierung</w:t>
            </w:r>
            <w:r>
              <w:rPr>
                <w:sz w:val="20"/>
                <w:szCs w:val="20"/>
              </w:rPr>
              <w:t>en</w:t>
            </w:r>
            <w:r w:rsidRPr="00BE3728">
              <w:rPr>
                <w:sz w:val="20"/>
                <w:szCs w:val="20"/>
              </w:rPr>
              <w:t>: Die Grundsätze der Verfassung anzuerkennen und das Glück der Vereinigten Staaten zu fördern („</w:t>
            </w:r>
            <w:proofErr w:type="spellStart"/>
            <w:r w:rsidRPr="00BE3728">
              <w:rPr>
                <w:sz w:val="20"/>
                <w:szCs w:val="20"/>
              </w:rPr>
              <w:t>happiness</w:t>
            </w:r>
            <w:proofErr w:type="spellEnd"/>
            <w:r w:rsidRPr="00BE3728">
              <w:rPr>
                <w:sz w:val="20"/>
                <w:szCs w:val="20"/>
              </w:rPr>
              <w:t xml:space="preserve"> of the United States“</w:t>
            </w:r>
            <w:r w:rsidRPr="00BE3728">
              <w:rPr>
                <w:rStyle w:val="Funotenzeichen"/>
                <w:sz w:val="20"/>
                <w:szCs w:val="20"/>
              </w:rPr>
              <w:t xml:space="preserve"> </w:t>
            </w:r>
            <w:r w:rsidRPr="00BE3728">
              <w:rPr>
                <w:rStyle w:val="Funotenzeichen"/>
                <w:sz w:val="20"/>
                <w:szCs w:val="20"/>
              </w:rPr>
              <w:footnoteReference w:id="619"/>
            </w:r>
            <w:r w:rsidRPr="00BE3728">
              <w:rPr>
                <w:sz w:val="20"/>
                <w:szCs w:val="20"/>
              </w:rPr>
              <w:t>) und kein Mitglied</w:t>
            </w:r>
            <w:r>
              <w:rPr>
                <w:sz w:val="20"/>
                <w:szCs w:val="20"/>
              </w:rPr>
              <w:t xml:space="preserve"> </w:t>
            </w:r>
            <w:r w:rsidRPr="00BE3728">
              <w:rPr>
                <w:sz w:val="20"/>
                <w:szCs w:val="20"/>
              </w:rPr>
              <w:t>einer kommunistischen Partei zu sein. Wird diesb</w:t>
            </w:r>
            <w:r>
              <w:rPr>
                <w:sz w:val="20"/>
                <w:szCs w:val="20"/>
              </w:rPr>
              <w:t>ezüglich</w:t>
            </w:r>
            <w:r w:rsidRPr="00BE3728">
              <w:rPr>
                <w:sz w:val="20"/>
                <w:szCs w:val="20"/>
              </w:rPr>
              <w:t xml:space="preserve"> falsch geschworen („</w:t>
            </w:r>
            <w:proofErr w:type="spellStart"/>
            <w:r w:rsidRPr="00BE3728">
              <w:rPr>
                <w:sz w:val="20"/>
                <w:szCs w:val="20"/>
              </w:rPr>
              <w:t>falsely</w:t>
            </w:r>
            <w:proofErr w:type="spellEnd"/>
            <w:r w:rsidRPr="00BE3728">
              <w:rPr>
                <w:sz w:val="20"/>
                <w:szCs w:val="20"/>
              </w:rPr>
              <w:t xml:space="preserve"> </w:t>
            </w:r>
            <w:proofErr w:type="spellStart"/>
            <w:r w:rsidRPr="00BE3728">
              <w:rPr>
                <w:sz w:val="20"/>
                <w:szCs w:val="20"/>
              </w:rPr>
              <w:t>sworn</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620"/>
            </w:r>
            <w:r w:rsidRPr="00BE3728">
              <w:rPr>
                <w:sz w:val="20"/>
                <w:szCs w:val="20"/>
              </w:rPr>
              <w:t>), so stellt dies einen wichtige</w:t>
            </w:r>
            <w:r>
              <w:rPr>
                <w:sz w:val="20"/>
                <w:szCs w:val="20"/>
              </w:rPr>
              <w:t>n</w:t>
            </w:r>
            <w:r w:rsidRPr="00BE3728">
              <w:rPr>
                <w:sz w:val="20"/>
                <w:szCs w:val="20"/>
              </w:rPr>
              <w:t xml:space="preserve"> Grund dar, um die Staatsbürgerschaft abzuerkennen.</w:t>
            </w:r>
            <w:r w:rsidRPr="00BE3728">
              <w:rPr>
                <w:rStyle w:val="Funotenzeichen"/>
                <w:sz w:val="20"/>
                <w:szCs w:val="20"/>
              </w:rPr>
              <w:footnoteReference w:id="621"/>
            </w:r>
          </w:p>
        </w:tc>
      </w:tr>
      <w:tr w:rsidR="00074551" w:rsidRPr="004F6665" w14:paraId="3A3CAE84" w14:textId="77777777" w:rsidTr="00BE689F">
        <w:trPr>
          <w:cantSplit/>
          <w:trHeight w:val="3175"/>
        </w:trPr>
        <w:tc>
          <w:tcPr>
            <w:tcW w:w="293" w:type="pct"/>
          </w:tcPr>
          <w:p w14:paraId="2E524D1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26642B92" w14:textId="77777777" w:rsidR="00074551" w:rsidRPr="00B45592" w:rsidRDefault="00074551" w:rsidP="00367133">
            <w:pPr>
              <w:ind w:left="113" w:right="416"/>
              <w:jc w:val="both"/>
              <w:rPr>
                <w:i/>
                <w:sz w:val="20"/>
                <w:szCs w:val="20"/>
                <w:lang w:val="en-US"/>
              </w:rPr>
            </w:pPr>
            <w:r w:rsidRPr="00B45592">
              <w:rPr>
                <w:i/>
                <w:sz w:val="20"/>
                <w:szCs w:val="20"/>
                <w:lang w:val="en-US"/>
              </w:rPr>
              <w:t>Communist Party of United States v. Subversive Activities Control Bd.</w:t>
            </w:r>
          </w:p>
        </w:tc>
        <w:tc>
          <w:tcPr>
            <w:tcW w:w="197" w:type="pct"/>
            <w:textDirection w:val="tbRl"/>
            <w:vAlign w:val="center"/>
          </w:tcPr>
          <w:p w14:paraId="6BE84D10" w14:textId="77777777" w:rsidR="00074551" w:rsidRPr="00E50B51" w:rsidRDefault="00074551" w:rsidP="00367133">
            <w:pPr>
              <w:ind w:left="113" w:right="113"/>
              <w:jc w:val="both"/>
              <w:rPr>
                <w:sz w:val="20"/>
                <w:szCs w:val="20"/>
                <w:lang w:val="en-US"/>
              </w:rPr>
            </w:pPr>
            <w:r w:rsidRPr="00BE3728">
              <w:rPr>
                <w:sz w:val="20"/>
                <w:szCs w:val="20"/>
              </w:rPr>
              <w:t>367 U.S. 1</w:t>
            </w:r>
          </w:p>
        </w:tc>
        <w:tc>
          <w:tcPr>
            <w:tcW w:w="306" w:type="pct"/>
            <w:textDirection w:val="tbRl"/>
            <w:vAlign w:val="center"/>
          </w:tcPr>
          <w:p w14:paraId="49E15486" w14:textId="77777777" w:rsidR="00074551" w:rsidRPr="00E50B51" w:rsidRDefault="00074551" w:rsidP="00367133">
            <w:pPr>
              <w:ind w:left="113" w:right="113"/>
              <w:jc w:val="both"/>
              <w:rPr>
                <w:sz w:val="20"/>
                <w:szCs w:val="20"/>
              </w:rPr>
            </w:pPr>
            <w:r w:rsidRPr="00BE3728">
              <w:rPr>
                <w:sz w:val="20"/>
                <w:szCs w:val="20"/>
              </w:rPr>
              <w:t>05. Juni 1961</w:t>
            </w:r>
          </w:p>
        </w:tc>
        <w:tc>
          <w:tcPr>
            <w:tcW w:w="401" w:type="pct"/>
          </w:tcPr>
          <w:p w14:paraId="6474804E"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3F6161F3" w14:textId="2F374434"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die Entscheidung des Berufungsgerichts. Nach ihr </w:t>
            </w:r>
            <w:r>
              <w:rPr>
                <w:sz w:val="20"/>
                <w:szCs w:val="20"/>
              </w:rPr>
              <w:t>mussten</w:t>
            </w:r>
            <w:r w:rsidRPr="00BE3728">
              <w:rPr>
                <w:sz w:val="20"/>
                <w:szCs w:val="20"/>
              </w:rPr>
              <w:t xml:space="preserve"> sich die Kläger als kommunistische Organisation</w:t>
            </w:r>
            <w:r>
              <w:rPr>
                <w:sz w:val="20"/>
                <w:szCs w:val="20"/>
              </w:rPr>
              <w:t xml:space="preserve"> </w:t>
            </w:r>
            <w:r w:rsidRPr="00BE3728">
              <w:rPr>
                <w:sz w:val="20"/>
                <w:szCs w:val="20"/>
              </w:rPr>
              <w:t xml:space="preserve">unter </w:t>
            </w:r>
            <w:r>
              <w:rPr>
                <w:sz w:val="20"/>
                <w:szCs w:val="20"/>
              </w:rPr>
              <w:t>§ </w:t>
            </w:r>
            <w:r w:rsidRPr="00BE3728">
              <w:rPr>
                <w:sz w:val="20"/>
                <w:szCs w:val="20"/>
              </w:rPr>
              <w:t xml:space="preserve">7 des </w:t>
            </w:r>
            <w:r w:rsidRPr="00B45592">
              <w:rPr>
                <w:i/>
                <w:sz w:val="20"/>
                <w:szCs w:val="20"/>
              </w:rPr>
              <w:t xml:space="preserve">Subversive </w:t>
            </w:r>
            <w:proofErr w:type="spellStart"/>
            <w:r w:rsidRPr="00B45592">
              <w:rPr>
                <w:i/>
                <w:sz w:val="20"/>
                <w:szCs w:val="20"/>
              </w:rPr>
              <w:t>Activities</w:t>
            </w:r>
            <w:proofErr w:type="spellEnd"/>
            <w:r w:rsidRPr="00B45592">
              <w:rPr>
                <w:i/>
                <w:sz w:val="20"/>
                <w:szCs w:val="20"/>
              </w:rPr>
              <w:t xml:space="preserve"> Control Act</w:t>
            </w:r>
            <w:r>
              <w:rPr>
                <w:sz w:val="20"/>
                <w:szCs w:val="20"/>
              </w:rPr>
              <w:t xml:space="preserve"> registrieren lassen.</w:t>
            </w:r>
            <w:r w:rsidRPr="00BE3728">
              <w:rPr>
                <w:rStyle w:val="Funotenzeichen"/>
                <w:sz w:val="20"/>
                <w:szCs w:val="20"/>
              </w:rPr>
              <w:footnoteReference w:id="622"/>
            </w:r>
            <w:r w:rsidRPr="00BE3728">
              <w:rPr>
                <w:sz w:val="20"/>
                <w:szCs w:val="20"/>
              </w:rPr>
              <w:t xml:space="preserve"> Denn den Kläger leite oder dominiere in erheblichem Maße eine ausländische Regierung, die damit befasst sei, die kommunistische Bewegung und ihre Ziele weltweit voranzutreiben. </w:t>
            </w:r>
            <w:r w:rsidRPr="00B45592">
              <w:rPr>
                <w:sz w:val="20"/>
                <w:szCs w:val="20"/>
              </w:rPr>
              <w:t>Der Wortlaut „geleitet, dominiert oder kontrolliert“ („</w:t>
            </w:r>
            <w:proofErr w:type="spellStart"/>
            <w:r w:rsidRPr="00B45592">
              <w:rPr>
                <w:sz w:val="20"/>
                <w:szCs w:val="20"/>
              </w:rPr>
              <w:t>directed</w:t>
            </w:r>
            <w:proofErr w:type="spellEnd"/>
            <w:r w:rsidRPr="00B45592">
              <w:rPr>
                <w:sz w:val="20"/>
                <w:szCs w:val="20"/>
              </w:rPr>
              <w:t xml:space="preserve">, </w:t>
            </w:r>
            <w:proofErr w:type="spellStart"/>
            <w:r w:rsidRPr="00B45592">
              <w:rPr>
                <w:sz w:val="20"/>
                <w:szCs w:val="20"/>
              </w:rPr>
              <w:t>dominated</w:t>
            </w:r>
            <w:proofErr w:type="spellEnd"/>
            <w:r w:rsidRPr="00B45592">
              <w:rPr>
                <w:sz w:val="20"/>
                <w:szCs w:val="20"/>
              </w:rPr>
              <w:t xml:space="preserve">, </w:t>
            </w:r>
            <w:proofErr w:type="spellStart"/>
            <w:r w:rsidRPr="00B45592">
              <w:rPr>
                <w:sz w:val="20"/>
                <w:szCs w:val="20"/>
              </w:rPr>
              <w:t>or</w:t>
            </w:r>
            <w:proofErr w:type="spellEnd"/>
            <w:r w:rsidRPr="00B45592">
              <w:rPr>
                <w:sz w:val="20"/>
                <w:szCs w:val="20"/>
              </w:rPr>
              <w:t xml:space="preserve"> </w:t>
            </w:r>
            <w:proofErr w:type="spellStart"/>
            <w:r w:rsidRPr="00B45592">
              <w:rPr>
                <w:sz w:val="20"/>
                <w:szCs w:val="20"/>
              </w:rPr>
              <w:t>controlled</w:t>
            </w:r>
            <w:proofErr w:type="spellEnd"/>
            <w:r w:rsidRPr="00B45592">
              <w:rPr>
                <w:sz w:val="20"/>
                <w:szCs w:val="20"/>
              </w:rPr>
              <w:t>“</w:t>
            </w:r>
            <w:r w:rsidRPr="00BE3728">
              <w:rPr>
                <w:rStyle w:val="Funotenzeichen"/>
                <w:sz w:val="20"/>
                <w:szCs w:val="20"/>
              </w:rPr>
              <w:t xml:space="preserve"> </w:t>
            </w:r>
            <w:r w:rsidRPr="00BE3728">
              <w:rPr>
                <w:rStyle w:val="Funotenzeichen"/>
                <w:sz w:val="20"/>
                <w:szCs w:val="20"/>
              </w:rPr>
              <w:footnoteReference w:id="623"/>
            </w:r>
            <w:r w:rsidRPr="00BE3728">
              <w:rPr>
                <w:sz w:val="20"/>
                <w:szCs w:val="20"/>
              </w:rPr>
              <w:t>) erfordere nicht, dass die ausländische Regierung ein Verhalten erzwingen könne. Es genüg</w:t>
            </w:r>
            <w:r>
              <w:rPr>
                <w:sz w:val="20"/>
                <w:szCs w:val="20"/>
              </w:rPr>
              <w:t>e</w:t>
            </w:r>
            <w:r w:rsidRPr="00BE3728">
              <w:rPr>
                <w:sz w:val="20"/>
                <w:szCs w:val="20"/>
              </w:rPr>
              <w:t xml:space="preserve"> ein mittelbarer Einfluss. Die weitere </w:t>
            </w:r>
            <w:r>
              <w:rPr>
                <w:sz w:val="20"/>
                <w:szCs w:val="20"/>
              </w:rPr>
              <w:t>Frage</w:t>
            </w:r>
            <w:r w:rsidRPr="00BE3728">
              <w:rPr>
                <w:sz w:val="20"/>
                <w:szCs w:val="20"/>
              </w:rPr>
              <w:t xml:space="preserve"> an den </w:t>
            </w:r>
            <w:r>
              <w:rPr>
                <w:sz w:val="20"/>
                <w:szCs w:val="20"/>
              </w:rPr>
              <w:t>U.S. Supreme Court</w:t>
            </w:r>
            <w:r w:rsidRPr="00BE3728">
              <w:rPr>
                <w:sz w:val="20"/>
                <w:szCs w:val="20"/>
              </w:rPr>
              <w:t xml:space="preserve"> laute: Inwiefern sei die Registrierung nach </w:t>
            </w:r>
            <w:r>
              <w:rPr>
                <w:sz w:val="20"/>
                <w:szCs w:val="20"/>
              </w:rPr>
              <w:t>§ </w:t>
            </w:r>
            <w:r w:rsidRPr="00BE3728">
              <w:rPr>
                <w:sz w:val="20"/>
                <w:szCs w:val="20"/>
              </w:rPr>
              <w:t xml:space="preserve">7 verfassungskonform? Der </w:t>
            </w:r>
            <w:r>
              <w:rPr>
                <w:sz w:val="20"/>
                <w:szCs w:val="20"/>
              </w:rPr>
              <w:t>U.S. Supreme Court</w:t>
            </w:r>
            <w:r w:rsidRPr="00BE3728">
              <w:rPr>
                <w:sz w:val="20"/>
                <w:szCs w:val="20"/>
              </w:rPr>
              <w:t xml:space="preserve"> urteilte, der Kongress verurteile die Betroffenen nicht strafrechtlich, was ein Verstoß gegen die Gewaltenteilung wäre („</w:t>
            </w:r>
            <w:proofErr w:type="spellStart"/>
            <w:r w:rsidRPr="00BE3728">
              <w:rPr>
                <w:sz w:val="20"/>
                <w:szCs w:val="20"/>
              </w:rPr>
              <w:t>bill</w:t>
            </w:r>
            <w:proofErr w:type="spellEnd"/>
            <w:r w:rsidRPr="00BE3728">
              <w:rPr>
                <w:sz w:val="20"/>
                <w:szCs w:val="20"/>
              </w:rPr>
              <w:t xml:space="preserve"> of </w:t>
            </w:r>
            <w:proofErr w:type="spellStart"/>
            <w:r w:rsidRPr="00BE3728">
              <w:rPr>
                <w:sz w:val="20"/>
                <w:szCs w:val="20"/>
              </w:rPr>
              <w:t>attainder</w:t>
            </w:r>
            <w:proofErr w:type="spellEnd"/>
            <w:r w:rsidRPr="00BE3728">
              <w:rPr>
                <w:sz w:val="20"/>
                <w:szCs w:val="20"/>
              </w:rPr>
              <w:t>“</w:t>
            </w:r>
            <w:r w:rsidRPr="00BE3728">
              <w:rPr>
                <w:rStyle w:val="Funotenzeichen"/>
                <w:sz w:val="20"/>
                <w:szCs w:val="20"/>
                <w:lang w:val="en-US"/>
              </w:rPr>
              <w:footnoteReference w:id="624"/>
            </w:r>
            <w:r w:rsidRPr="00BE3728">
              <w:rPr>
                <w:sz w:val="20"/>
                <w:szCs w:val="20"/>
              </w:rPr>
              <w:t xml:space="preserve">). Denn das Gesetz </w:t>
            </w:r>
            <w:r>
              <w:rPr>
                <w:sz w:val="20"/>
                <w:szCs w:val="20"/>
              </w:rPr>
              <w:t>werde</w:t>
            </w:r>
            <w:r w:rsidRPr="00BE3728">
              <w:rPr>
                <w:sz w:val="20"/>
                <w:szCs w:val="20"/>
              </w:rPr>
              <w:t xml:space="preserve"> nur</w:t>
            </w:r>
            <w:r>
              <w:rPr>
                <w:sz w:val="20"/>
                <w:szCs w:val="20"/>
              </w:rPr>
              <w:t xml:space="preserve"> durch</w:t>
            </w:r>
            <w:r w:rsidRPr="00BE3728">
              <w:rPr>
                <w:sz w:val="20"/>
                <w:szCs w:val="20"/>
              </w:rPr>
              <w:t xml:space="preserve"> die Aktivitäten der Organisation aus – nicht </w:t>
            </w:r>
            <w:r>
              <w:rPr>
                <w:sz w:val="20"/>
                <w:szCs w:val="20"/>
              </w:rPr>
              <w:t xml:space="preserve">durch </w:t>
            </w:r>
            <w:r w:rsidRPr="00BE3728">
              <w:rPr>
                <w:sz w:val="20"/>
                <w:szCs w:val="20"/>
              </w:rPr>
              <w:t xml:space="preserve">die Organisationen selbst. Zudem verletze </w:t>
            </w:r>
            <w:r>
              <w:rPr>
                <w:sz w:val="20"/>
                <w:szCs w:val="20"/>
              </w:rPr>
              <w:t>§ </w:t>
            </w:r>
            <w:r w:rsidRPr="00BE3728">
              <w:rPr>
                <w:sz w:val="20"/>
                <w:szCs w:val="20"/>
              </w:rPr>
              <w:t xml:space="preserve">7 nicht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Denn die Interessen der nationalen Sicherheit rechtfertig</w:t>
            </w:r>
            <w:r>
              <w:rPr>
                <w:sz w:val="20"/>
                <w:szCs w:val="20"/>
              </w:rPr>
              <w:t>ten</w:t>
            </w:r>
            <w:r w:rsidRPr="00BE3728">
              <w:rPr>
                <w:sz w:val="20"/>
                <w:szCs w:val="20"/>
              </w:rPr>
              <w:t>, dass Gruppen sich registrieren müssen, wenn sie die Existenz der Regierung bedrohen.</w:t>
            </w:r>
            <w:r w:rsidRPr="00BE3728">
              <w:rPr>
                <w:rStyle w:val="Funotenzeichen"/>
                <w:sz w:val="20"/>
                <w:szCs w:val="20"/>
              </w:rPr>
              <w:footnoteReference w:id="625"/>
            </w:r>
          </w:p>
          <w:p w14:paraId="15F78FCE" w14:textId="77777777" w:rsidR="00074551" w:rsidRPr="00E50B51" w:rsidRDefault="00074551" w:rsidP="00367133">
            <w:pPr>
              <w:jc w:val="both"/>
              <w:rPr>
                <w:sz w:val="20"/>
                <w:szCs w:val="20"/>
              </w:rPr>
            </w:pPr>
          </w:p>
        </w:tc>
        <w:tc>
          <w:tcPr>
            <w:tcW w:w="1822" w:type="pct"/>
          </w:tcPr>
          <w:p w14:paraId="55549439"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Immigration Law › Denaturalization of Naturalized Citizens › Administrative Proceedings</w:t>
            </w:r>
          </w:p>
          <w:p w14:paraId="28C72600" w14:textId="77777777" w:rsidR="00074551" w:rsidRPr="00BE3728" w:rsidRDefault="00074551" w:rsidP="00367133">
            <w:pPr>
              <w:jc w:val="both"/>
              <w:rPr>
                <w:sz w:val="20"/>
                <w:szCs w:val="20"/>
                <w:lang w:val="en-US"/>
              </w:rPr>
            </w:pPr>
          </w:p>
          <w:p w14:paraId="7B0998ED" w14:textId="77777777" w:rsidR="00074551" w:rsidRPr="00AB2276" w:rsidRDefault="00074551" w:rsidP="00367133">
            <w:pPr>
              <w:jc w:val="both"/>
              <w:rPr>
                <w:sz w:val="20"/>
                <w:szCs w:val="20"/>
                <w:lang w:val="en-US"/>
              </w:rPr>
            </w:pPr>
            <w:r w:rsidRPr="00BE3728">
              <w:rPr>
                <w:sz w:val="20"/>
                <w:szCs w:val="20"/>
              </w:rPr>
              <w:t xml:space="preserve">Wenn eine Person, die nach dem Inkrafttreten des </w:t>
            </w:r>
            <w:r w:rsidRPr="00B45592">
              <w:rPr>
                <w:i/>
                <w:sz w:val="20"/>
                <w:szCs w:val="20"/>
              </w:rPr>
              <w:t xml:space="preserve">Subversive </w:t>
            </w:r>
            <w:proofErr w:type="spellStart"/>
            <w:r w:rsidRPr="00B45592">
              <w:rPr>
                <w:i/>
                <w:sz w:val="20"/>
                <w:szCs w:val="20"/>
              </w:rPr>
              <w:t>Activities</w:t>
            </w:r>
            <w:proofErr w:type="spellEnd"/>
            <w:r w:rsidRPr="00B45592">
              <w:rPr>
                <w:i/>
                <w:sz w:val="20"/>
                <w:szCs w:val="20"/>
              </w:rPr>
              <w:t xml:space="preserve"> Control Act</w:t>
            </w:r>
            <w:r w:rsidRPr="00BE3728">
              <w:rPr>
                <w:sz w:val="20"/>
                <w:szCs w:val="20"/>
              </w:rPr>
              <w:t xml:space="preserve">, 50 U.S.C.S. </w:t>
            </w:r>
            <w:r>
              <w:rPr>
                <w:sz w:val="20"/>
                <w:szCs w:val="20"/>
              </w:rPr>
              <w:t>§ </w:t>
            </w:r>
            <w:r w:rsidRPr="00BE3728">
              <w:rPr>
                <w:sz w:val="20"/>
                <w:szCs w:val="20"/>
              </w:rPr>
              <w:t xml:space="preserve">781 eingebürgert wurde, innerhalb von fünf Jahren nach </w:t>
            </w:r>
            <w:r>
              <w:rPr>
                <w:sz w:val="20"/>
                <w:szCs w:val="20"/>
              </w:rPr>
              <w:t>ihrer</w:t>
            </w:r>
            <w:r w:rsidRPr="00BE3728">
              <w:rPr>
                <w:sz w:val="20"/>
                <w:szCs w:val="20"/>
              </w:rPr>
              <w:t xml:space="preserve"> Einbürgerung Mitglied einer Organisation </w:t>
            </w:r>
            <w:r>
              <w:rPr>
                <w:sz w:val="20"/>
                <w:szCs w:val="20"/>
              </w:rPr>
              <w:t>werde</w:t>
            </w:r>
            <w:r w:rsidRPr="00BE3728">
              <w:rPr>
                <w:sz w:val="20"/>
                <w:szCs w:val="20"/>
              </w:rPr>
              <w:t xml:space="preserve">, deren Mitgliedschaft oder Zugehörigkeit zum Zeitpunkt der Einbürgerung </w:t>
            </w:r>
            <w:r>
              <w:rPr>
                <w:sz w:val="20"/>
                <w:szCs w:val="20"/>
              </w:rPr>
              <w:t>ihre</w:t>
            </w:r>
            <w:r w:rsidRPr="00BE3728">
              <w:rPr>
                <w:sz w:val="20"/>
                <w:szCs w:val="20"/>
              </w:rPr>
              <w:t xml:space="preserve"> Einbürgerung ausgeschlossen hätte, dann </w:t>
            </w:r>
            <w:r>
              <w:rPr>
                <w:sz w:val="20"/>
                <w:szCs w:val="20"/>
              </w:rPr>
              <w:t>gelte</w:t>
            </w:r>
            <w:r w:rsidRPr="00BE3728">
              <w:rPr>
                <w:sz w:val="20"/>
                <w:szCs w:val="20"/>
              </w:rPr>
              <w:t xml:space="preserve"> dies als Anscheinsbeweis dafür, dass diese Person zum Zeitpunkt der Einbürgerung den Grundsätzen der Verfassung der Vereinigten Staaten und der guten Ordnung und dem Glück der Vereinigten Staaten nicht zugetan </w:t>
            </w:r>
            <w:r>
              <w:rPr>
                <w:sz w:val="20"/>
                <w:szCs w:val="20"/>
              </w:rPr>
              <w:t>gewesen sei</w:t>
            </w:r>
            <w:r w:rsidRPr="00BE3728">
              <w:rPr>
                <w:sz w:val="20"/>
                <w:szCs w:val="20"/>
              </w:rPr>
              <w:t xml:space="preserve">. </w:t>
            </w:r>
            <w:r w:rsidRPr="00BE3728">
              <w:rPr>
                <w:sz w:val="20"/>
                <w:szCs w:val="20"/>
                <w:lang w:val="en-US"/>
              </w:rPr>
              <w:t xml:space="preserve">Und in </w:t>
            </w:r>
            <w:proofErr w:type="spellStart"/>
            <w:r w:rsidRPr="00BE3728">
              <w:rPr>
                <w:sz w:val="20"/>
                <w:szCs w:val="20"/>
                <w:lang w:val="en-US"/>
              </w:rPr>
              <w:t>Ermangelung</w:t>
            </w:r>
            <w:proofErr w:type="spellEnd"/>
            <w:r w:rsidRPr="00BE3728">
              <w:rPr>
                <w:sz w:val="20"/>
                <w:szCs w:val="20"/>
                <w:lang w:val="en-US"/>
              </w:rPr>
              <w:t xml:space="preserve"> </w:t>
            </w:r>
            <w:proofErr w:type="spellStart"/>
            <w:r w:rsidRPr="00BE3728">
              <w:rPr>
                <w:sz w:val="20"/>
                <w:szCs w:val="20"/>
                <w:lang w:val="en-US"/>
              </w:rPr>
              <w:t>eines</w:t>
            </w:r>
            <w:proofErr w:type="spellEnd"/>
            <w:r w:rsidRPr="00BE3728">
              <w:rPr>
                <w:sz w:val="20"/>
                <w:szCs w:val="20"/>
                <w:lang w:val="en-US"/>
              </w:rPr>
              <w:t xml:space="preserve"> </w:t>
            </w:r>
            <w:proofErr w:type="spellStart"/>
            <w:r w:rsidRPr="00BE3728">
              <w:rPr>
                <w:sz w:val="20"/>
                <w:szCs w:val="20"/>
                <w:lang w:val="en-US"/>
              </w:rPr>
              <w:t>Gegenbeweises</w:t>
            </w:r>
            <w:proofErr w:type="spellEnd"/>
            <w:r w:rsidRPr="00BE3728">
              <w:rPr>
                <w:sz w:val="20"/>
                <w:szCs w:val="20"/>
                <w:lang w:val="en-US"/>
              </w:rPr>
              <w:t xml:space="preserve"> </w:t>
            </w:r>
            <w:proofErr w:type="spellStart"/>
            <w:r w:rsidRPr="00BE3728">
              <w:rPr>
                <w:sz w:val="20"/>
                <w:szCs w:val="20"/>
                <w:lang w:val="en-US"/>
              </w:rPr>
              <w:t>reich</w:t>
            </w:r>
            <w:r>
              <w:rPr>
                <w:sz w:val="20"/>
                <w:szCs w:val="20"/>
                <w:lang w:val="en-US"/>
              </w:rPr>
              <w:t>e</w:t>
            </w:r>
            <w:proofErr w:type="spellEnd"/>
            <w:r w:rsidRPr="00BE3728">
              <w:rPr>
                <w:sz w:val="20"/>
                <w:szCs w:val="20"/>
                <w:lang w:val="en-US"/>
              </w:rPr>
              <w:t xml:space="preserve"> dies </w:t>
            </w:r>
            <w:proofErr w:type="spellStart"/>
            <w:r w:rsidRPr="00BE3728">
              <w:rPr>
                <w:sz w:val="20"/>
                <w:szCs w:val="20"/>
                <w:lang w:val="en-US"/>
              </w:rPr>
              <w:t>aus</w:t>
            </w:r>
            <w:proofErr w:type="spellEnd"/>
            <w:r w:rsidRPr="00BE3728">
              <w:rPr>
                <w:sz w:val="20"/>
                <w:szCs w:val="20"/>
                <w:lang w:val="en-US"/>
              </w:rPr>
              <w:t xml:space="preserve">, um die </w:t>
            </w:r>
            <w:proofErr w:type="spellStart"/>
            <w:r w:rsidRPr="00BE3728">
              <w:rPr>
                <w:sz w:val="20"/>
                <w:szCs w:val="20"/>
                <w:lang w:val="en-US"/>
              </w:rPr>
              <w:t>Rücknahme</w:t>
            </w:r>
            <w:proofErr w:type="spellEnd"/>
            <w:r w:rsidRPr="00BE3728">
              <w:rPr>
                <w:sz w:val="20"/>
                <w:szCs w:val="20"/>
                <w:lang w:val="en-US"/>
              </w:rPr>
              <w:t xml:space="preserve"> der </w:t>
            </w:r>
            <w:proofErr w:type="spellStart"/>
            <w:r w:rsidRPr="00BE3728">
              <w:rPr>
                <w:sz w:val="20"/>
                <w:szCs w:val="20"/>
                <w:lang w:val="en-US"/>
              </w:rPr>
              <w:t>Einbürgerung</w:t>
            </w:r>
            <w:proofErr w:type="spellEnd"/>
            <w:r w:rsidRPr="00BE3728">
              <w:rPr>
                <w:sz w:val="20"/>
                <w:szCs w:val="20"/>
                <w:lang w:val="en-US"/>
              </w:rPr>
              <w:t xml:space="preserve">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rechtfertigen</w:t>
            </w:r>
            <w:proofErr w:type="spellEnd"/>
            <w:r w:rsidRPr="00BE3728">
              <w:rPr>
                <w:sz w:val="20"/>
                <w:szCs w:val="20"/>
                <w:lang w:val="en-US"/>
              </w:rPr>
              <w:t xml:space="preserve"> („it shall be considered prima facie evidence that such person was not attached to the principles of the United States Constitution and was not well disposed to the good order and happiness of the United </w:t>
            </w:r>
            <w:proofErr w:type="gramStart"/>
            <w:r w:rsidRPr="00BE3728">
              <w:rPr>
                <w:sz w:val="20"/>
                <w:szCs w:val="20"/>
                <w:lang w:val="en-US"/>
              </w:rPr>
              <w:t>States“</w:t>
            </w:r>
            <w:proofErr w:type="gramEnd"/>
            <w:r w:rsidRPr="00BE3728">
              <w:rPr>
                <w:rStyle w:val="Funotenzeichen"/>
                <w:sz w:val="20"/>
                <w:szCs w:val="20"/>
              </w:rPr>
              <w:footnoteReference w:id="626"/>
            </w:r>
            <w:r w:rsidRPr="00BE3728">
              <w:rPr>
                <w:sz w:val="20"/>
                <w:szCs w:val="20"/>
                <w:lang w:val="en-US"/>
              </w:rPr>
              <w:t>).</w:t>
            </w:r>
          </w:p>
        </w:tc>
      </w:tr>
      <w:tr w:rsidR="00074551" w:rsidRPr="00E50B51" w14:paraId="7604EC98" w14:textId="77777777" w:rsidTr="00A15DB3">
        <w:trPr>
          <w:cantSplit/>
          <w:trHeight w:val="3175"/>
        </w:trPr>
        <w:tc>
          <w:tcPr>
            <w:tcW w:w="293" w:type="pct"/>
            <w:shd w:val="clear" w:color="auto" w:fill="E7E6E6" w:themeFill="background2"/>
          </w:tcPr>
          <w:p w14:paraId="44FFBF84"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shd w:val="clear" w:color="auto" w:fill="E7E6E6" w:themeFill="background2"/>
            <w:textDirection w:val="tbRl"/>
            <w:vAlign w:val="center"/>
          </w:tcPr>
          <w:p w14:paraId="22630252" w14:textId="77777777" w:rsidR="00074551" w:rsidRPr="00E50B51"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4B5CD5AF" w14:textId="77777777" w:rsidR="00074551" w:rsidRPr="00E50B51" w:rsidRDefault="00074551" w:rsidP="00367133">
            <w:pPr>
              <w:ind w:left="113" w:right="113"/>
              <w:jc w:val="both"/>
              <w:rPr>
                <w:sz w:val="20"/>
                <w:szCs w:val="20"/>
                <w:lang w:val="en-US"/>
              </w:rPr>
            </w:pPr>
            <w:r w:rsidRPr="00BE3728">
              <w:rPr>
                <w:sz w:val="20"/>
                <w:szCs w:val="20"/>
                <w:lang w:val="en-US"/>
              </w:rPr>
              <w:t>Citizenship</w:t>
            </w:r>
          </w:p>
        </w:tc>
        <w:tc>
          <w:tcPr>
            <w:tcW w:w="306" w:type="pct"/>
            <w:shd w:val="clear" w:color="auto" w:fill="E7E6E6" w:themeFill="background2"/>
            <w:textDirection w:val="tbRl"/>
            <w:vAlign w:val="center"/>
          </w:tcPr>
          <w:p w14:paraId="437E88DE" w14:textId="77777777" w:rsidR="00074551" w:rsidRPr="00E50B51" w:rsidRDefault="00074551" w:rsidP="00367133">
            <w:pPr>
              <w:ind w:left="113" w:right="113"/>
              <w:jc w:val="both"/>
              <w:rPr>
                <w:sz w:val="20"/>
                <w:szCs w:val="20"/>
              </w:rPr>
            </w:pPr>
            <w:r w:rsidRPr="00BE3728">
              <w:rPr>
                <w:sz w:val="20"/>
                <w:szCs w:val="20"/>
                <w:lang w:val="en-US"/>
              </w:rPr>
              <w:t>Immigration Law</w:t>
            </w:r>
          </w:p>
        </w:tc>
        <w:tc>
          <w:tcPr>
            <w:tcW w:w="401" w:type="pct"/>
            <w:shd w:val="clear" w:color="auto" w:fill="E7E6E6" w:themeFill="background2"/>
            <w:textDirection w:val="tbRl"/>
          </w:tcPr>
          <w:p w14:paraId="685594DF" w14:textId="77777777" w:rsidR="00074551" w:rsidRDefault="00074551" w:rsidP="00367133">
            <w:pPr>
              <w:ind w:left="113" w:right="113"/>
              <w:rPr>
                <w:sz w:val="20"/>
                <w:szCs w:val="20"/>
                <w:lang w:val="en-US"/>
              </w:rPr>
            </w:pPr>
          </w:p>
          <w:p w14:paraId="363D2241" w14:textId="77777777" w:rsidR="00074551" w:rsidRPr="00E50B51" w:rsidRDefault="00074551" w:rsidP="00367133">
            <w:pPr>
              <w:ind w:left="113" w:right="113"/>
              <w:rPr>
                <w:sz w:val="20"/>
                <w:szCs w:val="20"/>
              </w:rPr>
            </w:pPr>
            <w:r w:rsidRPr="00BE3728">
              <w:rPr>
                <w:sz w:val="20"/>
                <w:szCs w:val="20"/>
                <w:lang w:val="en-US"/>
              </w:rPr>
              <w:t>Loss of Citizenship</w:t>
            </w:r>
          </w:p>
        </w:tc>
        <w:tc>
          <w:tcPr>
            <w:tcW w:w="1594" w:type="pct"/>
            <w:shd w:val="clear" w:color="auto" w:fill="E7E6E6" w:themeFill="background2"/>
            <w:vAlign w:val="center"/>
          </w:tcPr>
          <w:p w14:paraId="6257D906" w14:textId="77777777" w:rsidR="00074551" w:rsidRPr="00E50B51" w:rsidRDefault="00074551" w:rsidP="00367133">
            <w:pPr>
              <w:jc w:val="both"/>
              <w:rPr>
                <w:sz w:val="20"/>
                <w:szCs w:val="20"/>
              </w:rPr>
            </w:pPr>
          </w:p>
        </w:tc>
        <w:tc>
          <w:tcPr>
            <w:tcW w:w="1822" w:type="pct"/>
            <w:shd w:val="clear" w:color="auto" w:fill="E7E6E6" w:themeFill="background2"/>
          </w:tcPr>
          <w:p w14:paraId="5F2DAAF9" w14:textId="6E01E718" w:rsidR="00074551" w:rsidRPr="00E50B51" w:rsidRDefault="00A15DB3" w:rsidP="00A15DB3">
            <w:pPr>
              <w:rPr>
                <w:sz w:val="20"/>
                <w:szCs w:val="20"/>
              </w:rPr>
            </w:pPr>
            <w:r w:rsidRPr="00A15DB3">
              <w:rPr>
                <w:i/>
                <w:iCs/>
                <w:sz w:val="16"/>
                <w:szCs w:val="20"/>
              </w:rPr>
              <w:t>Thematische Gliederung der nachfolgenden Entscheidungen ↓</w:t>
            </w:r>
          </w:p>
        </w:tc>
      </w:tr>
      <w:tr w:rsidR="00074551" w:rsidRPr="00E50B51" w14:paraId="6359866D" w14:textId="77777777" w:rsidTr="00BE689F">
        <w:trPr>
          <w:cantSplit/>
          <w:trHeight w:val="3175"/>
        </w:trPr>
        <w:tc>
          <w:tcPr>
            <w:tcW w:w="293" w:type="pct"/>
          </w:tcPr>
          <w:p w14:paraId="35F570C4"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23F3D81C" w14:textId="77777777" w:rsidR="00074551" w:rsidRPr="00B45592" w:rsidRDefault="00074551" w:rsidP="00367133">
            <w:pPr>
              <w:ind w:left="113" w:right="416"/>
              <w:jc w:val="both"/>
              <w:rPr>
                <w:i/>
                <w:sz w:val="20"/>
                <w:szCs w:val="20"/>
              </w:rPr>
            </w:pPr>
            <w:r w:rsidRPr="00B45592">
              <w:rPr>
                <w:i/>
                <w:sz w:val="20"/>
                <w:szCs w:val="20"/>
              </w:rPr>
              <w:t>Baumgartner v. United States</w:t>
            </w:r>
          </w:p>
        </w:tc>
        <w:tc>
          <w:tcPr>
            <w:tcW w:w="197" w:type="pct"/>
            <w:textDirection w:val="tbRl"/>
            <w:vAlign w:val="center"/>
          </w:tcPr>
          <w:p w14:paraId="5CB679E5" w14:textId="77777777" w:rsidR="00074551" w:rsidRPr="00E50B51" w:rsidRDefault="00074551" w:rsidP="00367133">
            <w:pPr>
              <w:ind w:left="113" w:right="113"/>
              <w:jc w:val="both"/>
              <w:rPr>
                <w:sz w:val="20"/>
                <w:szCs w:val="20"/>
                <w:lang w:val="en-US"/>
              </w:rPr>
            </w:pPr>
            <w:r w:rsidRPr="00BE3728">
              <w:rPr>
                <w:sz w:val="20"/>
                <w:szCs w:val="20"/>
              </w:rPr>
              <w:t>322 U.S. 665</w:t>
            </w:r>
          </w:p>
        </w:tc>
        <w:tc>
          <w:tcPr>
            <w:tcW w:w="306" w:type="pct"/>
            <w:textDirection w:val="tbRl"/>
            <w:vAlign w:val="center"/>
          </w:tcPr>
          <w:p w14:paraId="5F6F2A38" w14:textId="77777777" w:rsidR="00074551" w:rsidRPr="00E50B51" w:rsidRDefault="00074551" w:rsidP="00367133">
            <w:pPr>
              <w:ind w:left="113" w:right="113"/>
              <w:jc w:val="both"/>
              <w:rPr>
                <w:sz w:val="20"/>
                <w:szCs w:val="20"/>
              </w:rPr>
            </w:pPr>
            <w:r w:rsidRPr="00BE3728">
              <w:rPr>
                <w:sz w:val="20"/>
                <w:szCs w:val="20"/>
              </w:rPr>
              <w:t>12. Juni 1944</w:t>
            </w:r>
          </w:p>
        </w:tc>
        <w:tc>
          <w:tcPr>
            <w:tcW w:w="401" w:type="pct"/>
          </w:tcPr>
          <w:p w14:paraId="46B392FD"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721ADC48" w14:textId="77777777" w:rsidR="00074551" w:rsidRPr="00BE3728" w:rsidRDefault="00074551" w:rsidP="00367133">
            <w:pPr>
              <w:jc w:val="both"/>
              <w:rPr>
                <w:sz w:val="20"/>
                <w:szCs w:val="20"/>
              </w:rPr>
            </w:pPr>
            <w:r w:rsidRPr="00BE3728">
              <w:rPr>
                <w:sz w:val="20"/>
                <w:szCs w:val="20"/>
              </w:rPr>
              <w:t xml:space="preserve">Ein Bürger ging gegen ein Dekret des </w:t>
            </w:r>
            <w:r w:rsidRPr="5B67C1D2">
              <w:rPr>
                <w:i/>
                <w:iCs/>
                <w:sz w:val="20"/>
                <w:szCs w:val="20"/>
              </w:rPr>
              <w:t xml:space="preserve">U.S. Court of Appeals für den </w:t>
            </w:r>
            <w:proofErr w:type="spellStart"/>
            <w:r w:rsidRPr="5B67C1D2">
              <w:rPr>
                <w:i/>
                <w:iCs/>
                <w:sz w:val="20"/>
                <w:szCs w:val="20"/>
              </w:rPr>
              <w:t>Eighth</w:t>
            </w:r>
            <w:proofErr w:type="spellEnd"/>
            <w:r w:rsidRPr="5B67C1D2">
              <w:rPr>
                <w:i/>
                <w:iCs/>
                <w:sz w:val="20"/>
                <w:szCs w:val="20"/>
              </w:rPr>
              <w:t xml:space="preserve"> Circuit</w:t>
            </w:r>
            <w:r w:rsidRPr="00BE3728">
              <w:rPr>
                <w:sz w:val="20"/>
                <w:szCs w:val="20"/>
              </w:rPr>
              <w:t xml:space="preserve"> vor. Dieser hatte aufgrund des </w:t>
            </w:r>
            <w:proofErr w:type="spellStart"/>
            <w:r w:rsidRPr="5B67C1D2">
              <w:rPr>
                <w:i/>
                <w:iCs/>
                <w:sz w:val="20"/>
                <w:szCs w:val="20"/>
              </w:rPr>
              <w:t>Nationality</w:t>
            </w:r>
            <w:proofErr w:type="spellEnd"/>
            <w:r w:rsidRPr="5B67C1D2">
              <w:rPr>
                <w:i/>
                <w:iCs/>
                <w:sz w:val="20"/>
                <w:szCs w:val="20"/>
              </w:rPr>
              <w:t xml:space="preserve"> Act</w:t>
            </w:r>
            <w:r w:rsidRPr="00BE3728">
              <w:rPr>
                <w:sz w:val="20"/>
                <w:szCs w:val="20"/>
              </w:rPr>
              <w:t xml:space="preserve"> von 1940, 8 U.S.C.S. </w:t>
            </w:r>
            <w:r>
              <w:rPr>
                <w:sz w:val="20"/>
                <w:szCs w:val="20"/>
              </w:rPr>
              <w:t>§ </w:t>
            </w:r>
            <w:r w:rsidRPr="00BE3728">
              <w:rPr>
                <w:sz w:val="20"/>
                <w:szCs w:val="20"/>
              </w:rPr>
              <w:t>738</w:t>
            </w:r>
            <w:r w:rsidRPr="00BE3728">
              <w:rPr>
                <w:rStyle w:val="Funotenzeichen"/>
                <w:sz w:val="20"/>
                <w:szCs w:val="20"/>
              </w:rPr>
              <w:footnoteReference w:id="627"/>
            </w:r>
            <w:r w:rsidRPr="00BE3728">
              <w:rPr>
                <w:sz w:val="20"/>
                <w:szCs w:val="20"/>
              </w:rPr>
              <w:t xml:space="preserve"> </w:t>
            </w:r>
            <w:r>
              <w:rPr>
                <w:sz w:val="20"/>
                <w:szCs w:val="20"/>
              </w:rPr>
              <w:t>die</w:t>
            </w:r>
            <w:r w:rsidRPr="00BE3728">
              <w:rPr>
                <w:sz w:val="20"/>
                <w:szCs w:val="20"/>
              </w:rPr>
              <w:t xml:space="preserve"> Einbürgerung </w:t>
            </w:r>
            <w:r>
              <w:rPr>
                <w:sz w:val="20"/>
                <w:szCs w:val="20"/>
              </w:rPr>
              <w:t xml:space="preserve">des Klägers </w:t>
            </w:r>
            <w:r w:rsidRPr="00BE3728">
              <w:rPr>
                <w:sz w:val="20"/>
                <w:szCs w:val="20"/>
              </w:rPr>
              <w:t xml:space="preserve">aufgehoben und seine Einbürgerungsurkunde für unwirksam erklärt. Der Antragsteller war </w:t>
            </w:r>
            <w:r>
              <w:rPr>
                <w:sz w:val="20"/>
                <w:szCs w:val="20"/>
              </w:rPr>
              <w:t>zehn</w:t>
            </w:r>
            <w:r w:rsidRPr="00BE3728">
              <w:rPr>
                <w:sz w:val="20"/>
                <w:szCs w:val="20"/>
              </w:rPr>
              <w:t xml:space="preserve"> Jahre lang Bürger der Vereinigten Staaten</w:t>
            </w:r>
            <w:r>
              <w:rPr>
                <w:sz w:val="20"/>
                <w:szCs w:val="20"/>
              </w:rPr>
              <w:t>, bevor</w:t>
            </w:r>
            <w:r w:rsidRPr="00BE3728">
              <w:rPr>
                <w:sz w:val="20"/>
                <w:szCs w:val="20"/>
              </w:rPr>
              <w:t xml:space="preserve"> ihm per Dekret die Staatsbürgerschaft entzogen</w:t>
            </w:r>
            <w:r>
              <w:rPr>
                <w:sz w:val="20"/>
                <w:szCs w:val="20"/>
              </w:rPr>
              <w:t xml:space="preserve"> wurde</w:t>
            </w:r>
            <w:r w:rsidRPr="00BE3728">
              <w:rPr>
                <w:sz w:val="20"/>
                <w:szCs w:val="20"/>
              </w:rPr>
              <w:t xml:space="preserve">. Der </w:t>
            </w:r>
            <w:r>
              <w:rPr>
                <w:sz w:val="20"/>
                <w:szCs w:val="20"/>
              </w:rPr>
              <w:t>U.S. Supreme Court</w:t>
            </w:r>
            <w:r w:rsidRPr="00BE3728">
              <w:rPr>
                <w:sz w:val="20"/>
                <w:szCs w:val="20"/>
              </w:rPr>
              <w:t xml:space="preserve"> urteilte aber, die Beweise reichten nicht aus, um den Entzug aufrechtzuerhalten. Denn diese </w:t>
            </w:r>
            <w:r>
              <w:rPr>
                <w:sz w:val="20"/>
                <w:szCs w:val="20"/>
              </w:rPr>
              <w:t>seien</w:t>
            </w:r>
            <w:r w:rsidRPr="00BE3728">
              <w:rPr>
                <w:sz w:val="20"/>
                <w:szCs w:val="20"/>
              </w:rPr>
              <w:t xml:space="preserve"> nicht </w:t>
            </w:r>
            <w:r>
              <w:rPr>
                <w:sz w:val="20"/>
                <w:szCs w:val="20"/>
              </w:rPr>
              <w:t>eindeutig genug</w:t>
            </w:r>
            <w:r w:rsidRPr="00BE3728">
              <w:rPr>
                <w:sz w:val="20"/>
                <w:szCs w:val="20"/>
              </w:rPr>
              <w:t xml:space="preserve">. Zwar zeigten sie, dass der Antragsteller kontroverse politische Ansichten hatte. Aber sie hätten beweisen müssen, dass der Antragsteller seine Treue zu Deutschland nicht </w:t>
            </w:r>
            <w:r>
              <w:rPr>
                <w:sz w:val="20"/>
                <w:szCs w:val="20"/>
              </w:rPr>
              <w:t>aufgegeben habe</w:t>
            </w:r>
            <w:r w:rsidRPr="00BE3728">
              <w:rPr>
                <w:sz w:val="20"/>
                <w:szCs w:val="20"/>
              </w:rPr>
              <w:t xml:space="preserve"> und dass er nicht beabsichtige,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und die Gesetze der Vereinigten Staaten zu unterstützen. Der </w:t>
            </w:r>
            <w:r>
              <w:rPr>
                <w:sz w:val="20"/>
                <w:szCs w:val="20"/>
              </w:rPr>
              <w:t>U.S. Supreme Court</w:t>
            </w:r>
            <w:r w:rsidRPr="00BE3728">
              <w:rPr>
                <w:sz w:val="20"/>
                <w:szCs w:val="20"/>
              </w:rPr>
              <w:t xml:space="preserve"> hob das Dekret auf und verwies den Fall zu erneuter Entscheidung zurück.</w:t>
            </w:r>
            <w:r w:rsidRPr="00BE3728">
              <w:rPr>
                <w:rStyle w:val="Funotenzeichen"/>
                <w:sz w:val="20"/>
                <w:szCs w:val="20"/>
              </w:rPr>
              <w:footnoteReference w:id="628"/>
            </w:r>
          </w:p>
          <w:p w14:paraId="0B81B756" w14:textId="77777777" w:rsidR="00074551" w:rsidRPr="00BE3728" w:rsidRDefault="00074551" w:rsidP="00367133">
            <w:pPr>
              <w:jc w:val="both"/>
              <w:rPr>
                <w:sz w:val="20"/>
                <w:szCs w:val="20"/>
              </w:rPr>
            </w:pPr>
          </w:p>
          <w:p w14:paraId="0A63176B" w14:textId="77777777" w:rsidR="00074551" w:rsidRPr="00BE3728" w:rsidRDefault="00074551" w:rsidP="00367133">
            <w:pPr>
              <w:jc w:val="both"/>
              <w:rPr>
                <w:sz w:val="20"/>
                <w:szCs w:val="20"/>
              </w:rPr>
            </w:pPr>
          </w:p>
          <w:p w14:paraId="168607B1" w14:textId="77777777" w:rsidR="00074551" w:rsidRPr="00BE3728" w:rsidRDefault="00074551" w:rsidP="00367133">
            <w:pPr>
              <w:jc w:val="both"/>
              <w:rPr>
                <w:sz w:val="20"/>
                <w:szCs w:val="20"/>
              </w:rPr>
            </w:pPr>
          </w:p>
          <w:p w14:paraId="2EE1BE09" w14:textId="77777777" w:rsidR="00074551" w:rsidRPr="00BE3728" w:rsidRDefault="00074551" w:rsidP="00367133">
            <w:pPr>
              <w:jc w:val="both"/>
              <w:rPr>
                <w:sz w:val="20"/>
                <w:szCs w:val="20"/>
              </w:rPr>
            </w:pPr>
          </w:p>
          <w:p w14:paraId="2544239B" w14:textId="77777777" w:rsidR="00074551" w:rsidRPr="00BE3728" w:rsidRDefault="00074551" w:rsidP="00367133">
            <w:pPr>
              <w:jc w:val="both"/>
              <w:rPr>
                <w:sz w:val="20"/>
                <w:szCs w:val="20"/>
              </w:rPr>
            </w:pPr>
          </w:p>
          <w:p w14:paraId="4216BDF6" w14:textId="77777777" w:rsidR="00074551" w:rsidRPr="00E50B51" w:rsidRDefault="00074551" w:rsidP="00367133">
            <w:pPr>
              <w:jc w:val="both"/>
              <w:rPr>
                <w:sz w:val="20"/>
                <w:szCs w:val="20"/>
              </w:rPr>
            </w:pPr>
          </w:p>
        </w:tc>
        <w:tc>
          <w:tcPr>
            <w:tcW w:w="1822" w:type="pct"/>
          </w:tcPr>
          <w:p w14:paraId="7D82593C"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Immigration Law › Loss of Citizenship › General Overview</w:t>
            </w:r>
          </w:p>
          <w:p w14:paraId="0CA64EF5" w14:textId="77777777" w:rsidR="00074551" w:rsidRPr="00BE3728" w:rsidRDefault="00074551" w:rsidP="00367133">
            <w:pPr>
              <w:jc w:val="both"/>
              <w:rPr>
                <w:sz w:val="20"/>
                <w:szCs w:val="20"/>
                <w:lang w:val="en-US"/>
              </w:rPr>
            </w:pPr>
          </w:p>
          <w:p w14:paraId="632FBFBB" w14:textId="77777777" w:rsidR="00074551" w:rsidRDefault="00074551" w:rsidP="00367133">
            <w:pPr>
              <w:jc w:val="both"/>
              <w:rPr>
                <w:sz w:val="20"/>
                <w:szCs w:val="20"/>
              </w:rPr>
            </w:pPr>
            <w:r w:rsidRPr="00BE3728">
              <w:rPr>
                <w:sz w:val="20"/>
                <w:szCs w:val="20"/>
              </w:rPr>
              <w:t>Aufgrund des erheblichen staatlichen Eingriffs müssen die Beweise für den Verlust der Staatsbürgerschaft klar und eindeutig sein</w:t>
            </w:r>
            <w:r>
              <w:rPr>
                <w:sz w:val="20"/>
                <w:szCs w:val="20"/>
              </w:rPr>
              <w:t>.</w:t>
            </w:r>
            <w:r w:rsidRPr="00BE3728">
              <w:rPr>
                <w:rStyle w:val="Funotenzeichen"/>
                <w:sz w:val="20"/>
                <w:szCs w:val="20"/>
              </w:rPr>
              <w:footnoteReference w:id="629"/>
            </w:r>
          </w:p>
          <w:p w14:paraId="39DB41A6" w14:textId="77777777" w:rsidR="00074551" w:rsidRDefault="00074551" w:rsidP="00367133">
            <w:pPr>
              <w:jc w:val="both"/>
              <w:rPr>
                <w:sz w:val="20"/>
                <w:szCs w:val="20"/>
              </w:rPr>
            </w:pPr>
          </w:p>
          <w:p w14:paraId="2B72598B" w14:textId="306BB479" w:rsidR="00074551" w:rsidRPr="00BE3728" w:rsidRDefault="00074551" w:rsidP="5B67C1D2">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erklärte den Maßstab, bis wohin eine Einbürgerungsurkunde verfassungskonform sei bzw. ab wann eine Einbürgerung zurückgenommen werden solle. Dies beurteile sich daran, wie sich eine Person zum Zeitpunkt </w:t>
            </w:r>
            <w:r>
              <w:rPr>
                <w:sz w:val="20"/>
                <w:szCs w:val="20"/>
              </w:rPr>
              <w:t>ihrer</w:t>
            </w:r>
            <w:r w:rsidRPr="00BE3728">
              <w:rPr>
                <w:sz w:val="20"/>
                <w:szCs w:val="20"/>
              </w:rPr>
              <w:t xml:space="preserve"> Einbürgerung und fünf Jahre davor zu den Prinzipien der Verfassung verhalten </w:t>
            </w:r>
            <w:r>
              <w:rPr>
                <w:sz w:val="20"/>
                <w:szCs w:val="20"/>
              </w:rPr>
              <w:t>habe</w:t>
            </w:r>
            <w:r w:rsidRPr="00BE3728">
              <w:rPr>
                <w:sz w:val="20"/>
                <w:szCs w:val="20"/>
              </w:rPr>
              <w:t>. Das wiederum meint, dass die Person in guter Ordnung gelebt und das Glück der Vereinigten Staaten gefördert habe</w:t>
            </w:r>
            <w:r>
              <w:rPr>
                <w:sz w:val="20"/>
                <w:szCs w:val="20"/>
              </w:rPr>
              <w:t>n müsse</w:t>
            </w:r>
            <w:r w:rsidRPr="00BE3728">
              <w:rPr>
                <w:sz w:val="20"/>
                <w:szCs w:val="20"/>
              </w:rPr>
              <w:t xml:space="preserve"> („</w:t>
            </w:r>
            <w:proofErr w:type="spellStart"/>
            <w:r w:rsidRPr="5B67C1D2">
              <w:rPr>
                <w:sz w:val="20"/>
                <w:szCs w:val="20"/>
              </w:rPr>
              <w:t>well</w:t>
            </w:r>
            <w:proofErr w:type="spellEnd"/>
            <w:r w:rsidRPr="5B67C1D2">
              <w:rPr>
                <w:sz w:val="20"/>
                <w:szCs w:val="20"/>
              </w:rPr>
              <w:t xml:space="preserve"> </w:t>
            </w:r>
            <w:proofErr w:type="spellStart"/>
            <w:r w:rsidRPr="5B67C1D2">
              <w:rPr>
                <w:sz w:val="20"/>
                <w:szCs w:val="20"/>
              </w:rPr>
              <w:t>disposed</w:t>
            </w:r>
            <w:proofErr w:type="spellEnd"/>
            <w:r w:rsidRPr="5B67C1D2">
              <w:rPr>
                <w:sz w:val="20"/>
                <w:szCs w:val="20"/>
              </w:rPr>
              <w:t xml:space="preserve"> to the </w:t>
            </w:r>
            <w:proofErr w:type="spellStart"/>
            <w:r w:rsidRPr="5B67C1D2">
              <w:rPr>
                <w:sz w:val="20"/>
                <w:szCs w:val="20"/>
              </w:rPr>
              <w:t>good</w:t>
            </w:r>
            <w:proofErr w:type="spellEnd"/>
            <w:r w:rsidRPr="5B67C1D2">
              <w:rPr>
                <w:sz w:val="20"/>
                <w:szCs w:val="20"/>
              </w:rPr>
              <w:t xml:space="preserve"> </w:t>
            </w:r>
            <w:proofErr w:type="spellStart"/>
            <w:r w:rsidRPr="5B67C1D2">
              <w:rPr>
                <w:sz w:val="20"/>
                <w:szCs w:val="20"/>
              </w:rPr>
              <w:t>order</w:t>
            </w:r>
            <w:proofErr w:type="spellEnd"/>
            <w:r w:rsidRPr="5B67C1D2">
              <w:rPr>
                <w:sz w:val="20"/>
                <w:szCs w:val="20"/>
              </w:rPr>
              <w:t xml:space="preserve"> and </w:t>
            </w:r>
            <w:proofErr w:type="spellStart"/>
            <w:r w:rsidRPr="5B67C1D2">
              <w:rPr>
                <w:sz w:val="20"/>
                <w:szCs w:val="20"/>
              </w:rPr>
              <w:t>happiness</w:t>
            </w:r>
            <w:proofErr w:type="spellEnd"/>
            <w:r w:rsidRPr="5B67C1D2">
              <w:rPr>
                <w:sz w:val="20"/>
                <w:szCs w:val="20"/>
              </w:rPr>
              <w:t xml:space="preserve"> of the United States“</w:t>
            </w:r>
            <w:r w:rsidRPr="00BE3728">
              <w:rPr>
                <w:rStyle w:val="Funotenzeichen"/>
                <w:sz w:val="20"/>
                <w:szCs w:val="20"/>
              </w:rPr>
              <w:footnoteReference w:id="630"/>
            </w:r>
            <w:r w:rsidRPr="00BE3728">
              <w:rPr>
                <w:sz w:val="20"/>
                <w:szCs w:val="20"/>
              </w:rPr>
              <w:t xml:space="preserve">). Dafür, dass dies nicht vorliege, trage die Regierung die Beweislast. Die Beweislast </w:t>
            </w:r>
            <w:r>
              <w:rPr>
                <w:sz w:val="20"/>
                <w:szCs w:val="20"/>
              </w:rPr>
              <w:t>sei</w:t>
            </w:r>
            <w:r w:rsidRPr="00BE3728">
              <w:rPr>
                <w:sz w:val="20"/>
                <w:szCs w:val="20"/>
              </w:rPr>
              <w:t xml:space="preserve"> erfüllt, wenn sich der Eingebürgerte einem Unrechtsstaat oder dessen politischer Idee gegenüber loyal verhalten habe, Beispiele da</w:t>
            </w:r>
            <w:r w:rsidRPr="5B67C1D2">
              <w:rPr>
                <w:sz w:val="20"/>
                <w:szCs w:val="20"/>
              </w:rPr>
              <w:t xml:space="preserve">für seien der Kommunismus oder Nationalsozialismus („a </w:t>
            </w:r>
            <w:proofErr w:type="spellStart"/>
            <w:r w:rsidRPr="5B67C1D2">
              <w:rPr>
                <w:sz w:val="20"/>
                <w:szCs w:val="20"/>
              </w:rPr>
              <w:t>Communist</w:t>
            </w:r>
            <w:proofErr w:type="spellEnd"/>
            <w:r w:rsidRPr="5B67C1D2">
              <w:rPr>
                <w:sz w:val="20"/>
                <w:szCs w:val="20"/>
              </w:rPr>
              <w:t xml:space="preserve">, a Nazi </w:t>
            </w:r>
            <w:proofErr w:type="spellStart"/>
            <w:r w:rsidRPr="5B67C1D2">
              <w:rPr>
                <w:sz w:val="20"/>
                <w:szCs w:val="20"/>
              </w:rPr>
              <w:t>or</w:t>
            </w:r>
            <w:proofErr w:type="spellEnd"/>
            <w:r w:rsidRPr="5B67C1D2">
              <w:rPr>
                <w:sz w:val="20"/>
                <w:szCs w:val="20"/>
              </w:rPr>
              <w:t xml:space="preserve"> a </w:t>
            </w:r>
            <w:proofErr w:type="spellStart"/>
            <w:r w:rsidRPr="5B67C1D2">
              <w:rPr>
                <w:sz w:val="20"/>
                <w:szCs w:val="20"/>
              </w:rPr>
              <w:t>follower</w:t>
            </w:r>
            <w:proofErr w:type="spellEnd"/>
            <w:r w:rsidRPr="5B67C1D2">
              <w:rPr>
                <w:sz w:val="20"/>
                <w:szCs w:val="20"/>
              </w:rPr>
              <w:t xml:space="preserve"> of </w:t>
            </w:r>
            <w:proofErr w:type="spellStart"/>
            <w:r w:rsidRPr="5B67C1D2">
              <w:rPr>
                <w:sz w:val="20"/>
                <w:szCs w:val="20"/>
              </w:rPr>
              <w:t>any</w:t>
            </w:r>
            <w:proofErr w:type="spellEnd"/>
            <w:r w:rsidRPr="5B67C1D2">
              <w:rPr>
                <w:sz w:val="20"/>
                <w:szCs w:val="20"/>
              </w:rPr>
              <w:t xml:space="preserve"> </w:t>
            </w:r>
            <w:proofErr w:type="spellStart"/>
            <w:r w:rsidRPr="5B67C1D2">
              <w:rPr>
                <w:sz w:val="20"/>
                <w:szCs w:val="20"/>
              </w:rPr>
              <w:t>other</w:t>
            </w:r>
            <w:proofErr w:type="spellEnd"/>
            <w:r w:rsidRPr="5B67C1D2">
              <w:rPr>
                <w:sz w:val="20"/>
                <w:szCs w:val="20"/>
              </w:rPr>
              <w:t xml:space="preserve"> </w:t>
            </w:r>
            <w:proofErr w:type="spellStart"/>
            <w:r w:rsidRPr="5B67C1D2">
              <w:rPr>
                <w:sz w:val="20"/>
                <w:szCs w:val="20"/>
              </w:rPr>
              <w:t>political</w:t>
            </w:r>
            <w:proofErr w:type="spellEnd"/>
            <w:r w:rsidRPr="5B67C1D2">
              <w:rPr>
                <w:sz w:val="20"/>
                <w:szCs w:val="20"/>
              </w:rPr>
              <w:t xml:space="preserve"> </w:t>
            </w:r>
            <w:proofErr w:type="spellStart"/>
            <w:r w:rsidRPr="5B67C1D2">
              <w:rPr>
                <w:sz w:val="20"/>
                <w:szCs w:val="20"/>
              </w:rPr>
              <w:t>faith</w:t>
            </w:r>
            <w:proofErr w:type="spellEnd"/>
            <w:r w:rsidRPr="5B67C1D2">
              <w:rPr>
                <w:sz w:val="20"/>
                <w:szCs w:val="20"/>
              </w:rPr>
              <w:t>“</w:t>
            </w:r>
            <w:r w:rsidRPr="5B67C1D2">
              <w:rPr>
                <w:rStyle w:val="Funotenzeichen"/>
                <w:sz w:val="20"/>
                <w:szCs w:val="20"/>
                <w:lang w:val="en-US"/>
              </w:rPr>
              <w:footnoteReference w:id="631"/>
            </w:r>
            <w:r w:rsidRPr="5B67C1D2">
              <w:rPr>
                <w:sz w:val="20"/>
                <w:szCs w:val="20"/>
              </w:rPr>
              <w:t xml:space="preserve">). </w:t>
            </w:r>
            <w:r w:rsidR="0FF18C26" w:rsidRPr="5B67C1D2">
              <w:rPr>
                <w:color w:val="242424"/>
                <w:sz w:val="20"/>
                <w:szCs w:val="20"/>
              </w:rPr>
              <w:t>Im Fall sei die Regierung dieser Beweislast jedoch nicht nachgekommen („</w:t>
            </w:r>
            <w:proofErr w:type="spellStart"/>
            <w:r w:rsidR="0FF18C26" w:rsidRPr="5B67C1D2">
              <w:rPr>
                <w:color w:val="242424"/>
                <w:sz w:val="20"/>
                <w:szCs w:val="20"/>
              </w:rPr>
              <w:t>failure</w:t>
            </w:r>
            <w:proofErr w:type="spellEnd"/>
            <w:r w:rsidR="0FF18C26" w:rsidRPr="5B67C1D2">
              <w:rPr>
                <w:color w:val="242424"/>
                <w:sz w:val="20"/>
                <w:szCs w:val="20"/>
              </w:rPr>
              <w:t xml:space="preserve"> of the Government to </w:t>
            </w:r>
            <w:proofErr w:type="spellStart"/>
            <w:r w:rsidR="0FF18C26" w:rsidRPr="5B67C1D2">
              <w:rPr>
                <w:color w:val="242424"/>
                <w:sz w:val="20"/>
                <w:szCs w:val="20"/>
              </w:rPr>
              <w:t>present</w:t>
            </w:r>
            <w:proofErr w:type="spellEnd"/>
            <w:r w:rsidR="0FF18C26" w:rsidRPr="5B67C1D2">
              <w:rPr>
                <w:color w:val="242424"/>
                <w:sz w:val="20"/>
                <w:szCs w:val="20"/>
              </w:rPr>
              <w:t xml:space="preserve"> </w:t>
            </w:r>
            <w:proofErr w:type="spellStart"/>
            <w:r w:rsidR="0FF18C26" w:rsidRPr="5B67C1D2">
              <w:rPr>
                <w:color w:val="242424"/>
                <w:sz w:val="20"/>
                <w:szCs w:val="20"/>
              </w:rPr>
              <w:t>evidence</w:t>
            </w:r>
            <w:proofErr w:type="spellEnd"/>
            <w:r w:rsidR="0FF18C26" w:rsidRPr="5B67C1D2">
              <w:rPr>
                <w:color w:val="242424"/>
                <w:sz w:val="20"/>
                <w:szCs w:val="20"/>
              </w:rPr>
              <w:t xml:space="preserve"> of </w:t>
            </w:r>
            <w:proofErr w:type="gramStart"/>
            <w:r w:rsidR="0FF18C26" w:rsidRPr="5B67C1D2">
              <w:rPr>
                <w:color w:val="242424"/>
                <w:sz w:val="20"/>
                <w:szCs w:val="20"/>
              </w:rPr>
              <w:t>a ,</w:t>
            </w:r>
            <w:proofErr w:type="spellStart"/>
            <w:r w:rsidR="0FF18C26" w:rsidRPr="5B67C1D2">
              <w:rPr>
                <w:color w:val="242424"/>
                <w:sz w:val="20"/>
                <w:szCs w:val="20"/>
              </w:rPr>
              <w:t>clear</w:t>
            </w:r>
            <w:proofErr w:type="spellEnd"/>
            <w:proofErr w:type="gramEnd"/>
            <w:r w:rsidR="0FF18C26" w:rsidRPr="5B67C1D2">
              <w:rPr>
                <w:color w:val="242424"/>
                <w:sz w:val="20"/>
                <w:szCs w:val="20"/>
              </w:rPr>
              <w:t xml:space="preserve">, </w:t>
            </w:r>
            <w:proofErr w:type="spellStart"/>
            <w:r w:rsidR="0FF18C26" w:rsidRPr="5B67C1D2">
              <w:rPr>
                <w:color w:val="242424"/>
                <w:sz w:val="20"/>
                <w:szCs w:val="20"/>
              </w:rPr>
              <w:t>unequivocal</w:t>
            </w:r>
            <w:proofErr w:type="spellEnd"/>
            <w:r w:rsidR="0FF18C26" w:rsidRPr="5B67C1D2">
              <w:rPr>
                <w:color w:val="242424"/>
                <w:sz w:val="20"/>
                <w:szCs w:val="20"/>
              </w:rPr>
              <w:t xml:space="preserve">, and </w:t>
            </w:r>
            <w:proofErr w:type="spellStart"/>
            <w:r w:rsidR="0FF18C26" w:rsidRPr="5B67C1D2">
              <w:rPr>
                <w:color w:val="242424"/>
                <w:sz w:val="20"/>
                <w:szCs w:val="20"/>
              </w:rPr>
              <w:t>convincing</w:t>
            </w:r>
            <w:proofErr w:type="spellEnd"/>
            <w:r w:rsidR="0FF18C26" w:rsidRPr="5B67C1D2">
              <w:rPr>
                <w:color w:val="242424"/>
                <w:sz w:val="20"/>
                <w:szCs w:val="20"/>
              </w:rPr>
              <w:t xml:space="preserve">‘ </w:t>
            </w:r>
            <w:proofErr w:type="spellStart"/>
            <w:r w:rsidR="0FF18C26" w:rsidRPr="5B67C1D2">
              <w:rPr>
                <w:color w:val="242424"/>
                <w:sz w:val="20"/>
                <w:szCs w:val="20"/>
              </w:rPr>
              <w:t>nature</w:t>
            </w:r>
            <w:proofErr w:type="spellEnd"/>
            <w:r w:rsidR="0FF18C26" w:rsidRPr="5B67C1D2">
              <w:rPr>
                <w:color w:val="242424"/>
                <w:sz w:val="20"/>
                <w:szCs w:val="20"/>
              </w:rPr>
              <w:t>“</w:t>
            </w:r>
            <w:r w:rsidRPr="5B67C1D2">
              <w:rPr>
                <w:sz w:val="20"/>
                <w:szCs w:val="20"/>
                <w:vertAlign w:val="superscript"/>
              </w:rPr>
              <w:footnoteReference w:id="632"/>
            </w:r>
            <w:r w:rsidRPr="5B67C1D2">
              <w:rPr>
                <w:sz w:val="20"/>
                <w:szCs w:val="20"/>
                <w:lang w:val="en-US"/>
              </w:rPr>
              <w:t xml:space="preserve">). </w:t>
            </w:r>
            <w:r w:rsidRPr="5B67C1D2">
              <w:rPr>
                <w:sz w:val="20"/>
                <w:szCs w:val="20"/>
              </w:rPr>
              <w:t>Der Bürger konterkariere damit u.a. das Verfassungsprinzips des Glücks.</w:t>
            </w:r>
          </w:p>
          <w:p w14:paraId="5CE1F3F9" w14:textId="77777777" w:rsidR="00074551" w:rsidRPr="00E50B51" w:rsidRDefault="00074551" w:rsidP="00367133">
            <w:pPr>
              <w:jc w:val="both"/>
              <w:rPr>
                <w:sz w:val="20"/>
                <w:szCs w:val="20"/>
              </w:rPr>
            </w:pPr>
          </w:p>
        </w:tc>
      </w:tr>
      <w:tr w:rsidR="00074551" w:rsidRPr="00E50B51" w14:paraId="7D657994" w14:textId="77777777" w:rsidTr="00BE689F">
        <w:trPr>
          <w:cantSplit/>
          <w:trHeight w:val="3175"/>
        </w:trPr>
        <w:tc>
          <w:tcPr>
            <w:tcW w:w="293" w:type="pct"/>
          </w:tcPr>
          <w:p w14:paraId="7C86DDCF"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5CF842B6" w14:textId="77777777" w:rsidR="00074551" w:rsidRPr="00B45592" w:rsidRDefault="00074551" w:rsidP="00367133">
            <w:pPr>
              <w:ind w:left="113" w:right="416"/>
              <w:jc w:val="both"/>
              <w:rPr>
                <w:i/>
                <w:sz w:val="20"/>
                <w:szCs w:val="20"/>
              </w:rPr>
            </w:pPr>
            <w:proofErr w:type="spellStart"/>
            <w:r w:rsidRPr="00B45592">
              <w:rPr>
                <w:i/>
                <w:sz w:val="20"/>
                <w:szCs w:val="20"/>
              </w:rPr>
              <w:t>Klapprott</w:t>
            </w:r>
            <w:proofErr w:type="spellEnd"/>
            <w:r w:rsidRPr="00B45592">
              <w:rPr>
                <w:i/>
                <w:sz w:val="20"/>
                <w:szCs w:val="20"/>
              </w:rPr>
              <w:t xml:space="preserve"> v. United States</w:t>
            </w:r>
          </w:p>
        </w:tc>
        <w:tc>
          <w:tcPr>
            <w:tcW w:w="197" w:type="pct"/>
            <w:textDirection w:val="tbRl"/>
            <w:vAlign w:val="center"/>
          </w:tcPr>
          <w:p w14:paraId="3B242B57" w14:textId="77777777" w:rsidR="00074551" w:rsidRPr="00E50B51" w:rsidRDefault="00074551" w:rsidP="00367133">
            <w:pPr>
              <w:ind w:left="113" w:right="113"/>
              <w:jc w:val="both"/>
              <w:rPr>
                <w:sz w:val="20"/>
                <w:szCs w:val="20"/>
                <w:lang w:val="en-US"/>
              </w:rPr>
            </w:pPr>
            <w:r w:rsidRPr="00BE3728">
              <w:rPr>
                <w:sz w:val="20"/>
                <w:szCs w:val="20"/>
              </w:rPr>
              <w:t>335 U.S. 601</w:t>
            </w:r>
          </w:p>
        </w:tc>
        <w:tc>
          <w:tcPr>
            <w:tcW w:w="306" w:type="pct"/>
            <w:textDirection w:val="tbRl"/>
            <w:vAlign w:val="center"/>
          </w:tcPr>
          <w:p w14:paraId="759F7FAB" w14:textId="77777777" w:rsidR="00074551" w:rsidRPr="00E50B51" w:rsidRDefault="00074551" w:rsidP="00367133">
            <w:pPr>
              <w:ind w:left="113" w:right="113"/>
              <w:jc w:val="both"/>
              <w:rPr>
                <w:sz w:val="20"/>
                <w:szCs w:val="20"/>
              </w:rPr>
            </w:pPr>
            <w:r w:rsidRPr="00BE3728">
              <w:rPr>
                <w:sz w:val="20"/>
                <w:szCs w:val="20"/>
              </w:rPr>
              <w:t>17. Januar 1949</w:t>
            </w:r>
          </w:p>
        </w:tc>
        <w:tc>
          <w:tcPr>
            <w:tcW w:w="401" w:type="pct"/>
          </w:tcPr>
          <w:p w14:paraId="02F1C5E0"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1040D481" w14:textId="77777777" w:rsidR="00074551" w:rsidRPr="00BE3728" w:rsidRDefault="00074551" w:rsidP="00367133">
            <w:pPr>
              <w:jc w:val="both"/>
              <w:rPr>
                <w:sz w:val="20"/>
                <w:szCs w:val="20"/>
              </w:rPr>
            </w:pPr>
            <w:r w:rsidRPr="00BE3728">
              <w:rPr>
                <w:sz w:val="20"/>
                <w:szCs w:val="20"/>
              </w:rPr>
              <w:t xml:space="preserve">In </w:t>
            </w:r>
            <w:proofErr w:type="spellStart"/>
            <w:r w:rsidRPr="00F41900">
              <w:rPr>
                <w:i/>
                <w:sz w:val="20"/>
                <w:szCs w:val="20"/>
              </w:rPr>
              <w:t>Klapprott</w:t>
            </w:r>
            <w:proofErr w:type="spellEnd"/>
            <w:r w:rsidRPr="00F41900">
              <w:rPr>
                <w:i/>
                <w:sz w:val="20"/>
                <w:szCs w:val="20"/>
              </w:rPr>
              <w:t xml:space="preserve"> v. United States</w:t>
            </w:r>
            <w:r w:rsidRPr="00BE3728" w:rsidDel="009167A5">
              <w:rPr>
                <w:sz w:val="20"/>
                <w:szCs w:val="20"/>
              </w:rPr>
              <w:t xml:space="preserve"> </w:t>
            </w:r>
            <w:r w:rsidRPr="00BE3728">
              <w:rPr>
                <w:sz w:val="20"/>
                <w:szCs w:val="20"/>
              </w:rPr>
              <w:t xml:space="preserve">gewährte der </w:t>
            </w:r>
            <w:r>
              <w:rPr>
                <w:sz w:val="20"/>
                <w:szCs w:val="20"/>
              </w:rPr>
              <w:t>U.S. Supreme Court</w:t>
            </w:r>
            <w:r w:rsidRPr="00BE3728">
              <w:rPr>
                <w:sz w:val="20"/>
                <w:szCs w:val="20"/>
              </w:rPr>
              <w:t xml:space="preserve"> eine</w:t>
            </w:r>
            <w:r>
              <w:rPr>
                <w:sz w:val="20"/>
                <w:szCs w:val="20"/>
              </w:rPr>
              <w:t>n</w:t>
            </w:r>
            <w:r w:rsidRPr="00BE3728">
              <w:rPr>
                <w:sz w:val="20"/>
                <w:szCs w:val="20"/>
              </w:rPr>
              <w:t xml:space="preserve"> sog.</w:t>
            </w:r>
            <w:r>
              <w:rPr>
                <w:sz w:val="20"/>
                <w:szCs w:val="20"/>
              </w:rPr>
              <w:t xml:space="preserve"> </w:t>
            </w:r>
            <w:r w:rsidRPr="00BE3728">
              <w:rPr>
                <w:sz w:val="20"/>
                <w:szCs w:val="20"/>
              </w:rPr>
              <w:t xml:space="preserve">Härtefall gemäß Fed. R. </w:t>
            </w:r>
            <w:proofErr w:type="spellStart"/>
            <w:r w:rsidRPr="00BE3728">
              <w:rPr>
                <w:sz w:val="20"/>
                <w:szCs w:val="20"/>
              </w:rPr>
              <w:t>Civ</w:t>
            </w:r>
            <w:proofErr w:type="spellEnd"/>
            <w:r w:rsidRPr="00BE3728">
              <w:rPr>
                <w:sz w:val="20"/>
                <w:szCs w:val="20"/>
              </w:rPr>
              <w:t>. P. 60(b)</w:t>
            </w:r>
            <w:r>
              <w:rPr>
                <w:sz w:val="20"/>
                <w:szCs w:val="20"/>
              </w:rPr>
              <w:t>,</w:t>
            </w:r>
            <w:r w:rsidRPr="00BE3728">
              <w:rPr>
                <w:rStyle w:val="Funotenzeichen"/>
                <w:sz w:val="20"/>
                <w:szCs w:val="20"/>
              </w:rPr>
              <w:footnoteReference w:id="633"/>
            </w:r>
            <w:r>
              <w:rPr>
                <w:sz w:val="20"/>
                <w:szCs w:val="20"/>
              </w:rPr>
              <w:t xml:space="preserve"> d.h</w:t>
            </w:r>
            <w:r w:rsidRPr="00BE3728">
              <w:rPr>
                <w:sz w:val="20"/>
                <w:szCs w:val="20"/>
              </w:rPr>
              <w:t xml:space="preserve">. er erklärte eine Ausnahme. Hier bedeutete dies: Gerichte können Personen nicht mit einem Versäumnisurteil ohne Beweisführung verurteilen, wenn die Personen des Verbrechens beschuldigt werden. Und der </w:t>
            </w:r>
            <w:r>
              <w:rPr>
                <w:sz w:val="20"/>
                <w:szCs w:val="20"/>
              </w:rPr>
              <w:t>U.S. Supreme Court</w:t>
            </w:r>
            <w:r w:rsidRPr="00BE3728">
              <w:rPr>
                <w:sz w:val="20"/>
                <w:szCs w:val="20"/>
              </w:rPr>
              <w:t xml:space="preserve"> erweiterte dies: Selbst Scheidungsurteile oder Versäumnisurteile bezüglich Schadensersatzforderungen, bei denen der Betrag unklar sei, erforder</w:t>
            </w:r>
            <w:r>
              <w:rPr>
                <w:sz w:val="20"/>
                <w:szCs w:val="20"/>
              </w:rPr>
              <w:t>te</w:t>
            </w:r>
            <w:r w:rsidRPr="00BE3728">
              <w:rPr>
                <w:sz w:val="20"/>
                <w:szCs w:val="20"/>
              </w:rPr>
              <w:t xml:space="preserve">n eine Beweisführung. Hier deuteten die Umstände darauf, dass </w:t>
            </w:r>
            <w:proofErr w:type="spellStart"/>
            <w:r w:rsidRPr="00BE3728">
              <w:rPr>
                <w:sz w:val="20"/>
                <w:szCs w:val="20"/>
              </w:rPr>
              <w:t>Klapprott</w:t>
            </w:r>
            <w:proofErr w:type="spellEnd"/>
            <w:r w:rsidRPr="00BE3728">
              <w:rPr>
                <w:sz w:val="20"/>
                <w:szCs w:val="20"/>
              </w:rPr>
              <w:t xml:space="preserve"> eine</w:t>
            </w:r>
            <w:r>
              <w:rPr>
                <w:sz w:val="20"/>
                <w:szCs w:val="20"/>
              </w:rPr>
              <w:t>r</w:t>
            </w:r>
            <w:r w:rsidRPr="00BE3728">
              <w:rPr>
                <w:sz w:val="20"/>
                <w:szCs w:val="20"/>
              </w:rPr>
              <w:t xml:space="preserve"> Ausnahme bedurfte. Ihn betraf kein Verschulden. Denn die Umstände waren</w:t>
            </w:r>
            <w:r>
              <w:rPr>
                <w:sz w:val="20"/>
                <w:szCs w:val="20"/>
              </w:rPr>
              <w:t xml:space="preserve"> so</w:t>
            </w:r>
            <w:r w:rsidRPr="00BE3728">
              <w:rPr>
                <w:sz w:val="20"/>
                <w:szCs w:val="20"/>
              </w:rPr>
              <w:t xml:space="preserve">, dass es </w:t>
            </w:r>
            <w:proofErr w:type="spellStart"/>
            <w:r w:rsidRPr="00BE3728">
              <w:rPr>
                <w:sz w:val="20"/>
                <w:szCs w:val="20"/>
              </w:rPr>
              <w:t>Klapprott</w:t>
            </w:r>
            <w:proofErr w:type="spellEnd"/>
            <w:r w:rsidRPr="00BE3728">
              <w:rPr>
                <w:sz w:val="20"/>
                <w:szCs w:val="20"/>
              </w:rPr>
              <w:t xml:space="preserve"> aufgrund von Krankheit, Inhaftierung und fehlenden finanziellen Mitteln, um einen Anwalt zu beauftragen, </w:t>
            </w:r>
            <w:r w:rsidRPr="00B45592">
              <w:rPr>
                <w:i/>
                <w:sz w:val="20"/>
                <w:szCs w:val="20"/>
              </w:rPr>
              <w:t>de facto</w:t>
            </w:r>
            <w:r w:rsidRPr="00BE3728">
              <w:rPr>
                <w:sz w:val="20"/>
                <w:szCs w:val="20"/>
              </w:rPr>
              <w:t xml:space="preserve"> </w:t>
            </w:r>
            <w:r>
              <w:rPr>
                <w:sz w:val="20"/>
                <w:szCs w:val="20"/>
              </w:rPr>
              <w:t>verwehrt</w:t>
            </w:r>
            <w:r w:rsidRPr="00BE3728">
              <w:rPr>
                <w:sz w:val="20"/>
                <w:szCs w:val="20"/>
              </w:rPr>
              <w:t xml:space="preserve"> blieb, sich angemessen gegen die Vorwürfe zu verteidigen.</w:t>
            </w:r>
            <w:r w:rsidRPr="00BE3728">
              <w:rPr>
                <w:rStyle w:val="Funotenzeichen"/>
                <w:sz w:val="20"/>
                <w:szCs w:val="20"/>
              </w:rPr>
              <w:footnoteReference w:id="634"/>
            </w:r>
          </w:p>
          <w:p w14:paraId="22252033" w14:textId="77777777" w:rsidR="00074551" w:rsidRPr="00E50B51" w:rsidRDefault="00074551" w:rsidP="00367133">
            <w:pPr>
              <w:jc w:val="both"/>
              <w:rPr>
                <w:sz w:val="20"/>
                <w:szCs w:val="20"/>
              </w:rPr>
            </w:pPr>
          </w:p>
        </w:tc>
        <w:tc>
          <w:tcPr>
            <w:tcW w:w="1822" w:type="pct"/>
          </w:tcPr>
          <w:p w14:paraId="05510C03"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Immigration Law › Denaturalization of Naturalized Citizens › Grounds for Denaturalization</w:t>
            </w:r>
          </w:p>
          <w:p w14:paraId="11468D82" w14:textId="77777777" w:rsidR="00074551" w:rsidRPr="00BE3728" w:rsidRDefault="00074551" w:rsidP="00367133">
            <w:pPr>
              <w:jc w:val="both"/>
              <w:rPr>
                <w:sz w:val="20"/>
                <w:szCs w:val="20"/>
                <w:lang w:val="en-US"/>
              </w:rPr>
            </w:pPr>
          </w:p>
          <w:p w14:paraId="5AAF7377" w14:textId="77777777" w:rsidR="00074551" w:rsidRDefault="00074551" w:rsidP="00367133">
            <w:pPr>
              <w:jc w:val="both"/>
            </w:pPr>
            <w:r w:rsidRPr="00BE3728">
              <w:rPr>
                <w:sz w:val="20"/>
                <w:szCs w:val="20"/>
              </w:rPr>
              <w:t xml:space="preserve">Wegen der schwerwiegenden Folgen, die mit einem Ausbürgerungsverfahren verbunden sind, obliegt es der Regierung, </w:t>
            </w:r>
            <w:r>
              <w:rPr>
                <w:sz w:val="20"/>
                <w:szCs w:val="20"/>
              </w:rPr>
              <w:t>die Notwendigkeit der Ausbürgerung</w:t>
            </w:r>
            <w:r w:rsidRPr="00BE3728">
              <w:rPr>
                <w:sz w:val="20"/>
                <w:szCs w:val="20"/>
              </w:rPr>
              <w:t xml:space="preserve"> durch klare, eindeutige und überzeugende Beweise zu belegen, die keinen Zweifel zulassen.</w:t>
            </w:r>
            <w:r w:rsidRPr="00BE3728">
              <w:rPr>
                <w:rStyle w:val="Funotenzeichen"/>
                <w:sz w:val="20"/>
                <w:szCs w:val="20"/>
              </w:rPr>
              <w:footnoteReference w:id="635"/>
            </w:r>
            <w:r w:rsidRPr="00BE3728">
              <w:rPr>
                <w:sz w:val="20"/>
                <w:szCs w:val="20"/>
              </w:rPr>
              <w:t xml:space="preserve"> Diese Beweislast ist im Wesentlichen identisch mit der in Strafsachen geforderten Beweislast, die einen begründeten Zweifel ausschließen muss.</w:t>
            </w:r>
            <w:r w:rsidRPr="00BE3728">
              <w:rPr>
                <w:rStyle w:val="Funotenzeichen"/>
                <w:sz w:val="20"/>
                <w:szCs w:val="20"/>
              </w:rPr>
              <w:t xml:space="preserve"> </w:t>
            </w:r>
            <w:r w:rsidRPr="00BE3728">
              <w:rPr>
                <w:rStyle w:val="Funotenzeichen"/>
                <w:sz w:val="20"/>
                <w:szCs w:val="20"/>
              </w:rPr>
              <w:footnoteReference w:id="636"/>
            </w:r>
          </w:p>
          <w:p w14:paraId="17ED81C3" w14:textId="77777777" w:rsidR="00074551" w:rsidRDefault="00074551" w:rsidP="00367133">
            <w:pPr>
              <w:jc w:val="both"/>
            </w:pPr>
          </w:p>
          <w:p w14:paraId="0D97CE0A"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entschied, dass Bundesbezirksgerichte nicht ohne Anhörung oder erhebliche Beweise bereits eingebürgerte</w:t>
            </w:r>
            <w:r>
              <w:rPr>
                <w:sz w:val="20"/>
                <w:szCs w:val="20"/>
              </w:rPr>
              <w:t>n</w:t>
            </w:r>
            <w:r w:rsidRPr="00BE3728">
              <w:rPr>
                <w:sz w:val="20"/>
                <w:szCs w:val="20"/>
              </w:rPr>
              <w:t xml:space="preserve"> Personen ihre Staatsbürgerschaft entziehen dürf</w:t>
            </w:r>
            <w:r>
              <w:rPr>
                <w:sz w:val="20"/>
                <w:szCs w:val="20"/>
              </w:rPr>
              <w:t>t</w:t>
            </w:r>
            <w:r w:rsidRPr="00BE3728">
              <w:rPr>
                <w:sz w:val="20"/>
                <w:szCs w:val="20"/>
              </w:rPr>
              <w:t>en. Der Kläger war zunächst Deutscher. Dann bürgerte ihn 1933 ein Gericht in New Jersey ein, nachdem er den Treueeid auf die USA geleistet hatte. Neun Jahre später beantragte der United States Attorney</w:t>
            </w:r>
            <w:r>
              <w:rPr>
                <w:sz w:val="20"/>
                <w:szCs w:val="20"/>
              </w:rPr>
              <w:t>,</w:t>
            </w:r>
            <w:r w:rsidRPr="00BE3728">
              <w:rPr>
                <w:sz w:val="20"/>
                <w:szCs w:val="20"/>
              </w:rPr>
              <w:t xml:space="preserve"> gemäß 8 </w:t>
            </w:r>
            <w:r>
              <w:rPr>
                <w:sz w:val="20"/>
                <w:szCs w:val="20"/>
              </w:rPr>
              <w:t>U.S.</w:t>
            </w:r>
            <w:r w:rsidRPr="00BE3728">
              <w:rPr>
                <w:sz w:val="20"/>
                <w:szCs w:val="20"/>
              </w:rPr>
              <w:t>C.</w:t>
            </w:r>
            <w:r>
              <w:rPr>
                <w:sz w:val="20"/>
                <w:szCs w:val="20"/>
              </w:rPr>
              <w:t>S.</w:t>
            </w:r>
            <w:r w:rsidRPr="00BE3728">
              <w:rPr>
                <w:sz w:val="20"/>
                <w:szCs w:val="20"/>
              </w:rPr>
              <w:t xml:space="preserve"> </w:t>
            </w:r>
            <w:r>
              <w:rPr>
                <w:sz w:val="20"/>
                <w:szCs w:val="20"/>
              </w:rPr>
              <w:t>§ </w:t>
            </w:r>
            <w:r w:rsidRPr="00BE3728">
              <w:rPr>
                <w:sz w:val="20"/>
                <w:szCs w:val="20"/>
              </w:rPr>
              <w:t xml:space="preserve">738 das Einbürgerungsurteil aufzuheben sowie die Einbürgerungsurkunde des Klägers zu annullieren. Denn das Verhalten des Eingebürgerten widerspreche seinem Treueeid, d.h. seiner Verbundenheit mit den Prinzipien der US-Verfassung. </w:t>
            </w:r>
            <w:r w:rsidRPr="00BE3728">
              <w:rPr>
                <w:sz w:val="20"/>
                <w:szCs w:val="20"/>
                <w:lang w:val="en-US"/>
              </w:rPr>
              <w:t xml:space="preserve">Dabei </w:t>
            </w:r>
            <w:proofErr w:type="spellStart"/>
            <w:r w:rsidRPr="00BE3728">
              <w:rPr>
                <w:sz w:val="20"/>
                <w:szCs w:val="20"/>
                <w:lang w:val="en-US"/>
              </w:rPr>
              <w:t>mein</w:t>
            </w:r>
            <w:r>
              <w:rPr>
                <w:sz w:val="20"/>
                <w:szCs w:val="20"/>
                <w:lang w:val="en-US"/>
              </w:rPr>
              <w:t>t</w:t>
            </w:r>
            <w:r w:rsidRPr="00BE3728">
              <w:rPr>
                <w:sz w:val="20"/>
                <w:szCs w:val="20"/>
                <w:lang w:val="en-US"/>
              </w:rPr>
              <w:t>en</w:t>
            </w:r>
            <w:proofErr w:type="spellEnd"/>
            <w:r w:rsidRPr="00BE3728">
              <w:rPr>
                <w:sz w:val="20"/>
                <w:szCs w:val="20"/>
                <w:lang w:val="en-US"/>
              </w:rPr>
              <w:t xml:space="preserve"> die </w:t>
            </w:r>
            <w:proofErr w:type="spellStart"/>
            <w:r w:rsidRPr="00BE3728">
              <w:rPr>
                <w:sz w:val="20"/>
                <w:szCs w:val="20"/>
                <w:lang w:val="en-US"/>
              </w:rPr>
              <w:t>Prinzipien</w:t>
            </w:r>
            <w:proofErr w:type="spellEnd"/>
            <w:r w:rsidRPr="00BE3728">
              <w:rPr>
                <w:sz w:val="20"/>
                <w:szCs w:val="20"/>
                <w:lang w:val="en-US"/>
              </w:rPr>
              <w:t xml:space="preserve"> der US-</w:t>
            </w:r>
            <w:proofErr w:type="spellStart"/>
            <w:r w:rsidRPr="00BE3728">
              <w:rPr>
                <w:sz w:val="20"/>
                <w:szCs w:val="20"/>
                <w:lang w:val="en-US"/>
              </w:rPr>
              <w:t>Verfassung</w:t>
            </w:r>
            <w:proofErr w:type="spellEnd"/>
            <w:r w:rsidRPr="00BE3728">
              <w:rPr>
                <w:sz w:val="20"/>
                <w:szCs w:val="20"/>
                <w:lang w:val="en-US"/>
              </w:rPr>
              <w:t xml:space="preserve"> </w:t>
            </w:r>
            <w:proofErr w:type="spellStart"/>
            <w:r w:rsidRPr="00BE3728">
              <w:rPr>
                <w:sz w:val="20"/>
                <w:szCs w:val="20"/>
                <w:lang w:val="en-US"/>
              </w:rPr>
              <w:t>zweierlei</w:t>
            </w:r>
            <w:proofErr w:type="spellEnd"/>
            <w:r w:rsidRPr="00BE3728">
              <w:rPr>
                <w:sz w:val="20"/>
                <w:szCs w:val="20"/>
                <w:lang w:val="en-US"/>
              </w:rPr>
              <w:t xml:space="preserve">: </w:t>
            </w:r>
            <w:r>
              <w:rPr>
                <w:sz w:val="20"/>
                <w:szCs w:val="20"/>
                <w:lang w:val="en-US"/>
              </w:rPr>
              <w:t>d</w:t>
            </w:r>
            <w:r w:rsidRPr="00BE3728">
              <w:rPr>
                <w:sz w:val="20"/>
                <w:szCs w:val="20"/>
                <w:lang w:val="en-US"/>
              </w:rPr>
              <w:t xml:space="preserve">ie </w:t>
            </w:r>
            <w:proofErr w:type="spellStart"/>
            <w:r w:rsidRPr="00BE3728">
              <w:rPr>
                <w:sz w:val="20"/>
                <w:szCs w:val="20"/>
                <w:lang w:val="en-US"/>
              </w:rPr>
              <w:t>Verfassungsbestimmungen</w:t>
            </w:r>
            <w:proofErr w:type="spellEnd"/>
            <w:r w:rsidRPr="00BE3728">
              <w:rPr>
                <w:sz w:val="20"/>
                <w:szCs w:val="20"/>
                <w:lang w:val="en-US"/>
              </w:rPr>
              <w:t xml:space="preserve"> der </w:t>
            </w:r>
            <w:proofErr w:type="spellStart"/>
            <w:r w:rsidRPr="00BE3728">
              <w:rPr>
                <w:sz w:val="20"/>
                <w:szCs w:val="20"/>
                <w:lang w:val="en-US"/>
              </w:rPr>
              <w:t>Vereinigten</w:t>
            </w:r>
            <w:proofErr w:type="spellEnd"/>
            <w:r w:rsidRPr="00BE3728">
              <w:rPr>
                <w:sz w:val="20"/>
                <w:szCs w:val="20"/>
                <w:lang w:val="en-US"/>
              </w:rPr>
              <w:t xml:space="preserve"> </w:t>
            </w:r>
            <w:proofErr w:type="spellStart"/>
            <w:r w:rsidRPr="00BE3728">
              <w:rPr>
                <w:sz w:val="20"/>
                <w:szCs w:val="20"/>
                <w:lang w:val="en-US"/>
              </w:rPr>
              <w:t>Staaten</w:t>
            </w:r>
            <w:proofErr w:type="spellEnd"/>
            <w:r w:rsidRPr="00BE3728">
              <w:rPr>
                <w:sz w:val="20"/>
                <w:szCs w:val="20"/>
                <w:lang w:val="en-US"/>
              </w:rPr>
              <w:t xml:space="preserve"> </w:t>
            </w:r>
            <w:proofErr w:type="spellStart"/>
            <w:r>
              <w:rPr>
                <w:sz w:val="20"/>
                <w:szCs w:val="20"/>
                <w:lang w:val="en-US"/>
              </w:rPr>
              <w:t>sowie</w:t>
            </w:r>
            <w:proofErr w:type="spellEnd"/>
            <w:r w:rsidRPr="00BE3728">
              <w:rPr>
                <w:sz w:val="20"/>
                <w:szCs w:val="20"/>
                <w:lang w:val="en-US"/>
              </w:rPr>
              <w:t xml:space="preserve"> das Glück des Volkes („he was not attached to the principles of the United States Constitution, […] the principles of which were alleged to be inimical to the Constitution of the United States and the happiness of its people”</w:t>
            </w:r>
            <w:r w:rsidRPr="00BE3728">
              <w:rPr>
                <w:rStyle w:val="Funotenzeichen"/>
                <w:sz w:val="20"/>
                <w:szCs w:val="20"/>
                <w:lang w:val="en-US"/>
              </w:rPr>
              <w:footnoteReference w:id="637"/>
            </w:r>
            <w:r w:rsidRPr="00BE3728">
              <w:rPr>
                <w:sz w:val="20"/>
                <w:szCs w:val="20"/>
                <w:lang w:val="en-US"/>
              </w:rPr>
              <w:t xml:space="preserve">). </w:t>
            </w:r>
            <w:r w:rsidRPr="00BE3728">
              <w:rPr>
                <w:sz w:val="20"/>
                <w:szCs w:val="20"/>
              </w:rPr>
              <w:t xml:space="preserve">Der Kläger war </w:t>
            </w:r>
            <w:r>
              <w:rPr>
                <w:sz w:val="20"/>
                <w:szCs w:val="20"/>
              </w:rPr>
              <w:t>u.a.</w:t>
            </w:r>
            <w:r w:rsidRPr="00BE3728">
              <w:rPr>
                <w:sz w:val="20"/>
                <w:szCs w:val="20"/>
              </w:rPr>
              <w:t xml:space="preserve"> Vorsitzender des Deutsch-Amerikanische</w:t>
            </w:r>
            <w:r>
              <w:rPr>
                <w:sz w:val="20"/>
                <w:szCs w:val="20"/>
              </w:rPr>
              <w:t>n</w:t>
            </w:r>
            <w:r w:rsidRPr="00BE3728">
              <w:rPr>
                <w:sz w:val="20"/>
                <w:szCs w:val="20"/>
              </w:rPr>
              <w:t xml:space="preserve"> Bund</w:t>
            </w:r>
            <w:r>
              <w:rPr>
                <w:sz w:val="20"/>
                <w:szCs w:val="20"/>
              </w:rPr>
              <w:t>s</w:t>
            </w:r>
            <w:r w:rsidRPr="00BE3728">
              <w:rPr>
                <w:sz w:val="20"/>
                <w:szCs w:val="20"/>
              </w:rPr>
              <w:t xml:space="preserve">, dessen Grundsätze </w:t>
            </w:r>
            <w:r>
              <w:rPr>
                <w:sz w:val="20"/>
                <w:szCs w:val="20"/>
              </w:rPr>
              <w:t>der</w:t>
            </w:r>
            <w:r w:rsidRPr="00BE3728">
              <w:rPr>
                <w:sz w:val="20"/>
                <w:szCs w:val="20"/>
              </w:rPr>
              <w:t xml:space="preserve"> Verfassung der Vereinigten Staaten und dem Glück des amerikanischen Volkes zuwiderliefen; die Organisation ziele darauf, so die Vorinstanzen, Adol</w:t>
            </w:r>
            <w:r>
              <w:rPr>
                <w:sz w:val="20"/>
                <w:szCs w:val="20"/>
              </w:rPr>
              <w:t>f</w:t>
            </w:r>
            <w:r w:rsidRPr="00BE3728">
              <w:rPr>
                <w:sz w:val="20"/>
                <w:szCs w:val="20"/>
              </w:rPr>
              <w:t xml:space="preserve"> Hitlers Ideologie zu stützen. Doch diese Annahme blieb pauschal. Sie allein reiche daher nicht, um dem Kläger vorzuwerfen, er missachte die Verfassungsprinzipien</w:t>
            </w:r>
            <w:r>
              <w:rPr>
                <w:sz w:val="20"/>
                <w:szCs w:val="20"/>
              </w:rPr>
              <w:t>,</w:t>
            </w:r>
            <w:r w:rsidRPr="00BE3728">
              <w:rPr>
                <w:sz w:val="20"/>
                <w:szCs w:val="20"/>
              </w:rPr>
              <w:t xml:space="preserve"> und </w:t>
            </w:r>
            <w:r>
              <w:rPr>
                <w:sz w:val="20"/>
                <w:szCs w:val="20"/>
              </w:rPr>
              <w:t xml:space="preserve">ihm </w:t>
            </w:r>
            <w:r w:rsidRPr="00BE3728">
              <w:rPr>
                <w:sz w:val="20"/>
                <w:szCs w:val="20"/>
              </w:rPr>
              <w:t xml:space="preserve">damit auch die Staatsbürgerschaft zu entziehen. Hierfür führte der </w:t>
            </w:r>
            <w:r>
              <w:rPr>
                <w:sz w:val="20"/>
                <w:szCs w:val="20"/>
              </w:rPr>
              <w:t>U.S. Supreme Court</w:t>
            </w:r>
            <w:r w:rsidRPr="00BE3728">
              <w:rPr>
                <w:sz w:val="20"/>
                <w:szCs w:val="20"/>
              </w:rPr>
              <w:t xml:space="preserve"> </w:t>
            </w:r>
            <w:r>
              <w:rPr>
                <w:sz w:val="20"/>
                <w:szCs w:val="20"/>
              </w:rPr>
              <w:t>u.a.</w:t>
            </w:r>
            <w:r w:rsidRPr="00BE3728">
              <w:rPr>
                <w:sz w:val="20"/>
                <w:szCs w:val="20"/>
              </w:rPr>
              <w:t xml:space="preserve"> vier Gründe an, wie eine fehlende Beweisaufnahme oder die fehlende Möglichkeit</w:t>
            </w:r>
            <w:r>
              <w:rPr>
                <w:sz w:val="20"/>
                <w:szCs w:val="20"/>
              </w:rPr>
              <w:t xml:space="preserve"> zur Verteidigung</w:t>
            </w:r>
            <w:r w:rsidRPr="00BE3728">
              <w:rPr>
                <w:sz w:val="20"/>
                <w:szCs w:val="20"/>
              </w:rPr>
              <w:t xml:space="preserve"> trotz einer schwerwiegenden Rechtsfolge.</w:t>
            </w:r>
            <w:r w:rsidRPr="00BE3728">
              <w:rPr>
                <w:rStyle w:val="Funotenzeichen"/>
                <w:sz w:val="20"/>
                <w:szCs w:val="20"/>
              </w:rPr>
              <w:footnoteReference w:id="638"/>
            </w:r>
          </w:p>
          <w:p w14:paraId="13C811F4" w14:textId="77777777" w:rsidR="00074551" w:rsidRPr="00E50B51" w:rsidRDefault="00074551" w:rsidP="00367133">
            <w:pPr>
              <w:jc w:val="both"/>
              <w:rPr>
                <w:sz w:val="20"/>
                <w:szCs w:val="20"/>
              </w:rPr>
            </w:pPr>
          </w:p>
        </w:tc>
      </w:tr>
      <w:tr w:rsidR="00074551" w:rsidRPr="00E50B51" w14:paraId="1AC1A9D7" w14:textId="77777777" w:rsidTr="00A15DB3">
        <w:trPr>
          <w:cantSplit/>
          <w:trHeight w:val="3175"/>
        </w:trPr>
        <w:tc>
          <w:tcPr>
            <w:tcW w:w="293" w:type="pct"/>
            <w:shd w:val="clear" w:color="auto" w:fill="E7E6E6" w:themeFill="background2"/>
          </w:tcPr>
          <w:p w14:paraId="38F62EF5" w14:textId="77777777" w:rsidR="00074551" w:rsidRPr="00BE3728" w:rsidRDefault="00074551" w:rsidP="00367133">
            <w:pPr>
              <w:ind w:right="416"/>
              <w:jc w:val="center"/>
              <w:rPr>
                <w:sz w:val="20"/>
                <w:szCs w:val="20"/>
              </w:rPr>
            </w:pPr>
            <w:r w:rsidRPr="00BE3728">
              <w:rPr>
                <w:sz w:val="20"/>
                <w:szCs w:val="20"/>
                <w:lang w:val="en-US"/>
              </w:rPr>
              <w:lastRenderedPageBreak/>
              <w:t>H</w:t>
            </w:r>
          </w:p>
        </w:tc>
        <w:tc>
          <w:tcPr>
            <w:tcW w:w="387" w:type="pct"/>
            <w:shd w:val="clear" w:color="auto" w:fill="E7E6E6" w:themeFill="background2"/>
            <w:textDirection w:val="tbRl"/>
            <w:vAlign w:val="center"/>
          </w:tcPr>
          <w:p w14:paraId="57744126" w14:textId="77777777" w:rsidR="00074551" w:rsidRPr="00BE3728" w:rsidRDefault="00074551" w:rsidP="00367133">
            <w:pPr>
              <w:ind w:left="113" w:right="416"/>
              <w:jc w:val="both"/>
              <w:rPr>
                <w:sz w:val="20"/>
                <w:szCs w:val="20"/>
              </w:rPr>
            </w:pPr>
            <w:r w:rsidRPr="00E50B51">
              <w:rPr>
                <w:sz w:val="20"/>
                <w:szCs w:val="20"/>
              </w:rPr>
              <w:t>Souveränitätsrechtliche Seite</w:t>
            </w:r>
          </w:p>
        </w:tc>
        <w:tc>
          <w:tcPr>
            <w:tcW w:w="197" w:type="pct"/>
            <w:shd w:val="clear" w:color="auto" w:fill="E7E6E6" w:themeFill="background2"/>
            <w:textDirection w:val="tbRl"/>
            <w:vAlign w:val="center"/>
          </w:tcPr>
          <w:p w14:paraId="21F427F9" w14:textId="77777777" w:rsidR="00074551" w:rsidRPr="00BE3728" w:rsidRDefault="00074551" w:rsidP="00367133">
            <w:pPr>
              <w:ind w:left="113" w:right="113"/>
              <w:jc w:val="both"/>
              <w:rPr>
                <w:sz w:val="20"/>
                <w:szCs w:val="20"/>
              </w:rPr>
            </w:pPr>
            <w:r w:rsidRPr="00BE3728">
              <w:rPr>
                <w:sz w:val="20"/>
                <w:szCs w:val="20"/>
                <w:lang w:val="en-US"/>
              </w:rPr>
              <w:t>Citizenship</w:t>
            </w:r>
          </w:p>
        </w:tc>
        <w:tc>
          <w:tcPr>
            <w:tcW w:w="306" w:type="pct"/>
            <w:shd w:val="clear" w:color="auto" w:fill="E7E6E6" w:themeFill="background2"/>
            <w:textDirection w:val="tbRl"/>
            <w:vAlign w:val="center"/>
          </w:tcPr>
          <w:p w14:paraId="2EAE34C7" w14:textId="77777777" w:rsidR="00074551" w:rsidRPr="00BE3728" w:rsidRDefault="00074551" w:rsidP="00367133">
            <w:pPr>
              <w:ind w:left="113" w:right="113"/>
              <w:jc w:val="both"/>
              <w:rPr>
                <w:sz w:val="20"/>
                <w:szCs w:val="20"/>
              </w:rPr>
            </w:pPr>
            <w:r w:rsidRPr="00BE3728">
              <w:rPr>
                <w:sz w:val="20"/>
                <w:szCs w:val="20"/>
                <w:lang w:val="en-US"/>
              </w:rPr>
              <w:t>Immigration Law</w:t>
            </w:r>
          </w:p>
        </w:tc>
        <w:tc>
          <w:tcPr>
            <w:tcW w:w="401" w:type="pct"/>
            <w:shd w:val="clear" w:color="auto" w:fill="E7E6E6" w:themeFill="background2"/>
            <w:textDirection w:val="tbRl"/>
          </w:tcPr>
          <w:p w14:paraId="6C2B8E68" w14:textId="77777777" w:rsidR="00074551" w:rsidRDefault="00074551" w:rsidP="00367133">
            <w:pPr>
              <w:ind w:left="113" w:right="113"/>
              <w:rPr>
                <w:sz w:val="20"/>
                <w:szCs w:val="20"/>
                <w:lang w:val="en-US"/>
              </w:rPr>
            </w:pPr>
          </w:p>
          <w:p w14:paraId="5E031CFF" w14:textId="77777777" w:rsidR="00074551" w:rsidRPr="00BE3728" w:rsidRDefault="00074551" w:rsidP="00367133">
            <w:pPr>
              <w:ind w:left="113" w:right="113"/>
              <w:rPr>
                <w:sz w:val="20"/>
                <w:szCs w:val="20"/>
                <w:lang w:val="en-US"/>
              </w:rPr>
            </w:pPr>
            <w:r w:rsidRPr="00BE3728">
              <w:rPr>
                <w:sz w:val="20"/>
                <w:szCs w:val="20"/>
                <w:lang w:val="en-US"/>
              </w:rPr>
              <w:t>Self-</w:t>
            </w:r>
            <w:r>
              <w:rPr>
                <w:sz w:val="20"/>
                <w:szCs w:val="20"/>
                <w:lang w:val="en-US"/>
              </w:rPr>
              <w:t>I</w:t>
            </w:r>
            <w:r w:rsidRPr="00BE3728">
              <w:rPr>
                <w:sz w:val="20"/>
                <w:szCs w:val="20"/>
                <w:lang w:val="en-US"/>
              </w:rPr>
              <w:t>ncrimination</w:t>
            </w:r>
          </w:p>
        </w:tc>
        <w:tc>
          <w:tcPr>
            <w:tcW w:w="1594" w:type="pct"/>
            <w:shd w:val="clear" w:color="auto" w:fill="E7E6E6" w:themeFill="background2"/>
            <w:textDirection w:val="tbRl"/>
            <w:vAlign w:val="center"/>
          </w:tcPr>
          <w:p w14:paraId="387C4E29" w14:textId="77777777" w:rsidR="00074551" w:rsidRDefault="00074551" w:rsidP="00367133">
            <w:pPr>
              <w:ind w:left="113" w:right="113"/>
              <w:jc w:val="both"/>
              <w:rPr>
                <w:sz w:val="20"/>
                <w:szCs w:val="20"/>
                <w:lang w:val="en-US"/>
              </w:rPr>
            </w:pPr>
            <w:r w:rsidRPr="00BE3728">
              <w:rPr>
                <w:sz w:val="20"/>
                <w:szCs w:val="20"/>
                <w:lang w:val="en-US"/>
              </w:rPr>
              <w:t>Cross-Examination/</w:t>
            </w:r>
          </w:p>
          <w:p w14:paraId="13CF4779" w14:textId="77777777" w:rsidR="00074551" w:rsidRPr="001C5275" w:rsidRDefault="00074551" w:rsidP="00367133">
            <w:pPr>
              <w:ind w:left="113" w:right="113"/>
              <w:jc w:val="both"/>
              <w:rPr>
                <w:sz w:val="20"/>
                <w:szCs w:val="20"/>
                <w:lang w:val="en-US"/>
              </w:rPr>
            </w:pPr>
            <w:r w:rsidRPr="00BE3728">
              <w:rPr>
                <w:sz w:val="20"/>
                <w:szCs w:val="20"/>
                <w:lang w:val="en-US"/>
              </w:rPr>
              <w:t>Denaturalization</w:t>
            </w:r>
          </w:p>
        </w:tc>
        <w:tc>
          <w:tcPr>
            <w:tcW w:w="1822" w:type="pct"/>
            <w:shd w:val="clear" w:color="auto" w:fill="E7E6E6" w:themeFill="background2"/>
          </w:tcPr>
          <w:p w14:paraId="11F5B8DD" w14:textId="02A37698" w:rsidR="00074551" w:rsidRPr="00BE3728" w:rsidRDefault="00A15DB3" w:rsidP="00A15DB3">
            <w:pPr>
              <w:rPr>
                <w:sz w:val="20"/>
                <w:szCs w:val="20"/>
                <w:lang w:val="en-US"/>
              </w:rPr>
            </w:pPr>
            <w:r w:rsidRPr="00A15DB3">
              <w:rPr>
                <w:i/>
                <w:iCs/>
                <w:sz w:val="16"/>
                <w:szCs w:val="20"/>
              </w:rPr>
              <w:t>Thematische Gliederung der nachfolgenden Entscheidungen ↓</w:t>
            </w:r>
          </w:p>
        </w:tc>
      </w:tr>
      <w:tr w:rsidR="00074551" w:rsidRPr="00E50B51" w14:paraId="3AE936DA" w14:textId="77777777" w:rsidTr="00BE689F">
        <w:trPr>
          <w:cantSplit/>
          <w:trHeight w:val="3175"/>
        </w:trPr>
        <w:tc>
          <w:tcPr>
            <w:tcW w:w="293" w:type="pct"/>
          </w:tcPr>
          <w:p w14:paraId="129D4F63"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7FB37DF" w14:textId="77777777" w:rsidR="00074551" w:rsidRPr="00B45592" w:rsidRDefault="00074551" w:rsidP="00367133">
            <w:pPr>
              <w:ind w:left="113" w:right="416"/>
              <w:jc w:val="both"/>
              <w:rPr>
                <w:i/>
                <w:sz w:val="20"/>
                <w:szCs w:val="20"/>
              </w:rPr>
            </w:pPr>
            <w:r w:rsidRPr="00B45592">
              <w:rPr>
                <w:i/>
                <w:sz w:val="20"/>
                <w:szCs w:val="20"/>
              </w:rPr>
              <w:t>Brown v. United States</w:t>
            </w:r>
          </w:p>
        </w:tc>
        <w:tc>
          <w:tcPr>
            <w:tcW w:w="197" w:type="pct"/>
            <w:textDirection w:val="tbRl"/>
            <w:vAlign w:val="center"/>
          </w:tcPr>
          <w:p w14:paraId="3B9B349D" w14:textId="77777777" w:rsidR="00074551" w:rsidRPr="00BE3728" w:rsidRDefault="00074551" w:rsidP="00367133">
            <w:pPr>
              <w:ind w:left="113" w:right="113"/>
              <w:jc w:val="both"/>
              <w:rPr>
                <w:sz w:val="20"/>
                <w:szCs w:val="20"/>
              </w:rPr>
            </w:pPr>
            <w:r w:rsidRPr="00BE3728">
              <w:rPr>
                <w:sz w:val="20"/>
                <w:szCs w:val="20"/>
              </w:rPr>
              <w:t>356 U.S. 148</w:t>
            </w:r>
          </w:p>
        </w:tc>
        <w:tc>
          <w:tcPr>
            <w:tcW w:w="306" w:type="pct"/>
            <w:textDirection w:val="tbRl"/>
            <w:vAlign w:val="center"/>
          </w:tcPr>
          <w:p w14:paraId="4C3E3344" w14:textId="77777777" w:rsidR="00074551" w:rsidRPr="00BE3728" w:rsidRDefault="00074551" w:rsidP="00367133">
            <w:pPr>
              <w:ind w:left="113" w:right="113"/>
              <w:jc w:val="both"/>
              <w:rPr>
                <w:sz w:val="20"/>
                <w:szCs w:val="20"/>
              </w:rPr>
            </w:pPr>
            <w:r w:rsidRPr="00BE3728">
              <w:rPr>
                <w:sz w:val="20"/>
                <w:szCs w:val="20"/>
              </w:rPr>
              <w:t>31. März 1958</w:t>
            </w:r>
          </w:p>
        </w:tc>
        <w:tc>
          <w:tcPr>
            <w:tcW w:w="401" w:type="pct"/>
          </w:tcPr>
          <w:p w14:paraId="09419571" w14:textId="77777777" w:rsidR="00074551" w:rsidRPr="00BE3728" w:rsidRDefault="00074551" w:rsidP="00367133">
            <w:pPr>
              <w:jc w:val="center"/>
              <w:rPr>
                <w:sz w:val="20"/>
                <w:szCs w:val="20"/>
                <w:lang w:val="en-US"/>
              </w:rPr>
            </w:pPr>
            <w:r w:rsidRPr="00BE3728">
              <w:rPr>
                <w:sz w:val="20"/>
                <w:szCs w:val="20"/>
                <w:lang w:val="en-US"/>
              </w:rPr>
              <w:t>M</w:t>
            </w:r>
          </w:p>
        </w:tc>
        <w:tc>
          <w:tcPr>
            <w:tcW w:w="1594" w:type="pct"/>
          </w:tcPr>
          <w:p w14:paraId="340ECC72" w14:textId="77777777" w:rsidR="00074551" w:rsidRDefault="00074551" w:rsidP="00367133">
            <w:pPr>
              <w:jc w:val="both"/>
              <w:rPr>
                <w:sz w:val="20"/>
                <w:szCs w:val="20"/>
              </w:rPr>
            </w:pPr>
            <w:r w:rsidRPr="00B45592">
              <w:rPr>
                <w:sz w:val="20"/>
                <w:szCs w:val="20"/>
                <w:lang w:val="en-IE"/>
              </w:rPr>
              <w:t xml:space="preserve">Der U.S. Supreme Court </w:t>
            </w:r>
            <w:proofErr w:type="spellStart"/>
            <w:r w:rsidRPr="00B45592">
              <w:rPr>
                <w:sz w:val="20"/>
                <w:szCs w:val="20"/>
                <w:lang w:val="en-IE"/>
              </w:rPr>
              <w:t>bestätigte</w:t>
            </w:r>
            <w:proofErr w:type="spellEnd"/>
            <w:r w:rsidRPr="00B45592">
              <w:rPr>
                <w:sz w:val="20"/>
                <w:szCs w:val="20"/>
                <w:lang w:val="en-IE"/>
              </w:rPr>
              <w:t xml:space="preserve"> die </w:t>
            </w:r>
            <w:proofErr w:type="spellStart"/>
            <w:r w:rsidRPr="00B45592">
              <w:rPr>
                <w:sz w:val="20"/>
                <w:szCs w:val="20"/>
                <w:lang w:val="en-IE"/>
              </w:rPr>
              <w:t>Entscheidung</w:t>
            </w:r>
            <w:proofErr w:type="spellEnd"/>
            <w:r w:rsidRPr="00B45592">
              <w:rPr>
                <w:sz w:val="20"/>
                <w:szCs w:val="20"/>
                <w:lang w:val="en-IE"/>
              </w:rPr>
              <w:t xml:space="preserve"> des </w:t>
            </w:r>
            <w:r w:rsidRPr="00B45592">
              <w:rPr>
                <w:i/>
                <w:sz w:val="20"/>
                <w:szCs w:val="20"/>
                <w:lang w:val="en-IE"/>
              </w:rPr>
              <w:t>U.S. Court of Appeals for the Sixth Circuit</w:t>
            </w:r>
            <w:r w:rsidRPr="00B45592">
              <w:rPr>
                <w:sz w:val="20"/>
                <w:szCs w:val="20"/>
                <w:lang w:val="en-IE"/>
              </w:rPr>
              <w:t xml:space="preserve">. </w:t>
            </w:r>
            <w:r w:rsidRPr="00BE3728">
              <w:rPr>
                <w:sz w:val="20"/>
                <w:szCs w:val="20"/>
              </w:rPr>
              <w:t xml:space="preserve">Dieses Gericht hatte entschieden, dass die Klägerin das Selbstbelastungsprivileg aufgab, als sie zu ihrer Verteidigung aussagte. Im Prozess wurde die Klägerin als Zeugin aufgerufen. Als der gegnerische Anwalt ihr Fragen zur Kommunistischen Partei stellte, berief sie sich auf das Selbstbelastungsprivileg. In der Kreuzverhörphase aber stellte der Anwalt der Klägerin erneut Fragen dazu. Die Klägerin weigerte sich zu antworten und berief sich </w:t>
            </w:r>
            <w:r>
              <w:rPr>
                <w:sz w:val="20"/>
                <w:szCs w:val="20"/>
              </w:rPr>
              <w:t xml:space="preserve">wiederum </w:t>
            </w:r>
            <w:r w:rsidRPr="00BE3728">
              <w:rPr>
                <w:sz w:val="20"/>
                <w:szCs w:val="20"/>
              </w:rPr>
              <w:t xml:space="preserve">auf das Selbstbelastungsprivileg. Das Gericht entschied, dass sie durch das Betreten des Zeugenstandes zu ihrer eigenen Verteidigung das Privileg aufgegeben hatte. Es wies sie </w:t>
            </w:r>
            <w:proofErr w:type="gramStart"/>
            <w:r w:rsidRPr="00BE3728">
              <w:rPr>
                <w:sz w:val="20"/>
                <w:szCs w:val="20"/>
              </w:rPr>
              <w:t>an zu antworten</w:t>
            </w:r>
            <w:proofErr w:type="gramEnd"/>
            <w:r w:rsidRPr="00BE3728">
              <w:rPr>
                <w:sz w:val="20"/>
                <w:szCs w:val="20"/>
              </w:rPr>
              <w:t xml:space="preserve">. Als die Klägerin sich weiter weigerte, wurde sie wegen Missachtung des Gerichts verurteilt. Das Berufungsgericht bestätigte diese Entscheidung. Der </w:t>
            </w:r>
            <w:r>
              <w:rPr>
                <w:sz w:val="20"/>
                <w:szCs w:val="20"/>
              </w:rPr>
              <w:t>U.S. Supreme Court</w:t>
            </w:r>
            <w:r w:rsidRPr="00BE3728">
              <w:rPr>
                <w:sz w:val="20"/>
                <w:szCs w:val="20"/>
              </w:rPr>
              <w:t xml:space="preserve"> entschied, dass die Klägerin nicht in ihrem eigenen Namen aussagen und gleichzeitig das Recht beanspruchen könne, von einem Kreuzverhör verschont </w:t>
            </w:r>
            <w:r>
              <w:rPr>
                <w:sz w:val="20"/>
                <w:szCs w:val="20"/>
              </w:rPr>
              <w:t>zu bleiben</w:t>
            </w:r>
            <w:r w:rsidRPr="00BE3728">
              <w:rPr>
                <w:sz w:val="20"/>
                <w:szCs w:val="20"/>
              </w:rPr>
              <w:t xml:space="preserve">, </w:t>
            </w:r>
            <w:r>
              <w:rPr>
                <w:sz w:val="20"/>
                <w:szCs w:val="20"/>
              </w:rPr>
              <w:t>in dem es um</w:t>
            </w:r>
            <w:r w:rsidRPr="00BE3728">
              <w:rPr>
                <w:sz w:val="20"/>
                <w:szCs w:val="20"/>
              </w:rPr>
              <w:t xml:space="preserve"> Themen ging, die durch ihre eigene Aussage in der Befragung zuvor aufgebracht </w:t>
            </w:r>
            <w:r>
              <w:rPr>
                <w:sz w:val="20"/>
                <w:szCs w:val="20"/>
              </w:rPr>
              <w:t>worden waren</w:t>
            </w:r>
            <w:r w:rsidRPr="00BE3728">
              <w:rPr>
                <w:sz w:val="20"/>
                <w:szCs w:val="20"/>
              </w:rPr>
              <w:t>.</w:t>
            </w:r>
          </w:p>
          <w:p w14:paraId="36C5F453" w14:textId="77777777" w:rsidR="00074551" w:rsidRPr="00BE3728" w:rsidRDefault="00074551" w:rsidP="00367133">
            <w:pPr>
              <w:jc w:val="both"/>
              <w:rPr>
                <w:sz w:val="20"/>
                <w:szCs w:val="20"/>
              </w:rPr>
            </w:pPr>
          </w:p>
        </w:tc>
        <w:tc>
          <w:tcPr>
            <w:tcW w:w="1822" w:type="pct"/>
          </w:tcPr>
          <w:p w14:paraId="633AF5DB"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 xml:space="preserve">Witnesses </w:t>
            </w:r>
            <w:r>
              <w:rPr>
                <w:i/>
                <w:sz w:val="20"/>
                <w:szCs w:val="20"/>
                <w:lang w:val="en-US"/>
              </w:rPr>
              <w:t>§ </w:t>
            </w:r>
            <w:r w:rsidRPr="00B45592">
              <w:rPr>
                <w:i/>
                <w:sz w:val="20"/>
                <w:szCs w:val="20"/>
                <w:lang w:val="en-US"/>
              </w:rPr>
              <w:t>83 › Privilege › Self-Incrimination › Waiver › Cross-Examination › Denaturalization</w:t>
            </w:r>
          </w:p>
          <w:p w14:paraId="67F6CD5D" w14:textId="77777777" w:rsidR="00074551" w:rsidRPr="00BE3728" w:rsidRDefault="00074551" w:rsidP="00367133">
            <w:pPr>
              <w:jc w:val="both"/>
              <w:rPr>
                <w:sz w:val="20"/>
                <w:szCs w:val="20"/>
                <w:lang w:val="en-US"/>
              </w:rPr>
            </w:pPr>
          </w:p>
          <w:p w14:paraId="02315DD4" w14:textId="77777777" w:rsidR="00074551" w:rsidRPr="00AB2276"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wertete die Teileinlassungen zum Fall aus. Anhand derer urteilte er, dass jemand für die Staatsbürgerschaft den drei Säulen des amerikanischen Verfassungsrechts zustimmen müsse. Darunter </w:t>
            </w:r>
            <w:r>
              <w:rPr>
                <w:sz w:val="20"/>
                <w:szCs w:val="20"/>
              </w:rPr>
              <w:t>fielen</w:t>
            </w:r>
            <w:r w:rsidRPr="00BE3728">
              <w:rPr>
                <w:sz w:val="20"/>
                <w:szCs w:val="20"/>
              </w:rPr>
              <w:t xml:space="preserve"> die Grundsätze der Verfassung sowie der öffentlichen Ordnung sowie</w:t>
            </w:r>
            <w:r>
              <w:rPr>
                <w:sz w:val="20"/>
                <w:szCs w:val="20"/>
              </w:rPr>
              <w:t xml:space="preserve"> der Anspruch</w:t>
            </w:r>
            <w:r w:rsidRPr="00BE3728">
              <w:rPr>
                <w:sz w:val="20"/>
                <w:szCs w:val="20"/>
              </w:rPr>
              <w:t xml:space="preserve">, dass mögliche Staatsbürger dem Glück der Vereinigten Staaten verbunden seien („and </w:t>
            </w:r>
            <w:proofErr w:type="spellStart"/>
            <w:r w:rsidRPr="00BE3728">
              <w:rPr>
                <w:sz w:val="20"/>
                <w:szCs w:val="20"/>
              </w:rPr>
              <w:t>that</w:t>
            </w:r>
            <w:proofErr w:type="spellEnd"/>
            <w:r w:rsidRPr="00BE3728">
              <w:rPr>
                <w:sz w:val="20"/>
                <w:szCs w:val="20"/>
              </w:rPr>
              <w:t xml:space="preserve"> </w:t>
            </w:r>
            <w:proofErr w:type="spellStart"/>
            <w:r w:rsidRPr="00BE3728">
              <w:rPr>
                <w:sz w:val="20"/>
                <w:szCs w:val="20"/>
              </w:rPr>
              <w:t>she</w:t>
            </w:r>
            <w:proofErr w:type="spellEnd"/>
            <w:r w:rsidRPr="00BE3728">
              <w:rPr>
                <w:sz w:val="20"/>
                <w:szCs w:val="20"/>
              </w:rPr>
              <w:t xml:space="preserve"> was </w:t>
            </w:r>
            <w:proofErr w:type="spellStart"/>
            <w:r w:rsidRPr="00BE3728">
              <w:rPr>
                <w:sz w:val="20"/>
                <w:szCs w:val="20"/>
              </w:rPr>
              <w:t>attached</w:t>
            </w:r>
            <w:proofErr w:type="spellEnd"/>
            <w:r w:rsidRPr="00BE3728">
              <w:rPr>
                <w:sz w:val="20"/>
                <w:szCs w:val="20"/>
              </w:rPr>
              <w:t xml:space="preserve"> to the </w:t>
            </w:r>
            <w:proofErr w:type="spellStart"/>
            <w:r w:rsidRPr="00BE3728">
              <w:rPr>
                <w:sz w:val="20"/>
                <w:szCs w:val="20"/>
              </w:rPr>
              <w:t>principles</w:t>
            </w:r>
            <w:proofErr w:type="spellEnd"/>
            <w:r w:rsidRPr="00BE3728">
              <w:rPr>
                <w:sz w:val="20"/>
                <w:szCs w:val="20"/>
              </w:rPr>
              <w:t xml:space="preserve"> of the </w:t>
            </w:r>
            <w:proofErr w:type="spellStart"/>
            <w:r w:rsidRPr="00BE3728">
              <w:rPr>
                <w:sz w:val="20"/>
                <w:szCs w:val="20"/>
              </w:rPr>
              <w:t>Constitution</w:t>
            </w:r>
            <w:proofErr w:type="spellEnd"/>
            <w:r w:rsidRPr="00BE3728">
              <w:rPr>
                <w:sz w:val="20"/>
                <w:szCs w:val="20"/>
              </w:rPr>
              <w:t xml:space="preserve"> and the </w:t>
            </w:r>
            <w:proofErr w:type="spellStart"/>
            <w:r w:rsidRPr="00BE3728">
              <w:rPr>
                <w:sz w:val="20"/>
                <w:szCs w:val="20"/>
              </w:rPr>
              <w:t>good</w:t>
            </w:r>
            <w:proofErr w:type="spellEnd"/>
            <w:r w:rsidRPr="00BE3728">
              <w:rPr>
                <w:sz w:val="20"/>
                <w:szCs w:val="20"/>
              </w:rPr>
              <w:t xml:space="preserve"> </w:t>
            </w:r>
            <w:proofErr w:type="spellStart"/>
            <w:r w:rsidRPr="00BE3728">
              <w:rPr>
                <w:sz w:val="20"/>
                <w:szCs w:val="20"/>
              </w:rPr>
              <w:t>order</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the United States“</w:t>
            </w:r>
            <w:r w:rsidRPr="00BE3728">
              <w:rPr>
                <w:rStyle w:val="Funotenzeichen"/>
                <w:sz w:val="20"/>
                <w:szCs w:val="20"/>
              </w:rPr>
              <w:footnoteReference w:id="639"/>
            </w:r>
            <w:r w:rsidRPr="00BE3728">
              <w:rPr>
                <w:sz w:val="20"/>
                <w:szCs w:val="20"/>
              </w:rPr>
              <w:t>).</w:t>
            </w:r>
          </w:p>
        </w:tc>
      </w:tr>
      <w:tr w:rsidR="00074551" w:rsidRPr="00E50B51" w14:paraId="57D20213" w14:textId="77777777" w:rsidTr="00A15DB3">
        <w:trPr>
          <w:cantSplit/>
          <w:trHeight w:val="3175"/>
        </w:trPr>
        <w:tc>
          <w:tcPr>
            <w:tcW w:w="293" w:type="pct"/>
            <w:shd w:val="clear" w:color="auto" w:fill="E7E6E6" w:themeFill="background2"/>
          </w:tcPr>
          <w:p w14:paraId="1FEA22D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p w14:paraId="74465954" w14:textId="77777777" w:rsidR="00074551" w:rsidRPr="00E50B51" w:rsidRDefault="00074551" w:rsidP="00367133">
            <w:pPr>
              <w:ind w:right="416"/>
              <w:jc w:val="center"/>
              <w:rPr>
                <w:sz w:val="20"/>
                <w:szCs w:val="20"/>
              </w:rPr>
            </w:pPr>
            <w:r w:rsidRPr="00E50B51">
              <w:rPr>
                <w:sz w:val="20"/>
                <w:szCs w:val="20"/>
              </w:rPr>
              <w:t>H</w:t>
            </w:r>
          </w:p>
        </w:tc>
        <w:tc>
          <w:tcPr>
            <w:tcW w:w="387" w:type="pct"/>
            <w:shd w:val="clear" w:color="auto" w:fill="E7E6E6" w:themeFill="background2"/>
            <w:textDirection w:val="tbRl"/>
            <w:vAlign w:val="center"/>
          </w:tcPr>
          <w:p w14:paraId="49DDEE91" w14:textId="77777777" w:rsidR="00074551" w:rsidRPr="00E50B51" w:rsidRDefault="00074551" w:rsidP="00367133">
            <w:pPr>
              <w:ind w:left="113" w:right="416"/>
              <w:jc w:val="both"/>
              <w:rPr>
                <w:sz w:val="20"/>
                <w:szCs w:val="20"/>
              </w:rPr>
            </w:pPr>
            <w:r w:rsidRPr="00E50B51">
              <w:rPr>
                <w:sz w:val="20"/>
                <w:szCs w:val="20"/>
              </w:rPr>
              <w:t xml:space="preserve">Naturrechtlich-freiheitliche Seite </w:t>
            </w:r>
          </w:p>
        </w:tc>
        <w:tc>
          <w:tcPr>
            <w:tcW w:w="197" w:type="pct"/>
            <w:shd w:val="clear" w:color="auto" w:fill="E7E6E6" w:themeFill="background2"/>
            <w:textDirection w:val="tbRl"/>
            <w:vAlign w:val="center"/>
          </w:tcPr>
          <w:p w14:paraId="6215FEAD" w14:textId="77777777" w:rsidR="00074551" w:rsidRPr="00E50B51" w:rsidRDefault="00074551" w:rsidP="00367133">
            <w:pPr>
              <w:ind w:left="113" w:right="113"/>
              <w:jc w:val="both"/>
              <w:rPr>
                <w:sz w:val="20"/>
                <w:szCs w:val="20"/>
              </w:rPr>
            </w:pPr>
          </w:p>
        </w:tc>
        <w:tc>
          <w:tcPr>
            <w:tcW w:w="306" w:type="pct"/>
            <w:shd w:val="clear" w:color="auto" w:fill="E7E6E6" w:themeFill="background2"/>
            <w:textDirection w:val="tbRl"/>
            <w:vAlign w:val="center"/>
          </w:tcPr>
          <w:p w14:paraId="00D81010"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7BECE7C9"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A851024" w14:textId="77777777" w:rsidR="00074551" w:rsidRPr="00E50B51" w:rsidRDefault="00074551" w:rsidP="00367133">
            <w:pPr>
              <w:jc w:val="both"/>
              <w:rPr>
                <w:sz w:val="20"/>
                <w:szCs w:val="20"/>
              </w:rPr>
            </w:pPr>
          </w:p>
        </w:tc>
        <w:tc>
          <w:tcPr>
            <w:tcW w:w="1822" w:type="pct"/>
            <w:shd w:val="clear" w:color="auto" w:fill="E7E6E6" w:themeFill="background2"/>
          </w:tcPr>
          <w:p w14:paraId="6DC91FB3" w14:textId="11850472" w:rsidR="00074551" w:rsidRPr="00E50B51" w:rsidRDefault="00074551" w:rsidP="00A15DB3">
            <w:pPr>
              <w:rPr>
                <w:sz w:val="20"/>
                <w:szCs w:val="20"/>
              </w:rPr>
            </w:pPr>
          </w:p>
        </w:tc>
      </w:tr>
      <w:tr w:rsidR="00074551" w:rsidRPr="002E1085" w14:paraId="7BFBE361" w14:textId="77777777" w:rsidTr="00136C30">
        <w:trPr>
          <w:cantSplit/>
          <w:trHeight w:val="3175"/>
        </w:trPr>
        <w:tc>
          <w:tcPr>
            <w:tcW w:w="293" w:type="pct"/>
            <w:shd w:val="clear" w:color="auto" w:fill="E7E6E6" w:themeFill="background2"/>
          </w:tcPr>
          <w:p w14:paraId="2EA669E5" w14:textId="77777777" w:rsidR="00074551" w:rsidRDefault="00074551" w:rsidP="00367133">
            <w:pPr>
              <w:ind w:right="416"/>
              <w:jc w:val="center"/>
              <w:rPr>
                <w:sz w:val="20"/>
                <w:szCs w:val="20"/>
              </w:rPr>
            </w:pPr>
            <w:proofErr w:type="spellStart"/>
            <w:r w:rsidRPr="00E50B51">
              <w:rPr>
                <w:sz w:val="20"/>
                <w:szCs w:val="20"/>
              </w:rPr>
              <w:t>poH</w:t>
            </w:r>
            <w:proofErr w:type="spellEnd"/>
          </w:p>
          <w:p w14:paraId="41394B9C"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4E167C35"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4FA7E39B" w14:textId="77777777" w:rsidR="00074551" w:rsidRDefault="00074551" w:rsidP="00367133">
            <w:pPr>
              <w:ind w:left="113" w:right="113"/>
              <w:jc w:val="both"/>
              <w:rPr>
                <w:sz w:val="20"/>
                <w:szCs w:val="20"/>
                <w:lang w:val="en-US"/>
              </w:rPr>
            </w:pPr>
            <w:r w:rsidRPr="00E50B51">
              <w:rPr>
                <w:sz w:val="20"/>
                <w:szCs w:val="20"/>
                <w:lang w:val="en-US"/>
              </w:rPr>
              <w:t>Fundamental Freedoms</w:t>
            </w:r>
            <w:r>
              <w:rPr>
                <w:sz w:val="20"/>
                <w:szCs w:val="20"/>
                <w:lang w:val="en-US"/>
              </w:rPr>
              <w:t>/</w:t>
            </w:r>
          </w:p>
          <w:p w14:paraId="76D38FCA" w14:textId="77777777" w:rsidR="00074551" w:rsidRPr="00E50B51" w:rsidRDefault="00074551" w:rsidP="00367133">
            <w:pPr>
              <w:ind w:left="113" w:right="113"/>
              <w:jc w:val="both"/>
              <w:rPr>
                <w:sz w:val="20"/>
                <w:szCs w:val="20"/>
                <w:lang w:val="en-US"/>
              </w:rPr>
            </w:pPr>
            <w:r w:rsidRPr="00E50B51">
              <w:rPr>
                <w:sz w:val="20"/>
                <w:szCs w:val="20"/>
                <w:lang w:val="en-US"/>
              </w:rPr>
              <w:t>Bill of Rights</w:t>
            </w:r>
          </w:p>
        </w:tc>
        <w:tc>
          <w:tcPr>
            <w:tcW w:w="306" w:type="pct"/>
            <w:shd w:val="clear" w:color="auto" w:fill="E7E6E6" w:themeFill="background2"/>
            <w:textDirection w:val="tbRl"/>
            <w:vAlign w:val="center"/>
          </w:tcPr>
          <w:p w14:paraId="2D403A76"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140F80EF"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31D20FEA" w14:textId="77777777" w:rsidR="00074551" w:rsidRPr="00E50B51" w:rsidRDefault="00074551" w:rsidP="00367133">
            <w:pPr>
              <w:jc w:val="both"/>
              <w:rPr>
                <w:sz w:val="20"/>
                <w:szCs w:val="20"/>
                <w:lang w:val="en-US"/>
              </w:rPr>
            </w:pPr>
          </w:p>
        </w:tc>
        <w:tc>
          <w:tcPr>
            <w:tcW w:w="1822" w:type="pct"/>
            <w:shd w:val="clear" w:color="auto" w:fill="E7E6E6" w:themeFill="background2"/>
          </w:tcPr>
          <w:p w14:paraId="62B95B99" w14:textId="370844FC" w:rsidR="00074551" w:rsidRPr="00E50B51" w:rsidRDefault="00136C30" w:rsidP="00136C30">
            <w:pPr>
              <w:rPr>
                <w:sz w:val="20"/>
                <w:szCs w:val="20"/>
                <w:lang w:val="en-US"/>
              </w:rPr>
            </w:pPr>
            <w:r w:rsidRPr="00A15DB3">
              <w:rPr>
                <w:i/>
                <w:iCs/>
                <w:sz w:val="16"/>
                <w:szCs w:val="20"/>
              </w:rPr>
              <w:t>Thematische Gliederung der nachfolgenden Entscheidungen ↓</w:t>
            </w:r>
          </w:p>
        </w:tc>
      </w:tr>
      <w:tr w:rsidR="00074551" w:rsidRPr="00E50B51" w14:paraId="6E25DDF4" w14:textId="77777777" w:rsidTr="00BE689F">
        <w:trPr>
          <w:cantSplit/>
          <w:trHeight w:val="3175"/>
        </w:trPr>
        <w:tc>
          <w:tcPr>
            <w:tcW w:w="293" w:type="pct"/>
          </w:tcPr>
          <w:p w14:paraId="094F088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80732D5" w14:textId="77777777" w:rsidR="00074551" w:rsidRPr="00B45592" w:rsidRDefault="00074551" w:rsidP="00367133">
            <w:pPr>
              <w:ind w:left="113" w:right="416"/>
              <w:jc w:val="both"/>
              <w:rPr>
                <w:i/>
                <w:sz w:val="20"/>
                <w:szCs w:val="20"/>
                <w:lang w:val="en-US"/>
              </w:rPr>
            </w:pPr>
            <w:r w:rsidRPr="00B45592">
              <w:rPr>
                <w:i/>
                <w:sz w:val="20"/>
                <w:szCs w:val="20"/>
                <w:lang w:val="en-US"/>
              </w:rPr>
              <w:t>Albr</w:t>
            </w:r>
            <w:r>
              <w:rPr>
                <w:i/>
                <w:sz w:val="20"/>
                <w:szCs w:val="20"/>
                <w:lang w:val="en-US"/>
              </w:rPr>
              <w:t>i</w:t>
            </w:r>
            <w:r w:rsidRPr="00B45592">
              <w:rPr>
                <w:i/>
                <w:sz w:val="20"/>
                <w:szCs w:val="20"/>
                <w:lang w:val="en-US"/>
              </w:rPr>
              <w:t>ght v. Oliver</w:t>
            </w:r>
          </w:p>
        </w:tc>
        <w:tc>
          <w:tcPr>
            <w:tcW w:w="197" w:type="pct"/>
            <w:textDirection w:val="tbRl"/>
            <w:vAlign w:val="center"/>
          </w:tcPr>
          <w:p w14:paraId="0735DEAA" w14:textId="77777777" w:rsidR="00074551" w:rsidRPr="00E50B51" w:rsidRDefault="00074551" w:rsidP="00367133">
            <w:pPr>
              <w:ind w:left="113" w:right="113"/>
              <w:jc w:val="both"/>
              <w:rPr>
                <w:sz w:val="20"/>
                <w:szCs w:val="20"/>
                <w:lang w:val="en-US"/>
              </w:rPr>
            </w:pPr>
            <w:r w:rsidRPr="00E50B51">
              <w:rPr>
                <w:sz w:val="20"/>
                <w:szCs w:val="20"/>
                <w:lang w:val="en-US"/>
              </w:rPr>
              <w:t>510 U.S. 266</w:t>
            </w:r>
          </w:p>
        </w:tc>
        <w:tc>
          <w:tcPr>
            <w:tcW w:w="306" w:type="pct"/>
            <w:textDirection w:val="tbRl"/>
            <w:vAlign w:val="center"/>
          </w:tcPr>
          <w:p w14:paraId="38ABC599" w14:textId="77777777" w:rsidR="00074551" w:rsidRPr="00E50B51" w:rsidRDefault="00074551" w:rsidP="00367133">
            <w:pPr>
              <w:ind w:left="113" w:right="113"/>
              <w:jc w:val="both"/>
              <w:rPr>
                <w:sz w:val="20"/>
                <w:szCs w:val="20"/>
              </w:rPr>
            </w:pPr>
            <w:r w:rsidRPr="00E50B51">
              <w:rPr>
                <w:sz w:val="20"/>
                <w:szCs w:val="20"/>
              </w:rPr>
              <w:t>24. Januar 1994</w:t>
            </w:r>
          </w:p>
        </w:tc>
        <w:tc>
          <w:tcPr>
            <w:tcW w:w="401" w:type="pct"/>
          </w:tcPr>
          <w:p w14:paraId="30C84E02"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0F656AE3" w14:textId="77777777" w:rsidR="00074551" w:rsidRDefault="00074551" w:rsidP="00367133">
            <w:pPr>
              <w:jc w:val="both"/>
              <w:rPr>
                <w:sz w:val="20"/>
                <w:szCs w:val="20"/>
              </w:rPr>
            </w:pPr>
            <w:r w:rsidRPr="001B6693">
              <w:rPr>
                <w:sz w:val="20"/>
                <w:szCs w:val="20"/>
              </w:rPr>
              <w:t>Im Fall ging es zunächst darum, dass der Ermittlungsrichter gegen den Kläger einen Haftbefehl erließ wegen des Verkaufs einer Substanz, die wie eine illegale Droge aussah. Der Kläger als Beschuldigter stellte sich den Beamten und wurde in Haft genommen. Die Anklage wurde aber mangels nachweislicher Straftat abgewiesen. Daraufhin erhob wiederum der Kläger nach 42 U.S.C.S. § 1983 Klage, in der er sich gegen die Beamten wendete und geltend machte, ihm sei sein materielles Freiheitsrecht („</w:t>
            </w:r>
            <w:proofErr w:type="spellStart"/>
            <w:r w:rsidRPr="001B6693">
              <w:rPr>
                <w:sz w:val="20"/>
                <w:szCs w:val="20"/>
              </w:rPr>
              <w:t>substantive</w:t>
            </w:r>
            <w:proofErr w:type="spellEnd"/>
            <w:r w:rsidRPr="001B6693">
              <w:rPr>
                <w:sz w:val="20"/>
                <w:szCs w:val="20"/>
              </w:rPr>
              <w:t xml:space="preserve"> due </w:t>
            </w:r>
            <w:proofErr w:type="spellStart"/>
            <w:proofErr w:type="gramStart"/>
            <w:r w:rsidRPr="001B6693">
              <w:rPr>
                <w:sz w:val="20"/>
                <w:szCs w:val="20"/>
              </w:rPr>
              <w:t>process</w:t>
            </w:r>
            <w:proofErr w:type="spellEnd"/>
            <w:r w:rsidRPr="001B6693">
              <w:rPr>
                <w:sz w:val="20"/>
                <w:szCs w:val="20"/>
              </w:rPr>
              <w:t xml:space="preserve"> ,</w:t>
            </w:r>
            <w:proofErr w:type="spellStart"/>
            <w:r w:rsidRPr="001B6693">
              <w:rPr>
                <w:sz w:val="20"/>
                <w:szCs w:val="20"/>
              </w:rPr>
              <w:t>liberty</w:t>
            </w:r>
            <w:proofErr w:type="spellEnd"/>
            <w:proofErr w:type="gramEnd"/>
            <w:r w:rsidRPr="001B6693">
              <w:rPr>
                <w:sz w:val="20"/>
                <w:szCs w:val="20"/>
              </w:rPr>
              <w:t xml:space="preserve">’ </w:t>
            </w:r>
            <w:proofErr w:type="spellStart"/>
            <w:r w:rsidRPr="001B6693">
              <w:rPr>
                <w:sz w:val="20"/>
                <w:szCs w:val="20"/>
              </w:rPr>
              <w:t>right</w:t>
            </w:r>
            <w:proofErr w:type="spellEnd"/>
            <w:r w:rsidRPr="001B6693">
              <w:rPr>
                <w:sz w:val="20"/>
                <w:szCs w:val="20"/>
              </w:rPr>
              <w:t>“</w:t>
            </w:r>
            <w:r>
              <w:rPr>
                <w:rStyle w:val="Funotenzeichen"/>
                <w:sz w:val="20"/>
                <w:szCs w:val="20"/>
              </w:rPr>
              <w:footnoteReference w:id="640"/>
            </w:r>
            <w:r w:rsidRPr="001B6693">
              <w:rPr>
                <w:sz w:val="20"/>
                <w:szCs w:val="20"/>
              </w:rPr>
              <w:t>) insoweit verweigert worden, nur bei hinreichendem Tatverdacht einer Strafverfolgung ausgesetzt zu sein</w:t>
            </w:r>
            <w:r w:rsidRPr="00E50B51">
              <w:rPr>
                <w:sz w:val="20"/>
                <w:szCs w:val="20"/>
              </w:rPr>
              <w:t xml:space="preserve"> („probable </w:t>
            </w:r>
            <w:proofErr w:type="spellStart"/>
            <w:r w:rsidRPr="00E50B51">
              <w:rPr>
                <w:sz w:val="20"/>
                <w:szCs w:val="20"/>
              </w:rPr>
              <w:t>cause</w:t>
            </w:r>
            <w:proofErr w:type="spellEnd"/>
            <w:r w:rsidRPr="00E50B51">
              <w:rPr>
                <w:sz w:val="20"/>
                <w:szCs w:val="20"/>
              </w:rPr>
              <w:t xml:space="preserve"> as a </w:t>
            </w:r>
            <w:proofErr w:type="spellStart"/>
            <w:r w:rsidRPr="00E50B51">
              <w:rPr>
                <w:sz w:val="20"/>
                <w:szCs w:val="20"/>
              </w:rPr>
              <w:t>prerequisite</w:t>
            </w:r>
            <w:proofErr w:type="spellEnd"/>
            <w:r w:rsidRPr="00E50B51">
              <w:rPr>
                <w:sz w:val="20"/>
                <w:szCs w:val="20"/>
              </w:rPr>
              <w:t>“</w:t>
            </w:r>
            <w:r w:rsidRPr="5B67C1D2">
              <w:rPr>
                <w:rStyle w:val="Funotenzeichen"/>
                <w:rFonts w:eastAsiaTheme="majorEastAsia"/>
                <w:sz w:val="20"/>
                <w:szCs w:val="20"/>
              </w:rPr>
              <w:footnoteReference w:id="641"/>
            </w:r>
            <w:r w:rsidRPr="00E50B51">
              <w:rPr>
                <w:sz w:val="20"/>
                <w:szCs w:val="20"/>
              </w:rPr>
              <w:t xml:space="preserve">). </w:t>
            </w:r>
          </w:p>
          <w:p w14:paraId="40C236DE" w14:textId="204F930D" w:rsidR="000745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die Klage sei nach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E50B51">
              <w:rPr>
                <w:sz w:val="20"/>
                <w:szCs w:val="20"/>
              </w:rPr>
              <w:t xml:space="preserve"> zu entscheiden – und nicht nach dem materiellen Freiheitsrecht („</w:t>
            </w:r>
            <w:proofErr w:type="spellStart"/>
            <w:r w:rsidRPr="00E50B51">
              <w:rPr>
                <w:sz w:val="20"/>
                <w:szCs w:val="20"/>
              </w:rPr>
              <w:t>substantive</w:t>
            </w:r>
            <w:proofErr w:type="spellEnd"/>
            <w:r w:rsidRPr="00E50B51">
              <w:rPr>
                <w:sz w:val="20"/>
                <w:szCs w:val="20"/>
              </w:rPr>
              <w:t xml:space="preserve"> due </w:t>
            </w:r>
            <w:proofErr w:type="spellStart"/>
            <w:proofErr w:type="gramStart"/>
            <w:r w:rsidRPr="00E50B51">
              <w:rPr>
                <w:sz w:val="20"/>
                <w:szCs w:val="20"/>
              </w:rPr>
              <w:t>process</w:t>
            </w:r>
            <w:proofErr w:type="spellEnd"/>
            <w:r w:rsidRPr="00E50B51">
              <w:rPr>
                <w:sz w:val="20"/>
                <w:szCs w:val="20"/>
              </w:rPr>
              <w:t xml:space="preserve"> </w:t>
            </w:r>
            <w:r>
              <w:rPr>
                <w:sz w:val="20"/>
                <w:szCs w:val="20"/>
              </w:rPr>
              <w:t>,</w:t>
            </w:r>
            <w:proofErr w:type="spellStart"/>
            <w:r w:rsidRPr="00E50B51">
              <w:rPr>
                <w:sz w:val="20"/>
                <w:szCs w:val="20"/>
              </w:rPr>
              <w:t>liberty</w:t>
            </w:r>
            <w:proofErr w:type="spellEnd"/>
            <w:proofErr w:type="gramEnd"/>
            <w:r>
              <w:rPr>
                <w:sz w:val="20"/>
                <w:szCs w:val="20"/>
              </w:rPr>
              <w:t>‘</w:t>
            </w:r>
            <w:r w:rsidRPr="00E50B51">
              <w:rPr>
                <w:sz w:val="20"/>
                <w:szCs w:val="20"/>
              </w:rPr>
              <w:t xml:space="preserve"> </w:t>
            </w:r>
            <w:proofErr w:type="spellStart"/>
            <w:r w:rsidRPr="00E50B51">
              <w:rPr>
                <w:sz w:val="20"/>
                <w:szCs w:val="20"/>
              </w:rPr>
              <w:t>right</w:t>
            </w:r>
            <w:proofErr w:type="spellEnd"/>
            <w:r w:rsidRPr="00E50B51">
              <w:rPr>
                <w:sz w:val="20"/>
                <w:szCs w:val="20"/>
              </w:rPr>
              <w:t>“</w:t>
            </w:r>
            <w:r w:rsidRPr="00E50B51">
              <w:rPr>
                <w:rStyle w:val="Funotenzeichen"/>
                <w:rFonts w:eastAsiaTheme="majorEastAsia"/>
                <w:sz w:val="20"/>
                <w:szCs w:val="20"/>
              </w:rPr>
              <w:footnoteReference w:id="642"/>
            </w:r>
            <w:r w:rsidRPr="00E50B51">
              <w:rPr>
                <w:sz w:val="20"/>
                <w:szCs w:val="20"/>
              </w:rPr>
              <w:t>). Schließlich habe eine Festnahme („</w:t>
            </w:r>
            <w:proofErr w:type="spellStart"/>
            <w:r w:rsidRPr="00E50B51">
              <w:rPr>
                <w:sz w:val="20"/>
                <w:szCs w:val="20"/>
              </w:rPr>
              <w:t>sei</w:t>
            </w:r>
            <w:r w:rsidRPr="00BD2B7F">
              <w:rPr>
                <w:sz w:val="20"/>
                <w:szCs w:val="20"/>
              </w:rPr>
              <w:t>zure</w:t>
            </w:r>
            <w:proofErr w:type="spellEnd"/>
            <w:r w:rsidRPr="00BD2B7F">
              <w:rPr>
                <w:sz w:val="20"/>
                <w:szCs w:val="20"/>
              </w:rPr>
              <w:t>“</w:t>
            </w:r>
            <w:r w:rsidRPr="00BD2B7F">
              <w:rPr>
                <w:rStyle w:val="Funotenzeichen"/>
                <w:sz w:val="20"/>
                <w:szCs w:val="20"/>
              </w:rPr>
              <w:footnoteReference w:id="643"/>
            </w:r>
            <w:r w:rsidRPr="00BD2B7F">
              <w:rPr>
                <w:sz w:val="20"/>
                <w:szCs w:val="20"/>
              </w:rPr>
              <w:t xml:space="preserve">) vorgelegen, die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BD2B7F">
              <w:rPr>
                <w:sz w:val="20"/>
                <w:szCs w:val="20"/>
              </w:rPr>
              <w:t xml:space="preserve"> ausdrücklich regle. </w:t>
            </w:r>
            <w:r w:rsidRPr="001B6693">
              <w:rPr>
                <w:sz w:val="20"/>
                <w:szCs w:val="20"/>
              </w:rPr>
              <w:t xml:space="preserve">Und wo der Wortlaut eines Amendments </w:t>
            </w:r>
            <w:r w:rsidRPr="001B6693">
              <w:rPr>
                <w:i/>
                <w:sz w:val="20"/>
                <w:szCs w:val="20"/>
              </w:rPr>
              <w:t>expressis verbis</w:t>
            </w:r>
            <w:r w:rsidRPr="001B6693">
              <w:rPr>
                <w:sz w:val="20"/>
                <w:szCs w:val="20"/>
              </w:rPr>
              <w:t xml:space="preserve"> gegen eine staatliche Maßnahme schütze, könne nicht der allgemeinere Begriff der materiellen Freiheit nach der </w:t>
            </w:r>
            <w:r w:rsidRPr="001B6693">
              <w:rPr>
                <w:i/>
                <w:sz w:val="20"/>
                <w:szCs w:val="20"/>
              </w:rPr>
              <w:t xml:space="preserve">Due </w:t>
            </w:r>
            <w:proofErr w:type="spellStart"/>
            <w:r w:rsidRPr="001B6693">
              <w:rPr>
                <w:i/>
                <w:sz w:val="20"/>
                <w:szCs w:val="20"/>
              </w:rPr>
              <w:t>Process</w:t>
            </w:r>
            <w:proofErr w:type="spellEnd"/>
            <w:r w:rsidRPr="001B6693">
              <w:rPr>
                <w:i/>
                <w:sz w:val="20"/>
                <w:szCs w:val="20"/>
              </w:rPr>
              <w:t xml:space="preserve"> </w:t>
            </w:r>
            <w:proofErr w:type="spellStart"/>
            <w:r w:rsidRPr="001B6693">
              <w:rPr>
                <w:i/>
                <w:sz w:val="20"/>
                <w:szCs w:val="20"/>
              </w:rPr>
              <w:t>Clause</w:t>
            </w:r>
            <w:proofErr w:type="spellEnd"/>
            <w:r w:rsidRPr="001B6693">
              <w:rPr>
                <w:sz w:val="20"/>
                <w:szCs w:val="20"/>
              </w:rPr>
              <w:t xml:space="preserve"> Prüfungsmaßstab sein, mit anderen Worten: </w:t>
            </w:r>
            <w:r>
              <w:rPr>
                <w:i/>
                <w:sz w:val="20"/>
                <w:szCs w:val="20"/>
              </w:rPr>
              <w:t>L</w:t>
            </w:r>
            <w:r w:rsidRPr="001B6693">
              <w:rPr>
                <w:i/>
                <w:sz w:val="20"/>
                <w:szCs w:val="20"/>
              </w:rPr>
              <w:t xml:space="preserve">ex specialis </w:t>
            </w:r>
            <w:proofErr w:type="spellStart"/>
            <w:r w:rsidRPr="001B6693">
              <w:rPr>
                <w:i/>
                <w:sz w:val="20"/>
                <w:szCs w:val="20"/>
              </w:rPr>
              <w:t>derogat</w:t>
            </w:r>
            <w:proofErr w:type="spellEnd"/>
            <w:r w:rsidRPr="001B6693">
              <w:rPr>
                <w:i/>
                <w:sz w:val="20"/>
                <w:szCs w:val="20"/>
              </w:rPr>
              <w:t xml:space="preserve"> </w:t>
            </w:r>
            <w:proofErr w:type="spellStart"/>
            <w:r w:rsidRPr="001B6693">
              <w:rPr>
                <w:i/>
                <w:sz w:val="20"/>
                <w:szCs w:val="20"/>
              </w:rPr>
              <w:t>legi</w:t>
            </w:r>
            <w:proofErr w:type="spellEnd"/>
            <w:r w:rsidRPr="001B6693">
              <w:rPr>
                <w:i/>
                <w:sz w:val="20"/>
                <w:szCs w:val="20"/>
              </w:rPr>
              <w:t xml:space="preserve"> </w:t>
            </w:r>
            <w:proofErr w:type="spellStart"/>
            <w:r w:rsidRPr="001B6693">
              <w:rPr>
                <w:i/>
                <w:sz w:val="20"/>
                <w:szCs w:val="20"/>
              </w:rPr>
              <w:t>generali</w:t>
            </w:r>
            <w:proofErr w:type="spellEnd"/>
            <w:r w:rsidRPr="001B6693">
              <w:rPr>
                <w:sz w:val="20"/>
                <w:szCs w:val="20"/>
              </w:rPr>
              <w:t>.</w:t>
            </w:r>
            <w:r>
              <w:rPr>
                <w:rStyle w:val="Funotenzeichen"/>
                <w:sz w:val="20"/>
                <w:szCs w:val="20"/>
              </w:rPr>
              <w:footnoteReference w:id="644"/>
            </w:r>
          </w:p>
          <w:p w14:paraId="75BFC986" w14:textId="6B649D26" w:rsidR="00074551" w:rsidRPr="00E50B51" w:rsidRDefault="00074551" w:rsidP="00367133">
            <w:pPr>
              <w:jc w:val="both"/>
              <w:rPr>
                <w:sz w:val="20"/>
                <w:szCs w:val="20"/>
              </w:rPr>
            </w:pPr>
            <w:r w:rsidRPr="00BD2B7F">
              <w:rPr>
                <w:sz w:val="20"/>
                <w:szCs w:val="20"/>
              </w:rPr>
              <w:t xml:space="preserve">Das Gericht äußerte sich indes nicht zu der Frage, ob die Klage auf der Grundlage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BD2B7F">
              <w:rPr>
                <w:sz w:val="20"/>
                <w:szCs w:val="20"/>
              </w:rPr>
              <w:t xml:space="preserve"> obsiegt hätte. Der </w:t>
            </w:r>
            <w:proofErr w:type="spellStart"/>
            <w:r w:rsidRPr="00BD2B7F">
              <w:rPr>
                <w:sz w:val="20"/>
                <w:szCs w:val="20"/>
              </w:rPr>
              <w:t>Certiorari</w:t>
            </w:r>
            <w:proofErr w:type="spellEnd"/>
            <w:r>
              <w:rPr>
                <w:sz w:val="20"/>
                <w:szCs w:val="20"/>
              </w:rPr>
              <w:t>-Antrag</w:t>
            </w:r>
            <w:r w:rsidRPr="00BD2B7F">
              <w:rPr>
                <w:rStyle w:val="Funotenzeichen"/>
                <w:sz w:val="20"/>
                <w:szCs w:val="20"/>
              </w:rPr>
              <w:footnoteReference w:id="645"/>
            </w:r>
            <w:r w:rsidRPr="00BD2B7F">
              <w:rPr>
                <w:sz w:val="20"/>
                <w:szCs w:val="20"/>
              </w:rPr>
              <w:t xml:space="preserve"> hatte diese Frage dem </w:t>
            </w:r>
            <w:r>
              <w:rPr>
                <w:sz w:val="20"/>
                <w:szCs w:val="20"/>
              </w:rPr>
              <w:t>U.S. Supreme Court</w:t>
            </w:r>
            <w:r w:rsidRPr="00BD2B7F">
              <w:rPr>
                <w:sz w:val="20"/>
                <w:szCs w:val="20"/>
              </w:rPr>
              <w:t xml:space="preserve"> nicht unterbreitet</w:t>
            </w:r>
            <w:r>
              <w:rPr>
                <w:sz w:val="20"/>
                <w:szCs w:val="20"/>
              </w:rPr>
              <w:t>.</w:t>
            </w:r>
          </w:p>
          <w:p w14:paraId="59A30294" w14:textId="77777777" w:rsidR="00074551" w:rsidRPr="001B6693" w:rsidRDefault="00074551" w:rsidP="00367133">
            <w:pPr>
              <w:jc w:val="both"/>
              <w:rPr>
                <w:sz w:val="20"/>
                <w:szCs w:val="20"/>
              </w:rPr>
            </w:pPr>
          </w:p>
        </w:tc>
        <w:tc>
          <w:tcPr>
            <w:tcW w:w="1822" w:type="pct"/>
          </w:tcPr>
          <w:p w14:paraId="5DA6CCFE" w14:textId="366FC603" w:rsidR="00074551" w:rsidRDefault="00074551" w:rsidP="00367133">
            <w:pPr>
              <w:rPr>
                <w:sz w:val="20"/>
                <w:szCs w:val="20"/>
              </w:rPr>
            </w:pPr>
            <w:r w:rsidRPr="00E50B51">
              <w:rPr>
                <w:sz w:val="20"/>
                <w:szCs w:val="20"/>
              </w:rPr>
              <w:t xml:space="preserve">Wenn der Wortlaut eines Amendments explizit gegen eine bestimmte staatliche Maßnahme schütze, </w:t>
            </w:r>
            <w:r>
              <w:rPr>
                <w:sz w:val="20"/>
                <w:szCs w:val="20"/>
              </w:rPr>
              <w:t>z.B.</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E50B51">
              <w:rPr>
                <w:sz w:val="20"/>
                <w:szCs w:val="20"/>
              </w:rPr>
              <w:t xml:space="preserve"> gegen unrechtmäßige Festnahme, dann </w:t>
            </w:r>
            <w:r>
              <w:rPr>
                <w:sz w:val="20"/>
                <w:szCs w:val="20"/>
              </w:rPr>
              <w:t>müsse</w:t>
            </w:r>
            <w:r w:rsidRPr="00E50B51">
              <w:rPr>
                <w:sz w:val="20"/>
                <w:szCs w:val="20"/>
              </w:rPr>
              <w:t xml:space="preserve"> dieses Amendment als verfassungsrechtlicher Prüfungsmaßstab dienen – und nicht der allgemeinere materielle Rechtsschutz (</w:t>
            </w:r>
            <w:proofErr w:type="spellStart"/>
            <w:r w:rsidRPr="00B45592">
              <w:rPr>
                <w:i/>
                <w:iCs/>
                <w:sz w:val="20"/>
                <w:szCs w:val="20"/>
              </w:rPr>
              <w:t>substantive</w:t>
            </w:r>
            <w:proofErr w:type="spellEnd"/>
            <w:r w:rsidRPr="00B45592">
              <w:rPr>
                <w:i/>
                <w:iCs/>
                <w:sz w:val="20"/>
                <w:szCs w:val="20"/>
              </w:rPr>
              <w:t xml:space="preserve"> due </w:t>
            </w:r>
            <w:proofErr w:type="spellStart"/>
            <w:r w:rsidRPr="00B45592">
              <w:rPr>
                <w:i/>
                <w:iCs/>
                <w:sz w:val="20"/>
                <w:szCs w:val="20"/>
              </w:rPr>
              <w:t>process</w:t>
            </w:r>
            <w:proofErr w:type="spellEnd"/>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35998">
              <w:rPr>
                <w:rStyle w:val="Funotenzeichen"/>
                <w:sz w:val="20"/>
                <w:szCs w:val="20"/>
              </w:rPr>
              <w:footnoteReference w:id="646"/>
            </w:r>
            <w:r w:rsidRPr="00035998">
              <w:rPr>
                <w:sz w:val="20"/>
                <w:szCs w:val="20"/>
              </w:rPr>
              <w:t>).</w:t>
            </w:r>
            <w:r w:rsidRPr="00E50B51">
              <w:rPr>
                <w:sz w:val="20"/>
                <w:szCs w:val="20"/>
              </w:rPr>
              <w:t xml:space="preserve"> Dieses Verhältnis von speziellerem Amendment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E50B51">
              <w:rPr>
                <w:sz w:val="20"/>
                <w:szCs w:val="20"/>
              </w:rPr>
              <w:t>) zu allgemeinerem Amendment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erläutert der Dissens</w:t>
            </w:r>
            <w:r>
              <w:rPr>
                <w:sz w:val="20"/>
                <w:szCs w:val="20"/>
              </w:rPr>
              <w:t xml:space="preserve"> weiter</w:t>
            </w:r>
            <w:r w:rsidRPr="00E50B51">
              <w:rPr>
                <w:sz w:val="20"/>
                <w:szCs w:val="20"/>
              </w:rPr>
              <w:t xml:space="preserv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schütze gegen mehr als nur Freiheitsentziehung („</w:t>
            </w:r>
            <w:proofErr w:type="spellStart"/>
            <w:r w:rsidRPr="00E50B51">
              <w:rPr>
                <w:sz w:val="20"/>
                <w:szCs w:val="20"/>
              </w:rPr>
              <w:t>broader</w:t>
            </w:r>
            <w:proofErr w:type="spellEnd"/>
            <w:r w:rsidRPr="00E50B51">
              <w:rPr>
                <w:sz w:val="20"/>
                <w:szCs w:val="20"/>
              </w:rPr>
              <w:t xml:space="preserve"> </w:t>
            </w:r>
            <w:proofErr w:type="spellStart"/>
            <w:r w:rsidRPr="00E50B51">
              <w:rPr>
                <w:sz w:val="20"/>
                <w:szCs w:val="20"/>
              </w:rPr>
              <w:t>than</w:t>
            </w:r>
            <w:proofErr w:type="spellEnd"/>
            <w:r w:rsidRPr="00E50B51">
              <w:rPr>
                <w:sz w:val="20"/>
                <w:szCs w:val="20"/>
              </w:rPr>
              <w:t xml:space="preserve"> </w:t>
            </w:r>
            <w:proofErr w:type="spellStart"/>
            <w:r w:rsidRPr="00E50B51">
              <w:rPr>
                <w:sz w:val="20"/>
                <w:szCs w:val="20"/>
              </w:rPr>
              <w:t>mere</w:t>
            </w:r>
            <w:proofErr w:type="spellEnd"/>
            <w:r w:rsidRPr="00E50B51">
              <w:rPr>
                <w:sz w:val="20"/>
                <w:szCs w:val="20"/>
              </w:rPr>
              <w:t xml:space="preserve"> </w:t>
            </w:r>
            <w:proofErr w:type="spellStart"/>
            <w:r w:rsidRPr="00E50B51">
              <w:rPr>
                <w:sz w:val="20"/>
                <w:szCs w:val="20"/>
              </w:rPr>
              <w:t>freedom</w:t>
            </w:r>
            <w:proofErr w:type="spellEnd"/>
            <w:r w:rsidRPr="00E50B51">
              <w:rPr>
                <w:sz w:val="20"/>
                <w:szCs w:val="20"/>
              </w:rPr>
              <w:t xml:space="preserve"> </w:t>
            </w:r>
            <w:proofErr w:type="spellStart"/>
            <w:r w:rsidRPr="00E50B51">
              <w:rPr>
                <w:sz w:val="20"/>
                <w:szCs w:val="20"/>
              </w:rPr>
              <w:t>from</w:t>
            </w:r>
            <w:proofErr w:type="spellEnd"/>
            <w:r w:rsidRPr="00E50B51">
              <w:rPr>
                <w:sz w:val="20"/>
                <w:szCs w:val="20"/>
              </w:rPr>
              <w:t xml:space="preserve"> </w:t>
            </w:r>
            <w:proofErr w:type="spellStart"/>
            <w:r w:rsidRPr="00E50B51">
              <w:rPr>
                <w:sz w:val="20"/>
                <w:szCs w:val="20"/>
              </w:rPr>
              <w:t>physical</w:t>
            </w:r>
            <w:proofErr w:type="spellEnd"/>
            <w:r w:rsidRPr="00E50B51">
              <w:rPr>
                <w:sz w:val="20"/>
                <w:szCs w:val="20"/>
              </w:rPr>
              <w:t xml:space="preserve"> </w:t>
            </w:r>
            <w:proofErr w:type="spellStart"/>
            <w:r w:rsidRPr="00035998">
              <w:rPr>
                <w:sz w:val="20"/>
                <w:szCs w:val="20"/>
              </w:rPr>
              <w:t>constraint</w:t>
            </w:r>
            <w:proofErr w:type="spellEnd"/>
            <w:r w:rsidRPr="00035998">
              <w:rPr>
                <w:sz w:val="20"/>
                <w:szCs w:val="20"/>
              </w:rPr>
              <w:t>“</w:t>
            </w:r>
            <w:r w:rsidRPr="00035998">
              <w:rPr>
                <w:rStyle w:val="Funotenzeichen"/>
                <w:sz w:val="20"/>
                <w:szCs w:val="20"/>
              </w:rPr>
              <w:footnoteReference w:id="647"/>
            </w:r>
            <w:r w:rsidRPr="00035998">
              <w:rPr>
                <w:sz w:val="20"/>
                <w:szCs w:val="20"/>
              </w:rPr>
              <w:t>).</w:t>
            </w:r>
            <w:r w:rsidRPr="00E50B51">
              <w:rPr>
                <w:sz w:val="20"/>
                <w:szCs w:val="20"/>
              </w:rPr>
              <w:t xml:space="preserve"> Denn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E50B51">
              <w:rPr>
                <w:sz w:val="20"/>
                <w:szCs w:val="20"/>
              </w:rPr>
              <w:t xml:space="preserve">beschreibe weite qualitative Konturen, gemeint ist der Schutzbereich: Die qualitativen Konturen seien weit, weil </w:t>
            </w:r>
            <w:r>
              <w:rPr>
                <w:sz w:val="20"/>
                <w:szCs w:val="20"/>
              </w:rPr>
              <w:t>diese die</w:t>
            </w:r>
            <w:r w:rsidRPr="00E50B51">
              <w:rPr>
                <w:sz w:val="20"/>
                <w:szCs w:val="20"/>
              </w:rPr>
              <w:t xml:space="preserve"> Bedingungen für Glücksstreben („</w:t>
            </w:r>
            <w:proofErr w:type="spellStart"/>
            <w:r w:rsidRPr="00E50B51">
              <w:rPr>
                <w:sz w:val="20"/>
                <w:szCs w:val="20"/>
              </w:rPr>
              <w:t>those</w:t>
            </w:r>
            <w:proofErr w:type="spellEnd"/>
            <w:r w:rsidRPr="00E50B51">
              <w:rPr>
                <w:sz w:val="20"/>
                <w:szCs w:val="20"/>
              </w:rPr>
              <w:t xml:space="preserve"> </w:t>
            </w:r>
            <w:proofErr w:type="spellStart"/>
            <w:r w:rsidRPr="00E50B51">
              <w:rPr>
                <w:sz w:val="20"/>
                <w:szCs w:val="20"/>
              </w:rPr>
              <w:t>privileges</w:t>
            </w:r>
            <w:proofErr w:type="spellEnd"/>
            <w:r w:rsidRPr="00E50B51">
              <w:rPr>
                <w:sz w:val="20"/>
                <w:szCs w:val="20"/>
              </w:rPr>
              <w:t xml:space="preserve"> </w:t>
            </w:r>
            <w:proofErr w:type="spellStart"/>
            <w:r w:rsidRPr="00E50B51">
              <w:rPr>
                <w:sz w:val="20"/>
                <w:szCs w:val="20"/>
              </w:rPr>
              <w:t>long</w:t>
            </w:r>
            <w:proofErr w:type="spellEnd"/>
            <w:r w:rsidRPr="00E50B51">
              <w:rPr>
                <w:sz w:val="20"/>
                <w:szCs w:val="20"/>
              </w:rPr>
              <w:t xml:space="preserve"> </w:t>
            </w:r>
            <w:proofErr w:type="spellStart"/>
            <w:r w:rsidRPr="00E50B51">
              <w:rPr>
                <w:sz w:val="20"/>
                <w:szCs w:val="20"/>
              </w:rPr>
              <w:t>recognized</w:t>
            </w:r>
            <w:proofErr w:type="spellEnd"/>
            <w:r w:rsidRPr="00E50B51">
              <w:rPr>
                <w:sz w:val="20"/>
                <w:szCs w:val="20"/>
              </w:rPr>
              <w:t xml:space="preserve"> at </w:t>
            </w:r>
            <w:proofErr w:type="spellStart"/>
            <w:r w:rsidRPr="00E50B51">
              <w:rPr>
                <w:sz w:val="20"/>
                <w:szCs w:val="20"/>
              </w:rPr>
              <w:t>common</w:t>
            </w:r>
            <w:proofErr w:type="spellEnd"/>
            <w:r w:rsidRPr="00E50B51">
              <w:rPr>
                <w:sz w:val="20"/>
                <w:szCs w:val="20"/>
              </w:rPr>
              <w:t xml:space="preserve"> </w:t>
            </w:r>
            <w:proofErr w:type="spellStart"/>
            <w:r w:rsidRPr="00E50B51">
              <w:rPr>
                <w:sz w:val="20"/>
                <w:szCs w:val="20"/>
              </w:rPr>
              <w:t>law</w:t>
            </w:r>
            <w:proofErr w:type="spellEnd"/>
            <w:r w:rsidRPr="00E50B51">
              <w:rPr>
                <w:sz w:val="20"/>
                <w:szCs w:val="20"/>
              </w:rPr>
              <w:t xml:space="preserve"> as essential to the </w:t>
            </w:r>
            <w:proofErr w:type="spellStart"/>
            <w:r w:rsidRPr="00E50B51">
              <w:rPr>
                <w:sz w:val="20"/>
                <w:szCs w:val="20"/>
              </w:rPr>
              <w:t>orderly</w:t>
            </w:r>
            <w:proofErr w:type="spellEnd"/>
            <w:r w:rsidRPr="00E50B51">
              <w:rPr>
                <w:sz w:val="20"/>
                <w:szCs w:val="20"/>
              </w:rPr>
              <w:t xml:space="preserv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00E50B51">
              <w:rPr>
                <w:rStyle w:val="Funotenzeichen"/>
                <w:rFonts w:eastAsiaTheme="majorEastAsia"/>
                <w:sz w:val="20"/>
                <w:szCs w:val="20"/>
              </w:rPr>
              <w:footnoteReference w:id="648"/>
            </w:r>
            <w:r w:rsidRPr="00E50B51">
              <w:rPr>
                <w:sz w:val="20"/>
                <w:szCs w:val="20"/>
              </w:rPr>
              <w:t>) umfass</w:t>
            </w:r>
            <w:r>
              <w:rPr>
                <w:sz w:val="20"/>
                <w:szCs w:val="20"/>
              </w:rPr>
              <w:t>t</w:t>
            </w:r>
            <w:r w:rsidRPr="00E50B51">
              <w:rPr>
                <w:sz w:val="20"/>
                <w:szCs w:val="20"/>
              </w:rPr>
              <w:t xml:space="preserve">en. </w:t>
            </w:r>
            <w:r>
              <w:rPr>
                <w:sz w:val="20"/>
                <w:szCs w:val="20"/>
              </w:rPr>
              <w:t>Und w</w:t>
            </w:r>
            <w:r w:rsidRPr="00E50B51">
              <w:rPr>
                <w:sz w:val="20"/>
                <w:szCs w:val="20"/>
              </w:rPr>
              <w:t>eil die qualitativen Konturen weit sind, gestalten sich die quantitativen Konturen</w:t>
            </w:r>
            <w:r>
              <w:rPr>
                <w:sz w:val="20"/>
                <w:szCs w:val="20"/>
              </w:rPr>
              <w:t xml:space="preserve"> bzw. Einschränkungsmöglichkeiten auch weit</w:t>
            </w:r>
            <w:r w:rsidRPr="00E50B51">
              <w:rPr>
                <w:sz w:val="20"/>
                <w:szCs w:val="20"/>
              </w:rPr>
              <w:t xml:space="preserve">. Denn nicht jede Einschränkung der qualitativen Konturen </w:t>
            </w:r>
            <w:r>
              <w:rPr>
                <w:sz w:val="20"/>
                <w:szCs w:val="20"/>
              </w:rPr>
              <w:t>sei</w:t>
            </w:r>
            <w:r w:rsidRPr="00E50B51">
              <w:rPr>
                <w:sz w:val="20"/>
                <w:szCs w:val="20"/>
              </w:rPr>
              <w:t xml:space="preserve"> verfassungsrechtlich bedenklich („not </w:t>
            </w:r>
            <w:proofErr w:type="spellStart"/>
            <w:r w:rsidRPr="00E50B51">
              <w:rPr>
                <w:sz w:val="20"/>
                <w:szCs w:val="20"/>
              </w:rPr>
              <w:t>every</w:t>
            </w:r>
            <w:proofErr w:type="spellEnd"/>
            <w:r w:rsidRPr="00E50B51">
              <w:rPr>
                <w:sz w:val="20"/>
                <w:szCs w:val="20"/>
              </w:rPr>
              <w:t xml:space="preserve"> </w:t>
            </w:r>
            <w:proofErr w:type="spellStart"/>
            <w:r w:rsidRPr="00E50B51">
              <w:rPr>
                <w:sz w:val="20"/>
                <w:szCs w:val="20"/>
              </w:rPr>
              <w:t>modest</w:t>
            </w:r>
            <w:proofErr w:type="spellEnd"/>
            <w:r w:rsidRPr="00E50B51">
              <w:rPr>
                <w:sz w:val="20"/>
                <w:szCs w:val="20"/>
              </w:rPr>
              <w:t xml:space="preserve"> </w:t>
            </w:r>
            <w:proofErr w:type="spellStart"/>
            <w:r w:rsidRPr="00E50B51">
              <w:rPr>
                <w:sz w:val="20"/>
                <w:szCs w:val="20"/>
              </w:rPr>
              <w:t>impairment</w:t>
            </w:r>
            <w:proofErr w:type="spellEnd"/>
            <w:r w:rsidRPr="00E50B51">
              <w:rPr>
                <w:sz w:val="20"/>
                <w:szCs w:val="20"/>
              </w:rPr>
              <w:t xml:space="preserve"> of individual </w:t>
            </w:r>
            <w:proofErr w:type="spellStart"/>
            <w:r w:rsidRPr="00E50B51">
              <w:rPr>
                <w:sz w:val="20"/>
                <w:szCs w:val="20"/>
              </w:rPr>
              <w:t>liberty</w:t>
            </w:r>
            <w:proofErr w:type="spellEnd"/>
            <w:r w:rsidRPr="00E50B51">
              <w:rPr>
                <w:sz w:val="20"/>
                <w:szCs w:val="20"/>
              </w:rPr>
              <w:t xml:space="preserve"> </w:t>
            </w:r>
            <w:proofErr w:type="spellStart"/>
            <w:r w:rsidRPr="00E50B51">
              <w:rPr>
                <w:sz w:val="20"/>
                <w:szCs w:val="20"/>
              </w:rPr>
              <w:t>amounts</w:t>
            </w:r>
            <w:proofErr w:type="spellEnd"/>
            <w:r w:rsidRPr="00E50B51">
              <w:rPr>
                <w:sz w:val="20"/>
                <w:szCs w:val="20"/>
              </w:rPr>
              <w:t xml:space="preserve"> to a </w:t>
            </w:r>
            <w:proofErr w:type="spellStart"/>
            <w:r w:rsidRPr="00E50B51">
              <w:rPr>
                <w:sz w:val="20"/>
                <w:szCs w:val="20"/>
              </w:rPr>
              <w:t>deprivation</w:t>
            </w:r>
            <w:proofErr w:type="spellEnd"/>
            <w:r w:rsidRPr="00E50B51">
              <w:rPr>
                <w:sz w:val="20"/>
                <w:szCs w:val="20"/>
              </w:rPr>
              <w:t xml:space="preserve"> </w:t>
            </w:r>
            <w:proofErr w:type="spellStart"/>
            <w:r w:rsidRPr="00E50B51">
              <w:rPr>
                <w:sz w:val="20"/>
                <w:szCs w:val="20"/>
              </w:rPr>
              <w:t>raising</w:t>
            </w:r>
            <w:proofErr w:type="spellEnd"/>
            <w:r w:rsidRPr="00E50B51">
              <w:rPr>
                <w:sz w:val="20"/>
                <w:szCs w:val="20"/>
              </w:rPr>
              <w:t xml:space="preserve"> </w:t>
            </w:r>
            <w:proofErr w:type="spellStart"/>
            <w:r w:rsidRPr="00E50B51">
              <w:rPr>
                <w:sz w:val="20"/>
                <w:szCs w:val="20"/>
              </w:rPr>
              <w:t>constitutional</w:t>
            </w:r>
            <w:proofErr w:type="spellEnd"/>
            <w:r w:rsidRPr="00E50B51">
              <w:rPr>
                <w:sz w:val="20"/>
                <w:szCs w:val="20"/>
              </w:rPr>
              <w:t xml:space="preserve"> </w:t>
            </w:r>
            <w:proofErr w:type="spellStart"/>
            <w:r w:rsidRPr="00E50B51">
              <w:rPr>
                <w:sz w:val="20"/>
                <w:szCs w:val="20"/>
              </w:rPr>
              <w:t>concerns</w:t>
            </w:r>
            <w:proofErr w:type="spellEnd"/>
            <w:r w:rsidRPr="00E50B51">
              <w:rPr>
                <w:sz w:val="20"/>
                <w:szCs w:val="20"/>
              </w:rPr>
              <w:t>“</w:t>
            </w:r>
            <w:r w:rsidRPr="00E50B51">
              <w:rPr>
                <w:rStyle w:val="Funotenzeichen"/>
                <w:rFonts w:eastAsiaTheme="majorEastAsia"/>
                <w:sz w:val="20"/>
                <w:szCs w:val="20"/>
              </w:rPr>
              <w:footnoteReference w:id="649"/>
            </w:r>
            <w:r w:rsidRPr="00E50B51">
              <w:rPr>
                <w:sz w:val="20"/>
                <w:szCs w:val="20"/>
              </w:rPr>
              <w:t xml:space="preserve">). Die quantitativen Konturen sind also </w:t>
            </w:r>
            <w:r>
              <w:rPr>
                <w:sz w:val="20"/>
                <w:szCs w:val="20"/>
              </w:rPr>
              <w:t>weit gefasst</w:t>
            </w:r>
            <w:r w:rsidRPr="00E50B51">
              <w:rPr>
                <w:sz w:val="20"/>
                <w:szCs w:val="20"/>
              </w:rPr>
              <w:t>. D.h. Einschränkungen qualitative</w:t>
            </w:r>
            <w:r>
              <w:rPr>
                <w:sz w:val="20"/>
                <w:szCs w:val="20"/>
              </w:rPr>
              <w:t>r</w:t>
            </w:r>
            <w:r w:rsidRPr="00E50B51">
              <w:rPr>
                <w:sz w:val="20"/>
                <w:szCs w:val="20"/>
              </w:rPr>
              <w:t xml:space="preserve"> Konturen müssen </w:t>
            </w:r>
            <w:r>
              <w:rPr>
                <w:sz w:val="20"/>
                <w:szCs w:val="20"/>
              </w:rPr>
              <w:t xml:space="preserve">zuvorderst </w:t>
            </w:r>
            <w:r w:rsidRPr="00E50B51">
              <w:rPr>
                <w:sz w:val="20"/>
                <w:szCs w:val="20"/>
              </w:rPr>
              <w:t>dem Willkürverbot und grundlegende</w:t>
            </w:r>
            <w:r>
              <w:rPr>
                <w:sz w:val="20"/>
                <w:szCs w:val="20"/>
              </w:rPr>
              <w:t>n</w:t>
            </w:r>
            <w:r w:rsidRPr="00E50B51">
              <w:rPr>
                <w:sz w:val="20"/>
                <w:szCs w:val="20"/>
              </w:rPr>
              <w:t xml:space="preserve"> Verfahrenserfordernisse</w:t>
            </w:r>
            <w:r>
              <w:rPr>
                <w:sz w:val="20"/>
                <w:szCs w:val="20"/>
              </w:rPr>
              <w:t>n</w:t>
            </w:r>
            <w:r w:rsidRPr="00E50B51">
              <w:rPr>
                <w:sz w:val="20"/>
                <w:szCs w:val="20"/>
              </w:rPr>
              <w:t xml:space="preserve"> wie d</w:t>
            </w:r>
            <w:r>
              <w:rPr>
                <w:sz w:val="20"/>
                <w:szCs w:val="20"/>
              </w:rPr>
              <w:t>em</w:t>
            </w:r>
            <w:r w:rsidRPr="00E50B51">
              <w:rPr>
                <w:sz w:val="20"/>
                <w:szCs w:val="20"/>
              </w:rPr>
              <w:t xml:space="preserve"> Anhörungs-</w:t>
            </w:r>
            <w:r w:rsidRPr="00E50B51">
              <w:rPr>
                <w:rStyle w:val="Funotenzeichen"/>
                <w:rFonts w:eastAsiaTheme="majorEastAsia"/>
                <w:sz w:val="20"/>
                <w:szCs w:val="20"/>
              </w:rPr>
              <w:footnoteReference w:id="650"/>
            </w:r>
            <w:r w:rsidRPr="00E50B51">
              <w:rPr>
                <w:sz w:val="20"/>
                <w:szCs w:val="20"/>
              </w:rPr>
              <w:t xml:space="preserve"> und Fristerfordernis entsprechen</w:t>
            </w:r>
            <w:r>
              <w:rPr>
                <w:sz w:val="20"/>
                <w:szCs w:val="20"/>
              </w:rPr>
              <w:t>,</w:t>
            </w:r>
            <w:r w:rsidRPr="00E50B51">
              <w:rPr>
                <w:rStyle w:val="Funotenzeichen"/>
                <w:rFonts w:eastAsiaTheme="majorEastAsia"/>
                <w:sz w:val="20"/>
                <w:szCs w:val="20"/>
              </w:rPr>
              <w:footnoteReference w:id="651"/>
            </w:r>
            <w:r>
              <w:rPr>
                <w:sz w:val="20"/>
                <w:szCs w:val="20"/>
              </w:rPr>
              <w:t xml:space="preserve"> </w:t>
            </w:r>
            <w:r w:rsidRPr="00BD2B7F">
              <w:rPr>
                <w:sz w:val="20"/>
                <w:szCs w:val="20"/>
              </w:rPr>
              <w:t>also weiten quantitativen Konturen</w:t>
            </w:r>
            <w:r>
              <w:rPr>
                <w:sz w:val="20"/>
                <w:szCs w:val="20"/>
              </w:rPr>
              <w:t>.</w:t>
            </w:r>
          </w:p>
          <w:p w14:paraId="63131552" w14:textId="77777777" w:rsidR="00074551" w:rsidRPr="00E50B51" w:rsidRDefault="00074551" w:rsidP="00367133">
            <w:pPr>
              <w:jc w:val="both"/>
              <w:rPr>
                <w:sz w:val="20"/>
                <w:szCs w:val="20"/>
              </w:rPr>
            </w:pPr>
          </w:p>
        </w:tc>
      </w:tr>
      <w:tr w:rsidR="00074551" w:rsidRPr="00E50B51" w14:paraId="4B306239" w14:textId="77777777" w:rsidTr="00BE689F">
        <w:trPr>
          <w:cantSplit/>
          <w:trHeight w:val="3175"/>
        </w:trPr>
        <w:tc>
          <w:tcPr>
            <w:tcW w:w="293" w:type="pct"/>
          </w:tcPr>
          <w:p w14:paraId="3DC0BA73"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5BD9B54" w14:textId="77777777" w:rsidR="00074551" w:rsidRPr="00E50B51" w:rsidRDefault="00074551" w:rsidP="00367133">
            <w:pPr>
              <w:ind w:left="113" w:right="416"/>
              <w:jc w:val="both"/>
              <w:rPr>
                <w:sz w:val="20"/>
                <w:szCs w:val="20"/>
              </w:rPr>
            </w:pPr>
            <w:r w:rsidRPr="009167A5">
              <w:rPr>
                <w:i/>
                <w:sz w:val="20"/>
                <w:szCs w:val="20"/>
                <w:lang w:val="en-US"/>
              </w:rPr>
              <w:t>Allgeyer v. Louisiana</w:t>
            </w:r>
          </w:p>
        </w:tc>
        <w:tc>
          <w:tcPr>
            <w:tcW w:w="197" w:type="pct"/>
            <w:textDirection w:val="tbRl"/>
            <w:vAlign w:val="center"/>
          </w:tcPr>
          <w:p w14:paraId="75FCBF47" w14:textId="77777777" w:rsidR="00074551" w:rsidRPr="00E50B51" w:rsidRDefault="00074551" w:rsidP="00367133">
            <w:pPr>
              <w:ind w:left="113" w:right="113"/>
              <w:jc w:val="both"/>
              <w:rPr>
                <w:sz w:val="20"/>
                <w:szCs w:val="20"/>
              </w:rPr>
            </w:pPr>
            <w:r w:rsidRPr="00E50B51">
              <w:rPr>
                <w:sz w:val="20"/>
                <w:szCs w:val="20"/>
                <w:lang w:val="en-US"/>
              </w:rPr>
              <w:t>165 U.S. 578</w:t>
            </w:r>
          </w:p>
        </w:tc>
        <w:tc>
          <w:tcPr>
            <w:tcW w:w="306" w:type="pct"/>
            <w:textDirection w:val="tbRl"/>
            <w:vAlign w:val="center"/>
          </w:tcPr>
          <w:p w14:paraId="7C42F7DB" w14:textId="77777777" w:rsidR="00074551" w:rsidRPr="00E50B51" w:rsidRDefault="00074551" w:rsidP="00367133">
            <w:pPr>
              <w:ind w:left="113" w:right="113"/>
              <w:jc w:val="both"/>
              <w:rPr>
                <w:sz w:val="20"/>
                <w:szCs w:val="20"/>
              </w:rPr>
            </w:pPr>
            <w:r w:rsidRPr="00E50B51">
              <w:rPr>
                <w:sz w:val="20"/>
                <w:szCs w:val="20"/>
                <w:lang w:val="en-US"/>
              </w:rPr>
              <w:t>1. März 1897</w:t>
            </w:r>
          </w:p>
          <w:p w14:paraId="302B9082" w14:textId="77777777" w:rsidR="00074551" w:rsidRPr="00E50B51" w:rsidRDefault="00074551" w:rsidP="00367133">
            <w:pPr>
              <w:ind w:left="113" w:right="113"/>
              <w:jc w:val="both"/>
              <w:rPr>
                <w:sz w:val="20"/>
                <w:szCs w:val="20"/>
              </w:rPr>
            </w:pPr>
          </w:p>
        </w:tc>
        <w:tc>
          <w:tcPr>
            <w:tcW w:w="401" w:type="pct"/>
          </w:tcPr>
          <w:p w14:paraId="1253A020" w14:textId="77777777" w:rsidR="00074551" w:rsidRPr="00E50B51" w:rsidRDefault="00074551" w:rsidP="00367133">
            <w:pPr>
              <w:jc w:val="center"/>
              <w:rPr>
                <w:sz w:val="20"/>
                <w:szCs w:val="20"/>
              </w:rPr>
            </w:pPr>
            <w:r w:rsidRPr="00E50B51">
              <w:rPr>
                <w:sz w:val="20"/>
                <w:szCs w:val="20"/>
              </w:rPr>
              <w:t>M</w:t>
            </w:r>
          </w:p>
        </w:tc>
        <w:tc>
          <w:tcPr>
            <w:tcW w:w="1594" w:type="pct"/>
          </w:tcPr>
          <w:p w14:paraId="2D329762" w14:textId="77777777" w:rsidR="00074551" w:rsidRPr="00E50B51" w:rsidRDefault="00074551" w:rsidP="00367133">
            <w:pPr>
              <w:jc w:val="both"/>
              <w:rPr>
                <w:sz w:val="20"/>
                <w:szCs w:val="20"/>
              </w:rPr>
            </w:pPr>
            <w:r w:rsidRPr="00E50B51">
              <w:rPr>
                <w:sz w:val="20"/>
                <w:szCs w:val="20"/>
              </w:rPr>
              <w:t>*</w:t>
            </w:r>
          </w:p>
        </w:tc>
        <w:tc>
          <w:tcPr>
            <w:tcW w:w="1822" w:type="pct"/>
          </w:tcPr>
          <w:p w14:paraId="08E66771" w14:textId="6E2B2C7B" w:rsidR="00074551" w:rsidRPr="00E50B51" w:rsidRDefault="00074551" w:rsidP="00367133">
            <w:pPr>
              <w:jc w:val="both"/>
              <w:rPr>
                <w:sz w:val="20"/>
                <w:szCs w:val="20"/>
                <w:lang w:eastAsia="de-DE"/>
              </w:rPr>
            </w:pPr>
            <w:r w:rsidRPr="00B45592">
              <w:rPr>
                <w:sz w:val="20"/>
                <w:szCs w:val="20"/>
                <w:lang w:eastAsia="de-DE"/>
              </w:rPr>
              <w:t xml:space="preserve">Der </w:t>
            </w:r>
            <w:r w:rsidRPr="004667BB">
              <w:rPr>
                <w:sz w:val="20"/>
                <w:szCs w:val="20"/>
                <w:lang w:eastAsia="de-DE"/>
              </w:rPr>
              <w:t>U.S. Supreme Court</w:t>
            </w:r>
            <w:r w:rsidRPr="00B45592">
              <w:rPr>
                <w:sz w:val="20"/>
                <w:szCs w:val="20"/>
                <w:lang w:eastAsia="de-DE"/>
              </w:rPr>
              <w:t xml:space="preserve"> erhob die </w:t>
            </w:r>
            <w:proofErr w:type="spellStart"/>
            <w:r w:rsidRPr="00B45592">
              <w:rPr>
                <w:i/>
                <w:iCs/>
                <w:sz w:val="20"/>
                <w:szCs w:val="20"/>
                <w:lang w:eastAsia="de-DE"/>
              </w:rPr>
              <w:t>concurring</w:t>
            </w:r>
            <w:proofErr w:type="spellEnd"/>
            <w:r w:rsidRPr="00B45592">
              <w:rPr>
                <w:i/>
                <w:iCs/>
                <w:sz w:val="20"/>
                <w:szCs w:val="20"/>
                <w:lang w:eastAsia="de-DE"/>
              </w:rPr>
              <w:t xml:space="preserve"> </w:t>
            </w:r>
            <w:proofErr w:type="spellStart"/>
            <w:r w:rsidRPr="00B45592">
              <w:rPr>
                <w:i/>
                <w:iCs/>
                <w:sz w:val="20"/>
                <w:szCs w:val="20"/>
                <w:lang w:eastAsia="de-DE"/>
              </w:rPr>
              <w:t>opinion</w:t>
            </w:r>
            <w:proofErr w:type="spellEnd"/>
            <w:r w:rsidRPr="00B45592">
              <w:rPr>
                <w:sz w:val="20"/>
                <w:szCs w:val="20"/>
                <w:lang w:eastAsia="de-DE"/>
              </w:rPr>
              <w:t xml:space="preserve"> von Richter </w:t>
            </w:r>
            <w:r w:rsidRPr="00B45592">
              <w:rPr>
                <w:i/>
                <w:sz w:val="20"/>
                <w:szCs w:val="20"/>
                <w:lang w:eastAsia="de-DE"/>
              </w:rPr>
              <w:t>Bradley</w:t>
            </w:r>
            <w:r w:rsidRPr="00B45592">
              <w:rPr>
                <w:sz w:val="20"/>
                <w:szCs w:val="20"/>
                <w:lang w:eastAsia="de-DE"/>
              </w:rPr>
              <w:t xml:space="preserve"> in </w:t>
            </w:r>
            <w:r w:rsidRPr="00B45592">
              <w:rPr>
                <w:i/>
                <w:sz w:val="20"/>
                <w:szCs w:val="20"/>
                <w:lang w:eastAsia="de-DE"/>
              </w:rPr>
              <w:t>Butchers’ Union Company v. Crescent City Company</w:t>
            </w:r>
            <w:r w:rsidRPr="00B45592">
              <w:rPr>
                <w:sz w:val="20"/>
                <w:szCs w:val="20"/>
                <w:lang w:eastAsia="de-DE"/>
              </w:rPr>
              <w:t xml:space="preserve"> zur herrschenden Meinung.</w:t>
            </w:r>
            <w:r w:rsidRPr="00E50B51">
              <w:rPr>
                <w:rStyle w:val="Funotenzeichen"/>
                <w:rFonts w:eastAsiaTheme="majorEastAsia"/>
                <w:sz w:val="20"/>
                <w:szCs w:val="20"/>
                <w:lang w:val="en-US" w:eastAsia="de-DE"/>
              </w:rPr>
              <w:footnoteReference w:id="652"/>
            </w:r>
            <w:r w:rsidRPr="00B45592">
              <w:rPr>
                <w:sz w:val="20"/>
                <w:szCs w:val="20"/>
                <w:lang w:eastAsia="de-DE"/>
              </w:rPr>
              <w:t xml:space="preserve"> Sie erklärt die Berufsausübungsfreiheit als ein unveräußerliches Recht („</w:t>
            </w:r>
            <w:proofErr w:type="spellStart"/>
            <w:r w:rsidRPr="00B45592">
              <w:rPr>
                <w:sz w:val="20"/>
                <w:szCs w:val="20"/>
                <w:lang w:eastAsia="de-DE"/>
              </w:rPr>
              <w:t>right</w:t>
            </w:r>
            <w:proofErr w:type="spellEnd"/>
            <w:r w:rsidRPr="00B45592">
              <w:rPr>
                <w:sz w:val="20"/>
                <w:szCs w:val="20"/>
                <w:lang w:eastAsia="de-DE"/>
              </w:rPr>
              <w:t xml:space="preserve"> to follow </w:t>
            </w:r>
            <w:proofErr w:type="spellStart"/>
            <w:r w:rsidRPr="00B45592">
              <w:rPr>
                <w:sz w:val="20"/>
                <w:szCs w:val="20"/>
                <w:lang w:eastAsia="de-DE"/>
              </w:rPr>
              <w:t>any</w:t>
            </w:r>
            <w:proofErr w:type="spellEnd"/>
            <w:r w:rsidRPr="00B45592">
              <w:rPr>
                <w:sz w:val="20"/>
                <w:szCs w:val="20"/>
                <w:lang w:eastAsia="de-DE"/>
              </w:rPr>
              <w:t xml:space="preserve"> of the </w:t>
            </w:r>
            <w:proofErr w:type="spellStart"/>
            <w:r w:rsidRPr="00B45592">
              <w:rPr>
                <w:sz w:val="20"/>
                <w:szCs w:val="20"/>
                <w:lang w:eastAsia="de-DE"/>
              </w:rPr>
              <w:t>common</w:t>
            </w:r>
            <w:proofErr w:type="spellEnd"/>
            <w:r w:rsidRPr="00B45592">
              <w:rPr>
                <w:sz w:val="20"/>
                <w:szCs w:val="20"/>
                <w:lang w:eastAsia="de-DE"/>
              </w:rPr>
              <w:t xml:space="preserve"> </w:t>
            </w:r>
            <w:proofErr w:type="spellStart"/>
            <w:r w:rsidRPr="00B45592">
              <w:rPr>
                <w:sz w:val="20"/>
                <w:szCs w:val="20"/>
                <w:lang w:eastAsia="de-DE"/>
              </w:rPr>
              <w:t>occupations</w:t>
            </w:r>
            <w:proofErr w:type="spellEnd"/>
            <w:r w:rsidRPr="00B45592">
              <w:rPr>
                <w:sz w:val="20"/>
                <w:szCs w:val="20"/>
                <w:lang w:eastAsia="de-DE"/>
              </w:rPr>
              <w:t xml:space="preserve"> of </w:t>
            </w:r>
            <w:proofErr w:type="spellStart"/>
            <w:r w:rsidRPr="00B45592">
              <w:rPr>
                <w:sz w:val="20"/>
                <w:szCs w:val="20"/>
                <w:lang w:eastAsia="de-DE"/>
              </w:rPr>
              <w:t>life</w:t>
            </w:r>
            <w:proofErr w:type="spellEnd"/>
            <w:r w:rsidRPr="00B45592">
              <w:rPr>
                <w:sz w:val="20"/>
                <w:szCs w:val="20"/>
                <w:lang w:eastAsia="de-DE"/>
              </w:rPr>
              <w:t xml:space="preserve"> </w:t>
            </w:r>
            <w:proofErr w:type="spellStart"/>
            <w:r w:rsidRPr="00B45592">
              <w:rPr>
                <w:sz w:val="20"/>
                <w:szCs w:val="20"/>
                <w:lang w:eastAsia="de-DE"/>
              </w:rPr>
              <w:t>is</w:t>
            </w:r>
            <w:proofErr w:type="spellEnd"/>
            <w:r w:rsidRPr="00B45592">
              <w:rPr>
                <w:sz w:val="20"/>
                <w:szCs w:val="20"/>
                <w:lang w:eastAsia="de-DE"/>
              </w:rPr>
              <w:t xml:space="preserve"> an </w:t>
            </w:r>
            <w:proofErr w:type="spellStart"/>
            <w:r w:rsidRPr="00B45592">
              <w:rPr>
                <w:sz w:val="20"/>
                <w:szCs w:val="20"/>
                <w:lang w:eastAsia="de-DE"/>
              </w:rPr>
              <w:t>inalienable</w:t>
            </w:r>
            <w:proofErr w:type="spellEnd"/>
            <w:r w:rsidRPr="00B45592">
              <w:rPr>
                <w:sz w:val="20"/>
                <w:szCs w:val="20"/>
                <w:lang w:eastAsia="de-DE"/>
              </w:rPr>
              <w:t xml:space="preserve"> </w:t>
            </w:r>
            <w:proofErr w:type="spellStart"/>
            <w:r w:rsidRPr="00B45592">
              <w:rPr>
                <w:sz w:val="20"/>
                <w:szCs w:val="20"/>
                <w:lang w:eastAsia="de-DE"/>
              </w:rPr>
              <w:t>right</w:t>
            </w:r>
            <w:proofErr w:type="spellEnd"/>
            <w:r w:rsidRPr="00B45592">
              <w:rPr>
                <w:sz w:val="20"/>
                <w:szCs w:val="20"/>
                <w:lang w:eastAsia="de-DE"/>
              </w:rPr>
              <w:t>“</w:t>
            </w:r>
            <w:r w:rsidRPr="00B45592">
              <w:rPr>
                <w:rStyle w:val="Funotenzeichen"/>
                <w:rFonts w:eastAsiaTheme="majorEastAsia"/>
                <w:sz w:val="20"/>
                <w:szCs w:val="20"/>
                <w:lang w:eastAsia="de-DE"/>
              </w:rPr>
              <w:t xml:space="preserve"> </w:t>
            </w:r>
            <w:r w:rsidRPr="00E50B51">
              <w:rPr>
                <w:rStyle w:val="Funotenzeichen"/>
                <w:rFonts w:eastAsiaTheme="majorEastAsia"/>
                <w:sz w:val="20"/>
                <w:szCs w:val="20"/>
                <w:lang w:val="en-US" w:eastAsia="de-DE"/>
              </w:rPr>
              <w:footnoteReference w:id="653"/>
            </w:r>
            <w:r w:rsidRPr="00B45592">
              <w:rPr>
                <w:sz w:val="20"/>
                <w:szCs w:val="20"/>
                <w:lang w:eastAsia="de-DE"/>
              </w:rPr>
              <w:t xml:space="preserve">). </w:t>
            </w:r>
            <w:proofErr w:type="spellStart"/>
            <w:r>
              <w:rPr>
                <w:sz w:val="20"/>
                <w:szCs w:val="20"/>
                <w:lang w:val="en-US" w:eastAsia="de-DE"/>
              </w:rPr>
              <w:t>Diese</w:t>
            </w:r>
            <w:proofErr w:type="spellEnd"/>
            <w:r w:rsidRPr="00E50B51">
              <w:rPr>
                <w:sz w:val="20"/>
                <w:szCs w:val="20"/>
                <w:lang w:val="en-US" w:eastAsia="de-DE"/>
              </w:rPr>
              <w:t xml:space="preserve"> </w:t>
            </w:r>
            <w:proofErr w:type="spellStart"/>
            <w:r w:rsidRPr="00E50B51">
              <w:rPr>
                <w:sz w:val="20"/>
                <w:szCs w:val="20"/>
                <w:lang w:val="en-US" w:eastAsia="de-DE"/>
              </w:rPr>
              <w:t>binde</w:t>
            </w:r>
            <w:proofErr w:type="spellEnd"/>
            <w:r w:rsidRPr="00E50B51">
              <w:rPr>
                <w:sz w:val="20"/>
                <w:szCs w:val="20"/>
                <w:lang w:val="en-US" w:eastAsia="de-DE"/>
              </w:rPr>
              <w:t xml:space="preserve"> </w:t>
            </w:r>
            <w:proofErr w:type="spellStart"/>
            <w:r w:rsidRPr="00E50B51">
              <w:rPr>
                <w:sz w:val="20"/>
                <w:szCs w:val="20"/>
                <w:lang w:val="en-US" w:eastAsia="de-DE"/>
              </w:rPr>
              <w:t>sich</w:t>
            </w:r>
            <w:proofErr w:type="spellEnd"/>
            <w:r w:rsidRPr="00E50B51">
              <w:rPr>
                <w:sz w:val="20"/>
                <w:szCs w:val="20"/>
                <w:lang w:val="en-US" w:eastAsia="de-DE"/>
              </w:rPr>
              <w:t xml:space="preserve"> </w:t>
            </w:r>
            <w:proofErr w:type="gramStart"/>
            <w:r w:rsidRPr="00E50B51">
              <w:rPr>
                <w:sz w:val="20"/>
                <w:szCs w:val="20"/>
                <w:lang w:val="en-US" w:eastAsia="de-DE"/>
              </w:rPr>
              <w:t>an</w:t>
            </w:r>
            <w:proofErr w:type="gramEnd"/>
            <w:r w:rsidRPr="00E50B51">
              <w:rPr>
                <w:sz w:val="20"/>
                <w:szCs w:val="20"/>
                <w:lang w:val="en-US" w:eastAsia="de-DE"/>
              </w:rPr>
              <w:t xml:space="preserve"> den </w:t>
            </w:r>
            <w:proofErr w:type="spellStart"/>
            <w:r w:rsidRPr="00E50B51">
              <w:rPr>
                <w:sz w:val="20"/>
                <w:szCs w:val="20"/>
                <w:lang w:val="en-US" w:eastAsia="de-DE"/>
              </w:rPr>
              <w:t>Wortlaut</w:t>
            </w:r>
            <w:proofErr w:type="spellEnd"/>
            <w:r w:rsidRPr="00E50B51">
              <w:rPr>
                <w:sz w:val="20"/>
                <w:szCs w:val="20"/>
                <w:lang w:val="en-US" w:eastAsia="de-DE"/>
              </w:rPr>
              <w:t xml:space="preserve"> des </w:t>
            </w:r>
            <w:proofErr w:type="spellStart"/>
            <w:r w:rsidRPr="00E50B51">
              <w:rPr>
                <w:sz w:val="20"/>
                <w:szCs w:val="20"/>
                <w:lang w:val="en-US" w:eastAsia="de-DE"/>
              </w:rPr>
              <w:t>Strebens</w:t>
            </w:r>
            <w:proofErr w:type="spellEnd"/>
            <w:r w:rsidRPr="00E50B51">
              <w:rPr>
                <w:sz w:val="20"/>
                <w:szCs w:val="20"/>
                <w:lang w:val="en-US" w:eastAsia="de-DE"/>
              </w:rPr>
              <w:t xml:space="preserve"> </w:t>
            </w:r>
            <w:proofErr w:type="spellStart"/>
            <w:r w:rsidRPr="00E50B51">
              <w:rPr>
                <w:sz w:val="20"/>
                <w:szCs w:val="20"/>
                <w:lang w:val="en-US" w:eastAsia="de-DE"/>
              </w:rPr>
              <w:t>nach</w:t>
            </w:r>
            <w:proofErr w:type="spellEnd"/>
            <w:r w:rsidRPr="00E50B51">
              <w:rPr>
                <w:sz w:val="20"/>
                <w:szCs w:val="20"/>
                <w:lang w:val="en-US" w:eastAsia="de-DE"/>
              </w:rPr>
              <w:t xml:space="preserve"> Glück der </w:t>
            </w:r>
            <w:r w:rsidRPr="00A142D9">
              <w:rPr>
                <w:i/>
                <w:sz w:val="20"/>
                <w:szCs w:val="20"/>
                <w:lang w:val="en-US" w:eastAsia="de-DE"/>
              </w:rPr>
              <w:t>Declaration of Independence</w:t>
            </w:r>
            <w:r w:rsidRPr="00E50B51">
              <w:rPr>
                <w:sz w:val="20"/>
                <w:szCs w:val="20"/>
                <w:lang w:val="en-US" w:eastAsia="de-DE"/>
              </w:rPr>
              <w:t xml:space="preserve"> („It was formulated as such under the phrase ‚pursuit of </w:t>
            </w:r>
            <w:proofErr w:type="gramStart"/>
            <w:r w:rsidRPr="00E50B51">
              <w:rPr>
                <w:sz w:val="20"/>
                <w:szCs w:val="20"/>
                <w:lang w:val="en-US" w:eastAsia="de-DE"/>
              </w:rPr>
              <w:t>happiness</w:t>
            </w:r>
            <w:r>
              <w:rPr>
                <w:sz w:val="20"/>
                <w:szCs w:val="20"/>
                <w:lang w:val="en-US" w:eastAsia="de-DE"/>
              </w:rPr>
              <w:t>‘</w:t>
            </w:r>
            <w:r w:rsidRPr="00E50B51">
              <w:rPr>
                <w:sz w:val="20"/>
                <w:szCs w:val="20"/>
                <w:lang w:val="en-US" w:eastAsia="de-DE"/>
              </w:rPr>
              <w:t xml:space="preserve"> in</w:t>
            </w:r>
            <w:proofErr w:type="gramEnd"/>
            <w:r w:rsidRPr="00E50B51">
              <w:rPr>
                <w:sz w:val="20"/>
                <w:szCs w:val="20"/>
                <w:lang w:val="en-US" w:eastAsia="de-DE"/>
              </w:rPr>
              <w:t xml:space="preserve"> the Declaration of </w:t>
            </w:r>
            <w:proofErr w:type="gramStart"/>
            <w:r w:rsidRPr="00E50B51">
              <w:rPr>
                <w:sz w:val="20"/>
                <w:szCs w:val="20"/>
                <w:lang w:val="en-US" w:eastAsia="de-DE"/>
              </w:rPr>
              <w:t>Independence“</w:t>
            </w:r>
            <w:proofErr w:type="gramEnd"/>
            <w:r w:rsidRPr="00E50B51">
              <w:rPr>
                <w:rStyle w:val="Funotenzeichen"/>
                <w:rFonts w:eastAsiaTheme="majorEastAsia"/>
                <w:sz w:val="20"/>
                <w:szCs w:val="20"/>
                <w:lang w:val="en-US" w:eastAsia="de-DE"/>
              </w:rPr>
              <w:footnoteReference w:id="654"/>
            </w:r>
            <w:r w:rsidRPr="00E50B51">
              <w:rPr>
                <w:sz w:val="20"/>
                <w:szCs w:val="20"/>
                <w:lang w:val="en-US" w:eastAsia="de-DE"/>
              </w:rPr>
              <w:t xml:space="preserve">). Dieses Recht sei </w:t>
            </w:r>
            <w:proofErr w:type="spellStart"/>
            <w:r w:rsidRPr="00E50B51">
              <w:rPr>
                <w:sz w:val="20"/>
                <w:szCs w:val="20"/>
                <w:lang w:val="en-US" w:eastAsia="de-DE"/>
              </w:rPr>
              <w:t>zentraler</w:t>
            </w:r>
            <w:proofErr w:type="spellEnd"/>
            <w:r w:rsidRPr="00E50B51">
              <w:rPr>
                <w:sz w:val="20"/>
                <w:szCs w:val="20"/>
                <w:lang w:val="en-US" w:eastAsia="de-DE"/>
              </w:rPr>
              <w:t xml:space="preserve"> </w:t>
            </w:r>
            <w:proofErr w:type="spellStart"/>
            <w:r w:rsidRPr="00E50B51">
              <w:rPr>
                <w:sz w:val="20"/>
                <w:szCs w:val="20"/>
                <w:lang w:val="en-US" w:eastAsia="de-DE"/>
              </w:rPr>
              <w:t>Bestandteil</w:t>
            </w:r>
            <w:proofErr w:type="spellEnd"/>
            <w:r w:rsidRPr="00E50B51">
              <w:rPr>
                <w:sz w:val="20"/>
                <w:szCs w:val="20"/>
                <w:lang w:val="en-US" w:eastAsia="de-DE"/>
              </w:rPr>
              <w:t xml:space="preserve"> der </w:t>
            </w:r>
            <w:proofErr w:type="spellStart"/>
            <w:r w:rsidRPr="00E50B51">
              <w:rPr>
                <w:sz w:val="20"/>
                <w:szCs w:val="20"/>
                <w:lang w:val="en-US" w:eastAsia="de-DE"/>
              </w:rPr>
              <w:t>bürgerlichen</w:t>
            </w:r>
            <w:proofErr w:type="spellEnd"/>
            <w:r w:rsidRPr="00E50B51">
              <w:rPr>
                <w:sz w:val="20"/>
                <w:szCs w:val="20"/>
                <w:lang w:val="en-US" w:eastAsia="de-DE"/>
              </w:rPr>
              <w:t xml:space="preserve"> </w:t>
            </w:r>
            <w:proofErr w:type="spellStart"/>
            <w:r w:rsidRPr="00E50B51">
              <w:rPr>
                <w:sz w:val="20"/>
                <w:szCs w:val="20"/>
                <w:lang w:val="en-US" w:eastAsia="de-DE"/>
              </w:rPr>
              <w:t>Freiheiten</w:t>
            </w:r>
            <w:proofErr w:type="spellEnd"/>
            <w:r w:rsidRPr="00E50B51">
              <w:rPr>
                <w:sz w:val="20"/>
                <w:szCs w:val="20"/>
                <w:lang w:val="en-US" w:eastAsia="de-DE"/>
              </w:rPr>
              <w:t xml:space="preserve"> („This right is a large ingredient in the civil liberty of the </w:t>
            </w:r>
            <w:proofErr w:type="gramStart"/>
            <w:r w:rsidRPr="00E50B51">
              <w:rPr>
                <w:sz w:val="20"/>
                <w:szCs w:val="20"/>
                <w:lang w:val="en-US" w:eastAsia="de-DE"/>
              </w:rPr>
              <w:t>citizen“</w:t>
            </w:r>
            <w:proofErr w:type="gramEnd"/>
            <w:r w:rsidRPr="00E50B51">
              <w:rPr>
                <w:rStyle w:val="Funotenzeichen"/>
                <w:rFonts w:eastAsiaTheme="majorEastAsia"/>
                <w:sz w:val="20"/>
                <w:szCs w:val="20"/>
                <w:lang w:val="en-US" w:eastAsia="de-DE"/>
              </w:rPr>
              <w:footnoteReference w:id="655"/>
            </w:r>
            <w:r w:rsidRPr="00E50B51">
              <w:rPr>
                <w:sz w:val="20"/>
                <w:szCs w:val="20"/>
                <w:lang w:val="en-US" w:eastAsia="de-DE"/>
              </w:rPr>
              <w:t xml:space="preserve">). </w:t>
            </w:r>
            <w:r w:rsidRPr="00E50B51">
              <w:rPr>
                <w:sz w:val="20"/>
                <w:szCs w:val="20"/>
                <w:lang w:eastAsia="de-DE"/>
              </w:rPr>
              <w:t xml:space="preserve">Wenn eine staatliche Maßnahme verbiete, den Beruf auszuüben, dann schränke </w:t>
            </w:r>
            <w:r>
              <w:rPr>
                <w:sz w:val="20"/>
                <w:szCs w:val="20"/>
                <w:lang w:eastAsia="de-DE"/>
              </w:rPr>
              <w:t>sie</w:t>
            </w:r>
            <w:r w:rsidRPr="00E50B51">
              <w:rPr>
                <w:sz w:val="20"/>
                <w:szCs w:val="20"/>
                <w:lang w:eastAsia="de-DE"/>
              </w:rPr>
              <w:t xml:space="preserve"> zwar nicht die Vorrechte und </w:t>
            </w:r>
            <w:r>
              <w:rPr>
                <w:sz w:val="20"/>
                <w:szCs w:val="20"/>
              </w:rPr>
              <w:t>Immunitäten</w:t>
            </w:r>
            <w:r w:rsidRPr="00E50B51">
              <w:rPr>
                <w:sz w:val="20"/>
                <w:szCs w:val="20"/>
              </w:rPr>
              <w:t xml:space="preserve"> </w:t>
            </w:r>
            <w:r>
              <w:rPr>
                <w:sz w:val="20"/>
                <w:szCs w:val="20"/>
                <w:lang w:eastAsia="de-DE"/>
              </w:rPr>
              <w:t>ein</w:t>
            </w:r>
            <w:r w:rsidRPr="00E50B51">
              <w:rPr>
                <w:sz w:val="20"/>
                <w:szCs w:val="20"/>
                <w:lang w:eastAsia="de-DE"/>
              </w:rPr>
              <w:t xml:space="preserve">. Aber sie beschränke die Freiheit als ein Recht. Denn eine staatliche Maßnahme, die verbietet, den Beruf auszuüben, schränke die Berufswahlfreiheit und die Berufsausübungsfreiheit ein, die ein wesentlicher Teil der Freiheit des Bürgers sei. Zwar traf Richter </w:t>
            </w:r>
            <w:r w:rsidRPr="00B45592">
              <w:rPr>
                <w:i/>
                <w:sz w:val="20"/>
                <w:szCs w:val="20"/>
                <w:lang w:eastAsia="de-DE"/>
              </w:rPr>
              <w:t>Bradley</w:t>
            </w:r>
            <w:r w:rsidRPr="00E50B51">
              <w:rPr>
                <w:sz w:val="20"/>
                <w:szCs w:val="20"/>
                <w:lang w:eastAsia="de-DE"/>
              </w:rPr>
              <w:t xml:space="preserve"> in </w:t>
            </w:r>
            <w:r w:rsidRPr="00B45592">
              <w:rPr>
                <w:i/>
                <w:sz w:val="20"/>
                <w:szCs w:val="20"/>
                <w:lang w:eastAsia="de-DE"/>
              </w:rPr>
              <w:t>Butchers’ Union Company v. Crescent City Company</w:t>
            </w:r>
            <w:r w:rsidRPr="00E50B51">
              <w:rPr>
                <w:sz w:val="20"/>
                <w:szCs w:val="20"/>
                <w:lang w:eastAsia="de-DE"/>
              </w:rPr>
              <w:t xml:space="preserve"> diese Aussagen im Zusammenhang mit Monopolen. Aber sie beschr</w:t>
            </w:r>
            <w:r>
              <w:rPr>
                <w:sz w:val="20"/>
                <w:szCs w:val="20"/>
                <w:lang w:eastAsia="de-DE"/>
              </w:rPr>
              <w:t>ei</w:t>
            </w:r>
            <w:r w:rsidRPr="00E50B51">
              <w:rPr>
                <w:sz w:val="20"/>
                <w:szCs w:val="20"/>
                <w:lang w:eastAsia="de-DE"/>
              </w:rPr>
              <w:t xml:space="preserve">ben beispielhaft, wie sich der Schutzbereich des Wortlauts der Freiheit des </w:t>
            </w:r>
            <w:r w:rsidR="00023A37">
              <w:rPr>
                <w:sz w:val="20"/>
                <w:szCs w:val="20"/>
                <w:lang w:eastAsia="de-DE"/>
              </w:rPr>
              <w:t xml:space="preserve">U.S. </w:t>
            </w:r>
            <w:proofErr w:type="spellStart"/>
            <w:r w:rsidR="00023A37">
              <w:rPr>
                <w:sz w:val="20"/>
                <w:szCs w:val="20"/>
                <w:lang w:eastAsia="de-DE"/>
              </w:rPr>
              <w:t>Const</w:t>
            </w:r>
            <w:proofErr w:type="spellEnd"/>
            <w:r w:rsidR="00023A37">
              <w:rPr>
                <w:sz w:val="20"/>
                <w:szCs w:val="20"/>
                <w:lang w:eastAsia="de-DE"/>
              </w:rPr>
              <w:t xml:space="preserve">. </w:t>
            </w:r>
            <w:proofErr w:type="spellStart"/>
            <w:r w:rsidR="00023A37">
              <w:rPr>
                <w:sz w:val="20"/>
                <w:szCs w:val="20"/>
                <w:lang w:eastAsia="de-DE"/>
              </w:rPr>
              <w:t>amend</w:t>
            </w:r>
            <w:proofErr w:type="spellEnd"/>
            <w:r w:rsidR="00023A37">
              <w:rPr>
                <w:sz w:val="20"/>
                <w:szCs w:val="20"/>
                <w:lang w:eastAsia="de-DE"/>
              </w:rPr>
              <w:t>. XIV</w:t>
            </w:r>
            <w:r w:rsidRPr="00E50B51">
              <w:rPr>
                <w:sz w:val="20"/>
                <w:szCs w:val="20"/>
                <w:lang w:eastAsia="de-DE"/>
              </w:rPr>
              <w:t xml:space="preserve"> ausgestalte</w:t>
            </w:r>
            <w:r>
              <w:rPr>
                <w:sz w:val="20"/>
                <w:szCs w:val="20"/>
                <w:lang w:eastAsia="de-DE"/>
              </w:rPr>
              <w:t>t</w:t>
            </w:r>
            <w:r w:rsidRPr="00E50B51">
              <w:rPr>
                <w:sz w:val="20"/>
                <w:szCs w:val="20"/>
                <w:lang w:eastAsia="de-DE"/>
              </w:rPr>
              <w:t>,</w:t>
            </w:r>
            <w:r w:rsidRPr="00E50B51">
              <w:rPr>
                <w:rStyle w:val="Funotenzeichen"/>
                <w:rFonts w:eastAsiaTheme="majorEastAsia"/>
                <w:sz w:val="20"/>
                <w:szCs w:val="20"/>
                <w:lang w:eastAsia="de-DE"/>
              </w:rPr>
              <w:t xml:space="preserve"> </w:t>
            </w:r>
            <w:r w:rsidRPr="00E50B51">
              <w:rPr>
                <w:rStyle w:val="Funotenzeichen"/>
                <w:rFonts w:eastAsiaTheme="majorEastAsia"/>
                <w:sz w:val="20"/>
                <w:szCs w:val="20"/>
                <w:lang w:val="en-US" w:eastAsia="de-DE"/>
              </w:rPr>
              <w:footnoteReference w:id="656"/>
            </w:r>
            <w:r>
              <w:rPr>
                <w:rStyle w:val="Funotenzeichen"/>
                <w:rFonts w:eastAsiaTheme="majorEastAsia"/>
                <w:sz w:val="20"/>
                <w:szCs w:val="20"/>
                <w:lang w:eastAsia="de-DE"/>
              </w:rPr>
              <w:t xml:space="preserve"> </w:t>
            </w:r>
            <w:r w:rsidRPr="00E50B51">
              <w:rPr>
                <w:sz w:val="20"/>
                <w:szCs w:val="20"/>
                <w:lang w:eastAsia="de-DE"/>
              </w:rPr>
              <w:t>nämlich anhand des Maßstabs des Strebens nach Glück und seiner Bedingungen.</w:t>
            </w:r>
          </w:p>
          <w:p w14:paraId="0A1B0F8E" w14:textId="77777777" w:rsidR="00074551" w:rsidRPr="00E50B51" w:rsidRDefault="00074551" w:rsidP="00367133">
            <w:pPr>
              <w:jc w:val="both"/>
              <w:rPr>
                <w:sz w:val="20"/>
                <w:szCs w:val="20"/>
              </w:rPr>
            </w:pPr>
          </w:p>
        </w:tc>
      </w:tr>
      <w:tr w:rsidR="00074551" w:rsidRPr="00E50B51" w14:paraId="43C8B06E" w14:textId="77777777" w:rsidTr="00BE689F">
        <w:trPr>
          <w:cantSplit/>
          <w:trHeight w:val="3175"/>
        </w:trPr>
        <w:tc>
          <w:tcPr>
            <w:tcW w:w="293" w:type="pct"/>
          </w:tcPr>
          <w:p w14:paraId="1A3501E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E976CB5" w14:textId="77777777" w:rsidR="00074551" w:rsidRPr="00E50B51" w:rsidRDefault="00074551" w:rsidP="00367133">
            <w:pPr>
              <w:ind w:left="113" w:right="416"/>
              <w:jc w:val="both"/>
              <w:rPr>
                <w:sz w:val="20"/>
                <w:szCs w:val="20"/>
              </w:rPr>
            </w:pPr>
            <w:r w:rsidRPr="009167A5">
              <w:rPr>
                <w:i/>
                <w:sz w:val="20"/>
                <w:szCs w:val="20"/>
              </w:rPr>
              <w:t>Griswold v. Connecticut</w:t>
            </w:r>
          </w:p>
        </w:tc>
        <w:tc>
          <w:tcPr>
            <w:tcW w:w="197" w:type="pct"/>
            <w:textDirection w:val="tbRl"/>
            <w:vAlign w:val="center"/>
          </w:tcPr>
          <w:p w14:paraId="123261E1" w14:textId="77777777" w:rsidR="00074551" w:rsidRPr="00E50B51" w:rsidRDefault="00074551" w:rsidP="00367133">
            <w:pPr>
              <w:ind w:left="113" w:right="113"/>
              <w:jc w:val="both"/>
              <w:rPr>
                <w:sz w:val="20"/>
                <w:szCs w:val="20"/>
              </w:rPr>
            </w:pPr>
            <w:r w:rsidRPr="00E50B51">
              <w:rPr>
                <w:sz w:val="20"/>
                <w:szCs w:val="20"/>
                <w:lang w:val="en-US"/>
              </w:rPr>
              <w:t>381 U.S. 479</w:t>
            </w:r>
          </w:p>
        </w:tc>
        <w:tc>
          <w:tcPr>
            <w:tcW w:w="306" w:type="pct"/>
            <w:textDirection w:val="tbRl"/>
            <w:vAlign w:val="center"/>
          </w:tcPr>
          <w:p w14:paraId="31E1AD76" w14:textId="77777777" w:rsidR="00074551" w:rsidRPr="00E50B51" w:rsidRDefault="00074551" w:rsidP="00367133">
            <w:pPr>
              <w:ind w:left="113" w:right="113"/>
              <w:jc w:val="both"/>
              <w:rPr>
                <w:sz w:val="20"/>
                <w:szCs w:val="20"/>
              </w:rPr>
            </w:pPr>
            <w:r w:rsidRPr="00E50B51">
              <w:rPr>
                <w:sz w:val="20"/>
                <w:szCs w:val="20"/>
              </w:rPr>
              <w:t>7. Juni 1965</w:t>
            </w:r>
          </w:p>
        </w:tc>
        <w:tc>
          <w:tcPr>
            <w:tcW w:w="401" w:type="pct"/>
          </w:tcPr>
          <w:p w14:paraId="39C84E9A" w14:textId="77777777" w:rsidR="00074551" w:rsidRPr="00E50B51" w:rsidRDefault="00074551" w:rsidP="00367133">
            <w:pPr>
              <w:jc w:val="center"/>
              <w:rPr>
                <w:sz w:val="20"/>
                <w:szCs w:val="20"/>
              </w:rPr>
            </w:pPr>
            <w:r w:rsidRPr="00E50B51">
              <w:rPr>
                <w:sz w:val="20"/>
                <w:szCs w:val="20"/>
              </w:rPr>
              <w:t>C</w:t>
            </w:r>
          </w:p>
        </w:tc>
        <w:tc>
          <w:tcPr>
            <w:tcW w:w="1594" w:type="pct"/>
          </w:tcPr>
          <w:p w14:paraId="547C2F67" w14:textId="70139301"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Gesetz (</w:t>
            </w:r>
            <w:proofErr w:type="spellStart"/>
            <w:r w:rsidRPr="00E50B51">
              <w:rPr>
                <w:sz w:val="20"/>
                <w:szCs w:val="20"/>
              </w:rPr>
              <w:t>Conn</w:t>
            </w:r>
            <w:proofErr w:type="spellEnd"/>
            <w:r w:rsidRPr="00E50B51">
              <w:rPr>
                <w:sz w:val="20"/>
                <w:szCs w:val="20"/>
              </w:rPr>
              <w:t xml:space="preserve">. Gen. Stat. </w:t>
            </w:r>
            <w:r>
              <w:rPr>
                <w:sz w:val="20"/>
                <w:szCs w:val="20"/>
              </w:rPr>
              <w:t>§ </w:t>
            </w:r>
            <w:r w:rsidRPr="00E50B51">
              <w:rPr>
                <w:sz w:val="20"/>
                <w:szCs w:val="20"/>
              </w:rPr>
              <w:t xml:space="preserve">53-32, </w:t>
            </w:r>
            <w:proofErr w:type="spellStart"/>
            <w:r w:rsidRPr="00E50B51">
              <w:rPr>
                <w:sz w:val="20"/>
                <w:szCs w:val="20"/>
              </w:rPr>
              <w:t>rev</w:t>
            </w:r>
            <w:proofErr w:type="spellEnd"/>
            <w:r w:rsidRPr="00E50B51">
              <w:rPr>
                <w:sz w:val="20"/>
                <w:szCs w:val="20"/>
              </w:rPr>
              <w:t>. 1958) für verfassungswidrig</w:t>
            </w:r>
            <w:r>
              <w:rPr>
                <w:sz w:val="20"/>
                <w:szCs w:val="20"/>
              </w:rPr>
              <w:t>,</w:t>
            </w:r>
            <w:r w:rsidRPr="00E50B51">
              <w:rPr>
                <w:sz w:val="20"/>
                <w:szCs w:val="20"/>
              </w:rPr>
              <w:t xml:space="preserve"> aufgrund </w:t>
            </w:r>
            <w:r>
              <w:rPr>
                <w:sz w:val="20"/>
                <w:szCs w:val="20"/>
              </w:rPr>
              <w:t>dessen</w:t>
            </w:r>
            <w:r w:rsidRPr="00E50B51">
              <w:rPr>
                <w:sz w:val="20"/>
                <w:szCs w:val="20"/>
              </w:rPr>
              <w:t xml:space="preserve"> ein Arzt und </w:t>
            </w:r>
            <w:r>
              <w:rPr>
                <w:sz w:val="20"/>
                <w:szCs w:val="20"/>
              </w:rPr>
              <w:t>die</w:t>
            </w:r>
            <w:r w:rsidRPr="00E50B51">
              <w:rPr>
                <w:sz w:val="20"/>
                <w:szCs w:val="20"/>
              </w:rPr>
              <w:t xml:space="preserve"> Leiter</w:t>
            </w:r>
            <w:r>
              <w:rPr>
                <w:sz w:val="20"/>
                <w:szCs w:val="20"/>
              </w:rPr>
              <w:t>in einer Verhütungsklinik</w:t>
            </w:r>
            <w:r w:rsidRPr="00E50B51">
              <w:rPr>
                <w:sz w:val="20"/>
                <w:szCs w:val="20"/>
              </w:rPr>
              <w:t xml:space="preserve"> verurteilt </w:t>
            </w:r>
            <w:r>
              <w:rPr>
                <w:sz w:val="20"/>
                <w:szCs w:val="20"/>
              </w:rPr>
              <w:t>worden waren</w:t>
            </w:r>
            <w:r w:rsidRPr="00E50B51">
              <w:rPr>
                <w:sz w:val="20"/>
                <w:szCs w:val="20"/>
              </w:rPr>
              <w:t xml:space="preserve">, weil </w:t>
            </w:r>
            <w:r>
              <w:rPr>
                <w:sz w:val="20"/>
                <w:szCs w:val="20"/>
              </w:rPr>
              <w:t>sie</w:t>
            </w:r>
            <w:r w:rsidRPr="00E50B51">
              <w:rPr>
                <w:sz w:val="20"/>
                <w:szCs w:val="20"/>
              </w:rPr>
              <w:t xml:space="preserve"> Verhütungsmittel an verheiratete Paare </w:t>
            </w:r>
            <w:r>
              <w:rPr>
                <w:sz w:val="20"/>
                <w:szCs w:val="20"/>
              </w:rPr>
              <w:t>abgegeben hatten</w:t>
            </w:r>
            <w:r w:rsidRPr="00E50B51">
              <w:rPr>
                <w:sz w:val="20"/>
                <w:szCs w:val="20"/>
              </w:rPr>
              <w:t>. Dabei stellte das Gericht fest, dass die folgenden Amendments ein Recht auf Privatsphäre implizit enth</w:t>
            </w:r>
            <w:r>
              <w:rPr>
                <w:sz w:val="20"/>
                <w:szCs w:val="20"/>
              </w:rPr>
              <w:t>ie</w:t>
            </w:r>
            <w:r w:rsidRPr="00E50B51">
              <w:rPr>
                <w:sz w:val="20"/>
                <w:szCs w:val="20"/>
              </w:rPr>
              <w:t xml:space="preserve">lten: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III</w:t>
            </w:r>
            <w:r w:rsidRPr="00E50B51">
              <w:rPr>
                <w:sz w:val="20"/>
                <w:szCs w:val="20"/>
              </w:rPr>
              <w:t xml:space="preserve"> (Verbot der Einquartierung von Soldaten),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Pr>
                <w:sz w:val="20"/>
                <w:szCs w:val="20"/>
              </w:rPr>
              <w:t xml:space="preserve"> </w:t>
            </w:r>
            <w:r w:rsidRPr="00E50B51">
              <w:rPr>
                <w:sz w:val="20"/>
                <w:szCs w:val="20"/>
              </w:rPr>
              <w:t xml:space="preserve">(Recht auf persönliche Sicherheit),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E50B51">
              <w:rPr>
                <w:sz w:val="20"/>
                <w:szCs w:val="20"/>
              </w:rPr>
              <w:t xml:space="preserve"> (Recht auf Schutz vor Selbstbelastung) und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w:t>
            </w:r>
            <w:r>
              <w:rPr>
                <w:sz w:val="20"/>
                <w:szCs w:val="20"/>
              </w:rPr>
              <w:t xml:space="preserve"> </w:t>
            </w:r>
            <w:r w:rsidRPr="00E50B51">
              <w:rPr>
                <w:sz w:val="20"/>
                <w:szCs w:val="20"/>
              </w:rPr>
              <w:t>(Recht auf Wahrung von in der Verfassung nicht aufgeführten Rechten).</w:t>
            </w:r>
            <w:r w:rsidRPr="5B67C1D2">
              <w:rPr>
                <w:rStyle w:val="Funotenzeichen"/>
                <w:rFonts w:eastAsiaTheme="majorEastAsia"/>
                <w:sz w:val="20"/>
                <w:szCs w:val="20"/>
              </w:rPr>
              <w:footnoteReference w:id="657"/>
            </w:r>
            <w:r w:rsidRPr="00E50B51">
              <w:rPr>
                <w:sz w:val="20"/>
                <w:szCs w:val="20"/>
              </w:rPr>
              <w:t xml:space="preserve"> In </w:t>
            </w:r>
            <w:r w:rsidRPr="5B67C1D2">
              <w:rPr>
                <w:i/>
                <w:iCs/>
                <w:sz w:val="20"/>
                <w:szCs w:val="20"/>
              </w:rPr>
              <w:t>Griswold v. Connecticut</w:t>
            </w:r>
            <w:r w:rsidRPr="00E50B51">
              <w:rPr>
                <w:sz w:val="20"/>
                <w:szCs w:val="20"/>
              </w:rPr>
              <w:t xml:space="preserve"> bestätigt damit der </w:t>
            </w:r>
            <w:r>
              <w:rPr>
                <w:sz w:val="20"/>
                <w:szCs w:val="20"/>
              </w:rPr>
              <w:t>U.S. Supreme Court</w:t>
            </w:r>
            <w:r w:rsidRPr="00E50B51">
              <w:rPr>
                <w:sz w:val="20"/>
                <w:szCs w:val="20"/>
              </w:rPr>
              <w:t xml:space="preserve"> das in </w:t>
            </w:r>
            <w:r w:rsidRPr="5B67C1D2">
              <w:rPr>
                <w:i/>
                <w:iCs/>
                <w:sz w:val="20"/>
                <w:szCs w:val="20"/>
              </w:rPr>
              <w:t>Olmstead v. United States</w:t>
            </w:r>
            <w:r w:rsidRPr="5B67C1D2">
              <w:rPr>
                <w:rStyle w:val="Funotenzeichen"/>
                <w:rFonts w:eastAsiaTheme="majorEastAsia"/>
                <w:sz w:val="20"/>
                <w:szCs w:val="20"/>
              </w:rPr>
              <w:footnoteReference w:id="658"/>
            </w:r>
            <w:r w:rsidRPr="00E50B51">
              <w:rPr>
                <w:sz w:val="20"/>
                <w:szCs w:val="20"/>
              </w:rPr>
              <w:t xml:space="preserve"> zunächst in der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E50B51">
              <w:rPr>
                <w:sz w:val="20"/>
                <w:szCs w:val="20"/>
              </w:rPr>
              <w:t xml:space="preserve"> verfasste Recht auf Privatsphäre („</w:t>
            </w:r>
            <w:proofErr w:type="spellStart"/>
            <w:r w:rsidRPr="00E50B51">
              <w:rPr>
                <w:sz w:val="20"/>
                <w:szCs w:val="20"/>
              </w:rPr>
              <w:t>right</w:t>
            </w:r>
            <w:proofErr w:type="spellEnd"/>
            <w:r w:rsidRPr="00E50B51">
              <w:rPr>
                <w:sz w:val="20"/>
                <w:szCs w:val="20"/>
              </w:rPr>
              <w:t xml:space="preserve"> to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let</w:t>
            </w:r>
            <w:proofErr w:type="spellEnd"/>
            <w:r w:rsidRPr="00E50B51">
              <w:rPr>
                <w:sz w:val="20"/>
                <w:szCs w:val="20"/>
              </w:rPr>
              <w:t xml:space="preserve"> </w:t>
            </w:r>
            <w:proofErr w:type="spellStart"/>
            <w:r w:rsidRPr="00E50B51">
              <w:rPr>
                <w:sz w:val="20"/>
                <w:szCs w:val="20"/>
              </w:rPr>
              <w:t>alone</w:t>
            </w:r>
            <w:proofErr w:type="spellEnd"/>
            <w:r w:rsidRPr="00E50B51">
              <w:rPr>
                <w:sz w:val="20"/>
                <w:szCs w:val="20"/>
              </w:rPr>
              <w:t>“</w:t>
            </w:r>
            <w:r w:rsidRPr="5B67C1D2">
              <w:rPr>
                <w:rStyle w:val="Funotenzeichen"/>
                <w:rFonts w:eastAsiaTheme="majorEastAsia"/>
                <w:sz w:val="20"/>
                <w:szCs w:val="20"/>
              </w:rPr>
              <w:footnoteReference w:id="659"/>
            </w:r>
            <w:r w:rsidRPr="00E50B51">
              <w:rPr>
                <w:sz w:val="20"/>
                <w:szCs w:val="20"/>
              </w:rPr>
              <w:t>; „</w:t>
            </w:r>
            <w:proofErr w:type="spellStart"/>
            <w:r w:rsidRPr="00E50B51">
              <w:rPr>
                <w:sz w:val="20"/>
                <w:szCs w:val="20"/>
              </w:rPr>
              <w:t>zone</w:t>
            </w:r>
            <w:proofErr w:type="spellEnd"/>
            <w:r w:rsidRPr="00E50B51">
              <w:rPr>
                <w:sz w:val="20"/>
                <w:szCs w:val="20"/>
              </w:rPr>
              <w:t xml:space="preserve"> of </w:t>
            </w:r>
            <w:proofErr w:type="spellStart"/>
            <w:r w:rsidRPr="00E50B51">
              <w:rPr>
                <w:sz w:val="20"/>
                <w:szCs w:val="20"/>
              </w:rPr>
              <w:t>privacy</w:t>
            </w:r>
            <w:proofErr w:type="spellEnd"/>
            <w:r w:rsidRPr="00E50B51">
              <w:rPr>
                <w:sz w:val="20"/>
                <w:szCs w:val="20"/>
              </w:rPr>
              <w:t>“</w:t>
            </w:r>
            <w:r w:rsidRPr="5B67C1D2">
              <w:rPr>
                <w:rStyle w:val="Funotenzeichen"/>
                <w:rFonts w:eastAsiaTheme="majorEastAsia"/>
                <w:sz w:val="20"/>
                <w:szCs w:val="20"/>
              </w:rPr>
              <w:footnoteReference w:id="660"/>
            </w:r>
            <w:r w:rsidRPr="00E50B51">
              <w:rPr>
                <w:sz w:val="20"/>
                <w:szCs w:val="20"/>
              </w:rPr>
              <w:t>).</w:t>
            </w:r>
          </w:p>
          <w:p w14:paraId="3B336ADE" w14:textId="77777777" w:rsidR="00074551" w:rsidRPr="00E50B51" w:rsidRDefault="00074551" w:rsidP="00367133">
            <w:pPr>
              <w:jc w:val="both"/>
              <w:rPr>
                <w:sz w:val="20"/>
                <w:szCs w:val="20"/>
              </w:rPr>
            </w:pPr>
          </w:p>
        </w:tc>
        <w:tc>
          <w:tcPr>
            <w:tcW w:w="1822" w:type="pct"/>
          </w:tcPr>
          <w:p w14:paraId="3E97A86E" w14:textId="4C916A75" w:rsidR="00074551" w:rsidRPr="00E50B51" w:rsidRDefault="00074551" w:rsidP="00367133">
            <w:pPr>
              <w:jc w:val="both"/>
              <w:rPr>
                <w:sz w:val="20"/>
                <w:szCs w:val="20"/>
                <w:lang w:eastAsia="de-DE"/>
              </w:rPr>
            </w:pPr>
            <w:r w:rsidRPr="00E50B51">
              <w:rPr>
                <w:sz w:val="20"/>
                <w:szCs w:val="20"/>
                <w:lang w:eastAsia="de-DE"/>
              </w:rPr>
              <w:t xml:space="preserve">Der </w:t>
            </w:r>
            <w:r>
              <w:rPr>
                <w:sz w:val="20"/>
                <w:szCs w:val="20"/>
                <w:lang w:eastAsia="de-DE"/>
              </w:rPr>
              <w:t>U.S. Supreme Court</w:t>
            </w:r>
            <w:r w:rsidRPr="00E50B51">
              <w:rPr>
                <w:sz w:val="20"/>
                <w:szCs w:val="20"/>
                <w:lang w:eastAsia="de-DE"/>
              </w:rPr>
              <w:t xml:space="preserve"> </w:t>
            </w:r>
            <w:r>
              <w:rPr>
                <w:sz w:val="20"/>
                <w:szCs w:val="20"/>
                <w:lang w:eastAsia="de-DE"/>
              </w:rPr>
              <w:t>hat</w:t>
            </w:r>
            <w:r w:rsidRPr="00E50B51">
              <w:rPr>
                <w:sz w:val="20"/>
                <w:szCs w:val="20"/>
                <w:lang w:eastAsia="de-DE"/>
              </w:rPr>
              <w:t xml:space="preserve"> im Zusammenhang mit dem Streben nach Glück festgestellt, dass die Reichweite </w:t>
            </w:r>
            <w:r>
              <w:rPr>
                <w:sz w:val="20"/>
                <w:szCs w:val="20"/>
                <w:lang w:eastAsia="de-DE"/>
              </w:rPr>
              <w:t>von</w:t>
            </w:r>
            <w:r w:rsidRPr="00E50B51">
              <w:rPr>
                <w:sz w:val="20"/>
                <w:szCs w:val="20"/>
                <w:lang w:eastAsia="de-DE"/>
              </w:rPr>
              <w:t xml:space="preserve"> </w:t>
            </w:r>
            <w:r w:rsidR="00023A37">
              <w:rPr>
                <w:sz w:val="20"/>
                <w:szCs w:val="20"/>
                <w:lang w:eastAsia="de-DE"/>
              </w:rPr>
              <w:t xml:space="preserve">U.S. </w:t>
            </w:r>
            <w:proofErr w:type="spellStart"/>
            <w:r w:rsidR="00023A37">
              <w:rPr>
                <w:sz w:val="20"/>
                <w:szCs w:val="20"/>
                <w:lang w:eastAsia="de-DE"/>
              </w:rPr>
              <w:t>Const</w:t>
            </w:r>
            <w:proofErr w:type="spellEnd"/>
            <w:r w:rsidR="00023A37">
              <w:rPr>
                <w:sz w:val="20"/>
                <w:szCs w:val="20"/>
                <w:lang w:eastAsia="de-DE"/>
              </w:rPr>
              <w:t xml:space="preserve">. </w:t>
            </w:r>
            <w:proofErr w:type="spellStart"/>
            <w:r w:rsidR="00023A37">
              <w:rPr>
                <w:sz w:val="20"/>
                <w:szCs w:val="20"/>
                <w:lang w:eastAsia="de-DE"/>
              </w:rPr>
              <w:t>amend</w:t>
            </w:r>
            <w:proofErr w:type="spellEnd"/>
            <w:r w:rsidR="00023A37">
              <w:rPr>
                <w:sz w:val="20"/>
                <w:szCs w:val="20"/>
                <w:lang w:eastAsia="de-DE"/>
              </w:rPr>
              <w:t>. IV und V</w:t>
            </w:r>
            <w:r w:rsidRPr="00E50B51">
              <w:rPr>
                <w:sz w:val="20"/>
                <w:szCs w:val="20"/>
                <w:lang w:eastAsia="de-DE"/>
              </w:rPr>
              <w:t xml:space="preserve"> wesentlich umfassender </w:t>
            </w:r>
            <w:r>
              <w:rPr>
                <w:sz w:val="20"/>
                <w:szCs w:val="20"/>
                <w:lang w:eastAsia="de-DE"/>
              </w:rPr>
              <w:t>sei</w:t>
            </w:r>
            <w:r w:rsidRPr="00E50B51">
              <w:rPr>
                <w:sz w:val="20"/>
                <w:szCs w:val="20"/>
                <w:lang w:eastAsia="de-DE"/>
              </w:rPr>
              <w:t xml:space="preserve">, als es ihr bloßer Wortlaut nahelegt. Dies </w:t>
            </w:r>
            <w:r>
              <w:rPr>
                <w:sz w:val="20"/>
                <w:szCs w:val="20"/>
                <w:lang w:eastAsia="de-DE"/>
              </w:rPr>
              <w:t>sei</w:t>
            </w:r>
            <w:r w:rsidRPr="00E50B51">
              <w:rPr>
                <w:sz w:val="20"/>
                <w:szCs w:val="20"/>
                <w:lang w:eastAsia="de-DE"/>
              </w:rPr>
              <w:t xml:space="preserve"> darauf zurückzuführen, dass die Verfassungsgeber mit der US-Verfassung</w:t>
            </w:r>
            <w:r>
              <w:rPr>
                <w:sz w:val="20"/>
                <w:szCs w:val="20"/>
                <w:lang w:eastAsia="de-DE"/>
              </w:rPr>
              <w:t xml:space="preserve"> und diesen Amendments</w:t>
            </w:r>
            <w:r w:rsidRPr="00E50B51">
              <w:rPr>
                <w:sz w:val="20"/>
                <w:szCs w:val="20"/>
                <w:lang w:eastAsia="de-DE"/>
              </w:rPr>
              <w:t xml:space="preserve"> Bedingungen schaffen wollten, die das Streben nach Glück unterstützen</w:t>
            </w:r>
            <w:r>
              <w:rPr>
                <w:sz w:val="20"/>
                <w:szCs w:val="20"/>
                <w:lang w:eastAsia="de-DE"/>
              </w:rPr>
              <w:t xml:space="preserve"> („</w:t>
            </w:r>
            <w:r w:rsidRPr="00F17C48">
              <w:rPr>
                <w:sz w:val="20"/>
                <w:szCs w:val="20"/>
                <w:lang w:eastAsia="de-DE"/>
              </w:rPr>
              <w:t xml:space="preserve">The </w:t>
            </w:r>
            <w:proofErr w:type="spellStart"/>
            <w:r w:rsidRPr="00F17C48">
              <w:rPr>
                <w:sz w:val="20"/>
                <w:szCs w:val="20"/>
                <w:lang w:eastAsia="de-DE"/>
              </w:rPr>
              <w:t>protection</w:t>
            </w:r>
            <w:proofErr w:type="spellEnd"/>
            <w:r w:rsidRPr="00F17C48">
              <w:rPr>
                <w:sz w:val="20"/>
                <w:szCs w:val="20"/>
                <w:lang w:eastAsia="de-DE"/>
              </w:rPr>
              <w:t xml:space="preserve"> </w:t>
            </w:r>
            <w:proofErr w:type="spellStart"/>
            <w:r w:rsidRPr="00F17C48">
              <w:rPr>
                <w:sz w:val="20"/>
                <w:szCs w:val="20"/>
                <w:lang w:eastAsia="de-DE"/>
              </w:rPr>
              <w:t>guaranteed</w:t>
            </w:r>
            <w:proofErr w:type="spellEnd"/>
            <w:r w:rsidRPr="00F17C48">
              <w:rPr>
                <w:sz w:val="20"/>
                <w:szCs w:val="20"/>
                <w:lang w:eastAsia="de-DE"/>
              </w:rPr>
              <w:t xml:space="preserve"> by the [</w:t>
            </w:r>
            <w:proofErr w:type="spellStart"/>
            <w:r w:rsidRPr="00F17C48">
              <w:rPr>
                <w:sz w:val="20"/>
                <w:szCs w:val="20"/>
                <w:lang w:eastAsia="de-DE"/>
              </w:rPr>
              <w:t>Fourth</w:t>
            </w:r>
            <w:proofErr w:type="spellEnd"/>
            <w:r w:rsidRPr="00F17C48">
              <w:rPr>
                <w:sz w:val="20"/>
                <w:szCs w:val="20"/>
                <w:lang w:eastAsia="de-DE"/>
              </w:rPr>
              <w:t xml:space="preserve"> and </w:t>
            </w:r>
            <w:proofErr w:type="spellStart"/>
            <w:r w:rsidRPr="00F17C48">
              <w:rPr>
                <w:sz w:val="20"/>
                <w:szCs w:val="20"/>
                <w:lang w:eastAsia="de-DE"/>
              </w:rPr>
              <w:t>Fifth</w:t>
            </w:r>
            <w:proofErr w:type="spellEnd"/>
            <w:r w:rsidRPr="00F17C48">
              <w:rPr>
                <w:sz w:val="20"/>
                <w:szCs w:val="20"/>
                <w:lang w:eastAsia="de-DE"/>
              </w:rPr>
              <w:t xml:space="preserve">] Amendments </w:t>
            </w:r>
            <w:proofErr w:type="spellStart"/>
            <w:r w:rsidRPr="00F17C48">
              <w:rPr>
                <w:sz w:val="20"/>
                <w:szCs w:val="20"/>
                <w:lang w:eastAsia="de-DE"/>
              </w:rPr>
              <w:t>is</w:t>
            </w:r>
            <w:proofErr w:type="spellEnd"/>
            <w:r w:rsidRPr="00F17C48">
              <w:rPr>
                <w:sz w:val="20"/>
                <w:szCs w:val="20"/>
                <w:lang w:eastAsia="de-DE"/>
              </w:rPr>
              <w:t xml:space="preserve"> </w:t>
            </w:r>
            <w:proofErr w:type="spellStart"/>
            <w:r w:rsidRPr="00F17C48">
              <w:rPr>
                <w:sz w:val="20"/>
                <w:szCs w:val="20"/>
                <w:lang w:eastAsia="de-DE"/>
              </w:rPr>
              <w:t>much</w:t>
            </w:r>
            <w:proofErr w:type="spellEnd"/>
            <w:r w:rsidRPr="00F17C48">
              <w:rPr>
                <w:sz w:val="20"/>
                <w:szCs w:val="20"/>
                <w:lang w:eastAsia="de-DE"/>
              </w:rPr>
              <w:t xml:space="preserve"> </w:t>
            </w:r>
            <w:proofErr w:type="spellStart"/>
            <w:r w:rsidRPr="00F17C48">
              <w:rPr>
                <w:sz w:val="20"/>
                <w:szCs w:val="20"/>
                <w:lang w:eastAsia="de-DE"/>
              </w:rPr>
              <w:t>broader</w:t>
            </w:r>
            <w:proofErr w:type="spellEnd"/>
            <w:r w:rsidRPr="00F17C48">
              <w:rPr>
                <w:sz w:val="20"/>
                <w:szCs w:val="20"/>
                <w:lang w:eastAsia="de-DE"/>
              </w:rPr>
              <w:t xml:space="preserve"> in </w:t>
            </w:r>
            <w:proofErr w:type="spellStart"/>
            <w:r w:rsidRPr="00F17C48">
              <w:rPr>
                <w:sz w:val="20"/>
                <w:szCs w:val="20"/>
                <w:lang w:eastAsia="de-DE"/>
              </w:rPr>
              <w:t>scope</w:t>
            </w:r>
            <w:proofErr w:type="spellEnd"/>
            <w:r w:rsidRPr="00F17C48">
              <w:rPr>
                <w:sz w:val="20"/>
                <w:szCs w:val="20"/>
                <w:lang w:eastAsia="de-DE"/>
              </w:rPr>
              <w:t xml:space="preserve">. </w:t>
            </w:r>
            <w:r w:rsidRPr="006D347A">
              <w:rPr>
                <w:sz w:val="20"/>
                <w:szCs w:val="20"/>
                <w:lang w:val="en-US" w:eastAsia="de-DE"/>
              </w:rPr>
              <w:t xml:space="preserve">The makers of our Constitution undertook to secure conditions favorable to the pursuit of </w:t>
            </w:r>
            <w:proofErr w:type="gramStart"/>
            <w:r w:rsidRPr="006D347A">
              <w:rPr>
                <w:sz w:val="20"/>
                <w:szCs w:val="20"/>
                <w:lang w:val="en-US" w:eastAsia="de-DE"/>
              </w:rPr>
              <w:t>happiness.“</w:t>
            </w:r>
            <w:proofErr w:type="gramEnd"/>
            <w:r>
              <w:rPr>
                <w:rStyle w:val="Funotenzeichen"/>
                <w:sz w:val="20"/>
                <w:szCs w:val="20"/>
                <w:lang w:eastAsia="de-DE"/>
              </w:rPr>
              <w:footnoteReference w:id="661"/>
            </w:r>
            <w:r>
              <w:rPr>
                <w:sz w:val="20"/>
                <w:szCs w:val="20"/>
                <w:lang w:eastAsia="de-DE"/>
              </w:rPr>
              <w:t>)</w:t>
            </w:r>
            <w:r w:rsidRPr="00E50B51">
              <w:rPr>
                <w:sz w:val="20"/>
                <w:szCs w:val="20"/>
                <w:lang w:eastAsia="de-DE"/>
              </w:rPr>
              <w:t>. Diese Bedingungen dehn</w:t>
            </w:r>
            <w:r>
              <w:rPr>
                <w:sz w:val="20"/>
                <w:szCs w:val="20"/>
                <w:lang w:eastAsia="de-DE"/>
              </w:rPr>
              <w:t>t</w:t>
            </w:r>
            <w:r w:rsidRPr="00E50B51">
              <w:rPr>
                <w:sz w:val="20"/>
                <w:szCs w:val="20"/>
                <w:lang w:eastAsia="de-DE"/>
              </w:rPr>
              <w:t xml:space="preserve">en den Wortlaut der Amendments </w:t>
            </w:r>
            <w:r>
              <w:rPr>
                <w:sz w:val="20"/>
                <w:szCs w:val="20"/>
                <w:lang w:eastAsia="de-DE"/>
              </w:rPr>
              <w:t xml:space="preserve">als Zielrichtung </w:t>
            </w:r>
            <w:r w:rsidRPr="00E50B51">
              <w:rPr>
                <w:sz w:val="20"/>
                <w:szCs w:val="20"/>
                <w:lang w:eastAsia="de-DE"/>
              </w:rPr>
              <w:t>aus, um beispielsweise das Recht</w:t>
            </w:r>
            <w:r>
              <w:rPr>
                <w:sz w:val="20"/>
                <w:szCs w:val="20"/>
                <w:lang w:eastAsia="de-DE"/>
              </w:rPr>
              <w:t xml:space="preserve"> </w:t>
            </w:r>
            <w:r w:rsidRPr="00E50B51">
              <w:rPr>
                <w:sz w:val="20"/>
                <w:szCs w:val="20"/>
                <w:lang w:eastAsia="de-DE"/>
              </w:rPr>
              <w:t>zu gewährleisten, in Ruhe gelassen zu werden („</w:t>
            </w:r>
            <w:proofErr w:type="spellStart"/>
            <w:r w:rsidRPr="00E50B51">
              <w:rPr>
                <w:sz w:val="20"/>
                <w:szCs w:val="20"/>
                <w:lang w:eastAsia="de-DE"/>
              </w:rPr>
              <w:t>right</w:t>
            </w:r>
            <w:proofErr w:type="spellEnd"/>
            <w:r w:rsidRPr="00E50B51">
              <w:rPr>
                <w:sz w:val="20"/>
                <w:szCs w:val="20"/>
                <w:lang w:eastAsia="de-DE"/>
              </w:rPr>
              <w:t xml:space="preserve"> to </w:t>
            </w:r>
            <w:proofErr w:type="spellStart"/>
            <w:r w:rsidRPr="00E50B51">
              <w:rPr>
                <w:sz w:val="20"/>
                <w:szCs w:val="20"/>
                <w:lang w:eastAsia="de-DE"/>
              </w:rPr>
              <w:t>be</w:t>
            </w:r>
            <w:proofErr w:type="spellEnd"/>
            <w:r w:rsidRPr="00E50B51">
              <w:rPr>
                <w:sz w:val="20"/>
                <w:szCs w:val="20"/>
                <w:lang w:eastAsia="de-DE"/>
              </w:rPr>
              <w:t xml:space="preserve"> </w:t>
            </w:r>
            <w:proofErr w:type="spellStart"/>
            <w:r w:rsidRPr="00E50B51">
              <w:rPr>
                <w:sz w:val="20"/>
                <w:szCs w:val="20"/>
                <w:lang w:eastAsia="de-DE"/>
              </w:rPr>
              <w:t>let</w:t>
            </w:r>
            <w:proofErr w:type="spellEnd"/>
            <w:r w:rsidRPr="00E50B51">
              <w:rPr>
                <w:sz w:val="20"/>
                <w:szCs w:val="20"/>
                <w:lang w:eastAsia="de-DE"/>
              </w:rPr>
              <w:t xml:space="preserve"> </w:t>
            </w:r>
            <w:proofErr w:type="spellStart"/>
            <w:r w:rsidRPr="00E50B51">
              <w:rPr>
                <w:sz w:val="20"/>
                <w:szCs w:val="20"/>
                <w:lang w:eastAsia="de-DE"/>
              </w:rPr>
              <w:t>alone</w:t>
            </w:r>
            <w:proofErr w:type="spellEnd"/>
            <w:r w:rsidRPr="00E50B51">
              <w:rPr>
                <w:sz w:val="20"/>
                <w:szCs w:val="20"/>
                <w:lang w:eastAsia="de-DE"/>
              </w:rPr>
              <w:t>“</w:t>
            </w:r>
            <w:r w:rsidRPr="00E50B51">
              <w:rPr>
                <w:rStyle w:val="Funotenzeichen"/>
                <w:rFonts w:eastAsiaTheme="majorEastAsia"/>
                <w:sz w:val="20"/>
                <w:szCs w:val="20"/>
              </w:rPr>
              <w:t xml:space="preserve"> </w:t>
            </w:r>
            <w:r w:rsidRPr="00E50B51">
              <w:rPr>
                <w:rStyle w:val="Funotenzeichen"/>
                <w:rFonts w:eastAsiaTheme="majorEastAsia"/>
                <w:sz w:val="20"/>
                <w:szCs w:val="20"/>
              </w:rPr>
              <w:footnoteReference w:id="662"/>
            </w:r>
            <w:r w:rsidRPr="00E50B51">
              <w:rPr>
                <w:sz w:val="20"/>
                <w:szCs w:val="20"/>
                <w:lang w:eastAsia="de-DE"/>
              </w:rPr>
              <w:t xml:space="preserve">). </w:t>
            </w:r>
            <w:r>
              <w:rPr>
                <w:sz w:val="20"/>
                <w:szCs w:val="20"/>
                <w:lang w:eastAsia="de-DE"/>
              </w:rPr>
              <w:t xml:space="preserve">Dies werde als </w:t>
            </w:r>
            <w:r w:rsidRPr="00E50B51">
              <w:rPr>
                <w:sz w:val="20"/>
                <w:szCs w:val="20"/>
                <w:lang w:eastAsia="de-DE"/>
              </w:rPr>
              <w:t>das umfassendste aller Rechte und das von zivilisierten Menschen am meisten geschätzte Recht betrachtet.</w:t>
            </w:r>
            <w:r w:rsidRPr="00E50B51">
              <w:rPr>
                <w:rStyle w:val="Funotenzeichen"/>
                <w:rFonts w:eastAsiaTheme="majorEastAsia"/>
                <w:sz w:val="20"/>
                <w:szCs w:val="20"/>
              </w:rPr>
              <w:footnoteReference w:id="663"/>
            </w:r>
          </w:p>
          <w:p w14:paraId="5B255F5F" w14:textId="77777777" w:rsidR="00074551" w:rsidRPr="00E50B51" w:rsidRDefault="00074551" w:rsidP="00367133">
            <w:pPr>
              <w:jc w:val="both"/>
              <w:rPr>
                <w:sz w:val="20"/>
                <w:szCs w:val="20"/>
              </w:rPr>
            </w:pPr>
          </w:p>
        </w:tc>
      </w:tr>
      <w:tr w:rsidR="00074551" w:rsidRPr="00E50B51" w14:paraId="2BA15703" w14:textId="77777777" w:rsidTr="00BE689F">
        <w:trPr>
          <w:cantSplit/>
          <w:trHeight w:val="3175"/>
        </w:trPr>
        <w:tc>
          <w:tcPr>
            <w:tcW w:w="293" w:type="pct"/>
          </w:tcPr>
          <w:p w14:paraId="05253B8A" w14:textId="77777777" w:rsidR="00074551" w:rsidRPr="00E50B51" w:rsidRDefault="00074551" w:rsidP="00367133">
            <w:pPr>
              <w:ind w:right="416"/>
              <w:jc w:val="center"/>
              <w:rPr>
                <w:sz w:val="20"/>
                <w:szCs w:val="20"/>
                <w:lang w:val="en-US" w:eastAsia="de-DE"/>
              </w:rPr>
            </w:pPr>
            <w:proofErr w:type="spellStart"/>
            <w:r w:rsidRPr="00E50B51">
              <w:rPr>
                <w:sz w:val="20"/>
                <w:szCs w:val="20"/>
              </w:rPr>
              <w:lastRenderedPageBreak/>
              <w:t>poH</w:t>
            </w:r>
            <w:proofErr w:type="spellEnd"/>
          </w:p>
        </w:tc>
        <w:tc>
          <w:tcPr>
            <w:tcW w:w="387" w:type="pct"/>
            <w:textDirection w:val="tbRl"/>
            <w:vAlign w:val="center"/>
          </w:tcPr>
          <w:p w14:paraId="0069CCDE" w14:textId="77777777" w:rsidR="00074551" w:rsidRPr="00B45592" w:rsidRDefault="00074551" w:rsidP="00367133">
            <w:pPr>
              <w:ind w:left="113" w:right="416"/>
              <w:jc w:val="both"/>
              <w:rPr>
                <w:i/>
                <w:sz w:val="20"/>
                <w:szCs w:val="20"/>
              </w:rPr>
            </w:pPr>
            <w:r w:rsidRPr="00B45592">
              <w:rPr>
                <w:i/>
                <w:sz w:val="20"/>
                <w:szCs w:val="20"/>
                <w:lang w:val="en-US" w:eastAsia="de-DE"/>
              </w:rPr>
              <w:t>Moore v. East Cleveland</w:t>
            </w:r>
          </w:p>
        </w:tc>
        <w:tc>
          <w:tcPr>
            <w:tcW w:w="197" w:type="pct"/>
            <w:textDirection w:val="tbRl"/>
            <w:vAlign w:val="center"/>
          </w:tcPr>
          <w:p w14:paraId="75E508CF" w14:textId="77777777" w:rsidR="00074551" w:rsidRPr="00E50B51" w:rsidRDefault="00074551" w:rsidP="00367133">
            <w:pPr>
              <w:ind w:left="113" w:right="113"/>
              <w:jc w:val="both"/>
              <w:rPr>
                <w:sz w:val="20"/>
                <w:szCs w:val="20"/>
              </w:rPr>
            </w:pPr>
            <w:r w:rsidRPr="00E50B51">
              <w:rPr>
                <w:sz w:val="20"/>
                <w:szCs w:val="20"/>
                <w:lang w:val="en-US"/>
              </w:rPr>
              <w:t>431 U.S. 494</w:t>
            </w:r>
          </w:p>
        </w:tc>
        <w:tc>
          <w:tcPr>
            <w:tcW w:w="306" w:type="pct"/>
            <w:textDirection w:val="tbRl"/>
            <w:vAlign w:val="center"/>
          </w:tcPr>
          <w:p w14:paraId="6E8FD4D3" w14:textId="77777777" w:rsidR="00074551" w:rsidRPr="00E50B51" w:rsidRDefault="00074551" w:rsidP="00367133">
            <w:pPr>
              <w:ind w:left="113" w:right="113"/>
              <w:jc w:val="both"/>
              <w:rPr>
                <w:sz w:val="20"/>
                <w:szCs w:val="20"/>
              </w:rPr>
            </w:pPr>
            <w:r w:rsidRPr="00E50B51">
              <w:rPr>
                <w:sz w:val="20"/>
                <w:szCs w:val="20"/>
              </w:rPr>
              <w:t>31. Mai 1977</w:t>
            </w:r>
          </w:p>
        </w:tc>
        <w:tc>
          <w:tcPr>
            <w:tcW w:w="401" w:type="pct"/>
          </w:tcPr>
          <w:p w14:paraId="1EE492D3" w14:textId="77777777" w:rsidR="00074551" w:rsidRPr="00E50B51" w:rsidRDefault="00074551" w:rsidP="00367133">
            <w:pPr>
              <w:jc w:val="center"/>
              <w:rPr>
                <w:sz w:val="20"/>
                <w:szCs w:val="20"/>
              </w:rPr>
            </w:pPr>
            <w:r w:rsidRPr="00E50B51">
              <w:rPr>
                <w:sz w:val="20"/>
                <w:szCs w:val="20"/>
              </w:rPr>
              <w:t>D</w:t>
            </w:r>
          </w:p>
        </w:tc>
        <w:tc>
          <w:tcPr>
            <w:tcW w:w="1594" w:type="pct"/>
          </w:tcPr>
          <w:p w14:paraId="41E158FB" w14:textId="4E953CF8" w:rsidR="00074551" w:rsidRPr="00E50B51" w:rsidRDefault="00074551" w:rsidP="00367133">
            <w:pPr>
              <w:jc w:val="both"/>
              <w:rPr>
                <w:sz w:val="20"/>
                <w:szCs w:val="20"/>
              </w:rPr>
            </w:pPr>
            <w:r w:rsidRPr="00E50B51">
              <w:rPr>
                <w:sz w:val="20"/>
                <w:szCs w:val="20"/>
              </w:rPr>
              <w:t xml:space="preserve">Im Fall hob der </w:t>
            </w:r>
            <w:r>
              <w:rPr>
                <w:sz w:val="20"/>
                <w:szCs w:val="20"/>
              </w:rPr>
              <w:t>U.S. Supreme Court</w:t>
            </w:r>
            <w:r w:rsidRPr="00E50B51">
              <w:rPr>
                <w:sz w:val="20"/>
                <w:szCs w:val="20"/>
              </w:rPr>
              <w:t xml:space="preserve"> ein </w:t>
            </w:r>
            <w:proofErr w:type="spellStart"/>
            <w:r>
              <w:rPr>
                <w:sz w:val="20"/>
                <w:szCs w:val="20"/>
              </w:rPr>
              <w:t>vorinstanzielles</w:t>
            </w:r>
            <w:proofErr w:type="spellEnd"/>
            <w:r>
              <w:rPr>
                <w:sz w:val="20"/>
                <w:szCs w:val="20"/>
              </w:rPr>
              <w:t xml:space="preserve"> </w:t>
            </w:r>
            <w:r w:rsidRPr="00E50B51">
              <w:rPr>
                <w:sz w:val="20"/>
                <w:szCs w:val="20"/>
              </w:rPr>
              <w:t xml:space="preserve">Urteil auf. Das </w:t>
            </w:r>
            <w:r>
              <w:rPr>
                <w:sz w:val="20"/>
                <w:szCs w:val="20"/>
              </w:rPr>
              <w:t xml:space="preserve">vorige </w:t>
            </w:r>
            <w:r w:rsidRPr="00E50B51">
              <w:rPr>
                <w:sz w:val="20"/>
                <w:szCs w:val="20"/>
              </w:rPr>
              <w:t>Gericht hatte die Klägerin wegen Verstoßes gegen eine städtische Verordnung über die Unterbringung weiterer Familienmitglieder</w:t>
            </w:r>
            <w:r>
              <w:rPr>
                <w:sz w:val="20"/>
                <w:szCs w:val="20"/>
              </w:rPr>
              <w:t xml:space="preserve">, die sog. </w:t>
            </w:r>
            <w:proofErr w:type="spellStart"/>
            <w:r w:rsidRPr="00B45592">
              <w:rPr>
                <w:i/>
                <w:sz w:val="20"/>
                <w:szCs w:val="20"/>
              </w:rPr>
              <w:t>Municipality’s</w:t>
            </w:r>
            <w:proofErr w:type="spellEnd"/>
            <w:r w:rsidRPr="00B45592">
              <w:rPr>
                <w:i/>
                <w:sz w:val="20"/>
                <w:szCs w:val="20"/>
              </w:rPr>
              <w:t xml:space="preserve"> Housing </w:t>
            </w:r>
            <w:proofErr w:type="spellStart"/>
            <w:r w:rsidRPr="00B45592">
              <w:rPr>
                <w:i/>
                <w:sz w:val="20"/>
                <w:szCs w:val="20"/>
              </w:rPr>
              <w:t>Ordinance</w:t>
            </w:r>
            <w:proofErr w:type="spellEnd"/>
            <w:r>
              <w:rPr>
                <w:sz w:val="20"/>
                <w:szCs w:val="20"/>
              </w:rPr>
              <w:t>,</w:t>
            </w:r>
            <w:r w:rsidRPr="00E50B51">
              <w:rPr>
                <w:sz w:val="20"/>
                <w:szCs w:val="20"/>
              </w:rPr>
              <w:t xml:space="preserve"> verurteilt. Sie habe einen weiteren Enkel ungenehmigt in ihrer Wohnung untergebracht. Der </w:t>
            </w:r>
            <w:r>
              <w:rPr>
                <w:sz w:val="20"/>
                <w:szCs w:val="20"/>
              </w:rPr>
              <w:t>U.S. Supreme Court</w:t>
            </w:r>
            <w:r w:rsidRPr="00E50B51">
              <w:rPr>
                <w:sz w:val="20"/>
                <w:szCs w:val="20"/>
              </w:rPr>
              <w:t xml:space="preserve"> entschied, die Verordnung unterscheide verfassungswidrig</w:t>
            </w:r>
            <w:r>
              <w:rPr>
                <w:sz w:val="20"/>
                <w:szCs w:val="20"/>
              </w:rPr>
              <w:t xml:space="preserve">, weil sie </w:t>
            </w:r>
            <w:r w:rsidRPr="00E50B51">
              <w:rPr>
                <w:sz w:val="20"/>
                <w:szCs w:val="20"/>
              </w:rPr>
              <w:t>nicht hinreichend zwischen Verwandten und Nichtverwandten</w:t>
            </w:r>
            <w:r>
              <w:rPr>
                <w:sz w:val="20"/>
                <w:szCs w:val="20"/>
              </w:rPr>
              <w:t xml:space="preserve"> differenziere. U</w:t>
            </w:r>
            <w:r w:rsidRPr="00E50B51">
              <w:rPr>
                <w:sz w:val="20"/>
                <w:szCs w:val="20"/>
              </w:rPr>
              <w:t xml:space="preserve">nd die Verordnung greife zudem in die Unantastbarkeit der Familie ein </w:t>
            </w:r>
            <w:r>
              <w:rPr>
                <w:sz w:val="20"/>
                <w:szCs w:val="20"/>
              </w:rPr>
              <w:t xml:space="preserve">und </w:t>
            </w:r>
            <w:r w:rsidRPr="00E50B51">
              <w:rPr>
                <w:sz w:val="20"/>
                <w:szCs w:val="20"/>
              </w:rPr>
              <w:t xml:space="preserve">erreiche </w:t>
            </w:r>
            <w:r>
              <w:rPr>
                <w:sz w:val="20"/>
                <w:szCs w:val="20"/>
              </w:rPr>
              <w:t xml:space="preserve">dabei </w:t>
            </w:r>
            <w:r w:rsidRPr="00E50B51">
              <w:rPr>
                <w:sz w:val="20"/>
                <w:szCs w:val="20"/>
              </w:rPr>
              <w:t xml:space="preserve">allenfalls mittelbar legitime Ziele wie </w:t>
            </w:r>
            <w:r>
              <w:rPr>
                <w:sz w:val="20"/>
                <w:szCs w:val="20"/>
              </w:rPr>
              <w:t>die Minimierung des Straßenverkehrs</w:t>
            </w:r>
            <w:r w:rsidRPr="00E50B51">
              <w:rPr>
                <w:sz w:val="20"/>
                <w:szCs w:val="20"/>
              </w:rPr>
              <w:t xml:space="preserve"> oder </w:t>
            </w:r>
            <w:r>
              <w:rPr>
                <w:sz w:val="20"/>
                <w:szCs w:val="20"/>
              </w:rPr>
              <w:t>die Entlastung des</w:t>
            </w:r>
            <w:r w:rsidRPr="00E50B51">
              <w:rPr>
                <w:sz w:val="20"/>
                <w:szCs w:val="20"/>
              </w:rPr>
              <w:t xml:space="preserve"> Schulsystem</w:t>
            </w:r>
            <w:r>
              <w:rPr>
                <w:sz w:val="20"/>
                <w:szCs w:val="20"/>
              </w:rPr>
              <w:t>s</w:t>
            </w:r>
            <w:r w:rsidRPr="00E50B51">
              <w:rPr>
                <w:sz w:val="20"/>
                <w:szCs w:val="20"/>
              </w:rPr>
              <w:t xml:space="preserve">. Zudem bestehe das verfassungsmäßige Recht, als Familie zusammenzuleben. </w:t>
            </w:r>
            <w:r>
              <w:rPr>
                <w:sz w:val="20"/>
                <w:szCs w:val="20"/>
              </w:rPr>
              <w:t>Dieses</w:t>
            </w:r>
            <w:r w:rsidRPr="00E50B51">
              <w:rPr>
                <w:sz w:val="20"/>
                <w:szCs w:val="20"/>
              </w:rPr>
              <w:t xml:space="preserve"> sei nicht auf die Kernfamilie beschränkt</w:t>
            </w:r>
            <w:r>
              <w:rPr>
                <w:sz w:val="20"/>
                <w:szCs w:val="20"/>
              </w:rPr>
              <w:t>,</w:t>
            </w:r>
            <w:r w:rsidRPr="00E50B51">
              <w:rPr>
                <w:sz w:val="20"/>
                <w:szCs w:val="20"/>
              </w:rPr>
              <w:t xml:space="preserve"> vor allem, weil gerade größere Familien dem Unterhalt und der ökonomischen Sicherheit dien</w:t>
            </w:r>
            <w:r>
              <w:rPr>
                <w:sz w:val="20"/>
                <w:szCs w:val="20"/>
              </w:rPr>
              <w:t>t</w:t>
            </w:r>
            <w:r w:rsidRPr="00E50B51">
              <w:rPr>
                <w:sz w:val="20"/>
                <w:szCs w:val="20"/>
              </w:rPr>
              <w:t>en. All diese freiheitlichen Ziele schütz</w:t>
            </w:r>
            <w:r>
              <w:rPr>
                <w:sz w:val="20"/>
                <w:szCs w:val="20"/>
              </w:rPr>
              <w:t>e</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r w:rsidRPr="00E50B51">
              <w:rPr>
                <w:sz w:val="20"/>
                <w:szCs w:val="20"/>
                <w:lang w:val="en-US"/>
              </w:rPr>
              <w:t xml:space="preserve">(„liberties protected by the Due Process Clause of U.S. Const. amend. </w:t>
            </w:r>
            <w:r w:rsidRPr="00E50B51">
              <w:rPr>
                <w:sz w:val="20"/>
                <w:szCs w:val="20"/>
              </w:rPr>
              <w:t>XIV“</w:t>
            </w:r>
            <w:r w:rsidRPr="00E50B51">
              <w:rPr>
                <w:rStyle w:val="Funotenzeichen"/>
                <w:rFonts w:eastAsiaTheme="majorEastAsia"/>
                <w:sz w:val="20"/>
                <w:szCs w:val="20"/>
              </w:rPr>
              <w:footnoteReference w:id="664"/>
            </w:r>
            <w:r w:rsidRPr="00E50B51">
              <w:rPr>
                <w:sz w:val="20"/>
                <w:szCs w:val="20"/>
              </w:rPr>
              <w:t>). Daher sei die Verordnung verfassungswidrig.</w:t>
            </w:r>
          </w:p>
          <w:p w14:paraId="7D1F7517" w14:textId="77777777" w:rsidR="00074551" w:rsidRPr="00E50B51" w:rsidRDefault="00074551" w:rsidP="00367133">
            <w:pPr>
              <w:jc w:val="both"/>
              <w:rPr>
                <w:sz w:val="20"/>
                <w:szCs w:val="20"/>
              </w:rPr>
            </w:pPr>
          </w:p>
        </w:tc>
        <w:tc>
          <w:tcPr>
            <w:tcW w:w="1822" w:type="pct"/>
          </w:tcPr>
          <w:p w14:paraId="3ADBE060" w14:textId="77777777" w:rsidR="00074551" w:rsidRPr="00E50B51" w:rsidRDefault="00074551" w:rsidP="00367133">
            <w:pPr>
              <w:jc w:val="both"/>
              <w:rPr>
                <w:sz w:val="20"/>
                <w:szCs w:val="20"/>
                <w:lang w:eastAsia="de-DE"/>
              </w:rPr>
            </w:pPr>
            <w:r w:rsidRPr="00E50B51">
              <w:rPr>
                <w:sz w:val="20"/>
                <w:szCs w:val="20"/>
                <w:lang w:eastAsia="de-DE"/>
              </w:rPr>
              <w:t>Wenn die Judikative materielle Freiheitsrechte („</w:t>
            </w:r>
            <w:proofErr w:type="spellStart"/>
            <w:r w:rsidRPr="00E50B51">
              <w:rPr>
                <w:sz w:val="20"/>
                <w:szCs w:val="20"/>
                <w:lang w:eastAsia="de-DE"/>
              </w:rPr>
              <w:t>certain</w:t>
            </w:r>
            <w:proofErr w:type="spellEnd"/>
            <w:r w:rsidRPr="00E50B51">
              <w:rPr>
                <w:sz w:val="20"/>
                <w:szCs w:val="20"/>
                <w:lang w:eastAsia="de-DE"/>
              </w:rPr>
              <w:t xml:space="preserve"> </w:t>
            </w:r>
            <w:proofErr w:type="spellStart"/>
            <w:r w:rsidRPr="00E50B51">
              <w:rPr>
                <w:sz w:val="20"/>
                <w:szCs w:val="20"/>
                <w:lang w:eastAsia="de-DE"/>
              </w:rPr>
              <w:t>substantive</w:t>
            </w:r>
            <w:proofErr w:type="spellEnd"/>
            <w:r w:rsidRPr="00E50B51">
              <w:rPr>
                <w:sz w:val="20"/>
                <w:szCs w:val="20"/>
                <w:lang w:eastAsia="de-DE"/>
              </w:rPr>
              <w:t xml:space="preserve"> </w:t>
            </w:r>
            <w:proofErr w:type="spellStart"/>
            <w:r w:rsidRPr="00E50B51">
              <w:rPr>
                <w:sz w:val="20"/>
                <w:szCs w:val="20"/>
                <w:lang w:eastAsia="de-DE"/>
              </w:rPr>
              <w:t>liberties</w:t>
            </w:r>
            <w:proofErr w:type="spellEnd"/>
            <w:r w:rsidRPr="00E50B51">
              <w:rPr>
                <w:sz w:val="20"/>
                <w:szCs w:val="20"/>
                <w:lang w:eastAsia="de-DE"/>
              </w:rPr>
              <w:t>“</w:t>
            </w:r>
            <w:r w:rsidRPr="00E50B51">
              <w:rPr>
                <w:rStyle w:val="Funotenzeichen"/>
                <w:rFonts w:eastAsiaTheme="majorEastAsia"/>
                <w:sz w:val="20"/>
                <w:szCs w:val="20"/>
                <w:lang w:eastAsia="de-DE"/>
              </w:rPr>
              <w:footnoteReference w:id="665"/>
            </w:r>
            <w:r w:rsidRPr="00E50B51">
              <w:rPr>
                <w:sz w:val="20"/>
                <w:szCs w:val="20"/>
                <w:lang w:eastAsia="de-DE"/>
              </w:rPr>
              <w:t>) schütz</w:t>
            </w:r>
            <w:r>
              <w:rPr>
                <w:sz w:val="20"/>
                <w:szCs w:val="20"/>
                <w:lang w:eastAsia="de-DE"/>
              </w:rPr>
              <w:t>e</w:t>
            </w:r>
            <w:r w:rsidRPr="00E50B51">
              <w:rPr>
                <w:sz w:val="20"/>
                <w:szCs w:val="20"/>
                <w:lang w:eastAsia="de-DE"/>
              </w:rPr>
              <w:t xml:space="preserve">, ohne sich an Bestimmungen der </w:t>
            </w:r>
            <w:r w:rsidRPr="00A142D9">
              <w:rPr>
                <w:i/>
                <w:sz w:val="20"/>
                <w:szCs w:val="20"/>
                <w:lang w:eastAsia="de-DE"/>
              </w:rPr>
              <w:t>Bill of Rights</w:t>
            </w:r>
            <w:r w:rsidRPr="00E50B51">
              <w:rPr>
                <w:sz w:val="20"/>
                <w:szCs w:val="20"/>
                <w:lang w:eastAsia="de-DE"/>
              </w:rPr>
              <w:t xml:space="preserve"> zu orientieren, dann laufe dies der Verfassungssystematik zuwider. Daher </w:t>
            </w:r>
            <w:r>
              <w:rPr>
                <w:sz w:val="20"/>
                <w:szCs w:val="20"/>
                <w:lang w:eastAsia="de-DE"/>
              </w:rPr>
              <w:t>seien</w:t>
            </w:r>
            <w:r w:rsidRPr="00E50B51">
              <w:rPr>
                <w:sz w:val="20"/>
                <w:szCs w:val="20"/>
                <w:lang w:eastAsia="de-DE"/>
              </w:rPr>
              <w:t xml:space="preserve"> materielle Freiheitsrechte </w:t>
            </w:r>
            <w:r>
              <w:rPr>
                <w:sz w:val="20"/>
                <w:szCs w:val="20"/>
                <w:lang w:eastAsia="de-DE"/>
              </w:rPr>
              <w:t xml:space="preserve">ohne Bezug zur </w:t>
            </w:r>
            <w:r w:rsidRPr="00A142D9">
              <w:rPr>
                <w:i/>
                <w:sz w:val="20"/>
                <w:szCs w:val="20"/>
                <w:lang w:eastAsia="de-DE"/>
              </w:rPr>
              <w:t>Bill of Rights</w:t>
            </w:r>
            <w:r>
              <w:rPr>
                <w:sz w:val="20"/>
                <w:szCs w:val="20"/>
                <w:lang w:eastAsia="de-DE"/>
              </w:rPr>
              <w:t xml:space="preserve"> </w:t>
            </w:r>
            <w:r w:rsidRPr="00E50B51">
              <w:rPr>
                <w:sz w:val="20"/>
                <w:szCs w:val="20"/>
                <w:lang w:eastAsia="de-DE"/>
              </w:rPr>
              <w:t xml:space="preserve">zurückhaltend zu schützen. Aber der </w:t>
            </w:r>
            <w:r>
              <w:rPr>
                <w:sz w:val="20"/>
                <w:szCs w:val="20"/>
                <w:lang w:eastAsia="de-DE"/>
              </w:rPr>
              <w:t>U.S. Supreme Court</w:t>
            </w:r>
            <w:r w:rsidRPr="00E50B51">
              <w:rPr>
                <w:sz w:val="20"/>
                <w:szCs w:val="20"/>
                <w:lang w:eastAsia="de-DE"/>
              </w:rPr>
              <w:t xml:space="preserve"> gibt nicht vor, die materiellen Freiheitsrechte als allgemeine Freiheitsdimensionen aufzugeben. </w:t>
            </w:r>
            <w:r>
              <w:rPr>
                <w:sz w:val="20"/>
                <w:szCs w:val="20"/>
                <w:lang w:eastAsia="de-DE"/>
              </w:rPr>
              <w:t>Denn di</w:t>
            </w:r>
            <w:r w:rsidRPr="00CF31CB">
              <w:rPr>
                <w:sz w:val="20"/>
                <w:szCs w:val="20"/>
                <w:lang w:eastAsia="de-DE"/>
              </w:rPr>
              <w:t xml:space="preserve">e </w:t>
            </w:r>
            <w:r w:rsidRPr="00A142D9">
              <w:rPr>
                <w:i/>
                <w:sz w:val="20"/>
                <w:szCs w:val="20"/>
                <w:lang w:eastAsia="de-DE"/>
              </w:rPr>
              <w:t xml:space="preserve">Due </w:t>
            </w:r>
            <w:proofErr w:type="spellStart"/>
            <w:r w:rsidRPr="00A142D9">
              <w:rPr>
                <w:i/>
                <w:sz w:val="20"/>
                <w:szCs w:val="20"/>
                <w:lang w:eastAsia="de-DE"/>
              </w:rPr>
              <w:t>Process</w:t>
            </w:r>
            <w:proofErr w:type="spellEnd"/>
            <w:r w:rsidRPr="00A142D9">
              <w:rPr>
                <w:i/>
                <w:sz w:val="20"/>
                <w:szCs w:val="20"/>
                <w:lang w:eastAsia="de-DE"/>
              </w:rPr>
              <w:t xml:space="preserve"> </w:t>
            </w:r>
            <w:proofErr w:type="spellStart"/>
            <w:r w:rsidRPr="00A142D9">
              <w:rPr>
                <w:i/>
                <w:sz w:val="20"/>
                <w:szCs w:val="20"/>
                <w:lang w:eastAsia="de-DE"/>
              </w:rPr>
              <w:t>Clause</w:t>
            </w:r>
            <w:proofErr w:type="spellEnd"/>
            <w:r>
              <w:rPr>
                <w:sz w:val="20"/>
                <w:szCs w:val="20"/>
                <w:lang w:eastAsia="de-DE"/>
              </w:rPr>
              <w:t xml:space="preserve"> werde</w:t>
            </w:r>
            <w:r w:rsidRPr="00CF31CB">
              <w:rPr>
                <w:sz w:val="20"/>
                <w:szCs w:val="20"/>
                <w:lang w:eastAsia="de-DE"/>
              </w:rPr>
              <w:t xml:space="preserve"> durch eine Vielzahl von Interessen ausgelöst</w:t>
            </w:r>
            <w:r>
              <w:rPr>
                <w:sz w:val="20"/>
                <w:szCs w:val="20"/>
                <w:lang w:eastAsia="de-DE"/>
              </w:rPr>
              <w:t>;</w:t>
            </w:r>
            <w:r w:rsidRPr="00CF31CB">
              <w:rPr>
                <w:sz w:val="20"/>
                <w:szCs w:val="20"/>
                <w:lang w:eastAsia="de-DE"/>
              </w:rPr>
              <w:t xml:space="preserve"> </w:t>
            </w:r>
            <w:r>
              <w:rPr>
                <w:sz w:val="20"/>
                <w:szCs w:val="20"/>
                <w:lang w:eastAsia="de-DE"/>
              </w:rPr>
              <w:t>unter diese fielen zahlreiche</w:t>
            </w:r>
            <w:r w:rsidRPr="00CF31CB">
              <w:rPr>
                <w:sz w:val="20"/>
                <w:szCs w:val="20"/>
                <w:lang w:eastAsia="de-DE"/>
              </w:rPr>
              <w:t xml:space="preserve"> Freiheiten im rein kommerziellen Bereich wie die Vertragsfreiheit und das Recht, die eigenen Preise und Löhne festzulegen</w:t>
            </w:r>
            <w:r>
              <w:rPr>
                <w:sz w:val="20"/>
                <w:szCs w:val="20"/>
                <w:lang w:eastAsia="de-DE"/>
              </w:rPr>
              <w:t>.</w:t>
            </w:r>
            <w:r>
              <w:rPr>
                <w:rStyle w:val="Funotenzeichen"/>
                <w:sz w:val="20"/>
                <w:szCs w:val="20"/>
                <w:lang w:eastAsia="de-DE"/>
              </w:rPr>
              <w:footnoteReference w:id="666"/>
            </w:r>
            <w:r w:rsidRPr="00CF31CB">
              <w:rPr>
                <w:sz w:val="20"/>
                <w:szCs w:val="20"/>
                <w:lang w:eastAsia="de-DE"/>
              </w:rPr>
              <w:t xml:space="preserve"> </w:t>
            </w:r>
            <w:r>
              <w:rPr>
                <w:sz w:val="20"/>
                <w:szCs w:val="20"/>
                <w:lang w:eastAsia="de-DE"/>
              </w:rPr>
              <w:t xml:space="preserve">Dazu vertrat </w:t>
            </w:r>
            <w:r w:rsidRPr="009E57E1">
              <w:rPr>
                <w:i/>
                <w:sz w:val="20"/>
                <w:szCs w:val="20"/>
                <w:lang w:eastAsia="de-DE"/>
              </w:rPr>
              <w:t>Meyer v. Nebraska</w:t>
            </w:r>
            <w:r>
              <w:rPr>
                <w:rStyle w:val="Funotenzeichen"/>
                <w:sz w:val="20"/>
                <w:szCs w:val="20"/>
                <w:lang w:eastAsia="de-DE"/>
              </w:rPr>
              <w:footnoteReference w:id="667"/>
            </w:r>
            <w:r w:rsidRPr="00CF31CB">
              <w:rPr>
                <w:sz w:val="20"/>
                <w:szCs w:val="20"/>
                <w:lang w:eastAsia="de-DE"/>
              </w:rPr>
              <w:t xml:space="preserve"> eine charakteristisch breite Auffassung </w:t>
            </w:r>
            <w:r>
              <w:rPr>
                <w:sz w:val="20"/>
                <w:szCs w:val="20"/>
                <w:lang w:eastAsia="de-DE"/>
              </w:rPr>
              <w:t xml:space="preserve">vom Begriff </w:t>
            </w:r>
            <w:r w:rsidRPr="00CF31CB">
              <w:rPr>
                <w:sz w:val="20"/>
                <w:szCs w:val="20"/>
                <w:lang w:eastAsia="de-DE"/>
              </w:rPr>
              <w:t>Freiheit</w:t>
            </w:r>
            <w:r>
              <w:rPr>
                <w:sz w:val="20"/>
                <w:szCs w:val="20"/>
                <w:lang w:eastAsia="de-DE"/>
              </w:rPr>
              <w:t>, der sich konkretisiert anhand der Bedingungen,</w:t>
            </w:r>
            <w:r>
              <w:rPr>
                <w:rStyle w:val="Funotenzeichen"/>
                <w:sz w:val="20"/>
                <w:szCs w:val="20"/>
                <w:lang w:eastAsia="de-DE"/>
              </w:rPr>
              <w:footnoteReference w:id="668"/>
            </w:r>
            <w:r>
              <w:rPr>
                <w:sz w:val="20"/>
                <w:szCs w:val="20"/>
                <w:lang w:eastAsia="de-DE"/>
              </w:rPr>
              <w:t xml:space="preserve"> die</w:t>
            </w:r>
            <w:r w:rsidRPr="00A87520">
              <w:rPr>
                <w:sz w:val="20"/>
                <w:szCs w:val="20"/>
                <w:lang w:eastAsia="de-DE"/>
              </w:rPr>
              <w:t xml:space="preserve"> wesentlich für das geordnete Streben freier Menschen nach Glück </w:t>
            </w:r>
            <w:r>
              <w:rPr>
                <w:sz w:val="20"/>
                <w:szCs w:val="20"/>
                <w:lang w:eastAsia="de-DE"/>
              </w:rPr>
              <w:t>sind („</w:t>
            </w:r>
            <w:proofErr w:type="spellStart"/>
            <w:r>
              <w:rPr>
                <w:sz w:val="20"/>
                <w:szCs w:val="20"/>
                <w:lang w:eastAsia="de-DE"/>
              </w:rPr>
              <w:t>g</w:t>
            </w:r>
            <w:r w:rsidRPr="00A87520">
              <w:rPr>
                <w:sz w:val="20"/>
                <w:szCs w:val="20"/>
                <w:lang w:eastAsia="de-DE"/>
              </w:rPr>
              <w:t>enerally</w:t>
            </w:r>
            <w:proofErr w:type="spellEnd"/>
            <w:r w:rsidRPr="00A87520">
              <w:rPr>
                <w:sz w:val="20"/>
                <w:szCs w:val="20"/>
                <w:lang w:eastAsia="de-DE"/>
              </w:rPr>
              <w:t xml:space="preserve"> to </w:t>
            </w:r>
            <w:proofErr w:type="spellStart"/>
            <w:r w:rsidRPr="00A87520">
              <w:rPr>
                <w:sz w:val="20"/>
                <w:szCs w:val="20"/>
                <w:lang w:eastAsia="de-DE"/>
              </w:rPr>
              <w:t>enjoy</w:t>
            </w:r>
            <w:proofErr w:type="spellEnd"/>
            <w:r w:rsidRPr="00A87520">
              <w:rPr>
                <w:sz w:val="20"/>
                <w:szCs w:val="20"/>
                <w:lang w:eastAsia="de-DE"/>
              </w:rPr>
              <w:t xml:space="preserve"> </w:t>
            </w:r>
            <w:proofErr w:type="spellStart"/>
            <w:r w:rsidRPr="00A87520">
              <w:rPr>
                <w:sz w:val="20"/>
                <w:szCs w:val="20"/>
                <w:lang w:eastAsia="de-DE"/>
              </w:rPr>
              <w:t>those</w:t>
            </w:r>
            <w:proofErr w:type="spellEnd"/>
            <w:r w:rsidRPr="00A87520">
              <w:rPr>
                <w:sz w:val="20"/>
                <w:szCs w:val="20"/>
                <w:lang w:eastAsia="de-DE"/>
              </w:rPr>
              <w:t xml:space="preserve"> </w:t>
            </w:r>
            <w:proofErr w:type="spellStart"/>
            <w:r w:rsidRPr="00A87520">
              <w:rPr>
                <w:sz w:val="20"/>
                <w:szCs w:val="20"/>
                <w:lang w:eastAsia="de-DE"/>
              </w:rPr>
              <w:t>privileges</w:t>
            </w:r>
            <w:proofErr w:type="spellEnd"/>
            <w:r w:rsidRPr="00A87520">
              <w:rPr>
                <w:sz w:val="20"/>
                <w:szCs w:val="20"/>
                <w:lang w:eastAsia="de-DE"/>
              </w:rPr>
              <w:t xml:space="preserve"> </w:t>
            </w:r>
            <w:proofErr w:type="spellStart"/>
            <w:r w:rsidRPr="00A87520">
              <w:rPr>
                <w:sz w:val="20"/>
                <w:szCs w:val="20"/>
                <w:lang w:eastAsia="de-DE"/>
              </w:rPr>
              <w:t>long</w:t>
            </w:r>
            <w:proofErr w:type="spellEnd"/>
            <w:r w:rsidRPr="00A87520">
              <w:rPr>
                <w:sz w:val="20"/>
                <w:szCs w:val="20"/>
                <w:lang w:eastAsia="de-DE"/>
              </w:rPr>
              <w:t xml:space="preserve"> </w:t>
            </w:r>
            <w:proofErr w:type="spellStart"/>
            <w:r w:rsidRPr="00A87520">
              <w:rPr>
                <w:sz w:val="20"/>
                <w:szCs w:val="20"/>
                <w:lang w:eastAsia="de-DE"/>
              </w:rPr>
              <w:t>recognized</w:t>
            </w:r>
            <w:proofErr w:type="spellEnd"/>
            <w:r w:rsidRPr="00A87520">
              <w:rPr>
                <w:sz w:val="20"/>
                <w:szCs w:val="20"/>
                <w:lang w:eastAsia="de-DE"/>
              </w:rPr>
              <w:t xml:space="preserve"> at </w:t>
            </w:r>
            <w:proofErr w:type="spellStart"/>
            <w:r w:rsidRPr="00A87520">
              <w:rPr>
                <w:sz w:val="20"/>
                <w:szCs w:val="20"/>
                <w:lang w:eastAsia="de-DE"/>
              </w:rPr>
              <w:t>common</w:t>
            </w:r>
            <w:proofErr w:type="spellEnd"/>
            <w:r w:rsidRPr="00A87520">
              <w:rPr>
                <w:sz w:val="20"/>
                <w:szCs w:val="20"/>
                <w:lang w:eastAsia="de-DE"/>
              </w:rPr>
              <w:t xml:space="preserve"> </w:t>
            </w:r>
            <w:proofErr w:type="spellStart"/>
            <w:r w:rsidRPr="00A87520">
              <w:rPr>
                <w:sz w:val="20"/>
                <w:szCs w:val="20"/>
                <w:lang w:eastAsia="de-DE"/>
              </w:rPr>
              <w:t>law</w:t>
            </w:r>
            <w:proofErr w:type="spellEnd"/>
            <w:r w:rsidRPr="00A87520">
              <w:rPr>
                <w:sz w:val="20"/>
                <w:szCs w:val="20"/>
                <w:lang w:eastAsia="de-DE"/>
              </w:rPr>
              <w:t xml:space="preserve"> as essential to the </w:t>
            </w:r>
            <w:proofErr w:type="spellStart"/>
            <w:r w:rsidRPr="00A87520">
              <w:rPr>
                <w:sz w:val="20"/>
                <w:szCs w:val="20"/>
                <w:lang w:eastAsia="de-DE"/>
              </w:rPr>
              <w:t>orderly</w:t>
            </w:r>
            <w:proofErr w:type="spellEnd"/>
            <w:r w:rsidRPr="00A87520">
              <w:rPr>
                <w:sz w:val="20"/>
                <w:szCs w:val="20"/>
                <w:lang w:eastAsia="de-DE"/>
              </w:rPr>
              <w:t xml:space="preserve"> </w:t>
            </w:r>
            <w:proofErr w:type="spellStart"/>
            <w:r w:rsidRPr="00A87520">
              <w:rPr>
                <w:sz w:val="20"/>
                <w:szCs w:val="20"/>
                <w:lang w:eastAsia="de-DE"/>
              </w:rPr>
              <w:t>pursuit</w:t>
            </w:r>
            <w:proofErr w:type="spellEnd"/>
            <w:r w:rsidRPr="00A87520">
              <w:rPr>
                <w:sz w:val="20"/>
                <w:szCs w:val="20"/>
                <w:lang w:eastAsia="de-DE"/>
              </w:rPr>
              <w:t xml:space="preserve"> of </w:t>
            </w:r>
            <w:proofErr w:type="spellStart"/>
            <w:r w:rsidRPr="00A87520">
              <w:rPr>
                <w:sz w:val="20"/>
                <w:szCs w:val="20"/>
                <w:lang w:eastAsia="de-DE"/>
              </w:rPr>
              <w:t>happiness</w:t>
            </w:r>
            <w:proofErr w:type="spellEnd"/>
            <w:r w:rsidRPr="00A87520">
              <w:rPr>
                <w:sz w:val="20"/>
                <w:szCs w:val="20"/>
                <w:lang w:eastAsia="de-DE"/>
              </w:rPr>
              <w:t xml:space="preserve"> by </w:t>
            </w:r>
            <w:proofErr w:type="spellStart"/>
            <w:r w:rsidRPr="00A87520">
              <w:rPr>
                <w:sz w:val="20"/>
                <w:szCs w:val="20"/>
                <w:lang w:eastAsia="de-DE"/>
              </w:rPr>
              <w:t>free</w:t>
            </w:r>
            <w:proofErr w:type="spellEnd"/>
            <w:r w:rsidRPr="00A87520">
              <w:rPr>
                <w:sz w:val="20"/>
                <w:szCs w:val="20"/>
                <w:lang w:eastAsia="de-DE"/>
              </w:rPr>
              <w:t xml:space="preserve"> </w:t>
            </w:r>
            <w:proofErr w:type="spellStart"/>
            <w:r w:rsidRPr="00A87520">
              <w:rPr>
                <w:sz w:val="20"/>
                <w:szCs w:val="20"/>
                <w:lang w:eastAsia="de-DE"/>
              </w:rPr>
              <w:t>men</w:t>
            </w:r>
            <w:proofErr w:type="spellEnd"/>
            <w:r>
              <w:rPr>
                <w:sz w:val="20"/>
                <w:szCs w:val="20"/>
                <w:lang w:eastAsia="de-DE"/>
              </w:rPr>
              <w:t>“</w:t>
            </w:r>
            <w:r>
              <w:rPr>
                <w:rStyle w:val="Funotenzeichen"/>
                <w:sz w:val="20"/>
                <w:szCs w:val="20"/>
                <w:lang w:eastAsia="de-DE"/>
              </w:rPr>
              <w:footnoteReference w:id="669"/>
            </w:r>
            <w:r>
              <w:rPr>
                <w:sz w:val="20"/>
                <w:szCs w:val="20"/>
                <w:lang w:eastAsia="de-DE"/>
              </w:rPr>
              <w:t xml:space="preserve">). </w:t>
            </w:r>
            <w:r w:rsidRPr="00E50B51">
              <w:rPr>
                <w:sz w:val="20"/>
                <w:szCs w:val="20"/>
                <w:lang w:eastAsia="de-DE"/>
              </w:rPr>
              <w:t xml:space="preserve">Zum Beispiel der Schutz der familienbezogenen Grundrechte falle unter die allgemeinen Freiheitsdimensionen. Er sei </w:t>
            </w:r>
            <w:r>
              <w:rPr>
                <w:sz w:val="20"/>
                <w:szCs w:val="20"/>
                <w:lang w:eastAsia="de-DE"/>
              </w:rPr>
              <w:t xml:space="preserve">so wenig </w:t>
            </w:r>
            <w:r w:rsidRPr="00E50B51">
              <w:rPr>
                <w:sz w:val="20"/>
                <w:szCs w:val="20"/>
                <w:lang w:eastAsia="de-DE"/>
              </w:rPr>
              <w:t xml:space="preserve">einzuschränken wie spezifischeren Bestimmungen der </w:t>
            </w:r>
            <w:r w:rsidRPr="00A142D9">
              <w:rPr>
                <w:i/>
                <w:sz w:val="20"/>
                <w:szCs w:val="20"/>
                <w:lang w:eastAsia="de-DE"/>
              </w:rPr>
              <w:t>Bill of Rights</w:t>
            </w:r>
            <w:r w:rsidRPr="00E50B51">
              <w:rPr>
                <w:sz w:val="20"/>
                <w:szCs w:val="20"/>
                <w:lang w:eastAsia="de-DE"/>
              </w:rPr>
              <w:t xml:space="preserve">. Das </w:t>
            </w:r>
            <w:r>
              <w:rPr>
                <w:sz w:val="20"/>
                <w:szCs w:val="20"/>
                <w:lang w:eastAsia="de-DE"/>
              </w:rPr>
              <w:t>gelte</w:t>
            </w:r>
            <w:r w:rsidRPr="00E50B51">
              <w:rPr>
                <w:sz w:val="20"/>
                <w:szCs w:val="20"/>
                <w:lang w:eastAsia="de-DE"/>
              </w:rPr>
              <w:t xml:space="preserve"> vor allem</w:t>
            </w:r>
            <w:r>
              <w:rPr>
                <w:sz w:val="20"/>
                <w:szCs w:val="20"/>
                <w:lang w:eastAsia="de-DE"/>
              </w:rPr>
              <w:t xml:space="preserve"> dann</w:t>
            </w:r>
            <w:r w:rsidRPr="00E50B51">
              <w:rPr>
                <w:sz w:val="20"/>
                <w:szCs w:val="20"/>
                <w:lang w:eastAsia="de-DE"/>
              </w:rPr>
              <w:t>, wenn die Kernfamilie („</w:t>
            </w:r>
            <w:proofErr w:type="spellStart"/>
            <w:r w:rsidRPr="00E50B51">
              <w:rPr>
                <w:sz w:val="20"/>
                <w:szCs w:val="20"/>
                <w:lang w:eastAsia="de-DE"/>
              </w:rPr>
              <w:t>nuclear</w:t>
            </w:r>
            <w:proofErr w:type="spellEnd"/>
            <w:r w:rsidRPr="00E50B51">
              <w:rPr>
                <w:sz w:val="20"/>
                <w:szCs w:val="20"/>
                <w:lang w:eastAsia="de-DE"/>
              </w:rPr>
              <w:t xml:space="preserve"> </w:t>
            </w:r>
            <w:proofErr w:type="spellStart"/>
            <w:r w:rsidRPr="00E50B51">
              <w:rPr>
                <w:sz w:val="20"/>
                <w:szCs w:val="20"/>
                <w:lang w:eastAsia="de-DE"/>
              </w:rPr>
              <w:t>family</w:t>
            </w:r>
            <w:proofErr w:type="spellEnd"/>
            <w:r w:rsidRPr="00E50B51">
              <w:rPr>
                <w:sz w:val="20"/>
                <w:szCs w:val="20"/>
                <w:lang w:eastAsia="de-DE"/>
              </w:rPr>
              <w:t>“</w:t>
            </w:r>
            <w:r w:rsidRPr="00E50B51">
              <w:rPr>
                <w:rStyle w:val="Funotenzeichen"/>
                <w:rFonts w:eastAsiaTheme="majorEastAsia"/>
                <w:sz w:val="20"/>
                <w:szCs w:val="20"/>
                <w:lang w:eastAsia="de-DE"/>
              </w:rPr>
              <w:t xml:space="preserve"> </w:t>
            </w:r>
            <w:r w:rsidRPr="00E50B51">
              <w:rPr>
                <w:rStyle w:val="Funotenzeichen"/>
                <w:rFonts w:eastAsiaTheme="majorEastAsia"/>
                <w:sz w:val="20"/>
                <w:szCs w:val="20"/>
                <w:lang w:eastAsia="de-DE"/>
              </w:rPr>
              <w:footnoteReference w:id="670"/>
            </w:r>
            <w:r w:rsidRPr="00E50B51">
              <w:rPr>
                <w:sz w:val="20"/>
                <w:szCs w:val="20"/>
                <w:lang w:eastAsia="de-DE"/>
              </w:rPr>
              <w:t xml:space="preserve">) betroffen sei. Um diese zu bestimmen, zitierte der </w:t>
            </w:r>
            <w:r>
              <w:rPr>
                <w:sz w:val="20"/>
                <w:szCs w:val="20"/>
                <w:lang w:eastAsia="de-DE"/>
              </w:rPr>
              <w:t>U.S. Supreme Court</w:t>
            </w:r>
            <w:r w:rsidRPr="00E50B51">
              <w:rPr>
                <w:sz w:val="20"/>
                <w:szCs w:val="20"/>
                <w:lang w:eastAsia="de-DE"/>
              </w:rPr>
              <w:t xml:space="preserve"> </w:t>
            </w:r>
            <w:r>
              <w:rPr>
                <w:sz w:val="20"/>
                <w:szCs w:val="20"/>
                <w:lang w:eastAsia="de-DE"/>
              </w:rPr>
              <w:t>u.a.</w:t>
            </w:r>
            <w:r w:rsidRPr="00E50B51">
              <w:rPr>
                <w:sz w:val="20"/>
                <w:szCs w:val="20"/>
                <w:lang w:eastAsia="de-DE"/>
              </w:rPr>
              <w:t xml:space="preserve"> </w:t>
            </w:r>
            <w:r w:rsidRPr="009167A5">
              <w:rPr>
                <w:i/>
                <w:sz w:val="20"/>
                <w:szCs w:val="20"/>
                <w:lang w:eastAsia="de-DE"/>
              </w:rPr>
              <w:t>Griswold v. Connecticut</w:t>
            </w:r>
            <w:r w:rsidRPr="00E50B51">
              <w:rPr>
                <w:rStyle w:val="Funotenzeichen"/>
                <w:rFonts w:eastAsiaTheme="majorEastAsia"/>
                <w:sz w:val="20"/>
                <w:szCs w:val="20"/>
                <w:lang w:eastAsia="de-DE"/>
              </w:rPr>
              <w:footnoteReference w:id="671"/>
            </w:r>
            <w:r w:rsidRPr="00E50B51">
              <w:rPr>
                <w:sz w:val="20"/>
                <w:szCs w:val="20"/>
                <w:lang w:eastAsia="de-DE"/>
              </w:rPr>
              <w:t xml:space="preserve"> und </w:t>
            </w:r>
            <w:r w:rsidRPr="00B45592">
              <w:rPr>
                <w:i/>
                <w:sz w:val="20"/>
                <w:szCs w:val="20"/>
                <w:lang w:eastAsia="de-DE"/>
              </w:rPr>
              <w:t>Ingraham v. Wright</w:t>
            </w:r>
            <w:r w:rsidRPr="00E50B51">
              <w:rPr>
                <w:rStyle w:val="Funotenzeichen"/>
                <w:rFonts w:eastAsiaTheme="majorEastAsia"/>
                <w:sz w:val="20"/>
                <w:szCs w:val="20"/>
                <w:lang w:eastAsia="de-DE"/>
              </w:rPr>
              <w:footnoteReference w:id="672"/>
            </w:r>
            <w:r w:rsidRPr="00E50B51">
              <w:rPr>
                <w:sz w:val="20"/>
                <w:szCs w:val="20"/>
                <w:lang w:eastAsia="de-DE"/>
              </w:rPr>
              <w:t xml:space="preserve">, die den Schutz der Familie als Freiheitsdimension darstellen, die sich als Bedingung für Glücksstreben </w:t>
            </w:r>
            <w:r>
              <w:rPr>
                <w:sz w:val="20"/>
                <w:szCs w:val="20"/>
                <w:lang w:eastAsia="de-DE"/>
              </w:rPr>
              <w:t>bildet</w:t>
            </w:r>
            <w:r w:rsidRPr="00E50B51">
              <w:rPr>
                <w:sz w:val="20"/>
                <w:szCs w:val="20"/>
                <w:lang w:eastAsia="de-DE"/>
              </w:rPr>
              <w:t>.</w:t>
            </w:r>
          </w:p>
          <w:p w14:paraId="203BA7CE" w14:textId="77777777" w:rsidR="00074551" w:rsidRPr="00E50B51" w:rsidRDefault="00074551" w:rsidP="00367133">
            <w:pPr>
              <w:jc w:val="both"/>
              <w:rPr>
                <w:sz w:val="20"/>
                <w:szCs w:val="20"/>
              </w:rPr>
            </w:pPr>
          </w:p>
        </w:tc>
      </w:tr>
      <w:tr w:rsidR="00074551" w:rsidRPr="00E50B51" w14:paraId="5A8B0BA5" w14:textId="77777777" w:rsidTr="00BE689F">
        <w:trPr>
          <w:cantSplit/>
          <w:trHeight w:val="3175"/>
        </w:trPr>
        <w:tc>
          <w:tcPr>
            <w:tcW w:w="293" w:type="pct"/>
          </w:tcPr>
          <w:p w14:paraId="6793EB60"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30B9A12F" w14:textId="77777777" w:rsidR="00074551" w:rsidRPr="00E50B51" w:rsidRDefault="00074551" w:rsidP="00367133">
            <w:pPr>
              <w:ind w:left="113" w:right="416"/>
              <w:jc w:val="both"/>
              <w:rPr>
                <w:sz w:val="20"/>
                <w:szCs w:val="20"/>
              </w:rPr>
            </w:pPr>
            <w:r w:rsidRPr="009167A5">
              <w:rPr>
                <w:i/>
                <w:sz w:val="20"/>
                <w:szCs w:val="20"/>
                <w:lang w:eastAsia="de-DE"/>
              </w:rPr>
              <w:t>Obergefell v. Hodges</w:t>
            </w:r>
          </w:p>
        </w:tc>
        <w:tc>
          <w:tcPr>
            <w:tcW w:w="197" w:type="pct"/>
            <w:textDirection w:val="tbRl"/>
            <w:vAlign w:val="center"/>
          </w:tcPr>
          <w:p w14:paraId="5C6963B6" w14:textId="77777777" w:rsidR="00074551" w:rsidRPr="00E50B51" w:rsidRDefault="00074551" w:rsidP="00367133">
            <w:pPr>
              <w:ind w:left="113" w:right="113"/>
              <w:jc w:val="both"/>
              <w:rPr>
                <w:sz w:val="20"/>
                <w:szCs w:val="20"/>
              </w:rPr>
            </w:pPr>
            <w:r w:rsidRPr="00E50B51">
              <w:rPr>
                <w:sz w:val="20"/>
                <w:szCs w:val="20"/>
                <w:lang w:val="en-US"/>
              </w:rPr>
              <w:t>576 U.S. 644</w:t>
            </w:r>
          </w:p>
        </w:tc>
        <w:tc>
          <w:tcPr>
            <w:tcW w:w="306" w:type="pct"/>
            <w:textDirection w:val="tbRl"/>
            <w:vAlign w:val="center"/>
          </w:tcPr>
          <w:p w14:paraId="52231C93" w14:textId="77777777" w:rsidR="00074551" w:rsidRPr="00E50B51" w:rsidRDefault="00074551" w:rsidP="00367133">
            <w:pPr>
              <w:ind w:left="113" w:right="113"/>
              <w:jc w:val="both"/>
              <w:rPr>
                <w:sz w:val="20"/>
                <w:szCs w:val="20"/>
              </w:rPr>
            </w:pPr>
            <w:r w:rsidRPr="00E50B51">
              <w:rPr>
                <w:sz w:val="20"/>
                <w:szCs w:val="20"/>
              </w:rPr>
              <w:t>26. Januar 2015</w:t>
            </w:r>
          </w:p>
        </w:tc>
        <w:tc>
          <w:tcPr>
            <w:tcW w:w="401" w:type="pct"/>
          </w:tcPr>
          <w:p w14:paraId="280C1CFA" w14:textId="77777777" w:rsidR="00074551" w:rsidRPr="00E50B51" w:rsidRDefault="00074551" w:rsidP="00367133">
            <w:pPr>
              <w:jc w:val="center"/>
              <w:rPr>
                <w:sz w:val="20"/>
                <w:szCs w:val="20"/>
              </w:rPr>
            </w:pPr>
            <w:r w:rsidRPr="00E50B51">
              <w:rPr>
                <w:sz w:val="20"/>
                <w:szCs w:val="20"/>
              </w:rPr>
              <w:t>M</w:t>
            </w:r>
          </w:p>
        </w:tc>
        <w:tc>
          <w:tcPr>
            <w:tcW w:w="1594" w:type="pct"/>
          </w:tcPr>
          <w:p w14:paraId="73C07A09" w14:textId="0DC72FAE" w:rsidR="00074551" w:rsidRPr="00E50B51" w:rsidRDefault="00074551" w:rsidP="00367133">
            <w:pPr>
              <w:jc w:val="both"/>
              <w:rPr>
                <w:sz w:val="20"/>
                <w:szCs w:val="20"/>
              </w:rPr>
            </w:pPr>
            <w:r w:rsidRPr="00E50B51">
              <w:rPr>
                <w:sz w:val="20"/>
                <w:szCs w:val="20"/>
              </w:rPr>
              <w:t xml:space="preserve">Im Fall urteilte der </w:t>
            </w:r>
            <w:r>
              <w:rPr>
                <w:sz w:val="20"/>
                <w:szCs w:val="20"/>
              </w:rPr>
              <w:t>U.S. Supreme Court</w:t>
            </w:r>
            <w:r w:rsidRPr="00E50B51">
              <w:rPr>
                <w:sz w:val="20"/>
                <w:szCs w:val="20"/>
              </w:rPr>
              <w:t xml:space="preserve">, gleichgeschlechtliche Paare </w:t>
            </w:r>
            <w:r>
              <w:rPr>
                <w:sz w:val="20"/>
                <w:szCs w:val="20"/>
              </w:rPr>
              <w:t>hätten</w:t>
            </w:r>
            <w:r w:rsidRPr="00E50B51">
              <w:rPr>
                <w:sz w:val="20"/>
                <w:szCs w:val="20"/>
              </w:rPr>
              <w:t xml:space="preserve"> gemäß der </w:t>
            </w:r>
            <w:r w:rsidRPr="00B45592">
              <w:rPr>
                <w:i/>
                <w:sz w:val="20"/>
                <w:szCs w:val="20"/>
              </w:rPr>
              <w:t xml:space="preserve">Due </w:t>
            </w:r>
            <w:proofErr w:type="spellStart"/>
            <w:r w:rsidRPr="00B45592">
              <w:rPr>
                <w:i/>
                <w:sz w:val="20"/>
                <w:szCs w:val="20"/>
              </w:rPr>
              <w:t>Process</w:t>
            </w:r>
            <w:proofErr w:type="spellEnd"/>
            <w:r w:rsidRPr="00E50B51">
              <w:rPr>
                <w:sz w:val="20"/>
                <w:szCs w:val="20"/>
              </w:rPr>
              <w:t xml:space="preserve"> und </w:t>
            </w:r>
            <w:proofErr w:type="spellStart"/>
            <w:r w:rsidRPr="00A142D9">
              <w:rPr>
                <w:i/>
                <w:sz w:val="20"/>
                <w:szCs w:val="20"/>
              </w:rPr>
              <w:t>Equal</w:t>
            </w:r>
            <w:proofErr w:type="spellEnd"/>
            <w:r w:rsidRPr="00A142D9">
              <w:rPr>
                <w:i/>
                <w:sz w:val="20"/>
                <w:szCs w:val="20"/>
              </w:rPr>
              <w:t xml:space="preserve"> </w:t>
            </w:r>
            <w:proofErr w:type="spellStart"/>
            <w:r w:rsidRPr="00A142D9">
              <w:rPr>
                <w:i/>
                <w:sz w:val="20"/>
                <w:szCs w:val="20"/>
              </w:rPr>
              <w:t>Protection</w:t>
            </w:r>
            <w:proofErr w:type="spellEnd"/>
            <w:r w:rsidRPr="00A142D9">
              <w:rPr>
                <w:i/>
                <w:sz w:val="20"/>
                <w:szCs w:val="20"/>
              </w:rPr>
              <w:t xml:space="preserve"> </w:t>
            </w:r>
            <w:proofErr w:type="spellStart"/>
            <w:r w:rsidRPr="00A142D9">
              <w:rPr>
                <w:i/>
                <w:sz w:val="20"/>
                <w:szCs w:val="20"/>
              </w:rPr>
              <w:t>Clause</w:t>
            </w:r>
            <w:r w:rsidRPr="00E50B51">
              <w:rPr>
                <w:sz w:val="20"/>
                <w:szCs w:val="20"/>
              </w:rPr>
              <w:t>s</w:t>
            </w:r>
            <w:proofErr w:type="spellEnd"/>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ein Grundrecht („fundamental </w:t>
            </w:r>
            <w:proofErr w:type="spellStart"/>
            <w:r w:rsidRPr="00E50B51">
              <w:rPr>
                <w:sz w:val="20"/>
                <w:szCs w:val="20"/>
              </w:rPr>
              <w:t>right</w:t>
            </w:r>
            <w:proofErr w:type="spellEnd"/>
            <w:r w:rsidRPr="00E50B51">
              <w:rPr>
                <w:sz w:val="20"/>
                <w:szCs w:val="20"/>
              </w:rPr>
              <w:t> “</w:t>
            </w:r>
            <w:r w:rsidRPr="00E50B51">
              <w:rPr>
                <w:rStyle w:val="Funotenzeichen"/>
                <w:rFonts w:eastAsiaTheme="majorEastAsia"/>
                <w:sz w:val="20"/>
                <w:szCs w:val="20"/>
              </w:rPr>
              <w:footnoteReference w:id="673"/>
            </w:r>
            <w:r w:rsidRPr="00E50B51">
              <w:rPr>
                <w:sz w:val="20"/>
                <w:szCs w:val="20"/>
              </w:rPr>
              <w:t>) auf Eheschließung.</w:t>
            </w:r>
            <w:r w:rsidRPr="00E50B51">
              <w:rPr>
                <w:rStyle w:val="Funotenzeichen"/>
                <w:rFonts w:eastAsiaTheme="majorEastAsia"/>
                <w:sz w:val="20"/>
                <w:szCs w:val="20"/>
              </w:rPr>
              <w:footnoteReference w:id="674"/>
            </w:r>
            <w:r w:rsidRPr="00E50B51">
              <w:rPr>
                <w:sz w:val="20"/>
                <w:szCs w:val="20"/>
              </w:rPr>
              <w:t xml:space="preserve"> Rechtsprechung</w:t>
            </w:r>
            <w:r>
              <w:rPr>
                <w:rStyle w:val="Funotenzeichen"/>
                <w:sz w:val="20"/>
                <w:szCs w:val="20"/>
              </w:rPr>
              <w:footnoteReference w:id="675"/>
            </w:r>
            <w:r w:rsidRPr="00E50B51">
              <w:rPr>
                <w:sz w:val="20"/>
                <w:szCs w:val="20"/>
              </w:rPr>
              <w:t xml:space="preserve"> und Gesetze</w:t>
            </w:r>
            <w:r>
              <w:rPr>
                <w:rStyle w:val="Funotenzeichen"/>
                <w:sz w:val="20"/>
                <w:szCs w:val="20"/>
              </w:rPr>
              <w:footnoteReference w:id="676"/>
            </w:r>
            <w:r w:rsidRPr="00E50B51">
              <w:rPr>
                <w:sz w:val="20"/>
                <w:szCs w:val="20"/>
              </w:rPr>
              <w:t xml:space="preserve"> seien verfassungswidrig, soweit sie dem </w:t>
            </w:r>
            <w:r>
              <w:rPr>
                <w:sz w:val="20"/>
                <w:szCs w:val="20"/>
              </w:rPr>
              <w:t>entgegenstünden</w:t>
            </w:r>
            <w:r w:rsidRPr="00E50B51">
              <w:rPr>
                <w:sz w:val="20"/>
                <w:szCs w:val="20"/>
              </w:rPr>
              <w:t>.</w:t>
            </w:r>
            <w:r w:rsidRPr="00E50B51">
              <w:rPr>
                <w:rStyle w:val="Funotenzeichen"/>
                <w:rFonts w:eastAsiaTheme="majorEastAsia"/>
                <w:sz w:val="20"/>
                <w:szCs w:val="20"/>
              </w:rPr>
              <w:footnoteReference w:id="677"/>
            </w:r>
          </w:p>
          <w:p w14:paraId="3A169598" w14:textId="77777777" w:rsidR="00074551" w:rsidRPr="00E50B51" w:rsidRDefault="00074551" w:rsidP="00367133">
            <w:pPr>
              <w:jc w:val="both"/>
              <w:rPr>
                <w:sz w:val="20"/>
                <w:szCs w:val="20"/>
              </w:rPr>
            </w:pPr>
          </w:p>
        </w:tc>
        <w:tc>
          <w:tcPr>
            <w:tcW w:w="1822" w:type="pct"/>
          </w:tcPr>
          <w:p w14:paraId="0F75B878" w14:textId="2A9B1C65" w:rsidR="00074551" w:rsidRPr="00E50B51" w:rsidRDefault="00074551" w:rsidP="00367133">
            <w:pPr>
              <w:jc w:val="both"/>
              <w:rPr>
                <w:sz w:val="20"/>
                <w:szCs w:val="20"/>
                <w:lang w:eastAsia="de-DE"/>
              </w:rPr>
            </w:pPr>
            <w:r w:rsidRPr="00E50B51">
              <w:rPr>
                <w:sz w:val="20"/>
                <w:szCs w:val="20"/>
                <w:lang w:eastAsia="de-DE"/>
              </w:rPr>
              <w:t xml:space="preserve">Die Judikative sei dazu verpflichtet, den Schutzbereich von Grundrechten zu ermitteln, um der </w:t>
            </w:r>
            <w:r>
              <w:rPr>
                <w:sz w:val="20"/>
                <w:szCs w:val="20"/>
                <w:lang w:eastAsia="de-DE"/>
              </w:rPr>
              <w:t>U.S.</w:t>
            </w:r>
            <w:r w:rsidRPr="00E50B51">
              <w:rPr>
                <w:sz w:val="20"/>
                <w:szCs w:val="20"/>
                <w:lang w:eastAsia="de-DE"/>
              </w:rPr>
              <w:t xml:space="preserve"> </w:t>
            </w:r>
            <w:proofErr w:type="spellStart"/>
            <w:r w:rsidRPr="00E50B51">
              <w:rPr>
                <w:sz w:val="20"/>
                <w:szCs w:val="20"/>
                <w:lang w:eastAsia="de-DE"/>
              </w:rPr>
              <w:t>Const</w:t>
            </w:r>
            <w:proofErr w:type="spellEnd"/>
            <w:r w:rsidRPr="00E50B51">
              <w:rPr>
                <w:sz w:val="20"/>
                <w:szCs w:val="20"/>
                <w:lang w:eastAsia="de-DE"/>
              </w:rPr>
              <w:t>. zur Geltung zu verhelfen. Um diesen Schutzbereich zu ermitteln, besteh</w:t>
            </w:r>
            <w:r>
              <w:rPr>
                <w:sz w:val="20"/>
                <w:szCs w:val="20"/>
                <w:lang w:eastAsia="de-DE"/>
              </w:rPr>
              <w:t>e</w:t>
            </w:r>
            <w:r w:rsidRPr="00E50B51">
              <w:rPr>
                <w:sz w:val="20"/>
                <w:szCs w:val="20"/>
                <w:lang w:eastAsia="de-DE"/>
              </w:rPr>
              <w:t xml:space="preserve"> indes keine </w:t>
            </w:r>
            <w:r>
              <w:rPr>
                <w:sz w:val="20"/>
                <w:szCs w:val="20"/>
                <w:lang w:eastAsia="de-DE"/>
              </w:rPr>
              <w:t xml:space="preserve">absolute </w:t>
            </w:r>
            <w:r w:rsidRPr="00E50B51">
              <w:rPr>
                <w:sz w:val="20"/>
                <w:szCs w:val="20"/>
                <w:lang w:eastAsia="de-DE"/>
              </w:rPr>
              <w:t>Formel.</w:t>
            </w:r>
            <w:r w:rsidRPr="00E50B51">
              <w:rPr>
                <w:rStyle w:val="Funotenzeichen"/>
                <w:rFonts w:eastAsiaTheme="majorEastAsia"/>
                <w:sz w:val="20"/>
                <w:szCs w:val="20"/>
                <w:lang w:eastAsia="de-DE"/>
              </w:rPr>
              <w:footnoteReference w:id="678"/>
            </w:r>
            <w:r w:rsidRPr="00E50B51">
              <w:rPr>
                <w:sz w:val="20"/>
                <w:szCs w:val="20"/>
                <w:lang w:eastAsia="de-DE"/>
              </w:rPr>
              <w:t xml:space="preserve"> Vielmehr </w:t>
            </w:r>
            <w:r>
              <w:rPr>
                <w:sz w:val="20"/>
                <w:szCs w:val="20"/>
                <w:lang w:eastAsia="de-DE"/>
              </w:rPr>
              <w:t>ergebe</w:t>
            </w:r>
            <w:r w:rsidRPr="00E50B51">
              <w:rPr>
                <w:sz w:val="20"/>
                <w:szCs w:val="20"/>
                <w:lang w:eastAsia="de-DE"/>
              </w:rPr>
              <w:t xml:space="preserve"> sich ein Begründungserfordernis. Das lautet: Ein Gericht muss begründen, welche Interessen so grundlegend sind, dass staatliche Maßnahmen sie beachten müssen. Ob ein Interesse grundlegend sei, bemisst sich im Fall daran, inwieweit das Interesse notwendig ist, um Bedingungen für Glücksstreben zu erhalten bzw. einzurichten.</w:t>
            </w:r>
            <w:r w:rsidRPr="00E50B51">
              <w:rPr>
                <w:rStyle w:val="Funotenzeichen"/>
                <w:rFonts w:eastAsiaTheme="majorEastAsia"/>
                <w:sz w:val="20"/>
                <w:szCs w:val="20"/>
                <w:lang w:eastAsia="de-DE"/>
              </w:rPr>
              <w:footnoteReference w:id="679"/>
            </w:r>
            <w:r w:rsidRPr="00E50B51">
              <w:rPr>
                <w:sz w:val="20"/>
                <w:szCs w:val="20"/>
                <w:lang w:eastAsia="de-DE"/>
              </w:rPr>
              <w:t xml:space="preserve"> Daher leite</w:t>
            </w:r>
            <w:r>
              <w:rPr>
                <w:sz w:val="20"/>
                <w:szCs w:val="20"/>
                <w:lang w:eastAsia="de-DE"/>
              </w:rPr>
              <w:t>te</w:t>
            </w:r>
            <w:r w:rsidRPr="00E50B51">
              <w:rPr>
                <w:sz w:val="20"/>
                <w:szCs w:val="20"/>
                <w:lang w:eastAsia="de-DE"/>
              </w:rPr>
              <w:t>n die Verfassungsgeschichte bzw. -tradition diese Begründung („</w:t>
            </w:r>
            <w:proofErr w:type="spellStart"/>
            <w:r w:rsidRPr="00E50B51">
              <w:rPr>
                <w:sz w:val="20"/>
                <w:szCs w:val="20"/>
                <w:lang w:eastAsia="de-DE"/>
              </w:rPr>
              <w:t>History</w:t>
            </w:r>
            <w:proofErr w:type="spellEnd"/>
            <w:r w:rsidRPr="00E50B51">
              <w:rPr>
                <w:sz w:val="20"/>
                <w:szCs w:val="20"/>
                <w:lang w:eastAsia="de-DE"/>
              </w:rPr>
              <w:t xml:space="preserve"> and </w:t>
            </w:r>
            <w:proofErr w:type="spellStart"/>
            <w:r w:rsidRPr="00E50B51">
              <w:rPr>
                <w:sz w:val="20"/>
                <w:szCs w:val="20"/>
                <w:lang w:eastAsia="de-DE"/>
              </w:rPr>
              <w:t>tradition</w:t>
            </w:r>
            <w:proofErr w:type="spellEnd"/>
            <w:r w:rsidRPr="00E50B51">
              <w:rPr>
                <w:sz w:val="20"/>
                <w:szCs w:val="20"/>
                <w:lang w:eastAsia="de-DE"/>
              </w:rPr>
              <w:t xml:space="preserve"> guide“</w:t>
            </w:r>
            <w:r w:rsidRPr="00E50B51">
              <w:rPr>
                <w:rStyle w:val="Funotenzeichen"/>
                <w:rFonts w:eastAsiaTheme="majorEastAsia"/>
                <w:sz w:val="20"/>
                <w:szCs w:val="20"/>
                <w:lang w:eastAsia="de-DE"/>
              </w:rPr>
              <w:footnoteReference w:id="680"/>
            </w:r>
            <w:r w:rsidRPr="00E50B51">
              <w:rPr>
                <w:sz w:val="20"/>
                <w:szCs w:val="20"/>
                <w:lang w:eastAsia="de-DE"/>
              </w:rPr>
              <w:t>). Aber sie bestimm</w:t>
            </w:r>
            <w:r>
              <w:rPr>
                <w:sz w:val="20"/>
                <w:szCs w:val="20"/>
                <w:lang w:eastAsia="de-DE"/>
              </w:rPr>
              <w:t>t</w:t>
            </w:r>
            <w:r w:rsidRPr="00E50B51">
              <w:rPr>
                <w:sz w:val="20"/>
                <w:szCs w:val="20"/>
                <w:lang w:eastAsia="de-DE"/>
              </w:rPr>
              <w:t>en nicht allein die äußeren Grenzen der Grundrechte.</w:t>
            </w:r>
            <w:r w:rsidRPr="00E50B51">
              <w:rPr>
                <w:rStyle w:val="Funotenzeichen"/>
                <w:rFonts w:eastAsiaTheme="majorEastAsia"/>
                <w:sz w:val="20"/>
                <w:szCs w:val="20"/>
                <w:lang w:eastAsia="de-DE"/>
              </w:rPr>
              <w:footnoteReference w:id="681"/>
            </w:r>
            <w:r w:rsidRPr="00E50B51">
              <w:rPr>
                <w:sz w:val="20"/>
                <w:szCs w:val="20"/>
                <w:lang w:eastAsia="de-DE"/>
              </w:rPr>
              <w:t xml:space="preserve"> Denn nicht nur die Vergangenheit, sondern auch die Gegenwart bestimm</w:t>
            </w:r>
            <w:r>
              <w:rPr>
                <w:sz w:val="20"/>
                <w:szCs w:val="20"/>
                <w:lang w:eastAsia="de-DE"/>
              </w:rPr>
              <w:t>e</w:t>
            </w:r>
            <w:r w:rsidRPr="00E50B51">
              <w:rPr>
                <w:sz w:val="20"/>
                <w:szCs w:val="20"/>
                <w:lang w:eastAsia="de-DE"/>
              </w:rPr>
              <w:t xml:space="preserve">, wann eine staatliche Maßnahme verfassungswidrig sei. </w:t>
            </w:r>
            <w:r>
              <w:rPr>
                <w:sz w:val="20"/>
                <w:szCs w:val="20"/>
                <w:lang w:eastAsia="de-DE"/>
              </w:rPr>
              <w:t>Schließlich hätten sich</w:t>
            </w:r>
            <w:r w:rsidRPr="00E50B51">
              <w:rPr>
                <w:sz w:val="20"/>
                <w:szCs w:val="20"/>
                <w:lang w:eastAsia="de-DE"/>
              </w:rPr>
              <w:t xml:space="preserve"> die Verfassungsgeber der </w:t>
            </w:r>
            <w:r w:rsidRPr="00A142D9">
              <w:rPr>
                <w:i/>
                <w:sz w:val="20"/>
                <w:szCs w:val="20"/>
                <w:lang w:eastAsia="de-DE"/>
              </w:rPr>
              <w:t>Bill of Rights</w:t>
            </w:r>
            <w:r w:rsidRPr="00E50B51">
              <w:rPr>
                <w:sz w:val="20"/>
                <w:szCs w:val="20"/>
                <w:lang w:eastAsia="de-DE"/>
              </w:rPr>
              <w:t xml:space="preserve"> und des </w:t>
            </w:r>
            <w:r w:rsidR="00023A37">
              <w:rPr>
                <w:sz w:val="20"/>
                <w:szCs w:val="20"/>
                <w:lang w:eastAsia="de-DE"/>
              </w:rPr>
              <w:t xml:space="preserve">U.S. </w:t>
            </w:r>
            <w:proofErr w:type="spellStart"/>
            <w:r w:rsidR="00023A37">
              <w:rPr>
                <w:sz w:val="20"/>
                <w:szCs w:val="20"/>
                <w:lang w:eastAsia="de-DE"/>
              </w:rPr>
              <w:t>Const</w:t>
            </w:r>
            <w:proofErr w:type="spellEnd"/>
            <w:r w:rsidR="00023A37">
              <w:rPr>
                <w:sz w:val="20"/>
                <w:szCs w:val="20"/>
                <w:lang w:eastAsia="de-DE"/>
              </w:rPr>
              <w:t xml:space="preserve">. </w:t>
            </w:r>
            <w:proofErr w:type="spellStart"/>
            <w:r w:rsidR="00023A37">
              <w:rPr>
                <w:sz w:val="20"/>
                <w:szCs w:val="20"/>
                <w:lang w:eastAsia="de-DE"/>
              </w:rPr>
              <w:t>amend</w:t>
            </w:r>
            <w:proofErr w:type="spellEnd"/>
            <w:r w:rsidR="00023A37">
              <w:rPr>
                <w:sz w:val="20"/>
                <w:szCs w:val="20"/>
                <w:lang w:eastAsia="de-DE"/>
              </w:rPr>
              <w:t>. XIV</w:t>
            </w:r>
            <w:r w:rsidRPr="00E50B51">
              <w:rPr>
                <w:sz w:val="20"/>
                <w:szCs w:val="20"/>
                <w:lang w:eastAsia="de-DE"/>
              </w:rPr>
              <w:t xml:space="preserve"> in ihrer historischen Rolle</w:t>
            </w:r>
            <w:r>
              <w:rPr>
                <w:sz w:val="20"/>
                <w:szCs w:val="20"/>
                <w:lang w:eastAsia="de-DE"/>
              </w:rPr>
              <w:t xml:space="preserve"> und Erstkodifikation</w:t>
            </w:r>
            <w:r w:rsidRPr="00E50B51">
              <w:rPr>
                <w:sz w:val="20"/>
                <w:szCs w:val="20"/>
                <w:lang w:eastAsia="de-DE"/>
              </w:rPr>
              <w:t xml:space="preserve"> nicht an</w:t>
            </w:r>
            <w:r>
              <w:rPr>
                <w:sz w:val="20"/>
                <w:szCs w:val="20"/>
                <w:lang w:eastAsia="de-DE"/>
              </w:rPr>
              <w:t>gemaßt</w:t>
            </w:r>
            <w:r w:rsidRPr="00E50B51">
              <w:rPr>
                <w:sz w:val="20"/>
                <w:szCs w:val="20"/>
                <w:lang w:eastAsia="de-DE"/>
              </w:rPr>
              <w:t xml:space="preserve">, alle Freiheitsdimensionen vorherzusehen. Sondern sie verpflichteten mit dem offenen Wortlaut vielmehr künftige Generationen, respektive </w:t>
            </w:r>
            <w:r>
              <w:rPr>
                <w:sz w:val="20"/>
                <w:szCs w:val="20"/>
                <w:lang w:eastAsia="de-DE"/>
              </w:rPr>
              <w:t>deren</w:t>
            </w:r>
            <w:r w:rsidRPr="00E50B51">
              <w:rPr>
                <w:sz w:val="20"/>
                <w:szCs w:val="20"/>
                <w:lang w:eastAsia="de-DE"/>
              </w:rPr>
              <w:t xml:space="preserve"> Gerichte, die Freiheitsdimensionen auszugestalten.</w:t>
            </w:r>
            <w:r>
              <w:rPr>
                <w:sz w:val="20"/>
                <w:szCs w:val="20"/>
                <w:lang w:eastAsia="de-DE"/>
              </w:rPr>
              <w:t xml:space="preserve"> </w:t>
            </w:r>
            <w:r w:rsidRPr="00E50B51">
              <w:rPr>
                <w:sz w:val="20"/>
                <w:szCs w:val="20"/>
                <w:lang w:eastAsia="de-DE"/>
              </w:rPr>
              <w:t>Anhand dieser Verpflichtung, die historisch initiierten Freiheitsdimensionen u.a</w:t>
            </w:r>
            <w:r>
              <w:rPr>
                <w:sz w:val="20"/>
                <w:szCs w:val="20"/>
                <w:lang w:eastAsia="de-DE"/>
              </w:rPr>
              <w:t>.</w:t>
            </w:r>
            <w:r w:rsidRPr="00E50B51">
              <w:rPr>
                <w:sz w:val="20"/>
                <w:szCs w:val="20"/>
                <w:lang w:eastAsia="de-DE"/>
              </w:rPr>
              <w:t xml:space="preserve"> anhand des </w:t>
            </w:r>
            <w:proofErr w:type="spellStart"/>
            <w:r w:rsidRPr="00B45592">
              <w:rPr>
                <w:i/>
                <w:iCs/>
                <w:sz w:val="20"/>
                <w:szCs w:val="20"/>
                <w:lang w:eastAsia="de-DE"/>
              </w:rPr>
              <w:t>pursuit</w:t>
            </w:r>
            <w:proofErr w:type="spellEnd"/>
            <w:r w:rsidRPr="00B45592">
              <w:rPr>
                <w:i/>
                <w:iCs/>
                <w:sz w:val="20"/>
                <w:szCs w:val="20"/>
                <w:lang w:eastAsia="de-DE"/>
              </w:rPr>
              <w:t xml:space="preserve"> of Happiness</w:t>
            </w:r>
            <w:r w:rsidRPr="00E50B51">
              <w:rPr>
                <w:sz w:val="20"/>
                <w:szCs w:val="20"/>
                <w:lang w:eastAsia="de-DE"/>
              </w:rPr>
              <w:t xml:space="preserve"> auszugestalten und näher zu bestimmen, </w:t>
            </w:r>
            <w:r>
              <w:rPr>
                <w:sz w:val="20"/>
                <w:szCs w:val="20"/>
                <w:lang w:eastAsia="de-DE"/>
              </w:rPr>
              <w:t>seien</w:t>
            </w:r>
            <w:r w:rsidRPr="00E50B51">
              <w:rPr>
                <w:sz w:val="20"/>
                <w:szCs w:val="20"/>
                <w:lang w:eastAsia="de-DE"/>
              </w:rPr>
              <w:t xml:space="preserve"> Gesetz</w:t>
            </w:r>
            <w:r>
              <w:rPr>
                <w:sz w:val="20"/>
                <w:szCs w:val="20"/>
                <w:lang w:eastAsia="de-DE"/>
              </w:rPr>
              <w:t>e</w:t>
            </w:r>
            <w:r w:rsidRPr="00E50B51">
              <w:rPr>
                <w:sz w:val="20"/>
                <w:szCs w:val="20"/>
                <w:lang w:eastAsia="de-DE"/>
              </w:rPr>
              <w:t xml:space="preserve"> heute auf ihre Verfassungsmäßigkeit dahingehend zu überprüfen. Wie sich dies für Grundrechte und ihre Freiheitsdimensionen konkret ausgestalte („</w:t>
            </w:r>
            <w:proofErr w:type="spellStart"/>
            <w:r w:rsidRPr="00E50B51">
              <w:rPr>
                <w:sz w:val="20"/>
                <w:szCs w:val="20"/>
                <w:lang w:eastAsia="de-DE"/>
              </w:rPr>
              <w:t>Applying</w:t>
            </w:r>
            <w:proofErr w:type="spellEnd"/>
            <w:r w:rsidRPr="00E50B51">
              <w:rPr>
                <w:sz w:val="20"/>
                <w:szCs w:val="20"/>
                <w:lang w:eastAsia="de-DE"/>
              </w:rPr>
              <w:t xml:space="preserve"> </w:t>
            </w:r>
            <w:proofErr w:type="spellStart"/>
            <w:r w:rsidRPr="00E50B51">
              <w:rPr>
                <w:sz w:val="20"/>
                <w:szCs w:val="20"/>
                <w:lang w:eastAsia="de-DE"/>
              </w:rPr>
              <w:t>these</w:t>
            </w:r>
            <w:proofErr w:type="spellEnd"/>
            <w:r w:rsidRPr="00E50B51">
              <w:rPr>
                <w:sz w:val="20"/>
                <w:szCs w:val="20"/>
                <w:lang w:eastAsia="de-DE"/>
              </w:rPr>
              <w:t xml:space="preserve"> </w:t>
            </w:r>
            <w:proofErr w:type="spellStart"/>
            <w:r w:rsidRPr="00E50B51">
              <w:rPr>
                <w:sz w:val="20"/>
                <w:szCs w:val="20"/>
                <w:lang w:eastAsia="de-DE"/>
              </w:rPr>
              <w:t>established</w:t>
            </w:r>
            <w:proofErr w:type="spellEnd"/>
            <w:r w:rsidRPr="00E50B51">
              <w:rPr>
                <w:sz w:val="20"/>
                <w:szCs w:val="20"/>
                <w:lang w:eastAsia="de-DE"/>
              </w:rPr>
              <w:t xml:space="preserve"> </w:t>
            </w:r>
            <w:proofErr w:type="spellStart"/>
            <w:r w:rsidRPr="00800E61">
              <w:rPr>
                <w:sz w:val="20"/>
                <w:szCs w:val="20"/>
                <w:lang w:eastAsia="de-DE"/>
              </w:rPr>
              <w:t>tenets</w:t>
            </w:r>
            <w:proofErr w:type="spellEnd"/>
            <w:r w:rsidRPr="00800E61">
              <w:rPr>
                <w:sz w:val="20"/>
                <w:szCs w:val="20"/>
                <w:lang w:eastAsia="de-DE"/>
              </w:rPr>
              <w:t>“</w:t>
            </w:r>
            <w:r w:rsidRPr="00800E61">
              <w:rPr>
                <w:rStyle w:val="Funotenzeichen"/>
                <w:sz w:val="20"/>
                <w:szCs w:val="20"/>
                <w:lang w:eastAsia="de-DE"/>
              </w:rPr>
              <w:footnoteReference w:id="682"/>
            </w:r>
            <w:r w:rsidRPr="00800E61">
              <w:rPr>
                <w:sz w:val="20"/>
                <w:szCs w:val="20"/>
                <w:lang w:eastAsia="de-DE"/>
              </w:rPr>
              <w:t>),</w:t>
            </w:r>
            <w:r w:rsidRPr="00E50B51">
              <w:rPr>
                <w:sz w:val="20"/>
                <w:szCs w:val="20"/>
                <w:lang w:eastAsia="de-DE"/>
              </w:rPr>
              <w:t xml:space="preserve"> zeig</w:t>
            </w:r>
            <w:r>
              <w:rPr>
                <w:sz w:val="20"/>
                <w:szCs w:val="20"/>
                <w:lang w:eastAsia="de-DE"/>
              </w:rPr>
              <w:t>e</w:t>
            </w:r>
            <w:r w:rsidRPr="00E50B51">
              <w:rPr>
                <w:sz w:val="20"/>
                <w:szCs w:val="20"/>
                <w:lang w:eastAsia="de-DE"/>
              </w:rPr>
              <w:t xml:space="preserve"> sich </w:t>
            </w:r>
            <w:r>
              <w:rPr>
                <w:sz w:val="20"/>
                <w:szCs w:val="20"/>
                <w:lang w:eastAsia="de-DE"/>
              </w:rPr>
              <w:t xml:space="preserve">z.B. </w:t>
            </w:r>
            <w:r w:rsidRPr="00E50B51">
              <w:rPr>
                <w:sz w:val="20"/>
                <w:szCs w:val="20"/>
                <w:lang w:eastAsia="de-DE"/>
              </w:rPr>
              <w:t>an der Ehefreiheit. Denn diese beschränk</w:t>
            </w:r>
            <w:r>
              <w:rPr>
                <w:sz w:val="20"/>
                <w:szCs w:val="20"/>
                <w:lang w:eastAsia="de-DE"/>
              </w:rPr>
              <w:t>e</w:t>
            </w:r>
            <w:r w:rsidRPr="00E50B51">
              <w:rPr>
                <w:sz w:val="20"/>
                <w:szCs w:val="20"/>
                <w:lang w:eastAsia="de-DE"/>
              </w:rPr>
              <w:t xml:space="preserve"> </w:t>
            </w:r>
            <w:r>
              <w:rPr>
                <w:sz w:val="20"/>
                <w:szCs w:val="20"/>
                <w:lang w:eastAsia="de-DE"/>
              </w:rPr>
              <w:t>s</w:t>
            </w:r>
            <w:r w:rsidRPr="00E50B51">
              <w:rPr>
                <w:sz w:val="20"/>
                <w:szCs w:val="20"/>
                <w:lang w:eastAsia="de-DE"/>
              </w:rPr>
              <w:t xml:space="preserve">taatliche Eingriffe und verpflichte den Staat, </w:t>
            </w:r>
            <w:r>
              <w:rPr>
                <w:sz w:val="20"/>
                <w:szCs w:val="20"/>
                <w:lang w:eastAsia="de-DE"/>
              </w:rPr>
              <w:t xml:space="preserve">mit Freiheitsdimensionen und Bedingungen </w:t>
            </w:r>
            <w:r w:rsidRPr="00E50B51">
              <w:rPr>
                <w:sz w:val="20"/>
                <w:szCs w:val="20"/>
                <w:lang w:eastAsia="de-DE"/>
              </w:rPr>
              <w:t>Glücksstreben zu ermöglichen („</w:t>
            </w:r>
            <w:proofErr w:type="spellStart"/>
            <w:r w:rsidRPr="00E50B51">
              <w:rPr>
                <w:sz w:val="20"/>
                <w:szCs w:val="20"/>
                <w:lang w:eastAsia="de-DE"/>
              </w:rPr>
              <w:t>one</w:t>
            </w:r>
            <w:proofErr w:type="spellEnd"/>
            <w:r w:rsidRPr="00E50B51">
              <w:rPr>
                <w:sz w:val="20"/>
                <w:szCs w:val="20"/>
                <w:lang w:eastAsia="de-DE"/>
              </w:rPr>
              <w:t xml:space="preserve"> of the vital personal </w:t>
            </w:r>
            <w:proofErr w:type="spellStart"/>
            <w:r w:rsidRPr="00E50B51">
              <w:rPr>
                <w:sz w:val="20"/>
                <w:szCs w:val="20"/>
                <w:lang w:eastAsia="de-DE"/>
              </w:rPr>
              <w:t>rights</w:t>
            </w:r>
            <w:proofErr w:type="spellEnd"/>
            <w:r w:rsidRPr="00E50B51">
              <w:rPr>
                <w:sz w:val="20"/>
                <w:szCs w:val="20"/>
                <w:lang w:eastAsia="de-DE"/>
              </w:rPr>
              <w:t xml:space="preserve"> essential to the </w:t>
            </w:r>
            <w:proofErr w:type="spellStart"/>
            <w:r w:rsidRPr="00E50B51">
              <w:rPr>
                <w:sz w:val="20"/>
                <w:szCs w:val="20"/>
                <w:lang w:eastAsia="de-DE"/>
              </w:rPr>
              <w:t>orderly</w:t>
            </w:r>
            <w:proofErr w:type="spellEnd"/>
            <w:r w:rsidRPr="00E50B51">
              <w:rPr>
                <w:sz w:val="20"/>
                <w:szCs w:val="20"/>
                <w:lang w:eastAsia="de-DE"/>
              </w:rPr>
              <w:t xml:space="preserve"> </w:t>
            </w:r>
            <w:proofErr w:type="spellStart"/>
            <w:r w:rsidRPr="00E50B51">
              <w:rPr>
                <w:sz w:val="20"/>
                <w:szCs w:val="20"/>
                <w:lang w:eastAsia="de-DE"/>
              </w:rPr>
              <w:t>pursuit</w:t>
            </w:r>
            <w:proofErr w:type="spellEnd"/>
            <w:r w:rsidRPr="00E50B51">
              <w:rPr>
                <w:sz w:val="20"/>
                <w:szCs w:val="20"/>
                <w:lang w:eastAsia="de-DE"/>
              </w:rPr>
              <w:t xml:space="preserve"> of </w:t>
            </w:r>
            <w:proofErr w:type="spellStart"/>
            <w:r w:rsidRPr="00E50B51">
              <w:rPr>
                <w:sz w:val="20"/>
                <w:szCs w:val="20"/>
                <w:lang w:eastAsia="de-DE"/>
              </w:rPr>
              <w:t>happiness</w:t>
            </w:r>
            <w:proofErr w:type="spellEnd"/>
            <w:r w:rsidRPr="00E50B51">
              <w:rPr>
                <w:sz w:val="20"/>
                <w:szCs w:val="20"/>
                <w:lang w:eastAsia="de-DE"/>
              </w:rPr>
              <w:t xml:space="preserve"> by </w:t>
            </w:r>
            <w:proofErr w:type="spellStart"/>
            <w:r w:rsidRPr="00E50B51">
              <w:rPr>
                <w:sz w:val="20"/>
                <w:szCs w:val="20"/>
                <w:lang w:eastAsia="de-DE"/>
              </w:rPr>
              <w:t>free</w:t>
            </w:r>
            <w:proofErr w:type="spellEnd"/>
            <w:r w:rsidRPr="00E50B51">
              <w:rPr>
                <w:sz w:val="20"/>
                <w:szCs w:val="20"/>
                <w:lang w:eastAsia="de-DE"/>
              </w:rPr>
              <w:t xml:space="preserve"> </w:t>
            </w:r>
            <w:proofErr w:type="spellStart"/>
            <w:r w:rsidRPr="00E50B51">
              <w:rPr>
                <w:sz w:val="20"/>
                <w:szCs w:val="20"/>
                <w:lang w:eastAsia="de-DE"/>
              </w:rPr>
              <w:t>men</w:t>
            </w:r>
            <w:proofErr w:type="spellEnd"/>
            <w:r w:rsidRPr="00E50B51">
              <w:rPr>
                <w:sz w:val="20"/>
                <w:szCs w:val="20"/>
                <w:lang w:eastAsia="de-DE"/>
              </w:rPr>
              <w:t>“</w:t>
            </w:r>
            <w:r w:rsidRPr="00E50B51">
              <w:rPr>
                <w:rStyle w:val="Funotenzeichen"/>
                <w:rFonts w:eastAsiaTheme="majorEastAsia"/>
                <w:sz w:val="20"/>
                <w:szCs w:val="20"/>
                <w:lang w:eastAsia="de-DE"/>
              </w:rPr>
              <w:footnoteReference w:id="683"/>
            </w:r>
            <w:r w:rsidRPr="00E50B51">
              <w:rPr>
                <w:sz w:val="20"/>
                <w:szCs w:val="20"/>
                <w:lang w:eastAsia="de-DE"/>
              </w:rPr>
              <w:t>)</w:t>
            </w:r>
            <w:r>
              <w:rPr>
                <w:sz w:val="20"/>
                <w:szCs w:val="20"/>
                <w:lang w:eastAsia="de-DE"/>
              </w:rPr>
              <w:t xml:space="preserve">, ohne direkt als Wortlaut kodifiziert zu sein. </w:t>
            </w:r>
          </w:p>
          <w:p w14:paraId="32329BAD" w14:textId="77777777" w:rsidR="00074551" w:rsidRPr="00E50B51" w:rsidRDefault="00074551" w:rsidP="00367133">
            <w:pPr>
              <w:jc w:val="both"/>
              <w:rPr>
                <w:sz w:val="20"/>
                <w:szCs w:val="20"/>
              </w:rPr>
            </w:pPr>
          </w:p>
        </w:tc>
      </w:tr>
      <w:tr w:rsidR="00074551" w:rsidRPr="00E50B51" w14:paraId="46FFBBFF" w14:textId="77777777" w:rsidTr="00BE689F">
        <w:trPr>
          <w:cantSplit/>
          <w:trHeight w:val="3175"/>
        </w:trPr>
        <w:tc>
          <w:tcPr>
            <w:tcW w:w="293" w:type="pct"/>
          </w:tcPr>
          <w:p w14:paraId="234AA3F1"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18016B7" w14:textId="77777777" w:rsidR="00074551" w:rsidRPr="00E50B51" w:rsidRDefault="00074551" w:rsidP="00367133">
            <w:pPr>
              <w:ind w:left="113" w:right="113"/>
              <w:jc w:val="both"/>
              <w:rPr>
                <w:sz w:val="20"/>
                <w:szCs w:val="20"/>
                <w:lang w:eastAsia="de-DE"/>
              </w:rPr>
            </w:pPr>
            <w:r w:rsidRPr="009167A5">
              <w:rPr>
                <w:i/>
                <w:sz w:val="20"/>
                <w:szCs w:val="20"/>
              </w:rPr>
              <w:t xml:space="preserve">Washington v. </w:t>
            </w:r>
            <w:proofErr w:type="spellStart"/>
            <w:r w:rsidRPr="009167A5">
              <w:rPr>
                <w:i/>
                <w:sz w:val="20"/>
                <w:szCs w:val="20"/>
              </w:rPr>
              <w:t>Glucksberg</w:t>
            </w:r>
            <w:proofErr w:type="spellEnd"/>
          </w:p>
        </w:tc>
        <w:tc>
          <w:tcPr>
            <w:tcW w:w="197" w:type="pct"/>
            <w:textDirection w:val="tbRl"/>
            <w:vAlign w:val="center"/>
          </w:tcPr>
          <w:p w14:paraId="29F42CDE" w14:textId="77777777" w:rsidR="00074551" w:rsidRPr="00E50B51" w:rsidRDefault="00074551" w:rsidP="00367133">
            <w:pPr>
              <w:ind w:left="113" w:right="113"/>
              <w:jc w:val="both"/>
              <w:rPr>
                <w:sz w:val="20"/>
                <w:szCs w:val="20"/>
              </w:rPr>
            </w:pPr>
            <w:r w:rsidRPr="00E50B51">
              <w:rPr>
                <w:sz w:val="20"/>
                <w:szCs w:val="20"/>
                <w:lang w:val="en-US"/>
              </w:rPr>
              <w:t>521 U.S. 702</w:t>
            </w:r>
          </w:p>
        </w:tc>
        <w:tc>
          <w:tcPr>
            <w:tcW w:w="306" w:type="pct"/>
            <w:textDirection w:val="tbRl"/>
            <w:vAlign w:val="center"/>
          </w:tcPr>
          <w:p w14:paraId="176A17F2" w14:textId="77777777" w:rsidR="00074551" w:rsidRPr="00E50B51" w:rsidRDefault="00074551" w:rsidP="00367133">
            <w:pPr>
              <w:ind w:left="113" w:right="113"/>
              <w:jc w:val="both"/>
              <w:rPr>
                <w:sz w:val="20"/>
                <w:szCs w:val="20"/>
              </w:rPr>
            </w:pPr>
            <w:r w:rsidRPr="00E50B51">
              <w:rPr>
                <w:sz w:val="20"/>
                <w:szCs w:val="20"/>
              </w:rPr>
              <w:t>26. Juni 1997</w:t>
            </w:r>
          </w:p>
        </w:tc>
        <w:tc>
          <w:tcPr>
            <w:tcW w:w="401" w:type="pct"/>
          </w:tcPr>
          <w:p w14:paraId="5C254EFB" w14:textId="77777777" w:rsidR="00074551" w:rsidRPr="00E50B51" w:rsidRDefault="00074551" w:rsidP="00367133">
            <w:pPr>
              <w:jc w:val="center"/>
              <w:rPr>
                <w:sz w:val="20"/>
                <w:szCs w:val="20"/>
              </w:rPr>
            </w:pPr>
            <w:r w:rsidRPr="00E50B51">
              <w:rPr>
                <w:sz w:val="20"/>
                <w:szCs w:val="20"/>
              </w:rPr>
              <w:t>C</w:t>
            </w:r>
          </w:p>
        </w:tc>
        <w:tc>
          <w:tcPr>
            <w:tcW w:w="1594" w:type="pct"/>
          </w:tcPr>
          <w:p w14:paraId="1E53CDE3" w14:textId="744BBC0E" w:rsidR="00074551" w:rsidRPr="00E50B51" w:rsidRDefault="00074551" w:rsidP="00367133">
            <w:pPr>
              <w:jc w:val="both"/>
              <w:rPr>
                <w:sz w:val="20"/>
                <w:szCs w:val="20"/>
              </w:rPr>
            </w:pPr>
            <w:r w:rsidRPr="00E50B51">
              <w:rPr>
                <w:sz w:val="20"/>
                <w:szCs w:val="20"/>
              </w:rPr>
              <w:t xml:space="preserve">Im Fall urteilte der </w:t>
            </w:r>
            <w:r>
              <w:rPr>
                <w:sz w:val="20"/>
                <w:szCs w:val="20"/>
              </w:rPr>
              <w:t>U.S. Supreme Court</w:t>
            </w:r>
            <w:r w:rsidRPr="00E50B51">
              <w:rPr>
                <w:sz w:val="20"/>
                <w:szCs w:val="20"/>
              </w:rPr>
              <w:t>, das grundsätzliche Verbot des ärztlich assistierten Suizids im Bundesstaat Washington</w:t>
            </w:r>
            <w:r w:rsidRPr="5B67C1D2">
              <w:rPr>
                <w:rStyle w:val="Funotenzeichen"/>
                <w:rFonts w:eastAsiaTheme="majorEastAsia"/>
                <w:sz w:val="20"/>
                <w:szCs w:val="20"/>
              </w:rPr>
              <w:footnoteReference w:id="684"/>
            </w:r>
            <w:r w:rsidRPr="00E50B51">
              <w:rPr>
                <w:sz w:val="20"/>
                <w:szCs w:val="20"/>
              </w:rPr>
              <w:t xml:space="preserve"> sei verfassungsgemäß. Ein solches Verbot habe legitimes staatliches Interesse</w:t>
            </w:r>
            <w:r>
              <w:rPr>
                <w:sz w:val="20"/>
                <w:szCs w:val="20"/>
              </w:rPr>
              <w:t>,</w:t>
            </w:r>
            <w:r w:rsidRPr="00E50B51">
              <w:rPr>
                <w:sz w:val="20"/>
                <w:szCs w:val="20"/>
              </w:rPr>
              <w:t xml:space="preserve"> wie Leben zu erhalten, die Integrität des </w:t>
            </w:r>
            <w:r>
              <w:rPr>
                <w:sz w:val="20"/>
                <w:szCs w:val="20"/>
              </w:rPr>
              <w:t>Arztberufs</w:t>
            </w:r>
            <w:r w:rsidRPr="00E50B51">
              <w:rPr>
                <w:sz w:val="20"/>
                <w:szCs w:val="20"/>
              </w:rPr>
              <w:t xml:space="preserve"> zu wahren, vulnerable Gruppen gegen Missbrauch zu schützen und eine unfreiwillige Euthanasie zu verhindern. Zudem verstoße das Gesetz nicht gegen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es halte </w:t>
            </w:r>
            <w:r>
              <w:rPr>
                <w:sz w:val="20"/>
                <w:szCs w:val="20"/>
              </w:rPr>
              <w:t xml:space="preserve">dessen </w:t>
            </w:r>
            <w:r w:rsidRPr="00E50B51">
              <w:rPr>
                <w:sz w:val="20"/>
                <w:szCs w:val="20"/>
              </w:rPr>
              <w:t>Verfahrensvor</w:t>
            </w:r>
            <w:r>
              <w:rPr>
                <w:sz w:val="20"/>
                <w:szCs w:val="20"/>
              </w:rPr>
              <w:t>gaben</w:t>
            </w:r>
            <w:r w:rsidRPr="00E50B51">
              <w:rPr>
                <w:sz w:val="20"/>
                <w:szCs w:val="20"/>
              </w:rPr>
              <w:t xml:space="preserve"> </w:t>
            </w:r>
            <w:r w:rsidRPr="00B45592">
              <w:rPr>
                <w:sz w:val="20"/>
                <w:szCs w:val="20"/>
              </w:rPr>
              <w:t>ein.</w:t>
            </w:r>
            <w:r w:rsidRPr="5B67C1D2">
              <w:rPr>
                <w:rStyle w:val="Funotenzeichen"/>
                <w:sz w:val="20"/>
                <w:szCs w:val="20"/>
              </w:rPr>
              <w:footnoteReference w:id="685"/>
            </w:r>
          </w:p>
          <w:p w14:paraId="100E3F68" w14:textId="77777777" w:rsidR="00074551" w:rsidRPr="00E50B51" w:rsidRDefault="00074551" w:rsidP="00367133">
            <w:pPr>
              <w:jc w:val="both"/>
              <w:rPr>
                <w:sz w:val="20"/>
                <w:szCs w:val="20"/>
              </w:rPr>
            </w:pPr>
          </w:p>
        </w:tc>
        <w:tc>
          <w:tcPr>
            <w:tcW w:w="1822" w:type="pct"/>
          </w:tcPr>
          <w:p w14:paraId="18FB64C3" w14:textId="77777777" w:rsidR="00074551" w:rsidRDefault="00074551" w:rsidP="00367133">
            <w:pPr>
              <w:jc w:val="both"/>
              <w:rPr>
                <w:sz w:val="20"/>
                <w:szCs w:val="20"/>
                <w:lang w:eastAsia="de-DE"/>
              </w:rPr>
            </w:pPr>
            <w:r w:rsidRPr="00300C1D">
              <w:rPr>
                <w:sz w:val="20"/>
                <w:szCs w:val="20"/>
                <w:lang w:eastAsia="de-DE"/>
              </w:rPr>
              <w:t xml:space="preserve">Zusätzlich zu den spezifischen Freiheiten, die durch die </w:t>
            </w:r>
            <w:r w:rsidRPr="5B67C1D2">
              <w:rPr>
                <w:i/>
                <w:iCs/>
                <w:sz w:val="20"/>
                <w:szCs w:val="20"/>
                <w:lang w:eastAsia="de-DE"/>
              </w:rPr>
              <w:t>Bill of Rights</w:t>
            </w:r>
            <w:r w:rsidRPr="00300C1D">
              <w:rPr>
                <w:sz w:val="20"/>
                <w:szCs w:val="20"/>
                <w:lang w:eastAsia="de-DE"/>
              </w:rPr>
              <w:t xml:space="preserve"> geschützt werden, erläutert der </w:t>
            </w:r>
            <w:r>
              <w:rPr>
                <w:sz w:val="20"/>
                <w:szCs w:val="20"/>
                <w:lang w:eastAsia="de-DE"/>
              </w:rPr>
              <w:t>U.S. Supreme Court</w:t>
            </w:r>
            <w:r w:rsidRPr="00300C1D">
              <w:rPr>
                <w:sz w:val="20"/>
                <w:szCs w:val="20"/>
                <w:lang w:eastAsia="de-DE"/>
              </w:rPr>
              <w:t xml:space="preserve"> den allgemeinen Begriff der Freiheit, der einen Schutzbereich hat und den die </w:t>
            </w:r>
            <w:r w:rsidRPr="5B67C1D2">
              <w:rPr>
                <w:i/>
                <w:iCs/>
                <w:sz w:val="20"/>
                <w:szCs w:val="20"/>
                <w:lang w:eastAsia="de-DE"/>
              </w:rPr>
              <w:t xml:space="preserve">Due </w:t>
            </w:r>
            <w:proofErr w:type="spellStart"/>
            <w:r w:rsidRPr="5B67C1D2">
              <w:rPr>
                <w:i/>
                <w:iCs/>
                <w:sz w:val="20"/>
                <w:szCs w:val="20"/>
                <w:lang w:eastAsia="de-DE"/>
              </w:rPr>
              <w:t>Process</w:t>
            </w:r>
            <w:proofErr w:type="spellEnd"/>
            <w:r w:rsidRPr="5B67C1D2">
              <w:rPr>
                <w:i/>
                <w:iCs/>
                <w:sz w:val="20"/>
                <w:szCs w:val="20"/>
                <w:lang w:eastAsia="de-DE"/>
              </w:rPr>
              <w:t xml:space="preserve"> </w:t>
            </w:r>
            <w:proofErr w:type="spellStart"/>
            <w:r w:rsidRPr="5B67C1D2">
              <w:rPr>
                <w:i/>
                <w:iCs/>
                <w:sz w:val="20"/>
                <w:szCs w:val="20"/>
                <w:lang w:eastAsia="de-DE"/>
              </w:rPr>
              <w:t>Clause</w:t>
            </w:r>
            <w:proofErr w:type="spellEnd"/>
            <w:r w:rsidRPr="00300C1D">
              <w:rPr>
                <w:sz w:val="20"/>
                <w:szCs w:val="20"/>
                <w:lang w:eastAsia="de-DE"/>
              </w:rPr>
              <w:t xml:space="preserve"> nach </w:t>
            </w:r>
            <w:r w:rsidR="00023A37">
              <w:rPr>
                <w:sz w:val="20"/>
                <w:szCs w:val="20"/>
                <w:lang w:eastAsia="de-DE"/>
              </w:rPr>
              <w:t xml:space="preserve">U.S. </w:t>
            </w:r>
            <w:proofErr w:type="spellStart"/>
            <w:r w:rsidR="00023A37">
              <w:rPr>
                <w:sz w:val="20"/>
                <w:szCs w:val="20"/>
                <w:lang w:eastAsia="de-DE"/>
              </w:rPr>
              <w:t>Const</w:t>
            </w:r>
            <w:proofErr w:type="spellEnd"/>
            <w:r w:rsidR="00023A37">
              <w:rPr>
                <w:sz w:val="20"/>
                <w:szCs w:val="20"/>
                <w:lang w:eastAsia="de-DE"/>
              </w:rPr>
              <w:t xml:space="preserve">. </w:t>
            </w:r>
            <w:proofErr w:type="spellStart"/>
            <w:r w:rsidR="00023A37">
              <w:rPr>
                <w:sz w:val="20"/>
                <w:szCs w:val="20"/>
                <w:lang w:eastAsia="de-DE"/>
              </w:rPr>
              <w:t>amend</w:t>
            </w:r>
            <w:proofErr w:type="spellEnd"/>
            <w:r w:rsidR="00023A37">
              <w:rPr>
                <w:sz w:val="20"/>
                <w:szCs w:val="20"/>
                <w:lang w:eastAsia="de-DE"/>
              </w:rPr>
              <w:t>. XIV</w:t>
            </w:r>
            <w:r w:rsidRPr="00300C1D">
              <w:rPr>
                <w:sz w:val="20"/>
                <w:szCs w:val="20"/>
                <w:lang w:eastAsia="de-DE"/>
              </w:rPr>
              <w:t xml:space="preserve"> </w:t>
            </w:r>
            <w:r w:rsidRPr="006E25AF">
              <w:rPr>
                <w:sz w:val="20"/>
                <w:szCs w:val="20"/>
                <w:lang w:eastAsia="de-DE"/>
              </w:rPr>
              <w:t>umfasst</w:t>
            </w:r>
            <w:r w:rsidRPr="00300C1D">
              <w:rPr>
                <w:sz w:val="20"/>
                <w:szCs w:val="20"/>
                <w:lang w:eastAsia="de-DE"/>
              </w:rPr>
              <w:t>.</w:t>
            </w:r>
            <w:r w:rsidRPr="00300C1D">
              <w:rPr>
                <w:sz w:val="20"/>
                <w:szCs w:val="20"/>
                <w:vertAlign w:val="superscript"/>
                <w:lang w:eastAsia="de-DE"/>
              </w:rPr>
              <w:footnoteReference w:id="686"/>
            </w:r>
            <w:r w:rsidRPr="00300C1D">
              <w:rPr>
                <w:sz w:val="20"/>
                <w:szCs w:val="20"/>
                <w:lang w:eastAsia="de-DE"/>
              </w:rPr>
              <w:t xml:space="preserve"> Unter diesen allgemeinen </w:t>
            </w:r>
            <w:r w:rsidRPr="006E25AF">
              <w:rPr>
                <w:sz w:val="20"/>
                <w:szCs w:val="20"/>
                <w:lang w:eastAsia="de-DE"/>
              </w:rPr>
              <w:t>Freiheitsb</w:t>
            </w:r>
            <w:r w:rsidRPr="00300C1D">
              <w:rPr>
                <w:sz w:val="20"/>
                <w:szCs w:val="20"/>
                <w:lang w:eastAsia="de-DE"/>
              </w:rPr>
              <w:t>egriff falle das Recht, zu heiraten,</w:t>
            </w:r>
            <w:r w:rsidRPr="00300C1D">
              <w:rPr>
                <w:sz w:val="20"/>
                <w:szCs w:val="20"/>
                <w:vertAlign w:val="superscript"/>
                <w:lang w:eastAsia="de-DE"/>
              </w:rPr>
              <w:footnoteReference w:id="687"/>
            </w:r>
            <w:r w:rsidRPr="00300C1D">
              <w:rPr>
                <w:sz w:val="20"/>
                <w:szCs w:val="20"/>
                <w:lang w:eastAsia="de-DE"/>
              </w:rPr>
              <w:t xml:space="preserve"> Kinder zu haben,</w:t>
            </w:r>
            <w:r w:rsidRPr="00300C1D">
              <w:rPr>
                <w:sz w:val="20"/>
                <w:szCs w:val="20"/>
                <w:vertAlign w:val="superscript"/>
                <w:lang w:eastAsia="de-DE"/>
              </w:rPr>
              <w:footnoteReference w:id="688"/>
            </w:r>
            <w:r w:rsidRPr="00300C1D">
              <w:rPr>
                <w:sz w:val="20"/>
                <w:szCs w:val="20"/>
                <w:lang w:eastAsia="de-DE"/>
              </w:rPr>
              <w:t xml:space="preserve"> die Bildung und Erziehung der eigenen Kinder zu bestimmen,</w:t>
            </w:r>
            <w:r w:rsidRPr="00300C1D">
              <w:rPr>
                <w:sz w:val="20"/>
                <w:szCs w:val="20"/>
                <w:vertAlign w:val="superscript"/>
                <w:lang w:eastAsia="de-DE"/>
              </w:rPr>
              <w:footnoteReference w:id="689"/>
            </w:r>
            <w:r w:rsidRPr="00300C1D">
              <w:rPr>
                <w:sz w:val="20"/>
                <w:szCs w:val="20"/>
                <w:lang w:eastAsia="de-DE"/>
              </w:rPr>
              <w:t xml:space="preserve"> </w:t>
            </w:r>
            <w:r w:rsidRPr="006E25AF">
              <w:rPr>
                <w:sz w:val="20"/>
                <w:szCs w:val="20"/>
                <w:lang w:eastAsia="de-DE"/>
              </w:rPr>
              <w:t xml:space="preserve">aber auch </w:t>
            </w:r>
            <w:r w:rsidRPr="00300C1D">
              <w:rPr>
                <w:sz w:val="20"/>
                <w:szCs w:val="20"/>
                <w:lang w:eastAsia="de-DE"/>
              </w:rPr>
              <w:t>die Privatsphäre in der Ehe,</w:t>
            </w:r>
            <w:r w:rsidRPr="00300C1D">
              <w:rPr>
                <w:sz w:val="20"/>
                <w:szCs w:val="20"/>
                <w:vertAlign w:val="superscript"/>
                <w:lang w:eastAsia="de-DE"/>
              </w:rPr>
              <w:footnoteReference w:id="690"/>
            </w:r>
            <w:r w:rsidRPr="00300C1D">
              <w:rPr>
                <w:sz w:val="20"/>
                <w:szCs w:val="20"/>
                <w:lang w:eastAsia="de-DE"/>
              </w:rPr>
              <w:t xml:space="preserve"> Verhütungsmittel zu verwenden,</w:t>
            </w:r>
            <w:r w:rsidRPr="00300C1D">
              <w:rPr>
                <w:sz w:val="20"/>
                <w:szCs w:val="20"/>
                <w:vertAlign w:val="superscript"/>
                <w:lang w:eastAsia="de-DE"/>
              </w:rPr>
              <w:footnoteReference w:id="691"/>
            </w:r>
            <w:r w:rsidRPr="00300C1D">
              <w:rPr>
                <w:sz w:val="20"/>
                <w:szCs w:val="20"/>
                <w:lang w:eastAsia="de-DE"/>
              </w:rPr>
              <w:t xml:space="preserve"> die körperliche Unversehrtheit</w:t>
            </w:r>
            <w:r w:rsidRPr="00300C1D">
              <w:rPr>
                <w:sz w:val="20"/>
                <w:szCs w:val="20"/>
                <w:vertAlign w:val="superscript"/>
                <w:lang w:eastAsia="de-DE"/>
              </w:rPr>
              <w:footnoteReference w:id="692"/>
            </w:r>
            <w:r w:rsidRPr="00300C1D">
              <w:rPr>
                <w:sz w:val="20"/>
                <w:szCs w:val="20"/>
                <w:lang w:eastAsia="de-DE"/>
              </w:rPr>
              <w:t xml:space="preserve"> und das Recht abzutreiben.</w:t>
            </w:r>
            <w:r w:rsidRPr="00300C1D">
              <w:rPr>
                <w:sz w:val="20"/>
                <w:szCs w:val="20"/>
                <w:vertAlign w:val="superscript"/>
                <w:lang w:eastAsia="de-DE"/>
              </w:rPr>
              <w:footnoteReference w:id="693"/>
            </w:r>
            <w:r w:rsidRPr="00300C1D">
              <w:rPr>
                <w:sz w:val="20"/>
                <w:szCs w:val="20"/>
                <w:lang w:eastAsia="de-DE"/>
              </w:rPr>
              <w:t xml:space="preserve"> Der </w:t>
            </w:r>
            <w:r>
              <w:rPr>
                <w:sz w:val="20"/>
                <w:szCs w:val="20"/>
                <w:lang w:eastAsia="de-DE"/>
              </w:rPr>
              <w:t>U.S. Supreme Court</w:t>
            </w:r>
            <w:r w:rsidRPr="00300C1D">
              <w:rPr>
                <w:sz w:val="20"/>
                <w:szCs w:val="20"/>
                <w:lang w:eastAsia="de-DE"/>
              </w:rPr>
              <w:t xml:space="preserve"> </w:t>
            </w:r>
            <w:r>
              <w:rPr>
                <w:sz w:val="20"/>
                <w:szCs w:val="20"/>
                <w:lang w:eastAsia="de-DE"/>
              </w:rPr>
              <w:t>urteilte auch</w:t>
            </w:r>
            <w:r w:rsidRPr="006E25AF">
              <w:rPr>
                <w:sz w:val="20"/>
                <w:szCs w:val="20"/>
                <w:lang w:eastAsia="de-DE"/>
              </w:rPr>
              <w:t xml:space="preserve">: </w:t>
            </w:r>
            <w:r w:rsidRPr="00300C1D">
              <w:rPr>
                <w:sz w:val="20"/>
                <w:szCs w:val="20"/>
                <w:lang w:eastAsia="de-DE"/>
              </w:rPr>
              <w:t xml:space="preserve">die </w:t>
            </w:r>
            <w:r w:rsidRPr="5B67C1D2">
              <w:rPr>
                <w:i/>
                <w:iCs/>
                <w:sz w:val="20"/>
                <w:szCs w:val="20"/>
                <w:lang w:eastAsia="de-DE"/>
              </w:rPr>
              <w:t xml:space="preserve">Due </w:t>
            </w:r>
            <w:proofErr w:type="spellStart"/>
            <w:r w:rsidRPr="5B67C1D2">
              <w:rPr>
                <w:i/>
                <w:iCs/>
                <w:sz w:val="20"/>
                <w:szCs w:val="20"/>
                <w:lang w:eastAsia="de-DE"/>
              </w:rPr>
              <w:t>Process</w:t>
            </w:r>
            <w:proofErr w:type="spellEnd"/>
            <w:r w:rsidRPr="5B67C1D2">
              <w:rPr>
                <w:i/>
                <w:iCs/>
                <w:sz w:val="20"/>
                <w:szCs w:val="20"/>
                <w:lang w:eastAsia="de-DE"/>
              </w:rPr>
              <w:t xml:space="preserve"> </w:t>
            </w:r>
            <w:proofErr w:type="spellStart"/>
            <w:r w:rsidRPr="5B67C1D2">
              <w:rPr>
                <w:i/>
                <w:iCs/>
                <w:sz w:val="20"/>
                <w:szCs w:val="20"/>
                <w:lang w:eastAsia="de-DE"/>
              </w:rPr>
              <w:t>Clause</w:t>
            </w:r>
            <w:proofErr w:type="spellEnd"/>
            <w:r w:rsidRPr="00300C1D">
              <w:rPr>
                <w:sz w:val="20"/>
                <w:szCs w:val="20"/>
                <w:lang w:eastAsia="de-DE"/>
              </w:rPr>
              <w:t xml:space="preserve"> schütze nunmehr das Gewohnheitsrecht, lebensrettende medizinische Behandlungen abzulehnen.</w:t>
            </w:r>
            <w:r w:rsidRPr="00300C1D">
              <w:rPr>
                <w:sz w:val="20"/>
                <w:szCs w:val="20"/>
                <w:vertAlign w:val="superscript"/>
                <w:lang w:eastAsia="de-DE"/>
              </w:rPr>
              <w:footnoteReference w:id="694"/>
            </w:r>
            <w:r w:rsidRPr="00300C1D">
              <w:rPr>
                <w:sz w:val="20"/>
                <w:szCs w:val="20"/>
                <w:lang w:eastAsia="de-DE"/>
              </w:rPr>
              <w:t xml:space="preserve"> </w:t>
            </w:r>
            <w:r w:rsidRPr="006E25AF">
              <w:rPr>
                <w:sz w:val="20"/>
                <w:szCs w:val="20"/>
                <w:lang w:eastAsia="de-DE"/>
              </w:rPr>
              <w:t>Und d</w:t>
            </w:r>
            <w:r w:rsidRPr="00300C1D">
              <w:rPr>
                <w:sz w:val="20"/>
                <w:szCs w:val="20"/>
                <w:lang w:eastAsia="de-DE"/>
              </w:rPr>
              <w:t xml:space="preserve">ie </w:t>
            </w:r>
            <w:proofErr w:type="spellStart"/>
            <w:r w:rsidRPr="5B67C1D2">
              <w:rPr>
                <w:i/>
                <w:iCs/>
                <w:sz w:val="20"/>
                <w:szCs w:val="20"/>
                <w:lang w:eastAsia="de-DE"/>
              </w:rPr>
              <w:t>concurring</w:t>
            </w:r>
            <w:proofErr w:type="spellEnd"/>
            <w:r w:rsidRPr="5B67C1D2">
              <w:rPr>
                <w:i/>
                <w:iCs/>
                <w:sz w:val="20"/>
                <w:szCs w:val="20"/>
                <w:lang w:eastAsia="de-DE"/>
              </w:rPr>
              <w:t xml:space="preserve"> </w:t>
            </w:r>
            <w:proofErr w:type="spellStart"/>
            <w:r w:rsidRPr="5B67C1D2">
              <w:rPr>
                <w:i/>
                <w:iCs/>
                <w:sz w:val="20"/>
                <w:szCs w:val="20"/>
                <w:lang w:eastAsia="de-DE"/>
              </w:rPr>
              <w:t>opinion</w:t>
            </w:r>
            <w:proofErr w:type="spellEnd"/>
            <w:r w:rsidRPr="00300C1D">
              <w:rPr>
                <w:sz w:val="20"/>
                <w:szCs w:val="20"/>
                <w:lang w:eastAsia="de-DE"/>
              </w:rPr>
              <w:t xml:space="preserve"> ergänzt, dass diese Freiheitsdimensionen sich au</w:t>
            </w:r>
            <w:r w:rsidRPr="006E25AF">
              <w:rPr>
                <w:sz w:val="20"/>
                <w:szCs w:val="20"/>
                <w:lang w:eastAsia="de-DE"/>
              </w:rPr>
              <w:t>ch</w:t>
            </w:r>
            <w:r w:rsidRPr="00300C1D">
              <w:rPr>
                <w:sz w:val="20"/>
                <w:szCs w:val="20"/>
                <w:lang w:eastAsia="de-DE"/>
              </w:rPr>
              <w:t xml:space="preserve"> daraus erg</w:t>
            </w:r>
            <w:r>
              <w:rPr>
                <w:sz w:val="20"/>
                <w:szCs w:val="20"/>
                <w:lang w:eastAsia="de-DE"/>
              </w:rPr>
              <w:t>ä</w:t>
            </w:r>
            <w:r w:rsidRPr="00300C1D">
              <w:rPr>
                <w:sz w:val="20"/>
                <w:szCs w:val="20"/>
                <w:lang w:eastAsia="de-DE"/>
              </w:rPr>
              <w:t>ben, ob sie</w:t>
            </w:r>
            <w:r>
              <w:rPr>
                <w:sz w:val="20"/>
                <w:szCs w:val="20"/>
                <w:lang w:eastAsia="de-DE"/>
              </w:rPr>
              <w:t xml:space="preserve"> sich</w:t>
            </w:r>
            <w:r w:rsidRPr="00300C1D">
              <w:rPr>
                <w:sz w:val="20"/>
                <w:szCs w:val="20"/>
                <w:lang w:eastAsia="de-DE"/>
              </w:rPr>
              <w:t xml:space="preserve"> als wesentlich für das Glücksstreben entwickelt </w:t>
            </w:r>
            <w:r>
              <w:rPr>
                <w:sz w:val="20"/>
                <w:szCs w:val="20"/>
                <w:lang w:eastAsia="de-DE"/>
              </w:rPr>
              <w:t>hätten,</w:t>
            </w:r>
            <w:r w:rsidRPr="00300C1D">
              <w:rPr>
                <w:sz w:val="20"/>
                <w:szCs w:val="20"/>
                <w:lang w:eastAsia="de-DE"/>
              </w:rPr>
              <w:t xml:space="preserve"> und zitiert dafür die </w:t>
            </w:r>
            <w:proofErr w:type="spellStart"/>
            <w:r w:rsidRPr="5B67C1D2">
              <w:rPr>
                <w:i/>
                <w:iCs/>
                <w:sz w:val="20"/>
                <w:szCs w:val="20"/>
                <w:lang w:eastAsia="de-DE"/>
              </w:rPr>
              <w:t>majority</w:t>
            </w:r>
            <w:proofErr w:type="spellEnd"/>
            <w:r w:rsidRPr="5B67C1D2">
              <w:rPr>
                <w:i/>
                <w:iCs/>
                <w:sz w:val="20"/>
                <w:szCs w:val="20"/>
                <w:lang w:eastAsia="de-DE"/>
              </w:rPr>
              <w:t xml:space="preserve"> </w:t>
            </w:r>
            <w:proofErr w:type="spellStart"/>
            <w:r w:rsidRPr="5B67C1D2">
              <w:rPr>
                <w:i/>
                <w:iCs/>
                <w:sz w:val="20"/>
                <w:szCs w:val="20"/>
                <w:lang w:eastAsia="de-DE"/>
              </w:rPr>
              <w:t>opinion</w:t>
            </w:r>
            <w:proofErr w:type="spellEnd"/>
            <w:r w:rsidRPr="00300C1D">
              <w:rPr>
                <w:sz w:val="20"/>
                <w:szCs w:val="20"/>
                <w:lang w:eastAsia="de-DE"/>
              </w:rPr>
              <w:t xml:space="preserve"> aus </w:t>
            </w:r>
            <w:r w:rsidRPr="5B67C1D2">
              <w:rPr>
                <w:i/>
                <w:iCs/>
                <w:sz w:val="20"/>
                <w:szCs w:val="20"/>
                <w:lang w:eastAsia="de-DE"/>
              </w:rPr>
              <w:t>Meyer v. Nebraska</w:t>
            </w:r>
            <w:r w:rsidRPr="00300C1D">
              <w:rPr>
                <w:sz w:val="20"/>
                <w:szCs w:val="20"/>
                <w:lang w:eastAsia="de-DE"/>
              </w:rPr>
              <w:t>.</w:t>
            </w:r>
            <w:r w:rsidRPr="00300C1D">
              <w:rPr>
                <w:sz w:val="20"/>
                <w:szCs w:val="20"/>
                <w:vertAlign w:val="superscript"/>
                <w:lang w:eastAsia="de-DE"/>
              </w:rPr>
              <w:footnoteReference w:id="695"/>
            </w:r>
          </w:p>
          <w:p w14:paraId="0DA32644" w14:textId="26FD628E" w:rsidR="00A411AC" w:rsidRPr="00E50B51" w:rsidRDefault="00A411AC" w:rsidP="00367133">
            <w:pPr>
              <w:jc w:val="both"/>
              <w:rPr>
                <w:sz w:val="20"/>
                <w:szCs w:val="20"/>
              </w:rPr>
            </w:pPr>
          </w:p>
        </w:tc>
      </w:tr>
      <w:tr w:rsidR="00074551" w:rsidRPr="00E50B51" w14:paraId="77E1B429" w14:textId="77777777" w:rsidTr="00BE689F">
        <w:trPr>
          <w:cantSplit/>
          <w:trHeight w:val="3175"/>
        </w:trPr>
        <w:tc>
          <w:tcPr>
            <w:tcW w:w="293" w:type="pct"/>
          </w:tcPr>
          <w:p w14:paraId="5BDBEF71"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1F7D98AC" w14:textId="77777777" w:rsidR="00074551" w:rsidRPr="00E50B51" w:rsidRDefault="00074551" w:rsidP="00367133">
            <w:pPr>
              <w:ind w:left="113" w:right="416"/>
              <w:jc w:val="both"/>
              <w:rPr>
                <w:sz w:val="20"/>
                <w:szCs w:val="20"/>
                <w:lang w:val="en-US"/>
              </w:rPr>
            </w:pPr>
            <w:r w:rsidRPr="009167A5">
              <w:rPr>
                <w:i/>
                <w:sz w:val="20"/>
                <w:szCs w:val="20"/>
                <w:lang w:val="en-US" w:eastAsia="de-DE"/>
              </w:rPr>
              <w:t>Yu Cong Eng v. Trinidad</w:t>
            </w:r>
          </w:p>
        </w:tc>
        <w:tc>
          <w:tcPr>
            <w:tcW w:w="197" w:type="pct"/>
            <w:textDirection w:val="tbRl"/>
            <w:vAlign w:val="center"/>
          </w:tcPr>
          <w:p w14:paraId="3056B110" w14:textId="77777777" w:rsidR="00074551" w:rsidRPr="00E50B51" w:rsidRDefault="00074551" w:rsidP="00367133">
            <w:pPr>
              <w:ind w:left="113" w:right="113"/>
              <w:jc w:val="both"/>
              <w:rPr>
                <w:sz w:val="20"/>
                <w:szCs w:val="20"/>
                <w:lang w:val="en-US"/>
              </w:rPr>
            </w:pPr>
            <w:r w:rsidRPr="00E50B51">
              <w:rPr>
                <w:sz w:val="20"/>
                <w:szCs w:val="20"/>
                <w:lang w:val="en-US"/>
              </w:rPr>
              <w:t>271 U.S. 500</w:t>
            </w:r>
          </w:p>
        </w:tc>
        <w:tc>
          <w:tcPr>
            <w:tcW w:w="306" w:type="pct"/>
            <w:textDirection w:val="tbRl"/>
            <w:vAlign w:val="center"/>
          </w:tcPr>
          <w:p w14:paraId="08D37D98" w14:textId="77777777" w:rsidR="00074551" w:rsidRPr="00E50B51" w:rsidRDefault="00074551" w:rsidP="00367133">
            <w:pPr>
              <w:ind w:left="113" w:right="113"/>
              <w:jc w:val="both"/>
              <w:rPr>
                <w:sz w:val="20"/>
                <w:szCs w:val="20"/>
                <w:lang w:val="en-US"/>
              </w:rPr>
            </w:pPr>
            <w:r w:rsidRPr="00E50B51">
              <w:rPr>
                <w:sz w:val="20"/>
                <w:szCs w:val="20"/>
              </w:rPr>
              <w:t>7. Juni 1926</w:t>
            </w:r>
          </w:p>
        </w:tc>
        <w:tc>
          <w:tcPr>
            <w:tcW w:w="401" w:type="pct"/>
          </w:tcPr>
          <w:p w14:paraId="3485EE56"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111522FA" w14:textId="4E31B5C5" w:rsidR="00074551" w:rsidRPr="00E50B51" w:rsidRDefault="00074551" w:rsidP="00367133">
            <w:pPr>
              <w:jc w:val="both"/>
              <w:rPr>
                <w:sz w:val="20"/>
                <w:szCs w:val="20"/>
              </w:rPr>
            </w:pPr>
            <w:r w:rsidRPr="00E50B51">
              <w:rPr>
                <w:sz w:val="20"/>
                <w:szCs w:val="20"/>
              </w:rPr>
              <w:t xml:space="preserve">Im Fall hob der </w:t>
            </w:r>
            <w:r>
              <w:rPr>
                <w:sz w:val="20"/>
                <w:szCs w:val="20"/>
              </w:rPr>
              <w:t>U.S. Supreme Court</w:t>
            </w:r>
            <w:r w:rsidRPr="00E50B51">
              <w:rPr>
                <w:sz w:val="20"/>
                <w:szCs w:val="20"/>
              </w:rPr>
              <w:t xml:space="preserve"> ein Urteil zugunsten der Beklagten auf. Denn das den Urteilen</w:t>
            </w:r>
            <w:r>
              <w:rPr>
                <w:sz w:val="20"/>
                <w:szCs w:val="20"/>
              </w:rPr>
              <w:t xml:space="preserve"> der Vorinstanzen</w:t>
            </w:r>
            <w:r w:rsidRPr="00E50B51">
              <w:rPr>
                <w:sz w:val="20"/>
                <w:szCs w:val="20"/>
              </w:rPr>
              <w:t xml:space="preserve"> zugrunde</w:t>
            </w:r>
            <w:r>
              <w:rPr>
                <w:sz w:val="20"/>
                <w:szCs w:val="20"/>
              </w:rPr>
              <w:t xml:space="preserve"> </w:t>
            </w:r>
            <w:r w:rsidRPr="00E50B51">
              <w:rPr>
                <w:sz w:val="20"/>
                <w:szCs w:val="20"/>
              </w:rPr>
              <w:t>liegende sog. chinesische Buchführungsgesetz</w:t>
            </w:r>
            <w:r>
              <w:rPr>
                <w:sz w:val="20"/>
                <w:szCs w:val="20"/>
              </w:rPr>
              <w:t xml:space="preserve">, der </w:t>
            </w:r>
            <w:bookmarkStart w:id="39" w:name="_Hlk228742799"/>
            <w:r w:rsidRPr="5B67C1D2">
              <w:rPr>
                <w:i/>
                <w:iCs/>
                <w:sz w:val="20"/>
                <w:szCs w:val="20"/>
              </w:rPr>
              <w:t xml:space="preserve">Chinese </w:t>
            </w:r>
            <w:proofErr w:type="spellStart"/>
            <w:r w:rsidRPr="5B67C1D2">
              <w:rPr>
                <w:i/>
                <w:iCs/>
                <w:sz w:val="20"/>
                <w:szCs w:val="20"/>
              </w:rPr>
              <w:t>Bookkeeping</w:t>
            </w:r>
            <w:proofErr w:type="spellEnd"/>
            <w:r w:rsidRPr="5B67C1D2">
              <w:rPr>
                <w:i/>
                <w:iCs/>
                <w:sz w:val="20"/>
                <w:szCs w:val="20"/>
              </w:rPr>
              <w:t xml:space="preserve"> Act</w:t>
            </w:r>
            <w:r w:rsidRPr="00E50B51">
              <w:rPr>
                <w:sz w:val="20"/>
                <w:szCs w:val="20"/>
              </w:rPr>
              <w:t xml:space="preserve">, Act </w:t>
            </w:r>
            <w:proofErr w:type="spellStart"/>
            <w:r w:rsidRPr="00E50B51">
              <w:rPr>
                <w:sz w:val="20"/>
                <w:szCs w:val="20"/>
              </w:rPr>
              <w:t>No</w:t>
            </w:r>
            <w:proofErr w:type="spellEnd"/>
            <w:r w:rsidRPr="00E50B51">
              <w:rPr>
                <w:sz w:val="20"/>
                <w:szCs w:val="20"/>
              </w:rPr>
              <w:t xml:space="preserve">. </w:t>
            </w:r>
            <w:r w:rsidRPr="000D3957">
              <w:rPr>
                <w:sz w:val="20"/>
                <w:szCs w:val="20"/>
              </w:rPr>
              <w:t>2972</w:t>
            </w:r>
            <w:bookmarkEnd w:id="39"/>
            <w:r>
              <w:rPr>
                <w:sz w:val="20"/>
                <w:szCs w:val="20"/>
              </w:rPr>
              <w:t>,</w:t>
            </w:r>
            <w:r w:rsidRPr="000D3957">
              <w:rPr>
                <w:rStyle w:val="Funotenzeichen"/>
                <w:sz w:val="20"/>
                <w:szCs w:val="20"/>
              </w:rPr>
              <w:footnoteReference w:id="696"/>
            </w:r>
            <w:r w:rsidRPr="00E50B51">
              <w:rPr>
                <w:sz w:val="20"/>
                <w:szCs w:val="20"/>
              </w:rPr>
              <w:t xml:space="preserve"> sei verfassungswidrig</w:t>
            </w:r>
            <w:r>
              <w:rPr>
                <w:sz w:val="20"/>
                <w:szCs w:val="20"/>
              </w:rPr>
              <w:t xml:space="preserve">. Doch danach hatten </w:t>
            </w:r>
            <w:r w:rsidRPr="00E50B51">
              <w:rPr>
                <w:sz w:val="20"/>
                <w:szCs w:val="20"/>
              </w:rPr>
              <w:t xml:space="preserve">die Vorinstanzen die Beklagten </w:t>
            </w:r>
            <w:proofErr w:type="spellStart"/>
            <w:r w:rsidRPr="00E50B51">
              <w:rPr>
                <w:sz w:val="20"/>
                <w:szCs w:val="20"/>
              </w:rPr>
              <w:t>Yu</w:t>
            </w:r>
            <w:proofErr w:type="spellEnd"/>
            <w:r w:rsidRPr="00E50B51">
              <w:rPr>
                <w:sz w:val="20"/>
                <w:szCs w:val="20"/>
              </w:rPr>
              <w:t xml:space="preserve"> Cong Eng noch verurteilt. Das Gesetz erlaubte eine Buchführung nur auf Englisch, Spanisch oder Tagalog, nicht jedoch in chinesischer Sprache. Damit enthielt das Gesetz den Beklagten die Freiheit und das Eigentum ohne ein </w:t>
            </w:r>
            <w:r>
              <w:rPr>
                <w:sz w:val="20"/>
                <w:szCs w:val="20"/>
              </w:rPr>
              <w:t xml:space="preserve">rechtsstaatliches </w:t>
            </w:r>
            <w:r w:rsidRPr="00E50B51">
              <w:rPr>
                <w:sz w:val="20"/>
                <w:szCs w:val="20"/>
              </w:rPr>
              <w:t>Verfahren zu</w:t>
            </w:r>
            <w:r>
              <w:rPr>
                <w:sz w:val="20"/>
                <w:szCs w:val="20"/>
              </w:rPr>
              <w:t xml:space="preserve"> deren</w:t>
            </w:r>
            <w:r w:rsidRPr="00E50B51">
              <w:rPr>
                <w:sz w:val="20"/>
                <w:szCs w:val="20"/>
              </w:rPr>
              <w:t xml:space="preserve"> Entziehung vor („</w:t>
            </w:r>
            <w:proofErr w:type="spellStart"/>
            <w:r w:rsidRPr="00E50B51">
              <w:rPr>
                <w:sz w:val="20"/>
                <w:szCs w:val="20"/>
              </w:rPr>
              <w:t>deprived</w:t>
            </w:r>
            <w:proofErr w:type="spellEnd"/>
            <w:r w:rsidRPr="00E50B51">
              <w:rPr>
                <w:sz w:val="20"/>
                <w:szCs w:val="20"/>
              </w:rPr>
              <w:t xml:space="preserve"> </w:t>
            </w:r>
            <w:proofErr w:type="spellStart"/>
            <w:r w:rsidRPr="00E50B51">
              <w:rPr>
                <w:sz w:val="20"/>
                <w:szCs w:val="20"/>
              </w:rPr>
              <w:t>petitioners</w:t>
            </w:r>
            <w:proofErr w:type="spellEnd"/>
            <w:r w:rsidRPr="00E50B51">
              <w:rPr>
                <w:sz w:val="20"/>
                <w:szCs w:val="20"/>
              </w:rPr>
              <w:t xml:space="preserve"> of </w:t>
            </w:r>
            <w:proofErr w:type="spellStart"/>
            <w:r w:rsidRPr="00E50B51">
              <w:rPr>
                <w:sz w:val="20"/>
                <w:szCs w:val="20"/>
              </w:rPr>
              <w:t>liberty</w:t>
            </w:r>
            <w:proofErr w:type="spellEnd"/>
            <w:r w:rsidRPr="00E50B51">
              <w:rPr>
                <w:sz w:val="20"/>
                <w:szCs w:val="20"/>
              </w:rPr>
              <w:t xml:space="preserve"> and </w:t>
            </w:r>
            <w:proofErr w:type="spellStart"/>
            <w:r w:rsidRPr="00E50B51">
              <w:rPr>
                <w:sz w:val="20"/>
                <w:szCs w:val="20"/>
              </w:rPr>
              <w:t>property</w:t>
            </w:r>
            <w:proofErr w:type="spellEnd"/>
            <w:r w:rsidRPr="00E50B51">
              <w:rPr>
                <w:sz w:val="20"/>
                <w:szCs w:val="20"/>
              </w:rPr>
              <w:t xml:space="preserve"> </w:t>
            </w:r>
            <w:proofErr w:type="spellStart"/>
            <w:r w:rsidRPr="00E50B51">
              <w:rPr>
                <w:sz w:val="20"/>
                <w:szCs w:val="20"/>
              </w:rPr>
              <w:t>without</w:t>
            </w:r>
            <w:proofErr w:type="spellEnd"/>
            <w:r w:rsidRPr="00E50B51">
              <w:rPr>
                <w:sz w:val="20"/>
                <w:szCs w:val="20"/>
              </w:rPr>
              <w:t xml:space="preserve"> due </w:t>
            </w:r>
            <w:proofErr w:type="spellStart"/>
            <w:r w:rsidRPr="00E50B51">
              <w:rPr>
                <w:sz w:val="20"/>
                <w:szCs w:val="20"/>
              </w:rPr>
              <w:t>process</w:t>
            </w:r>
            <w:proofErr w:type="spellEnd"/>
            <w:r w:rsidRPr="00E50B51">
              <w:rPr>
                <w:sz w:val="20"/>
                <w:szCs w:val="20"/>
              </w:rPr>
              <w:t xml:space="preserve"> of </w:t>
            </w:r>
            <w:proofErr w:type="spellStart"/>
            <w:r w:rsidRPr="00E50B51">
              <w:rPr>
                <w:sz w:val="20"/>
                <w:szCs w:val="20"/>
              </w:rPr>
              <w:t>law</w:t>
            </w:r>
            <w:proofErr w:type="spellEnd"/>
            <w:r w:rsidRPr="00E50B51">
              <w:rPr>
                <w:sz w:val="20"/>
                <w:szCs w:val="20"/>
              </w:rPr>
              <w:t>“</w:t>
            </w:r>
            <w:r w:rsidRPr="5B67C1D2">
              <w:rPr>
                <w:rStyle w:val="Funotenzeichen"/>
                <w:rFonts w:eastAsiaTheme="majorEastAsia"/>
                <w:sz w:val="20"/>
                <w:szCs w:val="20"/>
              </w:rPr>
              <w:footnoteReference w:id="697"/>
            </w:r>
            <w:r w:rsidRPr="00E50B51">
              <w:rPr>
                <w:sz w:val="20"/>
                <w:szCs w:val="20"/>
              </w:rPr>
              <w:t>)</w:t>
            </w:r>
            <w:r>
              <w:rPr>
                <w:sz w:val="20"/>
                <w:szCs w:val="20"/>
              </w:rPr>
              <w:t xml:space="preserve">, </w:t>
            </w:r>
            <w:r w:rsidRPr="00E50B51">
              <w:rPr>
                <w:sz w:val="20"/>
                <w:szCs w:val="20"/>
              </w:rPr>
              <w:t>und verwehrte ihnen auch den gleichen Schutz durch das Gesetz („</w:t>
            </w: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r w:rsidRPr="00E50B51">
              <w:rPr>
                <w:sz w:val="20"/>
                <w:szCs w:val="20"/>
              </w:rPr>
              <w:t xml:space="preserve"> of the </w:t>
            </w:r>
            <w:proofErr w:type="spellStart"/>
            <w:r w:rsidRPr="00E50B51">
              <w:rPr>
                <w:sz w:val="20"/>
                <w:szCs w:val="20"/>
              </w:rPr>
              <w:t>law</w:t>
            </w:r>
            <w:proofErr w:type="spellEnd"/>
            <w:r w:rsidRPr="00E50B51">
              <w:rPr>
                <w:sz w:val="20"/>
                <w:szCs w:val="20"/>
              </w:rPr>
              <w:t>“</w:t>
            </w:r>
            <w:r w:rsidRPr="5B67C1D2">
              <w:rPr>
                <w:rStyle w:val="Funotenzeichen"/>
                <w:rFonts w:eastAsiaTheme="majorEastAsia"/>
                <w:sz w:val="20"/>
                <w:szCs w:val="20"/>
              </w:rPr>
              <w:footnoteReference w:id="698"/>
            </w:r>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p>
          <w:p w14:paraId="72EB7A1A" w14:textId="77777777" w:rsidR="00074551" w:rsidRPr="006E25AF" w:rsidRDefault="00074551" w:rsidP="00367133">
            <w:pPr>
              <w:jc w:val="both"/>
              <w:rPr>
                <w:sz w:val="20"/>
                <w:szCs w:val="20"/>
              </w:rPr>
            </w:pPr>
          </w:p>
        </w:tc>
        <w:tc>
          <w:tcPr>
            <w:tcW w:w="1822" w:type="pct"/>
          </w:tcPr>
          <w:p w14:paraId="4EB83ADE" w14:textId="7F7347E0" w:rsidR="00074551" w:rsidRDefault="00074551" w:rsidP="5B67C1D2">
            <w:pPr>
              <w:jc w:val="both"/>
              <w:rPr>
                <w:sz w:val="20"/>
                <w:szCs w:val="20"/>
                <w:lang w:eastAsia="de-DE"/>
              </w:rPr>
            </w:pPr>
            <w:r w:rsidRPr="5B67C1D2">
              <w:rPr>
                <w:sz w:val="20"/>
                <w:szCs w:val="20"/>
                <w:lang w:eastAsia="de-DE"/>
              </w:rPr>
              <w:t xml:space="preserve">Die Frage der Anwendung amerikanischer verfassungsrechtlicher Schranken auf ein philippinisches Gesetz sei keine Angelegenheit der Philippinen, obwohl das Gesetz Rechte von Personen regelte, die unter einer von den Vereinigten Staaten errichteten Regierung leben, hier den Philippinen. Denn die betroffenen Personen seien zwar Bürger eines anderen Souveräns. Doch dieser hatte mit den Vereinigten Staaten einen Vertrag geschlossen. In dem habe er sich verpflichtet, auch das amerikanische Recht zu wahren. Und die vom </w:t>
            </w:r>
            <w:bookmarkStart w:id="40" w:name="_Hlk230075459"/>
            <w:proofErr w:type="spellStart"/>
            <w:r w:rsidRPr="5B67C1D2">
              <w:rPr>
                <w:i/>
                <w:iCs/>
                <w:sz w:val="20"/>
                <w:szCs w:val="20"/>
                <w:lang w:eastAsia="de-DE"/>
              </w:rPr>
              <w:t>Congress</w:t>
            </w:r>
            <w:proofErr w:type="spellEnd"/>
            <w:r w:rsidRPr="5B67C1D2">
              <w:rPr>
                <w:i/>
                <w:iCs/>
                <w:sz w:val="20"/>
                <w:szCs w:val="20"/>
                <w:lang w:eastAsia="de-DE"/>
              </w:rPr>
              <w:t xml:space="preserve"> for the Philippine Islands</w:t>
            </w:r>
            <w:r w:rsidRPr="5B67C1D2">
              <w:rPr>
                <w:sz w:val="20"/>
                <w:szCs w:val="20"/>
                <w:lang w:eastAsia="de-DE"/>
              </w:rPr>
              <w:t xml:space="preserve"> </w:t>
            </w:r>
            <w:bookmarkEnd w:id="40"/>
            <w:r w:rsidRPr="5B67C1D2">
              <w:rPr>
                <w:sz w:val="20"/>
                <w:szCs w:val="20"/>
                <w:lang w:eastAsia="de-DE"/>
              </w:rPr>
              <w:t xml:space="preserve">erlassene </w:t>
            </w:r>
            <w:r w:rsidRPr="5B67C1D2">
              <w:rPr>
                <w:i/>
                <w:iCs/>
                <w:sz w:val="20"/>
                <w:szCs w:val="20"/>
                <w:lang w:eastAsia="de-DE"/>
              </w:rPr>
              <w:t>Bill of Rights</w:t>
            </w:r>
            <w:r w:rsidRPr="5B67C1D2">
              <w:rPr>
                <w:sz w:val="20"/>
                <w:szCs w:val="20"/>
                <w:lang w:eastAsia="de-DE"/>
              </w:rPr>
              <w:t xml:space="preserve"> (vgl. 32 Stat. 691, 692</w:t>
            </w:r>
            <w:r w:rsidRPr="5B67C1D2">
              <w:rPr>
                <w:rStyle w:val="Funotenzeichen"/>
                <w:sz w:val="20"/>
                <w:szCs w:val="20"/>
                <w:lang w:eastAsia="de-DE"/>
              </w:rPr>
              <w:footnoteReference w:id="699"/>
            </w:r>
            <w:r w:rsidRPr="5B67C1D2">
              <w:rPr>
                <w:sz w:val="20"/>
                <w:szCs w:val="20"/>
                <w:lang w:eastAsia="de-DE"/>
              </w:rPr>
              <w:t xml:space="preserve">) dehne die Amendments wie </w:t>
            </w:r>
            <w:r w:rsidR="00023A37">
              <w:rPr>
                <w:sz w:val="20"/>
                <w:szCs w:val="20"/>
                <w:lang w:eastAsia="de-DE"/>
              </w:rPr>
              <w:t xml:space="preserve">U.S. </w:t>
            </w:r>
            <w:proofErr w:type="spellStart"/>
            <w:r w:rsidR="00023A37">
              <w:rPr>
                <w:sz w:val="20"/>
                <w:szCs w:val="20"/>
                <w:lang w:eastAsia="de-DE"/>
              </w:rPr>
              <w:t>Const</w:t>
            </w:r>
            <w:proofErr w:type="spellEnd"/>
            <w:r w:rsidR="00023A37">
              <w:rPr>
                <w:sz w:val="20"/>
                <w:szCs w:val="20"/>
                <w:lang w:eastAsia="de-DE"/>
              </w:rPr>
              <w:t xml:space="preserve">. </w:t>
            </w:r>
            <w:proofErr w:type="spellStart"/>
            <w:r w:rsidR="00023A37">
              <w:rPr>
                <w:sz w:val="20"/>
                <w:szCs w:val="20"/>
                <w:lang w:eastAsia="de-DE"/>
              </w:rPr>
              <w:t>amend</w:t>
            </w:r>
            <w:proofErr w:type="spellEnd"/>
            <w:r w:rsidR="00023A37">
              <w:rPr>
                <w:sz w:val="20"/>
                <w:szCs w:val="20"/>
                <w:lang w:eastAsia="de-DE"/>
              </w:rPr>
              <w:t>. XIV, V und XI</w:t>
            </w:r>
            <w:r w:rsidRPr="5B67C1D2">
              <w:rPr>
                <w:sz w:val="20"/>
                <w:szCs w:val="20"/>
                <w:lang w:eastAsia="de-DE"/>
              </w:rPr>
              <w:t xml:space="preserve"> auf die Philippinen aus. Diese Amendments seien so auszulegen, dass ihnen jene Bedeutung zukomme, die der </w:t>
            </w:r>
            <w:proofErr w:type="spellStart"/>
            <w:r w:rsidRPr="5B67C1D2">
              <w:rPr>
                <w:i/>
                <w:iCs/>
                <w:sz w:val="20"/>
                <w:szCs w:val="20"/>
                <w:lang w:eastAsia="de-DE"/>
              </w:rPr>
              <w:t>Congress</w:t>
            </w:r>
            <w:proofErr w:type="spellEnd"/>
            <w:r w:rsidRPr="5B67C1D2">
              <w:rPr>
                <w:i/>
                <w:iCs/>
                <w:sz w:val="20"/>
                <w:szCs w:val="20"/>
                <w:lang w:eastAsia="de-DE"/>
              </w:rPr>
              <w:t xml:space="preserve"> for the Philippine Islands</w:t>
            </w:r>
            <w:r w:rsidRPr="5B67C1D2">
              <w:rPr>
                <w:sz w:val="20"/>
                <w:szCs w:val="20"/>
                <w:lang w:eastAsia="de-DE"/>
              </w:rPr>
              <w:t xml:space="preserve"> ihnen zugemessen hatte, als er auch seine </w:t>
            </w:r>
            <w:r w:rsidRPr="5B67C1D2">
              <w:rPr>
                <w:i/>
                <w:iCs/>
                <w:sz w:val="20"/>
                <w:szCs w:val="20"/>
                <w:lang w:eastAsia="de-DE"/>
              </w:rPr>
              <w:t>Bill of Rights</w:t>
            </w:r>
            <w:r w:rsidRPr="5B67C1D2">
              <w:rPr>
                <w:sz w:val="20"/>
                <w:szCs w:val="20"/>
                <w:lang w:eastAsia="de-DE"/>
              </w:rPr>
              <w:t xml:space="preserve"> beschloss. </w:t>
            </w:r>
            <w:r w:rsidRPr="5B67C1D2">
              <w:rPr>
                <w:sz w:val="20"/>
                <w:szCs w:val="20"/>
                <w:lang w:val="en-US" w:eastAsia="de-DE"/>
              </w:rPr>
              <w:t xml:space="preserve">Oder </w:t>
            </w:r>
            <w:proofErr w:type="spellStart"/>
            <w:r w:rsidRPr="5B67C1D2">
              <w:rPr>
                <w:sz w:val="20"/>
                <w:szCs w:val="20"/>
                <w:lang w:val="en-US" w:eastAsia="de-DE"/>
              </w:rPr>
              <w:t>anders</w:t>
            </w:r>
            <w:proofErr w:type="spellEnd"/>
            <w:r w:rsidRPr="5B67C1D2">
              <w:rPr>
                <w:sz w:val="20"/>
                <w:szCs w:val="20"/>
                <w:lang w:val="en-US" w:eastAsia="de-DE"/>
              </w:rPr>
              <w:t xml:space="preserve"> </w:t>
            </w:r>
            <w:proofErr w:type="spellStart"/>
            <w:r w:rsidRPr="5B67C1D2">
              <w:rPr>
                <w:sz w:val="20"/>
                <w:szCs w:val="20"/>
                <w:lang w:val="en-US" w:eastAsia="de-DE"/>
              </w:rPr>
              <w:t>gewendet</w:t>
            </w:r>
            <w:proofErr w:type="spellEnd"/>
            <w:r w:rsidRPr="5B67C1D2">
              <w:rPr>
                <w:sz w:val="20"/>
                <w:szCs w:val="20"/>
                <w:lang w:val="en-US" w:eastAsia="de-DE"/>
              </w:rPr>
              <w:t xml:space="preserve">: Die </w:t>
            </w:r>
            <w:proofErr w:type="spellStart"/>
            <w:r w:rsidRPr="5B67C1D2">
              <w:rPr>
                <w:sz w:val="20"/>
                <w:szCs w:val="20"/>
                <w:lang w:val="en-US" w:eastAsia="de-DE"/>
              </w:rPr>
              <w:t>philippinische</w:t>
            </w:r>
            <w:proofErr w:type="spellEnd"/>
            <w:r w:rsidRPr="5B67C1D2">
              <w:rPr>
                <w:sz w:val="20"/>
                <w:szCs w:val="20"/>
                <w:lang w:val="en-US" w:eastAsia="de-DE"/>
              </w:rPr>
              <w:t xml:space="preserve"> </w:t>
            </w:r>
            <w:r w:rsidRPr="5B67C1D2">
              <w:rPr>
                <w:i/>
                <w:iCs/>
                <w:sz w:val="20"/>
                <w:szCs w:val="20"/>
                <w:lang w:val="en-US" w:eastAsia="de-DE"/>
              </w:rPr>
              <w:t>Bill of Rights</w:t>
            </w:r>
            <w:r w:rsidRPr="5B67C1D2">
              <w:rPr>
                <w:sz w:val="20"/>
                <w:szCs w:val="20"/>
                <w:lang w:val="en-US" w:eastAsia="de-DE"/>
              </w:rPr>
              <w:t xml:space="preserve"> </w:t>
            </w:r>
            <w:proofErr w:type="spellStart"/>
            <w:r w:rsidRPr="5B67C1D2">
              <w:rPr>
                <w:sz w:val="20"/>
                <w:szCs w:val="20"/>
                <w:lang w:val="en-US" w:eastAsia="de-DE"/>
              </w:rPr>
              <w:t>ist</w:t>
            </w:r>
            <w:proofErr w:type="spellEnd"/>
            <w:r w:rsidRPr="5B67C1D2">
              <w:rPr>
                <w:sz w:val="20"/>
                <w:szCs w:val="20"/>
                <w:lang w:val="en-US" w:eastAsia="de-DE"/>
              </w:rPr>
              <w:t xml:space="preserve"> </w:t>
            </w:r>
            <w:proofErr w:type="spellStart"/>
            <w:r w:rsidRPr="5B67C1D2">
              <w:rPr>
                <w:sz w:val="20"/>
                <w:szCs w:val="20"/>
                <w:lang w:val="en-US" w:eastAsia="de-DE"/>
              </w:rPr>
              <w:t>im</w:t>
            </w:r>
            <w:proofErr w:type="spellEnd"/>
            <w:r w:rsidRPr="5B67C1D2">
              <w:rPr>
                <w:sz w:val="20"/>
                <w:szCs w:val="20"/>
                <w:lang w:val="en-US" w:eastAsia="de-DE"/>
              </w:rPr>
              <w:t xml:space="preserve"> Lichte </w:t>
            </w:r>
            <w:proofErr w:type="spellStart"/>
            <w:r w:rsidRPr="5B67C1D2">
              <w:rPr>
                <w:sz w:val="20"/>
                <w:szCs w:val="20"/>
                <w:lang w:val="en-US" w:eastAsia="de-DE"/>
              </w:rPr>
              <w:t>verfassungsrechtlicher</w:t>
            </w:r>
            <w:proofErr w:type="spellEnd"/>
            <w:r w:rsidRPr="5B67C1D2">
              <w:rPr>
                <w:sz w:val="20"/>
                <w:szCs w:val="20"/>
                <w:lang w:val="en-US" w:eastAsia="de-DE"/>
              </w:rPr>
              <w:t xml:space="preserve"> </w:t>
            </w:r>
            <w:proofErr w:type="spellStart"/>
            <w:r w:rsidRPr="5B67C1D2">
              <w:rPr>
                <w:sz w:val="20"/>
                <w:szCs w:val="20"/>
                <w:lang w:val="en-US" w:eastAsia="de-DE"/>
              </w:rPr>
              <w:t>Beschränkungen</w:t>
            </w:r>
            <w:proofErr w:type="spellEnd"/>
            <w:r w:rsidRPr="5B67C1D2">
              <w:rPr>
                <w:sz w:val="20"/>
                <w:szCs w:val="20"/>
                <w:lang w:val="en-US" w:eastAsia="de-DE"/>
              </w:rPr>
              <w:t xml:space="preserve"> der U.S. Const. </w:t>
            </w:r>
            <w:proofErr w:type="spellStart"/>
            <w:r w:rsidRPr="5B67C1D2">
              <w:rPr>
                <w:sz w:val="20"/>
                <w:szCs w:val="20"/>
                <w:lang w:val="en-US" w:eastAsia="de-DE"/>
              </w:rPr>
              <w:t>auszulegen</w:t>
            </w:r>
            <w:proofErr w:type="spellEnd"/>
            <w:r w:rsidRPr="5B67C1D2">
              <w:rPr>
                <w:sz w:val="20"/>
                <w:szCs w:val="20"/>
                <w:lang w:val="en-US" w:eastAsia="de-DE"/>
              </w:rPr>
              <w:t xml:space="preserve">, so </w:t>
            </w:r>
            <w:proofErr w:type="spellStart"/>
            <w:r w:rsidRPr="5B67C1D2">
              <w:rPr>
                <w:sz w:val="20"/>
                <w:szCs w:val="20"/>
                <w:lang w:val="en-US" w:eastAsia="de-DE"/>
              </w:rPr>
              <w:t>wie</w:t>
            </w:r>
            <w:proofErr w:type="spellEnd"/>
            <w:r w:rsidRPr="5B67C1D2">
              <w:rPr>
                <w:sz w:val="20"/>
                <w:szCs w:val="20"/>
                <w:lang w:val="en-US" w:eastAsia="de-DE"/>
              </w:rPr>
              <w:t xml:space="preserve"> der U.S. Supreme Court die </w:t>
            </w:r>
            <w:proofErr w:type="spellStart"/>
            <w:r w:rsidRPr="5B67C1D2">
              <w:rPr>
                <w:sz w:val="20"/>
                <w:szCs w:val="20"/>
                <w:lang w:val="en-US" w:eastAsia="de-DE"/>
              </w:rPr>
              <w:t>amerikanische</w:t>
            </w:r>
            <w:proofErr w:type="spellEnd"/>
            <w:r w:rsidRPr="5B67C1D2">
              <w:rPr>
                <w:sz w:val="20"/>
                <w:szCs w:val="20"/>
                <w:lang w:val="en-US" w:eastAsia="de-DE"/>
              </w:rPr>
              <w:t xml:space="preserve"> </w:t>
            </w:r>
            <w:proofErr w:type="spellStart"/>
            <w:r w:rsidRPr="5B67C1D2">
              <w:rPr>
                <w:sz w:val="20"/>
                <w:szCs w:val="20"/>
                <w:lang w:val="en-US" w:eastAsia="de-DE"/>
              </w:rPr>
              <w:t>Verfassung</w:t>
            </w:r>
            <w:proofErr w:type="spellEnd"/>
            <w:r w:rsidRPr="5B67C1D2">
              <w:rPr>
                <w:sz w:val="20"/>
                <w:szCs w:val="20"/>
                <w:lang w:val="en-US" w:eastAsia="de-DE"/>
              </w:rPr>
              <w:t xml:space="preserve"> </w:t>
            </w:r>
            <w:proofErr w:type="spellStart"/>
            <w:r w:rsidRPr="5B67C1D2">
              <w:rPr>
                <w:sz w:val="20"/>
                <w:szCs w:val="20"/>
                <w:lang w:val="en-US" w:eastAsia="de-DE"/>
              </w:rPr>
              <w:t>versteht</w:t>
            </w:r>
            <w:proofErr w:type="spellEnd"/>
            <w:r w:rsidRPr="5B67C1D2">
              <w:rPr>
                <w:sz w:val="20"/>
                <w:szCs w:val="20"/>
                <w:lang w:val="en-US" w:eastAsia="de-DE"/>
              </w:rPr>
              <w:t xml:space="preserve"> („Philippine bill of rights […] is to be enforced in the light of the construction by this Court of such limitations as it has recognized them since the foundation of our own </w:t>
            </w:r>
            <w:proofErr w:type="gramStart"/>
            <w:r w:rsidRPr="5B67C1D2">
              <w:rPr>
                <w:sz w:val="20"/>
                <w:szCs w:val="20"/>
                <w:lang w:val="en-US" w:eastAsia="de-DE"/>
              </w:rPr>
              <w:t>government“</w:t>
            </w:r>
            <w:proofErr w:type="gramEnd"/>
            <w:r w:rsidRPr="5B67C1D2">
              <w:rPr>
                <w:rStyle w:val="Funotenzeichen"/>
                <w:sz w:val="20"/>
                <w:szCs w:val="20"/>
                <w:lang w:val="en-US" w:eastAsia="de-DE"/>
              </w:rPr>
              <w:footnoteReference w:id="700"/>
            </w:r>
            <w:r w:rsidRPr="5B67C1D2">
              <w:rPr>
                <w:sz w:val="20"/>
                <w:szCs w:val="20"/>
                <w:lang w:val="en-IE" w:eastAsia="de-DE"/>
              </w:rPr>
              <w:t xml:space="preserve">). </w:t>
            </w:r>
            <w:r w:rsidRPr="5B67C1D2">
              <w:rPr>
                <w:sz w:val="20"/>
                <w:szCs w:val="20"/>
                <w:lang w:eastAsia="de-DE"/>
              </w:rPr>
              <w:t xml:space="preserve">Diesem Leitsatz folgend, habe die vom Kongress für die Philippinen erlassene </w:t>
            </w:r>
            <w:r w:rsidRPr="5B67C1D2">
              <w:rPr>
                <w:i/>
                <w:iCs/>
                <w:sz w:val="20"/>
                <w:szCs w:val="20"/>
                <w:lang w:eastAsia="de-DE"/>
              </w:rPr>
              <w:t>Bill of Rights</w:t>
            </w:r>
            <w:r w:rsidRPr="5B67C1D2">
              <w:rPr>
                <w:sz w:val="20"/>
                <w:szCs w:val="20"/>
                <w:lang w:eastAsia="de-DE"/>
              </w:rPr>
              <w:t xml:space="preserve"> (vgl. 32 Stat. 691, 692) die verfassungsrechtlichen grundlegenden Garantien der U.S. </w:t>
            </w:r>
            <w:proofErr w:type="spellStart"/>
            <w:r w:rsidRPr="5B67C1D2">
              <w:rPr>
                <w:sz w:val="20"/>
                <w:szCs w:val="20"/>
                <w:lang w:eastAsia="de-DE"/>
              </w:rPr>
              <w:t>Const</w:t>
            </w:r>
            <w:proofErr w:type="spellEnd"/>
            <w:r w:rsidRPr="5B67C1D2">
              <w:rPr>
                <w:sz w:val="20"/>
                <w:szCs w:val="20"/>
                <w:lang w:eastAsia="de-DE"/>
              </w:rPr>
              <w:t xml:space="preserve">. zu achten. Und </w:t>
            </w:r>
            <w:proofErr w:type="gramStart"/>
            <w:r w:rsidRPr="5B67C1D2">
              <w:rPr>
                <w:sz w:val="20"/>
                <w:szCs w:val="20"/>
                <w:lang w:eastAsia="de-DE"/>
              </w:rPr>
              <w:t>darunter falle</w:t>
            </w:r>
            <w:proofErr w:type="gramEnd"/>
            <w:r w:rsidRPr="5B67C1D2">
              <w:rPr>
                <w:sz w:val="20"/>
                <w:szCs w:val="20"/>
                <w:lang w:eastAsia="de-DE"/>
              </w:rPr>
              <w:t xml:space="preserve">, so der U.S. Supreme Court, beispielsweise die Double-Jeopardy-Klausel des </w:t>
            </w:r>
            <w:r w:rsidR="00023A37">
              <w:rPr>
                <w:sz w:val="20"/>
                <w:szCs w:val="20"/>
                <w:lang w:eastAsia="de-DE"/>
              </w:rPr>
              <w:t xml:space="preserve">U.S. </w:t>
            </w:r>
            <w:proofErr w:type="spellStart"/>
            <w:r w:rsidR="00023A37">
              <w:rPr>
                <w:sz w:val="20"/>
                <w:szCs w:val="20"/>
                <w:lang w:eastAsia="de-DE"/>
              </w:rPr>
              <w:t>Const</w:t>
            </w:r>
            <w:proofErr w:type="spellEnd"/>
            <w:r w:rsidR="00023A37">
              <w:rPr>
                <w:sz w:val="20"/>
                <w:szCs w:val="20"/>
                <w:lang w:eastAsia="de-DE"/>
              </w:rPr>
              <w:t xml:space="preserve">. </w:t>
            </w:r>
            <w:proofErr w:type="spellStart"/>
            <w:r w:rsidR="00023A37">
              <w:rPr>
                <w:sz w:val="20"/>
                <w:szCs w:val="20"/>
                <w:lang w:eastAsia="de-DE"/>
              </w:rPr>
              <w:t>amend</w:t>
            </w:r>
            <w:proofErr w:type="spellEnd"/>
            <w:r w:rsidR="00023A37">
              <w:rPr>
                <w:sz w:val="20"/>
                <w:szCs w:val="20"/>
                <w:lang w:eastAsia="de-DE"/>
              </w:rPr>
              <w:t>. V</w:t>
            </w:r>
            <w:r w:rsidR="31D0A498" w:rsidRPr="5B67C1D2">
              <w:rPr>
                <w:sz w:val="20"/>
                <w:szCs w:val="20"/>
                <w:lang w:eastAsia="de-DE"/>
              </w:rPr>
              <w:t xml:space="preserve">, </w:t>
            </w:r>
            <w:r w:rsidR="31D0A498" w:rsidRPr="5B67C1D2">
              <w:rPr>
                <w:color w:val="242424"/>
                <w:sz w:val="20"/>
                <w:szCs w:val="20"/>
              </w:rPr>
              <w:t>nach der niemand zweimal wegen derselben Tat angeklagt werden darf.</w:t>
            </w:r>
            <w:r w:rsidRPr="5B67C1D2">
              <w:rPr>
                <w:rStyle w:val="Funotenzeichen"/>
                <w:sz w:val="20"/>
                <w:szCs w:val="20"/>
                <w:lang w:eastAsia="de-DE"/>
              </w:rPr>
              <w:footnoteReference w:id="701"/>
            </w:r>
          </w:p>
          <w:p w14:paraId="0CB7476B" w14:textId="77777777" w:rsidR="00074551" w:rsidRDefault="00074551" w:rsidP="00367133">
            <w:pPr>
              <w:jc w:val="both"/>
              <w:rPr>
                <w:sz w:val="20"/>
                <w:szCs w:val="20"/>
                <w:lang w:eastAsia="de-DE"/>
              </w:rPr>
            </w:pPr>
          </w:p>
          <w:p w14:paraId="6E3B9581" w14:textId="77777777" w:rsidR="00074551" w:rsidRPr="00E50B51" w:rsidRDefault="00074551" w:rsidP="00367133">
            <w:pPr>
              <w:jc w:val="both"/>
              <w:rPr>
                <w:sz w:val="20"/>
                <w:szCs w:val="20"/>
                <w:lang w:eastAsia="de-DE"/>
              </w:rPr>
            </w:pPr>
            <w:r w:rsidRPr="00E50B51">
              <w:rPr>
                <w:sz w:val="20"/>
                <w:szCs w:val="20"/>
                <w:lang w:eastAsia="de-DE"/>
              </w:rPr>
              <w:t xml:space="preserve">So wie der Kongress die </w:t>
            </w:r>
            <w:r w:rsidRPr="5B67C1D2">
              <w:rPr>
                <w:i/>
                <w:iCs/>
                <w:sz w:val="20"/>
                <w:szCs w:val="20"/>
                <w:lang w:eastAsia="de-DE"/>
              </w:rPr>
              <w:t>Bill of Rights</w:t>
            </w:r>
            <w:r w:rsidRPr="00E50B51">
              <w:rPr>
                <w:sz w:val="20"/>
                <w:szCs w:val="20"/>
                <w:lang w:eastAsia="de-DE"/>
              </w:rPr>
              <w:t xml:space="preserve"> auf sein</w:t>
            </w:r>
            <w:r>
              <w:rPr>
                <w:sz w:val="20"/>
                <w:szCs w:val="20"/>
                <w:lang w:eastAsia="de-DE"/>
              </w:rPr>
              <w:t xml:space="preserve"> vertraglich zugesichertes</w:t>
            </w:r>
            <w:r w:rsidRPr="00E50B51">
              <w:rPr>
                <w:sz w:val="20"/>
                <w:szCs w:val="20"/>
                <w:lang w:eastAsia="de-DE"/>
              </w:rPr>
              <w:t xml:space="preserve"> Hoheitsgebiet ausdehnte, dehnt der </w:t>
            </w:r>
            <w:r>
              <w:rPr>
                <w:sz w:val="20"/>
                <w:szCs w:val="20"/>
                <w:lang w:eastAsia="de-DE"/>
              </w:rPr>
              <w:t>U.S. Supreme Court</w:t>
            </w:r>
            <w:r w:rsidRPr="00E50B51">
              <w:rPr>
                <w:sz w:val="20"/>
                <w:szCs w:val="20"/>
                <w:lang w:eastAsia="de-DE"/>
              </w:rPr>
              <w:t xml:space="preserve"> als Korrelat das Streben nach Glück aus</w:t>
            </w:r>
            <w:r>
              <w:rPr>
                <w:sz w:val="20"/>
                <w:szCs w:val="20"/>
                <w:lang w:eastAsia="de-DE"/>
              </w:rPr>
              <w:t>, hier auf die Philippinen</w:t>
            </w:r>
            <w:r w:rsidRPr="00E50B51">
              <w:rPr>
                <w:sz w:val="20"/>
                <w:szCs w:val="20"/>
                <w:lang w:eastAsia="de-DE"/>
              </w:rPr>
              <w:t>. Zu der Frage, ob das dem Fall zugrunde liegende Gesetz in den Philippinen verfassungswidrig sei („</w:t>
            </w:r>
            <w:proofErr w:type="spellStart"/>
            <w:r w:rsidRPr="00E50B51">
              <w:rPr>
                <w:sz w:val="20"/>
                <w:szCs w:val="20"/>
                <w:lang w:eastAsia="de-DE"/>
              </w:rPr>
              <w:t>law</w:t>
            </w:r>
            <w:proofErr w:type="spellEnd"/>
            <w:r w:rsidRPr="00E50B51">
              <w:rPr>
                <w:sz w:val="20"/>
                <w:szCs w:val="20"/>
                <w:lang w:eastAsia="de-DE"/>
              </w:rPr>
              <w:t xml:space="preserve"> to </w:t>
            </w:r>
            <w:proofErr w:type="spellStart"/>
            <w:r w:rsidRPr="00E50B51">
              <w:rPr>
                <w:sz w:val="20"/>
                <w:szCs w:val="20"/>
                <w:lang w:eastAsia="de-DE"/>
              </w:rPr>
              <w:t>be</w:t>
            </w:r>
            <w:proofErr w:type="spellEnd"/>
            <w:r w:rsidRPr="00E50B51">
              <w:rPr>
                <w:sz w:val="20"/>
                <w:szCs w:val="20"/>
                <w:lang w:eastAsia="de-DE"/>
              </w:rPr>
              <w:t xml:space="preserve"> </w:t>
            </w:r>
            <w:r w:rsidRPr="000D3957">
              <w:rPr>
                <w:sz w:val="20"/>
                <w:szCs w:val="20"/>
                <w:lang w:eastAsia="de-DE"/>
              </w:rPr>
              <w:t>invalid“</w:t>
            </w:r>
            <w:r w:rsidRPr="000D3957">
              <w:rPr>
                <w:rStyle w:val="Funotenzeichen"/>
                <w:sz w:val="20"/>
                <w:szCs w:val="20"/>
                <w:lang w:eastAsia="de-DE"/>
              </w:rPr>
              <w:footnoteReference w:id="702"/>
            </w:r>
            <w:r w:rsidRPr="000D3957">
              <w:rPr>
                <w:sz w:val="20"/>
                <w:szCs w:val="20"/>
                <w:lang w:eastAsia="de-DE"/>
              </w:rPr>
              <w:t>), trägt</w:t>
            </w:r>
            <w:r w:rsidRPr="00E50B51">
              <w:rPr>
                <w:sz w:val="20"/>
                <w:szCs w:val="20"/>
                <w:lang w:eastAsia="de-DE"/>
              </w:rPr>
              <w:t xml:space="preserve"> der </w:t>
            </w:r>
            <w:r>
              <w:rPr>
                <w:sz w:val="20"/>
                <w:szCs w:val="20"/>
                <w:lang w:eastAsia="de-DE"/>
              </w:rPr>
              <w:t>U.S. Supreme Court</w:t>
            </w:r>
            <w:r w:rsidRPr="00E50B51">
              <w:rPr>
                <w:sz w:val="20"/>
                <w:szCs w:val="20"/>
                <w:lang w:eastAsia="de-DE"/>
              </w:rPr>
              <w:t xml:space="preserve"> </w:t>
            </w:r>
            <w:r>
              <w:rPr>
                <w:sz w:val="20"/>
                <w:szCs w:val="20"/>
                <w:lang w:eastAsia="de-DE"/>
              </w:rPr>
              <w:t>u.a.</w:t>
            </w:r>
            <w:r w:rsidRPr="00E50B51">
              <w:rPr>
                <w:sz w:val="20"/>
                <w:szCs w:val="20"/>
                <w:lang w:eastAsia="de-DE"/>
              </w:rPr>
              <w:t xml:space="preserve"> vor</w:t>
            </w:r>
            <w:r>
              <w:rPr>
                <w:sz w:val="20"/>
                <w:szCs w:val="20"/>
                <w:lang w:eastAsia="de-DE"/>
              </w:rPr>
              <w:t>: Das Gesetz</w:t>
            </w:r>
            <w:r w:rsidRPr="00E50B51">
              <w:rPr>
                <w:sz w:val="20"/>
                <w:szCs w:val="20"/>
                <w:lang w:eastAsia="de-DE"/>
              </w:rPr>
              <w:t xml:space="preserve"> verstoße gegen die Freiheit („the </w:t>
            </w:r>
            <w:proofErr w:type="spellStart"/>
            <w:r w:rsidRPr="00E50B51">
              <w:rPr>
                <w:sz w:val="20"/>
                <w:szCs w:val="20"/>
                <w:lang w:eastAsia="de-DE"/>
              </w:rPr>
              <w:t>law</w:t>
            </w:r>
            <w:proofErr w:type="spellEnd"/>
            <w:r w:rsidRPr="00E50B51">
              <w:rPr>
                <w:sz w:val="20"/>
                <w:szCs w:val="20"/>
                <w:lang w:eastAsia="de-DE"/>
              </w:rPr>
              <w:t xml:space="preserve"> […] </w:t>
            </w:r>
            <w:proofErr w:type="spellStart"/>
            <w:r w:rsidRPr="00E50B51">
              <w:rPr>
                <w:sz w:val="20"/>
                <w:szCs w:val="20"/>
                <w:lang w:eastAsia="de-DE"/>
              </w:rPr>
              <w:t>deprives</w:t>
            </w:r>
            <w:proofErr w:type="spellEnd"/>
            <w:r w:rsidRPr="00E50B51">
              <w:rPr>
                <w:sz w:val="20"/>
                <w:szCs w:val="20"/>
                <w:lang w:eastAsia="de-DE"/>
              </w:rPr>
              <w:t xml:space="preserve"> Chinese </w:t>
            </w:r>
            <w:proofErr w:type="spellStart"/>
            <w:r w:rsidRPr="00E50B51">
              <w:rPr>
                <w:sz w:val="20"/>
                <w:szCs w:val="20"/>
                <w:lang w:eastAsia="de-DE"/>
              </w:rPr>
              <w:t>persons</w:t>
            </w:r>
            <w:proofErr w:type="spellEnd"/>
            <w:r>
              <w:rPr>
                <w:sz w:val="20"/>
                <w:szCs w:val="20"/>
                <w:lang w:eastAsia="de-DE"/>
              </w:rPr>
              <w:t> –</w:t>
            </w:r>
            <w:r w:rsidRPr="00E50B51">
              <w:rPr>
                <w:sz w:val="20"/>
                <w:szCs w:val="20"/>
                <w:lang w:eastAsia="de-DE"/>
              </w:rPr>
              <w:t xml:space="preserve"> </w:t>
            </w:r>
            <w:proofErr w:type="spellStart"/>
            <w:r w:rsidRPr="00E50B51">
              <w:rPr>
                <w:sz w:val="20"/>
                <w:szCs w:val="20"/>
                <w:lang w:eastAsia="de-DE"/>
              </w:rPr>
              <w:t>situated</w:t>
            </w:r>
            <w:proofErr w:type="spellEnd"/>
            <w:r w:rsidRPr="00E50B51">
              <w:rPr>
                <w:sz w:val="20"/>
                <w:szCs w:val="20"/>
                <w:lang w:eastAsia="de-DE"/>
              </w:rPr>
              <w:t xml:space="preserve"> as </w:t>
            </w:r>
            <w:proofErr w:type="spellStart"/>
            <w:r w:rsidRPr="00E50B51">
              <w:rPr>
                <w:sz w:val="20"/>
                <w:szCs w:val="20"/>
                <w:lang w:eastAsia="de-DE"/>
              </w:rPr>
              <w:t>they</w:t>
            </w:r>
            <w:proofErr w:type="spellEnd"/>
            <w:r w:rsidRPr="00E50B51">
              <w:rPr>
                <w:sz w:val="20"/>
                <w:szCs w:val="20"/>
                <w:lang w:eastAsia="de-DE"/>
              </w:rPr>
              <w:t xml:space="preserve"> </w:t>
            </w:r>
            <w:proofErr w:type="spellStart"/>
            <w:r w:rsidRPr="00E50B51">
              <w:rPr>
                <w:sz w:val="20"/>
                <w:szCs w:val="20"/>
                <w:lang w:eastAsia="de-DE"/>
              </w:rPr>
              <w:t>are</w:t>
            </w:r>
            <w:proofErr w:type="spellEnd"/>
            <w:r w:rsidRPr="00E50B51">
              <w:rPr>
                <w:sz w:val="20"/>
                <w:szCs w:val="20"/>
                <w:lang w:eastAsia="de-DE"/>
              </w:rPr>
              <w:t xml:space="preserve">, </w:t>
            </w:r>
            <w:proofErr w:type="spellStart"/>
            <w:r w:rsidRPr="00E50B51">
              <w:rPr>
                <w:sz w:val="20"/>
                <w:szCs w:val="20"/>
                <w:lang w:eastAsia="de-DE"/>
              </w:rPr>
              <w:t>with</w:t>
            </w:r>
            <w:proofErr w:type="spellEnd"/>
            <w:r w:rsidRPr="00E50B51">
              <w:rPr>
                <w:sz w:val="20"/>
                <w:szCs w:val="20"/>
                <w:lang w:eastAsia="de-DE"/>
              </w:rPr>
              <w:t xml:space="preserve"> </w:t>
            </w:r>
            <w:proofErr w:type="spellStart"/>
            <w:r w:rsidRPr="00E50B51">
              <w:rPr>
                <w:sz w:val="20"/>
                <w:szCs w:val="20"/>
                <w:lang w:eastAsia="de-DE"/>
              </w:rPr>
              <w:t>their</w:t>
            </w:r>
            <w:proofErr w:type="spellEnd"/>
            <w:r w:rsidRPr="00E50B51">
              <w:rPr>
                <w:sz w:val="20"/>
                <w:szCs w:val="20"/>
                <w:lang w:eastAsia="de-DE"/>
              </w:rPr>
              <w:t xml:space="preserve"> extensive and important </w:t>
            </w:r>
            <w:proofErr w:type="spellStart"/>
            <w:r w:rsidRPr="00E50B51">
              <w:rPr>
                <w:sz w:val="20"/>
                <w:szCs w:val="20"/>
                <w:lang w:eastAsia="de-DE"/>
              </w:rPr>
              <w:t>business</w:t>
            </w:r>
            <w:proofErr w:type="spellEnd"/>
            <w:r w:rsidRPr="00E50B51">
              <w:rPr>
                <w:sz w:val="20"/>
                <w:szCs w:val="20"/>
                <w:lang w:eastAsia="de-DE"/>
              </w:rPr>
              <w:t xml:space="preserve"> </w:t>
            </w:r>
            <w:proofErr w:type="spellStart"/>
            <w:r w:rsidRPr="00E50B51">
              <w:rPr>
                <w:sz w:val="20"/>
                <w:szCs w:val="20"/>
                <w:lang w:eastAsia="de-DE"/>
              </w:rPr>
              <w:t>long</w:t>
            </w:r>
            <w:proofErr w:type="spellEnd"/>
            <w:r w:rsidRPr="00E50B51">
              <w:rPr>
                <w:sz w:val="20"/>
                <w:szCs w:val="20"/>
                <w:lang w:eastAsia="de-DE"/>
              </w:rPr>
              <w:t xml:space="preserve"> </w:t>
            </w:r>
            <w:proofErr w:type="spellStart"/>
            <w:r w:rsidRPr="00E50B51">
              <w:rPr>
                <w:sz w:val="20"/>
                <w:szCs w:val="20"/>
                <w:lang w:eastAsia="de-DE"/>
              </w:rPr>
              <w:t>established</w:t>
            </w:r>
            <w:proofErr w:type="spellEnd"/>
            <w:r>
              <w:rPr>
                <w:sz w:val="20"/>
                <w:szCs w:val="20"/>
                <w:lang w:eastAsia="de-DE"/>
              </w:rPr>
              <w:t> –</w:t>
            </w:r>
            <w:r w:rsidRPr="00E50B51">
              <w:rPr>
                <w:sz w:val="20"/>
                <w:szCs w:val="20"/>
                <w:lang w:eastAsia="de-DE"/>
              </w:rPr>
              <w:t xml:space="preserve"> of </w:t>
            </w:r>
            <w:proofErr w:type="spellStart"/>
            <w:r w:rsidRPr="00E50B51">
              <w:rPr>
                <w:sz w:val="20"/>
                <w:szCs w:val="20"/>
                <w:lang w:eastAsia="de-DE"/>
              </w:rPr>
              <w:t>their</w:t>
            </w:r>
            <w:proofErr w:type="spellEnd"/>
            <w:r w:rsidRPr="00E50B51">
              <w:rPr>
                <w:sz w:val="20"/>
                <w:szCs w:val="20"/>
                <w:lang w:eastAsia="de-DE"/>
              </w:rPr>
              <w:t xml:space="preserve"> </w:t>
            </w:r>
            <w:proofErr w:type="spellStart"/>
            <w:r w:rsidRPr="00E50B51">
              <w:rPr>
                <w:sz w:val="20"/>
                <w:szCs w:val="20"/>
                <w:lang w:eastAsia="de-DE"/>
              </w:rPr>
              <w:t>liberty</w:t>
            </w:r>
            <w:proofErr w:type="spellEnd"/>
            <w:r w:rsidRPr="00E50B51">
              <w:rPr>
                <w:sz w:val="20"/>
                <w:szCs w:val="20"/>
                <w:lang w:eastAsia="de-DE"/>
              </w:rPr>
              <w:t>“</w:t>
            </w:r>
            <w:r w:rsidRPr="5B67C1D2">
              <w:rPr>
                <w:rStyle w:val="Funotenzeichen"/>
                <w:rFonts w:eastAsiaTheme="majorEastAsia"/>
                <w:sz w:val="20"/>
                <w:szCs w:val="20"/>
                <w:lang w:eastAsia="de-DE"/>
              </w:rPr>
              <w:footnoteReference w:id="703"/>
            </w:r>
            <w:r w:rsidRPr="5B67C1D2">
              <w:rPr>
                <w:rStyle w:val="Funotenzeichen"/>
                <w:rFonts w:eastAsiaTheme="majorEastAsia"/>
                <w:sz w:val="20"/>
                <w:szCs w:val="20"/>
                <w:lang w:eastAsia="de-DE"/>
              </w:rPr>
              <w:t>)</w:t>
            </w:r>
            <w:r w:rsidRPr="00E50B51">
              <w:rPr>
                <w:sz w:val="20"/>
                <w:szCs w:val="20"/>
                <w:lang w:eastAsia="de-DE"/>
              </w:rPr>
              <w:t xml:space="preserve">. </w:t>
            </w:r>
            <w:r>
              <w:rPr>
                <w:sz w:val="20"/>
                <w:szCs w:val="20"/>
                <w:lang w:eastAsia="de-DE"/>
              </w:rPr>
              <w:t xml:space="preserve">Und der Freiheitsschutz bilde eine </w:t>
            </w:r>
            <w:r w:rsidRPr="00E50B51">
              <w:rPr>
                <w:sz w:val="20"/>
                <w:szCs w:val="20"/>
                <w:lang w:eastAsia="de-DE"/>
              </w:rPr>
              <w:t>Doktrin („</w:t>
            </w:r>
            <w:proofErr w:type="spellStart"/>
            <w:r w:rsidRPr="00E50B51">
              <w:rPr>
                <w:sz w:val="20"/>
                <w:szCs w:val="20"/>
                <w:lang w:eastAsia="de-DE"/>
              </w:rPr>
              <w:t>established</w:t>
            </w:r>
            <w:proofErr w:type="spellEnd"/>
            <w:r w:rsidRPr="00E50B51">
              <w:rPr>
                <w:sz w:val="20"/>
                <w:szCs w:val="20"/>
                <w:lang w:eastAsia="de-DE"/>
              </w:rPr>
              <w:t xml:space="preserve"> </w:t>
            </w:r>
            <w:proofErr w:type="spellStart"/>
            <w:r w:rsidRPr="00E50B51">
              <w:rPr>
                <w:sz w:val="20"/>
                <w:szCs w:val="20"/>
                <w:lang w:eastAsia="de-DE"/>
              </w:rPr>
              <w:t>doctrine</w:t>
            </w:r>
            <w:proofErr w:type="spellEnd"/>
            <w:r w:rsidRPr="00E50B51">
              <w:rPr>
                <w:sz w:val="20"/>
                <w:szCs w:val="20"/>
                <w:lang w:eastAsia="de-DE"/>
              </w:rPr>
              <w:t>“</w:t>
            </w:r>
            <w:r w:rsidRPr="5B67C1D2">
              <w:rPr>
                <w:rStyle w:val="Funotenzeichen"/>
                <w:rFonts w:eastAsiaTheme="majorEastAsia"/>
                <w:sz w:val="20"/>
                <w:szCs w:val="20"/>
                <w:lang w:eastAsia="de-DE"/>
              </w:rPr>
              <w:footnoteReference w:id="704"/>
            </w:r>
            <w:r w:rsidRPr="00E50B51">
              <w:rPr>
                <w:sz w:val="20"/>
                <w:szCs w:val="20"/>
                <w:lang w:eastAsia="de-DE"/>
              </w:rPr>
              <w:t>)</w:t>
            </w:r>
            <w:r>
              <w:rPr>
                <w:sz w:val="20"/>
                <w:szCs w:val="20"/>
                <w:lang w:eastAsia="de-DE"/>
              </w:rPr>
              <w:t>.</w:t>
            </w:r>
            <w:r w:rsidRPr="00E50B51">
              <w:rPr>
                <w:sz w:val="20"/>
                <w:szCs w:val="20"/>
                <w:lang w:eastAsia="de-DE"/>
              </w:rPr>
              <w:t xml:space="preserve"> </w:t>
            </w:r>
            <w:r>
              <w:rPr>
                <w:sz w:val="20"/>
                <w:szCs w:val="20"/>
                <w:lang w:eastAsia="de-DE"/>
              </w:rPr>
              <w:t>Letztere sei Teil der</w:t>
            </w:r>
            <w:r w:rsidRPr="00E50B51">
              <w:rPr>
                <w:sz w:val="20"/>
                <w:szCs w:val="20"/>
                <w:lang w:eastAsia="de-DE"/>
              </w:rPr>
              <w:t xml:space="preserve"> Vorrechte </w:t>
            </w:r>
            <w:r>
              <w:rPr>
                <w:sz w:val="20"/>
                <w:szCs w:val="20"/>
                <w:lang w:eastAsia="de-DE"/>
              </w:rPr>
              <w:t>und begründe</w:t>
            </w:r>
            <w:r w:rsidRPr="00E50B51">
              <w:rPr>
                <w:sz w:val="20"/>
                <w:szCs w:val="20"/>
                <w:lang w:eastAsia="de-DE"/>
              </w:rPr>
              <w:t xml:space="preserve"> Freiheitsdimensionen</w:t>
            </w:r>
            <w:r>
              <w:rPr>
                <w:sz w:val="20"/>
                <w:szCs w:val="20"/>
                <w:lang w:eastAsia="de-DE"/>
              </w:rPr>
              <w:t>,</w:t>
            </w:r>
            <w:r w:rsidRPr="00E50B51">
              <w:rPr>
                <w:sz w:val="20"/>
                <w:szCs w:val="20"/>
                <w:lang w:eastAsia="de-DE"/>
              </w:rPr>
              <w:t xml:space="preserve"> die für ein Streben nach Glück unabdingbar seien („</w:t>
            </w:r>
            <w:proofErr w:type="spellStart"/>
            <w:r w:rsidRPr="00E50B51">
              <w:rPr>
                <w:sz w:val="20"/>
                <w:szCs w:val="20"/>
                <w:lang w:eastAsia="de-DE"/>
              </w:rPr>
              <w:t>those</w:t>
            </w:r>
            <w:proofErr w:type="spellEnd"/>
            <w:r w:rsidRPr="00E50B51">
              <w:rPr>
                <w:sz w:val="20"/>
                <w:szCs w:val="20"/>
                <w:lang w:eastAsia="de-DE"/>
              </w:rPr>
              <w:t xml:space="preserve"> </w:t>
            </w:r>
            <w:proofErr w:type="spellStart"/>
            <w:r w:rsidRPr="00E50B51">
              <w:rPr>
                <w:sz w:val="20"/>
                <w:szCs w:val="20"/>
                <w:lang w:eastAsia="de-DE"/>
              </w:rPr>
              <w:t>privileges</w:t>
            </w:r>
            <w:proofErr w:type="spellEnd"/>
            <w:r w:rsidRPr="00E50B51">
              <w:rPr>
                <w:sz w:val="20"/>
                <w:szCs w:val="20"/>
                <w:lang w:eastAsia="de-DE"/>
              </w:rPr>
              <w:t xml:space="preserve"> </w:t>
            </w:r>
            <w:proofErr w:type="spellStart"/>
            <w:r w:rsidRPr="00E50B51">
              <w:rPr>
                <w:sz w:val="20"/>
                <w:szCs w:val="20"/>
                <w:lang w:eastAsia="de-DE"/>
              </w:rPr>
              <w:t>long</w:t>
            </w:r>
            <w:proofErr w:type="spellEnd"/>
            <w:r w:rsidRPr="00E50B51">
              <w:rPr>
                <w:sz w:val="20"/>
                <w:szCs w:val="20"/>
                <w:lang w:eastAsia="de-DE"/>
              </w:rPr>
              <w:t xml:space="preserve"> </w:t>
            </w:r>
            <w:proofErr w:type="spellStart"/>
            <w:r w:rsidRPr="00E50B51">
              <w:rPr>
                <w:sz w:val="20"/>
                <w:szCs w:val="20"/>
                <w:lang w:eastAsia="de-DE"/>
              </w:rPr>
              <w:t>recognized</w:t>
            </w:r>
            <w:proofErr w:type="spellEnd"/>
            <w:r w:rsidRPr="00E50B51">
              <w:rPr>
                <w:sz w:val="20"/>
                <w:szCs w:val="20"/>
                <w:lang w:eastAsia="de-DE"/>
              </w:rPr>
              <w:t xml:space="preserve"> at </w:t>
            </w:r>
            <w:proofErr w:type="spellStart"/>
            <w:r w:rsidRPr="00E50B51">
              <w:rPr>
                <w:sz w:val="20"/>
                <w:szCs w:val="20"/>
                <w:lang w:eastAsia="de-DE"/>
              </w:rPr>
              <w:t>common</w:t>
            </w:r>
            <w:proofErr w:type="spellEnd"/>
            <w:r w:rsidRPr="00E50B51">
              <w:rPr>
                <w:sz w:val="20"/>
                <w:szCs w:val="20"/>
                <w:lang w:eastAsia="de-DE"/>
              </w:rPr>
              <w:t xml:space="preserve"> </w:t>
            </w:r>
            <w:proofErr w:type="spellStart"/>
            <w:r w:rsidRPr="00E50B51">
              <w:rPr>
                <w:sz w:val="20"/>
                <w:szCs w:val="20"/>
                <w:lang w:eastAsia="de-DE"/>
              </w:rPr>
              <w:t>law</w:t>
            </w:r>
            <w:proofErr w:type="spellEnd"/>
            <w:r w:rsidRPr="00E50B51">
              <w:rPr>
                <w:sz w:val="20"/>
                <w:szCs w:val="20"/>
                <w:lang w:eastAsia="de-DE"/>
              </w:rPr>
              <w:t xml:space="preserve"> as essential to the </w:t>
            </w:r>
            <w:proofErr w:type="spellStart"/>
            <w:r w:rsidRPr="00E50B51">
              <w:rPr>
                <w:sz w:val="20"/>
                <w:szCs w:val="20"/>
                <w:lang w:eastAsia="de-DE"/>
              </w:rPr>
              <w:t>orderly</w:t>
            </w:r>
            <w:proofErr w:type="spellEnd"/>
            <w:r w:rsidRPr="00E50B51">
              <w:rPr>
                <w:sz w:val="20"/>
                <w:szCs w:val="20"/>
                <w:lang w:eastAsia="de-DE"/>
              </w:rPr>
              <w:t xml:space="preserve"> </w:t>
            </w:r>
            <w:proofErr w:type="spellStart"/>
            <w:r w:rsidRPr="00E50B51">
              <w:rPr>
                <w:sz w:val="20"/>
                <w:szCs w:val="20"/>
                <w:lang w:eastAsia="de-DE"/>
              </w:rPr>
              <w:t>pursuit</w:t>
            </w:r>
            <w:proofErr w:type="spellEnd"/>
            <w:r w:rsidRPr="00E50B51">
              <w:rPr>
                <w:sz w:val="20"/>
                <w:szCs w:val="20"/>
                <w:lang w:eastAsia="de-DE"/>
              </w:rPr>
              <w:t xml:space="preserve"> of </w:t>
            </w:r>
            <w:proofErr w:type="spellStart"/>
            <w:r w:rsidRPr="00E50B51">
              <w:rPr>
                <w:sz w:val="20"/>
                <w:szCs w:val="20"/>
                <w:lang w:eastAsia="de-DE"/>
              </w:rPr>
              <w:t>happiness</w:t>
            </w:r>
            <w:proofErr w:type="spellEnd"/>
            <w:r w:rsidRPr="00E50B51">
              <w:rPr>
                <w:sz w:val="20"/>
                <w:szCs w:val="20"/>
                <w:lang w:eastAsia="de-DE"/>
              </w:rPr>
              <w:t xml:space="preserve"> by </w:t>
            </w:r>
            <w:proofErr w:type="spellStart"/>
            <w:r w:rsidRPr="00E50B51">
              <w:rPr>
                <w:sz w:val="20"/>
                <w:szCs w:val="20"/>
                <w:lang w:eastAsia="de-DE"/>
              </w:rPr>
              <w:t>free</w:t>
            </w:r>
            <w:proofErr w:type="spellEnd"/>
            <w:r w:rsidRPr="00E50B51">
              <w:rPr>
                <w:sz w:val="20"/>
                <w:szCs w:val="20"/>
                <w:lang w:eastAsia="de-DE"/>
              </w:rPr>
              <w:t xml:space="preserve"> </w:t>
            </w:r>
            <w:proofErr w:type="spellStart"/>
            <w:r w:rsidRPr="00E50B51">
              <w:rPr>
                <w:sz w:val="20"/>
                <w:szCs w:val="20"/>
                <w:lang w:eastAsia="de-DE"/>
              </w:rPr>
              <w:t>men</w:t>
            </w:r>
            <w:proofErr w:type="spellEnd"/>
            <w:r w:rsidRPr="00E50B51">
              <w:rPr>
                <w:sz w:val="20"/>
                <w:szCs w:val="20"/>
                <w:lang w:eastAsia="de-DE"/>
              </w:rPr>
              <w:t>“</w:t>
            </w:r>
            <w:r w:rsidRPr="5B67C1D2">
              <w:rPr>
                <w:rStyle w:val="Funotenzeichen"/>
                <w:rFonts w:eastAsiaTheme="majorEastAsia"/>
                <w:sz w:val="20"/>
                <w:szCs w:val="20"/>
                <w:lang w:eastAsia="de-DE"/>
              </w:rPr>
              <w:footnoteReference w:id="705"/>
            </w:r>
            <w:r w:rsidRPr="00E50B51">
              <w:rPr>
                <w:sz w:val="20"/>
                <w:szCs w:val="20"/>
                <w:lang w:eastAsia="de-DE"/>
              </w:rPr>
              <w:t>).</w:t>
            </w:r>
            <w:r>
              <w:rPr>
                <w:sz w:val="20"/>
                <w:szCs w:val="20"/>
                <w:lang w:eastAsia="de-DE"/>
              </w:rPr>
              <w:t xml:space="preserve"> Dagegen verstoße das streitgegenständliche Gesetz, der </w:t>
            </w:r>
            <w:r w:rsidRPr="5B67C1D2">
              <w:rPr>
                <w:i/>
                <w:iCs/>
                <w:sz w:val="20"/>
                <w:szCs w:val="20"/>
                <w:lang w:eastAsia="de-DE"/>
              </w:rPr>
              <w:t xml:space="preserve">Chinese </w:t>
            </w:r>
            <w:proofErr w:type="spellStart"/>
            <w:r w:rsidRPr="5B67C1D2">
              <w:rPr>
                <w:i/>
                <w:iCs/>
                <w:sz w:val="20"/>
                <w:szCs w:val="20"/>
                <w:lang w:eastAsia="de-DE"/>
              </w:rPr>
              <w:t>Bookkeeping</w:t>
            </w:r>
            <w:proofErr w:type="spellEnd"/>
            <w:r w:rsidRPr="5B67C1D2">
              <w:rPr>
                <w:i/>
                <w:iCs/>
                <w:sz w:val="20"/>
                <w:szCs w:val="20"/>
                <w:lang w:eastAsia="de-DE"/>
              </w:rPr>
              <w:t xml:space="preserve"> Act</w:t>
            </w:r>
            <w:r w:rsidRPr="000D3957">
              <w:rPr>
                <w:sz w:val="20"/>
                <w:szCs w:val="20"/>
                <w:lang w:eastAsia="de-DE"/>
              </w:rPr>
              <w:t xml:space="preserve">, Act </w:t>
            </w:r>
            <w:proofErr w:type="spellStart"/>
            <w:r w:rsidRPr="000D3957">
              <w:rPr>
                <w:sz w:val="20"/>
                <w:szCs w:val="20"/>
                <w:lang w:eastAsia="de-DE"/>
              </w:rPr>
              <w:t>No</w:t>
            </w:r>
            <w:proofErr w:type="spellEnd"/>
            <w:r w:rsidRPr="000D3957">
              <w:rPr>
                <w:sz w:val="20"/>
                <w:szCs w:val="20"/>
                <w:lang w:eastAsia="de-DE"/>
              </w:rPr>
              <w:t>. 2972</w:t>
            </w:r>
            <w:r>
              <w:rPr>
                <w:sz w:val="20"/>
                <w:szCs w:val="20"/>
                <w:lang w:eastAsia="de-DE"/>
              </w:rPr>
              <w:t>,</w:t>
            </w:r>
            <w:r w:rsidRPr="000D3957">
              <w:rPr>
                <w:sz w:val="20"/>
                <w:szCs w:val="20"/>
                <w:vertAlign w:val="superscript"/>
                <w:lang w:eastAsia="de-DE"/>
              </w:rPr>
              <w:footnoteReference w:id="706"/>
            </w:r>
            <w:r>
              <w:rPr>
                <w:sz w:val="20"/>
                <w:szCs w:val="20"/>
                <w:lang w:eastAsia="de-DE"/>
              </w:rPr>
              <w:t xml:space="preserve"> welcher </w:t>
            </w:r>
            <w:r w:rsidRPr="000D3957">
              <w:rPr>
                <w:sz w:val="20"/>
                <w:szCs w:val="20"/>
                <w:lang w:eastAsia="de-DE"/>
              </w:rPr>
              <w:t>eine Buchführung nur auf Englisch, Spanisch oder Tagalog</w:t>
            </w:r>
            <w:r>
              <w:rPr>
                <w:sz w:val="20"/>
                <w:szCs w:val="20"/>
                <w:lang w:eastAsia="de-DE"/>
              </w:rPr>
              <w:t xml:space="preserve"> erlaubte</w:t>
            </w:r>
            <w:r w:rsidRPr="000D3957">
              <w:rPr>
                <w:sz w:val="20"/>
                <w:szCs w:val="20"/>
                <w:lang w:eastAsia="de-DE"/>
              </w:rPr>
              <w:t>, nicht jedoch in chinesischer Sprache.</w:t>
            </w:r>
          </w:p>
          <w:p w14:paraId="7EE37A8F" w14:textId="77777777" w:rsidR="00074551" w:rsidRPr="00E50B51" w:rsidRDefault="00074551" w:rsidP="00367133">
            <w:pPr>
              <w:jc w:val="both"/>
              <w:rPr>
                <w:sz w:val="20"/>
                <w:szCs w:val="20"/>
              </w:rPr>
            </w:pPr>
          </w:p>
        </w:tc>
      </w:tr>
      <w:tr w:rsidR="00074551" w:rsidRPr="00E50B51" w14:paraId="37B08044" w14:textId="77777777" w:rsidTr="00BE689F">
        <w:trPr>
          <w:cantSplit/>
          <w:trHeight w:val="3175"/>
        </w:trPr>
        <w:tc>
          <w:tcPr>
            <w:tcW w:w="293" w:type="pct"/>
          </w:tcPr>
          <w:p w14:paraId="28C97E9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50AE7EF" w14:textId="77777777" w:rsidR="00074551" w:rsidRPr="00E50B51" w:rsidRDefault="00074551" w:rsidP="00367133">
            <w:pPr>
              <w:ind w:left="113" w:right="416"/>
              <w:jc w:val="both"/>
              <w:rPr>
                <w:sz w:val="20"/>
                <w:szCs w:val="20"/>
                <w:lang w:val="en-US" w:eastAsia="de-DE"/>
              </w:rPr>
            </w:pPr>
            <w:r w:rsidRPr="009167A5">
              <w:rPr>
                <w:i/>
                <w:sz w:val="20"/>
                <w:szCs w:val="20"/>
                <w:lang w:val="en-US"/>
              </w:rPr>
              <w:t>Pruneyard Shopping Ctr. v. Robins</w:t>
            </w:r>
          </w:p>
        </w:tc>
        <w:tc>
          <w:tcPr>
            <w:tcW w:w="197" w:type="pct"/>
            <w:textDirection w:val="tbRl"/>
            <w:vAlign w:val="center"/>
          </w:tcPr>
          <w:p w14:paraId="1E709DAF" w14:textId="77777777" w:rsidR="00074551" w:rsidRPr="00E50B51" w:rsidRDefault="00074551" w:rsidP="00367133">
            <w:pPr>
              <w:ind w:left="113" w:right="113"/>
              <w:jc w:val="both"/>
              <w:rPr>
                <w:sz w:val="20"/>
                <w:szCs w:val="20"/>
                <w:lang w:val="en-US"/>
              </w:rPr>
            </w:pPr>
            <w:r w:rsidRPr="00E50B51">
              <w:rPr>
                <w:sz w:val="20"/>
                <w:szCs w:val="20"/>
                <w:lang w:val="en-US"/>
              </w:rPr>
              <w:t>447 U.S. 74</w:t>
            </w:r>
          </w:p>
        </w:tc>
        <w:tc>
          <w:tcPr>
            <w:tcW w:w="306" w:type="pct"/>
            <w:textDirection w:val="tbRl"/>
            <w:vAlign w:val="center"/>
          </w:tcPr>
          <w:p w14:paraId="615DFE97" w14:textId="77777777" w:rsidR="00074551" w:rsidRPr="00E50B51" w:rsidRDefault="00074551" w:rsidP="00367133">
            <w:pPr>
              <w:ind w:left="113" w:right="113"/>
              <w:jc w:val="both"/>
              <w:rPr>
                <w:sz w:val="20"/>
                <w:szCs w:val="20"/>
              </w:rPr>
            </w:pPr>
            <w:r w:rsidRPr="00E50B51">
              <w:rPr>
                <w:sz w:val="20"/>
                <w:szCs w:val="20"/>
              </w:rPr>
              <w:t>9. Juni 1980</w:t>
            </w:r>
          </w:p>
        </w:tc>
        <w:tc>
          <w:tcPr>
            <w:tcW w:w="401" w:type="pct"/>
          </w:tcPr>
          <w:p w14:paraId="6DFCD3A6" w14:textId="77777777" w:rsidR="00074551" w:rsidRPr="00E50B51" w:rsidRDefault="00074551" w:rsidP="00367133">
            <w:pPr>
              <w:jc w:val="center"/>
              <w:rPr>
                <w:sz w:val="20"/>
                <w:szCs w:val="20"/>
                <w:lang w:val="en-US"/>
              </w:rPr>
            </w:pPr>
            <w:r w:rsidRPr="00E50B51">
              <w:rPr>
                <w:sz w:val="20"/>
                <w:szCs w:val="20"/>
                <w:lang w:val="en-US"/>
              </w:rPr>
              <w:t>C</w:t>
            </w:r>
          </w:p>
        </w:tc>
        <w:tc>
          <w:tcPr>
            <w:tcW w:w="1594" w:type="pct"/>
          </w:tcPr>
          <w:p w14:paraId="17507D9F" w14:textId="77777777" w:rsidR="00074551" w:rsidRPr="00E50B51" w:rsidRDefault="00074551" w:rsidP="00367133">
            <w:pPr>
              <w:jc w:val="both"/>
              <w:rPr>
                <w:sz w:val="20"/>
                <w:szCs w:val="20"/>
              </w:rPr>
            </w:pPr>
            <w:r w:rsidRPr="00E50B51">
              <w:rPr>
                <w:sz w:val="20"/>
                <w:szCs w:val="20"/>
              </w:rPr>
              <w:t>*</w:t>
            </w:r>
          </w:p>
        </w:tc>
        <w:tc>
          <w:tcPr>
            <w:tcW w:w="1822" w:type="pct"/>
          </w:tcPr>
          <w:p w14:paraId="05EFE90C" w14:textId="64B9392B" w:rsidR="00074551" w:rsidRPr="00E50B51" w:rsidRDefault="00074551" w:rsidP="00367133">
            <w:pPr>
              <w:jc w:val="both"/>
              <w:rPr>
                <w:sz w:val="20"/>
                <w:szCs w:val="20"/>
              </w:rPr>
            </w:pPr>
            <w:r w:rsidRPr="00E50B51">
              <w:rPr>
                <w:sz w:val="20"/>
                <w:szCs w:val="20"/>
              </w:rPr>
              <w:t xml:space="preserve">In </w:t>
            </w:r>
            <w:proofErr w:type="spellStart"/>
            <w:r w:rsidRPr="5B67C1D2">
              <w:rPr>
                <w:i/>
                <w:iCs/>
                <w:sz w:val="20"/>
                <w:szCs w:val="20"/>
              </w:rPr>
              <w:t>Pruneyard</w:t>
            </w:r>
            <w:proofErr w:type="spellEnd"/>
            <w:r w:rsidRPr="5B67C1D2">
              <w:rPr>
                <w:i/>
                <w:iCs/>
                <w:sz w:val="20"/>
                <w:szCs w:val="20"/>
              </w:rPr>
              <w:t xml:space="preserve"> Shopping </w:t>
            </w:r>
            <w:proofErr w:type="spellStart"/>
            <w:r w:rsidRPr="5B67C1D2">
              <w:rPr>
                <w:i/>
                <w:iCs/>
                <w:sz w:val="20"/>
                <w:szCs w:val="20"/>
              </w:rPr>
              <w:t>Ctr</w:t>
            </w:r>
            <w:proofErr w:type="spellEnd"/>
            <w:r w:rsidRPr="5B67C1D2">
              <w:rPr>
                <w:i/>
                <w:iCs/>
                <w:sz w:val="20"/>
                <w:szCs w:val="20"/>
              </w:rPr>
              <w:t>. v. Robins</w:t>
            </w:r>
            <w:r w:rsidRPr="00E50B51">
              <w:rPr>
                <w:sz w:val="20"/>
                <w:szCs w:val="20"/>
              </w:rPr>
              <w:t xml:space="preserve"> erklärte der </w:t>
            </w:r>
            <w:r>
              <w:rPr>
                <w:sz w:val="20"/>
                <w:szCs w:val="20"/>
              </w:rPr>
              <w:t>U.S. Supreme Court</w:t>
            </w:r>
            <w:r w:rsidRPr="00E50B51">
              <w:rPr>
                <w:sz w:val="20"/>
                <w:szCs w:val="20"/>
              </w:rPr>
              <w:t>, dass Freiheitsrechte, die dem Streben nach Glück dienen, wesentlich sind (</w:t>
            </w:r>
            <w:proofErr w:type="gramStart"/>
            <w:r w:rsidRPr="00E50B51">
              <w:rPr>
                <w:sz w:val="20"/>
                <w:szCs w:val="20"/>
              </w:rPr>
              <w:t>„</w:t>
            </w:r>
            <w:r>
              <w:rPr>
                <w:sz w:val="20"/>
                <w:szCs w:val="20"/>
              </w:rPr>
              <w:t>,</w:t>
            </w:r>
            <w:proofErr w:type="spellStart"/>
            <w:r w:rsidRPr="00E50B51">
              <w:rPr>
                <w:sz w:val="20"/>
                <w:szCs w:val="20"/>
              </w:rPr>
              <w:t>core</w:t>
            </w:r>
            <w:proofErr w:type="spellEnd"/>
            <w:proofErr w:type="gramEnd"/>
            <w:r>
              <w:rPr>
                <w:sz w:val="20"/>
                <w:szCs w:val="20"/>
              </w:rPr>
              <w:t>‘</w:t>
            </w:r>
            <w:r w:rsidRPr="00E50B51">
              <w:rPr>
                <w:sz w:val="20"/>
                <w:szCs w:val="20"/>
              </w:rPr>
              <w:t xml:space="preserve"> </w:t>
            </w:r>
            <w:proofErr w:type="spellStart"/>
            <w:r w:rsidRPr="00E50B51">
              <w:rPr>
                <w:sz w:val="20"/>
                <w:szCs w:val="20"/>
              </w:rPr>
              <w:t>common-law</w:t>
            </w:r>
            <w:proofErr w:type="spellEnd"/>
            <w:r w:rsidRPr="00E50B51">
              <w:rPr>
                <w:sz w:val="20"/>
                <w:szCs w:val="20"/>
              </w:rPr>
              <w:t xml:space="preserve"> </w:t>
            </w:r>
            <w:proofErr w:type="spellStart"/>
            <w:r w:rsidRPr="00E50B51">
              <w:rPr>
                <w:sz w:val="20"/>
                <w:szCs w:val="20"/>
              </w:rPr>
              <w:t>rights</w:t>
            </w:r>
            <w:proofErr w:type="spellEnd"/>
            <w:r w:rsidRPr="00E50B51">
              <w:rPr>
                <w:sz w:val="20"/>
                <w:szCs w:val="20"/>
              </w:rPr>
              <w:t>“</w:t>
            </w:r>
            <w:r w:rsidRPr="5B67C1D2">
              <w:rPr>
                <w:rStyle w:val="Funotenzeichen"/>
                <w:rFonts w:eastAsiaTheme="majorEastAsia"/>
                <w:sz w:val="20"/>
                <w:szCs w:val="20"/>
              </w:rPr>
              <w:footnoteReference w:id="707"/>
            </w:r>
            <w:r w:rsidRPr="00E50B51">
              <w:rPr>
                <w:sz w:val="20"/>
                <w:szCs w:val="20"/>
              </w:rPr>
              <w:t>) und damit schwerer einschränkbar („</w:t>
            </w:r>
            <w:proofErr w:type="spellStart"/>
            <w:r w:rsidRPr="00E50B51">
              <w:rPr>
                <w:sz w:val="20"/>
                <w:szCs w:val="20"/>
              </w:rPr>
              <w:t>limits</w:t>
            </w:r>
            <w:proofErr w:type="spellEnd"/>
            <w:r w:rsidRPr="00E50B51">
              <w:rPr>
                <w:sz w:val="20"/>
                <w:szCs w:val="20"/>
              </w:rPr>
              <w:t xml:space="preserve"> on </w:t>
            </w:r>
            <w:proofErr w:type="spellStart"/>
            <w:r w:rsidRPr="00E50B51">
              <w:rPr>
                <w:sz w:val="20"/>
                <w:szCs w:val="20"/>
              </w:rPr>
              <w:t>governmental</w:t>
            </w:r>
            <w:proofErr w:type="spellEnd"/>
            <w:r w:rsidRPr="00E50B51">
              <w:rPr>
                <w:sz w:val="20"/>
                <w:szCs w:val="20"/>
              </w:rPr>
              <w:t xml:space="preserve"> </w:t>
            </w:r>
            <w:proofErr w:type="spellStart"/>
            <w:r w:rsidRPr="00E50B51">
              <w:rPr>
                <w:sz w:val="20"/>
                <w:szCs w:val="20"/>
              </w:rPr>
              <w:t>authority</w:t>
            </w:r>
            <w:proofErr w:type="spellEnd"/>
            <w:r w:rsidRPr="00E50B51">
              <w:rPr>
                <w:sz w:val="20"/>
                <w:szCs w:val="20"/>
              </w:rPr>
              <w:t xml:space="preserve"> to </w:t>
            </w:r>
            <w:proofErr w:type="spellStart"/>
            <w:proofErr w:type="gramStart"/>
            <w:r w:rsidRPr="00E50B51">
              <w:rPr>
                <w:sz w:val="20"/>
                <w:szCs w:val="20"/>
              </w:rPr>
              <w:t>abolish</w:t>
            </w:r>
            <w:proofErr w:type="spellEnd"/>
            <w:r w:rsidRPr="00E50B51">
              <w:rPr>
                <w:sz w:val="20"/>
                <w:szCs w:val="20"/>
              </w:rPr>
              <w:t xml:space="preserve"> </w:t>
            </w:r>
            <w:r>
              <w:rPr>
                <w:sz w:val="20"/>
                <w:szCs w:val="20"/>
              </w:rPr>
              <w:t>,</w:t>
            </w:r>
            <w:proofErr w:type="spellStart"/>
            <w:r w:rsidRPr="00E50B51">
              <w:rPr>
                <w:sz w:val="20"/>
                <w:szCs w:val="20"/>
              </w:rPr>
              <w:t>core</w:t>
            </w:r>
            <w:proofErr w:type="spellEnd"/>
            <w:proofErr w:type="gramEnd"/>
            <w:r>
              <w:rPr>
                <w:sz w:val="20"/>
                <w:szCs w:val="20"/>
              </w:rPr>
              <w:t>‘</w:t>
            </w:r>
            <w:r w:rsidRPr="00E50B51">
              <w:rPr>
                <w:sz w:val="20"/>
                <w:szCs w:val="20"/>
              </w:rPr>
              <w:t xml:space="preserve"> </w:t>
            </w:r>
            <w:proofErr w:type="spellStart"/>
            <w:r w:rsidRPr="00E50B51">
              <w:rPr>
                <w:sz w:val="20"/>
                <w:szCs w:val="20"/>
              </w:rPr>
              <w:t>common-law</w:t>
            </w:r>
            <w:proofErr w:type="spellEnd"/>
            <w:r w:rsidRPr="00E50B51">
              <w:rPr>
                <w:sz w:val="20"/>
                <w:szCs w:val="20"/>
              </w:rPr>
              <w:t xml:space="preserve"> </w:t>
            </w:r>
            <w:proofErr w:type="spellStart"/>
            <w:r w:rsidRPr="00E50B51">
              <w:rPr>
                <w:sz w:val="20"/>
                <w:szCs w:val="20"/>
              </w:rPr>
              <w:t>rights</w:t>
            </w:r>
            <w:proofErr w:type="spellEnd"/>
            <w:r w:rsidRPr="00E50B51">
              <w:rPr>
                <w:sz w:val="20"/>
                <w:szCs w:val="20"/>
              </w:rPr>
              <w:t>)</w:t>
            </w:r>
            <w:r>
              <w:rPr>
                <w:sz w:val="20"/>
                <w:szCs w:val="20"/>
              </w:rPr>
              <w:t xml:space="preserve">. </w:t>
            </w:r>
            <w:r w:rsidRPr="009747B9">
              <w:rPr>
                <w:sz w:val="20"/>
                <w:szCs w:val="20"/>
                <w:lang w:val="en-IE"/>
              </w:rPr>
              <w:t xml:space="preserve">Zum </w:t>
            </w:r>
            <w:r w:rsidRPr="5B67C1D2">
              <w:rPr>
                <w:i/>
                <w:iCs/>
                <w:sz w:val="20"/>
                <w:szCs w:val="20"/>
                <w:lang w:val="en-IE"/>
              </w:rPr>
              <w:t>pursuit of Happiness</w:t>
            </w:r>
            <w:r w:rsidRPr="009747B9">
              <w:rPr>
                <w:sz w:val="20"/>
                <w:szCs w:val="20"/>
                <w:lang w:val="en-IE"/>
              </w:rPr>
              <w:t xml:space="preserve"> </w:t>
            </w:r>
            <w:proofErr w:type="spellStart"/>
            <w:r w:rsidRPr="009747B9">
              <w:rPr>
                <w:sz w:val="20"/>
                <w:szCs w:val="20"/>
                <w:lang w:val="en-IE"/>
              </w:rPr>
              <w:t>urteilte</w:t>
            </w:r>
            <w:proofErr w:type="spellEnd"/>
            <w:r w:rsidRPr="009747B9">
              <w:rPr>
                <w:sz w:val="20"/>
                <w:szCs w:val="20"/>
                <w:lang w:val="en-IE"/>
              </w:rPr>
              <w:t xml:space="preserve"> der U.S. Supreme Court, die </w:t>
            </w:r>
            <w:r w:rsidRPr="5B67C1D2">
              <w:rPr>
                <w:i/>
                <w:iCs/>
                <w:sz w:val="20"/>
                <w:szCs w:val="20"/>
                <w:lang w:val="en-IE"/>
              </w:rPr>
              <w:t>Due Process Clause</w:t>
            </w:r>
            <w:r w:rsidRPr="009747B9">
              <w:rPr>
                <w:sz w:val="20"/>
                <w:szCs w:val="20"/>
                <w:lang w:val="en-IE"/>
              </w:rPr>
              <w:t xml:space="preserve"> des </w:t>
            </w:r>
            <w:r w:rsidR="00023A37">
              <w:rPr>
                <w:sz w:val="20"/>
                <w:szCs w:val="20"/>
                <w:lang w:val="en-IE"/>
              </w:rPr>
              <w:t>U.S. Const. amend. XIV</w:t>
            </w:r>
            <w:r w:rsidRPr="00E50B51">
              <w:rPr>
                <w:sz w:val="20"/>
                <w:szCs w:val="20"/>
              </w:rPr>
              <w:t xml:space="preserve"> sichere Bürgern die Freiheitsrechte („</w:t>
            </w:r>
            <w:proofErr w:type="spellStart"/>
            <w:r w:rsidRPr="00E50B51">
              <w:rPr>
                <w:sz w:val="20"/>
                <w:szCs w:val="20"/>
              </w:rPr>
              <w:t>sphere</w:t>
            </w:r>
            <w:proofErr w:type="spellEnd"/>
            <w:r w:rsidRPr="00E50B51">
              <w:rPr>
                <w:sz w:val="20"/>
                <w:szCs w:val="20"/>
              </w:rPr>
              <w:t xml:space="preserve"> of private </w:t>
            </w:r>
            <w:proofErr w:type="spellStart"/>
            <w:r w:rsidRPr="00E50B51">
              <w:rPr>
                <w:sz w:val="20"/>
                <w:szCs w:val="20"/>
              </w:rPr>
              <w:t>autonomy</w:t>
            </w:r>
            <w:proofErr w:type="spellEnd"/>
            <w:r w:rsidRPr="00E50B51">
              <w:rPr>
                <w:sz w:val="20"/>
                <w:szCs w:val="20"/>
              </w:rPr>
              <w:t>“</w:t>
            </w:r>
            <w:r w:rsidRPr="5B67C1D2">
              <w:rPr>
                <w:rStyle w:val="Funotenzeichen"/>
                <w:rFonts w:eastAsiaTheme="majorEastAsia"/>
                <w:sz w:val="20"/>
                <w:szCs w:val="20"/>
              </w:rPr>
              <w:footnoteReference w:id="708"/>
            </w:r>
            <w:r w:rsidRPr="00E50B51">
              <w:rPr>
                <w:sz w:val="20"/>
                <w:szCs w:val="20"/>
              </w:rPr>
              <w:t>)</w:t>
            </w:r>
            <w:r>
              <w:rPr>
                <w:sz w:val="20"/>
                <w:szCs w:val="20"/>
              </w:rPr>
              <w:t xml:space="preserve"> zu</w:t>
            </w:r>
            <w:r w:rsidRPr="00E50B51">
              <w:rPr>
                <w:sz w:val="20"/>
                <w:szCs w:val="20"/>
              </w:rPr>
              <w:t>, indem die Gewalten diese nicht ohne ein ordentliches Verfahren einschränken könn</w:t>
            </w:r>
            <w:r>
              <w:rPr>
                <w:sz w:val="20"/>
                <w:szCs w:val="20"/>
              </w:rPr>
              <w:t>t</w:t>
            </w:r>
            <w:r w:rsidRPr="00E50B51">
              <w:rPr>
                <w:sz w:val="20"/>
                <w:szCs w:val="20"/>
              </w:rPr>
              <w:t xml:space="preserve">en. Zu den Freiheitsrechten gehören </w:t>
            </w:r>
            <w:r>
              <w:rPr>
                <w:sz w:val="20"/>
                <w:szCs w:val="20"/>
              </w:rPr>
              <w:t>u.a.</w:t>
            </w:r>
            <w:r w:rsidRPr="00E50B51">
              <w:rPr>
                <w:sz w:val="20"/>
                <w:szCs w:val="20"/>
              </w:rPr>
              <w:t xml:space="preserve"> solche, die im Gewohnheitsrecht wesentlich sind. Wann diese wesentlich sind, richtet sich danach, inwieweit sie einem geordneten Streben nach Glück dienen.</w:t>
            </w:r>
            <w:r w:rsidRPr="5B67C1D2">
              <w:rPr>
                <w:rStyle w:val="Funotenzeichen"/>
                <w:rFonts w:eastAsiaTheme="majorEastAsia"/>
                <w:sz w:val="20"/>
                <w:szCs w:val="20"/>
              </w:rPr>
              <w:footnoteReference w:id="709"/>
            </w:r>
            <w:r w:rsidRPr="00E50B51">
              <w:rPr>
                <w:sz w:val="20"/>
                <w:szCs w:val="20"/>
              </w:rPr>
              <w:t xml:space="preserve"> Wenn sie wesentlich sind, unterliegt der Staat für seine Eingriffe einer qualifizierten Rechtfertigungslast („</w:t>
            </w:r>
            <w:proofErr w:type="spellStart"/>
            <w:r w:rsidRPr="00E50B51">
              <w:rPr>
                <w:sz w:val="20"/>
                <w:szCs w:val="20"/>
              </w:rPr>
              <w:t>strictly</w:t>
            </w:r>
            <w:proofErr w:type="spellEnd"/>
            <w:r w:rsidRPr="00E50B51">
              <w:rPr>
                <w:sz w:val="20"/>
                <w:szCs w:val="20"/>
              </w:rPr>
              <w:t xml:space="preserve"> </w:t>
            </w:r>
            <w:proofErr w:type="spellStart"/>
            <w:r w:rsidRPr="00E50B51">
              <w:rPr>
                <w:sz w:val="20"/>
                <w:szCs w:val="20"/>
              </w:rPr>
              <w:t>scrutinizing</w:t>
            </w:r>
            <w:proofErr w:type="spellEnd"/>
            <w:r w:rsidRPr="00E50B51">
              <w:rPr>
                <w:sz w:val="20"/>
                <w:szCs w:val="20"/>
              </w:rPr>
              <w:t xml:space="preserve"> the </w:t>
            </w:r>
            <w:proofErr w:type="spellStart"/>
            <w:r w:rsidRPr="00E50B51">
              <w:rPr>
                <w:sz w:val="20"/>
                <w:szCs w:val="20"/>
              </w:rPr>
              <w:t>intrusion</w:t>
            </w:r>
            <w:proofErr w:type="spellEnd"/>
            <w:r w:rsidRPr="00E50B51">
              <w:rPr>
                <w:sz w:val="20"/>
                <w:szCs w:val="20"/>
              </w:rPr>
              <w:t>“</w:t>
            </w:r>
            <w:r w:rsidRPr="5B67C1D2">
              <w:rPr>
                <w:rStyle w:val="Funotenzeichen"/>
                <w:rFonts w:eastAsiaTheme="majorEastAsia"/>
                <w:sz w:val="20"/>
                <w:szCs w:val="20"/>
              </w:rPr>
              <w:footnoteReference w:id="710"/>
            </w:r>
            <w:r w:rsidRPr="00E50B51">
              <w:rPr>
                <w:sz w:val="20"/>
                <w:szCs w:val="20"/>
              </w:rPr>
              <w:t xml:space="preserve">). Solch ein wesentliches Freiheitsrecht sei hier aber nicht betroffen, da die Öffentlichkeit bereits das Grundstück betreten könne. Ein Beispiel für ein wesentliches Freiheitsrecht wäre, dass der Staat Entschädigungssysteme – </w:t>
            </w:r>
            <w:r>
              <w:rPr>
                <w:sz w:val="20"/>
                <w:szCs w:val="20"/>
              </w:rPr>
              <w:t>z.B.</w:t>
            </w:r>
            <w:r w:rsidRPr="00E50B51">
              <w:rPr>
                <w:sz w:val="20"/>
                <w:szCs w:val="20"/>
              </w:rPr>
              <w:t xml:space="preserve"> bei Atommüllentsorgung – für seine Opfer zu errichten hat, damit ihre Freiheiten nicht ohne Verfahren entzogen wird.</w:t>
            </w:r>
            <w:r w:rsidRPr="5B67C1D2">
              <w:rPr>
                <w:rStyle w:val="Funotenzeichen"/>
                <w:rFonts w:eastAsiaTheme="majorEastAsia"/>
                <w:sz w:val="20"/>
                <w:szCs w:val="20"/>
              </w:rPr>
              <w:footnoteReference w:id="711"/>
            </w:r>
          </w:p>
          <w:p w14:paraId="5FCC323F" w14:textId="77777777" w:rsidR="00074551" w:rsidRPr="00E50B51" w:rsidRDefault="00074551" w:rsidP="00367133">
            <w:pPr>
              <w:jc w:val="both"/>
              <w:rPr>
                <w:sz w:val="20"/>
                <w:szCs w:val="20"/>
                <w:lang w:eastAsia="de-DE"/>
              </w:rPr>
            </w:pPr>
          </w:p>
        </w:tc>
      </w:tr>
      <w:tr w:rsidR="00074551" w:rsidRPr="00E50B51" w14:paraId="2031DC67" w14:textId="77777777" w:rsidTr="00BE689F">
        <w:trPr>
          <w:cantSplit/>
          <w:trHeight w:val="3175"/>
        </w:trPr>
        <w:tc>
          <w:tcPr>
            <w:tcW w:w="293" w:type="pct"/>
          </w:tcPr>
          <w:p w14:paraId="09358154"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64AF3813" w14:textId="77777777" w:rsidR="00074551" w:rsidRPr="00B45592" w:rsidRDefault="00074551" w:rsidP="00367133">
            <w:pPr>
              <w:ind w:left="113" w:right="416"/>
              <w:jc w:val="both"/>
              <w:rPr>
                <w:i/>
                <w:sz w:val="20"/>
                <w:szCs w:val="20"/>
                <w:lang w:val="en-US" w:eastAsia="de-DE"/>
              </w:rPr>
            </w:pPr>
            <w:r w:rsidRPr="00B45592">
              <w:rPr>
                <w:i/>
                <w:sz w:val="20"/>
                <w:szCs w:val="20"/>
              </w:rPr>
              <w:t>ICC v. Brimson</w:t>
            </w:r>
          </w:p>
        </w:tc>
        <w:tc>
          <w:tcPr>
            <w:tcW w:w="197" w:type="pct"/>
            <w:textDirection w:val="tbRl"/>
            <w:vAlign w:val="center"/>
          </w:tcPr>
          <w:p w14:paraId="31071276" w14:textId="77777777" w:rsidR="00074551" w:rsidRPr="00E50B51" w:rsidRDefault="00074551" w:rsidP="00367133">
            <w:pPr>
              <w:ind w:left="113" w:right="113"/>
              <w:jc w:val="both"/>
              <w:rPr>
                <w:sz w:val="20"/>
                <w:szCs w:val="20"/>
                <w:lang w:val="en-US"/>
              </w:rPr>
            </w:pPr>
            <w:r w:rsidRPr="00BE3728">
              <w:rPr>
                <w:sz w:val="20"/>
                <w:szCs w:val="20"/>
              </w:rPr>
              <w:t>154 U.S. 447</w:t>
            </w:r>
          </w:p>
        </w:tc>
        <w:tc>
          <w:tcPr>
            <w:tcW w:w="306" w:type="pct"/>
            <w:textDirection w:val="tbRl"/>
            <w:vAlign w:val="center"/>
          </w:tcPr>
          <w:p w14:paraId="775BFF5F" w14:textId="77777777" w:rsidR="00074551" w:rsidRPr="00E50B51" w:rsidRDefault="00074551" w:rsidP="00367133">
            <w:pPr>
              <w:ind w:left="113" w:right="113"/>
              <w:jc w:val="both"/>
              <w:rPr>
                <w:sz w:val="20"/>
                <w:szCs w:val="20"/>
              </w:rPr>
            </w:pPr>
            <w:r w:rsidRPr="00BE3728">
              <w:rPr>
                <w:sz w:val="20"/>
                <w:szCs w:val="20"/>
              </w:rPr>
              <w:t>26. Mai 1894</w:t>
            </w:r>
          </w:p>
        </w:tc>
        <w:tc>
          <w:tcPr>
            <w:tcW w:w="401" w:type="pct"/>
          </w:tcPr>
          <w:p w14:paraId="1F60DCCB"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62032632" w14:textId="77777777" w:rsidR="00074551" w:rsidRPr="00BE3728" w:rsidRDefault="00074551" w:rsidP="00367133">
            <w:pPr>
              <w:jc w:val="both"/>
              <w:rPr>
                <w:sz w:val="20"/>
                <w:szCs w:val="20"/>
              </w:rPr>
            </w:pPr>
            <w:r w:rsidRPr="00B45592">
              <w:rPr>
                <w:sz w:val="20"/>
                <w:szCs w:val="20"/>
                <w:lang w:val="en-IE"/>
              </w:rPr>
              <w:t xml:space="preserve">Der U.S. Supreme Court hob das </w:t>
            </w:r>
            <w:proofErr w:type="spellStart"/>
            <w:r w:rsidRPr="00B45592">
              <w:rPr>
                <w:sz w:val="20"/>
                <w:szCs w:val="20"/>
                <w:lang w:val="en-IE"/>
              </w:rPr>
              <w:t>Urteil</w:t>
            </w:r>
            <w:proofErr w:type="spellEnd"/>
            <w:r w:rsidRPr="00B45592">
              <w:rPr>
                <w:sz w:val="20"/>
                <w:szCs w:val="20"/>
                <w:lang w:val="en-IE"/>
              </w:rPr>
              <w:t xml:space="preserve"> des </w:t>
            </w:r>
            <w:r w:rsidRPr="5B67C1D2">
              <w:rPr>
                <w:i/>
                <w:iCs/>
                <w:sz w:val="20"/>
                <w:szCs w:val="20"/>
                <w:lang w:val="en-IE"/>
              </w:rPr>
              <w:t>U.S. Circuit Court for the Northern District of Illinois</w:t>
            </w:r>
            <w:r w:rsidRPr="00B45592">
              <w:rPr>
                <w:sz w:val="20"/>
                <w:szCs w:val="20"/>
                <w:lang w:val="en-IE"/>
              </w:rPr>
              <w:t xml:space="preserve"> auf. </w:t>
            </w:r>
            <w:r w:rsidRPr="00BE3728">
              <w:rPr>
                <w:sz w:val="20"/>
                <w:szCs w:val="20"/>
              </w:rPr>
              <w:t xml:space="preserve">Das hatte noch die Beschwerde der </w:t>
            </w:r>
            <w:bookmarkStart w:id="41" w:name="_Hlk230075528"/>
            <w:r w:rsidRPr="5B67C1D2">
              <w:rPr>
                <w:i/>
                <w:iCs/>
                <w:sz w:val="20"/>
                <w:szCs w:val="20"/>
              </w:rPr>
              <w:t xml:space="preserve">Interstate Commerce </w:t>
            </w:r>
            <w:proofErr w:type="spellStart"/>
            <w:r w:rsidRPr="5B67C1D2">
              <w:rPr>
                <w:i/>
                <w:iCs/>
                <w:sz w:val="20"/>
                <w:szCs w:val="20"/>
              </w:rPr>
              <w:t>Commission</w:t>
            </w:r>
            <w:proofErr w:type="spellEnd"/>
            <w:r w:rsidRPr="00BE3728">
              <w:rPr>
                <w:sz w:val="20"/>
                <w:szCs w:val="20"/>
              </w:rPr>
              <w:t xml:space="preserve"> </w:t>
            </w:r>
            <w:bookmarkEnd w:id="41"/>
            <w:r w:rsidRPr="00BE3728">
              <w:rPr>
                <w:sz w:val="20"/>
                <w:szCs w:val="20"/>
              </w:rPr>
              <w:t>abgewiesen. Diese Beschwerde</w:t>
            </w:r>
            <w:r w:rsidRPr="00BE3728">
              <w:rPr>
                <w:rStyle w:val="Funotenzeichen"/>
                <w:sz w:val="20"/>
                <w:szCs w:val="20"/>
              </w:rPr>
              <w:footnoteReference w:id="712"/>
            </w:r>
            <w:r w:rsidRPr="00BE3728">
              <w:rPr>
                <w:sz w:val="20"/>
                <w:szCs w:val="20"/>
              </w:rPr>
              <w:t xml:space="preserve"> sah der </w:t>
            </w:r>
            <w:r>
              <w:rPr>
                <w:sz w:val="20"/>
                <w:szCs w:val="20"/>
              </w:rPr>
              <w:t>U.S. Supreme Court</w:t>
            </w:r>
            <w:r w:rsidRPr="00BE3728">
              <w:rPr>
                <w:sz w:val="20"/>
                <w:szCs w:val="20"/>
              </w:rPr>
              <w:t xml:space="preserve"> nun als begründet an. Sie beruhte auf </w:t>
            </w:r>
            <w:r>
              <w:rPr>
                <w:sz w:val="20"/>
                <w:szCs w:val="20"/>
              </w:rPr>
              <w:t>§ </w:t>
            </w:r>
            <w:r w:rsidRPr="00BE3728">
              <w:rPr>
                <w:sz w:val="20"/>
                <w:szCs w:val="20"/>
              </w:rPr>
              <w:t>12</w:t>
            </w:r>
            <w:r w:rsidRPr="00BE3728">
              <w:rPr>
                <w:rStyle w:val="Funotenzeichen"/>
                <w:sz w:val="20"/>
                <w:szCs w:val="20"/>
              </w:rPr>
              <w:footnoteReference w:id="713"/>
            </w:r>
            <w:r w:rsidRPr="00BE3728">
              <w:rPr>
                <w:sz w:val="20"/>
                <w:szCs w:val="20"/>
              </w:rPr>
              <w:t xml:space="preserve"> des </w:t>
            </w:r>
            <w:bookmarkStart w:id="42" w:name="_Hlk230075548"/>
            <w:r w:rsidRPr="5B67C1D2">
              <w:rPr>
                <w:i/>
                <w:iCs/>
                <w:sz w:val="20"/>
                <w:szCs w:val="20"/>
              </w:rPr>
              <w:t>Interstate Commerce Act</w:t>
            </w:r>
            <w:bookmarkEnd w:id="42"/>
            <w:r w:rsidRPr="00BE3728">
              <w:rPr>
                <w:sz w:val="20"/>
                <w:szCs w:val="20"/>
              </w:rPr>
              <w:t>. D</w:t>
            </w:r>
            <w:r>
              <w:rPr>
                <w:sz w:val="20"/>
                <w:szCs w:val="20"/>
              </w:rPr>
              <w:t>ies</w:t>
            </w:r>
            <w:r w:rsidRPr="00BE3728">
              <w:rPr>
                <w:sz w:val="20"/>
                <w:szCs w:val="20"/>
              </w:rPr>
              <w:t>er gestatte</w:t>
            </w:r>
            <w:r>
              <w:rPr>
                <w:sz w:val="20"/>
                <w:szCs w:val="20"/>
              </w:rPr>
              <w:t>te</w:t>
            </w:r>
            <w:r w:rsidRPr="00BE3728">
              <w:rPr>
                <w:sz w:val="20"/>
                <w:szCs w:val="20"/>
              </w:rPr>
              <w:t xml:space="preserve"> der Kommission, US-Gerichte </w:t>
            </w:r>
            <w:r>
              <w:rPr>
                <w:sz w:val="20"/>
                <w:szCs w:val="20"/>
              </w:rPr>
              <w:t>anzusuchen</w:t>
            </w:r>
            <w:r w:rsidRPr="00BE3728">
              <w:rPr>
                <w:sz w:val="20"/>
                <w:szCs w:val="20"/>
              </w:rPr>
              <w:t xml:space="preserve">, um Zeugenaussagen einzuholen und Dokumente vorlegen zu lassen. Der </w:t>
            </w:r>
            <w:r w:rsidRPr="5B67C1D2">
              <w:rPr>
                <w:i/>
                <w:iCs/>
                <w:sz w:val="20"/>
                <w:szCs w:val="20"/>
              </w:rPr>
              <w:t>Circuit Court</w:t>
            </w:r>
            <w:r w:rsidRPr="00BE3728">
              <w:rPr>
                <w:sz w:val="20"/>
                <w:szCs w:val="20"/>
              </w:rPr>
              <w:t xml:space="preserve"> hatte diesen Abschnitt noch für verfassungswidrig erklärt</w:t>
            </w:r>
            <w:r>
              <w:rPr>
                <w:sz w:val="20"/>
                <w:szCs w:val="20"/>
              </w:rPr>
              <w:t>, d</w:t>
            </w:r>
            <w:r w:rsidRPr="00BE3728">
              <w:rPr>
                <w:sz w:val="20"/>
                <w:szCs w:val="20"/>
              </w:rPr>
              <w:t xml:space="preserve">enn er </w:t>
            </w:r>
            <w:r>
              <w:rPr>
                <w:sz w:val="20"/>
                <w:szCs w:val="20"/>
              </w:rPr>
              <w:t>weise</w:t>
            </w:r>
            <w:r w:rsidRPr="00BE3728">
              <w:rPr>
                <w:sz w:val="20"/>
                <w:szCs w:val="20"/>
              </w:rPr>
              <w:t xml:space="preserve"> Gerichten Aufgaben zu, die außerhalb ihrer gerichtlichen Zuständigkeit bzw. Natur l</w:t>
            </w:r>
            <w:r>
              <w:rPr>
                <w:sz w:val="20"/>
                <w:szCs w:val="20"/>
              </w:rPr>
              <w:t>ä</w:t>
            </w:r>
            <w:r w:rsidRPr="00BE3728">
              <w:rPr>
                <w:sz w:val="20"/>
                <w:szCs w:val="20"/>
              </w:rPr>
              <w:t xml:space="preserve">gen. Der </w:t>
            </w:r>
            <w:r>
              <w:rPr>
                <w:sz w:val="20"/>
                <w:szCs w:val="20"/>
              </w:rPr>
              <w:t>U.S. Supreme Court</w:t>
            </w:r>
            <w:r w:rsidRPr="00BE3728">
              <w:rPr>
                <w:sz w:val="20"/>
                <w:szCs w:val="20"/>
              </w:rPr>
              <w:t xml:space="preserve"> kam indes zu dem Schluss, dass das Verfahren unter die gerichtliche Zuständigkeit falle. Er entschied, dass </w:t>
            </w:r>
            <w:r>
              <w:rPr>
                <w:sz w:val="20"/>
                <w:szCs w:val="20"/>
              </w:rPr>
              <w:t>§ </w:t>
            </w:r>
            <w:r w:rsidRPr="00BE3728">
              <w:rPr>
                <w:sz w:val="20"/>
                <w:szCs w:val="20"/>
              </w:rPr>
              <w:t xml:space="preserve">12 des </w:t>
            </w:r>
            <w:r w:rsidRPr="5B67C1D2">
              <w:rPr>
                <w:i/>
                <w:iCs/>
                <w:sz w:val="20"/>
                <w:szCs w:val="20"/>
              </w:rPr>
              <w:t>Interstate Commerce Act</w:t>
            </w:r>
            <w:r w:rsidRPr="00BE3728">
              <w:rPr>
                <w:sz w:val="20"/>
                <w:szCs w:val="20"/>
              </w:rPr>
              <w:t xml:space="preserve"> nicht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widerspreche. Er hob das Urteil des </w:t>
            </w:r>
            <w:r w:rsidRPr="5B67C1D2">
              <w:rPr>
                <w:i/>
                <w:iCs/>
                <w:sz w:val="20"/>
                <w:szCs w:val="20"/>
              </w:rPr>
              <w:t>Circuit Court</w:t>
            </w:r>
            <w:r w:rsidRPr="00BE3728">
              <w:rPr>
                <w:sz w:val="20"/>
                <w:szCs w:val="20"/>
              </w:rPr>
              <w:t xml:space="preserve"> auf und verwies den Fall zur weiteren Verhandlung zurück.</w:t>
            </w:r>
            <w:r w:rsidRPr="00BE3728">
              <w:rPr>
                <w:rStyle w:val="Funotenzeichen"/>
                <w:sz w:val="20"/>
                <w:szCs w:val="20"/>
              </w:rPr>
              <w:footnoteReference w:id="714"/>
            </w:r>
          </w:p>
          <w:p w14:paraId="2DDD2CD3" w14:textId="77777777" w:rsidR="00074551" w:rsidRPr="00BE3728" w:rsidRDefault="00074551" w:rsidP="00367133">
            <w:pPr>
              <w:jc w:val="both"/>
              <w:rPr>
                <w:sz w:val="20"/>
                <w:szCs w:val="20"/>
              </w:rPr>
            </w:pPr>
          </w:p>
          <w:p w14:paraId="190D5A45" w14:textId="77777777" w:rsidR="00074551" w:rsidRPr="00E50B51" w:rsidRDefault="00074551" w:rsidP="00367133">
            <w:pPr>
              <w:jc w:val="both"/>
              <w:rPr>
                <w:sz w:val="20"/>
                <w:szCs w:val="20"/>
              </w:rPr>
            </w:pPr>
          </w:p>
        </w:tc>
        <w:tc>
          <w:tcPr>
            <w:tcW w:w="1822" w:type="pct"/>
          </w:tcPr>
          <w:p w14:paraId="304CC4B6"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Bill of Rights › Fundamental Freedoms › General Overview</w:t>
            </w:r>
          </w:p>
          <w:p w14:paraId="0C234413" w14:textId="77777777" w:rsidR="00074551" w:rsidRPr="00BE3728" w:rsidRDefault="00074551" w:rsidP="00367133">
            <w:pPr>
              <w:jc w:val="both"/>
              <w:rPr>
                <w:strike/>
                <w:sz w:val="20"/>
                <w:szCs w:val="20"/>
                <w:lang w:val="en-US"/>
              </w:rPr>
            </w:pPr>
          </w:p>
          <w:p w14:paraId="3FF74B18" w14:textId="77777777" w:rsidR="00074551" w:rsidRDefault="00074551" w:rsidP="00367133">
            <w:pPr>
              <w:jc w:val="both"/>
              <w:rPr>
                <w:sz w:val="20"/>
                <w:szCs w:val="20"/>
              </w:rPr>
            </w:pPr>
            <w:r w:rsidRPr="00BE3728">
              <w:rPr>
                <w:sz w:val="20"/>
                <w:szCs w:val="20"/>
              </w:rPr>
              <w:t>Die persönlichen Rechte („</w:t>
            </w:r>
            <w:proofErr w:type="spellStart"/>
            <w:r w:rsidRPr="00BE3728">
              <w:rPr>
                <w:sz w:val="20"/>
                <w:szCs w:val="20"/>
              </w:rPr>
              <w:t>protection</w:t>
            </w:r>
            <w:proofErr w:type="spellEnd"/>
            <w:r w:rsidRPr="00BE3728">
              <w:rPr>
                <w:sz w:val="20"/>
                <w:szCs w:val="20"/>
              </w:rPr>
              <w:t xml:space="preserve"> of personal </w:t>
            </w:r>
            <w:proofErr w:type="spellStart"/>
            <w:r w:rsidRPr="00BE3728">
              <w:rPr>
                <w:sz w:val="20"/>
                <w:szCs w:val="20"/>
              </w:rPr>
              <w:t>rights</w:t>
            </w:r>
            <w:proofErr w:type="spellEnd"/>
            <w:r w:rsidRPr="00BE3728">
              <w:rPr>
                <w:sz w:val="20"/>
                <w:szCs w:val="20"/>
              </w:rPr>
              <w:t>“</w:t>
            </w:r>
            <w:r w:rsidRPr="00BE3728">
              <w:rPr>
                <w:rStyle w:val="Funotenzeichen"/>
                <w:sz w:val="20"/>
                <w:szCs w:val="20"/>
              </w:rPr>
              <w:footnoteReference w:id="715"/>
            </w:r>
            <w:r w:rsidRPr="00BE3728">
              <w:rPr>
                <w:sz w:val="20"/>
                <w:szCs w:val="20"/>
              </w:rPr>
              <w:t xml:space="preserve">) schützen Verfassungsschranken gegen die drei Gewalten. Unter diesen Schutz falle das Persönlichkeitsrecht („private </w:t>
            </w:r>
            <w:proofErr w:type="spellStart"/>
            <w:r w:rsidRPr="00BE3728">
              <w:rPr>
                <w:sz w:val="20"/>
                <w:szCs w:val="20"/>
              </w:rPr>
              <w:t>affairs</w:t>
            </w:r>
            <w:proofErr w:type="spellEnd"/>
            <w:r w:rsidRPr="00BE3728">
              <w:rPr>
                <w:sz w:val="20"/>
                <w:szCs w:val="20"/>
              </w:rPr>
              <w:t xml:space="preserve"> of the </w:t>
            </w:r>
            <w:proofErr w:type="spellStart"/>
            <w:r w:rsidRPr="00BE3728">
              <w:rPr>
                <w:sz w:val="20"/>
                <w:szCs w:val="20"/>
              </w:rPr>
              <w:t>citizen</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716"/>
            </w:r>
            <w:r w:rsidRPr="00BE3728">
              <w:rPr>
                <w:sz w:val="20"/>
                <w:szCs w:val="20"/>
              </w:rPr>
              <w:t xml:space="preserve">). Die privaten Angelegenheiten </w:t>
            </w:r>
            <w:r>
              <w:rPr>
                <w:sz w:val="20"/>
                <w:szCs w:val="20"/>
              </w:rPr>
              <w:t>seien</w:t>
            </w:r>
            <w:r w:rsidRPr="00BE3728">
              <w:rPr>
                <w:sz w:val="20"/>
                <w:szCs w:val="20"/>
              </w:rPr>
              <w:t xml:space="preserve"> Ausdruck von Freiheit sowie Sicherheit. Sie konkretisier</w:t>
            </w:r>
            <w:r>
              <w:rPr>
                <w:sz w:val="20"/>
                <w:szCs w:val="20"/>
              </w:rPr>
              <w:t>t</w:t>
            </w:r>
            <w:r w:rsidRPr="00BE3728">
              <w:rPr>
                <w:sz w:val="20"/>
                <w:szCs w:val="20"/>
              </w:rPr>
              <w:t>en sich darin, Eingriffe in die Privatsphäre zu verbieten („</w:t>
            </w:r>
            <w:proofErr w:type="spellStart"/>
            <w:r w:rsidRPr="00BE3728">
              <w:rPr>
                <w:sz w:val="20"/>
                <w:szCs w:val="20"/>
              </w:rPr>
              <w:t>privacies</w:t>
            </w:r>
            <w:proofErr w:type="spellEnd"/>
            <w:r w:rsidRPr="00BE3728">
              <w:rPr>
                <w:sz w:val="20"/>
                <w:szCs w:val="20"/>
              </w:rPr>
              <w:t xml:space="preserve"> of </w:t>
            </w:r>
            <w:proofErr w:type="spellStart"/>
            <w:r w:rsidRPr="00BE3728">
              <w:rPr>
                <w:sz w:val="20"/>
                <w:szCs w:val="20"/>
              </w:rPr>
              <w:t>his</w:t>
            </w:r>
            <w:proofErr w:type="spellEnd"/>
            <w:r w:rsidRPr="00BE3728">
              <w:rPr>
                <w:sz w:val="20"/>
                <w:szCs w:val="20"/>
              </w:rPr>
              <w:t xml:space="preserve"> </w:t>
            </w:r>
            <w:proofErr w:type="spellStart"/>
            <w:r w:rsidRPr="00BE3728">
              <w:rPr>
                <w:sz w:val="20"/>
                <w:szCs w:val="20"/>
              </w:rPr>
              <w:t>life</w:t>
            </w:r>
            <w:proofErr w:type="spellEnd"/>
            <w:r w:rsidRPr="00BE3728">
              <w:rPr>
                <w:sz w:val="20"/>
                <w:szCs w:val="20"/>
              </w:rPr>
              <w:t>“</w:t>
            </w:r>
            <w:r w:rsidRPr="00BE3728">
              <w:rPr>
                <w:rStyle w:val="Funotenzeichen"/>
                <w:sz w:val="20"/>
                <w:szCs w:val="20"/>
              </w:rPr>
              <w:footnoteReference w:id="717"/>
            </w:r>
            <w:r w:rsidRPr="00BE3728">
              <w:rPr>
                <w:sz w:val="20"/>
                <w:szCs w:val="20"/>
              </w:rPr>
              <w:t xml:space="preserve">). Bürgerrechte beschreiben </w:t>
            </w:r>
            <w:r>
              <w:rPr>
                <w:sz w:val="20"/>
                <w:szCs w:val="20"/>
              </w:rPr>
              <w:t>wiederum</w:t>
            </w:r>
            <w:r w:rsidRPr="00BE3728">
              <w:rPr>
                <w:sz w:val="20"/>
                <w:szCs w:val="20"/>
              </w:rPr>
              <w:t xml:space="preserve"> diese Sphären, wobei von allen Bürgerrechten nur wenige die Sphäre zentral prägen. Eines dieser Bürgerrechte sei das Recht auf persönliche Sicherheit („</w:t>
            </w:r>
            <w:proofErr w:type="spellStart"/>
            <w:r w:rsidRPr="00BE3728">
              <w:rPr>
                <w:sz w:val="20"/>
                <w:szCs w:val="20"/>
              </w:rPr>
              <w:t>right</w:t>
            </w:r>
            <w:proofErr w:type="spellEnd"/>
            <w:r w:rsidRPr="00BE3728">
              <w:rPr>
                <w:sz w:val="20"/>
                <w:szCs w:val="20"/>
              </w:rPr>
              <w:t xml:space="preserve"> of personal </w:t>
            </w:r>
            <w:proofErr w:type="spellStart"/>
            <w:r w:rsidRPr="00BE3728">
              <w:rPr>
                <w:sz w:val="20"/>
                <w:szCs w:val="20"/>
              </w:rPr>
              <w:t>security</w:t>
            </w:r>
            <w:proofErr w:type="spellEnd"/>
            <w:r w:rsidRPr="00BE3728">
              <w:rPr>
                <w:sz w:val="20"/>
                <w:szCs w:val="20"/>
              </w:rPr>
              <w:t>“</w:t>
            </w:r>
            <w:r w:rsidRPr="00BE3728">
              <w:rPr>
                <w:rStyle w:val="Funotenzeichen"/>
                <w:sz w:val="20"/>
                <w:szCs w:val="20"/>
                <w:lang w:val="en-US"/>
              </w:rPr>
              <w:footnoteReference w:id="718"/>
            </w:r>
            <w:r w:rsidRPr="00BE3728">
              <w:rPr>
                <w:sz w:val="20"/>
                <w:szCs w:val="20"/>
              </w:rPr>
              <w:t xml:space="preserve">). Woher stammt diese </w:t>
            </w:r>
            <w:r>
              <w:rPr>
                <w:sz w:val="20"/>
                <w:szCs w:val="20"/>
              </w:rPr>
              <w:t xml:space="preserve">besondere </w:t>
            </w:r>
            <w:r w:rsidRPr="00BE3728">
              <w:rPr>
                <w:sz w:val="20"/>
                <w:szCs w:val="20"/>
              </w:rPr>
              <w:t>Bedeutung? Sie stamm</w:t>
            </w:r>
            <w:r>
              <w:rPr>
                <w:sz w:val="20"/>
                <w:szCs w:val="20"/>
              </w:rPr>
              <w:t>e</w:t>
            </w:r>
            <w:r w:rsidRPr="00BE3728">
              <w:rPr>
                <w:sz w:val="20"/>
                <w:szCs w:val="20"/>
              </w:rPr>
              <w:t xml:space="preserve"> daher, dass sie wesentlich für das individuelle Recht sei, in Ruhe gelassen zu werden. Nur so könne sich Glück entwickeln, welches </w:t>
            </w:r>
            <w:r>
              <w:rPr>
                <w:sz w:val="20"/>
                <w:szCs w:val="20"/>
              </w:rPr>
              <w:t>z.B.</w:t>
            </w:r>
            <w:r w:rsidRPr="00BE3728">
              <w:rPr>
                <w:sz w:val="20"/>
                <w:szCs w:val="20"/>
              </w:rPr>
              <w:t xml:space="preserve"> davor schütze, dass der Staat Dokumente in der Privatsphäre anlasslos durchsehe. Ohne diesen Schutzbereich würden alle anderen Abwehrrechte gegen staatliche Eingriffe entwertet.</w:t>
            </w:r>
            <w:r w:rsidRPr="00BE3728">
              <w:rPr>
                <w:rStyle w:val="Funotenzeichen"/>
                <w:sz w:val="20"/>
                <w:szCs w:val="20"/>
              </w:rPr>
              <w:footnoteReference w:id="719"/>
            </w:r>
          </w:p>
          <w:p w14:paraId="0D08A86C" w14:textId="77777777" w:rsidR="00074551" w:rsidRPr="00E50B51" w:rsidRDefault="00074551" w:rsidP="00367133">
            <w:pPr>
              <w:jc w:val="both"/>
              <w:rPr>
                <w:sz w:val="20"/>
                <w:szCs w:val="20"/>
                <w:lang w:eastAsia="de-DE"/>
              </w:rPr>
            </w:pPr>
          </w:p>
        </w:tc>
      </w:tr>
      <w:tr w:rsidR="00074551" w:rsidRPr="00E50B51" w14:paraId="6D2E70BD" w14:textId="77777777" w:rsidTr="00A15DB3">
        <w:trPr>
          <w:cantSplit/>
          <w:trHeight w:val="3175"/>
        </w:trPr>
        <w:tc>
          <w:tcPr>
            <w:tcW w:w="293" w:type="pct"/>
            <w:shd w:val="clear" w:color="auto" w:fill="E7E6E6" w:themeFill="background2"/>
          </w:tcPr>
          <w:p w14:paraId="33E1127E" w14:textId="77777777" w:rsidR="00074551" w:rsidRDefault="00074551" w:rsidP="00367133">
            <w:pPr>
              <w:ind w:right="416"/>
              <w:jc w:val="center"/>
              <w:rPr>
                <w:sz w:val="20"/>
                <w:szCs w:val="20"/>
              </w:rPr>
            </w:pPr>
            <w:proofErr w:type="spellStart"/>
            <w:r>
              <w:rPr>
                <w:sz w:val="20"/>
                <w:szCs w:val="20"/>
              </w:rPr>
              <w:lastRenderedPageBreak/>
              <w:t>poH</w:t>
            </w:r>
            <w:proofErr w:type="spellEnd"/>
          </w:p>
          <w:p w14:paraId="5C8F32A7" w14:textId="77777777" w:rsidR="00074551" w:rsidRPr="00BB35A9" w:rsidRDefault="00074551" w:rsidP="00367133">
            <w:pPr>
              <w:ind w:right="416"/>
              <w:jc w:val="center"/>
              <w:rPr>
                <w:sz w:val="20"/>
                <w:szCs w:val="20"/>
              </w:rPr>
            </w:pPr>
            <w:r w:rsidRPr="00BE3728">
              <w:rPr>
                <w:sz w:val="20"/>
                <w:szCs w:val="20"/>
              </w:rPr>
              <w:t>H</w:t>
            </w:r>
          </w:p>
        </w:tc>
        <w:tc>
          <w:tcPr>
            <w:tcW w:w="387" w:type="pct"/>
            <w:shd w:val="clear" w:color="auto" w:fill="E7E6E6" w:themeFill="background2"/>
            <w:textDirection w:val="tbRl"/>
            <w:vAlign w:val="center"/>
          </w:tcPr>
          <w:p w14:paraId="7C972A6C" w14:textId="77777777" w:rsidR="00074551" w:rsidRPr="00BE3728"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4E4377CE" w14:textId="77777777" w:rsidR="00074551" w:rsidRPr="00BE3728" w:rsidRDefault="00074551" w:rsidP="00367133">
            <w:pPr>
              <w:ind w:left="113" w:right="113"/>
              <w:jc w:val="both"/>
              <w:rPr>
                <w:sz w:val="20"/>
                <w:szCs w:val="20"/>
              </w:rPr>
            </w:pPr>
            <w:r w:rsidRPr="00BE3728">
              <w:rPr>
                <w:sz w:val="20"/>
                <w:szCs w:val="20"/>
              </w:rPr>
              <w:t>Police Powers</w:t>
            </w:r>
          </w:p>
        </w:tc>
        <w:tc>
          <w:tcPr>
            <w:tcW w:w="306" w:type="pct"/>
            <w:shd w:val="clear" w:color="auto" w:fill="E7E6E6" w:themeFill="background2"/>
            <w:textDirection w:val="tbRl"/>
            <w:vAlign w:val="center"/>
          </w:tcPr>
          <w:p w14:paraId="0D57FC5F" w14:textId="77777777" w:rsidR="00074551" w:rsidRPr="00BE3728" w:rsidRDefault="00074551" w:rsidP="00367133">
            <w:pPr>
              <w:ind w:left="113" w:right="113"/>
              <w:jc w:val="both"/>
              <w:rPr>
                <w:sz w:val="20"/>
                <w:szCs w:val="20"/>
              </w:rPr>
            </w:pPr>
          </w:p>
        </w:tc>
        <w:tc>
          <w:tcPr>
            <w:tcW w:w="401" w:type="pct"/>
            <w:shd w:val="clear" w:color="auto" w:fill="E7E6E6" w:themeFill="background2"/>
          </w:tcPr>
          <w:p w14:paraId="03797686" w14:textId="77777777" w:rsidR="00074551" w:rsidRPr="00BE3728" w:rsidRDefault="00074551" w:rsidP="00367133">
            <w:pPr>
              <w:jc w:val="center"/>
              <w:rPr>
                <w:sz w:val="20"/>
                <w:szCs w:val="20"/>
                <w:lang w:val="en-US"/>
              </w:rPr>
            </w:pPr>
          </w:p>
        </w:tc>
        <w:tc>
          <w:tcPr>
            <w:tcW w:w="1594" w:type="pct"/>
            <w:shd w:val="clear" w:color="auto" w:fill="E7E6E6" w:themeFill="background2"/>
            <w:vAlign w:val="center"/>
          </w:tcPr>
          <w:p w14:paraId="65C49405" w14:textId="77777777" w:rsidR="00074551" w:rsidRPr="00BE3728" w:rsidRDefault="00074551" w:rsidP="00367133">
            <w:pPr>
              <w:jc w:val="both"/>
              <w:rPr>
                <w:sz w:val="20"/>
                <w:szCs w:val="20"/>
              </w:rPr>
            </w:pPr>
          </w:p>
        </w:tc>
        <w:tc>
          <w:tcPr>
            <w:tcW w:w="1822" w:type="pct"/>
            <w:shd w:val="clear" w:color="auto" w:fill="E7E6E6" w:themeFill="background2"/>
          </w:tcPr>
          <w:p w14:paraId="416F7D80" w14:textId="1AC87CF6" w:rsidR="00074551" w:rsidRPr="00BE3728" w:rsidRDefault="00A15DB3" w:rsidP="00A15DB3">
            <w:pPr>
              <w:rPr>
                <w:sz w:val="20"/>
                <w:szCs w:val="20"/>
                <w:lang w:val="en-US"/>
              </w:rPr>
            </w:pPr>
            <w:r w:rsidRPr="00A15DB3">
              <w:rPr>
                <w:i/>
                <w:iCs/>
                <w:sz w:val="16"/>
                <w:szCs w:val="20"/>
              </w:rPr>
              <w:t>Thematische Gliederung der nachfolgenden Entscheidungen ↓</w:t>
            </w:r>
          </w:p>
        </w:tc>
      </w:tr>
      <w:tr w:rsidR="00074551" w:rsidRPr="00E50B51" w14:paraId="6416AF63" w14:textId="77777777" w:rsidTr="00BE689F">
        <w:trPr>
          <w:cantSplit/>
          <w:trHeight w:val="3175"/>
        </w:trPr>
        <w:tc>
          <w:tcPr>
            <w:tcW w:w="293" w:type="pct"/>
          </w:tcPr>
          <w:p w14:paraId="29A7E950" w14:textId="77777777" w:rsidR="00074551" w:rsidRPr="00BE3728" w:rsidRDefault="00074551" w:rsidP="00367133">
            <w:pPr>
              <w:ind w:right="416"/>
              <w:jc w:val="center"/>
              <w:rPr>
                <w:sz w:val="20"/>
                <w:szCs w:val="20"/>
                <w:lang w:val="en-US"/>
              </w:rPr>
            </w:pPr>
            <w:r>
              <w:rPr>
                <w:sz w:val="20"/>
                <w:szCs w:val="20"/>
              </w:rPr>
              <w:lastRenderedPageBreak/>
              <w:t>H</w:t>
            </w:r>
          </w:p>
        </w:tc>
        <w:tc>
          <w:tcPr>
            <w:tcW w:w="387" w:type="pct"/>
            <w:textDirection w:val="tbRl"/>
            <w:vAlign w:val="center"/>
          </w:tcPr>
          <w:p w14:paraId="29AE760F" w14:textId="77777777" w:rsidR="00074551" w:rsidRPr="00B45592" w:rsidRDefault="00074551" w:rsidP="00367133">
            <w:pPr>
              <w:ind w:left="113" w:right="416"/>
              <w:jc w:val="both"/>
              <w:rPr>
                <w:i/>
                <w:sz w:val="20"/>
                <w:szCs w:val="20"/>
              </w:rPr>
            </w:pPr>
            <w:r w:rsidRPr="00B45592">
              <w:rPr>
                <w:i/>
                <w:sz w:val="20"/>
                <w:szCs w:val="20"/>
              </w:rPr>
              <w:t>Petit v. Minnesota</w:t>
            </w:r>
          </w:p>
        </w:tc>
        <w:tc>
          <w:tcPr>
            <w:tcW w:w="197" w:type="pct"/>
            <w:textDirection w:val="tbRl"/>
            <w:vAlign w:val="center"/>
          </w:tcPr>
          <w:p w14:paraId="24F3E8AE" w14:textId="77777777" w:rsidR="00074551" w:rsidRPr="00BE3728" w:rsidRDefault="00074551" w:rsidP="00367133">
            <w:pPr>
              <w:ind w:left="113" w:right="113"/>
              <w:jc w:val="both"/>
              <w:rPr>
                <w:sz w:val="20"/>
                <w:szCs w:val="20"/>
              </w:rPr>
            </w:pPr>
            <w:r w:rsidRPr="00BE3728">
              <w:rPr>
                <w:sz w:val="20"/>
                <w:szCs w:val="20"/>
              </w:rPr>
              <w:t>177 U.S. 164</w:t>
            </w:r>
          </w:p>
        </w:tc>
        <w:tc>
          <w:tcPr>
            <w:tcW w:w="306" w:type="pct"/>
            <w:textDirection w:val="tbRl"/>
            <w:vAlign w:val="center"/>
          </w:tcPr>
          <w:p w14:paraId="3C321CC6" w14:textId="77777777" w:rsidR="00074551" w:rsidRPr="00BE3728" w:rsidRDefault="00074551" w:rsidP="00367133">
            <w:pPr>
              <w:ind w:left="113" w:right="113"/>
              <w:jc w:val="both"/>
              <w:rPr>
                <w:sz w:val="20"/>
                <w:szCs w:val="20"/>
              </w:rPr>
            </w:pPr>
            <w:r w:rsidRPr="00BE3728">
              <w:rPr>
                <w:sz w:val="20"/>
                <w:szCs w:val="20"/>
              </w:rPr>
              <w:t>09. April 1900</w:t>
            </w:r>
          </w:p>
        </w:tc>
        <w:tc>
          <w:tcPr>
            <w:tcW w:w="401" w:type="pct"/>
          </w:tcPr>
          <w:p w14:paraId="6986AF4B" w14:textId="77777777" w:rsidR="00074551" w:rsidRPr="00BE3728" w:rsidRDefault="00074551" w:rsidP="00367133">
            <w:pPr>
              <w:jc w:val="center"/>
              <w:rPr>
                <w:sz w:val="20"/>
                <w:szCs w:val="20"/>
                <w:lang w:val="en-US"/>
              </w:rPr>
            </w:pPr>
            <w:r w:rsidRPr="00BE3728">
              <w:rPr>
                <w:sz w:val="20"/>
                <w:szCs w:val="20"/>
                <w:lang w:val="en-US"/>
              </w:rPr>
              <w:t>M</w:t>
            </w:r>
          </w:p>
        </w:tc>
        <w:tc>
          <w:tcPr>
            <w:tcW w:w="1594" w:type="pct"/>
          </w:tcPr>
          <w:p w14:paraId="6EFFC881"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entschied, die Legislative Minnesotas </w:t>
            </w:r>
            <w:r>
              <w:rPr>
                <w:sz w:val="20"/>
                <w:szCs w:val="20"/>
              </w:rPr>
              <w:t>habe</w:t>
            </w:r>
            <w:r w:rsidRPr="00BE3728">
              <w:rPr>
                <w:sz w:val="20"/>
                <w:szCs w:val="20"/>
              </w:rPr>
              <w:t xml:space="preserve"> innerhalb ihrer Kompetenz</w:t>
            </w:r>
            <w:r>
              <w:rPr>
                <w:sz w:val="20"/>
                <w:szCs w:val="20"/>
              </w:rPr>
              <w:t xml:space="preserve"> gehandelt</w:t>
            </w:r>
            <w:r w:rsidRPr="00BE3728">
              <w:rPr>
                <w:sz w:val="20"/>
                <w:szCs w:val="20"/>
              </w:rPr>
              <w:t>, als sie bestimm</w:t>
            </w:r>
            <w:r>
              <w:rPr>
                <w:sz w:val="20"/>
                <w:szCs w:val="20"/>
              </w:rPr>
              <w:t>t</w:t>
            </w:r>
            <w:r w:rsidRPr="00BE3728">
              <w:rPr>
                <w:sz w:val="20"/>
                <w:szCs w:val="20"/>
              </w:rPr>
              <w:t xml:space="preserve">e, dass das Betreiben von Barbierläden am Sonntag keine notwendige oder wohltätige Tätigkeit darstelle. Dies regle </w:t>
            </w:r>
            <w:r>
              <w:rPr>
                <w:sz w:val="20"/>
                <w:szCs w:val="20"/>
              </w:rPr>
              <w:t>§ </w:t>
            </w:r>
            <w:r w:rsidRPr="00BE3728">
              <w:rPr>
                <w:sz w:val="20"/>
                <w:szCs w:val="20"/>
              </w:rPr>
              <w:t>6513 de</w:t>
            </w:r>
            <w:r>
              <w:rPr>
                <w:sz w:val="20"/>
                <w:szCs w:val="20"/>
              </w:rPr>
              <w:t>r</w:t>
            </w:r>
            <w:r w:rsidRPr="00BE3728">
              <w:rPr>
                <w:sz w:val="20"/>
                <w:szCs w:val="20"/>
              </w:rPr>
              <w:t xml:space="preserve"> </w:t>
            </w:r>
            <w:r w:rsidRPr="5B67C1D2">
              <w:rPr>
                <w:i/>
                <w:iCs/>
                <w:sz w:val="20"/>
                <w:szCs w:val="20"/>
              </w:rPr>
              <w:t>General Statutes of Minnesota</w:t>
            </w:r>
            <w:r w:rsidRPr="00BE3728">
              <w:rPr>
                <w:sz w:val="20"/>
                <w:szCs w:val="20"/>
              </w:rPr>
              <w:t>.</w:t>
            </w:r>
            <w:r w:rsidRPr="00BE3728">
              <w:rPr>
                <w:rStyle w:val="Funotenzeichen"/>
                <w:sz w:val="20"/>
                <w:szCs w:val="20"/>
              </w:rPr>
              <w:footnoteReference w:id="720"/>
            </w:r>
            <w:r w:rsidRPr="00BE3728">
              <w:rPr>
                <w:sz w:val="20"/>
                <w:szCs w:val="20"/>
              </w:rPr>
              <w:t xml:space="preserve"> Zunächst </w:t>
            </w:r>
            <w:r>
              <w:rPr>
                <w:sz w:val="20"/>
                <w:szCs w:val="20"/>
              </w:rPr>
              <w:t>war</w:t>
            </w:r>
            <w:r w:rsidRPr="00BE3728">
              <w:rPr>
                <w:sz w:val="20"/>
                <w:szCs w:val="20"/>
              </w:rPr>
              <w:t xml:space="preserve"> ein Barbier dafür bestraft</w:t>
            </w:r>
            <w:r>
              <w:rPr>
                <w:sz w:val="20"/>
                <w:szCs w:val="20"/>
              </w:rPr>
              <w:t xml:space="preserve"> worden</w:t>
            </w:r>
            <w:r w:rsidRPr="00BE3728">
              <w:rPr>
                <w:sz w:val="20"/>
                <w:szCs w:val="20"/>
              </w:rPr>
              <w:t xml:space="preserve">, dass er entgegen diesem Gesetz am Sonntag </w:t>
            </w:r>
            <w:r>
              <w:rPr>
                <w:sz w:val="20"/>
                <w:szCs w:val="20"/>
              </w:rPr>
              <w:t>gearbeitet hatte</w:t>
            </w:r>
            <w:r w:rsidRPr="00BE3728">
              <w:rPr>
                <w:sz w:val="20"/>
                <w:szCs w:val="20"/>
              </w:rPr>
              <w:t xml:space="preserve">. Seine Berufung, dass diese Regelung willkürlich sei, wurde abgelehnt. Der </w:t>
            </w:r>
            <w:r>
              <w:rPr>
                <w:sz w:val="20"/>
                <w:szCs w:val="20"/>
              </w:rPr>
              <w:t>U.S. Supreme Court</w:t>
            </w:r>
            <w:r w:rsidRPr="00BE3728">
              <w:rPr>
                <w:sz w:val="20"/>
                <w:szCs w:val="20"/>
              </w:rPr>
              <w:t xml:space="preserve"> bestätigte dies. Denn das Gesetz von 1894 verbot Sonntagsarbeit, außer bei Notwendigkeit oder Wohltätigkeit. Explizit ausgenommen von diesen Ausnahmen waren jedoch Barbierläden. Und eine Gesetzesänderung von 1887 fügte hinzu, dass die Tätigkeit in Barbierläden am Sonntag nicht als notwendig oder wohltätig anzusehen sei. Das Gericht sah in dieser Regelung keine Willkür, da das Verbot nur das gewerbliche Betreiben von Barbierläden am Sonntag betraf, jedoch </w:t>
            </w:r>
            <w:r>
              <w:rPr>
                <w:sz w:val="20"/>
                <w:szCs w:val="20"/>
              </w:rPr>
              <w:t>z.B.</w:t>
            </w:r>
            <w:r w:rsidRPr="00BE3728">
              <w:rPr>
                <w:sz w:val="20"/>
                <w:szCs w:val="20"/>
              </w:rPr>
              <w:t xml:space="preserve"> private Haarschnitte weiter erlaubte. Die Entscheidung, dass das Offenhalten von Barbierläden am Sonntag keine notwendige oder wohltätige Arbeit darstelle, während andere Tätigkeiten im Einzelfall geprüft werden, </w:t>
            </w:r>
            <w:r>
              <w:rPr>
                <w:sz w:val="20"/>
                <w:szCs w:val="20"/>
              </w:rPr>
              <w:t>sei</w:t>
            </w:r>
            <w:r w:rsidRPr="00BE3728">
              <w:rPr>
                <w:sz w:val="20"/>
                <w:szCs w:val="20"/>
              </w:rPr>
              <w:t xml:space="preserve"> auch nicht willkürlich. </w:t>
            </w:r>
            <w:r>
              <w:rPr>
                <w:sz w:val="20"/>
                <w:szCs w:val="20"/>
              </w:rPr>
              <w:t>Sie</w:t>
            </w:r>
            <w:r w:rsidRPr="00BE3728">
              <w:rPr>
                <w:sz w:val="20"/>
                <w:szCs w:val="20"/>
              </w:rPr>
              <w:t xml:space="preserve"> </w:t>
            </w:r>
            <w:r>
              <w:rPr>
                <w:sz w:val="20"/>
                <w:szCs w:val="20"/>
              </w:rPr>
              <w:t>liege</w:t>
            </w:r>
            <w:r w:rsidRPr="00BE3728">
              <w:rPr>
                <w:sz w:val="20"/>
                <w:szCs w:val="20"/>
              </w:rPr>
              <w:t xml:space="preserve"> im gesetzgeberischen Ermessen.</w:t>
            </w:r>
            <w:r w:rsidRPr="00BE3728">
              <w:rPr>
                <w:rStyle w:val="Funotenzeichen"/>
                <w:sz w:val="20"/>
                <w:szCs w:val="20"/>
              </w:rPr>
              <w:footnoteReference w:id="721"/>
            </w:r>
          </w:p>
          <w:p w14:paraId="65BBEB28" w14:textId="77777777" w:rsidR="00074551" w:rsidRPr="00BE3728" w:rsidRDefault="00074551" w:rsidP="00367133">
            <w:pPr>
              <w:jc w:val="both"/>
              <w:rPr>
                <w:sz w:val="20"/>
                <w:szCs w:val="20"/>
              </w:rPr>
            </w:pPr>
          </w:p>
        </w:tc>
        <w:tc>
          <w:tcPr>
            <w:tcW w:w="1822" w:type="pct"/>
          </w:tcPr>
          <w:p w14:paraId="753945C1" w14:textId="77777777" w:rsidR="00074551" w:rsidRPr="00B45592" w:rsidRDefault="00074551" w:rsidP="00367133">
            <w:pPr>
              <w:jc w:val="both"/>
              <w:rPr>
                <w:i/>
                <w:sz w:val="20"/>
                <w:szCs w:val="20"/>
              </w:rPr>
            </w:pPr>
            <w:r w:rsidRPr="00B45592">
              <w:rPr>
                <w:i/>
                <w:sz w:val="20"/>
                <w:szCs w:val="20"/>
              </w:rPr>
              <w:t>LexisNexis-Klassifikation: Governments › Police Powers</w:t>
            </w:r>
          </w:p>
          <w:p w14:paraId="3135F05B" w14:textId="77777777" w:rsidR="00074551" w:rsidRPr="00BE3728" w:rsidRDefault="00074551" w:rsidP="00367133">
            <w:pPr>
              <w:jc w:val="both"/>
              <w:rPr>
                <w:sz w:val="20"/>
                <w:szCs w:val="20"/>
              </w:rPr>
            </w:pPr>
          </w:p>
          <w:p w14:paraId="7D529478" w14:textId="77777777" w:rsidR="00074551" w:rsidRPr="00996DA4"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urteilte nach ständiger Rechtsprechung („as will not </w:t>
            </w:r>
            <w:proofErr w:type="spellStart"/>
            <w:r w:rsidRPr="00BE3728">
              <w:rPr>
                <w:sz w:val="20"/>
                <w:szCs w:val="20"/>
              </w:rPr>
              <w:t>be</w:t>
            </w:r>
            <w:proofErr w:type="spellEnd"/>
            <w:r w:rsidRPr="00BE3728">
              <w:rPr>
                <w:sz w:val="20"/>
                <w:szCs w:val="20"/>
              </w:rPr>
              <w:t xml:space="preserve"> </w:t>
            </w:r>
            <w:proofErr w:type="spellStart"/>
            <w:r w:rsidRPr="00BE3728">
              <w:rPr>
                <w:sz w:val="20"/>
                <w:szCs w:val="20"/>
              </w:rPr>
              <w:t>disputed</w:t>
            </w:r>
            <w:proofErr w:type="spellEnd"/>
            <w:r w:rsidRPr="00BE3728">
              <w:rPr>
                <w:sz w:val="20"/>
                <w:szCs w:val="20"/>
              </w:rPr>
              <w:t>“</w:t>
            </w:r>
            <w:r w:rsidRPr="00BE3728">
              <w:rPr>
                <w:rStyle w:val="Funotenzeichen"/>
                <w:sz w:val="20"/>
                <w:szCs w:val="20"/>
              </w:rPr>
              <w:footnoteReference w:id="722"/>
            </w:r>
            <w:r w:rsidRPr="00BE3728">
              <w:rPr>
                <w:sz w:val="20"/>
                <w:szCs w:val="20"/>
              </w:rPr>
              <w:t xml:space="preserve">), dass die Legislative die Befugnis habe, Gesetze zu erlassen, die auf </w:t>
            </w:r>
            <w:r>
              <w:rPr>
                <w:sz w:val="20"/>
                <w:szCs w:val="20"/>
              </w:rPr>
              <w:t>F</w:t>
            </w:r>
            <w:r w:rsidRPr="00BE3728">
              <w:rPr>
                <w:sz w:val="20"/>
                <w:szCs w:val="20"/>
              </w:rPr>
              <w:t xml:space="preserve">olgendes gerichtet </w:t>
            </w:r>
            <w:r>
              <w:rPr>
                <w:sz w:val="20"/>
                <w:szCs w:val="20"/>
              </w:rPr>
              <w:t>seien</w:t>
            </w:r>
            <w:r w:rsidRPr="00BE3728">
              <w:rPr>
                <w:sz w:val="20"/>
                <w:szCs w:val="20"/>
              </w:rPr>
              <w:t xml:space="preserve">: Die Ordnung zu fördern sowie das Wohlbefinden, das Glück und die Gesundheit des Volkes zu sichern. Aus diesen Zielen folge, dass </w:t>
            </w:r>
            <w:r>
              <w:rPr>
                <w:sz w:val="20"/>
                <w:szCs w:val="20"/>
              </w:rPr>
              <w:t xml:space="preserve">es </w:t>
            </w:r>
            <w:r w:rsidRPr="00BE3728">
              <w:rPr>
                <w:sz w:val="20"/>
                <w:szCs w:val="20"/>
              </w:rPr>
              <w:t>im Ermessen der Legislative liege, den Tag festzulegen, an dem Arbeit innerhalb der Grenzen des Staates einzustellen sei</w:t>
            </w:r>
            <w:r>
              <w:rPr>
                <w:sz w:val="20"/>
                <w:szCs w:val="20"/>
              </w:rPr>
              <w:t> </w:t>
            </w:r>
            <w:r w:rsidRPr="00BE3728">
              <w:rPr>
                <w:sz w:val="20"/>
                <w:szCs w:val="20"/>
              </w:rPr>
              <w:t>– mit Ausnahme von notwendigen und wohltätigen Arbeiten.</w:t>
            </w:r>
            <w:r w:rsidRPr="00BE3728">
              <w:rPr>
                <w:rStyle w:val="Funotenzeichen"/>
                <w:sz w:val="20"/>
                <w:szCs w:val="20"/>
              </w:rPr>
              <w:footnoteReference w:id="723"/>
            </w:r>
          </w:p>
        </w:tc>
      </w:tr>
      <w:tr w:rsidR="00074551" w:rsidRPr="00E50B51" w14:paraId="58F635F0" w14:textId="77777777" w:rsidTr="00BE689F">
        <w:trPr>
          <w:cantSplit/>
          <w:trHeight w:val="3175"/>
        </w:trPr>
        <w:tc>
          <w:tcPr>
            <w:tcW w:w="293" w:type="pct"/>
          </w:tcPr>
          <w:p w14:paraId="5553431A" w14:textId="77777777" w:rsidR="00074551" w:rsidRPr="00BE3728" w:rsidRDefault="00074551" w:rsidP="00367133">
            <w:pPr>
              <w:ind w:right="416"/>
              <w:jc w:val="center"/>
              <w:rPr>
                <w:sz w:val="20"/>
                <w:szCs w:val="20"/>
                <w:lang w:val="en-US"/>
              </w:rPr>
            </w:pPr>
            <w:r w:rsidRPr="00BE3728">
              <w:rPr>
                <w:sz w:val="20"/>
                <w:szCs w:val="20"/>
              </w:rPr>
              <w:lastRenderedPageBreak/>
              <w:t>H</w:t>
            </w:r>
          </w:p>
        </w:tc>
        <w:tc>
          <w:tcPr>
            <w:tcW w:w="387" w:type="pct"/>
            <w:textDirection w:val="tbRl"/>
            <w:vAlign w:val="center"/>
          </w:tcPr>
          <w:p w14:paraId="764229FD" w14:textId="77777777" w:rsidR="00074551" w:rsidRPr="00B45592" w:rsidRDefault="00074551" w:rsidP="00367133">
            <w:pPr>
              <w:ind w:left="113" w:right="416"/>
              <w:jc w:val="both"/>
              <w:rPr>
                <w:i/>
                <w:sz w:val="20"/>
                <w:szCs w:val="20"/>
                <w:lang w:val="en-US"/>
              </w:rPr>
            </w:pPr>
            <w:r w:rsidRPr="00B45592">
              <w:rPr>
                <w:i/>
                <w:sz w:val="20"/>
                <w:szCs w:val="20"/>
                <w:lang w:val="en-US"/>
              </w:rPr>
              <w:t>Late Corp. of Church of Jesus Christ v. United States</w:t>
            </w:r>
          </w:p>
        </w:tc>
        <w:tc>
          <w:tcPr>
            <w:tcW w:w="197" w:type="pct"/>
            <w:textDirection w:val="tbRl"/>
            <w:vAlign w:val="center"/>
          </w:tcPr>
          <w:p w14:paraId="6351BE2D" w14:textId="77777777" w:rsidR="00074551" w:rsidRPr="00BE3728" w:rsidRDefault="00074551" w:rsidP="00367133">
            <w:pPr>
              <w:ind w:left="113" w:right="113"/>
              <w:jc w:val="both"/>
              <w:rPr>
                <w:sz w:val="20"/>
                <w:szCs w:val="20"/>
              </w:rPr>
            </w:pPr>
            <w:r w:rsidRPr="00BE3728">
              <w:rPr>
                <w:sz w:val="20"/>
                <w:szCs w:val="20"/>
              </w:rPr>
              <w:t>136 U.S. 1</w:t>
            </w:r>
          </w:p>
        </w:tc>
        <w:tc>
          <w:tcPr>
            <w:tcW w:w="306" w:type="pct"/>
            <w:textDirection w:val="tbRl"/>
            <w:vAlign w:val="center"/>
          </w:tcPr>
          <w:p w14:paraId="51F9BA82" w14:textId="77777777" w:rsidR="00074551" w:rsidRPr="00BE3728" w:rsidRDefault="00074551" w:rsidP="00367133">
            <w:pPr>
              <w:ind w:left="113" w:right="113"/>
              <w:jc w:val="both"/>
              <w:rPr>
                <w:sz w:val="20"/>
                <w:szCs w:val="20"/>
              </w:rPr>
            </w:pPr>
            <w:r w:rsidRPr="00BE3728">
              <w:rPr>
                <w:sz w:val="20"/>
                <w:szCs w:val="20"/>
              </w:rPr>
              <w:t>19. Mai 1890</w:t>
            </w:r>
          </w:p>
        </w:tc>
        <w:tc>
          <w:tcPr>
            <w:tcW w:w="401" w:type="pct"/>
          </w:tcPr>
          <w:p w14:paraId="7474F839" w14:textId="77777777" w:rsidR="00074551" w:rsidRPr="00BE3728" w:rsidRDefault="00074551" w:rsidP="00367133">
            <w:pPr>
              <w:jc w:val="center"/>
              <w:rPr>
                <w:sz w:val="20"/>
                <w:szCs w:val="20"/>
                <w:lang w:val="en-US"/>
              </w:rPr>
            </w:pPr>
            <w:r w:rsidRPr="00BE3728">
              <w:rPr>
                <w:sz w:val="20"/>
                <w:szCs w:val="20"/>
                <w:lang w:val="en-US"/>
              </w:rPr>
              <w:t>M</w:t>
            </w:r>
          </w:p>
        </w:tc>
        <w:tc>
          <w:tcPr>
            <w:tcW w:w="1594" w:type="pct"/>
          </w:tcPr>
          <w:p w14:paraId="46638B3B" w14:textId="77777777" w:rsidR="00074551" w:rsidRPr="00BE3728" w:rsidRDefault="00074551" w:rsidP="00367133">
            <w:pPr>
              <w:jc w:val="both"/>
              <w:rPr>
                <w:sz w:val="20"/>
                <w:szCs w:val="20"/>
              </w:rPr>
            </w:pPr>
            <w:r w:rsidRPr="00B45592">
              <w:rPr>
                <w:sz w:val="20"/>
                <w:szCs w:val="20"/>
                <w:lang w:val="en-IE"/>
              </w:rPr>
              <w:t xml:space="preserve">Der U.S. Supreme Court </w:t>
            </w:r>
            <w:proofErr w:type="spellStart"/>
            <w:r w:rsidRPr="00B45592">
              <w:rPr>
                <w:sz w:val="20"/>
                <w:szCs w:val="20"/>
                <w:lang w:val="en-IE"/>
              </w:rPr>
              <w:t>bestätigte</w:t>
            </w:r>
            <w:proofErr w:type="spellEnd"/>
            <w:r w:rsidRPr="00B45592">
              <w:rPr>
                <w:sz w:val="20"/>
                <w:szCs w:val="20"/>
                <w:lang w:val="en-IE"/>
              </w:rPr>
              <w:t xml:space="preserve"> die </w:t>
            </w:r>
            <w:proofErr w:type="spellStart"/>
            <w:r w:rsidRPr="00B45592">
              <w:rPr>
                <w:sz w:val="20"/>
                <w:szCs w:val="20"/>
                <w:lang w:val="en-IE"/>
              </w:rPr>
              <w:t>Entscheidung</w:t>
            </w:r>
            <w:proofErr w:type="spellEnd"/>
            <w:r w:rsidRPr="00B45592">
              <w:rPr>
                <w:sz w:val="20"/>
                <w:szCs w:val="20"/>
                <w:lang w:val="en-IE"/>
              </w:rPr>
              <w:t xml:space="preserve"> des </w:t>
            </w:r>
            <w:bookmarkStart w:id="43" w:name="_Hlk224548015"/>
            <w:r w:rsidRPr="5B67C1D2">
              <w:rPr>
                <w:i/>
                <w:iCs/>
                <w:sz w:val="20"/>
                <w:szCs w:val="20"/>
                <w:lang w:val="en-IE"/>
              </w:rPr>
              <w:t>U.S. District Court</w:t>
            </w:r>
            <w:bookmarkEnd w:id="43"/>
            <w:r w:rsidRPr="5B67C1D2">
              <w:rPr>
                <w:i/>
                <w:iCs/>
                <w:sz w:val="20"/>
                <w:szCs w:val="20"/>
                <w:lang w:val="en-IE"/>
              </w:rPr>
              <w:t xml:space="preserve"> for the Third District of Utah</w:t>
            </w:r>
            <w:r w:rsidRPr="00B45592">
              <w:rPr>
                <w:sz w:val="20"/>
                <w:szCs w:val="20"/>
                <w:lang w:val="en-IE"/>
              </w:rPr>
              <w:t xml:space="preserve">. </w:t>
            </w:r>
            <w:r w:rsidRPr="00BE3728">
              <w:rPr>
                <w:sz w:val="20"/>
                <w:szCs w:val="20"/>
              </w:rPr>
              <w:t xml:space="preserve">Der Hintergrund war, </w:t>
            </w:r>
            <w:r>
              <w:rPr>
                <w:sz w:val="20"/>
                <w:szCs w:val="20"/>
              </w:rPr>
              <w:t xml:space="preserve">dass </w:t>
            </w:r>
            <w:r w:rsidRPr="00BE3728">
              <w:rPr>
                <w:sz w:val="20"/>
                <w:szCs w:val="20"/>
              </w:rPr>
              <w:t xml:space="preserve">die bundesstaatliche Regierung aufgrund </w:t>
            </w:r>
            <w:r>
              <w:rPr>
                <w:sz w:val="20"/>
                <w:szCs w:val="20"/>
              </w:rPr>
              <w:t>von</w:t>
            </w:r>
            <w:r w:rsidRPr="00BE3728">
              <w:rPr>
                <w:sz w:val="20"/>
                <w:szCs w:val="20"/>
              </w:rPr>
              <w:t xml:space="preserve"> fortgesetzte</w:t>
            </w:r>
            <w:r>
              <w:rPr>
                <w:sz w:val="20"/>
                <w:szCs w:val="20"/>
              </w:rPr>
              <w:t>r</w:t>
            </w:r>
            <w:r w:rsidRPr="00BE3728">
              <w:rPr>
                <w:sz w:val="20"/>
                <w:szCs w:val="20"/>
              </w:rPr>
              <w:t xml:space="preserve"> Polygamie</w:t>
            </w:r>
            <w:r w:rsidRPr="00BE3728" w:rsidDel="00542CC4">
              <w:rPr>
                <w:sz w:val="20"/>
                <w:szCs w:val="20"/>
              </w:rPr>
              <w:t xml:space="preserve"> </w:t>
            </w:r>
            <w:r w:rsidRPr="00BE3728">
              <w:rPr>
                <w:sz w:val="20"/>
                <w:szCs w:val="20"/>
              </w:rPr>
              <w:t>eine kirchliche Körperschaft auf</w:t>
            </w:r>
            <w:r>
              <w:rPr>
                <w:sz w:val="20"/>
                <w:szCs w:val="20"/>
              </w:rPr>
              <w:t>gelöst</w:t>
            </w:r>
            <w:r w:rsidRPr="00BE3728">
              <w:rPr>
                <w:sz w:val="20"/>
                <w:szCs w:val="20"/>
              </w:rPr>
              <w:t xml:space="preserve"> und deren Eigentum</w:t>
            </w:r>
            <w:r>
              <w:rPr>
                <w:sz w:val="20"/>
                <w:szCs w:val="20"/>
              </w:rPr>
              <w:t xml:space="preserve"> </w:t>
            </w:r>
            <w:r w:rsidRPr="00BE3728">
              <w:rPr>
                <w:sz w:val="20"/>
                <w:szCs w:val="20"/>
              </w:rPr>
              <w:t>beschlagnahmt</w:t>
            </w:r>
            <w:r>
              <w:rPr>
                <w:sz w:val="20"/>
                <w:szCs w:val="20"/>
              </w:rPr>
              <w:t xml:space="preserve"> hatte</w:t>
            </w:r>
            <w:r w:rsidRPr="00BE3728">
              <w:rPr>
                <w:sz w:val="20"/>
                <w:szCs w:val="20"/>
              </w:rPr>
              <w:t xml:space="preserve">. </w:t>
            </w:r>
            <w:r>
              <w:rPr>
                <w:sz w:val="20"/>
                <w:szCs w:val="20"/>
              </w:rPr>
              <w:t xml:space="preserve">Denn </w:t>
            </w:r>
            <w:r w:rsidRPr="00BE3728">
              <w:rPr>
                <w:sz w:val="20"/>
                <w:szCs w:val="20"/>
              </w:rPr>
              <w:t>gegen die Polygamie hatte die Regierung ein Gesetz erlassen.</w:t>
            </w:r>
            <w:r w:rsidRPr="00BE3728">
              <w:rPr>
                <w:rStyle w:val="Funotenzeichen"/>
                <w:sz w:val="20"/>
                <w:szCs w:val="20"/>
              </w:rPr>
              <w:footnoteReference w:id="724"/>
            </w:r>
            <w:r w:rsidRPr="00BE3728">
              <w:rPr>
                <w:sz w:val="20"/>
                <w:szCs w:val="20"/>
              </w:rPr>
              <w:t xml:space="preserve"> Zunächst erwarb und verfügte die Regierung über ein Grundstück, auf dem sich diese kirchliche Körperschaft befand. Die</w:t>
            </w:r>
            <w:r>
              <w:rPr>
                <w:sz w:val="20"/>
                <w:szCs w:val="20"/>
              </w:rPr>
              <w:t>se</w:t>
            </w:r>
            <w:r w:rsidRPr="00BE3728">
              <w:rPr>
                <w:sz w:val="20"/>
                <w:szCs w:val="20"/>
              </w:rPr>
              <w:t xml:space="preserve"> praktizierte aber </w:t>
            </w:r>
            <w:r>
              <w:rPr>
                <w:sz w:val="20"/>
                <w:szCs w:val="20"/>
              </w:rPr>
              <w:t>weiterhin</w:t>
            </w:r>
            <w:r w:rsidRPr="00BE3728">
              <w:rPr>
                <w:sz w:val="20"/>
                <w:szCs w:val="20"/>
              </w:rPr>
              <w:t xml:space="preserve"> Polygamie. Daher erließ die Regierung </w:t>
            </w:r>
            <w:r>
              <w:rPr>
                <w:sz w:val="20"/>
                <w:szCs w:val="20"/>
              </w:rPr>
              <w:t>das genannte</w:t>
            </w:r>
            <w:r w:rsidRPr="00BE3728">
              <w:rPr>
                <w:sz w:val="20"/>
                <w:szCs w:val="20"/>
              </w:rPr>
              <w:t xml:space="preserve"> Gesetz. Nach dem Eigentumsrecht </w:t>
            </w:r>
            <w:r>
              <w:rPr>
                <w:sz w:val="20"/>
                <w:szCs w:val="20"/>
              </w:rPr>
              <w:t>in Vereinigung</w:t>
            </w:r>
            <w:r w:rsidRPr="00BE3728">
              <w:rPr>
                <w:sz w:val="20"/>
                <w:szCs w:val="20"/>
              </w:rPr>
              <w:t xml:space="preserve"> mit dem Gesetz konnte die Regierung das Gebäude beschlagnahmen, um die Kirchengemeinde aufzulösen und das Gebäude nunmehr für wohltätige Zwecke nutzen zu lassen. Zumal bei der Institution Kirche weiter das Eigentum an dem Gebäude verlieb. Zwar versuchte die Kirchengemeinde, das Eigentum an ihre Kirchenmitglieder zu übertragen und sich somit der Regierung zu entziehen. Aber die Kirche </w:t>
            </w:r>
            <w:r>
              <w:rPr>
                <w:sz w:val="20"/>
                <w:szCs w:val="20"/>
              </w:rPr>
              <w:t>sei</w:t>
            </w:r>
            <w:r w:rsidRPr="00BE3728">
              <w:rPr>
                <w:sz w:val="20"/>
                <w:szCs w:val="20"/>
              </w:rPr>
              <w:t xml:space="preserve"> nicht wirksam</w:t>
            </w:r>
            <w:r>
              <w:rPr>
                <w:sz w:val="20"/>
                <w:szCs w:val="20"/>
              </w:rPr>
              <w:t xml:space="preserve"> übertragen worden</w:t>
            </w:r>
            <w:r w:rsidRPr="00BE3728">
              <w:rPr>
                <w:sz w:val="20"/>
                <w:szCs w:val="20"/>
              </w:rPr>
              <w:t>. Denn die Nutzungsabsicht und Nutzung des Eigentums durch die Kirchenmitglieder richtete sich rechtswidrig auf den Erhalt der Polygamie.</w:t>
            </w:r>
            <w:r w:rsidRPr="00BE3728">
              <w:rPr>
                <w:rStyle w:val="Funotenzeichen"/>
                <w:sz w:val="20"/>
                <w:szCs w:val="20"/>
              </w:rPr>
              <w:footnoteReference w:id="725"/>
            </w:r>
          </w:p>
        </w:tc>
        <w:tc>
          <w:tcPr>
            <w:tcW w:w="1822" w:type="pct"/>
          </w:tcPr>
          <w:p w14:paraId="73E13F41" w14:textId="77777777" w:rsidR="00074551" w:rsidRPr="00B45592" w:rsidRDefault="00074551" w:rsidP="00367133">
            <w:pPr>
              <w:jc w:val="both"/>
              <w:rPr>
                <w:i/>
                <w:sz w:val="20"/>
                <w:szCs w:val="20"/>
              </w:rPr>
            </w:pPr>
            <w:r w:rsidRPr="00B45592">
              <w:rPr>
                <w:i/>
                <w:sz w:val="20"/>
                <w:szCs w:val="20"/>
              </w:rPr>
              <w:t>LexisNexis-Klassifikation: Governments › Police Powers</w:t>
            </w:r>
          </w:p>
          <w:p w14:paraId="2344A53D" w14:textId="77777777" w:rsidR="00074551" w:rsidRPr="00BE3728" w:rsidRDefault="00074551" w:rsidP="00367133">
            <w:pPr>
              <w:jc w:val="both"/>
              <w:rPr>
                <w:sz w:val="20"/>
                <w:szCs w:val="20"/>
              </w:rPr>
            </w:pPr>
          </w:p>
          <w:p w14:paraId="1B83DBF8" w14:textId="77777777" w:rsidR="00074551" w:rsidRDefault="00074551" w:rsidP="00367133">
            <w:pPr>
              <w:jc w:val="both"/>
              <w:rPr>
                <w:sz w:val="20"/>
                <w:szCs w:val="20"/>
              </w:rPr>
            </w:pPr>
            <w:r w:rsidRPr="00BE3728">
              <w:rPr>
                <w:sz w:val="20"/>
                <w:szCs w:val="20"/>
              </w:rPr>
              <w:t>Das Gericht stellt</w:t>
            </w:r>
            <w:r>
              <w:rPr>
                <w:sz w:val="20"/>
                <w:szCs w:val="20"/>
              </w:rPr>
              <w:t>e</w:t>
            </w:r>
            <w:r w:rsidRPr="00BE3728">
              <w:rPr>
                <w:sz w:val="20"/>
                <w:szCs w:val="20"/>
              </w:rPr>
              <w:t xml:space="preserve"> fest, dass die staatliche Schutzmacht (</w:t>
            </w:r>
            <w:proofErr w:type="spellStart"/>
            <w:r w:rsidRPr="5B67C1D2">
              <w:rPr>
                <w:i/>
                <w:iCs/>
                <w:sz w:val="20"/>
                <w:szCs w:val="20"/>
              </w:rPr>
              <w:t>parens</w:t>
            </w:r>
            <w:proofErr w:type="spellEnd"/>
            <w:r w:rsidRPr="5B67C1D2">
              <w:rPr>
                <w:i/>
                <w:iCs/>
                <w:sz w:val="20"/>
                <w:szCs w:val="20"/>
              </w:rPr>
              <w:t xml:space="preserve"> </w:t>
            </w:r>
            <w:proofErr w:type="spellStart"/>
            <w:r w:rsidRPr="5B67C1D2">
              <w:rPr>
                <w:i/>
                <w:iCs/>
                <w:sz w:val="20"/>
                <w:szCs w:val="20"/>
              </w:rPr>
              <w:t>patriae</w:t>
            </w:r>
            <w:proofErr w:type="spellEnd"/>
            <w:r w:rsidRPr="00BE3728">
              <w:rPr>
                <w:sz w:val="20"/>
                <w:szCs w:val="20"/>
              </w:rPr>
              <w:t xml:space="preserve">) ein wesentlicher Teil der Staatsgewalt </w:t>
            </w:r>
            <w:r>
              <w:rPr>
                <w:sz w:val="20"/>
                <w:szCs w:val="20"/>
              </w:rPr>
              <w:t>sei</w:t>
            </w:r>
            <w:r w:rsidRPr="00BE3728">
              <w:rPr>
                <w:sz w:val="20"/>
                <w:szCs w:val="20"/>
              </w:rPr>
              <w:t>. Diese Kompetenz dien</w:t>
            </w:r>
            <w:r>
              <w:rPr>
                <w:sz w:val="20"/>
                <w:szCs w:val="20"/>
              </w:rPr>
              <w:t>e</w:t>
            </w:r>
            <w:r w:rsidRPr="00BE3728">
              <w:rPr>
                <w:sz w:val="20"/>
                <w:szCs w:val="20"/>
              </w:rPr>
              <w:t xml:space="preserve"> nunmehr dem Wohl der Menschen, nicht wie in der Vergangenheit der Willkür. Denn sie </w:t>
            </w:r>
            <w:r>
              <w:rPr>
                <w:sz w:val="20"/>
                <w:szCs w:val="20"/>
              </w:rPr>
              <w:t>sei</w:t>
            </w:r>
            <w:r w:rsidRPr="00BE3728">
              <w:rPr>
                <w:sz w:val="20"/>
                <w:szCs w:val="20"/>
              </w:rPr>
              <w:t xml:space="preserve"> angehalten, diejenigen zu schützen, die sich nicht selbst schützen könn</w:t>
            </w:r>
            <w:r>
              <w:rPr>
                <w:sz w:val="20"/>
                <w:szCs w:val="20"/>
              </w:rPr>
              <w:t>t</w:t>
            </w:r>
            <w:r w:rsidRPr="00BE3728">
              <w:rPr>
                <w:sz w:val="20"/>
                <w:szCs w:val="20"/>
              </w:rPr>
              <w:t>en.</w:t>
            </w:r>
            <w:r w:rsidRPr="00BE3728">
              <w:rPr>
                <w:rStyle w:val="Funotenzeichen"/>
                <w:sz w:val="20"/>
                <w:szCs w:val="20"/>
              </w:rPr>
              <w:footnoteReference w:id="726"/>
            </w:r>
          </w:p>
          <w:p w14:paraId="2C9A8586" w14:textId="77777777" w:rsidR="00074551" w:rsidRDefault="00074551" w:rsidP="00367133">
            <w:pPr>
              <w:jc w:val="both"/>
              <w:rPr>
                <w:sz w:val="20"/>
                <w:szCs w:val="20"/>
              </w:rPr>
            </w:pPr>
          </w:p>
          <w:p w14:paraId="3F0123A5" w14:textId="77777777" w:rsidR="00074551" w:rsidRDefault="00074551" w:rsidP="00367133">
            <w:pPr>
              <w:jc w:val="both"/>
              <w:rPr>
                <w:sz w:val="20"/>
                <w:szCs w:val="20"/>
              </w:rPr>
            </w:pPr>
            <w:r w:rsidRPr="00BE3728">
              <w:rPr>
                <w:sz w:val="20"/>
                <w:szCs w:val="20"/>
              </w:rPr>
              <w:t>Das Wohltätigkeitsrecht („</w:t>
            </w:r>
            <w:proofErr w:type="spellStart"/>
            <w:r w:rsidRPr="00BE3728">
              <w:rPr>
                <w:sz w:val="20"/>
                <w:szCs w:val="20"/>
              </w:rPr>
              <w:t>rule</w:t>
            </w:r>
            <w:proofErr w:type="spellEnd"/>
            <w:r w:rsidRPr="00BE3728">
              <w:rPr>
                <w:sz w:val="20"/>
                <w:szCs w:val="20"/>
              </w:rPr>
              <w:t xml:space="preserve"> of </w:t>
            </w:r>
            <w:proofErr w:type="spellStart"/>
            <w:r w:rsidRPr="00BE3728">
              <w:rPr>
                <w:sz w:val="20"/>
                <w:szCs w:val="20"/>
              </w:rPr>
              <w:t>charity</w:t>
            </w:r>
            <w:proofErr w:type="spellEnd"/>
            <w:r w:rsidRPr="00BE3728">
              <w:rPr>
                <w:sz w:val="20"/>
                <w:szCs w:val="20"/>
              </w:rPr>
              <w:t xml:space="preserve"> </w:t>
            </w:r>
            <w:proofErr w:type="spellStart"/>
            <w:r w:rsidRPr="00BE3728">
              <w:rPr>
                <w:sz w:val="20"/>
                <w:szCs w:val="20"/>
              </w:rPr>
              <w:t>law</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727"/>
            </w:r>
            <w:r w:rsidRPr="00BE3728">
              <w:rPr>
                <w:sz w:val="20"/>
                <w:szCs w:val="20"/>
              </w:rPr>
              <w:t>) besage, dass Eigentum und Vermögen, welches jemand einer Wohltätigkeitsorganisation spende, sich teilweise zu öffentlichem Eigentum transformiere. Denn es diene nunmehr der Wohltätigkeit als öffentlichem Nutzen („</w:t>
            </w:r>
            <w:proofErr w:type="spellStart"/>
            <w:r w:rsidRPr="00BE3728">
              <w:rPr>
                <w:sz w:val="20"/>
                <w:szCs w:val="20"/>
              </w:rPr>
              <w:t>public</w:t>
            </w:r>
            <w:proofErr w:type="spellEnd"/>
            <w:r w:rsidRPr="00BE3728">
              <w:rPr>
                <w:sz w:val="20"/>
                <w:szCs w:val="20"/>
              </w:rPr>
              <w:t xml:space="preserve"> </w:t>
            </w:r>
            <w:proofErr w:type="spellStart"/>
            <w:r w:rsidRPr="00BE3728">
              <w:rPr>
                <w:sz w:val="20"/>
                <w:szCs w:val="20"/>
              </w:rPr>
              <w:t>use</w:t>
            </w:r>
            <w:proofErr w:type="spellEnd"/>
            <w:r w:rsidRPr="00BE3728">
              <w:rPr>
                <w:sz w:val="20"/>
                <w:szCs w:val="20"/>
              </w:rPr>
              <w:t>“</w:t>
            </w:r>
            <w:r w:rsidRPr="00BE3728">
              <w:rPr>
                <w:rStyle w:val="Funotenzeichen"/>
                <w:sz w:val="20"/>
                <w:szCs w:val="20"/>
              </w:rPr>
              <w:footnoteReference w:id="728"/>
            </w:r>
            <w:r w:rsidRPr="00BE3728">
              <w:rPr>
                <w:sz w:val="20"/>
                <w:szCs w:val="20"/>
              </w:rPr>
              <w:t>). Damit werde es Teil der öffentlichen Ressourcen. Das heißt, dass es nunmehr das Glück und das Wohlergehen der Bevölkerung fördern müsse („</w:t>
            </w:r>
            <w:proofErr w:type="spellStart"/>
            <w:r w:rsidRPr="00BE3728">
              <w:rPr>
                <w:sz w:val="20"/>
                <w:szCs w:val="20"/>
              </w:rPr>
              <w:t>public</w:t>
            </w:r>
            <w:proofErr w:type="spellEnd"/>
            <w:r w:rsidRPr="00BE3728">
              <w:rPr>
                <w:sz w:val="20"/>
                <w:szCs w:val="20"/>
              </w:rPr>
              <w:t xml:space="preserve"> </w:t>
            </w:r>
            <w:proofErr w:type="spellStart"/>
            <w:r w:rsidRPr="00BE3728">
              <w:rPr>
                <w:sz w:val="20"/>
                <w:szCs w:val="20"/>
              </w:rPr>
              <w:t>resources</w:t>
            </w:r>
            <w:proofErr w:type="spellEnd"/>
            <w:r w:rsidRPr="00BE3728">
              <w:rPr>
                <w:sz w:val="20"/>
                <w:szCs w:val="20"/>
              </w:rPr>
              <w:t xml:space="preserve"> for </w:t>
            </w:r>
            <w:proofErr w:type="spellStart"/>
            <w:r w:rsidRPr="00BE3728">
              <w:rPr>
                <w:sz w:val="20"/>
                <w:szCs w:val="20"/>
              </w:rPr>
              <w:t>promoting</w:t>
            </w:r>
            <w:proofErr w:type="spellEnd"/>
            <w:r w:rsidRPr="00BE3728">
              <w:rPr>
                <w:sz w:val="20"/>
                <w:szCs w:val="20"/>
              </w:rPr>
              <w:t xml:space="preserve"> the </w:t>
            </w:r>
            <w:proofErr w:type="spellStart"/>
            <w:r w:rsidRPr="00BE3728">
              <w:rPr>
                <w:sz w:val="20"/>
                <w:szCs w:val="20"/>
              </w:rPr>
              <w:t>happiness</w:t>
            </w:r>
            <w:proofErr w:type="spellEnd"/>
            <w:r w:rsidRPr="00BE3728">
              <w:rPr>
                <w:sz w:val="20"/>
                <w:szCs w:val="20"/>
              </w:rPr>
              <w:t xml:space="preserve"> and well-</w:t>
            </w:r>
            <w:proofErr w:type="spellStart"/>
            <w:r w:rsidRPr="00BE3728">
              <w:rPr>
                <w:sz w:val="20"/>
                <w:szCs w:val="20"/>
              </w:rPr>
              <w:t>being</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w:t>
            </w:r>
            <w:r w:rsidRPr="00BE3728">
              <w:rPr>
                <w:rStyle w:val="Funotenzeichen"/>
                <w:sz w:val="20"/>
                <w:szCs w:val="20"/>
                <w:lang w:val="en-US"/>
              </w:rPr>
              <w:footnoteReference w:id="729"/>
            </w:r>
            <w:r w:rsidRPr="00BE3728">
              <w:rPr>
                <w:sz w:val="20"/>
                <w:szCs w:val="20"/>
              </w:rPr>
              <w:t>). Sollte das Vermögen bzw. Eigentum dem zuwiderlaufen, wie hier mit den Praktiken der Polygamie, dann liege eine rechtswidrige Verwendung vor. Der Staat könne das Eigentum bzw. Vermögen entziehen.</w:t>
            </w:r>
            <w:r w:rsidRPr="00BE3728">
              <w:rPr>
                <w:rStyle w:val="Funotenzeichen"/>
                <w:sz w:val="20"/>
                <w:szCs w:val="20"/>
              </w:rPr>
              <w:t xml:space="preserve"> </w:t>
            </w:r>
            <w:r w:rsidRPr="00BE3728">
              <w:rPr>
                <w:rStyle w:val="Funotenzeichen"/>
                <w:sz w:val="20"/>
                <w:szCs w:val="20"/>
              </w:rPr>
              <w:footnoteReference w:id="730"/>
            </w:r>
            <w:r w:rsidRPr="00BE3728">
              <w:rPr>
                <w:sz w:val="20"/>
                <w:szCs w:val="20"/>
              </w:rPr>
              <w:t xml:space="preserve"> </w:t>
            </w:r>
          </w:p>
          <w:p w14:paraId="568DD5C5" w14:textId="77777777" w:rsidR="00074551" w:rsidRDefault="00074551" w:rsidP="00367133">
            <w:pPr>
              <w:jc w:val="both"/>
              <w:rPr>
                <w:sz w:val="20"/>
                <w:szCs w:val="20"/>
              </w:rPr>
            </w:pPr>
          </w:p>
          <w:p w14:paraId="05602BCA" w14:textId="77777777" w:rsidR="00A411AC" w:rsidRDefault="00A411AC" w:rsidP="00367133">
            <w:pPr>
              <w:jc w:val="both"/>
              <w:rPr>
                <w:sz w:val="20"/>
                <w:szCs w:val="20"/>
              </w:rPr>
            </w:pPr>
          </w:p>
          <w:p w14:paraId="1A4EB804" w14:textId="77777777" w:rsidR="00074551" w:rsidRPr="00BE3728" w:rsidRDefault="00074551" w:rsidP="00367133">
            <w:pPr>
              <w:jc w:val="both"/>
              <w:rPr>
                <w:sz w:val="20"/>
                <w:szCs w:val="20"/>
                <w:lang w:val="en-US"/>
              </w:rPr>
            </w:pPr>
          </w:p>
        </w:tc>
      </w:tr>
      <w:tr w:rsidR="00074551" w:rsidRPr="00E50B51" w14:paraId="096460A4" w14:textId="77777777" w:rsidTr="00BE689F">
        <w:trPr>
          <w:cantSplit/>
          <w:trHeight w:val="3175"/>
        </w:trPr>
        <w:tc>
          <w:tcPr>
            <w:tcW w:w="293" w:type="pct"/>
          </w:tcPr>
          <w:p w14:paraId="788012C6" w14:textId="77777777" w:rsidR="00074551" w:rsidRPr="00BE3728" w:rsidRDefault="00074551" w:rsidP="00367133">
            <w:pPr>
              <w:ind w:right="416"/>
              <w:jc w:val="center"/>
              <w:rPr>
                <w:sz w:val="20"/>
                <w:szCs w:val="20"/>
                <w:lang w:val="en-US"/>
              </w:rPr>
            </w:pPr>
            <w:r w:rsidRPr="00BE3728">
              <w:rPr>
                <w:sz w:val="20"/>
                <w:szCs w:val="20"/>
              </w:rPr>
              <w:lastRenderedPageBreak/>
              <w:t>H</w:t>
            </w:r>
          </w:p>
        </w:tc>
        <w:tc>
          <w:tcPr>
            <w:tcW w:w="387" w:type="pct"/>
            <w:textDirection w:val="tbRl"/>
            <w:vAlign w:val="center"/>
          </w:tcPr>
          <w:p w14:paraId="645D26EB" w14:textId="77777777" w:rsidR="00074551" w:rsidRPr="00B45592" w:rsidRDefault="00074551" w:rsidP="00367133">
            <w:pPr>
              <w:ind w:left="113" w:right="416"/>
              <w:jc w:val="both"/>
              <w:rPr>
                <w:i/>
                <w:sz w:val="20"/>
                <w:szCs w:val="20"/>
              </w:rPr>
            </w:pPr>
            <w:r w:rsidRPr="00B45592">
              <w:rPr>
                <w:i/>
                <w:sz w:val="20"/>
                <w:szCs w:val="20"/>
              </w:rPr>
              <w:t xml:space="preserve">Brennan v. </w:t>
            </w:r>
            <w:proofErr w:type="spellStart"/>
            <w:r w:rsidRPr="00B45592">
              <w:rPr>
                <w:i/>
                <w:sz w:val="20"/>
                <w:szCs w:val="20"/>
              </w:rPr>
              <w:t>Titusville</w:t>
            </w:r>
            <w:proofErr w:type="spellEnd"/>
          </w:p>
        </w:tc>
        <w:tc>
          <w:tcPr>
            <w:tcW w:w="197" w:type="pct"/>
            <w:textDirection w:val="tbRl"/>
            <w:vAlign w:val="center"/>
          </w:tcPr>
          <w:p w14:paraId="64AB0246" w14:textId="77777777" w:rsidR="00074551" w:rsidRPr="00BE3728" w:rsidRDefault="00074551" w:rsidP="00367133">
            <w:pPr>
              <w:ind w:left="113" w:right="113"/>
              <w:jc w:val="both"/>
              <w:rPr>
                <w:sz w:val="20"/>
                <w:szCs w:val="20"/>
              </w:rPr>
            </w:pPr>
            <w:r w:rsidRPr="00BE3728">
              <w:rPr>
                <w:sz w:val="20"/>
                <w:szCs w:val="20"/>
              </w:rPr>
              <w:t>153 U.S. 289</w:t>
            </w:r>
          </w:p>
        </w:tc>
        <w:tc>
          <w:tcPr>
            <w:tcW w:w="306" w:type="pct"/>
            <w:textDirection w:val="tbRl"/>
            <w:vAlign w:val="center"/>
          </w:tcPr>
          <w:p w14:paraId="0F832FC5" w14:textId="77777777" w:rsidR="00074551" w:rsidRPr="00BE3728" w:rsidRDefault="00074551" w:rsidP="00367133">
            <w:pPr>
              <w:ind w:left="113" w:right="113"/>
              <w:jc w:val="both"/>
              <w:rPr>
                <w:sz w:val="20"/>
                <w:szCs w:val="20"/>
              </w:rPr>
            </w:pPr>
            <w:r w:rsidRPr="00BE3728">
              <w:rPr>
                <w:sz w:val="20"/>
                <w:szCs w:val="20"/>
              </w:rPr>
              <w:t>30. April 1894</w:t>
            </w:r>
          </w:p>
        </w:tc>
        <w:tc>
          <w:tcPr>
            <w:tcW w:w="401" w:type="pct"/>
          </w:tcPr>
          <w:p w14:paraId="36CC411A" w14:textId="77777777" w:rsidR="00074551" w:rsidRPr="00BE3728" w:rsidRDefault="00074551" w:rsidP="00367133">
            <w:pPr>
              <w:jc w:val="center"/>
              <w:rPr>
                <w:sz w:val="20"/>
                <w:szCs w:val="20"/>
                <w:lang w:val="en-US"/>
              </w:rPr>
            </w:pPr>
            <w:r w:rsidRPr="00BE3728">
              <w:rPr>
                <w:sz w:val="20"/>
                <w:szCs w:val="20"/>
                <w:lang w:val="en-US"/>
              </w:rPr>
              <w:t>S</w:t>
            </w:r>
          </w:p>
        </w:tc>
        <w:tc>
          <w:tcPr>
            <w:tcW w:w="1594" w:type="pct"/>
          </w:tcPr>
          <w:p w14:paraId="54EA668C"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entschied über eine bundesstaatliche Lizenzgebühr für das Tür-zu-Tür-Werben eines Verkaufsvertreters, der Bestellungen für einen außerbundesstaatlichen Hersteller annahm. Die Lizenzgebühr verstoße gegen die </w:t>
            </w:r>
            <w:r w:rsidRPr="5B67C1D2">
              <w:rPr>
                <w:i/>
                <w:iCs/>
                <w:sz w:val="20"/>
                <w:szCs w:val="20"/>
              </w:rPr>
              <w:t xml:space="preserve">Commerce </w:t>
            </w:r>
            <w:proofErr w:type="spellStart"/>
            <w:r w:rsidRPr="5B67C1D2">
              <w:rPr>
                <w:i/>
                <w:iCs/>
                <w:sz w:val="20"/>
                <w:szCs w:val="20"/>
              </w:rPr>
              <w:t>Clause</w:t>
            </w:r>
            <w:proofErr w:type="spellEnd"/>
            <w:r w:rsidRPr="00BE3728">
              <w:rPr>
                <w:sz w:val="20"/>
                <w:szCs w:val="20"/>
              </w:rPr>
              <w:t xml:space="preserve">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Die Entscheidung des unteren Gerichts zulasten des Verkäufers wurde aufgehoben und der Fall zurückverwiesen. Der Verkäufer, der in der Stadt für Bilderrahmen aus Illinois warb, </w:t>
            </w:r>
            <w:r>
              <w:rPr>
                <w:sz w:val="20"/>
                <w:szCs w:val="20"/>
              </w:rPr>
              <w:t>war</w:t>
            </w:r>
            <w:r w:rsidRPr="00BE3728">
              <w:rPr>
                <w:sz w:val="20"/>
                <w:szCs w:val="20"/>
              </w:rPr>
              <w:t xml:space="preserve"> verhaftet und bestraft</w:t>
            </w:r>
            <w:r>
              <w:rPr>
                <w:sz w:val="20"/>
                <w:szCs w:val="20"/>
              </w:rPr>
              <w:t xml:space="preserve"> worden, da</w:t>
            </w:r>
            <w:r w:rsidRPr="00BE3728">
              <w:rPr>
                <w:sz w:val="20"/>
                <w:szCs w:val="20"/>
              </w:rPr>
              <w:t xml:space="preserve"> er die Lizenzgebühren nicht entrichtet</w:t>
            </w:r>
            <w:r>
              <w:rPr>
                <w:sz w:val="20"/>
                <w:szCs w:val="20"/>
              </w:rPr>
              <w:t xml:space="preserve"> </w:t>
            </w:r>
            <w:r w:rsidRPr="00BE3728">
              <w:rPr>
                <w:sz w:val="20"/>
                <w:szCs w:val="20"/>
              </w:rPr>
              <w:t xml:space="preserve">hatte. </w:t>
            </w:r>
            <w:r>
              <w:rPr>
                <w:sz w:val="20"/>
                <w:szCs w:val="20"/>
              </w:rPr>
              <w:t>Der U.S. Supreme Court</w:t>
            </w:r>
            <w:r w:rsidRPr="00BE3728">
              <w:rPr>
                <w:sz w:val="20"/>
                <w:szCs w:val="20"/>
              </w:rPr>
              <w:t xml:space="preserve"> erkannte, dass die Gebühr, ob </w:t>
            </w:r>
            <w:r>
              <w:rPr>
                <w:sz w:val="20"/>
                <w:szCs w:val="20"/>
              </w:rPr>
              <w:t xml:space="preserve">nun </w:t>
            </w:r>
            <w:r w:rsidRPr="00BE3728">
              <w:rPr>
                <w:sz w:val="20"/>
                <w:szCs w:val="20"/>
              </w:rPr>
              <w:t>als Steuer oder als Ausübung staatlicher Polizeigewalt verstanden, den zwischenstaatlichen Handel belastete. Er urteilte, dass der Kongress die ausschließliche Kompetenz über den zwischenstaatlichen Handel habe. Kein Bundesstaat dürfe eine Steuer auf diesen Handel erheben</w:t>
            </w:r>
            <w:r>
              <w:rPr>
                <w:sz w:val="20"/>
                <w:szCs w:val="20"/>
              </w:rPr>
              <w:t>, e</w:t>
            </w:r>
            <w:r w:rsidRPr="00BE3728">
              <w:rPr>
                <w:sz w:val="20"/>
                <w:szCs w:val="20"/>
              </w:rPr>
              <w:t>s sei denn, der Kongress erteil</w:t>
            </w:r>
            <w:r>
              <w:rPr>
                <w:sz w:val="20"/>
                <w:szCs w:val="20"/>
              </w:rPr>
              <w:t>e</w:t>
            </w:r>
            <w:r w:rsidRPr="00BE3728">
              <w:rPr>
                <w:sz w:val="20"/>
                <w:szCs w:val="20"/>
              </w:rPr>
              <w:t xml:space="preserve"> seine Zustimmung.</w:t>
            </w:r>
            <w:r w:rsidRPr="00BE3728">
              <w:rPr>
                <w:rStyle w:val="Funotenzeichen"/>
                <w:sz w:val="20"/>
                <w:szCs w:val="20"/>
              </w:rPr>
              <w:footnoteReference w:id="731"/>
            </w:r>
          </w:p>
        </w:tc>
        <w:tc>
          <w:tcPr>
            <w:tcW w:w="1822" w:type="pct"/>
          </w:tcPr>
          <w:p w14:paraId="3F6CFC79" w14:textId="7CA9D834" w:rsidR="00074551" w:rsidRPr="00B45592" w:rsidRDefault="00074551" w:rsidP="00367133">
            <w:pPr>
              <w:jc w:val="both"/>
              <w:rPr>
                <w:rStyle w:val="Hyperlink"/>
                <w:i/>
                <w:color w:val="auto"/>
                <w:sz w:val="20"/>
                <w:szCs w:val="20"/>
                <w:u w:val="none"/>
              </w:rPr>
            </w:pPr>
            <w:r w:rsidRPr="00B45592">
              <w:rPr>
                <w:i/>
                <w:sz w:val="20"/>
                <w:szCs w:val="20"/>
              </w:rPr>
              <w:t xml:space="preserve">LexisNexis-Klassifikation: Governments › </w:t>
            </w:r>
            <w:hyperlink r:id="rId16" w:history="1">
              <w:r w:rsidRPr="00B45592">
                <w:rPr>
                  <w:rStyle w:val="Hyperlink"/>
                  <w:i/>
                  <w:color w:val="auto"/>
                  <w:sz w:val="20"/>
                  <w:szCs w:val="20"/>
                  <w:u w:val="none"/>
                </w:rPr>
                <w:t>Police Powers</w:t>
              </w:r>
            </w:hyperlink>
          </w:p>
          <w:p w14:paraId="531E9236" w14:textId="77777777" w:rsidR="00074551" w:rsidRPr="00BE3728" w:rsidRDefault="00074551" w:rsidP="00367133">
            <w:pPr>
              <w:jc w:val="both"/>
              <w:rPr>
                <w:sz w:val="20"/>
                <w:szCs w:val="20"/>
              </w:rPr>
            </w:pPr>
          </w:p>
          <w:p w14:paraId="56DBFCCE" w14:textId="7579AEC8" w:rsidR="00074551" w:rsidRDefault="00074551" w:rsidP="00367133">
            <w:pPr>
              <w:jc w:val="both"/>
              <w:rPr>
                <w:sz w:val="20"/>
                <w:szCs w:val="20"/>
              </w:rPr>
            </w:pPr>
            <w:r w:rsidRPr="00BE3728">
              <w:rPr>
                <w:sz w:val="20"/>
                <w:szCs w:val="20"/>
              </w:rPr>
              <w:t xml:space="preserve">Der Staat darf seine Polizeigewalt nicht so ausüben, dass der zwischenstaatliche Handel über das notwendige Maß hinaus behindert wird. Objekte dürfen nur in diesem </w:t>
            </w:r>
            <w:r w:rsidRPr="5B67C1D2">
              <w:rPr>
                <w:sz w:val="20"/>
                <w:szCs w:val="20"/>
              </w:rPr>
              <w:t>verfassungsrechtlichen Rahmen gesichert werden.</w:t>
            </w:r>
            <w:r w:rsidRPr="5B67C1D2">
              <w:rPr>
                <w:rStyle w:val="Funotenzeichen"/>
                <w:sz w:val="20"/>
                <w:szCs w:val="20"/>
              </w:rPr>
              <w:footnoteReference w:id="732"/>
            </w:r>
          </w:p>
          <w:p w14:paraId="507E46D9" w14:textId="77777777" w:rsidR="00074551" w:rsidRDefault="00074551" w:rsidP="00367133">
            <w:pPr>
              <w:jc w:val="both"/>
              <w:rPr>
                <w:sz w:val="20"/>
                <w:szCs w:val="20"/>
              </w:rPr>
            </w:pPr>
          </w:p>
          <w:p w14:paraId="5DB93089" w14:textId="557CA199" w:rsidR="00074551" w:rsidRPr="00BE3728" w:rsidRDefault="00074551" w:rsidP="00367133">
            <w:pPr>
              <w:jc w:val="both"/>
              <w:rPr>
                <w:sz w:val="20"/>
                <w:szCs w:val="20"/>
              </w:rPr>
            </w:pPr>
            <w:r w:rsidRPr="00BE3728">
              <w:rPr>
                <w:sz w:val="20"/>
                <w:szCs w:val="20"/>
              </w:rPr>
              <w:t xml:space="preserve">Richter </w:t>
            </w:r>
            <w:r w:rsidRPr="5B67C1D2">
              <w:rPr>
                <w:i/>
                <w:iCs/>
                <w:sz w:val="20"/>
                <w:szCs w:val="20"/>
              </w:rPr>
              <w:t>Bradley</w:t>
            </w:r>
            <w:r w:rsidRPr="00BE3728">
              <w:rPr>
                <w:sz w:val="20"/>
                <w:szCs w:val="20"/>
              </w:rPr>
              <w:t xml:space="preserve"> räumt in seiner Stellungnahme zum Fall ein,</w:t>
            </w:r>
            <w:r w:rsidRPr="00BE3728">
              <w:rPr>
                <w:rStyle w:val="Funotenzeichen"/>
                <w:sz w:val="20"/>
                <w:szCs w:val="20"/>
              </w:rPr>
              <w:footnoteReference w:id="733"/>
            </w:r>
            <w:r w:rsidRPr="00BE3728">
              <w:rPr>
                <w:sz w:val="20"/>
                <w:szCs w:val="20"/>
              </w:rPr>
              <w:t xml:space="preserve"> ein Gesetz könne den Handel zwischen Staaten dann einschränken, wenn ein Bundesstaat im Rahmen seiner Polizeigewalt und Gerichtsbarkeit dabei das Ziel verfolge, für die Sicherheit, die Gesundheit und das Wohlbefinden von Personen sowie den Schutz von Eigentum zu sorgen. Mit Wohlbefinden sei Glück gemeint. </w:t>
            </w:r>
            <w:r>
              <w:rPr>
                <w:sz w:val="20"/>
                <w:szCs w:val="20"/>
              </w:rPr>
              <w:t>Dieses</w:t>
            </w:r>
            <w:r w:rsidRPr="00BE3728">
              <w:rPr>
                <w:sz w:val="20"/>
                <w:szCs w:val="20"/>
              </w:rPr>
              <w:t xml:space="preserve"> beschränk</w:t>
            </w:r>
            <w:r>
              <w:rPr>
                <w:sz w:val="20"/>
                <w:szCs w:val="20"/>
              </w:rPr>
              <w:t>t</w:t>
            </w:r>
            <w:r w:rsidRPr="00BE3728">
              <w:rPr>
                <w:sz w:val="20"/>
                <w:szCs w:val="20"/>
              </w:rPr>
              <w:t>en Verkaufsvertreter durch ihre Akquise im Schutzbereich der Privatsphäre verfassungswidrig („</w:t>
            </w:r>
            <w:proofErr w:type="spellStart"/>
            <w:r w:rsidRPr="00BE3728">
              <w:rPr>
                <w:sz w:val="20"/>
                <w:szCs w:val="20"/>
              </w:rPr>
              <w:t>destructive</w:t>
            </w:r>
            <w:proofErr w:type="spellEnd"/>
            <w:r w:rsidRPr="00BE3728">
              <w:rPr>
                <w:sz w:val="20"/>
                <w:szCs w:val="20"/>
              </w:rPr>
              <w:t xml:space="preserve"> of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comfort</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 and […] </w:t>
            </w:r>
            <w:proofErr w:type="spellStart"/>
            <w:r w:rsidRPr="00BE3728">
              <w:rPr>
                <w:sz w:val="20"/>
                <w:szCs w:val="20"/>
              </w:rPr>
              <w:t>assail</w:t>
            </w:r>
            <w:proofErr w:type="spellEnd"/>
            <w:r w:rsidRPr="00BE3728">
              <w:rPr>
                <w:sz w:val="20"/>
                <w:szCs w:val="20"/>
              </w:rPr>
              <w:t xml:space="preserve"> the </w:t>
            </w:r>
            <w:proofErr w:type="spellStart"/>
            <w:r w:rsidRPr="00BE3728">
              <w:rPr>
                <w:sz w:val="20"/>
                <w:szCs w:val="20"/>
              </w:rPr>
              <w:t>privacy</w:t>
            </w:r>
            <w:proofErr w:type="spellEnd"/>
            <w:r w:rsidRPr="00BE3728">
              <w:rPr>
                <w:sz w:val="20"/>
                <w:szCs w:val="20"/>
              </w:rPr>
              <w:t xml:space="preserve"> of </w:t>
            </w:r>
            <w:proofErr w:type="spellStart"/>
            <w:r w:rsidRPr="00BE3728">
              <w:rPr>
                <w:sz w:val="20"/>
                <w:szCs w:val="20"/>
              </w:rPr>
              <w:t>domestic</w:t>
            </w:r>
            <w:proofErr w:type="spellEnd"/>
            <w:r w:rsidRPr="00BE3728">
              <w:rPr>
                <w:sz w:val="20"/>
                <w:szCs w:val="20"/>
              </w:rPr>
              <w:t xml:space="preserve"> </w:t>
            </w:r>
            <w:proofErr w:type="spellStart"/>
            <w:r w:rsidRPr="00BE3728">
              <w:rPr>
                <w:sz w:val="20"/>
                <w:szCs w:val="20"/>
              </w:rPr>
              <w:t>life</w:t>
            </w:r>
            <w:proofErr w:type="spellEnd"/>
            <w:r w:rsidRPr="00BE3728">
              <w:rPr>
                <w:sz w:val="20"/>
                <w:szCs w:val="20"/>
              </w:rPr>
              <w:t> “</w:t>
            </w:r>
            <w:r w:rsidRPr="00BE3728">
              <w:rPr>
                <w:rStyle w:val="Funotenzeichen"/>
                <w:sz w:val="20"/>
                <w:szCs w:val="20"/>
              </w:rPr>
              <w:footnoteReference w:id="734"/>
            </w:r>
            <w:r w:rsidRPr="00BE3728">
              <w:rPr>
                <w:sz w:val="20"/>
                <w:szCs w:val="20"/>
              </w:rPr>
              <w:t>).</w:t>
            </w:r>
          </w:p>
          <w:p w14:paraId="2487D0DC" w14:textId="77777777" w:rsidR="00074551" w:rsidRPr="00996DA4" w:rsidRDefault="00074551" w:rsidP="00367133">
            <w:pPr>
              <w:jc w:val="both"/>
              <w:rPr>
                <w:sz w:val="20"/>
                <w:szCs w:val="20"/>
              </w:rPr>
            </w:pPr>
          </w:p>
        </w:tc>
      </w:tr>
      <w:tr w:rsidR="00074551" w:rsidRPr="00E50B51" w14:paraId="26806158" w14:textId="77777777" w:rsidTr="00BE689F">
        <w:trPr>
          <w:cantSplit/>
          <w:trHeight w:val="3175"/>
        </w:trPr>
        <w:tc>
          <w:tcPr>
            <w:tcW w:w="293" w:type="pct"/>
          </w:tcPr>
          <w:p w14:paraId="6ADC2973" w14:textId="77777777" w:rsidR="00074551" w:rsidRPr="00BE3728" w:rsidRDefault="00074551" w:rsidP="00367133">
            <w:pPr>
              <w:ind w:right="416"/>
              <w:jc w:val="center"/>
              <w:rPr>
                <w:sz w:val="20"/>
                <w:szCs w:val="20"/>
                <w:lang w:val="en-US"/>
              </w:rPr>
            </w:pPr>
            <w:r w:rsidRPr="00BE3728">
              <w:rPr>
                <w:sz w:val="20"/>
                <w:szCs w:val="20"/>
              </w:rPr>
              <w:lastRenderedPageBreak/>
              <w:t>H</w:t>
            </w:r>
          </w:p>
        </w:tc>
        <w:tc>
          <w:tcPr>
            <w:tcW w:w="387" w:type="pct"/>
            <w:textDirection w:val="tbRl"/>
            <w:vAlign w:val="center"/>
          </w:tcPr>
          <w:p w14:paraId="1B2F119F" w14:textId="77777777" w:rsidR="00074551" w:rsidRPr="00B45592" w:rsidRDefault="00074551" w:rsidP="00367133">
            <w:pPr>
              <w:ind w:left="113" w:right="416"/>
              <w:jc w:val="both"/>
              <w:rPr>
                <w:i/>
                <w:sz w:val="20"/>
                <w:szCs w:val="20"/>
              </w:rPr>
            </w:pPr>
            <w:r w:rsidRPr="00B45592">
              <w:rPr>
                <w:i/>
                <w:sz w:val="20"/>
                <w:szCs w:val="20"/>
              </w:rPr>
              <w:t>Foppiano v. Speed</w:t>
            </w:r>
          </w:p>
        </w:tc>
        <w:tc>
          <w:tcPr>
            <w:tcW w:w="197" w:type="pct"/>
            <w:textDirection w:val="tbRl"/>
            <w:vAlign w:val="center"/>
          </w:tcPr>
          <w:p w14:paraId="77C3C95D" w14:textId="77777777" w:rsidR="00074551" w:rsidRPr="00BE3728" w:rsidRDefault="00074551" w:rsidP="00367133">
            <w:pPr>
              <w:ind w:left="113" w:right="113"/>
              <w:jc w:val="both"/>
              <w:rPr>
                <w:sz w:val="20"/>
                <w:szCs w:val="20"/>
              </w:rPr>
            </w:pPr>
            <w:r w:rsidRPr="00BE3728">
              <w:rPr>
                <w:sz w:val="20"/>
                <w:szCs w:val="20"/>
              </w:rPr>
              <w:t>199 U.S. 501</w:t>
            </w:r>
          </w:p>
        </w:tc>
        <w:tc>
          <w:tcPr>
            <w:tcW w:w="306" w:type="pct"/>
            <w:textDirection w:val="tbRl"/>
            <w:vAlign w:val="center"/>
          </w:tcPr>
          <w:p w14:paraId="2D10F55D" w14:textId="77777777" w:rsidR="00074551" w:rsidRPr="00BE3728" w:rsidRDefault="00074551" w:rsidP="00367133">
            <w:pPr>
              <w:ind w:left="113" w:right="113"/>
              <w:jc w:val="both"/>
              <w:rPr>
                <w:sz w:val="20"/>
                <w:szCs w:val="20"/>
              </w:rPr>
            </w:pPr>
            <w:r w:rsidRPr="00BE3728">
              <w:rPr>
                <w:sz w:val="20"/>
                <w:szCs w:val="20"/>
              </w:rPr>
              <w:t>04. Dezember 1905</w:t>
            </w:r>
          </w:p>
        </w:tc>
        <w:tc>
          <w:tcPr>
            <w:tcW w:w="401" w:type="pct"/>
          </w:tcPr>
          <w:p w14:paraId="7EA1BEEF" w14:textId="77777777" w:rsidR="00074551" w:rsidRPr="00BE3728" w:rsidRDefault="00074551" w:rsidP="00367133">
            <w:pPr>
              <w:jc w:val="center"/>
              <w:rPr>
                <w:sz w:val="20"/>
                <w:szCs w:val="20"/>
                <w:lang w:val="en-US"/>
              </w:rPr>
            </w:pPr>
            <w:r w:rsidRPr="00BE3728">
              <w:rPr>
                <w:sz w:val="20"/>
                <w:szCs w:val="20"/>
                <w:lang w:val="en-US"/>
              </w:rPr>
              <w:t>S</w:t>
            </w:r>
          </w:p>
        </w:tc>
        <w:tc>
          <w:tcPr>
            <w:tcW w:w="1594" w:type="pct"/>
          </w:tcPr>
          <w:p w14:paraId="1E26C1F9"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urteilte, unter dem </w:t>
            </w:r>
            <w:r w:rsidRPr="5B67C1D2">
              <w:rPr>
                <w:i/>
                <w:iCs/>
                <w:sz w:val="20"/>
                <w:szCs w:val="20"/>
              </w:rPr>
              <w:t>Wilson Act</w:t>
            </w:r>
            <w:r w:rsidRPr="00BE3728">
              <w:rPr>
                <w:rStyle w:val="Funotenzeichen"/>
                <w:sz w:val="20"/>
                <w:szCs w:val="20"/>
              </w:rPr>
              <w:footnoteReference w:id="735"/>
            </w:r>
            <w:r w:rsidRPr="00BE3728">
              <w:rPr>
                <w:sz w:val="20"/>
                <w:szCs w:val="20"/>
              </w:rPr>
              <w:t xml:space="preserve"> </w:t>
            </w:r>
            <w:r>
              <w:rPr>
                <w:sz w:val="20"/>
                <w:szCs w:val="20"/>
              </w:rPr>
              <w:t>habe</w:t>
            </w:r>
            <w:r w:rsidRPr="00BE3728">
              <w:rPr>
                <w:sz w:val="20"/>
                <w:szCs w:val="20"/>
              </w:rPr>
              <w:t xml:space="preserve"> der Bundesstaat Tennessee verfassungskonform</w:t>
            </w:r>
            <w:r>
              <w:rPr>
                <w:sz w:val="20"/>
                <w:szCs w:val="20"/>
              </w:rPr>
              <w:t xml:space="preserve"> gehandelt</w:t>
            </w:r>
            <w:r w:rsidRPr="00BE3728">
              <w:rPr>
                <w:sz w:val="20"/>
                <w:szCs w:val="20"/>
              </w:rPr>
              <w:t xml:space="preserve">, als er von einem Verkäufer eines anderen Staats verlangte, eine Alkohollizenz zu erwerben, weil er Alkohol an Passagiere an Bord eines in ausländischer Jurisdiktion registrierten Fährboots verkaufte, das aber in </w:t>
            </w:r>
            <w:r>
              <w:rPr>
                <w:sz w:val="20"/>
                <w:szCs w:val="20"/>
              </w:rPr>
              <w:t>den</w:t>
            </w:r>
            <w:r w:rsidRPr="00BE3728">
              <w:rPr>
                <w:sz w:val="20"/>
                <w:szCs w:val="20"/>
              </w:rPr>
              <w:t xml:space="preserve"> Gewässern</w:t>
            </w:r>
            <w:r>
              <w:rPr>
                <w:sz w:val="20"/>
                <w:szCs w:val="20"/>
              </w:rPr>
              <w:t xml:space="preserve"> von</w:t>
            </w:r>
            <w:r w:rsidRPr="00BE3728">
              <w:rPr>
                <w:sz w:val="20"/>
                <w:szCs w:val="20"/>
              </w:rPr>
              <w:t xml:space="preserve"> </w:t>
            </w:r>
            <w:r>
              <w:rPr>
                <w:sz w:val="20"/>
                <w:szCs w:val="20"/>
              </w:rPr>
              <w:t>Tennessee</w:t>
            </w:r>
            <w:r w:rsidRPr="00BE3728">
              <w:rPr>
                <w:sz w:val="20"/>
                <w:szCs w:val="20"/>
              </w:rPr>
              <w:t xml:space="preserve"> operierte, wo </w:t>
            </w:r>
            <w:r>
              <w:rPr>
                <w:sz w:val="20"/>
                <w:szCs w:val="20"/>
              </w:rPr>
              <w:t>u.a.</w:t>
            </w:r>
            <w:r w:rsidRPr="00BE3728">
              <w:rPr>
                <w:sz w:val="20"/>
                <w:szCs w:val="20"/>
              </w:rPr>
              <w:t xml:space="preserve"> eine Alkohollizenz notwendig war. Damit wies der </w:t>
            </w:r>
            <w:r>
              <w:rPr>
                <w:sz w:val="20"/>
                <w:szCs w:val="20"/>
              </w:rPr>
              <w:t>U.S. Supreme Court</w:t>
            </w:r>
            <w:r w:rsidRPr="00BE3728">
              <w:rPr>
                <w:sz w:val="20"/>
                <w:szCs w:val="20"/>
              </w:rPr>
              <w:t xml:space="preserve"> den Verkäufer zurück, der sich gegen seine Verurteilung </w:t>
            </w:r>
            <w:r>
              <w:rPr>
                <w:sz w:val="20"/>
                <w:szCs w:val="20"/>
              </w:rPr>
              <w:t>gewandt hatte</w:t>
            </w:r>
            <w:r w:rsidRPr="00BE3728">
              <w:rPr>
                <w:sz w:val="20"/>
                <w:szCs w:val="20"/>
              </w:rPr>
              <w:t>. Der Verkäufer hatte zwar ein</w:t>
            </w:r>
            <w:r>
              <w:rPr>
                <w:sz w:val="20"/>
                <w:szCs w:val="20"/>
              </w:rPr>
              <w:t xml:space="preserve"> </w:t>
            </w:r>
            <w:r w:rsidRPr="00BE3728">
              <w:rPr>
                <w:sz w:val="20"/>
                <w:szCs w:val="20"/>
              </w:rPr>
              <w:t>im Ausland registriertes Fährboot</w:t>
            </w:r>
            <w:r>
              <w:rPr>
                <w:sz w:val="20"/>
                <w:szCs w:val="20"/>
              </w:rPr>
              <w:t>, a</w:t>
            </w:r>
            <w:r w:rsidRPr="00BE3728">
              <w:rPr>
                <w:sz w:val="20"/>
                <w:szCs w:val="20"/>
              </w:rPr>
              <w:t xml:space="preserve">ber er befuhr den Mississippi River. Und dort verkauft er ohne die erforderliche Lizenz Alkohol an Bord, </w:t>
            </w:r>
            <w:r>
              <w:rPr>
                <w:sz w:val="20"/>
                <w:szCs w:val="20"/>
              </w:rPr>
              <w:t xml:space="preserve">obwohl </w:t>
            </w:r>
            <w:r w:rsidRPr="00BE3728">
              <w:rPr>
                <w:sz w:val="20"/>
                <w:szCs w:val="20"/>
              </w:rPr>
              <w:t>Tennessee</w:t>
            </w:r>
            <w:r>
              <w:rPr>
                <w:sz w:val="20"/>
                <w:szCs w:val="20"/>
              </w:rPr>
              <w:t xml:space="preserve"> </w:t>
            </w:r>
            <w:r w:rsidRPr="00BE3728">
              <w:rPr>
                <w:sz w:val="20"/>
                <w:szCs w:val="20"/>
              </w:rPr>
              <w:t>diese Lizenz und Alkoholsteuer verlangte. Weder das eine noch das andere hatte der Verkäufer</w:t>
            </w:r>
            <w:r>
              <w:rPr>
                <w:sz w:val="20"/>
                <w:szCs w:val="20"/>
              </w:rPr>
              <w:t xml:space="preserve"> erfüllt</w:t>
            </w:r>
            <w:r w:rsidRPr="00BE3728">
              <w:rPr>
                <w:sz w:val="20"/>
                <w:szCs w:val="20"/>
              </w:rPr>
              <w:t xml:space="preserve">. Der </w:t>
            </w:r>
            <w:r>
              <w:rPr>
                <w:sz w:val="20"/>
                <w:szCs w:val="20"/>
              </w:rPr>
              <w:t>U.S. Supreme Court</w:t>
            </w:r>
            <w:r w:rsidRPr="00BE3728">
              <w:rPr>
                <w:sz w:val="20"/>
                <w:szCs w:val="20"/>
              </w:rPr>
              <w:t xml:space="preserve"> erklärte daher, nach dem </w:t>
            </w:r>
            <w:r w:rsidRPr="5B67C1D2">
              <w:rPr>
                <w:i/>
                <w:iCs/>
                <w:sz w:val="20"/>
                <w:szCs w:val="20"/>
              </w:rPr>
              <w:t>Wilson Act</w:t>
            </w:r>
            <w:r w:rsidRPr="00BE3728">
              <w:rPr>
                <w:sz w:val="20"/>
                <w:szCs w:val="20"/>
              </w:rPr>
              <w:t xml:space="preserve"> dürften Bundesstaaten importierten Alkohol unter denselben Bedingungen regulieren, wie wenn er im Bundesstaat selbst hergestellt worden wäre. Dies umfasse die Lizenzpflicht für Verkäufe in Tennessee</w:t>
            </w:r>
            <w:r>
              <w:rPr>
                <w:sz w:val="20"/>
                <w:szCs w:val="20"/>
              </w:rPr>
              <w:t> </w:t>
            </w:r>
            <w:r w:rsidRPr="00BE3728">
              <w:rPr>
                <w:sz w:val="20"/>
                <w:szCs w:val="20"/>
              </w:rPr>
              <w:t xml:space="preserve">– auch auf schiffbaren Gewässern. Der Einfluss auf den </w:t>
            </w:r>
            <w:r>
              <w:rPr>
                <w:sz w:val="20"/>
                <w:szCs w:val="20"/>
              </w:rPr>
              <w:t>zwischen</w:t>
            </w:r>
            <w:r w:rsidRPr="00BE3728">
              <w:rPr>
                <w:sz w:val="20"/>
                <w:szCs w:val="20"/>
              </w:rPr>
              <w:t>staatlichen Handel sei nachrangig. Daher könne der Bundesstaat hier regeln.</w:t>
            </w:r>
            <w:r w:rsidRPr="00BE3728">
              <w:rPr>
                <w:rStyle w:val="Funotenzeichen"/>
                <w:sz w:val="20"/>
                <w:szCs w:val="20"/>
              </w:rPr>
              <w:footnoteReference w:id="736"/>
            </w:r>
          </w:p>
          <w:p w14:paraId="4FEC3D8E" w14:textId="77777777" w:rsidR="00074551" w:rsidRPr="00BE3728" w:rsidRDefault="00074551" w:rsidP="00367133">
            <w:pPr>
              <w:jc w:val="both"/>
              <w:rPr>
                <w:sz w:val="20"/>
                <w:szCs w:val="20"/>
              </w:rPr>
            </w:pPr>
          </w:p>
          <w:p w14:paraId="35025118" w14:textId="77777777" w:rsidR="00074551" w:rsidRPr="00BE3728" w:rsidRDefault="00074551" w:rsidP="00367133">
            <w:pPr>
              <w:jc w:val="both"/>
              <w:rPr>
                <w:sz w:val="20"/>
                <w:szCs w:val="20"/>
              </w:rPr>
            </w:pPr>
          </w:p>
          <w:p w14:paraId="34EDDDC3" w14:textId="77777777" w:rsidR="00074551" w:rsidRPr="00BE3728" w:rsidRDefault="00074551" w:rsidP="00367133">
            <w:pPr>
              <w:jc w:val="both"/>
              <w:rPr>
                <w:sz w:val="20"/>
                <w:szCs w:val="20"/>
              </w:rPr>
            </w:pPr>
          </w:p>
          <w:p w14:paraId="246145BA" w14:textId="77777777" w:rsidR="00074551" w:rsidRPr="00BE3728" w:rsidRDefault="00074551" w:rsidP="00367133">
            <w:pPr>
              <w:jc w:val="both"/>
              <w:rPr>
                <w:sz w:val="20"/>
                <w:szCs w:val="20"/>
              </w:rPr>
            </w:pPr>
          </w:p>
          <w:p w14:paraId="42BCB9C7" w14:textId="77777777" w:rsidR="00074551" w:rsidRPr="00BE3728" w:rsidRDefault="00074551" w:rsidP="00367133">
            <w:pPr>
              <w:jc w:val="both"/>
              <w:rPr>
                <w:sz w:val="20"/>
                <w:szCs w:val="20"/>
              </w:rPr>
            </w:pPr>
          </w:p>
          <w:p w14:paraId="5D2FCC86" w14:textId="77777777" w:rsidR="00074551" w:rsidRPr="00BE3728" w:rsidRDefault="00074551" w:rsidP="00367133">
            <w:pPr>
              <w:jc w:val="both"/>
              <w:rPr>
                <w:sz w:val="20"/>
                <w:szCs w:val="20"/>
              </w:rPr>
            </w:pPr>
          </w:p>
        </w:tc>
        <w:tc>
          <w:tcPr>
            <w:tcW w:w="1822" w:type="pct"/>
          </w:tcPr>
          <w:p w14:paraId="0DC62A97" w14:textId="77777777" w:rsidR="00074551" w:rsidRPr="00B45592" w:rsidRDefault="00074551" w:rsidP="00367133">
            <w:pPr>
              <w:jc w:val="both"/>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Governments › State &amp; Territorial Governments</w:t>
            </w:r>
          </w:p>
          <w:p w14:paraId="065CAAA4" w14:textId="77777777" w:rsidR="00074551" w:rsidRPr="00B45592" w:rsidRDefault="00074551" w:rsidP="00367133">
            <w:pPr>
              <w:jc w:val="both"/>
              <w:rPr>
                <w:sz w:val="20"/>
                <w:szCs w:val="20"/>
                <w:lang w:val="en-IE"/>
              </w:rPr>
            </w:pPr>
          </w:p>
          <w:p w14:paraId="2C0B0981" w14:textId="01FACB4F" w:rsidR="00074551" w:rsidRDefault="00074551" w:rsidP="00367133">
            <w:pPr>
              <w:jc w:val="both"/>
              <w:rPr>
                <w:sz w:val="20"/>
                <w:szCs w:val="20"/>
              </w:rPr>
            </w:pPr>
            <w:r w:rsidRPr="00BE3728">
              <w:rPr>
                <w:sz w:val="20"/>
                <w:szCs w:val="20"/>
              </w:rPr>
              <w:t>Das Gesetz (</w:t>
            </w:r>
            <w:r w:rsidRPr="5B67C1D2">
              <w:rPr>
                <w:i/>
                <w:iCs/>
                <w:sz w:val="20"/>
                <w:szCs w:val="20"/>
              </w:rPr>
              <w:t>Wilson Act</w:t>
            </w:r>
            <w:r w:rsidRPr="5B67C1D2">
              <w:rPr>
                <w:sz w:val="20"/>
                <w:szCs w:val="20"/>
              </w:rPr>
              <w:t>, 26 Stat. 313 [1890]) bestimmt, dass alkoholische Getränke, die in einen anderen Staat oder ein anderes Territorium transportiert werden, bei ihrer Ankunft den Gesetzen dieses Staates oder Territoriums unterliegen, die im Rahmen seiner Polizeigewalt erlassen wurden – in demselben Umfang und auf dieselbe Weise, als ob die alkoholischen Getränke in dem genannten Staat oder Territorium hergestellt worden wären.</w:t>
            </w:r>
            <w:r w:rsidRPr="5B67C1D2">
              <w:rPr>
                <w:rStyle w:val="Funotenzeichen"/>
                <w:sz w:val="20"/>
                <w:szCs w:val="20"/>
              </w:rPr>
              <w:footnoteReference w:id="737"/>
            </w:r>
          </w:p>
          <w:p w14:paraId="3E786EFB" w14:textId="77777777" w:rsidR="00074551" w:rsidRPr="00BE3728" w:rsidRDefault="00074551" w:rsidP="00367133">
            <w:pPr>
              <w:jc w:val="both"/>
              <w:rPr>
                <w:sz w:val="20"/>
                <w:szCs w:val="20"/>
              </w:rPr>
            </w:pPr>
          </w:p>
          <w:p w14:paraId="2D467A36" w14:textId="2DD331DB" w:rsidR="00074551" w:rsidRPr="00BE3728" w:rsidRDefault="00074551" w:rsidP="00367133">
            <w:pPr>
              <w:jc w:val="both"/>
              <w:rPr>
                <w:sz w:val="20"/>
                <w:szCs w:val="20"/>
              </w:rPr>
            </w:pPr>
            <w:r w:rsidRPr="00BE3728">
              <w:rPr>
                <w:sz w:val="20"/>
                <w:szCs w:val="20"/>
              </w:rPr>
              <w:t xml:space="preserve">Der Generalstaatsanwalt Tennessees </w:t>
            </w:r>
            <w:r>
              <w:rPr>
                <w:sz w:val="20"/>
                <w:szCs w:val="20"/>
              </w:rPr>
              <w:t>vertrat</w:t>
            </w:r>
            <w:r w:rsidRPr="00BE3728">
              <w:rPr>
                <w:sz w:val="20"/>
                <w:szCs w:val="20"/>
              </w:rPr>
              <w:t xml:space="preserve"> den Beklagten. E</w:t>
            </w:r>
            <w:r>
              <w:rPr>
                <w:sz w:val="20"/>
                <w:szCs w:val="20"/>
              </w:rPr>
              <w:t>s</w:t>
            </w:r>
            <w:r w:rsidRPr="00BE3728">
              <w:rPr>
                <w:sz w:val="20"/>
                <w:szCs w:val="20"/>
              </w:rPr>
              <w:t xml:space="preserve"> </w:t>
            </w:r>
            <w:r>
              <w:rPr>
                <w:sz w:val="20"/>
                <w:szCs w:val="20"/>
              </w:rPr>
              <w:t>sei ein Unterschied</w:t>
            </w:r>
            <w:r w:rsidRPr="00BE3728">
              <w:rPr>
                <w:sz w:val="20"/>
                <w:szCs w:val="20"/>
              </w:rPr>
              <w:t>, ob Gewässer für Handelszwecke oder mit einem Passagierschiff – hier mit Alkoholverkauf – benutzt w</w:t>
            </w:r>
            <w:r>
              <w:rPr>
                <w:sz w:val="20"/>
                <w:szCs w:val="20"/>
              </w:rPr>
              <w:t>ü</w:t>
            </w:r>
            <w:r w:rsidRPr="00BE3728">
              <w:rPr>
                <w:sz w:val="20"/>
                <w:szCs w:val="20"/>
              </w:rPr>
              <w:t xml:space="preserve">rden. Gewässer </w:t>
            </w:r>
            <w:r>
              <w:rPr>
                <w:sz w:val="20"/>
                <w:szCs w:val="20"/>
              </w:rPr>
              <w:t>seien</w:t>
            </w:r>
            <w:r w:rsidRPr="00BE3728">
              <w:rPr>
                <w:sz w:val="20"/>
                <w:szCs w:val="20"/>
              </w:rPr>
              <w:t xml:space="preserve"> grundsätzlich für Passagierschiffe frei zugänglich</w:t>
            </w:r>
            <w:r>
              <w:rPr>
                <w:sz w:val="20"/>
                <w:szCs w:val="20"/>
              </w:rPr>
              <w:t> </w:t>
            </w:r>
            <w:r w:rsidRPr="00BE3728">
              <w:rPr>
                <w:sz w:val="20"/>
                <w:szCs w:val="20"/>
              </w:rPr>
              <w:t xml:space="preserve">– anders bei Handelszwecken. Es gebe also keine Transportabgabe wie bei Handelsschiffen. Aber auch für das Passagierschiff </w:t>
            </w:r>
            <w:r>
              <w:rPr>
                <w:sz w:val="20"/>
                <w:szCs w:val="20"/>
              </w:rPr>
              <w:t>gelte</w:t>
            </w:r>
            <w:r w:rsidRPr="00BE3728">
              <w:rPr>
                <w:sz w:val="20"/>
                <w:szCs w:val="20"/>
              </w:rPr>
              <w:t xml:space="preserve">: Wenn es die territorialen Grenzen eines Bundesstaats – hier Tennessees – übertrete, dann unterliege das Schiff </w:t>
            </w:r>
            <w:r>
              <w:rPr>
                <w:sz w:val="20"/>
                <w:szCs w:val="20"/>
              </w:rPr>
              <w:t>mitsamt</w:t>
            </w:r>
            <w:r w:rsidRPr="00BE3728">
              <w:rPr>
                <w:sz w:val="20"/>
                <w:szCs w:val="20"/>
              </w:rPr>
              <w:t xml:space="preserve"> seine</w:t>
            </w:r>
            <w:r>
              <w:rPr>
                <w:sz w:val="20"/>
                <w:szCs w:val="20"/>
              </w:rPr>
              <w:t>n</w:t>
            </w:r>
            <w:r w:rsidRPr="00BE3728">
              <w:rPr>
                <w:sz w:val="20"/>
                <w:szCs w:val="20"/>
              </w:rPr>
              <w:t xml:space="preserve"> Insassen der Polizeigewalt dieses Bundesstaats.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orientiere</w:t>
            </w:r>
            <w:proofErr w:type="spellEnd"/>
            <w:r w:rsidRPr="00BE3728">
              <w:rPr>
                <w:sz w:val="20"/>
                <w:szCs w:val="20"/>
                <w:lang w:val="en-US"/>
              </w:rPr>
              <w:t xml:space="preserve"> </w:t>
            </w:r>
            <w:proofErr w:type="spellStart"/>
            <w:r w:rsidRPr="00BE3728">
              <w:rPr>
                <w:sz w:val="20"/>
                <w:szCs w:val="20"/>
                <w:lang w:val="en-US"/>
              </w:rPr>
              <w:t>sich</w:t>
            </w:r>
            <w:proofErr w:type="spellEnd"/>
            <w:r w:rsidRPr="00BE3728">
              <w:rPr>
                <w:sz w:val="20"/>
                <w:szCs w:val="20"/>
                <w:lang w:val="en-US"/>
              </w:rPr>
              <w:t xml:space="preserve"> am Glück der </w:t>
            </w:r>
            <w:proofErr w:type="spellStart"/>
            <w:r w:rsidRPr="00BE3728">
              <w:rPr>
                <w:sz w:val="20"/>
                <w:szCs w:val="20"/>
                <w:lang w:val="en-US"/>
              </w:rPr>
              <w:t>Staatsbürger</w:t>
            </w:r>
            <w:proofErr w:type="spellEnd"/>
            <w:r w:rsidRPr="00BE3728">
              <w:rPr>
                <w:sz w:val="20"/>
                <w:szCs w:val="20"/>
                <w:lang w:val="en-US"/>
              </w:rPr>
              <w:t xml:space="preserve"> („subject to the police power of the State, which was not granted to the General Government, but reserved for the benefit, well-being and happiness of the citizens of the State.”</w:t>
            </w:r>
            <w:r w:rsidRPr="00BE3728">
              <w:rPr>
                <w:rStyle w:val="Funotenzeichen"/>
                <w:sz w:val="20"/>
                <w:szCs w:val="20"/>
                <w:lang w:val="en-US"/>
              </w:rPr>
              <w:footnoteReference w:id="738"/>
            </w:r>
            <w:r w:rsidRPr="00BE3728">
              <w:rPr>
                <w:sz w:val="20"/>
                <w:szCs w:val="20"/>
              </w:rPr>
              <w:t xml:space="preserve">). Was ist die Folge für den Fall? Das Recht </w:t>
            </w:r>
            <w:r>
              <w:rPr>
                <w:sz w:val="20"/>
                <w:szCs w:val="20"/>
              </w:rPr>
              <w:t>auf den Verkauf </w:t>
            </w:r>
            <w:r w:rsidRPr="00BE3728">
              <w:rPr>
                <w:sz w:val="20"/>
                <w:szCs w:val="20"/>
              </w:rPr>
              <w:t>– nicht Transport</w:t>
            </w:r>
            <w:r>
              <w:rPr>
                <w:sz w:val="20"/>
                <w:szCs w:val="20"/>
              </w:rPr>
              <w:t> </w:t>
            </w:r>
            <w:r w:rsidRPr="00BE3728">
              <w:rPr>
                <w:sz w:val="20"/>
                <w:szCs w:val="20"/>
              </w:rPr>
              <w:t xml:space="preserve">– von alkoholischen Getränken </w:t>
            </w:r>
            <w:r>
              <w:rPr>
                <w:sz w:val="20"/>
                <w:szCs w:val="20"/>
              </w:rPr>
              <w:t>sei</w:t>
            </w:r>
            <w:r w:rsidRPr="00BE3728">
              <w:rPr>
                <w:sz w:val="20"/>
                <w:szCs w:val="20"/>
              </w:rPr>
              <w:t xml:space="preserve"> kein Vorrecht der US-Bürgerschaft gemäß der Klausel über Vorrechte und Immunitäten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rStyle w:val="Funotenzeichen"/>
                <w:sz w:val="20"/>
                <w:szCs w:val="20"/>
              </w:rPr>
              <w:footnoteReference w:id="739"/>
            </w:r>
            <w:r w:rsidRPr="00BE3728">
              <w:rPr>
                <w:sz w:val="20"/>
                <w:szCs w:val="20"/>
              </w:rPr>
              <w:t xml:space="preserve"> Damit kann ein Bundesstaat den Verkauf regeln, </w:t>
            </w:r>
            <w:r>
              <w:rPr>
                <w:sz w:val="20"/>
                <w:szCs w:val="20"/>
              </w:rPr>
              <w:t>z.B.</w:t>
            </w:r>
            <w:r w:rsidRPr="00BE3728">
              <w:rPr>
                <w:sz w:val="20"/>
                <w:szCs w:val="20"/>
              </w:rPr>
              <w:t xml:space="preserve"> mit Lizenzen. Denn damit dient der Bundesstaat dem Glück seiner Bürger, ausgedrückt in der öffentlichen Gesundheit und dem öffentlichen Wohl („</w:t>
            </w:r>
            <w:proofErr w:type="spellStart"/>
            <w:r w:rsidRPr="00BE3728">
              <w:rPr>
                <w:sz w:val="20"/>
                <w:szCs w:val="20"/>
              </w:rPr>
              <w:t>That</w:t>
            </w:r>
            <w:proofErr w:type="spellEnd"/>
            <w:r w:rsidRPr="00BE3728">
              <w:rPr>
                <w:sz w:val="20"/>
                <w:szCs w:val="20"/>
              </w:rPr>
              <w:t xml:space="preserve"> power </w:t>
            </w:r>
            <w:proofErr w:type="spellStart"/>
            <w:r w:rsidRPr="00BE3728">
              <w:rPr>
                <w:sz w:val="20"/>
                <w:szCs w:val="20"/>
              </w:rPr>
              <w:t>embraces</w:t>
            </w:r>
            <w:proofErr w:type="spellEnd"/>
            <w:r w:rsidRPr="00BE3728">
              <w:rPr>
                <w:sz w:val="20"/>
                <w:szCs w:val="20"/>
              </w:rPr>
              <w:t xml:space="preserve"> all such </w:t>
            </w:r>
            <w:proofErr w:type="spellStart"/>
            <w:r w:rsidRPr="00BE3728">
              <w:rPr>
                <w:sz w:val="20"/>
                <w:szCs w:val="20"/>
              </w:rPr>
              <w:t>legislation</w:t>
            </w:r>
            <w:proofErr w:type="spellEnd"/>
            <w:r w:rsidRPr="00BE3728">
              <w:rPr>
                <w:sz w:val="20"/>
                <w:szCs w:val="20"/>
              </w:rPr>
              <w:t xml:space="preserve"> as will </w:t>
            </w:r>
            <w:proofErr w:type="spellStart"/>
            <w:r w:rsidRPr="00BE3728">
              <w:rPr>
                <w:sz w:val="20"/>
                <w:szCs w:val="20"/>
              </w:rPr>
              <w:t>preserve</w:t>
            </w:r>
            <w:proofErr w:type="spellEnd"/>
            <w:r w:rsidRPr="00BE3728">
              <w:rPr>
                <w:sz w:val="20"/>
                <w:szCs w:val="20"/>
              </w:rPr>
              <w:t xml:space="preserve"> and promote the </w:t>
            </w:r>
            <w:proofErr w:type="spellStart"/>
            <w:r w:rsidRPr="00BE3728">
              <w:rPr>
                <w:sz w:val="20"/>
                <w:szCs w:val="20"/>
              </w:rPr>
              <w:t>public</w:t>
            </w:r>
            <w:proofErr w:type="spellEnd"/>
            <w:r w:rsidRPr="00BE3728">
              <w:rPr>
                <w:sz w:val="20"/>
                <w:szCs w:val="20"/>
              </w:rPr>
              <w:t xml:space="preserve"> </w:t>
            </w:r>
            <w:proofErr w:type="spellStart"/>
            <w:r w:rsidRPr="00BE3728">
              <w:rPr>
                <w:sz w:val="20"/>
                <w:szCs w:val="20"/>
              </w:rPr>
              <w:t>welfare</w:t>
            </w:r>
            <w:proofErr w:type="spellEnd"/>
            <w:r w:rsidRPr="00BE3728">
              <w:rPr>
                <w:sz w:val="20"/>
                <w:szCs w:val="20"/>
              </w:rPr>
              <w:t xml:space="preserve"> by </w:t>
            </w:r>
            <w:proofErr w:type="spellStart"/>
            <w:r w:rsidRPr="00BE3728">
              <w:rPr>
                <w:sz w:val="20"/>
                <w:szCs w:val="20"/>
              </w:rPr>
              <w:t>prohibiting</w:t>
            </w:r>
            <w:proofErr w:type="spellEnd"/>
            <w:r w:rsidRPr="00BE3728">
              <w:rPr>
                <w:sz w:val="20"/>
                <w:szCs w:val="20"/>
              </w:rPr>
              <w:t xml:space="preserve"> all </w:t>
            </w:r>
            <w:proofErr w:type="spellStart"/>
            <w:r w:rsidRPr="00BE3728">
              <w:rPr>
                <w:sz w:val="20"/>
                <w:szCs w:val="20"/>
              </w:rPr>
              <w:t>things</w:t>
            </w:r>
            <w:proofErr w:type="spellEnd"/>
            <w:r w:rsidRPr="00BE3728">
              <w:rPr>
                <w:sz w:val="20"/>
                <w:szCs w:val="20"/>
              </w:rPr>
              <w:t xml:space="preserve"> </w:t>
            </w:r>
            <w:proofErr w:type="spellStart"/>
            <w:r w:rsidRPr="00BE3728">
              <w:rPr>
                <w:sz w:val="20"/>
                <w:szCs w:val="20"/>
              </w:rPr>
              <w:t>hurtful</w:t>
            </w:r>
            <w:proofErr w:type="spellEnd"/>
            <w:r w:rsidRPr="00BE3728">
              <w:rPr>
                <w:sz w:val="20"/>
                <w:szCs w:val="20"/>
              </w:rPr>
              <w:t xml:space="preserve"> to the </w:t>
            </w:r>
            <w:proofErr w:type="spellStart"/>
            <w:r w:rsidRPr="00BE3728">
              <w:rPr>
                <w:sz w:val="20"/>
                <w:szCs w:val="20"/>
              </w:rPr>
              <w:t>comfort</w:t>
            </w:r>
            <w:proofErr w:type="spellEnd"/>
            <w:r w:rsidRPr="00BE3728">
              <w:rPr>
                <w:sz w:val="20"/>
                <w:szCs w:val="20"/>
              </w:rPr>
              <w:t xml:space="preserve">, </w:t>
            </w:r>
            <w:proofErr w:type="spellStart"/>
            <w:r w:rsidRPr="00BE3728">
              <w:rPr>
                <w:sz w:val="20"/>
                <w:szCs w:val="20"/>
              </w:rPr>
              <w:t>safety</w:t>
            </w:r>
            <w:proofErr w:type="spellEnd"/>
            <w:r w:rsidRPr="00BE3728">
              <w:rPr>
                <w:sz w:val="20"/>
                <w:szCs w:val="20"/>
              </w:rPr>
              <w:t xml:space="preserve">, and </w:t>
            </w:r>
            <w:proofErr w:type="spellStart"/>
            <w:r w:rsidRPr="00BE3728">
              <w:rPr>
                <w:sz w:val="20"/>
                <w:szCs w:val="20"/>
              </w:rPr>
              <w:t>welfare</w:t>
            </w:r>
            <w:proofErr w:type="spellEnd"/>
            <w:r w:rsidRPr="00BE3728">
              <w:rPr>
                <w:sz w:val="20"/>
                <w:szCs w:val="20"/>
              </w:rPr>
              <w:t xml:space="preserve"> of </w:t>
            </w:r>
            <w:proofErr w:type="spellStart"/>
            <w:r w:rsidRPr="00BE3728">
              <w:rPr>
                <w:sz w:val="20"/>
                <w:szCs w:val="20"/>
              </w:rPr>
              <w:t>society</w:t>
            </w:r>
            <w:proofErr w:type="spellEnd"/>
            <w:r w:rsidRPr="00BE3728">
              <w:rPr>
                <w:sz w:val="20"/>
                <w:szCs w:val="20"/>
              </w:rPr>
              <w:t>“</w:t>
            </w:r>
            <w:r w:rsidRPr="00BE3728">
              <w:rPr>
                <w:rStyle w:val="Funotenzeichen"/>
                <w:sz w:val="20"/>
                <w:szCs w:val="20"/>
              </w:rPr>
              <w:footnoteReference w:id="740"/>
            </w:r>
            <w:r w:rsidRPr="00BE3728">
              <w:rPr>
                <w:sz w:val="20"/>
                <w:szCs w:val="20"/>
              </w:rPr>
              <w:t>)</w:t>
            </w:r>
            <w:r>
              <w:rPr>
                <w:sz w:val="20"/>
                <w:szCs w:val="20"/>
              </w:rPr>
              <w:t>.</w:t>
            </w:r>
          </w:p>
          <w:p w14:paraId="03CB3A18" w14:textId="77777777" w:rsidR="00074551" w:rsidRPr="00996DA4" w:rsidRDefault="00074551" w:rsidP="00367133">
            <w:pPr>
              <w:jc w:val="both"/>
              <w:rPr>
                <w:sz w:val="20"/>
                <w:szCs w:val="20"/>
              </w:rPr>
            </w:pPr>
          </w:p>
        </w:tc>
      </w:tr>
      <w:tr w:rsidR="00074551" w:rsidRPr="00E50B51" w14:paraId="36120A71" w14:textId="77777777" w:rsidTr="00BE689F">
        <w:trPr>
          <w:cantSplit/>
          <w:trHeight w:val="3175"/>
        </w:trPr>
        <w:tc>
          <w:tcPr>
            <w:tcW w:w="293" w:type="pct"/>
          </w:tcPr>
          <w:p w14:paraId="26233068"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2F04CB8A" w14:textId="77777777" w:rsidR="00074551" w:rsidRPr="00BE3728" w:rsidRDefault="00074551" w:rsidP="00367133">
            <w:pPr>
              <w:ind w:right="416"/>
              <w:jc w:val="center"/>
              <w:rPr>
                <w:sz w:val="20"/>
                <w:szCs w:val="20"/>
              </w:rPr>
            </w:pPr>
            <w:r>
              <w:rPr>
                <w:sz w:val="20"/>
                <w:szCs w:val="20"/>
                <w:lang w:val="en-US"/>
              </w:rPr>
              <w:t>H</w:t>
            </w:r>
          </w:p>
        </w:tc>
        <w:tc>
          <w:tcPr>
            <w:tcW w:w="387" w:type="pct"/>
            <w:textDirection w:val="tbRl"/>
            <w:vAlign w:val="center"/>
          </w:tcPr>
          <w:p w14:paraId="66014B17" w14:textId="77777777" w:rsidR="00074551" w:rsidRPr="00B45592" w:rsidRDefault="00074551" w:rsidP="00367133">
            <w:pPr>
              <w:ind w:left="113" w:right="416"/>
              <w:rPr>
                <w:i/>
                <w:sz w:val="20"/>
                <w:szCs w:val="20"/>
                <w:lang w:val="en-US"/>
              </w:rPr>
            </w:pPr>
            <w:r w:rsidRPr="00B45592">
              <w:rPr>
                <w:i/>
                <w:sz w:val="20"/>
                <w:szCs w:val="20"/>
                <w:lang w:val="en-IE"/>
              </w:rPr>
              <w:t>Butchers’ Union Co. v. Crescent City Co.</w:t>
            </w:r>
          </w:p>
        </w:tc>
        <w:tc>
          <w:tcPr>
            <w:tcW w:w="197" w:type="pct"/>
            <w:textDirection w:val="tbRl"/>
            <w:vAlign w:val="center"/>
          </w:tcPr>
          <w:p w14:paraId="5AAAA904" w14:textId="77777777" w:rsidR="00074551" w:rsidRPr="00BE3728" w:rsidRDefault="00074551" w:rsidP="00367133">
            <w:pPr>
              <w:ind w:left="113" w:right="113"/>
              <w:jc w:val="both"/>
              <w:rPr>
                <w:sz w:val="20"/>
                <w:szCs w:val="20"/>
              </w:rPr>
            </w:pPr>
            <w:r w:rsidRPr="005D0846">
              <w:rPr>
                <w:sz w:val="20"/>
                <w:szCs w:val="20"/>
              </w:rPr>
              <w:t>111 U.S. 746</w:t>
            </w:r>
          </w:p>
        </w:tc>
        <w:tc>
          <w:tcPr>
            <w:tcW w:w="306" w:type="pct"/>
            <w:textDirection w:val="tbRl"/>
            <w:vAlign w:val="center"/>
          </w:tcPr>
          <w:p w14:paraId="6022DB5D" w14:textId="77777777" w:rsidR="00074551" w:rsidRPr="00BE3728" w:rsidRDefault="00074551" w:rsidP="00367133">
            <w:pPr>
              <w:ind w:left="113" w:right="113"/>
              <w:jc w:val="both"/>
              <w:rPr>
                <w:sz w:val="20"/>
                <w:szCs w:val="20"/>
              </w:rPr>
            </w:pPr>
            <w:r>
              <w:rPr>
                <w:sz w:val="20"/>
                <w:szCs w:val="20"/>
              </w:rPr>
              <w:t>5. Mai 1884</w:t>
            </w:r>
          </w:p>
        </w:tc>
        <w:tc>
          <w:tcPr>
            <w:tcW w:w="401" w:type="pct"/>
          </w:tcPr>
          <w:p w14:paraId="3446619E" w14:textId="77777777" w:rsidR="00074551" w:rsidRPr="00BE3728" w:rsidRDefault="00074551" w:rsidP="00367133">
            <w:pPr>
              <w:jc w:val="center"/>
              <w:rPr>
                <w:sz w:val="20"/>
                <w:szCs w:val="20"/>
                <w:lang w:val="en-US"/>
              </w:rPr>
            </w:pPr>
            <w:r>
              <w:rPr>
                <w:sz w:val="20"/>
                <w:szCs w:val="20"/>
                <w:lang w:val="en-US"/>
              </w:rPr>
              <w:t>C</w:t>
            </w:r>
          </w:p>
        </w:tc>
        <w:tc>
          <w:tcPr>
            <w:tcW w:w="1594" w:type="pct"/>
          </w:tcPr>
          <w:p w14:paraId="0B1BB448" w14:textId="2D1135BA" w:rsidR="00074551" w:rsidRPr="00BE3728" w:rsidRDefault="00074551" w:rsidP="00367133">
            <w:pPr>
              <w:jc w:val="both"/>
              <w:rPr>
                <w:sz w:val="20"/>
                <w:szCs w:val="20"/>
              </w:rPr>
            </w:pPr>
            <w:r w:rsidRPr="00CE490F">
              <w:rPr>
                <w:sz w:val="20"/>
                <w:szCs w:val="20"/>
              </w:rPr>
              <w:t>D</w:t>
            </w:r>
            <w:r>
              <w:rPr>
                <w:sz w:val="20"/>
                <w:szCs w:val="20"/>
              </w:rPr>
              <w:t>er</w:t>
            </w:r>
            <w:r w:rsidRPr="00CE490F">
              <w:rPr>
                <w:sz w:val="20"/>
                <w:szCs w:val="20"/>
              </w:rPr>
              <w:t xml:space="preserve"> </w:t>
            </w:r>
            <w:r>
              <w:rPr>
                <w:sz w:val="20"/>
                <w:szCs w:val="20"/>
              </w:rPr>
              <w:t>U.S. Supreme Court</w:t>
            </w:r>
            <w:r w:rsidRPr="00CE490F">
              <w:rPr>
                <w:sz w:val="20"/>
                <w:szCs w:val="20"/>
              </w:rPr>
              <w:t xml:space="preserve"> hob die Entscheidung de</w:t>
            </w:r>
            <w:r>
              <w:rPr>
                <w:sz w:val="20"/>
                <w:szCs w:val="20"/>
              </w:rPr>
              <w:t xml:space="preserve">r Vorinstanzen </w:t>
            </w:r>
            <w:r w:rsidRPr="00CE490F">
              <w:rPr>
                <w:sz w:val="20"/>
                <w:szCs w:val="20"/>
              </w:rPr>
              <w:t>auf und entschied zugunsten des Beklagten.</w:t>
            </w:r>
            <w:r>
              <w:rPr>
                <w:sz w:val="20"/>
                <w:szCs w:val="20"/>
              </w:rPr>
              <w:t xml:space="preserve"> </w:t>
            </w:r>
            <w:r w:rsidRPr="00CE490F">
              <w:rPr>
                <w:sz w:val="20"/>
                <w:szCs w:val="20"/>
              </w:rPr>
              <w:t xml:space="preserve">Der Kläger </w:t>
            </w:r>
            <w:r>
              <w:rPr>
                <w:sz w:val="20"/>
                <w:szCs w:val="20"/>
              </w:rPr>
              <w:t xml:space="preserve">und der Beklagte </w:t>
            </w:r>
            <w:r w:rsidRPr="00CE490F">
              <w:rPr>
                <w:sz w:val="20"/>
                <w:szCs w:val="20"/>
              </w:rPr>
              <w:t>war</w:t>
            </w:r>
            <w:r>
              <w:rPr>
                <w:sz w:val="20"/>
                <w:szCs w:val="20"/>
              </w:rPr>
              <w:t>en</w:t>
            </w:r>
            <w:r w:rsidRPr="00CE490F">
              <w:rPr>
                <w:sz w:val="20"/>
                <w:szCs w:val="20"/>
              </w:rPr>
              <w:t xml:space="preserve"> </w:t>
            </w:r>
            <w:r>
              <w:rPr>
                <w:sz w:val="20"/>
                <w:szCs w:val="20"/>
              </w:rPr>
              <w:t xml:space="preserve">jeweils </w:t>
            </w:r>
            <w:r w:rsidRPr="00CE490F">
              <w:rPr>
                <w:sz w:val="20"/>
                <w:szCs w:val="20"/>
              </w:rPr>
              <w:t>Schlachthofbetr</w:t>
            </w:r>
            <w:r>
              <w:rPr>
                <w:sz w:val="20"/>
                <w:szCs w:val="20"/>
              </w:rPr>
              <w:t>iebe</w:t>
            </w:r>
            <w:r w:rsidRPr="00CE490F">
              <w:rPr>
                <w:sz w:val="20"/>
                <w:szCs w:val="20"/>
              </w:rPr>
              <w:t>. Ein</w:t>
            </w:r>
            <w:r>
              <w:rPr>
                <w:sz w:val="20"/>
                <w:szCs w:val="20"/>
              </w:rPr>
              <w:t xml:space="preserve"> bundesstaatliches</w:t>
            </w:r>
            <w:r w:rsidRPr="00CE490F">
              <w:rPr>
                <w:sz w:val="20"/>
                <w:szCs w:val="20"/>
              </w:rPr>
              <w:t xml:space="preserve"> Gesetz</w:t>
            </w:r>
            <w:r>
              <w:rPr>
                <w:rStyle w:val="Funotenzeichen"/>
                <w:sz w:val="20"/>
                <w:szCs w:val="20"/>
              </w:rPr>
              <w:footnoteReference w:id="741"/>
            </w:r>
            <w:r>
              <w:rPr>
                <w:sz w:val="20"/>
                <w:szCs w:val="20"/>
              </w:rPr>
              <w:t xml:space="preserve"> </w:t>
            </w:r>
            <w:r w:rsidRPr="00CE490F">
              <w:rPr>
                <w:sz w:val="20"/>
                <w:szCs w:val="20"/>
              </w:rPr>
              <w:t>gewähr</w:t>
            </w:r>
            <w:r>
              <w:rPr>
                <w:sz w:val="20"/>
                <w:szCs w:val="20"/>
              </w:rPr>
              <w:t>t</w:t>
            </w:r>
            <w:r w:rsidRPr="00CE490F">
              <w:rPr>
                <w:sz w:val="20"/>
                <w:szCs w:val="20"/>
              </w:rPr>
              <w:t>e dem Kläger exklusive Rechte</w:t>
            </w:r>
            <w:r>
              <w:rPr>
                <w:sz w:val="20"/>
                <w:szCs w:val="20"/>
              </w:rPr>
              <w:t xml:space="preserve"> und Verträge</w:t>
            </w:r>
            <w:r w:rsidRPr="00CE490F">
              <w:rPr>
                <w:sz w:val="20"/>
                <w:szCs w:val="20"/>
              </w:rPr>
              <w:t xml:space="preserve"> für Viehumschlag und Schlachthöfe für 25 Jahre.</w:t>
            </w:r>
            <w:r>
              <w:rPr>
                <w:sz w:val="20"/>
                <w:szCs w:val="20"/>
              </w:rPr>
              <w:t xml:space="preserve"> Nunmehr traten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 und XIV</w:t>
            </w:r>
            <w:r w:rsidRPr="002B5872">
              <w:rPr>
                <w:sz w:val="20"/>
                <w:szCs w:val="20"/>
              </w:rPr>
              <w:t xml:space="preserve"> </w:t>
            </w:r>
            <w:r>
              <w:rPr>
                <w:sz w:val="20"/>
                <w:szCs w:val="20"/>
              </w:rPr>
              <w:t xml:space="preserve">in Kraft. Sie </w:t>
            </w:r>
            <w:r w:rsidRPr="002B5872">
              <w:rPr>
                <w:sz w:val="20"/>
                <w:szCs w:val="20"/>
              </w:rPr>
              <w:t>verboten Monopol</w:t>
            </w:r>
            <w:r>
              <w:rPr>
                <w:sz w:val="20"/>
                <w:szCs w:val="20"/>
              </w:rPr>
              <w:t>e und</w:t>
            </w:r>
            <w:r w:rsidRPr="00CE490F">
              <w:rPr>
                <w:sz w:val="20"/>
                <w:szCs w:val="20"/>
              </w:rPr>
              <w:t xml:space="preserve"> erlaubte</w:t>
            </w:r>
            <w:r>
              <w:rPr>
                <w:sz w:val="20"/>
                <w:szCs w:val="20"/>
              </w:rPr>
              <w:t>n</w:t>
            </w:r>
            <w:r w:rsidRPr="00CE490F">
              <w:rPr>
                <w:sz w:val="20"/>
                <w:szCs w:val="20"/>
              </w:rPr>
              <w:t xml:space="preserve"> </w:t>
            </w:r>
            <w:r>
              <w:rPr>
                <w:sz w:val="20"/>
                <w:szCs w:val="20"/>
              </w:rPr>
              <w:t xml:space="preserve">damit </w:t>
            </w:r>
            <w:r w:rsidRPr="00CE490F">
              <w:rPr>
                <w:sz w:val="20"/>
                <w:szCs w:val="20"/>
              </w:rPr>
              <w:t xml:space="preserve">Gemeinden, Schlachthofrechte </w:t>
            </w:r>
            <w:r>
              <w:rPr>
                <w:sz w:val="20"/>
                <w:szCs w:val="20"/>
              </w:rPr>
              <w:t xml:space="preserve">auch </w:t>
            </w:r>
            <w:r w:rsidRPr="00CE490F">
              <w:rPr>
                <w:sz w:val="20"/>
                <w:szCs w:val="20"/>
              </w:rPr>
              <w:t>an den</w:t>
            </w:r>
            <w:r>
              <w:rPr>
                <w:sz w:val="20"/>
                <w:szCs w:val="20"/>
              </w:rPr>
              <w:t xml:space="preserve"> Schlachthofbetrieb des</w:t>
            </w:r>
            <w:r w:rsidRPr="00CE490F">
              <w:rPr>
                <w:sz w:val="20"/>
                <w:szCs w:val="20"/>
              </w:rPr>
              <w:t xml:space="preserve"> Beklagten zu vergeben. Der Kläger </w:t>
            </w:r>
            <w:r>
              <w:rPr>
                <w:sz w:val="20"/>
                <w:szCs w:val="20"/>
              </w:rPr>
              <w:t xml:space="preserve">erwehrte sich dagegen. Denn die Amendments </w:t>
            </w:r>
            <w:r w:rsidRPr="00CE490F">
              <w:rPr>
                <w:sz w:val="20"/>
                <w:szCs w:val="20"/>
              </w:rPr>
              <w:t>verletz</w:t>
            </w:r>
            <w:r>
              <w:rPr>
                <w:sz w:val="20"/>
                <w:szCs w:val="20"/>
              </w:rPr>
              <w:t>ten</w:t>
            </w:r>
            <w:r w:rsidRPr="00CE490F">
              <w:rPr>
                <w:sz w:val="20"/>
                <w:szCs w:val="20"/>
              </w:rPr>
              <w:t xml:space="preserve"> </w:t>
            </w:r>
            <w:r>
              <w:rPr>
                <w:sz w:val="20"/>
                <w:szCs w:val="20"/>
              </w:rPr>
              <w:t xml:space="preserve">seiner Meinung nach </w:t>
            </w:r>
            <w:r w:rsidRPr="00CE490F">
              <w:rPr>
                <w:sz w:val="20"/>
                <w:szCs w:val="20"/>
              </w:rPr>
              <w:t xml:space="preserve">seinen Vertrag </w:t>
            </w:r>
            <w:r>
              <w:rPr>
                <w:sz w:val="20"/>
                <w:szCs w:val="20"/>
              </w:rPr>
              <w:t xml:space="preserve">mit der Gemeinde </w:t>
            </w:r>
            <w:r w:rsidRPr="00CE490F">
              <w:rPr>
                <w:sz w:val="20"/>
                <w:szCs w:val="20"/>
              </w:rPr>
              <w:t xml:space="preserve">und </w:t>
            </w:r>
            <w:r>
              <w:rPr>
                <w:sz w:val="20"/>
                <w:szCs w:val="20"/>
              </w:rPr>
              <w:t>verstießen</w:t>
            </w:r>
            <w:r w:rsidRPr="00CE490F">
              <w:rPr>
                <w:sz w:val="20"/>
                <w:szCs w:val="20"/>
              </w:rPr>
              <w:t xml:space="preserve"> gegen </w:t>
            </w:r>
            <w:r>
              <w:rPr>
                <w:sz w:val="20"/>
                <w:szCs w:val="20"/>
              </w:rPr>
              <w:t>seine Vertragsfreiheit</w:t>
            </w:r>
            <w:r w:rsidRPr="00CE490F">
              <w:rPr>
                <w:sz w:val="20"/>
                <w:szCs w:val="20"/>
              </w:rPr>
              <w:t>. Das erste Gericht stimmte zu</w:t>
            </w:r>
            <w:r>
              <w:rPr>
                <w:sz w:val="20"/>
                <w:szCs w:val="20"/>
              </w:rPr>
              <w:t>; es</w:t>
            </w:r>
            <w:r w:rsidRPr="00CE490F">
              <w:rPr>
                <w:sz w:val="20"/>
                <w:szCs w:val="20"/>
              </w:rPr>
              <w:t xml:space="preserve"> erließ eine einstweilige Verfügung gegen den Beklagten. Der Beklagte legte Berufung ein und argumentierte, das Gesetz</w:t>
            </w:r>
            <w:r>
              <w:rPr>
                <w:sz w:val="20"/>
                <w:szCs w:val="20"/>
              </w:rPr>
              <w:t>, welches dem Kläger</w:t>
            </w:r>
            <w:r w:rsidRPr="00CE490F">
              <w:rPr>
                <w:sz w:val="20"/>
                <w:szCs w:val="20"/>
              </w:rPr>
              <w:t xml:space="preserve"> </w:t>
            </w:r>
            <w:r>
              <w:rPr>
                <w:sz w:val="20"/>
                <w:szCs w:val="20"/>
              </w:rPr>
              <w:t>die Schlachthofrechte verliehen hatte, könne durch Amendments sehr wohl abgeändert werden.</w:t>
            </w:r>
            <w:r w:rsidRPr="00CE490F">
              <w:rPr>
                <w:sz w:val="20"/>
                <w:szCs w:val="20"/>
              </w:rPr>
              <w:t xml:space="preserve"> </w:t>
            </w:r>
            <w:r>
              <w:rPr>
                <w:sz w:val="20"/>
                <w:szCs w:val="20"/>
              </w:rPr>
              <w:t>Der U.S. Supreme Court</w:t>
            </w:r>
            <w:r w:rsidRPr="00CE490F">
              <w:rPr>
                <w:sz w:val="20"/>
                <w:szCs w:val="20"/>
              </w:rPr>
              <w:t xml:space="preserve"> </w:t>
            </w:r>
            <w:r>
              <w:rPr>
                <w:sz w:val="20"/>
                <w:szCs w:val="20"/>
              </w:rPr>
              <w:t xml:space="preserve">bestätigte die Amendments und </w:t>
            </w:r>
            <w:r w:rsidRPr="00CE490F">
              <w:rPr>
                <w:sz w:val="20"/>
                <w:szCs w:val="20"/>
              </w:rPr>
              <w:t xml:space="preserve">hob den exklusiven Vertrag des Klägers auf. </w:t>
            </w:r>
            <w:r>
              <w:rPr>
                <w:sz w:val="20"/>
                <w:szCs w:val="20"/>
              </w:rPr>
              <w:t xml:space="preserve">Denn faktisch sei die </w:t>
            </w:r>
            <w:r w:rsidRPr="00CE490F">
              <w:rPr>
                <w:sz w:val="20"/>
                <w:szCs w:val="20"/>
              </w:rPr>
              <w:t>Polizeigewalt an den Kläger abgetreten w</w:t>
            </w:r>
            <w:r>
              <w:rPr>
                <w:sz w:val="20"/>
                <w:szCs w:val="20"/>
              </w:rPr>
              <w:t xml:space="preserve">orden; er könne über die </w:t>
            </w:r>
            <w:r w:rsidRPr="00CE490F">
              <w:rPr>
                <w:sz w:val="20"/>
                <w:szCs w:val="20"/>
              </w:rPr>
              <w:t xml:space="preserve">Schlachthofrechte </w:t>
            </w:r>
            <w:r>
              <w:rPr>
                <w:sz w:val="20"/>
                <w:szCs w:val="20"/>
              </w:rPr>
              <w:t xml:space="preserve">bestimmen. Diese Kompetenz müsse aber beim Staat liegen. Zudem beeinträchtigten die Amendments </w:t>
            </w:r>
            <w:r w:rsidRPr="00CE490F">
              <w:rPr>
                <w:sz w:val="20"/>
                <w:szCs w:val="20"/>
              </w:rPr>
              <w:t>nicht den Vertrag des Klägers</w:t>
            </w:r>
            <w:r>
              <w:rPr>
                <w:sz w:val="20"/>
                <w:szCs w:val="20"/>
              </w:rPr>
              <w:t>, sie machen ihn nur nicht mehr exklusiv.</w:t>
            </w:r>
            <w:r>
              <w:rPr>
                <w:rStyle w:val="Funotenzeichen"/>
                <w:sz w:val="20"/>
                <w:szCs w:val="20"/>
              </w:rPr>
              <w:footnoteReference w:id="742"/>
            </w:r>
          </w:p>
        </w:tc>
        <w:tc>
          <w:tcPr>
            <w:tcW w:w="1822" w:type="pct"/>
          </w:tcPr>
          <w:p w14:paraId="40DFE561" w14:textId="77777777" w:rsidR="00074551" w:rsidRDefault="00074551" w:rsidP="00367133">
            <w:pPr>
              <w:rPr>
                <w:sz w:val="20"/>
                <w:szCs w:val="20"/>
                <w:lang w:val="en-US"/>
              </w:rPr>
            </w:pPr>
            <w:r w:rsidRPr="00F659BE">
              <w:rPr>
                <w:sz w:val="20"/>
                <w:szCs w:val="20"/>
                <w:lang w:val="en-US"/>
              </w:rPr>
              <w:t xml:space="preserve">Eine </w:t>
            </w:r>
            <w:r w:rsidRPr="5B67C1D2">
              <w:rPr>
                <w:i/>
                <w:iCs/>
                <w:sz w:val="20"/>
                <w:szCs w:val="20"/>
                <w:lang w:val="en-US"/>
              </w:rPr>
              <w:t>concurring opinion</w:t>
            </w:r>
            <w:r w:rsidRPr="00F659BE">
              <w:rPr>
                <w:sz w:val="20"/>
                <w:szCs w:val="20"/>
                <w:lang w:val="en-US"/>
              </w:rPr>
              <w:t xml:space="preserve"> </w:t>
            </w:r>
            <w:proofErr w:type="spellStart"/>
            <w:r w:rsidRPr="00F659BE">
              <w:rPr>
                <w:sz w:val="20"/>
                <w:szCs w:val="20"/>
                <w:lang w:val="en-US"/>
              </w:rPr>
              <w:t>argumentierte</w:t>
            </w:r>
            <w:proofErr w:type="spellEnd"/>
            <w:r w:rsidRPr="00F659BE">
              <w:rPr>
                <w:sz w:val="20"/>
                <w:szCs w:val="20"/>
                <w:lang w:val="en-US"/>
              </w:rPr>
              <w:t xml:space="preserve">, </w:t>
            </w:r>
            <w:proofErr w:type="spellStart"/>
            <w:r w:rsidRPr="00F659BE">
              <w:rPr>
                <w:sz w:val="20"/>
                <w:szCs w:val="20"/>
                <w:lang w:val="en-US"/>
              </w:rPr>
              <w:t>dass</w:t>
            </w:r>
            <w:proofErr w:type="spellEnd"/>
            <w:r w:rsidRPr="00F659BE">
              <w:rPr>
                <w:sz w:val="20"/>
                <w:szCs w:val="20"/>
                <w:lang w:val="en-US"/>
              </w:rPr>
              <w:t xml:space="preserve"> das Recht auf </w:t>
            </w:r>
            <w:proofErr w:type="spellStart"/>
            <w:r w:rsidRPr="00F659BE">
              <w:rPr>
                <w:sz w:val="20"/>
                <w:szCs w:val="20"/>
                <w:lang w:val="en-US"/>
              </w:rPr>
              <w:t>ein</w:t>
            </w:r>
            <w:proofErr w:type="spellEnd"/>
            <w:r w:rsidRPr="00F659BE">
              <w:rPr>
                <w:sz w:val="20"/>
                <w:szCs w:val="20"/>
                <w:lang w:val="en-US"/>
              </w:rPr>
              <w:t xml:space="preserve"> </w:t>
            </w:r>
            <w:proofErr w:type="spellStart"/>
            <w:r w:rsidRPr="00F659BE">
              <w:rPr>
                <w:sz w:val="20"/>
                <w:szCs w:val="20"/>
                <w:lang w:val="en-US"/>
              </w:rPr>
              <w:t>Streben</w:t>
            </w:r>
            <w:proofErr w:type="spellEnd"/>
            <w:r w:rsidRPr="00F659BE">
              <w:rPr>
                <w:sz w:val="20"/>
                <w:szCs w:val="20"/>
                <w:lang w:val="en-US"/>
              </w:rPr>
              <w:t xml:space="preserve"> </w:t>
            </w:r>
            <w:proofErr w:type="spellStart"/>
            <w:r w:rsidRPr="00F659BE">
              <w:rPr>
                <w:sz w:val="20"/>
                <w:szCs w:val="20"/>
                <w:lang w:val="en-US"/>
              </w:rPr>
              <w:t>nach</w:t>
            </w:r>
            <w:proofErr w:type="spellEnd"/>
            <w:r w:rsidRPr="00F659BE">
              <w:rPr>
                <w:sz w:val="20"/>
                <w:szCs w:val="20"/>
                <w:lang w:val="en-US"/>
              </w:rPr>
              <w:t xml:space="preserve"> Glück </w:t>
            </w:r>
            <w:proofErr w:type="spellStart"/>
            <w:r>
              <w:rPr>
                <w:sz w:val="20"/>
                <w:szCs w:val="20"/>
                <w:lang w:val="en-US"/>
              </w:rPr>
              <w:t>sowohl</w:t>
            </w:r>
            <w:proofErr w:type="spellEnd"/>
            <w:r>
              <w:rPr>
                <w:sz w:val="20"/>
                <w:szCs w:val="20"/>
                <w:lang w:val="en-US"/>
              </w:rPr>
              <w:t xml:space="preserve"> </w:t>
            </w:r>
            <w:proofErr w:type="spellStart"/>
            <w:r w:rsidRPr="00F659BE">
              <w:rPr>
                <w:sz w:val="20"/>
                <w:szCs w:val="20"/>
                <w:lang w:val="en-US"/>
              </w:rPr>
              <w:t>ein</w:t>
            </w:r>
            <w:proofErr w:type="spellEnd"/>
            <w:r w:rsidRPr="00F659BE">
              <w:rPr>
                <w:sz w:val="20"/>
                <w:szCs w:val="20"/>
                <w:lang w:val="en-US"/>
              </w:rPr>
              <w:t xml:space="preserve"> </w:t>
            </w:r>
            <w:proofErr w:type="spellStart"/>
            <w:r w:rsidRPr="00F659BE">
              <w:rPr>
                <w:sz w:val="20"/>
                <w:szCs w:val="20"/>
                <w:lang w:val="en-US"/>
              </w:rPr>
              <w:t>unveräußerliches</w:t>
            </w:r>
            <w:proofErr w:type="spellEnd"/>
            <w:r w:rsidRPr="00F659BE">
              <w:rPr>
                <w:sz w:val="20"/>
                <w:szCs w:val="20"/>
                <w:lang w:val="en-US"/>
              </w:rPr>
              <w:t xml:space="preserve"> Recht </w:t>
            </w:r>
            <w:proofErr w:type="spellStart"/>
            <w:r w:rsidRPr="00F659BE">
              <w:rPr>
                <w:sz w:val="20"/>
                <w:szCs w:val="20"/>
                <w:lang w:val="en-US"/>
              </w:rPr>
              <w:t>als</w:t>
            </w:r>
            <w:proofErr w:type="spellEnd"/>
            <w:r w:rsidRPr="00F659BE">
              <w:rPr>
                <w:sz w:val="20"/>
                <w:szCs w:val="20"/>
                <w:lang w:val="en-US"/>
              </w:rPr>
              <w:t xml:space="preserve"> </w:t>
            </w:r>
            <w:proofErr w:type="spellStart"/>
            <w:r w:rsidRPr="00F659BE">
              <w:rPr>
                <w:sz w:val="20"/>
                <w:szCs w:val="20"/>
                <w:lang w:val="en-US"/>
              </w:rPr>
              <w:t>auch</w:t>
            </w:r>
            <w:proofErr w:type="spellEnd"/>
            <w:r w:rsidRPr="00F659BE">
              <w:rPr>
                <w:sz w:val="20"/>
                <w:szCs w:val="20"/>
                <w:lang w:val="en-US"/>
              </w:rPr>
              <w:t xml:space="preserve"> </w:t>
            </w:r>
            <w:proofErr w:type="spellStart"/>
            <w:r w:rsidRPr="00F659BE">
              <w:rPr>
                <w:sz w:val="20"/>
                <w:szCs w:val="20"/>
                <w:lang w:val="en-US"/>
              </w:rPr>
              <w:t>ein</w:t>
            </w:r>
            <w:proofErr w:type="spellEnd"/>
            <w:r w:rsidRPr="00F659BE">
              <w:rPr>
                <w:sz w:val="20"/>
                <w:szCs w:val="20"/>
                <w:lang w:val="en-US"/>
              </w:rPr>
              <w:t xml:space="preserve"> </w:t>
            </w:r>
            <w:proofErr w:type="spellStart"/>
            <w:r w:rsidRPr="00F659BE">
              <w:rPr>
                <w:sz w:val="20"/>
                <w:szCs w:val="20"/>
                <w:lang w:val="en-US"/>
              </w:rPr>
              <w:t>Grundrecht</w:t>
            </w:r>
            <w:proofErr w:type="spellEnd"/>
            <w:r w:rsidRPr="00F659BE">
              <w:rPr>
                <w:sz w:val="20"/>
                <w:szCs w:val="20"/>
                <w:lang w:val="en-US"/>
              </w:rPr>
              <w:t xml:space="preserve"> </w:t>
            </w:r>
            <w:proofErr w:type="spellStart"/>
            <w:r w:rsidRPr="00F659BE">
              <w:rPr>
                <w:sz w:val="20"/>
                <w:szCs w:val="20"/>
                <w:lang w:val="en-US"/>
              </w:rPr>
              <w:t>darstelle</w:t>
            </w:r>
            <w:proofErr w:type="spellEnd"/>
            <w:r w:rsidRPr="00F659BE">
              <w:rPr>
                <w:sz w:val="20"/>
                <w:szCs w:val="20"/>
                <w:lang w:val="en-US"/>
              </w:rPr>
              <w:t xml:space="preserve"> (</w:t>
            </w:r>
            <w:proofErr w:type="gramStart"/>
            <w:r w:rsidRPr="00F659BE">
              <w:rPr>
                <w:sz w:val="20"/>
                <w:szCs w:val="20"/>
                <w:lang w:val="en-US"/>
              </w:rPr>
              <w:t>„</w:t>
            </w:r>
            <w:r>
              <w:rPr>
                <w:sz w:val="20"/>
                <w:szCs w:val="20"/>
                <w:lang w:val="en-US"/>
              </w:rPr>
              <w:t>,</w:t>
            </w:r>
            <w:r w:rsidRPr="00F659BE">
              <w:rPr>
                <w:sz w:val="20"/>
                <w:szCs w:val="20"/>
                <w:lang w:val="en-US"/>
              </w:rPr>
              <w:t>pursuit</w:t>
            </w:r>
            <w:proofErr w:type="gramEnd"/>
            <w:r w:rsidRPr="00F659BE">
              <w:rPr>
                <w:sz w:val="20"/>
                <w:szCs w:val="20"/>
                <w:lang w:val="en-US"/>
              </w:rPr>
              <w:t xml:space="preserve"> of </w:t>
            </w:r>
            <w:proofErr w:type="gramStart"/>
            <w:r w:rsidRPr="00F659BE">
              <w:rPr>
                <w:sz w:val="20"/>
                <w:szCs w:val="20"/>
                <w:lang w:val="en-US"/>
              </w:rPr>
              <w:t>happiness</w:t>
            </w:r>
            <w:r>
              <w:rPr>
                <w:sz w:val="20"/>
                <w:szCs w:val="20"/>
                <w:lang w:val="en-US"/>
              </w:rPr>
              <w:t>‘</w:t>
            </w:r>
            <w:r w:rsidRPr="00F659BE">
              <w:rPr>
                <w:sz w:val="20"/>
                <w:szCs w:val="20"/>
                <w:lang w:val="en-US"/>
              </w:rPr>
              <w:t xml:space="preserve"> in</w:t>
            </w:r>
            <w:proofErr w:type="gramEnd"/>
            <w:r w:rsidRPr="00F659BE">
              <w:rPr>
                <w:sz w:val="20"/>
                <w:szCs w:val="20"/>
                <w:lang w:val="en-US"/>
              </w:rPr>
              <w:t xml:space="preserve"> the Declaration of Independence, which commenced with the fundamental proposition </w:t>
            </w:r>
            <w:proofErr w:type="gramStart"/>
            <w:r w:rsidRPr="00F659BE">
              <w:rPr>
                <w:sz w:val="20"/>
                <w:szCs w:val="20"/>
                <w:lang w:val="en-US"/>
              </w:rPr>
              <w:t xml:space="preserve">that </w:t>
            </w:r>
            <w:r>
              <w:rPr>
                <w:sz w:val="20"/>
                <w:szCs w:val="20"/>
                <w:lang w:val="en-US"/>
              </w:rPr>
              <w:t>,</w:t>
            </w:r>
            <w:r w:rsidRPr="00F659BE">
              <w:rPr>
                <w:sz w:val="20"/>
                <w:szCs w:val="20"/>
                <w:lang w:val="en-US"/>
              </w:rPr>
              <w:t>all</w:t>
            </w:r>
            <w:proofErr w:type="gramEnd"/>
            <w:r w:rsidRPr="00F659BE">
              <w:rPr>
                <w:sz w:val="20"/>
                <w:szCs w:val="20"/>
                <w:lang w:val="en-US"/>
              </w:rPr>
              <w:t xml:space="preserve"> men […] are endowed by their Creator with certain inalienable rights; that among these are […] the pursuit of </w:t>
            </w:r>
            <w:proofErr w:type="gramStart"/>
            <w:r w:rsidRPr="00F659BE">
              <w:rPr>
                <w:sz w:val="20"/>
                <w:szCs w:val="20"/>
                <w:lang w:val="en-US"/>
              </w:rPr>
              <w:t>happiness</w:t>
            </w:r>
            <w:r>
              <w:rPr>
                <w:sz w:val="20"/>
                <w:szCs w:val="20"/>
                <w:lang w:val="en-US"/>
              </w:rPr>
              <w:t>.‘</w:t>
            </w:r>
            <w:proofErr w:type="gramEnd"/>
            <w:r w:rsidRPr="00F659BE">
              <w:rPr>
                <w:sz w:val="20"/>
                <w:szCs w:val="20"/>
                <w:lang w:val="en-US"/>
              </w:rPr>
              <w:t xml:space="preserve"> </w:t>
            </w:r>
            <w:r w:rsidRPr="00F659BE">
              <w:rPr>
                <w:sz w:val="20"/>
                <w:szCs w:val="20"/>
              </w:rPr>
              <w:t xml:space="preserve">[…] </w:t>
            </w:r>
            <w:proofErr w:type="spellStart"/>
            <w:r w:rsidRPr="00F659BE">
              <w:rPr>
                <w:sz w:val="20"/>
                <w:szCs w:val="20"/>
              </w:rPr>
              <w:t>one</w:t>
            </w:r>
            <w:proofErr w:type="spellEnd"/>
            <w:r w:rsidRPr="00F659BE">
              <w:rPr>
                <w:sz w:val="20"/>
                <w:szCs w:val="20"/>
              </w:rPr>
              <w:t xml:space="preserve"> of the fundamental </w:t>
            </w:r>
            <w:proofErr w:type="spellStart"/>
            <w:r w:rsidRPr="00F659BE">
              <w:rPr>
                <w:sz w:val="20"/>
                <w:szCs w:val="20"/>
              </w:rPr>
              <w:t>privileges</w:t>
            </w:r>
            <w:proofErr w:type="spellEnd"/>
            <w:r w:rsidRPr="00F659BE">
              <w:rPr>
                <w:sz w:val="20"/>
                <w:szCs w:val="20"/>
              </w:rPr>
              <w:t xml:space="preserve"> of the </w:t>
            </w:r>
            <w:proofErr w:type="spellStart"/>
            <w:proofErr w:type="gramStart"/>
            <w:r w:rsidRPr="00F659BE">
              <w:rPr>
                <w:sz w:val="20"/>
                <w:szCs w:val="20"/>
              </w:rPr>
              <w:t>citizen</w:t>
            </w:r>
            <w:proofErr w:type="spellEnd"/>
            <w:r w:rsidRPr="00F659BE">
              <w:rPr>
                <w:sz w:val="20"/>
                <w:szCs w:val="20"/>
              </w:rPr>
              <w:t>“</w:t>
            </w:r>
            <w:proofErr w:type="gramEnd"/>
            <w:r w:rsidRPr="00F659BE">
              <w:rPr>
                <w:sz w:val="20"/>
                <w:szCs w:val="20"/>
                <w:vertAlign w:val="superscript"/>
              </w:rPr>
              <w:footnoteReference w:id="743"/>
            </w:r>
            <w:r w:rsidRPr="00F659BE">
              <w:rPr>
                <w:sz w:val="20"/>
                <w:szCs w:val="20"/>
              </w:rPr>
              <w:t>). Und die aus dem Streben nach Glück folgenden Verfassungsrechte oder einfachen Rechte habe die staatliche Gewalt zu achten</w:t>
            </w:r>
            <w:r>
              <w:rPr>
                <w:sz w:val="20"/>
                <w:szCs w:val="20"/>
              </w:rPr>
              <w:t>;</w:t>
            </w:r>
            <w:r w:rsidRPr="00F659BE">
              <w:rPr>
                <w:sz w:val="20"/>
                <w:szCs w:val="20"/>
              </w:rPr>
              <w:t xml:space="preserve"> sie könn</w:t>
            </w:r>
            <w:r>
              <w:rPr>
                <w:sz w:val="20"/>
                <w:szCs w:val="20"/>
              </w:rPr>
              <w:t>t</w:t>
            </w:r>
            <w:r w:rsidRPr="00F659BE">
              <w:rPr>
                <w:sz w:val="20"/>
                <w:szCs w:val="20"/>
              </w:rPr>
              <w:t xml:space="preserve">en nur </w:t>
            </w:r>
            <w:r>
              <w:rPr>
                <w:sz w:val="20"/>
                <w:szCs w:val="20"/>
              </w:rPr>
              <w:t xml:space="preserve">durch </w:t>
            </w:r>
            <w:r w:rsidRPr="00F659BE">
              <w:rPr>
                <w:sz w:val="20"/>
                <w:szCs w:val="20"/>
              </w:rPr>
              <w:t xml:space="preserve">allgemeine, gerechte und unparteiische Gesetze </w:t>
            </w:r>
            <w:r>
              <w:rPr>
                <w:sz w:val="20"/>
                <w:szCs w:val="20"/>
              </w:rPr>
              <w:t>eingeschränkt werden</w:t>
            </w:r>
            <w:r w:rsidRPr="00F659BE">
              <w:rPr>
                <w:sz w:val="20"/>
                <w:szCs w:val="20"/>
              </w:rPr>
              <w:t xml:space="preserve"> („</w:t>
            </w:r>
            <w:proofErr w:type="spellStart"/>
            <w:r w:rsidRPr="00F659BE">
              <w:rPr>
                <w:sz w:val="20"/>
                <w:szCs w:val="20"/>
              </w:rPr>
              <w:t>right</w:t>
            </w:r>
            <w:proofErr w:type="spellEnd"/>
            <w:r w:rsidRPr="00F659BE">
              <w:rPr>
                <w:sz w:val="20"/>
                <w:szCs w:val="20"/>
              </w:rPr>
              <w:t xml:space="preserve"> to </w:t>
            </w:r>
            <w:proofErr w:type="spellStart"/>
            <w:r w:rsidRPr="00F659BE">
              <w:rPr>
                <w:sz w:val="20"/>
                <w:szCs w:val="20"/>
              </w:rPr>
              <w:t>pursue</w:t>
            </w:r>
            <w:proofErr w:type="spellEnd"/>
            <w:r w:rsidRPr="00F659BE">
              <w:rPr>
                <w:sz w:val="20"/>
                <w:szCs w:val="20"/>
              </w:rPr>
              <w:t xml:space="preserve"> </w:t>
            </w:r>
            <w:proofErr w:type="spellStart"/>
            <w:r w:rsidRPr="00F659BE">
              <w:rPr>
                <w:sz w:val="20"/>
                <w:szCs w:val="20"/>
              </w:rPr>
              <w:t>his</w:t>
            </w:r>
            <w:proofErr w:type="spellEnd"/>
            <w:r w:rsidRPr="00F659BE">
              <w:rPr>
                <w:sz w:val="20"/>
                <w:szCs w:val="20"/>
              </w:rPr>
              <w:t xml:space="preserve"> </w:t>
            </w:r>
            <w:proofErr w:type="spellStart"/>
            <w:r w:rsidRPr="00F659BE">
              <w:rPr>
                <w:sz w:val="20"/>
                <w:szCs w:val="20"/>
              </w:rPr>
              <w:t>happiness</w:t>
            </w:r>
            <w:proofErr w:type="spellEnd"/>
            <w:r w:rsidRPr="00F659BE">
              <w:rPr>
                <w:sz w:val="20"/>
                <w:szCs w:val="20"/>
              </w:rPr>
              <w:t xml:space="preserve"> </w:t>
            </w:r>
            <w:proofErr w:type="spellStart"/>
            <w:r w:rsidRPr="00F659BE">
              <w:rPr>
                <w:sz w:val="20"/>
                <w:szCs w:val="20"/>
              </w:rPr>
              <w:t>unrestrained</w:t>
            </w:r>
            <w:proofErr w:type="spellEnd"/>
            <w:r w:rsidRPr="00F659BE">
              <w:rPr>
                <w:sz w:val="20"/>
                <w:szCs w:val="20"/>
              </w:rPr>
              <w:t xml:space="preserve">, </w:t>
            </w:r>
            <w:proofErr w:type="spellStart"/>
            <w:r w:rsidRPr="00F659BE">
              <w:rPr>
                <w:sz w:val="20"/>
                <w:szCs w:val="20"/>
              </w:rPr>
              <w:t>except</w:t>
            </w:r>
            <w:proofErr w:type="spellEnd"/>
            <w:r w:rsidRPr="00F659BE">
              <w:rPr>
                <w:sz w:val="20"/>
                <w:szCs w:val="20"/>
              </w:rPr>
              <w:t xml:space="preserve"> by just, </w:t>
            </w:r>
            <w:proofErr w:type="spellStart"/>
            <w:r w:rsidRPr="00F659BE">
              <w:rPr>
                <w:sz w:val="20"/>
                <w:szCs w:val="20"/>
              </w:rPr>
              <w:t>equal</w:t>
            </w:r>
            <w:proofErr w:type="spellEnd"/>
            <w:r w:rsidRPr="00F659BE">
              <w:rPr>
                <w:sz w:val="20"/>
                <w:szCs w:val="20"/>
              </w:rPr>
              <w:t xml:space="preserve">, and </w:t>
            </w:r>
            <w:proofErr w:type="spellStart"/>
            <w:r w:rsidRPr="00F659BE">
              <w:rPr>
                <w:sz w:val="20"/>
                <w:szCs w:val="20"/>
              </w:rPr>
              <w:t>impartial</w:t>
            </w:r>
            <w:proofErr w:type="spellEnd"/>
            <w:r w:rsidRPr="00F659BE">
              <w:rPr>
                <w:sz w:val="20"/>
                <w:szCs w:val="20"/>
              </w:rPr>
              <w:t xml:space="preserve"> </w:t>
            </w:r>
            <w:proofErr w:type="spellStart"/>
            <w:r w:rsidRPr="00F659BE">
              <w:rPr>
                <w:sz w:val="20"/>
                <w:szCs w:val="20"/>
              </w:rPr>
              <w:t>laws</w:t>
            </w:r>
            <w:proofErr w:type="spellEnd"/>
            <w:r w:rsidRPr="00F659BE">
              <w:rPr>
                <w:sz w:val="20"/>
                <w:szCs w:val="20"/>
              </w:rPr>
              <w:t>“</w:t>
            </w:r>
            <w:r w:rsidRPr="00F659BE">
              <w:rPr>
                <w:sz w:val="20"/>
                <w:szCs w:val="20"/>
                <w:vertAlign w:val="superscript"/>
              </w:rPr>
              <w:footnoteReference w:id="744"/>
            </w:r>
            <w:r w:rsidRPr="00F659BE">
              <w:rPr>
                <w:sz w:val="20"/>
                <w:szCs w:val="20"/>
              </w:rPr>
              <w:t>)</w:t>
            </w:r>
            <w:r>
              <w:rPr>
                <w:sz w:val="20"/>
                <w:szCs w:val="20"/>
              </w:rPr>
              <w:t>. D</w:t>
            </w:r>
            <w:r w:rsidRPr="00F659BE">
              <w:rPr>
                <w:sz w:val="20"/>
                <w:szCs w:val="20"/>
              </w:rPr>
              <w:t xml:space="preserve">arunter </w:t>
            </w:r>
            <w:r>
              <w:rPr>
                <w:sz w:val="20"/>
                <w:szCs w:val="20"/>
              </w:rPr>
              <w:t>fielen</w:t>
            </w:r>
            <w:r w:rsidRPr="00F659BE">
              <w:rPr>
                <w:sz w:val="20"/>
                <w:szCs w:val="20"/>
              </w:rPr>
              <w:t xml:space="preserve"> </w:t>
            </w:r>
            <w:r>
              <w:rPr>
                <w:sz w:val="20"/>
                <w:szCs w:val="20"/>
              </w:rPr>
              <w:t>z.B.</w:t>
            </w:r>
            <w:r w:rsidRPr="00F659BE">
              <w:rPr>
                <w:sz w:val="20"/>
                <w:szCs w:val="20"/>
              </w:rPr>
              <w:t xml:space="preserve"> nicht Gesetze, die Monopole oder diskriminierende Praktiken förder</w:t>
            </w:r>
            <w:r>
              <w:rPr>
                <w:sz w:val="20"/>
                <w:szCs w:val="20"/>
              </w:rPr>
              <w:t>te</w:t>
            </w:r>
            <w:r w:rsidRPr="00F659BE">
              <w:rPr>
                <w:sz w:val="20"/>
                <w:szCs w:val="20"/>
              </w:rPr>
              <w:t xml:space="preserve">n. </w:t>
            </w:r>
            <w:r w:rsidRPr="00F659BE">
              <w:rPr>
                <w:sz w:val="20"/>
                <w:szCs w:val="20"/>
                <w:lang w:val="en-US"/>
              </w:rPr>
              <w:t xml:space="preserve">Denn </w:t>
            </w:r>
            <w:proofErr w:type="spellStart"/>
            <w:r w:rsidRPr="00F659BE">
              <w:rPr>
                <w:sz w:val="20"/>
                <w:szCs w:val="20"/>
                <w:lang w:val="en-US"/>
              </w:rPr>
              <w:t>diese</w:t>
            </w:r>
            <w:proofErr w:type="spellEnd"/>
            <w:r w:rsidRPr="00F659BE">
              <w:rPr>
                <w:sz w:val="20"/>
                <w:szCs w:val="20"/>
                <w:lang w:val="en-US"/>
              </w:rPr>
              <w:t xml:space="preserve"> </w:t>
            </w:r>
            <w:proofErr w:type="spellStart"/>
            <w:r w:rsidRPr="00F659BE">
              <w:rPr>
                <w:sz w:val="20"/>
                <w:szCs w:val="20"/>
                <w:lang w:val="en-US"/>
              </w:rPr>
              <w:t>seien</w:t>
            </w:r>
            <w:proofErr w:type="spellEnd"/>
            <w:r w:rsidRPr="00F659BE">
              <w:rPr>
                <w:sz w:val="20"/>
                <w:szCs w:val="20"/>
                <w:lang w:val="en-US"/>
              </w:rPr>
              <w:t xml:space="preserve"> </w:t>
            </w:r>
            <w:proofErr w:type="spellStart"/>
            <w:r w:rsidRPr="00F659BE">
              <w:rPr>
                <w:sz w:val="20"/>
                <w:szCs w:val="20"/>
                <w:lang w:val="en-US"/>
              </w:rPr>
              <w:t>verfassungswidrig</w:t>
            </w:r>
            <w:proofErr w:type="spellEnd"/>
            <w:r w:rsidRPr="00F659BE">
              <w:rPr>
                <w:sz w:val="20"/>
                <w:szCs w:val="20"/>
                <w:lang w:val="en-US"/>
              </w:rPr>
              <w:t xml:space="preserve"> („Such legislation has been regarded everywhere else as inconsistent with civil liberty. That exists only where every individual has the power to pursue his own </w:t>
            </w:r>
            <w:proofErr w:type="gramStart"/>
            <w:r w:rsidRPr="00F659BE">
              <w:rPr>
                <w:sz w:val="20"/>
                <w:szCs w:val="20"/>
                <w:lang w:val="en-US"/>
              </w:rPr>
              <w:t>happiness“</w:t>
            </w:r>
            <w:proofErr w:type="gramEnd"/>
            <w:r w:rsidRPr="00F659BE">
              <w:rPr>
                <w:sz w:val="20"/>
                <w:szCs w:val="20"/>
                <w:vertAlign w:val="superscript"/>
              </w:rPr>
              <w:footnoteReference w:id="745"/>
            </w:r>
            <w:r w:rsidRPr="00F659BE">
              <w:rPr>
                <w:sz w:val="20"/>
                <w:szCs w:val="20"/>
                <w:lang w:val="en-US"/>
              </w:rPr>
              <w:t>)</w:t>
            </w:r>
            <w:r>
              <w:rPr>
                <w:sz w:val="20"/>
                <w:szCs w:val="20"/>
                <w:lang w:val="en-US"/>
              </w:rPr>
              <w:t>,</w:t>
            </w:r>
            <w:r w:rsidRPr="00F659BE">
              <w:rPr>
                <w:sz w:val="20"/>
                <w:szCs w:val="20"/>
                <w:lang w:val="en-US"/>
              </w:rPr>
              <w:t xml:space="preserve"> also </w:t>
            </w:r>
            <w:proofErr w:type="spellStart"/>
            <w:r w:rsidRPr="00F659BE">
              <w:rPr>
                <w:sz w:val="20"/>
                <w:szCs w:val="20"/>
                <w:lang w:val="en-US"/>
              </w:rPr>
              <w:t>zwar</w:t>
            </w:r>
            <w:proofErr w:type="spellEnd"/>
            <w:r w:rsidRPr="00F659BE">
              <w:rPr>
                <w:sz w:val="20"/>
                <w:szCs w:val="20"/>
                <w:lang w:val="en-US"/>
              </w:rPr>
              <w:t xml:space="preserve"> </w:t>
            </w:r>
            <w:proofErr w:type="spellStart"/>
            <w:r w:rsidRPr="00F659BE">
              <w:rPr>
                <w:sz w:val="20"/>
                <w:szCs w:val="20"/>
                <w:lang w:val="en-US"/>
              </w:rPr>
              <w:t>allgemein</w:t>
            </w:r>
            <w:proofErr w:type="spellEnd"/>
            <w:r>
              <w:rPr>
                <w:sz w:val="20"/>
                <w:szCs w:val="20"/>
                <w:lang w:val="en-US"/>
              </w:rPr>
              <w:t>,</w:t>
            </w:r>
            <w:r w:rsidRPr="00F659BE">
              <w:rPr>
                <w:sz w:val="20"/>
                <w:szCs w:val="20"/>
                <w:lang w:val="en-US"/>
              </w:rPr>
              <w:t xml:space="preserve"> </w:t>
            </w:r>
            <w:proofErr w:type="spellStart"/>
            <w:r w:rsidRPr="00F659BE">
              <w:rPr>
                <w:sz w:val="20"/>
                <w:szCs w:val="20"/>
                <w:lang w:val="en-US"/>
              </w:rPr>
              <w:t>aber</w:t>
            </w:r>
            <w:proofErr w:type="spellEnd"/>
            <w:r w:rsidRPr="00F659BE">
              <w:rPr>
                <w:sz w:val="20"/>
                <w:szCs w:val="20"/>
                <w:lang w:val="en-US"/>
              </w:rPr>
              <w:t xml:space="preserve"> </w:t>
            </w:r>
            <w:proofErr w:type="spellStart"/>
            <w:r w:rsidRPr="00F659BE">
              <w:rPr>
                <w:sz w:val="20"/>
                <w:szCs w:val="20"/>
                <w:lang w:val="en-US"/>
              </w:rPr>
              <w:t>weder</w:t>
            </w:r>
            <w:proofErr w:type="spellEnd"/>
            <w:r w:rsidRPr="00F659BE">
              <w:rPr>
                <w:sz w:val="20"/>
                <w:szCs w:val="20"/>
                <w:lang w:val="en-US"/>
              </w:rPr>
              <w:t xml:space="preserve"> </w:t>
            </w:r>
            <w:proofErr w:type="spellStart"/>
            <w:r w:rsidRPr="00F659BE">
              <w:rPr>
                <w:sz w:val="20"/>
                <w:szCs w:val="20"/>
                <w:lang w:val="en-US"/>
              </w:rPr>
              <w:t>gerecht</w:t>
            </w:r>
            <w:proofErr w:type="spellEnd"/>
            <w:r w:rsidRPr="00F659BE">
              <w:rPr>
                <w:sz w:val="20"/>
                <w:szCs w:val="20"/>
                <w:lang w:val="en-US"/>
              </w:rPr>
              <w:t xml:space="preserve"> </w:t>
            </w:r>
            <w:proofErr w:type="spellStart"/>
            <w:r w:rsidRPr="00F659BE">
              <w:rPr>
                <w:sz w:val="20"/>
                <w:szCs w:val="20"/>
                <w:lang w:val="en-US"/>
              </w:rPr>
              <w:t>noch</w:t>
            </w:r>
            <w:proofErr w:type="spellEnd"/>
            <w:r w:rsidRPr="00F659BE">
              <w:rPr>
                <w:sz w:val="20"/>
                <w:szCs w:val="20"/>
                <w:lang w:val="en-US"/>
              </w:rPr>
              <w:t xml:space="preserve"> </w:t>
            </w:r>
            <w:proofErr w:type="spellStart"/>
            <w:r w:rsidRPr="00F659BE">
              <w:rPr>
                <w:sz w:val="20"/>
                <w:szCs w:val="20"/>
                <w:lang w:val="en-US"/>
              </w:rPr>
              <w:t>unparteiisch</w:t>
            </w:r>
            <w:proofErr w:type="spellEnd"/>
            <w:r w:rsidRPr="00F659BE">
              <w:rPr>
                <w:sz w:val="20"/>
                <w:szCs w:val="20"/>
                <w:lang w:val="en-US"/>
              </w:rPr>
              <w:t>.</w:t>
            </w:r>
          </w:p>
          <w:p w14:paraId="686F8F0E" w14:textId="77777777" w:rsidR="00074551" w:rsidRPr="00F659BE" w:rsidRDefault="00074551" w:rsidP="00367133">
            <w:pPr>
              <w:rPr>
                <w:sz w:val="20"/>
                <w:szCs w:val="20"/>
                <w:lang w:val="en-US"/>
              </w:rPr>
            </w:pPr>
          </w:p>
          <w:p w14:paraId="1ACFFD9B" w14:textId="77777777" w:rsidR="00074551" w:rsidRDefault="00074551" w:rsidP="00367133">
            <w:pPr>
              <w:rPr>
                <w:sz w:val="20"/>
                <w:szCs w:val="20"/>
              </w:rPr>
            </w:pPr>
            <w:r w:rsidRPr="00F659BE">
              <w:rPr>
                <w:sz w:val="20"/>
                <w:szCs w:val="20"/>
              </w:rPr>
              <w:t xml:space="preserve">Und staatliche Gewalt bzw. </w:t>
            </w:r>
            <w:proofErr w:type="spellStart"/>
            <w:r w:rsidRPr="5B67C1D2">
              <w:rPr>
                <w:i/>
                <w:iCs/>
                <w:sz w:val="20"/>
                <w:szCs w:val="20"/>
              </w:rPr>
              <w:t>police</w:t>
            </w:r>
            <w:proofErr w:type="spellEnd"/>
            <w:r w:rsidRPr="5B67C1D2">
              <w:rPr>
                <w:i/>
                <w:iCs/>
                <w:sz w:val="20"/>
                <w:szCs w:val="20"/>
              </w:rPr>
              <w:t xml:space="preserve"> power</w:t>
            </w:r>
            <w:r w:rsidRPr="00F659BE">
              <w:rPr>
                <w:sz w:val="20"/>
                <w:szCs w:val="20"/>
              </w:rPr>
              <w:t xml:space="preserve"> </w:t>
            </w:r>
            <w:r>
              <w:rPr>
                <w:sz w:val="20"/>
                <w:szCs w:val="20"/>
              </w:rPr>
              <w:t xml:space="preserve">werde </w:t>
            </w:r>
            <w:r w:rsidRPr="00F659BE">
              <w:rPr>
                <w:sz w:val="20"/>
                <w:szCs w:val="20"/>
              </w:rPr>
              <w:t>durch das Streben nach Glück weiter</w:t>
            </w:r>
            <w:r>
              <w:rPr>
                <w:sz w:val="20"/>
                <w:szCs w:val="20"/>
              </w:rPr>
              <w:t xml:space="preserve"> begrenzt</w:t>
            </w:r>
            <w:r w:rsidRPr="00F659BE">
              <w:rPr>
                <w:sz w:val="20"/>
                <w:szCs w:val="20"/>
              </w:rPr>
              <w:t xml:space="preserve">, und zwar in Form der Freiheit und der Chancengleichheit der Bürger, ihren Beruf frei wählen und ausüben zu können. </w:t>
            </w:r>
            <w:proofErr w:type="spellStart"/>
            <w:r w:rsidRPr="00F659BE">
              <w:rPr>
                <w:sz w:val="20"/>
                <w:szCs w:val="20"/>
                <w:lang w:val="en-US"/>
              </w:rPr>
              <w:t>Doch</w:t>
            </w:r>
            <w:proofErr w:type="spellEnd"/>
            <w:r w:rsidRPr="00F659BE">
              <w:rPr>
                <w:sz w:val="20"/>
                <w:szCs w:val="20"/>
                <w:lang w:val="en-US"/>
              </w:rPr>
              <w:t xml:space="preserve"> </w:t>
            </w:r>
            <w:proofErr w:type="spellStart"/>
            <w:r w:rsidRPr="00F659BE">
              <w:rPr>
                <w:sz w:val="20"/>
                <w:szCs w:val="20"/>
                <w:lang w:val="en-US"/>
              </w:rPr>
              <w:t>wie</w:t>
            </w:r>
            <w:proofErr w:type="spellEnd"/>
            <w:r w:rsidRPr="00F659BE">
              <w:rPr>
                <w:sz w:val="20"/>
                <w:szCs w:val="20"/>
                <w:lang w:val="en-US"/>
              </w:rPr>
              <w:t xml:space="preserve"> </w:t>
            </w:r>
            <w:proofErr w:type="spellStart"/>
            <w:r w:rsidRPr="00F659BE">
              <w:rPr>
                <w:sz w:val="20"/>
                <w:szCs w:val="20"/>
                <w:lang w:val="en-US"/>
              </w:rPr>
              <w:t>definier</w:t>
            </w:r>
            <w:r>
              <w:rPr>
                <w:sz w:val="20"/>
                <w:szCs w:val="20"/>
                <w:lang w:val="en-US"/>
              </w:rPr>
              <w:t>t</w:t>
            </w:r>
            <w:proofErr w:type="spellEnd"/>
            <w:r w:rsidRPr="00F659BE">
              <w:rPr>
                <w:sz w:val="20"/>
                <w:szCs w:val="20"/>
                <w:lang w:val="en-US"/>
              </w:rPr>
              <w:t xml:space="preserve"> </w:t>
            </w:r>
            <w:proofErr w:type="spellStart"/>
            <w:r w:rsidRPr="00F659BE">
              <w:rPr>
                <w:sz w:val="20"/>
                <w:szCs w:val="20"/>
                <w:lang w:val="en-US"/>
              </w:rPr>
              <w:t>sich</w:t>
            </w:r>
            <w:proofErr w:type="spellEnd"/>
            <w:r w:rsidRPr="00F659BE">
              <w:rPr>
                <w:sz w:val="20"/>
                <w:szCs w:val="20"/>
                <w:lang w:val="en-US"/>
              </w:rPr>
              <w:t xml:space="preserve"> </w:t>
            </w:r>
            <w:proofErr w:type="spellStart"/>
            <w:r w:rsidRPr="00F659BE">
              <w:rPr>
                <w:sz w:val="20"/>
                <w:szCs w:val="20"/>
                <w:lang w:val="en-US"/>
              </w:rPr>
              <w:t>diese</w:t>
            </w:r>
            <w:proofErr w:type="spellEnd"/>
            <w:r w:rsidRPr="00F659BE">
              <w:rPr>
                <w:sz w:val="20"/>
                <w:szCs w:val="20"/>
                <w:lang w:val="en-US"/>
              </w:rPr>
              <w:t xml:space="preserve"> </w:t>
            </w:r>
            <w:proofErr w:type="spellStart"/>
            <w:r w:rsidRPr="00F659BE">
              <w:rPr>
                <w:sz w:val="20"/>
                <w:szCs w:val="20"/>
                <w:lang w:val="en-US"/>
              </w:rPr>
              <w:t>Ausformung</w:t>
            </w:r>
            <w:proofErr w:type="spellEnd"/>
            <w:r w:rsidRPr="00F659BE">
              <w:rPr>
                <w:sz w:val="20"/>
                <w:szCs w:val="20"/>
                <w:lang w:val="en-US"/>
              </w:rPr>
              <w:t xml:space="preserve"> des </w:t>
            </w:r>
            <w:r>
              <w:rPr>
                <w:sz w:val="20"/>
                <w:szCs w:val="20"/>
                <w:lang w:val="en-US"/>
              </w:rPr>
              <w:t>„</w:t>
            </w:r>
            <w:r w:rsidRPr="00F659BE">
              <w:rPr>
                <w:sz w:val="20"/>
                <w:szCs w:val="20"/>
                <w:lang w:val="en-US"/>
              </w:rPr>
              <w:t xml:space="preserve">right of men to pursue their </w:t>
            </w:r>
            <w:proofErr w:type="gramStart"/>
            <w:r w:rsidRPr="00F659BE">
              <w:rPr>
                <w:sz w:val="20"/>
                <w:szCs w:val="20"/>
                <w:lang w:val="en-US"/>
              </w:rPr>
              <w:t>happiness</w:t>
            </w:r>
            <w:r>
              <w:rPr>
                <w:sz w:val="20"/>
                <w:szCs w:val="20"/>
                <w:lang w:val="en-US"/>
              </w:rPr>
              <w:t>“</w:t>
            </w:r>
            <w:proofErr w:type="gramEnd"/>
            <w:r w:rsidRPr="00F659BE">
              <w:rPr>
                <w:sz w:val="20"/>
                <w:szCs w:val="20"/>
                <w:vertAlign w:val="superscript"/>
                <w:lang w:val="en-US"/>
              </w:rPr>
              <w:footnoteReference w:id="746"/>
            </w:r>
            <w:r w:rsidRPr="00F659BE">
              <w:rPr>
                <w:sz w:val="20"/>
                <w:szCs w:val="20"/>
                <w:lang w:val="en-US"/>
              </w:rPr>
              <w:t xml:space="preserve"> </w:t>
            </w:r>
            <w:proofErr w:type="spellStart"/>
            <w:r w:rsidRPr="00F659BE">
              <w:rPr>
                <w:sz w:val="20"/>
                <w:szCs w:val="20"/>
                <w:lang w:val="en-US"/>
              </w:rPr>
              <w:t>im</w:t>
            </w:r>
            <w:proofErr w:type="spellEnd"/>
            <w:r w:rsidRPr="00F659BE">
              <w:rPr>
                <w:sz w:val="20"/>
                <w:szCs w:val="20"/>
                <w:lang w:val="en-US"/>
              </w:rPr>
              <w:t xml:space="preserve"> Detail? Ein </w:t>
            </w:r>
            <w:proofErr w:type="spellStart"/>
            <w:r w:rsidRPr="00F659BE">
              <w:rPr>
                <w:sz w:val="20"/>
                <w:szCs w:val="20"/>
                <w:lang w:val="en-US"/>
              </w:rPr>
              <w:t>Definitionsversuch</w:t>
            </w:r>
            <w:proofErr w:type="spellEnd"/>
            <w:r w:rsidRPr="00F659BE">
              <w:rPr>
                <w:sz w:val="20"/>
                <w:szCs w:val="20"/>
                <w:lang w:val="en-US"/>
              </w:rPr>
              <w:t xml:space="preserve"> für dieses </w:t>
            </w:r>
            <w:proofErr w:type="spellStart"/>
            <w:r w:rsidRPr="00F659BE">
              <w:rPr>
                <w:sz w:val="20"/>
                <w:szCs w:val="20"/>
                <w:lang w:val="en-US"/>
              </w:rPr>
              <w:t>unveräußerliche</w:t>
            </w:r>
            <w:proofErr w:type="spellEnd"/>
            <w:r w:rsidRPr="00F659BE">
              <w:rPr>
                <w:sz w:val="20"/>
                <w:szCs w:val="20"/>
                <w:lang w:val="en-US"/>
              </w:rPr>
              <w:t xml:space="preserve"> Recht </w:t>
            </w:r>
            <w:proofErr w:type="spellStart"/>
            <w:r w:rsidRPr="00F659BE">
              <w:rPr>
                <w:sz w:val="20"/>
                <w:szCs w:val="20"/>
                <w:lang w:val="en-US"/>
              </w:rPr>
              <w:t>laute</w:t>
            </w:r>
            <w:proofErr w:type="spellEnd"/>
            <w:r w:rsidRPr="00F659BE">
              <w:rPr>
                <w:sz w:val="20"/>
                <w:szCs w:val="20"/>
                <w:lang w:val="en-US"/>
              </w:rPr>
              <w:t xml:space="preserve">: </w:t>
            </w:r>
            <w:r>
              <w:rPr>
                <w:sz w:val="20"/>
                <w:szCs w:val="20"/>
                <w:lang w:val="en-US"/>
              </w:rPr>
              <w:t>d</w:t>
            </w:r>
            <w:r w:rsidRPr="00F659BE">
              <w:rPr>
                <w:sz w:val="20"/>
                <w:szCs w:val="20"/>
                <w:lang w:val="en-US"/>
              </w:rPr>
              <w:t xml:space="preserve">ie Freiheit, </w:t>
            </w:r>
            <w:proofErr w:type="spellStart"/>
            <w:r w:rsidRPr="00F659BE">
              <w:rPr>
                <w:sz w:val="20"/>
                <w:szCs w:val="20"/>
                <w:lang w:val="en-US"/>
              </w:rPr>
              <w:t>jeden</w:t>
            </w:r>
            <w:proofErr w:type="spellEnd"/>
            <w:r w:rsidRPr="00F659BE">
              <w:rPr>
                <w:sz w:val="20"/>
                <w:szCs w:val="20"/>
                <w:lang w:val="en-US"/>
              </w:rPr>
              <w:t xml:space="preserve"> </w:t>
            </w:r>
            <w:proofErr w:type="spellStart"/>
            <w:r w:rsidRPr="00F659BE">
              <w:rPr>
                <w:sz w:val="20"/>
                <w:szCs w:val="20"/>
                <w:lang w:val="en-US"/>
              </w:rPr>
              <w:t>rechtmäßigen</w:t>
            </w:r>
            <w:proofErr w:type="spellEnd"/>
            <w:r w:rsidRPr="00F659BE">
              <w:rPr>
                <w:sz w:val="20"/>
                <w:szCs w:val="20"/>
                <w:lang w:val="en-US"/>
              </w:rPr>
              <w:t xml:space="preserve"> </w:t>
            </w:r>
            <w:proofErr w:type="spellStart"/>
            <w:r w:rsidRPr="00F659BE">
              <w:rPr>
                <w:sz w:val="20"/>
                <w:szCs w:val="20"/>
                <w:lang w:val="en-US"/>
              </w:rPr>
              <w:t>Beruf</w:t>
            </w:r>
            <w:proofErr w:type="spellEnd"/>
            <w:r w:rsidRPr="00F659BE">
              <w:rPr>
                <w:sz w:val="20"/>
                <w:szCs w:val="20"/>
                <w:lang w:val="en-US"/>
              </w:rPr>
              <w:t xml:space="preserve"> </w:t>
            </w:r>
            <w:proofErr w:type="spellStart"/>
            <w:r w:rsidRPr="00F659BE">
              <w:rPr>
                <w:sz w:val="20"/>
                <w:szCs w:val="20"/>
                <w:lang w:val="en-US"/>
              </w:rPr>
              <w:t>oder</w:t>
            </w:r>
            <w:proofErr w:type="spellEnd"/>
            <w:r w:rsidRPr="00F659BE">
              <w:rPr>
                <w:sz w:val="20"/>
                <w:szCs w:val="20"/>
                <w:lang w:val="en-US"/>
              </w:rPr>
              <w:t xml:space="preserve"> </w:t>
            </w:r>
            <w:proofErr w:type="spellStart"/>
            <w:r w:rsidRPr="00F659BE">
              <w:rPr>
                <w:sz w:val="20"/>
                <w:szCs w:val="20"/>
                <w:lang w:val="en-US"/>
              </w:rPr>
              <w:t>jedem</w:t>
            </w:r>
            <w:proofErr w:type="spellEnd"/>
            <w:r w:rsidRPr="00F659BE">
              <w:rPr>
                <w:sz w:val="20"/>
                <w:szCs w:val="20"/>
                <w:lang w:val="en-US"/>
              </w:rPr>
              <w:t xml:space="preserve"> </w:t>
            </w:r>
            <w:proofErr w:type="spellStart"/>
            <w:r w:rsidRPr="00F659BE">
              <w:rPr>
                <w:sz w:val="20"/>
                <w:szCs w:val="20"/>
                <w:lang w:val="en-US"/>
              </w:rPr>
              <w:t>Geschäft</w:t>
            </w:r>
            <w:proofErr w:type="spellEnd"/>
            <w:r w:rsidRPr="00F659BE">
              <w:rPr>
                <w:sz w:val="20"/>
                <w:szCs w:val="20"/>
                <w:lang w:val="en-US"/>
              </w:rPr>
              <w:t xml:space="preserve"> </w:t>
            </w:r>
            <w:proofErr w:type="spellStart"/>
            <w:r w:rsidRPr="00F659BE">
              <w:rPr>
                <w:sz w:val="20"/>
                <w:szCs w:val="20"/>
                <w:lang w:val="en-US"/>
              </w:rPr>
              <w:t>nachgehen</w:t>
            </w:r>
            <w:proofErr w:type="spellEnd"/>
            <w:r w:rsidRPr="00F659BE">
              <w:rPr>
                <w:sz w:val="20"/>
                <w:szCs w:val="20"/>
                <w:lang w:val="en-US"/>
              </w:rPr>
              <w:t xml:space="preserve"> </w:t>
            </w:r>
            <w:proofErr w:type="spellStart"/>
            <w:r w:rsidRPr="00F659BE">
              <w:rPr>
                <w:sz w:val="20"/>
                <w:szCs w:val="20"/>
                <w:lang w:val="en-US"/>
              </w:rPr>
              <w:t>zu</w:t>
            </w:r>
            <w:proofErr w:type="spellEnd"/>
            <w:r w:rsidRPr="00F659BE">
              <w:rPr>
                <w:sz w:val="20"/>
                <w:szCs w:val="20"/>
                <w:lang w:val="en-US"/>
              </w:rPr>
              <w:t xml:space="preserve"> </w:t>
            </w:r>
            <w:proofErr w:type="spellStart"/>
            <w:r w:rsidRPr="00F659BE">
              <w:rPr>
                <w:sz w:val="20"/>
                <w:szCs w:val="20"/>
                <w:lang w:val="en-US"/>
              </w:rPr>
              <w:t>können</w:t>
            </w:r>
            <w:proofErr w:type="spellEnd"/>
            <w:r w:rsidRPr="00F659BE">
              <w:rPr>
                <w:sz w:val="20"/>
                <w:szCs w:val="20"/>
                <w:lang w:val="en-US"/>
              </w:rPr>
              <w:t xml:space="preserve">, </w:t>
            </w:r>
            <w:proofErr w:type="spellStart"/>
            <w:r w:rsidRPr="00F659BE">
              <w:rPr>
                <w:sz w:val="20"/>
                <w:szCs w:val="20"/>
                <w:lang w:val="en-US"/>
              </w:rPr>
              <w:t>solange</w:t>
            </w:r>
            <w:proofErr w:type="spellEnd"/>
            <w:r w:rsidRPr="00F659BE">
              <w:rPr>
                <w:sz w:val="20"/>
                <w:szCs w:val="20"/>
                <w:lang w:val="en-US"/>
              </w:rPr>
              <w:t xml:space="preserve"> dies nicht die </w:t>
            </w:r>
            <w:proofErr w:type="spellStart"/>
            <w:r w:rsidRPr="00F659BE">
              <w:rPr>
                <w:sz w:val="20"/>
                <w:szCs w:val="20"/>
                <w:lang w:val="en-US"/>
              </w:rPr>
              <w:t>gleichen</w:t>
            </w:r>
            <w:proofErr w:type="spellEnd"/>
            <w:r w:rsidRPr="00F659BE">
              <w:rPr>
                <w:sz w:val="20"/>
                <w:szCs w:val="20"/>
                <w:lang w:val="en-US"/>
              </w:rPr>
              <w:t xml:space="preserve"> Rechte </w:t>
            </w:r>
            <w:proofErr w:type="spellStart"/>
            <w:r w:rsidRPr="00F659BE">
              <w:rPr>
                <w:sz w:val="20"/>
                <w:szCs w:val="20"/>
                <w:lang w:val="en-US"/>
              </w:rPr>
              <w:t>anderer</w:t>
            </w:r>
            <w:proofErr w:type="spellEnd"/>
            <w:r w:rsidRPr="00F659BE">
              <w:rPr>
                <w:sz w:val="20"/>
                <w:szCs w:val="20"/>
                <w:lang w:val="en-US"/>
              </w:rPr>
              <w:t xml:space="preserve"> </w:t>
            </w:r>
            <w:proofErr w:type="spellStart"/>
            <w:r w:rsidRPr="00F659BE">
              <w:rPr>
                <w:sz w:val="20"/>
                <w:szCs w:val="20"/>
                <w:lang w:val="en-US"/>
              </w:rPr>
              <w:t>beeinträchtige</w:t>
            </w:r>
            <w:proofErr w:type="spellEnd"/>
            <w:r w:rsidRPr="00F659BE">
              <w:rPr>
                <w:sz w:val="20"/>
                <w:szCs w:val="20"/>
                <w:lang w:val="en-US"/>
              </w:rPr>
              <w:t xml:space="preserve"> („pursue their happiness, by which is meant the right to pursue any lawful business or vocation, in any manner not inconsistent with the equal rights of others, which may increase their prosperity or develop their faculties, so as to give to them their highest </w:t>
            </w:r>
            <w:proofErr w:type="gramStart"/>
            <w:r w:rsidRPr="00F659BE">
              <w:rPr>
                <w:sz w:val="20"/>
                <w:szCs w:val="20"/>
                <w:lang w:val="en-US"/>
              </w:rPr>
              <w:t>enjoyment.“</w:t>
            </w:r>
            <w:proofErr w:type="gramEnd"/>
            <w:r w:rsidRPr="00F659BE">
              <w:rPr>
                <w:sz w:val="20"/>
                <w:szCs w:val="20"/>
                <w:vertAlign w:val="superscript"/>
                <w:lang w:val="en-US"/>
              </w:rPr>
              <w:footnoteReference w:id="747"/>
            </w:r>
            <w:r w:rsidRPr="00F659BE">
              <w:rPr>
                <w:sz w:val="20"/>
                <w:szCs w:val="20"/>
                <w:lang w:val="en-US"/>
              </w:rPr>
              <w:t xml:space="preserve">). </w:t>
            </w:r>
            <w:proofErr w:type="spellStart"/>
            <w:r w:rsidRPr="00F659BE">
              <w:rPr>
                <w:sz w:val="20"/>
                <w:szCs w:val="20"/>
                <w:lang w:val="en-US"/>
              </w:rPr>
              <w:t>Darunter</w:t>
            </w:r>
            <w:proofErr w:type="spellEnd"/>
            <w:r w:rsidRPr="00F659BE">
              <w:rPr>
                <w:sz w:val="20"/>
                <w:szCs w:val="20"/>
                <w:lang w:val="en-US"/>
              </w:rPr>
              <w:t xml:space="preserve"> </w:t>
            </w:r>
            <w:proofErr w:type="spellStart"/>
            <w:r w:rsidRPr="00F659BE">
              <w:rPr>
                <w:sz w:val="20"/>
                <w:szCs w:val="20"/>
                <w:lang w:val="en-US"/>
              </w:rPr>
              <w:t>falle</w:t>
            </w:r>
            <w:proofErr w:type="spellEnd"/>
            <w:r w:rsidRPr="00F659BE">
              <w:rPr>
                <w:sz w:val="20"/>
                <w:szCs w:val="20"/>
                <w:lang w:val="en-US"/>
              </w:rPr>
              <w:t xml:space="preserve">, </w:t>
            </w:r>
            <w:proofErr w:type="spellStart"/>
            <w:r w:rsidRPr="00F659BE">
              <w:rPr>
                <w:sz w:val="20"/>
                <w:szCs w:val="20"/>
                <w:lang w:val="en-US"/>
              </w:rPr>
              <w:t>dass</w:t>
            </w:r>
            <w:proofErr w:type="spellEnd"/>
            <w:r w:rsidRPr="00F659BE">
              <w:rPr>
                <w:sz w:val="20"/>
                <w:szCs w:val="20"/>
                <w:lang w:val="en-US"/>
              </w:rPr>
              <w:t xml:space="preserve"> die </w:t>
            </w:r>
            <w:proofErr w:type="spellStart"/>
            <w:r w:rsidRPr="00F659BE">
              <w:rPr>
                <w:sz w:val="20"/>
                <w:szCs w:val="20"/>
                <w:lang w:val="en-US"/>
              </w:rPr>
              <w:t>rechtmäßigen</w:t>
            </w:r>
            <w:proofErr w:type="spellEnd"/>
            <w:r w:rsidRPr="00F659BE">
              <w:rPr>
                <w:sz w:val="20"/>
                <w:szCs w:val="20"/>
                <w:lang w:val="en-US"/>
              </w:rPr>
              <w:t xml:space="preserve"> </w:t>
            </w:r>
            <w:proofErr w:type="spellStart"/>
            <w:r w:rsidRPr="00F659BE">
              <w:rPr>
                <w:sz w:val="20"/>
                <w:szCs w:val="20"/>
                <w:lang w:val="en-US"/>
              </w:rPr>
              <w:t>Geschäfte</w:t>
            </w:r>
            <w:proofErr w:type="spellEnd"/>
            <w:r w:rsidRPr="00F659BE">
              <w:rPr>
                <w:sz w:val="20"/>
                <w:szCs w:val="20"/>
                <w:lang w:val="en-US"/>
              </w:rPr>
              <w:t xml:space="preserve"> und </w:t>
            </w:r>
            <w:proofErr w:type="spellStart"/>
            <w:r w:rsidRPr="00F659BE">
              <w:rPr>
                <w:sz w:val="20"/>
                <w:szCs w:val="20"/>
                <w:lang w:val="en-US"/>
              </w:rPr>
              <w:t>Berufe</w:t>
            </w:r>
            <w:proofErr w:type="spellEnd"/>
            <w:r w:rsidRPr="00F659BE">
              <w:rPr>
                <w:sz w:val="20"/>
                <w:szCs w:val="20"/>
                <w:lang w:val="en-US"/>
              </w:rPr>
              <w:t xml:space="preserve"> für alle Bürger </w:t>
            </w:r>
            <w:proofErr w:type="spellStart"/>
            <w:r w:rsidRPr="00F659BE">
              <w:rPr>
                <w:sz w:val="20"/>
                <w:szCs w:val="20"/>
                <w:lang w:val="en-US"/>
              </w:rPr>
              <w:t>zugänglich</w:t>
            </w:r>
            <w:proofErr w:type="spellEnd"/>
            <w:r w:rsidRPr="00F659BE">
              <w:rPr>
                <w:sz w:val="20"/>
                <w:szCs w:val="20"/>
                <w:lang w:val="en-US"/>
              </w:rPr>
              <w:t xml:space="preserve"> sein </w:t>
            </w:r>
            <w:proofErr w:type="spellStart"/>
            <w:r w:rsidRPr="00F659BE">
              <w:rPr>
                <w:sz w:val="20"/>
                <w:szCs w:val="20"/>
                <w:lang w:val="en-US"/>
              </w:rPr>
              <w:t>müss</w:t>
            </w:r>
            <w:r>
              <w:rPr>
                <w:sz w:val="20"/>
                <w:szCs w:val="20"/>
                <w:lang w:val="en-US"/>
              </w:rPr>
              <w:t>t</w:t>
            </w:r>
            <w:r w:rsidRPr="00F659BE">
              <w:rPr>
                <w:sz w:val="20"/>
                <w:szCs w:val="20"/>
                <w:lang w:val="en-US"/>
              </w:rPr>
              <w:t>en</w:t>
            </w:r>
            <w:proofErr w:type="spellEnd"/>
            <w:r w:rsidRPr="00F659BE">
              <w:rPr>
                <w:sz w:val="20"/>
                <w:szCs w:val="20"/>
                <w:lang w:val="en-US"/>
              </w:rPr>
              <w:t xml:space="preserve"> („The common business and callings of life, the ordinary trades and pursuits</w:t>
            </w:r>
            <w:r>
              <w:rPr>
                <w:sz w:val="20"/>
                <w:szCs w:val="20"/>
                <w:lang w:val="en-US"/>
              </w:rPr>
              <w:t xml:space="preserve"> </w:t>
            </w:r>
            <w:r w:rsidRPr="00F659BE">
              <w:rPr>
                <w:sz w:val="20"/>
                <w:szCs w:val="20"/>
                <w:lang w:val="en-US"/>
              </w:rPr>
              <w:t>...</w:t>
            </w:r>
            <w:r>
              <w:rPr>
                <w:sz w:val="20"/>
                <w:szCs w:val="20"/>
                <w:lang w:val="en-US"/>
              </w:rPr>
              <w:t xml:space="preserve"> </w:t>
            </w:r>
            <w:r w:rsidRPr="00F659BE">
              <w:rPr>
                <w:sz w:val="20"/>
                <w:szCs w:val="20"/>
                <w:lang w:val="en-US"/>
              </w:rPr>
              <w:t xml:space="preserve">must, therefore, be free in this country to all alike upon the same </w:t>
            </w:r>
            <w:proofErr w:type="gramStart"/>
            <w:r w:rsidRPr="00F659BE">
              <w:rPr>
                <w:sz w:val="20"/>
                <w:szCs w:val="20"/>
                <w:lang w:val="en-US"/>
              </w:rPr>
              <w:t>conditions“</w:t>
            </w:r>
            <w:proofErr w:type="gramEnd"/>
            <w:r>
              <w:rPr>
                <w:rStyle w:val="Funotenzeichen"/>
                <w:sz w:val="20"/>
                <w:szCs w:val="20"/>
                <w:lang w:val="en-US"/>
              </w:rPr>
              <w:footnoteReference w:id="748"/>
            </w:r>
            <w:r w:rsidRPr="00F659BE">
              <w:rPr>
                <w:sz w:val="20"/>
                <w:szCs w:val="20"/>
                <w:lang w:val="en-US"/>
              </w:rPr>
              <w:t>)</w:t>
            </w:r>
            <w:r>
              <w:rPr>
                <w:sz w:val="20"/>
                <w:szCs w:val="20"/>
                <w:lang w:val="en-US"/>
              </w:rPr>
              <w:t>. Ab</w:t>
            </w:r>
            <w:r w:rsidRPr="00F659BE">
              <w:rPr>
                <w:sz w:val="20"/>
                <w:szCs w:val="20"/>
                <w:lang w:val="en-US"/>
              </w:rPr>
              <w:t xml:space="preserve">er </w:t>
            </w:r>
            <w:proofErr w:type="spellStart"/>
            <w:r w:rsidRPr="00F659BE">
              <w:rPr>
                <w:sz w:val="20"/>
                <w:szCs w:val="20"/>
                <w:lang w:val="en-US"/>
              </w:rPr>
              <w:t>auch</w:t>
            </w:r>
            <w:proofErr w:type="spellEnd"/>
            <w:r w:rsidRPr="00F659BE">
              <w:rPr>
                <w:sz w:val="20"/>
                <w:szCs w:val="20"/>
                <w:lang w:val="en-US"/>
              </w:rPr>
              <w:t xml:space="preserve"> das Recht, </w:t>
            </w:r>
            <w:proofErr w:type="spellStart"/>
            <w:r w:rsidRPr="00F659BE">
              <w:rPr>
                <w:sz w:val="20"/>
                <w:szCs w:val="20"/>
                <w:lang w:val="en-US"/>
              </w:rPr>
              <w:t>Berufe</w:t>
            </w:r>
            <w:proofErr w:type="spellEnd"/>
            <w:r w:rsidRPr="00F659BE">
              <w:rPr>
                <w:sz w:val="20"/>
                <w:szCs w:val="20"/>
                <w:lang w:val="en-US"/>
              </w:rPr>
              <w:t xml:space="preserve"> und </w:t>
            </w:r>
            <w:proofErr w:type="spellStart"/>
            <w:r w:rsidRPr="00F659BE">
              <w:rPr>
                <w:sz w:val="20"/>
                <w:szCs w:val="20"/>
                <w:lang w:val="en-US"/>
              </w:rPr>
              <w:t>Geschäfte</w:t>
            </w:r>
            <w:proofErr w:type="spellEnd"/>
            <w:r w:rsidRPr="00F659BE">
              <w:rPr>
                <w:sz w:val="20"/>
                <w:szCs w:val="20"/>
                <w:lang w:val="en-US"/>
              </w:rPr>
              <w:t xml:space="preserve"> </w:t>
            </w:r>
            <w:proofErr w:type="spellStart"/>
            <w:r w:rsidRPr="00F659BE">
              <w:rPr>
                <w:sz w:val="20"/>
                <w:szCs w:val="20"/>
                <w:lang w:val="en-US"/>
              </w:rPr>
              <w:t>ohne</w:t>
            </w:r>
            <w:proofErr w:type="spellEnd"/>
            <w:r w:rsidRPr="00F659BE">
              <w:rPr>
                <w:sz w:val="20"/>
                <w:szCs w:val="20"/>
                <w:lang w:val="en-US"/>
              </w:rPr>
              <w:t xml:space="preserve"> </w:t>
            </w:r>
            <w:proofErr w:type="spellStart"/>
            <w:r w:rsidRPr="00F659BE">
              <w:rPr>
                <w:sz w:val="20"/>
                <w:szCs w:val="20"/>
                <w:lang w:val="en-US"/>
              </w:rPr>
              <w:t>Hindernisse</w:t>
            </w:r>
            <w:proofErr w:type="spellEnd"/>
            <w:r w:rsidRPr="00F659BE">
              <w:rPr>
                <w:sz w:val="20"/>
                <w:szCs w:val="20"/>
                <w:lang w:val="en-US"/>
              </w:rPr>
              <w:t xml:space="preserve"> </w:t>
            </w:r>
            <w:proofErr w:type="spellStart"/>
            <w:r w:rsidRPr="00F659BE">
              <w:rPr>
                <w:sz w:val="20"/>
                <w:szCs w:val="20"/>
                <w:lang w:val="en-US"/>
              </w:rPr>
              <w:t>ausüben</w:t>
            </w:r>
            <w:proofErr w:type="spellEnd"/>
            <w:r w:rsidRPr="00F659BE">
              <w:rPr>
                <w:sz w:val="20"/>
                <w:szCs w:val="20"/>
                <w:lang w:val="en-US"/>
              </w:rPr>
              <w:t xml:space="preserve"> </w:t>
            </w:r>
            <w:proofErr w:type="spellStart"/>
            <w:r w:rsidRPr="00F659BE">
              <w:rPr>
                <w:sz w:val="20"/>
                <w:szCs w:val="20"/>
                <w:lang w:val="en-US"/>
              </w:rPr>
              <w:t>zu</w:t>
            </w:r>
            <w:proofErr w:type="spellEnd"/>
            <w:r w:rsidRPr="00F659BE">
              <w:rPr>
                <w:sz w:val="20"/>
                <w:szCs w:val="20"/>
                <w:lang w:val="en-US"/>
              </w:rPr>
              <w:t xml:space="preserve"> </w:t>
            </w:r>
            <w:proofErr w:type="spellStart"/>
            <w:r w:rsidRPr="00F659BE">
              <w:rPr>
                <w:sz w:val="20"/>
                <w:szCs w:val="20"/>
                <w:lang w:val="en-US"/>
              </w:rPr>
              <w:t>können</w:t>
            </w:r>
            <w:proofErr w:type="spellEnd"/>
            <w:r>
              <w:rPr>
                <w:sz w:val="20"/>
                <w:szCs w:val="20"/>
                <w:lang w:val="en-US"/>
              </w:rPr>
              <w:t>,</w:t>
            </w:r>
            <w:r w:rsidRPr="00F659BE">
              <w:rPr>
                <w:sz w:val="20"/>
                <w:szCs w:val="20"/>
                <w:lang w:val="en-US"/>
              </w:rPr>
              <w:t xml:space="preserve"> </w:t>
            </w:r>
            <w:r>
              <w:rPr>
                <w:sz w:val="20"/>
                <w:szCs w:val="20"/>
                <w:lang w:val="en-US"/>
              </w:rPr>
              <w:t>sei</w:t>
            </w:r>
            <w:r w:rsidRPr="00F659BE">
              <w:rPr>
                <w:sz w:val="20"/>
                <w:szCs w:val="20"/>
                <w:lang w:val="en-US"/>
              </w:rPr>
              <w:t xml:space="preserve"> </w:t>
            </w:r>
            <w:proofErr w:type="spellStart"/>
            <w:r w:rsidRPr="00F659BE">
              <w:rPr>
                <w:sz w:val="20"/>
                <w:szCs w:val="20"/>
                <w:lang w:val="en-US"/>
              </w:rPr>
              <w:t>ein</w:t>
            </w:r>
            <w:proofErr w:type="spellEnd"/>
            <w:r w:rsidRPr="00F659BE">
              <w:rPr>
                <w:sz w:val="20"/>
                <w:szCs w:val="20"/>
                <w:lang w:val="en-US"/>
              </w:rPr>
              <w:t xml:space="preserve"> </w:t>
            </w:r>
            <w:proofErr w:type="spellStart"/>
            <w:r w:rsidRPr="00F659BE">
              <w:rPr>
                <w:sz w:val="20"/>
                <w:szCs w:val="20"/>
                <w:lang w:val="en-US"/>
              </w:rPr>
              <w:t>grundlegendes</w:t>
            </w:r>
            <w:proofErr w:type="spellEnd"/>
            <w:r w:rsidRPr="00F659BE">
              <w:rPr>
                <w:sz w:val="20"/>
                <w:szCs w:val="20"/>
                <w:lang w:val="en-US"/>
              </w:rPr>
              <w:t xml:space="preserve"> </w:t>
            </w:r>
            <w:proofErr w:type="spellStart"/>
            <w:r w:rsidRPr="00F659BE">
              <w:rPr>
                <w:sz w:val="20"/>
                <w:szCs w:val="20"/>
                <w:lang w:val="en-US"/>
              </w:rPr>
              <w:t>Vorrecht</w:t>
            </w:r>
            <w:proofErr w:type="spellEnd"/>
            <w:r w:rsidRPr="00F659BE">
              <w:rPr>
                <w:sz w:val="20"/>
                <w:szCs w:val="20"/>
                <w:lang w:val="en-US"/>
              </w:rPr>
              <w:t xml:space="preserve"> der Bürger der </w:t>
            </w:r>
            <w:proofErr w:type="spellStart"/>
            <w:r w:rsidRPr="00F659BE">
              <w:rPr>
                <w:sz w:val="20"/>
                <w:szCs w:val="20"/>
                <w:lang w:val="en-US"/>
              </w:rPr>
              <w:t>Vereinigten</w:t>
            </w:r>
            <w:proofErr w:type="spellEnd"/>
            <w:r w:rsidRPr="00F659BE">
              <w:rPr>
                <w:sz w:val="20"/>
                <w:szCs w:val="20"/>
                <w:lang w:val="en-US"/>
              </w:rPr>
              <w:t xml:space="preserve"> </w:t>
            </w:r>
            <w:proofErr w:type="spellStart"/>
            <w:r w:rsidRPr="00F659BE">
              <w:rPr>
                <w:sz w:val="20"/>
                <w:szCs w:val="20"/>
                <w:lang w:val="en-US"/>
              </w:rPr>
              <w:t>Staaten</w:t>
            </w:r>
            <w:proofErr w:type="spellEnd"/>
            <w:r w:rsidRPr="00F659BE">
              <w:rPr>
                <w:sz w:val="20"/>
                <w:szCs w:val="20"/>
                <w:lang w:val="en-US"/>
              </w:rPr>
              <w:t xml:space="preserve"> </w:t>
            </w:r>
            <w:proofErr w:type="spellStart"/>
            <w:r w:rsidRPr="00F659BE">
              <w:rPr>
                <w:sz w:val="20"/>
                <w:szCs w:val="20"/>
                <w:lang w:val="en-US"/>
              </w:rPr>
              <w:t>sowie</w:t>
            </w:r>
            <w:proofErr w:type="spellEnd"/>
            <w:r w:rsidRPr="00F659BE">
              <w:rPr>
                <w:sz w:val="20"/>
                <w:szCs w:val="20"/>
                <w:lang w:val="en-US"/>
              </w:rPr>
              <w:t xml:space="preserve"> </w:t>
            </w:r>
            <w:proofErr w:type="spellStart"/>
            <w:r w:rsidRPr="00F659BE">
              <w:rPr>
                <w:sz w:val="20"/>
                <w:szCs w:val="20"/>
                <w:lang w:val="en-US"/>
              </w:rPr>
              <w:t>wesentliches</w:t>
            </w:r>
            <w:proofErr w:type="spellEnd"/>
            <w:r w:rsidRPr="00F659BE">
              <w:rPr>
                <w:sz w:val="20"/>
                <w:szCs w:val="20"/>
                <w:lang w:val="en-US"/>
              </w:rPr>
              <w:t xml:space="preserve"> Element des </w:t>
            </w:r>
            <w:proofErr w:type="spellStart"/>
            <w:r w:rsidRPr="00F659BE">
              <w:rPr>
                <w:sz w:val="20"/>
                <w:szCs w:val="20"/>
                <w:lang w:val="en-US"/>
              </w:rPr>
              <w:t>Schutzbereichs</w:t>
            </w:r>
            <w:proofErr w:type="spellEnd"/>
            <w:r w:rsidRPr="00F659BE">
              <w:rPr>
                <w:sz w:val="20"/>
                <w:szCs w:val="20"/>
                <w:lang w:val="en-US"/>
              </w:rPr>
              <w:t xml:space="preserve"> der Freiheit („The right to pursue them, without let or hindrance, except that which is applied to all persons of the same age, sex, and condition, is a distinguishing privilege of citizens of the United </w:t>
            </w:r>
            <w:proofErr w:type="gramStart"/>
            <w:r w:rsidRPr="00F659BE">
              <w:rPr>
                <w:sz w:val="20"/>
                <w:szCs w:val="20"/>
                <w:lang w:val="en-US"/>
              </w:rPr>
              <w:t>States“</w:t>
            </w:r>
            <w:proofErr w:type="gramEnd"/>
            <w:r w:rsidRPr="00F659BE">
              <w:rPr>
                <w:sz w:val="20"/>
                <w:szCs w:val="20"/>
                <w:lang w:val="en-US"/>
              </w:rPr>
              <w:t xml:space="preserve">). </w:t>
            </w:r>
            <w:r w:rsidRPr="00F659BE">
              <w:rPr>
                <w:sz w:val="20"/>
                <w:szCs w:val="20"/>
              </w:rPr>
              <w:t xml:space="preserve">Zusammengefasst sei dies eine Bedingung des Rechts auf </w:t>
            </w:r>
            <w:r w:rsidRPr="00F659BE">
              <w:rPr>
                <w:sz w:val="20"/>
                <w:szCs w:val="20"/>
              </w:rPr>
              <w:lastRenderedPageBreak/>
              <w:t>Glücksstreben (“</w:t>
            </w:r>
            <w:proofErr w:type="spellStart"/>
            <w:r w:rsidRPr="00F659BE">
              <w:rPr>
                <w:sz w:val="20"/>
                <w:szCs w:val="20"/>
              </w:rPr>
              <w:t>right</w:t>
            </w:r>
            <w:proofErr w:type="spellEnd"/>
            <w:r w:rsidRPr="00F659BE">
              <w:rPr>
                <w:sz w:val="20"/>
                <w:szCs w:val="20"/>
              </w:rPr>
              <w:t xml:space="preserve"> of </w:t>
            </w:r>
            <w:proofErr w:type="spellStart"/>
            <w:r w:rsidRPr="00F659BE">
              <w:rPr>
                <w:sz w:val="20"/>
                <w:szCs w:val="20"/>
              </w:rPr>
              <w:t>men</w:t>
            </w:r>
            <w:proofErr w:type="spellEnd"/>
            <w:r w:rsidRPr="00F659BE">
              <w:rPr>
                <w:sz w:val="20"/>
                <w:szCs w:val="20"/>
              </w:rPr>
              <w:t xml:space="preserve"> to </w:t>
            </w:r>
            <w:proofErr w:type="spellStart"/>
            <w:r w:rsidRPr="00F659BE">
              <w:rPr>
                <w:sz w:val="20"/>
                <w:szCs w:val="20"/>
              </w:rPr>
              <w:t>pursue</w:t>
            </w:r>
            <w:proofErr w:type="spellEnd"/>
            <w:r w:rsidRPr="00F659BE">
              <w:rPr>
                <w:sz w:val="20"/>
                <w:szCs w:val="20"/>
              </w:rPr>
              <w:t xml:space="preserve"> </w:t>
            </w:r>
            <w:proofErr w:type="spellStart"/>
            <w:r w:rsidRPr="00F659BE">
              <w:rPr>
                <w:sz w:val="20"/>
                <w:szCs w:val="20"/>
              </w:rPr>
              <w:t>their</w:t>
            </w:r>
            <w:proofErr w:type="spellEnd"/>
            <w:r w:rsidRPr="00F659BE">
              <w:rPr>
                <w:sz w:val="20"/>
                <w:szCs w:val="20"/>
              </w:rPr>
              <w:t xml:space="preserve"> </w:t>
            </w:r>
            <w:proofErr w:type="spellStart"/>
            <w:r w:rsidRPr="00F659BE">
              <w:rPr>
                <w:sz w:val="20"/>
                <w:szCs w:val="20"/>
              </w:rPr>
              <w:t>happiness</w:t>
            </w:r>
            <w:proofErr w:type="spellEnd"/>
            <w:r w:rsidRPr="00F659BE">
              <w:rPr>
                <w:sz w:val="20"/>
                <w:szCs w:val="20"/>
              </w:rPr>
              <w:t>”</w:t>
            </w:r>
            <w:r w:rsidRPr="00F659BE">
              <w:rPr>
                <w:sz w:val="20"/>
                <w:szCs w:val="20"/>
                <w:vertAlign w:val="superscript"/>
                <w:lang w:val="en-US"/>
              </w:rPr>
              <w:footnoteReference w:id="749"/>
            </w:r>
            <w:r w:rsidRPr="00F659BE">
              <w:rPr>
                <w:sz w:val="20"/>
                <w:szCs w:val="20"/>
              </w:rPr>
              <w:t>), die gegen staatliche Eingriffe schütze.</w:t>
            </w:r>
          </w:p>
          <w:p w14:paraId="3840DDE7" w14:textId="77777777" w:rsidR="00074551" w:rsidRPr="00F659BE" w:rsidRDefault="00074551" w:rsidP="00367133">
            <w:pPr>
              <w:rPr>
                <w:sz w:val="20"/>
                <w:szCs w:val="20"/>
              </w:rPr>
            </w:pPr>
          </w:p>
          <w:p w14:paraId="2B8DC268" w14:textId="02233515" w:rsidR="00074551" w:rsidRDefault="00074551" w:rsidP="00367133">
            <w:pPr>
              <w:rPr>
                <w:sz w:val="20"/>
                <w:szCs w:val="20"/>
              </w:rPr>
            </w:pPr>
            <w:r w:rsidRPr="00F659BE">
              <w:rPr>
                <w:sz w:val="20"/>
                <w:szCs w:val="20"/>
              </w:rPr>
              <w:t xml:space="preserve">Eine auf diese Definitionsseite aufbauende </w:t>
            </w:r>
            <w:r w:rsidR="4616F12D" w:rsidRPr="5B67C1D2">
              <w:rPr>
                <w:sz w:val="20"/>
                <w:szCs w:val="20"/>
              </w:rPr>
              <w:t xml:space="preserve">Folge </w:t>
            </w:r>
            <w:r w:rsidRPr="5B67C1D2">
              <w:rPr>
                <w:sz w:val="20"/>
                <w:szCs w:val="20"/>
              </w:rPr>
              <w:t>seien die sog. bürgerlichen Freiheiten („</w:t>
            </w:r>
            <w:proofErr w:type="spellStart"/>
            <w:r w:rsidRPr="5B67C1D2">
              <w:rPr>
                <w:sz w:val="20"/>
                <w:szCs w:val="20"/>
              </w:rPr>
              <w:t>civil</w:t>
            </w:r>
            <w:proofErr w:type="spellEnd"/>
            <w:r w:rsidRPr="5B67C1D2">
              <w:rPr>
                <w:sz w:val="20"/>
                <w:szCs w:val="20"/>
              </w:rPr>
              <w:t xml:space="preserve"> </w:t>
            </w:r>
            <w:proofErr w:type="spellStart"/>
            <w:r w:rsidRPr="5B67C1D2">
              <w:rPr>
                <w:sz w:val="20"/>
                <w:szCs w:val="20"/>
              </w:rPr>
              <w:t>liberty</w:t>
            </w:r>
            <w:proofErr w:type="spellEnd"/>
            <w:r w:rsidRPr="5B67C1D2">
              <w:rPr>
                <w:sz w:val="20"/>
                <w:szCs w:val="20"/>
              </w:rPr>
              <w:t>“</w:t>
            </w:r>
            <w:r w:rsidRPr="5B67C1D2">
              <w:rPr>
                <w:sz w:val="20"/>
                <w:szCs w:val="20"/>
                <w:vertAlign w:val="superscript"/>
              </w:rPr>
              <w:footnoteReference w:id="750"/>
            </w:r>
            <w:r w:rsidRPr="5B67C1D2">
              <w:rPr>
                <w:sz w:val="20"/>
                <w:szCs w:val="20"/>
              </w:rPr>
              <w:t>), auch ausgedrückt im Verbot von Monopolen. Doch wie lautet die Herleitung dafür? Zunächst müsse jeder Einzelne das Recht haben, ungehindert nach Glück streben zu können. Dieses Streben könnten nur gleiche, gerechte und unparteiische Gesetze beschränken („</w:t>
            </w:r>
            <w:proofErr w:type="spellStart"/>
            <w:r w:rsidRPr="5B67C1D2">
              <w:rPr>
                <w:sz w:val="20"/>
                <w:szCs w:val="20"/>
              </w:rPr>
              <w:t>civil</w:t>
            </w:r>
            <w:proofErr w:type="spellEnd"/>
            <w:r w:rsidRPr="5B67C1D2">
              <w:rPr>
                <w:sz w:val="20"/>
                <w:szCs w:val="20"/>
              </w:rPr>
              <w:t xml:space="preserve"> </w:t>
            </w:r>
            <w:proofErr w:type="spellStart"/>
            <w:r w:rsidRPr="5B67C1D2">
              <w:rPr>
                <w:sz w:val="20"/>
                <w:szCs w:val="20"/>
              </w:rPr>
              <w:t>liberty</w:t>
            </w:r>
            <w:proofErr w:type="spellEnd"/>
            <w:r w:rsidRPr="5B67C1D2">
              <w:rPr>
                <w:sz w:val="20"/>
                <w:szCs w:val="20"/>
              </w:rPr>
              <w:t xml:space="preserve">. </w:t>
            </w:r>
            <w:r w:rsidRPr="5B67C1D2">
              <w:rPr>
                <w:sz w:val="20"/>
                <w:szCs w:val="20"/>
                <w:lang w:val="en-US"/>
              </w:rPr>
              <w:t xml:space="preserve">That exists only where every individual has the power to pursue his own happiness according to his own views, unrestrained, except by equal, just, and impartial </w:t>
            </w:r>
            <w:proofErr w:type="gramStart"/>
            <w:r w:rsidRPr="5B67C1D2">
              <w:rPr>
                <w:sz w:val="20"/>
                <w:szCs w:val="20"/>
                <w:lang w:val="en-US"/>
              </w:rPr>
              <w:t>laws.“</w:t>
            </w:r>
            <w:proofErr w:type="gramEnd"/>
            <w:r w:rsidRPr="5B67C1D2">
              <w:rPr>
                <w:sz w:val="20"/>
                <w:szCs w:val="20"/>
                <w:vertAlign w:val="superscript"/>
              </w:rPr>
              <w:footnoteReference w:id="751"/>
            </w:r>
            <w:r w:rsidRPr="5B67C1D2">
              <w:rPr>
                <w:sz w:val="20"/>
                <w:szCs w:val="20"/>
              </w:rPr>
              <w:t>). Und ein Ausfluss dieser bürgerlichen Freiheiten sei die Handels- und Wirtschaftsfreiheit („</w:t>
            </w:r>
            <w:proofErr w:type="spellStart"/>
            <w:r w:rsidRPr="5B67C1D2">
              <w:rPr>
                <w:sz w:val="20"/>
                <w:szCs w:val="20"/>
              </w:rPr>
              <w:t>entire</w:t>
            </w:r>
            <w:proofErr w:type="spellEnd"/>
            <w:r w:rsidRPr="5B67C1D2">
              <w:rPr>
                <w:sz w:val="20"/>
                <w:szCs w:val="20"/>
              </w:rPr>
              <w:t xml:space="preserve"> trade and </w:t>
            </w:r>
            <w:proofErr w:type="spellStart"/>
            <w:r w:rsidRPr="5B67C1D2">
              <w:rPr>
                <w:sz w:val="20"/>
                <w:szCs w:val="20"/>
              </w:rPr>
              <w:t>business</w:t>
            </w:r>
            <w:proofErr w:type="spellEnd"/>
            <w:r w:rsidRPr="5B67C1D2">
              <w:rPr>
                <w:sz w:val="20"/>
                <w:szCs w:val="20"/>
              </w:rPr>
              <w:t>“</w:t>
            </w:r>
            <w:r w:rsidRPr="5B67C1D2">
              <w:rPr>
                <w:sz w:val="20"/>
                <w:szCs w:val="20"/>
                <w:vertAlign w:val="superscript"/>
              </w:rPr>
              <w:footnoteReference w:id="752"/>
            </w:r>
            <w:r w:rsidRPr="5B67C1D2">
              <w:rPr>
                <w:sz w:val="20"/>
                <w:szCs w:val="20"/>
              </w:rPr>
              <w:t>). Diese schränkten Monopole ein. Denn Gesetze, die solche Monopole förderten, seien eben nicht gleich, gerecht und unparteiisch („</w:t>
            </w:r>
            <w:proofErr w:type="spellStart"/>
            <w:r w:rsidRPr="5B67C1D2">
              <w:rPr>
                <w:sz w:val="20"/>
                <w:szCs w:val="20"/>
              </w:rPr>
              <w:t>equal</w:t>
            </w:r>
            <w:proofErr w:type="spellEnd"/>
            <w:r w:rsidRPr="5B67C1D2">
              <w:rPr>
                <w:sz w:val="20"/>
                <w:szCs w:val="20"/>
              </w:rPr>
              <w:t xml:space="preserve">, just, and </w:t>
            </w:r>
            <w:proofErr w:type="spellStart"/>
            <w:r w:rsidRPr="5B67C1D2">
              <w:rPr>
                <w:sz w:val="20"/>
                <w:szCs w:val="20"/>
              </w:rPr>
              <w:t>impartial</w:t>
            </w:r>
            <w:proofErr w:type="spellEnd"/>
            <w:r w:rsidRPr="5B67C1D2">
              <w:rPr>
                <w:sz w:val="20"/>
                <w:szCs w:val="20"/>
              </w:rPr>
              <w:t xml:space="preserve"> </w:t>
            </w:r>
            <w:proofErr w:type="spellStart"/>
            <w:r w:rsidRPr="5B67C1D2">
              <w:rPr>
                <w:sz w:val="20"/>
                <w:szCs w:val="20"/>
              </w:rPr>
              <w:t>laws</w:t>
            </w:r>
            <w:proofErr w:type="spellEnd"/>
            <w:r w:rsidRPr="5B67C1D2">
              <w:rPr>
                <w:sz w:val="20"/>
                <w:szCs w:val="20"/>
              </w:rPr>
              <w:t>“</w:t>
            </w:r>
            <w:r w:rsidRPr="5B67C1D2">
              <w:rPr>
                <w:sz w:val="20"/>
                <w:szCs w:val="20"/>
                <w:vertAlign w:val="superscript"/>
              </w:rPr>
              <w:footnoteReference w:id="753"/>
            </w:r>
            <w:r w:rsidRPr="5B67C1D2">
              <w:rPr>
                <w:sz w:val="20"/>
                <w:szCs w:val="20"/>
              </w:rPr>
              <w:t>). Das wäre aber eine nötige Voraussetzung, um das Streben nach Glück einzuschränken.</w:t>
            </w:r>
          </w:p>
          <w:p w14:paraId="7867E14D" w14:textId="77777777" w:rsidR="00074551" w:rsidRPr="00F659BE" w:rsidRDefault="00074551" w:rsidP="00367133">
            <w:pPr>
              <w:rPr>
                <w:sz w:val="20"/>
                <w:szCs w:val="20"/>
              </w:rPr>
            </w:pPr>
          </w:p>
          <w:p w14:paraId="443B38CA" w14:textId="103A902D" w:rsidR="00074551" w:rsidRDefault="00074551" w:rsidP="00367133">
            <w:pPr>
              <w:rPr>
                <w:sz w:val="20"/>
                <w:szCs w:val="20"/>
                <w:vertAlign w:val="superscript"/>
              </w:rPr>
            </w:pPr>
            <w:r w:rsidRPr="00F659BE">
              <w:rPr>
                <w:sz w:val="20"/>
                <w:szCs w:val="20"/>
              </w:rPr>
              <w:t xml:space="preserve">Und wie binden sich diese Rechtsprechungselemente an die </w:t>
            </w:r>
            <w:r>
              <w:rPr>
                <w:sz w:val="20"/>
                <w:szCs w:val="20"/>
              </w:rPr>
              <w:t>U.S.</w:t>
            </w:r>
            <w:r w:rsidRPr="00F659BE">
              <w:rPr>
                <w:sz w:val="20"/>
                <w:szCs w:val="20"/>
              </w:rPr>
              <w:t xml:space="preserve"> </w:t>
            </w:r>
            <w:proofErr w:type="spellStart"/>
            <w:r w:rsidRPr="00F659BE">
              <w:rPr>
                <w:sz w:val="20"/>
                <w:szCs w:val="20"/>
              </w:rPr>
              <w:t>Const</w:t>
            </w:r>
            <w:proofErr w:type="spellEnd"/>
            <w:r w:rsidRPr="00F659BE">
              <w:rPr>
                <w:sz w:val="20"/>
                <w:szCs w:val="20"/>
              </w:rPr>
              <w:t xml:space="preserve">., </w:t>
            </w:r>
            <w:r>
              <w:rPr>
                <w:sz w:val="20"/>
                <w:szCs w:val="20"/>
              </w:rPr>
              <w:t>mit anderen Worten – w</w:t>
            </w:r>
            <w:r w:rsidRPr="00F659BE">
              <w:rPr>
                <w:sz w:val="20"/>
                <w:szCs w:val="20"/>
              </w:rPr>
              <w:t xml:space="preserve">as ist der normative Anker? Sie binden sich an die Zielsetzung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659BE">
              <w:rPr>
                <w:sz w:val="20"/>
                <w:szCs w:val="20"/>
              </w:rPr>
              <w:t xml:space="preserve">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F659BE">
              <w:rPr>
                <w:sz w:val="20"/>
                <w:szCs w:val="20"/>
              </w:rPr>
              <w:t xml:space="preserve"> meint,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659BE">
              <w:rPr>
                <w:sz w:val="20"/>
                <w:szCs w:val="20"/>
              </w:rPr>
              <w:t xml:space="preserve"> darauf ziele, diskriminierende Gesetze zu verhindern. Diese Gesetze zeig</w:t>
            </w:r>
            <w:r>
              <w:rPr>
                <w:sz w:val="20"/>
                <w:szCs w:val="20"/>
              </w:rPr>
              <w:t>t</w:t>
            </w:r>
            <w:r w:rsidRPr="00F659BE">
              <w:rPr>
                <w:sz w:val="20"/>
                <w:szCs w:val="20"/>
              </w:rPr>
              <w:t>en sich daran, dass sie zugunsten nur einiger und zum Nachteil anderer wirk</w:t>
            </w:r>
            <w:r>
              <w:rPr>
                <w:sz w:val="20"/>
                <w:szCs w:val="20"/>
              </w:rPr>
              <w:t>t</w:t>
            </w:r>
            <w:r w:rsidRPr="00F659BE">
              <w:rPr>
                <w:sz w:val="20"/>
                <w:szCs w:val="20"/>
              </w:rPr>
              <w:t xml:space="preserve">en, </w:t>
            </w:r>
            <w:r>
              <w:rPr>
                <w:sz w:val="20"/>
                <w:szCs w:val="20"/>
              </w:rPr>
              <w:t>z.B.</w:t>
            </w:r>
            <w:r w:rsidRPr="00F659BE">
              <w:rPr>
                <w:sz w:val="20"/>
                <w:szCs w:val="20"/>
              </w:rPr>
              <w:t xml:space="preserve"> Gesetze, die Monopole befördern. Doch woher stammt diese nicht aus dem Wortlaut abzuleitende Zielsetzung? Aus den Erwägungen des Gesetzgebers zum Amendment: Es soll</w:t>
            </w:r>
            <w:r>
              <w:rPr>
                <w:sz w:val="20"/>
                <w:szCs w:val="20"/>
              </w:rPr>
              <w:t>e</w:t>
            </w:r>
            <w:r w:rsidRPr="00F659BE">
              <w:rPr>
                <w:sz w:val="20"/>
                <w:szCs w:val="20"/>
              </w:rPr>
              <w:t xml:space="preserve"> </w:t>
            </w:r>
            <w:r>
              <w:rPr>
                <w:sz w:val="20"/>
                <w:szCs w:val="20"/>
              </w:rPr>
              <w:t>dafür sorgen</w:t>
            </w:r>
            <w:r w:rsidRPr="00F659BE">
              <w:rPr>
                <w:sz w:val="20"/>
                <w:szCs w:val="20"/>
              </w:rPr>
              <w:t>, dass staatliche Eingriffe nicht willkürlich s</w:t>
            </w:r>
            <w:r>
              <w:rPr>
                <w:sz w:val="20"/>
                <w:szCs w:val="20"/>
              </w:rPr>
              <w:t>ind</w:t>
            </w:r>
            <w:r w:rsidRPr="00F659BE">
              <w:rPr>
                <w:sz w:val="20"/>
                <w:szCs w:val="20"/>
              </w:rPr>
              <w:t xml:space="preserve">, </w:t>
            </w:r>
            <w:r>
              <w:rPr>
                <w:sz w:val="20"/>
                <w:szCs w:val="20"/>
              </w:rPr>
              <w:t>z.B.</w:t>
            </w:r>
            <w:r w:rsidRPr="00F659BE">
              <w:rPr>
                <w:sz w:val="20"/>
                <w:szCs w:val="20"/>
              </w:rPr>
              <w:t xml:space="preserve"> nicht willkürlich die Persönlichkeitsrechte und die Eigentumsfreiheit verletzen. Denn mit dem Amendment wird </w:t>
            </w:r>
            <w:r>
              <w:rPr>
                <w:sz w:val="20"/>
                <w:szCs w:val="20"/>
              </w:rPr>
              <w:t>u.a.</w:t>
            </w:r>
            <w:r w:rsidRPr="00F659BE">
              <w:rPr>
                <w:sz w:val="20"/>
                <w:szCs w:val="20"/>
              </w:rPr>
              <w:t xml:space="preserve"> das Recht gesichert, sein Glück erst einmal ungehindert verfolgen zu können („The </w:t>
            </w:r>
            <w:proofErr w:type="spellStart"/>
            <w:r w:rsidRPr="00F659BE">
              <w:rPr>
                <w:sz w:val="20"/>
                <w:szCs w:val="20"/>
              </w:rPr>
              <w:t>principal</w:t>
            </w:r>
            <w:proofErr w:type="spellEnd"/>
            <w:r w:rsidRPr="00F659BE">
              <w:rPr>
                <w:sz w:val="20"/>
                <w:szCs w:val="20"/>
              </w:rPr>
              <w:t xml:space="preserve">, </w:t>
            </w:r>
            <w:proofErr w:type="spellStart"/>
            <w:r w:rsidRPr="00F659BE">
              <w:rPr>
                <w:sz w:val="20"/>
                <w:szCs w:val="20"/>
              </w:rPr>
              <w:t>if</w:t>
            </w:r>
            <w:proofErr w:type="spellEnd"/>
            <w:r w:rsidRPr="00F659BE">
              <w:rPr>
                <w:sz w:val="20"/>
                <w:szCs w:val="20"/>
              </w:rPr>
              <w:t xml:space="preserve"> not the </w:t>
            </w:r>
            <w:proofErr w:type="spellStart"/>
            <w:r w:rsidRPr="00F659BE">
              <w:rPr>
                <w:sz w:val="20"/>
                <w:szCs w:val="20"/>
              </w:rPr>
              <w:t>sole</w:t>
            </w:r>
            <w:proofErr w:type="spellEnd"/>
            <w:r w:rsidRPr="00F659BE">
              <w:rPr>
                <w:sz w:val="20"/>
                <w:szCs w:val="20"/>
              </w:rPr>
              <w:t xml:space="preserve">, </w:t>
            </w:r>
            <w:proofErr w:type="spellStart"/>
            <w:r w:rsidRPr="00F659BE">
              <w:rPr>
                <w:sz w:val="20"/>
                <w:szCs w:val="20"/>
              </w:rPr>
              <w:t>purpose</w:t>
            </w:r>
            <w:proofErr w:type="spellEnd"/>
            <w:r w:rsidRPr="00F659BE">
              <w:rPr>
                <w:sz w:val="20"/>
                <w:szCs w:val="20"/>
              </w:rPr>
              <w:t xml:space="preserve"> of </w:t>
            </w:r>
            <w:proofErr w:type="spellStart"/>
            <w:r w:rsidRPr="00F659BE">
              <w:rPr>
                <w:sz w:val="20"/>
                <w:szCs w:val="20"/>
              </w:rPr>
              <w:t>its</w:t>
            </w:r>
            <w:proofErr w:type="spellEnd"/>
            <w:r w:rsidRPr="00F659BE">
              <w:rPr>
                <w:sz w:val="20"/>
                <w:szCs w:val="20"/>
              </w:rPr>
              <w:t xml:space="preserve"> </w:t>
            </w:r>
            <w:proofErr w:type="spellStart"/>
            <w:r w:rsidRPr="00F659BE">
              <w:rPr>
                <w:sz w:val="20"/>
                <w:szCs w:val="20"/>
              </w:rPr>
              <w:t>prohibitions</w:t>
            </w:r>
            <w:proofErr w:type="spellEnd"/>
            <w:r w:rsidRPr="00F659BE">
              <w:rPr>
                <w:sz w:val="20"/>
                <w:szCs w:val="20"/>
              </w:rPr>
              <w:t xml:space="preserve"> </w:t>
            </w:r>
            <w:proofErr w:type="spellStart"/>
            <w:r w:rsidRPr="00F659BE">
              <w:rPr>
                <w:sz w:val="20"/>
                <w:szCs w:val="20"/>
              </w:rPr>
              <w:t>is</w:t>
            </w:r>
            <w:proofErr w:type="spellEnd"/>
            <w:r w:rsidRPr="00F659BE">
              <w:rPr>
                <w:sz w:val="20"/>
                <w:szCs w:val="20"/>
              </w:rPr>
              <w:t xml:space="preserve"> to </w:t>
            </w:r>
            <w:proofErr w:type="spellStart"/>
            <w:r w:rsidRPr="00F659BE">
              <w:rPr>
                <w:sz w:val="20"/>
                <w:szCs w:val="20"/>
              </w:rPr>
              <w:t>prevent</w:t>
            </w:r>
            <w:proofErr w:type="spellEnd"/>
            <w:r w:rsidRPr="00F659BE">
              <w:rPr>
                <w:sz w:val="20"/>
                <w:szCs w:val="20"/>
              </w:rPr>
              <w:t xml:space="preserve"> </w:t>
            </w:r>
            <w:proofErr w:type="spellStart"/>
            <w:r w:rsidRPr="00F659BE">
              <w:rPr>
                <w:sz w:val="20"/>
                <w:szCs w:val="20"/>
              </w:rPr>
              <w:t>any</w:t>
            </w:r>
            <w:proofErr w:type="spellEnd"/>
            <w:r w:rsidRPr="00F659BE">
              <w:rPr>
                <w:sz w:val="20"/>
                <w:szCs w:val="20"/>
              </w:rPr>
              <w:t xml:space="preserve"> </w:t>
            </w:r>
            <w:proofErr w:type="spellStart"/>
            <w:r w:rsidRPr="00F659BE">
              <w:rPr>
                <w:sz w:val="20"/>
                <w:szCs w:val="20"/>
              </w:rPr>
              <w:t>arbitrary</w:t>
            </w:r>
            <w:proofErr w:type="spellEnd"/>
            <w:r w:rsidRPr="00F659BE">
              <w:rPr>
                <w:sz w:val="20"/>
                <w:szCs w:val="20"/>
              </w:rPr>
              <w:t xml:space="preserve"> </w:t>
            </w:r>
            <w:proofErr w:type="spellStart"/>
            <w:r w:rsidRPr="00F659BE">
              <w:rPr>
                <w:sz w:val="20"/>
                <w:szCs w:val="20"/>
              </w:rPr>
              <w:t>invasion</w:t>
            </w:r>
            <w:proofErr w:type="spellEnd"/>
            <w:r w:rsidRPr="00F659BE">
              <w:rPr>
                <w:sz w:val="20"/>
                <w:szCs w:val="20"/>
              </w:rPr>
              <w:t xml:space="preserve"> by State </w:t>
            </w:r>
            <w:proofErr w:type="spellStart"/>
            <w:r w:rsidRPr="00F659BE">
              <w:rPr>
                <w:sz w:val="20"/>
                <w:szCs w:val="20"/>
              </w:rPr>
              <w:t>authority</w:t>
            </w:r>
            <w:proofErr w:type="spellEnd"/>
            <w:r w:rsidRPr="00F659BE">
              <w:rPr>
                <w:sz w:val="20"/>
                <w:szCs w:val="20"/>
              </w:rPr>
              <w:t xml:space="preserve"> of the </w:t>
            </w:r>
            <w:proofErr w:type="spellStart"/>
            <w:r w:rsidRPr="00F659BE">
              <w:rPr>
                <w:sz w:val="20"/>
                <w:szCs w:val="20"/>
              </w:rPr>
              <w:t>rights</w:t>
            </w:r>
            <w:proofErr w:type="spellEnd"/>
            <w:r w:rsidRPr="00F659BE">
              <w:rPr>
                <w:sz w:val="20"/>
                <w:szCs w:val="20"/>
              </w:rPr>
              <w:t xml:space="preserve"> of </w:t>
            </w:r>
            <w:proofErr w:type="spellStart"/>
            <w:r w:rsidRPr="00F659BE">
              <w:rPr>
                <w:sz w:val="20"/>
                <w:szCs w:val="20"/>
              </w:rPr>
              <w:t>person</w:t>
            </w:r>
            <w:proofErr w:type="spellEnd"/>
            <w:r w:rsidRPr="00F659BE">
              <w:rPr>
                <w:sz w:val="20"/>
                <w:szCs w:val="20"/>
              </w:rPr>
              <w:t xml:space="preserve"> and </w:t>
            </w:r>
            <w:proofErr w:type="spellStart"/>
            <w:r w:rsidRPr="00F659BE">
              <w:rPr>
                <w:sz w:val="20"/>
                <w:szCs w:val="20"/>
              </w:rPr>
              <w:t>property</w:t>
            </w:r>
            <w:proofErr w:type="spellEnd"/>
            <w:r w:rsidRPr="00F659BE">
              <w:rPr>
                <w:sz w:val="20"/>
                <w:szCs w:val="20"/>
              </w:rPr>
              <w:t xml:space="preserve">, and to </w:t>
            </w:r>
            <w:proofErr w:type="spellStart"/>
            <w:r w:rsidRPr="00F659BE">
              <w:rPr>
                <w:sz w:val="20"/>
                <w:szCs w:val="20"/>
              </w:rPr>
              <w:t>secure</w:t>
            </w:r>
            <w:proofErr w:type="spellEnd"/>
            <w:r w:rsidRPr="00F659BE">
              <w:rPr>
                <w:sz w:val="20"/>
                <w:szCs w:val="20"/>
              </w:rPr>
              <w:t xml:space="preserve"> to </w:t>
            </w:r>
            <w:proofErr w:type="spellStart"/>
            <w:r w:rsidRPr="00F659BE">
              <w:rPr>
                <w:sz w:val="20"/>
                <w:szCs w:val="20"/>
              </w:rPr>
              <w:t>every</w:t>
            </w:r>
            <w:proofErr w:type="spellEnd"/>
            <w:r w:rsidRPr="00F659BE">
              <w:rPr>
                <w:sz w:val="20"/>
                <w:szCs w:val="20"/>
              </w:rPr>
              <w:t xml:space="preserve"> </w:t>
            </w:r>
            <w:proofErr w:type="spellStart"/>
            <w:r w:rsidRPr="00F659BE">
              <w:rPr>
                <w:sz w:val="20"/>
                <w:szCs w:val="20"/>
              </w:rPr>
              <w:t>one</w:t>
            </w:r>
            <w:proofErr w:type="spellEnd"/>
            <w:r w:rsidRPr="00F659BE">
              <w:rPr>
                <w:sz w:val="20"/>
                <w:szCs w:val="20"/>
              </w:rPr>
              <w:t xml:space="preserve"> the </w:t>
            </w:r>
            <w:proofErr w:type="spellStart"/>
            <w:r w:rsidRPr="00F659BE">
              <w:rPr>
                <w:sz w:val="20"/>
                <w:szCs w:val="20"/>
              </w:rPr>
              <w:t>right</w:t>
            </w:r>
            <w:proofErr w:type="spellEnd"/>
            <w:r w:rsidRPr="00F659BE">
              <w:rPr>
                <w:sz w:val="20"/>
                <w:szCs w:val="20"/>
              </w:rPr>
              <w:t xml:space="preserve"> to </w:t>
            </w:r>
            <w:proofErr w:type="spellStart"/>
            <w:r w:rsidRPr="00F659BE">
              <w:rPr>
                <w:sz w:val="20"/>
                <w:szCs w:val="20"/>
              </w:rPr>
              <w:t>pursue</w:t>
            </w:r>
            <w:proofErr w:type="spellEnd"/>
            <w:r w:rsidRPr="00F659BE">
              <w:rPr>
                <w:sz w:val="20"/>
                <w:szCs w:val="20"/>
              </w:rPr>
              <w:t xml:space="preserve"> </w:t>
            </w:r>
            <w:proofErr w:type="spellStart"/>
            <w:r w:rsidRPr="00F659BE">
              <w:rPr>
                <w:sz w:val="20"/>
                <w:szCs w:val="20"/>
              </w:rPr>
              <w:t>his</w:t>
            </w:r>
            <w:proofErr w:type="spellEnd"/>
            <w:r w:rsidRPr="00F659BE">
              <w:rPr>
                <w:sz w:val="20"/>
                <w:szCs w:val="20"/>
              </w:rPr>
              <w:t xml:space="preserve"> </w:t>
            </w:r>
            <w:proofErr w:type="spellStart"/>
            <w:r w:rsidRPr="00F659BE">
              <w:rPr>
                <w:sz w:val="20"/>
                <w:szCs w:val="20"/>
              </w:rPr>
              <w:t>happiness</w:t>
            </w:r>
            <w:proofErr w:type="spellEnd"/>
            <w:r w:rsidRPr="00F659BE">
              <w:rPr>
                <w:sz w:val="20"/>
                <w:szCs w:val="20"/>
              </w:rPr>
              <w:t>”</w:t>
            </w:r>
            <w:r w:rsidRPr="00F659BE">
              <w:rPr>
                <w:sz w:val="20"/>
                <w:szCs w:val="20"/>
                <w:vertAlign w:val="superscript"/>
                <w:lang w:val="en-US"/>
              </w:rPr>
              <w:footnoteReference w:id="754"/>
            </w:r>
            <w:r w:rsidRPr="00F659BE">
              <w:rPr>
                <w:sz w:val="20"/>
                <w:szCs w:val="20"/>
              </w:rPr>
              <w:t>); die Einschränkungsmöglichkeit auch hier: gerechte, gleiche und unparteiische Gesetze.</w:t>
            </w:r>
            <w:r w:rsidRPr="00F659BE">
              <w:rPr>
                <w:sz w:val="20"/>
                <w:szCs w:val="20"/>
                <w:vertAlign w:val="superscript"/>
              </w:rPr>
              <w:t xml:space="preserve"> </w:t>
            </w:r>
            <w:r w:rsidRPr="00F659BE">
              <w:rPr>
                <w:sz w:val="20"/>
                <w:szCs w:val="20"/>
                <w:vertAlign w:val="superscript"/>
                <w:lang w:val="en-US"/>
              </w:rPr>
              <w:footnoteReference w:id="755"/>
            </w:r>
          </w:p>
          <w:p w14:paraId="2EFE73ED" w14:textId="77777777" w:rsidR="00074551" w:rsidRPr="00F659BE" w:rsidRDefault="00074551" w:rsidP="00367133">
            <w:pPr>
              <w:rPr>
                <w:sz w:val="20"/>
                <w:szCs w:val="20"/>
                <w:vertAlign w:val="superscript"/>
              </w:rPr>
            </w:pPr>
          </w:p>
          <w:p w14:paraId="09AAFA66" w14:textId="77777777" w:rsidR="00074551" w:rsidRDefault="00074551" w:rsidP="00367133">
            <w:pPr>
              <w:jc w:val="both"/>
              <w:rPr>
                <w:sz w:val="20"/>
                <w:szCs w:val="20"/>
              </w:rPr>
            </w:pPr>
            <w:r w:rsidRPr="00F659BE">
              <w:rPr>
                <w:sz w:val="20"/>
                <w:szCs w:val="20"/>
              </w:rPr>
              <w:t xml:space="preserve">Wie bindet sich dieser normative Anker an die Freiheit auf ein Streben nach Glück – </w:t>
            </w:r>
            <w:r>
              <w:rPr>
                <w:sz w:val="20"/>
                <w:szCs w:val="20"/>
              </w:rPr>
              <w:t>z.B.</w:t>
            </w:r>
            <w:r w:rsidRPr="00F659BE">
              <w:rPr>
                <w:sz w:val="20"/>
                <w:szCs w:val="20"/>
              </w:rPr>
              <w:t xml:space="preserve"> ausgedrückt als Berufsausübungsfreiheit – konkret? Mit den Vorrechten der Bürger der Vereinigten Staaten. Denn </w:t>
            </w:r>
            <w:r>
              <w:rPr>
                <w:sz w:val="20"/>
                <w:szCs w:val="20"/>
              </w:rPr>
              <w:t xml:space="preserve">in </w:t>
            </w:r>
            <w:r w:rsidRPr="00F659BE">
              <w:rPr>
                <w:sz w:val="20"/>
                <w:szCs w:val="20"/>
              </w:rPr>
              <w:t xml:space="preserve">den </w:t>
            </w:r>
            <w:r w:rsidRPr="5B67C1D2">
              <w:rPr>
                <w:i/>
                <w:iCs/>
                <w:sz w:val="20"/>
                <w:szCs w:val="20"/>
              </w:rPr>
              <w:t>Slaughter-House Cases</w:t>
            </w:r>
            <w:r w:rsidRPr="00F659BE">
              <w:rPr>
                <w:sz w:val="20"/>
                <w:szCs w:val="20"/>
                <w:vertAlign w:val="superscript"/>
              </w:rPr>
              <w:footnoteReference w:id="756"/>
            </w:r>
            <w:r w:rsidRPr="00F659BE">
              <w:rPr>
                <w:sz w:val="20"/>
                <w:szCs w:val="20"/>
              </w:rPr>
              <w:t xml:space="preserve"> entschied der </w:t>
            </w:r>
            <w:r>
              <w:rPr>
                <w:sz w:val="20"/>
                <w:szCs w:val="20"/>
              </w:rPr>
              <w:t>U.S. Supreme Court</w:t>
            </w:r>
            <w:r w:rsidRPr="00F659BE">
              <w:rPr>
                <w:sz w:val="20"/>
                <w:szCs w:val="20"/>
              </w:rPr>
              <w:t xml:space="preserve">, dass die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659BE">
              <w:rPr>
                <w:sz w:val="20"/>
                <w:szCs w:val="20"/>
              </w:rPr>
              <w:t xml:space="preserve"> erwähnten Vorrechte und Immunitäten der Bürger der Vereinigten Staaten nur bestimmte </w:t>
            </w:r>
            <w:r w:rsidRPr="00F659BE">
              <w:rPr>
                <w:sz w:val="20"/>
                <w:szCs w:val="20"/>
              </w:rPr>
              <w:lastRenderedPageBreak/>
              <w:t xml:space="preserve">seien. Nämlich nur diejenigen, die die </w:t>
            </w:r>
            <w:r>
              <w:rPr>
                <w:sz w:val="20"/>
                <w:szCs w:val="20"/>
              </w:rPr>
              <w:t>U.S.</w:t>
            </w:r>
            <w:r w:rsidRPr="00F659BE">
              <w:rPr>
                <w:sz w:val="20"/>
                <w:szCs w:val="20"/>
              </w:rPr>
              <w:t xml:space="preserve"> </w:t>
            </w:r>
            <w:proofErr w:type="spellStart"/>
            <w:r w:rsidRPr="00F659BE">
              <w:rPr>
                <w:sz w:val="20"/>
                <w:szCs w:val="20"/>
              </w:rPr>
              <w:t>Const</w:t>
            </w:r>
            <w:proofErr w:type="spellEnd"/>
            <w:r w:rsidRPr="00F659BE">
              <w:rPr>
                <w:sz w:val="20"/>
                <w:szCs w:val="20"/>
              </w:rPr>
              <w:t xml:space="preserve">. schaffe und </w:t>
            </w:r>
            <w:r>
              <w:rPr>
                <w:sz w:val="20"/>
                <w:szCs w:val="20"/>
              </w:rPr>
              <w:t xml:space="preserve">die </w:t>
            </w:r>
            <w:r w:rsidRPr="00F659BE">
              <w:rPr>
                <w:sz w:val="20"/>
                <w:szCs w:val="20"/>
              </w:rPr>
              <w:t>aus ihr oder aus den in ihrem Rahmen erlassenen Gesetzen hervorgehen. Aber diese müss</w:t>
            </w:r>
            <w:r>
              <w:rPr>
                <w:sz w:val="20"/>
                <w:szCs w:val="20"/>
              </w:rPr>
              <w:t>t</w:t>
            </w:r>
            <w:r w:rsidRPr="00F659BE">
              <w:rPr>
                <w:sz w:val="20"/>
                <w:szCs w:val="20"/>
              </w:rPr>
              <w:t xml:space="preserve">en weit verstanden werden;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F659BE">
              <w:rPr>
                <w:sz w:val="20"/>
                <w:szCs w:val="20"/>
              </w:rPr>
              <w:t xml:space="preserve"> führt entsprechend aus: Diese grundlegenden Vorrechte und Immunitäten seien diejenigen, die im Wesentlichen Bürgern jeder freien Regierung </w:t>
            </w:r>
            <w:r>
              <w:rPr>
                <w:sz w:val="20"/>
                <w:szCs w:val="20"/>
              </w:rPr>
              <w:t>zustünden</w:t>
            </w:r>
            <w:r w:rsidRPr="00F659BE">
              <w:rPr>
                <w:sz w:val="20"/>
                <w:szCs w:val="20"/>
              </w:rPr>
              <w:t xml:space="preserve">. Als Leitgedanke für die Wesentlichkeit verstehe Richter </w:t>
            </w:r>
            <w:r w:rsidRPr="5B67C1D2">
              <w:rPr>
                <w:i/>
                <w:iCs/>
                <w:sz w:val="20"/>
                <w:szCs w:val="20"/>
              </w:rPr>
              <w:t>Washington</w:t>
            </w:r>
            <w:r w:rsidRPr="00F659BE">
              <w:rPr>
                <w:sz w:val="20"/>
                <w:szCs w:val="20"/>
              </w:rPr>
              <w:t xml:space="preserve"> </w:t>
            </w:r>
            <w:r>
              <w:rPr>
                <w:sz w:val="20"/>
                <w:szCs w:val="20"/>
              </w:rPr>
              <w:t>u.a.</w:t>
            </w:r>
            <w:r w:rsidRPr="00F659BE">
              <w:rPr>
                <w:sz w:val="20"/>
                <w:szCs w:val="20"/>
              </w:rPr>
              <w:t xml:space="preserve"> das Recht, Glück und Sicherheit verfolgen und erlangen zu können.</w:t>
            </w:r>
            <w:r w:rsidRPr="00F659BE">
              <w:rPr>
                <w:sz w:val="20"/>
                <w:szCs w:val="20"/>
                <w:vertAlign w:val="superscript"/>
              </w:rPr>
              <w:footnoteReference w:id="757"/>
            </w:r>
            <w:r w:rsidRPr="00F659BE">
              <w:rPr>
                <w:sz w:val="20"/>
                <w:szCs w:val="20"/>
              </w:rPr>
              <w:t xml:space="preserve"> Diese Rechte </w:t>
            </w:r>
            <w:r>
              <w:rPr>
                <w:sz w:val="20"/>
                <w:szCs w:val="20"/>
              </w:rPr>
              <w:t>könne</w:t>
            </w:r>
            <w:r w:rsidRPr="00F659BE">
              <w:rPr>
                <w:sz w:val="20"/>
                <w:szCs w:val="20"/>
              </w:rPr>
              <w:t xml:space="preserve"> der Staat nur unter erheblicher Rechtfertigungslast einschränken, anders als die konkreten Rechte, die er nicht qualifiziert einschränken müsse („These </w:t>
            </w:r>
            <w:proofErr w:type="spellStart"/>
            <w:r w:rsidRPr="00F659BE">
              <w:rPr>
                <w:sz w:val="20"/>
                <w:szCs w:val="20"/>
              </w:rPr>
              <w:t>rights</w:t>
            </w:r>
            <w:proofErr w:type="spellEnd"/>
            <w:r w:rsidRPr="00F659BE">
              <w:rPr>
                <w:sz w:val="20"/>
                <w:szCs w:val="20"/>
              </w:rPr>
              <w:t xml:space="preserve"> </w:t>
            </w:r>
            <w:proofErr w:type="spellStart"/>
            <w:r w:rsidRPr="00F659BE">
              <w:rPr>
                <w:sz w:val="20"/>
                <w:szCs w:val="20"/>
              </w:rPr>
              <w:t>are</w:t>
            </w:r>
            <w:proofErr w:type="spellEnd"/>
            <w:r w:rsidRPr="00F659BE">
              <w:rPr>
                <w:sz w:val="20"/>
                <w:szCs w:val="20"/>
              </w:rPr>
              <w:t xml:space="preserve"> different </w:t>
            </w:r>
            <w:proofErr w:type="spellStart"/>
            <w:r w:rsidRPr="00F659BE">
              <w:rPr>
                <w:sz w:val="20"/>
                <w:szCs w:val="20"/>
              </w:rPr>
              <w:t>from</w:t>
            </w:r>
            <w:proofErr w:type="spellEnd"/>
            <w:r w:rsidRPr="00F659BE">
              <w:rPr>
                <w:sz w:val="20"/>
                <w:szCs w:val="20"/>
              </w:rPr>
              <w:t xml:space="preserve"> the </w:t>
            </w:r>
            <w:proofErr w:type="spellStart"/>
            <w:r w:rsidRPr="00F659BE">
              <w:rPr>
                <w:sz w:val="20"/>
                <w:szCs w:val="20"/>
              </w:rPr>
              <w:t>concrete</w:t>
            </w:r>
            <w:proofErr w:type="spellEnd"/>
            <w:r w:rsidRPr="00F659BE">
              <w:rPr>
                <w:sz w:val="20"/>
                <w:szCs w:val="20"/>
              </w:rPr>
              <w:t xml:space="preserve"> </w:t>
            </w:r>
            <w:proofErr w:type="spellStart"/>
            <w:r w:rsidRPr="00F659BE">
              <w:rPr>
                <w:sz w:val="20"/>
                <w:szCs w:val="20"/>
              </w:rPr>
              <w:t>rights</w:t>
            </w:r>
            <w:proofErr w:type="spellEnd"/>
            <w:r w:rsidRPr="00F659BE">
              <w:rPr>
                <w:sz w:val="20"/>
                <w:szCs w:val="20"/>
              </w:rPr>
              <w:t xml:space="preserve"> […] </w:t>
            </w:r>
            <w:proofErr w:type="spellStart"/>
            <w:r w:rsidRPr="00F659BE">
              <w:rPr>
                <w:sz w:val="20"/>
                <w:szCs w:val="20"/>
              </w:rPr>
              <w:t>which</w:t>
            </w:r>
            <w:proofErr w:type="spellEnd"/>
            <w:r w:rsidRPr="00F659BE">
              <w:rPr>
                <w:sz w:val="20"/>
                <w:szCs w:val="20"/>
              </w:rPr>
              <w:t xml:space="preserve"> </w:t>
            </w:r>
            <w:proofErr w:type="spellStart"/>
            <w:r w:rsidRPr="00F659BE">
              <w:rPr>
                <w:sz w:val="20"/>
                <w:szCs w:val="20"/>
              </w:rPr>
              <w:t>capacity</w:t>
            </w:r>
            <w:proofErr w:type="spellEnd"/>
            <w:r w:rsidRPr="00F659BE">
              <w:rPr>
                <w:sz w:val="20"/>
                <w:szCs w:val="20"/>
              </w:rPr>
              <w:t xml:space="preserve">, power, </w:t>
            </w:r>
            <w:proofErr w:type="spellStart"/>
            <w:r w:rsidRPr="00F659BE">
              <w:rPr>
                <w:sz w:val="20"/>
                <w:szCs w:val="20"/>
              </w:rPr>
              <w:t>or</w:t>
            </w:r>
            <w:proofErr w:type="spellEnd"/>
            <w:r w:rsidRPr="00F659BE">
              <w:rPr>
                <w:sz w:val="20"/>
                <w:szCs w:val="20"/>
              </w:rPr>
              <w:t xml:space="preserve"> </w:t>
            </w:r>
            <w:proofErr w:type="spellStart"/>
            <w:r w:rsidRPr="00F659BE">
              <w:rPr>
                <w:sz w:val="20"/>
                <w:szCs w:val="20"/>
              </w:rPr>
              <w:t>privilege</w:t>
            </w:r>
            <w:proofErr w:type="spellEnd"/>
            <w:r w:rsidRPr="00F659BE">
              <w:rPr>
                <w:sz w:val="20"/>
                <w:szCs w:val="20"/>
              </w:rPr>
              <w:t xml:space="preserve"> </w:t>
            </w:r>
            <w:proofErr w:type="spellStart"/>
            <w:r w:rsidRPr="00F659BE">
              <w:rPr>
                <w:sz w:val="20"/>
                <w:szCs w:val="20"/>
              </w:rPr>
              <w:t>can</w:t>
            </w:r>
            <w:proofErr w:type="spellEnd"/>
            <w:r w:rsidRPr="00F659BE">
              <w:rPr>
                <w:sz w:val="20"/>
                <w:szCs w:val="20"/>
              </w:rPr>
              <w:t xml:space="preserve"> </w:t>
            </w:r>
            <w:proofErr w:type="spellStart"/>
            <w:r w:rsidRPr="00F659BE">
              <w:rPr>
                <w:sz w:val="20"/>
                <w:szCs w:val="20"/>
              </w:rPr>
              <w:t>only</w:t>
            </w:r>
            <w:proofErr w:type="spellEnd"/>
            <w:r w:rsidRPr="00F659BE">
              <w:rPr>
                <w:sz w:val="20"/>
                <w:szCs w:val="20"/>
              </w:rPr>
              <w:t xml:space="preserve"> </w:t>
            </w:r>
            <w:proofErr w:type="spellStart"/>
            <w:r w:rsidRPr="00F659BE">
              <w:rPr>
                <w:sz w:val="20"/>
                <w:szCs w:val="20"/>
              </w:rPr>
              <w:t>be</w:t>
            </w:r>
            <w:proofErr w:type="spellEnd"/>
            <w:r w:rsidRPr="00F659BE">
              <w:rPr>
                <w:sz w:val="20"/>
                <w:szCs w:val="20"/>
              </w:rPr>
              <w:t xml:space="preserve"> </w:t>
            </w:r>
            <w:proofErr w:type="spellStart"/>
            <w:r w:rsidRPr="00F659BE">
              <w:rPr>
                <w:sz w:val="20"/>
                <w:szCs w:val="20"/>
              </w:rPr>
              <w:t>invaded</w:t>
            </w:r>
            <w:proofErr w:type="spellEnd"/>
            <w:r w:rsidRPr="00F659BE">
              <w:rPr>
                <w:sz w:val="20"/>
                <w:szCs w:val="20"/>
              </w:rPr>
              <w:t xml:space="preserve"> by the State.“</w:t>
            </w:r>
            <w:r w:rsidRPr="00F659BE">
              <w:rPr>
                <w:sz w:val="20"/>
                <w:szCs w:val="20"/>
                <w:vertAlign w:val="superscript"/>
              </w:rPr>
              <w:footnoteReference w:id="758"/>
            </w:r>
            <w:r w:rsidRPr="00F659BE">
              <w:rPr>
                <w:sz w:val="20"/>
                <w:szCs w:val="20"/>
              </w:rPr>
              <w:t>). Dies kann auch als Verweis auf die Schranke der allgemeinen, gerechten und unparteiischen Gesetze verstanden werden.</w:t>
            </w:r>
          </w:p>
          <w:p w14:paraId="72B21D11" w14:textId="26B86F6E" w:rsidR="00A411AC" w:rsidRPr="00BE3728" w:rsidRDefault="00A411AC" w:rsidP="00367133">
            <w:pPr>
              <w:jc w:val="both"/>
              <w:rPr>
                <w:sz w:val="20"/>
                <w:szCs w:val="20"/>
              </w:rPr>
            </w:pPr>
          </w:p>
        </w:tc>
      </w:tr>
      <w:tr w:rsidR="00074551" w:rsidRPr="00E50B51" w14:paraId="2D368DA0" w14:textId="77777777" w:rsidTr="00BE689F">
        <w:trPr>
          <w:cantSplit/>
          <w:trHeight w:val="3175"/>
        </w:trPr>
        <w:tc>
          <w:tcPr>
            <w:tcW w:w="293" w:type="pct"/>
          </w:tcPr>
          <w:p w14:paraId="6D274EDD"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8096EDF"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3CEF1AC8" w14:textId="77777777" w:rsidR="00074551" w:rsidRPr="00B45592" w:rsidRDefault="00074551" w:rsidP="00367133">
            <w:pPr>
              <w:ind w:left="113" w:right="416"/>
              <w:jc w:val="both"/>
              <w:rPr>
                <w:i/>
                <w:sz w:val="20"/>
                <w:szCs w:val="20"/>
                <w:lang w:val="en-US"/>
              </w:rPr>
            </w:pPr>
            <w:r w:rsidRPr="00B45592">
              <w:rPr>
                <w:i/>
                <w:sz w:val="20"/>
                <w:szCs w:val="20"/>
                <w:lang w:val="en-US"/>
              </w:rPr>
              <w:t>Bell’s G. R. Co. v. Pennsylvania</w:t>
            </w:r>
          </w:p>
        </w:tc>
        <w:tc>
          <w:tcPr>
            <w:tcW w:w="197" w:type="pct"/>
            <w:textDirection w:val="tbRl"/>
            <w:vAlign w:val="center"/>
          </w:tcPr>
          <w:p w14:paraId="3BE34638" w14:textId="77777777" w:rsidR="00074551" w:rsidRPr="005D0846" w:rsidRDefault="00074551" w:rsidP="00367133">
            <w:pPr>
              <w:ind w:left="113" w:right="113"/>
              <w:jc w:val="both"/>
              <w:rPr>
                <w:sz w:val="20"/>
                <w:szCs w:val="20"/>
              </w:rPr>
            </w:pPr>
            <w:r w:rsidRPr="00257307">
              <w:rPr>
                <w:sz w:val="20"/>
                <w:szCs w:val="20"/>
              </w:rPr>
              <w:t>134 U.S. 232</w:t>
            </w:r>
          </w:p>
        </w:tc>
        <w:tc>
          <w:tcPr>
            <w:tcW w:w="306" w:type="pct"/>
            <w:textDirection w:val="tbRl"/>
            <w:vAlign w:val="center"/>
          </w:tcPr>
          <w:p w14:paraId="1909AAD6" w14:textId="77777777" w:rsidR="00074551" w:rsidRDefault="00074551" w:rsidP="00367133">
            <w:pPr>
              <w:ind w:left="113" w:right="113"/>
              <w:jc w:val="both"/>
              <w:rPr>
                <w:sz w:val="20"/>
                <w:szCs w:val="20"/>
              </w:rPr>
            </w:pPr>
            <w:r>
              <w:rPr>
                <w:sz w:val="20"/>
                <w:szCs w:val="20"/>
                <w:lang w:val="en-US"/>
              </w:rPr>
              <w:t>3. März 1890</w:t>
            </w:r>
          </w:p>
        </w:tc>
        <w:tc>
          <w:tcPr>
            <w:tcW w:w="401" w:type="pct"/>
          </w:tcPr>
          <w:p w14:paraId="22EB9B13" w14:textId="77777777" w:rsidR="00074551" w:rsidRDefault="00074551" w:rsidP="00367133">
            <w:pPr>
              <w:jc w:val="center"/>
              <w:rPr>
                <w:sz w:val="20"/>
                <w:szCs w:val="20"/>
                <w:lang w:val="en-US"/>
              </w:rPr>
            </w:pPr>
            <w:r>
              <w:rPr>
                <w:sz w:val="20"/>
                <w:szCs w:val="20"/>
                <w:lang w:val="en-US"/>
              </w:rPr>
              <w:t>M</w:t>
            </w:r>
          </w:p>
        </w:tc>
        <w:tc>
          <w:tcPr>
            <w:tcW w:w="1594" w:type="pct"/>
          </w:tcPr>
          <w:p w14:paraId="43A8FEBF" w14:textId="77777777" w:rsidR="00074551" w:rsidRPr="004D07B2" w:rsidRDefault="00074551" w:rsidP="00367133">
            <w:pPr>
              <w:rPr>
                <w:sz w:val="20"/>
                <w:szCs w:val="20"/>
              </w:rPr>
            </w:pPr>
            <w:r>
              <w:rPr>
                <w:sz w:val="20"/>
                <w:szCs w:val="20"/>
              </w:rPr>
              <w:t>*</w:t>
            </w:r>
          </w:p>
          <w:p w14:paraId="4541ACDE" w14:textId="77777777" w:rsidR="00074551" w:rsidRPr="00CE490F" w:rsidRDefault="00074551" w:rsidP="00367133">
            <w:pPr>
              <w:jc w:val="both"/>
              <w:rPr>
                <w:sz w:val="20"/>
                <w:szCs w:val="20"/>
              </w:rPr>
            </w:pPr>
          </w:p>
        </w:tc>
        <w:tc>
          <w:tcPr>
            <w:tcW w:w="1822" w:type="pct"/>
          </w:tcPr>
          <w:p w14:paraId="0391A56E" w14:textId="77777777" w:rsidR="00074551" w:rsidRPr="00B45592" w:rsidRDefault="00074551" w:rsidP="00367133">
            <w:pPr>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Governments › Police Powers</w:t>
            </w:r>
          </w:p>
          <w:p w14:paraId="05842C34" w14:textId="77777777" w:rsidR="00074551" w:rsidRPr="00891183" w:rsidRDefault="00074551" w:rsidP="00367133">
            <w:pPr>
              <w:rPr>
                <w:b/>
                <w:bCs/>
                <w:sz w:val="20"/>
                <w:szCs w:val="20"/>
                <w:lang w:val="en-US"/>
              </w:rPr>
            </w:pPr>
          </w:p>
          <w:p w14:paraId="3AA0860E" w14:textId="01F0F5EC" w:rsidR="00074551" w:rsidRPr="0030780D" w:rsidRDefault="00074551" w:rsidP="00367133">
            <w:pPr>
              <w:rPr>
                <w:sz w:val="20"/>
                <w:szCs w:val="20"/>
              </w:rPr>
            </w:pPr>
            <w:r w:rsidRPr="0030780D">
              <w:rPr>
                <w:sz w:val="20"/>
                <w:szCs w:val="20"/>
                <w:lang w:val="en-US"/>
              </w:rPr>
              <w:t xml:space="preserve">Die </w:t>
            </w:r>
            <w:r w:rsidRPr="5B67C1D2">
              <w:rPr>
                <w:i/>
                <w:iCs/>
                <w:sz w:val="20"/>
                <w:szCs w:val="20"/>
                <w:lang w:val="en-US"/>
              </w:rPr>
              <w:t>majority opinion</w:t>
            </w:r>
            <w:r w:rsidRPr="0030780D">
              <w:rPr>
                <w:sz w:val="20"/>
                <w:szCs w:val="20"/>
                <w:lang w:val="en-US"/>
              </w:rPr>
              <w:t xml:space="preserve"> </w:t>
            </w:r>
            <w:proofErr w:type="spellStart"/>
            <w:r w:rsidRPr="0030780D">
              <w:rPr>
                <w:sz w:val="20"/>
                <w:szCs w:val="20"/>
                <w:lang w:val="en-US"/>
              </w:rPr>
              <w:t>stellte</w:t>
            </w:r>
            <w:proofErr w:type="spellEnd"/>
            <w:r w:rsidRPr="0030780D">
              <w:rPr>
                <w:sz w:val="20"/>
                <w:szCs w:val="20"/>
                <w:lang w:val="en-US"/>
              </w:rPr>
              <w:t xml:space="preserve"> fest, </w:t>
            </w:r>
            <w:proofErr w:type="spellStart"/>
            <w:r w:rsidRPr="0030780D">
              <w:rPr>
                <w:sz w:val="20"/>
                <w:szCs w:val="20"/>
                <w:lang w:val="en-US"/>
              </w:rPr>
              <w:t>dass</w:t>
            </w:r>
            <w:proofErr w:type="spellEnd"/>
            <w:r w:rsidRPr="0030780D">
              <w:rPr>
                <w:sz w:val="20"/>
                <w:szCs w:val="20"/>
                <w:lang w:val="en-US"/>
              </w:rPr>
              <w:t xml:space="preserve"> </w:t>
            </w:r>
            <w:r w:rsidR="00023A37">
              <w:rPr>
                <w:sz w:val="20"/>
                <w:szCs w:val="20"/>
                <w:lang w:val="en-US"/>
              </w:rPr>
              <w:t>U.S. Const. amend. XIV</w:t>
            </w:r>
            <w:r w:rsidRPr="0030780D">
              <w:rPr>
                <w:sz w:val="20"/>
                <w:szCs w:val="20"/>
                <w:lang w:val="en-US"/>
              </w:rPr>
              <w:t xml:space="preserve"> </w:t>
            </w:r>
            <w:proofErr w:type="spellStart"/>
            <w:r w:rsidRPr="0030780D">
              <w:rPr>
                <w:sz w:val="20"/>
                <w:szCs w:val="20"/>
                <w:lang w:val="en-US"/>
              </w:rPr>
              <w:t>außerhalb</w:t>
            </w:r>
            <w:proofErr w:type="spellEnd"/>
            <w:r w:rsidRPr="0030780D">
              <w:rPr>
                <w:sz w:val="20"/>
                <w:szCs w:val="20"/>
                <w:lang w:val="en-US"/>
              </w:rPr>
              <w:t xml:space="preserve"> seines </w:t>
            </w:r>
            <w:proofErr w:type="spellStart"/>
            <w:r w:rsidRPr="0030780D">
              <w:rPr>
                <w:sz w:val="20"/>
                <w:szCs w:val="20"/>
                <w:lang w:val="en-US"/>
              </w:rPr>
              <w:t>Wortlauts</w:t>
            </w:r>
            <w:proofErr w:type="spellEnd"/>
            <w:r w:rsidRPr="0030780D">
              <w:rPr>
                <w:sz w:val="20"/>
                <w:szCs w:val="20"/>
                <w:lang w:val="en-US"/>
              </w:rPr>
              <w:t xml:space="preserve"> </w:t>
            </w:r>
            <w:proofErr w:type="spellStart"/>
            <w:r w:rsidRPr="0030780D">
              <w:rPr>
                <w:sz w:val="20"/>
                <w:szCs w:val="20"/>
                <w:lang w:val="en-US"/>
              </w:rPr>
              <w:t>auch</w:t>
            </w:r>
            <w:proofErr w:type="spellEnd"/>
            <w:r w:rsidRPr="0030780D">
              <w:rPr>
                <w:sz w:val="20"/>
                <w:szCs w:val="20"/>
                <w:lang w:val="en-US"/>
              </w:rPr>
              <w:t xml:space="preserve"> das Recht auf </w:t>
            </w:r>
            <w:proofErr w:type="spellStart"/>
            <w:r w:rsidRPr="0030780D">
              <w:rPr>
                <w:sz w:val="20"/>
                <w:szCs w:val="20"/>
                <w:lang w:val="en-US"/>
              </w:rPr>
              <w:t>ein</w:t>
            </w:r>
            <w:proofErr w:type="spellEnd"/>
            <w:r w:rsidRPr="0030780D">
              <w:rPr>
                <w:sz w:val="20"/>
                <w:szCs w:val="20"/>
                <w:lang w:val="en-US"/>
              </w:rPr>
              <w:t xml:space="preserve"> </w:t>
            </w:r>
            <w:proofErr w:type="spellStart"/>
            <w:r w:rsidRPr="0030780D">
              <w:rPr>
                <w:sz w:val="20"/>
                <w:szCs w:val="20"/>
                <w:lang w:val="en-US"/>
              </w:rPr>
              <w:t>gleiches</w:t>
            </w:r>
            <w:proofErr w:type="spellEnd"/>
            <w:r w:rsidRPr="0030780D">
              <w:rPr>
                <w:sz w:val="20"/>
                <w:szCs w:val="20"/>
                <w:lang w:val="en-US"/>
              </w:rPr>
              <w:t xml:space="preserve"> </w:t>
            </w:r>
            <w:proofErr w:type="spellStart"/>
            <w:r w:rsidRPr="0030780D">
              <w:rPr>
                <w:sz w:val="20"/>
                <w:szCs w:val="20"/>
                <w:lang w:val="en-US"/>
              </w:rPr>
              <w:t>Streben</w:t>
            </w:r>
            <w:proofErr w:type="spellEnd"/>
            <w:r w:rsidRPr="0030780D">
              <w:rPr>
                <w:sz w:val="20"/>
                <w:szCs w:val="20"/>
                <w:lang w:val="en-US"/>
              </w:rPr>
              <w:t xml:space="preserve"> </w:t>
            </w:r>
            <w:proofErr w:type="spellStart"/>
            <w:r w:rsidRPr="0030780D">
              <w:rPr>
                <w:sz w:val="20"/>
                <w:szCs w:val="20"/>
                <w:lang w:val="en-US"/>
              </w:rPr>
              <w:t>nach</w:t>
            </w:r>
            <w:proofErr w:type="spellEnd"/>
            <w:r w:rsidRPr="0030780D">
              <w:rPr>
                <w:sz w:val="20"/>
                <w:szCs w:val="20"/>
                <w:lang w:val="en-US"/>
              </w:rPr>
              <w:t xml:space="preserve"> Glück </w:t>
            </w:r>
            <w:proofErr w:type="spellStart"/>
            <w:r w:rsidRPr="0030780D">
              <w:rPr>
                <w:sz w:val="20"/>
                <w:szCs w:val="20"/>
                <w:lang w:val="en-US"/>
              </w:rPr>
              <w:t>schütze</w:t>
            </w:r>
            <w:proofErr w:type="spellEnd"/>
            <w:r w:rsidRPr="0030780D">
              <w:rPr>
                <w:sz w:val="20"/>
                <w:szCs w:val="20"/>
                <w:lang w:val="en-US"/>
              </w:rPr>
              <w:t xml:space="preserve">, und </w:t>
            </w:r>
            <w:proofErr w:type="spellStart"/>
            <w:r w:rsidRPr="0030780D">
              <w:rPr>
                <w:sz w:val="20"/>
                <w:szCs w:val="20"/>
                <w:lang w:val="en-US"/>
              </w:rPr>
              <w:t>zwar</w:t>
            </w:r>
            <w:proofErr w:type="spellEnd"/>
            <w:r w:rsidRPr="0030780D">
              <w:rPr>
                <w:sz w:val="20"/>
                <w:szCs w:val="20"/>
                <w:lang w:val="en-US"/>
              </w:rPr>
              <w:t xml:space="preserve"> </w:t>
            </w:r>
            <w:proofErr w:type="spellStart"/>
            <w:r>
              <w:rPr>
                <w:sz w:val="20"/>
                <w:szCs w:val="20"/>
                <w:lang w:val="en-US"/>
              </w:rPr>
              <w:t>z.B.</w:t>
            </w:r>
            <w:proofErr w:type="spellEnd"/>
            <w:r w:rsidRPr="0030780D">
              <w:rPr>
                <w:sz w:val="20"/>
                <w:szCs w:val="20"/>
                <w:lang w:val="en-US"/>
              </w:rPr>
              <w:t xml:space="preserve"> </w:t>
            </w:r>
            <w:proofErr w:type="spellStart"/>
            <w:r w:rsidRPr="0030780D">
              <w:rPr>
                <w:sz w:val="20"/>
                <w:szCs w:val="20"/>
                <w:lang w:val="en-US"/>
              </w:rPr>
              <w:t>gegen</w:t>
            </w:r>
            <w:proofErr w:type="spellEnd"/>
            <w:r w:rsidRPr="0030780D">
              <w:rPr>
                <w:sz w:val="20"/>
                <w:szCs w:val="20"/>
                <w:lang w:val="en-US"/>
              </w:rPr>
              <w:t xml:space="preserve"> </w:t>
            </w:r>
            <w:proofErr w:type="spellStart"/>
            <w:r w:rsidRPr="0030780D">
              <w:rPr>
                <w:sz w:val="20"/>
                <w:szCs w:val="20"/>
                <w:lang w:val="en-US"/>
              </w:rPr>
              <w:t>willkürliche</w:t>
            </w:r>
            <w:proofErr w:type="spellEnd"/>
            <w:r w:rsidRPr="0030780D">
              <w:rPr>
                <w:sz w:val="20"/>
                <w:szCs w:val="20"/>
                <w:lang w:val="en-US"/>
              </w:rPr>
              <w:t xml:space="preserve"> </w:t>
            </w:r>
            <w:proofErr w:type="spellStart"/>
            <w:r w:rsidRPr="0030780D">
              <w:rPr>
                <w:sz w:val="20"/>
                <w:szCs w:val="20"/>
                <w:lang w:val="en-US"/>
              </w:rPr>
              <w:t>Einschränkungen</w:t>
            </w:r>
            <w:proofErr w:type="spellEnd"/>
            <w:r w:rsidRPr="0030780D">
              <w:rPr>
                <w:sz w:val="20"/>
                <w:szCs w:val="20"/>
                <w:lang w:val="en-US"/>
              </w:rPr>
              <w:t xml:space="preserve"> („The Fourteenth Amendment […] undoubtedly intended not only that there should be no arbitrary deprivation of life or liberty, or arbitrary spoliation of property, but that […] all persons should be equally entitled to pursue their happiness”</w:t>
            </w:r>
            <w:r w:rsidRPr="0030780D">
              <w:rPr>
                <w:sz w:val="20"/>
                <w:szCs w:val="20"/>
                <w:vertAlign w:val="superscript"/>
                <w:lang w:val="en-US"/>
              </w:rPr>
              <w:footnoteReference w:id="759"/>
            </w:r>
            <w:r w:rsidRPr="0030780D">
              <w:rPr>
                <w:sz w:val="20"/>
                <w:szCs w:val="20"/>
                <w:lang w:val="en-US"/>
              </w:rPr>
              <w:t xml:space="preserve">). </w:t>
            </w:r>
            <w:r w:rsidRPr="0030780D">
              <w:rPr>
                <w:sz w:val="20"/>
                <w:szCs w:val="20"/>
              </w:rPr>
              <w:t xml:space="preserve">Doch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0780D">
              <w:rPr>
                <w:sz w:val="20"/>
                <w:szCs w:val="20"/>
              </w:rPr>
              <w:t xml:space="preserve"> </w:t>
            </w:r>
            <w:r>
              <w:rPr>
                <w:sz w:val="20"/>
                <w:szCs w:val="20"/>
              </w:rPr>
              <w:t>in Verbindung mit</w:t>
            </w:r>
            <w:r w:rsidRPr="0030780D">
              <w:rPr>
                <w:sz w:val="20"/>
                <w:szCs w:val="20"/>
              </w:rPr>
              <w:t xml:space="preserve"> diesem weitreichende</w:t>
            </w:r>
            <w:r>
              <w:rPr>
                <w:sz w:val="20"/>
                <w:szCs w:val="20"/>
              </w:rPr>
              <w:t>n</w:t>
            </w:r>
            <w:r w:rsidRPr="0030780D">
              <w:rPr>
                <w:sz w:val="20"/>
                <w:szCs w:val="20"/>
              </w:rPr>
              <w:t xml:space="preserve"> Verständnis sei nicht dazu gedacht, die Handlungskompetenzen eines Bundesstaats zu beeinträchtigen – auch als Polizeihoheit („</w:t>
            </w:r>
            <w:proofErr w:type="spellStart"/>
            <w:r w:rsidRPr="0030780D">
              <w:rPr>
                <w:sz w:val="20"/>
                <w:szCs w:val="20"/>
              </w:rPr>
              <w:t>states</w:t>
            </w:r>
            <w:proofErr w:type="spellEnd"/>
            <w:r>
              <w:rPr>
                <w:sz w:val="20"/>
                <w:szCs w:val="20"/>
              </w:rPr>
              <w:t>’</w:t>
            </w:r>
            <w:r w:rsidRPr="0030780D">
              <w:rPr>
                <w:sz w:val="20"/>
                <w:szCs w:val="20"/>
              </w:rPr>
              <w:t xml:space="preserve"> </w:t>
            </w:r>
            <w:proofErr w:type="spellStart"/>
            <w:r w:rsidRPr="0030780D">
              <w:rPr>
                <w:sz w:val="20"/>
                <w:szCs w:val="20"/>
              </w:rPr>
              <w:t>police</w:t>
            </w:r>
            <w:proofErr w:type="spellEnd"/>
            <w:r w:rsidRPr="0030780D">
              <w:rPr>
                <w:sz w:val="20"/>
                <w:szCs w:val="20"/>
              </w:rPr>
              <w:t xml:space="preserve"> power“</w:t>
            </w:r>
            <w:r w:rsidRPr="0030780D">
              <w:rPr>
                <w:sz w:val="20"/>
                <w:szCs w:val="20"/>
                <w:vertAlign w:val="superscript"/>
              </w:rPr>
              <w:footnoteReference w:id="760"/>
            </w:r>
            <w:r w:rsidRPr="0030780D">
              <w:rPr>
                <w:sz w:val="20"/>
                <w:szCs w:val="20"/>
              </w:rPr>
              <w:t>) bezeichnet –, wenn diese sich in Vorschriften ausdrücke, die der Gesundheit, dem Frieden, der Bildung oder der öffentlichen Ordnung dien</w:t>
            </w:r>
            <w:r>
              <w:rPr>
                <w:sz w:val="20"/>
                <w:szCs w:val="20"/>
              </w:rPr>
              <w:t>t</w:t>
            </w:r>
            <w:r w:rsidRPr="0030780D">
              <w:rPr>
                <w:sz w:val="20"/>
                <w:szCs w:val="20"/>
              </w:rPr>
              <w:t>en oder staatliche Industrien fördern</w:t>
            </w:r>
            <w:r>
              <w:rPr>
                <w:sz w:val="20"/>
                <w:szCs w:val="20"/>
              </w:rPr>
              <w:t xml:space="preserve">, </w:t>
            </w:r>
            <w:r w:rsidRPr="0030780D">
              <w:rPr>
                <w:sz w:val="20"/>
                <w:szCs w:val="20"/>
              </w:rPr>
              <w:t xml:space="preserve">Ressourcen entwickeln </w:t>
            </w:r>
            <w:r>
              <w:rPr>
                <w:sz w:val="20"/>
                <w:szCs w:val="20"/>
              </w:rPr>
              <w:t>oder</w:t>
            </w:r>
            <w:r w:rsidRPr="0030780D">
              <w:rPr>
                <w:sz w:val="20"/>
                <w:szCs w:val="20"/>
              </w:rPr>
              <w:t xml:space="preserve"> den Wohlstand mehren könn</w:t>
            </w:r>
            <w:r>
              <w:rPr>
                <w:sz w:val="20"/>
                <w:szCs w:val="20"/>
              </w:rPr>
              <w:t>t</w:t>
            </w:r>
            <w:r w:rsidRPr="0030780D">
              <w:rPr>
                <w:sz w:val="20"/>
                <w:szCs w:val="20"/>
              </w:rPr>
              <w:t>en.</w:t>
            </w:r>
            <w:r w:rsidRPr="0030780D">
              <w:rPr>
                <w:sz w:val="20"/>
                <w:szCs w:val="20"/>
                <w:vertAlign w:val="superscript"/>
              </w:rPr>
              <w:footnoteReference w:id="761"/>
            </w:r>
            <w:r w:rsidRPr="0030780D">
              <w:rPr>
                <w:sz w:val="20"/>
                <w:szCs w:val="20"/>
              </w:rPr>
              <w:t xml:space="preserve"> Daher verstoße </w:t>
            </w:r>
            <w:r>
              <w:rPr>
                <w:sz w:val="20"/>
                <w:szCs w:val="20"/>
              </w:rPr>
              <w:t>z.B.</w:t>
            </w:r>
            <w:r w:rsidRPr="0030780D">
              <w:rPr>
                <w:sz w:val="20"/>
                <w:szCs w:val="20"/>
              </w:rPr>
              <w:t xml:space="preserve"> eine Besteuerungsmethode nach dem Nennwert von Unternehmenswertpapieren als Ausdruck der Polizeihoheit nicht gegen den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0780D">
              <w:rPr>
                <w:sz w:val="20"/>
                <w:szCs w:val="20"/>
              </w:rPr>
              <w:t xml:space="preserve"> Denn hier unterl</w:t>
            </w:r>
            <w:r>
              <w:rPr>
                <w:sz w:val="20"/>
                <w:szCs w:val="20"/>
              </w:rPr>
              <w:t>ä</w:t>
            </w:r>
            <w:r w:rsidRPr="0030780D">
              <w:rPr>
                <w:sz w:val="20"/>
                <w:szCs w:val="20"/>
              </w:rPr>
              <w:t xml:space="preserve">gen alle Gesellschaften, die solche Produkte anbieten, den gleichen Einschränkungen; es bestehe also ein gleiches Recht auf ein Streben nach Glück. Und zudem liege die Kompetenz </w:t>
            </w:r>
            <w:r>
              <w:rPr>
                <w:sz w:val="20"/>
                <w:szCs w:val="20"/>
              </w:rPr>
              <w:t>der Besteuerung</w:t>
            </w:r>
            <w:r w:rsidRPr="0030780D">
              <w:rPr>
                <w:sz w:val="20"/>
                <w:szCs w:val="20"/>
              </w:rPr>
              <w:t xml:space="preserve"> beim Bundesstaat.</w:t>
            </w:r>
            <w:r w:rsidRPr="0030780D">
              <w:rPr>
                <w:sz w:val="20"/>
                <w:szCs w:val="20"/>
                <w:vertAlign w:val="superscript"/>
              </w:rPr>
              <w:footnoteReference w:id="762"/>
            </w:r>
          </w:p>
          <w:p w14:paraId="3B43A5A5" w14:textId="77777777" w:rsidR="00074551" w:rsidRPr="00F659BE" w:rsidRDefault="00074551" w:rsidP="00367133">
            <w:pPr>
              <w:rPr>
                <w:sz w:val="20"/>
                <w:szCs w:val="20"/>
                <w:lang w:val="en-US"/>
              </w:rPr>
            </w:pPr>
          </w:p>
        </w:tc>
      </w:tr>
      <w:tr w:rsidR="00074551" w:rsidRPr="00E50B51" w14:paraId="79B6F259" w14:textId="77777777" w:rsidTr="00A15DB3">
        <w:trPr>
          <w:cantSplit/>
          <w:trHeight w:val="3175"/>
        </w:trPr>
        <w:tc>
          <w:tcPr>
            <w:tcW w:w="293" w:type="pct"/>
            <w:shd w:val="clear" w:color="auto" w:fill="E7E6E6" w:themeFill="background2"/>
          </w:tcPr>
          <w:p w14:paraId="20E3EF1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63574500"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25FF0B6F" w14:textId="77777777" w:rsidR="00074551" w:rsidRPr="00E50B51" w:rsidRDefault="00074551" w:rsidP="00367133">
            <w:pPr>
              <w:ind w:left="113" w:right="113"/>
              <w:jc w:val="both"/>
              <w:rPr>
                <w:sz w:val="20"/>
                <w:szCs w:val="20"/>
              </w:rPr>
            </w:pPr>
            <w:r w:rsidRPr="00E50B51">
              <w:rPr>
                <w:sz w:val="20"/>
                <w:szCs w:val="20"/>
              </w:rPr>
              <w:t>Freedom of Religion</w:t>
            </w:r>
          </w:p>
        </w:tc>
        <w:tc>
          <w:tcPr>
            <w:tcW w:w="306" w:type="pct"/>
            <w:shd w:val="clear" w:color="auto" w:fill="E7E6E6" w:themeFill="background2"/>
            <w:textDirection w:val="tbRl"/>
            <w:vAlign w:val="center"/>
          </w:tcPr>
          <w:p w14:paraId="44667385" w14:textId="77777777" w:rsidR="00074551" w:rsidRPr="00E50B51" w:rsidRDefault="00074551" w:rsidP="00367133">
            <w:pPr>
              <w:ind w:left="113" w:right="113"/>
              <w:jc w:val="both"/>
              <w:rPr>
                <w:sz w:val="20"/>
                <w:szCs w:val="20"/>
              </w:rPr>
            </w:pPr>
            <w:r>
              <w:rPr>
                <w:sz w:val="20"/>
                <w:szCs w:val="20"/>
              </w:rPr>
              <w:t>Scope</w:t>
            </w:r>
          </w:p>
        </w:tc>
        <w:tc>
          <w:tcPr>
            <w:tcW w:w="401" w:type="pct"/>
            <w:shd w:val="clear" w:color="auto" w:fill="E7E6E6" w:themeFill="background2"/>
          </w:tcPr>
          <w:p w14:paraId="296A991F"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79811200" w14:textId="77777777" w:rsidR="00074551" w:rsidRPr="00E50B51" w:rsidRDefault="00074551" w:rsidP="00367133">
            <w:pPr>
              <w:jc w:val="both"/>
              <w:rPr>
                <w:sz w:val="20"/>
                <w:szCs w:val="20"/>
              </w:rPr>
            </w:pPr>
          </w:p>
        </w:tc>
        <w:tc>
          <w:tcPr>
            <w:tcW w:w="1822" w:type="pct"/>
            <w:shd w:val="clear" w:color="auto" w:fill="E7E6E6" w:themeFill="background2"/>
          </w:tcPr>
          <w:p w14:paraId="679C7EBC" w14:textId="69697AC6" w:rsidR="00074551" w:rsidRPr="00E50B51" w:rsidRDefault="00A15DB3" w:rsidP="00A15DB3">
            <w:pPr>
              <w:rPr>
                <w:sz w:val="20"/>
                <w:szCs w:val="20"/>
              </w:rPr>
            </w:pPr>
            <w:r w:rsidRPr="00A15DB3">
              <w:rPr>
                <w:i/>
                <w:iCs/>
                <w:sz w:val="16"/>
                <w:szCs w:val="20"/>
              </w:rPr>
              <w:t>Thematische Gliederung der nachfolgenden Entscheidungen ↓</w:t>
            </w:r>
          </w:p>
        </w:tc>
      </w:tr>
      <w:tr w:rsidR="00074551" w:rsidRPr="00E50B51" w14:paraId="3B4BE461" w14:textId="77777777" w:rsidTr="00BE689F">
        <w:trPr>
          <w:cantSplit/>
          <w:trHeight w:val="3175"/>
        </w:trPr>
        <w:tc>
          <w:tcPr>
            <w:tcW w:w="293" w:type="pct"/>
          </w:tcPr>
          <w:p w14:paraId="7A7C2A6D"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08749F99" w14:textId="77777777" w:rsidR="00074551" w:rsidRPr="00B45592" w:rsidRDefault="00074551" w:rsidP="00367133">
            <w:pPr>
              <w:ind w:left="113" w:right="416"/>
              <w:jc w:val="both"/>
              <w:rPr>
                <w:i/>
                <w:sz w:val="20"/>
                <w:szCs w:val="20"/>
                <w:lang w:val="en-US"/>
              </w:rPr>
            </w:pPr>
            <w:r w:rsidRPr="009E57E1">
              <w:rPr>
                <w:i/>
                <w:sz w:val="20"/>
                <w:szCs w:val="20"/>
                <w:lang w:val="en-US"/>
              </w:rPr>
              <w:t>Hudson v. Palmer</w:t>
            </w:r>
          </w:p>
        </w:tc>
        <w:tc>
          <w:tcPr>
            <w:tcW w:w="197" w:type="pct"/>
            <w:textDirection w:val="tbRl"/>
            <w:vAlign w:val="center"/>
          </w:tcPr>
          <w:p w14:paraId="7D1B57C4" w14:textId="77777777" w:rsidR="00074551" w:rsidRPr="00E50B51" w:rsidRDefault="00074551" w:rsidP="00367133">
            <w:pPr>
              <w:ind w:left="113" w:right="113"/>
              <w:jc w:val="both"/>
              <w:rPr>
                <w:sz w:val="20"/>
                <w:szCs w:val="20"/>
              </w:rPr>
            </w:pPr>
            <w:r w:rsidRPr="00E50B51">
              <w:rPr>
                <w:sz w:val="20"/>
                <w:szCs w:val="20"/>
              </w:rPr>
              <w:t>468 U.S. 517</w:t>
            </w:r>
          </w:p>
        </w:tc>
        <w:tc>
          <w:tcPr>
            <w:tcW w:w="306" w:type="pct"/>
            <w:textDirection w:val="tbRl"/>
            <w:vAlign w:val="center"/>
          </w:tcPr>
          <w:p w14:paraId="1D02FA55" w14:textId="77777777" w:rsidR="00074551" w:rsidRPr="00E50B51" w:rsidRDefault="00074551" w:rsidP="00367133">
            <w:pPr>
              <w:ind w:left="113" w:right="113"/>
              <w:jc w:val="both"/>
              <w:rPr>
                <w:sz w:val="20"/>
                <w:szCs w:val="20"/>
              </w:rPr>
            </w:pPr>
            <w:r w:rsidRPr="00E50B51">
              <w:rPr>
                <w:sz w:val="20"/>
                <w:szCs w:val="20"/>
              </w:rPr>
              <w:t>3. Juli 1984</w:t>
            </w:r>
          </w:p>
        </w:tc>
        <w:tc>
          <w:tcPr>
            <w:tcW w:w="401" w:type="pct"/>
          </w:tcPr>
          <w:p w14:paraId="164A5996" w14:textId="77777777" w:rsidR="00074551" w:rsidRPr="00E50B51" w:rsidRDefault="00074551" w:rsidP="00367133">
            <w:pPr>
              <w:jc w:val="center"/>
              <w:rPr>
                <w:sz w:val="20"/>
                <w:szCs w:val="20"/>
              </w:rPr>
            </w:pPr>
            <w:r w:rsidRPr="00E50B51">
              <w:rPr>
                <w:sz w:val="20"/>
                <w:szCs w:val="20"/>
              </w:rPr>
              <w:t>D</w:t>
            </w:r>
          </w:p>
        </w:tc>
        <w:tc>
          <w:tcPr>
            <w:tcW w:w="1594" w:type="pct"/>
          </w:tcPr>
          <w:p w14:paraId="3D5B86A4" w14:textId="02DA0A70" w:rsidR="00074551" w:rsidRPr="00E50B51" w:rsidRDefault="00074551" w:rsidP="00367133">
            <w:pPr>
              <w:jc w:val="both"/>
              <w:rPr>
                <w:sz w:val="20"/>
                <w:szCs w:val="20"/>
              </w:rPr>
            </w:pPr>
            <w:r w:rsidRPr="00E50B51">
              <w:rPr>
                <w:sz w:val="20"/>
                <w:szCs w:val="20"/>
              </w:rPr>
              <w:t>Im Fall dur</w:t>
            </w:r>
            <w:r>
              <w:rPr>
                <w:sz w:val="20"/>
                <w:szCs w:val="20"/>
              </w:rPr>
              <w:t>ch</w:t>
            </w:r>
            <w:r w:rsidRPr="00E50B51">
              <w:rPr>
                <w:sz w:val="20"/>
                <w:szCs w:val="20"/>
              </w:rPr>
              <w:t>suchte der klagende Justizvollzug</w:t>
            </w:r>
            <w:r>
              <w:rPr>
                <w:sz w:val="20"/>
                <w:szCs w:val="20"/>
              </w:rPr>
              <w:t>s</w:t>
            </w:r>
            <w:r w:rsidRPr="00E50B51">
              <w:rPr>
                <w:sz w:val="20"/>
                <w:szCs w:val="20"/>
              </w:rPr>
              <w:t xml:space="preserve">beamte die Zelle des beklagten Häftlings nach Schmuggelware. Während der Durchsuchung fand der Justizvollzugsbeamte einen zerrissenen Kopfkissenbezug. Der Häftling wurde klageweise aufgefordert, dem Staat das zerstörte Material zu ersetzen. Der </w:t>
            </w:r>
            <w:r>
              <w:rPr>
                <w:sz w:val="20"/>
                <w:szCs w:val="20"/>
              </w:rPr>
              <w:t>U.S. Supreme Court</w:t>
            </w:r>
            <w:r w:rsidRPr="00E50B51">
              <w:rPr>
                <w:sz w:val="20"/>
                <w:szCs w:val="20"/>
              </w:rPr>
              <w:t xml:space="preserve"> urteilte, der Beklagte habe auch als Häftling ein Recht auf Privatsphäre („</w:t>
            </w:r>
            <w:proofErr w:type="spellStart"/>
            <w:r w:rsidRPr="00E50B51">
              <w:rPr>
                <w:sz w:val="20"/>
                <w:szCs w:val="20"/>
              </w:rPr>
              <w:t>right</w:t>
            </w:r>
            <w:proofErr w:type="spellEnd"/>
            <w:r w:rsidRPr="00E50B51">
              <w:rPr>
                <w:sz w:val="20"/>
                <w:szCs w:val="20"/>
              </w:rPr>
              <w:t xml:space="preserve"> to </w:t>
            </w:r>
            <w:proofErr w:type="spellStart"/>
            <w:r w:rsidRPr="00E50B51">
              <w:rPr>
                <w:sz w:val="20"/>
                <w:szCs w:val="20"/>
              </w:rPr>
              <w:t>privacy</w:t>
            </w:r>
            <w:proofErr w:type="spellEnd"/>
            <w:r w:rsidRPr="00E50B51">
              <w:rPr>
                <w:sz w:val="20"/>
                <w:szCs w:val="20"/>
              </w:rPr>
              <w:t>“</w:t>
            </w:r>
            <w:r w:rsidRPr="5B67C1D2">
              <w:rPr>
                <w:rStyle w:val="Funotenzeichen"/>
                <w:rFonts w:eastAsiaTheme="majorEastAsia"/>
                <w:sz w:val="20"/>
                <w:szCs w:val="20"/>
              </w:rPr>
              <w:footnoteReference w:id="763"/>
            </w:r>
            <w:r w:rsidRPr="00E50B51">
              <w:rPr>
                <w:sz w:val="20"/>
                <w:szCs w:val="20"/>
              </w:rPr>
              <w:t>) und das Verbot der unangemessenen Durchsuchung („</w:t>
            </w:r>
            <w:proofErr w:type="spellStart"/>
            <w:r w:rsidRPr="00E50B51">
              <w:rPr>
                <w:sz w:val="20"/>
                <w:szCs w:val="20"/>
              </w:rPr>
              <w:t>prohibition</w:t>
            </w:r>
            <w:proofErr w:type="spellEnd"/>
            <w:r w:rsidRPr="00E50B51">
              <w:rPr>
                <w:sz w:val="20"/>
                <w:szCs w:val="20"/>
              </w:rPr>
              <w:t xml:space="preserve"> on </w:t>
            </w:r>
            <w:proofErr w:type="spellStart"/>
            <w:r w:rsidRPr="00E50B51">
              <w:rPr>
                <w:sz w:val="20"/>
                <w:szCs w:val="20"/>
              </w:rPr>
              <w:t>unreasonable</w:t>
            </w:r>
            <w:proofErr w:type="spellEnd"/>
            <w:r w:rsidRPr="00E50B51">
              <w:rPr>
                <w:sz w:val="20"/>
                <w:szCs w:val="20"/>
              </w:rPr>
              <w:t xml:space="preserve"> </w:t>
            </w:r>
            <w:proofErr w:type="spellStart"/>
            <w:r w:rsidRPr="00E50B51">
              <w:rPr>
                <w:sz w:val="20"/>
                <w:szCs w:val="20"/>
              </w:rPr>
              <w:t>searches</w:t>
            </w:r>
            <w:proofErr w:type="spellEnd"/>
            <w:r w:rsidRPr="00E50B51">
              <w:rPr>
                <w:sz w:val="20"/>
                <w:szCs w:val="20"/>
              </w:rPr>
              <w:t>“</w:t>
            </w:r>
            <w:r w:rsidRPr="5B67C1D2">
              <w:rPr>
                <w:rStyle w:val="Funotenzeichen"/>
                <w:rFonts w:eastAsiaTheme="majorEastAsia"/>
                <w:sz w:val="20"/>
                <w:szCs w:val="20"/>
              </w:rPr>
              <w:footnoteReference w:id="764"/>
            </w:r>
            <w:r w:rsidRPr="00E50B51">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E50B51">
              <w:rPr>
                <w:sz w:val="20"/>
                <w:szCs w:val="20"/>
              </w:rPr>
              <w:t xml:space="preserve"> gelte auch für Gefängniszellen. Hingegen sei das Recht auf ein </w:t>
            </w:r>
            <w:r>
              <w:rPr>
                <w:sz w:val="20"/>
                <w:szCs w:val="20"/>
              </w:rPr>
              <w:t xml:space="preserve">rechtsstaatliches </w:t>
            </w:r>
            <w:r w:rsidRPr="00E50B51">
              <w:rPr>
                <w:sz w:val="20"/>
                <w:szCs w:val="20"/>
              </w:rPr>
              <w:t>Verfahren gem</w:t>
            </w:r>
            <w:r>
              <w:rPr>
                <w:sz w:val="20"/>
                <w:szCs w:val="20"/>
              </w:rPr>
              <w:t xml:space="preserve">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nicht verletzt, wenn ein Rechtsmittel nach Entzug des Eigentums</w:t>
            </w:r>
            <w:r>
              <w:rPr>
                <w:sz w:val="20"/>
                <w:szCs w:val="20"/>
              </w:rPr>
              <w:t xml:space="preserve"> – hier des Kopfkissens – </w:t>
            </w:r>
            <w:r w:rsidRPr="00E50B51">
              <w:rPr>
                <w:sz w:val="20"/>
                <w:szCs w:val="20"/>
              </w:rPr>
              <w:t>zur Verfügung stehe, um eine Entschädigung zu erhalten. Das war hier einfachgesetzlich der Fall.</w:t>
            </w:r>
          </w:p>
          <w:p w14:paraId="7B490F6D" w14:textId="77777777" w:rsidR="00074551" w:rsidRPr="00E50B51" w:rsidRDefault="00074551" w:rsidP="00367133">
            <w:pPr>
              <w:jc w:val="both"/>
              <w:rPr>
                <w:sz w:val="20"/>
                <w:szCs w:val="20"/>
              </w:rPr>
            </w:pPr>
          </w:p>
        </w:tc>
        <w:tc>
          <w:tcPr>
            <w:tcW w:w="1822" w:type="pct"/>
          </w:tcPr>
          <w:p w14:paraId="3CE1BE3C" w14:textId="006652B7" w:rsidR="00074551" w:rsidRPr="00E50B51" w:rsidRDefault="00074551" w:rsidP="00367133">
            <w:pPr>
              <w:jc w:val="both"/>
              <w:rPr>
                <w:sz w:val="20"/>
                <w:szCs w:val="20"/>
              </w:rPr>
            </w:pPr>
            <w:r w:rsidRPr="00A3524C">
              <w:rPr>
                <w:sz w:val="20"/>
                <w:szCs w:val="20"/>
              </w:rPr>
              <w:t xml:space="preserve">In </w:t>
            </w:r>
            <w:r w:rsidRPr="5B67C1D2">
              <w:rPr>
                <w:i/>
                <w:iCs/>
                <w:sz w:val="20"/>
                <w:szCs w:val="20"/>
              </w:rPr>
              <w:t>Hudson v. Palmer</w:t>
            </w:r>
            <w:r w:rsidRPr="00A3524C">
              <w:rPr>
                <w:sz w:val="20"/>
                <w:szCs w:val="20"/>
              </w:rPr>
              <w:t xml:space="preserve"> erklärte der </w:t>
            </w:r>
            <w:r>
              <w:rPr>
                <w:sz w:val="20"/>
                <w:szCs w:val="20"/>
              </w:rPr>
              <w:t>U.S. Supreme Court</w:t>
            </w:r>
            <w:r w:rsidRPr="00A3524C">
              <w:rPr>
                <w:sz w:val="20"/>
                <w:szCs w:val="20"/>
              </w:rPr>
              <w:t xml:space="preserve"> die Religionsfreiheit als Teil des Rechts</w:t>
            </w:r>
            <w:r>
              <w:rPr>
                <w:sz w:val="20"/>
                <w:szCs w:val="20"/>
              </w:rPr>
              <w:t>,</w:t>
            </w:r>
            <w:r w:rsidRPr="00A3524C">
              <w:rPr>
                <w:sz w:val="20"/>
                <w:szCs w:val="20"/>
              </w:rPr>
              <w:t xml:space="preserve"> in Ruhe gelassen zu werden</w:t>
            </w:r>
            <w:r>
              <w:rPr>
                <w:sz w:val="20"/>
                <w:szCs w:val="20"/>
              </w:rPr>
              <w:t xml:space="preserve">, welches </w:t>
            </w:r>
            <w:r w:rsidRPr="00A3524C">
              <w:rPr>
                <w:sz w:val="20"/>
                <w:szCs w:val="20"/>
              </w:rPr>
              <w:t xml:space="preserve">wiederum Teil der Bedingungen für ein Streben nach Glück sei. Der </w:t>
            </w:r>
            <w:r>
              <w:rPr>
                <w:sz w:val="20"/>
                <w:szCs w:val="20"/>
              </w:rPr>
              <w:t>U.S. Supreme Court</w:t>
            </w:r>
            <w:r w:rsidRPr="00A3524C">
              <w:rPr>
                <w:sz w:val="20"/>
                <w:szCs w:val="20"/>
              </w:rPr>
              <w:t xml:space="preserve"> meint zum </w:t>
            </w:r>
            <w:proofErr w:type="spellStart"/>
            <w:r w:rsidRPr="5B67C1D2">
              <w:rPr>
                <w:i/>
                <w:iCs/>
                <w:sz w:val="20"/>
                <w:szCs w:val="20"/>
              </w:rPr>
              <w:t>pursuit</w:t>
            </w:r>
            <w:proofErr w:type="spellEnd"/>
            <w:r w:rsidRPr="5B67C1D2">
              <w:rPr>
                <w:i/>
                <w:iCs/>
                <w:sz w:val="20"/>
                <w:szCs w:val="20"/>
              </w:rPr>
              <w:t xml:space="preserve"> of Happiness</w:t>
            </w:r>
            <w:r w:rsidRPr="00A3524C">
              <w:rPr>
                <w:sz w:val="20"/>
                <w:szCs w:val="20"/>
              </w:rPr>
              <w:t xml:space="preserve"> zunächst, es konstituiere das Recht in Ruhe gelassen zu werden („</w:t>
            </w:r>
            <w:proofErr w:type="spellStart"/>
            <w:r w:rsidRPr="00A3524C">
              <w:rPr>
                <w:sz w:val="20"/>
                <w:szCs w:val="20"/>
              </w:rPr>
              <w:t>right</w:t>
            </w:r>
            <w:proofErr w:type="spellEnd"/>
            <w:r w:rsidRPr="00A3524C">
              <w:rPr>
                <w:sz w:val="20"/>
                <w:szCs w:val="20"/>
              </w:rPr>
              <w:t xml:space="preserve"> to </w:t>
            </w:r>
            <w:proofErr w:type="spellStart"/>
            <w:r w:rsidRPr="00A3524C">
              <w:rPr>
                <w:sz w:val="20"/>
                <w:szCs w:val="20"/>
              </w:rPr>
              <w:t>be</w:t>
            </w:r>
            <w:proofErr w:type="spellEnd"/>
            <w:r w:rsidRPr="00A3524C">
              <w:rPr>
                <w:sz w:val="20"/>
                <w:szCs w:val="20"/>
              </w:rPr>
              <w:t xml:space="preserve"> </w:t>
            </w:r>
            <w:proofErr w:type="spellStart"/>
            <w:r w:rsidRPr="00A3524C">
              <w:rPr>
                <w:sz w:val="20"/>
                <w:szCs w:val="20"/>
              </w:rPr>
              <w:t>let</w:t>
            </w:r>
            <w:proofErr w:type="spellEnd"/>
            <w:r w:rsidRPr="00A3524C">
              <w:rPr>
                <w:sz w:val="20"/>
                <w:szCs w:val="20"/>
              </w:rPr>
              <w:t xml:space="preserve"> </w:t>
            </w:r>
            <w:proofErr w:type="spellStart"/>
            <w:r w:rsidRPr="00A3524C">
              <w:rPr>
                <w:sz w:val="20"/>
                <w:szCs w:val="20"/>
              </w:rPr>
              <w:t>alone</w:t>
            </w:r>
            <w:proofErr w:type="spellEnd"/>
            <w:r w:rsidRPr="00A3524C">
              <w:rPr>
                <w:sz w:val="20"/>
                <w:szCs w:val="20"/>
              </w:rPr>
              <w:t>“</w:t>
            </w:r>
            <w:r w:rsidRPr="00A3524C">
              <w:rPr>
                <w:sz w:val="20"/>
                <w:szCs w:val="20"/>
                <w:vertAlign w:val="superscript"/>
              </w:rPr>
              <w:footnoteReference w:id="765"/>
            </w:r>
            <w:r w:rsidRPr="00A3524C">
              <w:rPr>
                <w:sz w:val="20"/>
                <w:szCs w:val="20"/>
              </w:rPr>
              <w:t xml:space="preserve">), was </w:t>
            </w:r>
            <w:r w:rsidRPr="5B67C1D2">
              <w:rPr>
                <w:i/>
                <w:iCs/>
                <w:sz w:val="20"/>
                <w:szCs w:val="20"/>
              </w:rPr>
              <w:t xml:space="preserve">en </w:t>
            </w:r>
            <w:proofErr w:type="spellStart"/>
            <w:r w:rsidRPr="5B67C1D2">
              <w:rPr>
                <w:i/>
                <w:iCs/>
                <w:sz w:val="20"/>
                <w:szCs w:val="20"/>
              </w:rPr>
              <w:t>passant</w:t>
            </w:r>
            <w:proofErr w:type="spellEnd"/>
            <w:r w:rsidRPr="00A3524C">
              <w:rPr>
                <w:sz w:val="20"/>
                <w:szCs w:val="20"/>
              </w:rPr>
              <w:t xml:space="preserve"> auch die Religionsfreiheit umschließe („</w:t>
            </w:r>
            <w:proofErr w:type="spellStart"/>
            <w:r w:rsidRPr="00A3524C">
              <w:rPr>
                <w:sz w:val="20"/>
                <w:szCs w:val="20"/>
              </w:rPr>
              <w:t>freedom</w:t>
            </w:r>
            <w:proofErr w:type="spellEnd"/>
            <w:r w:rsidRPr="00A3524C">
              <w:rPr>
                <w:sz w:val="20"/>
                <w:szCs w:val="20"/>
              </w:rPr>
              <w:t xml:space="preserve"> of </w:t>
            </w:r>
            <w:proofErr w:type="spellStart"/>
            <w:r w:rsidRPr="00A3524C">
              <w:rPr>
                <w:sz w:val="20"/>
                <w:szCs w:val="20"/>
              </w:rPr>
              <w:t>religion</w:t>
            </w:r>
            <w:proofErr w:type="spellEnd"/>
            <w:r w:rsidRPr="00A3524C">
              <w:rPr>
                <w:sz w:val="20"/>
                <w:szCs w:val="20"/>
              </w:rPr>
              <w:t>“</w:t>
            </w:r>
            <w:r w:rsidRPr="00A3524C">
              <w:rPr>
                <w:sz w:val="20"/>
                <w:szCs w:val="20"/>
                <w:vertAlign w:val="superscript"/>
              </w:rPr>
              <w:footnoteReference w:id="766"/>
            </w:r>
            <w:r w:rsidRPr="00A3524C">
              <w:rPr>
                <w:sz w:val="20"/>
                <w:szCs w:val="20"/>
              </w:rPr>
              <w:t>).</w:t>
            </w:r>
            <w:r w:rsidRPr="00A3524C">
              <w:rPr>
                <w:sz w:val="20"/>
                <w:szCs w:val="20"/>
                <w:vertAlign w:val="superscript"/>
              </w:rPr>
              <w:footnoteReference w:id="767"/>
            </w:r>
            <w:r w:rsidRPr="00A3524C">
              <w:rPr>
                <w:sz w:val="20"/>
                <w:szCs w:val="20"/>
              </w:rPr>
              <w:t xml:space="preserve"> Denn zu den Sphären des in </w:t>
            </w:r>
            <w:proofErr w:type="spellStart"/>
            <w:r>
              <w:rPr>
                <w:sz w:val="20"/>
                <w:szCs w:val="20"/>
              </w:rPr>
              <w:t>Inr</w:t>
            </w:r>
            <w:r w:rsidRPr="00A3524C">
              <w:rPr>
                <w:sz w:val="20"/>
                <w:szCs w:val="20"/>
              </w:rPr>
              <w:t>uhegelassenwerdens</w:t>
            </w:r>
            <w:proofErr w:type="spellEnd"/>
            <w:r w:rsidRPr="00A3524C">
              <w:rPr>
                <w:sz w:val="20"/>
                <w:szCs w:val="20"/>
              </w:rPr>
              <w:t xml:space="preserve">, die vor Eingriffen des Staats schützen („To </w:t>
            </w:r>
            <w:proofErr w:type="spellStart"/>
            <w:r w:rsidRPr="00A3524C">
              <w:rPr>
                <w:sz w:val="20"/>
                <w:szCs w:val="20"/>
              </w:rPr>
              <w:t>protect</w:t>
            </w:r>
            <w:proofErr w:type="spellEnd"/>
            <w:r w:rsidRPr="00A3524C">
              <w:rPr>
                <w:sz w:val="20"/>
                <w:szCs w:val="20"/>
              </w:rPr>
              <w:t xml:space="preserve"> </w:t>
            </w:r>
            <w:proofErr w:type="spellStart"/>
            <w:r w:rsidRPr="00A3524C">
              <w:rPr>
                <w:sz w:val="20"/>
                <w:szCs w:val="20"/>
              </w:rPr>
              <w:t>that</w:t>
            </w:r>
            <w:proofErr w:type="spellEnd"/>
            <w:r w:rsidRPr="00A3524C">
              <w:rPr>
                <w:sz w:val="20"/>
                <w:szCs w:val="20"/>
              </w:rPr>
              <w:t xml:space="preserve"> </w:t>
            </w:r>
            <w:proofErr w:type="spellStart"/>
            <w:r w:rsidRPr="00A3524C">
              <w:rPr>
                <w:sz w:val="20"/>
                <w:szCs w:val="20"/>
              </w:rPr>
              <w:t>right</w:t>
            </w:r>
            <w:proofErr w:type="spellEnd"/>
            <w:r w:rsidRPr="00A3524C">
              <w:rPr>
                <w:sz w:val="20"/>
                <w:szCs w:val="20"/>
              </w:rPr>
              <w:t xml:space="preserve">, </w:t>
            </w:r>
            <w:proofErr w:type="spellStart"/>
            <w:r w:rsidRPr="00A3524C">
              <w:rPr>
                <w:sz w:val="20"/>
                <w:szCs w:val="20"/>
              </w:rPr>
              <w:t>every</w:t>
            </w:r>
            <w:proofErr w:type="spellEnd"/>
            <w:r w:rsidRPr="00A3524C">
              <w:rPr>
                <w:sz w:val="20"/>
                <w:szCs w:val="20"/>
              </w:rPr>
              <w:t xml:space="preserve"> </w:t>
            </w:r>
            <w:proofErr w:type="spellStart"/>
            <w:r w:rsidRPr="00A3524C">
              <w:rPr>
                <w:sz w:val="20"/>
                <w:szCs w:val="20"/>
              </w:rPr>
              <w:t>unjustifiable</w:t>
            </w:r>
            <w:proofErr w:type="spellEnd"/>
            <w:r w:rsidRPr="00A3524C">
              <w:rPr>
                <w:sz w:val="20"/>
                <w:szCs w:val="20"/>
              </w:rPr>
              <w:t xml:space="preserve"> </w:t>
            </w:r>
            <w:proofErr w:type="spellStart"/>
            <w:r w:rsidRPr="00A3524C">
              <w:rPr>
                <w:sz w:val="20"/>
                <w:szCs w:val="20"/>
              </w:rPr>
              <w:t>intrusion</w:t>
            </w:r>
            <w:proofErr w:type="spellEnd"/>
            <w:r w:rsidRPr="00A3524C">
              <w:rPr>
                <w:sz w:val="20"/>
                <w:szCs w:val="20"/>
              </w:rPr>
              <w:t xml:space="preserve"> by the Government</w:t>
            </w:r>
            <w:r>
              <w:rPr>
                <w:sz w:val="20"/>
                <w:szCs w:val="20"/>
              </w:rPr>
              <w:t xml:space="preserve"> […] </w:t>
            </w:r>
            <w:proofErr w:type="spellStart"/>
            <w:r w:rsidRPr="00947249">
              <w:rPr>
                <w:sz w:val="20"/>
                <w:szCs w:val="20"/>
              </w:rPr>
              <w:t>must</w:t>
            </w:r>
            <w:proofErr w:type="spellEnd"/>
            <w:r w:rsidRPr="00947249">
              <w:rPr>
                <w:sz w:val="20"/>
                <w:szCs w:val="20"/>
              </w:rPr>
              <w:t xml:space="preserve"> </w:t>
            </w:r>
            <w:proofErr w:type="spellStart"/>
            <w:r w:rsidRPr="00947249">
              <w:rPr>
                <w:sz w:val="20"/>
                <w:szCs w:val="20"/>
              </w:rPr>
              <w:t>be</w:t>
            </w:r>
            <w:proofErr w:type="spellEnd"/>
            <w:r w:rsidRPr="00947249">
              <w:rPr>
                <w:sz w:val="20"/>
                <w:szCs w:val="20"/>
              </w:rPr>
              <w:t xml:space="preserve"> </w:t>
            </w:r>
            <w:proofErr w:type="spellStart"/>
            <w:r w:rsidRPr="00947249">
              <w:rPr>
                <w:sz w:val="20"/>
                <w:szCs w:val="20"/>
              </w:rPr>
              <w:t>deemed</w:t>
            </w:r>
            <w:proofErr w:type="spellEnd"/>
            <w:r w:rsidRPr="00947249">
              <w:rPr>
                <w:sz w:val="20"/>
                <w:szCs w:val="20"/>
              </w:rPr>
              <w:t xml:space="preserve"> a </w:t>
            </w:r>
            <w:proofErr w:type="spellStart"/>
            <w:r w:rsidRPr="00947249">
              <w:rPr>
                <w:sz w:val="20"/>
                <w:szCs w:val="20"/>
              </w:rPr>
              <w:t>violation</w:t>
            </w:r>
            <w:proofErr w:type="spellEnd"/>
            <w:r w:rsidRPr="00947249">
              <w:rPr>
                <w:sz w:val="20"/>
                <w:szCs w:val="20"/>
              </w:rPr>
              <w:t xml:space="preserve"> of the </w:t>
            </w:r>
            <w:proofErr w:type="spellStart"/>
            <w:r w:rsidRPr="00947249">
              <w:rPr>
                <w:sz w:val="20"/>
                <w:szCs w:val="20"/>
              </w:rPr>
              <w:t>Fourth</w:t>
            </w:r>
            <w:proofErr w:type="spellEnd"/>
            <w:r w:rsidRPr="00947249">
              <w:rPr>
                <w:sz w:val="20"/>
                <w:szCs w:val="20"/>
              </w:rPr>
              <w:t xml:space="preserve"> Amendment</w:t>
            </w:r>
            <w:r w:rsidRPr="00A3524C">
              <w:rPr>
                <w:sz w:val="20"/>
                <w:szCs w:val="20"/>
              </w:rPr>
              <w:t>“</w:t>
            </w:r>
            <w:r w:rsidRPr="00A3524C">
              <w:rPr>
                <w:sz w:val="20"/>
                <w:szCs w:val="20"/>
                <w:vertAlign w:val="superscript"/>
              </w:rPr>
              <w:footnoteReference w:id="768"/>
            </w:r>
            <w:r w:rsidRPr="00A3524C">
              <w:rPr>
                <w:sz w:val="20"/>
                <w:szCs w:val="20"/>
              </w:rPr>
              <w:t>), gehör</w:t>
            </w:r>
            <w:r>
              <w:rPr>
                <w:sz w:val="20"/>
                <w:szCs w:val="20"/>
              </w:rPr>
              <w:t xml:space="preserve">e </w:t>
            </w:r>
            <w:r w:rsidRPr="00A3524C">
              <w:rPr>
                <w:sz w:val="20"/>
                <w:szCs w:val="20"/>
              </w:rPr>
              <w:t>auch</w:t>
            </w:r>
            <w:r>
              <w:rPr>
                <w:sz w:val="20"/>
                <w:szCs w:val="20"/>
              </w:rPr>
              <w:t>,</w:t>
            </w:r>
            <w:r w:rsidRPr="00A3524C">
              <w:rPr>
                <w:sz w:val="20"/>
                <w:szCs w:val="20"/>
              </w:rPr>
              <w:t xml:space="preserve"> die Religion frei ausüben zu können – hier </w:t>
            </w:r>
            <w:r>
              <w:rPr>
                <w:sz w:val="20"/>
                <w:szCs w:val="20"/>
              </w:rPr>
              <w:t xml:space="preserve">also </w:t>
            </w:r>
            <w:r w:rsidRPr="00A3524C">
              <w:rPr>
                <w:sz w:val="20"/>
                <w:szCs w:val="20"/>
              </w:rPr>
              <w:t xml:space="preserve">zur Privatsphäre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3524C">
              <w:rPr>
                <w:sz w:val="20"/>
                <w:szCs w:val="20"/>
                <w:vertAlign w:val="superscript"/>
              </w:rPr>
              <w:footnoteReference w:id="769"/>
            </w:r>
          </w:p>
        </w:tc>
      </w:tr>
      <w:tr w:rsidR="00074551" w:rsidRPr="00E50B51" w14:paraId="428FA1F2" w14:textId="77777777" w:rsidTr="00BE689F">
        <w:trPr>
          <w:cantSplit/>
          <w:trHeight w:val="3175"/>
        </w:trPr>
        <w:tc>
          <w:tcPr>
            <w:tcW w:w="293" w:type="pct"/>
          </w:tcPr>
          <w:p w14:paraId="69853C3F"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7652304" w14:textId="77777777" w:rsidR="00074551" w:rsidRPr="00B45592" w:rsidRDefault="00074551" w:rsidP="00367133">
            <w:pPr>
              <w:ind w:left="113" w:right="416"/>
              <w:jc w:val="both"/>
              <w:rPr>
                <w:i/>
                <w:sz w:val="20"/>
                <w:szCs w:val="20"/>
                <w:lang w:val="en-US"/>
              </w:rPr>
            </w:pPr>
            <w:r w:rsidRPr="00B45592">
              <w:rPr>
                <w:i/>
                <w:sz w:val="20"/>
                <w:szCs w:val="20"/>
              </w:rPr>
              <w:t>McCreary County v. ACLU</w:t>
            </w:r>
          </w:p>
        </w:tc>
        <w:tc>
          <w:tcPr>
            <w:tcW w:w="197" w:type="pct"/>
            <w:textDirection w:val="tbRl"/>
            <w:vAlign w:val="center"/>
          </w:tcPr>
          <w:p w14:paraId="3DFD1A08" w14:textId="77777777" w:rsidR="00074551" w:rsidRPr="00E50B51" w:rsidRDefault="00074551" w:rsidP="00367133">
            <w:pPr>
              <w:ind w:left="113" w:right="113"/>
              <w:jc w:val="both"/>
              <w:rPr>
                <w:sz w:val="20"/>
                <w:szCs w:val="20"/>
              </w:rPr>
            </w:pPr>
            <w:r w:rsidRPr="00E50B51">
              <w:rPr>
                <w:sz w:val="20"/>
                <w:szCs w:val="20"/>
                <w:lang w:val="en-US"/>
              </w:rPr>
              <w:t>545 U.S. 844</w:t>
            </w:r>
          </w:p>
        </w:tc>
        <w:tc>
          <w:tcPr>
            <w:tcW w:w="306" w:type="pct"/>
            <w:textDirection w:val="tbRl"/>
            <w:vAlign w:val="center"/>
          </w:tcPr>
          <w:p w14:paraId="31DC8CFC" w14:textId="77777777" w:rsidR="00074551" w:rsidRPr="00E50B51" w:rsidRDefault="00074551" w:rsidP="00367133">
            <w:pPr>
              <w:ind w:left="113" w:right="113"/>
              <w:jc w:val="both"/>
              <w:rPr>
                <w:sz w:val="20"/>
                <w:szCs w:val="20"/>
              </w:rPr>
            </w:pPr>
            <w:r w:rsidRPr="00E50B51">
              <w:rPr>
                <w:sz w:val="20"/>
                <w:szCs w:val="20"/>
              </w:rPr>
              <w:t>27. Juni 200</w:t>
            </w:r>
            <w:r>
              <w:rPr>
                <w:sz w:val="20"/>
                <w:szCs w:val="20"/>
              </w:rPr>
              <w:t>5</w:t>
            </w:r>
          </w:p>
        </w:tc>
        <w:tc>
          <w:tcPr>
            <w:tcW w:w="401" w:type="pct"/>
          </w:tcPr>
          <w:p w14:paraId="75195E7C" w14:textId="77777777" w:rsidR="00074551" w:rsidRPr="00E50B51" w:rsidRDefault="00074551" w:rsidP="00367133">
            <w:pPr>
              <w:jc w:val="center"/>
              <w:rPr>
                <w:sz w:val="20"/>
                <w:szCs w:val="20"/>
              </w:rPr>
            </w:pPr>
            <w:r w:rsidRPr="00E50B51">
              <w:rPr>
                <w:sz w:val="20"/>
                <w:szCs w:val="20"/>
              </w:rPr>
              <w:t>M/D</w:t>
            </w:r>
          </w:p>
        </w:tc>
        <w:tc>
          <w:tcPr>
            <w:tcW w:w="1594" w:type="pct"/>
          </w:tcPr>
          <w:p w14:paraId="694AAB10" w14:textId="77777777" w:rsidR="00074551" w:rsidRPr="00E50B51" w:rsidRDefault="00074551" w:rsidP="00367133">
            <w:pPr>
              <w:jc w:val="both"/>
              <w:rPr>
                <w:sz w:val="20"/>
                <w:szCs w:val="20"/>
              </w:rPr>
            </w:pPr>
            <w:r w:rsidRPr="00E50B51">
              <w:rPr>
                <w:sz w:val="20"/>
                <w:szCs w:val="20"/>
              </w:rPr>
              <w:t xml:space="preserve">Im Fall untersagte der </w:t>
            </w:r>
            <w:r>
              <w:rPr>
                <w:sz w:val="20"/>
                <w:szCs w:val="20"/>
              </w:rPr>
              <w:t>U.S. Supreme Court,</w:t>
            </w:r>
            <w:r w:rsidRPr="00E50B51">
              <w:rPr>
                <w:sz w:val="20"/>
                <w:szCs w:val="20"/>
              </w:rPr>
              <w:t xml:space="preserve"> die zehn Gebote bzw. ein </w:t>
            </w:r>
            <w:r>
              <w:rPr>
                <w:sz w:val="20"/>
                <w:szCs w:val="20"/>
              </w:rPr>
              <w:t>ihnen</w:t>
            </w:r>
            <w:r w:rsidRPr="00E50B51">
              <w:rPr>
                <w:sz w:val="20"/>
                <w:szCs w:val="20"/>
              </w:rPr>
              <w:t xml:space="preserve"> ähnliches religiöses Bekenntnis (</w:t>
            </w:r>
            <w:r w:rsidRPr="5B67C1D2">
              <w:rPr>
                <w:i/>
                <w:iCs/>
                <w:sz w:val="20"/>
                <w:szCs w:val="20"/>
              </w:rPr>
              <w:t>Foundations of American Law and Government</w:t>
            </w:r>
            <w:r w:rsidRPr="5B67C1D2">
              <w:rPr>
                <w:rStyle w:val="Funotenzeichen"/>
                <w:rFonts w:eastAsiaTheme="majorEastAsia"/>
                <w:sz w:val="20"/>
                <w:szCs w:val="20"/>
              </w:rPr>
              <w:footnoteReference w:id="770"/>
            </w:r>
            <w:r w:rsidRPr="00E50B51">
              <w:rPr>
                <w:sz w:val="20"/>
                <w:szCs w:val="20"/>
              </w:rPr>
              <w:t>) in Gerichtsgebäuden auszuhängen. Er stärkte damit das Neutralitätsgebot</w:t>
            </w:r>
            <w:r w:rsidRPr="5B67C1D2">
              <w:rPr>
                <w:rStyle w:val="Funotenzeichen"/>
                <w:rFonts w:eastAsiaTheme="majorEastAsia"/>
                <w:sz w:val="20"/>
                <w:szCs w:val="20"/>
              </w:rPr>
              <w:footnoteReference w:id="771"/>
            </w:r>
            <w:r w:rsidRPr="00E50B51">
              <w:rPr>
                <w:sz w:val="20"/>
                <w:szCs w:val="20"/>
              </w:rPr>
              <w:t xml:space="preserve"> und die Religionsfreiheit</w:t>
            </w:r>
            <w:r>
              <w:rPr>
                <w:sz w:val="20"/>
                <w:szCs w:val="20"/>
              </w:rPr>
              <w:t xml:space="preserve"> und -</w:t>
            </w:r>
            <w:proofErr w:type="spellStart"/>
            <w:r>
              <w:rPr>
                <w:sz w:val="20"/>
                <w:szCs w:val="20"/>
              </w:rPr>
              <w:t>ausübungsfreiheit</w:t>
            </w:r>
            <w:proofErr w:type="spellEnd"/>
            <w:r>
              <w:rPr>
                <w:sz w:val="20"/>
                <w:szCs w:val="20"/>
              </w:rPr>
              <w:t>.</w:t>
            </w:r>
          </w:p>
        </w:tc>
        <w:tc>
          <w:tcPr>
            <w:tcW w:w="1822" w:type="pct"/>
          </w:tcPr>
          <w:p w14:paraId="709173EE" w14:textId="77777777" w:rsidR="00074551" w:rsidRPr="00A3524C" w:rsidRDefault="00074551" w:rsidP="00367133">
            <w:pPr>
              <w:jc w:val="both"/>
              <w:rPr>
                <w:sz w:val="20"/>
                <w:szCs w:val="20"/>
              </w:rPr>
            </w:pPr>
            <w:r w:rsidRPr="00A3524C">
              <w:rPr>
                <w:sz w:val="20"/>
                <w:szCs w:val="20"/>
              </w:rPr>
              <w:t xml:space="preserve">In </w:t>
            </w:r>
            <w:r w:rsidRPr="5B67C1D2">
              <w:rPr>
                <w:i/>
                <w:iCs/>
                <w:sz w:val="20"/>
                <w:szCs w:val="20"/>
              </w:rPr>
              <w:t>McCreary County v. ACLU</w:t>
            </w:r>
            <w:r w:rsidRPr="00A3524C">
              <w:rPr>
                <w:sz w:val="20"/>
                <w:szCs w:val="20"/>
                <w:vertAlign w:val="superscript"/>
              </w:rPr>
              <w:footnoteReference w:id="772"/>
            </w:r>
            <w:r w:rsidRPr="00A3524C">
              <w:rPr>
                <w:sz w:val="20"/>
                <w:szCs w:val="20"/>
              </w:rPr>
              <w:t xml:space="preserve"> besprach der </w:t>
            </w:r>
            <w:r>
              <w:rPr>
                <w:sz w:val="20"/>
                <w:szCs w:val="20"/>
              </w:rPr>
              <w:t>U.S. Supreme Court</w:t>
            </w:r>
            <w:r w:rsidRPr="00A3524C">
              <w:rPr>
                <w:sz w:val="20"/>
                <w:szCs w:val="20"/>
              </w:rPr>
              <w:t xml:space="preserve">, dass die </w:t>
            </w:r>
            <w:r w:rsidRPr="5B67C1D2">
              <w:rPr>
                <w:i/>
                <w:iCs/>
                <w:sz w:val="20"/>
                <w:szCs w:val="20"/>
              </w:rPr>
              <w:t>Declaration of Independence</w:t>
            </w:r>
            <w:r w:rsidRPr="00A3524C">
              <w:rPr>
                <w:sz w:val="20"/>
                <w:szCs w:val="20"/>
              </w:rPr>
              <w:t xml:space="preserve">, respektive </w:t>
            </w:r>
            <w:r>
              <w:rPr>
                <w:sz w:val="20"/>
                <w:szCs w:val="20"/>
              </w:rPr>
              <w:t>das</w:t>
            </w:r>
            <w:r w:rsidRPr="00A3524C">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A3524C">
              <w:rPr>
                <w:sz w:val="20"/>
                <w:szCs w:val="20"/>
              </w:rPr>
              <w:t xml:space="preserve">, voraussetze, dass alle Macht vom Volk ausgehe als Teil des staatlichen Neutralitätsgebots und nicht als Teil religiöser Gebote. Das Urteil erklärte weiter: Zum </w:t>
            </w:r>
            <w:proofErr w:type="spellStart"/>
            <w:r w:rsidRPr="5B67C1D2">
              <w:rPr>
                <w:i/>
                <w:iCs/>
                <w:sz w:val="20"/>
                <w:szCs w:val="20"/>
              </w:rPr>
              <w:t>pursuit</w:t>
            </w:r>
            <w:proofErr w:type="spellEnd"/>
            <w:r w:rsidRPr="5B67C1D2">
              <w:rPr>
                <w:i/>
                <w:iCs/>
                <w:sz w:val="20"/>
                <w:szCs w:val="20"/>
              </w:rPr>
              <w:t xml:space="preserve"> of Happiness</w:t>
            </w:r>
            <w:r w:rsidRPr="00A3524C">
              <w:rPr>
                <w:sz w:val="20"/>
                <w:szCs w:val="20"/>
              </w:rPr>
              <w:t xml:space="preserve"> erklärten die </w:t>
            </w:r>
            <w:r w:rsidRPr="5B67C1D2">
              <w:rPr>
                <w:i/>
                <w:iCs/>
                <w:sz w:val="20"/>
                <w:szCs w:val="20"/>
              </w:rPr>
              <w:t>Foundations of American Law and Government</w:t>
            </w:r>
            <w:r>
              <w:rPr>
                <w:sz w:val="20"/>
                <w:szCs w:val="20"/>
              </w:rPr>
              <w:t>,</w:t>
            </w:r>
            <w:r w:rsidRPr="00A3524C">
              <w:rPr>
                <w:sz w:val="20"/>
                <w:szCs w:val="20"/>
                <w:vertAlign w:val="superscript"/>
              </w:rPr>
              <w:footnoteReference w:id="773"/>
            </w:r>
            <w:r w:rsidRPr="00A3524C">
              <w:rPr>
                <w:sz w:val="20"/>
                <w:szCs w:val="20"/>
              </w:rPr>
              <w:t xml:space="preserve"> die zehn Gebote bilde</w:t>
            </w:r>
            <w:r>
              <w:rPr>
                <w:sz w:val="20"/>
                <w:szCs w:val="20"/>
              </w:rPr>
              <w:t>te</w:t>
            </w:r>
            <w:r w:rsidRPr="00A3524C">
              <w:rPr>
                <w:sz w:val="20"/>
                <w:szCs w:val="20"/>
              </w:rPr>
              <w:t xml:space="preserve">n nicht den rechtlichen Hintergrund der </w:t>
            </w:r>
            <w:r w:rsidRPr="5B67C1D2">
              <w:rPr>
                <w:i/>
                <w:iCs/>
                <w:sz w:val="20"/>
                <w:szCs w:val="20"/>
              </w:rPr>
              <w:t>Declaration of Independence</w:t>
            </w:r>
            <w:r w:rsidRPr="00A3524C">
              <w:rPr>
                <w:sz w:val="20"/>
                <w:szCs w:val="20"/>
              </w:rPr>
              <w:t xml:space="preserve">. Denn die </w:t>
            </w:r>
            <w:r w:rsidRPr="5B67C1D2">
              <w:rPr>
                <w:i/>
                <w:iCs/>
                <w:sz w:val="20"/>
                <w:szCs w:val="20"/>
              </w:rPr>
              <w:t>Declaration of Independence</w:t>
            </w:r>
            <w:r w:rsidRPr="00A3524C">
              <w:rPr>
                <w:sz w:val="20"/>
                <w:szCs w:val="20"/>
              </w:rPr>
              <w:t xml:space="preserve"> als Teil des Neutralitätsgebots regle das Prinzip der Demokratie, nämlich: </w:t>
            </w:r>
            <w:r>
              <w:rPr>
                <w:sz w:val="20"/>
                <w:szCs w:val="20"/>
              </w:rPr>
              <w:t>Alle</w:t>
            </w:r>
            <w:r w:rsidRPr="00A3524C">
              <w:rPr>
                <w:sz w:val="20"/>
                <w:szCs w:val="20"/>
              </w:rPr>
              <w:t xml:space="preserve"> Macht gehe vom Volke aus („</w:t>
            </w:r>
            <w:proofErr w:type="spellStart"/>
            <w:r w:rsidRPr="00A3524C">
              <w:rPr>
                <w:sz w:val="20"/>
                <w:szCs w:val="20"/>
              </w:rPr>
              <w:t>from</w:t>
            </w:r>
            <w:proofErr w:type="spellEnd"/>
            <w:r w:rsidRPr="00A3524C">
              <w:rPr>
                <w:sz w:val="20"/>
                <w:szCs w:val="20"/>
              </w:rPr>
              <w:t xml:space="preserve"> the </w:t>
            </w:r>
            <w:proofErr w:type="spellStart"/>
            <w:r w:rsidRPr="00A3524C">
              <w:rPr>
                <w:sz w:val="20"/>
                <w:szCs w:val="20"/>
              </w:rPr>
              <w:t>consent</w:t>
            </w:r>
            <w:proofErr w:type="spellEnd"/>
            <w:r w:rsidRPr="00A3524C">
              <w:rPr>
                <w:sz w:val="20"/>
                <w:szCs w:val="20"/>
              </w:rPr>
              <w:t xml:space="preserve"> of the </w:t>
            </w:r>
            <w:proofErr w:type="spellStart"/>
            <w:r w:rsidRPr="00A3524C">
              <w:rPr>
                <w:sz w:val="20"/>
                <w:szCs w:val="20"/>
              </w:rPr>
              <w:t>governed</w:t>
            </w:r>
            <w:proofErr w:type="spellEnd"/>
            <w:r w:rsidRPr="00A3524C">
              <w:rPr>
                <w:sz w:val="20"/>
                <w:szCs w:val="20"/>
              </w:rPr>
              <w:t>“</w:t>
            </w:r>
            <w:r w:rsidRPr="00A3524C">
              <w:rPr>
                <w:sz w:val="20"/>
                <w:szCs w:val="20"/>
                <w:vertAlign w:val="superscript"/>
              </w:rPr>
              <w:footnoteReference w:id="774"/>
            </w:r>
            <w:r w:rsidRPr="00A3524C">
              <w:rPr>
                <w:sz w:val="20"/>
                <w:szCs w:val="20"/>
              </w:rPr>
              <w:t>), nicht von heiligen Imperativen („</w:t>
            </w:r>
            <w:proofErr w:type="spellStart"/>
            <w:r w:rsidRPr="00A3524C">
              <w:rPr>
                <w:sz w:val="20"/>
                <w:szCs w:val="20"/>
              </w:rPr>
              <w:t>divine</w:t>
            </w:r>
            <w:proofErr w:type="spellEnd"/>
            <w:r w:rsidRPr="00A3524C">
              <w:rPr>
                <w:sz w:val="20"/>
                <w:szCs w:val="20"/>
              </w:rPr>
              <w:t xml:space="preserve"> imperatives“</w:t>
            </w:r>
            <w:r w:rsidRPr="00A3524C">
              <w:rPr>
                <w:sz w:val="20"/>
                <w:szCs w:val="20"/>
                <w:vertAlign w:val="superscript"/>
              </w:rPr>
              <w:footnoteReference w:id="775"/>
            </w:r>
            <w:r w:rsidRPr="00A3524C">
              <w:rPr>
                <w:sz w:val="20"/>
                <w:szCs w:val="20"/>
              </w:rPr>
              <w:t xml:space="preserve">) – wie </w:t>
            </w:r>
            <w:r>
              <w:rPr>
                <w:sz w:val="20"/>
                <w:szCs w:val="20"/>
              </w:rPr>
              <w:t>den</w:t>
            </w:r>
            <w:r w:rsidRPr="00A3524C">
              <w:rPr>
                <w:sz w:val="20"/>
                <w:szCs w:val="20"/>
              </w:rPr>
              <w:t xml:space="preserve"> zehn Gebote</w:t>
            </w:r>
            <w:r>
              <w:rPr>
                <w:sz w:val="20"/>
                <w:szCs w:val="20"/>
              </w:rPr>
              <w:t>n</w:t>
            </w:r>
            <w:r w:rsidRPr="00A3524C">
              <w:rPr>
                <w:sz w:val="20"/>
                <w:szCs w:val="20"/>
              </w:rPr>
              <w:t>. Was sich auch daran zeige, dass das Recht auf Leben, Freiheit und auf ein Streben nach Glück („</w:t>
            </w:r>
            <w:proofErr w:type="spellStart"/>
            <w:r w:rsidRPr="00A3524C">
              <w:rPr>
                <w:sz w:val="20"/>
                <w:szCs w:val="20"/>
              </w:rPr>
              <w:t>rights</w:t>
            </w:r>
            <w:proofErr w:type="spellEnd"/>
            <w:r w:rsidRPr="00A3524C">
              <w:rPr>
                <w:sz w:val="20"/>
                <w:szCs w:val="20"/>
              </w:rPr>
              <w:t xml:space="preserve"> to </w:t>
            </w:r>
            <w:proofErr w:type="spellStart"/>
            <w:r w:rsidRPr="00A3524C">
              <w:rPr>
                <w:sz w:val="20"/>
                <w:szCs w:val="20"/>
              </w:rPr>
              <w:t>life</w:t>
            </w:r>
            <w:proofErr w:type="spellEnd"/>
            <w:r w:rsidRPr="00A3524C">
              <w:rPr>
                <w:sz w:val="20"/>
                <w:szCs w:val="20"/>
              </w:rPr>
              <w:t xml:space="preserve">, </w:t>
            </w:r>
            <w:proofErr w:type="spellStart"/>
            <w:r w:rsidRPr="00A3524C">
              <w:rPr>
                <w:sz w:val="20"/>
                <w:szCs w:val="20"/>
              </w:rPr>
              <w:t>liberty</w:t>
            </w:r>
            <w:proofErr w:type="spellEnd"/>
            <w:r w:rsidRPr="00A3524C">
              <w:rPr>
                <w:sz w:val="20"/>
                <w:szCs w:val="20"/>
              </w:rPr>
              <w:t xml:space="preserve"> and </w:t>
            </w:r>
            <w:proofErr w:type="spellStart"/>
            <w:r w:rsidRPr="00A3524C">
              <w:rPr>
                <w:sz w:val="20"/>
                <w:szCs w:val="20"/>
              </w:rPr>
              <w:t>happiness</w:t>
            </w:r>
            <w:proofErr w:type="spellEnd"/>
            <w:r w:rsidRPr="00A3524C">
              <w:rPr>
                <w:sz w:val="20"/>
                <w:szCs w:val="20"/>
              </w:rPr>
              <w:t>“</w:t>
            </w:r>
            <w:r w:rsidRPr="00A3524C">
              <w:rPr>
                <w:sz w:val="20"/>
                <w:szCs w:val="20"/>
                <w:vertAlign w:val="superscript"/>
              </w:rPr>
              <w:footnoteReference w:id="776"/>
            </w:r>
            <w:r w:rsidRPr="00A3524C">
              <w:rPr>
                <w:sz w:val="20"/>
                <w:szCs w:val="20"/>
              </w:rPr>
              <w:t xml:space="preserve">) zwar mit religiösen Grundsätzen vereinbar </w:t>
            </w:r>
            <w:r>
              <w:rPr>
                <w:sz w:val="20"/>
                <w:szCs w:val="20"/>
              </w:rPr>
              <w:t>sei</w:t>
            </w:r>
            <w:r w:rsidRPr="00A3524C">
              <w:rPr>
                <w:sz w:val="20"/>
                <w:szCs w:val="20"/>
              </w:rPr>
              <w:t>, diese aber – </w:t>
            </w:r>
            <w:r>
              <w:rPr>
                <w:sz w:val="20"/>
                <w:szCs w:val="20"/>
              </w:rPr>
              <w:t>z.B.</w:t>
            </w:r>
            <w:r w:rsidRPr="00A3524C">
              <w:rPr>
                <w:sz w:val="20"/>
                <w:szCs w:val="20"/>
              </w:rPr>
              <w:t xml:space="preserve"> vom Wortlaut – nicht voraussetze.</w:t>
            </w:r>
          </w:p>
          <w:p w14:paraId="1719599D" w14:textId="77777777" w:rsidR="00074551" w:rsidRPr="00E50B51" w:rsidRDefault="00074551" w:rsidP="00367133">
            <w:pPr>
              <w:jc w:val="both"/>
              <w:rPr>
                <w:sz w:val="20"/>
                <w:szCs w:val="20"/>
              </w:rPr>
            </w:pPr>
          </w:p>
        </w:tc>
      </w:tr>
      <w:tr w:rsidR="00074551" w:rsidRPr="0025175D" w14:paraId="74E0E7F2" w14:textId="77777777" w:rsidTr="00BE689F">
        <w:trPr>
          <w:cantSplit/>
          <w:trHeight w:val="3175"/>
        </w:trPr>
        <w:tc>
          <w:tcPr>
            <w:tcW w:w="293" w:type="pct"/>
          </w:tcPr>
          <w:p w14:paraId="1B44867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EE6B2D5" w14:textId="77777777" w:rsidR="00074551" w:rsidRPr="009167A5" w:rsidRDefault="00074551" w:rsidP="00367133">
            <w:pPr>
              <w:ind w:left="113" w:right="416"/>
              <w:jc w:val="both"/>
              <w:rPr>
                <w:sz w:val="20"/>
                <w:szCs w:val="20"/>
                <w:lang w:val="en-US"/>
              </w:rPr>
            </w:pPr>
            <w:r w:rsidRPr="009167A5">
              <w:rPr>
                <w:i/>
                <w:sz w:val="20"/>
                <w:szCs w:val="20"/>
                <w:lang w:val="en-US"/>
              </w:rPr>
              <w:t>Church of the Holy Trinity v. United States</w:t>
            </w:r>
          </w:p>
        </w:tc>
        <w:tc>
          <w:tcPr>
            <w:tcW w:w="197" w:type="pct"/>
            <w:textDirection w:val="tbRl"/>
            <w:vAlign w:val="center"/>
          </w:tcPr>
          <w:p w14:paraId="6367730A" w14:textId="77777777" w:rsidR="00074551" w:rsidRPr="00E50B51" w:rsidRDefault="00074551" w:rsidP="00367133">
            <w:pPr>
              <w:ind w:left="113" w:right="113"/>
              <w:jc w:val="both"/>
              <w:rPr>
                <w:sz w:val="20"/>
                <w:szCs w:val="20"/>
                <w:lang w:val="en-US"/>
              </w:rPr>
            </w:pPr>
            <w:r w:rsidRPr="00E50B51">
              <w:rPr>
                <w:sz w:val="20"/>
                <w:szCs w:val="20"/>
                <w:lang w:val="en-US"/>
              </w:rPr>
              <w:t>143 U.S. 457</w:t>
            </w:r>
          </w:p>
        </w:tc>
        <w:tc>
          <w:tcPr>
            <w:tcW w:w="306" w:type="pct"/>
            <w:textDirection w:val="tbRl"/>
            <w:vAlign w:val="center"/>
          </w:tcPr>
          <w:p w14:paraId="12B5226C" w14:textId="77777777" w:rsidR="00074551" w:rsidRPr="00E50B51" w:rsidRDefault="00074551" w:rsidP="00367133">
            <w:pPr>
              <w:ind w:left="113" w:right="113"/>
              <w:jc w:val="both"/>
              <w:rPr>
                <w:sz w:val="20"/>
                <w:szCs w:val="20"/>
              </w:rPr>
            </w:pPr>
            <w:r w:rsidRPr="00E50B51">
              <w:rPr>
                <w:sz w:val="20"/>
                <w:szCs w:val="20"/>
                <w:lang w:val="en-US"/>
              </w:rPr>
              <w:t xml:space="preserve">29. </w:t>
            </w:r>
            <w:proofErr w:type="spellStart"/>
            <w:r w:rsidRPr="00E50B51">
              <w:rPr>
                <w:sz w:val="20"/>
                <w:szCs w:val="20"/>
                <w:lang w:val="en-US"/>
              </w:rPr>
              <w:t>Februar</w:t>
            </w:r>
            <w:proofErr w:type="spellEnd"/>
            <w:r w:rsidRPr="00E50B51">
              <w:rPr>
                <w:sz w:val="20"/>
                <w:szCs w:val="20"/>
                <w:lang w:val="en-US"/>
              </w:rPr>
              <w:t xml:space="preserve"> 1892</w:t>
            </w:r>
          </w:p>
        </w:tc>
        <w:tc>
          <w:tcPr>
            <w:tcW w:w="401" w:type="pct"/>
          </w:tcPr>
          <w:p w14:paraId="49F65044"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0972220A" w14:textId="77777777" w:rsidR="00074551" w:rsidRPr="00E50B51" w:rsidRDefault="00074551" w:rsidP="00367133">
            <w:pPr>
              <w:jc w:val="both"/>
              <w:rPr>
                <w:sz w:val="20"/>
                <w:szCs w:val="20"/>
              </w:rPr>
            </w:pPr>
            <w:r w:rsidRPr="00E50B51">
              <w:rPr>
                <w:sz w:val="20"/>
                <w:szCs w:val="20"/>
              </w:rPr>
              <w:t>Im Fall ging es darum, dass eine klagende Kirche einen Vertrag mit einem Pastor in England schloss, der in die USA kommen sollte, um in ihrer Kirche zu arbeiten. Die Klägerin wurde daraufhin verurteilt, weil sie gegen ein Bundesgesetz</w:t>
            </w:r>
            <w:r>
              <w:rPr>
                <w:sz w:val="20"/>
                <w:szCs w:val="20"/>
              </w:rPr>
              <w:t xml:space="preserve">, den sog. </w:t>
            </w:r>
            <w:bookmarkStart w:id="44" w:name="_Hlk228743591"/>
            <w:r w:rsidRPr="5B67C1D2">
              <w:rPr>
                <w:i/>
                <w:iCs/>
                <w:sz w:val="20"/>
                <w:szCs w:val="20"/>
              </w:rPr>
              <w:t xml:space="preserve">Act of </w:t>
            </w:r>
            <w:proofErr w:type="spellStart"/>
            <w:r w:rsidRPr="5B67C1D2">
              <w:rPr>
                <w:i/>
                <w:iCs/>
                <w:sz w:val="20"/>
                <w:szCs w:val="20"/>
              </w:rPr>
              <w:t>February</w:t>
            </w:r>
            <w:proofErr w:type="spellEnd"/>
            <w:r w:rsidRPr="5B67C1D2">
              <w:rPr>
                <w:i/>
                <w:iCs/>
                <w:sz w:val="20"/>
                <w:szCs w:val="20"/>
              </w:rPr>
              <w:t xml:space="preserve"> 26, 1885</w:t>
            </w:r>
            <w:r w:rsidRPr="00E50B51">
              <w:rPr>
                <w:sz w:val="20"/>
                <w:szCs w:val="20"/>
              </w:rPr>
              <w:t>, 23 Stat. 332, c. 164</w:t>
            </w:r>
            <w:bookmarkEnd w:id="44"/>
            <w:r>
              <w:rPr>
                <w:sz w:val="20"/>
                <w:szCs w:val="20"/>
              </w:rPr>
              <w:t>,</w:t>
            </w:r>
            <w:r w:rsidRPr="5B67C1D2">
              <w:rPr>
                <w:rStyle w:val="Funotenzeichen"/>
                <w:rFonts w:eastAsiaTheme="majorEastAsia"/>
                <w:sz w:val="20"/>
                <w:szCs w:val="20"/>
              </w:rPr>
              <w:footnoteReference w:id="777"/>
            </w:r>
            <w:r w:rsidRPr="00E50B51">
              <w:rPr>
                <w:sz w:val="20"/>
                <w:szCs w:val="20"/>
              </w:rPr>
              <w:t xml:space="preserve"> verstoßen hatte</w:t>
            </w:r>
            <w:r>
              <w:rPr>
                <w:sz w:val="20"/>
                <w:szCs w:val="20"/>
              </w:rPr>
              <w:t xml:space="preserve">. Dieses Gesetz verbot </w:t>
            </w:r>
            <w:r w:rsidRPr="00E50B51">
              <w:rPr>
                <w:sz w:val="20"/>
                <w:szCs w:val="20"/>
              </w:rPr>
              <w:t>es einem Arbeitgeber, mit ausländischen Arbeitskräften einen Arbeitsvertrag abzuschließen, damit diese in die USA kommen</w:t>
            </w:r>
            <w:r>
              <w:rPr>
                <w:sz w:val="20"/>
                <w:szCs w:val="20"/>
              </w:rPr>
              <w:t xml:space="preserve"> können</w:t>
            </w:r>
            <w:r w:rsidRPr="00E50B51">
              <w:rPr>
                <w:sz w:val="20"/>
                <w:szCs w:val="20"/>
              </w:rPr>
              <w:t xml:space="preserve">. Der </w:t>
            </w:r>
            <w:r>
              <w:rPr>
                <w:sz w:val="20"/>
                <w:szCs w:val="20"/>
              </w:rPr>
              <w:t>U.S. Supreme Court</w:t>
            </w:r>
            <w:r w:rsidRPr="00E50B51">
              <w:rPr>
                <w:sz w:val="20"/>
                <w:szCs w:val="20"/>
              </w:rPr>
              <w:t xml:space="preserve"> meinte, dass der Begriff Arbeitskraft („</w:t>
            </w:r>
            <w:proofErr w:type="spellStart"/>
            <w:r w:rsidRPr="00E50B51">
              <w:rPr>
                <w:sz w:val="20"/>
                <w:szCs w:val="20"/>
              </w:rPr>
              <w:t>laborer</w:t>
            </w:r>
            <w:proofErr w:type="spellEnd"/>
            <w:r w:rsidRPr="00E50B51">
              <w:rPr>
                <w:sz w:val="20"/>
                <w:szCs w:val="20"/>
              </w:rPr>
              <w:t>“</w:t>
            </w:r>
            <w:r>
              <w:rPr>
                <w:rStyle w:val="Funotenzeichen"/>
                <w:sz w:val="20"/>
                <w:szCs w:val="20"/>
              </w:rPr>
              <w:footnoteReference w:id="778"/>
            </w:r>
            <w:r w:rsidRPr="00E50B51">
              <w:rPr>
                <w:sz w:val="20"/>
                <w:szCs w:val="20"/>
              </w:rPr>
              <w:t xml:space="preserve">) im Bundesgesetz nur für ungelernte Arbeitskräfte gelte, nicht aber für Berufsgruppen wie Pfarrer. Das Gesetz </w:t>
            </w:r>
            <w:r>
              <w:rPr>
                <w:sz w:val="20"/>
                <w:szCs w:val="20"/>
              </w:rPr>
              <w:t>sei</w:t>
            </w:r>
            <w:r w:rsidRPr="00E50B51">
              <w:rPr>
                <w:sz w:val="20"/>
                <w:szCs w:val="20"/>
              </w:rPr>
              <w:t xml:space="preserve"> nicht </w:t>
            </w:r>
            <w:r>
              <w:rPr>
                <w:sz w:val="20"/>
                <w:szCs w:val="20"/>
              </w:rPr>
              <w:t xml:space="preserve">auf derart qualifizierte Arbeitskräfte </w:t>
            </w:r>
            <w:r w:rsidRPr="00E50B51">
              <w:rPr>
                <w:sz w:val="20"/>
                <w:szCs w:val="20"/>
              </w:rPr>
              <w:t>anwendbar.</w:t>
            </w:r>
            <w:r>
              <w:rPr>
                <w:rStyle w:val="Funotenzeichen"/>
                <w:sz w:val="20"/>
                <w:szCs w:val="20"/>
              </w:rPr>
              <w:footnoteReference w:id="779"/>
            </w:r>
          </w:p>
          <w:p w14:paraId="7A908B3B" w14:textId="77777777" w:rsidR="00074551" w:rsidRPr="0015398C" w:rsidRDefault="00074551" w:rsidP="00367133">
            <w:pPr>
              <w:jc w:val="both"/>
              <w:rPr>
                <w:sz w:val="20"/>
                <w:szCs w:val="20"/>
              </w:rPr>
            </w:pPr>
          </w:p>
        </w:tc>
        <w:tc>
          <w:tcPr>
            <w:tcW w:w="1822" w:type="pct"/>
          </w:tcPr>
          <w:p w14:paraId="163A6014" w14:textId="77777777" w:rsidR="00074551" w:rsidRPr="0025175D" w:rsidRDefault="00074551" w:rsidP="00367133">
            <w:pPr>
              <w:jc w:val="both"/>
              <w:rPr>
                <w:sz w:val="20"/>
                <w:szCs w:val="20"/>
              </w:rPr>
            </w:pPr>
            <w:r w:rsidRPr="0025175D">
              <w:rPr>
                <w:sz w:val="20"/>
                <w:szCs w:val="20"/>
              </w:rPr>
              <w:t xml:space="preserve">Zum </w:t>
            </w:r>
            <w:proofErr w:type="spellStart"/>
            <w:r w:rsidRPr="5B67C1D2">
              <w:rPr>
                <w:i/>
                <w:iCs/>
                <w:sz w:val="20"/>
                <w:szCs w:val="20"/>
              </w:rPr>
              <w:t>pursuit</w:t>
            </w:r>
            <w:proofErr w:type="spellEnd"/>
            <w:r w:rsidRPr="5B67C1D2">
              <w:rPr>
                <w:i/>
                <w:iCs/>
                <w:sz w:val="20"/>
                <w:szCs w:val="20"/>
              </w:rPr>
              <w:t xml:space="preserve"> of Happiness </w:t>
            </w:r>
            <w:r w:rsidRPr="0025175D">
              <w:rPr>
                <w:sz w:val="20"/>
                <w:szCs w:val="20"/>
              </w:rPr>
              <w:t xml:space="preserve">bindet der </w:t>
            </w:r>
            <w:r>
              <w:rPr>
                <w:sz w:val="20"/>
                <w:szCs w:val="20"/>
              </w:rPr>
              <w:t>U.S. Supreme Court</w:t>
            </w:r>
            <w:r w:rsidRPr="0025175D">
              <w:rPr>
                <w:sz w:val="20"/>
                <w:szCs w:val="20"/>
              </w:rPr>
              <w:t xml:space="preserve"> die Religionsausübungsfreiheit einerseits an den Wortlaut der </w:t>
            </w:r>
            <w:r w:rsidRPr="5B67C1D2">
              <w:rPr>
                <w:i/>
                <w:iCs/>
                <w:sz w:val="20"/>
                <w:szCs w:val="20"/>
              </w:rPr>
              <w:t>Declaration of Independence</w:t>
            </w:r>
            <w:r w:rsidRPr="0025175D">
              <w:rPr>
                <w:sz w:val="20"/>
                <w:szCs w:val="20"/>
              </w:rPr>
              <w:t xml:space="preserve">, nämlich an </w:t>
            </w:r>
            <w:proofErr w:type="spellStart"/>
            <w:r>
              <w:rPr>
                <w:sz w:val="20"/>
                <w:szCs w:val="20"/>
              </w:rPr>
              <w:t>para</w:t>
            </w:r>
            <w:proofErr w:type="spellEnd"/>
            <w:r>
              <w:rPr>
                <w:sz w:val="20"/>
                <w:szCs w:val="20"/>
              </w:rPr>
              <w:t>.</w:t>
            </w:r>
            <w:r w:rsidRPr="0025175D">
              <w:rPr>
                <w:sz w:val="20"/>
                <w:szCs w:val="20"/>
              </w:rPr>
              <w:t xml:space="preserve"> </w:t>
            </w:r>
            <w:r w:rsidRPr="00B45592">
              <w:rPr>
                <w:sz w:val="20"/>
                <w:szCs w:val="20"/>
                <w:lang w:val="en-IE"/>
              </w:rPr>
              <w:t>2 s. 1 – </w:t>
            </w:r>
            <w:proofErr w:type="spellStart"/>
            <w:r w:rsidRPr="00B45592">
              <w:rPr>
                <w:sz w:val="20"/>
                <w:szCs w:val="20"/>
                <w:lang w:val="en-IE"/>
              </w:rPr>
              <w:t>hier</w:t>
            </w:r>
            <w:proofErr w:type="spellEnd"/>
            <w:r w:rsidRPr="00B45592">
              <w:rPr>
                <w:sz w:val="20"/>
                <w:szCs w:val="20"/>
                <w:lang w:val="en-IE"/>
              </w:rPr>
              <w:t xml:space="preserve"> das </w:t>
            </w:r>
            <w:r w:rsidRPr="5B67C1D2">
              <w:rPr>
                <w:i/>
                <w:iCs/>
                <w:sz w:val="20"/>
                <w:szCs w:val="20"/>
                <w:lang w:val="en-IE"/>
              </w:rPr>
              <w:t>pursuit of Happiness</w:t>
            </w:r>
            <w:r w:rsidRPr="0025175D">
              <w:rPr>
                <w:sz w:val="20"/>
                <w:szCs w:val="20"/>
                <w:vertAlign w:val="superscript"/>
              </w:rPr>
              <w:footnoteReference w:id="780"/>
            </w:r>
            <w:r w:rsidRPr="00B45592">
              <w:rPr>
                <w:sz w:val="20"/>
                <w:szCs w:val="20"/>
                <w:lang w:val="en-IE"/>
              </w:rPr>
              <w:t xml:space="preserve">– </w:t>
            </w:r>
            <w:proofErr w:type="spellStart"/>
            <w:r w:rsidRPr="00B45592">
              <w:rPr>
                <w:sz w:val="20"/>
                <w:szCs w:val="20"/>
                <w:lang w:val="en-IE"/>
              </w:rPr>
              <w:t>sowie</w:t>
            </w:r>
            <w:proofErr w:type="spellEnd"/>
            <w:r w:rsidRPr="00B45592">
              <w:rPr>
                <w:sz w:val="20"/>
                <w:szCs w:val="20"/>
                <w:lang w:val="en-IE"/>
              </w:rPr>
              <w:t xml:space="preserve"> an para. 24 s. 1</w:t>
            </w:r>
            <w:r w:rsidRPr="0025175D">
              <w:rPr>
                <w:sz w:val="20"/>
                <w:szCs w:val="20"/>
                <w:vertAlign w:val="superscript"/>
              </w:rPr>
              <w:footnoteReference w:id="781"/>
            </w:r>
            <w:r w:rsidRPr="00B45592">
              <w:rPr>
                <w:sz w:val="20"/>
                <w:szCs w:val="20"/>
                <w:lang w:val="en-IE"/>
              </w:rPr>
              <w:t xml:space="preserve"> und an para. 24 </w:t>
            </w:r>
            <w:proofErr w:type="spellStart"/>
            <w:r w:rsidRPr="00B45592">
              <w:rPr>
                <w:sz w:val="20"/>
                <w:szCs w:val="20"/>
                <w:lang w:val="en-IE"/>
              </w:rPr>
              <w:t>a.E.</w:t>
            </w:r>
            <w:proofErr w:type="spellEnd"/>
            <w:r w:rsidRPr="0025175D">
              <w:rPr>
                <w:sz w:val="20"/>
                <w:szCs w:val="20"/>
                <w:vertAlign w:val="superscript"/>
              </w:rPr>
              <w:footnoteReference w:id="782"/>
            </w:r>
            <w:r w:rsidRPr="00B45592">
              <w:rPr>
                <w:sz w:val="20"/>
                <w:szCs w:val="20"/>
                <w:lang w:val="en-IE"/>
              </w:rPr>
              <w:t xml:space="preserve"> </w:t>
            </w:r>
            <w:proofErr w:type="spellStart"/>
            <w:r w:rsidRPr="0025175D">
              <w:rPr>
                <w:sz w:val="20"/>
                <w:szCs w:val="20"/>
                <w:lang w:val="en-US"/>
              </w:rPr>
              <w:t>Indem</w:t>
            </w:r>
            <w:proofErr w:type="spellEnd"/>
            <w:r w:rsidRPr="0025175D">
              <w:rPr>
                <w:sz w:val="20"/>
                <w:szCs w:val="20"/>
                <w:lang w:val="en-US"/>
              </w:rPr>
              <w:t xml:space="preserve"> der </w:t>
            </w:r>
            <w:r>
              <w:rPr>
                <w:sz w:val="20"/>
                <w:szCs w:val="20"/>
                <w:lang w:val="en-US"/>
              </w:rPr>
              <w:t>U.S. Supreme Court</w:t>
            </w:r>
            <w:r w:rsidRPr="0025175D">
              <w:rPr>
                <w:sz w:val="20"/>
                <w:szCs w:val="20"/>
                <w:lang w:val="en-US"/>
              </w:rPr>
              <w:t xml:space="preserve"> </w:t>
            </w:r>
            <w:proofErr w:type="spellStart"/>
            <w:r w:rsidRPr="0025175D">
              <w:rPr>
                <w:sz w:val="20"/>
                <w:szCs w:val="20"/>
                <w:lang w:val="en-US"/>
              </w:rPr>
              <w:t>damit</w:t>
            </w:r>
            <w:proofErr w:type="spellEnd"/>
            <w:r w:rsidRPr="0025175D">
              <w:rPr>
                <w:sz w:val="20"/>
                <w:szCs w:val="20"/>
                <w:lang w:val="en-US"/>
              </w:rPr>
              <w:t xml:space="preserve"> die </w:t>
            </w:r>
            <w:proofErr w:type="spellStart"/>
            <w:r w:rsidRPr="0025175D">
              <w:rPr>
                <w:sz w:val="20"/>
                <w:szCs w:val="20"/>
                <w:lang w:val="en-US"/>
              </w:rPr>
              <w:t>Ausübung</w:t>
            </w:r>
            <w:proofErr w:type="spellEnd"/>
            <w:r w:rsidRPr="0025175D">
              <w:rPr>
                <w:sz w:val="20"/>
                <w:szCs w:val="20"/>
                <w:lang w:val="en-US"/>
              </w:rPr>
              <w:t xml:space="preserve"> der Religion </w:t>
            </w:r>
            <w:proofErr w:type="gramStart"/>
            <w:r w:rsidRPr="0025175D">
              <w:rPr>
                <w:sz w:val="20"/>
                <w:szCs w:val="20"/>
                <w:lang w:val="en-US"/>
              </w:rPr>
              <w:t>an</w:t>
            </w:r>
            <w:proofErr w:type="gramEnd"/>
            <w:r w:rsidRPr="0025175D">
              <w:rPr>
                <w:sz w:val="20"/>
                <w:szCs w:val="20"/>
                <w:lang w:val="en-US"/>
              </w:rPr>
              <w:t xml:space="preserve"> die </w:t>
            </w:r>
            <w:proofErr w:type="spellStart"/>
            <w:r w:rsidRPr="0025175D">
              <w:rPr>
                <w:sz w:val="20"/>
                <w:szCs w:val="20"/>
                <w:lang w:val="en-US"/>
              </w:rPr>
              <w:t>unveräußerlichen</w:t>
            </w:r>
            <w:proofErr w:type="spellEnd"/>
            <w:r w:rsidRPr="0025175D">
              <w:rPr>
                <w:sz w:val="20"/>
                <w:szCs w:val="20"/>
                <w:lang w:val="en-US"/>
              </w:rPr>
              <w:t xml:space="preserve"> Rechte </w:t>
            </w:r>
            <w:proofErr w:type="spellStart"/>
            <w:r w:rsidRPr="0025175D">
              <w:rPr>
                <w:sz w:val="20"/>
                <w:szCs w:val="20"/>
                <w:lang w:val="en-US"/>
              </w:rPr>
              <w:t>wie</w:t>
            </w:r>
            <w:proofErr w:type="spellEnd"/>
            <w:r w:rsidRPr="0025175D">
              <w:rPr>
                <w:sz w:val="20"/>
                <w:szCs w:val="20"/>
                <w:lang w:val="en-US"/>
              </w:rPr>
              <w:t xml:space="preserve"> das </w:t>
            </w:r>
            <w:proofErr w:type="spellStart"/>
            <w:r w:rsidRPr="0025175D">
              <w:rPr>
                <w:sz w:val="20"/>
                <w:szCs w:val="20"/>
                <w:lang w:val="en-US"/>
              </w:rPr>
              <w:t>Streben</w:t>
            </w:r>
            <w:proofErr w:type="spellEnd"/>
            <w:r w:rsidRPr="0025175D">
              <w:rPr>
                <w:sz w:val="20"/>
                <w:szCs w:val="20"/>
                <w:lang w:val="en-US"/>
              </w:rPr>
              <w:t xml:space="preserve"> </w:t>
            </w:r>
            <w:proofErr w:type="spellStart"/>
            <w:r w:rsidRPr="0025175D">
              <w:rPr>
                <w:sz w:val="20"/>
                <w:szCs w:val="20"/>
                <w:lang w:val="en-US"/>
              </w:rPr>
              <w:t>nach</w:t>
            </w:r>
            <w:proofErr w:type="spellEnd"/>
            <w:r w:rsidRPr="0025175D">
              <w:rPr>
                <w:sz w:val="20"/>
                <w:szCs w:val="20"/>
                <w:lang w:val="en-US"/>
              </w:rPr>
              <w:t xml:space="preserve"> Glück </w:t>
            </w:r>
            <w:proofErr w:type="spellStart"/>
            <w:r w:rsidRPr="0025175D">
              <w:rPr>
                <w:sz w:val="20"/>
                <w:szCs w:val="20"/>
                <w:lang w:val="en-US"/>
              </w:rPr>
              <w:t>bindet</w:t>
            </w:r>
            <w:proofErr w:type="spellEnd"/>
            <w:r w:rsidRPr="0025175D">
              <w:rPr>
                <w:sz w:val="20"/>
                <w:szCs w:val="20"/>
                <w:lang w:val="en-US"/>
              </w:rPr>
              <w:t xml:space="preserve">, </w:t>
            </w:r>
            <w:proofErr w:type="spellStart"/>
            <w:r w:rsidRPr="0025175D">
              <w:rPr>
                <w:sz w:val="20"/>
                <w:szCs w:val="20"/>
                <w:lang w:val="en-US"/>
              </w:rPr>
              <w:t>stärkt</w:t>
            </w:r>
            <w:proofErr w:type="spellEnd"/>
            <w:r w:rsidRPr="0025175D">
              <w:rPr>
                <w:sz w:val="20"/>
                <w:szCs w:val="20"/>
                <w:lang w:val="en-US"/>
              </w:rPr>
              <w:t xml:space="preserve"> er </w:t>
            </w:r>
            <w:proofErr w:type="spellStart"/>
            <w:r w:rsidRPr="0025175D">
              <w:rPr>
                <w:sz w:val="20"/>
                <w:szCs w:val="20"/>
                <w:lang w:val="en-US"/>
              </w:rPr>
              <w:t>sie</w:t>
            </w:r>
            <w:proofErr w:type="spellEnd"/>
            <w:r w:rsidRPr="0025175D">
              <w:rPr>
                <w:sz w:val="20"/>
                <w:szCs w:val="20"/>
                <w:lang w:val="en-US"/>
              </w:rPr>
              <w:t xml:space="preserve"> („As the happiness of a people and the good order and preservation of civil government essentially depend upon piety, religion and </w:t>
            </w:r>
            <w:proofErr w:type="gramStart"/>
            <w:r w:rsidRPr="0025175D">
              <w:rPr>
                <w:sz w:val="20"/>
                <w:szCs w:val="20"/>
                <w:lang w:val="en-US"/>
              </w:rPr>
              <w:t>morality“</w:t>
            </w:r>
            <w:proofErr w:type="gramEnd"/>
            <w:r w:rsidRPr="0025175D">
              <w:rPr>
                <w:sz w:val="20"/>
                <w:szCs w:val="20"/>
                <w:vertAlign w:val="superscript"/>
                <w:lang w:val="en-US"/>
              </w:rPr>
              <w:footnoteReference w:id="783"/>
            </w:r>
            <w:r w:rsidRPr="0025175D">
              <w:rPr>
                <w:sz w:val="20"/>
                <w:szCs w:val="20"/>
                <w:lang w:val="en-US"/>
              </w:rPr>
              <w:t xml:space="preserve"> und „essential to the </w:t>
            </w:r>
            <w:proofErr w:type="spellStart"/>
            <w:r w:rsidRPr="0025175D">
              <w:rPr>
                <w:sz w:val="20"/>
                <w:szCs w:val="20"/>
                <w:lang w:val="en-US"/>
              </w:rPr>
              <w:t>well being</w:t>
            </w:r>
            <w:proofErr w:type="spellEnd"/>
            <w:r w:rsidRPr="0025175D">
              <w:rPr>
                <w:sz w:val="20"/>
                <w:szCs w:val="20"/>
                <w:lang w:val="en-US"/>
              </w:rPr>
              <w:t xml:space="preserve"> of the </w:t>
            </w:r>
            <w:proofErr w:type="gramStart"/>
            <w:r w:rsidRPr="0025175D">
              <w:rPr>
                <w:sz w:val="20"/>
                <w:szCs w:val="20"/>
                <w:lang w:val="en-US"/>
              </w:rPr>
              <w:t>community“</w:t>
            </w:r>
            <w:proofErr w:type="gramEnd"/>
            <w:r w:rsidRPr="0025175D">
              <w:rPr>
                <w:sz w:val="20"/>
                <w:szCs w:val="20"/>
                <w:vertAlign w:val="superscript"/>
              </w:rPr>
              <w:footnoteReference w:id="784"/>
            </w:r>
            <w:r w:rsidRPr="0025175D">
              <w:rPr>
                <w:sz w:val="20"/>
                <w:szCs w:val="20"/>
                <w:lang w:val="en-US"/>
              </w:rPr>
              <w:t xml:space="preserve">). </w:t>
            </w:r>
            <w:r w:rsidRPr="0025175D">
              <w:rPr>
                <w:sz w:val="20"/>
                <w:szCs w:val="20"/>
              </w:rPr>
              <w:t xml:space="preserve">Wenn nunmehr die Regierung als Volkssouverän die Religionsausübungsfreiheit mit Gesetzen einschränke, dann wäre dies zunächst eine unzulässige </w:t>
            </w:r>
            <w:r>
              <w:rPr>
                <w:sz w:val="20"/>
                <w:szCs w:val="20"/>
              </w:rPr>
              <w:t>Be</w:t>
            </w:r>
            <w:r w:rsidRPr="0025175D">
              <w:rPr>
                <w:sz w:val="20"/>
                <w:szCs w:val="20"/>
              </w:rPr>
              <w:t>schränkung des Glücksstreben</w:t>
            </w:r>
            <w:r>
              <w:rPr>
                <w:sz w:val="20"/>
                <w:szCs w:val="20"/>
              </w:rPr>
              <w:t>s</w:t>
            </w:r>
            <w:r w:rsidRPr="0025175D">
              <w:rPr>
                <w:sz w:val="20"/>
                <w:szCs w:val="20"/>
              </w:rPr>
              <w:t xml:space="preserve"> und des Volks durch die Regierung („</w:t>
            </w:r>
            <w:proofErr w:type="spellStart"/>
            <w:r w:rsidRPr="0025175D">
              <w:rPr>
                <w:sz w:val="20"/>
                <w:szCs w:val="20"/>
              </w:rPr>
              <w:t>No</w:t>
            </w:r>
            <w:proofErr w:type="spellEnd"/>
            <w:r w:rsidRPr="0025175D">
              <w:rPr>
                <w:sz w:val="20"/>
                <w:szCs w:val="20"/>
              </w:rPr>
              <w:t xml:space="preserve"> </w:t>
            </w:r>
            <w:proofErr w:type="spellStart"/>
            <w:r w:rsidRPr="0025175D">
              <w:rPr>
                <w:sz w:val="20"/>
                <w:szCs w:val="20"/>
              </w:rPr>
              <w:t>purpose</w:t>
            </w:r>
            <w:proofErr w:type="spellEnd"/>
            <w:r w:rsidRPr="0025175D">
              <w:rPr>
                <w:sz w:val="20"/>
                <w:szCs w:val="20"/>
              </w:rPr>
              <w:t xml:space="preserve"> of </w:t>
            </w:r>
            <w:proofErr w:type="spellStart"/>
            <w:r w:rsidRPr="0025175D">
              <w:rPr>
                <w:sz w:val="20"/>
                <w:szCs w:val="20"/>
              </w:rPr>
              <w:t>action</w:t>
            </w:r>
            <w:proofErr w:type="spellEnd"/>
            <w:r w:rsidRPr="0025175D">
              <w:rPr>
                <w:sz w:val="20"/>
                <w:szCs w:val="20"/>
              </w:rPr>
              <w:t xml:space="preserve"> </w:t>
            </w:r>
            <w:proofErr w:type="spellStart"/>
            <w:r w:rsidRPr="0025175D">
              <w:rPr>
                <w:sz w:val="20"/>
                <w:szCs w:val="20"/>
              </w:rPr>
              <w:t>against</w:t>
            </w:r>
            <w:proofErr w:type="spellEnd"/>
            <w:r w:rsidRPr="0025175D">
              <w:rPr>
                <w:sz w:val="20"/>
                <w:szCs w:val="20"/>
              </w:rPr>
              <w:t xml:space="preserve"> </w:t>
            </w:r>
            <w:proofErr w:type="spellStart"/>
            <w:r w:rsidRPr="0025175D">
              <w:rPr>
                <w:sz w:val="20"/>
                <w:szCs w:val="20"/>
              </w:rPr>
              <w:t>religion</w:t>
            </w:r>
            <w:proofErr w:type="spellEnd"/>
            <w:r w:rsidRPr="0025175D">
              <w:rPr>
                <w:sz w:val="20"/>
                <w:szCs w:val="20"/>
              </w:rPr>
              <w:t xml:space="preserve"> </w:t>
            </w:r>
            <w:proofErr w:type="spellStart"/>
            <w:r w:rsidRPr="0025175D">
              <w:rPr>
                <w:sz w:val="20"/>
                <w:szCs w:val="20"/>
              </w:rPr>
              <w:t>can</w:t>
            </w:r>
            <w:proofErr w:type="spellEnd"/>
            <w:r w:rsidRPr="0025175D">
              <w:rPr>
                <w:sz w:val="20"/>
                <w:szCs w:val="20"/>
              </w:rPr>
              <w:t xml:space="preserve"> </w:t>
            </w:r>
            <w:proofErr w:type="spellStart"/>
            <w:r w:rsidRPr="0025175D">
              <w:rPr>
                <w:sz w:val="20"/>
                <w:szCs w:val="20"/>
              </w:rPr>
              <w:t>be</w:t>
            </w:r>
            <w:proofErr w:type="spellEnd"/>
            <w:r w:rsidRPr="0025175D">
              <w:rPr>
                <w:sz w:val="20"/>
                <w:szCs w:val="20"/>
              </w:rPr>
              <w:t xml:space="preserve"> </w:t>
            </w:r>
            <w:proofErr w:type="spellStart"/>
            <w:r w:rsidRPr="0025175D">
              <w:rPr>
                <w:sz w:val="20"/>
                <w:szCs w:val="20"/>
              </w:rPr>
              <w:t>imputed</w:t>
            </w:r>
            <w:proofErr w:type="spellEnd"/>
            <w:r w:rsidRPr="0025175D">
              <w:rPr>
                <w:sz w:val="20"/>
                <w:szCs w:val="20"/>
              </w:rPr>
              <w:t xml:space="preserve"> to </w:t>
            </w:r>
            <w:proofErr w:type="spellStart"/>
            <w:r w:rsidRPr="0025175D">
              <w:rPr>
                <w:sz w:val="20"/>
                <w:szCs w:val="20"/>
              </w:rPr>
              <w:t>any</w:t>
            </w:r>
            <w:proofErr w:type="spellEnd"/>
            <w:r w:rsidRPr="0025175D">
              <w:rPr>
                <w:sz w:val="20"/>
                <w:szCs w:val="20"/>
              </w:rPr>
              <w:t xml:space="preserve"> </w:t>
            </w:r>
            <w:proofErr w:type="spellStart"/>
            <w:r w:rsidRPr="0025175D">
              <w:rPr>
                <w:sz w:val="20"/>
                <w:szCs w:val="20"/>
              </w:rPr>
              <w:t>legislation</w:t>
            </w:r>
            <w:proofErr w:type="spellEnd"/>
            <w:r w:rsidRPr="0025175D">
              <w:rPr>
                <w:sz w:val="20"/>
                <w:szCs w:val="20"/>
              </w:rPr>
              <w:t xml:space="preserve">, </w:t>
            </w:r>
            <w:proofErr w:type="spellStart"/>
            <w:r w:rsidRPr="0025175D">
              <w:rPr>
                <w:sz w:val="20"/>
                <w:szCs w:val="20"/>
              </w:rPr>
              <w:t>state</w:t>
            </w:r>
            <w:proofErr w:type="spellEnd"/>
            <w:r w:rsidRPr="0025175D">
              <w:rPr>
                <w:sz w:val="20"/>
                <w:szCs w:val="20"/>
              </w:rPr>
              <w:t xml:space="preserve"> </w:t>
            </w:r>
            <w:proofErr w:type="spellStart"/>
            <w:r w:rsidRPr="0025175D">
              <w:rPr>
                <w:sz w:val="20"/>
                <w:szCs w:val="20"/>
              </w:rPr>
              <w:t>or</w:t>
            </w:r>
            <w:proofErr w:type="spellEnd"/>
            <w:r w:rsidRPr="0025175D">
              <w:rPr>
                <w:sz w:val="20"/>
                <w:szCs w:val="20"/>
              </w:rPr>
              <w:t xml:space="preserve"> national […]. This </w:t>
            </w:r>
            <w:proofErr w:type="spellStart"/>
            <w:r w:rsidRPr="0025175D">
              <w:rPr>
                <w:sz w:val="20"/>
                <w:szCs w:val="20"/>
              </w:rPr>
              <w:t>is</w:t>
            </w:r>
            <w:proofErr w:type="spellEnd"/>
            <w:r w:rsidRPr="0025175D">
              <w:rPr>
                <w:sz w:val="20"/>
                <w:szCs w:val="20"/>
              </w:rPr>
              <w:t xml:space="preserve"> </w:t>
            </w:r>
            <w:proofErr w:type="spellStart"/>
            <w:r w:rsidRPr="0025175D">
              <w:rPr>
                <w:sz w:val="20"/>
                <w:szCs w:val="20"/>
              </w:rPr>
              <w:t>historically</w:t>
            </w:r>
            <w:proofErr w:type="spellEnd"/>
            <w:r w:rsidRPr="0025175D">
              <w:rPr>
                <w:sz w:val="20"/>
                <w:szCs w:val="20"/>
              </w:rPr>
              <w:t xml:space="preserve"> </w:t>
            </w:r>
            <w:proofErr w:type="spellStart"/>
            <w:r w:rsidRPr="0025175D">
              <w:rPr>
                <w:sz w:val="20"/>
                <w:szCs w:val="20"/>
              </w:rPr>
              <w:t>true</w:t>
            </w:r>
            <w:proofErr w:type="spellEnd"/>
            <w:r w:rsidRPr="0025175D">
              <w:rPr>
                <w:sz w:val="20"/>
                <w:szCs w:val="20"/>
              </w:rPr>
              <w:t>“</w:t>
            </w:r>
            <w:r w:rsidRPr="0025175D">
              <w:rPr>
                <w:sz w:val="20"/>
                <w:szCs w:val="20"/>
                <w:vertAlign w:val="superscript"/>
              </w:rPr>
              <w:footnoteReference w:id="785"/>
            </w:r>
            <w:r w:rsidRPr="0025175D">
              <w:rPr>
                <w:sz w:val="20"/>
                <w:szCs w:val="20"/>
              </w:rPr>
              <w:t>). Und andererseits komm</w:t>
            </w:r>
            <w:r>
              <w:rPr>
                <w:sz w:val="20"/>
                <w:szCs w:val="20"/>
              </w:rPr>
              <w:t>e</w:t>
            </w:r>
            <w:r w:rsidRPr="0025175D">
              <w:rPr>
                <w:sz w:val="20"/>
                <w:szCs w:val="20"/>
              </w:rPr>
              <w:t xml:space="preserve"> dazu, dass de</w:t>
            </w:r>
            <w:r>
              <w:rPr>
                <w:sz w:val="20"/>
                <w:szCs w:val="20"/>
              </w:rPr>
              <w:t>r</w:t>
            </w:r>
            <w:r w:rsidRPr="0025175D">
              <w:rPr>
                <w:sz w:val="20"/>
                <w:szCs w:val="20"/>
              </w:rPr>
              <w:t xml:space="preserve"> Staat die Pflicht </w:t>
            </w:r>
            <w:r>
              <w:rPr>
                <w:sz w:val="20"/>
                <w:szCs w:val="20"/>
              </w:rPr>
              <w:t>habe</w:t>
            </w:r>
            <w:r w:rsidRPr="0025175D">
              <w:rPr>
                <w:sz w:val="20"/>
                <w:szCs w:val="20"/>
              </w:rPr>
              <w:t>, Bedin</w:t>
            </w:r>
            <w:r>
              <w:rPr>
                <w:sz w:val="20"/>
                <w:szCs w:val="20"/>
              </w:rPr>
              <w:t>g</w:t>
            </w:r>
            <w:r w:rsidRPr="0025175D">
              <w:rPr>
                <w:sz w:val="20"/>
                <w:szCs w:val="20"/>
              </w:rPr>
              <w:t>ungen für das Glücksstreben zu errichten. Und diese Bedingungen umfass</w:t>
            </w:r>
            <w:r>
              <w:rPr>
                <w:sz w:val="20"/>
                <w:szCs w:val="20"/>
              </w:rPr>
              <w:t>t</w:t>
            </w:r>
            <w:r w:rsidRPr="0025175D">
              <w:rPr>
                <w:sz w:val="20"/>
                <w:szCs w:val="20"/>
              </w:rPr>
              <w:t>en auch die Pflicht der Legislative, dem Volk gegenüber den Rahmen für die Religionsfreiheit zu schaffen, d.h.: die Legislative soll</w:t>
            </w:r>
            <w:r>
              <w:rPr>
                <w:sz w:val="20"/>
                <w:szCs w:val="20"/>
              </w:rPr>
              <w:t>e</w:t>
            </w:r>
            <w:r w:rsidRPr="0025175D">
              <w:rPr>
                <w:sz w:val="20"/>
                <w:szCs w:val="20"/>
              </w:rPr>
              <w:t xml:space="preserve"> von </w:t>
            </w:r>
            <w:r>
              <w:rPr>
                <w:sz w:val="20"/>
                <w:szCs w:val="20"/>
              </w:rPr>
              <w:t>den</w:t>
            </w:r>
            <w:r w:rsidRPr="0025175D">
              <w:rPr>
                <w:sz w:val="20"/>
                <w:szCs w:val="20"/>
              </w:rPr>
              <w:t xml:space="preserve"> Städte</w:t>
            </w:r>
            <w:r>
              <w:rPr>
                <w:sz w:val="20"/>
                <w:szCs w:val="20"/>
              </w:rPr>
              <w:t>n</w:t>
            </w:r>
            <w:r w:rsidRPr="0025175D">
              <w:rPr>
                <w:sz w:val="20"/>
                <w:szCs w:val="20"/>
              </w:rPr>
              <w:t>, Gemeinden, Bezirke</w:t>
            </w:r>
            <w:r>
              <w:rPr>
                <w:sz w:val="20"/>
                <w:szCs w:val="20"/>
              </w:rPr>
              <w:t>n</w:t>
            </w:r>
            <w:r w:rsidRPr="0025175D">
              <w:rPr>
                <w:sz w:val="20"/>
                <w:szCs w:val="20"/>
              </w:rPr>
              <w:t xml:space="preserve"> und andere</w:t>
            </w:r>
            <w:r>
              <w:rPr>
                <w:sz w:val="20"/>
                <w:szCs w:val="20"/>
              </w:rPr>
              <w:t>n</w:t>
            </w:r>
            <w:r w:rsidRPr="0025175D">
              <w:rPr>
                <w:sz w:val="20"/>
                <w:szCs w:val="20"/>
              </w:rPr>
              <w:t xml:space="preserve"> Körperschaften – politische</w:t>
            </w:r>
            <w:r>
              <w:rPr>
                <w:sz w:val="20"/>
                <w:szCs w:val="20"/>
              </w:rPr>
              <w:t>n</w:t>
            </w:r>
            <w:r w:rsidRPr="0025175D">
              <w:rPr>
                <w:sz w:val="20"/>
                <w:szCs w:val="20"/>
              </w:rPr>
              <w:t xml:space="preserve"> oder religiöse</w:t>
            </w:r>
            <w:r>
              <w:rPr>
                <w:sz w:val="20"/>
                <w:szCs w:val="20"/>
              </w:rPr>
              <w:t>n</w:t>
            </w:r>
            <w:r w:rsidRPr="0025175D">
              <w:rPr>
                <w:sz w:val="20"/>
                <w:szCs w:val="20"/>
              </w:rPr>
              <w:t xml:space="preserve"> Gesellschaften – verlangen, also sie ermächtigen und verpflichten, auf eigene Kosten geeignete Vorkehrungen für die Einrichtung des öffentlichen Gottesdienstes und protestantischer Lehrer für Religion zu treffen</w:t>
            </w:r>
            <w:r w:rsidRPr="0025175D">
              <w:rPr>
                <w:sz w:val="20"/>
                <w:szCs w:val="20"/>
                <w:vertAlign w:val="superscript"/>
              </w:rPr>
              <w:footnoteReference w:id="786"/>
            </w:r>
            <w:r w:rsidRPr="0025175D">
              <w:rPr>
                <w:sz w:val="20"/>
                <w:szCs w:val="20"/>
              </w:rPr>
              <w:t xml:space="preserve"> – als eine notwendige Bedingung, um Glück zu steigern („to promote </w:t>
            </w:r>
            <w:proofErr w:type="spellStart"/>
            <w:r w:rsidRPr="0025175D">
              <w:rPr>
                <w:sz w:val="20"/>
                <w:szCs w:val="20"/>
              </w:rPr>
              <w:t>their</w:t>
            </w:r>
            <w:proofErr w:type="spellEnd"/>
            <w:r w:rsidRPr="0025175D">
              <w:rPr>
                <w:sz w:val="20"/>
                <w:szCs w:val="20"/>
              </w:rPr>
              <w:t xml:space="preserve"> </w:t>
            </w:r>
            <w:proofErr w:type="spellStart"/>
            <w:r w:rsidRPr="0025175D">
              <w:rPr>
                <w:sz w:val="20"/>
                <w:szCs w:val="20"/>
              </w:rPr>
              <w:t>happiness</w:t>
            </w:r>
            <w:proofErr w:type="spellEnd"/>
            <w:r w:rsidRPr="0025175D">
              <w:rPr>
                <w:sz w:val="20"/>
                <w:szCs w:val="20"/>
              </w:rPr>
              <w:t xml:space="preserve"> and to </w:t>
            </w:r>
            <w:proofErr w:type="spellStart"/>
            <w:r w:rsidRPr="0025175D">
              <w:rPr>
                <w:sz w:val="20"/>
                <w:szCs w:val="20"/>
              </w:rPr>
              <w:t>secure</w:t>
            </w:r>
            <w:proofErr w:type="spellEnd"/>
            <w:r w:rsidRPr="0025175D">
              <w:rPr>
                <w:sz w:val="20"/>
                <w:szCs w:val="20"/>
              </w:rPr>
              <w:t xml:space="preserve"> the </w:t>
            </w:r>
            <w:proofErr w:type="spellStart"/>
            <w:r w:rsidRPr="0025175D">
              <w:rPr>
                <w:sz w:val="20"/>
                <w:szCs w:val="20"/>
              </w:rPr>
              <w:t>good</w:t>
            </w:r>
            <w:proofErr w:type="spellEnd"/>
            <w:r w:rsidRPr="0025175D">
              <w:rPr>
                <w:sz w:val="20"/>
                <w:szCs w:val="20"/>
              </w:rPr>
              <w:t xml:space="preserve"> </w:t>
            </w:r>
            <w:proofErr w:type="spellStart"/>
            <w:r w:rsidRPr="0025175D">
              <w:rPr>
                <w:sz w:val="20"/>
                <w:szCs w:val="20"/>
              </w:rPr>
              <w:t>order</w:t>
            </w:r>
            <w:proofErr w:type="spellEnd"/>
            <w:r w:rsidRPr="0025175D">
              <w:rPr>
                <w:sz w:val="20"/>
                <w:szCs w:val="20"/>
              </w:rPr>
              <w:t xml:space="preserve"> and </w:t>
            </w:r>
            <w:proofErr w:type="spellStart"/>
            <w:r w:rsidRPr="0025175D">
              <w:rPr>
                <w:sz w:val="20"/>
                <w:szCs w:val="20"/>
              </w:rPr>
              <w:t>preservation</w:t>
            </w:r>
            <w:proofErr w:type="spellEnd"/>
            <w:r w:rsidRPr="0025175D">
              <w:rPr>
                <w:sz w:val="20"/>
                <w:szCs w:val="20"/>
              </w:rPr>
              <w:t xml:space="preserve"> of </w:t>
            </w:r>
            <w:proofErr w:type="spellStart"/>
            <w:r w:rsidRPr="0025175D">
              <w:rPr>
                <w:sz w:val="20"/>
                <w:szCs w:val="20"/>
              </w:rPr>
              <w:t>their</w:t>
            </w:r>
            <w:proofErr w:type="spellEnd"/>
            <w:r w:rsidRPr="0025175D">
              <w:rPr>
                <w:sz w:val="20"/>
                <w:szCs w:val="20"/>
              </w:rPr>
              <w:t xml:space="preserve"> </w:t>
            </w:r>
            <w:proofErr w:type="spellStart"/>
            <w:r w:rsidRPr="0025175D">
              <w:rPr>
                <w:sz w:val="20"/>
                <w:szCs w:val="20"/>
              </w:rPr>
              <w:t>government</w:t>
            </w:r>
            <w:proofErr w:type="spellEnd"/>
            <w:r w:rsidRPr="0025175D">
              <w:rPr>
                <w:sz w:val="20"/>
                <w:szCs w:val="20"/>
              </w:rPr>
              <w:t>“</w:t>
            </w:r>
            <w:r w:rsidRPr="0025175D">
              <w:rPr>
                <w:sz w:val="20"/>
                <w:szCs w:val="20"/>
                <w:vertAlign w:val="superscript"/>
                <w:lang w:val="en-US"/>
              </w:rPr>
              <w:footnoteReference w:id="787"/>
            </w:r>
            <w:r w:rsidRPr="0025175D">
              <w:rPr>
                <w:sz w:val="20"/>
                <w:szCs w:val="20"/>
              </w:rPr>
              <w:t>).</w:t>
            </w:r>
          </w:p>
          <w:p w14:paraId="5884ACAA" w14:textId="77777777" w:rsidR="00074551" w:rsidRPr="0025175D" w:rsidRDefault="00074551" w:rsidP="00367133">
            <w:pPr>
              <w:jc w:val="both"/>
              <w:rPr>
                <w:sz w:val="20"/>
                <w:szCs w:val="20"/>
              </w:rPr>
            </w:pPr>
          </w:p>
        </w:tc>
      </w:tr>
      <w:tr w:rsidR="00074551" w:rsidRPr="00E50B51" w14:paraId="6D553AC3" w14:textId="77777777" w:rsidTr="00BE689F">
        <w:trPr>
          <w:cantSplit/>
          <w:trHeight w:val="3175"/>
        </w:trPr>
        <w:tc>
          <w:tcPr>
            <w:tcW w:w="293" w:type="pct"/>
            <w:shd w:val="clear" w:color="auto" w:fill="E7E6E6" w:themeFill="background2"/>
          </w:tcPr>
          <w:p w14:paraId="732F2838" w14:textId="77777777" w:rsidR="00074551" w:rsidRDefault="00074551" w:rsidP="00367133">
            <w:pPr>
              <w:ind w:right="416"/>
              <w:jc w:val="center"/>
              <w:rPr>
                <w:sz w:val="20"/>
                <w:szCs w:val="20"/>
              </w:rPr>
            </w:pPr>
            <w:r w:rsidRPr="00BE3728">
              <w:rPr>
                <w:sz w:val="20"/>
                <w:szCs w:val="20"/>
              </w:rPr>
              <w:lastRenderedPageBreak/>
              <w:t>H</w:t>
            </w:r>
          </w:p>
          <w:p w14:paraId="7326EF8A" w14:textId="77777777" w:rsidR="00074551" w:rsidRPr="00E50B51" w:rsidRDefault="00074551" w:rsidP="00367133">
            <w:pPr>
              <w:ind w:right="416"/>
              <w:jc w:val="center"/>
              <w:rPr>
                <w:sz w:val="20"/>
                <w:szCs w:val="20"/>
              </w:rPr>
            </w:pPr>
            <w:proofErr w:type="spellStart"/>
            <w:r>
              <w:rPr>
                <w:sz w:val="20"/>
                <w:szCs w:val="20"/>
              </w:rPr>
              <w:t>poH</w:t>
            </w:r>
            <w:proofErr w:type="spellEnd"/>
          </w:p>
        </w:tc>
        <w:tc>
          <w:tcPr>
            <w:tcW w:w="387" w:type="pct"/>
            <w:shd w:val="clear" w:color="auto" w:fill="E7E6E6" w:themeFill="background2"/>
            <w:textDirection w:val="tbRl"/>
            <w:vAlign w:val="center"/>
          </w:tcPr>
          <w:p w14:paraId="37C0836F"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6F7F0E5E" w14:textId="77777777" w:rsidR="00074551" w:rsidRPr="00E50B51" w:rsidRDefault="00074551" w:rsidP="00367133">
            <w:pPr>
              <w:ind w:left="113" w:right="113"/>
              <w:jc w:val="both"/>
              <w:rPr>
                <w:sz w:val="20"/>
                <w:szCs w:val="20"/>
                <w:lang w:val="en-US"/>
              </w:rPr>
            </w:pPr>
            <w:r w:rsidRPr="00BE3728">
              <w:rPr>
                <w:sz w:val="20"/>
                <w:szCs w:val="20"/>
                <w:lang w:val="en-US"/>
              </w:rPr>
              <w:t>Freedom of Religion</w:t>
            </w:r>
          </w:p>
        </w:tc>
        <w:tc>
          <w:tcPr>
            <w:tcW w:w="306" w:type="pct"/>
            <w:shd w:val="clear" w:color="auto" w:fill="E7E6E6" w:themeFill="background2"/>
            <w:textDirection w:val="tbRl"/>
            <w:vAlign w:val="center"/>
          </w:tcPr>
          <w:p w14:paraId="78570C34" w14:textId="77777777" w:rsidR="00074551" w:rsidRPr="00E50B51" w:rsidRDefault="00074551" w:rsidP="00367133">
            <w:pPr>
              <w:ind w:left="113" w:right="113"/>
              <w:jc w:val="both"/>
              <w:rPr>
                <w:sz w:val="20"/>
                <w:szCs w:val="20"/>
              </w:rPr>
            </w:pPr>
            <w:r w:rsidRPr="00BE3728">
              <w:rPr>
                <w:sz w:val="20"/>
                <w:szCs w:val="20"/>
                <w:lang w:val="en-US"/>
              </w:rPr>
              <w:t>Establishment of Religion</w:t>
            </w:r>
          </w:p>
        </w:tc>
        <w:tc>
          <w:tcPr>
            <w:tcW w:w="401" w:type="pct"/>
            <w:shd w:val="clear" w:color="auto" w:fill="E7E6E6" w:themeFill="background2"/>
          </w:tcPr>
          <w:p w14:paraId="3E7C21D9"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3B2B5E85" w14:textId="77777777" w:rsidR="00074551" w:rsidRPr="00E50B51" w:rsidRDefault="00074551" w:rsidP="00367133">
            <w:pPr>
              <w:jc w:val="both"/>
              <w:rPr>
                <w:sz w:val="20"/>
                <w:szCs w:val="20"/>
              </w:rPr>
            </w:pPr>
          </w:p>
        </w:tc>
        <w:tc>
          <w:tcPr>
            <w:tcW w:w="1822" w:type="pct"/>
            <w:shd w:val="clear" w:color="auto" w:fill="E7E6E6" w:themeFill="background2"/>
            <w:vAlign w:val="center"/>
          </w:tcPr>
          <w:p w14:paraId="09D5E23F" w14:textId="77777777" w:rsidR="00074551" w:rsidRPr="00E50B51" w:rsidRDefault="00074551" w:rsidP="00367133">
            <w:pPr>
              <w:jc w:val="both"/>
              <w:rPr>
                <w:sz w:val="20"/>
                <w:szCs w:val="20"/>
              </w:rPr>
            </w:pPr>
          </w:p>
        </w:tc>
      </w:tr>
      <w:tr w:rsidR="00074551" w:rsidRPr="00E50B51" w14:paraId="1273229D" w14:textId="77777777" w:rsidTr="00BE689F">
        <w:trPr>
          <w:cantSplit/>
          <w:trHeight w:val="3175"/>
        </w:trPr>
        <w:tc>
          <w:tcPr>
            <w:tcW w:w="293" w:type="pct"/>
          </w:tcPr>
          <w:p w14:paraId="79BC4DA9" w14:textId="77777777" w:rsidR="00074551" w:rsidRPr="00BE3728"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7FC5224" w14:textId="77777777" w:rsidR="00074551" w:rsidRPr="00BE3728" w:rsidRDefault="00074551" w:rsidP="00367133">
            <w:pPr>
              <w:ind w:left="113" w:right="416"/>
              <w:jc w:val="both"/>
              <w:rPr>
                <w:sz w:val="20"/>
                <w:szCs w:val="20"/>
                <w:lang w:val="en-US"/>
              </w:rPr>
            </w:pPr>
            <w:r w:rsidRPr="009167A5">
              <w:rPr>
                <w:i/>
                <w:sz w:val="20"/>
                <w:szCs w:val="20"/>
              </w:rPr>
              <w:t>McGowan v. Maryland</w:t>
            </w:r>
          </w:p>
        </w:tc>
        <w:tc>
          <w:tcPr>
            <w:tcW w:w="197" w:type="pct"/>
            <w:textDirection w:val="tbRl"/>
            <w:vAlign w:val="center"/>
          </w:tcPr>
          <w:p w14:paraId="35E811C2" w14:textId="77777777" w:rsidR="00074551" w:rsidRPr="00BE3728" w:rsidRDefault="00074551" w:rsidP="00367133">
            <w:pPr>
              <w:ind w:left="113" w:right="113"/>
              <w:jc w:val="both"/>
              <w:rPr>
                <w:sz w:val="20"/>
                <w:szCs w:val="20"/>
              </w:rPr>
            </w:pPr>
            <w:r w:rsidRPr="00E50B51">
              <w:rPr>
                <w:sz w:val="20"/>
                <w:szCs w:val="20"/>
                <w:lang w:val="en-US"/>
              </w:rPr>
              <w:t>366 U.S. 420</w:t>
            </w:r>
          </w:p>
        </w:tc>
        <w:tc>
          <w:tcPr>
            <w:tcW w:w="306" w:type="pct"/>
            <w:textDirection w:val="tbRl"/>
            <w:vAlign w:val="center"/>
          </w:tcPr>
          <w:p w14:paraId="22FE21C9" w14:textId="77777777" w:rsidR="00074551" w:rsidRPr="00BE3728" w:rsidRDefault="00074551" w:rsidP="00367133">
            <w:pPr>
              <w:ind w:left="113" w:right="113"/>
              <w:jc w:val="both"/>
              <w:rPr>
                <w:sz w:val="20"/>
                <w:szCs w:val="20"/>
              </w:rPr>
            </w:pPr>
            <w:r w:rsidRPr="00E50B51">
              <w:rPr>
                <w:sz w:val="20"/>
                <w:szCs w:val="20"/>
              </w:rPr>
              <w:t>29. Mai 1961</w:t>
            </w:r>
          </w:p>
        </w:tc>
        <w:tc>
          <w:tcPr>
            <w:tcW w:w="401" w:type="pct"/>
          </w:tcPr>
          <w:p w14:paraId="0A62DB7D" w14:textId="77777777" w:rsidR="00074551" w:rsidRPr="00BE3728" w:rsidRDefault="00074551" w:rsidP="00367133">
            <w:pPr>
              <w:jc w:val="center"/>
              <w:rPr>
                <w:sz w:val="20"/>
                <w:szCs w:val="20"/>
              </w:rPr>
            </w:pPr>
            <w:r w:rsidRPr="00E50B51">
              <w:rPr>
                <w:sz w:val="20"/>
                <w:szCs w:val="20"/>
                <w:lang w:val="en-US"/>
              </w:rPr>
              <w:t>M</w:t>
            </w:r>
          </w:p>
        </w:tc>
        <w:tc>
          <w:tcPr>
            <w:tcW w:w="1594" w:type="pct"/>
          </w:tcPr>
          <w:p w14:paraId="0D8AF81F" w14:textId="0C257D3B" w:rsidR="00074551" w:rsidRPr="00E50B51" w:rsidRDefault="00074551" w:rsidP="00367133">
            <w:pPr>
              <w:jc w:val="both"/>
              <w:rPr>
                <w:sz w:val="20"/>
                <w:szCs w:val="20"/>
              </w:rPr>
            </w:pPr>
            <w:r w:rsidRPr="00E50B51">
              <w:rPr>
                <w:sz w:val="20"/>
                <w:szCs w:val="20"/>
              </w:rPr>
              <w:t xml:space="preserve">Im Fall befand der </w:t>
            </w:r>
            <w:r>
              <w:rPr>
                <w:sz w:val="20"/>
                <w:szCs w:val="20"/>
              </w:rPr>
              <w:t>U.S. Supreme Court</w:t>
            </w:r>
            <w:r w:rsidRPr="00E50B51">
              <w:rPr>
                <w:sz w:val="20"/>
                <w:szCs w:val="20"/>
              </w:rPr>
              <w:t>, dass Sonntagsschließungsgesetze</w:t>
            </w:r>
            <w:r w:rsidRPr="5B67C1D2">
              <w:rPr>
                <w:rStyle w:val="Funotenzeichen"/>
                <w:rFonts w:eastAsiaTheme="majorEastAsia"/>
                <w:sz w:val="20"/>
                <w:szCs w:val="20"/>
              </w:rPr>
              <w:footnoteReference w:id="788"/>
            </w:r>
            <w:r w:rsidRPr="00E50B51">
              <w:rPr>
                <w:sz w:val="20"/>
                <w:szCs w:val="20"/>
              </w:rPr>
              <w:t xml:space="preserve"> verfassungsgemäß seien und weder gegen die Gleichheitsschutzklausel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 § 1</w:t>
            </w:r>
            <w:r w:rsidRPr="00E50B51">
              <w:rPr>
                <w:sz w:val="20"/>
                <w:szCs w:val="20"/>
              </w:rPr>
              <w:t>) noch gegen die Religionsausübungsfreiheit (</w:t>
            </w:r>
            <w:r w:rsidRPr="5B67C1D2">
              <w:rPr>
                <w:i/>
                <w:iCs/>
                <w:sz w:val="20"/>
                <w:szCs w:val="20"/>
              </w:rPr>
              <w:t xml:space="preserve">Establishment </w:t>
            </w:r>
            <w:proofErr w:type="spellStart"/>
            <w:r w:rsidRPr="5B67C1D2">
              <w:rPr>
                <w:i/>
                <w:iCs/>
                <w:sz w:val="20"/>
                <w:szCs w:val="20"/>
              </w:rPr>
              <w:t>Clause</w:t>
            </w:r>
            <w:proofErr w:type="spellEnd"/>
            <w:r w:rsidRPr="00E50B51">
              <w:rPr>
                <w:sz w:val="20"/>
                <w:szCs w:val="20"/>
              </w:rPr>
              <w:t>,</w:t>
            </w:r>
            <w:r>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E50B51">
              <w:rPr>
                <w:sz w:val="20"/>
                <w:szCs w:val="20"/>
              </w:rPr>
              <w:t xml:space="preserve">) verstoßen. Letzterem stimmte der Dissens von Richter </w:t>
            </w:r>
            <w:r w:rsidRPr="5B67C1D2">
              <w:rPr>
                <w:i/>
                <w:iCs/>
                <w:sz w:val="20"/>
                <w:szCs w:val="20"/>
              </w:rPr>
              <w:t>Douglas</w:t>
            </w:r>
            <w:r w:rsidRPr="00E50B51">
              <w:rPr>
                <w:sz w:val="20"/>
                <w:szCs w:val="20"/>
              </w:rPr>
              <w:t xml:space="preserve"> nicht zu</w:t>
            </w:r>
            <w:r w:rsidRPr="5B67C1D2">
              <w:rPr>
                <w:i/>
                <w:iCs/>
                <w:sz w:val="20"/>
                <w:szCs w:val="20"/>
              </w:rPr>
              <w:t xml:space="preserve">. In </w:t>
            </w:r>
            <w:proofErr w:type="spellStart"/>
            <w:r w:rsidRPr="5B67C1D2">
              <w:rPr>
                <w:i/>
                <w:iCs/>
                <w:sz w:val="20"/>
                <w:szCs w:val="20"/>
              </w:rPr>
              <w:t>concretu</w:t>
            </w:r>
            <w:proofErr w:type="spellEnd"/>
            <w:r>
              <w:rPr>
                <w:sz w:val="20"/>
                <w:szCs w:val="20"/>
              </w:rPr>
              <w:t xml:space="preserve"> entschied der U.S. Supreme Court: Die</w:t>
            </w:r>
            <w:r w:rsidRPr="00E50B51">
              <w:rPr>
                <w:sz w:val="20"/>
                <w:szCs w:val="20"/>
              </w:rPr>
              <w:t xml:space="preserve"> Gleichheitsklausel sei nicht betroffen, da alle Bürger gleichermaßen diskriminiert würden</w:t>
            </w:r>
            <w:r>
              <w:rPr>
                <w:sz w:val="20"/>
                <w:szCs w:val="20"/>
              </w:rPr>
              <w:t xml:space="preserve"> mit den </w:t>
            </w:r>
            <w:r w:rsidRPr="00E50B51">
              <w:rPr>
                <w:sz w:val="20"/>
                <w:szCs w:val="20"/>
              </w:rPr>
              <w:t>Sonntagsschließungsgesetze</w:t>
            </w:r>
            <w:r>
              <w:rPr>
                <w:sz w:val="20"/>
                <w:szCs w:val="20"/>
              </w:rPr>
              <w:t>n</w:t>
            </w:r>
            <w:r w:rsidRPr="00E50B51">
              <w:rPr>
                <w:sz w:val="20"/>
                <w:szCs w:val="20"/>
              </w:rPr>
              <w:t xml:space="preserve">. Und die </w:t>
            </w:r>
            <w:r w:rsidRPr="5B67C1D2">
              <w:rPr>
                <w:i/>
                <w:iCs/>
                <w:sz w:val="20"/>
                <w:szCs w:val="20"/>
              </w:rPr>
              <w:t xml:space="preserve">Establishment </w:t>
            </w:r>
            <w:proofErr w:type="spellStart"/>
            <w:r w:rsidRPr="5B67C1D2">
              <w:rPr>
                <w:i/>
                <w:iCs/>
                <w:sz w:val="20"/>
                <w:szCs w:val="20"/>
              </w:rPr>
              <w:t>Clause</w:t>
            </w:r>
            <w:proofErr w:type="spellEnd"/>
            <w:r w:rsidRPr="00E50B51">
              <w:rPr>
                <w:sz w:val="20"/>
                <w:szCs w:val="20"/>
              </w:rPr>
              <w:t xml:space="preserve"> sei nicht betroffen, weil das Sonntagsschließungsgesetz </w:t>
            </w:r>
            <w:r>
              <w:rPr>
                <w:sz w:val="20"/>
                <w:szCs w:val="20"/>
              </w:rPr>
              <w:t>säkularer</w:t>
            </w:r>
            <w:r w:rsidRPr="00E50B51">
              <w:rPr>
                <w:sz w:val="20"/>
                <w:szCs w:val="20"/>
              </w:rPr>
              <w:t xml:space="preserve"> Natur sei, es gewähre </w:t>
            </w:r>
            <w:r>
              <w:rPr>
                <w:sz w:val="20"/>
                <w:szCs w:val="20"/>
              </w:rPr>
              <w:t xml:space="preserve">zuvorderst </w:t>
            </w:r>
            <w:r w:rsidRPr="00E50B51">
              <w:rPr>
                <w:sz w:val="20"/>
                <w:szCs w:val="20"/>
              </w:rPr>
              <w:t>einen Ruhetag</w:t>
            </w:r>
            <w:r>
              <w:rPr>
                <w:sz w:val="20"/>
                <w:szCs w:val="20"/>
              </w:rPr>
              <w:t> – </w:t>
            </w:r>
            <w:r w:rsidRPr="00E50B51">
              <w:rPr>
                <w:sz w:val="20"/>
                <w:szCs w:val="20"/>
              </w:rPr>
              <w:t xml:space="preserve">und fiele nur zufällig mit einem religiösen Feiertag </w:t>
            </w:r>
            <w:r w:rsidRPr="006A018C">
              <w:rPr>
                <w:sz w:val="20"/>
                <w:szCs w:val="20"/>
              </w:rPr>
              <w:t>zusammen.</w:t>
            </w:r>
            <w:r w:rsidRPr="006A018C">
              <w:rPr>
                <w:rStyle w:val="Funotenzeichen"/>
                <w:sz w:val="20"/>
                <w:szCs w:val="20"/>
              </w:rPr>
              <w:footnoteReference w:id="789"/>
            </w:r>
          </w:p>
          <w:p w14:paraId="275D6919" w14:textId="77777777" w:rsidR="00074551" w:rsidRPr="00BE3728" w:rsidRDefault="00074551" w:rsidP="00367133">
            <w:pPr>
              <w:jc w:val="both"/>
              <w:rPr>
                <w:sz w:val="20"/>
                <w:szCs w:val="20"/>
              </w:rPr>
            </w:pPr>
          </w:p>
        </w:tc>
        <w:tc>
          <w:tcPr>
            <w:tcW w:w="1822" w:type="pct"/>
          </w:tcPr>
          <w:p w14:paraId="4595A186" w14:textId="77777777" w:rsidR="00074551" w:rsidRDefault="00074551" w:rsidP="00367133">
            <w:pPr>
              <w:jc w:val="both"/>
              <w:rPr>
                <w:sz w:val="20"/>
                <w:szCs w:val="20"/>
              </w:rPr>
            </w:pPr>
            <w:r w:rsidRPr="0006068E">
              <w:rPr>
                <w:sz w:val="20"/>
                <w:szCs w:val="20"/>
              </w:rPr>
              <w:t xml:space="preserve">Der </w:t>
            </w:r>
            <w:r>
              <w:rPr>
                <w:sz w:val="20"/>
                <w:szCs w:val="20"/>
              </w:rPr>
              <w:t>U.S. Supreme Court</w:t>
            </w:r>
            <w:r w:rsidRPr="0006068E">
              <w:rPr>
                <w:sz w:val="20"/>
                <w:szCs w:val="20"/>
              </w:rPr>
              <w:t xml:space="preserve"> erklärte in </w:t>
            </w:r>
            <w:r w:rsidRPr="5B67C1D2">
              <w:rPr>
                <w:i/>
                <w:iCs/>
                <w:sz w:val="20"/>
                <w:szCs w:val="20"/>
              </w:rPr>
              <w:t>McGowan v. Maryland</w:t>
            </w:r>
            <w:r w:rsidRPr="0006068E">
              <w:rPr>
                <w:sz w:val="20"/>
                <w:szCs w:val="20"/>
              </w:rPr>
              <w:t xml:space="preserve"> </w:t>
            </w:r>
            <w:r>
              <w:rPr>
                <w:sz w:val="20"/>
                <w:szCs w:val="20"/>
              </w:rPr>
              <w:t>das</w:t>
            </w:r>
            <w:r w:rsidRPr="0006068E">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06068E">
              <w:rPr>
                <w:sz w:val="20"/>
                <w:szCs w:val="20"/>
              </w:rPr>
              <w:t xml:space="preserve"> als unabdingbares Recht, zu welchem die Freiheit gehöre, seine Religion auszuüben bzw. nicht auszuüben, denn das sichere ein friedliches Miteinander.</w:t>
            </w:r>
            <w:r>
              <w:rPr>
                <w:sz w:val="20"/>
                <w:szCs w:val="20"/>
              </w:rPr>
              <w:t xml:space="preserve"> </w:t>
            </w:r>
            <w:r w:rsidRPr="006A018C">
              <w:rPr>
                <w:sz w:val="20"/>
                <w:szCs w:val="20"/>
              </w:rPr>
              <w:t xml:space="preserve">Zur Herleitung und zum </w:t>
            </w:r>
            <w:proofErr w:type="spellStart"/>
            <w:r w:rsidRPr="5B67C1D2">
              <w:rPr>
                <w:i/>
                <w:iCs/>
                <w:sz w:val="20"/>
                <w:szCs w:val="20"/>
              </w:rPr>
              <w:t>pursuit</w:t>
            </w:r>
            <w:proofErr w:type="spellEnd"/>
            <w:r w:rsidRPr="5B67C1D2">
              <w:rPr>
                <w:i/>
                <w:iCs/>
                <w:sz w:val="20"/>
                <w:szCs w:val="20"/>
              </w:rPr>
              <w:t xml:space="preserve"> of Happiness </w:t>
            </w:r>
            <w:r w:rsidRPr="006A018C">
              <w:rPr>
                <w:sz w:val="20"/>
                <w:szCs w:val="20"/>
              </w:rPr>
              <w:t xml:space="preserve">schreibt der </w:t>
            </w:r>
            <w:r>
              <w:rPr>
                <w:sz w:val="20"/>
                <w:szCs w:val="20"/>
              </w:rPr>
              <w:t>U.S. Supreme Court</w:t>
            </w:r>
            <w:r w:rsidRPr="006A018C">
              <w:rPr>
                <w:sz w:val="20"/>
                <w:szCs w:val="20"/>
              </w:rPr>
              <w:t>: Es gebe eine höhere Autorität als den Staat. Diese verleihe Rechte, die der Staat grundsätzlich nicht ändern, nur beachten könne („</w:t>
            </w:r>
            <w:proofErr w:type="spellStart"/>
            <w:r w:rsidRPr="006A018C">
              <w:rPr>
                <w:sz w:val="20"/>
                <w:szCs w:val="20"/>
              </w:rPr>
              <w:t>moral</w:t>
            </w:r>
            <w:proofErr w:type="spellEnd"/>
            <w:r w:rsidRPr="006A018C">
              <w:rPr>
                <w:sz w:val="20"/>
                <w:szCs w:val="20"/>
              </w:rPr>
              <w:t xml:space="preserve"> </w:t>
            </w:r>
            <w:proofErr w:type="spellStart"/>
            <w:r w:rsidRPr="006A018C">
              <w:rPr>
                <w:sz w:val="20"/>
                <w:szCs w:val="20"/>
              </w:rPr>
              <w:t>law</w:t>
            </w:r>
            <w:proofErr w:type="spellEnd"/>
            <w:r w:rsidRPr="006A018C">
              <w:rPr>
                <w:sz w:val="20"/>
                <w:szCs w:val="20"/>
              </w:rPr>
              <w:t xml:space="preserve"> </w:t>
            </w:r>
            <w:proofErr w:type="spellStart"/>
            <w:r w:rsidRPr="006A018C">
              <w:rPr>
                <w:sz w:val="20"/>
                <w:szCs w:val="20"/>
              </w:rPr>
              <w:t>which</w:t>
            </w:r>
            <w:proofErr w:type="spellEnd"/>
            <w:r w:rsidRPr="006A018C">
              <w:rPr>
                <w:sz w:val="20"/>
                <w:szCs w:val="20"/>
              </w:rPr>
              <w:t xml:space="preserve"> the State </w:t>
            </w:r>
            <w:proofErr w:type="spellStart"/>
            <w:r w:rsidRPr="006A018C">
              <w:rPr>
                <w:sz w:val="20"/>
                <w:szCs w:val="20"/>
              </w:rPr>
              <w:t>is</w:t>
            </w:r>
            <w:proofErr w:type="spellEnd"/>
            <w:r w:rsidRPr="006A018C">
              <w:rPr>
                <w:sz w:val="20"/>
                <w:szCs w:val="20"/>
              </w:rPr>
              <w:t xml:space="preserve"> </w:t>
            </w:r>
            <w:proofErr w:type="spellStart"/>
            <w:r w:rsidRPr="006A018C">
              <w:rPr>
                <w:sz w:val="20"/>
                <w:szCs w:val="20"/>
              </w:rPr>
              <w:t>powerless</w:t>
            </w:r>
            <w:proofErr w:type="spellEnd"/>
            <w:r w:rsidRPr="006A018C">
              <w:rPr>
                <w:sz w:val="20"/>
                <w:szCs w:val="20"/>
              </w:rPr>
              <w:t xml:space="preserve"> to alter“</w:t>
            </w:r>
            <w:r w:rsidRPr="006A018C">
              <w:rPr>
                <w:sz w:val="20"/>
                <w:szCs w:val="20"/>
                <w:vertAlign w:val="superscript"/>
              </w:rPr>
              <w:footnoteReference w:id="790"/>
            </w:r>
            <w:r w:rsidRPr="006A018C">
              <w:rPr>
                <w:sz w:val="20"/>
                <w:szCs w:val="20"/>
              </w:rPr>
              <w:t xml:space="preserve">). Das seien sog. absolute Rechte wie </w:t>
            </w:r>
            <w:r>
              <w:rPr>
                <w:sz w:val="20"/>
                <w:szCs w:val="20"/>
              </w:rPr>
              <w:t>das</w:t>
            </w:r>
            <w:r w:rsidRPr="006A018C">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6A018C">
              <w:rPr>
                <w:sz w:val="20"/>
                <w:szCs w:val="20"/>
              </w:rPr>
              <w:t xml:space="preserve">. </w:t>
            </w:r>
            <w:proofErr w:type="spellStart"/>
            <w:r w:rsidRPr="006A018C">
              <w:rPr>
                <w:sz w:val="20"/>
                <w:szCs w:val="20"/>
                <w:lang w:val="en-US"/>
              </w:rPr>
              <w:t>Diese</w:t>
            </w:r>
            <w:proofErr w:type="spellEnd"/>
            <w:r w:rsidRPr="006A018C">
              <w:rPr>
                <w:sz w:val="20"/>
                <w:szCs w:val="20"/>
                <w:lang w:val="en-US"/>
              </w:rPr>
              <w:t xml:space="preserve"> </w:t>
            </w:r>
            <w:proofErr w:type="spellStart"/>
            <w:r w:rsidRPr="006A018C">
              <w:rPr>
                <w:sz w:val="20"/>
                <w:szCs w:val="20"/>
                <w:lang w:val="en-US"/>
              </w:rPr>
              <w:t>absoluten</w:t>
            </w:r>
            <w:proofErr w:type="spellEnd"/>
            <w:r w:rsidRPr="006A018C">
              <w:rPr>
                <w:sz w:val="20"/>
                <w:szCs w:val="20"/>
                <w:lang w:val="en-US"/>
              </w:rPr>
              <w:t xml:space="preserve"> Rechte </w:t>
            </w:r>
            <w:proofErr w:type="spellStart"/>
            <w:r>
              <w:rPr>
                <w:sz w:val="20"/>
                <w:szCs w:val="20"/>
                <w:lang w:val="en-US"/>
              </w:rPr>
              <w:t>würden</w:t>
            </w:r>
            <w:proofErr w:type="spellEnd"/>
            <w:r w:rsidRPr="006A018C">
              <w:rPr>
                <w:sz w:val="20"/>
                <w:szCs w:val="20"/>
                <w:lang w:val="en-US"/>
              </w:rPr>
              <w:t xml:space="preserve"> in der </w:t>
            </w:r>
            <w:r>
              <w:rPr>
                <w:sz w:val="20"/>
                <w:szCs w:val="20"/>
                <w:lang w:val="en-US"/>
              </w:rPr>
              <w:t>U.S.</w:t>
            </w:r>
            <w:r w:rsidRPr="006A018C">
              <w:rPr>
                <w:sz w:val="20"/>
                <w:szCs w:val="20"/>
                <w:lang w:val="en-US"/>
              </w:rPr>
              <w:t xml:space="preserve"> Const. und der </w:t>
            </w:r>
            <w:r w:rsidRPr="5B67C1D2">
              <w:rPr>
                <w:i/>
                <w:iCs/>
                <w:sz w:val="20"/>
                <w:szCs w:val="20"/>
                <w:lang w:val="en-US"/>
              </w:rPr>
              <w:t>Bill of Rights</w:t>
            </w:r>
            <w:r>
              <w:rPr>
                <w:sz w:val="20"/>
                <w:szCs w:val="20"/>
                <w:lang w:val="en-US"/>
              </w:rPr>
              <w:t xml:space="preserve"> </w:t>
            </w:r>
            <w:proofErr w:type="spellStart"/>
            <w:r>
              <w:rPr>
                <w:sz w:val="20"/>
                <w:szCs w:val="20"/>
                <w:lang w:val="en-US"/>
              </w:rPr>
              <w:t>verankert</w:t>
            </w:r>
            <w:proofErr w:type="spellEnd"/>
            <w:r w:rsidRPr="006A018C">
              <w:rPr>
                <w:sz w:val="20"/>
                <w:szCs w:val="20"/>
                <w:lang w:val="en-US"/>
              </w:rPr>
              <w:t xml:space="preserve"> („the body of the Constitution as well as the Bill of Rights enshrined those </w:t>
            </w:r>
            <w:proofErr w:type="gramStart"/>
            <w:r w:rsidRPr="006A018C">
              <w:rPr>
                <w:sz w:val="20"/>
                <w:szCs w:val="20"/>
                <w:lang w:val="en-US"/>
              </w:rPr>
              <w:t>principles“</w:t>
            </w:r>
            <w:proofErr w:type="gramEnd"/>
            <w:r w:rsidRPr="006A018C">
              <w:rPr>
                <w:sz w:val="20"/>
                <w:szCs w:val="20"/>
                <w:vertAlign w:val="superscript"/>
              </w:rPr>
              <w:footnoteReference w:id="791"/>
            </w:r>
            <w:r w:rsidRPr="006A018C">
              <w:rPr>
                <w:sz w:val="20"/>
                <w:szCs w:val="20"/>
                <w:lang w:val="en-US"/>
              </w:rPr>
              <w:t xml:space="preserve">), </w:t>
            </w:r>
            <w:proofErr w:type="spellStart"/>
            <w:r>
              <w:rPr>
                <w:sz w:val="20"/>
                <w:szCs w:val="20"/>
                <w:lang w:val="en-US"/>
              </w:rPr>
              <w:t>z.B.</w:t>
            </w:r>
            <w:proofErr w:type="spellEnd"/>
            <w:r w:rsidRPr="006A018C">
              <w:rPr>
                <w:sz w:val="20"/>
                <w:szCs w:val="20"/>
                <w:lang w:val="en-US"/>
              </w:rPr>
              <w:t xml:space="preserve"> in der </w:t>
            </w:r>
            <w:proofErr w:type="spellStart"/>
            <w:r w:rsidRPr="006A018C">
              <w:rPr>
                <w:sz w:val="20"/>
                <w:szCs w:val="20"/>
                <w:lang w:val="en-US"/>
              </w:rPr>
              <w:t>Religionsausübungsfreiheit</w:t>
            </w:r>
            <w:proofErr w:type="spellEnd"/>
            <w:r w:rsidRPr="006A018C">
              <w:rPr>
                <w:sz w:val="20"/>
                <w:szCs w:val="20"/>
                <w:lang w:val="en-US"/>
              </w:rPr>
              <w:t xml:space="preserve">. </w:t>
            </w:r>
            <w:r w:rsidRPr="006A018C">
              <w:rPr>
                <w:sz w:val="20"/>
                <w:szCs w:val="20"/>
              </w:rPr>
              <w:t xml:space="preserve">Der </w:t>
            </w:r>
            <w:r>
              <w:rPr>
                <w:sz w:val="20"/>
                <w:szCs w:val="20"/>
              </w:rPr>
              <w:t>U.S. Supreme Court</w:t>
            </w:r>
            <w:r w:rsidRPr="006A018C">
              <w:rPr>
                <w:sz w:val="20"/>
                <w:szCs w:val="20"/>
              </w:rPr>
              <w:t xml:space="preserve"> begründet diese Verankerung mit dem Puritanismus</w:t>
            </w:r>
            <w:r>
              <w:rPr>
                <w:sz w:val="20"/>
                <w:szCs w:val="20"/>
              </w:rPr>
              <w:t>,</w:t>
            </w:r>
            <w:r w:rsidRPr="006A018C">
              <w:rPr>
                <w:sz w:val="20"/>
                <w:szCs w:val="20"/>
                <w:vertAlign w:val="superscript"/>
              </w:rPr>
              <w:footnoteReference w:id="792"/>
            </w:r>
            <w:r w:rsidRPr="006A018C">
              <w:rPr>
                <w:sz w:val="20"/>
                <w:szCs w:val="20"/>
              </w:rPr>
              <w:t xml:space="preserve"> der historisch sowohl </w:t>
            </w:r>
            <w:r>
              <w:rPr>
                <w:sz w:val="20"/>
                <w:szCs w:val="20"/>
              </w:rPr>
              <w:t xml:space="preserve">die </w:t>
            </w:r>
            <w:r w:rsidRPr="5B67C1D2">
              <w:rPr>
                <w:i/>
                <w:iCs/>
                <w:sz w:val="20"/>
                <w:szCs w:val="20"/>
              </w:rPr>
              <w:t>Declaration of Independence</w:t>
            </w:r>
            <w:r w:rsidRPr="006A018C">
              <w:rPr>
                <w:sz w:val="20"/>
                <w:szCs w:val="20"/>
              </w:rPr>
              <w:t xml:space="preserve"> als auch </w:t>
            </w:r>
            <w:r>
              <w:rPr>
                <w:sz w:val="20"/>
                <w:szCs w:val="20"/>
              </w:rPr>
              <w:t xml:space="preserve">die </w:t>
            </w:r>
            <w:r w:rsidRPr="5B67C1D2">
              <w:rPr>
                <w:i/>
                <w:iCs/>
                <w:sz w:val="20"/>
                <w:szCs w:val="20"/>
              </w:rPr>
              <w:t>Bill of Rights</w:t>
            </w:r>
            <w:r w:rsidRPr="006A018C">
              <w:rPr>
                <w:sz w:val="20"/>
                <w:szCs w:val="20"/>
              </w:rPr>
              <w:t xml:space="preserve"> und </w:t>
            </w:r>
            <w:r>
              <w:rPr>
                <w:sz w:val="20"/>
                <w:szCs w:val="20"/>
              </w:rPr>
              <w:t>die U.S.</w:t>
            </w:r>
            <w:r w:rsidRPr="006A018C">
              <w:rPr>
                <w:sz w:val="20"/>
                <w:szCs w:val="20"/>
              </w:rPr>
              <w:t xml:space="preserve"> </w:t>
            </w:r>
            <w:proofErr w:type="spellStart"/>
            <w:r w:rsidRPr="006A018C">
              <w:rPr>
                <w:sz w:val="20"/>
                <w:szCs w:val="20"/>
              </w:rPr>
              <w:t>Const</w:t>
            </w:r>
            <w:proofErr w:type="spellEnd"/>
            <w:r w:rsidRPr="006A018C">
              <w:rPr>
                <w:sz w:val="20"/>
                <w:szCs w:val="20"/>
              </w:rPr>
              <w:t>. prägte.</w:t>
            </w:r>
            <w:r w:rsidRPr="006A018C">
              <w:rPr>
                <w:sz w:val="20"/>
                <w:szCs w:val="20"/>
                <w:vertAlign w:val="superscript"/>
              </w:rPr>
              <w:footnoteReference w:id="793"/>
            </w:r>
            <w:r w:rsidRPr="006A018C">
              <w:rPr>
                <w:sz w:val="20"/>
                <w:szCs w:val="20"/>
              </w:rPr>
              <w:t xml:space="preserve"> Und was meint der Puritanismus? Der sicher</w:t>
            </w:r>
            <w:r>
              <w:rPr>
                <w:sz w:val="20"/>
                <w:szCs w:val="20"/>
              </w:rPr>
              <w:t>t</w:t>
            </w:r>
            <w:r w:rsidRPr="006A018C">
              <w:rPr>
                <w:sz w:val="20"/>
                <w:szCs w:val="20"/>
              </w:rPr>
              <w:t xml:space="preserve"> vor allem die Gewissensfreiheit und die Freiheit des Urteilsvermögens für ein friedliches Miteinander,</w:t>
            </w:r>
            <w:r w:rsidRPr="006A018C">
              <w:rPr>
                <w:sz w:val="20"/>
                <w:szCs w:val="20"/>
                <w:vertAlign w:val="superscript"/>
              </w:rPr>
              <w:footnoteReference w:id="794"/>
            </w:r>
            <w:r w:rsidRPr="006A018C">
              <w:rPr>
                <w:sz w:val="20"/>
                <w:szCs w:val="20"/>
              </w:rPr>
              <w:t xml:space="preserve"> was </w:t>
            </w:r>
            <w:r>
              <w:rPr>
                <w:sz w:val="20"/>
                <w:szCs w:val="20"/>
              </w:rPr>
              <w:t>wiederum</w:t>
            </w:r>
            <w:r w:rsidRPr="006A018C">
              <w:rPr>
                <w:sz w:val="20"/>
                <w:szCs w:val="20"/>
              </w:rPr>
              <w:t xml:space="preserve"> für ein Streben nach Glück unabdingbar sei. Deshalb müssen das Gewissen und das Urteilsvermögen als Freiheiten verfassungsmäßig verbrieft werden, </w:t>
            </w:r>
            <w:r>
              <w:rPr>
                <w:sz w:val="20"/>
                <w:szCs w:val="20"/>
              </w:rPr>
              <w:t>z.B.</w:t>
            </w:r>
            <w:r w:rsidRPr="006A018C">
              <w:rPr>
                <w:sz w:val="20"/>
                <w:szCs w:val="20"/>
              </w:rPr>
              <w:t xml:space="preserve"> in der Gewissens- und Religionsausübungsfreiheit. In diese </w:t>
            </w:r>
            <w:r>
              <w:rPr>
                <w:sz w:val="20"/>
                <w:szCs w:val="20"/>
              </w:rPr>
              <w:t>dürfe</w:t>
            </w:r>
            <w:r w:rsidRPr="006A018C">
              <w:rPr>
                <w:sz w:val="20"/>
                <w:szCs w:val="20"/>
              </w:rPr>
              <w:t xml:space="preserve"> der Staat nur zurückhaltend eingreifen, nämlich aus operativen Gründen: </w:t>
            </w:r>
            <w:r>
              <w:rPr>
                <w:sz w:val="20"/>
                <w:szCs w:val="20"/>
              </w:rPr>
              <w:t>z.B.</w:t>
            </w:r>
            <w:r w:rsidRPr="006A018C">
              <w:rPr>
                <w:sz w:val="20"/>
                <w:szCs w:val="20"/>
              </w:rPr>
              <w:t xml:space="preserve"> mit Sonntagsschließungen.</w:t>
            </w:r>
            <w:r w:rsidRPr="006A018C">
              <w:rPr>
                <w:sz w:val="20"/>
                <w:szCs w:val="20"/>
                <w:vertAlign w:val="superscript"/>
              </w:rPr>
              <w:footnoteReference w:id="795"/>
            </w:r>
            <w:r w:rsidRPr="006A018C">
              <w:rPr>
                <w:sz w:val="20"/>
                <w:szCs w:val="20"/>
              </w:rPr>
              <w:t xml:space="preserve"> Und eine weitere Sicherung der Religionsfreiheit und damit des friedlichen Miteinanders und somit des </w:t>
            </w:r>
            <w:proofErr w:type="spellStart"/>
            <w:r w:rsidRPr="5B67C1D2">
              <w:rPr>
                <w:i/>
                <w:iCs/>
                <w:sz w:val="20"/>
                <w:szCs w:val="20"/>
              </w:rPr>
              <w:t>pursuit</w:t>
            </w:r>
            <w:proofErr w:type="spellEnd"/>
            <w:r w:rsidRPr="5B67C1D2">
              <w:rPr>
                <w:i/>
                <w:iCs/>
                <w:sz w:val="20"/>
                <w:szCs w:val="20"/>
              </w:rPr>
              <w:t xml:space="preserve"> of Happiness</w:t>
            </w:r>
            <w:r w:rsidRPr="006A018C">
              <w:rPr>
                <w:sz w:val="20"/>
                <w:szCs w:val="20"/>
              </w:rPr>
              <w:t xml:space="preserve"> sei die </w:t>
            </w:r>
            <w:r w:rsidRPr="5B67C1D2">
              <w:rPr>
                <w:i/>
                <w:iCs/>
                <w:sz w:val="20"/>
                <w:szCs w:val="20"/>
              </w:rPr>
              <w:t xml:space="preserve">Establishment </w:t>
            </w:r>
            <w:proofErr w:type="spellStart"/>
            <w:r w:rsidRPr="5B67C1D2">
              <w:rPr>
                <w:i/>
                <w:iCs/>
                <w:sz w:val="20"/>
                <w:szCs w:val="20"/>
              </w:rPr>
              <w:t>Clause</w:t>
            </w:r>
            <w:proofErr w:type="spellEnd"/>
            <w:r w:rsidRPr="006A018C">
              <w:rPr>
                <w:sz w:val="20"/>
                <w:szCs w:val="20"/>
              </w:rPr>
              <w:t xml:space="preserve">. Sie regle </w:t>
            </w:r>
            <w:r>
              <w:rPr>
                <w:sz w:val="20"/>
                <w:szCs w:val="20"/>
              </w:rPr>
              <w:t>u.a.</w:t>
            </w:r>
            <w:r w:rsidRPr="006A018C">
              <w:rPr>
                <w:sz w:val="20"/>
                <w:szCs w:val="20"/>
              </w:rPr>
              <w:t xml:space="preserve">: Niemand dürfe gezwungen werden, einer Religion anzugehören, oder dafür bestraft werden, einer Religion nicht zu folgen. Damit sei </w:t>
            </w:r>
            <w:r>
              <w:rPr>
                <w:sz w:val="20"/>
                <w:szCs w:val="20"/>
              </w:rPr>
              <w:t>z.B.</w:t>
            </w:r>
            <w:r w:rsidRPr="006A018C">
              <w:rPr>
                <w:sz w:val="20"/>
                <w:szCs w:val="20"/>
              </w:rPr>
              <w:t xml:space="preserve"> eine Steuer verfassungswidrig, die eine Religion benachteilige oder eine andere bevorteile.</w:t>
            </w:r>
            <w:r w:rsidRPr="006A018C">
              <w:rPr>
                <w:sz w:val="20"/>
                <w:szCs w:val="20"/>
                <w:vertAlign w:val="superscript"/>
              </w:rPr>
              <w:footnoteReference w:id="796"/>
            </w:r>
          </w:p>
          <w:p w14:paraId="1862696C" w14:textId="77777777" w:rsidR="00074551" w:rsidRPr="006A018C" w:rsidRDefault="00074551" w:rsidP="00367133">
            <w:pPr>
              <w:jc w:val="both"/>
              <w:rPr>
                <w:sz w:val="20"/>
                <w:szCs w:val="20"/>
              </w:rPr>
            </w:pPr>
          </w:p>
        </w:tc>
      </w:tr>
      <w:tr w:rsidR="00074551" w:rsidRPr="00E50B51" w14:paraId="1F2D0716" w14:textId="77777777" w:rsidTr="00BE689F">
        <w:trPr>
          <w:cantSplit/>
          <w:trHeight w:val="3175"/>
        </w:trPr>
        <w:tc>
          <w:tcPr>
            <w:tcW w:w="293" w:type="pct"/>
          </w:tcPr>
          <w:p w14:paraId="6603945C"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325F7786" w14:textId="77777777" w:rsidR="00074551" w:rsidRPr="00AB2276" w:rsidRDefault="00074551" w:rsidP="00367133">
            <w:pPr>
              <w:ind w:left="113" w:right="416"/>
              <w:jc w:val="both"/>
              <w:rPr>
                <w:sz w:val="20"/>
                <w:szCs w:val="20"/>
                <w:lang w:val="en-US"/>
              </w:rPr>
            </w:pPr>
            <w:r w:rsidRPr="009167A5">
              <w:rPr>
                <w:i/>
                <w:sz w:val="20"/>
                <w:szCs w:val="20"/>
                <w:lang w:val="en-US"/>
              </w:rPr>
              <w:t>Walz v. Tax Com. of New York</w:t>
            </w:r>
          </w:p>
        </w:tc>
        <w:tc>
          <w:tcPr>
            <w:tcW w:w="197" w:type="pct"/>
            <w:textDirection w:val="tbRl"/>
            <w:vAlign w:val="center"/>
          </w:tcPr>
          <w:p w14:paraId="13790AF3" w14:textId="77777777" w:rsidR="00074551" w:rsidRPr="00E50B51" w:rsidRDefault="00074551" w:rsidP="00367133">
            <w:pPr>
              <w:ind w:left="113" w:right="113"/>
              <w:jc w:val="both"/>
              <w:rPr>
                <w:sz w:val="20"/>
                <w:szCs w:val="20"/>
                <w:lang w:val="en-US"/>
              </w:rPr>
            </w:pPr>
            <w:r w:rsidRPr="00BE3728">
              <w:rPr>
                <w:sz w:val="20"/>
                <w:szCs w:val="20"/>
              </w:rPr>
              <w:t>397 U.S. 664</w:t>
            </w:r>
          </w:p>
        </w:tc>
        <w:tc>
          <w:tcPr>
            <w:tcW w:w="306" w:type="pct"/>
            <w:textDirection w:val="tbRl"/>
            <w:vAlign w:val="center"/>
          </w:tcPr>
          <w:p w14:paraId="25A5D9C1" w14:textId="77777777" w:rsidR="00074551" w:rsidRPr="00E50B51" w:rsidRDefault="00074551" w:rsidP="00367133">
            <w:pPr>
              <w:ind w:left="113" w:right="113"/>
              <w:jc w:val="both"/>
              <w:rPr>
                <w:sz w:val="20"/>
                <w:szCs w:val="20"/>
              </w:rPr>
            </w:pPr>
            <w:r w:rsidRPr="00BE3728">
              <w:rPr>
                <w:sz w:val="20"/>
                <w:szCs w:val="20"/>
              </w:rPr>
              <w:t>04. Mai 1970</w:t>
            </w:r>
          </w:p>
        </w:tc>
        <w:tc>
          <w:tcPr>
            <w:tcW w:w="401" w:type="pct"/>
          </w:tcPr>
          <w:p w14:paraId="669F93E8" w14:textId="77777777" w:rsidR="00074551" w:rsidRPr="00E50B51" w:rsidRDefault="00074551" w:rsidP="00367133">
            <w:pPr>
              <w:jc w:val="center"/>
              <w:rPr>
                <w:sz w:val="20"/>
                <w:szCs w:val="20"/>
                <w:lang w:val="en-US"/>
              </w:rPr>
            </w:pPr>
            <w:r w:rsidRPr="00BE3728">
              <w:rPr>
                <w:sz w:val="20"/>
                <w:szCs w:val="20"/>
              </w:rPr>
              <w:t>D</w:t>
            </w:r>
          </w:p>
        </w:tc>
        <w:tc>
          <w:tcPr>
            <w:tcW w:w="1594" w:type="pct"/>
          </w:tcPr>
          <w:p w14:paraId="12FA2079" w14:textId="3CB33B8D"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die Entscheidung der Vorinstanz: Eine Steuerbefreiung sei nicht gleichzusetzen mit einer Förderung religiöser Organisationen. Zunächst begehrte der Kläger, ein Immobilieneigentümer, </w:t>
            </w:r>
            <w:r>
              <w:rPr>
                <w:sz w:val="20"/>
                <w:szCs w:val="20"/>
              </w:rPr>
              <w:t xml:space="preserve">es </w:t>
            </w:r>
            <w:r w:rsidRPr="00BE3728">
              <w:rPr>
                <w:sz w:val="20"/>
                <w:szCs w:val="20"/>
              </w:rPr>
              <w:t>de</w:t>
            </w:r>
            <w:r>
              <w:rPr>
                <w:sz w:val="20"/>
                <w:szCs w:val="20"/>
              </w:rPr>
              <w:t>r</w:t>
            </w:r>
            <w:r w:rsidRPr="00BE3728">
              <w:rPr>
                <w:sz w:val="20"/>
                <w:szCs w:val="20"/>
              </w:rPr>
              <w:t xml:space="preserve"> Beklagten,</w:t>
            </w:r>
            <w:r>
              <w:rPr>
                <w:sz w:val="20"/>
                <w:szCs w:val="20"/>
              </w:rPr>
              <w:t xml:space="preserve"> der</w:t>
            </w:r>
            <w:r w:rsidRPr="00BE3728">
              <w:rPr>
                <w:sz w:val="20"/>
                <w:szCs w:val="20"/>
              </w:rPr>
              <w:t xml:space="preserve"> </w:t>
            </w:r>
            <w:proofErr w:type="spellStart"/>
            <w:r w:rsidRPr="5B67C1D2">
              <w:rPr>
                <w:i/>
                <w:iCs/>
                <w:sz w:val="20"/>
                <w:szCs w:val="20"/>
              </w:rPr>
              <w:t>Tax</w:t>
            </w:r>
            <w:proofErr w:type="spellEnd"/>
            <w:r w:rsidRPr="5B67C1D2">
              <w:rPr>
                <w:i/>
                <w:iCs/>
                <w:sz w:val="20"/>
                <w:szCs w:val="20"/>
              </w:rPr>
              <w:t xml:space="preserve"> </w:t>
            </w:r>
            <w:proofErr w:type="spellStart"/>
            <w:r w:rsidRPr="5B67C1D2">
              <w:rPr>
                <w:i/>
                <w:iCs/>
                <w:sz w:val="20"/>
                <w:szCs w:val="20"/>
              </w:rPr>
              <w:t>Commission</w:t>
            </w:r>
            <w:proofErr w:type="spellEnd"/>
            <w:r w:rsidRPr="00BE3728">
              <w:rPr>
                <w:sz w:val="20"/>
                <w:szCs w:val="20"/>
              </w:rPr>
              <w:t xml:space="preserve"> der Stadt New York, zu untersagen, religiöse Organisationen von der Steuerpflicht zu befreien. Der </w:t>
            </w:r>
            <w:r>
              <w:rPr>
                <w:sz w:val="20"/>
                <w:szCs w:val="20"/>
              </w:rPr>
              <w:t>U.S. Supreme Court</w:t>
            </w:r>
            <w:r w:rsidRPr="00BE3728">
              <w:rPr>
                <w:sz w:val="20"/>
                <w:szCs w:val="20"/>
              </w:rPr>
              <w:t xml:space="preserve"> urteilte indes, es bestehe kein Zusammenhang zwischen einer Steuerbefreiung und der Etablierung einer Religion. Bundes- oder Staatszuschüsse in Form von Steuerbefreiungen für Kirchen </w:t>
            </w:r>
            <w:r>
              <w:rPr>
                <w:sz w:val="20"/>
                <w:szCs w:val="20"/>
              </w:rPr>
              <w:t>verstießen</w:t>
            </w:r>
            <w:r w:rsidRPr="00BE3728">
              <w:rPr>
                <w:sz w:val="20"/>
                <w:szCs w:val="20"/>
              </w:rPr>
              <w:t xml:space="preserve"> nicht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Denn der Bundesstaat verzichte bei einer Steuerbefreiung nur darauf, von den Kirchen zu fordern, den Staat zu unterstützen. </w:t>
            </w:r>
            <w:r>
              <w:rPr>
                <w:sz w:val="20"/>
                <w:szCs w:val="20"/>
              </w:rPr>
              <w:t>Die Befreiung von der Steuer</w:t>
            </w:r>
            <w:r w:rsidRPr="00BE3728">
              <w:rPr>
                <w:sz w:val="20"/>
                <w:szCs w:val="20"/>
              </w:rPr>
              <w:t xml:space="preserve"> schaffe also eine minimalere und entferntere </w:t>
            </w:r>
            <w:r>
              <w:rPr>
                <w:sz w:val="20"/>
                <w:szCs w:val="20"/>
              </w:rPr>
              <w:t>Beziehung</w:t>
            </w:r>
            <w:r w:rsidRPr="00BE3728">
              <w:rPr>
                <w:sz w:val="20"/>
                <w:szCs w:val="20"/>
              </w:rPr>
              <w:t xml:space="preserve"> von Kirche und Staat</w:t>
            </w:r>
            <w:r>
              <w:rPr>
                <w:sz w:val="20"/>
                <w:szCs w:val="20"/>
              </w:rPr>
              <w:t>,</w:t>
            </w:r>
            <w:r w:rsidRPr="00BE3728">
              <w:rPr>
                <w:sz w:val="20"/>
                <w:szCs w:val="20"/>
              </w:rPr>
              <w:t> als dies bei einer Besteuerung als direkter Beziehung der Fall wäre. Die indirekte Beziehung halte aber die Trennung von Staat und Kirche aufrecht. Denn beide Seiten bli</w:t>
            </w:r>
            <w:r>
              <w:rPr>
                <w:sz w:val="20"/>
                <w:szCs w:val="20"/>
              </w:rPr>
              <w:t>e</w:t>
            </w:r>
            <w:r w:rsidRPr="00BE3728">
              <w:rPr>
                <w:sz w:val="20"/>
                <w:szCs w:val="20"/>
              </w:rPr>
              <w:t>ben gerade</w:t>
            </w:r>
            <w:r>
              <w:rPr>
                <w:sz w:val="20"/>
                <w:szCs w:val="20"/>
              </w:rPr>
              <w:t xml:space="preserve"> dadurch</w:t>
            </w:r>
            <w:r w:rsidRPr="00BE3728">
              <w:rPr>
                <w:sz w:val="20"/>
                <w:szCs w:val="20"/>
              </w:rPr>
              <w:t xml:space="preserve"> finanziell unabhängig voneinander.</w:t>
            </w:r>
            <w:r w:rsidRPr="00BE3728">
              <w:rPr>
                <w:rStyle w:val="Funotenzeichen"/>
                <w:sz w:val="20"/>
                <w:szCs w:val="20"/>
              </w:rPr>
              <w:footnoteReference w:id="797"/>
            </w:r>
          </w:p>
        </w:tc>
        <w:tc>
          <w:tcPr>
            <w:tcW w:w="1822" w:type="pct"/>
          </w:tcPr>
          <w:p w14:paraId="20BC78BB"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Fundamental Freedoms › Freedom of Religion › Establishment of Religion</w:t>
            </w:r>
          </w:p>
          <w:p w14:paraId="79706F4D" w14:textId="77777777" w:rsidR="00074551" w:rsidRPr="00BE3728" w:rsidRDefault="00074551" w:rsidP="00367133">
            <w:pPr>
              <w:jc w:val="both"/>
              <w:rPr>
                <w:sz w:val="20"/>
                <w:szCs w:val="20"/>
                <w:lang w:val="en-US"/>
              </w:rPr>
            </w:pPr>
          </w:p>
          <w:p w14:paraId="696AE737" w14:textId="5FE8CE97" w:rsidR="00074551" w:rsidRDefault="00074551" w:rsidP="00367133">
            <w:pPr>
              <w:jc w:val="both"/>
              <w:rPr>
                <w:sz w:val="20"/>
                <w:szCs w:val="20"/>
              </w:rPr>
            </w:pPr>
            <w:r w:rsidRPr="00BE3728">
              <w:rPr>
                <w:sz w:val="20"/>
                <w:szCs w:val="20"/>
              </w:rPr>
              <w:t xml:space="preserve">Der Grundsatz, der sich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5B67C1D2">
              <w:rPr>
                <w:sz w:val="20"/>
                <w:szCs w:val="20"/>
              </w:rPr>
              <w:t xml:space="preserve"> ableiten lasse, laute, dass der </w:t>
            </w:r>
            <w:r>
              <w:rPr>
                <w:sz w:val="20"/>
                <w:szCs w:val="20"/>
              </w:rPr>
              <w:t>U.S. Supreme Court</w:t>
            </w:r>
            <w:r w:rsidRPr="00BE3728">
              <w:rPr>
                <w:sz w:val="20"/>
                <w:szCs w:val="20"/>
              </w:rPr>
              <w:t xml:space="preserve"> weder eine Staatsreligion noch staatliche Maßnahmen gegen eine Religion toleriere. In diesem Rahmen </w:t>
            </w:r>
            <w:r w:rsidR="4733DF71" w:rsidRPr="5B67C1D2">
              <w:rPr>
                <w:sz w:val="20"/>
                <w:szCs w:val="20"/>
              </w:rPr>
              <w:t>können</w:t>
            </w:r>
            <w:r w:rsidRPr="5B67C1D2">
              <w:rPr>
                <w:sz w:val="20"/>
                <w:szCs w:val="20"/>
              </w:rPr>
              <w:t xml:space="preserve"> staatliche Maßnahme ergehen, die sich aber am Neutralitätsprinzip orientieren müssen. D.h. die Religionen können geregelt werden, soweit die Religionsausübung ohne Unterstützung und ohne Einmischung stattfinde.</w:t>
            </w:r>
            <w:r w:rsidRPr="5B67C1D2">
              <w:rPr>
                <w:rStyle w:val="Funotenzeichen"/>
                <w:sz w:val="20"/>
                <w:szCs w:val="20"/>
              </w:rPr>
              <w:footnoteReference w:id="798"/>
            </w:r>
          </w:p>
          <w:p w14:paraId="453507C4" w14:textId="77777777" w:rsidR="00074551" w:rsidRPr="00BE3728" w:rsidRDefault="00074551" w:rsidP="00367133">
            <w:pPr>
              <w:jc w:val="both"/>
              <w:rPr>
                <w:sz w:val="20"/>
                <w:szCs w:val="20"/>
              </w:rPr>
            </w:pPr>
          </w:p>
          <w:p w14:paraId="1E77BB6E" w14:textId="77777777" w:rsidR="00074551" w:rsidRDefault="00074551" w:rsidP="00367133">
            <w:pPr>
              <w:jc w:val="both"/>
              <w:rPr>
                <w:sz w:val="20"/>
                <w:szCs w:val="20"/>
              </w:rPr>
            </w:pPr>
            <w:r w:rsidRPr="00BE3728">
              <w:rPr>
                <w:sz w:val="20"/>
                <w:szCs w:val="20"/>
              </w:rPr>
              <w:t xml:space="preserve">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spricht sich dagegen aus, dass die Legislative die Kompetenz habe, fundamentale Rechte zu regeln, darunter falle die Religionsfreiheit. Diese Rechte seien unantastbar. Stattdessen solle die Legislative Maßnahmen ergreifen, die diese Rechte sichern. </w:t>
            </w:r>
            <w:r w:rsidRPr="00BE3728">
              <w:rPr>
                <w:sz w:val="20"/>
                <w:szCs w:val="20"/>
                <w:lang w:val="en-US"/>
              </w:rPr>
              <w:t xml:space="preserve">Das </w:t>
            </w:r>
            <w:proofErr w:type="spellStart"/>
            <w:r w:rsidRPr="00BE3728">
              <w:rPr>
                <w:sz w:val="20"/>
                <w:szCs w:val="20"/>
                <w:lang w:val="en-US"/>
              </w:rPr>
              <w:t>drücke</w:t>
            </w:r>
            <w:proofErr w:type="spellEnd"/>
            <w:r w:rsidRPr="00BE3728">
              <w:rPr>
                <w:sz w:val="20"/>
                <w:szCs w:val="20"/>
                <w:lang w:val="en-US"/>
              </w:rPr>
              <w:t xml:space="preserve"> </w:t>
            </w:r>
            <w:proofErr w:type="spellStart"/>
            <w:r w:rsidRPr="00BE3728">
              <w:rPr>
                <w:sz w:val="20"/>
                <w:szCs w:val="20"/>
                <w:lang w:val="en-US"/>
              </w:rPr>
              <w:t>sich</w:t>
            </w:r>
            <w:proofErr w:type="spellEnd"/>
            <w:r w:rsidRPr="00BE3728">
              <w:rPr>
                <w:sz w:val="20"/>
                <w:szCs w:val="20"/>
                <w:lang w:val="en-US"/>
              </w:rPr>
              <w:t xml:space="preserve"> </w:t>
            </w:r>
            <w:proofErr w:type="spellStart"/>
            <w:r w:rsidRPr="00BE3728">
              <w:rPr>
                <w:sz w:val="20"/>
                <w:szCs w:val="20"/>
                <w:lang w:val="en-US"/>
              </w:rPr>
              <w:t>dar</w:t>
            </w:r>
            <w:r>
              <w:rPr>
                <w:sz w:val="20"/>
                <w:szCs w:val="20"/>
                <w:lang w:val="en-US"/>
              </w:rPr>
              <w:t>i</w:t>
            </w:r>
            <w:r w:rsidRPr="00BE3728">
              <w:rPr>
                <w:sz w:val="20"/>
                <w:szCs w:val="20"/>
                <w:lang w:val="en-US"/>
              </w:rPr>
              <w:t>n</w:t>
            </w:r>
            <w:proofErr w:type="spellEnd"/>
            <w:r w:rsidRPr="00BE3728">
              <w:rPr>
                <w:sz w:val="20"/>
                <w:szCs w:val="20"/>
                <w:lang w:val="en-US"/>
              </w:rPr>
              <w:t xml:space="preserve"> </w:t>
            </w:r>
            <w:proofErr w:type="spellStart"/>
            <w:r w:rsidRPr="00BE3728">
              <w:rPr>
                <w:sz w:val="20"/>
                <w:szCs w:val="20"/>
                <w:lang w:val="en-US"/>
              </w:rPr>
              <w:t>aus</w:t>
            </w:r>
            <w:proofErr w:type="spellEnd"/>
            <w:r w:rsidRPr="00BE3728">
              <w:rPr>
                <w:sz w:val="20"/>
                <w:szCs w:val="20"/>
                <w:lang w:val="en-US"/>
              </w:rPr>
              <w:t xml:space="preserve">, </w:t>
            </w:r>
            <w:proofErr w:type="spellStart"/>
            <w:r w:rsidRPr="00BE3728">
              <w:rPr>
                <w:sz w:val="20"/>
                <w:szCs w:val="20"/>
                <w:lang w:val="en-US"/>
              </w:rPr>
              <w:t>dass</w:t>
            </w:r>
            <w:proofErr w:type="spellEnd"/>
            <w:r w:rsidRPr="00BE3728">
              <w:rPr>
                <w:sz w:val="20"/>
                <w:szCs w:val="20"/>
                <w:lang w:val="en-US"/>
              </w:rPr>
              <w:t xml:space="preserve">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Maßnahmen</w:t>
            </w:r>
            <w:proofErr w:type="spellEnd"/>
            <w:r w:rsidRPr="00BE3728">
              <w:rPr>
                <w:sz w:val="20"/>
                <w:szCs w:val="20"/>
                <w:lang w:val="en-US"/>
              </w:rPr>
              <w:t xml:space="preserve"> die </w:t>
            </w:r>
            <w:proofErr w:type="spellStart"/>
            <w:r w:rsidRPr="00BE3728">
              <w:rPr>
                <w:sz w:val="20"/>
                <w:szCs w:val="20"/>
                <w:lang w:val="en-US"/>
              </w:rPr>
              <w:t>Freiheiten</w:t>
            </w:r>
            <w:proofErr w:type="spellEnd"/>
            <w:r w:rsidRPr="00BE3728">
              <w:rPr>
                <w:sz w:val="20"/>
                <w:szCs w:val="20"/>
                <w:lang w:val="en-US"/>
              </w:rPr>
              <w:t xml:space="preserve">, den </w:t>
            </w:r>
            <w:proofErr w:type="spellStart"/>
            <w:r w:rsidRPr="00BE3728">
              <w:rPr>
                <w:sz w:val="20"/>
                <w:szCs w:val="20"/>
                <w:lang w:val="en-US"/>
              </w:rPr>
              <w:t>Wohlstand</w:t>
            </w:r>
            <w:proofErr w:type="spellEnd"/>
            <w:r w:rsidRPr="00BE3728">
              <w:rPr>
                <w:sz w:val="20"/>
                <w:szCs w:val="20"/>
                <w:lang w:val="en-US"/>
              </w:rPr>
              <w:t xml:space="preserve"> und das Glück der Gemeinschaft </w:t>
            </w:r>
            <w:proofErr w:type="spellStart"/>
            <w:r w:rsidRPr="00BE3728">
              <w:rPr>
                <w:sz w:val="20"/>
                <w:szCs w:val="20"/>
                <w:lang w:val="en-US"/>
              </w:rPr>
              <w:t>förder</w:t>
            </w:r>
            <w:r>
              <w:rPr>
                <w:sz w:val="20"/>
                <w:szCs w:val="20"/>
                <w:lang w:val="en-US"/>
              </w:rPr>
              <w:t>te</w:t>
            </w:r>
            <w:r w:rsidRPr="00BE3728">
              <w:rPr>
                <w:sz w:val="20"/>
                <w:szCs w:val="20"/>
                <w:lang w:val="en-US"/>
              </w:rPr>
              <w:t>n</w:t>
            </w:r>
            <w:proofErr w:type="spellEnd"/>
            <w:r w:rsidRPr="00BE3728">
              <w:rPr>
                <w:sz w:val="20"/>
                <w:szCs w:val="20"/>
                <w:lang w:val="en-US"/>
              </w:rPr>
              <w:t xml:space="preserve"> („every act which would affront his holy prerogative</w:t>
            </w:r>
            <w:r>
              <w:rPr>
                <w:sz w:val="20"/>
                <w:szCs w:val="20"/>
                <w:lang w:val="en-US"/>
              </w:rPr>
              <w:t xml:space="preserve"> </w:t>
            </w:r>
            <w:r w:rsidRPr="00BE3728">
              <w:rPr>
                <w:sz w:val="20"/>
                <w:szCs w:val="20"/>
                <w:lang w:val="en-US"/>
              </w:rPr>
              <w:t xml:space="preserve">[…] and on the other, guide them into every measure which […] establish more firmly the liberties, the prosperity, and the Happiness of the </w:t>
            </w:r>
            <w:proofErr w:type="gramStart"/>
            <w:r w:rsidRPr="00BE3728">
              <w:rPr>
                <w:sz w:val="20"/>
                <w:szCs w:val="20"/>
                <w:lang w:val="en-US"/>
              </w:rPr>
              <w:t>Commonwealth.“</w:t>
            </w:r>
            <w:proofErr w:type="gramEnd"/>
            <w:r w:rsidRPr="00BE3728">
              <w:rPr>
                <w:rStyle w:val="Funotenzeichen"/>
                <w:sz w:val="20"/>
                <w:szCs w:val="20"/>
                <w:lang w:val="en-US"/>
              </w:rPr>
              <w:footnoteReference w:id="799"/>
            </w:r>
            <w:r w:rsidRPr="00BE3728">
              <w:rPr>
                <w:sz w:val="20"/>
                <w:szCs w:val="20"/>
              </w:rPr>
              <w:t>)</w:t>
            </w:r>
            <w:r>
              <w:rPr>
                <w:sz w:val="20"/>
                <w:szCs w:val="20"/>
              </w:rPr>
              <w:t>.</w:t>
            </w:r>
          </w:p>
          <w:p w14:paraId="725E1A8A" w14:textId="77777777" w:rsidR="00074551" w:rsidRPr="00E50B51" w:rsidRDefault="00074551" w:rsidP="00367133">
            <w:pPr>
              <w:jc w:val="both"/>
              <w:rPr>
                <w:sz w:val="20"/>
                <w:szCs w:val="20"/>
              </w:rPr>
            </w:pPr>
          </w:p>
        </w:tc>
      </w:tr>
      <w:tr w:rsidR="00074551" w:rsidRPr="00E50B51" w14:paraId="66B01A42" w14:textId="77777777" w:rsidTr="00BE689F">
        <w:trPr>
          <w:cantSplit/>
          <w:trHeight w:val="3175"/>
        </w:trPr>
        <w:tc>
          <w:tcPr>
            <w:tcW w:w="293" w:type="pct"/>
          </w:tcPr>
          <w:p w14:paraId="1D75A080"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449B093E" w14:textId="77777777" w:rsidR="00074551" w:rsidRPr="00AB2276" w:rsidRDefault="00074551" w:rsidP="00367133">
            <w:pPr>
              <w:ind w:left="113" w:right="416"/>
              <w:jc w:val="both"/>
              <w:rPr>
                <w:sz w:val="20"/>
                <w:szCs w:val="20"/>
                <w:lang w:val="en-US"/>
              </w:rPr>
            </w:pPr>
            <w:r w:rsidRPr="009167A5">
              <w:rPr>
                <w:i/>
                <w:sz w:val="20"/>
                <w:szCs w:val="20"/>
                <w:lang w:val="en-US"/>
              </w:rPr>
              <w:t>Rosenberger v. Rector &amp; Visitors of the Univ. of Va.</w:t>
            </w:r>
          </w:p>
        </w:tc>
        <w:tc>
          <w:tcPr>
            <w:tcW w:w="197" w:type="pct"/>
            <w:textDirection w:val="tbRl"/>
            <w:vAlign w:val="center"/>
          </w:tcPr>
          <w:p w14:paraId="0ABE78F3" w14:textId="77777777" w:rsidR="00074551" w:rsidRPr="00E50B51" w:rsidRDefault="00074551" w:rsidP="00367133">
            <w:pPr>
              <w:ind w:left="113" w:right="113"/>
              <w:jc w:val="both"/>
              <w:rPr>
                <w:sz w:val="20"/>
                <w:szCs w:val="20"/>
                <w:lang w:val="en-US"/>
              </w:rPr>
            </w:pPr>
            <w:r w:rsidRPr="00BE3728">
              <w:rPr>
                <w:sz w:val="20"/>
                <w:szCs w:val="20"/>
              </w:rPr>
              <w:t>515 U.S. 819</w:t>
            </w:r>
          </w:p>
        </w:tc>
        <w:tc>
          <w:tcPr>
            <w:tcW w:w="306" w:type="pct"/>
            <w:textDirection w:val="tbRl"/>
            <w:vAlign w:val="center"/>
          </w:tcPr>
          <w:p w14:paraId="4832CB8F" w14:textId="77777777" w:rsidR="00074551" w:rsidRPr="00E50B51" w:rsidRDefault="00074551" w:rsidP="00367133">
            <w:pPr>
              <w:ind w:left="113" w:right="113"/>
              <w:jc w:val="both"/>
              <w:rPr>
                <w:sz w:val="20"/>
                <w:szCs w:val="20"/>
              </w:rPr>
            </w:pPr>
            <w:r w:rsidRPr="00BE3728">
              <w:rPr>
                <w:sz w:val="20"/>
                <w:szCs w:val="20"/>
              </w:rPr>
              <w:t>29. Juni 1995</w:t>
            </w:r>
          </w:p>
        </w:tc>
        <w:tc>
          <w:tcPr>
            <w:tcW w:w="401" w:type="pct"/>
          </w:tcPr>
          <w:p w14:paraId="5FB7F926" w14:textId="77777777" w:rsidR="00074551" w:rsidRPr="00E50B51" w:rsidRDefault="00074551" w:rsidP="00367133">
            <w:pPr>
              <w:jc w:val="center"/>
              <w:rPr>
                <w:sz w:val="20"/>
                <w:szCs w:val="20"/>
                <w:lang w:val="en-US"/>
              </w:rPr>
            </w:pPr>
            <w:r w:rsidRPr="00BE3728">
              <w:rPr>
                <w:sz w:val="20"/>
                <w:szCs w:val="20"/>
                <w:lang w:val="en-US"/>
              </w:rPr>
              <w:t>C</w:t>
            </w:r>
          </w:p>
        </w:tc>
        <w:tc>
          <w:tcPr>
            <w:tcW w:w="1594" w:type="pct"/>
          </w:tcPr>
          <w:p w14:paraId="2FDE1C98" w14:textId="56226CD1" w:rsidR="00074551" w:rsidRPr="00E50B51" w:rsidRDefault="00074551" w:rsidP="00367133">
            <w:pPr>
              <w:jc w:val="both"/>
              <w:rPr>
                <w:sz w:val="20"/>
                <w:szCs w:val="20"/>
              </w:rPr>
            </w:pPr>
            <w:r w:rsidRPr="00BE3728">
              <w:rPr>
                <w:sz w:val="20"/>
                <w:szCs w:val="20"/>
              </w:rPr>
              <w:t xml:space="preserve">Studenten der Universität Virginia als Kläger trugen vor, dass </w:t>
            </w:r>
            <w:r>
              <w:rPr>
                <w:sz w:val="20"/>
                <w:szCs w:val="20"/>
              </w:rPr>
              <w:t>die</w:t>
            </w:r>
            <w:r w:rsidRPr="00BE3728">
              <w:rPr>
                <w:sz w:val="20"/>
                <w:szCs w:val="20"/>
              </w:rPr>
              <w:t xml:space="preserve"> Beklagte</w:t>
            </w:r>
            <w:r>
              <w:rPr>
                <w:sz w:val="20"/>
                <w:szCs w:val="20"/>
              </w:rPr>
              <w:t>n</w:t>
            </w:r>
            <w:r w:rsidRPr="00BE3728">
              <w:rPr>
                <w:sz w:val="20"/>
                <w:szCs w:val="20"/>
              </w:rPr>
              <w:t xml:space="preserve">, </w:t>
            </w:r>
            <w:r>
              <w:rPr>
                <w:sz w:val="20"/>
                <w:szCs w:val="20"/>
              </w:rPr>
              <w:t>Vertreter der</w:t>
            </w:r>
            <w:r w:rsidRPr="00BE3728">
              <w:rPr>
                <w:sz w:val="20"/>
                <w:szCs w:val="20"/>
              </w:rPr>
              <w:t xml:space="preserve"> Universität, sich weiger</w:t>
            </w:r>
            <w:r>
              <w:rPr>
                <w:sz w:val="20"/>
                <w:szCs w:val="20"/>
              </w:rPr>
              <w:t>ten</w:t>
            </w:r>
            <w:r w:rsidRPr="00BE3728">
              <w:rPr>
                <w:sz w:val="20"/>
                <w:szCs w:val="20"/>
              </w:rPr>
              <w:t xml:space="preserve">, Druckkosten an einen Drittanbieter zu genehmigen. Die Druckkosten betrafen eine studentische Publikation. Dies verstoße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Der </w:t>
            </w:r>
            <w:r>
              <w:rPr>
                <w:sz w:val="20"/>
                <w:szCs w:val="20"/>
              </w:rPr>
              <w:t>U.S. Supreme Court</w:t>
            </w:r>
            <w:r w:rsidRPr="00BE3728">
              <w:rPr>
                <w:sz w:val="20"/>
                <w:szCs w:val="20"/>
              </w:rPr>
              <w:t xml:space="preserve"> urteilte, die Beklagten </w:t>
            </w:r>
            <w:r>
              <w:rPr>
                <w:sz w:val="20"/>
                <w:szCs w:val="20"/>
              </w:rPr>
              <w:t>hätten</w:t>
            </w:r>
            <w:r w:rsidRPr="00BE3728">
              <w:rPr>
                <w:sz w:val="20"/>
                <w:szCs w:val="20"/>
              </w:rPr>
              <w:t xml:space="preserve"> die Kläger aufgrund ihrer redaktionellen Ansichten zur Religion diskriminiert. Deshalb genehmigten sie </w:t>
            </w:r>
            <w:r>
              <w:rPr>
                <w:sz w:val="20"/>
                <w:szCs w:val="20"/>
              </w:rPr>
              <w:t xml:space="preserve">die Druckkosten </w:t>
            </w:r>
            <w:r w:rsidRPr="00BE3728">
              <w:rPr>
                <w:sz w:val="20"/>
                <w:szCs w:val="20"/>
              </w:rPr>
              <w:t xml:space="preserve">nicht. Der Auszahlungsantrag der Kläger betraf zudem einen privaten Drittanbieter, den der </w:t>
            </w:r>
            <w:r w:rsidRPr="5B67C1D2">
              <w:rPr>
                <w:i/>
                <w:iCs/>
                <w:sz w:val="20"/>
                <w:szCs w:val="20"/>
              </w:rPr>
              <w:t xml:space="preserve">Student </w:t>
            </w:r>
            <w:proofErr w:type="spellStart"/>
            <w:r w:rsidRPr="5B67C1D2">
              <w:rPr>
                <w:i/>
                <w:iCs/>
                <w:sz w:val="20"/>
                <w:szCs w:val="20"/>
              </w:rPr>
              <w:t>Activity</w:t>
            </w:r>
            <w:proofErr w:type="spellEnd"/>
            <w:r w:rsidRPr="5B67C1D2">
              <w:rPr>
                <w:i/>
                <w:iCs/>
                <w:sz w:val="20"/>
                <w:szCs w:val="20"/>
              </w:rPr>
              <w:t xml:space="preserve"> Fund</w:t>
            </w:r>
            <w:r w:rsidRPr="00BE3728">
              <w:rPr>
                <w:sz w:val="20"/>
                <w:szCs w:val="20"/>
              </w:rPr>
              <w:t xml:space="preserve"> (SAF) unterstützte. Damit ging ein Bildungsauftrag einher. Der </w:t>
            </w:r>
            <w:r>
              <w:rPr>
                <w:sz w:val="20"/>
                <w:szCs w:val="20"/>
              </w:rPr>
              <w:t>U.S. Supreme Court</w:t>
            </w:r>
            <w:r w:rsidRPr="00BE3728">
              <w:rPr>
                <w:sz w:val="20"/>
                <w:szCs w:val="20"/>
              </w:rPr>
              <w:t xml:space="preserve"> urteilte darüber hinaus, auch Drittanbieter seien 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geschützt. Der </w:t>
            </w:r>
            <w:r>
              <w:rPr>
                <w:sz w:val="20"/>
                <w:szCs w:val="20"/>
              </w:rPr>
              <w:t>U.S. Supreme Court</w:t>
            </w:r>
            <w:r w:rsidRPr="00BE3728">
              <w:rPr>
                <w:sz w:val="20"/>
                <w:szCs w:val="20"/>
              </w:rPr>
              <w:t xml:space="preserve"> hob daher das Urteil der Vorinstanz </w:t>
            </w:r>
            <w:r>
              <w:rPr>
                <w:sz w:val="20"/>
                <w:szCs w:val="20"/>
              </w:rPr>
              <w:t xml:space="preserve">auf, welches </w:t>
            </w:r>
            <w:r w:rsidRPr="00BE3728">
              <w:rPr>
                <w:sz w:val="20"/>
                <w:szCs w:val="20"/>
              </w:rPr>
              <w:t>zugunsten de</w:t>
            </w:r>
            <w:r>
              <w:rPr>
                <w:sz w:val="20"/>
                <w:szCs w:val="20"/>
              </w:rPr>
              <w:t xml:space="preserve">r </w:t>
            </w:r>
            <w:r w:rsidRPr="00BE3728">
              <w:rPr>
                <w:sz w:val="20"/>
                <w:szCs w:val="20"/>
              </w:rPr>
              <w:t xml:space="preserve">Beklagten </w:t>
            </w:r>
            <w:r>
              <w:rPr>
                <w:sz w:val="20"/>
                <w:szCs w:val="20"/>
              </w:rPr>
              <w:t>ausgefallen war</w:t>
            </w:r>
            <w:r w:rsidRPr="00BE3728">
              <w:rPr>
                <w:sz w:val="20"/>
                <w:szCs w:val="20"/>
              </w:rPr>
              <w:t xml:space="preserve">. Denn die Bedenken hinsichtlich der </w:t>
            </w:r>
            <w:r w:rsidRPr="5B67C1D2">
              <w:rPr>
                <w:i/>
                <w:iCs/>
                <w:sz w:val="20"/>
                <w:szCs w:val="20"/>
              </w:rPr>
              <w:t xml:space="preserve">Establishment </w:t>
            </w:r>
            <w:proofErr w:type="spellStart"/>
            <w:r w:rsidRPr="5B67C1D2">
              <w:rPr>
                <w:i/>
                <w:iCs/>
                <w:sz w:val="20"/>
                <w:szCs w:val="20"/>
              </w:rPr>
              <w:t>Clause</w:t>
            </w:r>
            <w:proofErr w:type="spellEnd"/>
            <w:r w:rsidRPr="00BE3728">
              <w:rPr>
                <w:sz w:val="20"/>
                <w:szCs w:val="20"/>
              </w:rPr>
              <w:t xml:space="preserve"> rechtfertig</w:t>
            </w:r>
            <w:r>
              <w:rPr>
                <w:sz w:val="20"/>
                <w:szCs w:val="20"/>
              </w:rPr>
              <w:t>t</w:t>
            </w:r>
            <w:r w:rsidRPr="00BE3728">
              <w:rPr>
                <w:sz w:val="20"/>
                <w:szCs w:val="20"/>
              </w:rPr>
              <w:t>en nicht, aufgrund eines religiösen Leitartikels die Zahlung an einen Drittanbieter zu unterlassen.</w:t>
            </w:r>
            <w:r w:rsidRPr="00BE3728">
              <w:rPr>
                <w:rStyle w:val="Funotenzeichen"/>
                <w:sz w:val="20"/>
                <w:szCs w:val="20"/>
              </w:rPr>
              <w:footnoteReference w:id="800"/>
            </w:r>
            <w:r w:rsidRPr="00BE3728">
              <w:rPr>
                <w:sz w:val="20"/>
                <w:szCs w:val="20"/>
              </w:rPr>
              <w:t xml:space="preserve"> Das Risiko </w:t>
            </w:r>
            <w:r>
              <w:rPr>
                <w:sz w:val="20"/>
                <w:szCs w:val="20"/>
              </w:rPr>
              <w:t>der</w:t>
            </w:r>
            <w:r w:rsidRPr="00BE3728">
              <w:rPr>
                <w:sz w:val="20"/>
                <w:szCs w:val="20"/>
              </w:rPr>
              <w:t xml:space="preserve"> staatlichen Förderung einer Religion sei zu abstrakt.</w:t>
            </w:r>
          </w:p>
        </w:tc>
        <w:tc>
          <w:tcPr>
            <w:tcW w:w="1822" w:type="pct"/>
          </w:tcPr>
          <w:p w14:paraId="76FBBB5F"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Fundamental Freedoms › Freedom of Religion › Establishment of Religion</w:t>
            </w:r>
          </w:p>
          <w:p w14:paraId="325028A5" w14:textId="77777777" w:rsidR="00074551" w:rsidRPr="00BE3728" w:rsidRDefault="00074551" w:rsidP="00367133">
            <w:pPr>
              <w:jc w:val="both"/>
              <w:rPr>
                <w:color w:val="FF0000"/>
                <w:sz w:val="20"/>
                <w:szCs w:val="20"/>
                <w:lang w:val="en-US"/>
              </w:rPr>
            </w:pPr>
          </w:p>
          <w:p w14:paraId="48340274" w14:textId="77777777" w:rsidR="00074551" w:rsidRDefault="00074551" w:rsidP="00367133">
            <w:pPr>
              <w:jc w:val="both"/>
              <w:rPr>
                <w:sz w:val="20"/>
                <w:szCs w:val="20"/>
              </w:rPr>
            </w:pPr>
            <w:r w:rsidRPr="00BE3728">
              <w:rPr>
                <w:sz w:val="20"/>
                <w:szCs w:val="20"/>
              </w:rPr>
              <w:t xml:space="preserve">Wenn Gerichte ein Verbot durchsetzen, um die Religionsausübung nicht mehr zu fördern, dann </w:t>
            </w:r>
            <w:r>
              <w:rPr>
                <w:sz w:val="20"/>
                <w:szCs w:val="20"/>
              </w:rPr>
              <w:t>müssen sie</w:t>
            </w:r>
            <w:r w:rsidRPr="00BE3728">
              <w:rPr>
                <w:sz w:val="20"/>
                <w:szCs w:val="20"/>
              </w:rPr>
              <w:t xml:space="preserve"> darauf achten, nicht zugleich der Regierung versehentlich </w:t>
            </w:r>
            <w:r>
              <w:rPr>
                <w:sz w:val="20"/>
                <w:szCs w:val="20"/>
              </w:rPr>
              <w:t xml:space="preserve">zu </w:t>
            </w:r>
            <w:r w:rsidRPr="00BE3728">
              <w:rPr>
                <w:sz w:val="20"/>
                <w:szCs w:val="20"/>
              </w:rPr>
              <w:t>verbieten, ihre staatlichen Leistungen auf alle Bürger auszuweiten zu können.</w:t>
            </w:r>
            <w:r w:rsidRPr="00BE3728">
              <w:rPr>
                <w:rStyle w:val="Funotenzeichen"/>
                <w:sz w:val="20"/>
                <w:szCs w:val="20"/>
              </w:rPr>
              <w:footnoteReference w:id="801"/>
            </w:r>
            <w:r w:rsidRPr="00BE3728">
              <w:rPr>
                <w:sz w:val="20"/>
                <w:szCs w:val="20"/>
              </w:rPr>
              <w:t xml:space="preserve"> Zudem sei die Neutralitätsgarantie nicht verletzt, wenn die Regierung nach neutralen Kriterien und unparteiischen Maßnahmen Leistungen an Empfänger gewähre, deren Ansichten breit seien, einschließlich der religiösen.</w:t>
            </w:r>
            <w:r w:rsidRPr="00BE3728">
              <w:rPr>
                <w:rStyle w:val="Funotenzeichen"/>
                <w:sz w:val="20"/>
                <w:szCs w:val="20"/>
              </w:rPr>
              <w:footnoteReference w:id="802"/>
            </w:r>
          </w:p>
          <w:p w14:paraId="0E4F050B" w14:textId="77777777" w:rsidR="00074551" w:rsidRPr="00BE3728" w:rsidRDefault="00074551" w:rsidP="00367133">
            <w:pPr>
              <w:jc w:val="both"/>
              <w:rPr>
                <w:sz w:val="20"/>
                <w:szCs w:val="20"/>
              </w:rPr>
            </w:pPr>
          </w:p>
          <w:p w14:paraId="088135DD" w14:textId="77777777" w:rsidR="00074551" w:rsidRPr="00BE3728" w:rsidRDefault="00074551" w:rsidP="00367133">
            <w:pPr>
              <w:jc w:val="both"/>
              <w:rPr>
                <w:sz w:val="20"/>
                <w:szCs w:val="20"/>
              </w:rPr>
            </w:pPr>
            <w:r w:rsidRPr="00BE3728">
              <w:rPr>
                <w:sz w:val="20"/>
                <w:szCs w:val="20"/>
              </w:rPr>
              <w:t xml:space="preserve">Die verfassungsrechtlichen Vorgaben der </w:t>
            </w:r>
            <w:r w:rsidRPr="5B67C1D2">
              <w:rPr>
                <w:i/>
                <w:iCs/>
                <w:sz w:val="20"/>
                <w:szCs w:val="20"/>
              </w:rPr>
              <w:t xml:space="preserve">Establishment </w:t>
            </w:r>
            <w:proofErr w:type="spellStart"/>
            <w:r w:rsidRPr="5B67C1D2">
              <w:rPr>
                <w:i/>
                <w:iCs/>
                <w:sz w:val="20"/>
                <w:szCs w:val="20"/>
              </w:rPr>
              <w:t>Clause</w:t>
            </w:r>
            <w:proofErr w:type="spellEnd"/>
            <w:r w:rsidRPr="00BE3728">
              <w:rPr>
                <w:sz w:val="20"/>
                <w:szCs w:val="20"/>
              </w:rPr>
              <w:t xml:space="preserve"> lassen sich entlang zweier Linien darstellen: Neutralität und Verbot staatlicher Hilfen für Religionen. Jedoch kann die Grundlinie keinesfalls von Zufällen in der Unterstützungsform abhängen, wie hier einem religiösen Leitartikel. Eine andere Auffassung </w:t>
            </w:r>
            <w:r>
              <w:rPr>
                <w:sz w:val="20"/>
                <w:szCs w:val="20"/>
              </w:rPr>
              <w:t>würde</w:t>
            </w:r>
            <w:r w:rsidRPr="00BE3728">
              <w:rPr>
                <w:sz w:val="20"/>
                <w:szCs w:val="20"/>
              </w:rPr>
              <w:t xml:space="preserve"> eine jahrhundertealte Praxis zunichtemachen. Die laute: Das Recht von Religionsangehörigen zu wahren, auf neutraler Basis an staatlich finanzierten Programmen teilzunehmen.</w:t>
            </w:r>
            <w:r w:rsidRPr="00BE3728">
              <w:rPr>
                <w:rStyle w:val="Funotenzeichen"/>
                <w:sz w:val="20"/>
                <w:szCs w:val="20"/>
              </w:rPr>
              <w:footnoteReference w:id="803"/>
            </w:r>
            <w:r w:rsidRPr="00BE3728">
              <w:rPr>
                <w:sz w:val="20"/>
                <w:szCs w:val="20"/>
              </w:rPr>
              <w:t xml:space="preserve"> Warum besteht diese jahrhundertalte Praxis?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 xml:space="preserve"> </w:t>
            </w:r>
            <w:r w:rsidRPr="00BE3728">
              <w:rPr>
                <w:sz w:val="20"/>
                <w:szCs w:val="20"/>
              </w:rPr>
              <w:t xml:space="preserve">erklärte, Religion zu gewähren, sei nicht nur eine wesentliche öffentliche Leistung. Vielmehr sei nach dem ersten Kongress </w:t>
            </w:r>
            <w:r>
              <w:rPr>
                <w:sz w:val="20"/>
                <w:szCs w:val="20"/>
              </w:rPr>
              <w:t>die Förderung der Religion</w:t>
            </w:r>
            <w:r w:rsidRPr="00BE3728">
              <w:rPr>
                <w:sz w:val="20"/>
                <w:szCs w:val="20"/>
              </w:rPr>
              <w:t xml:space="preserve"> notwendig für eine gute Regierung und das Glück der Menschen („</w:t>
            </w:r>
            <w:proofErr w:type="spellStart"/>
            <w:r w:rsidRPr="00BE3728">
              <w:rPr>
                <w:sz w:val="20"/>
                <w:szCs w:val="20"/>
              </w:rPr>
              <w:t>being</w:t>
            </w:r>
            <w:proofErr w:type="spellEnd"/>
            <w:r w:rsidRPr="00BE3728">
              <w:rPr>
                <w:sz w:val="20"/>
                <w:szCs w:val="20"/>
              </w:rPr>
              <w:t xml:space="preserve"> </w:t>
            </w:r>
            <w:proofErr w:type="spellStart"/>
            <w:r w:rsidRPr="00BE3728">
              <w:rPr>
                <w:sz w:val="20"/>
                <w:szCs w:val="20"/>
              </w:rPr>
              <w:t>necessary</w:t>
            </w:r>
            <w:proofErr w:type="spellEnd"/>
            <w:r w:rsidRPr="00BE3728">
              <w:rPr>
                <w:sz w:val="20"/>
                <w:szCs w:val="20"/>
              </w:rPr>
              <w:t xml:space="preserve"> to </w:t>
            </w:r>
            <w:proofErr w:type="spellStart"/>
            <w:r w:rsidRPr="00BE3728">
              <w:rPr>
                <w:sz w:val="20"/>
                <w:szCs w:val="20"/>
              </w:rPr>
              <w:t>good</w:t>
            </w:r>
            <w:proofErr w:type="spellEnd"/>
            <w:r w:rsidRPr="00BE3728">
              <w:rPr>
                <w:sz w:val="20"/>
                <w:szCs w:val="20"/>
              </w:rPr>
              <w:t xml:space="preserve"> </w:t>
            </w:r>
            <w:proofErr w:type="spellStart"/>
            <w:r w:rsidRPr="00BE3728">
              <w:rPr>
                <w:sz w:val="20"/>
                <w:szCs w:val="20"/>
              </w:rPr>
              <w:t>government</w:t>
            </w:r>
            <w:proofErr w:type="spellEnd"/>
            <w:r w:rsidRPr="00BE3728">
              <w:rPr>
                <w:sz w:val="20"/>
                <w:szCs w:val="20"/>
              </w:rPr>
              <w:t xml:space="preserve"> and the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mankind</w:t>
            </w:r>
            <w:proofErr w:type="spellEnd"/>
            <w:r w:rsidRPr="00BE3728">
              <w:rPr>
                <w:sz w:val="20"/>
                <w:szCs w:val="20"/>
              </w:rPr>
              <w:t>“</w:t>
            </w:r>
            <w:r w:rsidRPr="00BE3728">
              <w:rPr>
                <w:rStyle w:val="Funotenzeichen"/>
                <w:sz w:val="20"/>
                <w:szCs w:val="20"/>
              </w:rPr>
              <w:footnoteReference w:id="804"/>
            </w:r>
            <w:r w:rsidRPr="00BE3728">
              <w:rPr>
                <w:sz w:val="20"/>
                <w:szCs w:val="20"/>
              </w:rPr>
              <w:t>), das Fundament der Vereinigten Staaten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Nation</w:t>
            </w:r>
            <w:r>
              <w:rPr>
                <w:sz w:val="20"/>
                <w:szCs w:val="20"/>
              </w:rPr>
              <w:t>’</w:t>
            </w:r>
            <w:r w:rsidRPr="00BE3728">
              <w:rPr>
                <w:sz w:val="20"/>
                <w:szCs w:val="20"/>
              </w:rPr>
              <w:t>s</w:t>
            </w:r>
            <w:proofErr w:type="spellEnd"/>
            <w:r w:rsidRPr="00BE3728">
              <w:rPr>
                <w:sz w:val="20"/>
                <w:szCs w:val="20"/>
              </w:rPr>
              <w:t xml:space="preserve"> </w:t>
            </w:r>
            <w:proofErr w:type="spellStart"/>
            <w:r w:rsidRPr="00BE3728">
              <w:rPr>
                <w:sz w:val="20"/>
                <w:szCs w:val="20"/>
              </w:rPr>
              <w:t>tradition</w:t>
            </w:r>
            <w:proofErr w:type="spellEnd"/>
            <w:r w:rsidRPr="00BE3728">
              <w:rPr>
                <w:sz w:val="20"/>
                <w:szCs w:val="20"/>
              </w:rPr>
              <w:t>“</w:t>
            </w:r>
            <w:r w:rsidRPr="00BE3728">
              <w:rPr>
                <w:rStyle w:val="Funotenzeichen"/>
                <w:sz w:val="20"/>
                <w:szCs w:val="20"/>
              </w:rPr>
              <w:footnoteReference w:id="805"/>
            </w:r>
            <w:r w:rsidRPr="00BE3728">
              <w:rPr>
                <w:sz w:val="20"/>
                <w:szCs w:val="20"/>
              </w:rPr>
              <w:t>).</w:t>
            </w:r>
          </w:p>
          <w:p w14:paraId="5FFC21F8" w14:textId="77777777" w:rsidR="00074551" w:rsidRPr="00E50B51" w:rsidRDefault="00074551" w:rsidP="00367133">
            <w:pPr>
              <w:jc w:val="both"/>
              <w:rPr>
                <w:sz w:val="20"/>
                <w:szCs w:val="20"/>
              </w:rPr>
            </w:pPr>
          </w:p>
        </w:tc>
      </w:tr>
      <w:tr w:rsidR="00074551" w:rsidRPr="00E50B51" w14:paraId="1F55AA24" w14:textId="77777777" w:rsidTr="00A15DB3">
        <w:trPr>
          <w:cantSplit/>
          <w:trHeight w:val="3175"/>
        </w:trPr>
        <w:tc>
          <w:tcPr>
            <w:tcW w:w="293" w:type="pct"/>
            <w:shd w:val="clear" w:color="auto" w:fill="E7E6E6" w:themeFill="background2"/>
          </w:tcPr>
          <w:p w14:paraId="0CEC36CA"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5CFE8A92"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2C16DCCE"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0421958B" w14:textId="77777777" w:rsidR="00074551" w:rsidRPr="00E50B51" w:rsidRDefault="00074551" w:rsidP="00367133">
            <w:pPr>
              <w:ind w:left="113" w:right="113"/>
              <w:jc w:val="both"/>
              <w:rPr>
                <w:sz w:val="20"/>
                <w:szCs w:val="20"/>
              </w:rPr>
            </w:pPr>
            <w:r w:rsidRPr="00E50B51">
              <w:rPr>
                <w:sz w:val="20"/>
                <w:szCs w:val="20"/>
              </w:rPr>
              <w:t>Freedom of Speech</w:t>
            </w:r>
          </w:p>
        </w:tc>
        <w:tc>
          <w:tcPr>
            <w:tcW w:w="306" w:type="pct"/>
            <w:shd w:val="clear" w:color="auto" w:fill="E7E6E6" w:themeFill="background2"/>
            <w:textDirection w:val="tbRl"/>
            <w:vAlign w:val="center"/>
          </w:tcPr>
          <w:p w14:paraId="1772ACA5" w14:textId="77777777" w:rsidR="00074551" w:rsidRPr="00E50B51" w:rsidRDefault="00074551" w:rsidP="00367133">
            <w:pPr>
              <w:ind w:left="113" w:right="113"/>
              <w:jc w:val="both"/>
              <w:rPr>
                <w:sz w:val="20"/>
                <w:szCs w:val="20"/>
              </w:rPr>
            </w:pPr>
            <w:r w:rsidRPr="00E50B51">
              <w:rPr>
                <w:sz w:val="20"/>
                <w:szCs w:val="20"/>
              </w:rPr>
              <w:t>Scope</w:t>
            </w:r>
          </w:p>
        </w:tc>
        <w:tc>
          <w:tcPr>
            <w:tcW w:w="401" w:type="pct"/>
            <w:shd w:val="clear" w:color="auto" w:fill="E7E6E6" w:themeFill="background2"/>
          </w:tcPr>
          <w:p w14:paraId="255603CB"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FDC5205" w14:textId="77777777" w:rsidR="00074551" w:rsidRPr="00E50B51" w:rsidRDefault="00074551" w:rsidP="00367133">
            <w:pPr>
              <w:jc w:val="both"/>
              <w:rPr>
                <w:sz w:val="20"/>
                <w:szCs w:val="20"/>
              </w:rPr>
            </w:pPr>
          </w:p>
        </w:tc>
        <w:tc>
          <w:tcPr>
            <w:tcW w:w="1822" w:type="pct"/>
            <w:shd w:val="clear" w:color="auto" w:fill="E7E6E6" w:themeFill="background2"/>
          </w:tcPr>
          <w:p w14:paraId="72436A65" w14:textId="73CFE021" w:rsidR="00074551" w:rsidRPr="00E50B51" w:rsidRDefault="00A15DB3" w:rsidP="00A15DB3">
            <w:pPr>
              <w:rPr>
                <w:sz w:val="20"/>
                <w:szCs w:val="20"/>
              </w:rPr>
            </w:pPr>
            <w:r w:rsidRPr="00A15DB3">
              <w:rPr>
                <w:i/>
                <w:iCs/>
                <w:sz w:val="16"/>
                <w:szCs w:val="20"/>
              </w:rPr>
              <w:t>Thematische Gliederung der nachfolgenden Entscheidungen ↓</w:t>
            </w:r>
          </w:p>
        </w:tc>
      </w:tr>
      <w:tr w:rsidR="00074551" w:rsidRPr="00E50B51" w14:paraId="79E59F91" w14:textId="77777777" w:rsidTr="00BE689F">
        <w:trPr>
          <w:cantSplit/>
          <w:trHeight w:val="3175"/>
        </w:trPr>
        <w:tc>
          <w:tcPr>
            <w:tcW w:w="293" w:type="pct"/>
          </w:tcPr>
          <w:p w14:paraId="346CEDE3"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1EEE9E4" w14:textId="77777777" w:rsidR="00074551" w:rsidRPr="00B45592" w:rsidRDefault="00074551" w:rsidP="00367133">
            <w:pPr>
              <w:ind w:left="113" w:right="416"/>
              <w:jc w:val="both"/>
              <w:rPr>
                <w:i/>
                <w:sz w:val="20"/>
                <w:szCs w:val="20"/>
                <w:lang w:val="en-US"/>
              </w:rPr>
            </w:pPr>
            <w:r w:rsidRPr="00B45592">
              <w:rPr>
                <w:i/>
                <w:sz w:val="20"/>
                <w:szCs w:val="20"/>
                <w:lang w:val="en-US"/>
              </w:rPr>
              <w:t xml:space="preserve">American Communications </w:t>
            </w:r>
            <w:proofErr w:type="spellStart"/>
            <w:r w:rsidRPr="00B45592">
              <w:rPr>
                <w:i/>
                <w:sz w:val="20"/>
                <w:szCs w:val="20"/>
                <w:lang w:val="en-US"/>
              </w:rPr>
              <w:t>Ass’n</w:t>
            </w:r>
            <w:proofErr w:type="spellEnd"/>
            <w:r w:rsidRPr="00B45592">
              <w:rPr>
                <w:i/>
                <w:sz w:val="20"/>
                <w:szCs w:val="20"/>
                <w:lang w:val="en-US"/>
              </w:rPr>
              <w:t xml:space="preserve"> v. Douds</w:t>
            </w:r>
          </w:p>
        </w:tc>
        <w:tc>
          <w:tcPr>
            <w:tcW w:w="197" w:type="pct"/>
            <w:textDirection w:val="tbRl"/>
            <w:vAlign w:val="center"/>
          </w:tcPr>
          <w:p w14:paraId="558FB428" w14:textId="77777777" w:rsidR="00074551" w:rsidRPr="00E50B51" w:rsidRDefault="00074551" w:rsidP="00367133">
            <w:pPr>
              <w:ind w:left="113" w:right="113"/>
              <w:jc w:val="both"/>
              <w:rPr>
                <w:sz w:val="20"/>
                <w:szCs w:val="20"/>
                <w:lang w:val="en-US"/>
              </w:rPr>
            </w:pPr>
            <w:r w:rsidRPr="00E50B51">
              <w:rPr>
                <w:sz w:val="20"/>
                <w:szCs w:val="20"/>
                <w:lang w:val="en-US"/>
              </w:rPr>
              <w:t>339 U.S. 382</w:t>
            </w:r>
          </w:p>
        </w:tc>
        <w:tc>
          <w:tcPr>
            <w:tcW w:w="306" w:type="pct"/>
            <w:textDirection w:val="tbRl"/>
            <w:vAlign w:val="center"/>
          </w:tcPr>
          <w:p w14:paraId="04FF44B1" w14:textId="77777777" w:rsidR="00074551" w:rsidRPr="00E50B51" w:rsidRDefault="00074551" w:rsidP="00367133">
            <w:pPr>
              <w:ind w:left="113" w:right="113"/>
              <w:jc w:val="both"/>
              <w:rPr>
                <w:sz w:val="20"/>
                <w:szCs w:val="20"/>
              </w:rPr>
            </w:pPr>
            <w:r w:rsidRPr="00E50B51">
              <w:rPr>
                <w:sz w:val="20"/>
                <w:szCs w:val="20"/>
              </w:rPr>
              <w:t>8. Mai 1950</w:t>
            </w:r>
          </w:p>
        </w:tc>
        <w:tc>
          <w:tcPr>
            <w:tcW w:w="401" w:type="pct"/>
          </w:tcPr>
          <w:p w14:paraId="4FFAEBD4" w14:textId="77777777" w:rsidR="00074551" w:rsidRPr="00E50B51" w:rsidRDefault="00074551" w:rsidP="00367133">
            <w:pPr>
              <w:jc w:val="center"/>
              <w:rPr>
                <w:sz w:val="20"/>
                <w:szCs w:val="20"/>
              </w:rPr>
            </w:pPr>
            <w:r w:rsidRPr="00E50B51">
              <w:rPr>
                <w:sz w:val="20"/>
                <w:szCs w:val="20"/>
              </w:rPr>
              <w:t>D</w:t>
            </w:r>
          </w:p>
        </w:tc>
        <w:tc>
          <w:tcPr>
            <w:tcW w:w="1594" w:type="pct"/>
          </w:tcPr>
          <w:p w14:paraId="68360053" w14:textId="77777777" w:rsidR="00074551" w:rsidRPr="00E50B51" w:rsidRDefault="00074551" w:rsidP="00367133">
            <w:pPr>
              <w:jc w:val="both"/>
              <w:rPr>
                <w:sz w:val="20"/>
                <w:szCs w:val="20"/>
              </w:rPr>
            </w:pPr>
            <w:r w:rsidRPr="00E50B51">
              <w:rPr>
                <w:sz w:val="20"/>
                <w:szCs w:val="20"/>
              </w:rPr>
              <w:t>*</w:t>
            </w:r>
          </w:p>
        </w:tc>
        <w:tc>
          <w:tcPr>
            <w:tcW w:w="1822" w:type="pct"/>
          </w:tcPr>
          <w:p w14:paraId="7AB767F6" w14:textId="74F2C084" w:rsidR="00074551" w:rsidRDefault="00074551" w:rsidP="5B67C1D2">
            <w:pPr>
              <w:spacing w:line="259" w:lineRule="auto"/>
              <w:jc w:val="both"/>
              <w:rPr>
                <w:sz w:val="20"/>
                <w:szCs w:val="20"/>
              </w:rPr>
            </w:pPr>
            <w:r w:rsidRPr="00D877AA">
              <w:rPr>
                <w:sz w:val="20"/>
                <w:szCs w:val="20"/>
                <w:lang w:val="en-US"/>
              </w:rPr>
              <w:t xml:space="preserve">In </w:t>
            </w:r>
            <w:r w:rsidRPr="5B67C1D2">
              <w:rPr>
                <w:i/>
                <w:iCs/>
                <w:sz w:val="20"/>
                <w:szCs w:val="20"/>
                <w:lang w:val="en-US"/>
              </w:rPr>
              <w:t xml:space="preserve">American Communications </w:t>
            </w:r>
            <w:proofErr w:type="spellStart"/>
            <w:r w:rsidRPr="5B67C1D2">
              <w:rPr>
                <w:i/>
                <w:iCs/>
                <w:sz w:val="20"/>
                <w:szCs w:val="20"/>
                <w:lang w:val="en-US"/>
              </w:rPr>
              <w:t>Ass’n</w:t>
            </w:r>
            <w:proofErr w:type="spellEnd"/>
            <w:r w:rsidRPr="5B67C1D2">
              <w:rPr>
                <w:i/>
                <w:iCs/>
                <w:sz w:val="20"/>
                <w:szCs w:val="20"/>
                <w:lang w:val="en-US"/>
              </w:rPr>
              <w:t xml:space="preserve"> v. Douds</w:t>
            </w:r>
            <w:r w:rsidRPr="00D877AA">
              <w:rPr>
                <w:sz w:val="20"/>
                <w:szCs w:val="20"/>
                <w:lang w:val="en-US"/>
              </w:rPr>
              <w:t xml:space="preserve"> </w:t>
            </w:r>
            <w:proofErr w:type="spellStart"/>
            <w:r w:rsidRPr="5B67C1D2">
              <w:rPr>
                <w:sz w:val="20"/>
                <w:szCs w:val="20"/>
                <w:lang w:val="en-US"/>
              </w:rPr>
              <w:t>schreibt</w:t>
            </w:r>
            <w:proofErr w:type="spellEnd"/>
            <w:r w:rsidRPr="5B67C1D2">
              <w:rPr>
                <w:sz w:val="20"/>
                <w:szCs w:val="20"/>
                <w:lang w:val="en-US"/>
              </w:rPr>
              <w:t xml:space="preserve"> der </w:t>
            </w:r>
            <w:r>
              <w:rPr>
                <w:sz w:val="20"/>
                <w:szCs w:val="20"/>
                <w:lang w:val="en-US"/>
              </w:rPr>
              <w:t>U.S. Supreme Court</w:t>
            </w:r>
            <w:r w:rsidRPr="00D877AA">
              <w:rPr>
                <w:sz w:val="20"/>
                <w:szCs w:val="20"/>
                <w:lang w:val="en-US"/>
              </w:rPr>
              <w:t xml:space="preserve">, </w:t>
            </w:r>
            <w:r>
              <w:rPr>
                <w:sz w:val="20"/>
                <w:szCs w:val="20"/>
                <w:lang w:val="en-US"/>
              </w:rPr>
              <w:t>das</w:t>
            </w:r>
            <w:r w:rsidRPr="00D877AA">
              <w:rPr>
                <w:sz w:val="20"/>
                <w:szCs w:val="20"/>
                <w:lang w:val="en-US"/>
              </w:rPr>
              <w:t xml:space="preserve"> </w:t>
            </w:r>
            <w:r w:rsidRPr="5B67C1D2">
              <w:rPr>
                <w:i/>
                <w:iCs/>
                <w:sz w:val="20"/>
                <w:szCs w:val="20"/>
                <w:lang w:val="en-US"/>
              </w:rPr>
              <w:t>pursuit of Happiness</w:t>
            </w:r>
            <w:r w:rsidRPr="00D877AA">
              <w:rPr>
                <w:sz w:val="20"/>
                <w:szCs w:val="20"/>
                <w:lang w:val="en-US"/>
              </w:rPr>
              <w:t xml:space="preserve"> </w:t>
            </w:r>
            <w:proofErr w:type="spellStart"/>
            <w:r w:rsidRPr="5B67C1D2">
              <w:rPr>
                <w:sz w:val="20"/>
                <w:szCs w:val="20"/>
                <w:lang w:val="en-US"/>
              </w:rPr>
              <w:t>regele</w:t>
            </w:r>
            <w:proofErr w:type="spellEnd"/>
            <w:r w:rsidRPr="5B67C1D2">
              <w:rPr>
                <w:sz w:val="20"/>
                <w:szCs w:val="20"/>
                <w:lang w:val="en-US"/>
              </w:rPr>
              <w:t xml:space="preserve"> </w:t>
            </w:r>
            <w:proofErr w:type="spellStart"/>
            <w:r w:rsidRPr="5B67C1D2">
              <w:rPr>
                <w:sz w:val="20"/>
                <w:szCs w:val="20"/>
                <w:lang w:val="en-US"/>
              </w:rPr>
              <w:t>auch</w:t>
            </w:r>
            <w:proofErr w:type="spellEnd"/>
            <w:r w:rsidRPr="5B67C1D2">
              <w:rPr>
                <w:sz w:val="20"/>
                <w:szCs w:val="20"/>
                <w:lang w:val="en-US"/>
              </w:rPr>
              <w:t xml:space="preserve"> das </w:t>
            </w:r>
            <w:r w:rsidRPr="5B67C1D2">
              <w:rPr>
                <w:i/>
                <w:iCs/>
                <w:sz w:val="20"/>
                <w:szCs w:val="20"/>
                <w:lang w:val="en-US"/>
              </w:rPr>
              <w:t>principle of change</w:t>
            </w:r>
            <w:r w:rsidRPr="00D877AA">
              <w:rPr>
                <w:sz w:val="20"/>
                <w:szCs w:val="20"/>
                <w:vertAlign w:val="superscript"/>
              </w:rPr>
              <w:footnoteReference w:id="806"/>
            </w:r>
            <w:r w:rsidRPr="00D877AA">
              <w:rPr>
                <w:sz w:val="20"/>
                <w:szCs w:val="20"/>
                <w:lang w:val="en-US"/>
              </w:rPr>
              <w:t xml:space="preserve"> (“advocacy of change by democratic methods”</w:t>
            </w:r>
            <w:r w:rsidRPr="00D877AA">
              <w:rPr>
                <w:sz w:val="20"/>
                <w:szCs w:val="20"/>
                <w:vertAlign w:val="superscript"/>
                <w:lang w:val="en-US"/>
              </w:rPr>
              <w:footnoteReference w:id="807"/>
            </w:r>
            <w:r w:rsidRPr="00D877AA">
              <w:rPr>
                <w:sz w:val="20"/>
                <w:szCs w:val="20"/>
                <w:lang w:val="en-US"/>
              </w:rPr>
              <w:t xml:space="preserve">). </w:t>
            </w:r>
            <w:r w:rsidRPr="00D877AA">
              <w:rPr>
                <w:sz w:val="20"/>
                <w:szCs w:val="20"/>
              </w:rPr>
              <w:t xml:space="preserve">D.h. der </w:t>
            </w:r>
            <w:r>
              <w:rPr>
                <w:sz w:val="20"/>
                <w:szCs w:val="20"/>
              </w:rPr>
              <w:t>S</w:t>
            </w:r>
            <w:r w:rsidRPr="00D877AA">
              <w:rPr>
                <w:sz w:val="20"/>
                <w:szCs w:val="20"/>
              </w:rPr>
              <w:t xml:space="preserve">tatus quo </w:t>
            </w:r>
            <w:r>
              <w:rPr>
                <w:sz w:val="20"/>
                <w:szCs w:val="20"/>
              </w:rPr>
              <w:t>müsse</w:t>
            </w:r>
            <w:r w:rsidRPr="00D877AA">
              <w:rPr>
                <w:sz w:val="20"/>
                <w:szCs w:val="20"/>
              </w:rPr>
              <w:t xml:space="preserve"> immerzu überprüft werden, inwieweit er geeignet </w:t>
            </w:r>
            <w:r>
              <w:rPr>
                <w:sz w:val="20"/>
                <w:szCs w:val="20"/>
              </w:rPr>
              <w:t>sei</w:t>
            </w:r>
            <w:r w:rsidRPr="00D877AA">
              <w:rPr>
                <w:sz w:val="20"/>
                <w:szCs w:val="20"/>
              </w:rPr>
              <w:t>, Glück zu sichern.</w:t>
            </w:r>
            <w:r w:rsidRPr="00D877AA">
              <w:rPr>
                <w:sz w:val="20"/>
                <w:szCs w:val="20"/>
                <w:vertAlign w:val="superscript"/>
              </w:rPr>
              <w:footnoteReference w:id="808"/>
            </w:r>
            <w:r w:rsidRPr="00D877AA">
              <w:rPr>
                <w:sz w:val="20"/>
                <w:szCs w:val="20"/>
              </w:rPr>
              <w:t xml:space="preserve"> Ein notwendiges Korrelat dazu: </w:t>
            </w:r>
            <w:r>
              <w:rPr>
                <w:sz w:val="20"/>
                <w:szCs w:val="20"/>
              </w:rPr>
              <w:t>d</w:t>
            </w:r>
            <w:r w:rsidRPr="00D877AA">
              <w:rPr>
                <w:sz w:val="20"/>
                <w:szCs w:val="20"/>
              </w:rPr>
              <w:t xml:space="preserve">ie Meinungsfreiheit. </w:t>
            </w:r>
            <w:r>
              <w:rPr>
                <w:sz w:val="20"/>
                <w:szCs w:val="20"/>
              </w:rPr>
              <w:t xml:space="preserve">Der </w:t>
            </w:r>
            <w:r w:rsidRPr="00D877AA">
              <w:rPr>
                <w:sz w:val="20"/>
                <w:szCs w:val="20"/>
              </w:rPr>
              <w:t xml:space="preserve">Dissens bildet </w:t>
            </w:r>
            <w:r>
              <w:rPr>
                <w:sz w:val="20"/>
                <w:szCs w:val="20"/>
              </w:rPr>
              <w:t xml:space="preserve">zunächst </w:t>
            </w:r>
            <w:r w:rsidRPr="00D877AA">
              <w:rPr>
                <w:sz w:val="20"/>
                <w:szCs w:val="20"/>
              </w:rPr>
              <w:t>die Hypothese: Wenn ein Gesetz von Gewerkschaftsfunktionären verlange, auf die Mitgliedschaft in der Republikanischen Partei oder Demokratischen Partei oder der Sozialistischen Partei zu verzichten, dann wäre dieses Gesetz unbestreitbar verfassungswidrig – warum soll</w:t>
            </w:r>
            <w:r>
              <w:rPr>
                <w:sz w:val="20"/>
                <w:szCs w:val="20"/>
              </w:rPr>
              <w:t>e</w:t>
            </w:r>
            <w:r w:rsidRPr="00D877AA">
              <w:rPr>
                <w:sz w:val="20"/>
                <w:szCs w:val="20"/>
              </w:rPr>
              <w:t xml:space="preserve"> dies bei der Kommunistischen Partei anders sein, so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D877AA">
              <w:rPr>
                <w:sz w:val="20"/>
                <w:szCs w:val="20"/>
              </w:rPr>
              <w:t>? Der Dissens erklärte das Gesetz, das für Gewerkschaftsfunktionäre diese Parteimitgliedschaft untersag</w:t>
            </w:r>
            <w:r>
              <w:rPr>
                <w:sz w:val="20"/>
                <w:szCs w:val="20"/>
              </w:rPr>
              <w:t>t</w:t>
            </w:r>
            <w:r w:rsidRPr="00D877AA">
              <w:rPr>
                <w:sz w:val="20"/>
                <w:szCs w:val="20"/>
              </w:rPr>
              <w:t xml:space="preserve">e, daher für verfassungswidrig. Doch wie lautete die Begründung? Sie bediente sich des </w:t>
            </w:r>
            <w:proofErr w:type="spellStart"/>
            <w:r w:rsidRPr="5B67C1D2">
              <w:rPr>
                <w:i/>
                <w:iCs/>
                <w:sz w:val="20"/>
                <w:szCs w:val="20"/>
              </w:rPr>
              <w:t>pursuit</w:t>
            </w:r>
            <w:proofErr w:type="spellEnd"/>
            <w:r w:rsidRPr="5B67C1D2">
              <w:rPr>
                <w:i/>
                <w:iCs/>
                <w:sz w:val="20"/>
                <w:szCs w:val="20"/>
              </w:rPr>
              <w:t xml:space="preserve"> of Happiness</w:t>
            </w:r>
            <w:r w:rsidRPr="00D877AA">
              <w:rPr>
                <w:sz w:val="20"/>
                <w:szCs w:val="20"/>
              </w:rPr>
              <w:t xml:space="preserve">: Die Unabhängigkeitserklärung richte die amerikanische Verfassungstradition und das staatliche Handeln anhand </w:t>
            </w:r>
            <w:r>
              <w:rPr>
                <w:sz w:val="20"/>
                <w:szCs w:val="20"/>
              </w:rPr>
              <w:t>ihrer</w:t>
            </w:r>
            <w:r w:rsidRPr="00D877AA">
              <w:rPr>
                <w:sz w:val="20"/>
                <w:szCs w:val="20"/>
              </w:rPr>
              <w:t xml:space="preserve"> Ziele aus.</w:t>
            </w:r>
            <w:r w:rsidRPr="00D877AA">
              <w:rPr>
                <w:sz w:val="20"/>
                <w:szCs w:val="20"/>
                <w:vertAlign w:val="superscript"/>
              </w:rPr>
              <w:footnoteReference w:id="809"/>
            </w:r>
            <w:r w:rsidRPr="00D877AA">
              <w:rPr>
                <w:sz w:val="20"/>
                <w:szCs w:val="20"/>
              </w:rPr>
              <w:t xml:space="preserve"> Wenn das staatliche Handeln mit der </w:t>
            </w:r>
            <w:r w:rsidRPr="5B67C1D2">
              <w:rPr>
                <w:i/>
                <w:iCs/>
                <w:sz w:val="20"/>
                <w:szCs w:val="20"/>
              </w:rPr>
              <w:t>Declaration of Independence</w:t>
            </w:r>
            <w:r w:rsidRPr="00D877AA" w:rsidDel="00663D11">
              <w:rPr>
                <w:sz w:val="20"/>
                <w:szCs w:val="20"/>
              </w:rPr>
              <w:t xml:space="preserve"> </w:t>
            </w:r>
            <w:r w:rsidRPr="00D877AA">
              <w:rPr>
                <w:sz w:val="20"/>
                <w:szCs w:val="20"/>
              </w:rPr>
              <w:t>inkongruent sei, dann habe das Volk das Recht auf Widerstand gegen staatliche Willkür.</w:t>
            </w:r>
            <w:r w:rsidRPr="00D877AA">
              <w:rPr>
                <w:sz w:val="20"/>
                <w:szCs w:val="20"/>
                <w:vertAlign w:val="superscript"/>
              </w:rPr>
              <w:footnoteReference w:id="810"/>
            </w:r>
            <w:r>
              <w:rPr>
                <w:sz w:val="20"/>
                <w:szCs w:val="20"/>
              </w:rPr>
              <w:t xml:space="preserve"> </w:t>
            </w:r>
            <w:r w:rsidRPr="00D877AA">
              <w:rPr>
                <w:sz w:val="20"/>
                <w:szCs w:val="20"/>
              </w:rPr>
              <w:t xml:space="preserve">Um dieses Prinzip weiter zu belegen, zieht der </w:t>
            </w:r>
            <w:r>
              <w:rPr>
                <w:sz w:val="20"/>
                <w:szCs w:val="20"/>
              </w:rPr>
              <w:t>Dissens</w:t>
            </w:r>
            <w:r w:rsidRPr="00D877AA">
              <w:rPr>
                <w:sz w:val="20"/>
                <w:szCs w:val="20"/>
              </w:rPr>
              <w:t xml:space="preserve"> </w:t>
            </w:r>
            <w:r w:rsidR="1173F6F7" w:rsidRPr="5B67C1D2">
              <w:rPr>
                <w:sz w:val="20"/>
                <w:szCs w:val="20"/>
              </w:rPr>
              <w:t xml:space="preserve">zehn </w:t>
            </w:r>
            <w:r w:rsidRPr="5B67C1D2">
              <w:rPr>
                <w:sz w:val="20"/>
                <w:szCs w:val="20"/>
              </w:rPr>
              <w:t xml:space="preserve">literarische Referenzen heran: von der </w:t>
            </w:r>
            <w:r w:rsidRPr="5B67C1D2">
              <w:rPr>
                <w:i/>
                <w:iCs/>
                <w:sz w:val="20"/>
                <w:szCs w:val="20"/>
              </w:rPr>
              <w:t>Pennsylvania Declaration of Rights</w:t>
            </w:r>
            <w:r w:rsidRPr="5B67C1D2">
              <w:rPr>
                <w:sz w:val="20"/>
                <w:szCs w:val="20"/>
              </w:rPr>
              <w:t xml:space="preserve"> von 1776 bis hin zu </w:t>
            </w:r>
            <w:r w:rsidRPr="5B67C1D2">
              <w:rPr>
                <w:i/>
                <w:iCs/>
                <w:sz w:val="20"/>
                <w:szCs w:val="20"/>
              </w:rPr>
              <w:t xml:space="preserve">Abraham Lincolns Inaugural </w:t>
            </w:r>
            <w:proofErr w:type="spellStart"/>
            <w:r w:rsidRPr="5B67C1D2">
              <w:rPr>
                <w:i/>
                <w:iCs/>
                <w:sz w:val="20"/>
                <w:szCs w:val="20"/>
              </w:rPr>
              <w:t>Address</w:t>
            </w:r>
            <w:proofErr w:type="spellEnd"/>
            <w:r w:rsidRPr="5B67C1D2">
              <w:rPr>
                <w:sz w:val="20"/>
                <w:szCs w:val="20"/>
              </w:rPr>
              <w:t xml:space="preserve"> vom 04. </w:t>
            </w:r>
            <w:r w:rsidR="2058C861" w:rsidRPr="5B67C1D2">
              <w:rPr>
                <w:sz w:val="20"/>
                <w:szCs w:val="20"/>
              </w:rPr>
              <w:t>März</w:t>
            </w:r>
            <w:r w:rsidRPr="5B67C1D2">
              <w:rPr>
                <w:sz w:val="20"/>
                <w:szCs w:val="20"/>
              </w:rPr>
              <w:t xml:space="preserve"> 1861.</w:t>
            </w:r>
            <w:r w:rsidRPr="5B67C1D2">
              <w:rPr>
                <w:sz w:val="20"/>
                <w:szCs w:val="20"/>
                <w:vertAlign w:val="superscript"/>
              </w:rPr>
              <w:footnoteReference w:id="811"/>
            </w:r>
            <w:r w:rsidRPr="5B67C1D2">
              <w:rPr>
                <w:sz w:val="20"/>
                <w:szCs w:val="20"/>
              </w:rPr>
              <w:t xml:space="preserve"> </w:t>
            </w:r>
            <w:r w:rsidR="435A31C2" w:rsidRPr="5B67C1D2">
              <w:rPr>
                <w:sz w:val="20"/>
                <w:szCs w:val="20"/>
              </w:rPr>
              <w:t>Dieses</w:t>
            </w:r>
            <w:r w:rsidRPr="5B67C1D2">
              <w:rPr>
                <w:sz w:val="20"/>
                <w:szCs w:val="20"/>
              </w:rPr>
              <w:t xml:space="preserve"> </w:t>
            </w:r>
            <w:r w:rsidR="7ABD0651" w:rsidRPr="5B67C1D2">
              <w:rPr>
                <w:sz w:val="20"/>
                <w:szCs w:val="20"/>
              </w:rPr>
              <w:t xml:space="preserve">durch das </w:t>
            </w:r>
            <w:proofErr w:type="spellStart"/>
            <w:r w:rsidRPr="5B67C1D2">
              <w:rPr>
                <w:i/>
                <w:iCs/>
                <w:sz w:val="20"/>
                <w:szCs w:val="20"/>
              </w:rPr>
              <w:t>pursuit</w:t>
            </w:r>
            <w:proofErr w:type="spellEnd"/>
            <w:r w:rsidRPr="5B67C1D2">
              <w:rPr>
                <w:i/>
                <w:iCs/>
                <w:sz w:val="20"/>
                <w:szCs w:val="20"/>
              </w:rPr>
              <w:t xml:space="preserve"> of Happiness</w:t>
            </w:r>
            <w:r w:rsidRPr="5B67C1D2">
              <w:rPr>
                <w:sz w:val="20"/>
                <w:szCs w:val="20"/>
              </w:rPr>
              <w:t xml:space="preserve"> </w:t>
            </w:r>
            <w:r w:rsidR="14B6C3B2" w:rsidRPr="5B67C1D2">
              <w:rPr>
                <w:sz w:val="20"/>
                <w:szCs w:val="20"/>
              </w:rPr>
              <w:t>begründeten</w:t>
            </w:r>
            <w:r w:rsidRPr="5B67C1D2">
              <w:rPr>
                <w:sz w:val="20"/>
                <w:szCs w:val="20"/>
              </w:rPr>
              <w:t xml:space="preserve"> Widerstandsrechts sei die Freiheit, seine Meinung zu äußern gemäß </w:t>
            </w:r>
            <w:r w:rsidR="00600E2C">
              <w:rPr>
                <w:sz w:val="20"/>
                <w:szCs w:val="20"/>
              </w:rPr>
              <w:t xml:space="preserve">U. S. </w:t>
            </w:r>
            <w:proofErr w:type="spellStart"/>
            <w:r w:rsidR="00600E2C">
              <w:rPr>
                <w:sz w:val="20"/>
                <w:szCs w:val="20"/>
              </w:rPr>
              <w:t>Const</w:t>
            </w:r>
            <w:proofErr w:type="spellEnd"/>
            <w:r w:rsidR="00600E2C">
              <w:rPr>
                <w:sz w:val="20"/>
                <w:szCs w:val="20"/>
              </w:rPr>
              <w:t xml:space="preserve">. </w:t>
            </w:r>
            <w:proofErr w:type="spellStart"/>
            <w:r w:rsidR="00600E2C">
              <w:rPr>
                <w:sz w:val="20"/>
                <w:szCs w:val="20"/>
              </w:rPr>
              <w:t>amend</w:t>
            </w:r>
            <w:proofErr w:type="spellEnd"/>
            <w:r w:rsidR="00600E2C">
              <w:rPr>
                <w:sz w:val="20"/>
                <w:szCs w:val="20"/>
              </w:rPr>
              <w:t xml:space="preserve">. </w:t>
            </w:r>
            <w:r w:rsidRPr="5B67C1D2">
              <w:rPr>
                <w:sz w:val="20"/>
                <w:szCs w:val="20"/>
              </w:rPr>
              <w:t>I</w:t>
            </w:r>
            <w:r w:rsidRPr="5B67C1D2">
              <w:rPr>
                <w:sz w:val="20"/>
                <w:szCs w:val="20"/>
                <w:vertAlign w:val="superscript"/>
              </w:rPr>
              <w:footnoteReference w:id="812"/>
            </w:r>
            <w:r w:rsidRPr="5B67C1D2">
              <w:rPr>
                <w:sz w:val="20"/>
                <w:szCs w:val="20"/>
              </w:rPr>
              <w:t xml:space="preserve"> Doch die Meinungsfreiheit hängt davon ab, inwieweit die Regierung sie gewährt. Aber die Anbindung an das unveräußerliche Recht des </w:t>
            </w:r>
            <w:proofErr w:type="spellStart"/>
            <w:r w:rsidRPr="5B67C1D2">
              <w:rPr>
                <w:i/>
                <w:iCs/>
                <w:sz w:val="20"/>
                <w:szCs w:val="20"/>
              </w:rPr>
              <w:t>pursuit</w:t>
            </w:r>
            <w:proofErr w:type="spellEnd"/>
            <w:r w:rsidRPr="5B67C1D2">
              <w:rPr>
                <w:i/>
                <w:iCs/>
                <w:sz w:val="20"/>
                <w:szCs w:val="20"/>
              </w:rPr>
              <w:t xml:space="preserve"> of Happiness </w:t>
            </w:r>
            <w:r w:rsidRPr="5B67C1D2">
              <w:rPr>
                <w:sz w:val="20"/>
                <w:szCs w:val="20"/>
              </w:rPr>
              <w:t>führt dazu, dass die Regierung nur sehr beschränkt in die Meinungsfreiheit eingreifen bzw. sie in geringerem Umfang gewähren kann. Nämlich nur dann, wenn aus der Meinungsfreiheit ein substanzielles oder relativ schwerwiegendes Übel erwächst und es ein wesentliches Interesse der Gesellschaft betrifft,</w:t>
            </w:r>
            <w:r w:rsidRPr="5B67C1D2">
              <w:rPr>
                <w:sz w:val="20"/>
                <w:szCs w:val="20"/>
                <w:vertAlign w:val="superscript"/>
              </w:rPr>
              <w:footnoteReference w:id="813"/>
            </w:r>
            <w:r w:rsidRPr="5B67C1D2">
              <w:rPr>
                <w:sz w:val="20"/>
                <w:szCs w:val="20"/>
              </w:rPr>
              <w:t xml:space="preserve"> so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5B67C1D2">
              <w:rPr>
                <w:sz w:val="20"/>
                <w:szCs w:val="20"/>
              </w:rPr>
              <w:t>.</w:t>
            </w:r>
          </w:p>
          <w:p w14:paraId="691C3336" w14:textId="77777777" w:rsidR="00074551" w:rsidRPr="00E50B51" w:rsidRDefault="00074551" w:rsidP="00367133">
            <w:pPr>
              <w:jc w:val="both"/>
              <w:rPr>
                <w:sz w:val="20"/>
                <w:szCs w:val="20"/>
              </w:rPr>
            </w:pPr>
          </w:p>
        </w:tc>
      </w:tr>
      <w:tr w:rsidR="00074551" w:rsidRPr="00E50B51" w14:paraId="08B1CBAA" w14:textId="77777777" w:rsidTr="00BE689F">
        <w:trPr>
          <w:cantSplit/>
          <w:trHeight w:val="3175"/>
        </w:trPr>
        <w:tc>
          <w:tcPr>
            <w:tcW w:w="293" w:type="pct"/>
          </w:tcPr>
          <w:p w14:paraId="79276EA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8CD6CA9" w14:textId="77777777" w:rsidR="00074551" w:rsidRPr="00E50B51" w:rsidRDefault="00074551" w:rsidP="00367133">
            <w:pPr>
              <w:ind w:left="113" w:right="416"/>
              <w:jc w:val="both"/>
              <w:rPr>
                <w:sz w:val="20"/>
                <w:szCs w:val="20"/>
                <w:lang w:val="en-US"/>
              </w:rPr>
            </w:pPr>
            <w:r w:rsidRPr="009167A5">
              <w:rPr>
                <w:i/>
                <w:sz w:val="20"/>
                <w:szCs w:val="20"/>
                <w:lang w:val="en-US"/>
              </w:rPr>
              <w:t>Regents of Univ. of Cal. v. Bakke</w:t>
            </w:r>
          </w:p>
        </w:tc>
        <w:tc>
          <w:tcPr>
            <w:tcW w:w="197" w:type="pct"/>
            <w:textDirection w:val="tbRl"/>
            <w:vAlign w:val="center"/>
          </w:tcPr>
          <w:p w14:paraId="7BCE87CD" w14:textId="77777777" w:rsidR="00074551" w:rsidRPr="00E50B51" w:rsidRDefault="00074551" w:rsidP="00367133">
            <w:pPr>
              <w:ind w:left="113" w:right="113"/>
              <w:jc w:val="both"/>
              <w:rPr>
                <w:sz w:val="20"/>
                <w:szCs w:val="20"/>
                <w:lang w:val="en-US"/>
              </w:rPr>
            </w:pPr>
            <w:r w:rsidRPr="00E50B51">
              <w:rPr>
                <w:sz w:val="20"/>
                <w:szCs w:val="20"/>
                <w:lang w:val="en-US"/>
              </w:rPr>
              <w:t>438 U.S. 265</w:t>
            </w:r>
          </w:p>
        </w:tc>
        <w:tc>
          <w:tcPr>
            <w:tcW w:w="306" w:type="pct"/>
            <w:textDirection w:val="tbRl"/>
            <w:vAlign w:val="center"/>
          </w:tcPr>
          <w:p w14:paraId="3D3CBFC7" w14:textId="77777777" w:rsidR="00074551" w:rsidRPr="00E50B51" w:rsidRDefault="00074551" w:rsidP="00367133">
            <w:pPr>
              <w:ind w:left="113" w:right="113"/>
              <w:jc w:val="both"/>
              <w:rPr>
                <w:sz w:val="20"/>
                <w:szCs w:val="20"/>
              </w:rPr>
            </w:pPr>
            <w:r w:rsidRPr="00E50B51">
              <w:rPr>
                <w:sz w:val="20"/>
                <w:szCs w:val="20"/>
              </w:rPr>
              <w:t>28. Juni 1978</w:t>
            </w:r>
          </w:p>
        </w:tc>
        <w:tc>
          <w:tcPr>
            <w:tcW w:w="401" w:type="pct"/>
          </w:tcPr>
          <w:p w14:paraId="5E961C51"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3FC94643" w14:textId="517C11D0"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Zulassungsprogramm einer medizinischen Hochschule (18 Cal 3d 34, 553 P2d 1152) für verfassungswidrig, weil es die Rasse von Bewerbern berücksichtigte. Es begünstige gewisse Rassen. Die Rasse </w:t>
            </w:r>
            <w:r>
              <w:rPr>
                <w:sz w:val="20"/>
                <w:szCs w:val="20"/>
              </w:rPr>
              <w:t>könne</w:t>
            </w:r>
            <w:r w:rsidRPr="00E50B51">
              <w:rPr>
                <w:sz w:val="20"/>
                <w:szCs w:val="20"/>
              </w:rPr>
              <w:t xml:space="preserve"> zwar bei der Zulassung berücksichtigt werden. Aber die Universität müsse sie zusammen mit anderen Merkmalen in einem kompetitiven Verfahren berücksichtigen. Diese rassische Klassifizierung ohne weiteren Vergleich mit anderen Bewerbern verstoße gegen den Gleichbehand</w:t>
            </w:r>
            <w:r>
              <w:rPr>
                <w:sz w:val="20"/>
                <w:szCs w:val="20"/>
              </w:rPr>
              <w:t>l</w:t>
            </w:r>
            <w:r w:rsidRPr="00E50B51">
              <w:rPr>
                <w:sz w:val="20"/>
                <w:szCs w:val="20"/>
              </w:rPr>
              <w:t xml:space="preserve">ungsgrundsatz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p>
          <w:p w14:paraId="27995554" w14:textId="77777777" w:rsidR="00074551" w:rsidRPr="00E50B51" w:rsidRDefault="00074551" w:rsidP="00367133">
            <w:pPr>
              <w:jc w:val="both"/>
              <w:rPr>
                <w:sz w:val="20"/>
                <w:szCs w:val="20"/>
              </w:rPr>
            </w:pPr>
          </w:p>
        </w:tc>
        <w:tc>
          <w:tcPr>
            <w:tcW w:w="1822" w:type="pct"/>
          </w:tcPr>
          <w:p w14:paraId="406B3AF4" w14:textId="77777777" w:rsidR="00074551" w:rsidRDefault="00074551" w:rsidP="00367133">
            <w:pPr>
              <w:jc w:val="both"/>
              <w:rPr>
                <w:sz w:val="20"/>
                <w:szCs w:val="20"/>
              </w:rPr>
            </w:pPr>
            <w:r w:rsidRPr="00E50B51">
              <w:rPr>
                <w:sz w:val="20"/>
                <w:szCs w:val="20"/>
              </w:rPr>
              <w:t xml:space="preserve">In </w:t>
            </w:r>
            <w:proofErr w:type="spellStart"/>
            <w:r w:rsidRPr="5B67C1D2">
              <w:rPr>
                <w:i/>
                <w:iCs/>
                <w:sz w:val="20"/>
                <w:szCs w:val="20"/>
              </w:rPr>
              <w:t>Regents</w:t>
            </w:r>
            <w:proofErr w:type="spellEnd"/>
            <w:r w:rsidRPr="5B67C1D2">
              <w:rPr>
                <w:i/>
                <w:iCs/>
                <w:sz w:val="20"/>
                <w:szCs w:val="20"/>
              </w:rPr>
              <w:t xml:space="preserve"> of Univ. of Cal. v. Bakke</w:t>
            </w:r>
            <w:r w:rsidRPr="00E50B51">
              <w:rPr>
                <w:sz w:val="20"/>
                <w:szCs w:val="20"/>
              </w:rPr>
              <w:t xml:space="preserve"> erklärt</w:t>
            </w:r>
            <w:r>
              <w:rPr>
                <w:sz w:val="20"/>
                <w:szCs w:val="20"/>
              </w:rPr>
              <w:t>e</w:t>
            </w:r>
            <w:r w:rsidRPr="00E50B51">
              <w:rPr>
                <w:sz w:val="20"/>
                <w:szCs w:val="20"/>
              </w:rPr>
              <w:t xml:space="preserve"> der </w:t>
            </w:r>
            <w:r>
              <w:rPr>
                <w:sz w:val="20"/>
                <w:szCs w:val="20"/>
              </w:rPr>
              <w:t>U.S. Supreme Court</w:t>
            </w:r>
            <w:r w:rsidRPr="00E50B51">
              <w:rPr>
                <w:sz w:val="20"/>
                <w:szCs w:val="20"/>
              </w:rPr>
              <w:t xml:space="preserve"> den Wortlaut des </w:t>
            </w:r>
            <w:proofErr w:type="spellStart"/>
            <w:r w:rsidRPr="5B67C1D2">
              <w:rPr>
                <w:i/>
                <w:iCs/>
                <w:sz w:val="20"/>
                <w:szCs w:val="20"/>
              </w:rPr>
              <w:t>pursuit</w:t>
            </w:r>
            <w:proofErr w:type="spellEnd"/>
            <w:r w:rsidRPr="5B67C1D2">
              <w:rPr>
                <w:i/>
                <w:iCs/>
                <w:sz w:val="20"/>
                <w:szCs w:val="20"/>
              </w:rPr>
              <w:t xml:space="preserve"> of Happiness</w:t>
            </w:r>
            <w:r w:rsidRPr="00E50B51">
              <w:rPr>
                <w:sz w:val="20"/>
                <w:szCs w:val="20"/>
              </w:rPr>
              <w:t xml:space="preserve"> und der </w:t>
            </w:r>
            <w:r w:rsidRPr="5B67C1D2">
              <w:rPr>
                <w:i/>
                <w:iCs/>
                <w:sz w:val="20"/>
                <w:szCs w:val="20"/>
              </w:rPr>
              <w:t>Declaration of Independence</w:t>
            </w:r>
            <w:r w:rsidRPr="00EE3BA7">
              <w:rPr>
                <w:sz w:val="20"/>
                <w:szCs w:val="20"/>
              </w:rPr>
              <w:t xml:space="preserve"> </w:t>
            </w:r>
            <w:r w:rsidRPr="00E50B51">
              <w:rPr>
                <w:sz w:val="20"/>
                <w:szCs w:val="20"/>
              </w:rPr>
              <w:t xml:space="preserve">als </w:t>
            </w:r>
            <w:r>
              <w:rPr>
                <w:sz w:val="20"/>
                <w:szCs w:val="20"/>
              </w:rPr>
              <w:t>Zielsetzung</w:t>
            </w:r>
            <w:r w:rsidRPr="00E50B51">
              <w:rPr>
                <w:sz w:val="20"/>
                <w:szCs w:val="20"/>
              </w:rPr>
              <w:t xml:space="preserve"> für den Gleichheitsgrundsatz und</w:t>
            </w:r>
            <w:r>
              <w:rPr>
                <w:sz w:val="20"/>
                <w:szCs w:val="20"/>
              </w:rPr>
              <w:t xml:space="preserve"> differenzierte in diesem Rahmen die</w:t>
            </w:r>
            <w:r w:rsidRPr="00E50B51">
              <w:rPr>
                <w:sz w:val="20"/>
                <w:szCs w:val="20"/>
              </w:rPr>
              <w:t xml:space="preserve"> Wissenschaftsfreiheit </w:t>
            </w:r>
            <w:r>
              <w:rPr>
                <w:sz w:val="20"/>
                <w:szCs w:val="20"/>
              </w:rPr>
              <w:t xml:space="preserve">aus, </w:t>
            </w:r>
            <w:r w:rsidRPr="00E50B51">
              <w:rPr>
                <w:sz w:val="20"/>
                <w:szCs w:val="20"/>
              </w:rPr>
              <w:t>als Teil der Freiheiten, die ein Streben nach Glück sichern.</w:t>
            </w:r>
            <w:r w:rsidRPr="5B67C1D2">
              <w:rPr>
                <w:rStyle w:val="Funotenzeichen"/>
                <w:rFonts w:eastAsiaTheme="majorEastAsia"/>
                <w:sz w:val="20"/>
                <w:szCs w:val="20"/>
              </w:rPr>
              <w:footnoteReference w:id="814"/>
            </w:r>
            <w:r>
              <w:rPr>
                <w:sz w:val="20"/>
                <w:szCs w:val="20"/>
              </w:rPr>
              <w:t xml:space="preserve"> Denn a</w:t>
            </w:r>
            <w:r w:rsidRPr="00EE3BA7">
              <w:rPr>
                <w:sz w:val="20"/>
                <w:szCs w:val="20"/>
              </w:rPr>
              <w:t xml:space="preserve">nhand des </w:t>
            </w:r>
            <w:proofErr w:type="spellStart"/>
            <w:r w:rsidRPr="5B67C1D2">
              <w:rPr>
                <w:i/>
                <w:iCs/>
                <w:sz w:val="20"/>
                <w:szCs w:val="20"/>
              </w:rPr>
              <w:t>pursuit</w:t>
            </w:r>
            <w:proofErr w:type="spellEnd"/>
            <w:r w:rsidRPr="5B67C1D2">
              <w:rPr>
                <w:i/>
                <w:iCs/>
                <w:sz w:val="20"/>
                <w:szCs w:val="20"/>
              </w:rPr>
              <w:t xml:space="preserve"> of Happiness</w:t>
            </w:r>
            <w:r w:rsidRPr="00EE3BA7">
              <w:rPr>
                <w:sz w:val="20"/>
                <w:szCs w:val="20"/>
              </w:rPr>
              <w:t xml:space="preserve"> leitete der </w:t>
            </w:r>
            <w:r>
              <w:rPr>
                <w:sz w:val="20"/>
                <w:szCs w:val="20"/>
              </w:rPr>
              <w:t>U.S. Supreme Court</w:t>
            </w:r>
            <w:r w:rsidRPr="00EE3BA7">
              <w:rPr>
                <w:sz w:val="20"/>
                <w:szCs w:val="20"/>
              </w:rPr>
              <w:t xml:space="preserve"> den Grundsatz her, dass alle Menschen gleich sind</w:t>
            </w:r>
            <w:r>
              <w:rPr>
                <w:sz w:val="20"/>
                <w:szCs w:val="20"/>
              </w:rPr>
              <w:t>,</w:t>
            </w:r>
            <w:r w:rsidRPr="00EE3BA7">
              <w:rPr>
                <w:sz w:val="20"/>
                <w:szCs w:val="20"/>
              </w:rPr>
              <w:t xml:space="preserve"> </w:t>
            </w:r>
            <w:r w:rsidRPr="00AA26F0">
              <w:rPr>
                <w:sz w:val="20"/>
                <w:szCs w:val="20"/>
              </w:rPr>
              <w:t>begründet in diesem Rahmen die</w:t>
            </w:r>
            <w:r w:rsidRPr="00EE3BA7">
              <w:rPr>
                <w:sz w:val="20"/>
                <w:szCs w:val="20"/>
              </w:rPr>
              <w:t xml:space="preserve"> Wissenschaftsfreiheit als Unterform der Meinungsfreiheit </w:t>
            </w:r>
            <w:r w:rsidRPr="00AA26F0">
              <w:rPr>
                <w:sz w:val="20"/>
                <w:szCs w:val="20"/>
              </w:rPr>
              <w:t xml:space="preserve">und führt letztere </w:t>
            </w:r>
            <w:r w:rsidRPr="00EE3BA7">
              <w:rPr>
                <w:sz w:val="20"/>
                <w:szCs w:val="20"/>
              </w:rPr>
              <w:t xml:space="preserve">auf </w:t>
            </w:r>
            <w:r>
              <w:rPr>
                <w:sz w:val="20"/>
                <w:szCs w:val="20"/>
              </w:rPr>
              <w:t>das</w:t>
            </w:r>
            <w:r w:rsidRPr="00EE3BA7">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EE3BA7">
              <w:rPr>
                <w:sz w:val="20"/>
                <w:szCs w:val="20"/>
              </w:rPr>
              <w:t xml:space="preserve"> zurück. </w:t>
            </w:r>
          </w:p>
          <w:p w14:paraId="6CC16865" w14:textId="77777777" w:rsidR="00074551" w:rsidRDefault="00074551" w:rsidP="00367133">
            <w:pPr>
              <w:jc w:val="both"/>
              <w:rPr>
                <w:sz w:val="20"/>
                <w:szCs w:val="20"/>
              </w:rPr>
            </w:pPr>
          </w:p>
          <w:p w14:paraId="52CEEF04" w14:textId="2B514E39" w:rsidR="00074551" w:rsidRDefault="00074551" w:rsidP="5B67C1D2">
            <w:pPr>
              <w:jc w:val="both"/>
              <w:rPr>
                <w:sz w:val="20"/>
                <w:szCs w:val="20"/>
              </w:rPr>
            </w:pPr>
            <w:r w:rsidRPr="00EE3BA7">
              <w:rPr>
                <w:sz w:val="20"/>
                <w:szCs w:val="20"/>
              </w:rPr>
              <w:t>Laut Dissens leite sich der Verfassungssatz</w:t>
            </w:r>
            <w:r>
              <w:rPr>
                <w:sz w:val="20"/>
                <w:szCs w:val="20"/>
              </w:rPr>
              <w:t xml:space="preserve"> von der Gleichheit aller Menschen </w:t>
            </w:r>
            <w:r w:rsidRPr="00EE3BA7">
              <w:rPr>
                <w:sz w:val="20"/>
                <w:szCs w:val="20"/>
              </w:rPr>
              <w:t xml:space="preserve">daraus her, dass die englische Krone den amerikanischen Kolonien ihre gleichen Rechte verweigert hatte, </w:t>
            </w:r>
            <w:r>
              <w:rPr>
                <w:sz w:val="20"/>
                <w:szCs w:val="20"/>
              </w:rPr>
              <w:t>z.B.</w:t>
            </w:r>
            <w:r w:rsidRPr="00EE3BA7">
              <w:rPr>
                <w:sz w:val="20"/>
                <w:szCs w:val="20"/>
              </w:rPr>
              <w:t xml:space="preserve"> die Selbstverwaltung. Die Gründungsväter verfassten daher mit der </w:t>
            </w:r>
            <w:r w:rsidRPr="5B67C1D2">
              <w:rPr>
                <w:i/>
                <w:iCs/>
                <w:sz w:val="20"/>
                <w:szCs w:val="20"/>
              </w:rPr>
              <w:t>Declaration of Independence</w:t>
            </w:r>
            <w:r w:rsidRPr="00EE3BA7">
              <w:rPr>
                <w:sz w:val="20"/>
                <w:szCs w:val="20"/>
              </w:rPr>
              <w:t xml:space="preserve"> Beschwerdepunkte gegen den König. </w:t>
            </w:r>
            <w:r w:rsidRPr="00EE3BA7">
              <w:rPr>
                <w:sz w:val="20"/>
                <w:szCs w:val="20"/>
                <w:lang w:val="en-US"/>
              </w:rPr>
              <w:t xml:space="preserve">Einer </w:t>
            </w:r>
            <w:proofErr w:type="spellStart"/>
            <w:r w:rsidRPr="5B67C1D2">
              <w:rPr>
                <w:sz w:val="20"/>
                <w:szCs w:val="20"/>
                <w:lang w:val="en-US"/>
              </w:rPr>
              <w:t>dieser</w:t>
            </w:r>
            <w:proofErr w:type="spellEnd"/>
            <w:r w:rsidRPr="5B67C1D2">
              <w:rPr>
                <w:sz w:val="20"/>
                <w:szCs w:val="20"/>
                <w:lang w:val="en-US"/>
              </w:rPr>
              <w:t xml:space="preserve"> </w:t>
            </w:r>
            <w:proofErr w:type="spellStart"/>
            <w:r w:rsidRPr="5B67C1D2">
              <w:rPr>
                <w:sz w:val="20"/>
                <w:szCs w:val="20"/>
                <w:lang w:val="en-US"/>
              </w:rPr>
              <w:t>Beschwerdepunkte</w:t>
            </w:r>
            <w:proofErr w:type="spellEnd"/>
            <w:r w:rsidRPr="5B67C1D2">
              <w:rPr>
                <w:sz w:val="20"/>
                <w:szCs w:val="20"/>
                <w:lang w:val="en-US"/>
              </w:rPr>
              <w:t xml:space="preserve"> war, </w:t>
            </w:r>
            <w:proofErr w:type="spellStart"/>
            <w:r w:rsidRPr="5B67C1D2">
              <w:rPr>
                <w:sz w:val="20"/>
                <w:szCs w:val="20"/>
                <w:lang w:val="en-US"/>
              </w:rPr>
              <w:t>dass</w:t>
            </w:r>
            <w:proofErr w:type="spellEnd"/>
            <w:r w:rsidRPr="5B67C1D2">
              <w:rPr>
                <w:sz w:val="20"/>
                <w:szCs w:val="20"/>
                <w:lang w:val="en-US"/>
              </w:rPr>
              <w:t xml:space="preserve"> alle Menschen </w:t>
            </w:r>
            <w:proofErr w:type="spellStart"/>
            <w:r w:rsidRPr="5B67C1D2">
              <w:rPr>
                <w:sz w:val="20"/>
                <w:szCs w:val="20"/>
                <w:lang w:val="en-US"/>
              </w:rPr>
              <w:t>gleich</w:t>
            </w:r>
            <w:proofErr w:type="spellEnd"/>
            <w:r w:rsidRPr="5B67C1D2">
              <w:rPr>
                <w:sz w:val="20"/>
                <w:szCs w:val="20"/>
                <w:lang w:val="en-US"/>
              </w:rPr>
              <w:t xml:space="preserve"> sein </w:t>
            </w:r>
            <w:proofErr w:type="spellStart"/>
            <w:r w:rsidRPr="5B67C1D2">
              <w:rPr>
                <w:sz w:val="20"/>
                <w:szCs w:val="20"/>
                <w:lang w:val="en-US"/>
              </w:rPr>
              <w:t>müssen</w:t>
            </w:r>
            <w:proofErr w:type="spellEnd"/>
            <w:r w:rsidRPr="5B67C1D2">
              <w:rPr>
                <w:sz w:val="20"/>
                <w:szCs w:val="20"/>
                <w:lang w:val="en-US"/>
              </w:rPr>
              <w:t xml:space="preserve">, um </w:t>
            </w:r>
            <w:proofErr w:type="spellStart"/>
            <w:r w:rsidRPr="5B67C1D2">
              <w:rPr>
                <w:sz w:val="20"/>
                <w:szCs w:val="20"/>
                <w:lang w:val="en-US"/>
              </w:rPr>
              <w:t>nach</w:t>
            </w:r>
            <w:proofErr w:type="spellEnd"/>
            <w:r w:rsidRPr="5B67C1D2">
              <w:rPr>
                <w:sz w:val="20"/>
                <w:szCs w:val="20"/>
                <w:lang w:val="en-US"/>
              </w:rPr>
              <w:t xml:space="preserve"> Glück </w:t>
            </w:r>
            <w:proofErr w:type="spellStart"/>
            <w:r w:rsidRPr="5B67C1D2">
              <w:rPr>
                <w:sz w:val="20"/>
                <w:szCs w:val="20"/>
                <w:lang w:val="en-US"/>
              </w:rPr>
              <w:t>streben</w:t>
            </w:r>
            <w:proofErr w:type="spellEnd"/>
            <w:r w:rsidRPr="5B67C1D2">
              <w:rPr>
                <w:sz w:val="20"/>
                <w:szCs w:val="20"/>
                <w:lang w:val="en-US"/>
              </w:rPr>
              <w:t xml:space="preserve"> </w:t>
            </w:r>
            <w:proofErr w:type="spellStart"/>
            <w:r w:rsidRPr="5B67C1D2">
              <w:rPr>
                <w:sz w:val="20"/>
                <w:szCs w:val="20"/>
                <w:lang w:val="en-US"/>
              </w:rPr>
              <w:t>zu</w:t>
            </w:r>
            <w:proofErr w:type="spellEnd"/>
            <w:r w:rsidRPr="5B67C1D2">
              <w:rPr>
                <w:sz w:val="20"/>
                <w:szCs w:val="20"/>
                <w:lang w:val="en-US"/>
              </w:rPr>
              <w:t xml:space="preserve"> </w:t>
            </w:r>
            <w:proofErr w:type="spellStart"/>
            <w:r w:rsidRPr="5B67C1D2">
              <w:rPr>
                <w:sz w:val="20"/>
                <w:szCs w:val="20"/>
                <w:lang w:val="en-US"/>
              </w:rPr>
              <w:t>können</w:t>
            </w:r>
            <w:proofErr w:type="spellEnd"/>
            <w:r w:rsidRPr="5B67C1D2">
              <w:rPr>
                <w:sz w:val="20"/>
                <w:szCs w:val="20"/>
                <w:lang w:val="en-US"/>
              </w:rPr>
              <w:t xml:space="preserve"> („proclaiming as ‚self-</w:t>
            </w:r>
            <w:proofErr w:type="gramStart"/>
            <w:r w:rsidRPr="5B67C1D2">
              <w:rPr>
                <w:sz w:val="20"/>
                <w:szCs w:val="20"/>
                <w:lang w:val="en-US"/>
              </w:rPr>
              <w:t xml:space="preserve">evident‘ that </w:t>
            </w:r>
            <w:r>
              <w:rPr>
                <w:sz w:val="20"/>
                <w:szCs w:val="20"/>
                <w:lang w:val="en-US"/>
              </w:rPr>
              <w:t>,</w:t>
            </w:r>
            <w:r w:rsidRPr="00EE3BA7">
              <w:rPr>
                <w:sz w:val="20"/>
                <w:szCs w:val="20"/>
                <w:lang w:val="en-US"/>
              </w:rPr>
              <w:t>all</w:t>
            </w:r>
            <w:proofErr w:type="gramEnd"/>
            <w:r w:rsidRPr="5B67C1D2">
              <w:rPr>
                <w:sz w:val="20"/>
                <w:szCs w:val="20"/>
                <w:lang w:val="en-US"/>
              </w:rPr>
              <w:t xml:space="preserve"> men are created </w:t>
            </w:r>
            <w:proofErr w:type="gramStart"/>
            <w:r w:rsidRPr="5B67C1D2">
              <w:rPr>
                <w:sz w:val="20"/>
                <w:szCs w:val="20"/>
                <w:lang w:val="en-US"/>
              </w:rPr>
              <w:t>equal</w:t>
            </w:r>
            <w:r>
              <w:rPr>
                <w:sz w:val="20"/>
                <w:szCs w:val="20"/>
                <w:lang w:val="en-US"/>
              </w:rPr>
              <w:t>‘</w:t>
            </w:r>
            <w:r w:rsidRPr="00EE3BA7">
              <w:rPr>
                <w:sz w:val="20"/>
                <w:szCs w:val="20"/>
                <w:lang w:val="en-US"/>
              </w:rPr>
              <w:t xml:space="preserve"> and</w:t>
            </w:r>
            <w:proofErr w:type="gramEnd"/>
            <w:r w:rsidRPr="5B67C1D2">
              <w:rPr>
                <w:sz w:val="20"/>
                <w:szCs w:val="20"/>
                <w:lang w:val="en-US"/>
              </w:rPr>
              <w:t xml:space="preserve"> are </w:t>
            </w:r>
            <w:proofErr w:type="gramStart"/>
            <w:r w:rsidRPr="5B67C1D2">
              <w:rPr>
                <w:sz w:val="20"/>
                <w:szCs w:val="20"/>
                <w:lang w:val="en-US"/>
              </w:rPr>
              <w:t xml:space="preserve">endowed </w:t>
            </w:r>
            <w:r>
              <w:rPr>
                <w:sz w:val="20"/>
                <w:szCs w:val="20"/>
                <w:lang w:val="en-US"/>
              </w:rPr>
              <w:t>,</w:t>
            </w:r>
            <w:r w:rsidRPr="00EE3BA7">
              <w:rPr>
                <w:sz w:val="20"/>
                <w:szCs w:val="20"/>
                <w:lang w:val="en-US"/>
              </w:rPr>
              <w:t>with</w:t>
            </w:r>
            <w:proofErr w:type="gramEnd"/>
            <w:r w:rsidRPr="5B67C1D2">
              <w:rPr>
                <w:sz w:val="20"/>
                <w:szCs w:val="20"/>
                <w:lang w:val="en-US"/>
              </w:rPr>
              <w:t xml:space="preserve"> certain unalienable </w:t>
            </w:r>
            <w:proofErr w:type="gramStart"/>
            <w:r w:rsidRPr="5B67C1D2">
              <w:rPr>
                <w:sz w:val="20"/>
                <w:szCs w:val="20"/>
                <w:lang w:val="en-US"/>
              </w:rPr>
              <w:t>Rights,</w:t>
            </w:r>
            <w:r>
              <w:rPr>
                <w:sz w:val="20"/>
                <w:szCs w:val="20"/>
                <w:lang w:val="en-US"/>
              </w:rPr>
              <w:t>‘</w:t>
            </w:r>
            <w:proofErr w:type="gramEnd"/>
            <w:r w:rsidRPr="00EE3BA7">
              <w:rPr>
                <w:sz w:val="20"/>
                <w:szCs w:val="20"/>
                <w:lang w:val="en-US"/>
              </w:rPr>
              <w:t xml:space="preserve"> including those </w:t>
            </w:r>
            <w:proofErr w:type="gramStart"/>
            <w:r w:rsidRPr="5B67C1D2">
              <w:rPr>
                <w:sz w:val="20"/>
                <w:szCs w:val="20"/>
                <w:lang w:val="en-US"/>
              </w:rPr>
              <w:t xml:space="preserve">to </w:t>
            </w:r>
            <w:r>
              <w:rPr>
                <w:sz w:val="20"/>
                <w:szCs w:val="20"/>
                <w:lang w:val="en-US"/>
              </w:rPr>
              <w:t>,</w:t>
            </w:r>
            <w:proofErr w:type="gramEnd"/>
            <w:r w:rsidRPr="00EE3BA7">
              <w:rPr>
                <w:sz w:val="20"/>
                <w:szCs w:val="20"/>
                <w:lang w:val="en-US"/>
              </w:rPr>
              <w:t xml:space="preserve">[…] the pursuit of </w:t>
            </w:r>
            <w:proofErr w:type="gramStart"/>
            <w:r w:rsidRPr="5B67C1D2">
              <w:rPr>
                <w:sz w:val="20"/>
                <w:szCs w:val="20"/>
                <w:lang w:val="en-US"/>
              </w:rPr>
              <w:t>Happiness</w:t>
            </w:r>
            <w:r>
              <w:rPr>
                <w:sz w:val="20"/>
                <w:szCs w:val="20"/>
                <w:lang w:val="en-US"/>
              </w:rPr>
              <w:t>‘</w:t>
            </w:r>
            <w:proofErr w:type="gramEnd"/>
            <w:r w:rsidRPr="00EE3BA7">
              <w:rPr>
                <w:sz w:val="20"/>
                <w:szCs w:val="20"/>
                <w:lang w:val="en-US"/>
              </w:rPr>
              <w:t>“</w:t>
            </w:r>
            <w:r w:rsidRPr="00EE3BA7">
              <w:rPr>
                <w:sz w:val="20"/>
                <w:szCs w:val="20"/>
                <w:vertAlign w:val="superscript"/>
                <w:lang w:val="en-US"/>
              </w:rPr>
              <w:footnoteReference w:id="815"/>
            </w:r>
            <w:r w:rsidRPr="00EE3BA7">
              <w:rPr>
                <w:sz w:val="20"/>
                <w:szCs w:val="20"/>
                <w:lang w:val="en-US"/>
              </w:rPr>
              <w:t xml:space="preserve">). </w:t>
            </w:r>
            <w:r w:rsidRPr="00EE3BA7">
              <w:rPr>
                <w:sz w:val="20"/>
                <w:szCs w:val="20"/>
              </w:rPr>
              <w:t xml:space="preserve">Daher sei der Wortlaut der </w:t>
            </w:r>
            <w:r w:rsidRPr="5B67C1D2">
              <w:rPr>
                <w:i/>
                <w:iCs/>
                <w:sz w:val="20"/>
                <w:szCs w:val="20"/>
              </w:rPr>
              <w:t>Declaration of Independence</w:t>
            </w:r>
            <w:r w:rsidRPr="00EE3BA7">
              <w:rPr>
                <w:sz w:val="20"/>
                <w:szCs w:val="20"/>
              </w:rPr>
              <w:t xml:space="preserve"> wie auch </w:t>
            </w:r>
            <w:r>
              <w:rPr>
                <w:sz w:val="20"/>
                <w:szCs w:val="20"/>
              </w:rPr>
              <w:t>das</w:t>
            </w:r>
            <w:r w:rsidRPr="00EE3BA7">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EE3BA7">
              <w:rPr>
                <w:sz w:val="20"/>
                <w:szCs w:val="20"/>
              </w:rPr>
              <w:t xml:space="preserve"> </w:t>
            </w:r>
            <w:r w:rsidRPr="00AA26F0">
              <w:rPr>
                <w:sz w:val="20"/>
                <w:szCs w:val="20"/>
              </w:rPr>
              <w:t xml:space="preserve">eine </w:t>
            </w:r>
            <w:r w:rsidRPr="00EE3BA7">
              <w:rPr>
                <w:sz w:val="20"/>
                <w:szCs w:val="20"/>
              </w:rPr>
              <w:t xml:space="preserve">Zielsetzung </w:t>
            </w:r>
            <w:r w:rsidRPr="00AA26F0">
              <w:rPr>
                <w:sz w:val="20"/>
                <w:szCs w:val="20"/>
              </w:rPr>
              <w:t xml:space="preserve">oder Ideal </w:t>
            </w:r>
            <w:r w:rsidRPr="00EE3BA7">
              <w:rPr>
                <w:sz w:val="20"/>
                <w:szCs w:val="20"/>
              </w:rPr>
              <w:t>für den Gleichheitssatz, denn es gab auch nach ihm Sklaverei.</w:t>
            </w:r>
            <w:r w:rsidRPr="00EE3BA7">
              <w:rPr>
                <w:sz w:val="20"/>
                <w:szCs w:val="20"/>
                <w:vertAlign w:val="superscript"/>
              </w:rPr>
              <w:footnoteReference w:id="816"/>
            </w:r>
            <w:r w:rsidRPr="00EE3BA7">
              <w:rPr>
                <w:sz w:val="20"/>
                <w:szCs w:val="20"/>
              </w:rPr>
              <w:t xml:space="preserve"> </w:t>
            </w:r>
            <w:r w:rsidRPr="5B67C1D2">
              <w:rPr>
                <w:sz w:val="20"/>
                <w:szCs w:val="20"/>
              </w:rPr>
              <w:t xml:space="preserve">Im Rahmen dieses Gleichheitssatzes ziele das Streben nach Glück aber auch darauf, eine freiheitliche Seite zu sichern </w:t>
            </w:r>
            <w:r w:rsidR="7E1DAD50" w:rsidRPr="5B67C1D2">
              <w:rPr>
                <w:sz w:val="20"/>
                <w:szCs w:val="20"/>
              </w:rPr>
              <w:t>Bereits in der Gründungsgeschichte der amerikanischen Kolonien war die Verweigerung grundlegender Menschenrechte angelegt: Die Kolonisten erklärten zwar in ihrer Unabhängigkeitserklärung als ‚</w:t>
            </w:r>
            <w:proofErr w:type="spellStart"/>
            <w:r w:rsidR="7E1DAD50" w:rsidRPr="5B67C1D2">
              <w:rPr>
                <w:sz w:val="20"/>
                <w:szCs w:val="20"/>
              </w:rPr>
              <w:t>self</w:t>
            </w:r>
            <w:proofErr w:type="spellEnd"/>
            <w:r w:rsidR="7E1DAD50" w:rsidRPr="5B67C1D2">
              <w:rPr>
                <w:sz w:val="20"/>
                <w:szCs w:val="20"/>
              </w:rPr>
              <w:t xml:space="preserve">-evident', dass ‚all </w:t>
            </w:r>
            <w:proofErr w:type="spellStart"/>
            <w:r w:rsidR="7E1DAD50" w:rsidRPr="5B67C1D2">
              <w:rPr>
                <w:sz w:val="20"/>
                <w:szCs w:val="20"/>
              </w:rPr>
              <w:t>men</w:t>
            </w:r>
            <w:proofErr w:type="spellEnd"/>
            <w:r w:rsidR="7E1DAD50" w:rsidRPr="5B67C1D2">
              <w:rPr>
                <w:sz w:val="20"/>
                <w:szCs w:val="20"/>
              </w:rPr>
              <w:t xml:space="preserve"> </w:t>
            </w:r>
            <w:proofErr w:type="spellStart"/>
            <w:r w:rsidR="7E1DAD50" w:rsidRPr="5B67C1D2">
              <w:rPr>
                <w:sz w:val="20"/>
                <w:szCs w:val="20"/>
              </w:rPr>
              <w:t>are</w:t>
            </w:r>
            <w:proofErr w:type="spellEnd"/>
            <w:r w:rsidR="7E1DAD50" w:rsidRPr="5B67C1D2">
              <w:rPr>
                <w:sz w:val="20"/>
                <w:szCs w:val="20"/>
              </w:rPr>
              <w:t xml:space="preserve"> created </w:t>
            </w:r>
            <w:proofErr w:type="spellStart"/>
            <w:r w:rsidR="7E1DAD50" w:rsidRPr="5B67C1D2">
              <w:rPr>
                <w:sz w:val="20"/>
                <w:szCs w:val="20"/>
              </w:rPr>
              <w:t>equal</w:t>
            </w:r>
            <w:proofErr w:type="spellEnd"/>
            <w:r w:rsidR="7E1DAD50" w:rsidRPr="5B67C1D2">
              <w:rPr>
                <w:sz w:val="20"/>
                <w:szCs w:val="20"/>
              </w:rPr>
              <w:t>' und mit ‚</w:t>
            </w:r>
            <w:proofErr w:type="spellStart"/>
            <w:r w:rsidR="7E1DAD50" w:rsidRPr="5B67C1D2">
              <w:rPr>
                <w:sz w:val="20"/>
                <w:szCs w:val="20"/>
              </w:rPr>
              <w:t>certain</w:t>
            </w:r>
            <w:proofErr w:type="spellEnd"/>
            <w:r w:rsidR="7E1DAD50" w:rsidRPr="5B67C1D2">
              <w:rPr>
                <w:sz w:val="20"/>
                <w:szCs w:val="20"/>
              </w:rPr>
              <w:t xml:space="preserve"> </w:t>
            </w:r>
            <w:proofErr w:type="spellStart"/>
            <w:r w:rsidR="7E1DAD50" w:rsidRPr="5B67C1D2">
              <w:rPr>
                <w:sz w:val="20"/>
                <w:szCs w:val="20"/>
              </w:rPr>
              <w:t>unalienable</w:t>
            </w:r>
            <w:proofErr w:type="spellEnd"/>
            <w:r w:rsidR="7E1DAD50" w:rsidRPr="5B67C1D2">
              <w:rPr>
                <w:sz w:val="20"/>
                <w:szCs w:val="20"/>
              </w:rPr>
              <w:t xml:space="preserve"> Rights' ausgestattet seien, darunter dem Recht auf ‚Life, Liberty and the </w:t>
            </w:r>
            <w:proofErr w:type="spellStart"/>
            <w:r w:rsidR="7E1DAD50" w:rsidRPr="5B67C1D2">
              <w:rPr>
                <w:sz w:val="20"/>
                <w:szCs w:val="20"/>
              </w:rPr>
              <w:t>pursuit</w:t>
            </w:r>
            <w:proofErr w:type="spellEnd"/>
            <w:r w:rsidR="7E1DAD50" w:rsidRPr="5B67C1D2">
              <w:rPr>
                <w:sz w:val="20"/>
                <w:szCs w:val="20"/>
              </w:rPr>
              <w:t xml:space="preserve"> of Happiness'; ein früherer, auf Druck der Südstaaten-Delegation gestrichener Entwurf Jeffersons hatte dem englischen König zudem vorgeworfen, er habe ‚</w:t>
            </w:r>
            <w:proofErr w:type="spellStart"/>
            <w:r w:rsidR="7E1DAD50" w:rsidRPr="5B67C1D2">
              <w:rPr>
                <w:sz w:val="20"/>
                <w:szCs w:val="20"/>
              </w:rPr>
              <w:t>cruel</w:t>
            </w:r>
            <w:proofErr w:type="spellEnd"/>
            <w:r w:rsidR="7E1DAD50" w:rsidRPr="5B67C1D2">
              <w:rPr>
                <w:sz w:val="20"/>
                <w:szCs w:val="20"/>
              </w:rPr>
              <w:t xml:space="preserve"> war </w:t>
            </w:r>
            <w:proofErr w:type="spellStart"/>
            <w:r w:rsidR="7E1DAD50" w:rsidRPr="5B67C1D2">
              <w:rPr>
                <w:sz w:val="20"/>
                <w:szCs w:val="20"/>
              </w:rPr>
              <w:t>against</w:t>
            </w:r>
            <w:proofErr w:type="spellEnd"/>
            <w:r w:rsidR="7E1DAD50" w:rsidRPr="5B67C1D2">
              <w:rPr>
                <w:sz w:val="20"/>
                <w:szCs w:val="20"/>
              </w:rPr>
              <w:t xml:space="preserve"> human </w:t>
            </w:r>
            <w:proofErr w:type="spellStart"/>
            <w:r w:rsidR="7E1DAD50" w:rsidRPr="5B67C1D2">
              <w:rPr>
                <w:sz w:val="20"/>
                <w:szCs w:val="20"/>
              </w:rPr>
              <w:t>nature</w:t>
            </w:r>
            <w:proofErr w:type="spellEnd"/>
            <w:r w:rsidR="7E1DAD50" w:rsidRPr="5B67C1D2">
              <w:rPr>
                <w:sz w:val="20"/>
                <w:szCs w:val="20"/>
              </w:rPr>
              <w:t xml:space="preserve"> </w:t>
            </w:r>
            <w:proofErr w:type="spellStart"/>
            <w:r w:rsidR="7E1DAD50" w:rsidRPr="5B67C1D2">
              <w:rPr>
                <w:sz w:val="20"/>
                <w:szCs w:val="20"/>
              </w:rPr>
              <w:t>itself</w:t>
            </w:r>
            <w:proofErr w:type="spellEnd"/>
            <w:r w:rsidR="7E1DAD50" w:rsidRPr="5B67C1D2">
              <w:rPr>
                <w:sz w:val="20"/>
                <w:szCs w:val="20"/>
              </w:rPr>
              <w:t>' geführt und dabei deren ‚</w:t>
            </w:r>
            <w:proofErr w:type="spellStart"/>
            <w:r w:rsidR="7E1DAD50" w:rsidRPr="5B67C1D2">
              <w:rPr>
                <w:sz w:val="20"/>
                <w:szCs w:val="20"/>
              </w:rPr>
              <w:t>most</w:t>
            </w:r>
            <w:proofErr w:type="spellEnd"/>
            <w:r w:rsidR="7E1DAD50" w:rsidRPr="5B67C1D2">
              <w:rPr>
                <w:sz w:val="20"/>
                <w:szCs w:val="20"/>
              </w:rPr>
              <w:t xml:space="preserve"> </w:t>
            </w:r>
            <w:proofErr w:type="spellStart"/>
            <w:r w:rsidR="7E1DAD50" w:rsidRPr="5B67C1D2">
              <w:rPr>
                <w:sz w:val="20"/>
                <w:szCs w:val="20"/>
              </w:rPr>
              <w:t>sacred</w:t>
            </w:r>
            <w:proofErr w:type="spellEnd"/>
            <w:r w:rsidR="7E1DAD50" w:rsidRPr="5B67C1D2">
              <w:rPr>
                <w:sz w:val="20"/>
                <w:szCs w:val="20"/>
              </w:rPr>
              <w:t xml:space="preserve"> </w:t>
            </w:r>
            <w:proofErr w:type="spellStart"/>
            <w:r w:rsidR="7E1DAD50" w:rsidRPr="5B67C1D2">
              <w:rPr>
                <w:sz w:val="20"/>
                <w:szCs w:val="20"/>
              </w:rPr>
              <w:t>rights</w:t>
            </w:r>
            <w:proofErr w:type="spellEnd"/>
            <w:r w:rsidR="7E1DAD50" w:rsidRPr="5B67C1D2">
              <w:rPr>
                <w:sz w:val="20"/>
                <w:szCs w:val="20"/>
              </w:rPr>
              <w:t xml:space="preserve"> of </w:t>
            </w:r>
            <w:proofErr w:type="spellStart"/>
            <w:r w:rsidR="7E1DAD50" w:rsidRPr="5B67C1D2">
              <w:rPr>
                <w:sz w:val="20"/>
                <w:szCs w:val="20"/>
              </w:rPr>
              <w:t>life</w:t>
            </w:r>
            <w:proofErr w:type="spellEnd"/>
            <w:r w:rsidR="7E1DAD50" w:rsidRPr="5B67C1D2">
              <w:rPr>
                <w:sz w:val="20"/>
                <w:szCs w:val="20"/>
              </w:rPr>
              <w:t xml:space="preserve"> and </w:t>
            </w:r>
            <w:proofErr w:type="spellStart"/>
            <w:r w:rsidR="7E1DAD50" w:rsidRPr="5B67C1D2">
              <w:rPr>
                <w:sz w:val="20"/>
                <w:szCs w:val="20"/>
              </w:rPr>
              <w:t>liberty</w:t>
            </w:r>
            <w:proofErr w:type="spellEnd"/>
            <w:r w:rsidR="7E1DAD50" w:rsidRPr="5B67C1D2">
              <w:rPr>
                <w:sz w:val="20"/>
                <w:szCs w:val="20"/>
              </w:rPr>
              <w:t>' verletzt, indem er den Sklavenhandel förderte.“</w:t>
            </w:r>
            <w:r w:rsidRPr="5B67C1D2">
              <w:rPr>
                <w:sz w:val="20"/>
                <w:szCs w:val="20"/>
                <w:vertAlign w:val="superscript"/>
                <w:lang w:val="en-US"/>
              </w:rPr>
              <w:footnoteReference w:id="817"/>
            </w:r>
            <w:r w:rsidRPr="5B67C1D2">
              <w:rPr>
                <w:sz w:val="20"/>
                <w:szCs w:val="20"/>
                <w:lang w:val="en-US"/>
              </w:rPr>
              <w:t xml:space="preserve"> </w:t>
            </w:r>
            <w:r w:rsidR="2552710B" w:rsidRPr="5B67C1D2">
              <w:rPr>
                <w:sz w:val="20"/>
                <w:szCs w:val="20"/>
                <w:lang w:val="en-US"/>
              </w:rPr>
              <w:t xml:space="preserve">An </w:t>
            </w:r>
            <w:proofErr w:type="spellStart"/>
            <w:r w:rsidR="2552710B" w:rsidRPr="5B67C1D2">
              <w:rPr>
                <w:sz w:val="20"/>
                <w:szCs w:val="20"/>
                <w:lang w:val="en-US"/>
              </w:rPr>
              <w:t>anderer</w:t>
            </w:r>
            <w:proofErr w:type="spellEnd"/>
            <w:r w:rsidR="2552710B" w:rsidRPr="5B67C1D2">
              <w:rPr>
                <w:sz w:val="20"/>
                <w:szCs w:val="20"/>
                <w:lang w:val="en-US"/>
              </w:rPr>
              <w:t xml:space="preserve"> Stelle </w:t>
            </w:r>
            <w:proofErr w:type="spellStart"/>
            <w:r w:rsidR="2552710B" w:rsidRPr="5B67C1D2">
              <w:rPr>
                <w:sz w:val="20"/>
                <w:szCs w:val="20"/>
                <w:lang w:val="en-US"/>
              </w:rPr>
              <w:t>bezeichnet</w:t>
            </w:r>
            <w:proofErr w:type="spellEnd"/>
            <w:r w:rsidR="2552710B" w:rsidRPr="5B67C1D2">
              <w:rPr>
                <w:sz w:val="20"/>
                <w:szCs w:val="20"/>
                <w:lang w:val="en-US"/>
              </w:rPr>
              <w:t xml:space="preserve"> die </w:t>
            </w:r>
            <w:proofErr w:type="spellStart"/>
            <w:r w:rsidR="2552710B" w:rsidRPr="5B67C1D2">
              <w:rPr>
                <w:sz w:val="20"/>
                <w:szCs w:val="20"/>
                <w:lang w:val="en-US"/>
              </w:rPr>
              <w:t>Entscheidung</w:t>
            </w:r>
            <w:proofErr w:type="spellEnd"/>
            <w:r w:rsidR="2552710B" w:rsidRPr="5B67C1D2">
              <w:rPr>
                <w:sz w:val="20"/>
                <w:szCs w:val="20"/>
                <w:lang w:val="en-US"/>
              </w:rPr>
              <w:t xml:space="preserve"> die </w:t>
            </w:r>
            <w:proofErr w:type="spellStart"/>
            <w:r w:rsidR="2552710B" w:rsidRPr="5B67C1D2">
              <w:rPr>
                <w:sz w:val="20"/>
                <w:szCs w:val="20"/>
                <w:lang w:val="en-US"/>
              </w:rPr>
              <w:t>Herstellung</w:t>
            </w:r>
            <w:proofErr w:type="spellEnd"/>
            <w:r w:rsidR="2552710B" w:rsidRPr="5B67C1D2">
              <w:rPr>
                <w:sz w:val="20"/>
                <w:szCs w:val="20"/>
                <w:lang w:val="en-US"/>
              </w:rPr>
              <w:t xml:space="preserve"> von </w:t>
            </w:r>
            <w:proofErr w:type="spellStart"/>
            <w:r w:rsidR="2552710B" w:rsidRPr="5B67C1D2">
              <w:rPr>
                <w:sz w:val="20"/>
                <w:szCs w:val="20"/>
                <w:lang w:val="en-US"/>
              </w:rPr>
              <w:t>Diversität</w:t>
            </w:r>
            <w:proofErr w:type="spellEnd"/>
            <w:r w:rsidR="2552710B" w:rsidRPr="5B67C1D2">
              <w:rPr>
                <w:sz w:val="20"/>
                <w:szCs w:val="20"/>
                <w:lang w:val="en-US"/>
              </w:rPr>
              <w:t xml:space="preserve"> </w:t>
            </w:r>
            <w:proofErr w:type="spellStart"/>
            <w:r w:rsidR="2552710B" w:rsidRPr="5B67C1D2">
              <w:rPr>
                <w:sz w:val="20"/>
                <w:szCs w:val="20"/>
                <w:lang w:val="en-US"/>
              </w:rPr>
              <w:t>im</w:t>
            </w:r>
            <w:proofErr w:type="spellEnd"/>
            <w:r w:rsidR="2552710B" w:rsidRPr="5B67C1D2">
              <w:rPr>
                <w:sz w:val="20"/>
                <w:szCs w:val="20"/>
                <w:lang w:val="en-US"/>
              </w:rPr>
              <w:t xml:space="preserve"> Student Body </w:t>
            </w:r>
            <w:proofErr w:type="spellStart"/>
            <w:r w:rsidR="2552710B" w:rsidRPr="5B67C1D2">
              <w:rPr>
                <w:sz w:val="20"/>
                <w:szCs w:val="20"/>
                <w:lang w:val="en-US"/>
              </w:rPr>
              <w:t>als</w:t>
            </w:r>
            <w:proofErr w:type="spellEnd"/>
            <w:r w:rsidR="2552710B" w:rsidRPr="5B67C1D2">
              <w:rPr>
                <w:sz w:val="20"/>
                <w:szCs w:val="20"/>
                <w:lang w:val="en-US"/>
              </w:rPr>
              <w:t xml:space="preserve"> „constitutionally permissible goal“</w:t>
            </w:r>
            <w:r w:rsidRPr="5B67C1D2">
              <w:rPr>
                <w:sz w:val="20"/>
                <w:szCs w:val="20"/>
                <w:vertAlign w:val="superscript"/>
                <w:lang w:val="en-US"/>
              </w:rPr>
              <w:footnoteReference w:id="818"/>
            </w:r>
            <w:r w:rsidR="11A968F4" w:rsidRPr="5B67C1D2">
              <w:rPr>
                <w:sz w:val="20"/>
                <w:szCs w:val="20"/>
                <w:lang w:val="en-US"/>
              </w:rPr>
              <w:t>.</w:t>
            </w:r>
            <w:r w:rsidRPr="5B67C1D2">
              <w:rPr>
                <w:sz w:val="20"/>
                <w:szCs w:val="20"/>
                <w:lang w:val="en-US"/>
              </w:rPr>
              <w:t xml:space="preserve"> </w:t>
            </w:r>
            <w:proofErr w:type="spellStart"/>
            <w:r w:rsidRPr="5B67C1D2">
              <w:rPr>
                <w:sz w:val="20"/>
                <w:szCs w:val="20"/>
                <w:lang w:val="en-US"/>
              </w:rPr>
              <w:t>D.h.</w:t>
            </w:r>
            <w:proofErr w:type="spellEnd"/>
            <w:r w:rsidRPr="5B67C1D2">
              <w:rPr>
                <w:sz w:val="20"/>
                <w:szCs w:val="20"/>
                <w:lang w:val="en-US"/>
              </w:rPr>
              <w:t xml:space="preserve"> </w:t>
            </w:r>
            <w:proofErr w:type="spellStart"/>
            <w:r w:rsidRPr="5B67C1D2">
              <w:rPr>
                <w:sz w:val="20"/>
                <w:szCs w:val="20"/>
                <w:lang w:val="en-US"/>
              </w:rPr>
              <w:t>eine</w:t>
            </w:r>
            <w:proofErr w:type="spellEnd"/>
            <w:r w:rsidRPr="5B67C1D2">
              <w:rPr>
                <w:sz w:val="20"/>
                <w:szCs w:val="20"/>
                <w:lang w:val="en-US"/>
              </w:rPr>
              <w:t xml:space="preserve"> </w:t>
            </w:r>
            <w:proofErr w:type="spellStart"/>
            <w:r w:rsidRPr="5B67C1D2">
              <w:rPr>
                <w:sz w:val="20"/>
                <w:szCs w:val="20"/>
                <w:lang w:val="en-US"/>
              </w:rPr>
              <w:t>Freiheitsdimension</w:t>
            </w:r>
            <w:proofErr w:type="spellEnd"/>
            <w:r w:rsidRPr="5B67C1D2">
              <w:rPr>
                <w:sz w:val="20"/>
                <w:szCs w:val="20"/>
                <w:lang w:val="en-US"/>
              </w:rPr>
              <w:t xml:space="preserve">, </w:t>
            </w:r>
            <w:proofErr w:type="spellStart"/>
            <w:r w:rsidRPr="5B67C1D2">
              <w:rPr>
                <w:sz w:val="20"/>
                <w:szCs w:val="20"/>
                <w:lang w:val="en-US"/>
              </w:rPr>
              <w:t>nämlich</w:t>
            </w:r>
            <w:proofErr w:type="spellEnd"/>
            <w:r w:rsidRPr="5B67C1D2">
              <w:rPr>
                <w:sz w:val="20"/>
                <w:szCs w:val="20"/>
                <w:lang w:val="en-US"/>
              </w:rPr>
              <w:t xml:space="preserve"> die, seine Meinung </w:t>
            </w:r>
            <w:proofErr w:type="spellStart"/>
            <w:r w:rsidRPr="5B67C1D2">
              <w:rPr>
                <w:sz w:val="20"/>
                <w:szCs w:val="20"/>
                <w:lang w:val="en-US"/>
              </w:rPr>
              <w:t>zu</w:t>
            </w:r>
            <w:proofErr w:type="spellEnd"/>
            <w:r w:rsidRPr="5B67C1D2">
              <w:rPr>
                <w:sz w:val="20"/>
                <w:szCs w:val="20"/>
                <w:lang w:val="en-US"/>
              </w:rPr>
              <w:t xml:space="preserve"> </w:t>
            </w:r>
            <w:proofErr w:type="spellStart"/>
            <w:r w:rsidRPr="5B67C1D2">
              <w:rPr>
                <w:sz w:val="20"/>
                <w:szCs w:val="20"/>
                <w:lang w:val="en-US"/>
              </w:rPr>
              <w:t>äußern</w:t>
            </w:r>
            <w:proofErr w:type="spellEnd"/>
            <w:r w:rsidRPr="5B67C1D2">
              <w:rPr>
                <w:sz w:val="20"/>
                <w:szCs w:val="20"/>
                <w:lang w:val="en-US"/>
              </w:rPr>
              <w:t xml:space="preserve">, sei </w:t>
            </w:r>
            <w:proofErr w:type="spellStart"/>
            <w:r w:rsidRPr="5B67C1D2">
              <w:rPr>
                <w:sz w:val="20"/>
                <w:szCs w:val="20"/>
                <w:lang w:val="en-US"/>
              </w:rPr>
              <w:t>eine</w:t>
            </w:r>
            <w:proofErr w:type="spellEnd"/>
            <w:r w:rsidRPr="5B67C1D2">
              <w:rPr>
                <w:sz w:val="20"/>
                <w:szCs w:val="20"/>
                <w:lang w:val="en-US"/>
              </w:rPr>
              <w:t xml:space="preserve"> </w:t>
            </w:r>
            <w:proofErr w:type="spellStart"/>
            <w:r w:rsidRPr="5B67C1D2">
              <w:rPr>
                <w:sz w:val="20"/>
                <w:szCs w:val="20"/>
                <w:lang w:val="en-US"/>
              </w:rPr>
              <w:t>Folge</w:t>
            </w:r>
            <w:proofErr w:type="spellEnd"/>
            <w:r w:rsidRPr="5B67C1D2">
              <w:rPr>
                <w:sz w:val="20"/>
                <w:szCs w:val="20"/>
                <w:lang w:val="en-US"/>
              </w:rPr>
              <w:t xml:space="preserve"> des </w:t>
            </w:r>
            <w:proofErr w:type="spellStart"/>
            <w:r w:rsidRPr="5B67C1D2">
              <w:rPr>
                <w:sz w:val="20"/>
                <w:szCs w:val="20"/>
                <w:lang w:val="en-US"/>
              </w:rPr>
              <w:t>Verfassungsziels</w:t>
            </w:r>
            <w:proofErr w:type="spellEnd"/>
            <w:r w:rsidRPr="5B67C1D2">
              <w:rPr>
                <w:sz w:val="20"/>
                <w:szCs w:val="20"/>
                <w:lang w:val="en-US"/>
              </w:rPr>
              <w:t xml:space="preserve">, </w:t>
            </w:r>
            <w:proofErr w:type="spellStart"/>
            <w:r w:rsidRPr="5B67C1D2">
              <w:rPr>
                <w:sz w:val="20"/>
                <w:szCs w:val="20"/>
                <w:lang w:val="en-US"/>
              </w:rPr>
              <w:t>ein</w:t>
            </w:r>
            <w:proofErr w:type="spellEnd"/>
            <w:r w:rsidRPr="5B67C1D2">
              <w:rPr>
                <w:sz w:val="20"/>
                <w:szCs w:val="20"/>
                <w:lang w:val="en-US"/>
              </w:rPr>
              <w:t xml:space="preserve"> </w:t>
            </w:r>
            <w:proofErr w:type="spellStart"/>
            <w:r w:rsidRPr="5B67C1D2">
              <w:rPr>
                <w:sz w:val="20"/>
                <w:szCs w:val="20"/>
                <w:lang w:val="en-US"/>
              </w:rPr>
              <w:t>Streben</w:t>
            </w:r>
            <w:proofErr w:type="spellEnd"/>
            <w:r w:rsidRPr="5B67C1D2">
              <w:rPr>
                <w:sz w:val="20"/>
                <w:szCs w:val="20"/>
                <w:lang w:val="en-US"/>
              </w:rPr>
              <w:t xml:space="preserve"> </w:t>
            </w:r>
            <w:proofErr w:type="spellStart"/>
            <w:r w:rsidRPr="5B67C1D2">
              <w:rPr>
                <w:sz w:val="20"/>
                <w:szCs w:val="20"/>
                <w:lang w:val="en-US"/>
              </w:rPr>
              <w:t>nach</w:t>
            </w:r>
            <w:proofErr w:type="spellEnd"/>
            <w:r w:rsidRPr="5B67C1D2">
              <w:rPr>
                <w:sz w:val="20"/>
                <w:szCs w:val="20"/>
                <w:lang w:val="en-US"/>
              </w:rPr>
              <w:t xml:space="preserve"> Glück </w:t>
            </w:r>
            <w:proofErr w:type="spellStart"/>
            <w:r w:rsidRPr="5B67C1D2">
              <w:rPr>
                <w:sz w:val="20"/>
                <w:szCs w:val="20"/>
                <w:lang w:val="en-US"/>
              </w:rPr>
              <w:t>zu</w:t>
            </w:r>
            <w:proofErr w:type="spellEnd"/>
            <w:r w:rsidRPr="5B67C1D2">
              <w:rPr>
                <w:sz w:val="20"/>
                <w:szCs w:val="20"/>
                <w:lang w:val="en-US"/>
              </w:rPr>
              <w:t xml:space="preserve"> </w:t>
            </w:r>
            <w:proofErr w:type="spellStart"/>
            <w:r w:rsidRPr="5B67C1D2">
              <w:rPr>
                <w:sz w:val="20"/>
                <w:szCs w:val="20"/>
                <w:lang w:val="en-US"/>
              </w:rPr>
              <w:t>ermöglichen</w:t>
            </w:r>
            <w:proofErr w:type="spellEnd"/>
            <w:r w:rsidRPr="5B67C1D2">
              <w:rPr>
                <w:sz w:val="20"/>
                <w:szCs w:val="20"/>
                <w:lang w:val="en-US"/>
              </w:rPr>
              <w:t xml:space="preserve">. </w:t>
            </w:r>
            <w:r w:rsidRPr="5B67C1D2">
              <w:rPr>
                <w:sz w:val="20"/>
                <w:szCs w:val="20"/>
              </w:rPr>
              <w:t>Und um die freiheitliche Dimension zu konkretisieren, differenzierte der U.S. Supreme Court die Wissenschaftsfreiheit als Unterform der Meinungsfreiheit in ihre normativen Stränge („</w:t>
            </w:r>
            <w:proofErr w:type="spellStart"/>
            <w:r w:rsidRPr="5B67C1D2">
              <w:rPr>
                <w:sz w:val="20"/>
                <w:szCs w:val="20"/>
              </w:rPr>
              <w:t>four</w:t>
            </w:r>
            <w:proofErr w:type="spellEnd"/>
            <w:r w:rsidRPr="5B67C1D2">
              <w:rPr>
                <w:sz w:val="20"/>
                <w:szCs w:val="20"/>
              </w:rPr>
              <w:t xml:space="preserve"> essential </w:t>
            </w:r>
            <w:proofErr w:type="spellStart"/>
            <w:r w:rsidRPr="5B67C1D2">
              <w:rPr>
                <w:sz w:val="20"/>
                <w:szCs w:val="20"/>
              </w:rPr>
              <w:t>freedoms</w:t>
            </w:r>
            <w:proofErr w:type="spellEnd"/>
            <w:r w:rsidRPr="5B67C1D2">
              <w:rPr>
                <w:sz w:val="20"/>
                <w:szCs w:val="20"/>
              </w:rPr>
              <w:t xml:space="preserve"> of a </w:t>
            </w:r>
            <w:proofErr w:type="spellStart"/>
            <w:r w:rsidRPr="5B67C1D2">
              <w:rPr>
                <w:sz w:val="20"/>
                <w:szCs w:val="20"/>
              </w:rPr>
              <w:t>university</w:t>
            </w:r>
            <w:proofErr w:type="spellEnd"/>
            <w:r w:rsidRPr="5B67C1D2">
              <w:rPr>
                <w:sz w:val="20"/>
                <w:szCs w:val="20"/>
              </w:rPr>
              <w:t>“</w:t>
            </w:r>
            <w:r w:rsidRPr="5B67C1D2">
              <w:rPr>
                <w:sz w:val="20"/>
                <w:szCs w:val="20"/>
                <w:vertAlign w:val="superscript"/>
              </w:rPr>
              <w:footnoteReference w:id="819"/>
            </w:r>
            <w:r w:rsidRPr="5B67C1D2">
              <w:rPr>
                <w:sz w:val="20"/>
                <w:szCs w:val="20"/>
              </w:rPr>
              <w:t xml:space="preserve">), die sich normativ auch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5B67C1D2">
              <w:rPr>
                <w:sz w:val="20"/>
                <w:szCs w:val="20"/>
              </w:rPr>
              <w:t xml:space="preserve"> koppeln: </w:t>
            </w:r>
            <w:r w:rsidRPr="5B67C1D2">
              <w:rPr>
                <w:sz w:val="20"/>
                <w:szCs w:val="20"/>
              </w:rPr>
              <w:lastRenderedPageBreak/>
              <w:t>Freiheit zu entscheiden, (i) wer lehrt, (ii) was und (iii) wie gelehrt wird und (iv) wen die Universität zum Studium zulässt.</w:t>
            </w:r>
            <w:r w:rsidRPr="5B67C1D2">
              <w:rPr>
                <w:sz w:val="20"/>
                <w:szCs w:val="20"/>
                <w:vertAlign w:val="superscript"/>
              </w:rPr>
              <w:footnoteReference w:id="820"/>
            </w:r>
          </w:p>
          <w:p w14:paraId="67B43DC0" w14:textId="77777777" w:rsidR="00074551" w:rsidRPr="00E50B51" w:rsidRDefault="00074551" w:rsidP="00367133">
            <w:pPr>
              <w:jc w:val="both"/>
              <w:rPr>
                <w:sz w:val="20"/>
                <w:szCs w:val="20"/>
              </w:rPr>
            </w:pPr>
          </w:p>
        </w:tc>
      </w:tr>
      <w:tr w:rsidR="00074551" w:rsidRPr="00E50B51" w14:paraId="00D72707" w14:textId="77777777" w:rsidTr="00BE689F">
        <w:trPr>
          <w:cantSplit/>
          <w:trHeight w:val="3175"/>
        </w:trPr>
        <w:tc>
          <w:tcPr>
            <w:tcW w:w="293" w:type="pct"/>
          </w:tcPr>
          <w:p w14:paraId="27DEF53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F727BF3" w14:textId="77777777" w:rsidR="00074551" w:rsidRPr="00B45592" w:rsidRDefault="00074551" w:rsidP="00367133">
            <w:pPr>
              <w:ind w:left="113" w:right="416"/>
              <w:jc w:val="both"/>
              <w:rPr>
                <w:i/>
                <w:sz w:val="20"/>
                <w:szCs w:val="20"/>
                <w:lang w:val="en-US"/>
              </w:rPr>
            </w:pPr>
            <w:r w:rsidRPr="00B45592">
              <w:rPr>
                <w:i/>
                <w:sz w:val="20"/>
                <w:szCs w:val="20"/>
                <w:lang w:val="en-US"/>
              </w:rPr>
              <w:t>Senn v. Tile</w:t>
            </w:r>
            <w:r w:rsidRPr="009905DE">
              <w:rPr>
                <w:lang w:val="en-US"/>
              </w:rPr>
              <w:t xml:space="preserve"> </w:t>
            </w:r>
            <w:r w:rsidRPr="00B45592">
              <w:rPr>
                <w:i/>
                <w:iCs/>
                <w:sz w:val="20"/>
                <w:szCs w:val="20"/>
                <w:lang w:val="en-US"/>
              </w:rPr>
              <w:t>Layers</w:t>
            </w:r>
            <w:r w:rsidRPr="00B45592">
              <w:rPr>
                <w:i/>
                <w:sz w:val="16"/>
                <w:szCs w:val="16"/>
                <w:lang w:val="en-US"/>
              </w:rPr>
              <w:t xml:space="preserve"> </w:t>
            </w:r>
            <w:r w:rsidRPr="00B45592">
              <w:rPr>
                <w:i/>
                <w:sz w:val="20"/>
                <w:szCs w:val="20"/>
                <w:lang w:val="en-US"/>
              </w:rPr>
              <w:t>Protective Union</w:t>
            </w:r>
          </w:p>
        </w:tc>
        <w:tc>
          <w:tcPr>
            <w:tcW w:w="197" w:type="pct"/>
            <w:textDirection w:val="tbRl"/>
            <w:vAlign w:val="center"/>
          </w:tcPr>
          <w:p w14:paraId="5609F6DD" w14:textId="77777777" w:rsidR="00074551" w:rsidRPr="00E50B51" w:rsidRDefault="00074551" w:rsidP="00367133">
            <w:pPr>
              <w:ind w:left="113" w:right="113"/>
              <w:jc w:val="both"/>
              <w:rPr>
                <w:sz w:val="20"/>
                <w:szCs w:val="20"/>
                <w:lang w:val="en-US"/>
              </w:rPr>
            </w:pPr>
            <w:r w:rsidRPr="00E50B51">
              <w:rPr>
                <w:sz w:val="20"/>
                <w:szCs w:val="20"/>
                <w:lang w:val="en-US"/>
              </w:rPr>
              <w:t>301 U.S. 468</w:t>
            </w:r>
          </w:p>
        </w:tc>
        <w:tc>
          <w:tcPr>
            <w:tcW w:w="306" w:type="pct"/>
            <w:textDirection w:val="tbRl"/>
            <w:vAlign w:val="center"/>
          </w:tcPr>
          <w:p w14:paraId="5750511A" w14:textId="77777777" w:rsidR="00074551" w:rsidRPr="00E50B51" w:rsidRDefault="00074551" w:rsidP="00367133">
            <w:pPr>
              <w:ind w:left="113" w:right="113"/>
              <w:jc w:val="both"/>
              <w:rPr>
                <w:sz w:val="20"/>
                <w:szCs w:val="20"/>
              </w:rPr>
            </w:pPr>
            <w:r w:rsidRPr="00E50B51">
              <w:rPr>
                <w:sz w:val="20"/>
                <w:szCs w:val="20"/>
              </w:rPr>
              <w:t>24. Mai 1937</w:t>
            </w:r>
          </w:p>
        </w:tc>
        <w:tc>
          <w:tcPr>
            <w:tcW w:w="401" w:type="pct"/>
          </w:tcPr>
          <w:p w14:paraId="3F4443F6"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38F01553" w14:textId="77777777" w:rsidR="00074551" w:rsidRPr="00E50B51" w:rsidRDefault="00074551" w:rsidP="00367133">
            <w:pPr>
              <w:jc w:val="both"/>
              <w:rPr>
                <w:sz w:val="20"/>
                <w:szCs w:val="20"/>
              </w:rPr>
            </w:pPr>
            <w:r w:rsidRPr="00E50B51">
              <w:rPr>
                <w:sz w:val="20"/>
                <w:szCs w:val="20"/>
              </w:rPr>
              <w:t>Im Fall hatte die Gewerkschaft</w:t>
            </w:r>
            <w:r>
              <w:rPr>
                <w:sz w:val="20"/>
                <w:szCs w:val="20"/>
              </w:rPr>
              <w:t xml:space="preserve"> der Fliesenleger</w:t>
            </w:r>
            <w:r w:rsidRPr="00E50B51">
              <w:rPr>
                <w:sz w:val="20"/>
                <w:szCs w:val="20"/>
              </w:rPr>
              <w:t xml:space="preserve"> versucht, eine</w:t>
            </w:r>
            <w:r>
              <w:rPr>
                <w:sz w:val="20"/>
                <w:szCs w:val="20"/>
              </w:rPr>
              <w:t>n</w:t>
            </w:r>
            <w:r w:rsidRPr="00E50B51">
              <w:rPr>
                <w:sz w:val="20"/>
                <w:szCs w:val="20"/>
              </w:rPr>
              <w:t xml:space="preserve"> kleinen Fliesenlegerbetrieb, in dem hauptsächlich der Arbeitgeber selbst arbeitete, gewerkschaftlich zu organisieren. Der Arbeitgeber weigerte sich</w:t>
            </w:r>
            <w:r>
              <w:rPr>
                <w:sz w:val="20"/>
                <w:szCs w:val="20"/>
              </w:rPr>
              <w:t xml:space="preserve"> aber</w:t>
            </w:r>
            <w:r w:rsidRPr="00E50B51">
              <w:rPr>
                <w:sz w:val="20"/>
                <w:szCs w:val="20"/>
              </w:rPr>
              <w:t>, ein</w:t>
            </w:r>
            <w:r>
              <w:rPr>
                <w:sz w:val="20"/>
                <w:szCs w:val="20"/>
              </w:rPr>
              <w:t>en</w:t>
            </w:r>
            <w:r w:rsidRPr="00E50B51">
              <w:rPr>
                <w:sz w:val="20"/>
                <w:szCs w:val="20"/>
              </w:rPr>
              <w:t xml:space="preserve"> Tarifvertrag abzuschließen. Daraufhin begann die Gewerkschaft mit Streikposten. Die Gerichte lehnten eine Unterlassungsklage des Arbeitgebers dagegen ab, was der </w:t>
            </w:r>
            <w:r>
              <w:rPr>
                <w:sz w:val="20"/>
                <w:szCs w:val="20"/>
              </w:rPr>
              <w:t>U.S. Supreme Court</w:t>
            </w:r>
            <w:r w:rsidRPr="00E50B51">
              <w:rPr>
                <w:sz w:val="20"/>
                <w:szCs w:val="20"/>
              </w:rPr>
              <w:t xml:space="preserve"> bestätigte. Denn </w:t>
            </w:r>
            <w:r>
              <w:rPr>
                <w:sz w:val="20"/>
                <w:szCs w:val="20"/>
              </w:rPr>
              <w:t>§ </w:t>
            </w:r>
            <w:r w:rsidRPr="00E50B51">
              <w:rPr>
                <w:sz w:val="20"/>
                <w:szCs w:val="20"/>
              </w:rPr>
              <w:t>103.53</w:t>
            </w:r>
            <w:r>
              <w:rPr>
                <w:rStyle w:val="Funotenzeichen"/>
                <w:sz w:val="20"/>
                <w:szCs w:val="20"/>
              </w:rPr>
              <w:footnoteReference w:id="821"/>
            </w:r>
            <w:r w:rsidRPr="00E50B51">
              <w:rPr>
                <w:sz w:val="20"/>
                <w:szCs w:val="20"/>
              </w:rPr>
              <w:t xml:space="preserve"> erlaube Streikposten, was zwar den Arbeitgeber an Aufträgen hindere, ihm aber nicht sein Eigentum </w:t>
            </w:r>
            <w:r w:rsidRPr="009905DE">
              <w:rPr>
                <w:sz w:val="20"/>
                <w:szCs w:val="20"/>
              </w:rPr>
              <w:t>entziehe.</w:t>
            </w:r>
            <w:r w:rsidRPr="009905DE">
              <w:rPr>
                <w:rStyle w:val="Funotenzeichen"/>
                <w:sz w:val="20"/>
                <w:szCs w:val="20"/>
              </w:rPr>
              <w:footnoteReference w:id="822"/>
            </w:r>
          </w:p>
          <w:p w14:paraId="6D6EECA3" w14:textId="77777777" w:rsidR="00074551" w:rsidRPr="00E50B51" w:rsidRDefault="00074551" w:rsidP="00367133">
            <w:pPr>
              <w:jc w:val="both"/>
              <w:rPr>
                <w:sz w:val="20"/>
                <w:szCs w:val="20"/>
              </w:rPr>
            </w:pPr>
          </w:p>
        </w:tc>
        <w:tc>
          <w:tcPr>
            <w:tcW w:w="1822" w:type="pct"/>
          </w:tcPr>
          <w:p w14:paraId="53792119" w14:textId="44754F19" w:rsidR="00074551" w:rsidRDefault="00074551" w:rsidP="00367133">
            <w:pPr>
              <w:jc w:val="both"/>
              <w:rPr>
                <w:sz w:val="20"/>
                <w:szCs w:val="20"/>
              </w:rPr>
            </w:pPr>
            <w:r w:rsidRPr="00EE6349">
              <w:rPr>
                <w:sz w:val="20"/>
                <w:szCs w:val="20"/>
              </w:rPr>
              <w:t xml:space="preserve">In </w:t>
            </w:r>
            <w:r w:rsidRPr="5B67C1D2">
              <w:rPr>
                <w:i/>
                <w:iCs/>
                <w:sz w:val="20"/>
                <w:szCs w:val="20"/>
              </w:rPr>
              <w:t xml:space="preserve">Senn v. </w:t>
            </w:r>
            <w:proofErr w:type="spellStart"/>
            <w:r w:rsidRPr="5B67C1D2">
              <w:rPr>
                <w:i/>
                <w:iCs/>
                <w:sz w:val="20"/>
                <w:szCs w:val="20"/>
              </w:rPr>
              <w:t>Tile</w:t>
            </w:r>
            <w:proofErr w:type="spellEnd"/>
            <w:r w:rsidRPr="5B67C1D2">
              <w:rPr>
                <w:i/>
                <w:iCs/>
                <w:sz w:val="20"/>
                <w:szCs w:val="20"/>
              </w:rPr>
              <w:t xml:space="preserve"> </w:t>
            </w:r>
            <w:proofErr w:type="spellStart"/>
            <w:r w:rsidRPr="5B67C1D2">
              <w:rPr>
                <w:i/>
                <w:iCs/>
                <w:sz w:val="20"/>
                <w:szCs w:val="20"/>
              </w:rPr>
              <w:t>Protective</w:t>
            </w:r>
            <w:proofErr w:type="spellEnd"/>
            <w:r w:rsidRPr="5B67C1D2">
              <w:rPr>
                <w:i/>
                <w:iCs/>
                <w:sz w:val="20"/>
                <w:szCs w:val="20"/>
              </w:rPr>
              <w:t xml:space="preserve"> Union</w:t>
            </w:r>
            <w:r w:rsidRPr="00EE6349">
              <w:rPr>
                <w:sz w:val="20"/>
                <w:szCs w:val="20"/>
              </w:rPr>
              <w:t xml:space="preserve"> urteilte der </w:t>
            </w:r>
            <w:r>
              <w:rPr>
                <w:sz w:val="20"/>
                <w:szCs w:val="20"/>
              </w:rPr>
              <w:t>U.S. Supreme Court</w:t>
            </w:r>
            <w:r w:rsidRPr="00EE6349">
              <w:rPr>
                <w:sz w:val="20"/>
                <w:szCs w:val="20"/>
              </w:rPr>
              <w:t>, die Meinungsfreiheit sei ein Teil der Bedingungen von Glück und diese Freiheit sei auch auf Körperschaften anwendbar.</w:t>
            </w:r>
            <w:r w:rsidRPr="00EE6349">
              <w:rPr>
                <w:sz w:val="20"/>
                <w:szCs w:val="20"/>
                <w:vertAlign w:val="superscript"/>
              </w:rPr>
              <w:footnoteReference w:id="823"/>
            </w:r>
            <w:r>
              <w:rPr>
                <w:sz w:val="20"/>
                <w:szCs w:val="20"/>
                <w:vertAlign w:val="superscript"/>
              </w:rPr>
              <w:t xml:space="preserve"> </w:t>
            </w:r>
            <w:r w:rsidRPr="00EE6349">
              <w:rPr>
                <w:sz w:val="20"/>
                <w:szCs w:val="20"/>
              </w:rPr>
              <w:t xml:space="preserve">Zum </w:t>
            </w:r>
            <w:proofErr w:type="spellStart"/>
            <w:r w:rsidRPr="5B67C1D2">
              <w:rPr>
                <w:i/>
                <w:iCs/>
                <w:sz w:val="20"/>
                <w:szCs w:val="20"/>
              </w:rPr>
              <w:t>pursuit</w:t>
            </w:r>
            <w:proofErr w:type="spellEnd"/>
            <w:r w:rsidRPr="5B67C1D2">
              <w:rPr>
                <w:i/>
                <w:iCs/>
                <w:sz w:val="20"/>
                <w:szCs w:val="20"/>
              </w:rPr>
              <w:t xml:space="preserve"> of Happines</w:t>
            </w:r>
            <w:r>
              <w:rPr>
                <w:sz w:val="20"/>
                <w:szCs w:val="20"/>
              </w:rPr>
              <w:t>s</w:t>
            </w:r>
            <w:r w:rsidRPr="00EE6349">
              <w:rPr>
                <w:sz w:val="20"/>
                <w:szCs w:val="20"/>
              </w:rPr>
              <w:t xml:space="preserve"> beschäftigt der </w:t>
            </w:r>
            <w:r>
              <w:rPr>
                <w:sz w:val="20"/>
                <w:szCs w:val="20"/>
              </w:rPr>
              <w:t>U.S. Supreme Court</w:t>
            </w:r>
            <w:r w:rsidRPr="00EE6349">
              <w:rPr>
                <w:sz w:val="20"/>
                <w:szCs w:val="20"/>
              </w:rPr>
              <w:t xml:space="preserve"> sich in dem Fall nicht nur mit dem Definitionsversuch aus </w:t>
            </w:r>
            <w:r w:rsidRPr="5B67C1D2">
              <w:rPr>
                <w:i/>
                <w:iCs/>
                <w:sz w:val="20"/>
                <w:szCs w:val="20"/>
              </w:rPr>
              <w:t>Meyer v. Nebraska</w:t>
            </w:r>
            <w:r w:rsidRPr="00EE6349">
              <w:rPr>
                <w:sz w:val="20"/>
                <w:szCs w:val="20"/>
              </w:rPr>
              <w:t>.</w:t>
            </w:r>
            <w:r w:rsidRPr="00EE6349">
              <w:rPr>
                <w:sz w:val="20"/>
                <w:szCs w:val="20"/>
                <w:vertAlign w:val="superscript"/>
              </w:rPr>
              <w:footnoteReference w:id="824"/>
            </w:r>
            <w:r w:rsidRPr="00EE6349">
              <w:rPr>
                <w:sz w:val="20"/>
                <w:szCs w:val="20"/>
              </w:rPr>
              <w:t xml:space="preserve"> Er erklärt auch, wie die Meinungsfreiheit mit dem </w:t>
            </w:r>
            <w:proofErr w:type="spellStart"/>
            <w:r w:rsidRPr="5B67C1D2">
              <w:rPr>
                <w:i/>
                <w:iCs/>
                <w:sz w:val="20"/>
                <w:szCs w:val="20"/>
              </w:rPr>
              <w:t>pursuit</w:t>
            </w:r>
            <w:proofErr w:type="spellEnd"/>
            <w:r w:rsidRPr="5B67C1D2">
              <w:rPr>
                <w:i/>
                <w:iCs/>
                <w:sz w:val="20"/>
                <w:szCs w:val="20"/>
              </w:rPr>
              <w:t xml:space="preserve"> of Happiness</w:t>
            </w:r>
            <w:r w:rsidRPr="00EE6349">
              <w:rPr>
                <w:sz w:val="20"/>
                <w:szCs w:val="20"/>
              </w:rPr>
              <w:t xml:space="preserve"> zusammenhänge. Er urteilte anhand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E6349">
              <w:rPr>
                <w:sz w:val="20"/>
                <w:szCs w:val="20"/>
              </w:rPr>
              <w:t xml:space="preserve">, auch eine Gewerkschaft </w:t>
            </w:r>
            <w:r>
              <w:rPr>
                <w:sz w:val="20"/>
                <w:szCs w:val="20"/>
              </w:rPr>
              <w:t>dürfe</w:t>
            </w:r>
            <w:r w:rsidRPr="00EE6349">
              <w:rPr>
                <w:sz w:val="20"/>
                <w:szCs w:val="20"/>
              </w:rPr>
              <w:t xml:space="preserve"> öffentlich ihren Konflikt austragen, namentlich streiken, </w:t>
            </w:r>
            <w:proofErr w:type="gramStart"/>
            <w:r w:rsidRPr="00EE6349">
              <w:rPr>
                <w:sz w:val="20"/>
                <w:szCs w:val="20"/>
              </w:rPr>
              <w:t>was letztendlich</w:t>
            </w:r>
            <w:proofErr w:type="gramEnd"/>
            <w:r w:rsidRPr="00EE6349">
              <w:rPr>
                <w:sz w:val="20"/>
                <w:szCs w:val="20"/>
              </w:rPr>
              <w:t xml:space="preserve"> Ausfluss der Meinungsfreiheit sei. Diese </w:t>
            </w:r>
            <w:proofErr w:type="spellStart"/>
            <w:r w:rsidRPr="00EE6349">
              <w:rPr>
                <w:sz w:val="20"/>
                <w:szCs w:val="20"/>
              </w:rPr>
              <w:t>stell</w:t>
            </w:r>
            <w:r>
              <w:rPr>
                <w:sz w:val="20"/>
                <w:szCs w:val="20"/>
              </w:rPr>
              <w:t>e</w:t>
            </w:r>
            <w:proofErr w:type="spellEnd"/>
            <w:r w:rsidRPr="00EE6349">
              <w:rPr>
                <w:sz w:val="20"/>
                <w:szCs w:val="20"/>
              </w:rPr>
              <w:t xml:space="preserve"> wiederum eine unabdingbare Voraussetzung</w:t>
            </w:r>
            <w:r>
              <w:rPr>
                <w:sz w:val="20"/>
                <w:szCs w:val="20"/>
              </w:rPr>
              <w:t xml:space="preserve"> dar</w:t>
            </w:r>
            <w:r w:rsidRPr="00EE6349">
              <w:rPr>
                <w:sz w:val="20"/>
                <w:szCs w:val="20"/>
              </w:rPr>
              <w:t xml:space="preserve">, damit ein Streben nach Glück durch den Staat besichert </w:t>
            </w:r>
            <w:r>
              <w:rPr>
                <w:sz w:val="20"/>
                <w:szCs w:val="20"/>
              </w:rPr>
              <w:t>sei</w:t>
            </w:r>
            <w:r w:rsidRPr="00EE6349">
              <w:rPr>
                <w:sz w:val="20"/>
                <w:szCs w:val="20"/>
              </w:rPr>
              <w:t xml:space="preserve"> („</w:t>
            </w:r>
            <w:proofErr w:type="spellStart"/>
            <w:r w:rsidRPr="00B45592">
              <w:rPr>
                <w:sz w:val="20"/>
                <w:szCs w:val="20"/>
              </w:rPr>
              <w:t>privileges</w:t>
            </w:r>
            <w:proofErr w:type="spellEnd"/>
            <w:r w:rsidRPr="00B45592">
              <w:rPr>
                <w:sz w:val="20"/>
                <w:szCs w:val="20"/>
              </w:rPr>
              <w:t xml:space="preserve"> </w:t>
            </w:r>
            <w:proofErr w:type="spellStart"/>
            <w:r w:rsidRPr="00B45592">
              <w:rPr>
                <w:sz w:val="20"/>
                <w:szCs w:val="20"/>
              </w:rPr>
              <w:t>long</w:t>
            </w:r>
            <w:proofErr w:type="spellEnd"/>
            <w:r w:rsidRPr="00B45592">
              <w:rPr>
                <w:sz w:val="20"/>
                <w:szCs w:val="20"/>
              </w:rPr>
              <w:t xml:space="preserve"> </w:t>
            </w:r>
            <w:proofErr w:type="spellStart"/>
            <w:r w:rsidRPr="00B45592">
              <w:rPr>
                <w:sz w:val="20"/>
                <w:szCs w:val="20"/>
              </w:rPr>
              <w:t>recognized</w:t>
            </w:r>
            <w:proofErr w:type="spellEnd"/>
            <w:r w:rsidRPr="00B45592">
              <w:rPr>
                <w:sz w:val="20"/>
                <w:szCs w:val="20"/>
              </w:rPr>
              <w:t xml:space="preserve"> at </w:t>
            </w:r>
            <w:proofErr w:type="spellStart"/>
            <w:r w:rsidRPr="00B45592">
              <w:rPr>
                <w:sz w:val="20"/>
                <w:szCs w:val="20"/>
              </w:rPr>
              <w:t>common</w:t>
            </w:r>
            <w:proofErr w:type="spellEnd"/>
            <w:r w:rsidRPr="00B45592">
              <w:rPr>
                <w:sz w:val="20"/>
                <w:szCs w:val="20"/>
              </w:rPr>
              <w:t xml:space="preserve"> </w:t>
            </w:r>
            <w:proofErr w:type="spellStart"/>
            <w:r w:rsidRPr="00B45592">
              <w:rPr>
                <w:sz w:val="20"/>
                <w:szCs w:val="20"/>
              </w:rPr>
              <w:t>law</w:t>
            </w:r>
            <w:proofErr w:type="spellEnd"/>
            <w:r w:rsidRPr="00B45592">
              <w:rPr>
                <w:sz w:val="20"/>
                <w:szCs w:val="20"/>
              </w:rPr>
              <w:t xml:space="preserve"> as essential to the </w:t>
            </w:r>
            <w:proofErr w:type="spellStart"/>
            <w:r w:rsidRPr="00B45592">
              <w:rPr>
                <w:sz w:val="20"/>
                <w:szCs w:val="20"/>
              </w:rPr>
              <w:t>orderly</w:t>
            </w:r>
            <w:proofErr w:type="spellEnd"/>
            <w:r w:rsidRPr="00B45592">
              <w:rPr>
                <w:sz w:val="20"/>
                <w:szCs w:val="20"/>
              </w:rPr>
              <w:t xml:space="preserve">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B45592">
              <w:rPr>
                <w:sz w:val="20"/>
                <w:szCs w:val="20"/>
              </w:rPr>
              <w:t xml:space="preserve"> by </w:t>
            </w:r>
            <w:proofErr w:type="spellStart"/>
            <w:r w:rsidRPr="00B45592">
              <w:rPr>
                <w:sz w:val="20"/>
                <w:szCs w:val="20"/>
              </w:rPr>
              <w:t>free</w:t>
            </w:r>
            <w:proofErr w:type="spellEnd"/>
            <w:r w:rsidRPr="00B45592">
              <w:rPr>
                <w:sz w:val="20"/>
                <w:szCs w:val="20"/>
              </w:rPr>
              <w:t xml:space="preserve"> </w:t>
            </w:r>
            <w:proofErr w:type="spellStart"/>
            <w:r w:rsidRPr="00B45592">
              <w:rPr>
                <w:sz w:val="20"/>
                <w:szCs w:val="20"/>
              </w:rPr>
              <w:t>men</w:t>
            </w:r>
            <w:proofErr w:type="spellEnd"/>
            <w:r w:rsidRPr="00EE6349">
              <w:rPr>
                <w:sz w:val="20"/>
                <w:szCs w:val="20"/>
              </w:rPr>
              <w:t>“).</w:t>
            </w:r>
            <w:r w:rsidRPr="00EE6349">
              <w:rPr>
                <w:sz w:val="20"/>
                <w:szCs w:val="20"/>
                <w:vertAlign w:val="superscript"/>
              </w:rPr>
              <w:footnoteReference w:id="825"/>
            </w:r>
            <w:r w:rsidRPr="00EE6349">
              <w:rPr>
                <w:sz w:val="20"/>
                <w:szCs w:val="20"/>
              </w:rPr>
              <w:t xml:space="preserve"> Damit schütze </w:t>
            </w:r>
            <w:r>
              <w:rPr>
                <w:sz w:val="20"/>
                <w:szCs w:val="20"/>
              </w:rPr>
              <w:t>das</w:t>
            </w:r>
            <w:r w:rsidRPr="00EE6349">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EE6349">
              <w:rPr>
                <w:sz w:val="20"/>
                <w:szCs w:val="20"/>
              </w:rPr>
              <w:t xml:space="preserve"> nicht nur auf Individuen, sondern auch Körperschaften.</w:t>
            </w:r>
          </w:p>
          <w:p w14:paraId="68F7ADE5" w14:textId="77777777" w:rsidR="00074551" w:rsidRPr="00E50B51" w:rsidRDefault="00074551" w:rsidP="00367133">
            <w:pPr>
              <w:jc w:val="both"/>
              <w:rPr>
                <w:sz w:val="20"/>
                <w:szCs w:val="20"/>
              </w:rPr>
            </w:pPr>
          </w:p>
        </w:tc>
      </w:tr>
      <w:tr w:rsidR="00074551" w:rsidRPr="00E50B51" w14:paraId="53696416" w14:textId="77777777" w:rsidTr="00BE689F">
        <w:trPr>
          <w:cantSplit/>
          <w:trHeight w:val="3175"/>
        </w:trPr>
        <w:tc>
          <w:tcPr>
            <w:tcW w:w="293" w:type="pct"/>
          </w:tcPr>
          <w:p w14:paraId="5900DC2F"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110BCA19" w14:textId="77777777" w:rsidR="00074551" w:rsidRPr="00E50B51" w:rsidRDefault="00074551" w:rsidP="00367133">
            <w:pPr>
              <w:ind w:left="113" w:right="416"/>
              <w:jc w:val="both"/>
              <w:rPr>
                <w:sz w:val="20"/>
                <w:szCs w:val="20"/>
                <w:lang w:val="en-US"/>
              </w:rPr>
            </w:pPr>
            <w:r w:rsidRPr="009E57E1">
              <w:rPr>
                <w:i/>
                <w:sz w:val="20"/>
                <w:szCs w:val="20"/>
              </w:rPr>
              <w:t>Scales v. United States</w:t>
            </w:r>
          </w:p>
        </w:tc>
        <w:tc>
          <w:tcPr>
            <w:tcW w:w="197" w:type="pct"/>
            <w:textDirection w:val="tbRl"/>
            <w:vAlign w:val="center"/>
          </w:tcPr>
          <w:p w14:paraId="0C54E9EA" w14:textId="77777777" w:rsidR="00074551" w:rsidRPr="00E50B51" w:rsidRDefault="00074551" w:rsidP="00367133">
            <w:pPr>
              <w:ind w:left="113" w:right="113"/>
              <w:jc w:val="both"/>
              <w:rPr>
                <w:sz w:val="20"/>
                <w:szCs w:val="20"/>
                <w:lang w:val="en-US"/>
              </w:rPr>
            </w:pPr>
            <w:r w:rsidRPr="00BE3728">
              <w:rPr>
                <w:sz w:val="20"/>
                <w:szCs w:val="20"/>
              </w:rPr>
              <w:t>367 U.S. 203</w:t>
            </w:r>
          </w:p>
        </w:tc>
        <w:tc>
          <w:tcPr>
            <w:tcW w:w="306" w:type="pct"/>
            <w:textDirection w:val="tbRl"/>
            <w:vAlign w:val="center"/>
          </w:tcPr>
          <w:p w14:paraId="309E7EC4" w14:textId="77777777" w:rsidR="00074551" w:rsidRPr="00E50B51" w:rsidRDefault="00074551" w:rsidP="00367133">
            <w:pPr>
              <w:ind w:left="113" w:right="113"/>
              <w:jc w:val="both"/>
              <w:rPr>
                <w:sz w:val="20"/>
                <w:szCs w:val="20"/>
              </w:rPr>
            </w:pPr>
            <w:r w:rsidRPr="00BE3728">
              <w:rPr>
                <w:sz w:val="20"/>
                <w:szCs w:val="20"/>
              </w:rPr>
              <w:t>05. Juni 1961</w:t>
            </w:r>
          </w:p>
        </w:tc>
        <w:tc>
          <w:tcPr>
            <w:tcW w:w="401" w:type="pct"/>
          </w:tcPr>
          <w:p w14:paraId="4B71E6FD"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6BB7642E" w14:textId="5A99FD14" w:rsidR="00074551" w:rsidRPr="00E50B51" w:rsidRDefault="00074551" w:rsidP="00367133">
            <w:pPr>
              <w:jc w:val="both"/>
              <w:rPr>
                <w:sz w:val="20"/>
                <w:szCs w:val="20"/>
              </w:rPr>
            </w:pPr>
            <w:r>
              <w:rPr>
                <w:sz w:val="20"/>
                <w:szCs w:val="20"/>
              </w:rPr>
              <w:t>Der U.S. Supreme Court</w:t>
            </w:r>
            <w:r w:rsidRPr="00BE3728">
              <w:rPr>
                <w:sz w:val="20"/>
                <w:szCs w:val="20"/>
              </w:rPr>
              <w:t xml:space="preserve"> bestätigte die Verurteilung eines Mitglieds der Kommunistischen Partei der USA unter dem </w:t>
            </w:r>
            <w:r w:rsidRPr="5B67C1D2">
              <w:rPr>
                <w:i/>
                <w:iCs/>
                <w:sz w:val="20"/>
                <w:szCs w:val="20"/>
              </w:rPr>
              <w:t>Smith Act</w:t>
            </w:r>
            <w:r w:rsidRPr="00BE3728">
              <w:rPr>
                <w:rStyle w:val="Funotenzeichen"/>
                <w:sz w:val="20"/>
                <w:szCs w:val="20"/>
              </w:rPr>
              <w:footnoteReference w:id="826"/>
            </w:r>
            <w:r w:rsidRPr="00BE3728">
              <w:rPr>
                <w:sz w:val="20"/>
                <w:szCs w:val="20"/>
              </w:rPr>
              <w:t xml:space="preserve"> nach dessen Mitgliedsklausel. Diese Klausel bestraft die Mitgliedschaft in einer Organisation, die den gewaltsamen Umsturz der US-Regierung befürwortet. Der </w:t>
            </w:r>
            <w:r>
              <w:rPr>
                <w:sz w:val="20"/>
                <w:szCs w:val="20"/>
              </w:rPr>
              <w:t>U.S. Supreme Court</w:t>
            </w:r>
            <w:r w:rsidRPr="00BE3728">
              <w:rPr>
                <w:sz w:val="20"/>
                <w:szCs w:val="20"/>
              </w:rPr>
              <w:t xml:space="preserve"> erklärte dazu, dass der </w:t>
            </w:r>
            <w:r w:rsidRPr="5B67C1D2">
              <w:rPr>
                <w:i/>
                <w:iCs/>
                <w:sz w:val="20"/>
                <w:szCs w:val="20"/>
              </w:rPr>
              <w:t>Internal Security Act</w:t>
            </w:r>
            <w:r w:rsidRPr="00BE3728">
              <w:rPr>
                <w:rStyle w:val="Funotenzeichen"/>
                <w:sz w:val="20"/>
                <w:szCs w:val="20"/>
              </w:rPr>
              <w:footnoteReference w:id="827"/>
            </w:r>
            <w:r w:rsidRPr="00BE3728">
              <w:rPr>
                <w:sz w:val="20"/>
                <w:szCs w:val="20"/>
              </w:rPr>
              <w:t xml:space="preserve"> die Voraussetzungen präzisierte: Die Mitgliedschaft muss wissentlich</w:t>
            </w:r>
            <w:r>
              <w:rPr>
                <w:sz w:val="20"/>
                <w:szCs w:val="20"/>
              </w:rPr>
              <w:t xml:space="preserve"> und</w:t>
            </w:r>
            <w:r w:rsidRPr="00BE3728">
              <w:rPr>
                <w:sz w:val="20"/>
                <w:szCs w:val="20"/>
              </w:rPr>
              <w:t xml:space="preserve"> aktiv </w:t>
            </w:r>
            <w:r>
              <w:rPr>
                <w:sz w:val="20"/>
                <w:szCs w:val="20"/>
              </w:rPr>
              <w:t xml:space="preserve">sein </w:t>
            </w:r>
            <w:r w:rsidRPr="00BE3728">
              <w:rPr>
                <w:sz w:val="20"/>
                <w:szCs w:val="20"/>
              </w:rPr>
              <w:t xml:space="preserve">und </w:t>
            </w:r>
            <w:r>
              <w:rPr>
                <w:sz w:val="20"/>
                <w:szCs w:val="20"/>
              </w:rPr>
              <w:t>das</w:t>
            </w:r>
            <w:r w:rsidRPr="00BE3728">
              <w:rPr>
                <w:sz w:val="20"/>
                <w:szCs w:val="20"/>
              </w:rPr>
              <w:t xml:space="preserve"> Ziel </w:t>
            </w:r>
            <w:r>
              <w:rPr>
                <w:sz w:val="20"/>
                <w:szCs w:val="20"/>
              </w:rPr>
              <w:t>haben</w:t>
            </w:r>
            <w:r w:rsidRPr="00BE3728">
              <w:rPr>
                <w:sz w:val="20"/>
                <w:szCs w:val="20"/>
              </w:rPr>
              <w:t xml:space="preserve">, kriminelle Absichten der Organisation zu fördern. Der </w:t>
            </w:r>
            <w:r>
              <w:rPr>
                <w:sz w:val="20"/>
                <w:szCs w:val="20"/>
              </w:rPr>
              <w:t>U.S. Supreme Court</w:t>
            </w:r>
            <w:r w:rsidRPr="00BE3728">
              <w:rPr>
                <w:sz w:val="20"/>
                <w:szCs w:val="20"/>
              </w:rPr>
              <w:t xml:space="preserve"> befand auch, dass hierfür ausreichend Beweise vorl</w:t>
            </w:r>
            <w:r>
              <w:rPr>
                <w:sz w:val="20"/>
                <w:szCs w:val="20"/>
              </w:rPr>
              <w:t>ä</w:t>
            </w:r>
            <w:r w:rsidRPr="00BE3728">
              <w:rPr>
                <w:sz w:val="20"/>
                <w:szCs w:val="20"/>
              </w:rPr>
              <w:t xml:space="preserve">gen, um die Schuld des Klägers einer Jury vorzulegen. Er sah keine Fehler im Verfahren bezüglich der Beweisführung oder der Anwendung des </w:t>
            </w:r>
            <w:bookmarkStart w:id="48" w:name="_Hlk228744370"/>
            <w:r w:rsidRPr="5B67C1D2">
              <w:rPr>
                <w:i/>
                <w:iCs/>
                <w:sz w:val="20"/>
                <w:szCs w:val="20"/>
              </w:rPr>
              <w:t>Jencks Act</w:t>
            </w:r>
            <w:bookmarkEnd w:id="48"/>
            <w:r w:rsidRPr="00BE3728">
              <w:rPr>
                <w:sz w:val="20"/>
                <w:szCs w:val="20"/>
              </w:rPr>
              <w:t>,</w:t>
            </w:r>
            <w:r w:rsidRPr="00BE3728">
              <w:rPr>
                <w:rStyle w:val="Funotenzeichen"/>
                <w:sz w:val="20"/>
                <w:szCs w:val="20"/>
              </w:rPr>
              <w:footnoteReference w:id="828"/>
            </w:r>
            <w:r w:rsidRPr="00BE3728">
              <w:rPr>
                <w:sz w:val="20"/>
                <w:szCs w:val="20"/>
              </w:rPr>
              <w:t xml:space="preserve"> der das Recht auf Einsichtnahme des Angeklagten regelt. Und die streitgegenständliche Auslegung der Mitgliedschaftsklausel berühre zwar, aber verstoß</w:t>
            </w:r>
            <w:r>
              <w:rPr>
                <w:sz w:val="20"/>
                <w:szCs w:val="20"/>
              </w:rPr>
              <w:t>e</w:t>
            </w:r>
            <w:r w:rsidRPr="00BE3728">
              <w:rPr>
                <w:sz w:val="20"/>
                <w:szCs w:val="20"/>
              </w:rPr>
              <w:t xml:space="preserve"> nicht gegen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BE3728">
              <w:rPr>
                <w:sz w:val="20"/>
                <w:szCs w:val="20"/>
              </w:rPr>
              <w:t xml:space="preserve"> </w:t>
            </w:r>
            <w:r>
              <w:rPr>
                <w:sz w:val="20"/>
                <w:szCs w:val="20"/>
              </w:rPr>
              <w:t>von</w:t>
            </w:r>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I, VI.</w:t>
            </w:r>
            <w:r w:rsidRPr="00BE3728">
              <w:rPr>
                <w:rStyle w:val="Funotenzeichen"/>
                <w:sz w:val="20"/>
                <w:szCs w:val="20"/>
              </w:rPr>
              <w:footnoteReference w:id="829"/>
            </w:r>
            <w:r w:rsidRPr="00BE3728">
              <w:rPr>
                <w:sz w:val="20"/>
                <w:szCs w:val="20"/>
              </w:rPr>
              <w:t xml:space="preserve"> Der Grund? Der </w:t>
            </w:r>
            <w:r w:rsidRPr="5B67C1D2">
              <w:rPr>
                <w:i/>
                <w:iCs/>
                <w:sz w:val="20"/>
                <w:szCs w:val="20"/>
              </w:rPr>
              <w:t>Internal Security Act</w:t>
            </w:r>
            <w:r w:rsidRPr="00BE3728">
              <w:rPr>
                <w:sz w:val="20"/>
                <w:szCs w:val="20"/>
              </w:rPr>
              <w:t xml:space="preserve"> von 1950 schütz</w:t>
            </w:r>
            <w:r>
              <w:rPr>
                <w:sz w:val="20"/>
                <w:szCs w:val="20"/>
              </w:rPr>
              <w:t>e</w:t>
            </w:r>
            <w:r w:rsidRPr="00BE3728">
              <w:rPr>
                <w:sz w:val="20"/>
                <w:szCs w:val="20"/>
              </w:rPr>
              <w:t xml:space="preserve"> zwar Mitglieder einer Organisation per se vor Strafverfolgung – als Ausdruck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BE3728">
              <w:rPr>
                <w:sz w:val="20"/>
                <w:szCs w:val="20"/>
              </w:rPr>
              <w:t xml:space="preserve">. Aber der </w:t>
            </w:r>
            <w:r w:rsidRPr="5B67C1D2">
              <w:rPr>
                <w:i/>
                <w:iCs/>
                <w:sz w:val="20"/>
                <w:szCs w:val="20"/>
              </w:rPr>
              <w:t>Smith Act</w:t>
            </w:r>
            <w:r w:rsidRPr="00BE3728">
              <w:rPr>
                <w:sz w:val="20"/>
                <w:szCs w:val="20"/>
              </w:rPr>
              <w:t xml:space="preserve"> richte sich gegen Personen, deren Mitgliedschaft dabei eine wissentliche und absichtliche Beteiligung an kriminellen Aktivitäten beinhaltet. Und da der Angeklagte über seine achtjährige Mitgliedschaft hinweg illegalen Aktivitäten der Kommunistischen Partei zumindest wissentlich Vorschub leistete, </w:t>
            </w:r>
            <w:r>
              <w:rPr>
                <w:sz w:val="20"/>
                <w:szCs w:val="20"/>
              </w:rPr>
              <w:t>sei</w:t>
            </w:r>
            <w:r w:rsidRPr="00BE3728">
              <w:rPr>
                <w:sz w:val="20"/>
                <w:szCs w:val="20"/>
              </w:rPr>
              <w:t xml:space="preserve"> er zu Recht nach dem </w:t>
            </w:r>
            <w:r w:rsidRPr="5B67C1D2">
              <w:rPr>
                <w:i/>
                <w:iCs/>
                <w:sz w:val="20"/>
                <w:szCs w:val="20"/>
              </w:rPr>
              <w:t>Smith Act</w:t>
            </w:r>
            <w:r w:rsidRPr="00BE3728">
              <w:rPr>
                <w:sz w:val="20"/>
                <w:szCs w:val="20"/>
              </w:rPr>
              <w:t xml:space="preserve"> wegen Beihilfe zu kriminellen Aktivitäten verurteilt</w:t>
            </w:r>
            <w:r>
              <w:rPr>
                <w:sz w:val="20"/>
                <w:szCs w:val="20"/>
              </w:rPr>
              <w:t xml:space="preserve"> worden</w:t>
            </w:r>
            <w:r w:rsidRPr="00BE3728">
              <w:rPr>
                <w:sz w:val="20"/>
                <w:szCs w:val="20"/>
              </w:rPr>
              <w:t>,</w:t>
            </w:r>
            <w:r w:rsidRPr="00BE3728">
              <w:rPr>
                <w:rStyle w:val="Funotenzeichen"/>
                <w:sz w:val="20"/>
                <w:szCs w:val="20"/>
              </w:rPr>
              <w:footnoteReference w:id="830"/>
            </w:r>
            <w:r w:rsidRPr="00BE3728">
              <w:rPr>
                <w:sz w:val="20"/>
                <w:szCs w:val="20"/>
              </w:rPr>
              <w:t xml:space="preserve"> als </w:t>
            </w:r>
            <w:proofErr w:type="spellStart"/>
            <w:r w:rsidRPr="5B67C1D2">
              <w:rPr>
                <w:i/>
                <w:iCs/>
                <w:sz w:val="20"/>
                <w:szCs w:val="20"/>
              </w:rPr>
              <w:t>lex</w:t>
            </w:r>
            <w:proofErr w:type="spellEnd"/>
            <w:r w:rsidRPr="5B67C1D2">
              <w:rPr>
                <w:i/>
                <w:iCs/>
                <w:sz w:val="20"/>
                <w:szCs w:val="20"/>
              </w:rPr>
              <w:t xml:space="preserve"> </w:t>
            </w:r>
            <w:proofErr w:type="spellStart"/>
            <w:r w:rsidRPr="5B67C1D2">
              <w:rPr>
                <w:i/>
                <w:iCs/>
                <w:sz w:val="20"/>
                <w:szCs w:val="20"/>
              </w:rPr>
              <w:t>speciales</w:t>
            </w:r>
            <w:proofErr w:type="spellEnd"/>
            <w:r w:rsidRPr="003D22E3">
              <w:rPr>
                <w:sz w:val="20"/>
                <w:szCs w:val="20"/>
              </w:rPr>
              <w:t xml:space="preserve"> </w:t>
            </w:r>
            <w:r w:rsidRPr="00BE3728">
              <w:rPr>
                <w:sz w:val="20"/>
                <w:szCs w:val="20"/>
              </w:rPr>
              <w:t xml:space="preserve">zur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BE3728">
              <w:rPr>
                <w:sz w:val="20"/>
                <w:szCs w:val="20"/>
              </w:rPr>
              <w:t>.</w:t>
            </w:r>
          </w:p>
        </w:tc>
        <w:tc>
          <w:tcPr>
            <w:tcW w:w="1822" w:type="pct"/>
          </w:tcPr>
          <w:p w14:paraId="758B249B"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Fundamental Freedoms › Freedom of Speech › Scope</w:t>
            </w:r>
          </w:p>
          <w:p w14:paraId="76083DB9" w14:textId="5A901102" w:rsidR="00074551" w:rsidRDefault="00074551" w:rsidP="00367133">
            <w:pPr>
              <w:jc w:val="both"/>
              <w:rPr>
                <w:sz w:val="20"/>
                <w:szCs w:val="20"/>
              </w:rPr>
            </w:pPr>
            <w:r w:rsidRPr="002E1085">
              <w:rPr>
                <w:sz w:val="20"/>
                <w:szCs w:val="20"/>
              </w:rPr>
              <w:br/>
            </w:r>
            <w:r w:rsidRPr="00BE3728">
              <w:rPr>
                <w:sz w:val="20"/>
                <w:szCs w:val="20"/>
              </w:rPr>
              <w:t>De</w:t>
            </w:r>
            <w:r>
              <w:rPr>
                <w:sz w:val="20"/>
                <w:szCs w:val="20"/>
              </w:rPr>
              <w:t>n</w:t>
            </w:r>
            <w:r w:rsidRPr="00BE3728">
              <w:rPr>
                <w:sz w:val="20"/>
                <w:szCs w:val="20"/>
              </w:rPr>
              <w:t xml:space="preserve"> Umsturz der US-Regierung zu unterstützen, sei keine durch die Verfassung geschützte Meinung. Die Mitgliedschaft in einer Gruppe, die sich dieser verbotenen Tätigkeit widme, </w:t>
            </w:r>
            <w:r>
              <w:rPr>
                <w:sz w:val="20"/>
                <w:szCs w:val="20"/>
              </w:rPr>
              <w:t>sei</w:t>
            </w:r>
            <w:r w:rsidRPr="00BE3728">
              <w:rPr>
                <w:sz w:val="20"/>
                <w:szCs w:val="20"/>
              </w:rPr>
              <w:t xml:space="preserve"> nicht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geschützt.</w:t>
            </w:r>
            <w:r w:rsidRPr="00BE3728">
              <w:rPr>
                <w:rStyle w:val="Funotenzeichen"/>
                <w:sz w:val="20"/>
                <w:szCs w:val="20"/>
              </w:rPr>
              <w:footnoteReference w:id="831"/>
            </w:r>
          </w:p>
          <w:p w14:paraId="3534E64E" w14:textId="77777777" w:rsidR="00074551" w:rsidRDefault="00074551" w:rsidP="00367133">
            <w:pPr>
              <w:jc w:val="both"/>
              <w:rPr>
                <w:sz w:val="20"/>
                <w:szCs w:val="20"/>
              </w:rPr>
            </w:pPr>
          </w:p>
          <w:p w14:paraId="4974212B" w14:textId="31B1C29E" w:rsidR="00074551" w:rsidRDefault="00074551" w:rsidP="00367133">
            <w:pPr>
              <w:jc w:val="both"/>
              <w:rPr>
                <w:sz w:val="20"/>
                <w:szCs w:val="20"/>
              </w:rPr>
            </w:pPr>
            <w:r w:rsidRPr="00BE3728">
              <w:rPr>
                <w:sz w:val="20"/>
                <w:szCs w:val="20"/>
              </w:rPr>
              <w:t xml:space="preserve">Der Dissens vertritt, wenn der Kläger zu sechs Jahren Haft verurteilt </w:t>
            </w:r>
            <w:r>
              <w:rPr>
                <w:sz w:val="20"/>
                <w:szCs w:val="20"/>
              </w:rPr>
              <w:t>werde</w:t>
            </w:r>
            <w:r w:rsidRPr="00BE3728">
              <w:rPr>
                <w:sz w:val="20"/>
                <w:szCs w:val="20"/>
              </w:rPr>
              <w:t xml:space="preserve">, weil er ein Mitglied der Kommunistischen Partei </w:t>
            </w:r>
            <w:r>
              <w:rPr>
                <w:sz w:val="20"/>
                <w:szCs w:val="20"/>
              </w:rPr>
              <w:t>sei</w:t>
            </w:r>
            <w:r w:rsidRPr="00BE3728">
              <w:rPr>
                <w:sz w:val="20"/>
                <w:szCs w:val="20"/>
              </w:rPr>
              <w:t xml:space="preserve">, dann </w:t>
            </w:r>
            <w:r>
              <w:rPr>
                <w:sz w:val="20"/>
                <w:szCs w:val="20"/>
              </w:rPr>
              <w:t>breche</w:t>
            </w:r>
            <w:r w:rsidRPr="00BE3728">
              <w:rPr>
                <w:sz w:val="20"/>
                <w:szCs w:val="20"/>
              </w:rPr>
              <w:t xml:space="preserve"> dies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Die Folge: Es gebe zwar Rede- und Gewissensfreiheit, aber sie </w:t>
            </w:r>
            <w:r>
              <w:rPr>
                <w:sz w:val="20"/>
                <w:szCs w:val="20"/>
              </w:rPr>
              <w:t>könne</w:t>
            </w:r>
            <w:r w:rsidRPr="00BE3728">
              <w:rPr>
                <w:sz w:val="20"/>
                <w:szCs w:val="20"/>
              </w:rPr>
              <w:t xml:space="preserve"> nicht ausgeübt</w:t>
            </w:r>
            <w:r>
              <w:rPr>
                <w:sz w:val="20"/>
                <w:szCs w:val="20"/>
              </w:rPr>
              <w:t xml:space="preserve"> werden</w:t>
            </w:r>
            <w:r w:rsidRPr="00BE3728">
              <w:rPr>
                <w:sz w:val="20"/>
                <w:szCs w:val="20"/>
              </w:rPr>
              <w:t>.</w:t>
            </w:r>
            <w:r w:rsidRPr="00BE3728">
              <w:rPr>
                <w:rStyle w:val="Funotenzeichen"/>
                <w:sz w:val="20"/>
                <w:szCs w:val="20"/>
              </w:rPr>
              <w:footnoteReference w:id="832"/>
            </w:r>
            <w:r w:rsidRPr="00BE3728">
              <w:rPr>
                <w:sz w:val="20"/>
                <w:szCs w:val="20"/>
              </w:rPr>
              <w:t xml:space="preserve"> In diesem Fall geh</w:t>
            </w:r>
            <w:r>
              <w:rPr>
                <w:sz w:val="20"/>
                <w:szCs w:val="20"/>
              </w:rPr>
              <w:t>e</w:t>
            </w:r>
            <w:r w:rsidRPr="00BE3728">
              <w:rPr>
                <w:sz w:val="20"/>
                <w:szCs w:val="20"/>
              </w:rPr>
              <w:t xml:space="preserve"> es zwar um unpopuläre, sogar empörende Überzeugungen. Aber sie bli</w:t>
            </w:r>
            <w:r>
              <w:rPr>
                <w:sz w:val="20"/>
                <w:szCs w:val="20"/>
              </w:rPr>
              <w:t>e</w:t>
            </w:r>
            <w:r w:rsidRPr="00BE3728">
              <w:rPr>
                <w:sz w:val="20"/>
                <w:szCs w:val="20"/>
              </w:rPr>
              <w:t xml:space="preserve">ben Ideen, Dogmen oder Glaubensvorstellungen, die im Schutzbereich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liegen.</w:t>
            </w:r>
            <w:r w:rsidRPr="00BE3728">
              <w:rPr>
                <w:rStyle w:val="Funotenzeichen"/>
                <w:sz w:val="20"/>
                <w:szCs w:val="20"/>
              </w:rPr>
              <w:footnoteReference w:id="833"/>
            </w:r>
            <w:r w:rsidRPr="00BE3728">
              <w:rPr>
                <w:sz w:val="20"/>
                <w:szCs w:val="20"/>
              </w:rPr>
              <w:t xml:space="preserve"> Den Aufgangspunkt dafür, wie</w:t>
            </w:r>
            <w:r>
              <w:rPr>
                <w:sz w:val="20"/>
                <w:szCs w:val="20"/>
              </w:rPr>
              <w:t xml:space="preserve"> </w:t>
            </w:r>
            <w:r w:rsidRPr="00BE3728">
              <w:rPr>
                <w:sz w:val="20"/>
                <w:szCs w:val="20"/>
              </w:rPr>
              <w:t xml:space="preserve">weit ein bestimmter Glaube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geschützt sei, legt der Dissens dar: Damit freiheitliche Institutionen eine Überzeugung oder Meinung untersagen, verlange der </w:t>
            </w:r>
            <w:r>
              <w:rPr>
                <w:sz w:val="20"/>
                <w:szCs w:val="20"/>
              </w:rPr>
              <w:t>U.S. Supreme Court</w:t>
            </w:r>
            <w:r w:rsidRPr="00BE3728">
              <w:rPr>
                <w:sz w:val="20"/>
                <w:szCs w:val="20"/>
              </w:rPr>
              <w:t xml:space="preserve"> nicht einen Vorsatz, sondern einen konkreten Bezug zu einer Straftat. In diesem Rahmen sei sogar die Überzeugung und Meinung zulässig, die sich auf eine Revolution richte. Dies sei Grundprinzip des amerikanischen Staatswesens („</w:t>
            </w:r>
            <w:proofErr w:type="spellStart"/>
            <w:r w:rsidRPr="00BE3728">
              <w:rPr>
                <w:sz w:val="20"/>
                <w:szCs w:val="20"/>
              </w:rPr>
              <w:t>principle</w:t>
            </w:r>
            <w:proofErr w:type="spellEnd"/>
            <w:r w:rsidRPr="00BE3728">
              <w:rPr>
                <w:sz w:val="20"/>
                <w:szCs w:val="20"/>
              </w:rPr>
              <w:t xml:space="preserve"> of </w:t>
            </w:r>
            <w:proofErr w:type="spellStart"/>
            <w:r w:rsidRPr="00BE3728">
              <w:rPr>
                <w:sz w:val="20"/>
                <w:szCs w:val="20"/>
              </w:rPr>
              <w:t>revolution</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w:t>
            </w:r>
            <w:proofErr w:type="spellStart"/>
            <w:r w:rsidRPr="00BE3728">
              <w:rPr>
                <w:sz w:val="20"/>
                <w:szCs w:val="20"/>
              </w:rPr>
              <w:t>deep</w:t>
            </w:r>
            <w:proofErr w:type="spellEnd"/>
            <w:r w:rsidRPr="00BE3728">
              <w:rPr>
                <w:sz w:val="20"/>
                <w:szCs w:val="20"/>
              </w:rPr>
              <w:t xml:space="preserve"> in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traditions</w:t>
            </w:r>
            <w:proofErr w:type="spellEnd"/>
            <w:r w:rsidRPr="00BE3728">
              <w:rPr>
                <w:sz w:val="20"/>
                <w:szCs w:val="20"/>
              </w:rPr>
              <w:t>“</w:t>
            </w:r>
            <w:r w:rsidRPr="00BE3728">
              <w:rPr>
                <w:rStyle w:val="Funotenzeichen"/>
                <w:sz w:val="20"/>
                <w:szCs w:val="20"/>
              </w:rPr>
              <w:footnoteReference w:id="834"/>
            </w:r>
            <w:r w:rsidRPr="00BE3728">
              <w:rPr>
                <w:sz w:val="20"/>
                <w:szCs w:val="20"/>
              </w:rPr>
              <w:t xml:space="preserve">). Denn nach der </w:t>
            </w:r>
            <w:r w:rsidRPr="5B67C1D2">
              <w:rPr>
                <w:i/>
                <w:iCs/>
                <w:sz w:val="20"/>
                <w:szCs w:val="20"/>
              </w:rPr>
              <w:t>Declaration of Independence</w:t>
            </w:r>
            <w:r w:rsidRPr="00BE3728">
              <w:rPr>
                <w:sz w:val="20"/>
                <w:szCs w:val="20"/>
              </w:rPr>
              <w:t xml:space="preserve"> heißt es: Wenn eine Regierungsform die unveräußerlichen Rechte wie das Streben nach Glück </w:t>
            </w:r>
            <w:proofErr w:type="gramStart"/>
            <w:r w:rsidRPr="00BE3728">
              <w:rPr>
                <w:sz w:val="20"/>
                <w:szCs w:val="20"/>
              </w:rPr>
              <w:t>aufhebe</w:t>
            </w:r>
            <w:proofErr w:type="gramEnd"/>
            <w:r w:rsidRPr="00BE3728">
              <w:rPr>
                <w:sz w:val="20"/>
                <w:szCs w:val="20"/>
              </w:rPr>
              <w:t xml:space="preserve">, dann </w:t>
            </w:r>
            <w:r>
              <w:rPr>
                <w:sz w:val="20"/>
                <w:szCs w:val="20"/>
              </w:rPr>
              <w:t>hätten</w:t>
            </w:r>
            <w:r w:rsidRPr="00BE3728">
              <w:rPr>
                <w:sz w:val="20"/>
                <w:szCs w:val="20"/>
              </w:rPr>
              <w:t xml:space="preserve"> Menschen das Recht, die Regierung abzuschaffen – und eine neue Regierung </w:t>
            </w:r>
            <w:r>
              <w:rPr>
                <w:sz w:val="20"/>
                <w:szCs w:val="20"/>
              </w:rPr>
              <w:t>zu errichten</w:t>
            </w:r>
            <w:r w:rsidRPr="00BE3728">
              <w:rPr>
                <w:sz w:val="20"/>
                <w:szCs w:val="20"/>
              </w:rPr>
              <w:t>. Diese soll</w:t>
            </w:r>
            <w:r>
              <w:rPr>
                <w:sz w:val="20"/>
                <w:szCs w:val="20"/>
              </w:rPr>
              <w:t>e</w:t>
            </w:r>
            <w:r w:rsidRPr="00BE3728">
              <w:rPr>
                <w:sz w:val="20"/>
                <w:szCs w:val="20"/>
              </w:rPr>
              <w:t xml:space="preserve"> auf Prinzipien beruhen, die </w:t>
            </w:r>
            <w:proofErr w:type="gramStart"/>
            <w:r w:rsidRPr="00BE3728">
              <w:rPr>
                <w:sz w:val="20"/>
                <w:szCs w:val="20"/>
              </w:rPr>
              <w:t>am ehesten Sicherheit</w:t>
            </w:r>
            <w:proofErr w:type="gramEnd"/>
            <w:r w:rsidRPr="00BE3728">
              <w:rPr>
                <w:sz w:val="20"/>
                <w:szCs w:val="20"/>
              </w:rPr>
              <w:t xml:space="preserve"> und Glück gewährleist</w:t>
            </w:r>
            <w:r>
              <w:rPr>
                <w:sz w:val="20"/>
                <w:szCs w:val="20"/>
              </w:rPr>
              <w:t>et</w:t>
            </w:r>
            <w:r w:rsidRPr="00BE3728">
              <w:rPr>
                <w:sz w:val="20"/>
                <w:szCs w:val="20"/>
              </w:rPr>
              <w:t>en („</w:t>
            </w:r>
            <w:proofErr w:type="spellStart"/>
            <w:r w:rsidRPr="00BE3728">
              <w:rPr>
                <w:sz w:val="20"/>
                <w:szCs w:val="20"/>
              </w:rPr>
              <w:t>organizing</w:t>
            </w:r>
            <w:proofErr w:type="spellEnd"/>
            <w:r w:rsidRPr="00BE3728">
              <w:rPr>
                <w:sz w:val="20"/>
                <w:szCs w:val="20"/>
              </w:rPr>
              <w:t xml:space="preserve"> </w:t>
            </w:r>
            <w:proofErr w:type="spellStart"/>
            <w:r w:rsidRPr="00BE3728">
              <w:rPr>
                <w:sz w:val="20"/>
                <w:szCs w:val="20"/>
              </w:rPr>
              <w:t>its</w:t>
            </w:r>
            <w:proofErr w:type="spellEnd"/>
            <w:r w:rsidRPr="00BE3728">
              <w:rPr>
                <w:sz w:val="20"/>
                <w:szCs w:val="20"/>
              </w:rPr>
              <w:t xml:space="preserve"> Powers in such Form, as to </w:t>
            </w:r>
            <w:proofErr w:type="spellStart"/>
            <w:r w:rsidRPr="00BE3728">
              <w:rPr>
                <w:sz w:val="20"/>
                <w:szCs w:val="20"/>
              </w:rPr>
              <w:t>them</w:t>
            </w:r>
            <w:proofErr w:type="spellEnd"/>
            <w:r w:rsidRPr="00BE3728">
              <w:rPr>
                <w:sz w:val="20"/>
                <w:szCs w:val="20"/>
              </w:rPr>
              <w:t xml:space="preserve"> </w:t>
            </w:r>
            <w:proofErr w:type="spellStart"/>
            <w:r w:rsidRPr="00BE3728">
              <w:rPr>
                <w:sz w:val="20"/>
                <w:szCs w:val="20"/>
              </w:rPr>
              <w:t>shall</w:t>
            </w:r>
            <w:proofErr w:type="spellEnd"/>
            <w:r w:rsidRPr="00BE3728">
              <w:rPr>
                <w:sz w:val="20"/>
                <w:szCs w:val="20"/>
              </w:rPr>
              <w:t xml:space="preserve"> </w:t>
            </w:r>
            <w:proofErr w:type="spellStart"/>
            <w:r w:rsidRPr="00BE3728">
              <w:rPr>
                <w:sz w:val="20"/>
                <w:szCs w:val="20"/>
              </w:rPr>
              <w:t>seem</w:t>
            </w:r>
            <w:proofErr w:type="spellEnd"/>
            <w:r w:rsidRPr="00BE3728">
              <w:rPr>
                <w:sz w:val="20"/>
                <w:szCs w:val="20"/>
              </w:rPr>
              <w:t xml:space="preserve"> </w:t>
            </w:r>
            <w:proofErr w:type="spellStart"/>
            <w:r w:rsidRPr="00BE3728">
              <w:rPr>
                <w:sz w:val="20"/>
                <w:szCs w:val="20"/>
              </w:rPr>
              <w:t>most</w:t>
            </w:r>
            <w:proofErr w:type="spellEnd"/>
            <w:r w:rsidRPr="00BE3728">
              <w:rPr>
                <w:sz w:val="20"/>
                <w:szCs w:val="20"/>
              </w:rPr>
              <w:t xml:space="preserve"> </w:t>
            </w:r>
            <w:proofErr w:type="spellStart"/>
            <w:r w:rsidRPr="00BE3728">
              <w:rPr>
                <w:sz w:val="20"/>
                <w:szCs w:val="20"/>
              </w:rPr>
              <w:t>likely</w:t>
            </w:r>
            <w:proofErr w:type="spellEnd"/>
            <w:r w:rsidRPr="00BE3728">
              <w:rPr>
                <w:sz w:val="20"/>
                <w:szCs w:val="20"/>
              </w:rPr>
              <w:t xml:space="preserve"> to </w:t>
            </w:r>
            <w:proofErr w:type="spellStart"/>
            <w:r w:rsidRPr="00BE3728">
              <w:rPr>
                <w:sz w:val="20"/>
                <w:szCs w:val="20"/>
              </w:rPr>
              <w:t>effect</w:t>
            </w:r>
            <w:proofErr w:type="spellEnd"/>
            <w:r w:rsidRPr="00BE3728">
              <w:rPr>
                <w:sz w:val="20"/>
                <w:szCs w:val="20"/>
              </w:rPr>
              <w:t xml:space="preserve">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Safety</w:t>
            </w:r>
            <w:proofErr w:type="spellEnd"/>
            <w:r w:rsidRPr="00BE3728">
              <w:rPr>
                <w:sz w:val="20"/>
                <w:szCs w:val="20"/>
              </w:rPr>
              <w:t xml:space="preserve"> and Happiness.“</w:t>
            </w:r>
            <w:r w:rsidRPr="00BE3728">
              <w:rPr>
                <w:rStyle w:val="Funotenzeichen"/>
                <w:sz w:val="20"/>
                <w:szCs w:val="20"/>
                <w:lang w:val="en-US"/>
              </w:rPr>
              <w:footnoteReference w:id="835"/>
            </w:r>
            <w:r w:rsidRPr="00BE3728">
              <w:rPr>
                <w:sz w:val="20"/>
                <w:szCs w:val="20"/>
              </w:rPr>
              <w:t>). Der Dissens unterstell</w:t>
            </w:r>
            <w:r>
              <w:rPr>
                <w:sz w:val="20"/>
                <w:szCs w:val="20"/>
              </w:rPr>
              <w:t>t</w:t>
            </w:r>
            <w:r w:rsidRPr="00BE3728">
              <w:rPr>
                <w:sz w:val="20"/>
                <w:szCs w:val="20"/>
              </w:rPr>
              <w:t xml:space="preserve">e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eine Doktrin der Widerstandslosigkeit gegen willkürliche Macht und Unterdrückung. Diese sei sklavisch, </w:t>
            </w:r>
            <w:r>
              <w:rPr>
                <w:sz w:val="20"/>
                <w:szCs w:val="20"/>
              </w:rPr>
              <w:t>sie</w:t>
            </w:r>
            <w:r w:rsidRPr="00BE3728">
              <w:rPr>
                <w:sz w:val="20"/>
                <w:szCs w:val="20"/>
              </w:rPr>
              <w:t xml:space="preserve"> sichere nicht das Wohl und Glück der Menschheit.</w:t>
            </w:r>
            <w:r w:rsidRPr="00BE3728">
              <w:rPr>
                <w:rStyle w:val="Funotenzeichen"/>
                <w:sz w:val="20"/>
                <w:szCs w:val="20"/>
              </w:rPr>
              <w:footnoteReference w:id="836"/>
            </w:r>
            <w:r w:rsidRPr="00BE3728">
              <w:rPr>
                <w:sz w:val="20"/>
                <w:szCs w:val="20"/>
              </w:rPr>
              <w:t xml:space="preserve"> Dafür </w:t>
            </w:r>
            <w:r>
              <w:rPr>
                <w:sz w:val="20"/>
                <w:szCs w:val="20"/>
              </w:rPr>
              <w:t>spreche</w:t>
            </w:r>
            <w:r w:rsidRPr="00BE3728">
              <w:rPr>
                <w:sz w:val="20"/>
                <w:szCs w:val="20"/>
              </w:rPr>
              <w:t xml:space="preserve"> auch, </w:t>
            </w:r>
            <w:r>
              <w:rPr>
                <w:sz w:val="20"/>
                <w:szCs w:val="20"/>
              </w:rPr>
              <w:t xml:space="preserve">dass </w:t>
            </w:r>
            <w:r w:rsidRPr="00BE3728">
              <w:rPr>
                <w:sz w:val="20"/>
                <w:szCs w:val="20"/>
              </w:rPr>
              <w:t>nahezu alle bundesstaatlichen Verfassungen ein Recht auf Widerstand</w:t>
            </w:r>
            <w:r>
              <w:rPr>
                <w:sz w:val="20"/>
                <w:szCs w:val="20"/>
              </w:rPr>
              <w:t xml:space="preserve"> </w:t>
            </w:r>
            <w:r w:rsidRPr="00BE3728">
              <w:rPr>
                <w:sz w:val="20"/>
                <w:szCs w:val="20"/>
              </w:rPr>
              <w:t>kennen.</w:t>
            </w:r>
            <w:r w:rsidRPr="00BE3728">
              <w:rPr>
                <w:rStyle w:val="Funotenzeichen"/>
                <w:sz w:val="20"/>
                <w:szCs w:val="20"/>
              </w:rPr>
              <w:footnoteReference w:id="837"/>
            </w:r>
          </w:p>
          <w:p w14:paraId="07293881" w14:textId="77777777" w:rsidR="00074551" w:rsidRPr="00E50B51" w:rsidRDefault="00074551" w:rsidP="00367133">
            <w:pPr>
              <w:jc w:val="both"/>
              <w:rPr>
                <w:sz w:val="20"/>
                <w:szCs w:val="20"/>
              </w:rPr>
            </w:pPr>
          </w:p>
        </w:tc>
      </w:tr>
      <w:tr w:rsidR="00074551" w:rsidRPr="00E50B51" w14:paraId="4551CE4C" w14:textId="77777777" w:rsidTr="00A15DB3">
        <w:trPr>
          <w:cantSplit/>
          <w:trHeight w:val="3175"/>
        </w:trPr>
        <w:tc>
          <w:tcPr>
            <w:tcW w:w="293" w:type="pct"/>
            <w:shd w:val="clear" w:color="auto" w:fill="E7E6E6" w:themeFill="background2"/>
          </w:tcPr>
          <w:p w14:paraId="0D3174D0"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3D5B1AB7"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6B1CBF6F"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48E9072D" w14:textId="77777777" w:rsidR="00074551" w:rsidRPr="00E50B51" w:rsidRDefault="00074551" w:rsidP="00367133">
            <w:pPr>
              <w:ind w:left="113" w:right="113"/>
              <w:jc w:val="both"/>
              <w:rPr>
                <w:sz w:val="20"/>
                <w:szCs w:val="20"/>
              </w:rPr>
            </w:pPr>
            <w:r w:rsidRPr="00E50B51">
              <w:rPr>
                <w:sz w:val="20"/>
                <w:szCs w:val="20"/>
              </w:rPr>
              <w:t>Freedom of Speech</w:t>
            </w:r>
          </w:p>
        </w:tc>
        <w:tc>
          <w:tcPr>
            <w:tcW w:w="306" w:type="pct"/>
            <w:shd w:val="clear" w:color="auto" w:fill="E7E6E6" w:themeFill="background2"/>
            <w:textDirection w:val="tbRl"/>
            <w:vAlign w:val="center"/>
          </w:tcPr>
          <w:p w14:paraId="2EC51AF2" w14:textId="77777777" w:rsidR="00074551" w:rsidRPr="00E50B51" w:rsidRDefault="00074551" w:rsidP="00367133">
            <w:pPr>
              <w:ind w:left="113" w:right="113"/>
              <w:jc w:val="both"/>
              <w:rPr>
                <w:sz w:val="20"/>
                <w:szCs w:val="20"/>
              </w:rPr>
            </w:pPr>
            <w:proofErr w:type="spellStart"/>
            <w:r w:rsidRPr="00E50B51">
              <w:rPr>
                <w:sz w:val="20"/>
                <w:szCs w:val="20"/>
              </w:rPr>
              <w:t>Defamation</w:t>
            </w:r>
            <w:proofErr w:type="spellEnd"/>
          </w:p>
        </w:tc>
        <w:tc>
          <w:tcPr>
            <w:tcW w:w="401" w:type="pct"/>
            <w:shd w:val="clear" w:color="auto" w:fill="E7E6E6" w:themeFill="background2"/>
          </w:tcPr>
          <w:p w14:paraId="5AA78855"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8261D96" w14:textId="77777777" w:rsidR="00074551" w:rsidRPr="00E50B51" w:rsidRDefault="00074551" w:rsidP="00367133">
            <w:pPr>
              <w:jc w:val="both"/>
              <w:rPr>
                <w:sz w:val="20"/>
                <w:szCs w:val="20"/>
              </w:rPr>
            </w:pPr>
          </w:p>
        </w:tc>
        <w:tc>
          <w:tcPr>
            <w:tcW w:w="1822" w:type="pct"/>
            <w:shd w:val="clear" w:color="auto" w:fill="E7E6E6" w:themeFill="background2"/>
          </w:tcPr>
          <w:p w14:paraId="1949F53C" w14:textId="20D136EA" w:rsidR="00074551" w:rsidRPr="00E50B51" w:rsidRDefault="00A15DB3" w:rsidP="00A15DB3">
            <w:pPr>
              <w:rPr>
                <w:sz w:val="20"/>
                <w:szCs w:val="20"/>
              </w:rPr>
            </w:pPr>
            <w:r w:rsidRPr="00A15DB3">
              <w:rPr>
                <w:i/>
                <w:iCs/>
                <w:sz w:val="16"/>
                <w:szCs w:val="20"/>
              </w:rPr>
              <w:t>Thematische Gliederung der nachfolgenden Entscheidungen ↓</w:t>
            </w:r>
          </w:p>
        </w:tc>
      </w:tr>
      <w:tr w:rsidR="00074551" w:rsidRPr="00E50B51" w14:paraId="4B0190C4" w14:textId="77777777" w:rsidTr="00BE689F">
        <w:trPr>
          <w:cantSplit/>
          <w:trHeight w:val="3175"/>
        </w:trPr>
        <w:tc>
          <w:tcPr>
            <w:tcW w:w="293" w:type="pct"/>
          </w:tcPr>
          <w:p w14:paraId="6E6408BB"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EAFE6F2" w14:textId="77777777" w:rsidR="00074551" w:rsidRPr="00E50B51" w:rsidRDefault="00074551" w:rsidP="00367133">
            <w:pPr>
              <w:ind w:left="113" w:right="416"/>
              <w:jc w:val="both"/>
              <w:rPr>
                <w:sz w:val="20"/>
                <w:szCs w:val="20"/>
              </w:rPr>
            </w:pPr>
            <w:r w:rsidRPr="009E57E1">
              <w:rPr>
                <w:i/>
                <w:sz w:val="20"/>
                <w:szCs w:val="20"/>
              </w:rPr>
              <w:t>Paul v. Davis</w:t>
            </w:r>
          </w:p>
        </w:tc>
        <w:tc>
          <w:tcPr>
            <w:tcW w:w="197" w:type="pct"/>
            <w:textDirection w:val="tbRl"/>
            <w:vAlign w:val="center"/>
          </w:tcPr>
          <w:p w14:paraId="0D3B92E1" w14:textId="77777777" w:rsidR="00074551" w:rsidRPr="00E50B51" w:rsidRDefault="00074551" w:rsidP="00367133">
            <w:pPr>
              <w:ind w:left="113" w:right="113"/>
              <w:jc w:val="both"/>
              <w:rPr>
                <w:sz w:val="20"/>
                <w:szCs w:val="20"/>
              </w:rPr>
            </w:pPr>
            <w:r w:rsidRPr="00E50B51">
              <w:rPr>
                <w:sz w:val="20"/>
                <w:szCs w:val="20"/>
                <w:lang w:val="en-US"/>
              </w:rPr>
              <w:t>424 U.S. 693</w:t>
            </w:r>
          </w:p>
        </w:tc>
        <w:tc>
          <w:tcPr>
            <w:tcW w:w="306" w:type="pct"/>
            <w:textDirection w:val="tbRl"/>
            <w:vAlign w:val="center"/>
          </w:tcPr>
          <w:p w14:paraId="417E87B9" w14:textId="77777777" w:rsidR="00074551" w:rsidRPr="00E50B51" w:rsidRDefault="00074551" w:rsidP="00367133">
            <w:pPr>
              <w:ind w:left="113" w:right="113"/>
              <w:jc w:val="both"/>
              <w:rPr>
                <w:sz w:val="20"/>
                <w:szCs w:val="20"/>
              </w:rPr>
            </w:pPr>
            <w:r w:rsidRPr="00E50B51">
              <w:rPr>
                <w:sz w:val="20"/>
                <w:szCs w:val="20"/>
              </w:rPr>
              <w:t>23. März 1976</w:t>
            </w:r>
          </w:p>
        </w:tc>
        <w:tc>
          <w:tcPr>
            <w:tcW w:w="401" w:type="pct"/>
          </w:tcPr>
          <w:p w14:paraId="2E2990B6" w14:textId="77777777" w:rsidR="00074551" w:rsidRPr="00E50B51" w:rsidRDefault="00074551" w:rsidP="00367133">
            <w:pPr>
              <w:jc w:val="center"/>
              <w:rPr>
                <w:sz w:val="20"/>
                <w:szCs w:val="20"/>
              </w:rPr>
            </w:pPr>
            <w:r w:rsidRPr="5B67C1D2">
              <w:rPr>
                <w:sz w:val="20"/>
                <w:szCs w:val="20"/>
              </w:rPr>
              <w:t>C</w:t>
            </w:r>
          </w:p>
        </w:tc>
        <w:tc>
          <w:tcPr>
            <w:tcW w:w="1594" w:type="pct"/>
          </w:tcPr>
          <w:p w14:paraId="0BA15B0E" w14:textId="3509F954" w:rsidR="00074551" w:rsidRPr="00E50B51" w:rsidRDefault="00074551" w:rsidP="00367133">
            <w:pPr>
              <w:jc w:val="both"/>
              <w:rPr>
                <w:sz w:val="20"/>
                <w:szCs w:val="20"/>
              </w:rPr>
            </w:pPr>
            <w:r w:rsidRPr="00E50B51">
              <w:rPr>
                <w:sz w:val="20"/>
                <w:szCs w:val="20"/>
              </w:rPr>
              <w:t xml:space="preserve">Im Fall hatte ein Polizeipräsident ein Flugblatt mit einem Fahndungsfoto verteilt. Die angebliche </w:t>
            </w:r>
            <w:proofErr w:type="spellStart"/>
            <w:r w:rsidRPr="00E50B51">
              <w:rPr>
                <w:sz w:val="20"/>
                <w:szCs w:val="20"/>
              </w:rPr>
              <w:t>Defamation</w:t>
            </w:r>
            <w:proofErr w:type="spellEnd"/>
            <w:r w:rsidRPr="00E50B51">
              <w:rPr>
                <w:sz w:val="20"/>
                <w:szCs w:val="20"/>
              </w:rPr>
              <w:t xml:space="preserve"> </w:t>
            </w:r>
            <w:r>
              <w:rPr>
                <w:sz w:val="20"/>
                <w:szCs w:val="20"/>
              </w:rPr>
              <w:t xml:space="preserve">des Abgebildeten </w:t>
            </w:r>
            <w:r w:rsidRPr="00E50B51">
              <w:rPr>
                <w:sz w:val="20"/>
                <w:szCs w:val="20"/>
              </w:rPr>
              <w:t xml:space="preserve">reiche aber nicht, um den Schutzbereich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auszulösen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Dieser sei allenfalls leicht berührt, w</w:t>
            </w:r>
            <w:r w:rsidRPr="00E50B51">
              <w:rPr>
                <w:sz w:val="20"/>
                <w:szCs w:val="20"/>
              </w:rPr>
              <w:t>eshalb der betroffene Kläger nicht in seinem Verfassungsrecht verletzt sei.</w:t>
            </w:r>
            <w:r>
              <w:rPr>
                <w:rStyle w:val="Funotenzeichen"/>
                <w:sz w:val="20"/>
                <w:szCs w:val="20"/>
              </w:rPr>
              <w:footnoteReference w:id="838"/>
            </w:r>
          </w:p>
          <w:p w14:paraId="482EDFC2" w14:textId="77777777" w:rsidR="00074551" w:rsidRPr="00E50B51" w:rsidRDefault="00074551" w:rsidP="00367133">
            <w:pPr>
              <w:jc w:val="both"/>
              <w:rPr>
                <w:sz w:val="20"/>
                <w:szCs w:val="20"/>
              </w:rPr>
            </w:pPr>
          </w:p>
        </w:tc>
        <w:tc>
          <w:tcPr>
            <w:tcW w:w="1822" w:type="pct"/>
          </w:tcPr>
          <w:p w14:paraId="494AEDBE" w14:textId="597B1C29" w:rsidR="00074551" w:rsidRPr="005853E9" w:rsidRDefault="00074551" w:rsidP="00367133">
            <w:pPr>
              <w:jc w:val="both"/>
              <w:rPr>
                <w:sz w:val="20"/>
                <w:szCs w:val="20"/>
              </w:rPr>
            </w:pPr>
            <w:r w:rsidRPr="005853E9">
              <w:rPr>
                <w:sz w:val="20"/>
                <w:szCs w:val="20"/>
              </w:rPr>
              <w:t xml:space="preserve">In </w:t>
            </w:r>
            <w:r w:rsidRPr="5B67C1D2">
              <w:rPr>
                <w:i/>
                <w:iCs/>
                <w:sz w:val="20"/>
                <w:szCs w:val="20"/>
              </w:rPr>
              <w:t>Paul v. Davis</w:t>
            </w:r>
            <w:r w:rsidRPr="005853E9">
              <w:rPr>
                <w:sz w:val="20"/>
                <w:szCs w:val="20"/>
              </w:rPr>
              <w:t xml:space="preserve"> erklärte der </w:t>
            </w:r>
            <w:r>
              <w:rPr>
                <w:sz w:val="20"/>
                <w:szCs w:val="20"/>
              </w:rPr>
              <w:t>U.S. Supreme Court</w:t>
            </w:r>
            <w:r w:rsidRPr="005853E9">
              <w:rPr>
                <w:sz w:val="20"/>
                <w:szCs w:val="20"/>
              </w:rPr>
              <w:t>, dass die „</w:t>
            </w:r>
            <w:proofErr w:type="spellStart"/>
            <w:r w:rsidRPr="005853E9">
              <w:rPr>
                <w:sz w:val="20"/>
                <w:szCs w:val="20"/>
              </w:rPr>
              <w:t>constitutional</w:t>
            </w:r>
            <w:proofErr w:type="spellEnd"/>
            <w:r w:rsidRPr="005853E9">
              <w:rPr>
                <w:sz w:val="20"/>
                <w:szCs w:val="20"/>
              </w:rPr>
              <w:t xml:space="preserve"> </w:t>
            </w:r>
            <w:proofErr w:type="spellStart"/>
            <w:r w:rsidRPr="005853E9">
              <w:rPr>
                <w:sz w:val="20"/>
                <w:szCs w:val="20"/>
              </w:rPr>
              <w:t>zone</w:t>
            </w:r>
            <w:proofErr w:type="spellEnd"/>
            <w:r w:rsidRPr="005853E9">
              <w:rPr>
                <w:sz w:val="20"/>
                <w:szCs w:val="20"/>
              </w:rPr>
              <w:t xml:space="preserve"> of </w:t>
            </w:r>
            <w:proofErr w:type="spellStart"/>
            <w:r w:rsidRPr="005853E9">
              <w:rPr>
                <w:sz w:val="20"/>
                <w:szCs w:val="20"/>
              </w:rPr>
              <w:t>privacy</w:t>
            </w:r>
            <w:proofErr w:type="spellEnd"/>
            <w:r w:rsidRPr="005853E9">
              <w:rPr>
                <w:sz w:val="20"/>
                <w:szCs w:val="20"/>
              </w:rPr>
              <w:t>“</w:t>
            </w:r>
            <w:r w:rsidRPr="005853E9">
              <w:rPr>
                <w:sz w:val="20"/>
                <w:szCs w:val="20"/>
                <w:vertAlign w:val="superscript"/>
              </w:rPr>
              <w:footnoteReference w:id="839"/>
            </w:r>
            <w:r w:rsidRPr="005853E9">
              <w:rPr>
                <w:sz w:val="20"/>
                <w:szCs w:val="20"/>
              </w:rPr>
              <w:t xml:space="preserve"> sich nach den Bedingungen für ein Streben nach Glück ausrichte, ein Teil der </w:t>
            </w:r>
            <w:r w:rsidRPr="00B45592">
              <w:rPr>
                <w:sz w:val="20"/>
                <w:szCs w:val="20"/>
              </w:rPr>
              <w:t>Bedingungen sei der individuelle und soziale Geltungsanspruch („</w:t>
            </w:r>
            <w:proofErr w:type="spellStart"/>
            <w:r w:rsidRPr="00B45592">
              <w:rPr>
                <w:sz w:val="20"/>
                <w:szCs w:val="20"/>
              </w:rPr>
              <w:t>good</w:t>
            </w:r>
            <w:proofErr w:type="spellEnd"/>
            <w:r w:rsidRPr="00B45592">
              <w:rPr>
                <w:sz w:val="20"/>
                <w:szCs w:val="20"/>
              </w:rPr>
              <w:t xml:space="preserve"> </w:t>
            </w:r>
            <w:proofErr w:type="spellStart"/>
            <w:r w:rsidRPr="00B45592">
              <w:rPr>
                <w:sz w:val="20"/>
                <w:szCs w:val="20"/>
              </w:rPr>
              <w:t>name</w:t>
            </w:r>
            <w:proofErr w:type="spellEnd"/>
            <w:r w:rsidRPr="00B45592">
              <w:rPr>
                <w:sz w:val="20"/>
                <w:szCs w:val="20"/>
              </w:rPr>
              <w:t xml:space="preserve"> and </w:t>
            </w:r>
            <w:proofErr w:type="spellStart"/>
            <w:r w:rsidRPr="00B45592">
              <w:rPr>
                <w:sz w:val="20"/>
                <w:szCs w:val="20"/>
              </w:rPr>
              <w:t>reputation</w:t>
            </w:r>
            <w:proofErr w:type="spellEnd"/>
            <w:r w:rsidRPr="00B45592">
              <w:rPr>
                <w:sz w:val="20"/>
                <w:szCs w:val="20"/>
              </w:rPr>
              <w:t>.“</w:t>
            </w:r>
            <w:r w:rsidRPr="00B45592">
              <w:rPr>
                <w:sz w:val="20"/>
                <w:szCs w:val="20"/>
                <w:vertAlign w:val="superscript"/>
              </w:rPr>
              <w:footnoteReference w:id="840"/>
            </w:r>
            <w:r w:rsidRPr="00B45592">
              <w:rPr>
                <w:sz w:val="20"/>
                <w:szCs w:val="20"/>
              </w:rPr>
              <w:t xml:space="preserve">). Zum </w:t>
            </w:r>
            <w:proofErr w:type="spellStart"/>
            <w:r w:rsidRPr="5B67C1D2">
              <w:rPr>
                <w:i/>
                <w:iCs/>
                <w:sz w:val="20"/>
                <w:szCs w:val="20"/>
              </w:rPr>
              <w:t>pursuit</w:t>
            </w:r>
            <w:proofErr w:type="spellEnd"/>
            <w:r w:rsidRPr="5B67C1D2">
              <w:rPr>
                <w:i/>
                <w:iCs/>
                <w:sz w:val="20"/>
                <w:szCs w:val="20"/>
              </w:rPr>
              <w:t xml:space="preserve"> of Happiness</w:t>
            </w:r>
            <w:r w:rsidRPr="00B45592">
              <w:rPr>
                <w:sz w:val="20"/>
                <w:szCs w:val="20"/>
              </w:rPr>
              <w:t xml:space="preserve"> bestätigte und erweiterte der </w:t>
            </w:r>
            <w:r>
              <w:rPr>
                <w:sz w:val="20"/>
                <w:szCs w:val="20"/>
              </w:rPr>
              <w:t>U.S. Supreme Court</w:t>
            </w:r>
            <w:r w:rsidRPr="00B45592">
              <w:rPr>
                <w:sz w:val="20"/>
                <w:szCs w:val="20"/>
              </w:rPr>
              <w:t xml:space="preserve"> also damit die Rechtsprechung in </w:t>
            </w:r>
            <w:r w:rsidRPr="5B67C1D2">
              <w:rPr>
                <w:i/>
                <w:iCs/>
                <w:sz w:val="20"/>
                <w:szCs w:val="20"/>
              </w:rPr>
              <w:t>Meyer v. Nebraska</w:t>
            </w:r>
            <w:r w:rsidRPr="00B45592">
              <w:rPr>
                <w:sz w:val="20"/>
                <w:szCs w:val="20"/>
                <w:vertAlign w:val="superscript"/>
                <w:lang w:val="en-US"/>
              </w:rPr>
              <w:footnoteReference w:id="841"/>
            </w:r>
            <w:r w:rsidRPr="00B45592">
              <w:rPr>
                <w:sz w:val="20"/>
                <w:szCs w:val="20"/>
              </w:rPr>
              <w:t xml:space="preserve"> und </w:t>
            </w:r>
            <w:r w:rsidRPr="5B67C1D2">
              <w:rPr>
                <w:i/>
                <w:iCs/>
                <w:sz w:val="20"/>
                <w:szCs w:val="20"/>
              </w:rPr>
              <w:t xml:space="preserve">Senn v. </w:t>
            </w:r>
            <w:proofErr w:type="spellStart"/>
            <w:r w:rsidRPr="5B67C1D2">
              <w:rPr>
                <w:i/>
                <w:iCs/>
                <w:sz w:val="20"/>
                <w:szCs w:val="20"/>
              </w:rPr>
              <w:t>Tile</w:t>
            </w:r>
            <w:proofErr w:type="spellEnd"/>
            <w:r w:rsidRPr="5B67C1D2">
              <w:rPr>
                <w:i/>
                <w:iCs/>
                <w:sz w:val="20"/>
                <w:szCs w:val="20"/>
              </w:rPr>
              <w:t xml:space="preserve"> Layers </w:t>
            </w:r>
            <w:proofErr w:type="spellStart"/>
            <w:r w:rsidRPr="5B67C1D2">
              <w:rPr>
                <w:i/>
                <w:iCs/>
                <w:sz w:val="20"/>
                <w:szCs w:val="20"/>
              </w:rPr>
              <w:t>Protective</w:t>
            </w:r>
            <w:proofErr w:type="spellEnd"/>
            <w:r w:rsidRPr="5B67C1D2">
              <w:rPr>
                <w:i/>
                <w:iCs/>
                <w:sz w:val="20"/>
                <w:szCs w:val="20"/>
              </w:rPr>
              <w:t xml:space="preserve"> Union</w:t>
            </w:r>
            <w:r w:rsidRPr="00B45592">
              <w:rPr>
                <w:sz w:val="20"/>
                <w:szCs w:val="20"/>
              </w:rPr>
              <w:t xml:space="preserve">, die bereits Freiheitsdimensionen des </w:t>
            </w:r>
            <w:proofErr w:type="spellStart"/>
            <w:r w:rsidRPr="5B67C1D2">
              <w:rPr>
                <w:i/>
                <w:iCs/>
                <w:sz w:val="20"/>
                <w:szCs w:val="20"/>
              </w:rPr>
              <w:t>pursuit</w:t>
            </w:r>
            <w:proofErr w:type="spellEnd"/>
            <w:r w:rsidRPr="5B67C1D2">
              <w:rPr>
                <w:i/>
                <w:iCs/>
                <w:sz w:val="20"/>
                <w:szCs w:val="20"/>
              </w:rPr>
              <w:t xml:space="preserve"> of Happiness</w:t>
            </w:r>
            <w:r w:rsidRPr="00F628BC">
              <w:rPr>
                <w:sz w:val="20"/>
                <w:szCs w:val="20"/>
              </w:rPr>
              <w:t xml:space="preserve"> </w:t>
            </w:r>
            <w:r w:rsidRPr="00B45592">
              <w:rPr>
                <w:sz w:val="20"/>
                <w:szCs w:val="20"/>
              </w:rPr>
              <w:t>definierten.</w:t>
            </w:r>
            <w:r w:rsidRPr="00B45592">
              <w:rPr>
                <w:sz w:val="20"/>
                <w:szCs w:val="20"/>
                <w:vertAlign w:val="superscript"/>
                <w:lang w:val="en-US"/>
              </w:rPr>
              <w:footnoteReference w:id="842"/>
            </w:r>
            <w:r w:rsidRPr="005853E9">
              <w:rPr>
                <w:sz w:val="20"/>
                <w:szCs w:val="20"/>
              </w:rPr>
              <w:t xml:space="preserve"> Die Erweiterung war dieses Recht auf den individuellen und sozialen Geltungsanspruch („</w:t>
            </w:r>
            <w:proofErr w:type="spellStart"/>
            <w:r w:rsidRPr="005853E9">
              <w:rPr>
                <w:sz w:val="20"/>
                <w:szCs w:val="20"/>
              </w:rPr>
              <w:t>good</w:t>
            </w:r>
            <w:proofErr w:type="spellEnd"/>
            <w:r w:rsidRPr="005853E9">
              <w:rPr>
                <w:sz w:val="20"/>
                <w:szCs w:val="20"/>
              </w:rPr>
              <w:t xml:space="preserve"> </w:t>
            </w:r>
            <w:proofErr w:type="spellStart"/>
            <w:r w:rsidRPr="005853E9">
              <w:rPr>
                <w:sz w:val="20"/>
                <w:szCs w:val="20"/>
              </w:rPr>
              <w:t>name</w:t>
            </w:r>
            <w:proofErr w:type="spellEnd"/>
            <w:r w:rsidRPr="005853E9">
              <w:rPr>
                <w:sz w:val="20"/>
                <w:szCs w:val="20"/>
              </w:rPr>
              <w:t xml:space="preserve"> and </w:t>
            </w:r>
            <w:proofErr w:type="spellStart"/>
            <w:r w:rsidRPr="005853E9">
              <w:rPr>
                <w:sz w:val="20"/>
                <w:szCs w:val="20"/>
              </w:rPr>
              <w:t>reputation</w:t>
            </w:r>
            <w:proofErr w:type="spellEnd"/>
            <w:r w:rsidRPr="005853E9">
              <w:rPr>
                <w:sz w:val="20"/>
                <w:szCs w:val="20"/>
              </w:rPr>
              <w:t>.“</w:t>
            </w:r>
            <w:r w:rsidRPr="005853E9">
              <w:rPr>
                <w:sz w:val="20"/>
                <w:szCs w:val="20"/>
                <w:vertAlign w:val="superscript"/>
              </w:rPr>
              <w:footnoteReference w:id="843"/>
            </w:r>
            <w:r w:rsidRPr="005853E9">
              <w:rPr>
                <w:sz w:val="20"/>
                <w:szCs w:val="20"/>
                <w:lang w:val="en-US"/>
              </w:rPr>
              <w:t xml:space="preserve">). </w:t>
            </w:r>
            <w:proofErr w:type="spellStart"/>
            <w:r w:rsidRPr="005853E9">
              <w:rPr>
                <w:sz w:val="20"/>
                <w:szCs w:val="20"/>
                <w:lang w:val="en-US"/>
              </w:rPr>
              <w:t>Wobei</w:t>
            </w:r>
            <w:proofErr w:type="spellEnd"/>
            <w:r w:rsidRPr="005853E9">
              <w:rPr>
                <w:sz w:val="20"/>
                <w:szCs w:val="20"/>
                <w:lang w:val="en-US"/>
              </w:rPr>
              <w:t xml:space="preserve"> </w:t>
            </w:r>
            <w:r>
              <w:rPr>
                <w:sz w:val="20"/>
                <w:szCs w:val="20"/>
                <w:lang w:val="en-US"/>
              </w:rPr>
              <w:t>der U.S. Supreme Court</w:t>
            </w:r>
            <w:r w:rsidRPr="005853E9">
              <w:rPr>
                <w:sz w:val="20"/>
                <w:szCs w:val="20"/>
                <w:lang w:val="en-US"/>
              </w:rPr>
              <w:t xml:space="preserve"> den </w:t>
            </w:r>
            <w:proofErr w:type="spellStart"/>
            <w:r w:rsidRPr="005853E9">
              <w:rPr>
                <w:sz w:val="20"/>
                <w:szCs w:val="20"/>
                <w:lang w:val="en-US"/>
              </w:rPr>
              <w:t>Geltungsanspruch</w:t>
            </w:r>
            <w:proofErr w:type="spellEnd"/>
            <w:r w:rsidRPr="005853E9">
              <w:rPr>
                <w:sz w:val="20"/>
                <w:szCs w:val="20"/>
                <w:lang w:val="en-US"/>
              </w:rPr>
              <w:t xml:space="preserve"> </w:t>
            </w:r>
            <w:proofErr w:type="spellStart"/>
            <w:r w:rsidRPr="005853E9">
              <w:rPr>
                <w:sz w:val="20"/>
                <w:szCs w:val="20"/>
                <w:lang w:val="en-US"/>
              </w:rPr>
              <w:t>aus</w:t>
            </w:r>
            <w:proofErr w:type="spellEnd"/>
            <w:r w:rsidRPr="005853E9">
              <w:rPr>
                <w:sz w:val="20"/>
                <w:szCs w:val="20"/>
                <w:lang w:val="en-US"/>
              </w:rPr>
              <w:t xml:space="preserve"> der </w:t>
            </w:r>
            <w:proofErr w:type="spellStart"/>
            <w:r w:rsidRPr="005853E9">
              <w:rPr>
                <w:sz w:val="20"/>
                <w:szCs w:val="20"/>
                <w:lang w:val="en-US"/>
              </w:rPr>
              <w:t>Menschenwürde</w:t>
            </w:r>
            <w:proofErr w:type="spellEnd"/>
            <w:r w:rsidRPr="005853E9">
              <w:rPr>
                <w:sz w:val="20"/>
                <w:szCs w:val="20"/>
                <w:lang w:val="en-US"/>
              </w:rPr>
              <w:t xml:space="preserve"> </w:t>
            </w:r>
            <w:proofErr w:type="spellStart"/>
            <w:r w:rsidRPr="005853E9">
              <w:rPr>
                <w:sz w:val="20"/>
                <w:szCs w:val="20"/>
                <w:lang w:val="en-US"/>
              </w:rPr>
              <w:t>herleitete</w:t>
            </w:r>
            <w:proofErr w:type="spellEnd"/>
            <w:r w:rsidRPr="005853E9">
              <w:rPr>
                <w:sz w:val="20"/>
                <w:szCs w:val="20"/>
                <w:lang w:val="en-US"/>
              </w:rPr>
              <w:t xml:space="preserve"> („right to the protection of his own good name reflects no more than our basic concept of the essential </w:t>
            </w:r>
            <w:proofErr w:type="gramStart"/>
            <w:r w:rsidRPr="005853E9">
              <w:rPr>
                <w:sz w:val="20"/>
                <w:szCs w:val="20"/>
                <w:lang w:val="en-US"/>
              </w:rPr>
              <w:t>dignity“</w:t>
            </w:r>
            <w:proofErr w:type="gramEnd"/>
            <w:r w:rsidRPr="005853E9">
              <w:rPr>
                <w:sz w:val="20"/>
                <w:szCs w:val="20"/>
                <w:vertAlign w:val="superscript"/>
                <w:lang w:val="en-US"/>
              </w:rPr>
              <w:footnoteReference w:id="844"/>
            </w:r>
            <w:r w:rsidRPr="005853E9">
              <w:rPr>
                <w:sz w:val="20"/>
                <w:szCs w:val="20"/>
                <w:lang w:val="en-US"/>
              </w:rPr>
              <w:t xml:space="preserve">). </w:t>
            </w:r>
            <w:r w:rsidRPr="005853E9">
              <w:rPr>
                <w:sz w:val="20"/>
                <w:szCs w:val="20"/>
              </w:rPr>
              <w:t xml:space="preserve">Und durch diesen besonderen Schutz stellte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5853E9">
              <w:rPr>
                <w:sz w:val="20"/>
                <w:szCs w:val="20"/>
              </w:rPr>
              <w:t xml:space="preserve"> einen staatlichen Eingriff in diesen Geltungsanspruch auf eine Stufe</w:t>
            </w:r>
            <w:r>
              <w:rPr>
                <w:sz w:val="20"/>
                <w:szCs w:val="20"/>
              </w:rPr>
              <w:t xml:space="preserve"> </w:t>
            </w:r>
            <w:r w:rsidRPr="005853E9">
              <w:rPr>
                <w:sz w:val="20"/>
                <w:szCs w:val="20"/>
              </w:rPr>
              <w:t>mit Haft.</w:t>
            </w:r>
            <w:r w:rsidRPr="005853E9">
              <w:rPr>
                <w:sz w:val="20"/>
                <w:szCs w:val="20"/>
                <w:vertAlign w:val="superscript"/>
              </w:rPr>
              <w:footnoteReference w:id="845"/>
            </w:r>
            <w:r w:rsidRPr="005853E9">
              <w:rPr>
                <w:sz w:val="20"/>
                <w:szCs w:val="20"/>
              </w:rPr>
              <w:t xml:space="preserve"> </w:t>
            </w:r>
            <w:r w:rsidRPr="00B45592">
              <w:rPr>
                <w:sz w:val="20"/>
                <w:szCs w:val="20"/>
              </w:rPr>
              <w:t>Denn er sei schwerwiegend u.a. für das Glücksstreben („</w:t>
            </w:r>
            <w:proofErr w:type="spellStart"/>
            <w:r w:rsidRPr="00B45592">
              <w:rPr>
                <w:sz w:val="20"/>
                <w:szCs w:val="20"/>
              </w:rPr>
              <w:t>serious</w:t>
            </w:r>
            <w:proofErr w:type="spellEnd"/>
            <w:r w:rsidRPr="00B45592">
              <w:rPr>
                <w:sz w:val="20"/>
                <w:szCs w:val="20"/>
              </w:rPr>
              <w:t xml:space="preserve"> </w:t>
            </w:r>
            <w:proofErr w:type="spellStart"/>
            <w:r w:rsidRPr="00B45592">
              <w:rPr>
                <w:sz w:val="20"/>
                <w:szCs w:val="20"/>
              </w:rPr>
              <w:t>consequences</w:t>
            </w:r>
            <w:proofErr w:type="spellEnd"/>
            <w:r w:rsidRPr="00B45592">
              <w:rPr>
                <w:sz w:val="20"/>
                <w:szCs w:val="20"/>
              </w:rPr>
              <w:t xml:space="preserve"> in </w:t>
            </w:r>
            <w:proofErr w:type="spellStart"/>
            <w:r w:rsidRPr="00B45592">
              <w:rPr>
                <w:sz w:val="20"/>
                <w:szCs w:val="20"/>
              </w:rPr>
              <w:t>its</w:t>
            </w:r>
            <w:proofErr w:type="spellEnd"/>
            <w:r w:rsidRPr="00B45592">
              <w:rPr>
                <w:sz w:val="20"/>
                <w:szCs w:val="20"/>
              </w:rPr>
              <w:t xml:space="preserve"> </w:t>
            </w:r>
            <w:proofErr w:type="spellStart"/>
            <w:r w:rsidRPr="00B45592">
              <w:rPr>
                <w:sz w:val="20"/>
                <w:szCs w:val="20"/>
              </w:rPr>
              <w:t>impact</w:t>
            </w:r>
            <w:proofErr w:type="spellEnd"/>
            <w:r w:rsidRPr="00B45592">
              <w:rPr>
                <w:sz w:val="20"/>
                <w:szCs w:val="20"/>
              </w:rPr>
              <w:t xml:space="preserve"> on […] the </w:t>
            </w:r>
            <w:proofErr w:type="spellStart"/>
            <w:r w:rsidRPr="00B45592">
              <w:rPr>
                <w:sz w:val="20"/>
                <w:szCs w:val="20"/>
              </w:rPr>
              <w:t>opportunities</w:t>
            </w:r>
            <w:proofErr w:type="spellEnd"/>
            <w:r w:rsidRPr="00B45592">
              <w:rPr>
                <w:sz w:val="20"/>
                <w:szCs w:val="20"/>
              </w:rPr>
              <w:t xml:space="preserve"> […] to </w:t>
            </w:r>
            <w:proofErr w:type="spellStart"/>
            <w:r w:rsidRPr="00B45592">
              <w:rPr>
                <w:sz w:val="20"/>
                <w:szCs w:val="20"/>
              </w:rPr>
              <w:t>enjoy</w:t>
            </w:r>
            <w:proofErr w:type="spellEnd"/>
            <w:r w:rsidRPr="00B45592">
              <w:rPr>
                <w:sz w:val="20"/>
                <w:szCs w:val="20"/>
              </w:rPr>
              <w:t xml:space="preserve"> […] the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B45592">
              <w:rPr>
                <w:sz w:val="20"/>
                <w:szCs w:val="20"/>
              </w:rPr>
              <w:t>“</w:t>
            </w:r>
            <w:r w:rsidRPr="005853E9">
              <w:rPr>
                <w:sz w:val="20"/>
                <w:szCs w:val="20"/>
                <w:vertAlign w:val="superscript"/>
              </w:rPr>
              <w:footnoteReference w:id="846"/>
            </w:r>
            <w:r w:rsidRPr="005853E9">
              <w:rPr>
                <w:sz w:val="20"/>
                <w:szCs w:val="20"/>
              </w:rPr>
              <w:t xml:space="preserve">), weil er </w:t>
            </w:r>
            <w:r>
              <w:rPr>
                <w:sz w:val="20"/>
                <w:szCs w:val="20"/>
              </w:rPr>
              <w:t>z.B.</w:t>
            </w:r>
            <w:r w:rsidRPr="005853E9">
              <w:rPr>
                <w:sz w:val="20"/>
                <w:szCs w:val="20"/>
              </w:rPr>
              <w:t xml:space="preserve"> den Verlust von Beschäftigungsmöglichkeiten oder Schulsuspendierung nach sich ziehe</w:t>
            </w:r>
            <w:r>
              <w:rPr>
                <w:sz w:val="20"/>
                <w:szCs w:val="20"/>
              </w:rPr>
              <w:t>n könne</w:t>
            </w:r>
            <w:r w:rsidRPr="005853E9">
              <w:rPr>
                <w:sz w:val="20"/>
                <w:szCs w:val="20"/>
              </w:rPr>
              <w:t xml:space="preserve"> (sog. „</w:t>
            </w:r>
            <w:proofErr w:type="spellStart"/>
            <w:r w:rsidRPr="005853E9">
              <w:rPr>
                <w:sz w:val="20"/>
                <w:szCs w:val="20"/>
              </w:rPr>
              <w:t>badge</w:t>
            </w:r>
            <w:proofErr w:type="spellEnd"/>
            <w:r w:rsidRPr="005853E9">
              <w:rPr>
                <w:sz w:val="20"/>
                <w:szCs w:val="20"/>
              </w:rPr>
              <w:t xml:space="preserve"> of </w:t>
            </w:r>
            <w:proofErr w:type="spellStart"/>
            <w:r w:rsidRPr="005853E9">
              <w:rPr>
                <w:sz w:val="20"/>
                <w:szCs w:val="20"/>
              </w:rPr>
              <w:t>infamy</w:t>
            </w:r>
            <w:proofErr w:type="spellEnd"/>
            <w:r w:rsidRPr="005853E9">
              <w:rPr>
                <w:sz w:val="20"/>
                <w:szCs w:val="20"/>
              </w:rPr>
              <w:t>“</w:t>
            </w:r>
            <w:r w:rsidRPr="005853E9">
              <w:rPr>
                <w:sz w:val="20"/>
                <w:szCs w:val="20"/>
                <w:vertAlign w:val="superscript"/>
              </w:rPr>
              <w:footnoteReference w:id="847"/>
            </w:r>
            <w:r w:rsidRPr="005853E9">
              <w:rPr>
                <w:sz w:val="20"/>
                <w:szCs w:val="20"/>
              </w:rPr>
              <w:t xml:space="preserve">). Dabei </w:t>
            </w:r>
            <w:r>
              <w:rPr>
                <w:sz w:val="20"/>
                <w:szCs w:val="20"/>
              </w:rPr>
              <w:t>falle</w:t>
            </w:r>
            <w:r w:rsidRPr="005853E9">
              <w:rPr>
                <w:sz w:val="20"/>
                <w:szCs w:val="20"/>
              </w:rPr>
              <w:t xml:space="preserve"> der Schutz des Geltungsanspruchs den Bundesstaaten zu, abgeleitet aus </w:t>
            </w:r>
            <w:r w:rsidR="00370142" w:rsidRPr="00370142">
              <w:rPr>
                <w:sz w:val="20"/>
                <w:szCs w:val="20"/>
              </w:rPr>
              <w:t xml:space="preserve">U.S. </w:t>
            </w:r>
            <w:proofErr w:type="spellStart"/>
            <w:r w:rsidR="00370142" w:rsidRPr="00370142">
              <w:rPr>
                <w:sz w:val="20"/>
                <w:szCs w:val="20"/>
              </w:rPr>
              <w:t>Const</w:t>
            </w:r>
            <w:proofErr w:type="spellEnd"/>
            <w:r w:rsidR="00370142" w:rsidRPr="00370142">
              <w:rPr>
                <w:sz w:val="20"/>
                <w:szCs w:val="20"/>
              </w:rPr>
              <w:t xml:space="preserve">. </w:t>
            </w:r>
            <w:proofErr w:type="spellStart"/>
            <w:r w:rsidR="00370142" w:rsidRPr="00370142">
              <w:rPr>
                <w:sz w:val="20"/>
                <w:szCs w:val="20"/>
              </w:rPr>
              <w:t>amend</w:t>
            </w:r>
            <w:proofErr w:type="spellEnd"/>
            <w:r w:rsidR="00370142" w:rsidRPr="00370142">
              <w:rPr>
                <w:sz w:val="20"/>
                <w:szCs w:val="20"/>
              </w:rPr>
              <w:t>. IX und X</w:t>
            </w:r>
            <w:r w:rsidRPr="005853E9">
              <w:rPr>
                <w:sz w:val="20"/>
                <w:szCs w:val="20"/>
              </w:rPr>
              <w:t>.</w:t>
            </w:r>
            <w:r w:rsidRPr="005853E9">
              <w:rPr>
                <w:sz w:val="20"/>
                <w:szCs w:val="20"/>
                <w:vertAlign w:val="superscript"/>
              </w:rPr>
              <w:footnoteReference w:id="848"/>
            </w:r>
            <w:r w:rsidRPr="005853E9">
              <w:rPr>
                <w:sz w:val="20"/>
                <w:szCs w:val="20"/>
              </w:rPr>
              <w:t xml:space="preserve"> Dadurch sei auch das Streben nach Glück </w:t>
            </w:r>
            <w:proofErr w:type="spellStart"/>
            <w:r w:rsidRPr="005853E9">
              <w:rPr>
                <w:sz w:val="20"/>
                <w:szCs w:val="20"/>
              </w:rPr>
              <w:t>mehrebig</w:t>
            </w:r>
            <w:proofErr w:type="spellEnd"/>
            <w:r w:rsidRPr="005853E9">
              <w:rPr>
                <w:sz w:val="20"/>
                <w:szCs w:val="20"/>
              </w:rPr>
              <w:t xml:space="preserve"> geschützt. Bei alldem spezifizierte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5853E9">
              <w:rPr>
                <w:sz w:val="20"/>
                <w:szCs w:val="20"/>
              </w:rPr>
              <w:t xml:space="preserve"> den Gedanken, Freiheits- oder Eigentumsinteressen, kumuliert als „</w:t>
            </w:r>
            <w:proofErr w:type="spellStart"/>
            <w:r w:rsidRPr="00B45592">
              <w:rPr>
                <w:sz w:val="20"/>
                <w:szCs w:val="20"/>
              </w:rPr>
              <w:t>constitutional</w:t>
            </w:r>
            <w:proofErr w:type="spellEnd"/>
            <w:r w:rsidRPr="00B45592">
              <w:rPr>
                <w:sz w:val="20"/>
                <w:szCs w:val="20"/>
              </w:rPr>
              <w:t xml:space="preserve"> </w:t>
            </w:r>
            <w:proofErr w:type="spellStart"/>
            <w:r w:rsidRPr="00B45592">
              <w:rPr>
                <w:sz w:val="20"/>
                <w:szCs w:val="20"/>
              </w:rPr>
              <w:t>zone</w:t>
            </w:r>
            <w:proofErr w:type="spellEnd"/>
            <w:r w:rsidRPr="00B45592">
              <w:rPr>
                <w:sz w:val="20"/>
                <w:szCs w:val="20"/>
              </w:rPr>
              <w:t xml:space="preserve"> of </w:t>
            </w:r>
            <w:proofErr w:type="spellStart"/>
            <w:r w:rsidRPr="00B45592">
              <w:rPr>
                <w:sz w:val="20"/>
                <w:szCs w:val="20"/>
              </w:rPr>
              <w:t>privacy</w:t>
            </w:r>
            <w:proofErr w:type="spellEnd"/>
            <w:r w:rsidRPr="005853E9">
              <w:rPr>
                <w:sz w:val="20"/>
                <w:szCs w:val="20"/>
              </w:rPr>
              <w:t>“</w:t>
            </w:r>
            <w:r>
              <w:rPr>
                <w:sz w:val="20"/>
                <w:szCs w:val="20"/>
              </w:rPr>
              <w:t>,</w:t>
            </w:r>
            <w:r w:rsidRPr="005853E9">
              <w:rPr>
                <w:sz w:val="20"/>
                <w:szCs w:val="20"/>
                <w:vertAlign w:val="superscript"/>
              </w:rPr>
              <w:footnoteReference w:id="849"/>
            </w:r>
            <w:r w:rsidRPr="005853E9">
              <w:rPr>
                <w:sz w:val="20"/>
                <w:szCs w:val="20"/>
              </w:rPr>
              <w:t xml:space="preserve"> seien nur dann geschützt, wenn sie eine Garantie der </w:t>
            </w:r>
            <w:r w:rsidRPr="5B67C1D2">
              <w:rPr>
                <w:i/>
                <w:iCs/>
                <w:sz w:val="20"/>
                <w:szCs w:val="20"/>
              </w:rPr>
              <w:t>Bill of Rights</w:t>
            </w:r>
            <w:r w:rsidRPr="005853E9">
              <w:rPr>
                <w:sz w:val="20"/>
                <w:szCs w:val="20"/>
              </w:rPr>
              <w:t xml:space="preserve"> erwähnt.</w:t>
            </w:r>
            <w:r w:rsidRPr="005853E9">
              <w:rPr>
                <w:sz w:val="20"/>
                <w:szCs w:val="20"/>
                <w:vertAlign w:val="superscript"/>
              </w:rPr>
              <w:footnoteReference w:id="850"/>
            </w:r>
            <w:r w:rsidRPr="005853E9">
              <w:rPr>
                <w:sz w:val="20"/>
                <w:szCs w:val="20"/>
              </w:rPr>
              <w:t xml:space="preserve"> Doch das sei unpräzise. Denn die </w:t>
            </w:r>
            <w:r>
              <w:rPr>
                <w:sz w:val="20"/>
                <w:szCs w:val="20"/>
              </w:rPr>
              <w:t>U.S.</w:t>
            </w:r>
            <w:r w:rsidRPr="005853E9">
              <w:rPr>
                <w:sz w:val="20"/>
                <w:szCs w:val="20"/>
              </w:rPr>
              <w:t xml:space="preserve"> </w:t>
            </w:r>
            <w:proofErr w:type="spellStart"/>
            <w:r w:rsidRPr="005853E9">
              <w:rPr>
                <w:sz w:val="20"/>
                <w:szCs w:val="20"/>
              </w:rPr>
              <w:t>Const</w:t>
            </w:r>
            <w:proofErr w:type="spellEnd"/>
            <w:r w:rsidRPr="005853E9">
              <w:rPr>
                <w:sz w:val="20"/>
                <w:szCs w:val="20"/>
              </w:rPr>
              <w:t xml:space="preserve">. definiere </w:t>
            </w:r>
            <w:r>
              <w:rPr>
                <w:sz w:val="20"/>
                <w:szCs w:val="20"/>
              </w:rPr>
              <w:t>z.B.</w:t>
            </w:r>
            <w:r w:rsidRPr="005853E9">
              <w:rPr>
                <w:sz w:val="20"/>
                <w:szCs w:val="20"/>
              </w:rPr>
              <w:t xml:space="preserve"> nicht alle Freiheitsinteressen, welche existieren. Sondern sie schütz</w:t>
            </w:r>
            <w:r>
              <w:rPr>
                <w:sz w:val="20"/>
                <w:szCs w:val="20"/>
              </w:rPr>
              <w:t>e</w:t>
            </w:r>
            <w:r w:rsidRPr="005853E9">
              <w:rPr>
                <w:sz w:val="20"/>
                <w:szCs w:val="20"/>
              </w:rPr>
              <w:t xml:space="preserve"> diese im Grunde existenten Interessen, v.a.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oder XIV</w:t>
            </w:r>
            <w:r w:rsidRPr="005853E9">
              <w:rPr>
                <w:sz w:val="20"/>
                <w:szCs w:val="20"/>
                <w:lang w:val="en-US"/>
              </w:rPr>
              <w:t xml:space="preserve"> („</w:t>
            </w:r>
            <w:r w:rsidRPr="00B45592">
              <w:rPr>
                <w:sz w:val="20"/>
                <w:szCs w:val="20"/>
                <w:lang w:val="en-US"/>
              </w:rPr>
              <w:t xml:space="preserve">the content </w:t>
            </w:r>
            <w:proofErr w:type="gramStart"/>
            <w:r w:rsidRPr="00B45592">
              <w:rPr>
                <w:sz w:val="20"/>
                <w:szCs w:val="20"/>
                <w:lang w:val="en-US"/>
              </w:rPr>
              <w:t xml:space="preserve">of </w:t>
            </w:r>
            <w:r>
              <w:rPr>
                <w:sz w:val="20"/>
                <w:szCs w:val="20"/>
                <w:lang w:val="en-US"/>
              </w:rPr>
              <w:t>,</w:t>
            </w:r>
            <w:r w:rsidRPr="00B45592">
              <w:rPr>
                <w:sz w:val="20"/>
                <w:szCs w:val="20"/>
                <w:lang w:val="en-US"/>
              </w:rPr>
              <w:t>liberty</w:t>
            </w:r>
            <w:proofErr w:type="gramEnd"/>
            <w:r>
              <w:rPr>
                <w:sz w:val="20"/>
                <w:szCs w:val="20"/>
                <w:lang w:val="en-US"/>
              </w:rPr>
              <w:t>‘</w:t>
            </w:r>
            <w:r w:rsidRPr="00B45592">
              <w:rPr>
                <w:sz w:val="20"/>
                <w:szCs w:val="20"/>
                <w:lang w:val="en-US"/>
              </w:rPr>
              <w:t xml:space="preserve"> […] has never been restricted to interests explicitly recognized by other provisions of the Bill of Rights</w:t>
            </w:r>
            <w:r w:rsidRPr="005853E9">
              <w:rPr>
                <w:sz w:val="20"/>
                <w:szCs w:val="20"/>
                <w:lang w:val="en-US"/>
              </w:rPr>
              <w:t>“</w:t>
            </w:r>
            <w:r w:rsidRPr="005853E9">
              <w:rPr>
                <w:sz w:val="20"/>
                <w:szCs w:val="20"/>
                <w:vertAlign w:val="superscript"/>
                <w:lang w:val="en-US"/>
              </w:rPr>
              <w:footnoteReference w:id="851"/>
            </w:r>
            <w:r w:rsidRPr="005853E9">
              <w:rPr>
                <w:sz w:val="20"/>
                <w:szCs w:val="20"/>
                <w:lang w:val="en-US"/>
              </w:rPr>
              <w:t xml:space="preserve">). </w:t>
            </w:r>
            <w:r>
              <w:rPr>
                <w:sz w:val="20"/>
                <w:szCs w:val="20"/>
              </w:rPr>
              <w:t>W</w:t>
            </w:r>
            <w:r w:rsidRPr="005853E9">
              <w:rPr>
                <w:sz w:val="20"/>
                <w:szCs w:val="20"/>
              </w:rPr>
              <w:t xml:space="preserve">as Freiheitsinteressen seien, richte zwar nach den Garantien in der </w:t>
            </w:r>
            <w:r w:rsidRPr="5B67C1D2">
              <w:rPr>
                <w:i/>
                <w:iCs/>
                <w:sz w:val="20"/>
                <w:szCs w:val="20"/>
              </w:rPr>
              <w:t>Bill of Rights</w:t>
            </w:r>
            <w:r w:rsidRPr="005853E9">
              <w:rPr>
                <w:sz w:val="20"/>
                <w:szCs w:val="20"/>
              </w:rPr>
              <w:t xml:space="preserve"> aus, aber entscheidend für die Existenz der Interessen („</w:t>
            </w:r>
            <w:proofErr w:type="spellStart"/>
            <w:r w:rsidRPr="005853E9">
              <w:rPr>
                <w:sz w:val="20"/>
                <w:szCs w:val="20"/>
              </w:rPr>
              <w:t>constitutional</w:t>
            </w:r>
            <w:proofErr w:type="spellEnd"/>
            <w:r w:rsidRPr="005853E9">
              <w:rPr>
                <w:sz w:val="20"/>
                <w:szCs w:val="20"/>
              </w:rPr>
              <w:t xml:space="preserve"> </w:t>
            </w:r>
            <w:proofErr w:type="spellStart"/>
            <w:r w:rsidRPr="005853E9">
              <w:rPr>
                <w:sz w:val="20"/>
                <w:szCs w:val="20"/>
              </w:rPr>
              <w:t>zone</w:t>
            </w:r>
            <w:proofErr w:type="spellEnd"/>
            <w:r w:rsidRPr="005853E9">
              <w:rPr>
                <w:sz w:val="20"/>
                <w:szCs w:val="20"/>
              </w:rPr>
              <w:t xml:space="preserve"> of </w:t>
            </w:r>
            <w:proofErr w:type="spellStart"/>
            <w:r w:rsidRPr="005853E9">
              <w:rPr>
                <w:sz w:val="20"/>
                <w:szCs w:val="20"/>
              </w:rPr>
              <w:t>privacy</w:t>
            </w:r>
            <w:proofErr w:type="spellEnd"/>
            <w:r w:rsidRPr="005853E9">
              <w:rPr>
                <w:sz w:val="20"/>
                <w:szCs w:val="20"/>
              </w:rPr>
              <w:t>“</w:t>
            </w:r>
            <w:r w:rsidRPr="005853E9">
              <w:rPr>
                <w:sz w:val="20"/>
                <w:szCs w:val="20"/>
                <w:vertAlign w:val="superscript"/>
              </w:rPr>
              <w:footnoteReference w:id="852"/>
            </w:r>
            <w:r w:rsidRPr="005853E9">
              <w:rPr>
                <w:sz w:val="20"/>
                <w:szCs w:val="20"/>
              </w:rPr>
              <w:t>) sei ergänzend, wie wesentlich sie für das geordnete Streben freier Menschen nach Glück sind.</w:t>
            </w:r>
            <w:r w:rsidRPr="005853E9">
              <w:rPr>
                <w:sz w:val="20"/>
                <w:szCs w:val="20"/>
                <w:vertAlign w:val="superscript"/>
              </w:rPr>
              <w:footnoteReference w:id="853"/>
            </w:r>
          </w:p>
          <w:p w14:paraId="5A8F6AD0" w14:textId="77777777" w:rsidR="00074551" w:rsidRPr="00E50B51" w:rsidRDefault="00074551" w:rsidP="00367133">
            <w:pPr>
              <w:jc w:val="both"/>
              <w:rPr>
                <w:sz w:val="20"/>
                <w:szCs w:val="20"/>
              </w:rPr>
            </w:pPr>
          </w:p>
        </w:tc>
      </w:tr>
      <w:tr w:rsidR="00074551" w:rsidRPr="00E50B51" w14:paraId="4E0AE88A" w14:textId="77777777" w:rsidTr="00BE689F">
        <w:trPr>
          <w:cantSplit/>
          <w:trHeight w:val="3175"/>
        </w:trPr>
        <w:tc>
          <w:tcPr>
            <w:tcW w:w="293" w:type="pct"/>
          </w:tcPr>
          <w:p w14:paraId="161B9BED"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C399C14" w14:textId="77777777" w:rsidR="00074551" w:rsidRPr="00E50B51" w:rsidRDefault="00074551" w:rsidP="00367133">
            <w:pPr>
              <w:ind w:left="113" w:right="416"/>
              <w:jc w:val="both"/>
              <w:rPr>
                <w:sz w:val="20"/>
                <w:szCs w:val="20"/>
                <w:lang w:val="en-US"/>
              </w:rPr>
            </w:pPr>
            <w:r w:rsidRPr="009E57E1">
              <w:rPr>
                <w:i/>
                <w:sz w:val="20"/>
                <w:szCs w:val="20"/>
                <w:lang w:val="en-US"/>
              </w:rPr>
              <w:t>Bd. of Regents of State Colleges v. Roth</w:t>
            </w:r>
          </w:p>
        </w:tc>
        <w:tc>
          <w:tcPr>
            <w:tcW w:w="197" w:type="pct"/>
            <w:textDirection w:val="tbRl"/>
            <w:vAlign w:val="center"/>
          </w:tcPr>
          <w:p w14:paraId="092581F6" w14:textId="77777777" w:rsidR="00074551" w:rsidRPr="00E50B51" w:rsidRDefault="00074551" w:rsidP="00367133">
            <w:pPr>
              <w:ind w:left="113" w:right="113"/>
              <w:jc w:val="both"/>
              <w:rPr>
                <w:sz w:val="20"/>
                <w:szCs w:val="20"/>
                <w:lang w:val="en-US"/>
              </w:rPr>
            </w:pPr>
            <w:r w:rsidRPr="00E50B51">
              <w:rPr>
                <w:sz w:val="20"/>
                <w:szCs w:val="20"/>
                <w:lang w:val="en-US"/>
              </w:rPr>
              <w:t>408 U.S. 564</w:t>
            </w:r>
          </w:p>
        </w:tc>
        <w:tc>
          <w:tcPr>
            <w:tcW w:w="306" w:type="pct"/>
            <w:textDirection w:val="tbRl"/>
            <w:vAlign w:val="center"/>
          </w:tcPr>
          <w:p w14:paraId="7EF773E9" w14:textId="77777777" w:rsidR="00074551" w:rsidRPr="00E50B51" w:rsidRDefault="00074551" w:rsidP="00367133">
            <w:pPr>
              <w:ind w:left="113" w:right="113"/>
              <w:jc w:val="both"/>
              <w:rPr>
                <w:sz w:val="20"/>
                <w:szCs w:val="20"/>
              </w:rPr>
            </w:pPr>
            <w:r w:rsidRPr="00E50B51">
              <w:rPr>
                <w:sz w:val="20"/>
                <w:szCs w:val="20"/>
                <w:lang w:val="en-US"/>
              </w:rPr>
              <w:t>19. Juni 1972</w:t>
            </w:r>
          </w:p>
        </w:tc>
        <w:tc>
          <w:tcPr>
            <w:tcW w:w="401" w:type="pct"/>
          </w:tcPr>
          <w:p w14:paraId="76269EAA"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53036130" w14:textId="7F54CD41" w:rsidR="00074551" w:rsidRPr="00E50B51" w:rsidRDefault="00074551" w:rsidP="00367133">
            <w:pPr>
              <w:jc w:val="both"/>
              <w:rPr>
                <w:sz w:val="20"/>
                <w:szCs w:val="20"/>
              </w:rPr>
            </w:pPr>
            <w:r w:rsidRPr="00E50B51">
              <w:rPr>
                <w:sz w:val="20"/>
                <w:szCs w:val="20"/>
              </w:rPr>
              <w:t xml:space="preserve">Im Fall urteilte der </w:t>
            </w:r>
            <w:r>
              <w:rPr>
                <w:sz w:val="20"/>
                <w:szCs w:val="20"/>
              </w:rPr>
              <w:t>U.S. Supreme Court</w:t>
            </w:r>
            <w:r w:rsidRPr="00E50B51">
              <w:rPr>
                <w:sz w:val="20"/>
                <w:szCs w:val="20"/>
              </w:rPr>
              <w:t>, dass ein verleumderisches Arbeitszeugnis für einen</w:t>
            </w:r>
            <w:r>
              <w:rPr>
                <w:sz w:val="20"/>
                <w:szCs w:val="20"/>
              </w:rPr>
              <w:t xml:space="preserve"> Angestellten im öffentlichen Dienst oder Beamten</w:t>
            </w:r>
            <w:r w:rsidRPr="00E50B51">
              <w:rPr>
                <w:sz w:val="20"/>
                <w:szCs w:val="20"/>
              </w:rPr>
              <w:t>, w</w:t>
            </w:r>
            <w:r>
              <w:rPr>
                <w:sz w:val="20"/>
                <w:szCs w:val="20"/>
              </w:rPr>
              <w:t xml:space="preserve">elche </w:t>
            </w:r>
            <w:r w:rsidRPr="00E50B51">
              <w:rPr>
                <w:sz w:val="20"/>
                <w:szCs w:val="20"/>
              </w:rPr>
              <w:t>eine weitere Beschäftigung hinder</w:t>
            </w:r>
            <w:r>
              <w:rPr>
                <w:sz w:val="20"/>
                <w:szCs w:val="20"/>
              </w:rPr>
              <w:t>n könne</w:t>
            </w:r>
            <w:r w:rsidRPr="00E50B51">
              <w:rPr>
                <w:sz w:val="20"/>
                <w:szCs w:val="20"/>
              </w:rPr>
              <w:t>, eine unerlaubte Handlung sei</w:t>
            </w:r>
            <w:r>
              <w:rPr>
                <w:sz w:val="20"/>
                <w:szCs w:val="20"/>
              </w:rPr>
              <w:t xml:space="preserve">. Aber ein solches Zeugnis sei </w:t>
            </w:r>
            <w:r w:rsidRPr="00E50B51">
              <w:rPr>
                <w:sz w:val="20"/>
                <w:szCs w:val="20"/>
              </w:rPr>
              <w:t xml:space="preserve">keine verfassungsrechtliche </w:t>
            </w:r>
            <w:proofErr w:type="spellStart"/>
            <w:r w:rsidRPr="00E50B51">
              <w:rPr>
                <w:sz w:val="20"/>
                <w:szCs w:val="20"/>
              </w:rPr>
              <w:t>Defamation</w:t>
            </w:r>
            <w:proofErr w:type="spellEnd"/>
            <w:r w:rsidRPr="00E50B51">
              <w:rPr>
                <w:sz w:val="20"/>
                <w:szCs w:val="20"/>
              </w:rPr>
              <w:t xml:space="preserve"> im Sinne </w:t>
            </w:r>
            <w:r>
              <w:rPr>
                <w:sz w:val="20"/>
                <w:szCs w:val="20"/>
              </w:rPr>
              <w:t xml:space="preserve">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proofErr w:type="gramStart"/>
            <w:r w:rsidRPr="00E50B51">
              <w:rPr>
                <w:sz w:val="20"/>
                <w:szCs w:val="20"/>
              </w:rPr>
              <w:t>Konkret</w:t>
            </w:r>
            <w:proofErr w:type="gramEnd"/>
            <w:r w:rsidRPr="00E50B51">
              <w:rPr>
                <w:sz w:val="20"/>
                <w:szCs w:val="20"/>
              </w:rPr>
              <w:t xml:space="preserve"> stellte die Wisconsin State University-Oshkosh einen Juniorprofessor namens Roth nach Ende seines Einjahresvertrags nicht erneut wieder ein</w:t>
            </w:r>
            <w:r>
              <w:rPr>
                <w:sz w:val="20"/>
                <w:szCs w:val="20"/>
              </w:rPr>
              <w:t xml:space="preserve"> und </w:t>
            </w:r>
            <w:r w:rsidRPr="00E50B51">
              <w:rPr>
                <w:sz w:val="20"/>
                <w:szCs w:val="20"/>
              </w:rPr>
              <w:t>nannte dafür keinen Grund</w:t>
            </w:r>
            <w:r>
              <w:rPr>
                <w:sz w:val="20"/>
                <w:szCs w:val="20"/>
              </w:rPr>
              <w:t>. Sie</w:t>
            </w:r>
            <w:r w:rsidRPr="00E50B51">
              <w:rPr>
                <w:sz w:val="20"/>
                <w:szCs w:val="20"/>
              </w:rPr>
              <w:t xml:space="preserve"> hörte Roth</w:t>
            </w:r>
            <w:r>
              <w:rPr>
                <w:sz w:val="20"/>
                <w:szCs w:val="20"/>
              </w:rPr>
              <w:t xml:space="preserve"> zudem</w:t>
            </w:r>
            <w:r w:rsidRPr="00E50B51">
              <w:rPr>
                <w:sz w:val="20"/>
                <w:szCs w:val="20"/>
              </w:rPr>
              <w:t xml:space="preserve"> nicht an.</w:t>
            </w:r>
            <w:r w:rsidRPr="5B67C1D2">
              <w:rPr>
                <w:rStyle w:val="Funotenzeichen"/>
                <w:rFonts w:eastAsiaTheme="majorEastAsia"/>
                <w:sz w:val="20"/>
                <w:szCs w:val="20"/>
              </w:rPr>
              <w:footnoteReference w:id="854"/>
            </w:r>
            <w:r w:rsidRPr="00E50B51">
              <w:rPr>
                <w:sz w:val="20"/>
                <w:szCs w:val="20"/>
              </w:rPr>
              <w:t xml:space="preserve"> </w:t>
            </w:r>
            <w:r>
              <w:rPr>
                <w:sz w:val="20"/>
                <w:szCs w:val="20"/>
              </w:rPr>
              <w:t>Und d</w:t>
            </w:r>
            <w:r w:rsidRPr="00E50B51">
              <w:rPr>
                <w:sz w:val="20"/>
                <w:szCs w:val="20"/>
              </w:rPr>
              <w:t xml:space="preserve">er </w:t>
            </w:r>
            <w:r>
              <w:rPr>
                <w:sz w:val="20"/>
                <w:szCs w:val="20"/>
              </w:rPr>
              <w:t>U.S. Supreme Court</w:t>
            </w:r>
            <w:r w:rsidRPr="00E50B51">
              <w:rPr>
                <w:sz w:val="20"/>
                <w:szCs w:val="20"/>
              </w:rPr>
              <w:t xml:space="preserve"> urteilte, Roth habe kein geschütztes Interesse daran, weiterbeschäftigt zu werden</w:t>
            </w:r>
            <w:r>
              <w:rPr>
                <w:sz w:val="20"/>
                <w:szCs w:val="20"/>
              </w:rPr>
              <w:t xml:space="preserve">. Denn er habe </w:t>
            </w:r>
            <w:r w:rsidRPr="00E50B51">
              <w:rPr>
                <w:sz w:val="20"/>
                <w:szCs w:val="20"/>
              </w:rPr>
              <w:t xml:space="preserve">seine Vertragslaufzeit erfüllt, diese </w:t>
            </w:r>
            <w:r>
              <w:rPr>
                <w:sz w:val="20"/>
                <w:szCs w:val="20"/>
              </w:rPr>
              <w:t xml:space="preserve">sei </w:t>
            </w:r>
            <w:r w:rsidRPr="00E50B51">
              <w:rPr>
                <w:sz w:val="20"/>
                <w:szCs w:val="20"/>
              </w:rPr>
              <w:t xml:space="preserve">beendet und daher </w:t>
            </w:r>
            <w:r>
              <w:rPr>
                <w:sz w:val="20"/>
                <w:szCs w:val="20"/>
              </w:rPr>
              <w:t xml:space="preserve">bestehe </w:t>
            </w:r>
            <w:r w:rsidRPr="00E50B51">
              <w:rPr>
                <w:sz w:val="20"/>
                <w:szCs w:val="20"/>
              </w:rPr>
              <w:t xml:space="preserve">kein weiterer Schutz auf ein ordnungsgemäßes Verfahren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mehr</w:t>
            </w:r>
            <w:r>
              <w:rPr>
                <w:sz w:val="20"/>
                <w:szCs w:val="20"/>
              </w:rPr>
              <w:t xml:space="preserve">, </w:t>
            </w:r>
            <w:r w:rsidRPr="00E50B51">
              <w:rPr>
                <w:sz w:val="20"/>
                <w:szCs w:val="20"/>
              </w:rPr>
              <w:t xml:space="preserve">wie </w:t>
            </w:r>
            <w:r>
              <w:rPr>
                <w:sz w:val="20"/>
                <w:szCs w:val="20"/>
              </w:rPr>
              <w:t>z.B.</w:t>
            </w:r>
            <w:r w:rsidRPr="00E50B51">
              <w:rPr>
                <w:sz w:val="20"/>
                <w:szCs w:val="20"/>
              </w:rPr>
              <w:t xml:space="preserve"> eine Anhörung vor </w:t>
            </w:r>
            <w:r w:rsidRPr="00006EEB">
              <w:rPr>
                <w:sz w:val="20"/>
                <w:szCs w:val="20"/>
              </w:rPr>
              <w:t>Vertragsablauf.</w:t>
            </w:r>
            <w:r w:rsidRPr="00006EEB">
              <w:rPr>
                <w:rStyle w:val="Funotenzeichen"/>
                <w:sz w:val="20"/>
                <w:szCs w:val="20"/>
              </w:rPr>
              <w:footnoteReference w:id="855"/>
            </w:r>
          </w:p>
          <w:p w14:paraId="43B452B1" w14:textId="77777777" w:rsidR="00074551" w:rsidRPr="00E50B51" w:rsidRDefault="00074551" w:rsidP="00367133">
            <w:pPr>
              <w:jc w:val="both"/>
              <w:rPr>
                <w:sz w:val="20"/>
                <w:szCs w:val="20"/>
              </w:rPr>
            </w:pPr>
          </w:p>
        </w:tc>
        <w:tc>
          <w:tcPr>
            <w:tcW w:w="1822" w:type="pct"/>
          </w:tcPr>
          <w:p w14:paraId="77D52B7C" w14:textId="1C30283E" w:rsidR="00074551" w:rsidRDefault="00074551" w:rsidP="00367133">
            <w:pPr>
              <w:jc w:val="both"/>
              <w:rPr>
                <w:sz w:val="20"/>
                <w:szCs w:val="20"/>
              </w:rPr>
            </w:pPr>
            <w:r w:rsidRPr="00E50B51">
              <w:rPr>
                <w:sz w:val="20"/>
                <w:szCs w:val="20"/>
              </w:rPr>
              <w:t xml:space="preserve">In </w:t>
            </w:r>
            <w:r w:rsidRPr="5B67C1D2">
              <w:rPr>
                <w:i/>
                <w:iCs/>
                <w:sz w:val="20"/>
                <w:szCs w:val="20"/>
              </w:rPr>
              <w:t xml:space="preserve">Bd. of </w:t>
            </w:r>
            <w:proofErr w:type="spellStart"/>
            <w:r w:rsidRPr="5B67C1D2">
              <w:rPr>
                <w:i/>
                <w:iCs/>
                <w:sz w:val="20"/>
                <w:szCs w:val="20"/>
              </w:rPr>
              <w:t>Regents</w:t>
            </w:r>
            <w:proofErr w:type="spellEnd"/>
            <w:r w:rsidRPr="5B67C1D2">
              <w:rPr>
                <w:i/>
                <w:iCs/>
                <w:sz w:val="20"/>
                <w:szCs w:val="20"/>
              </w:rPr>
              <w:t xml:space="preserve"> of State Colleges v. Roth</w:t>
            </w:r>
            <w:r>
              <w:rPr>
                <w:sz w:val="20"/>
                <w:szCs w:val="20"/>
              </w:rPr>
              <w:t xml:space="preserve">, wie in </w:t>
            </w:r>
            <w:r w:rsidRPr="5B67C1D2">
              <w:rPr>
                <w:i/>
                <w:iCs/>
                <w:sz w:val="20"/>
                <w:szCs w:val="20"/>
              </w:rPr>
              <w:t>Siegert v. Gilley</w:t>
            </w:r>
            <w:r>
              <w:rPr>
                <w:sz w:val="20"/>
                <w:szCs w:val="20"/>
              </w:rPr>
              <w:t xml:space="preserve">, </w:t>
            </w:r>
            <w:r w:rsidRPr="00E50B51">
              <w:rPr>
                <w:sz w:val="20"/>
                <w:szCs w:val="20"/>
              </w:rPr>
              <w:t xml:space="preserve">erklärte der Dissens </w:t>
            </w:r>
            <w:r>
              <w:rPr>
                <w:sz w:val="20"/>
                <w:szCs w:val="20"/>
              </w:rPr>
              <w:t xml:space="preserve">die </w:t>
            </w:r>
            <w:r w:rsidRPr="00E50B51">
              <w:rPr>
                <w:sz w:val="20"/>
                <w:szCs w:val="20"/>
              </w:rPr>
              <w:t>Teilrechte des Strebens nach Glück wie die Vertragsfreiheit oder die Berufsausübungsfreiheit</w:t>
            </w:r>
            <w:r>
              <w:rPr>
                <w:sz w:val="20"/>
                <w:szCs w:val="20"/>
              </w:rPr>
              <w:t> – </w:t>
            </w:r>
            <w:r w:rsidRPr="00E50B51">
              <w:rPr>
                <w:sz w:val="20"/>
                <w:szCs w:val="20"/>
              </w:rPr>
              <w:t>und wie weit der Staat den sozialen Geltungsanspruch einschränken könne</w:t>
            </w:r>
            <w:r>
              <w:rPr>
                <w:sz w:val="20"/>
                <w:szCs w:val="20"/>
              </w:rPr>
              <w:t>: nämlich</w:t>
            </w:r>
            <w:r w:rsidRPr="00E50B51">
              <w:rPr>
                <w:sz w:val="20"/>
                <w:szCs w:val="20"/>
              </w:rPr>
              <w:t xml:space="preserve"> bis zur Stigmatisierung.</w:t>
            </w:r>
            <w:r w:rsidRPr="5B67C1D2">
              <w:rPr>
                <w:rStyle w:val="Funotenzeichen"/>
                <w:rFonts w:eastAsiaTheme="majorEastAsia"/>
                <w:sz w:val="20"/>
                <w:szCs w:val="20"/>
              </w:rPr>
              <w:t xml:space="preserve"> </w:t>
            </w:r>
            <w:r w:rsidRPr="5B67C1D2">
              <w:rPr>
                <w:rStyle w:val="Funotenzeichen"/>
                <w:rFonts w:eastAsiaTheme="majorEastAsia"/>
                <w:sz w:val="20"/>
                <w:szCs w:val="20"/>
              </w:rPr>
              <w:footnoteReference w:id="856"/>
            </w:r>
            <w:r>
              <w:rPr>
                <w:sz w:val="20"/>
                <w:szCs w:val="20"/>
              </w:rPr>
              <w:t xml:space="preserve"> </w:t>
            </w:r>
            <w:r w:rsidRPr="00E50B51">
              <w:rPr>
                <w:sz w:val="20"/>
                <w:szCs w:val="20"/>
              </w:rPr>
              <w:t xml:space="preserve">Zum </w:t>
            </w:r>
            <w:proofErr w:type="spellStart"/>
            <w:r w:rsidRPr="5B67C1D2">
              <w:rPr>
                <w:i/>
                <w:iCs/>
                <w:sz w:val="20"/>
                <w:szCs w:val="20"/>
              </w:rPr>
              <w:t>pursuit</w:t>
            </w:r>
            <w:proofErr w:type="spellEnd"/>
            <w:r w:rsidRPr="5B67C1D2">
              <w:rPr>
                <w:i/>
                <w:iCs/>
                <w:sz w:val="20"/>
                <w:szCs w:val="20"/>
              </w:rPr>
              <w:t xml:space="preserve"> of Happiness</w:t>
            </w:r>
            <w:r w:rsidRPr="00E50B51">
              <w:rPr>
                <w:sz w:val="20"/>
                <w:szCs w:val="20"/>
              </w:rPr>
              <w:t xml:space="preserve"> füllt</w:t>
            </w:r>
            <w:r>
              <w:rPr>
                <w:sz w:val="20"/>
                <w:szCs w:val="20"/>
              </w:rPr>
              <w:t>e</w:t>
            </w:r>
            <w:r w:rsidRPr="00E50B51">
              <w:rPr>
                <w:sz w:val="20"/>
                <w:szCs w:val="20"/>
              </w:rPr>
              <w:t xml:space="preserve"> der Dissens </w:t>
            </w:r>
            <w:r>
              <w:rPr>
                <w:sz w:val="20"/>
                <w:szCs w:val="20"/>
              </w:rPr>
              <w:t xml:space="preserve">also </w:t>
            </w:r>
            <w:r w:rsidRPr="00E50B51">
              <w:rPr>
                <w:sz w:val="20"/>
                <w:szCs w:val="20"/>
              </w:rPr>
              <w:t xml:space="preserve">nicht nur die Worte </w:t>
            </w:r>
            <w:r>
              <w:rPr>
                <w:sz w:val="20"/>
                <w:szCs w:val="20"/>
              </w:rPr>
              <w:t>Freiheit und Eigentum</w:t>
            </w:r>
            <w:r w:rsidRPr="00E50B51">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mit Teilrechten</w:t>
            </w:r>
            <w:r>
              <w:rPr>
                <w:sz w:val="20"/>
                <w:szCs w:val="20"/>
              </w:rPr>
              <w:t xml:space="preserve"> auf</w:t>
            </w:r>
            <w:r w:rsidRPr="00E50B51">
              <w:rPr>
                <w:sz w:val="20"/>
                <w:szCs w:val="20"/>
              </w:rPr>
              <w:t>, die zu</w:t>
            </w:r>
            <w:r>
              <w:rPr>
                <w:sz w:val="20"/>
                <w:szCs w:val="20"/>
              </w:rPr>
              <w:t xml:space="preserve"> den Bedingungen des</w:t>
            </w:r>
            <w:r w:rsidRPr="00E50B51">
              <w:rPr>
                <w:sz w:val="20"/>
                <w:szCs w:val="20"/>
              </w:rPr>
              <w:t xml:space="preserve"> Glücksstreben</w:t>
            </w:r>
            <w:r>
              <w:rPr>
                <w:sz w:val="20"/>
                <w:szCs w:val="20"/>
              </w:rPr>
              <w:t>s</w:t>
            </w:r>
            <w:r w:rsidRPr="00E50B51">
              <w:rPr>
                <w:sz w:val="20"/>
                <w:szCs w:val="20"/>
              </w:rPr>
              <w:t xml:space="preserve"> gehören, wie </w:t>
            </w:r>
            <w:r>
              <w:rPr>
                <w:sz w:val="20"/>
                <w:szCs w:val="20"/>
              </w:rPr>
              <w:t xml:space="preserve">eben </w:t>
            </w:r>
            <w:r w:rsidRPr="00E50B51">
              <w:rPr>
                <w:sz w:val="20"/>
                <w:szCs w:val="20"/>
              </w:rPr>
              <w:t>die Vertragsfreiheit oder Berufsausübungsfreiheit.</w:t>
            </w:r>
            <w:r w:rsidRPr="5B67C1D2">
              <w:rPr>
                <w:rStyle w:val="Funotenzeichen"/>
                <w:rFonts w:eastAsiaTheme="majorEastAsia"/>
                <w:sz w:val="20"/>
                <w:szCs w:val="20"/>
              </w:rPr>
              <w:footnoteReference w:id="857"/>
            </w:r>
            <w:r w:rsidRPr="00E50B51">
              <w:rPr>
                <w:sz w:val="20"/>
                <w:szCs w:val="20"/>
              </w:rPr>
              <w:t xml:space="preserve"> Er erläuterte auch, dass eine </w:t>
            </w:r>
            <w:proofErr w:type="spellStart"/>
            <w:r w:rsidRPr="00E50B51">
              <w:rPr>
                <w:sz w:val="20"/>
                <w:szCs w:val="20"/>
              </w:rPr>
              <w:t>Defamation</w:t>
            </w:r>
            <w:proofErr w:type="spellEnd"/>
            <w:r w:rsidRPr="00E50B51">
              <w:rPr>
                <w:sz w:val="20"/>
                <w:szCs w:val="20"/>
              </w:rPr>
              <w:t xml:space="preserve"> erst vorläge und Freiheitsinteresse unangemessen eingeschränkt wären, wenn der Staat dem Individuum ein Stigma auferlege</w:t>
            </w:r>
            <w:r>
              <w:rPr>
                <w:sz w:val="20"/>
                <w:szCs w:val="20"/>
              </w:rPr>
              <w:t>, mit anderen Worten den Betreffenden derart</w:t>
            </w:r>
            <w:r w:rsidRPr="00E50B51">
              <w:rPr>
                <w:sz w:val="20"/>
                <w:szCs w:val="20"/>
              </w:rPr>
              <w:t xml:space="preserve"> behindere, dass er andere Beschäftigungsmöglichkeiten nicht wahrnehmen könne.</w:t>
            </w:r>
            <w:r w:rsidRPr="5B67C1D2">
              <w:rPr>
                <w:rStyle w:val="Funotenzeichen"/>
                <w:rFonts w:eastAsiaTheme="majorEastAsia"/>
                <w:sz w:val="20"/>
                <w:szCs w:val="20"/>
              </w:rPr>
              <w:footnoteReference w:id="858"/>
            </w:r>
          </w:p>
          <w:p w14:paraId="47F2366C" w14:textId="77777777" w:rsidR="00074551" w:rsidRDefault="00074551" w:rsidP="00367133">
            <w:pPr>
              <w:jc w:val="both"/>
              <w:rPr>
                <w:sz w:val="20"/>
                <w:szCs w:val="20"/>
              </w:rPr>
            </w:pPr>
          </w:p>
          <w:p w14:paraId="321EA92C" w14:textId="77777777" w:rsidR="00074551" w:rsidRDefault="00074551" w:rsidP="00367133">
            <w:pPr>
              <w:jc w:val="both"/>
              <w:rPr>
                <w:sz w:val="20"/>
                <w:szCs w:val="20"/>
              </w:rPr>
            </w:pPr>
          </w:p>
          <w:p w14:paraId="5D4CD1F4" w14:textId="77777777" w:rsidR="00074551" w:rsidRDefault="00074551" w:rsidP="00367133">
            <w:pPr>
              <w:jc w:val="both"/>
              <w:rPr>
                <w:sz w:val="20"/>
                <w:szCs w:val="20"/>
              </w:rPr>
            </w:pPr>
          </w:p>
          <w:p w14:paraId="671F56BA" w14:textId="77777777" w:rsidR="00074551" w:rsidRPr="00E50B51" w:rsidRDefault="00074551" w:rsidP="00367133">
            <w:pPr>
              <w:jc w:val="both"/>
              <w:rPr>
                <w:sz w:val="20"/>
                <w:szCs w:val="20"/>
              </w:rPr>
            </w:pPr>
          </w:p>
          <w:p w14:paraId="384F1CA6" w14:textId="77777777" w:rsidR="00074551" w:rsidRPr="00E50B51" w:rsidRDefault="00074551" w:rsidP="00367133">
            <w:pPr>
              <w:jc w:val="both"/>
              <w:rPr>
                <w:sz w:val="20"/>
                <w:szCs w:val="20"/>
              </w:rPr>
            </w:pPr>
          </w:p>
        </w:tc>
      </w:tr>
      <w:tr w:rsidR="00074551" w:rsidRPr="00E50B51" w14:paraId="3A403F6A" w14:textId="77777777" w:rsidTr="00BE689F">
        <w:trPr>
          <w:cantSplit/>
          <w:trHeight w:val="3175"/>
        </w:trPr>
        <w:tc>
          <w:tcPr>
            <w:tcW w:w="293" w:type="pct"/>
          </w:tcPr>
          <w:p w14:paraId="1387E6F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FB4CD6D" w14:textId="77777777" w:rsidR="00074551" w:rsidRPr="00E50B51" w:rsidRDefault="00074551" w:rsidP="00367133">
            <w:pPr>
              <w:ind w:left="113" w:right="416"/>
              <w:jc w:val="both"/>
              <w:rPr>
                <w:sz w:val="20"/>
                <w:szCs w:val="20"/>
                <w:lang w:val="en-US"/>
              </w:rPr>
            </w:pPr>
            <w:r w:rsidRPr="009E57E1">
              <w:rPr>
                <w:i/>
                <w:sz w:val="20"/>
                <w:szCs w:val="20"/>
              </w:rPr>
              <w:t>Stanley v. Georgia</w:t>
            </w:r>
          </w:p>
        </w:tc>
        <w:tc>
          <w:tcPr>
            <w:tcW w:w="197" w:type="pct"/>
            <w:textDirection w:val="tbRl"/>
            <w:vAlign w:val="center"/>
          </w:tcPr>
          <w:p w14:paraId="3639A8D0" w14:textId="77777777" w:rsidR="00074551" w:rsidRPr="00E50B51" w:rsidRDefault="00074551" w:rsidP="00367133">
            <w:pPr>
              <w:ind w:left="113" w:right="113"/>
              <w:jc w:val="both"/>
              <w:rPr>
                <w:sz w:val="20"/>
                <w:szCs w:val="20"/>
                <w:lang w:val="en-US"/>
              </w:rPr>
            </w:pPr>
            <w:r w:rsidRPr="00E50B51">
              <w:rPr>
                <w:sz w:val="20"/>
                <w:szCs w:val="20"/>
                <w:lang w:val="en-US"/>
              </w:rPr>
              <w:t>394 U.S. 557</w:t>
            </w:r>
          </w:p>
        </w:tc>
        <w:tc>
          <w:tcPr>
            <w:tcW w:w="306" w:type="pct"/>
            <w:textDirection w:val="tbRl"/>
            <w:vAlign w:val="center"/>
          </w:tcPr>
          <w:p w14:paraId="5D0E01B6" w14:textId="77777777" w:rsidR="00074551" w:rsidRPr="00E50B51" w:rsidRDefault="00074551" w:rsidP="00367133">
            <w:pPr>
              <w:ind w:left="113" w:right="113"/>
              <w:jc w:val="both"/>
              <w:rPr>
                <w:sz w:val="20"/>
                <w:szCs w:val="20"/>
              </w:rPr>
            </w:pPr>
            <w:r w:rsidRPr="00E50B51">
              <w:rPr>
                <w:sz w:val="20"/>
                <w:szCs w:val="20"/>
                <w:lang w:val="en-US"/>
              </w:rPr>
              <w:t>7. April 1969</w:t>
            </w:r>
          </w:p>
        </w:tc>
        <w:tc>
          <w:tcPr>
            <w:tcW w:w="401" w:type="pct"/>
          </w:tcPr>
          <w:p w14:paraId="7D648E43"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15B296CE" w14:textId="77777777" w:rsidR="00074551" w:rsidRPr="00E50B51" w:rsidRDefault="00074551" w:rsidP="00367133">
            <w:pPr>
              <w:jc w:val="both"/>
              <w:rPr>
                <w:sz w:val="20"/>
                <w:szCs w:val="20"/>
              </w:rPr>
            </w:pPr>
            <w:r w:rsidRPr="00E50B51">
              <w:rPr>
                <w:sz w:val="20"/>
                <w:szCs w:val="20"/>
              </w:rPr>
              <w:t xml:space="preserve">Im Fall stellte der </w:t>
            </w:r>
            <w:r>
              <w:rPr>
                <w:sz w:val="20"/>
                <w:szCs w:val="20"/>
              </w:rPr>
              <w:t>U.S. Supreme Court</w:t>
            </w:r>
            <w:r w:rsidRPr="00E50B51">
              <w:rPr>
                <w:sz w:val="20"/>
                <w:szCs w:val="20"/>
              </w:rPr>
              <w:t xml:space="preserve"> die Verfassungswidrigkeit ein</w:t>
            </w:r>
            <w:r>
              <w:rPr>
                <w:sz w:val="20"/>
                <w:szCs w:val="20"/>
              </w:rPr>
              <w:t>e</w:t>
            </w:r>
            <w:r w:rsidRPr="00E50B51">
              <w:rPr>
                <w:sz w:val="20"/>
                <w:szCs w:val="20"/>
              </w:rPr>
              <w:t>s Gesetzes fest</w:t>
            </w:r>
            <w:r>
              <w:rPr>
                <w:sz w:val="20"/>
                <w:szCs w:val="20"/>
              </w:rPr>
              <w:t>, hier § </w:t>
            </w:r>
            <w:r w:rsidRPr="00E80587">
              <w:rPr>
                <w:sz w:val="20"/>
                <w:szCs w:val="20"/>
              </w:rPr>
              <w:t>26-6301 des Ga. Code 1933</w:t>
            </w:r>
            <w:r>
              <w:rPr>
                <w:sz w:val="20"/>
                <w:szCs w:val="20"/>
              </w:rPr>
              <w:t>.</w:t>
            </w:r>
            <w:r>
              <w:rPr>
                <w:rStyle w:val="Funotenzeichen"/>
                <w:sz w:val="20"/>
                <w:szCs w:val="20"/>
              </w:rPr>
              <w:footnoteReference w:id="859"/>
            </w:r>
            <w:r w:rsidRPr="00E50B51">
              <w:rPr>
                <w:sz w:val="20"/>
                <w:szCs w:val="20"/>
              </w:rPr>
              <w:t xml:space="preserve"> Das Gesetz reg</w:t>
            </w:r>
            <w:r>
              <w:rPr>
                <w:sz w:val="20"/>
                <w:szCs w:val="20"/>
              </w:rPr>
              <w:t>elt</w:t>
            </w:r>
            <w:r w:rsidRPr="00E50B51">
              <w:rPr>
                <w:sz w:val="20"/>
                <w:szCs w:val="20"/>
              </w:rPr>
              <w:t>e, dass wissentlicher Besitz von obszönem Material eine Straftat darstelle. Solches fand die Polizei zufällig bei einer Durchsuchung</w:t>
            </w:r>
            <w:r>
              <w:rPr>
                <w:sz w:val="20"/>
                <w:szCs w:val="20"/>
              </w:rPr>
              <w:t>, w</w:t>
            </w:r>
            <w:r w:rsidRPr="00E50B51">
              <w:rPr>
                <w:sz w:val="20"/>
                <w:szCs w:val="20"/>
              </w:rPr>
              <w:t>oraufhin der Betroffene verurteilt wurde.</w:t>
            </w:r>
            <w:r>
              <w:rPr>
                <w:sz w:val="20"/>
                <w:szCs w:val="20"/>
              </w:rPr>
              <w:t xml:space="preserve"> Das sei indes verfassungswidrig.</w:t>
            </w:r>
            <w:r w:rsidRPr="5B67C1D2">
              <w:rPr>
                <w:rStyle w:val="Funotenzeichen"/>
                <w:rFonts w:eastAsiaTheme="majorEastAsia"/>
                <w:sz w:val="20"/>
                <w:szCs w:val="20"/>
              </w:rPr>
              <w:footnoteReference w:id="860"/>
            </w:r>
          </w:p>
          <w:p w14:paraId="7F50170D" w14:textId="77777777" w:rsidR="00074551" w:rsidRPr="00E50B51" w:rsidRDefault="00074551" w:rsidP="00367133">
            <w:pPr>
              <w:jc w:val="both"/>
              <w:rPr>
                <w:sz w:val="20"/>
                <w:szCs w:val="20"/>
              </w:rPr>
            </w:pPr>
          </w:p>
        </w:tc>
        <w:tc>
          <w:tcPr>
            <w:tcW w:w="1822" w:type="pct"/>
          </w:tcPr>
          <w:p w14:paraId="3E915318" w14:textId="77777777" w:rsidR="00074551" w:rsidRDefault="00074551" w:rsidP="00367133">
            <w:pPr>
              <w:jc w:val="both"/>
              <w:rPr>
                <w:sz w:val="20"/>
                <w:szCs w:val="20"/>
              </w:rPr>
            </w:pPr>
            <w:r w:rsidRPr="00EF1C19">
              <w:rPr>
                <w:sz w:val="20"/>
                <w:szCs w:val="20"/>
              </w:rPr>
              <w:t xml:space="preserve">In </w:t>
            </w:r>
            <w:r w:rsidRPr="5B67C1D2">
              <w:rPr>
                <w:i/>
                <w:iCs/>
                <w:sz w:val="20"/>
                <w:szCs w:val="20"/>
              </w:rPr>
              <w:t>Stanley v. Georgia</w:t>
            </w:r>
            <w:r w:rsidRPr="00EF1C19">
              <w:rPr>
                <w:sz w:val="20"/>
                <w:szCs w:val="20"/>
              </w:rPr>
              <w:t xml:space="preserve"> </w:t>
            </w:r>
            <w:r w:rsidRPr="00EF1C19">
              <w:rPr>
                <w:sz w:val="20"/>
                <w:szCs w:val="20"/>
                <w:vertAlign w:val="superscript"/>
              </w:rPr>
              <w:footnoteReference w:id="861"/>
            </w:r>
            <w:r w:rsidRPr="00EF1C19">
              <w:rPr>
                <w:sz w:val="20"/>
                <w:szCs w:val="20"/>
              </w:rPr>
              <w:t xml:space="preserve"> erklärt der </w:t>
            </w:r>
            <w:r>
              <w:rPr>
                <w:sz w:val="20"/>
                <w:szCs w:val="20"/>
              </w:rPr>
              <w:t>U.S. Supreme Court</w:t>
            </w:r>
            <w:r w:rsidRPr="00EF1C19">
              <w:rPr>
                <w:sz w:val="20"/>
                <w:szCs w:val="20"/>
              </w:rPr>
              <w:t xml:space="preserve">, wie weit die Bedingungen des Strebens nach Glück reichen, und zwar anhand einer Bedingung: dem Recht, </w:t>
            </w:r>
            <w:r>
              <w:rPr>
                <w:sz w:val="20"/>
                <w:szCs w:val="20"/>
              </w:rPr>
              <w:t>in Ruhe</w:t>
            </w:r>
            <w:r w:rsidRPr="00EF1C19">
              <w:rPr>
                <w:sz w:val="20"/>
                <w:szCs w:val="20"/>
              </w:rPr>
              <w:t xml:space="preserve"> gelassen zu werden („the </w:t>
            </w:r>
            <w:proofErr w:type="spellStart"/>
            <w:r w:rsidRPr="00EF1C19">
              <w:rPr>
                <w:sz w:val="20"/>
                <w:szCs w:val="20"/>
              </w:rPr>
              <w:t>right</w:t>
            </w:r>
            <w:proofErr w:type="spellEnd"/>
            <w:r w:rsidRPr="00EF1C19">
              <w:rPr>
                <w:sz w:val="20"/>
                <w:szCs w:val="20"/>
              </w:rPr>
              <w:t xml:space="preserve"> to </w:t>
            </w:r>
            <w:proofErr w:type="spellStart"/>
            <w:r w:rsidRPr="00EF1C19">
              <w:rPr>
                <w:sz w:val="20"/>
                <w:szCs w:val="20"/>
              </w:rPr>
              <w:t>be</w:t>
            </w:r>
            <w:proofErr w:type="spellEnd"/>
            <w:r w:rsidRPr="00EF1C19">
              <w:rPr>
                <w:sz w:val="20"/>
                <w:szCs w:val="20"/>
              </w:rPr>
              <w:t xml:space="preserve"> </w:t>
            </w:r>
            <w:proofErr w:type="spellStart"/>
            <w:r w:rsidRPr="00EF1C19">
              <w:rPr>
                <w:sz w:val="20"/>
                <w:szCs w:val="20"/>
              </w:rPr>
              <w:t>let</w:t>
            </w:r>
            <w:proofErr w:type="spellEnd"/>
            <w:r w:rsidRPr="00EF1C19">
              <w:rPr>
                <w:sz w:val="20"/>
                <w:szCs w:val="20"/>
              </w:rPr>
              <w:t xml:space="preserve"> </w:t>
            </w:r>
            <w:proofErr w:type="spellStart"/>
            <w:r w:rsidRPr="00EF1C19">
              <w:rPr>
                <w:sz w:val="20"/>
                <w:szCs w:val="20"/>
              </w:rPr>
              <w:t>alone</w:t>
            </w:r>
            <w:proofErr w:type="spellEnd"/>
            <w:r w:rsidRPr="00EF1C19">
              <w:rPr>
                <w:sz w:val="20"/>
                <w:szCs w:val="20"/>
              </w:rPr>
              <w:t>“</w:t>
            </w:r>
            <w:r w:rsidRPr="00EF1C19">
              <w:rPr>
                <w:sz w:val="20"/>
                <w:szCs w:val="20"/>
                <w:vertAlign w:val="superscript"/>
              </w:rPr>
              <w:footnoteReference w:id="862"/>
            </w:r>
            <w:r w:rsidRPr="00EF1C19">
              <w:rPr>
                <w:sz w:val="20"/>
                <w:szCs w:val="20"/>
              </w:rPr>
              <w:t xml:space="preserve">) – letzteres ergibt sich aus einer gefestigten Rechtsprechungsreihe: </w:t>
            </w:r>
            <w:r w:rsidRPr="5B67C1D2">
              <w:rPr>
                <w:i/>
                <w:iCs/>
                <w:sz w:val="20"/>
                <w:szCs w:val="20"/>
              </w:rPr>
              <w:t>Olmstead v. United States</w:t>
            </w:r>
            <w:r w:rsidRPr="00EF1C19">
              <w:rPr>
                <w:sz w:val="20"/>
                <w:szCs w:val="20"/>
              </w:rPr>
              <w:t xml:space="preserve">, </w:t>
            </w:r>
            <w:r w:rsidRPr="5B67C1D2">
              <w:rPr>
                <w:i/>
                <w:iCs/>
                <w:sz w:val="20"/>
                <w:szCs w:val="20"/>
              </w:rPr>
              <w:t>Griswold v. Connecticut</w:t>
            </w:r>
            <w:r w:rsidRPr="00EF1C19">
              <w:rPr>
                <w:sz w:val="20"/>
                <w:szCs w:val="20"/>
              </w:rPr>
              <w:t xml:space="preserve">, </w:t>
            </w:r>
            <w:r w:rsidRPr="5B67C1D2">
              <w:rPr>
                <w:i/>
                <w:iCs/>
                <w:sz w:val="20"/>
                <w:szCs w:val="20"/>
              </w:rPr>
              <w:t>NAACP v. Alabama</w:t>
            </w:r>
            <w:r w:rsidRPr="00EF1C19">
              <w:rPr>
                <w:sz w:val="20"/>
                <w:szCs w:val="20"/>
              </w:rPr>
              <w:t xml:space="preserve">, </w:t>
            </w:r>
            <w:r w:rsidRPr="5B67C1D2">
              <w:rPr>
                <w:i/>
                <w:iCs/>
                <w:sz w:val="20"/>
                <w:szCs w:val="20"/>
              </w:rPr>
              <w:t>Stanley v. Georgia</w:t>
            </w:r>
            <w:r w:rsidRPr="00EF1C19">
              <w:rPr>
                <w:sz w:val="20"/>
                <w:szCs w:val="20"/>
              </w:rPr>
              <w:t>.</w:t>
            </w:r>
            <w:r w:rsidRPr="5B67C1D2">
              <w:rPr>
                <w:i/>
                <w:iCs/>
                <w:sz w:val="20"/>
                <w:szCs w:val="20"/>
                <w:vertAlign w:val="superscript"/>
              </w:rPr>
              <w:t xml:space="preserve"> </w:t>
            </w:r>
            <w:r w:rsidRPr="5B67C1D2">
              <w:rPr>
                <w:sz w:val="20"/>
                <w:szCs w:val="20"/>
                <w:vertAlign w:val="superscript"/>
              </w:rPr>
              <w:footnoteReference w:id="863"/>
            </w:r>
            <w:r w:rsidRPr="00EF1C19">
              <w:rPr>
                <w:sz w:val="20"/>
                <w:szCs w:val="20"/>
              </w:rPr>
              <w:t xml:space="preserve"> Es ermögliche jedem</w:t>
            </w:r>
            <w:r>
              <w:rPr>
                <w:sz w:val="20"/>
                <w:szCs w:val="20"/>
              </w:rPr>
              <w:t>,</w:t>
            </w:r>
            <w:r w:rsidRPr="00EF1C19">
              <w:rPr>
                <w:sz w:val="20"/>
                <w:szCs w:val="20"/>
              </w:rPr>
              <w:t xml:space="preserve"> einerseits jedwede Information in seiner Wohnung zu konsumieren – unabhängig</w:t>
            </w:r>
            <w:r>
              <w:rPr>
                <w:sz w:val="20"/>
                <w:szCs w:val="20"/>
              </w:rPr>
              <w:t xml:space="preserve"> von</w:t>
            </w:r>
            <w:r w:rsidRPr="00EF1C19">
              <w:rPr>
                <w:sz w:val="20"/>
                <w:szCs w:val="20"/>
              </w:rPr>
              <w:t xml:space="preserve"> ihrer Moralität</w:t>
            </w:r>
            <w:r>
              <w:rPr>
                <w:sz w:val="20"/>
                <w:szCs w:val="20"/>
              </w:rPr>
              <w:t> –</w:t>
            </w:r>
            <w:r w:rsidRPr="00EF1C19">
              <w:rPr>
                <w:sz w:val="20"/>
                <w:szCs w:val="20"/>
              </w:rPr>
              <w:t xml:space="preserve"> und andererseits für obszönes Material nicht diffamiert zu werden, </w:t>
            </w:r>
            <w:r>
              <w:rPr>
                <w:sz w:val="20"/>
                <w:szCs w:val="20"/>
              </w:rPr>
              <w:t>z.B.</w:t>
            </w:r>
            <w:r w:rsidRPr="00EF1C19">
              <w:rPr>
                <w:sz w:val="20"/>
                <w:szCs w:val="20"/>
              </w:rPr>
              <w:t xml:space="preserve"> durch ein Urteil. </w:t>
            </w:r>
            <w:r w:rsidRPr="00F94158">
              <w:rPr>
                <w:sz w:val="20"/>
                <w:szCs w:val="20"/>
                <w:lang w:val="en-IE"/>
              </w:rPr>
              <w:t xml:space="preserve">Zum </w:t>
            </w:r>
            <w:r w:rsidRPr="5B67C1D2">
              <w:rPr>
                <w:i/>
                <w:iCs/>
                <w:sz w:val="20"/>
                <w:szCs w:val="20"/>
                <w:lang w:val="en-IE"/>
              </w:rPr>
              <w:t>pursuit of Happiness</w:t>
            </w:r>
            <w:r w:rsidRPr="00F94158">
              <w:rPr>
                <w:sz w:val="20"/>
                <w:szCs w:val="20"/>
                <w:lang w:val="en-IE"/>
              </w:rPr>
              <w:t xml:space="preserve"> </w:t>
            </w:r>
            <w:proofErr w:type="spellStart"/>
            <w:r w:rsidRPr="00F94158">
              <w:rPr>
                <w:sz w:val="20"/>
                <w:szCs w:val="20"/>
                <w:lang w:val="en-IE"/>
              </w:rPr>
              <w:t>erklärt</w:t>
            </w:r>
            <w:proofErr w:type="spellEnd"/>
            <w:r w:rsidRPr="00F94158">
              <w:rPr>
                <w:sz w:val="20"/>
                <w:szCs w:val="20"/>
                <w:lang w:val="en-IE"/>
              </w:rPr>
              <w:t xml:space="preserve"> der U.S. Supreme Court </w:t>
            </w:r>
            <w:proofErr w:type="spellStart"/>
            <w:r w:rsidRPr="00F94158">
              <w:rPr>
                <w:sz w:val="20"/>
                <w:szCs w:val="20"/>
                <w:lang w:val="en-IE"/>
              </w:rPr>
              <w:t>zunächst</w:t>
            </w:r>
            <w:proofErr w:type="spellEnd"/>
            <w:r w:rsidRPr="00F94158">
              <w:rPr>
                <w:sz w:val="20"/>
                <w:szCs w:val="20"/>
                <w:lang w:val="en-IE"/>
              </w:rPr>
              <w:t xml:space="preserve"> die </w:t>
            </w:r>
            <w:proofErr w:type="spellStart"/>
            <w:r w:rsidRPr="00F94158">
              <w:rPr>
                <w:sz w:val="20"/>
                <w:szCs w:val="20"/>
                <w:lang w:val="en-IE"/>
              </w:rPr>
              <w:t>Bedingungen</w:t>
            </w:r>
            <w:proofErr w:type="spellEnd"/>
            <w:r w:rsidRPr="00F94158">
              <w:rPr>
                <w:sz w:val="20"/>
                <w:szCs w:val="20"/>
                <w:lang w:val="en-IE"/>
              </w:rPr>
              <w:t xml:space="preserve">, die </w:t>
            </w:r>
            <w:proofErr w:type="spellStart"/>
            <w:r w:rsidRPr="00F94158">
              <w:rPr>
                <w:sz w:val="20"/>
                <w:szCs w:val="20"/>
                <w:lang w:val="en-IE"/>
              </w:rPr>
              <w:t>die</w:t>
            </w:r>
            <w:proofErr w:type="spellEnd"/>
            <w:r w:rsidRPr="00F94158">
              <w:rPr>
                <w:sz w:val="20"/>
                <w:szCs w:val="20"/>
                <w:lang w:val="en-IE"/>
              </w:rPr>
              <w:t xml:space="preserve"> U.S. Const. </w:t>
            </w:r>
            <w:proofErr w:type="spellStart"/>
            <w:r w:rsidRPr="00B45592">
              <w:rPr>
                <w:sz w:val="20"/>
                <w:szCs w:val="20"/>
                <w:lang w:val="en-IE"/>
              </w:rPr>
              <w:t>vorgibt</w:t>
            </w:r>
            <w:proofErr w:type="spellEnd"/>
            <w:r w:rsidRPr="00B45592">
              <w:rPr>
                <w:sz w:val="20"/>
                <w:szCs w:val="20"/>
                <w:lang w:val="en-IE"/>
              </w:rPr>
              <w:t xml:space="preserve">, um das </w:t>
            </w:r>
            <w:proofErr w:type="spellStart"/>
            <w:r w:rsidRPr="00B45592">
              <w:rPr>
                <w:sz w:val="20"/>
                <w:szCs w:val="20"/>
                <w:lang w:val="en-IE"/>
              </w:rPr>
              <w:t>Streben</w:t>
            </w:r>
            <w:proofErr w:type="spellEnd"/>
            <w:r w:rsidRPr="00B45592">
              <w:rPr>
                <w:sz w:val="20"/>
                <w:szCs w:val="20"/>
                <w:lang w:val="en-IE"/>
              </w:rPr>
              <w:t xml:space="preserve"> </w:t>
            </w:r>
            <w:proofErr w:type="spellStart"/>
            <w:r w:rsidRPr="00B45592">
              <w:rPr>
                <w:sz w:val="20"/>
                <w:szCs w:val="20"/>
                <w:lang w:val="en-IE"/>
              </w:rPr>
              <w:t>nach</w:t>
            </w:r>
            <w:proofErr w:type="spellEnd"/>
            <w:r w:rsidRPr="00B45592">
              <w:rPr>
                <w:sz w:val="20"/>
                <w:szCs w:val="20"/>
                <w:lang w:val="en-IE"/>
              </w:rPr>
              <w:t xml:space="preserve"> Glück </w:t>
            </w:r>
            <w:proofErr w:type="spellStart"/>
            <w:r w:rsidRPr="00B45592">
              <w:rPr>
                <w:sz w:val="20"/>
                <w:szCs w:val="20"/>
                <w:lang w:val="en-IE"/>
              </w:rPr>
              <w:t>zu</w:t>
            </w:r>
            <w:proofErr w:type="spellEnd"/>
            <w:r w:rsidRPr="00B45592">
              <w:rPr>
                <w:sz w:val="20"/>
                <w:szCs w:val="20"/>
                <w:lang w:val="en-IE"/>
              </w:rPr>
              <w:t xml:space="preserve"> </w:t>
            </w:r>
            <w:proofErr w:type="spellStart"/>
            <w:r w:rsidRPr="00B45592">
              <w:rPr>
                <w:sz w:val="20"/>
                <w:szCs w:val="20"/>
                <w:lang w:val="en-IE"/>
              </w:rPr>
              <w:t>fördern</w:t>
            </w:r>
            <w:proofErr w:type="spellEnd"/>
            <w:r w:rsidRPr="00B45592">
              <w:rPr>
                <w:sz w:val="20"/>
                <w:szCs w:val="20"/>
                <w:lang w:val="en-IE"/>
              </w:rPr>
              <w:t xml:space="preserve"> („The makers of our Constitution undertook to secure conditions </w:t>
            </w:r>
            <w:proofErr w:type="spellStart"/>
            <w:r w:rsidRPr="00B45592">
              <w:rPr>
                <w:sz w:val="20"/>
                <w:szCs w:val="20"/>
                <w:lang w:val="en-IE"/>
              </w:rPr>
              <w:t>favorable</w:t>
            </w:r>
            <w:proofErr w:type="spellEnd"/>
            <w:r w:rsidRPr="00B45592">
              <w:rPr>
                <w:sz w:val="20"/>
                <w:szCs w:val="20"/>
                <w:lang w:val="en-IE"/>
              </w:rPr>
              <w:t xml:space="preserve"> to the pursuit of happiness“</w:t>
            </w:r>
            <w:r w:rsidRPr="00EF1C19">
              <w:rPr>
                <w:sz w:val="20"/>
                <w:szCs w:val="20"/>
                <w:vertAlign w:val="superscript"/>
              </w:rPr>
              <w:footnoteReference w:id="864"/>
            </w:r>
            <w:r w:rsidRPr="00B45592">
              <w:rPr>
                <w:sz w:val="20"/>
                <w:szCs w:val="20"/>
                <w:lang w:val="en-IE"/>
              </w:rPr>
              <w:t xml:space="preserve">). </w:t>
            </w:r>
            <w:r w:rsidRPr="00EF1C19">
              <w:rPr>
                <w:sz w:val="20"/>
                <w:szCs w:val="20"/>
              </w:rPr>
              <w:t xml:space="preserve">Eine Bedingung sei das Recht, </w:t>
            </w:r>
            <w:r>
              <w:rPr>
                <w:sz w:val="20"/>
                <w:szCs w:val="20"/>
              </w:rPr>
              <w:t>in Ruhe</w:t>
            </w:r>
            <w:r w:rsidRPr="00EF1C19">
              <w:rPr>
                <w:sz w:val="20"/>
                <w:szCs w:val="20"/>
              </w:rPr>
              <w:t xml:space="preserve"> gelassen zu werden. Dieses in </w:t>
            </w:r>
            <w:r w:rsidRPr="5B67C1D2">
              <w:rPr>
                <w:i/>
                <w:iCs/>
                <w:sz w:val="20"/>
                <w:szCs w:val="20"/>
              </w:rPr>
              <w:t>Olmstead v. United States</w:t>
            </w:r>
            <w:r w:rsidRPr="00EF1C19">
              <w:rPr>
                <w:sz w:val="20"/>
                <w:szCs w:val="20"/>
                <w:vertAlign w:val="superscript"/>
              </w:rPr>
              <w:footnoteReference w:id="865"/>
            </w:r>
            <w:r w:rsidRPr="00EF1C19">
              <w:rPr>
                <w:sz w:val="20"/>
                <w:szCs w:val="20"/>
              </w:rPr>
              <w:t xml:space="preserve"> begründete Recht </w:t>
            </w:r>
            <w:r>
              <w:rPr>
                <w:sz w:val="20"/>
                <w:szCs w:val="20"/>
              </w:rPr>
              <w:t>auf Privatsphäre</w:t>
            </w:r>
            <w:r w:rsidRPr="00EF1C19">
              <w:rPr>
                <w:sz w:val="20"/>
                <w:szCs w:val="20"/>
              </w:rPr>
              <w:t xml:space="preserve"> (</w:t>
            </w:r>
            <w:r w:rsidRPr="5B67C1D2">
              <w:rPr>
                <w:i/>
                <w:iCs/>
                <w:sz w:val="20"/>
                <w:szCs w:val="20"/>
              </w:rPr>
              <w:t>Right to Privacy</w:t>
            </w:r>
            <w:r w:rsidRPr="5B67C1D2">
              <w:rPr>
                <w:i/>
                <w:iCs/>
                <w:sz w:val="20"/>
                <w:szCs w:val="20"/>
                <w:vertAlign w:val="superscript"/>
              </w:rPr>
              <w:footnoteReference w:id="866"/>
            </w:r>
            <w:r w:rsidRPr="00EF1C19">
              <w:rPr>
                <w:sz w:val="20"/>
                <w:szCs w:val="20"/>
              </w:rPr>
              <w:t xml:space="preserve">) bestätigt </w:t>
            </w:r>
            <w:r w:rsidRPr="5B67C1D2">
              <w:rPr>
                <w:i/>
                <w:iCs/>
                <w:sz w:val="20"/>
                <w:szCs w:val="20"/>
              </w:rPr>
              <w:t>Stanley v. Georgia</w:t>
            </w:r>
            <w:r w:rsidRPr="00EF1C19">
              <w:rPr>
                <w:sz w:val="20"/>
                <w:szCs w:val="20"/>
              </w:rPr>
              <w:t>.</w:t>
            </w:r>
            <w:r w:rsidRPr="00EF1C19">
              <w:rPr>
                <w:sz w:val="20"/>
                <w:szCs w:val="20"/>
                <w:vertAlign w:val="superscript"/>
              </w:rPr>
              <w:footnoteReference w:id="867"/>
            </w:r>
            <w:r w:rsidRPr="00EF1C19">
              <w:rPr>
                <w:sz w:val="20"/>
                <w:szCs w:val="20"/>
              </w:rPr>
              <w:t xml:space="preserve"> </w:t>
            </w:r>
            <w:r>
              <w:rPr>
                <w:sz w:val="20"/>
                <w:szCs w:val="20"/>
              </w:rPr>
              <w:t>Ein Teilelement davon sei</w:t>
            </w:r>
            <w:r w:rsidRPr="00EF1C19">
              <w:rPr>
                <w:sz w:val="20"/>
                <w:szCs w:val="20"/>
              </w:rPr>
              <w:t xml:space="preserve"> die Meinungs- und Pressefreiheit, die wiederum das Recht auf Empfang von Informationen gegen staatliche Eingriffe schütze – und zwar unabhängig </w:t>
            </w:r>
            <w:r>
              <w:rPr>
                <w:sz w:val="20"/>
                <w:szCs w:val="20"/>
              </w:rPr>
              <w:t>von ihrem</w:t>
            </w:r>
            <w:r w:rsidRPr="00EF1C19">
              <w:rPr>
                <w:sz w:val="20"/>
                <w:szCs w:val="20"/>
              </w:rPr>
              <w:t xml:space="preserve"> Informationsgehalt oder </w:t>
            </w:r>
            <w:r>
              <w:rPr>
                <w:sz w:val="20"/>
                <w:szCs w:val="20"/>
              </w:rPr>
              <w:t>ihrer</w:t>
            </w:r>
            <w:r w:rsidRPr="00EF1C19">
              <w:rPr>
                <w:sz w:val="20"/>
                <w:szCs w:val="20"/>
              </w:rPr>
              <w:t xml:space="preserve"> moralischen Verwerflichkeit.</w:t>
            </w:r>
            <w:r w:rsidRPr="00EF1C19">
              <w:rPr>
                <w:sz w:val="20"/>
                <w:szCs w:val="20"/>
                <w:vertAlign w:val="superscript"/>
              </w:rPr>
              <w:footnoteReference w:id="868"/>
            </w:r>
            <w:r w:rsidRPr="00EF1C19">
              <w:rPr>
                <w:sz w:val="20"/>
                <w:szCs w:val="20"/>
              </w:rPr>
              <w:t xml:space="preserve"> I</w:t>
            </w:r>
            <w:r>
              <w:rPr>
                <w:sz w:val="20"/>
                <w:szCs w:val="20"/>
              </w:rPr>
              <w:t xml:space="preserve">m </w:t>
            </w:r>
            <w:r w:rsidRPr="00EF1C19">
              <w:rPr>
                <w:sz w:val="20"/>
                <w:szCs w:val="20"/>
              </w:rPr>
              <w:t xml:space="preserve">Fall </w:t>
            </w:r>
            <w:r>
              <w:rPr>
                <w:sz w:val="20"/>
                <w:szCs w:val="20"/>
              </w:rPr>
              <w:t>z.B.</w:t>
            </w:r>
            <w:r w:rsidRPr="00EF1C19">
              <w:rPr>
                <w:sz w:val="20"/>
                <w:szCs w:val="20"/>
              </w:rPr>
              <w:t xml:space="preserve"> schütze dieses Recht gegen die strafrechtliche Verfolgung wegen des bloßen Besitzes von strafrechtlich </w:t>
            </w:r>
            <w:r>
              <w:rPr>
                <w:sz w:val="20"/>
                <w:szCs w:val="20"/>
              </w:rPr>
              <w:t>nicht relevanten</w:t>
            </w:r>
            <w:r w:rsidRPr="00EF1C19">
              <w:rPr>
                <w:sz w:val="20"/>
                <w:szCs w:val="20"/>
              </w:rPr>
              <w:t xml:space="preserve"> pornographischen Druckerzeugnissen oder Filmen, wenn der Bürger sie in der Privatsphäre der eigenen Wohnung aufbewahre. Denn einerseits greife die Polizei in das Recht auf Empfang von Informationen ein und andererseits in die Unverletzlichkeit der Wohnung. Daher konkludiert der </w:t>
            </w:r>
            <w:r>
              <w:rPr>
                <w:sz w:val="20"/>
                <w:szCs w:val="20"/>
              </w:rPr>
              <w:t>U.S. Supreme Court</w:t>
            </w:r>
            <w:r w:rsidRPr="00EF1C19">
              <w:rPr>
                <w:sz w:val="20"/>
                <w:szCs w:val="20"/>
              </w:rPr>
              <w:t xml:space="preserve">, dass die Privatsphäre grundsätzlich frei von staatlichen Eingriffen zu halten sei. Und sie habe wegen </w:t>
            </w:r>
            <w:r>
              <w:rPr>
                <w:sz w:val="20"/>
                <w:szCs w:val="20"/>
              </w:rPr>
              <w:t>ihrer</w:t>
            </w:r>
            <w:r w:rsidRPr="00EF1C19">
              <w:rPr>
                <w:sz w:val="20"/>
                <w:szCs w:val="20"/>
              </w:rPr>
              <w:t xml:space="preserve"> wesentlichen Relevanz für das Glücksstreben zentralen Verfassungswert.</w:t>
            </w:r>
            <w:r w:rsidRPr="00EF1C19">
              <w:rPr>
                <w:sz w:val="20"/>
                <w:szCs w:val="20"/>
                <w:vertAlign w:val="superscript"/>
              </w:rPr>
              <w:footnoteReference w:id="869"/>
            </w:r>
          </w:p>
          <w:p w14:paraId="682DA5D8" w14:textId="77777777" w:rsidR="00074551" w:rsidRPr="00E50B51" w:rsidRDefault="00074551" w:rsidP="00367133">
            <w:pPr>
              <w:jc w:val="both"/>
              <w:rPr>
                <w:sz w:val="20"/>
                <w:szCs w:val="20"/>
              </w:rPr>
            </w:pPr>
          </w:p>
        </w:tc>
      </w:tr>
      <w:tr w:rsidR="00074551" w:rsidRPr="00E50B51" w14:paraId="3BEDA1E4" w14:textId="77777777" w:rsidTr="00BE689F">
        <w:trPr>
          <w:cantSplit/>
          <w:trHeight w:val="3175"/>
        </w:trPr>
        <w:tc>
          <w:tcPr>
            <w:tcW w:w="293" w:type="pct"/>
          </w:tcPr>
          <w:p w14:paraId="4DCD8738" w14:textId="77777777" w:rsidR="00074551" w:rsidRPr="00E50B51" w:rsidRDefault="00074551" w:rsidP="00367133">
            <w:pPr>
              <w:ind w:right="416"/>
              <w:jc w:val="center"/>
              <w:rPr>
                <w:sz w:val="20"/>
                <w:szCs w:val="20"/>
              </w:rPr>
            </w:pPr>
            <w:r>
              <w:rPr>
                <w:sz w:val="20"/>
                <w:szCs w:val="20"/>
              </w:rPr>
              <w:lastRenderedPageBreak/>
              <w:t>H</w:t>
            </w:r>
          </w:p>
        </w:tc>
        <w:tc>
          <w:tcPr>
            <w:tcW w:w="387" w:type="pct"/>
            <w:textDirection w:val="tbRl"/>
            <w:vAlign w:val="center"/>
          </w:tcPr>
          <w:p w14:paraId="60C954A5" w14:textId="77777777" w:rsidR="00074551" w:rsidRPr="00E50B51" w:rsidRDefault="00074551" w:rsidP="00367133">
            <w:pPr>
              <w:ind w:left="113" w:right="416"/>
              <w:jc w:val="both"/>
              <w:rPr>
                <w:sz w:val="20"/>
                <w:szCs w:val="20"/>
              </w:rPr>
            </w:pPr>
            <w:r w:rsidRPr="009E57E1">
              <w:rPr>
                <w:i/>
                <w:sz w:val="20"/>
                <w:szCs w:val="20"/>
              </w:rPr>
              <w:t>Herbert v. Lando</w:t>
            </w:r>
          </w:p>
        </w:tc>
        <w:tc>
          <w:tcPr>
            <w:tcW w:w="197" w:type="pct"/>
            <w:textDirection w:val="tbRl"/>
            <w:vAlign w:val="center"/>
          </w:tcPr>
          <w:p w14:paraId="26C12DF6" w14:textId="77777777" w:rsidR="00074551" w:rsidRPr="00E50B51" w:rsidRDefault="00074551" w:rsidP="00367133">
            <w:pPr>
              <w:ind w:left="113" w:right="113"/>
              <w:jc w:val="both"/>
              <w:rPr>
                <w:sz w:val="20"/>
                <w:szCs w:val="20"/>
                <w:lang w:val="en-US"/>
              </w:rPr>
            </w:pPr>
            <w:r w:rsidRPr="00BE3728">
              <w:rPr>
                <w:sz w:val="20"/>
                <w:szCs w:val="20"/>
              </w:rPr>
              <w:t>441 U.S. 153</w:t>
            </w:r>
          </w:p>
        </w:tc>
        <w:tc>
          <w:tcPr>
            <w:tcW w:w="306" w:type="pct"/>
            <w:textDirection w:val="tbRl"/>
            <w:vAlign w:val="center"/>
          </w:tcPr>
          <w:p w14:paraId="5C0CFF0C" w14:textId="77777777" w:rsidR="00074551" w:rsidRPr="00E50B51" w:rsidRDefault="00074551" w:rsidP="00367133">
            <w:pPr>
              <w:ind w:left="113" w:right="113"/>
              <w:jc w:val="both"/>
              <w:rPr>
                <w:sz w:val="20"/>
                <w:szCs w:val="20"/>
                <w:lang w:val="en-US"/>
              </w:rPr>
            </w:pPr>
            <w:r w:rsidRPr="00BE3728">
              <w:rPr>
                <w:sz w:val="20"/>
                <w:szCs w:val="20"/>
              </w:rPr>
              <w:t>18. April 1979</w:t>
            </w:r>
          </w:p>
        </w:tc>
        <w:tc>
          <w:tcPr>
            <w:tcW w:w="401" w:type="pct"/>
          </w:tcPr>
          <w:p w14:paraId="79A1508A"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3C9BAE87" w14:textId="7E360892" w:rsidR="00074551" w:rsidRPr="00BE3728" w:rsidRDefault="00074551" w:rsidP="00367133">
            <w:pPr>
              <w:jc w:val="both"/>
              <w:rPr>
                <w:sz w:val="20"/>
                <w:szCs w:val="20"/>
              </w:rPr>
            </w:pPr>
            <w:r w:rsidRPr="00BE3728">
              <w:rPr>
                <w:sz w:val="20"/>
                <w:szCs w:val="20"/>
              </w:rPr>
              <w:t>Im Fall klagte ein Armeeoffizier a.D. als eine Person des öffentlichen Lebens. Er klagte wegen Verleumdung gegen einen Journalisten, eine Zeitschrift und einen Nachrichtensprecher. Er meinte, ein Zeitschriftenartikel und eine Fernsehsendung hätten ihn so dargestellt, dass sein Ruf Schaden genommen habe. Er gestand indes zu, eine Person des öffentlichen Lebens zu sein. Daher trug er die Beweislast, dass die Beklagten mit Vorsatz gehandelt hatten. Dafür versuchte der Kläger, den Journalisten zu dessen subjektive</w:t>
            </w:r>
            <w:r>
              <w:rPr>
                <w:sz w:val="20"/>
                <w:szCs w:val="20"/>
              </w:rPr>
              <w:t>r</w:t>
            </w:r>
            <w:r w:rsidRPr="00BE3728">
              <w:rPr>
                <w:sz w:val="20"/>
                <w:szCs w:val="20"/>
              </w:rPr>
              <w:t xml:space="preserve"> Tatseite zu befragen. Doch dieser verweigerte die Antwort. Er berief sich auf das Privileg zu schweigen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Der </w:t>
            </w:r>
            <w:r>
              <w:rPr>
                <w:sz w:val="20"/>
                <w:szCs w:val="20"/>
              </w:rPr>
              <w:t>U.S. Supreme Court</w:t>
            </w:r>
            <w:r w:rsidRPr="00BE3728">
              <w:rPr>
                <w:sz w:val="20"/>
                <w:szCs w:val="20"/>
              </w:rPr>
              <w:t xml:space="preserve"> urteilte, dass einem Journalisten in einem Verleumdungsfall kein absolutes Privileg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zukomme. Ein solches forderte die ständige Rechtsprechung des </w:t>
            </w:r>
            <w:r>
              <w:rPr>
                <w:sz w:val="20"/>
                <w:szCs w:val="20"/>
              </w:rPr>
              <w:t>U.S. Supreme Court</w:t>
            </w:r>
            <w:r w:rsidRPr="00BE3728">
              <w:rPr>
                <w:sz w:val="20"/>
                <w:szCs w:val="20"/>
              </w:rPr>
              <w:t xml:space="preserve"> gerade nicht. Der </w:t>
            </w:r>
            <w:r>
              <w:rPr>
                <w:sz w:val="20"/>
                <w:szCs w:val="20"/>
              </w:rPr>
              <w:t>U.S. Supreme Court</w:t>
            </w:r>
            <w:r w:rsidRPr="00BE3728">
              <w:rPr>
                <w:sz w:val="20"/>
                <w:szCs w:val="20"/>
              </w:rPr>
              <w:t xml:space="preserve"> bestätigt damit die Balance seiner vorherigen Rechtsprechungen: Der Presse sei bei möglichen Verleumdungen kein zu weiter Schutz zu gewähren – wegen der erheblichen Folgen wie der Verbreitung falscher und rufschädigender Informationen.</w:t>
            </w:r>
            <w:r w:rsidRPr="00BE3728">
              <w:rPr>
                <w:rStyle w:val="Funotenzeichen"/>
                <w:sz w:val="20"/>
                <w:szCs w:val="20"/>
              </w:rPr>
              <w:footnoteReference w:id="870"/>
            </w:r>
          </w:p>
          <w:p w14:paraId="3B833634" w14:textId="77777777" w:rsidR="00074551" w:rsidRPr="00BE3728" w:rsidRDefault="00074551" w:rsidP="00367133">
            <w:pPr>
              <w:jc w:val="both"/>
              <w:rPr>
                <w:sz w:val="20"/>
                <w:szCs w:val="20"/>
              </w:rPr>
            </w:pPr>
          </w:p>
          <w:p w14:paraId="33C33578" w14:textId="77777777" w:rsidR="00074551" w:rsidRPr="00BE3728" w:rsidRDefault="00074551" w:rsidP="00367133">
            <w:pPr>
              <w:jc w:val="both"/>
              <w:rPr>
                <w:sz w:val="20"/>
                <w:szCs w:val="20"/>
              </w:rPr>
            </w:pPr>
          </w:p>
          <w:p w14:paraId="62E7087F" w14:textId="77777777" w:rsidR="00074551" w:rsidRPr="00E50B51" w:rsidRDefault="00074551" w:rsidP="00367133">
            <w:pPr>
              <w:jc w:val="both"/>
              <w:rPr>
                <w:sz w:val="20"/>
                <w:szCs w:val="20"/>
              </w:rPr>
            </w:pPr>
          </w:p>
        </w:tc>
        <w:tc>
          <w:tcPr>
            <w:tcW w:w="1822" w:type="pct"/>
          </w:tcPr>
          <w:p w14:paraId="543DCA0D" w14:textId="77777777" w:rsidR="00074551" w:rsidRPr="00B45592" w:rsidRDefault="00074551" w:rsidP="00367133">
            <w:pPr>
              <w:jc w:val="both"/>
              <w:rPr>
                <w:i/>
                <w:sz w:val="20"/>
                <w:szCs w:val="20"/>
                <w:lang w:val="en-US"/>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US"/>
              </w:rPr>
              <w:t>Constitutional Law › Freedom of Speech › Defamation › General Overview</w:t>
            </w:r>
          </w:p>
          <w:p w14:paraId="617D2D5C" w14:textId="77777777" w:rsidR="00074551" w:rsidRPr="00BE3728" w:rsidRDefault="00074551" w:rsidP="00367133">
            <w:pPr>
              <w:jc w:val="both"/>
              <w:rPr>
                <w:sz w:val="20"/>
                <w:szCs w:val="20"/>
                <w:lang w:val="en-US"/>
              </w:rPr>
            </w:pPr>
          </w:p>
          <w:p w14:paraId="1A421E0E" w14:textId="77777777" w:rsidR="00074551" w:rsidRPr="00BE3728" w:rsidRDefault="00074551" w:rsidP="00367133">
            <w:pPr>
              <w:jc w:val="both"/>
              <w:rPr>
                <w:sz w:val="20"/>
                <w:szCs w:val="20"/>
              </w:rPr>
            </w:pPr>
            <w:r w:rsidRPr="00BE3728">
              <w:rPr>
                <w:sz w:val="20"/>
                <w:szCs w:val="20"/>
              </w:rPr>
              <w:t xml:space="preserve">Es </w:t>
            </w:r>
            <w:r>
              <w:rPr>
                <w:sz w:val="20"/>
                <w:szCs w:val="20"/>
              </w:rPr>
              <w:t>sei</w:t>
            </w:r>
            <w:r w:rsidRPr="00BE3728">
              <w:rPr>
                <w:sz w:val="20"/>
                <w:szCs w:val="20"/>
              </w:rPr>
              <w:t xml:space="preserve"> unhaltbar, aus der ständigen Rechtsprechung des </w:t>
            </w:r>
            <w:r>
              <w:rPr>
                <w:sz w:val="20"/>
                <w:szCs w:val="20"/>
              </w:rPr>
              <w:t>U.S. Supreme Court</w:t>
            </w:r>
            <w:r w:rsidRPr="00BE3728">
              <w:rPr>
                <w:sz w:val="20"/>
                <w:szCs w:val="20"/>
              </w:rPr>
              <w:t xml:space="preserve"> </w:t>
            </w:r>
            <w:r>
              <w:rPr>
                <w:sz w:val="20"/>
                <w:szCs w:val="20"/>
              </w:rPr>
              <w:t>F</w:t>
            </w:r>
            <w:r w:rsidRPr="00BE3728">
              <w:rPr>
                <w:sz w:val="20"/>
                <w:szCs w:val="20"/>
              </w:rPr>
              <w:t>olgendes zu schließen:</w:t>
            </w:r>
            <w:r>
              <w:rPr>
                <w:sz w:val="20"/>
                <w:szCs w:val="20"/>
              </w:rPr>
              <w:t xml:space="preserve"> dass, w</w:t>
            </w:r>
            <w:r w:rsidRPr="00BE3728">
              <w:rPr>
                <w:sz w:val="20"/>
                <w:szCs w:val="20"/>
              </w:rPr>
              <w:t xml:space="preserve">enn der Beweis für die subjektive Tatseite des Beklagten in Form objektiver Umstände erbracht werden </w:t>
            </w:r>
            <w:r>
              <w:rPr>
                <w:sz w:val="20"/>
                <w:szCs w:val="20"/>
              </w:rPr>
              <w:t>könne</w:t>
            </w:r>
            <w:r w:rsidRPr="00BE3728">
              <w:rPr>
                <w:sz w:val="20"/>
                <w:szCs w:val="20"/>
              </w:rPr>
              <w:t xml:space="preserve">, dann aber der Kläger den Beklagten nicht unmittelbar danach fragen dürfe, ob dieser wisse, dass die Veröffentlichung </w:t>
            </w:r>
            <w:r>
              <w:rPr>
                <w:sz w:val="20"/>
                <w:szCs w:val="20"/>
              </w:rPr>
              <w:t>rufschädigend gewesen sei</w:t>
            </w:r>
            <w:r w:rsidRPr="00BE3728">
              <w:rPr>
                <w:sz w:val="20"/>
                <w:szCs w:val="20"/>
              </w:rPr>
              <w:t>.</w:t>
            </w:r>
            <w:r w:rsidRPr="00BE3728">
              <w:rPr>
                <w:rStyle w:val="Funotenzeichen"/>
                <w:sz w:val="20"/>
                <w:szCs w:val="20"/>
              </w:rPr>
              <w:footnoteReference w:id="871"/>
            </w:r>
          </w:p>
          <w:p w14:paraId="7587CDAF" w14:textId="77777777" w:rsidR="00074551" w:rsidRPr="00BE3728" w:rsidRDefault="00074551" w:rsidP="00367133">
            <w:pPr>
              <w:jc w:val="both"/>
              <w:rPr>
                <w:sz w:val="20"/>
                <w:szCs w:val="20"/>
              </w:rPr>
            </w:pPr>
          </w:p>
          <w:p w14:paraId="75EAA12A" w14:textId="77777777" w:rsidR="00074551" w:rsidRDefault="00074551" w:rsidP="00367133">
            <w:pPr>
              <w:jc w:val="both"/>
              <w:rPr>
                <w:sz w:val="20"/>
                <w:szCs w:val="20"/>
              </w:rPr>
            </w:pPr>
            <w:r w:rsidRPr="00BE3728">
              <w:rPr>
                <w:sz w:val="20"/>
                <w:szCs w:val="20"/>
              </w:rPr>
              <w:t>Die ständige Rechtsprechung hat eine Systematik von Privilegien herausgebildet.</w:t>
            </w:r>
            <w:r w:rsidRPr="00BE3728">
              <w:rPr>
                <w:rStyle w:val="Funotenzeichen"/>
                <w:sz w:val="20"/>
                <w:szCs w:val="20"/>
              </w:rPr>
              <w:footnoteReference w:id="872"/>
            </w:r>
            <w:r w:rsidRPr="00BE3728">
              <w:rPr>
                <w:sz w:val="20"/>
                <w:szCs w:val="20"/>
              </w:rPr>
              <w:t xml:space="preserve"> Diese schützen einen Verleger vor der Haftung für Verleumdungen, sofern er nicht in böser Absicht veröffentlich</w:t>
            </w:r>
            <w:r>
              <w:rPr>
                <w:sz w:val="20"/>
                <w:szCs w:val="20"/>
              </w:rPr>
              <w:t>t</w:t>
            </w:r>
            <w:r w:rsidRPr="00BE3728">
              <w:rPr>
                <w:sz w:val="20"/>
                <w:szCs w:val="20"/>
              </w:rPr>
              <w:t xml:space="preserve">e. Die Systematik </w:t>
            </w:r>
            <w:r>
              <w:rPr>
                <w:sz w:val="20"/>
                <w:szCs w:val="20"/>
              </w:rPr>
              <w:t>des</w:t>
            </w:r>
            <w:r w:rsidRPr="00BE3728">
              <w:rPr>
                <w:sz w:val="20"/>
                <w:szCs w:val="20"/>
              </w:rPr>
              <w:t xml:space="preserve"> Privileg</w:t>
            </w:r>
            <w:r>
              <w:rPr>
                <w:sz w:val="20"/>
                <w:szCs w:val="20"/>
              </w:rPr>
              <w:t>s</w:t>
            </w:r>
            <w:r w:rsidRPr="00BE3728">
              <w:rPr>
                <w:sz w:val="20"/>
                <w:szCs w:val="20"/>
              </w:rPr>
              <w:t xml:space="preserve"> umfasst zwei Überlegungen – diese rechtfertigt die Bedeutung der Verleumdungen für das Glück des Einzelnen („</w:t>
            </w:r>
            <w:proofErr w:type="spellStart"/>
            <w:r w:rsidRPr="00BE3728">
              <w:rPr>
                <w:sz w:val="20"/>
                <w:szCs w:val="20"/>
              </w:rPr>
              <w:t>connected</w:t>
            </w:r>
            <w:proofErr w:type="spellEnd"/>
            <w:r w:rsidRPr="00BE3728">
              <w:rPr>
                <w:sz w:val="20"/>
                <w:szCs w:val="20"/>
              </w:rPr>
              <w:t xml:space="preserve"> </w:t>
            </w:r>
            <w:proofErr w:type="spellStart"/>
            <w:r w:rsidRPr="00BE3728">
              <w:rPr>
                <w:sz w:val="20"/>
                <w:szCs w:val="20"/>
              </w:rPr>
              <w:t>with</w:t>
            </w:r>
            <w:proofErr w:type="spellEnd"/>
            <w:r w:rsidRPr="00BE3728">
              <w:rPr>
                <w:sz w:val="20"/>
                <w:szCs w:val="20"/>
              </w:rPr>
              <w:t xml:space="preserve"> the </w:t>
            </w:r>
            <w:proofErr w:type="spellStart"/>
            <w:r w:rsidRPr="00BE3728">
              <w:rPr>
                <w:sz w:val="20"/>
                <w:szCs w:val="20"/>
              </w:rPr>
              <w:t>rights</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individuals</w:t>
            </w:r>
            <w:proofErr w:type="spellEnd"/>
            <w:r w:rsidRPr="00BE3728">
              <w:rPr>
                <w:sz w:val="20"/>
                <w:szCs w:val="20"/>
              </w:rPr>
              <w:t>“</w:t>
            </w:r>
            <w:r w:rsidRPr="00BE3728">
              <w:rPr>
                <w:rStyle w:val="Funotenzeichen"/>
                <w:sz w:val="20"/>
                <w:szCs w:val="20"/>
              </w:rPr>
              <w:footnoteReference w:id="873"/>
            </w:r>
            <w:r w:rsidRPr="00BE3728">
              <w:rPr>
                <w:sz w:val="20"/>
                <w:szCs w:val="20"/>
              </w:rPr>
              <w:t>): Erstens, wenn eine schriftliche, gedruckte oder bildliche Veröffentlichung einem Betroffenen vorwirft, sich strafbar gemacht zu haben oder darauf abziel</w:t>
            </w:r>
            <w:r>
              <w:rPr>
                <w:sz w:val="20"/>
                <w:szCs w:val="20"/>
              </w:rPr>
              <w:t>t</w:t>
            </w:r>
            <w:r w:rsidRPr="00BE3728">
              <w:rPr>
                <w:sz w:val="20"/>
                <w:szCs w:val="20"/>
              </w:rPr>
              <w:t xml:space="preserve">, den Betroffenen in der Ehre herabzusetzen, dann </w:t>
            </w:r>
            <w:r>
              <w:rPr>
                <w:sz w:val="20"/>
                <w:szCs w:val="20"/>
              </w:rPr>
              <w:t xml:space="preserve">sei </w:t>
            </w:r>
            <w:r w:rsidRPr="00BE3728">
              <w:rPr>
                <w:sz w:val="20"/>
                <w:szCs w:val="20"/>
              </w:rPr>
              <w:t>dies prima facie eine Verleumdung. Zwar setz</w:t>
            </w:r>
            <w:r>
              <w:rPr>
                <w:sz w:val="20"/>
                <w:szCs w:val="20"/>
              </w:rPr>
              <w:t>t</w:t>
            </w:r>
            <w:r w:rsidRPr="00BE3728">
              <w:rPr>
                <w:sz w:val="20"/>
                <w:szCs w:val="20"/>
              </w:rPr>
              <w:t xml:space="preserve"> die Verleumdung Böswilligkeit des Verfassers oder Verlegers voraus. Aber der Kläger muss nicht über den Beweis der Veröffentlichung hinaus den Beweis der Böswilligkeit führen. Anschließend muss der Beklagte Rechtfertigungs-, Entschuldigungs- oder Milderungsgründe vortragen. Zweitens bestehen hiervon Ausnahmen: die sog. privilegierten Mitteilungen. Für diese besteht eine rechtliche, sittliche oder soziale Verpflichtung, sie zu veröffentlichen. Hierbei wird vermutet, dass die Verpflichtung zur Veröffentlichung geführt habe. Die Verpflichtung entbindet den Beklagten vom </w:t>
            </w:r>
            <w:r>
              <w:rPr>
                <w:sz w:val="20"/>
                <w:szCs w:val="20"/>
              </w:rPr>
              <w:t>P</w:t>
            </w:r>
            <w:r w:rsidRPr="00BE3728">
              <w:rPr>
                <w:sz w:val="20"/>
                <w:szCs w:val="20"/>
              </w:rPr>
              <w:t>rima</w:t>
            </w:r>
            <w:r>
              <w:rPr>
                <w:sz w:val="20"/>
                <w:szCs w:val="20"/>
              </w:rPr>
              <w:t>-</w:t>
            </w:r>
            <w:r w:rsidRPr="00BE3728">
              <w:rPr>
                <w:sz w:val="20"/>
                <w:szCs w:val="20"/>
              </w:rPr>
              <w:t>facie</w:t>
            </w:r>
            <w:r>
              <w:rPr>
                <w:sz w:val="20"/>
                <w:szCs w:val="20"/>
              </w:rPr>
              <w:t>-</w:t>
            </w:r>
            <w:r w:rsidRPr="00BE3728">
              <w:rPr>
                <w:sz w:val="20"/>
                <w:szCs w:val="20"/>
              </w:rPr>
              <w:t xml:space="preserve">Beweis. Dem betroffenen Kläger </w:t>
            </w:r>
            <w:r>
              <w:rPr>
                <w:sz w:val="20"/>
                <w:szCs w:val="20"/>
              </w:rPr>
              <w:t>er</w:t>
            </w:r>
            <w:r w:rsidRPr="00BE3728">
              <w:rPr>
                <w:sz w:val="20"/>
                <w:szCs w:val="20"/>
              </w:rPr>
              <w:t xml:space="preserve">legt der </w:t>
            </w:r>
            <w:r>
              <w:rPr>
                <w:sz w:val="20"/>
                <w:szCs w:val="20"/>
              </w:rPr>
              <w:t>U.S. Supreme Court</w:t>
            </w:r>
            <w:r w:rsidRPr="00BE3728">
              <w:rPr>
                <w:sz w:val="20"/>
                <w:szCs w:val="20"/>
              </w:rPr>
              <w:t xml:space="preserve"> zugleich auf, die Verpflichtungen zu widerlegen und damit die Böswilligkeit als tatsächliches Motiv für sein Verhalten nachzuweisen.</w:t>
            </w:r>
            <w:r w:rsidRPr="00BE3728">
              <w:rPr>
                <w:rStyle w:val="Funotenzeichen"/>
                <w:sz w:val="20"/>
                <w:szCs w:val="20"/>
              </w:rPr>
              <w:footnoteReference w:id="874"/>
            </w:r>
          </w:p>
          <w:p w14:paraId="4535CC5B" w14:textId="77777777" w:rsidR="00074551" w:rsidRPr="00996DA4" w:rsidRDefault="00074551" w:rsidP="00367133">
            <w:pPr>
              <w:jc w:val="both"/>
              <w:rPr>
                <w:sz w:val="20"/>
                <w:szCs w:val="20"/>
              </w:rPr>
            </w:pPr>
          </w:p>
        </w:tc>
      </w:tr>
      <w:tr w:rsidR="00074551" w:rsidRPr="00E50B51" w14:paraId="21A37DFC" w14:textId="77777777" w:rsidTr="00BE689F">
        <w:trPr>
          <w:cantSplit/>
          <w:trHeight w:val="3175"/>
        </w:trPr>
        <w:tc>
          <w:tcPr>
            <w:tcW w:w="293" w:type="pct"/>
          </w:tcPr>
          <w:p w14:paraId="266871B6"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0FDF0A58" w14:textId="77777777" w:rsidR="00074551" w:rsidRDefault="00074551" w:rsidP="00367133">
            <w:pPr>
              <w:ind w:right="416"/>
              <w:jc w:val="center"/>
              <w:rPr>
                <w:sz w:val="20"/>
                <w:szCs w:val="20"/>
              </w:rPr>
            </w:pPr>
            <w:r>
              <w:rPr>
                <w:sz w:val="20"/>
                <w:szCs w:val="20"/>
                <w:lang w:val="en-US"/>
              </w:rPr>
              <w:t>H</w:t>
            </w:r>
          </w:p>
        </w:tc>
        <w:tc>
          <w:tcPr>
            <w:tcW w:w="387" w:type="pct"/>
            <w:textDirection w:val="tbRl"/>
            <w:vAlign w:val="center"/>
          </w:tcPr>
          <w:p w14:paraId="7A9C806C" w14:textId="77777777" w:rsidR="00074551" w:rsidRPr="00BE3728" w:rsidRDefault="00074551" w:rsidP="00367133">
            <w:pPr>
              <w:ind w:left="113" w:right="416"/>
              <w:jc w:val="both"/>
              <w:rPr>
                <w:sz w:val="20"/>
                <w:szCs w:val="20"/>
              </w:rPr>
            </w:pPr>
            <w:r w:rsidRPr="009E57E1">
              <w:rPr>
                <w:i/>
                <w:sz w:val="20"/>
                <w:szCs w:val="20"/>
              </w:rPr>
              <w:t>Siegert v. Gilley</w:t>
            </w:r>
          </w:p>
        </w:tc>
        <w:tc>
          <w:tcPr>
            <w:tcW w:w="197" w:type="pct"/>
            <w:textDirection w:val="tbRl"/>
            <w:vAlign w:val="center"/>
          </w:tcPr>
          <w:p w14:paraId="60F7A0C0" w14:textId="77777777" w:rsidR="00074551" w:rsidRPr="00BE3728" w:rsidRDefault="00074551" w:rsidP="00367133">
            <w:pPr>
              <w:ind w:left="113" w:right="113"/>
              <w:jc w:val="both"/>
              <w:rPr>
                <w:sz w:val="20"/>
                <w:szCs w:val="20"/>
              </w:rPr>
            </w:pPr>
            <w:r w:rsidRPr="005D0846">
              <w:rPr>
                <w:sz w:val="20"/>
                <w:szCs w:val="20"/>
              </w:rPr>
              <w:t>500 U.S. 226</w:t>
            </w:r>
          </w:p>
        </w:tc>
        <w:tc>
          <w:tcPr>
            <w:tcW w:w="306" w:type="pct"/>
            <w:textDirection w:val="tbRl"/>
            <w:vAlign w:val="center"/>
          </w:tcPr>
          <w:p w14:paraId="16DEC6C9" w14:textId="77777777" w:rsidR="00074551" w:rsidRPr="00BE3728" w:rsidRDefault="00074551" w:rsidP="00367133">
            <w:pPr>
              <w:ind w:left="113" w:right="113"/>
              <w:jc w:val="both"/>
              <w:rPr>
                <w:sz w:val="20"/>
                <w:szCs w:val="20"/>
              </w:rPr>
            </w:pPr>
            <w:r>
              <w:rPr>
                <w:sz w:val="20"/>
                <w:szCs w:val="20"/>
              </w:rPr>
              <w:t>23. Mai 1991</w:t>
            </w:r>
          </w:p>
        </w:tc>
        <w:tc>
          <w:tcPr>
            <w:tcW w:w="401" w:type="pct"/>
          </w:tcPr>
          <w:p w14:paraId="7B7CC91C" w14:textId="77777777" w:rsidR="00074551" w:rsidRPr="00BE3728" w:rsidRDefault="00074551" w:rsidP="00367133">
            <w:pPr>
              <w:jc w:val="center"/>
              <w:rPr>
                <w:sz w:val="20"/>
                <w:szCs w:val="20"/>
                <w:lang w:val="en-US"/>
              </w:rPr>
            </w:pPr>
            <w:r>
              <w:rPr>
                <w:sz w:val="20"/>
                <w:szCs w:val="20"/>
                <w:lang w:val="en-US"/>
              </w:rPr>
              <w:t>D</w:t>
            </w:r>
          </w:p>
        </w:tc>
        <w:tc>
          <w:tcPr>
            <w:tcW w:w="1594" w:type="pct"/>
          </w:tcPr>
          <w:p w14:paraId="7D3C2AEF" w14:textId="4E1AB839" w:rsidR="00074551" w:rsidRPr="00A06CF9" w:rsidRDefault="00074551" w:rsidP="00367133">
            <w:pPr>
              <w:rPr>
                <w:sz w:val="20"/>
                <w:szCs w:val="20"/>
              </w:rPr>
            </w:pPr>
            <w:r w:rsidRPr="00A06CF9">
              <w:rPr>
                <w:sz w:val="20"/>
                <w:szCs w:val="20"/>
              </w:rPr>
              <w:t>Der Kläger verlor die Klage</w:t>
            </w:r>
            <w:r>
              <w:rPr>
                <w:sz w:val="20"/>
                <w:szCs w:val="20"/>
              </w:rPr>
              <w:t>, denn e</w:t>
            </w:r>
            <w:r w:rsidRPr="00A06CF9">
              <w:rPr>
                <w:sz w:val="20"/>
                <w:szCs w:val="20"/>
              </w:rPr>
              <w:t>r konnte keinen Anspruch auf eine Verletzung verfassungsmäßig geschützter Rechte geltend machen</w:t>
            </w:r>
            <w:r>
              <w:rPr>
                <w:sz w:val="20"/>
                <w:szCs w:val="20"/>
              </w:rPr>
              <w:t xml:space="preserve">, hier seines </w:t>
            </w:r>
            <w:r w:rsidRPr="00A06CF9">
              <w:rPr>
                <w:sz w:val="20"/>
                <w:szCs w:val="20"/>
              </w:rPr>
              <w:t>Freiheitsinteresse</w:t>
            </w:r>
            <w:r>
              <w:rPr>
                <w:sz w:val="20"/>
                <w:szCs w:val="20"/>
              </w:rPr>
              <w:t>s</w:t>
            </w:r>
            <w:r w:rsidRPr="00A06CF9">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06CF9">
              <w:rPr>
                <w:sz w:val="20"/>
                <w:szCs w:val="20"/>
              </w:rPr>
              <w:t xml:space="preserve"> Der Kläger war ein Bundes</w:t>
            </w:r>
            <w:r>
              <w:rPr>
                <w:sz w:val="20"/>
                <w:szCs w:val="20"/>
              </w:rPr>
              <w:t>beamter, d</w:t>
            </w:r>
            <w:r w:rsidRPr="00A06CF9">
              <w:rPr>
                <w:sz w:val="20"/>
                <w:szCs w:val="20"/>
              </w:rPr>
              <w:t>er Beklagte war sein Vorgesetzter.</w:t>
            </w:r>
            <w:r>
              <w:rPr>
                <w:sz w:val="20"/>
                <w:szCs w:val="20"/>
              </w:rPr>
              <w:t xml:space="preserve"> </w:t>
            </w:r>
            <w:r w:rsidRPr="00A06CF9">
              <w:rPr>
                <w:sz w:val="20"/>
                <w:szCs w:val="20"/>
              </w:rPr>
              <w:t>Der Kläger erfuhr, dass sein mangelnder Erfolg bei der Arbeitssuche auf ein</w:t>
            </w:r>
            <w:r>
              <w:rPr>
                <w:sz w:val="20"/>
                <w:szCs w:val="20"/>
              </w:rPr>
              <w:t xml:space="preserve">e Beurteilung </w:t>
            </w:r>
            <w:r w:rsidRPr="00A06CF9">
              <w:rPr>
                <w:sz w:val="20"/>
                <w:szCs w:val="20"/>
              </w:rPr>
              <w:t xml:space="preserve">seines Vorgesetzten zurückzuführen war. </w:t>
            </w:r>
            <w:r>
              <w:rPr>
                <w:sz w:val="20"/>
                <w:szCs w:val="20"/>
              </w:rPr>
              <w:t>Der Bundesbeamte erhob Klage und meinte</w:t>
            </w:r>
            <w:r w:rsidRPr="00A06CF9">
              <w:rPr>
                <w:sz w:val="20"/>
                <w:szCs w:val="20"/>
              </w:rPr>
              <w:t>, der Vorgesetzte habe in böser Absicht eine nachweislich falsche und verleumderische Aussage über seine berufliche Leistung verbreitet. Diese Handlung verletze sein durch d</w:t>
            </w:r>
            <w:r>
              <w:rPr>
                <w:sz w:val="20"/>
                <w:szCs w:val="20"/>
              </w:rPr>
              <w:t>ie</w:t>
            </w:r>
            <w:r w:rsidRPr="00A06CF9">
              <w:rPr>
                <w:sz w:val="20"/>
                <w:szCs w:val="20"/>
              </w:rPr>
              <w:t xml:space="preserv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A06CF9">
              <w:rPr>
                <w:sz w:val="20"/>
                <w:szCs w:val="20"/>
              </w:rPr>
              <w:t xml:space="preserve"> </w:t>
            </w:r>
            <w:r>
              <w:rPr>
                <w:sz w:val="20"/>
                <w:szCs w:val="20"/>
              </w:rPr>
              <w:t xml:space="preserve">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06CF9">
              <w:rPr>
                <w:sz w:val="20"/>
                <w:szCs w:val="20"/>
              </w:rPr>
              <w:t xml:space="preserve"> geschütztes Freiheitsinteresse</w:t>
            </w:r>
            <w:r>
              <w:rPr>
                <w:sz w:val="20"/>
                <w:szCs w:val="20"/>
              </w:rPr>
              <w:t xml:space="preserve">. </w:t>
            </w:r>
            <w:r w:rsidRPr="00A06CF9">
              <w:rPr>
                <w:sz w:val="20"/>
                <w:szCs w:val="20"/>
              </w:rPr>
              <w:t xml:space="preserve">Das Gericht der ersten Instanz wies die Klage ab, weil der Kläger die </w:t>
            </w:r>
            <w:r>
              <w:rPr>
                <w:sz w:val="20"/>
                <w:szCs w:val="20"/>
              </w:rPr>
              <w:t>„</w:t>
            </w:r>
            <w:proofErr w:type="spellStart"/>
            <w:r w:rsidRPr="00A06CF9">
              <w:rPr>
                <w:sz w:val="20"/>
                <w:szCs w:val="20"/>
              </w:rPr>
              <w:t>qualified</w:t>
            </w:r>
            <w:proofErr w:type="spellEnd"/>
            <w:r w:rsidRPr="00A06CF9">
              <w:rPr>
                <w:sz w:val="20"/>
                <w:szCs w:val="20"/>
              </w:rPr>
              <w:t xml:space="preserve"> </w:t>
            </w:r>
            <w:proofErr w:type="spellStart"/>
            <w:r w:rsidRPr="00A06CF9">
              <w:rPr>
                <w:sz w:val="20"/>
                <w:szCs w:val="20"/>
              </w:rPr>
              <w:t>immunity</w:t>
            </w:r>
            <w:proofErr w:type="spellEnd"/>
            <w:r>
              <w:rPr>
                <w:sz w:val="20"/>
                <w:szCs w:val="20"/>
              </w:rPr>
              <w:t>“</w:t>
            </w:r>
            <w:r>
              <w:rPr>
                <w:rStyle w:val="Funotenzeichen"/>
                <w:sz w:val="20"/>
                <w:szCs w:val="20"/>
              </w:rPr>
              <w:footnoteReference w:id="875"/>
            </w:r>
            <w:r>
              <w:rPr>
                <w:sz w:val="20"/>
                <w:szCs w:val="20"/>
              </w:rPr>
              <w:t xml:space="preserve"> des Vorgesetzten</w:t>
            </w:r>
            <w:r w:rsidRPr="00A06CF9">
              <w:rPr>
                <w:sz w:val="20"/>
                <w:szCs w:val="20"/>
              </w:rPr>
              <w:t xml:space="preserve"> nicht überwinden konnte. </w:t>
            </w:r>
            <w:r>
              <w:rPr>
                <w:sz w:val="20"/>
                <w:szCs w:val="20"/>
              </w:rPr>
              <w:t>Die qualifizierte Immunität</w:t>
            </w:r>
            <w:r w:rsidRPr="00A06CF9">
              <w:rPr>
                <w:sz w:val="20"/>
                <w:szCs w:val="20"/>
              </w:rPr>
              <w:t xml:space="preserve"> schütz</w:t>
            </w:r>
            <w:r>
              <w:rPr>
                <w:sz w:val="20"/>
                <w:szCs w:val="20"/>
              </w:rPr>
              <w:t xml:space="preserve">e </w:t>
            </w:r>
            <w:r w:rsidRPr="00A06CF9">
              <w:rPr>
                <w:sz w:val="20"/>
                <w:szCs w:val="20"/>
              </w:rPr>
              <w:t>Regierungsbeamte vor Haftung für Zivilklagen, sofern ihre Handlungen keine verfassungsmäßigen oder gesetzlichen Rechte verletz</w:t>
            </w:r>
            <w:r>
              <w:rPr>
                <w:sz w:val="20"/>
                <w:szCs w:val="20"/>
              </w:rPr>
              <w:t>t</w:t>
            </w:r>
            <w:r w:rsidRPr="00A06CF9">
              <w:rPr>
                <w:sz w:val="20"/>
                <w:szCs w:val="20"/>
              </w:rPr>
              <w:t xml:space="preserve">en. </w:t>
            </w:r>
            <w:r>
              <w:rPr>
                <w:sz w:val="20"/>
                <w:szCs w:val="20"/>
              </w:rPr>
              <w:t>Und der U.S. Supreme Court</w:t>
            </w:r>
            <w:r w:rsidRPr="00A06CF9">
              <w:rPr>
                <w:sz w:val="20"/>
                <w:szCs w:val="20"/>
              </w:rPr>
              <w:t xml:space="preserve"> stellte fest, dass die Klage keinen verfassungsmäßigen Anspruch darstelle.</w:t>
            </w:r>
            <w:r>
              <w:rPr>
                <w:sz w:val="20"/>
                <w:szCs w:val="20"/>
              </w:rPr>
              <w:t xml:space="preserve"> Zwar sei eine</w:t>
            </w:r>
            <w:r w:rsidRPr="00A06CF9">
              <w:rPr>
                <w:sz w:val="20"/>
                <w:szCs w:val="20"/>
              </w:rPr>
              <w:t xml:space="preserve"> Verleumdung eine unerlaubte Handlung</w:t>
            </w:r>
            <w:r>
              <w:rPr>
                <w:sz w:val="20"/>
                <w:szCs w:val="20"/>
              </w:rPr>
              <w:t>. A</w:t>
            </w:r>
            <w:r w:rsidRPr="00A06CF9">
              <w:rPr>
                <w:sz w:val="20"/>
                <w:szCs w:val="20"/>
              </w:rPr>
              <w:t xml:space="preserve">ber </w:t>
            </w:r>
            <w:r>
              <w:rPr>
                <w:sz w:val="20"/>
                <w:szCs w:val="20"/>
              </w:rPr>
              <w:t xml:space="preserve">sie sei </w:t>
            </w:r>
            <w:r w:rsidRPr="00A06CF9">
              <w:rPr>
                <w:sz w:val="20"/>
                <w:szCs w:val="20"/>
              </w:rPr>
              <w:t>keine verfassungsrechtliche Verletzung.</w:t>
            </w:r>
            <w:r>
              <w:rPr>
                <w:sz w:val="20"/>
                <w:szCs w:val="20"/>
              </w:rPr>
              <w:t xml:space="preserve"> D.h.: </w:t>
            </w:r>
            <w:r w:rsidRPr="00A06CF9">
              <w:rPr>
                <w:sz w:val="20"/>
                <w:szCs w:val="20"/>
              </w:rPr>
              <w:t xml:space="preserve">Die Abweisung der Klage wegen Verletzung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A06CF9">
              <w:rPr>
                <w:sz w:val="20"/>
                <w:szCs w:val="20"/>
              </w:rPr>
              <w:t xml:space="preserve"> wurde bestätigt. Der Kläger konnte keinen Anspruch auf Verletzung verfassungsmäßiger Rechte geltend machen</w:t>
            </w:r>
            <w:r>
              <w:rPr>
                <w:sz w:val="20"/>
                <w:szCs w:val="20"/>
              </w:rPr>
              <w:t xml:space="preserve"> und die Immunität seines Vorgesetzten nicht überwinden.</w:t>
            </w:r>
            <w:r>
              <w:rPr>
                <w:rStyle w:val="Funotenzeichen"/>
                <w:sz w:val="20"/>
                <w:szCs w:val="20"/>
              </w:rPr>
              <w:footnoteReference w:id="876"/>
            </w:r>
          </w:p>
          <w:p w14:paraId="08480518" w14:textId="77777777" w:rsidR="00074551" w:rsidRPr="00BE3728" w:rsidRDefault="00074551" w:rsidP="00367133">
            <w:pPr>
              <w:jc w:val="both"/>
              <w:rPr>
                <w:sz w:val="20"/>
                <w:szCs w:val="20"/>
              </w:rPr>
            </w:pPr>
          </w:p>
        </w:tc>
        <w:tc>
          <w:tcPr>
            <w:tcW w:w="1822" w:type="pct"/>
          </w:tcPr>
          <w:p w14:paraId="4DF81D58" w14:textId="77777777" w:rsidR="00074551" w:rsidRPr="00B45592" w:rsidRDefault="00074551" w:rsidP="00367133">
            <w:pPr>
              <w:rPr>
                <w:i/>
                <w:sz w:val="20"/>
                <w:szCs w:val="20"/>
                <w:lang w:val="en-IE"/>
              </w:rPr>
            </w:pPr>
            <w:r w:rsidRPr="009A161C">
              <w:rPr>
                <w:i/>
                <w:sz w:val="20"/>
                <w:szCs w:val="20"/>
                <w:lang w:val="en-US"/>
              </w:rPr>
              <w:t>LexisNexis-</w:t>
            </w:r>
            <w:proofErr w:type="spellStart"/>
            <w:r w:rsidRPr="009A161C">
              <w:rPr>
                <w:i/>
                <w:sz w:val="20"/>
                <w:szCs w:val="20"/>
                <w:lang w:val="en-US"/>
              </w:rPr>
              <w:t>Klassifikation</w:t>
            </w:r>
            <w:proofErr w:type="spellEnd"/>
            <w:r w:rsidRPr="009A161C">
              <w:rPr>
                <w:i/>
                <w:sz w:val="20"/>
                <w:szCs w:val="20"/>
                <w:lang w:val="en-US"/>
              </w:rPr>
              <w:t>:</w:t>
            </w:r>
            <w:r>
              <w:rPr>
                <w:i/>
                <w:sz w:val="20"/>
                <w:szCs w:val="20"/>
                <w:lang w:val="en-US"/>
              </w:rPr>
              <w:t xml:space="preserve"> </w:t>
            </w:r>
            <w:r w:rsidRPr="00B45592">
              <w:rPr>
                <w:i/>
                <w:sz w:val="20"/>
                <w:szCs w:val="20"/>
                <w:lang w:val="en-IE"/>
              </w:rPr>
              <w:t>Freedom of Speech, Defamation</w:t>
            </w:r>
          </w:p>
          <w:p w14:paraId="428A9894" w14:textId="77777777" w:rsidR="00074551" w:rsidRPr="00B45592" w:rsidRDefault="00074551" w:rsidP="00367133">
            <w:pPr>
              <w:rPr>
                <w:b/>
                <w:bCs/>
                <w:sz w:val="20"/>
                <w:szCs w:val="20"/>
                <w:lang w:val="en-IE"/>
              </w:rPr>
            </w:pPr>
          </w:p>
          <w:p w14:paraId="5A0C36E9" w14:textId="77777777" w:rsidR="00074551" w:rsidRPr="00BE3728" w:rsidRDefault="00074551" w:rsidP="00367133">
            <w:pPr>
              <w:jc w:val="both"/>
              <w:rPr>
                <w:sz w:val="20"/>
                <w:szCs w:val="20"/>
              </w:rPr>
            </w:pPr>
            <w:r w:rsidRPr="00103BB6">
              <w:rPr>
                <w:sz w:val="20"/>
                <w:szCs w:val="20"/>
              </w:rPr>
              <w:t>Der Dissens sah einen verfassungsrechtlichen Freiheitsanspruch für den Bundesbeamten, der ein</w:t>
            </w:r>
            <w:r>
              <w:rPr>
                <w:sz w:val="20"/>
                <w:szCs w:val="20"/>
              </w:rPr>
              <w:t>e</w:t>
            </w:r>
            <w:r w:rsidRPr="00103BB6">
              <w:rPr>
                <w:sz w:val="20"/>
                <w:szCs w:val="20"/>
              </w:rPr>
              <w:t xml:space="preserve"> verleumderische Beurteilung seines </w:t>
            </w:r>
            <w:r>
              <w:rPr>
                <w:sz w:val="20"/>
                <w:szCs w:val="20"/>
              </w:rPr>
              <w:t>Vorgesetzten</w:t>
            </w:r>
            <w:r w:rsidRPr="00103BB6">
              <w:rPr>
                <w:sz w:val="20"/>
                <w:szCs w:val="20"/>
              </w:rPr>
              <w:t xml:space="preserve"> erhalten hatte; dafür müsse die Beurteilung den Beamten daran hindern, eine Stelle zu finden. Denn die Voraussetzung für den Freiheitsanspruch laute: Wenn staatliches Handeln dazu führe, dass ein solches Zeichen der Illoyalität („</w:t>
            </w:r>
            <w:proofErr w:type="spellStart"/>
            <w:r w:rsidRPr="00103BB6">
              <w:rPr>
                <w:sz w:val="20"/>
                <w:szCs w:val="20"/>
              </w:rPr>
              <w:t>badge</w:t>
            </w:r>
            <w:proofErr w:type="spellEnd"/>
            <w:r w:rsidRPr="00103BB6">
              <w:rPr>
                <w:sz w:val="20"/>
                <w:szCs w:val="20"/>
              </w:rPr>
              <w:t xml:space="preserve"> of </w:t>
            </w:r>
            <w:proofErr w:type="spellStart"/>
            <w:r w:rsidRPr="00103BB6">
              <w:rPr>
                <w:sz w:val="20"/>
                <w:szCs w:val="20"/>
              </w:rPr>
              <w:t>disloyalty</w:t>
            </w:r>
            <w:proofErr w:type="spellEnd"/>
            <w:r w:rsidRPr="00103BB6">
              <w:rPr>
                <w:sz w:val="20"/>
                <w:szCs w:val="20"/>
              </w:rPr>
              <w:t xml:space="preserve"> </w:t>
            </w:r>
            <w:proofErr w:type="spellStart"/>
            <w:r w:rsidRPr="00103BB6">
              <w:rPr>
                <w:sz w:val="20"/>
                <w:szCs w:val="20"/>
              </w:rPr>
              <w:t>or</w:t>
            </w:r>
            <w:proofErr w:type="spellEnd"/>
            <w:r w:rsidRPr="00103BB6">
              <w:rPr>
                <w:sz w:val="20"/>
                <w:szCs w:val="20"/>
              </w:rPr>
              <w:t xml:space="preserve"> </w:t>
            </w:r>
            <w:proofErr w:type="spellStart"/>
            <w:r w:rsidRPr="00103BB6">
              <w:rPr>
                <w:sz w:val="20"/>
                <w:szCs w:val="20"/>
              </w:rPr>
              <w:t>infamy</w:t>
            </w:r>
            <w:proofErr w:type="spellEnd"/>
            <w:r w:rsidRPr="00103BB6">
              <w:rPr>
                <w:sz w:val="20"/>
                <w:szCs w:val="20"/>
              </w:rPr>
              <w:t>“</w:t>
            </w:r>
            <w:r w:rsidRPr="00103BB6">
              <w:rPr>
                <w:sz w:val="20"/>
                <w:szCs w:val="20"/>
                <w:vertAlign w:val="superscript"/>
              </w:rPr>
              <w:footnoteReference w:id="877"/>
            </w:r>
            <w:r w:rsidRPr="00103BB6">
              <w:rPr>
                <w:sz w:val="20"/>
                <w:szCs w:val="20"/>
              </w:rPr>
              <w:t>) zulasten des Betroffenen entstehe, dass andere Beschäftigungsmöglichkeiten verschlossen bl</w:t>
            </w:r>
            <w:r>
              <w:rPr>
                <w:sz w:val="20"/>
                <w:szCs w:val="20"/>
              </w:rPr>
              <w:t>ie</w:t>
            </w:r>
            <w:r w:rsidRPr="00103BB6">
              <w:rPr>
                <w:sz w:val="20"/>
                <w:szCs w:val="20"/>
              </w:rPr>
              <w:t xml:space="preserve">ben </w:t>
            </w:r>
            <w:r>
              <w:rPr>
                <w:sz w:val="20"/>
                <w:szCs w:val="20"/>
              </w:rPr>
              <w:t>–</w:t>
            </w:r>
            <w:r w:rsidRPr="00103BB6">
              <w:rPr>
                <w:sz w:val="20"/>
                <w:szCs w:val="20"/>
              </w:rPr>
              <w:t xml:space="preserve"> wie eine verleumderische Beurteilung –, dann komm</w:t>
            </w:r>
            <w:r>
              <w:rPr>
                <w:sz w:val="20"/>
                <w:szCs w:val="20"/>
              </w:rPr>
              <w:t>e</w:t>
            </w:r>
            <w:r w:rsidRPr="00103BB6">
              <w:rPr>
                <w:sz w:val="20"/>
                <w:szCs w:val="20"/>
              </w:rPr>
              <w:t xml:space="preserve"> diesem ein Freiheitsanspruch gegen die staatliche Maßnahme zu.</w:t>
            </w:r>
            <w:r w:rsidRPr="00103BB6">
              <w:rPr>
                <w:sz w:val="20"/>
                <w:szCs w:val="20"/>
                <w:vertAlign w:val="superscript"/>
              </w:rPr>
              <w:footnoteReference w:id="878"/>
            </w:r>
            <w:r w:rsidRPr="00103BB6">
              <w:rPr>
                <w:sz w:val="20"/>
                <w:szCs w:val="20"/>
              </w:rPr>
              <w:t xml:space="preserve"> Diese Voraussetzung bestätigte auch </w:t>
            </w:r>
            <w:r w:rsidRPr="5B67C1D2">
              <w:rPr>
                <w:i/>
                <w:iCs/>
                <w:sz w:val="20"/>
                <w:szCs w:val="20"/>
              </w:rPr>
              <w:t xml:space="preserve">Board of </w:t>
            </w:r>
            <w:proofErr w:type="spellStart"/>
            <w:r w:rsidRPr="5B67C1D2">
              <w:rPr>
                <w:i/>
                <w:iCs/>
                <w:sz w:val="20"/>
                <w:szCs w:val="20"/>
              </w:rPr>
              <w:t>Regents</w:t>
            </w:r>
            <w:proofErr w:type="spellEnd"/>
            <w:r w:rsidRPr="5B67C1D2">
              <w:rPr>
                <w:i/>
                <w:iCs/>
                <w:sz w:val="20"/>
                <w:szCs w:val="20"/>
              </w:rPr>
              <w:t xml:space="preserve"> of State Colleges v. Roth</w:t>
            </w:r>
            <w:r w:rsidRPr="00103BB6">
              <w:rPr>
                <w:sz w:val="20"/>
                <w:szCs w:val="20"/>
              </w:rPr>
              <w:t>,</w:t>
            </w:r>
            <w:r w:rsidRPr="00103BB6">
              <w:rPr>
                <w:sz w:val="20"/>
                <w:szCs w:val="20"/>
                <w:vertAlign w:val="superscript"/>
              </w:rPr>
              <w:footnoteReference w:id="879"/>
            </w:r>
            <w:r w:rsidRPr="00103BB6">
              <w:rPr>
                <w:sz w:val="20"/>
                <w:szCs w:val="20"/>
              </w:rPr>
              <w:t xml:space="preserve"> obwohl dort der Juniorprofessor die Anspruchsvoraussetzung nicht erfüllte, denn die Universität </w:t>
            </w:r>
            <w:r>
              <w:rPr>
                <w:sz w:val="20"/>
                <w:szCs w:val="20"/>
              </w:rPr>
              <w:t>hatte lediglich</w:t>
            </w:r>
            <w:r w:rsidRPr="00103BB6">
              <w:rPr>
                <w:sz w:val="20"/>
                <w:szCs w:val="20"/>
              </w:rPr>
              <w:t xml:space="preserve"> nicht seinen Vertrag</w:t>
            </w:r>
            <w:r>
              <w:rPr>
                <w:sz w:val="20"/>
                <w:szCs w:val="20"/>
              </w:rPr>
              <w:t xml:space="preserve"> verlängert</w:t>
            </w:r>
            <w:r w:rsidRPr="00103BB6">
              <w:rPr>
                <w:sz w:val="20"/>
                <w:szCs w:val="20"/>
              </w:rPr>
              <w:t xml:space="preserve">. Doch was umfasse der Freiheitsanspruch genau? Das Konzept der Freiheit unter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103BB6">
              <w:rPr>
                <w:sz w:val="20"/>
                <w:szCs w:val="20"/>
              </w:rPr>
              <w:t>, und konkreter: die Vertragsfreiheit, die Berufsfreiheit und die Berufsausübungsfreiheit sowie weitere Vorrechte, die sich daran bestimmen, ob sie dem geordneten Streben nach Glück durch freie Menschen dienen.</w:t>
            </w:r>
            <w:r w:rsidRPr="00103BB6">
              <w:rPr>
                <w:sz w:val="20"/>
                <w:szCs w:val="20"/>
                <w:vertAlign w:val="superscript"/>
              </w:rPr>
              <w:footnoteReference w:id="880"/>
            </w:r>
          </w:p>
        </w:tc>
      </w:tr>
      <w:tr w:rsidR="00074551" w:rsidRPr="00E50B51" w14:paraId="20E7005D" w14:textId="77777777" w:rsidTr="00A15DB3">
        <w:trPr>
          <w:cantSplit/>
          <w:trHeight w:val="3175"/>
        </w:trPr>
        <w:tc>
          <w:tcPr>
            <w:tcW w:w="293" w:type="pct"/>
            <w:shd w:val="clear" w:color="auto" w:fill="E7E6E6" w:themeFill="background2"/>
          </w:tcPr>
          <w:p w14:paraId="1824F142"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5C483A1B"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59EA0270" w14:textId="77777777" w:rsidR="00074551" w:rsidRPr="00E50B51" w:rsidRDefault="00074551" w:rsidP="00367133">
            <w:pPr>
              <w:ind w:left="113" w:right="113"/>
              <w:jc w:val="both"/>
              <w:rPr>
                <w:sz w:val="20"/>
                <w:szCs w:val="20"/>
                <w:lang w:val="en-US"/>
              </w:rPr>
            </w:pPr>
            <w:r w:rsidRPr="00BE3728">
              <w:rPr>
                <w:sz w:val="20"/>
                <w:szCs w:val="20"/>
                <w:lang w:val="en-US"/>
              </w:rPr>
              <w:t>Freedom of Speech</w:t>
            </w:r>
          </w:p>
        </w:tc>
        <w:tc>
          <w:tcPr>
            <w:tcW w:w="306" w:type="pct"/>
            <w:shd w:val="clear" w:color="auto" w:fill="E7E6E6" w:themeFill="background2"/>
            <w:textDirection w:val="tbRl"/>
            <w:vAlign w:val="center"/>
          </w:tcPr>
          <w:p w14:paraId="016C5A5C" w14:textId="77777777" w:rsidR="00074551" w:rsidRPr="00E50B51" w:rsidRDefault="00074551" w:rsidP="00367133">
            <w:pPr>
              <w:ind w:left="113" w:right="113"/>
              <w:jc w:val="both"/>
              <w:rPr>
                <w:sz w:val="20"/>
                <w:szCs w:val="20"/>
                <w:lang w:val="en-US"/>
              </w:rPr>
            </w:pPr>
            <w:r w:rsidRPr="00BE3728">
              <w:rPr>
                <w:sz w:val="20"/>
                <w:szCs w:val="20"/>
                <w:lang w:val="en-US"/>
              </w:rPr>
              <w:t>Defamation</w:t>
            </w:r>
          </w:p>
        </w:tc>
        <w:tc>
          <w:tcPr>
            <w:tcW w:w="401" w:type="pct"/>
            <w:shd w:val="clear" w:color="auto" w:fill="E7E6E6" w:themeFill="background2"/>
          </w:tcPr>
          <w:p w14:paraId="34D31C77" w14:textId="77777777" w:rsidR="00074551" w:rsidRPr="00E50B51" w:rsidRDefault="00074551" w:rsidP="00367133">
            <w:pPr>
              <w:jc w:val="center"/>
              <w:rPr>
                <w:sz w:val="20"/>
                <w:szCs w:val="20"/>
                <w:lang w:val="en-US"/>
              </w:rPr>
            </w:pPr>
            <w:r w:rsidRPr="00BE3728">
              <w:rPr>
                <w:sz w:val="20"/>
                <w:szCs w:val="20"/>
                <w:lang w:val="en-US"/>
              </w:rPr>
              <w:t>Torts</w:t>
            </w:r>
          </w:p>
        </w:tc>
        <w:tc>
          <w:tcPr>
            <w:tcW w:w="1594" w:type="pct"/>
            <w:shd w:val="clear" w:color="auto" w:fill="E7E6E6" w:themeFill="background2"/>
            <w:vAlign w:val="center"/>
          </w:tcPr>
          <w:p w14:paraId="21F7DF0B" w14:textId="77777777" w:rsidR="00074551" w:rsidRPr="00E50B51" w:rsidRDefault="00074551" w:rsidP="00367133">
            <w:pPr>
              <w:jc w:val="both"/>
              <w:rPr>
                <w:sz w:val="20"/>
                <w:szCs w:val="20"/>
              </w:rPr>
            </w:pPr>
          </w:p>
        </w:tc>
        <w:tc>
          <w:tcPr>
            <w:tcW w:w="1822" w:type="pct"/>
            <w:shd w:val="clear" w:color="auto" w:fill="E7E6E6" w:themeFill="background2"/>
          </w:tcPr>
          <w:p w14:paraId="3D3477DC" w14:textId="6EAC9BAF" w:rsidR="00074551" w:rsidRPr="00A15DB3" w:rsidRDefault="00A15DB3" w:rsidP="00A15DB3">
            <w:pPr>
              <w:rPr>
                <w:sz w:val="16"/>
                <w:szCs w:val="16"/>
                <w:lang w:val="en-US"/>
              </w:rPr>
            </w:pPr>
            <w:r w:rsidRPr="00A15DB3">
              <w:rPr>
                <w:i/>
                <w:iCs/>
                <w:sz w:val="16"/>
                <w:szCs w:val="16"/>
              </w:rPr>
              <w:t>Thematische Gliederung der nachfolgenden Entscheidungen ↓</w:t>
            </w:r>
          </w:p>
        </w:tc>
      </w:tr>
      <w:tr w:rsidR="00074551" w:rsidRPr="00E50B51" w14:paraId="39310DD7" w14:textId="77777777" w:rsidTr="00BE689F">
        <w:trPr>
          <w:cantSplit/>
          <w:trHeight w:val="3175"/>
        </w:trPr>
        <w:tc>
          <w:tcPr>
            <w:tcW w:w="293" w:type="pct"/>
          </w:tcPr>
          <w:p w14:paraId="5905ABF4" w14:textId="77777777" w:rsidR="00074551" w:rsidRPr="00E50B51" w:rsidRDefault="00074551" w:rsidP="00367133">
            <w:pPr>
              <w:ind w:right="416"/>
              <w:jc w:val="center"/>
              <w:rPr>
                <w:sz w:val="20"/>
                <w:szCs w:val="20"/>
              </w:rPr>
            </w:pPr>
            <w:r>
              <w:rPr>
                <w:sz w:val="20"/>
                <w:szCs w:val="20"/>
              </w:rPr>
              <w:lastRenderedPageBreak/>
              <w:t>H</w:t>
            </w:r>
          </w:p>
        </w:tc>
        <w:tc>
          <w:tcPr>
            <w:tcW w:w="387" w:type="pct"/>
            <w:textDirection w:val="tbRl"/>
            <w:vAlign w:val="center"/>
          </w:tcPr>
          <w:p w14:paraId="49A28402" w14:textId="77777777" w:rsidR="00074551" w:rsidRPr="00E50B51" w:rsidRDefault="00074551" w:rsidP="00367133">
            <w:pPr>
              <w:ind w:left="113" w:right="416"/>
              <w:jc w:val="both"/>
              <w:rPr>
                <w:sz w:val="20"/>
                <w:szCs w:val="20"/>
              </w:rPr>
            </w:pPr>
            <w:r w:rsidRPr="009E57E1">
              <w:rPr>
                <w:i/>
                <w:sz w:val="20"/>
                <w:szCs w:val="20"/>
              </w:rPr>
              <w:t>White v. Nicholls</w:t>
            </w:r>
          </w:p>
        </w:tc>
        <w:tc>
          <w:tcPr>
            <w:tcW w:w="197" w:type="pct"/>
            <w:textDirection w:val="tbRl"/>
            <w:vAlign w:val="center"/>
          </w:tcPr>
          <w:p w14:paraId="7AAF2ECB" w14:textId="77777777" w:rsidR="00074551" w:rsidRPr="00E50B51" w:rsidRDefault="00074551" w:rsidP="00367133">
            <w:pPr>
              <w:ind w:left="113" w:right="113"/>
              <w:jc w:val="both"/>
              <w:rPr>
                <w:sz w:val="20"/>
                <w:szCs w:val="20"/>
                <w:lang w:val="en-US"/>
              </w:rPr>
            </w:pPr>
            <w:r w:rsidRPr="00BE3728">
              <w:rPr>
                <w:sz w:val="20"/>
                <w:szCs w:val="20"/>
              </w:rPr>
              <w:t>44 U.S. 266</w:t>
            </w:r>
          </w:p>
        </w:tc>
        <w:tc>
          <w:tcPr>
            <w:tcW w:w="306" w:type="pct"/>
            <w:textDirection w:val="tbRl"/>
            <w:vAlign w:val="center"/>
          </w:tcPr>
          <w:p w14:paraId="2DA31B6E" w14:textId="77777777" w:rsidR="00074551" w:rsidRPr="00E50B51" w:rsidRDefault="00074551" w:rsidP="00367133">
            <w:pPr>
              <w:ind w:left="113" w:right="113"/>
              <w:jc w:val="both"/>
              <w:rPr>
                <w:sz w:val="20"/>
                <w:szCs w:val="20"/>
                <w:lang w:val="en-US"/>
              </w:rPr>
            </w:pPr>
            <w:r w:rsidRPr="00BE3728">
              <w:rPr>
                <w:sz w:val="20"/>
                <w:szCs w:val="20"/>
              </w:rPr>
              <w:t>11. Februar 1845</w:t>
            </w:r>
          </w:p>
        </w:tc>
        <w:tc>
          <w:tcPr>
            <w:tcW w:w="401" w:type="pct"/>
          </w:tcPr>
          <w:p w14:paraId="65602433"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34599F2E"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ein Urteil auf, das eine Verleumdungsklage eines öffentlichen Amtsträgers a.D. ablehnte. Der ehemalige Amtsträger obsiegte also. Er trug vor, dass die Vorinstanz</w:t>
            </w:r>
            <w:r>
              <w:rPr>
                <w:sz w:val="20"/>
                <w:szCs w:val="20"/>
              </w:rPr>
              <w:t>en</w:t>
            </w:r>
            <w:r w:rsidRPr="00BE3728">
              <w:rPr>
                <w:sz w:val="20"/>
                <w:szCs w:val="20"/>
              </w:rPr>
              <w:t xml:space="preserve"> Beweis</w:t>
            </w:r>
            <w:r>
              <w:rPr>
                <w:sz w:val="20"/>
                <w:szCs w:val="20"/>
              </w:rPr>
              <w:t>e</w:t>
            </w:r>
            <w:r w:rsidRPr="00BE3728">
              <w:rPr>
                <w:sz w:val="20"/>
                <w:szCs w:val="20"/>
              </w:rPr>
              <w:t xml:space="preserve"> aus</w:t>
            </w:r>
            <w:r>
              <w:rPr>
                <w:sz w:val="20"/>
                <w:szCs w:val="20"/>
              </w:rPr>
              <w:t>ge</w:t>
            </w:r>
            <w:r w:rsidRPr="00BE3728">
              <w:rPr>
                <w:sz w:val="20"/>
                <w:szCs w:val="20"/>
              </w:rPr>
              <w:t xml:space="preserve">schlossen </w:t>
            </w:r>
            <w:r>
              <w:rPr>
                <w:sz w:val="20"/>
                <w:szCs w:val="20"/>
              </w:rPr>
              <w:t xml:space="preserve">hatten </w:t>
            </w:r>
            <w:r w:rsidRPr="00BE3728">
              <w:rPr>
                <w:sz w:val="20"/>
                <w:szCs w:val="20"/>
              </w:rPr>
              <w:t xml:space="preserve">wie Briefe der beklagten Regierungsbeamten, die ihn belasteten und seine Amtsenthebung forderten. Diese Briefe waren aber wesentlich für sein Klagevorbringen. Die Vorinstanzen hätten gerade sie auf Verleumdung und üble Nachrede prüfen sollen. Aber </w:t>
            </w:r>
            <w:r>
              <w:rPr>
                <w:sz w:val="20"/>
                <w:szCs w:val="20"/>
              </w:rPr>
              <w:t xml:space="preserve">sie hatten argumentiert, </w:t>
            </w:r>
            <w:r w:rsidRPr="00BE3728">
              <w:rPr>
                <w:sz w:val="20"/>
                <w:szCs w:val="20"/>
              </w:rPr>
              <w:t xml:space="preserve">solche Briefe seien grundsätzlich unverwertbar. Dennoch entschied der </w:t>
            </w:r>
            <w:r>
              <w:rPr>
                <w:sz w:val="20"/>
                <w:szCs w:val="20"/>
              </w:rPr>
              <w:t>U.S. Supreme Court</w:t>
            </w:r>
            <w:r w:rsidRPr="00BE3728">
              <w:rPr>
                <w:sz w:val="20"/>
                <w:szCs w:val="20"/>
              </w:rPr>
              <w:t xml:space="preserve">, die Briefe hätten vor der Jury verlesen werden müssen. Nur damit hätten sie über die Verleumdung und üble Nachrede urteilen können. Der Fall wurde daher zur erneuten Verhandlung zurückverwiesen – unter Zugrundelegung der Rechtsansicht des </w:t>
            </w:r>
            <w:r>
              <w:rPr>
                <w:sz w:val="20"/>
                <w:szCs w:val="20"/>
              </w:rPr>
              <w:t>U.S. Supreme Court</w:t>
            </w:r>
            <w:r w:rsidRPr="00BE3728">
              <w:rPr>
                <w:sz w:val="20"/>
                <w:szCs w:val="20"/>
              </w:rPr>
              <w:t xml:space="preserve">, nämlich: </w:t>
            </w:r>
            <w:r>
              <w:rPr>
                <w:sz w:val="20"/>
                <w:szCs w:val="20"/>
              </w:rPr>
              <w:t>d</w:t>
            </w:r>
            <w:r w:rsidRPr="00BE3728">
              <w:rPr>
                <w:sz w:val="20"/>
                <w:szCs w:val="20"/>
              </w:rPr>
              <w:t>ie Briefe als Beweismittel zuzulassen.</w:t>
            </w:r>
            <w:r w:rsidRPr="00BE3728">
              <w:rPr>
                <w:rStyle w:val="Funotenzeichen"/>
                <w:sz w:val="20"/>
                <w:szCs w:val="20"/>
              </w:rPr>
              <w:footnoteReference w:id="881"/>
            </w:r>
          </w:p>
          <w:p w14:paraId="6D3C7BB4" w14:textId="77777777" w:rsidR="00074551" w:rsidRPr="00E50B51" w:rsidRDefault="00074551" w:rsidP="00367133">
            <w:pPr>
              <w:jc w:val="both"/>
              <w:rPr>
                <w:sz w:val="20"/>
                <w:szCs w:val="20"/>
              </w:rPr>
            </w:pPr>
          </w:p>
        </w:tc>
        <w:tc>
          <w:tcPr>
            <w:tcW w:w="1822" w:type="pct"/>
          </w:tcPr>
          <w:p w14:paraId="446299FB" w14:textId="77777777" w:rsidR="00074551" w:rsidRPr="00B45592" w:rsidRDefault="00074551" w:rsidP="00367133">
            <w:pPr>
              <w:jc w:val="both"/>
              <w:rPr>
                <w:i/>
                <w:sz w:val="20"/>
                <w:szCs w:val="20"/>
                <w:lang w:val="fr-FR"/>
              </w:rPr>
            </w:pPr>
            <w:r w:rsidRPr="00B45592">
              <w:rPr>
                <w:i/>
                <w:sz w:val="20"/>
                <w:szCs w:val="20"/>
                <w:lang w:val="fr-FR"/>
              </w:rPr>
              <w:t>LexisNexis-</w:t>
            </w:r>
            <w:proofErr w:type="spellStart"/>
            <w:proofErr w:type="gramStart"/>
            <w:r w:rsidRPr="00B45592">
              <w:rPr>
                <w:i/>
                <w:sz w:val="20"/>
                <w:szCs w:val="20"/>
                <w:lang w:val="fr-FR"/>
              </w:rPr>
              <w:t>Klassifikation</w:t>
            </w:r>
            <w:proofErr w:type="spellEnd"/>
            <w:r w:rsidRPr="00B45592">
              <w:rPr>
                <w:i/>
                <w:sz w:val="20"/>
                <w:szCs w:val="20"/>
                <w:lang w:val="fr-FR"/>
              </w:rPr>
              <w:t>:</w:t>
            </w:r>
            <w:proofErr w:type="gramEnd"/>
            <w:r w:rsidRPr="00B45592">
              <w:rPr>
                <w:i/>
                <w:sz w:val="20"/>
                <w:szCs w:val="20"/>
                <w:lang w:val="fr-FR"/>
              </w:rPr>
              <w:t xml:space="preserve"> Torts › </w:t>
            </w:r>
            <w:proofErr w:type="spellStart"/>
            <w:r w:rsidRPr="00B45592">
              <w:rPr>
                <w:i/>
                <w:sz w:val="20"/>
                <w:szCs w:val="20"/>
                <w:lang w:val="fr-FR"/>
              </w:rPr>
              <w:t>Intentional</w:t>
            </w:r>
            <w:proofErr w:type="spellEnd"/>
            <w:r w:rsidRPr="00B45592">
              <w:rPr>
                <w:i/>
                <w:sz w:val="20"/>
                <w:szCs w:val="20"/>
                <w:lang w:val="fr-FR"/>
              </w:rPr>
              <w:t xml:space="preserve"> Torts › </w:t>
            </w:r>
            <w:proofErr w:type="spellStart"/>
            <w:r w:rsidRPr="00B45592">
              <w:rPr>
                <w:i/>
                <w:sz w:val="20"/>
                <w:szCs w:val="20"/>
                <w:lang w:val="fr-FR"/>
              </w:rPr>
              <w:t>Defamation</w:t>
            </w:r>
            <w:proofErr w:type="spellEnd"/>
          </w:p>
          <w:p w14:paraId="15BA1A1D" w14:textId="77777777" w:rsidR="00074551" w:rsidRPr="00B45592" w:rsidRDefault="00074551" w:rsidP="00367133">
            <w:pPr>
              <w:jc w:val="both"/>
              <w:rPr>
                <w:sz w:val="20"/>
                <w:szCs w:val="20"/>
                <w:lang w:val="fr-FR"/>
              </w:rPr>
            </w:pPr>
          </w:p>
          <w:p w14:paraId="1F887B8A" w14:textId="77777777" w:rsidR="00074551" w:rsidRPr="00BE3728" w:rsidRDefault="00074551" w:rsidP="00367133">
            <w:pPr>
              <w:jc w:val="both"/>
              <w:rPr>
                <w:sz w:val="20"/>
                <w:szCs w:val="20"/>
              </w:rPr>
            </w:pPr>
            <w:r w:rsidRPr="00BE3728">
              <w:rPr>
                <w:sz w:val="20"/>
                <w:szCs w:val="20"/>
              </w:rPr>
              <w:t>Die Lehre über die Verleumdung und üble Nachrede („</w:t>
            </w:r>
            <w:proofErr w:type="spellStart"/>
            <w:r w:rsidRPr="00BE3728">
              <w:rPr>
                <w:sz w:val="20"/>
                <w:szCs w:val="20"/>
              </w:rPr>
              <w:t>doctrines</w:t>
            </w:r>
            <w:proofErr w:type="spellEnd"/>
            <w:r w:rsidRPr="00BE3728">
              <w:rPr>
                <w:sz w:val="20"/>
                <w:szCs w:val="20"/>
              </w:rPr>
              <w:t xml:space="preserve"> of </w:t>
            </w:r>
            <w:proofErr w:type="spellStart"/>
            <w:r w:rsidRPr="00BE3728">
              <w:rPr>
                <w:sz w:val="20"/>
                <w:szCs w:val="20"/>
              </w:rPr>
              <w:t>slander</w:t>
            </w:r>
            <w:proofErr w:type="spellEnd"/>
            <w:r w:rsidRPr="00BE3728">
              <w:rPr>
                <w:sz w:val="20"/>
                <w:szCs w:val="20"/>
              </w:rPr>
              <w:t xml:space="preserve"> and </w:t>
            </w:r>
            <w:proofErr w:type="spellStart"/>
            <w:r w:rsidRPr="00BE3728">
              <w:rPr>
                <w:sz w:val="20"/>
                <w:szCs w:val="20"/>
              </w:rPr>
              <w:t>libel</w:t>
            </w:r>
            <w:proofErr w:type="spellEnd"/>
            <w:r w:rsidRPr="00BE3728">
              <w:rPr>
                <w:sz w:val="20"/>
                <w:szCs w:val="20"/>
              </w:rPr>
              <w:t>“</w:t>
            </w:r>
            <w:r w:rsidRPr="00BE3728">
              <w:rPr>
                <w:rStyle w:val="Funotenzeichen"/>
                <w:sz w:val="20"/>
                <w:szCs w:val="20"/>
              </w:rPr>
              <w:footnoteReference w:id="882"/>
            </w:r>
            <w:r w:rsidRPr="00BE3728">
              <w:rPr>
                <w:sz w:val="20"/>
                <w:szCs w:val="20"/>
              </w:rPr>
              <w:t xml:space="preserve">) erweiterte der </w:t>
            </w:r>
            <w:r>
              <w:rPr>
                <w:sz w:val="20"/>
                <w:szCs w:val="20"/>
              </w:rPr>
              <w:t>U.S. Supreme Court</w:t>
            </w:r>
            <w:r w:rsidRPr="00BE3728">
              <w:rPr>
                <w:sz w:val="20"/>
                <w:szCs w:val="20"/>
              </w:rPr>
              <w:t xml:space="preserve">. </w:t>
            </w:r>
            <w:r w:rsidRPr="00BE3728">
              <w:rPr>
                <w:sz w:val="20"/>
                <w:szCs w:val="20"/>
                <w:lang w:val="en-US"/>
              </w:rPr>
              <w:t xml:space="preserve">Das Glück und die </w:t>
            </w:r>
            <w:proofErr w:type="spellStart"/>
            <w:r w:rsidRPr="00BE3728">
              <w:rPr>
                <w:sz w:val="20"/>
                <w:szCs w:val="20"/>
                <w:lang w:val="en-US"/>
              </w:rPr>
              <w:t>öffentliche</w:t>
            </w:r>
            <w:proofErr w:type="spellEnd"/>
            <w:r w:rsidRPr="00BE3728">
              <w:rPr>
                <w:sz w:val="20"/>
                <w:szCs w:val="20"/>
                <w:lang w:val="en-US"/>
              </w:rPr>
              <w:t xml:space="preserve"> Ordnung </w:t>
            </w:r>
            <w:proofErr w:type="spellStart"/>
            <w:r w:rsidRPr="00BE3728">
              <w:rPr>
                <w:sz w:val="20"/>
                <w:szCs w:val="20"/>
                <w:lang w:val="en-US"/>
              </w:rPr>
              <w:t>begründe</w:t>
            </w:r>
            <w:r>
              <w:rPr>
                <w:sz w:val="20"/>
                <w:szCs w:val="20"/>
                <w:lang w:val="en-US"/>
              </w:rPr>
              <w:t>te</w:t>
            </w:r>
            <w:r w:rsidRPr="00BE3728">
              <w:rPr>
                <w:sz w:val="20"/>
                <w:szCs w:val="20"/>
                <w:lang w:val="en-US"/>
              </w:rPr>
              <w:t>n</w:t>
            </w:r>
            <w:proofErr w:type="spellEnd"/>
            <w:r w:rsidRPr="00BE3728">
              <w:rPr>
                <w:sz w:val="20"/>
                <w:szCs w:val="20"/>
                <w:lang w:val="en-US"/>
              </w:rPr>
              <w:t xml:space="preserve"> die </w:t>
            </w:r>
            <w:proofErr w:type="spellStart"/>
            <w:r w:rsidRPr="00BE3728">
              <w:rPr>
                <w:sz w:val="20"/>
                <w:szCs w:val="20"/>
                <w:lang w:val="en-US"/>
              </w:rPr>
              <w:t>Erweiterungen</w:t>
            </w:r>
            <w:proofErr w:type="spellEnd"/>
            <w:r w:rsidRPr="00BE3728">
              <w:rPr>
                <w:sz w:val="20"/>
                <w:szCs w:val="20"/>
                <w:lang w:val="en-US"/>
              </w:rPr>
              <w:t xml:space="preserve"> („examination, extended as it may seem to have been, has been called for by the importance of a subject most intimately connected with the rights and happiness of </w:t>
            </w:r>
            <w:proofErr w:type="gramStart"/>
            <w:r w:rsidRPr="00BE3728">
              <w:rPr>
                <w:sz w:val="20"/>
                <w:szCs w:val="20"/>
                <w:lang w:val="en-US"/>
              </w:rPr>
              <w:t>individuals“</w:t>
            </w:r>
            <w:proofErr w:type="gramEnd"/>
            <w:r w:rsidRPr="00BE3728">
              <w:rPr>
                <w:rStyle w:val="Funotenzeichen"/>
                <w:sz w:val="20"/>
                <w:szCs w:val="20"/>
              </w:rPr>
              <w:footnoteReference w:id="883"/>
            </w:r>
            <w:r w:rsidRPr="00BE3728">
              <w:rPr>
                <w:sz w:val="20"/>
                <w:szCs w:val="20"/>
                <w:lang w:val="en-US"/>
              </w:rPr>
              <w:t xml:space="preserve">). </w:t>
            </w:r>
            <w:r w:rsidRPr="00BE3728">
              <w:rPr>
                <w:sz w:val="20"/>
                <w:szCs w:val="20"/>
              </w:rPr>
              <w:t xml:space="preserve">Eine </w:t>
            </w:r>
            <w:r>
              <w:rPr>
                <w:sz w:val="20"/>
                <w:szCs w:val="20"/>
              </w:rPr>
              <w:t>davon</w:t>
            </w:r>
            <w:r w:rsidRPr="00BE3728">
              <w:rPr>
                <w:sz w:val="20"/>
                <w:szCs w:val="20"/>
              </w:rPr>
              <w:t xml:space="preserve"> laute: Wenn eine Veröffentlichung ein strafbares Verhalten unterstelle, dann gelte die Veröffentlichung zunächst als Verleumdung. Der betroffene Kläger habe nur die Veröffentlichung nachzuweisen. Wohingegen Rechtfertigungs- und Entschuldigungsgründe – sog. privilegierte Mitteilungen – sowie die Milderung vom Beklagten vorzutragen </w:t>
            </w:r>
            <w:r>
              <w:rPr>
                <w:sz w:val="20"/>
                <w:szCs w:val="20"/>
              </w:rPr>
              <w:t>seien</w:t>
            </w:r>
            <w:r w:rsidRPr="00BE3728">
              <w:rPr>
                <w:sz w:val="20"/>
                <w:szCs w:val="20"/>
              </w:rPr>
              <w:t>.</w:t>
            </w:r>
            <w:r w:rsidRPr="00BE3728">
              <w:rPr>
                <w:rStyle w:val="Funotenzeichen"/>
                <w:sz w:val="20"/>
                <w:szCs w:val="20"/>
              </w:rPr>
              <w:footnoteReference w:id="884"/>
            </w:r>
          </w:p>
          <w:p w14:paraId="51F82F07" w14:textId="77777777" w:rsidR="00074551" w:rsidRPr="00566BC6" w:rsidRDefault="00074551" w:rsidP="00367133">
            <w:pPr>
              <w:jc w:val="both"/>
              <w:rPr>
                <w:sz w:val="20"/>
                <w:szCs w:val="20"/>
              </w:rPr>
            </w:pPr>
          </w:p>
        </w:tc>
      </w:tr>
      <w:tr w:rsidR="00074551" w:rsidRPr="00E50B51" w14:paraId="4B06313C" w14:textId="77777777" w:rsidTr="0089283E">
        <w:trPr>
          <w:cantSplit/>
          <w:trHeight w:val="3175"/>
        </w:trPr>
        <w:tc>
          <w:tcPr>
            <w:tcW w:w="293" w:type="pct"/>
            <w:shd w:val="clear" w:color="auto" w:fill="E7E6E6" w:themeFill="background2"/>
          </w:tcPr>
          <w:p w14:paraId="29ECB2F8"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E7E6E6" w:themeFill="background2"/>
            <w:textDirection w:val="tbRl"/>
            <w:vAlign w:val="center"/>
          </w:tcPr>
          <w:p w14:paraId="789AA0F8"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5F1E31DE" w14:textId="77777777" w:rsidR="00074551" w:rsidRPr="00E50B51" w:rsidRDefault="00074551" w:rsidP="00367133">
            <w:pPr>
              <w:ind w:left="113" w:right="113"/>
              <w:jc w:val="both"/>
              <w:rPr>
                <w:sz w:val="20"/>
                <w:szCs w:val="20"/>
              </w:rPr>
            </w:pPr>
            <w:r w:rsidRPr="00E50B51">
              <w:rPr>
                <w:sz w:val="20"/>
                <w:szCs w:val="20"/>
              </w:rPr>
              <w:t>Freedom of Speech</w:t>
            </w:r>
          </w:p>
        </w:tc>
        <w:tc>
          <w:tcPr>
            <w:tcW w:w="306" w:type="pct"/>
            <w:shd w:val="clear" w:color="auto" w:fill="E7E6E6" w:themeFill="background2"/>
            <w:textDirection w:val="tbRl"/>
            <w:vAlign w:val="center"/>
          </w:tcPr>
          <w:p w14:paraId="246C0185" w14:textId="77777777" w:rsidR="00074551" w:rsidRPr="00E50B51" w:rsidRDefault="00074551" w:rsidP="00367133">
            <w:pPr>
              <w:ind w:left="113" w:right="113"/>
              <w:jc w:val="both"/>
              <w:rPr>
                <w:sz w:val="20"/>
                <w:szCs w:val="20"/>
              </w:rPr>
            </w:pPr>
            <w:r w:rsidRPr="00E50B51">
              <w:rPr>
                <w:sz w:val="20"/>
                <w:szCs w:val="20"/>
              </w:rPr>
              <w:t>Political Speech</w:t>
            </w:r>
          </w:p>
        </w:tc>
        <w:tc>
          <w:tcPr>
            <w:tcW w:w="401" w:type="pct"/>
            <w:shd w:val="clear" w:color="auto" w:fill="E7E6E6" w:themeFill="background2"/>
          </w:tcPr>
          <w:p w14:paraId="5E83060F"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38C56DF" w14:textId="77777777" w:rsidR="00074551" w:rsidRPr="00E50B51" w:rsidRDefault="00074551" w:rsidP="00367133">
            <w:pPr>
              <w:jc w:val="both"/>
              <w:rPr>
                <w:sz w:val="20"/>
                <w:szCs w:val="20"/>
              </w:rPr>
            </w:pPr>
          </w:p>
        </w:tc>
        <w:tc>
          <w:tcPr>
            <w:tcW w:w="1822" w:type="pct"/>
            <w:shd w:val="clear" w:color="auto" w:fill="E7E6E6" w:themeFill="background2"/>
          </w:tcPr>
          <w:p w14:paraId="19ED98A8" w14:textId="082D5C6C"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0911110B" w14:textId="77777777" w:rsidTr="00BE689F">
        <w:trPr>
          <w:cantSplit/>
          <w:trHeight w:val="3175"/>
        </w:trPr>
        <w:tc>
          <w:tcPr>
            <w:tcW w:w="293" w:type="pct"/>
          </w:tcPr>
          <w:p w14:paraId="479B9A3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77844DD" w14:textId="77777777" w:rsidR="00074551" w:rsidRPr="00E50B51" w:rsidRDefault="00074551" w:rsidP="00367133">
            <w:pPr>
              <w:ind w:left="113" w:right="416"/>
              <w:jc w:val="both"/>
              <w:rPr>
                <w:sz w:val="20"/>
                <w:szCs w:val="20"/>
                <w:lang w:val="en-US"/>
              </w:rPr>
            </w:pPr>
            <w:r w:rsidRPr="009167A5">
              <w:rPr>
                <w:i/>
                <w:sz w:val="20"/>
                <w:szCs w:val="20"/>
                <w:lang w:val="en-US"/>
              </w:rPr>
              <w:t>Pruneyard Shopping Ctr. v. Robins</w:t>
            </w:r>
          </w:p>
        </w:tc>
        <w:tc>
          <w:tcPr>
            <w:tcW w:w="197" w:type="pct"/>
            <w:textDirection w:val="tbRl"/>
            <w:vAlign w:val="center"/>
          </w:tcPr>
          <w:p w14:paraId="1BF6A90E" w14:textId="77777777" w:rsidR="00074551" w:rsidRPr="00E50B51" w:rsidRDefault="00074551" w:rsidP="00367133">
            <w:pPr>
              <w:ind w:left="113" w:right="113"/>
              <w:jc w:val="both"/>
              <w:rPr>
                <w:sz w:val="20"/>
                <w:szCs w:val="20"/>
                <w:lang w:val="en-US"/>
              </w:rPr>
            </w:pPr>
            <w:r w:rsidRPr="00E50B51">
              <w:rPr>
                <w:sz w:val="20"/>
                <w:szCs w:val="20"/>
                <w:lang w:val="en-US"/>
              </w:rPr>
              <w:t>447 U.S. 74</w:t>
            </w:r>
          </w:p>
        </w:tc>
        <w:tc>
          <w:tcPr>
            <w:tcW w:w="306" w:type="pct"/>
            <w:textDirection w:val="tbRl"/>
            <w:vAlign w:val="center"/>
          </w:tcPr>
          <w:p w14:paraId="60C03E99" w14:textId="77777777" w:rsidR="00074551" w:rsidRPr="00E50B51" w:rsidRDefault="00074551" w:rsidP="00367133">
            <w:pPr>
              <w:ind w:left="113" w:right="113"/>
              <w:jc w:val="both"/>
              <w:rPr>
                <w:sz w:val="20"/>
                <w:szCs w:val="20"/>
                <w:lang w:val="en-US"/>
              </w:rPr>
            </w:pPr>
            <w:r w:rsidRPr="00E50B51">
              <w:rPr>
                <w:sz w:val="20"/>
                <w:szCs w:val="20"/>
                <w:lang w:val="en-US"/>
              </w:rPr>
              <w:t>9. Juni 1980</w:t>
            </w:r>
          </w:p>
        </w:tc>
        <w:tc>
          <w:tcPr>
            <w:tcW w:w="401" w:type="pct"/>
          </w:tcPr>
          <w:p w14:paraId="4A2E5C7B" w14:textId="77777777" w:rsidR="00074551" w:rsidRPr="00E50B51" w:rsidRDefault="00074551" w:rsidP="00367133">
            <w:pPr>
              <w:jc w:val="center"/>
              <w:rPr>
                <w:sz w:val="20"/>
                <w:szCs w:val="20"/>
                <w:lang w:val="en-US"/>
              </w:rPr>
            </w:pPr>
            <w:r w:rsidRPr="00E50B51">
              <w:rPr>
                <w:sz w:val="20"/>
                <w:szCs w:val="20"/>
                <w:lang w:val="en-US"/>
              </w:rPr>
              <w:t>C</w:t>
            </w:r>
          </w:p>
        </w:tc>
        <w:tc>
          <w:tcPr>
            <w:tcW w:w="1594" w:type="pct"/>
          </w:tcPr>
          <w:p w14:paraId="6F9EBFE9"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383536B2" w14:textId="77777777" w:rsidR="00074551" w:rsidRPr="00A3524C" w:rsidRDefault="00074551" w:rsidP="00367133">
            <w:pPr>
              <w:jc w:val="both"/>
              <w:rPr>
                <w:sz w:val="20"/>
                <w:szCs w:val="20"/>
              </w:rPr>
            </w:pPr>
            <w:r w:rsidRPr="00A3524C">
              <w:rPr>
                <w:sz w:val="20"/>
                <w:szCs w:val="20"/>
              </w:rPr>
              <w:t xml:space="preserve">In </w:t>
            </w:r>
            <w:proofErr w:type="spellStart"/>
            <w:r w:rsidRPr="009167A5">
              <w:rPr>
                <w:i/>
                <w:sz w:val="20"/>
                <w:szCs w:val="20"/>
              </w:rPr>
              <w:t>Pruneyard</w:t>
            </w:r>
            <w:proofErr w:type="spellEnd"/>
            <w:r w:rsidRPr="009167A5">
              <w:rPr>
                <w:i/>
                <w:sz w:val="20"/>
                <w:szCs w:val="20"/>
              </w:rPr>
              <w:t xml:space="preserve"> Shopping </w:t>
            </w:r>
            <w:proofErr w:type="spellStart"/>
            <w:r w:rsidRPr="009167A5">
              <w:rPr>
                <w:i/>
                <w:sz w:val="20"/>
                <w:szCs w:val="20"/>
              </w:rPr>
              <w:t>Ctr</w:t>
            </w:r>
            <w:proofErr w:type="spellEnd"/>
            <w:r w:rsidRPr="009167A5">
              <w:rPr>
                <w:i/>
                <w:sz w:val="20"/>
                <w:szCs w:val="20"/>
              </w:rPr>
              <w:t>. v. Robins</w:t>
            </w:r>
            <w:r w:rsidRPr="00A3524C">
              <w:rPr>
                <w:sz w:val="20"/>
                <w:szCs w:val="20"/>
              </w:rPr>
              <w:t xml:space="preserve"> erklärt der </w:t>
            </w:r>
            <w:r>
              <w:rPr>
                <w:sz w:val="20"/>
                <w:szCs w:val="20"/>
              </w:rPr>
              <w:t>U.S. Supreme Court</w:t>
            </w:r>
            <w:r w:rsidRPr="00A3524C">
              <w:rPr>
                <w:sz w:val="20"/>
                <w:szCs w:val="20"/>
              </w:rPr>
              <w:t>, dass das Streben nach Glück das staatliche Handeln begrenzt und der Staat es nicht abbedingen kann. Zum Streben nach Glück gehört die politische Äußerung.</w:t>
            </w:r>
          </w:p>
          <w:p w14:paraId="58B01596" w14:textId="77777777" w:rsidR="00074551" w:rsidRDefault="00074551" w:rsidP="00367133">
            <w:pPr>
              <w:jc w:val="both"/>
              <w:rPr>
                <w:sz w:val="20"/>
                <w:szCs w:val="20"/>
              </w:rPr>
            </w:pPr>
            <w:r w:rsidRPr="00A3524C">
              <w:rPr>
                <w:sz w:val="20"/>
                <w:szCs w:val="20"/>
              </w:rPr>
              <w:t xml:space="preserve">Zunächst weist der </w:t>
            </w:r>
            <w:r>
              <w:rPr>
                <w:sz w:val="20"/>
                <w:szCs w:val="20"/>
              </w:rPr>
              <w:t>U.S. Supreme Court</w:t>
            </w:r>
            <w:r w:rsidRPr="00A3524C">
              <w:rPr>
                <w:sz w:val="20"/>
                <w:szCs w:val="20"/>
              </w:rPr>
              <w:t xml:space="preserve"> die politische Äußerung, sog. </w:t>
            </w:r>
            <w:proofErr w:type="spellStart"/>
            <w:r w:rsidRPr="5B67C1D2">
              <w:rPr>
                <w:i/>
                <w:iCs/>
                <w:sz w:val="20"/>
                <w:szCs w:val="20"/>
              </w:rPr>
              <w:t>political</w:t>
            </w:r>
            <w:proofErr w:type="spellEnd"/>
            <w:r w:rsidRPr="5B67C1D2">
              <w:rPr>
                <w:i/>
                <w:iCs/>
                <w:sz w:val="20"/>
                <w:szCs w:val="20"/>
              </w:rPr>
              <w:t xml:space="preserve"> </w:t>
            </w:r>
            <w:proofErr w:type="spellStart"/>
            <w:r w:rsidRPr="5B67C1D2">
              <w:rPr>
                <w:i/>
                <w:iCs/>
                <w:sz w:val="20"/>
                <w:szCs w:val="20"/>
              </w:rPr>
              <w:t>speech</w:t>
            </w:r>
            <w:proofErr w:type="spellEnd"/>
            <w:r w:rsidRPr="00A3524C">
              <w:rPr>
                <w:sz w:val="20"/>
                <w:szCs w:val="20"/>
              </w:rPr>
              <w:t xml:space="preserve">, dem Schutzbereich der Meinungsfreiheit, sog. </w:t>
            </w:r>
            <w:proofErr w:type="spellStart"/>
            <w:r w:rsidRPr="5B67C1D2">
              <w:rPr>
                <w:i/>
                <w:iCs/>
                <w:sz w:val="20"/>
                <w:szCs w:val="20"/>
              </w:rPr>
              <w:t>freedom</w:t>
            </w:r>
            <w:proofErr w:type="spellEnd"/>
            <w:r w:rsidRPr="5B67C1D2">
              <w:rPr>
                <w:i/>
                <w:iCs/>
                <w:sz w:val="20"/>
                <w:szCs w:val="20"/>
              </w:rPr>
              <w:t xml:space="preserve"> of </w:t>
            </w:r>
            <w:proofErr w:type="spellStart"/>
            <w:r w:rsidRPr="5B67C1D2">
              <w:rPr>
                <w:i/>
                <w:iCs/>
                <w:sz w:val="20"/>
                <w:szCs w:val="20"/>
              </w:rPr>
              <w:t>speech</w:t>
            </w:r>
            <w:proofErr w:type="spellEnd"/>
            <w:r>
              <w:rPr>
                <w:sz w:val="20"/>
                <w:szCs w:val="20"/>
              </w:rPr>
              <w:t>,</w:t>
            </w:r>
            <w:r w:rsidRPr="00A3524C">
              <w:rPr>
                <w:sz w:val="20"/>
                <w:szCs w:val="20"/>
              </w:rPr>
              <w:t xml:space="preserve"> gem</w:t>
            </w:r>
            <w:r>
              <w:rPr>
                <w:sz w:val="20"/>
                <w:szCs w:val="20"/>
              </w:rPr>
              <w:t>äß</w:t>
            </w:r>
            <w:r w:rsidRPr="00A3524C">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00352229">
              <w:rPr>
                <w:sz w:val="20"/>
                <w:szCs w:val="20"/>
              </w:rPr>
              <w:t xml:space="preserve"> zu.</w:t>
            </w:r>
            <w:r w:rsidRPr="00A3524C">
              <w:rPr>
                <w:sz w:val="20"/>
                <w:szCs w:val="20"/>
                <w:vertAlign w:val="superscript"/>
                <w:lang w:val="en-US"/>
              </w:rPr>
              <w:footnoteReference w:id="885"/>
            </w:r>
            <w:r w:rsidRPr="005D5028">
              <w:rPr>
                <w:sz w:val="20"/>
                <w:szCs w:val="20"/>
              </w:rPr>
              <w:t xml:space="preserve"> Und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5D5028">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A3524C">
              <w:rPr>
                <w:sz w:val="20"/>
                <w:szCs w:val="20"/>
              </w:rPr>
              <w:t>schütz</w:t>
            </w:r>
            <w:r>
              <w:rPr>
                <w:sz w:val="20"/>
                <w:szCs w:val="20"/>
              </w:rPr>
              <w:t>e</w:t>
            </w:r>
            <w:r w:rsidRPr="00A3524C">
              <w:rPr>
                <w:sz w:val="20"/>
                <w:szCs w:val="20"/>
              </w:rPr>
              <w:t xml:space="preserve"> beide.</w:t>
            </w:r>
            <w:r w:rsidRPr="00A3524C">
              <w:rPr>
                <w:sz w:val="20"/>
                <w:szCs w:val="20"/>
                <w:vertAlign w:val="superscript"/>
                <w:lang w:val="en-US"/>
              </w:rPr>
              <w:footnoteReference w:id="886"/>
            </w:r>
            <w:r w:rsidRPr="00A3524C">
              <w:rPr>
                <w:sz w:val="20"/>
                <w:szCs w:val="20"/>
              </w:rPr>
              <w:t xml:space="preserve"> Denn die im Wortlaut offene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i/>
                <w:iCs/>
                <w:sz w:val="20"/>
                <w:szCs w:val="20"/>
              </w:rPr>
              <w:t xml:space="preserve"> </w:t>
            </w:r>
            <w:r w:rsidRPr="00A3524C">
              <w:rPr>
                <w:sz w:val="20"/>
                <w:szCs w:val="20"/>
              </w:rPr>
              <w:t xml:space="preserve">schützt die Rechte, die wesentlich sind, wie </w:t>
            </w:r>
            <w:r>
              <w:rPr>
                <w:sz w:val="20"/>
                <w:szCs w:val="20"/>
              </w:rPr>
              <w:t>das</w:t>
            </w:r>
            <w:r w:rsidRPr="00A3524C">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A3524C">
              <w:rPr>
                <w:sz w:val="20"/>
                <w:szCs w:val="20"/>
              </w:rPr>
              <w:t xml:space="preserve"> (sog. </w:t>
            </w:r>
            <w:proofErr w:type="gramStart"/>
            <w:r w:rsidRPr="00A3524C">
              <w:rPr>
                <w:sz w:val="20"/>
                <w:szCs w:val="20"/>
              </w:rPr>
              <w:t>„</w:t>
            </w:r>
            <w:r>
              <w:rPr>
                <w:sz w:val="20"/>
                <w:szCs w:val="20"/>
              </w:rPr>
              <w:t>,</w:t>
            </w:r>
            <w:proofErr w:type="spellStart"/>
            <w:r w:rsidRPr="00A3524C">
              <w:rPr>
                <w:sz w:val="20"/>
                <w:szCs w:val="20"/>
              </w:rPr>
              <w:t>core</w:t>
            </w:r>
            <w:proofErr w:type="spellEnd"/>
            <w:proofErr w:type="gramEnd"/>
            <w:r>
              <w:rPr>
                <w:sz w:val="20"/>
                <w:szCs w:val="20"/>
              </w:rPr>
              <w:t>‘</w:t>
            </w:r>
            <w:r w:rsidRPr="00A3524C">
              <w:rPr>
                <w:sz w:val="20"/>
                <w:szCs w:val="20"/>
              </w:rPr>
              <w:t xml:space="preserve"> </w:t>
            </w:r>
            <w:proofErr w:type="spellStart"/>
            <w:r w:rsidRPr="00A3524C">
              <w:rPr>
                <w:sz w:val="20"/>
                <w:szCs w:val="20"/>
              </w:rPr>
              <w:t>common-law</w:t>
            </w:r>
            <w:proofErr w:type="spellEnd"/>
            <w:r w:rsidRPr="00A3524C">
              <w:rPr>
                <w:sz w:val="20"/>
                <w:szCs w:val="20"/>
              </w:rPr>
              <w:t xml:space="preserve"> </w:t>
            </w:r>
            <w:proofErr w:type="spellStart"/>
            <w:r w:rsidRPr="00A3524C">
              <w:rPr>
                <w:sz w:val="20"/>
                <w:szCs w:val="20"/>
              </w:rPr>
              <w:t>rights</w:t>
            </w:r>
            <w:proofErr w:type="spellEnd"/>
            <w:r w:rsidRPr="00A3524C">
              <w:rPr>
                <w:sz w:val="20"/>
                <w:szCs w:val="20"/>
              </w:rPr>
              <w:t>“</w:t>
            </w:r>
            <w:r w:rsidRPr="00A3524C">
              <w:rPr>
                <w:sz w:val="20"/>
                <w:szCs w:val="20"/>
                <w:vertAlign w:val="superscript"/>
              </w:rPr>
              <w:footnoteReference w:id="887"/>
            </w:r>
            <w:r w:rsidRPr="00A3524C">
              <w:rPr>
                <w:sz w:val="20"/>
                <w:szCs w:val="20"/>
              </w:rPr>
              <w:t>)</w:t>
            </w:r>
            <w:r>
              <w:rPr>
                <w:sz w:val="20"/>
                <w:szCs w:val="20"/>
              </w:rPr>
              <w:t>,</w:t>
            </w:r>
            <w:r w:rsidRPr="00A3524C">
              <w:rPr>
                <w:sz w:val="20"/>
                <w:szCs w:val="20"/>
              </w:rPr>
              <w:t xml:space="preserve"> und die die Regierung nicht derogieren kann („</w:t>
            </w:r>
            <w:proofErr w:type="spellStart"/>
            <w:r w:rsidRPr="00A3524C">
              <w:rPr>
                <w:sz w:val="20"/>
                <w:szCs w:val="20"/>
              </w:rPr>
              <w:t>limits</w:t>
            </w:r>
            <w:proofErr w:type="spellEnd"/>
            <w:r w:rsidRPr="00A3524C">
              <w:rPr>
                <w:sz w:val="20"/>
                <w:szCs w:val="20"/>
              </w:rPr>
              <w:t xml:space="preserve"> on </w:t>
            </w:r>
            <w:proofErr w:type="spellStart"/>
            <w:r w:rsidRPr="00A3524C">
              <w:rPr>
                <w:sz w:val="20"/>
                <w:szCs w:val="20"/>
              </w:rPr>
              <w:t>governmental</w:t>
            </w:r>
            <w:proofErr w:type="spellEnd"/>
            <w:r w:rsidRPr="00A3524C">
              <w:rPr>
                <w:sz w:val="20"/>
                <w:szCs w:val="20"/>
              </w:rPr>
              <w:t xml:space="preserve"> </w:t>
            </w:r>
            <w:proofErr w:type="spellStart"/>
            <w:r w:rsidRPr="00A3524C">
              <w:rPr>
                <w:sz w:val="20"/>
                <w:szCs w:val="20"/>
              </w:rPr>
              <w:t>authority</w:t>
            </w:r>
            <w:proofErr w:type="spellEnd"/>
            <w:r w:rsidRPr="00A3524C">
              <w:rPr>
                <w:sz w:val="20"/>
                <w:szCs w:val="20"/>
              </w:rPr>
              <w:t>“</w:t>
            </w:r>
            <w:r w:rsidRPr="00A3524C">
              <w:rPr>
                <w:sz w:val="20"/>
                <w:szCs w:val="20"/>
                <w:vertAlign w:val="superscript"/>
              </w:rPr>
              <w:footnoteReference w:id="888"/>
            </w:r>
            <w:r w:rsidRPr="00A3524C">
              <w:rPr>
                <w:sz w:val="20"/>
                <w:szCs w:val="20"/>
              </w:rPr>
              <w:t>). Ein solch wesentliches Recht ist hier nicht betroffen („</w:t>
            </w:r>
            <w:proofErr w:type="spellStart"/>
            <w:proofErr w:type="gramStart"/>
            <w:r w:rsidRPr="00A3524C">
              <w:rPr>
                <w:sz w:val="20"/>
                <w:szCs w:val="20"/>
              </w:rPr>
              <w:t>That</w:t>
            </w:r>
            <w:proofErr w:type="spellEnd"/>
            <w:r w:rsidRPr="00A3524C">
              <w:rPr>
                <w:sz w:val="20"/>
                <w:szCs w:val="20"/>
              </w:rPr>
              <w:t xml:space="preserve"> </w:t>
            </w:r>
            <w:r>
              <w:rPr>
                <w:sz w:val="20"/>
                <w:szCs w:val="20"/>
              </w:rPr>
              <w:t>,</w:t>
            </w:r>
            <w:proofErr w:type="spellStart"/>
            <w:r w:rsidRPr="00A3524C">
              <w:rPr>
                <w:sz w:val="20"/>
                <w:szCs w:val="20"/>
              </w:rPr>
              <w:t>core</w:t>
            </w:r>
            <w:proofErr w:type="spellEnd"/>
            <w:proofErr w:type="gramEnd"/>
            <w:r>
              <w:rPr>
                <w:sz w:val="20"/>
                <w:szCs w:val="20"/>
              </w:rPr>
              <w:t>‘</w:t>
            </w:r>
            <w:r w:rsidRPr="00A3524C">
              <w:rPr>
                <w:sz w:val="20"/>
                <w:szCs w:val="20"/>
              </w:rPr>
              <w:t xml:space="preserve"> </w:t>
            </w:r>
            <w:proofErr w:type="spellStart"/>
            <w:r w:rsidRPr="00A3524C">
              <w:rPr>
                <w:sz w:val="20"/>
                <w:szCs w:val="20"/>
              </w:rPr>
              <w:t>has</w:t>
            </w:r>
            <w:proofErr w:type="spellEnd"/>
            <w:r w:rsidRPr="00A3524C">
              <w:rPr>
                <w:sz w:val="20"/>
                <w:szCs w:val="20"/>
              </w:rPr>
              <w:t xml:space="preserve"> not </w:t>
            </w:r>
            <w:proofErr w:type="spellStart"/>
            <w:r w:rsidRPr="00A3524C">
              <w:rPr>
                <w:sz w:val="20"/>
                <w:szCs w:val="20"/>
              </w:rPr>
              <w:t>been</w:t>
            </w:r>
            <w:proofErr w:type="spellEnd"/>
            <w:r w:rsidRPr="00A3524C">
              <w:rPr>
                <w:sz w:val="20"/>
                <w:szCs w:val="20"/>
              </w:rPr>
              <w:t xml:space="preserve"> </w:t>
            </w:r>
            <w:proofErr w:type="spellStart"/>
            <w:r w:rsidRPr="00A3524C">
              <w:rPr>
                <w:sz w:val="20"/>
                <w:szCs w:val="20"/>
              </w:rPr>
              <w:t>approached</w:t>
            </w:r>
            <w:proofErr w:type="spellEnd"/>
            <w:r w:rsidRPr="00A3524C">
              <w:rPr>
                <w:sz w:val="20"/>
                <w:szCs w:val="20"/>
              </w:rPr>
              <w:t xml:space="preserve"> in </w:t>
            </w:r>
            <w:proofErr w:type="spellStart"/>
            <w:r w:rsidRPr="00A3524C">
              <w:rPr>
                <w:sz w:val="20"/>
                <w:szCs w:val="20"/>
              </w:rPr>
              <w:t>this</w:t>
            </w:r>
            <w:proofErr w:type="spellEnd"/>
            <w:r w:rsidRPr="00A3524C">
              <w:rPr>
                <w:sz w:val="20"/>
                <w:szCs w:val="20"/>
              </w:rPr>
              <w:t xml:space="preserve"> </w:t>
            </w:r>
            <w:proofErr w:type="spellStart"/>
            <w:r w:rsidRPr="00A3524C">
              <w:rPr>
                <w:sz w:val="20"/>
                <w:szCs w:val="20"/>
              </w:rPr>
              <w:t>case</w:t>
            </w:r>
            <w:proofErr w:type="spellEnd"/>
            <w:r w:rsidRPr="00A3524C">
              <w:rPr>
                <w:sz w:val="20"/>
                <w:szCs w:val="20"/>
              </w:rPr>
              <w:t>“)</w:t>
            </w:r>
            <w:r>
              <w:rPr>
                <w:sz w:val="20"/>
                <w:szCs w:val="20"/>
              </w:rPr>
              <w:t>.</w:t>
            </w:r>
            <w:r w:rsidRPr="00A3524C">
              <w:rPr>
                <w:sz w:val="20"/>
                <w:szCs w:val="20"/>
              </w:rPr>
              <w:t xml:space="preserve"> Daher zieht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A3524C">
              <w:rPr>
                <w:sz w:val="20"/>
                <w:szCs w:val="20"/>
              </w:rPr>
              <w:t xml:space="preserve"> den Umkehrschluss: Es gestalte sich als wesentlich für das Glücksstreben, sich politisch äußern zu können („</w:t>
            </w:r>
            <w:proofErr w:type="spellStart"/>
            <w:r w:rsidRPr="00A3524C">
              <w:rPr>
                <w:sz w:val="20"/>
                <w:szCs w:val="20"/>
              </w:rPr>
              <w:t>rights</w:t>
            </w:r>
            <w:proofErr w:type="spellEnd"/>
            <w:r w:rsidRPr="00A3524C">
              <w:rPr>
                <w:sz w:val="20"/>
                <w:szCs w:val="20"/>
              </w:rPr>
              <w:t xml:space="preserve"> of expressive </w:t>
            </w:r>
            <w:proofErr w:type="spellStart"/>
            <w:r w:rsidRPr="00A3524C">
              <w:rPr>
                <w:sz w:val="20"/>
                <w:szCs w:val="20"/>
              </w:rPr>
              <w:t>activity</w:t>
            </w:r>
            <w:proofErr w:type="spellEnd"/>
            <w:r w:rsidRPr="00A3524C">
              <w:rPr>
                <w:sz w:val="20"/>
                <w:szCs w:val="20"/>
              </w:rPr>
              <w:t>“</w:t>
            </w:r>
            <w:r w:rsidRPr="00A3524C">
              <w:rPr>
                <w:sz w:val="20"/>
                <w:szCs w:val="20"/>
                <w:vertAlign w:val="superscript"/>
              </w:rPr>
              <w:footnoteReference w:id="889"/>
            </w:r>
            <w:r w:rsidRPr="00A3524C">
              <w:rPr>
                <w:sz w:val="20"/>
                <w:szCs w:val="20"/>
              </w:rPr>
              <w:t>).</w:t>
            </w:r>
          </w:p>
          <w:p w14:paraId="6C801777" w14:textId="198A551E" w:rsidR="00A411AC" w:rsidRPr="00E50B51" w:rsidRDefault="00A411AC" w:rsidP="00367133">
            <w:pPr>
              <w:jc w:val="both"/>
              <w:rPr>
                <w:sz w:val="20"/>
                <w:szCs w:val="20"/>
              </w:rPr>
            </w:pPr>
          </w:p>
        </w:tc>
      </w:tr>
      <w:tr w:rsidR="00074551" w:rsidRPr="00E50B51" w14:paraId="10E67C2F" w14:textId="77777777" w:rsidTr="0089283E">
        <w:trPr>
          <w:cantSplit/>
          <w:trHeight w:val="3175"/>
        </w:trPr>
        <w:tc>
          <w:tcPr>
            <w:tcW w:w="293" w:type="pct"/>
            <w:shd w:val="clear" w:color="auto" w:fill="E7E6E6" w:themeFill="background2"/>
          </w:tcPr>
          <w:p w14:paraId="6EC77A2E"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75A736D6" w14:textId="77777777" w:rsidR="00074551" w:rsidRPr="00E50B51" w:rsidRDefault="00074551" w:rsidP="00367133">
            <w:pPr>
              <w:ind w:left="113" w:right="416"/>
              <w:jc w:val="both"/>
              <w:rPr>
                <w:sz w:val="20"/>
                <w:szCs w:val="20"/>
                <w:lang w:val="en-US"/>
              </w:rPr>
            </w:pPr>
            <w:r w:rsidRPr="00BE3728">
              <w:rPr>
                <w:sz w:val="20"/>
                <w:szCs w:val="20"/>
              </w:rPr>
              <w:t>Naturrechtlich-freiheitliche Seite</w:t>
            </w:r>
          </w:p>
        </w:tc>
        <w:tc>
          <w:tcPr>
            <w:tcW w:w="197" w:type="pct"/>
            <w:shd w:val="clear" w:color="auto" w:fill="E7E6E6" w:themeFill="background2"/>
            <w:textDirection w:val="tbRl"/>
            <w:vAlign w:val="center"/>
          </w:tcPr>
          <w:p w14:paraId="2AEFA0D0" w14:textId="77777777" w:rsidR="00074551" w:rsidRPr="00E50B51" w:rsidRDefault="00074551" w:rsidP="00367133">
            <w:pPr>
              <w:ind w:left="113" w:right="113"/>
              <w:jc w:val="both"/>
              <w:rPr>
                <w:sz w:val="20"/>
                <w:szCs w:val="20"/>
                <w:lang w:val="en-US"/>
              </w:rPr>
            </w:pPr>
            <w:r w:rsidRPr="00BE3728">
              <w:rPr>
                <w:sz w:val="20"/>
                <w:szCs w:val="20"/>
                <w:lang w:val="en-US"/>
              </w:rPr>
              <w:t>Freedom of Speech</w:t>
            </w:r>
          </w:p>
        </w:tc>
        <w:tc>
          <w:tcPr>
            <w:tcW w:w="306" w:type="pct"/>
            <w:shd w:val="clear" w:color="auto" w:fill="E7E6E6" w:themeFill="background2"/>
            <w:textDirection w:val="tbRl"/>
            <w:vAlign w:val="center"/>
          </w:tcPr>
          <w:p w14:paraId="45F902C9" w14:textId="77777777" w:rsidR="00074551" w:rsidRPr="00E50B51" w:rsidRDefault="00074551" w:rsidP="00367133">
            <w:pPr>
              <w:ind w:left="113" w:right="113"/>
              <w:jc w:val="both"/>
              <w:rPr>
                <w:sz w:val="20"/>
                <w:szCs w:val="20"/>
                <w:lang w:val="en-US"/>
              </w:rPr>
            </w:pPr>
            <w:r w:rsidRPr="00BE3728">
              <w:rPr>
                <w:sz w:val="20"/>
                <w:szCs w:val="20"/>
                <w:lang w:val="en-US"/>
              </w:rPr>
              <w:t>Speech &amp; Debate Immunity</w:t>
            </w:r>
          </w:p>
        </w:tc>
        <w:tc>
          <w:tcPr>
            <w:tcW w:w="401" w:type="pct"/>
            <w:shd w:val="clear" w:color="auto" w:fill="E7E6E6" w:themeFill="background2"/>
          </w:tcPr>
          <w:p w14:paraId="7CECADD6"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1ED5DC43" w14:textId="77777777" w:rsidR="00074551" w:rsidRPr="00E50B51" w:rsidRDefault="00074551" w:rsidP="00367133">
            <w:pPr>
              <w:jc w:val="both"/>
              <w:rPr>
                <w:sz w:val="20"/>
                <w:szCs w:val="20"/>
                <w:lang w:val="en-US"/>
              </w:rPr>
            </w:pPr>
          </w:p>
        </w:tc>
        <w:tc>
          <w:tcPr>
            <w:tcW w:w="1822" w:type="pct"/>
            <w:shd w:val="clear" w:color="auto" w:fill="E7E6E6" w:themeFill="background2"/>
          </w:tcPr>
          <w:p w14:paraId="0D6FB103" w14:textId="4F3F50CF"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159C68E0" w14:textId="77777777" w:rsidTr="00BE689F">
        <w:trPr>
          <w:cantSplit/>
          <w:trHeight w:val="3175"/>
        </w:trPr>
        <w:tc>
          <w:tcPr>
            <w:tcW w:w="293" w:type="pct"/>
          </w:tcPr>
          <w:p w14:paraId="7536E47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55E7E826" w14:textId="77777777" w:rsidR="00074551" w:rsidRPr="00E50B51" w:rsidRDefault="00074551" w:rsidP="00367133">
            <w:pPr>
              <w:ind w:left="113" w:right="416"/>
              <w:jc w:val="both"/>
              <w:rPr>
                <w:sz w:val="20"/>
                <w:szCs w:val="20"/>
                <w:lang w:val="en-US"/>
              </w:rPr>
            </w:pPr>
            <w:r w:rsidRPr="009E57E1">
              <w:rPr>
                <w:i/>
                <w:sz w:val="20"/>
                <w:szCs w:val="20"/>
              </w:rPr>
              <w:t>Gravel v. United States</w:t>
            </w:r>
          </w:p>
        </w:tc>
        <w:tc>
          <w:tcPr>
            <w:tcW w:w="197" w:type="pct"/>
            <w:textDirection w:val="tbRl"/>
            <w:vAlign w:val="center"/>
          </w:tcPr>
          <w:p w14:paraId="3CC1CCC0" w14:textId="77777777" w:rsidR="00074551" w:rsidRPr="00E50B51" w:rsidRDefault="00074551" w:rsidP="00367133">
            <w:pPr>
              <w:ind w:left="113" w:right="113"/>
              <w:jc w:val="both"/>
              <w:rPr>
                <w:sz w:val="20"/>
                <w:szCs w:val="20"/>
                <w:lang w:val="en-US"/>
              </w:rPr>
            </w:pPr>
            <w:r w:rsidRPr="00BE3728">
              <w:rPr>
                <w:sz w:val="20"/>
                <w:szCs w:val="20"/>
              </w:rPr>
              <w:t>408 U.S. 606</w:t>
            </w:r>
          </w:p>
        </w:tc>
        <w:tc>
          <w:tcPr>
            <w:tcW w:w="306" w:type="pct"/>
            <w:textDirection w:val="tbRl"/>
            <w:vAlign w:val="center"/>
          </w:tcPr>
          <w:p w14:paraId="71D8BE82" w14:textId="77777777" w:rsidR="00074551" w:rsidRPr="00E50B51" w:rsidRDefault="00074551" w:rsidP="00367133">
            <w:pPr>
              <w:ind w:left="113" w:right="113"/>
              <w:jc w:val="both"/>
              <w:rPr>
                <w:sz w:val="20"/>
                <w:szCs w:val="20"/>
                <w:lang w:val="en-US"/>
              </w:rPr>
            </w:pPr>
            <w:r w:rsidRPr="00BE3728">
              <w:rPr>
                <w:sz w:val="20"/>
                <w:szCs w:val="20"/>
              </w:rPr>
              <w:t>29. Juni 1972</w:t>
            </w:r>
          </w:p>
        </w:tc>
        <w:tc>
          <w:tcPr>
            <w:tcW w:w="401" w:type="pct"/>
          </w:tcPr>
          <w:p w14:paraId="23117C7C"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70E1733E" w14:textId="23D0C7F7" w:rsidR="00074551" w:rsidRPr="00566BC6" w:rsidRDefault="00074551" w:rsidP="00367133">
            <w:pPr>
              <w:jc w:val="both"/>
              <w:rPr>
                <w:sz w:val="20"/>
                <w:szCs w:val="20"/>
              </w:rPr>
            </w:pPr>
            <w:r w:rsidRPr="00BE3728">
              <w:rPr>
                <w:sz w:val="20"/>
                <w:szCs w:val="20"/>
              </w:rPr>
              <w:t>D</w:t>
            </w:r>
            <w:r>
              <w:rPr>
                <w:sz w:val="20"/>
                <w:szCs w:val="20"/>
              </w:rPr>
              <w:t>er U.S. Supreme Court urteilte, d</w:t>
            </w:r>
            <w:r w:rsidRPr="00BE3728">
              <w:rPr>
                <w:sz w:val="20"/>
                <w:szCs w:val="20"/>
              </w:rPr>
              <w:t xml:space="preserve">ie Klausel zum Rederecht (vgl. </w:t>
            </w:r>
            <w:r w:rsidRPr="5B67C1D2">
              <w:rPr>
                <w:i/>
                <w:iCs/>
                <w:sz w:val="20"/>
                <w:szCs w:val="20"/>
              </w:rPr>
              <w:t xml:space="preserve">Speech </w:t>
            </w:r>
            <w:proofErr w:type="spellStart"/>
            <w:r w:rsidRPr="5B67C1D2">
              <w:rPr>
                <w:i/>
                <w:iCs/>
                <w:sz w:val="20"/>
                <w:szCs w:val="20"/>
              </w:rPr>
              <w:t>or</w:t>
            </w:r>
            <w:proofErr w:type="spellEnd"/>
            <w:r w:rsidRPr="5B67C1D2">
              <w:rPr>
                <w:i/>
                <w:iCs/>
                <w:sz w:val="20"/>
                <w:szCs w:val="20"/>
              </w:rPr>
              <w:t xml:space="preserve"> Debate </w:t>
            </w:r>
            <w:proofErr w:type="spellStart"/>
            <w:r w:rsidRPr="5B67C1D2">
              <w:rPr>
                <w:i/>
                <w:iCs/>
                <w:sz w:val="20"/>
                <w:szCs w:val="20"/>
              </w:rPr>
              <w:t>Clause</w:t>
            </w:r>
            <w:proofErr w:type="spellEnd"/>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 § 6, cl. 1</w:t>
            </w:r>
            <w:r w:rsidRPr="00BE3728">
              <w:rPr>
                <w:rStyle w:val="Funotenzeichen"/>
                <w:sz w:val="20"/>
                <w:szCs w:val="20"/>
              </w:rPr>
              <w:footnoteReference w:id="890"/>
            </w:r>
            <w:r w:rsidRPr="00BE3728">
              <w:rPr>
                <w:sz w:val="20"/>
                <w:szCs w:val="20"/>
              </w:rPr>
              <w:t xml:space="preserve">) schütze den Assistenten eines Senators nicht vor Fragen einer Grand Jury zur Herkunft und Veröffentlichung geheimer Dokumente. Dabei </w:t>
            </w:r>
            <w:r>
              <w:rPr>
                <w:sz w:val="20"/>
                <w:szCs w:val="20"/>
              </w:rPr>
              <w:t xml:space="preserve">hatte </w:t>
            </w:r>
            <w:r w:rsidRPr="00BE3728">
              <w:rPr>
                <w:sz w:val="20"/>
                <w:szCs w:val="20"/>
              </w:rPr>
              <w:t>die Jury strafrechtlich relevantes Verhalten</w:t>
            </w:r>
            <w:r>
              <w:rPr>
                <w:sz w:val="20"/>
                <w:szCs w:val="20"/>
              </w:rPr>
              <w:t xml:space="preserve"> </w:t>
            </w:r>
            <w:r w:rsidRPr="00BE3728">
              <w:rPr>
                <w:sz w:val="20"/>
                <w:szCs w:val="20"/>
              </w:rPr>
              <w:t xml:space="preserve">untersucht. Der Senator hatte </w:t>
            </w:r>
            <w:r>
              <w:rPr>
                <w:sz w:val="20"/>
                <w:szCs w:val="20"/>
              </w:rPr>
              <w:t>gemeint</w:t>
            </w:r>
            <w:r w:rsidRPr="00BE3728">
              <w:rPr>
                <w:sz w:val="20"/>
                <w:szCs w:val="20"/>
              </w:rPr>
              <w:t>, die Vorladungen mit dem Hinweis auf sein Privileg unter genannter Klausel für nichtig erklären</w:t>
            </w:r>
            <w:r>
              <w:rPr>
                <w:sz w:val="20"/>
                <w:szCs w:val="20"/>
              </w:rPr>
              <w:t xml:space="preserve"> zu können</w:t>
            </w:r>
            <w:r w:rsidRPr="00BE3728">
              <w:rPr>
                <w:sz w:val="20"/>
                <w:szCs w:val="20"/>
              </w:rPr>
              <w:t xml:space="preserve">. Der </w:t>
            </w:r>
            <w:r>
              <w:rPr>
                <w:sz w:val="20"/>
                <w:szCs w:val="20"/>
              </w:rPr>
              <w:t>U.S. Supreme Court</w:t>
            </w:r>
            <w:r w:rsidRPr="00BE3728">
              <w:rPr>
                <w:sz w:val="20"/>
                <w:szCs w:val="20"/>
              </w:rPr>
              <w:t xml:space="preserve"> entschied, dass dieses Privileg zwar für Senatoren und deren Assistenten </w:t>
            </w:r>
            <w:r>
              <w:rPr>
                <w:sz w:val="20"/>
                <w:szCs w:val="20"/>
              </w:rPr>
              <w:t>gelte</w:t>
            </w:r>
            <w:r w:rsidRPr="00BE3728">
              <w:rPr>
                <w:sz w:val="20"/>
                <w:szCs w:val="20"/>
              </w:rPr>
              <w:t>, wenn es sich um gesetzgeberische Handlungen handele. Aber es schütze nicht mögliches strafrechtlich</w:t>
            </w:r>
            <w:r>
              <w:rPr>
                <w:sz w:val="20"/>
                <w:szCs w:val="20"/>
              </w:rPr>
              <w:t xml:space="preserve"> relevantes</w:t>
            </w:r>
            <w:r w:rsidRPr="00BE3728">
              <w:rPr>
                <w:sz w:val="20"/>
                <w:szCs w:val="20"/>
              </w:rPr>
              <w:t xml:space="preserve"> Verhalten. Das gegenteilige Urteil des Berufungsgerichts wurde aufgehoben und der Fall zur weiteren Prüfung zurückverwiesen.</w:t>
            </w:r>
            <w:r w:rsidRPr="00BE3728">
              <w:rPr>
                <w:rStyle w:val="Funotenzeichen"/>
                <w:sz w:val="20"/>
                <w:szCs w:val="20"/>
              </w:rPr>
              <w:footnoteReference w:id="891"/>
            </w:r>
          </w:p>
        </w:tc>
        <w:tc>
          <w:tcPr>
            <w:tcW w:w="1822" w:type="pct"/>
          </w:tcPr>
          <w:p w14:paraId="140EF555" w14:textId="77777777" w:rsidR="00074551" w:rsidRPr="00B45592" w:rsidRDefault="00074551" w:rsidP="00367133">
            <w:pPr>
              <w:jc w:val="both"/>
              <w:rPr>
                <w:i/>
                <w:sz w:val="20"/>
                <w:szCs w:val="20"/>
                <w:lang w:val="en-US"/>
              </w:rPr>
            </w:pPr>
            <w:r w:rsidRPr="00B45592">
              <w:rPr>
                <w:i/>
                <w:sz w:val="20"/>
                <w:szCs w:val="20"/>
                <w:lang w:val="en-IE"/>
              </w:rPr>
              <w:t>LexisNexis-</w:t>
            </w:r>
            <w:proofErr w:type="spellStart"/>
            <w:r w:rsidRPr="00B45592">
              <w:rPr>
                <w:i/>
                <w:sz w:val="20"/>
                <w:szCs w:val="20"/>
                <w:lang w:val="en-IE"/>
              </w:rPr>
              <w:t>Klassifikation</w:t>
            </w:r>
            <w:proofErr w:type="spellEnd"/>
            <w:r w:rsidRPr="00B45592">
              <w:rPr>
                <w:i/>
                <w:sz w:val="20"/>
                <w:szCs w:val="20"/>
                <w:lang w:val="en-IE"/>
              </w:rPr>
              <w:t xml:space="preserve">: </w:t>
            </w:r>
            <w:r w:rsidRPr="00B45592">
              <w:rPr>
                <w:i/>
                <w:sz w:val="20"/>
                <w:szCs w:val="20"/>
                <w:lang w:val="en-US"/>
              </w:rPr>
              <w:t>Constitutional Law › Congressional Duties &amp; Powers › Speech &amp; Debate Immunity</w:t>
            </w:r>
          </w:p>
          <w:p w14:paraId="1CE66F42" w14:textId="77777777" w:rsidR="00074551" w:rsidRPr="00BE3728" w:rsidRDefault="00074551" w:rsidP="00367133">
            <w:pPr>
              <w:jc w:val="both"/>
              <w:rPr>
                <w:sz w:val="20"/>
                <w:szCs w:val="20"/>
                <w:lang w:val="en-US"/>
              </w:rPr>
            </w:pPr>
          </w:p>
          <w:p w14:paraId="4F47055A" w14:textId="258D93DB" w:rsidR="00074551" w:rsidRDefault="61749F0B" w:rsidP="00367133">
            <w:pPr>
              <w:jc w:val="both"/>
              <w:rPr>
                <w:sz w:val="20"/>
                <w:szCs w:val="20"/>
              </w:rPr>
            </w:pPr>
            <w:r w:rsidRPr="00BE3728">
              <w:rPr>
                <w:sz w:val="20"/>
                <w:szCs w:val="20"/>
              </w:rPr>
              <w:t>Laut SCOTUS gehe aus</w:t>
            </w:r>
            <w:r w:rsidR="00074551" w:rsidRPr="5B67C1D2">
              <w:rPr>
                <w:sz w:val="20"/>
                <w:szCs w:val="20"/>
              </w:rPr>
              <w:t xml:space="preserve"> der Geschichte und ständigen Rechtsprechung hervor, dass </w:t>
            </w:r>
            <w:r w:rsidR="00023A37">
              <w:rPr>
                <w:sz w:val="20"/>
                <w:szCs w:val="20"/>
              </w:rPr>
              <w:t xml:space="preserve">U.S. </w:t>
            </w:r>
            <w:proofErr w:type="spellStart"/>
            <w:r w:rsidR="00023A37">
              <w:rPr>
                <w:sz w:val="20"/>
                <w:szCs w:val="20"/>
              </w:rPr>
              <w:t>Const</w:t>
            </w:r>
            <w:proofErr w:type="spellEnd"/>
            <w:r w:rsidR="00023A37">
              <w:rPr>
                <w:sz w:val="20"/>
                <w:szCs w:val="20"/>
              </w:rPr>
              <w:t>. art. I, § 6, cl. 1</w:t>
            </w:r>
            <w:r w:rsidR="00074551" w:rsidRPr="5B67C1D2">
              <w:rPr>
                <w:sz w:val="20"/>
                <w:szCs w:val="20"/>
              </w:rPr>
              <w:t xml:space="preserve"> die Mitglieder des Kongresses nur in Zivilprozessen davon ausnehme, verhaftet zu werden. Denn als die Verfassung verabschiedet wurde, waren nur Verhaftungen in Zivilprozessen üblich.</w:t>
            </w:r>
            <w:r w:rsidR="00074551" w:rsidRPr="5B67C1D2">
              <w:rPr>
                <w:rStyle w:val="Funotenzeichen"/>
                <w:sz w:val="20"/>
                <w:szCs w:val="20"/>
              </w:rPr>
              <w:footnoteReference w:id="892"/>
            </w:r>
            <w:r w:rsidR="00074551" w:rsidRPr="5B67C1D2">
              <w:rPr>
                <w:sz w:val="20"/>
                <w:szCs w:val="20"/>
              </w:rPr>
              <w:t xml:space="preserve"> Die Bestimmung schütze also nach dem Willen des Gesetzgebers nur vor solchen Verhaftungen. Dafür spreche auch, dass die Verfassung nur Straftaten – Hochverrat, Verbrechen und Landfriedensbruch – von der Anwendung des Privilegs ausschließe.</w:t>
            </w:r>
            <w:r w:rsidR="00074551" w:rsidRPr="5B67C1D2">
              <w:rPr>
                <w:rStyle w:val="Funotenzeichen"/>
                <w:sz w:val="20"/>
                <w:szCs w:val="20"/>
              </w:rPr>
              <w:footnoteReference w:id="893"/>
            </w:r>
          </w:p>
          <w:p w14:paraId="72A52762" w14:textId="77777777" w:rsidR="00074551" w:rsidRDefault="00074551" w:rsidP="00367133">
            <w:pPr>
              <w:jc w:val="both"/>
              <w:rPr>
                <w:sz w:val="20"/>
                <w:szCs w:val="20"/>
              </w:rPr>
            </w:pPr>
          </w:p>
          <w:p w14:paraId="44E4C4B3" w14:textId="73E96FC6" w:rsidR="00074551" w:rsidRPr="00BE3728" w:rsidRDefault="00074551" w:rsidP="5B67C1D2">
            <w:pPr>
              <w:jc w:val="both"/>
              <w:rPr>
                <w:sz w:val="20"/>
                <w:szCs w:val="20"/>
              </w:rPr>
            </w:pPr>
            <w:r w:rsidRPr="00BE3728">
              <w:rPr>
                <w:sz w:val="20"/>
                <w:szCs w:val="20"/>
              </w:rPr>
              <w:t xml:space="preserve">Anders als der </w:t>
            </w:r>
            <w:r>
              <w:rPr>
                <w:sz w:val="20"/>
                <w:szCs w:val="20"/>
              </w:rPr>
              <w:t>U.S. Supreme Court</w:t>
            </w:r>
            <w:r w:rsidRPr="00BE3728">
              <w:rPr>
                <w:sz w:val="20"/>
                <w:szCs w:val="20"/>
              </w:rPr>
              <w:t xml:space="preserve"> </w:t>
            </w:r>
            <w:r>
              <w:rPr>
                <w:sz w:val="20"/>
                <w:szCs w:val="20"/>
              </w:rPr>
              <w:t>erklärt</w:t>
            </w:r>
            <w:r w:rsidRPr="00BE3728">
              <w:rPr>
                <w:sz w:val="20"/>
                <w:szCs w:val="20"/>
              </w:rPr>
              <w:t xml:space="preserve"> die abweichende Meinung, wenn Kongressabgeordnete mit der Öffentlichkeit kommunizier</w:t>
            </w:r>
            <w:r>
              <w:rPr>
                <w:sz w:val="20"/>
                <w:szCs w:val="20"/>
              </w:rPr>
              <w:t>t</w:t>
            </w:r>
            <w:r w:rsidRPr="00BE3728">
              <w:rPr>
                <w:sz w:val="20"/>
                <w:szCs w:val="20"/>
              </w:rPr>
              <w:t xml:space="preserve">en, dann sei dies vergleichbar mit gesetzgeberischen Handlungen. Diese schütze die Rede- und Diskussionsklausel. Dafür </w:t>
            </w:r>
            <w:r>
              <w:rPr>
                <w:sz w:val="20"/>
                <w:szCs w:val="20"/>
              </w:rPr>
              <w:t>spreche</w:t>
            </w:r>
            <w:r w:rsidRPr="00BE3728">
              <w:rPr>
                <w:sz w:val="20"/>
                <w:szCs w:val="20"/>
              </w:rPr>
              <w:t xml:space="preserve"> die Verfassungsgeschichte. Denn die Verfasser der </w:t>
            </w:r>
            <w:r>
              <w:rPr>
                <w:sz w:val="20"/>
                <w:szCs w:val="20"/>
              </w:rPr>
              <w:t>U.S.</w:t>
            </w:r>
            <w:r w:rsidRPr="00BE3728">
              <w:rPr>
                <w:sz w:val="20"/>
                <w:szCs w:val="20"/>
              </w:rPr>
              <w:t xml:space="preserve"> </w:t>
            </w:r>
            <w:proofErr w:type="spellStart"/>
            <w:r w:rsidRPr="5B67C1D2">
              <w:rPr>
                <w:sz w:val="20"/>
                <w:szCs w:val="20"/>
              </w:rPr>
              <w:t>Const</w:t>
            </w:r>
            <w:proofErr w:type="spellEnd"/>
            <w:r w:rsidRPr="5B67C1D2">
              <w:rPr>
                <w:sz w:val="20"/>
                <w:szCs w:val="20"/>
              </w:rPr>
              <w:t xml:space="preserve">. </w:t>
            </w:r>
            <w:r>
              <w:rPr>
                <w:sz w:val="20"/>
                <w:szCs w:val="20"/>
              </w:rPr>
              <w:t xml:space="preserve">hätten </w:t>
            </w:r>
            <w:r w:rsidRPr="00BE3728">
              <w:rPr>
                <w:sz w:val="20"/>
                <w:szCs w:val="20"/>
              </w:rPr>
              <w:t>beabsichtigt, dass die Rede- oder Diskussionsklausel alle Mitteilungen eines Kongressabgeordneten an seine Wähler schütze. Zum Beispiel standen 1797 in Virginia mehrere Kongressabgeordnete</w:t>
            </w:r>
            <w:r>
              <w:rPr>
                <w:sz w:val="20"/>
                <w:szCs w:val="20"/>
              </w:rPr>
              <w:t xml:space="preserve"> </w:t>
            </w:r>
            <w:r w:rsidRPr="00BE3728">
              <w:rPr>
                <w:sz w:val="20"/>
                <w:szCs w:val="20"/>
              </w:rPr>
              <w:t xml:space="preserve">vor einem Bundesgericht, die Rundschreiben an ihre Wähler </w:t>
            </w:r>
            <w:r>
              <w:rPr>
                <w:sz w:val="20"/>
                <w:szCs w:val="20"/>
              </w:rPr>
              <w:t>geschickt hatten</w:t>
            </w:r>
            <w:r w:rsidRPr="00BE3728">
              <w:rPr>
                <w:sz w:val="20"/>
                <w:szCs w:val="20"/>
              </w:rPr>
              <w:t>, in denen sie die Regierung für den Krieg mit Frankreich kritisierten. Die Grand Jury stellte fest, die Kongressabgeordneten h</w:t>
            </w:r>
            <w:r>
              <w:rPr>
                <w:sz w:val="20"/>
                <w:szCs w:val="20"/>
              </w:rPr>
              <w:t>ä</w:t>
            </w:r>
            <w:r w:rsidRPr="00BE3728">
              <w:rPr>
                <w:sz w:val="20"/>
                <w:szCs w:val="20"/>
              </w:rPr>
              <w:t>tten trotz öffentlicher Gefahr versucht, Verleumdungen gegen die Regierung der Vereinigten Staaten zu verbreiten, dadurch das Volk zu spalten und sogar einen ausländischen Einfluss zu verstärken, der den Grundprinzipien der Vereinigten Staaten widerspreche: Frieden, Glück und Unabhängigkeit („</w:t>
            </w:r>
            <w:proofErr w:type="spellStart"/>
            <w:r w:rsidRPr="5B67C1D2">
              <w:rPr>
                <w:sz w:val="20"/>
                <w:szCs w:val="20"/>
              </w:rPr>
              <w:t>ruinous</w:t>
            </w:r>
            <w:proofErr w:type="spellEnd"/>
            <w:r w:rsidRPr="5B67C1D2">
              <w:rPr>
                <w:sz w:val="20"/>
                <w:szCs w:val="20"/>
              </w:rPr>
              <w:t xml:space="preserve"> to the </w:t>
            </w:r>
            <w:proofErr w:type="spellStart"/>
            <w:r w:rsidRPr="5B67C1D2">
              <w:rPr>
                <w:sz w:val="20"/>
                <w:szCs w:val="20"/>
              </w:rPr>
              <w:t>peace</w:t>
            </w:r>
            <w:proofErr w:type="spellEnd"/>
            <w:r w:rsidRPr="5B67C1D2">
              <w:rPr>
                <w:sz w:val="20"/>
                <w:szCs w:val="20"/>
              </w:rPr>
              <w:t xml:space="preserve">, </w:t>
            </w:r>
            <w:proofErr w:type="spellStart"/>
            <w:r w:rsidRPr="5B67C1D2">
              <w:rPr>
                <w:sz w:val="20"/>
                <w:szCs w:val="20"/>
              </w:rPr>
              <w:t>happiness</w:t>
            </w:r>
            <w:proofErr w:type="spellEnd"/>
            <w:r w:rsidRPr="5B67C1D2">
              <w:rPr>
                <w:sz w:val="20"/>
                <w:szCs w:val="20"/>
              </w:rPr>
              <w:t xml:space="preserve">, and </w:t>
            </w:r>
            <w:proofErr w:type="spellStart"/>
            <w:r w:rsidRPr="5B67C1D2">
              <w:rPr>
                <w:sz w:val="20"/>
                <w:szCs w:val="20"/>
              </w:rPr>
              <w:t>independence</w:t>
            </w:r>
            <w:proofErr w:type="spellEnd"/>
            <w:r w:rsidRPr="5B67C1D2">
              <w:rPr>
                <w:sz w:val="20"/>
                <w:szCs w:val="20"/>
              </w:rPr>
              <w:t xml:space="preserve"> of </w:t>
            </w:r>
            <w:proofErr w:type="spellStart"/>
            <w:r w:rsidRPr="5B67C1D2">
              <w:rPr>
                <w:sz w:val="20"/>
                <w:szCs w:val="20"/>
              </w:rPr>
              <w:t>these</w:t>
            </w:r>
            <w:proofErr w:type="spellEnd"/>
            <w:r w:rsidRPr="5B67C1D2">
              <w:rPr>
                <w:sz w:val="20"/>
                <w:szCs w:val="20"/>
              </w:rPr>
              <w:t xml:space="preserve"> United States“</w:t>
            </w:r>
            <w:r w:rsidRPr="00BE3728">
              <w:rPr>
                <w:rStyle w:val="Funotenzeichen"/>
                <w:sz w:val="20"/>
                <w:szCs w:val="20"/>
              </w:rPr>
              <w:footnoteReference w:id="894"/>
            </w:r>
            <w:r w:rsidRPr="00BE3728">
              <w:rPr>
                <w:sz w:val="20"/>
                <w:szCs w:val="20"/>
              </w:rPr>
              <w:t xml:space="preserve">). </w:t>
            </w:r>
            <w:r w:rsidR="003DC2AD" w:rsidRPr="5B67C1D2">
              <w:rPr>
                <w:sz w:val="20"/>
                <w:szCs w:val="20"/>
              </w:rPr>
              <w:t xml:space="preserve">Als Bürger von Cabells Wahlbezirk verfasste Thomas Jefferson, damals Vizepräsident der Vereinigten Staaten, zusammen mit weiteren Bewohnern des Bezirks einen Protest gegen dieses Vorgehen der Grand Jury. </w:t>
            </w:r>
            <w:r w:rsidRPr="5B67C1D2">
              <w:rPr>
                <w:sz w:val="20"/>
                <w:szCs w:val="20"/>
              </w:rPr>
              <w:t>Zwar erkannte Jefferson diese Grundprinzipien an. Aber er sah keinen Widerspruch zu ihnen. Denn von dem Schutz der Kommunikationen der Abgeordneten hänge ihre Unabhängigkeit zur Judikative und zur Exekutive ab. Wenn ihre Kommunikation nicht geschützt sei, dann herrsche keine Unabhängigkeit gegenüber den anderen Gewalten. Dafür spreche auch, dass Abgeordnete legislative Prozess regelmäßig aufhalten können, um sich mit ihren Wählern auszutauschen.</w:t>
            </w:r>
            <w:r w:rsidRPr="5B67C1D2">
              <w:rPr>
                <w:rStyle w:val="Funotenzeichen"/>
                <w:sz w:val="20"/>
                <w:szCs w:val="20"/>
              </w:rPr>
              <w:footnoteReference w:id="895"/>
            </w:r>
          </w:p>
          <w:p w14:paraId="175AE8A9" w14:textId="77777777" w:rsidR="00074551" w:rsidRPr="00E50B51" w:rsidRDefault="00074551" w:rsidP="00367133">
            <w:pPr>
              <w:jc w:val="both"/>
              <w:rPr>
                <w:sz w:val="20"/>
                <w:szCs w:val="20"/>
              </w:rPr>
            </w:pPr>
          </w:p>
        </w:tc>
      </w:tr>
      <w:tr w:rsidR="00074551" w:rsidRPr="00E50B51" w14:paraId="5A570284" w14:textId="77777777" w:rsidTr="0089283E">
        <w:trPr>
          <w:cantSplit/>
          <w:trHeight w:val="3175"/>
        </w:trPr>
        <w:tc>
          <w:tcPr>
            <w:tcW w:w="293" w:type="pct"/>
            <w:shd w:val="clear" w:color="auto" w:fill="E7E6E6" w:themeFill="background2"/>
          </w:tcPr>
          <w:p w14:paraId="2C7005CF"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609BA506" w14:textId="77777777" w:rsidR="00074551" w:rsidRPr="00E50B51" w:rsidRDefault="00074551" w:rsidP="00367133">
            <w:pPr>
              <w:ind w:left="113" w:right="416"/>
              <w:jc w:val="both"/>
              <w:rPr>
                <w:sz w:val="20"/>
                <w:szCs w:val="20"/>
                <w:lang w:val="en-US"/>
              </w:rPr>
            </w:pPr>
            <w:r w:rsidRPr="00BE3728">
              <w:rPr>
                <w:sz w:val="20"/>
                <w:szCs w:val="20"/>
              </w:rPr>
              <w:t>Naturrechtlich-freiheitliche Seite</w:t>
            </w:r>
          </w:p>
        </w:tc>
        <w:tc>
          <w:tcPr>
            <w:tcW w:w="197" w:type="pct"/>
            <w:shd w:val="clear" w:color="auto" w:fill="E7E6E6" w:themeFill="background2"/>
            <w:textDirection w:val="tbRl"/>
            <w:vAlign w:val="center"/>
          </w:tcPr>
          <w:p w14:paraId="4E16B451" w14:textId="77777777" w:rsidR="00074551" w:rsidRPr="00E50B51" w:rsidRDefault="00074551" w:rsidP="00367133">
            <w:pPr>
              <w:ind w:left="113" w:right="113"/>
              <w:jc w:val="both"/>
              <w:rPr>
                <w:sz w:val="20"/>
                <w:szCs w:val="20"/>
                <w:lang w:val="en-US"/>
              </w:rPr>
            </w:pPr>
            <w:r w:rsidRPr="00BE3728">
              <w:rPr>
                <w:sz w:val="20"/>
                <w:szCs w:val="20"/>
                <w:lang w:val="en-US"/>
              </w:rPr>
              <w:t xml:space="preserve">Freedom of Speech </w:t>
            </w:r>
          </w:p>
        </w:tc>
        <w:tc>
          <w:tcPr>
            <w:tcW w:w="306" w:type="pct"/>
            <w:shd w:val="clear" w:color="auto" w:fill="E7E6E6" w:themeFill="background2"/>
            <w:textDirection w:val="tbRl"/>
            <w:vAlign w:val="center"/>
          </w:tcPr>
          <w:p w14:paraId="581058CC" w14:textId="77777777" w:rsidR="00074551" w:rsidRPr="00E50B51" w:rsidRDefault="00074551" w:rsidP="00367133">
            <w:pPr>
              <w:ind w:left="113" w:right="113"/>
              <w:jc w:val="both"/>
              <w:rPr>
                <w:sz w:val="20"/>
                <w:szCs w:val="20"/>
                <w:lang w:val="en-US"/>
              </w:rPr>
            </w:pPr>
            <w:r>
              <w:rPr>
                <w:sz w:val="20"/>
                <w:szCs w:val="20"/>
                <w:lang w:val="en-US"/>
              </w:rPr>
              <w:t>C</w:t>
            </w:r>
            <w:r w:rsidRPr="00BE3728">
              <w:rPr>
                <w:sz w:val="20"/>
                <w:szCs w:val="20"/>
                <w:lang w:val="en-US"/>
              </w:rPr>
              <w:t xml:space="preserve">ongressional </w:t>
            </w:r>
            <w:r>
              <w:rPr>
                <w:sz w:val="20"/>
                <w:szCs w:val="20"/>
                <w:lang w:val="en-US"/>
              </w:rPr>
              <w:t>I</w:t>
            </w:r>
            <w:r w:rsidRPr="00BE3728">
              <w:rPr>
                <w:sz w:val="20"/>
                <w:szCs w:val="20"/>
                <w:lang w:val="en-US"/>
              </w:rPr>
              <w:t>nvestigation</w:t>
            </w:r>
          </w:p>
        </w:tc>
        <w:tc>
          <w:tcPr>
            <w:tcW w:w="401" w:type="pct"/>
            <w:shd w:val="clear" w:color="auto" w:fill="E7E6E6" w:themeFill="background2"/>
          </w:tcPr>
          <w:p w14:paraId="062B6DFE"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4B27619F" w14:textId="77777777" w:rsidR="00074551" w:rsidRPr="00E50B51" w:rsidRDefault="00074551" w:rsidP="00367133">
            <w:pPr>
              <w:jc w:val="both"/>
              <w:rPr>
                <w:sz w:val="20"/>
                <w:szCs w:val="20"/>
                <w:lang w:val="en-US"/>
              </w:rPr>
            </w:pPr>
          </w:p>
        </w:tc>
        <w:tc>
          <w:tcPr>
            <w:tcW w:w="1822" w:type="pct"/>
            <w:shd w:val="clear" w:color="auto" w:fill="E7E6E6" w:themeFill="background2"/>
          </w:tcPr>
          <w:p w14:paraId="40D8DB04" w14:textId="4B0BEA2B"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64659B9A" w14:textId="77777777" w:rsidTr="00BE689F">
        <w:trPr>
          <w:cantSplit/>
          <w:trHeight w:val="3175"/>
        </w:trPr>
        <w:tc>
          <w:tcPr>
            <w:tcW w:w="293" w:type="pct"/>
          </w:tcPr>
          <w:p w14:paraId="5708688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89EF66E" w14:textId="77777777" w:rsidR="00074551" w:rsidRPr="00E50B51" w:rsidRDefault="00074551" w:rsidP="00367133">
            <w:pPr>
              <w:ind w:left="113" w:right="416"/>
              <w:jc w:val="both"/>
              <w:rPr>
                <w:sz w:val="20"/>
                <w:szCs w:val="20"/>
                <w:lang w:val="en-US"/>
              </w:rPr>
            </w:pPr>
            <w:r w:rsidRPr="009E57E1">
              <w:rPr>
                <w:i/>
                <w:sz w:val="20"/>
                <w:szCs w:val="20"/>
              </w:rPr>
              <w:t>Wilkinson v. United States</w:t>
            </w:r>
          </w:p>
        </w:tc>
        <w:tc>
          <w:tcPr>
            <w:tcW w:w="197" w:type="pct"/>
            <w:textDirection w:val="tbRl"/>
            <w:vAlign w:val="center"/>
          </w:tcPr>
          <w:p w14:paraId="0560CFAD" w14:textId="77777777" w:rsidR="00074551" w:rsidRPr="00E50B51" w:rsidRDefault="00074551" w:rsidP="00367133">
            <w:pPr>
              <w:ind w:left="113" w:right="113"/>
              <w:jc w:val="both"/>
              <w:rPr>
                <w:sz w:val="20"/>
                <w:szCs w:val="20"/>
                <w:lang w:val="en-US"/>
              </w:rPr>
            </w:pPr>
            <w:r w:rsidRPr="00BE3728">
              <w:rPr>
                <w:sz w:val="20"/>
                <w:szCs w:val="20"/>
              </w:rPr>
              <w:t>365 U.S. 399</w:t>
            </w:r>
          </w:p>
        </w:tc>
        <w:tc>
          <w:tcPr>
            <w:tcW w:w="306" w:type="pct"/>
            <w:textDirection w:val="tbRl"/>
            <w:vAlign w:val="center"/>
          </w:tcPr>
          <w:p w14:paraId="6E0BE11C" w14:textId="77777777" w:rsidR="00074551" w:rsidRPr="00E50B51" w:rsidRDefault="00074551" w:rsidP="00367133">
            <w:pPr>
              <w:ind w:left="113" w:right="113"/>
              <w:jc w:val="both"/>
              <w:rPr>
                <w:sz w:val="20"/>
                <w:szCs w:val="20"/>
                <w:lang w:val="en-US"/>
              </w:rPr>
            </w:pPr>
            <w:r w:rsidRPr="00BE3728">
              <w:rPr>
                <w:sz w:val="20"/>
                <w:szCs w:val="20"/>
              </w:rPr>
              <w:t>27. Februar 1961</w:t>
            </w:r>
          </w:p>
        </w:tc>
        <w:tc>
          <w:tcPr>
            <w:tcW w:w="401" w:type="pct"/>
          </w:tcPr>
          <w:p w14:paraId="58C7D107"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04AADBEE"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befand, ein Häftling </w:t>
            </w:r>
            <w:r>
              <w:rPr>
                <w:sz w:val="20"/>
                <w:szCs w:val="20"/>
              </w:rPr>
              <w:t>sei</w:t>
            </w:r>
            <w:r w:rsidRPr="00BE3728">
              <w:rPr>
                <w:sz w:val="20"/>
                <w:szCs w:val="20"/>
              </w:rPr>
              <w:t xml:space="preserve"> verfassungskonform nach 2 U.S.C.S. </w:t>
            </w:r>
            <w:r>
              <w:rPr>
                <w:sz w:val="20"/>
                <w:szCs w:val="20"/>
              </w:rPr>
              <w:t>§ </w:t>
            </w:r>
            <w:r w:rsidRPr="00BE3728">
              <w:rPr>
                <w:sz w:val="20"/>
                <w:szCs w:val="20"/>
              </w:rPr>
              <w:t>192</w:t>
            </w:r>
            <w:r w:rsidRPr="00BE3728">
              <w:rPr>
                <w:rStyle w:val="Funotenzeichen"/>
                <w:sz w:val="20"/>
                <w:szCs w:val="20"/>
              </w:rPr>
              <w:footnoteReference w:id="896"/>
            </w:r>
            <w:r w:rsidRPr="00BE3728">
              <w:rPr>
                <w:sz w:val="20"/>
                <w:szCs w:val="20"/>
              </w:rPr>
              <w:t xml:space="preserve"> verurteilt</w:t>
            </w:r>
            <w:r>
              <w:rPr>
                <w:sz w:val="20"/>
                <w:szCs w:val="20"/>
              </w:rPr>
              <w:t xml:space="preserve"> worden</w:t>
            </w:r>
            <w:r w:rsidRPr="00BE3728">
              <w:rPr>
                <w:sz w:val="20"/>
                <w:szCs w:val="20"/>
              </w:rPr>
              <w:t xml:space="preserve">. Denn er hatte sich geweigert, eine relevante Frage vor einem Untersuchungsausschuss zu beantworten. Seine Weigerung betraf eine Anhörung in Atlanta im Rahmen eines Unterausschusses des </w:t>
            </w:r>
            <w:bookmarkStart w:id="50" w:name="_Hlk228824175"/>
            <w:r w:rsidRPr="5B67C1D2">
              <w:rPr>
                <w:i/>
                <w:iCs/>
                <w:sz w:val="20"/>
                <w:szCs w:val="20"/>
              </w:rPr>
              <w:t xml:space="preserve">House Committee on </w:t>
            </w:r>
            <w:proofErr w:type="spellStart"/>
            <w:r w:rsidRPr="5B67C1D2">
              <w:rPr>
                <w:i/>
                <w:iCs/>
                <w:sz w:val="20"/>
                <w:szCs w:val="20"/>
              </w:rPr>
              <w:t>Un</w:t>
            </w:r>
            <w:proofErr w:type="spellEnd"/>
            <w:r w:rsidRPr="5B67C1D2">
              <w:rPr>
                <w:i/>
                <w:iCs/>
                <w:sz w:val="20"/>
                <w:szCs w:val="20"/>
              </w:rPr>
              <w:t xml:space="preserve">-American </w:t>
            </w:r>
            <w:proofErr w:type="spellStart"/>
            <w:r w:rsidRPr="5B67C1D2">
              <w:rPr>
                <w:i/>
                <w:iCs/>
                <w:sz w:val="20"/>
                <w:szCs w:val="20"/>
              </w:rPr>
              <w:t>Activities</w:t>
            </w:r>
            <w:bookmarkEnd w:id="50"/>
            <w:proofErr w:type="spellEnd"/>
            <w:r w:rsidRPr="00BE3728">
              <w:rPr>
                <w:sz w:val="20"/>
                <w:szCs w:val="20"/>
              </w:rPr>
              <w:t xml:space="preserve">. Die Anhörung untersuchte kommunistische Aktivitäten. Dabei war die Mitgliedschaft des Häftlings in der Kommunistischen Partei von zentraler Bedeutung für die Untersuchung. Er </w:t>
            </w:r>
            <w:r>
              <w:rPr>
                <w:sz w:val="20"/>
                <w:szCs w:val="20"/>
              </w:rPr>
              <w:t>verweigerte die Aussage</w:t>
            </w:r>
            <w:r w:rsidRPr="00BE3728">
              <w:rPr>
                <w:sz w:val="20"/>
                <w:szCs w:val="20"/>
              </w:rPr>
              <w:t xml:space="preserve"> und wurde verurteilt. Dann </w:t>
            </w:r>
            <w:r>
              <w:rPr>
                <w:sz w:val="20"/>
                <w:szCs w:val="20"/>
              </w:rPr>
              <w:t>beantragte</w:t>
            </w:r>
            <w:r w:rsidRPr="00BE3728">
              <w:rPr>
                <w:sz w:val="20"/>
                <w:szCs w:val="20"/>
              </w:rPr>
              <w:t xml:space="preserve"> er beim </w:t>
            </w:r>
            <w:r w:rsidRPr="5B67C1D2">
              <w:rPr>
                <w:i/>
                <w:iCs/>
                <w:sz w:val="20"/>
                <w:szCs w:val="20"/>
              </w:rPr>
              <w:t xml:space="preserve">U.S. Court of Appeals for the </w:t>
            </w:r>
            <w:proofErr w:type="spellStart"/>
            <w:r w:rsidRPr="5B67C1D2">
              <w:rPr>
                <w:i/>
                <w:iCs/>
                <w:sz w:val="20"/>
                <w:szCs w:val="20"/>
              </w:rPr>
              <w:t>Fifth</w:t>
            </w:r>
            <w:proofErr w:type="spellEnd"/>
            <w:r w:rsidRPr="5B67C1D2">
              <w:rPr>
                <w:i/>
                <w:iCs/>
                <w:sz w:val="20"/>
                <w:szCs w:val="20"/>
              </w:rPr>
              <w:t xml:space="preserve"> Circuit</w:t>
            </w:r>
            <w:r w:rsidRPr="00BE3728">
              <w:rPr>
                <w:sz w:val="20"/>
                <w:szCs w:val="20"/>
              </w:rPr>
              <w:t xml:space="preserve"> erfolglos eine Überprüfung seiner Verurteilung. Und der </w:t>
            </w:r>
            <w:r>
              <w:rPr>
                <w:sz w:val="20"/>
                <w:szCs w:val="20"/>
              </w:rPr>
              <w:t>U.S. Supreme Court</w:t>
            </w:r>
            <w:r w:rsidRPr="00BE3728">
              <w:rPr>
                <w:sz w:val="20"/>
                <w:szCs w:val="20"/>
              </w:rPr>
              <w:t xml:space="preserve"> sah die Verurteilung ebenso als rechtmäßig an</w:t>
            </w:r>
            <w:r>
              <w:rPr>
                <w:sz w:val="20"/>
                <w:szCs w:val="20"/>
              </w:rPr>
              <w:t>, d</w:t>
            </w:r>
            <w:r w:rsidRPr="00BE3728">
              <w:rPr>
                <w:sz w:val="20"/>
                <w:szCs w:val="20"/>
              </w:rPr>
              <w:t xml:space="preserve">a sie einerseits auf </w:t>
            </w:r>
            <w:proofErr w:type="spellStart"/>
            <w:r w:rsidRPr="5B67C1D2">
              <w:rPr>
                <w:i/>
                <w:iCs/>
                <w:sz w:val="20"/>
                <w:szCs w:val="20"/>
              </w:rPr>
              <w:t>Barenblatt</w:t>
            </w:r>
            <w:proofErr w:type="spellEnd"/>
            <w:r w:rsidRPr="5B67C1D2">
              <w:rPr>
                <w:i/>
                <w:iCs/>
                <w:sz w:val="20"/>
                <w:szCs w:val="20"/>
              </w:rPr>
              <w:t xml:space="preserve"> v. United States</w:t>
            </w:r>
            <w:r w:rsidRPr="00BE3728">
              <w:rPr>
                <w:rStyle w:val="Funotenzeichen"/>
                <w:sz w:val="20"/>
                <w:szCs w:val="20"/>
              </w:rPr>
              <w:footnoteReference w:id="897"/>
            </w:r>
            <w:r w:rsidRPr="00BE3728">
              <w:rPr>
                <w:sz w:val="20"/>
                <w:szCs w:val="20"/>
              </w:rPr>
              <w:t xml:space="preserve"> fußte. Andererseits hatte der Unterausschuss hinreichend bestimmt seine Untersuchungsbereiche definiert. </w:t>
            </w:r>
            <w:r>
              <w:rPr>
                <w:sz w:val="20"/>
                <w:szCs w:val="20"/>
              </w:rPr>
              <w:t>Die</w:t>
            </w:r>
            <w:r w:rsidRPr="00BE3728">
              <w:rPr>
                <w:sz w:val="20"/>
                <w:szCs w:val="20"/>
              </w:rPr>
              <w:t xml:space="preserve"> Anhörung fand innerhalb dieser Grenzen statt. Er nutzte zudem die Zwangswirkung einer Verurteilung gegenüber dem Kläger, um die Untersuchung voranzubringen. Und die Frage nach der Mitgliedschaft in der Kommunistischen Partei war für die Untersuchung wesentlich. Der </w:t>
            </w:r>
            <w:r>
              <w:rPr>
                <w:sz w:val="20"/>
                <w:szCs w:val="20"/>
              </w:rPr>
              <w:t>U.S. Supreme Court</w:t>
            </w:r>
            <w:r w:rsidRPr="00BE3728">
              <w:rPr>
                <w:sz w:val="20"/>
                <w:szCs w:val="20"/>
              </w:rPr>
              <w:t xml:space="preserve"> sah daher nicht, dass der Unterausschuss seine Kompetenzen überschritt</w:t>
            </w:r>
            <w:r>
              <w:rPr>
                <w:sz w:val="20"/>
                <w:szCs w:val="20"/>
              </w:rPr>
              <w:t>en habe</w:t>
            </w:r>
            <w:r w:rsidRPr="00BE3728">
              <w:rPr>
                <w:sz w:val="20"/>
                <w:szCs w:val="20"/>
              </w:rPr>
              <w:t>. Er bestätigte die Verurteilung der Vorinstanzen.</w:t>
            </w:r>
            <w:r w:rsidRPr="00BE3728">
              <w:rPr>
                <w:rStyle w:val="Funotenzeichen"/>
                <w:sz w:val="20"/>
                <w:szCs w:val="20"/>
              </w:rPr>
              <w:footnoteReference w:id="898"/>
            </w:r>
          </w:p>
          <w:p w14:paraId="29C3D988" w14:textId="77777777" w:rsidR="00074551" w:rsidRPr="00BE3728" w:rsidRDefault="00074551" w:rsidP="00367133">
            <w:pPr>
              <w:jc w:val="both"/>
              <w:rPr>
                <w:sz w:val="20"/>
                <w:szCs w:val="20"/>
              </w:rPr>
            </w:pPr>
          </w:p>
          <w:p w14:paraId="597D065A" w14:textId="77777777" w:rsidR="00074551" w:rsidRPr="00BE3728" w:rsidRDefault="00074551" w:rsidP="00367133">
            <w:pPr>
              <w:jc w:val="both"/>
              <w:rPr>
                <w:sz w:val="20"/>
                <w:szCs w:val="20"/>
              </w:rPr>
            </w:pPr>
          </w:p>
          <w:p w14:paraId="2C69A3A2" w14:textId="77777777" w:rsidR="00074551" w:rsidRPr="00BE3728" w:rsidRDefault="00074551" w:rsidP="00367133">
            <w:pPr>
              <w:jc w:val="both"/>
              <w:rPr>
                <w:sz w:val="20"/>
                <w:szCs w:val="20"/>
              </w:rPr>
            </w:pPr>
          </w:p>
          <w:p w14:paraId="6BB737C5" w14:textId="77777777" w:rsidR="00074551" w:rsidRPr="00BE3728" w:rsidRDefault="00074551" w:rsidP="00367133">
            <w:pPr>
              <w:jc w:val="both"/>
              <w:rPr>
                <w:sz w:val="20"/>
                <w:szCs w:val="20"/>
              </w:rPr>
            </w:pPr>
          </w:p>
          <w:p w14:paraId="6EE36A10" w14:textId="77777777" w:rsidR="00074551" w:rsidRPr="00E50B51" w:rsidRDefault="00074551" w:rsidP="00367133">
            <w:pPr>
              <w:jc w:val="both"/>
              <w:rPr>
                <w:sz w:val="20"/>
                <w:szCs w:val="20"/>
                <w:lang w:val="en-US"/>
              </w:rPr>
            </w:pPr>
          </w:p>
        </w:tc>
        <w:tc>
          <w:tcPr>
            <w:tcW w:w="1822" w:type="pct"/>
          </w:tcPr>
          <w:p w14:paraId="2568DE6D" w14:textId="77777777" w:rsidR="00074551" w:rsidRPr="00B45592" w:rsidRDefault="00074551" w:rsidP="00367133">
            <w:pPr>
              <w:jc w:val="both"/>
              <w:rPr>
                <w:i/>
                <w:sz w:val="20"/>
                <w:szCs w:val="20"/>
                <w:lang w:val="en-IE"/>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Freedom of Speech and Petition › Congressional Investigation</w:t>
            </w:r>
          </w:p>
          <w:p w14:paraId="4329C3C1" w14:textId="77777777" w:rsidR="00074551" w:rsidRPr="00B45592" w:rsidRDefault="00074551" w:rsidP="00367133">
            <w:pPr>
              <w:jc w:val="both"/>
              <w:rPr>
                <w:sz w:val="20"/>
                <w:szCs w:val="20"/>
                <w:lang w:val="en-IE"/>
              </w:rPr>
            </w:pPr>
          </w:p>
          <w:p w14:paraId="344799E2" w14:textId="179156A3"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urteilte, wenn der Unterausschuss des </w:t>
            </w:r>
            <w:r w:rsidRPr="5B67C1D2">
              <w:rPr>
                <w:i/>
                <w:iCs/>
                <w:sz w:val="20"/>
                <w:szCs w:val="20"/>
              </w:rPr>
              <w:t xml:space="preserve">House Committee on </w:t>
            </w:r>
            <w:proofErr w:type="spellStart"/>
            <w:r w:rsidRPr="5B67C1D2">
              <w:rPr>
                <w:i/>
                <w:iCs/>
                <w:sz w:val="20"/>
                <w:szCs w:val="20"/>
              </w:rPr>
              <w:t>Un</w:t>
            </w:r>
            <w:proofErr w:type="spellEnd"/>
            <w:r w:rsidRPr="5B67C1D2">
              <w:rPr>
                <w:i/>
                <w:iCs/>
                <w:sz w:val="20"/>
                <w:szCs w:val="20"/>
              </w:rPr>
              <w:t xml:space="preserve">-American </w:t>
            </w:r>
            <w:proofErr w:type="spellStart"/>
            <w:r w:rsidRPr="5B67C1D2">
              <w:rPr>
                <w:i/>
                <w:iCs/>
                <w:sz w:val="20"/>
                <w:szCs w:val="20"/>
              </w:rPr>
              <w:t>Activities</w:t>
            </w:r>
            <w:proofErr w:type="spellEnd"/>
            <w:r w:rsidRPr="00BE3728">
              <w:rPr>
                <w:sz w:val="20"/>
                <w:szCs w:val="20"/>
              </w:rPr>
              <w:t xml:space="preserve"> den Kläger bezüglich der Mitgliedschaft eines Zeugen in der Kommunistischen Partei befragte, dann verletze dies nicht seine Rechte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obgleich der Zeuge den Ausschuss öffentlich kritis</w:t>
            </w:r>
            <w:r>
              <w:rPr>
                <w:sz w:val="20"/>
                <w:szCs w:val="20"/>
              </w:rPr>
              <w:t>i</w:t>
            </w:r>
            <w:r w:rsidRPr="00BE3728">
              <w:rPr>
                <w:sz w:val="20"/>
                <w:szCs w:val="20"/>
              </w:rPr>
              <w:t>erte und versuchte, den Kongress mit einer Petition dazu zu bewegen, den Ausschuss selbst abzusetzen.</w:t>
            </w:r>
            <w:r w:rsidRPr="00BE3728">
              <w:rPr>
                <w:rStyle w:val="Funotenzeichen"/>
                <w:sz w:val="20"/>
                <w:szCs w:val="20"/>
              </w:rPr>
              <w:footnoteReference w:id="899"/>
            </w:r>
          </w:p>
          <w:p w14:paraId="39E7339E" w14:textId="77777777" w:rsidR="00074551" w:rsidRDefault="00074551" w:rsidP="00367133">
            <w:pPr>
              <w:jc w:val="both"/>
              <w:rPr>
                <w:sz w:val="20"/>
                <w:szCs w:val="20"/>
              </w:rPr>
            </w:pPr>
            <w:r w:rsidRPr="00BE3728">
              <w:rPr>
                <w:sz w:val="20"/>
                <w:szCs w:val="20"/>
              </w:rPr>
              <w:t xml:space="preserve">Die Gründe dafür waren </w:t>
            </w:r>
            <w:r>
              <w:rPr>
                <w:sz w:val="20"/>
                <w:szCs w:val="20"/>
              </w:rPr>
              <w:t>u.a.</w:t>
            </w:r>
            <w:r w:rsidRPr="00BE3728">
              <w:rPr>
                <w:sz w:val="20"/>
                <w:szCs w:val="20"/>
              </w:rPr>
              <w:t>, dass die Exekutive ein zwingendes staatliches Interesse daran habe („</w:t>
            </w:r>
            <w:proofErr w:type="spellStart"/>
            <w:r w:rsidRPr="00BE3728">
              <w:rPr>
                <w:sz w:val="20"/>
                <w:szCs w:val="20"/>
              </w:rPr>
              <w:t>subordinating</w:t>
            </w:r>
            <w:proofErr w:type="spellEnd"/>
            <w:r w:rsidRPr="00BE3728">
              <w:rPr>
                <w:sz w:val="20"/>
                <w:szCs w:val="20"/>
              </w:rPr>
              <w:t xml:space="preserve"> </w:t>
            </w:r>
            <w:proofErr w:type="spellStart"/>
            <w:r w:rsidRPr="00BE3728">
              <w:rPr>
                <w:sz w:val="20"/>
                <w:szCs w:val="20"/>
              </w:rPr>
              <w:t>interest</w:t>
            </w:r>
            <w:proofErr w:type="spellEnd"/>
            <w:r w:rsidRPr="00BE3728">
              <w:rPr>
                <w:sz w:val="20"/>
                <w:szCs w:val="20"/>
              </w:rPr>
              <w:t xml:space="preserve"> of the State </w:t>
            </w:r>
            <w:proofErr w:type="spellStart"/>
            <w:r w:rsidRPr="00BE3728">
              <w:rPr>
                <w:sz w:val="20"/>
                <w:szCs w:val="20"/>
              </w:rPr>
              <w:t>must</w:t>
            </w:r>
            <w:proofErr w:type="spellEnd"/>
            <w:r w:rsidRPr="00BE3728">
              <w:rPr>
                <w:sz w:val="20"/>
                <w:szCs w:val="20"/>
              </w:rPr>
              <w:t xml:space="preserve"> </w:t>
            </w:r>
            <w:proofErr w:type="spellStart"/>
            <w:r w:rsidRPr="00BE3728">
              <w:rPr>
                <w:sz w:val="20"/>
                <w:szCs w:val="20"/>
              </w:rPr>
              <w:t>be</w:t>
            </w:r>
            <w:proofErr w:type="spellEnd"/>
            <w:r w:rsidRPr="00BE3728">
              <w:rPr>
                <w:sz w:val="20"/>
                <w:szCs w:val="20"/>
              </w:rPr>
              <w:t xml:space="preserve"> </w:t>
            </w:r>
            <w:proofErr w:type="spellStart"/>
            <w:r w:rsidRPr="00BE3728">
              <w:rPr>
                <w:sz w:val="20"/>
                <w:szCs w:val="20"/>
              </w:rPr>
              <w:t>compelling</w:t>
            </w:r>
            <w:proofErr w:type="spellEnd"/>
            <w:r w:rsidRPr="00BE3728">
              <w:rPr>
                <w:sz w:val="20"/>
                <w:szCs w:val="20"/>
              </w:rPr>
              <w:t>“</w:t>
            </w:r>
            <w:r w:rsidRPr="00BE3728">
              <w:rPr>
                <w:rStyle w:val="Funotenzeichen"/>
                <w:sz w:val="20"/>
                <w:szCs w:val="20"/>
              </w:rPr>
              <w:footnoteReference w:id="900"/>
            </w:r>
            <w:r w:rsidRPr="00BE3728">
              <w:rPr>
                <w:sz w:val="20"/>
                <w:szCs w:val="20"/>
              </w:rPr>
              <w:t xml:space="preserve">), sich vor Umsturzversuchen der Kommunistischen Partei, die nicht als </w:t>
            </w:r>
            <w:r>
              <w:rPr>
                <w:sz w:val="20"/>
                <w:szCs w:val="20"/>
              </w:rPr>
              <w:t>Partei</w:t>
            </w:r>
            <w:r w:rsidRPr="00BE3728">
              <w:rPr>
                <w:sz w:val="20"/>
                <w:szCs w:val="20"/>
              </w:rPr>
              <w:t xml:space="preserve"> anerkannt wurde, zu schützen.</w:t>
            </w:r>
            <w:r w:rsidRPr="00BE3728">
              <w:rPr>
                <w:rStyle w:val="Funotenzeichen"/>
                <w:sz w:val="20"/>
                <w:szCs w:val="20"/>
              </w:rPr>
              <w:footnoteReference w:id="901"/>
            </w:r>
          </w:p>
          <w:p w14:paraId="75B3F6EF" w14:textId="77777777" w:rsidR="00074551" w:rsidRDefault="00074551" w:rsidP="00367133">
            <w:pPr>
              <w:jc w:val="both"/>
              <w:rPr>
                <w:sz w:val="20"/>
                <w:szCs w:val="20"/>
              </w:rPr>
            </w:pPr>
          </w:p>
          <w:p w14:paraId="1415140E" w14:textId="76465365" w:rsidR="00074551" w:rsidRDefault="00074551" w:rsidP="00367133">
            <w:pPr>
              <w:jc w:val="both"/>
              <w:rPr>
                <w:sz w:val="20"/>
                <w:szCs w:val="20"/>
              </w:rPr>
            </w:pPr>
            <w:r>
              <w:rPr>
                <w:sz w:val="20"/>
                <w:szCs w:val="20"/>
              </w:rPr>
              <w:t xml:space="preserve">Der </w:t>
            </w:r>
            <w:r w:rsidRPr="00BE3728">
              <w:rPr>
                <w:sz w:val="20"/>
                <w:szCs w:val="20"/>
              </w:rPr>
              <w:t xml:space="preserve">Dissens kondensierte den Sachverhalt auf die wesentliche Verfassungsfrage: Das </w:t>
            </w:r>
            <w:r w:rsidRPr="5B67C1D2">
              <w:rPr>
                <w:i/>
                <w:iCs/>
                <w:sz w:val="20"/>
                <w:szCs w:val="20"/>
              </w:rPr>
              <w:t xml:space="preserve">House Committee on </w:t>
            </w:r>
            <w:proofErr w:type="spellStart"/>
            <w:r w:rsidRPr="5B67C1D2">
              <w:rPr>
                <w:i/>
                <w:iCs/>
                <w:sz w:val="20"/>
                <w:szCs w:val="20"/>
              </w:rPr>
              <w:t>Un</w:t>
            </w:r>
            <w:proofErr w:type="spellEnd"/>
            <w:r w:rsidRPr="5B67C1D2">
              <w:rPr>
                <w:i/>
                <w:iCs/>
                <w:sz w:val="20"/>
                <w:szCs w:val="20"/>
              </w:rPr>
              <w:t xml:space="preserve">-American </w:t>
            </w:r>
            <w:proofErr w:type="spellStart"/>
            <w:r w:rsidRPr="5B67C1D2">
              <w:rPr>
                <w:i/>
                <w:iCs/>
                <w:sz w:val="20"/>
                <w:szCs w:val="20"/>
              </w:rPr>
              <w:t>Activities</w:t>
            </w:r>
            <w:proofErr w:type="spellEnd"/>
            <w:r w:rsidRPr="00BE3728">
              <w:rPr>
                <w:sz w:val="20"/>
                <w:szCs w:val="20"/>
              </w:rPr>
              <w:t xml:space="preserve"> stellte bei einer Anhörung dem Kläger Fragen, die sich auf seine persönlichen Überzeugungen und Mitgliedschaft bei Vereinigungen bezogen. Der Kläger weigerte sich zu antworten. Er berief sich auf den Schutz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Aufgrund der W</w:t>
            </w:r>
            <w:r>
              <w:rPr>
                <w:sz w:val="20"/>
                <w:szCs w:val="20"/>
              </w:rPr>
              <w:t>e</w:t>
            </w:r>
            <w:r w:rsidRPr="00BE3728">
              <w:rPr>
                <w:sz w:val="20"/>
                <w:szCs w:val="20"/>
              </w:rPr>
              <w:t>igerung wurde er gemäß 2 U.S.C.</w:t>
            </w:r>
            <w:r>
              <w:rPr>
                <w:sz w:val="20"/>
                <w:szCs w:val="20"/>
              </w:rPr>
              <w:t>S.</w:t>
            </w:r>
            <w:r w:rsidRPr="00BE3728">
              <w:rPr>
                <w:sz w:val="20"/>
                <w:szCs w:val="20"/>
              </w:rPr>
              <w:t xml:space="preserve"> </w:t>
            </w:r>
            <w:r>
              <w:rPr>
                <w:sz w:val="20"/>
                <w:szCs w:val="20"/>
              </w:rPr>
              <w:t>§ </w:t>
            </w:r>
            <w:r w:rsidRPr="00BE3728">
              <w:rPr>
                <w:sz w:val="20"/>
                <w:szCs w:val="20"/>
              </w:rPr>
              <w:t xml:space="preserve">192 zu einer Gefängnisstrafe von </w:t>
            </w:r>
            <w:r>
              <w:rPr>
                <w:sz w:val="20"/>
                <w:szCs w:val="20"/>
              </w:rPr>
              <w:t>zwölf</w:t>
            </w:r>
            <w:r w:rsidRPr="00BE3728">
              <w:rPr>
                <w:sz w:val="20"/>
                <w:szCs w:val="20"/>
              </w:rPr>
              <w:t xml:space="preserve"> Monaten verurteilt.</w:t>
            </w:r>
            <w:r w:rsidRPr="00BE3728">
              <w:rPr>
                <w:rStyle w:val="Funotenzeichen"/>
                <w:sz w:val="20"/>
                <w:szCs w:val="20"/>
              </w:rPr>
              <w:footnoteReference w:id="902"/>
            </w:r>
            <w:r w:rsidRPr="00BE3728">
              <w:rPr>
                <w:sz w:val="20"/>
                <w:szCs w:val="20"/>
              </w:rPr>
              <w:t xml:space="preserve"> Der Dissens wandte sich gegen diese Verurteilung. Sich ohne Angst vor einer Verurteilung zu äußern oder nicht zu äußern, beruhe auf dem Grundprinzip der Freiheit („</w:t>
            </w:r>
            <w:proofErr w:type="spellStart"/>
            <w:r w:rsidRPr="00BE3728">
              <w:rPr>
                <w:sz w:val="20"/>
                <w:szCs w:val="20"/>
              </w:rPr>
              <w:t>basic</w:t>
            </w:r>
            <w:proofErr w:type="spellEnd"/>
            <w:r w:rsidRPr="00BE3728">
              <w:rPr>
                <w:sz w:val="20"/>
                <w:szCs w:val="20"/>
              </w:rPr>
              <w:t xml:space="preserve"> </w:t>
            </w:r>
            <w:proofErr w:type="spellStart"/>
            <w:r w:rsidRPr="00BE3728">
              <w:rPr>
                <w:sz w:val="20"/>
                <w:szCs w:val="20"/>
              </w:rPr>
              <w:t>principles</w:t>
            </w:r>
            <w:proofErr w:type="spellEnd"/>
            <w:r w:rsidRPr="00BE3728">
              <w:rPr>
                <w:sz w:val="20"/>
                <w:szCs w:val="20"/>
              </w:rPr>
              <w:t xml:space="preserve"> of </w:t>
            </w:r>
            <w:proofErr w:type="spellStart"/>
            <w:r w:rsidRPr="00BE3728">
              <w:rPr>
                <w:sz w:val="20"/>
                <w:szCs w:val="20"/>
              </w:rPr>
              <w:t>freedom</w:t>
            </w:r>
            <w:proofErr w:type="spellEnd"/>
            <w:r w:rsidRPr="00BE3728">
              <w:rPr>
                <w:sz w:val="20"/>
                <w:szCs w:val="20"/>
              </w:rPr>
              <w:t>“</w:t>
            </w:r>
            <w:r w:rsidRPr="00BE3728">
              <w:rPr>
                <w:rStyle w:val="Funotenzeichen"/>
                <w:sz w:val="20"/>
                <w:szCs w:val="20"/>
              </w:rPr>
              <w:footnoteReference w:id="903"/>
            </w:r>
            <w:r w:rsidRPr="00BE3728">
              <w:rPr>
                <w:sz w:val="20"/>
                <w:szCs w:val="20"/>
              </w:rPr>
              <w:t>). Dies sei das oberste Ziel und Mittel eines unabhängigen Staates. Es drück</w:t>
            </w:r>
            <w:r>
              <w:rPr>
                <w:sz w:val="20"/>
                <w:szCs w:val="20"/>
              </w:rPr>
              <w:t>e</w:t>
            </w:r>
            <w:r w:rsidRPr="00BE3728">
              <w:rPr>
                <w:sz w:val="20"/>
                <w:szCs w:val="20"/>
              </w:rPr>
              <w:t xml:space="preserve"> sich darin aus, die Persönlichkeit zu entwickeln und sich gegen Willkür erwehren zu können; beides sei zentral für die Freiheit, weil sie damit Glück ermögliche, also sichere und fördere („</w:t>
            </w:r>
            <w:proofErr w:type="spellStart"/>
            <w:r w:rsidRPr="00BE3728">
              <w:rPr>
                <w:sz w:val="20"/>
                <w:szCs w:val="20"/>
              </w:rPr>
              <w:t>They</w:t>
            </w:r>
            <w:proofErr w:type="spellEnd"/>
            <w:r w:rsidRPr="00BE3728">
              <w:rPr>
                <w:sz w:val="20"/>
                <w:szCs w:val="20"/>
              </w:rPr>
              <w:t xml:space="preserve"> </w:t>
            </w:r>
            <w:proofErr w:type="spellStart"/>
            <w:r w:rsidRPr="00BE3728">
              <w:rPr>
                <w:sz w:val="20"/>
                <w:szCs w:val="20"/>
              </w:rPr>
              <w:t>believed</w:t>
            </w:r>
            <w:proofErr w:type="spellEnd"/>
            <w:r w:rsidRPr="00BE3728">
              <w:rPr>
                <w:sz w:val="20"/>
                <w:szCs w:val="20"/>
              </w:rPr>
              <w:t xml:space="preserve"> </w:t>
            </w:r>
            <w:proofErr w:type="spellStart"/>
            <w:r w:rsidRPr="00BE3728">
              <w:rPr>
                <w:sz w:val="20"/>
                <w:szCs w:val="20"/>
              </w:rPr>
              <w:t>liberty</w:t>
            </w:r>
            <w:proofErr w:type="spellEnd"/>
            <w:r w:rsidRPr="00BE3728">
              <w:rPr>
                <w:sz w:val="20"/>
                <w:szCs w:val="20"/>
              </w:rPr>
              <w:t xml:space="preserve"> to </w:t>
            </w:r>
            <w:proofErr w:type="spellStart"/>
            <w:r w:rsidRPr="00BE3728">
              <w:rPr>
                <w:sz w:val="20"/>
                <w:szCs w:val="20"/>
              </w:rPr>
              <w:t>be</w:t>
            </w:r>
            <w:proofErr w:type="spellEnd"/>
            <w:r w:rsidRPr="00BE3728">
              <w:rPr>
                <w:sz w:val="20"/>
                <w:szCs w:val="20"/>
              </w:rPr>
              <w:t xml:space="preserve"> the </w:t>
            </w:r>
            <w:proofErr w:type="spellStart"/>
            <w:r w:rsidRPr="00BE3728">
              <w:rPr>
                <w:sz w:val="20"/>
                <w:szCs w:val="20"/>
              </w:rPr>
              <w:t>secret</w:t>
            </w:r>
            <w:proofErr w:type="spellEnd"/>
            <w:r w:rsidRPr="00BE3728">
              <w:rPr>
                <w:sz w:val="20"/>
                <w:szCs w:val="20"/>
              </w:rPr>
              <w:t xml:space="preserve"> of </w:t>
            </w:r>
            <w:proofErr w:type="spellStart"/>
            <w:r w:rsidRPr="00BE3728">
              <w:rPr>
                <w:sz w:val="20"/>
                <w:szCs w:val="20"/>
              </w:rPr>
              <w:t>happiness</w:t>
            </w:r>
            <w:proofErr w:type="spellEnd"/>
            <w:r w:rsidRPr="00BE3728">
              <w:rPr>
                <w:sz w:val="20"/>
                <w:szCs w:val="20"/>
              </w:rPr>
              <w:t>“</w:t>
            </w:r>
            <w:r w:rsidRPr="00BE3728">
              <w:rPr>
                <w:rStyle w:val="Funotenzeichen"/>
                <w:sz w:val="20"/>
                <w:szCs w:val="20"/>
              </w:rPr>
              <w:footnoteReference w:id="904"/>
            </w:r>
            <w:r w:rsidRPr="00BE3728">
              <w:rPr>
                <w:sz w:val="20"/>
                <w:szCs w:val="20"/>
              </w:rPr>
              <w:t xml:space="preserve">). Konkrete Folge war </w:t>
            </w:r>
            <w:r>
              <w:rPr>
                <w:sz w:val="20"/>
                <w:szCs w:val="20"/>
              </w:rPr>
              <w:t>z.B.,</w:t>
            </w:r>
            <w:r w:rsidRPr="00BE3728">
              <w:rPr>
                <w:sz w:val="20"/>
                <w:szCs w:val="20"/>
              </w:rPr>
              <w:t xml:space="preserve"> nach Kritik nicht vom Staat unterdrückt zu werden („</w:t>
            </w:r>
            <w:proofErr w:type="spellStart"/>
            <w:r w:rsidRPr="00BE3728">
              <w:rPr>
                <w:sz w:val="20"/>
                <w:szCs w:val="20"/>
              </w:rPr>
              <w:t>preventing</w:t>
            </w:r>
            <w:proofErr w:type="spellEnd"/>
            <w:r w:rsidRPr="00BE3728">
              <w:rPr>
                <w:sz w:val="20"/>
                <w:szCs w:val="20"/>
              </w:rPr>
              <w:t xml:space="preserve"> just the </w:t>
            </w:r>
            <w:proofErr w:type="spellStart"/>
            <w:r w:rsidRPr="00BE3728">
              <w:rPr>
                <w:sz w:val="20"/>
                <w:szCs w:val="20"/>
              </w:rPr>
              <w:t>sort</w:t>
            </w:r>
            <w:proofErr w:type="spellEnd"/>
            <w:r w:rsidRPr="00BE3728">
              <w:rPr>
                <w:sz w:val="20"/>
                <w:szCs w:val="20"/>
              </w:rPr>
              <w:t xml:space="preserve"> of </w:t>
            </w:r>
            <w:proofErr w:type="spellStart"/>
            <w:r w:rsidRPr="00BE3728">
              <w:rPr>
                <w:sz w:val="20"/>
                <w:szCs w:val="20"/>
              </w:rPr>
              <w:t>governmental</w:t>
            </w:r>
            <w:proofErr w:type="spellEnd"/>
            <w:r w:rsidRPr="00BE3728">
              <w:rPr>
                <w:sz w:val="20"/>
                <w:szCs w:val="20"/>
              </w:rPr>
              <w:t xml:space="preserve"> </w:t>
            </w:r>
            <w:proofErr w:type="spellStart"/>
            <w:r w:rsidRPr="00BE3728">
              <w:rPr>
                <w:sz w:val="20"/>
                <w:szCs w:val="20"/>
              </w:rPr>
              <w:t>suppression</w:t>
            </w:r>
            <w:proofErr w:type="spellEnd"/>
            <w:r w:rsidRPr="00BE3728">
              <w:rPr>
                <w:sz w:val="20"/>
                <w:szCs w:val="20"/>
              </w:rPr>
              <w:t xml:space="preserve"> of </w:t>
            </w:r>
            <w:proofErr w:type="spellStart"/>
            <w:r w:rsidRPr="00BE3728">
              <w:rPr>
                <w:sz w:val="20"/>
                <w:szCs w:val="20"/>
              </w:rPr>
              <w:t>criticism</w:t>
            </w:r>
            <w:proofErr w:type="spellEnd"/>
            <w:r w:rsidRPr="00BE3728">
              <w:rPr>
                <w:sz w:val="20"/>
                <w:szCs w:val="20"/>
              </w:rPr>
              <w:t>“</w:t>
            </w:r>
            <w:r w:rsidRPr="00BE3728">
              <w:rPr>
                <w:rStyle w:val="Funotenzeichen"/>
                <w:sz w:val="20"/>
                <w:szCs w:val="20"/>
              </w:rPr>
              <w:footnoteReference w:id="905"/>
            </w:r>
            <w:r w:rsidRPr="00BE3728">
              <w:rPr>
                <w:sz w:val="20"/>
                <w:szCs w:val="20"/>
              </w:rPr>
              <w:t>). Doch das war gerade der Fall. Hier beruf</w:t>
            </w:r>
            <w:r>
              <w:rPr>
                <w:sz w:val="20"/>
                <w:szCs w:val="20"/>
              </w:rPr>
              <w:t>e</w:t>
            </w:r>
            <w:r w:rsidRPr="00BE3728">
              <w:rPr>
                <w:sz w:val="20"/>
                <w:szCs w:val="20"/>
              </w:rPr>
              <w:t xml:space="preserve"> sich der Kläger auf den klaren Wortlaut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lang w:val="en-US"/>
              </w:rPr>
              <w:t xml:space="preserve">, der sein </w:t>
            </w:r>
            <w:proofErr w:type="spellStart"/>
            <w:r w:rsidRPr="00BE3728">
              <w:rPr>
                <w:sz w:val="20"/>
                <w:szCs w:val="20"/>
                <w:lang w:val="en-US"/>
              </w:rPr>
              <w:t>Schweigen</w:t>
            </w:r>
            <w:proofErr w:type="spellEnd"/>
            <w:r w:rsidRPr="00BE3728">
              <w:rPr>
                <w:sz w:val="20"/>
                <w:szCs w:val="20"/>
                <w:lang w:val="en-US"/>
              </w:rPr>
              <w:t xml:space="preserve"> </w:t>
            </w:r>
            <w:proofErr w:type="spellStart"/>
            <w:r w:rsidRPr="00BE3728">
              <w:rPr>
                <w:sz w:val="20"/>
                <w:szCs w:val="20"/>
                <w:lang w:val="en-US"/>
              </w:rPr>
              <w:t>schütze</w:t>
            </w:r>
            <w:proofErr w:type="spellEnd"/>
            <w:r w:rsidRPr="00BE3728">
              <w:rPr>
                <w:sz w:val="20"/>
                <w:szCs w:val="20"/>
                <w:lang w:val="en-US"/>
              </w:rPr>
              <w:t xml:space="preserve"> („principles of the First Amendment are stated in […] mandatory terms and unless they are applied in those terms, the freedoms […] will have no effective protection.“</w:t>
            </w:r>
            <w:r w:rsidRPr="00BE3728">
              <w:rPr>
                <w:rStyle w:val="Funotenzeichen"/>
                <w:sz w:val="20"/>
                <w:szCs w:val="20"/>
              </w:rPr>
              <w:footnoteReference w:id="906"/>
            </w:r>
            <w:r w:rsidRPr="00BE3728">
              <w:rPr>
                <w:sz w:val="20"/>
                <w:szCs w:val="20"/>
              </w:rPr>
              <w:t xml:space="preserve">), dennoch folgte eine Haftstrafe. Wenn der </w:t>
            </w:r>
            <w:r>
              <w:rPr>
                <w:sz w:val="20"/>
                <w:szCs w:val="20"/>
              </w:rPr>
              <w:t>U.S. Supreme Court</w:t>
            </w:r>
            <w:r w:rsidRPr="00BE3728">
              <w:rPr>
                <w:sz w:val="20"/>
                <w:szCs w:val="20"/>
              </w:rPr>
              <w:t xml:space="preserve"> obgleich des Wortlautschutzes dazu übergehe, diesen Schutzbereich der Freiheit im Einzelfall mit einer Abwägung zu derogieren, dann nivelliere er das Grundprinzip der Vereinigten Staaten: die Freiheit.</w:t>
            </w:r>
            <w:r w:rsidRPr="00BE3728">
              <w:rPr>
                <w:rStyle w:val="Funotenzeichen"/>
                <w:sz w:val="20"/>
                <w:szCs w:val="20"/>
              </w:rPr>
              <w:footnoteReference w:id="907"/>
            </w:r>
          </w:p>
          <w:p w14:paraId="07AF1FDA" w14:textId="77777777" w:rsidR="00074551" w:rsidRPr="00E50B51" w:rsidRDefault="00074551" w:rsidP="00367133">
            <w:pPr>
              <w:jc w:val="both"/>
              <w:rPr>
                <w:sz w:val="20"/>
                <w:szCs w:val="20"/>
              </w:rPr>
            </w:pPr>
          </w:p>
        </w:tc>
      </w:tr>
      <w:tr w:rsidR="00074551" w:rsidRPr="00E50B51" w14:paraId="25C5DBF9" w14:textId="77777777" w:rsidTr="0089283E">
        <w:trPr>
          <w:cantSplit/>
          <w:trHeight w:val="3175"/>
        </w:trPr>
        <w:tc>
          <w:tcPr>
            <w:tcW w:w="293" w:type="pct"/>
            <w:shd w:val="clear" w:color="auto" w:fill="E7E6E6" w:themeFill="background2"/>
          </w:tcPr>
          <w:p w14:paraId="290F3FA2"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4908F7C7" w14:textId="77777777" w:rsidR="00074551" w:rsidRPr="00E50B51" w:rsidRDefault="00074551" w:rsidP="00367133">
            <w:pPr>
              <w:ind w:left="113" w:right="416"/>
              <w:jc w:val="both"/>
              <w:rPr>
                <w:sz w:val="20"/>
                <w:szCs w:val="20"/>
                <w:lang w:val="en-US"/>
              </w:rPr>
            </w:pPr>
            <w:r w:rsidRPr="00BE3728">
              <w:rPr>
                <w:sz w:val="20"/>
                <w:szCs w:val="20"/>
              </w:rPr>
              <w:t>Naturrechtlich-freiheitliche Seite</w:t>
            </w:r>
          </w:p>
        </w:tc>
        <w:tc>
          <w:tcPr>
            <w:tcW w:w="197" w:type="pct"/>
            <w:shd w:val="clear" w:color="auto" w:fill="E7E6E6" w:themeFill="background2"/>
            <w:textDirection w:val="tbRl"/>
            <w:vAlign w:val="center"/>
          </w:tcPr>
          <w:p w14:paraId="78166388" w14:textId="77777777" w:rsidR="00074551" w:rsidRPr="00E50B51" w:rsidRDefault="00074551" w:rsidP="00367133">
            <w:pPr>
              <w:ind w:left="113" w:right="113"/>
              <w:jc w:val="both"/>
              <w:rPr>
                <w:sz w:val="20"/>
                <w:szCs w:val="20"/>
                <w:lang w:val="en-US"/>
              </w:rPr>
            </w:pPr>
            <w:r w:rsidRPr="00BE3728">
              <w:rPr>
                <w:sz w:val="20"/>
                <w:szCs w:val="20"/>
                <w:lang w:val="en-US"/>
              </w:rPr>
              <w:t>Freedom of Speech</w:t>
            </w:r>
          </w:p>
        </w:tc>
        <w:tc>
          <w:tcPr>
            <w:tcW w:w="306" w:type="pct"/>
            <w:shd w:val="clear" w:color="auto" w:fill="E7E6E6" w:themeFill="background2"/>
            <w:textDirection w:val="tbRl"/>
            <w:vAlign w:val="center"/>
          </w:tcPr>
          <w:p w14:paraId="0DF55B3C" w14:textId="77777777" w:rsidR="00074551" w:rsidRPr="00E50B51" w:rsidRDefault="00074551" w:rsidP="00367133">
            <w:pPr>
              <w:ind w:left="113" w:right="113"/>
              <w:jc w:val="both"/>
              <w:rPr>
                <w:sz w:val="20"/>
                <w:szCs w:val="20"/>
                <w:lang w:val="en-US"/>
              </w:rPr>
            </w:pPr>
            <w:r w:rsidRPr="00BE3728">
              <w:rPr>
                <w:sz w:val="20"/>
                <w:szCs w:val="20"/>
                <w:lang w:val="en-US"/>
              </w:rPr>
              <w:t>Public Employees</w:t>
            </w:r>
          </w:p>
        </w:tc>
        <w:tc>
          <w:tcPr>
            <w:tcW w:w="401" w:type="pct"/>
            <w:shd w:val="clear" w:color="auto" w:fill="E7E6E6" w:themeFill="background2"/>
          </w:tcPr>
          <w:p w14:paraId="18B9C5D2"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9E6C588" w14:textId="77777777" w:rsidR="00074551" w:rsidRPr="00E50B51" w:rsidRDefault="00074551" w:rsidP="00367133">
            <w:pPr>
              <w:jc w:val="both"/>
              <w:rPr>
                <w:sz w:val="20"/>
                <w:szCs w:val="20"/>
                <w:lang w:val="en-US"/>
              </w:rPr>
            </w:pPr>
          </w:p>
        </w:tc>
        <w:tc>
          <w:tcPr>
            <w:tcW w:w="1822" w:type="pct"/>
            <w:shd w:val="clear" w:color="auto" w:fill="E7E6E6" w:themeFill="background2"/>
          </w:tcPr>
          <w:p w14:paraId="1534CDBF" w14:textId="23234CB7"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7756255B" w14:textId="77777777" w:rsidTr="00BE689F">
        <w:trPr>
          <w:cantSplit/>
          <w:trHeight w:val="3175"/>
        </w:trPr>
        <w:tc>
          <w:tcPr>
            <w:tcW w:w="293" w:type="pct"/>
          </w:tcPr>
          <w:p w14:paraId="3294B327"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0DA9B4E4" w14:textId="77777777" w:rsidR="00074551" w:rsidRPr="00E50B51" w:rsidRDefault="00074551" w:rsidP="00367133">
            <w:pPr>
              <w:ind w:left="113" w:right="416"/>
              <w:jc w:val="both"/>
              <w:rPr>
                <w:sz w:val="20"/>
                <w:szCs w:val="20"/>
                <w:lang w:val="en-US"/>
              </w:rPr>
            </w:pPr>
            <w:r w:rsidRPr="009E57E1">
              <w:rPr>
                <w:i/>
                <w:sz w:val="20"/>
                <w:szCs w:val="20"/>
                <w:lang w:val="en-US"/>
              </w:rPr>
              <w:t>United Public Workers v. Mitchell</w:t>
            </w:r>
          </w:p>
        </w:tc>
        <w:tc>
          <w:tcPr>
            <w:tcW w:w="197" w:type="pct"/>
            <w:textDirection w:val="tbRl"/>
            <w:vAlign w:val="center"/>
          </w:tcPr>
          <w:p w14:paraId="428D3A83" w14:textId="77777777" w:rsidR="00074551" w:rsidRPr="00E50B51" w:rsidRDefault="00074551" w:rsidP="00367133">
            <w:pPr>
              <w:ind w:left="113" w:right="113"/>
              <w:jc w:val="both"/>
              <w:rPr>
                <w:sz w:val="20"/>
                <w:szCs w:val="20"/>
                <w:lang w:val="en-US"/>
              </w:rPr>
            </w:pPr>
            <w:r w:rsidRPr="00BE3728">
              <w:rPr>
                <w:sz w:val="20"/>
                <w:szCs w:val="20"/>
              </w:rPr>
              <w:t>330 U.S. 75</w:t>
            </w:r>
          </w:p>
        </w:tc>
        <w:tc>
          <w:tcPr>
            <w:tcW w:w="306" w:type="pct"/>
            <w:textDirection w:val="tbRl"/>
            <w:vAlign w:val="center"/>
          </w:tcPr>
          <w:p w14:paraId="3F0A8975" w14:textId="77777777" w:rsidR="00074551" w:rsidRPr="00E50B51" w:rsidRDefault="00074551" w:rsidP="00367133">
            <w:pPr>
              <w:ind w:left="113" w:right="113"/>
              <w:jc w:val="both"/>
              <w:rPr>
                <w:sz w:val="20"/>
                <w:szCs w:val="20"/>
                <w:lang w:val="en-US"/>
              </w:rPr>
            </w:pPr>
            <w:r w:rsidRPr="00BE3728">
              <w:rPr>
                <w:sz w:val="20"/>
                <w:szCs w:val="20"/>
              </w:rPr>
              <w:t>10. Februar 1947</w:t>
            </w:r>
          </w:p>
        </w:tc>
        <w:tc>
          <w:tcPr>
            <w:tcW w:w="401" w:type="pct"/>
          </w:tcPr>
          <w:p w14:paraId="12482D7D"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7605E208" w14:textId="34042633"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erklärte den </w:t>
            </w:r>
            <w:r w:rsidRPr="5B67C1D2">
              <w:rPr>
                <w:i/>
                <w:iCs/>
                <w:sz w:val="20"/>
                <w:szCs w:val="20"/>
              </w:rPr>
              <w:t>Hatch Act</w:t>
            </w:r>
            <w:r w:rsidRPr="00BE3728">
              <w:rPr>
                <w:sz w:val="20"/>
                <w:szCs w:val="20"/>
              </w:rPr>
              <w:t xml:space="preserve"> (vgl. </w:t>
            </w:r>
            <w:r w:rsidRPr="00F94158">
              <w:rPr>
                <w:sz w:val="20"/>
                <w:szCs w:val="20"/>
              </w:rPr>
              <w:t xml:space="preserve">§ 9[a] des </w:t>
            </w:r>
            <w:r w:rsidRPr="5B67C1D2">
              <w:rPr>
                <w:i/>
                <w:iCs/>
                <w:sz w:val="20"/>
                <w:szCs w:val="20"/>
              </w:rPr>
              <w:t>Hatch Act</w:t>
            </w:r>
            <w:r w:rsidRPr="00F94158">
              <w:rPr>
                <w:sz w:val="20"/>
                <w:szCs w:val="20"/>
              </w:rPr>
              <w:t xml:space="preserve">, 18 U.S.C.S. </w:t>
            </w:r>
            <w:r>
              <w:rPr>
                <w:sz w:val="20"/>
                <w:szCs w:val="20"/>
              </w:rPr>
              <w:t>§ </w:t>
            </w:r>
            <w:r w:rsidRPr="00BE3728">
              <w:rPr>
                <w:sz w:val="20"/>
                <w:szCs w:val="20"/>
              </w:rPr>
              <w:t>61h</w:t>
            </w:r>
            <w:r w:rsidRPr="00BE3728">
              <w:rPr>
                <w:rStyle w:val="Funotenzeichen"/>
                <w:sz w:val="20"/>
                <w:szCs w:val="20"/>
              </w:rPr>
              <w:footnoteReference w:id="908"/>
            </w:r>
            <w:r w:rsidRPr="00BE3728">
              <w:rPr>
                <w:sz w:val="20"/>
                <w:szCs w:val="20"/>
              </w:rPr>
              <w:t>) für verfassungskonform. D</w:t>
            </w:r>
            <w:r>
              <w:rPr>
                <w:sz w:val="20"/>
                <w:szCs w:val="20"/>
              </w:rPr>
              <w:t>ies</w:t>
            </w:r>
            <w:r w:rsidRPr="00BE3728">
              <w:rPr>
                <w:sz w:val="20"/>
                <w:szCs w:val="20"/>
              </w:rPr>
              <w:t>er untersag</w:t>
            </w:r>
            <w:r>
              <w:rPr>
                <w:sz w:val="20"/>
                <w:szCs w:val="20"/>
              </w:rPr>
              <w:t>t</w:t>
            </w:r>
            <w:r w:rsidRPr="00BE3728">
              <w:rPr>
                <w:sz w:val="20"/>
                <w:szCs w:val="20"/>
              </w:rPr>
              <w:t>e Bundesangestellten die aktive Teilnahme an politischen Wahlkämpfen. Die Bundesangestellte</w:t>
            </w:r>
            <w:r>
              <w:rPr>
                <w:sz w:val="20"/>
                <w:szCs w:val="20"/>
              </w:rPr>
              <w:t>n</w:t>
            </w:r>
            <w:r w:rsidRPr="00BE3728">
              <w:rPr>
                <w:sz w:val="20"/>
                <w:szCs w:val="20"/>
              </w:rPr>
              <w:t xml:space="preserve"> hatten gegen die Norm geklagt. Sie meinten, diese Regelung verletze ihre Rechte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 V, XI, X.</w:t>
            </w:r>
            <w:r w:rsidRPr="00BE3728">
              <w:rPr>
                <w:sz w:val="20"/>
                <w:szCs w:val="20"/>
              </w:rPr>
              <w:t xml:space="preserve"> Der </w:t>
            </w:r>
            <w:r>
              <w:rPr>
                <w:sz w:val="20"/>
                <w:szCs w:val="20"/>
              </w:rPr>
              <w:t>U.S. Supreme Court</w:t>
            </w:r>
            <w:r w:rsidRPr="00BE3728">
              <w:rPr>
                <w:sz w:val="20"/>
                <w:szCs w:val="20"/>
              </w:rPr>
              <w:t xml:space="preserve"> urteilte indes, die politische Neutralität von Bundesangestellten überwiege</w:t>
            </w:r>
            <w:r>
              <w:rPr>
                <w:sz w:val="20"/>
                <w:szCs w:val="20"/>
              </w:rPr>
              <w:t>,</w:t>
            </w:r>
            <w:r w:rsidRPr="00BE3728">
              <w:rPr>
                <w:sz w:val="20"/>
                <w:szCs w:val="20"/>
              </w:rPr>
              <w:t xml:space="preserve"> und wies die Klage der Bundesangestellten ab. Der </w:t>
            </w:r>
            <w:r>
              <w:rPr>
                <w:sz w:val="20"/>
                <w:szCs w:val="20"/>
              </w:rPr>
              <w:t>U.S. Supreme Court</w:t>
            </w:r>
            <w:r w:rsidRPr="00BE3728">
              <w:rPr>
                <w:sz w:val="20"/>
                <w:szCs w:val="20"/>
              </w:rPr>
              <w:t xml:space="preserve"> stellte zudem fest, dass eine Verletzung des </w:t>
            </w:r>
            <w:r w:rsidRPr="5B67C1D2">
              <w:rPr>
                <w:i/>
                <w:iCs/>
                <w:sz w:val="20"/>
                <w:szCs w:val="20"/>
              </w:rPr>
              <w:t>Hatch Act</w:t>
            </w:r>
            <w:r w:rsidRPr="00BE3728">
              <w:rPr>
                <w:sz w:val="20"/>
                <w:szCs w:val="20"/>
              </w:rPr>
              <w:t xml:space="preserve"> und der </w:t>
            </w:r>
            <w:proofErr w:type="spellStart"/>
            <w:r w:rsidRPr="5B67C1D2">
              <w:rPr>
                <w:i/>
                <w:iCs/>
                <w:sz w:val="20"/>
                <w:szCs w:val="20"/>
              </w:rPr>
              <w:t>Civil</w:t>
            </w:r>
            <w:proofErr w:type="spellEnd"/>
            <w:r w:rsidRPr="5B67C1D2">
              <w:rPr>
                <w:i/>
                <w:iCs/>
                <w:sz w:val="20"/>
                <w:szCs w:val="20"/>
              </w:rPr>
              <w:t xml:space="preserve"> Service Rule 1</w:t>
            </w:r>
            <w:r w:rsidRPr="00BE3728">
              <w:rPr>
                <w:sz w:val="20"/>
                <w:szCs w:val="20"/>
              </w:rPr>
              <w:t xml:space="preserve"> disziplinarische Maßnahmen nach sich ziehen könn</w:t>
            </w:r>
            <w:r>
              <w:rPr>
                <w:sz w:val="20"/>
                <w:szCs w:val="20"/>
              </w:rPr>
              <w:t>t</w:t>
            </w:r>
            <w:r w:rsidRPr="00BE3728">
              <w:rPr>
                <w:sz w:val="20"/>
                <w:szCs w:val="20"/>
              </w:rPr>
              <w:t xml:space="preserve">e, ohne dass eine Verfassungsverletzung vorliegen </w:t>
            </w:r>
            <w:r>
              <w:rPr>
                <w:sz w:val="20"/>
                <w:szCs w:val="20"/>
              </w:rPr>
              <w:t>müsse</w:t>
            </w:r>
            <w:r w:rsidRPr="00BE3728">
              <w:rPr>
                <w:sz w:val="20"/>
                <w:szCs w:val="20"/>
              </w:rPr>
              <w:t>.</w:t>
            </w:r>
            <w:r w:rsidRPr="00BE3728">
              <w:rPr>
                <w:rStyle w:val="Funotenzeichen"/>
                <w:sz w:val="20"/>
                <w:szCs w:val="20"/>
              </w:rPr>
              <w:footnoteReference w:id="909"/>
            </w:r>
          </w:p>
          <w:p w14:paraId="5ABD5400" w14:textId="77777777" w:rsidR="00074551" w:rsidRPr="00BE3728" w:rsidRDefault="00074551" w:rsidP="00367133">
            <w:pPr>
              <w:jc w:val="both"/>
              <w:rPr>
                <w:sz w:val="20"/>
                <w:szCs w:val="20"/>
              </w:rPr>
            </w:pPr>
          </w:p>
          <w:p w14:paraId="2C4C7106" w14:textId="77777777" w:rsidR="00074551" w:rsidRPr="00566BC6" w:rsidRDefault="00074551" w:rsidP="00367133">
            <w:pPr>
              <w:jc w:val="both"/>
              <w:rPr>
                <w:sz w:val="20"/>
                <w:szCs w:val="20"/>
              </w:rPr>
            </w:pPr>
          </w:p>
        </w:tc>
        <w:tc>
          <w:tcPr>
            <w:tcW w:w="1822" w:type="pct"/>
          </w:tcPr>
          <w:p w14:paraId="0B98B1AC"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Constitutional Law › Fundamental Freedoms › Freedom of Speech › Public Employees</w:t>
            </w:r>
          </w:p>
          <w:p w14:paraId="7BE4D9B0" w14:textId="77777777" w:rsidR="00074551" w:rsidRPr="00BE3728" w:rsidRDefault="00074551" w:rsidP="00367133">
            <w:pPr>
              <w:jc w:val="both"/>
              <w:rPr>
                <w:sz w:val="20"/>
                <w:szCs w:val="20"/>
                <w:lang w:val="en-US"/>
              </w:rPr>
            </w:pPr>
          </w:p>
          <w:p w14:paraId="15803CB6" w14:textId="350BB332" w:rsidR="00074551" w:rsidRDefault="00074551" w:rsidP="00367133">
            <w:pPr>
              <w:jc w:val="both"/>
              <w:rPr>
                <w:sz w:val="20"/>
                <w:szCs w:val="20"/>
              </w:rPr>
            </w:pPr>
            <w:r w:rsidRPr="00BE3728">
              <w:rPr>
                <w:sz w:val="20"/>
                <w:szCs w:val="20"/>
              </w:rPr>
              <w:t xml:space="preserve">Der Kongress und der </w:t>
            </w:r>
            <w:r>
              <w:rPr>
                <w:sz w:val="20"/>
                <w:szCs w:val="20"/>
              </w:rPr>
              <w:t xml:space="preserve">US-Präsident </w:t>
            </w:r>
            <w:r w:rsidRPr="00BE3728">
              <w:rPr>
                <w:sz w:val="20"/>
                <w:szCs w:val="20"/>
              </w:rPr>
              <w:t>verantworten einen effizienten öffentlichen Dienst. Wenn nach ihrer Prärogative Effizienz dadurch erreicht werden kann, dass die aktive Teilnahme von Beamten an der Politik als Parteifunktionäre verboten wird, dann überwiegt das die Meinungsäußerungsfreiheit, soweit dies nicht unverhältnismäßig ist.</w:t>
            </w:r>
            <w:r w:rsidRPr="00BE3728">
              <w:rPr>
                <w:rStyle w:val="Funotenzeichen"/>
                <w:sz w:val="20"/>
                <w:szCs w:val="20"/>
              </w:rPr>
              <w:footnoteReference w:id="910"/>
            </w:r>
            <w:r w:rsidRPr="00BE3728">
              <w:rPr>
                <w:sz w:val="20"/>
                <w:szCs w:val="20"/>
              </w:rPr>
              <w:t xml:space="preserve"> Und das Gesetz sei nicht unverhältnismäßig. Denn der Kongress handle mit Rücksicht auf das öffentliche Wohl. Die Beamten könn</w:t>
            </w:r>
            <w:r>
              <w:rPr>
                <w:sz w:val="20"/>
                <w:szCs w:val="20"/>
              </w:rPr>
              <w:t>t</w:t>
            </w:r>
            <w:r w:rsidRPr="00BE3728">
              <w:rPr>
                <w:sz w:val="20"/>
                <w:szCs w:val="20"/>
              </w:rPr>
              <w:t xml:space="preserve">en sich sehr wohl an politischen Entscheidungen beteiligen – und zwar </w:t>
            </w:r>
            <w:r>
              <w:rPr>
                <w:sz w:val="20"/>
                <w:szCs w:val="20"/>
              </w:rPr>
              <w:t>z.B.</w:t>
            </w:r>
            <w:r w:rsidRPr="00BE3728">
              <w:rPr>
                <w:sz w:val="20"/>
                <w:szCs w:val="20"/>
              </w:rPr>
              <w:t xml:space="preserve"> an der Wahlurne. Er verbiete nur die parteipolitischen Aktivitäten von Bundesbeamten, die der Effizienz des öffentlichen Dienstes entgegenst</w:t>
            </w:r>
            <w:r>
              <w:rPr>
                <w:sz w:val="20"/>
                <w:szCs w:val="20"/>
              </w:rPr>
              <w:t>ünden</w:t>
            </w:r>
            <w:r w:rsidRPr="00BE3728">
              <w:rPr>
                <w:sz w:val="20"/>
                <w:szCs w:val="20"/>
              </w:rPr>
              <w:t>.</w:t>
            </w:r>
            <w:r w:rsidRPr="00BE3728">
              <w:rPr>
                <w:rStyle w:val="Funotenzeichen"/>
                <w:sz w:val="20"/>
                <w:szCs w:val="20"/>
              </w:rPr>
              <w:footnoteReference w:id="911"/>
            </w:r>
          </w:p>
          <w:p w14:paraId="73A5CAAF" w14:textId="77777777" w:rsidR="00074551" w:rsidRPr="00BE3728" w:rsidRDefault="00074551" w:rsidP="00367133">
            <w:pPr>
              <w:jc w:val="both"/>
              <w:rPr>
                <w:sz w:val="20"/>
                <w:szCs w:val="20"/>
              </w:rPr>
            </w:pPr>
          </w:p>
          <w:p w14:paraId="3A5DA119" w14:textId="77777777" w:rsidR="00074551" w:rsidRDefault="00074551" w:rsidP="00367133">
            <w:pPr>
              <w:jc w:val="both"/>
              <w:rPr>
                <w:sz w:val="20"/>
                <w:szCs w:val="20"/>
              </w:rPr>
            </w:pPr>
            <w:r w:rsidRPr="00BE3728">
              <w:rPr>
                <w:sz w:val="20"/>
                <w:szCs w:val="20"/>
              </w:rPr>
              <w:t xml:space="preserve">Der Dissens meinte, es sei unverhältnismäßig, dass drei Millionen Beamte ausgeschlossen seien (vgl. </w:t>
            </w:r>
            <w:r>
              <w:rPr>
                <w:sz w:val="20"/>
                <w:szCs w:val="20"/>
              </w:rPr>
              <w:t>§ </w:t>
            </w:r>
            <w:r w:rsidRPr="00BE3728">
              <w:rPr>
                <w:sz w:val="20"/>
                <w:szCs w:val="20"/>
              </w:rPr>
              <w:t>9</w:t>
            </w:r>
            <w:r>
              <w:rPr>
                <w:sz w:val="20"/>
                <w:szCs w:val="20"/>
              </w:rPr>
              <w:t>[</w:t>
            </w:r>
            <w:r w:rsidRPr="00BE3728">
              <w:rPr>
                <w:sz w:val="20"/>
                <w:szCs w:val="20"/>
              </w:rPr>
              <w:t>a</w:t>
            </w:r>
            <w:r>
              <w:rPr>
                <w:sz w:val="20"/>
                <w:szCs w:val="20"/>
              </w:rPr>
              <w:t>]</w:t>
            </w:r>
            <w:r w:rsidRPr="00BE3728">
              <w:rPr>
                <w:sz w:val="20"/>
                <w:szCs w:val="20"/>
              </w:rPr>
              <w:t xml:space="preserve"> </w:t>
            </w:r>
            <w:r>
              <w:rPr>
                <w:sz w:val="20"/>
                <w:szCs w:val="20"/>
              </w:rPr>
              <w:t>des</w:t>
            </w:r>
            <w:r w:rsidRPr="00BE3728">
              <w:rPr>
                <w:sz w:val="20"/>
                <w:szCs w:val="20"/>
              </w:rPr>
              <w:t xml:space="preserve"> </w:t>
            </w:r>
            <w:r w:rsidRPr="5B67C1D2">
              <w:rPr>
                <w:i/>
                <w:iCs/>
                <w:sz w:val="20"/>
                <w:szCs w:val="20"/>
              </w:rPr>
              <w:t>Hatch Act</w:t>
            </w:r>
            <w:r w:rsidRPr="00BE3728">
              <w:rPr>
                <w:sz w:val="20"/>
                <w:szCs w:val="20"/>
              </w:rPr>
              <w:t>), sich für politische Parteien bei Wahlen aufstellen zu lassen, womit sie nicht die Veränderungen in ihrem Leben, ihrem Wohlstand und ihrem Glück herbeiführen könnten („</w:t>
            </w:r>
            <w:proofErr w:type="spellStart"/>
            <w:r w:rsidRPr="00BE3728">
              <w:rPr>
                <w:sz w:val="20"/>
                <w:szCs w:val="20"/>
              </w:rPr>
              <w:t>changes</w:t>
            </w:r>
            <w:proofErr w:type="spellEnd"/>
            <w:r w:rsidRPr="00BE3728">
              <w:rPr>
                <w:sz w:val="20"/>
                <w:szCs w:val="20"/>
              </w:rPr>
              <w:t xml:space="preserve"> in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lives</w:t>
            </w:r>
            <w:proofErr w:type="spellEnd"/>
            <w:r w:rsidRPr="00BE3728">
              <w:rPr>
                <w:sz w:val="20"/>
                <w:szCs w:val="20"/>
              </w:rPr>
              <w:t xml:space="preserve">,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fortunes</w:t>
            </w:r>
            <w:proofErr w:type="spellEnd"/>
            <w:r w:rsidRPr="00BE3728">
              <w:rPr>
                <w:sz w:val="20"/>
                <w:szCs w:val="20"/>
              </w:rPr>
              <w:t xml:space="preserve">, and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w:t>
            </w:r>
            <w:r w:rsidRPr="00BE3728">
              <w:rPr>
                <w:rStyle w:val="Funotenzeichen"/>
                <w:sz w:val="20"/>
                <w:szCs w:val="20"/>
              </w:rPr>
              <w:footnoteReference w:id="912"/>
            </w:r>
            <w:r w:rsidRPr="00BE3728">
              <w:rPr>
                <w:sz w:val="20"/>
                <w:szCs w:val="20"/>
              </w:rPr>
              <w:t>)</w:t>
            </w:r>
            <w:r>
              <w:rPr>
                <w:sz w:val="20"/>
                <w:szCs w:val="20"/>
              </w:rPr>
              <w:t>.</w:t>
            </w:r>
            <w:r w:rsidRPr="00BE3728">
              <w:rPr>
                <w:sz w:val="20"/>
                <w:szCs w:val="20"/>
              </w:rPr>
              <w:t xml:space="preserve"> </w:t>
            </w:r>
            <w:r>
              <w:rPr>
                <w:sz w:val="20"/>
                <w:szCs w:val="20"/>
              </w:rPr>
              <w:t>Mit anderen Worten:</w:t>
            </w:r>
            <w:r w:rsidRPr="00BE3728">
              <w:rPr>
                <w:sz w:val="20"/>
                <w:szCs w:val="20"/>
              </w:rPr>
              <w:t xml:space="preserve"> Das Ziel politischen Handelns laute, Wohlstand und Glück zu fördern.</w:t>
            </w:r>
          </w:p>
          <w:p w14:paraId="34FA09C9" w14:textId="77777777" w:rsidR="00074551" w:rsidRPr="00E50B51" w:rsidRDefault="00074551" w:rsidP="00367133">
            <w:pPr>
              <w:jc w:val="both"/>
              <w:rPr>
                <w:sz w:val="20"/>
                <w:szCs w:val="20"/>
              </w:rPr>
            </w:pPr>
          </w:p>
        </w:tc>
      </w:tr>
      <w:tr w:rsidR="00074551" w:rsidRPr="00E50B51" w14:paraId="4319C032" w14:textId="77777777" w:rsidTr="0089283E">
        <w:trPr>
          <w:cantSplit/>
          <w:trHeight w:val="3175"/>
        </w:trPr>
        <w:tc>
          <w:tcPr>
            <w:tcW w:w="293" w:type="pct"/>
            <w:shd w:val="clear" w:color="auto" w:fill="E7E6E6" w:themeFill="background2"/>
          </w:tcPr>
          <w:p w14:paraId="3EE3FCE2"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4B694870" w14:textId="77777777" w:rsidR="00074551" w:rsidRPr="00E50B51" w:rsidRDefault="00074551" w:rsidP="00367133">
            <w:pPr>
              <w:ind w:left="113" w:right="416"/>
              <w:jc w:val="both"/>
              <w:rPr>
                <w:sz w:val="20"/>
                <w:szCs w:val="20"/>
                <w:lang w:val="en-US"/>
              </w:rPr>
            </w:pPr>
            <w:r w:rsidRPr="00BE3728">
              <w:rPr>
                <w:sz w:val="20"/>
                <w:szCs w:val="20"/>
              </w:rPr>
              <w:t>Naturrechtlich-freiheitliche Seite</w:t>
            </w:r>
          </w:p>
        </w:tc>
        <w:tc>
          <w:tcPr>
            <w:tcW w:w="197" w:type="pct"/>
            <w:shd w:val="clear" w:color="auto" w:fill="E7E6E6" w:themeFill="background2"/>
            <w:textDirection w:val="tbRl"/>
            <w:vAlign w:val="center"/>
          </w:tcPr>
          <w:p w14:paraId="210CBE77" w14:textId="77777777" w:rsidR="00074551" w:rsidRPr="00E50B51" w:rsidRDefault="00074551" w:rsidP="00367133">
            <w:pPr>
              <w:ind w:left="113" w:right="113"/>
              <w:jc w:val="both"/>
              <w:rPr>
                <w:sz w:val="20"/>
                <w:szCs w:val="20"/>
                <w:lang w:val="en-US"/>
              </w:rPr>
            </w:pPr>
            <w:r w:rsidRPr="00BE3728">
              <w:rPr>
                <w:sz w:val="20"/>
                <w:szCs w:val="20"/>
              </w:rPr>
              <w:t>Freedom of Speech</w:t>
            </w:r>
          </w:p>
        </w:tc>
        <w:tc>
          <w:tcPr>
            <w:tcW w:w="306" w:type="pct"/>
            <w:shd w:val="clear" w:color="auto" w:fill="E7E6E6" w:themeFill="background2"/>
            <w:textDirection w:val="tbRl"/>
            <w:vAlign w:val="center"/>
          </w:tcPr>
          <w:p w14:paraId="00F3A38A" w14:textId="77777777" w:rsidR="00074551" w:rsidRPr="00E50B51" w:rsidRDefault="00074551" w:rsidP="00367133">
            <w:pPr>
              <w:ind w:left="113" w:right="113"/>
              <w:jc w:val="both"/>
              <w:rPr>
                <w:sz w:val="20"/>
                <w:szCs w:val="20"/>
                <w:lang w:val="en-US"/>
              </w:rPr>
            </w:pPr>
            <w:r w:rsidRPr="00BE3728">
              <w:rPr>
                <w:sz w:val="20"/>
                <w:szCs w:val="20"/>
                <w:lang w:val="en-US"/>
              </w:rPr>
              <w:t>Educational Law</w:t>
            </w:r>
          </w:p>
        </w:tc>
        <w:tc>
          <w:tcPr>
            <w:tcW w:w="401" w:type="pct"/>
            <w:shd w:val="clear" w:color="auto" w:fill="E7E6E6" w:themeFill="background2"/>
          </w:tcPr>
          <w:p w14:paraId="1DD5A37A"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7ED3798" w14:textId="77777777" w:rsidR="00074551" w:rsidRPr="00E50B51" w:rsidRDefault="00074551" w:rsidP="00367133">
            <w:pPr>
              <w:jc w:val="both"/>
              <w:rPr>
                <w:sz w:val="20"/>
                <w:szCs w:val="20"/>
                <w:lang w:val="en-US"/>
              </w:rPr>
            </w:pPr>
          </w:p>
        </w:tc>
        <w:tc>
          <w:tcPr>
            <w:tcW w:w="1822" w:type="pct"/>
            <w:shd w:val="clear" w:color="auto" w:fill="E7E6E6" w:themeFill="background2"/>
          </w:tcPr>
          <w:p w14:paraId="527A9101" w14:textId="1C42BAD6"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3F04BB69" w14:textId="77777777" w:rsidTr="00BE689F">
        <w:trPr>
          <w:cantSplit/>
          <w:trHeight w:val="3175"/>
        </w:trPr>
        <w:tc>
          <w:tcPr>
            <w:tcW w:w="293" w:type="pct"/>
          </w:tcPr>
          <w:p w14:paraId="4DEF24D1"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6A6439EB" w14:textId="77777777" w:rsidR="00074551" w:rsidRPr="00566BC6" w:rsidRDefault="00074551" w:rsidP="00367133">
            <w:pPr>
              <w:ind w:left="113" w:right="416"/>
              <w:jc w:val="both"/>
              <w:rPr>
                <w:sz w:val="20"/>
                <w:szCs w:val="20"/>
              </w:rPr>
            </w:pPr>
            <w:r w:rsidRPr="009E57E1">
              <w:rPr>
                <w:i/>
                <w:sz w:val="20"/>
                <w:szCs w:val="20"/>
              </w:rPr>
              <w:t xml:space="preserve">Bethel </w:t>
            </w:r>
            <w:proofErr w:type="spellStart"/>
            <w:r w:rsidRPr="009E57E1">
              <w:rPr>
                <w:i/>
                <w:sz w:val="20"/>
                <w:szCs w:val="20"/>
              </w:rPr>
              <w:t>Sch</w:t>
            </w:r>
            <w:proofErr w:type="spellEnd"/>
            <w:r w:rsidRPr="009E57E1">
              <w:rPr>
                <w:i/>
                <w:sz w:val="20"/>
                <w:szCs w:val="20"/>
              </w:rPr>
              <w:t xml:space="preserve">. </w:t>
            </w:r>
            <w:proofErr w:type="spellStart"/>
            <w:r w:rsidRPr="009E57E1">
              <w:rPr>
                <w:i/>
                <w:sz w:val="20"/>
                <w:szCs w:val="20"/>
              </w:rPr>
              <w:t>Dist</w:t>
            </w:r>
            <w:proofErr w:type="spellEnd"/>
            <w:r w:rsidRPr="009E57E1">
              <w:rPr>
                <w:i/>
                <w:sz w:val="20"/>
                <w:szCs w:val="20"/>
              </w:rPr>
              <w:t>. v. Fraser</w:t>
            </w:r>
          </w:p>
        </w:tc>
        <w:tc>
          <w:tcPr>
            <w:tcW w:w="197" w:type="pct"/>
            <w:textDirection w:val="tbRl"/>
            <w:vAlign w:val="center"/>
          </w:tcPr>
          <w:p w14:paraId="220EDDF7" w14:textId="77777777" w:rsidR="00074551" w:rsidRPr="00E50B51" w:rsidRDefault="00074551" w:rsidP="00367133">
            <w:pPr>
              <w:ind w:left="113" w:right="113"/>
              <w:jc w:val="both"/>
              <w:rPr>
                <w:sz w:val="20"/>
                <w:szCs w:val="20"/>
                <w:lang w:val="en-US"/>
              </w:rPr>
            </w:pPr>
            <w:r w:rsidRPr="00BE3728">
              <w:rPr>
                <w:sz w:val="20"/>
                <w:szCs w:val="20"/>
              </w:rPr>
              <w:t>478 U.S. 675</w:t>
            </w:r>
          </w:p>
        </w:tc>
        <w:tc>
          <w:tcPr>
            <w:tcW w:w="306" w:type="pct"/>
            <w:textDirection w:val="tbRl"/>
            <w:vAlign w:val="center"/>
          </w:tcPr>
          <w:p w14:paraId="2F660E4B" w14:textId="77777777" w:rsidR="00074551" w:rsidRPr="00E50B51" w:rsidRDefault="00074551" w:rsidP="00367133">
            <w:pPr>
              <w:ind w:left="113" w:right="113"/>
              <w:jc w:val="both"/>
              <w:rPr>
                <w:sz w:val="20"/>
                <w:szCs w:val="20"/>
                <w:lang w:val="en-US"/>
              </w:rPr>
            </w:pPr>
            <w:r w:rsidRPr="00BE3728">
              <w:rPr>
                <w:sz w:val="20"/>
                <w:szCs w:val="20"/>
              </w:rPr>
              <w:t>07. Juli 1986</w:t>
            </w:r>
          </w:p>
        </w:tc>
        <w:tc>
          <w:tcPr>
            <w:tcW w:w="401" w:type="pct"/>
          </w:tcPr>
          <w:p w14:paraId="793F2A9C"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07529AF0" w14:textId="073A12FE"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das Urteil gegen einen Schulbezirk auf. Der hatte einen Schüler wegen einer unanständigen Rede suspendiert. Die</w:t>
            </w:r>
            <w:r>
              <w:rPr>
                <w:sz w:val="20"/>
                <w:szCs w:val="20"/>
              </w:rPr>
              <w:t xml:space="preserve"> Suspendierung</w:t>
            </w:r>
            <w:r w:rsidRPr="00BE3728">
              <w:rPr>
                <w:sz w:val="20"/>
                <w:szCs w:val="20"/>
              </w:rPr>
              <w:t xml:space="preserve"> war damit rechtmäßig. Hintergrund war, dass bei einer schulischen Veranstaltung der Schüler eine Rede mit sexuellen Metaphern hielt – </w:t>
            </w:r>
            <w:proofErr w:type="gramStart"/>
            <w:r w:rsidRPr="00BE3728">
              <w:rPr>
                <w:sz w:val="20"/>
                <w:szCs w:val="20"/>
              </w:rPr>
              <w:t>entgegen des Rats</w:t>
            </w:r>
            <w:proofErr w:type="gramEnd"/>
            <w:r w:rsidRPr="00BE3728">
              <w:rPr>
                <w:sz w:val="20"/>
                <w:szCs w:val="20"/>
              </w:rPr>
              <w:t xml:space="preserve"> zweier Lehrer. Entsprechend de</w:t>
            </w:r>
            <w:r>
              <w:rPr>
                <w:sz w:val="20"/>
                <w:szCs w:val="20"/>
              </w:rPr>
              <w:t>m</w:t>
            </w:r>
            <w:r w:rsidRPr="00BE3728">
              <w:rPr>
                <w:sz w:val="20"/>
                <w:szCs w:val="20"/>
              </w:rPr>
              <w:t xml:space="preserve"> schulischen Disziplinarrecht suspendierte ihn die Schulleitung für zwei Tage. Der Schüler klagte dagegen. Er meinte, seine Meinungsfreiheit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sei verletzt, forderte Unterlassung der Suspendierung sowie Schadensersatz. Die unteren Instanzen gaben dem Schüler Recht. Aber der </w:t>
            </w:r>
            <w:r>
              <w:rPr>
                <w:sz w:val="20"/>
                <w:szCs w:val="20"/>
              </w:rPr>
              <w:t>U.S. Supreme Court</w:t>
            </w:r>
            <w:r w:rsidRPr="00BE3728">
              <w:rPr>
                <w:sz w:val="20"/>
                <w:szCs w:val="20"/>
              </w:rPr>
              <w:t xml:space="preserve"> entschied anders. Er erklärte, die Suspendierung verstoße nicht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Pr>
                <w:sz w:val="20"/>
                <w:szCs w:val="20"/>
              </w:rPr>
              <w:t xml:space="preserve">, denn sie stehe </w:t>
            </w:r>
            <w:r w:rsidRPr="00BE3728">
              <w:rPr>
                <w:sz w:val="20"/>
                <w:szCs w:val="20"/>
              </w:rPr>
              <w:t>nicht mit seiner politischen Meinung im Zusammenhang. Zudem konterkariere die Rede des Schülers die Bildungsmission der Schule.</w:t>
            </w:r>
            <w:r w:rsidRPr="00BE3728">
              <w:rPr>
                <w:rStyle w:val="Funotenzeichen"/>
                <w:sz w:val="20"/>
                <w:szCs w:val="20"/>
              </w:rPr>
              <w:footnoteReference w:id="913"/>
            </w:r>
          </w:p>
          <w:p w14:paraId="070E8AD6" w14:textId="77777777" w:rsidR="00074551" w:rsidRPr="00BE3728" w:rsidRDefault="00074551" w:rsidP="00367133">
            <w:pPr>
              <w:jc w:val="both"/>
              <w:rPr>
                <w:sz w:val="20"/>
                <w:szCs w:val="20"/>
              </w:rPr>
            </w:pPr>
          </w:p>
          <w:p w14:paraId="53F0D635" w14:textId="77777777" w:rsidR="00074551" w:rsidRPr="00BE3728" w:rsidRDefault="00074551" w:rsidP="00367133">
            <w:pPr>
              <w:jc w:val="both"/>
              <w:rPr>
                <w:sz w:val="20"/>
                <w:szCs w:val="20"/>
              </w:rPr>
            </w:pPr>
          </w:p>
          <w:p w14:paraId="59569E5F" w14:textId="77777777" w:rsidR="00074551" w:rsidRPr="00BE3728" w:rsidRDefault="00074551" w:rsidP="00367133">
            <w:pPr>
              <w:jc w:val="both"/>
              <w:rPr>
                <w:sz w:val="20"/>
                <w:szCs w:val="20"/>
              </w:rPr>
            </w:pPr>
          </w:p>
          <w:p w14:paraId="6B068AA9" w14:textId="77777777" w:rsidR="00074551" w:rsidRPr="00BE3728" w:rsidRDefault="00074551" w:rsidP="00367133">
            <w:pPr>
              <w:jc w:val="both"/>
              <w:rPr>
                <w:sz w:val="20"/>
                <w:szCs w:val="20"/>
              </w:rPr>
            </w:pPr>
          </w:p>
          <w:p w14:paraId="750261AA" w14:textId="77777777" w:rsidR="00074551" w:rsidRPr="00566BC6" w:rsidRDefault="00074551" w:rsidP="00367133">
            <w:pPr>
              <w:jc w:val="both"/>
              <w:rPr>
                <w:sz w:val="20"/>
                <w:szCs w:val="20"/>
              </w:rPr>
            </w:pPr>
          </w:p>
        </w:tc>
        <w:tc>
          <w:tcPr>
            <w:tcW w:w="1822" w:type="pct"/>
          </w:tcPr>
          <w:p w14:paraId="7769A2BA"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Education Law › Students › Freedom of Speech</w:t>
            </w:r>
          </w:p>
          <w:p w14:paraId="2A94B009" w14:textId="77777777" w:rsidR="00074551" w:rsidRDefault="00074551" w:rsidP="00367133">
            <w:pPr>
              <w:jc w:val="both"/>
              <w:rPr>
                <w:sz w:val="20"/>
                <w:szCs w:val="20"/>
              </w:rPr>
            </w:pPr>
            <w:r w:rsidRPr="002E1085">
              <w:rPr>
                <w:sz w:val="20"/>
                <w:szCs w:val="20"/>
              </w:rPr>
              <w:br/>
            </w:r>
            <w:r w:rsidRPr="00BE3728">
              <w:rPr>
                <w:sz w:val="20"/>
                <w:szCs w:val="20"/>
              </w:rPr>
              <w:t>Die Verfassungsrechte von Schülern in öffentlichen Schulen sind nicht automatisch gleich weitreichend wie die Rechte von Erwachsenen in anderen Bereichen.</w:t>
            </w:r>
            <w:r w:rsidRPr="00BE3728">
              <w:rPr>
                <w:rStyle w:val="Funotenzeichen"/>
                <w:sz w:val="20"/>
                <w:szCs w:val="20"/>
              </w:rPr>
              <w:footnoteReference w:id="914"/>
            </w:r>
          </w:p>
          <w:p w14:paraId="2532037E" w14:textId="77777777" w:rsidR="00074551" w:rsidRPr="00BE3728" w:rsidRDefault="00074551" w:rsidP="00367133">
            <w:pPr>
              <w:jc w:val="both"/>
              <w:rPr>
                <w:sz w:val="20"/>
                <w:szCs w:val="20"/>
              </w:rPr>
            </w:pPr>
          </w:p>
          <w:p w14:paraId="0ABCB16C" w14:textId="77777777" w:rsidR="00074551" w:rsidRPr="00BE3728" w:rsidRDefault="00074551" w:rsidP="00367133">
            <w:pPr>
              <w:jc w:val="both"/>
              <w:rPr>
                <w:sz w:val="20"/>
                <w:szCs w:val="20"/>
              </w:rPr>
            </w:pPr>
            <w:r w:rsidRPr="00BE3728">
              <w:rPr>
                <w:sz w:val="20"/>
                <w:szCs w:val="20"/>
              </w:rPr>
              <w:t xml:space="preserve">Den Zweck des amerikanischen Schulsystems erklärte der </w:t>
            </w:r>
            <w:r>
              <w:rPr>
                <w:sz w:val="20"/>
                <w:szCs w:val="20"/>
              </w:rPr>
              <w:t>U.S. Supreme Court</w:t>
            </w:r>
            <w:r w:rsidRPr="00BE3728">
              <w:rPr>
                <w:sz w:val="20"/>
                <w:szCs w:val="20"/>
              </w:rPr>
              <w:t xml:space="preserve"> wie </w:t>
            </w:r>
            <w:r>
              <w:rPr>
                <w:sz w:val="20"/>
                <w:szCs w:val="20"/>
              </w:rPr>
              <w:t>f</w:t>
            </w:r>
            <w:r w:rsidRPr="00BE3728">
              <w:rPr>
                <w:sz w:val="20"/>
                <w:szCs w:val="20"/>
              </w:rPr>
              <w:t xml:space="preserve">olgt: Öffentliche Bildung muss Schüler auf die Staatsbürgerschaft in der Republik vorbereiten („[Public] </w:t>
            </w:r>
            <w:proofErr w:type="spellStart"/>
            <w:r w:rsidRPr="00BE3728">
              <w:rPr>
                <w:sz w:val="20"/>
                <w:szCs w:val="20"/>
              </w:rPr>
              <w:t>education</w:t>
            </w:r>
            <w:proofErr w:type="spellEnd"/>
            <w:r w:rsidRPr="00BE3728">
              <w:rPr>
                <w:sz w:val="20"/>
                <w:szCs w:val="20"/>
              </w:rPr>
              <w:t xml:space="preserve"> </w:t>
            </w:r>
            <w:proofErr w:type="spellStart"/>
            <w:r w:rsidRPr="00BE3728">
              <w:rPr>
                <w:sz w:val="20"/>
                <w:szCs w:val="20"/>
              </w:rPr>
              <w:t>must</w:t>
            </w:r>
            <w:proofErr w:type="spellEnd"/>
            <w:r w:rsidRPr="00BE3728">
              <w:rPr>
                <w:sz w:val="20"/>
                <w:szCs w:val="20"/>
              </w:rPr>
              <w:t xml:space="preserve"> </w:t>
            </w:r>
            <w:proofErr w:type="spellStart"/>
            <w:r w:rsidRPr="00BE3728">
              <w:rPr>
                <w:sz w:val="20"/>
                <w:szCs w:val="20"/>
              </w:rPr>
              <w:t>prepare</w:t>
            </w:r>
            <w:proofErr w:type="spellEnd"/>
            <w:r w:rsidRPr="00BE3728">
              <w:rPr>
                <w:sz w:val="20"/>
                <w:szCs w:val="20"/>
              </w:rPr>
              <w:t xml:space="preserve"> </w:t>
            </w:r>
            <w:proofErr w:type="spellStart"/>
            <w:r w:rsidRPr="00BE3728">
              <w:rPr>
                <w:sz w:val="20"/>
                <w:szCs w:val="20"/>
              </w:rPr>
              <w:t>pupils</w:t>
            </w:r>
            <w:proofErr w:type="spellEnd"/>
            <w:r w:rsidRPr="00BE3728">
              <w:rPr>
                <w:sz w:val="20"/>
                <w:szCs w:val="20"/>
              </w:rPr>
              <w:t xml:space="preserve"> for </w:t>
            </w:r>
            <w:proofErr w:type="spellStart"/>
            <w:r w:rsidRPr="00BE3728">
              <w:rPr>
                <w:sz w:val="20"/>
                <w:szCs w:val="20"/>
              </w:rPr>
              <w:t>citizenship</w:t>
            </w:r>
            <w:proofErr w:type="spellEnd"/>
            <w:r w:rsidRPr="00BE3728">
              <w:rPr>
                <w:sz w:val="20"/>
                <w:szCs w:val="20"/>
              </w:rPr>
              <w:t xml:space="preserve"> in the </w:t>
            </w:r>
            <w:proofErr w:type="spellStart"/>
            <w:r w:rsidRPr="00BE3728">
              <w:rPr>
                <w:sz w:val="20"/>
                <w:szCs w:val="20"/>
              </w:rPr>
              <w:t>Republic</w:t>
            </w:r>
            <w:proofErr w:type="spellEnd"/>
            <w:r w:rsidRPr="00BE3728">
              <w:rPr>
                <w:sz w:val="20"/>
                <w:szCs w:val="20"/>
              </w:rPr>
              <w:t>“</w:t>
            </w:r>
            <w:r w:rsidRPr="00BE3728">
              <w:rPr>
                <w:rStyle w:val="Funotenzeichen"/>
                <w:sz w:val="20"/>
                <w:szCs w:val="20"/>
              </w:rPr>
              <w:footnoteReference w:id="915"/>
            </w:r>
            <w:r w:rsidRPr="00BE3728">
              <w:rPr>
                <w:sz w:val="20"/>
                <w:szCs w:val="20"/>
              </w:rPr>
              <w:t xml:space="preserve">). D.h. sie muss Höflichkeit als für die Gesellschaft glücksfördernden Wert vermitteln. </w:t>
            </w:r>
            <w:r w:rsidRPr="00BE3728">
              <w:rPr>
                <w:sz w:val="20"/>
                <w:szCs w:val="20"/>
                <w:lang w:val="en-US"/>
              </w:rPr>
              <w:t xml:space="preserve">Denn </w:t>
            </w:r>
            <w:proofErr w:type="spellStart"/>
            <w:r w:rsidRPr="00BE3728">
              <w:rPr>
                <w:sz w:val="20"/>
                <w:szCs w:val="20"/>
                <w:lang w:val="en-US"/>
              </w:rPr>
              <w:t>dieser</w:t>
            </w:r>
            <w:proofErr w:type="spellEnd"/>
            <w:r w:rsidRPr="00BE3728">
              <w:rPr>
                <w:sz w:val="20"/>
                <w:szCs w:val="20"/>
                <w:lang w:val="en-US"/>
              </w:rPr>
              <w:t xml:space="preserve"> </w:t>
            </w:r>
            <w:proofErr w:type="spellStart"/>
            <w:r w:rsidRPr="00BE3728">
              <w:rPr>
                <w:sz w:val="20"/>
                <w:szCs w:val="20"/>
                <w:lang w:val="en-US"/>
              </w:rPr>
              <w:t>fundamentale</w:t>
            </w:r>
            <w:proofErr w:type="spellEnd"/>
            <w:r w:rsidRPr="00BE3728">
              <w:rPr>
                <w:sz w:val="20"/>
                <w:szCs w:val="20"/>
                <w:lang w:val="en-US"/>
              </w:rPr>
              <w:t xml:space="preserve"> We</w:t>
            </w:r>
            <w:r>
              <w:rPr>
                <w:sz w:val="20"/>
                <w:szCs w:val="20"/>
                <w:lang w:val="en-US"/>
              </w:rPr>
              <w:t>r</w:t>
            </w:r>
            <w:r w:rsidRPr="00BE3728">
              <w:rPr>
                <w:sz w:val="20"/>
                <w:szCs w:val="20"/>
                <w:lang w:val="en-US"/>
              </w:rPr>
              <w:t xml:space="preserve">t sei </w:t>
            </w:r>
            <w:proofErr w:type="spellStart"/>
            <w:r w:rsidRPr="00BE3728">
              <w:rPr>
                <w:sz w:val="20"/>
                <w:szCs w:val="20"/>
                <w:lang w:val="en-US"/>
              </w:rPr>
              <w:t>unverzichtbar</w:t>
            </w:r>
            <w:proofErr w:type="spellEnd"/>
            <w:r w:rsidRPr="00BE3728">
              <w:rPr>
                <w:sz w:val="20"/>
                <w:szCs w:val="20"/>
                <w:lang w:val="en-US"/>
              </w:rPr>
              <w:t xml:space="preserve"> für das </w:t>
            </w:r>
            <w:proofErr w:type="spellStart"/>
            <w:r w:rsidRPr="00BE3728">
              <w:rPr>
                <w:sz w:val="20"/>
                <w:szCs w:val="20"/>
                <w:lang w:val="en-US"/>
              </w:rPr>
              <w:t>Funktionieren</w:t>
            </w:r>
            <w:proofErr w:type="spellEnd"/>
            <w:r w:rsidRPr="00BE3728">
              <w:rPr>
                <w:sz w:val="20"/>
                <w:szCs w:val="20"/>
                <w:lang w:val="en-US"/>
              </w:rPr>
              <w:t xml:space="preserve"> des Staats, </w:t>
            </w:r>
            <w:r>
              <w:rPr>
                <w:sz w:val="20"/>
                <w:szCs w:val="20"/>
                <w:lang w:val="en-US"/>
              </w:rPr>
              <w:t>also</w:t>
            </w:r>
            <w:r w:rsidRPr="00BE3728">
              <w:rPr>
                <w:sz w:val="20"/>
                <w:szCs w:val="20"/>
                <w:lang w:val="en-US"/>
              </w:rPr>
              <w:t xml:space="preserve"> die </w:t>
            </w:r>
            <w:proofErr w:type="spellStart"/>
            <w:r w:rsidRPr="00BE3728">
              <w:rPr>
                <w:sz w:val="20"/>
                <w:szCs w:val="20"/>
                <w:lang w:val="en-US"/>
              </w:rPr>
              <w:t>staatliche</w:t>
            </w:r>
            <w:proofErr w:type="spellEnd"/>
            <w:r w:rsidRPr="00BE3728">
              <w:rPr>
                <w:sz w:val="20"/>
                <w:szCs w:val="20"/>
                <w:lang w:val="en-US"/>
              </w:rPr>
              <w:t xml:space="preserve"> </w:t>
            </w:r>
            <w:proofErr w:type="spellStart"/>
            <w:r w:rsidRPr="00BE3728">
              <w:rPr>
                <w:sz w:val="20"/>
                <w:szCs w:val="20"/>
                <w:lang w:val="en-US"/>
              </w:rPr>
              <w:t>Selbstverwaltung</w:t>
            </w:r>
            <w:proofErr w:type="spellEnd"/>
            <w:r w:rsidRPr="00BE3728">
              <w:rPr>
                <w:sz w:val="20"/>
                <w:szCs w:val="20"/>
                <w:lang w:val="en-US"/>
              </w:rPr>
              <w:t xml:space="preserve"> („The role and purpose of the American public school system were well described by two historians, who stated</w:t>
            </w:r>
            <w:proofErr w:type="gramStart"/>
            <w:r w:rsidRPr="00BE3728">
              <w:rPr>
                <w:sz w:val="20"/>
                <w:szCs w:val="20"/>
                <w:lang w:val="en-US"/>
              </w:rPr>
              <w:t xml:space="preserve">: </w:t>
            </w:r>
            <w:r>
              <w:rPr>
                <w:sz w:val="20"/>
                <w:szCs w:val="20"/>
                <w:lang w:val="en-US"/>
              </w:rPr>
              <w:t>,</w:t>
            </w:r>
            <w:proofErr w:type="gramEnd"/>
            <w:r w:rsidRPr="00BE3728">
              <w:rPr>
                <w:sz w:val="20"/>
                <w:szCs w:val="20"/>
                <w:lang w:val="en-US"/>
              </w:rPr>
              <w:t xml:space="preserve">[Public] education […] </w:t>
            </w:r>
            <w:r>
              <w:rPr>
                <w:sz w:val="20"/>
                <w:szCs w:val="20"/>
                <w:lang w:val="en-US"/>
              </w:rPr>
              <w:t xml:space="preserve">must </w:t>
            </w:r>
            <w:r w:rsidRPr="00BE3728">
              <w:rPr>
                <w:sz w:val="20"/>
                <w:szCs w:val="20"/>
                <w:lang w:val="en-US"/>
              </w:rPr>
              <w:t xml:space="preserve">inculcate the habits and manners of civility as values in themselves conducive to happiness and as indispensable to […] the </w:t>
            </w:r>
            <w:proofErr w:type="gramStart"/>
            <w:r w:rsidRPr="00BE3728">
              <w:rPr>
                <w:sz w:val="20"/>
                <w:szCs w:val="20"/>
                <w:lang w:val="en-US"/>
              </w:rPr>
              <w:t>nation.</w:t>
            </w:r>
            <w:r>
              <w:rPr>
                <w:sz w:val="20"/>
                <w:szCs w:val="20"/>
                <w:lang w:val="en-US"/>
              </w:rPr>
              <w:t>‘</w:t>
            </w:r>
            <w:proofErr w:type="gramEnd"/>
            <w:r w:rsidRPr="00BE3728">
              <w:rPr>
                <w:sz w:val="20"/>
                <w:szCs w:val="20"/>
                <w:lang w:val="en-US"/>
              </w:rPr>
              <w:t>“</w:t>
            </w:r>
            <w:r w:rsidRPr="00BE3728">
              <w:rPr>
                <w:rStyle w:val="Funotenzeichen"/>
                <w:sz w:val="20"/>
                <w:szCs w:val="20"/>
                <w:lang w:val="en-US"/>
              </w:rPr>
              <w:footnoteReference w:id="916"/>
            </w:r>
            <w:r w:rsidRPr="00BE3728">
              <w:rPr>
                <w:sz w:val="20"/>
                <w:szCs w:val="20"/>
              </w:rPr>
              <w:t>)</w:t>
            </w:r>
            <w:r>
              <w:rPr>
                <w:sz w:val="20"/>
                <w:szCs w:val="20"/>
              </w:rPr>
              <w:t>.</w:t>
            </w:r>
          </w:p>
          <w:p w14:paraId="03EF3C01" w14:textId="77777777" w:rsidR="00074551" w:rsidRPr="00BE3728" w:rsidRDefault="00074551" w:rsidP="00367133">
            <w:pPr>
              <w:jc w:val="both"/>
              <w:rPr>
                <w:sz w:val="20"/>
                <w:szCs w:val="20"/>
              </w:rPr>
            </w:pPr>
          </w:p>
          <w:p w14:paraId="0BDD9595" w14:textId="099382DD" w:rsidR="00074551" w:rsidRDefault="00074551" w:rsidP="00367133">
            <w:pPr>
              <w:jc w:val="both"/>
              <w:rPr>
                <w:sz w:val="20"/>
                <w:szCs w:val="20"/>
              </w:rPr>
            </w:pPr>
            <w:r w:rsidRPr="00BE3728">
              <w:rPr>
                <w:sz w:val="20"/>
                <w:szCs w:val="20"/>
              </w:rPr>
              <w:t xml:space="preserve">In der zitierten Rechtsprechung </w:t>
            </w:r>
            <w:r w:rsidRPr="5B67C1D2">
              <w:rPr>
                <w:i/>
                <w:iCs/>
                <w:sz w:val="20"/>
                <w:szCs w:val="20"/>
              </w:rPr>
              <w:t>Ambach v. Norwick</w:t>
            </w:r>
            <w:r w:rsidRPr="00BE3728">
              <w:rPr>
                <w:sz w:val="20"/>
                <w:szCs w:val="20"/>
              </w:rPr>
              <w:t xml:space="preserve"> bestätigte der </w:t>
            </w:r>
            <w:r>
              <w:rPr>
                <w:sz w:val="20"/>
                <w:szCs w:val="20"/>
              </w:rPr>
              <w:t>U.S. Supreme Court</w:t>
            </w:r>
            <w:r w:rsidRPr="00BE3728">
              <w:rPr>
                <w:sz w:val="20"/>
                <w:szCs w:val="20"/>
              </w:rPr>
              <w:t xml:space="preserve"> dieses Ziel der öffentlichen Bildung: Sie solle fundamentale Werte vermitteln, diese stütz</w:t>
            </w:r>
            <w:r>
              <w:rPr>
                <w:sz w:val="20"/>
                <w:szCs w:val="20"/>
              </w:rPr>
              <w:t>t</w:t>
            </w:r>
            <w:r w:rsidRPr="00BE3728">
              <w:rPr>
                <w:sz w:val="20"/>
                <w:szCs w:val="20"/>
              </w:rPr>
              <w:t>en die Demokratie.</w:t>
            </w:r>
            <w:r w:rsidRPr="00BE3728">
              <w:rPr>
                <w:rStyle w:val="Funotenzeichen"/>
                <w:sz w:val="20"/>
                <w:szCs w:val="20"/>
              </w:rPr>
              <w:footnoteReference w:id="917"/>
            </w:r>
            <w:r w:rsidRPr="00BE3728">
              <w:rPr>
                <w:sz w:val="20"/>
                <w:szCs w:val="20"/>
              </w:rPr>
              <w:t xml:space="preserve"> Der fundamentale Wert der Höflichkeit als Glücksbedingung und Grundlage für eine Demokratie drücke sich im Fall einerseits darin aus, dass Raum für divergierende Ansichten </w:t>
            </w:r>
            <w:proofErr w:type="gramStart"/>
            <w:r w:rsidRPr="00BE3728">
              <w:rPr>
                <w:sz w:val="20"/>
                <w:szCs w:val="20"/>
              </w:rPr>
              <w:t>ermöglicht</w:t>
            </w:r>
            <w:proofErr w:type="gramEnd"/>
            <w:r w:rsidRPr="00BE3728">
              <w:rPr>
                <w:sz w:val="20"/>
                <w:szCs w:val="20"/>
              </w:rPr>
              <w:t xml:space="preserve"> werde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rStyle w:val="Funotenzeichen"/>
                <w:sz w:val="20"/>
                <w:szCs w:val="20"/>
              </w:rPr>
              <w:footnoteReference w:id="918"/>
            </w:r>
            <w:r w:rsidRPr="00BE3728">
              <w:rPr>
                <w:sz w:val="20"/>
                <w:szCs w:val="20"/>
              </w:rPr>
              <w:t xml:space="preserve"> Andererseits </w:t>
            </w:r>
            <w:r>
              <w:rPr>
                <w:sz w:val="20"/>
                <w:szCs w:val="20"/>
              </w:rPr>
              <w:t>fänden</w:t>
            </w:r>
            <w:r w:rsidRPr="00BE3728">
              <w:rPr>
                <w:sz w:val="20"/>
                <w:szCs w:val="20"/>
              </w:rPr>
              <w:t xml:space="preserve"> divergierende Ansichten durch diese fundamentalen Werte ihre Grenzen. Eine Grenze laute</w:t>
            </w:r>
            <w:r>
              <w:rPr>
                <w:sz w:val="20"/>
                <w:szCs w:val="20"/>
              </w:rPr>
              <w:t>, a</w:t>
            </w:r>
            <w:r w:rsidRPr="00BE3728">
              <w:rPr>
                <w:sz w:val="20"/>
                <w:szCs w:val="20"/>
              </w:rPr>
              <w:t xml:space="preserve">ndere zu achten. Zwar garantiert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eine weite Freiheit, sich am öffentlichen Diskurs zu beteiligen, aber zuvorderst zwischen Erwachsenen. In </w:t>
            </w:r>
            <w:r w:rsidRPr="5B67C1D2">
              <w:rPr>
                <w:i/>
                <w:iCs/>
                <w:sz w:val="20"/>
                <w:szCs w:val="20"/>
              </w:rPr>
              <w:t>New Jersey v. T. L. O.</w:t>
            </w:r>
            <w:r w:rsidRPr="00BE3728">
              <w:rPr>
                <w:sz w:val="20"/>
                <w:szCs w:val="20"/>
              </w:rPr>
              <w:t xml:space="preserve"> heißt es, dass die verfassungsmäßigen Rechte von Schülern in öffentlichen Schulen sich nicht automatisch mit den Rechten von Erwachsenen im öffentlichen Diskurs gleichsetzen.</w:t>
            </w:r>
            <w:r w:rsidRPr="00BE3728">
              <w:rPr>
                <w:rStyle w:val="Funotenzeichen"/>
                <w:sz w:val="20"/>
                <w:szCs w:val="20"/>
              </w:rPr>
              <w:footnoteReference w:id="919"/>
            </w:r>
            <w:r w:rsidRPr="00BE3728">
              <w:rPr>
                <w:sz w:val="20"/>
                <w:szCs w:val="20"/>
              </w:rPr>
              <w:t xml:space="preserve"> Weshalb in Schulen der öffentliche Diskurs eingeschränkt werden könne, um andere zu achten.</w:t>
            </w:r>
          </w:p>
          <w:p w14:paraId="4EC036D7" w14:textId="77777777" w:rsidR="00074551" w:rsidRPr="00E50B51" w:rsidRDefault="00074551" w:rsidP="00367133">
            <w:pPr>
              <w:jc w:val="both"/>
              <w:rPr>
                <w:sz w:val="20"/>
                <w:szCs w:val="20"/>
              </w:rPr>
            </w:pPr>
          </w:p>
        </w:tc>
      </w:tr>
      <w:tr w:rsidR="00074551" w:rsidRPr="00E50B51" w14:paraId="470AECF6" w14:textId="77777777" w:rsidTr="00BE689F">
        <w:trPr>
          <w:cantSplit/>
          <w:trHeight w:val="3175"/>
        </w:trPr>
        <w:tc>
          <w:tcPr>
            <w:tcW w:w="293" w:type="pct"/>
          </w:tcPr>
          <w:p w14:paraId="339674CD"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2E0BA528" w14:textId="77777777" w:rsidR="00074551" w:rsidRPr="00E50B51" w:rsidRDefault="00074551" w:rsidP="00367133">
            <w:pPr>
              <w:ind w:left="113" w:right="416"/>
              <w:jc w:val="both"/>
              <w:rPr>
                <w:sz w:val="20"/>
                <w:szCs w:val="20"/>
                <w:lang w:val="en-US"/>
              </w:rPr>
            </w:pPr>
            <w:r w:rsidRPr="009E57E1">
              <w:rPr>
                <w:i/>
                <w:sz w:val="20"/>
                <w:szCs w:val="20"/>
                <w:lang w:val="en-US"/>
              </w:rPr>
              <w:t xml:space="preserve">Parents Involved in </w:t>
            </w:r>
            <w:proofErr w:type="spellStart"/>
            <w:r w:rsidRPr="009E57E1">
              <w:rPr>
                <w:i/>
                <w:sz w:val="20"/>
                <w:szCs w:val="20"/>
                <w:lang w:val="en-US"/>
              </w:rPr>
              <w:t>Cmty</w:t>
            </w:r>
            <w:proofErr w:type="spellEnd"/>
            <w:r w:rsidRPr="009E57E1">
              <w:rPr>
                <w:i/>
                <w:sz w:val="20"/>
                <w:szCs w:val="20"/>
                <w:lang w:val="en-US"/>
              </w:rPr>
              <w:t>. Sch. v. Seattle Sch. Dist. No. 1</w:t>
            </w:r>
          </w:p>
        </w:tc>
        <w:tc>
          <w:tcPr>
            <w:tcW w:w="197" w:type="pct"/>
            <w:textDirection w:val="tbRl"/>
            <w:vAlign w:val="center"/>
          </w:tcPr>
          <w:p w14:paraId="0FCBAA5A" w14:textId="77777777" w:rsidR="00074551" w:rsidRPr="00E50B51" w:rsidRDefault="00074551" w:rsidP="00367133">
            <w:pPr>
              <w:ind w:left="113" w:right="113"/>
              <w:jc w:val="both"/>
              <w:rPr>
                <w:sz w:val="20"/>
                <w:szCs w:val="20"/>
                <w:lang w:val="en-US"/>
              </w:rPr>
            </w:pPr>
            <w:r w:rsidRPr="00BE3728">
              <w:rPr>
                <w:sz w:val="20"/>
                <w:szCs w:val="20"/>
              </w:rPr>
              <w:t>551 U.S. 701</w:t>
            </w:r>
          </w:p>
        </w:tc>
        <w:tc>
          <w:tcPr>
            <w:tcW w:w="306" w:type="pct"/>
            <w:textDirection w:val="tbRl"/>
            <w:vAlign w:val="center"/>
          </w:tcPr>
          <w:p w14:paraId="135308BA" w14:textId="77777777" w:rsidR="00074551" w:rsidRPr="00E50B51" w:rsidRDefault="00074551" w:rsidP="00367133">
            <w:pPr>
              <w:ind w:left="113" w:right="113"/>
              <w:jc w:val="both"/>
              <w:rPr>
                <w:sz w:val="20"/>
                <w:szCs w:val="20"/>
                <w:lang w:val="en-US"/>
              </w:rPr>
            </w:pPr>
            <w:r w:rsidRPr="00BE3728">
              <w:rPr>
                <w:sz w:val="20"/>
                <w:szCs w:val="20"/>
              </w:rPr>
              <w:t>28. Juni 2007</w:t>
            </w:r>
          </w:p>
        </w:tc>
        <w:tc>
          <w:tcPr>
            <w:tcW w:w="401" w:type="pct"/>
          </w:tcPr>
          <w:p w14:paraId="73828CBA" w14:textId="77777777" w:rsidR="00074551" w:rsidRPr="00E50B51" w:rsidRDefault="00074551" w:rsidP="00367133">
            <w:pPr>
              <w:jc w:val="center"/>
              <w:rPr>
                <w:sz w:val="20"/>
                <w:szCs w:val="20"/>
                <w:lang w:val="en-US"/>
              </w:rPr>
            </w:pPr>
            <w:r w:rsidRPr="00BE3728">
              <w:rPr>
                <w:sz w:val="20"/>
                <w:szCs w:val="20"/>
                <w:lang w:val="en-US"/>
              </w:rPr>
              <w:t>C</w:t>
            </w:r>
          </w:p>
        </w:tc>
        <w:tc>
          <w:tcPr>
            <w:tcW w:w="1594" w:type="pct"/>
          </w:tcPr>
          <w:p w14:paraId="6271ACF0"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die </w:t>
            </w:r>
            <w:proofErr w:type="spellStart"/>
            <w:r w:rsidRPr="00BE3728">
              <w:rPr>
                <w:sz w:val="20"/>
                <w:szCs w:val="20"/>
              </w:rPr>
              <w:t>vorinstanziellen</w:t>
            </w:r>
            <w:proofErr w:type="spellEnd"/>
            <w:r w:rsidRPr="00BE3728">
              <w:rPr>
                <w:sz w:val="20"/>
                <w:szCs w:val="20"/>
              </w:rPr>
              <w:t xml:space="preserve"> Urteile auf. Diese </w:t>
            </w:r>
            <w:r>
              <w:rPr>
                <w:sz w:val="20"/>
                <w:szCs w:val="20"/>
              </w:rPr>
              <w:t>hatten</w:t>
            </w:r>
            <w:r w:rsidRPr="00BE3728">
              <w:rPr>
                <w:sz w:val="20"/>
                <w:szCs w:val="20"/>
              </w:rPr>
              <w:t xml:space="preserve"> Zuweisungspläne der Schulbezirke</w:t>
            </w:r>
            <w:r>
              <w:rPr>
                <w:sz w:val="20"/>
                <w:szCs w:val="20"/>
              </w:rPr>
              <w:t xml:space="preserve"> bestätigt</w:t>
            </w:r>
            <w:r w:rsidRPr="00BE3728">
              <w:rPr>
                <w:sz w:val="20"/>
                <w:szCs w:val="20"/>
              </w:rPr>
              <w:t>, die auf Rassekriterien beruh</w:t>
            </w:r>
            <w:r>
              <w:rPr>
                <w:sz w:val="20"/>
                <w:szCs w:val="20"/>
              </w:rPr>
              <w:t>t</w:t>
            </w:r>
            <w:r w:rsidRPr="00BE3728">
              <w:rPr>
                <w:sz w:val="20"/>
                <w:szCs w:val="20"/>
              </w:rPr>
              <w:t xml:space="preserve">en. Der </w:t>
            </w:r>
            <w:r>
              <w:rPr>
                <w:sz w:val="20"/>
                <w:szCs w:val="20"/>
              </w:rPr>
              <w:t>U.S. Supreme Court</w:t>
            </w:r>
            <w:r w:rsidRPr="00BE3728">
              <w:rPr>
                <w:sz w:val="20"/>
                <w:szCs w:val="20"/>
              </w:rPr>
              <w:t xml:space="preserve"> erklärte die Zuweisungspläne für verfassungswidrig. Zunächst reichten in getrennten Fällen eine Elternvereinigung und ein Elternteil eines Schülers Klagen gegen ihre Schulbezirke ein. Sie fochten eine rassische Klassifizierung</w:t>
            </w:r>
            <w:r>
              <w:rPr>
                <w:sz w:val="20"/>
                <w:szCs w:val="20"/>
              </w:rPr>
              <w:t xml:space="preserve"> </w:t>
            </w:r>
            <w:r w:rsidRPr="00BE3728">
              <w:rPr>
                <w:sz w:val="20"/>
                <w:szCs w:val="20"/>
              </w:rPr>
              <w:t xml:space="preserve">an. Beide Schulbezirke planten, nachdem sie bei Zuweisungen den Wohnort berücksichtigen, die weiteren, noch verfügbaren Plätze nach der Rasse zu vergeben. Das Ziel sei, eine rassische Ausgewogenheit in den Schulen zu gewährleisten. Der </w:t>
            </w:r>
            <w:r>
              <w:rPr>
                <w:sz w:val="20"/>
                <w:szCs w:val="20"/>
              </w:rPr>
              <w:t>U.S. Supreme Court</w:t>
            </w:r>
            <w:r w:rsidRPr="00BE3728">
              <w:rPr>
                <w:sz w:val="20"/>
                <w:szCs w:val="20"/>
              </w:rPr>
              <w:t xml:space="preserve"> urteilte, dass die Bezirke damit den Schülern den gleichen Schutz verweigerten. Auf der anderen Seite konnten die Bezirke kein zwingendes Interesse an rassischer Vielfalt nachweisen. Denn ihre Pläne stützten sich auf eine rassische Klassifizierung</w:t>
            </w:r>
            <w:r>
              <w:rPr>
                <w:sz w:val="20"/>
                <w:szCs w:val="20"/>
              </w:rPr>
              <w:t xml:space="preserve"> </w:t>
            </w:r>
            <w:r w:rsidRPr="00BE3728">
              <w:rPr>
                <w:sz w:val="20"/>
                <w:szCs w:val="20"/>
              </w:rPr>
              <w:t>in einer kaum individualisierten, pauschalen Weise. Ein rassisches Ungleichgewicht in den Schulen sei an sich auch nicht verfassungswidrig. Weiterhin deute die minimale Wirkung der Klassifizierungen auf die Zuweisungen darauf hin, dass andere Mittel effektiver für das Ziel der Vielfalt sein könnten. Rassische Klassifizierung</w:t>
            </w:r>
            <w:r>
              <w:rPr>
                <w:sz w:val="20"/>
                <w:szCs w:val="20"/>
              </w:rPr>
              <w:t xml:space="preserve">en </w:t>
            </w:r>
            <w:r w:rsidRPr="00BE3728">
              <w:rPr>
                <w:sz w:val="20"/>
                <w:szCs w:val="20"/>
              </w:rPr>
              <w:t>sei</w:t>
            </w:r>
            <w:r>
              <w:rPr>
                <w:sz w:val="20"/>
                <w:szCs w:val="20"/>
              </w:rPr>
              <w:t>en</w:t>
            </w:r>
            <w:r w:rsidRPr="00BE3728">
              <w:rPr>
                <w:sz w:val="20"/>
                <w:szCs w:val="20"/>
              </w:rPr>
              <w:t xml:space="preserve"> damit nicht erforderlich.</w:t>
            </w:r>
            <w:r w:rsidRPr="00BE3728">
              <w:rPr>
                <w:rStyle w:val="Funotenzeichen"/>
                <w:sz w:val="20"/>
                <w:szCs w:val="20"/>
              </w:rPr>
              <w:footnoteReference w:id="920"/>
            </w:r>
          </w:p>
          <w:p w14:paraId="725DAE82" w14:textId="77777777" w:rsidR="0056095C" w:rsidRPr="00E50B51" w:rsidRDefault="0056095C" w:rsidP="00367133">
            <w:pPr>
              <w:jc w:val="both"/>
              <w:rPr>
                <w:sz w:val="20"/>
                <w:szCs w:val="20"/>
                <w:lang w:val="en-US"/>
              </w:rPr>
            </w:pPr>
          </w:p>
        </w:tc>
        <w:tc>
          <w:tcPr>
            <w:tcW w:w="1822" w:type="pct"/>
          </w:tcPr>
          <w:p w14:paraId="0EFCA37F" w14:textId="77777777" w:rsidR="00074551" w:rsidRPr="00B45592" w:rsidRDefault="00074551" w:rsidP="00367133">
            <w:pPr>
              <w:jc w:val="both"/>
              <w:rPr>
                <w:i/>
                <w:sz w:val="20"/>
                <w:szCs w:val="20"/>
              </w:rPr>
            </w:pPr>
            <w:r w:rsidRPr="00B45592">
              <w:rPr>
                <w:i/>
                <w:sz w:val="20"/>
                <w:szCs w:val="20"/>
              </w:rPr>
              <w:t xml:space="preserve">LexisNexis-Klassifikation: Constitutional Law ›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 National Origin &amp; </w:t>
            </w:r>
            <w:proofErr w:type="spellStart"/>
            <w:r w:rsidRPr="00B45592">
              <w:rPr>
                <w:i/>
                <w:sz w:val="20"/>
                <w:szCs w:val="20"/>
              </w:rPr>
              <w:t>Race</w:t>
            </w:r>
            <w:proofErr w:type="spellEnd"/>
          </w:p>
          <w:p w14:paraId="0D18F2C4" w14:textId="77777777" w:rsidR="00074551" w:rsidRPr="00B45592" w:rsidRDefault="00074551" w:rsidP="00367133">
            <w:pPr>
              <w:jc w:val="both"/>
              <w:rPr>
                <w:sz w:val="20"/>
                <w:szCs w:val="20"/>
              </w:rPr>
            </w:pPr>
          </w:p>
          <w:p w14:paraId="11260274"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w:t>
            </w:r>
            <w:r>
              <w:rPr>
                <w:sz w:val="20"/>
                <w:szCs w:val="20"/>
              </w:rPr>
              <w:t>a</w:t>
            </w:r>
            <w:r w:rsidRPr="00BE3728">
              <w:rPr>
                <w:sz w:val="20"/>
                <w:szCs w:val="20"/>
              </w:rPr>
              <w:t>nnt</w:t>
            </w:r>
            <w:r>
              <w:rPr>
                <w:sz w:val="20"/>
                <w:szCs w:val="20"/>
              </w:rPr>
              <w:t>e</w:t>
            </w:r>
            <w:r w:rsidRPr="00BE3728">
              <w:rPr>
                <w:sz w:val="20"/>
                <w:szCs w:val="20"/>
              </w:rPr>
              <w:t xml:space="preserve"> bei der öffentlichen Bildung den Einsatz von </w:t>
            </w:r>
            <w:r>
              <w:rPr>
                <w:sz w:val="20"/>
                <w:szCs w:val="20"/>
              </w:rPr>
              <w:t>Rassenk</w:t>
            </w:r>
            <w:r w:rsidRPr="00BE3728">
              <w:rPr>
                <w:sz w:val="20"/>
                <w:szCs w:val="20"/>
              </w:rPr>
              <w:t>lassifizierung</w:t>
            </w:r>
            <w:r>
              <w:rPr>
                <w:sz w:val="20"/>
                <w:szCs w:val="20"/>
              </w:rPr>
              <w:t xml:space="preserve">en </w:t>
            </w:r>
            <w:r w:rsidRPr="00BE3728">
              <w:rPr>
                <w:sz w:val="20"/>
                <w:szCs w:val="20"/>
              </w:rPr>
              <w:t>an. Dies diene vor allem zwingenden Interessen. Ein zwingendes Interesse bestehe darin, die Auswirkungen vergangener absichtlicher Diskriminierung zu beheben.</w:t>
            </w:r>
          </w:p>
          <w:p w14:paraId="7A38C6EC" w14:textId="77777777" w:rsidR="00074551" w:rsidRPr="00BE3728" w:rsidRDefault="00074551" w:rsidP="00367133">
            <w:pPr>
              <w:jc w:val="both"/>
              <w:rPr>
                <w:sz w:val="20"/>
                <w:szCs w:val="20"/>
              </w:rPr>
            </w:pPr>
          </w:p>
          <w:p w14:paraId="5F40AA00" w14:textId="4EC6AB6C" w:rsidR="0056095C" w:rsidRDefault="00074551" w:rsidP="00367133">
            <w:pPr>
              <w:jc w:val="both"/>
              <w:rPr>
                <w:sz w:val="20"/>
                <w:szCs w:val="20"/>
              </w:rPr>
            </w:pPr>
            <w:r w:rsidRPr="00BE3728">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erklärte das Prinzip der Selbstverwaltung – und wie es sich an Glück als Rechtsprinzip koppelt. Das Prinzip laute: Jeder Bundesstaat unter den Grundrechten und Freiheiten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solle selbst bestimmen, wie er die Polizeigewalt ausübe. In keinem Kompetenzfeld sei dieses Recht der Bundesstaaten anerkannter als in der öffentlichen Bildung.</w:t>
            </w:r>
            <w:r w:rsidRPr="00BE3728">
              <w:rPr>
                <w:rStyle w:val="Funotenzeichen"/>
                <w:sz w:val="20"/>
                <w:szCs w:val="20"/>
              </w:rPr>
              <w:t xml:space="preserve"> </w:t>
            </w:r>
            <w:r w:rsidRPr="00BE3728">
              <w:rPr>
                <w:rStyle w:val="Funotenzeichen"/>
                <w:sz w:val="20"/>
                <w:szCs w:val="20"/>
              </w:rPr>
              <w:footnoteReference w:id="921"/>
            </w:r>
            <w:r w:rsidRPr="00BE3728">
              <w:rPr>
                <w:sz w:val="20"/>
                <w:szCs w:val="20"/>
              </w:rPr>
              <w:t xml:space="preserve"> Denn die Selbstverwaltung in kommunalen Angelegenheiten sei wesentlich für den Frieden und das Glück eines jeden Ortes – und für die Stabilität des föderalen Systems („Local </w:t>
            </w:r>
            <w:proofErr w:type="spellStart"/>
            <w:r w:rsidRPr="00BE3728">
              <w:rPr>
                <w:sz w:val="20"/>
                <w:szCs w:val="20"/>
              </w:rPr>
              <w:t>self</w:t>
            </w:r>
            <w:proofErr w:type="spellEnd"/>
            <w:r w:rsidRPr="00BE3728">
              <w:rPr>
                <w:sz w:val="20"/>
                <w:szCs w:val="20"/>
              </w:rPr>
              <w:t xml:space="preserve">-government in </w:t>
            </w:r>
            <w:proofErr w:type="spellStart"/>
            <w:r w:rsidRPr="00BE3728">
              <w:rPr>
                <w:sz w:val="20"/>
                <w:szCs w:val="20"/>
              </w:rPr>
              <w:t>local</w:t>
            </w:r>
            <w:proofErr w:type="spellEnd"/>
            <w:r w:rsidRPr="00BE3728">
              <w:rPr>
                <w:sz w:val="20"/>
                <w:szCs w:val="20"/>
              </w:rPr>
              <w:t xml:space="preserve"> </w:t>
            </w:r>
            <w:proofErr w:type="spellStart"/>
            <w:r w:rsidRPr="00BE3728">
              <w:rPr>
                <w:sz w:val="20"/>
                <w:szCs w:val="20"/>
              </w:rPr>
              <w:t>affairs</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essential to the </w:t>
            </w:r>
            <w:proofErr w:type="spellStart"/>
            <w:r w:rsidRPr="00BE3728">
              <w:rPr>
                <w:sz w:val="20"/>
                <w:szCs w:val="20"/>
              </w:rPr>
              <w:t>peace</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each</w:t>
            </w:r>
            <w:proofErr w:type="spellEnd"/>
            <w:r w:rsidRPr="00BE3728">
              <w:rPr>
                <w:sz w:val="20"/>
                <w:szCs w:val="20"/>
              </w:rPr>
              <w:t xml:space="preserve"> </w:t>
            </w:r>
            <w:proofErr w:type="spellStart"/>
            <w:r w:rsidRPr="00BE3728">
              <w:rPr>
                <w:sz w:val="20"/>
                <w:szCs w:val="20"/>
              </w:rPr>
              <w:t>locality</w:t>
            </w:r>
            <w:proofErr w:type="spellEnd"/>
            <w:r w:rsidRPr="00BE3728">
              <w:rPr>
                <w:sz w:val="20"/>
                <w:szCs w:val="20"/>
              </w:rPr>
              <w:t xml:space="preserve"> and to the </w:t>
            </w:r>
            <w:proofErr w:type="spellStart"/>
            <w:r w:rsidRPr="00BE3728">
              <w:rPr>
                <w:sz w:val="20"/>
                <w:szCs w:val="20"/>
              </w:rPr>
              <w:t>strength</w:t>
            </w:r>
            <w:proofErr w:type="spellEnd"/>
            <w:r w:rsidRPr="00BE3728">
              <w:rPr>
                <w:sz w:val="20"/>
                <w:szCs w:val="20"/>
              </w:rPr>
              <w:t xml:space="preserve"> and </w:t>
            </w:r>
            <w:proofErr w:type="spellStart"/>
            <w:r w:rsidRPr="00BE3728">
              <w:rPr>
                <w:sz w:val="20"/>
                <w:szCs w:val="20"/>
              </w:rPr>
              <w:t>stability</w:t>
            </w:r>
            <w:proofErr w:type="spellEnd"/>
            <w:r w:rsidRPr="00BE3728">
              <w:rPr>
                <w:sz w:val="20"/>
                <w:szCs w:val="20"/>
              </w:rPr>
              <w:t xml:space="preserve"> of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whole</w:t>
            </w:r>
            <w:proofErr w:type="spellEnd"/>
            <w:r w:rsidRPr="00BE3728">
              <w:rPr>
                <w:sz w:val="20"/>
                <w:szCs w:val="20"/>
              </w:rPr>
              <w:t xml:space="preserve"> </w:t>
            </w:r>
            <w:proofErr w:type="spellStart"/>
            <w:r w:rsidRPr="00BE3728">
              <w:rPr>
                <w:sz w:val="20"/>
                <w:szCs w:val="20"/>
              </w:rPr>
              <w:t>federal</w:t>
            </w:r>
            <w:proofErr w:type="spellEnd"/>
            <w:r w:rsidRPr="00BE3728">
              <w:rPr>
                <w:sz w:val="20"/>
                <w:szCs w:val="20"/>
              </w:rPr>
              <w:t xml:space="preserve"> </w:t>
            </w:r>
            <w:proofErr w:type="spellStart"/>
            <w:r w:rsidRPr="00BE3728">
              <w:rPr>
                <w:sz w:val="20"/>
                <w:szCs w:val="20"/>
              </w:rPr>
              <w:t>system</w:t>
            </w:r>
            <w:proofErr w:type="spellEnd"/>
            <w:r w:rsidRPr="00BE3728">
              <w:rPr>
                <w:sz w:val="20"/>
                <w:szCs w:val="20"/>
              </w:rPr>
              <w:t>“</w:t>
            </w:r>
            <w:r w:rsidRPr="00BE3728">
              <w:rPr>
                <w:rStyle w:val="Funotenzeichen"/>
                <w:sz w:val="20"/>
                <w:szCs w:val="20"/>
              </w:rPr>
              <w:footnoteReference w:id="922"/>
            </w:r>
            <w:r w:rsidRPr="00BE3728">
              <w:rPr>
                <w:sz w:val="20"/>
                <w:szCs w:val="20"/>
              </w:rPr>
              <w:t xml:space="preserve">). Nirgendwo träfe dies mehr zu als in der Bildung, </w:t>
            </w:r>
            <w:r>
              <w:rPr>
                <w:sz w:val="20"/>
                <w:szCs w:val="20"/>
              </w:rPr>
              <w:t>dies würde</w:t>
            </w:r>
            <w:r w:rsidRPr="00BE3728">
              <w:rPr>
                <w:sz w:val="20"/>
                <w:szCs w:val="20"/>
              </w:rPr>
              <w:t xml:space="preserve"> die ständige Rechtsprechung des </w:t>
            </w:r>
            <w:r>
              <w:rPr>
                <w:sz w:val="20"/>
                <w:szCs w:val="20"/>
              </w:rPr>
              <w:t>U.S. Supreme Court bestätigen</w:t>
            </w:r>
            <w:r w:rsidRPr="00BE3728">
              <w:rPr>
                <w:sz w:val="20"/>
                <w:szCs w:val="20"/>
              </w:rPr>
              <w:t>.</w:t>
            </w:r>
            <w:r w:rsidRPr="00BE3728">
              <w:rPr>
                <w:rStyle w:val="Funotenzeichen"/>
                <w:sz w:val="20"/>
                <w:szCs w:val="20"/>
              </w:rPr>
              <w:footnoteReference w:id="923"/>
            </w:r>
          </w:p>
          <w:p w14:paraId="17C04B06" w14:textId="77777777" w:rsidR="00074551" w:rsidRPr="00E50B51" w:rsidRDefault="00074551" w:rsidP="00367133">
            <w:pPr>
              <w:jc w:val="both"/>
              <w:rPr>
                <w:sz w:val="20"/>
                <w:szCs w:val="20"/>
              </w:rPr>
            </w:pPr>
          </w:p>
        </w:tc>
      </w:tr>
      <w:tr w:rsidR="00074551" w:rsidRPr="00E50B51" w14:paraId="376A094B" w14:textId="77777777" w:rsidTr="0089283E">
        <w:trPr>
          <w:cantSplit/>
          <w:trHeight w:val="3175"/>
        </w:trPr>
        <w:tc>
          <w:tcPr>
            <w:tcW w:w="293" w:type="pct"/>
            <w:shd w:val="clear" w:color="auto" w:fill="E7E6E6" w:themeFill="background2"/>
          </w:tcPr>
          <w:p w14:paraId="093173A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492EC926" w14:textId="77777777" w:rsidR="00074551" w:rsidRPr="00E50B51" w:rsidRDefault="00074551" w:rsidP="00367133">
            <w:pPr>
              <w:ind w:left="113" w:right="416"/>
              <w:jc w:val="both"/>
              <w:rPr>
                <w:sz w:val="20"/>
                <w:szCs w:val="20"/>
                <w:lang w:val="en-US"/>
              </w:rPr>
            </w:pPr>
            <w:r w:rsidRPr="00E50B51">
              <w:rPr>
                <w:sz w:val="20"/>
                <w:szCs w:val="20"/>
              </w:rPr>
              <w:t>Naturrechtlich-freiheitliche Seite</w:t>
            </w:r>
          </w:p>
        </w:tc>
        <w:tc>
          <w:tcPr>
            <w:tcW w:w="197" w:type="pct"/>
            <w:shd w:val="clear" w:color="auto" w:fill="E7E6E6" w:themeFill="background2"/>
            <w:textDirection w:val="tbRl"/>
            <w:vAlign w:val="center"/>
          </w:tcPr>
          <w:p w14:paraId="22E79DD5" w14:textId="77777777" w:rsidR="00074551" w:rsidRPr="00E50B51" w:rsidRDefault="00074551" w:rsidP="00367133">
            <w:pPr>
              <w:ind w:left="113" w:right="113"/>
              <w:jc w:val="both"/>
              <w:rPr>
                <w:sz w:val="20"/>
                <w:szCs w:val="20"/>
              </w:rPr>
            </w:pPr>
            <w:r w:rsidRPr="00E50B51">
              <w:rPr>
                <w:sz w:val="20"/>
                <w:szCs w:val="20"/>
              </w:rPr>
              <w:t>Freedom of Expression</w:t>
            </w:r>
          </w:p>
        </w:tc>
        <w:tc>
          <w:tcPr>
            <w:tcW w:w="306" w:type="pct"/>
            <w:shd w:val="clear" w:color="auto" w:fill="E7E6E6" w:themeFill="background2"/>
            <w:textDirection w:val="tbRl"/>
            <w:vAlign w:val="center"/>
          </w:tcPr>
          <w:p w14:paraId="2A9EC4DB"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27F2BC2F"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262A1A83" w14:textId="77777777" w:rsidR="00074551" w:rsidRPr="00E50B51" w:rsidRDefault="00074551" w:rsidP="00367133">
            <w:pPr>
              <w:jc w:val="both"/>
              <w:rPr>
                <w:sz w:val="20"/>
                <w:szCs w:val="20"/>
              </w:rPr>
            </w:pPr>
          </w:p>
        </w:tc>
        <w:tc>
          <w:tcPr>
            <w:tcW w:w="1822" w:type="pct"/>
            <w:shd w:val="clear" w:color="auto" w:fill="E7E6E6" w:themeFill="background2"/>
          </w:tcPr>
          <w:p w14:paraId="3847D959" w14:textId="4706599E"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2C304D39" w14:textId="77777777" w:rsidTr="00BE689F">
        <w:trPr>
          <w:cantSplit/>
          <w:trHeight w:val="3175"/>
        </w:trPr>
        <w:tc>
          <w:tcPr>
            <w:tcW w:w="293" w:type="pct"/>
          </w:tcPr>
          <w:p w14:paraId="79F3538A"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06D8D869" w14:textId="77777777" w:rsidR="00074551" w:rsidRPr="00E50B51" w:rsidRDefault="00074551" w:rsidP="00367133">
            <w:pPr>
              <w:ind w:left="113" w:right="416"/>
              <w:jc w:val="both"/>
              <w:rPr>
                <w:sz w:val="20"/>
                <w:szCs w:val="20"/>
                <w:lang w:val="en-US"/>
              </w:rPr>
            </w:pPr>
            <w:r w:rsidRPr="009E57E1">
              <w:rPr>
                <w:i/>
                <w:sz w:val="20"/>
                <w:szCs w:val="20"/>
                <w:lang w:val="en-US"/>
              </w:rPr>
              <w:t>Ferrell v. Dallas Independent School Dist.</w:t>
            </w:r>
          </w:p>
        </w:tc>
        <w:tc>
          <w:tcPr>
            <w:tcW w:w="197" w:type="pct"/>
            <w:textDirection w:val="tbRl"/>
            <w:vAlign w:val="center"/>
          </w:tcPr>
          <w:p w14:paraId="47F2F09D" w14:textId="77777777" w:rsidR="00074551" w:rsidRPr="00E50B51" w:rsidRDefault="00074551" w:rsidP="00367133">
            <w:pPr>
              <w:ind w:left="113" w:right="113"/>
              <w:jc w:val="both"/>
              <w:rPr>
                <w:sz w:val="20"/>
                <w:szCs w:val="20"/>
              </w:rPr>
            </w:pPr>
            <w:r w:rsidRPr="00E50B51">
              <w:rPr>
                <w:sz w:val="20"/>
                <w:szCs w:val="20"/>
                <w:lang w:val="en-US"/>
              </w:rPr>
              <w:t>393 U.S. 856</w:t>
            </w:r>
          </w:p>
        </w:tc>
        <w:tc>
          <w:tcPr>
            <w:tcW w:w="306" w:type="pct"/>
            <w:textDirection w:val="tbRl"/>
            <w:vAlign w:val="center"/>
          </w:tcPr>
          <w:p w14:paraId="4E0580EA" w14:textId="77777777" w:rsidR="00074551" w:rsidRPr="00E50B51" w:rsidRDefault="00074551" w:rsidP="00367133">
            <w:pPr>
              <w:ind w:left="113" w:right="113"/>
              <w:jc w:val="both"/>
              <w:rPr>
                <w:sz w:val="20"/>
                <w:szCs w:val="20"/>
              </w:rPr>
            </w:pPr>
            <w:r w:rsidRPr="00E50B51">
              <w:rPr>
                <w:sz w:val="20"/>
                <w:szCs w:val="20"/>
              </w:rPr>
              <w:t>14. Oktober 1968</w:t>
            </w:r>
          </w:p>
        </w:tc>
        <w:tc>
          <w:tcPr>
            <w:tcW w:w="401" w:type="pct"/>
          </w:tcPr>
          <w:p w14:paraId="442F6E98" w14:textId="77777777" w:rsidR="00074551" w:rsidRPr="00E50B51" w:rsidRDefault="00074551" w:rsidP="00367133">
            <w:pPr>
              <w:jc w:val="center"/>
              <w:rPr>
                <w:sz w:val="20"/>
                <w:szCs w:val="20"/>
              </w:rPr>
            </w:pPr>
            <w:r w:rsidRPr="00E50B51">
              <w:rPr>
                <w:sz w:val="20"/>
                <w:szCs w:val="20"/>
              </w:rPr>
              <w:t>D</w:t>
            </w:r>
          </w:p>
        </w:tc>
        <w:tc>
          <w:tcPr>
            <w:tcW w:w="1594" w:type="pct"/>
          </w:tcPr>
          <w:p w14:paraId="6AB29209" w14:textId="77777777" w:rsidR="00074551" w:rsidRPr="00E50B51" w:rsidRDefault="00074551" w:rsidP="00367133">
            <w:pPr>
              <w:jc w:val="both"/>
              <w:rPr>
                <w:sz w:val="20"/>
                <w:szCs w:val="20"/>
              </w:rPr>
            </w:pPr>
            <w:r w:rsidRPr="00E50B51">
              <w:rPr>
                <w:sz w:val="20"/>
                <w:szCs w:val="20"/>
              </w:rPr>
              <w:t>Im Fall</w:t>
            </w:r>
            <w:r w:rsidRPr="00E50B51">
              <w:rPr>
                <w:sz w:val="20"/>
                <w:szCs w:val="20"/>
                <w:vertAlign w:val="superscript"/>
                <w:lang w:val="en-US"/>
              </w:rPr>
              <w:footnoteReference w:id="924"/>
            </w:r>
            <w:r w:rsidRPr="00E50B51">
              <w:rPr>
                <w:sz w:val="20"/>
                <w:szCs w:val="20"/>
              </w:rPr>
              <w:t xml:space="preserve"> urteilte zwar nicht der </w:t>
            </w:r>
            <w:r>
              <w:rPr>
                <w:sz w:val="20"/>
                <w:szCs w:val="20"/>
              </w:rPr>
              <w:t>U.S. Supreme Court</w:t>
            </w:r>
            <w:r w:rsidRPr="00E50B51">
              <w:rPr>
                <w:sz w:val="20"/>
                <w:szCs w:val="20"/>
              </w:rPr>
              <w:t xml:space="preserve"> selbst. Aber er zieht den Sachverhalt des Falls in Folgeurteilen heran</w:t>
            </w:r>
            <w:r>
              <w:rPr>
                <w:sz w:val="20"/>
                <w:szCs w:val="20"/>
              </w:rPr>
              <w:t>,</w:t>
            </w:r>
            <w:r w:rsidRPr="00E50B51">
              <w:rPr>
                <w:sz w:val="20"/>
                <w:szCs w:val="20"/>
                <w:vertAlign w:val="superscript"/>
              </w:rPr>
              <w:footnoteReference w:id="925"/>
            </w:r>
            <w:r w:rsidRPr="00E50B51">
              <w:rPr>
                <w:sz w:val="20"/>
                <w:szCs w:val="20"/>
              </w:rPr>
              <w:t xml:space="preserve"> </w:t>
            </w:r>
            <w:r>
              <w:rPr>
                <w:sz w:val="20"/>
                <w:szCs w:val="20"/>
              </w:rPr>
              <w:t>w</w:t>
            </w:r>
            <w:r w:rsidRPr="00E50B51">
              <w:rPr>
                <w:sz w:val="20"/>
                <w:szCs w:val="20"/>
              </w:rPr>
              <w:t xml:space="preserve">eshalb </w:t>
            </w:r>
            <w:r>
              <w:rPr>
                <w:sz w:val="20"/>
                <w:szCs w:val="20"/>
              </w:rPr>
              <w:t>er</w:t>
            </w:r>
            <w:r w:rsidRPr="00E50B51">
              <w:rPr>
                <w:sz w:val="20"/>
                <w:szCs w:val="20"/>
              </w:rPr>
              <w:t xml:space="preserve"> dennoch als sog. „Landmark Supreme Court Case“</w:t>
            </w:r>
            <w:r w:rsidRPr="00E50B51">
              <w:rPr>
                <w:sz w:val="20"/>
                <w:szCs w:val="20"/>
                <w:vertAlign w:val="superscript"/>
              </w:rPr>
              <w:footnoteReference w:id="926"/>
            </w:r>
            <w:r w:rsidRPr="00E50B51">
              <w:rPr>
                <w:sz w:val="20"/>
                <w:szCs w:val="20"/>
              </w:rPr>
              <w:t xml:space="preserve"> bezeichnet wird. In dem Fall verwehrte eine öffentliche Schule </w:t>
            </w:r>
            <w:r>
              <w:rPr>
                <w:sz w:val="20"/>
                <w:szCs w:val="20"/>
              </w:rPr>
              <w:t>einem</w:t>
            </w:r>
            <w:r w:rsidRPr="00E50B51">
              <w:rPr>
                <w:sz w:val="20"/>
                <w:szCs w:val="20"/>
              </w:rPr>
              <w:t xml:space="preserve"> Schüler aufgrund </w:t>
            </w:r>
            <w:r>
              <w:rPr>
                <w:sz w:val="20"/>
                <w:szCs w:val="20"/>
              </w:rPr>
              <w:t>seiner</w:t>
            </w:r>
            <w:r w:rsidRPr="00E50B51">
              <w:rPr>
                <w:sz w:val="20"/>
                <w:szCs w:val="20"/>
              </w:rPr>
              <w:t xml:space="preserve"> Haarlänge den Zugang.</w:t>
            </w:r>
          </w:p>
          <w:p w14:paraId="5F9954C9" w14:textId="77777777" w:rsidR="00074551" w:rsidRPr="00E50B51" w:rsidRDefault="00074551" w:rsidP="00367133">
            <w:pPr>
              <w:jc w:val="both"/>
              <w:rPr>
                <w:sz w:val="20"/>
                <w:szCs w:val="20"/>
              </w:rPr>
            </w:pPr>
          </w:p>
        </w:tc>
        <w:tc>
          <w:tcPr>
            <w:tcW w:w="1822" w:type="pct"/>
          </w:tcPr>
          <w:p w14:paraId="185683FB" w14:textId="2FFC5C65" w:rsidR="00074551" w:rsidRDefault="00074551" w:rsidP="00367133">
            <w:pPr>
              <w:jc w:val="both"/>
              <w:rPr>
                <w:sz w:val="20"/>
                <w:szCs w:val="20"/>
              </w:rPr>
            </w:pPr>
            <w:r w:rsidRPr="00CD0F25">
              <w:rPr>
                <w:sz w:val="20"/>
                <w:szCs w:val="20"/>
              </w:rPr>
              <w:t xml:space="preserve">In </w:t>
            </w:r>
            <w:r w:rsidRPr="5B67C1D2">
              <w:rPr>
                <w:i/>
                <w:iCs/>
                <w:sz w:val="20"/>
                <w:szCs w:val="20"/>
              </w:rPr>
              <w:t xml:space="preserve">Ferrell v. Dallas Independent School </w:t>
            </w:r>
            <w:proofErr w:type="spellStart"/>
            <w:r w:rsidRPr="5B67C1D2">
              <w:rPr>
                <w:i/>
                <w:iCs/>
                <w:sz w:val="20"/>
                <w:szCs w:val="20"/>
              </w:rPr>
              <w:t>Dist</w:t>
            </w:r>
            <w:proofErr w:type="spellEnd"/>
            <w:r w:rsidRPr="5B67C1D2">
              <w:rPr>
                <w:i/>
                <w:iCs/>
                <w:sz w:val="20"/>
                <w:szCs w:val="20"/>
              </w:rPr>
              <w:t>.</w:t>
            </w:r>
            <w:r w:rsidRPr="00CD0F25">
              <w:rPr>
                <w:sz w:val="20"/>
                <w:szCs w:val="20"/>
                <w:vertAlign w:val="superscript"/>
                <w:lang w:val="en-US"/>
              </w:rPr>
              <w:footnoteReference w:id="927"/>
            </w:r>
            <w:r>
              <w:rPr>
                <w:sz w:val="20"/>
                <w:szCs w:val="20"/>
              </w:rPr>
              <w:t xml:space="preserve"> erklärte das Gericht,</w:t>
            </w:r>
            <w:r w:rsidRPr="00CD0F25">
              <w:rPr>
                <w:sz w:val="20"/>
                <w:szCs w:val="20"/>
              </w:rPr>
              <w:t xml:space="preserve"> und </w:t>
            </w:r>
            <w:r>
              <w:rPr>
                <w:sz w:val="20"/>
                <w:szCs w:val="20"/>
              </w:rPr>
              <w:t>in den</w:t>
            </w:r>
            <w:r w:rsidRPr="00CD0F25">
              <w:rPr>
                <w:sz w:val="20"/>
                <w:szCs w:val="20"/>
              </w:rPr>
              <w:t xml:space="preserve"> Folgeurteile</w:t>
            </w:r>
            <w:r>
              <w:rPr>
                <w:sz w:val="20"/>
                <w:szCs w:val="20"/>
              </w:rPr>
              <w:t>n</w:t>
            </w:r>
            <w:r w:rsidRPr="00CD0F25">
              <w:rPr>
                <w:sz w:val="20"/>
                <w:szCs w:val="20"/>
              </w:rPr>
              <w:t xml:space="preserve"> der </w:t>
            </w:r>
            <w:r>
              <w:rPr>
                <w:sz w:val="20"/>
                <w:szCs w:val="20"/>
              </w:rPr>
              <w:t>U.S. Supreme Court</w:t>
            </w:r>
            <w:r w:rsidRPr="00CD0F25">
              <w:rPr>
                <w:sz w:val="20"/>
                <w:szCs w:val="20"/>
              </w:rPr>
              <w:t xml:space="preserve">, dass das Recht, das eigene Aussehen und die Persönlichkeit frei auszudrücken, ein Teil der Bedingungen für ein Streben nach Glück sei. </w:t>
            </w:r>
            <w:r w:rsidRPr="00FA505A">
              <w:rPr>
                <w:sz w:val="20"/>
                <w:szCs w:val="20"/>
              </w:rPr>
              <w:t>Die</w:t>
            </w:r>
            <w:r w:rsidRPr="00CD0F25">
              <w:rPr>
                <w:sz w:val="20"/>
                <w:szCs w:val="20"/>
              </w:rPr>
              <w:t xml:space="preserve">ses ursächlich von Schülern vorgebrachte Schutzbegehren </w:t>
            </w:r>
            <w:r w:rsidRPr="00FA505A">
              <w:rPr>
                <w:sz w:val="20"/>
                <w:szCs w:val="20"/>
              </w:rPr>
              <w:t xml:space="preserve">griff der </w:t>
            </w:r>
            <w:r>
              <w:rPr>
                <w:sz w:val="20"/>
                <w:szCs w:val="20"/>
              </w:rPr>
              <w:t>U.S. Supreme Court</w:t>
            </w:r>
            <w:r w:rsidRPr="00FA505A">
              <w:rPr>
                <w:sz w:val="20"/>
                <w:szCs w:val="20"/>
              </w:rPr>
              <w:t xml:space="preserve"> in der Folge immer wieder auf.</w:t>
            </w:r>
            <w:r w:rsidRPr="00FA505A">
              <w:rPr>
                <w:sz w:val="20"/>
                <w:szCs w:val="20"/>
                <w:vertAlign w:val="superscript"/>
              </w:rPr>
              <w:footnoteReference w:id="928"/>
            </w:r>
            <w:r w:rsidRPr="00FA505A">
              <w:rPr>
                <w:sz w:val="20"/>
                <w:szCs w:val="20"/>
              </w:rPr>
              <w:t xml:space="preserve"> Als Rechtsgrundlage zogen die Schüler nicht den </w:t>
            </w:r>
            <w:proofErr w:type="spellStart"/>
            <w:r w:rsidRPr="5B67C1D2">
              <w:rPr>
                <w:i/>
                <w:iCs/>
                <w:sz w:val="20"/>
                <w:szCs w:val="20"/>
              </w:rPr>
              <w:t>Civil</w:t>
            </w:r>
            <w:proofErr w:type="spellEnd"/>
            <w:r w:rsidRPr="5B67C1D2">
              <w:rPr>
                <w:i/>
                <w:iCs/>
                <w:sz w:val="20"/>
                <w:szCs w:val="20"/>
              </w:rPr>
              <w:t xml:space="preserve"> Rights Act</w:t>
            </w:r>
            <w:r w:rsidRPr="00FA505A">
              <w:rPr>
                <w:sz w:val="20"/>
                <w:szCs w:val="20"/>
              </w:rPr>
              <w:t xml:space="preserve"> heran, dessen Anwendungsbereich </w:t>
            </w:r>
            <w:r w:rsidRPr="00CD0F25">
              <w:rPr>
                <w:sz w:val="20"/>
                <w:szCs w:val="20"/>
              </w:rPr>
              <w:t xml:space="preserve">genuin </w:t>
            </w:r>
            <w:r w:rsidRPr="00FA505A">
              <w:rPr>
                <w:sz w:val="20"/>
                <w:szCs w:val="20"/>
              </w:rPr>
              <w:t>auf rassische Diskriminierungen abstellt. Sie machten stattdessen initial den Gleichheitsgrundsatz</w:t>
            </w:r>
            <w:r w:rsidRPr="00CD0F25">
              <w:rPr>
                <w:sz w:val="20"/>
                <w:szCs w:val="20"/>
              </w:rPr>
              <w:t xml:space="preserve">, die sog.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CD0F25">
              <w:rPr>
                <w:sz w:val="20"/>
                <w:szCs w:val="20"/>
              </w:rPr>
              <w:t xml:space="preserve">, </w:t>
            </w:r>
            <w:r w:rsidRPr="00FA505A">
              <w:rPr>
                <w:sz w:val="20"/>
                <w:szCs w:val="20"/>
              </w:rPr>
              <w:t xml:space="preserve">stark, d.h. eine Unterscheidung anhand des </w:t>
            </w:r>
            <w:r w:rsidRPr="00CD0F25">
              <w:rPr>
                <w:sz w:val="20"/>
                <w:szCs w:val="20"/>
              </w:rPr>
              <w:t>ä</w:t>
            </w:r>
            <w:r w:rsidRPr="00FA505A">
              <w:rPr>
                <w:sz w:val="20"/>
                <w:szCs w:val="20"/>
              </w:rPr>
              <w:t>ußeren</w:t>
            </w:r>
            <w:r w:rsidRPr="00CD0F25">
              <w:rPr>
                <w:sz w:val="20"/>
                <w:szCs w:val="20"/>
              </w:rPr>
              <w:t xml:space="preserve"> Erscheinungsbildes</w:t>
            </w:r>
            <w:r w:rsidRPr="00FA505A">
              <w:rPr>
                <w:sz w:val="20"/>
                <w:szCs w:val="20"/>
              </w:rPr>
              <w:t xml:space="preserve"> verstoße gegen</w:t>
            </w:r>
            <w:r w:rsidRPr="00CD0F25">
              <w:rPr>
                <w:sz w:val="20"/>
                <w:szCs w:val="20"/>
              </w:rPr>
              <w:t xml:space="preserve"> diese</w:t>
            </w:r>
            <w:r>
              <w:rPr>
                <w:sz w:val="20"/>
                <w:szCs w:val="20"/>
              </w:rPr>
              <w:t>n Grundsatz</w:t>
            </w:r>
            <w:r w:rsidRPr="00FA505A">
              <w:rPr>
                <w:sz w:val="20"/>
                <w:szCs w:val="20"/>
              </w:rPr>
              <w:t xml:space="preserve">. Für ihre zentrale Urteilsbegründung bemühten sie allerdings das Prinzip der Freiheit, was sie ausgedrückt sahen in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FA505A">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A505A">
              <w:rPr>
                <w:sz w:val="20"/>
                <w:szCs w:val="20"/>
              </w:rPr>
              <w:t xml:space="preserve">, der Meinungsäußerungsfreiheit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FA505A">
              <w:rPr>
                <w:sz w:val="20"/>
                <w:szCs w:val="20"/>
              </w:rPr>
              <w:t xml:space="preserve"> und den Sphären des </w:t>
            </w:r>
            <w:r>
              <w:rPr>
                <w:sz w:val="20"/>
                <w:szCs w:val="20"/>
              </w:rPr>
              <w:t>Privatrechts</w:t>
            </w:r>
            <w:r w:rsidRPr="00CD0F25">
              <w:rPr>
                <w:sz w:val="20"/>
                <w:szCs w:val="20"/>
              </w:rPr>
              <w:t>, der sog. „</w:t>
            </w:r>
            <w:proofErr w:type="spellStart"/>
            <w:r w:rsidRPr="00CD0F25">
              <w:rPr>
                <w:sz w:val="20"/>
                <w:szCs w:val="20"/>
              </w:rPr>
              <w:t>zone</w:t>
            </w:r>
            <w:proofErr w:type="spellEnd"/>
            <w:r w:rsidRPr="00CD0F25">
              <w:rPr>
                <w:sz w:val="20"/>
                <w:szCs w:val="20"/>
              </w:rPr>
              <w:t xml:space="preserve"> of </w:t>
            </w:r>
            <w:proofErr w:type="spellStart"/>
            <w:r w:rsidRPr="00CD0F25">
              <w:rPr>
                <w:sz w:val="20"/>
                <w:szCs w:val="20"/>
              </w:rPr>
              <w:t>privacy</w:t>
            </w:r>
            <w:proofErr w:type="spellEnd"/>
            <w:r w:rsidRPr="00CD0F25">
              <w:rPr>
                <w:sz w:val="20"/>
                <w:szCs w:val="20"/>
              </w:rPr>
              <w:t>“</w:t>
            </w:r>
            <w:r w:rsidRPr="00CD0F25">
              <w:rPr>
                <w:sz w:val="20"/>
                <w:szCs w:val="20"/>
                <w:vertAlign w:val="superscript"/>
              </w:rPr>
              <w:footnoteReference w:id="929"/>
            </w:r>
            <w:r w:rsidRPr="00FA505A">
              <w:rPr>
                <w:sz w:val="20"/>
                <w:szCs w:val="20"/>
              </w:rPr>
              <w:t xml:space="preserve">. Beide Amendments und die Sphären verbindet und rahmt das Recht auf ein Streben nach Glück. Der </w:t>
            </w:r>
            <w:r>
              <w:rPr>
                <w:sz w:val="20"/>
                <w:szCs w:val="20"/>
              </w:rPr>
              <w:t>U.S. Supreme Court</w:t>
            </w:r>
            <w:r w:rsidRPr="00FA505A">
              <w:rPr>
                <w:sz w:val="20"/>
                <w:szCs w:val="20"/>
              </w:rPr>
              <w:t xml:space="preserve"> bestätigte diese Argumentation. Dieses Verfassungsrechtskonglomerat erlaub</w:t>
            </w:r>
            <w:r>
              <w:rPr>
                <w:sz w:val="20"/>
                <w:szCs w:val="20"/>
              </w:rPr>
              <w:t>e</w:t>
            </w:r>
            <w:r w:rsidRPr="00FA505A">
              <w:rPr>
                <w:sz w:val="20"/>
                <w:szCs w:val="20"/>
              </w:rPr>
              <w:t xml:space="preserve"> </w:t>
            </w:r>
            <w:r w:rsidRPr="00CD0F25">
              <w:rPr>
                <w:sz w:val="20"/>
                <w:szCs w:val="20"/>
              </w:rPr>
              <w:t xml:space="preserve">gerade </w:t>
            </w:r>
            <w:r w:rsidRPr="00FA505A">
              <w:rPr>
                <w:sz w:val="20"/>
                <w:szCs w:val="20"/>
              </w:rPr>
              <w:t>Eigenheiten und ihr Gedeihen, insbesondere wenn sie das Bild der eigenen Persönlichkeit und die eigene</w:t>
            </w:r>
            <w:r>
              <w:rPr>
                <w:sz w:val="20"/>
                <w:szCs w:val="20"/>
              </w:rPr>
              <w:t>n</w:t>
            </w:r>
            <w:r w:rsidRPr="00FA505A">
              <w:rPr>
                <w:sz w:val="20"/>
                <w:szCs w:val="20"/>
              </w:rPr>
              <w:t xml:space="preserve"> Glaubensgrundsätze gegenüber staatlichen Akteuren und Mitmenschen betr</w:t>
            </w:r>
            <w:r>
              <w:rPr>
                <w:sz w:val="20"/>
                <w:szCs w:val="20"/>
              </w:rPr>
              <w:t>ä</w:t>
            </w:r>
            <w:r w:rsidRPr="00FA505A">
              <w:rPr>
                <w:sz w:val="20"/>
                <w:szCs w:val="20"/>
              </w:rPr>
              <w:t>fen.</w:t>
            </w:r>
            <w:r w:rsidRPr="00FA505A">
              <w:rPr>
                <w:sz w:val="20"/>
                <w:szCs w:val="20"/>
                <w:vertAlign w:val="superscript"/>
              </w:rPr>
              <w:footnoteReference w:id="930"/>
            </w:r>
          </w:p>
          <w:p w14:paraId="4A11E94F" w14:textId="77777777" w:rsidR="00074551" w:rsidRPr="00E50B51" w:rsidRDefault="00074551" w:rsidP="00367133">
            <w:pPr>
              <w:jc w:val="both"/>
              <w:rPr>
                <w:sz w:val="20"/>
                <w:szCs w:val="20"/>
              </w:rPr>
            </w:pPr>
          </w:p>
        </w:tc>
      </w:tr>
      <w:tr w:rsidR="00074551" w:rsidRPr="00E50B51" w14:paraId="5B5F98F3" w14:textId="77777777" w:rsidTr="0089283E">
        <w:trPr>
          <w:cantSplit/>
          <w:trHeight w:val="3175"/>
        </w:trPr>
        <w:tc>
          <w:tcPr>
            <w:tcW w:w="293" w:type="pct"/>
            <w:shd w:val="clear" w:color="auto" w:fill="E7E6E6" w:themeFill="background2"/>
          </w:tcPr>
          <w:p w14:paraId="540F4F29" w14:textId="77777777" w:rsidR="00074551" w:rsidRPr="00E50B51" w:rsidRDefault="00074551" w:rsidP="00367133">
            <w:pPr>
              <w:ind w:right="416"/>
              <w:jc w:val="center"/>
              <w:rPr>
                <w:sz w:val="20"/>
                <w:szCs w:val="20"/>
              </w:rPr>
            </w:pPr>
            <w:proofErr w:type="spellStart"/>
            <w:r>
              <w:rPr>
                <w:sz w:val="20"/>
                <w:szCs w:val="20"/>
              </w:rPr>
              <w:lastRenderedPageBreak/>
              <w:t>poH</w:t>
            </w:r>
            <w:proofErr w:type="spellEnd"/>
          </w:p>
        </w:tc>
        <w:tc>
          <w:tcPr>
            <w:tcW w:w="387" w:type="pct"/>
            <w:shd w:val="clear" w:color="auto" w:fill="E7E6E6" w:themeFill="background2"/>
            <w:textDirection w:val="tbRl"/>
            <w:vAlign w:val="center"/>
          </w:tcPr>
          <w:p w14:paraId="6A5CAE5C"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0099F0CB" w14:textId="77777777" w:rsidR="00074551" w:rsidRPr="00E50B51" w:rsidRDefault="00074551" w:rsidP="00367133">
            <w:pPr>
              <w:ind w:left="113" w:right="113"/>
              <w:jc w:val="both"/>
              <w:rPr>
                <w:sz w:val="20"/>
                <w:szCs w:val="20"/>
              </w:rPr>
            </w:pPr>
            <w:r w:rsidRPr="00E50B51">
              <w:rPr>
                <w:sz w:val="20"/>
                <w:szCs w:val="20"/>
              </w:rPr>
              <w:t>Freedom to Petition</w:t>
            </w:r>
          </w:p>
        </w:tc>
        <w:tc>
          <w:tcPr>
            <w:tcW w:w="306" w:type="pct"/>
            <w:shd w:val="clear" w:color="auto" w:fill="E7E6E6" w:themeFill="background2"/>
            <w:textDirection w:val="tbRl"/>
            <w:vAlign w:val="center"/>
          </w:tcPr>
          <w:p w14:paraId="2CB74868"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0E617B27"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CBE3D14" w14:textId="77777777" w:rsidR="00074551" w:rsidRDefault="00074551" w:rsidP="00367133">
            <w:pPr>
              <w:jc w:val="both"/>
              <w:rPr>
                <w:sz w:val="20"/>
                <w:szCs w:val="20"/>
              </w:rPr>
            </w:pPr>
          </w:p>
          <w:p w14:paraId="393A0969" w14:textId="77777777" w:rsidR="00074551" w:rsidRPr="00036F94" w:rsidRDefault="00074551" w:rsidP="00367133">
            <w:pPr>
              <w:jc w:val="both"/>
              <w:rPr>
                <w:sz w:val="20"/>
                <w:szCs w:val="20"/>
              </w:rPr>
            </w:pPr>
          </w:p>
          <w:p w14:paraId="0287DAEA" w14:textId="77777777" w:rsidR="00074551" w:rsidRDefault="00074551" w:rsidP="00367133">
            <w:pPr>
              <w:jc w:val="both"/>
              <w:rPr>
                <w:sz w:val="20"/>
                <w:szCs w:val="20"/>
              </w:rPr>
            </w:pPr>
          </w:p>
          <w:p w14:paraId="30E5E759" w14:textId="77777777" w:rsidR="00074551" w:rsidRDefault="00074551" w:rsidP="00367133">
            <w:pPr>
              <w:jc w:val="both"/>
              <w:rPr>
                <w:sz w:val="20"/>
                <w:szCs w:val="20"/>
              </w:rPr>
            </w:pPr>
          </w:p>
          <w:p w14:paraId="7EE91ED7" w14:textId="77777777" w:rsidR="00074551" w:rsidRDefault="00074551" w:rsidP="00367133">
            <w:pPr>
              <w:jc w:val="both"/>
              <w:rPr>
                <w:sz w:val="20"/>
                <w:szCs w:val="20"/>
              </w:rPr>
            </w:pPr>
          </w:p>
          <w:p w14:paraId="50512952" w14:textId="77777777" w:rsidR="00074551" w:rsidRDefault="00074551" w:rsidP="00367133">
            <w:pPr>
              <w:jc w:val="both"/>
              <w:rPr>
                <w:sz w:val="20"/>
                <w:szCs w:val="20"/>
              </w:rPr>
            </w:pPr>
          </w:p>
          <w:p w14:paraId="54AB1B5C" w14:textId="77777777" w:rsidR="00074551" w:rsidRPr="00036F94" w:rsidRDefault="00074551" w:rsidP="00367133">
            <w:pPr>
              <w:jc w:val="both"/>
              <w:rPr>
                <w:sz w:val="20"/>
                <w:szCs w:val="20"/>
              </w:rPr>
            </w:pPr>
          </w:p>
        </w:tc>
        <w:tc>
          <w:tcPr>
            <w:tcW w:w="1822" w:type="pct"/>
            <w:shd w:val="clear" w:color="auto" w:fill="E7E6E6" w:themeFill="background2"/>
          </w:tcPr>
          <w:p w14:paraId="434579D4" w14:textId="59A8CCE0"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0EB39F18" w14:textId="77777777" w:rsidTr="00BE689F">
        <w:trPr>
          <w:cantSplit/>
          <w:trHeight w:val="3175"/>
        </w:trPr>
        <w:tc>
          <w:tcPr>
            <w:tcW w:w="293" w:type="pct"/>
            <w:shd w:val="clear" w:color="auto" w:fill="FFFFFF" w:themeFill="background1"/>
          </w:tcPr>
          <w:p w14:paraId="7D7B816F"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FFFFFF" w:themeFill="background1"/>
            <w:textDirection w:val="tbRl"/>
            <w:vAlign w:val="center"/>
          </w:tcPr>
          <w:p w14:paraId="06217364" w14:textId="77777777" w:rsidR="00074551" w:rsidRPr="00E50B51" w:rsidRDefault="00074551" w:rsidP="00367133">
            <w:pPr>
              <w:ind w:left="113" w:right="416"/>
              <w:jc w:val="both"/>
              <w:rPr>
                <w:sz w:val="20"/>
                <w:szCs w:val="20"/>
              </w:rPr>
            </w:pPr>
            <w:r w:rsidRPr="009E57E1">
              <w:rPr>
                <w:i/>
                <w:sz w:val="20"/>
                <w:szCs w:val="20"/>
                <w:lang w:val="en-US"/>
              </w:rPr>
              <w:t>Hudson v. Palmer</w:t>
            </w:r>
          </w:p>
        </w:tc>
        <w:tc>
          <w:tcPr>
            <w:tcW w:w="197" w:type="pct"/>
            <w:shd w:val="clear" w:color="auto" w:fill="FFFFFF" w:themeFill="background1"/>
            <w:textDirection w:val="tbRl"/>
            <w:vAlign w:val="center"/>
          </w:tcPr>
          <w:p w14:paraId="4C5484BD" w14:textId="77777777" w:rsidR="00074551" w:rsidRPr="00E50B51" w:rsidRDefault="00074551" w:rsidP="00367133">
            <w:pPr>
              <w:ind w:left="113" w:right="113"/>
              <w:jc w:val="both"/>
              <w:rPr>
                <w:sz w:val="20"/>
                <w:szCs w:val="20"/>
              </w:rPr>
            </w:pPr>
            <w:r w:rsidRPr="00E50B51">
              <w:rPr>
                <w:sz w:val="20"/>
                <w:szCs w:val="20"/>
              </w:rPr>
              <w:t>468 U.S. 517</w:t>
            </w:r>
          </w:p>
        </w:tc>
        <w:tc>
          <w:tcPr>
            <w:tcW w:w="306" w:type="pct"/>
            <w:shd w:val="clear" w:color="auto" w:fill="FFFFFF" w:themeFill="background1"/>
            <w:textDirection w:val="tbRl"/>
            <w:vAlign w:val="center"/>
          </w:tcPr>
          <w:p w14:paraId="61753674" w14:textId="77777777" w:rsidR="00074551" w:rsidRPr="00E50B51" w:rsidRDefault="00074551" w:rsidP="00367133">
            <w:pPr>
              <w:ind w:left="113" w:right="113"/>
              <w:jc w:val="both"/>
              <w:rPr>
                <w:sz w:val="20"/>
                <w:szCs w:val="20"/>
              </w:rPr>
            </w:pPr>
            <w:r w:rsidRPr="00E50B51">
              <w:rPr>
                <w:sz w:val="20"/>
                <w:szCs w:val="20"/>
              </w:rPr>
              <w:t>3. Juli 1984</w:t>
            </w:r>
          </w:p>
        </w:tc>
        <w:tc>
          <w:tcPr>
            <w:tcW w:w="401" w:type="pct"/>
            <w:shd w:val="clear" w:color="auto" w:fill="FFFFFF" w:themeFill="background1"/>
          </w:tcPr>
          <w:p w14:paraId="68B6DA47" w14:textId="77777777" w:rsidR="00074551" w:rsidRPr="00E50B51" w:rsidRDefault="00074551" w:rsidP="00367133">
            <w:pPr>
              <w:jc w:val="center"/>
              <w:rPr>
                <w:sz w:val="20"/>
                <w:szCs w:val="20"/>
              </w:rPr>
            </w:pPr>
            <w:r w:rsidRPr="00E50B51">
              <w:rPr>
                <w:sz w:val="20"/>
                <w:szCs w:val="20"/>
              </w:rPr>
              <w:t>D</w:t>
            </w:r>
          </w:p>
        </w:tc>
        <w:tc>
          <w:tcPr>
            <w:tcW w:w="1594" w:type="pct"/>
            <w:shd w:val="clear" w:color="auto" w:fill="FFFFFF" w:themeFill="background1"/>
          </w:tcPr>
          <w:p w14:paraId="49E0C356" w14:textId="77777777" w:rsidR="00074551" w:rsidRDefault="00074551" w:rsidP="00367133">
            <w:pPr>
              <w:jc w:val="both"/>
              <w:rPr>
                <w:sz w:val="20"/>
                <w:szCs w:val="20"/>
              </w:rPr>
            </w:pPr>
            <w:r>
              <w:rPr>
                <w:sz w:val="20"/>
                <w:szCs w:val="20"/>
              </w:rPr>
              <w:t>*</w:t>
            </w:r>
          </w:p>
        </w:tc>
        <w:tc>
          <w:tcPr>
            <w:tcW w:w="1822" w:type="pct"/>
            <w:shd w:val="clear" w:color="auto" w:fill="FFFFFF" w:themeFill="background1"/>
          </w:tcPr>
          <w:p w14:paraId="4EB2A983" w14:textId="0CE96762" w:rsidR="00074551" w:rsidRPr="00F03464" w:rsidRDefault="00074551" w:rsidP="00367133">
            <w:pPr>
              <w:jc w:val="both"/>
              <w:rPr>
                <w:sz w:val="20"/>
                <w:szCs w:val="20"/>
              </w:rPr>
            </w:pPr>
            <w:r w:rsidRPr="00F03464">
              <w:rPr>
                <w:sz w:val="20"/>
                <w:szCs w:val="20"/>
              </w:rPr>
              <w:t xml:space="preserve">In </w:t>
            </w:r>
            <w:r w:rsidRPr="5B67C1D2">
              <w:rPr>
                <w:i/>
                <w:iCs/>
                <w:sz w:val="20"/>
                <w:szCs w:val="20"/>
              </w:rPr>
              <w:t>Hudson v. Palmer</w:t>
            </w:r>
            <w:r w:rsidRPr="00F03464">
              <w:rPr>
                <w:sz w:val="20"/>
                <w:szCs w:val="20"/>
              </w:rPr>
              <w:t xml:space="preserve"> erklärt der </w:t>
            </w:r>
            <w:r w:rsidR="7CC3BDE8">
              <w:rPr>
                <w:sz w:val="20"/>
                <w:szCs w:val="20"/>
              </w:rPr>
              <w:t>Dissens</w:t>
            </w:r>
            <w:r w:rsidRPr="5B67C1D2">
              <w:rPr>
                <w:sz w:val="20"/>
                <w:szCs w:val="20"/>
              </w:rPr>
              <w:t xml:space="preserve">, dass ein Rechtsschutz für Freiheitsverstöße („the </w:t>
            </w:r>
            <w:proofErr w:type="spellStart"/>
            <w:r w:rsidRPr="5B67C1D2">
              <w:rPr>
                <w:sz w:val="20"/>
                <w:szCs w:val="20"/>
              </w:rPr>
              <w:t>courts</w:t>
            </w:r>
            <w:proofErr w:type="spellEnd"/>
            <w:r w:rsidRPr="5B67C1D2">
              <w:rPr>
                <w:sz w:val="20"/>
                <w:szCs w:val="20"/>
              </w:rPr>
              <w:t xml:space="preserve"> […] </w:t>
            </w:r>
            <w:proofErr w:type="spellStart"/>
            <w:r w:rsidRPr="5B67C1D2">
              <w:rPr>
                <w:sz w:val="20"/>
                <w:szCs w:val="20"/>
              </w:rPr>
              <w:t>have</w:t>
            </w:r>
            <w:proofErr w:type="spellEnd"/>
            <w:r w:rsidRPr="5B67C1D2">
              <w:rPr>
                <w:sz w:val="20"/>
                <w:szCs w:val="20"/>
              </w:rPr>
              <w:t xml:space="preserve"> a </w:t>
            </w:r>
            <w:proofErr w:type="spellStart"/>
            <w:r w:rsidRPr="5B67C1D2">
              <w:rPr>
                <w:sz w:val="20"/>
                <w:szCs w:val="20"/>
              </w:rPr>
              <w:t>special</w:t>
            </w:r>
            <w:proofErr w:type="spellEnd"/>
            <w:r w:rsidRPr="5B67C1D2">
              <w:rPr>
                <w:sz w:val="20"/>
                <w:szCs w:val="20"/>
              </w:rPr>
              <w:t xml:space="preserve"> </w:t>
            </w:r>
            <w:proofErr w:type="spellStart"/>
            <w:r w:rsidRPr="5B67C1D2">
              <w:rPr>
                <w:sz w:val="20"/>
                <w:szCs w:val="20"/>
              </w:rPr>
              <w:t>obligation</w:t>
            </w:r>
            <w:proofErr w:type="spellEnd"/>
            <w:r w:rsidRPr="5B67C1D2">
              <w:rPr>
                <w:sz w:val="20"/>
                <w:szCs w:val="20"/>
              </w:rPr>
              <w:t xml:space="preserve"> to </w:t>
            </w:r>
            <w:proofErr w:type="spellStart"/>
            <w:r w:rsidRPr="5B67C1D2">
              <w:rPr>
                <w:sz w:val="20"/>
                <w:szCs w:val="20"/>
              </w:rPr>
              <w:t>protect</w:t>
            </w:r>
            <w:proofErr w:type="spellEnd"/>
            <w:r w:rsidRPr="5B67C1D2">
              <w:rPr>
                <w:sz w:val="20"/>
                <w:szCs w:val="20"/>
              </w:rPr>
              <w:t>“</w:t>
            </w:r>
            <w:r w:rsidRPr="5B67C1D2">
              <w:rPr>
                <w:sz w:val="20"/>
                <w:szCs w:val="20"/>
                <w:vertAlign w:val="superscript"/>
              </w:rPr>
              <w:footnoteReference w:id="931"/>
            </w:r>
            <w:r w:rsidRPr="5B67C1D2">
              <w:rPr>
                <w:sz w:val="20"/>
                <w:szCs w:val="20"/>
              </w:rPr>
              <w:t xml:space="preserve">) eine Bedingung für das </w:t>
            </w:r>
            <w:proofErr w:type="spellStart"/>
            <w:r w:rsidRPr="5B67C1D2">
              <w:rPr>
                <w:i/>
                <w:iCs/>
                <w:sz w:val="20"/>
                <w:szCs w:val="20"/>
              </w:rPr>
              <w:t>pursuit</w:t>
            </w:r>
            <w:proofErr w:type="spellEnd"/>
            <w:r w:rsidRPr="5B67C1D2">
              <w:rPr>
                <w:i/>
                <w:iCs/>
                <w:sz w:val="20"/>
                <w:szCs w:val="20"/>
              </w:rPr>
              <w:t xml:space="preserve"> of Happiness</w:t>
            </w:r>
            <w:r w:rsidRPr="5B67C1D2">
              <w:rPr>
                <w:sz w:val="20"/>
                <w:szCs w:val="20"/>
              </w:rPr>
              <w:t xml:space="preserve"> sei. Wenn beispielsweise eine Durchsuchung ungerechtfertigt sei</w:t>
            </w:r>
            <w:r w:rsidR="1C13E714" w:rsidRPr="5B67C1D2">
              <w:rPr>
                <w:sz w:val="20"/>
                <w:szCs w:val="20"/>
              </w:rPr>
              <w:t xml:space="preserve">, was der SCOTUS </w:t>
            </w:r>
            <w:r w:rsidR="2FD62F94" w:rsidRPr="5B67C1D2">
              <w:rPr>
                <w:sz w:val="20"/>
                <w:szCs w:val="20"/>
              </w:rPr>
              <w:t xml:space="preserve">nach der Mehrheitsmeinung </w:t>
            </w:r>
            <w:r w:rsidR="1C13E714" w:rsidRPr="5B67C1D2">
              <w:rPr>
                <w:sz w:val="20"/>
                <w:szCs w:val="20"/>
              </w:rPr>
              <w:t xml:space="preserve">im konkreten Fall </w:t>
            </w:r>
            <w:r w:rsidR="376E7693" w:rsidRPr="5B67C1D2">
              <w:rPr>
                <w:sz w:val="20"/>
                <w:szCs w:val="20"/>
              </w:rPr>
              <w:t>zwa</w:t>
            </w:r>
            <w:r w:rsidR="1C13E714" w:rsidRPr="5B67C1D2">
              <w:rPr>
                <w:sz w:val="20"/>
                <w:szCs w:val="20"/>
              </w:rPr>
              <w:t>r nicht annahm</w:t>
            </w:r>
            <w:r w:rsidR="3CE49E09" w:rsidRPr="5B67C1D2">
              <w:rPr>
                <w:sz w:val="20"/>
                <w:szCs w:val="20"/>
              </w:rPr>
              <w:t xml:space="preserve"> aber grundsätzlich für möglich erachtete</w:t>
            </w:r>
            <w:r w:rsidRPr="5B67C1D2">
              <w:rPr>
                <w:sz w:val="20"/>
                <w:szCs w:val="20"/>
              </w:rPr>
              <w:t xml:space="preserve">, dann verstoße sie gegen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Denn das Amendment schütze konstitutionelle Prinzipien wie die Freiheit des Einzelnen; solche Prinzipien bestimmten sich dadurch, dass sie das </w:t>
            </w:r>
            <w:proofErr w:type="spellStart"/>
            <w:r w:rsidRPr="5B67C1D2">
              <w:rPr>
                <w:i/>
                <w:iCs/>
                <w:sz w:val="20"/>
                <w:szCs w:val="20"/>
              </w:rPr>
              <w:t>pursuit</w:t>
            </w:r>
            <w:proofErr w:type="spellEnd"/>
            <w:r w:rsidRPr="5B67C1D2">
              <w:rPr>
                <w:i/>
                <w:iCs/>
                <w:sz w:val="20"/>
                <w:szCs w:val="20"/>
              </w:rPr>
              <w:t xml:space="preserve"> of Happiness </w:t>
            </w:r>
            <w:r w:rsidRPr="5B67C1D2">
              <w:rPr>
                <w:sz w:val="20"/>
                <w:szCs w:val="20"/>
              </w:rPr>
              <w:t>bedingten. Und damit gegen eine solche ungerechtfertigte Durchsuchung, die gegen konstitutionelle Prinzipien verstieße, konkreter Schutz bestehe, hätten die Gerichte Rechtsschutzmöglichkeiten eröffnet, auch als Ausdruck der Petitionsfreiheit („</w:t>
            </w:r>
            <w:proofErr w:type="spellStart"/>
            <w:r w:rsidRPr="5B67C1D2">
              <w:rPr>
                <w:sz w:val="20"/>
                <w:szCs w:val="20"/>
              </w:rPr>
              <w:t>freedom</w:t>
            </w:r>
            <w:proofErr w:type="spellEnd"/>
            <w:r w:rsidRPr="5B67C1D2">
              <w:rPr>
                <w:sz w:val="20"/>
                <w:szCs w:val="20"/>
              </w:rPr>
              <w:t xml:space="preserve"> of </w:t>
            </w:r>
            <w:proofErr w:type="spellStart"/>
            <w:r w:rsidRPr="5B67C1D2">
              <w:rPr>
                <w:sz w:val="20"/>
                <w:szCs w:val="20"/>
              </w:rPr>
              <w:t>petition</w:t>
            </w:r>
            <w:proofErr w:type="spellEnd"/>
            <w:r w:rsidRPr="5B67C1D2">
              <w:rPr>
                <w:sz w:val="20"/>
                <w:szCs w:val="20"/>
              </w:rPr>
              <w:t>“</w:t>
            </w:r>
            <w:r w:rsidRPr="5B67C1D2">
              <w:rPr>
                <w:sz w:val="20"/>
                <w:szCs w:val="20"/>
                <w:vertAlign w:val="superscript"/>
              </w:rPr>
              <w:t xml:space="preserve"> </w:t>
            </w:r>
            <w:r w:rsidRPr="5B67C1D2">
              <w:rPr>
                <w:sz w:val="20"/>
                <w:szCs w:val="20"/>
                <w:vertAlign w:val="superscript"/>
              </w:rPr>
              <w:footnoteReference w:id="932"/>
            </w:r>
            <w:r w:rsidRPr="5B67C1D2">
              <w:rPr>
                <w:sz w:val="20"/>
                <w:szCs w:val="20"/>
              </w:rPr>
              <w:t>).</w:t>
            </w:r>
            <w:r w:rsidRPr="5B67C1D2">
              <w:rPr>
                <w:sz w:val="20"/>
                <w:szCs w:val="20"/>
                <w:vertAlign w:val="superscript"/>
              </w:rPr>
              <w:t xml:space="preserve"> </w:t>
            </w:r>
          </w:p>
          <w:p w14:paraId="371DD650" w14:textId="77777777" w:rsidR="00074551" w:rsidRPr="00E50B51" w:rsidRDefault="00074551" w:rsidP="00367133">
            <w:pPr>
              <w:jc w:val="both"/>
              <w:rPr>
                <w:sz w:val="20"/>
                <w:szCs w:val="20"/>
              </w:rPr>
            </w:pPr>
          </w:p>
        </w:tc>
      </w:tr>
      <w:tr w:rsidR="00074551" w:rsidRPr="00E50B51" w14:paraId="61476634" w14:textId="77777777" w:rsidTr="0089283E">
        <w:trPr>
          <w:cantSplit/>
          <w:trHeight w:val="3175"/>
        </w:trPr>
        <w:tc>
          <w:tcPr>
            <w:tcW w:w="293" w:type="pct"/>
            <w:shd w:val="clear" w:color="auto" w:fill="E7E6E6" w:themeFill="background2"/>
          </w:tcPr>
          <w:p w14:paraId="1BEB2201"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26844261"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3AF337B0" w14:textId="77777777" w:rsidR="00074551" w:rsidRPr="00E50B51" w:rsidRDefault="00074551" w:rsidP="00367133">
            <w:pPr>
              <w:ind w:left="113" w:right="113"/>
              <w:jc w:val="both"/>
              <w:rPr>
                <w:sz w:val="20"/>
                <w:szCs w:val="20"/>
              </w:rPr>
            </w:pPr>
            <w:r w:rsidRPr="00E50B51">
              <w:rPr>
                <w:sz w:val="20"/>
                <w:szCs w:val="20"/>
              </w:rPr>
              <w:t>Freedom of Press</w:t>
            </w:r>
          </w:p>
        </w:tc>
        <w:tc>
          <w:tcPr>
            <w:tcW w:w="306" w:type="pct"/>
            <w:shd w:val="clear" w:color="auto" w:fill="E7E6E6" w:themeFill="background2"/>
            <w:textDirection w:val="tbRl"/>
            <w:vAlign w:val="center"/>
          </w:tcPr>
          <w:p w14:paraId="1FAC3A79"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2D4BFE23"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76157CF" w14:textId="77777777" w:rsidR="00074551" w:rsidRPr="00E50B51" w:rsidRDefault="00074551" w:rsidP="00367133">
            <w:pPr>
              <w:jc w:val="both"/>
              <w:rPr>
                <w:sz w:val="20"/>
                <w:szCs w:val="20"/>
              </w:rPr>
            </w:pPr>
          </w:p>
        </w:tc>
        <w:tc>
          <w:tcPr>
            <w:tcW w:w="1822" w:type="pct"/>
            <w:shd w:val="clear" w:color="auto" w:fill="E7E6E6" w:themeFill="background2"/>
          </w:tcPr>
          <w:p w14:paraId="4C728AE6" w14:textId="3BC89C58"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59254D2E" w14:textId="77777777" w:rsidTr="00BE689F">
        <w:trPr>
          <w:cantSplit/>
          <w:trHeight w:val="3175"/>
        </w:trPr>
        <w:tc>
          <w:tcPr>
            <w:tcW w:w="293" w:type="pct"/>
          </w:tcPr>
          <w:p w14:paraId="0B28D221"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811EB6B" w14:textId="77777777" w:rsidR="00074551" w:rsidRPr="00B45592" w:rsidRDefault="00074551" w:rsidP="00367133">
            <w:pPr>
              <w:ind w:left="113" w:right="416"/>
              <w:jc w:val="both"/>
              <w:rPr>
                <w:i/>
                <w:sz w:val="20"/>
                <w:szCs w:val="20"/>
                <w:lang w:val="en-US"/>
              </w:rPr>
            </w:pPr>
            <w:r w:rsidRPr="00B45592">
              <w:rPr>
                <w:i/>
                <w:sz w:val="20"/>
                <w:szCs w:val="20"/>
                <w:lang w:val="en-US"/>
              </w:rPr>
              <w:t xml:space="preserve">American Communications </w:t>
            </w:r>
            <w:proofErr w:type="spellStart"/>
            <w:r w:rsidRPr="00B45592">
              <w:rPr>
                <w:i/>
                <w:sz w:val="20"/>
                <w:szCs w:val="20"/>
                <w:lang w:val="en-US"/>
              </w:rPr>
              <w:t>Ass’n</w:t>
            </w:r>
            <w:proofErr w:type="spellEnd"/>
            <w:r w:rsidRPr="00B45592">
              <w:rPr>
                <w:i/>
                <w:sz w:val="20"/>
                <w:szCs w:val="20"/>
                <w:lang w:val="en-US"/>
              </w:rPr>
              <w:t xml:space="preserve"> v. Douds</w:t>
            </w:r>
          </w:p>
        </w:tc>
        <w:tc>
          <w:tcPr>
            <w:tcW w:w="197" w:type="pct"/>
            <w:textDirection w:val="tbRl"/>
            <w:vAlign w:val="center"/>
          </w:tcPr>
          <w:p w14:paraId="228140E3" w14:textId="77777777" w:rsidR="00074551" w:rsidRPr="00E50B51" w:rsidRDefault="00074551" w:rsidP="00367133">
            <w:pPr>
              <w:ind w:left="113" w:right="113"/>
              <w:jc w:val="both"/>
              <w:rPr>
                <w:sz w:val="20"/>
                <w:szCs w:val="20"/>
                <w:lang w:val="en-US"/>
              </w:rPr>
            </w:pPr>
            <w:r w:rsidRPr="00E50B51">
              <w:rPr>
                <w:sz w:val="20"/>
                <w:szCs w:val="20"/>
                <w:lang w:val="en-US"/>
              </w:rPr>
              <w:t>339 U.S. 382</w:t>
            </w:r>
          </w:p>
        </w:tc>
        <w:tc>
          <w:tcPr>
            <w:tcW w:w="306" w:type="pct"/>
            <w:textDirection w:val="tbRl"/>
            <w:vAlign w:val="center"/>
          </w:tcPr>
          <w:p w14:paraId="53A31636" w14:textId="77777777" w:rsidR="00074551" w:rsidRPr="00E50B51" w:rsidRDefault="00074551" w:rsidP="00367133">
            <w:pPr>
              <w:ind w:left="113" w:right="113"/>
              <w:jc w:val="both"/>
              <w:rPr>
                <w:sz w:val="20"/>
                <w:szCs w:val="20"/>
              </w:rPr>
            </w:pPr>
            <w:r w:rsidRPr="00E50B51">
              <w:rPr>
                <w:sz w:val="20"/>
                <w:szCs w:val="20"/>
              </w:rPr>
              <w:t>8. Mai 1950</w:t>
            </w:r>
          </w:p>
          <w:p w14:paraId="3297F5FA" w14:textId="77777777" w:rsidR="00074551" w:rsidRPr="00E50B51" w:rsidRDefault="00074551" w:rsidP="00367133">
            <w:pPr>
              <w:ind w:left="113" w:right="113"/>
              <w:jc w:val="both"/>
              <w:rPr>
                <w:sz w:val="20"/>
                <w:szCs w:val="20"/>
              </w:rPr>
            </w:pPr>
          </w:p>
        </w:tc>
        <w:tc>
          <w:tcPr>
            <w:tcW w:w="401" w:type="pct"/>
          </w:tcPr>
          <w:p w14:paraId="0AC441EE" w14:textId="77777777" w:rsidR="00074551" w:rsidRPr="00E50B51" w:rsidRDefault="00074551" w:rsidP="00367133">
            <w:pPr>
              <w:jc w:val="center"/>
              <w:rPr>
                <w:sz w:val="20"/>
                <w:szCs w:val="20"/>
              </w:rPr>
            </w:pPr>
            <w:r w:rsidRPr="00E50B51">
              <w:rPr>
                <w:sz w:val="20"/>
                <w:szCs w:val="20"/>
              </w:rPr>
              <w:t>D</w:t>
            </w:r>
          </w:p>
        </w:tc>
        <w:tc>
          <w:tcPr>
            <w:tcW w:w="1594" w:type="pct"/>
          </w:tcPr>
          <w:p w14:paraId="2621ED3A" w14:textId="77777777" w:rsidR="00074551" w:rsidRPr="00E50B51" w:rsidRDefault="00074551" w:rsidP="00367133">
            <w:pPr>
              <w:jc w:val="both"/>
              <w:rPr>
                <w:sz w:val="20"/>
                <w:szCs w:val="20"/>
              </w:rPr>
            </w:pPr>
            <w:r w:rsidRPr="00E50B51">
              <w:rPr>
                <w:sz w:val="20"/>
                <w:szCs w:val="20"/>
              </w:rPr>
              <w:t>*</w:t>
            </w:r>
          </w:p>
        </w:tc>
        <w:tc>
          <w:tcPr>
            <w:tcW w:w="1822" w:type="pct"/>
          </w:tcPr>
          <w:p w14:paraId="7E969286" w14:textId="77777777" w:rsidR="00074551" w:rsidRDefault="00074551" w:rsidP="00367133">
            <w:pPr>
              <w:jc w:val="both"/>
              <w:rPr>
                <w:sz w:val="20"/>
                <w:szCs w:val="20"/>
              </w:rPr>
            </w:pPr>
            <w:r w:rsidRPr="005E6843">
              <w:rPr>
                <w:sz w:val="20"/>
                <w:szCs w:val="20"/>
              </w:rPr>
              <w:t xml:space="preserve">In </w:t>
            </w:r>
            <w:r w:rsidRPr="5B67C1D2">
              <w:rPr>
                <w:i/>
                <w:iCs/>
                <w:sz w:val="20"/>
                <w:szCs w:val="20"/>
              </w:rPr>
              <w:t xml:space="preserve">American Communications </w:t>
            </w:r>
            <w:proofErr w:type="spellStart"/>
            <w:r w:rsidRPr="5B67C1D2">
              <w:rPr>
                <w:i/>
                <w:iCs/>
                <w:sz w:val="20"/>
                <w:szCs w:val="20"/>
              </w:rPr>
              <w:t>Ass’n</w:t>
            </w:r>
            <w:proofErr w:type="spellEnd"/>
            <w:r w:rsidRPr="5B67C1D2">
              <w:rPr>
                <w:i/>
                <w:iCs/>
                <w:sz w:val="20"/>
                <w:szCs w:val="20"/>
              </w:rPr>
              <w:t xml:space="preserve"> v. Douds</w:t>
            </w:r>
            <w:r w:rsidRPr="005E6843">
              <w:rPr>
                <w:sz w:val="20"/>
                <w:szCs w:val="20"/>
              </w:rPr>
              <w:t xml:space="preserve"> äußerte der Dissens</w:t>
            </w:r>
            <w:r>
              <w:rPr>
                <w:sz w:val="20"/>
                <w:szCs w:val="20"/>
              </w:rPr>
              <w:t>,</w:t>
            </w:r>
            <w:r w:rsidRPr="005E6843">
              <w:rPr>
                <w:sz w:val="20"/>
                <w:szCs w:val="20"/>
              </w:rPr>
              <w:t xml:space="preserve"> für Regierungen sei es notwendig, Bedingungen für ein Streben nach Glück errichten, damit sie sich legitimieren, wobei diese Legitimation bzw. </w:t>
            </w:r>
            <w:r>
              <w:rPr>
                <w:sz w:val="20"/>
                <w:szCs w:val="20"/>
              </w:rPr>
              <w:t xml:space="preserve">Überlegungen dazu </w:t>
            </w:r>
            <w:r w:rsidRPr="005E6843">
              <w:rPr>
                <w:sz w:val="20"/>
                <w:szCs w:val="20"/>
              </w:rPr>
              <w:t>Folgefreiheiten wie die Pressefreiheit</w:t>
            </w:r>
            <w:r>
              <w:rPr>
                <w:sz w:val="20"/>
                <w:szCs w:val="20"/>
              </w:rPr>
              <w:t xml:space="preserve"> </w:t>
            </w:r>
            <w:r w:rsidRPr="005E6843">
              <w:rPr>
                <w:sz w:val="20"/>
                <w:szCs w:val="20"/>
              </w:rPr>
              <w:t>beding</w:t>
            </w:r>
            <w:r>
              <w:rPr>
                <w:sz w:val="20"/>
                <w:szCs w:val="20"/>
              </w:rPr>
              <w:t>ten</w:t>
            </w:r>
            <w:r w:rsidRPr="005E6843">
              <w:rPr>
                <w:sz w:val="20"/>
                <w:szCs w:val="20"/>
              </w:rPr>
              <w:t xml:space="preserve">. </w:t>
            </w:r>
            <w:r w:rsidRPr="00FC2364">
              <w:rPr>
                <w:sz w:val="20"/>
                <w:szCs w:val="20"/>
              </w:rPr>
              <w:t xml:space="preserve">In der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5E6843">
              <w:rPr>
                <w:sz w:val="20"/>
                <w:szCs w:val="20"/>
              </w:rPr>
              <w:t xml:space="preserve">, aber auch einer dem </w:t>
            </w:r>
            <w:proofErr w:type="spellStart"/>
            <w:r w:rsidRPr="5B67C1D2">
              <w:rPr>
                <w:i/>
                <w:iCs/>
                <w:sz w:val="20"/>
                <w:szCs w:val="20"/>
              </w:rPr>
              <w:t>orbiter</w:t>
            </w:r>
            <w:proofErr w:type="spellEnd"/>
            <w:r w:rsidRPr="5B67C1D2">
              <w:rPr>
                <w:i/>
                <w:iCs/>
                <w:sz w:val="20"/>
                <w:szCs w:val="20"/>
              </w:rPr>
              <w:t xml:space="preserve"> </w:t>
            </w:r>
            <w:proofErr w:type="spellStart"/>
            <w:r w:rsidRPr="5B67C1D2">
              <w:rPr>
                <w:i/>
                <w:iCs/>
                <w:sz w:val="20"/>
                <w:szCs w:val="20"/>
              </w:rPr>
              <w:t>dictum</w:t>
            </w:r>
            <w:proofErr w:type="spellEnd"/>
            <w:r w:rsidRPr="005E6843">
              <w:rPr>
                <w:sz w:val="20"/>
                <w:szCs w:val="20"/>
              </w:rPr>
              <w:t xml:space="preserve"> anmutenden Einlassung, </w:t>
            </w:r>
            <w:r>
              <w:rPr>
                <w:sz w:val="20"/>
                <w:szCs w:val="20"/>
              </w:rPr>
              <w:t>erläutern</w:t>
            </w:r>
            <w:r w:rsidRPr="00FC2364">
              <w:rPr>
                <w:sz w:val="20"/>
                <w:szCs w:val="20"/>
              </w:rPr>
              <w:t xml:space="preserve"> </w:t>
            </w:r>
            <w:r w:rsidRPr="005E6843">
              <w:rPr>
                <w:sz w:val="20"/>
                <w:szCs w:val="20"/>
              </w:rPr>
              <w:t xml:space="preserve">die Richter </w:t>
            </w:r>
            <w:r w:rsidRPr="5B67C1D2">
              <w:rPr>
                <w:i/>
                <w:iCs/>
                <w:sz w:val="20"/>
                <w:szCs w:val="20"/>
              </w:rPr>
              <w:t>Black</w:t>
            </w:r>
            <w:r w:rsidRPr="00FC2364">
              <w:rPr>
                <w:sz w:val="20"/>
                <w:szCs w:val="20"/>
              </w:rPr>
              <w:t xml:space="preserve"> und </w:t>
            </w:r>
            <w:r w:rsidRPr="5B67C1D2">
              <w:rPr>
                <w:i/>
                <w:iCs/>
                <w:sz w:val="20"/>
                <w:szCs w:val="20"/>
              </w:rPr>
              <w:t>Jackson</w:t>
            </w:r>
            <w:r w:rsidRPr="005E6843">
              <w:rPr>
                <w:sz w:val="20"/>
                <w:szCs w:val="20"/>
              </w:rPr>
              <w:t xml:space="preserve"> zunächst</w:t>
            </w:r>
            <w:r w:rsidRPr="00FC2364">
              <w:rPr>
                <w:sz w:val="20"/>
                <w:szCs w:val="20"/>
              </w:rPr>
              <w:t xml:space="preserve">, unter welchen Voraussetzungen sie Revolutionen als gerechtfertigt ansehen. </w:t>
            </w:r>
            <w:r>
              <w:rPr>
                <w:sz w:val="20"/>
                <w:szCs w:val="20"/>
              </w:rPr>
              <w:t>U.a.</w:t>
            </w:r>
            <w:r w:rsidRPr="005E6843">
              <w:rPr>
                <w:sz w:val="20"/>
                <w:szCs w:val="20"/>
              </w:rPr>
              <w:t xml:space="preserve"> die</w:t>
            </w:r>
            <w:r w:rsidRPr="00FC2364">
              <w:rPr>
                <w:sz w:val="20"/>
                <w:szCs w:val="20"/>
              </w:rPr>
              <w:t xml:space="preserve"> Naturrechte (</w:t>
            </w:r>
            <w:r w:rsidRPr="005E6843">
              <w:rPr>
                <w:sz w:val="20"/>
                <w:szCs w:val="20"/>
              </w:rPr>
              <w:t>„</w:t>
            </w:r>
            <w:proofErr w:type="spellStart"/>
            <w:r w:rsidRPr="00FC2364">
              <w:rPr>
                <w:sz w:val="20"/>
                <w:szCs w:val="20"/>
              </w:rPr>
              <w:t>natural</w:t>
            </w:r>
            <w:proofErr w:type="spellEnd"/>
            <w:r w:rsidRPr="00FC2364">
              <w:rPr>
                <w:sz w:val="20"/>
                <w:szCs w:val="20"/>
              </w:rPr>
              <w:t xml:space="preserve"> </w:t>
            </w:r>
            <w:proofErr w:type="spellStart"/>
            <w:r w:rsidRPr="00FC2364">
              <w:rPr>
                <w:sz w:val="20"/>
                <w:szCs w:val="20"/>
              </w:rPr>
              <w:t>law</w:t>
            </w:r>
            <w:proofErr w:type="spellEnd"/>
            <w:r w:rsidRPr="005E6843">
              <w:rPr>
                <w:sz w:val="20"/>
                <w:szCs w:val="20"/>
              </w:rPr>
              <w:t>“</w:t>
            </w:r>
            <w:r w:rsidRPr="005E6843">
              <w:rPr>
                <w:sz w:val="20"/>
                <w:szCs w:val="20"/>
                <w:vertAlign w:val="superscript"/>
              </w:rPr>
              <w:footnoteReference w:id="933"/>
            </w:r>
            <w:r w:rsidRPr="00FC2364">
              <w:rPr>
                <w:sz w:val="20"/>
                <w:szCs w:val="20"/>
              </w:rPr>
              <w:t xml:space="preserve">) </w:t>
            </w:r>
            <w:r w:rsidRPr="005E6843">
              <w:rPr>
                <w:sz w:val="20"/>
                <w:szCs w:val="20"/>
              </w:rPr>
              <w:t>rechtfertig</w:t>
            </w:r>
            <w:r>
              <w:rPr>
                <w:sz w:val="20"/>
                <w:szCs w:val="20"/>
              </w:rPr>
              <w:t>t</w:t>
            </w:r>
            <w:r w:rsidRPr="005E6843">
              <w:rPr>
                <w:sz w:val="20"/>
                <w:szCs w:val="20"/>
              </w:rPr>
              <w:t>en Revolutionen; sie stamm</w:t>
            </w:r>
            <w:r>
              <w:rPr>
                <w:sz w:val="20"/>
                <w:szCs w:val="20"/>
              </w:rPr>
              <w:t>t</w:t>
            </w:r>
            <w:r w:rsidRPr="005E6843">
              <w:rPr>
                <w:sz w:val="20"/>
                <w:szCs w:val="20"/>
              </w:rPr>
              <w:t xml:space="preserve">en aus </w:t>
            </w:r>
            <w:r w:rsidRPr="00FC2364">
              <w:rPr>
                <w:sz w:val="20"/>
                <w:szCs w:val="20"/>
              </w:rPr>
              <w:t xml:space="preserve">der </w:t>
            </w:r>
            <w:r w:rsidRPr="5B67C1D2">
              <w:rPr>
                <w:i/>
                <w:iCs/>
                <w:sz w:val="20"/>
                <w:szCs w:val="20"/>
              </w:rPr>
              <w:t>Declaration of Independence</w:t>
            </w:r>
            <w:r w:rsidRPr="00FC2364">
              <w:rPr>
                <w:sz w:val="20"/>
                <w:szCs w:val="20"/>
              </w:rPr>
              <w:t>.</w:t>
            </w:r>
            <w:r w:rsidRPr="005E6843">
              <w:rPr>
                <w:sz w:val="20"/>
                <w:szCs w:val="20"/>
              </w:rPr>
              <w:t>, dem Dokument, das die Grundlage der Freiheit darstelle. Die Formel der Rechtfertigung einer Revolution laute:</w:t>
            </w:r>
            <w:r w:rsidRPr="00FC2364">
              <w:rPr>
                <w:sz w:val="20"/>
                <w:szCs w:val="20"/>
              </w:rPr>
              <w:t xml:space="preserve"> </w:t>
            </w:r>
            <w:r w:rsidRPr="005E6843">
              <w:rPr>
                <w:sz w:val="20"/>
                <w:szCs w:val="20"/>
              </w:rPr>
              <w:t>W</w:t>
            </w:r>
            <w:r w:rsidRPr="00FC2364">
              <w:rPr>
                <w:sz w:val="20"/>
                <w:szCs w:val="20"/>
              </w:rPr>
              <w:t xml:space="preserve">enn eine Regierung </w:t>
            </w:r>
            <w:r w:rsidRPr="005E6843">
              <w:rPr>
                <w:sz w:val="20"/>
                <w:szCs w:val="20"/>
              </w:rPr>
              <w:t>die Naturrechte</w:t>
            </w:r>
            <w:r w:rsidRPr="00FC2364">
              <w:rPr>
                <w:sz w:val="20"/>
                <w:szCs w:val="20"/>
              </w:rPr>
              <w:t xml:space="preserve"> in Form der Staatsziele </w:t>
            </w:r>
            <w:r w:rsidRPr="005E6843">
              <w:rPr>
                <w:sz w:val="20"/>
                <w:szCs w:val="20"/>
              </w:rPr>
              <w:t xml:space="preserve">des </w:t>
            </w:r>
            <w:r w:rsidRPr="00FC2364">
              <w:rPr>
                <w:sz w:val="20"/>
                <w:szCs w:val="20"/>
              </w:rPr>
              <w:t>Leben</w:t>
            </w:r>
            <w:r w:rsidRPr="005E6843">
              <w:rPr>
                <w:sz w:val="20"/>
                <w:szCs w:val="20"/>
              </w:rPr>
              <w:t>s</w:t>
            </w:r>
            <w:r w:rsidRPr="00FC2364">
              <w:rPr>
                <w:sz w:val="20"/>
                <w:szCs w:val="20"/>
              </w:rPr>
              <w:t>,</w:t>
            </w:r>
            <w:r w:rsidRPr="005E6843">
              <w:rPr>
                <w:sz w:val="20"/>
                <w:szCs w:val="20"/>
              </w:rPr>
              <w:t xml:space="preserve"> der</w:t>
            </w:r>
            <w:r w:rsidRPr="00FC2364">
              <w:rPr>
                <w:sz w:val="20"/>
                <w:szCs w:val="20"/>
              </w:rPr>
              <w:t xml:space="preserve"> Freiheit und </w:t>
            </w:r>
            <w:r w:rsidRPr="005E6843">
              <w:rPr>
                <w:sz w:val="20"/>
                <w:szCs w:val="20"/>
              </w:rPr>
              <w:t xml:space="preserve">des </w:t>
            </w:r>
            <w:r w:rsidRPr="00FC2364">
              <w:rPr>
                <w:sz w:val="20"/>
                <w:szCs w:val="20"/>
              </w:rPr>
              <w:t>Streben</w:t>
            </w:r>
            <w:r w:rsidRPr="005E6843">
              <w:rPr>
                <w:sz w:val="20"/>
                <w:szCs w:val="20"/>
              </w:rPr>
              <w:t>s</w:t>
            </w:r>
            <w:r w:rsidRPr="00FC2364">
              <w:rPr>
                <w:sz w:val="20"/>
                <w:szCs w:val="20"/>
              </w:rPr>
              <w:t xml:space="preserve"> nach Glück gefährde, dann habe das Volk das Recht, die Regierung zu ändern oder abzuschaffen und eine neue Regierung einzusetzen. Die soll</w:t>
            </w:r>
            <w:r>
              <w:rPr>
                <w:sz w:val="20"/>
                <w:szCs w:val="20"/>
              </w:rPr>
              <w:t>e</w:t>
            </w:r>
            <w:r w:rsidRPr="00FC2364">
              <w:rPr>
                <w:sz w:val="20"/>
                <w:szCs w:val="20"/>
              </w:rPr>
              <w:t xml:space="preserve"> dann auf solchen </w:t>
            </w:r>
            <w:r w:rsidRPr="005E6843">
              <w:rPr>
                <w:sz w:val="20"/>
                <w:szCs w:val="20"/>
              </w:rPr>
              <w:t>Zielen</w:t>
            </w:r>
            <w:r w:rsidRPr="00FC2364">
              <w:rPr>
                <w:sz w:val="20"/>
                <w:szCs w:val="20"/>
              </w:rPr>
              <w:t xml:space="preserve"> beruhen</w:t>
            </w:r>
            <w:r w:rsidRPr="005E6843">
              <w:rPr>
                <w:sz w:val="20"/>
                <w:szCs w:val="20"/>
              </w:rPr>
              <w:t xml:space="preserve">. Und ihre </w:t>
            </w:r>
            <w:r w:rsidRPr="00FC2364">
              <w:rPr>
                <w:sz w:val="20"/>
                <w:szCs w:val="20"/>
              </w:rPr>
              <w:t>Befugnisse müssten in einer Form organisiert sein, die dem Volk am ehesten geeignet erscheine, seine Sicherheit und sein Glück zu gewährleisten.</w:t>
            </w:r>
            <w:r w:rsidRPr="00FC2364">
              <w:rPr>
                <w:sz w:val="20"/>
                <w:szCs w:val="20"/>
                <w:vertAlign w:val="superscript"/>
              </w:rPr>
              <w:footnoteReference w:id="934"/>
            </w:r>
            <w:r w:rsidRPr="00FC2364">
              <w:rPr>
                <w:sz w:val="20"/>
                <w:szCs w:val="20"/>
              </w:rPr>
              <w:t xml:space="preserve"> Die Frage, ob eine Regierung </w:t>
            </w:r>
            <w:r w:rsidRPr="005E6843">
              <w:rPr>
                <w:sz w:val="20"/>
                <w:szCs w:val="20"/>
              </w:rPr>
              <w:t>also bestehen bleiben kann</w:t>
            </w:r>
            <w:r w:rsidRPr="00FC2364">
              <w:rPr>
                <w:sz w:val="20"/>
                <w:szCs w:val="20"/>
              </w:rPr>
              <w:t>,</w:t>
            </w:r>
            <w:r w:rsidRPr="005E6843">
              <w:rPr>
                <w:sz w:val="20"/>
                <w:szCs w:val="20"/>
              </w:rPr>
              <w:t xml:space="preserve"> beruhe auf den obigen Staatsziele</w:t>
            </w:r>
            <w:r>
              <w:rPr>
                <w:sz w:val="20"/>
                <w:szCs w:val="20"/>
              </w:rPr>
              <w:t>n</w:t>
            </w:r>
            <w:r w:rsidRPr="005E6843">
              <w:rPr>
                <w:sz w:val="20"/>
                <w:szCs w:val="20"/>
              </w:rPr>
              <w:t xml:space="preserve"> als Ausdruck des Naturrechts, die sich in konkreten Freiheiten wie der</w:t>
            </w:r>
            <w:r w:rsidRPr="00FC2364">
              <w:rPr>
                <w:sz w:val="20"/>
                <w:szCs w:val="20"/>
              </w:rPr>
              <w:t xml:space="preserve"> Rede-, Presse- und Versammlungsfreiheit</w:t>
            </w:r>
            <w:r w:rsidRPr="005E6843">
              <w:rPr>
                <w:sz w:val="20"/>
                <w:szCs w:val="20"/>
              </w:rPr>
              <w:t xml:space="preserve"> ausprägen</w:t>
            </w:r>
            <w:r w:rsidRPr="00FC2364">
              <w:rPr>
                <w:sz w:val="20"/>
                <w:szCs w:val="20"/>
              </w:rPr>
              <w:t xml:space="preserve"> („Freedom of </w:t>
            </w:r>
            <w:proofErr w:type="spellStart"/>
            <w:r w:rsidRPr="00FC2364">
              <w:rPr>
                <w:sz w:val="20"/>
                <w:szCs w:val="20"/>
              </w:rPr>
              <w:t>speech</w:t>
            </w:r>
            <w:proofErr w:type="spellEnd"/>
            <w:r w:rsidRPr="00FC2364">
              <w:rPr>
                <w:sz w:val="20"/>
                <w:szCs w:val="20"/>
              </w:rPr>
              <w:t xml:space="preserve">, press, and </w:t>
            </w:r>
            <w:proofErr w:type="spellStart"/>
            <w:r w:rsidRPr="00FC2364">
              <w:rPr>
                <w:sz w:val="20"/>
                <w:szCs w:val="20"/>
              </w:rPr>
              <w:t>assembly</w:t>
            </w:r>
            <w:proofErr w:type="spellEnd"/>
            <w:r w:rsidRPr="00FC2364">
              <w:rPr>
                <w:sz w:val="20"/>
                <w:szCs w:val="20"/>
              </w:rPr>
              <w:t xml:space="preserve"> </w:t>
            </w:r>
            <w:proofErr w:type="spellStart"/>
            <w:r w:rsidRPr="00FC2364">
              <w:rPr>
                <w:sz w:val="20"/>
                <w:szCs w:val="20"/>
              </w:rPr>
              <w:t>are</w:t>
            </w:r>
            <w:proofErr w:type="spellEnd"/>
            <w:r w:rsidRPr="00FC2364">
              <w:rPr>
                <w:sz w:val="20"/>
                <w:szCs w:val="20"/>
              </w:rPr>
              <w:t xml:space="preserve"> </w:t>
            </w:r>
            <w:proofErr w:type="spellStart"/>
            <w:r w:rsidRPr="00FC2364">
              <w:rPr>
                <w:sz w:val="20"/>
                <w:szCs w:val="20"/>
              </w:rPr>
              <w:t>dependent</w:t>
            </w:r>
            <w:proofErr w:type="spellEnd"/>
            <w:r w:rsidRPr="00FC2364">
              <w:rPr>
                <w:sz w:val="20"/>
                <w:szCs w:val="20"/>
              </w:rPr>
              <w:t xml:space="preserve"> upon the power of </w:t>
            </w:r>
            <w:proofErr w:type="spellStart"/>
            <w:r w:rsidRPr="00FC2364">
              <w:rPr>
                <w:sz w:val="20"/>
                <w:szCs w:val="20"/>
              </w:rPr>
              <w:t>constitutional</w:t>
            </w:r>
            <w:proofErr w:type="spellEnd"/>
            <w:r w:rsidRPr="00FC2364">
              <w:rPr>
                <w:sz w:val="20"/>
                <w:szCs w:val="20"/>
              </w:rPr>
              <w:t xml:space="preserve"> </w:t>
            </w:r>
            <w:proofErr w:type="spellStart"/>
            <w:r w:rsidRPr="00FC2364">
              <w:rPr>
                <w:sz w:val="20"/>
                <w:szCs w:val="20"/>
              </w:rPr>
              <w:t>government</w:t>
            </w:r>
            <w:proofErr w:type="spellEnd"/>
            <w:r w:rsidRPr="00FC2364">
              <w:rPr>
                <w:sz w:val="20"/>
                <w:szCs w:val="20"/>
              </w:rPr>
              <w:t xml:space="preserve"> to </w:t>
            </w:r>
            <w:proofErr w:type="spellStart"/>
            <w:r w:rsidRPr="00FC2364">
              <w:rPr>
                <w:sz w:val="20"/>
                <w:szCs w:val="20"/>
              </w:rPr>
              <w:t>survive</w:t>
            </w:r>
            <w:proofErr w:type="spellEnd"/>
            <w:r w:rsidRPr="00FC2364">
              <w:rPr>
                <w:sz w:val="20"/>
                <w:szCs w:val="20"/>
              </w:rPr>
              <w:t>“</w:t>
            </w:r>
            <w:r w:rsidRPr="00FC2364">
              <w:rPr>
                <w:sz w:val="20"/>
                <w:szCs w:val="20"/>
                <w:vertAlign w:val="superscript"/>
              </w:rPr>
              <w:footnoteReference w:id="935"/>
            </w:r>
            <w:r w:rsidRPr="00FC2364">
              <w:rPr>
                <w:sz w:val="20"/>
                <w:szCs w:val="20"/>
              </w:rPr>
              <w:t>)</w:t>
            </w:r>
            <w:r w:rsidRPr="005E6843">
              <w:rPr>
                <w:sz w:val="20"/>
                <w:szCs w:val="20"/>
              </w:rPr>
              <w:t>.</w:t>
            </w:r>
          </w:p>
          <w:p w14:paraId="71801151" w14:textId="77777777" w:rsidR="00074551" w:rsidRPr="00E50B51" w:rsidRDefault="00074551" w:rsidP="00367133">
            <w:pPr>
              <w:jc w:val="both"/>
              <w:rPr>
                <w:sz w:val="20"/>
                <w:szCs w:val="20"/>
              </w:rPr>
            </w:pPr>
          </w:p>
        </w:tc>
      </w:tr>
      <w:tr w:rsidR="00074551" w:rsidRPr="00E50B51" w14:paraId="4CBF7338" w14:textId="77777777" w:rsidTr="0089283E">
        <w:trPr>
          <w:cantSplit/>
          <w:trHeight w:val="3175"/>
        </w:trPr>
        <w:tc>
          <w:tcPr>
            <w:tcW w:w="293" w:type="pct"/>
            <w:shd w:val="clear" w:color="auto" w:fill="E7E6E6" w:themeFill="background2"/>
          </w:tcPr>
          <w:p w14:paraId="070EC830"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5D22912F"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12289750"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3A41865E" w14:textId="77777777" w:rsidR="00074551" w:rsidRPr="00E50B51" w:rsidRDefault="00074551" w:rsidP="00367133">
            <w:pPr>
              <w:ind w:left="113" w:right="113"/>
              <w:jc w:val="both"/>
              <w:rPr>
                <w:sz w:val="20"/>
                <w:szCs w:val="20"/>
              </w:rPr>
            </w:pPr>
            <w:r w:rsidRPr="00E50B51">
              <w:rPr>
                <w:sz w:val="20"/>
                <w:szCs w:val="20"/>
              </w:rPr>
              <w:t xml:space="preserve">Freedom of </w:t>
            </w:r>
            <w:proofErr w:type="spellStart"/>
            <w:r w:rsidRPr="00E50B51">
              <w:rPr>
                <w:sz w:val="20"/>
                <w:szCs w:val="20"/>
              </w:rPr>
              <w:t>Association</w:t>
            </w:r>
            <w:proofErr w:type="spellEnd"/>
          </w:p>
        </w:tc>
        <w:tc>
          <w:tcPr>
            <w:tcW w:w="306" w:type="pct"/>
            <w:shd w:val="clear" w:color="auto" w:fill="E7E6E6" w:themeFill="background2"/>
            <w:textDirection w:val="tbRl"/>
            <w:vAlign w:val="center"/>
          </w:tcPr>
          <w:p w14:paraId="7ECCA7BA"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0C4B73C6"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5A5274E" w14:textId="77777777" w:rsidR="00074551" w:rsidRPr="00E50B51" w:rsidRDefault="00074551" w:rsidP="00367133">
            <w:pPr>
              <w:jc w:val="both"/>
              <w:rPr>
                <w:sz w:val="20"/>
                <w:szCs w:val="20"/>
              </w:rPr>
            </w:pPr>
          </w:p>
        </w:tc>
        <w:tc>
          <w:tcPr>
            <w:tcW w:w="1822" w:type="pct"/>
            <w:shd w:val="clear" w:color="auto" w:fill="E7E6E6" w:themeFill="background2"/>
          </w:tcPr>
          <w:p w14:paraId="6BE1B3E6" w14:textId="1A22B62F"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6023B2FF" w14:textId="77777777" w:rsidTr="00BE689F">
        <w:trPr>
          <w:cantSplit/>
          <w:trHeight w:val="3175"/>
        </w:trPr>
        <w:tc>
          <w:tcPr>
            <w:tcW w:w="293" w:type="pct"/>
          </w:tcPr>
          <w:p w14:paraId="67B3FE2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F2979E6" w14:textId="77777777" w:rsidR="00074551" w:rsidRPr="00E50B51" w:rsidRDefault="00074551" w:rsidP="00367133">
            <w:pPr>
              <w:ind w:left="113" w:right="416"/>
              <w:jc w:val="both"/>
              <w:rPr>
                <w:sz w:val="20"/>
                <w:szCs w:val="20"/>
              </w:rPr>
            </w:pPr>
            <w:r w:rsidRPr="009167A5">
              <w:rPr>
                <w:i/>
                <w:sz w:val="20"/>
                <w:szCs w:val="20"/>
              </w:rPr>
              <w:t>Griswold v. Connecticut</w:t>
            </w:r>
          </w:p>
        </w:tc>
        <w:tc>
          <w:tcPr>
            <w:tcW w:w="197" w:type="pct"/>
            <w:textDirection w:val="tbRl"/>
            <w:vAlign w:val="center"/>
          </w:tcPr>
          <w:p w14:paraId="7536700D" w14:textId="77777777" w:rsidR="00074551" w:rsidRPr="00E50B51" w:rsidRDefault="00074551" w:rsidP="00367133">
            <w:pPr>
              <w:ind w:left="113" w:right="113"/>
              <w:jc w:val="both"/>
              <w:rPr>
                <w:sz w:val="20"/>
                <w:szCs w:val="20"/>
              </w:rPr>
            </w:pPr>
            <w:r w:rsidRPr="00E50B51">
              <w:rPr>
                <w:sz w:val="20"/>
                <w:szCs w:val="20"/>
                <w:lang w:val="en-US"/>
              </w:rPr>
              <w:t>381 U.S. 479</w:t>
            </w:r>
          </w:p>
        </w:tc>
        <w:tc>
          <w:tcPr>
            <w:tcW w:w="306" w:type="pct"/>
            <w:textDirection w:val="tbRl"/>
            <w:vAlign w:val="center"/>
          </w:tcPr>
          <w:p w14:paraId="44759A88" w14:textId="77777777" w:rsidR="00074551" w:rsidRPr="00E50B51" w:rsidRDefault="00074551" w:rsidP="00367133">
            <w:pPr>
              <w:ind w:left="113" w:right="113"/>
              <w:jc w:val="both"/>
              <w:rPr>
                <w:sz w:val="20"/>
                <w:szCs w:val="20"/>
              </w:rPr>
            </w:pPr>
            <w:r w:rsidRPr="00E50B51">
              <w:rPr>
                <w:sz w:val="20"/>
                <w:szCs w:val="20"/>
              </w:rPr>
              <w:t>7. Juni 1965</w:t>
            </w:r>
          </w:p>
        </w:tc>
        <w:tc>
          <w:tcPr>
            <w:tcW w:w="401" w:type="pct"/>
          </w:tcPr>
          <w:p w14:paraId="6EB63E54" w14:textId="77777777" w:rsidR="00074551" w:rsidRPr="00E50B51" w:rsidRDefault="00074551" w:rsidP="00367133">
            <w:pPr>
              <w:jc w:val="center"/>
              <w:rPr>
                <w:sz w:val="20"/>
                <w:szCs w:val="20"/>
              </w:rPr>
            </w:pPr>
            <w:r w:rsidRPr="00E50B51">
              <w:rPr>
                <w:sz w:val="20"/>
                <w:szCs w:val="20"/>
              </w:rPr>
              <w:t>C</w:t>
            </w:r>
          </w:p>
        </w:tc>
        <w:tc>
          <w:tcPr>
            <w:tcW w:w="1594" w:type="pct"/>
          </w:tcPr>
          <w:p w14:paraId="6081FE12" w14:textId="77777777" w:rsidR="00074551" w:rsidRPr="00E50B51" w:rsidRDefault="00074551" w:rsidP="00367133">
            <w:pPr>
              <w:jc w:val="both"/>
              <w:rPr>
                <w:sz w:val="20"/>
                <w:szCs w:val="20"/>
              </w:rPr>
            </w:pPr>
            <w:r w:rsidRPr="00E50B51">
              <w:rPr>
                <w:sz w:val="20"/>
                <w:szCs w:val="20"/>
              </w:rPr>
              <w:t>*</w:t>
            </w:r>
          </w:p>
          <w:p w14:paraId="75FCE568" w14:textId="77777777" w:rsidR="00074551" w:rsidRPr="00E50B51" w:rsidRDefault="00074551" w:rsidP="00367133">
            <w:pPr>
              <w:jc w:val="both"/>
              <w:rPr>
                <w:sz w:val="20"/>
                <w:szCs w:val="20"/>
              </w:rPr>
            </w:pPr>
          </w:p>
        </w:tc>
        <w:tc>
          <w:tcPr>
            <w:tcW w:w="1822" w:type="pct"/>
          </w:tcPr>
          <w:p w14:paraId="01F9C411" w14:textId="3AE110CE" w:rsidR="00074551" w:rsidRPr="001D6D84" w:rsidRDefault="00074551" w:rsidP="00367133">
            <w:pPr>
              <w:jc w:val="both"/>
              <w:rPr>
                <w:sz w:val="20"/>
                <w:szCs w:val="20"/>
              </w:rPr>
            </w:pPr>
            <w:r w:rsidRPr="001D6D84">
              <w:rPr>
                <w:sz w:val="20"/>
                <w:szCs w:val="20"/>
              </w:rPr>
              <w:t xml:space="preserve">In </w:t>
            </w:r>
            <w:r w:rsidRPr="5B67C1D2">
              <w:rPr>
                <w:i/>
                <w:iCs/>
                <w:sz w:val="20"/>
                <w:szCs w:val="20"/>
              </w:rPr>
              <w:t>Griswold v. Connecticut</w:t>
            </w:r>
            <w:r w:rsidRPr="001D6D84">
              <w:rPr>
                <w:sz w:val="20"/>
                <w:szCs w:val="20"/>
              </w:rPr>
              <w:t xml:space="preserve"> erklärt der </w:t>
            </w:r>
            <w:r>
              <w:rPr>
                <w:sz w:val="20"/>
                <w:szCs w:val="20"/>
              </w:rPr>
              <w:t>U.S. Supreme Court</w:t>
            </w:r>
            <w:r w:rsidRPr="001D6D84">
              <w:rPr>
                <w:sz w:val="20"/>
                <w:szCs w:val="20"/>
              </w:rPr>
              <w:t xml:space="preserve"> anhand der ungeschriebenen Vereinigungsfreiheit, welche ungeschriebenen Verfassungsrechte noch zu den Bedingungen für ein Streben nach Glück </w:t>
            </w:r>
            <w:r>
              <w:rPr>
                <w:sz w:val="20"/>
                <w:szCs w:val="20"/>
              </w:rPr>
              <w:t>gehören</w:t>
            </w:r>
            <w:r w:rsidRPr="001D6D84">
              <w:rPr>
                <w:sz w:val="20"/>
                <w:szCs w:val="20"/>
              </w:rPr>
              <w:t xml:space="preserve"> müssen: Nicht nur das Recht</w:t>
            </w:r>
            <w:r>
              <w:rPr>
                <w:sz w:val="20"/>
                <w:szCs w:val="20"/>
              </w:rPr>
              <w:t>, in Ruhe</w:t>
            </w:r>
            <w:r w:rsidRPr="001D6D84">
              <w:rPr>
                <w:sz w:val="20"/>
                <w:szCs w:val="20"/>
              </w:rPr>
              <w:t xml:space="preserve"> gelassen zu werden, sondern auch die Ehefreiheit oder die Freiheit der Schulwahl bzw. Lernfreiheit. Im Detail erklärt des </w:t>
            </w:r>
            <w:r>
              <w:rPr>
                <w:sz w:val="20"/>
                <w:szCs w:val="20"/>
              </w:rPr>
              <w:t>U.S. Supreme Court</w:t>
            </w:r>
            <w:r w:rsidRPr="001D6D84">
              <w:rPr>
                <w:sz w:val="20"/>
                <w:szCs w:val="20"/>
              </w:rPr>
              <w:t xml:space="preserve"> zum </w:t>
            </w:r>
            <w:proofErr w:type="spellStart"/>
            <w:r w:rsidRPr="5B67C1D2">
              <w:rPr>
                <w:i/>
                <w:iCs/>
                <w:sz w:val="20"/>
                <w:szCs w:val="20"/>
              </w:rPr>
              <w:t>pursuit</w:t>
            </w:r>
            <w:proofErr w:type="spellEnd"/>
            <w:r w:rsidRPr="5B67C1D2">
              <w:rPr>
                <w:i/>
                <w:iCs/>
                <w:sz w:val="20"/>
                <w:szCs w:val="20"/>
              </w:rPr>
              <w:t xml:space="preserve"> of Happiness</w:t>
            </w:r>
            <w:r w:rsidRPr="001D6D84">
              <w:rPr>
                <w:sz w:val="20"/>
                <w:szCs w:val="20"/>
              </w:rPr>
              <w:t xml:space="preserve"> zunächst,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 und V</w:t>
            </w:r>
            <w:r w:rsidRPr="5B67C1D2">
              <w:rPr>
                <w:sz w:val="20"/>
                <w:szCs w:val="20"/>
              </w:rPr>
              <w:t xml:space="preserve"> seien viel weiter in ihrem Anwendungsbereich, als es ihr Wortlaut vermuten </w:t>
            </w:r>
            <w:r>
              <w:rPr>
                <w:sz w:val="20"/>
                <w:szCs w:val="20"/>
              </w:rPr>
              <w:t>lasse</w:t>
            </w:r>
            <w:r w:rsidRPr="001D6D84">
              <w:rPr>
                <w:sz w:val="20"/>
                <w:szCs w:val="20"/>
              </w:rPr>
              <w:t xml:space="preserve"> („</w:t>
            </w:r>
            <w:proofErr w:type="spellStart"/>
            <w:r w:rsidRPr="5B67C1D2">
              <w:rPr>
                <w:sz w:val="20"/>
                <w:szCs w:val="20"/>
              </w:rPr>
              <w:t>much</w:t>
            </w:r>
            <w:proofErr w:type="spellEnd"/>
            <w:r w:rsidRPr="5B67C1D2">
              <w:rPr>
                <w:sz w:val="20"/>
                <w:szCs w:val="20"/>
              </w:rPr>
              <w:t xml:space="preserve"> </w:t>
            </w:r>
            <w:proofErr w:type="spellStart"/>
            <w:r w:rsidRPr="5B67C1D2">
              <w:rPr>
                <w:sz w:val="20"/>
                <w:szCs w:val="20"/>
              </w:rPr>
              <w:t>broader</w:t>
            </w:r>
            <w:proofErr w:type="spellEnd"/>
            <w:r w:rsidRPr="5B67C1D2">
              <w:rPr>
                <w:sz w:val="20"/>
                <w:szCs w:val="20"/>
              </w:rPr>
              <w:t xml:space="preserve"> in </w:t>
            </w:r>
            <w:proofErr w:type="spellStart"/>
            <w:r w:rsidRPr="5B67C1D2">
              <w:rPr>
                <w:sz w:val="20"/>
                <w:szCs w:val="20"/>
              </w:rPr>
              <w:t>scope</w:t>
            </w:r>
            <w:proofErr w:type="spellEnd"/>
            <w:r w:rsidRPr="5B67C1D2">
              <w:rPr>
                <w:sz w:val="20"/>
                <w:szCs w:val="20"/>
              </w:rPr>
              <w:t>“</w:t>
            </w:r>
            <w:r w:rsidRPr="001D6D84">
              <w:rPr>
                <w:sz w:val="20"/>
                <w:szCs w:val="20"/>
                <w:vertAlign w:val="superscript"/>
              </w:rPr>
              <w:footnoteReference w:id="936"/>
            </w:r>
            <w:r w:rsidRPr="001D6D84">
              <w:rPr>
                <w:sz w:val="20"/>
                <w:szCs w:val="20"/>
              </w:rPr>
              <w:t xml:space="preserve">). Das </w:t>
            </w:r>
            <w:r>
              <w:rPr>
                <w:sz w:val="20"/>
                <w:szCs w:val="20"/>
              </w:rPr>
              <w:t>sei</w:t>
            </w:r>
            <w:r w:rsidRPr="001D6D84">
              <w:rPr>
                <w:sz w:val="20"/>
                <w:szCs w:val="20"/>
              </w:rPr>
              <w:t xml:space="preserve"> der Fall, weil die Verfassungsgesetzgeber mit der </w:t>
            </w:r>
            <w:r>
              <w:rPr>
                <w:sz w:val="20"/>
                <w:szCs w:val="20"/>
              </w:rPr>
              <w:t>U.S.</w:t>
            </w:r>
            <w:r w:rsidRPr="001D6D84">
              <w:rPr>
                <w:sz w:val="20"/>
                <w:szCs w:val="20"/>
              </w:rPr>
              <w:t xml:space="preserve"> </w:t>
            </w:r>
            <w:proofErr w:type="spellStart"/>
            <w:r w:rsidRPr="5B67C1D2">
              <w:rPr>
                <w:sz w:val="20"/>
                <w:szCs w:val="20"/>
              </w:rPr>
              <w:t>Const</w:t>
            </w:r>
            <w:proofErr w:type="spellEnd"/>
            <w:r w:rsidRPr="5B67C1D2">
              <w:rPr>
                <w:sz w:val="20"/>
                <w:szCs w:val="20"/>
              </w:rPr>
              <w:t>. Bedingungen errichtet</w:t>
            </w:r>
            <w:r>
              <w:rPr>
                <w:sz w:val="20"/>
                <w:szCs w:val="20"/>
              </w:rPr>
              <w:t>en</w:t>
            </w:r>
            <w:r w:rsidRPr="001D6D84">
              <w:rPr>
                <w:sz w:val="20"/>
                <w:szCs w:val="20"/>
              </w:rPr>
              <w:t>, die das Streben nach Glück fördern soll</w:t>
            </w:r>
            <w:r>
              <w:rPr>
                <w:sz w:val="20"/>
                <w:szCs w:val="20"/>
              </w:rPr>
              <w:t>t</w:t>
            </w:r>
            <w:r w:rsidRPr="001D6D84">
              <w:rPr>
                <w:sz w:val="20"/>
                <w:szCs w:val="20"/>
              </w:rPr>
              <w:t>en. Diese Bedingungen erweiter</w:t>
            </w:r>
            <w:r>
              <w:rPr>
                <w:sz w:val="20"/>
                <w:szCs w:val="20"/>
              </w:rPr>
              <w:t>te</w:t>
            </w:r>
            <w:r w:rsidRPr="001D6D84">
              <w:rPr>
                <w:sz w:val="20"/>
                <w:szCs w:val="20"/>
              </w:rPr>
              <w:t xml:space="preserve">n den Wortlaut von Amendments, </w:t>
            </w:r>
            <w:r>
              <w:rPr>
                <w:sz w:val="20"/>
                <w:szCs w:val="20"/>
              </w:rPr>
              <w:t xml:space="preserve">etwa </w:t>
            </w:r>
            <w:r w:rsidRPr="001D6D84">
              <w:rPr>
                <w:sz w:val="20"/>
                <w:szCs w:val="20"/>
              </w:rPr>
              <w:t>um das Recht</w:t>
            </w:r>
            <w:r>
              <w:rPr>
                <w:sz w:val="20"/>
                <w:szCs w:val="20"/>
              </w:rPr>
              <w:t>, in Ruhe</w:t>
            </w:r>
            <w:r w:rsidRPr="001D6D84">
              <w:rPr>
                <w:sz w:val="20"/>
                <w:szCs w:val="20"/>
              </w:rPr>
              <w:t xml:space="preserve"> gelassen zu werden („</w:t>
            </w:r>
            <w:proofErr w:type="spellStart"/>
            <w:r w:rsidRPr="5B67C1D2">
              <w:rPr>
                <w:sz w:val="20"/>
                <w:szCs w:val="20"/>
              </w:rPr>
              <w:t>right</w:t>
            </w:r>
            <w:proofErr w:type="spellEnd"/>
            <w:r w:rsidRPr="5B67C1D2">
              <w:rPr>
                <w:sz w:val="20"/>
                <w:szCs w:val="20"/>
              </w:rPr>
              <w:t xml:space="preserve"> to </w:t>
            </w:r>
            <w:proofErr w:type="spellStart"/>
            <w:r w:rsidRPr="5B67C1D2">
              <w:rPr>
                <w:sz w:val="20"/>
                <w:szCs w:val="20"/>
              </w:rPr>
              <w:t>be</w:t>
            </w:r>
            <w:proofErr w:type="spellEnd"/>
            <w:r w:rsidRPr="5B67C1D2">
              <w:rPr>
                <w:sz w:val="20"/>
                <w:szCs w:val="20"/>
              </w:rPr>
              <w:t xml:space="preserve"> </w:t>
            </w:r>
            <w:proofErr w:type="spellStart"/>
            <w:r w:rsidRPr="5B67C1D2">
              <w:rPr>
                <w:sz w:val="20"/>
                <w:szCs w:val="20"/>
              </w:rPr>
              <w:t>let</w:t>
            </w:r>
            <w:proofErr w:type="spellEnd"/>
            <w:r w:rsidRPr="5B67C1D2">
              <w:rPr>
                <w:sz w:val="20"/>
                <w:szCs w:val="20"/>
              </w:rPr>
              <w:t xml:space="preserve"> </w:t>
            </w:r>
            <w:proofErr w:type="spellStart"/>
            <w:r w:rsidRPr="5B67C1D2">
              <w:rPr>
                <w:sz w:val="20"/>
                <w:szCs w:val="20"/>
              </w:rPr>
              <w:t>alone</w:t>
            </w:r>
            <w:proofErr w:type="spellEnd"/>
            <w:r w:rsidRPr="5B67C1D2">
              <w:rPr>
                <w:sz w:val="20"/>
                <w:szCs w:val="20"/>
              </w:rPr>
              <w:t xml:space="preserve"> </w:t>
            </w:r>
            <w:r>
              <w:rPr>
                <w:sz w:val="20"/>
                <w:szCs w:val="20"/>
              </w:rPr>
              <w:t>–</w:t>
            </w:r>
            <w:r w:rsidRPr="001D6D84">
              <w:rPr>
                <w:sz w:val="20"/>
                <w:szCs w:val="20"/>
              </w:rPr>
              <w:t xml:space="preserve"> the </w:t>
            </w:r>
            <w:proofErr w:type="spellStart"/>
            <w:r w:rsidRPr="5B67C1D2">
              <w:rPr>
                <w:sz w:val="20"/>
                <w:szCs w:val="20"/>
              </w:rPr>
              <w:t>most</w:t>
            </w:r>
            <w:proofErr w:type="spellEnd"/>
            <w:r w:rsidRPr="5B67C1D2">
              <w:rPr>
                <w:sz w:val="20"/>
                <w:szCs w:val="20"/>
              </w:rPr>
              <w:t xml:space="preserve"> </w:t>
            </w:r>
            <w:proofErr w:type="spellStart"/>
            <w:r w:rsidRPr="5B67C1D2">
              <w:rPr>
                <w:sz w:val="20"/>
                <w:szCs w:val="20"/>
              </w:rPr>
              <w:t>comprehensive</w:t>
            </w:r>
            <w:proofErr w:type="spellEnd"/>
            <w:r w:rsidRPr="5B67C1D2">
              <w:rPr>
                <w:sz w:val="20"/>
                <w:szCs w:val="20"/>
              </w:rPr>
              <w:t xml:space="preserve"> of </w:t>
            </w:r>
            <w:proofErr w:type="spellStart"/>
            <w:r w:rsidRPr="5B67C1D2">
              <w:rPr>
                <w:sz w:val="20"/>
                <w:szCs w:val="20"/>
              </w:rPr>
              <w:t>rights</w:t>
            </w:r>
            <w:proofErr w:type="spellEnd"/>
            <w:r w:rsidRPr="5B67C1D2">
              <w:rPr>
                <w:sz w:val="20"/>
                <w:szCs w:val="20"/>
              </w:rPr>
              <w:t xml:space="preserve"> and the </w:t>
            </w:r>
            <w:proofErr w:type="spellStart"/>
            <w:r w:rsidRPr="5B67C1D2">
              <w:rPr>
                <w:sz w:val="20"/>
                <w:szCs w:val="20"/>
              </w:rPr>
              <w:t>right</w:t>
            </w:r>
            <w:proofErr w:type="spellEnd"/>
            <w:r w:rsidRPr="5B67C1D2">
              <w:rPr>
                <w:sz w:val="20"/>
                <w:szCs w:val="20"/>
              </w:rPr>
              <w:t xml:space="preserve"> </w:t>
            </w:r>
            <w:proofErr w:type="spellStart"/>
            <w:r w:rsidRPr="5B67C1D2">
              <w:rPr>
                <w:sz w:val="20"/>
                <w:szCs w:val="20"/>
              </w:rPr>
              <w:t>most</w:t>
            </w:r>
            <w:proofErr w:type="spellEnd"/>
            <w:r w:rsidRPr="5B67C1D2">
              <w:rPr>
                <w:sz w:val="20"/>
                <w:szCs w:val="20"/>
              </w:rPr>
              <w:t xml:space="preserve"> </w:t>
            </w:r>
            <w:proofErr w:type="spellStart"/>
            <w:r w:rsidRPr="5B67C1D2">
              <w:rPr>
                <w:sz w:val="20"/>
                <w:szCs w:val="20"/>
              </w:rPr>
              <w:t>valued</w:t>
            </w:r>
            <w:proofErr w:type="spellEnd"/>
            <w:r w:rsidRPr="5B67C1D2">
              <w:rPr>
                <w:sz w:val="20"/>
                <w:szCs w:val="20"/>
              </w:rPr>
              <w:t xml:space="preserve"> by </w:t>
            </w:r>
            <w:proofErr w:type="spellStart"/>
            <w:r w:rsidRPr="5B67C1D2">
              <w:rPr>
                <w:sz w:val="20"/>
                <w:szCs w:val="20"/>
              </w:rPr>
              <w:t>civilized</w:t>
            </w:r>
            <w:proofErr w:type="spellEnd"/>
            <w:r w:rsidRPr="5B67C1D2">
              <w:rPr>
                <w:sz w:val="20"/>
                <w:szCs w:val="20"/>
              </w:rPr>
              <w:t xml:space="preserve"> </w:t>
            </w:r>
            <w:proofErr w:type="spellStart"/>
            <w:r w:rsidRPr="5B67C1D2">
              <w:rPr>
                <w:sz w:val="20"/>
                <w:szCs w:val="20"/>
              </w:rPr>
              <w:t>men</w:t>
            </w:r>
            <w:proofErr w:type="spellEnd"/>
            <w:r w:rsidRPr="5B67C1D2">
              <w:rPr>
                <w:sz w:val="20"/>
                <w:szCs w:val="20"/>
              </w:rPr>
              <w:t>“</w:t>
            </w:r>
            <w:r w:rsidRPr="001D6D84">
              <w:rPr>
                <w:sz w:val="20"/>
                <w:szCs w:val="20"/>
                <w:vertAlign w:val="superscript"/>
              </w:rPr>
              <w:footnoteReference w:id="937"/>
            </w:r>
            <w:r w:rsidRPr="001D6D84">
              <w:rPr>
                <w:sz w:val="20"/>
                <w:szCs w:val="20"/>
              </w:rPr>
              <w:t xml:space="preserve">). Dieses Recht auf Privatsphäre ist eine sog. </w:t>
            </w:r>
            <w:proofErr w:type="spellStart"/>
            <w:r w:rsidRPr="5B67C1D2">
              <w:rPr>
                <w:i/>
                <w:iCs/>
                <w:sz w:val="20"/>
                <w:szCs w:val="20"/>
              </w:rPr>
              <w:t>penumbra</w:t>
            </w:r>
            <w:proofErr w:type="spellEnd"/>
            <w:r>
              <w:rPr>
                <w:sz w:val="20"/>
                <w:szCs w:val="20"/>
              </w:rPr>
              <w:t>,</w:t>
            </w:r>
            <w:r w:rsidRPr="001D6D84">
              <w:rPr>
                <w:sz w:val="20"/>
                <w:szCs w:val="20"/>
                <w:vertAlign w:val="superscript"/>
              </w:rPr>
              <w:footnoteReference w:id="938"/>
            </w:r>
            <w:r w:rsidRPr="001D6D84">
              <w:rPr>
                <w:sz w:val="20"/>
                <w:szCs w:val="20"/>
              </w:rPr>
              <w:t xml:space="preserve"> </w:t>
            </w:r>
            <w:r>
              <w:rPr>
                <w:sz w:val="20"/>
                <w:szCs w:val="20"/>
              </w:rPr>
              <w:t>d</w:t>
            </w:r>
            <w:r w:rsidRPr="001D6D84">
              <w:rPr>
                <w:sz w:val="20"/>
                <w:szCs w:val="20"/>
              </w:rPr>
              <w:t>.h. ein ungeschriebener Verfassungssatz, der sich aber aus Verfassungsnormen ergibt.</w:t>
            </w:r>
            <w:r w:rsidRPr="001D6D84">
              <w:rPr>
                <w:sz w:val="20"/>
                <w:szCs w:val="20"/>
                <w:vertAlign w:val="superscript"/>
              </w:rPr>
              <w:footnoteReference w:id="939"/>
            </w:r>
            <w:r w:rsidRPr="001D6D84">
              <w:rPr>
                <w:sz w:val="20"/>
                <w:szCs w:val="20"/>
              </w:rPr>
              <w:t xml:space="preserve"> Mit anderen Worten: Ein Recht müss</w:t>
            </w:r>
            <w:r>
              <w:rPr>
                <w:sz w:val="20"/>
                <w:szCs w:val="20"/>
              </w:rPr>
              <w:t>t</w:t>
            </w:r>
            <w:r w:rsidRPr="001D6D84">
              <w:rPr>
                <w:sz w:val="20"/>
                <w:szCs w:val="20"/>
              </w:rPr>
              <w:t>e existieren, aber der Wortlaut gibt dieses Recht nicht her, es entsteht also eine Lücke</w:t>
            </w:r>
            <w:r>
              <w:rPr>
                <w:sz w:val="20"/>
                <w:szCs w:val="20"/>
              </w:rPr>
              <w:t>;</w:t>
            </w:r>
            <w:r w:rsidRPr="001D6D84">
              <w:rPr>
                <w:sz w:val="20"/>
                <w:szCs w:val="20"/>
              </w:rPr>
              <w:t xml:space="preserve"> allerdings kann ein Verfassungsgrundsatz – hier das Streben nach Glück – diese Lücke schließen. Ein Beispiel für eine </w:t>
            </w:r>
            <w:proofErr w:type="spellStart"/>
            <w:r w:rsidRPr="5B67C1D2">
              <w:rPr>
                <w:i/>
                <w:iCs/>
                <w:sz w:val="20"/>
                <w:szCs w:val="20"/>
              </w:rPr>
              <w:t>penumbra</w:t>
            </w:r>
            <w:proofErr w:type="spellEnd"/>
            <w:r w:rsidRPr="001D6D84">
              <w:rPr>
                <w:sz w:val="20"/>
                <w:szCs w:val="20"/>
              </w:rPr>
              <w:t xml:space="preserve"> ist das Recht auf Privatsphäre. </w:t>
            </w:r>
            <w:r w:rsidRPr="001D6D84">
              <w:rPr>
                <w:sz w:val="20"/>
                <w:szCs w:val="20"/>
                <w:lang w:val="en-US"/>
              </w:rPr>
              <w:t xml:space="preserve">Eine </w:t>
            </w:r>
            <w:proofErr w:type="spellStart"/>
            <w:r w:rsidRPr="001D6D84">
              <w:rPr>
                <w:sz w:val="20"/>
                <w:szCs w:val="20"/>
                <w:lang w:val="en-US"/>
              </w:rPr>
              <w:t>andere</w:t>
            </w:r>
            <w:proofErr w:type="spellEnd"/>
            <w:r w:rsidRPr="001D6D84">
              <w:rPr>
                <w:sz w:val="20"/>
                <w:szCs w:val="20"/>
                <w:lang w:val="en-US"/>
              </w:rPr>
              <w:t xml:space="preserve"> </w:t>
            </w:r>
            <w:r w:rsidRPr="5B67C1D2">
              <w:rPr>
                <w:i/>
                <w:iCs/>
                <w:sz w:val="20"/>
                <w:szCs w:val="20"/>
                <w:lang w:val="en-US"/>
              </w:rPr>
              <w:t>penumbra</w:t>
            </w:r>
            <w:r w:rsidRPr="001D6D84">
              <w:rPr>
                <w:sz w:val="20"/>
                <w:szCs w:val="20"/>
                <w:lang w:val="en-US"/>
              </w:rPr>
              <w:t xml:space="preserve"> </w:t>
            </w:r>
            <w:proofErr w:type="spellStart"/>
            <w:r w:rsidRPr="001D6D84">
              <w:rPr>
                <w:sz w:val="20"/>
                <w:szCs w:val="20"/>
                <w:lang w:val="en-US"/>
              </w:rPr>
              <w:t>im</w:t>
            </w:r>
            <w:proofErr w:type="spellEnd"/>
            <w:r w:rsidRPr="001D6D84">
              <w:rPr>
                <w:sz w:val="20"/>
                <w:szCs w:val="20"/>
                <w:lang w:val="en-US"/>
              </w:rPr>
              <w:t xml:space="preserve"> </w:t>
            </w:r>
            <w:proofErr w:type="spellStart"/>
            <w:r w:rsidRPr="001D6D84">
              <w:rPr>
                <w:sz w:val="20"/>
                <w:szCs w:val="20"/>
                <w:lang w:val="en-US"/>
              </w:rPr>
              <w:t>Urteil</w:t>
            </w:r>
            <w:proofErr w:type="spellEnd"/>
            <w:r w:rsidRPr="001D6D84">
              <w:rPr>
                <w:sz w:val="20"/>
                <w:szCs w:val="20"/>
                <w:lang w:val="en-US"/>
              </w:rPr>
              <w:t xml:space="preserve"> </w:t>
            </w:r>
            <w:proofErr w:type="spellStart"/>
            <w:r w:rsidRPr="001D6D84">
              <w:rPr>
                <w:sz w:val="20"/>
                <w:szCs w:val="20"/>
                <w:lang w:val="en-US"/>
              </w:rPr>
              <w:t>ist</w:t>
            </w:r>
            <w:proofErr w:type="spellEnd"/>
            <w:r w:rsidRPr="001D6D84">
              <w:rPr>
                <w:sz w:val="20"/>
                <w:szCs w:val="20"/>
                <w:lang w:val="en-US"/>
              </w:rPr>
              <w:t xml:space="preserve"> die </w:t>
            </w:r>
            <w:proofErr w:type="spellStart"/>
            <w:r w:rsidRPr="001D6D84">
              <w:rPr>
                <w:sz w:val="20"/>
                <w:szCs w:val="20"/>
                <w:lang w:val="en-US"/>
              </w:rPr>
              <w:t>Vereinigungsfreiheit</w:t>
            </w:r>
            <w:proofErr w:type="spellEnd"/>
            <w:r w:rsidRPr="001D6D84">
              <w:rPr>
                <w:sz w:val="20"/>
                <w:szCs w:val="20"/>
                <w:lang w:val="en-US"/>
              </w:rPr>
              <w:t xml:space="preserve"> („the </w:t>
            </w:r>
            <w:r w:rsidRPr="5B67C1D2">
              <w:rPr>
                <w:sz w:val="20"/>
                <w:szCs w:val="20"/>
                <w:lang w:val="en-US"/>
              </w:rPr>
              <w:t xml:space="preserve">right of association contained in the penumbra of the First </w:t>
            </w:r>
            <w:proofErr w:type="gramStart"/>
            <w:r w:rsidRPr="5B67C1D2">
              <w:rPr>
                <w:sz w:val="20"/>
                <w:szCs w:val="20"/>
                <w:lang w:val="en-US"/>
              </w:rPr>
              <w:t>Amendment“</w:t>
            </w:r>
            <w:proofErr w:type="gramEnd"/>
            <w:r w:rsidRPr="001D6D84">
              <w:rPr>
                <w:sz w:val="20"/>
                <w:szCs w:val="20"/>
                <w:vertAlign w:val="superscript"/>
              </w:rPr>
              <w:footnoteReference w:id="940"/>
            </w:r>
            <w:r w:rsidRPr="001D6D84">
              <w:rPr>
                <w:sz w:val="20"/>
                <w:szCs w:val="20"/>
                <w:lang w:val="en-US"/>
              </w:rPr>
              <w:t xml:space="preserve">), die </w:t>
            </w:r>
            <w:proofErr w:type="spellStart"/>
            <w:r w:rsidRPr="001D6D84">
              <w:rPr>
                <w:sz w:val="20"/>
                <w:szCs w:val="20"/>
                <w:lang w:val="en-US"/>
              </w:rPr>
              <w:t>sich</w:t>
            </w:r>
            <w:proofErr w:type="spellEnd"/>
            <w:r w:rsidRPr="001D6D84">
              <w:rPr>
                <w:sz w:val="20"/>
                <w:szCs w:val="20"/>
                <w:lang w:val="en-US"/>
              </w:rPr>
              <w:t xml:space="preserve"> nicht </w:t>
            </w:r>
            <w:proofErr w:type="spellStart"/>
            <w:r w:rsidRPr="5B67C1D2">
              <w:rPr>
                <w:sz w:val="20"/>
                <w:szCs w:val="20"/>
                <w:lang w:val="en-US"/>
              </w:rPr>
              <w:t>dire</w:t>
            </w:r>
            <w:r>
              <w:rPr>
                <w:sz w:val="20"/>
                <w:szCs w:val="20"/>
                <w:lang w:val="en-US"/>
              </w:rPr>
              <w:t>k</w:t>
            </w:r>
            <w:r w:rsidRPr="001D6D84">
              <w:rPr>
                <w:sz w:val="20"/>
                <w:szCs w:val="20"/>
                <w:lang w:val="en-US"/>
              </w:rPr>
              <w:t>t</w:t>
            </w:r>
            <w:proofErr w:type="spellEnd"/>
            <w:r w:rsidRPr="001D6D84">
              <w:rPr>
                <w:sz w:val="20"/>
                <w:szCs w:val="20"/>
                <w:lang w:val="en-US"/>
              </w:rPr>
              <w:t xml:space="preserve"> </w:t>
            </w:r>
            <w:proofErr w:type="spellStart"/>
            <w:r w:rsidRPr="001D6D84">
              <w:rPr>
                <w:sz w:val="20"/>
                <w:szCs w:val="20"/>
                <w:lang w:val="en-US"/>
              </w:rPr>
              <w:t>im</w:t>
            </w:r>
            <w:proofErr w:type="spellEnd"/>
            <w:r w:rsidRPr="001D6D84">
              <w:rPr>
                <w:sz w:val="20"/>
                <w:szCs w:val="20"/>
                <w:lang w:val="en-US"/>
              </w:rPr>
              <w:t xml:space="preserve"> </w:t>
            </w:r>
            <w:proofErr w:type="spellStart"/>
            <w:r w:rsidRPr="001D6D84">
              <w:rPr>
                <w:sz w:val="20"/>
                <w:szCs w:val="20"/>
                <w:lang w:val="en-US"/>
              </w:rPr>
              <w:t>Wortlaut</w:t>
            </w:r>
            <w:proofErr w:type="spellEnd"/>
            <w:r w:rsidRPr="001D6D84">
              <w:rPr>
                <w:sz w:val="20"/>
                <w:szCs w:val="20"/>
                <w:lang w:val="en-US"/>
              </w:rPr>
              <w:t xml:space="preserve"> der </w:t>
            </w:r>
            <w:proofErr w:type="spellStart"/>
            <w:r w:rsidRPr="001D6D84">
              <w:rPr>
                <w:sz w:val="20"/>
                <w:szCs w:val="20"/>
                <w:lang w:val="en-US"/>
              </w:rPr>
              <w:t>Verfassung</w:t>
            </w:r>
            <w:proofErr w:type="spellEnd"/>
            <w:r w:rsidRPr="001D6D84">
              <w:rPr>
                <w:sz w:val="20"/>
                <w:szCs w:val="20"/>
                <w:lang w:val="en-US"/>
              </w:rPr>
              <w:t xml:space="preserve"> </w:t>
            </w:r>
            <w:proofErr w:type="spellStart"/>
            <w:r w:rsidRPr="001D6D84">
              <w:rPr>
                <w:sz w:val="20"/>
                <w:szCs w:val="20"/>
                <w:lang w:val="en-US"/>
              </w:rPr>
              <w:t>findet</w:t>
            </w:r>
            <w:proofErr w:type="spellEnd"/>
            <w:r w:rsidRPr="001D6D84">
              <w:rPr>
                <w:sz w:val="20"/>
                <w:szCs w:val="20"/>
                <w:lang w:val="en-US"/>
              </w:rPr>
              <w:t xml:space="preserve"> („the </w:t>
            </w:r>
            <w:r w:rsidRPr="5B67C1D2">
              <w:rPr>
                <w:sz w:val="20"/>
                <w:szCs w:val="20"/>
                <w:lang w:val="en-US"/>
              </w:rPr>
              <w:t>association of people is not mentioned in the Constitution nor in the Bill of Rights”</w:t>
            </w:r>
            <w:r w:rsidRPr="001D6D84">
              <w:rPr>
                <w:sz w:val="20"/>
                <w:szCs w:val="20"/>
                <w:vertAlign w:val="superscript"/>
                <w:lang w:val="en-US"/>
              </w:rPr>
              <w:footnoteReference w:id="941"/>
            </w:r>
            <w:r w:rsidRPr="001D6D84">
              <w:rPr>
                <w:sz w:val="20"/>
                <w:szCs w:val="20"/>
                <w:lang w:val="en-US"/>
              </w:rPr>
              <w:t xml:space="preserve">). </w:t>
            </w:r>
            <w:r>
              <w:rPr>
                <w:sz w:val="20"/>
                <w:szCs w:val="20"/>
              </w:rPr>
              <w:t>Sie ergibt sich aber</w:t>
            </w:r>
            <w:r w:rsidRPr="001D6D84">
              <w:rPr>
                <w:sz w:val="20"/>
                <w:szCs w:val="20"/>
              </w:rPr>
              <w:t xml:space="preserve"> aufgrund der Pflicht des Staats, Bedingung für Glück zu schaffen, und</w:t>
            </w:r>
            <w:r>
              <w:rPr>
                <w:sz w:val="20"/>
                <w:szCs w:val="20"/>
              </w:rPr>
              <w:t xml:space="preserve"> bindet</w:t>
            </w:r>
            <w:r w:rsidRPr="001D6D84">
              <w:rPr>
                <w:sz w:val="20"/>
                <w:szCs w:val="20"/>
              </w:rPr>
              <w:t xml:space="preserve"> mittelbar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5B67C1D2">
              <w:rPr>
                <w:sz w:val="20"/>
                <w:szCs w:val="20"/>
              </w:rPr>
              <w:t xml:space="preserve"> Andere Beispiele sind die Schulwahl und die Lernfreiheit.</w:t>
            </w:r>
            <w:r w:rsidRPr="001D6D84">
              <w:rPr>
                <w:sz w:val="20"/>
                <w:szCs w:val="20"/>
                <w:vertAlign w:val="superscript"/>
              </w:rPr>
              <w:footnoteReference w:id="942"/>
            </w:r>
            <w:r w:rsidRPr="001D6D84">
              <w:rPr>
                <w:sz w:val="20"/>
                <w:szCs w:val="20"/>
              </w:rPr>
              <w:t xml:space="preserve"> Eine weitere Freiheit sei die Ehefreiheit. Im zugrunde liegenden Fall erklärte der </w:t>
            </w:r>
            <w:r>
              <w:rPr>
                <w:sz w:val="20"/>
                <w:szCs w:val="20"/>
              </w:rPr>
              <w:t>U.S. Supreme Court</w:t>
            </w:r>
            <w:r w:rsidRPr="001D6D84">
              <w:rPr>
                <w:sz w:val="20"/>
                <w:szCs w:val="20"/>
              </w:rPr>
              <w:t xml:space="preserve"> anhand der Ehefreiheit, die ein Teil des Rechts auf Privatsphäre darstelle, ein bundesstaatliches Gesetz für nichtig, welches Mittel zur Empfängnisverhütung verboten hatte. Die Ehefreiheit </w:t>
            </w:r>
            <w:r>
              <w:rPr>
                <w:sz w:val="20"/>
                <w:szCs w:val="20"/>
              </w:rPr>
              <w:t>ergebe sich sowohl</w:t>
            </w:r>
            <w:r w:rsidRPr="001D6D84">
              <w:rPr>
                <w:sz w:val="20"/>
                <w:szCs w:val="20"/>
              </w:rPr>
              <w:t xml:space="preserve"> aus dem Verfassungsbegriff Freiheit,</w:t>
            </w:r>
            <w:r w:rsidRPr="5B67C1D2">
              <w:rPr>
                <w:rStyle w:val="Funotenzeichen"/>
                <w:sz w:val="20"/>
                <w:szCs w:val="20"/>
              </w:rPr>
              <w:footnoteReference w:id="943"/>
            </w:r>
            <w:r w:rsidRPr="5B67C1D2">
              <w:rPr>
                <w:sz w:val="20"/>
                <w:szCs w:val="20"/>
              </w:rPr>
              <w:t xml:space="preserve"> dem </w:t>
            </w:r>
            <w:proofErr w:type="spellStart"/>
            <w:r w:rsidRPr="5B67C1D2">
              <w:rPr>
                <w:i/>
                <w:iCs/>
                <w:sz w:val="20"/>
                <w:szCs w:val="20"/>
              </w:rPr>
              <w:t>pursuit</w:t>
            </w:r>
            <w:proofErr w:type="spellEnd"/>
            <w:r w:rsidRPr="5B67C1D2">
              <w:rPr>
                <w:i/>
                <w:iCs/>
                <w:sz w:val="20"/>
                <w:szCs w:val="20"/>
              </w:rPr>
              <w:t xml:space="preserve"> of Happiness</w:t>
            </w:r>
            <w:r w:rsidRPr="5B67C1D2">
              <w:rPr>
                <w:sz w:val="20"/>
                <w:szCs w:val="20"/>
              </w:rPr>
              <w:t xml:space="preserve"> als auch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vertAlign w:val="superscript"/>
              </w:rPr>
              <w:footnoteReference w:id="944"/>
            </w:r>
          </w:p>
          <w:p w14:paraId="65E36843" w14:textId="77777777" w:rsidR="00074551" w:rsidRPr="00E50B51" w:rsidRDefault="00074551" w:rsidP="00367133">
            <w:pPr>
              <w:jc w:val="both"/>
              <w:rPr>
                <w:sz w:val="20"/>
                <w:szCs w:val="20"/>
              </w:rPr>
            </w:pPr>
          </w:p>
        </w:tc>
      </w:tr>
      <w:tr w:rsidR="00074551" w:rsidRPr="00E50B51" w14:paraId="1A58FBFB" w14:textId="77777777" w:rsidTr="00BE689F">
        <w:trPr>
          <w:cantSplit/>
          <w:trHeight w:val="3175"/>
        </w:trPr>
        <w:tc>
          <w:tcPr>
            <w:tcW w:w="293" w:type="pct"/>
          </w:tcPr>
          <w:p w14:paraId="5496DD9E"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3AC0CF57" w14:textId="77777777" w:rsidR="00074551" w:rsidRPr="00566BC6" w:rsidRDefault="00074551" w:rsidP="00367133">
            <w:pPr>
              <w:ind w:left="113" w:right="416"/>
              <w:jc w:val="both"/>
              <w:rPr>
                <w:sz w:val="20"/>
                <w:szCs w:val="20"/>
                <w:lang w:val="en-US"/>
              </w:rPr>
            </w:pPr>
            <w:r w:rsidRPr="009E57E1">
              <w:rPr>
                <w:i/>
                <w:sz w:val="20"/>
                <w:szCs w:val="20"/>
                <w:lang w:val="en-US"/>
              </w:rPr>
              <w:t>Gibson v. Fla. Legislative Investigation Comm.</w:t>
            </w:r>
          </w:p>
        </w:tc>
        <w:tc>
          <w:tcPr>
            <w:tcW w:w="197" w:type="pct"/>
            <w:textDirection w:val="tbRl"/>
            <w:vAlign w:val="center"/>
          </w:tcPr>
          <w:p w14:paraId="11DF0763" w14:textId="77777777" w:rsidR="00074551" w:rsidRPr="00E50B51" w:rsidRDefault="00074551" w:rsidP="00367133">
            <w:pPr>
              <w:ind w:left="113" w:right="113"/>
              <w:jc w:val="both"/>
              <w:rPr>
                <w:sz w:val="20"/>
                <w:szCs w:val="20"/>
                <w:lang w:val="en-US"/>
              </w:rPr>
            </w:pPr>
            <w:r w:rsidRPr="00BE3728">
              <w:rPr>
                <w:sz w:val="20"/>
                <w:szCs w:val="20"/>
              </w:rPr>
              <w:t>372 U.S. 539</w:t>
            </w:r>
          </w:p>
        </w:tc>
        <w:tc>
          <w:tcPr>
            <w:tcW w:w="306" w:type="pct"/>
            <w:textDirection w:val="tbRl"/>
            <w:vAlign w:val="center"/>
          </w:tcPr>
          <w:p w14:paraId="342B1F15" w14:textId="77777777" w:rsidR="00074551" w:rsidRPr="00E50B51" w:rsidRDefault="00074551" w:rsidP="00367133">
            <w:pPr>
              <w:ind w:left="113" w:right="113"/>
              <w:jc w:val="both"/>
              <w:rPr>
                <w:sz w:val="20"/>
                <w:szCs w:val="20"/>
              </w:rPr>
            </w:pPr>
            <w:r w:rsidRPr="00BE3728">
              <w:rPr>
                <w:sz w:val="20"/>
                <w:szCs w:val="20"/>
              </w:rPr>
              <w:t>25. März 1963</w:t>
            </w:r>
          </w:p>
        </w:tc>
        <w:tc>
          <w:tcPr>
            <w:tcW w:w="401" w:type="pct"/>
          </w:tcPr>
          <w:p w14:paraId="7554325B" w14:textId="77777777" w:rsidR="00074551" w:rsidRPr="00E50B51" w:rsidRDefault="00074551" w:rsidP="00367133">
            <w:pPr>
              <w:jc w:val="center"/>
              <w:rPr>
                <w:sz w:val="20"/>
                <w:szCs w:val="20"/>
              </w:rPr>
            </w:pPr>
            <w:r w:rsidRPr="00BE3728">
              <w:rPr>
                <w:sz w:val="20"/>
                <w:szCs w:val="20"/>
                <w:lang w:val="en-US"/>
              </w:rPr>
              <w:t>C</w:t>
            </w:r>
          </w:p>
        </w:tc>
        <w:tc>
          <w:tcPr>
            <w:tcW w:w="1594" w:type="pct"/>
          </w:tcPr>
          <w:p w14:paraId="3A1CC312" w14:textId="06DEED90"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das Urteil gegen den Präsidenten der Florida NAACP auf. Die Vorinstanzen </w:t>
            </w:r>
            <w:r>
              <w:rPr>
                <w:sz w:val="20"/>
                <w:szCs w:val="20"/>
              </w:rPr>
              <w:t>hatten</w:t>
            </w:r>
            <w:r w:rsidRPr="00BE3728">
              <w:rPr>
                <w:sz w:val="20"/>
                <w:szCs w:val="20"/>
              </w:rPr>
              <w:t xml:space="preserve"> ihn zu sechs Monaten Haft</w:t>
            </w:r>
            <w:r>
              <w:rPr>
                <w:sz w:val="20"/>
                <w:szCs w:val="20"/>
              </w:rPr>
              <w:t xml:space="preserve"> verurteilt, d</w:t>
            </w:r>
            <w:r w:rsidRPr="00BE3728">
              <w:rPr>
                <w:sz w:val="20"/>
                <w:szCs w:val="20"/>
              </w:rPr>
              <w:t xml:space="preserve">enn er hatte sich geweigert, einem </w:t>
            </w:r>
            <w:r>
              <w:rPr>
                <w:sz w:val="20"/>
                <w:szCs w:val="20"/>
              </w:rPr>
              <w:t>Untersuchungsausschuss</w:t>
            </w:r>
            <w:r w:rsidRPr="00BE3728">
              <w:rPr>
                <w:sz w:val="20"/>
                <w:szCs w:val="20"/>
              </w:rPr>
              <w:t xml:space="preserve"> die Mitgliederliste der NAACP offenzulegen. Der </w:t>
            </w:r>
            <w:r>
              <w:rPr>
                <w:sz w:val="20"/>
                <w:szCs w:val="20"/>
              </w:rPr>
              <w:t>U.S. Supreme Court</w:t>
            </w:r>
            <w:r w:rsidRPr="00BE3728">
              <w:rPr>
                <w:sz w:val="20"/>
                <w:szCs w:val="20"/>
              </w:rPr>
              <w:t xml:space="preserve"> meinte, die Liste einem Untersuchungsausschuss übergeben</w:t>
            </w:r>
            <w:r>
              <w:rPr>
                <w:sz w:val="20"/>
                <w:szCs w:val="20"/>
              </w:rPr>
              <w:t xml:space="preserve"> zu müssen</w:t>
            </w:r>
            <w:r w:rsidRPr="00BE3728">
              <w:rPr>
                <w:sz w:val="20"/>
                <w:szCs w:val="20"/>
              </w:rPr>
              <w:t xml:space="preserve">, verletze die Vereinigungsfreiheit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 und XIV.</w:t>
            </w:r>
            <w:r w:rsidRPr="00BE3728">
              <w:rPr>
                <w:sz w:val="20"/>
                <w:szCs w:val="20"/>
              </w:rPr>
              <w:t xml:space="preserve"> Denn diese schütze auch die Privatsphäre in Vereinigungen wie der NAACP, somit auch ihre Mitgliederlisten. Sie </w:t>
            </w:r>
            <w:r>
              <w:rPr>
                <w:sz w:val="20"/>
                <w:szCs w:val="20"/>
              </w:rPr>
              <w:t>fielen</w:t>
            </w:r>
            <w:r w:rsidRPr="00BE3728">
              <w:rPr>
                <w:sz w:val="20"/>
                <w:szCs w:val="20"/>
              </w:rPr>
              <w:t xml:space="preserve"> daher nicht unter die staatliche</w:t>
            </w:r>
            <w:r>
              <w:rPr>
                <w:sz w:val="20"/>
                <w:szCs w:val="20"/>
              </w:rPr>
              <w:t>n</w:t>
            </w:r>
            <w:r w:rsidRPr="00BE3728">
              <w:rPr>
                <w:sz w:val="20"/>
                <w:szCs w:val="20"/>
              </w:rPr>
              <w:t xml:space="preserve"> Ermittlungskompetenzen. Ein übergeordnetes staatliches Interesse, das die Anforderung des Untersuchungsau</w:t>
            </w:r>
            <w:r>
              <w:rPr>
                <w:sz w:val="20"/>
                <w:szCs w:val="20"/>
              </w:rPr>
              <w:t>s</w:t>
            </w:r>
            <w:r w:rsidRPr="00BE3728">
              <w:rPr>
                <w:sz w:val="20"/>
                <w:szCs w:val="20"/>
              </w:rPr>
              <w:t>schuss</w:t>
            </w:r>
            <w:r>
              <w:rPr>
                <w:sz w:val="20"/>
                <w:szCs w:val="20"/>
              </w:rPr>
              <w:t>es</w:t>
            </w:r>
            <w:r w:rsidRPr="00BE3728">
              <w:rPr>
                <w:sz w:val="20"/>
                <w:szCs w:val="20"/>
              </w:rPr>
              <w:t xml:space="preserve"> </w:t>
            </w:r>
            <w:r>
              <w:rPr>
                <w:sz w:val="20"/>
                <w:szCs w:val="20"/>
              </w:rPr>
              <w:t>gerechtfertigt hätte</w:t>
            </w:r>
            <w:r w:rsidRPr="00BE3728">
              <w:rPr>
                <w:sz w:val="20"/>
                <w:szCs w:val="20"/>
              </w:rPr>
              <w:t xml:space="preserve">, </w:t>
            </w:r>
            <w:r>
              <w:rPr>
                <w:sz w:val="20"/>
                <w:szCs w:val="20"/>
              </w:rPr>
              <w:t>habe</w:t>
            </w:r>
            <w:r w:rsidRPr="00BE3728">
              <w:rPr>
                <w:sz w:val="20"/>
                <w:szCs w:val="20"/>
              </w:rPr>
              <w:t xml:space="preserve"> der Bundesstaat nicht nach</w:t>
            </w:r>
            <w:r>
              <w:rPr>
                <w:sz w:val="20"/>
                <w:szCs w:val="20"/>
              </w:rPr>
              <w:t>gewiesen</w:t>
            </w:r>
            <w:r w:rsidRPr="00BE3728">
              <w:rPr>
                <w:sz w:val="20"/>
                <w:szCs w:val="20"/>
              </w:rPr>
              <w:t>.</w:t>
            </w:r>
            <w:r w:rsidRPr="00BE3728">
              <w:rPr>
                <w:rStyle w:val="Funotenzeichen"/>
                <w:sz w:val="20"/>
                <w:szCs w:val="20"/>
              </w:rPr>
              <w:footnoteReference w:id="945"/>
            </w:r>
          </w:p>
          <w:p w14:paraId="7C7466AC" w14:textId="77777777" w:rsidR="00074551" w:rsidRPr="00BE3728" w:rsidRDefault="00074551" w:rsidP="00367133">
            <w:pPr>
              <w:jc w:val="both"/>
              <w:rPr>
                <w:sz w:val="20"/>
                <w:szCs w:val="20"/>
              </w:rPr>
            </w:pPr>
          </w:p>
          <w:p w14:paraId="1893CC39" w14:textId="77777777" w:rsidR="00074551" w:rsidRPr="00E50B51" w:rsidRDefault="00074551" w:rsidP="00367133">
            <w:pPr>
              <w:jc w:val="both"/>
              <w:rPr>
                <w:sz w:val="20"/>
                <w:szCs w:val="20"/>
              </w:rPr>
            </w:pPr>
          </w:p>
        </w:tc>
        <w:tc>
          <w:tcPr>
            <w:tcW w:w="1822" w:type="pct"/>
          </w:tcPr>
          <w:p w14:paraId="790E6438"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Constitutional Law › Bill of Rights › Fundamental Freedoms › Freedom of Association</w:t>
            </w:r>
          </w:p>
          <w:p w14:paraId="3827BD6B" w14:textId="592182F4" w:rsidR="00074551" w:rsidRPr="00BE3728" w:rsidRDefault="00074551" w:rsidP="00367133">
            <w:pPr>
              <w:jc w:val="both"/>
              <w:rPr>
                <w:sz w:val="20"/>
                <w:szCs w:val="20"/>
              </w:rPr>
            </w:pPr>
            <w:r w:rsidRPr="002E1085">
              <w:rPr>
                <w:sz w:val="20"/>
                <w:szCs w:val="20"/>
              </w:rPr>
              <w:br/>
            </w:r>
            <w:r>
              <w:rPr>
                <w:sz w:val="20"/>
                <w:szCs w:val="20"/>
              </w:rPr>
              <w:t>Die</w:t>
            </w:r>
            <w:r w:rsidRPr="00BE3728">
              <w:rPr>
                <w:sz w:val="20"/>
                <w:szCs w:val="20"/>
              </w:rPr>
              <w:t xml:space="preserve">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 und XIV</w:t>
            </w:r>
            <w:r w:rsidRPr="00BE3728">
              <w:rPr>
                <w:sz w:val="20"/>
                <w:szCs w:val="20"/>
              </w:rPr>
              <w:t xml:space="preserve"> verankerte</w:t>
            </w:r>
            <w:r>
              <w:rPr>
                <w:sz w:val="20"/>
                <w:szCs w:val="20"/>
              </w:rPr>
              <w:t>n</w:t>
            </w:r>
            <w:r w:rsidRPr="00BE3728">
              <w:rPr>
                <w:sz w:val="20"/>
                <w:szCs w:val="20"/>
              </w:rPr>
              <w:t xml:space="preserve"> Rechte der freien Meinungsäußerung und der Versammlungsfreiheit seien </w:t>
            </w:r>
            <w:r>
              <w:rPr>
                <w:sz w:val="20"/>
                <w:szCs w:val="20"/>
              </w:rPr>
              <w:t xml:space="preserve">von </w:t>
            </w:r>
            <w:r w:rsidRPr="00BE3728">
              <w:rPr>
                <w:sz w:val="20"/>
                <w:szCs w:val="20"/>
              </w:rPr>
              <w:t>grundlegender Bedeutung für das Funktionieren eines freien Staats.</w:t>
            </w:r>
            <w:r w:rsidRPr="00BE3728">
              <w:rPr>
                <w:rStyle w:val="Funotenzeichen"/>
                <w:sz w:val="20"/>
                <w:szCs w:val="20"/>
              </w:rPr>
              <w:footnoteReference w:id="946"/>
            </w:r>
            <w:r w:rsidRPr="00BE3728">
              <w:rPr>
                <w:sz w:val="20"/>
                <w:szCs w:val="20"/>
              </w:rPr>
              <w:t xml:space="preserve"> Daher </w:t>
            </w:r>
            <w:r>
              <w:rPr>
                <w:sz w:val="20"/>
                <w:szCs w:val="20"/>
              </w:rPr>
              <w:t>seien</w:t>
            </w:r>
            <w:r w:rsidRPr="00BE3728">
              <w:rPr>
                <w:sz w:val="20"/>
                <w:szCs w:val="20"/>
              </w:rPr>
              <w:t xml:space="preserve"> diese Freiheiten gegen unmittelbare und mittelbare Eingriffe geschützt.</w:t>
            </w:r>
            <w:r w:rsidRPr="00BE3728">
              <w:rPr>
                <w:rStyle w:val="Funotenzeichen"/>
                <w:sz w:val="20"/>
                <w:szCs w:val="20"/>
              </w:rPr>
              <w:footnoteReference w:id="947"/>
            </w:r>
            <w:r w:rsidRPr="00BE3728">
              <w:rPr>
                <w:sz w:val="20"/>
                <w:szCs w:val="20"/>
              </w:rPr>
              <w:t xml:space="preserve"> Mit der erzwungenen Offenlegung der Zugehörigkeit zu Vereinigungen, die </w:t>
            </w:r>
            <w:r>
              <w:rPr>
                <w:sz w:val="20"/>
                <w:szCs w:val="20"/>
              </w:rPr>
              <w:t xml:space="preserve">bestimmte </w:t>
            </w:r>
            <w:r w:rsidRPr="00BE3728">
              <w:rPr>
                <w:sz w:val="20"/>
                <w:szCs w:val="20"/>
              </w:rPr>
              <w:t>Interessen vertreten, greif</w:t>
            </w:r>
            <w:r>
              <w:rPr>
                <w:sz w:val="20"/>
                <w:szCs w:val="20"/>
              </w:rPr>
              <w:t>e</w:t>
            </w:r>
            <w:r w:rsidRPr="00BE3728">
              <w:rPr>
                <w:sz w:val="20"/>
                <w:szCs w:val="20"/>
              </w:rPr>
              <w:t xml:space="preserve"> diese staatliche Maßnahme in die Vereinigungsfreiheit ein.</w:t>
            </w:r>
            <w:r>
              <w:rPr>
                <w:sz w:val="20"/>
                <w:szCs w:val="20"/>
              </w:rPr>
              <w:t xml:space="preserve"> </w:t>
            </w:r>
            <w:r w:rsidRPr="00BE3728">
              <w:rPr>
                <w:sz w:val="20"/>
                <w:szCs w:val="20"/>
              </w:rPr>
              <w:t xml:space="preserve">Der </w:t>
            </w:r>
            <w:r>
              <w:rPr>
                <w:sz w:val="20"/>
                <w:szCs w:val="20"/>
              </w:rPr>
              <w:t>U.S. Supreme Court</w:t>
            </w:r>
            <w:r w:rsidRPr="00BE3728">
              <w:rPr>
                <w:sz w:val="20"/>
                <w:szCs w:val="20"/>
              </w:rPr>
              <w:t xml:space="preserve"> erkannte diese Beziehung zwischen der Vereinigungsfreiheit und dem Schutz der Privatsphäre an. Die Unverletzlichkeit der Privatsphäre in Gruppenvereinigungen kann für die Vereinigungsfreiheit unerlässlich sein, insbesondere wenn eine Gruppe staatskritische Überzeugungen vertritt.</w:t>
            </w:r>
            <w:r w:rsidRPr="00BE3728">
              <w:rPr>
                <w:rStyle w:val="Funotenzeichen"/>
                <w:sz w:val="20"/>
                <w:szCs w:val="20"/>
              </w:rPr>
              <w:footnoteReference w:id="948"/>
            </w:r>
          </w:p>
          <w:p w14:paraId="679A7C1F" w14:textId="77777777" w:rsidR="00074551" w:rsidRPr="00BE3728" w:rsidRDefault="00074551" w:rsidP="00367133">
            <w:pPr>
              <w:jc w:val="both"/>
              <w:rPr>
                <w:sz w:val="20"/>
                <w:szCs w:val="20"/>
              </w:rPr>
            </w:pPr>
          </w:p>
          <w:p w14:paraId="2C98B1B1" w14:textId="4B11E431" w:rsidR="00074551" w:rsidRPr="00BE3728" w:rsidRDefault="00074551" w:rsidP="00367133">
            <w:pPr>
              <w:jc w:val="both"/>
              <w:rPr>
                <w:sz w:val="20"/>
                <w:szCs w:val="20"/>
              </w:rPr>
            </w:pPr>
            <w:r w:rsidRPr="00BE3728">
              <w:rPr>
                <w:sz w:val="20"/>
                <w:szCs w:val="20"/>
              </w:rPr>
              <w:t xml:space="preserve">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3728">
              <w:rPr>
                <w:sz w:val="20"/>
                <w:szCs w:val="20"/>
              </w:rPr>
              <w:t xml:space="preserve"> hat der Verfassungsgeber die Wertentscheidung getroffen, die Sicherheit auf das Fundament der Freiheit zu setzen, d.h.</w:t>
            </w:r>
            <w:r>
              <w:rPr>
                <w:sz w:val="20"/>
                <w:szCs w:val="20"/>
              </w:rPr>
              <w:t xml:space="preserve"> es muss möglich sein,</w:t>
            </w:r>
            <w:r w:rsidRPr="00BE3728">
              <w:rPr>
                <w:sz w:val="20"/>
                <w:szCs w:val="20"/>
              </w:rPr>
              <w:t xml:space="preserve"> Ideen verbreiten zu können, sich mit Gleichgesinnten zusammenzuschließen und sich der Regierung zu widersetzen, wenn sie in diese Bereiche eingreif</w:t>
            </w:r>
            <w:r>
              <w:rPr>
                <w:sz w:val="20"/>
                <w:szCs w:val="20"/>
              </w:rPr>
              <w:t>t</w:t>
            </w:r>
            <w:r w:rsidRPr="00BE3728">
              <w:rPr>
                <w:sz w:val="20"/>
                <w:szCs w:val="20"/>
              </w:rPr>
              <w:t xml:space="preserve">. Doch woher stammt diese Wertentscheidung? Der </w:t>
            </w:r>
            <w:r>
              <w:rPr>
                <w:sz w:val="20"/>
                <w:szCs w:val="20"/>
              </w:rPr>
              <w:t>U.S. Supreme Court</w:t>
            </w:r>
            <w:r w:rsidRPr="00BE3728">
              <w:rPr>
                <w:sz w:val="20"/>
                <w:szCs w:val="20"/>
              </w:rPr>
              <w:t xml:space="preserve"> stellt auf die Verfasser der </w:t>
            </w:r>
            <w:r w:rsidRPr="5B67C1D2">
              <w:rPr>
                <w:i/>
                <w:iCs/>
                <w:sz w:val="20"/>
                <w:szCs w:val="20"/>
              </w:rPr>
              <w:t>Declaration of Independence</w:t>
            </w:r>
            <w:r w:rsidRPr="00BE3728">
              <w:rPr>
                <w:sz w:val="20"/>
                <w:szCs w:val="20"/>
              </w:rPr>
              <w:t xml:space="preserve"> ab. Sie sahen die Staatsziele („the final end of the State“</w:t>
            </w:r>
            <w:r w:rsidRPr="00BE3728">
              <w:rPr>
                <w:rStyle w:val="Funotenzeichen"/>
                <w:sz w:val="20"/>
                <w:szCs w:val="20"/>
              </w:rPr>
              <w:footnoteReference w:id="949"/>
            </w:r>
            <w:r w:rsidRPr="00BE3728">
              <w:rPr>
                <w:sz w:val="20"/>
                <w:szCs w:val="20"/>
              </w:rPr>
              <w:t xml:space="preserve">) darin, den Menschen Freiheit zu ermöglichen, die Bedingungen zu regeln, dass </w:t>
            </w:r>
            <w:r>
              <w:rPr>
                <w:sz w:val="20"/>
                <w:szCs w:val="20"/>
              </w:rPr>
              <w:t>d</w:t>
            </w:r>
            <w:r w:rsidRPr="00BE3728">
              <w:rPr>
                <w:sz w:val="20"/>
                <w:szCs w:val="20"/>
              </w:rPr>
              <w:t>ie Menschen ihre Fähigkeiten entfalten können und dass die Regierung einer regelbasierten Ordnung folge, nicht der Willkür. Dafür sei Freiheit nicht nur das Ziel, sondern auch das Mittel. Wobei Freiheit selbst die Grundlage für Glück sei („</w:t>
            </w:r>
            <w:proofErr w:type="spellStart"/>
            <w:r w:rsidRPr="00BE3728">
              <w:rPr>
                <w:sz w:val="20"/>
                <w:szCs w:val="20"/>
              </w:rPr>
              <w:t>liberty</w:t>
            </w:r>
            <w:proofErr w:type="spellEnd"/>
            <w:r w:rsidRPr="00BE3728">
              <w:rPr>
                <w:sz w:val="20"/>
                <w:szCs w:val="20"/>
              </w:rPr>
              <w:t xml:space="preserve"> to </w:t>
            </w:r>
            <w:proofErr w:type="spellStart"/>
            <w:r w:rsidRPr="00BE3728">
              <w:rPr>
                <w:sz w:val="20"/>
                <w:szCs w:val="20"/>
              </w:rPr>
              <w:t>be</w:t>
            </w:r>
            <w:proofErr w:type="spellEnd"/>
            <w:r w:rsidRPr="00BE3728">
              <w:rPr>
                <w:sz w:val="20"/>
                <w:szCs w:val="20"/>
              </w:rPr>
              <w:t xml:space="preserve"> the </w:t>
            </w:r>
            <w:proofErr w:type="spellStart"/>
            <w:r w:rsidRPr="00BE3728">
              <w:rPr>
                <w:sz w:val="20"/>
                <w:szCs w:val="20"/>
              </w:rPr>
              <w:t>secret</w:t>
            </w:r>
            <w:proofErr w:type="spellEnd"/>
            <w:r w:rsidRPr="00BE3728">
              <w:rPr>
                <w:sz w:val="20"/>
                <w:szCs w:val="20"/>
              </w:rPr>
              <w:t xml:space="preserve"> of </w:t>
            </w:r>
            <w:proofErr w:type="spellStart"/>
            <w:r w:rsidRPr="00BE3728">
              <w:rPr>
                <w:sz w:val="20"/>
                <w:szCs w:val="20"/>
              </w:rPr>
              <w:t>happiness</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950"/>
            </w:r>
            <w:r w:rsidRPr="00BE3728">
              <w:rPr>
                <w:sz w:val="20"/>
                <w:szCs w:val="20"/>
              </w:rPr>
              <w:t xml:space="preserve">). </w:t>
            </w:r>
            <w:r>
              <w:rPr>
                <w:sz w:val="20"/>
                <w:szCs w:val="20"/>
              </w:rPr>
              <w:t>Was meint das k</w:t>
            </w:r>
            <w:r w:rsidRPr="00BE3728">
              <w:rPr>
                <w:sz w:val="20"/>
                <w:szCs w:val="20"/>
              </w:rPr>
              <w:t>onkret?</w:t>
            </w:r>
            <w:r>
              <w:rPr>
                <w:sz w:val="20"/>
                <w:szCs w:val="20"/>
              </w:rPr>
              <w:t xml:space="preserve"> </w:t>
            </w:r>
            <w:r w:rsidRPr="00BE3728">
              <w:rPr>
                <w:sz w:val="20"/>
                <w:szCs w:val="20"/>
              </w:rPr>
              <w:t xml:space="preserve">Die Glaubens-, Gewissens-, </w:t>
            </w:r>
            <w:r>
              <w:rPr>
                <w:sz w:val="20"/>
                <w:szCs w:val="20"/>
              </w:rPr>
              <w:t xml:space="preserve">und </w:t>
            </w:r>
            <w:r w:rsidRPr="00BE3728">
              <w:rPr>
                <w:sz w:val="20"/>
                <w:szCs w:val="20"/>
              </w:rPr>
              <w:t>Meinungsfreiheit sei</w:t>
            </w:r>
            <w:r>
              <w:rPr>
                <w:sz w:val="20"/>
                <w:szCs w:val="20"/>
              </w:rPr>
              <w:t>en</w:t>
            </w:r>
            <w:r w:rsidRPr="00BE3728">
              <w:rPr>
                <w:sz w:val="20"/>
                <w:szCs w:val="20"/>
              </w:rPr>
              <w:t xml:space="preserve"> unerlässliches Mittel für </w:t>
            </w:r>
            <w:r>
              <w:rPr>
                <w:sz w:val="20"/>
                <w:szCs w:val="20"/>
              </w:rPr>
              <w:t>eine</w:t>
            </w:r>
            <w:r w:rsidRPr="00BE3728">
              <w:rPr>
                <w:sz w:val="20"/>
                <w:szCs w:val="20"/>
              </w:rPr>
              <w:t xml:space="preserve"> Politik, die an der Wahrheit orientiert </w:t>
            </w:r>
            <w:r>
              <w:rPr>
                <w:sz w:val="20"/>
                <w:szCs w:val="20"/>
              </w:rPr>
              <w:t>ist</w:t>
            </w:r>
            <w:r w:rsidRPr="00BE3728">
              <w:rPr>
                <w:sz w:val="20"/>
                <w:szCs w:val="20"/>
              </w:rPr>
              <w:t>. Ohne Rede- sowie Versammlungsfreiheit wäre diese konterkariert. Diese Freiheiten schütz</w:t>
            </w:r>
            <w:r>
              <w:rPr>
                <w:sz w:val="20"/>
                <w:szCs w:val="20"/>
              </w:rPr>
              <w:t>t</w:t>
            </w:r>
            <w:r w:rsidRPr="00BE3728">
              <w:rPr>
                <w:sz w:val="20"/>
                <w:szCs w:val="20"/>
              </w:rPr>
              <w:t xml:space="preserve">en zugleich gegen willkürliche </w:t>
            </w:r>
            <w:r>
              <w:rPr>
                <w:sz w:val="20"/>
                <w:szCs w:val="20"/>
              </w:rPr>
              <w:t>politische Maßnahmen</w:t>
            </w:r>
            <w:r w:rsidRPr="00BE3728">
              <w:rPr>
                <w:sz w:val="20"/>
                <w:szCs w:val="20"/>
              </w:rPr>
              <w:t xml:space="preserve">. Und die größte Bedrohung für </w:t>
            </w:r>
            <w:r>
              <w:rPr>
                <w:sz w:val="20"/>
                <w:szCs w:val="20"/>
              </w:rPr>
              <w:t xml:space="preserve">die </w:t>
            </w:r>
            <w:r w:rsidRPr="00BE3728">
              <w:rPr>
                <w:sz w:val="20"/>
                <w:szCs w:val="20"/>
              </w:rPr>
              <w:t xml:space="preserve">Freiheit sei ein Volk, das seine Freiheiten nicht ausübe. Daher </w:t>
            </w:r>
            <w:r>
              <w:rPr>
                <w:sz w:val="20"/>
                <w:szCs w:val="20"/>
              </w:rPr>
              <w:t>stelle</w:t>
            </w:r>
            <w:r w:rsidRPr="00BE3728">
              <w:rPr>
                <w:sz w:val="20"/>
                <w:szCs w:val="20"/>
              </w:rPr>
              <w:t xml:space="preserve"> die öffentliche Diskussion eine politische Pflicht </w:t>
            </w:r>
            <w:r>
              <w:rPr>
                <w:sz w:val="20"/>
                <w:szCs w:val="20"/>
              </w:rPr>
              <w:t>dar </w:t>
            </w:r>
            <w:r w:rsidRPr="00BE3728">
              <w:rPr>
                <w:sz w:val="20"/>
                <w:szCs w:val="20"/>
              </w:rPr>
              <w:t xml:space="preserve">– ein Grundprinzip der amerikanischen Regierung („fundamental </w:t>
            </w:r>
            <w:proofErr w:type="spellStart"/>
            <w:r w:rsidRPr="00BE3728">
              <w:rPr>
                <w:sz w:val="20"/>
                <w:szCs w:val="20"/>
              </w:rPr>
              <w:t>principle</w:t>
            </w:r>
            <w:proofErr w:type="spellEnd"/>
            <w:r w:rsidRPr="00BE3728">
              <w:rPr>
                <w:sz w:val="20"/>
                <w:szCs w:val="20"/>
              </w:rPr>
              <w:t xml:space="preserve"> of the American </w:t>
            </w:r>
            <w:proofErr w:type="spellStart"/>
            <w:r w:rsidRPr="00BE3728">
              <w:rPr>
                <w:sz w:val="20"/>
                <w:szCs w:val="20"/>
              </w:rPr>
              <w:t>government</w:t>
            </w:r>
            <w:proofErr w:type="spellEnd"/>
            <w:r w:rsidRPr="00BE3728">
              <w:rPr>
                <w:sz w:val="20"/>
                <w:szCs w:val="20"/>
              </w:rPr>
              <w:t>“</w:t>
            </w:r>
            <w:r w:rsidRPr="00BE3728">
              <w:rPr>
                <w:rStyle w:val="Funotenzeichen"/>
                <w:sz w:val="20"/>
                <w:szCs w:val="20"/>
              </w:rPr>
              <w:t xml:space="preserve"> </w:t>
            </w:r>
            <w:r w:rsidRPr="00BE3728">
              <w:rPr>
                <w:rStyle w:val="Funotenzeichen"/>
                <w:sz w:val="20"/>
                <w:szCs w:val="20"/>
              </w:rPr>
              <w:footnoteReference w:id="951"/>
            </w:r>
            <w:r w:rsidRPr="00BE3728">
              <w:rPr>
                <w:sz w:val="20"/>
                <w:szCs w:val="20"/>
              </w:rPr>
              <w:t>).</w:t>
            </w:r>
          </w:p>
          <w:p w14:paraId="78E59383" w14:textId="77777777" w:rsidR="00074551" w:rsidRPr="00E50B51" w:rsidRDefault="00074551" w:rsidP="00367133">
            <w:pPr>
              <w:jc w:val="both"/>
              <w:rPr>
                <w:sz w:val="20"/>
                <w:szCs w:val="20"/>
              </w:rPr>
            </w:pPr>
          </w:p>
        </w:tc>
      </w:tr>
      <w:tr w:rsidR="00074551" w:rsidRPr="00E50B51" w14:paraId="645CBB61" w14:textId="77777777" w:rsidTr="00BE689F">
        <w:trPr>
          <w:cantSplit/>
          <w:trHeight w:val="3175"/>
        </w:trPr>
        <w:tc>
          <w:tcPr>
            <w:tcW w:w="293" w:type="pct"/>
          </w:tcPr>
          <w:p w14:paraId="62C79B88"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1EA697F6" w14:textId="77777777" w:rsidR="00074551" w:rsidRPr="00B45592" w:rsidRDefault="00074551" w:rsidP="00367133">
            <w:pPr>
              <w:ind w:left="113" w:right="416"/>
              <w:jc w:val="both"/>
              <w:rPr>
                <w:i/>
                <w:sz w:val="20"/>
                <w:szCs w:val="20"/>
                <w:lang w:val="en-US"/>
              </w:rPr>
            </w:pPr>
            <w:r w:rsidRPr="00B45592">
              <w:rPr>
                <w:i/>
                <w:sz w:val="20"/>
                <w:szCs w:val="20"/>
                <w:lang w:val="en-US"/>
              </w:rPr>
              <w:t xml:space="preserve">United States </w:t>
            </w:r>
            <w:proofErr w:type="spellStart"/>
            <w:r w:rsidRPr="00B45592">
              <w:rPr>
                <w:i/>
                <w:sz w:val="20"/>
                <w:szCs w:val="20"/>
                <w:lang w:val="en-US"/>
              </w:rPr>
              <w:t>Dep’t</w:t>
            </w:r>
            <w:proofErr w:type="spellEnd"/>
            <w:r w:rsidRPr="00B45592">
              <w:rPr>
                <w:i/>
                <w:sz w:val="20"/>
                <w:szCs w:val="20"/>
                <w:lang w:val="en-US"/>
              </w:rPr>
              <w:t xml:space="preserve"> of Agric. v. Moreno</w:t>
            </w:r>
          </w:p>
        </w:tc>
        <w:tc>
          <w:tcPr>
            <w:tcW w:w="197" w:type="pct"/>
            <w:textDirection w:val="tbRl"/>
            <w:vAlign w:val="center"/>
          </w:tcPr>
          <w:p w14:paraId="78206CE4" w14:textId="77777777" w:rsidR="00074551" w:rsidRPr="00E50B51" w:rsidRDefault="00074551" w:rsidP="00367133">
            <w:pPr>
              <w:ind w:left="113" w:right="113"/>
              <w:jc w:val="both"/>
              <w:rPr>
                <w:sz w:val="20"/>
                <w:szCs w:val="20"/>
                <w:lang w:val="en-US"/>
              </w:rPr>
            </w:pPr>
            <w:r w:rsidRPr="00BE3728">
              <w:rPr>
                <w:sz w:val="20"/>
                <w:szCs w:val="20"/>
              </w:rPr>
              <w:t>413 U.S. 528</w:t>
            </w:r>
          </w:p>
        </w:tc>
        <w:tc>
          <w:tcPr>
            <w:tcW w:w="306" w:type="pct"/>
            <w:textDirection w:val="tbRl"/>
            <w:vAlign w:val="center"/>
          </w:tcPr>
          <w:p w14:paraId="0EFE4D55" w14:textId="77777777" w:rsidR="00074551" w:rsidRPr="00E50B51" w:rsidRDefault="00074551" w:rsidP="00367133">
            <w:pPr>
              <w:ind w:left="113" w:right="113"/>
              <w:jc w:val="both"/>
              <w:rPr>
                <w:sz w:val="20"/>
                <w:szCs w:val="20"/>
              </w:rPr>
            </w:pPr>
            <w:r w:rsidRPr="00BE3728">
              <w:rPr>
                <w:sz w:val="20"/>
                <w:szCs w:val="20"/>
              </w:rPr>
              <w:t>25. Juni 1973</w:t>
            </w:r>
          </w:p>
        </w:tc>
        <w:tc>
          <w:tcPr>
            <w:tcW w:w="401" w:type="pct"/>
          </w:tcPr>
          <w:p w14:paraId="4CE97BF0" w14:textId="77777777" w:rsidR="00074551" w:rsidRPr="00E50B51" w:rsidRDefault="00074551" w:rsidP="00367133">
            <w:pPr>
              <w:jc w:val="center"/>
              <w:rPr>
                <w:sz w:val="20"/>
                <w:szCs w:val="20"/>
              </w:rPr>
            </w:pPr>
            <w:r w:rsidRPr="00BE3728">
              <w:rPr>
                <w:sz w:val="20"/>
                <w:szCs w:val="20"/>
                <w:lang w:val="en-US"/>
              </w:rPr>
              <w:t>C</w:t>
            </w:r>
          </w:p>
        </w:tc>
        <w:tc>
          <w:tcPr>
            <w:tcW w:w="1594" w:type="pct"/>
          </w:tcPr>
          <w:p w14:paraId="344479A9" w14:textId="74692ED4"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die Entscheidung des Bezirksgerichts. Das Gericht hatte die Ausnahme im </w:t>
            </w:r>
            <w:r w:rsidRPr="5B67C1D2">
              <w:rPr>
                <w:i/>
                <w:iCs/>
                <w:sz w:val="20"/>
                <w:szCs w:val="20"/>
              </w:rPr>
              <w:t>Food Stamp Act</w:t>
            </w:r>
            <w:r w:rsidRPr="00BE3728">
              <w:rPr>
                <w:sz w:val="20"/>
                <w:szCs w:val="20"/>
              </w:rPr>
              <w:t xml:space="preserve"> von 1964 gemäß §</w:t>
            </w:r>
            <w:r>
              <w:rPr>
                <w:sz w:val="20"/>
                <w:szCs w:val="20"/>
              </w:rPr>
              <w:t>§ </w:t>
            </w:r>
            <w:r w:rsidRPr="00BE3728">
              <w:rPr>
                <w:sz w:val="20"/>
                <w:szCs w:val="20"/>
              </w:rPr>
              <w:t xml:space="preserve">3, 7 U.S.C.S. </w:t>
            </w:r>
            <w:r>
              <w:rPr>
                <w:sz w:val="20"/>
                <w:szCs w:val="20"/>
              </w:rPr>
              <w:t>§ </w:t>
            </w:r>
            <w:r w:rsidRPr="00BE3728">
              <w:rPr>
                <w:sz w:val="20"/>
                <w:szCs w:val="20"/>
              </w:rPr>
              <w:t>2012</w:t>
            </w:r>
            <w:r>
              <w:rPr>
                <w:sz w:val="20"/>
                <w:szCs w:val="20"/>
              </w:rPr>
              <w:t>,</w:t>
            </w:r>
            <w:r w:rsidRPr="00BE3728">
              <w:rPr>
                <w:rStyle w:val="Funotenzeichen"/>
                <w:sz w:val="20"/>
                <w:szCs w:val="20"/>
              </w:rPr>
              <w:footnoteReference w:id="952"/>
            </w:r>
            <w:r>
              <w:rPr>
                <w:sz w:val="20"/>
                <w:szCs w:val="20"/>
              </w:rPr>
              <w:t xml:space="preserve"> nämlich </w:t>
            </w:r>
            <w:r w:rsidRPr="00BE3728">
              <w:rPr>
                <w:sz w:val="20"/>
                <w:szCs w:val="20"/>
              </w:rPr>
              <w:t xml:space="preserve">Lebensmittelhilfe auf Haushalte </w:t>
            </w:r>
            <w:r>
              <w:rPr>
                <w:sz w:val="20"/>
                <w:szCs w:val="20"/>
              </w:rPr>
              <w:t>aus</w:t>
            </w:r>
            <w:r w:rsidRPr="00BE3728">
              <w:rPr>
                <w:sz w:val="20"/>
                <w:szCs w:val="20"/>
              </w:rPr>
              <w:t xml:space="preserve"> Verwandte</w:t>
            </w:r>
            <w:r>
              <w:rPr>
                <w:sz w:val="20"/>
                <w:szCs w:val="20"/>
              </w:rPr>
              <w:t>n</w:t>
            </w:r>
            <w:r w:rsidRPr="00BE3728">
              <w:rPr>
                <w:sz w:val="20"/>
                <w:szCs w:val="20"/>
              </w:rPr>
              <w:t xml:space="preserve"> zu beschränken</w:t>
            </w:r>
            <w:r>
              <w:rPr>
                <w:sz w:val="20"/>
                <w:szCs w:val="20"/>
              </w:rPr>
              <w:t>,</w:t>
            </w:r>
            <w:r w:rsidRPr="00BE3728">
              <w:rPr>
                <w:sz w:val="20"/>
                <w:szCs w:val="20"/>
              </w:rPr>
              <w:t xml:space="preserve"> für nichtig erklärt. Der Hintergrund war, dass </w:t>
            </w:r>
            <w:r>
              <w:rPr>
                <w:sz w:val="20"/>
                <w:szCs w:val="20"/>
              </w:rPr>
              <w:t>die</w:t>
            </w:r>
            <w:r w:rsidRPr="00BE3728">
              <w:rPr>
                <w:sz w:val="20"/>
                <w:szCs w:val="20"/>
              </w:rPr>
              <w:t xml:space="preserve"> Be</w:t>
            </w:r>
            <w:r w:rsidR="1D373D6C" w:rsidRPr="5B67C1D2">
              <w:rPr>
                <w:sz w:val="20"/>
                <w:szCs w:val="20"/>
              </w:rPr>
              <w:t>rufungs</w:t>
            </w:r>
            <w:r w:rsidRPr="5B67C1D2">
              <w:rPr>
                <w:sz w:val="20"/>
                <w:szCs w:val="20"/>
              </w:rPr>
              <w:t xml:space="preserve">klagte und ihr Haushalt zwar die Einkommensanforderungen für die Lebensmittelhilfen nach dem </w:t>
            </w:r>
            <w:r w:rsidRPr="5B67C1D2">
              <w:rPr>
                <w:i/>
                <w:iCs/>
                <w:sz w:val="20"/>
                <w:szCs w:val="20"/>
              </w:rPr>
              <w:t>Food Stamp Act</w:t>
            </w:r>
            <w:r w:rsidRPr="5B67C1D2">
              <w:rPr>
                <w:sz w:val="20"/>
                <w:szCs w:val="20"/>
              </w:rPr>
              <w:t xml:space="preserve"> erfüllten. Aber die B</w:t>
            </w:r>
            <w:r w:rsidR="37E607CA" w:rsidRPr="5B67C1D2">
              <w:rPr>
                <w:sz w:val="20"/>
                <w:szCs w:val="20"/>
              </w:rPr>
              <w:t>erufungsb</w:t>
            </w:r>
            <w:r w:rsidRPr="5B67C1D2">
              <w:rPr>
                <w:sz w:val="20"/>
                <w:szCs w:val="20"/>
              </w:rPr>
              <w:t xml:space="preserve">eklagte war von der Inanspruchnahme ausgeschlossen. Denn in ihrem Haushalt wohnten Menschen zusammen, die keine Verwandtschaft aufwiesen. Sie ersuchte daraufhin eine gerichtliche Überprüfung dieser Ausnahme. Das Bezirksgericht urteilte, die Bestimmung für nicht verwandte Personen stelle eine willkürliche Klassifizierung dar. Und sie verletzte den Gleichheitsschutz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5B67C1D2">
              <w:rPr>
                <w:sz w:val="20"/>
                <w:szCs w:val="20"/>
              </w:rPr>
              <w:t xml:space="preserve"> Der U.S. Supreme Court urteilte, dass die Klassifizierung weder geeignet für den Zweck des Food Stamp Act </w:t>
            </w:r>
            <w:proofErr w:type="gramStart"/>
            <w:r w:rsidRPr="5B67C1D2">
              <w:rPr>
                <w:sz w:val="20"/>
                <w:szCs w:val="20"/>
              </w:rPr>
              <w:t>sei,</w:t>
            </w:r>
            <w:proofErr w:type="gramEnd"/>
            <w:r w:rsidRPr="5B67C1D2">
              <w:rPr>
                <w:sz w:val="20"/>
                <w:szCs w:val="20"/>
              </w:rPr>
              <w:t xml:space="preserve"> noch sei sie erforderlich für das Ziel, Betrug zu verhindern. Denn letztendlich schließe die Ausnahme Bedürftige aus, die ihre Wohnsituation nicht ändern könnten.</w:t>
            </w:r>
            <w:r w:rsidRPr="5B67C1D2">
              <w:rPr>
                <w:rStyle w:val="Funotenzeichen"/>
                <w:sz w:val="20"/>
                <w:szCs w:val="20"/>
              </w:rPr>
              <w:footnoteReference w:id="953"/>
            </w:r>
          </w:p>
          <w:p w14:paraId="41FC0935" w14:textId="77777777" w:rsidR="00074551" w:rsidRPr="00E50B51" w:rsidRDefault="00074551" w:rsidP="00367133">
            <w:pPr>
              <w:jc w:val="both"/>
              <w:rPr>
                <w:sz w:val="20"/>
                <w:szCs w:val="20"/>
              </w:rPr>
            </w:pPr>
          </w:p>
        </w:tc>
        <w:tc>
          <w:tcPr>
            <w:tcW w:w="1822" w:type="pct"/>
          </w:tcPr>
          <w:p w14:paraId="7CFA14A9" w14:textId="77777777" w:rsidR="00074551" w:rsidRPr="00B45592" w:rsidRDefault="00074551" w:rsidP="00367133">
            <w:pPr>
              <w:jc w:val="both"/>
              <w:rPr>
                <w:i/>
                <w:sz w:val="20"/>
                <w:szCs w:val="20"/>
              </w:rPr>
            </w:pPr>
            <w:r w:rsidRPr="00B45592">
              <w:rPr>
                <w:i/>
                <w:sz w:val="20"/>
                <w:szCs w:val="20"/>
              </w:rPr>
              <w:t xml:space="preserve">LexisNexis-Klassifikation: Constitutional Law › Substantive Due </w:t>
            </w:r>
            <w:proofErr w:type="spellStart"/>
            <w:r w:rsidRPr="00B45592">
              <w:rPr>
                <w:i/>
                <w:sz w:val="20"/>
                <w:szCs w:val="20"/>
              </w:rPr>
              <w:t>Process</w:t>
            </w:r>
            <w:proofErr w:type="spellEnd"/>
            <w:r w:rsidRPr="00B45592">
              <w:rPr>
                <w:i/>
                <w:sz w:val="20"/>
                <w:szCs w:val="20"/>
              </w:rPr>
              <w:t xml:space="preserve"> › Scope</w:t>
            </w:r>
          </w:p>
          <w:p w14:paraId="20F79281" w14:textId="77777777" w:rsidR="00074551" w:rsidRPr="00B45592" w:rsidRDefault="00074551" w:rsidP="00367133">
            <w:pPr>
              <w:jc w:val="both"/>
              <w:rPr>
                <w:sz w:val="20"/>
                <w:szCs w:val="20"/>
              </w:rPr>
            </w:pPr>
          </w:p>
          <w:p w14:paraId="54BC231F" w14:textId="1ECD3D9F" w:rsidR="00074551" w:rsidRDefault="00074551" w:rsidP="00367133">
            <w:pPr>
              <w:jc w:val="both"/>
              <w:rPr>
                <w:sz w:val="20"/>
                <w:szCs w:val="20"/>
              </w:rPr>
            </w:pPr>
            <w:r w:rsidRPr="00BE3728">
              <w:rPr>
                <w:sz w:val="20"/>
                <w:szCs w:val="20"/>
              </w:rPr>
              <w:t xml:space="preserve">Die Bestimmung über nicht verwandte Personen in </w:t>
            </w:r>
            <w:r>
              <w:rPr>
                <w:sz w:val="20"/>
                <w:szCs w:val="20"/>
              </w:rPr>
              <w:t>§ </w:t>
            </w:r>
            <w:r w:rsidRPr="00BE3728">
              <w:rPr>
                <w:sz w:val="20"/>
                <w:szCs w:val="20"/>
              </w:rPr>
              <w:t xml:space="preserve">3 (e) des Food Stamp Act von 1964, 7 U.S.C.S. </w:t>
            </w:r>
            <w:r>
              <w:rPr>
                <w:sz w:val="20"/>
                <w:szCs w:val="20"/>
              </w:rPr>
              <w:t>§ </w:t>
            </w:r>
            <w:r w:rsidRPr="00BE3728">
              <w:rPr>
                <w:sz w:val="20"/>
                <w:szCs w:val="20"/>
              </w:rPr>
              <w:t xml:space="preserve">2012(e) schaffe eine irrationale Klassifizierung, die gegen die Gleichheitskomponente der Klausel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BE3728">
              <w:rPr>
                <w:sz w:val="20"/>
                <w:szCs w:val="20"/>
              </w:rPr>
              <w:t xml:space="preserve"> verstoße.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BE3728">
              <w:rPr>
                <w:sz w:val="20"/>
                <w:szCs w:val="20"/>
              </w:rPr>
              <w:t xml:space="preserve"> enthält zwar </w:t>
            </w:r>
            <w:r w:rsidRPr="5B67C1D2">
              <w:rPr>
                <w:i/>
                <w:iCs/>
                <w:sz w:val="20"/>
                <w:szCs w:val="20"/>
              </w:rPr>
              <w:t>expressis verbis</w:t>
            </w:r>
            <w:r w:rsidRPr="00BE3728">
              <w:rPr>
                <w:sz w:val="20"/>
                <w:szCs w:val="20"/>
              </w:rPr>
              <w:t xml:space="preserve"> keine Gleichheitsklausel, aber e</w:t>
            </w:r>
            <w:r>
              <w:rPr>
                <w:sz w:val="20"/>
                <w:szCs w:val="20"/>
              </w:rPr>
              <w:t>s</w:t>
            </w:r>
            <w:r w:rsidRPr="00BE3728">
              <w:rPr>
                <w:sz w:val="20"/>
                <w:szCs w:val="20"/>
              </w:rPr>
              <w:t xml:space="preserve"> verbiete </w:t>
            </w:r>
            <w:r>
              <w:rPr>
                <w:sz w:val="20"/>
                <w:szCs w:val="20"/>
              </w:rPr>
              <w:t>eine</w:t>
            </w:r>
            <w:r w:rsidRPr="00BE3728">
              <w:rPr>
                <w:sz w:val="20"/>
                <w:szCs w:val="20"/>
              </w:rPr>
              <w:t xml:space="preserve"> </w:t>
            </w:r>
            <w:r>
              <w:rPr>
                <w:sz w:val="20"/>
                <w:szCs w:val="20"/>
              </w:rPr>
              <w:t xml:space="preserve">derart </w:t>
            </w:r>
            <w:r w:rsidRPr="00BE3728">
              <w:rPr>
                <w:sz w:val="20"/>
                <w:szCs w:val="20"/>
              </w:rPr>
              <w:t>ungerechtfertigt</w:t>
            </w:r>
            <w:r>
              <w:rPr>
                <w:sz w:val="20"/>
                <w:szCs w:val="20"/>
              </w:rPr>
              <w:t>e Diskriminierung</w:t>
            </w:r>
            <w:r w:rsidRPr="00BE3728">
              <w:rPr>
                <w:sz w:val="20"/>
                <w:szCs w:val="20"/>
              </w:rPr>
              <w:t xml:space="preserve">, dass das Recht auf ein rechtsstaatliches Verfahren </w:t>
            </w:r>
            <w:r>
              <w:rPr>
                <w:sz w:val="20"/>
                <w:szCs w:val="20"/>
              </w:rPr>
              <w:t>verletzt werde</w:t>
            </w:r>
            <w:r w:rsidRPr="00BE3728">
              <w:rPr>
                <w:sz w:val="20"/>
                <w:szCs w:val="20"/>
              </w:rPr>
              <w:t>.</w:t>
            </w:r>
            <w:r w:rsidRPr="00BE3728">
              <w:rPr>
                <w:rStyle w:val="Funotenzeichen"/>
                <w:sz w:val="20"/>
                <w:szCs w:val="20"/>
              </w:rPr>
              <w:footnoteReference w:id="954"/>
            </w:r>
          </w:p>
          <w:p w14:paraId="509C484F" w14:textId="77777777" w:rsidR="00074551" w:rsidRPr="00BE3728" w:rsidRDefault="00074551" w:rsidP="00367133">
            <w:pPr>
              <w:jc w:val="both"/>
              <w:rPr>
                <w:sz w:val="20"/>
                <w:szCs w:val="20"/>
              </w:rPr>
            </w:pPr>
          </w:p>
          <w:p w14:paraId="168ED5B2" w14:textId="3371B2A1" w:rsidR="00074551" w:rsidRDefault="00074551" w:rsidP="5B67C1D2">
            <w:pPr>
              <w:jc w:val="both"/>
              <w:rPr>
                <w:sz w:val="20"/>
                <w:szCs w:val="20"/>
              </w:rPr>
            </w:pPr>
            <w:r w:rsidRPr="00BE3728">
              <w:rPr>
                <w:sz w:val="20"/>
                <w:szCs w:val="20"/>
              </w:rPr>
              <w:t xml:space="preserve">Die Definition der nicht verwandten Personen des </w:t>
            </w:r>
            <w:r w:rsidRPr="5B67C1D2">
              <w:rPr>
                <w:i/>
                <w:iCs/>
                <w:sz w:val="20"/>
                <w:szCs w:val="20"/>
              </w:rPr>
              <w:t>Food Stamp Act</w:t>
            </w:r>
            <w:r w:rsidRPr="00BE3728">
              <w:rPr>
                <w:sz w:val="20"/>
                <w:szCs w:val="20"/>
              </w:rPr>
              <w:t xml:space="preserve"> sei verfassungswidrig, so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w:t>
            </w:r>
            <w:r w:rsidRPr="00BE3728">
              <w:rPr>
                <w:sz w:val="20"/>
                <w:szCs w:val="20"/>
              </w:rPr>
              <w:t xml:space="preserve"> Denn es </w:t>
            </w:r>
            <w:r>
              <w:rPr>
                <w:sz w:val="20"/>
                <w:szCs w:val="20"/>
              </w:rPr>
              <w:t>schlössen</w:t>
            </w:r>
            <w:r w:rsidRPr="00BE3728">
              <w:rPr>
                <w:sz w:val="20"/>
                <w:szCs w:val="20"/>
              </w:rPr>
              <w:t xml:space="preserve"> sich häufig arme, nicht verwandte Personen in Haushalten zusammen</w:t>
            </w:r>
            <w:r>
              <w:rPr>
                <w:sz w:val="20"/>
                <w:szCs w:val="20"/>
              </w:rPr>
              <w:t>, um</w:t>
            </w:r>
            <w:r w:rsidRPr="00BE3728">
              <w:rPr>
                <w:sz w:val="20"/>
                <w:szCs w:val="20"/>
              </w:rPr>
              <w:t xml:space="preserve"> kollektiv der Armut begegnen</w:t>
            </w:r>
            <w:r>
              <w:rPr>
                <w:sz w:val="20"/>
                <w:szCs w:val="20"/>
              </w:rPr>
              <w:t xml:space="preserve"> zu können</w:t>
            </w:r>
            <w:r w:rsidRPr="00BE3728">
              <w:rPr>
                <w:sz w:val="20"/>
                <w:szCs w:val="20"/>
              </w:rPr>
              <w:t>. Die Vereinigungsfreiheit schütz</w:t>
            </w:r>
            <w:r>
              <w:rPr>
                <w:sz w:val="20"/>
                <w:szCs w:val="20"/>
              </w:rPr>
              <w:t>e</w:t>
            </w:r>
            <w:r w:rsidRPr="00BE3728">
              <w:rPr>
                <w:sz w:val="20"/>
                <w:szCs w:val="20"/>
              </w:rPr>
              <w:t xml:space="preserve"> dieses Kollektiv, das hier ärmere Menschen umfasse.</w:t>
            </w:r>
            <w:r w:rsidRPr="00BE3728">
              <w:rPr>
                <w:rStyle w:val="Funotenzeichen"/>
                <w:sz w:val="20"/>
                <w:szCs w:val="20"/>
              </w:rPr>
              <w:footnoteReference w:id="955"/>
            </w:r>
            <w:r w:rsidRPr="00BE3728">
              <w:rPr>
                <w:sz w:val="20"/>
                <w:szCs w:val="20"/>
              </w:rPr>
              <w:t xml:space="preserve"> Dabei handele es sich um ein peripheres Recht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5B67C1D2">
              <w:rPr>
                <w:sz w:val="20"/>
                <w:szCs w:val="20"/>
              </w:rPr>
              <w:t>, weil nicht der Wortlaut, sondern der Sinn und Zweck des Amendments es umfass</w:t>
            </w:r>
            <w:r>
              <w:rPr>
                <w:sz w:val="20"/>
                <w:szCs w:val="20"/>
              </w:rPr>
              <w:t>ten</w:t>
            </w:r>
            <w:r w:rsidRPr="00BE3728">
              <w:rPr>
                <w:sz w:val="20"/>
                <w:szCs w:val="20"/>
              </w:rPr>
              <w:t xml:space="preserve">. Andere periphere Rechte sind das Recht, die Schule für das </w:t>
            </w:r>
            <w:r>
              <w:rPr>
                <w:sz w:val="20"/>
                <w:szCs w:val="20"/>
              </w:rPr>
              <w:t xml:space="preserve">eigene </w:t>
            </w:r>
            <w:r w:rsidRPr="00BE3728">
              <w:rPr>
                <w:sz w:val="20"/>
                <w:szCs w:val="20"/>
              </w:rPr>
              <w:t>Kind zu wählen, die Freiheit zu lernen, aber auch der Schutz des Lehrens und des Kommunizierens von Ideen sowie das eheliche Recht auf Privatsphäre.</w:t>
            </w:r>
            <w:r w:rsidRPr="00BE3728">
              <w:rPr>
                <w:rStyle w:val="Funotenzeichen"/>
                <w:sz w:val="20"/>
                <w:szCs w:val="20"/>
              </w:rPr>
              <w:footnoteReference w:id="956"/>
            </w:r>
            <w:r w:rsidRPr="00BE3728">
              <w:rPr>
                <w:sz w:val="20"/>
                <w:szCs w:val="20"/>
              </w:rPr>
              <w:t xml:space="preserve"> Aber warum heißen sie periphere Rechte? Wie diese Beispiele zeigen, werden die peripheren verfassungsmäßigen Rechte nicht unbedingt in Vereinigungen oder Versammlungen nach dem Wortlaut des Amendments ausgeübt, sondern drücken sich peripher</w:t>
            </w:r>
            <w:r>
              <w:rPr>
                <w:sz w:val="20"/>
                <w:szCs w:val="20"/>
              </w:rPr>
              <w:t> </w:t>
            </w:r>
            <w:r w:rsidRPr="00BE3728">
              <w:rPr>
                <w:sz w:val="20"/>
                <w:szCs w:val="20"/>
              </w:rPr>
              <w:t>– also im Rahmen des Sinns und Zwecks</w:t>
            </w:r>
            <w:r>
              <w:rPr>
                <w:sz w:val="20"/>
                <w:szCs w:val="20"/>
              </w:rPr>
              <w:t> </w:t>
            </w:r>
            <w:r w:rsidRPr="00BE3728">
              <w:rPr>
                <w:sz w:val="20"/>
                <w:szCs w:val="20"/>
              </w:rPr>
              <w:t>– in individuellen Entscheidungen aus, wie bei der Schulwahlfreiheit. Doch warum folgt aus den peripheren Rechten die Verfassungswidrigkeit der Definition der n</w:t>
            </w:r>
            <w:r w:rsidRPr="5B67C1D2">
              <w:rPr>
                <w:sz w:val="20"/>
                <w:szCs w:val="20"/>
              </w:rPr>
              <w:t xml:space="preserve">icht verwandten Personen im </w:t>
            </w:r>
            <w:r w:rsidRPr="5B67C1D2">
              <w:rPr>
                <w:i/>
                <w:iCs/>
                <w:sz w:val="20"/>
                <w:szCs w:val="20"/>
              </w:rPr>
              <w:t>Food Stamp Act</w:t>
            </w:r>
            <w:r w:rsidRPr="5B67C1D2">
              <w:rPr>
                <w:sz w:val="20"/>
                <w:szCs w:val="20"/>
              </w:rPr>
              <w:t xml:space="preserve">? </w:t>
            </w:r>
            <w:r w:rsidR="58CA9390" w:rsidRPr="5B67C1D2">
              <w:rPr>
                <w:color w:val="242424"/>
                <w:sz w:val="20"/>
                <w:szCs w:val="20"/>
              </w:rPr>
              <w:t>Die Aufnahme einer auch nicht verwandten Person in das eigene Haus, z.B. weil sie arm sei, Hilfe brauche oder so das Glück im Haushalt erhöht werde („</w:t>
            </w:r>
            <w:proofErr w:type="spellStart"/>
            <w:r w:rsidR="58CA9390" w:rsidRPr="5B67C1D2">
              <w:rPr>
                <w:color w:val="242424"/>
                <w:sz w:val="20"/>
                <w:szCs w:val="20"/>
              </w:rPr>
              <w:t>brings</w:t>
            </w:r>
            <w:proofErr w:type="spellEnd"/>
            <w:r w:rsidR="58CA9390" w:rsidRPr="5B67C1D2">
              <w:rPr>
                <w:color w:val="242424"/>
                <w:sz w:val="20"/>
                <w:szCs w:val="20"/>
              </w:rPr>
              <w:t xml:space="preserve"> </w:t>
            </w:r>
            <w:proofErr w:type="spellStart"/>
            <w:r w:rsidR="58CA9390" w:rsidRPr="5B67C1D2">
              <w:rPr>
                <w:color w:val="242424"/>
                <w:sz w:val="20"/>
                <w:szCs w:val="20"/>
              </w:rPr>
              <w:t>happiness</w:t>
            </w:r>
            <w:proofErr w:type="spellEnd"/>
            <w:r w:rsidR="58CA9390" w:rsidRPr="5B67C1D2">
              <w:rPr>
                <w:color w:val="242424"/>
                <w:sz w:val="20"/>
                <w:szCs w:val="20"/>
              </w:rPr>
              <w:t xml:space="preserve"> to the </w:t>
            </w:r>
            <w:proofErr w:type="spellStart"/>
            <w:r w:rsidR="58CA9390" w:rsidRPr="5B67C1D2">
              <w:rPr>
                <w:color w:val="242424"/>
                <w:sz w:val="20"/>
                <w:szCs w:val="20"/>
              </w:rPr>
              <w:t>household</w:t>
            </w:r>
            <w:proofErr w:type="spellEnd"/>
            <w:r w:rsidR="58CA9390" w:rsidRPr="5B67C1D2">
              <w:rPr>
                <w:color w:val="242424"/>
                <w:sz w:val="20"/>
                <w:szCs w:val="20"/>
              </w:rPr>
              <w:t>“) sei ein ebenso wichtiges peripheres Recht.</w:t>
            </w:r>
            <w:r w:rsidRPr="5B67C1D2">
              <w:rPr>
                <w:sz w:val="20"/>
                <w:szCs w:val="20"/>
                <w:vertAlign w:val="superscript"/>
              </w:rPr>
              <w:footnoteReference w:id="957"/>
            </w:r>
            <w:r w:rsidRPr="5B67C1D2">
              <w:rPr>
                <w:sz w:val="20"/>
                <w:szCs w:val="20"/>
              </w:rPr>
              <w:t>.</w:t>
            </w:r>
          </w:p>
          <w:p w14:paraId="00A8BCB9" w14:textId="77777777" w:rsidR="00074551" w:rsidRPr="00E50B51" w:rsidRDefault="00074551" w:rsidP="00367133">
            <w:pPr>
              <w:jc w:val="both"/>
              <w:rPr>
                <w:sz w:val="20"/>
                <w:szCs w:val="20"/>
              </w:rPr>
            </w:pPr>
          </w:p>
        </w:tc>
      </w:tr>
      <w:tr w:rsidR="00074551" w:rsidRPr="00E50B51" w14:paraId="72A0C188" w14:textId="77777777" w:rsidTr="00BE689F">
        <w:trPr>
          <w:cantSplit/>
          <w:trHeight w:val="3175"/>
        </w:trPr>
        <w:tc>
          <w:tcPr>
            <w:tcW w:w="293" w:type="pct"/>
          </w:tcPr>
          <w:p w14:paraId="548D5E97"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4E72B0CE" w14:textId="77777777" w:rsidR="00074551" w:rsidRPr="00BE3728" w:rsidRDefault="00074551" w:rsidP="00367133">
            <w:pPr>
              <w:ind w:right="416"/>
              <w:jc w:val="center"/>
              <w:rPr>
                <w:sz w:val="20"/>
                <w:szCs w:val="20"/>
              </w:rPr>
            </w:pPr>
            <w:r>
              <w:rPr>
                <w:sz w:val="20"/>
                <w:szCs w:val="20"/>
                <w:lang w:val="en-US"/>
              </w:rPr>
              <w:t>H</w:t>
            </w:r>
          </w:p>
        </w:tc>
        <w:tc>
          <w:tcPr>
            <w:tcW w:w="387" w:type="pct"/>
            <w:textDirection w:val="tbRl"/>
            <w:vAlign w:val="center"/>
          </w:tcPr>
          <w:p w14:paraId="20F5A288" w14:textId="77777777" w:rsidR="00074551" w:rsidRPr="00BE3728" w:rsidRDefault="00074551" w:rsidP="00367133">
            <w:pPr>
              <w:ind w:left="113" w:right="416"/>
              <w:jc w:val="both"/>
              <w:rPr>
                <w:sz w:val="20"/>
                <w:szCs w:val="20"/>
                <w:lang w:val="en-US"/>
              </w:rPr>
            </w:pPr>
            <w:r w:rsidRPr="009E57E1">
              <w:rPr>
                <w:i/>
                <w:sz w:val="20"/>
                <w:szCs w:val="20"/>
              </w:rPr>
              <w:t xml:space="preserve">In </w:t>
            </w:r>
            <w:proofErr w:type="spellStart"/>
            <w:r w:rsidRPr="009E57E1">
              <w:rPr>
                <w:i/>
                <w:sz w:val="20"/>
                <w:szCs w:val="20"/>
              </w:rPr>
              <w:t>re</w:t>
            </w:r>
            <w:proofErr w:type="spellEnd"/>
            <w:r w:rsidRPr="009E57E1">
              <w:rPr>
                <w:i/>
                <w:sz w:val="20"/>
                <w:szCs w:val="20"/>
              </w:rPr>
              <w:t xml:space="preserve"> </w:t>
            </w:r>
            <w:proofErr w:type="spellStart"/>
            <w:r w:rsidRPr="009E57E1">
              <w:rPr>
                <w:i/>
                <w:sz w:val="20"/>
                <w:szCs w:val="20"/>
              </w:rPr>
              <w:t>Anastaplo</w:t>
            </w:r>
            <w:proofErr w:type="spellEnd"/>
          </w:p>
        </w:tc>
        <w:tc>
          <w:tcPr>
            <w:tcW w:w="197" w:type="pct"/>
            <w:textDirection w:val="tbRl"/>
            <w:vAlign w:val="center"/>
          </w:tcPr>
          <w:p w14:paraId="0A691121" w14:textId="77777777" w:rsidR="00074551" w:rsidRPr="00BE3728" w:rsidRDefault="00074551" w:rsidP="00367133">
            <w:pPr>
              <w:ind w:left="113" w:right="113"/>
              <w:jc w:val="both"/>
              <w:rPr>
                <w:sz w:val="20"/>
                <w:szCs w:val="20"/>
              </w:rPr>
            </w:pPr>
            <w:r w:rsidRPr="005D0846">
              <w:rPr>
                <w:sz w:val="20"/>
                <w:szCs w:val="20"/>
              </w:rPr>
              <w:t>366 U.S. 82</w:t>
            </w:r>
          </w:p>
        </w:tc>
        <w:tc>
          <w:tcPr>
            <w:tcW w:w="306" w:type="pct"/>
            <w:textDirection w:val="tbRl"/>
            <w:vAlign w:val="center"/>
          </w:tcPr>
          <w:p w14:paraId="7BC2CAAB" w14:textId="77777777" w:rsidR="00074551" w:rsidRPr="00BE3728" w:rsidRDefault="00074551" w:rsidP="00367133">
            <w:pPr>
              <w:ind w:left="113" w:right="113"/>
              <w:jc w:val="both"/>
              <w:rPr>
                <w:sz w:val="20"/>
                <w:szCs w:val="20"/>
              </w:rPr>
            </w:pPr>
            <w:r>
              <w:rPr>
                <w:sz w:val="20"/>
                <w:szCs w:val="20"/>
              </w:rPr>
              <w:t>24. April 1961</w:t>
            </w:r>
          </w:p>
        </w:tc>
        <w:tc>
          <w:tcPr>
            <w:tcW w:w="401" w:type="pct"/>
          </w:tcPr>
          <w:p w14:paraId="7AE5FE59" w14:textId="77777777" w:rsidR="00074551" w:rsidRPr="00BE3728" w:rsidRDefault="00074551" w:rsidP="00367133">
            <w:pPr>
              <w:jc w:val="center"/>
              <w:rPr>
                <w:sz w:val="20"/>
                <w:szCs w:val="20"/>
                <w:lang w:val="en-US"/>
              </w:rPr>
            </w:pPr>
            <w:r>
              <w:rPr>
                <w:sz w:val="20"/>
                <w:szCs w:val="20"/>
                <w:lang w:val="en-US"/>
              </w:rPr>
              <w:t>D</w:t>
            </w:r>
          </w:p>
        </w:tc>
        <w:tc>
          <w:tcPr>
            <w:tcW w:w="1594" w:type="pct"/>
          </w:tcPr>
          <w:p w14:paraId="645BA2AD" w14:textId="213E6E10" w:rsidR="00074551" w:rsidRPr="00BE3728" w:rsidRDefault="00074551" w:rsidP="00367133">
            <w:pPr>
              <w:jc w:val="both"/>
              <w:rPr>
                <w:sz w:val="20"/>
                <w:szCs w:val="20"/>
              </w:rPr>
            </w:pPr>
            <w:r>
              <w:rPr>
                <w:sz w:val="20"/>
                <w:szCs w:val="20"/>
              </w:rPr>
              <w:t>Der U.S. Supreme Court</w:t>
            </w:r>
            <w:r w:rsidRPr="00827272">
              <w:rPr>
                <w:sz w:val="20"/>
                <w:szCs w:val="20"/>
              </w:rPr>
              <w:t xml:space="preserve"> bestätigte, dass der </w:t>
            </w:r>
            <w:r>
              <w:rPr>
                <w:sz w:val="20"/>
                <w:szCs w:val="20"/>
              </w:rPr>
              <w:t xml:space="preserve">Bundesstaat </w:t>
            </w:r>
            <w:r w:rsidRPr="00827272">
              <w:rPr>
                <w:sz w:val="20"/>
                <w:szCs w:val="20"/>
              </w:rPr>
              <w:t xml:space="preserve">Illinois dem Kläger die Zulassung zur Anwaltschaft verweigern durfte. Der Kläger, ein Bewerber zur Anwaltschaft, </w:t>
            </w:r>
            <w:r>
              <w:rPr>
                <w:sz w:val="20"/>
                <w:szCs w:val="20"/>
              </w:rPr>
              <w:t>hatte</w:t>
            </w:r>
            <w:r w:rsidRPr="00827272">
              <w:rPr>
                <w:sz w:val="20"/>
                <w:szCs w:val="20"/>
              </w:rPr>
              <w:t xml:space="preserve"> sich</w:t>
            </w:r>
            <w:r>
              <w:rPr>
                <w:sz w:val="20"/>
                <w:szCs w:val="20"/>
              </w:rPr>
              <w:t xml:space="preserve"> geweigert</w:t>
            </w:r>
            <w:r w:rsidRPr="00827272">
              <w:rPr>
                <w:sz w:val="20"/>
                <w:szCs w:val="20"/>
              </w:rPr>
              <w:t xml:space="preserve">, Fragen zur Mitgliedschaft in der Kommunistischen Partei zu beantworten. Der </w:t>
            </w:r>
            <w:r w:rsidRPr="00B45592">
              <w:rPr>
                <w:i/>
                <w:sz w:val="20"/>
                <w:szCs w:val="20"/>
              </w:rPr>
              <w:t>Supreme Court of Illinois</w:t>
            </w:r>
            <w:r w:rsidRPr="00827272">
              <w:rPr>
                <w:sz w:val="20"/>
                <w:szCs w:val="20"/>
              </w:rPr>
              <w:t xml:space="preserve"> entschied, dass der Staat die Zulassung verweigern konnte. Der Kläger berief sich auf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827272">
              <w:rPr>
                <w:sz w:val="20"/>
                <w:szCs w:val="20"/>
              </w:rPr>
              <w:t xml:space="preserve">Der </w:t>
            </w:r>
            <w:r>
              <w:rPr>
                <w:sz w:val="20"/>
                <w:szCs w:val="20"/>
              </w:rPr>
              <w:t>U.S. Supreme Court</w:t>
            </w:r>
            <w:r w:rsidRPr="00827272">
              <w:rPr>
                <w:sz w:val="20"/>
                <w:szCs w:val="20"/>
              </w:rPr>
              <w:t xml:space="preserve"> hielt </w:t>
            </w:r>
            <w:r>
              <w:rPr>
                <w:sz w:val="20"/>
                <w:szCs w:val="20"/>
              </w:rPr>
              <w:t xml:space="preserve">indes </w:t>
            </w:r>
            <w:r w:rsidRPr="00827272">
              <w:rPr>
                <w:sz w:val="20"/>
                <w:szCs w:val="20"/>
              </w:rPr>
              <w:t>fest, dass die tatsächliche Mitgliedschaft des Klägers in der Kommunistischen Partei irrelevant sei. Das Komitee durfte die Fragen stellen. De</w:t>
            </w:r>
            <w:r>
              <w:rPr>
                <w:sz w:val="20"/>
                <w:szCs w:val="20"/>
              </w:rPr>
              <w:t>nn der</w:t>
            </w:r>
            <w:r w:rsidRPr="00827272">
              <w:rPr>
                <w:sz w:val="20"/>
                <w:szCs w:val="20"/>
              </w:rPr>
              <w:t xml:space="preserve"> Kläger wurde ausreichend über die Konsequenzen seiner Weigerung informiert</w:t>
            </w:r>
            <w:r>
              <w:rPr>
                <w:sz w:val="20"/>
                <w:szCs w:val="20"/>
              </w:rPr>
              <w:t>, d</w:t>
            </w:r>
            <w:r w:rsidRPr="00827272">
              <w:rPr>
                <w:sz w:val="20"/>
                <w:szCs w:val="20"/>
              </w:rPr>
              <w:t xml:space="preserve">ie Ablehnung war weder willkürlich noch diskriminierend. </w:t>
            </w:r>
            <w:r>
              <w:rPr>
                <w:sz w:val="20"/>
                <w:szCs w:val="20"/>
              </w:rPr>
              <w:t>Schließlich deutete n</w:t>
            </w:r>
            <w:r w:rsidRPr="00827272">
              <w:rPr>
                <w:sz w:val="20"/>
                <w:szCs w:val="20"/>
              </w:rPr>
              <w:t>ichts im Protokoll darauf hin, dass die Ablehnung auf anderen Ansichten des Klägers beruhte.</w:t>
            </w:r>
            <w:r>
              <w:rPr>
                <w:sz w:val="20"/>
                <w:szCs w:val="20"/>
              </w:rPr>
              <w:t xml:space="preserve"> </w:t>
            </w:r>
            <w:r w:rsidRPr="00827272">
              <w:rPr>
                <w:sz w:val="20"/>
                <w:szCs w:val="20"/>
              </w:rPr>
              <w:t>Der Kläger wurde nur wegen seiner Weigerung zu kooperieren abgelehnt. Das Gericht erklärte</w:t>
            </w:r>
            <w:r>
              <w:rPr>
                <w:sz w:val="20"/>
                <w:szCs w:val="20"/>
              </w:rPr>
              <w:t xml:space="preserve"> daher</w:t>
            </w:r>
            <w:r w:rsidRPr="00827272">
              <w:rPr>
                <w:sz w:val="20"/>
                <w:szCs w:val="20"/>
              </w:rPr>
              <w:t xml:space="preserve">, dass die Fragen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827272">
              <w:rPr>
                <w:sz w:val="20"/>
                <w:szCs w:val="20"/>
              </w:rPr>
              <w:t xml:space="preserve">nicht verletzten. </w:t>
            </w:r>
          </w:p>
        </w:tc>
        <w:tc>
          <w:tcPr>
            <w:tcW w:w="1822" w:type="pct"/>
          </w:tcPr>
          <w:p w14:paraId="2A7CBAEA" w14:textId="77777777" w:rsidR="00074551" w:rsidRPr="00B45592" w:rsidRDefault="00074551" w:rsidP="00367133">
            <w:pPr>
              <w:rPr>
                <w:i/>
                <w:sz w:val="20"/>
                <w:szCs w:val="20"/>
                <w:lang w:val="en-IE"/>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w:t>
            </w:r>
            <w:r>
              <w:rPr>
                <w:i/>
                <w:sz w:val="20"/>
                <w:szCs w:val="20"/>
                <w:lang w:val="en-IE"/>
              </w:rPr>
              <w:t xml:space="preserve"> </w:t>
            </w:r>
            <w:r w:rsidRPr="00B45592">
              <w:rPr>
                <w:i/>
                <w:sz w:val="20"/>
                <w:szCs w:val="20"/>
                <w:lang w:val="en-IE"/>
              </w:rPr>
              <w:t>Fundamental Freedoms, Freedom of Association</w:t>
            </w:r>
          </w:p>
          <w:p w14:paraId="0E1B6459" w14:textId="77777777" w:rsidR="00074551" w:rsidRPr="00B45592" w:rsidRDefault="00074551" w:rsidP="00367133">
            <w:pPr>
              <w:rPr>
                <w:b/>
                <w:bCs/>
                <w:sz w:val="20"/>
                <w:szCs w:val="20"/>
                <w:lang w:val="en-IE"/>
              </w:rPr>
            </w:pPr>
          </w:p>
          <w:p w14:paraId="4BE56CCB" w14:textId="77777777" w:rsidR="00074551" w:rsidRDefault="00074551" w:rsidP="00367133">
            <w:pPr>
              <w:jc w:val="both"/>
              <w:rPr>
                <w:sz w:val="20"/>
                <w:szCs w:val="20"/>
              </w:rPr>
            </w:pPr>
            <w:r>
              <w:rPr>
                <w:sz w:val="20"/>
                <w:szCs w:val="20"/>
              </w:rPr>
              <w:t xml:space="preserve">Mitglieder des </w:t>
            </w:r>
            <w:r w:rsidRPr="5B67C1D2">
              <w:rPr>
                <w:i/>
                <w:iCs/>
                <w:sz w:val="20"/>
                <w:szCs w:val="20"/>
              </w:rPr>
              <w:t>Illinois Bar Committee</w:t>
            </w:r>
            <w:r>
              <w:rPr>
                <w:sz w:val="20"/>
                <w:szCs w:val="20"/>
              </w:rPr>
              <w:t xml:space="preserve"> stellten bei der Zulassung zur Anwaltschaft die Frage: </w:t>
            </w:r>
            <w:r w:rsidRPr="004772D7">
              <w:rPr>
                <w:sz w:val="20"/>
                <w:szCs w:val="20"/>
              </w:rPr>
              <w:t xml:space="preserve">Nennen Sie die Prinzipien, die </w:t>
            </w:r>
            <w:r>
              <w:rPr>
                <w:sz w:val="20"/>
                <w:szCs w:val="20"/>
              </w:rPr>
              <w:t xml:space="preserve">der U.S. </w:t>
            </w:r>
            <w:proofErr w:type="spellStart"/>
            <w:r>
              <w:rPr>
                <w:sz w:val="20"/>
                <w:szCs w:val="20"/>
              </w:rPr>
              <w:t>Const</w:t>
            </w:r>
            <w:proofErr w:type="spellEnd"/>
            <w:r>
              <w:rPr>
                <w:sz w:val="20"/>
                <w:szCs w:val="20"/>
              </w:rPr>
              <w:t>.</w:t>
            </w:r>
            <w:r w:rsidRPr="004772D7">
              <w:rPr>
                <w:sz w:val="20"/>
                <w:szCs w:val="20"/>
              </w:rPr>
              <w:t xml:space="preserve"> zugrunde liegen</w:t>
            </w:r>
            <w:r>
              <w:rPr>
                <w:sz w:val="20"/>
                <w:szCs w:val="20"/>
              </w:rPr>
              <w:t xml:space="preserve"> (“</w:t>
            </w:r>
            <w:r w:rsidRPr="004772D7">
              <w:rPr>
                <w:sz w:val="20"/>
                <w:szCs w:val="20"/>
              </w:rPr>
              <w:t xml:space="preserve">State </w:t>
            </w:r>
            <w:proofErr w:type="spellStart"/>
            <w:r w:rsidRPr="004772D7">
              <w:rPr>
                <w:sz w:val="20"/>
                <w:szCs w:val="20"/>
              </w:rPr>
              <w:t>what</w:t>
            </w:r>
            <w:proofErr w:type="spellEnd"/>
            <w:r w:rsidRPr="004772D7">
              <w:rPr>
                <w:sz w:val="20"/>
                <w:szCs w:val="20"/>
              </w:rPr>
              <w:t xml:space="preserve"> </w:t>
            </w:r>
            <w:proofErr w:type="spellStart"/>
            <w:r w:rsidRPr="004772D7">
              <w:rPr>
                <w:sz w:val="20"/>
                <w:szCs w:val="20"/>
              </w:rPr>
              <w:t>you</w:t>
            </w:r>
            <w:proofErr w:type="spellEnd"/>
            <w:r w:rsidRPr="004772D7">
              <w:rPr>
                <w:sz w:val="20"/>
                <w:szCs w:val="20"/>
              </w:rPr>
              <w:t xml:space="preserve"> </w:t>
            </w:r>
            <w:proofErr w:type="spellStart"/>
            <w:r w:rsidRPr="004772D7">
              <w:rPr>
                <w:sz w:val="20"/>
                <w:szCs w:val="20"/>
              </w:rPr>
              <w:t>consider</w:t>
            </w:r>
            <w:proofErr w:type="spellEnd"/>
            <w:r w:rsidRPr="004772D7">
              <w:rPr>
                <w:sz w:val="20"/>
                <w:szCs w:val="20"/>
              </w:rPr>
              <w:t xml:space="preserve"> to </w:t>
            </w:r>
            <w:proofErr w:type="spellStart"/>
            <w:r w:rsidRPr="004772D7">
              <w:rPr>
                <w:sz w:val="20"/>
                <w:szCs w:val="20"/>
              </w:rPr>
              <w:t>be</w:t>
            </w:r>
            <w:proofErr w:type="spellEnd"/>
            <w:r w:rsidRPr="004772D7">
              <w:rPr>
                <w:sz w:val="20"/>
                <w:szCs w:val="20"/>
              </w:rPr>
              <w:t xml:space="preserve"> the </w:t>
            </w:r>
            <w:proofErr w:type="spellStart"/>
            <w:r w:rsidRPr="004772D7">
              <w:rPr>
                <w:sz w:val="20"/>
                <w:szCs w:val="20"/>
              </w:rPr>
              <w:t>principles</w:t>
            </w:r>
            <w:proofErr w:type="spellEnd"/>
            <w:r w:rsidRPr="004772D7">
              <w:rPr>
                <w:sz w:val="20"/>
                <w:szCs w:val="20"/>
              </w:rPr>
              <w:t xml:space="preserve"> </w:t>
            </w:r>
            <w:proofErr w:type="spellStart"/>
            <w:r w:rsidRPr="004772D7">
              <w:rPr>
                <w:sz w:val="20"/>
                <w:szCs w:val="20"/>
              </w:rPr>
              <w:t>underlying</w:t>
            </w:r>
            <w:proofErr w:type="spellEnd"/>
            <w:r w:rsidRPr="004772D7">
              <w:rPr>
                <w:sz w:val="20"/>
                <w:szCs w:val="20"/>
              </w:rPr>
              <w:t xml:space="preserve"> (a) the </w:t>
            </w:r>
            <w:proofErr w:type="spellStart"/>
            <w:r w:rsidRPr="004772D7">
              <w:rPr>
                <w:sz w:val="20"/>
                <w:szCs w:val="20"/>
              </w:rPr>
              <w:t>Constitution</w:t>
            </w:r>
            <w:proofErr w:type="spellEnd"/>
            <w:r w:rsidRPr="004772D7">
              <w:rPr>
                <w:sz w:val="20"/>
                <w:szCs w:val="20"/>
              </w:rPr>
              <w:t xml:space="preserve"> of the United States</w:t>
            </w:r>
            <w:r>
              <w:rPr>
                <w:sz w:val="20"/>
                <w:szCs w:val="20"/>
              </w:rPr>
              <w:t>“</w:t>
            </w:r>
            <w:r>
              <w:rPr>
                <w:rStyle w:val="Funotenzeichen"/>
                <w:sz w:val="20"/>
                <w:szCs w:val="20"/>
              </w:rPr>
              <w:footnoteReference w:id="958"/>
            </w:r>
            <w:r>
              <w:rPr>
                <w:sz w:val="20"/>
                <w:szCs w:val="20"/>
              </w:rPr>
              <w:t xml:space="preserve">). Das Komitee und der U.S. Supreme Court werteten die Antwort des Kandidaten positiv, dass neben der Gewaltenteilung das wichtigste Prinzip der U.S. </w:t>
            </w:r>
            <w:proofErr w:type="spellStart"/>
            <w:r>
              <w:rPr>
                <w:sz w:val="20"/>
                <w:szCs w:val="20"/>
              </w:rPr>
              <w:t>Const</w:t>
            </w:r>
            <w:proofErr w:type="spellEnd"/>
            <w:r>
              <w:rPr>
                <w:sz w:val="20"/>
                <w:szCs w:val="20"/>
              </w:rPr>
              <w:t xml:space="preserve">. sei, </w:t>
            </w:r>
            <w:r w:rsidRPr="004772D7">
              <w:rPr>
                <w:sz w:val="20"/>
                <w:szCs w:val="20"/>
              </w:rPr>
              <w:t xml:space="preserve">dass eine Regierung so aufgebaut </w:t>
            </w:r>
            <w:r>
              <w:rPr>
                <w:sz w:val="20"/>
                <w:szCs w:val="20"/>
              </w:rPr>
              <w:t>sein müsse</w:t>
            </w:r>
            <w:r w:rsidRPr="004772D7">
              <w:rPr>
                <w:sz w:val="20"/>
                <w:szCs w:val="20"/>
              </w:rPr>
              <w:t xml:space="preserve">, </w:t>
            </w:r>
            <w:r>
              <w:rPr>
                <w:sz w:val="20"/>
                <w:szCs w:val="20"/>
              </w:rPr>
              <w:t>dass sie die</w:t>
            </w:r>
            <w:r w:rsidRPr="004772D7">
              <w:rPr>
                <w:sz w:val="20"/>
                <w:szCs w:val="20"/>
              </w:rPr>
              <w:t xml:space="preserve"> unveräußerliche</w:t>
            </w:r>
            <w:r>
              <w:rPr>
                <w:sz w:val="20"/>
                <w:szCs w:val="20"/>
              </w:rPr>
              <w:t>n</w:t>
            </w:r>
            <w:r w:rsidRPr="004772D7">
              <w:rPr>
                <w:sz w:val="20"/>
                <w:szCs w:val="20"/>
              </w:rPr>
              <w:t xml:space="preserve"> Rechte sicher</w:t>
            </w:r>
            <w:r>
              <w:rPr>
                <w:sz w:val="20"/>
                <w:szCs w:val="20"/>
              </w:rPr>
              <w:t xml:space="preserve">e; </w:t>
            </w:r>
            <w:r w:rsidRPr="004772D7">
              <w:rPr>
                <w:sz w:val="20"/>
                <w:szCs w:val="20"/>
              </w:rPr>
              <w:t>dies</w:t>
            </w:r>
            <w:r>
              <w:rPr>
                <w:sz w:val="20"/>
                <w:szCs w:val="20"/>
              </w:rPr>
              <w:t xml:space="preserve"> seien die</w:t>
            </w:r>
            <w:r w:rsidRPr="004772D7">
              <w:rPr>
                <w:sz w:val="20"/>
                <w:szCs w:val="20"/>
              </w:rPr>
              <w:t xml:space="preserve"> Rechte auf Leben, Freiheit und das Streben nach Glück</w:t>
            </w:r>
            <w:r>
              <w:rPr>
                <w:sz w:val="20"/>
                <w:szCs w:val="20"/>
              </w:rPr>
              <w:t xml:space="preserve">. </w:t>
            </w:r>
            <w:r w:rsidRPr="007705F0">
              <w:rPr>
                <w:sz w:val="20"/>
                <w:szCs w:val="20"/>
                <w:lang w:val="en-US"/>
              </w:rPr>
              <w:t xml:space="preserve">Und </w:t>
            </w:r>
            <w:proofErr w:type="spellStart"/>
            <w:r w:rsidRPr="007705F0">
              <w:rPr>
                <w:sz w:val="20"/>
                <w:szCs w:val="20"/>
                <w:lang w:val="en-US"/>
              </w:rPr>
              <w:t>Elemente</w:t>
            </w:r>
            <w:proofErr w:type="spellEnd"/>
            <w:r w:rsidRPr="007705F0">
              <w:rPr>
                <w:sz w:val="20"/>
                <w:szCs w:val="20"/>
                <w:lang w:val="en-US"/>
              </w:rPr>
              <w:t xml:space="preserve"> </w:t>
            </w:r>
            <w:proofErr w:type="spellStart"/>
            <w:r w:rsidRPr="007705F0">
              <w:rPr>
                <w:sz w:val="20"/>
                <w:szCs w:val="20"/>
                <w:lang w:val="en-US"/>
              </w:rPr>
              <w:t>dieser</w:t>
            </w:r>
            <w:proofErr w:type="spellEnd"/>
            <w:r w:rsidRPr="007705F0">
              <w:rPr>
                <w:sz w:val="20"/>
                <w:szCs w:val="20"/>
                <w:lang w:val="en-US"/>
              </w:rPr>
              <w:t xml:space="preserve"> Rechte </w:t>
            </w:r>
            <w:proofErr w:type="spellStart"/>
            <w:r w:rsidRPr="007705F0">
              <w:rPr>
                <w:sz w:val="20"/>
                <w:szCs w:val="20"/>
                <w:lang w:val="en-US"/>
              </w:rPr>
              <w:t>seien</w:t>
            </w:r>
            <w:proofErr w:type="spellEnd"/>
            <w:r w:rsidRPr="007705F0">
              <w:rPr>
                <w:sz w:val="20"/>
                <w:szCs w:val="20"/>
                <w:lang w:val="en-US"/>
              </w:rPr>
              <w:t xml:space="preserve"> </w:t>
            </w:r>
            <w:proofErr w:type="spellStart"/>
            <w:r w:rsidRPr="007705F0">
              <w:rPr>
                <w:sz w:val="20"/>
                <w:szCs w:val="20"/>
                <w:lang w:val="en-US"/>
              </w:rPr>
              <w:t>ausdrücklich</w:t>
            </w:r>
            <w:proofErr w:type="spellEnd"/>
            <w:r w:rsidRPr="007705F0">
              <w:rPr>
                <w:sz w:val="20"/>
                <w:szCs w:val="20"/>
                <w:lang w:val="en-US"/>
              </w:rPr>
              <w:t xml:space="preserve"> in </w:t>
            </w:r>
            <w:proofErr w:type="spellStart"/>
            <w:r w:rsidRPr="007705F0">
              <w:rPr>
                <w:sz w:val="20"/>
                <w:szCs w:val="20"/>
                <w:lang w:val="en-US"/>
              </w:rPr>
              <w:t>Teilen</w:t>
            </w:r>
            <w:proofErr w:type="spellEnd"/>
            <w:r w:rsidRPr="007705F0">
              <w:rPr>
                <w:sz w:val="20"/>
                <w:szCs w:val="20"/>
                <w:lang w:val="en-US"/>
              </w:rPr>
              <w:t xml:space="preserve"> der </w:t>
            </w:r>
            <w:r>
              <w:rPr>
                <w:sz w:val="20"/>
                <w:szCs w:val="20"/>
                <w:lang w:val="en-US"/>
              </w:rPr>
              <w:t>U.S.</w:t>
            </w:r>
            <w:r w:rsidRPr="007705F0">
              <w:rPr>
                <w:sz w:val="20"/>
                <w:szCs w:val="20"/>
                <w:lang w:val="en-US"/>
              </w:rPr>
              <w:t xml:space="preserve"> Const. </w:t>
            </w:r>
            <w:proofErr w:type="spellStart"/>
            <w:r w:rsidRPr="007705F0">
              <w:rPr>
                <w:sz w:val="20"/>
                <w:szCs w:val="20"/>
                <w:lang w:val="en-US"/>
              </w:rPr>
              <w:t>wie</w:t>
            </w:r>
            <w:proofErr w:type="spellEnd"/>
            <w:r w:rsidRPr="007705F0">
              <w:rPr>
                <w:sz w:val="20"/>
                <w:szCs w:val="20"/>
                <w:lang w:val="en-US"/>
              </w:rPr>
              <w:t xml:space="preserve"> der </w:t>
            </w:r>
            <w:r w:rsidRPr="5B67C1D2">
              <w:rPr>
                <w:i/>
                <w:iCs/>
                <w:sz w:val="20"/>
                <w:szCs w:val="20"/>
                <w:lang w:val="en-US"/>
              </w:rPr>
              <w:t>Bill of Rights</w:t>
            </w:r>
            <w:r w:rsidRPr="007705F0">
              <w:rPr>
                <w:sz w:val="20"/>
                <w:szCs w:val="20"/>
                <w:lang w:val="en-US"/>
              </w:rPr>
              <w:t xml:space="preserve"> </w:t>
            </w:r>
            <w:proofErr w:type="spellStart"/>
            <w:r w:rsidRPr="007705F0">
              <w:rPr>
                <w:sz w:val="20"/>
                <w:szCs w:val="20"/>
                <w:lang w:val="en-US"/>
              </w:rPr>
              <w:t>festgelegt</w:t>
            </w:r>
            <w:proofErr w:type="spellEnd"/>
            <w:r w:rsidRPr="007705F0">
              <w:rPr>
                <w:sz w:val="20"/>
                <w:szCs w:val="20"/>
                <w:lang w:val="en-US"/>
              </w:rPr>
              <w:t xml:space="preserve"> </w:t>
            </w:r>
            <w:bookmarkStart w:id="52" w:name="_Hlk224480530"/>
            <w:r w:rsidRPr="007705F0">
              <w:rPr>
                <w:sz w:val="20"/>
                <w:szCs w:val="20"/>
                <w:lang w:val="en-US"/>
              </w:rPr>
              <w:t xml:space="preserve">(„basic principle (and the most important) is that such government is constituted so as to secure certain inalienable rights, those rights to Life, Liberty and the Pursuit of Happiness (and elements of these rights are explicitly set forth in such parts of the Constitution as the Bill of </w:t>
            </w:r>
            <w:proofErr w:type="gramStart"/>
            <w:r w:rsidRPr="007705F0">
              <w:rPr>
                <w:sz w:val="20"/>
                <w:szCs w:val="20"/>
                <w:lang w:val="en-US"/>
              </w:rPr>
              <w:t>Rights</w:t>
            </w:r>
            <w:r>
              <w:rPr>
                <w:sz w:val="20"/>
                <w:szCs w:val="20"/>
                <w:lang w:val="en-US"/>
              </w:rPr>
              <w:t>)</w:t>
            </w:r>
            <w:r w:rsidRPr="007705F0">
              <w:rPr>
                <w:sz w:val="20"/>
                <w:szCs w:val="20"/>
                <w:lang w:val="en-US"/>
              </w:rPr>
              <w:t>“</w:t>
            </w:r>
            <w:proofErr w:type="gramEnd"/>
            <w:r>
              <w:rPr>
                <w:rStyle w:val="Funotenzeichen"/>
                <w:sz w:val="20"/>
                <w:szCs w:val="20"/>
              </w:rPr>
              <w:footnoteReference w:id="959"/>
            </w:r>
            <w:r>
              <w:rPr>
                <w:sz w:val="20"/>
                <w:szCs w:val="20"/>
                <w:lang w:val="en-US"/>
              </w:rPr>
              <w:t>).</w:t>
            </w:r>
            <w:r w:rsidRPr="007705F0">
              <w:rPr>
                <w:sz w:val="20"/>
                <w:szCs w:val="20"/>
                <w:lang w:val="en-US"/>
              </w:rPr>
              <w:t xml:space="preserve"> </w:t>
            </w:r>
            <w:bookmarkEnd w:id="52"/>
            <w:r>
              <w:rPr>
                <w:sz w:val="20"/>
                <w:szCs w:val="20"/>
              </w:rPr>
              <w:t>Zwar veranlassten die einzelnen unveräußerlichen Rechte das Komitee dazu, sich über die juristische Definition der unveräußerlichen Rechte auszutauschen, aber sie hinterfragten nicht deren dogmatischen Verfassungswert.</w:t>
            </w:r>
            <w:r>
              <w:rPr>
                <w:rStyle w:val="Funotenzeichen"/>
                <w:sz w:val="20"/>
                <w:szCs w:val="20"/>
              </w:rPr>
              <w:footnoteReference w:id="960"/>
            </w:r>
          </w:p>
          <w:p w14:paraId="3B8B8602" w14:textId="77777777" w:rsidR="00074551" w:rsidRPr="00031581" w:rsidRDefault="00074551" w:rsidP="00367133">
            <w:pPr>
              <w:jc w:val="both"/>
              <w:rPr>
                <w:sz w:val="20"/>
                <w:szCs w:val="20"/>
              </w:rPr>
            </w:pPr>
          </w:p>
        </w:tc>
      </w:tr>
      <w:tr w:rsidR="00074551" w:rsidRPr="00E50B51" w14:paraId="523ECDB6" w14:textId="77777777" w:rsidTr="00BE689F">
        <w:trPr>
          <w:cantSplit/>
          <w:trHeight w:val="3175"/>
        </w:trPr>
        <w:tc>
          <w:tcPr>
            <w:tcW w:w="293" w:type="pct"/>
          </w:tcPr>
          <w:p w14:paraId="1C2D7133"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65C6F7F"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732E16ED" w14:textId="77777777" w:rsidR="00074551" w:rsidRPr="005D0846" w:rsidRDefault="00074551" w:rsidP="00367133">
            <w:pPr>
              <w:ind w:left="113" w:right="416"/>
              <w:jc w:val="both"/>
              <w:rPr>
                <w:sz w:val="20"/>
                <w:szCs w:val="20"/>
              </w:rPr>
            </w:pPr>
            <w:r w:rsidRPr="009E57E1">
              <w:rPr>
                <w:i/>
                <w:sz w:val="20"/>
                <w:szCs w:val="20"/>
              </w:rPr>
              <w:t>Shallenberger v. First State Bank</w:t>
            </w:r>
          </w:p>
        </w:tc>
        <w:tc>
          <w:tcPr>
            <w:tcW w:w="197" w:type="pct"/>
            <w:textDirection w:val="tbRl"/>
            <w:vAlign w:val="center"/>
          </w:tcPr>
          <w:p w14:paraId="4A32805A" w14:textId="77777777" w:rsidR="00074551" w:rsidRPr="005D0846" w:rsidRDefault="00074551" w:rsidP="00367133">
            <w:pPr>
              <w:ind w:left="113" w:right="113"/>
              <w:jc w:val="both"/>
              <w:rPr>
                <w:sz w:val="20"/>
                <w:szCs w:val="20"/>
              </w:rPr>
            </w:pPr>
            <w:r w:rsidRPr="005D0846">
              <w:rPr>
                <w:sz w:val="20"/>
                <w:szCs w:val="20"/>
              </w:rPr>
              <w:t>219 U.S. 114</w:t>
            </w:r>
            <w:r>
              <w:rPr>
                <w:sz w:val="20"/>
                <w:szCs w:val="20"/>
              </w:rPr>
              <w:t xml:space="preserve"> </w:t>
            </w:r>
          </w:p>
        </w:tc>
        <w:tc>
          <w:tcPr>
            <w:tcW w:w="306" w:type="pct"/>
            <w:textDirection w:val="tbRl"/>
            <w:vAlign w:val="center"/>
          </w:tcPr>
          <w:p w14:paraId="0E72D916" w14:textId="77777777" w:rsidR="00074551" w:rsidRDefault="00074551" w:rsidP="00367133">
            <w:pPr>
              <w:ind w:left="113" w:right="113"/>
              <w:jc w:val="both"/>
              <w:rPr>
                <w:sz w:val="20"/>
                <w:szCs w:val="20"/>
              </w:rPr>
            </w:pPr>
            <w:r>
              <w:rPr>
                <w:sz w:val="20"/>
                <w:szCs w:val="20"/>
              </w:rPr>
              <w:t>3. Januar 1911</w:t>
            </w:r>
          </w:p>
        </w:tc>
        <w:tc>
          <w:tcPr>
            <w:tcW w:w="401" w:type="pct"/>
          </w:tcPr>
          <w:p w14:paraId="66FED30B" w14:textId="77777777" w:rsidR="00074551" w:rsidRDefault="00074551" w:rsidP="00367133">
            <w:pPr>
              <w:jc w:val="center"/>
              <w:rPr>
                <w:sz w:val="20"/>
                <w:szCs w:val="20"/>
                <w:lang w:val="en-US"/>
              </w:rPr>
            </w:pPr>
            <w:r>
              <w:rPr>
                <w:sz w:val="20"/>
                <w:szCs w:val="20"/>
                <w:lang w:val="en-US"/>
              </w:rPr>
              <w:t>S</w:t>
            </w:r>
          </w:p>
        </w:tc>
        <w:tc>
          <w:tcPr>
            <w:tcW w:w="1594" w:type="pct"/>
          </w:tcPr>
          <w:p w14:paraId="58F333B9" w14:textId="77777777" w:rsidR="00074551" w:rsidRPr="00F86DC1" w:rsidRDefault="00074551" w:rsidP="00367133">
            <w:pPr>
              <w:rPr>
                <w:sz w:val="20"/>
                <w:szCs w:val="20"/>
              </w:rPr>
            </w:pPr>
            <w:r w:rsidRPr="00F86DC1">
              <w:rPr>
                <w:sz w:val="20"/>
                <w:szCs w:val="20"/>
              </w:rPr>
              <w:t xml:space="preserve">Der </w:t>
            </w:r>
            <w:r>
              <w:rPr>
                <w:sz w:val="20"/>
                <w:szCs w:val="20"/>
              </w:rPr>
              <w:t>U.S. Supreme Court</w:t>
            </w:r>
            <w:r w:rsidRPr="00F86DC1">
              <w:rPr>
                <w:sz w:val="20"/>
                <w:szCs w:val="20"/>
              </w:rPr>
              <w:t xml:space="preserve"> entschied, dass das Bankgesetz Nebraska</w:t>
            </w:r>
            <w:r>
              <w:rPr>
                <w:sz w:val="20"/>
                <w:szCs w:val="20"/>
              </w:rPr>
              <w:t>s</w:t>
            </w:r>
            <w:r>
              <w:rPr>
                <w:rStyle w:val="Funotenzeichen"/>
                <w:sz w:val="20"/>
                <w:szCs w:val="20"/>
              </w:rPr>
              <w:footnoteReference w:id="961"/>
            </w:r>
            <w:r w:rsidRPr="00F86DC1">
              <w:rPr>
                <w:sz w:val="20"/>
                <w:szCs w:val="20"/>
              </w:rPr>
              <w:t xml:space="preserve"> verfassungsgemäß </w:t>
            </w:r>
            <w:r>
              <w:rPr>
                <w:sz w:val="20"/>
                <w:szCs w:val="20"/>
              </w:rPr>
              <w:t xml:space="preserve">sei; dieses Gesetz hatte u.a. </w:t>
            </w:r>
            <w:r w:rsidRPr="00F86DC1">
              <w:rPr>
                <w:sz w:val="20"/>
                <w:szCs w:val="20"/>
              </w:rPr>
              <w:t>einen Einlagensicherungsfonds</w:t>
            </w:r>
            <w:r>
              <w:rPr>
                <w:sz w:val="20"/>
                <w:szCs w:val="20"/>
              </w:rPr>
              <w:t xml:space="preserve"> geschaffen</w:t>
            </w:r>
            <w:r w:rsidRPr="00F86DC1">
              <w:rPr>
                <w:sz w:val="20"/>
                <w:szCs w:val="20"/>
              </w:rPr>
              <w:t xml:space="preserve">. </w:t>
            </w:r>
            <w:r>
              <w:rPr>
                <w:sz w:val="20"/>
                <w:szCs w:val="20"/>
              </w:rPr>
              <w:t xml:space="preserve">Der </w:t>
            </w:r>
            <w:r w:rsidRPr="00F86DC1">
              <w:rPr>
                <w:sz w:val="20"/>
                <w:szCs w:val="20"/>
              </w:rPr>
              <w:t>Kläger war der Gouverneur von Nebraska, der gegen die First State Bank of Holstein, Nebraska, vorging.</w:t>
            </w:r>
            <w:r>
              <w:rPr>
                <w:sz w:val="20"/>
                <w:szCs w:val="20"/>
              </w:rPr>
              <w:t xml:space="preserve"> </w:t>
            </w:r>
            <w:r w:rsidRPr="00F86DC1">
              <w:rPr>
                <w:sz w:val="20"/>
                <w:szCs w:val="20"/>
              </w:rPr>
              <w:t xml:space="preserve">Der Fall befasste sich mit der Verfassungsmäßigkeit des </w:t>
            </w:r>
            <w:r>
              <w:rPr>
                <w:sz w:val="20"/>
                <w:szCs w:val="20"/>
              </w:rPr>
              <w:t>Gesetzes</w:t>
            </w:r>
            <w:r w:rsidRPr="00F86DC1">
              <w:rPr>
                <w:sz w:val="20"/>
                <w:szCs w:val="20"/>
              </w:rPr>
              <w:t xml:space="preserve">, das nur </w:t>
            </w:r>
            <w:r>
              <w:rPr>
                <w:sz w:val="20"/>
                <w:szCs w:val="20"/>
              </w:rPr>
              <w:t xml:space="preserve">noch </w:t>
            </w:r>
            <w:r w:rsidRPr="00F86DC1">
              <w:rPr>
                <w:sz w:val="20"/>
                <w:szCs w:val="20"/>
              </w:rPr>
              <w:t>Banken erlaubt</w:t>
            </w:r>
            <w:r>
              <w:rPr>
                <w:sz w:val="20"/>
                <w:szCs w:val="20"/>
              </w:rPr>
              <w:t>e</w:t>
            </w:r>
            <w:r w:rsidRPr="00F86DC1">
              <w:rPr>
                <w:sz w:val="20"/>
                <w:szCs w:val="20"/>
              </w:rPr>
              <w:t xml:space="preserve">, </w:t>
            </w:r>
            <w:r>
              <w:rPr>
                <w:sz w:val="20"/>
                <w:szCs w:val="20"/>
              </w:rPr>
              <w:t xml:space="preserve">die </w:t>
            </w:r>
            <w:r w:rsidRPr="00F86DC1">
              <w:rPr>
                <w:sz w:val="20"/>
                <w:szCs w:val="20"/>
              </w:rPr>
              <w:t xml:space="preserve">unter diesem Gesetz </w:t>
            </w:r>
            <w:r>
              <w:rPr>
                <w:sz w:val="20"/>
                <w:szCs w:val="20"/>
              </w:rPr>
              <w:t>gegründet wurden – das hieß keine durch Individuen geführten Banken mehr –,</w:t>
            </w:r>
            <w:r w:rsidRPr="00F86DC1">
              <w:rPr>
                <w:sz w:val="20"/>
                <w:szCs w:val="20"/>
              </w:rPr>
              <w:t xml:space="preserve"> und</w:t>
            </w:r>
            <w:r>
              <w:rPr>
                <w:sz w:val="20"/>
                <w:szCs w:val="20"/>
              </w:rPr>
              <w:t xml:space="preserve"> zudem</w:t>
            </w:r>
            <w:r w:rsidRPr="00F86DC1">
              <w:rPr>
                <w:sz w:val="20"/>
                <w:szCs w:val="20"/>
              </w:rPr>
              <w:t xml:space="preserve"> einen Einlagensicherungsfonds vors</w:t>
            </w:r>
            <w:r>
              <w:rPr>
                <w:sz w:val="20"/>
                <w:szCs w:val="20"/>
              </w:rPr>
              <w:t xml:space="preserve">ah. </w:t>
            </w:r>
            <w:r w:rsidRPr="00F86DC1">
              <w:rPr>
                <w:sz w:val="20"/>
                <w:szCs w:val="20"/>
              </w:rPr>
              <w:t xml:space="preserve">Der </w:t>
            </w:r>
            <w:r>
              <w:rPr>
                <w:sz w:val="20"/>
                <w:szCs w:val="20"/>
              </w:rPr>
              <w:t>U.S. Supreme Court</w:t>
            </w:r>
            <w:r w:rsidRPr="00F86DC1">
              <w:rPr>
                <w:sz w:val="20"/>
                <w:szCs w:val="20"/>
              </w:rPr>
              <w:t xml:space="preserve"> folgte </w:t>
            </w:r>
            <w:r>
              <w:rPr>
                <w:sz w:val="20"/>
                <w:szCs w:val="20"/>
              </w:rPr>
              <w:t xml:space="preserve">damit seiner Rechtsprechung aus </w:t>
            </w:r>
            <w:r w:rsidRPr="5B67C1D2">
              <w:rPr>
                <w:i/>
                <w:iCs/>
                <w:sz w:val="20"/>
                <w:szCs w:val="20"/>
              </w:rPr>
              <w:t>Noble State Bank v. Haskell</w:t>
            </w:r>
            <w:r>
              <w:rPr>
                <w:sz w:val="20"/>
                <w:szCs w:val="20"/>
              </w:rPr>
              <w:t>.</w:t>
            </w:r>
            <w:r>
              <w:rPr>
                <w:rStyle w:val="Funotenzeichen"/>
                <w:sz w:val="20"/>
                <w:szCs w:val="20"/>
              </w:rPr>
              <w:footnoteReference w:id="962"/>
            </w:r>
            <w:r w:rsidRPr="00F86DC1">
              <w:rPr>
                <w:sz w:val="20"/>
                <w:szCs w:val="20"/>
              </w:rPr>
              <w:t xml:space="preserve"> </w:t>
            </w:r>
            <w:r>
              <w:rPr>
                <w:sz w:val="20"/>
                <w:szCs w:val="20"/>
              </w:rPr>
              <w:t>Er</w:t>
            </w:r>
            <w:r w:rsidRPr="00F86DC1">
              <w:rPr>
                <w:sz w:val="20"/>
                <w:szCs w:val="20"/>
              </w:rPr>
              <w:t xml:space="preserve"> entschied, dass solche Gesetze im </w:t>
            </w:r>
            <w:r>
              <w:rPr>
                <w:sz w:val="20"/>
                <w:szCs w:val="20"/>
              </w:rPr>
              <w:t>Rahmen der Bankenkontrolle</w:t>
            </w:r>
            <w:r w:rsidRPr="00F86DC1">
              <w:rPr>
                <w:sz w:val="20"/>
                <w:szCs w:val="20"/>
              </w:rPr>
              <w:t xml:space="preserve"> l</w:t>
            </w:r>
            <w:r>
              <w:rPr>
                <w:sz w:val="20"/>
                <w:szCs w:val="20"/>
              </w:rPr>
              <w:t>ä</w:t>
            </w:r>
            <w:r w:rsidRPr="00F86DC1">
              <w:rPr>
                <w:sz w:val="20"/>
                <w:szCs w:val="20"/>
              </w:rPr>
              <w:t xml:space="preserve">gen. </w:t>
            </w:r>
            <w:r>
              <w:rPr>
                <w:sz w:val="20"/>
                <w:szCs w:val="20"/>
              </w:rPr>
              <w:t>Der U.S. Supreme Court</w:t>
            </w:r>
            <w:r w:rsidRPr="00F86DC1">
              <w:rPr>
                <w:sz w:val="20"/>
                <w:szCs w:val="20"/>
              </w:rPr>
              <w:t xml:space="preserve"> argumentierte, dass das Gesetz </w:t>
            </w:r>
            <w:r>
              <w:rPr>
                <w:sz w:val="20"/>
                <w:szCs w:val="20"/>
              </w:rPr>
              <w:t xml:space="preserve">nicht auf Einnahmeerzielung bestimmter Banken abstelle, sondern vielmehr </w:t>
            </w:r>
            <w:r w:rsidRPr="00F86DC1">
              <w:rPr>
                <w:sz w:val="20"/>
                <w:szCs w:val="20"/>
              </w:rPr>
              <w:t xml:space="preserve">die Öffentlichkeit vor den Folgen von </w:t>
            </w:r>
            <w:r>
              <w:rPr>
                <w:sz w:val="20"/>
                <w:szCs w:val="20"/>
              </w:rPr>
              <w:t>Z</w:t>
            </w:r>
            <w:r w:rsidRPr="00F86DC1">
              <w:rPr>
                <w:sz w:val="20"/>
                <w:szCs w:val="20"/>
              </w:rPr>
              <w:t xml:space="preserve">usammenbrüchen </w:t>
            </w:r>
            <w:r>
              <w:rPr>
                <w:sz w:val="20"/>
                <w:szCs w:val="20"/>
              </w:rPr>
              <w:t xml:space="preserve">von Banken </w:t>
            </w:r>
            <w:r w:rsidRPr="00F86DC1">
              <w:rPr>
                <w:sz w:val="20"/>
                <w:szCs w:val="20"/>
              </w:rPr>
              <w:t>schütz</w:t>
            </w:r>
            <w:r>
              <w:rPr>
                <w:sz w:val="20"/>
                <w:szCs w:val="20"/>
              </w:rPr>
              <w:t>e</w:t>
            </w:r>
            <w:r w:rsidRPr="00F86DC1">
              <w:rPr>
                <w:sz w:val="20"/>
                <w:szCs w:val="20"/>
              </w:rPr>
              <w:t>.</w:t>
            </w:r>
            <w:r>
              <w:rPr>
                <w:sz w:val="20"/>
                <w:szCs w:val="20"/>
              </w:rPr>
              <w:t xml:space="preserve"> </w:t>
            </w:r>
            <w:r w:rsidRPr="00F86DC1">
              <w:rPr>
                <w:sz w:val="20"/>
                <w:szCs w:val="20"/>
              </w:rPr>
              <w:t xml:space="preserve">Die vorherige Entscheidung des </w:t>
            </w:r>
            <w:r w:rsidRPr="5B67C1D2">
              <w:rPr>
                <w:i/>
                <w:iCs/>
                <w:sz w:val="20"/>
                <w:szCs w:val="20"/>
              </w:rPr>
              <w:t>Circuit Court</w:t>
            </w:r>
            <w:r w:rsidRPr="00F86DC1">
              <w:rPr>
                <w:sz w:val="20"/>
                <w:szCs w:val="20"/>
              </w:rPr>
              <w:t xml:space="preserve">, die das Gesetz </w:t>
            </w:r>
            <w:r>
              <w:rPr>
                <w:sz w:val="20"/>
                <w:szCs w:val="20"/>
              </w:rPr>
              <w:t xml:space="preserve">noch </w:t>
            </w:r>
            <w:r w:rsidRPr="00F86DC1">
              <w:rPr>
                <w:sz w:val="20"/>
                <w:szCs w:val="20"/>
              </w:rPr>
              <w:t>für verfassungswidrig erklärt</w:t>
            </w:r>
            <w:r>
              <w:rPr>
                <w:sz w:val="20"/>
                <w:szCs w:val="20"/>
              </w:rPr>
              <w:t xml:space="preserve"> hatte</w:t>
            </w:r>
            <w:r w:rsidRPr="00F86DC1">
              <w:rPr>
                <w:sz w:val="20"/>
                <w:szCs w:val="20"/>
              </w:rPr>
              <w:t xml:space="preserve">, wurde </w:t>
            </w:r>
            <w:r>
              <w:rPr>
                <w:sz w:val="20"/>
                <w:szCs w:val="20"/>
              </w:rPr>
              <w:t xml:space="preserve">damit </w:t>
            </w:r>
            <w:r w:rsidRPr="00F86DC1">
              <w:rPr>
                <w:sz w:val="20"/>
                <w:szCs w:val="20"/>
              </w:rPr>
              <w:t>aufgehoben.</w:t>
            </w:r>
            <w:r>
              <w:rPr>
                <w:rStyle w:val="Funotenzeichen"/>
                <w:sz w:val="20"/>
                <w:szCs w:val="20"/>
              </w:rPr>
              <w:footnoteReference w:id="963"/>
            </w:r>
          </w:p>
          <w:p w14:paraId="05141B2D" w14:textId="77777777" w:rsidR="00074551" w:rsidRPr="00827272" w:rsidRDefault="00074551" w:rsidP="00367133">
            <w:pPr>
              <w:jc w:val="both"/>
              <w:rPr>
                <w:sz w:val="20"/>
                <w:szCs w:val="20"/>
              </w:rPr>
            </w:pPr>
          </w:p>
        </w:tc>
        <w:tc>
          <w:tcPr>
            <w:tcW w:w="1822" w:type="pct"/>
          </w:tcPr>
          <w:p w14:paraId="6F632E17" w14:textId="77777777" w:rsidR="00074551" w:rsidRPr="00B45592" w:rsidRDefault="00074551" w:rsidP="00367133">
            <w:pPr>
              <w:rPr>
                <w:i/>
                <w:sz w:val="20"/>
                <w:szCs w:val="20"/>
              </w:rPr>
            </w:pPr>
            <w:r w:rsidRPr="00F94158">
              <w:rPr>
                <w:i/>
                <w:sz w:val="20"/>
                <w:szCs w:val="20"/>
              </w:rPr>
              <w:t xml:space="preserve">LexisNexis-Klassifikation: </w:t>
            </w:r>
            <w:r w:rsidRPr="00B45592">
              <w:rPr>
                <w:i/>
                <w:sz w:val="20"/>
                <w:szCs w:val="20"/>
              </w:rPr>
              <w:t xml:space="preserve">Freedom of </w:t>
            </w:r>
            <w:proofErr w:type="spellStart"/>
            <w:r w:rsidRPr="00B45592">
              <w:rPr>
                <w:i/>
                <w:sz w:val="20"/>
                <w:szCs w:val="20"/>
              </w:rPr>
              <w:t>Association</w:t>
            </w:r>
            <w:proofErr w:type="spellEnd"/>
          </w:p>
          <w:p w14:paraId="4AEC10A8" w14:textId="77777777" w:rsidR="00074551" w:rsidRPr="00013AFD" w:rsidRDefault="00074551" w:rsidP="00367133">
            <w:pPr>
              <w:rPr>
                <w:b/>
                <w:bCs/>
                <w:sz w:val="20"/>
                <w:szCs w:val="20"/>
              </w:rPr>
            </w:pPr>
          </w:p>
          <w:p w14:paraId="5D47D0E0" w14:textId="77777777" w:rsidR="00074551" w:rsidRDefault="00074551" w:rsidP="00367133">
            <w:pPr>
              <w:rPr>
                <w:sz w:val="20"/>
                <w:szCs w:val="20"/>
              </w:rPr>
            </w:pPr>
            <w:r>
              <w:rPr>
                <w:sz w:val="20"/>
                <w:szCs w:val="20"/>
              </w:rPr>
              <w:t xml:space="preserve">Im Syllabus fasste der U.S. Supreme Court die Argumente der Vorinstanzen zusammen, die er zumindest als wichtig erachtete. Danach hieß es: </w:t>
            </w:r>
            <w:r w:rsidRPr="00D7602F">
              <w:rPr>
                <w:sz w:val="20"/>
                <w:szCs w:val="20"/>
              </w:rPr>
              <w:t>Das</w:t>
            </w:r>
            <w:r>
              <w:rPr>
                <w:sz w:val="20"/>
                <w:szCs w:val="20"/>
              </w:rPr>
              <w:t xml:space="preserve"> genannte</w:t>
            </w:r>
            <w:r w:rsidRPr="00D7602F">
              <w:rPr>
                <w:sz w:val="20"/>
                <w:szCs w:val="20"/>
              </w:rPr>
              <w:t xml:space="preserve"> </w:t>
            </w:r>
            <w:r w:rsidRPr="00F86DC1">
              <w:rPr>
                <w:sz w:val="20"/>
                <w:szCs w:val="20"/>
              </w:rPr>
              <w:t>Bankgesetz von Nebraska</w:t>
            </w:r>
            <w:r>
              <w:rPr>
                <w:sz w:val="20"/>
                <w:szCs w:val="20"/>
              </w:rPr>
              <w:t xml:space="preserve"> </w:t>
            </w:r>
            <w:r w:rsidRPr="00D7602F">
              <w:rPr>
                <w:sz w:val="20"/>
                <w:szCs w:val="20"/>
              </w:rPr>
              <w:t>verb</w:t>
            </w:r>
            <w:r>
              <w:rPr>
                <w:sz w:val="20"/>
                <w:szCs w:val="20"/>
              </w:rPr>
              <w:t>ot</w:t>
            </w:r>
            <w:r w:rsidRPr="00D7602F">
              <w:rPr>
                <w:sz w:val="20"/>
                <w:szCs w:val="20"/>
              </w:rPr>
              <w:t xml:space="preserve"> nicht </w:t>
            </w:r>
            <w:r>
              <w:rPr>
                <w:sz w:val="20"/>
                <w:szCs w:val="20"/>
              </w:rPr>
              <w:t xml:space="preserve">nur ein </w:t>
            </w:r>
            <w:r w:rsidRPr="00D7602F">
              <w:rPr>
                <w:sz w:val="20"/>
                <w:szCs w:val="20"/>
              </w:rPr>
              <w:t>Bankgeschäft</w:t>
            </w:r>
            <w:r>
              <w:rPr>
                <w:sz w:val="20"/>
                <w:szCs w:val="20"/>
              </w:rPr>
              <w:t>, welches einzelne Individuen führten. S</w:t>
            </w:r>
            <w:r w:rsidRPr="00D7602F">
              <w:rPr>
                <w:sz w:val="20"/>
                <w:szCs w:val="20"/>
              </w:rPr>
              <w:t xml:space="preserve">ondern </w:t>
            </w:r>
            <w:r>
              <w:rPr>
                <w:sz w:val="20"/>
                <w:szCs w:val="20"/>
              </w:rPr>
              <w:t xml:space="preserve">das Gesetz </w:t>
            </w:r>
            <w:r w:rsidRPr="00D7602F">
              <w:rPr>
                <w:sz w:val="20"/>
                <w:szCs w:val="20"/>
              </w:rPr>
              <w:t>wickelt</w:t>
            </w:r>
            <w:r>
              <w:rPr>
                <w:sz w:val="20"/>
                <w:szCs w:val="20"/>
              </w:rPr>
              <w:t>e</w:t>
            </w:r>
            <w:r w:rsidRPr="00D7602F">
              <w:rPr>
                <w:sz w:val="20"/>
                <w:szCs w:val="20"/>
              </w:rPr>
              <w:t xml:space="preserve"> </w:t>
            </w:r>
            <w:r>
              <w:rPr>
                <w:sz w:val="20"/>
                <w:szCs w:val="20"/>
              </w:rPr>
              <w:t xml:space="preserve">auch </w:t>
            </w:r>
            <w:r w:rsidRPr="00D7602F">
              <w:rPr>
                <w:sz w:val="20"/>
                <w:szCs w:val="20"/>
              </w:rPr>
              <w:t xml:space="preserve">die Angelegenheiten </w:t>
            </w:r>
            <w:r>
              <w:rPr>
                <w:sz w:val="20"/>
                <w:szCs w:val="20"/>
              </w:rPr>
              <w:t xml:space="preserve">dieser </w:t>
            </w:r>
            <w:r w:rsidRPr="00D7602F">
              <w:rPr>
                <w:sz w:val="20"/>
                <w:szCs w:val="20"/>
              </w:rPr>
              <w:t xml:space="preserve">Privatbanken ab. </w:t>
            </w:r>
            <w:r>
              <w:rPr>
                <w:sz w:val="20"/>
                <w:szCs w:val="20"/>
              </w:rPr>
              <w:t>Zudem regelte es: W</w:t>
            </w:r>
            <w:r w:rsidRPr="00D7602F">
              <w:rPr>
                <w:sz w:val="20"/>
                <w:szCs w:val="20"/>
              </w:rPr>
              <w:t>enn</w:t>
            </w:r>
            <w:r>
              <w:rPr>
                <w:sz w:val="20"/>
                <w:szCs w:val="20"/>
              </w:rPr>
              <w:t xml:space="preserve"> einzelne Individuen ihr </w:t>
            </w:r>
            <w:r w:rsidRPr="00D7602F">
              <w:rPr>
                <w:sz w:val="20"/>
                <w:szCs w:val="20"/>
              </w:rPr>
              <w:t xml:space="preserve">Bankgeschäft </w:t>
            </w:r>
            <w:r>
              <w:rPr>
                <w:sz w:val="20"/>
                <w:szCs w:val="20"/>
              </w:rPr>
              <w:t>als</w:t>
            </w:r>
            <w:r w:rsidRPr="00D7602F">
              <w:rPr>
                <w:sz w:val="20"/>
                <w:szCs w:val="20"/>
              </w:rPr>
              <w:t xml:space="preserve"> eine Kapitalgesellschaft weiterführen</w:t>
            </w:r>
            <w:r>
              <w:rPr>
                <w:sz w:val="20"/>
                <w:szCs w:val="20"/>
              </w:rPr>
              <w:t xml:space="preserve"> möchten</w:t>
            </w:r>
            <w:r w:rsidRPr="00D7602F">
              <w:rPr>
                <w:sz w:val="20"/>
                <w:szCs w:val="20"/>
              </w:rPr>
              <w:t xml:space="preserve">, </w:t>
            </w:r>
            <w:r>
              <w:rPr>
                <w:sz w:val="20"/>
                <w:szCs w:val="20"/>
              </w:rPr>
              <w:t xml:space="preserve">dann </w:t>
            </w:r>
            <w:r w:rsidRPr="00D7602F">
              <w:rPr>
                <w:sz w:val="20"/>
                <w:szCs w:val="20"/>
              </w:rPr>
              <w:t xml:space="preserve">müssen sie zustimmen, dass ein Teil ihres Vermögens </w:t>
            </w:r>
            <w:r>
              <w:rPr>
                <w:sz w:val="20"/>
                <w:szCs w:val="20"/>
              </w:rPr>
              <w:t>dazu verwandt wird,</w:t>
            </w:r>
            <w:r w:rsidRPr="00D7602F">
              <w:rPr>
                <w:sz w:val="20"/>
                <w:szCs w:val="20"/>
              </w:rPr>
              <w:t xml:space="preserve"> </w:t>
            </w:r>
            <w:r>
              <w:rPr>
                <w:sz w:val="20"/>
                <w:szCs w:val="20"/>
              </w:rPr>
              <w:t xml:space="preserve">für </w:t>
            </w:r>
            <w:r w:rsidRPr="00D7602F">
              <w:rPr>
                <w:sz w:val="20"/>
                <w:szCs w:val="20"/>
              </w:rPr>
              <w:t>private</w:t>
            </w:r>
            <w:r>
              <w:rPr>
                <w:sz w:val="20"/>
                <w:szCs w:val="20"/>
              </w:rPr>
              <w:t xml:space="preserve"> </w:t>
            </w:r>
            <w:r w:rsidRPr="00D7602F">
              <w:rPr>
                <w:sz w:val="20"/>
                <w:szCs w:val="20"/>
              </w:rPr>
              <w:t>Schulden</w:t>
            </w:r>
            <w:r>
              <w:rPr>
                <w:sz w:val="20"/>
                <w:szCs w:val="20"/>
              </w:rPr>
              <w:t xml:space="preserve"> vorzusorgen</w:t>
            </w:r>
            <w:r w:rsidRPr="00D7602F">
              <w:rPr>
                <w:sz w:val="20"/>
                <w:szCs w:val="20"/>
              </w:rPr>
              <w:t>.</w:t>
            </w:r>
            <w:r>
              <w:rPr>
                <w:sz w:val="20"/>
                <w:szCs w:val="20"/>
              </w:rPr>
              <w:t xml:space="preserve"> Aber die beklagten Individuen meinten und der U.S. Supreme Court griff auf, dass d</w:t>
            </w:r>
            <w:r w:rsidRPr="00D7602F">
              <w:rPr>
                <w:sz w:val="20"/>
                <w:szCs w:val="20"/>
              </w:rPr>
              <w:t>er Staat nicht das Recht</w:t>
            </w:r>
            <w:r>
              <w:rPr>
                <w:sz w:val="20"/>
                <w:szCs w:val="20"/>
              </w:rPr>
              <w:t xml:space="preserve"> habe</w:t>
            </w:r>
            <w:r w:rsidRPr="00D7602F">
              <w:rPr>
                <w:sz w:val="20"/>
                <w:szCs w:val="20"/>
              </w:rPr>
              <w:t xml:space="preserve">, einen Bürger zu zwingen, </w:t>
            </w:r>
            <w:r>
              <w:rPr>
                <w:sz w:val="20"/>
                <w:szCs w:val="20"/>
              </w:rPr>
              <w:t>s</w:t>
            </w:r>
            <w:r w:rsidRPr="00D7602F">
              <w:rPr>
                <w:sz w:val="20"/>
                <w:szCs w:val="20"/>
              </w:rPr>
              <w:t xml:space="preserve">eine Unternehmenssatzung </w:t>
            </w:r>
            <w:r>
              <w:rPr>
                <w:sz w:val="20"/>
                <w:szCs w:val="20"/>
              </w:rPr>
              <w:t>derart abzuändern</w:t>
            </w:r>
            <w:r w:rsidRPr="00D7602F">
              <w:rPr>
                <w:sz w:val="20"/>
                <w:szCs w:val="20"/>
              </w:rPr>
              <w:t xml:space="preserve">, </w:t>
            </w:r>
            <w:r>
              <w:rPr>
                <w:sz w:val="20"/>
                <w:szCs w:val="20"/>
              </w:rPr>
              <w:t xml:space="preserve">was aber das streitgegenständliche Gesetz verlange. Mit anderen Worten: Der Staat könne den Bürger nicht dazu </w:t>
            </w:r>
            <w:r w:rsidRPr="00D7602F">
              <w:rPr>
                <w:sz w:val="20"/>
                <w:szCs w:val="20"/>
              </w:rPr>
              <w:t xml:space="preserve">zwingen, </w:t>
            </w:r>
            <w:r>
              <w:rPr>
                <w:sz w:val="20"/>
                <w:szCs w:val="20"/>
              </w:rPr>
              <w:t xml:space="preserve">Teil </w:t>
            </w:r>
            <w:r w:rsidRPr="00D7602F">
              <w:rPr>
                <w:sz w:val="20"/>
                <w:szCs w:val="20"/>
              </w:rPr>
              <w:t>einer Kapitalgesellschaft zu werden.</w:t>
            </w:r>
            <w:r>
              <w:rPr>
                <w:rStyle w:val="Funotenzeichen"/>
                <w:sz w:val="20"/>
                <w:szCs w:val="20"/>
                <w:lang w:val="en-US"/>
              </w:rPr>
              <w:footnoteReference w:id="964"/>
            </w:r>
            <w:r w:rsidRPr="00D7602F">
              <w:rPr>
                <w:sz w:val="20"/>
                <w:szCs w:val="20"/>
              </w:rPr>
              <w:t xml:space="preserve"> </w:t>
            </w:r>
            <w:r>
              <w:rPr>
                <w:sz w:val="20"/>
                <w:szCs w:val="20"/>
              </w:rPr>
              <w:t>Doch woher stammt diese Argumentation?</w:t>
            </w:r>
            <w:r w:rsidRPr="00D7602F">
              <w:rPr>
                <w:sz w:val="20"/>
                <w:szCs w:val="20"/>
              </w:rPr>
              <w:t xml:space="preserve"> </w:t>
            </w:r>
            <w:r>
              <w:rPr>
                <w:sz w:val="20"/>
                <w:szCs w:val="20"/>
              </w:rPr>
              <w:t>Sie</w:t>
            </w:r>
            <w:r w:rsidRPr="00D7602F">
              <w:rPr>
                <w:sz w:val="20"/>
                <w:szCs w:val="20"/>
              </w:rPr>
              <w:t xml:space="preserve"> gründet auf </w:t>
            </w:r>
            <w:r>
              <w:rPr>
                <w:sz w:val="20"/>
                <w:szCs w:val="20"/>
              </w:rPr>
              <w:t xml:space="preserve">zwei Säulen des Verfassungsrechts: die </w:t>
            </w:r>
            <w:r w:rsidRPr="00D7602F">
              <w:rPr>
                <w:sz w:val="20"/>
                <w:szCs w:val="20"/>
              </w:rPr>
              <w:t>Freiheit</w:t>
            </w:r>
            <w:r>
              <w:rPr>
                <w:sz w:val="20"/>
                <w:szCs w:val="20"/>
              </w:rPr>
              <w:t xml:space="preserve"> und das </w:t>
            </w:r>
            <w:r w:rsidRPr="00D7602F">
              <w:rPr>
                <w:sz w:val="20"/>
                <w:szCs w:val="20"/>
              </w:rPr>
              <w:t>Streben nach Glück</w:t>
            </w:r>
            <w:r>
              <w:rPr>
                <w:sz w:val="20"/>
                <w:szCs w:val="20"/>
              </w:rPr>
              <w:t xml:space="preserve"> auf der einen Seite und die</w:t>
            </w:r>
            <w:r w:rsidRPr="00D7602F">
              <w:rPr>
                <w:sz w:val="20"/>
                <w:szCs w:val="20"/>
              </w:rPr>
              <w:t xml:space="preserve"> </w:t>
            </w:r>
            <w:r>
              <w:rPr>
                <w:sz w:val="20"/>
                <w:szCs w:val="20"/>
              </w:rPr>
              <w:t>Vorrechte</w:t>
            </w:r>
            <w:r w:rsidRPr="00D7602F">
              <w:rPr>
                <w:sz w:val="20"/>
                <w:szCs w:val="20"/>
              </w:rPr>
              <w:t xml:space="preserve"> und Immunitäten</w:t>
            </w:r>
            <w:r>
              <w:rPr>
                <w:sz w:val="20"/>
                <w:szCs w:val="20"/>
              </w:rPr>
              <w:t xml:space="preserve"> auf der anderen Seite. Um diese näher zu verstehen, verwies der U.S. Supreme Court auf zahlreiche Urteile.</w:t>
            </w:r>
            <w:r>
              <w:rPr>
                <w:rStyle w:val="Funotenzeichen"/>
                <w:sz w:val="20"/>
                <w:szCs w:val="20"/>
              </w:rPr>
              <w:footnoteReference w:id="965"/>
            </w:r>
            <w:r>
              <w:rPr>
                <w:sz w:val="20"/>
                <w:szCs w:val="20"/>
              </w:rPr>
              <w:t xml:space="preserve"> Diese in Bezug genommenen Urteil komplementieren u.a. den Freiheitsgedanken des Rechts auf ein Streben nach Glück. Der laute: </w:t>
            </w:r>
            <w:r w:rsidRPr="00DC1F00">
              <w:rPr>
                <w:sz w:val="20"/>
                <w:szCs w:val="20"/>
              </w:rPr>
              <w:t>Das Recht auf ein Streben nach Glück komme von Geburt</w:t>
            </w:r>
            <w:r>
              <w:rPr>
                <w:sz w:val="20"/>
                <w:szCs w:val="20"/>
              </w:rPr>
              <w:t xml:space="preserve"> an jedem Menschen zu,</w:t>
            </w:r>
            <w:r>
              <w:rPr>
                <w:rStyle w:val="Funotenzeichen"/>
                <w:sz w:val="20"/>
                <w:szCs w:val="20"/>
              </w:rPr>
              <w:footnoteReference w:id="966"/>
            </w:r>
            <w:r>
              <w:rPr>
                <w:sz w:val="20"/>
                <w:szCs w:val="20"/>
              </w:rPr>
              <w:t xml:space="preserve"> das Recht sei mit Schutzrechten gegen die Polizeihoheit und legislative Gewalt ausgestattet („</w:t>
            </w:r>
            <w:proofErr w:type="spellStart"/>
            <w:r w:rsidRPr="00DC1F00">
              <w:rPr>
                <w:sz w:val="20"/>
                <w:szCs w:val="20"/>
              </w:rPr>
              <w:t>safeguards</w:t>
            </w:r>
            <w:proofErr w:type="spellEnd"/>
            <w:r w:rsidRPr="00DC1F00">
              <w:rPr>
                <w:sz w:val="20"/>
                <w:szCs w:val="20"/>
              </w:rPr>
              <w:t xml:space="preserve"> </w:t>
            </w:r>
            <w:proofErr w:type="spellStart"/>
            <w:r w:rsidRPr="00DC1F00">
              <w:rPr>
                <w:sz w:val="20"/>
                <w:szCs w:val="20"/>
              </w:rPr>
              <w:t>that</w:t>
            </w:r>
            <w:proofErr w:type="spellEnd"/>
            <w:r w:rsidRPr="00DC1F00">
              <w:rPr>
                <w:sz w:val="20"/>
                <w:szCs w:val="20"/>
              </w:rPr>
              <w:t xml:space="preserve"> </w:t>
            </w:r>
            <w:proofErr w:type="spellStart"/>
            <w:r w:rsidRPr="00DC1F00">
              <w:rPr>
                <w:sz w:val="20"/>
                <w:szCs w:val="20"/>
              </w:rPr>
              <w:t>protect</w:t>
            </w:r>
            <w:proofErr w:type="spellEnd"/>
            <w:r w:rsidRPr="00DC1F00">
              <w:rPr>
                <w:sz w:val="20"/>
                <w:szCs w:val="20"/>
              </w:rPr>
              <w:t xml:space="preserve"> </w:t>
            </w:r>
            <w:proofErr w:type="spellStart"/>
            <w:r w:rsidRPr="00DC1F00">
              <w:rPr>
                <w:sz w:val="20"/>
                <w:szCs w:val="20"/>
              </w:rPr>
              <w:t>them</w:t>
            </w:r>
            <w:proofErr w:type="spellEnd"/>
            <w:r w:rsidRPr="00DC1F00">
              <w:rPr>
                <w:sz w:val="20"/>
                <w:szCs w:val="20"/>
              </w:rPr>
              <w:t xml:space="preserve"> </w:t>
            </w:r>
            <w:proofErr w:type="spellStart"/>
            <w:r w:rsidRPr="00DC1F00">
              <w:rPr>
                <w:sz w:val="20"/>
                <w:szCs w:val="20"/>
              </w:rPr>
              <w:t>from</w:t>
            </w:r>
            <w:proofErr w:type="spellEnd"/>
            <w:r w:rsidRPr="00DC1F00">
              <w:rPr>
                <w:sz w:val="20"/>
                <w:szCs w:val="20"/>
              </w:rPr>
              <w:t xml:space="preserve"> </w:t>
            </w:r>
            <w:proofErr w:type="spellStart"/>
            <w:r w:rsidRPr="00DC1F00">
              <w:rPr>
                <w:sz w:val="20"/>
                <w:szCs w:val="20"/>
              </w:rPr>
              <w:t>invasion</w:t>
            </w:r>
            <w:proofErr w:type="spellEnd"/>
            <w:r w:rsidRPr="00DC1F00">
              <w:rPr>
                <w:sz w:val="20"/>
                <w:szCs w:val="20"/>
              </w:rPr>
              <w:t xml:space="preserve"> by legislative </w:t>
            </w:r>
            <w:proofErr w:type="spellStart"/>
            <w:r w:rsidRPr="00DC1F00">
              <w:rPr>
                <w:sz w:val="20"/>
                <w:szCs w:val="20"/>
              </w:rPr>
              <w:t>action</w:t>
            </w:r>
            <w:proofErr w:type="spellEnd"/>
            <w:r>
              <w:rPr>
                <w:sz w:val="20"/>
                <w:szCs w:val="20"/>
              </w:rPr>
              <w:t>“</w:t>
            </w:r>
            <w:r>
              <w:rPr>
                <w:rStyle w:val="Funotenzeichen"/>
                <w:sz w:val="20"/>
                <w:szCs w:val="20"/>
              </w:rPr>
              <w:footnoteReference w:id="967"/>
            </w:r>
            <w:r>
              <w:rPr>
                <w:sz w:val="20"/>
                <w:szCs w:val="20"/>
              </w:rPr>
              <w:t>), und es umfasse die Berufsfreiheit sowie die Berufsausübungsfreiheit, soweit sie nicht die Rechte anderer beschränke.</w:t>
            </w:r>
            <w:r>
              <w:rPr>
                <w:rStyle w:val="Funotenzeichen"/>
                <w:sz w:val="20"/>
                <w:szCs w:val="20"/>
              </w:rPr>
              <w:footnoteReference w:id="968"/>
            </w:r>
          </w:p>
          <w:p w14:paraId="27250508" w14:textId="77777777" w:rsidR="00074551" w:rsidRDefault="00074551" w:rsidP="00367133">
            <w:pPr>
              <w:rPr>
                <w:sz w:val="20"/>
                <w:szCs w:val="20"/>
              </w:rPr>
            </w:pPr>
          </w:p>
        </w:tc>
      </w:tr>
      <w:tr w:rsidR="00074551" w:rsidRPr="00E50B51" w14:paraId="0D6C48D0" w14:textId="77777777" w:rsidTr="0089283E">
        <w:trPr>
          <w:cantSplit/>
          <w:trHeight w:val="3175"/>
        </w:trPr>
        <w:tc>
          <w:tcPr>
            <w:tcW w:w="293" w:type="pct"/>
            <w:shd w:val="clear" w:color="auto" w:fill="E7E6E6" w:themeFill="background2"/>
          </w:tcPr>
          <w:p w14:paraId="4E6695B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508B263C"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0546BCF1" w14:textId="77777777" w:rsidR="00074551" w:rsidRPr="00E50B51" w:rsidRDefault="00074551" w:rsidP="00367133">
            <w:pPr>
              <w:ind w:left="113" w:right="113"/>
              <w:jc w:val="both"/>
              <w:rPr>
                <w:sz w:val="20"/>
                <w:szCs w:val="20"/>
              </w:rPr>
            </w:pPr>
            <w:r w:rsidRPr="00E50B51">
              <w:rPr>
                <w:sz w:val="20"/>
                <w:szCs w:val="20"/>
              </w:rPr>
              <w:t>Freedom of Assembly</w:t>
            </w:r>
          </w:p>
        </w:tc>
        <w:tc>
          <w:tcPr>
            <w:tcW w:w="306" w:type="pct"/>
            <w:shd w:val="clear" w:color="auto" w:fill="E7E6E6" w:themeFill="background2"/>
            <w:textDirection w:val="tbRl"/>
            <w:vAlign w:val="center"/>
          </w:tcPr>
          <w:p w14:paraId="05CB27AC"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5DBD94D9"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D043ED8" w14:textId="77777777" w:rsidR="00074551" w:rsidRPr="00E50B51" w:rsidRDefault="00074551" w:rsidP="00367133">
            <w:pPr>
              <w:jc w:val="both"/>
              <w:rPr>
                <w:sz w:val="20"/>
                <w:szCs w:val="20"/>
              </w:rPr>
            </w:pPr>
          </w:p>
        </w:tc>
        <w:tc>
          <w:tcPr>
            <w:tcW w:w="1822" w:type="pct"/>
            <w:shd w:val="clear" w:color="auto" w:fill="E7E6E6" w:themeFill="background2"/>
          </w:tcPr>
          <w:p w14:paraId="36EBC188" w14:textId="40B3F73A"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36814981" w14:textId="77777777" w:rsidTr="00BE689F">
        <w:trPr>
          <w:cantSplit/>
          <w:trHeight w:val="3175"/>
        </w:trPr>
        <w:tc>
          <w:tcPr>
            <w:tcW w:w="293" w:type="pct"/>
          </w:tcPr>
          <w:p w14:paraId="0E321534"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26423DD" w14:textId="77777777" w:rsidR="00074551" w:rsidRPr="00B45592" w:rsidRDefault="00074551" w:rsidP="00367133">
            <w:pPr>
              <w:ind w:left="113" w:right="416"/>
              <w:jc w:val="both"/>
              <w:rPr>
                <w:i/>
                <w:sz w:val="20"/>
                <w:szCs w:val="20"/>
                <w:lang w:val="en-US"/>
              </w:rPr>
            </w:pPr>
            <w:r w:rsidRPr="00B45592">
              <w:rPr>
                <w:i/>
                <w:sz w:val="20"/>
                <w:szCs w:val="20"/>
                <w:lang w:val="en-US"/>
              </w:rPr>
              <w:t xml:space="preserve">American Communications </w:t>
            </w:r>
            <w:proofErr w:type="spellStart"/>
            <w:r w:rsidRPr="00B45592">
              <w:rPr>
                <w:i/>
                <w:sz w:val="20"/>
                <w:szCs w:val="20"/>
                <w:lang w:val="en-US"/>
              </w:rPr>
              <w:t>Ass’n</w:t>
            </w:r>
            <w:proofErr w:type="spellEnd"/>
            <w:r w:rsidRPr="00B45592">
              <w:rPr>
                <w:i/>
                <w:sz w:val="20"/>
                <w:szCs w:val="20"/>
                <w:lang w:val="en-US"/>
              </w:rPr>
              <w:t xml:space="preserve"> v. Douds</w:t>
            </w:r>
          </w:p>
        </w:tc>
        <w:tc>
          <w:tcPr>
            <w:tcW w:w="197" w:type="pct"/>
            <w:textDirection w:val="tbRl"/>
            <w:vAlign w:val="center"/>
          </w:tcPr>
          <w:p w14:paraId="46C0A310" w14:textId="77777777" w:rsidR="00074551" w:rsidRPr="00E50B51" w:rsidRDefault="00074551" w:rsidP="00367133">
            <w:pPr>
              <w:ind w:left="113" w:right="113"/>
              <w:jc w:val="both"/>
              <w:rPr>
                <w:sz w:val="20"/>
                <w:szCs w:val="20"/>
                <w:lang w:val="en-US"/>
              </w:rPr>
            </w:pPr>
            <w:r w:rsidRPr="00E50B51">
              <w:rPr>
                <w:sz w:val="20"/>
                <w:szCs w:val="20"/>
                <w:lang w:val="en-US"/>
              </w:rPr>
              <w:t>339 U.S. 382</w:t>
            </w:r>
          </w:p>
        </w:tc>
        <w:tc>
          <w:tcPr>
            <w:tcW w:w="306" w:type="pct"/>
            <w:textDirection w:val="tbRl"/>
            <w:vAlign w:val="center"/>
          </w:tcPr>
          <w:p w14:paraId="673C651E" w14:textId="77777777" w:rsidR="00074551" w:rsidRPr="00E50B51" w:rsidRDefault="00074551" w:rsidP="00367133">
            <w:pPr>
              <w:ind w:left="113" w:right="113"/>
              <w:jc w:val="both"/>
              <w:rPr>
                <w:sz w:val="20"/>
                <w:szCs w:val="20"/>
              </w:rPr>
            </w:pPr>
            <w:r w:rsidRPr="00E50B51">
              <w:rPr>
                <w:sz w:val="20"/>
                <w:szCs w:val="20"/>
              </w:rPr>
              <w:t>8. Mai 1950</w:t>
            </w:r>
          </w:p>
        </w:tc>
        <w:tc>
          <w:tcPr>
            <w:tcW w:w="401" w:type="pct"/>
          </w:tcPr>
          <w:p w14:paraId="1300149B" w14:textId="77777777" w:rsidR="00074551" w:rsidRPr="00E50B51" w:rsidRDefault="00074551" w:rsidP="00367133">
            <w:pPr>
              <w:jc w:val="center"/>
              <w:rPr>
                <w:sz w:val="20"/>
                <w:szCs w:val="20"/>
              </w:rPr>
            </w:pPr>
            <w:r w:rsidRPr="00E50B51">
              <w:rPr>
                <w:sz w:val="20"/>
                <w:szCs w:val="20"/>
              </w:rPr>
              <w:t>D</w:t>
            </w:r>
          </w:p>
        </w:tc>
        <w:tc>
          <w:tcPr>
            <w:tcW w:w="1594" w:type="pct"/>
          </w:tcPr>
          <w:p w14:paraId="05233695" w14:textId="77777777" w:rsidR="00074551" w:rsidRPr="00E50B51" w:rsidRDefault="00074551" w:rsidP="00367133">
            <w:pPr>
              <w:jc w:val="both"/>
              <w:rPr>
                <w:sz w:val="20"/>
                <w:szCs w:val="20"/>
              </w:rPr>
            </w:pPr>
            <w:r w:rsidRPr="00E50B51">
              <w:rPr>
                <w:sz w:val="20"/>
                <w:szCs w:val="20"/>
              </w:rPr>
              <w:t>*</w:t>
            </w:r>
          </w:p>
        </w:tc>
        <w:tc>
          <w:tcPr>
            <w:tcW w:w="1822" w:type="pct"/>
          </w:tcPr>
          <w:p w14:paraId="32F1B56A" w14:textId="6228EF36" w:rsidR="00074551" w:rsidRDefault="00074551" w:rsidP="00367133">
            <w:pPr>
              <w:jc w:val="both"/>
              <w:rPr>
                <w:sz w:val="20"/>
                <w:szCs w:val="20"/>
              </w:rPr>
            </w:pPr>
            <w:r w:rsidRPr="004E60D3">
              <w:rPr>
                <w:sz w:val="20"/>
                <w:szCs w:val="20"/>
              </w:rPr>
              <w:t xml:space="preserve">In </w:t>
            </w:r>
            <w:r w:rsidRPr="5B67C1D2">
              <w:rPr>
                <w:i/>
                <w:iCs/>
                <w:sz w:val="20"/>
                <w:szCs w:val="20"/>
              </w:rPr>
              <w:t xml:space="preserve">American Communications </w:t>
            </w:r>
            <w:proofErr w:type="spellStart"/>
            <w:r w:rsidRPr="5B67C1D2">
              <w:rPr>
                <w:i/>
                <w:iCs/>
                <w:sz w:val="20"/>
                <w:szCs w:val="20"/>
              </w:rPr>
              <w:t>Ass’n</w:t>
            </w:r>
            <w:proofErr w:type="spellEnd"/>
            <w:r w:rsidRPr="5B67C1D2">
              <w:rPr>
                <w:i/>
                <w:iCs/>
                <w:sz w:val="20"/>
                <w:szCs w:val="20"/>
              </w:rPr>
              <w:t xml:space="preserve"> v. Douds</w:t>
            </w:r>
            <w:r w:rsidRPr="004E60D3">
              <w:rPr>
                <w:sz w:val="20"/>
                <w:szCs w:val="20"/>
              </w:rPr>
              <w:t xml:space="preserve"> behandelt der </w:t>
            </w:r>
            <w:r>
              <w:rPr>
                <w:sz w:val="20"/>
                <w:szCs w:val="20"/>
              </w:rPr>
              <w:t>U.S. Supreme Court</w:t>
            </w:r>
            <w:r w:rsidRPr="004E60D3">
              <w:rPr>
                <w:sz w:val="20"/>
                <w:szCs w:val="20"/>
              </w:rPr>
              <w:t xml:space="preserve"> </w:t>
            </w:r>
            <w:r>
              <w:rPr>
                <w:sz w:val="20"/>
                <w:szCs w:val="20"/>
              </w:rPr>
              <w:t>u.a.</w:t>
            </w:r>
            <w:r w:rsidRPr="00A37CDD">
              <w:rPr>
                <w:sz w:val="20"/>
                <w:szCs w:val="20"/>
              </w:rPr>
              <w:t xml:space="preserve"> </w:t>
            </w:r>
            <w:r w:rsidRPr="004E60D3">
              <w:rPr>
                <w:sz w:val="20"/>
                <w:szCs w:val="20"/>
              </w:rPr>
              <w:t xml:space="preserve">den Grenzbereich zwischen der Versammlungsfreiheit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5B67C1D2">
              <w:rPr>
                <w:sz w:val="20"/>
                <w:szCs w:val="20"/>
              </w:rPr>
              <w:t xml:space="preserve"> und den Naturrechten wie dem </w:t>
            </w:r>
            <w:proofErr w:type="spellStart"/>
            <w:r w:rsidRPr="5B67C1D2">
              <w:rPr>
                <w:i/>
                <w:iCs/>
                <w:sz w:val="20"/>
                <w:szCs w:val="20"/>
              </w:rPr>
              <w:t>pursuit</w:t>
            </w:r>
            <w:proofErr w:type="spellEnd"/>
            <w:r w:rsidRPr="5B67C1D2">
              <w:rPr>
                <w:i/>
                <w:iCs/>
                <w:sz w:val="20"/>
                <w:szCs w:val="20"/>
              </w:rPr>
              <w:t xml:space="preserve"> of Happiness</w:t>
            </w:r>
            <w:r w:rsidRPr="004E60D3">
              <w:rPr>
                <w:sz w:val="20"/>
                <w:szCs w:val="20"/>
              </w:rPr>
              <w:t>.</w:t>
            </w:r>
            <w:r w:rsidRPr="00A37CDD">
              <w:rPr>
                <w:sz w:val="20"/>
                <w:szCs w:val="20"/>
              </w:rPr>
              <w:t xml:space="preserve"> Er beginnt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5B67C1D2">
              <w:rPr>
                <w:sz w:val="20"/>
                <w:szCs w:val="20"/>
              </w:rPr>
              <w:t xml:space="preserve"> </w:t>
            </w:r>
            <w:r w:rsidRPr="00A37CDD">
              <w:rPr>
                <w:sz w:val="20"/>
                <w:szCs w:val="20"/>
              </w:rPr>
              <w:t xml:space="preserve">Das </w:t>
            </w:r>
            <w:r w:rsidRPr="004E60D3">
              <w:rPr>
                <w:sz w:val="20"/>
                <w:szCs w:val="20"/>
              </w:rPr>
              <w:t xml:space="preserve">regele, </w:t>
            </w:r>
            <w:r w:rsidRPr="00A37CDD">
              <w:rPr>
                <w:sz w:val="20"/>
                <w:szCs w:val="20"/>
              </w:rPr>
              <w:t xml:space="preserve">dass </w:t>
            </w:r>
            <w:r w:rsidRPr="004E60D3">
              <w:rPr>
                <w:sz w:val="20"/>
                <w:szCs w:val="20"/>
              </w:rPr>
              <w:t>der Kongress kein Gesetz erlassen</w:t>
            </w:r>
            <w:r w:rsidRPr="00A37CDD">
              <w:rPr>
                <w:sz w:val="20"/>
                <w:szCs w:val="20"/>
              </w:rPr>
              <w:t xml:space="preserve"> dürfe</w:t>
            </w:r>
            <w:r w:rsidRPr="004E60D3">
              <w:rPr>
                <w:sz w:val="20"/>
                <w:szCs w:val="20"/>
              </w:rPr>
              <w:t xml:space="preserve">, </w:t>
            </w:r>
            <w:r w:rsidRPr="00A37CDD">
              <w:rPr>
                <w:sz w:val="20"/>
                <w:szCs w:val="20"/>
              </w:rPr>
              <w:t>welches</w:t>
            </w:r>
            <w:r w:rsidRPr="004E60D3">
              <w:rPr>
                <w:sz w:val="20"/>
                <w:szCs w:val="20"/>
              </w:rPr>
              <w:t xml:space="preserve"> die Rede-, Presse- oder Versammlungsfreiheit </w:t>
            </w:r>
            <w:r w:rsidRPr="00A37CDD">
              <w:rPr>
                <w:sz w:val="20"/>
                <w:szCs w:val="20"/>
              </w:rPr>
              <w:t xml:space="preserve">grundsätzlich </w:t>
            </w:r>
            <w:r w:rsidRPr="004E60D3">
              <w:rPr>
                <w:sz w:val="20"/>
                <w:szCs w:val="20"/>
              </w:rPr>
              <w:t xml:space="preserve">einschränke. </w:t>
            </w:r>
            <w:r w:rsidRPr="00A37CDD">
              <w:rPr>
                <w:sz w:val="20"/>
                <w:szCs w:val="20"/>
              </w:rPr>
              <w:t>De</w:t>
            </w:r>
            <w:r w:rsidR="304B85C3" w:rsidRPr="5B67C1D2">
              <w:rPr>
                <w:sz w:val="20"/>
                <w:szCs w:val="20"/>
              </w:rPr>
              <w:t>r Dissen</w:t>
            </w:r>
            <w:r w:rsidR="333F1566" w:rsidRPr="5B67C1D2">
              <w:rPr>
                <w:sz w:val="20"/>
                <w:szCs w:val="20"/>
              </w:rPr>
              <w:t>s von Richter Jackson</w:t>
            </w:r>
            <w:r w:rsidR="304B85C3" w:rsidRPr="5B67C1D2">
              <w:rPr>
                <w:sz w:val="20"/>
                <w:szCs w:val="20"/>
              </w:rPr>
              <w:t xml:space="preserve"> führt dazu aus, dass</w:t>
            </w:r>
            <w:r w:rsidRPr="5B67C1D2">
              <w:rPr>
                <w:sz w:val="20"/>
                <w:szCs w:val="20"/>
              </w:rPr>
              <w:t xml:space="preserve"> diese Freiheiten abhängig davon</w:t>
            </w:r>
            <w:r w:rsidR="234F61EA" w:rsidRPr="5B67C1D2">
              <w:rPr>
                <w:sz w:val="20"/>
                <w:szCs w:val="20"/>
              </w:rPr>
              <w:t xml:space="preserve"> seien</w:t>
            </w:r>
            <w:r w:rsidRPr="5B67C1D2">
              <w:rPr>
                <w:sz w:val="20"/>
                <w:szCs w:val="20"/>
              </w:rPr>
              <w:t>, inwieweit eine Regierung sie und die dahinterstehenden natürlichen Rechte sichere („</w:t>
            </w:r>
            <w:proofErr w:type="spellStart"/>
            <w:r w:rsidRPr="5B67C1D2">
              <w:rPr>
                <w:sz w:val="20"/>
                <w:szCs w:val="20"/>
              </w:rPr>
              <w:t>Whenever</w:t>
            </w:r>
            <w:proofErr w:type="spellEnd"/>
            <w:r w:rsidRPr="5B67C1D2">
              <w:rPr>
                <w:sz w:val="20"/>
                <w:szCs w:val="20"/>
              </w:rPr>
              <w:t xml:space="preserve"> </w:t>
            </w:r>
            <w:proofErr w:type="spellStart"/>
            <w:r w:rsidRPr="5B67C1D2">
              <w:rPr>
                <w:sz w:val="20"/>
                <w:szCs w:val="20"/>
              </w:rPr>
              <w:t>any</w:t>
            </w:r>
            <w:proofErr w:type="spellEnd"/>
            <w:r w:rsidRPr="5B67C1D2">
              <w:rPr>
                <w:sz w:val="20"/>
                <w:szCs w:val="20"/>
              </w:rPr>
              <w:t xml:space="preserve"> </w:t>
            </w:r>
            <w:proofErr w:type="spellStart"/>
            <w:r w:rsidRPr="5B67C1D2">
              <w:rPr>
                <w:sz w:val="20"/>
                <w:szCs w:val="20"/>
              </w:rPr>
              <w:t>government</w:t>
            </w:r>
            <w:proofErr w:type="spellEnd"/>
            <w:r w:rsidRPr="5B67C1D2">
              <w:rPr>
                <w:sz w:val="20"/>
                <w:szCs w:val="20"/>
              </w:rPr>
              <w:t xml:space="preserve"> </w:t>
            </w:r>
            <w:proofErr w:type="spellStart"/>
            <w:r w:rsidRPr="5B67C1D2">
              <w:rPr>
                <w:sz w:val="20"/>
                <w:szCs w:val="20"/>
              </w:rPr>
              <w:t>becomes</w:t>
            </w:r>
            <w:proofErr w:type="spellEnd"/>
            <w:r w:rsidRPr="5B67C1D2">
              <w:rPr>
                <w:sz w:val="20"/>
                <w:szCs w:val="20"/>
              </w:rPr>
              <w:t xml:space="preserve"> </w:t>
            </w:r>
            <w:proofErr w:type="spellStart"/>
            <w:r w:rsidRPr="5B67C1D2">
              <w:rPr>
                <w:sz w:val="20"/>
                <w:szCs w:val="20"/>
              </w:rPr>
              <w:t>destructive</w:t>
            </w:r>
            <w:proofErr w:type="spellEnd"/>
            <w:r w:rsidRPr="5B67C1D2">
              <w:rPr>
                <w:sz w:val="20"/>
                <w:szCs w:val="20"/>
              </w:rPr>
              <w:t xml:space="preserve"> of </w:t>
            </w:r>
            <w:proofErr w:type="spellStart"/>
            <w:r w:rsidRPr="5B67C1D2">
              <w:rPr>
                <w:sz w:val="20"/>
                <w:szCs w:val="20"/>
              </w:rPr>
              <w:t>these</w:t>
            </w:r>
            <w:proofErr w:type="spellEnd"/>
            <w:r w:rsidRPr="5B67C1D2">
              <w:rPr>
                <w:sz w:val="20"/>
                <w:szCs w:val="20"/>
              </w:rPr>
              <w:t xml:space="preserve"> </w:t>
            </w:r>
            <w:proofErr w:type="spellStart"/>
            <w:r w:rsidRPr="5B67C1D2">
              <w:rPr>
                <w:sz w:val="20"/>
                <w:szCs w:val="20"/>
              </w:rPr>
              <w:t>ends</w:t>
            </w:r>
            <w:proofErr w:type="spellEnd"/>
            <w:r w:rsidRPr="5B67C1D2">
              <w:rPr>
                <w:sz w:val="20"/>
                <w:szCs w:val="20"/>
              </w:rPr>
              <w:t xml:space="preserve"> [</w:t>
            </w:r>
            <w:proofErr w:type="spellStart"/>
            <w:r w:rsidRPr="5B67C1D2">
              <w:rPr>
                <w:sz w:val="20"/>
                <w:szCs w:val="20"/>
              </w:rPr>
              <w:t>life</w:t>
            </w:r>
            <w:proofErr w:type="spellEnd"/>
            <w:r w:rsidRPr="5B67C1D2">
              <w:rPr>
                <w:sz w:val="20"/>
                <w:szCs w:val="20"/>
              </w:rPr>
              <w:t xml:space="preserve">, </w:t>
            </w:r>
            <w:proofErr w:type="spellStart"/>
            <w:r w:rsidRPr="5B67C1D2">
              <w:rPr>
                <w:sz w:val="20"/>
                <w:szCs w:val="20"/>
              </w:rPr>
              <w:t>liberty</w:t>
            </w:r>
            <w:proofErr w:type="spellEnd"/>
            <w:r w:rsidRPr="5B67C1D2">
              <w:rPr>
                <w:sz w:val="20"/>
                <w:szCs w:val="20"/>
              </w:rPr>
              <w:t xml:space="preserve"> and the </w:t>
            </w:r>
            <w:proofErr w:type="spellStart"/>
            <w:r w:rsidRPr="5B67C1D2">
              <w:rPr>
                <w:sz w:val="20"/>
                <w:szCs w:val="20"/>
              </w:rPr>
              <w:t>pursuit</w:t>
            </w:r>
            <w:proofErr w:type="spellEnd"/>
            <w:r w:rsidRPr="5B67C1D2">
              <w:rPr>
                <w:sz w:val="20"/>
                <w:szCs w:val="20"/>
              </w:rPr>
              <w:t xml:space="preserve"> of </w:t>
            </w:r>
            <w:proofErr w:type="spellStart"/>
            <w:r w:rsidRPr="5B67C1D2">
              <w:rPr>
                <w:sz w:val="20"/>
                <w:szCs w:val="20"/>
              </w:rPr>
              <w:t>happiness</w:t>
            </w:r>
            <w:proofErr w:type="spellEnd"/>
            <w:r w:rsidRPr="5B67C1D2">
              <w:rPr>
                <w:sz w:val="20"/>
                <w:szCs w:val="20"/>
              </w:rPr>
              <w:t xml:space="preserve">] it </w:t>
            </w:r>
            <w:proofErr w:type="spellStart"/>
            <w:r w:rsidRPr="5B67C1D2">
              <w:rPr>
                <w:sz w:val="20"/>
                <w:szCs w:val="20"/>
              </w:rPr>
              <w:t>is</w:t>
            </w:r>
            <w:proofErr w:type="spellEnd"/>
            <w:r w:rsidRPr="5B67C1D2">
              <w:rPr>
                <w:sz w:val="20"/>
                <w:szCs w:val="20"/>
              </w:rPr>
              <w:t xml:space="preserve"> the </w:t>
            </w:r>
            <w:proofErr w:type="spellStart"/>
            <w:r w:rsidRPr="5B67C1D2">
              <w:rPr>
                <w:sz w:val="20"/>
                <w:szCs w:val="20"/>
              </w:rPr>
              <w:t>right</w:t>
            </w:r>
            <w:proofErr w:type="spellEnd"/>
            <w:r w:rsidRPr="5B67C1D2">
              <w:rPr>
                <w:sz w:val="20"/>
                <w:szCs w:val="20"/>
              </w:rPr>
              <w:t xml:space="preserve"> of the </w:t>
            </w:r>
            <w:proofErr w:type="spellStart"/>
            <w:r w:rsidRPr="5B67C1D2">
              <w:rPr>
                <w:sz w:val="20"/>
                <w:szCs w:val="20"/>
              </w:rPr>
              <w:t>people</w:t>
            </w:r>
            <w:proofErr w:type="spellEnd"/>
            <w:r w:rsidRPr="5B67C1D2">
              <w:rPr>
                <w:sz w:val="20"/>
                <w:szCs w:val="20"/>
              </w:rPr>
              <w:t xml:space="preserve"> to alter </w:t>
            </w:r>
            <w:proofErr w:type="spellStart"/>
            <w:r w:rsidRPr="5B67C1D2">
              <w:rPr>
                <w:sz w:val="20"/>
                <w:szCs w:val="20"/>
              </w:rPr>
              <w:t>or</w:t>
            </w:r>
            <w:proofErr w:type="spellEnd"/>
            <w:r w:rsidRPr="5B67C1D2">
              <w:rPr>
                <w:sz w:val="20"/>
                <w:szCs w:val="20"/>
              </w:rPr>
              <w:t xml:space="preserve"> </w:t>
            </w:r>
            <w:proofErr w:type="spellStart"/>
            <w:r w:rsidRPr="5B67C1D2">
              <w:rPr>
                <w:sz w:val="20"/>
                <w:szCs w:val="20"/>
              </w:rPr>
              <w:t>abolish</w:t>
            </w:r>
            <w:proofErr w:type="spellEnd"/>
            <w:r w:rsidRPr="5B67C1D2">
              <w:rPr>
                <w:sz w:val="20"/>
                <w:szCs w:val="20"/>
              </w:rPr>
              <w:t xml:space="preserve"> it“</w:t>
            </w:r>
            <w:r w:rsidRPr="5B67C1D2">
              <w:rPr>
                <w:sz w:val="20"/>
                <w:szCs w:val="20"/>
                <w:vertAlign w:val="superscript"/>
                <w:lang w:val="en-US"/>
              </w:rPr>
              <w:footnoteReference w:id="969"/>
            </w:r>
            <w:r w:rsidRPr="5B67C1D2">
              <w:rPr>
                <w:sz w:val="20"/>
                <w:szCs w:val="20"/>
              </w:rPr>
              <w:t>). Wenn die Regierung unveräußerliche Rechte sichere und damit überleben solle, um weiter die Freiheiten zu gewähren, dann müsse sie sich aber auch gegen rechtswidriges Verhalten und Aufforderungen zu rechtswidrigen Handlungen schützen können. Dadurch sei die Rede-, Presse- oder Versammlungsfreiheit wiederum umgrenzt: Denn sie umfasse nicht das Recht, sich jederzeit und zu jedem Thema zu äußern. Insbesondere dem Recht, bei einer Versammlung, der sog. „</w:t>
            </w:r>
            <w:proofErr w:type="spellStart"/>
            <w:r w:rsidRPr="5B67C1D2">
              <w:rPr>
                <w:sz w:val="20"/>
                <w:szCs w:val="20"/>
              </w:rPr>
              <w:t>freedom</w:t>
            </w:r>
            <w:proofErr w:type="spellEnd"/>
            <w:r w:rsidRPr="5B67C1D2">
              <w:rPr>
                <w:sz w:val="20"/>
                <w:szCs w:val="20"/>
              </w:rPr>
              <w:t xml:space="preserve"> of </w:t>
            </w:r>
            <w:proofErr w:type="spellStart"/>
            <w:r w:rsidRPr="5B67C1D2">
              <w:rPr>
                <w:sz w:val="20"/>
                <w:szCs w:val="20"/>
              </w:rPr>
              <w:t>assembly</w:t>
            </w:r>
            <w:proofErr w:type="spellEnd"/>
            <w:r w:rsidRPr="5B67C1D2">
              <w:rPr>
                <w:sz w:val="20"/>
                <w:szCs w:val="20"/>
              </w:rPr>
              <w:t>“,</w:t>
            </w:r>
            <w:r w:rsidRPr="5B67C1D2">
              <w:rPr>
                <w:sz w:val="20"/>
                <w:szCs w:val="20"/>
                <w:vertAlign w:val="superscript"/>
              </w:rPr>
              <w:footnoteReference w:id="970"/>
            </w:r>
            <w:r w:rsidRPr="5B67C1D2">
              <w:rPr>
                <w:sz w:val="20"/>
                <w:szCs w:val="20"/>
              </w:rPr>
              <w:t xml:space="preserve"> zu revolutionärem Verhalten aufzurufen, setzten </w:t>
            </w:r>
            <w:r w:rsidR="1518C68B" w:rsidRPr="5B67C1D2">
              <w:rPr>
                <w:sz w:val="20"/>
                <w:szCs w:val="20"/>
              </w:rPr>
              <w:t xml:space="preserve">nach Jackson </w:t>
            </w:r>
            <w:r w:rsidRPr="5B67C1D2">
              <w:rPr>
                <w:sz w:val="20"/>
                <w:szCs w:val="20"/>
              </w:rPr>
              <w:t xml:space="preserve">die natürlichen Rechte wie das </w:t>
            </w:r>
            <w:proofErr w:type="spellStart"/>
            <w:r w:rsidRPr="5B67C1D2">
              <w:rPr>
                <w:i/>
                <w:iCs/>
                <w:sz w:val="20"/>
                <w:szCs w:val="20"/>
              </w:rPr>
              <w:t>pursuit</w:t>
            </w:r>
            <w:proofErr w:type="spellEnd"/>
            <w:r w:rsidRPr="5B67C1D2">
              <w:rPr>
                <w:i/>
                <w:iCs/>
                <w:sz w:val="20"/>
                <w:szCs w:val="20"/>
              </w:rPr>
              <w:t xml:space="preserve"> of Happiness</w:t>
            </w:r>
            <w:r w:rsidRPr="5B67C1D2">
              <w:rPr>
                <w:sz w:val="20"/>
                <w:szCs w:val="20"/>
              </w:rPr>
              <w:t xml:space="preserve"> enge Grenzen – damit eine die natürlichen Rechte sichernde Regierung auch überlebe.</w:t>
            </w:r>
            <w:r w:rsidRPr="5B67C1D2">
              <w:rPr>
                <w:sz w:val="20"/>
                <w:szCs w:val="20"/>
                <w:vertAlign w:val="superscript"/>
              </w:rPr>
              <w:footnoteReference w:id="971"/>
            </w:r>
          </w:p>
          <w:p w14:paraId="7DC981B0" w14:textId="77777777" w:rsidR="00074551" w:rsidRPr="00E50B51" w:rsidRDefault="00074551" w:rsidP="00367133">
            <w:pPr>
              <w:jc w:val="both"/>
              <w:rPr>
                <w:sz w:val="20"/>
                <w:szCs w:val="20"/>
              </w:rPr>
            </w:pPr>
          </w:p>
        </w:tc>
      </w:tr>
      <w:tr w:rsidR="00074551" w:rsidRPr="002E1085" w14:paraId="18ED8C14" w14:textId="77777777" w:rsidTr="0089283E">
        <w:trPr>
          <w:cantSplit/>
          <w:trHeight w:val="3175"/>
        </w:trPr>
        <w:tc>
          <w:tcPr>
            <w:tcW w:w="293" w:type="pct"/>
            <w:shd w:val="clear" w:color="auto" w:fill="E7E6E6" w:themeFill="background2"/>
          </w:tcPr>
          <w:p w14:paraId="18EDAA6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70AF6219"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13533EC3" w14:textId="77777777" w:rsidR="00074551" w:rsidRPr="00E50B51" w:rsidRDefault="00074551" w:rsidP="00367133">
            <w:pPr>
              <w:ind w:left="113" w:right="113"/>
              <w:jc w:val="both"/>
              <w:rPr>
                <w:sz w:val="20"/>
                <w:szCs w:val="20"/>
                <w:lang w:val="en-US"/>
              </w:rPr>
            </w:pPr>
            <w:r w:rsidRPr="00E50B51">
              <w:rPr>
                <w:sz w:val="20"/>
                <w:szCs w:val="20"/>
                <w:lang w:val="en-US"/>
              </w:rPr>
              <w:t>Family Law/ State Sovereign Immunity</w:t>
            </w:r>
          </w:p>
        </w:tc>
        <w:tc>
          <w:tcPr>
            <w:tcW w:w="306" w:type="pct"/>
            <w:shd w:val="clear" w:color="auto" w:fill="E7E6E6" w:themeFill="background2"/>
            <w:textDirection w:val="tbRl"/>
            <w:vAlign w:val="center"/>
          </w:tcPr>
          <w:p w14:paraId="7B9B850B"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184BFEC5"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36798423" w14:textId="77777777" w:rsidR="00074551" w:rsidRPr="00E50B51" w:rsidRDefault="00074551" w:rsidP="00367133">
            <w:pPr>
              <w:jc w:val="both"/>
              <w:rPr>
                <w:sz w:val="20"/>
                <w:szCs w:val="20"/>
                <w:lang w:val="en-US"/>
              </w:rPr>
            </w:pPr>
          </w:p>
        </w:tc>
        <w:tc>
          <w:tcPr>
            <w:tcW w:w="1822" w:type="pct"/>
            <w:shd w:val="clear" w:color="auto" w:fill="E7E6E6" w:themeFill="background2"/>
          </w:tcPr>
          <w:p w14:paraId="6ECF11DF" w14:textId="532030DB" w:rsidR="00074551" w:rsidRPr="00E50B51" w:rsidRDefault="0089283E" w:rsidP="0089283E">
            <w:pPr>
              <w:rPr>
                <w:sz w:val="20"/>
                <w:szCs w:val="20"/>
                <w:lang w:val="en-US"/>
              </w:rPr>
            </w:pPr>
            <w:r w:rsidRPr="00A15DB3">
              <w:rPr>
                <w:i/>
                <w:iCs/>
                <w:sz w:val="16"/>
                <w:szCs w:val="16"/>
              </w:rPr>
              <w:t>Thematische Gliederung der nachfolgenden Entscheidungen ↓</w:t>
            </w:r>
          </w:p>
        </w:tc>
      </w:tr>
      <w:tr w:rsidR="00074551" w:rsidRPr="00E50B51" w14:paraId="4667B02F" w14:textId="77777777" w:rsidTr="00BE689F">
        <w:trPr>
          <w:cantSplit/>
          <w:trHeight w:val="3175"/>
        </w:trPr>
        <w:tc>
          <w:tcPr>
            <w:tcW w:w="293" w:type="pct"/>
          </w:tcPr>
          <w:p w14:paraId="6C239CAD"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textDirection w:val="tbRl"/>
            <w:vAlign w:val="center"/>
          </w:tcPr>
          <w:p w14:paraId="2D3E88A4" w14:textId="77777777" w:rsidR="00074551" w:rsidRPr="00E50B51" w:rsidRDefault="00074551" w:rsidP="00367133">
            <w:pPr>
              <w:ind w:left="113" w:right="416"/>
              <w:jc w:val="both"/>
              <w:rPr>
                <w:sz w:val="20"/>
                <w:szCs w:val="20"/>
                <w:lang w:val="en-US"/>
              </w:rPr>
            </w:pPr>
            <w:r w:rsidRPr="00584023">
              <w:rPr>
                <w:i/>
                <w:sz w:val="20"/>
                <w:szCs w:val="20"/>
              </w:rPr>
              <w:t>Sosna v. Iowa</w:t>
            </w:r>
          </w:p>
        </w:tc>
        <w:tc>
          <w:tcPr>
            <w:tcW w:w="197" w:type="pct"/>
            <w:textDirection w:val="tbRl"/>
            <w:vAlign w:val="center"/>
          </w:tcPr>
          <w:p w14:paraId="530CD5B7" w14:textId="77777777" w:rsidR="00074551" w:rsidRPr="00E50B51" w:rsidRDefault="00074551" w:rsidP="00367133">
            <w:pPr>
              <w:ind w:left="113" w:right="113"/>
              <w:jc w:val="both"/>
              <w:rPr>
                <w:sz w:val="20"/>
                <w:szCs w:val="20"/>
                <w:lang w:val="en-US"/>
              </w:rPr>
            </w:pPr>
            <w:r w:rsidRPr="00E50B51">
              <w:rPr>
                <w:sz w:val="20"/>
                <w:szCs w:val="20"/>
                <w:lang w:val="en-US"/>
              </w:rPr>
              <w:t>419 U.S. 393</w:t>
            </w:r>
          </w:p>
        </w:tc>
        <w:tc>
          <w:tcPr>
            <w:tcW w:w="306" w:type="pct"/>
            <w:textDirection w:val="tbRl"/>
            <w:vAlign w:val="center"/>
          </w:tcPr>
          <w:p w14:paraId="2E6FBB07" w14:textId="77777777" w:rsidR="00074551" w:rsidRPr="00E50B51" w:rsidRDefault="00074551" w:rsidP="00367133">
            <w:pPr>
              <w:ind w:left="113" w:right="113"/>
              <w:jc w:val="both"/>
              <w:rPr>
                <w:sz w:val="20"/>
                <w:szCs w:val="20"/>
              </w:rPr>
            </w:pPr>
            <w:r w:rsidRPr="00E50B51">
              <w:rPr>
                <w:sz w:val="20"/>
                <w:szCs w:val="20"/>
              </w:rPr>
              <w:t>14. Januar 1975</w:t>
            </w:r>
          </w:p>
        </w:tc>
        <w:tc>
          <w:tcPr>
            <w:tcW w:w="401" w:type="pct"/>
          </w:tcPr>
          <w:p w14:paraId="0F66C474"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748B3F80" w14:textId="77777777" w:rsidR="00074551" w:rsidRPr="00E50B51" w:rsidRDefault="00074551" w:rsidP="00367133">
            <w:pPr>
              <w:jc w:val="both"/>
              <w:rPr>
                <w:sz w:val="20"/>
                <w:szCs w:val="20"/>
              </w:rPr>
            </w:pPr>
            <w:r w:rsidRPr="00E50B51">
              <w:rPr>
                <w:sz w:val="20"/>
                <w:szCs w:val="20"/>
              </w:rPr>
              <w:t>*</w:t>
            </w:r>
          </w:p>
        </w:tc>
        <w:tc>
          <w:tcPr>
            <w:tcW w:w="1822" w:type="pct"/>
          </w:tcPr>
          <w:p w14:paraId="1D0FF588" w14:textId="77777777" w:rsidR="00074551" w:rsidRPr="00CF2565" w:rsidRDefault="00074551" w:rsidP="00367133">
            <w:pPr>
              <w:jc w:val="both"/>
              <w:rPr>
                <w:sz w:val="20"/>
                <w:szCs w:val="20"/>
              </w:rPr>
            </w:pPr>
            <w:r>
              <w:rPr>
                <w:sz w:val="20"/>
                <w:szCs w:val="20"/>
              </w:rPr>
              <w:t>Der U.S. Supreme Court betonte, e</w:t>
            </w:r>
            <w:r w:rsidRPr="00CF2565">
              <w:rPr>
                <w:sz w:val="20"/>
                <w:szCs w:val="20"/>
              </w:rPr>
              <w:t>in Bundesstaat habe die ausschließliche Zuständigkeit, die Voraussetzungen festzulegen, unter denen die eigenen Bürger die Ehe schließen und sich scheiden lassen können („</w:t>
            </w:r>
            <w:proofErr w:type="spellStart"/>
            <w:r w:rsidRPr="00CF2565">
              <w:rPr>
                <w:sz w:val="20"/>
                <w:szCs w:val="20"/>
              </w:rPr>
              <w:t>state</w:t>
            </w:r>
            <w:proofErr w:type="spellEnd"/>
            <w:r w:rsidRPr="00CF2565">
              <w:rPr>
                <w:sz w:val="20"/>
                <w:szCs w:val="20"/>
              </w:rPr>
              <w:t xml:space="preserve"> </w:t>
            </w:r>
            <w:proofErr w:type="spellStart"/>
            <w:r w:rsidRPr="00CF2565">
              <w:rPr>
                <w:sz w:val="20"/>
                <w:szCs w:val="20"/>
              </w:rPr>
              <w:t>has</w:t>
            </w:r>
            <w:proofErr w:type="spellEnd"/>
            <w:r w:rsidRPr="00CF2565">
              <w:rPr>
                <w:sz w:val="20"/>
                <w:szCs w:val="20"/>
              </w:rPr>
              <w:t xml:space="preserve"> absolute </w:t>
            </w:r>
            <w:proofErr w:type="spellStart"/>
            <w:r w:rsidRPr="00CF2565">
              <w:rPr>
                <w:sz w:val="20"/>
                <w:szCs w:val="20"/>
              </w:rPr>
              <w:t>right</w:t>
            </w:r>
            <w:proofErr w:type="spellEnd"/>
            <w:r w:rsidRPr="00CF2565">
              <w:rPr>
                <w:sz w:val="20"/>
                <w:szCs w:val="20"/>
              </w:rPr>
              <w:t xml:space="preserve"> to </w:t>
            </w:r>
            <w:proofErr w:type="spellStart"/>
            <w:r w:rsidRPr="00CF2565">
              <w:rPr>
                <w:sz w:val="20"/>
                <w:szCs w:val="20"/>
              </w:rPr>
              <w:t>prescribe</w:t>
            </w:r>
            <w:proofErr w:type="spellEnd"/>
            <w:r w:rsidRPr="00CF2565">
              <w:rPr>
                <w:sz w:val="20"/>
                <w:szCs w:val="20"/>
              </w:rPr>
              <w:t xml:space="preserve"> the </w:t>
            </w:r>
            <w:proofErr w:type="spellStart"/>
            <w:r w:rsidRPr="00CF2565">
              <w:rPr>
                <w:sz w:val="20"/>
                <w:szCs w:val="20"/>
              </w:rPr>
              <w:t>conditions</w:t>
            </w:r>
            <w:proofErr w:type="spellEnd"/>
            <w:r w:rsidRPr="00CF2565">
              <w:rPr>
                <w:sz w:val="20"/>
                <w:szCs w:val="20"/>
              </w:rPr>
              <w:t>“</w:t>
            </w:r>
            <w:r w:rsidRPr="00CF2565">
              <w:rPr>
                <w:sz w:val="20"/>
                <w:szCs w:val="20"/>
                <w:vertAlign w:val="superscript"/>
              </w:rPr>
              <w:footnoteReference w:id="972"/>
            </w:r>
            <w:r w:rsidRPr="00CF2565">
              <w:rPr>
                <w:sz w:val="20"/>
                <w:szCs w:val="20"/>
              </w:rPr>
              <w:t xml:space="preserve">).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CF2565">
              <w:rPr>
                <w:sz w:val="20"/>
                <w:szCs w:val="20"/>
              </w:rPr>
              <w:t xml:space="preserve"> leitet her, woran sich diese Voraussetzungen für Bundesstaaten zu bemessen </w:t>
            </w:r>
            <w:r>
              <w:rPr>
                <w:sz w:val="20"/>
                <w:szCs w:val="20"/>
              </w:rPr>
              <w:t>hätten</w:t>
            </w:r>
            <w:r w:rsidRPr="00CF2565">
              <w:rPr>
                <w:sz w:val="20"/>
                <w:szCs w:val="20"/>
              </w:rPr>
              <w:t xml:space="preserve">: Das Recht auf Eheschließung sei eines der </w:t>
            </w:r>
            <w:r>
              <w:rPr>
                <w:sz w:val="20"/>
                <w:szCs w:val="20"/>
              </w:rPr>
              <w:t>lebenswichtigen persönlichen</w:t>
            </w:r>
            <w:r w:rsidRPr="00CF2565">
              <w:rPr>
                <w:sz w:val="20"/>
                <w:szCs w:val="20"/>
              </w:rPr>
              <w:t xml:space="preserve"> Rechte, die für das geordnete Streben freier Menschen nach Glück wesentlich seien.</w:t>
            </w:r>
            <w:r w:rsidRPr="00CF2565">
              <w:rPr>
                <w:sz w:val="20"/>
                <w:szCs w:val="20"/>
                <w:vertAlign w:val="superscript"/>
              </w:rPr>
              <w:footnoteReference w:id="973"/>
            </w:r>
            <w:r w:rsidRPr="00CF2565">
              <w:rPr>
                <w:sz w:val="20"/>
                <w:szCs w:val="20"/>
              </w:rPr>
              <w:t xml:space="preserve"> Die gleiche Wichtigkeit komme dem Spiegelrecht zu: </w:t>
            </w:r>
            <w:r>
              <w:rPr>
                <w:sz w:val="20"/>
                <w:szCs w:val="20"/>
              </w:rPr>
              <w:t>d</w:t>
            </w:r>
            <w:r w:rsidRPr="00CF2565">
              <w:rPr>
                <w:sz w:val="20"/>
                <w:szCs w:val="20"/>
              </w:rPr>
              <w:t>em Recht, sich scheiden zu</w:t>
            </w:r>
            <w:r>
              <w:rPr>
                <w:sz w:val="20"/>
                <w:szCs w:val="20"/>
              </w:rPr>
              <w:t xml:space="preserve"> </w:t>
            </w:r>
            <w:r w:rsidRPr="00CF2565">
              <w:rPr>
                <w:sz w:val="20"/>
                <w:szCs w:val="20"/>
              </w:rPr>
              <w:t>lassen. Denn beide Rechte regel</w:t>
            </w:r>
            <w:r>
              <w:rPr>
                <w:sz w:val="20"/>
                <w:szCs w:val="20"/>
              </w:rPr>
              <w:t>ten</w:t>
            </w:r>
            <w:r w:rsidRPr="00CF2565">
              <w:rPr>
                <w:sz w:val="20"/>
                <w:szCs w:val="20"/>
              </w:rPr>
              <w:t xml:space="preserve"> das Recht</w:t>
            </w:r>
            <w:r>
              <w:rPr>
                <w:sz w:val="20"/>
                <w:szCs w:val="20"/>
              </w:rPr>
              <w:t>,</w:t>
            </w:r>
            <w:r w:rsidRPr="00CF2565">
              <w:rPr>
                <w:sz w:val="20"/>
                <w:szCs w:val="20"/>
              </w:rPr>
              <w:t xml:space="preserve"> grundlegendste menschliche Beziehung ohne staatliche Eingriffe anpassen zu können („</w:t>
            </w:r>
            <w:proofErr w:type="spellStart"/>
            <w:r w:rsidRPr="00CF2565">
              <w:rPr>
                <w:sz w:val="20"/>
                <w:szCs w:val="20"/>
              </w:rPr>
              <w:t>both</w:t>
            </w:r>
            <w:proofErr w:type="spellEnd"/>
            <w:r w:rsidRPr="00CF2565">
              <w:rPr>
                <w:sz w:val="20"/>
                <w:szCs w:val="20"/>
              </w:rPr>
              <w:t xml:space="preserve"> </w:t>
            </w:r>
            <w:proofErr w:type="spellStart"/>
            <w:r w:rsidRPr="00CF2565">
              <w:rPr>
                <w:sz w:val="20"/>
                <w:szCs w:val="20"/>
              </w:rPr>
              <w:t>involve</w:t>
            </w:r>
            <w:proofErr w:type="spellEnd"/>
            <w:r w:rsidRPr="00CF2565">
              <w:rPr>
                <w:sz w:val="20"/>
                <w:szCs w:val="20"/>
              </w:rPr>
              <w:t xml:space="preserve"> the </w:t>
            </w:r>
            <w:proofErr w:type="spellStart"/>
            <w:r w:rsidRPr="00CF2565">
              <w:rPr>
                <w:sz w:val="20"/>
                <w:szCs w:val="20"/>
              </w:rPr>
              <w:t>voluntary</w:t>
            </w:r>
            <w:proofErr w:type="spellEnd"/>
            <w:r w:rsidRPr="00CF2565">
              <w:rPr>
                <w:sz w:val="20"/>
                <w:szCs w:val="20"/>
              </w:rPr>
              <w:t xml:space="preserve"> </w:t>
            </w:r>
            <w:proofErr w:type="spellStart"/>
            <w:r w:rsidRPr="00CF2565">
              <w:rPr>
                <w:sz w:val="20"/>
                <w:szCs w:val="20"/>
              </w:rPr>
              <w:t>adjustment</w:t>
            </w:r>
            <w:proofErr w:type="spellEnd"/>
            <w:r w:rsidRPr="00CF2565">
              <w:rPr>
                <w:sz w:val="20"/>
                <w:szCs w:val="20"/>
              </w:rPr>
              <w:t>“</w:t>
            </w:r>
            <w:r w:rsidRPr="00CF2565">
              <w:rPr>
                <w:sz w:val="20"/>
                <w:szCs w:val="20"/>
                <w:vertAlign w:val="superscript"/>
              </w:rPr>
              <w:footnoteReference w:id="974"/>
            </w:r>
            <w:r w:rsidRPr="00CF2565">
              <w:rPr>
                <w:sz w:val="20"/>
                <w:szCs w:val="20"/>
              </w:rPr>
              <w:t xml:space="preserve">) – als eine Bedingung für Glücksstreben. </w:t>
            </w:r>
            <w:r>
              <w:rPr>
                <w:sz w:val="20"/>
                <w:szCs w:val="20"/>
              </w:rPr>
              <w:t>Es</w:t>
            </w:r>
            <w:r w:rsidRPr="00CF2565">
              <w:rPr>
                <w:sz w:val="20"/>
                <w:szCs w:val="20"/>
              </w:rPr>
              <w:t xml:space="preserve"> sei</w:t>
            </w:r>
            <w:r>
              <w:rPr>
                <w:sz w:val="20"/>
                <w:szCs w:val="20"/>
              </w:rPr>
              <w:t xml:space="preserve"> damit</w:t>
            </w:r>
            <w:r w:rsidRPr="00CF2565">
              <w:rPr>
                <w:sz w:val="20"/>
                <w:szCs w:val="20"/>
              </w:rPr>
              <w:t xml:space="preserve"> unvereinbar, diese Rechte einer Gruppe zu verweigern, </w:t>
            </w:r>
            <w:r>
              <w:rPr>
                <w:sz w:val="20"/>
                <w:szCs w:val="20"/>
              </w:rPr>
              <w:t>z.B.</w:t>
            </w:r>
            <w:r w:rsidRPr="00CF2565">
              <w:rPr>
                <w:sz w:val="20"/>
                <w:szCs w:val="20"/>
              </w:rPr>
              <w:t xml:space="preserve"> die Scheidung an eine Wohnsitzanforderung zu binden und </w:t>
            </w:r>
            <w:r>
              <w:rPr>
                <w:sz w:val="20"/>
                <w:szCs w:val="20"/>
              </w:rPr>
              <w:t>dadurch</w:t>
            </w:r>
            <w:r w:rsidRPr="00CF2565">
              <w:rPr>
                <w:sz w:val="20"/>
                <w:szCs w:val="20"/>
              </w:rPr>
              <w:t xml:space="preserve"> dieses Recht der Gruppe der zwischenstaatlich Reisenden oder Neubürgern faktisch zu verweigern.</w:t>
            </w:r>
            <w:r w:rsidRPr="00CF2565">
              <w:rPr>
                <w:sz w:val="20"/>
                <w:szCs w:val="20"/>
                <w:vertAlign w:val="superscript"/>
              </w:rPr>
              <w:footnoteReference w:id="975"/>
            </w:r>
          </w:p>
          <w:p w14:paraId="084B28C5" w14:textId="77777777" w:rsidR="00074551" w:rsidRPr="00E50B51" w:rsidRDefault="00074551" w:rsidP="00367133">
            <w:pPr>
              <w:jc w:val="both"/>
              <w:rPr>
                <w:sz w:val="20"/>
                <w:szCs w:val="20"/>
              </w:rPr>
            </w:pPr>
          </w:p>
        </w:tc>
      </w:tr>
      <w:tr w:rsidR="00074551" w:rsidRPr="00E50B51" w14:paraId="48597BD5" w14:textId="77777777" w:rsidTr="0089283E">
        <w:trPr>
          <w:cantSplit/>
          <w:trHeight w:val="3175"/>
        </w:trPr>
        <w:tc>
          <w:tcPr>
            <w:tcW w:w="293" w:type="pct"/>
            <w:shd w:val="clear" w:color="auto" w:fill="E7E6E6" w:themeFill="background2"/>
          </w:tcPr>
          <w:p w14:paraId="12DED1C5"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09222C1D"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7F031B30"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35370BA8" w14:textId="77777777" w:rsidR="00074551" w:rsidRPr="00E50B51" w:rsidRDefault="00074551" w:rsidP="00367133">
            <w:pPr>
              <w:ind w:left="113" w:right="113"/>
              <w:jc w:val="both"/>
              <w:rPr>
                <w:sz w:val="20"/>
                <w:szCs w:val="20"/>
              </w:rPr>
            </w:pPr>
            <w:r w:rsidRPr="00BE3728">
              <w:rPr>
                <w:sz w:val="20"/>
                <w:szCs w:val="20"/>
                <w:lang w:val="en-US"/>
              </w:rPr>
              <w:t>Contracts Law</w:t>
            </w:r>
          </w:p>
        </w:tc>
        <w:tc>
          <w:tcPr>
            <w:tcW w:w="401" w:type="pct"/>
            <w:shd w:val="clear" w:color="auto" w:fill="E7E6E6" w:themeFill="background2"/>
          </w:tcPr>
          <w:p w14:paraId="1BC6F23E" w14:textId="770E3064" w:rsidR="00074551" w:rsidRPr="00E50B51" w:rsidRDefault="00074551" w:rsidP="00367133">
            <w:pPr>
              <w:jc w:val="center"/>
              <w:rPr>
                <w:sz w:val="20"/>
                <w:szCs w:val="20"/>
                <w:lang w:val="en-US"/>
              </w:rPr>
            </w:pPr>
            <w:hyperlink r:id="rId17" w:history="1">
              <w:r w:rsidRPr="00BE3728">
                <w:rPr>
                  <w:rStyle w:val="Hyperlink"/>
                  <w:color w:val="auto"/>
                  <w:sz w:val="20"/>
                  <w:szCs w:val="20"/>
                  <w:u w:val="none"/>
                  <w:lang w:val="en-US"/>
                </w:rPr>
                <w:t>Types of Contracts</w:t>
              </w:r>
            </w:hyperlink>
          </w:p>
        </w:tc>
        <w:tc>
          <w:tcPr>
            <w:tcW w:w="1594" w:type="pct"/>
            <w:shd w:val="clear" w:color="auto" w:fill="E7E6E6" w:themeFill="background2"/>
            <w:vAlign w:val="center"/>
          </w:tcPr>
          <w:p w14:paraId="3A47EF91" w14:textId="77777777" w:rsidR="00074551" w:rsidRPr="00E50B51" w:rsidRDefault="00074551" w:rsidP="00367133">
            <w:pPr>
              <w:jc w:val="both"/>
              <w:rPr>
                <w:sz w:val="20"/>
                <w:szCs w:val="20"/>
              </w:rPr>
            </w:pPr>
          </w:p>
        </w:tc>
        <w:tc>
          <w:tcPr>
            <w:tcW w:w="1822" w:type="pct"/>
            <w:shd w:val="clear" w:color="auto" w:fill="E7E6E6" w:themeFill="background2"/>
          </w:tcPr>
          <w:p w14:paraId="74BE6C9B" w14:textId="14FF11A9"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23BED707" w14:textId="77777777" w:rsidTr="00BE689F">
        <w:trPr>
          <w:cantSplit/>
          <w:trHeight w:val="3175"/>
        </w:trPr>
        <w:tc>
          <w:tcPr>
            <w:tcW w:w="293" w:type="pct"/>
          </w:tcPr>
          <w:p w14:paraId="2BF06815"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0D5AEF7" w14:textId="77777777" w:rsidR="00074551" w:rsidRPr="00E50B51" w:rsidRDefault="00074551" w:rsidP="00367133">
            <w:pPr>
              <w:ind w:left="113" w:right="416"/>
              <w:jc w:val="both"/>
              <w:rPr>
                <w:sz w:val="20"/>
                <w:szCs w:val="20"/>
              </w:rPr>
            </w:pPr>
            <w:r w:rsidRPr="009E57E1">
              <w:rPr>
                <w:i/>
                <w:sz w:val="20"/>
                <w:szCs w:val="20"/>
              </w:rPr>
              <w:t>Maynard v. Hill</w:t>
            </w:r>
          </w:p>
        </w:tc>
        <w:tc>
          <w:tcPr>
            <w:tcW w:w="197" w:type="pct"/>
            <w:textDirection w:val="tbRl"/>
            <w:vAlign w:val="center"/>
          </w:tcPr>
          <w:p w14:paraId="60A6228E" w14:textId="77777777" w:rsidR="00074551" w:rsidRPr="00E50B51" w:rsidRDefault="00074551" w:rsidP="00367133">
            <w:pPr>
              <w:ind w:left="113" w:right="113"/>
              <w:jc w:val="both"/>
              <w:rPr>
                <w:sz w:val="20"/>
                <w:szCs w:val="20"/>
                <w:lang w:val="en-US"/>
              </w:rPr>
            </w:pPr>
            <w:r w:rsidRPr="00BE3728">
              <w:rPr>
                <w:sz w:val="20"/>
                <w:szCs w:val="20"/>
              </w:rPr>
              <w:t>125 U.S. 190</w:t>
            </w:r>
          </w:p>
        </w:tc>
        <w:tc>
          <w:tcPr>
            <w:tcW w:w="306" w:type="pct"/>
            <w:textDirection w:val="tbRl"/>
            <w:vAlign w:val="center"/>
          </w:tcPr>
          <w:p w14:paraId="60887FD8" w14:textId="77777777" w:rsidR="00074551" w:rsidRPr="00E50B51" w:rsidRDefault="00074551" w:rsidP="00367133">
            <w:pPr>
              <w:ind w:left="113" w:right="113"/>
              <w:jc w:val="both"/>
              <w:rPr>
                <w:sz w:val="20"/>
                <w:szCs w:val="20"/>
              </w:rPr>
            </w:pPr>
            <w:r w:rsidRPr="00BE3728">
              <w:rPr>
                <w:sz w:val="20"/>
                <w:szCs w:val="20"/>
              </w:rPr>
              <w:t>19. März 1888</w:t>
            </w:r>
          </w:p>
        </w:tc>
        <w:tc>
          <w:tcPr>
            <w:tcW w:w="401" w:type="pct"/>
          </w:tcPr>
          <w:p w14:paraId="6F9D6EA3" w14:textId="77777777" w:rsidR="00074551" w:rsidRPr="00E50B51" w:rsidRDefault="00074551" w:rsidP="00367133">
            <w:pPr>
              <w:jc w:val="center"/>
              <w:rPr>
                <w:sz w:val="20"/>
                <w:szCs w:val="20"/>
                <w:lang w:val="en-US"/>
              </w:rPr>
            </w:pPr>
            <w:r w:rsidRPr="00BE3728">
              <w:t>M</w:t>
            </w:r>
          </w:p>
        </w:tc>
        <w:tc>
          <w:tcPr>
            <w:tcW w:w="1594" w:type="pct"/>
          </w:tcPr>
          <w:p w14:paraId="05AA5602" w14:textId="77777777" w:rsidR="00074551" w:rsidRPr="00BE3728" w:rsidRDefault="00074551" w:rsidP="00367133">
            <w:pPr>
              <w:jc w:val="both"/>
              <w:rPr>
                <w:sz w:val="20"/>
                <w:szCs w:val="20"/>
              </w:rPr>
            </w:pPr>
            <w:r w:rsidRPr="00B45592">
              <w:rPr>
                <w:sz w:val="20"/>
                <w:szCs w:val="20"/>
                <w:lang w:val="en-IE"/>
              </w:rPr>
              <w:t xml:space="preserve">Der U.S. Supreme Court </w:t>
            </w:r>
            <w:proofErr w:type="spellStart"/>
            <w:r w:rsidRPr="00B45592">
              <w:rPr>
                <w:sz w:val="20"/>
                <w:szCs w:val="20"/>
                <w:lang w:val="en-IE"/>
              </w:rPr>
              <w:t>bestätigte</w:t>
            </w:r>
            <w:proofErr w:type="spellEnd"/>
            <w:r w:rsidRPr="00B45592">
              <w:rPr>
                <w:sz w:val="20"/>
                <w:szCs w:val="20"/>
                <w:lang w:val="en-IE"/>
              </w:rPr>
              <w:t xml:space="preserve"> das </w:t>
            </w:r>
            <w:proofErr w:type="spellStart"/>
            <w:r w:rsidRPr="00B45592">
              <w:rPr>
                <w:sz w:val="20"/>
                <w:szCs w:val="20"/>
                <w:lang w:val="en-IE"/>
              </w:rPr>
              <w:t>Urteil</w:t>
            </w:r>
            <w:proofErr w:type="spellEnd"/>
            <w:r w:rsidRPr="00B45592">
              <w:rPr>
                <w:sz w:val="20"/>
                <w:szCs w:val="20"/>
                <w:lang w:val="en-IE"/>
              </w:rPr>
              <w:t xml:space="preserve"> des </w:t>
            </w:r>
            <w:r w:rsidRPr="5B67C1D2">
              <w:rPr>
                <w:i/>
                <w:iCs/>
                <w:sz w:val="20"/>
                <w:szCs w:val="20"/>
                <w:lang w:val="en-IE"/>
              </w:rPr>
              <w:t>Supreme Court of the Territory of Washington</w:t>
            </w:r>
            <w:r w:rsidRPr="00B45592">
              <w:rPr>
                <w:sz w:val="20"/>
                <w:szCs w:val="20"/>
                <w:lang w:val="en-IE"/>
              </w:rPr>
              <w:t xml:space="preserve">. </w:t>
            </w:r>
            <w:r w:rsidRPr="00BE3728">
              <w:rPr>
                <w:sz w:val="20"/>
                <w:szCs w:val="20"/>
              </w:rPr>
              <w:t xml:space="preserve">Die Kläger waren mögliche </w:t>
            </w:r>
            <w:r>
              <w:rPr>
                <w:sz w:val="20"/>
                <w:szCs w:val="20"/>
              </w:rPr>
              <w:t>Erben und</w:t>
            </w:r>
            <w:r w:rsidRPr="00BE3728">
              <w:rPr>
                <w:sz w:val="20"/>
                <w:szCs w:val="20"/>
              </w:rPr>
              <w:t xml:space="preserve"> der Beklagt</w:t>
            </w:r>
            <w:r>
              <w:rPr>
                <w:sz w:val="20"/>
                <w:szCs w:val="20"/>
              </w:rPr>
              <w:t>e</w:t>
            </w:r>
            <w:r w:rsidRPr="00BE3728">
              <w:rPr>
                <w:sz w:val="20"/>
                <w:szCs w:val="20"/>
              </w:rPr>
              <w:t xml:space="preserve"> ein Grundstücksinhaber. Die Kläger begehrten eine Übertragung der Grundstücke. </w:t>
            </w:r>
            <w:r>
              <w:rPr>
                <w:sz w:val="20"/>
                <w:szCs w:val="20"/>
              </w:rPr>
              <w:t>Sie</w:t>
            </w:r>
            <w:r w:rsidRPr="00BE3728">
              <w:rPr>
                <w:sz w:val="20"/>
                <w:szCs w:val="20"/>
              </w:rPr>
              <w:t xml:space="preserve"> bestritten eine Anordnung, die </w:t>
            </w:r>
            <w:r>
              <w:rPr>
                <w:sz w:val="20"/>
                <w:szCs w:val="20"/>
              </w:rPr>
              <w:t>der</w:t>
            </w:r>
            <w:r w:rsidRPr="00BE3728">
              <w:rPr>
                <w:sz w:val="20"/>
                <w:szCs w:val="20"/>
              </w:rPr>
              <w:t xml:space="preserve"> </w:t>
            </w:r>
            <w:r w:rsidRPr="5B67C1D2">
              <w:rPr>
                <w:i/>
                <w:iCs/>
                <w:sz w:val="20"/>
                <w:szCs w:val="20"/>
              </w:rPr>
              <w:t xml:space="preserve">Supreme Court of the </w:t>
            </w:r>
            <w:proofErr w:type="spellStart"/>
            <w:r w:rsidRPr="5B67C1D2">
              <w:rPr>
                <w:i/>
                <w:iCs/>
                <w:sz w:val="20"/>
                <w:szCs w:val="20"/>
              </w:rPr>
              <w:t>Territory</w:t>
            </w:r>
            <w:proofErr w:type="spellEnd"/>
            <w:r w:rsidRPr="5B67C1D2">
              <w:rPr>
                <w:i/>
                <w:iCs/>
                <w:sz w:val="20"/>
                <w:szCs w:val="20"/>
              </w:rPr>
              <w:t xml:space="preserve"> of Washington</w:t>
            </w:r>
            <w:r w:rsidRPr="00BE3728">
              <w:rPr>
                <w:sz w:val="20"/>
                <w:szCs w:val="20"/>
              </w:rPr>
              <w:t xml:space="preserve"> </w:t>
            </w:r>
            <w:r>
              <w:rPr>
                <w:sz w:val="20"/>
                <w:szCs w:val="20"/>
              </w:rPr>
              <w:t>erlassen hatte</w:t>
            </w:r>
            <w:r w:rsidRPr="00BE3728">
              <w:rPr>
                <w:sz w:val="20"/>
                <w:szCs w:val="20"/>
              </w:rPr>
              <w:t xml:space="preserve">. Die Anordnung hielt die Entscheidung der Vorinstanz aufrecht. Dort </w:t>
            </w:r>
            <w:r>
              <w:rPr>
                <w:sz w:val="20"/>
                <w:szCs w:val="20"/>
              </w:rPr>
              <w:t>war</w:t>
            </w:r>
            <w:r w:rsidRPr="00BE3728">
              <w:rPr>
                <w:sz w:val="20"/>
                <w:szCs w:val="20"/>
              </w:rPr>
              <w:t xml:space="preserve"> geurteilt</w:t>
            </w:r>
            <w:r>
              <w:rPr>
                <w:sz w:val="20"/>
                <w:szCs w:val="20"/>
              </w:rPr>
              <w:t xml:space="preserve"> worden</w:t>
            </w:r>
            <w:r w:rsidRPr="00BE3728">
              <w:rPr>
                <w:sz w:val="20"/>
                <w:szCs w:val="20"/>
              </w:rPr>
              <w:t xml:space="preserve">, die Beklagten </w:t>
            </w:r>
            <w:r>
              <w:rPr>
                <w:sz w:val="20"/>
                <w:szCs w:val="20"/>
              </w:rPr>
              <w:t>hätten</w:t>
            </w:r>
            <w:r w:rsidRPr="00BE3728">
              <w:rPr>
                <w:sz w:val="20"/>
                <w:szCs w:val="20"/>
              </w:rPr>
              <w:t xml:space="preserve"> eine Einrede gegen den Klägeranspruch. Diese Einrede </w:t>
            </w:r>
            <w:r>
              <w:rPr>
                <w:sz w:val="20"/>
                <w:szCs w:val="20"/>
              </w:rPr>
              <w:t>hatte</w:t>
            </w:r>
            <w:r w:rsidRPr="00BE3728">
              <w:rPr>
                <w:sz w:val="20"/>
                <w:szCs w:val="20"/>
              </w:rPr>
              <w:t xml:space="preserve"> zur Abweisung der Klage der Erben</w:t>
            </w:r>
            <w:r>
              <w:rPr>
                <w:sz w:val="20"/>
                <w:szCs w:val="20"/>
              </w:rPr>
              <w:t xml:space="preserve"> geführt</w:t>
            </w:r>
            <w:r w:rsidRPr="00BE3728">
              <w:rPr>
                <w:sz w:val="20"/>
                <w:szCs w:val="20"/>
              </w:rPr>
              <w:t>. Der Hintergrund lautete, dass der Vater der Kläger mit der Mutter der Kläger verheiratet war. Nach der Trennung von der Mutter, aber vor der Scheidung</w:t>
            </w:r>
            <w:r>
              <w:rPr>
                <w:sz w:val="20"/>
                <w:szCs w:val="20"/>
              </w:rPr>
              <w:t>,</w:t>
            </w:r>
            <w:r w:rsidRPr="00BE3728">
              <w:rPr>
                <w:sz w:val="20"/>
                <w:szCs w:val="20"/>
              </w:rPr>
              <w:t xml:space="preserve"> erhielt der Vater ein Anwartschaftsrecht auf das streitgegenständliche Grundstück. Dann ließ sich der Vater scheiden und heiratete erneut. Anschließend entstand aus seinem Anwartschaftsrecht Volleigentum. Der </w:t>
            </w:r>
            <w:r>
              <w:rPr>
                <w:sz w:val="20"/>
                <w:szCs w:val="20"/>
              </w:rPr>
              <w:t>U.S. Supreme Court</w:t>
            </w:r>
            <w:r w:rsidRPr="00BE3728">
              <w:rPr>
                <w:sz w:val="20"/>
                <w:szCs w:val="20"/>
              </w:rPr>
              <w:t xml:space="preserve"> befand, die erste Ehefrau und folglich die Erben h</w:t>
            </w:r>
            <w:r>
              <w:rPr>
                <w:sz w:val="20"/>
                <w:szCs w:val="20"/>
              </w:rPr>
              <w:t>ä</w:t>
            </w:r>
            <w:r w:rsidRPr="00BE3728">
              <w:rPr>
                <w:sz w:val="20"/>
                <w:szCs w:val="20"/>
              </w:rPr>
              <w:t>tten kein Recht auf das Grundstück</w:t>
            </w:r>
            <w:r>
              <w:rPr>
                <w:sz w:val="20"/>
                <w:szCs w:val="20"/>
              </w:rPr>
              <w:t>, d</w:t>
            </w:r>
            <w:r w:rsidRPr="00BE3728">
              <w:rPr>
                <w:sz w:val="20"/>
                <w:szCs w:val="20"/>
              </w:rPr>
              <w:t xml:space="preserve">enn der Vater hatte zur Zeit der Scheidung bloß ein Anwartschaftsrecht. Und die Scheidung war auch wirksam, </w:t>
            </w:r>
            <w:r>
              <w:rPr>
                <w:sz w:val="20"/>
                <w:szCs w:val="20"/>
              </w:rPr>
              <w:t>trotz</w:t>
            </w:r>
            <w:r w:rsidRPr="00BE3728">
              <w:rPr>
                <w:sz w:val="20"/>
                <w:szCs w:val="20"/>
              </w:rPr>
              <w:t xml:space="preserve"> der Unkenntnis der ersten Ehefrau hinsichtlich des Anwartschaftsrechts. Diese </w:t>
            </w:r>
            <w:r>
              <w:rPr>
                <w:sz w:val="20"/>
                <w:szCs w:val="20"/>
              </w:rPr>
              <w:t>Unkenntnis berührte die Wirksamkeit</w:t>
            </w:r>
            <w:r w:rsidRPr="00BE3728">
              <w:rPr>
                <w:sz w:val="20"/>
                <w:szCs w:val="20"/>
              </w:rPr>
              <w:t xml:space="preserve"> der Scheidung </w:t>
            </w:r>
            <w:r>
              <w:rPr>
                <w:sz w:val="20"/>
                <w:szCs w:val="20"/>
              </w:rPr>
              <w:t>nicht</w:t>
            </w:r>
            <w:r w:rsidRPr="00BE3728">
              <w:rPr>
                <w:sz w:val="20"/>
                <w:szCs w:val="20"/>
              </w:rPr>
              <w:t>.</w:t>
            </w:r>
            <w:r w:rsidRPr="00BE3728">
              <w:rPr>
                <w:rStyle w:val="Funotenzeichen"/>
                <w:sz w:val="20"/>
                <w:szCs w:val="20"/>
              </w:rPr>
              <w:footnoteReference w:id="976"/>
            </w:r>
          </w:p>
          <w:p w14:paraId="72B248B1" w14:textId="77777777" w:rsidR="00074551" w:rsidRPr="00BE3728" w:rsidRDefault="00074551" w:rsidP="00367133">
            <w:pPr>
              <w:jc w:val="both"/>
              <w:rPr>
                <w:sz w:val="20"/>
                <w:szCs w:val="20"/>
              </w:rPr>
            </w:pPr>
          </w:p>
          <w:p w14:paraId="3C9B9075" w14:textId="77777777" w:rsidR="00074551" w:rsidRPr="00BE3728" w:rsidRDefault="00074551" w:rsidP="00367133">
            <w:pPr>
              <w:jc w:val="both"/>
              <w:rPr>
                <w:sz w:val="20"/>
                <w:szCs w:val="20"/>
              </w:rPr>
            </w:pPr>
          </w:p>
          <w:p w14:paraId="3701B065" w14:textId="77777777" w:rsidR="00074551" w:rsidRPr="00BE3728" w:rsidRDefault="00074551" w:rsidP="00367133">
            <w:pPr>
              <w:jc w:val="both"/>
              <w:rPr>
                <w:sz w:val="20"/>
                <w:szCs w:val="20"/>
              </w:rPr>
            </w:pPr>
          </w:p>
          <w:p w14:paraId="56D8EF01" w14:textId="77777777" w:rsidR="00074551" w:rsidRPr="00E50B51" w:rsidRDefault="00074551" w:rsidP="00367133">
            <w:pPr>
              <w:jc w:val="both"/>
              <w:rPr>
                <w:sz w:val="20"/>
                <w:szCs w:val="20"/>
              </w:rPr>
            </w:pPr>
          </w:p>
        </w:tc>
        <w:tc>
          <w:tcPr>
            <w:tcW w:w="1822" w:type="pct"/>
          </w:tcPr>
          <w:p w14:paraId="5B55CACF" w14:textId="1685E91E"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 xml:space="preserve">Contracts Law › </w:t>
            </w:r>
            <w:hyperlink r:id="rId18" w:history="1">
              <w:r w:rsidRPr="00B45592">
                <w:rPr>
                  <w:rStyle w:val="Hyperlink"/>
                  <w:i/>
                  <w:color w:val="auto"/>
                  <w:sz w:val="20"/>
                  <w:szCs w:val="20"/>
                  <w:u w:val="none"/>
                  <w:lang w:val="en-US"/>
                </w:rPr>
                <w:t>Types of Contracts</w:t>
              </w:r>
            </w:hyperlink>
            <w:r w:rsidRPr="00B45592">
              <w:rPr>
                <w:i/>
                <w:sz w:val="20"/>
                <w:szCs w:val="20"/>
                <w:lang w:val="en-US"/>
              </w:rPr>
              <w:t xml:space="preserve"> › </w:t>
            </w:r>
            <w:hyperlink r:id="rId19" w:history="1">
              <w:r w:rsidRPr="00B45592">
                <w:rPr>
                  <w:rStyle w:val="Hyperlink"/>
                  <w:i/>
                  <w:color w:val="auto"/>
                  <w:sz w:val="20"/>
                  <w:szCs w:val="20"/>
                  <w:u w:val="none"/>
                  <w:lang w:val="en-US"/>
                </w:rPr>
                <w:t>General Overview</w:t>
              </w:r>
            </w:hyperlink>
          </w:p>
          <w:p w14:paraId="0552520D" w14:textId="77777777" w:rsidR="00074551" w:rsidRPr="00BE3728" w:rsidRDefault="00074551" w:rsidP="00367133">
            <w:pPr>
              <w:jc w:val="both"/>
              <w:rPr>
                <w:sz w:val="20"/>
                <w:szCs w:val="20"/>
                <w:lang w:val="en-US"/>
              </w:rPr>
            </w:pPr>
          </w:p>
          <w:p w14:paraId="422270F3" w14:textId="77777777" w:rsidR="00074551" w:rsidRDefault="00074551" w:rsidP="00367133">
            <w:pPr>
              <w:jc w:val="both"/>
              <w:rPr>
                <w:sz w:val="20"/>
                <w:szCs w:val="20"/>
              </w:rPr>
            </w:pPr>
            <w:r w:rsidRPr="00BE3728">
              <w:rPr>
                <w:sz w:val="20"/>
                <w:szCs w:val="20"/>
              </w:rPr>
              <w:t xml:space="preserve">Die Ehe ist mehr als ein Vertrag. Zwar sei die Zustimmung der Parteien wesentlich. Aber wenn die Ehe vollzogen wird, entsteht eine Beziehung zwischen den Parteien, die sie im Grundsatz nicht ändern können – nur durch Scheidung. Die Zustimmung der Parteien kann Verträge ändern, einschränken, erweitern oder aufheben. Bei der Ehe ist das nicht der Fall. Einmal geschlossen, verpflichtet das Gesetz die Parteien, </w:t>
            </w:r>
            <w:r>
              <w:rPr>
                <w:sz w:val="20"/>
                <w:szCs w:val="20"/>
              </w:rPr>
              <w:t>z.B.</w:t>
            </w:r>
            <w:r w:rsidRPr="00BE3728">
              <w:rPr>
                <w:sz w:val="20"/>
                <w:szCs w:val="20"/>
              </w:rPr>
              <w:t xml:space="preserve"> </w:t>
            </w:r>
            <w:r>
              <w:rPr>
                <w:sz w:val="20"/>
                <w:szCs w:val="20"/>
              </w:rPr>
              <w:t>zur gegenseitigen Haftung</w:t>
            </w:r>
            <w:r w:rsidRPr="00BE3728">
              <w:rPr>
                <w:sz w:val="20"/>
                <w:szCs w:val="20"/>
              </w:rPr>
              <w:t xml:space="preserve">. Sie ist eine Institution. </w:t>
            </w:r>
            <w:r>
              <w:rPr>
                <w:sz w:val="20"/>
                <w:szCs w:val="20"/>
              </w:rPr>
              <w:t>Es</w:t>
            </w:r>
            <w:r w:rsidRPr="00BE3728">
              <w:rPr>
                <w:sz w:val="20"/>
                <w:szCs w:val="20"/>
              </w:rPr>
              <w:t xml:space="preserve"> bestehe zudem </w:t>
            </w:r>
            <w:r>
              <w:rPr>
                <w:sz w:val="20"/>
                <w:szCs w:val="20"/>
              </w:rPr>
              <w:t xml:space="preserve">ein </w:t>
            </w:r>
            <w:r w:rsidRPr="00BE3728">
              <w:rPr>
                <w:sz w:val="20"/>
                <w:szCs w:val="20"/>
              </w:rPr>
              <w:t>öffentliches Interesse</w:t>
            </w:r>
            <w:r>
              <w:rPr>
                <w:sz w:val="20"/>
                <w:szCs w:val="20"/>
              </w:rPr>
              <w:t xml:space="preserve"> daran, sie zu erhalten</w:t>
            </w:r>
            <w:r w:rsidRPr="00BE3728">
              <w:rPr>
                <w:sz w:val="20"/>
                <w:szCs w:val="20"/>
              </w:rPr>
              <w:t xml:space="preserve">. Denn sie bilde die Grundlage der Familie und der Gesellschaft. Ohne sie gebe es weder Zivilisation noch Fortschritt, so der </w:t>
            </w:r>
            <w:r>
              <w:rPr>
                <w:sz w:val="20"/>
                <w:szCs w:val="20"/>
              </w:rPr>
              <w:t>U.S. Supreme Court</w:t>
            </w:r>
            <w:r w:rsidRPr="00BE3728">
              <w:rPr>
                <w:sz w:val="20"/>
                <w:szCs w:val="20"/>
              </w:rPr>
              <w:t>.</w:t>
            </w:r>
            <w:r w:rsidRPr="00BE3728">
              <w:rPr>
                <w:rStyle w:val="Funotenzeichen"/>
                <w:sz w:val="20"/>
                <w:szCs w:val="20"/>
              </w:rPr>
              <w:footnoteReference w:id="977"/>
            </w:r>
          </w:p>
          <w:p w14:paraId="3E53E4E8" w14:textId="77777777" w:rsidR="00074551" w:rsidRDefault="00074551" w:rsidP="00367133">
            <w:pPr>
              <w:jc w:val="both"/>
              <w:rPr>
                <w:sz w:val="20"/>
                <w:szCs w:val="20"/>
              </w:rPr>
            </w:pPr>
          </w:p>
          <w:p w14:paraId="33816ED3"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erklärte ferner mit Glück als Prinzip, dass die Ehe keine vertragliche Verbindung sei. Sie stelle ein soziales Verhältnis dar</w:t>
            </w:r>
            <w:r>
              <w:rPr>
                <w:sz w:val="20"/>
                <w:szCs w:val="20"/>
              </w:rPr>
              <w:t xml:space="preserve"> und</w:t>
            </w:r>
            <w:r w:rsidRPr="00BE3728">
              <w:rPr>
                <w:sz w:val="20"/>
                <w:szCs w:val="20"/>
              </w:rPr>
              <w:t xml:space="preserve"> wirke daher nicht vertraglich nach. Im Fall gebe die Ehe der Ehefrau daher auch keinen Anspruch auf das Grundstück. Der </w:t>
            </w:r>
            <w:r>
              <w:rPr>
                <w:sz w:val="20"/>
                <w:szCs w:val="20"/>
              </w:rPr>
              <w:t>U.S. Supreme Court</w:t>
            </w:r>
            <w:r w:rsidRPr="00BE3728">
              <w:rPr>
                <w:sz w:val="20"/>
                <w:szCs w:val="20"/>
              </w:rPr>
              <w:t xml:space="preserve"> definierte die Ehe dann und erklärte, wie sie sich von zivilrechtlichen Verträgen unterscheide: Bei der Ehe handele sich um ein soziales Verhältnis wie zwischen Eltern und Kind. Zwar entstehen Pflichten auch </w:t>
            </w:r>
            <w:r w:rsidRPr="5B67C1D2">
              <w:rPr>
                <w:i/>
                <w:iCs/>
                <w:sz w:val="20"/>
                <w:szCs w:val="20"/>
              </w:rPr>
              <w:t xml:space="preserve">ipso </w:t>
            </w:r>
            <w:proofErr w:type="spellStart"/>
            <w:r w:rsidRPr="5B67C1D2">
              <w:rPr>
                <w:i/>
                <w:iCs/>
                <w:sz w:val="20"/>
                <w:szCs w:val="20"/>
              </w:rPr>
              <w:t>iure</w:t>
            </w:r>
            <w:proofErr w:type="spellEnd"/>
            <w:r w:rsidRPr="00BE3728">
              <w:rPr>
                <w:sz w:val="20"/>
                <w:szCs w:val="20"/>
              </w:rPr>
              <w:t xml:space="preserve">. Aber dieses von Pflichten geprägte Verhältnis diene höheren Zielen: Es steigere das Glück der Individuen am meisten. </w:t>
            </w:r>
            <w:r w:rsidRPr="00BE3728">
              <w:rPr>
                <w:sz w:val="20"/>
                <w:szCs w:val="20"/>
                <w:lang w:val="en-US"/>
              </w:rPr>
              <w:t xml:space="preserve">Und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Glückssteigerung</w:t>
            </w:r>
            <w:proofErr w:type="spellEnd"/>
            <w:r w:rsidRPr="00BE3728">
              <w:rPr>
                <w:sz w:val="20"/>
                <w:szCs w:val="20"/>
                <w:lang w:val="en-US"/>
              </w:rPr>
              <w:t xml:space="preserve"> </w:t>
            </w:r>
            <w:proofErr w:type="spellStart"/>
            <w:r w:rsidRPr="00BE3728">
              <w:rPr>
                <w:sz w:val="20"/>
                <w:szCs w:val="20"/>
                <w:lang w:val="en-US"/>
              </w:rPr>
              <w:t>markiere</w:t>
            </w:r>
            <w:proofErr w:type="spellEnd"/>
            <w:r w:rsidRPr="00BE3728">
              <w:rPr>
                <w:sz w:val="20"/>
                <w:szCs w:val="20"/>
                <w:lang w:val="en-US"/>
              </w:rPr>
              <w:t xml:space="preserve"> den </w:t>
            </w:r>
            <w:proofErr w:type="spellStart"/>
            <w:r w:rsidRPr="00BE3728">
              <w:rPr>
                <w:sz w:val="20"/>
                <w:szCs w:val="20"/>
                <w:lang w:val="en-US"/>
              </w:rPr>
              <w:t>allerersten</w:t>
            </w:r>
            <w:proofErr w:type="spellEnd"/>
            <w:r w:rsidRPr="00BE3728">
              <w:rPr>
                <w:sz w:val="20"/>
                <w:szCs w:val="20"/>
                <w:lang w:val="en-US"/>
              </w:rPr>
              <w:t xml:space="preserve"> Schritt </w:t>
            </w:r>
            <w:r>
              <w:rPr>
                <w:sz w:val="20"/>
                <w:szCs w:val="20"/>
                <w:lang w:val="en-US"/>
              </w:rPr>
              <w:t xml:space="preserve">in </w:t>
            </w:r>
            <w:proofErr w:type="spellStart"/>
            <w:r w:rsidRPr="00BE3728">
              <w:rPr>
                <w:sz w:val="20"/>
                <w:szCs w:val="20"/>
                <w:lang w:val="en-US"/>
              </w:rPr>
              <w:t>Richtung</w:t>
            </w:r>
            <w:proofErr w:type="spellEnd"/>
            <w:r w:rsidRPr="00BE3728">
              <w:rPr>
                <w:sz w:val="20"/>
                <w:szCs w:val="20"/>
                <w:lang w:val="en-US"/>
              </w:rPr>
              <w:t xml:space="preserve"> </w:t>
            </w:r>
            <w:proofErr w:type="spellStart"/>
            <w:r w:rsidRPr="00BE3728">
              <w:rPr>
                <w:sz w:val="20"/>
                <w:szCs w:val="20"/>
                <w:lang w:val="en-US"/>
              </w:rPr>
              <w:t>Zivilisation</w:t>
            </w:r>
            <w:proofErr w:type="spellEnd"/>
            <w:r w:rsidRPr="00BE3728">
              <w:rPr>
                <w:sz w:val="20"/>
                <w:szCs w:val="20"/>
                <w:lang w:val="en-US"/>
              </w:rPr>
              <w:t xml:space="preserve"> („a relation the most important, as affecting the happiness of individuals, the first step […] to [an] incipient civilization, the purest tie of social life and the true basis of human progress”</w:t>
            </w:r>
            <w:r w:rsidRPr="00BE3728">
              <w:rPr>
                <w:rStyle w:val="Funotenzeichen"/>
                <w:sz w:val="20"/>
                <w:szCs w:val="20"/>
                <w:lang w:val="en-US"/>
              </w:rPr>
              <w:footnoteReference w:id="978"/>
            </w:r>
            <w:r>
              <w:rPr>
                <w:sz w:val="20"/>
                <w:szCs w:val="20"/>
                <w:lang w:val="en-US"/>
              </w:rPr>
              <w:t>)</w:t>
            </w:r>
            <w:r w:rsidRPr="00BE3728">
              <w:rPr>
                <w:sz w:val="20"/>
                <w:szCs w:val="20"/>
                <w:lang w:val="en-US"/>
              </w:rPr>
              <w:t xml:space="preserve">. </w:t>
            </w:r>
            <w:r w:rsidRPr="00BE3728">
              <w:rPr>
                <w:sz w:val="20"/>
                <w:szCs w:val="20"/>
              </w:rPr>
              <w:t xml:space="preserve">Die Ehe sei damit die zentrale Verbindung des sozialen Lebens. Sie beschreibe die Basis des menschlichen Fortschritts </w:t>
            </w:r>
            <w:r>
              <w:rPr>
                <w:sz w:val="20"/>
                <w:szCs w:val="20"/>
              </w:rPr>
              <w:t>und sei</w:t>
            </w:r>
            <w:r w:rsidRPr="00BE3728">
              <w:rPr>
                <w:sz w:val="20"/>
                <w:szCs w:val="20"/>
              </w:rPr>
              <w:t xml:space="preserve"> kein Vertrag.</w:t>
            </w:r>
            <w:r w:rsidRPr="00BE3728">
              <w:rPr>
                <w:rStyle w:val="Funotenzeichen"/>
                <w:sz w:val="20"/>
                <w:szCs w:val="20"/>
              </w:rPr>
              <w:footnoteReference w:id="979"/>
            </w:r>
          </w:p>
          <w:p w14:paraId="078566A1" w14:textId="77777777" w:rsidR="00074551" w:rsidRPr="00E50B51" w:rsidRDefault="00074551" w:rsidP="00367133">
            <w:pPr>
              <w:jc w:val="both"/>
              <w:rPr>
                <w:sz w:val="20"/>
                <w:szCs w:val="20"/>
              </w:rPr>
            </w:pPr>
          </w:p>
        </w:tc>
      </w:tr>
      <w:tr w:rsidR="00074551" w:rsidRPr="00E50B51" w14:paraId="53097D30" w14:textId="77777777" w:rsidTr="0089283E">
        <w:trPr>
          <w:cantSplit/>
          <w:trHeight w:val="3175"/>
        </w:trPr>
        <w:tc>
          <w:tcPr>
            <w:tcW w:w="293" w:type="pct"/>
            <w:shd w:val="clear" w:color="auto" w:fill="E7E6E6" w:themeFill="background2"/>
          </w:tcPr>
          <w:p w14:paraId="6B4BE548"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59A7EEC5"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1A7FDFE6"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36BD3659" w14:textId="77777777" w:rsidR="00074551" w:rsidRPr="00E50B51" w:rsidRDefault="00074551" w:rsidP="00367133">
            <w:pPr>
              <w:ind w:left="113" w:right="113"/>
              <w:jc w:val="both"/>
              <w:rPr>
                <w:sz w:val="20"/>
                <w:szCs w:val="20"/>
              </w:rPr>
            </w:pPr>
            <w:proofErr w:type="spellStart"/>
            <w:r w:rsidRPr="00BE3728">
              <w:rPr>
                <w:sz w:val="20"/>
                <w:szCs w:val="20"/>
              </w:rPr>
              <w:t>Mar</w:t>
            </w:r>
            <w:r>
              <w:rPr>
                <w:sz w:val="20"/>
                <w:szCs w:val="20"/>
              </w:rPr>
              <w:t>i</w:t>
            </w:r>
            <w:r w:rsidRPr="00BE3728">
              <w:rPr>
                <w:sz w:val="20"/>
                <w:szCs w:val="20"/>
              </w:rPr>
              <w:t>tal</w:t>
            </w:r>
            <w:proofErr w:type="spellEnd"/>
            <w:r w:rsidRPr="00BE3728">
              <w:rPr>
                <w:sz w:val="20"/>
                <w:szCs w:val="20"/>
              </w:rPr>
              <w:t xml:space="preserve"> </w:t>
            </w:r>
            <w:proofErr w:type="spellStart"/>
            <w:r w:rsidRPr="00BE3728">
              <w:rPr>
                <w:sz w:val="20"/>
                <w:szCs w:val="20"/>
              </w:rPr>
              <w:t>Duties</w:t>
            </w:r>
            <w:proofErr w:type="spellEnd"/>
            <w:r w:rsidRPr="00BE3728">
              <w:rPr>
                <w:sz w:val="20"/>
                <w:szCs w:val="20"/>
              </w:rPr>
              <w:t xml:space="preserve"> &amp; Rights</w:t>
            </w:r>
          </w:p>
        </w:tc>
        <w:tc>
          <w:tcPr>
            <w:tcW w:w="401" w:type="pct"/>
            <w:shd w:val="clear" w:color="auto" w:fill="E7E6E6" w:themeFill="background2"/>
          </w:tcPr>
          <w:p w14:paraId="13DACC3A"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4BD98305" w14:textId="77777777" w:rsidR="00074551" w:rsidRPr="00E50B51" w:rsidRDefault="00074551" w:rsidP="00367133">
            <w:pPr>
              <w:jc w:val="both"/>
              <w:rPr>
                <w:sz w:val="20"/>
                <w:szCs w:val="20"/>
              </w:rPr>
            </w:pPr>
          </w:p>
        </w:tc>
        <w:tc>
          <w:tcPr>
            <w:tcW w:w="1822" w:type="pct"/>
            <w:shd w:val="clear" w:color="auto" w:fill="E7E6E6" w:themeFill="background2"/>
          </w:tcPr>
          <w:p w14:paraId="72842843" w14:textId="18553A8B"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7372214C" w14:textId="77777777" w:rsidTr="00BE689F">
        <w:trPr>
          <w:cantSplit/>
          <w:trHeight w:val="3175"/>
        </w:trPr>
        <w:tc>
          <w:tcPr>
            <w:tcW w:w="293" w:type="pct"/>
          </w:tcPr>
          <w:p w14:paraId="2E147507" w14:textId="77777777" w:rsidR="00074551" w:rsidRPr="00E50B51" w:rsidRDefault="00074551" w:rsidP="00367133">
            <w:pPr>
              <w:ind w:right="416"/>
              <w:jc w:val="center"/>
              <w:rPr>
                <w:sz w:val="20"/>
                <w:szCs w:val="20"/>
              </w:rPr>
            </w:pPr>
            <w:r w:rsidRPr="00BE3728">
              <w:rPr>
                <w:sz w:val="20"/>
                <w:szCs w:val="20"/>
              </w:rPr>
              <w:t>H</w:t>
            </w:r>
          </w:p>
        </w:tc>
        <w:tc>
          <w:tcPr>
            <w:tcW w:w="387" w:type="pct"/>
            <w:textDirection w:val="tbRl"/>
            <w:vAlign w:val="center"/>
          </w:tcPr>
          <w:p w14:paraId="61DA582B" w14:textId="77777777" w:rsidR="00074551" w:rsidRPr="00B45592" w:rsidRDefault="00074551" w:rsidP="00367133">
            <w:pPr>
              <w:ind w:left="113" w:right="416"/>
              <w:jc w:val="both"/>
              <w:rPr>
                <w:i/>
                <w:sz w:val="20"/>
                <w:szCs w:val="20"/>
              </w:rPr>
            </w:pPr>
            <w:r w:rsidRPr="00B45592">
              <w:rPr>
                <w:i/>
                <w:sz w:val="20"/>
                <w:szCs w:val="20"/>
              </w:rPr>
              <w:t>Randall v. Kreiger</w:t>
            </w:r>
          </w:p>
        </w:tc>
        <w:tc>
          <w:tcPr>
            <w:tcW w:w="197" w:type="pct"/>
            <w:textDirection w:val="tbRl"/>
            <w:vAlign w:val="center"/>
          </w:tcPr>
          <w:p w14:paraId="10756688" w14:textId="77777777" w:rsidR="00074551" w:rsidRPr="00E50B51" w:rsidRDefault="00074551" w:rsidP="00367133">
            <w:pPr>
              <w:ind w:left="113" w:right="113"/>
              <w:jc w:val="both"/>
              <w:rPr>
                <w:sz w:val="20"/>
                <w:szCs w:val="20"/>
                <w:lang w:val="en-US"/>
              </w:rPr>
            </w:pPr>
            <w:r w:rsidRPr="00BE3728">
              <w:rPr>
                <w:sz w:val="20"/>
                <w:szCs w:val="20"/>
              </w:rPr>
              <w:t>90 U.S. 137</w:t>
            </w:r>
          </w:p>
        </w:tc>
        <w:tc>
          <w:tcPr>
            <w:tcW w:w="306" w:type="pct"/>
            <w:textDirection w:val="tbRl"/>
            <w:vAlign w:val="center"/>
          </w:tcPr>
          <w:p w14:paraId="02EB1B05" w14:textId="77777777" w:rsidR="00074551" w:rsidRPr="00E50B51" w:rsidRDefault="00074551" w:rsidP="00367133">
            <w:pPr>
              <w:ind w:left="113" w:right="113"/>
              <w:jc w:val="both"/>
              <w:rPr>
                <w:sz w:val="20"/>
                <w:szCs w:val="20"/>
              </w:rPr>
            </w:pPr>
            <w:r w:rsidRPr="00BE3728">
              <w:rPr>
                <w:sz w:val="20"/>
                <w:szCs w:val="20"/>
                <w:lang w:val="en-US"/>
              </w:rPr>
              <w:t>10. Oktober 1974</w:t>
            </w:r>
          </w:p>
        </w:tc>
        <w:tc>
          <w:tcPr>
            <w:tcW w:w="401" w:type="pct"/>
          </w:tcPr>
          <w:p w14:paraId="1078375B"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6EF05BCD"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den Anspruch einer Witwe auf das Witwengut ab. Ihr Ehemann hatte einem Anwalt eine Vollmacht erteilt, damit er ein Grundstück der Eheleute verkaufe. Der Anwalt veräußerte dann das Grundstück. Der Kaufpreis ging an den Ehemann. Dann widerriefen die Witwe und ihr Ehemann die Vollmacht. Dennoch erkannte der </w:t>
            </w:r>
            <w:r>
              <w:rPr>
                <w:sz w:val="20"/>
                <w:szCs w:val="20"/>
              </w:rPr>
              <w:t>U.S. Supreme Court</w:t>
            </w:r>
            <w:r w:rsidRPr="00BE3728">
              <w:rPr>
                <w:sz w:val="20"/>
                <w:szCs w:val="20"/>
              </w:rPr>
              <w:t xml:space="preserve"> den Verkauf als wirksam an. Zwar war die Vollmachtsurkunde nicht gegenüber der Witwe wirksam</w:t>
            </w:r>
            <w:r>
              <w:rPr>
                <w:sz w:val="20"/>
                <w:szCs w:val="20"/>
              </w:rPr>
              <w:t xml:space="preserve"> u</w:t>
            </w:r>
            <w:r w:rsidRPr="00BE3728">
              <w:rPr>
                <w:sz w:val="20"/>
                <w:szCs w:val="20"/>
              </w:rPr>
              <w:t>nd es war keine gesetzlich verankerte Willenserklärung. Aber dieses Wirksamkeitshindernis heilte ein Gesetz nachträglich. Zum Zeitpunkt des Todes des Ehemanns gehörte das Grundstück also nicht mehr zu seinem Nachlass. Daher entfiel auch der Witwenanspruch. Aber der Kaufpreis wurde Teil des Erbes</w:t>
            </w:r>
            <w:r>
              <w:rPr>
                <w:sz w:val="20"/>
                <w:szCs w:val="20"/>
              </w:rPr>
              <w:t>, und dieses</w:t>
            </w:r>
            <w:r w:rsidRPr="00BE3728">
              <w:rPr>
                <w:sz w:val="20"/>
                <w:szCs w:val="20"/>
              </w:rPr>
              <w:t xml:space="preserve"> erhielt die Witwe.</w:t>
            </w:r>
            <w:r w:rsidRPr="00BE3728">
              <w:rPr>
                <w:rStyle w:val="Funotenzeichen"/>
                <w:sz w:val="20"/>
                <w:szCs w:val="20"/>
              </w:rPr>
              <w:footnoteReference w:id="980"/>
            </w:r>
          </w:p>
        </w:tc>
        <w:tc>
          <w:tcPr>
            <w:tcW w:w="1822" w:type="pct"/>
          </w:tcPr>
          <w:p w14:paraId="15FEABBB" w14:textId="77777777" w:rsidR="00074551" w:rsidRPr="00B45592" w:rsidRDefault="00074551" w:rsidP="00367133">
            <w:pPr>
              <w:jc w:val="both"/>
              <w:rPr>
                <w:i/>
                <w:sz w:val="20"/>
                <w:szCs w:val="20"/>
                <w:lang w:val="en-US"/>
              </w:rPr>
            </w:pPr>
            <w:r w:rsidRPr="00FF1F7B">
              <w:rPr>
                <w:i/>
                <w:sz w:val="20"/>
                <w:szCs w:val="20"/>
                <w:lang w:val="en-IE"/>
              </w:rPr>
              <w:t>LexisNexis-</w:t>
            </w:r>
            <w:proofErr w:type="spellStart"/>
            <w:r w:rsidRPr="00FF1F7B">
              <w:rPr>
                <w:i/>
                <w:sz w:val="20"/>
                <w:szCs w:val="20"/>
                <w:lang w:val="en-IE"/>
              </w:rPr>
              <w:t>Klassifikation</w:t>
            </w:r>
            <w:proofErr w:type="spellEnd"/>
            <w:r w:rsidRPr="00FF1F7B">
              <w:rPr>
                <w:i/>
                <w:sz w:val="20"/>
                <w:szCs w:val="20"/>
                <w:lang w:val="en-IE"/>
              </w:rPr>
              <w:t xml:space="preserve">: </w:t>
            </w:r>
            <w:r w:rsidRPr="00B45592">
              <w:rPr>
                <w:i/>
                <w:sz w:val="20"/>
                <w:szCs w:val="20"/>
                <w:lang w:val="en-US"/>
              </w:rPr>
              <w:t xml:space="preserve">Family Law › </w:t>
            </w:r>
            <w:r w:rsidRPr="00B45592">
              <w:rPr>
                <w:i/>
                <w:lang w:val="en-IE"/>
              </w:rPr>
              <w:t>Marital Duties &amp; Rights</w:t>
            </w:r>
            <w:r w:rsidRPr="00B45592">
              <w:rPr>
                <w:i/>
                <w:sz w:val="20"/>
                <w:szCs w:val="20"/>
                <w:lang w:val="en-US"/>
              </w:rPr>
              <w:t xml:space="preserve"> › </w:t>
            </w:r>
            <w:r w:rsidRPr="00B45592">
              <w:rPr>
                <w:i/>
                <w:lang w:val="en-IE"/>
              </w:rPr>
              <w:t>General Overview</w:t>
            </w:r>
          </w:p>
          <w:p w14:paraId="660ED9C2" w14:textId="77777777" w:rsidR="00074551" w:rsidRPr="00BE3728" w:rsidRDefault="00074551" w:rsidP="00367133">
            <w:pPr>
              <w:jc w:val="both"/>
              <w:rPr>
                <w:sz w:val="20"/>
                <w:szCs w:val="20"/>
                <w:lang w:val="en-US"/>
              </w:rPr>
            </w:pPr>
          </w:p>
          <w:p w14:paraId="62C4C37D" w14:textId="77777777" w:rsidR="00074551" w:rsidRPr="00BE3728" w:rsidRDefault="00074551" w:rsidP="00367133">
            <w:pPr>
              <w:jc w:val="both"/>
              <w:rPr>
                <w:sz w:val="20"/>
                <w:szCs w:val="20"/>
              </w:rPr>
            </w:pPr>
            <w:r w:rsidRPr="00BE3728">
              <w:rPr>
                <w:sz w:val="20"/>
                <w:szCs w:val="20"/>
              </w:rPr>
              <w:t xml:space="preserve">Die Ehe definiert der </w:t>
            </w:r>
            <w:r>
              <w:rPr>
                <w:sz w:val="20"/>
                <w:szCs w:val="20"/>
              </w:rPr>
              <w:t>U.S. Supreme Court</w:t>
            </w:r>
            <w:r w:rsidRPr="00BE3728">
              <w:rPr>
                <w:sz w:val="20"/>
                <w:szCs w:val="20"/>
              </w:rPr>
              <w:t xml:space="preserve"> im Urteil. Er stellt dabei heraus, dass das individuelle Glück von Personen mehr von der Ehe abhänge als von anderen Lebensbedingungen („The </w:t>
            </w:r>
            <w:proofErr w:type="spellStart"/>
            <w:r w:rsidRPr="00BE3728">
              <w:rPr>
                <w:sz w:val="20"/>
                <w:szCs w:val="20"/>
              </w:rPr>
              <w:t>happiness</w:t>
            </w:r>
            <w:proofErr w:type="spellEnd"/>
            <w:r w:rsidRPr="00BE3728">
              <w:rPr>
                <w:sz w:val="20"/>
                <w:szCs w:val="20"/>
              </w:rPr>
              <w:t xml:space="preserve"> […] </w:t>
            </w:r>
            <w:proofErr w:type="spellStart"/>
            <w:r w:rsidRPr="00BE3728">
              <w:rPr>
                <w:sz w:val="20"/>
                <w:szCs w:val="20"/>
              </w:rPr>
              <w:t>depends</w:t>
            </w:r>
            <w:proofErr w:type="spellEnd"/>
            <w:r w:rsidRPr="00BE3728">
              <w:rPr>
                <w:sz w:val="20"/>
                <w:szCs w:val="20"/>
              </w:rPr>
              <w:t xml:space="preserve"> upon it </w:t>
            </w:r>
            <w:proofErr w:type="spellStart"/>
            <w:r w:rsidRPr="00BE3728">
              <w:rPr>
                <w:sz w:val="20"/>
                <w:szCs w:val="20"/>
              </w:rPr>
              <w:t>more</w:t>
            </w:r>
            <w:proofErr w:type="spellEnd"/>
            <w:r w:rsidRPr="00BE3728">
              <w:rPr>
                <w:sz w:val="20"/>
                <w:szCs w:val="20"/>
              </w:rPr>
              <w:t xml:space="preserve"> </w:t>
            </w:r>
            <w:proofErr w:type="spellStart"/>
            <w:r w:rsidRPr="00BE3728">
              <w:rPr>
                <w:sz w:val="20"/>
                <w:szCs w:val="20"/>
              </w:rPr>
              <w:t>than</w:t>
            </w:r>
            <w:proofErr w:type="spellEnd"/>
            <w:r w:rsidRPr="00BE3728">
              <w:rPr>
                <w:sz w:val="20"/>
                <w:szCs w:val="20"/>
              </w:rPr>
              <w:t xml:space="preserve"> upon </w:t>
            </w:r>
            <w:proofErr w:type="spellStart"/>
            <w:r w:rsidRPr="00BE3728">
              <w:rPr>
                <w:sz w:val="20"/>
                <w:szCs w:val="20"/>
              </w:rPr>
              <w:t>anything</w:t>
            </w:r>
            <w:proofErr w:type="spellEnd"/>
            <w:r w:rsidRPr="00BE3728">
              <w:rPr>
                <w:sz w:val="20"/>
                <w:szCs w:val="20"/>
              </w:rPr>
              <w:t xml:space="preserve"> </w:t>
            </w:r>
            <w:proofErr w:type="spellStart"/>
            <w:r w:rsidRPr="00BE3728">
              <w:rPr>
                <w:sz w:val="20"/>
                <w:szCs w:val="20"/>
              </w:rPr>
              <w:t>else</w:t>
            </w:r>
            <w:proofErr w:type="spellEnd"/>
            <w:r w:rsidRPr="00BE3728">
              <w:rPr>
                <w:sz w:val="20"/>
                <w:szCs w:val="20"/>
              </w:rPr>
              <w:t>“</w:t>
            </w:r>
            <w:r w:rsidRPr="00BE3728">
              <w:rPr>
                <w:rStyle w:val="Funotenzeichen"/>
                <w:sz w:val="20"/>
                <w:szCs w:val="20"/>
              </w:rPr>
              <w:footnoteReference w:id="981"/>
            </w:r>
            <w:r w:rsidRPr="00BE3728">
              <w:rPr>
                <w:sz w:val="20"/>
                <w:szCs w:val="20"/>
              </w:rPr>
              <w:t>). Sie bilde damit die Grundstruktur des gesellschaftlichen Zusammenlebens (“</w:t>
            </w:r>
            <w:proofErr w:type="spellStart"/>
            <w:r w:rsidRPr="00BE3728">
              <w:rPr>
                <w:sz w:val="20"/>
                <w:szCs w:val="20"/>
              </w:rPr>
              <w:t>fabric</w:t>
            </w:r>
            <w:proofErr w:type="spellEnd"/>
            <w:r w:rsidRPr="00BE3728">
              <w:rPr>
                <w:sz w:val="20"/>
                <w:szCs w:val="20"/>
              </w:rPr>
              <w:t xml:space="preserve"> of all </w:t>
            </w:r>
            <w:proofErr w:type="spellStart"/>
            <w:r w:rsidRPr="00BE3728">
              <w:rPr>
                <w:sz w:val="20"/>
                <w:szCs w:val="20"/>
              </w:rPr>
              <w:t>civilized</w:t>
            </w:r>
            <w:proofErr w:type="spellEnd"/>
            <w:r w:rsidRPr="00BE3728">
              <w:rPr>
                <w:sz w:val="20"/>
                <w:szCs w:val="20"/>
              </w:rPr>
              <w:t xml:space="preserve"> </w:t>
            </w:r>
            <w:proofErr w:type="spellStart"/>
            <w:r w:rsidRPr="00BE3728">
              <w:rPr>
                <w:sz w:val="20"/>
                <w:szCs w:val="20"/>
              </w:rPr>
              <w:t>society</w:t>
            </w:r>
            <w:proofErr w:type="spellEnd"/>
            <w:r w:rsidRPr="00BE3728">
              <w:rPr>
                <w:sz w:val="20"/>
                <w:szCs w:val="20"/>
              </w:rPr>
              <w:t>”</w:t>
            </w:r>
            <w:r w:rsidRPr="00BE3728">
              <w:rPr>
                <w:rStyle w:val="Funotenzeichen"/>
                <w:sz w:val="20"/>
                <w:szCs w:val="20"/>
              </w:rPr>
              <w:footnoteReference w:id="982"/>
            </w:r>
            <w:r w:rsidRPr="00BE3728">
              <w:rPr>
                <w:sz w:val="20"/>
                <w:szCs w:val="20"/>
              </w:rPr>
              <w:t>). Die Ehe als Lebensbedingung, gesellschaftliche Grundstruktur und Institution definiere sich konkret als Vertrag sui generis, der auf gegenseitigem Einverständnis und Zustimmung beruhe und die anderen Eheverträge sperre sowie grundsätzlich der Volljährigkeit bedürfe</w:t>
            </w:r>
            <w:r>
              <w:rPr>
                <w:sz w:val="20"/>
                <w:szCs w:val="20"/>
              </w:rPr>
              <w:t>. I</w:t>
            </w:r>
            <w:r w:rsidRPr="00BE3728">
              <w:rPr>
                <w:sz w:val="20"/>
                <w:szCs w:val="20"/>
              </w:rPr>
              <w:t>m Grundsatz könne die Ehe nicht nachträglich abgeändert werden; aber Geschäftsunfähigkeit führe auch nicht zur Nichtigkeit.</w:t>
            </w:r>
            <w:r w:rsidRPr="00BE3728">
              <w:rPr>
                <w:rStyle w:val="Funotenzeichen"/>
                <w:sz w:val="20"/>
                <w:szCs w:val="20"/>
              </w:rPr>
              <w:footnoteReference w:id="983"/>
            </w:r>
            <w:r w:rsidRPr="00BE3728">
              <w:rPr>
                <w:sz w:val="20"/>
                <w:szCs w:val="20"/>
              </w:rPr>
              <w:t xml:space="preserve"> Aufgrund </w:t>
            </w:r>
            <w:r>
              <w:rPr>
                <w:sz w:val="20"/>
                <w:szCs w:val="20"/>
              </w:rPr>
              <w:t>ihrer</w:t>
            </w:r>
            <w:r w:rsidRPr="00BE3728">
              <w:rPr>
                <w:sz w:val="20"/>
                <w:szCs w:val="20"/>
              </w:rPr>
              <w:t xml:space="preserve"> Wichtigkeit beschreib</w:t>
            </w:r>
            <w:r>
              <w:rPr>
                <w:sz w:val="20"/>
                <w:szCs w:val="20"/>
              </w:rPr>
              <w:t>e</w:t>
            </w:r>
            <w:r w:rsidRPr="00BE3728">
              <w:rPr>
                <w:sz w:val="20"/>
                <w:szCs w:val="20"/>
              </w:rPr>
              <w:t xml:space="preserve"> die Ehe eine Zäsur</w:t>
            </w:r>
            <w:r>
              <w:rPr>
                <w:sz w:val="20"/>
                <w:szCs w:val="20"/>
              </w:rPr>
              <w:t xml:space="preserve"> bei der Übertragung von</w:t>
            </w:r>
            <w:r w:rsidRPr="00BE3728">
              <w:rPr>
                <w:sz w:val="20"/>
                <w:szCs w:val="20"/>
              </w:rPr>
              <w:t xml:space="preserve"> Vermögen.</w:t>
            </w:r>
          </w:p>
          <w:p w14:paraId="318C6E59" w14:textId="77777777" w:rsidR="00074551" w:rsidRPr="00E50B51" w:rsidRDefault="00074551" w:rsidP="00367133">
            <w:pPr>
              <w:jc w:val="both"/>
              <w:rPr>
                <w:sz w:val="20"/>
                <w:szCs w:val="20"/>
              </w:rPr>
            </w:pPr>
          </w:p>
        </w:tc>
      </w:tr>
      <w:tr w:rsidR="00074551" w:rsidRPr="00E50B51" w14:paraId="0FBE9A57" w14:textId="77777777" w:rsidTr="0089283E">
        <w:trPr>
          <w:cantSplit/>
          <w:trHeight w:val="3175"/>
        </w:trPr>
        <w:tc>
          <w:tcPr>
            <w:tcW w:w="293" w:type="pct"/>
            <w:shd w:val="clear" w:color="auto" w:fill="E7E6E6" w:themeFill="background2"/>
          </w:tcPr>
          <w:p w14:paraId="7C74600F"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17961E9B"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7520DD39"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08D3C766" w14:textId="77777777" w:rsidR="00074551" w:rsidRPr="00E50B51" w:rsidRDefault="00074551" w:rsidP="00367133">
            <w:pPr>
              <w:ind w:left="113" w:right="113"/>
              <w:jc w:val="both"/>
              <w:rPr>
                <w:sz w:val="20"/>
                <w:szCs w:val="20"/>
              </w:rPr>
            </w:pPr>
            <w:proofErr w:type="spellStart"/>
            <w:r w:rsidRPr="00BE3728">
              <w:rPr>
                <w:sz w:val="20"/>
                <w:szCs w:val="20"/>
              </w:rPr>
              <w:t>Mar</w:t>
            </w:r>
            <w:r>
              <w:rPr>
                <w:sz w:val="20"/>
                <w:szCs w:val="20"/>
              </w:rPr>
              <w:t>i</w:t>
            </w:r>
            <w:r w:rsidRPr="00BE3728">
              <w:rPr>
                <w:sz w:val="20"/>
                <w:szCs w:val="20"/>
              </w:rPr>
              <w:t>tal</w:t>
            </w:r>
            <w:proofErr w:type="spellEnd"/>
            <w:r w:rsidRPr="00BE3728">
              <w:rPr>
                <w:sz w:val="20"/>
                <w:szCs w:val="20"/>
              </w:rPr>
              <w:t xml:space="preserve"> </w:t>
            </w:r>
            <w:proofErr w:type="spellStart"/>
            <w:r w:rsidRPr="00BE3728">
              <w:rPr>
                <w:sz w:val="20"/>
                <w:szCs w:val="20"/>
              </w:rPr>
              <w:t>Duties</w:t>
            </w:r>
            <w:proofErr w:type="spellEnd"/>
            <w:r w:rsidRPr="00BE3728">
              <w:rPr>
                <w:sz w:val="20"/>
                <w:szCs w:val="20"/>
              </w:rPr>
              <w:t xml:space="preserve"> &amp; Rights</w:t>
            </w:r>
          </w:p>
        </w:tc>
        <w:tc>
          <w:tcPr>
            <w:tcW w:w="401" w:type="pct"/>
            <w:shd w:val="clear" w:color="auto" w:fill="E7E6E6" w:themeFill="background2"/>
            <w:textDirection w:val="tbRl"/>
          </w:tcPr>
          <w:p w14:paraId="3F9558EA" w14:textId="77777777" w:rsidR="00074551" w:rsidRDefault="00074551" w:rsidP="00367133">
            <w:pPr>
              <w:ind w:left="113" w:right="113"/>
              <w:rPr>
                <w:sz w:val="20"/>
                <w:szCs w:val="20"/>
                <w:lang w:val="en-US"/>
              </w:rPr>
            </w:pPr>
          </w:p>
          <w:p w14:paraId="5F80E013" w14:textId="77777777" w:rsidR="00074551" w:rsidRPr="00E50B51" w:rsidRDefault="00074551" w:rsidP="00367133">
            <w:pPr>
              <w:ind w:left="113" w:right="113"/>
              <w:rPr>
                <w:sz w:val="20"/>
                <w:szCs w:val="20"/>
                <w:lang w:val="en-US"/>
              </w:rPr>
            </w:pPr>
            <w:r w:rsidRPr="00BE3728">
              <w:rPr>
                <w:sz w:val="20"/>
                <w:szCs w:val="20"/>
                <w:lang w:val="en-US"/>
              </w:rPr>
              <w:t>Property Rights</w:t>
            </w:r>
          </w:p>
        </w:tc>
        <w:tc>
          <w:tcPr>
            <w:tcW w:w="1594" w:type="pct"/>
            <w:shd w:val="clear" w:color="auto" w:fill="E7E6E6" w:themeFill="background2"/>
            <w:vAlign w:val="center"/>
          </w:tcPr>
          <w:p w14:paraId="6E211549" w14:textId="77777777" w:rsidR="00074551" w:rsidRPr="00E50B51" w:rsidRDefault="00074551" w:rsidP="00367133">
            <w:pPr>
              <w:jc w:val="both"/>
              <w:rPr>
                <w:sz w:val="20"/>
                <w:szCs w:val="20"/>
              </w:rPr>
            </w:pPr>
          </w:p>
        </w:tc>
        <w:tc>
          <w:tcPr>
            <w:tcW w:w="1822" w:type="pct"/>
            <w:shd w:val="clear" w:color="auto" w:fill="E7E6E6" w:themeFill="background2"/>
          </w:tcPr>
          <w:p w14:paraId="063A904D" w14:textId="18B3982D"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4F6665" w14:paraId="60EE12B9" w14:textId="77777777" w:rsidTr="00BE689F">
        <w:trPr>
          <w:cantSplit/>
          <w:trHeight w:val="3175"/>
        </w:trPr>
        <w:tc>
          <w:tcPr>
            <w:tcW w:w="293" w:type="pct"/>
          </w:tcPr>
          <w:p w14:paraId="1E33B035"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FFBA85C" w14:textId="77777777" w:rsidR="00074551" w:rsidRPr="00E50B51" w:rsidRDefault="00074551" w:rsidP="00367133">
            <w:pPr>
              <w:ind w:left="113" w:right="416"/>
              <w:jc w:val="both"/>
              <w:rPr>
                <w:sz w:val="20"/>
                <w:szCs w:val="20"/>
              </w:rPr>
            </w:pPr>
            <w:r w:rsidRPr="009E57E1">
              <w:rPr>
                <w:i/>
                <w:sz w:val="20"/>
                <w:szCs w:val="20"/>
              </w:rPr>
              <w:t>Drury v. Foster</w:t>
            </w:r>
          </w:p>
        </w:tc>
        <w:tc>
          <w:tcPr>
            <w:tcW w:w="197" w:type="pct"/>
            <w:textDirection w:val="tbRl"/>
            <w:vAlign w:val="center"/>
          </w:tcPr>
          <w:p w14:paraId="3476B9B9" w14:textId="77777777" w:rsidR="00074551" w:rsidRPr="00E50B51" w:rsidRDefault="00074551" w:rsidP="00367133">
            <w:pPr>
              <w:ind w:left="113" w:right="113"/>
              <w:jc w:val="both"/>
              <w:rPr>
                <w:sz w:val="20"/>
                <w:szCs w:val="20"/>
                <w:lang w:val="en-US"/>
              </w:rPr>
            </w:pPr>
            <w:r w:rsidRPr="00BE3728">
              <w:rPr>
                <w:sz w:val="20"/>
                <w:szCs w:val="20"/>
              </w:rPr>
              <w:t>69 U.S. 24</w:t>
            </w:r>
          </w:p>
        </w:tc>
        <w:tc>
          <w:tcPr>
            <w:tcW w:w="306" w:type="pct"/>
            <w:textDirection w:val="tbRl"/>
            <w:vAlign w:val="center"/>
          </w:tcPr>
          <w:p w14:paraId="49BFC20D" w14:textId="77777777" w:rsidR="00074551" w:rsidRPr="00E50B51" w:rsidRDefault="00074551" w:rsidP="00367133">
            <w:pPr>
              <w:ind w:left="113" w:right="113"/>
              <w:jc w:val="both"/>
              <w:rPr>
                <w:sz w:val="20"/>
                <w:szCs w:val="20"/>
              </w:rPr>
            </w:pPr>
            <w:r w:rsidRPr="00BE3728">
              <w:rPr>
                <w:sz w:val="20"/>
                <w:szCs w:val="20"/>
              </w:rPr>
              <w:t>23. Januar 1865</w:t>
            </w:r>
          </w:p>
        </w:tc>
        <w:tc>
          <w:tcPr>
            <w:tcW w:w="401" w:type="pct"/>
          </w:tcPr>
          <w:p w14:paraId="5C845060"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5B0C630B"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die Klage eines Hypothekengläubigers ab. Denn die Hypothek der vermeintlichen Schuldnerin, einer Ehefrau, entsprach nicht den Anforderungen des Bundesstaats. Die Ehefrau unterzeichnete eine Hypothek </w:t>
            </w:r>
            <w:r>
              <w:rPr>
                <w:sz w:val="20"/>
                <w:szCs w:val="20"/>
              </w:rPr>
              <w:t>in blanko</w:t>
            </w:r>
            <w:r w:rsidRPr="00BE3728">
              <w:rPr>
                <w:sz w:val="20"/>
                <w:szCs w:val="20"/>
              </w:rPr>
              <w:t xml:space="preserve"> </w:t>
            </w:r>
            <w:r>
              <w:rPr>
                <w:sz w:val="20"/>
                <w:szCs w:val="20"/>
              </w:rPr>
              <w:t>zugunsten</w:t>
            </w:r>
            <w:r w:rsidRPr="00BE3728">
              <w:rPr>
                <w:sz w:val="20"/>
                <w:szCs w:val="20"/>
              </w:rPr>
              <w:t xml:space="preserve"> ihres Ehemannes, d.h. der Ehemann ließ den Namen des Hypothekengläubigers und den Betrag der Hypothek offen. Danach füllte der Ehemann die Lücken mit dem Namen des Hypothekengläubigers und dem Betrag aus. Aber der Gläubiger konnte mit dieser Hypothek nicht gegen die Ehefrau vorgehen</w:t>
            </w:r>
            <w:r>
              <w:rPr>
                <w:sz w:val="20"/>
                <w:szCs w:val="20"/>
              </w:rPr>
              <w:t>;</w:t>
            </w:r>
            <w:r w:rsidRPr="00BE3728">
              <w:rPr>
                <w:sz w:val="20"/>
                <w:szCs w:val="20"/>
              </w:rPr>
              <w:t xml:space="preserve"> eine Blankohypothek sei unwirksam, das Missbrauchsrisiko sei erheblich, so der </w:t>
            </w:r>
            <w:r>
              <w:rPr>
                <w:sz w:val="20"/>
                <w:szCs w:val="20"/>
              </w:rPr>
              <w:t>U.S. Supreme Court</w:t>
            </w:r>
            <w:r w:rsidRPr="00BE3728">
              <w:rPr>
                <w:sz w:val="20"/>
                <w:szCs w:val="20"/>
              </w:rPr>
              <w:t>. Und die Berufspflichten des Immobilienhändlers umfasste</w:t>
            </w:r>
            <w:r>
              <w:rPr>
                <w:sz w:val="20"/>
                <w:szCs w:val="20"/>
              </w:rPr>
              <w:t>n</w:t>
            </w:r>
            <w:r w:rsidRPr="00BE3728">
              <w:rPr>
                <w:sz w:val="20"/>
                <w:szCs w:val="20"/>
              </w:rPr>
              <w:t xml:space="preserve"> den Schutz von Vermögen verheirateter Frauen.</w:t>
            </w:r>
            <w:r w:rsidRPr="00BE3728">
              <w:rPr>
                <w:rStyle w:val="Funotenzeichen"/>
                <w:sz w:val="20"/>
                <w:szCs w:val="20"/>
              </w:rPr>
              <w:footnoteReference w:id="984"/>
            </w:r>
          </w:p>
          <w:p w14:paraId="0540739E" w14:textId="77777777" w:rsidR="00074551" w:rsidRPr="00BE3728" w:rsidRDefault="00074551" w:rsidP="00367133">
            <w:pPr>
              <w:jc w:val="both"/>
              <w:rPr>
                <w:sz w:val="20"/>
                <w:szCs w:val="20"/>
              </w:rPr>
            </w:pPr>
          </w:p>
          <w:p w14:paraId="14A026FA" w14:textId="77777777" w:rsidR="00074551" w:rsidRPr="00BE3728" w:rsidRDefault="00074551" w:rsidP="00367133">
            <w:pPr>
              <w:jc w:val="both"/>
              <w:rPr>
                <w:sz w:val="20"/>
                <w:szCs w:val="20"/>
              </w:rPr>
            </w:pPr>
          </w:p>
          <w:p w14:paraId="5F040F99" w14:textId="77777777" w:rsidR="00074551" w:rsidRPr="00E50B51" w:rsidRDefault="00074551" w:rsidP="00367133">
            <w:pPr>
              <w:jc w:val="both"/>
              <w:rPr>
                <w:sz w:val="20"/>
                <w:szCs w:val="20"/>
              </w:rPr>
            </w:pPr>
          </w:p>
        </w:tc>
        <w:tc>
          <w:tcPr>
            <w:tcW w:w="1822" w:type="pct"/>
          </w:tcPr>
          <w:p w14:paraId="39D74510"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Family Law › Marital Duties &amp; Rights › Property Rights › General Overview</w:t>
            </w:r>
          </w:p>
          <w:p w14:paraId="1281408C" w14:textId="77777777" w:rsidR="00074551" w:rsidRPr="00BE3728" w:rsidRDefault="00074551" w:rsidP="00367133">
            <w:pPr>
              <w:jc w:val="both"/>
              <w:rPr>
                <w:sz w:val="20"/>
                <w:szCs w:val="20"/>
                <w:lang w:val="en-US"/>
              </w:rPr>
            </w:pPr>
          </w:p>
          <w:p w14:paraId="0395E426" w14:textId="77777777" w:rsidR="00074551" w:rsidRDefault="00074551" w:rsidP="00367133">
            <w:pPr>
              <w:jc w:val="both"/>
              <w:rPr>
                <w:sz w:val="20"/>
                <w:szCs w:val="20"/>
              </w:rPr>
            </w:pPr>
            <w:r w:rsidRPr="00BE3728">
              <w:rPr>
                <w:sz w:val="20"/>
                <w:szCs w:val="20"/>
              </w:rPr>
              <w:t>Nach den Gesetzen des Bundesstaates Minnesota ist eine Urkunde eine wesentliche Voraussetzung, um Grundbesitz oder einen Anteil daran zu übertragen. Da 1865 eine Ehefrau keine Prokura oder Vollmacht ausstellen konnte, musste sie selbst die Urkunde beibringen. Dieses Urkundenerfordernis besteh</w:t>
            </w:r>
            <w:r>
              <w:rPr>
                <w:sz w:val="20"/>
                <w:szCs w:val="20"/>
              </w:rPr>
              <w:t>e</w:t>
            </w:r>
            <w:r w:rsidRPr="00BE3728">
              <w:rPr>
                <w:sz w:val="20"/>
                <w:szCs w:val="20"/>
              </w:rPr>
              <w:t xml:space="preserve"> zum Schutz der Ehefrau, wegen ihrer Abhängigkeit und um sie vor unzulässiger Beeinflussung und Zwang zu schützen.</w:t>
            </w:r>
            <w:r w:rsidRPr="00BE3728">
              <w:rPr>
                <w:rStyle w:val="Funotenzeichen"/>
                <w:sz w:val="20"/>
                <w:szCs w:val="20"/>
              </w:rPr>
              <w:footnoteReference w:id="985"/>
            </w:r>
          </w:p>
          <w:p w14:paraId="285E3C81" w14:textId="77777777" w:rsidR="00074551" w:rsidRDefault="00074551" w:rsidP="00367133">
            <w:pPr>
              <w:jc w:val="both"/>
              <w:rPr>
                <w:sz w:val="20"/>
                <w:szCs w:val="20"/>
              </w:rPr>
            </w:pPr>
          </w:p>
          <w:p w14:paraId="4243EB44" w14:textId="77777777" w:rsidR="00074551" w:rsidRPr="00BE3728" w:rsidRDefault="00074551" w:rsidP="00367133">
            <w:pPr>
              <w:jc w:val="both"/>
              <w:rPr>
                <w:sz w:val="20"/>
                <w:szCs w:val="20"/>
                <w:lang w:val="en-US"/>
              </w:rPr>
            </w:pPr>
            <w:r w:rsidRPr="00BE3728">
              <w:rPr>
                <w:sz w:val="20"/>
                <w:szCs w:val="20"/>
              </w:rPr>
              <w:t xml:space="preserve">Um das streitgegenständliche Gesetz zu rechtfertigen, stellte der </w:t>
            </w:r>
            <w:r>
              <w:rPr>
                <w:sz w:val="20"/>
                <w:szCs w:val="20"/>
              </w:rPr>
              <w:t>U.S. Supreme Court</w:t>
            </w:r>
            <w:r w:rsidRPr="00BE3728">
              <w:rPr>
                <w:sz w:val="20"/>
                <w:szCs w:val="20"/>
              </w:rPr>
              <w:t xml:space="preserve"> auf das gesellschaftliche Gewicht der Ehe ab und welche Abhängigkeit die Ehe schaffe, vor der der finanziell schwächere Ehepartner zu schützen sei. Der </w:t>
            </w:r>
            <w:r>
              <w:rPr>
                <w:sz w:val="20"/>
                <w:szCs w:val="20"/>
              </w:rPr>
              <w:t>U.S. Supreme Court</w:t>
            </w:r>
            <w:r w:rsidRPr="00BE3728">
              <w:rPr>
                <w:sz w:val="20"/>
                <w:szCs w:val="20"/>
              </w:rPr>
              <w:t xml:space="preserve"> urteilte, es bestehe eine heilige Verbindung zwischen Mann und Frau. Von d</w:t>
            </w:r>
            <w:r>
              <w:rPr>
                <w:sz w:val="20"/>
                <w:szCs w:val="20"/>
              </w:rPr>
              <w:t>ies</w:t>
            </w:r>
            <w:r w:rsidRPr="00BE3728">
              <w:rPr>
                <w:sz w:val="20"/>
                <w:szCs w:val="20"/>
              </w:rPr>
              <w:t xml:space="preserve">er </w:t>
            </w:r>
            <w:r>
              <w:rPr>
                <w:sz w:val="20"/>
                <w:szCs w:val="20"/>
              </w:rPr>
              <w:t xml:space="preserve">Verbindung </w:t>
            </w:r>
            <w:r w:rsidRPr="00BE3728">
              <w:rPr>
                <w:sz w:val="20"/>
                <w:szCs w:val="20"/>
              </w:rPr>
              <w:t>h</w:t>
            </w:r>
            <w:r>
              <w:rPr>
                <w:sz w:val="20"/>
                <w:szCs w:val="20"/>
              </w:rPr>
              <w:t>ingen</w:t>
            </w:r>
            <w:r w:rsidRPr="00BE3728">
              <w:rPr>
                <w:sz w:val="20"/>
                <w:szCs w:val="20"/>
              </w:rPr>
              <w:t xml:space="preserve"> sowohl die Harmonie der Gesellschaft als auch das Glück der Familie ab. Dieses durch das Glück der Familie induzierte Gewicht führe dazu, dass die Ehefrau die Blanko</w:t>
            </w:r>
            <w:r>
              <w:rPr>
                <w:sz w:val="20"/>
                <w:szCs w:val="20"/>
              </w:rPr>
              <w:t>h</w:t>
            </w:r>
            <w:r w:rsidRPr="00BE3728">
              <w:rPr>
                <w:sz w:val="20"/>
                <w:szCs w:val="20"/>
              </w:rPr>
              <w:t xml:space="preserve">ypothek nicht unabhängig und in freiem Willen abgegeben habe. </w:t>
            </w:r>
            <w:r w:rsidRPr="00BE3728">
              <w:rPr>
                <w:sz w:val="20"/>
                <w:szCs w:val="20"/>
                <w:lang w:val="en-US"/>
              </w:rPr>
              <w:t xml:space="preserve">Sie sei </w:t>
            </w:r>
            <w:proofErr w:type="spellStart"/>
            <w:r w:rsidRPr="00BE3728">
              <w:rPr>
                <w:sz w:val="20"/>
                <w:szCs w:val="20"/>
                <w:lang w:val="en-US"/>
              </w:rPr>
              <w:t>deshalb</w:t>
            </w:r>
            <w:proofErr w:type="spellEnd"/>
            <w:r w:rsidRPr="00BE3728">
              <w:rPr>
                <w:sz w:val="20"/>
                <w:szCs w:val="20"/>
                <w:lang w:val="en-US"/>
              </w:rPr>
              <w:t xml:space="preserve"> </w:t>
            </w:r>
            <w:proofErr w:type="spellStart"/>
            <w:r w:rsidRPr="00BE3728">
              <w:rPr>
                <w:sz w:val="20"/>
                <w:szCs w:val="20"/>
                <w:lang w:val="en-US"/>
              </w:rPr>
              <w:t>nichtig</w:t>
            </w:r>
            <w:proofErr w:type="spellEnd"/>
            <w:r w:rsidRPr="00BE3728">
              <w:rPr>
                <w:sz w:val="20"/>
                <w:szCs w:val="20"/>
                <w:lang w:val="en-US"/>
              </w:rPr>
              <w:t xml:space="preserve"> („the magistrate could never have certified that she executed </w:t>
            </w:r>
            <w:proofErr w:type="gramStart"/>
            <w:r w:rsidRPr="00BE3728">
              <w:rPr>
                <w:sz w:val="20"/>
                <w:szCs w:val="20"/>
                <w:lang w:val="en-US"/>
              </w:rPr>
              <w:t xml:space="preserve">it </w:t>
            </w:r>
            <w:r>
              <w:rPr>
                <w:sz w:val="20"/>
                <w:szCs w:val="20"/>
                <w:lang w:val="en-US"/>
              </w:rPr>
              <w:t>,</w:t>
            </w:r>
            <w:r w:rsidRPr="00BE3728">
              <w:rPr>
                <w:sz w:val="20"/>
                <w:szCs w:val="20"/>
                <w:lang w:val="en-US"/>
              </w:rPr>
              <w:t>freely</w:t>
            </w:r>
            <w:proofErr w:type="gramEnd"/>
            <w:r>
              <w:rPr>
                <w:sz w:val="20"/>
                <w:szCs w:val="20"/>
                <w:lang w:val="en-US"/>
              </w:rPr>
              <w:t>‘</w:t>
            </w:r>
            <w:r w:rsidRPr="00BE3728">
              <w:rPr>
                <w:sz w:val="20"/>
                <w:szCs w:val="20"/>
                <w:lang w:val="en-US"/>
              </w:rPr>
              <w:t>“</w:t>
            </w:r>
            <w:r w:rsidRPr="00BE3728">
              <w:rPr>
                <w:rStyle w:val="Funotenzeichen"/>
                <w:sz w:val="20"/>
                <w:szCs w:val="20"/>
                <w:lang w:val="en-US"/>
              </w:rPr>
              <w:footnoteReference w:id="986"/>
            </w:r>
            <w:r w:rsidRPr="00BE3728">
              <w:rPr>
                <w:sz w:val="20"/>
                <w:szCs w:val="20"/>
                <w:lang w:val="en-US"/>
              </w:rPr>
              <w:t>).</w:t>
            </w:r>
          </w:p>
          <w:p w14:paraId="42A577B4" w14:textId="77777777" w:rsidR="00074551" w:rsidRPr="00B45592" w:rsidRDefault="00074551" w:rsidP="00367133">
            <w:pPr>
              <w:jc w:val="both"/>
              <w:rPr>
                <w:sz w:val="20"/>
                <w:szCs w:val="20"/>
                <w:lang w:val="en-IE"/>
              </w:rPr>
            </w:pPr>
          </w:p>
        </w:tc>
      </w:tr>
      <w:tr w:rsidR="00074551" w:rsidRPr="00E50B51" w14:paraId="34BC1361" w14:textId="77777777" w:rsidTr="0089283E">
        <w:trPr>
          <w:cantSplit/>
          <w:trHeight w:val="3175"/>
        </w:trPr>
        <w:tc>
          <w:tcPr>
            <w:tcW w:w="293" w:type="pct"/>
            <w:shd w:val="clear" w:color="auto" w:fill="E7E6E6" w:themeFill="background2"/>
          </w:tcPr>
          <w:p w14:paraId="2851375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4EC519A3"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7A7566EA"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04FA2402" w14:textId="77777777" w:rsidR="00074551" w:rsidRPr="00E50B51" w:rsidRDefault="00074551" w:rsidP="00367133">
            <w:pPr>
              <w:ind w:left="113" w:right="113"/>
              <w:jc w:val="both"/>
              <w:rPr>
                <w:sz w:val="20"/>
                <w:szCs w:val="20"/>
              </w:rPr>
            </w:pPr>
            <w:proofErr w:type="spellStart"/>
            <w:r w:rsidRPr="00BE3728">
              <w:rPr>
                <w:sz w:val="20"/>
                <w:szCs w:val="20"/>
              </w:rPr>
              <w:t>Mar</w:t>
            </w:r>
            <w:r>
              <w:rPr>
                <w:sz w:val="20"/>
                <w:szCs w:val="20"/>
              </w:rPr>
              <w:t>i</w:t>
            </w:r>
            <w:r w:rsidRPr="00BE3728">
              <w:rPr>
                <w:sz w:val="20"/>
                <w:szCs w:val="20"/>
              </w:rPr>
              <w:t>tal</w:t>
            </w:r>
            <w:proofErr w:type="spellEnd"/>
            <w:r w:rsidRPr="00BE3728">
              <w:rPr>
                <w:sz w:val="20"/>
                <w:szCs w:val="20"/>
              </w:rPr>
              <w:t xml:space="preserve"> </w:t>
            </w:r>
            <w:proofErr w:type="spellStart"/>
            <w:r w:rsidRPr="00BE3728">
              <w:rPr>
                <w:sz w:val="20"/>
                <w:szCs w:val="20"/>
              </w:rPr>
              <w:t>Duties</w:t>
            </w:r>
            <w:proofErr w:type="spellEnd"/>
            <w:r w:rsidRPr="00BE3728">
              <w:rPr>
                <w:sz w:val="20"/>
                <w:szCs w:val="20"/>
              </w:rPr>
              <w:t xml:space="preserve"> &amp; Rights</w:t>
            </w:r>
          </w:p>
        </w:tc>
        <w:tc>
          <w:tcPr>
            <w:tcW w:w="401" w:type="pct"/>
            <w:shd w:val="clear" w:color="auto" w:fill="E7E6E6" w:themeFill="background2"/>
            <w:textDirection w:val="tbRl"/>
          </w:tcPr>
          <w:p w14:paraId="0B442417" w14:textId="77777777" w:rsidR="00074551" w:rsidRDefault="00074551" w:rsidP="00367133">
            <w:pPr>
              <w:ind w:left="113" w:right="113"/>
              <w:rPr>
                <w:sz w:val="20"/>
                <w:szCs w:val="20"/>
                <w:lang w:val="en-US"/>
              </w:rPr>
            </w:pPr>
          </w:p>
          <w:p w14:paraId="50294525" w14:textId="77777777" w:rsidR="00074551" w:rsidRPr="00E50B51" w:rsidRDefault="00074551" w:rsidP="00367133">
            <w:pPr>
              <w:ind w:left="113" w:right="113"/>
              <w:rPr>
                <w:sz w:val="20"/>
                <w:szCs w:val="20"/>
                <w:lang w:val="en-US"/>
              </w:rPr>
            </w:pPr>
            <w:r w:rsidRPr="00BE3728">
              <w:rPr>
                <w:sz w:val="20"/>
                <w:szCs w:val="20"/>
                <w:lang w:val="en-US"/>
              </w:rPr>
              <w:t>Debt Liability</w:t>
            </w:r>
          </w:p>
        </w:tc>
        <w:tc>
          <w:tcPr>
            <w:tcW w:w="1594" w:type="pct"/>
            <w:shd w:val="clear" w:color="auto" w:fill="E7E6E6" w:themeFill="background2"/>
            <w:vAlign w:val="center"/>
          </w:tcPr>
          <w:p w14:paraId="5A4E7E85" w14:textId="77777777" w:rsidR="00074551" w:rsidRPr="00E50B51" w:rsidRDefault="00074551" w:rsidP="00367133">
            <w:pPr>
              <w:jc w:val="both"/>
              <w:rPr>
                <w:sz w:val="20"/>
                <w:szCs w:val="20"/>
              </w:rPr>
            </w:pPr>
          </w:p>
        </w:tc>
        <w:tc>
          <w:tcPr>
            <w:tcW w:w="1822" w:type="pct"/>
            <w:shd w:val="clear" w:color="auto" w:fill="E7E6E6" w:themeFill="background2"/>
          </w:tcPr>
          <w:p w14:paraId="1058AB9B" w14:textId="3CE1BA3C"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4012AC0A" w14:textId="77777777" w:rsidTr="00BE689F">
        <w:trPr>
          <w:cantSplit/>
          <w:trHeight w:val="3175"/>
        </w:trPr>
        <w:tc>
          <w:tcPr>
            <w:tcW w:w="293" w:type="pct"/>
          </w:tcPr>
          <w:p w14:paraId="2E404150" w14:textId="77777777" w:rsidR="00074551" w:rsidRPr="00E50B51" w:rsidRDefault="00074551" w:rsidP="00367133">
            <w:pPr>
              <w:ind w:right="416"/>
              <w:jc w:val="center"/>
              <w:rPr>
                <w:sz w:val="20"/>
                <w:szCs w:val="20"/>
              </w:rPr>
            </w:pPr>
            <w:r w:rsidRPr="00BE3728">
              <w:rPr>
                <w:sz w:val="20"/>
                <w:szCs w:val="20"/>
              </w:rPr>
              <w:t>H</w:t>
            </w:r>
          </w:p>
        </w:tc>
        <w:tc>
          <w:tcPr>
            <w:tcW w:w="387" w:type="pct"/>
            <w:textDirection w:val="tbRl"/>
            <w:vAlign w:val="center"/>
          </w:tcPr>
          <w:p w14:paraId="72166211" w14:textId="77777777" w:rsidR="00074551" w:rsidRPr="00E50B51" w:rsidRDefault="00074551" w:rsidP="00367133">
            <w:pPr>
              <w:ind w:left="113" w:right="416"/>
              <w:jc w:val="both"/>
              <w:rPr>
                <w:sz w:val="20"/>
                <w:szCs w:val="20"/>
              </w:rPr>
            </w:pPr>
            <w:r w:rsidRPr="009E57E1">
              <w:rPr>
                <w:i/>
                <w:sz w:val="20"/>
                <w:szCs w:val="20"/>
              </w:rPr>
              <w:t>Sexton v. Wheaton</w:t>
            </w:r>
          </w:p>
        </w:tc>
        <w:tc>
          <w:tcPr>
            <w:tcW w:w="197" w:type="pct"/>
            <w:textDirection w:val="tbRl"/>
            <w:vAlign w:val="center"/>
          </w:tcPr>
          <w:p w14:paraId="5FBD155E" w14:textId="77777777" w:rsidR="00074551" w:rsidRPr="00E50B51" w:rsidRDefault="00074551" w:rsidP="00367133">
            <w:pPr>
              <w:ind w:left="113" w:right="113"/>
              <w:jc w:val="both"/>
              <w:rPr>
                <w:sz w:val="20"/>
                <w:szCs w:val="20"/>
                <w:lang w:val="en-US"/>
              </w:rPr>
            </w:pPr>
            <w:r w:rsidRPr="00BE3728">
              <w:rPr>
                <w:sz w:val="20"/>
                <w:szCs w:val="20"/>
              </w:rPr>
              <w:t>21 U.S. 229</w:t>
            </w:r>
          </w:p>
        </w:tc>
        <w:tc>
          <w:tcPr>
            <w:tcW w:w="306" w:type="pct"/>
            <w:textDirection w:val="tbRl"/>
            <w:vAlign w:val="center"/>
          </w:tcPr>
          <w:p w14:paraId="73E9A644" w14:textId="77777777" w:rsidR="00074551" w:rsidRPr="00E50B51" w:rsidRDefault="00074551" w:rsidP="00367133">
            <w:pPr>
              <w:ind w:left="113" w:right="113"/>
              <w:jc w:val="both"/>
              <w:rPr>
                <w:sz w:val="20"/>
                <w:szCs w:val="20"/>
              </w:rPr>
            </w:pPr>
            <w:r w:rsidRPr="00BE3728">
              <w:rPr>
                <w:sz w:val="20"/>
                <w:szCs w:val="20"/>
              </w:rPr>
              <w:t>13. Februar 1823</w:t>
            </w:r>
          </w:p>
        </w:tc>
        <w:tc>
          <w:tcPr>
            <w:tcW w:w="401" w:type="pct"/>
          </w:tcPr>
          <w:p w14:paraId="659C66DA"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3C22A578"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den Gläubiger darin zurück, für eine offene Forderung eines Schuldners das Eigentum </w:t>
            </w:r>
            <w:r>
              <w:rPr>
                <w:sz w:val="20"/>
                <w:szCs w:val="20"/>
              </w:rPr>
              <w:t xml:space="preserve">von </w:t>
            </w:r>
            <w:r w:rsidRPr="00BE3728">
              <w:rPr>
                <w:sz w:val="20"/>
                <w:szCs w:val="20"/>
              </w:rPr>
              <w:t xml:space="preserve">dessen Ehefrau zu nutzen. Denn weder hatte der Schuldner getäuscht, noch hatte dessen Ehefrau Kenntnis davon. Das Bezirksgericht </w:t>
            </w:r>
            <w:r>
              <w:rPr>
                <w:sz w:val="20"/>
                <w:szCs w:val="20"/>
              </w:rPr>
              <w:t>hatte</w:t>
            </w:r>
            <w:r w:rsidRPr="00BE3728">
              <w:rPr>
                <w:sz w:val="20"/>
                <w:szCs w:val="20"/>
              </w:rPr>
              <w:t xml:space="preserve"> die Klage bereits ab</w:t>
            </w:r>
            <w:r>
              <w:rPr>
                <w:sz w:val="20"/>
                <w:szCs w:val="20"/>
              </w:rPr>
              <w:t>gewiesen u</w:t>
            </w:r>
            <w:r w:rsidRPr="00BE3728">
              <w:rPr>
                <w:sz w:val="20"/>
                <w:szCs w:val="20"/>
              </w:rPr>
              <w:t xml:space="preserve">nd das Berufungsgericht bestätigte dies. Laut </w:t>
            </w:r>
            <w:r>
              <w:rPr>
                <w:sz w:val="20"/>
                <w:szCs w:val="20"/>
              </w:rPr>
              <w:t>U.S. Supreme Court</w:t>
            </w:r>
            <w:r w:rsidRPr="00BE3728">
              <w:rPr>
                <w:sz w:val="20"/>
                <w:szCs w:val="20"/>
              </w:rPr>
              <w:t xml:space="preserve"> ergab die Beweisführung, dass der Ehemann nicht in dem Zeitpunkt Schuldner des Gläubigers war, in dem er sein Eigentum an die Ehefrau übertrug. Erst zwei Jahre nach dieser Übertragung entstand die Forderung des Gläubigers. Zwar nahm die Ehefrau bereits zuvor Kenntnis von einem Brief, in dem der Ehemann seine finanzielle Situation offensichtlich zu positiv darstellte. Aber diese Kenntnis reiche nicht aus, um eine Täuschung zu begründen – zumal der Gläubiger gar nicht wusste, dass und inwieweit die Ehefrau diesen Brief zur Kenntnis </w:t>
            </w:r>
            <w:r>
              <w:rPr>
                <w:sz w:val="20"/>
                <w:szCs w:val="20"/>
              </w:rPr>
              <w:t>genommen</w:t>
            </w:r>
            <w:r w:rsidRPr="00BE3728">
              <w:rPr>
                <w:sz w:val="20"/>
                <w:szCs w:val="20"/>
              </w:rPr>
              <w:t xml:space="preserve"> bzw. </w:t>
            </w:r>
            <w:r>
              <w:rPr>
                <w:sz w:val="20"/>
                <w:szCs w:val="20"/>
              </w:rPr>
              <w:t>gebilligt hatte</w:t>
            </w:r>
            <w:r w:rsidRPr="00BE3728">
              <w:rPr>
                <w:sz w:val="20"/>
                <w:szCs w:val="20"/>
              </w:rPr>
              <w:t>.</w:t>
            </w:r>
            <w:r w:rsidRPr="00BE3728">
              <w:rPr>
                <w:rStyle w:val="Funotenzeichen"/>
                <w:sz w:val="20"/>
                <w:szCs w:val="20"/>
              </w:rPr>
              <w:footnoteReference w:id="987"/>
            </w:r>
          </w:p>
          <w:p w14:paraId="1832B221" w14:textId="77777777" w:rsidR="00074551" w:rsidRPr="00BE3728" w:rsidRDefault="00074551" w:rsidP="00367133">
            <w:pPr>
              <w:jc w:val="both"/>
              <w:rPr>
                <w:sz w:val="20"/>
                <w:szCs w:val="20"/>
              </w:rPr>
            </w:pPr>
          </w:p>
          <w:p w14:paraId="6BE8650A" w14:textId="77777777" w:rsidR="00074551" w:rsidRPr="00BE3728" w:rsidRDefault="00074551" w:rsidP="00367133">
            <w:pPr>
              <w:jc w:val="both"/>
              <w:rPr>
                <w:sz w:val="20"/>
                <w:szCs w:val="20"/>
              </w:rPr>
            </w:pPr>
          </w:p>
          <w:p w14:paraId="4D7934A8" w14:textId="77777777" w:rsidR="00074551" w:rsidRPr="00E50B51" w:rsidRDefault="00074551" w:rsidP="00367133">
            <w:pPr>
              <w:jc w:val="both"/>
              <w:rPr>
                <w:sz w:val="20"/>
                <w:szCs w:val="20"/>
              </w:rPr>
            </w:pPr>
          </w:p>
        </w:tc>
        <w:tc>
          <w:tcPr>
            <w:tcW w:w="1822" w:type="pct"/>
          </w:tcPr>
          <w:p w14:paraId="3DE5ECD2"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Family Law › Marital Duties &amp; Rights › Debt Liability</w:t>
            </w:r>
          </w:p>
          <w:p w14:paraId="38BAFB52" w14:textId="77777777" w:rsidR="00074551" w:rsidRPr="00BE3728" w:rsidRDefault="00074551" w:rsidP="00367133">
            <w:pPr>
              <w:jc w:val="both"/>
              <w:rPr>
                <w:sz w:val="20"/>
                <w:szCs w:val="20"/>
                <w:lang w:val="en-US"/>
              </w:rPr>
            </w:pPr>
          </w:p>
          <w:p w14:paraId="78485A1E" w14:textId="77777777" w:rsidR="00074551" w:rsidRDefault="00074551" w:rsidP="00367133">
            <w:pPr>
              <w:jc w:val="both"/>
              <w:rPr>
                <w:sz w:val="20"/>
                <w:szCs w:val="20"/>
              </w:rPr>
            </w:pPr>
            <w:r w:rsidRPr="00BE3728">
              <w:rPr>
                <w:sz w:val="20"/>
                <w:szCs w:val="20"/>
              </w:rPr>
              <w:t xml:space="preserve">Eine Ehefrau, die täuscht, auch indem sie nur eine Täuschung duldet, trägt die Rechtsfolgen der Täuschung. D.h. Formerfordernisse, die an eine Vermögensübertragung gestellt werden, schützen </w:t>
            </w:r>
            <w:r>
              <w:rPr>
                <w:sz w:val="20"/>
                <w:szCs w:val="20"/>
              </w:rPr>
              <w:t>s</w:t>
            </w:r>
            <w:r w:rsidRPr="00BE3728">
              <w:rPr>
                <w:sz w:val="20"/>
                <w:szCs w:val="20"/>
              </w:rPr>
              <w:t xml:space="preserve">ie nicht. Im Fall </w:t>
            </w:r>
            <w:r>
              <w:rPr>
                <w:sz w:val="20"/>
                <w:szCs w:val="20"/>
              </w:rPr>
              <w:t>widersprach</w:t>
            </w:r>
            <w:r w:rsidRPr="00BE3728">
              <w:rPr>
                <w:sz w:val="20"/>
                <w:szCs w:val="20"/>
              </w:rPr>
              <w:t xml:space="preserve"> die Ehefrau aber </w:t>
            </w:r>
            <w:r>
              <w:rPr>
                <w:sz w:val="20"/>
                <w:szCs w:val="20"/>
              </w:rPr>
              <w:t xml:space="preserve">dem Verdacht </w:t>
            </w:r>
            <w:r w:rsidRPr="00BE3728">
              <w:rPr>
                <w:sz w:val="20"/>
                <w:szCs w:val="20"/>
              </w:rPr>
              <w:t>der täuschenden Vermögens</w:t>
            </w:r>
            <w:r>
              <w:rPr>
                <w:sz w:val="20"/>
                <w:szCs w:val="20"/>
              </w:rPr>
              <w:t>über</w:t>
            </w:r>
            <w:r w:rsidRPr="00BE3728">
              <w:rPr>
                <w:sz w:val="20"/>
                <w:szCs w:val="20"/>
              </w:rPr>
              <w:t>tragung</w:t>
            </w:r>
            <w:r>
              <w:rPr>
                <w:sz w:val="20"/>
                <w:szCs w:val="20"/>
              </w:rPr>
              <w:t>, w</w:t>
            </w:r>
            <w:r w:rsidRPr="00BE3728">
              <w:rPr>
                <w:sz w:val="20"/>
                <w:szCs w:val="20"/>
              </w:rPr>
              <w:t>eshalb sie Formerfordernis</w:t>
            </w:r>
            <w:r>
              <w:rPr>
                <w:sz w:val="20"/>
                <w:szCs w:val="20"/>
              </w:rPr>
              <w:t>se</w:t>
            </w:r>
            <w:r w:rsidRPr="00BE3728">
              <w:rPr>
                <w:sz w:val="20"/>
                <w:szCs w:val="20"/>
              </w:rPr>
              <w:t xml:space="preserve"> doch schütz</w:t>
            </w:r>
            <w:r>
              <w:rPr>
                <w:sz w:val="20"/>
                <w:szCs w:val="20"/>
              </w:rPr>
              <w:t>t</w:t>
            </w:r>
            <w:r w:rsidRPr="00BE3728">
              <w:rPr>
                <w:sz w:val="20"/>
                <w:szCs w:val="20"/>
              </w:rPr>
              <w:t>en.</w:t>
            </w:r>
          </w:p>
          <w:p w14:paraId="0AB62F3B" w14:textId="77777777" w:rsidR="00074551" w:rsidRPr="00BE3728" w:rsidRDefault="00074551" w:rsidP="00367133">
            <w:pPr>
              <w:jc w:val="both"/>
              <w:rPr>
                <w:sz w:val="20"/>
                <w:szCs w:val="20"/>
              </w:rPr>
            </w:pPr>
          </w:p>
          <w:p w14:paraId="0A3EA75B" w14:textId="77777777" w:rsidR="00074551" w:rsidRDefault="00074551" w:rsidP="00367133">
            <w:pPr>
              <w:jc w:val="both"/>
              <w:rPr>
                <w:sz w:val="20"/>
                <w:szCs w:val="20"/>
              </w:rPr>
            </w:pPr>
            <w:r w:rsidRPr="00BE3728">
              <w:rPr>
                <w:sz w:val="20"/>
                <w:szCs w:val="20"/>
              </w:rPr>
              <w:t xml:space="preserve">Von der Ehe </w:t>
            </w:r>
            <w:r>
              <w:rPr>
                <w:sz w:val="20"/>
                <w:szCs w:val="20"/>
              </w:rPr>
              <w:t>hingen</w:t>
            </w:r>
            <w:r w:rsidRPr="00BE3728">
              <w:rPr>
                <w:sz w:val="20"/>
                <w:szCs w:val="20"/>
              </w:rPr>
              <w:t xml:space="preserve"> </w:t>
            </w:r>
            <w:r>
              <w:rPr>
                <w:sz w:val="20"/>
                <w:szCs w:val="20"/>
              </w:rPr>
              <w:t xml:space="preserve">laut U.S. Supreme Court sowohl </w:t>
            </w:r>
            <w:r w:rsidRPr="00BE3728">
              <w:rPr>
                <w:sz w:val="20"/>
                <w:szCs w:val="20"/>
              </w:rPr>
              <w:t>die Harmonie der Gesellschaft als auch das Glück kleinerer Ordnungsstrukturen wie der Familien ab. Dieses durch das Glück der Familie induzierte Gewicht führe dazu, dass Schriftformerfordernisse den finanziell schwächeren Ehepartner besonders schützen müss</w:t>
            </w:r>
            <w:r>
              <w:rPr>
                <w:sz w:val="20"/>
                <w:szCs w:val="20"/>
              </w:rPr>
              <w:t>t</w:t>
            </w:r>
            <w:r w:rsidRPr="00BE3728">
              <w:rPr>
                <w:sz w:val="20"/>
                <w:szCs w:val="20"/>
              </w:rPr>
              <w:t xml:space="preserve">en, wenn </w:t>
            </w:r>
            <w:r>
              <w:rPr>
                <w:sz w:val="20"/>
                <w:szCs w:val="20"/>
              </w:rPr>
              <w:t>dieser sein</w:t>
            </w:r>
            <w:r w:rsidRPr="00BE3728">
              <w:rPr>
                <w:sz w:val="20"/>
                <w:szCs w:val="20"/>
              </w:rPr>
              <w:t xml:space="preserve"> Vermögen übertragen wolle („the </w:t>
            </w:r>
            <w:proofErr w:type="spellStart"/>
            <w:r w:rsidRPr="00BE3728">
              <w:rPr>
                <w:sz w:val="20"/>
                <w:szCs w:val="20"/>
              </w:rPr>
              <w:t>harmony</w:t>
            </w:r>
            <w:proofErr w:type="spellEnd"/>
            <w:r w:rsidRPr="00BE3728">
              <w:rPr>
                <w:sz w:val="20"/>
                <w:szCs w:val="20"/>
              </w:rPr>
              <w:t xml:space="preserve"> of </w:t>
            </w:r>
            <w:proofErr w:type="spellStart"/>
            <w:r w:rsidRPr="00BE3728">
              <w:rPr>
                <w:sz w:val="20"/>
                <w:szCs w:val="20"/>
              </w:rPr>
              <w:t>society</w:t>
            </w:r>
            <w:proofErr w:type="spellEnd"/>
            <w:r w:rsidRPr="00BE3728">
              <w:rPr>
                <w:sz w:val="20"/>
                <w:szCs w:val="20"/>
              </w:rPr>
              <w:t xml:space="preserve">, the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families</w:t>
            </w:r>
            <w:proofErr w:type="spellEnd"/>
            <w:r w:rsidRPr="00BE3728">
              <w:rPr>
                <w:sz w:val="20"/>
                <w:szCs w:val="20"/>
              </w:rPr>
              <w:t xml:space="preserve">, </w:t>
            </w:r>
            <w:proofErr w:type="spellStart"/>
            <w:r w:rsidRPr="00BE3728">
              <w:rPr>
                <w:sz w:val="20"/>
                <w:szCs w:val="20"/>
              </w:rPr>
              <w:t>depend</w:t>
            </w:r>
            <w:proofErr w:type="spellEnd"/>
            <w:r w:rsidRPr="00BE3728">
              <w:rPr>
                <w:sz w:val="20"/>
                <w:szCs w:val="20"/>
              </w:rPr>
              <w:t xml:space="preserve"> on </w:t>
            </w:r>
            <w:proofErr w:type="spellStart"/>
            <w:r w:rsidRPr="00BE3728">
              <w:rPr>
                <w:sz w:val="20"/>
                <w:szCs w:val="20"/>
              </w:rPr>
              <w:t>that</w:t>
            </w:r>
            <w:proofErr w:type="spellEnd"/>
            <w:r w:rsidRPr="00BE3728">
              <w:rPr>
                <w:sz w:val="20"/>
                <w:szCs w:val="20"/>
              </w:rPr>
              <w:t xml:space="preserve"> mutual </w:t>
            </w:r>
            <w:proofErr w:type="spellStart"/>
            <w:r w:rsidRPr="00BE3728">
              <w:rPr>
                <w:sz w:val="20"/>
                <w:szCs w:val="20"/>
              </w:rPr>
              <w:t>partiality</w:t>
            </w:r>
            <w:proofErr w:type="spellEnd"/>
            <w:r w:rsidRPr="00BE3728">
              <w:rPr>
                <w:sz w:val="20"/>
                <w:szCs w:val="20"/>
              </w:rPr>
              <w:t>“</w:t>
            </w:r>
            <w:r w:rsidRPr="00BE3728">
              <w:rPr>
                <w:rStyle w:val="Funotenzeichen"/>
                <w:sz w:val="20"/>
                <w:szCs w:val="20"/>
              </w:rPr>
              <w:footnoteReference w:id="988"/>
            </w:r>
            <w:r w:rsidRPr="00BE3728">
              <w:rPr>
                <w:sz w:val="20"/>
                <w:szCs w:val="20"/>
              </w:rPr>
              <w:t>). Denn dieser Teil befinde sich in einer ökonomischen Abhängigkeit zum anderen Ehepartner.</w:t>
            </w:r>
          </w:p>
          <w:p w14:paraId="20A6F506" w14:textId="77777777" w:rsidR="00074551" w:rsidRPr="00E50B51" w:rsidRDefault="00074551" w:rsidP="00367133">
            <w:pPr>
              <w:jc w:val="both"/>
              <w:rPr>
                <w:sz w:val="20"/>
                <w:szCs w:val="20"/>
              </w:rPr>
            </w:pPr>
          </w:p>
        </w:tc>
      </w:tr>
      <w:tr w:rsidR="00074551" w:rsidRPr="00E50B51" w14:paraId="1411BE60" w14:textId="77777777" w:rsidTr="0089283E">
        <w:trPr>
          <w:cantSplit/>
          <w:trHeight w:val="3175"/>
        </w:trPr>
        <w:tc>
          <w:tcPr>
            <w:tcW w:w="293" w:type="pct"/>
            <w:shd w:val="clear" w:color="auto" w:fill="E7E6E6" w:themeFill="background2"/>
          </w:tcPr>
          <w:p w14:paraId="275ED2B4"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7BC5F969"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74FE2FEC"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56815776" w14:textId="77777777" w:rsidR="00074551" w:rsidRPr="00E50B51" w:rsidRDefault="00074551" w:rsidP="00367133">
            <w:pPr>
              <w:ind w:left="113" w:right="113"/>
              <w:jc w:val="both"/>
              <w:rPr>
                <w:sz w:val="20"/>
                <w:szCs w:val="20"/>
              </w:rPr>
            </w:pPr>
            <w:r w:rsidRPr="00BE3728">
              <w:rPr>
                <w:sz w:val="20"/>
                <w:szCs w:val="20"/>
                <w:lang w:val="en-US"/>
              </w:rPr>
              <w:t>Contracts Law</w:t>
            </w:r>
          </w:p>
        </w:tc>
        <w:tc>
          <w:tcPr>
            <w:tcW w:w="401" w:type="pct"/>
            <w:shd w:val="clear" w:color="auto" w:fill="E7E6E6" w:themeFill="background2"/>
            <w:textDirection w:val="tbRl"/>
          </w:tcPr>
          <w:p w14:paraId="3B0524E8" w14:textId="77777777" w:rsidR="00074551" w:rsidRDefault="00074551" w:rsidP="00367133">
            <w:pPr>
              <w:ind w:left="113" w:right="113"/>
              <w:rPr>
                <w:sz w:val="20"/>
                <w:szCs w:val="20"/>
                <w:lang w:val="en-US"/>
              </w:rPr>
            </w:pPr>
          </w:p>
          <w:p w14:paraId="4F65A65B" w14:textId="77777777" w:rsidR="00074551" w:rsidRPr="00E50B51" w:rsidRDefault="00074551" w:rsidP="00367133">
            <w:pPr>
              <w:ind w:left="113" w:right="113"/>
              <w:rPr>
                <w:sz w:val="20"/>
                <w:szCs w:val="20"/>
                <w:lang w:val="en-US"/>
              </w:rPr>
            </w:pPr>
            <w:r w:rsidRPr="00BE3728">
              <w:rPr>
                <w:sz w:val="20"/>
                <w:szCs w:val="20"/>
                <w:lang w:val="en-US"/>
              </w:rPr>
              <w:t>Creditors &amp; Debtors</w:t>
            </w:r>
          </w:p>
        </w:tc>
        <w:tc>
          <w:tcPr>
            <w:tcW w:w="1594" w:type="pct"/>
            <w:shd w:val="clear" w:color="auto" w:fill="E7E6E6" w:themeFill="background2"/>
            <w:vAlign w:val="center"/>
          </w:tcPr>
          <w:p w14:paraId="09ABD53E" w14:textId="77777777" w:rsidR="00074551" w:rsidRPr="00E50B51" w:rsidRDefault="00074551" w:rsidP="00367133">
            <w:pPr>
              <w:jc w:val="both"/>
              <w:rPr>
                <w:sz w:val="20"/>
                <w:szCs w:val="20"/>
              </w:rPr>
            </w:pPr>
          </w:p>
        </w:tc>
        <w:tc>
          <w:tcPr>
            <w:tcW w:w="1822" w:type="pct"/>
            <w:shd w:val="clear" w:color="auto" w:fill="E7E6E6" w:themeFill="background2"/>
          </w:tcPr>
          <w:p w14:paraId="20205962" w14:textId="3AB25901"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3B1B4458" w14:textId="77777777" w:rsidTr="00BE689F">
        <w:trPr>
          <w:cantSplit/>
          <w:trHeight w:val="3175"/>
        </w:trPr>
        <w:tc>
          <w:tcPr>
            <w:tcW w:w="293" w:type="pct"/>
          </w:tcPr>
          <w:p w14:paraId="07C11E14"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16AB9765" w14:textId="77777777" w:rsidR="00074551" w:rsidRPr="00036F94" w:rsidRDefault="00074551" w:rsidP="00367133">
            <w:pPr>
              <w:ind w:left="113" w:right="416"/>
              <w:jc w:val="both"/>
              <w:rPr>
                <w:sz w:val="20"/>
                <w:szCs w:val="20"/>
                <w:lang w:val="en-US"/>
              </w:rPr>
            </w:pPr>
            <w:r w:rsidRPr="009E57E1">
              <w:rPr>
                <w:i/>
                <w:sz w:val="20"/>
                <w:szCs w:val="20"/>
                <w:lang w:val="en-US"/>
              </w:rPr>
              <w:t>Brodnax v. Aetna Ins. Co.</w:t>
            </w:r>
          </w:p>
        </w:tc>
        <w:tc>
          <w:tcPr>
            <w:tcW w:w="197" w:type="pct"/>
            <w:textDirection w:val="tbRl"/>
            <w:vAlign w:val="center"/>
          </w:tcPr>
          <w:p w14:paraId="4FDBC506" w14:textId="77777777" w:rsidR="00074551" w:rsidRPr="00E50B51" w:rsidRDefault="00074551" w:rsidP="00367133">
            <w:pPr>
              <w:ind w:left="113" w:right="113"/>
              <w:jc w:val="both"/>
              <w:rPr>
                <w:sz w:val="20"/>
                <w:szCs w:val="20"/>
                <w:lang w:val="en-US"/>
              </w:rPr>
            </w:pPr>
            <w:r w:rsidRPr="00BE3728">
              <w:rPr>
                <w:sz w:val="20"/>
                <w:szCs w:val="20"/>
              </w:rPr>
              <w:t>128 U.S. 236</w:t>
            </w:r>
          </w:p>
        </w:tc>
        <w:tc>
          <w:tcPr>
            <w:tcW w:w="306" w:type="pct"/>
            <w:textDirection w:val="tbRl"/>
            <w:vAlign w:val="center"/>
          </w:tcPr>
          <w:p w14:paraId="3D224E06" w14:textId="77777777" w:rsidR="00074551" w:rsidRPr="00E50B51" w:rsidRDefault="00074551" w:rsidP="00367133">
            <w:pPr>
              <w:ind w:left="113" w:right="113"/>
              <w:jc w:val="both"/>
              <w:rPr>
                <w:sz w:val="20"/>
                <w:szCs w:val="20"/>
              </w:rPr>
            </w:pPr>
            <w:r w:rsidRPr="00BE3728">
              <w:rPr>
                <w:sz w:val="20"/>
                <w:szCs w:val="20"/>
              </w:rPr>
              <w:t>19. November 1888</w:t>
            </w:r>
          </w:p>
        </w:tc>
        <w:tc>
          <w:tcPr>
            <w:tcW w:w="401" w:type="pct"/>
          </w:tcPr>
          <w:p w14:paraId="681803A9"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7C514F2B"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ermöglichte eine Zwangsvollstreckung. Ein Gesetz</w:t>
            </w:r>
            <w:r w:rsidRPr="00BE3728">
              <w:rPr>
                <w:rStyle w:val="Funotenzeichen"/>
                <w:sz w:val="20"/>
                <w:szCs w:val="20"/>
              </w:rPr>
              <w:footnoteReference w:id="989"/>
            </w:r>
            <w:r w:rsidRPr="00BE3728">
              <w:rPr>
                <w:sz w:val="20"/>
                <w:szCs w:val="20"/>
              </w:rPr>
              <w:t xml:space="preserve"> zum Schutz verheirateter Frauen verhinderte eine Zwangsvollstreckung aufgrund eines Urteils nicht. Zwar schützt</w:t>
            </w:r>
            <w:r>
              <w:rPr>
                <w:sz w:val="20"/>
                <w:szCs w:val="20"/>
              </w:rPr>
              <w:t>e</w:t>
            </w:r>
            <w:r w:rsidRPr="00BE3728">
              <w:rPr>
                <w:sz w:val="20"/>
                <w:szCs w:val="20"/>
              </w:rPr>
              <w:t xml:space="preserve"> das Gesetz das Eigentum der Frau vor Schulden des Ehemannes. Aber es erlaubt</w:t>
            </w:r>
            <w:r>
              <w:rPr>
                <w:sz w:val="20"/>
                <w:szCs w:val="20"/>
              </w:rPr>
              <w:t>e</w:t>
            </w:r>
            <w:r w:rsidRPr="00BE3728">
              <w:rPr>
                <w:sz w:val="20"/>
                <w:szCs w:val="20"/>
              </w:rPr>
              <w:t xml:space="preserve"> Hypotheken, wenn Ehemann und Ehefrau schriftlich zustimmen. Daher konnte das Eigentum, mit Zustimmung beider, zwangsvollstreckt werden. Und das Gericht sah in dieser Zustimmung keinen Gesetzesverstoß. Die klagende Versicherungsgesellschaft erhielt damit das Recht zur Zwangsvollstreckung. Die Zustimmung und Anweisung der Hypothek </w:t>
            </w:r>
            <w:proofErr w:type="gramStart"/>
            <w:r w:rsidRPr="00BE3728">
              <w:rPr>
                <w:sz w:val="20"/>
                <w:szCs w:val="20"/>
              </w:rPr>
              <w:t>überwand</w:t>
            </w:r>
            <w:proofErr w:type="gramEnd"/>
            <w:r w:rsidRPr="00BE3728">
              <w:rPr>
                <w:sz w:val="20"/>
                <w:szCs w:val="20"/>
              </w:rPr>
              <w:t xml:space="preserve"> den Schutz des Eigentums der Frau.</w:t>
            </w:r>
            <w:r w:rsidRPr="00BE3728">
              <w:rPr>
                <w:rStyle w:val="Funotenzeichen"/>
                <w:sz w:val="20"/>
                <w:szCs w:val="20"/>
              </w:rPr>
              <w:footnoteReference w:id="990"/>
            </w:r>
          </w:p>
          <w:p w14:paraId="56573096" w14:textId="77777777" w:rsidR="00074551" w:rsidRPr="00BE3728" w:rsidRDefault="00074551" w:rsidP="00367133">
            <w:pPr>
              <w:jc w:val="both"/>
              <w:rPr>
                <w:sz w:val="20"/>
                <w:szCs w:val="20"/>
              </w:rPr>
            </w:pPr>
          </w:p>
          <w:p w14:paraId="69EFD005" w14:textId="77777777" w:rsidR="00074551" w:rsidRPr="00BE3728" w:rsidRDefault="00074551" w:rsidP="00367133">
            <w:pPr>
              <w:jc w:val="both"/>
              <w:rPr>
                <w:sz w:val="20"/>
                <w:szCs w:val="20"/>
              </w:rPr>
            </w:pPr>
          </w:p>
          <w:p w14:paraId="300C2E61" w14:textId="77777777" w:rsidR="00074551" w:rsidRPr="00BE3728" w:rsidRDefault="00074551" w:rsidP="00367133">
            <w:pPr>
              <w:jc w:val="both"/>
              <w:rPr>
                <w:sz w:val="20"/>
                <w:szCs w:val="20"/>
              </w:rPr>
            </w:pPr>
          </w:p>
          <w:p w14:paraId="5E5BFB8E" w14:textId="77777777" w:rsidR="00074551" w:rsidRPr="00E50B51" w:rsidRDefault="00074551" w:rsidP="00367133">
            <w:pPr>
              <w:jc w:val="both"/>
              <w:rPr>
                <w:sz w:val="20"/>
                <w:szCs w:val="20"/>
              </w:rPr>
            </w:pPr>
          </w:p>
        </w:tc>
        <w:tc>
          <w:tcPr>
            <w:tcW w:w="1822" w:type="pct"/>
          </w:tcPr>
          <w:p w14:paraId="09CE58E5"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Contracts Law › Standards of Performance › Creditors &amp; Debtors</w:t>
            </w:r>
          </w:p>
          <w:p w14:paraId="4C3508A8" w14:textId="77777777" w:rsidR="00074551" w:rsidRPr="00BE3728" w:rsidRDefault="00074551" w:rsidP="00367133">
            <w:pPr>
              <w:jc w:val="both"/>
              <w:rPr>
                <w:sz w:val="20"/>
                <w:szCs w:val="20"/>
                <w:lang w:val="en-US"/>
              </w:rPr>
            </w:pPr>
          </w:p>
          <w:p w14:paraId="2999E91A" w14:textId="77777777" w:rsidR="00074551" w:rsidRDefault="00074551" w:rsidP="00367133">
            <w:pPr>
              <w:jc w:val="both"/>
              <w:rPr>
                <w:sz w:val="20"/>
                <w:szCs w:val="20"/>
              </w:rPr>
            </w:pPr>
            <w:r w:rsidRPr="00BE3728">
              <w:rPr>
                <w:sz w:val="20"/>
                <w:szCs w:val="20"/>
              </w:rPr>
              <w:t xml:space="preserve">Ga. Code </w:t>
            </w:r>
            <w:r>
              <w:rPr>
                <w:sz w:val="20"/>
                <w:szCs w:val="20"/>
              </w:rPr>
              <w:t>§ </w:t>
            </w:r>
            <w:r w:rsidRPr="00BE3728">
              <w:rPr>
                <w:sz w:val="20"/>
                <w:szCs w:val="20"/>
              </w:rPr>
              <w:t xml:space="preserve">1783 (1882) setzt voraus, </w:t>
            </w:r>
            <w:r>
              <w:rPr>
                <w:sz w:val="20"/>
                <w:szCs w:val="20"/>
              </w:rPr>
              <w:t xml:space="preserve">dass </w:t>
            </w:r>
            <w:r w:rsidRPr="00BE3728">
              <w:rPr>
                <w:sz w:val="20"/>
                <w:szCs w:val="20"/>
              </w:rPr>
              <w:t xml:space="preserve">eine Ehefrau bzgl. ihres Vermögens unabhängig </w:t>
            </w:r>
            <w:r>
              <w:rPr>
                <w:sz w:val="20"/>
                <w:szCs w:val="20"/>
              </w:rPr>
              <w:t xml:space="preserve">handelt </w:t>
            </w:r>
            <w:r w:rsidRPr="00BE3728">
              <w:rPr>
                <w:sz w:val="20"/>
                <w:szCs w:val="20"/>
              </w:rPr>
              <w:t>– außer sie binde</w:t>
            </w:r>
            <w:r>
              <w:rPr>
                <w:sz w:val="20"/>
                <w:szCs w:val="20"/>
              </w:rPr>
              <w:t>t</w:t>
            </w:r>
            <w:r w:rsidRPr="00BE3728">
              <w:rPr>
                <w:sz w:val="20"/>
                <w:szCs w:val="20"/>
              </w:rPr>
              <w:t xml:space="preserve"> sich vertraglich. Zwar kann eine Ehefrau Verträge abschließen. Aber es gibt Grenzen: Sie kann ihr getrenntes Vermögen weder durch einen Bürgschaftsvertrag noch durch die Übernahme der Schulden ihres Ehemannes binden. Zum Beispiel jeder Verkauf ihres getrennten Vermögens an einen Gläubiger ihres Ehemannes, damit er seine Schulden begleiche, sei nach dem Ga. Code </w:t>
            </w:r>
            <w:r>
              <w:rPr>
                <w:sz w:val="20"/>
                <w:szCs w:val="20"/>
              </w:rPr>
              <w:t>§ </w:t>
            </w:r>
            <w:r w:rsidRPr="00BE3728">
              <w:rPr>
                <w:sz w:val="20"/>
                <w:szCs w:val="20"/>
              </w:rPr>
              <w:t>1783 (1882) nichtig.</w:t>
            </w:r>
            <w:r w:rsidRPr="00BE3728">
              <w:rPr>
                <w:rStyle w:val="Funotenzeichen"/>
                <w:sz w:val="20"/>
                <w:szCs w:val="20"/>
              </w:rPr>
              <w:footnoteReference w:id="991"/>
            </w:r>
          </w:p>
          <w:p w14:paraId="10905CA5" w14:textId="77777777" w:rsidR="00074551" w:rsidRDefault="00074551" w:rsidP="00367133">
            <w:pPr>
              <w:jc w:val="both"/>
              <w:rPr>
                <w:sz w:val="20"/>
                <w:szCs w:val="20"/>
              </w:rPr>
            </w:pPr>
          </w:p>
          <w:p w14:paraId="0D3EE363"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erklärte als Maßstab für die Verfassungsmäßigkeit eines Gesetzes </w:t>
            </w:r>
            <w:r>
              <w:rPr>
                <w:sz w:val="20"/>
                <w:szCs w:val="20"/>
              </w:rPr>
              <w:t>u.a.</w:t>
            </w:r>
            <w:r w:rsidRPr="00BE3728">
              <w:rPr>
                <w:sz w:val="20"/>
                <w:szCs w:val="20"/>
              </w:rPr>
              <w:t>, inwieweit ein Gesetz das Glück einer Familie beeinträchtige („</w:t>
            </w:r>
            <w:proofErr w:type="spellStart"/>
            <w:r w:rsidRPr="00BE3728">
              <w:rPr>
                <w:sz w:val="20"/>
                <w:szCs w:val="20"/>
              </w:rPr>
              <w:t>tendency</w:t>
            </w:r>
            <w:proofErr w:type="spellEnd"/>
            <w:r w:rsidRPr="00BE3728">
              <w:rPr>
                <w:sz w:val="20"/>
                <w:szCs w:val="20"/>
              </w:rPr>
              <w:t xml:space="preserve"> to impair the </w:t>
            </w:r>
            <w:proofErr w:type="spellStart"/>
            <w:r w:rsidRPr="00BE3728">
              <w:rPr>
                <w:sz w:val="20"/>
                <w:szCs w:val="20"/>
              </w:rPr>
              <w:t>happiness</w:t>
            </w:r>
            <w:proofErr w:type="spellEnd"/>
            <w:r w:rsidRPr="00BE3728">
              <w:rPr>
                <w:sz w:val="20"/>
                <w:szCs w:val="20"/>
              </w:rPr>
              <w:t xml:space="preserve"> of the </w:t>
            </w:r>
            <w:proofErr w:type="spellStart"/>
            <w:r w:rsidRPr="00BE3728">
              <w:rPr>
                <w:sz w:val="20"/>
                <w:szCs w:val="20"/>
              </w:rPr>
              <w:t>family</w:t>
            </w:r>
            <w:proofErr w:type="spellEnd"/>
            <w:r w:rsidRPr="00BE3728">
              <w:rPr>
                <w:sz w:val="20"/>
                <w:szCs w:val="20"/>
              </w:rPr>
              <w:t>“</w:t>
            </w:r>
            <w:r w:rsidRPr="00BE3728">
              <w:rPr>
                <w:rStyle w:val="Funotenzeichen"/>
                <w:sz w:val="20"/>
                <w:szCs w:val="20"/>
              </w:rPr>
              <w:footnoteReference w:id="992"/>
            </w:r>
            <w:r w:rsidRPr="00BE3728">
              <w:rPr>
                <w:sz w:val="20"/>
                <w:szCs w:val="20"/>
              </w:rPr>
              <w:t>). Das war hier nicht der Fall. Das Gesetz wahre vielmehr die Verhältnismäßigkeit. Denn wenn eine Ehefrau die Schulden ihres Ehemanns bezahle, habe die Allgemeinheit kein Interesse daran, dass sie dies nicht tue.</w:t>
            </w:r>
            <w:r w:rsidRPr="00BE3728">
              <w:rPr>
                <w:rStyle w:val="Funotenzeichen"/>
                <w:sz w:val="20"/>
                <w:szCs w:val="20"/>
              </w:rPr>
              <w:footnoteReference w:id="993"/>
            </w:r>
            <w:r w:rsidRPr="00BE3728">
              <w:rPr>
                <w:sz w:val="20"/>
                <w:szCs w:val="20"/>
              </w:rPr>
              <w:t xml:space="preserve"> Die Zahlung dürfe nur nicht schutzlos geschehen. Geschützt sei die Ehefrau dadurch, dass sie nach dem streitgegenständlichen Gesetz ihr Vermögen weder mit einem Bürgschaftsvertrag noch mit Schulden für den Ehemann binden könne. Zum Beispiel könne eine Ehefrau nicht ihr ganzes Vermögen übertragen</w:t>
            </w:r>
            <w:r>
              <w:rPr>
                <w:sz w:val="20"/>
                <w:szCs w:val="20"/>
              </w:rPr>
              <w:t>,</w:t>
            </w:r>
            <w:r w:rsidRPr="00BE3728">
              <w:rPr>
                <w:sz w:val="20"/>
                <w:szCs w:val="20"/>
              </w:rPr>
              <w:t xml:space="preserve"> um Schulden ihres Ehemanns zu begleichen, dies sei nichtig.</w:t>
            </w:r>
            <w:r w:rsidRPr="00BE3728">
              <w:rPr>
                <w:rStyle w:val="Funotenzeichen"/>
                <w:sz w:val="20"/>
                <w:szCs w:val="20"/>
              </w:rPr>
              <w:footnoteReference w:id="994"/>
            </w:r>
            <w:r w:rsidRPr="00BE3728">
              <w:rPr>
                <w:sz w:val="20"/>
                <w:szCs w:val="20"/>
              </w:rPr>
              <w:t xml:space="preserve"> Aber wenn eine Ehefrau ihr Vermögen mit einer Urkunde übertrage, </w:t>
            </w:r>
            <w:r>
              <w:rPr>
                <w:sz w:val="20"/>
                <w:szCs w:val="20"/>
              </w:rPr>
              <w:t>etwa</w:t>
            </w:r>
            <w:r w:rsidRPr="00BE3728">
              <w:rPr>
                <w:sz w:val="20"/>
                <w:szCs w:val="20"/>
              </w:rPr>
              <w:t xml:space="preserve"> durch </w:t>
            </w:r>
            <w:r>
              <w:rPr>
                <w:sz w:val="20"/>
                <w:szCs w:val="20"/>
              </w:rPr>
              <w:t>Verp</w:t>
            </w:r>
            <w:r w:rsidRPr="00BE3728">
              <w:rPr>
                <w:sz w:val="20"/>
                <w:szCs w:val="20"/>
              </w:rPr>
              <w:t>fändung, dann hindere das Gesetz die Ehefrau nicht daran, dieses Vermögen zu übertragen. Das Gesetz schützt also auf der einen Seite Frauen davor, übereilt ihr Vermögen zu übertragen, auf der anderen Seite wahrt es den gegenseitigen finanziellen Einsatz, ausgedrückt im Glück der Familie.</w:t>
            </w:r>
            <w:r w:rsidRPr="00BE3728">
              <w:rPr>
                <w:rStyle w:val="Funotenzeichen"/>
                <w:sz w:val="20"/>
                <w:szCs w:val="20"/>
              </w:rPr>
              <w:footnoteReference w:id="995"/>
            </w:r>
          </w:p>
          <w:p w14:paraId="40A5FE58" w14:textId="77777777" w:rsidR="00074551" w:rsidRPr="00E50B51" w:rsidRDefault="00074551" w:rsidP="00367133">
            <w:pPr>
              <w:jc w:val="both"/>
              <w:rPr>
                <w:sz w:val="20"/>
                <w:szCs w:val="20"/>
              </w:rPr>
            </w:pPr>
          </w:p>
        </w:tc>
      </w:tr>
      <w:tr w:rsidR="00074551" w:rsidRPr="00E50B51" w14:paraId="6A74AE84" w14:textId="77777777" w:rsidTr="0089283E">
        <w:trPr>
          <w:cantSplit/>
          <w:trHeight w:val="3175"/>
        </w:trPr>
        <w:tc>
          <w:tcPr>
            <w:tcW w:w="293" w:type="pct"/>
            <w:shd w:val="clear" w:color="auto" w:fill="E7E6E6" w:themeFill="background2"/>
          </w:tcPr>
          <w:p w14:paraId="2019BDA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168DC022"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5710939E"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31FC083D" w14:textId="77777777" w:rsidR="00074551" w:rsidRPr="00E50B51" w:rsidRDefault="00074551" w:rsidP="00367133">
            <w:pPr>
              <w:ind w:left="113" w:right="113"/>
              <w:jc w:val="both"/>
              <w:rPr>
                <w:sz w:val="20"/>
                <w:szCs w:val="20"/>
              </w:rPr>
            </w:pPr>
            <w:proofErr w:type="spellStart"/>
            <w:r w:rsidRPr="00BE3728">
              <w:rPr>
                <w:sz w:val="20"/>
                <w:szCs w:val="20"/>
              </w:rPr>
              <w:t>Ma</w:t>
            </w:r>
            <w:r>
              <w:rPr>
                <w:sz w:val="20"/>
                <w:szCs w:val="20"/>
              </w:rPr>
              <w:t>rit</w:t>
            </w:r>
            <w:r w:rsidRPr="00BE3728">
              <w:rPr>
                <w:sz w:val="20"/>
                <w:szCs w:val="20"/>
              </w:rPr>
              <w:t>al</w:t>
            </w:r>
            <w:proofErr w:type="spellEnd"/>
            <w:r w:rsidRPr="00BE3728">
              <w:rPr>
                <w:sz w:val="20"/>
                <w:szCs w:val="20"/>
              </w:rPr>
              <w:t xml:space="preserve"> Agreements</w:t>
            </w:r>
          </w:p>
        </w:tc>
        <w:tc>
          <w:tcPr>
            <w:tcW w:w="401" w:type="pct"/>
            <w:shd w:val="clear" w:color="auto" w:fill="E7E6E6" w:themeFill="background2"/>
            <w:textDirection w:val="tbRl"/>
          </w:tcPr>
          <w:p w14:paraId="2CD4DEF5" w14:textId="77777777" w:rsidR="00074551" w:rsidRDefault="00074551" w:rsidP="00367133">
            <w:pPr>
              <w:ind w:left="113" w:right="113"/>
              <w:rPr>
                <w:sz w:val="20"/>
                <w:szCs w:val="20"/>
                <w:lang w:val="en-US"/>
              </w:rPr>
            </w:pPr>
          </w:p>
          <w:p w14:paraId="7D7A2BD3" w14:textId="77777777" w:rsidR="00074551" w:rsidRPr="00E50B51" w:rsidRDefault="00074551" w:rsidP="00367133">
            <w:pPr>
              <w:ind w:left="113" w:right="113"/>
              <w:rPr>
                <w:sz w:val="20"/>
                <w:szCs w:val="20"/>
                <w:lang w:val="en-US"/>
              </w:rPr>
            </w:pPr>
            <w:r w:rsidRPr="00BE3728">
              <w:rPr>
                <w:sz w:val="20"/>
                <w:szCs w:val="20"/>
                <w:lang w:val="en-US"/>
              </w:rPr>
              <w:t>Antenuptial &amp; Premarital Agreements</w:t>
            </w:r>
          </w:p>
        </w:tc>
        <w:tc>
          <w:tcPr>
            <w:tcW w:w="1594" w:type="pct"/>
            <w:shd w:val="clear" w:color="auto" w:fill="E7E6E6" w:themeFill="background2"/>
            <w:vAlign w:val="center"/>
          </w:tcPr>
          <w:p w14:paraId="52F04127" w14:textId="77777777" w:rsidR="00074551" w:rsidRDefault="00074551" w:rsidP="00367133">
            <w:pPr>
              <w:jc w:val="both"/>
              <w:rPr>
                <w:sz w:val="20"/>
                <w:szCs w:val="20"/>
              </w:rPr>
            </w:pPr>
          </w:p>
          <w:p w14:paraId="6600469D" w14:textId="77777777" w:rsidR="00074551" w:rsidRDefault="00074551" w:rsidP="00367133">
            <w:pPr>
              <w:jc w:val="both"/>
              <w:rPr>
                <w:sz w:val="20"/>
                <w:szCs w:val="20"/>
              </w:rPr>
            </w:pPr>
          </w:p>
          <w:p w14:paraId="33A1DFE2" w14:textId="77777777" w:rsidR="00074551" w:rsidRDefault="00074551" w:rsidP="00367133">
            <w:pPr>
              <w:jc w:val="both"/>
              <w:rPr>
                <w:sz w:val="20"/>
                <w:szCs w:val="20"/>
              </w:rPr>
            </w:pPr>
          </w:p>
          <w:p w14:paraId="6416BBB0" w14:textId="77777777" w:rsidR="00074551" w:rsidRDefault="00074551" w:rsidP="00367133">
            <w:pPr>
              <w:jc w:val="both"/>
              <w:rPr>
                <w:sz w:val="20"/>
                <w:szCs w:val="20"/>
              </w:rPr>
            </w:pPr>
          </w:p>
          <w:p w14:paraId="5D2E585B" w14:textId="77777777" w:rsidR="00074551" w:rsidRPr="00E50B51" w:rsidRDefault="00074551" w:rsidP="00367133">
            <w:pPr>
              <w:jc w:val="both"/>
              <w:rPr>
                <w:sz w:val="20"/>
                <w:szCs w:val="20"/>
              </w:rPr>
            </w:pPr>
          </w:p>
        </w:tc>
        <w:tc>
          <w:tcPr>
            <w:tcW w:w="1822" w:type="pct"/>
            <w:shd w:val="clear" w:color="auto" w:fill="E7E6E6" w:themeFill="background2"/>
          </w:tcPr>
          <w:p w14:paraId="56007426" w14:textId="670D4098"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2E288150" w14:textId="77777777" w:rsidTr="00BE689F">
        <w:trPr>
          <w:cantSplit/>
          <w:trHeight w:val="3175"/>
        </w:trPr>
        <w:tc>
          <w:tcPr>
            <w:tcW w:w="293" w:type="pct"/>
          </w:tcPr>
          <w:p w14:paraId="1958008E"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601A1210" w14:textId="77777777" w:rsidR="00074551" w:rsidRPr="00BE3728" w:rsidRDefault="00074551" w:rsidP="00367133">
            <w:pPr>
              <w:ind w:left="113" w:right="113"/>
              <w:jc w:val="both"/>
              <w:rPr>
                <w:sz w:val="20"/>
                <w:szCs w:val="20"/>
              </w:rPr>
            </w:pPr>
            <w:r w:rsidRPr="009E57E1">
              <w:rPr>
                <w:i/>
                <w:sz w:val="20"/>
                <w:szCs w:val="20"/>
              </w:rPr>
              <w:t>Prewit v. Wilson</w:t>
            </w:r>
          </w:p>
          <w:p w14:paraId="6333DEC8" w14:textId="77777777" w:rsidR="00074551" w:rsidRPr="00E50B51" w:rsidRDefault="00074551" w:rsidP="00367133">
            <w:pPr>
              <w:ind w:left="113" w:right="416"/>
              <w:jc w:val="both"/>
              <w:rPr>
                <w:sz w:val="20"/>
                <w:szCs w:val="20"/>
              </w:rPr>
            </w:pPr>
          </w:p>
        </w:tc>
        <w:tc>
          <w:tcPr>
            <w:tcW w:w="197" w:type="pct"/>
            <w:textDirection w:val="tbRl"/>
            <w:vAlign w:val="center"/>
          </w:tcPr>
          <w:p w14:paraId="57F678DE" w14:textId="77777777" w:rsidR="00074551" w:rsidRPr="00E50B51" w:rsidRDefault="00074551" w:rsidP="00367133">
            <w:pPr>
              <w:ind w:left="113" w:right="113"/>
              <w:jc w:val="both"/>
              <w:rPr>
                <w:sz w:val="20"/>
                <w:szCs w:val="20"/>
                <w:lang w:val="en-US"/>
              </w:rPr>
            </w:pPr>
            <w:r w:rsidRPr="00BE3728">
              <w:rPr>
                <w:sz w:val="20"/>
                <w:szCs w:val="20"/>
              </w:rPr>
              <w:t>103 U.S. 22</w:t>
            </w:r>
          </w:p>
        </w:tc>
        <w:tc>
          <w:tcPr>
            <w:tcW w:w="306" w:type="pct"/>
            <w:textDirection w:val="tbRl"/>
            <w:vAlign w:val="center"/>
          </w:tcPr>
          <w:p w14:paraId="2587D12A" w14:textId="77777777" w:rsidR="00074551" w:rsidRPr="00E50B51" w:rsidRDefault="00074551" w:rsidP="00367133">
            <w:pPr>
              <w:ind w:left="113" w:right="113"/>
              <w:jc w:val="both"/>
              <w:rPr>
                <w:sz w:val="20"/>
                <w:szCs w:val="20"/>
              </w:rPr>
            </w:pPr>
            <w:r w:rsidRPr="00BE3728">
              <w:rPr>
                <w:sz w:val="20"/>
                <w:szCs w:val="20"/>
              </w:rPr>
              <w:t>01. Oktober 1880</w:t>
            </w:r>
          </w:p>
        </w:tc>
        <w:tc>
          <w:tcPr>
            <w:tcW w:w="401" w:type="pct"/>
          </w:tcPr>
          <w:p w14:paraId="666FFD0A"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4A3C06FA"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entschied zugunsten einer Ehefrau und hob ein Urteil auf, das zuvor gegen sie ergangen war. Der Kläger</w:t>
            </w:r>
            <w:r>
              <w:rPr>
                <w:sz w:val="20"/>
                <w:szCs w:val="20"/>
              </w:rPr>
              <w:t>, der Gläubiger ihres Ehemannes in dessen Konkursverfahren,</w:t>
            </w:r>
            <w:r w:rsidRPr="00BE3728">
              <w:rPr>
                <w:sz w:val="20"/>
                <w:szCs w:val="20"/>
              </w:rPr>
              <w:t xml:space="preserve"> wollte eine vor der Hochzeit erfolgte Vermögensübertragung rückgängig machen. Der Grund: Betrugsverdacht. Der künftige Ehemann war bereits Schuldner, hatte aber seiner zukünftigen Frau einen großen Teil seines Vermögens versprochen, um sie zur Heirat zu bewegen. Nach der Heirat meldete er Konkurs an. Der </w:t>
            </w:r>
            <w:r>
              <w:rPr>
                <w:sz w:val="20"/>
                <w:szCs w:val="20"/>
              </w:rPr>
              <w:t xml:space="preserve">Gläubiger als </w:t>
            </w:r>
            <w:r w:rsidRPr="00BE3728">
              <w:rPr>
                <w:sz w:val="20"/>
                <w:szCs w:val="20"/>
              </w:rPr>
              <w:t xml:space="preserve">Kläger versuchte daraufhin, die Übertragung wegen Betrugs anzufechten. Die Vorinstanz stimmte ihm zu. Der </w:t>
            </w:r>
            <w:r>
              <w:rPr>
                <w:sz w:val="20"/>
                <w:szCs w:val="20"/>
              </w:rPr>
              <w:t>U.S. Supreme Court</w:t>
            </w:r>
            <w:r w:rsidRPr="00BE3728">
              <w:rPr>
                <w:sz w:val="20"/>
                <w:szCs w:val="20"/>
              </w:rPr>
              <w:t xml:space="preserve"> sah es anders: Die Heirat war eine angemessene Gegenleistung für das Vermögen, und die Frau wusste nichts von einem Betrug. Eine Anfechtung der Vereinbarung wäre nur möglich gewesen, hätte der Kläger beweisen können, dass beide Eheleute von dem Betrug wussten. Dafür gab es aber keine Beweise.</w:t>
            </w:r>
            <w:r w:rsidRPr="00BE3728">
              <w:rPr>
                <w:rStyle w:val="Funotenzeichen"/>
                <w:sz w:val="20"/>
                <w:szCs w:val="20"/>
              </w:rPr>
              <w:footnoteReference w:id="996"/>
            </w:r>
          </w:p>
          <w:p w14:paraId="714B5F17" w14:textId="77777777" w:rsidR="0056095C" w:rsidRPr="00E50B51" w:rsidRDefault="0056095C" w:rsidP="00367133">
            <w:pPr>
              <w:jc w:val="both"/>
              <w:rPr>
                <w:sz w:val="20"/>
                <w:szCs w:val="20"/>
              </w:rPr>
            </w:pPr>
          </w:p>
        </w:tc>
        <w:tc>
          <w:tcPr>
            <w:tcW w:w="1822" w:type="pct"/>
          </w:tcPr>
          <w:p w14:paraId="738BFC39"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Family Law › Marital Agreements › Antenuptial &amp; Premarital Agreements › General Overview</w:t>
            </w:r>
          </w:p>
          <w:p w14:paraId="5C58151C" w14:textId="77777777" w:rsidR="00074551" w:rsidRPr="00BE3728" w:rsidRDefault="00074551" w:rsidP="00367133">
            <w:pPr>
              <w:jc w:val="both"/>
              <w:rPr>
                <w:sz w:val="20"/>
                <w:szCs w:val="20"/>
                <w:lang w:val="en-US"/>
              </w:rPr>
            </w:pPr>
          </w:p>
          <w:p w14:paraId="3A2EBD7F" w14:textId="77777777" w:rsidR="00074551" w:rsidRPr="00E50B51" w:rsidRDefault="00074551" w:rsidP="00367133">
            <w:pPr>
              <w:jc w:val="both"/>
              <w:rPr>
                <w:sz w:val="20"/>
                <w:szCs w:val="20"/>
              </w:rPr>
            </w:pPr>
            <w:r w:rsidRPr="00BE3728">
              <w:rPr>
                <w:sz w:val="20"/>
                <w:szCs w:val="20"/>
              </w:rPr>
              <w:t>Glück ist Teil der Ehedefinition. Die Definition laute: Die Ehe enthält verschiedene Vergemeinschaftungen wie bei</w:t>
            </w:r>
            <w:r>
              <w:rPr>
                <w:sz w:val="20"/>
                <w:szCs w:val="20"/>
              </w:rPr>
              <w:t>m</w:t>
            </w:r>
            <w:r w:rsidRPr="00BE3728">
              <w:rPr>
                <w:sz w:val="20"/>
                <w:szCs w:val="20"/>
              </w:rPr>
              <w:t xml:space="preserve"> Vermögen, aber </w:t>
            </w:r>
            <w:r>
              <w:rPr>
                <w:sz w:val="20"/>
                <w:szCs w:val="20"/>
              </w:rPr>
              <w:t>sie</w:t>
            </w:r>
            <w:r w:rsidRPr="00BE3728">
              <w:rPr>
                <w:sz w:val="20"/>
                <w:szCs w:val="20"/>
              </w:rPr>
              <w:t xml:space="preserve"> bilde</w:t>
            </w:r>
            <w:r>
              <w:rPr>
                <w:sz w:val="20"/>
                <w:szCs w:val="20"/>
              </w:rPr>
              <w:t>t</w:t>
            </w:r>
            <w:r w:rsidRPr="00BE3728">
              <w:rPr>
                <w:sz w:val="20"/>
                <w:szCs w:val="20"/>
              </w:rPr>
              <w:t xml:space="preserve"> auch die Grundlage für das Glück oder Unglück der Eheleute und die Lebensgrundlage der ungeborenen Kinder</w:t>
            </w:r>
            <w:r>
              <w:rPr>
                <w:sz w:val="20"/>
                <w:szCs w:val="20"/>
              </w:rPr>
              <w:t>. D</w:t>
            </w:r>
            <w:r w:rsidRPr="00BE3728">
              <w:rPr>
                <w:sz w:val="20"/>
                <w:szCs w:val="20"/>
              </w:rPr>
              <w:t xml:space="preserve">ie Ehe schaffe Ordnungsstrukturen für den Staat und </w:t>
            </w:r>
            <w:r>
              <w:rPr>
                <w:sz w:val="20"/>
                <w:szCs w:val="20"/>
              </w:rPr>
              <w:t>sei</w:t>
            </w:r>
            <w:r w:rsidRPr="00BE3728">
              <w:rPr>
                <w:sz w:val="20"/>
                <w:szCs w:val="20"/>
              </w:rPr>
              <w:t xml:space="preserve"> ein Lebensbereich, den man nicht erkaufen </w:t>
            </w:r>
            <w:r>
              <w:rPr>
                <w:sz w:val="20"/>
                <w:szCs w:val="20"/>
              </w:rPr>
              <w:t>könne</w:t>
            </w:r>
            <w:r w:rsidRPr="00BE3728">
              <w:rPr>
                <w:sz w:val="20"/>
                <w:szCs w:val="20"/>
              </w:rPr>
              <w:t>; er schaff</w:t>
            </w:r>
            <w:r>
              <w:rPr>
                <w:sz w:val="20"/>
                <w:szCs w:val="20"/>
              </w:rPr>
              <w:t>e</w:t>
            </w:r>
            <w:r w:rsidRPr="00BE3728">
              <w:rPr>
                <w:sz w:val="20"/>
                <w:szCs w:val="20"/>
              </w:rPr>
              <w:t xml:space="preserve"> damit Glück in einem Ausmaß, das man weder schätzen noch ausdrücken kann. Hier vereinbar</w:t>
            </w:r>
            <w:r>
              <w:rPr>
                <w:sz w:val="20"/>
                <w:szCs w:val="20"/>
              </w:rPr>
              <w:t>t</w:t>
            </w:r>
            <w:r w:rsidRPr="00BE3728">
              <w:rPr>
                <w:sz w:val="20"/>
                <w:szCs w:val="20"/>
              </w:rPr>
              <w:t xml:space="preserve">en die künftigen Eheleute, ein voreheliches Vermögen zu übertragen. Diese Übertragung </w:t>
            </w:r>
            <w:r>
              <w:rPr>
                <w:sz w:val="20"/>
                <w:szCs w:val="20"/>
              </w:rPr>
              <w:t>fand</w:t>
            </w:r>
            <w:r w:rsidRPr="00BE3728">
              <w:rPr>
                <w:sz w:val="20"/>
                <w:szCs w:val="20"/>
              </w:rPr>
              <w:t xml:space="preserve"> unmittelbar vor der Eheschließung statt, weshalb Vergemeinschaftung von Vermögen </w:t>
            </w:r>
            <w:proofErr w:type="spellStart"/>
            <w:r w:rsidRPr="00BE3728">
              <w:rPr>
                <w:sz w:val="20"/>
                <w:szCs w:val="20"/>
              </w:rPr>
              <w:t>vorwirkt</w:t>
            </w:r>
            <w:proofErr w:type="spellEnd"/>
            <w:r w:rsidRPr="00BE3728">
              <w:rPr>
                <w:sz w:val="20"/>
                <w:szCs w:val="20"/>
              </w:rPr>
              <w:t xml:space="preserve">, solange sie nicht beidseits </w:t>
            </w:r>
            <w:r>
              <w:rPr>
                <w:sz w:val="20"/>
                <w:szCs w:val="20"/>
              </w:rPr>
              <w:t xml:space="preserve">in </w:t>
            </w:r>
            <w:r w:rsidRPr="00BE3728">
              <w:rPr>
                <w:sz w:val="20"/>
                <w:szCs w:val="20"/>
              </w:rPr>
              <w:t>betrügerischer Absicht</w:t>
            </w:r>
            <w:r>
              <w:rPr>
                <w:sz w:val="20"/>
                <w:szCs w:val="20"/>
              </w:rPr>
              <w:t xml:space="preserve"> geschieht</w:t>
            </w:r>
            <w:r w:rsidRPr="00BE3728">
              <w:rPr>
                <w:sz w:val="20"/>
                <w:szCs w:val="20"/>
              </w:rPr>
              <w:t>.</w:t>
            </w:r>
            <w:r w:rsidRPr="00BE3728">
              <w:rPr>
                <w:rStyle w:val="Funotenzeichen"/>
                <w:sz w:val="20"/>
                <w:szCs w:val="20"/>
              </w:rPr>
              <w:footnoteReference w:id="997"/>
            </w:r>
          </w:p>
        </w:tc>
      </w:tr>
      <w:tr w:rsidR="00074551" w:rsidRPr="00E50B51" w14:paraId="2605FAC8" w14:textId="77777777" w:rsidTr="0089283E">
        <w:trPr>
          <w:cantSplit/>
          <w:trHeight w:val="3175"/>
        </w:trPr>
        <w:tc>
          <w:tcPr>
            <w:tcW w:w="293" w:type="pct"/>
            <w:shd w:val="clear" w:color="auto" w:fill="E7E6E6" w:themeFill="background2"/>
          </w:tcPr>
          <w:p w14:paraId="62F59B2C" w14:textId="77777777" w:rsidR="00074551" w:rsidRPr="00E50B51" w:rsidRDefault="00074551" w:rsidP="00367133">
            <w:pPr>
              <w:ind w:right="416"/>
              <w:jc w:val="center"/>
              <w:rPr>
                <w:sz w:val="20"/>
                <w:szCs w:val="20"/>
              </w:rPr>
            </w:pPr>
            <w:r w:rsidRPr="00BE3728">
              <w:rPr>
                <w:sz w:val="20"/>
                <w:szCs w:val="20"/>
              </w:rPr>
              <w:t>H</w:t>
            </w:r>
          </w:p>
        </w:tc>
        <w:tc>
          <w:tcPr>
            <w:tcW w:w="387" w:type="pct"/>
            <w:shd w:val="clear" w:color="auto" w:fill="E7E6E6" w:themeFill="background2"/>
            <w:textDirection w:val="tbRl"/>
            <w:vAlign w:val="center"/>
          </w:tcPr>
          <w:p w14:paraId="034EE145" w14:textId="77777777" w:rsidR="00074551" w:rsidRPr="00E50B51" w:rsidRDefault="00074551" w:rsidP="00367133">
            <w:pPr>
              <w:ind w:left="113" w:right="416"/>
              <w:jc w:val="both"/>
              <w:rPr>
                <w:sz w:val="20"/>
                <w:szCs w:val="20"/>
              </w:rPr>
            </w:pPr>
            <w:r w:rsidRPr="00BE3728">
              <w:rPr>
                <w:sz w:val="20"/>
                <w:szCs w:val="20"/>
              </w:rPr>
              <w:t>Naturrechtlich-freiheitliche Seite</w:t>
            </w:r>
          </w:p>
        </w:tc>
        <w:tc>
          <w:tcPr>
            <w:tcW w:w="197" w:type="pct"/>
            <w:shd w:val="clear" w:color="auto" w:fill="E7E6E6" w:themeFill="background2"/>
            <w:textDirection w:val="tbRl"/>
            <w:vAlign w:val="center"/>
          </w:tcPr>
          <w:p w14:paraId="0424D854" w14:textId="77777777" w:rsidR="00074551" w:rsidRPr="00E50B51" w:rsidRDefault="00074551" w:rsidP="00367133">
            <w:pPr>
              <w:ind w:left="113" w:right="113"/>
              <w:jc w:val="both"/>
              <w:rPr>
                <w:sz w:val="20"/>
                <w:szCs w:val="20"/>
                <w:lang w:val="en-US"/>
              </w:rPr>
            </w:pPr>
            <w:r w:rsidRPr="00BE3728">
              <w:rPr>
                <w:sz w:val="20"/>
                <w:szCs w:val="20"/>
              </w:rPr>
              <w:t>Family Law</w:t>
            </w:r>
          </w:p>
        </w:tc>
        <w:tc>
          <w:tcPr>
            <w:tcW w:w="306" w:type="pct"/>
            <w:shd w:val="clear" w:color="auto" w:fill="E7E6E6" w:themeFill="background2"/>
            <w:textDirection w:val="tbRl"/>
            <w:vAlign w:val="center"/>
          </w:tcPr>
          <w:p w14:paraId="148BD434" w14:textId="77777777" w:rsidR="00074551" w:rsidRPr="00E50B51" w:rsidRDefault="00074551" w:rsidP="00367133">
            <w:pPr>
              <w:ind w:left="113" w:right="113"/>
              <w:jc w:val="both"/>
              <w:rPr>
                <w:sz w:val="20"/>
                <w:szCs w:val="20"/>
              </w:rPr>
            </w:pPr>
            <w:proofErr w:type="spellStart"/>
            <w:r w:rsidRPr="00BE3728">
              <w:rPr>
                <w:sz w:val="20"/>
                <w:szCs w:val="20"/>
              </w:rPr>
              <w:t>Infants</w:t>
            </w:r>
            <w:proofErr w:type="spellEnd"/>
          </w:p>
        </w:tc>
        <w:tc>
          <w:tcPr>
            <w:tcW w:w="401" w:type="pct"/>
            <w:shd w:val="clear" w:color="auto" w:fill="E7E6E6" w:themeFill="background2"/>
            <w:textDirection w:val="tbRl"/>
          </w:tcPr>
          <w:p w14:paraId="53589684" w14:textId="77777777" w:rsidR="00074551" w:rsidRDefault="00074551" w:rsidP="00367133">
            <w:pPr>
              <w:ind w:left="113" w:right="113"/>
              <w:rPr>
                <w:sz w:val="20"/>
                <w:szCs w:val="20"/>
                <w:lang w:val="en-US"/>
              </w:rPr>
            </w:pPr>
          </w:p>
          <w:p w14:paraId="0893310C" w14:textId="77777777" w:rsidR="00074551" w:rsidRPr="00E50B51" w:rsidRDefault="00074551" w:rsidP="00367133">
            <w:pPr>
              <w:ind w:left="113" w:right="113"/>
              <w:rPr>
                <w:sz w:val="20"/>
                <w:szCs w:val="20"/>
                <w:lang w:val="en-US"/>
              </w:rPr>
            </w:pPr>
            <w:r>
              <w:rPr>
                <w:sz w:val="20"/>
                <w:szCs w:val="20"/>
                <w:lang w:val="en-US"/>
              </w:rPr>
              <w:t>C</w:t>
            </w:r>
            <w:r w:rsidRPr="00BE3728">
              <w:rPr>
                <w:sz w:val="20"/>
                <w:szCs w:val="20"/>
                <w:lang w:val="en-US"/>
              </w:rPr>
              <w:t xml:space="preserve">ustody of </w:t>
            </w:r>
            <w:r>
              <w:rPr>
                <w:sz w:val="20"/>
                <w:szCs w:val="20"/>
                <w:lang w:val="en-US"/>
              </w:rPr>
              <w:t>C</w:t>
            </w:r>
            <w:r w:rsidRPr="00BE3728">
              <w:rPr>
                <w:sz w:val="20"/>
                <w:szCs w:val="20"/>
                <w:lang w:val="en-US"/>
              </w:rPr>
              <w:t>hildren</w:t>
            </w:r>
          </w:p>
        </w:tc>
        <w:tc>
          <w:tcPr>
            <w:tcW w:w="1594" w:type="pct"/>
            <w:shd w:val="clear" w:color="auto" w:fill="E7E6E6" w:themeFill="background2"/>
            <w:vAlign w:val="center"/>
          </w:tcPr>
          <w:p w14:paraId="11CD5AA0" w14:textId="77777777" w:rsidR="00074551" w:rsidRPr="00E50B51" w:rsidRDefault="00074551" w:rsidP="00367133">
            <w:pPr>
              <w:jc w:val="both"/>
              <w:rPr>
                <w:sz w:val="20"/>
                <w:szCs w:val="20"/>
              </w:rPr>
            </w:pPr>
          </w:p>
        </w:tc>
        <w:tc>
          <w:tcPr>
            <w:tcW w:w="1822" w:type="pct"/>
            <w:shd w:val="clear" w:color="auto" w:fill="E7E6E6" w:themeFill="background2"/>
          </w:tcPr>
          <w:p w14:paraId="0E1A679F" w14:textId="02740122"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50B51" w14:paraId="27424356" w14:textId="77777777" w:rsidTr="00BE689F">
        <w:trPr>
          <w:cantSplit/>
          <w:trHeight w:val="3175"/>
        </w:trPr>
        <w:tc>
          <w:tcPr>
            <w:tcW w:w="293" w:type="pct"/>
          </w:tcPr>
          <w:p w14:paraId="4E72911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1C34EF4E" w14:textId="77777777" w:rsidR="00074551" w:rsidRPr="00E50B51" w:rsidRDefault="00074551" w:rsidP="00367133">
            <w:pPr>
              <w:ind w:left="113" w:right="416"/>
              <w:jc w:val="both"/>
              <w:rPr>
                <w:sz w:val="20"/>
                <w:szCs w:val="20"/>
              </w:rPr>
            </w:pPr>
            <w:r w:rsidRPr="009E57E1">
              <w:rPr>
                <w:i/>
                <w:sz w:val="20"/>
                <w:szCs w:val="20"/>
              </w:rPr>
              <w:t>Ford v. Ford</w:t>
            </w:r>
          </w:p>
        </w:tc>
        <w:tc>
          <w:tcPr>
            <w:tcW w:w="197" w:type="pct"/>
            <w:textDirection w:val="tbRl"/>
            <w:vAlign w:val="center"/>
          </w:tcPr>
          <w:p w14:paraId="35CD55E8" w14:textId="77777777" w:rsidR="00074551" w:rsidRPr="00E50B51" w:rsidRDefault="00074551" w:rsidP="00367133">
            <w:pPr>
              <w:ind w:left="113" w:right="113"/>
              <w:jc w:val="both"/>
              <w:rPr>
                <w:sz w:val="20"/>
                <w:szCs w:val="20"/>
                <w:lang w:val="en-US"/>
              </w:rPr>
            </w:pPr>
            <w:r w:rsidRPr="00BE3728">
              <w:rPr>
                <w:sz w:val="20"/>
                <w:szCs w:val="20"/>
              </w:rPr>
              <w:t>371 U.S. 187</w:t>
            </w:r>
          </w:p>
        </w:tc>
        <w:tc>
          <w:tcPr>
            <w:tcW w:w="306" w:type="pct"/>
            <w:textDirection w:val="tbRl"/>
            <w:vAlign w:val="center"/>
          </w:tcPr>
          <w:p w14:paraId="21658591" w14:textId="77777777" w:rsidR="00074551" w:rsidRPr="00E50B51" w:rsidRDefault="00074551" w:rsidP="00367133">
            <w:pPr>
              <w:ind w:left="113" w:right="113"/>
              <w:jc w:val="both"/>
              <w:rPr>
                <w:sz w:val="20"/>
                <w:szCs w:val="20"/>
              </w:rPr>
            </w:pPr>
            <w:r w:rsidRPr="00BE3728">
              <w:rPr>
                <w:sz w:val="20"/>
                <w:szCs w:val="20"/>
              </w:rPr>
              <w:t>10. Dezember 1962</w:t>
            </w:r>
          </w:p>
        </w:tc>
        <w:tc>
          <w:tcPr>
            <w:tcW w:w="401" w:type="pct"/>
          </w:tcPr>
          <w:p w14:paraId="4EC1CED0"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7C27D1CF" w14:textId="77777777" w:rsidR="00074551" w:rsidRDefault="00074551" w:rsidP="00367133">
            <w:pPr>
              <w:jc w:val="both"/>
              <w:rPr>
                <w:sz w:val="20"/>
                <w:szCs w:val="20"/>
              </w:rPr>
            </w:pPr>
            <w:r w:rsidRPr="00BE3728">
              <w:rPr>
                <w:sz w:val="20"/>
                <w:szCs w:val="20"/>
                <w:lang w:val="en-US"/>
              </w:rPr>
              <w:t xml:space="preserve">Der </w:t>
            </w:r>
            <w:r>
              <w:rPr>
                <w:sz w:val="20"/>
                <w:szCs w:val="20"/>
                <w:lang w:val="en-US"/>
              </w:rPr>
              <w:t>U.S. Supreme Court</w:t>
            </w:r>
            <w:r w:rsidRPr="00BE3728">
              <w:rPr>
                <w:sz w:val="20"/>
                <w:szCs w:val="20"/>
                <w:lang w:val="en-US"/>
              </w:rPr>
              <w:t xml:space="preserve"> </w:t>
            </w:r>
            <w:proofErr w:type="spellStart"/>
            <w:r w:rsidRPr="00BE3728">
              <w:rPr>
                <w:sz w:val="20"/>
                <w:szCs w:val="20"/>
                <w:lang w:val="en-US"/>
              </w:rPr>
              <w:t>korrigierte</w:t>
            </w:r>
            <w:proofErr w:type="spellEnd"/>
            <w:r w:rsidRPr="00BE3728">
              <w:rPr>
                <w:sz w:val="20"/>
                <w:szCs w:val="20"/>
                <w:lang w:val="en-US"/>
              </w:rPr>
              <w:t xml:space="preserve"> den </w:t>
            </w:r>
            <w:r w:rsidRPr="5B67C1D2">
              <w:rPr>
                <w:i/>
                <w:iCs/>
                <w:sz w:val="20"/>
                <w:szCs w:val="20"/>
                <w:lang w:val="en-US"/>
              </w:rPr>
              <w:t>Supreme Court of South Carolina</w:t>
            </w:r>
            <w:r w:rsidRPr="00BE3728">
              <w:rPr>
                <w:sz w:val="20"/>
                <w:szCs w:val="20"/>
                <w:lang w:val="en-US"/>
              </w:rPr>
              <w:t xml:space="preserve">. </w:t>
            </w:r>
            <w:r w:rsidRPr="00BE3728">
              <w:rPr>
                <w:sz w:val="20"/>
                <w:szCs w:val="20"/>
              </w:rPr>
              <w:t xml:space="preserve">Ursprünglich hatte ein Gericht in Virginia eine Sorgerechtsvereinbarung zwischen Vater und Mutter anerkannt, ohne das Wohl der Kinder hinreichend zu prüfen. Die Mutter ersuchte nunmehr in South Carolina eine Änderung dieser Vereinbarung und wollte volles Sorgerecht. Sie argumentierte, dass die ursprüngliche Sorgerechtsvereinbarung das Wohl der Kinder nicht berücksichtige. Der </w:t>
            </w:r>
            <w:r w:rsidRPr="5B67C1D2">
              <w:rPr>
                <w:i/>
                <w:iCs/>
                <w:sz w:val="20"/>
                <w:szCs w:val="20"/>
              </w:rPr>
              <w:t>Supreme Court of South Carolina</w:t>
            </w:r>
            <w:r w:rsidRPr="00BE3728">
              <w:rPr>
                <w:sz w:val="20"/>
                <w:szCs w:val="20"/>
              </w:rPr>
              <w:t xml:space="preserve"> meinte zunächst, das Urteil aus Virginia müsse anerkannt werden nach den </w:t>
            </w:r>
            <w:proofErr w:type="spellStart"/>
            <w:r w:rsidRPr="5B67C1D2">
              <w:rPr>
                <w:i/>
                <w:iCs/>
                <w:sz w:val="20"/>
                <w:szCs w:val="20"/>
              </w:rPr>
              <w:t>res</w:t>
            </w:r>
            <w:proofErr w:type="spellEnd"/>
            <w:r w:rsidRPr="5B67C1D2">
              <w:rPr>
                <w:i/>
                <w:iCs/>
                <w:sz w:val="20"/>
                <w:szCs w:val="20"/>
              </w:rPr>
              <w:t xml:space="preserve"> </w:t>
            </w:r>
            <w:proofErr w:type="spellStart"/>
            <w:r w:rsidRPr="5B67C1D2">
              <w:rPr>
                <w:i/>
                <w:iCs/>
                <w:sz w:val="20"/>
                <w:szCs w:val="20"/>
              </w:rPr>
              <w:t>judicata</w:t>
            </w:r>
            <w:proofErr w:type="spellEnd"/>
            <w:r w:rsidRPr="00BE3728">
              <w:rPr>
                <w:sz w:val="20"/>
                <w:szCs w:val="20"/>
              </w:rPr>
              <w:t xml:space="preserve"> und de</w:t>
            </w:r>
            <w:r>
              <w:rPr>
                <w:sz w:val="20"/>
                <w:szCs w:val="20"/>
              </w:rPr>
              <w:t xml:space="preserve">r </w:t>
            </w:r>
            <w:r w:rsidRPr="5B67C1D2">
              <w:rPr>
                <w:i/>
                <w:iCs/>
                <w:sz w:val="20"/>
                <w:szCs w:val="20"/>
              </w:rPr>
              <w:t xml:space="preserve">Full Faith and </w:t>
            </w:r>
            <w:proofErr w:type="spellStart"/>
            <w:r w:rsidRPr="5B67C1D2">
              <w:rPr>
                <w:i/>
                <w:iCs/>
                <w:sz w:val="20"/>
                <w:szCs w:val="20"/>
              </w:rPr>
              <w:t>Credit</w:t>
            </w:r>
            <w:proofErr w:type="spellEnd"/>
            <w:r w:rsidRPr="5B67C1D2">
              <w:rPr>
                <w:i/>
                <w:iCs/>
                <w:sz w:val="20"/>
                <w:szCs w:val="20"/>
              </w:rPr>
              <w:t xml:space="preserve"> </w:t>
            </w:r>
            <w:proofErr w:type="spellStart"/>
            <w:r w:rsidRPr="5B67C1D2">
              <w:rPr>
                <w:i/>
                <w:iCs/>
                <w:sz w:val="20"/>
                <w:szCs w:val="20"/>
              </w:rPr>
              <w:t>Clause</w:t>
            </w:r>
            <w:proofErr w:type="spellEnd"/>
            <w:r w:rsidRPr="00BE3728">
              <w:rPr>
                <w:sz w:val="20"/>
                <w:szCs w:val="20"/>
              </w:rPr>
              <w:t xml:space="preserve">. Der </w:t>
            </w:r>
            <w:r>
              <w:rPr>
                <w:sz w:val="20"/>
                <w:szCs w:val="20"/>
              </w:rPr>
              <w:t>U.S. Supreme Court</w:t>
            </w:r>
            <w:r w:rsidRPr="00BE3728">
              <w:rPr>
                <w:sz w:val="20"/>
                <w:szCs w:val="20"/>
              </w:rPr>
              <w:t xml:space="preserve"> sah das anders. Er entschied, dass eine Sorgerechtsvereinbarung in Virginia kein Hindernis für Gerichtsverfahren um das Sorgerecht darstelle. Und Virginia hatte nur die Sorgerechtsvereinbarung anerkannt, ohne das Kindeswohl zu bewerten. Deshalb </w:t>
            </w:r>
            <w:r>
              <w:rPr>
                <w:sz w:val="20"/>
                <w:szCs w:val="20"/>
              </w:rPr>
              <w:t>müsse</w:t>
            </w:r>
            <w:r w:rsidRPr="00BE3728">
              <w:rPr>
                <w:sz w:val="20"/>
                <w:szCs w:val="20"/>
              </w:rPr>
              <w:t xml:space="preserve"> South Carolina den Fall neu prüfen, um das Beste für die Kinder zu entscheiden.</w:t>
            </w:r>
            <w:r w:rsidRPr="00BE3728">
              <w:rPr>
                <w:rStyle w:val="Funotenzeichen"/>
                <w:sz w:val="20"/>
                <w:szCs w:val="20"/>
              </w:rPr>
              <w:footnoteReference w:id="998"/>
            </w:r>
          </w:p>
          <w:p w14:paraId="1EA8E0A5" w14:textId="77777777" w:rsidR="00074551" w:rsidRPr="00E50B51" w:rsidRDefault="00074551" w:rsidP="00367133">
            <w:pPr>
              <w:jc w:val="both"/>
              <w:rPr>
                <w:sz w:val="20"/>
                <w:szCs w:val="20"/>
              </w:rPr>
            </w:pPr>
          </w:p>
        </w:tc>
        <w:tc>
          <w:tcPr>
            <w:tcW w:w="1822" w:type="pct"/>
          </w:tcPr>
          <w:p w14:paraId="4FBEE9BD"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Infants §</w:t>
            </w:r>
            <w:r>
              <w:rPr>
                <w:i/>
                <w:sz w:val="20"/>
                <w:szCs w:val="20"/>
                <w:lang w:val="en-US"/>
              </w:rPr>
              <w:t> </w:t>
            </w:r>
            <w:r w:rsidRPr="00B45592">
              <w:rPr>
                <w:i/>
                <w:sz w:val="20"/>
                <w:szCs w:val="20"/>
                <w:lang w:val="en-US"/>
              </w:rPr>
              <w:t>1 › Custody of Children › Parents’ Agreement as Not Binding</w:t>
            </w:r>
          </w:p>
          <w:p w14:paraId="6A19E2A8" w14:textId="77777777" w:rsidR="00074551" w:rsidRPr="00BE3728" w:rsidRDefault="00074551" w:rsidP="00367133">
            <w:pPr>
              <w:jc w:val="both"/>
              <w:rPr>
                <w:sz w:val="20"/>
                <w:szCs w:val="20"/>
                <w:lang w:val="en-US"/>
              </w:rPr>
            </w:pPr>
          </w:p>
          <w:p w14:paraId="7E192F8E" w14:textId="77777777" w:rsidR="00074551" w:rsidRPr="0043130B" w:rsidRDefault="00074551" w:rsidP="00367133">
            <w:pPr>
              <w:jc w:val="both"/>
              <w:rPr>
                <w:sz w:val="20"/>
                <w:szCs w:val="20"/>
              </w:rPr>
            </w:pPr>
            <w:r w:rsidRPr="00BE3728">
              <w:rPr>
                <w:sz w:val="20"/>
                <w:szCs w:val="20"/>
              </w:rPr>
              <w:t xml:space="preserve">Im Fall wird die persönliche Seite des Glücks in Form des Kindesglücks wie folgt beschrieben: Das Sorgerecht ist für das Glück und das Wohlergehen eines Kindes zentral („vital to a </w:t>
            </w:r>
            <w:proofErr w:type="spellStart"/>
            <w:r w:rsidRPr="00BE3728">
              <w:rPr>
                <w:sz w:val="20"/>
                <w:szCs w:val="20"/>
              </w:rPr>
              <w:t>child</w:t>
            </w:r>
            <w:r>
              <w:rPr>
                <w:sz w:val="20"/>
                <w:szCs w:val="20"/>
              </w:rPr>
              <w:t>’</w:t>
            </w:r>
            <w:r w:rsidRPr="00BE3728">
              <w:rPr>
                <w:sz w:val="20"/>
                <w:szCs w:val="20"/>
              </w:rPr>
              <w:t>s</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well-</w:t>
            </w:r>
            <w:proofErr w:type="spellStart"/>
            <w:r w:rsidRPr="00BE3728">
              <w:rPr>
                <w:sz w:val="20"/>
                <w:szCs w:val="20"/>
              </w:rPr>
              <w:t>being</w:t>
            </w:r>
            <w:proofErr w:type="spellEnd"/>
            <w:r w:rsidRPr="00BE3728">
              <w:rPr>
                <w:sz w:val="20"/>
                <w:szCs w:val="20"/>
              </w:rPr>
              <w:t>“</w:t>
            </w:r>
            <w:r w:rsidRPr="00BE3728">
              <w:rPr>
                <w:rStyle w:val="Funotenzeichen"/>
                <w:sz w:val="20"/>
                <w:szCs w:val="20"/>
              </w:rPr>
              <w:footnoteReference w:id="999"/>
            </w:r>
            <w:r w:rsidRPr="00BE3728">
              <w:rPr>
                <w:sz w:val="20"/>
                <w:szCs w:val="20"/>
              </w:rPr>
              <w:t xml:space="preserve">). Diese Frage könne daher im Konfliktfall nicht allein dem Ermessen der Eltern überlassen werden („The </w:t>
            </w:r>
            <w:proofErr w:type="spellStart"/>
            <w:r w:rsidRPr="00BE3728">
              <w:rPr>
                <w:sz w:val="20"/>
                <w:szCs w:val="20"/>
              </w:rPr>
              <w:t>custody</w:t>
            </w:r>
            <w:proofErr w:type="spellEnd"/>
            <w:r w:rsidRPr="00BE3728">
              <w:rPr>
                <w:sz w:val="20"/>
                <w:szCs w:val="20"/>
              </w:rPr>
              <w:t xml:space="preserve"> and </w:t>
            </w:r>
            <w:proofErr w:type="spellStart"/>
            <w:r w:rsidRPr="00BE3728">
              <w:rPr>
                <w:sz w:val="20"/>
                <w:szCs w:val="20"/>
              </w:rPr>
              <w:t>welfare</w:t>
            </w:r>
            <w:proofErr w:type="spellEnd"/>
            <w:r w:rsidRPr="00BE3728">
              <w:rPr>
                <w:sz w:val="20"/>
                <w:szCs w:val="20"/>
              </w:rPr>
              <w:t xml:space="preserve"> of </w:t>
            </w:r>
            <w:proofErr w:type="spellStart"/>
            <w:r w:rsidRPr="00BE3728">
              <w:rPr>
                <w:sz w:val="20"/>
                <w:szCs w:val="20"/>
              </w:rPr>
              <w:t>children</w:t>
            </w:r>
            <w:proofErr w:type="spellEnd"/>
            <w:r w:rsidRPr="00BE3728">
              <w:rPr>
                <w:sz w:val="20"/>
                <w:szCs w:val="20"/>
              </w:rPr>
              <w:t xml:space="preserve"> </w:t>
            </w:r>
            <w:proofErr w:type="spellStart"/>
            <w:r w:rsidRPr="00BE3728">
              <w:rPr>
                <w:sz w:val="20"/>
                <w:szCs w:val="20"/>
              </w:rPr>
              <w:t>are</w:t>
            </w:r>
            <w:proofErr w:type="spellEnd"/>
            <w:r w:rsidRPr="00BE3728">
              <w:rPr>
                <w:sz w:val="20"/>
                <w:szCs w:val="20"/>
              </w:rPr>
              <w:t xml:space="preserve"> not the </w:t>
            </w:r>
            <w:proofErr w:type="spellStart"/>
            <w:r w:rsidRPr="00BE3728">
              <w:rPr>
                <w:sz w:val="20"/>
                <w:szCs w:val="20"/>
              </w:rPr>
              <w:t>subject</w:t>
            </w:r>
            <w:proofErr w:type="spellEnd"/>
            <w:r w:rsidRPr="00BE3728">
              <w:rPr>
                <w:sz w:val="20"/>
                <w:szCs w:val="20"/>
              </w:rPr>
              <w:t xml:space="preserve"> of </w:t>
            </w:r>
            <w:proofErr w:type="spellStart"/>
            <w:r w:rsidRPr="00BE3728">
              <w:rPr>
                <w:sz w:val="20"/>
                <w:szCs w:val="20"/>
              </w:rPr>
              <w:t>barter</w:t>
            </w:r>
            <w:proofErr w:type="spellEnd"/>
            <w:r w:rsidRPr="00BE3728">
              <w:rPr>
                <w:sz w:val="20"/>
                <w:szCs w:val="20"/>
              </w:rPr>
              <w:t>“</w:t>
            </w:r>
            <w:r w:rsidRPr="00BE3728">
              <w:rPr>
                <w:rStyle w:val="Funotenzeichen"/>
                <w:sz w:val="20"/>
                <w:szCs w:val="20"/>
              </w:rPr>
              <w:footnoteReference w:id="1000"/>
            </w:r>
            <w:r>
              <w:rPr>
                <w:rStyle w:val="Funotenzeichen"/>
                <w:sz w:val="20"/>
                <w:szCs w:val="20"/>
                <w:vertAlign w:val="baseline"/>
              </w:rPr>
              <w:t>).</w:t>
            </w:r>
          </w:p>
        </w:tc>
      </w:tr>
      <w:tr w:rsidR="00074551" w:rsidRPr="00E50B51" w14:paraId="50A145C4" w14:textId="77777777" w:rsidTr="00D229EA">
        <w:trPr>
          <w:cantSplit/>
          <w:trHeight w:val="3175"/>
        </w:trPr>
        <w:tc>
          <w:tcPr>
            <w:tcW w:w="293" w:type="pct"/>
            <w:shd w:val="clear" w:color="auto" w:fill="D9D9D9" w:themeFill="background1" w:themeFillShade="D9"/>
          </w:tcPr>
          <w:p w14:paraId="341E1189"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D9D9D9" w:themeFill="background1" w:themeFillShade="D9"/>
            <w:textDirection w:val="tbRl"/>
            <w:vAlign w:val="center"/>
          </w:tcPr>
          <w:p w14:paraId="00937FB4"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D9D9D9" w:themeFill="background1" w:themeFillShade="D9"/>
            <w:textDirection w:val="tbRl"/>
            <w:vAlign w:val="center"/>
          </w:tcPr>
          <w:p w14:paraId="3596C215" w14:textId="77777777" w:rsidR="00074551" w:rsidRPr="00E50B51" w:rsidRDefault="00074551" w:rsidP="00367133">
            <w:pPr>
              <w:ind w:left="113" w:right="113"/>
              <w:jc w:val="both"/>
              <w:rPr>
                <w:sz w:val="20"/>
                <w:szCs w:val="20"/>
                <w:lang w:val="en-US"/>
              </w:rPr>
            </w:pPr>
            <w:r w:rsidRPr="00E50B51">
              <w:rPr>
                <w:sz w:val="20"/>
                <w:szCs w:val="20"/>
                <w:lang w:val="en-US"/>
              </w:rPr>
              <w:t>Unenumerated Rights</w:t>
            </w:r>
          </w:p>
        </w:tc>
        <w:tc>
          <w:tcPr>
            <w:tcW w:w="306" w:type="pct"/>
            <w:shd w:val="clear" w:color="auto" w:fill="D9D9D9" w:themeFill="background1" w:themeFillShade="D9"/>
            <w:textDirection w:val="tbRl"/>
            <w:vAlign w:val="center"/>
          </w:tcPr>
          <w:p w14:paraId="73A0611D" w14:textId="77777777" w:rsidR="00074551" w:rsidRPr="00E50B51" w:rsidRDefault="00074551" w:rsidP="00367133">
            <w:pPr>
              <w:ind w:left="113" w:right="113"/>
              <w:jc w:val="both"/>
              <w:rPr>
                <w:sz w:val="20"/>
                <w:szCs w:val="20"/>
                <w:lang w:val="en-US"/>
              </w:rPr>
            </w:pPr>
          </w:p>
        </w:tc>
        <w:tc>
          <w:tcPr>
            <w:tcW w:w="401" w:type="pct"/>
            <w:shd w:val="clear" w:color="auto" w:fill="D9D9D9" w:themeFill="background1" w:themeFillShade="D9"/>
          </w:tcPr>
          <w:p w14:paraId="6ABA97C2" w14:textId="77777777" w:rsidR="00074551" w:rsidRPr="00E50B51" w:rsidRDefault="00074551" w:rsidP="00367133">
            <w:pPr>
              <w:jc w:val="center"/>
              <w:rPr>
                <w:sz w:val="20"/>
                <w:szCs w:val="20"/>
                <w:lang w:val="en-US"/>
              </w:rPr>
            </w:pPr>
          </w:p>
        </w:tc>
        <w:tc>
          <w:tcPr>
            <w:tcW w:w="1594" w:type="pct"/>
            <w:shd w:val="clear" w:color="auto" w:fill="D9D9D9" w:themeFill="background1" w:themeFillShade="D9"/>
            <w:vAlign w:val="center"/>
          </w:tcPr>
          <w:p w14:paraId="135CE1D8" w14:textId="77777777" w:rsidR="00074551" w:rsidRPr="00E50B51" w:rsidRDefault="00074551" w:rsidP="00367133">
            <w:pPr>
              <w:jc w:val="both"/>
              <w:rPr>
                <w:sz w:val="20"/>
                <w:szCs w:val="20"/>
                <w:lang w:val="en-US"/>
              </w:rPr>
            </w:pPr>
          </w:p>
        </w:tc>
        <w:tc>
          <w:tcPr>
            <w:tcW w:w="1822" w:type="pct"/>
            <w:shd w:val="clear" w:color="auto" w:fill="D9D9D9" w:themeFill="background1" w:themeFillShade="D9"/>
          </w:tcPr>
          <w:p w14:paraId="6D50D250" w14:textId="375C16C5" w:rsidR="00074551" w:rsidRPr="00E50B51" w:rsidRDefault="0089283E" w:rsidP="0089283E">
            <w:pPr>
              <w:rPr>
                <w:sz w:val="20"/>
                <w:szCs w:val="20"/>
                <w:lang w:val="en-US"/>
              </w:rPr>
            </w:pPr>
            <w:r w:rsidRPr="00A15DB3">
              <w:rPr>
                <w:i/>
                <w:iCs/>
                <w:sz w:val="16"/>
                <w:szCs w:val="16"/>
              </w:rPr>
              <w:t>Thematische Gliederung der nachfolgenden Entscheidungen ↓</w:t>
            </w:r>
          </w:p>
        </w:tc>
      </w:tr>
      <w:tr w:rsidR="00074551" w:rsidRPr="00E50B51" w14:paraId="788A305C" w14:textId="77777777" w:rsidTr="00BE689F">
        <w:trPr>
          <w:cantSplit/>
          <w:trHeight w:val="3175"/>
        </w:trPr>
        <w:tc>
          <w:tcPr>
            <w:tcW w:w="293" w:type="pct"/>
          </w:tcPr>
          <w:p w14:paraId="55FE500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8514F53" w14:textId="77777777" w:rsidR="00074551" w:rsidRPr="00E50B51" w:rsidRDefault="00074551" w:rsidP="00367133">
            <w:pPr>
              <w:ind w:left="113" w:right="416"/>
              <w:jc w:val="both"/>
              <w:rPr>
                <w:sz w:val="20"/>
                <w:szCs w:val="20"/>
                <w:lang w:val="en-US"/>
              </w:rPr>
            </w:pPr>
            <w:r w:rsidRPr="009E57E1">
              <w:rPr>
                <w:i/>
                <w:sz w:val="20"/>
                <w:szCs w:val="20"/>
              </w:rPr>
              <w:t>Cummings v. Mo.</w:t>
            </w:r>
          </w:p>
        </w:tc>
        <w:tc>
          <w:tcPr>
            <w:tcW w:w="197" w:type="pct"/>
            <w:textDirection w:val="tbRl"/>
            <w:vAlign w:val="center"/>
          </w:tcPr>
          <w:p w14:paraId="025CE5C5" w14:textId="77777777" w:rsidR="00074551" w:rsidRPr="00E50B51" w:rsidRDefault="00074551" w:rsidP="00367133">
            <w:pPr>
              <w:ind w:left="113" w:right="113"/>
              <w:jc w:val="both"/>
              <w:rPr>
                <w:sz w:val="20"/>
                <w:szCs w:val="20"/>
                <w:lang w:val="en-US"/>
              </w:rPr>
            </w:pPr>
            <w:r w:rsidRPr="00E50B51">
              <w:rPr>
                <w:sz w:val="20"/>
                <w:szCs w:val="20"/>
                <w:lang w:val="en-US"/>
              </w:rPr>
              <w:t>71 U.S. 277</w:t>
            </w:r>
          </w:p>
        </w:tc>
        <w:tc>
          <w:tcPr>
            <w:tcW w:w="306" w:type="pct"/>
            <w:textDirection w:val="tbRl"/>
            <w:vAlign w:val="center"/>
          </w:tcPr>
          <w:p w14:paraId="40E75609" w14:textId="77777777" w:rsidR="00074551" w:rsidRPr="00E50B51" w:rsidRDefault="00074551" w:rsidP="00367133">
            <w:pPr>
              <w:ind w:left="113" w:right="113"/>
              <w:jc w:val="both"/>
              <w:rPr>
                <w:sz w:val="20"/>
                <w:szCs w:val="20"/>
              </w:rPr>
            </w:pPr>
            <w:r w:rsidRPr="00E50B51">
              <w:rPr>
                <w:sz w:val="20"/>
                <w:szCs w:val="20"/>
              </w:rPr>
              <w:t>14. Januar 1867</w:t>
            </w:r>
          </w:p>
        </w:tc>
        <w:tc>
          <w:tcPr>
            <w:tcW w:w="401" w:type="pct"/>
          </w:tcPr>
          <w:p w14:paraId="05DC7C34" w14:textId="77777777" w:rsidR="00074551" w:rsidRPr="00E50B51" w:rsidRDefault="00074551" w:rsidP="00367133">
            <w:pPr>
              <w:jc w:val="center"/>
              <w:rPr>
                <w:sz w:val="20"/>
                <w:szCs w:val="20"/>
              </w:rPr>
            </w:pPr>
            <w:r w:rsidRPr="00E50B51">
              <w:rPr>
                <w:sz w:val="20"/>
                <w:szCs w:val="20"/>
                <w:lang w:val="en-US"/>
              </w:rPr>
              <w:t>S/M</w:t>
            </w:r>
          </w:p>
        </w:tc>
        <w:tc>
          <w:tcPr>
            <w:tcW w:w="1594" w:type="pct"/>
          </w:tcPr>
          <w:p w14:paraId="769594B4" w14:textId="19A90E25" w:rsidR="00074551" w:rsidRDefault="00074551" w:rsidP="00367133">
            <w:pPr>
              <w:jc w:val="both"/>
              <w:rPr>
                <w:sz w:val="20"/>
                <w:szCs w:val="20"/>
              </w:rPr>
            </w:pPr>
            <w:r w:rsidRPr="00B45592">
              <w:rPr>
                <w:sz w:val="20"/>
                <w:szCs w:val="20"/>
              </w:rPr>
              <w:t xml:space="preserve">Im Fall hob der </w:t>
            </w:r>
            <w:r>
              <w:rPr>
                <w:sz w:val="20"/>
                <w:szCs w:val="20"/>
              </w:rPr>
              <w:t>U.S. Supreme Court</w:t>
            </w:r>
            <w:r w:rsidRPr="00B45592">
              <w:rPr>
                <w:sz w:val="20"/>
                <w:szCs w:val="20"/>
              </w:rPr>
              <w:t xml:space="preserve"> die </w:t>
            </w:r>
            <w:proofErr w:type="spellStart"/>
            <w:r w:rsidRPr="00B45592">
              <w:rPr>
                <w:sz w:val="20"/>
                <w:szCs w:val="20"/>
              </w:rPr>
              <w:t>vorinstanziellen</w:t>
            </w:r>
            <w:proofErr w:type="spellEnd"/>
            <w:r w:rsidRPr="00B45592">
              <w:rPr>
                <w:sz w:val="20"/>
                <w:szCs w:val="20"/>
              </w:rPr>
              <w:t xml:space="preserve"> Urteile auf und wies den Fall zurück, unter Zugrundelegung seiner Rechtsansicht, nämlich: </w:t>
            </w:r>
            <w:r>
              <w:rPr>
                <w:sz w:val="20"/>
                <w:szCs w:val="20"/>
              </w:rPr>
              <w:t>e</w:t>
            </w:r>
            <w:r w:rsidRPr="00B45592">
              <w:rPr>
                <w:sz w:val="20"/>
                <w:szCs w:val="20"/>
              </w:rPr>
              <w:t xml:space="preserve">inen verurteilten Priester aus der Haft zu entlassen. Zunächst erließen nach dem </w:t>
            </w:r>
            <w:r>
              <w:rPr>
                <w:sz w:val="20"/>
                <w:szCs w:val="20"/>
              </w:rPr>
              <w:t xml:space="preserve">amerikanischen </w:t>
            </w:r>
            <w:r w:rsidRPr="00B45592">
              <w:rPr>
                <w:sz w:val="20"/>
                <w:szCs w:val="20"/>
              </w:rPr>
              <w:t xml:space="preserve">Bürgerkrieg der Kongress und der Bundesstaat Missouri Bestimmungen, die von </w:t>
            </w:r>
            <w:r>
              <w:rPr>
                <w:sz w:val="20"/>
                <w:szCs w:val="20"/>
              </w:rPr>
              <w:t xml:space="preserve">bestimmten </w:t>
            </w:r>
            <w:r w:rsidRPr="00B45592">
              <w:rPr>
                <w:sz w:val="20"/>
                <w:szCs w:val="20"/>
              </w:rPr>
              <w:t xml:space="preserve">Berufen, v.a. öffentlichen Ämtern, einen Eid verlangten. </w:t>
            </w:r>
            <w:r>
              <w:rPr>
                <w:sz w:val="20"/>
                <w:szCs w:val="20"/>
              </w:rPr>
              <w:t>Angehörige dieser</w:t>
            </w:r>
            <w:r w:rsidRPr="00B45592">
              <w:rPr>
                <w:sz w:val="20"/>
                <w:szCs w:val="20"/>
              </w:rPr>
              <w:t xml:space="preserve"> Berufe mussten beeiden, dass sie den Bürgerkrieg, die sog. Sezession, nie unterstützt hatten. Der </w:t>
            </w:r>
            <w:r w:rsidRPr="5B67C1D2">
              <w:rPr>
                <w:i/>
                <w:iCs/>
                <w:sz w:val="20"/>
                <w:szCs w:val="20"/>
              </w:rPr>
              <w:t>Circuit Court of Pike County</w:t>
            </w:r>
            <w:r>
              <w:rPr>
                <w:sz w:val="20"/>
                <w:szCs w:val="20"/>
              </w:rPr>
              <w:t xml:space="preserve"> und dann </w:t>
            </w:r>
            <w:r w:rsidRPr="00B45592">
              <w:rPr>
                <w:sz w:val="20"/>
                <w:szCs w:val="20"/>
              </w:rPr>
              <w:t xml:space="preserve">der </w:t>
            </w:r>
            <w:r w:rsidRPr="5B67C1D2">
              <w:rPr>
                <w:i/>
                <w:iCs/>
                <w:sz w:val="20"/>
                <w:szCs w:val="20"/>
              </w:rPr>
              <w:t>Missouri Supreme Court</w:t>
            </w:r>
            <w:r w:rsidRPr="00B45592">
              <w:rPr>
                <w:sz w:val="20"/>
                <w:szCs w:val="20"/>
              </w:rPr>
              <w:t xml:space="preserve"> verurteilten </w:t>
            </w:r>
            <w:r>
              <w:rPr>
                <w:sz w:val="20"/>
                <w:szCs w:val="20"/>
              </w:rPr>
              <w:t>deshalb</w:t>
            </w:r>
            <w:r w:rsidRPr="00B45592">
              <w:rPr>
                <w:sz w:val="20"/>
                <w:szCs w:val="20"/>
              </w:rPr>
              <w:t xml:space="preserve"> einen Priester. Denn der hatte sich geweigert, diesen Eid abzulegen. Er hatte vielmehr noch in der römisch-katholischen Kirche gepredigt, ohne den Eid aus der Verfassung Missouris (</w:t>
            </w:r>
            <w:r>
              <w:rPr>
                <w:sz w:val="20"/>
                <w:szCs w:val="20"/>
              </w:rPr>
              <w:t>§ </w:t>
            </w:r>
            <w:r w:rsidRPr="00B45592">
              <w:rPr>
                <w:sz w:val="20"/>
                <w:szCs w:val="20"/>
              </w:rPr>
              <w:t>3, 6, 7, 9, 14</w:t>
            </w:r>
            <w:r w:rsidRPr="00B45592">
              <w:rPr>
                <w:rStyle w:val="Funotenzeichen"/>
                <w:sz w:val="20"/>
                <w:szCs w:val="20"/>
              </w:rPr>
              <w:footnoteReference w:id="1001"/>
            </w:r>
            <w:r w:rsidRPr="00B45592">
              <w:rPr>
                <w:sz w:val="20"/>
                <w:szCs w:val="20"/>
              </w:rPr>
              <w:t xml:space="preserve">) geleistet zu haben. Aber der Priester begehrte eine Überprüfung der Urteile. Zugleich bat ein ehemaliger Kongressabgeordneter den </w:t>
            </w:r>
            <w:r>
              <w:rPr>
                <w:sz w:val="20"/>
                <w:szCs w:val="20"/>
              </w:rPr>
              <w:t>U.S. Supreme Court</w:t>
            </w:r>
            <w:r w:rsidRPr="00B45592">
              <w:rPr>
                <w:sz w:val="20"/>
                <w:szCs w:val="20"/>
              </w:rPr>
              <w:t xml:space="preserve"> um die Erlaubnis, ohne Bundeseid praktizieren zu können. Der </w:t>
            </w:r>
            <w:r>
              <w:rPr>
                <w:sz w:val="20"/>
                <w:szCs w:val="20"/>
              </w:rPr>
              <w:t>U.S. Supreme Court</w:t>
            </w:r>
            <w:r w:rsidRPr="00B45592">
              <w:rPr>
                <w:sz w:val="20"/>
                <w:szCs w:val="20"/>
              </w:rPr>
              <w:t xml:space="preserve"> urteilte, staatliche und nationale Eide verst</w:t>
            </w:r>
            <w:r>
              <w:rPr>
                <w:sz w:val="20"/>
                <w:szCs w:val="20"/>
              </w:rPr>
              <w:t>ie</w:t>
            </w:r>
            <w:r w:rsidRPr="00B45592">
              <w:rPr>
                <w:sz w:val="20"/>
                <w:szCs w:val="20"/>
              </w:rPr>
              <w:t xml:space="preserve">ßen gegen das Verbot von </w:t>
            </w:r>
            <w:r>
              <w:rPr>
                <w:sz w:val="20"/>
                <w:szCs w:val="20"/>
              </w:rPr>
              <w:t>E</w:t>
            </w:r>
            <w:r w:rsidRPr="00B45592">
              <w:rPr>
                <w:sz w:val="20"/>
                <w:szCs w:val="20"/>
              </w:rPr>
              <w:t xml:space="preserve">x-post-facto-Gesetzen und das Verbot strafrechtlicher Verurteilung durch das Parlament ohne ein gerichtliches Verfahren, der sog. </w:t>
            </w:r>
            <w:proofErr w:type="spellStart"/>
            <w:r w:rsidRPr="5B67C1D2">
              <w:rPr>
                <w:i/>
                <w:iCs/>
                <w:sz w:val="20"/>
                <w:szCs w:val="20"/>
              </w:rPr>
              <w:t>bills</w:t>
            </w:r>
            <w:proofErr w:type="spellEnd"/>
            <w:r w:rsidRPr="5B67C1D2">
              <w:rPr>
                <w:i/>
                <w:iCs/>
                <w:sz w:val="20"/>
                <w:szCs w:val="20"/>
              </w:rPr>
              <w:t xml:space="preserve"> of </w:t>
            </w:r>
            <w:proofErr w:type="spellStart"/>
            <w:r w:rsidRPr="5B67C1D2">
              <w:rPr>
                <w:i/>
                <w:iCs/>
                <w:sz w:val="20"/>
                <w:szCs w:val="20"/>
              </w:rPr>
              <w:t>attainder</w:t>
            </w:r>
            <w:proofErr w:type="spellEnd"/>
            <w:r w:rsidRPr="00B45592">
              <w:rPr>
                <w:sz w:val="20"/>
                <w:szCs w:val="20"/>
              </w:rPr>
              <w:t xml:space="preserve">, vgl. in </w:t>
            </w:r>
            <w:r>
              <w:rPr>
                <w:sz w:val="20"/>
                <w:szCs w:val="20"/>
              </w:rPr>
              <w:t>Art. </w:t>
            </w:r>
            <w:r w:rsidRPr="00B45592">
              <w:rPr>
                <w:sz w:val="20"/>
                <w:szCs w:val="20"/>
              </w:rPr>
              <w:t xml:space="preserve">1, </w:t>
            </w:r>
            <w:r>
              <w:rPr>
                <w:sz w:val="20"/>
                <w:szCs w:val="20"/>
              </w:rPr>
              <w:t>§ </w:t>
            </w:r>
            <w:r w:rsidRPr="00B45592">
              <w:rPr>
                <w:sz w:val="20"/>
                <w:szCs w:val="20"/>
              </w:rPr>
              <w:t xml:space="preserve">9 and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5B67C1D2">
              <w:rPr>
                <w:rStyle w:val="Funotenzeichen"/>
                <w:rFonts w:eastAsiaTheme="majorEastAsia"/>
                <w:sz w:val="20"/>
                <w:szCs w:val="20"/>
              </w:rPr>
              <w:footnoteReference w:id="1002"/>
            </w:r>
            <w:r w:rsidRPr="00B45592">
              <w:rPr>
                <w:sz w:val="20"/>
                <w:szCs w:val="20"/>
              </w:rPr>
              <w:t xml:space="preserve"> Denn die Eidesgesetze transformier</w:t>
            </w:r>
            <w:r>
              <w:rPr>
                <w:sz w:val="20"/>
                <w:szCs w:val="20"/>
              </w:rPr>
              <w:t>t</w:t>
            </w:r>
            <w:r w:rsidRPr="00B45592">
              <w:rPr>
                <w:sz w:val="20"/>
                <w:szCs w:val="20"/>
              </w:rPr>
              <w:t xml:space="preserve">en Handlungen nachträglich in ein strafrechtliches Verhalten, obwohl diese </w:t>
            </w:r>
            <w:r>
              <w:rPr>
                <w:sz w:val="20"/>
                <w:szCs w:val="20"/>
              </w:rPr>
              <w:t xml:space="preserve">zum Zeitpunkt der Handlung </w:t>
            </w:r>
            <w:r w:rsidRPr="00B45592">
              <w:rPr>
                <w:sz w:val="20"/>
                <w:szCs w:val="20"/>
              </w:rPr>
              <w:t xml:space="preserve">nicht </w:t>
            </w:r>
            <w:proofErr w:type="gramStart"/>
            <w:r w:rsidRPr="00B45592">
              <w:rPr>
                <w:sz w:val="20"/>
                <w:szCs w:val="20"/>
              </w:rPr>
              <w:t>verboten</w:t>
            </w:r>
            <w:proofErr w:type="gramEnd"/>
            <w:r w:rsidRPr="00B45592">
              <w:rPr>
                <w:sz w:val="20"/>
                <w:szCs w:val="20"/>
              </w:rPr>
              <w:t xml:space="preserve"> waren: hier die Teilnahme an der Sezession. Und das auch noch ohne Gerichtsverfahren.</w:t>
            </w:r>
            <w:r w:rsidRPr="5B67C1D2">
              <w:rPr>
                <w:rStyle w:val="Funotenzeichen"/>
                <w:rFonts w:eastAsiaTheme="majorEastAsia"/>
                <w:sz w:val="20"/>
                <w:szCs w:val="20"/>
              </w:rPr>
              <w:footnoteReference w:id="1003"/>
            </w:r>
            <w:r w:rsidRPr="00B45592">
              <w:rPr>
                <w:sz w:val="20"/>
                <w:szCs w:val="20"/>
              </w:rPr>
              <w:t xml:space="preserve"> Der </w:t>
            </w:r>
            <w:r>
              <w:rPr>
                <w:sz w:val="20"/>
                <w:szCs w:val="20"/>
              </w:rPr>
              <w:t>U.S. Supreme Court</w:t>
            </w:r>
            <w:r w:rsidRPr="00B45592">
              <w:rPr>
                <w:sz w:val="20"/>
                <w:szCs w:val="20"/>
              </w:rPr>
              <w:t xml:space="preserve"> urteilte, dass die Eide nach der Verfassung Missouris Handlungen verhüten sollten – wie die Teilnahme an der Sezession. Diese Handlungen </w:t>
            </w:r>
            <w:r>
              <w:rPr>
                <w:sz w:val="20"/>
                <w:szCs w:val="20"/>
              </w:rPr>
              <w:t>stünden</w:t>
            </w:r>
            <w:r w:rsidRPr="00B45592">
              <w:rPr>
                <w:sz w:val="20"/>
                <w:szCs w:val="20"/>
              </w:rPr>
              <w:t xml:space="preserve"> aber in keiner Beziehung zur jeweiligen Berufseignung, so der </w:t>
            </w:r>
            <w:r>
              <w:rPr>
                <w:sz w:val="20"/>
                <w:szCs w:val="20"/>
              </w:rPr>
              <w:t>U.S. Supreme Court</w:t>
            </w:r>
            <w:r w:rsidRPr="00B45592">
              <w:rPr>
                <w:sz w:val="20"/>
                <w:szCs w:val="20"/>
              </w:rPr>
              <w:t xml:space="preserve">. Zudem </w:t>
            </w:r>
            <w:r>
              <w:rPr>
                <w:sz w:val="20"/>
                <w:szCs w:val="20"/>
              </w:rPr>
              <w:t>käme</w:t>
            </w:r>
            <w:r w:rsidRPr="00B45592">
              <w:rPr>
                <w:sz w:val="20"/>
                <w:szCs w:val="20"/>
              </w:rPr>
              <w:t xml:space="preserve"> ein Eidesverstoß einer Strafe gleich, weil 500 </w:t>
            </w:r>
            <w:r w:rsidRPr="00DF520F">
              <w:rPr>
                <w:sz w:val="20"/>
                <w:szCs w:val="20"/>
              </w:rPr>
              <w:t xml:space="preserve">Dollar </w:t>
            </w:r>
            <w:r w:rsidRPr="00B45592">
              <w:rPr>
                <w:sz w:val="20"/>
                <w:szCs w:val="20"/>
              </w:rPr>
              <w:t>als Strafe folgten. Und solange der Betroffene die 500 Dollar nicht zahle, sei er in Haft zu nehmen. Was bei dem Priester der Fall war. Damit verstieß die Verfassung Missouris schließlich auch gegen die Unschuldsvermutung. Zuletzt seien die verfassungsrechtlichen Freiheitsbestimmungen der Bürger damit ausgehöhlt worden.</w:t>
            </w:r>
            <w:r w:rsidRPr="00B45592">
              <w:rPr>
                <w:rStyle w:val="Funotenzeichen"/>
                <w:sz w:val="20"/>
                <w:szCs w:val="20"/>
              </w:rPr>
              <w:footnoteReference w:id="1004"/>
            </w:r>
          </w:p>
          <w:p w14:paraId="6376B7F9" w14:textId="77777777" w:rsidR="00074551" w:rsidRPr="00B45592" w:rsidRDefault="00074551" w:rsidP="00367133">
            <w:pPr>
              <w:jc w:val="both"/>
              <w:rPr>
                <w:sz w:val="20"/>
                <w:szCs w:val="20"/>
              </w:rPr>
            </w:pPr>
          </w:p>
        </w:tc>
        <w:tc>
          <w:tcPr>
            <w:tcW w:w="1822" w:type="pct"/>
          </w:tcPr>
          <w:p w14:paraId="5C7CAB97" w14:textId="77777777" w:rsidR="00074551" w:rsidRPr="004931CF" w:rsidRDefault="00074551" w:rsidP="00367133">
            <w:pPr>
              <w:jc w:val="both"/>
              <w:rPr>
                <w:sz w:val="20"/>
                <w:szCs w:val="20"/>
              </w:rPr>
            </w:pPr>
            <w:r w:rsidRPr="00067AC4">
              <w:rPr>
                <w:sz w:val="20"/>
                <w:szCs w:val="20"/>
              </w:rPr>
              <w:t xml:space="preserve">In </w:t>
            </w:r>
            <w:r w:rsidRPr="5B67C1D2">
              <w:rPr>
                <w:i/>
                <w:iCs/>
                <w:sz w:val="20"/>
                <w:szCs w:val="20"/>
              </w:rPr>
              <w:t>Cummings v. Mo.</w:t>
            </w:r>
            <w:r w:rsidRPr="00067AC4">
              <w:rPr>
                <w:sz w:val="20"/>
                <w:szCs w:val="20"/>
                <w:vertAlign w:val="superscript"/>
              </w:rPr>
              <w:footnoteReference w:id="1005"/>
            </w:r>
            <w:r w:rsidRPr="00067AC4">
              <w:rPr>
                <w:sz w:val="20"/>
                <w:szCs w:val="20"/>
              </w:rPr>
              <w:t xml:space="preserve"> urteilte der </w:t>
            </w:r>
            <w:r>
              <w:rPr>
                <w:sz w:val="20"/>
                <w:szCs w:val="20"/>
              </w:rPr>
              <w:t>U.S. Supreme Court</w:t>
            </w:r>
            <w:r w:rsidRPr="00067AC4">
              <w:rPr>
                <w:sz w:val="20"/>
                <w:szCs w:val="20"/>
              </w:rPr>
              <w:t xml:space="preserve">, wegen des gleichen Zugangs zum Streben nach Glück dürfe der Beruf nicht von einer inneren Haltung abhängen, die </w:t>
            </w:r>
            <w:r>
              <w:rPr>
                <w:sz w:val="20"/>
                <w:szCs w:val="20"/>
              </w:rPr>
              <w:t>z.B.</w:t>
            </w:r>
            <w:r w:rsidRPr="00067AC4">
              <w:rPr>
                <w:sz w:val="20"/>
                <w:szCs w:val="20"/>
              </w:rPr>
              <w:t xml:space="preserve"> Ausdruck in einem Eiderfordernis findet; die Berufsfreiheit</w:t>
            </w:r>
            <w:r>
              <w:rPr>
                <w:sz w:val="20"/>
                <w:szCs w:val="20"/>
              </w:rPr>
              <w:t> </w:t>
            </w:r>
            <w:r w:rsidRPr="00067AC4">
              <w:rPr>
                <w:sz w:val="20"/>
                <w:szCs w:val="20"/>
              </w:rPr>
              <w:t>– als</w:t>
            </w:r>
            <w:r>
              <w:rPr>
                <w:sz w:val="20"/>
                <w:szCs w:val="20"/>
              </w:rPr>
              <w:t xml:space="preserve"> eines der</w:t>
            </w:r>
            <w:r w:rsidRPr="00067AC4">
              <w:rPr>
                <w:sz w:val="20"/>
                <w:szCs w:val="20"/>
              </w:rPr>
              <w:t xml:space="preserve"> sog. „</w:t>
            </w:r>
            <w:proofErr w:type="spellStart"/>
            <w:r w:rsidRPr="00067AC4">
              <w:rPr>
                <w:sz w:val="20"/>
                <w:szCs w:val="20"/>
              </w:rPr>
              <w:t>unenumerated</w:t>
            </w:r>
            <w:proofErr w:type="spellEnd"/>
            <w:r w:rsidRPr="00067AC4">
              <w:rPr>
                <w:sz w:val="20"/>
                <w:szCs w:val="20"/>
              </w:rPr>
              <w:t xml:space="preserve"> Rights“</w:t>
            </w:r>
            <w:r w:rsidRPr="00067AC4">
              <w:rPr>
                <w:sz w:val="20"/>
                <w:szCs w:val="20"/>
                <w:vertAlign w:val="superscript"/>
              </w:rPr>
              <w:footnoteReference w:id="1006"/>
            </w:r>
            <w:r>
              <w:rPr>
                <w:sz w:val="20"/>
                <w:szCs w:val="20"/>
              </w:rPr>
              <w:t xml:space="preserve"> – </w:t>
            </w:r>
            <w:r w:rsidRPr="00067AC4">
              <w:rPr>
                <w:sz w:val="20"/>
                <w:szCs w:val="20"/>
              </w:rPr>
              <w:t>beschränke sich nur anhand der Eignung, Befähigung und fachlichen Leistung</w:t>
            </w:r>
            <w:r>
              <w:rPr>
                <w:sz w:val="20"/>
                <w:szCs w:val="20"/>
              </w:rPr>
              <w:t>.</w:t>
            </w:r>
            <w:r w:rsidRPr="00067AC4">
              <w:rPr>
                <w:sz w:val="20"/>
                <w:szCs w:val="20"/>
              </w:rPr>
              <w:t xml:space="preserve"> Dies wird zunächst anhand des Ver</w:t>
            </w:r>
            <w:r>
              <w:rPr>
                <w:sz w:val="20"/>
                <w:szCs w:val="20"/>
              </w:rPr>
              <w:t>bots von</w:t>
            </w:r>
            <w:r w:rsidRPr="00067AC4">
              <w:rPr>
                <w:sz w:val="20"/>
                <w:szCs w:val="20"/>
              </w:rPr>
              <w:t xml:space="preserve"> Strafen ohne rechtsstaatliches Verfahren sowohl methodisch als auch über </w:t>
            </w:r>
            <w:r>
              <w:rPr>
                <w:sz w:val="20"/>
                <w:szCs w:val="20"/>
              </w:rPr>
              <w:t>das</w:t>
            </w:r>
            <w:r w:rsidRPr="00067AC4">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067AC4">
              <w:rPr>
                <w:sz w:val="20"/>
                <w:szCs w:val="20"/>
              </w:rPr>
              <w:t xml:space="preserve"> hergeleitet. Die methodische Herleitung ergibt sich aus der Historie, der Systematik und dem Sinn und Zweck: Historisch hat das </w:t>
            </w:r>
            <w:r w:rsidRPr="5B67C1D2">
              <w:rPr>
                <w:i/>
                <w:iCs/>
                <w:sz w:val="20"/>
                <w:szCs w:val="20"/>
              </w:rPr>
              <w:t>Statute 1, George I</w:t>
            </w:r>
            <w:r w:rsidRPr="00067AC4">
              <w:rPr>
                <w:sz w:val="20"/>
                <w:szCs w:val="20"/>
              </w:rPr>
              <w:t xml:space="preserve">, </w:t>
            </w:r>
            <w:proofErr w:type="spellStart"/>
            <w:r w:rsidRPr="00067AC4">
              <w:rPr>
                <w:sz w:val="20"/>
                <w:szCs w:val="20"/>
              </w:rPr>
              <w:t>chap</w:t>
            </w:r>
            <w:proofErr w:type="spellEnd"/>
            <w:r w:rsidRPr="00067AC4">
              <w:rPr>
                <w:sz w:val="20"/>
                <w:szCs w:val="20"/>
              </w:rPr>
              <w:t xml:space="preserve">. 13 verlangt, für ein öffentliches Amt einen Eid zu leisten. Kam der Betroffene dem nicht nach, dann entzog das Statut </w:t>
            </w:r>
            <w:r>
              <w:rPr>
                <w:sz w:val="20"/>
                <w:szCs w:val="20"/>
              </w:rPr>
              <w:t>u.a.</w:t>
            </w:r>
            <w:r w:rsidRPr="00067AC4">
              <w:rPr>
                <w:sz w:val="20"/>
                <w:szCs w:val="20"/>
              </w:rPr>
              <w:t xml:space="preserve"> das Wahlrecht, schloss von öffentlichen Ämtern aus, ermöglichte eine Strafe von 500 </w:t>
            </w:r>
            <w:r>
              <w:rPr>
                <w:sz w:val="20"/>
                <w:szCs w:val="20"/>
              </w:rPr>
              <w:t>Pfund</w:t>
            </w:r>
            <w:r w:rsidRPr="00067AC4">
              <w:rPr>
                <w:sz w:val="20"/>
                <w:szCs w:val="20"/>
              </w:rPr>
              <w:t xml:space="preserve"> oder sogar den Entzug von Grundstücken. Und in systematischer Hinsicht verwies der </w:t>
            </w:r>
            <w:r>
              <w:rPr>
                <w:sz w:val="20"/>
                <w:szCs w:val="20"/>
              </w:rPr>
              <w:t>U.S. Supreme Court</w:t>
            </w:r>
            <w:r w:rsidRPr="00067AC4">
              <w:rPr>
                <w:sz w:val="20"/>
                <w:szCs w:val="20"/>
              </w:rPr>
              <w:t xml:space="preserve"> auf Frankreich: Das französische Verfassungsrecht ermögliche bei Eidesverweigerung ebenso, Bürger</w:t>
            </w:r>
            <w:r>
              <w:rPr>
                <w:sz w:val="20"/>
                <w:szCs w:val="20"/>
              </w:rPr>
              <w:t>r</w:t>
            </w:r>
            <w:r w:rsidRPr="00067AC4">
              <w:rPr>
                <w:sz w:val="20"/>
                <w:szCs w:val="20"/>
              </w:rPr>
              <w:t>echte zu entziehen – wie das Wahlrecht oder den Zugang zu öffentlichen Ämtern. Doch der Sinn und Zweck des heutigen amerikanischen Verfassungsrechts unterscheide sich davon („</w:t>
            </w:r>
            <w:proofErr w:type="spellStart"/>
            <w:r w:rsidRPr="00067AC4">
              <w:rPr>
                <w:sz w:val="20"/>
                <w:szCs w:val="20"/>
              </w:rPr>
              <w:t>theory</w:t>
            </w:r>
            <w:proofErr w:type="spellEnd"/>
            <w:r w:rsidRPr="00067AC4">
              <w:rPr>
                <w:sz w:val="20"/>
                <w:szCs w:val="20"/>
              </w:rPr>
              <w:t xml:space="preserve"> upon </w:t>
            </w:r>
            <w:proofErr w:type="spellStart"/>
            <w:r w:rsidRPr="00067AC4">
              <w:rPr>
                <w:sz w:val="20"/>
                <w:szCs w:val="20"/>
              </w:rPr>
              <w:t>which</w:t>
            </w:r>
            <w:proofErr w:type="spellEnd"/>
            <w:r w:rsidRPr="00067AC4">
              <w:rPr>
                <w:sz w:val="20"/>
                <w:szCs w:val="20"/>
              </w:rPr>
              <w:t xml:space="preserve"> </w:t>
            </w:r>
            <w:proofErr w:type="spellStart"/>
            <w:r w:rsidRPr="00067AC4">
              <w:rPr>
                <w:sz w:val="20"/>
                <w:szCs w:val="20"/>
              </w:rPr>
              <w:t>our</w:t>
            </w:r>
            <w:proofErr w:type="spellEnd"/>
            <w:r w:rsidRPr="00067AC4">
              <w:rPr>
                <w:sz w:val="20"/>
                <w:szCs w:val="20"/>
              </w:rPr>
              <w:t xml:space="preserve"> </w:t>
            </w:r>
            <w:proofErr w:type="spellStart"/>
            <w:r w:rsidRPr="00067AC4">
              <w:rPr>
                <w:sz w:val="20"/>
                <w:szCs w:val="20"/>
              </w:rPr>
              <w:t>political</w:t>
            </w:r>
            <w:proofErr w:type="spellEnd"/>
            <w:r w:rsidRPr="00067AC4">
              <w:rPr>
                <w:sz w:val="20"/>
                <w:szCs w:val="20"/>
              </w:rPr>
              <w:t xml:space="preserve"> </w:t>
            </w:r>
            <w:proofErr w:type="spellStart"/>
            <w:r w:rsidRPr="00067AC4">
              <w:rPr>
                <w:sz w:val="20"/>
                <w:szCs w:val="20"/>
              </w:rPr>
              <w:t>institutions</w:t>
            </w:r>
            <w:proofErr w:type="spellEnd"/>
            <w:r w:rsidRPr="00067AC4">
              <w:rPr>
                <w:sz w:val="20"/>
                <w:szCs w:val="20"/>
              </w:rPr>
              <w:t xml:space="preserve"> </w:t>
            </w:r>
            <w:proofErr w:type="spellStart"/>
            <w:r w:rsidRPr="00067AC4">
              <w:rPr>
                <w:sz w:val="20"/>
                <w:szCs w:val="20"/>
              </w:rPr>
              <w:t>rest</w:t>
            </w:r>
            <w:proofErr w:type="spellEnd"/>
            <w:r w:rsidRPr="00067AC4">
              <w:rPr>
                <w:sz w:val="20"/>
                <w:szCs w:val="20"/>
              </w:rPr>
              <w:t>“</w:t>
            </w:r>
            <w:r w:rsidRPr="00067AC4">
              <w:rPr>
                <w:sz w:val="20"/>
                <w:szCs w:val="20"/>
                <w:vertAlign w:val="superscript"/>
              </w:rPr>
              <w:footnoteReference w:id="1007"/>
            </w:r>
            <w:r w:rsidRPr="00067AC4">
              <w:rPr>
                <w:sz w:val="20"/>
                <w:szCs w:val="20"/>
              </w:rPr>
              <w:t>). Denn um das Streben nach Glück zu verwirklichen, soll</w:t>
            </w:r>
            <w:r>
              <w:rPr>
                <w:sz w:val="20"/>
                <w:szCs w:val="20"/>
              </w:rPr>
              <w:t>t</w:t>
            </w:r>
            <w:r w:rsidRPr="00067AC4">
              <w:rPr>
                <w:sz w:val="20"/>
                <w:szCs w:val="20"/>
              </w:rPr>
              <w:t xml:space="preserve">en alle Berufe und Ämter jedermann gleichermaßen offenstehen („in the </w:t>
            </w:r>
            <w:proofErr w:type="spellStart"/>
            <w:r w:rsidRPr="00067AC4">
              <w:rPr>
                <w:sz w:val="20"/>
                <w:szCs w:val="20"/>
              </w:rPr>
              <w:t>pursuit</w:t>
            </w:r>
            <w:proofErr w:type="spellEnd"/>
            <w:r w:rsidRPr="00067AC4">
              <w:rPr>
                <w:sz w:val="20"/>
                <w:szCs w:val="20"/>
              </w:rPr>
              <w:t xml:space="preserve"> of </w:t>
            </w:r>
            <w:proofErr w:type="spellStart"/>
            <w:r w:rsidRPr="00067AC4">
              <w:rPr>
                <w:sz w:val="20"/>
                <w:szCs w:val="20"/>
              </w:rPr>
              <w:t>happiness</w:t>
            </w:r>
            <w:proofErr w:type="spellEnd"/>
            <w:r w:rsidRPr="00067AC4">
              <w:rPr>
                <w:sz w:val="20"/>
                <w:szCs w:val="20"/>
              </w:rPr>
              <w:t xml:space="preserve"> all </w:t>
            </w:r>
            <w:proofErr w:type="spellStart"/>
            <w:r w:rsidRPr="00067AC4">
              <w:rPr>
                <w:sz w:val="20"/>
                <w:szCs w:val="20"/>
              </w:rPr>
              <w:t>avocations</w:t>
            </w:r>
            <w:proofErr w:type="spellEnd"/>
            <w:r w:rsidRPr="00067AC4">
              <w:rPr>
                <w:sz w:val="20"/>
                <w:szCs w:val="20"/>
              </w:rPr>
              <w:t xml:space="preserve">, all </w:t>
            </w:r>
            <w:proofErr w:type="spellStart"/>
            <w:r w:rsidRPr="00067AC4">
              <w:rPr>
                <w:sz w:val="20"/>
                <w:szCs w:val="20"/>
              </w:rPr>
              <w:t>honors</w:t>
            </w:r>
            <w:proofErr w:type="spellEnd"/>
            <w:r w:rsidRPr="00067AC4">
              <w:rPr>
                <w:sz w:val="20"/>
                <w:szCs w:val="20"/>
              </w:rPr>
              <w:t xml:space="preserve">, all </w:t>
            </w:r>
            <w:proofErr w:type="spellStart"/>
            <w:r w:rsidRPr="00067AC4">
              <w:rPr>
                <w:sz w:val="20"/>
                <w:szCs w:val="20"/>
              </w:rPr>
              <w:t>positions</w:t>
            </w:r>
            <w:proofErr w:type="spellEnd"/>
            <w:r w:rsidRPr="00067AC4">
              <w:rPr>
                <w:sz w:val="20"/>
                <w:szCs w:val="20"/>
              </w:rPr>
              <w:t xml:space="preserve">, </w:t>
            </w:r>
            <w:proofErr w:type="spellStart"/>
            <w:r w:rsidRPr="00067AC4">
              <w:rPr>
                <w:sz w:val="20"/>
                <w:szCs w:val="20"/>
              </w:rPr>
              <w:t>are</w:t>
            </w:r>
            <w:proofErr w:type="spellEnd"/>
            <w:r w:rsidRPr="00067AC4">
              <w:rPr>
                <w:sz w:val="20"/>
                <w:szCs w:val="20"/>
              </w:rPr>
              <w:t xml:space="preserve"> </w:t>
            </w:r>
            <w:proofErr w:type="spellStart"/>
            <w:r w:rsidRPr="00067AC4">
              <w:rPr>
                <w:sz w:val="20"/>
                <w:szCs w:val="20"/>
              </w:rPr>
              <w:t>alike</w:t>
            </w:r>
            <w:proofErr w:type="spellEnd"/>
            <w:r w:rsidRPr="00067AC4">
              <w:rPr>
                <w:sz w:val="20"/>
                <w:szCs w:val="20"/>
              </w:rPr>
              <w:t xml:space="preserve"> open to </w:t>
            </w:r>
            <w:proofErr w:type="spellStart"/>
            <w:r w:rsidRPr="00067AC4">
              <w:rPr>
                <w:sz w:val="20"/>
                <w:szCs w:val="20"/>
              </w:rPr>
              <w:t>every</w:t>
            </w:r>
            <w:proofErr w:type="spellEnd"/>
            <w:r w:rsidRPr="00067AC4">
              <w:rPr>
                <w:sz w:val="20"/>
                <w:szCs w:val="20"/>
              </w:rPr>
              <w:t xml:space="preserve"> </w:t>
            </w:r>
            <w:proofErr w:type="spellStart"/>
            <w:r w:rsidRPr="00067AC4">
              <w:rPr>
                <w:sz w:val="20"/>
                <w:szCs w:val="20"/>
              </w:rPr>
              <w:t>one</w:t>
            </w:r>
            <w:proofErr w:type="spellEnd"/>
            <w:r w:rsidRPr="00067AC4">
              <w:rPr>
                <w:sz w:val="20"/>
                <w:szCs w:val="20"/>
              </w:rPr>
              <w:t>“</w:t>
            </w:r>
            <w:r w:rsidRPr="00067AC4">
              <w:rPr>
                <w:sz w:val="20"/>
                <w:szCs w:val="20"/>
                <w:vertAlign w:val="superscript"/>
              </w:rPr>
              <w:t xml:space="preserve"> </w:t>
            </w:r>
            <w:r w:rsidRPr="00067AC4">
              <w:rPr>
                <w:sz w:val="20"/>
                <w:szCs w:val="20"/>
                <w:vertAlign w:val="superscript"/>
              </w:rPr>
              <w:footnoteReference w:id="1008"/>
            </w:r>
            <w:r w:rsidRPr="00067AC4">
              <w:rPr>
                <w:sz w:val="20"/>
                <w:szCs w:val="20"/>
              </w:rPr>
              <w:t>), unabhängig</w:t>
            </w:r>
            <w:r>
              <w:rPr>
                <w:sz w:val="20"/>
                <w:szCs w:val="20"/>
              </w:rPr>
              <w:t xml:space="preserve"> von</w:t>
            </w:r>
            <w:r w:rsidRPr="00067AC4">
              <w:rPr>
                <w:sz w:val="20"/>
                <w:szCs w:val="20"/>
              </w:rPr>
              <w:t xml:space="preserve"> der Haltung. Denn bei diesem Recht soll</w:t>
            </w:r>
            <w:r>
              <w:rPr>
                <w:sz w:val="20"/>
                <w:szCs w:val="20"/>
              </w:rPr>
              <w:t>t</w:t>
            </w:r>
            <w:r w:rsidRPr="00067AC4">
              <w:rPr>
                <w:sz w:val="20"/>
                <w:szCs w:val="20"/>
              </w:rPr>
              <w:t xml:space="preserve">en alle vor dem Gesetz gleich sein. Dagegen </w:t>
            </w:r>
            <w:r>
              <w:rPr>
                <w:sz w:val="20"/>
                <w:szCs w:val="20"/>
              </w:rPr>
              <w:t>verstoße</w:t>
            </w:r>
            <w:r w:rsidRPr="00067AC4">
              <w:rPr>
                <w:sz w:val="20"/>
                <w:szCs w:val="20"/>
              </w:rPr>
              <w:t xml:space="preserve"> aber ein solcher Eid.</w:t>
            </w:r>
            <w:r w:rsidRPr="00067AC4">
              <w:rPr>
                <w:sz w:val="20"/>
                <w:szCs w:val="20"/>
                <w:vertAlign w:val="superscript"/>
              </w:rPr>
              <w:footnoteReference w:id="1009"/>
            </w:r>
            <w:r w:rsidRPr="00067AC4">
              <w:rPr>
                <w:sz w:val="20"/>
                <w:szCs w:val="20"/>
              </w:rPr>
              <w:t xml:space="preserve"> Das Streben nach Glück ermöglich</w:t>
            </w:r>
            <w:r>
              <w:rPr>
                <w:sz w:val="20"/>
                <w:szCs w:val="20"/>
              </w:rPr>
              <w:t>e</w:t>
            </w:r>
            <w:r w:rsidRPr="00067AC4">
              <w:rPr>
                <w:sz w:val="20"/>
                <w:szCs w:val="20"/>
              </w:rPr>
              <w:t xml:space="preserve"> den gleichen Zugang zum Beruf</w:t>
            </w:r>
            <w:r>
              <w:rPr>
                <w:sz w:val="20"/>
                <w:szCs w:val="20"/>
              </w:rPr>
              <w:t xml:space="preserve"> als eines der </w:t>
            </w:r>
            <w:r w:rsidRPr="00067AC4">
              <w:rPr>
                <w:sz w:val="20"/>
                <w:szCs w:val="20"/>
              </w:rPr>
              <w:t>sog. „</w:t>
            </w:r>
            <w:proofErr w:type="spellStart"/>
            <w:r w:rsidRPr="00067AC4">
              <w:rPr>
                <w:sz w:val="20"/>
                <w:szCs w:val="20"/>
              </w:rPr>
              <w:t>unenumerated</w:t>
            </w:r>
            <w:proofErr w:type="spellEnd"/>
            <w:r w:rsidRPr="00067AC4">
              <w:rPr>
                <w:sz w:val="20"/>
                <w:szCs w:val="20"/>
              </w:rPr>
              <w:t xml:space="preserve"> Rights“</w:t>
            </w:r>
            <w:r>
              <w:rPr>
                <w:sz w:val="20"/>
                <w:szCs w:val="20"/>
              </w:rPr>
              <w:t>.</w:t>
            </w:r>
            <w:r w:rsidRPr="00067AC4">
              <w:rPr>
                <w:sz w:val="20"/>
                <w:szCs w:val="20"/>
                <w:vertAlign w:val="superscript"/>
              </w:rPr>
              <w:footnoteReference w:id="1010"/>
            </w:r>
          </w:p>
          <w:p w14:paraId="35CF9B6B" w14:textId="77777777" w:rsidR="00074551" w:rsidRPr="00E50B51" w:rsidRDefault="00074551" w:rsidP="00367133">
            <w:pPr>
              <w:jc w:val="both"/>
              <w:rPr>
                <w:sz w:val="20"/>
                <w:szCs w:val="20"/>
              </w:rPr>
            </w:pPr>
          </w:p>
        </w:tc>
      </w:tr>
      <w:tr w:rsidR="00074551" w:rsidRPr="00E50B51" w14:paraId="75EFBFCD" w14:textId="77777777" w:rsidTr="0089283E">
        <w:trPr>
          <w:cantSplit/>
          <w:trHeight w:val="3175"/>
        </w:trPr>
        <w:tc>
          <w:tcPr>
            <w:tcW w:w="293" w:type="pct"/>
            <w:shd w:val="clear" w:color="auto" w:fill="E7E6E6" w:themeFill="background2"/>
          </w:tcPr>
          <w:p w14:paraId="686E271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64DF80BD"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6D5AC081" w14:textId="77777777" w:rsidR="00074551" w:rsidRPr="00E50B51" w:rsidRDefault="00074551" w:rsidP="00367133">
            <w:pPr>
              <w:ind w:left="113" w:right="113"/>
              <w:jc w:val="both"/>
              <w:rPr>
                <w:sz w:val="20"/>
                <w:szCs w:val="20"/>
              </w:rPr>
            </w:pPr>
            <w:r w:rsidRPr="00E50B51">
              <w:rPr>
                <w:sz w:val="20"/>
                <w:szCs w:val="20"/>
              </w:rPr>
              <w:t xml:space="preserve">Substantive Due </w:t>
            </w:r>
            <w:proofErr w:type="spellStart"/>
            <w:r w:rsidRPr="00E50B51">
              <w:rPr>
                <w:sz w:val="20"/>
                <w:szCs w:val="20"/>
              </w:rPr>
              <w:t>Process</w:t>
            </w:r>
            <w:proofErr w:type="spellEnd"/>
          </w:p>
        </w:tc>
        <w:tc>
          <w:tcPr>
            <w:tcW w:w="306" w:type="pct"/>
            <w:shd w:val="clear" w:color="auto" w:fill="E7E6E6" w:themeFill="background2"/>
            <w:textDirection w:val="tbRl"/>
            <w:vAlign w:val="center"/>
          </w:tcPr>
          <w:p w14:paraId="4D97F9A4" w14:textId="77777777" w:rsidR="00074551" w:rsidRPr="00E50B51" w:rsidRDefault="00074551" w:rsidP="00367133">
            <w:pPr>
              <w:ind w:left="113" w:right="113"/>
              <w:jc w:val="both"/>
              <w:rPr>
                <w:sz w:val="20"/>
                <w:szCs w:val="20"/>
              </w:rPr>
            </w:pPr>
            <w:r w:rsidRPr="00E50B51">
              <w:rPr>
                <w:sz w:val="20"/>
                <w:szCs w:val="20"/>
              </w:rPr>
              <w:t>Scope</w:t>
            </w:r>
          </w:p>
        </w:tc>
        <w:tc>
          <w:tcPr>
            <w:tcW w:w="401" w:type="pct"/>
            <w:shd w:val="clear" w:color="auto" w:fill="E7E6E6" w:themeFill="background2"/>
          </w:tcPr>
          <w:p w14:paraId="5A50EE41"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DD1201B" w14:textId="77777777" w:rsidR="00074551" w:rsidRPr="00E50B51" w:rsidRDefault="00074551" w:rsidP="00367133">
            <w:pPr>
              <w:jc w:val="both"/>
              <w:rPr>
                <w:sz w:val="20"/>
                <w:szCs w:val="20"/>
              </w:rPr>
            </w:pPr>
          </w:p>
        </w:tc>
        <w:tc>
          <w:tcPr>
            <w:tcW w:w="1822" w:type="pct"/>
            <w:shd w:val="clear" w:color="auto" w:fill="E7E6E6" w:themeFill="background2"/>
          </w:tcPr>
          <w:p w14:paraId="0AC9AC9D" w14:textId="62E25DDB" w:rsidR="00074551" w:rsidRPr="00E50B51" w:rsidRDefault="0089283E" w:rsidP="0089283E">
            <w:pPr>
              <w:rPr>
                <w:sz w:val="20"/>
                <w:szCs w:val="20"/>
              </w:rPr>
            </w:pPr>
            <w:r w:rsidRPr="00A15DB3">
              <w:rPr>
                <w:i/>
                <w:iCs/>
                <w:sz w:val="16"/>
                <w:szCs w:val="16"/>
              </w:rPr>
              <w:t>Thematische Gliederung der nachfolgenden Entscheidungen ↓</w:t>
            </w:r>
          </w:p>
        </w:tc>
      </w:tr>
      <w:tr w:rsidR="00074551" w:rsidRPr="00E85A71" w14:paraId="4926EC9B" w14:textId="77777777" w:rsidTr="00BE689F">
        <w:trPr>
          <w:cantSplit/>
          <w:trHeight w:val="3175"/>
        </w:trPr>
        <w:tc>
          <w:tcPr>
            <w:tcW w:w="293" w:type="pct"/>
          </w:tcPr>
          <w:p w14:paraId="099E013B"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DA1DB2D" w14:textId="77777777" w:rsidR="00074551" w:rsidRPr="00E50B51" w:rsidRDefault="00074551" w:rsidP="00367133">
            <w:pPr>
              <w:ind w:left="113" w:right="416"/>
              <w:jc w:val="both"/>
              <w:rPr>
                <w:sz w:val="20"/>
                <w:szCs w:val="20"/>
              </w:rPr>
            </w:pPr>
            <w:r w:rsidRPr="009E57E1">
              <w:rPr>
                <w:i/>
                <w:sz w:val="20"/>
                <w:szCs w:val="20"/>
              </w:rPr>
              <w:t>Meyer v. Nebraska</w:t>
            </w:r>
          </w:p>
        </w:tc>
        <w:tc>
          <w:tcPr>
            <w:tcW w:w="197" w:type="pct"/>
            <w:textDirection w:val="tbRl"/>
            <w:vAlign w:val="center"/>
          </w:tcPr>
          <w:p w14:paraId="1561FD4E" w14:textId="77777777" w:rsidR="00074551" w:rsidRPr="00E50B51" w:rsidRDefault="00074551" w:rsidP="00367133">
            <w:pPr>
              <w:ind w:left="113" w:right="113"/>
              <w:jc w:val="both"/>
              <w:rPr>
                <w:sz w:val="20"/>
                <w:szCs w:val="20"/>
              </w:rPr>
            </w:pPr>
            <w:r w:rsidRPr="00E50B51">
              <w:rPr>
                <w:sz w:val="20"/>
                <w:szCs w:val="20"/>
                <w:lang w:val="en-US"/>
              </w:rPr>
              <w:t>262 U.S. 390</w:t>
            </w:r>
          </w:p>
        </w:tc>
        <w:tc>
          <w:tcPr>
            <w:tcW w:w="306" w:type="pct"/>
            <w:textDirection w:val="tbRl"/>
            <w:vAlign w:val="center"/>
          </w:tcPr>
          <w:p w14:paraId="6B3F5666" w14:textId="77777777" w:rsidR="00074551" w:rsidRPr="00E50B51" w:rsidRDefault="00074551" w:rsidP="00367133">
            <w:pPr>
              <w:ind w:left="113" w:right="113"/>
              <w:jc w:val="both"/>
              <w:rPr>
                <w:sz w:val="20"/>
                <w:szCs w:val="20"/>
              </w:rPr>
            </w:pPr>
            <w:r w:rsidRPr="00E50B51">
              <w:rPr>
                <w:sz w:val="20"/>
                <w:szCs w:val="20"/>
              </w:rPr>
              <w:t>4. Juni 1923</w:t>
            </w:r>
          </w:p>
        </w:tc>
        <w:tc>
          <w:tcPr>
            <w:tcW w:w="401" w:type="pct"/>
          </w:tcPr>
          <w:p w14:paraId="77E288AD" w14:textId="77777777" w:rsidR="00074551" w:rsidRPr="00E50B51" w:rsidRDefault="00074551" w:rsidP="00367133">
            <w:pPr>
              <w:jc w:val="center"/>
              <w:rPr>
                <w:sz w:val="20"/>
                <w:szCs w:val="20"/>
              </w:rPr>
            </w:pPr>
            <w:r w:rsidRPr="00E50B51">
              <w:rPr>
                <w:sz w:val="20"/>
                <w:szCs w:val="20"/>
              </w:rPr>
              <w:t>S/M</w:t>
            </w:r>
          </w:p>
        </w:tc>
        <w:tc>
          <w:tcPr>
            <w:tcW w:w="1594" w:type="pct"/>
          </w:tcPr>
          <w:p w14:paraId="48A25E31" w14:textId="74F3C878" w:rsidR="00074551" w:rsidRPr="00E50B51" w:rsidRDefault="00074551" w:rsidP="00367133">
            <w:pPr>
              <w:jc w:val="both"/>
              <w:rPr>
                <w:sz w:val="20"/>
                <w:szCs w:val="20"/>
              </w:rPr>
            </w:pPr>
            <w:r w:rsidRPr="00E50B51">
              <w:rPr>
                <w:sz w:val="20"/>
                <w:szCs w:val="20"/>
              </w:rPr>
              <w:t>Im Fall erließ der Bundesstaat Nebraska ein Gesetz</w:t>
            </w:r>
            <w:r>
              <w:rPr>
                <w:sz w:val="20"/>
                <w:szCs w:val="20"/>
              </w:rPr>
              <w:t xml:space="preserve"> (</w:t>
            </w:r>
            <w:r w:rsidRPr="00E50B51">
              <w:rPr>
                <w:sz w:val="20"/>
                <w:szCs w:val="20"/>
              </w:rPr>
              <w:t>Laws 1919, c. 249</w:t>
            </w:r>
            <w:r w:rsidRPr="00E50B51">
              <w:rPr>
                <w:sz w:val="20"/>
                <w:szCs w:val="20"/>
                <w:vertAlign w:val="superscript"/>
              </w:rPr>
              <w:footnoteReference w:id="1011"/>
            </w:r>
            <w:r>
              <w:rPr>
                <w:sz w:val="20"/>
                <w:szCs w:val="20"/>
              </w:rPr>
              <w:t>)</w:t>
            </w:r>
            <w:r w:rsidRPr="00E50B51">
              <w:rPr>
                <w:sz w:val="20"/>
                <w:szCs w:val="20"/>
              </w:rPr>
              <w:t>, welches verbot, Grundschulkinder in einer anderen Sprache als Englisch zu unterrichten</w:t>
            </w:r>
            <w:r>
              <w:rPr>
                <w:sz w:val="20"/>
                <w:szCs w:val="20"/>
              </w:rPr>
              <w:t>. Aber d</w:t>
            </w:r>
            <w:r w:rsidRPr="00E50B51">
              <w:rPr>
                <w:sz w:val="20"/>
                <w:szCs w:val="20"/>
              </w:rPr>
              <w:t xml:space="preserve">er </w:t>
            </w:r>
            <w:r>
              <w:rPr>
                <w:sz w:val="20"/>
                <w:szCs w:val="20"/>
              </w:rPr>
              <w:t>U.S. Supreme Court</w:t>
            </w:r>
            <w:r w:rsidRPr="00E50B51">
              <w:rPr>
                <w:sz w:val="20"/>
                <w:szCs w:val="20"/>
              </w:rPr>
              <w:t xml:space="preserve"> erklärte jenes Gesetz für verfassungswidrig wegen seines Verstoßes gegen die Freiheitsrechte</w:t>
            </w:r>
            <w:r>
              <w:rPr>
                <w:sz w:val="20"/>
                <w:szCs w:val="20"/>
              </w:rPr>
              <w:t xml:space="preserve"> wie die Erziehungs- und Bildungsfreiheit</w:t>
            </w:r>
            <w:r w:rsidRPr="00E50B51">
              <w:rPr>
                <w:sz w:val="20"/>
                <w:szCs w:val="20"/>
              </w:rPr>
              <w:t xml:space="preserve">, welche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E50B51">
              <w:rPr>
                <w:sz w:val="20"/>
                <w:szCs w:val="20"/>
              </w:rPr>
              <w:t>schützt.</w:t>
            </w:r>
            <w:r w:rsidRPr="5B67C1D2">
              <w:rPr>
                <w:rStyle w:val="Funotenzeichen"/>
                <w:rFonts w:eastAsiaTheme="majorEastAsia"/>
                <w:sz w:val="20"/>
                <w:szCs w:val="20"/>
              </w:rPr>
              <w:footnoteReference w:id="1012"/>
            </w:r>
          </w:p>
          <w:p w14:paraId="180455B2" w14:textId="77777777" w:rsidR="00074551" w:rsidRPr="00E50B51" w:rsidRDefault="00074551" w:rsidP="00367133">
            <w:pPr>
              <w:jc w:val="both"/>
              <w:rPr>
                <w:sz w:val="20"/>
                <w:szCs w:val="20"/>
              </w:rPr>
            </w:pPr>
          </w:p>
        </w:tc>
        <w:tc>
          <w:tcPr>
            <w:tcW w:w="1822" w:type="pct"/>
          </w:tcPr>
          <w:p w14:paraId="7958439C" w14:textId="41096AA6" w:rsidR="00074551" w:rsidRPr="00E85A71" w:rsidRDefault="00074551" w:rsidP="00367133">
            <w:pPr>
              <w:jc w:val="both"/>
              <w:rPr>
                <w:sz w:val="20"/>
                <w:szCs w:val="20"/>
              </w:rPr>
            </w:pPr>
            <w:r w:rsidRPr="00E85A71">
              <w:rPr>
                <w:sz w:val="20"/>
                <w:szCs w:val="20"/>
              </w:rPr>
              <w:t xml:space="preserve">Der </w:t>
            </w:r>
            <w:r>
              <w:rPr>
                <w:sz w:val="20"/>
                <w:szCs w:val="20"/>
              </w:rPr>
              <w:t>U.S. Supreme Court</w:t>
            </w:r>
            <w:r w:rsidRPr="00E85A71">
              <w:rPr>
                <w:sz w:val="20"/>
                <w:szCs w:val="20"/>
              </w:rPr>
              <w:t xml:space="preserve"> erklärte nicht weniger, als dass der Freiheitsbegriff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85A71">
              <w:rPr>
                <w:sz w:val="20"/>
                <w:szCs w:val="20"/>
              </w:rPr>
              <w:t xml:space="preserve"> die Bedingungen für ein Streben nach Glück zusammenfasse („The </w:t>
            </w:r>
            <w:proofErr w:type="spellStart"/>
            <w:r w:rsidRPr="00E85A71">
              <w:rPr>
                <w:sz w:val="20"/>
                <w:szCs w:val="20"/>
              </w:rPr>
              <w:t>liberty</w:t>
            </w:r>
            <w:proofErr w:type="spellEnd"/>
            <w:r w:rsidRPr="00E85A71">
              <w:rPr>
                <w:sz w:val="20"/>
                <w:szCs w:val="20"/>
              </w:rPr>
              <w:t xml:space="preserve"> </w:t>
            </w:r>
            <w:proofErr w:type="spellStart"/>
            <w:r w:rsidRPr="00E85A71">
              <w:rPr>
                <w:sz w:val="20"/>
                <w:szCs w:val="20"/>
              </w:rPr>
              <w:t>guaranteed</w:t>
            </w:r>
            <w:proofErr w:type="spellEnd"/>
            <w:r w:rsidRPr="00E85A71">
              <w:rPr>
                <w:sz w:val="20"/>
                <w:szCs w:val="20"/>
              </w:rPr>
              <w:t xml:space="preserve"> </w:t>
            </w:r>
            <w:proofErr w:type="spellStart"/>
            <w:r w:rsidRPr="00E85A71">
              <w:rPr>
                <w:sz w:val="20"/>
                <w:szCs w:val="20"/>
              </w:rPr>
              <w:t>under</w:t>
            </w:r>
            <w:proofErr w:type="spellEnd"/>
            <w:r w:rsidRPr="00E85A71">
              <w:rPr>
                <w:sz w:val="20"/>
                <w:szCs w:val="20"/>
              </w:rPr>
              <w:t xml:space="preserve"> U.S. </w:t>
            </w:r>
            <w:proofErr w:type="spellStart"/>
            <w:r w:rsidRPr="00E85A71">
              <w:rPr>
                <w:sz w:val="20"/>
                <w:szCs w:val="20"/>
              </w:rPr>
              <w:t>Const</w:t>
            </w:r>
            <w:proofErr w:type="spellEnd"/>
            <w:r w:rsidRPr="00E85A71">
              <w:rPr>
                <w:sz w:val="20"/>
                <w:szCs w:val="20"/>
              </w:rPr>
              <w:t xml:space="preserve">. </w:t>
            </w:r>
            <w:proofErr w:type="spellStart"/>
            <w:r w:rsidRPr="00E85A71">
              <w:rPr>
                <w:sz w:val="20"/>
                <w:szCs w:val="20"/>
              </w:rPr>
              <w:t>amend</w:t>
            </w:r>
            <w:proofErr w:type="spellEnd"/>
            <w:r w:rsidRPr="00E85A71">
              <w:rPr>
                <w:sz w:val="20"/>
                <w:szCs w:val="20"/>
              </w:rPr>
              <w:t xml:space="preserve">. </w:t>
            </w:r>
            <w:r w:rsidRPr="00E85A71">
              <w:rPr>
                <w:sz w:val="20"/>
                <w:szCs w:val="20"/>
                <w:lang w:val="en-US"/>
              </w:rPr>
              <w:t xml:space="preserve">XIV denotes […] those privileges long recognized at common law as essential to the orderly pursuit of happiness by free </w:t>
            </w:r>
            <w:proofErr w:type="gramStart"/>
            <w:r w:rsidRPr="00E85A71">
              <w:rPr>
                <w:sz w:val="20"/>
                <w:szCs w:val="20"/>
                <w:lang w:val="en-US"/>
              </w:rPr>
              <w:t>men“</w:t>
            </w:r>
            <w:proofErr w:type="gramEnd"/>
            <w:r w:rsidRPr="00E85A71">
              <w:rPr>
                <w:sz w:val="20"/>
                <w:szCs w:val="20"/>
                <w:vertAlign w:val="superscript"/>
                <w:lang w:val="en-US"/>
              </w:rPr>
              <w:footnoteReference w:id="1013"/>
            </w:r>
            <w:r w:rsidRPr="00E85A71">
              <w:rPr>
                <w:sz w:val="20"/>
                <w:szCs w:val="20"/>
                <w:lang w:val="en-US"/>
              </w:rPr>
              <w:t xml:space="preserve">), </w:t>
            </w:r>
            <w:proofErr w:type="spellStart"/>
            <w:r w:rsidRPr="00E85A71">
              <w:rPr>
                <w:sz w:val="20"/>
                <w:szCs w:val="20"/>
                <w:lang w:val="en-US"/>
              </w:rPr>
              <w:t>wobei</w:t>
            </w:r>
            <w:proofErr w:type="spellEnd"/>
            <w:r w:rsidRPr="00E85A71">
              <w:rPr>
                <w:sz w:val="20"/>
                <w:szCs w:val="20"/>
                <w:lang w:val="en-US"/>
              </w:rPr>
              <w:t xml:space="preserve"> </w:t>
            </w:r>
            <w:proofErr w:type="spellStart"/>
            <w:r>
              <w:rPr>
                <w:sz w:val="20"/>
                <w:szCs w:val="20"/>
                <w:lang w:val="en-US"/>
              </w:rPr>
              <w:t>z.B.</w:t>
            </w:r>
            <w:proofErr w:type="spellEnd"/>
            <w:r w:rsidRPr="00E85A71">
              <w:rPr>
                <w:sz w:val="20"/>
                <w:szCs w:val="20"/>
                <w:lang w:val="en-US"/>
              </w:rPr>
              <w:t xml:space="preserve"> </w:t>
            </w:r>
            <w:proofErr w:type="spellStart"/>
            <w:r w:rsidRPr="00E85A71">
              <w:rPr>
                <w:sz w:val="20"/>
                <w:szCs w:val="20"/>
                <w:lang w:val="en-US"/>
              </w:rPr>
              <w:t>ein</w:t>
            </w:r>
            <w:proofErr w:type="spellEnd"/>
            <w:r w:rsidRPr="00E85A71">
              <w:rPr>
                <w:sz w:val="20"/>
                <w:szCs w:val="20"/>
                <w:lang w:val="en-US"/>
              </w:rPr>
              <w:t xml:space="preserve"> </w:t>
            </w:r>
            <w:proofErr w:type="spellStart"/>
            <w:r w:rsidRPr="00E85A71">
              <w:rPr>
                <w:sz w:val="20"/>
                <w:szCs w:val="20"/>
                <w:lang w:val="en-US"/>
              </w:rPr>
              <w:t>Bildungsminimum</w:t>
            </w:r>
            <w:proofErr w:type="spellEnd"/>
            <w:r w:rsidRPr="00E85A71">
              <w:rPr>
                <w:sz w:val="20"/>
                <w:szCs w:val="20"/>
                <w:lang w:val="en-US"/>
              </w:rPr>
              <w:t xml:space="preserve">, </w:t>
            </w:r>
            <w:proofErr w:type="spellStart"/>
            <w:r w:rsidRPr="00E85A71">
              <w:rPr>
                <w:sz w:val="20"/>
                <w:szCs w:val="20"/>
                <w:lang w:val="en-US"/>
              </w:rPr>
              <w:t>aber</w:t>
            </w:r>
            <w:proofErr w:type="spellEnd"/>
            <w:r w:rsidRPr="00E85A71">
              <w:rPr>
                <w:sz w:val="20"/>
                <w:szCs w:val="20"/>
                <w:lang w:val="en-US"/>
              </w:rPr>
              <w:t xml:space="preserve"> </w:t>
            </w:r>
            <w:proofErr w:type="spellStart"/>
            <w:r w:rsidRPr="00E85A71">
              <w:rPr>
                <w:sz w:val="20"/>
                <w:szCs w:val="20"/>
                <w:lang w:val="en-US"/>
              </w:rPr>
              <w:t>keine</w:t>
            </w:r>
            <w:proofErr w:type="spellEnd"/>
            <w:r w:rsidRPr="00E85A71">
              <w:rPr>
                <w:sz w:val="20"/>
                <w:szCs w:val="20"/>
                <w:lang w:val="en-US"/>
              </w:rPr>
              <w:t xml:space="preserve"> </w:t>
            </w:r>
            <w:proofErr w:type="spellStart"/>
            <w:r w:rsidRPr="00E85A71">
              <w:rPr>
                <w:sz w:val="20"/>
                <w:szCs w:val="20"/>
                <w:lang w:val="en-US"/>
              </w:rPr>
              <w:t>Bildungshöchstgrenze</w:t>
            </w:r>
            <w:proofErr w:type="spellEnd"/>
            <w:r w:rsidRPr="00E85A71">
              <w:rPr>
                <w:sz w:val="20"/>
                <w:szCs w:val="20"/>
                <w:lang w:val="en-US"/>
              </w:rPr>
              <w:t xml:space="preserve">, das </w:t>
            </w:r>
            <w:proofErr w:type="spellStart"/>
            <w:r w:rsidRPr="00E85A71">
              <w:rPr>
                <w:sz w:val="20"/>
                <w:szCs w:val="20"/>
                <w:lang w:val="en-US"/>
              </w:rPr>
              <w:t>Streben</w:t>
            </w:r>
            <w:proofErr w:type="spellEnd"/>
            <w:r w:rsidRPr="00E85A71">
              <w:rPr>
                <w:sz w:val="20"/>
                <w:szCs w:val="20"/>
                <w:lang w:val="en-US"/>
              </w:rPr>
              <w:t xml:space="preserve"> </w:t>
            </w:r>
            <w:proofErr w:type="spellStart"/>
            <w:r w:rsidRPr="00E85A71">
              <w:rPr>
                <w:sz w:val="20"/>
                <w:szCs w:val="20"/>
                <w:lang w:val="en-US"/>
              </w:rPr>
              <w:t>nach</w:t>
            </w:r>
            <w:proofErr w:type="spellEnd"/>
            <w:r w:rsidRPr="00E85A71">
              <w:rPr>
                <w:sz w:val="20"/>
                <w:szCs w:val="20"/>
                <w:lang w:val="en-US"/>
              </w:rPr>
              <w:t xml:space="preserve"> Glück </w:t>
            </w:r>
            <w:proofErr w:type="spellStart"/>
            <w:r w:rsidRPr="00E85A71">
              <w:rPr>
                <w:sz w:val="20"/>
                <w:szCs w:val="20"/>
                <w:lang w:val="en-US"/>
              </w:rPr>
              <w:t>sichere</w:t>
            </w:r>
            <w:proofErr w:type="spellEnd"/>
            <w:r w:rsidRPr="00E85A71">
              <w:rPr>
                <w:sz w:val="20"/>
                <w:szCs w:val="20"/>
                <w:lang w:val="en-US"/>
              </w:rPr>
              <w:t xml:space="preserve">. </w:t>
            </w:r>
            <w:r w:rsidRPr="00E85A71">
              <w:rPr>
                <w:sz w:val="20"/>
                <w:szCs w:val="20"/>
              </w:rPr>
              <w:t xml:space="preserve">Die Freiheit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85A71">
              <w:rPr>
                <w:sz w:val="20"/>
                <w:szCs w:val="20"/>
              </w:rPr>
              <w:t xml:space="preserve"> bestimme sich also anhand der Bedingungen für </w:t>
            </w:r>
            <w:r>
              <w:rPr>
                <w:sz w:val="20"/>
                <w:szCs w:val="20"/>
              </w:rPr>
              <w:t>das</w:t>
            </w:r>
            <w:r w:rsidRPr="00E85A71">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E85A71">
              <w:rPr>
                <w:sz w:val="20"/>
                <w:szCs w:val="20"/>
              </w:rPr>
              <w:t xml:space="preserve"> (sog. </w:t>
            </w:r>
            <w:r w:rsidRPr="00434DBD">
              <w:rPr>
                <w:sz w:val="20"/>
                <w:szCs w:val="20"/>
              </w:rPr>
              <w:t>„</w:t>
            </w:r>
            <w:proofErr w:type="spellStart"/>
            <w:r w:rsidRPr="00B45592">
              <w:rPr>
                <w:sz w:val="20"/>
                <w:szCs w:val="20"/>
              </w:rPr>
              <w:t>privileges</w:t>
            </w:r>
            <w:proofErr w:type="spellEnd"/>
            <w:r w:rsidRPr="00B45592">
              <w:rPr>
                <w:sz w:val="20"/>
                <w:szCs w:val="20"/>
              </w:rPr>
              <w:t xml:space="preserve"> </w:t>
            </w:r>
            <w:proofErr w:type="spellStart"/>
            <w:r w:rsidRPr="00B45592">
              <w:rPr>
                <w:sz w:val="20"/>
                <w:szCs w:val="20"/>
              </w:rPr>
              <w:t>long</w:t>
            </w:r>
            <w:proofErr w:type="spellEnd"/>
            <w:r w:rsidRPr="00B45592">
              <w:rPr>
                <w:sz w:val="20"/>
                <w:szCs w:val="20"/>
              </w:rPr>
              <w:t xml:space="preserve"> </w:t>
            </w:r>
            <w:proofErr w:type="spellStart"/>
            <w:r w:rsidRPr="00B45592">
              <w:rPr>
                <w:sz w:val="20"/>
                <w:szCs w:val="20"/>
              </w:rPr>
              <w:t>recognized</w:t>
            </w:r>
            <w:proofErr w:type="spellEnd"/>
            <w:r w:rsidRPr="00B45592">
              <w:rPr>
                <w:sz w:val="20"/>
                <w:szCs w:val="20"/>
              </w:rPr>
              <w:t xml:space="preserve"> at </w:t>
            </w:r>
            <w:proofErr w:type="spellStart"/>
            <w:r w:rsidRPr="00B45592">
              <w:rPr>
                <w:sz w:val="20"/>
                <w:szCs w:val="20"/>
              </w:rPr>
              <w:t>common</w:t>
            </w:r>
            <w:proofErr w:type="spellEnd"/>
            <w:r w:rsidRPr="00B45592">
              <w:rPr>
                <w:sz w:val="20"/>
                <w:szCs w:val="20"/>
              </w:rPr>
              <w:t xml:space="preserve"> </w:t>
            </w:r>
            <w:proofErr w:type="spellStart"/>
            <w:r w:rsidRPr="00B45592">
              <w:rPr>
                <w:sz w:val="20"/>
                <w:szCs w:val="20"/>
              </w:rPr>
              <w:t>law</w:t>
            </w:r>
            <w:proofErr w:type="spellEnd"/>
            <w:r w:rsidRPr="00B45592">
              <w:rPr>
                <w:sz w:val="20"/>
                <w:szCs w:val="20"/>
              </w:rPr>
              <w:t xml:space="preserve"> as essential to the </w:t>
            </w:r>
            <w:proofErr w:type="spellStart"/>
            <w:r w:rsidRPr="00B45592">
              <w:rPr>
                <w:sz w:val="20"/>
                <w:szCs w:val="20"/>
              </w:rPr>
              <w:t>orderly</w:t>
            </w:r>
            <w:proofErr w:type="spellEnd"/>
            <w:r w:rsidRPr="00B45592">
              <w:rPr>
                <w:sz w:val="20"/>
                <w:szCs w:val="20"/>
              </w:rPr>
              <w:t xml:space="preserve">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B45592">
              <w:rPr>
                <w:sz w:val="20"/>
                <w:szCs w:val="20"/>
              </w:rPr>
              <w:t xml:space="preserve"> by </w:t>
            </w:r>
            <w:proofErr w:type="spellStart"/>
            <w:r w:rsidRPr="00B45592">
              <w:rPr>
                <w:sz w:val="20"/>
                <w:szCs w:val="20"/>
              </w:rPr>
              <w:t>free</w:t>
            </w:r>
            <w:proofErr w:type="spellEnd"/>
            <w:r w:rsidRPr="00B45592">
              <w:rPr>
                <w:sz w:val="20"/>
                <w:szCs w:val="20"/>
              </w:rPr>
              <w:t xml:space="preserve"> </w:t>
            </w:r>
            <w:proofErr w:type="spellStart"/>
            <w:r w:rsidRPr="00B45592">
              <w:rPr>
                <w:sz w:val="20"/>
                <w:szCs w:val="20"/>
              </w:rPr>
              <w:t>men</w:t>
            </w:r>
            <w:proofErr w:type="spellEnd"/>
            <w:r w:rsidRPr="00E85A71">
              <w:rPr>
                <w:sz w:val="20"/>
                <w:szCs w:val="20"/>
              </w:rPr>
              <w:t>“</w:t>
            </w:r>
            <w:r w:rsidRPr="00E85A71">
              <w:rPr>
                <w:sz w:val="20"/>
                <w:szCs w:val="20"/>
                <w:vertAlign w:val="superscript"/>
              </w:rPr>
              <w:footnoteReference w:id="1014"/>
            </w:r>
            <w:r w:rsidRPr="00E85A71">
              <w:rPr>
                <w:sz w:val="20"/>
                <w:szCs w:val="20"/>
              </w:rPr>
              <w:t>) – gemeint sind konkret: die körperliche Unversehrtheit, die Vertragsfreiheit, die Berufswahl- und Berufsausübungsfreiheit, die Bildungsfreiheit, die Ehefreiheit, die Unverletzlichkeit der Wohnung, die Erziehungsfreiheit, die Religions- und Religionsausübungsfreiheit.</w:t>
            </w:r>
            <w:r w:rsidRPr="00E85A71">
              <w:rPr>
                <w:sz w:val="20"/>
                <w:szCs w:val="20"/>
                <w:vertAlign w:val="superscript"/>
              </w:rPr>
              <w:footnoteReference w:id="1015"/>
            </w:r>
            <w:r w:rsidRPr="00E85A71">
              <w:rPr>
                <w:sz w:val="20"/>
                <w:szCs w:val="20"/>
              </w:rPr>
              <w:t xml:space="preserve"> Und staatliche Maßnahmen dürften diese Freiheiten</w:t>
            </w:r>
            <w:r>
              <w:rPr>
                <w:sz w:val="20"/>
                <w:szCs w:val="20"/>
              </w:rPr>
              <w:t xml:space="preserve"> (</w:t>
            </w:r>
            <w:r w:rsidRPr="00E85A71">
              <w:rPr>
                <w:sz w:val="20"/>
                <w:szCs w:val="20"/>
              </w:rPr>
              <w:t xml:space="preserve">wie die </w:t>
            </w:r>
            <w:r>
              <w:rPr>
                <w:sz w:val="20"/>
                <w:szCs w:val="20"/>
              </w:rPr>
              <w:t xml:space="preserve">Freiheit, eine </w:t>
            </w:r>
            <w:r w:rsidRPr="00E85A71">
              <w:rPr>
                <w:sz w:val="20"/>
                <w:szCs w:val="20"/>
              </w:rPr>
              <w:t>Sprache lernen zu dürfen</w:t>
            </w:r>
            <w:r>
              <w:rPr>
                <w:sz w:val="20"/>
                <w:szCs w:val="20"/>
              </w:rPr>
              <w:t>)</w:t>
            </w:r>
            <w:r w:rsidRPr="00E85A71">
              <w:rPr>
                <w:sz w:val="20"/>
                <w:szCs w:val="20"/>
              </w:rPr>
              <w:t xml:space="preserve"> nicht unter dem Deckmantel des öffentlichen Interesses beeinträchtigen, wenn diese staatlichen Maßnahmen tatsächlich willkürlich wirk</w:t>
            </w:r>
            <w:r>
              <w:rPr>
                <w:sz w:val="20"/>
                <w:szCs w:val="20"/>
              </w:rPr>
              <w:t>t</w:t>
            </w:r>
            <w:r w:rsidRPr="00E85A71">
              <w:rPr>
                <w:sz w:val="20"/>
                <w:szCs w:val="20"/>
              </w:rPr>
              <w:t xml:space="preserve">en oder außer Verhältnis zu ihrem Zweck </w:t>
            </w:r>
            <w:r>
              <w:rPr>
                <w:sz w:val="20"/>
                <w:szCs w:val="20"/>
              </w:rPr>
              <w:t>stünden</w:t>
            </w:r>
            <w:r w:rsidRPr="00E85A71">
              <w:rPr>
                <w:sz w:val="20"/>
                <w:szCs w:val="20"/>
              </w:rPr>
              <w:t xml:space="preserve"> oder der Gesetzgeber unzuständig </w:t>
            </w:r>
            <w:r>
              <w:rPr>
                <w:sz w:val="20"/>
                <w:szCs w:val="20"/>
              </w:rPr>
              <w:t>sei</w:t>
            </w:r>
            <w:r w:rsidRPr="00E85A71">
              <w:rPr>
                <w:sz w:val="20"/>
                <w:szCs w:val="20"/>
              </w:rPr>
              <w:t>.</w:t>
            </w:r>
            <w:r w:rsidRPr="00E85A71">
              <w:rPr>
                <w:sz w:val="20"/>
                <w:szCs w:val="20"/>
                <w:vertAlign w:val="superscript"/>
              </w:rPr>
              <w:footnoteReference w:id="1016"/>
            </w:r>
            <w:r w:rsidRPr="00E85A71">
              <w:rPr>
                <w:sz w:val="20"/>
                <w:szCs w:val="20"/>
              </w:rPr>
              <w:t xml:space="preserve"> </w:t>
            </w:r>
            <w:proofErr w:type="spellStart"/>
            <w:r w:rsidRPr="00E85A71">
              <w:rPr>
                <w:sz w:val="20"/>
                <w:szCs w:val="20"/>
                <w:lang w:val="en-US"/>
              </w:rPr>
              <w:t>Über</w:t>
            </w:r>
            <w:proofErr w:type="spellEnd"/>
            <w:r w:rsidRPr="00E85A71">
              <w:rPr>
                <w:sz w:val="20"/>
                <w:szCs w:val="20"/>
                <w:lang w:val="en-US"/>
              </w:rPr>
              <w:t xml:space="preserve"> den Weg der </w:t>
            </w:r>
            <w:proofErr w:type="spellStart"/>
            <w:r w:rsidRPr="00E85A71">
              <w:rPr>
                <w:sz w:val="20"/>
                <w:szCs w:val="20"/>
                <w:lang w:val="en-US"/>
              </w:rPr>
              <w:t>Bedingungen</w:t>
            </w:r>
            <w:proofErr w:type="spellEnd"/>
            <w:r w:rsidRPr="00E85A71">
              <w:rPr>
                <w:sz w:val="20"/>
                <w:szCs w:val="20"/>
                <w:lang w:val="en-US"/>
              </w:rPr>
              <w:t xml:space="preserve"> für </w:t>
            </w:r>
            <w:proofErr w:type="spellStart"/>
            <w:r w:rsidRPr="00E85A71">
              <w:rPr>
                <w:sz w:val="20"/>
                <w:szCs w:val="20"/>
                <w:lang w:val="en-US"/>
              </w:rPr>
              <w:t>ein</w:t>
            </w:r>
            <w:proofErr w:type="spellEnd"/>
            <w:r w:rsidRPr="00E85A71">
              <w:rPr>
                <w:sz w:val="20"/>
                <w:szCs w:val="20"/>
                <w:lang w:val="en-US"/>
              </w:rPr>
              <w:t xml:space="preserve"> </w:t>
            </w:r>
            <w:proofErr w:type="spellStart"/>
            <w:r w:rsidRPr="00E85A71">
              <w:rPr>
                <w:sz w:val="20"/>
                <w:szCs w:val="20"/>
                <w:lang w:val="en-US"/>
              </w:rPr>
              <w:t>Streben</w:t>
            </w:r>
            <w:proofErr w:type="spellEnd"/>
            <w:r w:rsidRPr="00E85A71">
              <w:rPr>
                <w:sz w:val="20"/>
                <w:szCs w:val="20"/>
                <w:lang w:val="en-US"/>
              </w:rPr>
              <w:t xml:space="preserve"> </w:t>
            </w:r>
            <w:proofErr w:type="spellStart"/>
            <w:r w:rsidRPr="00E85A71">
              <w:rPr>
                <w:sz w:val="20"/>
                <w:szCs w:val="20"/>
                <w:lang w:val="en-US"/>
              </w:rPr>
              <w:t>nach</w:t>
            </w:r>
            <w:proofErr w:type="spellEnd"/>
            <w:r w:rsidRPr="00E85A71">
              <w:rPr>
                <w:sz w:val="20"/>
                <w:szCs w:val="20"/>
                <w:lang w:val="en-US"/>
              </w:rPr>
              <w:t xml:space="preserve"> Glück </w:t>
            </w:r>
            <w:proofErr w:type="spellStart"/>
            <w:r w:rsidRPr="00E85A71">
              <w:rPr>
                <w:sz w:val="20"/>
                <w:szCs w:val="20"/>
                <w:lang w:val="en-US"/>
              </w:rPr>
              <w:t>kann</w:t>
            </w:r>
            <w:proofErr w:type="spellEnd"/>
            <w:r w:rsidRPr="00E85A71">
              <w:rPr>
                <w:sz w:val="20"/>
                <w:szCs w:val="20"/>
                <w:lang w:val="en-US"/>
              </w:rPr>
              <w:t xml:space="preserve"> die </w:t>
            </w:r>
            <w:proofErr w:type="spellStart"/>
            <w:r w:rsidRPr="00E85A71">
              <w:rPr>
                <w:sz w:val="20"/>
                <w:szCs w:val="20"/>
                <w:lang w:val="en-US"/>
              </w:rPr>
              <w:t>Exekutive</w:t>
            </w:r>
            <w:proofErr w:type="spellEnd"/>
            <w:r w:rsidRPr="00E85A71">
              <w:rPr>
                <w:sz w:val="20"/>
                <w:szCs w:val="20"/>
                <w:lang w:val="en-US"/>
              </w:rPr>
              <w:t xml:space="preserve"> </w:t>
            </w:r>
            <w:proofErr w:type="spellStart"/>
            <w:r w:rsidRPr="00E85A71">
              <w:rPr>
                <w:sz w:val="20"/>
                <w:szCs w:val="20"/>
                <w:lang w:val="en-US"/>
              </w:rPr>
              <w:t>zwar</w:t>
            </w:r>
            <w:proofErr w:type="spellEnd"/>
            <w:r w:rsidRPr="00E85A71">
              <w:rPr>
                <w:sz w:val="20"/>
                <w:szCs w:val="20"/>
                <w:lang w:val="en-US"/>
              </w:rPr>
              <w:t xml:space="preserve"> </w:t>
            </w:r>
            <w:proofErr w:type="spellStart"/>
            <w:r w:rsidRPr="00E85A71">
              <w:rPr>
                <w:sz w:val="20"/>
                <w:szCs w:val="20"/>
                <w:lang w:val="en-US"/>
              </w:rPr>
              <w:t>ein</w:t>
            </w:r>
            <w:proofErr w:type="spellEnd"/>
            <w:r w:rsidRPr="00E85A71">
              <w:rPr>
                <w:sz w:val="20"/>
                <w:szCs w:val="20"/>
                <w:lang w:val="en-US"/>
              </w:rPr>
              <w:t xml:space="preserve"> </w:t>
            </w:r>
            <w:proofErr w:type="spellStart"/>
            <w:r w:rsidRPr="00E85A71">
              <w:rPr>
                <w:sz w:val="20"/>
                <w:szCs w:val="20"/>
                <w:lang w:val="en-US"/>
              </w:rPr>
              <w:t>Mindestmaß</w:t>
            </w:r>
            <w:proofErr w:type="spellEnd"/>
            <w:r w:rsidRPr="00E85A71">
              <w:rPr>
                <w:sz w:val="20"/>
                <w:szCs w:val="20"/>
                <w:lang w:val="en-US"/>
              </w:rPr>
              <w:t xml:space="preserve"> an </w:t>
            </w:r>
            <w:proofErr w:type="spellStart"/>
            <w:r w:rsidRPr="00E85A71">
              <w:rPr>
                <w:sz w:val="20"/>
                <w:szCs w:val="20"/>
                <w:lang w:val="en-US"/>
              </w:rPr>
              <w:t>Bildung</w:t>
            </w:r>
            <w:proofErr w:type="spellEnd"/>
            <w:r w:rsidRPr="00E85A71">
              <w:rPr>
                <w:sz w:val="20"/>
                <w:szCs w:val="20"/>
                <w:lang w:val="en-US"/>
              </w:rPr>
              <w:t xml:space="preserve"> </w:t>
            </w:r>
            <w:proofErr w:type="spellStart"/>
            <w:r w:rsidRPr="00E85A71">
              <w:rPr>
                <w:sz w:val="20"/>
                <w:szCs w:val="20"/>
                <w:lang w:val="en-US"/>
              </w:rPr>
              <w:t>festlegen</w:t>
            </w:r>
            <w:proofErr w:type="spellEnd"/>
            <w:r w:rsidRPr="00E85A71">
              <w:rPr>
                <w:sz w:val="20"/>
                <w:szCs w:val="20"/>
                <w:lang w:val="en-US"/>
              </w:rPr>
              <w:t xml:space="preserve"> (</w:t>
            </w:r>
            <w:r>
              <w:rPr>
                <w:sz w:val="20"/>
                <w:szCs w:val="20"/>
                <w:lang w:val="en-US"/>
              </w:rPr>
              <w:t>„</w:t>
            </w:r>
            <w:r w:rsidRPr="00B45592">
              <w:rPr>
                <w:sz w:val="20"/>
                <w:szCs w:val="20"/>
                <w:lang w:val="en-IE"/>
              </w:rPr>
              <w:t>The relation to the common good of a law</w:t>
            </w:r>
            <w:r w:rsidRPr="005073AF">
              <w:rPr>
                <w:sz w:val="20"/>
                <w:szCs w:val="20"/>
                <w:lang w:val="en-US"/>
              </w:rPr>
              <w:t xml:space="preserve"> </w:t>
            </w:r>
            <w:r w:rsidRPr="00E85A71">
              <w:rPr>
                <w:sz w:val="20"/>
                <w:szCs w:val="20"/>
                <w:lang w:val="en-US"/>
              </w:rPr>
              <w:t>fixing a minimum of education is readily perceived</w:t>
            </w:r>
            <w:r>
              <w:rPr>
                <w:sz w:val="20"/>
                <w:szCs w:val="20"/>
                <w:lang w:val="en-US"/>
              </w:rPr>
              <w:t>“</w:t>
            </w:r>
            <w:r w:rsidRPr="00E85A71">
              <w:rPr>
                <w:sz w:val="20"/>
                <w:szCs w:val="20"/>
                <w:vertAlign w:val="superscript"/>
                <w:lang w:val="en-US"/>
              </w:rPr>
              <w:footnoteReference w:id="1017"/>
            </w:r>
            <w:r w:rsidRPr="00E85A71">
              <w:rPr>
                <w:sz w:val="20"/>
                <w:szCs w:val="20"/>
                <w:lang w:val="en-US"/>
              </w:rPr>
              <w:t xml:space="preserve">), </w:t>
            </w:r>
            <w:proofErr w:type="spellStart"/>
            <w:r w:rsidRPr="00E85A71">
              <w:rPr>
                <w:sz w:val="20"/>
                <w:szCs w:val="20"/>
                <w:lang w:val="en-US"/>
              </w:rPr>
              <w:t>aber</w:t>
            </w:r>
            <w:proofErr w:type="spellEnd"/>
            <w:r w:rsidRPr="00E85A71">
              <w:rPr>
                <w:sz w:val="20"/>
                <w:szCs w:val="20"/>
                <w:lang w:val="en-US"/>
              </w:rPr>
              <w:t xml:space="preserve"> </w:t>
            </w:r>
            <w:proofErr w:type="spellStart"/>
            <w:r w:rsidRPr="00E85A71">
              <w:rPr>
                <w:sz w:val="20"/>
                <w:szCs w:val="20"/>
                <w:lang w:val="en-US"/>
              </w:rPr>
              <w:t>sie</w:t>
            </w:r>
            <w:proofErr w:type="spellEnd"/>
            <w:r w:rsidRPr="00E85A71">
              <w:rPr>
                <w:sz w:val="20"/>
                <w:szCs w:val="20"/>
                <w:lang w:val="en-US"/>
              </w:rPr>
              <w:t xml:space="preserve"> </w:t>
            </w:r>
            <w:proofErr w:type="spellStart"/>
            <w:r w:rsidRPr="00E85A71">
              <w:rPr>
                <w:sz w:val="20"/>
                <w:szCs w:val="20"/>
                <w:lang w:val="en-US"/>
              </w:rPr>
              <w:t>kann</w:t>
            </w:r>
            <w:proofErr w:type="spellEnd"/>
            <w:r w:rsidRPr="00E85A71">
              <w:rPr>
                <w:sz w:val="20"/>
                <w:szCs w:val="20"/>
                <w:lang w:val="en-US"/>
              </w:rPr>
              <w:t xml:space="preserve"> </w:t>
            </w:r>
            <w:proofErr w:type="spellStart"/>
            <w:r w:rsidRPr="00E85A71">
              <w:rPr>
                <w:sz w:val="20"/>
                <w:szCs w:val="20"/>
                <w:lang w:val="en-US"/>
              </w:rPr>
              <w:t>kein</w:t>
            </w:r>
            <w:proofErr w:type="spellEnd"/>
            <w:r w:rsidRPr="00E85A71">
              <w:rPr>
                <w:sz w:val="20"/>
                <w:szCs w:val="20"/>
                <w:lang w:val="en-US"/>
              </w:rPr>
              <w:t xml:space="preserve"> </w:t>
            </w:r>
            <w:proofErr w:type="spellStart"/>
            <w:r w:rsidRPr="00E85A71">
              <w:rPr>
                <w:sz w:val="20"/>
                <w:szCs w:val="20"/>
                <w:lang w:val="en-US"/>
              </w:rPr>
              <w:t>Höchstmaß</w:t>
            </w:r>
            <w:proofErr w:type="spellEnd"/>
            <w:r w:rsidRPr="00E85A71">
              <w:rPr>
                <w:sz w:val="20"/>
                <w:szCs w:val="20"/>
                <w:lang w:val="en-US"/>
              </w:rPr>
              <w:t xml:space="preserve"> </w:t>
            </w:r>
            <w:proofErr w:type="spellStart"/>
            <w:r w:rsidRPr="00E85A71">
              <w:rPr>
                <w:sz w:val="20"/>
                <w:szCs w:val="20"/>
                <w:lang w:val="en-US"/>
              </w:rPr>
              <w:t>bestimmen</w:t>
            </w:r>
            <w:proofErr w:type="spellEnd"/>
            <w:r w:rsidRPr="00E85A71">
              <w:rPr>
                <w:sz w:val="20"/>
                <w:szCs w:val="20"/>
                <w:lang w:val="en-US"/>
              </w:rPr>
              <w:t xml:space="preserve"> („,how one fixing a maximum </w:t>
            </w:r>
            <w:r>
              <w:rPr>
                <w:sz w:val="20"/>
                <w:szCs w:val="20"/>
                <w:lang w:val="en-US"/>
              </w:rPr>
              <w:t>–</w:t>
            </w:r>
            <w:r w:rsidRPr="00E85A71">
              <w:rPr>
                <w:sz w:val="20"/>
                <w:szCs w:val="20"/>
                <w:lang w:val="en-US"/>
              </w:rPr>
              <w:t xml:space="preserve"> limiting the field of human knowledge </w:t>
            </w:r>
            <w:r>
              <w:rPr>
                <w:sz w:val="20"/>
                <w:szCs w:val="20"/>
                <w:lang w:val="en-US"/>
              </w:rPr>
              <w:t>–</w:t>
            </w:r>
            <w:r w:rsidRPr="00E85A71">
              <w:rPr>
                <w:sz w:val="20"/>
                <w:szCs w:val="20"/>
                <w:lang w:val="en-US"/>
              </w:rPr>
              <w:t xml:space="preserve"> can serve the public welfare or add substantially to the security […] the pursuit of happiness is inconceivable.“</w:t>
            </w:r>
            <w:r w:rsidRPr="00E85A71">
              <w:rPr>
                <w:sz w:val="20"/>
                <w:szCs w:val="20"/>
                <w:vertAlign w:val="superscript"/>
                <w:lang w:val="en-US"/>
              </w:rPr>
              <w:footnoteReference w:id="1018"/>
            </w:r>
            <w:r w:rsidRPr="00E85A71">
              <w:rPr>
                <w:sz w:val="20"/>
                <w:szCs w:val="20"/>
              </w:rPr>
              <w:t>)</w:t>
            </w:r>
            <w:r>
              <w:rPr>
                <w:sz w:val="20"/>
                <w:szCs w:val="20"/>
              </w:rPr>
              <w:t>. Ein solches würde sich aber</w:t>
            </w:r>
            <w:r w:rsidRPr="00E85A71">
              <w:rPr>
                <w:sz w:val="20"/>
                <w:szCs w:val="20"/>
              </w:rPr>
              <w:t xml:space="preserve"> </w:t>
            </w:r>
            <w:r>
              <w:rPr>
                <w:sz w:val="20"/>
                <w:szCs w:val="20"/>
              </w:rPr>
              <w:t>z.B.</w:t>
            </w:r>
            <w:r w:rsidRPr="00E85A71">
              <w:rPr>
                <w:sz w:val="20"/>
                <w:szCs w:val="20"/>
              </w:rPr>
              <w:t xml:space="preserve"> ausdrück</w:t>
            </w:r>
            <w:r>
              <w:rPr>
                <w:sz w:val="20"/>
                <w:szCs w:val="20"/>
              </w:rPr>
              <w:t>en</w:t>
            </w:r>
            <w:r w:rsidRPr="00E85A71">
              <w:rPr>
                <w:sz w:val="20"/>
                <w:szCs w:val="20"/>
              </w:rPr>
              <w:t xml:space="preserve"> im Verbot, Deutsch zu lernen, um das vermei</w:t>
            </w:r>
            <w:r>
              <w:rPr>
                <w:sz w:val="20"/>
                <w:szCs w:val="20"/>
              </w:rPr>
              <w:t>nt</w:t>
            </w:r>
            <w:r w:rsidRPr="00E85A71">
              <w:rPr>
                <w:sz w:val="20"/>
                <w:szCs w:val="20"/>
              </w:rPr>
              <w:t>lich</w:t>
            </w:r>
            <w:r>
              <w:rPr>
                <w:sz w:val="20"/>
                <w:szCs w:val="20"/>
              </w:rPr>
              <w:t>e</w:t>
            </w:r>
            <w:r w:rsidRPr="00E85A71">
              <w:rPr>
                <w:sz w:val="20"/>
                <w:szCs w:val="20"/>
              </w:rPr>
              <w:t xml:space="preserve"> Ziel zu erreichen, mündige </w:t>
            </w:r>
            <w:r>
              <w:rPr>
                <w:sz w:val="20"/>
                <w:szCs w:val="20"/>
              </w:rPr>
              <w:t>US-</w:t>
            </w:r>
            <w:r w:rsidRPr="00E85A71">
              <w:rPr>
                <w:sz w:val="20"/>
                <w:szCs w:val="20"/>
              </w:rPr>
              <w:t>Bürger zu erziehen und nicht Bürger, die sich durch eine Fremdsprache einem anderen Staat andienen.</w:t>
            </w:r>
            <w:r w:rsidRPr="00E85A71">
              <w:rPr>
                <w:sz w:val="20"/>
                <w:szCs w:val="20"/>
                <w:vertAlign w:val="superscript"/>
              </w:rPr>
              <w:footnoteReference w:id="1019"/>
            </w:r>
          </w:p>
          <w:p w14:paraId="4A26AF7B" w14:textId="77777777" w:rsidR="00074551" w:rsidRPr="00E50B51" w:rsidRDefault="00074551" w:rsidP="00367133">
            <w:pPr>
              <w:jc w:val="both"/>
              <w:rPr>
                <w:sz w:val="20"/>
                <w:szCs w:val="20"/>
              </w:rPr>
            </w:pPr>
          </w:p>
        </w:tc>
      </w:tr>
      <w:tr w:rsidR="00074551" w:rsidRPr="00E50B51" w14:paraId="4C87F1A7" w14:textId="77777777" w:rsidTr="00BE689F">
        <w:trPr>
          <w:cantSplit/>
          <w:trHeight w:val="3175"/>
        </w:trPr>
        <w:tc>
          <w:tcPr>
            <w:tcW w:w="293" w:type="pct"/>
          </w:tcPr>
          <w:p w14:paraId="754FD7D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3192629" w14:textId="77777777" w:rsidR="00074551" w:rsidRPr="00E50B51" w:rsidRDefault="00074551" w:rsidP="00367133">
            <w:pPr>
              <w:ind w:left="113" w:right="416"/>
              <w:jc w:val="both"/>
              <w:rPr>
                <w:sz w:val="20"/>
                <w:szCs w:val="20"/>
                <w:lang w:val="en-US"/>
              </w:rPr>
            </w:pPr>
            <w:proofErr w:type="spellStart"/>
            <w:r w:rsidRPr="00584023">
              <w:rPr>
                <w:i/>
                <w:sz w:val="20"/>
                <w:szCs w:val="20"/>
              </w:rPr>
              <w:t>Bartemeyer</w:t>
            </w:r>
            <w:proofErr w:type="spellEnd"/>
            <w:r w:rsidRPr="00584023">
              <w:rPr>
                <w:i/>
                <w:sz w:val="20"/>
                <w:szCs w:val="20"/>
              </w:rPr>
              <w:t xml:space="preserve"> v. Iowa</w:t>
            </w:r>
          </w:p>
        </w:tc>
        <w:tc>
          <w:tcPr>
            <w:tcW w:w="197" w:type="pct"/>
            <w:textDirection w:val="tbRl"/>
            <w:vAlign w:val="center"/>
          </w:tcPr>
          <w:p w14:paraId="46D9A386" w14:textId="77777777" w:rsidR="00074551" w:rsidRPr="00E50B51" w:rsidRDefault="00074551" w:rsidP="00367133">
            <w:pPr>
              <w:ind w:left="113" w:right="113"/>
              <w:jc w:val="both"/>
              <w:rPr>
                <w:sz w:val="20"/>
                <w:szCs w:val="20"/>
                <w:lang w:val="en-US"/>
              </w:rPr>
            </w:pPr>
            <w:r w:rsidRPr="00E50B51">
              <w:rPr>
                <w:sz w:val="20"/>
                <w:szCs w:val="20"/>
                <w:lang w:val="en-US"/>
              </w:rPr>
              <w:t>85 U.S. 129</w:t>
            </w:r>
          </w:p>
        </w:tc>
        <w:tc>
          <w:tcPr>
            <w:tcW w:w="306" w:type="pct"/>
            <w:textDirection w:val="tbRl"/>
            <w:vAlign w:val="center"/>
          </w:tcPr>
          <w:p w14:paraId="2663211A" w14:textId="77777777" w:rsidR="00074551" w:rsidRPr="00E50B51" w:rsidRDefault="00074551" w:rsidP="00367133">
            <w:pPr>
              <w:ind w:left="113" w:right="113"/>
              <w:jc w:val="both"/>
              <w:rPr>
                <w:sz w:val="20"/>
                <w:szCs w:val="20"/>
                <w:lang w:val="en-US"/>
              </w:rPr>
            </w:pPr>
            <w:r w:rsidRPr="00E50B51">
              <w:rPr>
                <w:sz w:val="20"/>
                <w:szCs w:val="20"/>
              </w:rPr>
              <w:t>4. März 1874</w:t>
            </w:r>
          </w:p>
        </w:tc>
        <w:tc>
          <w:tcPr>
            <w:tcW w:w="401" w:type="pct"/>
          </w:tcPr>
          <w:p w14:paraId="43F9989E" w14:textId="77777777" w:rsidR="00074551" w:rsidRPr="00E50B51" w:rsidRDefault="00074551" w:rsidP="00367133">
            <w:pPr>
              <w:jc w:val="center"/>
              <w:rPr>
                <w:sz w:val="20"/>
                <w:szCs w:val="20"/>
              </w:rPr>
            </w:pPr>
            <w:r w:rsidRPr="00E50B51">
              <w:rPr>
                <w:sz w:val="20"/>
                <w:szCs w:val="20"/>
              </w:rPr>
              <w:t>C</w:t>
            </w:r>
          </w:p>
        </w:tc>
        <w:tc>
          <w:tcPr>
            <w:tcW w:w="1594" w:type="pct"/>
          </w:tcPr>
          <w:p w14:paraId="5960CBC0" w14:textId="77777777" w:rsidR="00074551" w:rsidRPr="00E50B51" w:rsidRDefault="00074551" w:rsidP="00367133">
            <w:pPr>
              <w:jc w:val="both"/>
              <w:rPr>
                <w:sz w:val="20"/>
                <w:szCs w:val="20"/>
              </w:rPr>
            </w:pPr>
            <w:r w:rsidRPr="00E50B51">
              <w:rPr>
                <w:sz w:val="20"/>
                <w:szCs w:val="20"/>
              </w:rPr>
              <w:t>*</w:t>
            </w:r>
          </w:p>
        </w:tc>
        <w:tc>
          <w:tcPr>
            <w:tcW w:w="1822" w:type="pct"/>
          </w:tcPr>
          <w:p w14:paraId="7175633B" w14:textId="2D452F61" w:rsidR="00074551" w:rsidRDefault="00074551" w:rsidP="00367133">
            <w:pPr>
              <w:jc w:val="both"/>
              <w:rPr>
                <w:sz w:val="20"/>
                <w:szCs w:val="20"/>
              </w:rPr>
            </w:pPr>
            <w:r w:rsidRPr="00033DAB">
              <w:rPr>
                <w:sz w:val="20"/>
                <w:szCs w:val="20"/>
              </w:rPr>
              <w:t xml:space="preserve">In </w:t>
            </w:r>
            <w:proofErr w:type="spellStart"/>
            <w:r w:rsidRPr="5B67C1D2">
              <w:rPr>
                <w:i/>
                <w:iCs/>
                <w:sz w:val="20"/>
                <w:szCs w:val="20"/>
              </w:rPr>
              <w:t>Bartemeyer</w:t>
            </w:r>
            <w:proofErr w:type="spellEnd"/>
            <w:r w:rsidRPr="5B67C1D2">
              <w:rPr>
                <w:i/>
                <w:iCs/>
                <w:sz w:val="20"/>
                <w:szCs w:val="20"/>
              </w:rPr>
              <w:t xml:space="preserve"> v. Iowa</w:t>
            </w:r>
            <w:r w:rsidRPr="00033DAB">
              <w:rPr>
                <w:sz w:val="20"/>
                <w:szCs w:val="20"/>
                <w:vertAlign w:val="superscript"/>
              </w:rPr>
              <w:footnoteReference w:id="1020"/>
            </w:r>
            <w:r w:rsidRPr="00033DAB">
              <w:rPr>
                <w:sz w:val="20"/>
                <w:szCs w:val="20"/>
              </w:rPr>
              <w:t xml:space="preserve"> bespricht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033DAB">
              <w:rPr>
                <w:sz w:val="20"/>
                <w:szCs w:val="20"/>
              </w:rPr>
              <w:t>, dass Gesetze das Streben nach Glück überhaupt nur einschränken könn</w:t>
            </w:r>
            <w:r>
              <w:rPr>
                <w:sz w:val="20"/>
                <w:szCs w:val="20"/>
              </w:rPr>
              <w:t>t</w:t>
            </w:r>
            <w:r w:rsidRPr="00033DAB">
              <w:rPr>
                <w:sz w:val="20"/>
                <w:szCs w:val="20"/>
              </w:rPr>
              <w:t>en, wenn sie dem öffentlichen Interesse dien</w:t>
            </w:r>
            <w:r>
              <w:rPr>
                <w:sz w:val="20"/>
                <w:szCs w:val="20"/>
              </w:rPr>
              <w:t>t</w:t>
            </w:r>
            <w:r w:rsidRPr="00033DAB">
              <w:rPr>
                <w:sz w:val="20"/>
                <w:szCs w:val="20"/>
              </w:rPr>
              <w:t xml:space="preserve">en. Bei der Einschränkung sei aber wegen des Strebens nach Glück als unabdingbarem Recht stets ein Minimum zu sichern wie </w:t>
            </w:r>
            <w:r>
              <w:rPr>
                <w:sz w:val="20"/>
                <w:szCs w:val="20"/>
              </w:rPr>
              <w:t>z.B.</w:t>
            </w:r>
            <w:r w:rsidRPr="00033DAB">
              <w:rPr>
                <w:sz w:val="20"/>
                <w:szCs w:val="20"/>
              </w:rPr>
              <w:t xml:space="preserve"> ein gleicher Zugang zur Berufsausübung. Konkret verwendet der </w:t>
            </w:r>
            <w:r>
              <w:rPr>
                <w:sz w:val="20"/>
                <w:szCs w:val="20"/>
              </w:rPr>
              <w:t>U.S. Supreme Court</w:t>
            </w:r>
            <w:r w:rsidRPr="00033DAB">
              <w:rPr>
                <w:sz w:val="20"/>
                <w:szCs w:val="20"/>
              </w:rPr>
              <w:t xml:space="preserve"> </w:t>
            </w:r>
            <w:r>
              <w:rPr>
                <w:sz w:val="20"/>
                <w:szCs w:val="20"/>
              </w:rPr>
              <w:t>das</w:t>
            </w:r>
            <w:r w:rsidRPr="00033DAB">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 </w:t>
            </w:r>
            <w:r w:rsidRPr="00033DAB">
              <w:rPr>
                <w:sz w:val="20"/>
                <w:szCs w:val="20"/>
              </w:rPr>
              <w:t xml:space="preserve">drei Mal: zwei Mal in der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033DAB">
              <w:rPr>
                <w:sz w:val="20"/>
                <w:szCs w:val="20"/>
              </w:rPr>
              <w:t xml:space="preserve"> von Richter </w:t>
            </w:r>
            <w:r w:rsidRPr="5B67C1D2">
              <w:rPr>
                <w:i/>
                <w:iCs/>
                <w:sz w:val="20"/>
                <w:szCs w:val="20"/>
              </w:rPr>
              <w:t>Bradley</w:t>
            </w:r>
            <w:r w:rsidRPr="00033DAB">
              <w:rPr>
                <w:sz w:val="20"/>
                <w:szCs w:val="20"/>
              </w:rPr>
              <w:t xml:space="preserve">, einmal in der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033DAB">
              <w:rPr>
                <w:sz w:val="20"/>
                <w:szCs w:val="20"/>
              </w:rPr>
              <w:t xml:space="preserve"> von Richter </w:t>
            </w:r>
            <w:r w:rsidRPr="5B67C1D2">
              <w:rPr>
                <w:i/>
                <w:iCs/>
                <w:sz w:val="20"/>
                <w:szCs w:val="20"/>
              </w:rPr>
              <w:t>Field</w:t>
            </w:r>
            <w:r w:rsidRPr="00033DAB">
              <w:rPr>
                <w:sz w:val="20"/>
                <w:szCs w:val="20"/>
              </w:rPr>
              <w:t xml:space="preserve">, die aber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033DAB">
              <w:rPr>
                <w:sz w:val="20"/>
                <w:szCs w:val="20"/>
              </w:rPr>
              <w:t xml:space="preserve"> betrifft.</w:t>
            </w:r>
            <w:r w:rsidRPr="00033DAB">
              <w:rPr>
                <w:sz w:val="20"/>
                <w:szCs w:val="20"/>
                <w:vertAlign w:val="superscript"/>
              </w:rPr>
              <w:footnoteReference w:id="1021"/>
            </w:r>
            <w:r w:rsidRPr="00033DAB">
              <w:rPr>
                <w:sz w:val="20"/>
                <w:szCs w:val="20"/>
              </w:rPr>
              <w:t xml:space="preserve"> Dabei schlossen sich</w:t>
            </w:r>
            <w:r>
              <w:rPr>
                <w:sz w:val="20"/>
                <w:szCs w:val="20"/>
              </w:rPr>
              <w:t xml:space="preserve"> die</w:t>
            </w:r>
            <w:r w:rsidRPr="00033DAB">
              <w:rPr>
                <w:sz w:val="20"/>
                <w:szCs w:val="20"/>
              </w:rPr>
              <w:t xml:space="preserve"> Richter </w:t>
            </w:r>
            <w:r w:rsidRPr="5B67C1D2">
              <w:rPr>
                <w:i/>
                <w:iCs/>
                <w:sz w:val="20"/>
                <w:szCs w:val="20"/>
              </w:rPr>
              <w:t>Bradley</w:t>
            </w:r>
            <w:r w:rsidRPr="00033DAB">
              <w:rPr>
                <w:sz w:val="20"/>
                <w:szCs w:val="20"/>
              </w:rPr>
              <w:t xml:space="preserve"> und </w:t>
            </w:r>
            <w:r w:rsidRPr="5B67C1D2">
              <w:rPr>
                <w:i/>
                <w:iCs/>
                <w:sz w:val="20"/>
                <w:szCs w:val="20"/>
              </w:rPr>
              <w:t>Field</w:t>
            </w:r>
            <w:r w:rsidRPr="00033DAB">
              <w:rPr>
                <w:sz w:val="20"/>
                <w:szCs w:val="20"/>
              </w:rPr>
              <w:t xml:space="preserve"> der Urteilsbegründung grundsätzlich an, erweiterten diese aber um einen Gedanken, daher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w:t>
            </w:r>
            <w:r w:rsidRPr="00033DAB">
              <w:rPr>
                <w:sz w:val="20"/>
                <w:szCs w:val="20"/>
              </w:rPr>
              <w:t xml:space="preserve"> </w:t>
            </w:r>
            <w:r w:rsidRPr="5B67C1D2">
              <w:rPr>
                <w:i/>
                <w:iCs/>
                <w:sz w:val="20"/>
                <w:szCs w:val="20"/>
              </w:rPr>
              <w:t>Bradley</w:t>
            </w:r>
            <w:r w:rsidRPr="00033DAB">
              <w:rPr>
                <w:sz w:val="20"/>
                <w:szCs w:val="20"/>
              </w:rPr>
              <w:t xml:space="preserve"> verwies darauf, dass </w:t>
            </w:r>
            <w:r>
              <w:rPr>
                <w:sz w:val="20"/>
                <w:szCs w:val="20"/>
              </w:rPr>
              <w:t>das</w:t>
            </w:r>
            <w:r w:rsidRPr="00033DAB">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033DAB">
              <w:rPr>
                <w:sz w:val="20"/>
                <w:szCs w:val="20"/>
              </w:rPr>
              <w:t xml:space="preserve"> auch ein Teil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33DAB">
              <w:rPr>
                <w:sz w:val="20"/>
                <w:szCs w:val="20"/>
              </w:rPr>
              <w:t xml:space="preserve"> sei und deshalb als Teil der sog. </w:t>
            </w:r>
            <w:r w:rsidRPr="00033DAB">
              <w:rPr>
                <w:sz w:val="20"/>
                <w:szCs w:val="20"/>
                <w:lang w:val="en-US"/>
              </w:rPr>
              <w:t>“sacred rights”</w:t>
            </w:r>
            <w:r w:rsidRPr="00033DAB">
              <w:rPr>
                <w:sz w:val="20"/>
                <w:szCs w:val="20"/>
                <w:vertAlign w:val="superscript"/>
                <w:lang w:val="en-US"/>
              </w:rPr>
              <w:t xml:space="preserve"> </w:t>
            </w:r>
            <w:r w:rsidRPr="00033DAB">
              <w:rPr>
                <w:sz w:val="20"/>
                <w:szCs w:val="20"/>
                <w:vertAlign w:val="superscript"/>
                <w:lang w:val="en-US"/>
              </w:rPr>
              <w:footnoteReference w:id="1022"/>
            </w:r>
            <w:r w:rsidRPr="00033DAB">
              <w:rPr>
                <w:sz w:val="20"/>
                <w:szCs w:val="20"/>
                <w:lang w:val="en-US"/>
              </w:rPr>
              <w:t xml:space="preserve"> – </w:t>
            </w:r>
            <w:proofErr w:type="spellStart"/>
            <w:r w:rsidRPr="00033DAB">
              <w:rPr>
                <w:sz w:val="20"/>
                <w:szCs w:val="20"/>
                <w:lang w:val="en-US"/>
              </w:rPr>
              <w:t>d.h.</w:t>
            </w:r>
            <w:proofErr w:type="spellEnd"/>
            <w:r w:rsidRPr="00033DAB">
              <w:rPr>
                <w:sz w:val="20"/>
                <w:szCs w:val="20"/>
                <w:lang w:val="en-US"/>
              </w:rPr>
              <w:t xml:space="preserve"> Recht auf Leben, Freiheit, </w:t>
            </w:r>
            <w:proofErr w:type="spellStart"/>
            <w:r w:rsidRPr="00033DAB">
              <w:rPr>
                <w:sz w:val="20"/>
                <w:szCs w:val="20"/>
                <w:lang w:val="en-US"/>
              </w:rPr>
              <w:t>Eigentum</w:t>
            </w:r>
            <w:proofErr w:type="spellEnd"/>
            <w:r w:rsidRPr="00033DAB">
              <w:rPr>
                <w:sz w:val="20"/>
                <w:szCs w:val="20"/>
                <w:lang w:val="en-US"/>
              </w:rPr>
              <w:t xml:space="preserve">, </w:t>
            </w:r>
            <w:proofErr w:type="spellStart"/>
            <w:r w:rsidRPr="00033DAB">
              <w:rPr>
                <w:sz w:val="20"/>
                <w:szCs w:val="20"/>
                <w:lang w:val="en-US"/>
              </w:rPr>
              <w:t>Streben</w:t>
            </w:r>
            <w:proofErr w:type="spellEnd"/>
            <w:r w:rsidRPr="00033DAB">
              <w:rPr>
                <w:sz w:val="20"/>
                <w:szCs w:val="20"/>
                <w:lang w:val="en-US"/>
              </w:rPr>
              <w:t xml:space="preserve"> </w:t>
            </w:r>
            <w:proofErr w:type="spellStart"/>
            <w:r w:rsidRPr="00033DAB">
              <w:rPr>
                <w:sz w:val="20"/>
                <w:szCs w:val="20"/>
                <w:lang w:val="en-US"/>
              </w:rPr>
              <w:t>nach</w:t>
            </w:r>
            <w:proofErr w:type="spellEnd"/>
            <w:r w:rsidRPr="00033DAB">
              <w:rPr>
                <w:sz w:val="20"/>
                <w:szCs w:val="20"/>
                <w:lang w:val="en-US"/>
              </w:rPr>
              <w:t xml:space="preserve"> Glück – </w:t>
            </w:r>
            <w:proofErr w:type="spellStart"/>
            <w:r w:rsidRPr="00033DAB">
              <w:rPr>
                <w:sz w:val="20"/>
                <w:szCs w:val="20"/>
                <w:lang w:val="en-US"/>
              </w:rPr>
              <w:t>Beachtung</w:t>
            </w:r>
            <w:proofErr w:type="spellEnd"/>
            <w:r w:rsidRPr="00033DAB">
              <w:rPr>
                <w:sz w:val="20"/>
                <w:szCs w:val="20"/>
                <w:lang w:val="en-US"/>
              </w:rPr>
              <w:t xml:space="preserve"> </w:t>
            </w:r>
            <w:proofErr w:type="spellStart"/>
            <w:r w:rsidRPr="00033DAB">
              <w:rPr>
                <w:sz w:val="20"/>
                <w:szCs w:val="20"/>
                <w:lang w:val="en-US"/>
              </w:rPr>
              <w:t>finden</w:t>
            </w:r>
            <w:proofErr w:type="spellEnd"/>
            <w:r w:rsidRPr="00033DAB">
              <w:rPr>
                <w:sz w:val="20"/>
                <w:szCs w:val="20"/>
                <w:lang w:val="en-US"/>
              </w:rPr>
              <w:t xml:space="preserve"> </w:t>
            </w:r>
            <w:proofErr w:type="spellStart"/>
            <w:r w:rsidRPr="00033DAB">
              <w:rPr>
                <w:sz w:val="20"/>
                <w:szCs w:val="20"/>
                <w:lang w:val="en-US"/>
              </w:rPr>
              <w:t>müsse</w:t>
            </w:r>
            <w:proofErr w:type="spellEnd"/>
            <w:r w:rsidRPr="00033DAB">
              <w:rPr>
                <w:sz w:val="20"/>
                <w:szCs w:val="20"/>
                <w:lang w:val="en-US"/>
              </w:rPr>
              <w:t xml:space="preserve"> („By that portion of the fourteenth amendment by which no State may make or enforce any law which shall […] take life, liberty, or property, without due process of law, it has now become the fundamental law of this country that life, liberty, and property (which </w:t>
            </w:r>
            <w:proofErr w:type="gramStart"/>
            <w:r w:rsidRPr="00033DAB">
              <w:rPr>
                <w:sz w:val="20"/>
                <w:szCs w:val="20"/>
                <w:lang w:val="en-US"/>
              </w:rPr>
              <w:t xml:space="preserve">include </w:t>
            </w:r>
            <w:r>
              <w:rPr>
                <w:sz w:val="20"/>
                <w:szCs w:val="20"/>
                <w:lang w:val="en-US"/>
              </w:rPr>
              <w:t>,</w:t>
            </w:r>
            <w:r w:rsidRPr="00033DAB">
              <w:rPr>
                <w:sz w:val="20"/>
                <w:szCs w:val="20"/>
                <w:lang w:val="en-US"/>
              </w:rPr>
              <w:t>the</w:t>
            </w:r>
            <w:proofErr w:type="gramEnd"/>
            <w:r w:rsidRPr="00033DAB">
              <w:rPr>
                <w:sz w:val="20"/>
                <w:szCs w:val="20"/>
                <w:lang w:val="en-US"/>
              </w:rPr>
              <w:t xml:space="preserve"> pursuit of happiness</w:t>
            </w:r>
            <w:r>
              <w:rPr>
                <w:sz w:val="20"/>
                <w:szCs w:val="20"/>
                <w:lang w:val="en-US"/>
              </w:rPr>
              <w:t>‘</w:t>
            </w:r>
            <w:r w:rsidRPr="00033DAB">
              <w:rPr>
                <w:sz w:val="20"/>
                <w:szCs w:val="20"/>
                <w:lang w:val="en-US"/>
              </w:rPr>
              <w:t>) are sacred rights.“</w:t>
            </w:r>
            <w:r w:rsidRPr="00033DAB">
              <w:rPr>
                <w:sz w:val="20"/>
                <w:szCs w:val="20"/>
                <w:vertAlign w:val="superscript"/>
                <w:lang w:val="en-US"/>
              </w:rPr>
              <w:footnoteReference w:id="1023"/>
            </w:r>
            <w:r w:rsidRPr="00033DAB">
              <w:rPr>
                <w:sz w:val="20"/>
                <w:szCs w:val="20"/>
              </w:rPr>
              <w:t>). Dabei bilde vor allem die wirtschaftliche Seite des Strebens nach Glück („</w:t>
            </w:r>
            <w:proofErr w:type="spellStart"/>
            <w:r w:rsidRPr="00033DAB">
              <w:rPr>
                <w:sz w:val="20"/>
                <w:szCs w:val="20"/>
              </w:rPr>
              <w:t>property</w:t>
            </w:r>
            <w:proofErr w:type="spellEnd"/>
            <w:r w:rsidRPr="00033DAB">
              <w:rPr>
                <w:sz w:val="20"/>
                <w:szCs w:val="20"/>
              </w:rPr>
              <w:t xml:space="preserve"> (</w:t>
            </w:r>
            <w:proofErr w:type="spellStart"/>
            <w:r w:rsidRPr="00033DAB">
              <w:rPr>
                <w:sz w:val="20"/>
                <w:szCs w:val="20"/>
              </w:rPr>
              <w:t>which</w:t>
            </w:r>
            <w:proofErr w:type="spellEnd"/>
            <w:r w:rsidRPr="00033DAB">
              <w:rPr>
                <w:sz w:val="20"/>
                <w:szCs w:val="20"/>
              </w:rPr>
              <w:t xml:space="preserve"> </w:t>
            </w:r>
            <w:proofErr w:type="spellStart"/>
            <w:proofErr w:type="gramStart"/>
            <w:r w:rsidRPr="00033DAB">
              <w:rPr>
                <w:sz w:val="20"/>
                <w:szCs w:val="20"/>
              </w:rPr>
              <w:t>include</w:t>
            </w:r>
            <w:proofErr w:type="spellEnd"/>
            <w:r w:rsidRPr="00033DAB">
              <w:rPr>
                <w:sz w:val="20"/>
                <w:szCs w:val="20"/>
              </w:rPr>
              <w:t xml:space="preserve"> </w:t>
            </w:r>
            <w:r>
              <w:rPr>
                <w:sz w:val="20"/>
                <w:szCs w:val="20"/>
              </w:rPr>
              <w:t>,</w:t>
            </w:r>
            <w:r w:rsidRPr="00033DAB">
              <w:rPr>
                <w:sz w:val="20"/>
                <w:szCs w:val="20"/>
              </w:rPr>
              <w:t>the</w:t>
            </w:r>
            <w:proofErr w:type="gramEnd"/>
            <w:r w:rsidRPr="00033DAB">
              <w:rPr>
                <w:sz w:val="20"/>
                <w:szCs w:val="20"/>
              </w:rPr>
              <w:t xml:space="preserve"> </w:t>
            </w:r>
            <w:proofErr w:type="spellStart"/>
            <w:r w:rsidRPr="00033DAB">
              <w:rPr>
                <w:sz w:val="20"/>
                <w:szCs w:val="20"/>
              </w:rPr>
              <w:t>pursuit</w:t>
            </w:r>
            <w:proofErr w:type="spellEnd"/>
            <w:r w:rsidRPr="00033DAB">
              <w:rPr>
                <w:sz w:val="20"/>
                <w:szCs w:val="20"/>
              </w:rPr>
              <w:t xml:space="preserve"> of </w:t>
            </w:r>
            <w:proofErr w:type="spellStart"/>
            <w:r w:rsidRPr="00033DAB">
              <w:rPr>
                <w:sz w:val="20"/>
                <w:szCs w:val="20"/>
              </w:rPr>
              <w:t>happiness</w:t>
            </w:r>
            <w:proofErr w:type="spellEnd"/>
            <w:r>
              <w:rPr>
                <w:sz w:val="20"/>
                <w:szCs w:val="20"/>
              </w:rPr>
              <w:t>‘</w:t>
            </w:r>
            <w:r w:rsidRPr="00033DAB">
              <w:rPr>
                <w:sz w:val="20"/>
                <w:szCs w:val="20"/>
              </w:rPr>
              <w:t>)“</w:t>
            </w:r>
            <w:r w:rsidRPr="00033DAB">
              <w:rPr>
                <w:sz w:val="20"/>
                <w:szCs w:val="20"/>
                <w:vertAlign w:val="superscript"/>
              </w:rPr>
              <w:t xml:space="preserve"> </w:t>
            </w:r>
            <w:r w:rsidRPr="00033DAB">
              <w:rPr>
                <w:sz w:val="20"/>
                <w:szCs w:val="20"/>
                <w:vertAlign w:val="superscript"/>
                <w:lang w:val="en-US"/>
              </w:rPr>
              <w:footnoteReference w:id="1024"/>
            </w:r>
            <w:r w:rsidRPr="00033DAB">
              <w:rPr>
                <w:sz w:val="20"/>
                <w:szCs w:val="20"/>
              </w:rPr>
              <w:t>) ein</w:t>
            </w:r>
            <w:r>
              <w:rPr>
                <w:sz w:val="20"/>
                <w:szCs w:val="20"/>
              </w:rPr>
              <w:t>en</w:t>
            </w:r>
            <w:r w:rsidRPr="00033DAB">
              <w:rPr>
                <w:sz w:val="20"/>
                <w:szCs w:val="20"/>
              </w:rPr>
              <w:t xml:space="preserve"> Schutz gegen oppressive Gesetzgebung. Doch welche Art von Schutz? </w:t>
            </w:r>
            <w:r>
              <w:rPr>
                <w:sz w:val="20"/>
                <w:szCs w:val="20"/>
              </w:rPr>
              <w:t xml:space="preserve">Nach dieser Meinung </w:t>
            </w:r>
            <w:r w:rsidRPr="00033DAB">
              <w:rPr>
                <w:sz w:val="20"/>
                <w:szCs w:val="20"/>
              </w:rPr>
              <w:t xml:space="preserve">können Gesetze das Streben nach Glück nur einschränken, wenn sie einem zwingenden öffentlichen Interesse dienen. </w:t>
            </w:r>
            <w:r>
              <w:rPr>
                <w:sz w:val="20"/>
                <w:szCs w:val="20"/>
              </w:rPr>
              <w:t>Etwa</w:t>
            </w:r>
            <w:r w:rsidRPr="00033DAB">
              <w:rPr>
                <w:sz w:val="20"/>
                <w:szCs w:val="20"/>
              </w:rPr>
              <w:t xml:space="preserve"> ein Alkoholabgabeverbot, </w:t>
            </w:r>
            <w:r>
              <w:rPr>
                <w:sz w:val="20"/>
                <w:szCs w:val="20"/>
              </w:rPr>
              <w:t>welches</w:t>
            </w:r>
            <w:r w:rsidRPr="00033DAB">
              <w:rPr>
                <w:sz w:val="20"/>
                <w:szCs w:val="20"/>
              </w:rPr>
              <w:t xml:space="preserve"> das Wirtschaften einschränke, diene wiederum einem öffentlichen Interesse, nämlich der öffentlichen Gesundheit. Mit dem Streben nach Glück als öffentlichem Interesse streite konkret das Recht eines Bürgers, seinen Beruf auszuüben als ein anderer Ausdruck der wirtschaftlichen Seite des Strebens nach Glück. Letzteres </w:t>
            </w:r>
            <w:r>
              <w:rPr>
                <w:sz w:val="20"/>
                <w:szCs w:val="20"/>
              </w:rPr>
              <w:t>müsse</w:t>
            </w:r>
            <w:r w:rsidRPr="00033DAB">
              <w:rPr>
                <w:sz w:val="20"/>
                <w:szCs w:val="20"/>
              </w:rPr>
              <w:t xml:space="preserve"> nur zurücktreten, wenn die Berufsausübung gegen ein Gesetz verstoße, das in zwingendem öffentlichem Interesse liege, wie das Alkoholabgabeverbot als Lizenzgesetz. Diese Nuancierung fehle dem Urteil.</w:t>
            </w:r>
            <w:r w:rsidRPr="00033DAB">
              <w:rPr>
                <w:sz w:val="20"/>
                <w:szCs w:val="20"/>
                <w:vertAlign w:val="superscript"/>
              </w:rPr>
              <w:footnoteReference w:id="1025"/>
            </w:r>
          </w:p>
          <w:p w14:paraId="3F6CD082" w14:textId="77777777" w:rsidR="00074551" w:rsidRPr="00E50B51" w:rsidRDefault="00074551" w:rsidP="00367133">
            <w:pPr>
              <w:jc w:val="both"/>
              <w:rPr>
                <w:sz w:val="20"/>
                <w:szCs w:val="20"/>
              </w:rPr>
            </w:pPr>
          </w:p>
        </w:tc>
      </w:tr>
      <w:tr w:rsidR="00074551" w:rsidRPr="0008077B" w14:paraId="2199CAD8" w14:textId="77777777" w:rsidTr="00BE689F">
        <w:trPr>
          <w:cantSplit/>
          <w:trHeight w:val="3175"/>
        </w:trPr>
        <w:tc>
          <w:tcPr>
            <w:tcW w:w="293" w:type="pct"/>
          </w:tcPr>
          <w:p w14:paraId="164E7920"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B8971DA" w14:textId="77777777" w:rsidR="00074551" w:rsidRPr="00B45592" w:rsidRDefault="00074551" w:rsidP="00367133">
            <w:pPr>
              <w:ind w:left="113" w:right="416"/>
              <w:jc w:val="both"/>
              <w:rPr>
                <w:i/>
                <w:sz w:val="20"/>
                <w:szCs w:val="20"/>
                <w:lang w:val="en-US"/>
              </w:rPr>
            </w:pPr>
            <w:r w:rsidRPr="00B45592">
              <w:rPr>
                <w:i/>
                <w:sz w:val="20"/>
                <w:szCs w:val="20"/>
                <w:lang w:val="en-US"/>
              </w:rPr>
              <w:t xml:space="preserve">Cruzan v. Dir., Mo. </w:t>
            </w:r>
            <w:proofErr w:type="spellStart"/>
            <w:r w:rsidRPr="00B45592">
              <w:rPr>
                <w:i/>
                <w:sz w:val="20"/>
                <w:szCs w:val="20"/>
                <w:lang w:val="en-US"/>
              </w:rPr>
              <w:t>Dep’t</w:t>
            </w:r>
            <w:proofErr w:type="spellEnd"/>
            <w:r w:rsidRPr="00B45592">
              <w:rPr>
                <w:i/>
                <w:sz w:val="20"/>
                <w:szCs w:val="20"/>
                <w:lang w:val="en-US"/>
              </w:rPr>
              <w:t xml:space="preserve"> of Health</w:t>
            </w:r>
          </w:p>
        </w:tc>
        <w:tc>
          <w:tcPr>
            <w:tcW w:w="197" w:type="pct"/>
            <w:textDirection w:val="tbRl"/>
            <w:vAlign w:val="center"/>
          </w:tcPr>
          <w:p w14:paraId="42E19EFF" w14:textId="77777777" w:rsidR="00074551" w:rsidRPr="00E50B51" w:rsidRDefault="00074551" w:rsidP="00367133">
            <w:pPr>
              <w:ind w:left="113" w:right="113"/>
              <w:jc w:val="both"/>
              <w:rPr>
                <w:sz w:val="20"/>
                <w:szCs w:val="20"/>
              </w:rPr>
            </w:pPr>
            <w:r w:rsidRPr="00E50B51">
              <w:rPr>
                <w:sz w:val="20"/>
                <w:szCs w:val="20"/>
                <w:lang w:val="en-US"/>
              </w:rPr>
              <w:t>497 U.S. 261</w:t>
            </w:r>
          </w:p>
        </w:tc>
        <w:tc>
          <w:tcPr>
            <w:tcW w:w="306" w:type="pct"/>
            <w:textDirection w:val="tbRl"/>
            <w:vAlign w:val="center"/>
          </w:tcPr>
          <w:p w14:paraId="649D7E91" w14:textId="77777777" w:rsidR="00074551" w:rsidRPr="00E50B51" w:rsidRDefault="00074551" w:rsidP="00367133">
            <w:pPr>
              <w:ind w:left="113" w:right="113"/>
              <w:jc w:val="both"/>
              <w:rPr>
                <w:sz w:val="20"/>
                <w:szCs w:val="20"/>
              </w:rPr>
            </w:pPr>
            <w:r w:rsidRPr="00E50B51">
              <w:rPr>
                <w:sz w:val="20"/>
                <w:szCs w:val="20"/>
              </w:rPr>
              <w:t>25. Juni 1990</w:t>
            </w:r>
          </w:p>
        </w:tc>
        <w:tc>
          <w:tcPr>
            <w:tcW w:w="401" w:type="pct"/>
          </w:tcPr>
          <w:p w14:paraId="090D6A07" w14:textId="77777777" w:rsidR="00074551" w:rsidRPr="00E50B51" w:rsidRDefault="00074551" w:rsidP="00367133">
            <w:pPr>
              <w:jc w:val="center"/>
              <w:rPr>
                <w:sz w:val="20"/>
                <w:szCs w:val="20"/>
              </w:rPr>
            </w:pPr>
            <w:r w:rsidRPr="00E50B51">
              <w:rPr>
                <w:sz w:val="20"/>
                <w:szCs w:val="20"/>
              </w:rPr>
              <w:t>D</w:t>
            </w:r>
          </w:p>
        </w:tc>
        <w:tc>
          <w:tcPr>
            <w:tcW w:w="1594" w:type="pct"/>
          </w:tcPr>
          <w:p w14:paraId="62A950DA" w14:textId="327DA8AD" w:rsidR="00074551" w:rsidRPr="00E50B51" w:rsidRDefault="00074551" w:rsidP="00367133">
            <w:pPr>
              <w:jc w:val="both"/>
              <w:rPr>
                <w:sz w:val="20"/>
                <w:szCs w:val="20"/>
              </w:rPr>
            </w:pPr>
            <w:r>
              <w:rPr>
                <w:sz w:val="20"/>
                <w:szCs w:val="20"/>
              </w:rPr>
              <w:t>I</w:t>
            </w:r>
            <w:r w:rsidRPr="00E50B51">
              <w:rPr>
                <w:sz w:val="20"/>
                <w:szCs w:val="20"/>
              </w:rPr>
              <w:t xml:space="preserve">m Fall beantragten Eltern, die im Namen ihrer Tochter klagten, die künstliche Ernährung ihrer Tochter einzustellen, nachdem diese bei einem Autounfall ins Wachkoma gefallen war. Sowohl der </w:t>
            </w:r>
            <w:r w:rsidRPr="5B67C1D2">
              <w:rPr>
                <w:i/>
                <w:iCs/>
                <w:sz w:val="20"/>
                <w:szCs w:val="20"/>
              </w:rPr>
              <w:t>Missouri Trial Court</w:t>
            </w:r>
            <w:r w:rsidRPr="00E50B51">
              <w:rPr>
                <w:sz w:val="20"/>
                <w:szCs w:val="20"/>
              </w:rPr>
              <w:t xml:space="preserve"> als auch der </w:t>
            </w:r>
            <w:r w:rsidRPr="5B67C1D2">
              <w:rPr>
                <w:i/>
                <w:iCs/>
                <w:sz w:val="20"/>
                <w:szCs w:val="20"/>
              </w:rPr>
              <w:t>Supreme Court of Missouri</w:t>
            </w:r>
            <w:r w:rsidRPr="00E50B51">
              <w:rPr>
                <w:sz w:val="20"/>
                <w:szCs w:val="20"/>
              </w:rPr>
              <w:t xml:space="preserve"> lehnten den Antrag mit der Begründung ab, den Klägern fehle die Befugnis. Denn es gebe keinen eindeutigen Beweis für den Wunsch der Tochter, die lebenserhaltende Behandlung abzubrechen, welche das Gesetz aber fordere</w:t>
            </w:r>
            <w:r>
              <w:rPr>
                <w:sz w:val="20"/>
                <w:szCs w:val="20"/>
              </w:rPr>
              <w:t xml:space="preserve">, </w:t>
            </w:r>
            <w:r w:rsidRPr="00E50B51">
              <w:rPr>
                <w:sz w:val="20"/>
                <w:szCs w:val="20"/>
              </w:rPr>
              <w:t xml:space="preserve">vgl. Mo. Rev. Stat. </w:t>
            </w:r>
            <w:r>
              <w:rPr>
                <w:sz w:val="20"/>
                <w:szCs w:val="20"/>
              </w:rPr>
              <w:t>§ </w:t>
            </w:r>
            <w:r w:rsidRPr="00E50B51">
              <w:rPr>
                <w:sz w:val="20"/>
                <w:szCs w:val="20"/>
              </w:rPr>
              <w:t>459.010 et seq. 1986</w:t>
            </w:r>
            <w:r>
              <w:rPr>
                <w:sz w:val="20"/>
                <w:szCs w:val="20"/>
              </w:rPr>
              <w:t>.</w:t>
            </w:r>
            <w:r w:rsidRPr="5B67C1D2">
              <w:rPr>
                <w:rStyle w:val="Funotenzeichen"/>
                <w:rFonts w:eastAsiaTheme="majorEastAsia"/>
                <w:sz w:val="20"/>
                <w:szCs w:val="20"/>
              </w:rPr>
              <w:footnoteReference w:id="1026"/>
            </w:r>
            <w:r w:rsidRPr="00E50B51">
              <w:rPr>
                <w:sz w:val="20"/>
                <w:szCs w:val="20"/>
              </w:rPr>
              <w:t xml:space="preserve"> Der </w:t>
            </w:r>
            <w:r>
              <w:rPr>
                <w:sz w:val="20"/>
                <w:szCs w:val="20"/>
              </w:rPr>
              <w:t>U.S. Supreme Court</w:t>
            </w:r>
            <w:r w:rsidRPr="00E50B51">
              <w:rPr>
                <w:sz w:val="20"/>
                <w:szCs w:val="20"/>
              </w:rPr>
              <w:t xml:space="preserve"> bestätigte das Urteil. Er erklärte, dass auch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den Staat nicht dazu verpflichte, das Recht auf Behandlungsabbruch jemand anderem als dem Patienten zukommen zu lassen. Der </w:t>
            </w:r>
            <w:r>
              <w:rPr>
                <w:sz w:val="20"/>
                <w:szCs w:val="20"/>
              </w:rPr>
              <w:t>U.S. Supreme Court</w:t>
            </w:r>
            <w:r w:rsidRPr="00E50B51">
              <w:rPr>
                <w:sz w:val="20"/>
                <w:szCs w:val="20"/>
              </w:rPr>
              <w:t xml:space="preserve"> befand zudem, ein Bundesstaat habe die Prärogative, sich dafür zu entscheiden, ausschließlich den Patientenwunsch zu </w:t>
            </w:r>
            <w:r w:rsidRPr="007A7A15">
              <w:rPr>
                <w:sz w:val="20"/>
                <w:szCs w:val="20"/>
              </w:rPr>
              <w:t>berücksichtigen.</w:t>
            </w:r>
            <w:r w:rsidRPr="007A7A15">
              <w:rPr>
                <w:rStyle w:val="Funotenzeichen"/>
                <w:sz w:val="20"/>
                <w:szCs w:val="20"/>
              </w:rPr>
              <w:footnoteReference w:id="1027"/>
            </w:r>
          </w:p>
          <w:p w14:paraId="148FB1E2" w14:textId="77777777" w:rsidR="00074551" w:rsidRPr="00E50B51" w:rsidRDefault="00074551" w:rsidP="00367133">
            <w:pPr>
              <w:jc w:val="both"/>
              <w:rPr>
                <w:sz w:val="20"/>
                <w:szCs w:val="20"/>
              </w:rPr>
            </w:pPr>
          </w:p>
        </w:tc>
        <w:tc>
          <w:tcPr>
            <w:tcW w:w="1822" w:type="pct"/>
          </w:tcPr>
          <w:p w14:paraId="67A7FA26" w14:textId="77ABD1A3" w:rsidR="00074551" w:rsidRPr="001B6693" w:rsidRDefault="00074551" w:rsidP="00367133">
            <w:pPr>
              <w:jc w:val="both"/>
              <w:rPr>
                <w:sz w:val="20"/>
                <w:szCs w:val="20"/>
              </w:rPr>
            </w:pPr>
            <w:r w:rsidRPr="5B67C1D2">
              <w:rPr>
                <w:sz w:val="20"/>
                <w:szCs w:val="20"/>
              </w:rPr>
              <w:t xml:space="preserve">In </w:t>
            </w:r>
            <w:r w:rsidRPr="5B67C1D2">
              <w:rPr>
                <w:i/>
                <w:iCs/>
                <w:sz w:val="20"/>
                <w:szCs w:val="20"/>
              </w:rPr>
              <w:t xml:space="preserve">Cruzan v. Dir., Mo. </w:t>
            </w:r>
            <w:proofErr w:type="spellStart"/>
            <w:r w:rsidRPr="5B67C1D2">
              <w:rPr>
                <w:i/>
                <w:iCs/>
                <w:sz w:val="20"/>
                <w:szCs w:val="20"/>
              </w:rPr>
              <w:t>Dep’t</w:t>
            </w:r>
            <w:proofErr w:type="spellEnd"/>
            <w:r w:rsidRPr="5B67C1D2">
              <w:rPr>
                <w:i/>
                <w:iCs/>
                <w:sz w:val="20"/>
                <w:szCs w:val="20"/>
              </w:rPr>
              <w:t xml:space="preserve"> of Health</w:t>
            </w:r>
            <w:r w:rsidRPr="5B67C1D2">
              <w:rPr>
                <w:sz w:val="20"/>
                <w:szCs w:val="20"/>
              </w:rPr>
              <w:t xml:space="preserve"> erklärte Richter </w:t>
            </w:r>
            <w:r w:rsidRPr="5B67C1D2">
              <w:rPr>
                <w:i/>
                <w:iCs/>
                <w:sz w:val="20"/>
                <w:szCs w:val="20"/>
              </w:rPr>
              <w:t>Stevens</w:t>
            </w:r>
            <w:r w:rsidRPr="5B67C1D2">
              <w:rPr>
                <w:sz w:val="20"/>
                <w:szCs w:val="20"/>
              </w:rPr>
              <w:t>, dass es notwendig sei, das Streben nach Glück als eines der Staatsziele („end“</w:t>
            </w:r>
            <w:r w:rsidRPr="5B67C1D2">
              <w:rPr>
                <w:sz w:val="20"/>
                <w:szCs w:val="20"/>
                <w:vertAlign w:val="superscript"/>
              </w:rPr>
              <w:footnoteReference w:id="1028"/>
            </w:r>
            <w:r w:rsidRPr="5B67C1D2">
              <w:rPr>
                <w:sz w:val="20"/>
                <w:szCs w:val="20"/>
              </w:rPr>
              <w:t xml:space="preserve">) in Einzelfallwürdigungen </w:t>
            </w:r>
            <w:r w:rsidR="1F98E976" w:rsidRPr="5B67C1D2">
              <w:rPr>
                <w:sz w:val="20"/>
                <w:szCs w:val="20"/>
              </w:rPr>
              <w:t>heranzuziehen</w:t>
            </w:r>
            <w:r w:rsidRPr="5B67C1D2">
              <w:rPr>
                <w:sz w:val="20"/>
                <w:szCs w:val="20"/>
              </w:rPr>
              <w:t xml:space="preserve">. Im Dissens führte Richter </w:t>
            </w:r>
            <w:r w:rsidRPr="5B67C1D2">
              <w:rPr>
                <w:i/>
                <w:iCs/>
                <w:sz w:val="20"/>
                <w:szCs w:val="20"/>
              </w:rPr>
              <w:t>Stevens</w:t>
            </w:r>
            <w:r w:rsidRPr="5B67C1D2">
              <w:rPr>
                <w:sz w:val="20"/>
                <w:szCs w:val="20"/>
              </w:rPr>
              <w:t xml:space="preserve"> dann zum </w:t>
            </w:r>
            <w:proofErr w:type="spellStart"/>
            <w:r w:rsidRPr="5B67C1D2">
              <w:rPr>
                <w:i/>
                <w:iCs/>
                <w:sz w:val="20"/>
                <w:szCs w:val="20"/>
              </w:rPr>
              <w:t>pursuit</w:t>
            </w:r>
            <w:proofErr w:type="spellEnd"/>
            <w:r w:rsidRPr="5B67C1D2">
              <w:rPr>
                <w:i/>
                <w:iCs/>
                <w:sz w:val="20"/>
                <w:szCs w:val="20"/>
              </w:rPr>
              <w:t xml:space="preserve"> of Happiness</w:t>
            </w:r>
            <w:r w:rsidRPr="5B67C1D2">
              <w:rPr>
                <w:sz w:val="20"/>
                <w:szCs w:val="20"/>
              </w:rPr>
              <w:t xml:space="preserve"> aus. Danach sei die Grundlage der U.S. </w:t>
            </w:r>
            <w:proofErr w:type="spellStart"/>
            <w:r w:rsidRPr="5B67C1D2">
              <w:rPr>
                <w:sz w:val="20"/>
                <w:szCs w:val="20"/>
              </w:rPr>
              <w:t>Const</w:t>
            </w:r>
            <w:proofErr w:type="spellEnd"/>
            <w:r w:rsidRPr="5B67C1D2">
              <w:rPr>
                <w:sz w:val="20"/>
                <w:szCs w:val="20"/>
              </w:rPr>
              <w:t>., dass alle rechtmäßigen Regierungen sich in Folgendem gleichen: Sie gewährleisten jedem Menschen das gleiche Recht auf Leben, Freiheit und das Streben nach Glück. Diese drei Ziele („</w:t>
            </w:r>
            <w:proofErr w:type="spellStart"/>
            <w:r w:rsidRPr="5B67C1D2">
              <w:rPr>
                <w:sz w:val="20"/>
                <w:szCs w:val="20"/>
              </w:rPr>
              <w:t>these</w:t>
            </w:r>
            <w:proofErr w:type="spellEnd"/>
            <w:r w:rsidRPr="5B67C1D2">
              <w:rPr>
                <w:sz w:val="20"/>
                <w:szCs w:val="20"/>
              </w:rPr>
              <w:t xml:space="preserve"> </w:t>
            </w:r>
            <w:proofErr w:type="spellStart"/>
            <w:r w:rsidRPr="5B67C1D2">
              <w:rPr>
                <w:sz w:val="20"/>
                <w:szCs w:val="20"/>
              </w:rPr>
              <w:t>three</w:t>
            </w:r>
            <w:proofErr w:type="spellEnd"/>
            <w:r w:rsidRPr="5B67C1D2">
              <w:rPr>
                <w:sz w:val="20"/>
                <w:szCs w:val="20"/>
              </w:rPr>
              <w:t xml:space="preserve"> </w:t>
            </w:r>
            <w:proofErr w:type="spellStart"/>
            <w:r w:rsidRPr="5B67C1D2">
              <w:rPr>
                <w:sz w:val="20"/>
                <w:szCs w:val="20"/>
              </w:rPr>
              <w:t>ends</w:t>
            </w:r>
            <w:proofErr w:type="spellEnd"/>
            <w:r w:rsidRPr="5B67C1D2">
              <w:rPr>
                <w:sz w:val="20"/>
                <w:szCs w:val="20"/>
              </w:rPr>
              <w:t>“</w:t>
            </w:r>
            <w:r w:rsidRPr="5B67C1D2">
              <w:rPr>
                <w:sz w:val="20"/>
                <w:szCs w:val="20"/>
                <w:vertAlign w:val="superscript"/>
              </w:rPr>
              <w:footnoteReference w:id="1029"/>
            </w:r>
            <w:r w:rsidRPr="5B67C1D2">
              <w:rPr>
                <w:sz w:val="20"/>
                <w:szCs w:val="20"/>
              </w:rPr>
              <w:t xml:space="preserve">) ließen sich i.d.R. miteinander vereinbaren, sie verstärkten sich gegenseitig und könnten sogar übereinstimmen. Von diesem differenzierten Zusammenspiel der Ziele würde der U.S. Supreme Court aber im Urteil eine Ausnahme machen, so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5B67C1D2">
              <w:rPr>
                <w:sz w:val="20"/>
                <w:szCs w:val="20"/>
              </w:rPr>
              <w:t>. Denn er lasse ein abstraktes und undifferenziertes Interesse des Staats („</w:t>
            </w:r>
            <w:proofErr w:type="spellStart"/>
            <w:r w:rsidRPr="5B67C1D2">
              <w:rPr>
                <w:sz w:val="20"/>
                <w:szCs w:val="20"/>
              </w:rPr>
              <w:t>State’s</w:t>
            </w:r>
            <w:proofErr w:type="spellEnd"/>
            <w:r w:rsidRPr="5B67C1D2">
              <w:rPr>
                <w:sz w:val="20"/>
                <w:szCs w:val="20"/>
              </w:rPr>
              <w:t xml:space="preserve"> </w:t>
            </w:r>
            <w:proofErr w:type="spellStart"/>
            <w:r w:rsidRPr="5B67C1D2">
              <w:rPr>
                <w:sz w:val="20"/>
                <w:szCs w:val="20"/>
              </w:rPr>
              <w:t>abstract</w:t>
            </w:r>
            <w:proofErr w:type="spellEnd"/>
            <w:r w:rsidRPr="5B67C1D2">
              <w:rPr>
                <w:sz w:val="20"/>
                <w:szCs w:val="20"/>
              </w:rPr>
              <w:t xml:space="preserve">, </w:t>
            </w:r>
            <w:proofErr w:type="spellStart"/>
            <w:r w:rsidRPr="5B67C1D2">
              <w:rPr>
                <w:sz w:val="20"/>
                <w:szCs w:val="20"/>
              </w:rPr>
              <w:t>undifferentiated</w:t>
            </w:r>
            <w:proofErr w:type="spellEnd"/>
            <w:r w:rsidRPr="5B67C1D2">
              <w:rPr>
                <w:sz w:val="20"/>
                <w:szCs w:val="20"/>
              </w:rPr>
              <w:t xml:space="preserve"> </w:t>
            </w:r>
            <w:proofErr w:type="spellStart"/>
            <w:r w:rsidRPr="5B67C1D2">
              <w:rPr>
                <w:sz w:val="20"/>
                <w:szCs w:val="20"/>
              </w:rPr>
              <w:t>interest</w:t>
            </w:r>
            <w:proofErr w:type="spellEnd"/>
            <w:r w:rsidRPr="5B67C1D2">
              <w:rPr>
                <w:sz w:val="20"/>
                <w:szCs w:val="20"/>
              </w:rPr>
              <w:t>“</w:t>
            </w:r>
            <w:r w:rsidRPr="5B67C1D2">
              <w:rPr>
                <w:sz w:val="20"/>
                <w:szCs w:val="20"/>
                <w:vertAlign w:val="superscript"/>
              </w:rPr>
              <w:footnoteReference w:id="1030"/>
            </w:r>
            <w:r w:rsidRPr="5B67C1D2">
              <w:rPr>
                <w:sz w:val="20"/>
                <w:szCs w:val="20"/>
              </w:rPr>
              <w:t xml:space="preserve">), das Leben der Tochter zu erhalten, gegenüber dem verfassungsmäßigen Recht der Vormünder, eine medizinische Maßnahme abzubrechen, überwiegen. Dabei benenne der U.S. Supreme Court zwar das Dilemma des Falls in drei Thesen. Aber er pauschalisiere das Ergebnis der Thesenabwägung. Die drei Thesen und die Pauschalisierung lauten: Erstens könne eine mündige Person eine lebenserhaltende medizinische Maßnahme ablehnen; das sei Ausdruck von Freiheit, wie sie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sz w:val="20"/>
                <w:szCs w:val="20"/>
              </w:rPr>
              <w:t xml:space="preserve"> regele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vertAlign w:val="superscript"/>
              </w:rPr>
              <w:footnoteReference w:id="1031"/>
            </w:r>
            <w:r w:rsidRPr="5B67C1D2">
              <w:rPr>
                <w:sz w:val="20"/>
                <w:szCs w:val="20"/>
              </w:rPr>
              <w:t xml:space="preserve"> Zweitens könne diese Entscheidung ein Vormund bei entsprechender Beweisführung im Namen eines unfähigen Mündels sehr wohl treffen.</w:t>
            </w:r>
            <w:r w:rsidRPr="5B67C1D2">
              <w:rPr>
                <w:sz w:val="20"/>
                <w:szCs w:val="20"/>
                <w:vertAlign w:val="superscript"/>
              </w:rPr>
              <w:footnoteReference w:id="1032"/>
            </w:r>
            <w:r w:rsidRPr="5B67C1D2">
              <w:rPr>
                <w:sz w:val="20"/>
                <w:szCs w:val="20"/>
              </w:rPr>
              <w:t xml:space="preserve"> Und drittens gäben die drei Ziele einem rechtmäßigen Staat vor, nicht mit einer allgemeinen Erklärung einer Abwägung aus dem Weg zu gehen. Sondern die Ziele seien anhand des Einzelfalls zu würdigen.</w:t>
            </w:r>
            <w:r w:rsidRPr="5B67C1D2">
              <w:rPr>
                <w:sz w:val="20"/>
                <w:szCs w:val="20"/>
                <w:vertAlign w:val="superscript"/>
              </w:rPr>
              <w:footnoteReference w:id="1033"/>
            </w:r>
            <w:r w:rsidRPr="5B67C1D2">
              <w:rPr>
                <w:sz w:val="20"/>
                <w:szCs w:val="20"/>
              </w:rPr>
              <w:t xml:space="preserve"> Eine solche Abwägung werde aber verhindert durch die allgemeine Erklärung und das pauschalisierte Ergebnis, das Leben der Tochter zu erhalten („it </w:t>
            </w:r>
            <w:proofErr w:type="spellStart"/>
            <w:r w:rsidRPr="5B67C1D2">
              <w:rPr>
                <w:sz w:val="20"/>
                <w:szCs w:val="20"/>
              </w:rPr>
              <w:t>is</w:t>
            </w:r>
            <w:proofErr w:type="spellEnd"/>
            <w:r w:rsidRPr="5B67C1D2">
              <w:rPr>
                <w:sz w:val="20"/>
                <w:szCs w:val="20"/>
              </w:rPr>
              <w:t xml:space="preserve"> </w:t>
            </w:r>
            <w:proofErr w:type="spellStart"/>
            <w:r w:rsidRPr="5B67C1D2">
              <w:rPr>
                <w:sz w:val="20"/>
                <w:szCs w:val="20"/>
              </w:rPr>
              <w:t>wise</w:t>
            </w:r>
            <w:proofErr w:type="spellEnd"/>
            <w:r w:rsidRPr="5B67C1D2">
              <w:rPr>
                <w:sz w:val="20"/>
                <w:szCs w:val="20"/>
              </w:rPr>
              <w:t xml:space="preserve"> ‚not to </w:t>
            </w:r>
            <w:proofErr w:type="spellStart"/>
            <w:r w:rsidRPr="5B67C1D2">
              <w:rPr>
                <w:sz w:val="20"/>
                <w:szCs w:val="20"/>
              </w:rPr>
              <w:t>attempt</w:t>
            </w:r>
            <w:proofErr w:type="spellEnd"/>
            <w:r w:rsidRPr="5B67C1D2">
              <w:rPr>
                <w:sz w:val="20"/>
                <w:szCs w:val="20"/>
              </w:rPr>
              <w:t xml:space="preserve">, by </w:t>
            </w:r>
            <w:proofErr w:type="spellStart"/>
            <w:r w:rsidRPr="5B67C1D2">
              <w:rPr>
                <w:sz w:val="20"/>
                <w:szCs w:val="20"/>
              </w:rPr>
              <w:t>any</w:t>
            </w:r>
            <w:proofErr w:type="spellEnd"/>
            <w:r w:rsidRPr="5B67C1D2">
              <w:rPr>
                <w:sz w:val="20"/>
                <w:szCs w:val="20"/>
              </w:rPr>
              <w:t xml:space="preserve"> </w:t>
            </w:r>
            <w:proofErr w:type="spellStart"/>
            <w:r w:rsidRPr="5B67C1D2">
              <w:rPr>
                <w:sz w:val="20"/>
                <w:szCs w:val="20"/>
              </w:rPr>
              <w:t>general</w:t>
            </w:r>
            <w:proofErr w:type="spellEnd"/>
            <w:r w:rsidRPr="5B67C1D2">
              <w:rPr>
                <w:sz w:val="20"/>
                <w:szCs w:val="20"/>
              </w:rPr>
              <w:t xml:space="preserve"> </w:t>
            </w:r>
            <w:proofErr w:type="spellStart"/>
            <w:r w:rsidRPr="5B67C1D2">
              <w:rPr>
                <w:sz w:val="20"/>
                <w:szCs w:val="20"/>
              </w:rPr>
              <w:t>statement</w:t>
            </w:r>
            <w:proofErr w:type="spellEnd"/>
            <w:r w:rsidRPr="5B67C1D2">
              <w:rPr>
                <w:sz w:val="20"/>
                <w:szCs w:val="20"/>
              </w:rPr>
              <w:t xml:space="preserve">, to </w:t>
            </w:r>
            <w:proofErr w:type="spellStart"/>
            <w:r w:rsidRPr="5B67C1D2">
              <w:rPr>
                <w:sz w:val="20"/>
                <w:szCs w:val="20"/>
              </w:rPr>
              <w:t>cover</w:t>
            </w:r>
            <w:proofErr w:type="spellEnd"/>
            <w:r w:rsidRPr="5B67C1D2">
              <w:rPr>
                <w:sz w:val="20"/>
                <w:szCs w:val="20"/>
              </w:rPr>
              <w:t xml:space="preserve"> </w:t>
            </w:r>
            <w:proofErr w:type="spellStart"/>
            <w:r w:rsidRPr="5B67C1D2">
              <w:rPr>
                <w:sz w:val="20"/>
                <w:szCs w:val="20"/>
              </w:rPr>
              <w:t>every</w:t>
            </w:r>
            <w:proofErr w:type="spellEnd"/>
            <w:r w:rsidRPr="5B67C1D2">
              <w:rPr>
                <w:sz w:val="20"/>
                <w:szCs w:val="20"/>
              </w:rPr>
              <w:t xml:space="preserve"> possible </w:t>
            </w:r>
            <w:proofErr w:type="spellStart"/>
            <w:r w:rsidRPr="5B67C1D2">
              <w:rPr>
                <w:sz w:val="20"/>
                <w:szCs w:val="20"/>
              </w:rPr>
              <w:t>phase</w:t>
            </w:r>
            <w:proofErr w:type="spellEnd"/>
            <w:r w:rsidRPr="5B67C1D2">
              <w:rPr>
                <w:sz w:val="20"/>
                <w:szCs w:val="20"/>
              </w:rPr>
              <w:t xml:space="preserve"> of the </w:t>
            </w:r>
            <w:proofErr w:type="spellStart"/>
            <w:r w:rsidRPr="5B67C1D2">
              <w:rPr>
                <w:sz w:val="20"/>
                <w:szCs w:val="20"/>
              </w:rPr>
              <w:t>subject</w:t>
            </w:r>
            <w:proofErr w:type="spellEnd"/>
            <w:r w:rsidRPr="5B67C1D2">
              <w:rPr>
                <w:sz w:val="20"/>
                <w:szCs w:val="20"/>
              </w:rPr>
              <w:t>‘“</w:t>
            </w:r>
            <w:r w:rsidRPr="5B67C1D2">
              <w:rPr>
                <w:sz w:val="20"/>
                <w:szCs w:val="20"/>
                <w:vertAlign w:val="superscript"/>
              </w:rPr>
              <w:footnoteReference w:id="1034"/>
            </w:r>
            <w:r w:rsidRPr="5B67C1D2">
              <w:rPr>
                <w:sz w:val="20"/>
                <w:szCs w:val="20"/>
              </w:rPr>
              <w:t>). Denn vielmehr sei konkret abzuwägen gewesen, und zwar zwischen dem Leben einer Person auf der einen Seite und ihrer Freiheit oder ihrem Glück auf der anderen Seite („</w:t>
            </w:r>
            <w:proofErr w:type="spellStart"/>
            <w:r w:rsidRPr="5B67C1D2">
              <w:rPr>
                <w:sz w:val="20"/>
                <w:szCs w:val="20"/>
              </w:rPr>
              <w:t>person’s</w:t>
            </w:r>
            <w:proofErr w:type="spellEnd"/>
            <w:r w:rsidRPr="5B67C1D2">
              <w:rPr>
                <w:sz w:val="20"/>
                <w:szCs w:val="20"/>
              </w:rPr>
              <w:t xml:space="preserve"> </w:t>
            </w:r>
            <w:proofErr w:type="spellStart"/>
            <w:r w:rsidRPr="5B67C1D2">
              <w:rPr>
                <w:sz w:val="20"/>
                <w:szCs w:val="20"/>
              </w:rPr>
              <w:t>life</w:t>
            </w:r>
            <w:proofErr w:type="spellEnd"/>
            <w:r w:rsidRPr="5B67C1D2">
              <w:rPr>
                <w:sz w:val="20"/>
                <w:szCs w:val="20"/>
              </w:rPr>
              <w:t xml:space="preserve">, on the </w:t>
            </w:r>
            <w:proofErr w:type="spellStart"/>
            <w:r w:rsidRPr="5B67C1D2">
              <w:rPr>
                <w:sz w:val="20"/>
                <w:szCs w:val="20"/>
              </w:rPr>
              <w:t>one</w:t>
            </w:r>
            <w:proofErr w:type="spellEnd"/>
            <w:r w:rsidRPr="5B67C1D2">
              <w:rPr>
                <w:sz w:val="20"/>
                <w:szCs w:val="20"/>
              </w:rPr>
              <w:t xml:space="preserve"> </w:t>
            </w:r>
            <w:proofErr w:type="spellStart"/>
            <w:r w:rsidRPr="5B67C1D2">
              <w:rPr>
                <w:sz w:val="20"/>
                <w:szCs w:val="20"/>
              </w:rPr>
              <w:t>hand</w:t>
            </w:r>
            <w:proofErr w:type="spellEnd"/>
            <w:r w:rsidRPr="5B67C1D2">
              <w:rPr>
                <w:sz w:val="20"/>
                <w:szCs w:val="20"/>
              </w:rPr>
              <w:t xml:space="preserve">, and </w:t>
            </w:r>
            <w:proofErr w:type="spellStart"/>
            <w:r w:rsidRPr="5B67C1D2">
              <w:rPr>
                <w:sz w:val="20"/>
                <w:szCs w:val="20"/>
              </w:rPr>
              <w:t>that</w:t>
            </w:r>
            <w:proofErr w:type="spellEnd"/>
            <w:r w:rsidRPr="5B67C1D2">
              <w:rPr>
                <w:sz w:val="20"/>
                <w:szCs w:val="20"/>
              </w:rPr>
              <w:t xml:space="preserve"> </w:t>
            </w:r>
            <w:proofErr w:type="spellStart"/>
            <w:r w:rsidRPr="5B67C1D2">
              <w:rPr>
                <w:sz w:val="20"/>
                <w:szCs w:val="20"/>
              </w:rPr>
              <w:t>person’s</w:t>
            </w:r>
            <w:proofErr w:type="spellEnd"/>
            <w:r w:rsidRPr="5B67C1D2">
              <w:rPr>
                <w:sz w:val="20"/>
                <w:szCs w:val="20"/>
              </w:rPr>
              <w:t xml:space="preserve"> </w:t>
            </w:r>
            <w:proofErr w:type="spellStart"/>
            <w:r w:rsidRPr="5B67C1D2">
              <w:rPr>
                <w:sz w:val="20"/>
                <w:szCs w:val="20"/>
              </w:rPr>
              <w:t>liberty</w:t>
            </w:r>
            <w:proofErr w:type="spellEnd"/>
            <w:r w:rsidRPr="5B67C1D2">
              <w:rPr>
                <w:sz w:val="20"/>
                <w:szCs w:val="20"/>
              </w:rPr>
              <w:t xml:space="preserve"> </w:t>
            </w:r>
            <w:proofErr w:type="spellStart"/>
            <w:r w:rsidRPr="5B67C1D2">
              <w:rPr>
                <w:sz w:val="20"/>
                <w:szCs w:val="20"/>
              </w:rPr>
              <w:t>or</w:t>
            </w:r>
            <w:proofErr w:type="spellEnd"/>
            <w:r w:rsidRPr="5B67C1D2">
              <w:rPr>
                <w:sz w:val="20"/>
                <w:szCs w:val="20"/>
              </w:rPr>
              <w:t xml:space="preserve"> </w:t>
            </w:r>
            <w:proofErr w:type="spellStart"/>
            <w:r w:rsidRPr="5B67C1D2">
              <w:rPr>
                <w:sz w:val="20"/>
                <w:szCs w:val="20"/>
              </w:rPr>
              <w:t>happiness</w:t>
            </w:r>
            <w:proofErr w:type="spellEnd"/>
            <w:r w:rsidRPr="5B67C1D2">
              <w:rPr>
                <w:sz w:val="20"/>
                <w:szCs w:val="20"/>
              </w:rPr>
              <w:t xml:space="preserve">, on the </w:t>
            </w:r>
            <w:proofErr w:type="spellStart"/>
            <w:r w:rsidRPr="5B67C1D2">
              <w:rPr>
                <w:sz w:val="20"/>
                <w:szCs w:val="20"/>
              </w:rPr>
              <w:t>other</w:t>
            </w:r>
            <w:proofErr w:type="spellEnd"/>
            <w:r w:rsidRPr="5B67C1D2">
              <w:rPr>
                <w:sz w:val="20"/>
                <w:szCs w:val="20"/>
              </w:rPr>
              <w:t>“</w:t>
            </w:r>
            <w:r w:rsidRPr="5B67C1D2">
              <w:rPr>
                <w:sz w:val="20"/>
                <w:szCs w:val="20"/>
                <w:vertAlign w:val="superscript"/>
              </w:rPr>
              <w:footnoteReference w:id="1035"/>
            </w:r>
            <w:r w:rsidRPr="5B67C1D2">
              <w:rPr>
                <w:sz w:val="20"/>
                <w:szCs w:val="20"/>
              </w:rPr>
              <w:t xml:space="preserve">). Und zwar </w:t>
            </w:r>
            <w:proofErr w:type="gramStart"/>
            <w:r w:rsidRPr="5B67C1D2">
              <w:rPr>
                <w:sz w:val="20"/>
                <w:szCs w:val="20"/>
              </w:rPr>
              <w:t>gerade</w:t>
            </w:r>
            <w:proofErr w:type="gramEnd"/>
            <w:r w:rsidRPr="5B67C1D2">
              <w:rPr>
                <w:sz w:val="20"/>
                <w:szCs w:val="20"/>
              </w:rPr>
              <w:t xml:space="preserve"> wenn das öffentliche Interesse die Freiheit bzw. das Streben nach Glück vollständig ersetzen solle („</w:t>
            </w:r>
            <w:proofErr w:type="spellStart"/>
            <w:r w:rsidRPr="5B67C1D2">
              <w:rPr>
                <w:sz w:val="20"/>
                <w:szCs w:val="20"/>
              </w:rPr>
              <w:t>lives</w:t>
            </w:r>
            <w:proofErr w:type="spellEnd"/>
            <w:r w:rsidRPr="5B67C1D2">
              <w:rPr>
                <w:sz w:val="20"/>
                <w:szCs w:val="20"/>
              </w:rPr>
              <w:t xml:space="preserve"> </w:t>
            </w:r>
            <w:proofErr w:type="spellStart"/>
            <w:r w:rsidRPr="5B67C1D2">
              <w:rPr>
                <w:sz w:val="20"/>
                <w:szCs w:val="20"/>
              </w:rPr>
              <w:t>are</w:t>
            </w:r>
            <w:proofErr w:type="spellEnd"/>
            <w:r w:rsidRPr="5B67C1D2">
              <w:rPr>
                <w:sz w:val="20"/>
                <w:szCs w:val="20"/>
              </w:rPr>
              <w:t xml:space="preserve"> </w:t>
            </w:r>
            <w:proofErr w:type="spellStart"/>
            <w:r w:rsidRPr="5B67C1D2">
              <w:rPr>
                <w:sz w:val="20"/>
                <w:szCs w:val="20"/>
              </w:rPr>
              <w:t>defined</w:t>
            </w:r>
            <w:proofErr w:type="spellEnd"/>
            <w:r w:rsidRPr="5B67C1D2">
              <w:rPr>
                <w:sz w:val="20"/>
                <w:szCs w:val="20"/>
              </w:rPr>
              <w:t xml:space="preserve"> by the </w:t>
            </w:r>
            <w:proofErr w:type="spellStart"/>
            <w:r w:rsidRPr="5B67C1D2">
              <w:rPr>
                <w:sz w:val="20"/>
                <w:szCs w:val="20"/>
              </w:rPr>
              <w:t>State’s</w:t>
            </w:r>
            <w:proofErr w:type="spellEnd"/>
            <w:r w:rsidRPr="5B67C1D2">
              <w:rPr>
                <w:sz w:val="20"/>
                <w:szCs w:val="20"/>
              </w:rPr>
              <w:t xml:space="preserve"> </w:t>
            </w:r>
            <w:proofErr w:type="spellStart"/>
            <w:r w:rsidRPr="5B67C1D2">
              <w:rPr>
                <w:sz w:val="20"/>
                <w:szCs w:val="20"/>
              </w:rPr>
              <w:t>interests</w:t>
            </w:r>
            <w:proofErr w:type="spellEnd"/>
            <w:r w:rsidRPr="5B67C1D2">
              <w:rPr>
                <w:sz w:val="20"/>
                <w:szCs w:val="20"/>
              </w:rPr>
              <w:t xml:space="preserve"> </w:t>
            </w:r>
            <w:proofErr w:type="spellStart"/>
            <w:r w:rsidRPr="5B67C1D2">
              <w:rPr>
                <w:sz w:val="20"/>
                <w:szCs w:val="20"/>
              </w:rPr>
              <w:t>rather</w:t>
            </w:r>
            <w:proofErr w:type="spellEnd"/>
            <w:r w:rsidRPr="5B67C1D2">
              <w:rPr>
                <w:sz w:val="20"/>
                <w:szCs w:val="20"/>
              </w:rPr>
              <w:t xml:space="preserve"> </w:t>
            </w:r>
            <w:proofErr w:type="spellStart"/>
            <w:r w:rsidRPr="5B67C1D2">
              <w:rPr>
                <w:sz w:val="20"/>
                <w:szCs w:val="20"/>
              </w:rPr>
              <w:t>than</w:t>
            </w:r>
            <w:proofErr w:type="spellEnd"/>
            <w:r w:rsidRPr="5B67C1D2">
              <w:rPr>
                <w:sz w:val="20"/>
                <w:szCs w:val="20"/>
              </w:rPr>
              <w:t xml:space="preserve"> </w:t>
            </w:r>
            <w:proofErr w:type="spellStart"/>
            <w:r w:rsidRPr="5B67C1D2">
              <w:rPr>
                <w:sz w:val="20"/>
                <w:szCs w:val="20"/>
              </w:rPr>
              <w:t>their</w:t>
            </w:r>
            <w:proofErr w:type="spellEnd"/>
            <w:r w:rsidRPr="5B67C1D2">
              <w:rPr>
                <w:sz w:val="20"/>
                <w:szCs w:val="20"/>
              </w:rPr>
              <w:t xml:space="preserve"> own“</w:t>
            </w:r>
            <w:r w:rsidRPr="5B67C1D2">
              <w:rPr>
                <w:sz w:val="20"/>
                <w:szCs w:val="20"/>
                <w:vertAlign w:val="superscript"/>
              </w:rPr>
              <w:footnoteReference w:id="1036"/>
            </w:r>
            <w:r w:rsidRPr="5B67C1D2">
              <w:rPr>
                <w:sz w:val="20"/>
                <w:szCs w:val="20"/>
              </w:rPr>
              <w:t>), was ohne Abwägung gegen ebenjene Staatsziele verstoße („</w:t>
            </w:r>
            <w:proofErr w:type="spellStart"/>
            <w:r w:rsidRPr="5B67C1D2">
              <w:rPr>
                <w:sz w:val="20"/>
                <w:szCs w:val="20"/>
              </w:rPr>
              <w:t>inconsistent</w:t>
            </w:r>
            <w:proofErr w:type="spellEnd"/>
            <w:r w:rsidRPr="5B67C1D2">
              <w:rPr>
                <w:sz w:val="20"/>
                <w:szCs w:val="20"/>
              </w:rPr>
              <w:t xml:space="preserve"> </w:t>
            </w:r>
            <w:proofErr w:type="spellStart"/>
            <w:r w:rsidRPr="5B67C1D2">
              <w:rPr>
                <w:sz w:val="20"/>
                <w:szCs w:val="20"/>
              </w:rPr>
              <w:t>with</w:t>
            </w:r>
            <w:proofErr w:type="spellEnd"/>
            <w:r w:rsidRPr="5B67C1D2">
              <w:rPr>
                <w:sz w:val="20"/>
                <w:szCs w:val="20"/>
              </w:rPr>
              <w:t xml:space="preserve"> the </w:t>
            </w:r>
            <w:proofErr w:type="spellStart"/>
            <w:r w:rsidRPr="5B67C1D2">
              <w:rPr>
                <w:sz w:val="20"/>
                <w:szCs w:val="20"/>
              </w:rPr>
              <w:t>foundation</w:t>
            </w:r>
            <w:proofErr w:type="spellEnd"/>
            <w:r w:rsidRPr="5B67C1D2">
              <w:rPr>
                <w:sz w:val="20"/>
                <w:szCs w:val="20"/>
              </w:rPr>
              <w:t xml:space="preserve"> of all </w:t>
            </w:r>
            <w:proofErr w:type="spellStart"/>
            <w:r w:rsidRPr="5B67C1D2">
              <w:rPr>
                <w:sz w:val="20"/>
                <w:szCs w:val="20"/>
              </w:rPr>
              <w:t>legitimate</w:t>
            </w:r>
            <w:proofErr w:type="spellEnd"/>
            <w:r w:rsidRPr="5B67C1D2">
              <w:rPr>
                <w:sz w:val="20"/>
                <w:szCs w:val="20"/>
              </w:rPr>
              <w:t xml:space="preserve"> </w:t>
            </w:r>
            <w:proofErr w:type="spellStart"/>
            <w:r w:rsidRPr="5B67C1D2">
              <w:rPr>
                <w:sz w:val="20"/>
                <w:szCs w:val="20"/>
              </w:rPr>
              <w:t>government</w:t>
            </w:r>
            <w:proofErr w:type="spellEnd"/>
            <w:r w:rsidRPr="5B67C1D2">
              <w:rPr>
                <w:sz w:val="20"/>
                <w:szCs w:val="20"/>
              </w:rPr>
              <w:t>“</w:t>
            </w:r>
            <w:r w:rsidRPr="5B67C1D2">
              <w:rPr>
                <w:sz w:val="20"/>
                <w:szCs w:val="20"/>
                <w:vertAlign w:val="superscript"/>
                <w:lang w:val="en-US"/>
              </w:rPr>
              <w:footnoteReference w:id="1037"/>
            </w:r>
            <w:r w:rsidRPr="5B67C1D2">
              <w:rPr>
                <w:sz w:val="20"/>
                <w:szCs w:val="20"/>
              </w:rPr>
              <w:t>; „</w:t>
            </w:r>
            <w:proofErr w:type="spellStart"/>
            <w:r w:rsidRPr="5B67C1D2">
              <w:rPr>
                <w:sz w:val="20"/>
                <w:szCs w:val="20"/>
              </w:rPr>
              <w:t>foundation</w:t>
            </w:r>
            <w:proofErr w:type="spellEnd"/>
            <w:r w:rsidRPr="5B67C1D2">
              <w:rPr>
                <w:sz w:val="20"/>
                <w:szCs w:val="20"/>
              </w:rPr>
              <w:t xml:space="preserve"> on such </w:t>
            </w:r>
            <w:proofErr w:type="spellStart"/>
            <w:r w:rsidRPr="5B67C1D2">
              <w:rPr>
                <w:sz w:val="20"/>
                <w:szCs w:val="20"/>
              </w:rPr>
              <w:t>principles</w:t>
            </w:r>
            <w:proofErr w:type="spellEnd"/>
            <w:r w:rsidRPr="5B67C1D2">
              <w:rPr>
                <w:sz w:val="20"/>
                <w:szCs w:val="20"/>
              </w:rPr>
              <w:t xml:space="preserve"> […] </w:t>
            </w:r>
            <w:proofErr w:type="spellStart"/>
            <w:r w:rsidRPr="5B67C1D2">
              <w:rPr>
                <w:sz w:val="20"/>
                <w:szCs w:val="20"/>
              </w:rPr>
              <w:t>likely</w:t>
            </w:r>
            <w:proofErr w:type="spellEnd"/>
            <w:r w:rsidRPr="5B67C1D2">
              <w:rPr>
                <w:sz w:val="20"/>
                <w:szCs w:val="20"/>
              </w:rPr>
              <w:t xml:space="preserve"> to </w:t>
            </w:r>
            <w:proofErr w:type="spellStart"/>
            <w:r w:rsidRPr="5B67C1D2">
              <w:rPr>
                <w:sz w:val="20"/>
                <w:szCs w:val="20"/>
              </w:rPr>
              <w:t>effect</w:t>
            </w:r>
            <w:proofErr w:type="spellEnd"/>
            <w:r w:rsidRPr="5B67C1D2">
              <w:rPr>
                <w:sz w:val="20"/>
                <w:szCs w:val="20"/>
              </w:rPr>
              <w:t xml:space="preserve"> </w:t>
            </w:r>
            <w:proofErr w:type="spellStart"/>
            <w:r w:rsidRPr="5B67C1D2">
              <w:rPr>
                <w:sz w:val="20"/>
                <w:szCs w:val="20"/>
              </w:rPr>
              <w:t>their</w:t>
            </w:r>
            <w:proofErr w:type="spellEnd"/>
            <w:r w:rsidRPr="5B67C1D2">
              <w:rPr>
                <w:sz w:val="20"/>
                <w:szCs w:val="20"/>
              </w:rPr>
              <w:t xml:space="preserve"> </w:t>
            </w:r>
            <w:proofErr w:type="spellStart"/>
            <w:r w:rsidRPr="5B67C1D2">
              <w:rPr>
                <w:sz w:val="20"/>
                <w:szCs w:val="20"/>
              </w:rPr>
              <w:t>Safety</w:t>
            </w:r>
            <w:proofErr w:type="spellEnd"/>
            <w:r w:rsidRPr="5B67C1D2">
              <w:rPr>
                <w:sz w:val="20"/>
                <w:szCs w:val="20"/>
              </w:rPr>
              <w:t xml:space="preserve"> and Happiness“</w:t>
            </w:r>
            <w:r w:rsidRPr="5B67C1D2">
              <w:rPr>
                <w:sz w:val="20"/>
                <w:szCs w:val="20"/>
                <w:vertAlign w:val="superscript"/>
                <w:lang w:val="en-US"/>
              </w:rPr>
              <w:footnoteReference w:id="1038"/>
            </w:r>
            <w:r w:rsidRPr="5B67C1D2">
              <w:rPr>
                <w:sz w:val="20"/>
                <w:szCs w:val="20"/>
              </w:rPr>
              <w:t>).</w:t>
            </w:r>
          </w:p>
          <w:p w14:paraId="323475D9" w14:textId="77777777" w:rsidR="00074551" w:rsidRPr="001B6693" w:rsidRDefault="00074551" w:rsidP="00367133">
            <w:pPr>
              <w:jc w:val="both"/>
              <w:rPr>
                <w:sz w:val="20"/>
                <w:szCs w:val="20"/>
              </w:rPr>
            </w:pPr>
          </w:p>
        </w:tc>
      </w:tr>
      <w:tr w:rsidR="00074551" w:rsidRPr="00E50B51" w14:paraId="6470848B" w14:textId="77777777" w:rsidTr="00BE689F">
        <w:trPr>
          <w:cantSplit/>
          <w:trHeight w:val="3175"/>
        </w:trPr>
        <w:tc>
          <w:tcPr>
            <w:tcW w:w="293" w:type="pct"/>
          </w:tcPr>
          <w:p w14:paraId="24077F1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EA42951" w14:textId="77777777" w:rsidR="00074551" w:rsidRPr="00E50B51" w:rsidRDefault="00074551" w:rsidP="00367133">
            <w:pPr>
              <w:ind w:left="113" w:right="416"/>
              <w:jc w:val="both"/>
              <w:rPr>
                <w:sz w:val="20"/>
                <w:szCs w:val="20"/>
              </w:rPr>
            </w:pPr>
            <w:r w:rsidRPr="009E57E1">
              <w:rPr>
                <w:i/>
                <w:sz w:val="20"/>
                <w:szCs w:val="20"/>
              </w:rPr>
              <w:t>Washington v. Harper</w:t>
            </w:r>
          </w:p>
        </w:tc>
        <w:tc>
          <w:tcPr>
            <w:tcW w:w="197" w:type="pct"/>
            <w:textDirection w:val="tbRl"/>
            <w:vAlign w:val="center"/>
          </w:tcPr>
          <w:p w14:paraId="0AD1E198" w14:textId="77777777" w:rsidR="00074551" w:rsidRPr="00E50B51" w:rsidRDefault="00074551" w:rsidP="00367133">
            <w:pPr>
              <w:ind w:left="113" w:right="113"/>
              <w:jc w:val="both"/>
              <w:rPr>
                <w:sz w:val="20"/>
                <w:szCs w:val="20"/>
              </w:rPr>
            </w:pPr>
            <w:r w:rsidRPr="00E50B51">
              <w:rPr>
                <w:sz w:val="20"/>
                <w:szCs w:val="20"/>
                <w:lang w:val="en-US"/>
              </w:rPr>
              <w:t>494 U.S. 210</w:t>
            </w:r>
          </w:p>
        </w:tc>
        <w:tc>
          <w:tcPr>
            <w:tcW w:w="306" w:type="pct"/>
            <w:textDirection w:val="tbRl"/>
            <w:vAlign w:val="center"/>
          </w:tcPr>
          <w:p w14:paraId="30C83D8A" w14:textId="77777777" w:rsidR="00074551" w:rsidRPr="00E50B51" w:rsidRDefault="00074551" w:rsidP="00367133">
            <w:pPr>
              <w:ind w:left="113" w:right="113"/>
              <w:jc w:val="both"/>
              <w:rPr>
                <w:sz w:val="20"/>
                <w:szCs w:val="20"/>
              </w:rPr>
            </w:pPr>
            <w:r w:rsidRPr="00E50B51">
              <w:rPr>
                <w:sz w:val="20"/>
                <w:szCs w:val="20"/>
              </w:rPr>
              <w:t>27. Februar 1990</w:t>
            </w:r>
          </w:p>
        </w:tc>
        <w:tc>
          <w:tcPr>
            <w:tcW w:w="401" w:type="pct"/>
          </w:tcPr>
          <w:p w14:paraId="0CEDAF40" w14:textId="77777777" w:rsidR="00074551" w:rsidRPr="00E50B51" w:rsidRDefault="00074551" w:rsidP="00367133">
            <w:pPr>
              <w:jc w:val="center"/>
              <w:rPr>
                <w:sz w:val="20"/>
                <w:szCs w:val="20"/>
              </w:rPr>
            </w:pPr>
            <w:r w:rsidRPr="00E50B51">
              <w:rPr>
                <w:sz w:val="20"/>
                <w:szCs w:val="20"/>
              </w:rPr>
              <w:t>D</w:t>
            </w:r>
          </w:p>
        </w:tc>
        <w:tc>
          <w:tcPr>
            <w:tcW w:w="1594" w:type="pct"/>
          </w:tcPr>
          <w:p w14:paraId="1568F51B" w14:textId="2C784602" w:rsidR="00074551" w:rsidRPr="00E50B51" w:rsidRDefault="00074551" w:rsidP="00367133">
            <w:pPr>
              <w:jc w:val="both"/>
              <w:rPr>
                <w:sz w:val="20"/>
                <w:szCs w:val="20"/>
              </w:rPr>
            </w:pPr>
            <w:r w:rsidRPr="00E50B51">
              <w:rPr>
                <w:sz w:val="20"/>
                <w:szCs w:val="20"/>
              </w:rPr>
              <w:t>Im Fall ging es um ein im Ergebnis verfassungs</w:t>
            </w:r>
            <w:r>
              <w:rPr>
                <w:sz w:val="20"/>
                <w:szCs w:val="20"/>
              </w:rPr>
              <w:t>ge</w:t>
            </w:r>
            <w:r w:rsidRPr="00E50B51">
              <w:rPr>
                <w:sz w:val="20"/>
                <w:szCs w:val="20"/>
              </w:rPr>
              <w:t xml:space="preserve">mäßes </w:t>
            </w:r>
            <w:r w:rsidR="28009423" w:rsidRPr="5B67C1D2">
              <w:rPr>
                <w:sz w:val="20"/>
                <w:szCs w:val="20"/>
              </w:rPr>
              <w:t>bundesstaatliches G</w:t>
            </w:r>
            <w:r w:rsidRPr="5B67C1D2">
              <w:rPr>
                <w:sz w:val="20"/>
                <w:szCs w:val="20"/>
              </w:rPr>
              <w:t>esetz,</w:t>
            </w:r>
            <w:r w:rsidRPr="5B67C1D2">
              <w:rPr>
                <w:rStyle w:val="Funotenzeichen"/>
                <w:sz w:val="20"/>
                <w:szCs w:val="20"/>
              </w:rPr>
              <w:footnoteReference w:id="1039"/>
            </w:r>
            <w:r w:rsidRPr="5B67C1D2">
              <w:rPr>
                <w:sz w:val="20"/>
                <w:szCs w:val="20"/>
              </w:rPr>
              <w:t xml:space="preserve"> welches Gefängnisbehörden erlaubte, Insassen gegen ihren Willen Medikamente zu verabreichen. Hierbei beachtete das Gesetz mit einem strengen Verfahren zur Medikationsverabreichung das Recht, Medikation im Einzelfall zu verweigern. Der U.S. Supreme Court argumentierte, wegen des Gefängnisumfelds erlaube die Klausel über ein rechtsstaatliches Verfahren dem Staat, einen Gefängnisinsassen, der an einer schweren Geisteskrankheit leide, gegen seinen Willen mit antipsychotischen Medikamenten zu behandeln, soweit der Insasse für sich selbst oder andere gefährlich sei und die Behandlung im medizinischen Interesse des Insassen liege.</w:t>
            </w:r>
            <w:r w:rsidRPr="5B67C1D2">
              <w:rPr>
                <w:rStyle w:val="Funotenzeichen"/>
                <w:sz w:val="20"/>
                <w:szCs w:val="20"/>
              </w:rPr>
              <w:footnoteReference w:id="1040"/>
            </w:r>
          </w:p>
          <w:p w14:paraId="768FD1E4" w14:textId="77777777" w:rsidR="00074551" w:rsidRPr="00E50B51" w:rsidRDefault="00074551" w:rsidP="00367133">
            <w:pPr>
              <w:jc w:val="both"/>
              <w:rPr>
                <w:sz w:val="20"/>
                <w:szCs w:val="20"/>
              </w:rPr>
            </w:pPr>
          </w:p>
        </w:tc>
        <w:tc>
          <w:tcPr>
            <w:tcW w:w="1822" w:type="pct"/>
          </w:tcPr>
          <w:p w14:paraId="067403CE" w14:textId="4384F323" w:rsidR="00074551" w:rsidRPr="00E50B51" w:rsidRDefault="00074551" w:rsidP="00367133">
            <w:pPr>
              <w:jc w:val="both"/>
              <w:rPr>
                <w:sz w:val="20"/>
                <w:szCs w:val="20"/>
              </w:rPr>
            </w:pPr>
            <w:r w:rsidRPr="00066997">
              <w:rPr>
                <w:sz w:val="20"/>
                <w:szCs w:val="20"/>
              </w:rPr>
              <w:t xml:space="preserve">Im Dissens in </w:t>
            </w:r>
            <w:r w:rsidRPr="5B67C1D2">
              <w:rPr>
                <w:i/>
                <w:iCs/>
                <w:sz w:val="20"/>
                <w:szCs w:val="20"/>
              </w:rPr>
              <w:t>Washington v. Harper</w:t>
            </w:r>
            <w:r w:rsidRPr="00066997">
              <w:rPr>
                <w:sz w:val="20"/>
                <w:szCs w:val="20"/>
              </w:rPr>
              <w:t xml:space="preserve"> konturierte der </w:t>
            </w:r>
            <w:r>
              <w:rPr>
                <w:sz w:val="20"/>
                <w:szCs w:val="20"/>
              </w:rPr>
              <w:t>U.S. Supreme Court</w:t>
            </w:r>
            <w:r w:rsidRPr="00066997">
              <w:rPr>
                <w:sz w:val="20"/>
                <w:szCs w:val="20"/>
              </w:rPr>
              <w:t xml:space="preserve">, wann der Staat in die körperliche Unversehrtheit als einer Dimension des Strebens nach Glück eingreifen </w:t>
            </w:r>
            <w:r>
              <w:rPr>
                <w:sz w:val="20"/>
                <w:szCs w:val="20"/>
              </w:rPr>
              <w:t>könne</w:t>
            </w:r>
            <w:r w:rsidRPr="00066997">
              <w:rPr>
                <w:sz w:val="20"/>
                <w:szCs w:val="20"/>
              </w:rPr>
              <w:t>; nämlich dann, wenn hinreichende Verfahrensgarantien best</w:t>
            </w:r>
            <w:r>
              <w:rPr>
                <w:sz w:val="20"/>
                <w:szCs w:val="20"/>
              </w:rPr>
              <w:t>ünden</w:t>
            </w:r>
            <w:r w:rsidRPr="00066997">
              <w:rPr>
                <w:sz w:val="20"/>
                <w:szCs w:val="20"/>
              </w:rPr>
              <w:t xml:space="preserve">. Zwar stimmt der Dissens von Richter </w:t>
            </w:r>
            <w:r w:rsidRPr="5B67C1D2">
              <w:rPr>
                <w:i/>
                <w:iCs/>
                <w:sz w:val="20"/>
                <w:szCs w:val="20"/>
              </w:rPr>
              <w:t>Stevens</w:t>
            </w:r>
            <w:r w:rsidRPr="00066997">
              <w:rPr>
                <w:sz w:val="20"/>
                <w:szCs w:val="20"/>
              </w:rPr>
              <w:t xml:space="preserve">, dem sich die Richter </w:t>
            </w:r>
            <w:r w:rsidRPr="5B67C1D2">
              <w:rPr>
                <w:i/>
                <w:iCs/>
                <w:sz w:val="20"/>
                <w:szCs w:val="20"/>
              </w:rPr>
              <w:t>Brennan</w:t>
            </w:r>
            <w:r w:rsidRPr="00066997">
              <w:rPr>
                <w:sz w:val="20"/>
                <w:szCs w:val="20"/>
              </w:rPr>
              <w:t xml:space="preserve"> und </w:t>
            </w:r>
            <w:r w:rsidRPr="5B67C1D2">
              <w:rPr>
                <w:i/>
                <w:iCs/>
                <w:sz w:val="20"/>
                <w:szCs w:val="20"/>
              </w:rPr>
              <w:t>Marshall</w:t>
            </w:r>
            <w:r w:rsidRPr="00066997">
              <w:rPr>
                <w:sz w:val="20"/>
                <w:szCs w:val="20"/>
              </w:rPr>
              <w:t xml:space="preserve"> anschlossen, mit der Entscheidung überein, </w:t>
            </w:r>
            <w:r>
              <w:rPr>
                <w:sz w:val="20"/>
                <w:szCs w:val="20"/>
              </w:rPr>
              <w:t>das zitierte</w:t>
            </w:r>
            <w:r w:rsidRPr="00066997">
              <w:rPr>
                <w:sz w:val="20"/>
                <w:szCs w:val="20"/>
              </w:rPr>
              <w:t xml:space="preserve"> Gesetz</w:t>
            </w:r>
            <w:r>
              <w:rPr>
                <w:rStyle w:val="Funotenzeichen"/>
                <w:sz w:val="20"/>
                <w:szCs w:val="20"/>
              </w:rPr>
              <w:t xml:space="preserve"> </w:t>
            </w:r>
            <w:r w:rsidRPr="00066997">
              <w:rPr>
                <w:sz w:val="20"/>
                <w:szCs w:val="20"/>
              </w:rPr>
              <w:t xml:space="preserve">für verfassungsgemäß zu erklären, welches Gefängnisbehörden erlaubte, Insassen Medikamente gegen ihren Willen zu verabreichen. Aber sie fanden die Freiheit untergewichtet („The Court </w:t>
            </w:r>
            <w:proofErr w:type="spellStart"/>
            <w:r w:rsidRPr="00066997">
              <w:rPr>
                <w:sz w:val="20"/>
                <w:szCs w:val="20"/>
              </w:rPr>
              <w:t>has</w:t>
            </w:r>
            <w:proofErr w:type="spellEnd"/>
            <w:r w:rsidRPr="00066997">
              <w:rPr>
                <w:sz w:val="20"/>
                <w:szCs w:val="20"/>
              </w:rPr>
              <w:t xml:space="preserve"> </w:t>
            </w:r>
            <w:proofErr w:type="spellStart"/>
            <w:r w:rsidRPr="00066997">
              <w:rPr>
                <w:sz w:val="20"/>
                <w:szCs w:val="20"/>
              </w:rPr>
              <w:t>undervalued</w:t>
            </w:r>
            <w:proofErr w:type="spellEnd"/>
            <w:r w:rsidRPr="00066997">
              <w:rPr>
                <w:sz w:val="20"/>
                <w:szCs w:val="20"/>
              </w:rPr>
              <w:t xml:space="preserve"> </w:t>
            </w:r>
            <w:proofErr w:type="spellStart"/>
            <w:r w:rsidRPr="00066997">
              <w:rPr>
                <w:sz w:val="20"/>
                <w:szCs w:val="20"/>
              </w:rPr>
              <w:t>respondent</w:t>
            </w:r>
            <w:r>
              <w:rPr>
                <w:sz w:val="20"/>
                <w:szCs w:val="20"/>
              </w:rPr>
              <w:t>’</w:t>
            </w:r>
            <w:r w:rsidRPr="00066997">
              <w:rPr>
                <w:sz w:val="20"/>
                <w:szCs w:val="20"/>
              </w:rPr>
              <w:t>s</w:t>
            </w:r>
            <w:proofErr w:type="spellEnd"/>
            <w:r w:rsidRPr="00066997">
              <w:rPr>
                <w:sz w:val="20"/>
                <w:szCs w:val="20"/>
              </w:rPr>
              <w:t xml:space="preserve"> </w:t>
            </w:r>
            <w:proofErr w:type="spellStart"/>
            <w:r w:rsidRPr="00066997">
              <w:rPr>
                <w:sz w:val="20"/>
                <w:szCs w:val="20"/>
              </w:rPr>
              <w:t>liberty</w:t>
            </w:r>
            <w:proofErr w:type="spellEnd"/>
            <w:r w:rsidRPr="00066997">
              <w:rPr>
                <w:sz w:val="20"/>
                <w:szCs w:val="20"/>
              </w:rPr>
              <w:t xml:space="preserve"> </w:t>
            </w:r>
            <w:proofErr w:type="spellStart"/>
            <w:r w:rsidRPr="00066997">
              <w:rPr>
                <w:sz w:val="20"/>
                <w:szCs w:val="20"/>
              </w:rPr>
              <w:t>interest</w:t>
            </w:r>
            <w:proofErr w:type="spellEnd"/>
            <w:r w:rsidRPr="00066997">
              <w:rPr>
                <w:sz w:val="20"/>
                <w:szCs w:val="20"/>
              </w:rPr>
              <w:t>“</w:t>
            </w:r>
            <w:r w:rsidRPr="00066997">
              <w:rPr>
                <w:sz w:val="20"/>
                <w:szCs w:val="20"/>
                <w:vertAlign w:val="superscript"/>
              </w:rPr>
              <w:footnoteReference w:id="1041"/>
            </w:r>
            <w:r w:rsidRPr="00066997">
              <w:rPr>
                <w:sz w:val="20"/>
                <w:szCs w:val="20"/>
              </w:rPr>
              <w:t xml:space="preserve">). Sie konkretisierten dafür die Bedingungen des Strebens nach Glück und das Freiheitsinteresse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66997">
              <w:rPr>
                <w:sz w:val="20"/>
                <w:szCs w:val="20"/>
              </w:rPr>
              <w:t xml:space="preserve"> Beidem hätte mehr Gewicht zukommen müssen. Dafür beschrieben die Richter die fallbezogenen Freiheitsdimensionen („</w:t>
            </w:r>
            <w:proofErr w:type="spellStart"/>
            <w:r w:rsidRPr="00066997">
              <w:rPr>
                <w:sz w:val="20"/>
                <w:szCs w:val="20"/>
              </w:rPr>
              <w:t>several</w:t>
            </w:r>
            <w:proofErr w:type="spellEnd"/>
            <w:r w:rsidRPr="00066997">
              <w:rPr>
                <w:sz w:val="20"/>
                <w:szCs w:val="20"/>
              </w:rPr>
              <w:t xml:space="preserve"> </w:t>
            </w:r>
            <w:proofErr w:type="spellStart"/>
            <w:r w:rsidRPr="00066997">
              <w:rPr>
                <w:sz w:val="20"/>
                <w:szCs w:val="20"/>
              </w:rPr>
              <w:t>dimensions</w:t>
            </w:r>
            <w:proofErr w:type="spellEnd"/>
            <w:r w:rsidRPr="00066997">
              <w:rPr>
                <w:sz w:val="20"/>
                <w:szCs w:val="20"/>
              </w:rPr>
              <w:t xml:space="preserve"> of </w:t>
            </w:r>
            <w:proofErr w:type="spellStart"/>
            <w:r w:rsidRPr="00066997">
              <w:rPr>
                <w:sz w:val="20"/>
                <w:szCs w:val="20"/>
              </w:rPr>
              <w:t>that</w:t>
            </w:r>
            <w:proofErr w:type="spellEnd"/>
            <w:r w:rsidRPr="00066997">
              <w:rPr>
                <w:sz w:val="20"/>
                <w:szCs w:val="20"/>
              </w:rPr>
              <w:t xml:space="preserve"> </w:t>
            </w:r>
            <w:proofErr w:type="spellStart"/>
            <w:r w:rsidRPr="00066997">
              <w:rPr>
                <w:sz w:val="20"/>
                <w:szCs w:val="20"/>
              </w:rPr>
              <w:t>liberty</w:t>
            </w:r>
            <w:proofErr w:type="spellEnd"/>
            <w:r w:rsidRPr="00066997">
              <w:rPr>
                <w:sz w:val="20"/>
                <w:szCs w:val="20"/>
              </w:rPr>
              <w:t>“</w:t>
            </w:r>
            <w:r w:rsidRPr="00066997">
              <w:rPr>
                <w:sz w:val="20"/>
                <w:szCs w:val="20"/>
                <w:vertAlign w:val="superscript"/>
              </w:rPr>
              <w:footnoteReference w:id="1042"/>
            </w:r>
            <w:r w:rsidRPr="00066997">
              <w:rPr>
                <w:sz w:val="20"/>
                <w:szCs w:val="20"/>
              </w:rPr>
              <w:t xml:space="preserve">). Diese Dimensionen seien sowohl physisch als </w:t>
            </w:r>
            <w:r>
              <w:rPr>
                <w:sz w:val="20"/>
                <w:szCs w:val="20"/>
              </w:rPr>
              <w:t>geistig</w:t>
            </w:r>
            <w:r w:rsidRPr="00066997">
              <w:rPr>
                <w:sz w:val="20"/>
                <w:szCs w:val="20"/>
              </w:rPr>
              <w:t xml:space="preserve"> („</w:t>
            </w:r>
            <w:proofErr w:type="spellStart"/>
            <w:r w:rsidRPr="00066997">
              <w:rPr>
                <w:sz w:val="20"/>
                <w:szCs w:val="20"/>
              </w:rPr>
              <w:t>physical</w:t>
            </w:r>
            <w:proofErr w:type="spellEnd"/>
            <w:r w:rsidRPr="00066997">
              <w:rPr>
                <w:sz w:val="20"/>
                <w:szCs w:val="20"/>
              </w:rPr>
              <w:t xml:space="preserve"> and </w:t>
            </w:r>
            <w:proofErr w:type="spellStart"/>
            <w:r w:rsidRPr="00066997">
              <w:rPr>
                <w:sz w:val="20"/>
                <w:szCs w:val="20"/>
              </w:rPr>
              <w:t>intellectual</w:t>
            </w:r>
            <w:proofErr w:type="spellEnd"/>
            <w:r w:rsidRPr="00066997">
              <w:rPr>
                <w:sz w:val="20"/>
                <w:szCs w:val="20"/>
              </w:rPr>
              <w:t>“</w:t>
            </w:r>
            <w:r w:rsidRPr="00066997">
              <w:rPr>
                <w:sz w:val="20"/>
                <w:szCs w:val="20"/>
                <w:vertAlign w:val="superscript"/>
              </w:rPr>
              <w:footnoteReference w:id="1043"/>
            </w:r>
            <w:r w:rsidRPr="00066997">
              <w:rPr>
                <w:sz w:val="20"/>
                <w:szCs w:val="20"/>
              </w:rPr>
              <w:t xml:space="preserve">). Zur physischen </w:t>
            </w:r>
            <w:r>
              <w:rPr>
                <w:sz w:val="20"/>
                <w:szCs w:val="20"/>
              </w:rPr>
              <w:t xml:space="preserve">Dimension </w:t>
            </w:r>
            <w:r w:rsidRPr="00066997">
              <w:rPr>
                <w:sz w:val="20"/>
                <w:szCs w:val="20"/>
              </w:rPr>
              <w:t xml:space="preserve">hieß es: Jede Verletzung der körperlichen Unversehrtheit eines Menschen </w:t>
            </w:r>
            <w:r>
              <w:rPr>
                <w:sz w:val="20"/>
                <w:szCs w:val="20"/>
              </w:rPr>
              <w:t>sei</w:t>
            </w:r>
            <w:r w:rsidRPr="00066997">
              <w:rPr>
                <w:sz w:val="20"/>
                <w:szCs w:val="20"/>
              </w:rPr>
              <w:t xml:space="preserve"> ein Eingriff in seine Freiheit als eine der Bedingungen für das Glücksstreben („</w:t>
            </w:r>
            <w:proofErr w:type="spellStart"/>
            <w:r w:rsidRPr="00066997">
              <w:rPr>
                <w:sz w:val="20"/>
                <w:szCs w:val="20"/>
              </w:rPr>
              <w:t>conditions</w:t>
            </w:r>
            <w:proofErr w:type="spellEnd"/>
            <w:r w:rsidRPr="00066997">
              <w:rPr>
                <w:sz w:val="20"/>
                <w:szCs w:val="20"/>
              </w:rPr>
              <w:t xml:space="preserve"> favorable to the </w:t>
            </w:r>
            <w:proofErr w:type="spellStart"/>
            <w:r w:rsidRPr="00066997">
              <w:rPr>
                <w:sz w:val="20"/>
                <w:szCs w:val="20"/>
              </w:rPr>
              <w:t>pursuit</w:t>
            </w:r>
            <w:proofErr w:type="spellEnd"/>
            <w:r w:rsidRPr="00066997">
              <w:rPr>
                <w:sz w:val="20"/>
                <w:szCs w:val="20"/>
              </w:rPr>
              <w:t xml:space="preserve"> of </w:t>
            </w:r>
            <w:proofErr w:type="spellStart"/>
            <w:r w:rsidRPr="00066997">
              <w:rPr>
                <w:sz w:val="20"/>
                <w:szCs w:val="20"/>
              </w:rPr>
              <w:t>happiness</w:t>
            </w:r>
            <w:proofErr w:type="spellEnd"/>
            <w:r w:rsidRPr="00066997">
              <w:rPr>
                <w:sz w:val="20"/>
                <w:szCs w:val="20"/>
              </w:rPr>
              <w:t>“</w:t>
            </w:r>
            <w:r w:rsidRPr="00066997">
              <w:rPr>
                <w:sz w:val="20"/>
                <w:szCs w:val="20"/>
                <w:vertAlign w:val="superscript"/>
              </w:rPr>
              <w:footnoteReference w:id="1044"/>
            </w:r>
            <w:r w:rsidRPr="00066997">
              <w:rPr>
                <w:sz w:val="20"/>
                <w:szCs w:val="20"/>
              </w:rPr>
              <w:t>). Der Eingriff sei dabei besonders schwerwiegend, wenn er ein erhebliches Risiko einer dauerhaften Schädigung hervorrufe: Insbesonder</w:t>
            </w:r>
            <w:r>
              <w:rPr>
                <w:sz w:val="20"/>
                <w:szCs w:val="20"/>
              </w:rPr>
              <w:t>e</w:t>
            </w:r>
            <w:r w:rsidRPr="00066997">
              <w:rPr>
                <w:sz w:val="20"/>
                <w:szCs w:val="20"/>
              </w:rPr>
              <w:t xml:space="preserve">, wenn sich die staatliche Maßnahme über eine mündige Person derart hinwegsetzen </w:t>
            </w:r>
            <w:r>
              <w:rPr>
                <w:sz w:val="20"/>
                <w:szCs w:val="20"/>
              </w:rPr>
              <w:t>könne</w:t>
            </w:r>
            <w:r w:rsidRPr="00066997">
              <w:rPr>
                <w:sz w:val="20"/>
                <w:szCs w:val="20"/>
              </w:rPr>
              <w:t xml:space="preserve">, </w:t>
            </w:r>
            <w:r>
              <w:rPr>
                <w:sz w:val="20"/>
                <w:szCs w:val="20"/>
              </w:rPr>
              <w:t xml:space="preserve">die </w:t>
            </w:r>
            <w:r w:rsidRPr="00066997">
              <w:rPr>
                <w:sz w:val="20"/>
                <w:szCs w:val="20"/>
              </w:rPr>
              <w:t xml:space="preserve">eine medizinische Behandlung </w:t>
            </w:r>
            <w:r>
              <w:rPr>
                <w:sz w:val="20"/>
                <w:szCs w:val="20"/>
              </w:rPr>
              <w:t>abgelehnt habe,</w:t>
            </w:r>
            <w:r w:rsidRPr="00066997">
              <w:rPr>
                <w:sz w:val="20"/>
                <w:szCs w:val="20"/>
              </w:rPr>
              <w:t xml:space="preserve"> und der Zweck der Zwangsmedikation darin besteh</w:t>
            </w:r>
            <w:r>
              <w:rPr>
                <w:sz w:val="20"/>
                <w:szCs w:val="20"/>
              </w:rPr>
              <w:t>e</w:t>
            </w:r>
            <w:r w:rsidRPr="00066997">
              <w:rPr>
                <w:sz w:val="20"/>
                <w:szCs w:val="20"/>
              </w:rPr>
              <w:t xml:space="preserve">, einen Willen zu brechen. Dies habe der </w:t>
            </w:r>
            <w:r>
              <w:rPr>
                <w:sz w:val="20"/>
                <w:szCs w:val="20"/>
              </w:rPr>
              <w:t>U.S. Supreme Court</w:t>
            </w:r>
            <w:r w:rsidRPr="00066997">
              <w:rPr>
                <w:sz w:val="20"/>
                <w:szCs w:val="20"/>
              </w:rPr>
              <w:t xml:space="preserve"> nicht hinreichend beachtet.</w:t>
            </w:r>
            <w:r w:rsidRPr="00066997">
              <w:rPr>
                <w:sz w:val="20"/>
                <w:szCs w:val="20"/>
                <w:vertAlign w:val="superscript"/>
              </w:rPr>
              <w:footnoteReference w:id="1045"/>
            </w:r>
          </w:p>
          <w:p w14:paraId="2BC29F93" w14:textId="77777777" w:rsidR="00074551" w:rsidRPr="00E50B51" w:rsidRDefault="00074551" w:rsidP="00367133">
            <w:pPr>
              <w:jc w:val="both"/>
              <w:rPr>
                <w:sz w:val="20"/>
                <w:szCs w:val="20"/>
              </w:rPr>
            </w:pPr>
          </w:p>
        </w:tc>
      </w:tr>
      <w:tr w:rsidR="00074551" w:rsidRPr="00E50B51" w14:paraId="68EACA0D" w14:textId="77777777" w:rsidTr="00BE689F">
        <w:trPr>
          <w:cantSplit/>
          <w:trHeight w:val="3175"/>
        </w:trPr>
        <w:tc>
          <w:tcPr>
            <w:tcW w:w="293" w:type="pct"/>
          </w:tcPr>
          <w:p w14:paraId="4B99C6E6"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5704FCD" w14:textId="77777777" w:rsidR="00074551" w:rsidRPr="00B45592" w:rsidRDefault="00074551" w:rsidP="00367133">
            <w:pPr>
              <w:ind w:left="113" w:right="416"/>
              <w:jc w:val="both"/>
              <w:rPr>
                <w:i/>
                <w:sz w:val="20"/>
                <w:szCs w:val="20"/>
              </w:rPr>
            </w:pPr>
            <w:r w:rsidRPr="00B45592">
              <w:rPr>
                <w:i/>
                <w:sz w:val="20"/>
                <w:szCs w:val="20"/>
                <w:lang w:val="en-US"/>
              </w:rPr>
              <w:t>Albright v. Oliver</w:t>
            </w:r>
          </w:p>
        </w:tc>
        <w:tc>
          <w:tcPr>
            <w:tcW w:w="197" w:type="pct"/>
            <w:textDirection w:val="tbRl"/>
            <w:vAlign w:val="center"/>
          </w:tcPr>
          <w:p w14:paraId="20B25B0B" w14:textId="77777777" w:rsidR="00074551" w:rsidRPr="00E50B51" w:rsidRDefault="00074551" w:rsidP="00367133">
            <w:pPr>
              <w:ind w:left="113" w:right="113"/>
              <w:jc w:val="both"/>
              <w:rPr>
                <w:sz w:val="20"/>
                <w:szCs w:val="20"/>
              </w:rPr>
            </w:pPr>
            <w:r w:rsidRPr="00E50B51">
              <w:rPr>
                <w:sz w:val="20"/>
                <w:szCs w:val="20"/>
                <w:lang w:val="en-US"/>
              </w:rPr>
              <w:t>510 U.S. 266</w:t>
            </w:r>
          </w:p>
        </w:tc>
        <w:tc>
          <w:tcPr>
            <w:tcW w:w="306" w:type="pct"/>
            <w:textDirection w:val="tbRl"/>
            <w:vAlign w:val="center"/>
          </w:tcPr>
          <w:p w14:paraId="755B7A3A" w14:textId="77777777" w:rsidR="00074551" w:rsidRPr="00E50B51" w:rsidRDefault="00074551" w:rsidP="00367133">
            <w:pPr>
              <w:ind w:left="113" w:right="113"/>
              <w:jc w:val="both"/>
              <w:rPr>
                <w:sz w:val="20"/>
                <w:szCs w:val="20"/>
              </w:rPr>
            </w:pPr>
            <w:r w:rsidRPr="00E50B51">
              <w:rPr>
                <w:sz w:val="20"/>
                <w:szCs w:val="20"/>
              </w:rPr>
              <w:t>24. Januar 1994</w:t>
            </w:r>
          </w:p>
        </w:tc>
        <w:tc>
          <w:tcPr>
            <w:tcW w:w="401" w:type="pct"/>
          </w:tcPr>
          <w:p w14:paraId="516CFCFA"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5D31F10A" w14:textId="77777777" w:rsidR="00074551" w:rsidRPr="00E50B51" w:rsidRDefault="00074551" w:rsidP="00367133">
            <w:pPr>
              <w:jc w:val="both"/>
              <w:rPr>
                <w:sz w:val="20"/>
                <w:szCs w:val="20"/>
              </w:rPr>
            </w:pPr>
            <w:r w:rsidRPr="00E50B51">
              <w:rPr>
                <w:sz w:val="20"/>
                <w:szCs w:val="20"/>
              </w:rPr>
              <w:t>*</w:t>
            </w:r>
          </w:p>
        </w:tc>
        <w:tc>
          <w:tcPr>
            <w:tcW w:w="1822" w:type="pct"/>
          </w:tcPr>
          <w:p w14:paraId="5FF8EDE3" w14:textId="77777777" w:rsidR="00074551" w:rsidRPr="005D7702" w:rsidRDefault="00074551" w:rsidP="00367133">
            <w:pPr>
              <w:jc w:val="both"/>
              <w:rPr>
                <w:sz w:val="20"/>
                <w:szCs w:val="20"/>
              </w:rPr>
            </w:pPr>
            <w:r w:rsidRPr="005D7702">
              <w:rPr>
                <w:sz w:val="20"/>
                <w:szCs w:val="20"/>
              </w:rPr>
              <w:t xml:space="preserve">Im Dissens in </w:t>
            </w:r>
            <w:r w:rsidRPr="5B67C1D2">
              <w:rPr>
                <w:i/>
                <w:iCs/>
                <w:sz w:val="20"/>
                <w:szCs w:val="20"/>
              </w:rPr>
              <w:t>Albright v. Oliver</w:t>
            </w:r>
            <w:r w:rsidRPr="005D7702">
              <w:rPr>
                <w:sz w:val="20"/>
                <w:szCs w:val="20"/>
              </w:rPr>
              <w:t xml:space="preserve">, gleichwohl als </w:t>
            </w:r>
            <w:r w:rsidRPr="5B67C1D2">
              <w:rPr>
                <w:i/>
                <w:iCs/>
                <w:sz w:val="20"/>
                <w:szCs w:val="20"/>
              </w:rPr>
              <w:t xml:space="preserve">obiter </w:t>
            </w:r>
            <w:proofErr w:type="spellStart"/>
            <w:r w:rsidRPr="5B67C1D2">
              <w:rPr>
                <w:i/>
                <w:iCs/>
                <w:sz w:val="20"/>
                <w:szCs w:val="20"/>
              </w:rPr>
              <w:t>dictum</w:t>
            </w:r>
            <w:proofErr w:type="spellEnd"/>
            <w:r w:rsidRPr="005D7702">
              <w:rPr>
                <w:sz w:val="20"/>
                <w:szCs w:val="20"/>
              </w:rPr>
              <w:t xml:space="preserve"> anmutend, erweiterte der </w:t>
            </w:r>
            <w:r>
              <w:rPr>
                <w:sz w:val="20"/>
                <w:szCs w:val="20"/>
              </w:rPr>
              <w:t>U.S. Supreme Court</w:t>
            </w:r>
            <w:r w:rsidRPr="005D7702">
              <w:rPr>
                <w:sz w:val="20"/>
                <w:szCs w:val="20"/>
              </w:rPr>
              <w:t xml:space="preserve"> die in </w:t>
            </w:r>
            <w:r w:rsidRPr="5B67C1D2">
              <w:rPr>
                <w:i/>
                <w:iCs/>
                <w:sz w:val="20"/>
                <w:szCs w:val="20"/>
              </w:rPr>
              <w:t>Meyer v. Nebraska</w:t>
            </w:r>
            <w:r w:rsidRPr="005D7702">
              <w:rPr>
                <w:sz w:val="20"/>
                <w:szCs w:val="20"/>
              </w:rPr>
              <w:t xml:space="preserve"> bekannten Konturen des </w:t>
            </w:r>
            <w:r>
              <w:rPr>
                <w:sz w:val="20"/>
                <w:szCs w:val="20"/>
              </w:rPr>
              <w:t>Freiheitsbegriffs</w:t>
            </w:r>
            <w:r w:rsidRPr="005D7702">
              <w:rPr>
                <w:sz w:val="20"/>
                <w:szCs w:val="20"/>
              </w:rPr>
              <w:t xml:space="preserve"> um folgende Freiheiten, die zugleich Bedingungen für das Glücksstreben darstellen („</w:t>
            </w:r>
            <w:proofErr w:type="spellStart"/>
            <w:r w:rsidRPr="005D7702">
              <w:rPr>
                <w:sz w:val="20"/>
                <w:szCs w:val="20"/>
              </w:rPr>
              <w:t>those</w:t>
            </w:r>
            <w:proofErr w:type="spellEnd"/>
            <w:r w:rsidRPr="005D7702">
              <w:rPr>
                <w:sz w:val="20"/>
                <w:szCs w:val="20"/>
              </w:rPr>
              <w:t xml:space="preserve"> </w:t>
            </w:r>
            <w:proofErr w:type="spellStart"/>
            <w:r w:rsidRPr="005D7702">
              <w:rPr>
                <w:sz w:val="20"/>
                <w:szCs w:val="20"/>
              </w:rPr>
              <w:t>privileges</w:t>
            </w:r>
            <w:proofErr w:type="spellEnd"/>
            <w:r w:rsidRPr="005D7702">
              <w:rPr>
                <w:sz w:val="20"/>
                <w:szCs w:val="20"/>
              </w:rPr>
              <w:t xml:space="preserve"> </w:t>
            </w:r>
            <w:proofErr w:type="spellStart"/>
            <w:r w:rsidRPr="005D7702">
              <w:rPr>
                <w:sz w:val="20"/>
                <w:szCs w:val="20"/>
              </w:rPr>
              <w:t>long</w:t>
            </w:r>
            <w:proofErr w:type="spellEnd"/>
            <w:r w:rsidRPr="005D7702">
              <w:rPr>
                <w:sz w:val="20"/>
                <w:szCs w:val="20"/>
              </w:rPr>
              <w:t xml:space="preserve"> </w:t>
            </w:r>
            <w:proofErr w:type="spellStart"/>
            <w:r w:rsidRPr="005D7702">
              <w:rPr>
                <w:sz w:val="20"/>
                <w:szCs w:val="20"/>
              </w:rPr>
              <w:t>recognized</w:t>
            </w:r>
            <w:proofErr w:type="spellEnd"/>
            <w:r w:rsidRPr="005D7702">
              <w:rPr>
                <w:sz w:val="20"/>
                <w:szCs w:val="20"/>
              </w:rPr>
              <w:t xml:space="preserve"> at </w:t>
            </w:r>
            <w:proofErr w:type="spellStart"/>
            <w:r w:rsidRPr="005D7702">
              <w:rPr>
                <w:sz w:val="20"/>
                <w:szCs w:val="20"/>
              </w:rPr>
              <w:t>common</w:t>
            </w:r>
            <w:proofErr w:type="spellEnd"/>
            <w:r w:rsidRPr="005D7702">
              <w:rPr>
                <w:sz w:val="20"/>
                <w:szCs w:val="20"/>
              </w:rPr>
              <w:t xml:space="preserve"> </w:t>
            </w:r>
            <w:proofErr w:type="spellStart"/>
            <w:r w:rsidRPr="005D7702">
              <w:rPr>
                <w:sz w:val="20"/>
                <w:szCs w:val="20"/>
              </w:rPr>
              <w:t>law</w:t>
            </w:r>
            <w:proofErr w:type="spellEnd"/>
            <w:r w:rsidRPr="005D7702">
              <w:rPr>
                <w:sz w:val="20"/>
                <w:szCs w:val="20"/>
              </w:rPr>
              <w:t xml:space="preserve"> as essential to the </w:t>
            </w:r>
            <w:proofErr w:type="spellStart"/>
            <w:r w:rsidRPr="005D7702">
              <w:rPr>
                <w:sz w:val="20"/>
                <w:szCs w:val="20"/>
              </w:rPr>
              <w:t>orderly</w:t>
            </w:r>
            <w:proofErr w:type="spellEnd"/>
            <w:r w:rsidRPr="005D7702">
              <w:rPr>
                <w:sz w:val="20"/>
                <w:szCs w:val="20"/>
              </w:rPr>
              <w:t xml:space="preserve"> </w:t>
            </w:r>
            <w:proofErr w:type="spellStart"/>
            <w:r w:rsidRPr="005D7702">
              <w:rPr>
                <w:sz w:val="20"/>
                <w:szCs w:val="20"/>
              </w:rPr>
              <w:t>pursuit</w:t>
            </w:r>
            <w:proofErr w:type="spellEnd"/>
            <w:r w:rsidRPr="005D7702">
              <w:rPr>
                <w:sz w:val="20"/>
                <w:szCs w:val="20"/>
              </w:rPr>
              <w:t xml:space="preserve"> of </w:t>
            </w:r>
            <w:proofErr w:type="spellStart"/>
            <w:r w:rsidRPr="005D7702">
              <w:rPr>
                <w:sz w:val="20"/>
                <w:szCs w:val="20"/>
              </w:rPr>
              <w:t>happiness</w:t>
            </w:r>
            <w:proofErr w:type="spellEnd"/>
            <w:r w:rsidRPr="005D7702">
              <w:rPr>
                <w:sz w:val="20"/>
                <w:szCs w:val="20"/>
              </w:rPr>
              <w:t xml:space="preserve"> by </w:t>
            </w:r>
            <w:proofErr w:type="spellStart"/>
            <w:r w:rsidRPr="005D7702">
              <w:rPr>
                <w:sz w:val="20"/>
                <w:szCs w:val="20"/>
              </w:rPr>
              <w:t>free</w:t>
            </w:r>
            <w:proofErr w:type="spellEnd"/>
            <w:r w:rsidRPr="005D7702">
              <w:rPr>
                <w:sz w:val="20"/>
                <w:szCs w:val="20"/>
              </w:rPr>
              <w:t xml:space="preserve"> </w:t>
            </w:r>
            <w:proofErr w:type="spellStart"/>
            <w:r w:rsidRPr="005D7702">
              <w:rPr>
                <w:sz w:val="20"/>
                <w:szCs w:val="20"/>
              </w:rPr>
              <w:t>men</w:t>
            </w:r>
            <w:proofErr w:type="spellEnd"/>
            <w:r w:rsidRPr="005D7702">
              <w:rPr>
                <w:sz w:val="20"/>
                <w:szCs w:val="20"/>
              </w:rPr>
              <w:t>“</w:t>
            </w:r>
            <w:r w:rsidRPr="005D7702">
              <w:rPr>
                <w:sz w:val="20"/>
                <w:szCs w:val="20"/>
                <w:vertAlign w:val="superscript"/>
              </w:rPr>
              <w:footnoteReference w:id="1046"/>
            </w:r>
            <w:r w:rsidRPr="005D7702">
              <w:rPr>
                <w:sz w:val="20"/>
                <w:szCs w:val="20"/>
              </w:rPr>
              <w:t>): allgemeine Handlungsfreiheit, insbesondere bezogen auf die Zukunft</w:t>
            </w:r>
            <w:r>
              <w:rPr>
                <w:sz w:val="20"/>
                <w:szCs w:val="20"/>
              </w:rPr>
              <w:t>;</w:t>
            </w:r>
            <w:r w:rsidRPr="005D7702">
              <w:rPr>
                <w:sz w:val="20"/>
                <w:szCs w:val="20"/>
              </w:rPr>
              <w:t xml:space="preserve"> kommunale Teilhabe der Bürger</w:t>
            </w:r>
            <w:r>
              <w:rPr>
                <w:sz w:val="20"/>
                <w:szCs w:val="20"/>
              </w:rPr>
              <w:t>;</w:t>
            </w:r>
            <w:r w:rsidRPr="005D7702">
              <w:rPr>
                <w:sz w:val="20"/>
                <w:szCs w:val="20"/>
              </w:rPr>
              <w:t xml:space="preserve"> Berufswahlfreiheit</w:t>
            </w:r>
            <w:r>
              <w:rPr>
                <w:sz w:val="20"/>
                <w:szCs w:val="20"/>
              </w:rPr>
              <w:t>;</w:t>
            </w:r>
            <w:r w:rsidRPr="005D7702">
              <w:rPr>
                <w:sz w:val="20"/>
                <w:szCs w:val="20"/>
              </w:rPr>
              <w:t xml:space="preserve"> die </w:t>
            </w:r>
            <w:r>
              <w:rPr>
                <w:sz w:val="20"/>
                <w:szCs w:val="20"/>
              </w:rPr>
              <w:t>Freiheit, familiäre</w:t>
            </w:r>
            <w:r w:rsidRPr="005D7702">
              <w:rPr>
                <w:sz w:val="20"/>
                <w:szCs w:val="20"/>
              </w:rPr>
              <w:t>, geschäftliche und soziale Beziehungen zu pflegen und die Freizügigkeit wahrzunehmen.</w:t>
            </w:r>
            <w:r w:rsidRPr="005D7702">
              <w:rPr>
                <w:sz w:val="20"/>
                <w:szCs w:val="20"/>
                <w:vertAlign w:val="superscript"/>
              </w:rPr>
              <w:footnoteReference w:id="1047"/>
            </w:r>
            <w:r w:rsidRPr="005D7702">
              <w:rPr>
                <w:sz w:val="20"/>
                <w:szCs w:val="20"/>
              </w:rPr>
              <w:t xml:space="preserve"> Da der </w:t>
            </w:r>
            <w:r>
              <w:rPr>
                <w:sz w:val="20"/>
                <w:szCs w:val="20"/>
              </w:rPr>
              <w:t>U.S. Supreme Court</w:t>
            </w:r>
            <w:r w:rsidRPr="005D7702">
              <w:rPr>
                <w:sz w:val="20"/>
                <w:szCs w:val="20"/>
              </w:rPr>
              <w:t xml:space="preserve"> die Konturen des Strebens nach Glück verfeinerte, setzte er zugleich die Schwelle herab, diese einzuschränken: Denn nicht jede geringfügige Beeinträchtigung der individuellen Freiheiten stelle eine verfassungsrechtlich bedenkliche Einschränkung dar. Nur staatliche Maßnahmen mit schwerwiegenden Einschränkungen der Freiheitsinteressen </w:t>
            </w:r>
            <w:r>
              <w:rPr>
                <w:sz w:val="20"/>
                <w:szCs w:val="20"/>
              </w:rPr>
              <w:t>seien</w:t>
            </w:r>
            <w:r w:rsidRPr="005D7702">
              <w:rPr>
                <w:sz w:val="20"/>
                <w:szCs w:val="20"/>
              </w:rPr>
              <w:t xml:space="preserve"> verfassungsrechtlich bedenklich. Schwerwiegende Einschränkungen meint Willkür („</w:t>
            </w:r>
            <w:proofErr w:type="spellStart"/>
            <w:r w:rsidRPr="005D7702">
              <w:rPr>
                <w:sz w:val="20"/>
                <w:szCs w:val="20"/>
              </w:rPr>
              <w:t>undertaken</w:t>
            </w:r>
            <w:proofErr w:type="spellEnd"/>
            <w:r w:rsidRPr="005D7702">
              <w:rPr>
                <w:sz w:val="20"/>
                <w:szCs w:val="20"/>
              </w:rPr>
              <w:t xml:space="preserve"> </w:t>
            </w:r>
            <w:proofErr w:type="spellStart"/>
            <w:r w:rsidRPr="005D7702">
              <w:rPr>
                <w:sz w:val="20"/>
                <w:szCs w:val="20"/>
              </w:rPr>
              <w:t>arbitrarily</w:t>
            </w:r>
            <w:proofErr w:type="spellEnd"/>
            <w:r w:rsidRPr="005D7702">
              <w:rPr>
                <w:sz w:val="20"/>
                <w:szCs w:val="20"/>
              </w:rPr>
              <w:t>“</w:t>
            </w:r>
            <w:r w:rsidRPr="005D7702">
              <w:rPr>
                <w:sz w:val="20"/>
                <w:szCs w:val="20"/>
                <w:vertAlign w:val="superscript"/>
              </w:rPr>
              <w:footnoteReference w:id="1048"/>
            </w:r>
            <w:r w:rsidRPr="005D7702">
              <w:rPr>
                <w:sz w:val="20"/>
                <w:szCs w:val="20"/>
              </w:rPr>
              <w:t>) und Nichteinhaltung von Verfahrensgarantien („</w:t>
            </w:r>
            <w:proofErr w:type="spellStart"/>
            <w:r w:rsidRPr="005D7702">
              <w:rPr>
                <w:sz w:val="20"/>
                <w:szCs w:val="20"/>
              </w:rPr>
              <w:t>procedural</w:t>
            </w:r>
            <w:proofErr w:type="spellEnd"/>
            <w:r w:rsidRPr="005D7702">
              <w:rPr>
                <w:sz w:val="20"/>
                <w:szCs w:val="20"/>
              </w:rPr>
              <w:t xml:space="preserve"> </w:t>
            </w:r>
            <w:proofErr w:type="spellStart"/>
            <w:r w:rsidRPr="005D7702">
              <w:rPr>
                <w:sz w:val="20"/>
                <w:szCs w:val="20"/>
              </w:rPr>
              <w:t>safeguards</w:t>
            </w:r>
            <w:proofErr w:type="spellEnd"/>
            <w:r w:rsidRPr="005D7702">
              <w:rPr>
                <w:sz w:val="20"/>
                <w:szCs w:val="20"/>
              </w:rPr>
              <w:t>“</w:t>
            </w:r>
            <w:r w:rsidRPr="005D7702">
              <w:rPr>
                <w:sz w:val="20"/>
                <w:szCs w:val="20"/>
                <w:vertAlign w:val="superscript"/>
              </w:rPr>
              <w:footnoteReference w:id="1049"/>
            </w:r>
            <w:r>
              <w:rPr>
                <w:sz w:val="20"/>
                <w:szCs w:val="20"/>
              </w:rPr>
              <w:t>)</w:t>
            </w:r>
            <w:r w:rsidRPr="005D7702">
              <w:rPr>
                <w:sz w:val="20"/>
                <w:szCs w:val="20"/>
              </w:rPr>
              <w:t xml:space="preserve">. Unter eine staatliche Maßnahme mit schwerwiegenden Einschränkungen der Freiheitsinteressen </w:t>
            </w:r>
            <w:r>
              <w:rPr>
                <w:sz w:val="20"/>
                <w:szCs w:val="20"/>
              </w:rPr>
              <w:t>falle</w:t>
            </w:r>
            <w:r w:rsidRPr="005D7702">
              <w:rPr>
                <w:sz w:val="20"/>
                <w:szCs w:val="20"/>
              </w:rPr>
              <w:t xml:space="preserve"> z.B. sowohl </w:t>
            </w:r>
            <w:r>
              <w:rPr>
                <w:sz w:val="20"/>
                <w:szCs w:val="20"/>
              </w:rPr>
              <w:t xml:space="preserve">die </w:t>
            </w:r>
            <w:r w:rsidRPr="005D7702">
              <w:rPr>
                <w:sz w:val="20"/>
                <w:szCs w:val="20"/>
              </w:rPr>
              <w:t>unrechtmäßig</w:t>
            </w:r>
            <w:r>
              <w:rPr>
                <w:sz w:val="20"/>
                <w:szCs w:val="20"/>
              </w:rPr>
              <w:t>e Einleitung</w:t>
            </w:r>
            <w:r w:rsidRPr="005D7702">
              <w:rPr>
                <w:sz w:val="20"/>
                <w:szCs w:val="20"/>
              </w:rPr>
              <w:t xml:space="preserve"> ein</w:t>
            </w:r>
            <w:r>
              <w:rPr>
                <w:sz w:val="20"/>
                <w:szCs w:val="20"/>
              </w:rPr>
              <w:t>es</w:t>
            </w:r>
            <w:r w:rsidRPr="005D7702">
              <w:rPr>
                <w:sz w:val="20"/>
                <w:szCs w:val="20"/>
              </w:rPr>
              <w:t xml:space="preserve"> Strafverfahren</w:t>
            </w:r>
            <w:r>
              <w:rPr>
                <w:sz w:val="20"/>
                <w:szCs w:val="20"/>
              </w:rPr>
              <w:t>s</w:t>
            </w:r>
            <w:r w:rsidRPr="005D7702">
              <w:rPr>
                <w:sz w:val="20"/>
                <w:szCs w:val="20"/>
              </w:rPr>
              <w:t xml:space="preserve"> einzuleiten als auch </w:t>
            </w:r>
            <w:r>
              <w:rPr>
                <w:sz w:val="20"/>
                <w:szCs w:val="20"/>
              </w:rPr>
              <w:t xml:space="preserve">eine Verhaftung </w:t>
            </w:r>
            <w:r w:rsidRPr="005D7702">
              <w:rPr>
                <w:sz w:val="20"/>
                <w:szCs w:val="20"/>
              </w:rPr>
              <w:t xml:space="preserve">aufgrund dessen („a </w:t>
            </w:r>
            <w:proofErr w:type="spellStart"/>
            <w:r w:rsidRPr="005D7702">
              <w:rPr>
                <w:sz w:val="20"/>
                <w:szCs w:val="20"/>
              </w:rPr>
              <w:t>wrenching</w:t>
            </w:r>
            <w:proofErr w:type="spellEnd"/>
            <w:r w:rsidRPr="005D7702">
              <w:rPr>
                <w:sz w:val="20"/>
                <w:szCs w:val="20"/>
              </w:rPr>
              <w:t xml:space="preserve"> </w:t>
            </w:r>
            <w:proofErr w:type="spellStart"/>
            <w:r w:rsidRPr="005D7702">
              <w:rPr>
                <w:sz w:val="20"/>
                <w:szCs w:val="20"/>
              </w:rPr>
              <w:t>disruption</w:t>
            </w:r>
            <w:proofErr w:type="spellEnd"/>
            <w:r w:rsidRPr="005D7702">
              <w:rPr>
                <w:sz w:val="20"/>
                <w:szCs w:val="20"/>
              </w:rPr>
              <w:t xml:space="preserve"> of </w:t>
            </w:r>
            <w:proofErr w:type="spellStart"/>
            <w:r w:rsidRPr="005D7702">
              <w:rPr>
                <w:sz w:val="20"/>
                <w:szCs w:val="20"/>
              </w:rPr>
              <w:t>everyday</w:t>
            </w:r>
            <w:proofErr w:type="spellEnd"/>
            <w:r w:rsidRPr="005D7702">
              <w:rPr>
                <w:sz w:val="20"/>
                <w:szCs w:val="20"/>
              </w:rPr>
              <w:t xml:space="preserve"> </w:t>
            </w:r>
            <w:proofErr w:type="spellStart"/>
            <w:r w:rsidRPr="005D7702">
              <w:rPr>
                <w:sz w:val="20"/>
                <w:szCs w:val="20"/>
              </w:rPr>
              <w:t>life</w:t>
            </w:r>
            <w:proofErr w:type="spellEnd"/>
            <w:r w:rsidRPr="005D7702">
              <w:rPr>
                <w:sz w:val="20"/>
                <w:szCs w:val="20"/>
              </w:rPr>
              <w:t>“</w:t>
            </w:r>
            <w:r w:rsidRPr="005D7702">
              <w:rPr>
                <w:sz w:val="20"/>
                <w:szCs w:val="20"/>
                <w:vertAlign w:val="superscript"/>
              </w:rPr>
              <w:footnoteReference w:id="1050"/>
            </w:r>
            <w:r w:rsidRPr="005D7702">
              <w:rPr>
                <w:sz w:val="20"/>
                <w:szCs w:val="20"/>
              </w:rPr>
              <w:t>). Denn der Arbeitsplatz, die finanziellen Ressourcen, das öffentliche Ansehen, soziale Beziehungen zu Familie und Freunde</w:t>
            </w:r>
            <w:r>
              <w:rPr>
                <w:sz w:val="20"/>
                <w:szCs w:val="20"/>
              </w:rPr>
              <w:t>n</w:t>
            </w:r>
            <w:r w:rsidRPr="005D7702">
              <w:rPr>
                <w:sz w:val="20"/>
                <w:szCs w:val="20"/>
              </w:rPr>
              <w:t xml:space="preserve"> seien schwerwiegend betroffen.</w:t>
            </w:r>
            <w:r w:rsidRPr="005D7702">
              <w:rPr>
                <w:sz w:val="20"/>
                <w:szCs w:val="20"/>
                <w:vertAlign w:val="superscript"/>
              </w:rPr>
              <w:footnoteReference w:id="1051"/>
            </w:r>
            <w:r w:rsidRPr="005D7702">
              <w:rPr>
                <w:sz w:val="20"/>
                <w:szCs w:val="20"/>
              </w:rPr>
              <w:t xml:space="preserve"> Dieser Maßstab fehle dem Urteil</w:t>
            </w:r>
            <w:r>
              <w:rPr>
                <w:sz w:val="20"/>
                <w:szCs w:val="20"/>
              </w:rPr>
              <w:t>,</w:t>
            </w:r>
            <w:r w:rsidRPr="005D7702">
              <w:rPr>
                <w:sz w:val="20"/>
                <w:szCs w:val="20"/>
              </w:rPr>
              <w:t xml:space="preserve"> so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5D7702">
              <w:rPr>
                <w:sz w:val="20"/>
                <w:szCs w:val="20"/>
              </w:rPr>
              <w:t>.</w:t>
            </w:r>
            <w:r w:rsidRPr="005D7702">
              <w:rPr>
                <w:sz w:val="20"/>
                <w:szCs w:val="20"/>
                <w:vertAlign w:val="superscript"/>
              </w:rPr>
              <w:t xml:space="preserve"> </w:t>
            </w:r>
            <w:r w:rsidRPr="005D7702">
              <w:rPr>
                <w:sz w:val="20"/>
                <w:szCs w:val="20"/>
                <w:vertAlign w:val="superscript"/>
              </w:rPr>
              <w:footnoteReference w:id="1052"/>
            </w:r>
          </w:p>
          <w:p w14:paraId="6BCB14D3" w14:textId="77777777" w:rsidR="00074551" w:rsidRPr="00E50B51" w:rsidRDefault="00074551" w:rsidP="00367133">
            <w:pPr>
              <w:jc w:val="both"/>
              <w:rPr>
                <w:sz w:val="20"/>
                <w:szCs w:val="20"/>
              </w:rPr>
            </w:pPr>
          </w:p>
        </w:tc>
      </w:tr>
      <w:tr w:rsidR="00074551" w:rsidRPr="00E50B51" w14:paraId="28FBA01F" w14:textId="77777777" w:rsidTr="00BE689F">
        <w:trPr>
          <w:cantSplit/>
          <w:trHeight w:val="3175"/>
        </w:trPr>
        <w:tc>
          <w:tcPr>
            <w:tcW w:w="293" w:type="pct"/>
          </w:tcPr>
          <w:p w14:paraId="1256480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3167004" w14:textId="77777777" w:rsidR="00074551" w:rsidRPr="00E50B51" w:rsidRDefault="00074551" w:rsidP="00367133">
            <w:pPr>
              <w:ind w:left="113" w:right="416"/>
              <w:jc w:val="both"/>
              <w:rPr>
                <w:sz w:val="20"/>
                <w:szCs w:val="20"/>
              </w:rPr>
            </w:pPr>
            <w:r w:rsidRPr="009E57E1">
              <w:rPr>
                <w:i/>
                <w:sz w:val="20"/>
                <w:szCs w:val="20"/>
              </w:rPr>
              <w:t>Budd v. New York</w:t>
            </w:r>
          </w:p>
        </w:tc>
        <w:tc>
          <w:tcPr>
            <w:tcW w:w="197" w:type="pct"/>
            <w:textDirection w:val="tbRl"/>
            <w:vAlign w:val="center"/>
          </w:tcPr>
          <w:p w14:paraId="5ED40EC3" w14:textId="77777777" w:rsidR="00074551" w:rsidRPr="00E50B51" w:rsidRDefault="00074551" w:rsidP="00367133">
            <w:pPr>
              <w:ind w:left="113" w:right="113"/>
              <w:jc w:val="both"/>
              <w:rPr>
                <w:sz w:val="20"/>
                <w:szCs w:val="20"/>
              </w:rPr>
            </w:pPr>
            <w:r w:rsidRPr="00E50B51">
              <w:rPr>
                <w:sz w:val="20"/>
                <w:szCs w:val="20"/>
                <w:lang w:val="en-US"/>
              </w:rPr>
              <w:t>143 U.S. 517</w:t>
            </w:r>
          </w:p>
        </w:tc>
        <w:tc>
          <w:tcPr>
            <w:tcW w:w="306" w:type="pct"/>
            <w:textDirection w:val="tbRl"/>
            <w:vAlign w:val="center"/>
          </w:tcPr>
          <w:p w14:paraId="0847295B" w14:textId="77777777" w:rsidR="00074551" w:rsidRPr="00E50B51" w:rsidRDefault="00074551" w:rsidP="00367133">
            <w:pPr>
              <w:ind w:left="113" w:right="113"/>
              <w:jc w:val="both"/>
              <w:rPr>
                <w:sz w:val="20"/>
                <w:szCs w:val="20"/>
              </w:rPr>
            </w:pPr>
            <w:r w:rsidRPr="00E50B51">
              <w:rPr>
                <w:sz w:val="20"/>
                <w:szCs w:val="20"/>
              </w:rPr>
              <w:t>29. Februar 1892</w:t>
            </w:r>
          </w:p>
        </w:tc>
        <w:tc>
          <w:tcPr>
            <w:tcW w:w="401" w:type="pct"/>
          </w:tcPr>
          <w:p w14:paraId="2D0A4BB8" w14:textId="77777777" w:rsidR="00074551" w:rsidRPr="00E50B51" w:rsidRDefault="00074551" w:rsidP="00367133">
            <w:pPr>
              <w:jc w:val="center"/>
              <w:rPr>
                <w:sz w:val="20"/>
                <w:szCs w:val="20"/>
              </w:rPr>
            </w:pPr>
            <w:r w:rsidRPr="00E50B51">
              <w:rPr>
                <w:sz w:val="20"/>
                <w:szCs w:val="20"/>
              </w:rPr>
              <w:t>S/D</w:t>
            </w:r>
          </w:p>
        </w:tc>
        <w:tc>
          <w:tcPr>
            <w:tcW w:w="1594" w:type="pct"/>
          </w:tcPr>
          <w:p w14:paraId="7F07AC81" w14:textId="77777777" w:rsidR="00074551" w:rsidRPr="00E50B51" w:rsidRDefault="00074551" w:rsidP="00367133">
            <w:pPr>
              <w:jc w:val="both"/>
              <w:rPr>
                <w:sz w:val="20"/>
                <w:szCs w:val="20"/>
              </w:rPr>
            </w:pPr>
            <w:r w:rsidRPr="00E50B51">
              <w:rPr>
                <w:sz w:val="20"/>
                <w:szCs w:val="20"/>
              </w:rPr>
              <w:t>*</w:t>
            </w:r>
          </w:p>
        </w:tc>
        <w:tc>
          <w:tcPr>
            <w:tcW w:w="1822" w:type="pct"/>
          </w:tcPr>
          <w:p w14:paraId="6471C8D2" w14:textId="1ABD9D5A" w:rsidR="00074551" w:rsidRPr="00AD75E3" w:rsidRDefault="00074551" w:rsidP="00367133">
            <w:pPr>
              <w:jc w:val="both"/>
              <w:rPr>
                <w:sz w:val="20"/>
                <w:szCs w:val="20"/>
              </w:rPr>
            </w:pPr>
            <w:r w:rsidRPr="00AD75E3">
              <w:rPr>
                <w:sz w:val="20"/>
                <w:szCs w:val="20"/>
              </w:rPr>
              <w:t xml:space="preserve">In </w:t>
            </w:r>
            <w:r w:rsidRPr="5B67C1D2">
              <w:rPr>
                <w:i/>
                <w:iCs/>
                <w:sz w:val="20"/>
                <w:szCs w:val="20"/>
              </w:rPr>
              <w:t>Budd v. New York</w:t>
            </w:r>
            <w:r w:rsidRPr="00AD75E3">
              <w:rPr>
                <w:sz w:val="20"/>
                <w:szCs w:val="20"/>
              </w:rPr>
              <w:t xml:space="preserve"> besprach der </w:t>
            </w:r>
            <w:r>
              <w:rPr>
                <w:sz w:val="20"/>
                <w:szCs w:val="20"/>
              </w:rPr>
              <w:t>U.S. Supreme Court</w:t>
            </w:r>
            <w:r w:rsidRPr="00AD75E3">
              <w:rPr>
                <w:sz w:val="20"/>
                <w:szCs w:val="20"/>
              </w:rPr>
              <w:t xml:space="preserve">, dass staatliche Maßnahmen die wirtschaftliche Seite des </w:t>
            </w:r>
            <w:proofErr w:type="spellStart"/>
            <w:r w:rsidRPr="5B67C1D2">
              <w:rPr>
                <w:i/>
                <w:iCs/>
                <w:sz w:val="20"/>
                <w:szCs w:val="20"/>
              </w:rPr>
              <w:t>pursuit</w:t>
            </w:r>
            <w:proofErr w:type="spellEnd"/>
            <w:r w:rsidRPr="5B67C1D2">
              <w:rPr>
                <w:i/>
                <w:iCs/>
                <w:sz w:val="20"/>
                <w:szCs w:val="20"/>
              </w:rPr>
              <w:t xml:space="preserve"> of Happiness</w:t>
            </w:r>
            <w:r w:rsidRPr="00AD75E3">
              <w:rPr>
                <w:sz w:val="20"/>
                <w:szCs w:val="20"/>
              </w:rPr>
              <w:t xml:space="preserve"> nur einschränken können, wenn sie wettbewerbsneutral sind. Dabei erklärt Richter </w:t>
            </w:r>
            <w:r w:rsidRPr="5B67C1D2">
              <w:rPr>
                <w:i/>
                <w:iCs/>
                <w:sz w:val="20"/>
                <w:szCs w:val="20"/>
              </w:rPr>
              <w:t>Stevens</w:t>
            </w:r>
            <w:r w:rsidRPr="00AD75E3">
              <w:rPr>
                <w:sz w:val="20"/>
                <w:szCs w:val="20"/>
              </w:rPr>
              <w:t xml:space="preserve"> im Dissens, wie der Staat die unveräußerlichen Rechte wie das Leben, die Freiheit und das Streben nach Glück und das </w:t>
            </w:r>
            <w:r w:rsidR="56FBC726" w:rsidRPr="5B67C1D2">
              <w:rPr>
                <w:sz w:val="20"/>
                <w:szCs w:val="20"/>
              </w:rPr>
              <w:t xml:space="preserve">Recht </w:t>
            </w:r>
            <w:r w:rsidRPr="5B67C1D2">
              <w:rPr>
                <w:sz w:val="20"/>
                <w:szCs w:val="20"/>
              </w:rPr>
              <w:t xml:space="preserve">der zugrunde liegenden Eigentumsfreiheit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einschränken könne: Grundsätzlich könne jeder selbst den Preis für das von ihm Erwirtschaftete festlegen; der Staat dürfe dies nur, soweit er wettbewerbsneutral festlege und im öffentlichen Interesse handele, die staatliche Maßnahme für eine Kontrolle eröffne und zuletzt: eine Entschädigungsmöglichkeit zur Verfügung stelle.</w:t>
            </w:r>
            <w:r w:rsidRPr="5B67C1D2">
              <w:rPr>
                <w:sz w:val="20"/>
                <w:szCs w:val="20"/>
                <w:vertAlign w:val="superscript"/>
              </w:rPr>
              <w:footnoteReference w:id="1053"/>
            </w:r>
          </w:p>
          <w:p w14:paraId="7C321925" w14:textId="77777777" w:rsidR="00074551" w:rsidRPr="00E50B51" w:rsidRDefault="00074551" w:rsidP="00367133">
            <w:pPr>
              <w:jc w:val="both"/>
              <w:rPr>
                <w:sz w:val="20"/>
                <w:szCs w:val="20"/>
              </w:rPr>
            </w:pPr>
          </w:p>
        </w:tc>
      </w:tr>
      <w:tr w:rsidR="00074551" w:rsidRPr="00E50B51" w14:paraId="3D3225EA" w14:textId="77777777" w:rsidTr="00BE689F">
        <w:trPr>
          <w:cantSplit/>
          <w:trHeight w:val="3175"/>
        </w:trPr>
        <w:tc>
          <w:tcPr>
            <w:tcW w:w="293" w:type="pct"/>
          </w:tcPr>
          <w:p w14:paraId="583A8C8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92D9A30" w14:textId="77777777" w:rsidR="00074551" w:rsidRPr="00E50B51" w:rsidRDefault="00074551" w:rsidP="00367133">
            <w:pPr>
              <w:ind w:left="113" w:right="416"/>
              <w:jc w:val="both"/>
              <w:rPr>
                <w:sz w:val="20"/>
                <w:szCs w:val="20"/>
              </w:rPr>
            </w:pPr>
            <w:proofErr w:type="spellStart"/>
            <w:r w:rsidRPr="009E57E1">
              <w:rPr>
                <w:i/>
                <w:sz w:val="20"/>
                <w:szCs w:val="20"/>
              </w:rPr>
              <w:t>Conn</w:t>
            </w:r>
            <w:proofErr w:type="spellEnd"/>
            <w:r w:rsidRPr="009E57E1">
              <w:rPr>
                <w:i/>
                <w:sz w:val="20"/>
                <w:szCs w:val="20"/>
              </w:rPr>
              <w:t xml:space="preserve"> v. Gabbert</w:t>
            </w:r>
          </w:p>
        </w:tc>
        <w:tc>
          <w:tcPr>
            <w:tcW w:w="197" w:type="pct"/>
            <w:textDirection w:val="tbRl"/>
            <w:vAlign w:val="center"/>
          </w:tcPr>
          <w:p w14:paraId="45811567" w14:textId="77777777" w:rsidR="00074551" w:rsidRPr="00E50B51" w:rsidRDefault="00074551" w:rsidP="00367133">
            <w:pPr>
              <w:ind w:left="113" w:right="113"/>
              <w:jc w:val="both"/>
              <w:rPr>
                <w:sz w:val="20"/>
                <w:szCs w:val="20"/>
              </w:rPr>
            </w:pPr>
            <w:r w:rsidRPr="00E50B51">
              <w:rPr>
                <w:sz w:val="20"/>
                <w:szCs w:val="20"/>
                <w:lang w:val="en-US"/>
              </w:rPr>
              <w:t>526 U.S. 286</w:t>
            </w:r>
          </w:p>
        </w:tc>
        <w:tc>
          <w:tcPr>
            <w:tcW w:w="306" w:type="pct"/>
            <w:textDirection w:val="tbRl"/>
            <w:vAlign w:val="center"/>
          </w:tcPr>
          <w:p w14:paraId="041EF4D3" w14:textId="77777777" w:rsidR="00074551" w:rsidRPr="00E50B51" w:rsidRDefault="00074551" w:rsidP="00367133">
            <w:pPr>
              <w:ind w:left="113" w:right="113"/>
              <w:jc w:val="both"/>
              <w:rPr>
                <w:sz w:val="20"/>
                <w:szCs w:val="20"/>
              </w:rPr>
            </w:pPr>
            <w:r w:rsidRPr="00E50B51">
              <w:rPr>
                <w:sz w:val="20"/>
                <w:szCs w:val="20"/>
              </w:rPr>
              <w:t>5. April 1999</w:t>
            </w:r>
          </w:p>
        </w:tc>
        <w:tc>
          <w:tcPr>
            <w:tcW w:w="401" w:type="pct"/>
          </w:tcPr>
          <w:p w14:paraId="32A3056A" w14:textId="77777777" w:rsidR="00074551" w:rsidRPr="00E50B51" w:rsidRDefault="00074551" w:rsidP="00367133">
            <w:pPr>
              <w:jc w:val="center"/>
              <w:rPr>
                <w:sz w:val="20"/>
                <w:szCs w:val="20"/>
              </w:rPr>
            </w:pPr>
            <w:r w:rsidRPr="00E50B51">
              <w:rPr>
                <w:sz w:val="20"/>
                <w:szCs w:val="20"/>
              </w:rPr>
              <w:t>M</w:t>
            </w:r>
          </w:p>
        </w:tc>
        <w:tc>
          <w:tcPr>
            <w:tcW w:w="1594" w:type="pct"/>
          </w:tcPr>
          <w:p w14:paraId="33138747" w14:textId="69900A0C" w:rsidR="00074551" w:rsidRDefault="00074551" w:rsidP="00367133">
            <w:pPr>
              <w:jc w:val="both"/>
              <w:rPr>
                <w:sz w:val="20"/>
                <w:szCs w:val="20"/>
              </w:rPr>
            </w:pPr>
            <w:r w:rsidRPr="00E50B51">
              <w:rPr>
                <w:sz w:val="20"/>
                <w:szCs w:val="20"/>
              </w:rPr>
              <w:t xml:space="preserve">Im Fall erklärt der </w:t>
            </w:r>
            <w:r>
              <w:rPr>
                <w:sz w:val="20"/>
                <w:szCs w:val="20"/>
              </w:rPr>
              <w:t>U.S. Supreme Court</w:t>
            </w:r>
            <w:r w:rsidRPr="00E50B51">
              <w:rPr>
                <w:sz w:val="20"/>
                <w:szCs w:val="20"/>
              </w:rPr>
              <w:t xml:space="preserve"> eine Durchsuchung auf Grundlage eines Durchsuchungsbefehls für rechtmäßig</w:t>
            </w:r>
            <w:r>
              <w:rPr>
                <w:sz w:val="20"/>
                <w:szCs w:val="20"/>
              </w:rPr>
              <w:t>, obwohl sie bei einem Strafverteidiger stattfand</w:t>
            </w:r>
            <w:r w:rsidRPr="00E50B51">
              <w:rPr>
                <w:sz w:val="20"/>
                <w:szCs w:val="20"/>
              </w:rPr>
              <w:t>.</w:t>
            </w:r>
            <w:r>
              <w:rPr>
                <w:sz w:val="20"/>
                <w:szCs w:val="20"/>
              </w:rPr>
              <w:t xml:space="preserve"> Die Durchsuchung</w:t>
            </w:r>
            <w:r w:rsidRPr="00E50B51">
              <w:rPr>
                <w:sz w:val="20"/>
                <w:szCs w:val="20"/>
              </w:rPr>
              <w:t xml:space="preserve"> hindere den Strafverteidiger nicht in seiner Berufs</w:t>
            </w:r>
            <w:r>
              <w:rPr>
                <w:sz w:val="20"/>
                <w:szCs w:val="20"/>
              </w:rPr>
              <w:t>ausübungs</w:t>
            </w:r>
            <w:r w:rsidRPr="00E50B51">
              <w:rPr>
                <w:sz w:val="20"/>
                <w:szCs w:val="20"/>
              </w:rPr>
              <w:t>freiheit („</w:t>
            </w:r>
            <w:proofErr w:type="spellStart"/>
            <w:r w:rsidRPr="00E50B51">
              <w:rPr>
                <w:sz w:val="20"/>
                <w:szCs w:val="20"/>
              </w:rPr>
              <w:t>right</w:t>
            </w:r>
            <w:proofErr w:type="spellEnd"/>
            <w:r w:rsidRPr="00E50B51">
              <w:rPr>
                <w:sz w:val="20"/>
                <w:szCs w:val="20"/>
              </w:rPr>
              <w:t xml:space="preserve"> to </w:t>
            </w:r>
            <w:proofErr w:type="spellStart"/>
            <w:r w:rsidRPr="00E50B51">
              <w:rPr>
                <w:sz w:val="20"/>
                <w:szCs w:val="20"/>
              </w:rPr>
              <w:t>practice</w:t>
            </w:r>
            <w:proofErr w:type="spellEnd"/>
            <w:r w:rsidRPr="00E50B51">
              <w:rPr>
                <w:sz w:val="20"/>
                <w:szCs w:val="20"/>
              </w:rPr>
              <w:t xml:space="preserve"> </w:t>
            </w:r>
            <w:proofErr w:type="spellStart"/>
            <w:r w:rsidRPr="00E50B51">
              <w:rPr>
                <w:sz w:val="20"/>
                <w:szCs w:val="20"/>
              </w:rPr>
              <w:t>his</w:t>
            </w:r>
            <w:proofErr w:type="spellEnd"/>
            <w:r w:rsidRPr="00E50B51">
              <w:rPr>
                <w:sz w:val="20"/>
                <w:szCs w:val="20"/>
              </w:rPr>
              <w:t xml:space="preserve"> </w:t>
            </w:r>
            <w:proofErr w:type="spellStart"/>
            <w:r w:rsidRPr="00E50B51">
              <w:rPr>
                <w:sz w:val="20"/>
                <w:szCs w:val="20"/>
              </w:rPr>
              <w:t>profession</w:t>
            </w:r>
            <w:proofErr w:type="spellEnd"/>
            <w:r w:rsidRPr="00E50B51">
              <w:rPr>
                <w:sz w:val="20"/>
                <w:szCs w:val="20"/>
              </w:rPr>
              <w:t xml:space="preserve"> </w:t>
            </w:r>
            <w:proofErr w:type="spellStart"/>
            <w:r w:rsidRPr="00E50B51">
              <w:rPr>
                <w:sz w:val="20"/>
                <w:szCs w:val="20"/>
              </w:rPr>
              <w:t>without</w:t>
            </w:r>
            <w:proofErr w:type="spellEnd"/>
            <w:r w:rsidRPr="00E50B51">
              <w:rPr>
                <w:sz w:val="20"/>
                <w:szCs w:val="20"/>
              </w:rPr>
              <w:t xml:space="preserve"> </w:t>
            </w:r>
            <w:proofErr w:type="spellStart"/>
            <w:r w:rsidRPr="00E50B51">
              <w:rPr>
                <w:sz w:val="20"/>
                <w:szCs w:val="20"/>
              </w:rPr>
              <w:t>unreasonable</w:t>
            </w:r>
            <w:proofErr w:type="spellEnd"/>
            <w:r w:rsidRPr="00E50B51">
              <w:rPr>
                <w:sz w:val="20"/>
                <w:szCs w:val="20"/>
              </w:rPr>
              <w:t xml:space="preserve"> </w:t>
            </w:r>
            <w:proofErr w:type="spellStart"/>
            <w:r w:rsidRPr="00E50B51">
              <w:rPr>
                <w:sz w:val="20"/>
                <w:szCs w:val="20"/>
              </w:rPr>
              <w:t>government</w:t>
            </w:r>
            <w:proofErr w:type="spellEnd"/>
            <w:r w:rsidRPr="00E50B51">
              <w:rPr>
                <w:sz w:val="20"/>
                <w:szCs w:val="20"/>
              </w:rPr>
              <w:t xml:space="preserve"> </w:t>
            </w:r>
            <w:proofErr w:type="spellStart"/>
            <w:r w:rsidRPr="00E50B51">
              <w:rPr>
                <w:sz w:val="20"/>
                <w:szCs w:val="20"/>
              </w:rPr>
              <w:t>interference</w:t>
            </w:r>
            <w:proofErr w:type="spellEnd"/>
            <w:r w:rsidRPr="00E50B51">
              <w:rPr>
                <w:sz w:val="20"/>
                <w:szCs w:val="20"/>
              </w:rPr>
              <w:t>“</w:t>
            </w:r>
            <w:r w:rsidRPr="5B67C1D2">
              <w:rPr>
                <w:rStyle w:val="Funotenzeichen"/>
                <w:rFonts w:eastAsiaTheme="majorEastAsia"/>
                <w:sz w:val="20"/>
                <w:szCs w:val="20"/>
              </w:rPr>
              <w:footnoteReference w:id="1054"/>
            </w:r>
            <w:r w:rsidRPr="00E50B51">
              <w:rPr>
                <w:sz w:val="20"/>
                <w:szCs w:val="20"/>
              </w:rPr>
              <w:t>)</w:t>
            </w:r>
            <w:r>
              <w:rPr>
                <w:sz w:val="20"/>
                <w:szCs w:val="20"/>
              </w:rPr>
              <w:t xml:space="preserve">, u.a. </w:t>
            </w:r>
            <w:r w:rsidRPr="00E50B51">
              <w:rPr>
                <w:sz w:val="20"/>
                <w:szCs w:val="20"/>
              </w:rPr>
              <w:t xml:space="preserve">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Denn der Strafverteidiger habe keinen Anspruch auf qualifizierte Immunität. Das Recht</w:t>
            </w:r>
            <w:r>
              <w:rPr>
                <w:sz w:val="20"/>
                <w:szCs w:val="20"/>
              </w:rPr>
              <w:t>,</w:t>
            </w:r>
            <w:r w:rsidRPr="00E50B51">
              <w:rPr>
                <w:sz w:val="20"/>
                <w:szCs w:val="20"/>
              </w:rPr>
              <w:t xml:space="preserve"> seinen Beruf auszuüben, sei durch die Dursuchung nicht verletzt</w:t>
            </w:r>
            <w:r>
              <w:rPr>
                <w:sz w:val="20"/>
                <w:szCs w:val="20"/>
              </w:rPr>
              <w:t>, weil</w:t>
            </w:r>
            <w:r w:rsidRPr="00E50B51">
              <w:rPr>
                <w:sz w:val="20"/>
                <w:szCs w:val="20"/>
              </w:rPr>
              <w:t xml:space="preserve"> die Staatsanwälte einen hinreichenden Tatverdacht</w:t>
            </w:r>
            <w:r>
              <w:rPr>
                <w:sz w:val="20"/>
                <w:szCs w:val="20"/>
              </w:rPr>
              <w:t xml:space="preserve"> hatten. Der lautete, </w:t>
            </w:r>
            <w:r w:rsidRPr="00E50B51">
              <w:rPr>
                <w:sz w:val="20"/>
                <w:szCs w:val="20"/>
              </w:rPr>
              <w:t xml:space="preserve">dass der </w:t>
            </w:r>
            <w:r>
              <w:rPr>
                <w:sz w:val="20"/>
                <w:szCs w:val="20"/>
              </w:rPr>
              <w:t>Strafverteidiger</w:t>
            </w:r>
            <w:r w:rsidRPr="00E50B51">
              <w:rPr>
                <w:sz w:val="20"/>
                <w:szCs w:val="20"/>
              </w:rPr>
              <w:t xml:space="preserve"> ein Schreiben verfasst </w:t>
            </w:r>
            <w:r>
              <w:rPr>
                <w:sz w:val="20"/>
                <w:szCs w:val="20"/>
              </w:rPr>
              <w:t>habe</w:t>
            </w:r>
            <w:r w:rsidRPr="00E50B51">
              <w:rPr>
                <w:sz w:val="20"/>
                <w:szCs w:val="20"/>
              </w:rPr>
              <w:t xml:space="preserve">, das einen Mandanten im Strafverfahren anwies, falsch auszusagen. Die Staatsanwaltschaft </w:t>
            </w:r>
            <w:r>
              <w:rPr>
                <w:sz w:val="20"/>
                <w:szCs w:val="20"/>
              </w:rPr>
              <w:t>behauptete</w:t>
            </w:r>
            <w:r w:rsidRPr="00E50B51">
              <w:rPr>
                <w:sz w:val="20"/>
                <w:szCs w:val="20"/>
              </w:rPr>
              <w:t>, der Strafverteidiger könnte den Brief bei sich haben, weshalb sie einen Durchsuchungsbefehl erwirkte und den Strafverteidiger noch im Gerichtsgebäude durchsuchte</w:t>
            </w:r>
            <w:r>
              <w:rPr>
                <w:sz w:val="20"/>
                <w:szCs w:val="20"/>
              </w:rPr>
              <w:t>. S</w:t>
            </w:r>
            <w:r w:rsidRPr="00E50B51">
              <w:rPr>
                <w:sz w:val="20"/>
                <w:szCs w:val="20"/>
              </w:rPr>
              <w:t xml:space="preserve">ein Mandant </w:t>
            </w:r>
            <w:r>
              <w:rPr>
                <w:sz w:val="20"/>
                <w:szCs w:val="20"/>
              </w:rPr>
              <w:t xml:space="preserve">sagte währenddessen </w:t>
            </w:r>
            <w:r w:rsidRPr="00E50B51">
              <w:rPr>
                <w:sz w:val="20"/>
                <w:szCs w:val="20"/>
              </w:rPr>
              <w:t xml:space="preserve">vor den Geschworenen aus. Der </w:t>
            </w:r>
            <w:r>
              <w:rPr>
                <w:sz w:val="20"/>
                <w:szCs w:val="20"/>
              </w:rPr>
              <w:t>klagende Strafverteidiger</w:t>
            </w:r>
            <w:r w:rsidRPr="00E50B51">
              <w:rPr>
                <w:sz w:val="20"/>
                <w:szCs w:val="20"/>
              </w:rPr>
              <w:t xml:space="preserve"> meinte</w:t>
            </w:r>
            <w:r>
              <w:rPr>
                <w:sz w:val="20"/>
                <w:szCs w:val="20"/>
              </w:rPr>
              <w:t xml:space="preserve"> nun</w:t>
            </w:r>
            <w:r w:rsidRPr="00E50B51">
              <w:rPr>
                <w:sz w:val="20"/>
                <w:szCs w:val="20"/>
              </w:rPr>
              <w:t xml:space="preserve">, sein Recht, den </w:t>
            </w:r>
            <w:proofErr w:type="gramStart"/>
            <w:r w:rsidRPr="00E50B51">
              <w:rPr>
                <w:sz w:val="20"/>
                <w:szCs w:val="20"/>
              </w:rPr>
              <w:t>Beruf</w:t>
            </w:r>
            <w:proofErr w:type="gramEnd"/>
            <w:r w:rsidRPr="00E50B51">
              <w:rPr>
                <w:sz w:val="20"/>
                <w:szCs w:val="20"/>
              </w:rPr>
              <w:t xml:space="preserve"> ohne unangemessene staatliche Einschränkung auszuüben, sei </w:t>
            </w:r>
            <w:r>
              <w:rPr>
                <w:sz w:val="20"/>
                <w:szCs w:val="20"/>
              </w:rPr>
              <w:t xml:space="preserve">hierdurch </w:t>
            </w:r>
            <w:r w:rsidRPr="00E50B51">
              <w:rPr>
                <w:sz w:val="20"/>
                <w:szCs w:val="20"/>
              </w:rPr>
              <w:t>verletzt worden</w:t>
            </w:r>
            <w:r>
              <w:rPr>
                <w:sz w:val="20"/>
                <w:szCs w:val="20"/>
              </w:rPr>
              <w:t xml:space="preserv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w:t>
            </w:r>
            <w:r>
              <w:rPr>
                <w:sz w:val="20"/>
                <w:szCs w:val="20"/>
              </w:rPr>
              <w:t xml:space="preserve">schütze ihn. </w:t>
            </w:r>
            <w:r w:rsidRPr="00E50B51">
              <w:rPr>
                <w:sz w:val="20"/>
                <w:szCs w:val="20"/>
              </w:rPr>
              <w:t xml:space="preserve">Der </w:t>
            </w:r>
            <w:r>
              <w:rPr>
                <w:sz w:val="20"/>
                <w:szCs w:val="20"/>
              </w:rPr>
              <w:t>U.S. Supreme Court</w:t>
            </w:r>
            <w:r w:rsidRPr="00E50B51">
              <w:rPr>
                <w:sz w:val="20"/>
                <w:szCs w:val="20"/>
              </w:rPr>
              <w:t xml:space="preserve"> </w:t>
            </w:r>
            <w:r>
              <w:rPr>
                <w:sz w:val="20"/>
                <w:szCs w:val="20"/>
              </w:rPr>
              <w:t xml:space="preserve">indes </w:t>
            </w:r>
            <w:proofErr w:type="gramStart"/>
            <w:r w:rsidRPr="00E50B51">
              <w:rPr>
                <w:sz w:val="20"/>
                <w:szCs w:val="20"/>
              </w:rPr>
              <w:t>entschied</w:t>
            </w:r>
            <w:r>
              <w:rPr>
                <w:sz w:val="20"/>
                <w:szCs w:val="20"/>
              </w:rPr>
              <w:t xml:space="preserve"> letztlich</w:t>
            </w:r>
            <w:proofErr w:type="gramEnd"/>
            <w:r w:rsidRPr="00E50B51">
              <w:rPr>
                <w:sz w:val="20"/>
                <w:szCs w:val="20"/>
              </w:rPr>
              <w:t>, die Durchsuchung habe das Recht des Strafverteidigers, seinen Beruf auszuüben, nicht verletzt</w:t>
            </w:r>
            <w:r>
              <w:rPr>
                <w:sz w:val="20"/>
                <w:szCs w:val="20"/>
              </w:rPr>
              <w:t>. Und d</w:t>
            </w:r>
            <w:r w:rsidRPr="00E50B51">
              <w:rPr>
                <w:sz w:val="20"/>
                <w:szCs w:val="20"/>
              </w:rPr>
              <w:t xml:space="preserve">ies gelte sogar unabhängig davon, ob die Durchsuchung darauf </w:t>
            </w:r>
            <w:r>
              <w:rPr>
                <w:sz w:val="20"/>
                <w:szCs w:val="20"/>
              </w:rPr>
              <w:t>abgezielt habe</w:t>
            </w:r>
            <w:r w:rsidRPr="00E50B51">
              <w:rPr>
                <w:sz w:val="20"/>
                <w:szCs w:val="20"/>
              </w:rPr>
              <w:t>, ihn einzuschränken oder sogar die Beratung mit dem Mandanten zu verhindern, während dieser vor der Grand Jury aussagte.</w:t>
            </w:r>
            <w:r>
              <w:rPr>
                <w:rStyle w:val="Funotenzeichen"/>
                <w:sz w:val="20"/>
                <w:szCs w:val="20"/>
              </w:rPr>
              <w:footnoteReference w:id="1055"/>
            </w:r>
          </w:p>
          <w:p w14:paraId="0F398B7C" w14:textId="77777777" w:rsidR="00074551" w:rsidRPr="00E50B51" w:rsidRDefault="00074551" w:rsidP="00367133">
            <w:pPr>
              <w:jc w:val="both"/>
              <w:rPr>
                <w:sz w:val="20"/>
                <w:szCs w:val="20"/>
              </w:rPr>
            </w:pPr>
          </w:p>
        </w:tc>
        <w:tc>
          <w:tcPr>
            <w:tcW w:w="1822" w:type="pct"/>
          </w:tcPr>
          <w:p w14:paraId="2DA8BB9C" w14:textId="77777777" w:rsidR="00074551" w:rsidRPr="00E50B51" w:rsidRDefault="00074551" w:rsidP="00367133">
            <w:pPr>
              <w:jc w:val="both"/>
              <w:rPr>
                <w:sz w:val="20"/>
                <w:szCs w:val="20"/>
              </w:rPr>
            </w:pPr>
            <w:r w:rsidRPr="0086515B">
              <w:rPr>
                <w:sz w:val="20"/>
                <w:szCs w:val="20"/>
              </w:rPr>
              <w:t xml:space="preserve">In </w:t>
            </w:r>
            <w:proofErr w:type="spellStart"/>
            <w:r w:rsidRPr="5B67C1D2">
              <w:rPr>
                <w:i/>
                <w:iCs/>
                <w:sz w:val="20"/>
                <w:szCs w:val="20"/>
              </w:rPr>
              <w:t>Conn</w:t>
            </w:r>
            <w:proofErr w:type="spellEnd"/>
            <w:r w:rsidRPr="5B67C1D2">
              <w:rPr>
                <w:i/>
                <w:iCs/>
                <w:sz w:val="20"/>
                <w:szCs w:val="20"/>
              </w:rPr>
              <w:t xml:space="preserve"> v. Gabbert</w:t>
            </w:r>
            <w:r w:rsidRPr="0086515B">
              <w:rPr>
                <w:sz w:val="20"/>
                <w:szCs w:val="20"/>
              </w:rPr>
              <w:t xml:space="preserve"> erklärte der </w:t>
            </w:r>
            <w:r>
              <w:rPr>
                <w:sz w:val="20"/>
                <w:szCs w:val="20"/>
              </w:rPr>
              <w:t>U.S. Supreme Court</w:t>
            </w:r>
            <w:r w:rsidRPr="0086515B">
              <w:rPr>
                <w:sz w:val="20"/>
                <w:szCs w:val="20"/>
              </w:rPr>
              <w:t xml:space="preserve">, dass das Streben nach Glück vorrangig in seinen Freiheitssphären schütze, nicht aber außerhalb dieser, </w:t>
            </w:r>
            <w:r>
              <w:rPr>
                <w:sz w:val="20"/>
                <w:szCs w:val="20"/>
              </w:rPr>
              <w:t>z.B.</w:t>
            </w:r>
            <w:r w:rsidRPr="0086515B">
              <w:rPr>
                <w:sz w:val="20"/>
                <w:szCs w:val="20"/>
              </w:rPr>
              <w:t xml:space="preserve"> beinhalte es keine Freiheitssphäre</w:t>
            </w:r>
            <w:r>
              <w:rPr>
                <w:sz w:val="20"/>
                <w:szCs w:val="20"/>
              </w:rPr>
              <w:t>,</w:t>
            </w:r>
            <w:r w:rsidRPr="0086515B">
              <w:rPr>
                <w:sz w:val="20"/>
                <w:szCs w:val="20"/>
              </w:rPr>
              <w:t xml:space="preserve"> vor einer Durchsuchung geschützt zu sein. Der </w:t>
            </w:r>
            <w:r>
              <w:rPr>
                <w:sz w:val="20"/>
                <w:szCs w:val="20"/>
              </w:rPr>
              <w:t>U.S. Supreme Court</w:t>
            </w:r>
            <w:r w:rsidRPr="0086515B">
              <w:rPr>
                <w:sz w:val="20"/>
                <w:szCs w:val="20"/>
              </w:rPr>
              <w:t xml:space="preserve"> besprach hier zunächst die unterschiedlichen Freiheitssphären nach </w:t>
            </w:r>
            <w:r w:rsidRPr="5B67C1D2">
              <w:rPr>
                <w:i/>
                <w:iCs/>
                <w:sz w:val="20"/>
                <w:szCs w:val="20"/>
              </w:rPr>
              <w:t>Meyer v. Nebraska</w:t>
            </w:r>
            <w:r w:rsidRPr="0086515B">
              <w:rPr>
                <w:sz w:val="20"/>
                <w:szCs w:val="20"/>
                <w:vertAlign w:val="superscript"/>
              </w:rPr>
              <w:footnoteReference w:id="1056"/>
            </w:r>
            <w:r w:rsidRPr="0086515B">
              <w:rPr>
                <w:sz w:val="20"/>
                <w:szCs w:val="20"/>
              </w:rPr>
              <w:t xml:space="preserve"> und nach </w:t>
            </w:r>
            <w:r w:rsidRPr="5B67C1D2">
              <w:rPr>
                <w:i/>
                <w:iCs/>
                <w:sz w:val="20"/>
                <w:szCs w:val="20"/>
              </w:rPr>
              <w:t xml:space="preserve">Bd. of </w:t>
            </w:r>
            <w:proofErr w:type="spellStart"/>
            <w:r w:rsidRPr="5B67C1D2">
              <w:rPr>
                <w:i/>
                <w:iCs/>
                <w:sz w:val="20"/>
                <w:szCs w:val="20"/>
              </w:rPr>
              <w:t>Regents</w:t>
            </w:r>
            <w:proofErr w:type="spellEnd"/>
            <w:r w:rsidRPr="5B67C1D2">
              <w:rPr>
                <w:i/>
                <w:iCs/>
                <w:sz w:val="20"/>
                <w:szCs w:val="20"/>
              </w:rPr>
              <w:t xml:space="preserve"> v. Roth</w:t>
            </w:r>
            <w:r>
              <w:rPr>
                <w:sz w:val="20"/>
                <w:szCs w:val="20"/>
              </w:rPr>
              <w:t>,</w:t>
            </w:r>
            <w:r w:rsidRPr="0086515B">
              <w:rPr>
                <w:sz w:val="20"/>
                <w:szCs w:val="20"/>
                <w:vertAlign w:val="superscript"/>
              </w:rPr>
              <w:footnoteReference w:id="1057"/>
            </w:r>
            <w:r w:rsidRPr="0086515B">
              <w:rPr>
                <w:sz w:val="20"/>
                <w:szCs w:val="20"/>
              </w:rPr>
              <w:t xml:space="preserve"> diese sichern ein Streben nach Glück. Der </w:t>
            </w:r>
            <w:r>
              <w:rPr>
                <w:sz w:val="20"/>
                <w:szCs w:val="20"/>
              </w:rPr>
              <w:t>U.S. Supreme Court</w:t>
            </w:r>
            <w:r w:rsidRPr="0086515B">
              <w:rPr>
                <w:sz w:val="20"/>
                <w:szCs w:val="20"/>
              </w:rPr>
              <w:t xml:space="preserve"> erhob die Freiheitssphären damit zur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86515B">
              <w:rPr>
                <w:sz w:val="20"/>
                <w:szCs w:val="20"/>
              </w:rPr>
              <w:t xml:space="preserve">. Aber die Freiheitssphären beinhalten nicht die Freiheit, vor einer Durchsuchung auf Grundlage eines hinreichenden Tatverdachts geschützt zu sein. Denn </w:t>
            </w:r>
            <w:r w:rsidRPr="5B67C1D2">
              <w:rPr>
                <w:i/>
                <w:iCs/>
                <w:sz w:val="20"/>
                <w:szCs w:val="20"/>
              </w:rPr>
              <w:t>Meyer v. Nebraska</w:t>
            </w:r>
            <w:r w:rsidRPr="0086515B">
              <w:rPr>
                <w:sz w:val="20"/>
                <w:szCs w:val="20"/>
              </w:rPr>
              <w:t xml:space="preserve"> zählte </w:t>
            </w:r>
            <w:r>
              <w:rPr>
                <w:sz w:val="20"/>
                <w:szCs w:val="20"/>
              </w:rPr>
              <w:t>die</w:t>
            </w:r>
            <w:r w:rsidRPr="0086515B">
              <w:rPr>
                <w:sz w:val="20"/>
                <w:szCs w:val="20"/>
              </w:rPr>
              <w:t xml:space="preserve"> materiellen Freiheitsrechte und -sphären auf,</w:t>
            </w:r>
            <w:r w:rsidRPr="0086515B">
              <w:rPr>
                <w:sz w:val="20"/>
                <w:szCs w:val="20"/>
                <w:vertAlign w:val="superscript"/>
              </w:rPr>
              <w:footnoteReference w:id="1058"/>
            </w:r>
            <w:r w:rsidRPr="0086515B">
              <w:rPr>
                <w:sz w:val="20"/>
                <w:szCs w:val="20"/>
              </w:rPr>
              <w:t xml:space="preserve"> die</w:t>
            </w:r>
            <w:r>
              <w:rPr>
                <w:sz w:val="20"/>
                <w:szCs w:val="20"/>
              </w:rPr>
              <w:t>se</w:t>
            </w:r>
            <w:r w:rsidRPr="0086515B">
              <w:rPr>
                <w:sz w:val="20"/>
                <w:szCs w:val="20"/>
              </w:rPr>
              <w:t xml:space="preserve"> waren hier nicht ausgelöst. Und </w:t>
            </w:r>
            <w:r w:rsidRPr="5B67C1D2">
              <w:rPr>
                <w:i/>
                <w:iCs/>
                <w:sz w:val="20"/>
                <w:szCs w:val="20"/>
              </w:rPr>
              <w:t xml:space="preserve">Bd. of </w:t>
            </w:r>
            <w:proofErr w:type="spellStart"/>
            <w:r w:rsidRPr="5B67C1D2">
              <w:rPr>
                <w:i/>
                <w:iCs/>
                <w:sz w:val="20"/>
                <w:szCs w:val="20"/>
              </w:rPr>
              <w:t>Regents</w:t>
            </w:r>
            <w:proofErr w:type="spellEnd"/>
            <w:r w:rsidRPr="5B67C1D2">
              <w:rPr>
                <w:i/>
                <w:iCs/>
                <w:sz w:val="20"/>
                <w:szCs w:val="20"/>
              </w:rPr>
              <w:t xml:space="preserve"> v. Roth</w:t>
            </w:r>
            <w:r w:rsidRPr="0086515B">
              <w:rPr>
                <w:sz w:val="20"/>
                <w:szCs w:val="20"/>
              </w:rPr>
              <w:t xml:space="preserve"> besprach die Folge: nämlich Verfahrenserfordernisse wie eine Anhörung, bevor </w:t>
            </w:r>
            <w:r>
              <w:rPr>
                <w:sz w:val="20"/>
                <w:szCs w:val="20"/>
              </w:rPr>
              <w:t xml:space="preserve">etwa </w:t>
            </w:r>
            <w:r w:rsidRPr="0086515B">
              <w:rPr>
                <w:sz w:val="20"/>
                <w:szCs w:val="20"/>
              </w:rPr>
              <w:t xml:space="preserve">einem Professor die Freiheit genommen </w:t>
            </w:r>
            <w:r>
              <w:rPr>
                <w:sz w:val="20"/>
                <w:szCs w:val="20"/>
              </w:rPr>
              <w:t>werde</w:t>
            </w:r>
            <w:r w:rsidRPr="0086515B">
              <w:rPr>
                <w:sz w:val="20"/>
                <w:szCs w:val="20"/>
              </w:rPr>
              <w:t xml:space="preserve">, seine Lebensgrundlage zu erwirtschaften, also faktisch die Chance genommen </w:t>
            </w:r>
            <w:r>
              <w:rPr>
                <w:sz w:val="20"/>
                <w:szCs w:val="20"/>
              </w:rPr>
              <w:t>werde</w:t>
            </w:r>
            <w:r w:rsidRPr="0086515B">
              <w:rPr>
                <w:sz w:val="20"/>
                <w:szCs w:val="20"/>
              </w:rPr>
              <w:t xml:space="preserve">, seinen Beruf auszuüben, </w:t>
            </w:r>
            <w:r>
              <w:rPr>
                <w:sz w:val="20"/>
                <w:szCs w:val="20"/>
              </w:rPr>
              <w:t>z.B.</w:t>
            </w:r>
            <w:r w:rsidRPr="0086515B">
              <w:rPr>
                <w:sz w:val="20"/>
                <w:szCs w:val="20"/>
              </w:rPr>
              <w:t xml:space="preserve"> durch ein vernichtendes Arbeitszeugnis.</w:t>
            </w:r>
            <w:r w:rsidRPr="0086515B">
              <w:rPr>
                <w:sz w:val="20"/>
                <w:szCs w:val="20"/>
                <w:vertAlign w:val="superscript"/>
              </w:rPr>
              <w:footnoteReference w:id="1059"/>
            </w:r>
          </w:p>
        </w:tc>
      </w:tr>
      <w:tr w:rsidR="00074551" w:rsidRPr="00E50B51" w14:paraId="4D2B3D41" w14:textId="77777777" w:rsidTr="00BE689F">
        <w:trPr>
          <w:cantSplit/>
          <w:trHeight w:val="3175"/>
        </w:trPr>
        <w:tc>
          <w:tcPr>
            <w:tcW w:w="293" w:type="pct"/>
          </w:tcPr>
          <w:p w14:paraId="47E55E78"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56600FA" w14:textId="77777777" w:rsidR="00074551" w:rsidRPr="00E50B51" w:rsidRDefault="00074551" w:rsidP="00367133">
            <w:pPr>
              <w:ind w:left="113" w:right="416"/>
              <w:jc w:val="both"/>
              <w:rPr>
                <w:sz w:val="20"/>
                <w:szCs w:val="20"/>
              </w:rPr>
            </w:pPr>
            <w:r w:rsidRPr="009E57E1">
              <w:rPr>
                <w:i/>
                <w:sz w:val="20"/>
                <w:szCs w:val="20"/>
              </w:rPr>
              <w:t>Ingraham v. Wright</w:t>
            </w:r>
          </w:p>
        </w:tc>
        <w:tc>
          <w:tcPr>
            <w:tcW w:w="197" w:type="pct"/>
            <w:textDirection w:val="tbRl"/>
            <w:vAlign w:val="center"/>
          </w:tcPr>
          <w:p w14:paraId="7540596C" w14:textId="77777777" w:rsidR="00074551" w:rsidRPr="00E50B51" w:rsidRDefault="00074551" w:rsidP="00367133">
            <w:pPr>
              <w:ind w:left="113" w:right="113"/>
              <w:jc w:val="both"/>
              <w:rPr>
                <w:sz w:val="20"/>
                <w:szCs w:val="20"/>
              </w:rPr>
            </w:pPr>
            <w:r w:rsidRPr="00E50B51">
              <w:rPr>
                <w:sz w:val="20"/>
                <w:szCs w:val="20"/>
                <w:lang w:val="en-US"/>
              </w:rPr>
              <w:t>430 U.S. 651</w:t>
            </w:r>
          </w:p>
        </w:tc>
        <w:tc>
          <w:tcPr>
            <w:tcW w:w="306" w:type="pct"/>
            <w:textDirection w:val="tbRl"/>
            <w:vAlign w:val="center"/>
          </w:tcPr>
          <w:p w14:paraId="40B385EF" w14:textId="77777777" w:rsidR="00074551" w:rsidRPr="00E50B51" w:rsidRDefault="00074551" w:rsidP="00367133">
            <w:pPr>
              <w:ind w:left="113" w:right="113"/>
              <w:jc w:val="both"/>
              <w:rPr>
                <w:sz w:val="20"/>
                <w:szCs w:val="20"/>
              </w:rPr>
            </w:pPr>
            <w:r w:rsidRPr="00E50B51">
              <w:rPr>
                <w:sz w:val="20"/>
                <w:szCs w:val="20"/>
              </w:rPr>
              <w:t>19. April 1977</w:t>
            </w:r>
          </w:p>
        </w:tc>
        <w:tc>
          <w:tcPr>
            <w:tcW w:w="401" w:type="pct"/>
          </w:tcPr>
          <w:p w14:paraId="42260BD9" w14:textId="77777777" w:rsidR="00074551" w:rsidRPr="00E50B51" w:rsidRDefault="00074551" w:rsidP="00367133">
            <w:pPr>
              <w:jc w:val="center"/>
              <w:rPr>
                <w:sz w:val="20"/>
                <w:szCs w:val="20"/>
              </w:rPr>
            </w:pPr>
            <w:r w:rsidRPr="00E50B51">
              <w:rPr>
                <w:sz w:val="20"/>
                <w:szCs w:val="20"/>
              </w:rPr>
              <w:t>M</w:t>
            </w:r>
          </w:p>
        </w:tc>
        <w:tc>
          <w:tcPr>
            <w:tcW w:w="1594" w:type="pct"/>
          </w:tcPr>
          <w:p w14:paraId="48A15E7F" w14:textId="77777777" w:rsidR="00074551" w:rsidRPr="00E50B51" w:rsidRDefault="00074551" w:rsidP="00367133">
            <w:pPr>
              <w:jc w:val="both"/>
              <w:rPr>
                <w:sz w:val="20"/>
                <w:szCs w:val="20"/>
              </w:rPr>
            </w:pPr>
            <w:r w:rsidRPr="00E50B51">
              <w:rPr>
                <w:sz w:val="20"/>
                <w:szCs w:val="20"/>
              </w:rPr>
              <w:t xml:space="preserve">Im Fall ging es um die Zulässigkeit </w:t>
            </w:r>
            <w:r>
              <w:rPr>
                <w:sz w:val="20"/>
                <w:szCs w:val="20"/>
              </w:rPr>
              <w:t xml:space="preserve">von </w:t>
            </w:r>
            <w:r w:rsidRPr="00E50B51">
              <w:rPr>
                <w:sz w:val="20"/>
                <w:szCs w:val="20"/>
              </w:rPr>
              <w:t>körperliche</w:t>
            </w:r>
            <w:r>
              <w:rPr>
                <w:sz w:val="20"/>
                <w:szCs w:val="20"/>
              </w:rPr>
              <w:t>n</w:t>
            </w:r>
            <w:r w:rsidRPr="00E50B51">
              <w:rPr>
                <w:sz w:val="20"/>
                <w:szCs w:val="20"/>
              </w:rPr>
              <w:t xml:space="preserve"> Züchtigung</w:t>
            </w:r>
            <w:r>
              <w:rPr>
                <w:sz w:val="20"/>
                <w:szCs w:val="20"/>
              </w:rPr>
              <w:t>en</w:t>
            </w:r>
            <w:r w:rsidRPr="00E50B51">
              <w:rPr>
                <w:sz w:val="20"/>
                <w:szCs w:val="20"/>
              </w:rPr>
              <w:t xml:space="preserve"> und Disziplinarstrafen an öffentlichen Schulen. </w:t>
            </w:r>
            <w:r>
              <w:rPr>
                <w:sz w:val="20"/>
                <w:szCs w:val="20"/>
              </w:rPr>
              <w:t xml:space="preserve">Der U.S. Supreme Court eröffnete dafür den Maßstab: </w:t>
            </w:r>
            <w:r w:rsidRPr="00E50B51">
              <w:rPr>
                <w:sz w:val="20"/>
                <w:szCs w:val="20"/>
              </w:rPr>
              <w:t xml:space="preserve">Lehrer und Verwaltungsangestellte dürften an öffentlichen Schulen nach dem Gewohnheitsrecht nur solche körperlichen Züchtigungen vornehmen, die für die ordnungsgemäße Erziehung und Disziplinierung des Kindes erforderlich seien; jede </w:t>
            </w:r>
            <w:proofErr w:type="gramStart"/>
            <w:r>
              <w:rPr>
                <w:sz w:val="20"/>
                <w:szCs w:val="20"/>
              </w:rPr>
              <w:t>darüber hinausgehende</w:t>
            </w:r>
            <w:proofErr w:type="gramEnd"/>
            <w:r w:rsidRPr="00E50B51">
              <w:rPr>
                <w:sz w:val="20"/>
                <w:szCs w:val="20"/>
              </w:rPr>
              <w:t xml:space="preserve"> Bestrafung ziehe eine zivil- oder strafrechtliche Haftung</w:t>
            </w:r>
            <w:r>
              <w:rPr>
                <w:rStyle w:val="Funotenzeichen"/>
                <w:sz w:val="20"/>
                <w:szCs w:val="20"/>
              </w:rPr>
              <w:footnoteReference w:id="1060"/>
            </w:r>
            <w:r w:rsidRPr="00E50B51">
              <w:rPr>
                <w:sz w:val="20"/>
                <w:szCs w:val="20"/>
              </w:rPr>
              <w:t xml:space="preserve"> nach sich.</w:t>
            </w:r>
            <w:r>
              <w:rPr>
                <w:sz w:val="20"/>
                <w:szCs w:val="20"/>
              </w:rPr>
              <w:t xml:space="preserve"> Das verlange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Pr>
                <w:sz w:val="20"/>
                <w:szCs w:val="20"/>
              </w:rPr>
              <w:t>.</w:t>
            </w:r>
            <w:r w:rsidRPr="00E50B51">
              <w:rPr>
                <w:sz w:val="20"/>
                <w:szCs w:val="20"/>
              </w:rPr>
              <w:t xml:space="preserve"> Darüber hinaus verlange </w:t>
            </w:r>
            <w:r>
              <w:rPr>
                <w:sz w:val="20"/>
                <w:szCs w:val="20"/>
              </w:rPr>
              <w:t>sie</w:t>
            </w:r>
            <w:r w:rsidRPr="00E50B51">
              <w:rPr>
                <w:sz w:val="20"/>
                <w:szCs w:val="20"/>
              </w:rPr>
              <w:t xml:space="preserve"> keine Benachrichtigung und Anhörung vor der Verhängung körperlicher Züchtigung in öffentlichen Schulen. Denn dies sei durch das Gewohnheitsrecht erlaubt und zugleich hinreichend begrenzt</w:t>
            </w:r>
            <w:r>
              <w:rPr>
                <w:sz w:val="20"/>
                <w:szCs w:val="20"/>
              </w:rPr>
              <w:t>.</w:t>
            </w:r>
            <w:r w:rsidRPr="5B67C1D2">
              <w:rPr>
                <w:rStyle w:val="Funotenzeichen"/>
                <w:rFonts w:eastAsiaTheme="majorEastAsia"/>
                <w:sz w:val="20"/>
                <w:szCs w:val="20"/>
              </w:rPr>
              <w:footnoteReference w:id="1061"/>
            </w:r>
            <w:r>
              <w:rPr>
                <w:sz w:val="20"/>
                <w:szCs w:val="20"/>
              </w:rPr>
              <w:t xml:space="preserve"> </w:t>
            </w:r>
          </w:p>
          <w:p w14:paraId="71B2FFBB" w14:textId="77777777" w:rsidR="00074551" w:rsidRPr="00E50B51" w:rsidRDefault="00074551" w:rsidP="00367133">
            <w:pPr>
              <w:jc w:val="both"/>
              <w:rPr>
                <w:sz w:val="20"/>
                <w:szCs w:val="20"/>
              </w:rPr>
            </w:pPr>
          </w:p>
        </w:tc>
        <w:tc>
          <w:tcPr>
            <w:tcW w:w="1822" w:type="pct"/>
          </w:tcPr>
          <w:p w14:paraId="7B09A1B7" w14:textId="749264C7" w:rsidR="00074551" w:rsidRPr="00591E00" w:rsidRDefault="00074551" w:rsidP="00367133">
            <w:pPr>
              <w:jc w:val="both"/>
              <w:rPr>
                <w:sz w:val="20"/>
                <w:szCs w:val="20"/>
              </w:rPr>
            </w:pPr>
            <w:r w:rsidRPr="00591E00">
              <w:rPr>
                <w:sz w:val="20"/>
                <w:szCs w:val="20"/>
              </w:rPr>
              <w:t xml:space="preserve">Der </w:t>
            </w:r>
            <w:r>
              <w:rPr>
                <w:sz w:val="20"/>
                <w:szCs w:val="20"/>
              </w:rPr>
              <w:t>U.S. Supreme Court</w:t>
            </w:r>
            <w:r w:rsidRPr="00591E00">
              <w:rPr>
                <w:sz w:val="20"/>
                <w:szCs w:val="20"/>
              </w:rPr>
              <w:t xml:space="preserve"> erklärte,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jeden staatlichen Entzug von Leben, Freiheit oder Eigentum ohne ein rechtsstaatliches Verfahren verbiete. Aber dieses Verbot erforder</w:t>
            </w:r>
            <w:r>
              <w:rPr>
                <w:sz w:val="20"/>
                <w:szCs w:val="20"/>
              </w:rPr>
              <w:t>e</w:t>
            </w:r>
            <w:r w:rsidRPr="00591E00">
              <w:rPr>
                <w:sz w:val="20"/>
                <w:szCs w:val="20"/>
              </w:rPr>
              <w:t xml:space="preserve"> eine zweistufige Prüfung: Erstens </w:t>
            </w:r>
            <w:r>
              <w:rPr>
                <w:sz w:val="20"/>
                <w:szCs w:val="20"/>
              </w:rPr>
              <w:t>müsse</w:t>
            </w:r>
            <w:r w:rsidRPr="00591E00">
              <w:rPr>
                <w:sz w:val="20"/>
                <w:szCs w:val="20"/>
              </w:rPr>
              <w:t xml:space="preserve"> sich das Gericht fragen, ob die geltend gemachten individuellen Interessen unter den Schutz des Lebens, der Freiheit oder des Eigentums </w:t>
            </w:r>
            <w:r>
              <w:rPr>
                <w:sz w:val="20"/>
                <w:szCs w:val="20"/>
              </w:rPr>
              <w:t>fielen</w:t>
            </w:r>
            <w:r w:rsidRPr="00591E00">
              <w:rPr>
                <w:sz w:val="20"/>
                <w:szCs w:val="20"/>
              </w:rPr>
              <w:t>.</w:t>
            </w:r>
            <w:r w:rsidRPr="00591E00">
              <w:rPr>
                <w:sz w:val="20"/>
                <w:szCs w:val="20"/>
                <w:vertAlign w:val="superscript"/>
              </w:rPr>
              <w:footnoteReference w:id="1062"/>
            </w:r>
            <w:r w:rsidRPr="00591E00">
              <w:rPr>
                <w:sz w:val="20"/>
                <w:szCs w:val="20"/>
              </w:rPr>
              <w:t xml:space="preserve"> Wenn eine staatliche Maßnahme eine dieser Interessen berühr</w:t>
            </w:r>
            <w:r>
              <w:rPr>
                <w:sz w:val="20"/>
                <w:szCs w:val="20"/>
              </w:rPr>
              <w:t>e</w:t>
            </w:r>
            <w:r w:rsidRPr="00591E00">
              <w:rPr>
                <w:sz w:val="20"/>
                <w:szCs w:val="20"/>
              </w:rPr>
              <w:t xml:space="preserve">, dann </w:t>
            </w:r>
            <w:r>
              <w:rPr>
                <w:sz w:val="20"/>
                <w:szCs w:val="20"/>
              </w:rPr>
              <w:t>müsse</w:t>
            </w:r>
            <w:r w:rsidRPr="00591E00">
              <w:rPr>
                <w:sz w:val="20"/>
                <w:szCs w:val="20"/>
              </w:rPr>
              <w:t xml:space="preserve"> das Gericht zweitens entscheiden, ob bestehende Verfahren zum Schutz der Interessen genüg</w:t>
            </w:r>
            <w:r>
              <w:rPr>
                <w:sz w:val="20"/>
                <w:szCs w:val="20"/>
              </w:rPr>
              <w:t>t</w:t>
            </w:r>
            <w:r w:rsidRPr="00591E00">
              <w:rPr>
                <w:sz w:val="20"/>
                <w:szCs w:val="20"/>
              </w:rPr>
              <w:t xml:space="preserve">en, d.h. den rechtsstaatlichen Standards </w:t>
            </w:r>
            <w:r>
              <w:rPr>
                <w:sz w:val="20"/>
                <w:szCs w:val="20"/>
              </w:rPr>
              <w:t>von</w:t>
            </w:r>
            <w:r w:rsidRPr="00591E0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entsprächen.</w:t>
            </w:r>
            <w:r w:rsidRPr="00591E00">
              <w:rPr>
                <w:sz w:val="20"/>
                <w:szCs w:val="20"/>
                <w:vertAlign w:val="superscript"/>
              </w:rPr>
              <w:footnoteReference w:id="1063"/>
            </w:r>
            <w:r w:rsidRPr="002E1085">
              <w:rPr>
                <w:sz w:val="20"/>
                <w:szCs w:val="20"/>
              </w:rPr>
              <w:t xml:space="preserve"> </w:t>
            </w:r>
            <w:r w:rsidRPr="00591E00">
              <w:rPr>
                <w:sz w:val="20"/>
                <w:szCs w:val="20"/>
                <w:lang w:val="en-US"/>
              </w:rPr>
              <w:t xml:space="preserve">Unter den </w:t>
            </w:r>
            <w:proofErr w:type="spellStart"/>
            <w:r w:rsidRPr="00591E00">
              <w:rPr>
                <w:sz w:val="20"/>
                <w:szCs w:val="20"/>
                <w:lang w:val="en-US"/>
              </w:rPr>
              <w:t>Freiheitsbegriff</w:t>
            </w:r>
            <w:proofErr w:type="spellEnd"/>
            <w:r w:rsidRPr="00591E00">
              <w:rPr>
                <w:sz w:val="20"/>
                <w:szCs w:val="20"/>
                <w:lang w:val="en-US"/>
              </w:rPr>
              <w:t xml:space="preserve"> des </w:t>
            </w:r>
            <w:proofErr w:type="spellStart"/>
            <w:r w:rsidRPr="00591E00">
              <w:rPr>
                <w:sz w:val="20"/>
                <w:szCs w:val="20"/>
                <w:lang w:val="en-US"/>
              </w:rPr>
              <w:t>ersten</w:t>
            </w:r>
            <w:proofErr w:type="spellEnd"/>
            <w:r w:rsidRPr="00591E00">
              <w:rPr>
                <w:sz w:val="20"/>
                <w:szCs w:val="20"/>
                <w:lang w:val="en-US"/>
              </w:rPr>
              <w:t xml:space="preserve"> </w:t>
            </w:r>
            <w:proofErr w:type="spellStart"/>
            <w:r w:rsidRPr="00591E00">
              <w:rPr>
                <w:sz w:val="20"/>
                <w:szCs w:val="20"/>
                <w:lang w:val="en-US"/>
              </w:rPr>
              <w:t>Prüfungsschritts</w:t>
            </w:r>
            <w:proofErr w:type="spellEnd"/>
            <w:r w:rsidRPr="00591E00">
              <w:rPr>
                <w:sz w:val="20"/>
                <w:szCs w:val="20"/>
                <w:lang w:val="en-US"/>
              </w:rPr>
              <w:t xml:space="preserve"> </w:t>
            </w:r>
            <w:proofErr w:type="spellStart"/>
            <w:r w:rsidRPr="00591E00">
              <w:rPr>
                <w:sz w:val="20"/>
                <w:szCs w:val="20"/>
                <w:lang w:val="en-US"/>
              </w:rPr>
              <w:t>falle</w:t>
            </w:r>
            <w:proofErr w:type="spellEnd"/>
            <w:r w:rsidRPr="00591E00">
              <w:rPr>
                <w:sz w:val="20"/>
                <w:szCs w:val="20"/>
                <w:lang w:val="en-US"/>
              </w:rPr>
              <w:t xml:space="preserve"> </w:t>
            </w:r>
            <w:proofErr w:type="spellStart"/>
            <w:r w:rsidRPr="00591E00">
              <w:rPr>
                <w:sz w:val="20"/>
                <w:szCs w:val="20"/>
                <w:lang w:val="en-US"/>
              </w:rPr>
              <w:t>auch</w:t>
            </w:r>
            <w:proofErr w:type="spellEnd"/>
            <w:r w:rsidRPr="00591E00">
              <w:rPr>
                <w:sz w:val="20"/>
                <w:szCs w:val="20"/>
                <w:lang w:val="en-US"/>
              </w:rPr>
              <w:t xml:space="preserve"> das </w:t>
            </w:r>
            <w:proofErr w:type="spellStart"/>
            <w:r w:rsidRPr="00591E00">
              <w:rPr>
                <w:sz w:val="20"/>
                <w:szCs w:val="20"/>
                <w:lang w:val="en-US"/>
              </w:rPr>
              <w:t>Streben</w:t>
            </w:r>
            <w:proofErr w:type="spellEnd"/>
            <w:r w:rsidRPr="00591E00">
              <w:rPr>
                <w:sz w:val="20"/>
                <w:szCs w:val="20"/>
                <w:lang w:val="en-US"/>
              </w:rPr>
              <w:t xml:space="preserve"> </w:t>
            </w:r>
            <w:proofErr w:type="spellStart"/>
            <w:r w:rsidRPr="00591E00">
              <w:rPr>
                <w:sz w:val="20"/>
                <w:szCs w:val="20"/>
                <w:lang w:val="en-US"/>
              </w:rPr>
              <w:t>nach</w:t>
            </w:r>
            <w:proofErr w:type="spellEnd"/>
            <w:r w:rsidRPr="00591E00">
              <w:rPr>
                <w:sz w:val="20"/>
                <w:szCs w:val="20"/>
                <w:lang w:val="en-US"/>
              </w:rPr>
              <w:t xml:space="preserve"> Glück („The </w:t>
            </w:r>
            <w:r w:rsidRPr="5B67C1D2">
              <w:rPr>
                <w:sz w:val="20"/>
                <w:szCs w:val="20"/>
                <w:lang w:val="en-US"/>
              </w:rPr>
              <w:t>liberty preserved from deprivation without due process included the right ‚generally to enjoy those privileges long recognized at common law as essential to the orderly pursuit of happiness by free men.</w:t>
            </w:r>
            <w:r w:rsidRPr="001B6693">
              <w:rPr>
                <w:sz w:val="20"/>
                <w:szCs w:val="20"/>
                <w:lang w:val="en-IE"/>
              </w:rPr>
              <w:t>‘“</w:t>
            </w:r>
            <w:r w:rsidRPr="00591E00">
              <w:rPr>
                <w:sz w:val="20"/>
                <w:szCs w:val="20"/>
                <w:vertAlign w:val="superscript"/>
                <w:lang w:val="en-US"/>
              </w:rPr>
              <w:footnoteReference w:id="1064"/>
            </w:r>
            <w:r w:rsidRPr="00591E00">
              <w:rPr>
                <w:sz w:val="20"/>
                <w:szCs w:val="20"/>
              </w:rPr>
              <w:t xml:space="preserve">). Denn der Sinn und Zweck </w:t>
            </w:r>
            <w:r>
              <w:rPr>
                <w:sz w:val="20"/>
                <w:szCs w:val="20"/>
              </w:rPr>
              <w:t>von</w:t>
            </w:r>
            <w:r w:rsidRPr="00591E0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war es, mindestens den gleichen Schutz gegen staatliche Gewalten zu gewähren, welche den amerikanischen Bürgern </w:t>
            </w:r>
            <w:r>
              <w:rPr>
                <w:sz w:val="20"/>
                <w:szCs w:val="20"/>
              </w:rPr>
              <w:t>gegenüber</w:t>
            </w:r>
            <w:r w:rsidRPr="00591E00">
              <w:rPr>
                <w:sz w:val="20"/>
                <w:szCs w:val="20"/>
              </w:rPr>
              <w:t xml:space="preserve"> der englischen Krone bereits </w:t>
            </w:r>
            <w:r w:rsidR="1EB20AD0" w:rsidRPr="5B67C1D2">
              <w:rPr>
                <w:sz w:val="20"/>
                <w:szCs w:val="20"/>
              </w:rPr>
              <w:t>vor</w:t>
            </w:r>
            <w:r w:rsidRPr="5B67C1D2">
              <w:rPr>
                <w:sz w:val="20"/>
                <w:szCs w:val="20"/>
              </w:rPr>
              <w:t xml:space="preserve"> der </w:t>
            </w:r>
            <w:r w:rsidRPr="5B67C1D2">
              <w:rPr>
                <w:i/>
                <w:iCs/>
                <w:sz w:val="20"/>
                <w:szCs w:val="20"/>
              </w:rPr>
              <w:t>Declaration of Independence</w:t>
            </w:r>
            <w:r w:rsidRPr="5B67C1D2">
              <w:rPr>
                <w:sz w:val="20"/>
                <w:szCs w:val="20"/>
              </w:rPr>
              <w:t xml:space="preserve"> zukam („at least the </w:t>
            </w:r>
            <w:proofErr w:type="spellStart"/>
            <w:r w:rsidRPr="5B67C1D2">
              <w:rPr>
                <w:sz w:val="20"/>
                <w:szCs w:val="20"/>
              </w:rPr>
              <w:t>protection</w:t>
            </w:r>
            <w:proofErr w:type="spellEnd"/>
            <w:r w:rsidRPr="5B67C1D2">
              <w:rPr>
                <w:sz w:val="20"/>
                <w:szCs w:val="20"/>
              </w:rPr>
              <w:t xml:space="preserve"> </w:t>
            </w:r>
            <w:proofErr w:type="spellStart"/>
            <w:r w:rsidRPr="5B67C1D2">
              <w:rPr>
                <w:sz w:val="20"/>
                <w:szCs w:val="20"/>
              </w:rPr>
              <w:t>against</w:t>
            </w:r>
            <w:proofErr w:type="spellEnd"/>
            <w:r w:rsidRPr="5B67C1D2">
              <w:rPr>
                <w:sz w:val="20"/>
                <w:szCs w:val="20"/>
              </w:rPr>
              <w:t xml:space="preserve"> </w:t>
            </w:r>
            <w:proofErr w:type="spellStart"/>
            <w:r w:rsidRPr="5B67C1D2">
              <w:rPr>
                <w:sz w:val="20"/>
                <w:szCs w:val="20"/>
              </w:rPr>
              <w:t>governmental</w:t>
            </w:r>
            <w:proofErr w:type="spellEnd"/>
            <w:r w:rsidRPr="5B67C1D2">
              <w:rPr>
                <w:sz w:val="20"/>
                <w:szCs w:val="20"/>
              </w:rPr>
              <w:t xml:space="preserve"> power </w:t>
            </w:r>
            <w:proofErr w:type="spellStart"/>
            <w:r w:rsidRPr="5B67C1D2">
              <w:rPr>
                <w:sz w:val="20"/>
                <w:szCs w:val="20"/>
              </w:rPr>
              <w:t>that</w:t>
            </w:r>
            <w:proofErr w:type="spellEnd"/>
            <w:r w:rsidRPr="5B67C1D2">
              <w:rPr>
                <w:sz w:val="20"/>
                <w:szCs w:val="20"/>
              </w:rPr>
              <w:t xml:space="preserve"> </w:t>
            </w:r>
            <w:proofErr w:type="spellStart"/>
            <w:r w:rsidRPr="5B67C1D2">
              <w:rPr>
                <w:sz w:val="20"/>
                <w:szCs w:val="20"/>
              </w:rPr>
              <w:t>they</w:t>
            </w:r>
            <w:proofErr w:type="spellEnd"/>
            <w:r w:rsidRPr="5B67C1D2">
              <w:rPr>
                <w:sz w:val="20"/>
                <w:szCs w:val="20"/>
              </w:rPr>
              <w:t xml:space="preserve"> </w:t>
            </w:r>
            <w:proofErr w:type="spellStart"/>
            <w:r w:rsidRPr="5B67C1D2">
              <w:rPr>
                <w:sz w:val="20"/>
                <w:szCs w:val="20"/>
              </w:rPr>
              <w:t>had</w:t>
            </w:r>
            <w:proofErr w:type="spellEnd"/>
            <w:r w:rsidRPr="5B67C1D2">
              <w:rPr>
                <w:sz w:val="20"/>
                <w:szCs w:val="20"/>
              </w:rPr>
              <w:t xml:space="preserve"> </w:t>
            </w:r>
            <w:proofErr w:type="spellStart"/>
            <w:r w:rsidRPr="5B67C1D2">
              <w:rPr>
                <w:sz w:val="20"/>
                <w:szCs w:val="20"/>
              </w:rPr>
              <w:t>enjoyed</w:t>
            </w:r>
            <w:proofErr w:type="spellEnd"/>
            <w:r w:rsidRPr="5B67C1D2">
              <w:rPr>
                <w:sz w:val="20"/>
                <w:szCs w:val="20"/>
              </w:rPr>
              <w:t xml:space="preserve"> as </w:t>
            </w:r>
            <w:proofErr w:type="spellStart"/>
            <w:r w:rsidRPr="5B67C1D2">
              <w:rPr>
                <w:sz w:val="20"/>
                <w:szCs w:val="20"/>
              </w:rPr>
              <w:t>Englishmen</w:t>
            </w:r>
            <w:proofErr w:type="spellEnd"/>
            <w:r w:rsidRPr="5B67C1D2">
              <w:rPr>
                <w:sz w:val="20"/>
                <w:szCs w:val="20"/>
              </w:rPr>
              <w:t xml:space="preserve"> </w:t>
            </w:r>
            <w:proofErr w:type="spellStart"/>
            <w:r w:rsidRPr="5B67C1D2">
              <w:rPr>
                <w:sz w:val="20"/>
                <w:szCs w:val="20"/>
              </w:rPr>
              <w:t>against</w:t>
            </w:r>
            <w:proofErr w:type="spellEnd"/>
            <w:r w:rsidRPr="5B67C1D2">
              <w:rPr>
                <w:sz w:val="20"/>
                <w:szCs w:val="20"/>
              </w:rPr>
              <w:t xml:space="preserve"> the power of the Crown“</w:t>
            </w:r>
            <w:r w:rsidRPr="5B67C1D2">
              <w:rPr>
                <w:sz w:val="20"/>
                <w:szCs w:val="20"/>
                <w:vertAlign w:val="superscript"/>
              </w:rPr>
              <w:footnoteReference w:id="1065"/>
            </w:r>
            <w:r w:rsidRPr="5B67C1D2">
              <w:rPr>
                <w:sz w:val="20"/>
                <w:szCs w:val="20"/>
              </w:rPr>
              <w:t>). Im Fall berühre zwar die körperliche Züchtigung in öffentlichen Schulen das verfassungsrechtlich geschützte Freiheitsinteresse.</w:t>
            </w:r>
            <w:r w:rsidRPr="5B67C1D2">
              <w:rPr>
                <w:sz w:val="20"/>
                <w:szCs w:val="20"/>
                <w:vertAlign w:val="superscript"/>
              </w:rPr>
              <w:footnoteReference w:id="1066"/>
            </w:r>
            <w:r w:rsidRPr="5B67C1D2">
              <w:rPr>
                <w:sz w:val="20"/>
                <w:szCs w:val="20"/>
              </w:rPr>
              <w:t xml:space="preserve"> Aber die Rechtsmittel reichten aus, um ein rechtsstaatliches Verfahren zu gewährleisten.</w:t>
            </w:r>
            <w:r w:rsidRPr="5B67C1D2">
              <w:rPr>
                <w:sz w:val="20"/>
                <w:szCs w:val="20"/>
                <w:vertAlign w:val="superscript"/>
              </w:rPr>
              <w:footnoteReference w:id="1067"/>
            </w:r>
          </w:p>
          <w:p w14:paraId="3B8DE231" w14:textId="77777777" w:rsidR="00074551" w:rsidRPr="00E50B51" w:rsidRDefault="00074551" w:rsidP="00367133">
            <w:pPr>
              <w:jc w:val="both"/>
              <w:rPr>
                <w:sz w:val="20"/>
                <w:szCs w:val="20"/>
              </w:rPr>
            </w:pPr>
          </w:p>
        </w:tc>
      </w:tr>
      <w:tr w:rsidR="00074551" w:rsidRPr="00E50B51" w14:paraId="5B0F3BEC" w14:textId="77777777" w:rsidTr="00BE689F">
        <w:trPr>
          <w:cantSplit/>
          <w:trHeight w:val="3175"/>
        </w:trPr>
        <w:tc>
          <w:tcPr>
            <w:tcW w:w="293" w:type="pct"/>
          </w:tcPr>
          <w:p w14:paraId="0ED9BD15"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23799A2" w14:textId="77777777" w:rsidR="00074551" w:rsidRPr="00E50B51" w:rsidRDefault="00074551" w:rsidP="00367133">
            <w:pPr>
              <w:ind w:left="113" w:right="416"/>
              <w:jc w:val="both"/>
              <w:rPr>
                <w:sz w:val="20"/>
                <w:szCs w:val="20"/>
                <w:lang w:val="en-US"/>
              </w:rPr>
            </w:pPr>
            <w:r w:rsidRPr="009E57E1">
              <w:rPr>
                <w:i/>
                <w:sz w:val="20"/>
                <w:szCs w:val="20"/>
                <w:lang w:val="en-US"/>
              </w:rPr>
              <w:t>Lawrence v. Texas</w:t>
            </w:r>
          </w:p>
        </w:tc>
        <w:tc>
          <w:tcPr>
            <w:tcW w:w="197" w:type="pct"/>
            <w:textDirection w:val="tbRl"/>
            <w:vAlign w:val="center"/>
          </w:tcPr>
          <w:p w14:paraId="3A0DAEDF" w14:textId="77777777" w:rsidR="00074551" w:rsidRPr="00E50B51" w:rsidRDefault="00074551" w:rsidP="00367133">
            <w:pPr>
              <w:ind w:left="113" w:right="113"/>
              <w:jc w:val="both"/>
              <w:rPr>
                <w:sz w:val="20"/>
                <w:szCs w:val="20"/>
                <w:lang w:val="en-US"/>
              </w:rPr>
            </w:pPr>
            <w:r w:rsidRPr="00E50B51">
              <w:rPr>
                <w:sz w:val="20"/>
                <w:szCs w:val="20"/>
                <w:lang w:val="en-US"/>
              </w:rPr>
              <w:t>539 U.S. 558</w:t>
            </w:r>
          </w:p>
        </w:tc>
        <w:tc>
          <w:tcPr>
            <w:tcW w:w="306" w:type="pct"/>
            <w:textDirection w:val="tbRl"/>
            <w:vAlign w:val="center"/>
          </w:tcPr>
          <w:p w14:paraId="39FA84BE" w14:textId="77777777" w:rsidR="00074551" w:rsidRPr="00E50B51" w:rsidRDefault="00074551" w:rsidP="00367133">
            <w:pPr>
              <w:ind w:left="113" w:right="113"/>
              <w:jc w:val="both"/>
              <w:rPr>
                <w:sz w:val="20"/>
                <w:szCs w:val="20"/>
                <w:lang w:val="en-US"/>
              </w:rPr>
            </w:pPr>
            <w:r w:rsidRPr="00E50B51">
              <w:rPr>
                <w:sz w:val="20"/>
                <w:szCs w:val="20"/>
                <w:lang w:val="en-US"/>
              </w:rPr>
              <w:t>26. Juni 2003</w:t>
            </w:r>
          </w:p>
        </w:tc>
        <w:tc>
          <w:tcPr>
            <w:tcW w:w="401" w:type="pct"/>
          </w:tcPr>
          <w:p w14:paraId="5AC33DCB"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0F268D9C" w14:textId="77777777" w:rsidR="00074551" w:rsidRPr="00E50B51" w:rsidRDefault="00074551" w:rsidP="00367133">
            <w:pPr>
              <w:jc w:val="both"/>
              <w:rPr>
                <w:sz w:val="20"/>
                <w:szCs w:val="20"/>
              </w:rPr>
            </w:pPr>
            <w:r w:rsidRPr="00E50B51">
              <w:rPr>
                <w:sz w:val="20"/>
                <w:szCs w:val="20"/>
              </w:rPr>
              <w:t xml:space="preserve">Im Fall ging um ein strafrechtliches Verbot von Sexualpraktiken. Der </w:t>
            </w:r>
            <w:r>
              <w:rPr>
                <w:sz w:val="20"/>
                <w:szCs w:val="20"/>
              </w:rPr>
              <w:t>U.S. Supreme Court</w:t>
            </w:r>
            <w:r w:rsidRPr="00E50B51">
              <w:rPr>
                <w:sz w:val="20"/>
                <w:szCs w:val="20"/>
              </w:rPr>
              <w:t xml:space="preserve"> erklärte ein Gesetz</w:t>
            </w:r>
            <w:r>
              <w:rPr>
                <w:sz w:val="20"/>
                <w:szCs w:val="20"/>
              </w:rPr>
              <w:t xml:space="preserve">, nämlich </w:t>
            </w:r>
            <w:r w:rsidRPr="00E50B51">
              <w:rPr>
                <w:sz w:val="20"/>
                <w:szCs w:val="20"/>
              </w:rPr>
              <w:t xml:space="preserve">Tex. Penal Code Ann. </w:t>
            </w:r>
            <w:r>
              <w:rPr>
                <w:sz w:val="20"/>
                <w:szCs w:val="20"/>
              </w:rPr>
              <w:t>§ </w:t>
            </w:r>
            <w:r w:rsidRPr="00E50B51">
              <w:rPr>
                <w:sz w:val="20"/>
                <w:szCs w:val="20"/>
              </w:rPr>
              <w:t xml:space="preserve">21.06(a), </w:t>
            </w:r>
            <w:r w:rsidRPr="00954ABB">
              <w:rPr>
                <w:sz w:val="20"/>
                <w:szCs w:val="20"/>
              </w:rPr>
              <w:t>2003</w:t>
            </w:r>
            <w:r>
              <w:rPr>
                <w:sz w:val="20"/>
                <w:szCs w:val="20"/>
              </w:rPr>
              <w:t>,</w:t>
            </w:r>
            <w:r w:rsidRPr="00954ABB">
              <w:rPr>
                <w:rStyle w:val="Funotenzeichen"/>
                <w:sz w:val="20"/>
                <w:szCs w:val="20"/>
              </w:rPr>
              <w:footnoteReference w:id="1068"/>
            </w:r>
            <w:r w:rsidRPr="00E50B51">
              <w:rPr>
                <w:sz w:val="20"/>
                <w:szCs w:val="20"/>
              </w:rPr>
              <w:t xml:space="preserve"> für verfassungswidrig. Nach diesem Gesetz war es eine Straftat, wenn zwei Personen desselben Geschlechts intime Handlungen vornehmen. Aber der </w:t>
            </w:r>
            <w:r>
              <w:rPr>
                <w:sz w:val="20"/>
                <w:szCs w:val="20"/>
              </w:rPr>
              <w:t>U.S. Supreme Court</w:t>
            </w:r>
            <w:r w:rsidRPr="00E50B51">
              <w:rPr>
                <w:sz w:val="20"/>
                <w:szCs w:val="20"/>
              </w:rPr>
              <w:t xml:space="preserve"> urteilte, die Kläger </w:t>
            </w:r>
            <w:r>
              <w:rPr>
                <w:sz w:val="20"/>
                <w:szCs w:val="20"/>
              </w:rPr>
              <w:t>seien</w:t>
            </w:r>
            <w:r w:rsidRPr="00E50B51">
              <w:rPr>
                <w:sz w:val="20"/>
                <w:szCs w:val="20"/>
              </w:rPr>
              <w:t xml:space="preserve"> zum Zeitpunkt d</w:t>
            </w:r>
            <w:r>
              <w:rPr>
                <w:sz w:val="20"/>
                <w:szCs w:val="20"/>
              </w:rPr>
              <w:t>ieser</w:t>
            </w:r>
            <w:r w:rsidRPr="00E50B51">
              <w:rPr>
                <w:sz w:val="20"/>
                <w:szCs w:val="20"/>
              </w:rPr>
              <w:t xml:space="preserve"> angeblichen Straftat erwachsen</w:t>
            </w:r>
            <w:r>
              <w:rPr>
                <w:sz w:val="20"/>
                <w:szCs w:val="20"/>
              </w:rPr>
              <w:t xml:space="preserve"> gewesen</w:t>
            </w:r>
            <w:r w:rsidRPr="00E50B51">
              <w:rPr>
                <w:sz w:val="20"/>
                <w:szCs w:val="20"/>
              </w:rPr>
              <w:t>. Ihr Verhalten sei privat und einvernehmlich</w:t>
            </w:r>
            <w:r>
              <w:rPr>
                <w:sz w:val="20"/>
                <w:szCs w:val="20"/>
              </w:rPr>
              <w:t xml:space="preserve"> gewesen</w:t>
            </w:r>
            <w:r w:rsidRPr="00E50B51">
              <w:rPr>
                <w:sz w:val="20"/>
                <w:szCs w:val="20"/>
              </w:rPr>
              <w:t>. Und die Kläger h</w:t>
            </w:r>
            <w:r>
              <w:rPr>
                <w:sz w:val="20"/>
                <w:szCs w:val="20"/>
              </w:rPr>
              <w:t>ä</w:t>
            </w:r>
            <w:r w:rsidRPr="00E50B51">
              <w:rPr>
                <w:sz w:val="20"/>
                <w:szCs w:val="20"/>
              </w:rPr>
              <w:t xml:space="preserve">tten ein Recht auf </w:t>
            </w:r>
            <w:r>
              <w:rPr>
                <w:sz w:val="20"/>
                <w:szCs w:val="20"/>
              </w:rPr>
              <w:t xml:space="preserve">ihr </w:t>
            </w:r>
            <w:r w:rsidRPr="00E50B51">
              <w:rPr>
                <w:sz w:val="20"/>
                <w:szCs w:val="20"/>
              </w:rPr>
              <w:t xml:space="preserve">Privatleben. Schließlich könne der Staat das private Sexualverhalten nicht zu einem Verbrechen machen. </w:t>
            </w:r>
            <w:r>
              <w:rPr>
                <w:sz w:val="20"/>
                <w:szCs w:val="20"/>
              </w:rPr>
              <w:t>Denn es</w:t>
            </w:r>
            <w:r w:rsidRPr="00E50B51">
              <w:rPr>
                <w:sz w:val="20"/>
                <w:szCs w:val="20"/>
              </w:rPr>
              <w:t xml:space="preserve"> gebe</w:t>
            </w:r>
            <w:r>
              <w:rPr>
                <w:sz w:val="20"/>
                <w:szCs w:val="20"/>
              </w:rPr>
              <w:t xml:space="preserve"> schlicht</w:t>
            </w:r>
            <w:r w:rsidRPr="00E50B51">
              <w:rPr>
                <w:sz w:val="20"/>
                <w:szCs w:val="20"/>
              </w:rPr>
              <w:t xml:space="preserve"> kein staatliches Interesse, das legitimer oder dringender wäre als das Privatleben.</w:t>
            </w:r>
            <w:r w:rsidRPr="5B67C1D2">
              <w:rPr>
                <w:rStyle w:val="Funotenzeichen"/>
                <w:rFonts w:eastAsiaTheme="majorEastAsia"/>
                <w:sz w:val="20"/>
                <w:szCs w:val="20"/>
              </w:rPr>
              <w:footnoteReference w:id="1069"/>
            </w:r>
          </w:p>
          <w:p w14:paraId="55134C9F" w14:textId="77777777" w:rsidR="00074551" w:rsidRPr="00E50B51" w:rsidRDefault="00074551" w:rsidP="00367133">
            <w:pPr>
              <w:jc w:val="both"/>
              <w:rPr>
                <w:sz w:val="20"/>
                <w:szCs w:val="20"/>
              </w:rPr>
            </w:pPr>
          </w:p>
        </w:tc>
        <w:tc>
          <w:tcPr>
            <w:tcW w:w="1822" w:type="pct"/>
          </w:tcPr>
          <w:p w14:paraId="606F5D61" w14:textId="1DBEBFBC" w:rsidR="00074551" w:rsidRPr="002E1ECA" w:rsidRDefault="00074551" w:rsidP="00367133">
            <w:pPr>
              <w:jc w:val="both"/>
              <w:rPr>
                <w:sz w:val="20"/>
                <w:szCs w:val="20"/>
              </w:rPr>
            </w:pPr>
            <w:r w:rsidRPr="002E1ECA">
              <w:rPr>
                <w:sz w:val="20"/>
                <w:szCs w:val="20"/>
              </w:rPr>
              <w:t xml:space="preserve">In </w:t>
            </w:r>
            <w:r w:rsidRPr="5B67C1D2">
              <w:rPr>
                <w:i/>
                <w:iCs/>
                <w:sz w:val="20"/>
                <w:szCs w:val="20"/>
              </w:rPr>
              <w:t>Lawrence v. Texas</w:t>
            </w:r>
            <w:r w:rsidRPr="002E1ECA">
              <w:rPr>
                <w:sz w:val="20"/>
                <w:szCs w:val="20"/>
              </w:rPr>
              <w:t xml:space="preserve"> erklärt</w:t>
            </w:r>
            <w:r>
              <w:rPr>
                <w:sz w:val="20"/>
                <w:szCs w:val="20"/>
              </w:rPr>
              <w:t>e</w:t>
            </w:r>
            <w:r w:rsidRPr="002E1ECA">
              <w:rPr>
                <w:sz w:val="20"/>
                <w:szCs w:val="20"/>
              </w:rPr>
              <w:t xml:space="preserve"> der Dissens, das</w:t>
            </w:r>
            <w:r>
              <w:rPr>
                <w:sz w:val="20"/>
                <w:szCs w:val="20"/>
              </w:rPr>
              <w:t>s</w:t>
            </w:r>
            <w:r w:rsidRPr="002E1ECA">
              <w:rPr>
                <w:sz w:val="20"/>
                <w:szCs w:val="20"/>
              </w:rPr>
              <w:t xml:space="preserve"> Rechte fundamental </w:t>
            </w:r>
            <w:r>
              <w:rPr>
                <w:sz w:val="20"/>
                <w:szCs w:val="20"/>
              </w:rPr>
              <w:t>seien</w:t>
            </w:r>
            <w:r w:rsidRPr="002E1ECA">
              <w:rPr>
                <w:sz w:val="20"/>
                <w:szCs w:val="20"/>
              </w:rPr>
              <w:t>, wenn sie wesentlich seien für ein Streben nach Glück. Staatliche Maßnahmen könn</w:t>
            </w:r>
            <w:r>
              <w:rPr>
                <w:sz w:val="20"/>
                <w:szCs w:val="20"/>
              </w:rPr>
              <w:t>t</w:t>
            </w:r>
            <w:r w:rsidRPr="002E1ECA">
              <w:rPr>
                <w:sz w:val="20"/>
                <w:szCs w:val="20"/>
              </w:rPr>
              <w:t>en sie dann nur zurückhaltend einschränken (sog. „</w:t>
            </w:r>
            <w:proofErr w:type="spellStart"/>
            <w:r w:rsidRPr="002E1ECA">
              <w:rPr>
                <w:sz w:val="20"/>
                <w:szCs w:val="20"/>
              </w:rPr>
              <w:t>heightened</w:t>
            </w:r>
            <w:proofErr w:type="spellEnd"/>
            <w:r w:rsidRPr="002E1ECA">
              <w:rPr>
                <w:sz w:val="20"/>
                <w:szCs w:val="20"/>
              </w:rPr>
              <w:t xml:space="preserve"> </w:t>
            </w:r>
            <w:proofErr w:type="spellStart"/>
            <w:r w:rsidRPr="002E1ECA">
              <w:rPr>
                <w:sz w:val="20"/>
                <w:szCs w:val="20"/>
              </w:rPr>
              <w:t>scrutiny</w:t>
            </w:r>
            <w:proofErr w:type="spellEnd"/>
            <w:r w:rsidRPr="002E1ECA">
              <w:rPr>
                <w:sz w:val="20"/>
                <w:szCs w:val="20"/>
              </w:rPr>
              <w:t>“</w:t>
            </w:r>
            <w:r w:rsidRPr="002E1ECA">
              <w:rPr>
                <w:sz w:val="20"/>
                <w:szCs w:val="20"/>
                <w:vertAlign w:val="superscript"/>
              </w:rPr>
              <w:t xml:space="preserve"> </w:t>
            </w:r>
            <w:r w:rsidRPr="002E1ECA">
              <w:rPr>
                <w:sz w:val="20"/>
                <w:szCs w:val="20"/>
                <w:vertAlign w:val="superscript"/>
              </w:rPr>
              <w:footnoteReference w:id="1070"/>
            </w:r>
            <w:r w:rsidRPr="002E1ECA">
              <w:rPr>
                <w:sz w:val="20"/>
                <w:szCs w:val="20"/>
              </w:rPr>
              <w:t>). Zwar bespr</w:t>
            </w:r>
            <w:r>
              <w:rPr>
                <w:sz w:val="20"/>
                <w:szCs w:val="20"/>
              </w:rPr>
              <w:t>a</w:t>
            </w:r>
            <w:r w:rsidRPr="002E1ECA">
              <w:rPr>
                <w:sz w:val="20"/>
                <w:szCs w:val="20"/>
              </w:rPr>
              <w:t xml:space="preserve">chen </w:t>
            </w:r>
            <w:r w:rsidRPr="5B67C1D2">
              <w:rPr>
                <w:i/>
                <w:iCs/>
                <w:sz w:val="20"/>
                <w:szCs w:val="20"/>
              </w:rPr>
              <w:t>Scalia</w:t>
            </w:r>
            <w:r w:rsidRPr="002E1ECA">
              <w:rPr>
                <w:sz w:val="20"/>
                <w:szCs w:val="20"/>
              </w:rPr>
              <w:t xml:space="preserve"> und </w:t>
            </w:r>
            <w:r w:rsidRPr="5B67C1D2">
              <w:rPr>
                <w:i/>
                <w:iCs/>
                <w:sz w:val="20"/>
                <w:szCs w:val="20"/>
              </w:rPr>
              <w:t>Thomas</w:t>
            </w:r>
            <w:r w:rsidRPr="002E1ECA">
              <w:rPr>
                <w:sz w:val="20"/>
                <w:szCs w:val="20"/>
              </w:rPr>
              <w:t xml:space="preserve"> nur im Dissens </w:t>
            </w:r>
            <w:r>
              <w:rPr>
                <w:sz w:val="20"/>
                <w:szCs w:val="20"/>
              </w:rPr>
              <w:t>das</w:t>
            </w:r>
            <w:r w:rsidRPr="002E1ECA">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2E1ECA">
              <w:rPr>
                <w:sz w:val="20"/>
                <w:szCs w:val="20"/>
              </w:rPr>
              <w:t xml:space="preserve">, aber dort ähnlich eines </w:t>
            </w:r>
            <w:r w:rsidRPr="5B67C1D2">
              <w:rPr>
                <w:i/>
                <w:iCs/>
                <w:sz w:val="20"/>
                <w:szCs w:val="20"/>
              </w:rPr>
              <w:t xml:space="preserve">obiter </w:t>
            </w:r>
            <w:proofErr w:type="spellStart"/>
            <w:r w:rsidRPr="5B67C1D2">
              <w:rPr>
                <w:i/>
                <w:iCs/>
                <w:sz w:val="20"/>
                <w:szCs w:val="20"/>
              </w:rPr>
              <w:t>dictum</w:t>
            </w:r>
            <w:proofErr w:type="spellEnd"/>
            <w:r w:rsidRPr="002E1ECA">
              <w:rPr>
                <w:sz w:val="20"/>
                <w:szCs w:val="20"/>
              </w:rPr>
              <w:t xml:space="preserve"> – und fallunabhängig. Ihre Ausführungen liefern Erkenntnisse zum </w:t>
            </w:r>
            <w:proofErr w:type="spellStart"/>
            <w:r w:rsidRPr="5B67C1D2">
              <w:rPr>
                <w:i/>
                <w:iCs/>
                <w:sz w:val="20"/>
                <w:szCs w:val="20"/>
              </w:rPr>
              <w:t>pursuit</w:t>
            </w:r>
            <w:proofErr w:type="spellEnd"/>
            <w:r w:rsidRPr="5B67C1D2">
              <w:rPr>
                <w:i/>
                <w:iCs/>
                <w:sz w:val="20"/>
                <w:szCs w:val="20"/>
              </w:rPr>
              <w:t xml:space="preserve"> of Happiness</w:t>
            </w:r>
            <w:r w:rsidRPr="002E1ECA">
              <w:rPr>
                <w:sz w:val="20"/>
                <w:szCs w:val="20"/>
              </w:rPr>
              <w:t xml:space="preserve"> und dienen daher der Untersuchung. </w:t>
            </w:r>
            <w:r w:rsidRPr="002E1ECA">
              <w:rPr>
                <w:sz w:val="20"/>
                <w:szCs w:val="20"/>
                <w:lang w:val="en-US"/>
              </w:rPr>
              <w:t xml:space="preserve">Denn </w:t>
            </w:r>
            <w:proofErr w:type="spellStart"/>
            <w:r w:rsidRPr="002E1ECA">
              <w:rPr>
                <w:sz w:val="20"/>
                <w:szCs w:val="20"/>
                <w:lang w:val="en-US"/>
              </w:rPr>
              <w:t>beide</w:t>
            </w:r>
            <w:proofErr w:type="spellEnd"/>
            <w:r w:rsidRPr="002E1ECA">
              <w:rPr>
                <w:sz w:val="20"/>
                <w:szCs w:val="20"/>
                <w:lang w:val="en-US"/>
              </w:rPr>
              <w:t xml:space="preserve"> Richter </w:t>
            </w:r>
            <w:proofErr w:type="spellStart"/>
            <w:r w:rsidRPr="002E1ECA">
              <w:rPr>
                <w:sz w:val="20"/>
                <w:szCs w:val="20"/>
                <w:lang w:val="en-US"/>
              </w:rPr>
              <w:t>erklär</w:t>
            </w:r>
            <w:r>
              <w:rPr>
                <w:sz w:val="20"/>
                <w:szCs w:val="20"/>
                <w:lang w:val="en-US"/>
              </w:rPr>
              <w:t>t</w:t>
            </w:r>
            <w:r w:rsidRPr="002E1ECA">
              <w:rPr>
                <w:sz w:val="20"/>
                <w:szCs w:val="20"/>
                <w:lang w:val="en-US"/>
              </w:rPr>
              <w:t>en</w:t>
            </w:r>
            <w:proofErr w:type="spellEnd"/>
            <w:r w:rsidRPr="002E1ECA">
              <w:rPr>
                <w:sz w:val="20"/>
                <w:szCs w:val="20"/>
                <w:lang w:val="en-US"/>
              </w:rPr>
              <w:t xml:space="preserve">, </w:t>
            </w:r>
            <w:proofErr w:type="spellStart"/>
            <w:r w:rsidRPr="002E1ECA">
              <w:rPr>
                <w:sz w:val="20"/>
                <w:szCs w:val="20"/>
                <w:lang w:val="en-US"/>
              </w:rPr>
              <w:t>wie</w:t>
            </w:r>
            <w:proofErr w:type="spellEnd"/>
            <w:r w:rsidRPr="002E1ECA">
              <w:rPr>
                <w:sz w:val="20"/>
                <w:szCs w:val="20"/>
                <w:lang w:val="en-US"/>
              </w:rPr>
              <w:t xml:space="preserve"> der </w:t>
            </w:r>
            <w:r>
              <w:rPr>
                <w:sz w:val="20"/>
                <w:szCs w:val="20"/>
                <w:lang w:val="en-US"/>
              </w:rPr>
              <w:t>U.S. Supreme Court</w:t>
            </w:r>
            <w:r w:rsidRPr="002E1ECA">
              <w:rPr>
                <w:sz w:val="20"/>
                <w:szCs w:val="20"/>
                <w:lang w:val="en-US"/>
              </w:rPr>
              <w:t xml:space="preserve"> die </w:t>
            </w:r>
            <w:r w:rsidRPr="5B67C1D2">
              <w:rPr>
                <w:i/>
                <w:iCs/>
                <w:sz w:val="20"/>
                <w:szCs w:val="20"/>
                <w:lang w:val="en-US"/>
              </w:rPr>
              <w:t>Due Process Clause</w:t>
            </w:r>
            <w:r w:rsidRPr="002E1ECA">
              <w:rPr>
                <w:sz w:val="20"/>
                <w:szCs w:val="20"/>
                <w:lang w:val="en-US"/>
              </w:rPr>
              <w:t xml:space="preserve"> </w:t>
            </w:r>
            <w:proofErr w:type="spellStart"/>
            <w:r w:rsidRPr="002E1ECA">
              <w:rPr>
                <w:sz w:val="20"/>
                <w:szCs w:val="20"/>
                <w:lang w:val="en-US"/>
              </w:rPr>
              <w:t>verstehe</w:t>
            </w:r>
            <w:proofErr w:type="spellEnd"/>
            <w:r w:rsidRPr="002E1ECA">
              <w:rPr>
                <w:sz w:val="20"/>
                <w:szCs w:val="20"/>
                <w:lang w:val="en-US"/>
              </w:rPr>
              <w:t xml:space="preserve">, </w:t>
            </w:r>
            <w:proofErr w:type="spellStart"/>
            <w:r w:rsidRPr="002E1ECA">
              <w:rPr>
                <w:sz w:val="20"/>
                <w:szCs w:val="20"/>
                <w:lang w:val="en-US"/>
              </w:rPr>
              <w:t>nämlich</w:t>
            </w:r>
            <w:proofErr w:type="spellEnd"/>
            <w:r w:rsidRPr="002E1ECA">
              <w:rPr>
                <w:sz w:val="20"/>
                <w:szCs w:val="20"/>
                <w:lang w:val="en-US"/>
              </w:rPr>
              <w:t xml:space="preserve">: „The Fourteenth Amendment expressly allows States to deprive their citizens </w:t>
            </w:r>
            <w:proofErr w:type="gramStart"/>
            <w:r w:rsidRPr="002E1ECA">
              <w:rPr>
                <w:sz w:val="20"/>
                <w:szCs w:val="20"/>
                <w:lang w:val="en-US"/>
              </w:rPr>
              <w:t xml:space="preserve">of </w:t>
            </w:r>
            <w:r>
              <w:rPr>
                <w:sz w:val="20"/>
                <w:szCs w:val="20"/>
                <w:lang w:val="en-US"/>
              </w:rPr>
              <w:t>,</w:t>
            </w:r>
            <w:r w:rsidRPr="002E1ECA">
              <w:rPr>
                <w:sz w:val="20"/>
                <w:szCs w:val="20"/>
                <w:lang w:val="en-US"/>
              </w:rPr>
              <w:t>liberty</w:t>
            </w:r>
            <w:proofErr w:type="gramEnd"/>
            <w:r>
              <w:rPr>
                <w:sz w:val="20"/>
                <w:szCs w:val="20"/>
                <w:lang w:val="en-US"/>
              </w:rPr>
              <w:t>‘</w:t>
            </w:r>
            <w:r w:rsidRPr="002E1ECA">
              <w:rPr>
                <w:sz w:val="20"/>
                <w:szCs w:val="20"/>
                <w:lang w:val="en-US"/>
              </w:rPr>
              <w:t xml:space="preserve">, so long </w:t>
            </w:r>
            <w:proofErr w:type="gramStart"/>
            <w:r w:rsidRPr="002E1ECA">
              <w:rPr>
                <w:sz w:val="20"/>
                <w:szCs w:val="20"/>
                <w:lang w:val="en-US"/>
              </w:rPr>
              <w:t xml:space="preserve">as </w:t>
            </w:r>
            <w:r>
              <w:rPr>
                <w:sz w:val="20"/>
                <w:szCs w:val="20"/>
                <w:lang w:val="en-US"/>
              </w:rPr>
              <w:t>,</w:t>
            </w:r>
            <w:r w:rsidRPr="002E1ECA">
              <w:rPr>
                <w:sz w:val="20"/>
                <w:szCs w:val="20"/>
                <w:lang w:val="en-US"/>
              </w:rPr>
              <w:t>due</w:t>
            </w:r>
            <w:proofErr w:type="gramEnd"/>
            <w:r w:rsidRPr="002E1ECA">
              <w:rPr>
                <w:sz w:val="20"/>
                <w:szCs w:val="20"/>
                <w:lang w:val="en-US"/>
              </w:rPr>
              <w:t xml:space="preserve"> process of </w:t>
            </w:r>
            <w:proofErr w:type="gramStart"/>
            <w:r w:rsidRPr="002E1ECA">
              <w:rPr>
                <w:sz w:val="20"/>
                <w:szCs w:val="20"/>
                <w:lang w:val="en-US"/>
              </w:rPr>
              <w:t>law</w:t>
            </w:r>
            <w:r>
              <w:rPr>
                <w:sz w:val="20"/>
                <w:szCs w:val="20"/>
                <w:lang w:val="en-US"/>
              </w:rPr>
              <w:t>‘</w:t>
            </w:r>
            <w:r w:rsidRPr="002E1ECA">
              <w:rPr>
                <w:sz w:val="20"/>
                <w:szCs w:val="20"/>
                <w:lang w:val="en-US"/>
              </w:rPr>
              <w:t xml:space="preserve"> is</w:t>
            </w:r>
            <w:proofErr w:type="gramEnd"/>
            <w:r w:rsidRPr="002E1ECA">
              <w:rPr>
                <w:sz w:val="20"/>
                <w:szCs w:val="20"/>
                <w:lang w:val="en-US"/>
              </w:rPr>
              <w:t xml:space="preserve"> provided</w:t>
            </w:r>
            <w:r>
              <w:rPr>
                <w:sz w:val="20"/>
                <w:szCs w:val="20"/>
                <w:lang w:val="en-US"/>
              </w:rPr>
              <w:t>.</w:t>
            </w:r>
            <w:r w:rsidRPr="00B45592">
              <w:rPr>
                <w:sz w:val="20"/>
                <w:szCs w:val="20"/>
                <w:lang w:val="en-US"/>
              </w:rPr>
              <w:t>”</w:t>
            </w:r>
            <w:r w:rsidRPr="00B45592">
              <w:rPr>
                <w:sz w:val="20"/>
                <w:szCs w:val="20"/>
                <w:vertAlign w:val="superscript"/>
                <w:lang w:val="en-US"/>
              </w:rPr>
              <w:footnoteReference w:id="1071"/>
            </w:r>
            <w:r w:rsidRPr="002E1ECA">
              <w:rPr>
                <w:sz w:val="20"/>
                <w:szCs w:val="20"/>
                <w:lang w:val="en-US"/>
              </w:rPr>
              <w:t xml:space="preserve"> </w:t>
            </w:r>
            <w:r w:rsidRPr="002E1ECA">
              <w:rPr>
                <w:sz w:val="20"/>
                <w:szCs w:val="20"/>
              </w:rPr>
              <w:t>M</w:t>
            </w:r>
            <w:r>
              <w:rPr>
                <w:sz w:val="20"/>
                <w:szCs w:val="20"/>
              </w:rPr>
              <w:t>it anderen Worten:</w:t>
            </w:r>
            <w:r w:rsidRPr="002E1ECA">
              <w:rPr>
                <w:sz w:val="20"/>
                <w:szCs w:val="20"/>
              </w:rPr>
              <w:t xml:space="preserve"> Die Freiheit </w:t>
            </w:r>
            <w:r>
              <w:rPr>
                <w:sz w:val="20"/>
                <w:szCs w:val="20"/>
              </w:rPr>
              <w:t>könne</w:t>
            </w:r>
            <w:r w:rsidRPr="002E1ECA">
              <w:rPr>
                <w:sz w:val="20"/>
                <w:szCs w:val="20"/>
              </w:rPr>
              <w:t xml:space="preserve"> eingeschränkt werden, soweit dies in einem rechtsstaatlichen Verfahren geschehe. Doch die Richter konkretisier</w:t>
            </w:r>
            <w:r>
              <w:rPr>
                <w:sz w:val="20"/>
                <w:szCs w:val="20"/>
              </w:rPr>
              <w:t>t</w:t>
            </w:r>
            <w:r w:rsidRPr="002E1ECA">
              <w:rPr>
                <w:sz w:val="20"/>
                <w:szCs w:val="20"/>
              </w:rPr>
              <w:t xml:space="preserve">en weiter: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2E1ECA">
              <w:rPr>
                <w:sz w:val="20"/>
                <w:szCs w:val="20"/>
              </w:rPr>
              <w:t xml:space="preserve"> verbiete</w:t>
            </w:r>
            <w:r>
              <w:rPr>
                <w:sz w:val="20"/>
                <w:szCs w:val="20"/>
              </w:rPr>
              <w:t xml:space="preserve"> es</w:t>
            </w:r>
            <w:r w:rsidRPr="002E1ECA">
              <w:rPr>
                <w:sz w:val="20"/>
                <w:szCs w:val="20"/>
              </w:rPr>
              <w:t>, sog. grundlegende Freiheitsinteressen zu verletzen („</w:t>
            </w:r>
            <w:proofErr w:type="spellStart"/>
            <w:r w:rsidRPr="002E1ECA">
              <w:rPr>
                <w:sz w:val="20"/>
                <w:szCs w:val="20"/>
              </w:rPr>
              <w:t>prohibits</w:t>
            </w:r>
            <w:proofErr w:type="spellEnd"/>
            <w:r w:rsidRPr="002E1ECA">
              <w:rPr>
                <w:sz w:val="20"/>
                <w:szCs w:val="20"/>
              </w:rPr>
              <w:t xml:space="preserve"> States </w:t>
            </w:r>
            <w:proofErr w:type="spellStart"/>
            <w:r w:rsidRPr="002E1ECA">
              <w:rPr>
                <w:sz w:val="20"/>
                <w:szCs w:val="20"/>
              </w:rPr>
              <w:t>from</w:t>
            </w:r>
            <w:proofErr w:type="spellEnd"/>
            <w:r w:rsidRPr="002E1ECA">
              <w:rPr>
                <w:sz w:val="20"/>
                <w:szCs w:val="20"/>
              </w:rPr>
              <w:t xml:space="preserve"> </w:t>
            </w:r>
            <w:proofErr w:type="spellStart"/>
            <w:r w:rsidRPr="002E1ECA">
              <w:rPr>
                <w:sz w:val="20"/>
                <w:szCs w:val="20"/>
              </w:rPr>
              <w:t>infringing</w:t>
            </w:r>
            <w:proofErr w:type="spellEnd"/>
            <w:r w:rsidRPr="002E1ECA">
              <w:rPr>
                <w:sz w:val="20"/>
                <w:szCs w:val="20"/>
              </w:rPr>
              <w:t> fundamental </w:t>
            </w:r>
            <w:proofErr w:type="spellStart"/>
            <w:r w:rsidRPr="002E1ECA">
              <w:rPr>
                <w:sz w:val="20"/>
                <w:szCs w:val="20"/>
              </w:rPr>
              <w:t>liberty</w:t>
            </w:r>
            <w:proofErr w:type="spellEnd"/>
            <w:r w:rsidRPr="002E1ECA">
              <w:rPr>
                <w:sz w:val="20"/>
                <w:szCs w:val="20"/>
              </w:rPr>
              <w:t xml:space="preserve"> </w:t>
            </w:r>
            <w:proofErr w:type="spellStart"/>
            <w:r w:rsidRPr="002E1ECA">
              <w:rPr>
                <w:sz w:val="20"/>
                <w:szCs w:val="20"/>
              </w:rPr>
              <w:t>interests</w:t>
            </w:r>
            <w:proofErr w:type="spellEnd"/>
            <w:r w:rsidRPr="002E1ECA">
              <w:rPr>
                <w:sz w:val="20"/>
                <w:szCs w:val="20"/>
              </w:rPr>
              <w:t>“</w:t>
            </w:r>
            <w:r w:rsidRPr="002E1ECA">
              <w:rPr>
                <w:sz w:val="20"/>
                <w:szCs w:val="20"/>
                <w:vertAlign w:val="superscript"/>
              </w:rPr>
              <w:footnoteReference w:id="1072"/>
            </w:r>
            <w:r w:rsidRPr="002E1ECA">
              <w:rPr>
                <w:sz w:val="20"/>
                <w:szCs w:val="20"/>
              </w:rPr>
              <w:t xml:space="preserve">). Es sei denn, die Einschränkung sei eng bestimmt und diene </w:t>
            </w:r>
            <w:r>
              <w:rPr>
                <w:sz w:val="20"/>
                <w:szCs w:val="20"/>
              </w:rPr>
              <w:t xml:space="preserve">einem </w:t>
            </w:r>
            <w:r w:rsidRPr="002E1ECA">
              <w:rPr>
                <w:sz w:val="20"/>
                <w:szCs w:val="20"/>
              </w:rPr>
              <w:t>zwingende</w:t>
            </w:r>
            <w:r>
              <w:rPr>
                <w:sz w:val="20"/>
                <w:szCs w:val="20"/>
              </w:rPr>
              <w:t>n</w:t>
            </w:r>
            <w:r w:rsidRPr="002E1ECA">
              <w:rPr>
                <w:sz w:val="20"/>
                <w:szCs w:val="20"/>
              </w:rPr>
              <w:t xml:space="preserve"> staatlichen Interesse (sog. „</w:t>
            </w:r>
            <w:proofErr w:type="spellStart"/>
            <w:r w:rsidRPr="002E1ECA">
              <w:rPr>
                <w:sz w:val="20"/>
                <w:szCs w:val="20"/>
              </w:rPr>
              <w:t>heightened</w:t>
            </w:r>
            <w:proofErr w:type="spellEnd"/>
            <w:r w:rsidRPr="002E1ECA">
              <w:rPr>
                <w:sz w:val="20"/>
                <w:szCs w:val="20"/>
              </w:rPr>
              <w:t xml:space="preserve"> </w:t>
            </w:r>
            <w:proofErr w:type="spellStart"/>
            <w:r w:rsidRPr="002E1ECA">
              <w:rPr>
                <w:sz w:val="20"/>
                <w:szCs w:val="20"/>
              </w:rPr>
              <w:t>scrutiny</w:t>
            </w:r>
            <w:proofErr w:type="spellEnd"/>
            <w:r w:rsidRPr="002E1ECA">
              <w:rPr>
                <w:sz w:val="20"/>
                <w:szCs w:val="20"/>
              </w:rPr>
              <w:t>“</w:t>
            </w:r>
            <w:r w:rsidRPr="002E1ECA">
              <w:rPr>
                <w:sz w:val="20"/>
                <w:szCs w:val="20"/>
                <w:vertAlign w:val="superscript"/>
              </w:rPr>
              <w:footnoteReference w:id="1073"/>
            </w:r>
            <w:r w:rsidRPr="002E1ECA">
              <w:rPr>
                <w:sz w:val="20"/>
                <w:szCs w:val="20"/>
              </w:rPr>
              <w:t xml:space="preserve">). Solch grundlegende Freiheitsinteressen bezeichnet der </w:t>
            </w:r>
            <w:r>
              <w:rPr>
                <w:sz w:val="20"/>
                <w:szCs w:val="20"/>
              </w:rPr>
              <w:t>U.S. Supreme Court</w:t>
            </w:r>
            <w:r w:rsidRPr="002E1ECA">
              <w:rPr>
                <w:sz w:val="20"/>
                <w:szCs w:val="20"/>
              </w:rPr>
              <w:t xml:space="preserve"> als „fundamental </w:t>
            </w:r>
            <w:proofErr w:type="spellStart"/>
            <w:r w:rsidRPr="002E1ECA">
              <w:rPr>
                <w:sz w:val="20"/>
                <w:szCs w:val="20"/>
              </w:rPr>
              <w:t>rights</w:t>
            </w:r>
            <w:proofErr w:type="spellEnd"/>
            <w:r w:rsidRPr="00B45592">
              <w:rPr>
                <w:sz w:val="20"/>
                <w:szCs w:val="20"/>
              </w:rPr>
              <w:t>“</w:t>
            </w:r>
            <w:r w:rsidRPr="00B45592">
              <w:rPr>
                <w:sz w:val="20"/>
                <w:szCs w:val="20"/>
                <w:vertAlign w:val="superscript"/>
              </w:rPr>
              <w:footnoteReference w:id="1074"/>
            </w:r>
            <w:r w:rsidRPr="00AA3B76">
              <w:rPr>
                <w:sz w:val="20"/>
                <w:szCs w:val="20"/>
              </w:rPr>
              <w:t>.</w:t>
            </w:r>
            <w:r w:rsidRPr="002E1ECA">
              <w:rPr>
                <w:sz w:val="20"/>
                <w:szCs w:val="20"/>
              </w:rPr>
              <w:t xml:space="preserve"> Sie sind solche, die das Gewohnheitsrecht als wesentlich anerkennt. Doch was bedeutet wesentlich? Wesentlich seien solche Rechte, wenn sie dem Streben nach Glück dien</w:t>
            </w:r>
            <w:r>
              <w:rPr>
                <w:sz w:val="20"/>
                <w:szCs w:val="20"/>
              </w:rPr>
              <w:t>t</w:t>
            </w:r>
            <w:r w:rsidRPr="002E1ECA">
              <w:rPr>
                <w:sz w:val="20"/>
                <w:szCs w:val="20"/>
              </w:rPr>
              <w:t>en („</w:t>
            </w:r>
            <w:proofErr w:type="spellStart"/>
            <w:r w:rsidRPr="002E1ECA">
              <w:rPr>
                <w:sz w:val="20"/>
                <w:szCs w:val="20"/>
              </w:rPr>
              <w:t>orderly</w:t>
            </w:r>
            <w:proofErr w:type="spellEnd"/>
            <w:r w:rsidRPr="002E1ECA">
              <w:rPr>
                <w:sz w:val="20"/>
                <w:szCs w:val="20"/>
              </w:rPr>
              <w:t xml:space="preserve"> </w:t>
            </w:r>
            <w:proofErr w:type="spellStart"/>
            <w:r w:rsidRPr="002E1ECA">
              <w:rPr>
                <w:sz w:val="20"/>
                <w:szCs w:val="20"/>
              </w:rPr>
              <w:t>pursuit</w:t>
            </w:r>
            <w:proofErr w:type="spellEnd"/>
            <w:r w:rsidRPr="002E1ECA">
              <w:rPr>
                <w:sz w:val="20"/>
                <w:szCs w:val="20"/>
              </w:rPr>
              <w:t xml:space="preserve"> of </w:t>
            </w:r>
            <w:proofErr w:type="spellStart"/>
            <w:r w:rsidRPr="002E1ECA">
              <w:rPr>
                <w:sz w:val="20"/>
                <w:szCs w:val="20"/>
              </w:rPr>
              <w:t>happiness</w:t>
            </w:r>
            <w:proofErr w:type="spellEnd"/>
            <w:r w:rsidRPr="002E1ECA">
              <w:rPr>
                <w:sz w:val="20"/>
                <w:szCs w:val="20"/>
              </w:rPr>
              <w:t xml:space="preserve"> by </w:t>
            </w:r>
            <w:proofErr w:type="spellStart"/>
            <w:r w:rsidRPr="002E1ECA">
              <w:rPr>
                <w:sz w:val="20"/>
                <w:szCs w:val="20"/>
              </w:rPr>
              <w:t>free</w:t>
            </w:r>
            <w:proofErr w:type="spellEnd"/>
            <w:r w:rsidRPr="002E1ECA">
              <w:rPr>
                <w:sz w:val="20"/>
                <w:szCs w:val="20"/>
              </w:rPr>
              <w:t xml:space="preserve"> </w:t>
            </w:r>
            <w:proofErr w:type="spellStart"/>
            <w:r w:rsidRPr="002E1ECA">
              <w:rPr>
                <w:sz w:val="20"/>
                <w:szCs w:val="20"/>
              </w:rPr>
              <w:t>men</w:t>
            </w:r>
            <w:proofErr w:type="spellEnd"/>
            <w:r w:rsidRPr="002E1ECA">
              <w:rPr>
                <w:sz w:val="20"/>
                <w:szCs w:val="20"/>
              </w:rPr>
              <w:t>“</w:t>
            </w:r>
            <w:r w:rsidRPr="002E1ECA">
              <w:rPr>
                <w:sz w:val="20"/>
                <w:szCs w:val="20"/>
                <w:vertAlign w:val="superscript"/>
              </w:rPr>
              <w:footnoteReference w:id="1075"/>
            </w:r>
            <w:r w:rsidRPr="002E1ECA">
              <w:rPr>
                <w:sz w:val="20"/>
                <w:szCs w:val="20"/>
              </w:rPr>
              <w:t xml:space="preserv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2E1ECA">
              <w:rPr>
                <w:sz w:val="20"/>
                <w:szCs w:val="20"/>
              </w:rPr>
              <w:t xml:space="preserve"> schützt damit auch diese aus dem </w:t>
            </w:r>
            <w:proofErr w:type="spellStart"/>
            <w:r w:rsidRPr="5B67C1D2">
              <w:rPr>
                <w:i/>
                <w:iCs/>
                <w:sz w:val="20"/>
                <w:szCs w:val="20"/>
              </w:rPr>
              <w:t>pursuit</w:t>
            </w:r>
            <w:proofErr w:type="spellEnd"/>
            <w:r w:rsidRPr="5B67C1D2">
              <w:rPr>
                <w:i/>
                <w:iCs/>
                <w:sz w:val="20"/>
                <w:szCs w:val="20"/>
              </w:rPr>
              <w:t xml:space="preserve"> of Happiness </w:t>
            </w:r>
            <w:r w:rsidRPr="002E1ECA">
              <w:rPr>
                <w:sz w:val="20"/>
                <w:szCs w:val="20"/>
              </w:rPr>
              <w:t>hervorgehenden Rechte.</w:t>
            </w:r>
          </w:p>
          <w:p w14:paraId="2B5E487A" w14:textId="77777777" w:rsidR="00074551" w:rsidRPr="00E50B51" w:rsidRDefault="00074551" w:rsidP="00367133">
            <w:pPr>
              <w:jc w:val="both"/>
              <w:rPr>
                <w:sz w:val="20"/>
                <w:szCs w:val="20"/>
              </w:rPr>
            </w:pPr>
          </w:p>
        </w:tc>
      </w:tr>
      <w:tr w:rsidR="00074551" w:rsidRPr="00E50B51" w14:paraId="0613E087" w14:textId="77777777" w:rsidTr="00BE689F">
        <w:trPr>
          <w:cantSplit/>
          <w:trHeight w:val="3175"/>
        </w:trPr>
        <w:tc>
          <w:tcPr>
            <w:tcW w:w="293" w:type="pct"/>
          </w:tcPr>
          <w:p w14:paraId="727AB12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7EA74D6" w14:textId="77777777" w:rsidR="00074551" w:rsidRPr="00E50B51" w:rsidRDefault="00074551" w:rsidP="00367133">
            <w:pPr>
              <w:ind w:left="113" w:right="416"/>
              <w:jc w:val="both"/>
              <w:rPr>
                <w:sz w:val="20"/>
                <w:szCs w:val="20"/>
              </w:rPr>
            </w:pPr>
            <w:r w:rsidRPr="009E57E1">
              <w:rPr>
                <w:i/>
                <w:sz w:val="20"/>
                <w:szCs w:val="20"/>
              </w:rPr>
              <w:t>Leis v. Flynt</w:t>
            </w:r>
          </w:p>
        </w:tc>
        <w:tc>
          <w:tcPr>
            <w:tcW w:w="197" w:type="pct"/>
            <w:textDirection w:val="tbRl"/>
            <w:vAlign w:val="center"/>
          </w:tcPr>
          <w:p w14:paraId="28912FF4" w14:textId="77777777" w:rsidR="00074551" w:rsidRPr="00E50B51" w:rsidRDefault="00074551" w:rsidP="00367133">
            <w:pPr>
              <w:ind w:left="113" w:right="113"/>
              <w:jc w:val="both"/>
              <w:rPr>
                <w:sz w:val="20"/>
                <w:szCs w:val="20"/>
              </w:rPr>
            </w:pPr>
            <w:r w:rsidRPr="00E50B51">
              <w:rPr>
                <w:sz w:val="20"/>
                <w:szCs w:val="20"/>
                <w:lang w:val="en-US"/>
              </w:rPr>
              <w:t>439 U.S. 438</w:t>
            </w:r>
          </w:p>
        </w:tc>
        <w:tc>
          <w:tcPr>
            <w:tcW w:w="306" w:type="pct"/>
            <w:textDirection w:val="tbRl"/>
            <w:vAlign w:val="center"/>
          </w:tcPr>
          <w:p w14:paraId="64E960EE" w14:textId="77777777" w:rsidR="00074551" w:rsidRPr="00E50B51" w:rsidRDefault="00074551" w:rsidP="00367133">
            <w:pPr>
              <w:ind w:left="113" w:right="113"/>
              <w:jc w:val="both"/>
              <w:rPr>
                <w:sz w:val="20"/>
                <w:szCs w:val="20"/>
              </w:rPr>
            </w:pPr>
            <w:r w:rsidRPr="00E50B51">
              <w:rPr>
                <w:sz w:val="20"/>
                <w:szCs w:val="20"/>
              </w:rPr>
              <w:t>15. Januar 1979</w:t>
            </w:r>
          </w:p>
        </w:tc>
        <w:tc>
          <w:tcPr>
            <w:tcW w:w="401" w:type="pct"/>
          </w:tcPr>
          <w:p w14:paraId="68387AA0" w14:textId="77777777" w:rsidR="00074551" w:rsidRPr="00E50B51" w:rsidRDefault="00074551" w:rsidP="00367133">
            <w:pPr>
              <w:jc w:val="center"/>
              <w:rPr>
                <w:sz w:val="20"/>
                <w:szCs w:val="20"/>
              </w:rPr>
            </w:pPr>
            <w:r w:rsidRPr="00E50B51">
              <w:rPr>
                <w:sz w:val="20"/>
                <w:szCs w:val="20"/>
              </w:rPr>
              <w:t>D</w:t>
            </w:r>
          </w:p>
        </w:tc>
        <w:tc>
          <w:tcPr>
            <w:tcW w:w="1594" w:type="pct"/>
          </w:tcPr>
          <w:p w14:paraId="59C5491B" w14:textId="11BC535D" w:rsidR="00074551" w:rsidRPr="00A84FA9" w:rsidRDefault="00074551" w:rsidP="00367133">
            <w:pPr>
              <w:jc w:val="both"/>
              <w:rPr>
                <w:sz w:val="14"/>
                <w:szCs w:val="14"/>
              </w:rPr>
            </w:pPr>
            <w:r w:rsidRPr="00E50B51">
              <w:rPr>
                <w:sz w:val="20"/>
                <w:szCs w:val="20"/>
              </w:rPr>
              <w:t xml:space="preserve">Im Fall entschied der </w:t>
            </w:r>
            <w:r>
              <w:rPr>
                <w:sz w:val="20"/>
                <w:szCs w:val="20"/>
              </w:rPr>
              <w:t>U.S. Supreme Court</w:t>
            </w:r>
            <w:r w:rsidRPr="00E50B51">
              <w:rPr>
                <w:sz w:val="20"/>
                <w:szCs w:val="20"/>
              </w:rPr>
              <w:t>, dass das Recht eines in einem Bundesstaat zugelassenen Anwalts vor dem Gericht eines anderen Bundesstaats aufzutreten („out-of-</w:t>
            </w:r>
            <w:proofErr w:type="spellStart"/>
            <w:r w:rsidRPr="00E50B51">
              <w:rPr>
                <w:sz w:val="20"/>
                <w:szCs w:val="20"/>
              </w:rPr>
              <w:t>state</w:t>
            </w:r>
            <w:proofErr w:type="spellEnd"/>
            <w:r w:rsidRPr="00E50B51">
              <w:rPr>
                <w:sz w:val="20"/>
                <w:szCs w:val="20"/>
              </w:rPr>
              <w:t xml:space="preserve"> </w:t>
            </w:r>
            <w:proofErr w:type="spellStart"/>
            <w:r w:rsidRPr="00E50B51">
              <w:rPr>
                <w:sz w:val="20"/>
                <w:szCs w:val="20"/>
              </w:rPr>
              <w:t>practice</w:t>
            </w:r>
            <w:proofErr w:type="spellEnd"/>
            <w:r w:rsidRPr="00E50B51">
              <w:rPr>
                <w:sz w:val="20"/>
                <w:szCs w:val="20"/>
              </w:rPr>
              <w:t>“</w:t>
            </w:r>
            <w:r w:rsidRPr="5B67C1D2">
              <w:rPr>
                <w:rStyle w:val="Funotenzeichen"/>
                <w:rFonts w:eastAsiaTheme="majorEastAsia"/>
                <w:sz w:val="20"/>
                <w:szCs w:val="20"/>
              </w:rPr>
              <w:footnoteReference w:id="1076"/>
            </w:r>
            <w:r w:rsidRPr="00E50B51">
              <w:rPr>
                <w:sz w:val="20"/>
                <w:szCs w:val="20"/>
              </w:rPr>
              <w:t xml:space="preserve">), keinen Anspruch darstelle, den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schütze. Zunächst wurden eine Zeitschrift und ein Verleger angeklagt, weil sie jugendgefährdendes Material verbreitet hatten, was gegen</w:t>
            </w:r>
            <w:r>
              <w:rPr>
                <w:sz w:val="20"/>
                <w:szCs w:val="20"/>
              </w:rPr>
              <w:t xml:space="preserve"> den</w:t>
            </w:r>
            <w:r w:rsidRPr="00E50B51">
              <w:rPr>
                <w:sz w:val="20"/>
                <w:szCs w:val="20"/>
              </w:rPr>
              <w:t xml:space="preserve"> Ohio Rev. Code </w:t>
            </w:r>
            <w:r w:rsidRPr="00A84FA9">
              <w:rPr>
                <w:sz w:val="20"/>
                <w:szCs w:val="20"/>
              </w:rPr>
              <w:t xml:space="preserve">Ann. </w:t>
            </w:r>
            <w:r>
              <w:rPr>
                <w:sz w:val="20"/>
                <w:szCs w:val="20"/>
              </w:rPr>
              <w:t>§ </w:t>
            </w:r>
            <w:r w:rsidRPr="00A84FA9">
              <w:rPr>
                <w:sz w:val="20"/>
                <w:szCs w:val="20"/>
              </w:rPr>
              <w:t>2907.31 (1975)</w:t>
            </w:r>
            <w:r w:rsidRPr="00A84FA9">
              <w:rPr>
                <w:rStyle w:val="Funotenzeichen"/>
                <w:sz w:val="20"/>
                <w:szCs w:val="20"/>
              </w:rPr>
              <w:footnoteReference w:id="1077"/>
            </w:r>
            <w:r w:rsidRPr="00A84FA9">
              <w:rPr>
                <w:sz w:val="20"/>
                <w:szCs w:val="20"/>
              </w:rPr>
              <w:t xml:space="preserve"> verstoße. Ihre nicht in Ohio zugelassen</w:t>
            </w:r>
            <w:r>
              <w:rPr>
                <w:sz w:val="20"/>
                <w:szCs w:val="20"/>
              </w:rPr>
              <w:t>en</w:t>
            </w:r>
            <w:r w:rsidRPr="00A84FA9">
              <w:rPr>
                <w:sz w:val="20"/>
                <w:szCs w:val="20"/>
              </w:rPr>
              <w:t xml:space="preserve"> Anwälte (vgl. Ohio Rev. Code Ann. </w:t>
            </w:r>
            <w:r>
              <w:rPr>
                <w:sz w:val="20"/>
                <w:szCs w:val="20"/>
              </w:rPr>
              <w:t>§ </w:t>
            </w:r>
            <w:r w:rsidRPr="00A84FA9">
              <w:rPr>
                <w:sz w:val="20"/>
                <w:szCs w:val="20"/>
              </w:rPr>
              <w:t>4705.01, 1977)</w:t>
            </w:r>
            <w:r w:rsidRPr="00A84FA9">
              <w:rPr>
                <w:rStyle w:val="Funotenzeichen"/>
                <w:sz w:val="20"/>
                <w:szCs w:val="20"/>
              </w:rPr>
              <w:footnoteReference w:id="1078"/>
            </w:r>
            <w:r w:rsidRPr="00A84FA9">
              <w:rPr>
                <w:sz w:val="20"/>
                <w:szCs w:val="20"/>
              </w:rPr>
              <w:t xml:space="preserve"> beantragten, für diesen Fall (sog. „pro </w:t>
            </w:r>
            <w:proofErr w:type="spellStart"/>
            <w:r w:rsidRPr="00A84FA9">
              <w:rPr>
                <w:sz w:val="20"/>
                <w:szCs w:val="20"/>
              </w:rPr>
              <w:t>hac</w:t>
            </w:r>
            <w:proofErr w:type="spellEnd"/>
            <w:r w:rsidRPr="00A84FA9">
              <w:rPr>
                <w:sz w:val="20"/>
                <w:szCs w:val="20"/>
              </w:rPr>
              <w:t xml:space="preserve"> vice“</w:t>
            </w:r>
            <w:r w:rsidRPr="00A84FA9">
              <w:rPr>
                <w:rStyle w:val="Funotenzeichen"/>
                <w:sz w:val="20"/>
                <w:szCs w:val="20"/>
              </w:rPr>
              <w:footnoteReference w:id="1079"/>
            </w:r>
            <w:r w:rsidRPr="00A84FA9">
              <w:rPr>
                <w:sz w:val="20"/>
                <w:szCs w:val="20"/>
              </w:rPr>
              <w:t xml:space="preserve">) die Beklagten auch in Ohio vertreten zu dürfen. Die erste Instanz lehnte den Antrag ab. Daher beantragten die Anwälte der Beklagten eine einstweilige Verfügung, nicht zu entscheiden, bis das Gericht und die Staatsanwaltschaft die ortsfremden Anwälte zum Antrag zumindest angehört hatte – auch um die weitere Strafverfolgung der Beklagten aufzuschieben. Das Bezirksgericht gewährte die einstweilige Verfügung. Das Berufungsgericht bestätigte. Es entschied, dass das Interesse der Anwälte, die Beklagten zu vertreten, geschützt sei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4FA9">
              <w:rPr>
                <w:sz w:val="20"/>
                <w:szCs w:val="20"/>
              </w:rPr>
              <w:t xml:space="preserve"> Indes hob der </w:t>
            </w:r>
            <w:r>
              <w:rPr>
                <w:sz w:val="20"/>
                <w:szCs w:val="20"/>
              </w:rPr>
              <w:t>U.S. Supreme Court</w:t>
            </w:r>
            <w:r w:rsidRPr="00A84FA9">
              <w:rPr>
                <w:sz w:val="20"/>
                <w:szCs w:val="20"/>
              </w:rPr>
              <w:t xml:space="preserve"> das Urteil auf, das die einstweilige Verfügung noch gewährt hatte. Er begründete: Den Anwälten der Beklagten komme kein Eigentumsinteresse zu aus XIV </w:t>
            </w:r>
            <w:r>
              <w:rPr>
                <w:sz w:val="20"/>
                <w:szCs w:val="20"/>
              </w:rPr>
              <w:t>U.S.</w:t>
            </w:r>
            <w:r w:rsidRPr="00A84FA9">
              <w:rPr>
                <w:sz w:val="20"/>
                <w:szCs w:val="20"/>
              </w:rPr>
              <w:t xml:space="preserve"> </w:t>
            </w:r>
            <w:proofErr w:type="spellStart"/>
            <w:r w:rsidRPr="00A84FA9">
              <w:rPr>
                <w:sz w:val="20"/>
                <w:szCs w:val="20"/>
              </w:rPr>
              <w:t>Const</w:t>
            </w:r>
            <w:proofErr w:type="spellEnd"/>
            <w:r w:rsidRPr="00A84FA9">
              <w:rPr>
                <w:sz w:val="20"/>
                <w:szCs w:val="20"/>
              </w:rPr>
              <w:t xml:space="preserve">. Denn die Verfassung und ständige Rechtsprechung </w:t>
            </w:r>
            <w:r>
              <w:rPr>
                <w:sz w:val="20"/>
                <w:szCs w:val="20"/>
              </w:rPr>
              <w:t>schaffen</w:t>
            </w:r>
            <w:r w:rsidRPr="00A84FA9">
              <w:rPr>
                <w:sz w:val="20"/>
                <w:szCs w:val="20"/>
              </w:rPr>
              <w:t xml:space="preserve"> keine Eigentumsinteressen an der anwaltlichen Vertretung in einem anderen Bundesstaat. Zudem dehnen sich die Verfahrensgarantien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4FA9">
              <w:rPr>
                <w:sz w:val="20"/>
                <w:szCs w:val="20"/>
              </w:rPr>
              <w:t xml:space="preserve">, die anwaltliche Vertretung in bestimmten Fällen erfordern können, nur auf Interessen des einfachen Rechts aus. Da hier aber kein Bundes- oder Landesgesetz das Recht von Anwälten regelt, in einem anderen Bundesstaat aufzutreten, könne auch keine Verfahrensgarantie an solch einer Vertretung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4FA9">
              <w:rPr>
                <w:sz w:val="20"/>
                <w:szCs w:val="20"/>
              </w:rPr>
              <w:t xml:space="preserve"> bestehen, so ein Begründungsstrang des </w:t>
            </w:r>
            <w:r>
              <w:rPr>
                <w:sz w:val="20"/>
                <w:szCs w:val="20"/>
              </w:rPr>
              <w:t>U.S. Supreme Court</w:t>
            </w:r>
            <w:r w:rsidRPr="00A84FA9">
              <w:rPr>
                <w:sz w:val="20"/>
                <w:szCs w:val="20"/>
              </w:rPr>
              <w:t>.</w:t>
            </w:r>
            <w:r w:rsidRPr="00A84FA9">
              <w:rPr>
                <w:rStyle w:val="Funotenzeichen"/>
                <w:sz w:val="20"/>
                <w:szCs w:val="20"/>
              </w:rPr>
              <w:t xml:space="preserve"> </w:t>
            </w:r>
            <w:r w:rsidRPr="00A84FA9">
              <w:rPr>
                <w:rStyle w:val="Funotenzeichen"/>
                <w:sz w:val="20"/>
                <w:szCs w:val="20"/>
              </w:rPr>
              <w:footnoteReference w:id="1080"/>
            </w:r>
          </w:p>
          <w:p w14:paraId="009269C1" w14:textId="77777777" w:rsidR="00074551" w:rsidRPr="00E50B51" w:rsidRDefault="00074551" w:rsidP="00367133">
            <w:pPr>
              <w:jc w:val="both"/>
              <w:rPr>
                <w:sz w:val="20"/>
                <w:szCs w:val="20"/>
              </w:rPr>
            </w:pPr>
          </w:p>
        </w:tc>
        <w:tc>
          <w:tcPr>
            <w:tcW w:w="1822" w:type="pct"/>
          </w:tcPr>
          <w:p w14:paraId="0BEFB588" w14:textId="58095D4B" w:rsidR="00074551" w:rsidRPr="00E50B51" w:rsidRDefault="00074551" w:rsidP="00367133">
            <w:pPr>
              <w:jc w:val="both"/>
              <w:rPr>
                <w:sz w:val="20"/>
                <w:szCs w:val="20"/>
              </w:rPr>
            </w:pPr>
            <w:r w:rsidRPr="00AA3EDF">
              <w:rPr>
                <w:sz w:val="20"/>
                <w:szCs w:val="20"/>
              </w:rPr>
              <w:t xml:space="preserve">Der </w:t>
            </w:r>
            <w:r>
              <w:rPr>
                <w:sz w:val="20"/>
                <w:szCs w:val="20"/>
              </w:rPr>
              <w:t>U.S. Supreme Court</w:t>
            </w:r>
            <w:r w:rsidRPr="00AA3EDF">
              <w:rPr>
                <w:sz w:val="20"/>
                <w:szCs w:val="20"/>
              </w:rPr>
              <w:t xml:space="preserve"> urteilte, dass das Recht eines Anwalts aus einem Bundesstaat, vor einem Gericht </w:t>
            </w:r>
            <w:r w:rsidRPr="00A84FA9">
              <w:rPr>
                <w:sz w:val="20"/>
                <w:szCs w:val="20"/>
              </w:rPr>
              <w:t xml:space="preserve">eines anderen Bundesstaats </w:t>
            </w:r>
            <w:r w:rsidRPr="00AA3EDF">
              <w:rPr>
                <w:sz w:val="20"/>
                <w:szCs w:val="20"/>
              </w:rPr>
              <w:t xml:space="preserve">aufzutreten (sog. „pro </w:t>
            </w:r>
            <w:proofErr w:type="spellStart"/>
            <w:r w:rsidRPr="00AA3EDF">
              <w:rPr>
                <w:sz w:val="20"/>
                <w:szCs w:val="20"/>
              </w:rPr>
              <w:t>hac</w:t>
            </w:r>
            <w:proofErr w:type="spellEnd"/>
            <w:r w:rsidRPr="00AA3EDF">
              <w:rPr>
                <w:sz w:val="20"/>
                <w:szCs w:val="20"/>
              </w:rPr>
              <w:t xml:space="preserve"> vice“</w:t>
            </w:r>
            <w:r w:rsidRPr="00AA3EDF">
              <w:rPr>
                <w:sz w:val="20"/>
                <w:szCs w:val="20"/>
                <w:vertAlign w:val="superscript"/>
              </w:rPr>
              <w:footnoteReference w:id="1081"/>
            </w:r>
            <w:r w:rsidRPr="00AA3EDF">
              <w:rPr>
                <w:sz w:val="20"/>
                <w:szCs w:val="20"/>
              </w:rPr>
              <w:t xml:space="preserve">), kein durch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i/>
                <w:iCs/>
                <w:sz w:val="20"/>
                <w:szCs w:val="20"/>
              </w:rPr>
              <w:t xml:space="preserve"> </w:t>
            </w:r>
            <w:r w:rsidRPr="00AA3EDF">
              <w:rPr>
                <w:sz w:val="20"/>
                <w:szCs w:val="20"/>
              </w:rPr>
              <w:t xml:space="preserve">geschütztes Interesse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A3EDF">
              <w:rPr>
                <w:sz w:val="20"/>
                <w:szCs w:val="20"/>
              </w:rPr>
              <w:t xml:space="preserve"> sei. In der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AA3EDF">
              <w:rPr>
                <w:sz w:val="20"/>
                <w:szCs w:val="20"/>
              </w:rPr>
              <w:t xml:space="preserve"> beschreiben die Richter </w:t>
            </w:r>
            <w:r w:rsidRPr="5B67C1D2">
              <w:rPr>
                <w:i/>
                <w:iCs/>
                <w:sz w:val="20"/>
                <w:szCs w:val="20"/>
              </w:rPr>
              <w:t>Stevens</w:t>
            </w:r>
            <w:r w:rsidRPr="00AA3EDF">
              <w:rPr>
                <w:sz w:val="20"/>
                <w:szCs w:val="20"/>
              </w:rPr>
              <w:t xml:space="preserve">, </w:t>
            </w:r>
            <w:r w:rsidRPr="5B67C1D2">
              <w:rPr>
                <w:i/>
                <w:iCs/>
                <w:sz w:val="20"/>
                <w:szCs w:val="20"/>
              </w:rPr>
              <w:t>Brennan</w:t>
            </w:r>
            <w:r w:rsidRPr="00AA3EDF">
              <w:rPr>
                <w:sz w:val="20"/>
                <w:szCs w:val="20"/>
              </w:rPr>
              <w:t xml:space="preserve"> und </w:t>
            </w:r>
            <w:r w:rsidRPr="5B67C1D2">
              <w:rPr>
                <w:i/>
                <w:iCs/>
                <w:sz w:val="20"/>
                <w:szCs w:val="20"/>
              </w:rPr>
              <w:t>Marshall</w:t>
            </w:r>
            <w:r w:rsidRPr="00AA3EDF">
              <w:rPr>
                <w:sz w:val="20"/>
                <w:szCs w:val="20"/>
              </w:rPr>
              <w:t xml:space="preserve"> den Begriff des Strebens nach Glück. Sie meinen, in einer freiheitlichen Verfassung </w:t>
            </w:r>
            <w:r>
              <w:rPr>
                <w:sz w:val="20"/>
                <w:szCs w:val="20"/>
              </w:rPr>
              <w:t>müsse</w:t>
            </w:r>
            <w:r w:rsidRPr="00AA3EDF">
              <w:rPr>
                <w:sz w:val="20"/>
                <w:szCs w:val="20"/>
              </w:rPr>
              <w:t xml:space="preserve"> der Begriff der Freiheit weit verstanden werden.</w:t>
            </w:r>
            <w:r w:rsidRPr="00AA3EDF">
              <w:rPr>
                <w:sz w:val="20"/>
                <w:szCs w:val="20"/>
                <w:vertAlign w:val="superscript"/>
              </w:rPr>
              <w:footnoteReference w:id="1082"/>
            </w:r>
            <w:r w:rsidRPr="00AA3EDF">
              <w:rPr>
                <w:sz w:val="20"/>
                <w:szCs w:val="20"/>
              </w:rPr>
              <w:t xml:space="preserve"> Die Grenzen der Freiheit schütz</w:t>
            </w:r>
            <w:r>
              <w:rPr>
                <w:sz w:val="20"/>
                <w:szCs w:val="20"/>
              </w:rPr>
              <w:t>e</w:t>
            </w:r>
            <w:r w:rsidRPr="00AA3EDF">
              <w:rPr>
                <w:sz w:val="20"/>
                <w:szCs w:val="20"/>
              </w:rPr>
              <w:t xml:space="preserv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A3EDF">
              <w:rPr>
                <w:sz w:val="20"/>
                <w:szCs w:val="20"/>
              </w:rPr>
              <w:t xml:space="preserve"> Dieser Schutz umfass</w:t>
            </w:r>
            <w:r>
              <w:rPr>
                <w:sz w:val="20"/>
                <w:szCs w:val="20"/>
              </w:rPr>
              <w:t>e</w:t>
            </w:r>
            <w:r w:rsidRPr="00AA3EDF">
              <w:rPr>
                <w:sz w:val="20"/>
                <w:szCs w:val="20"/>
              </w:rPr>
              <w:t xml:space="preserve"> die körperliche Unversehrtheit und die Grundrechte der </w:t>
            </w:r>
            <w:r>
              <w:rPr>
                <w:sz w:val="20"/>
                <w:szCs w:val="20"/>
              </w:rPr>
              <w:t>U.S.</w:t>
            </w:r>
            <w:r w:rsidRPr="00AA3EDF">
              <w:rPr>
                <w:sz w:val="20"/>
                <w:szCs w:val="20"/>
              </w:rPr>
              <w:t xml:space="preserve"> </w:t>
            </w:r>
            <w:proofErr w:type="spellStart"/>
            <w:r w:rsidRPr="00AA3EDF">
              <w:rPr>
                <w:sz w:val="20"/>
                <w:szCs w:val="20"/>
              </w:rPr>
              <w:t>Const</w:t>
            </w:r>
            <w:proofErr w:type="spellEnd"/>
            <w:r w:rsidRPr="00AA3EDF">
              <w:rPr>
                <w:sz w:val="20"/>
                <w:szCs w:val="20"/>
              </w:rPr>
              <w:t xml:space="preserve">. </w:t>
            </w:r>
            <w:r w:rsidRPr="00AA3EDF">
              <w:rPr>
                <w:sz w:val="20"/>
                <w:szCs w:val="20"/>
                <w:lang w:val="en-US"/>
              </w:rPr>
              <w:t xml:space="preserve">(„rights conferred by specific provisions of the </w:t>
            </w:r>
            <w:proofErr w:type="gramStart"/>
            <w:r w:rsidRPr="00AA3EDF">
              <w:rPr>
                <w:sz w:val="20"/>
                <w:szCs w:val="20"/>
                <w:lang w:val="en-US"/>
              </w:rPr>
              <w:t>Constitution“</w:t>
            </w:r>
            <w:proofErr w:type="gramEnd"/>
            <w:r w:rsidRPr="00AA3EDF">
              <w:rPr>
                <w:sz w:val="20"/>
                <w:szCs w:val="20"/>
                <w:vertAlign w:val="superscript"/>
              </w:rPr>
              <w:footnoteReference w:id="1083"/>
            </w:r>
            <w:r w:rsidRPr="00AA3EDF">
              <w:rPr>
                <w:sz w:val="20"/>
                <w:szCs w:val="20"/>
                <w:lang w:val="en-US"/>
              </w:rPr>
              <w:t xml:space="preserve">), </w:t>
            </w:r>
            <w:proofErr w:type="spellStart"/>
            <w:r w:rsidRPr="00AA3EDF">
              <w:rPr>
                <w:sz w:val="20"/>
                <w:szCs w:val="20"/>
                <w:lang w:val="en-US"/>
              </w:rPr>
              <w:t>aber</w:t>
            </w:r>
            <w:proofErr w:type="spellEnd"/>
            <w:r w:rsidRPr="00AA3EDF">
              <w:rPr>
                <w:sz w:val="20"/>
                <w:szCs w:val="20"/>
                <w:lang w:val="en-US"/>
              </w:rPr>
              <w:t xml:space="preserve"> </w:t>
            </w:r>
            <w:proofErr w:type="spellStart"/>
            <w:r w:rsidRPr="00AA3EDF">
              <w:rPr>
                <w:sz w:val="20"/>
                <w:szCs w:val="20"/>
                <w:lang w:val="en-US"/>
              </w:rPr>
              <w:t>auch</w:t>
            </w:r>
            <w:proofErr w:type="spellEnd"/>
            <w:r w:rsidRPr="00AA3EDF">
              <w:rPr>
                <w:sz w:val="20"/>
                <w:szCs w:val="20"/>
                <w:lang w:val="en-US"/>
              </w:rPr>
              <w:t xml:space="preserve"> </w:t>
            </w:r>
            <w:r>
              <w:rPr>
                <w:sz w:val="20"/>
                <w:szCs w:val="20"/>
                <w:lang w:val="en-US"/>
              </w:rPr>
              <w:t>C</w:t>
            </w:r>
            <w:r w:rsidRPr="00AA3EDF">
              <w:rPr>
                <w:sz w:val="20"/>
                <w:szCs w:val="20"/>
                <w:lang w:val="en-US"/>
              </w:rPr>
              <w:t>ommon</w:t>
            </w:r>
            <w:r>
              <w:rPr>
                <w:sz w:val="20"/>
                <w:szCs w:val="20"/>
                <w:lang w:val="en-US"/>
              </w:rPr>
              <w:t>-L</w:t>
            </w:r>
            <w:r w:rsidRPr="00AA3EDF">
              <w:rPr>
                <w:sz w:val="20"/>
                <w:szCs w:val="20"/>
                <w:lang w:val="en-US"/>
              </w:rPr>
              <w:t>aw</w:t>
            </w:r>
            <w:r>
              <w:rPr>
                <w:sz w:val="20"/>
                <w:szCs w:val="20"/>
                <w:lang w:val="en-US"/>
              </w:rPr>
              <w:t>-</w:t>
            </w:r>
            <w:proofErr w:type="spellStart"/>
            <w:r w:rsidRPr="00AA3EDF">
              <w:rPr>
                <w:sz w:val="20"/>
                <w:szCs w:val="20"/>
                <w:lang w:val="en-US"/>
              </w:rPr>
              <w:t>Doktrinen</w:t>
            </w:r>
            <w:proofErr w:type="spellEnd"/>
            <w:r w:rsidRPr="00AA3EDF">
              <w:rPr>
                <w:sz w:val="20"/>
                <w:szCs w:val="20"/>
                <w:lang w:val="en-US"/>
              </w:rPr>
              <w:t xml:space="preserve">, </w:t>
            </w:r>
            <w:proofErr w:type="spellStart"/>
            <w:r w:rsidRPr="00AA3EDF">
              <w:rPr>
                <w:sz w:val="20"/>
                <w:szCs w:val="20"/>
                <w:lang w:val="en-US"/>
              </w:rPr>
              <w:t>sog</w:t>
            </w:r>
            <w:proofErr w:type="spellEnd"/>
            <w:r w:rsidRPr="00AA3EDF">
              <w:rPr>
                <w:sz w:val="20"/>
                <w:szCs w:val="20"/>
                <w:lang w:val="en-US"/>
              </w:rPr>
              <w:t xml:space="preserve">. </w:t>
            </w:r>
            <w:r w:rsidRPr="00AA3EDF">
              <w:rPr>
                <w:sz w:val="20"/>
                <w:szCs w:val="20"/>
              </w:rPr>
              <w:t xml:space="preserve">Gewohnheitsrecht, </w:t>
            </w:r>
            <w:r w:rsidRPr="00A84FA9">
              <w:rPr>
                <w:sz w:val="20"/>
                <w:szCs w:val="20"/>
              </w:rPr>
              <w:t xml:space="preserve">doch </w:t>
            </w:r>
            <w:r w:rsidRPr="00AA3EDF">
              <w:rPr>
                <w:sz w:val="20"/>
                <w:szCs w:val="20"/>
              </w:rPr>
              <w:t xml:space="preserve">nur </w:t>
            </w:r>
            <w:r>
              <w:rPr>
                <w:sz w:val="20"/>
                <w:szCs w:val="20"/>
              </w:rPr>
              <w:t>so weit</w:t>
            </w:r>
            <w:r w:rsidRPr="00AA3EDF">
              <w:rPr>
                <w:sz w:val="20"/>
                <w:szCs w:val="20"/>
              </w:rPr>
              <w:t xml:space="preserve"> es wesentlich für das Streben nach Glück</w:t>
            </w:r>
            <w:r w:rsidRPr="00A84FA9">
              <w:rPr>
                <w:sz w:val="20"/>
                <w:szCs w:val="20"/>
              </w:rPr>
              <w:t xml:space="preserve"> sei</w:t>
            </w:r>
            <w:r>
              <w:rPr>
                <w:sz w:val="20"/>
                <w:szCs w:val="20"/>
              </w:rPr>
              <w:t>.</w:t>
            </w:r>
            <w:r w:rsidRPr="00AA3EDF">
              <w:rPr>
                <w:sz w:val="20"/>
                <w:szCs w:val="20"/>
                <w:vertAlign w:val="superscript"/>
              </w:rPr>
              <w:footnoteReference w:id="1084"/>
            </w:r>
            <w:r w:rsidRPr="00AA3EDF">
              <w:rPr>
                <w:sz w:val="20"/>
                <w:szCs w:val="20"/>
              </w:rPr>
              <w:t xml:space="preserve"> Dazu gehör</w:t>
            </w:r>
            <w:r>
              <w:rPr>
                <w:sz w:val="20"/>
                <w:szCs w:val="20"/>
              </w:rPr>
              <w:t>e</w:t>
            </w:r>
            <w:r w:rsidRPr="00AA3EDF">
              <w:rPr>
                <w:sz w:val="20"/>
                <w:szCs w:val="20"/>
              </w:rPr>
              <w:t xml:space="preserve"> die Berufswahl- und Berufsausübungsfreiheit</w:t>
            </w:r>
            <w:r>
              <w:rPr>
                <w:sz w:val="20"/>
                <w:szCs w:val="20"/>
              </w:rPr>
              <w:t>,</w:t>
            </w:r>
            <w:r w:rsidRPr="00AA3EDF">
              <w:rPr>
                <w:sz w:val="20"/>
                <w:szCs w:val="20"/>
                <w:vertAlign w:val="superscript"/>
              </w:rPr>
              <w:footnoteReference w:id="1085"/>
            </w:r>
            <w:r w:rsidRPr="00AA3EDF">
              <w:rPr>
                <w:sz w:val="20"/>
                <w:szCs w:val="20"/>
              </w:rPr>
              <w:t xml:space="preserve"> wie </w:t>
            </w:r>
            <w:r>
              <w:rPr>
                <w:sz w:val="20"/>
                <w:szCs w:val="20"/>
              </w:rPr>
              <w:t>z.B.</w:t>
            </w:r>
            <w:r w:rsidRPr="00AA3EDF">
              <w:rPr>
                <w:sz w:val="20"/>
                <w:szCs w:val="20"/>
              </w:rPr>
              <w:t xml:space="preserve"> juristische Berufe ergreifen und auszuüben können.</w:t>
            </w:r>
            <w:r w:rsidRPr="00AA3EDF">
              <w:rPr>
                <w:sz w:val="20"/>
                <w:szCs w:val="20"/>
                <w:vertAlign w:val="superscript"/>
              </w:rPr>
              <w:footnoteReference w:id="1086"/>
            </w:r>
          </w:p>
        </w:tc>
      </w:tr>
      <w:tr w:rsidR="00074551" w:rsidRPr="002E1085" w14:paraId="162B8995" w14:textId="77777777" w:rsidTr="00BE689F">
        <w:trPr>
          <w:cantSplit/>
          <w:trHeight w:val="3175"/>
        </w:trPr>
        <w:tc>
          <w:tcPr>
            <w:tcW w:w="293" w:type="pct"/>
          </w:tcPr>
          <w:p w14:paraId="439949E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AB54DF1" w14:textId="77777777" w:rsidR="00074551" w:rsidRPr="00E50B51" w:rsidRDefault="00074551" w:rsidP="00367133">
            <w:pPr>
              <w:ind w:left="113" w:right="416"/>
              <w:jc w:val="both"/>
              <w:rPr>
                <w:sz w:val="20"/>
                <w:szCs w:val="20"/>
              </w:rPr>
            </w:pPr>
            <w:r w:rsidRPr="009167A5">
              <w:rPr>
                <w:i/>
                <w:sz w:val="20"/>
                <w:szCs w:val="20"/>
              </w:rPr>
              <w:t>McGowan v. Maryland</w:t>
            </w:r>
          </w:p>
        </w:tc>
        <w:tc>
          <w:tcPr>
            <w:tcW w:w="197" w:type="pct"/>
            <w:textDirection w:val="tbRl"/>
            <w:vAlign w:val="center"/>
          </w:tcPr>
          <w:p w14:paraId="487BF410" w14:textId="77777777" w:rsidR="00074551" w:rsidRPr="00E50B51" w:rsidRDefault="00074551" w:rsidP="00367133">
            <w:pPr>
              <w:ind w:left="113" w:right="113"/>
              <w:jc w:val="both"/>
              <w:rPr>
                <w:sz w:val="20"/>
                <w:szCs w:val="20"/>
              </w:rPr>
            </w:pPr>
            <w:r w:rsidRPr="00E50B51">
              <w:rPr>
                <w:sz w:val="20"/>
                <w:szCs w:val="20"/>
                <w:lang w:val="en-US"/>
              </w:rPr>
              <w:t>366 U.S. 420</w:t>
            </w:r>
          </w:p>
        </w:tc>
        <w:tc>
          <w:tcPr>
            <w:tcW w:w="306" w:type="pct"/>
            <w:textDirection w:val="tbRl"/>
            <w:vAlign w:val="center"/>
          </w:tcPr>
          <w:p w14:paraId="564ED7A9" w14:textId="77777777" w:rsidR="00074551" w:rsidRPr="00E50B51" w:rsidRDefault="00074551" w:rsidP="00367133">
            <w:pPr>
              <w:ind w:left="113" w:right="113"/>
              <w:jc w:val="both"/>
              <w:rPr>
                <w:sz w:val="20"/>
                <w:szCs w:val="20"/>
              </w:rPr>
            </w:pPr>
            <w:r w:rsidRPr="00E50B51">
              <w:rPr>
                <w:sz w:val="20"/>
                <w:szCs w:val="20"/>
              </w:rPr>
              <w:t>29. Mai 1961</w:t>
            </w:r>
          </w:p>
        </w:tc>
        <w:tc>
          <w:tcPr>
            <w:tcW w:w="401" w:type="pct"/>
          </w:tcPr>
          <w:p w14:paraId="29B46409" w14:textId="77777777" w:rsidR="00074551" w:rsidRPr="00E50B51" w:rsidRDefault="00074551" w:rsidP="00367133">
            <w:pPr>
              <w:jc w:val="center"/>
              <w:rPr>
                <w:sz w:val="20"/>
                <w:szCs w:val="20"/>
              </w:rPr>
            </w:pPr>
            <w:r w:rsidRPr="00E50B51">
              <w:rPr>
                <w:sz w:val="20"/>
                <w:szCs w:val="20"/>
              </w:rPr>
              <w:t>D</w:t>
            </w:r>
          </w:p>
        </w:tc>
        <w:tc>
          <w:tcPr>
            <w:tcW w:w="1594" w:type="pct"/>
          </w:tcPr>
          <w:p w14:paraId="086E677E" w14:textId="77777777" w:rsidR="00074551" w:rsidRPr="00E50B51" w:rsidRDefault="00074551" w:rsidP="00367133">
            <w:pPr>
              <w:jc w:val="both"/>
              <w:rPr>
                <w:sz w:val="20"/>
                <w:szCs w:val="20"/>
              </w:rPr>
            </w:pPr>
            <w:r w:rsidRPr="00E50B51">
              <w:rPr>
                <w:sz w:val="20"/>
                <w:szCs w:val="20"/>
              </w:rPr>
              <w:t>*</w:t>
            </w:r>
          </w:p>
        </w:tc>
        <w:tc>
          <w:tcPr>
            <w:tcW w:w="1822" w:type="pct"/>
          </w:tcPr>
          <w:p w14:paraId="0E85056C" w14:textId="2DEF17C8" w:rsidR="00074551" w:rsidRPr="0006068E" w:rsidRDefault="00074551" w:rsidP="00367133">
            <w:pPr>
              <w:jc w:val="both"/>
              <w:rPr>
                <w:sz w:val="20"/>
                <w:szCs w:val="20"/>
                <w:lang w:val="en-US"/>
              </w:rPr>
            </w:pPr>
            <w:r w:rsidRPr="0006068E">
              <w:rPr>
                <w:sz w:val="20"/>
                <w:szCs w:val="20"/>
              </w:rPr>
              <w:t xml:space="preserve">In </w:t>
            </w:r>
            <w:r w:rsidRPr="5B67C1D2">
              <w:rPr>
                <w:i/>
                <w:iCs/>
                <w:sz w:val="20"/>
                <w:szCs w:val="20"/>
              </w:rPr>
              <w:t>McGowan v. Maryland</w:t>
            </w:r>
            <w:r w:rsidRPr="0006068E">
              <w:rPr>
                <w:sz w:val="20"/>
                <w:szCs w:val="20"/>
              </w:rPr>
              <w:t xml:space="preserve"> dehnte der Dissens die freiheitliche Seite des Strebens nach Glück weiter aus: </w:t>
            </w:r>
            <w:r>
              <w:rPr>
                <w:sz w:val="20"/>
                <w:szCs w:val="20"/>
              </w:rPr>
              <w:t>D</w:t>
            </w:r>
            <w:r w:rsidRPr="0006068E">
              <w:rPr>
                <w:sz w:val="20"/>
                <w:szCs w:val="20"/>
              </w:rPr>
              <w:t>ie Religionsfreiheit falle darunter</w:t>
            </w:r>
            <w:r>
              <w:rPr>
                <w:sz w:val="20"/>
                <w:szCs w:val="20"/>
              </w:rPr>
              <w:t>,</w:t>
            </w:r>
            <w:r w:rsidRPr="0006068E">
              <w:rPr>
                <w:sz w:val="20"/>
                <w:szCs w:val="20"/>
              </w:rPr>
              <w:t xml:space="preserve"> und dass der Staat die Entscheidung gewähr</w:t>
            </w:r>
            <w:r>
              <w:rPr>
                <w:sz w:val="20"/>
                <w:szCs w:val="20"/>
              </w:rPr>
              <w:t>en müsse</w:t>
            </w:r>
            <w:r w:rsidRPr="0006068E">
              <w:rPr>
                <w:sz w:val="20"/>
                <w:szCs w:val="20"/>
              </w:rPr>
              <w:t xml:space="preserve">, die Religion an jedem Tag der Woche je nach </w:t>
            </w:r>
            <w:r>
              <w:rPr>
                <w:sz w:val="20"/>
                <w:szCs w:val="20"/>
              </w:rPr>
              <w:t>Glaubensbekenntnis</w:t>
            </w:r>
            <w:r w:rsidRPr="0006068E">
              <w:rPr>
                <w:sz w:val="20"/>
                <w:szCs w:val="20"/>
              </w:rPr>
              <w:t xml:space="preserve"> ausüben zu können. Richter </w:t>
            </w:r>
            <w:r w:rsidRPr="5B67C1D2">
              <w:rPr>
                <w:i/>
                <w:iCs/>
                <w:sz w:val="20"/>
                <w:szCs w:val="20"/>
              </w:rPr>
              <w:t>Douglas</w:t>
            </w:r>
            <w:r w:rsidRPr="0006068E">
              <w:rPr>
                <w:sz w:val="20"/>
                <w:szCs w:val="20"/>
              </w:rPr>
              <w:t xml:space="preserve"> verankerte mit seinem Dissens die Religionsfreiheit im Streben nach Glück. Nach </w:t>
            </w:r>
            <w:r w:rsidRPr="5B67C1D2">
              <w:rPr>
                <w:i/>
                <w:iCs/>
                <w:sz w:val="20"/>
                <w:szCs w:val="20"/>
              </w:rPr>
              <w:t>Douglas</w:t>
            </w:r>
            <w:r w:rsidRPr="0006068E">
              <w:rPr>
                <w:sz w:val="20"/>
                <w:szCs w:val="20"/>
              </w:rPr>
              <w:t xml:space="preserve"> lautet die Fallfrage: Kann ein Staat strafrechtliche Folgen verhängen, wenn Personen am Sonntag arbeiten wollen, weil sie </w:t>
            </w:r>
            <w:r>
              <w:rPr>
                <w:sz w:val="20"/>
                <w:szCs w:val="20"/>
              </w:rPr>
              <w:t>z.B.</w:t>
            </w:r>
            <w:r w:rsidRPr="0006068E">
              <w:rPr>
                <w:sz w:val="20"/>
                <w:szCs w:val="20"/>
              </w:rPr>
              <w:t xml:space="preserve"> an einem anderen Tag Gottesdienst feiern – im Gegensatz zur christlichen Mehrheit? Der Staat könne nicht </w:t>
            </w:r>
            <w:r>
              <w:rPr>
                <w:sz w:val="20"/>
                <w:szCs w:val="20"/>
              </w:rPr>
              <w:t>er</w:t>
            </w:r>
            <w:r w:rsidRPr="0006068E">
              <w:rPr>
                <w:sz w:val="20"/>
                <w:szCs w:val="20"/>
              </w:rPr>
              <w:t xml:space="preserve">zwingen, wann Gottesdienst gefeiert </w:t>
            </w:r>
            <w:r>
              <w:rPr>
                <w:sz w:val="20"/>
                <w:szCs w:val="20"/>
              </w:rPr>
              <w:t>werde</w:t>
            </w:r>
            <w:r w:rsidRPr="0006068E">
              <w:rPr>
                <w:sz w:val="20"/>
                <w:szCs w:val="20"/>
              </w:rPr>
              <w:t xml:space="preserve"> und genauso wenig</w:t>
            </w:r>
            <w:r>
              <w:rPr>
                <w:sz w:val="20"/>
                <w:szCs w:val="20"/>
              </w:rPr>
              <w:t>: w</w:t>
            </w:r>
            <w:r w:rsidRPr="0006068E">
              <w:rPr>
                <w:sz w:val="20"/>
                <w:szCs w:val="20"/>
              </w:rPr>
              <w:t xml:space="preserve">ann dies zu unterlassen sei, so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06068E">
              <w:rPr>
                <w:sz w:val="20"/>
                <w:szCs w:val="20"/>
              </w:rPr>
              <w:t>. Denn es gebe übergesetzliche („</w:t>
            </w:r>
            <w:proofErr w:type="spellStart"/>
            <w:r w:rsidRPr="0006068E">
              <w:rPr>
                <w:sz w:val="20"/>
                <w:szCs w:val="20"/>
              </w:rPr>
              <w:t>authority</w:t>
            </w:r>
            <w:proofErr w:type="spellEnd"/>
            <w:r w:rsidRPr="0006068E">
              <w:rPr>
                <w:sz w:val="20"/>
                <w:szCs w:val="20"/>
              </w:rPr>
              <w:t xml:space="preserve"> </w:t>
            </w:r>
            <w:proofErr w:type="spellStart"/>
            <w:r w:rsidRPr="0006068E">
              <w:rPr>
                <w:sz w:val="20"/>
                <w:szCs w:val="20"/>
              </w:rPr>
              <w:t>higher</w:t>
            </w:r>
            <w:proofErr w:type="spellEnd"/>
            <w:r w:rsidRPr="0006068E">
              <w:rPr>
                <w:sz w:val="20"/>
                <w:szCs w:val="20"/>
              </w:rPr>
              <w:t xml:space="preserve"> </w:t>
            </w:r>
            <w:proofErr w:type="spellStart"/>
            <w:r w:rsidRPr="0006068E">
              <w:rPr>
                <w:sz w:val="20"/>
                <w:szCs w:val="20"/>
              </w:rPr>
              <w:t>than</w:t>
            </w:r>
            <w:proofErr w:type="spellEnd"/>
            <w:r w:rsidRPr="0006068E">
              <w:rPr>
                <w:sz w:val="20"/>
                <w:szCs w:val="20"/>
              </w:rPr>
              <w:t xml:space="preserve"> the </w:t>
            </w:r>
            <w:proofErr w:type="spellStart"/>
            <w:r w:rsidRPr="0006068E">
              <w:rPr>
                <w:sz w:val="20"/>
                <w:szCs w:val="20"/>
              </w:rPr>
              <w:t>authority</w:t>
            </w:r>
            <w:proofErr w:type="spellEnd"/>
            <w:r w:rsidRPr="0006068E">
              <w:rPr>
                <w:sz w:val="20"/>
                <w:szCs w:val="20"/>
              </w:rPr>
              <w:t xml:space="preserve"> of the State“</w:t>
            </w:r>
            <w:r w:rsidRPr="0006068E">
              <w:rPr>
                <w:sz w:val="20"/>
                <w:szCs w:val="20"/>
                <w:vertAlign w:val="superscript"/>
              </w:rPr>
              <w:footnoteReference w:id="1087"/>
            </w:r>
            <w:r w:rsidRPr="0006068E">
              <w:rPr>
                <w:sz w:val="20"/>
                <w:szCs w:val="20"/>
              </w:rPr>
              <w:t xml:space="preserve">) bzw. unveräußerliche Regeln wie das Streben nach Glück. </w:t>
            </w:r>
            <w:proofErr w:type="spellStart"/>
            <w:r w:rsidRPr="0006068E">
              <w:rPr>
                <w:sz w:val="20"/>
                <w:szCs w:val="20"/>
                <w:lang w:val="en-US"/>
              </w:rPr>
              <w:t>Diese</w:t>
            </w:r>
            <w:proofErr w:type="spellEnd"/>
            <w:r w:rsidRPr="0006068E">
              <w:rPr>
                <w:sz w:val="20"/>
                <w:szCs w:val="20"/>
                <w:lang w:val="en-US"/>
              </w:rPr>
              <w:t xml:space="preserve"> </w:t>
            </w:r>
            <w:proofErr w:type="spellStart"/>
            <w:r w:rsidRPr="0006068E">
              <w:rPr>
                <w:sz w:val="20"/>
                <w:szCs w:val="20"/>
                <w:lang w:val="en-US"/>
              </w:rPr>
              <w:t>wurden</w:t>
            </w:r>
            <w:proofErr w:type="spellEnd"/>
            <w:r w:rsidRPr="0006068E">
              <w:rPr>
                <w:sz w:val="20"/>
                <w:szCs w:val="20"/>
                <w:lang w:val="en-US"/>
              </w:rPr>
              <w:t xml:space="preserve"> erst </w:t>
            </w:r>
            <w:proofErr w:type="spellStart"/>
            <w:r w:rsidRPr="0006068E">
              <w:rPr>
                <w:sz w:val="20"/>
                <w:szCs w:val="20"/>
                <w:lang w:val="en-US"/>
              </w:rPr>
              <w:t>durch</w:t>
            </w:r>
            <w:proofErr w:type="spellEnd"/>
            <w:r w:rsidRPr="0006068E">
              <w:rPr>
                <w:sz w:val="20"/>
                <w:szCs w:val="20"/>
                <w:lang w:val="en-US"/>
              </w:rPr>
              <w:t xml:space="preserve"> die </w:t>
            </w:r>
            <w:r>
              <w:rPr>
                <w:sz w:val="20"/>
                <w:szCs w:val="20"/>
                <w:lang w:val="en-US"/>
              </w:rPr>
              <w:t>U.S.</w:t>
            </w:r>
            <w:r w:rsidRPr="0006068E">
              <w:rPr>
                <w:sz w:val="20"/>
                <w:szCs w:val="20"/>
                <w:lang w:val="en-US"/>
              </w:rPr>
              <w:t xml:space="preserve"> Const. und die </w:t>
            </w:r>
            <w:r w:rsidRPr="5B67C1D2">
              <w:rPr>
                <w:i/>
                <w:iCs/>
                <w:sz w:val="20"/>
                <w:szCs w:val="20"/>
                <w:lang w:val="en-US"/>
              </w:rPr>
              <w:t>Bill of Rights</w:t>
            </w:r>
            <w:r w:rsidRPr="0006068E">
              <w:rPr>
                <w:sz w:val="20"/>
                <w:szCs w:val="20"/>
                <w:lang w:val="en-US"/>
              </w:rPr>
              <w:t xml:space="preserve"> </w:t>
            </w:r>
            <w:proofErr w:type="spellStart"/>
            <w:r w:rsidRPr="0006068E">
              <w:rPr>
                <w:sz w:val="20"/>
                <w:szCs w:val="20"/>
                <w:lang w:val="en-US"/>
              </w:rPr>
              <w:t>weiter</w:t>
            </w:r>
            <w:proofErr w:type="spellEnd"/>
            <w:r w:rsidRPr="0006068E">
              <w:rPr>
                <w:sz w:val="20"/>
                <w:szCs w:val="20"/>
                <w:lang w:val="en-US"/>
              </w:rPr>
              <w:t xml:space="preserve"> </w:t>
            </w:r>
            <w:proofErr w:type="spellStart"/>
            <w:r w:rsidRPr="0006068E">
              <w:rPr>
                <w:sz w:val="20"/>
                <w:szCs w:val="20"/>
                <w:lang w:val="en-US"/>
              </w:rPr>
              <w:t>verankert</w:t>
            </w:r>
            <w:proofErr w:type="spellEnd"/>
            <w:r w:rsidRPr="0006068E">
              <w:rPr>
                <w:sz w:val="20"/>
                <w:szCs w:val="20"/>
                <w:lang w:val="en-US"/>
              </w:rPr>
              <w:t xml:space="preserve"> („the body of the Constitution as well as the Bill of Rights enshrined those </w:t>
            </w:r>
            <w:proofErr w:type="gramStart"/>
            <w:r w:rsidRPr="0006068E">
              <w:rPr>
                <w:sz w:val="20"/>
                <w:szCs w:val="20"/>
                <w:lang w:val="en-US"/>
              </w:rPr>
              <w:t>principles“</w:t>
            </w:r>
            <w:proofErr w:type="gramEnd"/>
            <w:r w:rsidRPr="0006068E">
              <w:rPr>
                <w:sz w:val="20"/>
                <w:szCs w:val="20"/>
                <w:vertAlign w:val="superscript"/>
                <w:lang w:val="en-US"/>
              </w:rPr>
              <w:footnoteReference w:id="1088"/>
            </w:r>
            <w:r w:rsidRPr="0006068E">
              <w:rPr>
                <w:sz w:val="20"/>
                <w:szCs w:val="20"/>
                <w:lang w:val="en-US"/>
              </w:rPr>
              <w:t xml:space="preserve">). </w:t>
            </w:r>
            <w:r w:rsidRPr="0006068E">
              <w:rPr>
                <w:sz w:val="20"/>
                <w:szCs w:val="20"/>
              </w:rPr>
              <w:t xml:space="preserve">Eine dieser Verankerungen ist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06068E">
              <w:rPr>
                <w:sz w:val="20"/>
                <w:szCs w:val="20"/>
              </w:rPr>
              <w:t xml:space="preserve">, das durch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06068E">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6068E">
              <w:rPr>
                <w:sz w:val="20"/>
                <w:szCs w:val="20"/>
              </w:rPr>
              <w:t xml:space="preserve"> zusätzlich geschützt sei.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Pr>
                <w:sz w:val="20"/>
                <w:szCs w:val="20"/>
              </w:rPr>
              <w:t xml:space="preserve"> </w:t>
            </w:r>
            <w:r w:rsidRPr="0006068E">
              <w:rPr>
                <w:sz w:val="20"/>
                <w:szCs w:val="20"/>
              </w:rPr>
              <w:t>regelt: Der Kongress darf kein Gesetz erlassen, das die Einrichtung einer Religion betrifft oder die freie Religionsausübung verbiete</w:t>
            </w:r>
            <w:r>
              <w:rPr>
                <w:sz w:val="20"/>
                <w:szCs w:val="20"/>
              </w:rPr>
              <w:t>t</w:t>
            </w:r>
            <w:r w:rsidRPr="0006068E">
              <w:rPr>
                <w:sz w:val="20"/>
                <w:szCs w:val="20"/>
              </w:rPr>
              <w:t xml:space="preserve">. Der Kongress bzw. Staat, so der Dissens, könne daher Religion nicht derart einschränken. Vielmehr müssten Individuen und Gruppen für sich entscheiden, wann </w:t>
            </w:r>
            <w:r>
              <w:rPr>
                <w:sz w:val="20"/>
                <w:szCs w:val="20"/>
              </w:rPr>
              <w:t>z.B.</w:t>
            </w:r>
            <w:r w:rsidRPr="0006068E">
              <w:rPr>
                <w:sz w:val="20"/>
                <w:szCs w:val="20"/>
              </w:rPr>
              <w:t xml:space="preserve"> ein Schließverbot für ihre Arbeitsstätte ergehe.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06068E">
              <w:rPr>
                <w:sz w:val="20"/>
                <w:szCs w:val="20"/>
              </w:rPr>
              <w:t xml:space="preserve"> ließe dies schlicht nicht zu; schließlich schütze es in vierfacher Richtung. Erstens: kein Glaube wird gegenüber einem andere</w:t>
            </w:r>
            <w:r>
              <w:rPr>
                <w:sz w:val="20"/>
                <w:szCs w:val="20"/>
              </w:rPr>
              <w:t>n</w:t>
            </w:r>
            <w:r w:rsidRPr="0006068E">
              <w:rPr>
                <w:sz w:val="20"/>
                <w:szCs w:val="20"/>
              </w:rPr>
              <w:t xml:space="preserve"> bevorzugt; zweitens: niemand darf daran gehindert werden, seine Religion an einem bestimmten Tag zu praktizieren – oder daran gehindert werden, dies zu unterlassen; drittens: der Staat darf niemanden dazu zwingen, eine bestimmte Religion auszuüben; viertens: der Staat </w:t>
            </w:r>
            <w:r>
              <w:rPr>
                <w:sz w:val="20"/>
                <w:szCs w:val="20"/>
              </w:rPr>
              <w:t>kann</w:t>
            </w:r>
            <w:r w:rsidRPr="0006068E">
              <w:rPr>
                <w:sz w:val="20"/>
                <w:szCs w:val="20"/>
              </w:rPr>
              <w:t xml:space="preserve"> niemanden dazu zwingen, sich so zu verhalten, </w:t>
            </w:r>
            <w:r>
              <w:rPr>
                <w:sz w:val="20"/>
                <w:szCs w:val="20"/>
              </w:rPr>
              <w:t xml:space="preserve">dass </w:t>
            </w:r>
            <w:r w:rsidRPr="0006068E">
              <w:rPr>
                <w:sz w:val="20"/>
                <w:szCs w:val="20"/>
              </w:rPr>
              <w:t>die Religionsausübung eines anderen verletz</w:t>
            </w:r>
            <w:r>
              <w:rPr>
                <w:sz w:val="20"/>
                <w:szCs w:val="20"/>
              </w:rPr>
              <w:t>t wird</w:t>
            </w:r>
            <w:r w:rsidRPr="0006068E">
              <w:rPr>
                <w:sz w:val="20"/>
                <w:szCs w:val="20"/>
              </w:rPr>
              <w:t>. In diesem Rahmen dürfe der Staat nur höchst zurückhaltend Religion regeln, also nicht die Freiheit von religiösen Menschen oder eben Atheisten beschränken.</w:t>
            </w:r>
            <w:r w:rsidRPr="0006068E">
              <w:rPr>
                <w:sz w:val="20"/>
                <w:szCs w:val="20"/>
                <w:vertAlign w:val="superscript"/>
              </w:rPr>
              <w:footnoteReference w:id="1089"/>
            </w:r>
            <w:r w:rsidRPr="0006068E">
              <w:rPr>
                <w:sz w:val="20"/>
                <w:szCs w:val="20"/>
              </w:rPr>
              <w:t xml:space="preserve"> Der Grund? </w:t>
            </w:r>
            <w:r>
              <w:rPr>
                <w:sz w:val="20"/>
                <w:szCs w:val="20"/>
              </w:rPr>
              <w:t>D</w:t>
            </w:r>
            <w:r w:rsidRPr="0006068E">
              <w:rPr>
                <w:sz w:val="20"/>
                <w:szCs w:val="20"/>
              </w:rPr>
              <w:t xml:space="preserve">ie Religion sei eine Bedingung für das unveräußerliche Streben nach Glück („The Declaration of Independence </w:t>
            </w:r>
            <w:proofErr w:type="spellStart"/>
            <w:r w:rsidRPr="0006068E">
              <w:rPr>
                <w:sz w:val="20"/>
                <w:szCs w:val="20"/>
              </w:rPr>
              <w:t>stated</w:t>
            </w:r>
            <w:proofErr w:type="spellEnd"/>
            <w:r w:rsidRPr="0006068E">
              <w:rPr>
                <w:sz w:val="20"/>
                <w:szCs w:val="20"/>
              </w:rPr>
              <w:t xml:space="preserve"> the </w:t>
            </w:r>
            <w:proofErr w:type="spellStart"/>
            <w:r w:rsidRPr="0006068E">
              <w:rPr>
                <w:sz w:val="20"/>
                <w:szCs w:val="20"/>
              </w:rPr>
              <w:t>now</w:t>
            </w:r>
            <w:proofErr w:type="spellEnd"/>
            <w:r w:rsidRPr="0006068E">
              <w:rPr>
                <w:sz w:val="20"/>
                <w:szCs w:val="20"/>
              </w:rPr>
              <w:t xml:space="preserve"> </w:t>
            </w:r>
            <w:proofErr w:type="spellStart"/>
            <w:r w:rsidRPr="0006068E">
              <w:rPr>
                <w:sz w:val="20"/>
                <w:szCs w:val="20"/>
              </w:rPr>
              <w:t>familiar</w:t>
            </w:r>
            <w:proofErr w:type="spellEnd"/>
            <w:r w:rsidRPr="0006068E">
              <w:rPr>
                <w:sz w:val="20"/>
                <w:szCs w:val="20"/>
              </w:rPr>
              <w:t xml:space="preserve"> </w:t>
            </w:r>
            <w:proofErr w:type="spellStart"/>
            <w:r w:rsidRPr="0006068E">
              <w:rPr>
                <w:sz w:val="20"/>
                <w:szCs w:val="20"/>
              </w:rPr>
              <w:t>theme</w:t>
            </w:r>
            <w:proofErr w:type="spellEnd"/>
            <w:proofErr w:type="gramStart"/>
            <w:r w:rsidRPr="0006068E">
              <w:rPr>
                <w:sz w:val="20"/>
                <w:szCs w:val="20"/>
              </w:rPr>
              <w:t xml:space="preserve">: </w:t>
            </w:r>
            <w:r>
              <w:rPr>
                <w:sz w:val="20"/>
                <w:szCs w:val="20"/>
              </w:rPr>
              <w:t>,</w:t>
            </w:r>
            <w:proofErr w:type="gramEnd"/>
            <w:r w:rsidRPr="0006068E">
              <w:rPr>
                <w:sz w:val="20"/>
                <w:szCs w:val="20"/>
              </w:rPr>
              <w:t xml:space="preserve">[…] the </w:t>
            </w:r>
            <w:proofErr w:type="spellStart"/>
            <w:r w:rsidRPr="0006068E">
              <w:rPr>
                <w:sz w:val="20"/>
                <w:szCs w:val="20"/>
              </w:rPr>
              <w:t>Pursuit</w:t>
            </w:r>
            <w:proofErr w:type="spellEnd"/>
            <w:r w:rsidRPr="0006068E">
              <w:rPr>
                <w:sz w:val="20"/>
                <w:szCs w:val="20"/>
              </w:rPr>
              <w:t xml:space="preserve"> of Happiness.</w:t>
            </w:r>
            <w:r w:rsidRPr="001B6693">
              <w:rPr>
                <w:sz w:val="20"/>
                <w:szCs w:val="20"/>
              </w:rPr>
              <w:t xml:space="preserve">‘ </w:t>
            </w:r>
            <w:r w:rsidRPr="0006068E">
              <w:rPr>
                <w:sz w:val="20"/>
                <w:szCs w:val="20"/>
                <w:lang w:val="en-US"/>
              </w:rPr>
              <w:t>And the body of the Constitution as well as the Bill of Rights enshrined those principles</w:t>
            </w:r>
            <w:r w:rsidRPr="0006068E">
              <w:rPr>
                <w:sz w:val="20"/>
                <w:szCs w:val="20"/>
                <w:vertAlign w:val="superscript"/>
                <w:lang w:val="en-US"/>
              </w:rPr>
              <w:footnoteReference w:id="1090"/>
            </w:r>
            <w:r w:rsidRPr="0006068E">
              <w:rPr>
                <w:sz w:val="20"/>
                <w:szCs w:val="20"/>
                <w:lang w:val="en-US"/>
              </w:rPr>
              <w:t xml:space="preserve"> […] [And] our constitutional law […] has said: […] We are a religious people whose institutions presuppose a Supreme </w:t>
            </w:r>
            <w:proofErr w:type="gramStart"/>
            <w:r w:rsidRPr="0006068E">
              <w:rPr>
                <w:sz w:val="20"/>
                <w:szCs w:val="20"/>
                <w:lang w:val="en-US"/>
              </w:rPr>
              <w:t>Being</w:t>
            </w:r>
            <w:r>
              <w:rPr>
                <w:sz w:val="20"/>
                <w:szCs w:val="20"/>
                <w:lang w:val="en-US"/>
              </w:rPr>
              <w:t>“</w:t>
            </w:r>
            <w:proofErr w:type="gramEnd"/>
            <w:r w:rsidRPr="0006068E">
              <w:rPr>
                <w:sz w:val="20"/>
                <w:szCs w:val="20"/>
                <w:vertAlign w:val="superscript"/>
                <w:lang w:val="en-US"/>
              </w:rPr>
              <w:footnoteReference w:id="1091"/>
            </w:r>
            <w:r w:rsidRPr="0006068E">
              <w:rPr>
                <w:sz w:val="20"/>
                <w:szCs w:val="20"/>
                <w:lang w:val="en-US"/>
              </w:rPr>
              <w:t>).</w:t>
            </w:r>
          </w:p>
          <w:p w14:paraId="202DC000" w14:textId="77777777" w:rsidR="00074551" w:rsidRPr="00E50B51" w:rsidRDefault="00074551" w:rsidP="00367133">
            <w:pPr>
              <w:jc w:val="both"/>
              <w:rPr>
                <w:sz w:val="20"/>
                <w:szCs w:val="20"/>
                <w:lang w:val="en-US"/>
              </w:rPr>
            </w:pPr>
          </w:p>
        </w:tc>
      </w:tr>
      <w:tr w:rsidR="00074551" w:rsidRPr="00E50B51" w14:paraId="24530A67" w14:textId="77777777" w:rsidTr="00BE689F">
        <w:trPr>
          <w:cantSplit/>
          <w:trHeight w:val="3175"/>
        </w:trPr>
        <w:tc>
          <w:tcPr>
            <w:tcW w:w="293" w:type="pct"/>
          </w:tcPr>
          <w:p w14:paraId="1F49DAD8"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F5D4F68" w14:textId="77777777" w:rsidR="00074551" w:rsidRPr="00E50B51" w:rsidRDefault="00074551" w:rsidP="00367133">
            <w:pPr>
              <w:ind w:left="113" w:right="416"/>
              <w:jc w:val="both"/>
              <w:rPr>
                <w:sz w:val="20"/>
                <w:szCs w:val="20"/>
              </w:rPr>
            </w:pPr>
            <w:r w:rsidRPr="009E57E1">
              <w:rPr>
                <w:i/>
                <w:sz w:val="20"/>
                <w:szCs w:val="20"/>
              </w:rPr>
              <w:t>Moore v. East Cleveland</w:t>
            </w:r>
          </w:p>
        </w:tc>
        <w:tc>
          <w:tcPr>
            <w:tcW w:w="197" w:type="pct"/>
            <w:textDirection w:val="tbRl"/>
            <w:vAlign w:val="center"/>
          </w:tcPr>
          <w:p w14:paraId="69BC38CC" w14:textId="77777777" w:rsidR="00074551" w:rsidRPr="00E50B51" w:rsidRDefault="00074551" w:rsidP="00367133">
            <w:pPr>
              <w:ind w:left="113" w:right="113"/>
              <w:jc w:val="both"/>
              <w:rPr>
                <w:sz w:val="20"/>
                <w:szCs w:val="20"/>
              </w:rPr>
            </w:pPr>
            <w:r w:rsidRPr="00E50B51">
              <w:rPr>
                <w:sz w:val="20"/>
                <w:szCs w:val="20"/>
                <w:lang w:val="en-US"/>
              </w:rPr>
              <w:t>431 U.S. 494</w:t>
            </w:r>
          </w:p>
        </w:tc>
        <w:tc>
          <w:tcPr>
            <w:tcW w:w="306" w:type="pct"/>
            <w:textDirection w:val="tbRl"/>
            <w:vAlign w:val="center"/>
          </w:tcPr>
          <w:p w14:paraId="74DBD93A" w14:textId="77777777" w:rsidR="00074551" w:rsidRPr="00E50B51" w:rsidRDefault="00074551" w:rsidP="00367133">
            <w:pPr>
              <w:ind w:left="113" w:right="113"/>
              <w:jc w:val="both"/>
              <w:rPr>
                <w:sz w:val="20"/>
                <w:szCs w:val="20"/>
              </w:rPr>
            </w:pPr>
            <w:r w:rsidRPr="00E50B51">
              <w:rPr>
                <w:sz w:val="20"/>
                <w:szCs w:val="20"/>
              </w:rPr>
              <w:t>31. Mai 1977</w:t>
            </w:r>
          </w:p>
        </w:tc>
        <w:tc>
          <w:tcPr>
            <w:tcW w:w="401" w:type="pct"/>
          </w:tcPr>
          <w:p w14:paraId="31296E39" w14:textId="77777777" w:rsidR="00074551" w:rsidRPr="00E50B51" w:rsidRDefault="00074551" w:rsidP="00367133">
            <w:pPr>
              <w:jc w:val="center"/>
              <w:rPr>
                <w:sz w:val="20"/>
                <w:szCs w:val="20"/>
              </w:rPr>
            </w:pPr>
            <w:r w:rsidRPr="00E50B51">
              <w:rPr>
                <w:sz w:val="20"/>
                <w:szCs w:val="20"/>
              </w:rPr>
              <w:t>D</w:t>
            </w:r>
          </w:p>
        </w:tc>
        <w:tc>
          <w:tcPr>
            <w:tcW w:w="1594" w:type="pct"/>
          </w:tcPr>
          <w:p w14:paraId="1D76469E" w14:textId="77777777" w:rsidR="00074551" w:rsidRPr="00E50B51" w:rsidRDefault="00074551" w:rsidP="00367133">
            <w:pPr>
              <w:jc w:val="both"/>
              <w:rPr>
                <w:sz w:val="20"/>
                <w:szCs w:val="20"/>
              </w:rPr>
            </w:pPr>
            <w:r w:rsidRPr="00E50B51">
              <w:rPr>
                <w:sz w:val="20"/>
                <w:szCs w:val="20"/>
              </w:rPr>
              <w:t>*</w:t>
            </w:r>
          </w:p>
        </w:tc>
        <w:tc>
          <w:tcPr>
            <w:tcW w:w="1822" w:type="pct"/>
          </w:tcPr>
          <w:p w14:paraId="5D7FE0EE" w14:textId="77777777"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urteilte, Schranken für das materielle Recht erg</w:t>
            </w:r>
            <w:r>
              <w:rPr>
                <w:sz w:val="20"/>
                <w:szCs w:val="20"/>
              </w:rPr>
              <w:t>ä</w:t>
            </w:r>
            <w:r w:rsidRPr="00E50B51">
              <w:rPr>
                <w:sz w:val="20"/>
                <w:szCs w:val="20"/>
              </w:rPr>
              <w:t>ben sich nicht nur aus dem Willkürverbot („</w:t>
            </w:r>
            <w:proofErr w:type="spellStart"/>
            <w:r w:rsidRPr="00E50B51">
              <w:rPr>
                <w:sz w:val="20"/>
                <w:szCs w:val="20"/>
              </w:rPr>
              <w:t>arbitrary</w:t>
            </w:r>
            <w:proofErr w:type="spellEnd"/>
            <w:r w:rsidRPr="00E50B51">
              <w:rPr>
                <w:sz w:val="20"/>
                <w:szCs w:val="20"/>
              </w:rPr>
              <w:t xml:space="preserve"> </w:t>
            </w:r>
            <w:proofErr w:type="spellStart"/>
            <w:r w:rsidRPr="00E50B51">
              <w:rPr>
                <w:sz w:val="20"/>
                <w:szCs w:val="20"/>
              </w:rPr>
              <w:t>lines</w:t>
            </w:r>
            <w:proofErr w:type="spellEnd"/>
            <w:r w:rsidRPr="00E50B51">
              <w:rPr>
                <w:sz w:val="20"/>
                <w:szCs w:val="20"/>
              </w:rPr>
              <w:t>“</w:t>
            </w:r>
            <w:r w:rsidRPr="5B67C1D2">
              <w:rPr>
                <w:rStyle w:val="Funotenzeichen"/>
                <w:rFonts w:eastAsiaTheme="majorEastAsia"/>
                <w:sz w:val="20"/>
                <w:szCs w:val="20"/>
              </w:rPr>
              <w:t xml:space="preserve"> </w:t>
            </w:r>
            <w:r w:rsidRPr="5B67C1D2">
              <w:rPr>
                <w:rStyle w:val="Funotenzeichen"/>
                <w:rFonts w:eastAsiaTheme="majorEastAsia"/>
                <w:sz w:val="20"/>
                <w:szCs w:val="20"/>
              </w:rPr>
              <w:footnoteReference w:id="1092"/>
            </w:r>
            <w:r w:rsidRPr="00E50B51">
              <w:rPr>
                <w:sz w:val="20"/>
                <w:szCs w:val="20"/>
              </w:rPr>
              <w:t>). Sondern sie erg</w:t>
            </w:r>
            <w:r>
              <w:rPr>
                <w:sz w:val="20"/>
                <w:szCs w:val="20"/>
              </w:rPr>
              <w:t>ä</w:t>
            </w:r>
            <w:r w:rsidRPr="00E50B51">
              <w:rPr>
                <w:sz w:val="20"/>
                <w:szCs w:val="20"/>
              </w:rPr>
              <w:t>ben sich auch aus der Verfassungsgeschichte und den gesellschaftlichen Grundwerten („</w:t>
            </w:r>
            <w:proofErr w:type="spellStart"/>
            <w:r w:rsidRPr="00E50B51">
              <w:rPr>
                <w:sz w:val="20"/>
                <w:szCs w:val="20"/>
              </w:rPr>
              <w:t>basic</w:t>
            </w:r>
            <w:proofErr w:type="spellEnd"/>
            <w:r w:rsidRPr="00E50B51">
              <w:rPr>
                <w:sz w:val="20"/>
                <w:szCs w:val="20"/>
              </w:rPr>
              <w:t xml:space="preserve"> </w:t>
            </w:r>
            <w:proofErr w:type="spellStart"/>
            <w:r w:rsidRPr="00E50B51">
              <w:rPr>
                <w:sz w:val="20"/>
                <w:szCs w:val="20"/>
              </w:rPr>
              <w:t>values</w:t>
            </w:r>
            <w:proofErr w:type="spellEnd"/>
            <w:r w:rsidRPr="00E50B51">
              <w:rPr>
                <w:sz w:val="20"/>
                <w:szCs w:val="20"/>
              </w:rPr>
              <w:t xml:space="preserve"> </w:t>
            </w:r>
            <w:proofErr w:type="spellStart"/>
            <w:r w:rsidRPr="00E50B51">
              <w:rPr>
                <w:sz w:val="20"/>
                <w:szCs w:val="20"/>
              </w:rPr>
              <w:t>that</w:t>
            </w:r>
            <w:proofErr w:type="spellEnd"/>
            <w:r w:rsidRPr="00E50B51">
              <w:rPr>
                <w:sz w:val="20"/>
                <w:szCs w:val="20"/>
              </w:rPr>
              <w:t xml:space="preserve"> </w:t>
            </w:r>
            <w:proofErr w:type="spellStart"/>
            <w:r w:rsidRPr="00E50B51">
              <w:rPr>
                <w:sz w:val="20"/>
                <w:szCs w:val="20"/>
              </w:rPr>
              <w:t>underlie</w:t>
            </w:r>
            <w:proofErr w:type="spellEnd"/>
            <w:r w:rsidRPr="00E50B51">
              <w:rPr>
                <w:sz w:val="20"/>
                <w:szCs w:val="20"/>
              </w:rPr>
              <w:t xml:space="preserve"> </w:t>
            </w:r>
            <w:proofErr w:type="spellStart"/>
            <w:r w:rsidRPr="00E50B51">
              <w:rPr>
                <w:sz w:val="20"/>
                <w:szCs w:val="20"/>
              </w:rPr>
              <w:t>our</w:t>
            </w:r>
            <w:proofErr w:type="spellEnd"/>
            <w:r w:rsidRPr="00E50B51">
              <w:rPr>
                <w:sz w:val="20"/>
                <w:szCs w:val="20"/>
              </w:rPr>
              <w:t xml:space="preserve"> </w:t>
            </w:r>
            <w:proofErr w:type="spellStart"/>
            <w:r w:rsidRPr="00E50B51">
              <w:rPr>
                <w:sz w:val="20"/>
                <w:szCs w:val="20"/>
              </w:rPr>
              <w:t>society</w:t>
            </w:r>
            <w:proofErr w:type="spellEnd"/>
            <w:r w:rsidRPr="00E50B51">
              <w:rPr>
                <w:sz w:val="20"/>
                <w:szCs w:val="20"/>
              </w:rPr>
              <w:t>“</w:t>
            </w:r>
            <w:r w:rsidRPr="5B67C1D2">
              <w:rPr>
                <w:rStyle w:val="Funotenzeichen"/>
                <w:rFonts w:eastAsiaTheme="majorEastAsia"/>
                <w:sz w:val="20"/>
                <w:szCs w:val="20"/>
              </w:rPr>
              <w:footnoteReference w:id="1093"/>
            </w:r>
            <w:r w:rsidRPr="00E50B51">
              <w:rPr>
                <w:sz w:val="20"/>
                <w:szCs w:val="20"/>
              </w:rPr>
              <w:t xml:space="preserve">). Die ständige Rechtsprechung des </w:t>
            </w:r>
            <w:r>
              <w:rPr>
                <w:sz w:val="20"/>
                <w:szCs w:val="20"/>
              </w:rPr>
              <w:t>U.S. Supreme Court</w:t>
            </w:r>
            <w:r w:rsidRPr="00E50B51">
              <w:rPr>
                <w:sz w:val="20"/>
                <w:szCs w:val="20"/>
              </w:rPr>
              <w:t xml:space="preserve"> beleg</w:t>
            </w:r>
            <w:r>
              <w:rPr>
                <w:sz w:val="20"/>
                <w:szCs w:val="20"/>
              </w:rPr>
              <w:t>t</w:t>
            </w:r>
            <w:r w:rsidRPr="00E50B51">
              <w:rPr>
                <w:sz w:val="20"/>
                <w:szCs w:val="20"/>
              </w:rPr>
              <w:t xml:space="preserve"> („U.S. Supreme Court </w:t>
            </w:r>
            <w:proofErr w:type="spellStart"/>
            <w:r w:rsidRPr="00E50B51">
              <w:rPr>
                <w:sz w:val="20"/>
                <w:szCs w:val="20"/>
              </w:rPr>
              <w:t>decisions</w:t>
            </w:r>
            <w:proofErr w:type="spellEnd"/>
            <w:r w:rsidRPr="00E50B51">
              <w:rPr>
                <w:sz w:val="20"/>
                <w:szCs w:val="20"/>
              </w:rPr>
              <w:t xml:space="preserve"> </w:t>
            </w:r>
            <w:proofErr w:type="spellStart"/>
            <w:r w:rsidRPr="00E50B51">
              <w:rPr>
                <w:sz w:val="20"/>
                <w:szCs w:val="20"/>
              </w:rPr>
              <w:t>establish</w:t>
            </w:r>
            <w:proofErr w:type="spellEnd"/>
            <w:r w:rsidRPr="00E50B51">
              <w:rPr>
                <w:sz w:val="20"/>
                <w:szCs w:val="20"/>
              </w:rPr>
              <w:t>“</w:t>
            </w:r>
            <w:r w:rsidRPr="5B67C1D2">
              <w:rPr>
                <w:rStyle w:val="Funotenzeichen"/>
                <w:rFonts w:eastAsiaTheme="majorEastAsia"/>
                <w:sz w:val="20"/>
                <w:szCs w:val="20"/>
              </w:rPr>
              <w:footnoteReference w:id="1094"/>
            </w:r>
            <w:r w:rsidRPr="00E50B51">
              <w:rPr>
                <w:sz w:val="20"/>
                <w:szCs w:val="20"/>
              </w:rPr>
              <w:t>), dass die Verfassung die Unantastbarkeit der Familie schützt, weil die Institution der Familie tief in der Verfassungsgeschichte und den gesellschaftlichen Grundwerten der USA verwurzelt ist. Doch wann werden gesellschaftliche Grundwerte zu Schranken für Gesetze? Das ist dann der Fall, wenn die Grundwerte von den Verfassungsgebern als förderlich für ein Streben nach Glück angesehen werden („</w:t>
            </w:r>
            <w:proofErr w:type="spellStart"/>
            <w:r w:rsidRPr="00E50B51">
              <w:rPr>
                <w:sz w:val="20"/>
                <w:szCs w:val="20"/>
              </w:rPr>
              <w:t>secure</w:t>
            </w:r>
            <w:proofErr w:type="spellEnd"/>
            <w:r w:rsidRPr="00E50B51">
              <w:rPr>
                <w:sz w:val="20"/>
                <w:szCs w:val="20"/>
              </w:rPr>
              <w:t xml:space="preserve"> </w:t>
            </w:r>
            <w:proofErr w:type="spellStart"/>
            <w:r w:rsidRPr="00E50B51">
              <w:rPr>
                <w:sz w:val="20"/>
                <w:szCs w:val="20"/>
              </w:rPr>
              <w:t>conditions</w:t>
            </w:r>
            <w:proofErr w:type="spellEnd"/>
            <w:r w:rsidRPr="00E50B51">
              <w:rPr>
                <w:sz w:val="20"/>
                <w:szCs w:val="20"/>
              </w:rPr>
              <w:t xml:space="preserve"> favorable to the </w:t>
            </w:r>
            <w:proofErr w:type="spellStart"/>
            <w:r w:rsidRPr="00E50B51">
              <w:rPr>
                <w:sz w:val="20"/>
                <w:szCs w:val="20"/>
              </w:rPr>
              <w:t>pursuit</w:t>
            </w:r>
            <w:proofErr w:type="spellEnd"/>
            <w:r w:rsidRPr="00E50B51">
              <w:rPr>
                <w:sz w:val="20"/>
                <w:szCs w:val="20"/>
              </w:rPr>
              <w:t xml:space="preserve"> of </w:t>
            </w:r>
            <w:proofErr w:type="spellStart"/>
            <w:r w:rsidRPr="00E50B51">
              <w:rPr>
                <w:sz w:val="20"/>
                <w:szCs w:val="20"/>
              </w:rPr>
              <w:t>happiness</w:t>
            </w:r>
            <w:proofErr w:type="spellEnd"/>
            <w:r w:rsidRPr="00E50B51">
              <w:rPr>
                <w:sz w:val="20"/>
                <w:szCs w:val="20"/>
              </w:rPr>
              <w:t>“</w:t>
            </w:r>
            <w:r w:rsidRPr="5B67C1D2">
              <w:rPr>
                <w:rStyle w:val="Funotenzeichen"/>
                <w:rFonts w:eastAsiaTheme="majorEastAsia"/>
                <w:sz w:val="20"/>
                <w:szCs w:val="20"/>
              </w:rPr>
              <w:footnoteReference w:id="1095"/>
            </w:r>
            <w:r w:rsidRPr="00E50B51">
              <w:rPr>
                <w:sz w:val="20"/>
                <w:szCs w:val="20"/>
              </w:rPr>
              <w:t>)</w:t>
            </w:r>
            <w:r>
              <w:rPr>
                <w:sz w:val="20"/>
                <w:szCs w:val="20"/>
              </w:rPr>
              <w:t>.</w:t>
            </w:r>
          </w:p>
          <w:p w14:paraId="0DE4F9E2" w14:textId="77777777" w:rsidR="00074551" w:rsidRPr="00E50B51" w:rsidRDefault="00074551" w:rsidP="00367133">
            <w:pPr>
              <w:jc w:val="both"/>
              <w:rPr>
                <w:sz w:val="20"/>
                <w:szCs w:val="20"/>
              </w:rPr>
            </w:pPr>
          </w:p>
        </w:tc>
      </w:tr>
      <w:tr w:rsidR="00074551" w:rsidRPr="00E50B51" w14:paraId="4752DB6D" w14:textId="77777777" w:rsidTr="00BE689F">
        <w:trPr>
          <w:cantSplit/>
          <w:trHeight w:val="3175"/>
        </w:trPr>
        <w:tc>
          <w:tcPr>
            <w:tcW w:w="293" w:type="pct"/>
          </w:tcPr>
          <w:p w14:paraId="20C2C6D8"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B531380" w14:textId="77777777" w:rsidR="00074551" w:rsidRPr="00B45592" w:rsidRDefault="00074551" w:rsidP="00367133">
            <w:pPr>
              <w:ind w:left="113" w:right="416"/>
              <w:jc w:val="both"/>
              <w:rPr>
                <w:i/>
                <w:sz w:val="20"/>
                <w:szCs w:val="20"/>
              </w:rPr>
            </w:pPr>
            <w:r w:rsidRPr="00B45592">
              <w:rPr>
                <w:i/>
                <w:sz w:val="20"/>
                <w:szCs w:val="20"/>
                <w:lang w:val="en-US"/>
              </w:rPr>
              <w:t>Munn v. Ill.</w:t>
            </w:r>
          </w:p>
        </w:tc>
        <w:tc>
          <w:tcPr>
            <w:tcW w:w="197" w:type="pct"/>
            <w:textDirection w:val="tbRl"/>
            <w:vAlign w:val="center"/>
          </w:tcPr>
          <w:p w14:paraId="6D1FF6D4" w14:textId="77777777" w:rsidR="00074551" w:rsidRPr="00E50B51" w:rsidRDefault="00074551" w:rsidP="00367133">
            <w:pPr>
              <w:ind w:left="113" w:right="113"/>
              <w:jc w:val="both"/>
              <w:rPr>
                <w:sz w:val="20"/>
                <w:szCs w:val="20"/>
              </w:rPr>
            </w:pPr>
            <w:r w:rsidRPr="00E50B51">
              <w:rPr>
                <w:sz w:val="20"/>
                <w:szCs w:val="20"/>
                <w:lang w:val="en-US"/>
              </w:rPr>
              <w:t>94 U.S. 113</w:t>
            </w:r>
          </w:p>
        </w:tc>
        <w:tc>
          <w:tcPr>
            <w:tcW w:w="306" w:type="pct"/>
            <w:textDirection w:val="tbRl"/>
            <w:vAlign w:val="center"/>
          </w:tcPr>
          <w:p w14:paraId="7E4D216B" w14:textId="77777777" w:rsidR="00074551" w:rsidRPr="00E50B51" w:rsidRDefault="00074551" w:rsidP="00367133">
            <w:pPr>
              <w:ind w:left="113" w:right="113"/>
              <w:jc w:val="both"/>
              <w:rPr>
                <w:sz w:val="20"/>
                <w:szCs w:val="20"/>
              </w:rPr>
            </w:pPr>
            <w:r w:rsidRPr="00E50B51">
              <w:rPr>
                <w:sz w:val="20"/>
                <w:szCs w:val="20"/>
              </w:rPr>
              <w:t>1. März 1877</w:t>
            </w:r>
          </w:p>
        </w:tc>
        <w:tc>
          <w:tcPr>
            <w:tcW w:w="401" w:type="pct"/>
          </w:tcPr>
          <w:p w14:paraId="7007F031" w14:textId="77777777" w:rsidR="00074551" w:rsidRPr="00E50B51" w:rsidRDefault="00074551" w:rsidP="00367133">
            <w:pPr>
              <w:jc w:val="center"/>
              <w:rPr>
                <w:sz w:val="20"/>
                <w:szCs w:val="20"/>
              </w:rPr>
            </w:pPr>
            <w:r w:rsidRPr="00E50B51">
              <w:rPr>
                <w:sz w:val="20"/>
                <w:szCs w:val="20"/>
              </w:rPr>
              <w:t>D</w:t>
            </w:r>
          </w:p>
        </w:tc>
        <w:tc>
          <w:tcPr>
            <w:tcW w:w="1594" w:type="pct"/>
          </w:tcPr>
          <w:p w14:paraId="7B967E69" w14:textId="77777777" w:rsidR="00074551" w:rsidRPr="00E50B51" w:rsidRDefault="00074551" w:rsidP="00367133">
            <w:pPr>
              <w:jc w:val="both"/>
              <w:rPr>
                <w:sz w:val="20"/>
                <w:szCs w:val="20"/>
              </w:rPr>
            </w:pPr>
            <w:r w:rsidRPr="00E50B51">
              <w:rPr>
                <w:sz w:val="20"/>
                <w:szCs w:val="20"/>
              </w:rPr>
              <w:t>*</w:t>
            </w:r>
          </w:p>
        </w:tc>
        <w:tc>
          <w:tcPr>
            <w:tcW w:w="1822" w:type="pct"/>
          </w:tcPr>
          <w:p w14:paraId="577C70AA" w14:textId="68CAF0AE" w:rsidR="00074551" w:rsidRDefault="00074551" w:rsidP="00367133">
            <w:pPr>
              <w:jc w:val="both"/>
              <w:rPr>
                <w:sz w:val="20"/>
                <w:szCs w:val="20"/>
              </w:rPr>
            </w:pPr>
            <w:r w:rsidRPr="00A17634">
              <w:rPr>
                <w:sz w:val="20"/>
                <w:szCs w:val="20"/>
              </w:rPr>
              <w:t xml:space="preserve">In </w:t>
            </w:r>
            <w:r w:rsidRPr="5B67C1D2">
              <w:rPr>
                <w:i/>
                <w:iCs/>
                <w:sz w:val="20"/>
                <w:szCs w:val="20"/>
              </w:rPr>
              <w:t>Munn v. Ill.</w:t>
            </w:r>
            <w:r w:rsidRPr="00A17634">
              <w:rPr>
                <w:sz w:val="20"/>
                <w:szCs w:val="20"/>
                <w:vertAlign w:val="superscript"/>
              </w:rPr>
              <w:footnoteReference w:id="1096"/>
            </w:r>
            <w:r w:rsidRPr="00A17634">
              <w:rPr>
                <w:sz w:val="20"/>
                <w:szCs w:val="20"/>
              </w:rPr>
              <w:t xml:space="preserve"> </w:t>
            </w:r>
            <w:r w:rsidRPr="00396C13">
              <w:rPr>
                <w:sz w:val="20"/>
                <w:szCs w:val="20"/>
              </w:rPr>
              <w:t xml:space="preserve">klärt </w:t>
            </w:r>
            <w:r w:rsidRPr="00A17634">
              <w:rPr>
                <w:sz w:val="20"/>
                <w:szCs w:val="20"/>
              </w:rPr>
              <w:t xml:space="preserve">der Dissens dogmatisch das Verhältnis von </w:t>
            </w:r>
            <w:r w:rsidRPr="00396C13">
              <w:rPr>
                <w:sz w:val="20"/>
                <w:szCs w:val="20"/>
              </w:rPr>
              <w:t xml:space="preserve">den Begriffsfolgen </w:t>
            </w:r>
            <w:r w:rsidRPr="00A17634">
              <w:rPr>
                <w:sz w:val="20"/>
                <w:szCs w:val="20"/>
              </w:rPr>
              <w:t>Leben, Freiheit, Eigentum i</w:t>
            </w:r>
            <w:r w:rsidRPr="00396C13">
              <w:rPr>
                <w:sz w:val="20"/>
                <w:szCs w:val="20"/>
              </w:rPr>
              <w:t>n</w:t>
            </w:r>
            <w:r w:rsidRPr="00A1763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5B67C1D2">
              <w:rPr>
                <w:sz w:val="20"/>
                <w:szCs w:val="20"/>
              </w:rPr>
              <w:t xml:space="preserve"> </w:t>
            </w:r>
            <w:r w:rsidRPr="00396C13">
              <w:rPr>
                <w:sz w:val="20"/>
                <w:szCs w:val="20"/>
              </w:rPr>
              <w:t>sowie</w:t>
            </w:r>
            <w:r w:rsidRPr="00A17634">
              <w:rPr>
                <w:sz w:val="20"/>
                <w:szCs w:val="20"/>
              </w:rPr>
              <w:t xml:space="preserve"> </w:t>
            </w:r>
            <w:r w:rsidRPr="00396C13">
              <w:rPr>
                <w:sz w:val="20"/>
                <w:szCs w:val="20"/>
              </w:rPr>
              <w:t xml:space="preserve">auf der anderen Seite: </w:t>
            </w:r>
            <w:r w:rsidRPr="00A17634">
              <w:rPr>
                <w:sz w:val="20"/>
                <w:szCs w:val="20"/>
              </w:rPr>
              <w:t>Leben, Freiheit</w:t>
            </w:r>
            <w:r w:rsidRPr="00396C13">
              <w:rPr>
                <w:sz w:val="20"/>
                <w:szCs w:val="20"/>
              </w:rPr>
              <w:t>,</w:t>
            </w:r>
            <w:r w:rsidRPr="00A17634">
              <w:rPr>
                <w:sz w:val="20"/>
                <w:szCs w:val="20"/>
              </w:rPr>
              <w:t xml:space="preserve"> Streben nach Glück </w:t>
            </w:r>
            <w:r w:rsidRPr="00396C13">
              <w:rPr>
                <w:sz w:val="20"/>
                <w:szCs w:val="20"/>
              </w:rPr>
              <w:t>in der</w:t>
            </w:r>
            <w:r w:rsidRPr="00A17634">
              <w:rPr>
                <w:sz w:val="20"/>
                <w:szCs w:val="20"/>
              </w:rPr>
              <w:t xml:space="preserve"> </w:t>
            </w:r>
            <w:r w:rsidRPr="5B67C1D2">
              <w:rPr>
                <w:i/>
                <w:iCs/>
                <w:sz w:val="20"/>
                <w:szCs w:val="20"/>
              </w:rPr>
              <w:t>Declaration of Independence</w:t>
            </w:r>
            <w:r w:rsidRPr="00A17634">
              <w:rPr>
                <w:sz w:val="20"/>
                <w:szCs w:val="20"/>
              </w:rPr>
              <w:t>.</w:t>
            </w:r>
            <w:r w:rsidRPr="00396C13">
              <w:rPr>
                <w:sz w:val="20"/>
                <w:szCs w:val="20"/>
                <w:vertAlign w:val="superscript"/>
              </w:rPr>
              <w:footnoteReference w:id="1097"/>
            </w:r>
            <w:r w:rsidRPr="00A17634">
              <w:rPr>
                <w:sz w:val="20"/>
                <w:szCs w:val="20"/>
              </w:rPr>
              <w:t xml:space="preserve"> </w:t>
            </w:r>
            <w:r w:rsidRPr="00396C13">
              <w:rPr>
                <w:sz w:val="20"/>
                <w:szCs w:val="20"/>
              </w:rPr>
              <w:t xml:space="preserve">Im Dissens schrieben die Richter </w:t>
            </w:r>
            <w:r w:rsidRPr="5B67C1D2">
              <w:rPr>
                <w:i/>
                <w:iCs/>
                <w:sz w:val="20"/>
                <w:szCs w:val="20"/>
              </w:rPr>
              <w:t>Field</w:t>
            </w:r>
            <w:r w:rsidRPr="00396C13">
              <w:rPr>
                <w:sz w:val="20"/>
                <w:szCs w:val="20"/>
              </w:rPr>
              <w:t xml:space="preserve"> und </w:t>
            </w:r>
            <w:r w:rsidRPr="5B67C1D2">
              <w:rPr>
                <w:i/>
                <w:iCs/>
                <w:sz w:val="20"/>
                <w:szCs w:val="20"/>
              </w:rPr>
              <w:t>Strong</w:t>
            </w:r>
            <w:r w:rsidRPr="00396C13">
              <w:rPr>
                <w:sz w:val="20"/>
                <w:szCs w:val="20"/>
              </w:rPr>
              <w:t xml:space="preserve"> zum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5B67C1D2">
              <w:rPr>
                <w:sz w:val="20"/>
                <w:szCs w:val="20"/>
              </w:rPr>
              <w:t xml:space="preserve"> sowie zu den Voraussetzungen für ein Streben nach Glück: Der Anhaltspunkt für eine Prüfung sei festzustellen, ob ein Gesetz die Verfassungsrechte einhalte – oder unangemessen einschränke („</w:t>
            </w:r>
            <w:proofErr w:type="spellStart"/>
            <w:r w:rsidRPr="5B67C1D2">
              <w:rPr>
                <w:sz w:val="20"/>
                <w:szCs w:val="20"/>
              </w:rPr>
              <w:t>constitutional</w:t>
            </w:r>
            <w:proofErr w:type="spellEnd"/>
            <w:r w:rsidRPr="5B67C1D2">
              <w:rPr>
                <w:sz w:val="20"/>
                <w:szCs w:val="20"/>
              </w:rPr>
              <w:t xml:space="preserve"> </w:t>
            </w:r>
            <w:proofErr w:type="spellStart"/>
            <w:r w:rsidRPr="5B67C1D2">
              <w:rPr>
                <w:sz w:val="20"/>
                <w:szCs w:val="20"/>
              </w:rPr>
              <w:t>inhibition</w:t>
            </w:r>
            <w:proofErr w:type="spellEnd"/>
            <w:r w:rsidRPr="5B67C1D2">
              <w:rPr>
                <w:sz w:val="20"/>
                <w:szCs w:val="20"/>
              </w:rPr>
              <w:t>“</w:t>
            </w:r>
            <w:r w:rsidRPr="00396C13">
              <w:rPr>
                <w:sz w:val="20"/>
                <w:szCs w:val="20"/>
                <w:vertAlign w:val="superscript"/>
              </w:rPr>
              <w:footnoteReference w:id="1098"/>
            </w:r>
            <w:r w:rsidRPr="00396C13">
              <w:rPr>
                <w:sz w:val="20"/>
                <w:szCs w:val="20"/>
              </w:rPr>
              <w:t xml:space="preserve">). Um dies zu bestimmen, sei in den Amendments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396C13">
              <w:rPr>
                <w:sz w:val="20"/>
                <w:szCs w:val="20"/>
              </w:rPr>
              <w:t xml:space="preserve"> geschaffen worden. </w:t>
            </w:r>
            <w:r w:rsidRPr="00396C13">
              <w:rPr>
                <w:sz w:val="20"/>
                <w:szCs w:val="20"/>
                <w:lang w:val="en-US"/>
              </w:rPr>
              <w:t xml:space="preserve">Die </w:t>
            </w:r>
            <w:proofErr w:type="spellStart"/>
            <w:r w:rsidRPr="00396C13">
              <w:rPr>
                <w:sz w:val="20"/>
                <w:szCs w:val="20"/>
                <w:lang w:val="en-US"/>
              </w:rPr>
              <w:t>laute</w:t>
            </w:r>
            <w:proofErr w:type="spellEnd"/>
            <w:r w:rsidRPr="00396C13">
              <w:rPr>
                <w:sz w:val="20"/>
                <w:szCs w:val="20"/>
                <w:lang w:val="en-US"/>
              </w:rPr>
              <w:t xml:space="preserve">: „The </w:t>
            </w:r>
            <w:r w:rsidRPr="5B67C1D2">
              <w:rPr>
                <w:sz w:val="20"/>
                <w:szCs w:val="20"/>
                <w:lang w:val="en-US"/>
              </w:rPr>
              <w:t xml:space="preserve">provision […] places property under the same protection as life and liberty. Except by due process of law, no State can deprive any person of </w:t>
            </w:r>
            <w:proofErr w:type="gramStart"/>
            <w:r w:rsidRPr="5B67C1D2">
              <w:rPr>
                <w:sz w:val="20"/>
                <w:szCs w:val="20"/>
                <w:lang w:val="en-US"/>
              </w:rPr>
              <w:t>either.“</w:t>
            </w:r>
            <w:proofErr w:type="gramEnd"/>
            <w:r w:rsidRPr="00396C13">
              <w:rPr>
                <w:sz w:val="20"/>
                <w:szCs w:val="20"/>
                <w:vertAlign w:val="superscript"/>
              </w:rPr>
              <w:footnoteReference w:id="1099"/>
            </w:r>
            <w:r w:rsidRPr="00396C13">
              <w:rPr>
                <w:sz w:val="20"/>
                <w:szCs w:val="20"/>
                <w:lang w:val="en-US"/>
              </w:rPr>
              <w:t xml:space="preserve"> </w:t>
            </w:r>
            <w:r w:rsidRPr="00396C13">
              <w:rPr>
                <w:sz w:val="20"/>
                <w:szCs w:val="20"/>
              </w:rPr>
              <w:t xml:space="preserve">Nur durch diese Klausel können Leben, Freiheit, Eigentum eingeschränkt werden. Und genau damit werden durch sie die wesentlichen Voraussetzungen für das Streben nach Glück im </w:t>
            </w:r>
            <w:r>
              <w:rPr>
                <w:sz w:val="20"/>
                <w:szCs w:val="20"/>
              </w:rPr>
              <w:t xml:space="preserve">Dreiklang </w:t>
            </w:r>
            <w:r w:rsidRPr="00396C13">
              <w:rPr>
                <w:sz w:val="20"/>
                <w:szCs w:val="20"/>
              </w:rPr>
              <w:t xml:space="preserve">Leben, Freiheit, Eigentum verankert („to </w:t>
            </w:r>
            <w:proofErr w:type="spellStart"/>
            <w:r w:rsidRPr="5B67C1D2">
              <w:rPr>
                <w:sz w:val="20"/>
                <w:szCs w:val="20"/>
              </w:rPr>
              <w:t>secure</w:t>
            </w:r>
            <w:proofErr w:type="spellEnd"/>
            <w:r w:rsidRPr="5B67C1D2">
              <w:rPr>
                <w:sz w:val="20"/>
                <w:szCs w:val="20"/>
              </w:rPr>
              <w:t xml:space="preserve"> to </w:t>
            </w:r>
            <w:proofErr w:type="spellStart"/>
            <w:r w:rsidRPr="5B67C1D2">
              <w:rPr>
                <w:sz w:val="20"/>
                <w:szCs w:val="20"/>
              </w:rPr>
              <w:t>every</w:t>
            </w:r>
            <w:proofErr w:type="spellEnd"/>
            <w:r w:rsidRPr="5B67C1D2">
              <w:rPr>
                <w:sz w:val="20"/>
                <w:szCs w:val="20"/>
              </w:rPr>
              <w:t xml:space="preserve"> individual the essential </w:t>
            </w:r>
            <w:proofErr w:type="spellStart"/>
            <w:r w:rsidRPr="5B67C1D2">
              <w:rPr>
                <w:sz w:val="20"/>
                <w:szCs w:val="20"/>
              </w:rPr>
              <w:t>conditions</w:t>
            </w:r>
            <w:proofErr w:type="spellEnd"/>
            <w:r w:rsidRPr="5B67C1D2">
              <w:rPr>
                <w:sz w:val="20"/>
                <w:szCs w:val="20"/>
              </w:rPr>
              <w:t xml:space="preserve"> for the </w:t>
            </w:r>
            <w:proofErr w:type="spellStart"/>
            <w:r w:rsidRPr="5B67C1D2">
              <w:rPr>
                <w:sz w:val="20"/>
                <w:szCs w:val="20"/>
              </w:rPr>
              <w:t>pursuit</w:t>
            </w:r>
            <w:proofErr w:type="spellEnd"/>
            <w:r w:rsidRPr="5B67C1D2">
              <w:rPr>
                <w:sz w:val="20"/>
                <w:szCs w:val="20"/>
              </w:rPr>
              <w:t xml:space="preserve"> of </w:t>
            </w:r>
            <w:proofErr w:type="spellStart"/>
            <w:r w:rsidRPr="5B67C1D2">
              <w:rPr>
                <w:sz w:val="20"/>
                <w:szCs w:val="20"/>
              </w:rPr>
              <w:t>happiness</w:t>
            </w:r>
            <w:proofErr w:type="spellEnd"/>
            <w:r w:rsidRPr="5B67C1D2">
              <w:rPr>
                <w:sz w:val="20"/>
                <w:szCs w:val="20"/>
              </w:rPr>
              <w:t>“</w:t>
            </w:r>
            <w:r w:rsidRPr="00396C13">
              <w:rPr>
                <w:sz w:val="20"/>
                <w:szCs w:val="20"/>
                <w:vertAlign w:val="superscript"/>
              </w:rPr>
              <w:footnoteReference w:id="1100"/>
            </w:r>
            <w:r w:rsidRPr="00396C13">
              <w:rPr>
                <w:sz w:val="20"/>
                <w:szCs w:val="20"/>
              </w:rPr>
              <w:t xml:space="preserv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396C13">
              <w:rPr>
                <w:sz w:val="20"/>
                <w:szCs w:val="20"/>
              </w:rPr>
              <w:t xml:space="preserve"> der beiden Amendments bildet also eine normative Brücke für </w:t>
            </w:r>
            <w:r>
              <w:rPr>
                <w:sz w:val="20"/>
                <w:szCs w:val="20"/>
              </w:rPr>
              <w:t>das</w:t>
            </w:r>
            <w:r w:rsidRPr="00396C13">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 </w:t>
            </w:r>
            <w:r w:rsidRPr="00396C13">
              <w:rPr>
                <w:sz w:val="20"/>
                <w:szCs w:val="20"/>
              </w:rPr>
              <w:t xml:space="preserve">in die </w:t>
            </w:r>
            <w:r>
              <w:rPr>
                <w:sz w:val="20"/>
                <w:szCs w:val="20"/>
              </w:rPr>
              <w:t>U.S.</w:t>
            </w:r>
            <w:r w:rsidRPr="00396C13">
              <w:rPr>
                <w:sz w:val="20"/>
                <w:szCs w:val="20"/>
              </w:rPr>
              <w:t xml:space="preserve"> </w:t>
            </w:r>
            <w:proofErr w:type="spellStart"/>
            <w:r w:rsidRPr="5B67C1D2">
              <w:rPr>
                <w:sz w:val="20"/>
                <w:szCs w:val="20"/>
              </w:rPr>
              <w:t>Const</w:t>
            </w:r>
            <w:proofErr w:type="spellEnd"/>
            <w:r w:rsidRPr="5B67C1D2">
              <w:rPr>
                <w:sz w:val="20"/>
                <w:szCs w:val="20"/>
              </w:rPr>
              <w:t xml:space="preserve">. </w:t>
            </w:r>
            <w:r w:rsidRPr="00396C13">
              <w:rPr>
                <w:sz w:val="20"/>
                <w:szCs w:val="20"/>
                <w:lang w:val="en-US"/>
              </w:rPr>
              <w:t xml:space="preserve">(„property [is] under the same protection as life and liberty […] to secure to every individual the essential conditions for the pursuit of </w:t>
            </w:r>
            <w:proofErr w:type="gramStart"/>
            <w:r w:rsidRPr="5B67C1D2">
              <w:rPr>
                <w:sz w:val="20"/>
                <w:szCs w:val="20"/>
                <w:lang w:val="en-US"/>
              </w:rPr>
              <w:t>happiness“</w:t>
            </w:r>
            <w:proofErr w:type="gramEnd"/>
            <w:r w:rsidRPr="00396C13">
              <w:rPr>
                <w:sz w:val="20"/>
                <w:szCs w:val="20"/>
                <w:vertAlign w:val="superscript"/>
              </w:rPr>
              <w:footnoteReference w:id="1101"/>
            </w:r>
            <w:r w:rsidRPr="00396C13">
              <w:rPr>
                <w:sz w:val="20"/>
                <w:szCs w:val="20"/>
                <w:lang w:val="en-US"/>
              </w:rPr>
              <w:t xml:space="preserve">). </w:t>
            </w:r>
            <w:r w:rsidRPr="00396C13">
              <w:rPr>
                <w:sz w:val="20"/>
                <w:szCs w:val="20"/>
              </w:rPr>
              <w:t xml:space="preserve">Doch was </w:t>
            </w:r>
            <w:r>
              <w:rPr>
                <w:sz w:val="20"/>
                <w:szCs w:val="20"/>
              </w:rPr>
              <w:t>bedeutet</w:t>
            </w:r>
            <w:r w:rsidRPr="00396C13">
              <w:rPr>
                <w:sz w:val="20"/>
                <w:szCs w:val="20"/>
              </w:rPr>
              <w:t xml:space="preserve"> diese Brücke? Das Recht auf </w:t>
            </w:r>
            <w:r w:rsidRPr="00A17634">
              <w:rPr>
                <w:sz w:val="20"/>
                <w:szCs w:val="20"/>
              </w:rPr>
              <w:t>Leben</w:t>
            </w:r>
            <w:r w:rsidRPr="00396C13">
              <w:rPr>
                <w:sz w:val="20"/>
                <w:szCs w:val="20"/>
              </w:rPr>
              <w:t xml:space="preserve"> als Ursprung des Rechts einer Person, die </w:t>
            </w:r>
            <w:r w:rsidRPr="00A17634">
              <w:rPr>
                <w:sz w:val="20"/>
                <w:szCs w:val="20"/>
              </w:rPr>
              <w:t>Freiheit</w:t>
            </w:r>
            <w:r w:rsidRPr="00396C13">
              <w:rPr>
                <w:sz w:val="20"/>
                <w:szCs w:val="20"/>
              </w:rPr>
              <w:t xml:space="preserve"> als Grundrechtsrahmen und das Eigentum als wichtiger Inhalt dieses Rahmens finden sich in den beiden Amendments. Und diese Begriffe formt das </w:t>
            </w:r>
            <w:r w:rsidRPr="00A17634">
              <w:rPr>
                <w:sz w:val="20"/>
                <w:szCs w:val="20"/>
              </w:rPr>
              <w:t xml:space="preserve">Glücksstreben </w:t>
            </w:r>
            <w:r w:rsidRPr="00396C13">
              <w:rPr>
                <w:sz w:val="20"/>
                <w:szCs w:val="20"/>
              </w:rPr>
              <w:t>negativ und positiv aus</w:t>
            </w:r>
            <w:r>
              <w:rPr>
                <w:sz w:val="20"/>
                <w:szCs w:val="20"/>
              </w:rPr>
              <w:t>.</w:t>
            </w:r>
            <w:r w:rsidRPr="00396C13">
              <w:rPr>
                <w:sz w:val="20"/>
                <w:szCs w:val="20"/>
                <w:vertAlign w:val="superscript"/>
                <w:lang w:val="en-US"/>
              </w:rPr>
              <w:footnoteReference w:id="1102"/>
            </w:r>
            <w:r w:rsidRPr="00396C13">
              <w:rPr>
                <w:sz w:val="20"/>
                <w:szCs w:val="20"/>
              </w:rPr>
              <w:t xml:space="preserve"> M</w:t>
            </w:r>
            <w:r>
              <w:rPr>
                <w:sz w:val="20"/>
                <w:szCs w:val="20"/>
              </w:rPr>
              <w:t>it anderen Worten:</w:t>
            </w:r>
            <w:r w:rsidRPr="00396C13">
              <w:rPr>
                <w:sz w:val="20"/>
                <w:szCs w:val="20"/>
              </w:rPr>
              <w:t xml:space="preserve"> </w:t>
            </w:r>
            <w:r>
              <w:rPr>
                <w:sz w:val="20"/>
                <w:szCs w:val="20"/>
              </w:rPr>
              <w:t>Das</w:t>
            </w:r>
            <w:r w:rsidRPr="00396C13">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A17634">
              <w:rPr>
                <w:sz w:val="20"/>
                <w:szCs w:val="20"/>
              </w:rPr>
              <w:t xml:space="preserve"> </w:t>
            </w:r>
            <w:r w:rsidRPr="00396C13">
              <w:rPr>
                <w:sz w:val="20"/>
                <w:szCs w:val="20"/>
              </w:rPr>
              <w:t>begründe</w:t>
            </w:r>
            <w:r>
              <w:rPr>
                <w:sz w:val="20"/>
                <w:szCs w:val="20"/>
              </w:rPr>
              <w:t>t</w:t>
            </w:r>
            <w:r w:rsidRPr="00A17634">
              <w:rPr>
                <w:sz w:val="20"/>
                <w:szCs w:val="20"/>
              </w:rPr>
              <w:t xml:space="preserve"> nicht nur </w:t>
            </w:r>
            <w:r w:rsidRPr="00396C13">
              <w:rPr>
                <w:sz w:val="20"/>
                <w:szCs w:val="20"/>
              </w:rPr>
              <w:t xml:space="preserve">das </w:t>
            </w:r>
            <w:r w:rsidRPr="001C5DDD">
              <w:rPr>
                <w:sz w:val="20"/>
                <w:szCs w:val="20"/>
              </w:rPr>
              <w:t>Recht auf Leben, Freiheit und Eigentum</w:t>
            </w:r>
            <w:r w:rsidRPr="00396C13">
              <w:rPr>
                <w:sz w:val="20"/>
                <w:szCs w:val="20"/>
              </w:rPr>
              <w:t xml:space="preserve"> als Abwehrrecht</w:t>
            </w:r>
            <w:r w:rsidRPr="00A17634">
              <w:rPr>
                <w:sz w:val="20"/>
                <w:szCs w:val="20"/>
              </w:rPr>
              <w:t xml:space="preserve">, sondern </w:t>
            </w:r>
            <w:r w:rsidRPr="00396C13">
              <w:rPr>
                <w:sz w:val="20"/>
                <w:szCs w:val="20"/>
              </w:rPr>
              <w:t>e</w:t>
            </w:r>
            <w:r>
              <w:rPr>
                <w:sz w:val="20"/>
                <w:szCs w:val="20"/>
              </w:rPr>
              <w:t>s</w:t>
            </w:r>
            <w:r w:rsidRPr="00396C13">
              <w:rPr>
                <w:sz w:val="20"/>
                <w:szCs w:val="20"/>
              </w:rPr>
              <w:t xml:space="preserve"> gebiete</w:t>
            </w:r>
            <w:r>
              <w:rPr>
                <w:sz w:val="20"/>
                <w:szCs w:val="20"/>
              </w:rPr>
              <w:t>t</w:t>
            </w:r>
            <w:r w:rsidRPr="00396C13">
              <w:rPr>
                <w:sz w:val="20"/>
                <w:szCs w:val="20"/>
              </w:rPr>
              <w:t xml:space="preserve"> </w:t>
            </w:r>
            <w:r>
              <w:rPr>
                <w:sz w:val="20"/>
                <w:szCs w:val="20"/>
              </w:rPr>
              <w:t xml:space="preserve">dem </w:t>
            </w:r>
            <w:r w:rsidRPr="00A17634">
              <w:rPr>
                <w:sz w:val="20"/>
                <w:szCs w:val="20"/>
              </w:rPr>
              <w:t>Staat</w:t>
            </w:r>
            <w:r w:rsidRPr="00396C13">
              <w:rPr>
                <w:sz w:val="20"/>
                <w:szCs w:val="20"/>
              </w:rPr>
              <w:t xml:space="preserve"> auch</w:t>
            </w:r>
            <w:r w:rsidRPr="00A17634">
              <w:rPr>
                <w:sz w:val="20"/>
                <w:szCs w:val="20"/>
              </w:rPr>
              <w:t>, Bedingungen für Glück zu befördern</w:t>
            </w:r>
            <w:r w:rsidRPr="00396C13">
              <w:rPr>
                <w:sz w:val="20"/>
                <w:szCs w:val="20"/>
              </w:rPr>
              <w:t xml:space="preserve"> („</w:t>
            </w:r>
            <w:proofErr w:type="spellStart"/>
            <w:r w:rsidRPr="5B67C1D2">
              <w:rPr>
                <w:sz w:val="20"/>
                <w:szCs w:val="20"/>
              </w:rPr>
              <w:t>promotion</w:t>
            </w:r>
            <w:proofErr w:type="spellEnd"/>
            <w:r w:rsidRPr="5B67C1D2">
              <w:rPr>
                <w:sz w:val="20"/>
                <w:szCs w:val="20"/>
              </w:rPr>
              <w:t xml:space="preserve"> of </w:t>
            </w:r>
            <w:proofErr w:type="spellStart"/>
            <w:r w:rsidRPr="5B67C1D2">
              <w:rPr>
                <w:sz w:val="20"/>
                <w:szCs w:val="20"/>
              </w:rPr>
              <w:t>his</w:t>
            </w:r>
            <w:proofErr w:type="spellEnd"/>
            <w:r w:rsidRPr="5B67C1D2">
              <w:rPr>
                <w:sz w:val="20"/>
                <w:szCs w:val="20"/>
              </w:rPr>
              <w:t xml:space="preserve"> </w:t>
            </w:r>
            <w:proofErr w:type="spellStart"/>
            <w:r w:rsidRPr="5B67C1D2">
              <w:rPr>
                <w:sz w:val="20"/>
                <w:szCs w:val="20"/>
              </w:rPr>
              <w:t>happiness</w:t>
            </w:r>
            <w:proofErr w:type="spellEnd"/>
            <w:r w:rsidRPr="5B67C1D2">
              <w:rPr>
                <w:sz w:val="20"/>
                <w:szCs w:val="20"/>
              </w:rPr>
              <w:t>“</w:t>
            </w:r>
            <w:r w:rsidRPr="00396C13">
              <w:rPr>
                <w:sz w:val="20"/>
                <w:szCs w:val="20"/>
                <w:vertAlign w:val="superscript"/>
              </w:rPr>
              <w:footnoteReference w:id="1103"/>
            </w:r>
            <w:r w:rsidRPr="00396C13">
              <w:rPr>
                <w:sz w:val="20"/>
                <w:szCs w:val="20"/>
              </w:rPr>
              <w:t>)</w:t>
            </w:r>
            <w:r w:rsidRPr="00A17634">
              <w:rPr>
                <w:sz w:val="20"/>
                <w:szCs w:val="20"/>
              </w:rPr>
              <w:t>.</w:t>
            </w:r>
            <w:r w:rsidRPr="00396C13">
              <w:rPr>
                <w:sz w:val="20"/>
                <w:szCs w:val="20"/>
              </w:rPr>
              <w:t xml:space="preserve"> Die konkreten Folgen sind </w:t>
            </w:r>
            <w:r>
              <w:rPr>
                <w:sz w:val="20"/>
                <w:szCs w:val="20"/>
              </w:rPr>
              <w:t>z.B.</w:t>
            </w:r>
            <w:r w:rsidRPr="00396C13">
              <w:rPr>
                <w:sz w:val="20"/>
                <w:szCs w:val="20"/>
              </w:rPr>
              <w:t xml:space="preserve">: </w:t>
            </w:r>
            <w:r>
              <w:rPr>
                <w:sz w:val="20"/>
                <w:szCs w:val="20"/>
              </w:rPr>
              <w:t>Im negativen Sinne</w:t>
            </w:r>
            <w:r w:rsidRPr="00396C13">
              <w:rPr>
                <w:sz w:val="20"/>
                <w:szCs w:val="20"/>
              </w:rPr>
              <w:t xml:space="preserve"> sind </w:t>
            </w:r>
            <w:r w:rsidRPr="001C5DDD">
              <w:rPr>
                <w:sz w:val="20"/>
                <w:szCs w:val="20"/>
              </w:rPr>
              <w:t xml:space="preserve">Schaden </w:t>
            </w:r>
            <w:r w:rsidRPr="00396C13">
              <w:rPr>
                <w:sz w:val="20"/>
                <w:szCs w:val="20"/>
              </w:rPr>
              <w:t xml:space="preserve">(Leben) </w:t>
            </w:r>
            <w:r w:rsidRPr="001C5DDD">
              <w:rPr>
                <w:sz w:val="20"/>
                <w:szCs w:val="20"/>
              </w:rPr>
              <w:t xml:space="preserve">oder </w:t>
            </w:r>
            <w:r w:rsidRPr="00396C13">
              <w:rPr>
                <w:sz w:val="20"/>
                <w:szCs w:val="20"/>
              </w:rPr>
              <w:t xml:space="preserve">solche staatlichen </w:t>
            </w:r>
            <w:r w:rsidRPr="001C5DDD">
              <w:rPr>
                <w:sz w:val="20"/>
                <w:szCs w:val="20"/>
              </w:rPr>
              <w:t>Eingriffe zu vermeiden</w:t>
            </w:r>
            <w:r w:rsidRPr="00396C13">
              <w:rPr>
                <w:sz w:val="20"/>
                <w:szCs w:val="20"/>
              </w:rPr>
              <w:t xml:space="preserve">, </w:t>
            </w:r>
            <w:r>
              <w:rPr>
                <w:sz w:val="20"/>
                <w:szCs w:val="20"/>
              </w:rPr>
              <w:t>die etwa dazu führen,</w:t>
            </w:r>
            <w:r w:rsidRPr="001C5DDD">
              <w:rPr>
                <w:sz w:val="20"/>
                <w:szCs w:val="20"/>
              </w:rPr>
              <w:t xml:space="preserve"> nicht ohne </w:t>
            </w:r>
            <w:r w:rsidRPr="00396C13">
              <w:rPr>
                <w:sz w:val="20"/>
                <w:szCs w:val="20"/>
              </w:rPr>
              <w:t xml:space="preserve">rechtsstaatlichen </w:t>
            </w:r>
            <w:r>
              <w:rPr>
                <w:sz w:val="20"/>
                <w:szCs w:val="20"/>
              </w:rPr>
              <w:t xml:space="preserve">Prozess </w:t>
            </w:r>
            <w:r w:rsidRPr="00396C13">
              <w:rPr>
                <w:sz w:val="20"/>
                <w:szCs w:val="20"/>
              </w:rPr>
              <w:t>verhaftet (Freiheit)</w:t>
            </w:r>
            <w:r w:rsidRPr="001C5DDD">
              <w:rPr>
                <w:sz w:val="20"/>
                <w:szCs w:val="20"/>
              </w:rPr>
              <w:t xml:space="preserve"> oder enteignet zu werden</w:t>
            </w:r>
            <w:r w:rsidRPr="00396C13">
              <w:rPr>
                <w:sz w:val="20"/>
                <w:szCs w:val="20"/>
              </w:rPr>
              <w:t xml:space="preserve"> (Eigentum). Und</w:t>
            </w:r>
            <w:r w:rsidRPr="001C5DDD">
              <w:rPr>
                <w:sz w:val="20"/>
                <w:szCs w:val="20"/>
              </w:rPr>
              <w:t xml:space="preserve"> positiv </w:t>
            </w:r>
            <w:r w:rsidRPr="00396C13">
              <w:rPr>
                <w:sz w:val="20"/>
                <w:szCs w:val="20"/>
              </w:rPr>
              <w:t xml:space="preserve">sind </w:t>
            </w:r>
            <w:r w:rsidRPr="001C5DDD">
              <w:rPr>
                <w:sz w:val="20"/>
                <w:szCs w:val="20"/>
              </w:rPr>
              <w:t xml:space="preserve">Bedingungen zu </w:t>
            </w:r>
            <w:r w:rsidRPr="00396C13">
              <w:rPr>
                <w:sz w:val="20"/>
                <w:szCs w:val="20"/>
              </w:rPr>
              <w:t>sichern</w:t>
            </w:r>
            <w:r w:rsidRPr="001C5DDD">
              <w:rPr>
                <w:sz w:val="20"/>
                <w:szCs w:val="20"/>
              </w:rPr>
              <w:t xml:space="preserve">, die </w:t>
            </w:r>
            <w:r>
              <w:rPr>
                <w:sz w:val="20"/>
                <w:szCs w:val="20"/>
              </w:rPr>
              <w:t xml:space="preserve">es den </w:t>
            </w:r>
            <w:r w:rsidRPr="001C5DDD">
              <w:rPr>
                <w:sz w:val="20"/>
                <w:szCs w:val="20"/>
              </w:rPr>
              <w:t>Menschen ermöglichen, ein erfüllendes Leben zu führen</w:t>
            </w:r>
            <w:r w:rsidRPr="00396C13">
              <w:rPr>
                <w:sz w:val="20"/>
                <w:szCs w:val="20"/>
              </w:rPr>
              <w:t xml:space="preserve"> (Leben, Freiheit, Eigentum)</w:t>
            </w:r>
            <w:r w:rsidRPr="001C5DDD">
              <w:rPr>
                <w:sz w:val="20"/>
                <w:szCs w:val="20"/>
              </w:rPr>
              <w:t>.</w:t>
            </w:r>
            <w:r w:rsidRPr="00396C13">
              <w:rPr>
                <w:sz w:val="20"/>
                <w:szCs w:val="20"/>
              </w:rPr>
              <w:t xml:space="preserve"> Das </w:t>
            </w:r>
            <w:r w:rsidRPr="001C5DDD">
              <w:rPr>
                <w:sz w:val="20"/>
                <w:szCs w:val="20"/>
              </w:rPr>
              <w:t xml:space="preserve">Streben nach Glück </w:t>
            </w:r>
            <w:r w:rsidRPr="00396C13">
              <w:rPr>
                <w:sz w:val="20"/>
                <w:szCs w:val="20"/>
              </w:rPr>
              <w:t xml:space="preserve">verändert also die Begriffe Leben, Freiheit, Eigentum. Denn es sichert sie in negativer Sicht und fördert sie in positiver Sicht. Doch was heißt das konkret für die Begriffsdefinitionen? Beim Recht auf </w:t>
            </w:r>
            <w:r w:rsidRPr="001C5DDD">
              <w:rPr>
                <w:sz w:val="20"/>
                <w:szCs w:val="20"/>
              </w:rPr>
              <w:t xml:space="preserve">Leben </w:t>
            </w:r>
            <w:r w:rsidRPr="00396C13">
              <w:rPr>
                <w:sz w:val="20"/>
                <w:szCs w:val="20"/>
              </w:rPr>
              <w:t>geht es um m</w:t>
            </w:r>
            <w:r w:rsidRPr="001C5DDD">
              <w:rPr>
                <w:sz w:val="20"/>
                <w:szCs w:val="20"/>
              </w:rPr>
              <w:t xml:space="preserve">ehr als nur </w:t>
            </w:r>
            <w:r w:rsidRPr="00396C13">
              <w:rPr>
                <w:sz w:val="20"/>
                <w:szCs w:val="20"/>
              </w:rPr>
              <w:t>um körperliche Integrität</w:t>
            </w:r>
            <w:r w:rsidRPr="001C5DDD">
              <w:rPr>
                <w:sz w:val="20"/>
                <w:szCs w:val="20"/>
              </w:rPr>
              <w:t xml:space="preserve">, </w:t>
            </w:r>
            <w:r>
              <w:rPr>
                <w:sz w:val="20"/>
                <w:szCs w:val="20"/>
              </w:rPr>
              <w:t>es geht</w:t>
            </w:r>
            <w:r w:rsidRPr="001C5DDD">
              <w:rPr>
                <w:sz w:val="20"/>
                <w:szCs w:val="20"/>
              </w:rPr>
              <w:t xml:space="preserve"> </w:t>
            </w:r>
            <w:r w:rsidRPr="00396C13">
              <w:rPr>
                <w:sz w:val="20"/>
                <w:szCs w:val="20"/>
              </w:rPr>
              <w:t>auch darum, sein</w:t>
            </w:r>
            <w:r w:rsidRPr="001C5DDD">
              <w:rPr>
                <w:sz w:val="20"/>
                <w:szCs w:val="20"/>
              </w:rPr>
              <w:t xml:space="preserve"> Potenzial </w:t>
            </w:r>
            <w:r w:rsidRPr="00396C13">
              <w:rPr>
                <w:sz w:val="20"/>
                <w:szCs w:val="20"/>
              </w:rPr>
              <w:t>ausschöpfen zu können („</w:t>
            </w:r>
            <w:proofErr w:type="spellStart"/>
            <w:r w:rsidRPr="5B67C1D2">
              <w:rPr>
                <w:sz w:val="20"/>
                <w:szCs w:val="20"/>
              </w:rPr>
              <w:t>life</w:t>
            </w:r>
            <w:proofErr w:type="spellEnd"/>
            <w:r w:rsidRPr="5B67C1D2">
              <w:rPr>
                <w:sz w:val="20"/>
                <w:szCs w:val="20"/>
              </w:rPr>
              <w:t xml:space="preserve">, for </w:t>
            </w:r>
            <w:proofErr w:type="spellStart"/>
            <w:r w:rsidRPr="5B67C1D2">
              <w:rPr>
                <w:sz w:val="20"/>
                <w:szCs w:val="20"/>
              </w:rPr>
              <w:t>its</w:t>
            </w:r>
            <w:proofErr w:type="spellEnd"/>
            <w:r w:rsidRPr="5B67C1D2">
              <w:rPr>
                <w:sz w:val="20"/>
                <w:szCs w:val="20"/>
              </w:rPr>
              <w:t xml:space="preserve"> </w:t>
            </w:r>
            <w:proofErr w:type="spellStart"/>
            <w:r w:rsidRPr="5B67C1D2">
              <w:rPr>
                <w:sz w:val="20"/>
                <w:szCs w:val="20"/>
              </w:rPr>
              <w:t>growth</w:t>
            </w:r>
            <w:proofErr w:type="spellEnd"/>
            <w:r w:rsidRPr="5B67C1D2">
              <w:rPr>
                <w:sz w:val="20"/>
                <w:szCs w:val="20"/>
              </w:rPr>
              <w:t xml:space="preserve"> and </w:t>
            </w:r>
            <w:proofErr w:type="spellStart"/>
            <w:r w:rsidRPr="5B67C1D2">
              <w:rPr>
                <w:sz w:val="20"/>
                <w:szCs w:val="20"/>
              </w:rPr>
              <w:t>enjoyment</w:t>
            </w:r>
            <w:proofErr w:type="spellEnd"/>
            <w:r w:rsidRPr="5B67C1D2">
              <w:rPr>
                <w:sz w:val="20"/>
                <w:szCs w:val="20"/>
              </w:rPr>
              <w:t>“</w:t>
            </w:r>
            <w:r w:rsidRPr="00396C13">
              <w:rPr>
                <w:sz w:val="20"/>
                <w:szCs w:val="20"/>
                <w:vertAlign w:val="superscript"/>
              </w:rPr>
              <w:footnoteReference w:id="1104"/>
            </w:r>
            <w:r w:rsidRPr="00396C13">
              <w:rPr>
                <w:sz w:val="20"/>
                <w:szCs w:val="20"/>
              </w:rPr>
              <w:t>);</w:t>
            </w:r>
            <w:r w:rsidRPr="001C5DDD">
              <w:rPr>
                <w:sz w:val="20"/>
                <w:szCs w:val="20"/>
              </w:rPr>
              <w:t xml:space="preserve"> </w:t>
            </w:r>
            <w:r w:rsidRPr="00396C13">
              <w:rPr>
                <w:sz w:val="20"/>
                <w:szCs w:val="20"/>
              </w:rPr>
              <w:t>d</w:t>
            </w:r>
            <w:r w:rsidRPr="001C5DDD">
              <w:rPr>
                <w:sz w:val="20"/>
                <w:szCs w:val="20"/>
              </w:rPr>
              <w:t>azu gehört</w:t>
            </w:r>
            <w:r w:rsidRPr="00396C13">
              <w:rPr>
                <w:sz w:val="20"/>
                <w:szCs w:val="20"/>
              </w:rPr>
              <w:t>, seine</w:t>
            </w:r>
            <w:r w:rsidRPr="001C5DDD">
              <w:rPr>
                <w:sz w:val="20"/>
                <w:szCs w:val="20"/>
              </w:rPr>
              <w:t xml:space="preserve"> Fähigkeiten </w:t>
            </w:r>
            <w:r w:rsidRPr="00396C13">
              <w:rPr>
                <w:sz w:val="20"/>
                <w:szCs w:val="20"/>
              </w:rPr>
              <w:t xml:space="preserve">ausleben zu können </w:t>
            </w:r>
            <w:r w:rsidRPr="001C5DDD">
              <w:rPr>
                <w:sz w:val="20"/>
                <w:szCs w:val="20"/>
              </w:rPr>
              <w:t xml:space="preserve">und </w:t>
            </w:r>
            <w:r w:rsidRPr="00396C13">
              <w:rPr>
                <w:sz w:val="20"/>
                <w:szCs w:val="20"/>
              </w:rPr>
              <w:t xml:space="preserve">die körperliche Unversehrtheit </w:t>
            </w:r>
            <w:proofErr w:type="gramStart"/>
            <w:r w:rsidRPr="5B67C1D2">
              <w:rPr>
                <w:sz w:val="20"/>
                <w:szCs w:val="20"/>
              </w:rPr>
              <w:t>soweit</w:t>
            </w:r>
            <w:proofErr w:type="gramEnd"/>
            <w:r w:rsidRPr="5B67C1D2">
              <w:rPr>
                <w:sz w:val="20"/>
                <w:szCs w:val="20"/>
              </w:rPr>
              <w:t xml:space="preserve"> zu sichern</w:t>
            </w:r>
            <w:r w:rsidRPr="001C5DDD">
              <w:rPr>
                <w:sz w:val="20"/>
                <w:szCs w:val="20"/>
              </w:rPr>
              <w:t xml:space="preserve">, </w:t>
            </w:r>
            <w:r w:rsidRPr="00396C13">
              <w:rPr>
                <w:sz w:val="20"/>
                <w:szCs w:val="20"/>
              </w:rPr>
              <w:t>das</w:t>
            </w:r>
            <w:r>
              <w:rPr>
                <w:sz w:val="20"/>
                <w:szCs w:val="20"/>
              </w:rPr>
              <w:t>s</w:t>
            </w:r>
            <w:r w:rsidRPr="00396C13">
              <w:rPr>
                <w:sz w:val="20"/>
                <w:szCs w:val="20"/>
              </w:rPr>
              <w:t xml:space="preserve"> dies dem </w:t>
            </w:r>
            <w:r w:rsidRPr="001C5DDD">
              <w:rPr>
                <w:sz w:val="20"/>
                <w:szCs w:val="20"/>
              </w:rPr>
              <w:t>Individuum ermöglich</w:t>
            </w:r>
            <w:r w:rsidRPr="00396C13">
              <w:rPr>
                <w:sz w:val="20"/>
                <w:szCs w:val="20"/>
              </w:rPr>
              <w:t>t werde.</w:t>
            </w:r>
            <w:r w:rsidRPr="00396C13">
              <w:rPr>
                <w:sz w:val="20"/>
                <w:szCs w:val="20"/>
                <w:vertAlign w:val="superscript"/>
              </w:rPr>
              <w:t xml:space="preserve"> </w:t>
            </w:r>
            <w:r w:rsidRPr="00396C13">
              <w:rPr>
                <w:sz w:val="20"/>
                <w:szCs w:val="20"/>
                <w:vertAlign w:val="superscript"/>
              </w:rPr>
              <w:footnoteReference w:id="1105"/>
            </w:r>
            <w:r w:rsidRPr="00396C13">
              <w:rPr>
                <w:sz w:val="20"/>
                <w:szCs w:val="20"/>
              </w:rPr>
              <w:t xml:space="preserve"> Und das </w:t>
            </w:r>
            <w:r w:rsidRPr="00396C13">
              <w:rPr>
                <w:sz w:val="20"/>
                <w:szCs w:val="20"/>
              </w:rPr>
              <w:lastRenderedPageBreak/>
              <w:t xml:space="preserve">Recht auf </w:t>
            </w:r>
            <w:r w:rsidRPr="001C5DDD">
              <w:rPr>
                <w:sz w:val="20"/>
                <w:szCs w:val="20"/>
              </w:rPr>
              <w:t>Freiheit</w:t>
            </w:r>
            <w:r w:rsidRPr="00396C13">
              <w:rPr>
                <w:sz w:val="20"/>
                <w:szCs w:val="20"/>
              </w:rPr>
              <w:t>? Das</w:t>
            </w:r>
            <w:r w:rsidRPr="001C5DDD">
              <w:rPr>
                <w:sz w:val="20"/>
                <w:szCs w:val="20"/>
              </w:rPr>
              <w:t xml:space="preserve"> </w:t>
            </w:r>
            <w:r w:rsidRPr="00396C13">
              <w:rPr>
                <w:sz w:val="20"/>
                <w:szCs w:val="20"/>
              </w:rPr>
              <w:t>d</w:t>
            </w:r>
            <w:r w:rsidRPr="001C5DDD">
              <w:rPr>
                <w:sz w:val="20"/>
                <w:szCs w:val="20"/>
              </w:rPr>
              <w:t xml:space="preserve">efiniert </w:t>
            </w:r>
            <w:r w:rsidRPr="00396C13">
              <w:rPr>
                <w:sz w:val="20"/>
                <w:szCs w:val="20"/>
              </w:rPr>
              <w:t xml:space="preserve">sich </w:t>
            </w:r>
            <w:r w:rsidRPr="001C5DDD">
              <w:rPr>
                <w:sz w:val="20"/>
                <w:szCs w:val="20"/>
              </w:rPr>
              <w:t>als weit mehr als nur Freiheit vo</w:t>
            </w:r>
            <w:r w:rsidRPr="00396C13">
              <w:rPr>
                <w:sz w:val="20"/>
                <w:szCs w:val="20"/>
              </w:rPr>
              <w:t>r</w:t>
            </w:r>
            <w:r w:rsidRPr="001C5DDD">
              <w:rPr>
                <w:sz w:val="20"/>
                <w:szCs w:val="20"/>
              </w:rPr>
              <w:t xml:space="preserve"> Inhaftierung</w:t>
            </w:r>
            <w:r>
              <w:rPr>
                <w:sz w:val="20"/>
                <w:szCs w:val="20"/>
              </w:rPr>
              <w:t>,</w:t>
            </w:r>
            <w:r w:rsidRPr="001C5DDD">
              <w:rPr>
                <w:sz w:val="20"/>
                <w:szCs w:val="20"/>
              </w:rPr>
              <w:t xml:space="preserve"> oder</w:t>
            </w:r>
            <w:r w:rsidRPr="00396C13">
              <w:rPr>
                <w:sz w:val="20"/>
                <w:szCs w:val="20"/>
              </w:rPr>
              <w:t xml:space="preserve"> dass sich der Staat bei seinen Eingriffen zurückzuhalten habe („</w:t>
            </w:r>
            <w:proofErr w:type="spellStart"/>
            <w:r w:rsidRPr="5B67C1D2">
              <w:rPr>
                <w:sz w:val="20"/>
                <w:szCs w:val="20"/>
              </w:rPr>
              <w:t>more</w:t>
            </w:r>
            <w:proofErr w:type="spellEnd"/>
            <w:r w:rsidRPr="5B67C1D2">
              <w:rPr>
                <w:sz w:val="20"/>
                <w:szCs w:val="20"/>
              </w:rPr>
              <w:t xml:space="preserve"> </w:t>
            </w:r>
            <w:proofErr w:type="spellStart"/>
            <w:r w:rsidRPr="5B67C1D2">
              <w:rPr>
                <w:sz w:val="20"/>
                <w:szCs w:val="20"/>
              </w:rPr>
              <w:t>is</w:t>
            </w:r>
            <w:proofErr w:type="spellEnd"/>
            <w:r w:rsidRPr="5B67C1D2">
              <w:rPr>
                <w:sz w:val="20"/>
                <w:szCs w:val="20"/>
              </w:rPr>
              <w:t xml:space="preserve"> </w:t>
            </w:r>
            <w:proofErr w:type="spellStart"/>
            <w:r w:rsidRPr="5B67C1D2">
              <w:rPr>
                <w:sz w:val="20"/>
                <w:szCs w:val="20"/>
              </w:rPr>
              <w:t>meant</w:t>
            </w:r>
            <w:proofErr w:type="spellEnd"/>
            <w:r w:rsidRPr="5B67C1D2">
              <w:rPr>
                <w:sz w:val="20"/>
                <w:szCs w:val="20"/>
              </w:rPr>
              <w:t xml:space="preserve"> </w:t>
            </w:r>
            <w:proofErr w:type="spellStart"/>
            <w:r w:rsidRPr="5B67C1D2">
              <w:rPr>
                <w:sz w:val="20"/>
                <w:szCs w:val="20"/>
              </w:rPr>
              <w:t>than</w:t>
            </w:r>
            <w:proofErr w:type="spellEnd"/>
            <w:r w:rsidRPr="5B67C1D2">
              <w:rPr>
                <w:sz w:val="20"/>
                <w:szCs w:val="20"/>
              </w:rPr>
              <w:t xml:space="preserve"> </w:t>
            </w:r>
            <w:proofErr w:type="spellStart"/>
            <w:r w:rsidRPr="5B67C1D2">
              <w:rPr>
                <w:sz w:val="20"/>
                <w:szCs w:val="20"/>
              </w:rPr>
              <w:t>mere</w:t>
            </w:r>
            <w:proofErr w:type="spellEnd"/>
            <w:r w:rsidRPr="5B67C1D2">
              <w:rPr>
                <w:sz w:val="20"/>
                <w:szCs w:val="20"/>
              </w:rPr>
              <w:t xml:space="preserve"> </w:t>
            </w:r>
            <w:proofErr w:type="spellStart"/>
            <w:r w:rsidRPr="5B67C1D2">
              <w:rPr>
                <w:sz w:val="20"/>
                <w:szCs w:val="20"/>
              </w:rPr>
              <w:t>freedom</w:t>
            </w:r>
            <w:proofErr w:type="spellEnd"/>
            <w:r w:rsidRPr="5B67C1D2">
              <w:rPr>
                <w:sz w:val="20"/>
                <w:szCs w:val="20"/>
              </w:rPr>
              <w:t xml:space="preserve"> </w:t>
            </w:r>
            <w:proofErr w:type="spellStart"/>
            <w:r w:rsidRPr="5B67C1D2">
              <w:rPr>
                <w:sz w:val="20"/>
                <w:szCs w:val="20"/>
              </w:rPr>
              <w:t>from</w:t>
            </w:r>
            <w:proofErr w:type="spellEnd"/>
            <w:r w:rsidRPr="5B67C1D2">
              <w:rPr>
                <w:sz w:val="20"/>
                <w:szCs w:val="20"/>
              </w:rPr>
              <w:t xml:space="preserve"> </w:t>
            </w:r>
            <w:proofErr w:type="spellStart"/>
            <w:r w:rsidRPr="5B67C1D2">
              <w:rPr>
                <w:sz w:val="20"/>
                <w:szCs w:val="20"/>
              </w:rPr>
              <w:t>physical</w:t>
            </w:r>
            <w:proofErr w:type="spellEnd"/>
            <w:r w:rsidRPr="5B67C1D2">
              <w:rPr>
                <w:sz w:val="20"/>
                <w:szCs w:val="20"/>
              </w:rPr>
              <w:t xml:space="preserve"> restraint </w:t>
            </w:r>
            <w:proofErr w:type="spellStart"/>
            <w:r w:rsidRPr="5B67C1D2">
              <w:rPr>
                <w:sz w:val="20"/>
                <w:szCs w:val="20"/>
              </w:rPr>
              <w:t>or</w:t>
            </w:r>
            <w:proofErr w:type="spellEnd"/>
            <w:r w:rsidRPr="5B67C1D2">
              <w:rPr>
                <w:sz w:val="20"/>
                <w:szCs w:val="20"/>
              </w:rPr>
              <w:t xml:space="preserve"> the </w:t>
            </w:r>
            <w:proofErr w:type="spellStart"/>
            <w:r w:rsidRPr="5B67C1D2">
              <w:rPr>
                <w:sz w:val="20"/>
                <w:szCs w:val="20"/>
              </w:rPr>
              <w:t>bounds</w:t>
            </w:r>
            <w:proofErr w:type="spellEnd"/>
            <w:r w:rsidRPr="5B67C1D2">
              <w:rPr>
                <w:sz w:val="20"/>
                <w:szCs w:val="20"/>
              </w:rPr>
              <w:t xml:space="preserve"> of a </w:t>
            </w:r>
            <w:proofErr w:type="spellStart"/>
            <w:r w:rsidRPr="5B67C1D2">
              <w:rPr>
                <w:sz w:val="20"/>
                <w:szCs w:val="20"/>
              </w:rPr>
              <w:t>prison</w:t>
            </w:r>
            <w:proofErr w:type="spellEnd"/>
            <w:r w:rsidRPr="5B67C1D2">
              <w:rPr>
                <w:sz w:val="20"/>
                <w:szCs w:val="20"/>
              </w:rPr>
              <w:t>“</w:t>
            </w:r>
            <w:r w:rsidRPr="00396C13">
              <w:rPr>
                <w:sz w:val="20"/>
                <w:szCs w:val="20"/>
                <w:vertAlign w:val="superscript"/>
              </w:rPr>
              <w:footnoteReference w:id="1106"/>
            </w:r>
            <w:r w:rsidRPr="00396C13">
              <w:rPr>
                <w:sz w:val="20"/>
                <w:szCs w:val="20"/>
              </w:rPr>
              <w:t xml:space="preserve">). Sondern die </w:t>
            </w:r>
            <w:r w:rsidRPr="001C5DDD">
              <w:rPr>
                <w:sz w:val="20"/>
                <w:szCs w:val="20"/>
              </w:rPr>
              <w:t>Freiheit</w:t>
            </w:r>
            <w:r w:rsidRPr="00396C13">
              <w:rPr>
                <w:sz w:val="20"/>
                <w:szCs w:val="20"/>
              </w:rPr>
              <w:t xml:space="preserve"> umfasst auch die Entscheidungsfreiheit;</w:t>
            </w:r>
            <w:r w:rsidRPr="001C5DDD">
              <w:rPr>
                <w:sz w:val="20"/>
                <w:szCs w:val="20"/>
              </w:rPr>
              <w:t xml:space="preserve"> </w:t>
            </w:r>
            <w:r w:rsidRPr="00396C13">
              <w:rPr>
                <w:sz w:val="20"/>
                <w:szCs w:val="20"/>
              </w:rPr>
              <w:t>d.h.</w:t>
            </w:r>
            <w:r w:rsidRPr="001C5DDD">
              <w:rPr>
                <w:sz w:val="20"/>
                <w:szCs w:val="20"/>
              </w:rPr>
              <w:t xml:space="preserve"> d</w:t>
            </w:r>
            <w:r w:rsidRPr="00396C13">
              <w:rPr>
                <w:sz w:val="20"/>
                <w:szCs w:val="20"/>
              </w:rPr>
              <w:t>ie</w:t>
            </w:r>
            <w:r w:rsidRPr="001C5DDD">
              <w:rPr>
                <w:sz w:val="20"/>
                <w:szCs w:val="20"/>
              </w:rPr>
              <w:t xml:space="preserve"> Wahl des Aufenthaltsorts, welcher Beruf ausgeübt wird, und </w:t>
            </w:r>
            <w:r w:rsidRPr="00396C13">
              <w:rPr>
                <w:sz w:val="20"/>
                <w:szCs w:val="20"/>
              </w:rPr>
              <w:t>dass man sich frei</w:t>
            </w:r>
            <w:r w:rsidRPr="001C5DDD">
              <w:rPr>
                <w:sz w:val="20"/>
                <w:szCs w:val="20"/>
              </w:rPr>
              <w:t xml:space="preserve"> ausdrück</w:t>
            </w:r>
            <w:r w:rsidRPr="00396C13">
              <w:rPr>
                <w:sz w:val="20"/>
                <w:szCs w:val="20"/>
              </w:rPr>
              <w:t>en kann</w:t>
            </w:r>
            <w:r w:rsidRPr="001C5DDD">
              <w:rPr>
                <w:sz w:val="20"/>
                <w:szCs w:val="20"/>
              </w:rPr>
              <w:t xml:space="preserve">. Diese Freiheit ist entscheidend für die persönliche Entwicklung </w:t>
            </w:r>
            <w:r w:rsidRPr="00396C13">
              <w:rPr>
                <w:sz w:val="20"/>
                <w:szCs w:val="20"/>
              </w:rPr>
              <w:t xml:space="preserve">– </w:t>
            </w:r>
            <w:r w:rsidRPr="001C5DDD">
              <w:rPr>
                <w:sz w:val="20"/>
                <w:szCs w:val="20"/>
              </w:rPr>
              <w:t xml:space="preserve">und </w:t>
            </w:r>
            <w:r w:rsidRPr="00396C13">
              <w:rPr>
                <w:sz w:val="20"/>
                <w:szCs w:val="20"/>
              </w:rPr>
              <w:t>i</w:t>
            </w:r>
            <w:r w:rsidR="46F81E89" w:rsidRPr="5B67C1D2">
              <w:rPr>
                <w:sz w:val="20"/>
                <w:szCs w:val="20"/>
              </w:rPr>
              <w:t xml:space="preserve">m </w:t>
            </w:r>
            <w:r w:rsidRPr="5B67C1D2">
              <w:rPr>
                <w:sz w:val="20"/>
                <w:szCs w:val="20"/>
              </w:rPr>
              <w:t>E</w:t>
            </w:r>
            <w:r w:rsidR="50D2A085" w:rsidRPr="5B67C1D2">
              <w:rPr>
                <w:sz w:val="20"/>
                <w:szCs w:val="20"/>
              </w:rPr>
              <w:t>rgebnis</w:t>
            </w:r>
            <w:r w:rsidRPr="5B67C1D2">
              <w:rPr>
                <w:sz w:val="20"/>
                <w:szCs w:val="20"/>
              </w:rPr>
              <w:t xml:space="preserve"> das Glück. Denn sie ermöglicht es den Individuen, Entscheidungen zu treffen, die ihren Wünschen, Talenten und Bedürfnissen entsprechen („to </w:t>
            </w:r>
            <w:proofErr w:type="spellStart"/>
            <w:r w:rsidRPr="5B67C1D2">
              <w:rPr>
                <w:sz w:val="20"/>
                <w:szCs w:val="20"/>
              </w:rPr>
              <w:t>pursue</w:t>
            </w:r>
            <w:proofErr w:type="spellEnd"/>
            <w:r w:rsidRPr="5B67C1D2">
              <w:rPr>
                <w:sz w:val="20"/>
                <w:szCs w:val="20"/>
              </w:rPr>
              <w:t xml:space="preserve"> such </w:t>
            </w:r>
            <w:proofErr w:type="spellStart"/>
            <w:r w:rsidRPr="5B67C1D2">
              <w:rPr>
                <w:sz w:val="20"/>
                <w:szCs w:val="20"/>
              </w:rPr>
              <w:t>callings</w:t>
            </w:r>
            <w:proofErr w:type="spellEnd"/>
            <w:r w:rsidRPr="5B67C1D2">
              <w:rPr>
                <w:sz w:val="20"/>
                <w:szCs w:val="20"/>
              </w:rPr>
              <w:t xml:space="preserve"> and </w:t>
            </w:r>
            <w:proofErr w:type="spellStart"/>
            <w:r w:rsidRPr="5B67C1D2">
              <w:rPr>
                <w:sz w:val="20"/>
                <w:szCs w:val="20"/>
              </w:rPr>
              <w:t>avocations</w:t>
            </w:r>
            <w:proofErr w:type="spellEnd"/>
            <w:r w:rsidRPr="5B67C1D2">
              <w:rPr>
                <w:sz w:val="20"/>
                <w:szCs w:val="20"/>
              </w:rPr>
              <w:t xml:space="preserve"> as </w:t>
            </w:r>
            <w:proofErr w:type="spellStart"/>
            <w:r w:rsidRPr="5B67C1D2">
              <w:rPr>
                <w:sz w:val="20"/>
                <w:szCs w:val="20"/>
              </w:rPr>
              <w:t>may</w:t>
            </w:r>
            <w:proofErr w:type="spellEnd"/>
            <w:r w:rsidRPr="5B67C1D2">
              <w:rPr>
                <w:sz w:val="20"/>
                <w:szCs w:val="20"/>
              </w:rPr>
              <w:t xml:space="preserve"> </w:t>
            </w:r>
            <w:proofErr w:type="spellStart"/>
            <w:r w:rsidRPr="5B67C1D2">
              <w:rPr>
                <w:sz w:val="20"/>
                <w:szCs w:val="20"/>
              </w:rPr>
              <w:t>be</w:t>
            </w:r>
            <w:proofErr w:type="spellEnd"/>
            <w:r w:rsidRPr="5B67C1D2">
              <w:rPr>
                <w:sz w:val="20"/>
                <w:szCs w:val="20"/>
              </w:rPr>
              <w:t xml:space="preserve"> </w:t>
            </w:r>
            <w:proofErr w:type="spellStart"/>
            <w:r w:rsidRPr="5B67C1D2">
              <w:rPr>
                <w:sz w:val="20"/>
                <w:szCs w:val="20"/>
              </w:rPr>
              <w:t>most</w:t>
            </w:r>
            <w:proofErr w:type="spellEnd"/>
            <w:r w:rsidRPr="5B67C1D2">
              <w:rPr>
                <w:sz w:val="20"/>
                <w:szCs w:val="20"/>
              </w:rPr>
              <w:t xml:space="preserve"> </w:t>
            </w:r>
            <w:proofErr w:type="spellStart"/>
            <w:r w:rsidRPr="5B67C1D2">
              <w:rPr>
                <w:sz w:val="20"/>
                <w:szCs w:val="20"/>
              </w:rPr>
              <w:t>suitable</w:t>
            </w:r>
            <w:proofErr w:type="spellEnd"/>
            <w:r w:rsidRPr="5B67C1D2">
              <w:rPr>
                <w:sz w:val="20"/>
                <w:szCs w:val="20"/>
              </w:rPr>
              <w:t xml:space="preserve"> to </w:t>
            </w:r>
            <w:proofErr w:type="spellStart"/>
            <w:r w:rsidRPr="5B67C1D2">
              <w:rPr>
                <w:sz w:val="20"/>
                <w:szCs w:val="20"/>
              </w:rPr>
              <w:t>develop</w:t>
            </w:r>
            <w:proofErr w:type="spellEnd"/>
            <w:r w:rsidRPr="5B67C1D2">
              <w:rPr>
                <w:sz w:val="20"/>
                <w:szCs w:val="20"/>
              </w:rPr>
              <w:t xml:space="preserve"> </w:t>
            </w:r>
            <w:proofErr w:type="spellStart"/>
            <w:r w:rsidRPr="5B67C1D2">
              <w:rPr>
                <w:sz w:val="20"/>
                <w:szCs w:val="20"/>
              </w:rPr>
              <w:t>his</w:t>
            </w:r>
            <w:proofErr w:type="spellEnd"/>
            <w:r w:rsidRPr="5B67C1D2">
              <w:rPr>
                <w:sz w:val="20"/>
                <w:szCs w:val="20"/>
              </w:rPr>
              <w:t xml:space="preserve"> </w:t>
            </w:r>
            <w:proofErr w:type="spellStart"/>
            <w:r w:rsidRPr="5B67C1D2">
              <w:rPr>
                <w:sz w:val="20"/>
                <w:szCs w:val="20"/>
              </w:rPr>
              <w:t>capacities</w:t>
            </w:r>
            <w:proofErr w:type="spellEnd"/>
            <w:r w:rsidRPr="5B67C1D2">
              <w:rPr>
                <w:sz w:val="20"/>
                <w:szCs w:val="20"/>
              </w:rPr>
              <w:t xml:space="preserve">, and </w:t>
            </w:r>
            <w:proofErr w:type="spellStart"/>
            <w:r w:rsidRPr="5B67C1D2">
              <w:rPr>
                <w:sz w:val="20"/>
                <w:szCs w:val="20"/>
              </w:rPr>
              <w:t>give</w:t>
            </w:r>
            <w:proofErr w:type="spellEnd"/>
            <w:r w:rsidRPr="5B67C1D2">
              <w:rPr>
                <w:sz w:val="20"/>
                <w:szCs w:val="20"/>
              </w:rPr>
              <w:t xml:space="preserve"> to </w:t>
            </w:r>
            <w:proofErr w:type="spellStart"/>
            <w:r w:rsidRPr="5B67C1D2">
              <w:rPr>
                <w:sz w:val="20"/>
                <w:szCs w:val="20"/>
              </w:rPr>
              <w:t>them</w:t>
            </w:r>
            <w:proofErr w:type="spellEnd"/>
            <w:r w:rsidRPr="5B67C1D2">
              <w:rPr>
                <w:sz w:val="20"/>
                <w:szCs w:val="20"/>
              </w:rPr>
              <w:t xml:space="preserve"> </w:t>
            </w:r>
            <w:proofErr w:type="spellStart"/>
            <w:r w:rsidRPr="5B67C1D2">
              <w:rPr>
                <w:sz w:val="20"/>
                <w:szCs w:val="20"/>
              </w:rPr>
              <w:t>their</w:t>
            </w:r>
            <w:proofErr w:type="spellEnd"/>
            <w:r w:rsidRPr="5B67C1D2">
              <w:rPr>
                <w:sz w:val="20"/>
                <w:szCs w:val="20"/>
              </w:rPr>
              <w:t xml:space="preserve"> </w:t>
            </w:r>
            <w:proofErr w:type="spellStart"/>
            <w:r w:rsidRPr="5B67C1D2">
              <w:rPr>
                <w:sz w:val="20"/>
                <w:szCs w:val="20"/>
              </w:rPr>
              <w:t>highest</w:t>
            </w:r>
            <w:proofErr w:type="spellEnd"/>
            <w:r w:rsidRPr="5B67C1D2">
              <w:rPr>
                <w:sz w:val="20"/>
                <w:szCs w:val="20"/>
              </w:rPr>
              <w:t xml:space="preserve"> </w:t>
            </w:r>
            <w:proofErr w:type="spellStart"/>
            <w:r w:rsidRPr="5B67C1D2">
              <w:rPr>
                <w:sz w:val="20"/>
                <w:szCs w:val="20"/>
              </w:rPr>
              <w:t>enjoyment</w:t>
            </w:r>
            <w:proofErr w:type="spellEnd"/>
            <w:r w:rsidRPr="5B67C1D2">
              <w:rPr>
                <w:sz w:val="20"/>
                <w:szCs w:val="20"/>
              </w:rPr>
              <w:t>“</w:t>
            </w:r>
            <w:r w:rsidRPr="5B67C1D2">
              <w:rPr>
                <w:sz w:val="20"/>
                <w:szCs w:val="20"/>
                <w:vertAlign w:val="superscript"/>
                <w:lang w:val="en-US"/>
              </w:rPr>
              <w:footnoteReference w:id="1107"/>
            </w:r>
            <w:r w:rsidRPr="5B67C1D2">
              <w:rPr>
                <w:sz w:val="20"/>
                <w:szCs w:val="20"/>
              </w:rPr>
              <w:t>). Und zuletzt: das Recht auf Eigentum. Das beschränkt sich nicht nur auf den Besitz von Vermögenswerten und Titeln, sondern es erstreckt sich auf deren Nutzung und die daraus gezogenen Früchte. Die Möglichkeit, das Eigentum nutzen und davon profitieren zu können, wird als wesentlich für die wirtschaftliche Stabilität und persönliche Zufriedenheit angesehen,</w:t>
            </w:r>
            <w:r w:rsidRPr="5B67C1D2">
              <w:rPr>
                <w:sz w:val="20"/>
                <w:szCs w:val="20"/>
                <w:vertAlign w:val="superscript"/>
              </w:rPr>
              <w:footnoteReference w:id="1108"/>
            </w:r>
            <w:r w:rsidRPr="5B67C1D2">
              <w:rPr>
                <w:sz w:val="20"/>
                <w:szCs w:val="20"/>
              </w:rPr>
              <w:t xml:space="preserve"> die wiederum Bestandteile eines glücklichen Lebens sind.</w:t>
            </w:r>
            <w:r w:rsidRPr="5B67C1D2">
              <w:rPr>
                <w:sz w:val="20"/>
                <w:szCs w:val="20"/>
                <w:vertAlign w:val="superscript"/>
              </w:rPr>
              <w:footnoteReference w:id="1109"/>
            </w:r>
            <w:r w:rsidRPr="5B67C1D2">
              <w:rPr>
                <w:sz w:val="20"/>
                <w:szCs w:val="20"/>
              </w:rPr>
              <w:t xml:space="preserve"> Entsprechend zielt das </w:t>
            </w:r>
            <w:proofErr w:type="spellStart"/>
            <w:r w:rsidRPr="5B67C1D2">
              <w:rPr>
                <w:i/>
                <w:iCs/>
                <w:sz w:val="20"/>
                <w:szCs w:val="20"/>
              </w:rPr>
              <w:t>pursuit</w:t>
            </w:r>
            <w:proofErr w:type="spellEnd"/>
            <w:r w:rsidRPr="5B67C1D2">
              <w:rPr>
                <w:i/>
                <w:iCs/>
                <w:sz w:val="20"/>
                <w:szCs w:val="20"/>
              </w:rPr>
              <w:t xml:space="preserve"> of Happiness </w:t>
            </w:r>
            <w:r w:rsidRPr="5B67C1D2">
              <w:rPr>
                <w:sz w:val="20"/>
                <w:szCs w:val="20"/>
              </w:rPr>
              <w:t xml:space="preserve">darauf ab, eine Gesellschaft zu schaffen, in der Einzelpersonen nicht nur vor unangemessenen staatlichen Eingriffen freizuhalten sind (negative Seite), sondern in der sie auch unterstützt werden, ein Leben zu führen, das ihnen Möglichkeiten eröffnet, mit dem Ziel einer persönlichen Zufriedenheit (positive Seite).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5B67C1D2">
              <w:rPr>
                <w:sz w:val="20"/>
                <w:szCs w:val="20"/>
              </w:rPr>
              <w:t xml:space="preserve"> formuliert also den Gedanken, dass die verfassungsmäßigen Schutzbereiche des Rechts auf Leben, Freiheit und Eigentum über das Vehikel der Due </w:t>
            </w:r>
            <w:proofErr w:type="spellStart"/>
            <w:r w:rsidRPr="5B67C1D2">
              <w:rPr>
                <w:sz w:val="20"/>
                <w:szCs w:val="20"/>
              </w:rPr>
              <w:t>Process</w:t>
            </w:r>
            <w:proofErr w:type="spellEnd"/>
            <w:r w:rsidRPr="5B67C1D2">
              <w:rPr>
                <w:sz w:val="20"/>
                <w:szCs w:val="20"/>
              </w:rPr>
              <w:t xml:space="preserve"> </w:t>
            </w:r>
            <w:proofErr w:type="spellStart"/>
            <w:r w:rsidRPr="5B67C1D2">
              <w:rPr>
                <w:sz w:val="20"/>
                <w:szCs w:val="20"/>
              </w:rPr>
              <w:t>Clause</w:t>
            </w:r>
            <w:proofErr w:type="spellEnd"/>
            <w:r w:rsidRPr="5B67C1D2">
              <w:rPr>
                <w:sz w:val="20"/>
                <w:szCs w:val="20"/>
              </w:rPr>
              <w:t xml:space="preserve"> nicht nur Sicherheit und grundlegende Freiheit bieten sollten, sondern auch das Ziel fördern sollten, glücklich leben zu können („</w:t>
            </w:r>
            <w:proofErr w:type="spellStart"/>
            <w:r w:rsidRPr="5B67C1D2">
              <w:rPr>
                <w:sz w:val="20"/>
                <w:szCs w:val="20"/>
              </w:rPr>
              <w:t>promotion</w:t>
            </w:r>
            <w:proofErr w:type="spellEnd"/>
            <w:r w:rsidRPr="5B67C1D2">
              <w:rPr>
                <w:sz w:val="20"/>
                <w:szCs w:val="20"/>
              </w:rPr>
              <w:t xml:space="preserve"> of </w:t>
            </w:r>
            <w:proofErr w:type="spellStart"/>
            <w:r w:rsidRPr="5B67C1D2">
              <w:rPr>
                <w:sz w:val="20"/>
                <w:szCs w:val="20"/>
              </w:rPr>
              <w:t>his</w:t>
            </w:r>
            <w:proofErr w:type="spellEnd"/>
            <w:r w:rsidRPr="5B67C1D2">
              <w:rPr>
                <w:sz w:val="20"/>
                <w:szCs w:val="20"/>
              </w:rPr>
              <w:t xml:space="preserve"> </w:t>
            </w:r>
            <w:proofErr w:type="spellStart"/>
            <w:r w:rsidRPr="5B67C1D2">
              <w:rPr>
                <w:sz w:val="20"/>
                <w:szCs w:val="20"/>
              </w:rPr>
              <w:t>happiness</w:t>
            </w:r>
            <w:proofErr w:type="spellEnd"/>
            <w:r w:rsidRPr="5B67C1D2">
              <w:rPr>
                <w:sz w:val="20"/>
                <w:szCs w:val="20"/>
              </w:rPr>
              <w:t>“</w:t>
            </w:r>
            <w:r w:rsidRPr="5B67C1D2">
              <w:rPr>
                <w:sz w:val="20"/>
                <w:szCs w:val="20"/>
                <w:vertAlign w:val="superscript"/>
              </w:rPr>
              <w:footnoteReference w:id="1110"/>
            </w:r>
            <w:r w:rsidRPr="5B67C1D2">
              <w:rPr>
                <w:sz w:val="20"/>
                <w:szCs w:val="20"/>
              </w:rPr>
              <w:t>), zusammengefasst als Bedingungen von Glück („</w:t>
            </w:r>
            <w:proofErr w:type="spellStart"/>
            <w:r w:rsidRPr="5B67C1D2">
              <w:rPr>
                <w:sz w:val="20"/>
                <w:szCs w:val="20"/>
              </w:rPr>
              <w:t>deprive</w:t>
            </w:r>
            <w:proofErr w:type="spellEnd"/>
            <w:r w:rsidRPr="5B67C1D2">
              <w:rPr>
                <w:sz w:val="20"/>
                <w:szCs w:val="20"/>
              </w:rPr>
              <w:t xml:space="preserve"> </w:t>
            </w:r>
            <w:proofErr w:type="spellStart"/>
            <w:r w:rsidRPr="5B67C1D2">
              <w:rPr>
                <w:sz w:val="20"/>
                <w:szCs w:val="20"/>
              </w:rPr>
              <w:t>any</w:t>
            </w:r>
            <w:proofErr w:type="spellEnd"/>
            <w:r w:rsidRPr="5B67C1D2">
              <w:rPr>
                <w:sz w:val="20"/>
                <w:szCs w:val="20"/>
              </w:rPr>
              <w:t xml:space="preserve"> </w:t>
            </w:r>
            <w:proofErr w:type="spellStart"/>
            <w:r w:rsidRPr="5B67C1D2">
              <w:rPr>
                <w:sz w:val="20"/>
                <w:szCs w:val="20"/>
              </w:rPr>
              <w:t>person</w:t>
            </w:r>
            <w:proofErr w:type="spellEnd"/>
            <w:r w:rsidRPr="5B67C1D2">
              <w:rPr>
                <w:sz w:val="20"/>
                <w:szCs w:val="20"/>
              </w:rPr>
              <w:t xml:space="preserve"> of </w:t>
            </w:r>
            <w:proofErr w:type="spellStart"/>
            <w:r w:rsidRPr="5B67C1D2">
              <w:rPr>
                <w:sz w:val="20"/>
                <w:szCs w:val="20"/>
              </w:rPr>
              <w:t>either</w:t>
            </w:r>
            <w:proofErr w:type="spellEnd"/>
            <w:r w:rsidRPr="5B67C1D2">
              <w:rPr>
                <w:sz w:val="20"/>
                <w:szCs w:val="20"/>
              </w:rPr>
              <w:t xml:space="preserve">. </w:t>
            </w:r>
            <w:r w:rsidRPr="5B67C1D2">
              <w:rPr>
                <w:sz w:val="20"/>
                <w:szCs w:val="20"/>
                <w:lang w:val="en-US"/>
              </w:rPr>
              <w:t xml:space="preserve">The provision has been supposed to secure to every individual the essential conditions for the pursuit of happiness; and for that </w:t>
            </w:r>
            <w:proofErr w:type="gramStart"/>
            <w:r w:rsidRPr="5B67C1D2">
              <w:rPr>
                <w:sz w:val="20"/>
                <w:szCs w:val="20"/>
                <w:lang w:val="en-US"/>
              </w:rPr>
              <w:t>reason</w:t>
            </w:r>
            <w:proofErr w:type="gramEnd"/>
            <w:r w:rsidRPr="5B67C1D2">
              <w:rPr>
                <w:sz w:val="20"/>
                <w:szCs w:val="20"/>
                <w:lang w:val="en-US"/>
              </w:rPr>
              <w:t xml:space="preserve"> has not been heretofore, and should never be, construed in any narrow or restricted </w:t>
            </w:r>
            <w:proofErr w:type="gramStart"/>
            <w:r w:rsidRPr="5B67C1D2">
              <w:rPr>
                <w:sz w:val="20"/>
                <w:szCs w:val="20"/>
                <w:lang w:val="en-US"/>
              </w:rPr>
              <w:t>sense.“</w:t>
            </w:r>
            <w:proofErr w:type="gramEnd"/>
            <w:r w:rsidRPr="5B67C1D2">
              <w:rPr>
                <w:sz w:val="20"/>
                <w:szCs w:val="20"/>
                <w:vertAlign w:val="superscript"/>
                <w:lang w:val="en-US"/>
              </w:rPr>
              <w:footnoteReference w:id="1111"/>
            </w:r>
            <w:r w:rsidRPr="5B67C1D2">
              <w:rPr>
                <w:sz w:val="20"/>
                <w:szCs w:val="20"/>
              </w:rPr>
              <w:t xml:space="preserve">). Diese Interpretation wendet sich also </w:t>
            </w:r>
            <w:proofErr w:type="gramStart"/>
            <w:r w:rsidRPr="5B67C1D2">
              <w:rPr>
                <w:sz w:val="20"/>
                <w:szCs w:val="20"/>
              </w:rPr>
              <w:t>gegen jedwede engere Auslegungen</w:t>
            </w:r>
            <w:proofErr w:type="gramEnd"/>
            <w:r w:rsidRPr="5B67C1D2">
              <w:rPr>
                <w:sz w:val="20"/>
                <w:szCs w:val="20"/>
              </w:rPr>
              <w:t xml:space="preserve"> von Leben, Freiheit und Eigentum, die sich auf eine Untermaßkontrolle beschränken könnte.</w:t>
            </w:r>
          </w:p>
          <w:p w14:paraId="5BFB0099" w14:textId="77777777" w:rsidR="00074551" w:rsidRPr="00E50B51" w:rsidRDefault="00074551" w:rsidP="00367133">
            <w:pPr>
              <w:jc w:val="both"/>
              <w:rPr>
                <w:sz w:val="20"/>
                <w:szCs w:val="20"/>
              </w:rPr>
            </w:pPr>
          </w:p>
        </w:tc>
      </w:tr>
      <w:tr w:rsidR="00074551" w:rsidRPr="00E50B51" w14:paraId="5B47613A" w14:textId="77777777" w:rsidTr="00BE689F">
        <w:trPr>
          <w:cantSplit/>
          <w:trHeight w:val="3175"/>
        </w:trPr>
        <w:tc>
          <w:tcPr>
            <w:tcW w:w="293" w:type="pct"/>
          </w:tcPr>
          <w:p w14:paraId="50B8C96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C124D7A" w14:textId="77777777" w:rsidR="00074551" w:rsidRPr="00E50B51" w:rsidRDefault="00074551" w:rsidP="00367133">
            <w:pPr>
              <w:ind w:left="113" w:right="416"/>
              <w:jc w:val="both"/>
              <w:rPr>
                <w:sz w:val="20"/>
                <w:szCs w:val="20"/>
              </w:rPr>
            </w:pPr>
            <w:r w:rsidRPr="009E57E1">
              <w:rPr>
                <w:i/>
                <w:sz w:val="20"/>
                <w:szCs w:val="20"/>
              </w:rPr>
              <w:t>Nebbia v. New York</w:t>
            </w:r>
          </w:p>
        </w:tc>
        <w:tc>
          <w:tcPr>
            <w:tcW w:w="197" w:type="pct"/>
            <w:textDirection w:val="tbRl"/>
            <w:vAlign w:val="center"/>
          </w:tcPr>
          <w:p w14:paraId="453326D9" w14:textId="77777777" w:rsidR="00074551" w:rsidRPr="00E50B51" w:rsidRDefault="00074551" w:rsidP="00367133">
            <w:pPr>
              <w:ind w:left="113" w:right="113"/>
              <w:jc w:val="both"/>
              <w:rPr>
                <w:sz w:val="20"/>
                <w:szCs w:val="20"/>
              </w:rPr>
            </w:pPr>
            <w:r w:rsidRPr="00E50B51">
              <w:rPr>
                <w:sz w:val="20"/>
                <w:szCs w:val="20"/>
                <w:lang w:val="en-US"/>
              </w:rPr>
              <w:t>291 U.S. 502</w:t>
            </w:r>
          </w:p>
        </w:tc>
        <w:tc>
          <w:tcPr>
            <w:tcW w:w="306" w:type="pct"/>
            <w:textDirection w:val="tbRl"/>
            <w:vAlign w:val="center"/>
          </w:tcPr>
          <w:p w14:paraId="56663164" w14:textId="77777777" w:rsidR="00074551" w:rsidRPr="00E50B51" w:rsidRDefault="00074551" w:rsidP="00367133">
            <w:pPr>
              <w:ind w:left="113" w:right="113"/>
              <w:jc w:val="both"/>
              <w:rPr>
                <w:sz w:val="20"/>
                <w:szCs w:val="20"/>
              </w:rPr>
            </w:pPr>
            <w:r w:rsidRPr="00E50B51">
              <w:rPr>
                <w:sz w:val="20"/>
                <w:szCs w:val="20"/>
              </w:rPr>
              <w:t>5. März 1934</w:t>
            </w:r>
          </w:p>
        </w:tc>
        <w:tc>
          <w:tcPr>
            <w:tcW w:w="401" w:type="pct"/>
          </w:tcPr>
          <w:p w14:paraId="2981AC03" w14:textId="77777777" w:rsidR="00074551" w:rsidRPr="00E50B51" w:rsidRDefault="00074551" w:rsidP="00367133">
            <w:pPr>
              <w:jc w:val="center"/>
              <w:rPr>
                <w:sz w:val="20"/>
                <w:szCs w:val="20"/>
              </w:rPr>
            </w:pPr>
            <w:r>
              <w:rPr>
                <w:sz w:val="20"/>
                <w:szCs w:val="20"/>
              </w:rPr>
              <w:t>M/D</w:t>
            </w:r>
          </w:p>
        </w:tc>
        <w:tc>
          <w:tcPr>
            <w:tcW w:w="1594" w:type="pct"/>
          </w:tcPr>
          <w:p w14:paraId="6EB0AB08" w14:textId="77777777"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ein Urteil zulasten des Angeklagten. Dieser ha</w:t>
            </w:r>
            <w:r>
              <w:rPr>
                <w:sz w:val="20"/>
                <w:szCs w:val="20"/>
              </w:rPr>
              <w:t>tt</w:t>
            </w:r>
            <w:r w:rsidRPr="00E50B51">
              <w:rPr>
                <w:sz w:val="20"/>
                <w:szCs w:val="20"/>
              </w:rPr>
              <w:t>e Milch zu einem Preis verkauft, der unter dem Preis lag, den ein staatliches Gremium</w:t>
            </w:r>
            <w:r>
              <w:rPr>
                <w:sz w:val="20"/>
                <w:szCs w:val="20"/>
              </w:rPr>
              <w:t xml:space="preserve">, das sog. </w:t>
            </w:r>
            <w:r w:rsidRPr="5B67C1D2">
              <w:rPr>
                <w:i/>
                <w:iCs/>
                <w:sz w:val="20"/>
                <w:szCs w:val="20"/>
              </w:rPr>
              <w:t>Milk Control Board</w:t>
            </w:r>
            <w:r>
              <w:rPr>
                <w:sz w:val="20"/>
                <w:szCs w:val="20"/>
              </w:rPr>
              <w:t>,</w:t>
            </w:r>
            <w:r w:rsidRPr="00E50B51">
              <w:rPr>
                <w:sz w:val="20"/>
                <w:szCs w:val="20"/>
              </w:rPr>
              <w:t xml:space="preserve"> in einer mit Ermächtigung</w:t>
            </w:r>
            <w:r>
              <w:rPr>
                <w:sz w:val="20"/>
                <w:szCs w:val="20"/>
              </w:rPr>
              <w:t xml:space="preserve">, der sog. </w:t>
            </w:r>
            <w:r w:rsidRPr="5B67C1D2">
              <w:rPr>
                <w:i/>
                <w:iCs/>
                <w:sz w:val="20"/>
                <w:szCs w:val="20"/>
              </w:rPr>
              <w:t>Milk Control Law</w:t>
            </w:r>
            <w:r>
              <w:rPr>
                <w:sz w:val="20"/>
                <w:szCs w:val="20"/>
              </w:rPr>
              <w:t>,</w:t>
            </w:r>
            <w:r w:rsidRPr="00E50B51">
              <w:rPr>
                <w:sz w:val="20"/>
                <w:szCs w:val="20"/>
              </w:rPr>
              <w:t xml:space="preserve"> erlassenen Verordnung</w:t>
            </w:r>
            <w:r>
              <w:rPr>
                <w:sz w:val="20"/>
                <w:szCs w:val="20"/>
              </w:rPr>
              <w:t xml:space="preserve">, genannt </w:t>
            </w:r>
            <w:proofErr w:type="spellStart"/>
            <w:proofErr w:type="gramStart"/>
            <w:r w:rsidRPr="5B67C1D2">
              <w:rPr>
                <w:i/>
                <w:iCs/>
                <w:sz w:val="20"/>
                <w:szCs w:val="20"/>
              </w:rPr>
              <w:t>Board’s</w:t>
            </w:r>
            <w:proofErr w:type="spellEnd"/>
            <w:proofErr w:type="gramEnd"/>
            <w:r w:rsidRPr="5B67C1D2">
              <w:rPr>
                <w:i/>
                <w:iCs/>
                <w:sz w:val="20"/>
                <w:szCs w:val="20"/>
              </w:rPr>
              <w:t xml:space="preserve"> Order</w:t>
            </w:r>
            <w:r>
              <w:rPr>
                <w:sz w:val="20"/>
                <w:szCs w:val="20"/>
              </w:rPr>
              <w:t xml:space="preserve">, </w:t>
            </w:r>
            <w:r w:rsidRPr="00E50B51">
              <w:rPr>
                <w:sz w:val="20"/>
                <w:szCs w:val="20"/>
              </w:rPr>
              <w:t>festgelegt hatte.</w:t>
            </w:r>
            <w:r w:rsidRPr="5B67C1D2">
              <w:rPr>
                <w:rStyle w:val="Funotenzeichen"/>
                <w:rFonts w:eastAsiaTheme="majorEastAsia"/>
                <w:sz w:val="20"/>
                <w:szCs w:val="20"/>
              </w:rPr>
              <w:footnoteReference w:id="1112"/>
            </w:r>
          </w:p>
          <w:p w14:paraId="0A9E37BD" w14:textId="77777777" w:rsidR="00074551" w:rsidRPr="00E50B51" w:rsidRDefault="00074551" w:rsidP="00367133">
            <w:pPr>
              <w:jc w:val="both"/>
              <w:rPr>
                <w:sz w:val="20"/>
                <w:szCs w:val="20"/>
              </w:rPr>
            </w:pPr>
          </w:p>
        </w:tc>
        <w:tc>
          <w:tcPr>
            <w:tcW w:w="1822" w:type="pct"/>
          </w:tcPr>
          <w:p w14:paraId="72CCFB70" w14:textId="77777777" w:rsidR="00074551" w:rsidRDefault="00074551" w:rsidP="00367133">
            <w:pPr>
              <w:jc w:val="both"/>
              <w:rPr>
                <w:sz w:val="20"/>
                <w:szCs w:val="20"/>
              </w:rPr>
            </w:pPr>
            <w:r w:rsidRPr="003D3095">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3D3095">
              <w:rPr>
                <w:sz w:val="20"/>
                <w:szCs w:val="20"/>
              </w:rPr>
              <w:t xml:space="preserve"> erklärte, dass Eigentumsfreiheit und Vertragsfreiheit zwar private und nicht öffentliche Angelegenheiten seien („</w:t>
            </w:r>
            <w:proofErr w:type="spellStart"/>
            <w:r w:rsidRPr="003D3095">
              <w:rPr>
                <w:sz w:val="20"/>
                <w:szCs w:val="20"/>
              </w:rPr>
              <w:t>normally</w:t>
            </w:r>
            <w:proofErr w:type="spellEnd"/>
            <w:r w:rsidRPr="003D3095">
              <w:rPr>
                <w:sz w:val="20"/>
                <w:szCs w:val="20"/>
              </w:rPr>
              <w:t xml:space="preserve"> </w:t>
            </w:r>
            <w:proofErr w:type="spellStart"/>
            <w:r w:rsidRPr="003D3095">
              <w:rPr>
                <w:sz w:val="20"/>
                <w:szCs w:val="20"/>
              </w:rPr>
              <w:t>matters</w:t>
            </w:r>
            <w:proofErr w:type="spellEnd"/>
            <w:r w:rsidRPr="003D3095">
              <w:rPr>
                <w:sz w:val="20"/>
                <w:szCs w:val="20"/>
              </w:rPr>
              <w:t xml:space="preserve"> of private and not of </w:t>
            </w:r>
            <w:proofErr w:type="spellStart"/>
            <w:r w:rsidRPr="003D3095">
              <w:rPr>
                <w:sz w:val="20"/>
                <w:szCs w:val="20"/>
              </w:rPr>
              <w:t>public</w:t>
            </w:r>
            <w:proofErr w:type="spellEnd"/>
            <w:r w:rsidRPr="003D3095">
              <w:rPr>
                <w:sz w:val="20"/>
                <w:szCs w:val="20"/>
              </w:rPr>
              <w:t xml:space="preserve"> </w:t>
            </w:r>
            <w:proofErr w:type="spellStart"/>
            <w:r w:rsidRPr="003D3095">
              <w:rPr>
                <w:sz w:val="20"/>
                <w:szCs w:val="20"/>
              </w:rPr>
              <w:t>concern</w:t>
            </w:r>
            <w:proofErr w:type="spellEnd"/>
            <w:r w:rsidRPr="003D3095">
              <w:rPr>
                <w:sz w:val="20"/>
                <w:szCs w:val="20"/>
              </w:rPr>
              <w:t>“</w:t>
            </w:r>
            <w:r w:rsidRPr="003D3095">
              <w:rPr>
                <w:sz w:val="20"/>
                <w:szCs w:val="20"/>
                <w:vertAlign w:val="superscript"/>
              </w:rPr>
              <w:footnoteReference w:id="1113"/>
            </w:r>
            <w:r w:rsidRPr="003D3095">
              <w:rPr>
                <w:sz w:val="20"/>
                <w:szCs w:val="20"/>
              </w:rPr>
              <w:t xml:space="preserve">). </w:t>
            </w:r>
            <w:r>
              <w:rPr>
                <w:sz w:val="20"/>
                <w:szCs w:val="20"/>
              </w:rPr>
              <w:t>Sie müssten</w:t>
            </w:r>
            <w:r w:rsidRPr="003D3095">
              <w:rPr>
                <w:sz w:val="20"/>
                <w:szCs w:val="20"/>
              </w:rPr>
              <w:t xml:space="preserve"> sich daher grundsätzlich frei von staatlichen Eingriffen gestalten. Aber beide Freiheiten – Eigentumsfreiheit und Vertragsfreiheit – seien nicht absolut. Denn die Eigentums- und Vertragsfreiheit könne nicht unverhältnismäßig zulasten von anderen Bürgern gehen. Wenn dies der Fall sei, dann </w:t>
            </w:r>
            <w:r>
              <w:rPr>
                <w:sz w:val="20"/>
                <w:szCs w:val="20"/>
              </w:rPr>
              <w:t>werde</w:t>
            </w:r>
            <w:r w:rsidRPr="003D3095">
              <w:rPr>
                <w:sz w:val="20"/>
                <w:szCs w:val="20"/>
              </w:rPr>
              <w:t xml:space="preserve"> die private zur öffentlichen Angelegenheit. </w:t>
            </w:r>
            <w:r w:rsidRPr="00DA3004">
              <w:rPr>
                <w:sz w:val="20"/>
                <w:szCs w:val="20"/>
                <w:lang w:val="en-IE"/>
              </w:rPr>
              <w:t xml:space="preserve">Und </w:t>
            </w:r>
            <w:proofErr w:type="spellStart"/>
            <w:r w:rsidRPr="00DA3004">
              <w:rPr>
                <w:sz w:val="20"/>
                <w:szCs w:val="20"/>
                <w:lang w:val="en-IE"/>
              </w:rPr>
              <w:t>dann</w:t>
            </w:r>
            <w:proofErr w:type="spellEnd"/>
            <w:r w:rsidRPr="00DA3004">
              <w:rPr>
                <w:sz w:val="20"/>
                <w:szCs w:val="20"/>
                <w:lang w:val="en-IE"/>
              </w:rPr>
              <w:t xml:space="preserve"> </w:t>
            </w:r>
            <w:proofErr w:type="spellStart"/>
            <w:r w:rsidRPr="00DA3004">
              <w:rPr>
                <w:sz w:val="20"/>
                <w:szCs w:val="20"/>
                <w:lang w:val="en-IE"/>
              </w:rPr>
              <w:t>treffe</w:t>
            </w:r>
            <w:proofErr w:type="spellEnd"/>
            <w:r w:rsidRPr="00DA3004">
              <w:rPr>
                <w:sz w:val="20"/>
                <w:szCs w:val="20"/>
                <w:lang w:val="en-IE"/>
              </w:rPr>
              <w:t xml:space="preserve"> den Staat die </w:t>
            </w:r>
            <w:proofErr w:type="spellStart"/>
            <w:r w:rsidRPr="00DA3004">
              <w:rPr>
                <w:sz w:val="20"/>
                <w:szCs w:val="20"/>
                <w:lang w:val="en-IE"/>
              </w:rPr>
              <w:t>Pflicht</w:t>
            </w:r>
            <w:proofErr w:type="spellEnd"/>
            <w:r w:rsidRPr="00DA3004">
              <w:rPr>
                <w:sz w:val="20"/>
                <w:szCs w:val="20"/>
                <w:lang w:val="en-IE"/>
              </w:rPr>
              <w:t xml:space="preserve">, </w:t>
            </w:r>
            <w:proofErr w:type="spellStart"/>
            <w:r w:rsidRPr="00DA3004">
              <w:rPr>
                <w:sz w:val="20"/>
                <w:szCs w:val="20"/>
                <w:lang w:val="en-IE"/>
              </w:rPr>
              <w:t>Gesetze</w:t>
            </w:r>
            <w:proofErr w:type="spellEnd"/>
            <w:r w:rsidRPr="00DA3004">
              <w:rPr>
                <w:sz w:val="20"/>
                <w:szCs w:val="20"/>
                <w:lang w:val="en-IE"/>
              </w:rPr>
              <w:t xml:space="preserve"> </w:t>
            </w:r>
            <w:proofErr w:type="spellStart"/>
            <w:r w:rsidRPr="00DA3004">
              <w:rPr>
                <w:sz w:val="20"/>
                <w:szCs w:val="20"/>
                <w:lang w:val="en-IE"/>
              </w:rPr>
              <w:t>zu</w:t>
            </w:r>
            <w:proofErr w:type="spellEnd"/>
            <w:r w:rsidRPr="00DA3004">
              <w:rPr>
                <w:sz w:val="20"/>
                <w:szCs w:val="20"/>
                <w:lang w:val="en-IE"/>
              </w:rPr>
              <w:t xml:space="preserve"> </w:t>
            </w:r>
            <w:proofErr w:type="spellStart"/>
            <w:r w:rsidRPr="00DA3004">
              <w:rPr>
                <w:sz w:val="20"/>
                <w:szCs w:val="20"/>
                <w:lang w:val="en-IE"/>
              </w:rPr>
              <w:t>erlassen</w:t>
            </w:r>
            <w:proofErr w:type="spellEnd"/>
            <w:r w:rsidRPr="00DA3004">
              <w:rPr>
                <w:sz w:val="20"/>
                <w:szCs w:val="20"/>
                <w:lang w:val="en-IE"/>
              </w:rPr>
              <w:t xml:space="preserve">, die </w:t>
            </w:r>
            <w:proofErr w:type="spellStart"/>
            <w:r w:rsidRPr="00DA3004">
              <w:rPr>
                <w:sz w:val="20"/>
                <w:szCs w:val="20"/>
                <w:lang w:val="en-IE"/>
              </w:rPr>
              <w:t>die</w:t>
            </w:r>
            <w:proofErr w:type="spellEnd"/>
            <w:r w:rsidRPr="00DA3004">
              <w:rPr>
                <w:sz w:val="20"/>
                <w:szCs w:val="20"/>
                <w:lang w:val="en-IE"/>
              </w:rPr>
              <w:t xml:space="preserve"> </w:t>
            </w:r>
            <w:proofErr w:type="spellStart"/>
            <w:r w:rsidRPr="00DA3004">
              <w:rPr>
                <w:sz w:val="20"/>
                <w:szCs w:val="20"/>
                <w:lang w:val="en-IE"/>
              </w:rPr>
              <w:t>Staatsziele</w:t>
            </w:r>
            <w:proofErr w:type="spellEnd"/>
            <w:r w:rsidRPr="00DA3004">
              <w:rPr>
                <w:sz w:val="20"/>
                <w:szCs w:val="20"/>
                <w:lang w:val="en-IE"/>
              </w:rPr>
              <w:t xml:space="preserve"> Sicherheit, </w:t>
            </w:r>
            <w:proofErr w:type="spellStart"/>
            <w:r w:rsidRPr="00DA3004">
              <w:rPr>
                <w:sz w:val="20"/>
                <w:szCs w:val="20"/>
                <w:lang w:val="en-IE"/>
              </w:rPr>
              <w:t>Wohlstand</w:t>
            </w:r>
            <w:proofErr w:type="spellEnd"/>
            <w:r w:rsidRPr="00DA3004">
              <w:rPr>
                <w:sz w:val="20"/>
                <w:szCs w:val="20"/>
                <w:lang w:val="en-IE"/>
              </w:rPr>
              <w:t xml:space="preserve">, </w:t>
            </w:r>
            <w:proofErr w:type="spellStart"/>
            <w:r w:rsidRPr="00DA3004">
              <w:rPr>
                <w:sz w:val="20"/>
                <w:szCs w:val="20"/>
                <w:lang w:val="en-IE"/>
              </w:rPr>
              <w:t>Allgemeinwohl</w:t>
            </w:r>
            <w:proofErr w:type="spellEnd"/>
            <w:r w:rsidRPr="00DA3004">
              <w:rPr>
                <w:sz w:val="20"/>
                <w:szCs w:val="20"/>
                <w:lang w:val="en-IE"/>
              </w:rPr>
              <w:t xml:space="preserve"> und Glück </w:t>
            </w:r>
            <w:proofErr w:type="spellStart"/>
            <w:r w:rsidRPr="00DA3004">
              <w:rPr>
                <w:sz w:val="20"/>
                <w:szCs w:val="20"/>
                <w:lang w:val="en-IE"/>
              </w:rPr>
              <w:t>fördern</w:t>
            </w:r>
            <w:proofErr w:type="spellEnd"/>
            <w:r w:rsidRPr="00DA3004">
              <w:rPr>
                <w:sz w:val="20"/>
                <w:szCs w:val="20"/>
                <w:lang w:val="en-IE"/>
              </w:rPr>
              <w:t xml:space="preserve"> („safety, happiness and prosperity of its people, and to provide for its general welfare, by any and every act of legislation, which it may deem to be conducive to these ends“</w:t>
            </w:r>
            <w:r w:rsidRPr="003D3095">
              <w:rPr>
                <w:sz w:val="20"/>
                <w:szCs w:val="20"/>
                <w:vertAlign w:val="superscript"/>
              </w:rPr>
              <w:footnoteReference w:id="1114"/>
            </w:r>
            <w:r w:rsidRPr="00DA3004">
              <w:rPr>
                <w:sz w:val="20"/>
                <w:szCs w:val="20"/>
                <w:lang w:val="en-IE"/>
              </w:rPr>
              <w:t xml:space="preserve">). </w:t>
            </w:r>
            <w:r w:rsidRPr="003D3095">
              <w:rPr>
                <w:sz w:val="20"/>
                <w:szCs w:val="20"/>
              </w:rPr>
              <w:t>Daher zeig</w:t>
            </w:r>
            <w:r>
              <w:rPr>
                <w:sz w:val="20"/>
                <w:szCs w:val="20"/>
              </w:rPr>
              <w:t>e</w:t>
            </w:r>
            <w:r w:rsidRPr="003D3095">
              <w:rPr>
                <w:sz w:val="20"/>
                <w:szCs w:val="20"/>
              </w:rPr>
              <w:t xml:space="preserve"> sich Glück nicht nur </w:t>
            </w:r>
            <w:r>
              <w:rPr>
                <w:sz w:val="20"/>
                <w:szCs w:val="20"/>
              </w:rPr>
              <w:t>in den</w:t>
            </w:r>
            <w:r w:rsidRPr="003D3095">
              <w:rPr>
                <w:sz w:val="20"/>
                <w:szCs w:val="20"/>
              </w:rPr>
              <w:t xml:space="preserve"> Bedingungen für das private Streben nach Glück, sondern es nehme auch einen öffentlichen Charakter an. </w:t>
            </w:r>
          </w:p>
          <w:p w14:paraId="3CD6F737" w14:textId="77777777" w:rsidR="00074551" w:rsidRPr="003D3095" w:rsidRDefault="00074551" w:rsidP="00367133">
            <w:pPr>
              <w:jc w:val="both"/>
              <w:rPr>
                <w:sz w:val="20"/>
                <w:szCs w:val="20"/>
              </w:rPr>
            </w:pPr>
          </w:p>
          <w:p w14:paraId="1DD6D8AB" w14:textId="686B9CA8" w:rsidR="00074551" w:rsidRPr="003D3095" w:rsidRDefault="00074551" w:rsidP="00367133">
            <w:pPr>
              <w:jc w:val="both"/>
              <w:rPr>
                <w:sz w:val="20"/>
                <w:szCs w:val="20"/>
              </w:rPr>
            </w:pPr>
            <w:r w:rsidRPr="003D3095">
              <w:rPr>
                <w:sz w:val="20"/>
                <w:szCs w:val="20"/>
              </w:rPr>
              <w:t xml:space="preserve">Dazu entgegengesetzt, versuchte sich Richter </w:t>
            </w:r>
            <w:r w:rsidRPr="5B67C1D2">
              <w:rPr>
                <w:i/>
                <w:iCs/>
                <w:sz w:val="20"/>
                <w:szCs w:val="20"/>
              </w:rPr>
              <w:t>Reynolds</w:t>
            </w:r>
            <w:r w:rsidRPr="003D3095">
              <w:rPr>
                <w:sz w:val="20"/>
                <w:szCs w:val="20"/>
              </w:rPr>
              <w:t xml:space="preserve"> im Dissens daran, die Freiheitsrechte anhand des </w:t>
            </w:r>
            <w:proofErr w:type="spellStart"/>
            <w:r w:rsidRPr="5B67C1D2">
              <w:rPr>
                <w:i/>
                <w:iCs/>
                <w:sz w:val="20"/>
                <w:szCs w:val="20"/>
              </w:rPr>
              <w:t>pursuit</w:t>
            </w:r>
            <w:proofErr w:type="spellEnd"/>
            <w:r w:rsidRPr="5B67C1D2">
              <w:rPr>
                <w:i/>
                <w:iCs/>
                <w:sz w:val="20"/>
                <w:szCs w:val="20"/>
              </w:rPr>
              <w:t xml:space="preserve"> of Happiness</w:t>
            </w:r>
            <w:r w:rsidRPr="003D3095">
              <w:rPr>
                <w:sz w:val="20"/>
                <w:szCs w:val="20"/>
              </w:rPr>
              <w:t xml:space="preserve"> auszudehnen. Dabei nannte er bestimmte verfassungsrechtliche Garantien als unveräußerlich. D.h.,</w:t>
            </w:r>
            <w:r w:rsidR="2D7EA264" w:rsidRPr="5B67C1D2">
              <w:rPr>
                <w:sz w:val="20"/>
                <w:szCs w:val="20"/>
              </w:rPr>
              <w:t xml:space="preserve"> eine</w:t>
            </w:r>
            <w:r w:rsidRPr="5B67C1D2">
              <w:rPr>
                <w:sz w:val="20"/>
                <w:szCs w:val="20"/>
              </w:rPr>
              <w:t xml:space="preserve"> Doktrin die sich z.B.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lang w:val="en-US"/>
              </w:rPr>
              <w:t xml:space="preserve"> </w:t>
            </w:r>
            <w:proofErr w:type="spellStart"/>
            <w:r w:rsidR="4101B10B" w:rsidRPr="5B67C1D2">
              <w:rPr>
                <w:sz w:val="20"/>
                <w:szCs w:val="20"/>
                <w:lang w:val="en-US"/>
              </w:rPr>
              <w:t>v</w:t>
            </w:r>
            <w:r w:rsidRPr="5B67C1D2">
              <w:rPr>
                <w:sz w:val="20"/>
                <w:szCs w:val="20"/>
                <w:lang w:val="en-US"/>
              </w:rPr>
              <w:t>erankert</w:t>
            </w:r>
            <w:proofErr w:type="spellEnd"/>
            <w:r w:rsidR="450C137F" w:rsidRPr="5B67C1D2">
              <w:rPr>
                <w:sz w:val="20"/>
                <w:szCs w:val="20"/>
                <w:lang w:val="en-US"/>
              </w:rPr>
              <w:t xml:space="preserve"> </w:t>
            </w:r>
            <w:proofErr w:type="spellStart"/>
            <w:r w:rsidR="450C137F" w:rsidRPr="5B67C1D2">
              <w:rPr>
                <w:sz w:val="20"/>
                <w:szCs w:val="20"/>
                <w:lang w:val="en-US"/>
              </w:rPr>
              <w:t>könne</w:t>
            </w:r>
            <w:proofErr w:type="spellEnd"/>
            <w:r w:rsidR="450C137F" w:rsidRPr="5B67C1D2">
              <w:rPr>
                <w:sz w:val="20"/>
                <w:szCs w:val="20"/>
                <w:lang w:val="en-US"/>
              </w:rPr>
              <w:t xml:space="preserve"> der Zeitgeist nicht </w:t>
            </w:r>
            <w:proofErr w:type="spellStart"/>
            <w:r w:rsidR="450C137F" w:rsidRPr="5B67C1D2">
              <w:rPr>
                <w:sz w:val="20"/>
                <w:szCs w:val="20"/>
                <w:lang w:val="en-US"/>
              </w:rPr>
              <w:t>abändern</w:t>
            </w:r>
            <w:proofErr w:type="spellEnd"/>
            <w:r w:rsidRPr="5B67C1D2">
              <w:rPr>
                <w:sz w:val="20"/>
                <w:szCs w:val="20"/>
                <w:lang w:val="en-US"/>
              </w:rPr>
              <w:t xml:space="preserve"> („Constitutional guaranties are not </w:t>
            </w:r>
            <w:proofErr w:type="gramStart"/>
            <w:r w:rsidRPr="5B67C1D2">
              <w:rPr>
                <w:sz w:val="20"/>
                <w:szCs w:val="20"/>
                <w:lang w:val="en-US"/>
              </w:rPr>
              <w:t>to be</w:t>
            </w:r>
            <w:proofErr w:type="gramEnd"/>
            <w:r w:rsidRPr="5B67C1D2">
              <w:rPr>
                <w:sz w:val="20"/>
                <w:szCs w:val="20"/>
                <w:lang w:val="en-US"/>
              </w:rPr>
              <w:t xml:space="preserve"> ‚thrust to and </w:t>
            </w:r>
            <w:proofErr w:type="spellStart"/>
            <w:r w:rsidRPr="5B67C1D2">
              <w:rPr>
                <w:sz w:val="20"/>
                <w:szCs w:val="20"/>
                <w:lang w:val="en-US"/>
              </w:rPr>
              <w:t>fro</w:t>
            </w:r>
            <w:proofErr w:type="spellEnd"/>
            <w:r w:rsidRPr="5B67C1D2">
              <w:rPr>
                <w:sz w:val="20"/>
                <w:szCs w:val="20"/>
                <w:lang w:val="en-US"/>
              </w:rPr>
              <w:t xml:space="preserve"> and carried about with every wind of doctrine‘“</w:t>
            </w:r>
            <w:r w:rsidRPr="5B67C1D2">
              <w:rPr>
                <w:sz w:val="20"/>
                <w:szCs w:val="20"/>
                <w:vertAlign w:val="superscript"/>
              </w:rPr>
              <w:footnoteReference w:id="1115"/>
            </w:r>
            <w:r w:rsidRPr="5B67C1D2">
              <w:rPr>
                <w:sz w:val="20"/>
                <w:szCs w:val="20"/>
                <w:lang w:val="en-US"/>
              </w:rPr>
              <w:t xml:space="preserve">). </w:t>
            </w:r>
            <w:r w:rsidRPr="5B67C1D2">
              <w:rPr>
                <w:sz w:val="20"/>
                <w:szCs w:val="20"/>
              </w:rPr>
              <w:t>Zu diesen Garantien oder Fundamentalrechten („</w:t>
            </w:r>
            <w:proofErr w:type="spellStart"/>
            <w:r w:rsidRPr="5B67C1D2">
              <w:rPr>
                <w:sz w:val="20"/>
                <w:szCs w:val="20"/>
              </w:rPr>
              <w:t>fundamentals</w:t>
            </w:r>
            <w:proofErr w:type="spellEnd"/>
            <w:r w:rsidRPr="5B67C1D2">
              <w:rPr>
                <w:sz w:val="20"/>
                <w:szCs w:val="20"/>
              </w:rPr>
              <w:t>“</w:t>
            </w:r>
            <w:r w:rsidRPr="5B67C1D2">
              <w:rPr>
                <w:sz w:val="20"/>
                <w:szCs w:val="20"/>
                <w:vertAlign w:val="superscript"/>
              </w:rPr>
              <w:footnoteReference w:id="1116"/>
            </w:r>
            <w:r w:rsidRPr="5B67C1D2">
              <w:rPr>
                <w:sz w:val="20"/>
                <w:szCs w:val="20"/>
              </w:rPr>
              <w:t>), mit anderen Worten Grundrechten, gehörten als Bedingungen für ein Glücksstreben die folgenden („</w:t>
            </w:r>
            <w:proofErr w:type="spellStart"/>
            <w:r w:rsidRPr="5B67C1D2">
              <w:rPr>
                <w:sz w:val="20"/>
                <w:szCs w:val="20"/>
              </w:rPr>
              <w:t>privileges</w:t>
            </w:r>
            <w:proofErr w:type="spellEnd"/>
            <w:r w:rsidRPr="5B67C1D2">
              <w:rPr>
                <w:sz w:val="20"/>
                <w:szCs w:val="20"/>
              </w:rPr>
              <w:t xml:space="preserve"> </w:t>
            </w:r>
            <w:proofErr w:type="spellStart"/>
            <w:r w:rsidRPr="5B67C1D2">
              <w:rPr>
                <w:sz w:val="20"/>
                <w:szCs w:val="20"/>
              </w:rPr>
              <w:t>long</w:t>
            </w:r>
            <w:proofErr w:type="spellEnd"/>
            <w:r w:rsidRPr="5B67C1D2">
              <w:rPr>
                <w:sz w:val="20"/>
                <w:szCs w:val="20"/>
              </w:rPr>
              <w:t xml:space="preserve"> </w:t>
            </w:r>
            <w:proofErr w:type="spellStart"/>
            <w:r w:rsidRPr="5B67C1D2">
              <w:rPr>
                <w:sz w:val="20"/>
                <w:szCs w:val="20"/>
              </w:rPr>
              <w:t>recognized</w:t>
            </w:r>
            <w:proofErr w:type="spellEnd"/>
            <w:r w:rsidRPr="5B67C1D2">
              <w:rPr>
                <w:sz w:val="20"/>
                <w:szCs w:val="20"/>
              </w:rPr>
              <w:t xml:space="preserve"> at </w:t>
            </w:r>
            <w:proofErr w:type="spellStart"/>
            <w:r w:rsidRPr="5B67C1D2">
              <w:rPr>
                <w:sz w:val="20"/>
                <w:szCs w:val="20"/>
              </w:rPr>
              <w:t>common</w:t>
            </w:r>
            <w:proofErr w:type="spellEnd"/>
            <w:r w:rsidRPr="5B67C1D2">
              <w:rPr>
                <w:sz w:val="20"/>
                <w:szCs w:val="20"/>
              </w:rPr>
              <w:t xml:space="preserve"> </w:t>
            </w:r>
            <w:proofErr w:type="spellStart"/>
            <w:r w:rsidRPr="5B67C1D2">
              <w:rPr>
                <w:sz w:val="20"/>
                <w:szCs w:val="20"/>
              </w:rPr>
              <w:t>law</w:t>
            </w:r>
            <w:proofErr w:type="spellEnd"/>
            <w:r w:rsidRPr="5B67C1D2">
              <w:rPr>
                <w:sz w:val="20"/>
                <w:szCs w:val="20"/>
              </w:rPr>
              <w:t xml:space="preserve"> as essential to the </w:t>
            </w:r>
            <w:proofErr w:type="spellStart"/>
            <w:r w:rsidRPr="5B67C1D2">
              <w:rPr>
                <w:sz w:val="20"/>
                <w:szCs w:val="20"/>
              </w:rPr>
              <w:t>orderly</w:t>
            </w:r>
            <w:proofErr w:type="spellEnd"/>
            <w:r w:rsidRPr="5B67C1D2">
              <w:rPr>
                <w:sz w:val="20"/>
                <w:szCs w:val="20"/>
              </w:rPr>
              <w:t xml:space="preserve"> </w:t>
            </w:r>
            <w:proofErr w:type="spellStart"/>
            <w:r w:rsidRPr="5B67C1D2">
              <w:rPr>
                <w:sz w:val="20"/>
                <w:szCs w:val="20"/>
              </w:rPr>
              <w:t>pursuit</w:t>
            </w:r>
            <w:proofErr w:type="spellEnd"/>
            <w:r w:rsidRPr="5B67C1D2">
              <w:rPr>
                <w:sz w:val="20"/>
                <w:szCs w:val="20"/>
              </w:rPr>
              <w:t xml:space="preserve"> of </w:t>
            </w:r>
            <w:proofErr w:type="spellStart"/>
            <w:r w:rsidRPr="5B67C1D2">
              <w:rPr>
                <w:sz w:val="20"/>
                <w:szCs w:val="20"/>
              </w:rPr>
              <w:t>happiness</w:t>
            </w:r>
            <w:proofErr w:type="spellEnd"/>
            <w:r w:rsidRPr="5B67C1D2">
              <w:rPr>
                <w:sz w:val="20"/>
                <w:szCs w:val="20"/>
              </w:rPr>
              <w:t xml:space="preserve"> by </w:t>
            </w:r>
            <w:proofErr w:type="spellStart"/>
            <w:r w:rsidRPr="5B67C1D2">
              <w:rPr>
                <w:sz w:val="20"/>
                <w:szCs w:val="20"/>
              </w:rPr>
              <w:t>free</w:t>
            </w:r>
            <w:proofErr w:type="spellEnd"/>
            <w:r w:rsidRPr="5B67C1D2">
              <w:rPr>
                <w:sz w:val="20"/>
                <w:szCs w:val="20"/>
              </w:rPr>
              <w:t xml:space="preserve"> </w:t>
            </w:r>
            <w:proofErr w:type="spellStart"/>
            <w:r w:rsidRPr="5B67C1D2">
              <w:rPr>
                <w:sz w:val="20"/>
                <w:szCs w:val="20"/>
              </w:rPr>
              <w:t>men</w:t>
            </w:r>
            <w:proofErr w:type="spellEnd"/>
            <w:r w:rsidRPr="5B67C1D2">
              <w:rPr>
                <w:sz w:val="20"/>
                <w:szCs w:val="20"/>
              </w:rPr>
              <w:t>“</w:t>
            </w:r>
            <w:r w:rsidRPr="5B67C1D2">
              <w:rPr>
                <w:sz w:val="20"/>
                <w:szCs w:val="20"/>
                <w:vertAlign w:val="superscript"/>
              </w:rPr>
              <w:footnoteReference w:id="1117"/>
            </w:r>
            <w:r w:rsidRPr="5B67C1D2">
              <w:rPr>
                <w:sz w:val="20"/>
                <w:szCs w:val="20"/>
              </w:rPr>
              <w:t>): die Freiheit, sein Geschäftsmodell selbst zu wählen,</w:t>
            </w:r>
            <w:r w:rsidRPr="5B67C1D2">
              <w:rPr>
                <w:sz w:val="20"/>
                <w:szCs w:val="20"/>
                <w:vertAlign w:val="superscript"/>
              </w:rPr>
              <w:footnoteReference w:id="1118"/>
            </w:r>
            <w:r w:rsidRPr="5B67C1D2">
              <w:rPr>
                <w:sz w:val="20"/>
                <w:szCs w:val="20"/>
              </w:rPr>
              <w:t xml:space="preserve"> seinen Wohnort frei zu wählen (in Anlehnung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w:t>
            </w:r>
            <w:r w:rsidRPr="5B67C1D2">
              <w:rPr>
                <w:sz w:val="20"/>
                <w:szCs w:val="20"/>
                <w:vertAlign w:val="superscript"/>
              </w:rPr>
              <w:footnoteReference w:id="1119"/>
            </w:r>
            <w:r w:rsidRPr="5B67C1D2">
              <w:rPr>
                <w:sz w:val="20"/>
                <w:szCs w:val="20"/>
              </w:rPr>
              <w:t xml:space="preserve"> die Vertragsabschlussfreiheit (in Anlehnung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5B67C1D2">
              <w:rPr>
                <w:sz w:val="20"/>
                <w:szCs w:val="20"/>
              </w:rPr>
              <w:t>),</w:t>
            </w:r>
            <w:r w:rsidRPr="5B67C1D2">
              <w:rPr>
                <w:sz w:val="20"/>
                <w:szCs w:val="20"/>
                <w:vertAlign w:val="superscript"/>
              </w:rPr>
              <w:footnoteReference w:id="1120"/>
            </w:r>
            <w:r w:rsidRPr="5B67C1D2">
              <w:rPr>
                <w:sz w:val="20"/>
                <w:szCs w:val="20"/>
              </w:rPr>
              <w:t xml:space="preserve"> die Freiheitsdimensionen aus </w:t>
            </w:r>
            <w:r w:rsidRPr="5B67C1D2">
              <w:rPr>
                <w:i/>
                <w:iCs/>
                <w:sz w:val="20"/>
                <w:szCs w:val="20"/>
              </w:rPr>
              <w:t>Meyer v. Nebraska</w:t>
            </w:r>
            <w:r w:rsidRPr="5B67C1D2">
              <w:rPr>
                <w:sz w:val="20"/>
                <w:szCs w:val="20"/>
                <w:vertAlign w:val="superscript"/>
              </w:rPr>
              <w:footnoteReference w:id="1121"/>
            </w:r>
            <w:r w:rsidRPr="5B67C1D2">
              <w:rPr>
                <w:sz w:val="20"/>
                <w:szCs w:val="20"/>
              </w:rPr>
              <w:t xml:space="preserve"> – also auch, jedem ein gleiches Verfahren und gleichen Schutz durch Gesetze zu gewähren (in Anlehnung an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5B67C1D2">
              <w:rPr>
                <w:sz w:val="20"/>
                <w:szCs w:val="20"/>
              </w:rPr>
              <w:t>)</w:t>
            </w:r>
            <w:r w:rsidRPr="5B67C1D2">
              <w:rPr>
                <w:sz w:val="20"/>
                <w:szCs w:val="20"/>
                <w:vertAlign w:val="superscript"/>
              </w:rPr>
              <w:footnoteReference w:id="1122"/>
            </w:r>
            <w:r w:rsidRPr="5B67C1D2">
              <w:rPr>
                <w:sz w:val="20"/>
                <w:szCs w:val="20"/>
              </w:rPr>
              <w:t xml:space="preserve"> – und die Pressefreiheit (in Anlehnung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w:t>
            </w:r>
            <w:r w:rsidRPr="5B67C1D2">
              <w:rPr>
                <w:sz w:val="20"/>
                <w:szCs w:val="20"/>
                <w:vertAlign w:val="superscript"/>
              </w:rPr>
              <w:footnoteReference w:id="1123"/>
            </w:r>
            <w:r w:rsidRPr="5B67C1D2">
              <w:rPr>
                <w:sz w:val="20"/>
                <w:szCs w:val="20"/>
              </w:rPr>
              <w:t xml:space="preserve"> sowie weitere Freiheitsdimensionen,</w:t>
            </w:r>
            <w:r w:rsidRPr="5B67C1D2">
              <w:rPr>
                <w:sz w:val="20"/>
                <w:szCs w:val="20"/>
                <w:vertAlign w:val="superscript"/>
              </w:rPr>
              <w:footnoteReference w:id="1124"/>
            </w:r>
            <w:r w:rsidRPr="5B67C1D2">
              <w:rPr>
                <w:sz w:val="20"/>
                <w:szCs w:val="20"/>
              </w:rPr>
              <w:t xml:space="preserve"> die der Einzelfall bestimmen müsse.</w:t>
            </w:r>
          </w:p>
          <w:p w14:paraId="5642C9DF" w14:textId="77777777" w:rsidR="00074551" w:rsidRPr="00E50B51" w:rsidRDefault="00074551" w:rsidP="00367133">
            <w:pPr>
              <w:jc w:val="both"/>
              <w:rPr>
                <w:sz w:val="20"/>
                <w:szCs w:val="20"/>
              </w:rPr>
            </w:pPr>
          </w:p>
        </w:tc>
      </w:tr>
      <w:tr w:rsidR="00074551" w:rsidRPr="00E50B51" w14:paraId="4537ACCC" w14:textId="77777777" w:rsidTr="00BE689F">
        <w:trPr>
          <w:cantSplit/>
          <w:trHeight w:val="3175"/>
        </w:trPr>
        <w:tc>
          <w:tcPr>
            <w:tcW w:w="293" w:type="pct"/>
          </w:tcPr>
          <w:p w14:paraId="5C69D984"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63CA88EC" w14:textId="77777777" w:rsidR="00074551" w:rsidRPr="00E50B51" w:rsidRDefault="00074551" w:rsidP="00367133">
            <w:pPr>
              <w:ind w:left="113" w:right="416"/>
              <w:jc w:val="both"/>
              <w:rPr>
                <w:sz w:val="20"/>
                <w:szCs w:val="20"/>
              </w:rPr>
            </w:pPr>
            <w:r w:rsidRPr="009167A5">
              <w:rPr>
                <w:i/>
                <w:sz w:val="20"/>
                <w:szCs w:val="20"/>
                <w:lang w:eastAsia="de-DE"/>
              </w:rPr>
              <w:t>Obergefell v. Hodges</w:t>
            </w:r>
          </w:p>
        </w:tc>
        <w:tc>
          <w:tcPr>
            <w:tcW w:w="197" w:type="pct"/>
            <w:textDirection w:val="tbRl"/>
            <w:vAlign w:val="center"/>
          </w:tcPr>
          <w:p w14:paraId="6BF3BC1E" w14:textId="77777777" w:rsidR="00074551" w:rsidRPr="00E50B51" w:rsidRDefault="00074551" w:rsidP="00367133">
            <w:pPr>
              <w:ind w:left="113" w:right="113"/>
              <w:jc w:val="both"/>
              <w:rPr>
                <w:sz w:val="20"/>
                <w:szCs w:val="20"/>
              </w:rPr>
            </w:pPr>
            <w:r w:rsidRPr="00E50B51">
              <w:rPr>
                <w:sz w:val="20"/>
                <w:szCs w:val="20"/>
                <w:lang w:val="en-US"/>
              </w:rPr>
              <w:t>576 U.S. 644</w:t>
            </w:r>
          </w:p>
        </w:tc>
        <w:tc>
          <w:tcPr>
            <w:tcW w:w="306" w:type="pct"/>
            <w:textDirection w:val="tbRl"/>
            <w:vAlign w:val="center"/>
          </w:tcPr>
          <w:p w14:paraId="0084CACE" w14:textId="77777777" w:rsidR="00074551" w:rsidRPr="00E50B51" w:rsidRDefault="00074551" w:rsidP="00367133">
            <w:pPr>
              <w:ind w:left="113" w:right="113"/>
              <w:jc w:val="both"/>
              <w:rPr>
                <w:sz w:val="20"/>
                <w:szCs w:val="20"/>
              </w:rPr>
            </w:pPr>
            <w:r w:rsidRPr="00E50B51">
              <w:rPr>
                <w:sz w:val="20"/>
                <w:szCs w:val="20"/>
              </w:rPr>
              <w:t>26. Januar 2015</w:t>
            </w:r>
          </w:p>
        </w:tc>
        <w:tc>
          <w:tcPr>
            <w:tcW w:w="401" w:type="pct"/>
          </w:tcPr>
          <w:p w14:paraId="0164F6B7" w14:textId="77777777" w:rsidR="00074551" w:rsidRPr="00E50B51" w:rsidRDefault="00074551" w:rsidP="00367133">
            <w:pPr>
              <w:jc w:val="center"/>
              <w:rPr>
                <w:sz w:val="20"/>
                <w:szCs w:val="20"/>
              </w:rPr>
            </w:pPr>
            <w:r w:rsidRPr="00E50B51">
              <w:rPr>
                <w:sz w:val="20"/>
                <w:szCs w:val="20"/>
              </w:rPr>
              <w:t>M</w:t>
            </w:r>
          </w:p>
        </w:tc>
        <w:tc>
          <w:tcPr>
            <w:tcW w:w="1594" w:type="pct"/>
          </w:tcPr>
          <w:p w14:paraId="19596E9A" w14:textId="77777777" w:rsidR="00074551" w:rsidRPr="00E50B51" w:rsidRDefault="00074551" w:rsidP="00367133">
            <w:pPr>
              <w:jc w:val="both"/>
              <w:rPr>
                <w:sz w:val="20"/>
                <w:szCs w:val="20"/>
              </w:rPr>
            </w:pPr>
            <w:r w:rsidRPr="00E50B51">
              <w:rPr>
                <w:sz w:val="20"/>
                <w:szCs w:val="20"/>
              </w:rPr>
              <w:t>*</w:t>
            </w:r>
          </w:p>
        </w:tc>
        <w:tc>
          <w:tcPr>
            <w:tcW w:w="1822" w:type="pct"/>
          </w:tcPr>
          <w:p w14:paraId="16F4B7B1" w14:textId="01241955" w:rsidR="00074551" w:rsidRPr="00E50B51" w:rsidRDefault="00074551" w:rsidP="00367133">
            <w:pPr>
              <w:jc w:val="both"/>
              <w:rPr>
                <w:sz w:val="20"/>
                <w:szCs w:val="20"/>
              </w:rPr>
            </w:pPr>
            <w:r w:rsidRPr="00430C23">
              <w:rPr>
                <w:sz w:val="20"/>
                <w:szCs w:val="20"/>
              </w:rPr>
              <w:t xml:space="preserve">In </w:t>
            </w:r>
            <w:r w:rsidRPr="5B67C1D2">
              <w:rPr>
                <w:i/>
                <w:iCs/>
                <w:sz w:val="20"/>
                <w:szCs w:val="20"/>
              </w:rPr>
              <w:t>Obergefell v. Hodges</w:t>
            </w:r>
            <w:r w:rsidRPr="00430C23">
              <w:rPr>
                <w:sz w:val="20"/>
                <w:szCs w:val="20"/>
              </w:rPr>
              <w:t xml:space="preserve"> schrieb der </w:t>
            </w:r>
            <w:r>
              <w:rPr>
                <w:sz w:val="20"/>
                <w:szCs w:val="20"/>
              </w:rPr>
              <w:t>U.S. Supreme Court</w:t>
            </w:r>
            <w:r w:rsidRPr="00430C23">
              <w:rPr>
                <w:sz w:val="20"/>
                <w:szCs w:val="20"/>
              </w:rPr>
              <w:t xml:space="preserve">, aus den Bedingungen für ein Streben nach Glück ergebe sich das Staatsziel, </w:t>
            </w:r>
            <w:r>
              <w:rPr>
                <w:sz w:val="20"/>
                <w:szCs w:val="20"/>
              </w:rPr>
              <w:t>dass</w:t>
            </w:r>
            <w:r w:rsidRPr="00430C23">
              <w:rPr>
                <w:sz w:val="20"/>
                <w:szCs w:val="20"/>
              </w:rPr>
              <w:t xml:space="preserve"> das einfache Recht in Verfassungsfragen mit Glücksbedingungen abzugleichen sei. Daraus folge </w:t>
            </w:r>
            <w:r>
              <w:rPr>
                <w:sz w:val="20"/>
                <w:szCs w:val="20"/>
              </w:rPr>
              <w:t>z.B.</w:t>
            </w:r>
            <w:r w:rsidRPr="00430C23">
              <w:rPr>
                <w:sz w:val="20"/>
                <w:szCs w:val="20"/>
              </w:rPr>
              <w:t xml:space="preserve">, dass die Ehefreiheit gleichgeschlechtlicher Paare als Freiheitsdimensionen wesentlich für ein Streben nach Glück </w:t>
            </w:r>
            <w:r>
              <w:rPr>
                <w:sz w:val="20"/>
                <w:szCs w:val="20"/>
              </w:rPr>
              <w:t xml:space="preserve">sei </w:t>
            </w:r>
            <w:r w:rsidRPr="00430C23">
              <w:rPr>
                <w:sz w:val="20"/>
                <w:szCs w:val="20"/>
              </w:rPr>
              <w:t>und sie damit auch d</w:t>
            </w:r>
            <w:r>
              <w:rPr>
                <w:sz w:val="20"/>
                <w:szCs w:val="20"/>
              </w:rPr>
              <w:t xml:space="preserve">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430C23">
              <w:rPr>
                <w:sz w:val="20"/>
                <w:szCs w:val="20"/>
              </w:rPr>
              <w:t xml:space="preserve"> schütze. </w:t>
            </w:r>
            <w:proofErr w:type="spellStart"/>
            <w:r>
              <w:rPr>
                <w:sz w:val="20"/>
                <w:szCs w:val="20"/>
                <w:lang w:val="en-US"/>
              </w:rPr>
              <w:t>Deshalb</w:t>
            </w:r>
            <w:proofErr w:type="spellEnd"/>
            <w:r>
              <w:rPr>
                <w:sz w:val="20"/>
                <w:szCs w:val="20"/>
                <w:lang w:val="en-US"/>
              </w:rPr>
              <w:t xml:space="preserve"> </w:t>
            </w:r>
            <w:proofErr w:type="spellStart"/>
            <w:r>
              <w:rPr>
                <w:sz w:val="20"/>
                <w:szCs w:val="20"/>
                <w:lang w:val="en-US"/>
              </w:rPr>
              <w:t>könne</w:t>
            </w:r>
            <w:proofErr w:type="spellEnd"/>
            <w:r w:rsidRPr="00430C23">
              <w:rPr>
                <w:sz w:val="20"/>
                <w:szCs w:val="20"/>
                <w:lang w:val="en-US"/>
              </w:rPr>
              <w:t xml:space="preserve"> die </w:t>
            </w:r>
            <w:proofErr w:type="spellStart"/>
            <w:r w:rsidRPr="00430C23">
              <w:rPr>
                <w:sz w:val="20"/>
                <w:szCs w:val="20"/>
                <w:lang w:val="en-US"/>
              </w:rPr>
              <w:t>Ehefreiheit</w:t>
            </w:r>
            <w:proofErr w:type="spellEnd"/>
            <w:r w:rsidRPr="00430C23">
              <w:rPr>
                <w:sz w:val="20"/>
                <w:szCs w:val="20"/>
                <w:lang w:val="en-US"/>
              </w:rPr>
              <w:t xml:space="preserve"> nicht </w:t>
            </w:r>
            <w:proofErr w:type="spellStart"/>
            <w:r>
              <w:rPr>
                <w:sz w:val="20"/>
                <w:szCs w:val="20"/>
                <w:lang w:val="en-US"/>
              </w:rPr>
              <w:t>durch</w:t>
            </w:r>
            <w:proofErr w:type="spellEnd"/>
            <w:r>
              <w:rPr>
                <w:sz w:val="20"/>
                <w:szCs w:val="20"/>
                <w:lang w:val="en-US"/>
              </w:rPr>
              <w:t xml:space="preserve"> </w:t>
            </w:r>
            <w:proofErr w:type="spellStart"/>
            <w:r w:rsidRPr="00430C23">
              <w:rPr>
                <w:sz w:val="20"/>
                <w:szCs w:val="20"/>
                <w:lang w:val="en-US"/>
              </w:rPr>
              <w:t>ein</w:t>
            </w:r>
            <w:proofErr w:type="spellEnd"/>
            <w:r w:rsidRPr="00430C23">
              <w:rPr>
                <w:sz w:val="20"/>
                <w:szCs w:val="20"/>
                <w:lang w:val="en-US"/>
              </w:rPr>
              <w:t xml:space="preserve"> </w:t>
            </w:r>
            <w:proofErr w:type="spellStart"/>
            <w:r w:rsidRPr="00430C23">
              <w:rPr>
                <w:sz w:val="20"/>
                <w:szCs w:val="20"/>
                <w:lang w:val="en-US"/>
              </w:rPr>
              <w:t>einfaches</w:t>
            </w:r>
            <w:proofErr w:type="spellEnd"/>
            <w:r w:rsidRPr="00430C23">
              <w:rPr>
                <w:sz w:val="20"/>
                <w:szCs w:val="20"/>
                <w:lang w:val="en-US"/>
              </w:rPr>
              <w:t xml:space="preserve"> </w:t>
            </w:r>
            <w:proofErr w:type="spellStart"/>
            <w:r w:rsidRPr="00430C23">
              <w:rPr>
                <w:sz w:val="20"/>
                <w:szCs w:val="20"/>
                <w:lang w:val="en-US"/>
              </w:rPr>
              <w:t>Gesetz</w:t>
            </w:r>
            <w:proofErr w:type="spellEnd"/>
            <w:r w:rsidRPr="00430C23">
              <w:rPr>
                <w:sz w:val="20"/>
                <w:szCs w:val="20"/>
                <w:lang w:val="en-US"/>
              </w:rPr>
              <w:t xml:space="preserve"> </w:t>
            </w:r>
            <w:r>
              <w:rPr>
                <w:sz w:val="20"/>
                <w:szCs w:val="20"/>
                <w:lang w:val="en-US"/>
              </w:rPr>
              <w:t xml:space="preserve">verboten </w:t>
            </w:r>
            <w:proofErr w:type="spellStart"/>
            <w:r>
              <w:rPr>
                <w:sz w:val="20"/>
                <w:szCs w:val="20"/>
                <w:lang w:val="en-US"/>
              </w:rPr>
              <w:t>werden</w:t>
            </w:r>
            <w:proofErr w:type="spellEnd"/>
            <w:r w:rsidRPr="00430C23">
              <w:rPr>
                <w:sz w:val="20"/>
                <w:szCs w:val="20"/>
                <w:lang w:val="en-US"/>
              </w:rPr>
              <w:t xml:space="preserve"> („Marriage is one of the vital personal rights essential to the orderly pursuit of happiness by free men. The right to marry is fundamental under the </w:t>
            </w:r>
            <w:r>
              <w:rPr>
                <w:sz w:val="20"/>
                <w:szCs w:val="20"/>
                <w:lang w:val="en-US"/>
              </w:rPr>
              <w:t xml:space="preserve">Due Process </w:t>
            </w:r>
            <w:proofErr w:type="gramStart"/>
            <w:r>
              <w:rPr>
                <w:sz w:val="20"/>
                <w:szCs w:val="20"/>
                <w:lang w:val="en-US"/>
              </w:rPr>
              <w:t>Clause</w:t>
            </w:r>
            <w:r w:rsidRPr="00430C23">
              <w:rPr>
                <w:sz w:val="20"/>
                <w:szCs w:val="20"/>
                <w:lang w:val="en-US"/>
              </w:rPr>
              <w:t>.“</w:t>
            </w:r>
            <w:proofErr w:type="gramEnd"/>
            <w:r w:rsidRPr="00430C23">
              <w:rPr>
                <w:sz w:val="20"/>
                <w:szCs w:val="20"/>
                <w:vertAlign w:val="superscript"/>
                <w:lang w:val="en-US"/>
              </w:rPr>
              <w:footnoteReference w:id="1125"/>
            </w:r>
            <w:r w:rsidRPr="00430C23">
              <w:rPr>
                <w:sz w:val="20"/>
                <w:szCs w:val="20"/>
              </w:rPr>
              <w:t xml:space="preserve">) Zur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430C23">
              <w:rPr>
                <w:sz w:val="20"/>
                <w:szCs w:val="20"/>
              </w:rPr>
              <w:t xml:space="preserve"> schrieb der </w:t>
            </w:r>
            <w:r>
              <w:rPr>
                <w:sz w:val="20"/>
                <w:szCs w:val="20"/>
              </w:rPr>
              <w:t>U.S. Supreme Court</w:t>
            </w:r>
            <w:r w:rsidRPr="00430C23">
              <w:rPr>
                <w:sz w:val="20"/>
                <w:szCs w:val="20"/>
              </w:rPr>
              <w:t xml:space="preserve">: die Ehe sei eines der lebenswichtigen persönlichen Rechte, die für das geordnete Streben freier Menschen nach Glück unerlässlich seien („essential to the </w:t>
            </w:r>
            <w:proofErr w:type="spellStart"/>
            <w:r w:rsidRPr="00430C23">
              <w:rPr>
                <w:sz w:val="20"/>
                <w:szCs w:val="20"/>
              </w:rPr>
              <w:t>orderly</w:t>
            </w:r>
            <w:proofErr w:type="spellEnd"/>
            <w:r w:rsidRPr="00430C23">
              <w:rPr>
                <w:sz w:val="20"/>
                <w:szCs w:val="20"/>
              </w:rPr>
              <w:t xml:space="preserve"> </w:t>
            </w:r>
            <w:proofErr w:type="spellStart"/>
            <w:r w:rsidRPr="00430C23">
              <w:rPr>
                <w:sz w:val="20"/>
                <w:szCs w:val="20"/>
              </w:rPr>
              <w:t>pursuit</w:t>
            </w:r>
            <w:proofErr w:type="spellEnd"/>
            <w:r w:rsidRPr="00430C23">
              <w:rPr>
                <w:sz w:val="20"/>
                <w:szCs w:val="20"/>
              </w:rPr>
              <w:t xml:space="preserve"> of </w:t>
            </w:r>
            <w:proofErr w:type="spellStart"/>
            <w:proofErr w:type="gramStart"/>
            <w:r w:rsidRPr="00430C23">
              <w:rPr>
                <w:sz w:val="20"/>
                <w:szCs w:val="20"/>
              </w:rPr>
              <w:t>happiness</w:t>
            </w:r>
            <w:proofErr w:type="spellEnd"/>
            <w:r w:rsidRPr="00430C23">
              <w:rPr>
                <w:sz w:val="20"/>
                <w:szCs w:val="20"/>
              </w:rPr>
              <w:t>“</w:t>
            </w:r>
            <w:proofErr w:type="gramEnd"/>
            <w:r w:rsidRPr="00430C23">
              <w:rPr>
                <w:sz w:val="20"/>
                <w:szCs w:val="20"/>
                <w:vertAlign w:val="superscript"/>
              </w:rPr>
              <w:footnoteReference w:id="1126"/>
            </w:r>
            <w:r w:rsidRPr="00430C23">
              <w:rPr>
                <w:sz w:val="20"/>
                <w:szCs w:val="20"/>
              </w:rPr>
              <w:t xml:space="preserve">). </w:t>
            </w:r>
            <w:r w:rsidRPr="00430C23">
              <w:rPr>
                <w:sz w:val="20"/>
                <w:szCs w:val="20"/>
                <w:lang w:val="en-US"/>
              </w:rPr>
              <w:t xml:space="preserve">Die </w:t>
            </w:r>
            <w:r w:rsidRPr="5B67C1D2">
              <w:rPr>
                <w:i/>
                <w:iCs/>
                <w:sz w:val="20"/>
                <w:szCs w:val="20"/>
                <w:lang w:val="en-US"/>
              </w:rPr>
              <w:t>Due Process Clause</w:t>
            </w:r>
            <w:r w:rsidRPr="00430C23">
              <w:rPr>
                <w:sz w:val="20"/>
                <w:szCs w:val="20"/>
                <w:lang w:val="en-US"/>
              </w:rPr>
              <w:t xml:space="preserve"> </w:t>
            </w:r>
            <w:proofErr w:type="spellStart"/>
            <w:r w:rsidRPr="00430C23">
              <w:rPr>
                <w:sz w:val="20"/>
                <w:szCs w:val="20"/>
                <w:lang w:val="en-US"/>
              </w:rPr>
              <w:t>schütze</w:t>
            </w:r>
            <w:proofErr w:type="spellEnd"/>
            <w:r w:rsidRPr="00430C23">
              <w:rPr>
                <w:sz w:val="20"/>
                <w:szCs w:val="20"/>
                <w:lang w:val="en-US"/>
              </w:rPr>
              <w:t xml:space="preserve"> </w:t>
            </w:r>
            <w:proofErr w:type="spellStart"/>
            <w:r w:rsidRPr="00430C23">
              <w:rPr>
                <w:sz w:val="20"/>
                <w:szCs w:val="20"/>
                <w:lang w:val="en-US"/>
              </w:rPr>
              <w:t>damit</w:t>
            </w:r>
            <w:proofErr w:type="spellEnd"/>
            <w:r w:rsidRPr="00430C23">
              <w:rPr>
                <w:sz w:val="20"/>
                <w:szCs w:val="20"/>
                <w:lang w:val="en-US"/>
              </w:rPr>
              <w:t xml:space="preserve"> dieses </w:t>
            </w:r>
            <w:proofErr w:type="spellStart"/>
            <w:r w:rsidRPr="00430C23">
              <w:rPr>
                <w:sz w:val="20"/>
                <w:szCs w:val="20"/>
                <w:lang w:val="en-US"/>
              </w:rPr>
              <w:t>Grundrecht</w:t>
            </w:r>
            <w:proofErr w:type="spellEnd"/>
            <w:r w:rsidRPr="00430C23">
              <w:rPr>
                <w:sz w:val="20"/>
                <w:szCs w:val="20"/>
                <w:lang w:val="en-US"/>
              </w:rPr>
              <w:t xml:space="preserve">, </w:t>
            </w:r>
            <w:proofErr w:type="spellStart"/>
            <w:r w:rsidRPr="00430C23">
              <w:rPr>
                <w:sz w:val="20"/>
                <w:szCs w:val="20"/>
                <w:lang w:val="en-US"/>
              </w:rPr>
              <w:t>nämlich</w:t>
            </w:r>
            <w:proofErr w:type="spellEnd"/>
            <w:r w:rsidRPr="00430C23">
              <w:rPr>
                <w:sz w:val="20"/>
                <w:szCs w:val="20"/>
                <w:lang w:val="en-US"/>
              </w:rPr>
              <w:t xml:space="preserve"> </w:t>
            </w:r>
            <w:proofErr w:type="spellStart"/>
            <w:r w:rsidRPr="00430C23">
              <w:rPr>
                <w:sz w:val="20"/>
                <w:szCs w:val="20"/>
                <w:lang w:val="en-US"/>
              </w:rPr>
              <w:t>über</w:t>
            </w:r>
            <w:proofErr w:type="spellEnd"/>
            <w:r w:rsidRPr="00430C23">
              <w:rPr>
                <w:sz w:val="20"/>
                <w:szCs w:val="20"/>
                <w:lang w:val="en-US"/>
              </w:rPr>
              <w:t xml:space="preserve"> seine </w:t>
            </w:r>
            <w:proofErr w:type="spellStart"/>
            <w:r w:rsidRPr="00430C23">
              <w:rPr>
                <w:sz w:val="20"/>
                <w:szCs w:val="20"/>
                <w:lang w:val="en-US"/>
              </w:rPr>
              <w:t>Formulierung</w:t>
            </w:r>
            <w:proofErr w:type="spellEnd"/>
            <w:r w:rsidRPr="00430C23">
              <w:rPr>
                <w:sz w:val="20"/>
                <w:szCs w:val="20"/>
                <w:lang w:val="en-US"/>
              </w:rPr>
              <w:t>: „Under the Due Process Clause of the Fourteenth Amendment, no State shall deprive any person of life, liberty, or property, without due process of law.“</w:t>
            </w:r>
            <w:r w:rsidRPr="00430C23">
              <w:rPr>
                <w:sz w:val="20"/>
                <w:szCs w:val="20"/>
                <w:vertAlign w:val="superscript"/>
              </w:rPr>
              <w:footnoteReference w:id="1127"/>
            </w:r>
            <w:r w:rsidRPr="00430C23">
              <w:rPr>
                <w:sz w:val="20"/>
                <w:szCs w:val="20"/>
                <w:lang w:val="en-US"/>
              </w:rPr>
              <w:t xml:space="preserve"> </w:t>
            </w:r>
            <w:r w:rsidRPr="00430C23">
              <w:rPr>
                <w:sz w:val="20"/>
                <w:szCs w:val="20"/>
              </w:rPr>
              <w:t>Dieses Verständnis sei so universal, dass selbst der Dissens die gleiche Argumentation, sogar die gleichen Worte verwandte.</w:t>
            </w:r>
            <w:r w:rsidRPr="00430C23">
              <w:rPr>
                <w:sz w:val="20"/>
                <w:szCs w:val="20"/>
                <w:vertAlign w:val="superscript"/>
              </w:rPr>
              <w:footnoteReference w:id="1128"/>
            </w:r>
            <w:r w:rsidRPr="00430C23">
              <w:rPr>
                <w:sz w:val="20"/>
                <w:szCs w:val="20"/>
              </w:rPr>
              <w:t xml:space="preserve"> Dabei stellt der </w:t>
            </w:r>
            <w:r>
              <w:rPr>
                <w:sz w:val="20"/>
                <w:szCs w:val="20"/>
              </w:rPr>
              <w:t>U.S. Supreme Court</w:t>
            </w:r>
            <w:r w:rsidRPr="00430C23">
              <w:rPr>
                <w:sz w:val="20"/>
                <w:szCs w:val="20"/>
              </w:rPr>
              <w:t xml:space="preserve"> zugleich den Wert des Strebens nach Glück fest, indem er </w:t>
            </w:r>
            <w:r>
              <w:rPr>
                <w:sz w:val="20"/>
                <w:szCs w:val="20"/>
              </w:rPr>
              <w:t>vor</w:t>
            </w:r>
            <w:r w:rsidRPr="00430C23">
              <w:rPr>
                <w:sz w:val="20"/>
                <w:szCs w:val="20"/>
              </w:rPr>
              <w:t xml:space="preserve">gab, die Grundrechte seien </w:t>
            </w:r>
            <w:r>
              <w:rPr>
                <w:sz w:val="20"/>
                <w:szCs w:val="20"/>
              </w:rPr>
              <w:t>im</w:t>
            </w:r>
            <w:r w:rsidRPr="00430C23">
              <w:rPr>
                <w:sz w:val="20"/>
                <w:szCs w:val="20"/>
              </w:rPr>
              <w:t xml:space="preserve"> Sinne</w:t>
            </w:r>
            <w:r>
              <w:rPr>
                <w:sz w:val="20"/>
                <w:szCs w:val="20"/>
              </w:rPr>
              <w:t xml:space="preserve"> dieses Prinzips</w:t>
            </w:r>
            <w:r w:rsidRPr="00430C23">
              <w:rPr>
                <w:sz w:val="20"/>
                <w:szCs w:val="20"/>
              </w:rPr>
              <w:t xml:space="preserve"> auszulegen. Er argumentierte konkret: Für Gerichte </w:t>
            </w:r>
            <w:r>
              <w:rPr>
                <w:sz w:val="20"/>
                <w:szCs w:val="20"/>
              </w:rPr>
              <w:t>ergebe</w:t>
            </w:r>
            <w:r w:rsidRPr="00430C23">
              <w:rPr>
                <w:sz w:val="20"/>
                <w:szCs w:val="20"/>
              </w:rPr>
              <w:t xml:space="preserve"> sich die Pflicht, die Verfassung immer wieder aufs Neue zu interpretieren, weil es stets möglich sei, anders gelagerte Grundrechte oder einen anderen Grundrechtsschutz zu identifizieren.</w:t>
            </w:r>
            <w:r w:rsidRPr="00430C23">
              <w:rPr>
                <w:sz w:val="20"/>
                <w:szCs w:val="20"/>
                <w:vertAlign w:val="superscript"/>
              </w:rPr>
              <w:footnoteReference w:id="1129"/>
            </w:r>
            <w:r w:rsidRPr="00430C23">
              <w:rPr>
                <w:sz w:val="20"/>
                <w:szCs w:val="20"/>
              </w:rPr>
              <w:t xml:space="preserve"> Hierfür bestehe keine feste Formel, sondern es sei vielmehr ein Begründungserfordernis. Dabei richte</w:t>
            </w:r>
            <w:r>
              <w:rPr>
                <w:sz w:val="20"/>
                <w:szCs w:val="20"/>
              </w:rPr>
              <w:t>te</w:t>
            </w:r>
            <w:r w:rsidRPr="00430C23">
              <w:rPr>
                <w:sz w:val="20"/>
                <w:szCs w:val="20"/>
              </w:rPr>
              <w:t>n sich die Grundrechte an höheren Prinzipien aus („</w:t>
            </w:r>
            <w:proofErr w:type="spellStart"/>
            <w:r w:rsidRPr="00430C23">
              <w:rPr>
                <w:sz w:val="20"/>
                <w:szCs w:val="20"/>
              </w:rPr>
              <w:t>broad</w:t>
            </w:r>
            <w:proofErr w:type="spellEnd"/>
            <w:r w:rsidRPr="00430C23">
              <w:rPr>
                <w:sz w:val="20"/>
                <w:szCs w:val="20"/>
              </w:rPr>
              <w:t xml:space="preserve"> </w:t>
            </w:r>
            <w:proofErr w:type="spellStart"/>
            <w:r w:rsidRPr="00430C23">
              <w:rPr>
                <w:sz w:val="20"/>
                <w:szCs w:val="20"/>
              </w:rPr>
              <w:t>principles</w:t>
            </w:r>
            <w:proofErr w:type="spellEnd"/>
            <w:r w:rsidRPr="00430C23">
              <w:rPr>
                <w:sz w:val="20"/>
                <w:szCs w:val="20"/>
              </w:rPr>
              <w:t>“</w:t>
            </w:r>
            <w:r w:rsidRPr="00430C23">
              <w:rPr>
                <w:sz w:val="20"/>
                <w:szCs w:val="20"/>
                <w:vertAlign w:val="superscript"/>
              </w:rPr>
              <w:footnoteReference w:id="1130"/>
            </w:r>
            <w:r w:rsidRPr="00430C23">
              <w:rPr>
                <w:sz w:val="20"/>
                <w:szCs w:val="20"/>
              </w:rPr>
              <w:t>). Diese stamm</w:t>
            </w:r>
            <w:r>
              <w:rPr>
                <w:sz w:val="20"/>
                <w:szCs w:val="20"/>
              </w:rPr>
              <w:t>t</w:t>
            </w:r>
            <w:r w:rsidRPr="00430C23">
              <w:rPr>
                <w:sz w:val="20"/>
                <w:szCs w:val="20"/>
              </w:rPr>
              <w:t>en zunächst aus der Verfassungshistorie („</w:t>
            </w:r>
            <w:proofErr w:type="spellStart"/>
            <w:r w:rsidRPr="00430C23">
              <w:rPr>
                <w:sz w:val="20"/>
                <w:szCs w:val="20"/>
              </w:rPr>
              <w:t>History</w:t>
            </w:r>
            <w:proofErr w:type="spellEnd"/>
            <w:r w:rsidRPr="00430C23">
              <w:rPr>
                <w:sz w:val="20"/>
                <w:szCs w:val="20"/>
              </w:rPr>
              <w:t xml:space="preserve"> and </w:t>
            </w:r>
            <w:proofErr w:type="spellStart"/>
            <w:r w:rsidRPr="00430C23">
              <w:rPr>
                <w:sz w:val="20"/>
                <w:szCs w:val="20"/>
              </w:rPr>
              <w:t>tradition</w:t>
            </w:r>
            <w:proofErr w:type="spellEnd"/>
            <w:r w:rsidRPr="00430C23">
              <w:rPr>
                <w:sz w:val="20"/>
                <w:szCs w:val="20"/>
              </w:rPr>
              <w:t xml:space="preserve"> guide“</w:t>
            </w:r>
            <w:r w:rsidRPr="00430C23">
              <w:rPr>
                <w:sz w:val="20"/>
                <w:szCs w:val="20"/>
                <w:vertAlign w:val="superscript"/>
              </w:rPr>
              <w:footnoteReference w:id="1131"/>
            </w:r>
            <w:r w:rsidRPr="00430C23">
              <w:rPr>
                <w:sz w:val="20"/>
                <w:szCs w:val="20"/>
              </w:rPr>
              <w:t xml:space="preserve">). Diese Abstammung sichere, dass weder die Gegenwart allein sich selbst </w:t>
            </w:r>
            <w:proofErr w:type="gramStart"/>
            <w:r w:rsidRPr="00430C23">
              <w:rPr>
                <w:sz w:val="20"/>
                <w:szCs w:val="20"/>
              </w:rPr>
              <w:t>determinier</w:t>
            </w:r>
            <w:r>
              <w:rPr>
                <w:sz w:val="20"/>
                <w:szCs w:val="20"/>
              </w:rPr>
              <w:t>e,</w:t>
            </w:r>
            <w:proofErr w:type="gramEnd"/>
            <w:r w:rsidRPr="00430C23">
              <w:rPr>
                <w:sz w:val="20"/>
                <w:szCs w:val="20"/>
              </w:rPr>
              <w:t xml:space="preserve"> noch die Vergangenheit allein die Gegenwart bestimme. Und die Prinzipien der Verfassungshistorie seien das Streben nach Glück sowie seine Freiheitsdimensionen, die sich in der Bill of Rights und im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30C23">
              <w:rPr>
                <w:sz w:val="20"/>
                <w:szCs w:val="20"/>
              </w:rPr>
              <w:t xml:space="preserve"> verankern. Mit diesen Ankern beauftragten die Verfasser der </w:t>
            </w:r>
            <w:r w:rsidRPr="5B67C1D2">
              <w:rPr>
                <w:i/>
                <w:iCs/>
                <w:sz w:val="20"/>
                <w:szCs w:val="20"/>
              </w:rPr>
              <w:t>Declaration of Independence</w:t>
            </w:r>
            <w:r w:rsidRPr="00430C23">
              <w:rPr>
                <w:sz w:val="20"/>
                <w:szCs w:val="20"/>
              </w:rPr>
              <w:t xml:space="preserve"> künftige Generationen, die Dimensionen des Freiheitsbegriffs zu bestimmen. Der Auftrag lautete: Wenn sich neue Sachverhalte stellen, die eine Diskrepanz zwischen Grundrechten und einfachem Recht auslösen, dann müssen Gerichte die Freiheitsdimensionen als Auslegung adressieren, die sich </w:t>
            </w:r>
            <w:r>
              <w:rPr>
                <w:sz w:val="20"/>
                <w:szCs w:val="20"/>
              </w:rPr>
              <w:t>wiederum</w:t>
            </w:r>
            <w:r w:rsidRPr="00430C23">
              <w:rPr>
                <w:sz w:val="20"/>
                <w:szCs w:val="20"/>
              </w:rPr>
              <w:t xml:space="preserve"> danach ausrichten, ob sie wesentlich für das Glücksstreben sind.</w:t>
            </w:r>
            <w:r w:rsidRPr="00430C23">
              <w:rPr>
                <w:sz w:val="20"/>
                <w:szCs w:val="20"/>
                <w:vertAlign w:val="superscript"/>
              </w:rPr>
              <w:footnoteReference w:id="1132"/>
            </w:r>
            <w:r w:rsidRPr="00430C23">
              <w:rPr>
                <w:sz w:val="20"/>
                <w:szCs w:val="20"/>
              </w:rPr>
              <w:t xml:space="preserve"> In einem Fall hatte diese Argumentationskette die Folge, dass das Recht zu heiraten ein Grundrecht sei, weil es als persönliches Recht wesentlich für ein </w:t>
            </w:r>
            <w:r w:rsidRPr="00430C23">
              <w:rPr>
                <w:sz w:val="20"/>
                <w:szCs w:val="20"/>
              </w:rPr>
              <w:lastRenderedPageBreak/>
              <w:t>geordnetes Streben nach Glück sei, und</w:t>
            </w:r>
            <w:r>
              <w:rPr>
                <w:sz w:val="20"/>
                <w:szCs w:val="20"/>
              </w:rPr>
              <w:t xml:space="preserve"> dass es</w:t>
            </w:r>
            <w:r w:rsidRPr="00430C23">
              <w:rPr>
                <w:sz w:val="20"/>
                <w:szCs w:val="20"/>
              </w:rPr>
              <w:t xml:space="preserve"> damit unter den Schutz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430C23">
              <w:rPr>
                <w:sz w:val="20"/>
                <w:szCs w:val="20"/>
              </w:rPr>
              <w:t xml:space="preserve"> falle. Und weil die Ehe ein Ausdruck der individuellen Freiheit sei, </w:t>
            </w:r>
            <w:r>
              <w:rPr>
                <w:sz w:val="20"/>
                <w:szCs w:val="20"/>
              </w:rPr>
              <w:t>könne</w:t>
            </w:r>
            <w:r w:rsidRPr="00430C23">
              <w:rPr>
                <w:sz w:val="20"/>
                <w:szCs w:val="20"/>
              </w:rPr>
              <w:t xml:space="preserve"> kein Unterschied zwischen gleichgeschlechtlichen und nicht gleichgeschlechtlichen Paaren gemacht werden. Denn die Ehe sei eine einzigartige Verbindung, die einen Lebensstil präge und über rein kommerzielle Erwägungen hinausgehe.</w:t>
            </w:r>
            <w:r w:rsidRPr="00430C23">
              <w:rPr>
                <w:sz w:val="20"/>
                <w:szCs w:val="20"/>
                <w:vertAlign w:val="superscript"/>
              </w:rPr>
              <w:footnoteReference w:id="1133"/>
            </w:r>
            <w:r w:rsidRPr="00430C23">
              <w:rPr>
                <w:sz w:val="20"/>
                <w:szCs w:val="20"/>
              </w:rPr>
              <w:t xml:space="preserve"> Im Ergebnis sei die Freiheit, den Ehepartner frei zu </w:t>
            </w:r>
            <w:r>
              <w:rPr>
                <w:sz w:val="20"/>
                <w:szCs w:val="20"/>
              </w:rPr>
              <w:t>wählen</w:t>
            </w:r>
            <w:r w:rsidRPr="00430C23">
              <w:rPr>
                <w:sz w:val="20"/>
                <w:szCs w:val="20"/>
              </w:rPr>
              <w:t>, grundlegend für die positive Seite der Freiheit.</w:t>
            </w:r>
          </w:p>
        </w:tc>
      </w:tr>
      <w:tr w:rsidR="00074551" w:rsidRPr="00E50B51" w14:paraId="758F4133" w14:textId="77777777" w:rsidTr="00BE689F">
        <w:trPr>
          <w:cantSplit/>
          <w:trHeight w:val="3175"/>
        </w:trPr>
        <w:tc>
          <w:tcPr>
            <w:tcW w:w="293" w:type="pct"/>
          </w:tcPr>
          <w:p w14:paraId="03ECE5BE"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2365ACE" w14:textId="77777777" w:rsidR="00074551" w:rsidRPr="00B45592" w:rsidRDefault="00074551" w:rsidP="00367133">
            <w:pPr>
              <w:ind w:left="113" w:right="416"/>
              <w:jc w:val="both"/>
              <w:rPr>
                <w:i/>
                <w:sz w:val="20"/>
                <w:szCs w:val="20"/>
                <w:lang w:val="en-US"/>
              </w:rPr>
            </w:pPr>
            <w:r w:rsidRPr="00B45592">
              <w:rPr>
                <w:i/>
                <w:sz w:val="20"/>
                <w:szCs w:val="20"/>
                <w:lang w:val="en-US"/>
              </w:rPr>
              <w:t>Pierce v. Soc’y of Sisters</w:t>
            </w:r>
          </w:p>
        </w:tc>
        <w:tc>
          <w:tcPr>
            <w:tcW w:w="197" w:type="pct"/>
            <w:textDirection w:val="tbRl"/>
            <w:vAlign w:val="center"/>
          </w:tcPr>
          <w:p w14:paraId="6A464DD3" w14:textId="77777777" w:rsidR="00074551" w:rsidRPr="00E50B51" w:rsidRDefault="00074551" w:rsidP="00367133">
            <w:pPr>
              <w:ind w:left="113" w:right="113"/>
              <w:jc w:val="both"/>
              <w:rPr>
                <w:sz w:val="20"/>
                <w:szCs w:val="20"/>
              </w:rPr>
            </w:pPr>
            <w:r w:rsidRPr="00E50B51">
              <w:rPr>
                <w:sz w:val="20"/>
                <w:szCs w:val="20"/>
                <w:lang w:val="en-US"/>
              </w:rPr>
              <w:t>268 U.S. 510</w:t>
            </w:r>
          </w:p>
        </w:tc>
        <w:tc>
          <w:tcPr>
            <w:tcW w:w="306" w:type="pct"/>
            <w:textDirection w:val="tbRl"/>
            <w:vAlign w:val="center"/>
          </w:tcPr>
          <w:p w14:paraId="26249250" w14:textId="77777777" w:rsidR="00074551" w:rsidRPr="00E50B51" w:rsidRDefault="00074551" w:rsidP="00367133">
            <w:pPr>
              <w:ind w:left="113" w:right="113"/>
              <w:jc w:val="both"/>
              <w:rPr>
                <w:sz w:val="20"/>
                <w:szCs w:val="20"/>
              </w:rPr>
            </w:pPr>
            <w:r w:rsidRPr="00E50B51">
              <w:rPr>
                <w:sz w:val="20"/>
                <w:szCs w:val="20"/>
              </w:rPr>
              <w:t>1. Juni 1925</w:t>
            </w:r>
          </w:p>
        </w:tc>
        <w:tc>
          <w:tcPr>
            <w:tcW w:w="401" w:type="pct"/>
          </w:tcPr>
          <w:p w14:paraId="640DC7CC" w14:textId="77777777" w:rsidR="00074551" w:rsidRPr="00E50B51" w:rsidRDefault="00074551" w:rsidP="00367133">
            <w:pPr>
              <w:jc w:val="center"/>
              <w:rPr>
                <w:sz w:val="20"/>
                <w:szCs w:val="20"/>
              </w:rPr>
            </w:pPr>
            <w:r w:rsidRPr="00E50B51">
              <w:rPr>
                <w:sz w:val="20"/>
                <w:szCs w:val="20"/>
              </w:rPr>
              <w:t>S</w:t>
            </w:r>
          </w:p>
        </w:tc>
        <w:tc>
          <w:tcPr>
            <w:tcW w:w="1594" w:type="pct"/>
          </w:tcPr>
          <w:p w14:paraId="7FB6DAE9" w14:textId="77777777" w:rsidR="00074551" w:rsidRPr="00E50B51" w:rsidRDefault="00074551" w:rsidP="00367133">
            <w:pPr>
              <w:jc w:val="both"/>
              <w:rPr>
                <w:sz w:val="20"/>
                <w:szCs w:val="20"/>
              </w:rPr>
            </w:pPr>
            <w:r w:rsidRPr="00E50B51">
              <w:rPr>
                <w:sz w:val="20"/>
                <w:szCs w:val="20"/>
              </w:rPr>
              <w:t xml:space="preserve">Im Fall </w:t>
            </w:r>
            <w:r>
              <w:rPr>
                <w:sz w:val="20"/>
                <w:szCs w:val="20"/>
              </w:rPr>
              <w:t>wandte</w:t>
            </w:r>
            <w:r w:rsidRPr="00E50B51">
              <w:rPr>
                <w:sz w:val="20"/>
                <w:szCs w:val="20"/>
              </w:rPr>
              <w:t xml:space="preserve"> sich eine private Grundschule als Kläger</w:t>
            </w:r>
            <w:r>
              <w:rPr>
                <w:sz w:val="20"/>
                <w:szCs w:val="20"/>
              </w:rPr>
              <w:t>in</w:t>
            </w:r>
            <w:r w:rsidRPr="00E50B51">
              <w:rPr>
                <w:sz w:val="20"/>
                <w:szCs w:val="20"/>
              </w:rPr>
              <w:t xml:space="preserve"> gegen das Schulpflichtgesetz</w:t>
            </w:r>
            <w:r>
              <w:rPr>
                <w:sz w:val="20"/>
                <w:szCs w:val="20"/>
              </w:rPr>
              <w:t xml:space="preserve">, den sog. </w:t>
            </w:r>
            <w:proofErr w:type="spellStart"/>
            <w:r w:rsidRPr="5B67C1D2">
              <w:rPr>
                <w:i/>
                <w:iCs/>
                <w:sz w:val="20"/>
                <w:szCs w:val="20"/>
              </w:rPr>
              <w:t>Compulsory</w:t>
            </w:r>
            <w:proofErr w:type="spellEnd"/>
            <w:r w:rsidRPr="5B67C1D2">
              <w:rPr>
                <w:i/>
                <w:iCs/>
                <w:sz w:val="20"/>
                <w:szCs w:val="20"/>
              </w:rPr>
              <w:t xml:space="preserve"> Education Act</w:t>
            </w:r>
            <w:r w:rsidRPr="00E50B51">
              <w:rPr>
                <w:sz w:val="20"/>
                <w:szCs w:val="20"/>
              </w:rPr>
              <w:t xml:space="preserve">, 1922 </w:t>
            </w:r>
            <w:proofErr w:type="spellStart"/>
            <w:r w:rsidRPr="00E50B51">
              <w:rPr>
                <w:sz w:val="20"/>
                <w:szCs w:val="20"/>
              </w:rPr>
              <w:t>Or</w:t>
            </w:r>
            <w:proofErr w:type="spellEnd"/>
            <w:r w:rsidRPr="00E50B51">
              <w:rPr>
                <w:sz w:val="20"/>
                <w:szCs w:val="20"/>
              </w:rPr>
              <w:t xml:space="preserve">. Laws </w:t>
            </w:r>
            <w:r>
              <w:rPr>
                <w:sz w:val="20"/>
                <w:szCs w:val="20"/>
              </w:rPr>
              <w:t>§ </w:t>
            </w:r>
            <w:r w:rsidRPr="004E264C">
              <w:rPr>
                <w:sz w:val="20"/>
                <w:szCs w:val="20"/>
              </w:rPr>
              <w:t>5259</w:t>
            </w:r>
            <w:r>
              <w:rPr>
                <w:sz w:val="20"/>
                <w:szCs w:val="20"/>
              </w:rPr>
              <w:t>.</w:t>
            </w:r>
            <w:r w:rsidRPr="004E264C">
              <w:rPr>
                <w:rStyle w:val="Funotenzeichen"/>
                <w:sz w:val="20"/>
                <w:szCs w:val="20"/>
              </w:rPr>
              <w:footnoteReference w:id="1134"/>
            </w:r>
            <w:r w:rsidRPr="004E264C">
              <w:rPr>
                <w:sz w:val="20"/>
                <w:szCs w:val="20"/>
              </w:rPr>
              <w:t>.</w:t>
            </w:r>
            <w:r w:rsidRPr="00E50B51">
              <w:rPr>
                <w:sz w:val="20"/>
                <w:szCs w:val="20"/>
              </w:rPr>
              <w:t xml:space="preserve"> Das Gesetz schrieb vor, dass Kinder im Alter von 8 bis 16 Jahren eine öffentliche Schule besuchen müssen. Die Kläger</w:t>
            </w:r>
            <w:r>
              <w:rPr>
                <w:sz w:val="20"/>
                <w:szCs w:val="20"/>
              </w:rPr>
              <w:t>in</w:t>
            </w:r>
            <w:r w:rsidRPr="00E50B51">
              <w:rPr>
                <w:sz w:val="20"/>
                <w:szCs w:val="20"/>
              </w:rPr>
              <w:t xml:space="preserve"> machte geltend, ihre Einschulungszahlen seien aufgrund des Gesetzes rückläufig. Der </w:t>
            </w:r>
            <w:r>
              <w:rPr>
                <w:sz w:val="20"/>
                <w:szCs w:val="20"/>
              </w:rPr>
              <w:t>U.S. Supreme Court</w:t>
            </w:r>
            <w:r w:rsidRPr="00E50B51">
              <w:rPr>
                <w:sz w:val="20"/>
                <w:szCs w:val="20"/>
              </w:rPr>
              <w:t xml:space="preserve"> urteilte, das Gesetz </w:t>
            </w:r>
            <w:r>
              <w:rPr>
                <w:sz w:val="20"/>
                <w:szCs w:val="20"/>
              </w:rPr>
              <w:t>greife</w:t>
            </w:r>
            <w:r w:rsidRPr="00E50B51">
              <w:rPr>
                <w:sz w:val="20"/>
                <w:szCs w:val="20"/>
              </w:rPr>
              <w:t xml:space="preserve"> unangemessen </w:t>
            </w:r>
            <w:r>
              <w:rPr>
                <w:sz w:val="20"/>
                <w:szCs w:val="20"/>
              </w:rPr>
              <w:t xml:space="preserve">in </w:t>
            </w:r>
            <w:r w:rsidRPr="00E50B51">
              <w:rPr>
                <w:sz w:val="20"/>
                <w:szCs w:val="20"/>
              </w:rPr>
              <w:t xml:space="preserve">die Erziehungsfreiheit </w:t>
            </w:r>
            <w:r w:rsidRPr="004E264C">
              <w:rPr>
                <w:sz w:val="20"/>
                <w:szCs w:val="20"/>
              </w:rPr>
              <w:t xml:space="preserve">(„parental </w:t>
            </w:r>
            <w:proofErr w:type="spellStart"/>
            <w:r w:rsidRPr="004E264C">
              <w:rPr>
                <w:sz w:val="20"/>
                <w:szCs w:val="20"/>
              </w:rPr>
              <w:t>rights</w:t>
            </w:r>
            <w:proofErr w:type="spellEnd"/>
            <w:r w:rsidRPr="004E264C">
              <w:rPr>
                <w:sz w:val="20"/>
                <w:szCs w:val="20"/>
              </w:rPr>
              <w:t>“</w:t>
            </w:r>
            <w:r w:rsidRPr="004E264C">
              <w:rPr>
                <w:rStyle w:val="Funotenzeichen"/>
                <w:sz w:val="20"/>
                <w:szCs w:val="20"/>
              </w:rPr>
              <w:footnoteReference w:id="1135"/>
            </w:r>
            <w:r w:rsidRPr="004E264C">
              <w:rPr>
                <w:sz w:val="20"/>
                <w:szCs w:val="20"/>
              </w:rPr>
              <w:t>) und wirtschaftliche Interesse („</w:t>
            </w:r>
            <w:proofErr w:type="spellStart"/>
            <w:r w:rsidRPr="004E264C">
              <w:rPr>
                <w:sz w:val="20"/>
                <w:szCs w:val="20"/>
              </w:rPr>
              <w:t>business</w:t>
            </w:r>
            <w:proofErr w:type="spellEnd"/>
            <w:r w:rsidRPr="004E264C">
              <w:rPr>
                <w:sz w:val="20"/>
                <w:szCs w:val="20"/>
              </w:rPr>
              <w:t xml:space="preserve"> </w:t>
            </w:r>
            <w:proofErr w:type="spellStart"/>
            <w:r w:rsidRPr="004E264C">
              <w:rPr>
                <w:sz w:val="20"/>
                <w:szCs w:val="20"/>
              </w:rPr>
              <w:t>interests</w:t>
            </w:r>
            <w:proofErr w:type="spellEnd"/>
            <w:r w:rsidRPr="004E264C">
              <w:rPr>
                <w:sz w:val="20"/>
                <w:szCs w:val="20"/>
              </w:rPr>
              <w:t>“</w:t>
            </w:r>
            <w:r w:rsidRPr="004E264C">
              <w:rPr>
                <w:rStyle w:val="Funotenzeichen"/>
                <w:sz w:val="20"/>
                <w:szCs w:val="20"/>
              </w:rPr>
              <w:footnoteReference w:id="1136"/>
            </w:r>
            <w:r w:rsidRPr="004E264C">
              <w:rPr>
                <w:sz w:val="20"/>
                <w:szCs w:val="20"/>
              </w:rPr>
              <w:t>) ein.</w:t>
            </w:r>
          </w:p>
          <w:p w14:paraId="24F91BE0" w14:textId="77777777" w:rsidR="00074551" w:rsidRPr="00E50B51" w:rsidRDefault="00074551" w:rsidP="00367133">
            <w:pPr>
              <w:jc w:val="both"/>
              <w:rPr>
                <w:sz w:val="20"/>
                <w:szCs w:val="20"/>
              </w:rPr>
            </w:pPr>
          </w:p>
        </w:tc>
        <w:tc>
          <w:tcPr>
            <w:tcW w:w="1822" w:type="pct"/>
          </w:tcPr>
          <w:p w14:paraId="03AF2430" w14:textId="6BEA4F8F" w:rsidR="00074551" w:rsidRPr="0063312C" w:rsidRDefault="00074551" w:rsidP="00367133">
            <w:pPr>
              <w:jc w:val="both"/>
              <w:rPr>
                <w:sz w:val="20"/>
                <w:szCs w:val="20"/>
              </w:rPr>
            </w:pPr>
            <w:r w:rsidRPr="0063312C">
              <w:rPr>
                <w:sz w:val="20"/>
                <w:szCs w:val="20"/>
              </w:rPr>
              <w:t xml:space="preserve">In </w:t>
            </w:r>
            <w:r w:rsidRPr="5B67C1D2">
              <w:rPr>
                <w:i/>
                <w:iCs/>
                <w:sz w:val="20"/>
                <w:szCs w:val="20"/>
              </w:rPr>
              <w:t xml:space="preserve">Pierce v. </w:t>
            </w:r>
            <w:proofErr w:type="spellStart"/>
            <w:r w:rsidRPr="5B67C1D2">
              <w:rPr>
                <w:i/>
                <w:iCs/>
                <w:sz w:val="20"/>
                <w:szCs w:val="20"/>
              </w:rPr>
              <w:t>Soc’y</w:t>
            </w:r>
            <w:proofErr w:type="spellEnd"/>
            <w:r w:rsidRPr="5B67C1D2">
              <w:rPr>
                <w:i/>
                <w:iCs/>
                <w:sz w:val="20"/>
                <w:szCs w:val="20"/>
              </w:rPr>
              <w:t xml:space="preserve"> of Sisters</w:t>
            </w:r>
            <w:r w:rsidRPr="0063312C">
              <w:rPr>
                <w:sz w:val="20"/>
                <w:szCs w:val="20"/>
              </w:rPr>
              <w:t xml:space="preserve"> erklärt der </w:t>
            </w:r>
            <w:r>
              <w:rPr>
                <w:sz w:val="20"/>
                <w:szCs w:val="20"/>
              </w:rPr>
              <w:t>U.S. Supreme Court</w:t>
            </w:r>
            <w:r w:rsidRPr="0063312C">
              <w:rPr>
                <w:sz w:val="20"/>
                <w:szCs w:val="20"/>
              </w:rPr>
              <w:t>, das Streben nach Glück und Grundrechte mit Freiheitsbezug sicher</w:t>
            </w:r>
            <w:r>
              <w:rPr>
                <w:sz w:val="20"/>
                <w:szCs w:val="20"/>
              </w:rPr>
              <w:t>te</w:t>
            </w:r>
            <w:r w:rsidRPr="0063312C">
              <w:rPr>
                <w:sz w:val="20"/>
                <w:szCs w:val="20"/>
              </w:rPr>
              <w:t>n gegen Gesetzgebung, die ökonomischen und sozialen Aufstieg hindere</w:t>
            </w:r>
            <w:r>
              <w:rPr>
                <w:sz w:val="20"/>
                <w:szCs w:val="20"/>
              </w:rPr>
              <w:t xml:space="preserve">. </w:t>
            </w:r>
            <w:r w:rsidRPr="0063312C">
              <w:rPr>
                <w:sz w:val="20"/>
                <w:szCs w:val="20"/>
              </w:rPr>
              <w:t xml:space="preserve">Zum </w:t>
            </w:r>
            <w:proofErr w:type="spellStart"/>
            <w:r w:rsidRPr="5B67C1D2">
              <w:rPr>
                <w:i/>
                <w:iCs/>
                <w:sz w:val="20"/>
                <w:szCs w:val="20"/>
              </w:rPr>
              <w:t>pursuit</w:t>
            </w:r>
            <w:proofErr w:type="spellEnd"/>
            <w:r w:rsidRPr="5B67C1D2">
              <w:rPr>
                <w:i/>
                <w:iCs/>
                <w:sz w:val="20"/>
                <w:szCs w:val="20"/>
              </w:rPr>
              <w:t xml:space="preserve"> of Happiness</w:t>
            </w:r>
            <w:r w:rsidRPr="0063312C">
              <w:rPr>
                <w:sz w:val="20"/>
                <w:szCs w:val="20"/>
              </w:rPr>
              <w:t xml:space="preserve"> griff der </w:t>
            </w:r>
            <w:r>
              <w:rPr>
                <w:sz w:val="20"/>
                <w:szCs w:val="20"/>
              </w:rPr>
              <w:t>U.S. Supreme Court</w:t>
            </w:r>
            <w:r w:rsidRPr="0063312C">
              <w:rPr>
                <w:sz w:val="20"/>
                <w:szCs w:val="20"/>
              </w:rPr>
              <w:t xml:space="preserve"> die Argumentation der Generalstaatsanwaltschaft auf. Danach habe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63312C">
              <w:rPr>
                <w:sz w:val="20"/>
                <w:szCs w:val="20"/>
              </w:rPr>
              <w:t xml:space="preserve"> zum Ziel, Gesetze zu verhindern, die darauf ziel</w:t>
            </w:r>
            <w:r>
              <w:rPr>
                <w:sz w:val="20"/>
                <w:szCs w:val="20"/>
              </w:rPr>
              <w:t>t</w:t>
            </w:r>
            <w:r w:rsidRPr="0063312C">
              <w:rPr>
                <w:sz w:val="20"/>
                <w:szCs w:val="20"/>
              </w:rPr>
              <w:t>en, wirtschaftlichen und sozialen Aufstieg zu hindern („</w:t>
            </w:r>
            <w:proofErr w:type="spellStart"/>
            <w:r w:rsidRPr="0063312C">
              <w:rPr>
                <w:sz w:val="20"/>
                <w:szCs w:val="20"/>
              </w:rPr>
              <w:t>primary</w:t>
            </w:r>
            <w:proofErr w:type="spellEnd"/>
            <w:r w:rsidRPr="0063312C">
              <w:rPr>
                <w:sz w:val="20"/>
                <w:szCs w:val="20"/>
              </w:rPr>
              <w:t xml:space="preserve"> </w:t>
            </w:r>
            <w:proofErr w:type="spellStart"/>
            <w:r w:rsidRPr="0063312C">
              <w:rPr>
                <w:sz w:val="20"/>
                <w:szCs w:val="20"/>
              </w:rPr>
              <w:t>object</w:t>
            </w:r>
            <w:proofErr w:type="spellEnd"/>
            <w:r w:rsidRPr="0063312C">
              <w:rPr>
                <w:sz w:val="20"/>
                <w:szCs w:val="20"/>
              </w:rPr>
              <w:t xml:space="preserve"> the </w:t>
            </w:r>
            <w:proofErr w:type="spellStart"/>
            <w:r w:rsidRPr="0063312C">
              <w:rPr>
                <w:sz w:val="20"/>
                <w:szCs w:val="20"/>
              </w:rPr>
              <w:t>prevention</w:t>
            </w:r>
            <w:proofErr w:type="spellEnd"/>
            <w:r w:rsidRPr="0063312C">
              <w:rPr>
                <w:sz w:val="20"/>
                <w:szCs w:val="20"/>
              </w:rPr>
              <w:t xml:space="preserve"> of </w:t>
            </w:r>
            <w:proofErr w:type="spellStart"/>
            <w:r w:rsidRPr="0063312C">
              <w:rPr>
                <w:sz w:val="20"/>
                <w:szCs w:val="20"/>
              </w:rPr>
              <w:t>state</w:t>
            </w:r>
            <w:proofErr w:type="spellEnd"/>
            <w:r w:rsidRPr="0063312C">
              <w:rPr>
                <w:sz w:val="20"/>
                <w:szCs w:val="20"/>
              </w:rPr>
              <w:t xml:space="preserve"> </w:t>
            </w:r>
            <w:proofErr w:type="spellStart"/>
            <w:r w:rsidRPr="0063312C">
              <w:rPr>
                <w:sz w:val="20"/>
                <w:szCs w:val="20"/>
              </w:rPr>
              <w:t>legislation</w:t>
            </w:r>
            <w:proofErr w:type="spellEnd"/>
            <w:r w:rsidRPr="0063312C">
              <w:rPr>
                <w:sz w:val="20"/>
                <w:szCs w:val="20"/>
              </w:rPr>
              <w:t xml:space="preserve"> </w:t>
            </w:r>
            <w:proofErr w:type="spellStart"/>
            <w:r w:rsidRPr="0063312C">
              <w:rPr>
                <w:sz w:val="20"/>
                <w:szCs w:val="20"/>
              </w:rPr>
              <w:t>calculated</w:t>
            </w:r>
            <w:proofErr w:type="spellEnd"/>
            <w:r w:rsidRPr="0063312C">
              <w:rPr>
                <w:sz w:val="20"/>
                <w:szCs w:val="20"/>
              </w:rPr>
              <w:t xml:space="preserve"> to </w:t>
            </w:r>
            <w:proofErr w:type="spellStart"/>
            <w:r w:rsidRPr="0063312C">
              <w:rPr>
                <w:sz w:val="20"/>
                <w:szCs w:val="20"/>
              </w:rPr>
              <w:t>keep</w:t>
            </w:r>
            <w:proofErr w:type="spellEnd"/>
            <w:r w:rsidRPr="0063312C">
              <w:rPr>
                <w:sz w:val="20"/>
                <w:szCs w:val="20"/>
              </w:rPr>
              <w:t xml:space="preserve"> </w:t>
            </w:r>
            <w:proofErr w:type="spellStart"/>
            <w:r w:rsidRPr="0063312C">
              <w:rPr>
                <w:sz w:val="20"/>
                <w:szCs w:val="20"/>
              </w:rPr>
              <w:t>one</w:t>
            </w:r>
            <w:proofErr w:type="spellEnd"/>
            <w:r w:rsidRPr="0063312C">
              <w:rPr>
                <w:sz w:val="20"/>
                <w:szCs w:val="20"/>
              </w:rPr>
              <w:t xml:space="preserve"> </w:t>
            </w:r>
            <w:proofErr w:type="spellStart"/>
            <w:r w:rsidRPr="0063312C">
              <w:rPr>
                <w:sz w:val="20"/>
                <w:szCs w:val="20"/>
              </w:rPr>
              <w:t>class</w:t>
            </w:r>
            <w:proofErr w:type="spellEnd"/>
            <w:r w:rsidRPr="0063312C">
              <w:rPr>
                <w:sz w:val="20"/>
                <w:szCs w:val="20"/>
              </w:rPr>
              <w:t xml:space="preserve"> in </w:t>
            </w:r>
            <w:proofErr w:type="spellStart"/>
            <w:r w:rsidRPr="0063312C">
              <w:rPr>
                <w:sz w:val="20"/>
                <w:szCs w:val="20"/>
              </w:rPr>
              <w:t>subjection</w:t>
            </w:r>
            <w:proofErr w:type="spellEnd"/>
            <w:r w:rsidRPr="0063312C">
              <w:rPr>
                <w:sz w:val="20"/>
                <w:szCs w:val="20"/>
              </w:rPr>
              <w:t xml:space="preserve"> to </w:t>
            </w:r>
            <w:proofErr w:type="spellStart"/>
            <w:r w:rsidRPr="0063312C">
              <w:rPr>
                <w:sz w:val="20"/>
                <w:szCs w:val="20"/>
              </w:rPr>
              <w:t>another</w:t>
            </w:r>
            <w:proofErr w:type="spellEnd"/>
            <w:r w:rsidRPr="0063312C">
              <w:rPr>
                <w:sz w:val="20"/>
                <w:szCs w:val="20"/>
              </w:rPr>
              <w:t xml:space="preserve"> in </w:t>
            </w:r>
            <w:proofErr w:type="spellStart"/>
            <w:r w:rsidRPr="0063312C">
              <w:rPr>
                <w:sz w:val="20"/>
                <w:szCs w:val="20"/>
              </w:rPr>
              <w:t>respect</w:t>
            </w:r>
            <w:proofErr w:type="spellEnd"/>
            <w:r w:rsidRPr="0063312C">
              <w:rPr>
                <w:sz w:val="20"/>
                <w:szCs w:val="20"/>
              </w:rPr>
              <w:t xml:space="preserve"> of </w:t>
            </w:r>
            <w:proofErr w:type="spellStart"/>
            <w:r w:rsidRPr="0063312C">
              <w:rPr>
                <w:sz w:val="20"/>
                <w:szCs w:val="20"/>
              </w:rPr>
              <w:t>opportunities</w:t>
            </w:r>
            <w:proofErr w:type="spellEnd"/>
            <w:r w:rsidRPr="0063312C">
              <w:rPr>
                <w:sz w:val="20"/>
                <w:szCs w:val="20"/>
              </w:rPr>
              <w:t xml:space="preserve"> for </w:t>
            </w:r>
            <w:proofErr w:type="spellStart"/>
            <w:r w:rsidRPr="0063312C">
              <w:rPr>
                <w:sz w:val="20"/>
                <w:szCs w:val="20"/>
              </w:rPr>
              <w:t>economic</w:t>
            </w:r>
            <w:proofErr w:type="spellEnd"/>
            <w:r w:rsidRPr="0063312C">
              <w:rPr>
                <w:sz w:val="20"/>
                <w:szCs w:val="20"/>
              </w:rPr>
              <w:t xml:space="preserve"> and social </w:t>
            </w:r>
            <w:proofErr w:type="spellStart"/>
            <w:r w:rsidRPr="0063312C">
              <w:rPr>
                <w:sz w:val="20"/>
                <w:szCs w:val="20"/>
              </w:rPr>
              <w:t>advancemen</w:t>
            </w:r>
            <w:r>
              <w:rPr>
                <w:sz w:val="20"/>
                <w:szCs w:val="20"/>
              </w:rPr>
              <w:t>t</w:t>
            </w:r>
            <w:proofErr w:type="spellEnd"/>
            <w:r w:rsidRPr="0063312C">
              <w:rPr>
                <w:sz w:val="20"/>
                <w:szCs w:val="20"/>
              </w:rPr>
              <w:t>“</w:t>
            </w:r>
            <w:r w:rsidRPr="0063312C">
              <w:rPr>
                <w:sz w:val="20"/>
                <w:szCs w:val="20"/>
                <w:vertAlign w:val="superscript"/>
              </w:rPr>
              <w:footnoteReference w:id="1137"/>
            </w:r>
            <w:r w:rsidRPr="0063312C">
              <w:rPr>
                <w:sz w:val="20"/>
                <w:szCs w:val="20"/>
              </w:rPr>
              <w:t xml:space="preserve">). </w:t>
            </w:r>
            <w:r w:rsidRPr="0063312C">
              <w:rPr>
                <w:sz w:val="20"/>
                <w:szCs w:val="20"/>
                <w:lang w:val="en-US"/>
              </w:rPr>
              <w:t xml:space="preserve">Das Amendment </w:t>
            </w:r>
            <w:proofErr w:type="spellStart"/>
            <w:r w:rsidRPr="0063312C">
              <w:rPr>
                <w:sz w:val="20"/>
                <w:szCs w:val="20"/>
                <w:lang w:val="en-US"/>
              </w:rPr>
              <w:t>schütz</w:t>
            </w:r>
            <w:r>
              <w:rPr>
                <w:sz w:val="20"/>
                <w:szCs w:val="20"/>
                <w:lang w:val="en-US"/>
              </w:rPr>
              <w:t>e</w:t>
            </w:r>
            <w:proofErr w:type="spellEnd"/>
            <w:r w:rsidRPr="0063312C">
              <w:rPr>
                <w:sz w:val="20"/>
                <w:szCs w:val="20"/>
                <w:lang w:val="en-US"/>
              </w:rPr>
              <w:t xml:space="preserve"> dies </w:t>
            </w:r>
            <w:proofErr w:type="spellStart"/>
            <w:r w:rsidRPr="0063312C">
              <w:rPr>
                <w:sz w:val="20"/>
                <w:szCs w:val="20"/>
                <w:lang w:val="en-US"/>
              </w:rPr>
              <w:t>mit</w:t>
            </w:r>
            <w:proofErr w:type="spellEnd"/>
            <w:r w:rsidRPr="0063312C">
              <w:rPr>
                <w:sz w:val="20"/>
                <w:szCs w:val="20"/>
                <w:lang w:val="en-US"/>
              </w:rPr>
              <w:t xml:space="preserve"> seiner </w:t>
            </w:r>
            <w:r w:rsidRPr="5B67C1D2">
              <w:rPr>
                <w:i/>
                <w:iCs/>
                <w:sz w:val="20"/>
                <w:szCs w:val="20"/>
                <w:lang w:val="en-US"/>
              </w:rPr>
              <w:t>Due Process Clause</w:t>
            </w:r>
            <w:r w:rsidRPr="0063312C">
              <w:rPr>
                <w:sz w:val="20"/>
                <w:szCs w:val="20"/>
                <w:lang w:val="en-US"/>
              </w:rPr>
              <w:t xml:space="preserve"> (“The statute does not deprive anyone of property without due process of law”)</w:t>
            </w:r>
            <w:r w:rsidRPr="0063312C">
              <w:rPr>
                <w:sz w:val="20"/>
                <w:szCs w:val="20"/>
                <w:vertAlign w:val="superscript"/>
                <w:lang w:val="en-US"/>
              </w:rPr>
              <w:footnoteReference w:id="1138"/>
            </w:r>
            <w:r w:rsidRPr="0063312C">
              <w:rPr>
                <w:sz w:val="20"/>
                <w:szCs w:val="20"/>
                <w:lang w:val="en-US"/>
              </w:rPr>
              <w:t xml:space="preserve">. </w:t>
            </w:r>
            <w:r w:rsidRPr="00B45592">
              <w:rPr>
                <w:sz w:val="20"/>
                <w:szCs w:val="20"/>
              </w:rPr>
              <w:t>Das Glücksstreben und die Ausübung von Grundrechten</w:t>
            </w:r>
            <w:r w:rsidRPr="0063312C">
              <w:rPr>
                <w:sz w:val="20"/>
                <w:szCs w:val="20"/>
              </w:rPr>
              <w:t xml:space="preserve">, die wesentlich für die individuellen Freiheitsinteressen </w:t>
            </w:r>
            <w:r>
              <w:rPr>
                <w:sz w:val="20"/>
                <w:szCs w:val="20"/>
              </w:rPr>
              <w:t>seien</w:t>
            </w:r>
            <w:r w:rsidRPr="0063312C">
              <w:rPr>
                <w:sz w:val="20"/>
                <w:szCs w:val="20"/>
              </w:rPr>
              <w:t>, konstituier</w:t>
            </w:r>
            <w:r>
              <w:rPr>
                <w:sz w:val="20"/>
                <w:szCs w:val="20"/>
              </w:rPr>
              <w:t>t</w:t>
            </w:r>
            <w:r w:rsidRPr="0063312C">
              <w:rPr>
                <w:sz w:val="20"/>
                <w:szCs w:val="20"/>
              </w:rPr>
              <w:t xml:space="preserve">en sich gegen eine Gesetzgebung, die soziale Klassifikation </w:t>
            </w:r>
            <w:r>
              <w:rPr>
                <w:sz w:val="20"/>
                <w:szCs w:val="20"/>
              </w:rPr>
              <w:t>fortschreibe</w:t>
            </w:r>
            <w:r w:rsidRPr="0063312C">
              <w:rPr>
                <w:sz w:val="20"/>
                <w:szCs w:val="20"/>
              </w:rPr>
              <w:t>; sie sicher</w:t>
            </w:r>
            <w:r>
              <w:rPr>
                <w:sz w:val="20"/>
                <w:szCs w:val="20"/>
              </w:rPr>
              <w:t>te</w:t>
            </w:r>
            <w:r w:rsidRPr="0063312C">
              <w:rPr>
                <w:sz w:val="20"/>
                <w:szCs w:val="20"/>
              </w:rPr>
              <w:t xml:space="preserve">n vielmehr Aufstieg („the </w:t>
            </w:r>
            <w:proofErr w:type="spellStart"/>
            <w:r w:rsidRPr="0063312C">
              <w:rPr>
                <w:sz w:val="20"/>
                <w:szCs w:val="20"/>
              </w:rPr>
              <w:t>pursuit</w:t>
            </w:r>
            <w:proofErr w:type="spellEnd"/>
            <w:r w:rsidRPr="0063312C">
              <w:rPr>
                <w:sz w:val="20"/>
                <w:szCs w:val="20"/>
              </w:rPr>
              <w:t xml:space="preserve"> of </w:t>
            </w:r>
            <w:proofErr w:type="spellStart"/>
            <w:r w:rsidRPr="0063312C">
              <w:rPr>
                <w:sz w:val="20"/>
                <w:szCs w:val="20"/>
              </w:rPr>
              <w:t>happiness</w:t>
            </w:r>
            <w:proofErr w:type="spellEnd"/>
            <w:r w:rsidRPr="0063312C">
              <w:rPr>
                <w:sz w:val="20"/>
                <w:szCs w:val="20"/>
              </w:rPr>
              <w:t xml:space="preserve">, and the </w:t>
            </w:r>
            <w:proofErr w:type="spellStart"/>
            <w:r w:rsidRPr="0063312C">
              <w:rPr>
                <w:sz w:val="20"/>
                <w:szCs w:val="20"/>
              </w:rPr>
              <w:t>exercise</w:t>
            </w:r>
            <w:proofErr w:type="spellEnd"/>
            <w:r w:rsidRPr="0063312C">
              <w:rPr>
                <w:sz w:val="20"/>
                <w:szCs w:val="20"/>
              </w:rPr>
              <w:t xml:space="preserve"> of fundamental </w:t>
            </w:r>
            <w:proofErr w:type="spellStart"/>
            <w:r w:rsidRPr="0063312C">
              <w:rPr>
                <w:sz w:val="20"/>
                <w:szCs w:val="20"/>
              </w:rPr>
              <w:t>rights</w:t>
            </w:r>
            <w:proofErr w:type="spellEnd"/>
            <w:r w:rsidRPr="0063312C">
              <w:rPr>
                <w:sz w:val="20"/>
                <w:szCs w:val="20"/>
              </w:rPr>
              <w:t xml:space="preserve"> </w:t>
            </w:r>
            <w:proofErr w:type="spellStart"/>
            <w:r w:rsidRPr="0063312C">
              <w:rPr>
                <w:sz w:val="20"/>
                <w:szCs w:val="20"/>
              </w:rPr>
              <w:t>comprehended</w:t>
            </w:r>
            <w:proofErr w:type="spellEnd"/>
            <w:r w:rsidRPr="0063312C">
              <w:rPr>
                <w:sz w:val="20"/>
                <w:szCs w:val="20"/>
              </w:rPr>
              <w:t xml:space="preserve"> in an essential individual </w:t>
            </w:r>
            <w:proofErr w:type="spellStart"/>
            <w:r w:rsidRPr="0063312C">
              <w:rPr>
                <w:sz w:val="20"/>
                <w:szCs w:val="20"/>
              </w:rPr>
              <w:t>liberty</w:t>
            </w:r>
            <w:proofErr w:type="spellEnd"/>
            <w:r w:rsidRPr="0063312C">
              <w:rPr>
                <w:sz w:val="20"/>
                <w:szCs w:val="20"/>
              </w:rPr>
              <w:t xml:space="preserve">, </w:t>
            </w:r>
            <w:proofErr w:type="spellStart"/>
            <w:r w:rsidRPr="0063312C">
              <w:rPr>
                <w:sz w:val="20"/>
                <w:szCs w:val="20"/>
              </w:rPr>
              <w:t>among</w:t>
            </w:r>
            <w:proofErr w:type="spellEnd"/>
            <w:r w:rsidRPr="0063312C">
              <w:rPr>
                <w:sz w:val="20"/>
                <w:szCs w:val="20"/>
              </w:rPr>
              <w:t xml:space="preserve"> </w:t>
            </w:r>
            <w:proofErr w:type="spellStart"/>
            <w:r w:rsidRPr="0063312C">
              <w:rPr>
                <w:sz w:val="20"/>
                <w:szCs w:val="20"/>
              </w:rPr>
              <w:t>men</w:t>
            </w:r>
            <w:proofErr w:type="spellEnd"/>
            <w:r w:rsidRPr="0063312C">
              <w:rPr>
                <w:sz w:val="20"/>
                <w:szCs w:val="20"/>
              </w:rPr>
              <w:t xml:space="preserve"> fit for </w:t>
            </w:r>
            <w:proofErr w:type="spellStart"/>
            <w:r w:rsidRPr="0063312C">
              <w:rPr>
                <w:sz w:val="20"/>
                <w:szCs w:val="20"/>
              </w:rPr>
              <w:t>freedom</w:t>
            </w:r>
            <w:proofErr w:type="spellEnd"/>
            <w:r w:rsidRPr="0063312C">
              <w:rPr>
                <w:sz w:val="20"/>
                <w:szCs w:val="20"/>
              </w:rPr>
              <w:t>“</w:t>
            </w:r>
            <w:r w:rsidRPr="0063312C">
              <w:rPr>
                <w:sz w:val="20"/>
                <w:szCs w:val="20"/>
                <w:vertAlign w:val="superscript"/>
              </w:rPr>
              <w:footnoteReference w:id="1139"/>
            </w:r>
            <w:r w:rsidRPr="0063312C">
              <w:rPr>
                <w:sz w:val="20"/>
                <w:szCs w:val="20"/>
              </w:rPr>
              <w:t>).</w:t>
            </w:r>
          </w:p>
          <w:p w14:paraId="710C07AC" w14:textId="77777777" w:rsidR="00074551" w:rsidRPr="0063312C" w:rsidRDefault="00074551" w:rsidP="00367133">
            <w:pPr>
              <w:jc w:val="both"/>
              <w:rPr>
                <w:sz w:val="20"/>
                <w:szCs w:val="20"/>
              </w:rPr>
            </w:pPr>
          </w:p>
        </w:tc>
      </w:tr>
      <w:tr w:rsidR="00074551" w:rsidRPr="00E50B51" w14:paraId="24F8FBA4" w14:textId="77777777" w:rsidTr="00BE689F">
        <w:trPr>
          <w:cantSplit/>
          <w:trHeight w:val="3175"/>
        </w:trPr>
        <w:tc>
          <w:tcPr>
            <w:tcW w:w="293" w:type="pct"/>
          </w:tcPr>
          <w:p w14:paraId="13C53B2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07A8010" w14:textId="77777777" w:rsidR="00074551" w:rsidRPr="00E50B51" w:rsidRDefault="00074551" w:rsidP="00367133">
            <w:pPr>
              <w:ind w:left="113" w:right="416"/>
              <w:jc w:val="both"/>
              <w:rPr>
                <w:sz w:val="20"/>
                <w:szCs w:val="20"/>
              </w:rPr>
            </w:pPr>
            <w:r w:rsidRPr="009167A5">
              <w:rPr>
                <w:i/>
                <w:sz w:val="20"/>
                <w:szCs w:val="20"/>
              </w:rPr>
              <w:t xml:space="preserve">Washington v. </w:t>
            </w:r>
            <w:proofErr w:type="spellStart"/>
            <w:r w:rsidRPr="009167A5">
              <w:rPr>
                <w:i/>
                <w:sz w:val="20"/>
                <w:szCs w:val="20"/>
              </w:rPr>
              <w:t>Glucksberg</w:t>
            </w:r>
            <w:proofErr w:type="spellEnd"/>
          </w:p>
        </w:tc>
        <w:tc>
          <w:tcPr>
            <w:tcW w:w="197" w:type="pct"/>
            <w:textDirection w:val="tbRl"/>
            <w:vAlign w:val="center"/>
          </w:tcPr>
          <w:p w14:paraId="468FB131" w14:textId="77777777" w:rsidR="00074551" w:rsidRPr="00E50B51" w:rsidRDefault="00074551" w:rsidP="00367133">
            <w:pPr>
              <w:ind w:left="113" w:right="113"/>
              <w:jc w:val="both"/>
              <w:rPr>
                <w:sz w:val="20"/>
                <w:szCs w:val="20"/>
              </w:rPr>
            </w:pPr>
            <w:r w:rsidRPr="00E50B51">
              <w:rPr>
                <w:sz w:val="20"/>
                <w:szCs w:val="20"/>
                <w:lang w:val="en-US"/>
              </w:rPr>
              <w:t>521 U.S. 702</w:t>
            </w:r>
          </w:p>
        </w:tc>
        <w:tc>
          <w:tcPr>
            <w:tcW w:w="306" w:type="pct"/>
            <w:textDirection w:val="tbRl"/>
            <w:vAlign w:val="center"/>
          </w:tcPr>
          <w:p w14:paraId="118D744E" w14:textId="77777777" w:rsidR="00074551" w:rsidRPr="00E50B51" w:rsidRDefault="00074551" w:rsidP="00367133">
            <w:pPr>
              <w:ind w:left="113" w:right="113"/>
              <w:jc w:val="both"/>
              <w:rPr>
                <w:sz w:val="20"/>
                <w:szCs w:val="20"/>
              </w:rPr>
            </w:pPr>
            <w:r w:rsidRPr="00E50B51">
              <w:rPr>
                <w:sz w:val="20"/>
                <w:szCs w:val="20"/>
              </w:rPr>
              <w:t>26. Juni 1997</w:t>
            </w:r>
          </w:p>
        </w:tc>
        <w:tc>
          <w:tcPr>
            <w:tcW w:w="401" w:type="pct"/>
          </w:tcPr>
          <w:p w14:paraId="7AB37D18" w14:textId="77777777" w:rsidR="00074551" w:rsidRPr="00E50B51" w:rsidRDefault="00074551" w:rsidP="00367133">
            <w:pPr>
              <w:jc w:val="center"/>
              <w:rPr>
                <w:sz w:val="20"/>
                <w:szCs w:val="20"/>
              </w:rPr>
            </w:pPr>
            <w:r w:rsidRPr="00E50B51">
              <w:rPr>
                <w:sz w:val="20"/>
                <w:szCs w:val="20"/>
              </w:rPr>
              <w:t>C</w:t>
            </w:r>
          </w:p>
        </w:tc>
        <w:tc>
          <w:tcPr>
            <w:tcW w:w="1594" w:type="pct"/>
          </w:tcPr>
          <w:p w14:paraId="52D2FABA" w14:textId="77777777" w:rsidR="00074551" w:rsidRPr="00E50B51" w:rsidRDefault="00074551" w:rsidP="00367133">
            <w:pPr>
              <w:jc w:val="both"/>
              <w:rPr>
                <w:sz w:val="20"/>
                <w:szCs w:val="20"/>
              </w:rPr>
            </w:pPr>
            <w:r w:rsidRPr="00E50B51">
              <w:rPr>
                <w:sz w:val="20"/>
                <w:szCs w:val="20"/>
              </w:rPr>
              <w:t>*</w:t>
            </w:r>
          </w:p>
        </w:tc>
        <w:tc>
          <w:tcPr>
            <w:tcW w:w="1822" w:type="pct"/>
          </w:tcPr>
          <w:p w14:paraId="02E998E7" w14:textId="380BEB2E" w:rsidR="00074551" w:rsidRDefault="00074551" w:rsidP="00367133">
            <w:pPr>
              <w:jc w:val="both"/>
              <w:rPr>
                <w:sz w:val="20"/>
                <w:szCs w:val="20"/>
              </w:rPr>
            </w:pPr>
            <w:r w:rsidRPr="00C70DE9">
              <w:rPr>
                <w:sz w:val="20"/>
                <w:szCs w:val="20"/>
              </w:rPr>
              <w:t xml:space="preserve">Zur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C70DE9">
              <w:rPr>
                <w:sz w:val="20"/>
                <w:szCs w:val="20"/>
              </w:rPr>
              <w:t xml:space="preserve"> bestätigte und erweiterte d</w:t>
            </w:r>
            <w:r w:rsidR="20C4C20B" w:rsidRPr="5B67C1D2">
              <w:rPr>
                <w:sz w:val="20"/>
                <w:szCs w:val="20"/>
              </w:rPr>
              <w:t>ie</w:t>
            </w:r>
            <w:r w:rsidRPr="5B67C1D2">
              <w:rPr>
                <w:sz w:val="20"/>
                <w:szCs w:val="20"/>
              </w:rPr>
              <w:t xml:space="preserve"> </w:t>
            </w:r>
            <w:proofErr w:type="spellStart"/>
            <w:r w:rsidR="5738586E" w:rsidRPr="5B67C1D2">
              <w:rPr>
                <w:sz w:val="20"/>
                <w:szCs w:val="20"/>
              </w:rPr>
              <w:t>concurring</w:t>
            </w:r>
            <w:proofErr w:type="spellEnd"/>
            <w:r w:rsidR="5738586E" w:rsidRPr="5B67C1D2">
              <w:rPr>
                <w:sz w:val="20"/>
                <w:szCs w:val="20"/>
              </w:rPr>
              <w:t xml:space="preserve"> </w:t>
            </w:r>
            <w:proofErr w:type="spellStart"/>
            <w:r w:rsidR="5738586E" w:rsidRPr="5B67C1D2">
              <w:rPr>
                <w:sz w:val="20"/>
                <w:szCs w:val="20"/>
              </w:rPr>
              <w:t>opinion</w:t>
            </w:r>
            <w:proofErr w:type="spellEnd"/>
            <w:r w:rsidRPr="5B67C1D2">
              <w:rPr>
                <w:sz w:val="20"/>
                <w:szCs w:val="20"/>
              </w:rPr>
              <w:t xml:space="preserve"> nochmals die in </w:t>
            </w:r>
            <w:r w:rsidRPr="5B67C1D2">
              <w:rPr>
                <w:i/>
                <w:iCs/>
                <w:sz w:val="20"/>
                <w:szCs w:val="20"/>
              </w:rPr>
              <w:t>Meyer v. Nebraska</w:t>
            </w:r>
            <w:r w:rsidRPr="5B67C1D2">
              <w:rPr>
                <w:sz w:val="20"/>
                <w:szCs w:val="20"/>
                <w:vertAlign w:val="superscript"/>
              </w:rPr>
              <w:footnoteReference w:id="1140"/>
            </w:r>
            <w:r w:rsidRPr="5B67C1D2">
              <w:rPr>
                <w:sz w:val="20"/>
                <w:szCs w:val="20"/>
              </w:rPr>
              <w:t xml:space="preserve"> und in den </w:t>
            </w:r>
            <w:r w:rsidRPr="5B67C1D2">
              <w:rPr>
                <w:i/>
                <w:iCs/>
                <w:sz w:val="20"/>
                <w:szCs w:val="20"/>
              </w:rPr>
              <w:t>Slaughter-House Cases</w:t>
            </w:r>
            <w:r w:rsidRPr="5B67C1D2">
              <w:rPr>
                <w:sz w:val="20"/>
                <w:szCs w:val="20"/>
                <w:vertAlign w:val="superscript"/>
              </w:rPr>
              <w:footnoteReference w:id="1141"/>
            </w:r>
            <w:r w:rsidRPr="5B67C1D2">
              <w:rPr>
                <w:sz w:val="20"/>
                <w:szCs w:val="20"/>
              </w:rPr>
              <w:t xml:space="preserve"> eröffneten Bedingungen für ein Streben nach Glück („</w:t>
            </w:r>
            <w:proofErr w:type="spellStart"/>
            <w:r w:rsidRPr="5B67C1D2">
              <w:rPr>
                <w:sz w:val="20"/>
                <w:szCs w:val="20"/>
              </w:rPr>
              <w:t>privileges</w:t>
            </w:r>
            <w:proofErr w:type="spellEnd"/>
            <w:r w:rsidRPr="5B67C1D2">
              <w:rPr>
                <w:sz w:val="20"/>
                <w:szCs w:val="20"/>
              </w:rPr>
              <w:t xml:space="preserve"> </w:t>
            </w:r>
            <w:proofErr w:type="spellStart"/>
            <w:r w:rsidRPr="5B67C1D2">
              <w:rPr>
                <w:sz w:val="20"/>
                <w:szCs w:val="20"/>
              </w:rPr>
              <w:t>long</w:t>
            </w:r>
            <w:proofErr w:type="spellEnd"/>
            <w:r w:rsidRPr="5B67C1D2">
              <w:rPr>
                <w:sz w:val="20"/>
                <w:szCs w:val="20"/>
              </w:rPr>
              <w:t xml:space="preserve"> </w:t>
            </w:r>
            <w:proofErr w:type="spellStart"/>
            <w:r w:rsidRPr="5B67C1D2">
              <w:rPr>
                <w:sz w:val="20"/>
                <w:szCs w:val="20"/>
              </w:rPr>
              <w:t>recognized</w:t>
            </w:r>
            <w:proofErr w:type="spellEnd"/>
            <w:r w:rsidRPr="5B67C1D2">
              <w:rPr>
                <w:sz w:val="20"/>
                <w:szCs w:val="20"/>
              </w:rPr>
              <w:t xml:space="preserve"> at </w:t>
            </w:r>
            <w:proofErr w:type="spellStart"/>
            <w:r w:rsidRPr="5B67C1D2">
              <w:rPr>
                <w:sz w:val="20"/>
                <w:szCs w:val="20"/>
              </w:rPr>
              <w:t>common</w:t>
            </w:r>
            <w:proofErr w:type="spellEnd"/>
            <w:r w:rsidRPr="5B67C1D2">
              <w:rPr>
                <w:sz w:val="20"/>
                <w:szCs w:val="20"/>
              </w:rPr>
              <w:t xml:space="preserve"> </w:t>
            </w:r>
            <w:proofErr w:type="spellStart"/>
            <w:r w:rsidRPr="5B67C1D2">
              <w:rPr>
                <w:sz w:val="20"/>
                <w:szCs w:val="20"/>
              </w:rPr>
              <w:t>law</w:t>
            </w:r>
            <w:proofErr w:type="spellEnd"/>
            <w:r w:rsidRPr="5B67C1D2">
              <w:rPr>
                <w:sz w:val="20"/>
                <w:szCs w:val="20"/>
              </w:rPr>
              <w:t xml:space="preserve"> as essential to the </w:t>
            </w:r>
            <w:proofErr w:type="spellStart"/>
            <w:r w:rsidRPr="5B67C1D2">
              <w:rPr>
                <w:sz w:val="20"/>
                <w:szCs w:val="20"/>
              </w:rPr>
              <w:t>orderly</w:t>
            </w:r>
            <w:proofErr w:type="spellEnd"/>
            <w:r w:rsidRPr="5B67C1D2">
              <w:rPr>
                <w:sz w:val="20"/>
                <w:szCs w:val="20"/>
              </w:rPr>
              <w:t xml:space="preserve"> </w:t>
            </w:r>
            <w:proofErr w:type="spellStart"/>
            <w:r w:rsidRPr="5B67C1D2">
              <w:rPr>
                <w:sz w:val="20"/>
                <w:szCs w:val="20"/>
              </w:rPr>
              <w:t>pursuit</w:t>
            </w:r>
            <w:proofErr w:type="spellEnd"/>
            <w:r w:rsidRPr="5B67C1D2">
              <w:rPr>
                <w:sz w:val="20"/>
                <w:szCs w:val="20"/>
              </w:rPr>
              <w:t xml:space="preserve"> of </w:t>
            </w:r>
            <w:proofErr w:type="spellStart"/>
            <w:r w:rsidRPr="5B67C1D2">
              <w:rPr>
                <w:sz w:val="20"/>
                <w:szCs w:val="20"/>
              </w:rPr>
              <w:t>happiness</w:t>
            </w:r>
            <w:proofErr w:type="spellEnd"/>
            <w:r w:rsidRPr="5B67C1D2">
              <w:rPr>
                <w:sz w:val="20"/>
                <w:szCs w:val="20"/>
              </w:rPr>
              <w:t xml:space="preserve"> by </w:t>
            </w:r>
            <w:proofErr w:type="spellStart"/>
            <w:r w:rsidRPr="5B67C1D2">
              <w:rPr>
                <w:sz w:val="20"/>
                <w:szCs w:val="20"/>
              </w:rPr>
              <w:t>free</w:t>
            </w:r>
            <w:proofErr w:type="spellEnd"/>
            <w:r w:rsidRPr="5B67C1D2">
              <w:rPr>
                <w:sz w:val="20"/>
                <w:szCs w:val="20"/>
              </w:rPr>
              <w:t xml:space="preserve"> </w:t>
            </w:r>
            <w:proofErr w:type="spellStart"/>
            <w:r w:rsidRPr="5B67C1D2">
              <w:rPr>
                <w:sz w:val="20"/>
                <w:szCs w:val="20"/>
              </w:rPr>
              <w:t>men</w:t>
            </w:r>
            <w:proofErr w:type="spellEnd"/>
            <w:r w:rsidRPr="5B67C1D2">
              <w:rPr>
                <w:sz w:val="20"/>
                <w:szCs w:val="20"/>
              </w:rPr>
              <w:t>“</w:t>
            </w:r>
            <w:r w:rsidRPr="5B67C1D2">
              <w:rPr>
                <w:sz w:val="20"/>
                <w:szCs w:val="20"/>
                <w:vertAlign w:val="superscript"/>
              </w:rPr>
              <w:footnoteReference w:id="1142"/>
            </w:r>
            <w:r w:rsidRPr="5B67C1D2">
              <w:rPr>
                <w:sz w:val="20"/>
                <w:szCs w:val="20"/>
              </w:rPr>
              <w:t>), wobei der U.S. Supreme Court diese Bedingungen klar unter eine Willkürprüfung („</w:t>
            </w:r>
            <w:proofErr w:type="spellStart"/>
            <w:r w:rsidRPr="5B67C1D2">
              <w:rPr>
                <w:sz w:val="20"/>
                <w:szCs w:val="20"/>
              </w:rPr>
              <w:t>arbitrariness</w:t>
            </w:r>
            <w:proofErr w:type="spellEnd"/>
            <w:r w:rsidRPr="5B67C1D2">
              <w:rPr>
                <w:sz w:val="20"/>
                <w:szCs w:val="20"/>
              </w:rPr>
              <w:t xml:space="preserve"> review“</w:t>
            </w:r>
            <w:r w:rsidRPr="5B67C1D2">
              <w:rPr>
                <w:sz w:val="20"/>
                <w:szCs w:val="20"/>
                <w:vertAlign w:val="superscript"/>
              </w:rPr>
              <w:t xml:space="preserve"> </w:t>
            </w:r>
            <w:r w:rsidRPr="5B67C1D2">
              <w:rPr>
                <w:sz w:val="20"/>
                <w:szCs w:val="20"/>
                <w:vertAlign w:val="superscript"/>
              </w:rPr>
              <w:footnoteReference w:id="1143"/>
            </w:r>
            <w:r w:rsidRPr="5B67C1D2">
              <w:rPr>
                <w:sz w:val="20"/>
                <w:szCs w:val="20"/>
              </w:rPr>
              <w:t>) und „</w:t>
            </w:r>
            <w:proofErr w:type="spellStart"/>
            <w:r w:rsidRPr="5B67C1D2">
              <w:rPr>
                <w:sz w:val="20"/>
                <w:szCs w:val="20"/>
              </w:rPr>
              <w:t>strict</w:t>
            </w:r>
            <w:proofErr w:type="spellEnd"/>
            <w:r w:rsidRPr="5B67C1D2">
              <w:rPr>
                <w:sz w:val="20"/>
                <w:szCs w:val="20"/>
              </w:rPr>
              <w:t xml:space="preserve"> </w:t>
            </w:r>
            <w:proofErr w:type="spellStart"/>
            <w:r w:rsidRPr="5B67C1D2">
              <w:rPr>
                <w:sz w:val="20"/>
                <w:szCs w:val="20"/>
              </w:rPr>
              <w:t>scrutiny</w:t>
            </w:r>
            <w:proofErr w:type="spellEnd"/>
            <w:r w:rsidRPr="5B67C1D2">
              <w:rPr>
                <w:sz w:val="20"/>
                <w:szCs w:val="20"/>
              </w:rPr>
              <w:t>“</w:t>
            </w:r>
            <w:r w:rsidRPr="5B67C1D2">
              <w:rPr>
                <w:sz w:val="20"/>
                <w:szCs w:val="20"/>
                <w:vertAlign w:val="superscript"/>
              </w:rPr>
              <w:footnoteReference w:id="1144"/>
            </w:r>
            <w:r w:rsidRPr="5B67C1D2">
              <w:rPr>
                <w:sz w:val="20"/>
                <w:szCs w:val="20"/>
              </w:rPr>
              <w:t xml:space="preserve"> stellte. Zu den Bedingungen gehören: Lehrfreiheit, Erziehungsfreiheit</w:t>
            </w:r>
            <w:r w:rsidRPr="5B67C1D2">
              <w:rPr>
                <w:sz w:val="20"/>
                <w:szCs w:val="20"/>
                <w:vertAlign w:val="superscript"/>
              </w:rPr>
              <w:footnoteReference w:id="1145"/>
            </w:r>
            <w:r w:rsidRPr="5B67C1D2">
              <w:rPr>
                <w:sz w:val="20"/>
                <w:szCs w:val="20"/>
              </w:rPr>
              <w:t xml:space="preserve"> und die Entscheidung sich fortzupflanzen.</w:t>
            </w:r>
            <w:r w:rsidRPr="5B67C1D2">
              <w:rPr>
                <w:sz w:val="20"/>
                <w:szCs w:val="20"/>
                <w:vertAlign w:val="superscript"/>
              </w:rPr>
              <w:footnoteReference w:id="1146"/>
            </w:r>
            <w:r w:rsidRPr="5B67C1D2">
              <w:rPr>
                <w:sz w:val="20"/>
                <w:szCs w:val="20"/>
              </w:rPr>
              <w:t xml:space="preserve"> Zudem erweiterte der U.S. Supreme Court mittelbar die Freiheitsdimensionen des Strebens nach Glück, indem er den Worten „</w:t>
            </w:r>
            <w:proofErr w:type="spellStart"/>
            <w:r w:rsidRPr="5B67C1D2">
              <w:rPr>
                <w:sz w:val="20"/>
                <w:szCs w:val="20"/>
              </w:rPr>
              <w:t>liberty</w:t>
            </w:r>
            <w:proofErr w:type="spellEnd"/>
            <w:r w:rsidRPr="5B67C1D2">
              <w:rPr>
                <w:sz w:val="20"/>
                <w:szCs w:val="20"/>
              </w:rPr>
              <w:t xml:space="preserve">“ und „due </w:t>
            </w:r>
            <w:proofErr w:type="spellStart"/>
            <w:r w:rsidRPr="5B67C1D2">
              <w:rPr>
                <w:sz w:val="20"/>
                <w:szCs w:val="20"/>
              </w:rPr>
              <w:t>process</w:t>
            </w:r>
            <w:proofErr w:type="spellEnd"/>
            <w:r w:rsidRPr="5B67C1D2">
              <w:rPr>
                <w:sz w:val="20"/>
                <w:szCs w:val="20"/>
              </w:rPr>
              <w:t xml:space="preserve"> of</w:t>
            </w:r>
            <w:r w:rsidRPr="5B67C1D2">
              <w:rPr>
                <w:i/>
                <w:iCs/>
                <w:sz w:val="20"/>
                <w:szCs w:val="20"/>
              </w:rPr>
              <w:t xml:space="preserve"> </w:t>
            </w:r>
            <w:proofErr w:type="spellStart"/>
            <w:r w:rsidRPr="5B67C1D2">
              <w:rPr>
                <w:sz w:val="20"/>
                <w:szCs w:val="20"/>
              </w:rPr>
              <w:t>law</w:t>
            </w:r>
            <w:proofErr w:type="spellEnd"/>
            <w:r w:rsidRPr="5B67C1D2">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die folgenden weiteren, materiellen Inhalte zuwies:</w:t>
            </w:r>
            <w:r w:rsidRPr="5B67C1D2">
              <w:rPr>
                <w:sz w:val="20"/>
                <w:szCs w:val="20"/>
                <w:vertAlign w:val="superscript"/>
              </w:rPr>
              <w:footnoteReference w:id="1147"/>
            </w:r>
            <w:r w:rsidRPr="5B67C1D2">
              <w:rPr>
                <w:sz w:val="20"/>
                <w:szCs w:val="20"/>
              </w:rPr>
              <w:t xml:space="preserve"> Schutz gegen Segregation im öffentlichen Bildungswesen,</w:t>
            </w:r>
            <w:r w:rsidRPr="5B67C1D2">
              <w:rPr>
                <w:sz w:val="20"/>
                <w:szCs w:val="20"/>
                <w:vertAlign w:val="superscript"/>
              </w:rPr>
              <w:footnoteReference w:id="1148"/>
            </w:r>
            <w:r w:rsidRPr="5B67C1D2">
              <w:rPr>
                <w:sz w:val="20"/>
                <w:szCs w:val="20"/>
              </w:rPr>
              <w:t xml:space="preserve"> die Ehefreiheit zwischen Rassen,</w:t>
            </w:r>
            <w:r w:rsidRPr="5B67C1D2">
              <w:rPr>
                <w:sz w:val="20"/>
                <w:szCs w:val="20"/>
                <w:vertAlign w:val="superscript"/>
              </w:rPr>
              <w:footnoteReference w:id="1149"/>
            </w:r>
            <w:r w:rsidRPr="5B67C1D2">
              <w:rPr>
                <w:sz w:val="20"/>
                <w:szCs w:val="20"/>
              </w:rPr>
              <w:t xml:space="preserve"> die Privatsphäre in der Ehe und dabei die Freiheit, über Verhütungsmethoden zu entscheiden,</w:t>
            </w:r>
            <w:r w:rsidRPr="5B67C1D2">
              <w:rPr>
                <w:sz w:val="20"/>
                <w:szCs w:val="20"/>
                <w:vertAlign w:val="superscript"/>
              </w:rPr>
              <w:footnoteReference w:id="1150"/>
            </w:r>
            <w:r w:rsidRPr="5B67C1D2">
              <w:rPr>
                <w:sz w:val="20"/>
                <w:szCs w:val="20"/>
              </w:rPr>
              <w:t xml:space="preserve"> wie auch die Freiheit abzutreiben</w:t>
            </w:r>
            <w:r w:rsidRPr="5B67C1D2">
              <w:rPr>
                <w:sz w:val="20"/>
                <w:szCs w:val="20"/>
                <w:vertAlign w:val="superscript"/>
              </w:rPr>
              <w:footnoteReference w:id="1151"/>
            </w:r>
            <w:r w:rsidRPr="5B67C1D2">
              <w:rPr>
                <w:sz w:val="20"/>
                <w:szCs w:val="20"/>
              </w:rPr>
              <w:t xml:space="preserve"> und die Freiheit Medikamente einzunehmen</w:t>
            </w:r>
            <w:r w:rsidRPr="5B67C1D2">
              <w:rPr>
                <w:sz w:val="20"/>
                <w:szCs w:val="20"/>
                <w:vertAlign w:val="superscript"/>
              </w:rPr>
              <w:footnoteReference w:id="1152"/>
            </w:r>
            <w:r w:rsidRPr="5B67C1D2">
              <w:rPr>
                <w:sz w:val="20"/>
                <w:szCs w:val="20"/>
              </w:rPr>
              <w:t xml:space="preserve"> sowie der Schutz vor Haft.</w:t>
            </w:r>
            <w:r w:rsidRPr="5B67C1D2">
              <w:rPr>
                <w:sz w:val="20"/>
                <w:szCs w:val="20"/>
                <w:vertAlign w:val="superscript"/>
              </w:rPr>
              <w:footnoteReference w:id="1153"/>
            </w:r>
          </w:p>
          <w:p w14:paraId="569B7589" w14:textId="77777777" w:rsidR="00074551" w:rsidRPr="00E50B51" w:rsidRDefault="00074551" w:rsidP="00367133">
            <w:pPr>
              <w:jc w:val="both"/>
              <w:rPr>
                <w:sz w:val="20"/>
                <w:szCs w:val="20"/>
              </w:rPr>
            </w:pPr>
          </w:p>
        </w:tc>
      </w:tr>
      <w:tr w:rsidR="00074551" w:rsidRPr="00E50B51" w14:paraId="6A4D27B7" w14:textId="77777777" w:rsidTr="00BE689F">
        <w:trPr>
          <w:cantSplit/>
          <w:trHeight w:val="3175"/>
        </w:trPr>
        <w:tc>
          <w:tcPr>
            <w:tcW w:w="293" w:type="pct"/>
          </w:tcPr>
          <w:p w14:paraId="7EDA7826"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E404524" w14:textId="77777777" w:rsidR="00074551" w:rsidRPr="00E50B51" w:rsidRDefault="00074551" w:rsidP="00367133">
            <w:pPr>
              <w:ind w:left="113" w:right="416"/>
              <w:jc w:val="both"/>
              <w:rPr>
                <w:sz w:val="20"/>
                <w:szCs w:val="20"/>
                <w:lang w:val="en-US"/>
              </w:rPr>
            </w:pPr>
            <w:r w:rsidRPr="00D83E4F">
              <w:rPr>
                <w:i/>
                <w:sz w:val="20"/>
                <w:szCs w:val="20"/>
                <w:lang w:val="en-US"/>
              </w:rPr>
              <w:t>Waugh v. Board of Trustees</w:t>
            </w:r>
          </w:p>
        </w:tc>
        <w:tc>
          <w:tcPr>
            <w:tcW w:w="197" w:type="pct"/>
            <w:textDirection w:val="tbRl"/>
            <w:vAlign w:val="center"/>
          </w:tcPr>
          <w:p w14:paraId="22A928CF" w14:textId="77777777" w:rsidR="00074551" w:rsidRPr="00E50B51" w:rsidRDefault="00074551" w:rsidP="00367133">
            <w:pPr>
              <w:ind w:left="113" w:right="113"/>
              <w:jc w:val="both"/>
              <w:rPr>
                <w:sz w:val="20"/>
                <w:szCs w:val="20"/>
              </w:rPr>
            </w:pPr>
            <w:r w:rsidRPr="00E50B51">
              <w:rPr>
                <w:sz w:val="20"/>
                <w:szCs w:val="20"/>
                <w:lang w:val="en-US"/>
              </w:rPr>
              <w:t>237 U.S. 589</w:t>
            </w:r>
          </w:p>
        </w:tc>
        <w:tc>
          <w:tcPr>
            <w:tcW w:w="306" w:type="pct"/>
            <w:textDirection w:val="tbRl"/>
            <w:vAlign w:val="center"/>
          </w:tcPr>
          <w:p w14:paraId="4E8F3F8D" w14:textId="77777777" w:rsidR="00074551" w:rsidRPr="00E50B51" w:rsidRDefault="00074551" w:rsidP="00367133">
            <w:pPr>
              <w:ind w:left="113" w:right="113"/>
              <w:jc w:val="both"/>
              <w:rPr>
                <w:sz w:val="20"/>
                <w:szCs w:val="20"/>
              </w:rPr>
            </w:pPr>
            <w:r w:rsidRPr="00E50B51">
              <w:rPr>
                <w:sz w:val="20"/>
                <w:szCs w:val="20"/>
              </w:rPr>
              <w:t>1. Juni 1915</w:t>
            </w:r>
          </w:p>
        </w:tc>
        <w:tc>
          <w:tcPr>
            <w:tcW w:w="401" w:type="pct"/>
          </w:tcPr>
          <w:p w14:paraId="6885E075" w14:textId="77777777" w:rsidR="00074551" w:rsidRPr="00E50B51" w:rsidRDefault="00074551" w:rsidP="00367133">
            <w:pPr>
              <w:jc w:val="center"/>
              <w:rPr>
                <w:sz w:val="20"/>
                <w:szCs w:val="20"/>
              </w:rPr>
            </w:pPr>
            <w:r w:rsidRPr="00E50B51">
              <w:rPr>
                <w:sz w:val="20"/>
                <w:szCs w:val="20"/>
              </w:rPr>
              <w:t>M</w:t>
            </w:r>
          </w:p>
        </w:tc>
        <w:tc>
          <w:tcPr>
            <w:tcW w:w="1594" w:type="pct"/>
          </w:tcPr>
          <w:p w14:paraId="7300D958" w14:textId="035C5063"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ein Gesetz,</w:t>
            </w:r>
            <w:r w:rsidRPr="5B67C1D2">
              <w:rPr>
                <w:rStyle w:val="Funotenzeichen"/>
                <w:rFonts w:eastAsiaTheme="majorEastAsia"/>
                <w:sz w:val="20"/>
                <w:szCs w:val="20"/>
              </w:rPr>
              <w:footnoteReference w:id="1154"/>
            </w:r>
            <w:r w:rsidRPr="00E50B51">
              <w:rPr>
                <w:sz w:val="20"/>
                <w:szCs w:val="20"/>
              </w:rPr>
              <w:t xml:space="preserve"> </w:t>
            </w:r>
            <w:r>
              <w:rPr>
                <w:sz w:val="20"/>
                <w:szCs w:val="20"/>
              </w:rPr>
              <w:t>welches</w:t>
            </w:r>
            <w:r w:rsidRPr="00E50B51">
              <w:rPr>
                <w:sz w:val="20"/>
                <w:szCs w:val="20"/>
              </w:rPr>
              <w:t xml:space="preserve"> die Mitgliedschaft in einer Burschenschaft für Studierende an der Universität von Mississippi verbot, um </w:t>
            </w:r>
            <w:r>
              <w:rPr>
                <w:sz w:val="20"/>
                <w:szCs w:val="20"/>
              </w:rPr>
              <w:t xml:space="preserve">die </w:t>
            </w:r>
            <w:r w:rsidRPr="00E50B51">
              <w:rPr>
                <w:sz w:val="20"/>
                <w:szCs w:val="20"/>
              </w:rPr>
              <w:t>Disziplin zu fördern. Zum Gesetz erließ das Universitätskuratorium eine Verordnung, welche indes die aktuellen Studierenden vom Gesetz ausnahm. Das Verbot und die Ausnahme sei</w:t>
            </w:r>
            <w:r>
              <w:rPr>
                <w:sz w:val="20"/>
                <w:szCs w:val="20"/>
              </w:rPr>
              <w:t>en</w:t>
            </w:r>
            <w:r w:rsidRPr="00E50B51">
              <w:rPr>
                <w:sz w:val="20"/>
                <w:szCs w:val="20"/>
              </w:rPr>
              <w:t xml:space="preserve"> vereinbar mit dem Rückwirkungsverbot,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und der bundesstaatlichen Kompetenz, Kontrolle über Universitäten auszuüben</w:t>
            </w:r>
            <w:r>
              <w:rPr>
                <w:sz w:val="20"/>
                <w:szCs w:val="20"/>
              </w:rPr>
              <w:t>, so der U.S. Supreme Court.</w:t>
            </w:r>
            <w:r w:rsidRPr="5B67C1D2">
              <w:rPr>
                <w:rStyle w:val="Funotenzeichen"/>
                <w:rFonts w:eastAsiaTheme="majorEastAsia"/>
                <w:sz w:val="20"/>
                <w:szCs w:val="20"/>
              </w:rPr>
              <w:footnoteReference w:id="1155"/>
            </w:r>
          </w:p>
          <w:p w14:paraId="029EF3F1" w14:textId="77777777" w:rsidR="00074551" w:rsidRPr="00E50B51" w:rsidRDefault="00074551" w:rsidP="00367133">
            <w:pPr>
              <w:jc w:val="both"/>
              <w:rPr>
                <w:sz w:val="20"/>
                <w:szCs w:val="20"/>
              </w:rPr>
            </w:pPr>
          </w:p>
        </w:tc>
        <w:tc>
          <w:tcPr>
            <w:tcW w:w="1822" w:type="pct"/>
          </w:tcPr>
          <w:p w14:paraId="2701187A" w14:textId="77777777" w:rsidR="00074551" w:rsidRPr="00142AE6" w:rsidRDefault="00074551" w:rsidP="00367133">
            <w:pPr>
              <w:jc w:val="both"/>
              <w:rPr>
                <w:sz w:val="20"/>
                <w:szCs w:val="20"/>
              </w:rPr>
            </w:pPr>
            <w:r w:rsidRPr="00142AE6">
              <w:rPr>
                <w:sz w:val="20"/>
                <w:szCs w:val="20"/>
              </w:rPr>
              <w:t xml:space="preserve">In </w:t>
            </w:r>
            <w:r w:rsidRPr="5B67C1D2">
              <w:rPr>
                <w:i/>
                <w:iCs/>
                <w:sz w:val="20"/>
                <w:szCs w:val="20"/>
              </w:rPr>
              <w:t>Waugh v. Board of Trustees</w:t>
            </w:r>
            <w:r w:rsidRPr="00142AE6">
              <w:rPr>
                <w:sz w:val="20"/>
                <w:szCs w:val="20"/>
              </w:rPr>
              <w:t xml:space="preserve"> urteilte der </w:t>
            </w:r>
            <w:r>
              <w:rPr>
                <w:sz w:val="20"/>
                <w:szCs w:val="20"/>
              </w:rPr>
              <w:t>U.S. Supreme Court</w:t>
            </w:r>
            <w:r w:rsidRPr="00142AE6">
              <w:rPr>
                <w:sz w:val="20"/>
                <w:szCs w:val="20"/>
              </w:rPr>
              <w:t xml:space="preserve">, das Streben nach Glück </w:t>
            </w:r>
            <w:r>
              <w:rPr>
                <w:sz w:val="20"/>
                <w:szCs w:val="20"/>
              </w:rPr>
              <w:t>könne durch</w:t>
            </w:r>
            <w:r w:rsidRPr="00142AE6">
              <w:rPr>
                <w:sz w:val="20"/>
                <w:szCs w:val="20"/>
              </w:rPr>
              <w:t xml:space="preserve"> ein einfaches Gesetz nur </w:t>
            </w:r>
            <w:r>
              <w:rPr>
                <w:sz w:val="20"/>
                <w:szCs w:val="20"/>
              </w:rPr>
              <w:t>eingeschränkt werden</w:t>
            </w:r>
            <w:r w:rsidRPr="00142AE6">
              <w:rPr>
                <w:sz w:val="20"/>
                <w:szCs w:val="20"/>
              </w:rPr>
              <w:t xml:space="preserve">, wenn der Gesetzgeber an anderer Stelle kompensiere, </w:t>
            </w:r>
            <w:r>
              <w:rPr>
                <w:sz w:val="20"/>
                <w:szCs w:val="20"/>
              </w:rPr>
              <w:t>z.B.</w:t>
            </w:r>
            <w:r w:rsidRPr="00142AE6">
              <w:rPr>
                <w:sz w:val="20"/>
                <w:szCs w:val="20"/>
              </w:rPr>
              <w:t xml:space="preserve"> durch kostenfreien Zugang zur Universität. </w:t>
            </w:r>
            <w:r>
              <w:rPr>
                <w:sz w:val="20"/>
                <w:szCs w:val="20"/>
              </w:rPr>
              <w:t>Das</w:t>
            </w:r>
            <w:r w:rsidRPr="5B67C1D2">
              <w:rPr>
                <w:i/>
                <w:iCs/>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142AE6">
              <w:rPr>
                <w:sz w:val="20"/>
                <w:szCs w:val="20"/>
              </w:rPr>
              <w:t xml:space="preserve"> </w:t>
            </w:r>
            <w:r>
              <w:rPr>
                <w:sz w:val="20"/>
                <w:szCs w:val="20"/>
              </w:rPr>
              <w:t>wird im</w:t>
            </w:r>
            <w:r w:rsidRPr="00142AE6">
              <w:rPr>
                <w:sz w:val="20"/>
                <w:szCs w:val="20"/>
              </w:rPr>
              <w:t xml:space="preserve"> Urteil fünf Mal</w:t>
            </w:r>
            <w:r>
              <w:rPr>
                <w:sz w:val="20"/>
                <w:szCs w:val="20"/>
              </w:rPr>
              <w:t xml:space="preserve"> besprochen</w:t>
            </w:r>
            <w:r w:rsidRPr="00142AE6">
              <w:rPr>
                <w:sz w:val="20"/>
                <w:szCs w:val="20"/>
              </w:rPr>
              <w:t>. Doch nur zwei Erwähnungen finden sich außerhalb der Schriftsätze. Bei diesen zwei geht es um die Frage, inwieweit ein Verbotsgesetz das Streben nach Glück entziehe – wie auch Eigentumsrechte und die Vorrechte bzw. Immunitäten des Bürgers. Den Maßstab, inwieweit Rechtsgüter entzogen werden können, steuert die Frage des Falls: Ist das Recht, an der Universität von Mississippi ungehindert zu studieren</w:t>
            </w:r>
            <w:r>
              <w:rPr>
                <w:sz w:val="20"/>
                <w:szCs w:val="20"/>
              </w:rPr>
              <w:t>,</w:t>
            </w:r>
            <w:r w:rsidRPr="00142AE6">
              <w:rPr>
                <w:sz w:val="20"/>
                <w:szCs w:val="20"/>
              </w:rPr>
              <w:t xml:space="preserve"> ein absolutes Recht – d.h. ein Verbotsgesetz kann </w:t>
            </w:r>
            <w:r>
              <w:rPr>
                <w:sz w:val="20"/>
                <w:szCs w:val="20"/>
              </w:rPr>
              <w:t xml:space="preserve">es </w:t>
            </w:r>
            <w:r w:rsidRPr="00142AE6">
              <w:rPr>
                <w:sz w:val="20"/>
                <w:szCs w:val="20"/>
              </w:rPr>
              <w:t>nicht einschränken – oder ein bedingtes Recht – d.h. das Verbotsgesetz kann</w:t>
            </w:r>
            <w:r>
              <w:rPr>
                <w:sz w:val="20"/>
                <w:szCs w:val="20"/>
              </w:rPr>
              <w:t xml:space="preserve"> es</w:t>
            </w:r>
            <w:r w:rsidRPr="00142AE6">
              <w:rPr>
                <w:sz w:val="20"/>
                <w:szCs w:val="20"/>
              </w:rPr>
              <w:t xml:space="preserve"> einschränken („absolute </w:t>
            </w:r>
            <w:proofErr w:type="spellStart"/>
            <w:r w:rsidRPr="00142AE6">
              <w:rPr>
                <w:sz w:val="20"/>
                <w:szCs w:val="20"/>
              </w:rPr>
              <w:t>or</w:t>
            </w:r>
            <w:proofErr w:type="spellEnd"/>
            <w:r w:rsidRPr="00142AE6">
              <w:rPr>
                <w:sz w:val="20"/>
                <w:szCs w:val="20"/>
              </w:rPr>
              <w:t xml:space="preserve"> </w:t>
            </w:r>
            <w:proofErr w:type="spellStart"/>
            <w:r w:rsidRPr="00142AE6">
              <w:rPr>
                <w:sz w:val="20"/>
                <w:szCs w:val="20"/>
              </w:rPr>
              <w:t>conditional</w:t>
            </w:r>
            <w:proofErr w:type="spellEnd"/>
            <w:r w:rsidRPr="00142AE6">
              <w:rPr>
                <w:sz w:val="20"/>
                <w:szCs w:val="20"/>
              </w:rPr>
              <w:t xml:space="preserve"> </w:t>
            </w:r>
            <w:proofErr w:type="spellStart"/>
            <w:r w:rsidRPr="00142AE6">
              <w:rPr>
                <w:sz w:val="20"/>
                <w:szCs w:val="20"/>
              </w:rPr>
              <w:t>right</w:t>
            </w:r>
            <w:proofErr w:type="spellEnd"/>
            <w:r w:rsidRPr="00142AE6">
              <w:rPr>
                <w:sz w:val="20"/>
                <w:szCs w:val="20"/>
              </w:rPr>
              <w:t>“</w:t>
            </w:r>
            <w:r w:rsidRPr="00142AE6">
              <w:rPr>
                <w:sz w:val="20"/>
                <w:szCs w:val="20"/>
                <w:vertAlign w:val="superscript"/>
              </w:rPr>
              <w:footnoteReference w:id="1156"/>
            </w:r>
            <w:r w:rsidRPr="00142AE6">
              <w:rPr>
                <w:sz w:val="20"/>
                <w:szCs w:val="20"/>
              </w:rPr>
              <w:t>)</w:t>
            </w:r>
            <w:r>
              <w:rPr>
                <w:sz w:val="20"/>
                <w:szCs w:val="20"/>
              </w:rPr>
              <w:t xml:space="preserve">? Mit anderen Worten: </w:t>
            </w:r>
            <w:r w:rsidRPr="00142AE6">
              <w:rPr>
                <w:sz w:val="20"/>
                <w:szCs w:val="20"/>
              </w:rPr>
              <w:t xml:space="preserve">Hatte der bundesstaatliche Gesetzgeber eine so weite Kontrollkompetenz über die Universitäten, dass er ein solches Verbotsgesetz erlassen konnte, was auch zulasten des unveräußerlichen Strebens nach Glück gehe? Der </w:t>
            </w:r>
            <w:r>
              <w:rPr>
                <w:sz w:val="20"/>
                <w:szCs w:val="20"/>
              </w:rPr>
              <w:t>U.S. Supreme Court</w:t>
            </w:r>
            <w:r w:rsidRPr="00142AE6">
              <w:rPr>
                <w:sz w:val="20"/>
                <w:szCs w:val="20"/>
              </w:rPr>
              <w:t xml:space="preserve"> meinte, der Gesetzgeber habe ein solches Kontrollrecht. Denn er </w:t>
            </w:r>
            <w:r>
              <w:rPr>
                <w:sz w:val="20"/>
                <w:szCs w:val="20"/>
              </w:rPr>
              <w:t>habe</w:t>
            </w:r>
            <w:r w:rsidRPr="00142AE6">
              <w:rPr>
                <w:sz w:val="20"/>
                <w:szCs w:val="20"/>
              </w:rPr>
              <w:t xml:space="preserve"> die Universitäten</w:t>
            </w:r>
            <w:r>
              <w:rPr>
                <w:sz w:val="20"/>
                <w:szCs w:val="20"/>
              </w:rPr>
              <w:t xml:space="preserve"> gegründet</w:t>
            </w:r>
            <w:r w:rsidRPr="00142AE6">
              <w:rPr>
                <w:sz w:val="20"/>
                <w:szCs w:val="20"/>
              </w:rPr>
              <w:t>, finanzier</w:t>
            </w:r>
            <w:r>
              <w:rPr>
                <w:sz w:val="20"/>
                <w:szCs w:val="20"/>
              </w:rPr>
              <w:t>e</w:t>
            </w:r>
            <w:r w:rsidRPr="00142AE6">
              <w:rPr>
                <w:sz w:val="20"/>
                <w:szCs w:val="20"/>
              </w:rPr>
              <w:t xml:space="preserve"> sie („</w:t>
            </w:r>
            <w:proofErr w:type="spellStart"/>
            <w:r w:rsidRPr="00142AE6">
              <w:rPr>
                <w:sz w:val="20"/>
                <w:szCs w:val="20"/>
              </w:rPr>
              <w:t>public</w:t>
            </w:r>
            <w:proofErr w:type="spellEnd"/>
            <w:r w:rsidRPr="00142AE6">
              <w:rPr>
                <w:sz w:val="20"/>
                <w:szCs w:val="20"/>
              </w:rPr>
              <w:t xml:space="preserve"> </w:t>
            </w:r>
            <w:proofErr w:type="spellStart"/>
            <w:r w:rsidRPr="00142AE6">
              <w:rPr>
                <w:sz w:val="20"/>
                <w:szCs w:val="20"/>
              </w:rPr>
              <w:t>funds</w:t>
            </w:r>
            <w:proofErr w:type="spellEnd"/>
            <w:r w:rsidRPr="00142AE6">
              <w:rPr>
                <w:sz w:val="20"/>
                <w:szCs w:val="20"/>
              </w:rPr>
              <w:t>“</w:t>
            </w:r>
            <w:r w:rsidRPr="00142AE6">
              <w:rPr>
                <w:sz w:val="20"/>
                <w:szCs w:val="20"/>
                <w:vertAlign w:val="superscript"/>
              </w:rPr>
              <w:footnoteReference w:id="1157"/>
            </w:r>
            <w:r w:rsidRPr="00142AE6">
              <w:rPr>
                <w:sz w:val="20"/>
                <w:szCs w:val="20"/>
              </w:rPr>
              <w:t>) und habe den Auftrag, ihr Wohlergehen zu fördern („</w:t>
            </w:r>
            <w:proofErr w:type="spellStart"/>
            <w:r w:rsidRPr="00142AE6">
              <w:rPr>
                <w:sz w:val="20"/>
                <w:szCs w:val="20"/>
              </w:rPr>
              <w:t>right</w:t>
            </w:r>
            <w:proofErr w:type="spellEnd"/>
            <w:r w:rsidRPr="00142AE6">
              <w:rPr>
                <w:sz w:val="20"/>
                <w:szCs w:val="20"/>
              </w:rPr>
              <w:t xml:space="preserve"> to </w:t>
            </w:r>
            <w:proofErr w:type="spellStart"/>
            <w:r w:rsidRPr="00142AE6">
              <w:rPr>
                <w:sz w:val="20"/>
                <w:szCs w:val="20"/>
              </w:rPr>
              <w:t>legislate</w:t>
            </w:r>
            <w:proofErr w:type="spellEnd"/>
            <w:r w:rsidRPr="00142AE6">
              <w:rPr>
                <w:sz w:val="20"/>
                <w:szCs w:val="20"/>
              </w:rPr>
              <w:t xml:space="preserve"> for </w:t>
            </w:r>
            <w:proofErr w:type="spellStart"/>
            <w:r w:rsidRPr="00142AE6">
              <w:rPr>
                <w:sz w:val="20"/>
                <w:szCs w:val="20"/>
              </w:rPr>
              <w:t>their</w:t>
            </w:r>
            <w:proofErr w:type="spellEnd"/>
            <w:r w:rsidRPr="00142AE6">
              <w:rPr>
                <w:sz w:val="20"/>
                <w:szCs w:val="20"/>
              </w:rPr>
              <w:t xml:space="preserve"> </w:t>
            </w:r>
            <w:proofErr w:type="spellStart"/>
            <w:r w:rsidRPr="00142AE6">
              <w:rPr>
                <w:sz w:val="20"/>
                <w:szCs w:val="20"/>
              </w:rPr>
              <w:t>welfare</w:t>
            </w:r>
            <w:proofErr w:type="spellEnd"/>
            <w:r w:rsidRPr="00142AE6">
              <w:rPr>
                <w:sz w:val="20"/>
                <w:szCs w:val="20"/>
              </w:rPr>
              <w:t>“</w:t>
            </w:r>
            <w:r w:rsidRPr="00142AE6">
              <w:rPr>
                <w:sz w:val="20"/>
                <w:szCs w:val="20"/>
                <w:vertAlign w:val="superscript"/>
              </w:rPr>
              <w:footnoteReference w:id="1158"/>
            </w:r>
            <w:r w:rsidRPr="00142AE6">
              <w:rPr>
                <w:sz w:val="20"/>
                <w:szCs w:val="20"/>
              </w:rPr>
              <w:t xml:space="preserve">). Und im Rahmen dieses Kontrollrechts </w:t>
            </w:r>
            <w:r>
              <w:rPr>
                <w:sz w:val="20"/>
                <w:szCs w:val="20"/>
              </w:rPr>
              <w:t>könne</w:t>
            </w:r>
            <w:r w:rsidRPr="00142AE6">
              <w:rPr>
                <w:sz w:val="20"/>
                <w:szCs w:val="20"/>
              </w:rPr>
              <w:t xml:space="preserve"> ein Gesetz auch das Streben nach Glück einschränken. </w:t>
            </w:r>
            <w:r w:rsidRPr="00B45592">
              <w:rPr>
                <w:sz w:val="20"/>
                <w:szCs w:val="20"/>
              </w:rPr>
              <w:t>Das Glücksstreben stehe unter einem Gesetzesvorbehalt („</w:t>
            </w:r>
            <w:proofErr w:type="spellStart"/>
            <w:r w:rsidRPr="00B45592">
              <w:rPr>
                <w:sz w:val="20"/>
                <w:szCs w:val="20"/>
              </w:rPr>
              <w:t>right</w:t>
            </w:r>
            <w:proofErr w:type="spellEnd"/>
            <w:r w:rsidRPr="00B45592">
              <w:rPr>
                <w:sz w:val="20"/>
                <w:szCs w:val="20"/>
              </w:rPr>
              <w:t xml:space="preserve"> to </w:t>
            </w:r>
            <w:proofErr w:type="spellStart"/>
            <w:r w:rsidRPr="00B45592">
              <w:rPr>
                <w:sz w:val="20"/>
                <w:szCs w:val="20"/>
              </w:rPr>
              <w:t>pursue</w:t>
            </w:r>
            <w:proofErr w:type="spellEnd"/>
            <w:r w:rsidRPr="00B45592">
              <w:rPr>
                <w:sz w:val="20"/>
                <w:szCs w:val="20"/>
              </w:rPr>
              <w:t xml:space="preserve"> </w:t>
            </w:r>
            <w:proofErr w:type="spellStart"/>
            <w:r w:rsidRPr="00B45592">
              <w:rPr>
                <w:sz w:val="20"/>
                <w:szCs w:val="20"/>
              </w:rPr>
              <w:t>happiness</w:t>
            </w:r>
            <w:proofErr w:type="spellEnd"/>
            <w:r w:rsidRPr="00B45592">
              <w:rPr>
                <w:sz w:val="20"/>
                <w:szCs w:val="20"/>
              </w:rPr>
              <w:t xml:space="preserve"> […] </w:t>
            </w:r>
            <w:r w:rsidRPr="00142AE6">
              <w:rPr>
                <w:sz w:val="20"/>
                <w:szCs w:val="20"/>
                <w:lang w:val="en-US"/>
              </w:rPr>
              <w:t>[is] subject in some degree to the limitations of the law“</w:t>
            </w:r>
            <w:r w:rsidRPr="00142AE6">
              <w:rPr>
                <w:sz w:val="20"/>
                <w:szCs w:val="20"/>
                <w:vertAlign w:val="superscript"/>
                <w:lang w:val="en-US"/>
              </w:rPr>
              <w:footnoteReference w:id="1159"/>
            </w:r>
            <w:r w:rsidRPr="00142AE6">
              <w:rPr>
                <w:sz w:val="20"/>
                <w:szCs w:val="20"/>
                <w:lang w:val="en-US"/>
              </w:rPr>
              <w:t xml:space="preserve">). </w:t>
            </w:r>
            <w:r w:rsidRPr="00142AE6">
              <w:rPr>
                <w:sz w:val="20"/>
                <w:szCs w:val="20"/>
              </w:rPr>
              <w:t xml:space="preserve">Das </w:t>
            </w:r>
            <w:r>
              <w:rPr>
                <w:sz w:val="20"/>
                <w:szCs w:val="20"/>
              </w:rPr>
              <w:t>sei</w:t>
            </w:r>
            <w:r w:rsidRPr="00142AE6">
              <w:rPr>
                <w:sz w:val="20"/>
                <w:szCs w:val="20"/>
              </w:rPr>
              <w:t xml:space="preserve"> aber nur möglich, soweit die Einschränkung durch ein Gesetz kompensiert </w:t>
            </w:r>
            <w:r>
              <w:rPr>
                <w:sz w:val="20"/>
                <w:szCs w:val="20"/>
              </w:rPr>
              <w:t>werde</w:t>
            </w:r>
            <w:r w:rsidRPr="00142AE6">
              <w:rPr>
                <w:sz w:val="20"/>
                <w:szCs w:val="20"/>
              </w:rPr>
              <w:t>, hier durch kostenlosen Zugang zu universitärer Bildung („</w:t>
            </w:r>
            <w:proofErr w:type="spellStart"/>
            <w:r w:rsidRPr="00142AE6">
              <w:rPr>
                <w:sz w:val="20"/>
                <w:szCs w:val="20"/>
              </w:rPr>
              <w:t>free</w:t>
            </w:r>
            <w:proofErr w:type="spellEnd"/>
            <w:r w:rsidRPr="00142AE6">
              <w:rPr>
                <w:sz w:val="20"/>
                <w:szCs w:val="20"/>
              </w:rPr>
              <w:t xml:space="preserve"> </w:t>
            </w:r>
            <w:proofErr w:type="spellStart"/>
            <w:r w:rsidRPr="00142AE6">
              <w:rPr>
                <w:sz w:val="20"/>
                <w:szCs w:val="20"/>
              </w:rPr>
              <w:t>instruction</w:t>
            </w:r>
            <w:proofErr w:type="spellEnd"/>
            <w:r w:rsidRPr="00142AE6">
              <w:rPr>
                <w:sz w:val="20"/>
                <w:szCs w:val="20"/>
              </w:rPr>
              <w:t xml:space="preserve"> in </w:t>
            </w:r>
            <w:proofErr w:type="spellStart"/>
            <w:r w:rsidRPr="00142AE6">
              <w:rPr>
                <w:sz w:val="20"/>
                <w:szCs w:val="20"/>
              </w:rPr>
              <w:t>its</w:t>
            </w:r>
            <w:proofErr w:type="spellEnd"/>
            <w:r w:rsidRPr="00142AE6">
              <w:rPr>
                <w:sz w:val="20"/>
                <w:szCs w:val="20"/>
              </w:rPr>
              <w:t xml:space="preserve"> University“</w:t>
            </w:r>
            <w:r w:rsidRPr="00142AE6">
              <w:rPr>
                <w:sz w:val="20"/>
                <w:szCs w:val="20"/>
                <w:vertAlign w:val="superscript"/>
                <w:lang w:val="en-US"/>
              </w:rPr>
              <w:footnoteReference w:id="1160"/>
            </w:r>
            <w:r w:rsidRPr="00142AE6">
              <w:rPr>
                <w:sz w:val="20"/>
                <w:szCs w:val="20"/>
              </w:rPr>
              <w:t>).</w:t>
            </w:r>
          </w:p>
          <w:p w14:paraId="7014D570" w14:textId="77777777" w:rsidR="00074551" w:rsidRPr="00E50B51" w:rsidRDefault="00074551" w:rsidP="00367133">
            <w:pPr>
              <w:jc w:val="both"/>
              <w:rPr>
                <w:sz w:val="20"/>
                <w:szCs w:val="20"/>
              </w:rPr>
            </w:pPr>
          </w:p>
        </w:tc>
      </w:tr>
      <w:tr w:rsidR="00074551" w:rsidRPr="00E50B51" w14:paraId="1AB09055" w14:textId="77777777" w:rsidTr="00BE689F">
        <w:trPr>
          <w:cantSplit/>
          <w:trHeight w:val="3175"/>
        </w:trPr>
        <w:tc>
          <w:tcPr>
            <w:tcW w:w="293" w:type="pct"/>
          </w:tcPr>
          <w:p w14:paraId="2CF9854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B79C60F" w14:textId="77777777" w:rsidR="00074551" w:rsidRPr="00E50B51" w:rsidRDefault="00074551" w:rsidP="00367133">
            <w:pPr>
              <w:ind w:left="113" w:right="416"/>
              <w:jc w:val="both"/>
              <w:rPr>
                <w:sz w:val="20"/>
                <w:szCs w:val="20"/>
              </w:rPr>
            </w:pPr>
            <w:r w:rsidRPr="00D83E4F">
              <w:rPr>
                <w:i/>
                <w:sz w:val="20"/>
                <w:szCs w:val="20"/>
              </w:rPr>
              <w:t>Williams v. Arkansas</w:t>
            </w:r>
          </w:p>
        </w:tc>
        <w:tc>
          <w:tcPr>
            <w:tcW w:w="197" w:type="pct"/>
            <w:textDirection w:val="tbRl"/>
            <w:vAlign w:val="center"/>
          </w:tcPr>
          <w:p w14:paraId="09B0172D" w14:textId="77777777" w:rsidR="00074551" w:rsidRPr="00E50B51" w:rsidRDefault="00074551" w:rsidP="00367133">
            <w:pPr>
              <w:ind w:left="113" w:right="113"/>
              <w:jc w:val="both"/>
              <w:rPr>
                <w:sz w:val="20"/>
                <w:szCs w:val="20"/>
              </w:rPr>
            </w:pPr>
            <w:r w:rsidRPr="00E50B51">
              <w:rPr>
                <w:sz w:val="20"/>
                <w:szCs w:val="20"/>
                <w:lang w:val="en-US"/>
              </w:rPr>
              <w:t>217 U.S. 79</w:t>
            </w:r>
          </w:p>
        </w:tc>
        <w:tc>
          <w:tcPr>
            <w:tcW w:w="306" w:type="pct"/>
            <w:textDirection w:val="tbRl"/>
            <w:vAlign w:val="center"/>
          </w:tcPr>
          <w:p w14:paraId="4375D836" w14:textId="77777777" w:rsidR="00074551" w:rsidRPr="00E50B51" w:rsidRDefault="00074551" w:rsidP="00367133">
            <w:pPr>
              <w:ind w:left="113" w:right="113"/>
              <w:jc w:val="both"/>
              <w:rPr>
                <w:sz w:val="20"/>
                <w:szCs w:val="20"/>
              </w:rPr>
            </w:pPr>
            <w:r w:rsidRPr="00E50B51">
              <w:rPr>
                <w:sz w:val="20"/>
                <w:szCs w:val="20"/>
              </w:rPr>
              <w:t>4. April 191</w:t>
            </w:r>
            <w:r>
              <w:rPr>
                <w:sz w:val="20"/>
                <w:szCs w:val="20"/>
              </w:rPr>
              <w:t>0</w:t>
            </w:r>
          </w:p>
        </w:tc>
        <w:tc>
          <w:tcPr>
            <w:tcW w:w="401" w:type="pct"/>
          </w:tcPr>
          <w:p w14:paraId="1AF478AB" w14:textId="77777777" w:rsidR="00074551" w:rsidRPr="00E50B51" w:rsidRDefault="00074551" w:rsidP="00367133">
            <w:pPr>
              <w:jc w:val="center"/>
              <w:rPr>
                <w:sz w:val="20"/>
                <w:szCs w:val="20"/>
              </w:rPr>
            </w:pPr>
            <w:r>
              <w:rPr>
                <w:sz w:val="20"/>
                <w:szCs w:val="20"/>
              </w:rPr>
              <w:t>S</w:t>
            </w:r>
          </w:p>
        </w:tc>
        <w:tc>
          <w:tcPr>
            <w:tcW w:w="1594" w:type="pct"/>
          </w:tcPr>
          <w:p w14:paraId="2FC604ED" w14:textId="77777777"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Gesetz</w:t>
            </w:r>
            <w:r>
              <w:rPr>
                <w:sz w:val="20"/>
                <w:szCs w:val="20"/>
              </w:rPr>
              <w:t xml:space="preserve"> – </w:t>
            </w:r>
            <w:r w:rsidRPr="5B67C1D2">
              <w:rPr>
                <w:i/>
                <w:iCs/>
                <w:sz w:val="20"/>
                <w:szCs w:val="20"/>
              </w:rPr>
              <w:t>Ark. Acts of General Assembly, 1907</w:t>
            </w:r>
            <w:r w:rsidRPr="00B45592">
              <w:rPr>
                <w:sz w:val="20"/>
                <w:szCs w:val="20"/>
              </w:rPr>
              <w:t xml:space="preserve">, p. 553, Act 236, </w:t>
            </w:r>
            <w:r>
              <w:rPr>
                <w:sz w:val="20"/>
                <w:szCs w:val="20"/>
              </w:rPr>
              <w:t>§ </w:t>
            </w:r>
            <w:r w:rsidRPr="00B45592">
              <w:rPr>
                <w:sz w:val="20"/>
                <w:szCs w:val="20"/>
              </w:rPr>
              <w:t>1</w:t>
            </w:r>
            <w:r w:rsidRPr="005430D5">
              <w:rPr>
                <w:rStyle w:val="Funotenzeichen"/>
                <w:sz w:val="20"/>
                <w:szCs w:val="20"/>
                <w:lang w:val="en-US"/>
              </w:rPr>
              <w:footnoteReference w:id="1161"/>
            </w:r>
            <w:r w:rsidRPr="00B45592">
              <w:rPr>
                <w:sz w:val="20"/>
                <w:szCs w:val="20"/>
              </w:rPr>
              <w:t xml:space="preserve"> – für verfassungsgemäß. </w:t>
            </w:r>
            <w:r>
              <w:rPr>
                <w:sz w:val="20"/>
                <w:szCs w:val="20"/>
              </w:rPr>
              <w:t xml:space="preserve">Dieses </w:t>
            </w:r>
            <w:proofErr w:type="spellStart"/>
            <w:r>
              <w:rPr>
                <w:sz w:val="20"/>
                <w:szCs w:val="20"/>
              </w:rPr>
              <w:t>verbot</w:t>
            </w:r>
            <w:proofErr w:type="spellEnd"/>
            <w:r w:rsidRPr="00E50B51">
              <w:rPr>
                <w:sz w:val="20"/>
                <w:szCs w:val="20"/>
              </w:rPr>
              <w:t xml:space="preserve"> Reisenden, während Bahnfahrten für ein eigenes Unternehmen zu werben.</w:t>
            </w:r>
            <w:r>
              <w:rPr>
                <w:rStyle w:val="Funotenzeichen"/>
                <w:sz w:val="20"/>
                <w:szCs w:val="20"/>
              </w:rPr>
              <w:footnoteReference w:id="1162"/>
            </w:r>
          </w:p>
          <w:p w14:paraId="5AB7B28A" w14:textId="77777777" w:rsidR="00074551" w:rsidRPr="00E50B51" w:rsidRDefault="00074551" w:rsidP="00367133">
            <w:pPr>
              <w:jc w:val="both"/>
              <w:rPr>
                <w:sz w:val="20"/>
                <w:szCs w:val="20"/>
              </w:rPr>
            </w:pPr>
          </w:p>
        </w:tc>
        <w:tc>
          <w:tcPr>
            <w:tcW w:w="1822" w:type="pct"/>
          </w:tcPr>
          <w:p w14:paraId="54494C0C" w14:textId="77777777" w:rsidR="00074551" w:rsidRDefault="00074551" w:rsidP="00367133">
            <w:pPr>
              <w:jc w:val="both"/>
              <w:rPr>
                <w:sz w:val="20"/>
                <w:szCs w:val="20"/>
              </w:rPr>
            </w:pPr>
            <w:r w:rsidRPr="00184977">
              <w:rPr>
                <w:sz w:val="20"/>
                <w:szCs w:val="20"/>
              </w:rPr>
              <w:t xml:space="preserve">In </w:t>
            </w:r>
            <w:r w:rsidRPr="5B67C1D2">
              <w:rPr>
                <w:i/>
                <w:iCs/>
                <w:sz w:val="20"/>
                <w:szCs w:val="20"/>
              </w:rPr>
              <w:t>Williams v. Arkansas</w:t>
            </w:r>
            <w:r w:rsidRPr="00184977">
              <w:rPr>
                <w:sz w:val="20"/>
                <w:szCs w:val="20"/>
              </w:rPr>
              <w:t xml:space="preserve"> trug der </w:t>
            </w:r>
            <w:r>
              <w:rPr>
                <w:sz w:val="20"/>
                <w:szCs w:val="20"/>
              </w:rPr>
              <w:t>unterlegene Kläger</w:t>
            </w:r>
            <w:r w:rsidRPr="00184977">
              <w:rPr>
                <w:sz w:val="20"/>
                <w:szCs w:val="20"/>
              </w:rPr>
              <w:t xml:space="preserve"> zum Verständnis des </w:t>
            </w:r>
            <w:proofErr w:type="spellStart"/>
            <w:r w:rsidRPr="5B67C1D2">
              <w:rPr>
                <w:i/>
                <w:iCs/>
                <w:sz w:val="20"/>
                <w:szCs w:val="20"/>
              </w:rPr>
              <w:t>pursuit</w:t>
            </w:r>
            <w:proofErr w:type="spellEnd"/>
            <w:r w:rsidRPr="5B67C1D2">
              <w:rPr>
                <w:i/>
                <w:iCs/>
                <w:sz w:val="20"/>
                <w:szCs w:val="20"/>
              </w:rPr>
              <w:t xml:space="preserve"> of Happiness</w:t>
            </w:r>
            <w:r w:rsidRPr="00184977">
              <w:rPr>
                <w:sz w:val="20"/>
                <w:szCs w:val="20"/>
              </w:rPr>
              <w:t xml:space="preserve"> bei, indem er vorbrachte, der Beruf als Bedingung für Glücksstreben sei über die Polizeigewalt nicht einzuschränken, weil </w:t>
            </w:r>
            <w:r>
              <w:rPr>
                <w:sz w:val="20"/>
                <w:szCs w:val="20"/>
              </w:rPr>
              <w:t>L</w:t>
            </w:r>
            <w:r w:rsidRPr="00184977">
              <w:rPr>
                <w:sz w:val="20"/>
                <w:szCs w:val="20"/>
              </w:rPr>
              <w:t xml:space="preserve">etztere nur Sicherheit, Gesundheit und Moral der Gemeinschaft zu wahren habe. Dabei berief sich der Kläger auf eine </w:t>
            </w:r>
            <w:r>
              <w:rPr>
                <w:sz w:val="20"/>
                <w:szCs w:val="20"/>
              </w:rPr>
              <w:t xml:space="preserve">seiner Meinung nach </w:t>
            </w:r>
            <w:r w:rsidRPr="00184977">
              <w:rPr>
                <w:sz w:val="20"/>
                <w:szCs w:val="20"/>
              </w:rPr>
              <w:t>unzulässige Einschränkung seiner Garantie auf ein Streben nach Glück („</w:t>
            </w:r>
            <w:proofErr w:type="spellStart"/>
            <w:r w:rsidRPr="00184977">
              <w:rPr>
                <w:sz w:val="20"/>
                <w:szCs w:val="20"/>
              </w:rPr>
              <w:t>guaranty</w:t>
            </w:r>
            <w:proofErr w:type="spellEnd"/>
            <w:r w:rsidRPr="00184977">
              <w:rPr>
                <w:sz w:val="20"/>
                <w:szCs w:val="20"/>
              </w:rPr>
              <w:t xml:space="preserve"> of […] the </w:t>
            </w:r>
            <w:proofErr w:type="spellStart"/>
            <w:r w:rsidRPr="00184977">
              <w:rPr>
                <w:sz w:val="20"/>
                <w:szCs w:val="20"/>
              </w:rPr>
              <w:t>pursuit</w:t>
            </w:r>
            <w:proofErr w:type="spellEnd"/>
            <w:r w:rsidRPr="00184977">
              <w:rPr>
                <w:sz w:val="20"/>
                <w:szCs w:val="20"/>
              </w:rPr>
              <w:t xml:space="preserve"> of </w:t>
            </w:r>
            <w:proofErr w:type="spellStart"/>
            <w:r w:rsidRPr="00184977">
              <w:rPr>
                <w:sz w:val="20"/>
                <w:szCs w:val="20"/>
              </w:rPr>
              <w:t>happiness</w:t>
            </w:r>
            <w:proofErr w:type="spellEnd"/>
            <w:r w:rsidRPr="00184977">
              <w:rPr>
                <w:sz w:val="20"/>
                <w:szCs w:val="20"/>
              </w:rPr>
              <w:t>“</w:t>
            </w:r>
            <w:r w:rsidRPr="00184977">
              <w:rPr>
                <w:sz w:val="20"/>
                <w:szCs w:val="20"/>
                <w:vertAlign w:val="superscript"/>
              </w:rPr>
              <w:footnoteReference w:id="1163"/>
            </w:r>
            <w:r w:rsidRPr="00184977">
              <w:rPr>
                <w:sz w:val="20"/>
                <w:szCs w:val="20"/>
              </w:rPr>
              <w:t>). Nach dieser könne er jedem Beruf nachgehen („</w:t>
            </w:r>
            <w:proofErr w:type="spellStart"/>
            <w:r w:rsidRPr="00184977">
              <w:rPr>
                <w:sz w:val="20"/>
                <w:szCs w:val="20"/>
              </w:rPr>
              <w:t>right</w:t>
            </w:r>
            <w:proofErr w:type="spellEnd"/>
            <w:r w:rsidRPr="00184977">
              <w:rPr>
                <w:sz w:val="20"/>
                <w:szCs w:val="20"/>
              </w:rPr>
              <w:t xml:space="preserve"> to </w:t>
            </w:r>
            <w:proofErr w:type="spellStart"/>
            <w:r w:rsidRPr="00184977">
              <w:rPr>
                <w:sz w:val="20"/>
                <w:szCs w:val="20"/>
              </w:rPr>
              <w:t>pursue</w:t>
            </w:r>
            <w:proofErr w:type="spellEnd"/>
            <w:r w:rsidRPr="00184977">
              <w:rPr>
                <w:sz w:val="20"/>
                <w:szCs w:val="20"/>
              </w:rPr>
              <w:t xml:space="preserve"> </w:t>
            </w:r>
            <w:proofErr w:type="spellStart"/>
            <w:r w:rsidRPr="00184977">
              <w:rPr>
                <w:sz w:val="20"/>
                <w:szCs w:val="20"/>
              </w:rPr>
              <w:t>any</w:t>
            </w:r>
            <w:proofErr w:type="spellEnd"/>
            <w:r w:rsidRPr="00184977">
              <w:rPr>
                <w:sz w:val="20"/>
                <w:szCs w:val="20"/>
              </w:rPr>
              <w:t xml:space="preserve"> </w:t>
            </w:r>
            <w:proofErr w:type="spellStart"/>
            <w:r w:rsidRPr="00184977">
              <w:rPr>
                <w:sz w:val="20"/>
                <w:szCs w:val="20"/>
              </w:rPr>
              <w:t>calling</w:t>
            </w:r>
            <w:proofErr w:type="spellEnd"/>
            <w:r w:rsidRPr="00184977">
              <w:rPr>
                <w:sz w:val="20"/>
                <w:szCs w:val="20"/>
              </w:rPr>
              <w:t>“</w:t>
            </w:r>
            <w:r w:rsidRPr="00184977">
              <w:rPr>
                <w:sz w:val="20"/>
                <w:szCs w:val="20"/>
                <w:vertAlign w:val="superscript"/>
              </w:rPr>
              <w:footnoteReference w:id="1164"/>
            </w:r>
            <w:r w:rsidRPr="00184977">
              <w:rPr>
                <w:sz w:val="20"/>
                <w:szCs w:val="20"/>
              </w:rPr>
              <w:t>), soweit dieser der Allgemeinheit nicht schade. Damit sei er auch geschützt vor Eingriffen</w:t>
            </w:r>
            <w:r>
              <w:rPr>
                <w:sz w:val="20"/>
                <w:szCs w:val="20"/>
              </w:rPr>
              <w:t xml:space="preserve"> der </w:t>
            </w:r>
            <w:r w:rsidRPr="00184977">
              <w:rPr>
                <w:sz w:val="20"/>
                <w:szCs w:val="20"/>
              </w:rPr>
              <w:t>Polizeihoheit. Und hier falle das Verbotsgesetz – </w:t>
            </w:r>
            <w:r>
              <w:rPr>
                <w:sz w:val="20"/>
                <w:szCs w:val="20"/>
              </w:rPr>
              <w:t>das Reisenden untersagte</w:t>
            </w:r>
            <w:r w:rsidRPr="00184977">
              <w:rPr>
                <w:sz w:val="20"/>
                <w:szCs w:val="20"/>
              </w:rPr>
              <w:t xml:space="preserve">, während Bahnfahrten für ein eigenes Unternehmen </w:t>
            </w:r>
            <w:r>
              <w:rPr>
                <w:sz w:val="20"/>
                <w:szCs w:val="20"/>
              </w:rPr>
              <w:t>zu</w:t>
            </w:r>
            <w:r w:rsidRPr="00184977">
              <w:rPr>
                <w:sz w:val="20"/>
                <w:szCs w:val="20"/>
              </w:rPr>
              <w:t xml:space="preserve"> werben</w:t>
            </w:r>
            <w:r w:rsidRPr="00184977">
              <w:rPr>
                <w:sz w:val="20"/>
                <w:szCs w:val="20"/>
                <w:vertAlign w:val="superscript"/>
              </w:rPr>
              <w:footnoteReference w:id="1165"/>
            </w:r>
            <w:r w:rsidRPr="00184977">
              <w:rPr>
                <w:sz w:val="20"/>
                <w:szCs w:val="20"/>
              </w:rPr>
              <w:t xml:space="preserve">– gar nicht unter die Polizeigewalt. Denn </w:t>
            </w:r>
            <w:r>
              <w:rPr>
                <w:sz w:val="20"/>
                <w:szCs w:val="20"/>
              </w:rPr>
              <w:t>diese</w:t>
            </w:r>
            <w:r w:rsidRPr="00184977">
              <w:rPr>
                <w:sz w:val="20"/>
                <w:szCs w:val="20"/>
              </w:rPr>
              <w:t xml:space="preserve"> sei beschränkt darauf, Sicherheit, Gesundheit und Moral der Gemeinschaft zu </w:t>
            </w:r>
            <w:r>
              <w:rPr>
                <w:sz w:val="20"/>
                <w:szCs w:val="20"/>
              </w:rPr>
              <w:t>gewährleisten</w:t>
            </w:r>
            <w:r w:rsidRPr="00184977">
              <w:rPr>
                <w:sz w:val="20"/>
                <w:szCs w:val="20"/>
              </w:rPr>
              <w:t xml:space="preserve"> („</w:t>
            </w:r>
            <w:proofErr w:type="spellStart"/>
            <w:r w:rsidRPr="00184977">
              <w:rPr>
                <w:sz w:val="20"/>
                <w:szCs w:val="20"/>
              </w:rPr>
              <w:t>police</w:t>
            </w:r>
            <w:proofErr w:type="spellEnd"/>
            <w:r w:rsidRPr="00184977">
              <w:rPr>
                <w:sz w:val="20"/>
                <w:szCs w:val="20"/>
              </w:rPr>
              <w:t xml:space="preserve"> power </w:t>
            </w:r>
            <w:proofErr w:type="spellStart"/>
            <w:r w:rsidRPr="00184977">
              <w:rPr>
                <w:sz w:val="20"/>
                <w:szCs w:val="20"/>
              </w:rPr>
              <w:t>is</w:t>
            </w:r>
            <w:proofErr w:type="spellEnd"/>
            <w:r w:rsidRPr="00184977">
              <w:rPr>
                <w:sz w:val="20"/>
                <w:szCs w:val="20"/>
              </w:rPr>
              <w:t xml:space="preserve"> limited to </w:t>
            </w:r>
            <w:proofErr w:type="spellStart"/>
            <w:r w:rsidRPr="00184977">
              <w:rPr>
                <w:sz w:val="20"/>
                <w:szCs w:val="20"/>
              </w:rPr>
              <w:t>those</w:t>
            </w:r>
            <w:proofErr w:type="spellEnd"/>
            <w:r w:rsidRPr="00184977">
              <w:rPr>
                <w:sz w:val="20"/>
                <w:szCs w:val="20"/>
              </w:rPr>
              <w:t xml:space="preserve"> </w:t>
            </w:r>
            <w:proofErr w:type="spellStart"/>
            <w:r w:rsidRPr="00184977">
              <w:rPr>
                <w:sz w:val="20"/>
                <w:szCs w:val="20"/>
              </w:rPr>
              <w:t>things</w:t>
            </w:r>
            <w:proofErr w:type="spellEnd"/>
            <w:r w:rsidRPr="00184977">
              <w:rPr>
                <w:sz w:val="20"/>
                <w:szCs w:val="20"/>
              </w:rPr>
              <w:t xml:space="preserve"> essential to the </w:t>
            </w:r>
            <w:proofErr w:type="spellStart"/>
            <w:r w:rsidRPr="00184977">
              <w:rPr>
                <w:sz w:val="20"/>
                <w:szCs w:val="20"/>
              </w:rPr>
              <w:t>safety</w:t>
            </w:r>
            <w:proofErr w:type="spellEnd"/>
            <w:r w:rsidRPr="00184977">
              <w:rPr>
                <w:sz w:val="20"/>
                <w:szCs w:val="20"/>
              </w:rPr>
              <w:t xml:space="preserve">, </w:t>
            </w:r>
            <w:proofErr w:type="spellStart"/>
            <w:r w:rsidRPr="00184977">
              <w:rPr>
                <w:sz w:val="20"/>
                <w:szCs w:val="20"/>
              </w:rPr>
              <w:t>health</w:t>
            </w:r>
            <w:proofErr w:type="spellEnd"/>
            <w:r w:rsidRPr="00184977">
              <w:rPr>
                <w:sz w:val="20"/>
                <w:szCs w:val="20"/>
              </w:rPr>
              <w:t xml:space="preserve">, </w:t>
            </w:r>
            <w:proofErr w:type="spellStart"/>
            <w:r w:rsidRPr="00184977">
              <w:rPr>
                <w:sz w:val="20"/>
                <w:szCs w:val="20"/>
              </w:rPr>
              <w:t>comfort</w:t>
            </w:r>
            <w:proofErr w:type="spellEnd"/>
            <w:r w:rsidRPr="00184977">
              <w:rPr>
                <w:sz w:val="20"/>
                <w:szCs w:val="20"/>
              </w:rPr>
              <w:t xml:space="preserve"> and </w:t>
            </w:r>
            <w:proofErr w:type="spellStart"/>
            <w:r w:rsidRPr="00184977">
              <w:rPr>
                <w:sz w:val="20"/>
                <w:szCs w:val="20"/>
              </w:rPr>
              <w:t>morals</w:t>
            </w:r>
            <w:proofErr w:type="spellEnd"/>
            <w:r w:rsidRPr="00184977">
              <w:rPr>
                <w:sz w:val="20"/>
                <w:szCs w:val="20"/>
              </w:rPr>
              <w:t xml:space="preserve"> of the </w:t>
            </w:r>
            <w:proofErr w:type="spellStart"/>
            <w:r w:rsidRPr="00184977">
              <w:rPr>
                <w:sz w:val="20"/>
                <w:szCs w:val="20"/>
              </w:rPr>
              <w:t>community</w:t>
            </w:r>
            <w:proofErr w:type="spellEnd"/>
            <w:r w:rsidRPr="00184977">
              <w:rPr>
                <w:sz w:val="20"/>
                <w:szCs w:val="20"/>
              </w:rPr>
              <w:t>“</w:t>
            </w:r>
            <w:r w:rsidRPr="00184977">
              <w:rPr>
                <w:sz w:val="20"/>
                <w:szCs w:val="20"/>
                <w:vertAlign w:val="superscript"/>
              </w:rPr>
              <w:footnoteReference w:id="1166"/>
            </w:r>
            <w:r w:rsidRPr="00184977">
              <w:rPr>
                <w:sz w:val="20"/>
                <w:szCs w:val="20"/>
              </w:rPr>
              <w:t xml:space="preserve">). Damit sei es aber mit der Polizeihoheit auch nicht möglich, jene Berufsausübung zu beschränken. Doch der </w:t>
            </w:r>
            <w:r>
              <w:rPr>
                <w:sz w:val="20"/>
                <w:szCs w:val="20"/>
              </w:rPr>
              <w:t>U.S. Supreme Court</w:t>
            </w:r>
            <w:r w:rsidRPr="00184977">
              <w:rPr>
                <w:sz w:val="20"/>
                <w:szCs w:val="20"/>
              </w:rPr>
              <w:t xml:space="preserve"> folgte diesem Verständnis nicht.</w:t>
            </w:r>
            <w:r w:rsidRPr="00184977">
              <w:rPr>
                <w:sz w:val="20"/>
                <w:szCs w:val="20"/>
                <w:vertAlign w:val="superscript"/>
              </w:rPr>
              <w:footnoteReference w:id="1167"/>
            </w:r>
          </w:p>
          <w:p w14:paraId="1AF74220" w14:textId="77777777" w:rsidR="00074551" w:rsidRPr="00E50B51" w:rsidRDefault="00074551" w:rsidP="00367133">
            <w:pPr>
              <w:jc w:val="both"/>
              <w:rPr>
                <w:sz w:val="20"/>
                <w:szCs w:val="20"/>
              </w:rPr>
            </w:pPr>
          </w:p>
        </w:tc>
      </w:tr>
      <w:tr w:rsidR="00074551" w:rsidRPr="00E50B51" w14:paraId="29864CEF" w14:textId="77777777" w:rsidTr="00BE689F">
        <w:trPr>
          <w:cantSplit/>
          <w:trHeight w:val="3175"/>
        </w:trPr>
        <w:tc>
          <w:tcPr>
            <w:tcW w:w="293" w:type="pct"/>
          </w:tcPr>
          <w:p w14:paraId="029DC408" w14:textId="77777777" w:rsidR="00074551" w:rsidRPr="00E50B51" w:rsidRDefault="00074551" w:rsidP="00367133">
            <w:pPr>
              <w:ind w:right="416"/>
              <w:jc w:val="center"/>
              <w:rPr>
                <w:sz w:val="20"/>
                <w:szCs w:val="20"/>
                <w:lang w:val="en-US" w:eastAsia="de-DE"/>
              </w:rPr>
            </w:pPr>
            <w:proofErr w:type="spellStart"/>
            <w:r w:rsidRPr="00E50B51">
              <w:rPr>
                <w:sz w:val="20"/>
                <w:szCs w:val="20"/>
              </w:rPr>
              <w:lastRenderedPageBreak/>
              <w:t>poH</w:t>
            </w:r>
            <w:proofErr w:type="spellEnd"/>
          </w:p>
        </w:tc>
        <w:tc>
          <w:tcPr>
            <w:tcW w:w="387" w:type="pct"/>
            <w:textDirection w:val="tbRl"/>
            <w:vAlign w:val="center"/>
          </w:tcPr>
          <w:p w14:paraId="79760E64" w14:textId="77777777" w:rsidR="00074551" w:rsidRPr="00E50B51" w:rsidRDefault="00074551" w:rsidP="00367133">
            <w:pPr>
              <w:ind w:left="113" w:right="416"/>
              <w:jc w:val="both"/>
              <w:rPr>
                <w:sz w:val="20"/>
                <w:szCs w:val="20"/>
                <w:lang w:val="en-US"/>
              </w:rPr>
            </w:pPr>
            <w:r w:rsidRPr="009167A5">
              <w:rPr>
                <w:i/>
                <w:sz w:val="20"/>
                <w:szCs w:val="20"/>
                <w:lang w:val="en-US" w:eastAsia="de-DE"/>
              </w:rPr>
              <w:t>Yu Cong Eng v. Trinidad</w:t>
            </w:r>
          </w:p>
        </w:tc>
        <w:tc>
          <w:tcPr>
            <w:tcW w:w="197" w:type="pct"/>
            <w:textDirection w:val="tbRl"/>
            <w:vAlign w:val="center"/>
          </w:tcPr>
          <w:p w14:paraId="411307F8" w14:textId="77777777" w:rsidR="00074551" w:rsidRPr="00E50B51" w:rsidRDefault="00074551" w:rsidP="00367133">
            <w:pPr>
              <w:ind w:left="113" w:right="113"/>
              <w:jc w:val="both"/>
              <w:rPr>
                <w:sz w:val="20"/>
                <w:szCs w:val="20"/>
              </w:rPr>
            </w:pPr>
            <w:r w:rsidRPr="00E50B51">
              <w:rPr>
                <w:sz w:val="20"/>
                <w:szCs w:val="20"/>
                <w:lang w:val="en-US"/>
              </w:rPr>
              <w:t>271 U.S. 500</w:t>
            </w:r>
          </w:p>
        </w:tc>
        <w:tc>
          <w:tcPr>
            <w:tcW w:w="306" w:type="pct"/>
            <w:textDirection w:val="tbRl"/>
            <w:vAlign w:val="center"/>
          </w:tcPr>
          <w:p w14:paraId="1225863F" w14:textId="77777777" w:rsidR="00074551" w:rsidRPr="00E50B51" w:rsidRDefault="00074551" w:rsidP="00367133">
            <w:pPr>
              <w:ind w:left="113" w:right="113"/>
              <w:jc w:val="both"/>
              <w:rPr>
                <w:sz w:val="20"/>
                <w:szCs w:val="20"/>
              </w:rPr>
            </w:pPr>
            <w:r w:rsidRPr="00E50B51">
              <w:rPr>
                <w:sz w:val="20"/>
                <w:szCs w:val="20"/>
              </w:rPr>
              <w:t>7. Juni 1926</w:t>
            </w:r>
          </w:p>
        </w:tc>
        <w:tc>
          <w:tcPr>
            <w:tcW w:w="401" w:type="pct"/>
          </w:tcPr>
          <w:p w14:paraId="449BC77F"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27413E36" w14:textId="77777777" w:rsidR="00074551" w:rsidRPr="00E50B51" w:rsidRDefault="00074551" w:rsidP="00367133">
            <w:pPr>
              <w:jc w:val="both"/>
              <w:rPr>
                <w:sz w:val="20"/>
                <w:szCs w:val="20"/>
              </w:rPr>
            </w:pPr>
            <w:r w:rsidRPr="00E50B51">
              <w:rPr>
                <w:sz w:val="20"/>
                <w:szCs w:val="20"/>
              </w:rPr>
              <w:t>*</w:t>
            </w:r>
          </w:p>
        </w:tc>
        <w:tc>
          <w:tcPr>
            <w:tcW w:w="1822" w:type="pct"/>
          </w:tcPr>
          <w:p w14:paraId="0CFC66C0" w14:textId="478FBF8B" w:rsidR="00074551" w:rsidRDefault="00074551" w:rsidP="00367133">
            <w:pPr>
              <w:jc w:val="both"/>
              <w:rPr>
                <w:sz w:val="20"/>
                <w:szCs w:val="20"/>
              </w:rPr>
            </w:pPr>
            <w:r w:rsidRPr="00810879">
              <w:rPr>
                <w:sz w:val="20"/>
                <w:szCs w:val="20"/>
              </w:rPr>
              <w:t xml:space="preserve">In </w:t>
            </w:r>
            <w:proofErr w:type="spellStart"/>
            <w:r w:rsidRPr="5B67C1D2">
              <w:rPr>
                <w:i/>
                <w:iCs/>
                <w:sz w:val="20"/>
                <w:szCs w:val="20"/>
              </w:rPr>
              <w:t>Yu</w:t>
            </w:r>
            <w:proofErr w:type="spellEnd"/>
            <w:r w:rsidRPr="5B67C1D2">
              <w:rPr>
                <w:i/>
                <w:iCs/>
                <w:sz w:val="20"/>
                <w:szCs w:val="20"/>
              </w:rPr>
              <w:t xml:space="preserve"> Cong Eng v. Trinidad</w:t>
            </w:r>
            <w:r w:rsidRPr="00810879">
              <w:rPr>
                <w:sz w:val="20"/>
                <w:szCs w:val="20"/>
                <w:vertAlign w:val="superscript"/>
              </w:rPr>
              <w:footnoteReference w:id="1168"/>
            </w:r>
            <w:r w:rsidRPr="00810879">
              <w:rPr>
                <w:sz w:val="20"/>
                <w:szCs w:val="20"/>
              </w:rPr>
              <w:t xml:space="preserve"> setzte der </w:t>
            </w:r>
            <w:r>
              <w:rPr>
                <w:sz w:val="20"/>
                <w:szCs w:val="20"/>
              </w:rPr>
              <w:t>U.S. Supreme Court</w:t>
            </w:r>
            <w:r w:rsidRPr="00810879">
              <w:rPr>
                <w:sz w:val="20"/>
                <w:szCs w:val="20"/>
              </w:rPr>
              <w:t xml:space="preserve"> abermals den Maßstab fest, wie weit die Bedingungen für ein Streben nach Glück eingeschränkt werden können – oder </w:t>
            </w:r>
            <w:r>
              <w:rPr>
                <w:sz w:val="20"/>
                <w:szCs w:val="20"/>
              </w:rPr>
              <w:t xml:space="preserve">eben </w:t>
            </w:r>
            <w:r w:rsidRPr="00810879">
              <w:rPr>
                <w:sz w:val="20"/>
                <w:szCs w:val="20"/>
              </w:rPr>
              <w:t xml:space="preserve">nicht. </w:t>
            </w:r>
            <w:r>
              <w:rPr>
                <w:sz w:val="20"/>
                <w:szCs w:val="20"/>
              </w:rPr>
              <w:t xml:space="preserve">Dies ergibt </w:t>
            </w:r>
            <w:r w:rsidRPr="00810879">
              <w:rPr>
                <w:sz w:val="20"/>
                <w:szCs w:val="20"/>
              </w:rPr>
              <w:t xml:space="preserve">sich </w:t>
            </w:r>
            <w:r>
              <w:rPr>
                <w:sz w:val="20"/>
                <w:szCs w:val="20"/>
              </w:rPr>
              <w:t>z.B.</w:t>
            </w:r>
            <w:r w:rsidRPr="00810879">
              <w:rPr>
                <w:sz w:val="20"/>
                <w:szCs w:val="20"/>
              </w:rPr>
              <w:t xml:space="preserve"> anhand der Abwägung zwischen öffentlichem Interesse („</w:t>
            </w:r>
            <w:proofErr w:type="spellStart"/>
            <w:r w:rsidRPr="5B67C1D2">
              <w:rPr>
                <w:sz w:val="20"/>
                <w:szCs w:val="20"/>
              </w:rPr>
              <w:t>public</w:t>
            </w:r>
            <w:proofErr w:type="spellEnd"/>
            <w:r w:rsidRPr="5B67C1D2">
              <w:rPr>
                <w:sz w:val="20"/>
                <w:szCs w:val="20"/>
              </w:rPr>
              <w:t xml:space="preserve"> </w:t>
            </w:r>
            <w:proofErr w:type="spellStart"/>
            <w:r w:rsidRPr="5B67C1D2">
              <w:rPr>
                <w:sz w:val="20"/>
                <w:szCs w:val="20"/>
              </w:rPr>
              <w:t>interest</w:t>
            </w:r>
            <w:proofErr w:type="spellEnd"/>
            <w:r w:rsidRPr="5B67C1D2">
              <w:rPr>
                <w:sz w:val="20"/>
                <w:szCs w:val="20"/>
              </w:rPr>
              <w:t>“</w:t>
            </w:r>
            <w:r w:rsidRPr="00810879">
              <w:rPr>
                <w:sz w:val="20"/>
                <w:szCs w:val="20"/>
                <w:vertAlign w:val="superscript"/>
              </w:rPr>
              <w:footnoteReference w:id="1169"/>
            </w:r>
            <w:r w:rsidRPr="00810879">
              <w:rPr>
                <w:sz w:val="20"/>
                <w:szCs w:val="20"/>
              </w:rPr>
              <w:t>), ausgedrückt in der Missbrauchsgefahr („</w:t>
            </w:r>
            <w:proofErr w:type="spellStart"/>
            <w:r w:rsidRPr="5B67C1D2">
              <w:rPr>
                <w:sz w:val="20"/>
                <w:szCs w:val="20"/>
              </w:rPr>
              <w:t>abuses</w:t>
            </w:r>
            <w:proofErr w:type="spellEnd"/>
            <w:r w:rsidRPr="5B67C1D2">
              <w:rPr>
                <w:sz w:val="20"/>
                <w:szCs w:val="20"/>
              </w:rPr>
              <w:t>“</w:t>
            </w:r>
            <w:r w:rsidRPr="00810879">
              <w:rPr>
                <w:sz w:val="20"/>
                <w:szCs w:val="20"/>
                <w:vertAlign w:val="superscript"/>
              </w:rPr>
              <w:footnoteReference w:id="1170"/>
            </w:r>
            <w:r w:rsidRPr="00810879">
              <w:rPr>
                <w:sz w:val="20"/>
                <w:szCs w:val="20"/>
              </w:rPr>
              <w:t xml:space="preserve">), auf der einen Seite und </w:t>
            </w:r>
            <w:r>
              <w:rPr>
                <w:sz w:val="20"/>
                <w:szCs w:val="20"/>
              </w:rPr>
              <w:t>z.B.</w:t>
            </w:r>
            <w:r w:rsidRPr="00810879">
              <w:rPr>
                <w:sz w:val="20"/>
                <w:szCs w:val="20"/>
              </w:rPr>
              <w:t xml:space="preserve"> der Berufsausübungsfreiheit („</w:t>
            </w:r>
            <w:proofErr w:type="spellStart"/>
            <w:r w:rsidRPr="5B67C1D2">
              <w:rPr>
                <w:sz w:val="20"/>
                <w:szCs w:val="20"/>
              </w:rPr>
              <w:t>right</w:t>
            </w:r>
            <w:proofErr w:type="spellEnd"/>
            <w:r w:rsidRPr="5B67C1D2">
              <w:rPr>
                <w:sz w:val="20"/>
                <w:szCs w:val="20"/>
              </w:rPr>
              <w:t xml:space="preserve"> to follow a </w:t>
            </w:r>
            <w:proofErr w:type="spellStart"/>
            <w:r w:rsidRPr="5B67C1D2">
              <w:rPr>
                <w:sz w:val="20"/>
                <w:szCs w:val="20"/>
              </w:rPr>
              <w:t>distinctly</w:t>
            </w:r>
            <w:proofErr w:type="spellEnd"/>
            <w:r w:rsidRPr="5B67C1D2">
              <w:rPr>
                <w:sz w:val="20"/>
                <w:szCs w:val="20"/>
              </w:rPr>
              <w:t xml:space="preserve"> </w:t>
            </w:r>
            <w:proofErr w:type="spellStart"/>
            <w:r w:rsidRPr="5B67C1D2">
              <w:rPr>
                <w:sz w:val="20"/>
                <w:szCs w:val="20"/>
              </w:rPr>
              <w:t>useful</w:t>
            </w:r>
            <w:proofErr w:type="spellEnd"/>
            <w:r w:rsidRPr="5B67C1D2">
              <w:rPr>
                <w:sz w:val="20"/>
                <w:szCs w:val="20"/>
              </w:rPr>
              <w:t xml:space="preserve"> </w:t>
            </w:r>
            <w:proofErr w:type="spellStart"/>
            <w:r w:rsidRPr="5B67C1D2">
              <w:rPr>
                <w:sz w:val="20"/>
                <w:szCs w:val="20"/>
              </w:rPr>
              <w:t>calling</w:t>
            </w:r>
            <w:proofErr w:type="spellEnd"/>
            <w:r w:rsidRPr="5B67C1D2">
              <w:rPr>
                <w:sz w:val="20"/>
                <w:szCs w:val="20"/>
              </w:rPr>
              <w:t>“</w:t>
            </w:r>
            <w:r w:rsidRPr="00810879">
              <w:rPr>
                <w:sz w:val="20"/>
                <w:szCs w:val="20"/>
                <w:vertAlign w:val="superscript"/>
              </w:rPr>
              <w:footnoteReference w:id="1171"/>
            </w:r>
            <w:r w:rsidRPr="00810879">
              <w:rPr>
                <w:sz w:val="20"/>
                <w:szCs w:val="20"/>
              </w:rPr>
              <w:t>) auf der anderen Seite. Eine Einschränkung durch Abwägung statt</w:t>
            </w:r>
            <w:r w:rsidR="6D552738" w:rsidRPr="5B67C1D2">
              <w:rPr>
                <w:sz w:val="20"/>
                <w:szCs w:val="20"/>
              </w:rPr>
              <w:t xml:space="preserve"> alleinig</w:t>
            </w:r>
            <w:r w:rsidRPr="5B67C1D2">
              <w:rPr>
                <w:sz w:val="20"/>
                <w:szCs w:val="20"/>
              </w:rPr>
              <w:t xml:space="preserve"> durch</w:t>
            </w:r>
            <w:r w:rsidR="7FD37B35" w:rsidRPr="5B67C1D2">
              <w:rPr>
                <w:sz w:val="20"/>
                <w:szCs w:val="20"/>
              </w:rPr>
              <w:t xml:space="preserve"> die </w:t>
            </w:r>
            <w:r w:rsidR="4DEB7C12" w:rsidRPr="5B67C1D2">
              <w:rPr>
                <w:sz w:val="20"/>
                <w:szCs w:val="20"/>
              </w:rPr>
              <w:t xml:space="preserve">schlichte </w:t>
            </w:r>
            <w:r w:rsidR="7FD37B35" w:rsidRPr="5B67C1D2">
              <w:rPr>
                <w:sz w:val="20"/>
                <w:szCs w:val="20"/>
              </w:rPr>
              <w:t>Angabe eines</w:t>
            </w:r>
            <w:r w:rsidRPr="5B67C1D2">
              <w:rPr>
                <w:sz w:val="20"/>
                <w:szCs w:val="20"/>
              </w:rPr>
              <w:t xml:space="preserve"> sachlichen Grund</w:t>
            </w:r>
            <w:r w:rsidR="0F59F6BF" w:rsidRPr="5B67C1D2">
              <w:rPr>
                <w:sz w:val="20"/>
                <w:szCs w:val="20"/>
              </w:rPr>
              <w:t>es</w:t>
            </w:r>
            <w:r w:rsidRPr="5B67C1D2">
              <w:rPr>
                <w:sz w:val="20"/>
                <w:szCs w:val="20"/>
              </w:rPr>
              <w:t xml:space="preserve">. </w:t>
            </w:r>
          </w:p>
          <w:p w14:paraId="49FE9204" w14:textId="77777777" w:rsidR="00074551" w:rsidRDefault="00074551" w:rsidP="00367133">
            <w:pPr>
              <w:jc w:val="both"/>
              <w:rPr>
                <w:sz w:val="20"/>
                <w:szCs w:val="20"/>
              </w:rPr>
            </w:pPr>
          </w:p>
          <w:p w14:paraId="46347B1F" w14:textId="0774D967" w:rsidR="00074551" w:rsidRDefault="00074551" w:rsidP="5B67C1D2">
            <w:pPr>
              <w:spacing w:line="259" w:lineRule="auto"/>
              <w:jc w:val="both"/>
              <w:rPr>
                <w:sz w:val="20"/>
                <w:szCs w:val="20"/>
              </w:rPr>
            </w:pPr>
            <w:r w:rsidRPr="00810879">
              <w:rPr>
                <w:sz w:val="20"/>
                <w:szCs w:val="20"/>
              </w:rPr>
              <w:t xml:space="preserve">Der Schutz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richte sich auch nach den Bedingungen aus, die wesentlich für das geordnete Streben freier Menschen nach Glück </w:t>
            </w:r>
            <w:r>
              <w:rPr>
                <w:sz w:val="20"/>
                <w:szCs w:val="20"/>
              </w:rPr>
              <w:t>seien</w:t>
            </w:r>
            <w:r w:rsidRPr="00810879">
              <w:rPr>
                <w:sz w:val="20"/>
                <w:szCs w:val="20"/>
              </w:rPr>
              <w:t>. Für diese Bedingungen stell</w:t>
            </w:r>
            <w:r>
              <w:rPr>
                <w:sz w:val="20"/>
                <w:szCs w:val="20"/>
              </w:rPr>
              <w:t>e</w:t>
            </w:r>
            <w:r w:rsidRPr="00810879">
              <w:rPr>
                <w:sz w:val="20"/>
                <w:szCs w:val="20"/>
              </w:rPr>
              <w:t xml:space="preserve"> sich die folgende Frage zu einem Gesetz, welches </w:t>
            </w:r>
            <w:r>
              <w:rPr>
                <w:sz w:val="20"/>
                <w:szCs w:val="20"/>
              </w:rPr>
              <w:t>z.B.</w:t>
            </w:r>
            <w:r w:rsidRPr="00810879">
              <w:rPr>
                <w:sz w:val="20"/>
                <w:szCs w:val="20"/>
              </w:rPr>
              <w:t xml:space="preserve"> eine Buchführung nur auf Englisch, Spanisch oder Tagalog erlaubte, nicht jedoch in chinesischer Sprache:</w:t>
            </w:r>
            <w:r w:rsidRPr="00810879">
              <w:rPr>
                <w:sz w:val="20"/>
                <w:szCs w:val="20"/>
                <w:vertAlign w:val="superscript"/>
              </w:rPr>
              <w:footnoteReference w:id="1172"/>
            </w:r>
            <w:r w:rsidRPr="00810879">
              <w:rPr>
                <w:sz w:val="20"/>
                <w:szCs w:val="20"/>
              </w:rPr>
              <w:t> </w:t>
            </w:r>
            <w:proofErr w:type="gramStart"/>
            <w:r w:rsidRPr="00810879">
              <w:rPr>
                <w:sz w:val="20"/>
                <w:szCs w:val="20"/>
              </w:rPr>
              <w:t>Handelt</w:t>
            </w:r>
            <w:proofErr w:type="gramEnd"/>
            <w:r w:rsidRPr="00810879">
              <w:rPr>
                <w:sz w:val="20"/>
                <w:szCs w:val="20"/>
              </w:rPr>
              <w:t xml:space="preserve"> es sich bei dem Gesetz noch um pflichtgemäßes Ermessen („</w:t>
            </w:r>
            <w:proofErr w:type="spellStart"/>
            <w:r w:rsidRPr="5B67C1D2">
              <w:rPr>
                <w:sz w:val="20"/>
                <w:szCs w:val="20"/>
              </w:rPr>
              <w:t>reasonable</w:t>
            </w:r>
            <w:proofErr w:type="spellEnd"/>
            <w:r w:rsidRPr="5B67C1D2">
              <w:rPr>
                <w:sz w:val="20"/>
                <w:szCs w:val="20"/>
              </w:rPr>
              <w:t xml:space="preserve"> </w:t>
            </w:r>
            <w:proofErr w:type="spellStart"/>
            <w:r w:rsidRPr="5B67C1D2">
              <w:rPr>
                <w:sz w:val="20"/>
                <w:szCs w:val="20"/>
              </w:rPr>
              <w:t>discretion</w:t>
            </w:r>
            <w:proofErr w:type="spellEnd"/>
            <w:r w:rsidRPr="5B67C1D2">
              <w:rPr>
                <w:sz w:val="20"/>
                <w:szCs w:val="20"/>
              </w:rPr>
              <w:t>“</w:t>
            </w:r>
            <w:r w:rsidRPr="00810879">
              <w:rPr>
                <w:sz w:val="20"/>
                <w:szCs w:val="20"/>
                <w:vertAlign w:val="superscript"/>
              </w:rPr>
              <w:footnoteReference w:id="1173"/>
            </w:r>
            <w:r w:rsidRPr="00810879">
              <w:rPr>
                <w:sz w:val="20"/>
                <w:szCs w:val="20"/>
              </w:rPr>
              <w:t xml:space="preserve">) als Polizeihoheit („proper </w:t>
            </w:r>
            <w:proofErr w:type="spellStart"/>
            <w:r w:rsidRPr="5B67C1D2">
              <w:rPr>
                <w:sz w:val="20"/>
                <w:szCs w:val="20"/>
              </w:rPr>
              <w:t>exercise</w:t>
            </w:r>
            <w:proofErr w:type="spellEnd"/>
            <w:r w:rsidRPr="5B67C1D2">
              <w:rPr>
                <w:sz w:val="20"/>
                <w:szCs w:val="20"/>
              </w:rPr>
              <w:t xml:space="preserve"> of </w:t>
            </w:r>
            <w:proofErr w:type="spellStart"/>
            <w:r w:rsidRPr="5B67C1D2">
              <w:rPr>
                <w:sz w:val="20"/>
                <w:szCs w:val="20"/>
              </w:rPr>
              <w:t>police</w:t>
            </w:r>
            <w:proofErr w:type="spellEnd"/>
            <w:r w:rsidRPr="5B67C1D2">
              <w:rPr>
                <w:sz w:val="20"/>
                <w:szCs w:val="20"/>
              </w:rPr>
              <w:t xml:space="preserve"> power“</w:t>
            </w:r>
            <w:r w:rsidRPr="00810879">
              <w:rPr>
                <w:sz w:val="20"/>
                <w:szCs w:val="20"/>
                <w:vertAlign w:val="superscript"/>
              </w:rPr>
              <w:footnoteReference w:id="1174"/>
            </w:r>
            <w:r w:rsidRPr="00810879">
              <w:rPr>
                <w:sz w:val="20"/>
                <w:szCs w:val="20"/>
              </w:rPr>
              <w:t>) oder schon um pflichtwidrige Diskriminierung („</w:t>
            </w:r>
            <w:proofErr w:type="spellStart"/>
            <w:r w:rsidRPr="5B67C1D2">
              <w:rPr>
                <w:sz w:val="20"/>
                <w:szCs w:val="20"/>
              </w:rPr>
              <w:t>unjust</w:t>
            </w:r>
            <w:proofErr w:type="spellEnd"/>
            <w:r w:rsidRPr="5B67C1D2">
              <w:rPr>
                <w:sz w:val="20"/>
                <w:szCs w:val="20"/>
              </w:rPr>
              <w:t xml:space="preserve"> </w:t>
            </w:r>
            <w:proofErr w:type="spellStart"/>
            <w:r w:rsidRPr="5B67C1D2">
              <w:rPr>
                <w:sz w:val="20"/>
                <w:szCs w:val="20"/>
              </w:rPr>
              <w:t>discrimination</w:t>
            </w:r>
            <w:proofErr w:type="spellEnd"/>
            <w:r w:rsidRPr="5B67C1D2">
              <w:rPr>
                <w:sz w:val="20"/>
                <w:szCs w:val="20"/>
              </w:rPr>
              <w:t>“</w:t>
            </w:r>
            <w:r w:rsidRPr="00810879">
              <w:rPr>
                <w:sz w:val="20"/>
                <w:szCs w:val="20"/>
                <w:vertAlign w:val="superscript"/>
              </w:rPr>
              <w:footnoteReference w:id="1175"/>
            </w:r>
            <w:r w:rsidRPr="00810879">
              <w:rPr>
                <w:sz w:val="20"/>
                <w:szCs w:val="20"/>
              </w:rPr>
              <w:t>) als Willkür („</w:t>
            </w:r>
            <w:proofErr w:type="spellStart"/>
            <w:r w:rsidRPr="5B67C1D2">
              <w:rPr>
                <w:sz w:val="20"/>
                <w:szCs w:val="20"/>
              </w:rPr>
              <w:t>arbitrary</w:t>
            </w:r>
            <w:proofErr w:type="spellEnd"/>
            <w:r w:rsidRPr="5B67C1D2">
              <w:rPr>
                <w:sz w:val="20"/>
                <w:szCs w:val="20"/>
              </w:rPr>
              <w:t xml:space="preserve"> </w:t>
            </w:r>
            <w:proofErr w:type="spellStart"/>
            <w:r w:rsidRPr="5B67C1D2">
              <w:rPr>
                <w:sz w:val="20"/>
                <w:szCs w:val="20"/>
              </w:rPr>
              <w:t>or</w:t>
            </w:r>
            <w:proofErr w:type="spellEnd"/>
            <w:r w:rsidRPr="5B67C1D2">
              <w:rPr>
                <w:sz w:val="20"/>
                <w:szCs w:val="20"/>
              </w:rPr>
              <w:t xml:space="preserve"> </w:t>
            </w:r>
            <w:proofErr w:type="spellStart"/>
            <w:r w:rsidRPr="5B67C1D2">
              <w:rPr>
                <w:sz w:val="20"/>
                <w:szCs w:val="20"/>
              </w:rPr>
              <w:t>without</w:t>
            </w:r>
            <w:proofErr w:type="spellEnd"/>
            <w:r w:rsidRPr="5B67C1D2">
              <w:rPr>
                <w:sz w:val="20"/>
                <w:szCs w:val="20"/>
              </w:rPr>
              <w:t xml:space="preserve"> </w:t>
            </w:r>
            <w:proofErr w:type="spellStart"/>
            <w:r w:rsidRPr="5B67C1D2">
              <w:rPr>
                <w:sz w:val="20"/>
                <w:szCs w:val="20"/>
              </w:rPr>
              <w:t>reasonable</w:t>
            </w:r>
            <w:proofErr w:type="spellEnd"/>
            <w:r w:rsidRPr="5B67C1D2">
              <w:rPr>
                <w:sz w:val="20"/>
                <w:szCs w:val="20"/>
              </w:rPr>
              <w:t xml:space="preserve"> </w:t>
            </w:r>
            <w:proofErr w:type="spellStart"/>
            <w:r w:rsidRPr="5B67C1D2">
              <w:rPr>
                <w:sz w:val="20"/>
                <w:szCs w:val="20"/>
              </w:rPr>
              <w:t>relation</w:t>
            </w:r>
            <w:proofErr w:type="spellEnd"/>
            <w:r w:rsidRPr="5B67C1D2">
              <w:rPr>
                <w:sz w:val="20"/>
                <w:szCs w:val="20"/>
              </w:rPr>
              <w:t xml:space="preserve"> to </w:t>
            </w:r>
            <w:proofErr w:type="spellStart"/>
            <w:r w:rsidRPr="5B67C1D2">
              <w:rPr>
                <w:sz w:val="20"/>
                <w:szCs w:val="20"/>
              </w:rPr>
              <w:t>some</w:t>
            </w:r>
            <w:proofErr w:type="spellEnd"/>
            <w:r w:rsidRPr="5B67C1D2">
              <w:rPr>
                <w:sz w:val="20"/>
                <w:szCs w:val="20"/>
              </w:rPr>
              <w:t xml:space="preserve"> </w:t>
            </w:r>
            <w:proofErr w:type="spellStart"/>
            <w:r w:rsidRPr="5B67C1D2">
              <w:rPr>
                <w:sz w:val="20"/>
                <w:szCs w:val="20"/>
              </w:rPr>
              <w:t>purpose</w:t>
            </w:r>
            <w:proofErr w:type="spellEnd"/>
            <w:r w:rsidRPr="5B67C1D2">
              <w:rPr>
                <w:sz w:val="20"/>
                <w:szCs w:val="20"/>
              </w:rPr>
              <w:t>“</w:t>
            </w:r>
            <w:r w:rsidRPr="00810879">
              <w:rPr>
                <w:sz w:val="20"/>
                <w:szCs w:val="20"/>
                <w:vertAlign w:val="superscript"/>
              </w:rPr>
              <w:footnoteReference w:id="1176"/>
            </w:r>
            <w:r w:rsidRPr="00810879">
              <w:rPr>
                <w:sz w:val="20"/>
                <w:szCs w:val="20"/>
              </w:rPr>
              <w:t>)? Um das zu beurteilen, bestätigt</w:t>
            </w:r>
            <w:r>
              <w:rPr>
                <w:sz w:val="20"/>
                <w:szCs w:val="20"/>
              </w:rPr>
              <w:t>e</w:t>
            </w:r>
            <w:r w:rsidRPr="00810879">
              <w:rPr>
                <w:sz w:val="20"/>
                <w:szCs w:val="20"/>
              </w:rPr>
              <w:t xml:space="preserve"> der </w:t>
            </w:r>
            <w:r>
              <w:rPr>
                <w:sz w:val="20"/>
                <w:szCs w:val="20"/>
              </w:rPr>
              <w:t>U.S. Supreme Court</w:t>
            </w:r>
            <w:r w:rsidRPr="00810879">
              <w:rPr>
                <w:sz w:val="20"/>
                <w:szCs w:val="20"/>
              </w:rPr>
              <w:t xml:space="preserve"> nochmals die Bedingungen für Glück aus </w:t>
            </w:r>
            <w:r w:rsidRPr="5B67C1D2">
              <w:rPr>
                <w:i/>
                <w:iCs/>
                <w:sz w:val="20"/>
                <w:szCs w:val="20"/>
              </w:rPr>
              <w:t>Meyer v. Nebraska</w:t>
            </w:r>
            <w:r w:rsidRPr="00810879">
              <w:rPr>
                <w:sz w:val="20"/>
                <w:szCs w:val="20"/>
                <w:vertAlign w:val="superscript"/>
              </w:rPr>
              <w:footnoteReference w:id="1177"/>
            </w:r>
            <w:r w:rsidRPr="00810879">
              <w:rPr>
                <w:sz w:val="20"/>
                <w:szCs w:val="20"/>
              </w:rPr>
              <w:t xml:space="preserve"> als einen Prüfungsmaßstab. Dieselben Bedingungen </w:t>
            </w:r>
            <w:r>
              <w:rPr>
                <w:sz w:val="20"/>
                <w:szCs w:val="20"/>
              </w:rPr>
              <w:t>hatte</w:t>
            </w:r>
            <w:r w:rsidRPr="00810879">
              <w:rPr>
                <w:sz w:val="20"/>
                <w:szCs w:val="20"/>
              </w:rPr>
              <w:t xml:space="preserve"> der </w:t>
            </w:r>
            <w:r>
              <w:rPr>
                <w:sz w:val="20"/>
                <w:szCs w:val="20"/>
              </w:rPr>
              <w:t>U.S. Supreme Court</w:t>
            </w:r>
            <w:r w:rsidRPr="00810879">
              <w:rPr>
                <w:sz w:val="20"/>
                <w:szCs w:val="20"/>
              </w:rPr>
              <w:t xml:space="preserve"> in </w:t>
            </w:r>
            <w:r w:rsidRPr="5B67C1D2">
              <w:rPr>
                <w:i/>
                <w:iCs/>
                <w:sz w:val="20"/>
                <w:szCs w:val="20"/>
              </w:rPr>
              <w:t>Pierce v. Society of Sisters</w:t>
            </w:r>
            <w:r w:rsidRPr="00810879">
              <w:rPr>
                <w:sz w:val="20"/>
                <w:szCs w:val="20"/>
              </w:rPr>
              <w:t>,</w:t>
            </w:r>
            <w:r w:rsidRPr="00810879">
              <w:rPr>
                <w:sz w:val="20"/>
                <w:szCs w:val="20"/>
                <w:vertAlign w:val="superscript"/>
              </w:rPr>
              <w:footnoteReference w:id="1178"/>
            </w:r>
            <w:r w:rsidRPr="00810879">
              <w:rPr>
                <w:sz w:val="20"/>
                <w:szCs w:val="20"/>
              </w:rPr>
              <w:t xml:space="preserve"> </w:t>
            </w:r>
            <w:r w:rsidRPr="5B67C1D2">
              <w:rPr>
                <w:i/>
                <w:iCs/>
                <w:sz w:val="20"/>
                <w:szCs w:val="20"/>
              </w:rPr>
              <w:t>Truax v. Raich</w:t>
            </w:r>
            <w:r w:rsidRPr="00810879">
              <w:rPr>
                <w:sz w:val="20"/>
                <w:szCs w:val="20"/>
                <w:vertAlign w:val="superscript"/>
              </w:rPr>
              <w:footnoteReference w:id="1179"/>
            </w:r>
            <w:r w:rsidRPr="00810879">
              <w:rPr>
                <w:sz w:val="20"/>
                <w:szCs w:val="20"/>
              </w:rPr>
              <w:t xml:space="preserve"> und </w:t>
            </w:r>
            <w:r w:rsidRPr="5B67C1D2">
              <w:rPr>
                <w:i/>
                <w:iCs/>
                <w:sz w:val="20"/>
                <w:szCs w:val="20"/>
              </w:rPr>
              <w:t>Adams v. Tanner</w:t>
            </w:r>
            <w:r w:rsidRPr="00810879">
              <w:rPr>
                <w:sz w:val="20"/>
                <w:szCs w:val="20"/>
                <w:vertAlign w:val="superscript"/>
              </w:rPr>
              <w:footnoteReference w:id="1180"/>
            </w:r>
            <w:r>
              <w:rPr>
                <w:sz w:val="20"/>
                <w:szCs w:val="20"/>
              </w:rPr>
              <w:t xml:space="preserve"> wiederholt,</w:t>
            </w:r>
            <w:r w:rsidRPr="00810879">
              <w:rPr>
                <w:sz w:val="20"/>
                <w:szCs w:val="20"/>
              </w:rPr>
              <w:t xml:space="preserve"> worauf er in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810879">
              <w:rPr>
                <w:sz w:val="20"/>
                <w:szCs w:val="20"/>
              </w:rPr>
              <w:t xml:space="preserve"> verwies. Nach den Rechtsprechungen und im Fall zum obigen Gesetz sei das öffentliche Interesse („</w:t>
            </w:r>
            <w:proofErr w:type="spellStart"/>
            <w:r w:rsidRPr="5B67C1D2">
              <w:rPr>
                <w:sz w:val="20"/>
                <w:szCs w:val="20"/>
              </w:rPr>
              <w:t>public</w:t>
            </w:r>
            <w:proofErr w:type="spellEnd"/>
            <w:r w:rsidRPr="5B67C1D2">
              <w:rPr>
                <w:sz w:val="20"/>
                <w:szCs w:val="20"/>
              </w:rPr>
              <w:t xml:space="preserve"> </w:t>
            </w:r>
            <w:proofErr w:type="spellStart"/>
            <w:r w:rsidRPr="5B67C1D2">
              <w:rPr>
                <w:sz w:val="20"/>
                <w:szCs w:val="20"/>
              </w:rPr>
              <w:t>interest</w:t>
            </w:r>
            <w:proofErr w:type="spellEnd"/>
            <w:r w:rsidRPr="5B67C1D2">
              <w:rPr>
                <w:sz w:val="20"/>
                <w:szCs w:val="20"/>
              </w:rPr>
              <w:t>“</w:t>
            </w:r>
            <w:r w:rsidRPr="00810879">
              <w:rPr>
                <w:sz w:val="20"/>
                <w:szCs w:val="20"/>
                <w:vertAlign w:val="superscript"/>
              </w:rPr>
              <w:footnoteReference w:id="1181"/>
            </w:r>
            <w:r w:rsidRPr="00810879">
              <w:rPr>
                <w:sz w:val="20"/>
                <w:szCs w:val="20"/>
              </w:rPr>
              <w:t>) in Form einer potenziellen Missbrauchsgefahr („</w:t>
            </w:r>
            <w:proofErr w:type="spellStart"/>
            <w:r w:rsidRPr="5B67C1D2">
              <w:rPr>
                <w:sz w:val="20"/>
                <w:szCs w:val="20"/>
              </w:rPr>
              <w:t>abuses</w:t>
            </w:r>
            <w:proofErr w:type="spellEnd"/>
            <w:r w:rsidRPr="5B67C1D2">
              <w:rPr>
                <w:sz w:val="20"/>
                <w:szCs w:val="20"/>
              </w:rPr>
              <w:t>“</w:t>
            </w:r>
            <w:r w:rsidRPr="00810879">
              <w:rPr>
                <w:sz w:val="20"/>
                <w:szCs w:val="20"/>
                <w:vertAlign w:val="superscript"/>
              </w:rPr>
              <w:footnoteReference w:id="1182"/>
            </w:r>
            <w:r w:rsidRPr="00810879">
              <w:rPr>
                <w:sz w:val="20"/>
                <w:szCs w:val="20"/>
              </w:rPr>
              <w:t>) auf der einen Seite mit der Berufsausübungsfreiheit auf der anderen Seite („</w:t>
            </w:r>
            <w:proofErr w:type="spellStart"/>
            <w:r w:rsidRPr="5B67C1D2">
              <w:rPr>
                <w:sz w:val="20"/>
                <w:szCs w:val="20"/>
              </w:rPr>
              <w:t>right</w:t>
            </w:r>
            <w:proofErr w:type="spellEnd"/>
            <w:r w:rsidRPr="5B67C1D2">
              <w:rPr>
                <w:sz w:val="20"/>
                <w:szCs w:val="20"/>
              </w:rPr>
              <w:t xml:space="preserve"> to follow a </w:t>
            </w:r>
            <w:proofErr w:type="spellStart"/>
            <w:r w:rsidRPr="5B67C1D2">
              <w:rPr>
                <w:sz w:val="20"/>
                <w:szCs w:val="20"/>
              </w:rPr>
              <w:t>distinctly</w:t>
            </w:r>
            <w:proofErr w:type="spellEnd"/>
            <w:r w:rsidRPr="5B67C1D2">
              <w:rPr>
                <w:sz w:val="20"/>
                <w:szCs w:val="20"/>
              </w:rPr>
              <w:t xml:space="preserve"> </w:t>
            </w:r>
            <w:proofErr w:type="spellStart"/>
            <w:r w:rsidRPr="5B67C1D2">
              <w:rPr>
                <w:sz w:val="20"/>
                <w:szCs w:val="20"/>
              </w:rPr>
              <w:t>useful</w:t>
            </w:r>
            <w:proofErr w:type="spellEnd"/>
            <w:r w:rsidRPr="5B67C1D2">
              <w:rPr>
                <w:sz w:val="20"/>
                <w:szCs w:val="20"/>
              </w:rPr>
              <w:t xml:space="preserve"> </w:t>
            </w:r>
            <w:proofErr w:type="spellStart"/>
            <w:r w:rsidRPr="00810879">
              <w:rPr>
                <w:sz w:val="20"/>
                <w:szCs w:val="20"/>
              </w:rPr>
              <w:t>calling</w:t>
            </w:r>
            <w:proofErr w:type="spellEnd"/>
            <w:r w:rsidRPr="5B67C1D2">
              <w:rPr>
                <w:sz w:val="20"/>
                <w:szCs w:val="20"/>
              </w:rPr>
              <w:t>“</w:t>
            </w:r>
            <w:r>
              <w:rPr>
                <w:rStyle w:val="Funotenzeichen"/>
                <w:sz w:val="20"/>
                <w:szCs w:val="20"/>
              </w:rPr>
              <w:footnoteReference w:id="1183"/>
            </w:r>
            <w:r w:rsidRPr="00810879">
              <w:rPr>
                <w:sz w:val="20"/>
                <w:szCs w:val="20"/>
              </w:rPr>
              <w:t xml:space="preserve">) abzuwägen. Um diese fundamentale Garantie („fundamental </w:t>
            </w:r>
            <w:proofErr w:type="spellStart"/>
            <w:r w:rsidRPr="5B67C1D2">
              <w:rPr>
                <w:sz w:val="20"/>
                <w:szCs w:val="20"/>
              </w:rPr>
              <w:t>guaranties</w:t>
            </w:r>
            <w:proofErr w:type="spellEnd"/>
            <w:r w:rsidRPr="5B67C1D2">
              <w:rPr>
                <w:sz w:val="20"/>
                <w:szCs w:val="20"/>
              </w:rPr>
              <w:t>“</w:t>
            </w:r>
            <w:r w:rsidRPr="00810879">
              <w:rPr>
                <w:sz w:val="20"/>
                <w:szCs w:val="20"/>
                <w:vertAlign w:val="superscript"/>
              </w:rPr>
              <w:footnoteReference w:id="1184"/>
            </w:r>
            <w:r w:rsidRPr="00810879">
              <w:rPr>
                <w:sz w:val="20"/>
                <w:szCs w:val="20"/>
              </w:rPr>
              <w:t xml:space="preserve">) bzw. die Bedingungen für Glücksstreben einzuschränken, reiche </w:t>
            </w:r>
            <w:r w:rsidR="0D9888B7" w:rsidRPr="5B67C1D2">
              <w:rPr>
                <w:sz w:val="20"/>
                <w:szCs w:val="20"/>
              </w:rPr>
              <w:t>nicht die alleinige Angabe eines</w:t>
            </w:r>
            <w:r w:rsidRPr="5B67C1D2">
              <w:rPr>
                <w:sz w:val="20"/>
                <w:szCs w:val="20"/>
              </w:rPr>
              <w:t xml:space="preserve"> sachliche</w:t>
            </w:r>
            <w:r w:rsidR="445E8FCF" w:rsidRPr="5B67C1D2">
              <w:rPr>
                <w:sz w:val="20"/>
                <w:szCs w:val="20"/>
              </w:rPr>
              <w:t>n</w:t>
            </w:r>
            <w:r w:rsidRPr="5B67C1D2">
              <w:rPr>
                <w:sz w:val="20"/>
                <w:szCs w:val="20"/>
              </w:rPr>
              <w:t xml:space="preserve"> Grund</w:t>
            </w:r>
            <w:r w:rsidR="57FCAE44" w:rsidRPr="5B67C1D2">
              <w:rPr>
                <w:sz w:val="20"/>
                <w:szCs w:val="20"/>
              </w:rPr>
              <w:t>es</w:t>
            </w:r>
            <w:r w:rsidRPr="5B67C1D2">
              <w:rPr>
                <w:sz w:val="20"/>
                <w:szCs w:val="20"/>
              </w:rPr>
              <w:t xml:space="preserve"> für das Überwiegen des öffentlichen Interesses bzw. der Missbrauchsgefahr („</w:t>
            </w:r>
            <w:proofErr w:type="spellStart"/>
            <w:r w:rsidRPr="5B67C1D2">
              <w:rPr>
                <w:sz w:val="20"/>
                <w:szCs w:val="20"/>
              </w:rPr>
              <w:t>Constitution</w:t>
            </w:r>
            <w:proofErr w:type="spellEnd"/>
            <w:r w:rsidRPr="5B67C1D2">
              <w:rPr>
                <w:sz w:val="20"/>
                <w:szCs w:val="20"/>
              </w:rPr>
              <w:t xml:space="preserve"> </w:t>
            </w:r>
            <w:proofErr w:type="spellStart"/>
            <w:r w:rsidRPr="5B67C1D2">
              <w:rPr>
                <w:sz w:val="20"/>
                <w:szCs w:val="20"/>
              </w:rPr>
              <w:t>can</w:t>
            </w:r>
            <w:proofErr w:type="spellEnd"/>
            <w:r w:rsidRPr="5B67C1D2">
              <w:rPr>
                <w:sz w:val="20"/>
                <w:szCs w:val="20"/>
              </w:rPr>
              <w:t xml:space="preserve"> not </w:t>
            </w:r>
            <w:proofErr w:type="spellStart"/>
            <w:r w:rsidRPr="5B67C1D2">
              <w:rPr>
                <w:sz w:val="20"/>
                <w:szCs w:val="20"/>
              </w:rPr>
              <w:t>be</w:t>
            </w:r>
            <w:proofErr w:type="spellEnd"/>
            <w:r w:rsidRPr="5B67C1D2">
              <w:rPr>
                <w:sz w:val="20"/>
                <w:szCs w:val="20"/>
              </w:rPr>
              <w:t xml:space="preserve"> </w:t>
            </w:r>
            <w:proofErr w:type="spellStart"/>
            <w:r w:rsidRPr="5B67C1D2">
              <w:rPr>
                <w:sz w:val="20"/>
                <w:szCs w:val="20"/>
              </w:rPr>
              <w:t>freely</w:t>
            </w:r>
            <w:proofErr w:type="spellEnd"/>
            <w:r w:rsidRPr="5B67C1D2">
              <w:rPr>
                <w:sz w:val="20"/>
                <w:szCs w:val="20"/>
              </w:rPr>
              <w:t xml:space="preserve"> </w:t>
            </w:r>
            <w:proofErr w:type="spellStart"/>
            <w:r w:rsidRPr="5B67C1D2">
              <w:rPr>
                <w:sz w:val="20"/>
                <w:szCs w:val="20"/>
              </w:rPr>
              <w:t>submerged</w:t>
            </w:r>
            <w:proofErr w:type="spellEnd"/>
            <w:r w:rsidRPr="5B67C1D2">
              <w:rPr>
                <w:sz w:val="20"/>
                <w:szCs w:val="20"/>
              </w:rPr>
              <w:t xml:space="preserve"> </w:t>
            </w:r>
            <w:proofErr w:type="spellStart"/>
            <w:r w:rsidRPr="5B67C1D2">
              <w:rPr>
                <w:sz w:val="20"/>
                <w:szCs w:val="20"/>
              </w:rPr>
              <w:t>if</w:t>
            </w:r>
            <w:proofErr w:type="spellEnd"/>
            <w:r w:rsidRPr="5B67C1D2">
              <w:rPr>
                <w:sz w:val="20"/>
                <w:szCs w:val="20"/>
              </w:rPr>
              <w:t xml:space="preserve"> and </w:t>
            </w:r>
            <w:proofErr w:type="spellStart"/>
            <w:r w:rsidRPr="5B67C1D2">
              <w:rPr>
                <w:sz w:val="20"/>
                <w:szCs w:val="20"/>
              </w:rPr>
              <w:t>whenever</w:t>
            </w:r>
            <w:proofErr w:type="spellEnd"/>
            <w:r w:rsidRPr="5B67C1D2">
              <w:rPr>
                <w:sz w:val="20"/>
                <w:szCs w:val="20"/>
              </w:rPr>
              <w:t xml:space="preserve"> </w:t>
            </w:r>
            <w:proofErr w:type="spellStart"/>
            <w:r w:rsidRPr="5B67C1D2">
              <w:rPr>
                <w:sz w:val="20"/>
                <w:szCs w:val="20"/>
              </w:rPr>
              <w:t>some</w:t>
            </w:r>
            <w:proofErr w:type="spellEnd"/>
            <w:r w:rsidRPr="5B67C1D2">
              <w:rPr>
                <w:sz w:val="20"/>
                <w:szCs w:val="20"/>
              </w:rPr>
              <w:t xml:space="preserve"> ostensible </w:t>
            </w:r>
            <w:proofErr w:type="spellStart"/>
            <w:r w:rsidRPr="5B67C1D2">
              <w:rPr>
                <w:sz w:val="20"/>
                <w:szCs w:val="20"/>
              </w:rPr>
              <w:t>justification</w:t>
            </w:r>
            <w:proofErr w:type="spellEnd"/>
            <w:r w:rsidRPr="5B67C1D2">
              <w:rPr>
                <w:sz w:val="20"/>
                <w:szCs w:val="20"/>
              </w:rPr>
              <w:t xml:space="preserve"> </w:t>
            </w:r>
            <w:proofErr w:type="spellStart"/>
            <w:r w:rsidRPr="5B67C1D2">
              <w:rPr>
                <w:sz w:val="20"/>
                <w:szCs w:val="20"/>
              </w:rPr>
              <w:t>is</w:t>
            </w:r>
            <w:proofErr w:type="spellEnd"/>
            <w:r w:rsidRPr="5B67C1D2">
              <w:rPr>
                <w:sz w:val="20"/>
                <w:szCs w:val="20"/>
              </w:rPr>
              <w:t xml:space="preserve"> </w:t>
            </w:r>
            <w:proofErr w:type="spellStart"/>
            <w:r w:rsidRPr="5B67C1D2">
              <w:rPr>
                <w:sz w:val="20"/>
                <w:szCs w:val="20"/>
              </w:rPr>
              <w:t>advanced</w:t>
            </w:r>
            <w:proofErr w:type="spellEnd"/>
            <w:r w:rsidRPr="5B67C1D2">
              <w:rPr>
                <w:sz w:val="20"/>
                <w:szCs w:val="20"/>
              </w:rPr>
              <w:t>“</w:t>
            </w:r>
            <w:r w:rsidRPr="5B67C1D2">
              <w:rPr>
                <w:sz w:val="20"/>
                <w:szCs w:val="20"/>
                <w:vertAlign w:val="superscript"/>
              </w:rPr>
              <w:footnoteReference w:id="1185"/>
            </w:r>
            <w:r w:rsidRPr="5B67C1D2">
              <w:rPr>
                <w:sz w:val="20"/>
                <w:szCs w:val="20"/>
              </w:rPr>
              <w:t>), vielmehr sei eine Abwägung vonnöten. Denn hier enthalte das Gesetz den chinesischen Mitbürgern eine fundamentale Garantie vor, d.h. etwas Unerlässliches („</w:t>
            </w:r>
            <w:proofErr w:type="spellStart"/>
            <w:r w:rsidRPr="5B67C1D2">
              <w:rPr>
                <w:sz w:val="20"/>
                <w:szCs w:val="20"/>
              </w:rPr>
              <w:t>deprives</w:t>
            </w:r>
            <w:proofErr w:type="spellEnd"/>
            <w:r w:rsidRPr="5B67C1D2">
              <w:rPr>
                <w:sz w:val="20"/>
                <w:szCs w:val="20"/>
              </w:rPr>
              <w:t xml:space="preserve"> </w:t>
            </w:r>
            <w:proofErr w:type="spellStart"/>
            <w:r w:rsidRPr="5B67C1D2">
              <w:rPr>
                <w:sz w:val="20"/>
                <w:szCs w:val="20"/>
              </w:rPr>
              <w:t>them</w:t>
            </w:r>
            <w:proofErr w:type="spellEnd"/>
            <w:r w:rsidRPr="5B67C1D2">
              <w:rPr>
                <w:sz w:val="20"/>
                <w:szCs w:val="20"/>
              </w:rPr>
              <w:t xml:space="preserve"> of </w:t>
            </w:r>
            <w:proofErr w:type="spellStart"/>
            <w:r w:rsidRPr="5B67C1D2">
              <w:rPr>
                <w:sz w:val="20"/>
                <w:szCs w:val="20"/>
              </w:rPr>
              <w:t>something</w:t>
            </w:r>
            <w:proofErr w:type="spellEnd"/>
            <w:r w:rsidRPr="5B67C1D2">
              <w:rPr>
                <w:sz w:val="20"/>
                <w:szCs w:val="20"/>
              </w:rPr>
              <w:t xml:space="preserve"> indispensable“</w:t>
            </w:r>
            <w:r w:rsidRPr="5B67C1D2">
              <w:rPr>
                <w:sz w:val="20"/>
                <w:szCs w:val="20"/>
                <w:vertAlign w:val="superscript"/>
              </w:rPr>
              <w:footnoteReference w:id="1186"/>
            </w:r>
            <w:r w:rsidRPr="5B67C1D2">
              <w:rPr>
                <w:sz w:val="20"/>
                <w:szCs w:val="20"/>
              </w:rPr>
              <w:t>), nämlich: ihre Geschäftsgrundlage und damit ihre Berufsfreiheit auszuüben. Dazu kommt, dass das Gesetz in der Hauptsache chinesische Bürger betreffe („</w:t>
            </w:r>
            <w:proofErr w:type="spellStart"/>
            <w:r w:rsidRPr="5B67C1D2">
              <w:rPr>
                <w:sz w:val="20"/>
                <w:szCs w:val="20"/>
              </w:rPr>
              <w:t>intended</w:t>
            </w:r>
            <w:proofErr w:type="spellEnd"/>
            <w:r w:rsidRPr="5B67C1D2">
              <w:rPr>
                <w:sz w:val="20"/>
                <w:szCs w:val="20"/>
              </w:rPr>
              <w:t xml:space="preserve"> </w:t>
            </w:r>
            <w:proofErr w:type="spellStart"/>
            <w:r w:rsidRPr="5B67C1D2">
              <w:rPr>
                <w:sz w:val="20"/>
                <w:szCs w:val="20"/>
              </w:rPr>
              <w:t>chiefly</w:t>
            </w:r>
            <w:proofErr w:type="spellEnd"/>
            <w:r w:rsidRPr="5B67C1D2">
              <w:rPr>
                <w:sz w:val="20"/>
                <w:szCs w:val="20"/>
              </w:rPr>
              <w:t xml:space="preserve"> to </w:t>
            </w:r>
            <w:proofErr w:type="spellStart"/>
            <w:r w:rsidRPr="5B67C1D2">
              <w:rPr>
                <w:sz w:val="20"/>
                <w:szCs w:val="20"/>
              </w:rPr>
              <w:t>affect</w:t>
            </w:r>
            <w:proofErr w:type="spellEnd"/>
            <w:r w:rsidRPr="5B67C1D2">
              <w:rPr>
                <w:sz w:val="20"/>
                <w:szCs w:val="20"/>
              </w:rPr>
              <w:t xml:space="preserve"> </w:t>
            </w:r>
            <w:proofErr w:type="spellStart"/>
            <w:r w:rsidRPr="5B67C1D2">
              <w:rPr>
                <w:sz w:val="20"/>
                <w:szCs w:val="20"/>
              </w:rPr>
              <w:lastRenderedPageBreak/>
              <w:t>them</w:t>
            </w:r>
            <w:proofErr w:type="spellEnd"/>
            <w:r w:rsidRPr="5B67C1D2">
              <w:rPr>
                <w:sz w:val="20"/>
                <w:szCs w:val="20"/>
              </w:rPr>
              <w:t>“</w:t>
            </w:r>
            <w:r w:rsidRPr="5B67C1D2">
              <w:rPr>
                <w:sz w:val="20"/>
                <w:szCs w:val="20"/>
                <w:vertAlign w:val="superscript"/>
              </w:rPr>
              <w:footnoteReference w:id="1187"/>
            </w:r>
            <w:r w:rsidRPr="5B67C1D2">
              <w:rPr>
                <w:sz w:val="20"/>
                <w:szCs w:val="20"/>
              </w:rPr>
              <w:t xml:space="preserve">), was auch den gleichen Schutz durch Gesetze verletze, eine andere Bedingung für Glücksstreben. Damit entziehe das Gesetz als Abwägungsergebnis willkürlich die Geschäftsgrundlage („oppressive and </w:t>
            </w:r>
            <w:proofErr w:type="spellStart"/>
            <w:r w:rsidRPr="5B67C1D2">
              <w:rPr>
                <w:sz w:val="20"/>
                <w:szCs w:val="20"/>
              </w:rPr>
              <w:t>arbitrary</w:t>
            </w:r>
            <w:proofErr w:type="spellEnd"/>
            <w:r w:rsidRPr="5B67C1D2">
              <w:rPr>
                <w:sz w:val="20"/>
                <w:szCs w:val="20"/>
              </w:rPr>
              <w:t xml:space="preserve">, to </w:t>
            </w:r>
            <w:proofErr w:type="spellStart"/>
            <w:r w:rsidRPr="5B67C1D2">
              <w:rPr>
                <w:sz w:val="20"/>
                <w:szCs w:val="20"/>
              </w:rPr>
              <w:t>prohibit</w:t>
            </w:r>
            <w:proofErr w:type="spellEnd"/>
            <w:r w:rsidRPr="5B67C1D2">
              <w:rPr>
                <w:sz w:val="20"/>
                <w:szCs w:val="20"/>
              </w:rPr>
              <w:t xml:space="preserve"> all Chinese </w:t>
            </w:r>
            <w:proofErr w:type="spellStart"/>
            <w:r w:rsidRPr="5B67C1D2">
              <w:rPr>
                <w:sz w:val="20"/>
                <w:szCs w:val="20"/>
              </w:rPr>
              <w:t>merchants</w:t>
            </w:r>
            <w:proofErr w:type="spellEnd"/>
            <w:r w:rsidRPr="5B67C1D2">
              <w:rPr>
                <w:sz w:val="20"/>
                <w:szCs w:val="20"/>
              </w:rPr>
              <w:t xml:space="preserve"> […] </w:t>
            </w:r>
            <w:proofErr w:type="spellStart"/>
            <w:r w:rsidRPr="5B67C1D2">
              <w:rPr>
                <w:sz w:val="20"/>
                <w:szCs w:val="20"/>
              </w:rPr>
              <w:t>from</w:t>
            </w:r>
            <w:proofErr w:type="spellEnd"/>
            <w:r w:rsidRPr="5B67C1D2">
              <w:rPr>
                <w:sz w:val="20"/>
                <w:szCs w:val="20"/>
              </w:rPr>
              <w:t xml:space="preserve"> </w:t>
            </w:r>
            <w:proofErr w:type="spellStart"/>
            <w:r w:rsidRPr="5B67C1D2">
              <w:rPr>
                <w:sz w:val="20"/>
                <w:szCs w:val="20"/>
              </w:rPr>
              <w:t>keeping</w:t>
            </w:r>
            <w:proofErr w:type="spellEnd"/>
            <w:r w:rsidRPr="5B67C1D2">
              <w:rPr>
                <w:sz w:val="20"/>
                <w:szCs w:val="20"/>
              </w:rPr>
              <w:t xml:space="preserve"> </w:t>
            </w:r>
            <w:proofErr w:type="spellStart"/>
            <w:r w:rsidRPr="5B67C1D2">
              <w:rPr>
                <w:sz w:val="20"/>
                <w:szCs w:val="20"/>
              </w:rPr>
              <w:t>advised</w:t>
            </w:r>
            <w:proofErr w:type="spellEnd"/>
            <w:r w:rsidRPr="5B67C1D2">
              <w:rPr>
                <w:sz w:val="20"/>
                <w:szCs w:val="20"/>
              </w:rPr>
              <w:t xml:space="preserve"> of the </w:t>
            </w:r>
            <w:proofErr w:type="spellStart"/>
            <w:r w:rsidRPr="5B67C1D2">
              <w:rPr>
                <w:sz w:val="20"/>
                <w:szCs w:val="20"/>
              </w:rPr>
              <w:t>status</w:t>
            </w:r>
            <w:proofErr w:type="spellEnd"/>
            <w:r w:rsidRPr="5B67C1D2">
              <w:rPr>
                <w:sz w:val="20"/>
                <w:szCs w:val="20"/>
              </w:rPr>
              <w:t xml:space="preserve"> of </w:t>
            </w:r>
            <w:proofErr w:type="spellStart"/>
            <w:r w:rsidRPr="5B67C1D2">
              <w:rPr>
                <w:sz w:val="20"/>
                <w:szCs w:val="20"/>
              </w:rPr>
              <w:t>their</w:t>
            </w:r>
            <w:proofErr w:type="spellEnd"/>
            <w:r w:rsidRPr="5B67C1D2">
              <w:rPr>
                <w:sz w:val="20"/>
                <w:szCs w:val="20"/>
              </w:rPr>
              <w:t xml:space="preserve"> </w:t>
            </w:r>
            <w:proofErr w:type="spellStart"/>
            <w:r w:rsidRPr="5B67C1D2">
              <w:rPr>
                <w:sz w:val="20"/>
                <w:szCs w:val="20"/>
              </w:rPr>
              <w:t>business</w:t>
            </w:r>
            <w:proofErr w:type="spellEnd"/>
            <w:r w:rsidRPr="5B67C1D2">
              <w:rPr>
                <w:sz w:val="20"/>
                <w:szCs w:val="20"/>
              </w:rPr>
              <w:t>“</w:t>
            </w:r>
            <w:r w:rsidRPr="5B67C1D2">
              <w:rPr>
                <w:sz w:val="20"/>
                <w:szCs w:val="20"/>
                <w:vertAlign w:val="superscript"/>
                <w:lang w:val="en-US"/>
              </w:rPr>
              <w:footnoteReference w:id="1188"/>
            </w:r>
            <w:r w:rsidRPr="5B67C1D2">
              <w:rPr>
                <w:sz w:val="20"/>
                <w:szCs w:val="20"/>
              </w:rPr>
              <w:t>).</w:t>
            </w:r>
          </w:p>
          <w:p w14:paraId="66641BAB" w14:textId="77777777" w:rsidR="00074551" w:rsidRPr="00810879" w:rsidRDefault="00074551" w:rsidP="00367133">
            <w:pPr>
              <w:jc w:val="both"/>
              <w:rPr>
                <w:sz w:val="20"/>
                <w:szCs w:val="20"/>
              </w:rPr>
            </w:pPr>
          </w:p>
        </w:tc>
      </w:tr>
      <w:tr w:rsidR="00074551" w:rsidRPr="00E50B51" w14:paraId="25AA2710" w14:textId="77777777" w:rsidTr="00BE689F">
        <w:trPr>
          <w:cantSplit/>
          <w:trHeight w:val="3175"/>
        </w:trPr>
        <w:tc>
          <w:tcPr>
            <w:tcW w:w="293" w:type="pct"/>
          </w:tcPr>
          <w:p w14:paraId="2042303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63F603B" w14:textId="77777777" w:rsidR="00074551" w:rsidRPr="00E50B51" w:rsidRDefault="00074551" w:rsidP="00367133">
            <w:pPr>
              <w:ind w:left="113" w:right="416"/>
              <w:jc w:val="both"/>
              <w:rPr>
                <w:sz w:val="20"/>
                <w:szCs w:val="20"/>
              </w:rPr>
            </w:pPr>
            <w:r w:rsidRPr="00D83E4F">
              <w:rPr>
                <w:i/>
                <w:sz w:val="20"/>
                <w:szCs w:val="20"/>
              </w:rPr>
              <w:t>Russo v. Byrne</w:t>
            </w:r>
          </w:p>
        </w:tc>
        <w:tc>
          <w:tcPr>
            <w:tcW w:w="197" w:type="pct"/>
            <w:textDirection w:val="tbRl"/>
            <w:vAlign w:val="center"/>
          </w:tcPr>
          <w:p w14:paraId="685B7326" w14:textId="77777777" w:rsidR="00074551" w:rsidRPr="00E50B51" w:rsidRDefault="00074551" w:rsidP="00367133">
            <w:pPr>
              <w:ind w:left="113" w:right="113"/>
              <w:jc w:val="both"/>
              <w:rPr>
                <w:sz w:val="20"/>
                <w:szCs w:val="20"/>
              </w:rPr>
            </w:pPr>
            <w:r w:rsidRPr="00E50B51">
              <w:rPr>
                <w:sz w:val="20"/>
                <w:szCs w:val="20"/>
                <w:lang w:val="en-US"/>
              </w:rPr>
              <w:t>409 U.S. 1013</w:t>
            </w:r>
          </w:p>
        </w:tc>
        <w:tc>
          <w:tcPr>
            <w:tcW w:w="306" w:type="pct"/>
            <w:textDirection w:val="tbRl"/>
            <w:vAlign w:val="center"/>
          </w:tcPr>
          <w:p w14:paraId="175D7018" w14:textId="77777777" w:rsidR="00074551" w:rsidRPr="00E50B51" w:rsidRDefault="00074551" w:rsidP="00367133">
            <w:pPr>
              <w:ind w:left="113" w:right="113"/>
              <w:jc w:val="both"/>
              <w:rPr>
                <w:sz w:val="20"/>
                <w:szCs w:val="20"/>
              </w:rPr>
            </w:pPr>
            <w:r w:rsidRPr="00E50B51">
              <w:rPr>
                <w:sz w:val="20"/>
                <w:szCs w:val="20"/>
              </w:rPr>
              <w:t>13. November 1972</w:t>
            </w:r>
          </w:p>
        </w:tc>
        <w:tc>
          <w:tcPr>
            <w:tcW w:w="401" w:type="pct"/>
          </w:tcPr>
          <w:p w14:paraId="76A202C9" w14:textId="77777777" w:rsidR="00074551" w:rsidRPr="00E50B51" w:rsidRDefault="00074551" w:rsidP="00367133">
            <w:pPr>
              <w:jc w:val="center"/>
              <w:rPr>
                <w:sz w:val="20"/>
                <w:szCs w:val="20"/>
              </w:rPr>
            </w:pPr>
            <w:r w:rsidRPr="00E50B51">
              <w:rPr>
                <w:sz w:val="20"/>
                <w:szCs w:val="20"/>
              </w:rPr>
              <w:t>D</w:t>
            </w:r>
          </w:p>
        </w:tc>
        <w:tc>
          <w:tcPr>
            <w:tcW w:w="1594" w:type="pct"/>
          </w:tcPr>
          <w:p w14:paraId="4051D075" w14:textId="710FAECF" w:rsidR="00074551" w:rsidRPr="00E50B51" w:rsidRDefault="00074551" w:rsidP="00367133">
            <w:pPr>
              <w:jc w:val="both"/>
              <w:rPr>
                <w:sz w:val="20"/>
                <w:szCs w:val="20"/>
              </w:rPr>
            </w:pPr>
            <w:r w:rsidRPr="00E50B51">
              <w:rPr>
                <w:sz w:val="20"/>
                <w:szCs w:val="20"/>
              </w:rPr>
              <w:t>Im Fall beantragte der Kläger eine Überprüfung (</w:t>
            </w:r>
            <w:proofErr w:type="spellStart"/>
            <w:r w:rsidRPr="5B67C1D2">
              <w:rPr>
                <w:i/>
                <w:iCs/>
                <w:sz w:val="20"/>
                <w:szCs w:val="20"/>
              </w:rPr>
              <w:t>certiorari</w:t>
            </w:r>
            <w:proofErr w:type="spellEnd"/>
            <w:r w:rsidRPr="00E50B51">
              <w:rPr>
                <w:sz w:val="20"/>
                <w:szCs w:val="20"/>
              </w:rPr>
              <w:t xml:space="preserve">) der Entscheidung des unteren Gerichts. Der Fall befasste sich mit Fragen der elektronischen Überwachung, wie sich diese sich auf das Anwalt-Mandanten-Verhältnis auswirke </w:t>
            </w:r>
            <w:r>
              <w:rPr>
                <w:sz w:val="20"/>
                <w:szCs w:val="20"/>
              </w:rPr>
              <w:t xml:space="preserve">und wie sie im Rahmen 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 und VI</w:t>
            </w:r>
            <w:r w:rsidRPr="00E50B51">
              <w:rPr>
                <w:sz w:val="20"/>
                <w:szCs w:val="20"/>
              </w:rPr>
              <w:t xml:space="preserve"> </w:t>
            </w:r>
            <w:r>
              <w:rPr>
                <w:sz w:val="20"/>
                <w:szCs w:val="20"/>
              </w:rPr>
              <w:t xml:space="preserve">zulässig seien. </w:t>
            </w:r>
            <w:r w:rsidRPr="00E50B51">
              <w:rPr>
                <w:sz w:val="20"/>
                <w:szCs w:val="20"/>
              </w:rPr>
              <w:t xml:space="preserve">Der </w:t>
            </w:r>
            <w:r>
              <w:rPr>
                <w:sz w:val="20"/>
                <w:szCs w:val="20"/>
              </w:rPr>
              <w:t>U.S. Supreme Court</w:t>
            </w:r>
            <w:r w:rsidRPr="00E50B51">
              <w:rPr>
                <w:sz w:val="20"/>
                <w:szCs w:val="20"/>
              </w:rPr>
              <w:t xml:space="preserve"> </w:t>
            </w:r>
            <w:r>
              <w:rPr>
                <w:sz w:val="20"/>
                <w:szCs w:val="20"/>
              </w:rPr>
              <w:t>hatte die Überprüfung des Falles</w:t>
            </w:r>
            <w:r w:rsidRPr="00E50B51">
              <w:rPr>
                <w:sz w:val="20"/>
                <w:szCs w:val="20"/>
              </w:rPr>
              <w:t xml:space="preserve"> (</w:t>
            </w:r>
            <w:proofErr w:type="spellStart"/>
            <w:r w:rsidRPr="5B67C1D2">
              <w:rPr>
                <w:i/>
                <w:iCs/>
                <w:sz w:val="20"/>
                <w:szCs w:val="20"/>
              </w:rPr>
              <w:t>certiorari</w:t>
            </w:r>
            <w:proofErr w:type="spellEnd"/>
            <w:r>
              <w:rPr>
                <w:sz w:val="20"/>
                <w:szCs w:val="20"/>
              </w:rPr>
              <w:t>)</w:t>
            </w:r>
            <w:r w:rsidRPr="00E50B51">
              <w:rPr>
                <w:sz w:val="20"/>
                <w:szCs w:val="20"/>
              </w:rPr>
              <w:t xml:space="preserve"> verweigert. Doch Richter </w:t>
            </w:r>
            <w:r w:rsidRPr="5B67C1D2">
              <w:rPr>
                <w:i/>
                <w:iCs/>
                <w:sz w:val="20"/>
                <w:szCs w:val="20"/>
              </w:rPr>
              <w:t>Douglas</w:t>
            </w:r>
            <w:r w:rsidRPr="00E50B51">
              <w:rPr>
                <w:sz w:val="20"/>
                <w:szCs w:val="20"/>
              </w:rPr>
              <w:t xml:space="preserve"> äußerte in seinem Dissens Bedenken über das Fehlen hinreichend bestimmter Richtlinien für die elektronische Überwachung, insbesondere wenn diese das Anwalt-Mandanten-Verhältnis betreffe.</w:t>
            </w:r>
            <w:r>
              <w:rPr>
                <w:rStyle w:val="Funotenzeichen"/>
                <w:sz w:val="20"/>
                <w:szCs w:val="20"/>
              </w:rPr>
              <w:footnoteReference w:id="1189"/>
            </w:r>
          </w:p>
          <w:p w14:paraId="1DB6E083" w14:textId="77777777" w:rsidR="00074551" w:rsidRPr="00E50B51" w:rsidRDefault="00074551" w:rsidP="00367133">
            <w:pPr>
              <w:jc w:val="both"/>
              <w:rPr>
                <w:sz w:val="20"/>
                <w:szCs w:val="20"/>
              </w:rPr>
            </w:pPr>
          </w:p>
        </w:tc>
        <w:tc>
          <w:tcPr>
            <w:tcW w:w="1822" w:type="pct"/>
          </w:tcPr>
          <w:p w14:paraId="0BCFCA6C" w14:textId="747BB3FD" w:rsidR="00074551" w:rsidRDefault="00074551" w:rsidP="00367133">
            <w:pPr>
              <w:jc w:val="both"/>
              <w:rPr>
                <w:sz w:val="20"/>
                <w:szCs w:val="20"/>
              </w:rPr>
            </w:pPr>
            <w:r w:rsidRPr="00C4627B">
              <w:rPr>
                <w:sz w:val="20"/>
                <w:szCs w:val="20"/>
              </w:rPr>
              <w:t xml:space="preserve">In </w:t>
            </w:r>
            <w:r w:rsidRPr="5B67C1D2">
              <w:rPr>
                <w:i/>
                <w:iCs/>
                <w:sz w:val="20"/>
                <w:szCs w:val="20"/>
              </w:rPr>
              <w:t>Russo v. Byrne</w:t>
            </w:r>
            <w:r w:rsidRPr="00C4627B">
              <w:rPr>
                <w:sz w:val="20"/>
                <w:szCs w:val="20"/>
              </w:rPr>
              <w:t xml:space="preserve"> verwendet der </w:t>
            </w:r>
            <w:r>
              <w:rPr>
                <w:sz w:val="20"/>
                <w:szCs w:val="20"/>
              </w:rPr>
              <w:t>U.S. Supreme Court</w:t>
            </w:r>
            <w:r w:rsidRPr="00C4627B">
              <w:rPr>
                <w:sz w:val="20"/>
                <w:szCs w:val="20"/>
              </w:rPr>
              <w:t xml:space="preserve"> das Konzept des </w:t>
            </w:r>
            <w:proofErr w:type="spellStart"/>
            <w:r w:rsidRPr="5B67C1D2">
              <w:rPr>
                <w:i/>
                <w:iCs/>
                <w:sz w:val="20"/>
                <w:szCs w:val="20"/>
              </w:rPr>
              <w:t>pursuit</w:t>
            </w:r>
            <w:proofErr w:type="spellEnd"/>
            <w:r w:rsidRPr="5B67C1D2">
              <w:rPr>
                <w:i/>
                <w:iCs/>
                <w:sz w:val="20"/>
                <w:szCs w:val="20"/>
              </w:rPr>
              <w:t xml:space="preserve"> of Happiness</w:t>
            </w:r>
            <w:r w:rsidRPr="00C4627B">
              <w:rPr>
                <w:sz w:val="20"/>
                <w:szCs w:val="20"/>
              </w:rPr>
              <w:t xml:space="preserve">, um den Schutz der Privatsphäre gegen staatliche Einschränkung zu begründen. Richter </w:t>
            </w:r>
            <w:r w:rsidRPr="5B67C1D2">
              <w:rPr>
                <w:i/>
                <w:iCs/>
                <w:sz w:val="20"/>
                <w:szCs w:val="20"/>
              </w:rPr>
              <w:t>Douglas</w:t>
            </w:r>
            <w:r w:rsidRPr="00C4627B">
              <w:rPr>
                <w:sz w:val="20"/>
                <w:szCs w:val="20"/>
              </w:rPr>
              <w:t xml:space="preserve"> zitiert in </w:t>
            </w:r>
            <w:r w:rsidRPr="5B67C1D2">
              <w:rPr>
                <w:i/>
                <w:iCs/>
                <w:sz w:val="20"/>
                <w:szCs w:val="20"/>
              </w:rPr>
              <w:t>Russo v. Byrne</w:t>
            </w:r>
            <w:r w:rsidRPr="00C4627B">
              <w:rPr>
                <w:sz w:val="20"/>
                <w:szCs w:val="20"/>
              </w:rPr>
              <w:t xml:space="preserve"> in Rahmen seines Dissens </w:t>
            </w:r>
            <w:r w:rsidRPr="5B67C1D2">
              <w:rPr>
                <w:i/>
                <w:iCs/>
                <w:sz w:val="20"/>
                <w:szCs w:val="20"/>
              </w:rPr>
              <w:t>Olmstead v. United States</w:t>
            </w:r>
            <w:r w:rsidRPr="00C4627B">
              <w:rPr>
                <w:sz w:val="20"/>
                <w:szCs w:val="20"/>
              </w:rPr>
              <w:t>,</w:t>
            </w:r>
            <w:r w:rsidRPr="00C4627B">
              <w:rPr>
                <w:sz w:val="20"/>
                <w:szCs w:val="20"/>
                <w:vertAlign w:val="superscript"/>
              </w:rPr>
              <w:footnoteReference w:id="1190"/>
            </w:r>
            <w:r w:rsidRPr="00C4627B">
              <w:rPr>
                <w:sz w:val="20"/>
                <w:szCs w:val="20"/>
              </w:rPr>
              <w:t xml:space="preserve"> wo Richter </w:t>
            </w:r>
            <w:r w:rsidRPr="5B67C1D2">
              <w:rPr>
                <w:i/>
                <w:iCs/>
                <w:sz w:val="20"/>
                <w:szCs w:val="20"/>
              </w:rPr>
              <w:t>Brandeis</w:t>
            </w:r>
            <w:r w:rsidRPr="00C4627B">
              <w:rPr>
                <w:sz w:val="20"/>
                <w:szCs w:val="20"/>
              </w:rPr>
              <w:t xml:space="preserve"> über das Recht auf Privatsphäre urteilte. </w:t>
            </w:r>
            <w:r w:rsidRPr="5B67C1D2">
              <w:rPr>
                <w:i/>
                <w:iCs/>
                <w:sz w:val="20"/>
                <w:szCs w:val="20"/>
              </w:rPr>
              <w:t>Brandeis</w:t>
            </w:r>
            <w:r w:rsidRPr="00C4627B">
              <w:rPr>
                <w:sz w:val="20"/>
                <w:szCs w:val="20"/>
              </w:rPr>
              <w:t xml:space="preserve"> argumentierte, dass die Verfasser der </w:t>
            </w:r>
            <w:r>
              <w:rPr>
                <w:sz w:val="20"/>
                <w:szCs w:val="20"/>
              </w:rPr>
              <w:t>U.S.</w:t>
            </w:r>
            <w:r w:rsidRPr="00C4627B">
              <w:rPr>
                <w:sz w:val="20"/>
                <w:szCs w:val="20"/>
              </w:rPr>
              <w:t xml:space="preserve"> </w:t>
            </w:r>
            <w:proofErr w:type="spellStart"/>
            <w:r w:rsidRPr="00C4627B">
              <w:rPr>
                <w:sz w:val="20"/>
                <w:szCs w:val="20"/>
              </w:rPr>
              <w:t>Const</w:t>
            </w:r>
            <w:proofErr w:type="spellEnd"/>
            <w:r w:rsidRPr="00C4627B">
              <w:rPr>
                <w:sz w:val="20"/>
                <w:szCs w:val="20"/>
              </w:rPr>
              <w:t xml:space="preserve">. Bedingungen schaffen wollten, die das Streben nach Glück begünstigen („The </w:t>
            </w:r>
            <w:proofErr w:type="spellStart"/>
            <w:r w:rsidRPr="00C4627B">
              <w:rPr>
                <w:sz w:val="20"/>
                <w:szCs w:val="20"/>
              </w:rPr>
              <w:t>makers</w:t>
            </w:r>
            <w:proofErr w:type="spellEnd"/>
            <w:r w:rsidRPr="00C4627B">
              <w:rPr>
                <w:sz w:val="20"/>
                <w:szCs w:val="20"/>
              </w:rPr>
              <w:t xml:space="preserve"> of </w:t>
            </w:r>
            <w:proofErr w:type="spellStart"/>
            <w:r w:rsidRPr="00C4627B">
              <w:rPr>
                <w:sz w:val="20"/>
                <w:szCs w:val="20"/>
              </w:rPr>
              <w:t>our</w:t>
            </w:r>
            <w:proofErr w:type="spellEnd"/>
            <w:r w:rsidRPr="00C4627B">
              <w:rPr>
                <w:sz w:val="20"/>
                <w:szCs w:val="20"/>
              </w:rPr>
              <w:t xml:space="preserve"> </w:t>
            </w:r>
            <w:proofErr w:type="spellStart"/>
            <w:r w:rsidRPr="00C4627B">
              <w:rPr>
                <w:sz w:val="20"/>
                <w:szCs w:val="20"/>
              </w:rPr>
              <w:t>Constitution</w:t>
            </w:r>
            <w:proofErr w:type="spellEnd"/>
            <w:r w:rsidRPr="00C4627B">
              <w:rPr>
                <w:sz w:val="20"/>
                <w:szCs w:val="20"/>
              </w:rPr>
              <w:t xml:space="preserve"> </w:t>
            </w:r>
            <w:proofErr w:type="spellStart"/>
            <w:r w:rsidRPr="00C4627B">
              <w:rPr>
                <w:sz w:val="20"/>
                <w:szCs w:val="20"/>
              </w:rPr>
              <w:t>undertook</w:t>
            </w:r>
            <w:proofErr w:type="spellEnd"/>
            <w:r w:rsidRPr="00C4627B">
              <w:rPr>
                <w:sz w:val="20"/>
                <w:szCs w:val="20"/>
              </w:rPr>
              <w:t xml:space="preserve"> to </w:t>
            </w:r>
            <w:proofErr w:type="spellStart"/>
            <w:r w:rsidRPr="00C4627B">
              <w:rPr>
                <w:sz w:val="20"/>
                <w:szCs w:val="20"/>
              </w:rPr>
              <w:t>secure</w:t>
            </w:r>
            <w:proofErr w:type="spellEnd"/>
            <w:r w:rsidRPr="00C4627B">
              <w:rPr>
                <w:sz w:val="20"/>
                <w:szCs w:val="20"/>
              </w:rPr>
              <w:t xml:space="preserve"> </w:t>
            </w:r>
            <w:proofErr w:type="spellStart"/>
            <w:r w:rsidRPr="00C4627B">
              <w:rPr>
                <w:sz w:val="20"/>
                <w:szCs w:val="20"/>
              </w:rPr>
              <w:t>conditions</w:t>
            </w:r>
            <w:proofErr w:type="spellEnd"/>
            <w:r w:rsidRPr="00C4627B">
              <w:rPr>
                <w:sz w:val="20"/>
                <w:szCs w:val="20"/>
              </w:rPr>
              <w:t xml:space="preserve"> favorable to the </w:t>
            </w:r>
            <w:proofErr w:type="spellStart"/>
            <w:r w:rsidRPr="00C4627B">
              <w:rPr>
                <w:sz w:val="20"/>
                <w:szCs w:val="20"/>
              </w:rPr>
              <w:t>pursuit</w:t>
            </w:r>
            <w:proofErr w:type="spellEnd"/>
            <w:r w:rsidRPr="00C4627B">
              <w:rPr>
                <w:sz w:val="20"/>
                <w:szCs w:val="20"/>
              </w:rPr>
              <w:t xml:space="preserve"> of </w:t>
            </w:r>
            <w:proofErr w:type="spellStart"/>
            <w:r w:rsidRPr="00C4627B">
              <w:rPr>
                <w:sz w:val="20"/>
                <w:szCs w:val="20"/>
              </w:rPr>
              <w:t>happiness</w:t>
            </w:r>
            <w:proofErr w:type="spellEnd"/>
            <w:r w:rsidRPr="00C4627B">
              <w:rPr>
                <w:sz w:val="20"/>
                <w:szCs w:val="20"/>
              </w:rPr>
              <w:t>.“</w:t>
            </w:r>
            <w:r w:rsidRPr="00C4627B">
              <w:rPr>
                <w:sz w:val="20"/>
                <w:szCs w:val="20"/>
                <w:vertAlign w:val="superscript"/>
              </w:rPr>
              <w:footnoteReference w:id="1191"/>
            </w:r>
            <w:r w:rsidRPr="00C4627B">
              <w:rPr>
                <w:sz w:val="20"/>
                <w:szCs w:val="20"/>
              </w:rPr>
              <w:t xml:space="preserve">). Dies führe zur Anerkennung des Rechts, in Ruhe gelassen zu werden: ein umfassendes Recht und das am meisten geschätzte Recht zivilisierter Menschen. Jeder ungerechtfertigte Eingriff der Regierung in dieses Recht, respektive die Privatsphäre des Einzelnen, unabhängig von den verwendeten Mitteln, </w:t>
            </w:r>
            <w:r>
              <w:rPr>
                <w:sz w:val="20"/>
                <w:szCs w:val="20"/>
              </w:rPr>
              <w:t>müsse</w:t>
            </w:r>
            <w:r w:rsidRPr="00C4627B">
              <w:rPr>
                <w:sz w:val="20"/>
                <w:szCs w:val="20"/>
              </w:rPr>
              <w:t xml:space="preserve"> als Verletzung </w:t>
            </w:r>
            <w:r>
              <w:rPr>
                <w:sz w:val="20"/>
                <w:szCs w:val="20"/>
              </w:rPr>
              <w:t xml:space="preserve">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C4627B">
              <w:rPr>
                <w:sz w:val="20"/>
                <w:szCs w:val="20"/>
              </w:rPr>
              <w:t xml:space="preserve"> angesehen werden. Weshalb </w:t>
            </w:r>
            <w:r>
              <w:rPr>
                <w:sz w:val="20"/>
                <w:szCs w:val="20"/>
              </w:rPr>
              <w:t>z.B.</w:t>
            </w:r>
            <w:r w:rsidRPr="00C4627B">
              <w:rPr>
                <w:sz w:val="20"/>
                <w:szCs w:val="20"/>
              </w:rPr>
              <w:t xml:space="preserve"> Richtlinien</w:t>
            </w:r>
            <w:r>
              <w:rPr>
                <w:sz w:val="20"/>
                <w:szCs w:val="20"/>
              </w:rPr>
              <w:t xml:space="preserve"> zur elektronischen Überwachung</w:t>
            </w:r>
            <w:r w:rsidRPr="00C4627B">
              <w:rPr>
                <w:sz w:val="20"/>
                <w:szCs w:val="20"/>
              </w:rPr>
              <w:t xml:space="preserve"> näher zu bestimmen gewesen wären.</w:t>
            </w:r>
            <w:r w:rsidRPr="00C4627B">
              <w:rPr>
                <w:sz w:val="20"/>
                <w:szCs w:val="20"/>
                <w:vertAlign w:val="superscript"/>
              </w:rPr>
              <w:footnoteReference w:id="1192"/>
            </w:r>
          </w:p>
          <w:p w14:paraId="3D9559FD" w14:textId="77777777" w:rsidR="00074551" w:rsidRPr="00E50B51" w:rsidRDefault="00074551" w:rsidP="00367133">
            <w:pPr>
              <w:jc w:val="both"/>
              <w:rPr>
                <w:sz w:val="20"/>
                <w:szCs w:val="20"/>
              </w:rPr>
            </w:pPr>
          </w:p>
        </w:tc>
      </w:tr>
      <w:tr w:rsidR="00074551" w:rsidRPr="00E50B51" w14:paraId="777BF9D6" w14:textId="77777777" w:rsidTr="00BE689F">
        <w:trPr>
          <w:cantSplit/>
          <w:trHeight w:val="3175"/>
        </w:trPr>
        <w:tc>
          <w:tcPr>
            <w:tcW w:w="293" w:type="pct"/>
          </w:tcPr>
          <w:p w14:paraId="0BA956B9"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7A70BCBD" w14:textId="77777777" w:rsidR="00074551" w:rsidRPr="00E50B51" w:rsidRDefault="00074551" w:rsidP="00367133">
            <w:pPr>
              <w:ind w:right="416"/>
              <w:jc w:val="center"/>
              <w:rPr>
                <w:sz w:val="20"/>
                <w:szCs w:val="20"/>
              </w:rPr>
            </w:pPr>
            <w:r>
              <w:rPr>
                <w:sz w:val="20"/>
                <w:szCs w:val="20"/>
                <w:lang w:val="en-US"/>
              </w:rPr>
              <w:t>H</w:t>
            </w:r>
          </w:p>
        </w:tc>
        <w:tc>
          <w:tcPr>
            <w:tcW w:w="387" w:type="pct"/>
            <w:textDirection w:val="tbRl"/>
            <w:vAlign w:val="center"/>
          </w:tcPr>
          <w:p w14:paraId="52058E14" w14:textId="77777777" w:rsidR="00074551" w:rsidRPr="00281399" w:rsidRDefault="00074551" w:rsidP="00367133">
            <w:pPr>
              <w:ind w:left="113" w:right="416"/>
              <w:jc w:val="both"/>
              <w:rPr>
                <w:sz w:val="20"/>
                <w:szCs w:val="20"/>
                <w:lang w:val="en-US"/>
              </w:rPr>
            </w:pPr>
            <w:r w:rsidRPr="00D83E4F">
              <w:rPr>
                <w:i/>
                <w:sz w:val="20"/>
                <w:szCs w:val="20"/>
                <w:lang w:val="en-US"/>
              </w:rPr>
              <w:t>Lynch v. Household Finance Corp.</w:t>
            </w:r>
          </w:p>
        </w:tc>
        <w:tc>
          <w:tcPr>
            <w:tcW w:w="197" w:type="pct"/>
            <w:textDirection w:val="tbRl"/>
            <w:vAlign w:val="center"/>
          </w:tcPr>
          <w:p w14:paraId="3A287300" w14:textId="77777777" w:rsidR="00074551" w:rsidRPr="00E50B51" w:rsidRDefault="00074551" w:rsidP="00367133">
            <w:pPr>
              <w:ind w:left="113" w:right="113"/>
              <w:jc w:val="both"/>
              <w:rPr>
                <w:sz w:val="20"/>
                <w:szCs w:val="20"/>
                <w:lang w:val="en-US"/>
              </w:rPr>
            </w:pPr>
            <w:r w:rsidRPr="00257307">
              <w:rPr>
                <w:sz w:val="20"/>
                <w:szCs w:val="20"/>
              </w:rPr>
              <w:t>405 U.S. 538</w:t>
            </w:r>
          </w:p>
        </w:tc>
        <w:tc>
          <w:tcPr>
            <w:tcW w:w="306" w:type="pct"/>
            <w:textDirection w:val="tbRl"/>
            <w:vAlign w:val="center"/>
          </w:tcPr>
          <w:p w14:paraId="3CD0A9C2" w14:textId="77777777" w:rsidR="00074551" w:rsidRPr="00E50B51" w:rsidRDefault="00074551" w:rsidP="00367133">
            <w:pPr>
              <w:ind w:left="113" w:right="113"/>
              <w:jc w:val="both"/>
              <w:rPr>
                <w:sz w:val="20"/>
                <w:szCs w:val="20"/>
              </w:rPr>
            </w:pPr>
            <w:r>
              <w:rPr>
                <w:sz w:val="20"/>
                <w:szCs w:val="20"/>
                <w:lang w:val="en-US"/>
              </w:rPr>
              <w:t>23. März 1972</w:t>
            </w:r>
          </w:p>
        </w:tc>
        <w:tc>
          <w:tcPr>
            <w:tcW w:w="401" w:type="pct"/>
          </w:tcPr>
          <w:p w14:paraId="2C0D3A64" w14:textId="77777777" w:rsidR="00074551" w:rsidRPr="00E50B51" w:rsidRDefault="00074551" w:rsidP="00367133">
            <w:pPr>
              <w:jc w:val="center"/>
              <w:rPr>
                <w:sz w:val="20"/>
                <w:szCs w:val="20"/>
              </w:rPr>
            </w:pPr>
            <w:r>
              <w:rPr>
                <w:sz w:val="20"/>
                <w:szCs w:val="20"/>
                <w:lang w:val="en-US"/>
              </w:rPr>
              <w:t>M</w:t>
            </w:r>
          </w:p>
        </w:tc>
        <w:tc>
          <w:tcPr>
            <w:tcW w:w="1594" w:type="pct"/>
          </w:tcPr>
          <w:p w14:paraId="1285C9AD" w14:textId="2A101F37" w:rsidR="00074551" w:rsidRPr="00E50B51" w:rsidRDefault="00074551" w:rsidP="00367133">
            <w:pPr>
              <w:jc w:val="both"/>
              <w:rPr>
                <w:sz w:val="20"/>
                <w:szCs w:val="20"/>
              </w:rPr>
            </w:pPr>
            <w:r>
              <w:rPr>
                <w:sz w:val="20"/>
                <w:szCs w:val="20"/>
              </w:rPr>
              <w:t xml:space="preserve">Der U.S. Supreme Court hob ein </w:t>
            </w:r>
            <w:proofErr w:type="spellStart"/>
            <w:r>
              <w:rPr>
                <w:sz w:val="20"/>
                <w:szCs w:val="20"/>
              </w:rPr>
              <w:t>unterinstanzielles</w:t>
            </w:r>
            <w:proofErr w:type="spellEnd"/>
            <w:r>
              <w:rPr>
                <w:sz w:val="20"/>
                <w:szCs w:val="20"/>
              </w:rPr>
              <w:t xml:space="preserve"> Urteil </w:t>
            </w:r>
            <w:r w:rsidRPr="009E005A">
              <w:rPr>
                <w:sz w:val="20"/>
                <w:szCs w:val="20"/>
              </w:rPr>
              <w:t>auf</w:t>
            </w:r>
            <w:r>
              <w:rPr>
                <w:sz w:val="20"/>
                <w:szCs w:val="20"/>
              </w:rPr>
              <w:t xml:space="preserve"> </w:t>
            </w:r>
            <w:r w:rsidRPr="009E005A">
              <w:rPr>
                <w:sz w:val="20"/>
                <w:szCs w:val="20"/>
              </w:rPr>
              <w:t xml:space="preserve">und </w:t>
            </w:r>
            <w:r>
              <w:rPr>
                <w:sz w:val="20"/>
                <w:szCs w:val="20"/>
              </w:rPr>
              <w:t xml:space="preserve">verwies </w:t>
            </w:r>
            <w:r w:rsidRPr="009E005A">
              <w:rPr>
                <w:sz w:val="20"/>
                <w:szCs w:val="20"/>
              </w:rPr>
              <w:t>de</w:t>
            </w:r>
            <w:r>
              <w:rPr>
                <w:sz w:val="20"/>
                <w:szCs w:val="20"/>
              </w:rPr>
              <w:t>n</w:t>
            </w:r>
            <w:r w:rsidRPr="009E005A">
              <w:rPr>
                <w:sz w:val="20"/>
                <w:szCs w:val="20"/>
              </w:rPr>
              <w:t xml:space="preserve"> Fall zur weiteren Verhandlung zurück. Der Kläger war ein Schuldner, d</w:t>
            </w:r>
            <w:r>
              <w:rPr>
                <w:sz w:val="20"/>
                <w:szCs w:val="20"/>
              </w:rPr>
              <w:t>ie</w:t>
            </w:r>
            <w:r w:rsidRPr="009E005A">
              <w:rPr>
                <w:sz w:val="20"/>
                <w:szCs w:val="20"/>
              </w:rPr>
              <w:t xml:space="preserve"> Beklagte</w:t>
            </w:r>
            <w:r>
              <w:rPr>
                <w:sz w:val="20"/>
                <w:szCs w:val="20"/>
              </w:rPr>
              <w:t>n</w:t>
            </w:r>
            <w:r w:rsidRPr="009E005A">
              <w:rPr>
                <w:sz w:val="20"/>
                <w:szCs w:val="20"/>
              </w:rPr>
              <w:t xml:space="preserve"> </w:t>
            </w:r>
            <w:r>
              <w:rPr>
                <w:sz w:val="20"/>
                <w:szCs w:val="20"/>
              </w:rPr>
              <w:t xml:space="preserve">waren </w:t>
            </w:r>
            <w:r w:rsidRPr="009E005A">
              <w:rPr>
                <w:sz w:val="20"/>
                <w:szCs w:val="20"/>
              </w:rPr>
              <w:t>Sheriff</w:t>
            </w:r>
            <w:r>
              <w:rPr>
                <w:sz w:val="20"/>
                <w:szCs w:val="20"/>
              </w:rPr>
              <w:t>s</w:t>
            </w:r>
            <w:r w:rsidRPr="009E005A">
              <w:rPr>
                <w:sz w:val="20"/>
                <w:szCs w:val="20"/>
              </w:rPr>
              <w:t xml:space="preserve"> </w:t>
            </w:r>
            <w:r>
              <w:rPr>
                <w:sz w:val="20"/>
                <w:szCs w:val="20"/>
              </w:rPr>
              <w:t xml:space="preserve">sowie </w:t>
            </w:r>
            <w:r w:rsidRPr="009E005A">
              <w:rPr>
                <w:sz w:val="20"/>
                <w:szCs w:val="20"/>
              </w:rPr>
              <w:t>Gläubiger. Der Kläger brachte eine Sammelklage vor d</w:t>
            </w:r>
            <w:r>
              <w:rPr>
                <w:sz w:val="20"/>
                <w:szCs w:val="20"/>
              </w:rPr>
              <w:t>as</w:t>
            </w:r>
            <w:r w:rsidRPr="009E005A">
              <w:rPr>
                <w:sz w:val="20"/>
                <w:szCs w:val="20"/>
              </w:rPr>
              <w:t xml:space="preserve"> Bezirksgericht</w:t>
            </w:r>
            <w:r>
              <w:rPr>
                <w:sz w:val="20"/>
                <w:szCs w:val="20"/>
              </w:rPr>
              <w:t xml:space="preserve">. Die </w:t>
            </w:r>
            <w:r w:rsidRPr="009E005A">
              <w:rPr>
                <w:sz w:val="20"/>
                <w:szCs w:val="20"/>
              </w:rPr>
              <w:t xml:space="preserve">Sheriffs und Gläubiger hatten sog. Vorab-Pfändungen gemäß </w:t>
            </w:r>
            <w:proofErr w:type="spellStart"/>
            <w:r w:rsidRPr="009E005A">
              <w:rPr>
                <w:sz w:val="20"/>
                <w:szCs w:val="20"/>
              </w:rPr>
              <w:t>Conn</w:t>
            </w:r>
            <w:proofErr w:type="spellEnd"/>
            <w:r w:rsidRPr="009E005A">
              <w:rPr>
                <w:sz w:val="20"/>
                <w:szCs w:val="20"/>
              </w:rPr>
              <w:t xml:space="preserve">. Gen. Stat. </w:t>
            </w:r>
            <w:r>
              <w:rPr>
                <w:sz w:val="20"/>
                <w:szCs w:val="20"/>
              </w:rPr>
              <w:t>§ </w:t>
            </w:r>
            <w:r w:rsidRPr="009E005A">
              <w:rPr>
                <w:sz w:val="20"/>
                <w:szCs w:val="20"/>
              </w:rPr>
              <w:t>52-329</w:t>
            </w:r>
            <w:r>
              <w:rPr>
                <w:rStyle w:val="Funotenzeichen"/>
                <w:sz w:val="20"/>
                <w:szCs w:val="20"/>
              </w:rPr>
              <w:footnoteReference w:id="1193"/>
            </w:r>
            <w:r w:rsidRPr="009E005A">
              <w:rPr>
                <w:sz w:val="20"/>
                <w:szCs w:val="20"/>
              </w:rPr>
              <w:t xml:space="preserve"> durch</w:t>
            </w:r>
            <w:r>
              <w:rPr>
                <w:sz w:val="20"/>
                <w:szCs w:val="20"/>
              </w:rPr>
              <w:t>ge</w:t>
            </w:r>
            <w:r w:rsidRPr="009E005A">
              <w:rPr>
                <w:sz w:val="20"/>
                <w:szCs w:val="20"/>
              </w:rPr>
              <w:t xml:space="preserve">führt. </w:t>
            </w:r>
            <w:r>
              <w:rPr>
                <w:sz w:val="20"/>
                <w:szCs w:val="20"/>
              </w:rPr>
              <w:t>Aber d</w:t>
            </w:r>
            <w:r w:rsidRPr="009E005A">
              <w:rPr>
                <w:sz w:val="20"/>
                <w:szCs w:val="20"/>
              </w:rPr>
              <w:t>er Kläger meinte, das Gesetz</w:t>
            </w:r>
            <w:r>
              <w:rPr>
                <w:sz w:val="20"/>
                <w:szCs w:val="20"/>
              </w:rPr>
              <w:t xml:space="preserve">, welches diese Pfändung zuließ, </w:t>
            </w:r>
            <w:r w:rsidRPr="009E005A">
              <w:rPr>
                <w:sz w:val="20"/>
                <w:szCs w:val="20"/>
              </w:rPr>
              <w:t xml:space="preserve">sei verfassungswidrig. </w:t>
            </w:r>
            <w:r>
              <w:rPr>
                <w:sz w:val="20"/>
                <w:szCs w:val="20"/>
              </w:rPr>
              <w:t>Das</w:t>
            </w:r>
            <w:r w:rsidRPr="009E005A">
              <w:rPr>
                <w:sz w:val="20"/>
                <w:szCs w:val="20"/>
              </w:rPr>
              <w:t xml:space="preserve"> Bezirksgericht wies die Klage </w:t>
            </w:r>
            <w:r>
              <w:rPr>
                <w:sz w:val="20"/>
                <w:szCs w:val="20"/>
              </w:rPr>
              <w:t xml:space="preserve">indes </w:t>
            </w:r>
            <w:r w:rsidRPr="009E005A">
              <w:rPr>
                <w:sz w:val="20"/>
                <w:szCs w:val="20"/>
              </w:rPr>
              <w:t xml:space="preserve">wegen fehlender Zuständigkeit </w:t>
            </w:r>
            <w:r>
              <w:rPr>
                <w:sz w:val="20"/>
                <w:szCs w:val="20"/>
              </w:rPr>
              <w:t xml:space="preserve">zurück. Diese ergab sich angeblich aus </w:t>
            </w:r>
            <w:r w:rsidRPr="009E005A">
              <w:rPr>
                <w:sz w:val="20"/>
                <w:szCs w:val="20"/>
              </w:rPr>
              <w:t xml:space="preserve">28 U.S.C.S. </w:t>
            </w:r>
            <w:r>
              <w:rPr>
                <w:sz w:val="20"/>
                <w:szCs w:val="20"/>
              </w:rPr>
              <w:t>§ </w:t>
            </w:r>
            <w:r w:rsidRPr="009E005A">
              <w:rPr>
                <w:sz w:val="20"/>
                <w:szCs w:val="20"/>
              </w:rPr>
              <w:t>1343(3)</w:t>
            </w:r>
            <w:r>
              <w:rPr>
                <w:rStyle w:val="Funotenzeichen"/>
                <w:sz w:val="20"/>
                <w:szCs w:val="20"/>
              </w:rPr>
              <w:footnoteReference w:id="1194"/>
            </w:r>
            <w:r w:rsidRPr="009E005A">
              <w:rPr>
                <w:sz w:val="20"/>
                <w:szCs w:val="20"/>
              </w:rPr>
              <w:t xml:space="preserve"> und aufgrund des Anti-</w:t>
            </w:r>
            <w:proofErr w:type="spellStart"/>
            <w:r w:rsidRPr="009E005A">
              <w:rPr>
                <w:sz w:val="20"/>
                <w:szCs w:val="20"/>
              </w:rPr>
              <w:t>Injunction</w:t>
            </w:r>
            <w:proofErr w:type="spellEnd"/>
            <w:r w:rsidRPr="009E005A">
              <w:rPr>
                <w:sz w:val="20"/>
                <w:szCs w:val="20"/>
              </w:rPr>
              <w:t>-Gesetzes</w:t>
            </w:r>
            <w:r>
              <w:rPr>
                <w:sz w:val="20"/>
                <w:szCs w:val="20"/>
              </w:rPr>
              <w:t xml:space="preserve"> nach</w:t>
            </w:r>
            <w:r w:rsidRPr="009E005A">
              <w:rPr>
                <w:sz w:val="20"/>
                <w:szCs w:val="20"/>
              </w:rPr>
              <w:t xml:space="preserve"> 28 U.S.C.S. </w:t>
            </w:r>
            <w:r>
              <w:rPr>
                <w:sz w:val="20"/>
                <w:szCs w:val="20"/>
              </w:rPr>
              <w:t>§ </w:t>
            </w:r>
            <w:r w:rsidRPr="009E005A">
              <w:rPr>
                <w:sz w:val="20"/>
                <w:szCs w:val="20"/>
              </w:rPr>
              <w:t>2283</w:t>
            </w:r>
            <w:r>
              <w:rPr>
                <w:sz w:val="20"/>
                <w:szCs w:val="20"/>
              </w:rPr>
              <w:t>.</w:t>
            </w:r>
            <w:r>
              <w:rPr>
                <w:rStyle w:val="Funotenzeichen"/>
                <w:sz w:val="20"/>
                <w:szCs w:val="20"/>
              </w:rPr>
              <w:footnoteReference w:id="1195"/>
            </w:r>
            <w:r>
              <w:rPr>
                <w:sz w:val="20"/>
                <w:szCs w:val="20"/>
              </w:rPr>
              <w:t xml:space="preserve"> </w:t>
            </w:r>
            <w:r w:rsidRPr="009E005A">
              <w:rPr>
                <w:sz w:val="20"/>
                <w:szCs w:val="20"/>
              </w:rPr>
              <w:t xml:space="preserve">Der Kläger legte Berufung ein. Der </w:t>
            </w:r>
            <w:r>
              <w:rPr>
                <w:sz w:val="20"/>
                <w:szCs w:val="20"/>
              </w:rPr>
              <w:t>U.S. Supreme Court</w:t>
            </w:r>
            <w:r w:rsidRPr="009E005A">
              <w:rPr>
                <w:sz w:val="20"/>
                <w:szCs w:val="20"/>
              </w:rPr>
              <w:t xml:space="preserve"> verwarf </w:t>
            </w:r>
            <w:r>
              <w:rPr>
                <w:sz w:val="20"/>
                <w:szCs w:val="20"/>
              </w:rPr>
              <w:t>die Nichtzuständigkeit des Bezirksgerichts.</w:t>
            </w:r>
            <w:r w:rsidRPr="009E005A">
              <w:rPr>
                <w:sz w:val="20"/>
                <w:szCs w:val="20"/>
              </w:rPr>
              <w:t xml:space="preserve"> </w:t>
            </w:r>
            <w:r>
              <w:rPr>
                <w:sz w:val="20"/>
                <w:szCs w:val="20"/>
              </w:rPr>
              <w:t>D</w:t>
            </w:r>
            <w:r w:rsidRPr="009E005A">
              <w:rPr>
                <w:sz w:val="20"/>
                <w:szCs w:val="20"/>
              </w:rPr>
              <w:t>ie</w:t>
            </w:r>
            <w:r>
              <w:rPr>
                <w:sz w:val="20"/>
                <w:szCs w:val="20"/>
              </w:rPr>
              <w:t xml:space="preserve">ses ließ seine Zuständigkeit darauf beruhen, </w:t>
            </w:r>
            <w:r w:rsidRPr="009E005A">
              <w:rPr>
                <w:sz w:val="20"/>
                <w:szCs w:val="20"/>
              </w:rPr>
              <w:t xml:space="preserve">zwischen Eigentumsrechten </w:t>
            </w:r>
            <w:r>
              <w:rPr>
                <w:sz w:val="20"/>
                <w:szCs w:val="20"/>
              </w:rPr>
              <w:t>– Zuständigkeit bestand – </w:t>
            </w:r>
            <w:r w:rsidRPr="009E005A">
              <w:rPr>
                <w:sz w:val="20"/>
                <w:szCs w:val="20"/>
              </w:rPr>
              <w:t xml:space="preserve">und Persönlichkeitsrechten </w:t>
            </w:r>
            <w:r>
              <w:rPr>
                <w:sz w:val="20"/>
                <w:szCs w:val="20"/>
              </w:rPr>
              <w:t xml:space="preserve">– Zuständigkeit bestand nicht – zu unterscheiden </w:t>
            </w:r>
            <w:r w:rsidRPr="009E005A">
              <w:rPr>
                <w:sz w:val="20"/>
                <w:szCs w:val="20"/>
              </w:rPr>
              <w:t xml:space="preserve">nach 28 U.S.C.S. </w:t>
            </w:r>
            <w:r>
              <w:rPr>
                <w:sz w:val="20"/>
                <w:szCs w:val="20"/>
              </w:rPr>
              <w:t>§ </w:t>
            </w:r>
            <w:r w:rsidRPr="009E005A">
              <w:rPr>
                <w:sz w:val="20"/>
                <w:szCs w:val="20"/>
              </w:rPr>
              <w:t>1343(3).</w:t>
            </w:r>
            <w:r>
              <w:rPr>
                <w:sz w:val="20"/>
                <w:szCs w:val="20"/>
              </w:rPr>
              <w:t xml:space="preserve"> Doch</w:t>
            </w:r>
            <w:r w:rsidRPr="009E005A">
              <w:rPr>
                <w:sz w:val="20"/>
                <w:szCs w:val="20"/>
              </w:rPr>
              <w:t xml:space="preserve"> </w:t>
            </w:r>
            <w:r>
              <w:rPr>
                <w:sz w:val="20"/>
                <w:szCs w:val="20"/>
              </w:rPr>
              <w:t>der U.S. Supreme Court urteilte, § </w:t>
            </w:r>
            <w:r w:rsidRPr="009E005A">
              <w:rPr>
                <w:sz w:val="20"/>
                <w:szCs w:val="20"/>
              </w:rPr>
              <w:t xml:space="preserve">1343(3) gelte </w:t>
            </w:r>
            <w:r>
              <w:rPr>
                <w:sz w:val="20"/>
                <w:szCs w:val="20"/>
              </w:rPr>
              <w:t>vor allem bei Missbrauch staatlichen Handelns</w:t>
            </w:r>
            <w:r w:rsidRPr="009E005A">
              <w:rPr>
                <w:sz w:val="20"/>
                <w:szCs w:val="20"/>
              </w:rPr>
              <w:t xml:space="preserve">. </w:t>
            </w:r>
            <w:r>
              <w:rPr>
                <w:sz w:val="20"/>
                <w:szCs w:val="20"/>
              </w:rPr>
              <w:t>Doch lag dieser hier nicht vor. Und d</w:t>
            </w:r>
            <w:r w:rsidRPr="009E005A">
              <w:rPr>
                <w:sz w:val="20"/>
                <w:szCs w:val="20"/>
              </w:rPr>
              <w:t xml:space="preserve">aher sei es </w:t>
            </w:r>
            <w:r>
              <w:rPr>
                <w:sz w:val="20"/>
                <w:szCs w:val="20"/>
              </w:rPr>
              <w:t xml:space="preserve">auch </w:t>
            </w:r>
            <w:r w:rsidRPr="009E005A">
              <w:rPr>
                <w:sz w:val="20"/>
                <w:szCs w:val="20"/>
              </w:rPr>
              <w:t xml:space="preserve">nicht notwendig, zwischen persönlichem und materiellem Eigentum </w:t>
            </w:r>
            <w:r>
              <w:rPr>
                <w:sz w:val="20"/>
                <w:szCs w:val="20"/>
              </w:rPr>
              <w:t xml:space="preserve">o.Ä. </w:t>
            </w:r>
            <w:r w:rsidRPr="009E005A">
              <w:rPr>
                <w:sz w:val="20"/>
                <w:szCs w:val="20"/>
              </w:rPr>
              <w:t xml:space="preserve">zu </w:t>
            </w:r>
            <w:r>
              <w:rPr>
                <w:sz w:val="20"/>
                <w:szCs w:val="20"/>
              </w:rPr>
              <w:t>unterscheiden</w:t>
            </w:r>
            <w:r w:rsidRPr="009E005A">
              <w:rPr>
                <w:sz w:val="20"/>
                <w:szCs w:val="20"/>
              </w:rPr>
              <w:t xml:space="preserve">, um </w:t>
            </w:r>
            <w:r>
              <w:rPr>
                <w:sz w:val="20"/>
                <w:szCs w:val="20"/>
              </w:rPr>
              <w:t>§ </w:t>
            </w:r>
            <w:r w:rsidRPr="009E005A">
              <w:rPr>
                <w:sz w:val="20"/>
                <w:szCs w:val="20"/>
              </w:rPr>
              <w:t>1343(3)</w:t>
            </w:r>
            <w:r>
              <w:rPr>
                <w:sz w:val="20"/>
                <w:szCs w:val="20"/>
              </w:rPr>
              <w:t xml:space="preserve"> abzugrenzen</w:t>
            </w:r>
            <w:r w:rsidRPr="009E005A">
              <w:rPr>
                <w:sz w:val="20"/>
                <w:szCs w:val="20"/>
              </w:rPr>
              <w:t xml:space="preserve">. </w:t>
            </w:r>
            <w:r>
              <w:rPr>
                <w:sz w:val="20"/>
                <w:szCs w:val="20"/>
              </w:rPr>
              <w:t>Auch unabhängig vom Fall lehnte der U.S. Supreme Court ab, den</w:t>
            </w:r>
            <w:r w:rsidRPr="009E005A">
              <w:rPr>
                <w:sz w:val="20"/>
                <w:szCs w:val="20"/>
              </w:rPr>
              <w:t xml:space="preserve"> </w:t>
            </w:r>
            <w:r>
              <w:rPr>
                <w:sz w:val="20"/>
                <w:szCs w:val="20"/>
              </w:rPr>
              <w:t>§ </w:t>
            </w:r>
            <w:r w:rsidRPr="009E005A">
              <w:rPr>
                <w:sz w:val="20"/>
                <w:szCs w:val="20"/>
              </w:rPr>
              <w:t xml:space="preserve">1343(3) </w:t>
            </w:r>
            <w:r>
              <w:rPr>
                <w:sz w:val="20"/>
                <w:szCs w:val="20"/>
              </w:rPr>
              <w:t>derart zu beschränken. Denn dessen Sinn und Zweck beziehe sich nur auf die persönlichen Freiheiten.</w:t>
            </w:r>
            <w:r w:rsidRPr="009E005A">
              <w:rPr>
                <w:sz w:val="20"/>
                <w:szCs w:val="20"/>
              </w:rPr>
              <w:t xml:space="preserve"> </w:t>
            </w:r>
            <w:r>
              <w:rPr>
                <w:sz w:val="20"/>
                <w:szCs w:val="20"/>
              </w:rPr>
              <w:t xml:space="preserve">Und wie sich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zeige, sei e</w:t>
            </w:r>
            <w:r w:rsidRPr="009E005A">
              <w:rPr>
                <w:sz w:val="20"/>
                <w:szCs w:val="20"/>
              </w:rPr>
              <w:t xml:space="preserve">in Eigentumsrecht </w:t>
            </w:r>
            <w:r>
              <w:rPr>
                <w:sz w:val="20"/>
                <w:szCs w:val="20"/>
              </w:rPr>
              <w:t xml:space="preserve">ohnehin auch ein </w:t>
            </w:r>
            <w:r w:rsidRPr="009E005A">
              <w:rPr>
                <w:sz w:val="20"/>
                <w:szCs w:val="20"/>
              </w:rPr>
              <w:t>persönliche</w:t>
            </w:r>
            <w:r>
              <w:rPr>
                <w:sz w:val="20"/>
                <w:szCs w:val="20"/>
              </w:rPr>
              <w:t xml:space="preserve">s </w:t>
            </w:r>
            <w:r w:rsidRPr="009E005A">
              <w:rPr>
                <w:sz w:val="20"/>
                <w:szCs w:val="20"/>
              </w:rPr>
              <w:t xml:space="preserve">Recht. </w:t>
            </w:r>
            <w:r>
              <w:rPr>
                <w:sz w:val="20"/>
                <w:szCs w:val="20"/>
              </w:rPr>
              <w:t>Eine Aufspaltung sei lebensfremd, so der U.S. Supreme Court. Und auch d</w:t>
            </w:r>
            <w:r w:rsidRPr="009E005A">
              <w:rPr>
                <w:sz w:val="20"/>
                <w:szCs w:val="20"/>
              </w:rPr>
              <w:t>as Anti-</w:t>
            </w:r>
            <w:proofErr w:type="spellStart"/>
            <w:r w:rsidRPr="009E005A">
              <w:rPr>
                <w:sz w:val="20"/>
                <w:szCs w:val="20"/>
              </w:rPr>
              <w:t>Injunction</w:t>
            </w:r>
            <w:proofErr w:type="spellEnd"/>
            <w:r w:rsidRPr="009E005A">
              <w:rPr>
                <w:sz w:val="20"/>
                <w:szCs w:val="20"/>
              </w:rPr>
              <w:t xml:space="preserve">-Gesetz, 28 U.S.C.S. </w:t>
            </w:r>
            <w:r>
              <w:rPr>
                <w:sz w:val="20"/>
                <w:szCs w:val="20"/>
              </w:rPr>
              <w:t>§ </w:t>
            </w:r>
            <w:r w:rsidRPr="009E005A">
              <w:rPr>
                <w:sz w:val="20"/>
                <w:szCs w:val="20"/>
              </w:rPr>
              <w:t>2283</w:t>
            </w:r>
            <w:r>
              <w:rPr>
                <w:sz w:val="20"/>
                <w:szCs w:val="20"/>
              </w:rPr>
              <w:t xml:space="preserve"> verwehre die Zuständigkeit des</w:t>
            </w:r>
            <w:r w:rsidRPr="009E005A">
              <w:rPr>
                <w:sz w:val="20"/>
                <w:szCs w:val="20"/>
              </w:rPr>
              <w:t xml:space="preserve"> Bezirksgericht</w:t>
            </w:r>
            <w:r>
              <w:rPr>
                <w:sz w:val="20"/>
                <w:szCs w:val="20"/>
              </w:rPr>
              <w:t>s</w:t>
            </w:r>
            <w:r w:rsidRPr="009E005A">
              <w:rPr>
                <w:sz w:val="20"/>
                <w:szCs w:val="20"/>
              </w:rPr>
              <w:t xml:space="preserve"> nicht</w:t>
            </w:r>
            <w:r>
              <w:rPr>
                <w:sz w:val="20"/>
                <w:szCs w:val="20"/>
              </w:rPr>
              <w:t>. Vielmehr sei d</w:t>
            </w:r>
            <w:r w:rsidRPr="009E005A">
              <w:rPr>
                <w:sz w:val="20"/>
                <w:szCs w:val="20"/>
              </w:rPr>
              <w:t xml:space="preserve">ie Klage des Schuldners </w:t>
            </w:r>
            <w:r>
              <w:rPr>
                <w:sz w:val="20"/>
                <w:szCs w:val="20"/>
              </w:rPr>
              <w:t xml:space="preserve">auch als </w:t>
            </w:r>
            <w:proofErr w:type="spellStart"/>
            <w:r>
              <w:rPr>
                <w:sz w:val="20"/>
                <w:szCs w:val="20"/>
              </w:rPr>
              <w:t>Injunction</w:t>
            </w:r>
            <w:proofErr w:type="spellEnd"/>
            <w:r>
              <w:rPr>
                <w:sz w:val="20"/>
                <w:szCs w:val="20"/>
              </w:rPr>
              <w:t xml:space="preserve"> anhand von</w:t>
            </w:r>
            <w:r w:rsidRPr="009E005A">
              <w:rPr>
                <w:sz w:val="20"/>
                <w:szCs w:val="20"/>
              </w:rPr>
              <w:t xml:space="preserve"> 42 U.S.C.S. </w:t>
            </w:r>
            <w:r>
              <w:rPr>
                <w:sz w:val="20"/>
                <w:szCs w:val="20"/>
              </w:rPr>
              <w:t>§ </w:t>
            </w:r>
            <w:r w:rsidRPr="009E005A">
              <w:rPr>
                <w:sz w:val="20"/>
                <w:szCs w:val="20"/>
              </w:rPr>
              <w:t>1983</w:t>
            </w:r>
            <w:r>
              <w:rPr>
                <w:rStyle w:val="Funotenzeichen"/>
                <w:sz w:val="20"/>
                <w:szCs w:val="20"/>
              </w:rPr>
              <w:footnoteReference w:id="1196"/>
            </w:r>
            <w:r w:rsidRPr="009E005A">
              <w:rPr>
                <w:sz w:val="20"/>
                <w:szCs w:val="20"/>
              </w:rPr>
              <w:t xml:space="preserve"> </w:t>
            </w:r>
            <w:r>
              <w:rPr>
                <w:sz w:val="20"/>
                <w:szCs w:val="20"/>
              </w:rPr>
              <w:t xml:space="preserve">bzw. des </w:t>
            </w:r>
            <w:r w:rsidRPr="009E005A">
              <w:rPr>
                <w:sz w:val="20"/>
                <w:szCs w:val="20"/>
              </w:rPr>
              <w:t>Pfändungsgesetz Connecticut</w:t>
            </w:r>
            <w:r>
              <w:rPr>
                <w:sz w:val="20"/>
                <w:szCs w:val="20"/>
              </w:rPr>
              <w:t>s</w:t>
            </w:r>
            <w:r w:rsidRPr="009E005A">
              <w:rPr>
                <w:sz w:val="20"/>
                <w:szCs w:val="20"/>
              </w:rPr>
              <w:t xml:space="preserve"> zu prüfen</w:t>
            </w:r>
            <w:r>
              <w:rPr>
                <w:sz w:val="20"/>
                <w:szCs w:val="20"/>
              </w:rPr>
              <w:t>. Zwar hätte eine Pfändung durch Beamte eine Unzuständigkeit begründet. Aber hier handelten eben keine Beamten.</w:t>
            </w:r>
            <w:r>
              <w:rPr>
                <w:rStyle w:val="Funotenzeichen"/>
                <w:sz w:val="20"/>
                <w:szCs w:val="20"/>
              </w:rPr>
              <w:footnoteReference w:id="1197"/>
            </w:r>
          </w:p>
        </w:tc>
        <w:tc>
          <w:tcPr>
            <w:tcW w:w="1822" w:type="pct"/>
          </w:tcPr>
          <w:p w14:paraId="31969FEE" w14:textId="77777777" w:rsidR="00074551" w:rsidRPr="00B45592" w:rsidRDefault="00074551" w:rsidP="00367133">
            <w:pPr>
              <w:rPr>
                <w:i/>
                <w:sz w:val="20"/>
                <w:szCs w:val="20"/>
              </w:rPr>
            </w:pPr>
            <w:r w:rsidRPr="00B45592">
              <w:rPr>
                <w:i/>
                <w:sz w:val="20"/>
                <w:szCs w:val="20"/>
              </w:rPr>
              <w:t xml:space="preserve">LexisNexis-Klassifikation: Constitutional Law › Substantive Due </w:t>
            </w:r>
            <w:proofErr w:type="spellStart"/>
            <w:r w:rsidRPr="00B45592">
              <w:rPr>
                <w:i/>
                <w:sz w:val="20"/>
                <w:szCs w:val="20"/>
              </w:rPr>
              <w:t>Process</w:t>
            </w:r>
            <w:proofErr w:type="spellEnd"/>
            <w:r w:rsidRPr="00B45592">
              <w:rPr>
                <w:i/>
                <w:sz w:val="20"/>
                <w:szCs w:val="20"/>
              </w:rPr>
              <w:t xml:space="preserve"> › Scope</w:t>
            </w:r>
          </w:p>
          <w:p w14:paraId="7A823C22" w14:textId="77777777" w:rsidR="00074551" w:rsidRPr="00B45592" w:rsidRDefault="00074551" w:rsidP="00367133">
            <w:pPr>
              <w:rPr>
                <w:sz w:val="20"/>
                <w:szCs w:val="20"/>
              </w:rPr>
            </w:pPr>
          </w:p>
          <w:p w14:paraId="7149D9E9" w14:textId="4B8EA42A" w:rsidR="00074551" w:rsidRPr="008808AD" w:rsidRDefault="00074551" w:rsidP="00367133">
            <w:pPr>
              <w:rPr>
                <w:sz w:val="20"/>
                <w:szCs w:val="20"/>
              </w:rPr>
            </w:pPr>
            <w:r w:rsidRPr="008808AD">
              <w:rPr>
                <w:sz w:val="20"/>
                <w:szCs w:val="20"/>
              </w:rPr>
              <w:t xml:space="preserve">Der </w:t>
            </w:r>
            <w:r>
              <w:rPr>
                <w:sz w:val="20"/>
                <w:szCs w:val="20"/>
              </w:rPr>
              <w:t>U.S. Supreme Court</w:t>
            </w:r>
            <w:r w:rsidRPr="008808AD">
              <w:rPr>
                <w:sz w:val="20"/>
                <w:szCs w:val="20"/>
              </w:rPr>
              <w:t xml:space="preserve"> hat den Unterschied zwischen persönlichen Freiheiten und Eigentumsrechten nie als Leitfaden für die Zuständigkeit nach </w:t>
            </w:r>
            <w:r>
              <w:rPr>
                <w:sz w:val="20"/>
                <w:szCs w:val="20"/>
              </w:rPr>
              <w:t>§ </w:t>
            </w:r>
            <w:r w:rsidRPr="008808AD">
              <w:rPr>
                <w:sz w:val="20"/>
                <w:szCs w:val="20"/>
              </w:rPr>
              <w:t>1343(3)</w:t>
            </w:r>
            <w:r w:rsidRPr="008808AD">
              <w:rPr>
                <w:sz w:val="20"/>
                <w:szCs w:val="20"/>
                <w:vertAlign w:val="superscript"/>
              </w:rPr>
              <w:t xml:space="preserve"> </w:t>
            </w:r>
            <w:r w:rsidRPr="008808AD">
              <w:rPr>
                <w:sz w:val="20"/>
                <w:szCs w:val="20"/>
                <w:vertAlign w:val="superscript"/>
              </w:rPr>
              <w:footnoteReference w:id="1198"/>
            </w:r>
            <w:r w:rsidRPr="008808AD">
              <w:rPr>
                <w:sz w:val="20"/>
                <w:szCs w:val="20"/>
              </w:rPr>
              <w:t xml:space="preserve"> ausgegeben; die untere In</w:t>
            </w:r>
            <w:r>
              <w:rPr>
                <w:sz w:val="20"/>
                <w:szCs w:val="20"/>
              </w:rPr>
              <w:t>st</w:t>
            </w:r>
            <w:r w:rsidRPr="008808AD">
              <w:rPr>
                <w:sz w:val="20"/>
                <w:szCs w:val="20"/>
              </w:rPr>
              <w:t xml:space="preserve">anz meinte: Für das eine (Eigentum) sei sie zuständig, für das andere (persönliche Freiheit) nicht. </w:t>
            </w:r>
            <w:r>
              <w:rPr>
                <w:sz w:val="20"/>
                <w:szCs w:val="20"/>
              </w:rPr>
              <w:t>Aber</w:t>
            </w:r>
            <w:r w:rsidRPr="008808AD">
              <w:rPr>
                <w:sz w:val="20"/>
                <w:szCs w:val="20"/>
              </w:rPr>
              <w:t xml:space="preserve"> ihre Zuständigkeit bestand doch, so der </w:t>
            </w:r>
            <w:r>
              <w:rPr>
                <w:sz w:val="20"/>
                <w:szCs w:val="20"/>
              </w:rPr>
              <w:t>U.S. Supreme Court</w:t>
            </w:r>
            <w:r w:rsidRPr="008808AD">
              <w:rPr>
                <w:sz w:val="20"/>
                <w:szCs w:val="20"/>
              </w:rPr>
              <w:t xml:space="preserve">. Die Argumentation zur Zuständigkeit umfasste auch das Streben nach Glück. </w:t>
            </w:r>
            <w:r w:rsidRPr="00B45592">
              <w:rPr>
                <w:sz w:val="20"/>
                <w:szCs w:val="20"/>
                <w:lang w:val="en-IE"/>
              </w:rPr>
              <w:t xml:space="preserve">Der U.S. Supreme Court </w:t>
            </w:r>
            <w:proofErr w:type="spellStart"/>
            <w:r w:rsidRPr="00B45592">
              <w:rPr>
                <w:sz w:val="20"/>
                <w:szCs w:val="20"/>
                <w:lang w:val="en-IE"/>
              </w:rPr>
              <w:t>begann</w:t>
            </w:r>
            <w:proofErr w:type="spellEnd"/>
            <w:r w:rsidRPr="00B45592">
              <w:rPr>
                <w:sz w:val="20"/>
                <w:szCs w:val="20"/>
                <w:lang w:val="en-IE"/>
              </w:rPr>
              <w:t xml:space="preserve"> </w:t>
            </w:r>
            <w:proofErr w:type="spellStart"/>
            <w:r w:rsidRPr="00B45592">
              <w:rPr>
                <w:sz w:val="20"/>
                <w:szCs w:val="20"/>
                <w:lang w:val="en-IE"/>
              </w:rPr>
              <w:t>mit</w:t>
            </w:r>
            <w:proofErr w:type="spellEnd"/>
            <w:r w:rsidRPr="00B45592">
              <w:rPr>
                <w:sz w:val="20"/>
                <w:szCs w:val="20"/>
                <w:lang w:val="en-IE"/>
              </w:rPr>
              <w:t xml:space="preserve"> </w:t>
            </w:r>
            <w:r w:rsidR="00023A37">
              <w:rPr>
                <w:sz w:val="20"/>
                <w:szCs w:val="20"/>
                <w:lang w:val="en-IE"/>
              </w:rPr>
              <w:t>U.S. Const. amend. XIV.</w:t>
            </w:r>
            <w:r w:rsidRPr="00B45592">
              <w:rPr>
                <w:sz w:val="20"/>
                <w:szCs w:val="20"/>
                <w:lang w:val="en-IE"/>
              </w:rPr>
              <w:t xml:space="preserve"> </w:t>
            </w:r>
            <w:r>
              <w:rPr>
                <w:sz w:val="20"/>
                <w:szCs w:val="20"/>
              </w:rPr>
              <w:t>Dieses</w:t>
            </w:r>
            <w:r w:rsidRPr="008808AD">
              <w:rPr>
                <w:sz w:val="20"/>
                <w:szCs w:val="20"/>
              </w:rPr>
              <w:t xml:space="preserve"> solle auf </w:t>
            </w:r>
            <w:proofErr w:type="gramStart"/>
            <w:r w:rsidRPr="008808AD">
              <w:rPr>
                <w:sz w:val="20"/>
                <w:szCs w:val="20"/>
              </w:rPr>
              <w:t>Verfassungsebene</w:t>
            </w:r>
            <w:proofErr w:type="gramEnd"/>
            <w:r w:rsidRPr="008808AD">
              <w:rPr>
                <w:sz w:val="20"/>
                <w:szCs w:val="20"/>
              </w:rPr>
              <w:t xml:space="preserve"> die bereits im </w:t>
            </w:r>
            <w:proofErr w:type="spellStart"/>
            <w:r w:rsidRPr="5B67C1D2">
              <w:rPr>
                <w:i/>
                <w:iCs/>
                <w:sz w:val="20"/>
                <w:szCs w:val="20"/>
              </w:rPr>
              <w:t>Civil</w:t>
            </w:r>
            <w:proofErr w:type="spellEnd"/>
            <w:r w:rsidRPr="5B67C1D2">
              <w:rPr>
                <w:i/>
                <w:iCs/>
                <w:sz w:val="20"/>
                <w:szCs w:val="20"/>
              </w:rPr>
              <w:t xml:space="preserve"> Rights Act</w:t>
            </w:r>
            <w:r w:rsidRPr="008808AD">
              <w:rPr>
                <w:sz w:val="20"/>
                <w:szCs w:val="20"/>
              </w:rPr>
              <w:t xml:space="preserve"> </w:t>
            </w:r>
            <w:r>
              <w:rPr>
                <w:sz w:val="20"/>
                <w:szCs w:val="20"/>
              </w:rPr>
              <w:t xml:space="preserve">von </w:t>
            </w:r>
            <w:r w:rsidRPr="008808AD">
              <w:rPr>
                <w:sz w:val="20"/>
                <w:szCs w:val="20"/>
              </w:rPr>
              <w:t xml:space="preserve">1866 und 1871 geschaffenen Persönlichkeitsrechte </w:t>
            </w:r>
            <w:r>
              <w:rPr>
                <w:sz w:val="20"/>
                <w:szCs w:val="20"/>
              </w:rPr>
              <w:t>verstetigen</w:t>
            </w:r>
            <w:r w:rsidRPr="008808AD">
              <w:rPr>
                <w:sz w:val="20"/>
                <w:szCs w:val="20"/>
              </w:rPr>
              <w:t xml:space="preserve">. Heute sei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8808AD">
              <w:rPr>
                <w:sz w:val="20"/>
                <w:szCs w:val="20"/>
              </w:rPr>
              <w:t>wesentliche Voraussetzung dafür, grundlegende Bürgerrechte und Freiheiten zu garantieren.</w:t>
            </w:r>
            <w:r w:rsidRPr="008808AD">
              <w:rPr>
                <w:sz w:val="20"/>
                <w:szCs w:val="20"/>
                <w:vertAlign w:val="superscript"/>
              </w:rPr>
              <w:footnoteReference w:id="1199"/>
            </w:r>
            <w:r w:rsidRPr="008808AD">
              <w:rPr>
                <w:sz w:val="20"/>
                <w:szCs w:val="20"/>
              </w:rPr>
              <w:t xml:space="preserve"> Diese Regelungsrichtung bestätigte die Gesetzgebungsgeschichte, nämlich </w:t>
            </w:r>
            <w:r>
              <w:rPr>
                <w:sz w:val="20"/>
                <w:szCs w:val="20"/>
              </w:rPr>
              <w:t>§ </w:t>
            </w:r>
            <w:r w:rsidRPr="008808AD">
              <w:rPr>
                <w:sz w:val="20"/>
                <w:szCs w:val="20"/>
              </w:rPr>
              <w:t xml:space="preserve">1 </w:t>
            </w:r>
            <w:r>
              <w:rPr>
                <w:sz w:val="20"/>
                <w:szCs w:val="20"/>
              </w:rPr>
              <w:t xml:space="preserve">des </w:t>
            </w:r>
            <w:proofErr w:type="spellStart"/>
            <w:r w:rsidRPr="5B67C1D2">
              <w:rPr>
                <w:i/>
                <w:iCs/>
                <w:sz w:val="20"/>
                <w:szCs w:val="20"/>
              </w:rPr>
              <w:t>Civil</w:t>
            </w:r>
            <w:proofErr w:type="spellEnd"/>
            <w:r w:rsidRPr="5B67C1D2">
              <w:rPr>
                <w:i/>
                <w:iCs/>
                <w:sz w:val="20"/>
                <w:szCs w:val="20"/>
              </w:rPr>
              <w:t xml:space="preserve"> Rights Act (1871)</w:t>
            </w:r>
            <w:r>
              <w:rPr>
                <w:sz w:val="20"/>
                <w:szCs w:val="20"/>
              </w:rPr>
              <w:t>.</w:t>
            </w:r>
            <w:r w:rsidRPr="008808AD">
              <w:rPr>
                <w:sz w:val="20"/>
                <w:szCs w:val="20"/>
                <w:vertAlign w:val="superscript"/>
              </w:rPr>
              <w:footnoteReference w:id="1200"/>
            </w:r>
            <w:r w:rsidRPr="008808AD">
              <w:rPr>
                <w:sz w:val="20"/>
                <w:szCs w:val="20"/>
              </w:rPr>
              <w:t xml:space="preserve"> Aus dem Paragrafen entstand </w:t>
            </w:r>
            <w:r>
              <w:rPr>
                <w:sz w:val="20"/>
                <w:szCs w:val="20"/>
              </w:rPr>
              <w:t>u.a.</w:t>
            </w:r>
            <w:r w:rsidRPr="008808AD">
              <w:rPr>
                <w:sz w:val="20"/>
                <w:szCs w:val="20"/>
              </w:rPr>
              <w:t xml:space="preserve"> §</w:t>
            </w:r>
            <w:r>
              <w:rPr>
                <w:sz w:val="20"/>
                <w:szCs w:val="20"/>
              </w:rPr>
              <w:t> </w:t>
            </w:r>
            <w:r w:rsidRPr="008808AD">
              <w:rPr>
                <w:sz w:val="20"/>
                <w:szCs w:val="20"/>
              </w:rPr>
              <w:t xml:space="preserve">1343(3), </w:t>
            </w:r>
            <w:r>
              <w:rPr>
                <w:sz w:val="20"/>
                <w:szCs w:val="20"/>
              </w:rPr>
              <w:t>aufgrund dessen</w:t>
            </w:r>
            <w:r w:rsidRPr="008808AD">
              <w:rPr>
                <w:sz w:val="20"/>
                <w:szCs w:val="20"/>
              </w:rPr>
              <w:t xml:space="preserve"> die untere Instanz ihre Zuständigkeit ablehnte. Der </w:t>
            </w:r>
            <w:r>
              <w:rPr>
                <w:sz w:val="20"/>
                <w:szCs w:val="20"/>
              </w:rPr>
              <w:t>§ </w:t>
            </w:r>
            <w:r w:rsidRPr="008808AD">
              <w:rPr>
                <w:sz w:val="20"/>
                <w:szCs w:val="20"/>
              </w:rPr>
              <w:t>1</w:t>
            </w:r>
            <w:r>
              <w:rPr>
                <w:sz w:val="20"/>
                <w:szCs w:val="20"/>
              </w:rPr>
              <w:t xml:space="preserve"> des</w:t>
            </w:r>
            <w:r w:rsidRPr="008808AD">
              <w:rPr>
                <w:sz w:val="20"/>
                <w:szCs w:val="20"/>
              </w:rPr>
              <w:t xml:space="preserve"> </w:t>
            </w:r>
            <w:proofErr w:type="spellStart"/>
            <w:r w:rsidRPr="5B67C1D2">
              <w:rPr>
                <w:i/>
                <w:iCs/>
                <w:sz w:val="20"/>
                <w:szCs w:val="20"/>
              </w:rPr>
              <w:t>Civil</w:t>
            </w:r>
            <w:proofErr w:type="spellEnd"/>
            <w:r w:rsidRPr="5B67C1D2">
              <w:rPr>
                <w:i/>
                <w:iCs/>
                <w:sz w:val="20"/>
                <w:szCs w:val="20"/>
              </w:rPr>
              <w:t xml:space="preserve"> Rights Act (1871)</w:t>
            </w:r>
            <w:r w:rsidRPr="008808AD">
              <w:rPr>
                <w:sz w:val="20"/>
                <w:szCs w:val="20"/>
              </w:rPr>
              <w:t xml:space="preserve"> leitete sich wiederum nicht nur aus </w:t>
            </w:r>
            <w:r>
              <w:rPr>
                <w:sz w:val="20"/>
                <w:szCs w:val="20"/>
              </w:rPr>
              <w:t>§ </w:t>
            </w:r>
            <w:r w:rsidRPr="008808AD">
              <w:rPr>
                <w:sz w:val="20"/>
                <w:szCs w:val="20"/>
              </w:rPr>
              <w:t xml:space="preserve">2 </w:t>
            </w:r>
            <w:r>
              <w:rPr>
                <w:sz w:val="20"/>
                <w:szCs w:val="20"/>
              </w:rPr>
              <w:t xml:space="preserve">des </w:t>
            </w:r>
            <w:proofErr w:type="spellStart"/>
            <w:r w:rsidRPr="5B67C1D2">
              <w:rPr>
                <w:i/>
                <w:iCs/>
                <w:sz w:val="20"/>
                <w:szCs w:val="20"/>
              </w:rPr>
              <w:t>Civil</w:t>
            </w:r>
            <w:proofErr w:type="spellEnd"/>
            <w:r w:rsidRPr="5B67C1D2">
              <w:rPr>
                <w:i/>
                <w:iCs/>
                <w:sz w:val="20"/>
                <w:szCs w:val="20"/>
              </w:rPr>
              <w:t xml:space="preserve"> Rights Act (1866)</w:t>
            </w:r>
            <w:r w:rsidRPr="008808AD">
              <w:rPr>
                <w:sz w:val="20"/>
                <w:szCs w:val="20"/>
                <w:vertAlign w:val="superscript"/>
              </w:rPr>
              <w:footnoteReference w:id="1201"/>
            </w:r>
            <w:r w:rsidRPr="008808AD">
              <w:rPr>
                <w:sz w:val="20"/>
                <w:szCs w:val="20"/>
              </w:rPr>
              <w:t xml:space="preserve"> ab. Sondern der Kongress verabschiedete den </w:t>
            </w:r>
            <w:proofErr w:type="spellStart"/>
            <w:r w:rsidRPr="5B67C1D2">
              <w:rPr>
                <w:i/>
                <w:iCs/>
                <w:sz w:val="20"/>
                <w:szCs w:val="20"/>
              </w:rPr>
              <w:t>Civil</w:t>
            </w:r>
            <w:proofErr w:type="spellEnd"/>
            <w:r w:rsidRPr="5B67C1D2">
              <w:rPr>
                <w:i/>
                <w:iCs/>
                <w:sz w:val="20"/>
                <w:szCs w:val="20"/>
              </w:rPr>
              <w:t xml:space="preserve"> Rights Act</w:t>
            </w:r>
            <w:r w:rsidRPr="008808AD">
              <w:rPr>
                <w:sz w:val="20"/>
                <w:szCs w:val="20"/>
              </w:rPr>
              <w:t xml:space="preserve"> </w:t>
            </w:r>
            <w:r w:rsidRPr="5B67C1D2">
              <w:rPr>
                <w:i/>
                <w:iCs/>
                <w:sz w:val="20"/>
                <w:szCs w:val="20"/>
              </w:rPr>
              <w:t>(1871)</w:t>
            </w:r>
            <w:r w:rsidRPr="008808AD">
              <w:rPr>
                <w:sz w:val="20"/>
                <w:szCs w:val="20"/>
              </w:rPr>
              <w:t xml:space="preserve"> ausdrücklich, um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808AD">
              <w:rPr>
                <w:sz w:val="20"/>
                <w:szCs w:val="20"/>
              </w:rPr>
              <w:t xml:space="preserve"> noch effektiver durchzusetzen. Was der </w:t>
            </w:r>
            <w:proofErr w:type="spellStart"/>
            <w:r w:rsidRPr="5B67C1D2">
              <w:rPr>
                <w:i/>
                <w:iCs/>
                <w:sz w:val="20"/>
                <w:szCs w:val="20"/>
              </w:rPr>
              <w:t>Civil</w:t>
            </w:r>
            <w:proofErr w:type="spellEnd"/>
            <w:r w:rsidRPr="5B67C1D2">
              <w:rPr>
                <w:i/>
                <w:iCs/>
                <w:sz w:val="20"/>
                <w:szCs w:val="20"/>
              </w:rPr>
              <w:t xml:space="preserve"> Rights Act (1871)</w:t>
            </w:r>
            <w:r w:rsidRPr="008808AD">
              <w:rPr>
                <w:sz w:val="20"/>
                <w:szCs w:val="20"/>
              </w:rPr>
              <w:t xml:space="preserve">, respektive der </w:t>
            </w:r>
            <w:proofErr w:type="spellStart"/>
            <w:r w:rsidRPr="5B67C1D2">
              <w:rPr>
                <w:i/>
                <w:iCs/>
                <w:sz w:val="20"/>
                <w:szCs w:val="20"/>
              </w:rPr>
              <w:t>Civil</w:t>
            </w:r>
            <w:proofErr w:type="spellEnd"/>
            <w:r w:rsidRPr="5B67C1D2">
              <w:rPr>
                <w:i/>
                <w:iCs/>
                <w:sz w:val="20"/>
                <w:szCs w:val="20"/>
              </w:rPr>
              <w:t xml:space="preserve"> Rights Act (1866)</w:t>
            </w:r>
            <w:r w:rsidRPr="008808AD">
              <w:rPr>
                <w:sz w:val="20"/>
                <w:szCs w:val="20"/>
              </w:rPr>
              <w:t xml:space="preserve">, schützen wollte, fasste der Vorsitzende des </w:t>
            </w:r>
            <w:r w:rsidRPr="5B67C1D2">
              <w:rPr>
                <w:i/>
                <w:iCs/>
                <w:sz w:val="20"/>
                <w:szCs w:val="20"/>
              </w:rPr>
              <w:t>House Select Committee</w:t>
            </w:r>
            <w:r w:rsidRPr="008808AD">
              <w:rPr>
                <w:sz w:val="20"/>
                <w:szCs w:val="20"/>
              </w:rPr>
              <w:t xml:space="preserve"> zusammen: Das Leben und die Freiheit wahrnehmen zu können, und das Recht, Eigentum jeglicher Art zu erwerben und zu besitzen, sowie damit Glück und Sicherheit zu verfolgen und erlangen zu können („The </w:t>
            </w:r>
            <w:proofErr w:type="spellStart"/>
            <w:r w:rsidRPr="008808AD">
              <w:rPr>
                <w:sz w:val="20"/>
                <w:szCs w:val="20"/>
              </w:rPr>
              <w:t>broad</w:t>
            </w:r>
            <w:proofErr w:type="spellEnd"/>
            <w:r w:rsidRPr="008808AD">
              <w:rPr>
                <w:sz w:val="20"/>
                <w:szCs w:val="20"/>
              </w:rPr>
              <w:t xml:space="preserve"> </w:t>
            </w:r>
            <w:proofErr w:type="spellStart"/>
            <w:r w:rsidRPr="008808AD">
              <w:rPr>
                <w:sz w:val="20"/>
                <w:szCs w:val="20"/>
              </w:rPr>
              <w:t>concept</w:t>
            </w:r>
            <w:proofErr w:type="spellEnd"/>
            <w:r w:rsidRPr="008808AD">
              <w:rPr>
                <w:sz w:val="20"/>
                <w:szCs w:val="20"/>
              </w:rPr>
              <w:t xml:space="preserve"> of </w:t>
            </w:r>
            <w:proofErr w:type="spellStart"/>
            <w:r w:rsidRPr="008808AD">
              <w:rPr>
                <w:sz w:val="20"/>
                <w:szCs w:val="20"/>
              </w:rPr>
              <w:t>civil</w:t>
            </w:r>
            <w:proofErr w:type="spellEnd"/>
            <w:r w:rsidRPr="008808AD">
              <w:rPr>
                <w:sz w:val="20"/>
                <w:szCs w:val="20"/>
              </w:rPr>
              <w:t xml:space="preserve"> </w:t>
            </w:r>
            <w:proofErr w:type="spellStart"/>
            <w:r w:rsidRPr="008808AD">
              <w:rPr>
                <w:sz w:val="20"/>
                <w:szCs w:val="20"/>
              </w:rPr>
              <w:t>rights</w:t>
            </w:r>
            <w:proofErr w:type="spellEnd"/>
            <w:r w:rsidRPr="008808AD">
              <w:rPr>
                <w:sz w:val="20"/>
                <w:szCs w:val="20"/>
              </w:rPr>
              <w:t xml:space="preserve"> </w:t>
            </w:r>
            <w:proofErr w:type="spellStart"/>
            <w:r w:rsidRPr="008808AD">
              <w:rPr>
                <w:sz w:val="20"/>
                <w:szCs w:val="20"/>
              </w:rPr>
              <w:t>embodied</w:t>
            </w:r>
            <w:proofErr w:type="spellEnd"/>
            <w:r w:rsidRPr="008808AD">
              <w:rPr>
                <w:sz w:val="20"/>
                <w:szCs w:val="20"/>
              </w:rPr>
              <w:t xml:space="preserve"> in the 1866 Act and in the </w:t>
            </w:r>
            <w:proofErr w:type="spellStart"/>
            <w:r w:rsidRPr="008808AD">
              <w:rPr>
                <w:sz w:val="20"/>
                <w:szCs w:val="20"/>
              </w:rPr>
              <w:t>Fourteenth</w:t>
            </w:r>
            <w:proofErr w:type="spellEnd"/>
            <w:r w:rsidRPr="008808AD">
              <w:rPr>
                <w:sz w:val="20"/>
                <w:szCs w:val="20"/>
              </w:rPr>
              <w:t xml:space="preserve"> Amendment </w:t>
            </w:r>
            <w:proofErr w:type="spellStart"/>
            <w:r w:rsidRPr="008808AD">
              <w:rPr>
                <w:sz w:val="20"/>
                <w:szCs w:val="20"/>
              </w:rPr>
              <w:t>is</w:t>
            </w:r>
            <w:proofErr w:type="spellEnd"/>
            <w:r w:rsidRPr="008808AD">
              <w:rPr>
                <w:sz w:val="20"/>
                <w:szCs w:val="20"/>
              </w:rPr>
              <w:t xml:space="preserve"> </w:t>
            </w:r>
            <w:proofErr w:type="spellStart"/>
            <w:r w:rsidRPr="008808AD">
              <w:rPr>
                <w:sz w:val="20"/>
                <w:szCs w:val="20"/>
              </w:rPr>
              <w:t>unmistakably</w:t>
            </w:r>
            <w:proofErr w:type="spellEnd"/>
            <w:r w:rsidRPr="008808AD">
              <w:rPr>
                <w:sz w:val="20"/>
                <w:szCs w:val="20"/>
              </w:rPr>
              <w:t xml:space="preserve"> evident in the legislative </w:t>
            </w:r>
            <w:proofErr w:type="spellStart"/>
            <w:r w:rsidRPr="008808AD">
              <w:rPr>
                <w:sz w:val="20"/>
                <w:szCs w:val="20"/>
              </w:rPr>
              <w:t>history</w:t>
            </w:r>
            <w:proofErr w:type="spellEnd"/>
            <w:r w:rsidRPr="008808AD">
              <w:rPr>
                <w:sz w:val="20"/>
                <w:szCs w:val="20"/>
              </w:rPr>
              <w:t xml:space="preserve"> of </w:t>
            </w:r>
            <w:r>
              <w:rPr>
                <w:sz w:val="20"/>
                <w:szCs w:val="20"/>
              </w:rPr>
              <w:t>§ </w:t>
            </w:r>
            <w:r w:rsidRPr="008808AD">
              <w:rPr>
                <w:sz w:val="20"/>
                <w:szCs w:val="20"/>
              </w:rPr>
              <w:t xml:space="preserve">1 of the </w:t>
            </w:r>
            <w:proofErr w:type="spellStart"/>
            <w:r w:rsidRPr="008808AD">
              <w:rPr>
                <w:sz w:val="20"/>
                <w:szCs w:val="20"/>
              </w:rPr>
              <w:t>Civil</w:t>
            </w:r>
            <w:proofErr w:type="spellEnd"/>
            <w:r w:rsidRPr="008808AD">
              <w:rPr>
                <w:sz w:val="20"/>
                <w:szCs w:val="20"/>
              </w:rPr>
              <w:t xml:space="preserve"> Rights Act of 1871 […] </w:t>
            </w:r>
            <w:proofErr w:type="spellStart"/>
            <w:r w:rsidRPr="008808AD">
              <w:rPr>
                <w:sz w:val="20"/>
                <w:szCs w:val="20"/>
              </w:rPr>
              <w:t>with</w:t>
            </w:r>
            <w:proofErr w:type="spellEnd"/>
            <w:r w:rsidRPr="008808AD">
              <w:rPr>
                <w:sz w:val="20"/>
                <w:szCs w:val="20"/>
              </w:rPr>
              <w:t xml:space="preserve"> the </w:t>
            </w:r>
            <w:proofErr w:type="spellStart"/>
            <w:r w:rsidRPr="008808AD">
              <w:rPr>
                <w:sz w:val="20"/>
                <w:szCs w:val="20"/>
              </w:rPr>
              <w:t>right</w:t>
            </w:r>
            <w:proofErr w:type="spellEnd"/>
            <w:r w:rsidRPr="008808AD">
              <w:rPr>
                <w:sz w:val="20"/>
                <w:szCs w:val="20"/>
              </w:rPr>
              <w:t xml:space="preserve"> to […] </w:t>
            </w:r>
            <w:proofErr w:type="spellStart"/>
            <w:r w:rsidRPr="008808AD">
              <w:rPr>
                <w:sz w:val="20"/>
                <w:szCs w:val="20"/>
              </w:rPr>
              <w:t>pursue</w:t>
            </w:r>
            <w:proofErr w:type="spellEnd"/>
            <w:r w:rsidRPr="008808AD">
              <w:rPr>
                <w:sz w:val="20"/>
                <w:szCs w:val="20"/>
              </w:rPr>
              <w:t xml:space="preserve"> and </w:t>
            </w:r>
            <w:proofErr w:type="spellStart"/>
            <w:r w:rsidRPr="008808AD">
              <w:rPr>
                <w:sz w:val="20"/>
                <w:szCs w:val="20"/>
              </w:rPr>
              <w:t>obtain</w:t>
            </w:r>
            <w:proofErr w:type="spellEnd"/>
            <w:r w:rsidRPr="008808AD">
              <w:rPr>
                <w:sz w:val="20"/>
                <w:szCs w:val="20"/>
              </w:rPr>
              <w:t xml:space="preserve"> </w:t>
            </w:r>
            <w:proofErr w:type="spellStart"/>
            <w:r w:rsidRPr="008808AD">
              <w:rPr>
                <w:sz w:val="20"/>
                <w:szCs w:val="20"/>
              </w:rPr>
              <w:t>happiness</w:t>
            </w:r>
            <w:proofErr w:type="spellEnd"/>
            <w:r w:rsidRPr="008808AD">
              <w:rPr>
                <w:sz w:val="20"/>
                <w:szCs w:val="20"/>
              </w:rPr>
              <w:t xml:space="preserve"> and </w:t>
            </w:r>
            <w:proofErr w:type="spellStart"/>
            <w:r w:rsidRPr="008808AD">
              <w:rPr>
                <w:sz w:val="20"/>
                <w:szCs w:val="20"/>
              </w:rPr>
              <w:t>safety</w:t>
            </w:r>
            <w:proofErr w:type="spellEnd"/>
            <w:r w:rsidRPr="008808AD">
              <w:rPr>
                <w:sz w:val="20"/>
                <w:szCs w:val="20"/>
              </w:rPr>
              <w:t>.“</w:t>
            </w:r>
            <w:r w:rsidRPr="008808AD">
              <w:rPr>
                <w:sz w:val="20"/>
                <w:szCs w:val="20"/>
                <w:vertAlign w:val="superscript"/>
              </w:rPr>
              <w:footnoteReference w:id="1202"/>
            </w:r>
            <w:r w:rsidRPr="008808AD">
              <w:rPr>
                <w:sz w:val="20"/>
                <w:szCs w:val="20"/>
              </w:rPr>
              <w:t>). Dass</w:t>
            </w:r>
            <w:r>
              <w:rPr>
                <w:sz w:val="20"/>
                <w:szCs w:val="20"/>
              </w:rPr>
              <w:t xml:space="preserve"> sowohl</w:t>
            </w:r>
            <w:r w:rsidRPr="008808AD">
              <w:rPr>
                <w:sz w:val="20"/>
                <w:szCs w:val="20"/>
              </w:rPr>
              <w:t xml:space="preserve"> der Schutz des Eigentums als auch der persönlichen Rechte wie auch das Streben nach Glück verwoben waren, bestätigten dann zahlreiche Kongressmitglieder während der Gesetzgebungsdebatten.</w:t>
            </w:r>
            <w:r w:rsidRPr="008808AD">
              <w:rPr>
                <w:sz w:val="20"/>
                <w:szCs w:val="20"/>
                <w:vertAlign w:val="superscript"/>
              </w:rPr>
              <w:footnoteReference w:id="1203"/>
            </w:r>
            <w:r w:rsidRPr="008808AD">
              <w:rPr>
                <w:sz w:val="20"/>
                <w:szCs w:val="20"/>
              </w:rPr>
              <w:t xml:space="preserve"> Diese gesetzgeberische Intention transportierte sich in §</w:t>
            </w:r>
            <w:r>
              <w:rPr>
                <w:sz w:val="20"/>
                <w:szCs w:val="20"/>
              </w:rPr>
              <w:t> </w:t>
            </w:r>
            <w:r w:rsidRPr="008808AD">
              <w:rPr>
                <w:sz w:val="20"/>
                <w:szCs w:val="20"/>
              </w:rPr>
              <w:t xml:space="preserve">1343(3) und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808AD">
              <w:rPr>
                <w:sz w:val="20"/>
                <w:szCs w:val="20"/>
              </w:rPr>
              <w:t xml:space="preserve"> hinein. Damit sei eine Zuständigkeit für das eine Rechtsgut (Eigentum) und eine Unzuständigkeit für das andere (persönliche Freiheit) nicht denkbar. Sie </w:t>
            </w:r>
            <w:r>
              <w:rPr>
                <w:sz w:val="20"/>
                <w:szCs w:val="20"/>
              </w:rPr>
              <w:t>hingen</w:t>
            </w:r>
            <w:r w:rsidRPr="008808AD">
              <w:rPr>
                <w:sz w:val="20"/>
                <w:szCs w:val="20"/>
              </w:rPr>
              <w:t xml:space="preserve"> zusammen, auch über </w:t>
            </w:r>
            <w:r>
              <w:rPr>
                <w:sz w:val="20"/>
                <w:szCs w:val="20"/>
              </w:rPr>
              <w:t>das</w:t>
            </w:r>
            <w:r w:rsidRPr="008808AD">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8808AD">
              <w:rPr>
                <w:sz w:val="20"/>
                <w:szCs w:val="20"/>
              </w:rPr>
              <w:t>. Die untere Instanz hätte sich für zuständig erklären müssen.</w:t>
            </w:r>
          </w:p>
          <w:p w14:paraId="3939BFB3" w14:textId="77777777" w:rsidR="00074551" w:rsidRPr="00C4627B" w:rsidRDefault="00074551" w:rsidP="00367133">
            <w:pPr>
              <w:jc w:val="both"/>
              <w:rPr>
                <w:sz w:val="20"/>
                <w:szCs w:val="20"/>
              </w:rPr>
            </w:pPr>
          </w:p>
        </w:tc>
      </w:tr>
      <w:tr w:rsidR="00074551" w:rsidRPr="00E50B51" w14:paraId="03BB104F" w14:textId="77777777" w:rsidTr="00203768">
        <w:trPr>
          <w:cantSplit/>
          <w:trHeight w:val="3175"/>
        </w:trPr>
        <w:tc>
          <w:tcPr>
            <w:tcW w:w="293" w:type="pct"/>
            <w:shd w:val="clear" w:color="auto" w:fill="E7E6E6" w:themeFill="background2"/>
          </w:tcPr>
          <w:p w14:paraId="6A2C6F57"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45B84C53"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4A54DF53"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35083E75" w14:textId="77777777" w:rsidR="00074551" w:rsidRPr="00E50B51" w:rsidRDefault="00074551" w:rsidP="00367133">
            <w:pPr>
              <w:ind w:left="113" w:right="113"/>
              <w:jc w:val="both"/>
              <w:rPr>
                <w:sz w:val="20"/>
                <w:szCs w:val="20"/>
              </w:rPr>
            </w:pPr>
            <w:r w:rsidRPr="00E50B51">
              <w:rPr>
                <w:sz w:val="20"/>
                <w:szCs w:val="20"/>
              </w:rPr>
              <w:t xml:space="preserve">Substantive Due </w:t>
            </w:r>
            <w:proofErr w:type="spellStart"/>
            <w:r w:rsidRPr="00E50B51">
              <w:rPr>
                <w:sz w:val="20"/>
                <w:szCs w:val="20"/>
              </w:rPr>
              <w:t>Process</w:t>
            </w:r>
            <w:proofErr w:type="spellEnd"/>
          </w:p>
        </w:tc>
        <w:tc>
          <w:tcPr>
            <w:tcW w:w="306" w:type="pct"/>
            <w:shd w:val="clear" w:color="auto" w:fill="E7E6E6" w:themeFill="background2"/>
            <w:textDirection w:val="tbRl"/>
            <w:vAlign w:val="center"/>
          </w:tcPr>
          <w:p w14:paraId="1850D70A" w14:textId="77777777" w:rsidR="00074551" w:rsidRPr="00E50B51" w:rsidRDefault="00074551" w:rsidP="00367133">
            <w:pPr>
              <w:ind w:left="113" w:right="113"/>
              <w:jc w:val="both"/>
              <w:rPr>
                <w:sz w:val="20"/>
                <w:szCs w:val="20"/>
              </w:rPr>
            </w:pPr>
            <w:r w:rsidRPr="00E50B51">
              <w:rPr>
                <w:sz w:val="20"/>
                <w:szCs w:val="20"/>
              </w:rPr>
              <w:t>Privacy</w:t>
            </w:r>
          </w:p>
        </w:tc>
        <w:tc>
          <w:tcPr>
            <w:tcW w:w="401" w:type="pct"/>
            <w:shd w:val="clear" w:color="auto" w:fill="E7E6E6" w:themeFill="background2"/>
          </w:tcPr>
          <w:p w14:paraId="70564783"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3902653A" w14:textId="77777777" w:rsidR="00074551" w:rsidRPr="00E50B51" w:rsidRDefault="00074551" w:rsidP="00367133">
            <w:pPr>
              <w:jc w:val="both"/>
              <w:rPr>
                <w:sz w:val="20"/>
                <w:szCs w:val="20"/>
              </w:rPr>
            </w:pPr>
          </w:p>
        </w:tc>
        <w:tc>
          <w:tcPr>
            <w:tcW w:w="1822" w:type="pct"/>
            <w:shd w:val="clear" w:color="auto" w:fill="E7E6E6" w:themeFill="background2"/>
          </w:tcPr>
          <w:p w14:paraId="2BF2267B" w14:textId="43C81B7F"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3E408597" w14:textId="77777777" w:rsidTr="00BE689F">
        <w:trPr>
          <w:cantSplit/>
          <w:trHeight w:val="3175"/>
        </w:trPr>
        <w:tc>
          <w:tcPr>
            <w:tcW w:w="293" w:type="pct"/>
            <w:shd w:val="clear" w:color="auto" w:fill="FFFFFF" w:themeFill="background1"/>
          </w:tcPr>
          <w:p w14:paraId="3A6D4F16"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FFFFFF" w:themeFill="background1"/>
            <w:textDirection w:val="tbRl"/>
            <w:vAlign w:val="center"/>
          </w:tcPr>
          <w:p w14:paraId="0E7FD52A" w14:textId="77777777" w:rsidR="00074551" w:rsidRPr="00A86DB0" w:rsidRDefault="00074551" w:rsidP="00367133">
            <w:pPr>
              <w:ind w:left="113" w:right="416"/>
              <w:jc w:val="both"/>
              <w:rPr>
                <w:sz w:val="20"/>
                <w:szCs w:val="20"/>
                <w:lang w:val="en-US"/>
              </w:rPr>
            </w:pPr>
            <w:r w:rsidRPr="00D83E4F">
              <w:rPr>
                <w:i/>
                <w:sz w:val="20"/>
                <w:szCs w:val="20"/>
              </w:rPr>
              <w:t>Doe v. Bolton</w:t>
            </w:r>
          </w:p>
        </w:tc>
        <w:tc>
          <w:tcPr>
            <w:tcW w:w="197" w:type="pct"/>
            <w:shd w:val="clear" w:color="auto" w:fill="FFFFFF" w:themeFill="background1"/>
            <w:textDirection w:val="tbRl"/>
            <w:vAlign w:val="center"/>
          </w:tcPr>
          <w:p w14:paraId="59215B63" w14:textId="77777777" w:rsidR="00074551" w:rsidRPr="00A86DB0" w:rsidRDefault="00074551" w:rsidP="00367133">
            <w:pPr>
              <w:ind w:left="113" w:right="113"/>
              <w:jc w:val="both"/>
              <w:rPr>
                <w:sz w:val="20"/>
                <w:szCs w:val="20"/>
                <w:lang w:val="en-US"/>
              </w:rPr>
            </w:pPr>
            <w:r w:rsidRPr="00E50B51">
              <w:rPr>
                <w:sz w:val="20"/>
                <w:szCs w:val="20"/>
                <w:lang w:val="en-US"/>
              </w:rPr>
              <w:t>410 U.S. 179</w:t>
            </w:r>
          </w:p>
        </w:tc>
        <w:tc>
          <w:tcPr>
            <w:tcW w:w="306" w:type="pct"/>
            <w:shd w:val="clear" w:color="auto" w:fill="FFFFFF" w:themeFill="background1"/>
            <w:textDirection w:val="tbRl"/>
            <w:vAlign w:val="center"/>
          </w:tcPr>
          <w:p w14:paraId="6FBBC878" w14:textId="77777777" w:rsidR="00074551" w:rsidRDefault="00074551" w:rsidP="00367133">
            <w:pPr>
              <w:ind w:left="113" w:right="113"/>
              <w:jc w:val="both"/>
              <w:rPr>
                <w:sz w:val="20"/>
                <w:szCs w:val="20"/>
              </w:rPr>
            </w:pPr>
            <w:r w:rsidRPr="00E50B51">
              <w:rPr>
                <w:sz w:val="20"/>
                <w:szCs w:val="20"/>
              </w:rPr>
              <w:t>22. Januar 1973</w:t>
            </w:r>
          </w:p>
        </w:tc>
        <w:tc>
          <w:tcPr>
            <w:tcW w:w="401" w:type="pct"/>
            <w:shd w:val="clear" w:color="auto" w:fill="FFFFFF" w:themeFill="background1"/>
          </w:tcPr>
          <w:p w14:paraId="120685D4" w14:textId="77777777" w:rsidR="00074551" w:rsidRDefault="00074551" w:rsidP="00367133">
            <w:pPr>
              <w:jc w:val="center"/>
              <w:rPr>
                <w:sz w:val="20"/>
                <w:szCs w:val="20"/>
              </w:rPr>
            </w:pPr>
            <w:r w:rsidRPr="00E50B51">
              <w:rPr>
                <w:sz w:val="20"/>
                <w:szCs w:val="20"/>
              </w:rPr>
              <w:t>C</w:t>
            </w:r>
          </w:p>
        </w:tc>
        <w:tc>
          <w:tcPr>
            <w:tcW w:w="1594" w:type="pct"/>
            <w:shd w:val="clear" w:color="auto" w:fill="FFFFFF" w:themeFill="background1"/>
          </w:tcPr>
          <w:p w14:paraId="1F48CE97" w14:textId="4733DEA4"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die Zulassungs-, Genehmigungs- und Be</w:t>
            </w:r>
            <w:r>
              <w:rPr>
                <w:sz w:val="20"/>
                <w:szCs w:val="20"/>
              </w:rPr>
              <w:t>s</w:t>
            </w:r>
            <w:r w:rsidRPr="00E50B51">
              <w:rPr>
                <w:sz w:val="20"/>
                <w:szCs w:val="20"/>
              </w:rPr>
              <w:t xml:space="preserve">tätigungsanforderungen </w:t>
            </w:r>
            <w:r>
              <w:rPr>
                <w:sz w:val="20"/>
                <w:szCs w:val="20"/>
              </w:rPr>
              <w:t xml:space="preserve">von </w:t>
            </w:r>
            <w:r w:rsidRPr="00E50B51">
              <w:rPr>
                <w:sz w:val="20"/>
                <w:szCs w:val="20"/>
              </w:rPr>
              <w:t>Abtreibungsgesetze</w:t>
            </w:r>
            <w:r>
              <w:rPr>
                <w:sz w:val="20"/>
                <w:szCs w:val="20"/>
              </w:rPr>
              <w:t>n</w:t>
            </w:r>
            <w:r w:rsidRPr="00E50B51">
              <w:rPr>
                <w:sz w:val="20"/>
                <w:szCs w:val="20"/>
              </w:rPr>
              <w:t xml:space="preserve"> (Ga. Crim. Code §</w:t>
            </w:r>
            <w:r>
              <w:rPr>
                <w:sz w:val="20"/>
                <w:szCs w:val="20"/>
              </w:rPr>
              <w:t>§ </w:t>
            </w:r>
            <w:r w:rsidRPr="00E50B51">
              <w:rPr>
                <w:sz w:val="20"/>
                <w:szCs w:val="20"/>
              </w:rPr>
              <w:t xml:space="preserve">26-1201 </w:t>
            </w:r>
            <w:proofErr w:type="spellStart"/>
            <w:r w:rsidRPr="00E50B51">
              <w:rPr>
                <w:sz w:val="20"/>
                <w:szCs w:val="20"/>
              </w:rPr>
              <w:t>through</w:t>
            </w:r>
            <w:proofErr w:type="spellEnd"/>
            <w:r w:rsidRPr="00E50B51">
              <w:rPr>
                <w:sz w:val="20"/>
                <w:szCs w:val="20"/>
              </w:rPr>
              <w:t xml:space="preserve"> 26-</w:t>
            </w:r>
            <w:r w:rsidRPr="00681555">
              <w:rPr>
                <w:sz w:val="20"/>
                <w:szCs w:val="20"/>
              </w:rPr>
              <w:t>1203)</w:t>
            </w:r>
            <w:r w:rsidRPr="00681555">
              <w:rPr>
                <w:rStyle w:val="Funotenzeichen"/>
                <w:sz w:val="20"/>
                <w:szCs w:val="20"/>
              </w:rPr>
              <w:footnoteReference w:id="1204"/>
            </w:r>
            <w:r w:rsidRPr="00681555">
              <w:rPr>
                <w:sz w:val="20"/>
                <w:szCs w:val="20"/>
              </w:rPr>
              <w:t xml:space="preserve"> für</w:t>
            </w:r>
            <w:r w:rsidRPr="00E50B51">
              <w:rPr>
                <w:sz w:val="20"/>
                <w:szCs w:val="20"/>
              </w:rPr>
              <w:t xml:space="preserve"> verfassungswidrig.</w:t>
            </w:r>
            <w:r w:rsidRPr="5B67C1D2">
              <w:rPr>
                <w:rStyle w:val="Funotenzeichen"/>
                <w:rFonts w:eastAsiaTheme="majorEastAsia"/>
                <w:sz w:val="20"/>
                <w:szCs w:val="20"/>
              </w:rPr>
              <w:footnoteReference w:id="1205"/>
            </w:r>
            <w:r w:rsidRPr="00E50B51">
              <w:rPr>
                <w:sz w:val="20"/>
                <w:szCs w:val="20"/>
              </w:rPr>
              <w:t xml:space="preserve"> Eine Frau </w:t>
            </w:r>
            <w:r>
              <w:rPr>
                <w:sz w:val="20"/>
                <w:szCs w:val="20"/>
              </w:rPr>
              <w:t>hatte</w:t>
            </w:r>
            <w:r w:rsidRPr="00E50B51">
              <w:rPr>
                <w:sz w:val="20"/>
                <w:szCs w:val="20"/>
              </w:rPr>
              <w:t xml:space="preserve"> einen Abtreibungsantrag</w:t>
            </w:r>
            <w:r>
              <w:rPr>
                <w:sz w:val="20"/>
                <w:szCs w:val="20"/>
              </w:rPr>
              <w:t xml:space="preserve"> gestellt</w:t>
            </w:r>
            <w:r w:rsidRPr="00E50B51">
              <w:rPr>
                <w:sz w:val="20"/>
                <w:szCs w:val="20"/>
              </w:rPr>
              <w:t xml:space="preserve">, </w:t>
            </w:r>
            <w:r>
              <w:rPr>
                <w:sz w:val="20"/>
                <w:szCs w:val="20"/>
              </w:rPr>
              <w:t>u.a.</w:t>
            </w:r>
            <w:r w:rsidRPr="00E50B51">
              <w:rPr>
                <w:sz w:val="20"/>
                <w:szCs w:val="20"/>
              </w:rPr>
              <w:t xml:space="preserve"> da sie psychisch erkrankte und sich </w:t>
            </w:r>
            <w:r>
              <w:rPr>
                <w:sz w:val="20"/>
                <w:szCs w:val="20"/>
              </w:rPr>
              <w:t>damit</w:t>
            </w:r>
            <w:r w:rsidRPr="00E50B51">
              <w:rPr>
                <w:sz w:val="20"/>
                <w:szCs w:val="20"/>
              </w:rPr>
              <w:t xml:space="preserve"> unfähig fühlte, für ihr Kind sorgen zu können. Die staatliche Abtreibungskommission lehnte den Antrag ab, jedoch unter Verstoß gegen ein</w:t>
            </w:r>
            <w:r>
              <w:rPr>
                <w:sz w:val="20"/>
                <w:szCs w:val="20"/>
              </w:rPr>
              <w:t xml:space="preserve"> rechtsstaatliches</w:t>
            </w:r>
            <w:r w:rsidRPr="00E50B51">
              <w:rPr>
                <w:sz w:val="20"/>
                <w:szCs w:val="20"/>
              </w:rPr>
              <w:t xml:space="preserve">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hier wegen unzureichender </w:t>
            </w:r>
            <w:r w:rsidRPr="00E50B51">
              <w:rPr>
                <w:sz w:val="20"/>
                <w:szCs w:val="20"/>
              </w:rPr>
              <w:t>Zulassungs-</w:t>
            </w:r>
            <w:r>
              <w:rPr>
                <w:sz w:val="20"/>
                <w:szCs w:val="20"/>
              </w:rPr>
              <w:t xml:space="preserve"> und</w:t>
            </w:r>
            <w:r w:rsidRPr="00E50B51">
              <w:rPr>
                <w:sz w:val="20"/>
                <w:szCs w:val="20"/>
              </w:rPr>
              <w:t xml:space="preserve"> Genehmigungsanforderungen. Zudem </w:t>
            </w:r>
            <w:r>
              <w:rPr>
                <w:sz w:val="20"/>
                <w:szCs w:val="20"/>
              </w:rPr>
              <w:t>lizenzierte</w:t>
            </w:r>
            <w:r w:rsidRPr="00E50B51">
              <w:rPr>
                <w:sz w:val="20"/>
                <w:szCs w:val="20"/>
              </w:rPr>
              <w:t xml:space="preserve"> der Bundesstaat mit dem Abtreibungsgesetz zu wenige Krankenhäuser für eine Abtreibung (Bestätigungsanforderungen).</w:t>
            </w:r>
          </w:p>
          <w:p w14:paraId="472A2FA7" w14:textId="77777777" w:rsidR="00074551" w:rsidRPr="00E50B51" w:rsidRDefault="00074551" w:rsidP="00367133">
            <w:pPr>
              <w:jc w:val="both"/>
              <w:rPr>
                <w:sz w:val="20"/>
                <w:szCs w:val="20"/>
              </w:rPr>
            </w:pPr>
          </w:p>
        </w:tc>
        <w:tc>
          <w:tcPr>
            <w:tcW w:w="1822" w:type="pct"/>
            <w:shd w:val="clear" w:color="auto" w:fill="FFFFFF" w:themeFill="background1"/>
          </w:tcPr>
          <w:p w14:paraId="3872E75F" w14:textId="77777777" w:rsidR="00074551" w:rsidRPr="004202C1" w:rsidRDefault="00074551" w:rsidP="00367133">
            <w:pPr>
              <w:jc w:val="both"/>
              <w:rPr>
                <w:sz w:val="20"/>
                <w:szCs w:val="20"/>
              </w:rPr>
            </w:pPr>
            <w:r w:rsidRPr="004202C1">
              <w:rPr>
                <w:sz w:val="20"/>
                <w:szCs w:val="20"/>
              </w:rPr>
              <w:t xml:space="preserve">In </w:t>
            </w:r>
            <w:r w:rsidRPr="5B67C1D2">
              <w:rPr>
                <w:i/>
                <w:iCs/>
                <w:sz w:val="20"/>
                <w:szCs w:val="20"/>
              </w:rPr>
              <w:t>Doe v. Bolton</w:t>
            </w:r>
            <w:r w:rsidRPr="004202C1">
              <w:rPr>
                <w:sz w:val="20"/>
                <w:szCs w:val="20"/>
              </w:rPr>
              <w:t xml:space="preserve"> erklärte der </w:t>
            </w:r>
            <w:r>
              <w:rPr>
                <w:sz w:val="20"/>
                <w:szCs w:val="20"/>
              </w:rPr>
              <w:t>U.S. Supreme Court</w:t>
            </w:r>
            <w:r w:rsidRPr="004202C1">
              <w:rPr>
                <w:sz w:val="20"/>
                <w:szCs w:val="20"/>
              </w:rPr>
              <w:t xml:space="preserve"> die drei Sphären des allgemeinen Persönlichkeitsrechts, die auch Bedingungen für ein Glücksstreben darstellen: Die erste Sphäre beinhalte absolute Rechte (wie die Gewissensfreiheit und das allgemeine Persönlichkeitsrecht), die weitgehend abwägungsfest seien. Die zweite Sphäre umfasse fundamentale Rechte (wie die Ehefreiheit, die Freiheit, sich wieder scheiden zu</w:t>
            </w:r>
            <w:r>
              <w:rPr>
                <w:sz w:val="20"/>
                <w:szCs w:val="20"/>
              </w:rPr>
              <w:t xml:space="preserve"> </w:t>
            </w:r>
            <w:r w:rsidRPr="004202C1">
              <w:rPr>
                <w:sz w:val="20"/>
                <w:szCs w:val="20"/>
              </w:rPr>
              <w:t>lassen oder sich fortzupflanzen und verhüten zu dürfen</w:t>
            </w:r>
            <w:r>
              <w:rPr>
                <w:sz w:val="20"/>
                <w:szCs w:val="20"/>
              </w:rPr>
              <w:t>,</w:t>
            </w:r>
            <w:r w:rsidRPr="004202C1">
              <w:rPr>
                <w:sz w:val="20"/>
                <w:szCs w:val="20"/>
              </w:rPr>
              <w:t xml:space="preserve"> aber auch intime Beziehungen und sexuelle Beziehungen zu unterhalten sowie sich zu bilden und Kinder zu erziehen), die aber </w:t>
            </w:r>
            <w:r>
              <w:rPr>
                <w:sz w:val="20"/>
                <w:szCs w:val="20"/>
              </w:rPr>
              <w:t xml:space="preserve">durch </w:t>
            </w:r>
            <w:r w:rsidRPr="004202C1">
              <w:rPr>
                <w:sz w:val="20"/>
                <w:szCs w:val="20"/>
              </w:rPr>
              <w:t>zwingende staatliche Interesse</w:t>
            </w:r>
            <w:r>
              <w:rPr>
                <w:sz w:val="20"/>
                <w:szCs w:val="20"/>
              </w:rPr>
              <w:t>n</w:t>
            </w:r>
            <w:r w:rsidRPr="004202C1">
              <w:rPr>
                <w:sz w:val="20"/>
                <w:szCs w:val="20"/>
              </w:rPr>
              <w:t xml:space="preserve"> im Rahmen der Polizeihoheit </w:t>
            </w:r>
            <w:r>
              <w:rPr>
                <w:sz w:val="20"/>
                <w:szCs w:val="20"/>
              </w:rPr>
              <w:t>eingeschränkt werden könnten</w:t>
            </w:r>
            <w:r w:rsidRPr="004202C1">
              <w:rPr>
                <w:sz w:val="20"/>
                <w:szCs w:val="20"/>
              </w:rPr>
              <w:t xml:space="preserve">. Und die dritte Sphäre beinhalte </w:t>
            </w:r>
            <w:r>
              <w:rPr>
                <w:sz w:val="20"/>
                <w:szCs w:val="20"/>
              </w:rPr>
              <w:t>ebenfalls</w:t>
            </w:r>
            <w:r w:rsidRPr="004202C1">
              <w:rPr>
                <w:sz w:val="20"/>
                <w:szCs w:val="20"/>
              </w:rPr>
              <w:t xml:space="preserve"> fundamentale Rechte (wie die Freiheit</w:t>
            </w:r>
            <w:r>
              <w:rPr>
                <w:sz w:val="20"/>
                <w:szCs w:val="20"/>
              </w:rPr>
              <w:t>,</w:t>
            </w:r>
            <w:r w:rsidRPr="004202C1">
              <w:rPr>
                <w:sz w:val="20"/>
                <w:szCs w:val="20"/>
              </w:rPr>
              <w:t xml:space="preserve"> für die eigene Gesundheit und Person zu sorgen</w:t>
            </w:r>
            <w:r>
              <w:rPr>
                <w:sz w:val="20"/>
                <w:szCs w:val="20"/>
              </w:rPr>
              <w:t>,</w:t>
            </w:r>
            <w:r w:rsidRPr="004202C1">
              <w:rPr>
                <w:sz w:val="20"/>
                <w:szCs w:val="20"/>
              </w:rPr>
              <w:t xml:space="preserve"> oder die Freiheit von körperlicher Einschränkung und Freizügigkeit), die indes</w:t>
            </w:r>
            <w:r>
              <w:rPr>
                <w:sz w:val="20"/>
                <w:szCs w:val="20"/>
              </w:rPr>
              <w:t xml:space="preserve"> ein</w:t>
            </w:r>
            <w:r w:rsidRPr="004202C1">
              <w:rPr>
                <w:sz w:val="20"/>
                <w:szCs w:val="20"/>
              </w:rPr>
              <w:t xml:space="preserve"> zwingendes staatliches Interesse einschränken könne.</w:t>
            </w:r>
            <w:r>
              <w:rPr>
                <w:rStyle w:val="Funotenzeichen"/>
                <w:sz w:val="20"/>
                <w:szCs w:val="20"/>
              </w:rPr>
              <w:footnoteReference w:id="1206"/>
            </w:r>
          </w:p>
          <w:p w14:paraId="2B22E8DA" w14:textId="676C74EF" w:rsidR="00074551" w:rsidRPr="004202C1" w:rsidRDefault="00074551" w:rsidP="00367133">
            <w:pPr>
              <w:jc w:val="both"/>
              <w:rPr>
                <w:sz w:val="20"/>
                <w:szCs w:val="20"/>
              </w:rPr>
            </w:pPr>
            <w:r w:rsidRPr="004202C1">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4202C1">
              <w:rPr>
                <w:sz w:val="20"/>
                <w:szCs w:val="20"/>
              </w:rPr>
              <w:t xml:space="preserve"> erläuterte die Facetten des Rechts auf Privatsphäre als Teil des Strebens nach Glück. Richter </w:t>
            </w:r>
            <w:r w:rsidRPr="5B67C1D2">
              <w:rPr>
                <w:i/>
                <w:iCs/>
                <w:sz w:val="20"/>
                <w:szCs w:val="20"/>
              </w:rPr>
              <w:t>Douglas</w:t>
            </w:r>
            <w:r w:rsidRPr="004202C1">
              <w:rPr>
                <w:sz w:val="20"/>
                <w:szCs w:val="20"/>
              </w:rPr>
              <w:t xml:space="preserve"> fasste die drei Sphären des Privatrechts zusammen („</w:t>
            </w:r>
            <w:proofErr w:type="spellStart"/>
            <w:r w:rsidRPr="004202C1">
              <w:rPr>
                <w:sz w:val="20"/>
                <w:szCs w:val="20"/>
              </w:rPr>
              <w:t>zones</w:t>
            </w:r>
            <w:proofErr w:type="spellEnd"/>
            <w:r w:rsidRPr="004202C1">
              <w:rPr>
                <w:sz w:val="20"/>
                <w:szCs w:val="20"/>
              </w:rPr>
              <w:t xml:space="preserve"> of </w:t>
            </w:r>
            <w:proofErr w:type="spellStart"/>
            <w:r w:rsidRPr="004202C1">
              <w:rPr>
                <w:sz w:val="20"/>
                <w:szCs w:val="20"/>
              </w:rPr>
              <w:t>privacy</w:t>
            </w:r>
            <w:proofErr w:type="spellEnd"/>
            <w:r w:rsidRPr="004202C1">
              <w:rPr>
                <w:sz w:val="20"/>
                <w:szCs w:val="20"/>
              </w:rPr>
              <w:t>“</w:t>
            </w:r>
            <w:r w:rsidRPr="004202C1">
              <w:rPr>
                <w:sz w:val="20"/>
                <w:szCs w:val="20"/>
                <w:vertAlign w:val="superscript"/>
              </w:rPr>
              <w:footnoteReference w:id="1207"/>
            </w:r>
            <w:r w:rsidRPr="004202C1">
              <w:rPr>
                <w:sz w:val="20"/>
                <w:szCs w:val="20"/>
              </w:rPr>
              <w:t xml:space="preserve">), die auch Glücksstreben bedingen und fügte </w:t>
            </w:r>
            <w:proofErr w:type="spellStart"/>
            <w:r w:rsidRPr="004202C1">
              <w:rPr>
                <w:sz w:val="20"/>
                <w:szCs w:val="20"/>
              </w:rPr>
              <w:t>a.E</w:t>
            </w:r>
            <w:proofErr w:type="spellEnd"/>
            <w:r w:rsidRPr="004202C1">
              <w:rPr>
                <w:sz w:val="20"/>
                <w:szCs w:val="20"/>
              </w:rPr>
              <w:t xml:space="preserve">. eine Facette hinzu: das Recht abzutreiben. Nach </w:t>
            </w:r>
            <w:r w:rsidRPr="5B67C1D2">
              <w:rPr>
                <w:i/>
                <w:iCs/>
                <w:sz w:val="20"/>
                <w:szCs w:val="20"/>
              </w:rPr>
              <w:t>Douglas</w:t>
            </w:r>
            <w:r w:rsidRPr="004202C1">
              <w:rPr>
                <w:sz w:val="20"/>
                <w:szCs w:val="20"/>
              </w:rPr>
              <w:t xml:space="preserve"> </w:t>
            </w:r>
            <w:r>
              <w:rPr>
                <w:sz w:val="20"/>
                <w:szCs w:val="20"/>
              </w:rPr>
              <w:t>gibt</w:t>
            </w:r>
            <w:r w:rsidRPr="004202C1">
              <w:rPr>
                <w:sz w:val="20"/>
                <w:szCs w:val="20"/>
              </w:rPr>
              <w:t xml:space="preserve"> es also drei </w:t>
            </w:r>
            <w:proofErr w:type="spellStart"/>
            <w:r w:rsidRPr="5B67C1D2">
              <w:rPr>
                <w:i/>
                <w:iCs/>
                <w:sz w:val="20"/>
                <w:szCs w:val="20"/>
              </w:rPr>
              <w:t>zones</w:t>
            </w:r>
            <w:proofErr w:type="spellEnd"/>
            <w:r w:rsidRPr="5B67C1D2">
              <w:rPr>
                <w:i/>
                <w:iCs/>
                <w:sz w:val="20"/>
                <w:szCs w:val="20"/>
              </w:rPr>
              <w:t xml:space="preserve"> of </w:t>
            </w:r>
            <w:proofErr w:type="spellStart"/>
            <w:r w:rsidRPr="5B67C1D2">
              <w:rPr>
                <w:i/>
                <w:iCs/>
                <w:sz w:val="20"/>
                <w:szCs w:val="20"/>
              </w:rPr>
              <w:t>privacy</w:t>
            </w:r>
            <w:proofErr w:type="spellEnd"/>
            <w:r>
              <w:rPr>
                <w:sz w:val="20"/>
                <w:szCs w:val="20"/>
              </w:rPr>
              <w:t xml:space="preserve"> </w:t>
            </w:r>
            <w:r w:rsidRPr="004202C1">
              <w:rPr>
                <w:sz w:val="20"/>
                <w:szCs w:val="20"/>
              </w:rPr>
              <w:t>als Bedingung für ein Glücksstreben („</w:t>
            </w:r>
            <w:proofErr w:type="spellStart"/>
            <w:r w:rsidRPr="004202C1">
              <w:rPr>
                <w:sz w:val="20"/>
                <w:szCs w:val="20"/>
              </w:rPr>
              <w:t>privileges</w:t>
            </w:r>
            <w:proofErr w:type="spellEnd"/>
            <w:r w:rsidRPr="004202C1">
              <w:rPr>
                <w:sz w:val="20"/>
                <w:szCs w:val="20"/>
              </w:rPr>
              <w:t xml:space="preserve"> </w:t>
            </w:r>
            <w:proofErr w:type="spellStart"/>
            <w:r w:rsidRPr="004202C1">
              <w:rPr>
                <w:sz w:val="20"/>
                <w:szCs w:val="20"/>
              </w:rPr>
              <w:t>long</w:t>
            </w:r>
            <w:proofErr w:type="spellEnd"/>
            <w:r w:rsidRPr="004202C1">
              <w:rPr>
                <w:sz w:val="20"/>
                <w:szCs w:val="20"/>
              </w:rPr>
              <w:t xml:space="preserve"> </w:t>
            </w:r>
            <w:proofErr w:type="spellStart"/>
            <w:r w:rsidRPr="004202C1">
              <w:rPr>
                <w:sz w:val="20"/>
                <w:szCs w:val="20"/>
              </w:rPr>
              <w:t>recognized</w:t>
            </w:r>
            <w:proofErr w:type="spellEnd"/>
            <w:r w:rsidRPr="004202C1">
              <w:rPr>
                <w:sz w:val="20"/>
                <w:szCs w:val="20"/>
              </w:rPr>
              <w:t xml:space="preserve"> at </w:t>
            </w:r>
            <w:proofErr w:type="spellStart"/>
            <w:r w:rsidRPr="004202C1">
              <w:rPr>
                <w:sz w:val="20"/>
                <w:szCs w:val="20"/>
              </w:rPr>
              <w:t>common</w:t>
            </w:r>
            <w:proofErr w:type="spellEnd"/>
            <w:r w:rsidRPr="004202C1">
              <w:rPr>
                <w:sz w:val="20"/>
                <w:szCs w:val="20"/>
              </w:rPr>
              <w:t xml:space="preserve"> </w:t>
            </w:r>
            <w:proofErr w:type="spellStart"/>
            <w:r w:rsidRPr="004202C1">
              <w:rPr>
                <w:sz w:val="20"/>
                <w:szCs w:val="20"/>
              </w:rPr>
              <w:t>law</w:t>
            </w:r>
            <w:proofErr w:type="spellEnd"/>
            <w:r w:rsidRPr="004202C1">
              <w:rPr>
                <w:sz w:val="20"/>
                <w:szCs w:val="20"/>
              </w:rPr>
              <w:t xml:space="preserve"> as essential to the </w:t>
            </w:r>
            <w:proofErr w:type="spellStart"/>
            <w:r w:rsidRPr="004202C1">
              <w:rPr>
                <w:sz w:val="20"/>
                <w:szCs w:val="20"/>
              </w:rPr>
              <w:t>orderly</w:t>
            </w:r>
            <w:proofErr w:type="spellEnd"/>
            <w:r w:rsidRPr="004202C1">
              <w:rPr>
                <w:sz w:val="20"/>
                <w:szCs w:val="20"/>
              </w:rPr>
              <w:t xml:space="preserve"> </w:t>
            </w:r>
            <w:proofErr w:type="spellStart"/>
            <w:r w:rsidRPr="004202C1">
              <w:rPr>
                <w:sz w:val="20"/>
                <w:szCs w:val="20"/>
              </w:rPr>
              <w:t>pursuit</w:t>
            </w:r>
            <w:proofErr w:type="spellEnd"/>
            <w:r w:rsidRPr="004202C1">
              <w:rPr>
                <w:sz w:val="20"/>
                <w:szCs w:val="20"/>
              </w:rPr>
              <w:t xml:space="preserve"> of </w:t>
            </w:r>
            <w:proofErr w:type="spellStart"/>
            <w:r w:rsidRPr="004202C1">
              <w:rPr>
                <w:sz w:val="20"/>
                <w:szCs w:val="20"/>
              </w:rPr>
              <w:t>happiness</w:t>
            </w:r>
            <w:proofErr w:type="spellEnd"/>
            <w:r w:rsidRPr="004202C1">
              <w:rPr>
                <w:sz w:val="20"/>
                <w:szCs w:val="20"/>
              </w:rPr>
              <w:t xml:space="preserve"> by </w:t>
            </w:r>
            <w:proofErr w:type="spellStart"/>
            <w:r w:rsidRPr="004202C1">
              <w:rPr>
                <w:sz w:val="20"/>
                <w:szCs w:val="20"/>
              </w:rPr>
              <w:t>free</w:t>
            </w:r>
            <w:proofErr w:type="spellEnd"/>
            <w:r w:rsidRPr="004202C1">
              <w:rPr>
                <w:sz w:val="20"/>
                <w:szCs w:val="20"/>
              </w:rPr>
              <w:t xml:space="preserve"> </w:t>
            </w:r>
            <w:proofErr w:type="spellStart"/>
            <w:r w:rsidRPr="004202C1">
              <w:rPr>
                <w:sz w:val="20"/>
                <w:szCs w:val="20"/>
              </w:rPr>
              <w:t>men</w:t>
            </w:r>
            <w:proofErr w:type="spellEnd"/>
            <w:r w:rsidRPr="004202C1">
              <w:rPr>
                <w:sz w:val="20"/>
                <w:szCs w:val="20"/>
              </w:rPr>
              <w:t>“</w:t>
            </w:r>
            <w:r w:rsidRPr="004202C1">
              <w:rPr>
                <w:sz w:val="20"/>
                <w:szCs w:val="20"/>
                <w:vertAlign w:val="superscript"/>
              </w:rPr>
              <w:footnoteReference w:id="1208"/>
            </w:r>
            <w:r w:rsidRPr="004202C1">
              <w:rPr>
                <w:sz w:val="20"/>
                <w:szCs w:val="20"/>
              </w:rPr>
              <w:t>): Erstens die Freiheit</w:t>
            </w:r>
            <w:r>
              <w:rPr>
                <w:sz w:val="20"/>
                <w:szCs w:val="20"/>
              </w:rPr>
              <w:t>,</w:t>
            </w:r>
            <w:r w:rsidRPr="004202C1">
              <w:rPr>
                <w:sz w:val="20"/>
                <w:szCs w:val="20"/>
              </w:rPr>
              <w:t xml:space="preserve"> den Intellekt, die Interessen und die Persönlichkeit zu entwickeln und auszudrücken. Das seien absolute Rechte („[t]</w:t>
            </w:r>
            <w:proofErr w:type="spellStart"/>
            <w:r w:rsidRPr="004202C1">
              <w:rPr>
                <w:sz w:val="20"/>
                <w:szCs w:val="20"/>
              </w:rPr>
              <w:t>hese</w:t>
            </w:r>
            <w:proofErr w:type="spellEnd"/>
            <w:r w:rsidRPr="004202C1">
              <w:rPr>
                <w:sz w:val="20"/>
                <w:szCs w:val="20"/>
              </w:rPr>
              <w:t xml:space="preserve"> […] </w:t>
            </w:r>
            <w:proofErr w:type="spellStart"/>
            <w:r w:rsidRPr="004202C1">
              <w:rPr>
                <w:sz w:val="20"/>
                <w:szCs w:val="20"/>
              </w:rPr>
              <w:t>rights</w:t>
            </w:r>
            <w:proofErr w:type="spellEnd"/>
            <w:r w:rsidRPr="004202C1">
              <w:rPr>
                <w:sz w:val="20"/>
                <w:szCs w:val="20"/>
              </w:rPr>
              <w:t xml:space="preserve"> […] </w:t>
            </w:r>
            <w:proofErr w:type="spellStart"/>
            <w:r w:rsidRPr="004202C1">
              <w:rPr>
                <w:sz w:val="20"/>
                <w:szCs w:val="20"/>
              </w:rPr>
              <w:t>are</w:t>
            </w:r>
            <w:proofErr w:type="spellEnd"/>
            <w:r w:rsidRPr="004202C1">
              <w:rPr>
                <w:sz w:val="20"/>
                <w:szCs w:val="20"/>
              </w:rPr>
              <w:t xml:space="preserve"> absolute“</w:t>
            </w:r>
            <w:r w:rsidRPr="004202C1">
              <w:rPr>
                <w:sz w:val="20"/>
                <w:szCs w:val="20"/>
                <w:vertAlign w:val="superscript"/>
              </w:rPr>
              <w:footnoteReference w:id="1209"/>
            </w:r>
            <w:r w:rsidRPr="004202C1">
              <w:rPr>
                <w:sz w:val="20"/>
                <w:szCs w:val="20"/>
              </w:rPr>
              <w:t>). Die</w:t>
            </w:r>
            <w:r>
              <w:rPr>
                <w:sz w:val="20"/>
                <w:szCs w:val="20"/>
              </w:rPr>
              <w:t>se</w:t>
            </w:r>
            <w:r w:rsidRPr="004202C1">
              <w:rPr>
                <w:sz w:val="20"/>
                <w:szCs w:val="20"/>
              </w:rPr>
              <w:t xml:space="preserve"> binden sich an die </w:t>
            </w:r>
            <w:r w:rsidRPr="5B67C1D2">
              <w:rPr>
                <w:i/>
                <w:iCs/>
                <w:sz w:val="20"/>
                <w:szCs w:val="20"/>
              </w:rPr>
              <w:t xml:space="preserve">Free </w:t>
            </w:r>
            <w:proofErr w:type="spellStart"/>
            <w:r w:rsidRPr="5B67C1D2">
              <w:rPr>
                <w:i/>
                <w:iCs/>
                <w:sz w:val="20"/>
                <w:szCs w:val="20"/>
              </w:rPr>
              <w:t>Exercise</w:t>
            </w:r>
            <w:proofErr w:type="spellEnd"/>
            <w:r w:rsidRPr="5B67C1D2">
              <w:rPr>
                <w:i/>
                <w:iCs/>
                <w:sz w:val="20"/>
                <w:szCs w:val="20"/>
              </w:rPr>
              <w:t xml:space="preserve"> </w:t>
            </w:r>
            <w:proofErr w:type="spellStart"/>
            <w:r w:rsidRPr="5B67C1D2">
              <w:rPr>
                <w:i/>
                <w:iCs/>
                <w:sz w:val="20"/>
                <w:szCs w:val="20"/>
              </w:rPr>
              <w:t>Clause</w:t>
            </w:r>
            <w:proofErr w:type="spellEnd"/>
            <w:r w:rsidRPr="004202C1">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4202C1">
              <w:rPr>
                <w:sz w:val="20"/>
                <w:szCs w:val="20"/>
                <w:vertAlign w:val="superscript"/>
              </w:rPr>
              <w:footnoteReference w:id="1210"/>
            </w:r>
            <w:r w:rsidRPr="00B45592">
              <w:rPr>
                <w:sz w:val="20"/>
                <w:szCs w:val="20"/>
                <w:lang w:val="en-IE"/>
              </w:rPr>
              <w:t xml:space="preserve"> Und </w:t>
            </w:r>
            <w:proofErr w:type="spellStart"/>
            <w:r w:rsidRPr="00B45592">
              <w:rPr>
                <w:sz w:val="20"/>
                <w:szCs w:val="20"/>
                <w:lang w:val="en-IE"/>
              </w:rPr>
              <w:t>sie</w:t>
            </w:r>
            <w:proofErr w:type="spellEnd"/>
            <w:r w:rsidRPr="00B45592">
              <w:rPr>
                <w:sz w:val="20"/>
                <w:szCs w:val="20"/>
                <w:lang w:val="en-IE"/>
              </w:rPr>
              <w:t xml:space="preserve"> </w:t>
            </w:r>
            <w:proofErr w:type="spellStart"/>
            <w:r w:rsidRPr="00B45592">
              <w:rPr>
                <w:sz w:val="20"/>
                <w:szCs w:val="20"/>
                <w:lang w:val="en-IE"/>
              </w:rPr>
              <w:t>sind</w:t>
            </w:r>
            <w:proofErr w:type="spellEnd"/>
            <w:r w:rsidRPr="00B45592">
              <w:rPr>
                <w:sz w:val="20"/>
                <w:szCs w:val="20"/>
                <w:lang w:val="en-IE"/>
              </w:rPr>
              <w:t xml:space="preserve"> </w:t>
            </w:r>
            <w:proofErr w:type="spellStart"/>
            <w:r w:rsidRPr="00B45592">
              <w:rPr>
                <w:sz w:val="20"/>
                <w:szCs w:val="20"/>
                <w:lang w:val="en-IE"/>
              </w:rPr>
              <w:t>im</w:t>
            </w:r>
            <w:proofErr w:type="spellEnd"/>
            <w:r w:rsidRPr="00B45592">
              <w:rPr>
                <w:sz w:val="20"/>
                <w:szCs w:val="20"/>
                <w:lang w:val="en-IE"/>
              </w:rPr>
              <w:t xml:space="preserve"> </w:t>
            </w:r>
            <w:proofErr w:type="spellStart"/>
            <w:r w:rsidRPr="00B45592">
              <w:rPr>
                <w:sz w:val="20"/>
                <w:szCs w:val="20"/>
                <w:lang w:val="en-IE"/>
              </w:rPr>
              <w:t>Grunde</w:t>
            </w:r>
            <w:proofErr w:type="spellEnd"/>
            <w:r w:rsidRPr="00B45592">
              <w:rPr>
                <w:sz w:val="20"/>
                <w:szCs w:val="20"/>
                <w:lang w:val="en-IE"/>
              </w:rPr>
              <w:t xml:space="preserve"> </w:t>
            </w:r>
            <w:proofErr w:type="spellStart"/>
            <w:r w:rsidRPr="00B45592">
              <w:rPr>
                <w:sz w:val="20"/>
                <w:szCs w:val="20"/>
                <w:lang w:val="en-IE"/>
              </w:rPr>
              <w:t>abwägungsfest</w:t>
            </w:r>
            <w:proofErr w:type="spellEnd"/>
            <w:r w:rsidRPr="00B45592">
              <w:rPr>
                <w:sz w:val="20"/>
                <w:szCs w:val="20"/>
                <w:lang w:val="en-IE"/>
              </w:rPr>
              <w:t xml:space="preserve"> („they are absolute, permitting of no exceptions“</w:t>
            </w:r>
            <w:r w:rsidRPr="004202C1">
              <w:rPr>
                <w:sz w:val="20"/>
                <w:szCs w:val="20"/>
                <w:vertAlign w:val="superscript"/>
              </w:rPr>
              <w:footnoteReference w:id="1211"/>
            </w:r>
            <w:r w:rsidRPr="00B45592">
              <w:rPr>
                <w:sz w:val="20"/>
                <w:szCs w:val="20"/>
                <w:lang w:val="en-IE"/>
              </w:rPr>
              <w:t xml:space="preserve">). </w:t>
            </w:r>
            <w:r>
              <w:rPr>
                <w:sz w:val="20"/>
                <w:szCs w:val="20"/>
              </w:rPr>
              <w:t>Warum</w:t>
            </w:r>
            <w:r w:rsidRPr="004202C1">
              <w:rPr>
                <w:sz w:val="20"/>
                <w:szCs w:val="20"/>
              </w:rPr>
              <w:t xml:space="preserve">? Weil </w:t>
            </w:r>
            <w:r>
              <w:rPr>
                <w:sz w:val="20"/>
                <w:szCs w:val="20"/>
              </w:rPr>
              <w:t>a</w:t>
            </w:r>
            <w:r w:rsidRPr="004202C1">
              <w:rPr>
                <w:sz w:val="20"/>
                <w:szCs w:val="20"/>
              </w:rPr>
              <w:t xml:space="preserve">lle diese Aspekte des Rechts auf Privatsphäre – den Intellekt, die Interessen und die Persönlichkeit zu entwickeln und auszudrücken – Rechte sind, die im Sinne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w:t>
            </w:r>
            <w:r w:rsidRPr="004202C1">
              <w:rPr>
                <w:sz w:val="20"/>
                <w:szCs w:val="20"/>
                <w:lang w:val="en-US"/>
              </w:rPr>
              <w:t xml:space="preserve"> dem Volk </w:t>
            </w:r>
            <w:proofErr w:type="spellStart"/>
            <w:r w:rsidRPr="004202C1">
              <w:rPr>
                <w:sz w:val="20"/>
                <w:szCs w:val="20"/>
                <w:lang w:val="en-US"/>
              </w:rPr>
              <w:t>vorbehalten</w:t>
            </w:r>
            <w:proofErr w:type="spellEnd"/>
            <w:r w:rsidRPr="004202C1">
              <w:rPr>
                <w:sz w:val="20"/>
                <w:szCs w:val="20"/>
                <w:lang w:val="en-US"/>
              </w:rPr>
              <w:t xml:space="preserve"> </w:t>
            </w:r>
            <w:proofErr w:type="spellStart"/>
            <w:r w:rsidRPr="004202C1">
              <w:rPr>
                <w:sz w:val="20"/>
                <w:szCs w:val="20"/>
                <w:lang w:val="en-US"/>
              </w:rPr>
              <w:t>sind</w:t>
            </w:r>
            <w:proofErr w:type="spellEnd"/>
            <w:r w:rsidRPr="004202C1">
              <w:rPr>
                <w:sz w:val="20"/>
                <w:szCs w:val="20"/>
                <w:lang w:val="en-US"/>
              </w:rPr>
              <w:t xml:space="preserve"> („All of these aspects of the right of privacy are </w:t>
            </w:r>
            <w:proofErr w:type="gramStart"/>
            <w:r w:rsidRPr="004202C1">
              <w:rPr>
                <w:sz w:val="20"/>
                <w:szCs w:val="20"/>
                <w:lang w:val="en-US"/>
              </w:rPr>
              <w:t xml:space="preserve">rights </w:t>
            </w:r>
            <w:r>
              <w:rPr>
                <w:sz w:val="20"/>
                <w:szCs w:val="20"/>
                <w:lang w:val="en-US"/>
              </w:rPr>
              <w:t>,</w:t>
            </w:r>
            <w:r w:rsidRPr="004202C1">
              <w:rPr>
                <w:sz w:val="20"/>
                <w:szCs w:val="20"/>
                <w:lang w:val="en-US"/>
              </w:rPr>
              <w:t>retained</w:t>
            </w:r>
            <w:proofErr w:type="gramEnd"/>
            <w:r w:rsidRPr="004202C1">
              <w:rPr>
                <w:sz w:val="20"/>
                <w:szCs w:val="20"/>
                <w:lang w:val="en-US"/>
              </w:rPr>
              <w:t xml:space="preserve"> by the people</w:t>
            </w:r>
            <w:r>
              <w:rPr>
                <w:sz w:val="20"/>
                <w:szCs w:val="20"/>
                <w:lang w:val="en-US"/>
              </w:rPr>
              <w:t>‘</w:t>
            </w:r>
            <w:r w:rsidRPr="004202C1">
              <w:rPr>
                <w:sz w:val="20"/>
                <w:szCs w:val="20"/>
                <w:lang w:val="en-US"/>
              </w:rPr>
              <w:t xml:space="preserve"> in the meaning of the Ninth Amendment.“</w:t>
            </w:r>
            <w:r w:rsidRPr="004202C1">
              <w:rPr>
                <w:sz w:val="20"/>
                <w:szCs w:val="20"/>
                <w:vertAlign w:val="superscript"/>
              </w:rPr>
              <w:footnoteReference w:id="1212"/>
            </w:r>
            <w:r w:rsidRPr="004202C1">
              <w:rPr>
                <w:sz w:val="20"/>
                <w:szCs w:val="20"/>
              </w:rPr>
              <w:t>)</w:t>
            </w:r>
            <w:r>
              <w:rPr>
                <w:sz w:val="20"/>
                <w:szCs w:val="20"/>
              </w:rPr>
              <w:t>.</w:t>
            </w:r>
          </w:p>
          <w:p w14:paraId="754BB5A7" w14:textId="5C87E5D6" w:rsidR="00074551" w:rsidRPr="004202C1" w:rsidRDefault="00074551" w:rsidP="00367133">
            <w:pPr>
              <w:jc w:val="both"/>
              <w:rPr>
                <w:sz w:val="20"/>
                <w:szCs w:val="20"/>
              </w:rPr>
            </w:pPr>
            <w:r w:rsidRPr="004202C1">
              <w:rPr>
                <w:sz w:val="20"/>
                <w:szCs w:val="20"/>
              </w:rPr>
              <w:t xml:space="preserve">Die zweite </w:t>
            </w:r>
            <w:proofErr w:type="spellStart"/>
            <w:r w:rsidRPr="5B67C1D2">
              <w:rPr>
                <w:i/>
                <w:iCs/>
                <w:sz w:val="20"/>
                <w:szCs w:val="20"/>
              </w:rPr>
              <w:t>zone</w:t>
            </w:r>
            <w:proofErr w:type="spellEnd"/>
            <w:r w:rsidRPr="5B67C1D2">
              <w:rPr>
                <w:i/>
                <w:iCs/>
                <w:sz w:val="20"/>
                <w:szCs w:val="20"/>
              </w:rPr>
              <w:t xml:space="preserve"> of </w:t>
            </w:r>
            <w:proofErr w:type="spellStart"/>
            <w:r w:rsidRPr="5B67C1D2">
              <w:rPr>
                <w:i/>
                <w:iCs/>
                <w:sz w:val="20"/>
                <w:szCs w:val="20"/>
              </w:rPr>
              <w:t>privacy</w:t>
            </w:r>
            <w:proofErr w:type="spellEnd"/>
            <w:r w:rsidRPr="004202C1">
              <w:rPr>
                <w:sz w:val="20"/>
                <w:szCs w:val="20"/>
              </w:rPr>
              <w:t xml:space="preserve"> laute</w:t>
            </w:r>
            <w:r>
              <w:rPr>
                <w:sz w:val="20"/>
                <w:szCs w:val="20"/>
              </w:rPr>
              <w:t>t</w:t>
            </w:r>
            <w:r w:rsidRPr="004202C1">
              <w:rPr>
                <w:sz w:val="20"/>
                <w:szCs w:val="20"/>
              </w:rPr>
              <w:t>: Freiheit</w:t>
            </w:r>
            <w:r>
              <w:rPr>
                <w:sz w:val="20"/>
                <w:szCs w:val="20"/>
              </w:rPr>
              <w:t>,</w:t>
            </w:r>
            <w:r w:rsidRPr="004202C1">
              <w:rPr>
                <w:sz w:val="20"/>
                <w:szCs w:val="20"/>
              </w:rPr>
              <w:t xml:space="preserve"> selbst entscheiden zu können bei grundlegenden Lebensentscheidungen wie </w:t>
            </w:r>
            <w:r>
              <w:rPr>
                <w:sz w:val="20"/>
                <w:szCs w:val="20"/>
              </w:rPr>
              <w:t>z.B.</w:t>
            </w:r>
            <w:r w:rsidRPr="004202C1">
              <w:rPr>
                <w:sz w:val="20"/>
                <w:szCs w:val="20"/>
              </w:rPr>
              <w:t xml:space="preserve"> bei der Ehe</w:t>
            </w:r>
            <w:r>
              <w:rPr>
                <w:sz w:val="20"/>
                <w:szCs w:val="20"/>
              </w:rPr>
              <w:t>,</w:t>
            </w:r>
            <w:r w:rsidRPr="004202C1">
              <w:rPr>
                <w:sz w:val="20"/>
                <w:szCs w:val="20"/>
                <w:vertAlign w:val="superscript"/>
              </w:rPr>
              <w:footnoteReference w:id="1213"/>
            </w:r>
            <w:r w:rsidRPr="004202C1">
              <w:rPr>
                <w:sz w:val="20"/>
                <w:szCs w:val="20"/>
              </w:rPr>
              <w:t xml:space="preserve"> Scheidung, Fortpflanzung</w:t>
            </w:r>
            <w:r>
              <w:rPr>
                <w:sz w:val="20"/>
                <w:szCs w:val="20"/>
              </w:rPr>
              <w:t>,</w:t>
            </w:r>
            <w:r w:rsidRPr="004202C1">
              <w:rPr>
                <w:sz w:val="20"/>
                <w:szCs w:val="20"/>
                <w:vertAlign w:val="superscript"/>
              </w:rPr>
              <w:footnoteReference w:id="1214"/>
            </w:r>
            <w:r w:rsidRPr="004202C1">
              <w:rPr>
                <w:sz w:val="20"/>
                <w:szCs w:val="20"/>
              </w:rPr>
              <w:t xml:space="preserve"> Empfängnisverhütung, Privatsphäre in ehelichen Beziehungen,</w:t>
            </w:r>
            <w:r w:rsidRPr="004202C1">
              <w:rPr>
                <w:sz w:val="20"/>
                <w:szCs w:val="20"/>
                <w:vertAlign w:val="superscript"/>
              </w:rPr>
              <w:footnoteReference w:id="1215"/>
            </w:r>
            <w:r w:rsidRPr="004202C1">
              <w:rPr>
                <w:sz w:val="20"/>
                <w:szCs w:val="20"/>
              </w:rPr>
              <w:t xml:space="preserve"> Bildung und Erziehung von Kindern</w:t>
            </w:r>
            <w:r w:rsidRPr="004202C1">
              <w:rPr>
                <w:sz w:val="20"/>
                <w:szCs w:val="20"/>
                <w:vertAlign w:val="superscript"/>
              </w:rPr>
              <w:footnoteReference w:id="1216"/>
            </w:r>
            <w:r w:rsidRPr="004202C1">
              <w:rPr>
                <w:sz w:val="20"/>
                <w:szCs w:val="20"/>
              </w:rPr>
              <w:t xml:space="preserve"> sowie bei der Freiheit abzutreiben.</w:t>
            </w:r>
            <w:r w:rsidRPr="004202C1">
              <w:rPr>
                <w:sz w:val="20"/>
                <w:szCs w:val="20"/>
                <w:vertAlign w:val="superscript"/>
              </w:rPr>
              <w:footnoteReference w:id="1217"/>
            </w:r>
            <w:r>
              <w:rPr>
                <w:sz w:val="20"/>
                <w:szCs w:val="20"/>
              </w:rPr>
              <w:t xml:space="preserve"> D</w:t>
            </w:r>
            <w:r w:rsidRPr="004202C1">
              <w:rPr>
                <w:sz w:val="20"/>
                <w:szCs w:val="20"/>
              </w:rPr>
              <w:t>as seien aber nicht absolute, sondern nur fundamentale Rechte („[t]</w:t>
            </w:r>
            <w:proofErr w:type="spellStart"/>
            <w:r w:rsidRPr="004202C1">
              <w:rPr>
                <w:sz w:val="20"/>
                <w:szCs w:val="20"/>
              </w:rPr>
              <w:t>hese</w:t>
            </w:r>
            <w:proofErr w:type="spellEnd"/>
            <w:r w:rsidRPr="004202C1">
              <w:rPr>
                <w:sz w:val="20"/>
                <w:szCs w:val="20"/>
              </w:rPr>
              <w:t xml:space="preserve"> </w:t>
            </w:r>
            <w:proofErr w:type="spellStart"/>
            <w:r w:rsidRPr="004202C1">
              <w:rPr>
                <w:sz w:val="20"/>
                <w:szCs w:val="20"/>
              </w:rPr>
              <w:t>rights</w:t>
            </w:r>
            <w:proofErr w:type="spellEnd"/>
            <w:r w:rsidRPr="004202C1">
              <w:rPr>
                <w:sz w:val="20"/>
                <w:szCs w:val="20"/>
              </w:rPr>
              <w:t xml:space="preserve"> </w:t>
            </w:r>
            <w:proofErr w:type="spellStart"/>
            <w:r w:rsidRPr="004202C1">
              <w:rPr>
                <w:sz w:val="20"/>
                <w:szCs w:val="20"/>
              </w:rPr>
              <w:t>are</w:t>
            </w:r>
            <w:proofErr w:type="spellEnd"/>
            <w:r w:rsidRPr="004202C1">
              <w:rPr>
                <w:sz w:val="20"/>
                <w:szCs w:val="20"/>
              </w:rPr>
              <w:t xml:space="preserve"> ‚fundamental</w:t>
            </w:r>
            <w:r>
              <w:rPr>
                <w:sz w:val="20"/>
                <w:szCs w:val="20"/>
              </w:rPr>
              <w:t>’</w:t>
            </w:r>
            <w:r w:rsidRPr="004202C1">
              <w:rPr>
                <w:sz w:val="20"/>
                <w:szCs w:val="20"/>
              </w:rPr>
              <w:t>“</w:t>
            </w:r>
            <w:r w:rsidRPr="004202C1">
              <w:rPr>
                <w:sz w:val="20"/>
                <w:szCs w:val="20"/>
                <w:vertAlign w:val="superscript"/>
              </w:rPr>
              <w:footnoteReference w:id="1218"/>
            </w:r>
            <w:r w:rsidRPr="004202C1">
              <w:rPr>
                <w:sz w:val="20"/>
                <w:szCs w:val="20"/>
              </w:rPr>
              <w:t xml:space="preserve">). Damit sind sie der Polizeihoheit bzw. -gewalt zugänglich und somit einschränkbar. Das liegt am abwägenden Wortlaut ihrer Rechtsgrundlage,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4202C1">
              <w:rPr>
                <w:sz w:val="20"/>
                <w:szCs w:val="20"/>
                <w:vertAlign w:val="superscript"/>
              </w:rPr>
              <w:footnoteReference w:id="1219"/>
            </w:r>
            <w:r w:rsidRPr="004202C1">
              <w:rPr>
                <w:sz w:val="20"/>
                <w:szCs w:val="20"/>
              </w:rPr>
              <w:t xml:space="preserve"> Der laute: unverhältnismäßig bzw. hinreichend („</w:t>
            </w:r>
            <w:proofErr w:type="spellStart"/>
            <w:r w:rsidRPr="004202C1">
              <w:rPr>
                <w:sz w:val="20"/>
                <w:szCs w:val="20"/>
              </w:rPr>
              <w:t>unreasonable</w:t>
            </w:r>
            <w:proofErr w:type="spellEnd"/>
            <w:r w:rsidRPr="004202C1">
              <w:rPr>
                <w:sz w:val="20"/>
                <w:szCs w:val="20"/>
              </w:rPr>
              <w:t xml:space="preserve"> […] </w:t>
            </w:r>
            <w:r w:rsidRPr="004202C1">
              <w:rPr>
                <w:sz w:val="20"/>
                <w:szCs w:val="20"/>
              </w:rPr>
              <w:lastRenderedPageBreak/>
              <w:t>probable“),</w:t>
            </w:r>
            <w:r w:rsidRPr="004202C1">
              <w:rPr>
                <w:sz w:val="20"/>
                <w:szCs w:val="20"/>
                <w:vertAlign w:val="superscript"/>
              </w:rPr>
              <w:footnoteReference w:id="1220"/>
            </w:r>
            <w:r w:rsidRPr="004202C1">
              <w:rPr>
                <w:sz w:val="20"/>
                <w:szCs w:val="20"/>
              </w:rPr>
              <w:t xml:space="preserve"> was einer Abwägung zugänglich sei. Die Polizei </w:t>
            </w:r>
            <w:r>
              <w:rPr>
                <w:sz w:val="20"/>
                <w:szCs w:val="20"/>
              </w:rPr>
              <w:t>könne</w:t>
            </w:r>
            <w:r w:rsidRPr="004202C1">
              <w:rPr>
                <w:sz w:val="20"/>
                <w:szCs w:val="20"/>
              </w:rPr>
              <w:t xml:space="preserve"> die fundamentalen Rechte indes nur aufgrund von zwingendem staatlichem Interesse („</w:t>
            </w:r>
            <w:proofErr w:type="spellStart"/>
            <w:r w:rsidRPr="004202C1">
              <w:rPr>
                <w:sz w:val="20"/>
                <w:szCs w:val="20"/>
              </w:rPr>
              <w:t>compelling</w:t>
            </w:r>
            <w:proofErr w:type="spellEnd"/>
            <w:r w:rsidRPr="004202C1">
              <w:rPr>
                <w:sz w:val="20"/>
                <w:szCs w:val="20"/>
              </w:rPr>
              <w:t xml:space="preserve"> </w:t>
            </w:r>
            <w:proofErr w:type="spellStart"/>
            <w:r w:rsidRPr="004202C1">
              <w:rPr>
                <w:sz w:val="20"/>
                <w:szCs w:val="20"/>
              </w:rPr>
              <w:t>state</w:t>
            </w:r>
            <w:proofErr w:type="spellEnd"/>
            <w:r w:rsidRPr="004202C1">
              <w:rPr>
                <w:sz w:val="20"/>
                <w:szCs w:val="20"/>
              </w:rPr>
              <w:t xml:space="preserve"> </w:t>
            </w:r>
            <w:proofErr w:type="spellStart"/>
            <w:r w:rsidRPr="004202C1">
              <w:rPr>
                <w:sz w:val="20"/>
                <w:szCs w:val="20"/>
              </w:rPr>
              <w:t>interest</w:t>
            </w:r>
            <w:proofErr w:type="spellEnd"/>
            <w:r w:rsidRPr="004202C1">
              <w:rPr>
                <w:sz w:val="20"/>
                <w:szCs w:val="20"/>
              </w:rPr>
              <w:t>“</w:t>
            </w:r>
            <w:r w:rsidRPr="004202C1">
              <w:rPr>
                <w:sz w:val="20"/>
                <w:szCs w:val="20"/>
                <w:vertAlign w:val="superscript"/>
              </w:rPr>
              <w:footnoteReference w:id="1221"/>
            </w:r>
            <w:r w:rsidRPr="004202C1">
              <w:rPr>
                <w:sz w:val="20"/>
                <w:szCs w:val="20"/>
              </w:rPr>
              <w:t xml:space="preserve">) einschränken. Als Synonym für diese </w:t>
            </w:r>
            <w:proofErr w:type="spellStart"/>
            <w:r w:rsidRPr="5B67C1D2">
              <w:rPr>
                <w:i/>
                <w:iCs/>
                <w:sz w:val="20"/>
                <w:szCs w:val="20"/>
              </w:rPr>
              <w:t>zone</w:t>
            </w:r>
            <w:proofErr w:type="spellEnd"/>
            <w:r w:rsidRPr="5B67C1D2">
              <w:rPr>
                <w:i/>
                <w:iCs/>
                <w:sz w:val="20"/>
                <w:szCs w:val="20"/>
              </w:rPr>
              <w:t xml:space="preserve"> of </w:t>
            </w:r>
            <w:proofErr w:type="spellStart"/>
            <w:r w:rsidRPr="5B67C1D2">
              <w:rPr>
                <w:i/>
                <w:iCs/>
                <w:sz w:val="20"/>
                <w:szCs w:val="20"/>
              </w:rPr>
              <w:t>privacy</w:t>
            </w:r>
            <w:proofErr w:type="spellEnd"/>
            <w:r w:rsidRPr="004202C1">
              <w:rPr>
                <w:sz w:val="20"/>
                <w:szCs w:val="20"/>
              </w:rPr>
              <w:t xml:space="preserve"> wählt der </w:t>
            </w:r>
            <w:r>
              <w:rPr>
                <w:sz w:val="20"/>
                <w:szCs w:val="20"/>
              </w:rPr>
              <w:t>U.S. Supreme Court</w:t>
            </w:r>
            <w:r w:rsidRPr="004202C1">
              <w:rPr>
                <w:sz w:val="20"/>
                <w:szCs w:val="20"/>
              </w:rPr>
              <w:t xml:space="preserve"> den Ausdruck</w:t>
            </w:r>
            <w:r>
              <w:rPr>
                <w:sz w:val="20"/>
                <w:szCs w:val="20"/>
              </w:rPr>
              <w:t xml:space="preserve"> „</w:t>
            </w:r>
            <w:r w:rsidRPr="004202C1">
              <w:rPr>
                <w:sz w:val="20"/>
                <w:szCs w:val="20"/>
              </w:rPr>
              <w:t>Recht</w:t>
            </w:r>
            <w:r>
              <w:rPr>
                <w:sz w:val="20"/>
                <w:szCs w:val="20"/>
              </w:rPr>
              <w:t>,</w:t>
            </w:r>
            <w:r w:rsidRPr="004202C1">
              <w:rPr>
                <w:sz w:val="20"/>
                <w:szCs w:val="20"/>
              </w:rPr>
              <w:t xml:space="preserve"> in Ruhe gelassen zu werden</w:t>
            </w:r>
            <w:r>
              <w:rPr>
                <w:sz w:val="20"/>
                <w:szCs w:val="20"/>
              </w:rPr>
              <w:t>“</w:t>
            </w:r>
            <w:r w:rsidRPr="004202C1">
              <w:rPr>
                <w:sz w:val="20"/>
                <w:szCs w:val="20"/>
              </w:rPr>
              <w:t xml:space="preserve"> („to </w:t>
            </w:r>
            <w:proofErr w:type="spellStart"/>
            <w:r w:rsidRPr="004202C1">
              <w:rPr>
                <w:sz w:val="20"/>
                <w:szCs w:val="20"/>
              </w:rPr>
              <w:t>be</w:t>
            </w:r>
            <w:proofErr w:type="spellEnd"/>
            <w:r w:rsidRPr="004202C1">
              <w:rPr>
                <w:sz w:val="20"/>
                <w:szCs w:val="20"/>
              </w:rPr>
              <w:t xml:space="preserve"> </w:t>
            </w:r>
            <w:proofErr w:type="spellStart"/>
            <w:r w:rsidRPr="004202C1">
              <w:rPr>
                <w:sz w:val="20"/>
                <w:szCs w:val="20"/>
              </w:rPr>
              <w:t>let</w:t>
            </w:r>
            <w:proofErr w:type="spellEnd"/>
            <w:r w:rsidRPr="004202C1">
              <w:rPr>
                <w:sz w:val="20"/>
                <w:szCs w:val="20"/>
              </w:rPr>
              <w:t xml:space="preserve"> </w:t>
            </w:r>
            <w:proofErr w:type="spellStart"/>
            <w:r w:rsidRPr="004202C1">
              <w:rPr>
                <w:sz w:val="20"/>
                <w:szCs w:val="20"/>
              </w:rPr>
              <w:t>alone</w:t>
            </w:r>
            <w:proofErr w:type="spellEnd"/>
            <w:r w:rsidRPr="004202C1">
              <w:rPr>
                <w:sz w:val="20"/>
                <w:szCs w:val="20"/>
              </w:rPr>
              <w:t>“</w:t>
            </w:r>
            <w:r w:rsidRPr="004202C1">
              <w:rPr>
                <w:sz w:val="20"/>
                <w:szCs w:val="20"/>
                <w:vertAlign w:val="superscript"/>
              </w:rPr>
              <w:footnoteReference w:id="1222"/>
            </w:r>
            <w:r w:rsidRPr="004202C1">
              <w:rPr>
                <w:sz w:val="20"/>
                <w:szCs w:val="20"/>
              </w:rPr>
              <w:t>). Dies meint das Recht jede</w:t>
            </w:r>
            <w:r>
              <w:rPr>
                <w:sz w:val="20"/>
                <w:szCs w:val="20"/>
              </w:rPr>
              <w:t>s</w:t>
            </w:r>
            <w:r w:rsidRPr="004202C1">
              <w:rPr>
                <w:sz w:val="20"/>
                <w:szCs w:val="20"/>
              </w:rPr>
              <w:t xml:space="preserve"> Einzelne</w:t>
            </w:r>
            <w:r>
              <w:rPr>
                <w:sz w:val="20"/>
                <w:szCs w:val="20"/>
              </w:rPr>
              <w:t>n,</w:t>
            </w:r>
            <w:r w:rsidRPr="004202C1">
              <w:rPr>
                <w:sz w:val="20"/>
                <w:szCs w:val="20"/>
              </w:rPr>
              <w:t xml:space="preserve"> seine Angelegenheiten außerhalb des Bereichs des schädlichen Verhaltens selbst </w:t>
            </w:r>
            <w:r>
              <w:rPr>
                <w:sz w:val="20"/>
                <w:szCs w:val="20"/>
              </w:rPr>
              <w:t xml:space="preserve">zu </w:t>
            </w:r>
            <w:r w:rsidRPr="004202C1">
              <w:rPr>
                <w:sz w:val="20"/>
                <w:szCs w:val="20"/>
              </w:rPr>
              <w:t>regeln.</w:t>
            </w:r>
            <w:r w:rsidRPr="004202C1">
              <w:rPr>
                <w:sz w:val="20"/>
                <w:szCs w:val="20"/>
                <w:vertAlign w:val="superscript"/>
              </w:rPr>
              <w:footnoteReference w:id="1223"/>
            </w:r>
          </w:p>
          <w:p w14:paraId="7484CC4A" w14:textId="5EB418D2" w:rsidR="00074551" w:rsidRPr="004202C1" w:rsidRDefault="00074551" w:rsidP="00367133">
            <w:pPr>
              <w:jc w:val="both"/>
              <w:rPr>
                <w:sz w:val="20"/>
                <w:szCs w:val="20"/>
              </w:rPr>
            </w:pPr>
            <w:r w:rsidRPr="004202C1">
              <w:rPr>
                <w:sz w:val="20"/>
                <w:szCs w:val="20"/>
              </w:rPr>
              <w:t xml:space="preserve">Die dritte </w:t>
            </w:r>
            <w:proofErr w:type="spellStart"/>
            <w:r w:rsidRPr="5B67C1D2">
              <w:rPr>
                <w:i/>
                <w:iCs/>
                <w:sz w:val="20"/>
                <w:szCs w:val="20"/>
              </w:rPr>
              <w:t>zone</w:t>
            </w:r>
            <w:proofErr w:type="spellEnd"/>
            <w:r w:rsidRPr="5B67C1D2">
              <w:rPr>
                <w:i/>
                <w:iCs/>
                <w:sz w:val="20"/>
                <w:szCs w:val="20"/>
              </w:rPr>
              <w:t xml:space="preserve"> of </w:t>
            </w:r>
            <w:proofErr w:type="spellStart"/>
            <w:r w:rsidRPr="5B67C1D2">
              <w:rPr>
                <w:i/>
                <w:iCs/>
                <w:sz w:val="20"/>
                <w:szCs w:val="20"/>
              </w:rPr>
              <w:t>privacy</w:t>
            </w:r>
            <w:proofErr w:type="spellEnd"/>
            <w:r w:rsidRPr="004202C1">
              <w:rPr>
                <w:sz w:val="20"/>
                <w:szCs w:val="20"/>
              </w:rPr>
              <w:t xml:space="preserve"> beschreibt </w:t>
            </w:r>
            <w:r>
              <w:rPr>
                <w:sz w:val="20"/>
                <w:szCs w:val="20"/>
              </w:rPr>
              <w:t>z.B.</w:t>
            </w:r>
            <w:r w:rsidRPr="004202C1">
              <w:rPr>
                <w:sz w:val="20"/>
                <w:szCs w:val="20"/>
              </w:rPr>
              <w:t xml:space="preserve"> die Freiheit, für die eigene Gesundheit und Person zu sorgen, von körperlicher Einschränkung oder Zwang frei zu bleiben und die Freiheit, sich fortzubewegen.</w:t>
            </w:r>
            <w:r w:rsidRPr="004202C1">
              <w:rPr>
                <w:sz w:val="20"/>
                <w:szCs w:val="20"/>
                <w:vertAlign w:val="superscript"/>
              </w:rPr>
              <w:footnoteReference w:id="1224"/>
            </w:r>
            <w:r w:rsidRPr="004202C1">
              <w:rPr>
                <w:sz w:val="20"/>
                <w:szCs w:val="20"/>
              </w:rPr>
              <w:t xml:space="preserve"> Und dazu gehör</w:t>
            </w:r>
            <w:r>
              <w:rPr>
                <w:sz w:val="20"/>
                <w:szCs w:val="20"/>
              </w:rPr>
              <w:t>e</w:t>
            </w:r>
            <w:r w:rsidRPr="004202C1">
              <w:rPr>
                <w:sz w:val="20"/>
                <w:szCs w:val="20"/>
              </w:rPr>
              <w:t xml:space="preserve"> auch die persönliche Sicherheit („</w:t>
            </w:r>
            <w:proofErr w:type="spellStart"/>
            <w:r w:rsidRPr="004202C1">
              <w:rPr>
                <w:sz w:val="20"/>
                <w:szCs w:val="20"/>
              </w:rPr>
              <w:t>inestimable</w:t>
            </w:r>
            <w:proofErr w:type="spellEnd"/>
            <w:r w:rsidRPr="004202C1">
              <w:rPr>
                <w:sz w:val="20"/>
                <w:szCs w:val="20"/>
              </w:rPr>
              <w:t xml:space="preserve"> </w:t>
            </w:r>
            <w:proofErr w:type="spellStart"/>
            <w:r w:rsidRPr="004202C1">
              <w:rPr>
                <w:sz w:val="20"/>
                <w:szCs w:val="20"/>
              </w:rPr>
              <w:t>right</w:t>
            </w:r>
            <w:proofErr w:type="spellEnd"/>
            <w:r w:rsidRPr="004202C1">
              <w:rPr>
                <w:sz w:val="20"/>
                <w:szCs w:val="20"/>
              </w:rPr>
              <w:t xml:space="preserve"> of personal </w:t>
            </w:r>
            <w:proofErr w:type="spellStart"/>
            <w:r w:rsidRPr="004202C1">
              <w:rPr>
                <w:sz w:val="20"/>
                <w:szCs w:val="20"/>
              </w:rPr>
              <w:t>security</w:t>
            </w:r>
            <w:proofErr w:type="spellEnd"/>
            <w:r w:rsidRPr="004202C1">
              <w:rPr>
                <w:sz w:val="20"/>
                <w:szCs w:val="20"/>
              </w:rPr>
              <w:t>“</w:t>
            </w:r>
            <w:r w:rsidRPr="004202C1">
              <w:rPr>
                <w:sz w:val="20"/>
                <w:szCs w:val="20"/>
                <w:vertAlign w:val="superscript"/>
              </w:rPr>
              <w:footnoteReference w:id="1225"/>
            </w:r>
            <w:r w:rsidRPr="004202C1">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4202C1">
              <w:rPr>
                <w:sz w:val="20"/>
                <w:szCs w:val="20"/>
              </w:rPr>
              <w:t xml:space="preserve">, die für den Bürger auf der Straße ebenso gelten </w:t>
            </w:r>
            <w:r>
              <w:rPr>
                <w:sz w:val="20"/>
                <w:szCs w:val="20"/>
              </w:rPr>
              <w:t>könne</w:t>
            </w:r>
            <w:r w:rsidRPr="004202C1">
              <w:rPr>
                <w:sz w:val="20"/>
                <w:szCs w:val="20"/>
              </w:rPr>
              <w:t xml:space="preserve"> wie für den Hauseigentümer in seinem Arbeitszimmer,</w:t>
            </w:r>
            <w:r w:rsidRPr="004202C1">
              <w:rPr>
                <w:sz w:val="20"/>
                <w:szCs w:val="20"/>
                <w:vertAlign w:val="superscript"/>
              </w:rPr>
              <w:footnoteReference w:id="1226"/>
            </w:r>
            <w:r w:rsidRPr="004202C1">
              <w:rPr>
                <w:sz w:val="20"/>
                <w:szCs w:val="20"/>
              </w:rPr>
              <w:t xml:space="preserve"> abhängig von der jeweil</w:t>
            </w:r>
            <w:r>
              <w:rPr>
                <w:sz w:val="20"/>
                <w:szCs w:val="20"/>
              </w:rPr>
              <w:t>ig</w:t>
            </w:r>
            <w:r w:rsidRPr="004202C1">
              <w:rPr>
                <w:sz w:val="20"/>
                <w:szCs w:val="20"/>
              </w:rPr>
              <w:t xml:space="preserve">en Handlung. Und auch die Rechte nach </w:t>
            </w:r>
            <w:r w:rsidRPr="5B67C1D2">
              <w:rPr>
                <w:i/>
                <w:iCs/>
                <w:sz w:val="20"/>
                <w:szCs w:val="20"/>
              </w:rPr>
              <w:t>Meyer v. Nebraska</w:t>
            </w:r>
            <w:r w:rsidRPr="004202C1">
              <w:rPr>
                <w:sz w:val="20"/>
                <w:szCs w:val="20"/>
              </w:rPr>
              <w:t xml:space="preserve"> gehören zur dritten </w:t>
            </w:r>
            <w:proofErr w:type="spellStart"/>
            <w:r w:rsidRPr="5B67C1D2">
              <w:rPr>
                <w:i/>
                <w:iCs/>
                <w:sz w:val="20"/>
                <w:szCs w:val="20"/>
              </w:rPr>
              <w:t>zone</w:t>
            </w:r>
            <w:proofErr w:type="spellEnd"/>
            <w:r w:rsidRPr="5B67C1D2">
              <w:rPr>
                <w:i/>
                <w:iCs/>
                <w:sz w:val="20"/>
                <w:szCs w:val="20"/>
              </w:rPr>
              <w:t xml:space="preserve"> of </w:t>
            </w:r>
            <w:proofErr w:type="spellStart"/>
            <w:r w:rsidRPr="5B67C1D2">
              <w:rPr>
                <w:i/>
                <w:iCs/>
                <w:sz w:val="20"/>
                <w:szCs w:val="20"/>
              </w:rPr>
              <w:t>privacy</w:t>
            </w:r>
            <w:proofErr w:type="spellEnd"/>
            <w:r w:rsidRPr="004202C1">
              <w:rPr>
                <w:sz w:val="20"/>
                <w:szCs w:val="20"/>
              </w:rPr>
              <w:t>, also: körperliche Unversehrtheit, Vertragsfreiheit, Berufswahl- und Berufsausübungsfreiheit, Bildungsfreiheit, Ehefreiheit, Unverletzlichkeit der Wohnung, Erziehungsfreiheit, Religions- und Religionsausübungsfreiheit.</w:t>
            </w:r>
            <w:r w:rsidRPr="004202C1">
              <w:rPr>
                <w:sz w:val="20"/>
                <w:szCs w:val="20"/>
                <w:vertAlign w:val="superscript"/>
              </w:rPr>
              <w:footnoteReference w:id="1227"/>
            </w:r>
            <w:r w:rsidRPr="004202C1">
              <w:rPr>
                <w:sz w:val="20"/>
                <w:szCs w:val="20"/>
              </w:rPr>
              <w:t xml:space="preserve"> Allesamt seien ebenso fundamentale Rechte („fundamental“</w:t>
            </w:r>
            <w:r w:rsidRPr="004202C1">
              <w:rPr>
                <w:sz w:val="20"/>
                <w:szCs w:val="20"/>
                <w:vertAlign w:val="superscript"/>
              </w:rPr>
              <w:footnoteReference w:id="1228"/>
            </w:r>
            <w:r w:rsidRPr="004202C1">
              <w:rPr>
                <w:sz w:val="20"/>
                <w:szCs w:val="20"/>
              </w:rPr>
              <w:t>). Die könne der Staat zwar einschränken, aber eben nur mit zwingendem staatlichem Interesse („</w:t>
            </w:r>
            <w:proofErr w:type="spellStart"/>
            <w:r w:rsidRPr="004202C1">
              <w:rPr>
                <w:sz w:val="20"/>
                <w:szCs w:val="20"/>
              </w:rPr>
              <w:t>com</w:t>
            </w:r>
            <w:r>
              <w:rPr>
                <w:sz w:val="20"/>
                <w:szCs w:val="20"/>
              </w:rPr>
              <w:t>p</w:t>
            </w:r>
            <w:r w:rsidRPr="004202C1">
              <w:rPr>
                <w:sz w:val="20"/>
                <w:szCs w:val="20"/>
              </w:rPr>
              <w:t>elling</w:t>
            </w:r>
            <w:proofErr w:type="spellEnd"/>
            <w:r w:rsidRPr="004202C1">
              <w:rPr>
                <w:sz w:val="20"/>
                <w:szCs w:val="20"/>
              </w:rPr>
              <w:t xml:space="preserve"> </w:t>
            </w:r>
            <w:proofErr w:type="spellStart"/>
            <w:r w:rsidRPr="004202C1">
              <w:rPr>
                <w:sz w:val="20"/>
                <w:szCs w:val="20"/>
              </w:rPr>
              <w:t>state</w:t>
            </w:r>
            <w:proofErr w:type="spellEnd"/>
            <w:r w:rsidRPr="004202C1">
              <w:rPr>
                <w:sz w:val="20"/>
                <w:szCs w:val="20"/>
              </w:rPr>
              <w:t xml:space="preserve"> </w:t>
            </w:r>
            <w:proofErr w:type="spellStart"/>
            <w:r w:rsidRPr="004202C1">
              <w:rPr>
                <w:sz w:val="20"/>
                <w:szCs w:val="20"/>
              </w:rPr>
              <w:t>interest</w:t>
            </w:r>
            <w:proofErr w:type="spellEnd"/>
            <w:r w:rsidRPr="004202C1">
              <w:rPr>
                <w:sz w:val="20"/>
                <w:szCs w:val="20"/>
              </w:rPr>
              <w:t>“</w:t>
            </w:r>
            <w:r w:rsidRPr="004202C1">
              <w:rPr>
                <w:sz w:val="20"/>
                <w:szCs w:val="20"/>
                <w:vertAlign w:val="superscript"/>
              </w:rPr>
              <w:footnoteReference w:id="1229"/>
            </w:r>
            <w:r w:rsidRPr="004202C1">
              <w:rPr>
                <w:sz w:val="20"/>
                <w:szCs w:val="20"/>
              </w:rPr>
              <w:t xml:space="preserve">), wobei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4202C1">
              <w:rPr>
                <w:sz w:val="20"/>
                <w:szCs w:val="20"/>
              </w:rPr>
              <w:t xml:space="preserve"> die Privatsphäre gegen staatliche Eingriffe schütze.</w:t>
            </w:r>
            <w:r w:rsidRPr="004202C1">
              <w:rPr>
                <w:sz w:val="20"/>
                <w:szCs w:val="20"/>
                <w:vertAlign w:val="superscript"/>
              </w:rPr>
              <w:footnoteReference w:id="1230"/>
            </w:r>
            <w:r>
              <w:rPr>
                <w:sz w:val="20"/>
                <w:szCs w:val="20"/>
              </w:rPr>
              <w:t xml:space="preserve"> </w:t>
            </w:r>
            <w:r w:rsidRPr="004202C1">
              <w:rPr>
                <w:sz w:val="20"/>
                <w:szCs w:val="20"/>
              </w:rPr>
              <w:t xml:space="preserve">Dennoch bleibe die Intimsphäre ausnahmsweise absolut gegen staatliche Eingriffe geschützt („a </w:t>
            </w:r>
            <w:proofErr w:type="spellStart"/>
            <w:r w:rsidRPr="004202C1">
              <w:rPr>
                <w:sz w:val="20"/>
                <w:szCs w:val="20"/>
              </w:rPr>
              <w:t>sphere</w:t>
            </w:r>
            <w:proofErr w:type="spellEnd"/>
            <w:r w:rsidRPr="004202C1">
              <w:rPr>
                <w:sz w:val="20"/>
                <w:szCs w:val="20"/>
              </w:rPr>
              <w:t xml:space="preserve"> </w:t>
            </w:r>
            <w:proofErr w:type="spellStart"/>
            <w:r w:rsidRPr="004202C1">
              <w:rPr>
                <w:sz w:val="20"/>
                <w:szCs w:val="20"/>
              </w:rPr>
              <w:t>within</w:t>
            </w:r>
            <w:proofErr w:type="spellEnd"/>
            <w:r w:rsidRPr="004202C1">
              <w:rPr>
                <w:sz w:val="20"/>
                <w:szCs w:val="20"/>
              </w:rPr>
              <w:t xml:space="preserve"> </w:t>
            </w:r>
            <w:proofErr w:type="spellStart"/>
            <w:r w:rsidRPr="004202C1">
              <w:rPr>
                <w:sz w:val="20"/>
                <w:szCs w:val="20"/>
              </w:rPr>
              <w:t>which</w:t>
            </w:r>
            <w:proofErr w:type="spellEnd"/>
            <w:r w:rsidRPr="004202C1">
              <w:rPr>
                <w:sz w:val="20"/>
                <w:szCs w:val="20"/>
              </w:rPr>
              <w:t xml:space="preserve"> the individual </w:t>
            </w:r>
            <w:proofErr w:type="spellStart"/>
            <w:r>
              <w:rPr>
                <w:sz w:val="20"/>
                <w:szCs w:val="20"/>
              </w:rPr>
              <w:t>may</w:t>
            </w:r>
            <w:proofErr w:type="spellEnd"/>
            <w:r>
              <w:rPr>
                <w:sz w:val="20"/>
                <w:szCs w:val="20"/>
              </w:rPr>
              <w:t xml:space="preserve"> </w:t>
            </w:r>
            <w:r w:rsidRPr="004202C1">
              <w:rPr>
                <w:sz w:val="20"/>
                <w:szCs w:val="20"/>
              </w:rPr>
              <w:t xml:space="preserve">[…] </w:t>
            </w:r>
            <w:proofErr w:type="spellStart"/>
            <w:r w:rsidRPr="004202C1">
              <w:rPr>
                <w:sz w:val="20"/>
                <w:szCs w:val="20"/>
              </w:rPr>
              <w:t>rightfull</w:t>
            </w:r>
            <w:r>
              <w:rPr>
                <w:sz w:val="20"/>
                <w:szCs w:val="20"/>
              </w:rPr>
              <w:t>y</w:t>
            </w:r>
            <w:proofErr w:type="spellEnd"/>
            <w:r w:rsidRPr="004202C1">
              <w:rPr>
                <w:sz w:val="20"/>
                <w:szCs w:val="20"/>
              </w:rPr>
              <w:t xml:space="preserve"> </w:t>
            </w:r>
            <w:proofErr w:type="spellStart"/>
            <w:r w:rsidRPr="004202C1">
              <w:rPr>
                <w:sz w:val="20"/>
                <w:szCs w:val="20"/>
              </w:rPr>
              <w:t>dispute</w:t>
            </w:r>
            <w:proofErr w:type="spellEnd"/>
            <w:r w:rsidRPr="004202C1">
              <w:rPr>
                <w:sz w:val="20"/>
                <w:szCs w:val="20"/>
              </w:rPr>
              <w:t xml:space="preserve"> the </w:t>
            </w:r>
            <w:proofErr w:type="spellStart"/>
            <w:r w:rsidRPr="004202C1">
              <w:rPr>
                <w:sz w:val="20"/>
                <w:szCs w:val="20"/>
              </w:rPr>
              <w:t>authority</w:t>
            </w:r>
            <w:proofErr w:type="spellEnd"/>
            <w:r w:rsidRPr="004202C1">
              <w:rPr>
                <w:sz w:val="20"/>
                <w:szCs w:val="20"/>
              </w:rPr>
              <w:t>“</w:t>
            </w:r>
            <w:r w:rsidRPr="004202C1">
              <w:rPr>
                <w:sz w:val="20"/>
                <w:szCs w:val="20"/>
                <w:vertAlign w:val="superscript"/>
              </w:rPr>
              <w:footnoteReference w:id="1231"/>
            </w:r>
            <w:r w:rsidRPr="004202C1">
              <w:rPr>
                <w:sz w:val="20"/>
                <w:szCs w:val="20"/>
              </w:rPr>
              <w:t>)</w:t>
            </w:r>
            <w:r>
              <w:rPr>
                <w:sz w:val="20"/>
                <w:szCs w:val="20"/>
              </w:rPr>
              <w:t>,</w:t>
            </w:r>
            <w:r w:rsidRPr="004202C1">
              <w:rPr>
                <w:sz w:val="20"/>
                <w:szCs w:val="20"/>
              </w:rPr>
              <w:t xml:space="preserve"> </w:t>
            </w:r>
            <w:r>
              <w:rPr>
                <w:sz w:val="20"/>
                <w:szCs w:val="20"/>
              </w:rPr>
              <w:t>z.B.</w:t>
            </w:r>
            <w:r w:rsidRPr="004202C1">
              <w:rPr>
                <w:sz w:val="20"/>
                <w:szCs w:val="20"/>
              </w:rPr>
              <w:t xml:space="preserve"> bei der zwangsweisen Entkleidung.</w:t>
            </w:r>
            <w:r w:rsidRPr="004202C1">
              <w:rPr>
                <w:sz w:val="20"/>
                <w:szCs w:val="20"/>
                <w:vertAlign w:val="superscript"/>
              </w:rPr>
              <w:footnoteReference w:id="1232"/>
            </w:r>
            <w:r w:rsidRPr="004202C1">
              <w:rPr>
                <w:sz w:val="20"/>
                <w:szCs w:val="20"/>
              </w:rPr>
              <w:t xml:space="preserve"> Dogmatisch knüpfen sich diese drei </w:t>
            </w:r>
            <w:proofErr w:type="spellStart"/>
            <w:r w:rsidRPr="5B67C1D2">
              <w:rPr>
                <w:i/>
                <w:iCs/>
                <w:sz w:val="20"/>
                <w:szCs w:val="20"/>
              </w:rPr>
              <w:t>zones</w:t>
            </w:r>
            <w:proofErr w:type="spellEnd"/>
            <w:r w:rsidRPr="5B67C1D2">
              <w:rPr>
                <w:i/>
                <w:iCs/>
                <w:sz w:val="20"/>
                <w:szCs w:val="20"/>
              </w:rPr>
              <w:t xml:space="preserve"> of </w:t>
            </w:r>
            <w:proofErr w:type="spellStart"/>
            <w:r w:rsidRPr="5B67C1D2">
              <w:rPr>
                <w:i/>
                <w:iCs/>
                <w:sz w:val="20"/>
                <w:szCs w:val="20"/>
              </w:rPr>
              <w:t>privacy</w:t>
            </w:r>
            <w:proofErr w:type="spellEnd"/>
            <w:r w:rsidRPr="004202C1">
              <w:rPr>
                <w:sz w:val="20"/>
                <w:szCs w:val="20"/>
              </w:rPr>
              <w:t xml:space="preserve"> auch an die </w:t>
            </w:r>
            <w:r w:rsidRPr="5B67C1D2">
              <w:rPr>
                <w:i/>
                <w:iCs/>
                <w:sz w:val="20"/>
                <w:szCs w:val="20"/>
              </w:rPr>
              <w:t>Bill of Rights</w:t>
            </w:r>
            <w:r w:rsidRPr="004202C1">
              <w:rPr>
                <w:sz w:val="20"/>
                <w:szCs w:val="20"/>
              </w:rPr>
              <w:t xml:space="preserve">, also die Amendments, die Rechtsprechung in </w:t>
            </w:r>
            <w:r w:rsidRPr="5B67C1D2">
              <w:rPr>
                <w:i/>
                <w:iCs/>
                <w:sz w:val="20"/>
                <w:szCs w:val="20"/>
              </w:rPr>
              <w:t>Griswold v. Connecticut</w:t>
            </w:r>
            <w:r w:rsidRPr="004202C1">
              <w:rPr>
                <w:sz w:val="20"/>
                <w:szCs w:val="20"/>
              </w:rPr>
              <w:t xml:space="preserve"> („</w:t>
            </w:r>
            <w:proofErr w:type="spellStart"/>
            <w:r w:rsidRPr="004202C1">
              <w:rPr>
                <w:sz w:val="20"/>
                <w:szCs w:val="20"/>
              </w:rPr>
              <w:t>establish</w:t>
            </w:r>
            <w:proofErr w:type="spellEnd"/>
            <w:r w:rsidRPr="004202C1">
              <w:rPr>
                <w:sz w:val="20"/>
                <w:szCs w:val="20"/>
              </w:rPr>
              <w:t xml:space="preserve"> a Constitutional </w:t>
            </w:r>
            <w:proofErr w:type="spellStart"/>
            <w:r w:rsidRPr="004202C1">
              <w:rPr>
                <w:sz w:val="20"/>
                <w:szCs w:val="20"/>
              </w:rPr>
              <w:t>right</w:t>
            </w:r>
            <w:proofErr w:type="spellEnd"/>
            <w:r w:rsidRPr="004202C1">
              <w:rPr>
                <w:sz w:val="20"/>
                <w:szCs w:val="20"/>
              </w:rPr>
              <w:t xml:space="preserve"> to </w:t>
            </w:r>
            <w:proofErr w:type="spellStart"/>
            <w:r w:rsidRPr="004202C1">
              <w:rPr>
                <w:sz w:val="20"/>
                <w:szCs w:val="20"/>
              </w:rPr>
              <w:t>privacy</w:t>
            </w:r>
            <w:proofErr w:type="spellEnd"/>
            <w:r w:rsidRPr="004202C1">
              <w:rPr>
                <w:sz w:val="20"/>
                <w:szCs w:val="20"/>
              </w:rPr>
              <w:t>“</w:t>
            </w:r>
            <w:r w:rsidRPr="004202C1">
              <w:rPr>
                <w:sz w:val="20"/>
                <w:szCs w:val="20"/>
                <w:vertAlign w:val="superscript"/>
              </w:rPr>
              <w:footnoteReference w:id="1233"/>
            </w:r>
            <w:r w:rsidRPr="004202C1">
              <w:rPr>
                <w:sz w:val="20"/>
                <w:szCs w:val="20"/>
              </w:rPr>
              <w:t xml:space="preserve">) und die Ableitung aus dem Wortlaut Freiheit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202C1">
              <w:rPr>
                <w:sz w:val="20"/>
                <w:szCs w:val="20"/>
              </w:rPr>
              <w:t xml:space="preserve"> sowie die ungeschriebenen Verfassungsrechte nach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w:t>
            </w:r>
            <w:r w:rsidRPr="004202C1">
              <w:rPr>
                <w:sz w:val="20"/>
                <w:szCs w:val="20"/>
                <w:vertAlign w:val="superscript"/>
              </w:rPr>
              <w:t xml:space="preserve"> </w:t>
            </w:r>
            <w:r w:rsidRPr="004202C1">
              <w:rPr>
                <w:sz w:val="20"/>
                <w:szCs w:val="20"/>
                <w:vertAlign w:val="superscript"/>
              </w:rPr>
              <w:footnoteReference w:id="1234"/>
            </w:r>
          </w:p>
          <w:p w14:paraId="259E200E" w14:textId="77777777" w:rsidR="00074551" w:rsidRPr="00A86DB0" w:rsidRDefault="00074551" w:rsidP="00367133">
            <w:pPr>
              <w:jc w:val="both"/>
              <w:rPr>
                <w:sz w:val="20"/>
                <w:szCs w:val="20"/>
                <w:lang w:val="en-US"/>
              </w:rPr>
            </w:pPr>
          </w:p>
        </w:tc>
      </w:tr>
      <w:tr w:rsidR="00074551" w:rsidRPr="00E50B51" w14:paraId="25A29755" w14:textId="77777777" w:rsidTr="00BE689F">
        <w:trPr>
          <w:cantSplit/>
          <w:trHeight w:val="3175"/>
        </w:trPr>
        <w:tc>
          <w:tcPr>
            <w:tcW w:w="293" w:type="pct"/>
            <w:shd w:val="clear" w:color="auto" w:fill="FFFFFF" w:themeFill="background1"/>
          </w:tcPr>
          <w:p w14:paraId="4C51B6CA" w14:textId="77777777" w:rsidR="00074551" w:rsidRDefault="00074551" w:rsidP="00367133">
            <w:pPr>
              <w:ind w:right="416"/>
              <w:jc w:val="center"/>
              <w:rPr>
                <w:sz w:val="20"/>
                <w:szCs w:val="20"/>
              </w:rPr>
            </w:pPr>
            <w:proofErr w:type="spellStart"/>
            <w:r>
              <w:rPr>
                <w:sz w:val="20"/>
                <w:szCs w:val="20"/>
              </w:rPr>
              <w:lastRenderedPageBreak/>
              <w:t>poH</w:t>
            </w:r>
            <w:proofErr w:type="spellEnd"/>
          </w:p>
        </w:tc>
        <w:tc>
          <w:tcPr>
            <w:tcW w:w="387" w:type="pct"/>
            <w:shd w:val="clear" w:color="auto" w:fill="FFFFFF" w:themeFill="background1"/>
            <w:textDirection w:val="tbRl"/>
            <w:vAlign w:val="center"/>
          </w:tcPr>
          <w:p w14:paraId="75DE416A" w14:textId="77777777" w:rsidR="00074551" w:rsidRPr="00E50B51" w:rsidRDefault="00074551" w:rsidP="00367133">
            <w:pPr>
              <w:ind w:left="113" w:right="416"/>
              <w:jc w:val="both"/>
              <w:rPr>
                <w:sz w:val="20"/>
                <w:szCs w:val="20"/>
              </w:rPr>
            </w:pPr>
            <w:r w:rsidRPr="009167A5">
              <w:rPr>
                <w:i/>
                <w:sz w:val="20"/>
                <w:szCs w:val="20"/>
                <w:lang w:val="en-US"/>
              </w:rPr>
              <w:t>Griswold v. Connecticut</w:t>
            </w:r>
          </w:p>
        </w:tc>
        <w:tc>
          <w:tcPr>
            <w:tcW w:w="197" w:type="pct"/>
            <w:shd w:val="clear" w:color="auto" w:fill="FFFFFF" w:themeFill="background1"/>
            <w:textDirection w:val="tbRl"/>
            <w:vAlign w:val="center"/>
          </w:tcPr>
          <w:p w14:paraId="6A807E22" w14:textId="77777777" w:rsidR="00074551" w:rsidRPr="00A86DB0" w:rsidRDefault="00074551" w:rsidP="00367133">
            <w:pPr>
              <w:ind w:left="113" w:right="113"/>
              <w:jc w:val="both"/>
              <w:rPr>
                <w:sz w:val="20"/>
                <w:szCs w:val="20"/>
                <w:lang w:val="en-US"/>
              </w:rPr>
            </w:pPr>
            <w:r w:rsidRPr="00A86DB0">
              <w:rPr>
                <w:sz w:val="20"/>
                <w:szCs w:val="20"/>
                <w:lang w:val="en-US"/>
              </w:rPr>
              <w:t>381 U.S. 479</w:t>
            </w:r>
          </w:p>
          <w:p w14:paraId="5E73DD81" w14:textId="77777777" w:rsidR="00074551" w:rsidRPr="00E50B51" w:rsidRDefault="00074551" w:rsidP="00367133">
            <w:pPr>
              <w:ind w:left="113" w:right="113"/>
              <w:jc w:val="both"/>
              <w:rPr>
                <w:sz w:val="20"/>
                <w:szCs w:val="20"/>
              </w:rPr>
            </w:pPr>
          </w:p>
        </w:tc>
        <w:tc>
          <w:tcPr>
            <w:tcW w:w="306" w:type="pct"/>
            <w:shd w:val="clear" w:color="auto" w:fill="FFFFFF" w:themeFill="background1"/>
            <w:textDirection w:val="tbRl"/>
            <w:vAlign w:val="center"/>
          </w:tcPr>
          <w:p w14:paraId="1E058112" w14:textId="77777777" w:rsidR="00074551" w:rsidRPr="00E50B51" w:rsidRDefault="00074551" w:rsidP="00367133">
            <w:pPr>
              <w:ind w:left="113" w:right="113"/>
              <w:jc w:val="both"/>
              <w:rPr>
                <w:sz w:val="20"/>
                <w:szCs w:val="20"/>
              </w:rPr>
            </w:pPr>
            <w:r>
              <w:rPr>
                <w:sz w:val="20"/>
                <w:szCs w:val="20"/>
              </w:rPr>
              <w:t>7. Juni 1965</w:t>
            </w:r>
          </w:p>
        </w:tc>
        <w:tc>
          <w:tcPr>
            <w:tcW w:w="401" w:type="pct"/>
            <w:shd w:val="clear" w:color="auto" w:fill="FFFFFF" w:themeFill="background1"/>
          </w:tcPr>
          <w:p w14:paraId="543555E5" w14:textId="77777777" w:rsidR="00074551" w:rsidRPr="00E50B51" w:rsidRDefault="00074551" w:rsidP="00367133">
            <w:pPr>
              <w:jc w:val="center"/>
              <w:rPr>
                <w:sz w:val="20"/>
                <w:szCs w:val="20"/>
              </w:rPr>
            </w:pPr>
            <w:r>
              <w:rPr>
                <w:sz w:val="20"/>
                <w:szCs w:val="20"/>
              </w:rPr>
              <w:t>M</w:t>
            </w:r>
          </w:p>
        </w:tc>
        <w:tc>
          <w:tcPr>
            <w:tcW w:w="1594" w:type="pct"/>
            <w:shd w:val="clear" w:color="auto" w:fill="FFFFFF" w:themeFill="background1"/>
          </w:tcPr>
          <w:p w14:paraId="1D2D218A" w14:textId="77777777" w:rsidR="00074551" w:rsidRPr="00E50B51" w:rsidRDefault="00074551" w:rsidP="00367133">
            <w:pPr>
              <w:jc w:val="both"/>
              <w:rPr>
                <w:sz w:val="20"/>
                <w:szCs w:val="20"/>
              </w:rPr>
            </w:pPr>
          </w:p>
        </w:tc>
        <w:tc>
          <w:tcPr>
            <w:tcW w:w="1822" w:type="pct"/>
            <w:shd w:val="clear" w:color="auto" w:fill="FFFFFF" w:themeFill="background1"/>
          </w:tcPr>
          <w:p w14:paraId="676C5B76" w14:textId="6FE5A27C" w:rsidR="00074551" w:rsidRDefault="00074551" w:rsidP="00367133">
            <w:pPr>
              <w:jc w:val="both"/>
              <w:rPr>
                <w:sz w:val="20"/>
                <w:szCs w:val="20"/>
              </w:rPr>
            </w:pPr>
            <w:r>
              <w:rPr>
                <w:sz w:val="20"/>
                <w:szCs w:val="20"/>
                <w:lang w:val="en-US"/>
              </w:rPr>
              <w:t>„</w:t>
            </w:r>
            <w:r w:rsidRPr="00A86DB0">
              <w:rPr>
                <w:sz w:val="20"/>
                <w:szCs w:val="20"/>
                <w:lang w:val="en-US"/>
              </w:rPr>
              <w:t xml:space="preserve">The right of the people to be secure in their persons, houses, papers, and effects, against unreasonable searches and seizures, shall not be </w:t>
            </w:r>
            <w:proofErr w:type="gramStart"/>
            <w:r w:rsidRPr="00A86DB0">
              <w:rPr>
                <w:sz w:val="20"/>
                <w:szCs w:val="20"/>
                <w:lang w:val="en-US"/>
              </w:rPr>
              <w:t>violated</w:t>
            </w:r>
            <w:r>
              <w:rPr>
                <w:sz w:val="20"/>
                <w:szCs w:val="20"/>
                <w:lang w:val="en-US"/>
              </w:rPr>
              <w:t>“</w:t>
            </w:r>
            <w:proofErr w:type="gramEnd"/>
            <w:r>
              <w:rPr>
                <w:sz w:val="20"/>
                <w:szCs w:val="20"/>
                <w:lang w:val="en-US"/>
              </w:rPr>
              <w:t>,</w:t>
            </w:r>
            <w:r w:rsidRPr="00A86DB0">
              <w:rPr>
                <w:sz w:val="20"/>
                <w:szCs w:val="20"/>
                <w:vertAlign w:val="superscript"/>
                <w:lang w:val="en-US"/>
              </w:rPr>
              <w:footnoteReference w:id="1235"/>
            </w:r>
            <w:r w:rsidRPr="00A86DB0">
              <w:rPr>
                <w:sz w:val="20"/>
                <w:szCs w:val="20"/>
                <w:lang w:val="en-US"/>
              </w:rPr>
              <w:t xml:space="preserve"> so </w:t>
            </w:r>
            <w:proofErr w:type="spellStart"/>
            <w:r w:rsidRPr="00A86DB0">
              <w:rPr>
                <w:sz w:val="20"/>
                <w:szCs w:val="20"/>
                <w:lang w:val="en-US"/>
              </w:rPr>
              <w:t>lautet</w:t>
            </w:r>
            <w:proofErr w:type="spellEnd"/>
            <w:r w:rsidRPr="00A86DB0">
              <w:rPr>
                <w:sz w:val="20"/>
                <w:szCs w:val="20"/>
                <w:lang w:val="en-US"/>
              </w:rPr>
              <w:t xml:space="preserve"> </w:t>
            </w:r>
            <w:r w:rsidR="00023A37">
              <w:rPr>
                <w:sz w:val="20"/>
                <w:szCs w:val="20"/>
                <w:lang w:val="en-US"/>
              </w:rPr>
              <w:t>U.S. Const. amend. IV.</w:t>
            </w:r>
            <w:r w:rsidRPr="00A86DB0">
              <w:rPr>
                <w:sz w:val="20"/>
                <w:szCs w:val="20"/>
              </w:rPr>
              <w:t xml:space="preserve"> Es beschreibt das Recht, sicher zu sein vor unangemessenen Durchsuchungen und Beschlagnahm</w:t>
            </w:r>
            <w:r>
              <w:rPr>
                <w:sz w:val="20"/>
                <w:szCs w:val="20"/>
              </w:rPr>
              <w:t>ung</w:t>
            </w:r>
            <w:r w:rsidRPr="00A86DB0">
              <w:rPr>
                <w:sz w:val="20"/>
                <w:szCs w:val="20"/>
              </w:rPr>
              <w:t>en („</w:t>
            </w:r>
            <w:proofErr w:type="spellStart"/>
            <w:r w:rsidRPr="00A86DB0">
              <w:rPr>
                <w:sz w:val="20"/>
                <w:szCs w:val="20"/>
              </w:rPr>
              <w:t>unreasonable</w:t>
            </w:r>
            <w:proofErr w:type="spellEnd"/>
            <w:r w:rsidRPr="00A86DB0">
              <w:rPr>
                <w:sz w:val="20"/>
                <w:szCs w:val="20"/>
              </w:rPr>
              <w:t xml:space="preserve"> </w:t>
            </w:r>
            <w:proofErr w:type="spellStart"/>
            <w:r w:rsidRPr="00A86DB0">
              <w:rPr>
                <w:sz w:val="20"/>
                <w:szCs w:val="20"/>
              </w:rPr>
              <w:t>searches</w:t>
            </w:r>
            <w:proofErr w:type="spellEnd"/>
            <w:r w:rsidRPr="00A86DB0">
              <w:rPr>
                <w:sz w:val="20"/>
                <w:szCs w:val="20"/>
              </w:rPr>
              <w:t xml:space="preserve"> and </w:t>
            </w:r>
            <w:proofErr w:type="spellStart"/>
            <w:r w:rsidRPr="00A86DB0">
              <w:rPr>
                <w:sz w:val="20"/>
                <w:szCs w:val="20"/>
              </w:rPr>
              <w:t>seizures</w:t>
            </w:r>
            <w:proofErr w:type="spellEnd"/>
            <w:r w:rsidRPr="00A86DB0">
              <w:rPr>
                <w:sz w:val="20"/>
                <w:szCs w:val="20"/>
              </w:rPr>
              <w:t>“</w:t>
            </w:r>
            <w:r w:rsidRPr="00A86DB0">
              <w:rPr>
                <w:sz w:val="20"/>
                <w:szCs w:val="20"/>
                <w:vertAlign w:val="superscript"/>
              </w:rPr>
              <w:t xml:space="preserve"> </w:t>
            </w:r>
            <w:r w:rsidRPr="00A86DB0">
              <w:rPr>
                <w:sz w:val="20"/>
                <w:szCs w:val="20"/>
                <w:vertAlign w:val="superscript"/>
                <w:lang w:val="en-US"/>
              </w:rPr>
              <w:footnoteReference w:id="1236"/>
            </w:r>
            <w:r w:rsidRPr="00A86DB0">
              <w:rPr>
                <w:sz w:val="20"/>
                <w:szCs w:val="20"/>
              </w:rPr>
              <w:t xml:space="preserv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86DB0">
              <w:rPr>
                <w:sz w:val="20"/>
                <w:szCs w:val="20"/>
              </w:rPr>
              <w:t xml:space="preserve"> ist also ein Abwehrrecht, das das Staatsziel des </w:t>
            </w:r>
            <w:proofErr w:type="spellStart"/>
            <w:r w:rsidRPr="5B67C1D2">
              <w:rPr>
                <w:i/>
                <w:iCs/>
                <w:sz w:val="20"/>
                <w:szCs w:val="20"/>
              </w:rPr>
              <w:t>pursuit</w:t>
            </w:r>
            <w:proofErr w:type="spellEnd"/>
            <w:r w:rsidRPr="5B67C1D2">
              <w:rPr>
                <w:i/>
                <w:iCs/>
                <w:sz w:val="20"/>
                <w:szCs w:val="20"/>
              </w:rPr>
              <w:t xml:space="preserve"> of Happiness</w:t>
            </w:r>
            <w:r w:rsidRPr="00A86DB0">
              <w:rPr>
                <w:sz w:val="20"/>
                <w:szCs w:val="20"/>
              </w:rPr>
              <w:t xml:space="preserve"> konkretisiert. Diese </w:t>
            </w:r>
            <w:r>
              <w:rPr>
                <w:sz w:val="20"/>
                <w:szCs w:val="20"/>
              </w:rPr>
              <w:t>beispielhafte</w:t>
            </w:r>
            <w:r w:rsidRPr="00A86DB0">
              <w:rPr>
                <w:sz w:val="20"/>
                <w:szCs w:val="20"/>
              </w:rPr>
              <w:t xml:space="preserve"> Konkretisierung wird </w:t>
            </w:r>
            <w:r>
              <w:rPr>
                <w:sz w:val="20"/>
                <w:szCs w:val="20"/>
              </w:rPr>
              <w:t xml:space="preserve">hier </w:t>
            </w:r>
            <w:r w:rsidRPr="00A86DB0">
              <w:rPr>
                <w:sz w:val="20"/>
                <w:szCs w:val="20"/>
              </w:rPr>
              <w:t xml:space="preserve">in vier Teilen weiter ausgeführt, wobei die Rechtsprechungen zum </w:t>
            </w:r>
            <w:proofErr w:type="spellStart"/>
            <w:r w:rsidRPr="5B67C1D2">
              <w:rPr>
                <w:i/>
                <w:iCs/>
                <w:sz w:val="20"/>
                <w:szCs w:val="20"/>
              </w:rPr>
              <w:t>pursuit</w:t>
            </w:r>
            <w:proofErr w:type="spellEnd"/>
            <w:r w:rsidRPr="5B67C1D2">
              <w:rPr>
                <w:i/>
                <w:iCs/>
                <w:sz w:val="20"/>
                <w:szCs w:val="20"/>
              </w:rPr>
              <w:t xml:space="preserve"> of Happiness</w:t>
            </w:r>
            <w:r w:rsidRPr="00A86DB0">
              <w:rPr>
                <w:sz w:val="20"/>
                <w:szCs w:val="20"/>
              </w:rPr>
              <w:t xml:space="preserve"> geordnet werden und </w:t>
            </w:r>
            <w:r w:rsidRPr="5B67C1D2">
              <w:rPr>
                <w:i/>
                <w:iCs/>
                <w:sz w:val="20"/>
                <w:szCs w:val="20"/>
              </w:rPr>
              <w:t>Griswold v. Connecticut</w:t>
            </w:r>
            <w:r w:rsidRPr="00A86DB0">
              <w:rPr>
                <w:sz w:val="20"/>
                <w:szCs w:val="20"/>
              </w:rPr>
              <w:t xml:space="preserve"> die nunmehr systematisierte Rechtsprechung bereits verknüpft.</w:t>
            </w:r>
            <w:r w:rsidRPr="00A86DB0">
              <w:rPr>
                <w:sz w:val="20"/>
                <w:szCs w:val="20"/>
                <w:vertAlign w:val="superscript"/>
              </w:rPr>
              <w:footnoteReference w:id="1237"/>
            </w:r>
            <w:r w:rsidRPr="00A86DB0">
              <w:rPr>
                <w:sz w:val="20"/>
                <w:szCs w:val="20"/>
              </w:rPr>
              <w:t xml:space="preserve"> Der Systematisierungsversuch lautet wie folgt: Erstens sei </w:t>
            </w:r>
            <w:r>
              <w:rPr>
                <w:sz w:val="20"/>
                <w:szCs w:val="20"/>
              </w:rPr>
              <w:t>das</w:t>
            </w:r>
            <w:r w:rsidRPr="00A86DB0">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A86DB0">
              <w:rPr>
                <w:sz w:val="20"/>
                <w:szCs w:val="20"/>
              </w:rPr>
              <w:t xml:space="preserve"> ein absolutes Recht, </w:t>
            </w:r>
            <w:r>
              <w:rPr>
                <w:sz w:val="20"/>
                <w:szCs w:val="20"/>
              </w:rPr>
              <w:t>d</w:t>
            </w:r>
            <w:r w:rsidRPr="00A86DB0">
              <w:rPr>
                <w:sz w:val="20"/>
                <w:szCs w:val="20"/>
              </w:rPr>
              <w:t>as auf bundesstaatlicher wie nationaler Ebene gelte; zweitens</w:t>
            </w:r>
            <w:r>
              <w:rPr>
                <w:sz w:val="20"/>
                <w:szCs w:val="20"/>
              </w:rPr>
              <w:t xml:space="preserve"> wird erläutert</w:t>
            </w:r>
            <w:r w:rsidRPr="00A86DB0">
              <w:rPr>
                <w:sz w:val="20"/>
                <w:szCs w:val="20"/>
              </w:rPr>
              <w:t>, wie sich das Recht</w:t>
            </w:r>
            <w:r>
              <w:rPr>
                <w:sz w:val="20"/>
                <w:szCs w:val="20"/>
              </w:rPr>
              <w:t>, in Ruhe</w:t>
            </w:r>
            <w:r w:rsidRPr="00A86DB0">
              <w:rPr>
                <w:sz w:val="20"/>
                <w:szCs w:val="20"/>
              </w:rPr>
              <w:t xml:space="preserve"> gelassen zu werden</w:t>
            </w:r>
            <w:r>
              <w:rPr>
                <w:sz w:val="20"/>
                <w:szCs w:val="20"/>
              </w:rPr>
              <w:t>,</w:t>
            </w:r>
            <w:r w:rsidRPr="00A86DB0">
              <w:rPr>
                <w:sz w:val="20"/>
                <w:szCs w:val="20"/>
              </w:rPr>
              <w:t xml:space="preserve"> an </w:t>
            </w:r>
            <w:r>
              <w:rPr>
                <w:sz w:val="20"/>
                <w:szCs w:val="20"/>
              </w:rPr>
              <w:t>das</w:t>
            </w:r>
            <w:r w:rsidRPr="00A86DB0">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 </w:t>
            </w:r>
            <w:r w:rsidRPr="00A86DB0">
              <w:rPr>
                <w:sz w:val="20"/>
                <w:szCs w:val="20"/>
              </w:rPr>
              <w:t xml:space="preserve">bindet; drittens, welche Sphären zum Recht, </w:t>
            </w:r>
            <w:r>
              <w:rPr>
                <w:sz w:val="20"/>
                <w:szCs w:val="20"/>
              </w:rPr>
              <w:t>in Ruhe</w:t>
            </w:r>
            <w:r w:rsidRPr="00A86DB0">
              <w:rPr>
                <w:sz w:val="20"/>
                <w:szCs w:val="20"/>
              </w:rPr>
              <w:t xml:space="preserve"> gelassen zu werden, gehören; und viertens erörtert der Abschnitt materielle sowie prozessuale Grenzen des Strebens nach Glück</w:t>
            </w:r>
            <w:r>
              <w:rPr>
                <w:sz w:val="20"/>
                <w:szCs w:val="20"/>
              </w:rPr>
              <w:t>.</w:t>
            </w:r>
          </w:p>
          <w:p w14:paraId="42FD9DC7" w14:textId="77777777" w:rsidR="00074551" w:rsidRPr="00A86DB0" w:rsidRDefault="00074551" w:rsidP="00367133">
            <w:pPr>
              <w:jc w:val="both"/>
              <w:rPr>
                <w:sz w:val="20"/>
                <w:szCs w:val="20"/>
              </w:rPr>
            </w:pPr>
          </w:p>
          <w:p w14:paraId="169AA1F4" w14:textId="091D540C" w:rsidR="00074551" w:rsidRDefault="5BDDA3A0" w:rsidP="00367133">
            <w:pPr>
              <w:jc w:val="both"/>
              <w:rPr>
                <w:sz w:val="20"/>
                <w:szCs w:val="20"/>
              </w:rPr>
            </w:pPr>
            <w:r w:rsidRPr="00A86DB0">
              <w:rPr>
                <w:sz w:val="20"/>
                <w:szCs w:val="20"/>
              </w:rPr>
              <w:t xml:space="preserve">Erstens ist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ein absolutes Recht („fundamental </w:t>
            </w:r>
            <w:proofErr w:type="spellStart"/>
            <w:r w:rsidRPr="00A86DB0">
              <w:rPr>
                <w:sz w:val="20"/>
                <w:szCs w:val="20"/>
              </w:rPr>
              <w:t>principles</w:t>
            </w:r>
            <w:proofErr w:type="spellEnd"/>
            <w:r w:rsidRPr="00A86DB0">
              <w:rPr>
                <w:sz w:val="20"/>
                <w:szCs w:val="20"/>
              </w:rPr>
              <w:t>“</w:t>
            </w:r>
            <w:r w:rsidR="00074551" w:rsidRPr="00A86DB0">
              <w:rPr>
                <w:sz w:val="20"/>
                <w:szCs w:val="20"/>
                <w:vertAlign w:val="superscript"/>
              </w:rPr>
              <w:footnoteReference w:id="1238"/>
            </w:r>
            <w:r w:rsidRPr="00A86DB0">
              <w:rPr>
                <w:sz w:val="20"/>
                <w:szCs w:val="20"/>
              </w:rPr>
              <w:t>). Eine Regierung kann es nur sehr zurückhaltend einschränken,</w:t>
            </w:r>
            <w:r w:rsidR="00074551" w:rsidRPr="00A86DB0">
              <w:rPr>
                <w:sz w:val="20"/>
                <w:szCs w:val="20"/>
                <w:vertAlign w:val="superscript"/>
              </w:rPr>
              <w:footnoteReference w:id="1239"/>
            </w:r>
            <w:r w:rsidRPr="00A86DB0">
              <w:rPr>
                <w:sz w:val="20"/>
                <w:szCs w:val="20"/>
              </w:rPr>
              <w:t xml:space="preserve"> </w:t>
            </w:r>
            <w:r>
              <w:rPr>
                <w:sz w:val="20"/>
                <w:szCs w:val="20"/>
              </w:rPr>
              <w:t>z.B.</w:t>
            </w:r>
            <w:r w:rsidRPr="00A86DB0">
              <w:rPr>
                <w:sz w:val="20"/>
                <w:szCs w:val="20"/>
              </w:rPr>
              <w:t xml:space="preserve"> aufgrund überragender Allgemeinwohlerwägungen („</w:t>
            </w:r>
            <w:proofErr w:type="spellStart"/>
            <w:r w:rsidRPr="00A86DB0">
              <w:rPr>
                <w:sz w:val="20"/>
                <w:szCs w:val="20"/>
              </w:rPr>
              <w:t>general</w:t>
            </w:r>
            <w:proofErr w:type="spellEnd"/>
            <w:r w:rsidRPr="00A86DB0">
              <w:rPr>
                <w:sz w:val="20"/>
                <w:szCs w:val="20"/>
              </w:rPr>
              <w:t xml:space="preserve"> </w:t>
            </w:r>
            <w:proofErr w:type="spellStart"/>
            <w:r w:rsidRPr="00A86DB0">
              <w:rPr>
                <w:sz w:val="20"/>
                <w:szCs w:val="20"/>
              </w:rPr>
              <w:t>good</w:t>
            </w:r>
            <w:proofErr w:type="spellEnd"/>
            <w:r w:rsidRPr="00A86DB0">
              <w:rPr>
                <w:sz w:val="20"/>
                <w:szCs w:val="20"/>
              </w:rPr>
              <w:t xml:space="preserve"> of the </w:t>
            </w:r>
            <w:proofErr w:type="spellStart"/>
            <w:r w:rsidRPr="00A86DB0">
              <w:rPr>
                <w:sz w:val="20"/>
                <w:szCs w:val="20"/>
              </w:rPr>
              <w:t>whole</w:t>
            </w:r>
            <w:proofErr w:type="spellEnd"/>
            <w:r w:rsidRPr="00A86DB0">
              <w:rPr>
                <w:sz w:val="20"/>
                <w:szCs w:val="20"/>
              </w:rPr>
              <w:t>“</w:t>
            </w:r>
            <w:r w:rsidR="00074551" w:rsidRPr="00A86DB0">
              <w:rPr>
                <w:sz w:val="20"/>
                <w:szCs w:val="20"/>
                <w:vertAlign w:val="superscript"/>
              </w:rPr>
              <w:footnoteReference w:id="1240"/>
            </w:r>
            <w:r w:rsidRPr="00A86DB0">
              <w:rPr>
                <w:sz w:val="20"/>
                <w:szCs w:val="20"/>
              </w:rPr>
              <w:t xml:space="preserve">). Das ist der Fall, weil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eine Maxime für das Verfassungsrecht konstituiert.</w:t>
            </w:r>
            <w:r w:rsidR="00074551" w:rsidRPr="00A86DB0">
              <w:rPr>
                <w:sz w:val="20"/>
                <w:szCs w:val="20"/>
                <w:vertAlign w:val="superscript"/>
              </w:rPr>
              <w:footnoteReference w:id="1241"/>
            </w:r>
            <w:r w:rsidRPr="00A86DB0">
              <w:rPr>
                <w:sz w:val="20"/>
                <w:szCs w:val="20"/>
              </w:rPr>
              <w:t xml:space="preserve"> E</w:t>
            </w:r>
            <w:r>
              <w:rPr>
                <w:sz w:val="20"/>
                <w:szCs w:val="20"/>
              </w:rPr>
              <w:t>s</w:t>
            </w:r>
            <w:r w:rsidRPr="00A86DB0">
              <w:rPr>
                <w:sz w:val="20"/>
                <w:szCs w:val="20"/>
              </w:rPr>
              <w:t xml:space="preserve"> ist ein Recht, das von keiner Wahl oder einer Regierung abhängen soll</w:t>
            </w:r>
            <w:r>
              <w:rPr>
                <w:sz w:val="20"/>
                <w:szCs w:val="20"/>
              </w:rPr>
              <w:t>, und</w:t>
            </w:r>
            <w:r w:rsidRPr="00A86DB0">
              <w:rPr>
                <w:sz w:val="20"/>
                <w:szCs w:val="20"/>
              </w:rPr>
              <w:t xml:space="preserve"> steht grundsätzlich nicht zur Disposition der Regierung,</w:t>
            </w:r>
            <w:r>
              <w:rPr>
                <w:sz w:val="20"/>
                <w:szCs w:val="20"/>
              </w:rPr>
              <w:t xml:space="preserve"> ebenso</w:t>
            </w:r>
            <w:r w:rsidRPr="00A86DB0">
              <w:rPr>
                <w:sz w:val="20"/>
                <w:szCs w:val="20"/>
              </w:rPr>
              <w:t xml:space="preserve"> wie das Recht auf Leben, auf Freiheit, auf Eigentum, auf freie Meinungsäußerung, auf freie Presse, die freie Religionsausübung und die Versammlungsfreiheit.</w:t>
            </w:r>
            <w:r w:rsidR="00074551" w:rsidRPr="00A86DB0">
              <w:rPr>
                <w:sz w:val="20"/>
                <w:szCs w:val="20"/>
                <w:vertAlign w:val="superscript"/>
              </w:rPr>
              <w:footnoteReference w:id="1242"/>
            </w:r>
            <w:r w:rsidRPr="00A86DB0">
              <w:rPr>
                <w:sz w:val="20"/>
                <w:szCs w:val="20"/>
              </w:rPr>
              <w:t xml:space="preserve">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w:t>
            </w:r>
            <w:r>
              <w:rPr>
                <w:sz w:val="20"/>
                <w:szCs w:val="20"/>
              </w:rPr>
              <w:t>ist</w:t>
            </w:r>
            <w:r w:rsidRPr="00A86DB0">
              <w:rPr>
                <w:sz w:val="20"/>
                <w:szCs w:val="20"/>
              </w:rPr>
              <w:t xml:space="preserve"> so grundlegend, dass e</w:t>
            </w:r>
            <w:r>
              <w:rPr>
                <w:sz w:val="20"/>
                <w:szCs w:val="20"/>
              </w:rPr>
              <w:t>s</w:t>
            </w:r>
            <w:r w:rsidRPr="00A86DB0">
              <w:rPr>
                <w:sz w:val="20"/>
                <w:szCs w:val="20"/>
              </w:rPr>
              <w:t xml:space="preserve"> sich </w:t>
            </w:r>
            <w:r>
              <w:rPr>
                <w:sz w:val="20"/>
                <w:szCs w:val="20"/>
              </w:rPr>
              <w:t>z.B.</w:t>
            </w:r>
            <w:r w:rsidRPr="00A86DB0">
              <w:rPr>
                <w:sz w:val="20"/>
                <w:szCs w:val="20"/>
              </w:rPr>
              <w:t xml:space="preserve"> i</w:t>
            </w:r>
            <w:r>
              <w:rPr>
                <w:sz w:val="20"/>
                <w:szCs w:val="20"/>
              </w:rPr>
              <w:t>n Verbindung mit</w:t>
            </w:r>
            <w:r w:rsidRPr="00A86DB0">
              <w:rPr>
                <w:sz w:val="20"/>
                <w:szCs w:val="20"/>
              </w:rPr>
              <w:t xml:space="preserve"> der </w:t>
            </w:r>
            <w:proofErr w:type="spellStart"/>
            <w:r w:rsidRPr="1739998D">
              <w:rPr>
                <w:i/>
                <w:iCs/>
                <w:sz w:val="20"/>
                <w:szCs w:val="20"/>
              </w:rPr>
              <w:t>Equal</w:t>
            </w:r>
            <w:proofErr w:type="spellEnd"/>
            <w:r w:rsidRPr="1739998D">
              <w:rPr>
                <w:i/>
                <w:iCs/>
                <w:sz w:val="20"/>
                <w:szCs w:val="20"/>
              </w:rPr>
              <w:t xml:space="preserve"> </w:t>
            </w:r>
            <w:proofErr w:type="spellStart"/>
            <w:r w:rsidRPr="1739998D">
              <w:rPr>
                <w:i/>
                <w:iCs/>
                <w:sz w:val="20"/>
                <w:szCs w:val="20"/>
              </w:rPr>
              <w:t>Protection</w:t>
            </w:r>
            <w:proofErr w:type="spellEnd"/>
            <w:r w:rsidRPr="1739998D">
              <w:rPr>
                <w:i/>
                <w:iCs/>
                <w:sz w:val="20"/>
                <w:szCs w:val="20"/>
              </w:rPr>
              <w:t xml:space="preserve"> </w:t>
            </w:r>
            <w:proofErr w:type="spellStart"/>
            <w:r w:rsidRPr="1739998D">
              <w:rPr>
                <w:i/>
                <w:iCs/>
                <w:sz w:val="20"/>
                <w:szCs w:val="20"/>
              </w:rPr>
              <w:t>Clause</w:t>
            </w:r>
            <w:proofErr w:type="spellEnd"/>
            <w:r w:rsidRPr="00A86DB0">
              <w:rPr>
                <w:sz w:val="20"/>
                <w:szCs w:val="20"/>
              </w:rPr>
              <w:t xml:space="preserve"> sogar zur verfassungsrechtliche</w:t>
            </w:r>
            <w:r>
              <w:rPr>
                <w:sz w:val="20"/>
                <w:szCs w:val="20"/>
              </w:rPr>
              <w:t>n</w:t>
            </w:r>
            <w:r w:rsidRPr="00A86DB0">
              <w:rPr>
                <w:sz w:val="20"/>
                <w:szCs w:val="20"/>
              </w:rPr>
              <w:t xml:space="preserve"> Anspruchsnorm wandeln kann, wenn die Staatsgewalt </w:t>
            </w:r>
            <w:r>
              <w:rPr>
                <w:sz w:val="20"/>
                <w:szCs w:val="20"/>
              </w:rPr>
              <w:t>es</w:t>
            </w:r>
            <w:r w:rsidRPr="00A86DB0">
              <w:rPr>
                <w:sz w:val="20"/>
                <w:szCs w:val="20"/>
              </w:rPr>
              <w:t xml:space="preserve"> erheblich beschränkt – </w:t>
            </w:r>
            <w:r>
              <w:rPr>
                <w:sz w:val="20"/>
                <w:szCs w:val="20"/>
              </w:rPr>
              <w:t>z.B.</w:t>
            </w:r>
            <w:r w:rsidRPr="00A86DB0">
              <w:rPr>
                <w:sz w:val="20"/>
                <w:szCs w:val="20"/>
              </w:rPr>
              <w:t xml:space="preserve"> für Schadenersatzklagen („</w:t>
            </w:r>
            <w:proofErr w:type="spellStart"/>
            <w:r w:rsidRPr="00A86DB0">
              <w:rPr>
                <w:sz w:val="20"/>
                <w:szCs w:val="20"/>
              </w:rPr>
              <w:t>claims</w:t>
            </w:r>
            <w:proofErr w:type="spellEnd"/>
            <w:r w:rsidRPr="00A86DB0">
              <w:rPr>
                <w:sz w:val="20"/>
                <w:szCs w:val="20"/>
              </w:rPr>
              <w:t>“</w:t>
            </w:r>
            <w:r w:rsidR="00074551" w:rsidRPr="00A86DB0">
              <w:rPr>
                <w:sz w:val="20"/>
                <w:szCs w:val="20"/>
                <w:vertAlign w:val="superscript"/>
              </w:rPr>
              <w:footnoteReference w:id="1243"/>
            </w:r>
            <w:r w:rsidRPr="00A86DB0">
              <w:rPr>
                <w:sz w:val="20"/>
                <w:szCs w:val="20"/>
              </w:rPr>
              <w:t xml:space="preserve">; </w:t>
            </w:r>
            <w:r>
              <w:rPr>
                <w:sz w:val="20"/>
                <w:szCs w:val="20"/>
              </w:rPr>
              <w:t>„</w:t>
            </w:r>
            <w:proofErr w:type="spellStart"/>
            <w:r w:rsidRPr="00A86DB0">
              <w:rPr>
                <w:sz w:val="20"/>
                <w:szCs w:val="20"/>
              </w:rPr>
              <w:t>Wiretapping</w:t>
            </w:r>
            <w:proofErr w:type="spellEnd"/>
            <w:r w:rsidRPr="00A86DB0">
              <w:rPr>
                <w:sz w:val="20"/>
                <w:szCs w:val="20"/>
              </w:rPr>
              <w:t xml:space="preserve">, […] was </w:t>
            </w:r>
            <w:proofErr w:type="spellStart"/>
            <w:r w:rsidRPr="00A86DB0">
              <w:rPr>
                <w:sz w:val="20"/>
                <w:szCs w:val="20"/>
              </w:rPr>
              <w:t>put</w:t>
            </w:r>
            <w:proofErr w:type="spellEnd"/>
            <w:r w:rsidRPr="00A86DB0">
              <w:rPr>
                <w:sz w:val="20"/>
                <w:szCs w:val="20"/>
              </w:rPr>
              <w:t xml:space="preserve"> by Justice Brandeis in a </w:t>
            </w:r>
            <w:proofErr w:type="spellStart"/>
            <w:r w:rsidRPr="00A86DB0">
              <w:rPr>
                <w:sz w:val="20"/>
                <w:szCs w:val="20"/>
              </w:rPr>
              <w:t>constitutional</w:t>
            </w:r>
            <w:proofErr w:type="spellEnd"/>
            <w:r w:rsidRPr="00A86DB0">
              <w:rPr>
                <w:sz w:val="20"/>
                <w:szCs w:val="20"/>
              </w:rPr>
              <w:t xml:space="preserve"> frame of </w:t>
            </w:r>
            <w:proofErr w:type="spellStart"/>
            <w:r w:rsidRPr="00A86DB0">
              <w:rPr>
                <w:sz w:val="20"/>
                <w:szCs w:val="20"/>
              </w:rPr>
              <w:t>reference</w:t>
            </w:r>
            <w:proofErr w:type="spellEnd"/>
            <w:r w:rsidRPr="00A86DB0">
              <w:rPr>
                <w:sz w:val="20"/>
                <w:szCs w:val="20"/>
              </w:rPr>
              <w:t xml:space="preserve">: ‚The </w:t>
            </w:r>
            <w:proofErr w:type="spellStart"/>
            <w:r w:rsidRPr="00A86DB0">
              <w:rPr>
                <w:sz w:val="20"/>
                <w:szCs w:val="20"/>
              </w:rPr>
              <w:t>makers</w:t>
            </w:r>
            <w:proofErr w:type="spellEnd"/>
            <w:r w:rsidRPr="00A86DB0">
              <w:rPr>
                <w:sz w:val="20"/>
                <w:szCs w:val="20"/>
              </w:rPr>
              <w:t xml:space="preserve"> of </w:t>
            </w:r>
            <w:proofErr w:type="spellStart"/>
            <w:r w:rsidRPr="00A86DB0">
              <w:rPr>
                <w:sz w:val="20"/>
                <w:szCs w:val="20"/>
              </w:rPr>
              <w:t>our</w:t>
            </w:r>
            <w:proofErr w:type="spellEnd"/>
            <w:r w:rsidRPr="00A86DB0">
              <w:rPr>
                <w:sz w:val="20"/>
                <w:szCs w:val="20"/>
              </w:rPr>
              <w:t xml:space="preserve"> </w:t>
            </w:r>
            <w:proofErr w:type="spellStart"/>
            <w:r w:rsidRPr="00A86DB0">
              <w:rPr>
                <w:sz w:val="20"/>
                <w:szCs w:val="20"/>
              </w:rPr>
              <w:t>Constitution</w:t>
            </w:r>
            <w:proofErr w:type="spellEnd"/>
            <w:r w:rsidRPr="00A86DB0">
              <w:rPr>
                <w:sz w:val="20"/>
                <w:szCs w:val="20"/>
              </w:rPr>
              <w:t xml:space="preserve"> </w:t>
            </w:r>
            <w:proofErr w:type="spellStart"/>
            <w:r w:rsidRPr="00A86DB0">
              <w:rPr>
                <w:sz w:val="20"/>
                <w:szCs w:val="20"/>
              </w:rPr>
              <w:t>undertook</w:t>
            </w:r>
            <w:proofErr w:type="spellEnd"/>
            <w:r w:rsidRPr="00A86DB0">
              <w:rPr>
                <w:sz w:val="20"/>
                <w:szCs w:val="20"/>
              </w:rPr>
              <w:t xml:space="preserve"> to </w:t>
            </w:r>
            <w:proofErr w:type="spellStart"/>
            <w:r w:rsidRPr="00A86DB0">
              <w:rPr>
                <w:sz w:val="20"/>
                <w:szCs w:val="20"/>
              </w:rPr>
              <w:t>secure</w:t>
            </w:r>
            <w:proofErr w:type="spellEnd"/>
            <w:r w:rsidRPr="00A86DB0">
              <w:rPr>
                <w:sz w:val="20"/>
                <w:szCs w:val="20"/>
              </w:rPr>
              <w:t xml:space="preserve"> </w:t>
            </w:r>
            <w:proofErr w:type="spellStart"/>
            <w:r w:rsidRPr="00A86DB0">
              <w:rPr>
                <w:sz w:val="20"/>
                <w:szCs w:val="20"/>
              </w:rPr>
              <w:t>conditions</w:t>
            </w:r>
            <w:proofErr w:type="spellEnd"/>
            <w:r w:rsidRPr="00A86DB0">
              <w:rPr>
                <w:sz w:val="20"/>
                <w:szCs w:val="20"/>
              </w:rPr>
              <w:t xml:space="preserve"> favorable to the </w:t>
            </w:r>
            <w:proofErr w:type="spellStart"/>
            <w:r w:rsidRPr="00A86DB0">
              <w:rPr>
                <w:sz w:val="20"/>
                <w:szCs w:val="20"/>
              </w:rPr>
              <w:t>pursuit</w:t>
            </w:r>
            <w:proofErr w:type="spellEnd"/>
            <w:r w:rsidRPr="00A86DB0">
              <w:rPr>
                <w:sz w:val="20"/>
                <w:szCs w:val="20"/>
              </w:rPr>
              <w:t xml:space="preserve"> of </w:t>
            </w:r>
            <w:proofErr w:type="spellStart"/>
            <w:r w:rsidRPr="00A86DB0">
              <w:rPr>
                <w:sz w:val="20"/>
                <w:szCs w:val="20"/>
              </w:rPr>
              <w:t>happiness</w:t>
            </w:r>
            <w:proofErr w:type="spellEnd"/>
            <w:r w:rsidRPr="00A86DB0">
              <w:rPr>
                <w:sz w:val="20"/>
                <w:szCs w:val="20"/>
              </w:rPr>
              <w:t xml:space="preserve"> […]</w:t>
            </w:r>
            <w:r w:rsidRPr="001B6693">
              <w:rPr>
                <w:sz w:val="20"/>
                <w:szCs w:val="20"/>
              </w:rPr>
              <w:t xml:space="preserve">‘ </w:t>
            </w:r>
            <w:r w:rsidRPr="00A86DB0">
              <w:rPr>
                <w:sz w:val="20"/>
                <w:szCs w:val="20"/>
                <w:lang w:val="en-US"/>
              </w:rPr>
              <w:t>[…] That question concerning the applicability of the pretrial procedures laid out in Alderman to the protection of Sixth Amendment claims.</w:t>
            </w:r>
            <w:r>
              <w:rPr>
                <w:sz w:val="20"/>
                <w:szCs w:val="20"/>
                <w:lang w:val="en-US"/>
              </w:rPr>
              <w:t>“</w:t>
            </w:r>
            <w:r w:rsidR="00074551" w:rsidRPr="00A86DB0">
              <w:rPr>
                <w:sz w:val="20"/>
                <w:szCs w:val="20"/>
                <w:vertAlign w:val="superscript"/>
                <w:lang w:val="en-US"/>
              </w:rPr>
              <w:footnoteReference w:id="1244"/>
            </w:r>
            <w:r w:rsidRPr="00A86DB0">
              <w:rPr>
                <w:sz w:val="20"/>
                <w:szCs w:val="20"/>
              </w:rPr>
              <w:t>). Ein weiterer Beleg für diesen Leistungscharakter betrifft den Freiheitsanspruch von Eltern, ihre Kinder in privaten Schulen zu unterrichten lassen zu können – als Bedingung des Strebens nach Glück</w:t>
            </w:r>
            <w:r>
              <w:rPr>
                <w:sz w:val="20"/>
                <w:szCs w:val="20"/>
              </w:rPr>
              <w:t>.</w:t>
            </w:r>
            <w:r w:rsidRPr="00A86DB0">
              <w:rPr>
                <w:sz w:val="20"/>
                <w:szCs w:val="20"/>
              </w:rPr>
              <w:t xml:space="preserve"> </w:t>
            </w:r>
            <w:r>
              <w:rPr>
                <w:sz w:val="20"/>
                <w:szCs w:val="20"/>
              </w:rPr>
              <w:t>E</w:t>
            </w:r>
            <w:r w:rsidRPr="00A86DB0">
              <w:rPr>
                <w:sz w:val="20"/>
                <w:szCs w:val="20"/>
              </w:rPr>
              <w:t>in Gesetz, das Eltern umgekehrt dazu zwinge, ihre Kinder in öffentliche</w:t>
            </w:r>
            <w:r>
              <w:rPr>
                <w:sz w:val="20"/>
                <w:szCs w:val="20"/>
              </w:rPr>
              <w:t>n</w:t>
            </w:r>
            <w:r w:rsidRPr="00A86DB0">
              <w:rPr>
                <w:sz w:val="20"/>
                <w:szCs w:val="20"/>
              </w:rPr>
              <w:t xml:space="preserve"> Schulen anzumelden, sei damit verfassungswidrig.</w:t>
            </w:r>
            <w:r w:rsidR="00074551" w:rsidRPr="00A86DB0">
              <w:rPr>
                <w:sz w:val="20"/>
                <w:szCs w:val="20"/>
                <w:vertAlign w:val="superscript"/>
              </w:rPr>
              <w:footnoteReference w:id="1245"/>
            </w:r>
            <w:r w:rsidRPr="00A86DB0">
              <w:rPr>
                <w:sz w:val="20"/>
                <w:szCs w:val="20"/>
              </w:rPr>
              <w:t xml:space="preserve"> Und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als absolutes Recht gelte</w:t>
            </w:r>
            <w:r>
              <w:rPr>
                <w:sz w:val="20"/>
                <w:szCs w:val="20"/>
              </w:rPr>
              <w:t xml:space="preserve"> nicht</w:t>
            </w:r>
            <w:r w:rsidRPr="00A86DB0">
              <w:rPr>
                <w:sz w:val="20"/>
                <w:szCs w:val="20"/>
              </w:rPr>
              <w:t xml:space="preserve"> nur auf nationaler, sondern auch auf </w:t>
            </w:r>
            <w:r w:rsidRPr="00A86DB0">
              <w:rPr>
                <w:sz w:val="20"/>
                <w:szCs w:val="20"/>
              </w:rPr>
              <w:lastRenderedPageBreak/>
              <w:t xml:space="preserve">bundesstaatlicher Ebene. Denn </w:t>
            </w:r>
            <w:r>
              <w:rPr>
                <w:sz w:val="20"/>
                <w:szCs w:val="20"/>
              </w:rPr>
              <w:t>z.B.</w:t>
            </w:r>
            <w:r w:rsidRPr="00A86DB0">
              <w:rPr>
                <w:sz w:val="20"/>
                <w:szCs w:val="20"/>
              </w:rPr>
              <w:t xml:space="preserve"> in </w:t>
            </w:r>
            <w:r w:rsidRPr="1739998D">
              <w:rPr>
                <w:i/>
                <w:iCs/>
                <w:sz w:val="20"/>
                <w:szCs w:val="20"/>
              </w:rPr>
              <w:t>Mapp v. Ohio</w:t>
            </w:r>
            <w:r w:rsidRPr="00A86DB0">
              <w:rPr>
                <w:sz w:val="20"/>
                <w:szCs w:val="20"/>
              </w:rPr>
              <w:t xml:space="preserve"> urteilte der </w:t>
            </w:r>
            <w:r>
              <w:rPr>
                <w:sz w:val="20"/>
                <w:szCs w:val="20"/>
              </w:rPr>
              <w:t>U.S. Supreme Court</w:t>
            </w:r>
            <w:r w:rsidRPr="00A86DB0">
              <w:rPr>
                <w:sz w:val="20"/>
                <w:szCs w:val="20"/>
              </w:rPr>
              <w:t xml:space="preserve">, ausgehend vom verfassungsmäßigen Beweisverwertungsverbot, dass dieses nicht nur auf </w:t>
            </w:r>
            <w:r>
              <w:rPr>
                <w:sz w:val="20"/>
                <w:szCs w:val="20"/>
              </w:rPr>
              <w:t>Bundesebene</w:t>
            </w:r>
            <w:r w:rsidRPr="00A86DB0">
              <w:rPr>
                <w:sz w:val="20"/>
                <w:szCs w:val="20"/>
              </w:rPr>
              <w:t xml:space="preserve">, sondern auch </w:t>
            </w:r>
            <w:r>
              <w:rPr>
                <w:sz w:val="20"/>
                <w:szCs w:val="20"/>
              </w:rPr>
              <w:t>auf E</w:t>
            </w:r>
            <w:r w:rsidRPr="00A86DB0">
              <w:rPr>
                <w:sz w:val="20"/>
                <w:szCs w:val="20"/>
              </w:rPr>
              <w:t>bene</w:t>
            </w:r>
            <w:r>
              <w:rPr>
                <w:sz w:val="20"/>
                <w:szCs w:val="20"/>
              </w:rPr>
              <w:t xml:space="preserve"> der einzelnen Bundesstaaten</w:t>
            </w:r>
            <w:r w:rsidRPr="00A86DB0">
              <w:rPr>
                <w:sz w:val="20"/>
                <w:szCs w:val="20"/>
              </w:rPr>
              <w:t xml:space="preserve"> wirke; es hindere Staatsanwälte, Beweise vor Gericht zu verwerten, die sie durch eine rechtswidrige Durchsuchung und Beschlagnahme erlangten, also unter Verstoß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86DB0">
              <w:rPr>
                <w:sz w:val="20"/>
                <w:szCs w:val="20"/>
              </w:rPr>
              <w:t xml:space="preserve"> </w:t>
            </w:r>
            <w:r>
              <w:rPr>
                <w:sz w:val="20"/>
                <w:szCs w:val="20"/>
              </w:rPr>
              <w:t>Mithin</w:t>
            </w:r>
            <w:r w:rsidRPr="00A86DB0">
              <w:rPr>
                <w:sz w:val="20"/>
                <w:szCs w:val="20"/>
              </w:rPr>
              <w:t xml:space="preserve"> gelte aber das Amendment auch für Bundesstaaten. Diese Übertragung von nationaler auf </w:t>
            </w:r>
            <w:r>
              <w:rPr>
                <w:sz w:val="20"/>
                <w:szCs w:val="20"/>
              </w:rPr>
              <w:t>bundesstaatliche</w:t>
            </w:r>
            <w:r w:rsidRPr="00A86DB0">
              <w:rPr>
                <w:sz w:val="20"/>
                <w:szCs w:val="20"/>
              </w:rPr>
              <w:t xml:space="preserve"> Ebene nennt sich selektive Inkorporation. Den Hebel für diese Inkorporation stellt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6DB0">
              <w:rPr>
                <w:sz w:val="20"/>
                <w:szCs w:val="20"/>
              </w:rPr>
              <w:t xml:space="preserve"> Denn das Amendment erfordert ein rechtsstaatliches Verfahren, was auch für Bundesstaaten gelten müsse. Durch das rechtsstaatliche Verfahren inkorporiert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6DB0">
              <w:rPr>
                <w:sz w:val="20"/>
                <w:szCs w:val="20"/>
              </w:rPr>
              <w:t xml:space="preserve"> also das national geltende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86DB0">
              <w:rPr>
                <w:sz w:val="20"/>
                <w:szCs w:val="20"/>
              </w:rPr>
              <w:t xml:space="preserve"> auf die Ebene der Bundesstaaten. Dabei erklärte Richter </w:t>
            </w:r>
            <w:r w:rsidRPr="1739998D">
              <w:rPr>
                <w:i/>
                <w:iCs/>
                <w:sz w:val="20"/>
                <w:szCs w:val="20"/>
              </w:rPr>
              <w:t>Hugo Black</w:t>
            </w:r>
            <w:r w:rsidRPr="00A86DB0">
              <w:rPr>
                <w:sz w:val="20"/>
                <w:szCs w:val="20"/>
              </w:rPr>
              <w:t xml:space="preserve">, der sich der Mehrheitsentscheidung anschloss, in seiner </w:t>
            </w:r>
            <w:proofErr w:type="spellStart"/>
            <w:r w:rsidRPr="1739998D">
              <w:rPr>
                <w:i/>
                <w:iCs/>
                <w:sz w:val="20"/>
                <w:szCs w:val="20"/>
              </w:rPr>
              <w:t>concurring</w:t>
            </w:r>
            <w:proofErr w:type="spellEnd"/>
            <w:r w:rsidRPr="1739998D">
              <w:rPr>
                <w:i/>
                <w:iCs/>
                <w:sz w:val="20"/>
                <w:szCs w:val="20"/>
              </w:rPr>
              <w:t xml:space="preserve"> </w:t>
            </w:r>
            <w:proofErr w:type="spellStart"/>
            <w:r w:rsidRPr="1739998D">
              <w:rPr>
                <w:i/>
                <w:iCs/>
                <w:sz w:val="20"/>
                <w:szCs w:val="20"/>
              </w:rPr>
              <w:t>opinion</w:t>
            </w:r>
            <w:proofErr w:type="spellEnd"/>
            <w:r w:rsidRPr="00A86DB0">
              <w:rPr>
                <w:sz w:val="20"/>
                <w:szCs w:val="20"/>
              </w:rPr>
              <w:t xml:space="preserve"> zu einem konkreten Fall: Der </w:t>
            </w:r>
            <w:r w:rsidRPr="1739998D">
              <w:rPr>
                <w:i/>
                <w:iCs/>
                <w:sz w:val="20"/>
                <w:szCs w:val="20"/>
              </w:rPr>
              <w:t xml:space="preserve">Ohio </w:t>
            </w:r>
            <w:proofErr w:type="spellStart"/>
            <w:r w:rsidRPr="1739998D">
              <w:rPr>
                <w:i/>
                <w:iCs/>
                <w:sz w:val="20"/>
                <w:szCs w:val="20"/>
              </w:rPr>
              <w:t>Revised</w:t>
            </w:r>
            <w:proofErr w:type="spellEnd"/>
            <w:r w:rsidRPr="1739998D">
              <w:rPr>
                <w:i/>
                <w:iCs/>
                <w:sz w:val="20"/>
                <w:szCs w:val="20"/>
              </w:rPr>
              <w:t xml:space="preserve"> Code</w:t>
            </w:r>
            <w:r w:rsidR="00074551" w:rsidRPr="00A86DB0">
              <w:rPr>
                <w:sz w:val="20"/>
                <w:szCs w:val="20"/>
                <w:vertAlign w:val="superscript"/>
              </w:rPr>
              <w:footnoteReference w:id="1246"/>
            </w:r>
            <w:r w:rsidRPr="00A86DB0">
              <w:rPr>
                <w:sz w:val="20"/>
                <w:szCs w:val="20"/>
              </w:rPr>
              <w:t xml:space="preserve"> – der den Besitz von obszönem Material untersag</w:t>
            </w:r>
            <w:r>
              <w:rPr>
                <w:sz w:val="20"/>
                <w:szCs w:val="20"/>
              </w:rPr>
              <w:t>t</w:t>
            </w:r>
            <w:r w:rsidRPr="00A86DB0">
              <w:rPr>
                <w:sz w:val="20"/>
                <w:szCs w:val="20"/>
              </w:rPr>
              <w:t xml:space="preserve">e – sei nicht nur wegen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Pr>
                <w:sz w:val="20"/>
                <w:szCs w:val="20"/>
              </w:rPr>
              <w:t xml:space="preserve"> </w:t>
            </w:r>
            <w:r w:rsidRPr="00A86DB0">
              <w:rPr>
                <w:sz w:val="20"/>
                <w:szCs w:val="20"/>
              </w:rPr>
              <w:t xml:space="preserve">verfassungswidrig. Sondern </w:t>
            </w:r>
            <w:r>
              <w:rPr>
                <w:sz w:val="20"/>
                <w:szCs w:val="20"/>
              </w:rPr>
              <w:t>auch, weil</w:t>
            </w:r>
            <w:r w:rsidRPr="00A86DB0">
              <w:rPr>
                <w:sz w:val="20"/>
                <w:szCs w:val="20"/>
              </w:rPr>
              <w:t xml:space="preserve"> eine solche Beweisverwertungen gegen das Streben nach Glück verstieße („</w:t>
            </w:r>
            <w:proofErr w:type="spellStart"/>
            <w:r w:rsidRPr="00A86DB0">
              <w:rPr>
                <w:sz w:val="20"/>
                <w:szCs w:val="20"/>
              </w:rPr>
              <w:t>this</w:t>
            </w:r>
            <w:proofErr w:type="spellEnd"/>
            <w:r w:rsidRPr="00A86DB0">
              <w:rPr>
                <w:sz w:val="20"/>
                <w:szCs w:val="20"/>
              </w:rPr>
              <w:t xml:space="preserve"> </w:t>
            </w:r>
            <w:proofErr w:type="spellStart"/>
            <w:r w:rsidRPr="00A86DB0">
              <w:rPr>
                <w:sz w:val="20"/>
                <w:szCs w:val="20"/>
              </w:rPr>
              <w:t>unconstitutional</w:t>
            </w:r>
            <w:proofErr w:type="spellEnd"/>
            <w:r w:rsidRPr="00A86DB0">
              <w:rPr>
                <w:sz w:val="20"/>
                <w:szCs w:val="20"/>
              </w:rPr>
              <w:t xml:space="preserve"> </w:t>
            </w:r>
            <w:proofErr w:type="spellStart"/>
            <w:r w:rsidRPr="00A86DB0">
              <w:rPr>
                <w:sz w:val="20"/>
                <w:szCs w:val="20"/>
              </w:rPr>
              <w:t>section</w:t>
            </w:r>
            <w:proofErr w:type="spellEnd"/>
            <w:r w:rsidRPr="00A86DB0">
              <w:rPr>
                <w:sz w:val="20"/>
                <w:szCs w:val="20"/>
              </w:rPr>
              <w:t xml:space="preserve"> of the </w:t>
            </w:r>
            <w:r w:rsidRPr="1739998D">
              <w:rPr>
                <w:i/>
                <w:iCs/>
                <w:sz w:val="20"/>
                <w:szCs w:val="20"/>
              </w:rPr>
              <w:t xml:space="preserve">Ohio </w:t>
            </w:r>
            <w:proofErr w:type="spellStart"/>
            <w:r w:rsidRPr="1739998D">
              <w:rPr>
                <w:i/>
                <w:iCs/>
                <w:sz w:val="20"/>
                <w:szCs w:val="20"/>
              </w:rPr>
              <w:t>Revised</w:t>
            </w:r>
            <w:proofErr w:type="spellEnd"/>
            <w:r w:rsidRPr="1739998D">
              <w:rPr>
                <w:i/>
                <w:iCs/>
                <w:sz w:val="20"/>
                <w:szCs w:val="20"/>
              </w:rPr>
              <w:t xml:space="preserve"> Code</w:t>
            </w:r>
            <w:r w:rsidRPr="00A86DB0">
              <w:rPr>
                <w:sz w:val="20"/>
                <w:szCs w:val="20"/>
              </w:rPr>
              <w:t xml:space="preserve"> </w:t>
            </w:r>
            <w:proofErr w:type="spellStart"/>
            <w:r w:rsidRPr="00A86DB0">
              <w:rPr>
                <w:sz w:val="20"/>
                <w:szCs w:val="20"/>
              </w:rPr>
              <w:t>deprives</w:t>
            </w:r>
            <w:proofErr w:type="spellEnd"/>
            <w:r w:rsidRPr="00A86DB0">
              <w:rPr>
                <w:sz w:val="20"/>
                <w:szCs w:val="20"/>
              </w:rPr>
              <w:t xml:space="preserve"> the </w:t>
            </w:r>
            <w:proofErr w:type="spellStart"/>
            <w:r w:rsidRPr="00A86DB0">
              <w:rPr>
                <w:sz w:val="20"/>
                <w:szCs w:val="20"/>
              </w:rPr>
              <w:t>defendant</w:t>
            </w:r>
            <w:proofErr w:type="spellEnd"/>
            <w:r w:rsidRPr="00A86DB0">
              <w:rPr>
                <w:sz w:val="20"/>
                <w:szCs w:val="20"/>
              </w:rPr>
              <w:t xml:space="preserve"> of her </w:t>
            </w:r>
            <w:proofErr w:type="spellStart"/>
            <w:r w:rsidRPr="00A86DB0">
              <w:rPr>
                <w:sz w:val="20"/>
                <w:szCs w:val="20"/>
              </w:rPr>
              <w:t>right</w:t>
            </w:r>
            <w:proofErr w:type="spellEnd"/>
            <w:r w:rsidRPr="00A86DB0">
              <w:rPr>
                <w:sz w:val="20"/>
                <w:szCs w:val="20"/>
              </w:rPr>
              <w:t xml:space="preserve"> to […] the </w:t>
            </w:r>
            <w:proofErr w:type="spellStart"/>
            <w:r w:rsidRPr="00A86DB0">
              <w:rPr>
                <w:sz w:val="20"/>
                <w:szCs w:val="20"/>
              </w:rPr>
              <w:t>pursuit</w:t>
            </w:r>
            <w:proofErr w:type="spellEnd"/>
            <w:r w:rsidRPr="00A86DB0">
              <w:rPr>
                <w:sz w:val="20"/>
                <w:szCs w:val="20"/>
              </w:rPr>
              <w:t xml:space="preserve"> of </w:t>
            </w:r>
            <w:proofErr w:type="spellStart"/>
            <w:r w:rsidRPr="00A86DB0">
              <w:rPr>
                <w:sz w:val="20"/>
                <w:szCs w:val="20"/>
              </w:rPr>
              <w:t>happiness</w:t>
            </w:r>
            <w:proofErr w:type="spellEnd"/>
            <w:r w:rsidRPr="00A86DB0">
              <w:rPr>
                <w:sz w:val="20"/>
                <w:szCs w:val="20"/>
              </w:rPr>
              <w:t>“</w:t>
            </w:r>
            <w:r w:rsidR="00074551" w:rsidRPr="00A86DB0">
              <w:rPr>
                <w:sz w:val="20"/>
                <w:szCs w:val="20"/>
                <w:vertAlign w:val="superscript"/>
              </w:rPr>
              <w:footnoteReference w:id="1247"/>
            </w:r>
            <w:r w:rsidRPr="00A86DB0">
              <w:rPr>
                <w:sz w:val="20"/>
                <w:szCs w:val="20"/>
              </w:rPr>
              <w:t xml:space="preserve">). Womit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nicht nur auf nationaler, sondern auch über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6DB0">
              <w:rPr>
                <w:sz w:val="20"/>
                <w:szCs w:val="20"/>
              </w:rPr>
              <w:t xml:space="preserve"> auf </w:t>
            </w:r>
            <w:r>
              <w:rPr>
                <w:sz w:val="20"/>
                <w:szCs w:val="20"/>
              </w:rPr>
              <w:t>bundesstaatlicher E</w:t>
            </w:r>
            <w:r w:rsidRPr="00A86DB0">
              <w:rPr>
                <w:sz w:val="20"/>
                <w:szCs w:val="20"/>
              </w:rPr>
              <w:t>bene gelte.</w:t>
            </w:r>
          </w:p>
          <w:p w14:paraId="4543CC21" w14:textId="77777777" w:rsidR="00074551" w:rsidRPr="00A86DB0" w:rsidRDefault="00074551" w:rsidP="00367133">
            <w:pPr>
              <w:jc w:val="both"/>
              <w:rPr>
                <w:sz w:val="20"/>
                <w:szCs w:val="20"/>
              </w:rPr>
            </w:pPr>
          </w:p>
          <w:p w14:paraId="54FAFA8F" w14:textId="2E6E3A32" w:rsidR="00074551" w:rsidRDefault="5BDDA3A0" w:rsidP="00367133">
            <w:pPr>
              <w:jc w:val="both"/>
              <w:rPr>
                <w:sz w:val="20"/>
                <w:szCs w:val="20"/>
              </w:rPr>
            </w:pPr>
            <w:r w:rsidRPr="00A86DB0">
              <w:rPr>
                <w:sz w:val="20"/>
                <w:szCs w:val="20"/>
              </w:rPr>
              <w:t xml:space="preserve">Und zweitens konstituiert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das Recht</w:t>
            </w:r>
            <w:r>
              <w:rPr>
                <w:sz w:val="20"/>
                <w:szCs w:val="20"/>
              </w:rPr>
              <w:t xml:space="preserve">, in Ruhe </w:t>
            </w:r>
            <w:r w:rsidRPr="00A86DB0">
              <w:rPr>
                <w:sz w:val="20"/>
                <w:szCs w:val="20"/>
              </w:rPr>
              <w:t>gelassen zu werden („</w:t>
            </w:r>
            <w:proofErr w:type="spellStart"/>
            <w:r w:rsidRPr="00A86DB0">
              <w:rPr>
                <w:sz w:val="20"/>
                <w:szCs w:val="20"/>
              </w:rPr>
              <w:t>right</w:t>
            </w:r>
            <w:proofErr w:type="spellEnd"/>
            <w:r w:rsidRPr="00A86DB0">
              <w:rPr>
                <w:sz w:val="20"/>
                <w:szCs w:val="20"/>
              </w:rPr>
              <w:t xml:space="preserve"> to </w:t>
            </w:r>
            <w:proofErr w:type="spellStart"/>
            <w:r w:rsidRPr="00A86DB0">
              <w:rPr>
                <w:sz w:val="20"/>
                <w:szCs w:val="20"/>
              </w:rPr>
              <w:t>be</w:t>
            </w:r>
            <w:proofErr w:type="spellEnd"/>
            <w:r w:rsidRPr="00A86DB0">
              <w:rPr>
                <w:sz w:val="20"/>
                <w:szCs w:val="20"/>
              </w:rPr>
              <w:t xml:space="preserve"> </w:t>
            </w:r>
            <w:proofErr w:type="spellStart"/>
            <w:r w:rsidRPr="00A86DB0">
              <w:rPr>
                <w:sz w:val="20"/>
                <w:szCs w:val="20"/>
              </w:rPr>
              <w:t>let</w:t>
            </w:r>
            <w:proofErr w:type="spellEnd"/>
            <w:r w:rsidRPr="00A86DB0">
              <w:rPr>
                <w:sz w:val="20"/>
                <w:szCs w:val="20"/>
              </w:rPr>
              <w:t xml:space="preserve"> </w:t>
            </w:r>
            <w:proofErr w:type="spellStart"/>
            <w:r w:rsidRPr="00A86DB0">
              <w:rPr>
                <w:sz w:val="20"/>
                <w:szCs w:val="20"/>
              </w:rPr>
              <w:t>alone</w:t>
            </w:r>
            <w:proofErr w:type="spellEnd"/>
            <w:r w:rsidRPr="00A86DB0">
              <w:rPr>
                <w:sz w:val="20"/>
                <w:szCs w:val="20"/>
              </w:rPr>
              <w:t>“</w:t>
            </w:r>
            <w:r w:rsidR="00074551" w:rsidRPr="00A86DB0">
              <w:rPr>
                <w:sz w:val="20"/>
                <w:szCs w:val="20"/>
                <w:vertAlign w:val="superscript"/>
              </w:rPr>
              <w:footnoteReference w:id="1248"/>
            </w:r>
            <w:r w:rsidRPr="00A86DB0">
              <w:rPr>
                <w:sz w:val="20"/>
                <w:szCs w:val="20"/>
              </w:rPr>
              <w:t>)</w:t>
            </w:r>
            <w:r>
              <w:rPr>
                <w:sz w:val="20"/>
                <w:szCs w:val="20"/>
              </w:rPr>
              <w:t>,</w:t>
            </w:r>
            <w:r w:rsidRPr="00A86DB0">
              <w:rPr>
                <w:sz w:val="20"/>
                <w:szCs w:val="20"/>
              </w:rPr>
              <w:t xml:space="preserve"> als ein Abwehrrecht gegenüber staatlichen Eingriffen – </w:t>
            </w:r>
            <w:r>
              <w:rPr>
                <w:sz w:val="20"/>
                <w:szCs w:val="20"/>
              </w:rPr>
              <w:t>z.B.</w:t>
            </w:r>
            <w:r w:rsidRPr="00A86DB0">
              <w:rPr>
                <w:sz w:val="20"/>
                <w:szCs w:val="20"/>
              </w:rPr>
              <w:t xml:space="preserve"> gegen unrechtmäßige Beschlagnahmen und Durchsuchungen</w:t>
            </w:r>
            <w:r w:rsidR="00074551" w:rsidRPr="00A86DB0">
              <w:rPr>
                <w:sz w:val="20"/>
                <w:szCs w:val="20"/>
                <w:vertAlign w:val="superscript"/>
              </w:rPr>
              <w:footnoteReference w:id="1249"/>
            </w:r>
            <w:r w:rsidRPr="00A86DB0">
              <w:rPr>
                <w:sz w:val="20"/>
                <w:szCs w:val="20"/>
              </w:rPr>
              <w:t xml:space="preserve"> –, nunmehr </w:t>
            </w:r>
            <w:r>
              <w:rPr>
                <w:sz w:val="20"/>
                <w:szCs w:val="20"/>
              </w:rPr>
              <w:t xml:space="preserve">sowohl </w:t>
            </w:r>
            <w:r w:rsidRPr="00A86DB0">
              <w:rPr>
                <w:sz w:val="20"/>
                <w:szCs w:val="20"/>
              </w:rPr>
              <w:t>auf nationaler als auch auf bundesstaatlicher Ebene. Das Recht</w:t>
            </w:r>
            <w:r>
              <w:rPr>
                <w:sz w:val="20"/>
                <w:szCs w:val="20"/>
              </w:rPr>
              <w:t>, in Ruhe</w:t>
            </w:r>
            <w:r w:rsidRPr="00A86DB0">
              <w:rPr>
                <w:sz w:val="20"/>
                <w:szCs w:val="20"/>
              </w:rPr>
              <w:t xml:space="preserve"> gelassen zu werden, sichert die Privatsphäre auf Verfassungsebene ab. Der </w:t>
            </w:r>
            <w:r>
              <w:rPr>
                <w:sz w:val="20"/>
                <w:szCs w:val="20"/>
              </w:rPr>
              <w:t>U.S. Supreme Court</w:t>
            </w:r>
            <w:r w:rsidRPr="00A86DB0">
              <w:rPr>
                <w:sz w:val="20"/>
                <w:szCs w:val="20"/>
              </w:rPr>
              <w:t xml:space="preserve"> beschreibt es als das umfassendste aller Rechte der Bürger.</w:t>
            </w:r>
            <w:r w:rsidR="00074551" w:rsidRPr="00A86DB0">
              <w:rPr>
                <w:sz w:val="20"/>
                <w:szCs w:val="20"/>
                <w:vertAlign w:val="superscript"/>
              </w:rPr>
              <w:footnoteReference w:id="1250"/>
            </w:r>
            <w:r w:rsidRPr="00A86DB0">
              <w:rPr>
                <w:sz w:val="20"/>
                <w:szCs w:val="20"/>
              </w:rPr>
              <w:t xml:space="preserve"> Und um dieses Recht zu sichern, erweiter</w:t>
            </w:r>
            <w:r>
              <w:rPr>
                <w:sz w:val="20"/>
                <w:szCs w:val="20"/>
              </w:rPr>
              <w:t>e</w:t>
            </w:r>
            <w:r w:rsidRPr="00A86DB0">
              <w:rPr>
                <w:sz w:val="20"/>
                <w:szCs w:val="20"/>
              </w:rPr>
              <w:t xml:space="preserve">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w:t>
            </w:r>
            <w:r>
              <w:rPr>
                <w:sz w:val="20"/>
                <w:szCs w:val="20"/>
              </w:rPr>
              <w:t>u.a.</w:t>
            </w:r>
            <w:r w:rsidRPr="00A86DB0">
              <w:rPr>
                <w:sz w:val="20"/>
                <w:szCs w:val="20"/>
              </w:rPr>
              <w:t xml:space="preserve"> die Schutzbereiche diverser Amendments über ihren Wortlaut hinaus.</w:t>
            </w:r>
            <w:r w:rsidR="00074551" w:rsidRPr="00A86DB0">
              <w:rPr>
                <w:sz w:val="20"/>
                <w:szCs w:val="20"/>
                <w:vertAlign w:val="superscript"/>
              </w:rPr>
              <w:footnoteReference w:id="1251"/>
            </w:r>
            <w:r w:rsidRPr="00A86DB0">
              <w:rPr>
                <w:sz w:val="20"/>
                <w:szCs w:val="20"/>
              </w:rPr>
              <w:t xml:space="preserve"> Denn die Regierung sei angehalten, einen Bereich für ein Streben nach Glück zu errichten, der nicht damit endet, nur Glück als materiellen Wohlstand zu ermöglichen.</w:t>
            </w:r>
            <w:r w:rsidR="00074551" w:rsidRPr="00A86DB0">
              <w:rPr>
                <w:sz w:val="20"/>
                <w:szCs w:val="20"/>
                <w:vertAlign w:val="superscript"/>
              </w:rPr>
              <w:footnoteReference w:id="1252"/>
            </w:r>
            <w:r>
              <w:rPr>
                <w:sz w:val="20"/>
                <w:szCs w:val="20"/>
                <w:vertAlign w:val="superscript"/>
              </w:rPr>
              <w:t xml:space="preserve"> </w:t>
            </w:r>
            <w:r w:rsidRPr="00A86DB0">
              <w:rPr>
                <w:sz w:val="20"/>
                <w:szCs w:val="20"/>
              </w:rPr>
              <w:t xml:space="preserve">In </w:t>
            </w:r>
            <w:r w:rsidRPr="1739998D">
              <w:rPr>
                <w:i/>
                <w:iCs/>
                <w:sz w:val="20"/>
                <w:szCs w:val="20"/>
              </w:rPr>
              <w:t>Griswold v. Connecticut</w:t>
            </w:r>
            <w:r w:rsidRPr="00A86DB0">
              <w:rPr>
                <w:sz w:val="20"/>
                <w:szCs w:val="20"/>
              </w:rPr>
              <w:t xml:space="preserve"> urteilte der </w:t>
            </w:r>
            <w:r>
              <w:rPr>
                <w:sz w:val="20"/>
                <w:szCs w:val="20"/>
              </w:rPr>
              <w:t>U.S. Supreme Court</w:t>
            </w:r>
            <w:r w:rsidRPr="00A86DB0">
              <w:rPr>
                <w:sz w:val="20"/>
                <w:szCs w:val="20"/>
              </w:rPr>
              <w:t xml:space="preserve"> </w:t>
            </w:r>
            <w:r>
              <w:rPr>
                <w:sz w:val="20"/>
                <w:szCs w:val="20"/>
              </w:rPr>
              <w:t>z.B.</w:t>
            </w:r>
            <w:r w:rsidRPr="00A86DB0">
              <w:rPr>
                <w:sz w:val="20"/>
                <w:szCs w:val="20"/>
              </w:rPr>
              <w:t>, es existier</w:t>
            </w:r>
            <w:r>
              <w:rPr>
                <w:sz w:val="20"/>
                <w:szCs w:val="20"/>
              </w:rPr>
              <w:t>t</w:t>
            </w:r>
            <w:r w:rsidRPr="00A86DB0">
              <w:rPr>
                <w:sz w:val="20"/>
                <w:szCs w:val="20"/>
              </w:rPr>
              <w:t>en Schutzbereiche oder Sphären</w:t>
            </w:r>
            <w:r>
              <w:rPr>
                <w:sz w:val="20"/>
                <w:szCs w:val="20"/>
              </w:rPr>
              <w:t xml:space="preserve"> des Privatlebens</w:t>
            </w:r>
            <w:r w:rsidRPr="00A86DB0">
              <w:rPr>
                <w:sz w:val="20"/>
                <w:szCs w:val="20"/>
              </w:rPr>
              <w:t xml:space="preserve"> („</w:t>
            </w:r>
            <w:proofErr w:type="spellStart"/>
            <w:r w:rsidRPr="00A86DB0">
              <w:rPr>
                <w:sz w:val="20"/>
                <w:szCs w:val="20"/>
              </w:rPr>
              <w:t>zones</w:t>
            </w:r>
            <w:proofErr w:type="spellEnd"/>
            <w:r w:rsidRPr="00A86DB0">
              <w:rPr>
                <w:sz w:val="20"/>
                <w:szCs w:val="20"/>
              </w:rPr>
              <w:t xml:space="preserve"> of </w:t>
            </w:r>
            <w:proofErr w:type="spellStart"/>
            <w:r w:rsidRPr="00A86DB0">
              <w:rPr>
                <w:sz w:val="20"/>
                <w:szCs w:val="20"/>
              </w:rPr>
              <w:t>privacy</w:t>
            </w:r>
            <w:proofErr w:type="spellEnd"/>
            <w:r w:rsidRPr="00A86DB0">
              <w:rPr>
                <w:sz w:val="20"/>
                <w:szCs w:val="20"/>
              </w:rPr>
              <w:t xml:space="preserve"> […] </w:t>
            </w:r>
            <w:proofErr w:type="spellStart"/>
            <w:r w:rsidRPr="00A86DB0">
              <w:rPr>
                <w:sz w:val="20"/>
                <w:szCs w:val="20"/>
              </w:rPr>
              <w:t>another</w:t>
            </w:r>
            <w:proofErr w:type="spellEnd"/>
            <w:r w:rsidRPr="00A86DB0">
              <w:rPr>
                <w:sz w:val="20"/>
                <w:szCs w:val="20"/>
              </w:rPr>
              <w:t xml:space="preserve"> </w:t>
            </w:r>
            <w:proofErr w:type="spellStart"/>
            <w:r w:rsidRPr="00A86DB0">
              <w:rPr>
                <w:sz w:val="20"/>
                <w:szCs w:val="20"/>
              </w:rPr>
              <w:t>facet</w:t>
            </w:r>
            <w:proofErr w:type="spellEnd"/>
            <w:r w:rsidRPr="00A86DB0">
              <w:rPr>
                <w:sz w:val="20"/>
                <w:szCs w:val="20"/>
              </w:rPr>
              <w:t xml:space="preserve"> of </w:t>
            </w:r>
            <w:proofErr w:type="spellStart"/>
            <w:r w:rsidRPr="00A86DB0">
              <w:rPr>
                <w:sz w:val="20"/>
                <w:szCs w:val="20"/>
              </w:rPr>
              <w:t>that</w:t>
            </w:r>
            <w:proofErr w:type="spellEnd"/>
            <w:r w:rsidRPr="00A86DB0">
              <w:rPr>
                <w:sz w:val="20"/>
                <w:szCs w:val="20"/>
              </w:rPr>
              <w:t xml:space="preserve"> </w:t>
            </w:r>
            <w:proofErr w:type="spellStart"/>
            <w:r w:rsidRPr="00A86DB0">
              <w:rPr>
                <w:sz w:val="20"/>
                <w:szCs w:val="20"/>
              </w:rPr>
              <w:t>privacy</w:t>
            </w:r>
            <w:proofErr w:type="spellEnd"/>
            <w:r w:rsidRPr="00A86DB0">
              <w:rPr>
                <w:sz w:val="20"/>
                <w:szCs w:val="20"/>
              </w:rPr>
              <w:t>“</w:t>
            </w:r>
            <w:r w:rsidR="00074551" w:rsidRPr="00A86DB0">
              <w:rPr>
                <w:sz w:val="20"/>
                <w:szCs w:val="20"/>
                <w:vertAlign w:val="superscript"/>
              </w:rPr>
              <w:footnoteReference w:id="1253"/>
            </w:r>
            <w:r w:rsidRPr="00A86DB0">
              <w:rPr>
                <w:sz w:val="20"/>
                <w:szCs w:val="20"/>
              </w:rPr>
              <w:t xml:space="preserve">), die sich an den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III, IV, V, IX</w:t>
            </w:r>
            <w:r w:rsidRPr="00A86DB0">
              <w:rPr>
                <w:sz w:val="20"/>
                <w:szCs w:val="20"/>
              </w:rPr>
              <w:t xml:space="preserve"> ausrichten</w:t>
            </w:r>
            <w:r>
              <w:rPr>
                <w:sz w:val="20"/>
                <w:szCs w:val="20"/>
              </w:rPr>
              <w:t>.</w:t>
            </w:r>
            <w:r w:rsidR="00074551" w:rsidRPr="00A86DB0">
              <w:rPr>
                <w:sz w:val="20"/>
                <w:szCs w:val="20"/>
                <w:vertAlign w:val="superscript"/>
                <w:lang w:val="en-US"/>
              </w:rPr>
              <w:footnoteReference w:id="1254"/>
            </w:r>
            <w:r w:rsidRPr="00A86DB0">
              <w:rPr>
                <w:sz w:val="20"/>
                <w:szCs w:val="20"/>
              </w:rPr>
              <w:t xml:space="preserve"> Dazu schreibt der </w:t>
            </w:r>
            <w:r>
              <w:rPr>
                <w:sz w:val="20"/>
                <w:szCs w:val="20"/>
              </w:rPr>
              <w:t>U.S. Supreme Court</w:t>
            </w:r>
            <w:r w:rsidRPr="00A86DB0">
              <w:rPr>
                <w:sz w:val="20"/>
                <w:szCs w:val="20"/>
              </w:rPr>
              <w:t xml:space="preserve">, dass er nach Gesamtschau aller Verfassungsbestimmungen ein Recht auf Privatsphäre bestätige, angebunden </w:t>
            </w:r>
            <w:r>
              <w:rPr>
                <w:sz w:val="20"/>
                <w:szCs w:val="20"/>
              </w:rPr>
              <w:t>z.B.</w:t>
            </w:r>
            <w:r w:rsidRPr="00A86DB0">
              <w:rPr>
                <w:sz w:val="20"/>
                <w:szCs w:val="20"/>
              </w:rPr>
              <w:t xml:space="preserve"> an das </w:t>
            </w:r>
            <w:r w:rsidRPr="00A86DB0">
              <w:rPr>
                <w:sz w:val="20"/>
                <w:szCs w:val="20"/>
              </w:rPr>
              <w:lastRenderedPageBreak/>
              <w:t xml:space="preserve">Verbot, Soldaten einquartieren zu müssen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III.</w:t>
            </w:r>
            <w:r w:rsidRPr="00A86DB0">
              <w:rPr>
                <w:sz w:val="20"/>
                <w:szCs w:val="20"/>
              </w:rPr>
              <w:t xml:space="preserve"> Letzteres ergebe sich aus dem Ziel, seinen Wohnbereich vor Einweisungen zu schützen, aber auch aus der Systematik der </w:t>
            </w:r>
            <w:r>
              <w:rPr>
                <w:sz w:val="20"/>
                <w:szCs w:val="20"/>
              </w:rPr>
              <w:t>U.S.</w:t>
            </w:r>
            <w:r w:rsidRPr="00A86DB0">
              <w:rPr>
                <w:sz w:val="20"/>
                <w:szCs w:val="20"/>
              </w:rPr>
              <w:t xml:space="preserve"> </w:t>
            </w:r>
            <w:proofErr w:type="spellStart"/>
            <w:r w:rsidRPr="00A86DB0">
              <w:rPr>
                <w:sz w:val="20"/>
                <w:szCs w:val="20"/>
              </w:rPr>
              <w:t>Const</w:t>
            </w:r>
            <w:proofErr w:type="spellEnd"/>
            <w:r w:rsidRPr="00A86DB0">
              <w:rPr>
                <w:sz w:val="20"/>
                <w:szCs w:val="20"/>
              </w:rPr>
              <w:t xml:space="preserve">., namentlich aus den weiteren Amendments wie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 V und IX</w:t>
            </w:r>
            <w:r w:rsidRPr="00A86DB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86DB0">
              <w:rPr>
                <w:sz w:val="20"/>
                <w:szCs w:val="20"/>
              </w:rPr>
              <w:t xml:space="preserve"> schaffe den normativen Ursprung für ein Recht auf Privatsphäre („the </w:t>
            </w:r>
            <w:proofErr w:type="spellStart"/>
            <w:r w:rsidRPr="00A86DB0">
              <w:rPr>
                <w:sz w:val="20"/>
                <w:szCs w:val="20"/>
              </w:rPr>
              <w:t>Fourth</w:t>
            </w:r>
            <w:proofErr w:type="spellEnd"/>
            <w:r w:rsidRPr="00A86DB0">
              <w:rPr>
                <w:sz w:val="20"/>
                <w:szCs w:val="20"/>
              </w:rPr>
              <w:t xml:space="preserve"> Amendment as </w:t>
            </w:r>
            <w:proofErr w:type="spellStart"/>
            <w:r w:rsidRPr="00A86DB0">
              <w:rPr>
                <w:sz w:val="20"/>
                <w:szCs w:val="20"/>
              </w:rPr>
              <w:t>creating</w:t>
            </w:r>
            <w:proofErr w:type="spellEnd"/>
            <w:r w:rsidRPr="00A86DB0">
              <w:rPr>
                <w:sz w:val="20"/>
                <w:szCs w:val="20"/>
              </w:rPr>
              <w:t xml:space="preserve"> </w:t>
            </w:r>
            <w:proofErr w:type="gramStart"/>
            <w:r w:rsidRPr="00A86DB0">
              <w:rPr>
                <w:sz w:val="20"/>
                <w:szCs w:val="20"/>
              </w:rPr>
              <w:t xml:space="preserve">a </w:t>
            </w:r>
            <w:r>
              <w:rPr>
                <w:sz w:val="20"/>
                <w:szCs w:val="20"/>
              </w:rPr>
              <w:t>,</w:t>
            </w:r>
            <w:proofErr w:type="spellStart"/>
            <w:r w:rsidRPr="00A86DB0">
              <w:rPr>
                <w:sz w:val="20"/>
                <w:szCs w:val="20"/>
              </w:rPr>
              <w:t>right</w:t>
            </w:r>
            <w:proofErr w:type="spellEnd"/>
            <w:proofErr w:type="gramEnd"/>
            <w:r w:rsidRPr="00A86DB0">
              <w:rPr>
                <w:sz w:val="20"/>
                <w:szCs w:val="20"/>
              </w:rPr>
              <w:t xml:space="preserve"> to </w:t>
            </w:r>
            <w:proofErr w:type="spellStart"/>
            <w:r w:rsidRPr="00A86DB0">
              <w:rPr>
                <w:sz w:val="20"/>
                <w:szCs w:val="20"/>
              </w:rPr>
              <w:t>privacy</w:t>
            </w:r>
            <w:proofErr w:type="spellEnd"/>
            <w:r>
              <w:rPr>
                <w:sz w:val="20"/>
                <w:szCs w:val="20"/>
              </w:rPr>
              <w:t>‘</w:t>
            </w:r>
            <w:r w:rsidRPr="00A86DB0">
              <w:rPr>
                <w:sz w:val="20"/>
                <w:szCs w:val="20"/>
              </w:rPr>
              <w:t>“).</w:t>
            </w:r>
            <w:r w:rsidR="00074551" w:rsidRPr="00A86DB0">
              <w:rPr>
                <w:sz w:val="20"/>
                <w:szCs w:val="20"/>
                <w:vertAlign w:val="superscript"/>
              </w:rPr>
              <w:footnoteReference w:id="1255"/>
            </w:r>
            <w:r>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86DB0">
              <w:rPr>
                <w:sz w:val="20"/>
                <w:szCs w:val="20"/>
              </w:rPr>
              <w:t xml:space="preserve"> konkretisiere </w:t>
            </w:r>
            <w:r>
              <w:rPr>
                <w:sz w:val="20"/>
                <w:szCs w:val="20"/>
              </w:rPr>
              <w:t xml:space="preserve">wiederum </w:t>
            </w:r>
            <w:r w:rsidRPr="00A86DB0">
              <w:rPr>
                <w:sz w:val="20"/>
                <w:szCs w:val="20"/>
              </w:rPr>
              <w:t>diesen Ursprung: Es ermögliche dem Bürger mit der Selbstbegünstigungsfreiheit einen weiteren Bereich der Privatsphäre, den die Regierung achten müsse. Mit der Kombination aus</w:t>
            </w:r>
            <w:r w:rsidR="00370142">
              <w:rPr>
                <w:sz w:val="20"/>
                <w:szCs w:val="20"/>
              </w:rPr>
              <w:t xml:space="preserve"> </w:t>
            </w:r>
            <w:r w:rsidR="00370142" w:rsidRPr="00370142">
              <w:rPr>
                <w:sz w:val="20"/>
                <w:szCs w:val="20"/>
              </w:rPr>
              <w:t xml:space="preserve">U.S. </w:t>
            </w:r>
            <w:proofErr w:type="spellStart"/>
            <w:r w:rsidR="00370142" w:rsidRPr="00370142">
              <w:rPr>
                <w:sz w:val="20"/>
                <w:szCs w:val="20"/>
              </w:rPr>
              <w:t>Const</w:t>
            </w:r>
            <w:proofErr w:type="spellEnd"/>
            <w:r w:rsidR="00370142" w:rsidRPr="00370142">
              <w:rPr>
                <w:sz w:val="20"/>
                <w:szCs w:val="20"/>
              </w:rPr>
              <w:t xml:space="preserve">. </w:t>
            </w:r>
            <w:proofErr w:type="spellStart"/>
            <w:r w:rsidR="00370142" w:rsidRPr="00370142">
              <w:rPr>
                <w:sz w:val="20"/>
                <w:szCs w:val="20"/>
              </w:rPr>
              <w:t>amend</w:t>
            </w:r>
            <w:proofErr w:type="spellEnd"/>
            <w:r w:rsidR="00370142" w:rsidRPr="00370142">
              <w:rPr>
                <w:sz w:val="20"/>
                <w:szCs w:val="20"/>
              </w:rPr>
              <w:t>. IV und V</w:t>
            </w:r>
            <w:r w:rsidRPr="00A86DB0">
              <w:rPr>
                <w:sz w:val="20"/>
                <w:szCs w:val="20"/>
              </w:rPr>
              <w:t xml:space="preserve"> deklarierte der </w:t>
            </w:r>
            <w:r>
              <w:rPr>
                <w:sz w:val="20"/>
                <w:szCs w:val="20"/>
              </w:rPr>
              <w:t>U.S. Supreme Court</w:t>
            </w:r>
            <w:r w:rsidR="00074551" w:rsidRPr="00A86DB0">
              <w:rPr>
                <w:sz w:val="20"/>
                <w:szCs w:val="20"/>
                <w:vertAlign w:val="superscript"/>
              </w:rPr>
              <w:footnoteReference w:id="1256"/>
            </w:r>
            <w:r w:rsidRPr="00A86DB0">
              <w:rPr>
                <w:sz w:val="20"/>
                <w:szCs w:val="20"/>
              </w:rPr>
              <w:t xml:space="preserve"> zudem einen Schutz der Wohnung und des Privatlebens, die sog. </w:t>
            </w:r>
            <w:proofErr w:type="spellStart"/>
            <w:r w:rsidRPr="00A86DB0">
              <w:rPr>
                <w:sz w:val="20"/>
                <w:szCs w:val="20"/>
                <w:lang w:val="en-US"/>
              </w:rPr>
              <w:t>Privatsphäre</w:t>
            </w:r>
            <w:proofErr w:type="spellEnd"/>
            <w:r w:rsidRPr="00A86DB0">
              <w:rPr>
                <w:sz w:val="20"/>
                <w:szCs w:val="20"/>
                <w:lang w:val="en-US"/>
              </w:rPr>
              <w:t>, („the sanctity of a man</w:t>
            </w:r>
            <w:r>
              <w:rPr>
                <w:sz w:val="20"/>
                <w:szCs w:val="20"/>
                <w:lang w:val="en-US"/>
              </w:rPr>
              <w:t>’</w:t>
            </w:r>
            <w:r w:rsidRPr="00A86DB0">
              <w:rPr>
                <w:sz w:val="20"/>
                <w:szCs w:val="20"/>
                <w:lang w:val="en-US"/>
              </w:rPr>
              <w:t>s home and the privacies of life“</w:t>
            </w:r>
            <w:r w:rsidR="00074551" w:rsidRPr="00A86DB0">
              <w:rPr>
                <w:sz w:val="20"/>
                <w:szCs w:val="20"/>
                <w:vertAlign w:val="superscript"/>
              </w:rPr>
              <w:footnoteReference w:id="1257"/>
            </w:r>
            <w:r w:rsidRPr="00A86DB0">
              <w:rPr>
                <w:sz w:val="20"/>
                <w:szCs w:val="20"/>
                <w:lang w:val="en-US"/>
              </w:rPr>
              <w:t xml:space="preserve">) </w:t>
            </w:r>
            <w:proofErr w:type="spellStart"/>
            <w:r w:rsidRPr="00A86DB0">
              <w:rPr>
                <w:sz w:val="20"/>
                <w:szCs w:val="20"/>
                <w:lang w:val="en-US"/>
              </w:rPr>
              <w:t>gegen</w:t>
            </w:r>
            <w:proofErr w:type="spellEnd"/>
            <w:r w:rsidRPr="00A86DB0">
              <w:rPr>
                <w:sz w:val="20"/>
                <w:szCs w:val="20"/>
                <w:lang w:val="en-US"/>
              </w:rPr>
              <w:t xml:space="preserve"> </w:t>
            </w:r>
            <w:proofErr w:type="spellStart"/>
            <w:r w:rsidRPr="00A86DB0">
              <w:rPr>
                <w:sz w:val="20"/>
                <w:szCs w:val="20"/>
                <w:lang w:val="en-US"/>
              </w:rPr>
              <w:t>staatliche</w:t>
            </w:r>
            <w:proofErr w:type="spellEnd"/>
            <w:r w:rsidRPr="00A86DB0">
              <w:rPr>
                <w:sz w:val="20"/>
                <w:szCs w:val="20"/>
                <w:lang w:val="en-US"/>
              </w:rPr>
              <w:t xml:space="preserve"> </w:t>
            </w:r>
            <w:proofErr w:type="spellStart"/>
            <w:r w:rsidRPr="00A86DB0">
              <w:rPr>
                <w:sz w:val="20"/>
                <w:szCs w:val="20"/>
                <w:lang w:val="en-US"/>
              </w:rPr>
              <w:t>Eingriffe</w:t>
            </w:r>
            <w:proofErr w:type="spellEnd"/>
            <w:r w:rsidRPr="00A86DB0">
              <w:rPr>
                <w:sz w:val="20"/>
                <w:szCs w:val="20"/>
                <w:lang w:val="en-US"/>
              </w:rPr>
              <w:t xml:space="preserve">. </w:t>
            </w:r>
            <w:r w:rsidRPr="00A86DB0">
              <w:rPr>
                <w:sz w:val="20"/>
                <w:szCs w:val="20"/>
              </w:rPr>
              <w:t>Und dieser Schutz ergibt sich spiegelbildlich aus dem Ziel für staatliches Handel</w:t>
            </w:r>
            <w:r>
              <w:rPr>
                <w:sz w:val="20"/>
                <w:szCs w:val="20"/>
              </w:rPr>
              <w:t>n</w:t>
            </w:r>
            <w:r w:rsidRPr="00A86DB0">
              <w:rPr>
                <w:sz w:val="20"/>
                <w:szCs w:val="20"/>
              </w:rPr>
              <w:t>: Bedingungen für Glück für das Individuum zu schaffen („</w:t>
            </w:r>
            <w:proofErr w:type="spellStart"/>
            <w:r w:rsidRPr="00A86DB0">
              <w:rPr>
                <w:sz w:val="20"/>
                <w:szCs w:val="20"/>
              </w:rPr>
              <w:t>Constitution</w:t>
            </w:r>
            <w:proofErr w:type="spellEnd"/>
            <w:r w:rsidRPr="00A86DB0">
              <w:rPr>
                <w:sz w:val="20"/>
                <w:szCs w:val="20"/>
              </w:rPr>
              <w:t xml:space="preserve"> </w:t>
            </w:r>
            <w:proofErr w:type="spellStart"/>
            <w:r w:rsidRPr="00A86DB0">
              <w:rPr>
                <w:sz w:val="20"/>
                <w:szCs w:val="20"/>
              </w:rPr>
              <w:t>undertook</w:t>
            </w:r>
            <w:proofErr w:type="spellEnd"/>
            <w:r w:rsidRPr="00A86DB0">
              <w:rPr>
                <w:sz w:val="20"/>
                <w:szCs w:val="20"/>
              </w:rPr>
              <w:t xml:space="preserve"> to </w:t>
            </w:r>
            <w:proofErr w:type="spellStart"/>
            <w:r w:rsidRPr="00A86DB0">
              <w:rPr>
                <w:sz w:val="20"/>
                <w:szCs w:val="20"/>
              </w:rPr>
              <w:t>secure</w:t>
            </w:r>
            <w:proofErr w:type="spellEnd"/>
            <w:r w:rsidRPr="00A86DB0">
              <w:rPr>
                <w:sz w:val="20"/>
                <w:szCs w:val="20"/>
              </w:rPr>
              <w:t xml:space="preserve"> </w:t>
            </w:r>
            <w:proofErr w:type="spellStart"/>
            <w:r w:rsidRPr="00A86DB0">
              <w:rPr>
                <w:sz w:val="20"/>
                <w:szCs w:val="20"/>
              </w:rPr>
              <w:t>conditions</w:t>
            </w:r>
            <w:proofErr w:type="spellEnd"/>
            <w:r w:rsidRPr="00A86DB0">
              <w:rPr>
                <w:sz w:val="20"/>
                <w:szCs w:val="20"/>
              </w:rPr>
              <w:t xml:space="preserve"> favorable to the </w:t>
            </w:r>
            <w:proofErr w:type="spellStart"/>
            <w:r w:rsidRPr="00A86DB0">
              <w:rPr>
                <w:sz w:val="20"/>
                <w:szCs w:val="20"/>
              </w:rPr>
              <w:t>pursuit</w:t>
            </w:r>
            <w:proofErr w:type="spellEnd"/>
            <w:r w:rsidRPr="00A86DB0">
              <w:rPr>
                <w:sz w:val="20"/>
                <w:szCs w:val="20"/>
              </w:rPr>
              <w:t xml:space="preserve"> of </w:t>
            </w:r>
            <w:proofErr w:type="spellStart"/>
            <w:r w:rsidRPr="00A86DB0">
              <w:rPr>
                <w:sz w:val="20"/>
                <w:szCs w:val="20"/>
              </w:rPr>
              <w:t>happiness</w:t>
            </w:r>
            <w:proofErr w:type="spellEnd"/>
            <w:r w:rsidRPr="00A86DB0">
              <w:rPr>
                <w:sz w:val="20"/>
                <w:szCs w:val="20"/>
              </w:rPr>
              <w:t>“</w:t>
            </w:r>
            <w:r w:rsidR="00074551" w:rsidRPr="00A86DB0">
              <w:rPr>
                <w:sz w:val="20"/>
                <w:szCs w:val="20"/>
                <w:vertAlign w:val="superscript"/>
              </w:rPr>
              <w:footnoteReference w:id="1258"/>
            </w:r>
            <w:r w:rsidRPr="00A86DB0">
              <w:rPr>
                <w:sz w:val="20"/>
                <w:szCs w:val="20"/>
              </w:rPr>
              <w:t xml:space="preserve">). Als weiterer Schutzbereich wirkt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w:t>
            </w:r>
            <w:r w:rsidRPr="00A86DB0">
              <w:rPr>
                <w:sz w:val="20"/>
                <w:szCs w:val="20"/>
              </w:rPr>
              <w:t xml:space="preserve"> Dieses regelt: Die Aufzählung bestimmter Rechte in der Verfassung dürfe nicht so ausgelegt werden, dass dadurch andere Rechte des Volkes verweigert würden.</w:t>
            </w:r>
            <w:r w:rsidR="00074551" w:rsidRPr="00A86DB0">
              <w:rPr>
                <w:sz w:val="20"/>
                <w:szCs w:val="20"/>
                <w:vertAlign w:val="superscript"/>
              </w:rPr>
              <w:footnoteReference w:id="1259"/>
            </w:r>
            <w:r>
              <w:rPr>
                <w:sz w:val="20"/>
                <w:szCs w:val="20"/>
              </w:rPr>
              <w:t xml:space="preserve"> </w:t>
            </w:r>
            <w:r w:rsidRPr="00A86DB0">
              <w:rPr>
                <w:sz w:val="20"/>
                <w:szCs w:val="20"/>
              </w:rPr>
              <w:t xml:space="preserve">Das bedeutet zweierlei: Einerseits, dass </w:t>
            </w:r>
            <w:r>
              <w:rPr>
                <w:sz w:val="20"/>
                <w:szCs w:val="20"/>
              </w:rPr>
              <w:t>das</w:t>
            </w:r>
            <w:r w:rsidRPr="00A86DB0">
              <w:rPr>
                <w:sz w:val="20"/>
                <w:szCs w:val="20"/>
              </w:rPr>
              <w:t xml:space="preserve"> </w:t>
            </w:r>
            <w:proofErr w:type="spellStart"/>
            <w:r w:rsidRPr="1739998D">
              <w:rPr>
                <w:i/>
                <w:iCs/>
                <w:sz w:val="20"/>
                <w:szCs w:val="20"/>
              </w:rPr>
              <w:t>pursuit</w:t>
            </w:r>
            <w:proofErr w:type="spellEnd"/>
            <w:r w:rsidRPr="1739998D">
              <w:rPr>
                <w:i/>
                <w:iCs/>
                <w:sz w:val="20"/>
                <w:szCs w:val="20"/>
              </w:rPr>
              <w:t xml:space="preserve"> of Happiness</w:t>
            </w:r>
            <w:r w:rsidRPr="00A86DB0">
              <w:rPr>
                <w:sz w:val="20"/>
                <w:szCs w:val="20"/>
              </w:rPr>
              <w:t xml:space="preserve"> und das Privatrecht als sog. andere Rechte existieren. Und andererseits, dass geschriebene Verfassungsrechte beide nicht verdrängen dürfen. </w:t>
            </w:r>
          </w:p>
          <w:p w14:paraId="3B6B215B" w14:textId="77777777" w:rsidR="00074551" w:rsidRPr="00A86DB0" w:rsidRDefault="00074551" w:rsidP="00367133">
            <w:pPr>
              <w:jc w:val="both"/>
              <w:rPr>
                <w:sz w:val="20"/>
                <w:szCs w:val="20"/>
                <w:vertAlign w:val="superscript"/>
              </w:rPr>
            </w:pPr>
          </w:p>
          <w:p w14:paraId="17EB7EFF" w14:textId="5AB2199B" w:rsidR="00074551" w:rsidRDefault="5BDDA3A0" w:rsidP="00367133">
            <w:pPr>
              <w:jc w:val="both"/>
              <w:rPr>
                <w:sz w:val="20"/>
                <w:szCs w:val="20"/>
              </w:rPr>
            </w:pPr>
            <w:r w:rsidRPr="00A86DB0">
              <w:rPr>
                <w:sz w:val="20"/>
                <w:szCs w:val="20"/>
              </w:rPr>
              <w:t xml:space="preserve">Drittens konstruiert der </w:t>
            </w:r>
            <w:r>
              <w:rPr>
                <w:sz w:val="20"/>
                <w:szCs w:val="20"/>
              </w:rPr>
              <w:t>U.S. Supreme Court</w:t>
            </w:r>
            <w:r w:rsidRPr="00A86DB0">
              <w:rPr>
                <w:sz w:val="20"/>
                <w:szCs w:val="20"/>
              </w:rPr>
              <w:t xml:space="preserve"> die Sphären des Rechts, </w:t>
            </w:r>
            <w:r>
              <w:rPr>
                <w:sz w:val="20"/>
                <w:szCs w:val="20"/>
              </w:rPr>
              <w:t>in Ruhe</w:t>
            </w:r>
            <w:r w:rsidRPr="00A86DB0">
              <w:rPr>
                <w:sz w:val="20"/>
                <w:szCs w:val="20"/>
              </w:rPr>
              <w:t xml:space="preserve"> gelassen zu werden („</w:t>
            </w:r>
            <w:proofErr w:type="spellStart"/>
            <w:r w:rsidRPr="00A86DB0">
              <w:rPr>
                <w:sz w:val="20"/>
                <w:szCs w:val="20"/>
              </w:rPr>
              <w:t>zones</w:t>
            </w:r>
            <w:proofErr w:type="spellEnd"/>
            <w:r w:rsidRPr="00A86DB0">
              <w:rPr>
                <w:sz w:val="20"/>
                <w:szCs w:val="20"/>
              </w:rPr>
              <w:t xml:space="preserve"> of </w:t>
            </w:r>
            <w:proofErr w:type="spellStart"/>
            <w:r w:rsidRPr="00A86DB0">
              <w:rPr>
                <w:sz w:val="20"/>
                <w:szCs w:val="20"/>
              </w:rPr>
              <w:t>privacy</w:t>
            </w:r>
            <w:proofErr w:type="spellEnd"/>
            <w:r w:rsidRPr="00A86DB0">
              <w:rPr>
                <w:sz w:val="20"/>
                <w:szCs w:val="20"/>
              </w:rPr>
              <w:t>“).</w:t>
            </w:r>
            <w:r w:rsidR="00074551" w:rsidRPr="00A86DB0">
              <w:rPr>
                <w:sz w:val="20"/>
                <w:szCs w:val="20"/>
                <w:vertAlign w:val="superscript"/>
              </w:rPr>
              <w:footnoteReference w:id="1260"/>
            </w:r>
            <w:r w:rsidRPr="00A86DB0">
              <w:rPr>
                <w:sz w:val="20"/>
                <w:szCs w:val="20"/>
              </w:rPr>
              <w:t xml:space="preserve"> Diese Sphären setzen sich aus </w:t>
            </w:r>
            <w:proofErr w:type="spellStart"/>
            <w:r w:rsidRPr="00A86DB0">
              <w:rPr>
                <w:sz w:val="20"/>
                <w:szCs w:val="20"/>
              </w:rPr>
              <w:t>Penumbren</w:t>
            </w:r>
            <w:proofErr w:type="spellEnd"/>
            <w:r w:rsidRPr="00A86DB0">
              <w:rPr>
                <w:sz w:val="20"/>
                <w:szCs w:val="20"/>
              </w:rPr>
              <w:t xml:space="preserve"> und Verfassungsbestimmungen zusammen,</w:t>
            </w:r>
            <w:r w:rsidR="00074551" w:rsidRPr="00A86DB0">
              <w:rPr>
                <w:sz w:val="20"/>
                <w:szCs w:val="20"/>
                <w:vertAlign w:val="superscript"/>
              </w:rPr>
              <w:footnoteReference w:id="1261"/>
            </w:r>
            <w:r w:rsidRPr="00A86DB0">
              <w:rPr>
                <w:sz w:val="20"/>
                <w:szCs w:val="20"/>
              </w:rPr>
              <w:t xml:space="preserve"> nämlich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 III, IV, V und IX.</w:t>
            </w:r>
            <w:r w:rsidR="00074551" w:rsidRPr="00A86DB0">
              <w:rPr>
                <w:sz w:val="20"/>
                <w:szCs w:val="20"/>
                <w:vertAlign w:val="superscript"/>
              </w:rPr>
              <w:footnoteReference w:id="1262"/>
            </w:r>
            <w:r w:rsidRPr="00A86DB0">
              <w:rPr>
                <w:sz w:val="20"/>
                <w:szCs w:val="20"/>
              </w:rPr>
              <w:t xml:space="preserve"> Wobei die Sphären nötig </w:t>
            </w:r>
            <w:r>
              <w:rPr>
                <w:sz w:val="20"/>
                <w:szCs w:val="20"/>
              </w:rPr>
              <w:t>seien</w:t>
            </w:r>
            <w:r w:rsidRPr="00A86DB0">
              <w:rPr>
                <w:sz w:val="20"/>
                <w:szCs w:val="20"/>
              </w:rPr>
              <w:t>, damit die Regierung Bedingungen für das Streben nach Glück tatsächlich sichere, weil sich zugleich Individuen mit den Sphären konkret erwehren könn</w:t>
            </w:r>
            <w:r>
              <w:rPr>
                <w:sz w:val="20"/>
                <w:szCs w:val="20"/>
              </w:rPr>
              <w:t>t</w:t>
            </w:r>
            <w:r w:rsidRPr="00A86DB0">
              <w:rPr>
                <w:sz w:val="20"/>
                <w:szCs w:val="20"/>
              </w:rPr>
              <w:t xml:space="preserve">en („to </w:t>
            </w:r>
            <w:proofErr w:type="spellStart"/>
            <w:r w:rsidRPr="00A86DB0">
              <w:rPr>
                <w:sz w:val="20"/>
                <w:szCs w:val="20"/>
              </w:rPr>
              <w:t>secure</w:t>
            </w:r>
            <w:proofErr w:type="spellEnd"/>
            <w:r w:rsidRPr="00A86DB0">
              <w:rPr>
                <w:sz w:val="20"/>
                <w:szCs w:val="20"/>
              </w:rPr>
              <w:t xml:space="preserve"> </w:t>
            </w:r>
            <w:proofErr w:type="spellStart"/>
            <w:r w:rsidRPr="00A86DB0">
              <w:rPr>
                <w:sz w:val="20"/>
                <w:szCs w:val="20"/>
              </w:rPr>
              <w:t>conditions</w:t>
            </w:r>
            <w:proofErr w:type="spellEnd"/>
            <w:r w:rsidRPr="00A86DB0">
              <w:rPr>
                <w:sz w:val="20"/>
                <w:szCs w:val="20"/>
              </w:rPr>
              <w:t xml:space="preserve"> favorable to the </w:t>
            </w:r>
            <w:proofErr w:type="spellStart"/>
            <w:r w:rsidRPr="00A86DB0">
              <w:rPr>
                <w:sz w:val="20"/>
                <w:szCs w:val="20"/>
              </w:rPr>
              <w:t>pursuit</w:t>
            </w:r>
            <w:proofErr w:type="spellEnd"/>
            <w:r w:rsidRPr="00A86DB0">
              <w:rPr>
                <w:sz w:val="20"/>
                <w:szCs w:val="20"/>
              </w:rPr>
              <w:t xml:space="preserve"> of </w:t>
            </w:r>
            <w:proofErr w:type="spellStart"/>
            <w:r w:rsidRPr="00A86DB0">
              <w:rPr>
                <w:sz w:val="20"/>
                <w:szCs w:val="20"/>
              </w:rPr>
              <w:t>happiness</w:t>
            </w:r>
            <w:proofErr w:type="spellEnd"/>
            <w:r w:rsidRPr="00A86DB0">
              <w:rPr>
                <w:sz w:val="20"/>
                <w:szCs w:val="20"/>
              </w:rPr>
              <w:t>“</w:t>
            </w:r>
            <w:r w:rsidR="00074551" w:rsidRPr="00A86DB0">
              <w:rPr>
                <w:sz w:val="20"/>
                <w:szCs w:val="20"/>
                <w:vertAlign w:val="superscript"/>
              </w:rPr>
              <w:footnoteReference w:id="1263"/>
            </w:r>
            <w:r w:rsidRPr="00A86DB0">
              <w:rPr>
                <w:sz w:val="20"/>
                <w:szCs w:val="20"/>
              </w:rPr>
              <w:t>).</w:t>
            </w:r>
          </w:p>
          <w:p w14:paraId="4073B56F" w14:textId="77777777" w:rsidR="00074551" w:rsidRPr="00A86DB0" w:rsidRDefault="00074551" w:rsidP="00367133">
            <w:pPr>
              <w:jc w:val="both"/>
              <w:rPr>
                <w:sz w:val="20"/>
                <w:szCs w:val="20"/>
                <w:vertAlign w:val="superscript"/>
              </w:rPr>
            </w:pPr>
          </w:p>
          <w:p w14:paraId="32043107" w14:textId="38D83730" w:rsidR="00074551" w:rsidRPr="00B45592" w:rsidRDefault="00074551" w:rsidP="00367133">
            <w:pPr>
              <w:jc w:val="both"/>
              <w:rPr>
                <w:sz w:val="20"/>
                <w:szCs w:val="20"/>
                <w:lang w:val="en-IE"/>
              </w:rPr>
            </w:pPr>
            <w:r w:rsidRPr="00A86DB0">
              <w:rPr>
                <w:sz w:val="20"/>
                <w:szCs w:val="20"/>
              </w:rPr>
              <w:t>Die äußere Sphäre bzw. „</w:t>
            </w:r>
            <w:proofErr w:type="spellStart"/>
            <w:r w:rsidRPr="00A86DB0">
              <w:rPr>
                <w:sz w:val="20"/>
                <w:szCs w:val="20"/>
              </w:rPr>
              <w:t>zone</w:t>
            </w:r>
            <w:proofErr w:type="spellEnd"/>
            <w:r w:rsidRPr="00A86DB0">
              <w:rPr>
                <w:sz w:val="20"/>
                <w:szCs w:val="20"/>
              </w:rPr>
              <w:t xml:space="preserve"> of </w:t>
            </w:r>
            <w:proofErr w:type="spellStart"/>
            <w:r w:rsidRPr="00A86DB0">
              <w:rPr>
                <w:sz w:val="20"/>
                <w:szCs w:val="20"/>
              </w:rPr>
              <w:t>privacy</w:t>
            </w:r>
            <w:proofErr w:type="spellEnd"/>
            <w:r w:rsidRPr="00A86DB0">
              <w:rPr>
                <w:sz w:val="20"/>
                <w:szCs w:val="20"/>
              </w:rPr>
              <w:t>“</w:t>
            </w:r>
            <w:r w:rsidRPr="00A86DB0">
              <w:rPr>
                <w:sz w:val="20"/>
                <w:szCs w:val="20"/>
                <w:vertAlign w:val="superscript"/>
              </w:rPr>
              <w:footnoteReference w:id="1264"/>
            </w:r>
            <w:r w:rsidRPr="5B67C1D2">
              <w:rPr>
                <w:i/>
                <w:iCs/>
                <w:sz w:val="20"/>
                <w:szCs w:val="20"/>
              </w:rPr>
              <w:t xml:space="preserve"> </w:t>
            </w:r>
            <w:r w:rsidRPr="00A86DB0">
              <w:rPr>
                <w:sz w:val="20"/>
                <w:szCs w:val="20"/>
              </w:rPr>
              <w:t xml:space="preserve">beschreibt die Sozialsphäre. Ein Beispiel dafür ist der Schutz während einer Versammlung. Dafür sei der Anker </w:t>
            </w:r>
            <w:r w:rsidR="00600E2C" w:rsidRPr="00600E2C">
              <w:rPr>
                <w:sz w:val="20"/>
                <w:szCs w:val="20"/>
              </w:rPr>
              <w:t xml:space="preserve">U.S. </w:t>
            </w:r>
            <w:proofErr w:type="spellStart"/>
            <w:r w:rsidR="00600E2C" w:rsidRPr="00600E2C">
              <w:rPr>
                <w:sz w:val="20"/>
                <w:szCs w:val="20"/>
              </w:rPr>
              <w:t>Const</w:t>
            </w:r>
            <w:proofErr w:type="spellEnd"/>
            <w:r w:rsidR="00600E2C" w:rsidRPr="00600E2C">
              <w:rPr>
                <w:sz w:val="20"/>
                <w:szCs w:val="20"/>
              </w:rPr>
              <w:t xml:space="preserve">. </w:t>
            </w:r>
            <w:proofErr w:type="spellStart"/>
            <w:r w:rsidR="00600E2C" w:rsidRPr="00600E2C">
              <w:rPr>
                <w:sz w:val="20"/>
                <w:szCs w:val="20"/>
              </w:rPr>
              <w:t>amend</w:t>
            </w:r>
            <w:proofErr w:type="spellEnd"/>
            <w:r w:rsidR="00600E2C" w:rsidRPr="00600E2C">
              <w:rPr>
                <w:sz w:val="20"/>
                <w:szCs w:val="20"/>
              </w:rPr>
              <w:t>. I</w:t>
            </w:r>
            <w:r w:rsidRPr="00A86DB0">
              <w:rPr>
                <w:sz w:val="20"/>
                <w:szCs w:val="20"/>
              </w:rPr>
              <w:t xml:space="preserve">. Dieses Amendment erlaubt zunächst nur, sich zu vereinigen. Der Wortlaut ermögliche also nicht, sich zu versammeln. Aber dagegen streitet ein Erst-Recht-Schluss: Wenn eine Vereinigung möglich ist, dann muss eine Versammlung erst recht möglich sein, als eine weniger organisierte Entität. Zugleich kann sich nur mit der Versammlungsfreiheit die Meinungsfreiheit voll entfalten. Weshalb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A86DB0">
              <w:rPr>
                <w:sz w:val="20"/>
                <w:szCs w:val="20"/>
              </w:rPr>
              <w:t xml:space="preserve"> auch die </w:t>
            </w:r>
            <w:r w:rsidRPr="00A86DB0">
              <w:rPr>
                <w:sz w:val="20"/>
                <w:szCs w:val="20"/>
              </w:rPr>
              <w:lastRenderedPageBreak/>
              <w:t>Freiheit gestatten müsse, sich zu versammeln</w:t>
            </w:r>
            <w:r>
              <w:rPr>
                <w:sz w:val="20"/>
                <w:szCs w:val="20"/>
              </w:rPr>
              <w:t xml:space="preserve">, obgleich </w:t>
            </w:r>
            <w:r w:rsidRPr="00A86DB0">
              <w:rPr>
                <w:sz w:val="20"/>
                <w:szCs w:val="20"/>
              </w:rPr>
              <w:t>sein Wortlaut nur die Vereinigung regele.</w:t>
            </w:r>
            <w:r w:rsidRPr="00A86DB0">
              <w:rPr>
                <w:sz w:val="20"/>
                <w:szCs w:val="20"/>
                <w:vertAlign w:val="superscript"/>
              </w:rPr>
              <w:footnoteReference w:id="1265"/>
            </w:r>
            <w:r w:rsidRPr="00A86DB0">
              <w:rPr>
                <w:sz w:val="20"/>
                <w:szCs w:val="20"/>
              </w:rPr>
              <w:t xml:space="preserve"> </w:t>
            </w:r>
            <w:r w:rsidRPr="00B45592">
              <w:rPr>
                <w:sz w:val="20"/>
                <w:szCs w:val="20"/>
                <w:lang w:val="en-IE"/>
              </w:rPr>
              <w:t xml:space="preserve">Dies </w:t>
            </w:r>
            <w:proofErr w:type="spellStart"/>
            <w:r w:rsidRPr="00B45592">
              <w:rPr>
                <w:sz w:val="20"/>
                <w:szCs w:val="20"/>
                <w:lang w:val="en-IE"/>
              </w:rPr>
              <w:t>fasste</w:t>
            </w:r>
            <w:proofErr w:type="spellEnd"/>
            <w:r w:rsidRPr="00B45592">
              <w:rPr>
                <w:sz w:val="20"/>
                <w:szCs w:val="20"/>
                <w:lang w:val="en-IE"/>
              </w:rPr>
              <w:t xml:space="preserve"> der </w:t>
            </w:r>
            <w:r>
              <w:rPr>
                <w:sz w:val="20"/>
                <w:szCs w:val="20"/>
                <w:lang w:val="en-IE"/>
              </w:rPr>
              <w:t>U.S. Supreme Court</w:t>
            </w:r>
            <w:r w:rsidRPr="00B45592">
              <w:rPr>
                <w:sz w:val="20"/>
                <w:szCs w:val="20"/>
                <w:lang w:val="en-IE"/>
              </w:rPr>
              <w:t xml:space="preserve"> in seiner </w:t>
            </w:r>
            <w:r w:rsidRPr="5B67C1D2">
              <w:rPr>
                <w:i/>
                <w:iCs/>
                <w:sz w:val="20"/>
                <w:szCs w:val="20"/>
                <w:lang w:val="en-IE"/>
              </w:rPr>
              <w:t>majority opinion</w:t>
            </w:r>
            <w:r w:rsidRPr="00B45592">
              <w:rPr>
                <w:sz w:val="20"/>
                <w:szCs w:val="20"/>
                <w:lang w:val="en-IE"/>
              </w:rPr>
              <w:t xml:space="preserve"> </w:t>
            </w:r>
            <w:proofErr w:type="spellStart"/>
            <w:r w:rsidRPr="00B45592">
              <w:rPr>
                <w:sz w:val="20"/>
                <w:szCs w:val="20"/>
                <w:lang w:val="en-IE"/>
              </w:rPr>
              <w:t>zusammen</w:t>
            </w:r>
            <w:proofErr w:type="spellEnd"/>
            <w:r w:rsidRPr="00B45592">
              <w:rPr>
                <w:sz w:val="20"/>
                <w:szCs w:val="20"/>
                <w:lang w:val="en-IE"/>
              </w:rPr>
              <w:t>:</w:t>
            </w:r>
          </w:p>
          <w:p w14:paraId="65D99AE1" w14:textId="77777777" w:rsidR="00074551" w:rsidRPr="00B45592" w:rsidRDefault="00074551" w:rsidP="00367133">
            <w:pPr>
              <w:jc w:val="both"/>
              <w:rPr>
                <w:sz w:val="20"/>
                <w:szCs w:val="20"/>
                <w:lang w:val="en-IE"/>
              </w:rPr>
            </w:pPr>
          </w:p>
          <w:p w14:paraId="68179290" w14:textId="77777777" w:rsidR="00074551" w:rsidRPr="00663D11" w:rsidRDefault="5BDDA3A0" w:rsidP="1739998D">
            <w:pPr>
              <w:jc w:val="both"/>
              <w:rPr>
                <w:sz w:val="20"/>
                <w:szCs w:val="20"/>
                <w:lang w:val="en-US"/>
              </w:rPr>
            </w:pPr>
            <w:r w:rsidRPr="1739998D">
              <w:rPr>
                <w:sz w:val="20"/>
                <w:szCs w:val="20"/>
                <w:lang w:val="en-US"/>
              </w:rPr>
              <w:t>„The association of people is not mentioned in the Constitution nor in the </w:t>
            </w:r>
            <w:r w:rsidRPr="1739998D">
              <w:rPr>
                <w:sz w:val="20"/>
                <w:szCs w:val="20"/>
                <w:lang w:val="en-IE"/>
              </w:rPr>
              <w:t>Bill of Rights</w:t>
            </w:r>
            <w:r w:rsidRPr="1739998D">
              <w:rPr>
                <w:sz w:val="20"/>
                <w:szCs w:val="20"/>
                <w:lang w:val="en-US"/>
              </w:rPr>
              <w:t xml:space="preserve">. The right to educate a child in a school of the parents’ choice – whether public or private or parochial – is also not mentioned. Nor is the right to study any </w:t>
            </w:r>
            <w:proofErr w:type="gramStart"/>
            <w:r w:rsidRPr="1739998D">
              <w:rPr>
                <w:sz w:val="20"/>
                <w:szCs w:val="20"/>
                <w:lang w:val="en-US"/>
              </w:rPr>
              <w:t>particular subject</w:t>
            </w:r>
            <w:proofErr w:type="gramEnd"/>
            <w:r w:rsidRPr="1739998D">
              <w:rPr>
                <w:sz w:val="20"/>
                <w:szCs w:val="20"/>
                <w:lang w:val="en-US"/>
              </w:rPr>
              <w:t xml:space="preserve"> or any foreign language. Yet the </w:t>
            </w:r>
            <w:r w:rsidRPr="1739998D">
              <w:rPr>
                <w:sz w:val="20"/>
                <w:szCs w:val="20"/>
                <w:lang w:val="en-IE"/>
              </w:rPr>
              <w:t>First Amendm</w:t>
            </w:r>
            <w:r w:rsidRPr="1739998D">
              <w:rPr>
                <w:lang w:val="en-IE"/>
              </w:rPr>
              <w:t>ent</w:t>
            </w:r>
            <w:r w:rsidRPr="1739998D">
              <w:rPr>
                <w:sz w:val="20"/>
                <w:szCs w:val="20"/>
                <w:lang w:val="en-US"/>
              </w:rPr>
              <w:t xml:space="preserve"> has been construed to include certain of those </w:t>
            </w:r>
            <w:proofErr w:type="gramStart"/>
            <w:r w:rsidRPr="1739998D">
              <w:rPr>
                <w:sz w:val="20"/>
                <w:szCs w:val="20"/>
                <w:lang w:val="en-US"/>
              </w:rPr>
              <w:t>rights.“</w:t>
            </w:r>
            <w:proofErr w:type="gramEnd"/>
            <w:r w:rsidR="00074551" w:rsidRPr="1739998D">
              <w:rPr>
                <w:sz w:val="20"/>
                <w:szCs w:val="20"/>
                <w:vertAlign w:val="superscript"/>
                <w:lang w:val="en-US"/>
              </w:rPr>
              <w:footnoteReference w:id="1266"/>
            </w:r>
          </w:p>
          <w:p w14:paraId="6B5E7C92" w14:textId="77777777" w:rsidR="00074551" w:rsidRPr="00A86DB0" w:rsidRDefault="00074551" w:rsidP="00367133">
            <w:pPr>
              <w:jc w:val="both"/>
              <w:rPr>
                <w:bCs/>
                <w:sz w:val="20"/>
                <w:szCs w:val="20"/>
                <w:lang w:val="x-none"/>
              </w:rPr>
            </w:pPr>
          </w:p>
          <w:p w14:paraId="22DDDA36" w14:textId="77777777" w:rsidR="00074551" w:rsidRDefault="5BDDA3A0" w:rsidP="00367133">
            <w:pPr>
              <w:jc w:val="both"/>
              <w:rPr>
                <w:sz w:val="20"/>
                <w:szCs w:val="20"/>
              </w:rPr>
            </w:pPr>
            <w:proofErr w:type="spellStart"/>
            <w:r w:rsidRPr="5B67C1D2">
              <w:rPr>
                <w:sz w:val="20"/>
                <w:szCs w:val="20"/>
                <w:lang w:val="en-US"/>
              </w:rPr>
              <w:t>Zudem</w:t>
            </w:r>
            <w:proofErr w:type="spellEnd"/>
            <w:r w:rsidRPr="5B67C1D2">
              <w:rPr>
                <w:sz w:val="20"/>
                <w:szCs w:val="20"/>
                <w:lang w:val="en-US"/>
              </w:rPr>
              <w:t xml:space="preserve"> </w:t>
            </w:r>
            <w:proofErr w:type="spellStart"/>
            <w:r w:rsidRPr="5B67C1D2">
              <w:rPr>
                <w:sz w:val="20"/>
                <w:szCs w:val="20"/>
                <w:lang w:val="en-US"/>
              </w:rPr>
              <w:t>bedarf</w:t>
            </w:r>
            <w:proofErr w:type="spellEnd"/>
            <w:r w:rsidRPr="00A86DB0">
              <w:rPr>
                <w:sz w:val="20"/>
                <w:szCs w:val="20"/>
              </w:rPr>
              <w:t xml:space="preserve"> im Rahmen der Sozialsphäre einer Versammlung – aufgrund des </w:t>
            </w:r>
            <w:r>
              <w:rPr>
                <w:sz w:val="20"/>
                <w:szCs w:val="20"/>
              </w:rPr>
              <w:t>öffentlichen</w:t>
            </w:r>
            <w:r w:rsidRPr="00A86DB0">
              <w:rPr>
                <w:sz w:val="20"/>
                <w:szCs w:val="20"/>
              </w:rPr>
              <w:t xml:space="preserve"> Charakters – eine Durchsuchung und Beschlagnahm</w:t>
            </w:r>
            <w:r>
              <w:rPr>
                <w:sz w:val="20"/>
                <w:szCs w:val="20"/>
              </w:rPr>
              <w:t>ung</w:t>
            </w:r>
            <w:r w:rsidRPr="00A86DB0">
              <w:rPr>
                <w:sz w:val="20"/>
                <w:szCs w:val="20"/>
              </w:rPr>
              <w:t xml:space="preserve"> einer spezifischen Abwägung. Die laute: Je </w:t>
            </w:r>
            <w:r>
              <w:rPr>
                <w:sz w:val="20"/>
                <w:szCs w:val="20"/>
              </w:rPr>
              <w:t>öffentlicher</w:t>
            </w:r>
            <w:r w:rsidRPr="00A86DB0">
              <w:rPr>
                <w:sz w:val="20"/>
                <w:szCs w:val="20"/>
              </w:rPr>
              <w:t xml:space="preserve"> die Sphäre, desto stärker lässt sich das absolute Recht des Strebens nach Glück einschränken.</w:t>
            </w:r>
            <w:r w:rsidR="00074551" w:rsidRPr="00A86DB0">
              <w:rPr>
                <w:sz w:val="20"/>
                <w:szCs w:val="20"/>
                <w:vertAlign w:val="superscript"/>
              </w:rPr>
              <w:footnoteReference w:id="1267"/>
            </w:r>
            <w:r w:rsidRPr="00A86DB0">
              <w:rPr>
                <w:sz w:val="20"/>
                <w:szCs w:val="20"/>
              </w:rPr>
              <w:t xml:space="preserve"> Denn es entfernt sich vom Kernbereich des Rechts, </w:t>
            </w:r>
            <w:r>
              <w:rPr>
                <w:sz w:val="20"/>
                <w:szCs w:val="20"/>
              </w:rPr>
              <w:t>in Ruhe</w:t>
            </w:r>
            <w:r w:rsidRPr="00A86DB0">
              <w:rPr>
                <w:sz w:val="20"/>
                <w:szCs w:val="20"/>
              </w:rPr>
              <w:t xml:space="preserve"> gelassen zu werden.</w:t>
            </w:r>
          </w:p>
          <w:p w14:paraId="3409161F" w14:textId="77777777" w:rsidR="00074551" w:rsidRPr="00A86DB0" w:rsidRDefault="00074551" w:rsidP="00367133">
            <w:pPr>
              <w:jc w:val="both"/>
              <w:rPr>
                <w:sz w:val="20"/>
                <w:szCs w:val="20"/>
              </w:rPr>
            </w:pPr>
          </w:p>
          <w:p w14:paraId="5BA26832" w14:textId="6C025595" w:rsidR="00074551" w:rsidRDefault="5BDDA3A0" w:rsidP="00367133">
            <w:pPr>
              <w:jc w:val="both"/>
              <w:rPr>
                <w:sz w:val="20"/>
                <w:szCs w:val="20"/>
                <w:lang w:val="en-US"/>
              </w:rPr>
            </w:pPr>
            <w:r w:rsidRPr="00A86DB0">
              <w:rPr>
                <w:sz w:val="20"/>
                <w:szCs w:val="20"/>
              </w:rPr>
              <w:t>Die weitere „</w:t>
            </w:r>
            <w:proofErr w:type="spellStart"/>
            <w:r w:rsidRPr="1739998D">
              <w:rPr>
                <w:sz w:val="20"/>
                <w:szCs w:val="20"/>
              </w:rPr>
              <w:t>zone</w:t>
            </w:r>
            <w:proofErr w:type="spellEnd"/>
            <w:r w:rsidRPr="1739998D">
              <w:rPr>
                <w:sz w:val="20"/>
                <w:szCs w:val="20"/>
              </w:rPr>
              <w:t xml:space="preserve"> of </w:t>
            </w:r>
            <w:proofErr w:type="spellStart"/>
            <w:r w:rsidRPr="1739998D">
              <w:rPr>
                <w:sz w:val="20"/>
                <w:szCs w:val="20"/>
              </w:rPr>
              <w:t>privacy</w:t>
            </w:r>
            <w:proofErr w:type="spellEnd"/>
            <w:r w:rsidRPr="1739998D">
              <w:rPr>
                <w:sz w:val="20"/>
                <w:szCs w:val="20"/>
              </w:rPr>
              <w:t>“</w:t>
            </w:r>
            <w:r w:rsidRPr="00A86DB0">
              <w:rPr>
                <w:sz w:val="20"/>
                <w:szCs w:val="20"/>
                <w:vertAlign w:val="superscript"/>
              </w:rPr>
              <w:t xml:space="preserve"> </w:t>
            </w:r>
            <w:r w:rsidR="00074551" w:rsidRPr="00A86DB0">
              <w:rPr>
                <w:sz w:val="20"/>
                <w:szCs w:val="20"/>
                <w:vertAlign w:val="superscript"/>
              </w:rPr>
              <w:footnoteReference w:id="1268"/>
            </w:r>
            <w:r w:rsidRPr="00A86DB0">
              <w:rPr>
                <w:sz w:val="20"/>
                <w:szCs w:val="20"/>
              </w:rPr>
              <w:t xml:space="preserve"> beschreibt diesen Kern der Privatsphäre. Der hängt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III, IV, V, IX</w:t>
            </w:r>
            <w:r w:rsidRPr="00A86DB0">
              <w:rPr>
                <w:sz w:val="20"/>
                <w:szCs w:val="20"/>
              </w:rPr>
              <w:t xml:space="preserve"> zusammen.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III</w:t>
            </w:r>
            <w:r w:rsidRPr="00A86DB0">
              <w:rPr>
                <w:sz w:val="20"/>
                <w:szCs w:val="20"/>
              </w:rPr>
              <w:t xml:space="preserve"> dient als genereller Gedanke für Schutz vor staatlichen Eingriffen. </w:t>
            </w:r>
            <w:r w:rsidRPr="00A86DB0">
              <w:rPr>
                <w:sz w:val="20"/>
                <w:szCs w:val="20"/>
                <w:lang w:val="en-US"/>
              </w:rPr>
              <w:t xml:space="preserve">Es </w:t>
            </w:r>
            <w:proofErr w:type="spellStart"/>
            <w:r w:rsidRPr="00A86DB0">
              <w:rPr>
                <w:sz w:val="20"/>
                <w:szCs w:val="20"/>
                <w:lang w:val="en-US"/>
              </w:rPr>
              <w:t>setzt</w:t>
            </w:r>
            <w:proofErr w:type="spellEnd"/>
            <w:r w:rsidRPr="00A86DB0">
              <w:rPr>
                <w:sz w:val="20"/>
                <w:szCs w:val="20"/>
                <w:lang w:val="en-US"/>
              </w:rPr>
              <w:t xml:space="preserve"> </w:t>
            </w:r>
            <w:proofErr w:type="spellStart"/>
            <w:r w:rsidRPr="00A86DB0">
              <w:rPr>
                <w:sz w:val="20"/>
                <w:szCs w:val="20"/>
                <w:lang w:val="en-US"/>
              </w:rPr>
              <w:t>voraus</w:t>
            </w:r>
            <w:proofErr w:type="spellEnd"/>
            <w:r w:rsidRPr="00A86DB0">
              <w:rPr>
                <w:sz w:val="20"/>
                <w:szCs w:val="20"/>
                <w:lang w:val="en-US"/>
              </w:rPr>
              <w:t xml:space="preserve">: </w:t>
            </w:r>
            <w:r>
              <w:rPr>
                <w:sz w:val="20"/>
                <w:szCs w:val="20"/>
                <w:lang w:val="en-US"/>
              </w:rPr>
              <w:t>„</w:t>
            </w:r>
            <w:r w:rsidRPr="00A86DB0">
              <w:rPr>
                <w:sz w:val="20"/>
                <w:szCs w:val="20"/>
                <w:lang w:val="en-US"/>
              </w:rPr>
              <w:t xml:space="preserve">No Soldier shall, in time of peace be quartered in any house, without the consent of the Owner, nor in time of war, but in a manner to be prescribed by </w:t>
            </w:r>
            <w:proofErr w:type="gramStart"/>
            <w:r w:rsidRPr="00A86DB0">
              <w:rPr>
                <w:sz w:val="20"/>
                <w:szCs w:val="20"/>
                <w:lang w:val="en-US"/>
              </w:rPr>
              <w:t>law.</w:t>
            </w:r>
            <w:r>
              <w:rPr>
                <w:sz w:val="20"/>
                <w:szCs w:val="20"/>
                <w:lang w:val="en-US"/>
              </w:rPr>
              <w:t>“</w:t>
            </w:r>
            <w:proofErr w:type="gramEnd"/>
            <w:r w:rsidR="00074551" w:rsidRPr="00A86DB0">
              <w:rPr>
                <w:sz w:val="20"/>
                <w:szCs w:val="20"/>
                <w:vertAlign w:val="superscript"/>
                <w:lang w:val="en-US"/>
              </w:rPr>
              <w:footnoteReference w:id="1269"/>
            </w:r>
            <w:r w:rsidRPr="00A86DB0">
              <w:rPr>
                <w:sz w:val="20"/>
                <w:szCs w:val="20"/>
                <w:lang w:val="en-US"/>
              </w:rPr>
              <w:t xml:space="preserve"> Und </w:t>
            </w:r>
            <w:r w:rsidR="00023A37">
              <w:rPr>
                <w:sz w:val="20"/>
                <w:szCs w:val="20"/>
                <w:lang w:val="en-US"/>
              </w:rPr>
              <w:t>U.S. Const. amend. IV</w:t>
            </w:r>
            <w:r w:rsidRPr="00A86DB0">
              <w:rPr>
                <w:sz w:val="20"/>
                <w:szCs w:val="20"/>
                <w:lang w:val="en-US"/>
              </w:rPr>
              <w:t xml:space="preserve"> </w:t>
            </w:r>
            <w:proofErr w:type="spellStart"/>
            <w:r w:rsidRPr="00A86DB0">
              <w:rPr>
                <w:sz w:val="20"/>
                <w:szCs w:val="20"/>
                <w:lang w:val="en-US"/>
              </w:rPr>
              <w:t>setzt</w:t>
            </w:r>
            <w:proofErr w:type="spellEnd"/>
            <w:r w:rsidRPr="00A86DB0">
              <w:rPr>
                <w:sz w:val="20"/>
                <w:szCs w:val="20"/>
                <w:lang w:val="en-US"/>
              </w:rPr>
              <w:t xml:space="preserve"> </w:t>
            </w:r>
            <w:proofErr w:type="spellStart"/>
            <w:r w:rsidRPr="00A86DB0">
              <w:rPr>
                <w:sz w:val="20"/>
                <w:szCs w:val="20"/>
                <w:lang w:val="en-US"/>
              </w:rPr>
              <w:t>ergänzend</w:t>
            </w:r>
            <w:proofErr w:type="spellEnd"/>
            <w:r w:rsidRPr="00A86DB0">
              <w:rPr>
                <w:sz w:val="20"/>
                <w:szCs w:val="20"/>
                <w:lang w:val="en-US"/>
              </w:rPr>
              <w:t xml:space="preserve"> </w:t>
            </w:r>
            <w:proofErr w:type="spellStart"/>
            <w:r w:rsidRPr="00A86DB0">
              <w:rPr>
                <w:sz w:val="20"/>
                <w:szCs w:val="20"/>
                <w:lang w:val="en-US"/>
              </w:rPr>
              <w:t>voraus</w:t>
            </w:r>
            <w:proofErr w:type="spellEnd"/>
            <w:r w:rsidRPr="00A86DB0">
              <w:rPr>
                <w:sz w:val="20"/>
                <w:szCs w:val="20"/>
                <w:lang w:val="en-US"/>
              </w:rPr>
              <w:t xml:space="preserve">: „The </w:t>
            </w:r>
            <w:r w:rsidRPr="1739998D">
              <w:rPr>
                <w:sz w:val="20"/>
                <w:szCs w:val="20"/>
                <w:lang w:val="en-US"/>
              </w:rPr>
              <w:t xml:space="preserve">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w:t>
            </w:r>
            <w:proofErr w:type="gramStart"/>
            <w:r w:rsidRPr="1739998D">
              <w:rPr>
                <w:sz w:val="20"/>
                <w:szCs w:val="20"/>
                <w:lang w:val="en-US"/>
              </w:rPr>
              <w:t>seized.“</w:t>
            </w:r>
            <w:proofErr w:type="gramEnd"/>
            <w:r w:rsidRPr="00A86DB0">
              <w:rPr>
                <w:sz w:val="20"/>
                <w:szCs w:val="20"/>
                <w:vertAlign w:val="superscript"/>
                <w:lang w:val="en-US"/>
              </w:rPr>
              <w:t xml:space="preserve"> </w:t>
            </w:r>
            <w:r w:rsidR="00074551" w:rsidRPr="00A86DB0">
              <w:rPr>
                <w:sz w:val="20"/>
                <w:szCs w:val="20"/>
                <w:vertAlign w:val="superscript"/>
                <w:lang w:val="en-US"/>
              </w:rPr>
              <w:footnoteReference w:id="1270"/>
            </w:r>
            <w:r w:rsidRPr="00A86DB0">
              <w:rPr>
                <w:sz w:val="20"/>
                <w:szCs w:val="20"/>
                <w:lang w:val="en-US"/>
              </w:rPr>
              <w:t xml:space="preserve"> </w:t>
            </w:r>
            <w:r w:rsidRPr="00A86DB0">
              <w:rPr>
                <w:sz w:val="20"/>
                <w:szCs w:val="20"/>
              </w:rPr>
              <w:t>Beide Wortlaute schützen i</w:t>
            </w:r>
            <w:r w:rsidR="4AC9F47A" w:rsidRPr="1739998D">
              <w:rPr>
                <w:sz w:val="20"/>
                <w:szCs w:val="20"/>
              </w:rPr>
              <w:t xml:space="preserve">m </w:t>
            </w:r>
            <w:r w:rsidRPr="1739998D">
              <w:rPr>
                <w:sz w:val="20"/>
                <w:szCs w:val="20"/>
              </w:rPr>
              <w:t>E</w:t>
            </w:r>
            <w:r w:rsidR="122A7D77" w:rsidRPr="1739998D">
              <w:rPr>
                <w:sz w:val="20"/>
                <w:szCs w:val="20"/>
              </w:rPr>
              <w:t>rgebnis</w:t>
            </w:r>
            <w:r w:rsidRPr="1739998D">
              <w:rPr>
                <w:sz w:val="20"/>
                <w:szCs w:val="20"/>
              </w:rPr>
              <w:t xml:space="preserve"> vor einem unrechtmäßigen Hausfriedensbruch von staatlicher Seite. Und über seinen Wortlaut hinaus schützt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1739998D">
              <w:rPr>
                <w:sz w:val="20"/>
                <w:szCs w:val="20"/>
              </w:rPr>
              <w:t xml:space="preserve"> auch grundsätzlich vor unangemessenen staatlichen Eingriffen in die Privatsphäre („</w:t>
            </w:r>
            <w:proofErr w:type="spellStart"/>
            <w:r w:rsidRPr="1739998D">
              <w:rPr>
                <w:sz w:val="20"/>
                <w:szCs w:val="20"/>
              </w:rPr>
              <w:t>protected</w:t>
            </w:r>
            <w:proofErr w:type="spellEnd"/>
            <w:r w:rsidRPr="1739998D">
              <w:rPr>
                <w:sz w:val="20"/>
                <w:szCs w:val="20"/>
              </w:rPr>
              <w:t xml:space="preserve"> </w:t>
            </w:r>
            <w:proofErr w:type="spellStart"/>
            <w:r w:rsidRPr="1739998D">
              <w:rPr>
                <w:sz w:val="20"/>
                <w:szCs w:val="20"/>
              </w:rPr>
              <w:t>from</w:t>
            </w:r>
            <w:proofErr w:type="spellEnd"/>
            <w:r w:rsidRPr="1739998D">
              <w:rPr>
                <w:sz w:val="20"/>
                <w:szCs w:val="20"/>
              </w:rPr>
              <w:t xml:space="preserve"> </w:t>
            </w:r>
            <w:proofErr w:type="spellStart"/>
            <w:r w:rsidRPr="1739998D">
              <w:rPr>
                <w:sz w:val="20"/>
                <w:szCs w:val="20"/>
              </w:rPr>
              <w:t>official</w:t>
            </w:r>
            <w:proofErr w:type="spellEnd"/>
            <w:r w:rsidRPr="1739998D">
              <w:rPr>
                <w:sz w:val="20"/>
                <w:szCs w:val="20"/>
              </w:rPr>
              <w:t xml:space="preserve"> </w:t>
            </w:r>
            <w:proofErr w:type="spellStart"/>
            <w:r w:rsidRPr="1739998D">
              <w:rPr>
                <w:sz w:val="20"/>
                <w:szCs w:val="20"/>
              </w:rPr>
              <w:t>intrusion</w:t>
            </w:r>
            <w:proofErr w:type="spellEnd"/>
            <w:r w:rsidRPr="1739998D">
              <w:rPr>
                <w:sz w:val="20"/>
                <w:szCs w:val="20"/>
              </w:rPr>
              <w:t>“</w:t>
            </w:r>
            <w:r w:rsidR="00074551" w:rsidRPr="1739998D">
              <w:rPr>
                <w:sz w:val="20"/>
                <w:szCs w:val="20"/>
                <w:vertAlign w:val="superscript"/>
              </w:rPr>
              <w:footnoteReference w:id="1271"/>
            </w:r>
            <w:r w:rsidRPr="1739998D">
              <w:rPr>
                <w:sz w:val="20"/>
                <w:szCs w:val="20"/>
              </w:rPr>
              <w:t>). Dabei erklärt der U.S. Supreme Court weiter: Die Privatsphäre definiere sich nicht bloß über den Bereich des Eigentums oder des Besitzes als Schutz gegen staatliche Eingriffe. Sonst wäre sie abhängig von differierenden Wohlständen.</w:t>
            </w:r>
            <w:r w:rsidR="00074551" w:rsidRPr="1739998D">
              <w:rPr>
                <w:sz w:val="20"/>
                <w:szCs w:val="20"/>
                <w:vertAlign w:val="superscript"/>
              </w:rPr>
              <w:footnoteReference w:id="1272"/>
            </w:r>
            <w:r w:rsidRPr="1739998D">
              <w:rPr>
                <w:sz w:val="20"/>
                <w:szCs w:val="20"/>
              </w:rPr>
              <w:t xml:space="preserve"> Die Privatsphäre soll sich in allen Lebenszuschnitten aufbauen können, denn sie ist nicht eigentumszentriert, sondern abhängig von den Handlungen des Individuums. Der Maßstab, wie weit diese Handlungsräume reichen, hänge zusammengefasst von der folgenden Abwägung ab: Wie weit kann der Zweck eines staatlichen Eingriffs die Einschränkung der </w:t>
            </w:r>
            <w:r w:rsidRPr="1739998D">
              <w:rPr>
                <w:sz w:val="20"/>
                <w:szCs w:val="20"/>
              </w:rPr>
              <w:lastRenderedPageBreak/>
              <w:t xml:space="preserve">Bedingungen für ein Streben nach Glück rechtfertigen (sog. </w:t>
            </w:r>
            <w:r w:rsidRPr="1739998D">
              <w:rPr>
                <w:sz w:val="20"/>
                <w:szCs w:val="20"/>
                <w:lang w:val="en-US"/>
              </w:rPr>
              <w:t>„theory that it was essential to securing conditions favorable to the pursuit of happiness“</w:t>
            </w:r>
            <w:r w:rsidR="00074551" w:rsidRPr="1739998D">
              <w:rPr>
                <w:sz w:val="20"/>
                <w:szCs w:val="20"/>
                <w:vertAlign w:val="superscript"/>
              </w:rPr>
              <w:footnoteReference w:id="1273"/>
            </w:r>
            <w:r w:rsidRPr="1739998D">
              <w:rPr>
                <w:sz w:val="20"/>
                <w:szCs w:val="20"/>
                <w:lang w:val="en-US"/>
              </w:rPr>
              <w:t xml:space="preserve">). </w:t>
            </w:r>
            <w:r w:rsidRPr="1739998D">
              <w:rPr>
                <w:sz w:val="20"/>
                <w:szCs w:val="20"/>
              </w:rPr>
              <w:t xml:space="preserve">Doch wie sind die Privatsphäre und das </w:t>
            </w:r>
            <w:proofErr w:type="spellStart"/>
            <w:r w:rsidRPr="1739998D">
              <w:rPr>
                <w:i/>
                <w:iCs/>
                <w:sz w:val="20"/>
                <w:szCs w:val="20"/>
              </w:rPr>
              <w:t>pursuit</w:t>
            </w:r>
            <w:proofErr w:type="spellEnd"/>
            <w:r w:rsidRPr="1739998D">
              <w:rPr>
                <w:i/>
                <w:iCs/>
                <w:sz w:val="20"/>
                <w:szCs w:val="20"/>
              </w:rPr>
              <w:t xml:space="preserve"> of Happiness</w:t>
            </w:r>
            <w:r w:rsidRPr="1739998D">
              <w:rPr>
                <w:sz w:val="20"/>
                <w:szCs w:val="20"/>
              </w:rPr>
              <w:t xml:space="preserve"> dabei ganz genau verbunden? Das lässt sich anhand eines Falls zeigen: Inwieweit kann der Staat die Zelle eines Häftlings („</w:t>
            </w:r>
            <w:proofErr w:type="spellStart"/>
            <w:r w:rsidRPr="1739998D">
              <w:rPr>
                <w:sz w:val="20"/>
                <w:szCs w:val="20"/>
              </w:rPr>
              <w:t>zone</w:t>
            </w:r>
            <w:proofErr w:type="spellEnd"/>
            <w:r w:rsidRPr="1739998D">
              <w:rPr>
                <w:sz w:val="20"/>
                <w:szCs w:val="20"/>
              </w:rPr>
              <w:t xml:space="preserve"> of </w:t>
            </w:r>
            <w:proofErr w:type="spellStart"/>
            <w:r w:rsidRPr="1739998D">
              <w:rPr>
                <w:sz w:val="20"/>
                <w:szCs w:val="20"/>
              </w:rPr>
              <w:t>privacy</w:t>
            </w:r>
            <w:proofErr w:type="spellEnd"/>
            <w:r w:rsidRPr="1739998D">
              <w:rPr>
                <w:sz w:val="20"/>
                <w:szCs w:val="20"/>
              </w:rPr>
              <w:t>“</w:t>
            </w:r>
            <w:r w:rsidR="00074551" w:rsidRPr="1739998D">
              <w:rPr>
                <w:sz w:val="20"/>
                <w:szCs w:val="20"/>
                <w:vertAlign w:val="superscript"/>
              </w:rPr>
              <w:footnoteReference w:id="1274"/>
            </w:r>
            <w:r w:rsidRPr="1739998D">
              <w:rPr>
                <w:sz w:val="20"/>
                <w:szCs w:val="20"/>
              </w:rPr>
              <w:t>) durchsuchen und dann einen Zufallsfund beschlagnahmen – z.B. ein zerstörtes Kissen – und zuletzt wegen des Zufallsfunds einen Schadensersatz beanspruchen; war eine derartige Durchsuchung verfassungsgemäß? Zwar wird einem Häftling auch eine Privat- und Intimsphäre zugesichert. Die leite sich ab aus der Menschenwürde („</w:t>
            </w:r>
            <w:proofErr w:type="spellStart"/>
            <w:r w:rsidRPr="1739998D">
              <w:rPr>
                <w:sz w:val="20"/>
                <w:szCs w:val="20"/>
              </w:rPr>
              <w:t>respect</w:t>
            </w:r>
            <w:proofErr w:type="spellEnd"/>
            <w:r w:rsidRPr="1739998D">
              <w:rPr>
                <w:sz w:val="20"/>
                <w:szCs w:val="20"/>
              </w:rPr>
              <w:t xml:space="preserve"> the </w:t>
            </w:r>
            <w:proofErr w:type="spellStart"/>
            <w:r w:rsidRPr="1739998D">
              <w:rPr>
                <w:sz w:val="20"/>
                <w:szCs w:val="20"/>
              </w:rPr>
              <w:t>dignity</w:t>
            </w:r>
            <w:proofErr w:type="spellEnd"/>
            <w:r w:rsidRPr="1739998D">
              <w:rPr>
                <w:sz w:val="20"/>
                <w:szCs w:val="20"/>
              </w:rPr>
              <w:t>“</w:t>
            </w:r>
            <w:r w:rsidR="00074551" w:rsidRPr="1739998D">
              <w:rPr>
                <w:sz w:val="20"/>
                <w:szCs w:val="20"/>
                <w:vertAlign w:val="superscript"/>
              </w:rPr>
              <w:footnoteReference w:id="1275"/>
            </w:r>
            <w:r w:rsidRPr="1739998D">
              <w:rPr>
                <w:sz w:val="20"/>
                <w:szCs w:val="20"/>
              </w:rPr>
              <w:t xml:space="preserve">) und daraus, dass sich Freiheitsentzug und die Freiheit, nach Glück streben zu können, nicht ausschließen („not </w:t>
            </w:r>
            <w:proofErr w:type="spellStart"/>
            <w:r w:rsidRPr="1739998D">
              <w:rPr>
                <w:sz w:val="20"/>
                <w:szCs w:val="20"/>
              </w:rPr>
              <w:t>mutually</w:t>
            </w:r>
            <w:proofErr w:type="spellEnd"/>
            <w:r w:rsidRPr="1739998D">
              <w:rPr>
                <w:sz w:val="20"/>
                <w:szCs w:val="20"/>
              </w:rPr>
              <w:t xml:space="preserve"> </w:t>
            </w:r>
            <w:proofErr w:type="spellStart"/>
            <w:r w:rsidRPr="1739998D">
              <w:rPr>
                <w:sz w:val="20"/>
                <w:szCs w:val="20"/>
              </w:rPr>
              <w:t>exclusive</w:t>
            </w:r>
            <w:proofErr w:type="spellEnd"/>
            <w:r w:rsidRPr="1739998D">
              <w:rPr>
                <w:sz w:val="20"/>
                <w:szCs w:val="20"/>
              </w:rPr>
              <w:t xml:space="preserve"> </w:t>
            </w:r>
            <w:proofErr w:type="spellStart"/>
            <w:r w:rsidRPr="1739998D">
              <w:rPr>
                <w:sz w:val="20"/>
                <w:szCs w:val="20"/>
              </w:rPr>
              <w:t>concepts</w:t>
            </w:r>
            <w:proofErr w:type="spellEnd"/>
            <w:r w:rsidRPr="1739998D">
              <w:rPr>
                <w:sz w:val="20"/>
                <w:szCs w:val="20"/>
              </w:rPr>
              <w:t>“</w:t>
            </w:r>
            <w:r w:rsidR="00074551" w:rsidRPr="1739998D">
              <w:rPr>
                <w:sz w:val="20"/>
                <w:szCs w:val="20"/>
                <w:vertAlign w:val="superscript"/>
              </w:rPr>
              <w:footnoteReference w:id="1276"/>
            </w:r>
            <w:r w:rsidRPr="1739998D">
              <w:rPr>
                <w:sz w:val="20"/>
                <w:szCs w:val="20"/>
              </w:rPr>
              <w:t>). Aber die Freiheit auf ein Streben nach Glück in Form der Privatsphäre könne wiederum durch andere Verfassungsgüter eingeschränkt werden – hier die ordnungsgemäße Verwaltung der Haftanstalt, die Sicherheit der Einrichtung, ihrer Mithäftlinge und der Gefängniswärter.</w:t>
            </w:r>
            <w:r w:rsidR="00074551" w:rsidRPr="1739998D">
              <w:rPr>
                <w:sz w:val="20"/>
                <w:szCs w:val="20"/>
                <w:vertAlign w:val="superscript"/>
              </w:rPr>
              <w:footnoteReference w:id="1277"/>
            </w:r>
            <w:r w:rsidRPr="1739998D">
              <w:rPr>
                <w:sz w:val="20"/>
                <w:szCs w:val="20"/>
              </w:rPr>
              <w:t xml:space="preserve"> Und ein weiteres Beispiel für die Verbindung zwischen dem </w:t>
            </w:r>
            <w:proofErr w:type="spellStart"/>
            <w:r w:rsidRPr="1739998D">
              <w:rPr>
                <w:i/>
                <w:iCs/>
                <w:sz w:val="20"/>
                <w:szCs w:val="20"/>
              </w:rPr>
              <w:t>pursuit</w:t>
            </w:r>
            <w:proofErr w:type="spellEnd"/>
            <w:r w:rsidRPr="1739998D">
              <w:rPr>
                <w:i/>
                <w:iCs/>
                <w:sz w:val="20"/>
                <w:szCs w:val="20"/>
              </w:rPr>
              <w:t xml:space="preserve"> of Happiness</w:t>
            </w:r>
            <w:r w:rsidRPr="1739998D">
              <w:rPr>
                <w:sz w:val="20"/>
                <w:szCs w:val="20"/>
              </w:rPr>
              <w:t xml:space="preserve"> und der Privatsphäre zeigt sich bei der Abhörung von Telefongesprächen: Dabei revidierte der U.S. Supreme Court in </w:t>
            </w:r>
            <w:r w:rsidRPr="1739998D">
              <w:rPr>
                <w:i/>
                <w:iCs/>
                <w:sz w:val="20"/>
                <w:szCs w:val="20"/>
              </w:rPr>
              <w:t>Katz v. United States</w:t>
            </w:r>
            <w:r w:rsidR="00074551" w:rsidRPr="1739998D">
              <w:rPr>
                <w:sz w:val="20"/>
                <w:szCs w:val="20"/>
                <w:vertAlign w:val="superscript"/>
              </w:rPr>
              <w:footnoteReference w:id="1278"/>
            </w:r>
            <w:r w:rsidRPr="1739998D">
              <w:rPr>
                <w:sz w:val="20"/>
                <w:szCs w:val="20"/>
              </w:rPr>
              <w:t xml:space="preserve"> seine Entscheidung, die er in </w:t>
            </w:r>
            <w:r w:rsidRPr="1739998D">
              <w:rPr>
                <w:i/>
                <w:iCs/>
                <w:sz w:val="20"/>
                <w:szCs w:val="20"/>
              </w:rPr>
              <w:t>Olmstead v. United States</w:t>
            </w:r>
            <w:r w:rsidRPr="1739998D">
              <w:rPr>
                <w:sz w:val="20"/>
                <w:szCs w:val="20"/>
              </w:rPr>
              <w:t xml:space="preserve"> zum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1739998D">
              <w:rPr>
                <w:sz w:val="20"/>
                <w:szCs w:val="20"/>
              </w:rPr>
              <w:t xml:space="preserve"> traf.</w:t>
            </w:r>
            <w:r w:rsidR="00074551" w:rsidRPr="1739998D">
              <w:rPr>
                <w:sz w:val="20"/>
                <w:szCs w:val="20"/>
                <w:vertAlign w:val="superscript"/>
              </w:rPr>
              <w:footnoteReference w:id="1279"/>
            </w:r>
            <w:r w:rsidRPr="1739998D">
              <w:rPr>
                <w:sz w:val="20"/>
                <w:szCs w:val="20"/>
              </w:rPr>
              <w:t xml:space="preserve"> Der U.S. Supreme Court vertrat nunmehr, eine Person könne sich gegen eine Abhörung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1739998D">
              <w:rPr>
                <w:sz w:val="20"/>
                <w:szCs w:val="20"/>
              </w:rPr>
              <w:t xml:space="preserve"> wehren, obgleich der Wortlaut des Amendments nur den Zutritt zum Grundstück untersage. Doch der Sinn und Zweck solle auch gegen unrechtmäßige Abhörungen schützen. Denn der Staat würde mit einer Abhörung faktisch das Grundstück betreten. Diese Wortlauterweiterung von Zutrittsverbot zu Abhörschutz ergebe sich aus den Bedingungen für ein Streben nach Glück. Dafür liefere der Dissens in </w:t>
            </w:r>
            <w:r w:rsidRPr="1739998D">
              <w:rPr>
                <w:i/>
                <w:iCs/>
                <w:sz w:val="20"/>
                <w:szCs w:val="20"/>
              </w:rPr>
              <w:t>Olmstead v. United States</w:t>
            </w:r>
            <w:r w:rsidRPr="1739998D">
              <w:rPr>
                <w:sz w:val="20"/>
                <w:szCs w:val="20"/>
              </w:rPr>
              <w:t xml:space="preserve"> das dogmatische Fundament für </w:t>
            </w:r>
            <w:r w:rsidRPr="1739998D">
              <w:rPr>
                <w:i/>
                <w:iCs/>
                <w:sz w:val="20"/>
                <w:szCs w:val="20"/>
              </w:rPr>
              <w:t>Katz</w:t>
            </w:r>
            <w:r w:rsidRPr="1739998D">
              <w:rPr>
                <w:sz w:val="20"/>
                <w:szCs w:val="20"/>
              </w:rPr>
              <w:t xml:space="preserve">. </w:t>
            </w:r>
            <w:r w:rsidRPr="1739998D">
              <w:rPr>
                <w:sz w:val="20"/>
                <w:szCs w:val="20"/>
                <w:lang w:val="en-US"/>
              </w:rPr>
              <w:t xml:space="preserve">Es </w:t>
            </w:r>
            <w:proofErr w:type="spellStart"/>
            <w:r w:rsidRPr="1739998D">
              <w:rPr>
                <w:sz w:val="20"/>
                <w:szCs w:val="20"/>
                <w:lang w:val="en-US"/>
              </w:rPr>
              <w:t>laute</w:t>
            </w:r>
            <w:proofErr w:type="spellEnd"/>
            <w:r w:rsidRPr="1739998D">
              <w:rPr>
                <w:sz w:val="20"/>
                <w:szCs w:val="20"/>
                <w:lang w:val="en-US"/>
              </w:rPr>
              <w:t>:</w:t>
            </w:r>
          </w:p>
          <w:p w14:paraId="00842434" w14:textId="77777777" w:rsidR="00074551" w:rsidRPr="00A86DB0" w:rsidRDefault="00074551" w:rsidP="00367133">
            <w:pPr>
              <w:jc w:val="both"/>
              <w:rPr>
                <w:sz w:val="20"/>
                <w:szCs w:val="20"/>
                <w:lang w:val="en-US"/>
              </w:rPr>
            </w:pPr>
          </w:p>
          <w:p w14:paraId="686D90CA" w14:textId="77777777" w:rsidR="00074551" w:rsidRDefault="00074551" w:rsidP="00367133">
            <w:pPr>
              <w:jc w:val="both"/>
              <w:rPr>
                <w:bCs/>
                <w:sz w:val="20"/>
                <w:szCs w:val="20"/>
                <w:lang w:val="x-none"/>
              </w:rPr>
            </w:pPr>
            <w:r w:rsidRPr="5B67C1D2">
              <w:rPr>
                <w:sz w:val="20"/>
                <w:szCs w:val="20"/>
                <w:lang w:val="en-US"/>
              </w:rPr>
              <w:t xml:space="preserve">„The protection guaranteed by the Amendments is much broader in scope. [Because] [t]he makers of our Constitution undertook to secure conditions favorable to the pursuit of happiness. […] To protect that right, every unjustifiable intrusion by the Government upon the privacy of the individual, whatever the means employed, must be deemed a violation of the Fourth </w:t>
            </w:r>
            <w:proofErr w:type="gramStart"/>
            <w:r w:rsidRPr="5B67C1D2">
              <w:rPr>
                <w:sz w:val="20"/>
                <w:szCs w:val="20"/>
                <w:lang w:val="en-US"/>
              </w:rPr>
              <w:t>Amendment.“</w:t>
            </w:r>
            <w:proofErr w:type="gramEnd"/>
            <w:r w:rsidRPr="5B67C1D2">
              <w:rPr>
                <w:i/>
                <w:iCs/>
                <w:sz w:val="20"/>
                <w:szCs w:val="20"/>
                <w:vertAlign w:val="superscript"/>
                <w:lang w:val="en-US"/>
              </w:rPr>
              <w:footnoteReference w:id="1280"/>
            </w:r>
          </w:p>
          <w:p w14:paraId="4E589489" w14:textId="77777777" w:rsidR="00074551" w:rsidRPr="00A86DB0" w:rsidRDefault="00074551" w:rsidP="00367133">
            <w:pPr>
              <w:jc w:val="both"/>
              <w:rPr>
                <w:bCs/>
                <w:sz w:val="20"/>
                <w:szCs w:val="20"/>
                <w:lang w:val="x-none"/>
              </w:rPr>
            </w:pPr>
          </w:p>
          <w:p w14:paraId="37473A71" w14:textId="5CA3BD4F" w:rsidR="00074551" w:rsidRDefault="00074551" w:rsidP="00367133">
            <w:pPr>
              <w:jc w:val="both"/>
              <w:rPr>
                <w:sz w:val="20"/>
                <w:szCs w:val="20"/>
              </w:rPr>
            </w:pPr>
            <w:r w:rsidRPr="00A86DB0">
              <w:rPr>
                <w:sz w:val="20"/>
                <w:szCs w:val="20"/>
              </w:rPr>
              <w:t>Im konkreten Fall hatte sich der Beschwerdeführer in eine Telefonzelle begeben, die Tür hinter sich geschlossen, die Anrufgebühr entrichtet, und war davon ausgegangen, seine Worte seien gegen staatliche Eingriffe geschützt</w:t>
            </w:r>
            <w:r>
              <w:rPr>
                <w:sz w:val="20"/>
                <w:szCs w:val="20"/>
              </w:rPr>
              <w:t> – w</w:t>
            </w:r>
            <w:r w:rsidRPr="00A86DB0">
              <w:rPr>
                <w:sz w:val="20"/>
                <w:szCs w:val="20"/>
              </w:rPr>
              <w:t xml:space="preserve">as nicht der Fall war. Aber </w:t>
            </w:r>
            <w:r>
              <w:rPr>
                <w:sz w:val="20"/>
                <w:szCs w:val="20"/>
              </w:rPr>
              <w:t xml:space="preserve">laut U.S. </w:t>
            </w:r>
            <w:r>
              <w:rPr>
                <w:sz w:val="20"/>
                <w:szCs w:val="20"/>
              </w:rPr>
              <w:lastRenderedPageBreak/>
              <w:t>Supreme Court verstießen</w:t>
            </w:r>
            <w:r w:rsidRPr="00A86DB0">
              <w:rPr>
                <w:sz w:val="20"/>
                <w:szCs w:val="20"/>
              </w:rPr>
              <w:t xml:space="preserve"> diese staatlichen Eingriffe gegen das erweiterte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86DB0">
              <w:rPr>
                <w:sz w:val="20"/>
                <w:szCs w:val="20"/>
                <w:vertAlign w:val="superscript"/>
              </w:rPr>
              <w:footnoteReference w:id="1281"/>
            </w:r>
            <w:r w:rsidRPr="00A86DB0">
              <w:rPr>
                <w:sz w:val="20"/>
                <w:szCs w:val="20"/>
              </w:rPr>
              <w:t xml:space="preserve"> Denn errichte die Exekutive </w:t>
            </w:r>
            <w:r>
              <w:rPr>
                <w:sz w:val="20"/>
                <w:szCs w:val="20"/>
              </w:rPr>
              <w:t>z.B.</w:t>
            </w:r>
            <w:r w:rsidRPr="00A86DB0">
              <w:rPr>
                <w:sz w:val="20"/>
                <w:szCs w:val="20"/>
              </w:rPr>
              <w:t xml:space="preserve"> durch ein nicht hinreichend abgegrenztes Mandat eine Abhörsituation, beweg</w:t>
            </w:r>
            <w:r>
              <w:rPr>
                <w:sz w:val="20"/>
                <w:szCs w:val="20"/>
              </w:rPr>
              <w:t>e</w:t>
            </w:r>
            <w:r w:rsidRPr="00A86DB0">
              <w:rPr>
                <w:sz w:val="20"/>
                <w:szCs w:val="20"/>
              </w:rPr>
              <w:t xml:space="preserve"> sie sich außerhalb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86DB0">
              <w:rPr>
                <w:sz w:val="20"/>
                <w:szCs w:val="20"/>
              </w:rPr>
              <w:t xml:space="preserve"> Sie handle als Exekutive legislativ, indem sie ein ihr eigens vergebenes Recht ausdehne. Sie komm</w:t>
            </w:r>
            <w:r>
              <w:rPr>
                <w:sz w:val="20"/>
                <w:szCs w:val="20"/>
              </w:rPr>
              <w:t>e somit</w:t>
            </w:r>
            <w:r w:rsidRPr="00A86DB0">
              <w:rPr>
                <w:sz w:val="20"/>
                <w:szCs w:val="20"/>
              </w:rPr>
              <w:t xml:space="preserve"> ihrer Vorbildfunktion nicht nach und verl</w:t>
            </w:r>
            <w:r>
              <w:rPr>
                <w:sz w:val="20"/>
                <w:szCs w:val="20"/>
              </w:rPr>
              <w:t>asse</w:t>
            </w:r>
            <w:r w:rsidRPr="00A86DB0">
              <w:rPr>
                <w:sz w:val="20"/>
                <w:szCs w:val="20"/>
              </w:rPr>
              <w:t xml:space="preserve"> ihren exekutiven Kompetenzrahmen. Und </w:t>
            </w:r>
            <w:r>
              <w:rPr>
                <w:sz w:val="20"/>
                <w:szCs w:val="20"/>
              </w:rPr>
              <w:t xml:space="preserve">sie </w:t>
            </w:r>
            <w:r w:rsidRPr="00A86DB0">
              <w:rPr>
                <w:sz w:val="20"/>
                <w:szCs w:val="20"/>
              </w:rPr>
              <w:t>schränk</w:t>
            </w:r>
            <w:r>
              <w:rPr>
                <w:sz w:val="20"/>
                <w:szCs w:val="20"/>
              </w:rPr>
              <w:t>e</w:t>
            </w:r>
            <w:r w:rsidRPr="00A86DB0">
              <w:rPr>
                <w:sz w:val="20"/>
                <w:szCs w:val="20"/>
              </w:rPr>
              <w:t xml:space="preserve"> so unangemessen das Glücksstreben des Individuums ein.</w:t>
            </w:r>
            <w:r w:rsidRPr="00A86DB0">
              <w:rPr>
                <w:sz w:val="20"/>
                <w:szCs w:val="20"/>
                <w:vertAlign w:val="superscript"/>
              </w:rPr>
              <w:footnoteReference w:id="1282"/>
            </w:r>
          </w:p>
          <w:p w14:paraId="4299BF64" w14:textId="77777777" w:rsidR="00074551" w:rsidRPr="00A86DB0" w:rsidRDefault="00074551" w:rsidP="00367133">
            <w:pPr>
              <w:jc w:val="both"/>
              <w:rPr>
                <w:sz w:val="20"/>
                <w:szCs w:val="20"/>
              </w:rPr>
            </w:pPr>
          </w:p>
          <w:p w14:paraId="1F503DF7" w14:textId="542A63D0" w:rsidR="00074551" w:rsidRDefault="5BDDA3A0" w:rsidP="00367133">
            <w:pPr>
              <w:jc w:val="both"/>
              <w:rPr>
                <w:sz w:val="20"/>
                <w:szCs w:val="20"/>
                <w:lang w:val="en-US"/>
              </w:rPr>
            </w:pPr>
            <w:r w:rsidRPr="1739998D">
              <w:rPr>
                <w:sz w:val="20"/>
                <w:szCs w:val="20"/>
              </w:rPr>
              <w:t xml:space="preserve">Viertens und zuletzt erörtert der Abschnitt materielle und prozessuale Grenzen des Strebens nach Glück. In </w:t>
            </w:r>
            <w:r w:rsidRPr="1739998D">
              <w:rPr>
                <w:i/>
                <w:iCs/>
                <w:sz w:val="20"/>
                <w:szCs w:val="20"/>
              </w:rPr>
              <w:t>Fong Yue Ting v. United States</w:t>
            </w:r>
            <w:r w:rsidRPr="1739998D">
              <w:rPr>
                <w:sz w:val="20"/>
                <w:szCs w:val="20"/>
              </w:rPr>
              <w:t>,</w:t>
            </w:r>
            <w:r w:rsidR="00074551" w:rsidRPr="1739998D">
              <w:rPr>
                <w:sz w:val="20"/>
                <w:szCs w:val="20"/>
                <w:vertAlign w:val="superscript"/>
              </w:rPr>
              <w:footnoteReference w:id="1283"/>
            </w:r>
            <w:r w:rsidRPr="1739998D">
              <w:rPr>
                <w:sz w:val="20"/>
                <w:szCs w:val="20"/>
              </w:rPr>
              <w:t xml:space="preserve"> respektive in </w:t>
            </w:r>
            <w:r w:rsidRPr="1739998D">
              <w:rPr>
                <w:i/>
                <w:iCs/>
                <w:sz w:val="20"/>
                <w:szCs w:val="20"/>
              </w:rPr>
              <w:t>Ho Ah Kow v. Nunan</w:t>
            </w:r>
            <w:r w:rsidRPr="1739998D">
              <w:rPr>
                <w:sz w:val="20"/>
                <w:szCs w:val="20"/>
              </w:rPr>
              <w:t>,</w:t>
            </w:r>
            <w:r w:rsidR="00074551" w:rsidRPr="1739998D">
              <w:rPr>
                <w:sz w:val="20"/>
                <w:szCs w:val="20"/>
                <w:vertAlign w:val="superscript"/>
              </w:rPr>
              <w:footnoteReference w:id="1284"/>
            </w:r>
            <w:r w:rsidRPr="1739998D">
              <w:rPr>
                <w:sz w:val="20"/>
                <w:szCs w:val="20"/>
              </w:rPr>
              <w:t xml:space="preserve"> beschreibt der U.S. Supreme Court zunächst verfassungsrechtliche Maximen („</w:t>
            </w:r>
            <w:proofErr w:type="spellStart"/>
            <w:r w:rsidRPr="1739998D">
              <w:rPr>
                <w:sz w:val="20"/>
                <w:szCs w:val="20"/>
              </w:rPr>
              <w:t>maxims</w:t>
            </w:r>
            <w:proofErr w:type="spellEnd"/>
            <w:r w:rsidRPr="1739998D">
              <w:rPr>
                <w:sz w:val="20"/>
                <w:szCs w:val="20"/>
              </w:rPr>
              <w:t xml:space="preserve"> of </w:t>
            </w:r>
            <w:proofErr w:type="spellStart"/>
            <w:r w:rsidRPr="1739998D">
              <w:rPr>
                <w:sz w:val="20"/>
                <w:szCs w:val="20"/>
              </w:rPr>
              <w:t>constitutional</w:t>
            </w:r>
            <w:proofErr w:type="spellEnd"/>
            <w:r w:rsidRPr="1739998D">
              <w:rPr>
                <w:sz w:val="20"/>
                <w:szCs w:val="20"/>
              </w:rPr>
              <w:t xml:space="preserve"> </w:t>
            </w:r>
            <w:proofErr w:type="spellStart"/>
            <w:r w:rsidRPr="1739998D">
              <w:rPr>
                <w:sz w:val="20"/>
                <w:szCs w:val="20"/>
              </w:rPr>
              <w:t>law</w:t>
            </w:r>
            <w:proofErr w:type="spellEnd"/>
            <w:r w:rsidRPr="1739998D">
              <w:rPr>
                <w:sz w:val="20"/>
                <w:szCs w:val="20"/>
              </w:rPr>
              <w:t>“</w:t>
            </w:r>
            <w:r w:rsidR="00074551" w:rsidRPr="1739998D">
              <w:rPr>
                <w:sz w:val="20"/>
                <w:szCs w:val="20"/>
                <w:vertAlign w:val="superscript"/>
              </w:rPr>
              <w:footnoteReference w:id="1285"/>
            </w:r>
            <w:r w:rsidRPr="1739998D">
              <w:rPr>
                <w:sz w:val="20"/>
                <w:szCs w:val="20"/>
              </w:rPr>
              <w:t xml:space="preserve">) wie die Bedingungen für Glücksstreben. </w:t>
            </w:r>
            <w:r w:rsidRPr="1739998D">
              <w:rPr>
                <w:sz w:val="20"/>
                <w:szCs w:val="20"/>
                <w:lang w:val="en-US"/>
              </w:rPr>
              <w:t xml:space="preserve">Sie </w:t>
            </w:r>
            <w:proofErr w:type="spellStart"/>
            <w:r w:rsidRPr="1739998D">
              <w:rPr>
                <w:sz w:val="20"/>
                <w:szCs w:val="20"/>
                <w:lang w:val="en-US"/>
              </w:rPr>
              <w:t>stünden</w:t>
            </w:r>
            <w:proofErr w:type="spellEnd"/>
            <w:r w:rsidRPr="1739998D">
              <w:rPr>
                <w:sz w:val="20"/>
                <w:szCs w:val="20"/>
                <w:lang w:val="en-US"/>
              </w:rPr>
              <w:t xml:space="preserve"> </w:t>
            </w:r>
            <w:proofErr w:type="spellStart"/>
            <w:r w:rsidRPr="1739998D">
              <w:rPr>
                <w:sz w:val="20"/>
                <w:szCs w:val="20"/>
                <w:lang w:val="en-US"/>
              </w:rPr>
              <w:t>allen</w:t>
            </w:r>
            <w:proofErr w:type="spellEnd"/>
            <w:r w:rsidRPr="1739998D">
              <w:rPr>
                <w:sz w:val="20"/>
                <w:szCs w:val="20"/>
                <w:lang w:val="en-US"/>
              </w:rPr>
              <w:t xml:space="preserve"> Menschen </w:t>
            </w:r>
            <w:proofErr w:type="spellStart"/>
            <w:r w:rsidRPr="1739998D">
              <w:rPr>
                <w:sz w:val="20"/>
                <w:szCs w:val="20"/>
                <w:lang w:val="en-US"/>
              </w:rPr>
              <w:t>zu</w:t>
            </w:r>
            <w:proofErr w:type="spellEnd"/>
            <w:r w:rsidRPr="1739998D">
              <w:rPr>
                <w:sz w:val="20"/>
                <w:szCs w:val="20"/>
                <w:lang w:val="en-US"/>
              </w:rPr>
              <w:t xml:space="preserve"> („government of his country extends protection to all persons within its </w:t>
            </w:r>
            <w:proofErr w:type="gramStart"/>
            <w:r w:rsidRPr="1739998D">
              <w:rPr>
                <w:sz w:val="20"/>
                <w:szCs w:val="20"/>
                <w:lang w:val="en-US"/>
              </w:rPr>
              <w:t>jurisdiction“</w:t>
            </w:r>
            <w:proofErr w:type="gramEnd"/>
            <w:r w:rsidR="00074551" w:rsidRPr="1739998D">
              <w:rPr>
                <w:sz w:val="20"/>
                <w:szCs w:val="20"/>
                <w:vertAlign w:val="superscript"/>
              </w:rPr>
              <w:footnoteReference w:id="1286"/>
            </w:r>
            <w:r w:rsidRPr="1739998D">
              <w:rPr>
                <w:sz w:val="20"/>
                <w:szCs w:val="20"/>
                <w:lang w:val="en-US"/>
              </w:rPr>
              <w:t xml:space="preserve">). </w:t>
            </w:r>
            <w:r w:rsidRPr="1739998D">
              <w:rPr>
                <w:sz w:val="20"/>
                <w:szCs w:val="20"/>
              </w:rPr>
              <w:t>Dies ergibt sich nicht nur aus dem Gehalt als Maxime. Sondern es ergibt sich auch aus dem naturrechtlichen Charakter und der Gründungsgeschichte, d.h. Amerika als Einwanderungsland,</w:t>
            </w:r>
            <w:r w:rsidR="00074551" w:rsidRPr="1739998D">
              <w:rPr>
                <w:sz w:val="20"/>
                <w:szCs w:val="20"/>
                <w:vertAlign w:val="superscript"/>
              </w:rPr>
              <w:footnoteReference w:id="1287"/>
            </w:r>
            <w:r w:rsidRPr="1739998D">
              <w:rPr>
                <w:sz w:val="20"/>
                <w:szCs w:val="20"/>
              </w:rPr>
              <w:t xml:space="preserve"> wo Glücksstreben jedem offenstehen solle. In einem Fall dazu griffen Chinesen, die in den Vereinigten Staaten lebten, den sog. </w:t>
            </w:r>
            <w:r w:rsidRPr="1739998D">
              <w:rPr>
                <w:i/>
                <w:iCs/>
                <w:sz w:val="20"/>
                <w:szCs w:val="20"/>
              </w:rPr>
              <w:t xml:space="preserve">Great Act </w:t>
            </w:r>
            <w:r w:rsidRPr="1739998D">
              <w:rPr>
                <w:sz w:val="20"/>
                <w:szCs w:val="20"/>
              </w:rPr>
              <w:t xml:space="preserve">an, den die </w:t>
            </w:r>
            <w:r w:rsidRPr="1739998D">
              <w:rPr>
                <w:i/>
                <w:iCs/>
                <w:sz w:val="20"/>
                <w:szCs w:val="20"/>
              </w:rPr>
              <w:t xml:space="preserve">Chinese </w:t>
            </w:r>
            <w:proofErr w:type="spellStart"/>
            <w:r w:rsidRPr="1739998D">
              <w:rPr>
                <w:i/>
                <w:iCs/>
                <w:sz w:val="20"/>
                <w:szCs w:val="20"/>
              </w:rPr>
              <w:t>Exclusion</w:t>
            </w:r>
            <w:proofErr w:type="spellEnd"/>
            <w:r w:rsidRPr="1739998D">
              <w:rPr>
                <w:i/>
                <w:iCs/>
                <w:sz w:val="20"/>
                <w:szCs w:val="20"/>
              </w:rPr>
              <w:t xml:space="preserve"> Acts</w:t>
            </w:r>
            <w:r w:rsidR="00074551" w:rsidRPr="1739998D">
              <w:rPr>
                <w:sz w:val="20"/>
                <w:szCs w:val="20"/>
                <w:vertAlign w:val="superscript"/>
              </w:rPr>
              <w:footnoteReference w:id="1288"/>
            </w:r>
            <w:r w:rsidRPr="1739998D">
              <w:rPr>
                <w:sz w:val="20"/>
                <w:szCs w:val="20"/>
              </w:rPr>
              <w:t xml:space="preserve"> verschärft hatten.</w:t>
            </w:r>
            <w:r w:rsidR="00074551" w:rsidRPr="1739998D">
              <w:rPr>
                <w:sz w:val="20"/>
                <w:szCs w:val="20"/>
                <w:vertAlign w:val="superscript"/>
              </w:rPr>
              <w:footnoteReference w:id="1289"/>
            </w:r>
            <w:r w:rsidRPr="1739998D">
              <w:rPr>
                <w:sz w:val="20"/>
                <w:szCs w:val="20"/>
              </w:rPr>
              <w:t xml:space="preserve"> Die Regierung änderte den </w:t>
            </w:r>
            <w:r w:rsidRPr="1739998D">
              <w:rPr>
                <w:i/>
                <w:iCs/>
                <w:sz w:val="20"/>
                <w:szCs w:val="20"/>
              </w:rPr>
              <w:t>Great Act</w:t>
            </w:r>
            <w:r w:rsidRPr="1739998D">
              <w:rPr>
                <w:sz w:val="20"/>
                <w:szCs w:val="20"/>
              </w:rPr>
              <w:t xml:space="preserve"> mit den </w:t>
            </w:r>
            <w:r w:rsidRPr="1739998D">
              <w:rPr>
                <w:i/>
                <w:iCs/>
                <w:sz w:val="20"/>
                <w:szCs w:val="20"/>
              </w:rPr>
              <w:t xml:space="preserve">Chinese </w:t>
            </w:r>
            <w:proofErr w:type="spellStart"/>
            <w:r w:rsidRPr="1739998D">
              <w:rPr>
                <w:i/>
                <w:iCs/>
                <w:sz w:val="20"/>
                <w:szCs w:val="20"/>
              </w:rPr>
              <w:t>Exclusion</w:t>
            </w:r>
            <w:proofErr w:type="spellEnd"/>
            <w:r w:rsidRPr="1739998D">
              <w:rPr>
                <w:i/>
                <w:iCs/>
                <w:sz w:val="20"/>
                <w:szCs w:val="20"/>
              </w:rPr>
              <w:t xml:space="preserve"> Acts</w:t>
            </w:r>
            <w:r w:rsidRPr="1739998D">
              <w:rPr>
                <w:sz w:val="20"/>
                <w:szCs w:val="20"/>
              </w:rPr>
              <w:t xml:space="preserve"> dahingehend, dass er von Chinesen eine qualifizierte Aufenthaltsbescheinigung verlangte. Hatte ein chinesischer Staatsbürger die Bescheinigung nicht bzw. hatte er sie nicht erhalten können, </w:t>
            </w:r>
            <w:bookmarkStart w:id="60" w:name="_Hlk224634122"/>
            <w:r w:rsidRPr="1739998D">
              <w:rPr>
                <w:sz w:val="20"/>
                <w:szCs w:val="20"/>
              </w:rPr>
              <w:t xml:space="preserve">ermöglichten die </w:t>
            </w:r>
            <w:r w:rsidRPr="1739998D">
              <w:rPr>
                <w:i/>
                <w:iCs/>
                <w:sz w:val="20"/>
                <w:szCs w:val="20"/>
              </w:rPr>
              <w:t xml:space="preserve">Chinese </w:t>
            </w:r>
            <w:proofErr w:type="spellStart"/>
            <w:r w:rsidRPr="1739998D">
              <w:rPr>
                <w:i/>
                <w:iCs/>
                <w:sz w:val="20"/>
                <w:szCs w:val="20"/>
              </w:rPr>
              <w:t>Exclusion</w:t>
            </w:r>
            <w:proofErr w:type="spellEnd"/>
            <w:r w:rsidRPr="1739998D">
              <w:rPr>
                <w:i/>
                <w:iCs/>
                <w:sz w:val="20"/>
                <w:szCs w:val="20"/>
              </w:rPr>
              <w:t xml:space="preserve"> Acts</w:t>
            </w:r>
            <w:r w:rsidR="00074551" w:rsidRPr="1739998D">
              <w:rPr>
                <w:sz w:val="20"/>
                <w:szCs w:val="20"/>
                <w:vertAlign w:val="superscript"/>
              </w:rPr>
              <w:footnoteReference w:id="1290"/>
            </w:r>
            <w:r w:rsidRPr="1739998D">
              <w:rPr>
                <w:sz w:val="20"/>
                <w:szCs w:val="20"/>
              </w:rPr>
              <w:t xml:space="preserve"> nunmehr</w:t>
            </w:r>
            <w:bookmarkEnd w:id="60"/>
            <w:r w:rsidRPr="1739998D">
              <w:rPr>
                <w:sz w:val="20"/>
                <w:szCs w:val="20"/>
              </w:rPr>
              <w:t xml:space="preserve"> seine Verhaftung und Ausweisung – auch wenn der Einzelne nicht gegen andere Gesetze verstoßen hatte. Der U.S. Supreme Court hielt das Gesetz für verfassungsgemäß.</w:t>
            </w:r>
            <w:r w:rsidR="00074551" w:rsidRPr="1739998D">
              <w:rPr>
                <w:sz w:val="20"/>
                <w:szCs w:val="20"/>
                <w:vertAlign w:val="superscript"/>
              </w:rPr>
              <w:footnoteReference w:id="1291"/>
            </w:r>
            <w:r w:rsidRPr="1739998D">
              <w:rPr>
                <w:sz w:val="20"/>
                <w:szCs w:val="20"/>
              </w:rPr>
              <w:t xml:space="preserve"> Ein Begründungsstrang lautete: Zwar komme jedem das gleiche Recht zu, nach Glück zu streben, z.B. nach der </w:t>
            </w:r>
            <w:proofErr w:type="spellStart"/>
            <w:r w:rsidRPr="1739998D">
              <w:rPr>
                <w:i/>
                <w:iCs/>
                <w:sz w:val="20"/>
                <w:szCs w:val="20"/>
              </w:rPr>
              <w:t>Equal</w:t>
            </w:r>
            <w:proofErr w:type="spellEnd"/>
            <w:r w:rsidRPr="1739998D">
              <w:rPr>
                <w:i/>
                <w:iCs/>
                <w:sz w:val="20"/>
                <w:szCs w:val="20"/>
              </w:rPr>
              <w:t xml:space="preserve"> </w:t>
            </w:r>
            <w:proofErr w:type="spellStart"/>
            <w:r w:rsidRPr="1739998D">
              <w:rPr>
                <w:i/>
                <w:iCs/>
                <w:sz w:val="20"/>
                <w:szCs w:val="20"/>
              </w:rPr>
              <w:t>Protection</w:t>
            </w:r>
            <w:proofErr w:type="spellEnd"/>
            <w:r w:rsidRPr="1739998D">
              <w:rPr>
                <w:i/>
                <w:iCs/>
                <w:sz w:val="20"/>
                <w:szCs w:val="20"/>
              </w:rPr>
              <w:t xml:space="preserve"> </w:t>
            </w:r>
            <w:proofErr w:type="spellStart"/>
            <w:r w:rsidRPr="1739998D">
              <w:rPr>
                <w:i/>
                <w:iCs/>
                <w:sz w:val="20"/>
                <w:szCs w:val="20"/>
              </w:rPr>
              <w:t>Clause</w:t>
            </w:r>
            <w:proofErr w:type="spellEnd"/>
            <w:r w:rsidRPr="1739998D">
              <w:rPr>
                <w:sz w:val="20"/>
                <w:szCs w:val="20"/>
              </w:rPr>
              <w:t>. Aber das Streben nach Glück habe auch eine öffentliche Seite, nämlich</w:t>
            </w:r>
            <w:r w:rsidR="51BE09B1" w:rsidRPr="1739998D">
              <w:rPr>
                <w:sz w:val="20"/>
                <w:szCs w:val="20"/>
              </w:rPr>
              <w:t xml:space="preserve"> d</w:t>
            </w:r>
            <w:r w:rsidR="51BE09B1" w:rsidRPr="1739998D">
              <w:rPr>
                <w:rFonts w:ascii="-webkit-standard" w:eastAsia="-webkit-standard" w:hAnsi="-webkit-standard" w:cs="-webkit-standard"/>
                <w:color w:val="000000" w:themeColor="text1"/>
                <w:sz w:val="20"/>
                <w:szCs w:val="20"/>
              </w:rPr>
              <w:t>as natürliche Recht des Einzelnen, seine bisherige Staatsangehörigkeit abzulegen und auszuwandern, finde sein nationales Gegenstück darin, dass die Vereinigten Staaten diese Auswanderer aufnähmen und ihnen die Staatsbürgerschaft verliehen. Das Glücksstreben verwirkliche sich so nicht nur im Aufbruch des Einzelnen, sondern auch in der Einbürgerung durch die aufnehmende Nation</w:t>
            </w:r>
            <w:r w:rsidRPr="1739998D">
              <w:rPr>
                <w:sz w:val="20"/>
                <w:szCs w:val="20"/>
                <w:lang w:val="en-US"/>
              </w:rPr>
              <w:t xml:space="preserve"> („the right of expatriation is a natural and inherent right of all people, indispensable to the enjoyment of the rights of life, liberty, and the pursuit of happiness”</w:t>
            </w:r>
            <w:r w:rsidR="00074551" w:rsidRPr="1739998D">
              <w:rPr>
                <w:sz w:val="20"/>
                <w:szCs w:val="20"/>
                <w:vertAlign w:val="superscript"/>
                <w:lang w:val="en-US"/>
              </w:rPr>
              <w:footnoteReference w:id="1292"/>
            </w:r>
            <w:r w:rsidRPr="1739998D">
              <w:rPr>
                <w:sz w:val="20"/>
                <w:szCs w:val="20"/>
                <w:lang w:val="en-US"/>
              </w:rPr>
              <w:t xml:space="preserve">). </w:t>
            </w:r>
          </w:p>
          <w:p w14:paraId="6465F004" w14:textId="77777777" w:rsidR="00074551" w:rsidRPr="00A86DB0" w:rsidRDefault="00074551" w:rsidP="00367133">
            <w:pPr>
              <w:jc w:val="both"/>
              <w:rPr>
                <w:sz w:val="20"/>
                <w:szCs w:val="20"/>
                <w:lang w:val="en-US"/>
              </w:rPr>
            </w:pPr>
          </w:p>
          <w:p w14:paraId="35B5A7A4" w14:textId="3D69176A" w:rsidR="00074551" w:rsidRDefault="00074551" w:rsidP="00367133">
            <w:pPr>
              <w:jc w:val="both"/>
              <w:rPr>
                <w:sz w:val="20"/>
                <w:szCs w:val="20"/>
              </w:rPr>
            </w:pPr>
            <w:r w:rsidRPr="00A86DB0">
              <w:rPr>
                <w:sz w:val="20"/>
                <w:szCs w:val="20"/>
              </w:rPr>
              <w:lastRenderedPageBreak/>
              <w:t xml:space="preserve">In </w:t>
            </w:r>
            <w:r w:rsidRPr="5B67C1D2">
              <w:rPr>
                <w:i/>
                <w:iCs/>
                <w:sz w:val="20"/>
                <w:szCs w:val="20"/>
              </w:rPr>
              <w:t>Hudson v. Palmer</w:t>
            </w:r>
            <w:r w:rsidRPr="00A86DB0">
              <w:rPr>
                <w:sz w:val="20"/>
                <w:szCs w:val="20"/>
              </w:rPr>
              <w:t xml:space="preserve"> kam eine prozessuale Grenze zum </w:t>
            </w:r>
            <w:proofErr w:type="spellStart"/>
            <w:r w:rsidRPr="5B67C1D2">
              <w:rPr>
                <w:i/>
                <w:iCs/>
                <w:sz w:val="20"/>
                <w:szCs w:val="20"/>
              </w:rPr>
              <w:t>pursuit</w:t>
            </w:r>
            <w:proofErr w:type="spellEnd"/>
            <w:r w:rsidRPr="5B67C1D2">
              <w:rPr>
                <w:i/>
                <w:iCs/>
                <w:sz w:val="20"/>
                <w:szCs w:val="20"/>
              </w:rPr>
              <w:t xml:space="preserve"> of Happiness</w:t>
            </w:r>
            <w:r w:rsidRPr="00A86DB0">
              <w:rPr>
                <w:sz w:val="20"/>
                <w:szCs w:val="20"/>
              </w:rPr>
              <w:t xml:space="preserve"> dazu. Der </w:t>
            </w:r>
            <w:r>
              <w:rPr>
                <w:sz w:val="20"/>
                <w:szCs w:val="20"/>
              </w:rPr>
              <w:t>U.S. Supreme Court</w:t>
            </w:r>
            <w:r w:rsidRPr="00A86DB0">
              <w:rPr>
                <w:sz w:val="20"/>
                <w:szCs w:val="20"/>
              </w:rPr>
              <w:t xml:space="preserve"> veränderte seine Rechtsprechung aus </w:t>
            </w:r>
            <w:r w:rsidRPr="5B67C1D2">
              <w:rPr>
                <w:i/>
                <w:iCs/>
                <w:sz w:val="20"/>
                <w:szCs w:val="20"/>
              </w:rPr>
              <w:t>Parratt v. Taylor</w:t>
            </w:r>
            <w:r>
              <w:rPr>
                <w:sz w:val="20"/>
                <w:szCs w:val="20"/>
              </w:rPr>
              <w:t>.</w:t>
            </w:r>
            <w:r w:rsidRPr="00A86DB0">
              <w:rPr>
                <w:sz w:val="20"/>
                <w:szCs w:val="20"/>
                <w:vertAlign w:val="superscript"/>
              </w:rPr>
              <w:footnoteReference w:id="1293"/>
            </w:r>
            <w:r w:rsidRPr="00A86DB0">
              <w:rPr>
                <w:sz w:val="20"/>
                <w:szCs w:val="20"/>
              </w:rPr>
              <w:t xml:space="preserve"> </w:t>
            </w:r>
            <w:r>
              <w:rPr>
                <w:sz w:val="20"/>
                <w:szCs w:val="20"/>
              </w:rPr>
              <w:t>Nun</w:t>
            </w:r>
            <w:r w:rsidRPr="00A86DB0">
              <w:rPr>
                <w:sz w:val="20"/>
                <w:szCs w:val="20"/>
              </w:rPr>
              <w:t xml:space="preserve"> entschied der </w:t>
            </w:r>
            <w:r>
              <w:rPr>
                <w:sz w:val="20"/>
                <w:szCs w:val="20"/>
              </w:rPr>
              <w:t>U.S. Supreme Court</w:t>
            </w:r>
            <w:r w:rsidRPr="00A86DB0">
              <w:rPr>
                <w:sz w:val="20"/>
                <w:szCs w:val="20"/>
              </w:rPr>
              <w:t xml:space="preserve">, wenn ein Beamter mit Vorsatz Eigentum entzogen </w:t>
            </w:r>
            <w:r>
              <w:rPr>
                <w:sz w:val="20"/>
                <w:szCs w:val="20"/>
              </w:rPr>
              <w:t>habe</w:t>
            </w:r>
            <w:r w:rsidRPr="00A86DB0">
              <w:rPr>
                <w:sz w:val="20"/>
                <w:szCs w:val="20"/>
              </w:rPr>
              <w:t xml:space="preserve">, dann verstoße dies nicht gegen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86DB0">
              <w:rPr>
                <w:sz w:val="20"/>
                <w:szCs w:val="20"/>
              </w:rPr>
              <w:t xml:space="preserve">, solange Abhilfe und ein Rechtsbehelf nach der Entziehung zur Verfügung </w:t>
            </w:r>
            <w:r>
              <w:rPr>
                <w:sz w:val="20"/>
                <w:szCs w:val="20"/>
              </w:rPr>
              <w:t>stünden</w:t>
            </w:r>
            <w:r w:rsidRPr="00A86DB0">
              <w:rPr>
                <w:sz w:val="20"/>
                <w:szCs w:val="20"/>
              </w:rPr>
              <w:t xml:space="preserve"> („</w:t>
            </w:r>
            <w:proofErr w:type="spellStart"/>
            <w:r w:rsidRPr="00A86DB0">
              <w:rPr>
                <w:sz w:val="20"/>
                <w:szCs w:val="20"/>
              </w:rPr>
              <w:t>adequate</w:t>
            </w:r>
            <w:proofErr w:type="spellEnd"/>
            <w:r w:rsidRPr="00A86DB0">
              <w:rPr>
                <w:sz w:val="20"/>
                <w:szCs w:val="20"/>
              </w:rPr>
              <w:t xml:space="preserve"> post-deprivation </w:t>
            </w:r>
            <w:proofErr w:type="spellStart"/>
            <w:r w:rsidRPr="00A86DB0">
              <w:rPr>
                <w:sz w:val="20"/>
                <w:szCs w:val="20"/>
              </w:rPr>
              <w:t>state</w:t>
            </w:r>
            <w:proofErr w:type="spellEnd"/>
            <w:r w:rsidRPr="00A86DB0">
              <w:rPr>
                <w:sz w:val="20"/>
                <w:szCs w:val="20"/>
              </w:rPr>
              <w:t xml:space="preserve"> </w:t>
            </w:r>
            <w:proofErr w:type="spellStart"/>
            <w:r w:rsidRPr="00A86DB0">
              <w:rPr>
                <w:sz w:val="20"/>
                <w:szCs w:val="20"/>
              </w:rPr>
              <w:t>remedy</w:t>
            </w:r>
            <w:proofErr w:type="spellEnd"/>
            <w:r w:rsidRPr="00A86DB0">
              <w:rPr>
                <w:sz w:val="20"/>
                <w:szCs w:val="20"/>
              </w:rPr>
              <w:t>“</w:t>
            </w:r>
            <w:r w:rsidRPr="00A86DB0">
              <w:rPr>
                <w:sz w:val="20"/>
                <w:szCs w:val="20"/>
                <w:vertAlign w:val="superscript"/>
              </w:rPr>
              <w:footnoteReference w:id="1294"/>
            </w:r>
            <w:r w:rsidRPr="00A86DB0">
              <w:rPr>
                <w:sz w:val="20"/>
                <w:szCs w:val="20"/>
              </w:rPr>
              <w:t xml:space="preserve">). Dabei solle diese Rechtsschutzmöglichkeit den Eingriff in die Privatsphäre überprüfbar machen. </w:t>
            </w:r>
            <w:r w:rsidRPr="00A86DB0">
              <w:rPr>
                <w:sz w:val="20"/>
                <w:szCs w:val="20"/>
                <w:lang w:val="en-US"/>
              </w:rPr>
              <w:t xml:space="preserve">Die </w:t>
            </w:r>
            <w:proofErr w:type="spellStart"/>
            <w:r w:rsidRPr="00A86DB0">
              <w:rPr>
                <w:sz w:val="20"/>
                <w:szCs w:val="20"/>
                <w:lang w:val="en-US"/>
              </w:rPr>
              <w:t>Privatsphäre</w:t>
            </w:r>
            <w:proofErr w:type="spellEnd"/>
            <w:r w:rsidRPr="00A86DB0">
              <w:rPr>
                <w:sz w:val="20"/>
                <w:szCs w:val="20"/>
                <w:lang w:val="en-US"/>
              </w:rPr>
              <w:t xml:space="preserve"> </w:t>
            </w:r>
            <w:proofErr w:type="spellStart"/>
            <w:r w:rsidRPr="00A86DB0">
              <w:rPr>
                <w:sz w:val="20"/>
                <w:szCs w:val="20"/>
                <w:lang w:val="en-US"/>
              </w:rPr>
              <w:t>leite</w:t>
            </w:r>
            <w:proofErr w:type="spellEnd"/>
            <w:r w:rsidRPr="00A86DB0">
              <w:rPr>
                <w:sz w:val="20"/>
                <w:szCs w:val="20"/>
                <w:lang w:val="en-US"/>
              </w:rPr>
              <w:t xml:space="preserve"> </w:t>
            </w:r>
            <w:proofErr w:type="spellStart"/>
            <w:r w:rsidRPr="00A86DB0">
              <w:rPr>
                <w:sz w:val="20"/>
                <w:szCs w:val="20"/>
                <w:lang w:val="en-US"/>
              </w:rPr>
              <w:t>sich</w:t>
            </w:r>
            <w:proofErr w:type="spellEnd"/>
            <w:r w:rsidRPr="00A86DB0">
              <w:rPr>
                <w:sz w:val="20"/>
                <w:szCs w:val="20"/>
                <w:lang w:val="en-US"/>
              </w:rPr>
              <w:t xml:space="preserve"> </w:t>
            </w:r>
            <w:r>
              <w:rPr>
                <w:sz w:val="20"/>
                <w:szCs w:val="20"/>
                <w:lang w:val="en-US"/>
              </w:rPr>
              <w:t xml:space="preserve">ab </w:t>
            </w:r>
            <w:proofErr w:type="spellStart"/>
            <w:r w:rsidRPr="00A86DB0">
              <w:rPr>
                <w:sz w:val="20"/>
                <w:szCs w:val="20"/>
                <w:lang w:val="en-US"/>
              </w:rPr>
              <w:t>aus</w:t>
            </w:r>
            <w:proofErr w:type="spellEnd"/>
            <w:r w:rsidRPr="00A86DB0">
              <w:rPr>
                <w:sz w:val="20"/>
                <w:szCs w:val="20"/>
                <w:lang w:val="en-US"/>
              </w:rPr>
              <w:t xml:space="preserve"> dem </w:t>
            </w:r>
            <w:r>
              <w:rPr>
                <w:sz w:val="20"/>
                <w:szCs w:val="20"/>
                <w:lang w:val="en-US"/>
              </w:rPr>
              <w:t>„</w:t>
            </w:r>
            <w:r w:rsidRPr="00A86DB0">
              <w:rPr>
                <w:sz w:val="20"/>
                <w:szCs w:val="20"/>
                <w:lang w:val="en-US"/>
              </w:rPr>
              <w:t xml:space="preserve">right of </w:t>
            </w:r>
            <w:proofErr w:type="gramStart"/>
            <w:r w:rsidRPr="00A86DB0">
              <w:rPr>
                <w:sz w:val="20"/>
                <w:szCs w:val="20"/>
                <w:lang w:val="en-US"/>
              </w:rPr>
              <w:t>privacy</w:t>
            </w:r>
            <w:r>
              <w:rPr>
                <w:sz w:val="20"/>
                <w:szCs w:val="20"/>
                <w:lang w:val="en-US"/>
              </w:rPr>
              <w:t>“</w:t>
            </w:r>
            <w:proofErr w:type="gramEnd"/>
            <w:r w:rsidRPr="00A86DB0">
              <w:rPr>
                <w:sz w:val="20"/>
                <w:szCs w:val="20"/>
                <w:vertAlign w:val="superscript"/>
                <w:lang w:val="en-US"/>
              </w:rPr>
              <w:footnoteReference w:id="1295"/>
            </w:r>
            <w:r w:rsidRPr="00A86DB0">
              <w:rPr>
                <w:sz w:val="20"/>
                <w:szCs w:val="20"/>
                <w:lang w:val="en-US"/>
              </w:rPr>
              <w:t xml:space="preserve">, das Teil der </w:t>
            </w:r>
            <w:proofErr w:type="spellStart"/>
            <w:r w:rsidRPr="00A86DB0">
              <w:rPr>
                <w:sz w:val="20"/>
                <w:szCs w:val="20"/>
                <w:lang w:val="en-US"/>
              </w:rPr>
              <w:t>Bedingungen</w:t>
            </w:r>
            <w:proofErr w:type="spellEnd"/>
            <w:r w:rsidRPr="00A86DB0">
              <w:rPr>
                <w:sz w:val="20"/>
                <w:szCs w:val="20"/>
                <w:lang w:val="en-US"/>
              </w:rPr>
              <w:t xml:space="preserve"> des </w:t>
            </w:r>
            <w:proofErr w:type="spellStart"/>
            <w:r w:rsidRPr="00A86DB0">
              <w:rPr>
                <w:sz w:val="20"/>
                <w:szCs w:val="20"/>
                <w:lang w:val="en-US"/>
              </w:rPr>
              <w:t>Strebens</w:t>
            </w:r>
            <w:proofErr w:type="spellEnd"/>
            <w:r w:rsidRPr="00A86DB0">
              <w:rPr>
                <w:sz w:val="20"/>
                <w:szCs w:val="20"/>
                <w:lang w:val="en-US"/>
              </w:rPr>
              <w:t xml:space="preserve"> </w:t>
            </w:r>
            <w:proofErr w:type="spellStart"/>
            <w:r w:rsidRPr="00A86DB0">
              <w:rPr>
                <w:sz w:val="20"/>
                <w:szCs w:val="20"/>
                <w:lang w:val="en-US"/>
              </w:rPr>
              <w:t>nach</w:t>
            </w:r>
            <w:proofErr w:type="spellEnd"/>
            <w:r w:rsidRPr="00A86DB0">
              <w:rPr>
                <w:sz w:val="20"/>
                <w:szCs w:val="20"/>
                <w:lang w:val="en-US"/>
              </w:rPr>
              <w:t xml:space="preserve"> Glück sei („The makers of our Constitution undertook to secure conditions favorable to the pursuit of happiness. […] They conferred, as against the Government, the right to be let </w:t>
            </w:r>
            <w:proofErr w:type="gramStart"/>
            <w:r w:rsidRPr="00A86DB0">
              <w:rPr>
                <w:sz w:val="20"/>
                <w:szCs w:val="20"/>
                <w:lang w:val="en-US"/>
              </w:rPr>
              <w:t>alone“</w:t>
            </w:r>
            <w:proofErr w:type="gramEnd"/>
            <w:r w:rsidRPr="00A86DB0">
              <w:rPr>
                <w:sz w:val="20"/>
                <w:szCs w:val="20"/>
                <w:vertAlign w:val="superscript"/>
                <w:lang w:val="en-US"/>
              </w:rPr>
              <w:footnoteReference w:id="1296"/>
            </w:r>
            <w:r w:rsidRPr="00A86DB0">
              <w:rPr>
                <w:sz w:val="20"/>
                <w:szCs w:val="20"/>
                <w:lang w:val="en-US"/>
              </w:rPr>
              <w:t xml:space="preserve">). </w:t>
            </w:r>
            <w:proofErr w:type="gramStart"/>
            <w:r w:rsidRPr="00A86DB0">
              <w:rPr>
                <w:sz w:val="20"/>
                <w:szCs w:val="20"/>
              </w:rPr>
              <w:t>Womit letztendlich</w:t>
            </w:r>
            <w:proofErr w:type="gramEnd"/>
            <w:r w:rsidRPr="00A86DB0">
              <w:rPr>
                <w:sz w:val="20"/>
                <w:szCs w:val="20"/>
              </w:rPr>
              <w:t xml:space="preserve"> auch in die Bedingungen für ein Streben nach Glück eingegriffen werden </w:t>
            </w:r>
            <w:r>
              <w:rPr>
                <w:sz w:val="20"/>
                <w:szCs w:val="20"/>
              </w:rPr>
              <w:t>könne</w:t>
            </w:r>
            <w:r w:rsidRPr="00A86DB0">
              <w:rPr>
                <w:sz w:val="20"/>
                <w:szCs w:val="20"/>
              </w:rPr>
              <w:t xml:space="preserve">, wenn Abhilfe und </w:t>
            </w:r>
            <w:r>
              <w:rPr>
                <w:sz w:val="20"/>
                <w:szCs w:val="20"/>
              </w:rPr>
              <w:t>Rechtsschutz</w:t>
            </w:r>
            <w:r w:rsidRPr="00A86DB0">
              <w:rPr>
                <w:sz w:val="20"/>
                <w:szCs w:val="20"/>
              </w:rPr>
              <w:t xml:space="preserve"> </w:t>
            </w:r>
            <w:r>
              <w:rPr>
                <w:sz w:val="20"/>
                <w:szCs w:val="20"/>
              </w:rPr>
              <w:t>bestünden</w:t>
            </w:r>
            <w:r w:rsidRPr="00A86DB0">
              <w:rPr>
                <w:sz w:val="20"/>
                <w:szCs w:val="20"/>
              </w:rPr>
              <w:t>.</w:t>
            </w:r>
          </w:p>
          <w:p w14:paraId="14ECFE6C" w14:textId="77777777" w:rsidR="00074551" w:rsidRPr="00A86DB0" w:rsidRDefault="00074551" w:rsidP="00367133">
            <w:pPr>
              <w:jc w:val="both"/>
              <w:rPr>
                <w:sz w:val="20"/>
                <w:szCs w:val="20"/>
              </w:rPr>
            </w:pPr>
          </w:p>
          <w:p w14:paraId="62E91F6B" w14:textId="77777777" w:rsidR="00074551" w:rsidRPr="00A86DB0" w:rsidRDefault="00074551" w:rsidP="00367133">
            <w:pPr>
              <w:jc w:val="both"/>
              <w:rPr>
                <w:sz w:val="20"/>
                <w:szCs w:val="20"/>
              </w:rPr>
            </w:pPr>
            <w:r w:rsidRPr="00A86DB0">
              <w:rPr>
                <w:sz w:val="20"/>
                <w:szCs w:val="20"/>
              </w:rPr>
              <w:t xml:space="preserve">In </w:t>
            </w:r>
            <w:r w:rsidRPr="5B67C1D2">
              <w:rPr>
                <w:i/>
                <w:iCs/>
                <w:sz w:val="20"/>
                <w:szCs w:val="20"/>
              </w:rPr>
              <w:t>Rakas v. Illinois</w:t>
            </w:r>
            <w:r w:rsidRPr="00A86DB0">
              <w:rPr>
                <w:sz w:val="20"/>
                <w:szCs w:val="20"/>
              </w:rPr>
              <w:t xml:space="preserve"> differenziert der </w:t>
            </w:r>
            <w:r>
              <w:rPr>
                <w:sz w:val="20"/>
                <w:szCs w:val="20"/>
              </w:rPr>
              <w:t>U.S. Supreme Court</w:t>
            </w:r>
            <w:r w:rsidRPr="00A86DB0">
              <w:rPr>
                <w:sz w:val="20"/>
                <w:szCs w:val="20"/>
              </w:rPr>
              <w:t xml:space="preserve"> die Privatsphäre prozessual weiter aus. Danach muss der </w:t>
            </w:r>
            <w:r>
              <w:rPr>
                <w:sz w:val="20"/>
                <w:szCs w:val="20"/>
              </w:rPr>
              <w:t xml:space="preserve">von </w:t>
            </w:r>
            <w:r w:rsidRPr="00A86DB0">
              <w:rPr>
                <w:sz w:val="20"/>
                <w:szCs w:val="20"/>
              </w:rPr>
              <w:t>einer Durchsuchung Betroffene eine sog. legitime Erwartung der Privatsphäre („</w:t>
            </w:r>
            <w:proofErr w:type="spellStart"/>
            <w:r w:rsidRPr="00A86DB0">
              <w:rPr>
                <w:sz w:val="20"/>
                <w:szCs w:val="20"/>
              </w:rPr>
              <w:t>expectation</w:t>
            </w:r>
            <w:proofErr w:type="spellEnd"/>
            <w:r w:rsidRPr="00A86DB0">
              <w:rPr>
                <w:sz w:val="20"/>
                <w:szCs w:val="20"/>
              </w:rPr>
              <w:t>“</w:t>
            </w:r>
            <w:r w:rsidRPr="00A86DB0">
              <w:rPr>
                <w:sz w:val="20"/>
                <w:szCs w:val="20"/>
                <w:vertAlign w:val="superscript"/>
              </w:rPr>
              <w:footnoteReference w:id="1297"/>
            </w:r>
            <w:r w:rsidRPr="00A86DB0">
              <w:rPr>
                <w:sz w:val="20"/>
                <w:szCs w:val="20"/>
              </w:rPr>
              <w:t xml:space="preserve">) an dem durchsuchten Ort nachweisen, </w:t>
            </w:r>
            <w:r>
              <w:rPr>
                <w:sz w:val="20"/>
                <w:szCs w:val="20"/>
              </w:rPr>
              <w:t xml:space="preserve">um </w:t>
            </w:r>
            <w:r w:rsidRPr="00A86DB0">
              <w:rPr>
                <w:sz w:val="20"/>
                <w:szCs w:val="20"/>
              </w:rPr>
              <w:t xml:space="preserve">gegen eine Durchsuchung vorgehen zu können. Diese Erwartung </w:t>
            </w:r>
            <w:r>
              <w:rPr>
                <w:sz w:val="20"/>
                <w:szCs w:val="20"/>
              </w:rPr>
              <w:t>an die</w:t>
            </w:r>
            <w:r w:rsidRPr="00A86DB0">
              <w:rPr>
                <w:sz w:val="20"/>
                <w:szCs w:val="20"/>
              </w:rPr>
              <w:t xml:space="preserve"> Privatsphäre ergibt sich dabei nicht zwangsläufig aus den Eigentum- und Besitzrechten. </w:t>
            </w:r>
            <w:proofErr w:type="spellStart"/>
            <w:r w:rsidRPr="00B45592">
              <w:rPr>
                <w:sz w:val="20"/>
                <w:szCs w:val="20"/>
                <w:lang w:val="en-IE"/>
              </w:rPr>
              <w:t>Sondern</w:t>
            </w:r>
            <w:proofErr w:type="spellEnd"/>
            <w:r w:rsidRPr="00B45592">
              <w:rPr>
                <w:sz w:val="20"/>
                <w:szCs w:val="20"/>
                <w:lang w:val="en-IE"/>
              </w:rPr>
              <w:t xml:space="preserve"> </w:t>
            </w:r>
            <w:proofErr w:type="spellStart"/>
            <w:r w:rsidRPr="00B45592">
              <w:rPr>
                <w:sz w:val="20"/>
                <w:szCs w:val="20"/>
                <w:lang w:val="en-IE"/>
              </w:rPr>
              <w:t>sie</w:t>
            </w:r>
            <w:proofErr w:type="spellEnd"/>
            <w:r w:rsidRPr="00B45592">
              <w:rPr>
                <w:sz w:val="20"/>
                <w:szCs w:val="20"/>
                <w:lang w:val="en-IE"/>
              </w:rPr>
              <w:t xml:space="preserve"> </w:t>
            </w:r>
            <w:proofErr w:type="spellStart"/>
            <w:r w:rsidRPr="00B45592">
              <w:rPr>
                <w:sz w:val="20"/>
                <w:szCs w:val="20"/>
                <w:lang w:val="en-IE"/>
              </w:rPr>
              <w:t>ergibt</w:t>
            </w:r>
            <w:proofErr w:type="spellEnd"/>
            <w:r w:rsidRPr="00B45592">
              <w:rPr>
                <w:sz w:val="20"/>
                <w:szCs w:val="20"/>
                <w:lang w:val="en-IE"/>
              </w:rPr>
              <w:t xml:space="preserve"> </w:t>
            </w:r>
            <w:proofErr w:type="spellStart"/>
            <w:r w:rsidRPr="00B45592">
              <w:rPr>
                <w:sz w:val="20"/>
                <w:szCs w:val="20"/>
                <w:lang w:val="en-IE"/>
              </w:rPr>
              <w:t>sich</w:t>
            </w:r>
            <w:proofErr w:type="spellEnd"/>
            <w:r w:rsidRPr="00B45592">
              <w:rPr>
                <w:sz w:val="20"/>
                <w:szCs w:val="20"/>
                <w:lang w:val="en-IE"/>
              </w:rPr>
              <w:t xml:space="preserve"> </w:t>
            </w:r>
            <w:proofErr w:type="spellStart"/>
            <w:r w:rsidRPr="00B45592">
              <w:rPr>
                <w:sz w:val="20"/>
                <w:szCs w:val="20"/>
                <w:lang w:val="en-IE"/>
              </w:rPr>
              <w:t>aus</w:t>
            </w:r>
            <w:proofErr w:type="spellEnd"/>
            <w:r w:rsidRPr="00B45592">
              <w:rPr>
                <w:sz w:val="20"/>
                <w:szCs w:val="20"/>
                <w:lang w:val="en-IE"/>
              </w:rPr>
              <w:t xml:space="preserve"> der </w:t>
            </w:r>
            <w:proofErr w:type="spellStart"/>
            <w:r w:rsidRPr="00B45592">
              <w:rPr>
                <w:sz w:val="20"/>
                <w:szCs w:val="20"/>
                <w:lang w:val="en-IE"/>
              </w:rPr>
              <w:t>theoretischen</w:t>
            </w:r>
            <w:proofErr w:type="spellEnd"/>
            <w:r w:rsidRPr="00B45592">
              <w:rPr>
                <w:sz w:val="20"/>
                <w:szCs w:val="20"/>
                <w:lang w:val="en-IE"/>
              </w:rPr>
              <w:t xml:space="preserve"> </w:t>
            </w:r>
            <w:proofErr w:type="spellStart"/>
            <w:r w:rsidRPr="00B45592">
              <w:rPr>
                <w:sz w:val="20"/>
                <w:szCs w:val="20"/>
                <w:lang w:val="en-IE"/>
              </w:rPr>
              <w:t>Überlegung</w:t>
            </w:r>
            <w:proofErr w:type="spellEnd"/>
            <w:r w:rsidRPr="00B45592">
              <w:rPr>
                <w:sz w:val="20"/>
                <w:szCs w:val="20"/>
                <w:lang w:val="en-IE"/>
              </w:rPr>
              <w:t xml:space="preserve">, </w:t>
            </w:r>
            <w:proofErr w:type="spellStart"/>
            <w:r w:rsidRPr="00B45592">
              <w:rPr>
                <w:sz w:val="20"/>
                <w:szCs w:val="20"/>
                <w:lang w:val="en-IE"/>
              </w:rPr>
              <w:t>inwieweit</w:t>
            </w:r>
            <w:proofErr w:type="spellEnd"/>
            <w:r w:rsidRPr="00B45592">
              <w:rPr>
                <w:sz w:val="20"/>
                <w:szCs w:val="20"/>
                <w:lang w:val="en-IE"/>
              </w:rPr>
              <w:t xml:space="preserve"> </w:t>
            </w:r>
            <w:proofErr w:type="spellStart"/>
            <w:r w:rsidRPr="00B45592">
              <w:rPr>
                <w:sz w:val="20"/>
                <w:szCs w:val="20"/>
                <w:lang w:val="en-IE"/>
              </w:rPr>
              <w:t>ein</w:t>
            </w:r>
            <w:proofErr w:type="spellEnd"/>
            <w:r w:rsidRPr="00B45592">
              <w:rPr>
                <w:sz w:val="20"/>
                <w:szCs w:val="20"/>
                <w:lang w:val="en-IE"/>
              </w:rPr>
              <w:t xml:space="preserve"> </w:t>
            </w:r>
            <w:proofErr w:type="spellStart"/>
            <w:r w:rsidRPr="00B45592">
              <w:rPr>
                <w:sz w:val="20"/>
                <w:szCs w:val="20"/>
                <w:lang w:val="en-IE"/>
              </w:rPr>
              <w:t>Streben</w:t>
            </w:r>
            <w:proofErr w:type="spellEnd"/>
            <w:r w:rsidRPr="00B45592">
              <w:rPr>
                <w:sz w:val="20"/>
                <w:szCs w:val="20"/>
                <w:lang w:val="en-IE"/>
              </w:rPr>
              <w:t xml:space="preserve"> </w:t>
            </w:r>
            <w:proofErr w:type="spellStart"/>
            <w:r w:rsidRPr="00B45592">
              <w:rPr>
                <w:sz w:val="20"/>
                <w:szCs w:val="20"/>
                <w:lang w:val="en-IE"/>
              </w:rPr>
              <w:t>nach</w:t>
            </w:r>
            <w:proofErr w:type="spellEnd"/>
            <w:r w:rsidRPr="00B45592">
              <w:rPr>
                <w:sz w:val="20"/>
                <w:szCs w:val="20"/>
                <w:lang w:val="en-IE"/>
              </w:rPr>
              <w:t xml:space="preserve"> Glück </w:t>
            </w:r>
            <w:proofErr w:type="spellStart"/>
            <w:r w:rsidRPr="00B45592">
              <w:rPr>
                <w:sz w:val="20"/>
                <w:szCs w:val="20"/>
                <w:lang w:val="en-IE"/>
              </w:rPr>
              <w:t>betroffen</w:t>
            </w:r>
            <w:proofErr w:type="spellEnd"/>
            <w:r w:rsidRPr="00B45592">
              <w:rPr>
                <w:sz w:val="20"/>
                <w:szCs w:val="20"/>
                <w:lang w:val="en-IE"/>
              </w:rPr>
              <w:t xml:space="preserve"> </w:t>
            </w:r>
            <w:proofErr w:type="spellStart"/>
            <w:r w:rsidRPr="00B45592">
              <w:rPr>
                <w:sz w:val="20"/>
                <w:szCs w:val="20"/>
                <w:lang w:val="en-IE"/>
              </w:rPr>
              <w:t>ist</w:t>
            </w:r>
            <w:proofErr w:type="spellEnd"/>
            <w:r w:rsidRPr="00B45592">
              <w:rPr>
                <w:sz w:val="20"/>
                <w:szCs w:val="20"/>
                <w:lang w:val="en-IE"/>
              </w:rPr>
              <w:t xml:space="preserve"> („theory that it was essential to securing ,conditions </w:t>
            </w:r>
            <w:proofErr w:type="spellStart"/>
            <w:r w:rsidRPr="00B45592">
              <w:rPr>
                <w:sz w:val="20"/>
                <w:szCs w:val="20"/>
                <w:lang w:val="en-IE"/>
              </w:rPr>
              <w:t>favorable</w:t>
            </w:r>
            <w:proofErr w:type="spellEnd"/>
            <w:r w:rsidRPr="00B45592">
              <w:rPr>
                <w:sz w:val="20"/>
                <w:szCs w:val="20"/>
                <w:lang w:val="en-IE"/>
              </w:rPr>
              <w:t xml:space="preserve"> to the pursuit of happiness‘ that the expectation of privacy in question be recognized“</w:t>
            </w:r>
            <w:r w:rsidRPr="00533AFF">
              <w:rPr>
                <w:sz w:val="20"/>
                <w:szCs w:val="20"/>
                <w:vertAlign w:val="superscript"/>
                <w:lang w:val="en-US"/>
              </w:rPr>
              <w:footnoteReference w:id="1298"/>
            </w:r>
            <w:r w:rsidRPr="00B45592">
              <w:rPr>
                <w:sz w:val="20"/>
                <w:szCs w:val="20"/>
                <w:lang w:val="en-IE"/>
              </w:rPr>
              <w:t xml:space="preserve">). </w:t>
            </w:r>
            <w:r w:rsidRPr="00A86DB0">
              <w:rPr>
                <w:sz w:val="20"/>
                <w:szCs w:val="20"/>
              </w:rPr>
              <w:t>Gleichwohl ist Besitzinteresse zumindest ein Indikator für die legitime Erwartung an die Privatsphäre, welche einen höheren oder geringeren Schutz für die persönliche Freiheit vor unangemessenen Eingriffen bieten kann</w:t>
            </w:r>
            <w:r>
              <w:rPr>
                <w:sz w:val="20"/>
                <w:szCs w:val="20"/>
              </w:rPr>
              <w:t>. Beispielsweise</w:t>
            </w:r>
            <w:r w:rsidRPr="00A86DB0">
              <w:rPr>
                <w:sz w:val="20"/>
                <w:szCs w:val="20"/>
              </w:rPr>
              <w:t xml:space="preserve"> können sich daher Übernachtungsgäste, aber nicht Fahrer eines Autos auf die Privatsphäre gegenüber Durchsuchungen berufen.</w:t>
            </w:r>
            <w:r w:rsidRPr="00A86DB0">
              <w:rPr>
                <w:sz w:val="20"/>
                <w:szCs w:val="20"/>
                <w:vertAlign w:val="superscript"/>
                <w:lang w:val="en-US"/>
              </w:rPr>
              <w:footnoteReference w:id="1299"/>
            </w:r>
            <w:r w:rsidRPr="00A86DB0">
              <w:rPr>
                <w:sz w:val="20"/>
                <w:szCs w:val="20"/>
                <w:vertAlign w:val="superscript"/>
              </w:rPr>
              <w:t xml:space="preserve"> </w:t>
            </w:r>
          </w:p>
          <w:p w14:paraId="24672FD4" w14:textId="77777777" w:rsidR="00074551" w:rsidRPr="00FB4E99" w:rsidRDefault="00074551" w:rsidP="00367133">
            <w:pPr>
              <w:jc w:val="both"/>
              <w:rPr>
                <w:sz w:val="20"/>
                <w:szCs w:val="20"/>
              </w:rPr>
            </w:pPr>
          </w:p>
        </w:tc>
      </w:tr>
      <w:tr w:rsidR="00074551" w:rsidRPr="00E50B51" w14:paraId="5B0F89F4" w14:textId="77777777" w:rsidTr="00BE689F">
        <w:trPr>
          <w:cantSplit/>
          <w:trHeight w:val="3175"/>
        </w:trPr>
        <w:tc>
          <w:tcPr>
            <w:tcW w:w="293" w:type="pct"/>
            <w:shd w:val="clear" w:color="auto" w:fill="FFFFFF" w:themeFill="background1"/>
          </w:tcPr>
          <w:p w14:paraId="69945E02"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7BE77386" w14:textId="77777777" w:rsidR="00074551" w:rsidRDefault="00074551" w:rsidP="00367133">
            <w:pPr>
              <w:ind w:right="416"/>
              <w:jc w:val="center"/>
              <w:rPr>
                <w:sz w:val="20"/>
                <w:szCs w:val="20"/>
              </w:rPr>
            </w:pPr>
            <w:r>
              <w:rPr>
                <w:sz w:val="20"/>
                <w:szCs w:val="20"/>
                <w:lang w:val="en-US"/>
              </w:rPr>
              <w:t>H</w:t>
            </w:r>
          </w:p>
        </w:tc>
        <w:tc>
          <w:tcPr>
            <w:tcW w:w="387" w:type="pct"/>
            <w:shd w:val="clear" w:color="auto" w:fill="FFFFFF" w:themeFill="background1"/>
            <w:textDirection w:val="tbRl"/>
            <w:vAlign w:val="center"/>
          </w:tcPr>
          <w:p w14:paraId="7947E518" w14:textId="77777777" w:rsidR="00074551" w:rsidRPr="00B45592" w:rsidRDefault="00074551" w:rsidP="00367133">
            <w:pPr>
              <w:ind w:left="113" w:right="416"/>
              <w:jc w:val="both"/>
              <w:rPr>
                <w:i/>
                <w:sz w:val="20"/>
                <w:szCs w:val="20"/>
                <w:lang w:val="en-US"/>
              </w:rPr>
            </w:pPr>
            <w:r w:rsidRPr="00B45592">
              <w:rPr>
                <w:i/>
                <w:sz w:val="20"/>
                <w:szCs w:val="20"/>
              </w:rPr>
              <w:t>Meisel v. United States</w:t>
            </w:r>
          </w:p>
        </w:tc>
        <w:tc>
          <w:tcPr>
            <w:tcW w:w="197" w:type="pct"/>
            <w:shd w:val="clear" w:color="auto" w:fill="FFFFFF" w:themeFill="background1"/>
            <w:textDirection w:val="tbRl"/>
            <w:vAlign w:val="center"/>
          </w:tcPr>
          <w:p w14:paraId="562CCEDE" w14:textId="77777777" w:rsidR="00074551" w:rsidRPr="00A86DB0" w:rsidRDefault="00074551" w:rsidP="00367133">
            <w:pPr>
              <w:ind w:left="113" w:right="113"/>
              <w:jc w:val="both"/>
              <w:rPr>
                <w:sz w:val="20"/>
                <w:szCs w:val="20"/>
                <w:lang w:val="en-US"/>
              </w:rPr>
            </w:pPr>
            <w:r w:rsidRPr="005D0846">
              <w:rPr>
                <w:sz w:val="20"/>
                <w:szCs w:val="20"/>
              </w:rPr>
              <w:t>412 U.S. 954</w:t>
            </w:r>
          </w:p>
        </w:tc>
        <w:tc>
          <w:tcPr>
            <w:tcW w:w="306" w:type="pct"/>
            <w:shd w:val="clear" w:color="auto" w:fill="FFFFFF" w:themeFill="background1"/>
            <w:textDirection w:val="tbRl"/>
            <w:vAlign w:val="center"/>
          </w:tcPr>
          <w:p w14:paraId="1008EBF3" w14:textId="77777777" w:rsidR="00074551" w:rsidRDefault="00074551" w:rsidP="00367133">
            <w:pPr>
              <w:ind w:left="113" w:right="113"/>
              <w:jc w:val="both"/>
              <w:rPr>
                <w:sz w:val="20"/>
                <w:szCs w:val="20"/>
              </w:rPr>
            </w:pPr>
            <w:r>
              <w:rPr>
                <w:sz w:val="20"/>
                <w:szCs w:val="20"/>
              </w:rPr>
              <w:t>18. Juni 1973</w:t>
            </w:r>
          </w:p>
        </w:tc>
        <w:tc>
          <w:tcPr>
            <w:tcW w:w="401" w:type="pct"/>
            <w:shd w:val="clear" w:color="auto" w:fill="FFFFFF" w:themeFill="background1"/>
          </w:tcPr>
          <w:p w14:paraId="41507FD3" w14:textId="77777777" w:rsidR="00074551" w:rsidRDefault="00074551" w:rsidP="00367133">
            <w:pPr>
              <w:jc w:val="center"/>
              <w:rPr>
                <w:sz w:val="20"/>
                <w:szCs w:val="20"/>
              </w:rPr>
            </w:pPr>
            <w:r>
              <w:rPr>
                <w:sz w:val="20"/>
                <w:szCs w:val="20"/>
                <w:lang w:val="en-US"/>
              </w:rPr>
              <w:t>D</w:t>
            </w:r>
          </w:p>
        </w:tc>
        <w:tc>
          <w:tcPr>
            <w:tcW w:w="1594" w:type="pct"/>
            <w:shd w:val="clear" w:color="auto" w:fill="FFFFFF" w:themeFill="background1"/>
          </w:tcPr>
          <w:p w14:paraId="4844A47C" w14:textId="77777777" w:rsidR="00074551" w:rsidRPr="0045674A" w:rsidRDefault="00074551" w:rsidP="00367133">
            <w:pPr>
              <w:rPr>
                <w:sz w:val="20"/>
                <w:szCs w:val="20"/>
              </w:rPr>
            </w:pPr>
            <w:r w:rsidRPr="00B45592">
              <w:rPr>
                <w:sz w:val="20"/>
                <w:szCs w:val="20"/>
                <w:lang w:val="en-IE"/>
              </w:rPr>
              <w:t xml:space="preserve">U.S. Supreme Court </w:t>
            </w:r>
            <w:proofErr w:type="spellStart"/>
            <w:r w:rsidRPr="00B45592">
              <w:rPr>
                <w:sz w:val="20"/>
                <w:szCs w:val="20"/>
                <w:lang w:val="en-IE"/>
              </w:rPr>
              <w:t>lehnte</w:t>
            </w:r>
            <w:proofErr w:type="spellEnd"/>
            <w:r w:rsidRPr="00B45592">
              <w:rPr>
                <w:sz w:val="20"/>
                <w:szCs w:val="20"/>
                <w:lang w:val="en-IE"/>
              </w:rPr>
              <w:t xml:space="preserve"> </w:t>
            </w:r>
            <w:r w:rsidRPr="00B45592">
              <w:rPr>
                <w:i/>
                <w:sz w:val="20"/>
                <w:szCs w:val="20"/>
                <w:lang w:val="en-IE"/>
              </w:rPr>
              <w:t>certiorari</w:t>
            </w:r>
            <w:r w:rsidRPr="00B45592">
              <w:rPr>
                <w:sz w:val="20"/>
                <w:szCs w:val="20"/>
                <w:lang w:val="en-IE"/>
              </w:rPr>
              <w:t xml:space="preserve"> ab. </w:t>
            </w:r>
            <w:r w:rsidRPr="0045674A">
              <w:rPr>
                <w:sz w:val="20"/>
                <w:szCs w:val="20"/>
              </w:rPr>
              <w:t xml:space="preserve">Die Kläger, zwei Zeugen (ein Freund und eine Babysitterin von Charles Farrell Malone), </w:t>
            </w:r>
            <w:r>
              <w:rPr>
                <w:sz w:val="20"/>
                <w:szCs w:val="20"/>
              </w:rPr>
              <w:t>hatten</w:t>
            </w:r>
            <w:r w:rsidRPr="0045674A">
              <w:rPr>
                <w:sz w:val="20"/>
                <w:szCs w:val="20"/>
              </w:rPr>
              <w:t xml:space="preserve"> die Aussage vor der Grand Jury</w:t>
            </w:r>
            <w:r>
              <w:rPr>
                <w:sz w:val="20"/>
                <w:szCs w:val="20"/>
              </w:rPr>
              <w:t xml:space="preserve"> verweigert</w:t>
            </w:r>
            <w:r w:rsidRPr="0045674A">
              <w:rPr>
                <w:sz w:val="20"/>
                <w:szCs w:val="20"/>
              </w:rPr>
              <w:t>. Diese untersuchte Waffengeschäfte zwischen irisch-amerikanischen Personen und der IRA. Charles Farrell Malone stand im Mittelpunkt der Untersuchung und bekannte sich später schuldig.</w:t>
            </w:r>
          </w:p>
          <w:p w14:paraId="0766105F" w14:textId="77777777" w:rsidR="00074551" w:rsidRDefault="00074551" w:rsidP="00367133">
            <w:pPr>
              <w:jc w:val="both"/>
              <w:rPr>
                <w:sz w:val="20"/>
                <w:szCs w:val="20"/>
              </w:rPr>
            </w:pPr>
            <w:r w:rsidRPr="0045674A">
              <w:rPr>
                <w:sz w:val="20"/>
                <w:szCs w:val="20"/>
              </w:rPr>
              <w:t>Die Kläger wurden im Oktober 1972 vor die Grand Jury geladen und verweigerten die Aussage. Sie erhielten am 28. November Immunität,</w:t>
            </w:r>
            <w:r>
              <w:rPr>
                <w:rStyle w:val="Funotenzeichen"/>
                <w:sz w:val="20"/>
                <w:szCs w:val="20"/>
              </w:rPr>
              <w:footnoteReference w:id="1300"/>
            </w:r>
            <w:r w:rsidRPr="0045674A">
              <w:rPr>
                <w:sz w:val="20"/>
                <w:szCs w:val="20"/>
              </w:rPr>
              <w:t xml:space="preserve"> verweigerten jedoch weiterhin die Aussage mit der Begründung, die Fragen basierten auf illegaler Überwachung. Das Bezirksgericht erklärte sie wegen Missachtung </w:t>
            </w:r>
            <w:r>
              <w:rPr>
                <w:sz w:val="20"/>
                <w:szCs w:val="20"/>
              </w:rPr>
              <w:t xml:space="preserve">für </w:t>
            </w:r>
            <w:r w:rsidRPr="0045674A">
              <w:rPr>
                <w:sz w:val="20"/>
                <w:szCs w:val="20"/>
              </w:rPr>
              <w:t xml:space="preserve">inhaftiert, ohne eine Anhörung über die </w:t>
            </w:r>
            <w:r>
              <w:rPr>
                <w:sz w:val="20"/>
                <w:szCs w:val="20"/>
              </w:rPr>
              <w:t xml:space="preserve">geltend gemachten </w:t>
            </w:r>
            <w:r w:rsidRPr="0045674A">
              <w:rPr>
                <w:sz w:val="20"/>
                <w:szCs w:val="20"/>
              </w:rPr>
              <w:t>Überwachungsansprüche abzuhalten. Das Berufungsgericht bestätigte die Entscheidung und verweigerte</w:t>
            </w:r>
            <w:r>
              <w:rPr>
                <w:sz w:val="20"/>
                <w:szCs w:val="20"/>
              </w:rPr>
              <w:t xml:space="preserve"> auch eine</w:t>
            </w:r>
            <w:r w:rsidRPr="0045674A">
              <w:rPr>
                <w:sz w:val="20"/>
                <w:szCs w:val="20"/>
              </w:rPr>
              <w:t xml:space="preserve"> Kaution.</w:t>
            </w:r>
            <w:r>
              <w:rPr>
                <w:sz w:val="20"/>
                <w:szCs w:val="20"/>
              </w:rPr>
              <w:t xml:space="preserve"> Doch Richter </w:t>
            </w:r>
            <w:r w:rsidRPr="5B67C1D2">
              <w:rPr>
                <w:i/>
                <w:iCs/>
                <w:sz w:val="20"/>
                <w:szCs w:val="20"/>
              </w:rPr>
              <w:t>Douglas</w:t>
            </w:r>
            <w:r w:rsidRPr="0045674A">
              <w:rPr>
                <w:sz w:val="20"/>
                <w:szCs w:val="20"/>
              </w:rPr>
              <w:t xml:space="preserve"> </w:t>
            </w:r>
            <w:r>
              <w:rPr>
                <w:sz w:val="20"/>
                <w:szCs w:val="20"/>
              </w:rPr>
              <w:t xml:space="preserve">wandte sich in der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Pr>
                <w:sz w:val="20"/>
                <w:szCs w:val="20"/>
              </w:rPr>
              <w:t xml:space="preserve"> dagegen</w:t>
            </w:r>
            <w:r w:rsidRPr="0045674A">
              <w:rPr>
                <w:sz w:val="20"/>
                <w:szCs w:val="20"/>
              </w:rPr>
              <w:t>: Elektronische Überwachung ha</w:t>
            </w:r>
            <w:r>
              <w:rPr>
                <w:sz w:val="20"/>
                <w:szCs w:val="20"/>
              </w:rPr>
              <w:t>be</w:t>
            </w:r>
            <w:r w:rsidRPr="0045674A">
              <w:rPr>
                <w:sz w:val="20"/>
                <w:szCs w:val="20"/>
              </w:rPr>
              <w:t xml:space="preserve"> zunehmend Strafprozesse beeinflusst. Er forderte eine Anhörung zu den Überwachungsansprüchen der Kläger und betonte die Wichtigkeit des Schutzes der Privatsphäre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Pr>
                <w:sz w:val="20"/>
                <w:szCs w:val="20"/>
              </w:rPr>
              <w:t xml:space="preserve"> Denn i</w:t>
            </w:r>
            <w:r w:rsidRPr="0045674A">
              <w:rPr>
                <w:sz w:val="20"/>
                <w:szCs w:val="20"/>
              </w:rPr>
              <w:t xml:space="preserve">n </w:t>
            </w:r>
            <w:r w:rsidRPr="5B67C1D2">
              <w:rPr>
                <w:i/>
                <w:iCs/>
                <w:sz w:val="20"/>
                <w:szCs w:val="20"/>
              </w:rPr>
              <w:t>Alderman v. United States</w:t>
            </w:r>
            <w:r w:rsidRPr="0045674A">
              <w:rPr>
                <w:sz w:val="20"/>
                <w:szCs w:val="20"/>
              </w:rPr>
              <w:t xml:space="preserve"> wurde entschieden, Überwachungsaufzeichnungen </w:t>
            </w:r>
            <w:r>
              <w:rPr>
                <w:sz w:val="20"/>
                <w:szCs w:val="20"/>
              </w:rPr>
              <w:t xml:space="preserve">müssten </w:t>
            </w:r>
            <w:r w:rsidRPr="0045674A">
              <w:rPr>
                <w:sz w:val="20"/>
                <w:szCs w:val="20"/>
              </w:rPr>
              <w:t xml:space="preserve">in </w:t>
            </w:r>
            <w:proofErr w:type="spellStart"/>
            <w:r w:rsidRPr="0045674A">
              <w:rPr>
                <w:sz w:val="20"/>
                <w:szCs w:val="20"/>
              </w:rPr>
              <w:t>adversarialen</w:t>
            </w:r>
            <w:proofErr w:type="spellEnd"/>
            <w:r w:rsidRPr="0045674A">
              <w:rPr>
                <w:sz w:val="20"/>
                <w:szCs w:val="20"/>
              </w:rPr>
              <w:t xml:space="preserve"> Anhörungen geprüft werden. </w:t>
            </w:r>
            <w:r w:rsidRPr="5B67C1D2">
              <w:rPr>
                <w:i/>
                <w:iCs/>
                <w:sz w:val="20"/>
                <w:szCs w:val="20"/>
              </w:rPr>
              <w:t>Douglas</w:t>
            </w:r>
            <w:r w:rsidRPr="0045674A">
              <w:rPr>
                <w:sz w:val="20"/>
                <w:szCs w:val="20"/>
              </w:rPr>
              <w:t xml:space="preserve"> kritisierte das Fehlen einer solchen Anhörung im Fall</w:t>
            </w:r>
            <w:r>
              <w:rPr>
                <w:sz w:val="20"/>
                <w:szCs w:val="20"/>
              </w:rPr>
              <w:t xml:space="preserve">. Er </w:t>
            </w:r>
            <w:r w:rsidRPr="0045674A">
              <w:rPr>
                <w:sz w:val="20"/>
                <w:szCs w:val="20"/>
              </w:rPr>
              <w:t>betonte, dass</w:t>
            </w:r>
            <w:r>
              <w:rPr>
                <w:sz w:val="20"/>
                <w:szCs w:val="20"/>
              </w:rPr>
              <w:t xml:space="preserve"> vielmehr</w:t>
            </w:r>
            <w:r w:rsidRPr="0045674A">
              <w:rPr>
                <w:sz w:val="20"/>
                <w:szCs w:val="20"/>
              </w:rPr>
              <w:t xml:space="preserve"> keine Maßnahme unversucht bleiben sollte, um geheime Überwachungspraktiken aufzudecken.</w:t>
            </w:r>
            <w:r>
              <w:rPr>
                <w:rStyle w:val="Funotenzeichen"/>
                <w:sz w:val="20"/>
                <w:szCs w:val="20"/>
              </w:rPr>
              <w:footnoteReference w:id="1301"/>
            </w:r>
          </w:p>
          <w:p w14:paraId="0C66F2EE" w14:textId="43BB81FB" w:rsidR="0056095C" w:rsidRPr="00E50B51" w:rsidRDefault="0056095C" w:rsidP="00367133">
            <w:pPr>
              <w:jc w:val="both"/>
              <w:rPr>
                <w:sz w:val="20"/>
                <w:szCs w:val="20"/>
              </w:rPr>
            </w:pPr>
          </w:p>
        </w:tc>
        <w:tc>
          <w:tcPr>
            <w:tcW w:w="1822" w:type="pct"/>
            <w:shd w:val="clear" w:color="auto" w:fill="FFFFFF" w:themeFill="background1"/>
          </w:tcPr>
          <w:p w14:paraId="64824BAE" w14:textId="77777777" w:rsidR="00074551" w:rsidRPr="00B45592" w:rsidRDefault="00074551" w:rsidP="00367133">
            <w:pPr>
              <w:rPr>
                <w:i/>
                <w:sz w:val="20"/>
                <w:szCs w:val="20"/>
              </w:rPr>
            </w:pPr>
            <w:r w:rsidRPr="00B45592">
              <w:rPr>
                <w:i/>
                <w:sz w:val="20"/>
                <w:szCs w:val="20"/>
              </w:rPr>
              <w:t>LexisNexis-Klassifikation: Right of Privacy</w:t>
            </w:r>
          </w:p>
          <w:p w14:paraId="759E4D64" w14:textId="77777777" w:rsidR="00074551" w:rsidRPr="007705F0" w:rsidRDefault="00074551" w:rsidP="00367133">
            <w:pPr>
              <w:rPr>
                <w:b/>
                <w:bCs/>
                <w:sz w:val="20"/>
                <w:szCs w:val="20"/>
              </w:rPr>
            </w:pPr>
          </w:p>
          <w:p w14:paraId="550BE6D8" w14:textId="5431EAFB" w:rsidR="00074551" w:rsidRDefault="00074551" w:rsidP="00367133">
            <w:pPr>
              <w:jc w:val="both"/>
              <w:rPr>
                <w:sz w:val="20"/>
                <w:szCs w:val="20"/>
                <w:vertAlign w:val="superscript"/>
              </w:rPr>
            </w:pPr>
            <w:r w:rsidRPr="00B31CE0">
              <w:rPr>
                <w:sz w:val="20"/>
                <w:szCs w:val="20"/>
              </w:rPr>
              <w:t xml:space="preserve">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B31CE0">
              <w:rPr>
                <w:sz w:val="20"/>
                <w:szCs w:val="20"/>
              </w:rPr>
              <w:t xml:space="preserve"> sprach sich für die Möglichkeit aus, staatliche Überwachungsmaßnahmen – trotz Immunität der Betroffenen – überprüfen zu lassen. Denn Abhörmaßnahmen und elektronische Überwachung </w:t>
            </w:r>
            <w:r>
              <w:rPr>
                <w:sz w:val="20"/>
                <w:szCs w:val="20"/>
              </w:rPr>
              <w:t>hätten</w:t>
            </w:r>
            <w:r w:rsidRPr="00B31CE0">
              <w:rPr>
                <w:sz w:val="20"/>
                <w:szCs w:val="20"/>
              </w:rPr>
              <w:t xml:space="preserve"> sich zu Werkzeugen transformiert, die strafrechtliche Verfolgungen ausufern </w:t>
            </w:r>
            <w:r>
              <w:rPr>
                <w:sz w:val="20"/>
                <w:szCs w:val="20"/>
              </w:rPr>
              <w:t>ließen</w:t>
            </w:r>
            <w:r w:rsidRPr="00B31CE0">
              <w:rPr>
                <w:sz w:val="20"/>
                <w:szCs w:val="20"/>
              </w:rPr>
              <w:t xml:space="preserve">. Dies </w:t>
            </w:r>
            <w:r>
              <w:rPr>
                <w:sz w:val="20"/>
                <w:szCs w:val="20"/>
              </w:rPr>
              <w:t>bedürfe</w:t>
            </w:r>
            <w:r w:rsidRPr="00B31CE0">
              <w:rPr>
                <w:sz w:val="20"/>
                <w:szCs w:val="20"/>
              </w:rPr>
              <w:t xml:space="preserve"> Grenzen; doch was </w:t>
            </w:r>
            <w:r>
              <w:rPr>
                <w:sz w:val="20"/>
                <w:szCs w:val="20"/>
              </w:rPr>
              <w:t>seien</w:t>
            </w:r>
            <w:r w:rsidRPr="00B31CE0">
              <w:rPr>
                <w:sz w:val="20"/>
                <w:szCs w:val="20"/>
              </w:rPr>
              <w:t xml:space="preserve"> die</w:t>
            </w:r>
            <w:r>
              <w:rPr>
                <w:sz w:val="20"/>
                <w:szCs w:val="20"/>
              </w:rPr>
              <w:t>se</w:t>
            </w:r>
            <w:r w:rsidRPr="00B31CE0">
              <w:rPr>
                <w:sz w:val="20"/>
                <w:szCs w:val="20"/>
              </w:rPr>
              <w:t xml:space="preserve"> Grenzen? </w:t>
            </w:r>
            <w:r>
              <w:rPr>
                <w:sz w:val="20"/>
                <w:szCs w:val="20"/>
              </w:rPr>
              <w:t>Es seien die</w:t>
            </w:r>
            <w:r w:rsidRPr="00B31CE0">
              <w:rPr>
                <w:sz w:val="20"/>
                <w:szCs w:val="20"/>
              </w:rPr>
              <w:t xml:space="preserve"> Gebote der </w:t>
            </w:r>
            <w:r>
              <w:rPr>
                <w:sz w:val="20"/>
                <w:szCs w:val="20"/>
              </w:rPr>
              <w:t>U.S.</w:t>
            </w:r>
            <w:r w:rsidRPr="00B31CE0">
              <w:rPr>
                <w:sz w:val="20"/>
                <w:szCs w:val="20"/>
              </w:rPr>
              <w:t xml:space="preserve"> </w:t>
            </w:r>
            <w:proofErr w:type="spellStart"/>
            <w:r w:rsidRPr="00B31CE0">
              <w:rPr>
                <w:sz w:val="20"/>
                <w:szCs w:val="20"/>
              </w:rPr>
              <w:t>Const</w:t>
            </w:r>
            <w:proofErr w:type="spellEnd"/>
            <w:r w:rsidRPr="00B31CE0">
              <w:rPr>
                <w:sz w:val="20"/>
                <w:szCs w:val="20"/>
              </w:rPr>
              <w:t>. („</w:t>
            </w:r>
            <w:proofErr w:type="spellStart"/>
            <w:r w:rsidRPr="00B31CE0">
              <w:rPr>
                <w:sz w:val="20"/>
                <w:szCs w:val="20"/>
              </w:rPr>
              <w:t>clear</w:t>
            </w:r>
            <w:proofErr w:type="spellEnd"/>
            <w:r w:rsidRPr="00B31CE0">
              <w:rPr>
                <w:sz w:val="20"/>
                <w:szCs w:val="20"/>
              </w:rPr>
              <w:t xml:space="preserve"> </w:t>
            </w:r>
            <w:proofErr w:type="spellStart"/>
            <w:r w:rsidRPr="00B31CE0">
              <w:rPr>
                <w:sz w:val="20"/>
                <w:szCs w:val="20"/>
              </w:rPr>
              <w:t>mandate</w:t>
            </w:r>
            <w:proofErr w:type="spellEnd"/>
            <w:r w:rsidRPr="00B31CE0">
              <w:rPr>
                <w:sz w:val="20"/>
                <w:szCs w:val="20"/>
              </w:rPr>
              <w:t xml:space="preserve"> of </w:t>
            </w:r>
            <w:proofErr w:type="spellStart"/>
            <w:r w:rsidRPr="00B31CE0">
              <w:rPr>
                <w:sz w:val="20"/>
                <w:szCs w:val="20"/>
              </w:rPr>
              <w:t>our</w:t>
            </w:r>
            <w:proofErr w:type="spellEnd"/>
            <w:r w:rsidRPr="00B31CE0">
              <w:rPr>
                <w:sz w:val="20"/>
                <w:szCs w:val="20"/>
              </w:rPr>
              <w:t xml:space="preserve"> </w:t>
            </w:r>
            <w:proofErr w:type="spellStart"/>
            <w:r w:rsidRPr="00B31CE0">
              <w:rPr>
                <w:sz w:val="20"/>
                <w:szCs w:val="20"/>
              </w:rPr>
              <w:t>Constitution</w:t>
            </w:r>
            <w:proofErr w:type="spellEnd"/>
            <w:r w:rsidRPr="00B31CE0">
              <w:rPr>
                <w:sz w:val="20"/>
                <w:szCs w:val="20"/>
              </w:rPr>
              <w:t xml:space="preserve"> </w:t>
            </w:r>
            <w:proofErr w:type="spellStart"/>
            <w:r w:rsidRPr="00B31CE0">
              <w:rPr>
                <w:sz w:val="20"/>
                <w:szCs w:val="20"/>
              </w:rPr>
              <w:t>or</w:t>
            </w:r>
            <w:proofErr w:type="spellEnd"/>
            <w:r w:rsidRPr="00B31CE0">
              <w:rPr>
                <w:sz w:val="20"/>
                <w:szCs w:val="20"/>
              </w:rPr>
              <w:t xml:space="preserve"> </w:t>
            </w:r>
            <w:proofErr w:type="spellStart"/>
            <w:r w:rsidRPr="00B31CE0">
              <w:rPr>
                <w:sz w:val="20"/>
                <w:szCs w:val="20"/>
              </w:rPr>
              <w:t>laws</w:t>
            </w:r>
            <w:proofErr w:type="spellEnd"/>
            <w:r w:rsidRPr="00B31CE0">
              <w:rPr>
                <w:sz w:val="20"/>
                <w:szCs w:val="20"/>
              </w:rPr>
              <w:t>“</w:t>
            </w:r>
            <w:r w:rsidRPr="00B31CE0">
              <w:rPr>
                <w:sz w:val="20"/>
                <w:szCs w:val="20"/>
                <w:vertAlign w:val="superscript"/>
              </w:rPr>
              <w:footnoteReference w:id="1302"/>
            </w:r>
            <w:r w:rsidRPr="00B31CE0">
              <w:rPr>
                <w:sz w:val="20"/>
                <w:szCs w:val="20"/>
              </w:rPr>
              <w:t xml:space="preserve">). Eine Herleitung dafür laute: Die Autoren beabsichtigten mit der </w:t>
            </w:r>
            <w:r>
              <w:rPr>
                <w:sz w:val="20"/>
                <w:szCs w:val="20"/>
              </w:rPr>
              <w:t>U.S.</w:t>
            </w:r>
            <w:r w:rsidRPr="00B31CE0">
              <w:rPr>
                <w:sz w:val="20"/>
                <w:szCs w:val="20"/>
              </w:rPr>
              <w:t xml:space="preserve"> </w:t>
            </w:r>
            <w:proofErr w:type="spellStart"/>
            <w:r w:rsidRPr="00B31CE0">
              <w:rPr>
                <w:sz w:val="20"/>
                <w:szCs w:val="20"/>
              </w:rPr>
              <w:t>Const</w:t>
            </w:r>
            <w:proofErr w:type="spellEnd"/>
            <w:r w:rsidRPr="00B31CE0">
              <w:rPr>
                <w:sz w:val="20"/>
                <w:szCs w:val="20"/>
              </w:rPr>
              <w:t xml:space="preserve">., Bedingungen zu schaffen, die das Streben nach Glück begünstigen („The </w:t>
            </w:r>
            <w:proofErr w:type="spellStart"/>
            <w:r w:rsidRPr="00B31CE0">
              <w:rPr>
                <w:sz w:val="20"/>
                <w:szCs w:val="20"/>
              </w:rPr>
              <w:t>makers</w:t>
            </w:r>
            <w:proofErr w:type="spellEnd"/>
            <w:r w:rsidRPr="00B31CE0">
              <w:rPr>
                <w:sz w:val="20"/>
                <w:szCs w:val="20"/>
              </w:rPr>
              <w:t xml:space="preserve"> of </w:t>
            </w:r>
            <w:proofErr w:type="spellStart"/>
            <w:r w:rsidRPr="00B31CE0">
              <w:rPr>
                <w:sz w:val="20"/>
                <w:szCs w:val="20"/>
              </w:rPr>
              <w:t>our</w:t>
            </w:r>
            <w:proofErr w:type="spellEnd"/>
            <w:r w:rsidRPr="00B31CE0">
              <w:rPr>
                <w:sz w:val="20"/>
                <w:szCs w:val="20"/>
              </w:rPr>
              <w:t xml:space="preserve"> </w:t>
            </w:r>
            <w:proofErr w:type="spellStart"/>
            <w:r w:rsidRPr="00B31CE0">
              <w:rPr>
                <w:sz w:val="20"/>
                <w:szCs w:val="20"/>
              </w:rPr>
              <w:t>Constitution</w:t>
            </w:r>
            <w:proofErr w:type="spellEnd"/>
            <w:r w:rsidRPr="00B31CE0">
              <w:rPr>
                <w:sz w:val="20"/>
                <w:szCs w:val="20"/>
              </w:rPr>
              <w:t xml:space="preserve"> </w:t>
            </w:r>
            <w:proofErr w:type="spellStart"/>
            <w:r w:rsidRPr="00B31CE0">
              <w:rPr>
                <w:sz w:val="20"/>
                <w:szCs w:val="20"/>
              </w:rPr>
              <w:t>undertook</w:t>
            </w:r>
            <w:proofErr w:type="spellEnd"/>
            <w:r w:rsidRPr="00B31CE0">
              <w:rPr>
                <w:sz w:val="20"/>
                <w:szCs w:val="20"/>
              </w:rPr>
              <w:t xml:space="preserve"> to </w:t>
            </w:r>
            <w:proofErr w:type="spellStart"/>
            <w:r w:rsidRPr="00B31CE0">
              <w:rPr>
                <w:sz w:val="20"/>
                <w:szCs w:val="20"/>
              </w:rPr>
              <w:t>secure</w:t>
            </w:r>
            <w:proofErr w:type="spellEnd"/>
            <w:r w:rsidRPr="00B31CE0">
              <w:rPr>
                <w:sz w:val="20"/>
                <w:szCs w:val="20"/>
              </w:rPr>
              <w:t xml:space="preserve"> </w:t>
            </w:r>
            <w:proofErr w:type="spellStart"/>
            <w:r w:rsidRPr="00B31CE0">
              <w:rPr>
                <w:sz w:val="20"/>
                <w:szCs w:val="20"/>
              </w:rPr>
              <w:t>conditions</w:t>
            </w:r>
            <w:proofErr w:type="spellEnd"/>
            <w:r w:rsidRPr="00B31CE0">
              <w:rPr>
                <w:sz w:val="20"/>
                <w:szCs w:val="20"/>
              </w:rPr>
              <w:t xml:space="preserve"> favorable to the </w:t>
            </w:r>
            <w:proofErr w:type="spellStart"/>
            <w:r w:rsidRPr="00B31CE0">
              <w:rPr>
                <w:sz w:val="20"/>
                <w:szCs w:val="20"/>
              </w:rPr>
              <w:t>pursuit</w:t>
            </w:r>
            <w:proofErr w:type="spellEnd"/>
            <w:r w:rsidRPr="00B31CE0">
              <w:rPr>
                <w:sz w:val="20"/>
                <w:szCs w:val="20"/>
              </w:rPr>
              <w:t xml:space="preserve"> of </w:t>
            </w:r>
            <w:proofErr w:type="spellStart"/>
            <w:r w:rsidRPr="00B31CE0">
              <w:rPr>
                <w:sz w:val="20"/>
                <w:szCs w:val="20"/>
              </w:rPr>
              <w:t>happiness</w:t>
            </w:r>
            <w:proofErr w:type="spellEnd"/>
            <w:r w:rsidRPr="00B31CE0">
              <w:rPr>
                <w:sz w:val="20"/>
                <w:szCs w:val="20"/>
              </w:rPr>
              <w:t>.“</w:t>
            </w:r>
            <w:r w:rsidRPr="00B31CE0">
              <w:rPr>
                <w:sz w:val="20"/>
                <w:szCs w:val="20"/>
                <w:vertAlign w:val="superscript"/>
              </w:rPr>
              <w:t xml:space="preserve"> </w:t>
            </w:r>
            <w:r w:rsidRPr="00B31CE0">
              <w:rPr>
                <w:sz w:val="20"/>
                <w:szCs w:val="20"/>
                <w:vertAlign w:val="superscript"/>
              </w:rPr>
              <w:footnoteReference w:id="1303"/>
            </w:r>
            <w:r w:rsidRPr="00B31CE0">
              <w:rPr>
                <w:sz w:val="20"/>
                <w:szCs w:val="20"/>
              </w:rPr>
              <w:t>). Das meint: Die Innenwelt des Menschen – also seine Gefühle, seine Gedanken und sein Intellekt – </w:t>
            </w:r>
            <w:r>
              <w:rPr>
                <w:sz w:val="20"/>
                <w:szCs w:val="20"/>
              </w:rPr>
              <w:t xml:space="preserve">sei </w:t>
            </w:r>
            <w:r w:rsidRPr="00B31CE0">
              <w:rPr>
                <w:sz w:val="20"/>
                <w:szCs w:val="20"/>
              </w:rPr>
              <w:t xml:space="preserve">bei staatlichen Maßnahmen genauso zu achten, wie materielle Bedingungen </w:t>
            </w:r>
            <w:r>
              <w:rPr>
                <w:sz w:val="20"/>
                <w:szCs w:val="20"/>
              </w:rPr>
              <w:t>für Glücksstreben zu ermöglichen seien</w:t>
            </w:r>
            <w:r w:rsidRPr="00B31CE0">
              <w:rPr>
                <w:sz w:val="20"/>
                <w:szCs w:val="20"/>
              </w:rPr>
              <w:t>. Beides fass</w:t>
            </w:r>
            <w:r>
              <w:rPr>
                <w:sz w:val="20"/>
                <w:szCs w:val="20"/>
              </w:rPr>
              <w:t>e</w:t>
            </w:r>
            <w:r w:rsidRPr="00B31CE0">
              <w:rPr>
                <w:sz w:val="20"/>
                <w:szCs w:val="20"/>
              </w:rPr>
              <w:t xml:space="preserve"> sich zusammen im Recht darauf, in Ruhe gelassen zu werden – das umfassendste Recht zivilisierter Menschen (</w:t>
            </w:r>
            <w:r>
              <w:rPr>
                <w:sz w:val="20"/>
                <w:szCs w:val="20"/>
              </w:rPr>
              <w:t>„</w:t>
            </w:r>
            <w:proofErr w:type="spellStart"/>
            <w:r w:rsidRPr="00B31CE0">
              <w:rPr>
                <w:sz w:val="20"/>
                <w:szCs w:val="20"/>
              </w:rPr>
              <w:t>right</w:t>
            </w:r>
            <w:proofErr w:type="spellEnd"/>
            <w:r w:rsidRPr="00B31CE0">
              <w:rPr>
                <w:sz w:val="20"/>
                <w:szCs w:val="20"/>
              </w:rPr>
              <w:t xml:space="preserve"> to </w:t>
            </w:r>
            <w:proofErr w:type="spellStart"/>
            <w:r w:rsidRPr="00B31CE0">
              <w:rPr>
                <w:sz w:val="20"/>
                <w:szCs w:val="20"/>
              </w:rPr>
              <w:t>be</w:t>
            </w:r>
            <w:proofErr w:type="spellEnd"/>
            <w:r w:rsidRPr="00B31CE0">
              <w:rPr>
                <w:sz w:val="20"/>
                <w:szCs w:val="20"/>
              </w:rPr>
              <w:t xml:space="preserve"> </w:t>
            </w:r>
            <w:proofErr w:type="spellStart"/>
            <w:r w:rsidRPr="00B31CE0">
              <w:rPr>
                <w:sz w:val="20"/>
                <w:szCs w:val="20"/>
              </w:rPr>
              <w:t>let</w:t>
            </w:r>
            <w:proofErr w:type="spellEnd"/>
            <w:r w:rsidRPr="00B31CE0">
              <w:rPr>
                <w:sz w:val="20"/>
                <w:szCs w:val="20"/>
              </w:rPr>
              <w:t xml:space="preserve"> </w:t>
            </w:r>
            <w:proofErr w:type="spellStart"/>
            <w:r w:rsidRPr="00B31CE0">
              <w:rPr>
                <w:sz w:val="20"/>
                <w:szCs w:val="20"/>
              </w:rPr>
              <w:t>alone</w:t>
            </w:r>
            <w:proofErr w:type="spellEnd"/>
            <w:r>
              <w:rPr>
                <w:sz w:val="20"/>
                <w:szCs w:val="20"/>
              </w:rPr>
              <w:t> –</w:t>
            </w:r>
            <w:r w:rsidRPr="00B31CE0">
              <w:rPr>
                <w:sz w:val="20"/>
                <w:szCs w:val="20"/>
              </w:rPr>
              <w:t xml:space="preserve"> the </w:t>
            </w:r>
            <w:proofErr w:type="spellStart"/>
            <w:r w:rsidRPr="00B31CE0">
              <w:rPr>
                <w:sz w:val="20"/>
                <w:szCs w:val="20"/>
              </w:rPr>
              <w:t>most</w:t>
            </w:r>
            <w:proofErr w:type="spellEnd"/>
            <w:r w:rsidRPr="00B31CE0">
              <w:rPr>
                <w:sz w:val="20"/>
                <w:szCs w:val="20"/>
              </w:rPr>
              <w:t xml:space="preserve"> </w:t>
            </w:r>
            <w:proofErr w:type="spellStart"/>
            <w:r w:rsidRPr="00B31CE0">
              <w:rPr>
                <w:sz w:val="20"/>
                <w:szCs w:val="20"/>
              </w:rPr>
              <w:t>comprehensive</w:t>
            </w:r>
            <w:proofErr w:type="spellEnd"/>
            <w:r w:rsidRPr="00B31CE0">
              <w:rPr>
                <w:sz w:val="20"/>
                <w:szCs w:val="20"/>
              </w:rPr>
              <w:t xml:space="preserve"> of </w:t>
            </w:r>
            <w:proofErr w:type="spellStart"/>
            <w:r w:rsidRPr="00B31CE0">
              <w:rPr>
                <w:sz w:val="20"/>
                <w:szCs w:val="20"/>
              </w:rPr>
              <w:t>rights</w:t>
            </w:r>
            <w:proofErr w:type="spellEnd"/>
            <w:r w:rsidRPr="00B31CE0">
              <w:rPr>
                <w:sz w:val="20"/>
                <w:szCs w:val="20"/>
              </w:rPr>
              <w:t xml:space="preserve"> and the </w:t>
            </w:r>
            <w:proofErr w:type="spellStart"/>
            <w:r w:rsidRPr="00B31CE0">
              <w:rPr>
                <w:sz w:val="20"/>
                <w:szCs w:val="20"/>
              </w:rPr>
              <w:t>right</w:t>
            </w:r>
            <w:proofErr w:type="spellEnd"/>
            <w:r w:rsidRPr="00B31CE0">
              <w:rPr>
                <w:sz w:val="20"/>
                <w:szCs w:val="20"/>
              </w:rPr>
              <w:t xml:space="preserve"> </w:t>
            </w:r>
            <w:proofErr w:type="spellStart"/>
            <w:r w:rsidRPr="00B31CE0">
              <w:rPr>
                <w:sz w:val="20"/>
                <w:szCs w:val="20"/>
              </w:rPr>
              <w:t>most</w:t>
            </w:r>
            <w:proofErr w:type="spellEnd"/>
            <w:r w:rsidRPr="00B31CE0">
              <w:rPr>
                <w:sz w:val="20"/>
                <w:szCs w:val="20"/>
              </w:rPr>
              <w:t xml:space="preserve"> </w:t>
            </w:r>
            <w:proofErr w:type="spellStart"/>
            <w:r w:rsidRPr="00B31CE0">
              <w:rPr>
                <w:sz w:val="20"/>
                <w:szCs w:val="20"/>
              </w:rPr>
              <w:t>valued</w:t>
            </w:r>
            <w:proofErr w:type="spellEnd"/>
            <w:r w:rsidRPr="00B31CE0">
              <w:rPr>
                <w:sz w:val="20"/>
                <w:szCs w:val="20"/>
              </w:rPr>
              <w:t xml:space="preserve"> by </w:t>
            </w:r>
            <w:proofErr w:type="spellStart"/>
            <w:r w:rsidRPr="00B31CE0">
              <w:rPr>
                <w:sz w:val="20"/>
                <w:szCs w:val="20"/>
              </w:rPr>
              <w:t>civilized</w:t>
            </w:r>
            <w:proofErr w:type="spellEnd"/>
            <w:r w:rsidRPr="00B31CE0">
              <w:rPr>
                <w:sz w:val="20"/>
                <w:szCs w:val="20"/>
              </w:rPr>
              <w:t xml:space="preserve"> </w:t>
            </w:r>
            <w:proofErr w:type="spellStart"/>
            <w:r w:rsidRPr="00B31CE0">
              <w:rPr>
                <w:sz w:val="20"/>
                <w:szCs w:val="20"/>
              </w:rPr>
              <w:t>men</w:t>
            </w:r>
            <w:proofErr w:type="spellEnd"/>
            <w:r w:rsidRPr="00B31CE0">
              <w:rPr>
                <w:sz w:val="20"/>
                <w:szCs w:val="20"/>
              </w:rPr>
              <w:t>“</w:t>
            </w:r>
            <w:r w:rsidRPr="00B31CE0">
              <w:rPr>
                <w:sz w:val="20"/>
                <w:szCs w:val="20"/>
                <w:vertAlign w:val="superscript"/>
              </w:rPr>
              <w:footnoteReference w:id="1304"/>
            </w:r>
            <w:r w:rsidRPr="00B31CE0">
              <w:rPr>
                <w:sz w:val="20"/>
                <w:szCs w:val="20"/>
              </w:rPr>
              <w:t xml:space="preserve">). Und um dieses Recht zu schützen, </w:t>
            </w:r>
            <w:r>
              <w:rPr>
                <w:sz w:val="20"/>
                <w:szCs w:val="20"/>
              </w:rPr>
              <w:t>müsse</w:t>
            </w:r>
            <w:r w:rsidRPr="00B31CE0">
              <w:rPr>
                <w:sz w:val="20"/>
                <w:szCs w:val="20"/>
              </w:rPr>
              <w:t xml:space="preserve"> jeder ungerechtfertigte Eingriff der Regierung in die Privatsphäre, unabhängig von den eingesetzten Mitteln, erst einmal als Verletzung </w:t>
            </w:r>
            <w:r>
              <w:rPr>
                <w:sz w:val="20"/>
                <w:szCs w:val="20"/>
              </w:rPr>
              <w:t>von</w:t>
            </w:r>
            <w:r w:rsidRPr="00B31CE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B31CE0">
              <w:rPr>
                <w:sz w:val="20"/>
                <w:szCs w:val="20"/>
              </w:rPr>
              <w:t xml:space="preserve"> angesehen werden.</w:t>
            </w:r>
            <w:r w:rsidRPr="00B31CE0">
              <w:rPr>
                <w:sz w:val="20"/>
                <w:szCs w:val="20"/>
                <w:vertAlign w:val="superscript"/>
              </w:rPr>
              <w:footnoteReference w:id="1305"/>
            </w:r>
            <w:r w:rsidRPr="00B31CE0">
              <w:rPr>
                <w:sz w:val="20"/>
                <w:szCs w:val="20"/>
              </w:rPr>
              <w:t xml:space="preserve"> Daher habe der Staat solche Überwachungen stets zu rechtfertigen und auf Verlangen auch überprüfen zu lassen.</w:t>
            </w:r>
            <w:r w:rsidRPr="00B31CE0">
              <w:rPr>
                <w:sz w:val="20"/>
                <w:szCs w:val="20"/>
                <w:vertAlign w:val="superscript"/>
              </w:rPr>
              <w:t xml:space="preserve"> </w:t>
            </w:r>
            <w:r w:rsidRPr="00B31CE0">
              <w:rPr>
                <w:sz w:val="20"/>
                <w:szCs w:val="20"/>
                <w:vertAlign w:val="superscript"/>
              </w:rPr>
              <w:footnoteReference w:id="1306"/>
            </w:r>
          </w:p>
          <w:p w14:paraId="44A3CD80" w14:textId="77777777" w:rsidR="00074551" w:rsidRPr="00031581" w:rsidRDefault="00074551" w:rsidP="00367133">
            <w:pPr>
              <w:jc w:val="both"/>
              <w:rPr>
                <w:sz w:val="20"/>
                <w:szCs w:val="20"/>
              </w:rPr>
            </w:pPr>
          </w:p>
        </w:tc>
      </w:tr>
      <w:tr w:rsidR="00074551" w:rsidRPr="00E50B51" w14:paraId="39E6BEF7" w14:textId="77777777" w:rsidTr="00203768">
        <w:trPr>
          <w:cantSplit/>
          <w:trHeight w:val="3175"/>
        </w:trPr>
        <w:tc>
          <w:tcPr>
            <w:tcW w:w="293" w:type="pct"/>
            <w:shd w:val="clear" w:color="auto" w:fill="E7E6E6" w:themeFill="background2"/>
          </w:tcPr>
          <w:p w14:paraId="7E2C496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0408E69D"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6483C19E" w14:textId="77777777" w:rsidR="00074551" w:rsidRPr="00E50B51" w:rsidRDefault="00074551" w:rsidP="00367133">
            <w:pPr>
              <w:ind w:left="113" w:right="113"/>
              <w:jc w:val="both"/>
              <w:rPr>
                <w:sz w:val="20"/>
                <w:szCs w:val="20"/>
                <w:lang w:val="en-US"/>
              </w:rPr>
            </w:pPr>
            <w:proofErr w:type="spellStart"/>
            <w:r w:rsidRPr="00E50B51">
              <w:rPr>
                <w:sz w:val="20"/>
                <w:szCs w:val="20"/>
              </w:rPr>
              <w:t>Judicial</w:t>
            </w:r>
            <w:proofErr w:type="spellEnd"/>
            <w:r w:rsidRPr="00E50B51">
              <w:rPr>
                <w:sz w:val="20"/>
                <w:szCs w:val="20"/>
              </w:rPr>
              <w:t xml:space="preserve"> and Legislative Restraints</w:t>
            </w:r>
          </w:p>
        </w:tc>
        <w:tc>
          <w:tcPr>
            <w:tcW w:w="306" w:type="pct"/>
            <w:shd w:val="clear" w:color="auto" w:fill="E7E6E6" w:themeFill="background2"/>
            <w:textDirection w:val="tbRl"/>
            <w:vAlign w:val="center"/>
          </w:tcPr>
          <w:p w14:paraId="2DA7A729"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13C4A4CB"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79F2AB80" w14:textId="77777777" w:rsidR="00074551" w:rsidRPr="00E50B51" w:rsidRDefault="00074551" w:rsidP="00367133">
            <w:pPr>
              <w:jc w:val="both"/>
              <w:rPr>
                <w:sz w:val="20"/>
                <w:szCs w:val="20"/>
              </w:rPr>
            </w:pPr>
          </w:p>
        </w:tc>
        <w:tc>
          <w:tcPr>
            <w:tcW w:w="1822" w:type="pct"/>
            <w:shd w:val="clear" w:color="auto" w:fill="E7E6E6" w:themeFill="background2"/>
          </w:tcPr>
          <w:p w14:paraId="6DAA50B2" w14:textId="6ED3B9AA"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61A390E8" w14:textId="77777777" w:rsidTr="00BE689F">
        <w:trPr>
          <w:cantSplit/>
          <w:trHeight w:val="3175"/>
        </w:trPr>
        <w:tc>
          <w:tcPr>
            <w:tcW w:w="293" w:type="pct"/>
          </w:tcPr>
          <w:p w14:paraId="6438DEC6"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4C731FC" w14:textId="77777777" w:rsidR="00074551" w:rsidRPr="00E50B51" w:rsidRDefault="00074551" w:rsidP="00367133">
            <w:pPr>
              <w:ind w:left="113" w:right="416"/>
              <w:jc w:val="both"/>
              <w:rPr>
                <w:sz w:val="20"/>
                <w:szCs w:val="20"/>
                <w:lang w:val="en-US"/>
              </w:rPr>
            </w:pPr>
            <w:r w:rsidRPr="009167A5">
              <w:rPr>
                <w:i/>
                <w:sz w:val="20"/>
                <w:szCs w:val="20"/>
                <w:lang w:val="en-US"/>
              </w:rPr>
              <w:t>Senn v. Tile Layers Protective Union</w:t>
            </w:r>
          </w:p>
        </w:tc>
        <w:tc>
          <w:tcPr>
            <w:tcW w:w="197" w:type="pct"/>
            <w:textDirection w:val="tbRl"/>
            <w:vAlign w:val="center"/>
          </w:tcPr>
          <w:p w14:paraId="18D58B82" w14:textId="77777777" w:rsidR="00074551" w:rsidRPr="00E50B51" w:rsidRDefault="00074551" w:rsidP="00367133">
            <w:pPr>
              <w:ind w:left="113" w:right="113"/>
              <w:jc w:val="both"/>
              <w:rPr>
                <w:sz w:val="20"/>
                <w:szCs w:val="20"/>
                <w:lang w:val="en-US"/>
              </w:rPr>
            </w:pPr>
            <w:r w:rsidRPr="00E50B51">
              <w:rPr>
                <w:sz w:val="20"/>
                <w:szCs w:val="20"/>
                <w:lang w:val="en-US"/>
              </w:rPr>
              <w:t>301 U.S. 468</w:t>
            </w:r>
          </w:p>
        </w:tc>
        <w:tc>
          <w:tcPr>
            <w:tcW w:w="306" w:type="pct"/>
            <w:textDirection w:val="tbRl"/>
            <w:vAlign w:val="center"/>
          </w:tcPr>
          <w:p w14:paraId="5355B08C" w14:textId="77777777" w:rsidR="00074551" w:rsidRPr="00E50B51" w:rsidRDefault="00074551" w:rsidP="00367133">
            <w:pPr>
              <w:ind w:left="113" w:right="113"/>
              <w:jc w:val="both"/>
              <w:rPr>
                <w:sz w:val="20"/>
                <w:szCs w:val="20"/>
              </w:rPr>
            </w:pPr>
            <w:r w:rsidRPr="00E50B51">
              <w:rPr>
                <w:sz w:val="20"/>
                <w:szCs w:val="20"/>
              </w:rPr>
              <w:t>24. Mai 1937</w:t>
            </w:r>
          </w:p>
        </w:tc>
        <w:tc>
          <w:tcPr>
            <w:tcW w:w="401" w:type="pct"/>
          </w:tcPr>
          <w:p w14:paraId="1962DF27"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01178B0D" w14:textId="77777777" w:rsidR="00074551" w:rsidRPr="00E50B51" w:rsidRDefault="00074551" w:rsidP="00367133">
            <w:pPr>
              <w:jc w:val="both"/>
              <w:rPr>
                <w:sz w:val="20"/>
                <w:szCs w:val="20"/>
              </w:rPr>
            </w:pPr>
            <w:r w:rsidRPr="00E50B51">
              <w:rPr>
                <w:sz w:val="20"/>
                <w:szCs w:val="20"/>
              </w:rPr>
              <w:t>*</w:t>
            </w:r>
          </w:p>
        </w:tc>
        <w:tc>
          <w:tcPr>
            <w:tcW w:w="1822" w:type="pct"/>
          </w:tcPr>
          <w:p w14:paraId="7F3E27D1" w14:textId="2E6F28D3" w:rsidR="00074551" w:rsidRPr="001816EB" w:rsidRDefault="00074551" w:rsidP="00367133">
            <w:pPr>
              <w:jc w:val="both"/>
              <w:rPr>
                <w:sz w:val="20"/>
                <w:szCs w:val="20"/>
              </w:rPr>
            </w:pPr>
            <w:r w:rsidRPr="001816EB">
              <w:rPr>
                <w:sz w:val="20"/>
                <w:szCs w:val="20"/>
              </w:rPr>
              <w:t xml:space="preserve">In </w:t>
            </w:r>
            <w:r w:rsidRPr="5B67C1D2">
              <w:rPr>
                <w:i/>
                <w:iCs/>
                <w:sz w:val="20"/>
                <w:szCs w:val="20"/>
              </w:rPr>
              <w:t xml:space="preserve">Senn v. </w:t>
            </w:r>
            <w:proofErr w:type="spellStart"/>
            <w:r w:rsidRPr="5B67C1D2">
              <w:rPr>
                <w:i/>
                <w:iCs/>
                <w:sz w:val="20"/>
                <w:szCs w:val="20"/>
              </w:rPr>
              <w:t>Tile</w:t>
            </w:r>
            <w:proofErr w:type="spellEnd"/>
            <w:r w:rsidRPr="5B67C1D2">
              <w:rPr>
                <w:i/>
                <w:iCs/>
                <w:sz w:val="20"/>
                <w:szCs w:val="20"/>
              </w:rPr>
              <w:t xml:space="preserve"> Layers </w:t>
            </w:r>
            <w:proofErr w:type="spellStart"/>
            <w:r w:rsidRPr="5B67C1D2">
              <w:rPr>
                <w:i/>
                <w:iCs/>
                <w:sz w:val="20"/>
                <w:szCs w:val="20"/>
              </w:rPr>
              <w:t>Protective</w:t>
            </w:r>
            <w:proofErr w:type="spellEnd"/>
            <w:r w:rsidRPr="5B67C1D2">
              <w:rPr>
                <w:i/>
                <w:iCs/>
                <w:sz w:val="20"/>
                <w:szCs w:val="20"/>
              </w:rPr>
              <w:t xml:space="preserve"> Union</w:t>
            </w:r>
            <w:r w:rsidRPr="001816EB">
              <w:rPr>
                <w:sz w:val="20"/>
                <w:szCs w:val="20"/>
              </w:rPr>
              <w:t xml:space="preserve"> bestätigte der </w:t>
            </w:r>
            <w:r>
              <w:rPr>
                <w:sz w:val="20"/>
                <w:szCs w:val="20"/>
              </w:rPr>
              <w:t>U.S. Supreme Court</w:t>
            </w:r>
            <w:r w:rsidRPr="001816EB">
              <w:rPr>
                <w:sz w:val="20"/>
                <w:szCs w:val="20"/>
              </w:rPr>
              <w:t xml:space="preserve"> eine Entscheidungsreihe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001816EB">
              <w:rPr>
                <w:sz w:val="20"/>
                <w:szCs w:val="20"/>
              </w:rPr>
              <w:t>),</w:t>
            </w:r>
            <w:r w:rsidRPr="001816EB">
              <w:rPr>
                <w:sz w:val="20"/>
                <w:szCs w:val="20"/>
                <w:vertAlign w:val="superscript"/>
              </w:rPr>
              <w:footnoteReference w:id="1307"/>
            </w:r>
            <w:r w:rsidRPr="001816EB">
              <w:rPr>
                <w:sz w:val="20"/>
                <w:szCs w:val="20"/>
              </w:rPr>
              <w:t xml:space="preserve"> die meinte, die Berufsfreiheit und de</w:t>
            </w:r>
            <w:r>
              <w:rPr>
                <w:sz w:val="20"/>
                <w:szCs w:val="20"/>
              </w:rPr>
              <w:t>r</w:t>
            </w:r>
            <w:r w:rsidRPr="001816EB">
              <w:rPr>
                <w:sz w:val="20"/>
                <w:szCs w:val="20"/>
              </w:rPr>
              <w:t>en Ausübung seien essenziell, um Bedingungen für ein Streben nach Glück zu errichten; sie</w:t>
            </w:r>
            <w:r w:rsidRPr="5B67C1D2">
              <w:rPr>
                <w:sz w:val="20"/>
                <w:szCs w:val="20"/>
              </w:rPr>
              <w:t xml:space="preserve"> sei Teil des Freiheitsbegriffs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p>
          <w:p w14:paraId="0E8A82AD" w14:textId="70E01F36" w:rsidR="00074551" w:rsidRPr="001816EB" w:rsidRDefault="00074551" w:rsidP="00367133">
            <w:pPr>
              <w:jc w:val="both"/>
              <w:rPr>
                <w:iCs/>
                <w:sz w:val="20"/>
                <w:szCs w:val="20"/>
              </w:rPr>
            </w:pPr>
            <w:r w:rsidRPr="001816EB">
              <w:rPr>
                <w:sz w:val="20"/>
                <w:szCs w:val="20"/>
              </w:rPr>
              <w:t xml:space="preserve">Im Urteil übte der </w:t>
            </w:r>
            <w:r>
              <w:rPr>
                <w:sz w:val="20"/>
                <w:szCs w:val="20"/>
              </w:rPr>
              <w:t>U.S. Supreme Court</w:t>
            </w:r>
            <w:r w:rsidRPr="001816EB">
              <w:rPr>
                <w:sz w:val="20"/>
                <w:szCs w:val="20"/>
              </w:rPr>
              <w:t xml:space="preserve"> einen sog. </w:t>
            </w:r>
            <w:proofErr w:type="spellStart"/>
            <w:r w:rsidRPr="5B67C1D2">
              <w:rPr>
                <w:i/>
                <w:iCs/>
                <w:sz w:val="20"/>
                <w:szCs w:val="20"/>
              </w:rPr>
              <w:t>judicial</w:t>
            </w:r>
            <w:proofErr w:type="spellEnd"/>
            <w:r w:rsidRPr="5B67C1D2">
              <w:rPr>
                <w:i/>
                <w:iCs/>
                <w:sz w:val="20"/>
                <w:szCs w:val="20"/>
              </w:rPr>
              <w:t xml:space="preserve"> restraint </w:t>
            </w:r>
            <w:r w:rsidRPr="5B67C1D2">
              <w:rPr>
                <w:sz w:val="20"/>
                <w:szCs w:val="20"/>
              </w:rPr>
              <w:t xml:space="preserve">aus. Gemeint ist die Wahrung des Status quo. Dies drückt sich anhand von vier Definitionsmerkmalen aus: am Prinzip der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5B67C1D2">
              <w:rPr>
                <w:sz w:val="20"/>
                <w:szCs w:val="20"/>
              </w:rPr>
              <w:t xml:space="preserve"> – d.h. neue Entscheidungen sollen mit früheren Entscheidungen im Einklang stehen –, einem engen Verständnis der Klagebefugnis, Zurückhaltung bei der Gewährung eines </w:t>
            </w:r>
            <w:proofErr w:type="spellStart"/>
            <w:r w:rsidRPr="5B67C1D2">
              <w:rPr>
                <w:i/>
                <w:iCs/>
                <w:sz w:val="20"/>
                <w:szCs w:val="20"/>
              </w:rPr>
              <w:t>certiorari</w:t>
            </w:r>
            <w:proofErr w:type="spellEnd"/>
            <w:r w:rsidRPr="5B67C1D2">
              <w:rPr>
                <w:sz w:val="20"/>
                <w:szCs w:val="20"/>
                <w:vertAlign w:val="superscript"/>
              </w:rPr>
              <w:footnoteReference w:id="1308"/>
            </w:r>
            <w:r w:rsidRPr="5B67C1D2">
              <w:rPr>
                <w:sz w:val="20"/>
                <w:szCs w:val="20"/>
              </w:rPr>
              <w:t xml:space="preserve"> und der Tendenz, Urteile nur für den Einzelfall zu treffen. Das Prinzip der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5B67C1D2">
              <w:rPr>
                <w:sz w:val="20"/>
                <w:szCs w:val="20"/>
              </w:rPr>
              <w:t xml:space="preserve"> wandte der U.S. Supreme Court und insbesondere der Dissens an, indem er einerseits die Berufswahl- und -</w:t>
            </w:r>
            <w:proofErr w:type="spellStart"/>
            <w:r w:rsidRPr="5B67C1D2">
              <w:rPr>
                <w:sz w:val="20"/>
                <w:szCs w:val="20"/>
              </w:rPr>
              <w:t>ausübungsfreiheit</w:t>
            </w:r>
            <w:proofErr w:type="spellEnd"/>
            <w:r w:rsidRPr="5B67C1D2">
              <w:rPr>
                <w:sz w:val="20"/>
                <w:szCs w:val="20"/>
              </w:rPr>
              <w:t xml:space="preserve"> grundsätzlich als Verfassungsrecht bestätigte und diese aus dem </w:t>
            </w:r>
            <w:proofErr w:type="spellStart"/>
            <w:r w:rsidRPr="5B67C1D2">
              <w:rPr>
                <w:i/>
                <w:iCs/>
                <w:sz w:val="20"/>
                <w:szCs w:val="20"/>
              </w:rPr>
              <w:t>pursuit</w:t>
            </w:r>
            <w:proofErr w:type="spellEnd"/>
            <w:r w:rsidRPr="5B67C1D2">
              <w:rPr>
                <w:i/>
                <w:iCs/>
                <w:sz w:val="20"/>
                <w:szCs w:val="20"/>
              </w:rPr>
              <w:t xml:space="preserve"> of Happiness</w:t>
            </w:r>
            <w:r w:rsidRPr="5B67C1D2">
              <w:rPr>
                <w:sz w:val="20"/>
                <w:szCs w:val="20"/>
              </w:rPr>
              <w:t xml:space="preserve"> herleitete („The </w:t>
            </w:r>
            <w:proofErr w:type="spellStart"/>
            <w:r w:rsidRPr="5B67C1D2">
              <w:rPr>
                <w:sz w:val="20"/>
                <w:szCs w:val="20"/>
              </w:rPr>
              <w:t>right</w:t>
            </w:r>
            <w:proofErr w:type="spellEnd"/>
            <w:r w:rsidRPr="5B67C1D2">
              <w:rPr>
                <w:sz w:val="20"/>
                <w:szCs w:val="20"/>
              </w:rPr>
              <w:t xml:space="preserve"> to follow </w:t>
            </w:r>
            <w:proofErr w:type="spellStart"/>
            <w:r w:rsidRPr="5B67C1D2">
              <w:rPr>
                <w:sz w:val="20"/>
                <w:szCs w:val="20"/>
              </w:rPr>
              <w:t>any</w:t>
            </w:r>
            <w:proofErr w:type="spellEnd"/>
            <w:r w:rsidRPr="5B67C1D2">
              <w:rPr>
                <w:sz w:val="20"/>
                <w:szCs w:val="20"/>
              </w:rPr>
              <w:t xml:space="preserve"> of the </w:t>
            </w:r>
            <w:proofErr w:type="spellStart"/>
            <w:r w:rsidRPr="5B67C1D2">
              <w:rPr>
                <w:sz w:val="20"/>
                <w:szCs w:val="20"/>
              </w:rPr>
              <w:t>common</w:t>
            </w:r>
            <w:proofErr w:type="spellEnd"/>
            <w:r w:rsidRPr="5B67C1D2">
              <w:rPr>
                <w:sz w:val="20"/>
                <w:szCs w:val="20"/>
              </w:rPr>
              <w:t xml:space="preserve"> </w:t>
            </w:r>
            <w:proofErr w:type="spellStart"/>
            <w:r w:rsidRPr="5B67C1D2">
              <w:rPr>
                <w:sz w:val="20"/>
                <w:szCs w:val="20"/>
              </w:rPr>
              <w:t>occupations</w:t>
            </w:r>
            <w:proofErr w:type="spellEnd"/>
            <w:r w:rsidRPr="5B67C1D2">
              <w:rPr>
                <w:sz w:val="20"/>
                <w:szCs w:val="20"/>
              </w:rPr>
              <w:t xml:space="preserve"> of </w:t>
            </w:r>
            <w:proofErr w:type="spellStart"/>
            <w:r w:rsidRPr="5B67C1D2">
              <w:rPr>
                <w:sz w:val="20"/>
                <w:szCs w:val="20"/>
              </w:rPr>
              <w:t>life</w:t>
            </w:r>
            <w:proofErr w:type="spellEnd"/>
            <w:r w:rsidRPr="5B67C1D2">
              <w:rPr>
                <w:sz w:val="20"/>
                <w:szCs w:val="20"/>
              </w:rPr>
              <w:t xml:space="preserve"> </w:t>
            </w:r>
            <w:proofErr w:type="spellStart"/>
            <w:r w:rsidRPr="5B67C1D2">
              <w:rPr>
                <w:sz w:val="20"/>
                <w:szCs w:val="20"/>
              </w:rPr>
              <w:t>is</w:t>
            </w:r>
            <w:proofErr w:type="spellEnd"/>
            <w:r w:rsidRPr="5B67C1D2">
              <w:rPr>
                <w:sz w:val="20"/>
                <w:szCs w:val="20"/>
              </w:rPr>
              <w:t xml:space="preserve"> an </w:t>
            </w:r>
            <w:proofErr w:type="spellStart"/>
            <w:r w:rsidRPr="5B67C1D2">
              <w:rPr>
                <w:sz w:val="20"/>
                <w:szCs w:val="20"/>
              </w:rPr>
              <w:t>inalienable</w:t>
            </w:r>
            <w:proofErr w:type="spellEnd"/>
            <w:r w:rsidRPr="5B67C1D2">
              <w:rPr>
                <w:sz w:val="20"/>
                <w:szCs w:val="20"/>
              </w:rPr>
              <w:t xml:space="preserve"> </w:t>
            </w:r>
            <w:proofErr w:type="spellStart"/>
            <w:r w:rsidRPr="5B67C1D2">
              <w:rPr>
                <w:sz w:val="20"/>
                <w:szCs w:val="20"/>
              </w:rPr>
              <w:t>right</w:t>
            </w:r>
            <w:proofErr w:type="spellEnd"/>
            <w:r w:rsidRPr="5B67C1D2">
              <w:rPr>
                <w:sz w:val="20"/>
                <w:szCs w:val="20"/>
              </w:rPr>
              <w:t xml:space="preserve">. </w:t>
            </w:r>
            <w:r w:rsidRPr="5B67C1D2">
              <w:rPr>
                <w:sz w:val="20"/>
                <w:szCs w:val="20"/>
                <w:lang w:val="en-US"/>
              </w:rPr>
              <w:t xml:space="preserve">It was formulated as such under the </w:t>
            </w:r>
            <w:proofErr w:type="gramStart"/>
            <w:r w:rsidRPr="5B67C1D2">
              <w:rPr>
                <w:sz w:val="20"/>
                <w:szCs w:val="20"/>
                <w:lang w:val="en-US"/>
              </w:rPr>
              <w:t>phrase ,pursuit</w:t>
            </w:r>
            <w:proofErr w:type="gramEnd"/>
            <w:r w:rsidRPr="5B67C1D2">
              <w:rPr>
                <w:sz w:val="20"/>
                <w:szCs w:val="20"/>
                <w:lang w:val="en-US"/>
              </w:rPr>
              <w:t xml:space="preserve"> of </w:t>
            </w:r>
            <w:proofErr w:type="gramStart"/>
            <w:r w:rsidRPr="5B67C1D2">
              <w:rPr>
                <w:sz w:val="20"/>
                <w:szCs w:val="20"/>
                <w:lang w:val="en-US"/>
              </w:rPr>
              <w:t>happiness‘ in</w:t>
            </w:r>
            <w:proofErr w:type="gramEnd"/>
            <w:r w:rsidRPr="5B67C1D2">
              <w:rPr>
                <w:sz w:val="20"/>
                <w:szCs w:val="20"/>
                <w:lang w:val="en-US"/>
              </w:rPr>
              <w:t xml:space="preserve"> the Declaration of </w:t>
            </w:r>
            <w:proofErr w:type="gramStart"/>
            <w:r w:rsidRPr="5B67C1D2">
              <w:rPr>
                <w:sz w:val="20"/>
                <w:szCs w:val="20"/>
                <w:lang w:val="en-US"/>
              </w:rPr>
              <w:t>Independence“</w:t>
            </w:r>
            <w:proofErr w:type="gramEnd"/>
            <w:r w:rsidRPr="5B67C1D2">
              <w:rPr>
                <w:sz w:val="20"/>
                <w:szCs w:val="20"/>
                <w:vertAlign w:val="superscript"/>
              </w:rPr>
              <w:footnoteReference w:id="1309"/>
            </w:r>
            <w:r w:rsidRPr="5B67C1D2">
              <w:rPr>
                <w:sz w:val="20"/>
                <w:szCs w:val="20"/>
                <w:lang w:val="en-US"/>
              </w:rPr>
              <w:t xml:space="preserve">). Die </w:t>
            </w:r>
            <w:proofErr w:type="spellStart"/>
            <w:r w:rsidRPr="5B67C1D2">
              <w:rPr>
                <w:sz w:val="20"/>
                <w:szCs w:val="20"/>
                <w:lang w:val="en-US"/>
              </w:rPr>
              <w:t>Herleitung</w:t>
            </w:r>
            <w:proofErr w:type="spellEnd"/>
            <w:r w:rsidRPr="5B67C1D2">
              <w:rPr>
                <w:sz w:val="20"/>
                <w:szCs w:val="20"/>
                <w:lang w:val="en-US"/>
              </w:rPr>
              <w:t xml:space="preserve"> </w:t>
            </w:r>
            <w:proofErr w:type="spellStart"/>
            <w:r w:rsidRPr="5B67C1D2">
              <w:rPr>
                <w:sz w:val="20"/>
                <w:szCs w:val="20"/>
                <w:lang w:val="en-US"/>
              </w:rPr>
              <w:t>erfolgt</w:t>
            </w:r>
            <w:proofErr w:type="spellEnd"/>
            <w:r w:rsidRPr="5B67C1D2">
              <w:rPr>
                <w:sz w:val="20"/>
                <w:szCs w:val="20"/>
                <w:lang w:val="en-US"/>
              </w:rPr>
              <w:t xml:space="preserve"> </w:t>
            </w:r>
            <w:proofErr w:type="spellStart"/>
            <w:r w:rsidRPr="5B67C1D2">
              <w:rPr>
                <w:sz w:val="20"/>
                <w:szCs w:val="20"/>
                <w:lang w:val="en-US"/>
              </w:rPr>
              <w:t>über</w:t>
            </w:r>
            <w:proofErr w:type="spellEnd"/>
            <w:r w:rsidRPr="5B67C1D2">
              <w:rPr>
                <w:sz w:val="20"/>
                <w:szCs w:val="20"/>
                <w:lang w:val="en-US"/>
              </w:rPr>
              <w:t xml:space="preserve"> den Gedanken, </w:t>
            </w:r>
            <w:proofErr w:type="spellStart"/>
            <w:r w:rsidRPr="5B67C1D2">
              <w:rPr>
                <w:sz w:val="20"/>
                <w:szCs w:val="20"/>
                <w:lang w:val="en-US"/>
              </w:rPr>
              <w:t>dass</w:t>
            </w:r>
            <w:proofErr w:type="spellEnd"/>
            <w:r w:rsidRPr="5B67C1D2">
              <w:rPr>
                <w:sz w:val="20"/>
                <w:szCs w:val="20"/>
                <w:lang w:val="en-US"/>
              </w:rPr>
              <w:t xml:space="preserve"> die </w:t>
            </w:r>
            <w:proofErr w:type="spellStart"/>
            <w:r w:rsidRPr="5B67C1D2">
              <w:rPr>
                <w:sz w:val="20"/>
                <w:szCs w:val="20"/>
                <w:lang w:val="en-US"/>
              </w:rPr>
              <w:t>Berufsausübung</w:t>
            </w:r>
            <w:proofErr w:type="spellEnd"/>
            <w:r w:rsidRPr="5B67C1D2">
              <w:rPr>
                <w:sz w:val="20"/>
                <w:szCs w:val="20"/>
                <w:lang w:val="en-US"/>
              </w:rPr>
              <w:t xml:space="preserve"> </w:t>
            </w:r>
            <w:proofErr w:type="spellStart"/>
            <w:r w:rsidRPr="5B67C1D2">
              <w:rPr>
                <w:sz w:val="20"/>
                <w:szCs w:val="20"/>
                <w:lang w:val="en-US"/>
              </w:rPr>
              <w:t>notwendig</w:t>
            </w:r>
            <w:proofErr w:type="spellEnd"/>
            <w:r w:rsidRPr="5B67C1D2">
              <w:rPr>
                <w:sz w:val="20"/>
                <w:szCs w:val="20"/>
                <w:lang w:val="en-US"/>
              </w:rPr>
              <w:t xml:space="preserve"> sei, um </w:t>
            </w:r>
            <w:proofErr w:type="spellStart"/>
            <w:r w:rsidRPr="5B67C1D2">
              <w:rPr>
                <w:sz w:val="20"/>
                <w:szCs w:val="20"/>
                <w:lang w:val="en-US"/>
              </w:rPr>
              <w:t>Eigentum</w:t>
            </w:r>
            <w:proofErr w:type="spellEnd"/>
            <w:r w:rsidRPr="5B67C1D2">
              <w:rPr>
                <w:sz w:val="20"/>
                <w:szCs w:val="20"/>
                <w:lang w:val="en-US"/>
              </w:rPr>
              <w:t xml:space="preserve"> </w:t>
            </w:r>
            <w:proofErr w:type="spellStart"/>
            <w:r w:rsidRPr="5B67C1D2">
              <w:rPr>
                <w:sz w:val="20"/>
                <w:szCs w:val="20"/>
                <w:lang w:val="en-US"/>
              </w:rPr>
              <w:t>als</w:t>
            </w:r>
            <w:proofErr w:type="spellEnd"/>
            <w:r w:rsidRPr="5B67C1D2">
              <w:rPr>
                <w:sz w:val="20"/>
                <w:szCs w:val="20"/>
                <w:lang w:val="en-US"/>
              </w:rPr>
              <w:t xml:space="preserve"> </w:t>
            </w:r>
            <w:proofErr w:type="spellStart"/>
            <w:r w:rsidRPr="5B67C1D2">
              <w:rPr>
                <w:sz w:val="20"/>
                <w:szCs w:val="20"/>
                <w:lang w:val="en-US"/>
              </w:rPr>
              <w:t>Lebensgrundlage</w:t>
            </w:r>
            <w:proofErr w:type="spellEnd"/>
            <w:r w:rsidRPr="5B67C1D2">
              <w:rPr>
                <w:sz w:val="20"/>
                <w:szCs w:val="20"/>
                <w:lang w:val="en-US"/>
              </w:rPr>
              <w:t xml:space="preserve"> </w:t>
            </w:r>
            <w:proofErr w:type="spellStart"/>
            <w:r w:rsidRPr="5B67C1D2">
              <w:rPr>
                <w:sz w:val="20"/>
                <w:szCs w:val="20"/>
                <w:lang w:val="en-US"/>
              </w:rPr>
              <w:t>zu</w:t>
            </w:r>
            <w:proofErr w:type="spellEnd"/>
            <w:r w:rsidRPr="5B67C1D2">
              <w:rPr>
                <w:sz w:val="20"/>
                <w:szCs w:val="20"/>
                <w:lang w:val="en-US"/>
              </w:rPr>
              <w:t xml:space="preserve"> </w:t>
            </w:r>
            <w:proofErr w:type="spellStart"/>
            <w:r w:rsidRPr="5B67C1D2">
              <w:rPr>
                <w:sz w:val="20"/>
                <w:szCs w:val="20"/>
                <w:lang w:val="en-US"/>
              </w:rPr>
              <w:t>erwerben</w:t>
            </w:r>
            <w:proofErr w:type="spellEnd"/>
            <w:r w:rsidRPr="5B67C1D2">
              <w:rPr>
                <w:sz w:val="20"/>
                <w:szCs w:val="20"/>
                <w:lang w:val="en-US"/>
              </w:rPr>
              <w:t xml:space="preserve"> („The right is as essential […] </w:t>
            </w:r>
            <w:r w:rsidRPr="00DA27FC">
              <w:rPr>
                <w:sz w:val="20"/>
                <w:szCs w:val="20"/>
                <w:lang w:val="en-US"/>
              </w:rPr>
              <w:t>to the poor as to the rich</w:t>
            </w:r>
            <w:r w:rsidRPr="5B67C1D2">
              <w:rPr>
                <w:sz w:val="20"/>
                <w:szCs w:val="20"/>
                <w:lang w:val="en-US"/>
              </w:rPr>
              <w:t xml:space="preserve"> for the vast majority of persons have no other honest way to begin to acquire </w:t>
            </w:r>
            <w:proofErr w:type="gramStart"/>
            <w:r w:rsidRPr="5B67C1D2">
              <w:rPr>
                <w:sz w:val="20"/>
                <w:szCs w:val="20"/>
                <w:lang w:val="en-US"/>
              </w:rPr>
              <w:t>property“</w:t>
            </w:r>
            <w:proofErr w:type="gramEnd"/>
            <w:r w:rsidRPr="5B67C1D2">
              <w:rPr>
                <w:sz w:val="20"/>
                <w:szCs w:val="20"/>
                <w:vertAlign w:val="superscript"/>
                <w:lang w:val="en-US"/>
              </w:rPr>
              <w:footnoteReference w:id="1310"/>
            </w:r>
            <w:r w:rsidRPr="5B67C1D2">
              <w:rPr>
                <w:sz w:val="20"/>
                <w:szCs w:val="20"/>
                <w:lang w:val="en-US"/>
              </w:rPr>
              <w:t xml:space="preserve">). </w:t>
            </w:r>
            <w:r w:rsidRPr="5B67C1D2">
              <w:rPr>
                <w:sz w:val="20"/>
                <w:szCs w:val="20"/>
              </w:rPr>
              <w:t>Dabei sollen alle Menschen diesem Ziel unter gleichen Umständen, gleichem Schutz und gleicher Sicherheit nachgehen können („</w:t>
            </w:r>
            <w:proofErr w:type="spellStart"/>
            <w:r w:rsidRPr="5B67C1D2">
              <w:rPr>
                <w:sz w:val="20"/>
                <w:szCs w:val="20"/>
              </w:rPr>
              <w:t>that</w:t>
            </w:r>
            <w:proofErr w:type="spellEnd"/>
            <w:r w:rsidRPr="5B67C1D2">
              <w:rPr>
                <w:sz w:val="20"/>
                <w:szCs w:val="20"/>
              </w:rPr>
              <w:t xml:space="preserve"> all </w:t>
            </w:r>
            <w:proofErr w:type="spellStart"/>
            <w:r w:rsidRPr="5B67C1D2">
              <w:rPr>
                <w:sz w:val="20"/>
                <w:szCs w:val="20"/>
              </w:rPr>
              <w:t>persons</w:t>
            </w:r>
            <w:proofErr w:type="spellEnd"/>
            <w:r w:rsidRPr="5B67C1D2">
              <w:rPr>
                <w:sz w:val="20"/>
                <w:szCs w:val="20"/>
              </w:rPr>
              <w:t xml:space="preserve"> </w:t>
            </w:r>
            <w:proofErr w:type="spellStart"/>
            <w:r w:rsidRPr="5B67C1D2">
              <w:rPr>
                <w:sz w:val="20"/>
                <w:szCs w:val="20"/>
              </w:rPr>
              <w:t>should</w:t>
            </w:r>
            <w:proofErr w:type="spellEnd"/>
            <w:r w:rsidRPr="5B67C1D2">
              <w:rPr>
                <w:sz w:val="20"/>
                <w:szCs w:val="20"/>
              </w:rPr>
              <w:t xml:space="preserve"> </w:t>
            </w:r>
            <w:proofErr w:type="spellStart"/>
            <w:r w:rsidRPr="5B67C1D2">
              <w:rPr>
                <w:sz w:val="20"/>
                <w:szCs w:val="20"/>
              </w:rPr>
              <w:t>be</w:t>
            </w:r>
            <w:proofErr w:type="spellEnd"/>
            <w:r w:rsidRPr="5B67C1D2">
              <w:rPr>
                <w:sz w:val="20"/>
                <w:szCs w:val="20"/>
              </w:rPr>
              <w:t xml:space="preserve"> </w:t>
            </w:r>
            <w:proofErr w:type="spellStart"/>
            <w:r w:rsidRPr="5B67C1D2">
              <w:rPr>
                <w:sz w:val="20"/>
                <w:szCs w:val="20"/>
              </w:rPr>
              <w:t>equally</w:t>
            </w:r>
            <w:proofErr w:type="spellEnd"/>
            <w:r w:rsidRPr="5B67C1D2">
              <w:rPr>
                <w:sz w:val="20"/>
                <w:szCs w:val="20"/>
              </w:rPr>
              <w:t xml:space="preserve"> </w:t>
            </w:r>
            <w:proofErr w:type="spellStart"/>
            <w:r w:rsidRPr="5B67C1D2">
              <w:rPr>
                <w:sz w:val="20"/>
                <w:szCs w:val="20"/>
              </w:rPr>
              <w:t>entitled</w:t>
            </w:r>
            <w:proofErr w:type="spellEnd"/>
            <w:r w:rsidRPr="5B67C1D2">
              <w:rPr>
                <w:sz w:val="20"/>
                <w:szCs w:val="20"/>
              </w:rPr>
              <w:t xml:space="preserve"> to </w:t>
            </w:r>
            <w:proofErr w:type="spellStart"/>
            <w:r w:rsidRPr="5B67C1D2">
              <w:rPr>
                <w:sz w:val="20"/>
                <w:szCs w:val="20"/>
              </w:rPr>
              <w:t>pursue</w:t>
            </w:r>
            <w:proofErr w:type="spellEnd"/>
            <w:r w:rsidRPr="5B67C1D2">
              <w:rPr>
                <w:sz w:val="20"/>
                <w:szCs w:val="20"/>
              </w:rPr>
              <w:t xml:space="preserve"> </w:t>
            </w:r>
            <w:proofErr w:type="spellStart"/>
            <w:r w:rsidRPr="5B67C1D2">
              <w:rPr>
                <w:sz w:val="20"/>
                <w:szCs w:val="20"/>
              </w:rPr>
              <w:t>their</w:t>
            </w:r>
            <w:proofErr w:type="spellEnd"/>
            <w:r w:rsidRPr="5B67C1D2">
              <w:rPr>
                <w:sz w:val="20"/>
                <w:szCs w:val="20"/>
              </w:rPr>
              <w:t xml:space="preserve"> </w:t>
            </w:r>
            <w:proofErr w:type="spellStart"/>
            <w:r w:rsidRPr="5B67C1D2">
              <w:rPr>
                <w:sz w:val="20"/>
                <w:szCs w:val="20"/>
              </w:rPr>
              <w:t>happiness</w:t>
            </w:r>
            <w:proofErr w:type="spellEnd"/>
            <w:r w:rsidRPr="5B67C1D2">
              <w:rPr>
                <w:sz w:val="20"/>
                <w:szCs w:val="20"/>
              </w:rPr>
              <w:t xml:space="preserve"> and </w:t>
            </w:r>
            <w:proofErr w:type="spellStart"/>
            <w:r w:rsidRPr="5B67C1D2">
              <w:rPr>
                <w:sz w:val="20"/>
                <w:szCs w:val="20"/>
              </w:rPr>
              <w:t>acquire</w:t>
            </w:r>
            <w:proofErr w:type="spellEnd"/>
            <w:r w:rsidRPr="5B67C1D2">
              <w:rPr>
                <w:sz w:val="20"/>
                <w:szCs w:val="20"/>
              </w:rPr>
              <w:t xml:space="preserve"> and </w:t>
            </w:r>
            <w:proofErr w:type="spellStart"/>
            <w:r w:rsidRPr="5B67C1D2">
              <w:rPr>
                <w:sz w:val="20"/>
                <w:szCs w:val="20"/>
              </w:rPr>
              <w:t>enjoy</w:t>
            </w:r>
            <w:proofErr w:type="spellEnd"/>
            <w:r w:rsidRPr="5B67C1D2">
              <w:rPr>
                <w:sz w:val="20"/>
                <w:szCs w:val="20"/>
              </w:rPr>
              <w:t xml:space="preserve"> </w:t>
            </w:r>
            <w:proofErr w:type="spellStart"/>
            <w:r w:rsidRPr="5B67C1D2">
              <w:rPr>
                <w:sz w:val="20"/>
                <w:szCs w:val="20"/>
              </w:rPr>
              <w:t>property</w:t>
            </w:r>
            <w:proofErr w:type="spellEnd"/>
            <w:r w:rsidRPr="5B67C1D2">
              <w:rPr>
                <w:sz w:val="20"/>
                <w:szCs w:val="20"/>
              </w:rPr>
              <w:t>“</w:t>
            </w:r>
            <w:r w:rsidRPr="5B67C1D2">
              <w:rPr>
                <w:sz w:val="20"/>
                <w:szCs w:val="20"/>
                <w:vertAlign w:val="superscript"/>
              </w:rPr>
              <w:footnoteReference w:id="1311"/>
            </w:r>
            <w:r w:rsidRPr="5B67C1D2">
              <w:rPr>
                <w:sz w:val="20"/>
                <w:szCs w:val="20"/>
              </w:rPr>
              <w:t xml:space="preserve">). Und andererseits erklärte der U.S. Supreme Court die Berufsfreiheit als Teil des Freiheitsbegriffs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sz w:val="20"/>
                <w:szCs w:val="20"/>
              </w:rPr>
              <w:t xml:space="preserve"> Damit müsse sie abgewogen werden und verbiete z.B. nicht den Arbeitskampf einer Gewerkschaft als Öffentlichkeitsarbeit („The </w:t>
            </w:r>
            <w:proofErr w:type="spellStart"/>
            <w:r w:rsidRPr="5B67C1D2">
              <w:rPr>
                <w:sz w:val="20"/>
                <w:szCs w:val="20"/>
              </w:rPr>
              <w:t>Fourteenth</w:t>
            </w:r>
            <w:proofErr w:type="spellEnd"/>
            <w:r w:rsidRPr="5B67C1D2">
              <w:rPr>
                <w:sz w:val="20"/>
                <w:szCs w:val="20"/>
              </w:rPr>
              <w:t xml:space="preserve"> Amendment </w:t>
            </w:r>
            <w:proofErr w:type="spellStart"/>
            <w:r w:rsidRPr="5B67C1D2">
              <w:rPr>
                <w:sz w:val="20"/>
                <w:szCs w:val="20"/>
              </w:rPr>
              <w:t>does</w:t>
            </w:r>
            <w:proofErr w:type="spellEnd"/>
            <w:r w:rsidRPr="5B67C1D2">
              <w:rPr>
                <w:sz w:val="20"/>
                <w:szCs w:val="20"/>
              </w:rPr>
              <w:t xml:space="preserve"> not </w:t>
            </w:r>
            <w:proofErr w:type="spellStart"/>
            <w:r w:rsidRPr="5B67C1D2">
              <w:rPr>
                <w:sz w:val="20"/>
                <w:szCs w:val="20"/>
              </w:rPr>
              <w:t>prohibit</w:t>
            </w:r>
            <w:proofErr w:type="spellEnd"/>
            <w:r w:rsidRPr="5B67C1D2">
              <w:rPr>
                <w:sz w:val="20"/>
                <w:szCs w:val="20"/>
              </w:rPr>
              <w:t xml:space="preserve"> it.“</w:t>
            </w:r>
            <w:r w:rsidRPr="5B67C1D2">
              <w:rPr>
                <w:sz w:val="20"/>
                <w:szCs w:val="20"/>
                <w:vertAlign w:val="superscript"/>
              </w:rPr>
              <w:footnoteReference w:id="1312"/>
            </w:r>
            <w:r w:rsidRPr="5B67C1D2">
              <w:rPr>
                <w:sz w:val="20"/>
                <w:szCs w:val="20"/>
              </w:rPr>
              <w:t>).</w:t>
            </w:r>
          </w:p>
          <w:p w14:paraId="72C3EE8D" w14:textId="77777777" w:rsidR="00074551" w:rsidRPr="00E50B51" w:rsidRDefault="00074551" w:rsidP="00367133">
            <w:pPr>
              <w:jc w:val="both"/>
              <w:rPr>
                <w:sz w:val="20"/>
                <w:szCs w:val="20"/>
              </w:rPr>
            </w:pPr>
          </w:p>
        </w:tc>
      </w:tr>
      <w:tr w:rsidR="00074551" w:rsidRPr="00E50B51" w14:paraId="25A47F8A" w14:textId="77777777" w:rsidTr="00BE689F">
        <w:trPr>
          <w:cantSplit/>
          <w:trHeight w:val="3175"/>
        </w:trPr>
        <w:tc>
          <w:tcPr>
            <w:tcW w:w="293" w:type="pct"/>
          </w:tcPr>
          <w:p w14:paraId="5AFAED85" w14:textId="77777777" w:rsidR="00074551" w:rsidRPr="00E50B51" w:rsidRDefault="00074551" w:rsidP="00367133">
            <w:pPr>
              <w:ind w:right="416"/>
              <w:jc w:val="center"/>
              <w:rPr>
                <w:sz w:val="20"/>
                <w:szCs w:val="20"/>
              </w:rPr>
            </w:pPr>
            <w:r>
              <w:rPr>
                <w:sz w:val="20"/>
                <w:szCs w:val="20"/>
              </w:rPr>
              <w:lastRenderedPageBreak/>
              <w:t>H</w:t>
            </w:r>
          </w:p>
        </w:tc>
        <w:tc>
          <w:tcPr>
            <w:tcW w:w="387" w:type="pct"/>
            <w:textDirection w:val="tbRl"/>
            <w:vAlign w:val="center"/>
          </w:tcPr>
          <w:p w14:paraId="6776EDF7" w14:textId="77777777" w:rsidR="00074551" w:rsidRPr="001816EB" w:rsidRDefault="00074551" w:rsidP="00367133">
            <w:pPr>
              <w:ind w:left="113" w:right="416"/>
              <w:jc w:val="both"/>
              <w:rPr>
                <w:sz w:val="20"/>
                <w:szCs w:val="20"/>
                <w:lang w:val="en-US"/>
              </w:rPr>
            </w:pPr>
            <w:r w:rsidRPr="009E57E1">
              <w:rPr>
                <w:i/>
                <w:sz w:val="20"/>
                <w:szCs w:val="20"/>
                <w:lang w:val="en-US"/>
              </w:rPr>
              <w:t>Meyer v. Nebraska</w:t>
            </w:r>
          </w:p>
        </w:tc>
        <w:tc>
          <w:tcPr>
            <w:tcW w:w="197" w:type="pct"/>
            <w:textDirection w:val="tbRl"/>
            <w:vAlign w:val="center"/>
          </w:tcPr>
          <w:p w14:paraId="58941716" w14:textId="77777777" w:rsidR="00074551" w:rsidRPr="001816EB" w:rsidRDefault="00074551" w:rsidP="00367133">
            <w:pPr>
              <w:ind w:left="113" w:right="113"/>
              <w:jc w:val="both"/>
              <w:rPr>
                <w:sz w:val="20"/>
                <w:szCs w:val="20"/>
                <w:lang w:val="en-US"/>
              </w:rPr>
            </w:pPr>
            <w:r w:rsidRPr="001816EB">
              <w:rPr>
                <w:sz w:val="20"/>
                <w:szCs w:val="20"/>
                <w:lang w:val="en-US"/>
              </w:rPr>
              <w:t>262 U.S. 390</w:t>
            </w:r>
          </w:p>
        </w:tc>
        <w:tc>
          <w:tcPr>
            <w:tcW w:w="306" w:type="pct"/>
            <w:textDirection w:val="tbRl"/>
            <w:vAlign w:val="center"/>
          </w:tcPr>
          <w:p w14:paraId="44469895" w14:textId="77777777" w:rsidR="00074551" w:rsidRPr="001816EB" w:rsidRDefault="00074551" w:rsidP="00367133">
            <w:pPr>
              <w:ind w:left="113" w:right="113"/>
              <w:jc w:val="both"/>
              <w:rPr>
                <w:sz w:val="20"/>
                <w:szCs w:val="20"/>
                <w:lang w:val="en-US"/>
              </w:rPr>
            </w:pPr>
            <w:r>
              <w:rPr>
                <w:sz w:val="20"/>
                <w:szCs w:val="20"/>
                <w:lang w:val="en-US"/>
              </w:rPr>
              <w:t>4. Juni 1923</w:t>
            </w:r>
          </w:p>
        </w:tc>
        <w:tc>
          <w:tcPr>
            <w:tcW w:w="401" w:type="pct"/>
          </w:tcPr>
          <w:p w14:paraId="6358740D" w14:textId="77777777" w:rsidR="00074551" w:rsidRPr="001816EB" w:rsidRDefault="00074551" w:rsidP="00367133">
            <w:pPr>
              <w:jc w:val="center"/>
              <w:rPr>
                <w:sz w:val="20"/>
                <w:szCs w:val="20"/>
                <w:lang w:val="en-US"/>
              </w:rPr>
            </w:pPr>
            <w:r>
              <w:rPr>
                <w:sz w:val="20"/>
                <w:szCs w:val="20"/>
                <w:lang w:val="en-US"/>
              </w:rPr>
              <w:t>M</w:t>
            </w:r>
          </w:p>
        </w:tc>
        <w:tc>
          <w:tcPr>
            <w:tcW w:w="1594" w:type="pct"/>
          </w:tcPr>
          <w:p w14:paraId="53691474" w14:textId="77777777" w:rsidR="00074551" w:rsidRPr="001816EB" w:rsidRDefault="00074551" w:rsidP="00367133">
            <w:pPr>
              <w:jc w:val="both"/>
              <w:rPr>
                <w:sz w:val="20"/>
                <w:szCs w:val="20"/>
                <w:lang w:val="en-US"/>
              </w:rPr>
            </w:pPr>
            <w:r>
              <w:rPr>
                <w:sz w:val="20"/>
                <w:szCs w:val="20"/>
                <w:lang w:val="en-US"/>
              </w:rPr>
              <w:t>*</w:t>
            </w:r>
          </w:p>
        </w:tc>
        <w:tc>
          <w:tcPr>
            <w:tcW w:w="1822" w:type="pct"/>
          </w:tcPr>
          <w:p w14:paraId="0142780B" w14:textId="49C20B8E" w:rsidR="00074551" w:rsidRPr="001816EB" w:rsidRDefault="00074551" w:rsidP="00367133">
            <w:pPr>
              <w:jc w:val="both"/>
              <w:rPr>
                <w:sz w:val="20"/>
                <w:szCs w:val="20"/>
              </w:rPr>
            </w:pPr>
            <w:r w:rsidRPr="001816EB">
              <w:rPr>
                <w:sz w:val="20"/>
                <w:szCs w:val="20"/>
              </w:rPr>
              <w:t xml:space="preserve">In </w:t>
            </w:r>
            <w:r w:rsidRPr="5B67C1D2">
              <w:rPr>
                <w:i/>
                <w:iCs/>
                <w:sz w:val="20"/>
                <w:szCs w:val="20"/>
              </w:rPr>
              <w:t>Meyer v. Nebraska</w:t>
            </w:r>
            <w:r w:rsidRPr="001816EB">
              <w:rPr>
                <w:sz w:val="20"/>
                <w:szCs w:val="20"/>
              </w:rPr>
              <w:t xml:space="preserve"> definiert der </w:t>
            </w:r>
            <w:r>
              <w:rPr>
                <w:sz w:val="20"/>
                <w:szCs w:val="20"/>
              </w:rPr>
              <w:t>U.S. Supreme Court</w:t>
            </w:r>
            <w:r w:rsidRPr="001816EB">
              <w:rPr>
                <w:sz w:val="20"/>
                <w:szCs w:val="20"/>
              </w:rPr>
              <w:t xml:space="preserve"> den Freiheitsbegriff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816EB">
              <w:rPr>
                <w:sz w:val="20"/>
                <w:szCs w:val="20"/>
              </w:rPr>
              <w:t xml:space="preserve"> Dabei schütze das Amendment alle Freiheiten</w:t>
            </w:r>
            <w:r>
              <w:rPr>
                <w:sz w:val="20"/>
                <w:szCs w:val="20"/>
              </w:rPr>
              <w:t>,</w:t>
            </w:r>
            <w:r w:rsidRPr="001816EB">
              <w:rPr>
                <w:sz w:val="20"/>
                <w:szCs w:val="20"/>
              </w:rPr>
              <w:t xml:space="preserve"> die wesentlich für ein Streben nach Glück </w:t>
            </w:r>
            <w:r>
              <w:rPr>
                <w:sz w:val="20"/>
                <w:szCs w:val="20"/>
              </w:rPr>
              <w:t>seien</w:t>
            </w:r>
            <w:r w:rsidRPr="001816EB">
              <w:rPr>
                <w:sz w:val="20"/>
                <w:szCs w:val="20"/>
              </w:rPr>
              <w:t xml:space="preserve">. Womit der </w:t>
            </w:r>
            <w:r>
              <w:rPr>
                <w:sz w:val="20"/>
                <w:szCs w:val="20"/>
              </w:rPr>
              <w:t>U.S. Supreme Court</w:t>
            </w:r>
            <w:r w:rsidRPr="001816EB">
              <w:rPr>
                <w:sz w:val="20"/>
                <w:szCs w:val="20"/>
              </w:rPr>
              <w:t xml:space="preserve"> den Freiheitsbegriff öffnete für zukünftige Freiheiten wie das Datenschutzrecht („Privacy“</w:t>
            </w:r>
            <w:r w:rsidRPr="001816EB">
              <w:rPr>
                <w:sz w:val="20"/>
                <w:szCs w:val="20"/>
                <w:vertAlign w:val="superscript"/>
              </w:rPr>
              <w:t xml:space="preserve"> </w:t>
            </w:r>
            <w:r w:rsidRPr="001816EB">
              <w:rPr>
                <w:sz w:val="20"/>
                <w:szCs w:val="20"/>
                <w:vertAlign w:val="superscript"/>
              </w:rPr>
              <w:footnoteReference w:id="1313"/>
            </w:r>
            <w:r w:rsidRPr="001816EB">
              <w:rPr>
                <w:sz w:val="20"/>
                <w:szCs w:val="20"/>
              </w:rPr>
              <w:t>).</w:t>
            </w:r>
          </w:p>
          <w:p w14:paraId="6E03DF90" w14:textId="77777777" w:rsidR="00074551" w:rsidRPr="00E50B51" w:rsidRDefault="00074551" w:rsidP="00367133">
            <w:pPr>
              <w:jc w:val="both"/>
              <w:rPr>
                <w:sz w:val="20"/>
                <w:szCs w:val="20"/>
              </w:rPr>
            </w:pPr>
          </w:p>
        </w:tc>
      </w:tr>
      <w:tr w:rsidR="00074551" w:rsidRPr="00E50B51" w14:paraId="7D9A8969" w14:textId="77777777" w:rsidTr="00BE689F">
        <w:trPr>
          <w:cantSplit/>
          <w:trHeight w:val="3175"/>
        </w:trPr>
        <w:tc>
          <w:tcPr>
            <w:tcW w:w="293" w:type="pct"/>
          </w:tcPr>
          <w:p w14:paraId="32BDA97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11B66B7" w14:textId="77777777" w:rsidR="00074551" w:rsidRPr="00E50B51" w:rsidRDefault="00074551" w:rsidP="00367133">
            <w:pPr>
              <w:ind w:left="113" w:right="416"/>
              <w:jc w:val="both"/>
              <w:rPr>
                <w:sz w:val="20"/>
                <w:szCs w:val="20"/>
                <w:lang w:val="en-US"/>
              </w:rPr>
            </w:pPr>
            <w:r w:rsidRPr="009E57E1">
              <w:rPr>
                <w:i/>
                <w:sz w:val="20"/>
                <w:szCs w:val="20"/>
                <w:lang w:val="en-US"/>
              </w:rPr>
              <w:t>Bd. of Regents of State Colleges v. Roth</w:t>
            </w:r>
          </w:p>
        </w:tc>
        <w:tc>
          <w:tcPr>
            <w:tcW w:w="197" w:type="pct"/>
            <w:textDirection w:val="tbRl"/>
            <w:vAlign w:val="center"/>
          </w:tcPr>
          <w:p w14:paraId="03405992" w14:textId="77777777" w:rsidR="00074551" w:rsidRPr="00E50B51" w:rsidRDefault="00074551" w:rsidP="00367133">
            <w:pPr>
              <w:ind w:left="113" w:right="113"/>
              <w:jc w:val="both"/>
              <w:rPr>
                <w:sz w:val="20"/>
                <w:szCs w:val="20"/>
              </w:rPr>
            </w:pPr>
            <w:r w:rsidRPr="00E50B51">
              <w:rPr>
                <w:sz w:val="20"/>
                <w:szCs w:val="20"/>
                <w:lang w:val="en-US"/>
              </w:rPr>
              <w:t>408 U.S. 564</w:t>
            </w:r>
          </w:p>
        </w:tc>
        <w:tc>
          <w:tcPr>
            <w:tcW w:w="306" w:type="pct"/>
            <w:textDirection w:val="tbRl"/>
            <w:vAlign w:val="center"/>
          </w:tcPr>
          <w:p w14:paraId="56B8D668" w14:textId="77777777" w:rsidR="00074551" w:rsidRPr="00E50B51" w:rsidRDefault="00074551" w:rsidP="00367133">
            <w:pPr>
              <w:ind w:left="113" w:right="113"/>
              <w:jc w:val="both"/>
              <w:rPr>
                <w:sz w:val="20"/>
                <w:szCs w:val="20"/>
              </w:rPr>
            </w:pPr>
            <w:r w:rsidRPr="00E50B51">
              <w:rPr>
                <w:sz w:val="20"/>
                <w:szCs w:val="20"/>
                <w:lang w:val="en-US"/>
              </w:rPr>
              <w:t>19. Juni 1972</w:t>
            </w:r>
          </w:p>
        </w:tc>
        <w:tc>
          <w:tcPr>
            <w:tcW w:w="401" w:type="pct"/>
          </w:tcPr>
          <w:p w14:paraId="0C063F9C"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66C2F665" w14:textId="77777777" w:rsidR="00074551" w:rsidRPr="00E50B51" w:rsidRDefault="00074551" w:rsidP="00367133">
            <w:pPr>
              <w:jc w:val="both"/>
              <w:rPr>
                <w:sz w:val="20"/>
                <w:szCs w:val="20"/>
              </w:rPr>
            </w:pPr>
            <w:r w:rsidRPr="00E50B51">
              <w:rPr>
                <w:sz w:val="20"/>
                <w:szCs w:val="20"/>
              </w:rPr>
              <w:t>*</w:t>
            </w:r>
          </w:p>
        </w:tc>
        <w:tc>
          <w:tcPr>
            <w:tcW w:w="1822" w:type="pct"/>
          </w:tcPr>
          <w:p w14:paraId="60737FC5" w14:textId="77777777" w:rsidR="00074551" w:rsidRPr="0034416B" w:rsidRDefault="00074551" w:rsidP="00367133">
            <w:pPr>
              <w:jc w:val="both"/>
              <w:rPr>
                <w:sz w:val="20"/>
                <w:szCs w:val="20"/>
              </w:rPr>
            </w:pPr>
            <w:r w:rsidRPr="0034416B">
              <w:rPr>
                <w:sz w:val="20"/>
                <w:szCs w:val="20"/>
              </w:rPr>
              <w:t xml:space="preserve">In </w:t>
            </w:r>
            <w:r w:rsidRPr="5B67C1D2">
              <w:rPr>
                <w:i/>
                <w:iCs/>
                <w:sz w:val="20"/>
                <w:szCs w:val="20"/>
              </w:rPr>
              <w:t xml:space="preserve">Bd. of </w:t>
            </w:r>
            <w:proofErr w:type="spellStart"/>
            <w:r w:rsidRPr="5B67C1D2">
              <w:rPr>
                <w:i/>
                <w:iCs/>
                <w:sz w:val="20"/>
                <w:szCs w:val="20"/>
              </w:rPr>
              <w:t>Regents</w:t>
            </w:r>
            <w:proofErr w:type="spellEnd"/>
            <w:r w:rsidRPr="5B67C1D2">
              <w:rPr>
                <w:i/>
                <w:iCs/>
                <w:sz w:val="20"/>
                <w:szCs w:val="20"/>
              </w:rPr>
              <w:t xml:space="preserve"> v. Roth</w:t>
            </w:r>
            <w:r w:rsidRPr="0034416B">
              <w:rPr>
                <w:sz w:val="20"/>
                <w:szCs w:val="20"/>
              </w:rPr>
              <w:t xml:space="preserve"> erklärt der </w:t>
            </w:r>
            <w:r>
              <w:rPr>
                <w:sz w:val="20"/>
                <w:szCs w:val="20"/>
              </w:rPr>
              <w:t>U.S. Supreme Court,</w:t>
            </w:r>
            <w:r w:rsidRPr="0034416B">
              <w:rPr>
                <w:sz w:val="20"/>
                <w:szCs w:val="20"/>
              </w:rPr>
              <w:t xml:space="preserve"> das Ansehen als ein individueller und sozialer Geltungsanspruch sei ein wesentliches Freiheitsrecht, um Glücksstreben zu ermöglichen. Für einen Juniorprofessor namens Roth</w:t>
            </w:r>
            <w:r>
              <w:rPr>
                <w:sz w:val="20"/>
                <w:szCs w:val="20"/>
              </w:rPr>
              <w:t>, dessen Vertrag nicht verlängert worden war,</w:t>
            </w:r>
            <w:r w:rsidRPr="0034416B">
              <w:rPr>
                <w:sz w:val="20"/>
                <w:szCs w:val="20"/>
              </w:rPr>
              <w:t xml:space="preserve"> hätte nach dem </w:t>
            </w:r>
            <w:r>
              <w:rPr>
                <w:sz w:val="20"/>
                <w:szCs w:val="20"/>
              </w:rPr>
              <w:t>U.S. Supreme Court</w:t>
            </w:r>
            <w:r w:rsidRPr="0034416B">
              <w:rPr>
                <w:sz w:val="20"/>
                <w:szCs w:val="20"/>
              </w:rPr>
              <w:t xml:space="preserve"> durchaus aus den Freiheitsrechten ein Anspruch auf Wiedereinstellung erwachsen können. Die Voraussetzung</w:t>
            </w:r>
            <w:r>
              <w:rPr>
                <w:sz w:val="20"/>
                <w:szCs w:val="20"/>
              </w:rPr>
              <w:t xml:space="preserve"> dafür sei, dass </w:t>
            </w:r>
            <w:r w:rsidRPr="0034416B">
              <w:rPr>
                <w:sz w:val="20"/>
                <w:szCs w:val="20"/>
              </w:rPr>
              <w:t xml:space="preserve">die Freiheitsrechte unverhältnismäßig eingeschränkt </w:t>
            </w:r>
            <w:r>
              <w:rPr>
                <w:sz w:val="20"/>
                <w:szCs w:val="20"/>
              </w:rPr>
              <w:t>seien</w:t>
            </w:r>
            <w:r w:rsidRPr="0034416B">
              <w:rPr>
                <w:sz w:val="20"/>
                <w:szCs w:val="20"/>
              </w:rPr>
              <w:t xml:space="preserve"> und </w:t>
            </w:r>
            <w:r>
              <w:rPr>
                <w:sz w:val="20"/>
                <w:szCs w:val="20"/>
              </w:rPr>
              <w:t xml:space="preserve">dass </w:t>
            </w:r>
            <w:r w:rsidRPr="0034416B">
              <w:rPr>
                <w:sz w:val="20"/>
                <w:szCs w:val="20"/>
              </w:rPr>
              <w:t>sie essenziell seien für ein Streben nach Glück.</w:t>
            </w:r>
            <w:r w:rsidRPr="0034416B">
              <w:rPr>
                <w:sz w:val="20"/>
                <w:szCs w:val="20"/>
                <w:vertAlign w:val="superscript"/>
              </w:rPr>
              <w:footnoteReference w:id="1314"/>
            </w:r>
            <w:r w:rsidRPr="0034416B">
              <w:rPr>
                <w:sz w:val="20"/>
                <w:szCs w:val="20"/>
              </w:rPr>
              <w:t xml:space="preserve"> Solch ein essenzielles Freiheitsrecht für das Streben nach Glück wäre </w:t>
            </w:r>
            <w:r>
              <w:rPr>
                <w:sz w:val="20"/>
                <w:szCs w:val="20"/>
              </w:rPr>
              <w:t>z.B.</w:t>
            </w:r>
            <w:r w:rsidRPr="0034416B">
              <w:rPr>
                <w:sz w:val="20"/>
                <w:szCs w:val="20"/>
              </w:rPr>
              <w:t xml:space="preserve"> das Ansehen („</w:t>
            </w:r>
            <w:proofErr w:type="spellStart"/>
            <w:r w:rsidRPr="0034416B">
              <w:rPr>
                <w:sz w:val="20"/>
                <w:szCs w:val="20"/>
              </w:rPr>
              <w:t>person</w:t>
            </w:r>
            <w:r>
              <w:rPr>
                <w:sz w:val="20"/>
                <w:szCs w:val="20"/>
              </w:rPr>
              <w:t>’</w:t>
            </w:r>
            <w:r w:rsidRPr="0034416B">
              <w:rPr>
                <w:sz w:val="20"/>
                <w:szCs w:val="20"/>
              </w:rPr>
              <w:t>s</w:t>
            </w:r>
            <w:proofErr w:type="spellEnd"/>
            <w:r w:rsidRPr="0034416B">
              <w:rPr>
                <w:sz w:val="20"/>
                <w:szCs w:val="20"/>
              </w:rPr>
              <w:t xml:space="preserve"> </w:t>
            </w:r>
            <w:proofErr w:type="spellStart"/>
            <w:r w:rsidRPr="0034416B">
              <w:rPr>
                <w:sz w:val="20"/>
                <w:szCs w:val="20"/>
              </w:rPr>
              <w:t>good</w:t>
            </w:r>
            <w:proofErr w:type="spellEnd"/>
            <w:r w:rsidRPr="0034416B">
              <w:rPr>
                <w:sz w:val="20"/>
                <w:szCs w:val="20"/>
              </w:rPr>
              <w:t xml:space="preserve"> </w:t>
            </w:r>
            <w:proofErr w:type="spellStart"/>
            <w:r w:rsidRPr="0034416B">
              <w:rPr>
                <w:sz w:val="20"/>
                <w:szCs w:val="20"/>
              </w:rPr>
              <w:t>name</w:t>
            </w:r>
            <w:proofErr w:type="spellEnd"/>
            <w:r w:rsidRPr="0034416B">
              <w:rPr>
                <w:sz w:val="20"/>
                <w:szCs w:val="20"/>
              </w:rPr>
              <w:t xml:space="preserve">, </w:t>
            </w:r>
            <w:proofErr w:type="spellStart"/>
            <w:r w:rsidRPr="0034416B">
              <w:rPr>
                <w:sz w:val="20"/>
                <w:szCs w:val="20"/>
              </w:rPr>
              <w:t>reputation</w:t>
            </w:r>
            <w:proofErr w:type="spellEnd"/>
            <w:r w:rsidRPr="0034416B">
              <w:rPr>
                <w:sz w:val="20"/>
                <w:szCs w:val="20"/>
              </w:rPr>
              <w:t xml:space="preserve">, </w:t>
            </w:r>
            <w:proofErr w:type="spellStart"/>
            <w:r w:rsidRPr="0034416B">
              <w:rPr>
                <w:sz w:val="20"/>
                <w:szCs w:val="20"/>
              </w:rPr>
              <w:t>honor</w:t>
            </w:r>
            <w:proofErr w:type="spellEnd"/>
            <w:r w:rsidRPr="0034416B">
              <w:rPr>
                <w:sz w:val="20"/>
                <w:szCs w:val="20"/>
              </w:rPr>
              <w:t xml:space="preserve">, </w:t>
            </w:r>
            <w:proofErr w:type="spellStart"/>
            <w:r w:rsidRPr="0034416B">
              <w:rPr>
                <w:sz w:val="20"/>
                <w:szCs w:val="20"/>
              </w:rPr>
              <w:t>or</w:t>
            </w:r>
            <w:proofErr w:type="spellEnd"/>
            <w:r w:rsidRPr="0034416B">
              <w:rPr>
                <w:sz w:val="20"/>
                <w:szCs w:val="20"/>
              </w:rPr>
              <w:t xml:space="preserve"> </w:t>
            </w:r>
            <w:proofErr w:type="spellStart"/>
            <w:r w:rsidRPr="0034416B">
              <w:rPr>
                <w:sz w:val="20"/>
                <w:szCs w:val="20"/>
              </w:rPr>
              <w:t>integrity</w:t>
            </w:r>
            <w:proofErr w:type="spellEnd"/>
            <w:r w:rsidRPr="0034416B">
              <w:rPr>
                <w:sz w:val="20"/>
                <w:szCs w:val="20"/>
              </w:rPr>
              <w:t>“</w:t>
            </w:r>
            <w:r w:rsidRPr="0034416B">
              <w:rPr>
                <w:sz w:val="20"/>
                <w:szCs w:val="20"/>
                <w:vertAlign w:val="superscript"/>
              </w:rPr>
              <w:footnoteReference w:id="1315"/>
            </w:r>
            <w:r w:rsidRPr="0034416B">
              <w:rPr>
                <w:sz w:val="20"/>
                <w:szCs w:val="20"/>
              </w:rPr>
              <w:t>) gewesen. Diese</w:t>
            </w:r>
            <w:r>
              <w:rPr>
                <w:sz w:val="20"/>
                <w:szCs w:val="20"/>
              </w:rPr>
              <w:t>s</w:t>
            </w:r>
            <w:r w:rsidRPr="0034416B">
              <w:rPr>
                <w:sz w:val="20"/>
                <w:szCs w:val="20"/>
              </w:rPr>
              <w:t xml:space="preserve"> sei hier aber nicht verletzt worden, weil hier bspw. kein Vorwurf der Unehrlichkeit und Unsittlichkeit vorl</w:t>
            </w:r>
            <w:r>
              <w:rPr>
                <w:sz w:val="20"/>
                <w:szCs w:val="20"/>
              </w:rPr>
              <w:t>ie</w:t>
            </w:r>
            <w:r w:rsidRPr="0034416B">
              <w:rPr>
                <w:sz w:val="20"/>
                <w:szCs w:val="20"/>
              </w:rPr>
              <w:t>ge („</w:t>
            </w:r>
            <w:proofErr w:type="spellStart"/>
            <w:r w:rsidRPr="0034416B">
              <w:rPr>
                <w:sz w:val="20"/>
                <w:szCs w:val="20"/>
              </w:rPr>
              <w:t>dishonesty</w:t>
            </w:r>
            <w:proofErr w:type="spellEnd"/>
            <w:r w:rsidRPr="0034416B">
              <w:rPr>
                <w:sz w:val="20"/>
                <w:szCs w:val="20"/>
              </w:rPr>
              <w:t xml:space="preserve">, </w:t>
            </w:r>
            <w:proofErr w:type="spellStart"/>
            <w:r w:rsidRPr="0034416B">
              <w:rPr>
                <w:sz w:val="20"/>
                <w:szCs w:val="20"/>
              </w:rPr>
              <w:t>or</w:t>
            </w:r>
            <w:proofErr w:type="spellEnd"/>
            <w:r w:rsidRPr="0034416B">
              <w:rPr>
                <w:sz w:val="20"/>
                <w:szCs w:val="20"/>
              </w:rPr>
              <w:t xml:space="preserve"> </w:t>
            </w:r>
            <w:proofErr w:type="spellStart"/>
            <w:r w:rsidRPr="0034416B">
              <w:rPr>
                <w:sz w:val="20"/>
                <w:szCs w:val="20"/>
              </w:rPr>
              <w:t>immorality</w:t>
            </w:r>
            <w:proofErr w:type="spellEnd"/>
            <w:r w:rsidRPr="0034416B">
              <w:rPr>
                <w:sz w:val="20"/>
                <w:szCs w:val="20"/>
              </w:rPr>
              <w:t>“</w:t>
            </w:r>
            <w:r w:rsidRPr="0034416B">
              <w:rPr>
                <w:sz w:val="20"/>
                <w:szCs w:val="20"/>
                <w:vertAlign w:val="superscript"/>
              </w:rPr>
              <w:footnoteReference w:id="1316"/>
            </w:r>
            <w:r w:rsidRPr="0034416B">
              <w:rPr>
                <w:sz w:val="20"/>
                <w:szCs w:val="20"/>
              </w:rPr>
              <w:t>), der den Vertrag beendet</w:t>
            </w:r>
            <w:r>
              <w:rPr>
                <w:sz w:val="20"/>
                <w:szCs w:val="20"/>
              </w:rPr>
              <w:t xml:space="preserve"> hätte</w:t>
            </w:r>
            <w:r w:rsidRPr="0034416B">
              <w:rPr>
                <w:sz w:val="20"/>
                <w:szCs w:val="20"/>
              </w:rPr>
              <w:t>.</w:t>
            </w:r>
          </w:p>
          <w:p w14:paraId="7B300E1E" w14:textId="77777777" w:rsidR="00074551" w:rsidRPr="00E50B51" w:rsidRDefault="00074551" w:rsidP="00367133">
            <w:pPr>
              <w:jc w:val="both"/>
              <w:rPr>
                <w:sz w:val="20"/>
                <w:szCs w:val="20"/>
              </w:rPr>
            </w:pPr>
          </w:p>
        </w:tc>
      </w:tr>
      <w:tr w:rsidR="00074551" w:rsidRPr="00E50B51" w14:paraId="5A3A8AED" w14:textId="77777777" w:rsidTr="00BE689F">
        <w:trPr>
          <w:cantSplit/>
          <w:trHeight w:val="3175"/>
        </w:trPr>
        <w:tc>
          <w:tcPr>
            <w:tcW w:w="293" w:type="pct"/>
          </w:tcPr>
          <w:p w14:paraId="2C966C5E"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1C8294B" w14:textId="77777777" w:rsidR="00074551" w:rsidRPr="00B45592" w:rsidRDefault="00074551" w:rsidP="00367133">
            <w:pPr>
              <w:ind w:left="113" w:right="416"/>
              <w:jc w:val="both"/>
              <w:rPr>
                <w:i/>
                <w:sz w:val="20"/>
                <w:szCs w:val="20"/>
                <w:lang w:val="en-US"/>
              </w:rPr>
            </w:pPr>
            <w:r w:rsidRPr="00B45592">
              <w:rPr>
                <w:i/>
                <w:sz w:val="20"/>
                <w:szCs w:val="20"/>
                <w:lang w:val="en-US"/>
              </w:rPr>
              <w:t xml:space="preserve">Cruzan v. Dir., Mo. </w:t>
            </w:r>
            <w:proofErr w:type="spellStart"/>
            <w:r w:rsidRPr="00B45592">
              <w:rPr>
                <w:i/>
                <w:sz w:val="20"/>
                <w:szCs w:val="20"/>
                <w:lang w:val="en-US"/>
              </w:rPr>
              <w:t>Dep’t</w:t>
            </w:r>
            <w:proofErr w:type="spellEnd"/>
            <w:r w:rsidRPr="00B45592">
              <w:rPr>
                <w:i/>
                <w:sz w:val="20"/>
                <w:szCs w:val="20"/>
                <w:lang w:val="en-US"/>
              </w:rPr>
              <w:t xml:space="preserve"> of Health</w:t>
            </w:r>
          </w:p>
        </w:tc>
        <w:tc>
          <w:tcPr>
            <w:tcW w:w="197" w:type="pct"/>
            <w:textDirection w:val="tbRl"/>
            <w:vAlign w:val="center"/>
          </w:tcPr>
          <w:p w14:paraId="16E4DF3E" w14:textId="77777777" w:rsidR="00074551" w:rsidRPr="00E50B51" w:rsidRDefault="00074551" w:rsidP="00367133">
            <w:pPr>
              <w:ind w:left="113" w:right="113"/>
              <w:jc w:val="both"/>
              <w:rPr>
                <w:sz w:val="20"/>
                <w:szCs w:val="20"/>
              </w:rPr>
            </w:pPr>
            <w:r w:rsidRPr="00E50B51">
              <w:rPr>
                <w:sz w:val="20"/>
                <w:szCs w:val="20"/>
                <w:lang w:val="en-US"/>
              </w:rPr>
              <w:t>497 U.S. 261</w:t>
            </w:r>
          </w:p>
        </w:tc>
        <w:tc>
          <w:tcPr>
            <w:tcW w:w="306" w:type="pct"/>
            <w:textDirection w:val="tbRl"/>
            <w:vAlign w:val="center"/>
          </w:tcPr>
          <w:p w14:paraId="6554FB74" w14:textId="77777777" w:rsidR="00074551" w:rsidRPr="00E50B51" w:rsidRDefault="00074551" w:rsidP="00367133">
            <w:pPr>
              <w:ind w:left="113" w:right="113"/>
              <w:jc w:val="both"/>
              <w:rPr>
                <w:sz w:val="20"/>
                <w:szCs w:val="20"/>
              </w:rPr>
            </w:pPr>
            <w:r w:rsidRPr="00E50B51">
              <w:rPr>
                <w:sz w:val="20"/>
                <w:szCs w:val="20"/>
              </w:rPr>
              <w:t>25. Juni 1990</w:t>
            </w:r>
          </w:p>
        </w:tc>
        <w:tc>
          <w:tcPr>
            <w:tcW w:w="401" w:type="pct"/>
          </w:tcPr>
          <w:p w14:paraId="083F783F" w14:textId="77777777" w:rsidR="00074551" w:rsidRPr="00E50B51" w:rsidRDefault="00074551" w:rsidP="00367133">
            <w:pPr>
              <w:jc w:val="center"/>
              <w:rPr>
                <w:sz w:val="20"/>
                <w:szCs w:val="20"/>
              </w:rPr>
            </w:pPr>
            <w:r w:rsidRPr="00E50B51">
              <w:rPr>
                <w:sz w:val="20"/>
                <w:szCs w:val="20"/>
              </w:rPr>
              <w:t>D</w:t>
            </w:r>
          </w:p>
        </w:tc>
        <w:tc>
          <w:tcPr>
            <w:tcW w:w="1594" w:type="pct"/>
          </w:tcPr>
          <w:p w14:paraId="05F4B9F8" w14:textId="77777777" w:rsidR="00074551" w:rsidRPr="00E50B51" w:rsidRDefault="00074551" w:rsidP="00367133">
            <w:pPr>
              <w:jc w:val="both"/>
              <w:rPr>
                <w:sz w:val="20"/>
                <w:szCs w:val="20"/>
              </w:rPr>
            </w:pPr>
            <w:r w:rsidRPr="00E50B51">
              <w:rPr>
                <w:sz w:val="20"/>
                <w:szCs w:val="20"/>
              </w:rPr>
              <w:t>*</w:t>
            </w:r>
          </w:p>
        </w:tc>
        <w:tc>
          <w:tcPr>
            <w:tcW w:w="1822" w:type="pct"/>
          </w:tcPr>
          <w:p w14:paraId="188F1199" w14:textId="006A1530" w:rsidR="00074551" w:rsidRPr="00F5313C" w:rsidRDefault="00074551" w:rsidP="00367133">
            <w:pPr>
              <w:jc w:val="both"/>
              <w:rPr>
                <w:sz w:val="20"/>
                <w:szCs w:val="20"/>
              </w:rPr>
            </w:pPr>
            <w:r w:rsidRPr="00F5313C">
              <w:rPr>
                <w:sz w:val="20"/>
                <w:szCs w:val="20"/>
              </w:rPr>
              <w:t xml:space="preserve">In </w:t>
            </w:r>
            <w:r w:rsidRPr="5B67C1D2">
              <w:rPr>
                <w:i/>
                <w:iCs/>
                <w:sz w:val="20"/>
                <w:szCs w:val="20"/>
              </w:rPr>
              <w:t xml:space="preserve">Cruzan v. Dir., Mo. </w:t>
            </w:r>
            <w:proofErr w:type="spellStart"/>
            <w:r w:rsidRPr="5B67C1D2">
              <w:rPr>
                <w:i/>
                <w:iCs/>
                <w:sz w:val="20"/>
                <w:szCs w:val="20"/>
              </w:rPr>
              <w:t>Dep’t</w:t>
            </w:r>
            <w:proofErr w:type="spellEnd"/>
            <w:r w:rsidRPr="5B67C1D2">
              <w:rPr>
                <w:i/>
                <w:iCs/>
                <w:sz w:val="20"/>
                <w:szCs w:val="20"/>
              </w:rPr>
              <w:t xml:space="preserve"> of Health</w:t>
            </w:r>
            <w:r w:rsidRPr="00F5313C">
              <w:rPr>
                <w:sz w:val="20"/>
                <w:szCs w:val="20"/>
              </w:rPr>
              <w:t xml:space="preserve"> bespricht der </w:t>
            </w:r>
            <w:r>
              <w:rPr>
                <w:sz w:val="20"/>
                <w:szCs w:val="20"/>
              </w:rPr>
              <w:t>U.S. Supreme Court</w:t>
            </w:r>
            <w:r w:rsidRPr="00F5313C">
              <w:rPr>
                <w:sz w:val="20"/>
                <w:szCs w:val="20"/>
              </w:rPr>
              <w:t xml:space="preserve"> nicht nur das Streben nach Glück als Staatsziel,</w:t>
            </w:r>
            <w:r w:rsidRPr="00F5313C">
              <w:rPr>
                <w:sz w:val="20"/>
                <w:szCs w:val="20"/>
                <w:vertAlign w:val="superscript"/>
              </w:rPr>
              <w:footnoteReference w:id="1317"/>
            </w:r>
            <w:r w:rsidRPr="00F5313C">
              <w:rPr>
                <w:sz w:val="20"/>
                <w:szCs w:val="20"/>
              </w:rPr>
              <w:t xml:space="preserve"> sondern </w:t>
            </w:r>
            <w:r>
              <w:rPr>
                <w:sz w:val="20"/>
                <w:szCs w:val="20"/>
              </w:rPr>
              <w:t xml:space="preserve">auch, </w:t>
            </w:r>
            <w:r w:rsidRPr="00F5313C">
              <w:rPr>
                <w:sz w:val="20"/>
                <w:szCs w:val="20"/>
              </w:rPr>
              <w:t>wie es sich im Recht auf Privatsphäre ausprägt („</w:t>
            </w:r>
            <w:proofErr w:type="spellStart"/>
            <w:r w:rsidRPr="00F5313C">
              <w:rPr>
                <w:sz w:val="20"/>
                <w:szCs w:val="20"/>
              </w:rPr>
              <w:t>right</w:t>
            </w:r>
            <w:proofErr w:type="spellEnd"/>
            <w:r w:rsidRPr="00F5313C">
              <w:rPr>
                <w:sz w:val="20"/>
                <w:szCs w:val="20"/>
              </w:rPr>
              <w:t xml:space="preserve"> of </w:t>
            </w:r>
            <w:proofErr w:type="spellStart"/>
            <w:r w:rsidRPr="00F5313C">
              <w:rPr>
                <w:sz w:val="20"/>
                <w:szCs w:val="20"/>
              </w:rPr>
              <w:t>privacy</w:t>
            </w:r>
            <w:proofErr w:type="spellEnd"/>
            <w:r w:rsidRPr="00F5313C">
              <w:rPr>
                <w:sz w:val="20"/>
                <w:szCs w:val="20"/>
              </w:rPr>
              <w:t>“</w:t>
            </w:r>
            <w:r w:rsidRPr="00F5313C">
              <w:rPr>
                <w:sz w:val="20"/>
                <w:szCs w:val="20"/>
                <w:vertAlign w:val="superscript"/>
              </w:rPr>
              <w:footnoteReference w:id="1318"/>
            </w:r>
            <w:r w:rsidRPr="00F5313C">
              <w:rPr>
                <w:sz w:val="20"/>
                <w:szCs w:val="20"/>
              </w:rPr>
              <w:t>), nämlich als Abwägungsformel: Je mehr eine staatliche Maßnahme für das öffentliche Interesse</w:t>
            </w:r>
            <w:r>
              <w:rPr>
                <w:sz w:val="20"/>
                <w:szCs w:val="20"/>
              </w:rPr>
              <w:t xml:space="preserve"> </w:t>
            </w:r>
            <w:r w:rsidRPr="00F5313C">
              <w:rPr>
                <w:sz w:val="20"/>
                <w:szCs w:val="20"/>
              </w:rPr>
              <w:t>körperlich beeinträchtige</w:t>
            </w:r>
            <w:r>
              <w:rPr>
                <w:sz w:val="20"/>
                <w:szCs w:val="20"/>
              </w:rPr>
              <w:t>n</w:t>
            </w:r>
            <w:r w:rsidRPr="00F5313C">
              <w:rPr>
                <w:sz w:val="20"/>
                <w:szCs w:val="20"/>
              </w:rPr>
              <w:t xml:space="preserve"> müsse, desto schwerer wiege das Recht auf Privatsphäre. Der </w:t>
            </w:r>
            <w:r>
              <w:rPr>
                <w:sz w:val="20"/>
                <w:szCs w:val="20"/>
              </w:rPr>
              <w:t>U.S. Supreme Court</w:t>
            </w:r>
            <w:r w:rsidRPr="00F5313C">
              <w:rPr>
                <w:sz w:val="20"/>
                <w:szCs w:val="20"/>
              </w:rPr>
              <w:t xml:space="preserve"> zieht seine Rechtsprechung aus </w:t>
            </w:r>
            <w:r w:rsidRPr="5B67C1D2">
              <w:rPr>
                <w:i/>
                <w:iCs/>
                <w:sz w:val="20"/>
                <w:szCs w:val="20"/>
              </w:rPr>
              <w:t xml:space="preserve">In </w:t>
            </w:r>
            <w:proofErr w:type="spellStart"/>
            <w:r w:rsidRPr="5B67C1D2">
              <w:rPr>
                <w:i/>
                <w:iCs/>
                <w:sz w:val="20"/>
                <w:szCs w:val="20"/>
              </w:rPr>
              <w:t>re</w:t>
            </w:r>
            <w:proofErr w:type="spellEnd"/>
            <w:r w:rsidRPr="5B67C1D2">
              <w:rPr>
                <w:i/>
                <w:iCs/>
                <w:sz w:val="20"/>
                <w:szCs w:val="20"/>
              </w:rPr>
              <w:t xml:space="preserve"> Quinlan</w:t>
            </w:r>
            <w:r w:rsidRPr="00F5313C">
              <w:rPr>
                <w:sz w:val="20"/>
                <w:szCs w:val="20"/>
                <w:vertAlign w:val="superscript"/>
              </w:rPr>
              <w:footnoteReference w:id="1319"/>
            </w:r>
            <w:r w:rsidRPr="00F5313C">
              <w:rPr>
                <w:sz w:val="20"/>
                <w:szCs w:val="20"/>
              </w:rPr>
              <w:t xml:space="preserve"> heran, die die unveräußerlichen Rechte wie das Streben nach Glück dem öffentlichen Interesse</w:t>
            </w:r>
            <w:r>
              <w:rPr>
                <w:sz w:val="20"/>
                <w:szCs w:val="20"/>
              </w:rPr>
              <w:t xml:space="preserve"> – wie dem Erhalt von </w:t>
            </w:r>
            <w:r w:rsidRPr="00F5313C">
              <w:rPr>
                <w:sz w:val="20"/>
                <w:szCs w:val="20"/>
              </w:rPr>
              <w:t>Leben („</w:t>
            </w:r>
            <w:proofErr w:type="spellStart"/>
            <w:r w:rsidRPr="00F5313C">
              <w:rPr>
                <w:sz w:val="20"/>
                <w:szCs w:val="20"/>
              </w:rPr>
              <w:t>defending</w:t>
            </w:r>
            <w:proofErr w:type="spellEnd"/>
            <w:r w:rsidRPr="00F5313C">
              <w:rPr>
                <w:sz w:val="20"/>
                <w:szCs w:val="20"/>
              </w:rPr>
              <w:t xml:space="preserve"> </w:t>
            </w:r>
            <w:proofErr w:type="spellStart"/>
            <w:r w:rsidRPr="00F5313C">
              <w:rPr>
                <w:sz w:val="20"/>
                <w:szCs w:val="20"/>
              </w:rPr>
              <w:t>life</w:t>
            </w:r>
            <w:proofErr w:type="spellEnd"/>
            <w:r w:rsidRPr="00F5313C">
              <w:rPr>
                <w:sz w:val="20"/>
                <w:szCs w:val="20"/>
              </w:rPr>
              <w:t>“</w:t>
            </w:r>
            <w:r w:rsidRPr="00F5313C">
              <w:rPr>
                <w:sz w:val="20"/>
                <w:szCs w:val="20"/>
                <w:vertAlign w:val="superscript"/>
              </w:rPr>
              <w:footnoteReference w:id="1320"/>
            </w:r>
            <w:r w:rsidRPr="00F5313C">
              <w:rPr>
                <w:sz w:val="20"/>
                <w:szCs w:val="20"/>
              </w:rPr>
              <w:t>)</w:t>
            </w:r>
            <w:r>
              <w:rPr>
                <w:sz w:val="20"/>
                <w:szCs w:val="20"/>
              </w:rPr>
              <w:t> –</w:t>
            </w:r>
            <w:r w:rsidRPr="00F5313C">
              <w:rPr>
                <w:sz w:val="20"/>
                <w:szCs w:val="20"/>
              </w:rPr>
              <w:t xml:space="preserve"> zugrunde</w:t>
            </w:r>
            <w:r w:rsidR="006F4315">
              <w:rPr>
                <w:sz w:val="20"/>
                <w:szCs w:val="20"/>
              </w:rPr>
              <w:t xml:space="preserve"> liegen</w:t>
            </w:r>
            <w:r w:rsidRPr="00F5313C">
              <w:rPr>
                <w:sz w:val="20"/>
                <w:szCs w:val="20"/>
              </w:rPr>
              <w:t xml:space="preserve">. Dabei wägt der </w:t>
            </w:r>
            <w:r>
              <w:rPr>
                <w:sz w:val="20"/>
                <w:szCs w:val="20"/>
              </w:rPr>
              <w:t>U.S. Supreme Court</w:t>
            </w:r>
            <w:r w:rsidRPr="00F5313C">
              <w:rPr>
                <w:sz w:val="20"/>
                <w:szCs w:val="20"/>
              </w:rPr>
              <w:t xml:space="preserve"> nunmehr laut folgender Formel ab: Das Recht auf Privatsphäre sei nicht absolut</w:t>
            </w:r>
            <w:r>
              <w:rPr>
                <w:sz w:val="20"/>
                <w:szCs w:val="20"/>
              </w:rPr>
              <w:t>, w</w:t>
            </w:r>
            <w:r w:rsidRPr="00F5313C">
              <w:rPr>
                <w:sz w:val="20"/>
                <w:szCs w:val="20"/>
              </w:rPr>
              <w:t>eshalb Gerichte es gegen öffentliches Interesse abwägen könn</w:t>
            </w:r>
            <w:r>
              <w:rPr>
                <w:sz w:val="20"/>
                <w:szCs w:val="20"/>
              </w:rPr>
              <w:t>t</w:t>
            </w:r>
            <w:r w:rsidRPr="00F5313C">
              <w:rPr>
                <w:sz w:val="20"/>
                <w:szCs w:val="20"/>
              </w:rPr>
              <w:t>en. Für die Abwägung gelte weiter: Je mehr eine staatliche Maßnahme körperlich beeinträchtige (</w:t>
            </w:r>
            <w:r>
              <w:rPr>
                <w:sz w:val="20"/>
                <w:szCs w:val="20"/>
              </w:rPr>
              <w:t>z.B.</w:t>
            </w:r>
            <w:r w:rsidRPr="00F5313C">
              <w:rPr>
                <w:sz w:val="20"/>
                <w:szCs w:val="20"/>
              </w:rPr>
              <w:t xml:space="preserve"> lebenserhaltende Maßnahmen – trotz geringer Lebensqualität – </w:t>
            </w:r>
            <w:r>
              <w:rPr>
                <w:sz w:val="20"/>
                <w:szCs w:val="20"/>
              </w:rPr>
              <w:t>aufrechtzuerhalten</w:t>
            </w:r>
            <w:r w:rsidRPr="00F5313C">
              <w:rPr>
                <w:sz w:val="20"/>
                <w:szCs w:val="20"/>
              </w:rPr>
              <w:t>) und die Prognose für das Leben verschlechtere (</w:t>
            </w:r>
            <w:r>
              <w:rPr>
                <w:sz w:val="20"/>
                <w:szCs w:val="20"/>
              </w:rPr>
              <w:t>z.B.</w:t>
            </w:r>
            <w:r w:rsidRPr="00F5313C">
              <w:rPr>
                <w:sz w:val="20"/>
                <w:szCs w:val="20"/>
              </w:rPr>
              <w:t xml:space="preserve"> Lebensführung nur mit künstlicher Ernährung), desto schwächer sei das öffentliche Interesse an der staatlichen Maßnahme (</w:t>
            </w:r>
            <w:r>
              <w:rPr>
                <w:sz w:val="20"/>
                <w:szCs w:val="20"/>
              </w:rPr>
              <w:t>z.B.</w:t>
            </w:r>
            <w:r w:rsidRPr="00F5313C">
              <w:rPr>
                <w:sz w:val="20"/>
                <w:szCs w:val="20"/>
              </w:rPr>
              <w:t xml:space="preserve"> Leben zu erhalten) und desto eher überwiege das Recht auf Privatsphäre (</w:t>
            </w:r>
            <w:r>
              <w:rPr>
                <w:sz w:val="20"/>
                <w:szCs w:val="20"/>
              </w:rPr>
              <w:t>z.B.</w:t>
            </w:r>
            <w:r w:rsidRPr="00F5313C">
              <w:rPr>
                <w:sz w:val="20"/>
                <w:szCs w:val="20"/>
              </w:rPr>
              <w:t xml:space="preserve"> lebenserhaltende Maßnahmen zu beenden).</w:t>
            </w:r>
            <w:r w:rsidRPr="00F5313C">
              <w:rPr>
                <w:sz w:val="20"/>
                <w:szCs w:val="20"/>
                <w:vertAlign w:val="superscript"/>
              </w:rPr>
              <w:footnoteReference w:id="1321"/>
            </w:r>
          </w:p>
          <w:p w14:paraId="43A2DE64" w14:textId="77777777" w:rsidR="00074551" w:rsidRPr="00E50B51" w:rsidRDefault="00074551" w:rsidP="00367133">
            <w:pPr>
              <w:jc w:val="both"/>
              <w:rPr>
                <w:sz w:val="20"/>
                <w:szCs w:val="20"/>
              </w:rPr>
            </w:pPr>
          </w:p>
        </w:tc>
      </w:tr>
      <w:tr w:rsidR="00074551" w:rsidRPr="00E50B51" w14:paraId="2B166A46" w14:textId="77777777" w:rsidTr="00BE689F">
        <w:trPr>
          <w:cantSplit/>
          <w:trHeight w:val="3175"/>
        </w:trPr>
        <w:tc>
          <w:tcPr>
            <w:tcW w:w="293" w:type="pct"/>
          </w:tcPr>
          <w:p w14:paraId="12F095D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2B04619" w14:textId="77777777" w:rsidR="00074551" w:rsidRPr="00E50B51" w:rsidRDefault="00074551" w:rsidP="00367133">
            <w:pPr>
              <w:ind w:left="113" w:right="416"/>
              <w:jc w:val="both"/>
              <w:rPr>
                <w:sz w:val="20"/>
                <w:szCs w:val="20"/>
              </w:rPr>
            </w:pPr>
            <w:r w:rsidRPr="009572B5">
              <w:rPr>
                <w:i/>
                <w:sz w:val="20"/>
                <w:szCs w:val="20"/>
              </w:rPr>
              <w:t>Eisenstadt v. Baird</w:t>
            </w:r>
          </w:p>
        </w:tc>
        <w:tc>
          <w:tcPr>
            <w:tcW w:w="197" w:type="pct"/>
            <w:textDirection w:val="tbRl"/>
            <w:vAlign w:val="center"/>
          </w:tcPr>
          <w:p w14:paraId="2F7DF863" w14:textId="77777777" w:rsidR="00074551" w:rsidRPr="00E50B51" w:rsidRDefault="00074551" w:rsidP="00367133">
            <w:pPr>
              <w:ind w:left="113" w:right="113"/>
              <w:jc w:val="both"/>
              <w:rPr>
                <w:sz w:val="20"/>
                <w:szCs w:val="20"/>
              </w:rPr>
            </w:pPr>
            <w:r w:rsidRPr="00E50B51">
              <w:rPr>
                <w:sz w:val="20"/>
                <w:szCs w:val="20"/>
                <w:lang w:val="en-US"/>
              </w:rPr>
              <w:t>405 U.S. 438</w:t>
            </w:r>
          </w:p>
        </w:tc>
        <w:tc>
          <w:tcPr>
            <w:tcW w:w="306" w:type="pct"/>
            <w:textDirection w:val="tbRl"/>
            <w:vAlign w:val="center"/>
          </w:tcPr>
          <w:p w14:paraId="0EAEB680" w14:textId="77777777" w:rsidR="00074551" w:rsidRPr="00E50B51" w:rsidRDefault="00074551" w:rsidP="00367133">
            <w:pPr>
              <w:ind w:left="113" w:right="113"/>
              <w:jc w:val="both"/>
              <w:rPr>
                <w:sz w:val="20"/>
                <w:szCs w:val="20"/>
              </w:rPr>
            </w:pPr>
            <w:r w:rsidRPr="00E50B51">
              <w:rPr>
                <w:sz w:val="20"/>
                <w:szCs w:val="20"/>
              </w:rPr>
              <w:t>22. März 1972</w:t>
            </w:r>
          </w:p>
        </w:tc>
        <w:tc>
          <w:tcPr>
            <w:tcW w:w="401" w:type="pct"/>
          </w:tcPr>
          <w:p w14:paraId="5F9BF961" w14:textId="77777777" w:rsidR="00074551" w:rsidRPr="00E50B51" w:rsidRDefault="00074551" w:rsidP="00367133">
            <w:pPr>
              <w:jc w:val="center"/>
              <w:rPr>
                <w:sz w:val="20"/>
                <w:szCs w:val="20"/>
              </w:rPr>
            </w:pPr>
            <w:r w:rsidRPr="00E50B51">
              <w:rPr>
                <w:sz w:val="20"/>
                <w:szCs w:val="20"/>
              </w:rPr>
              <w:t>M</w:t>
            </w:r>
          </w:p>
        </w:tc>
        <w:tc>
          <w:tcPr>
            <w:tcW w:w="1594" w:type="pct"/>
          </w:tcPr>
          <w:p w14:paraId="7DBAF6DF" w14:textId="683BE342" w:rsidR="00074551" w:rsidRPr="00E50B51" w:rsidRDefault="00074551" w:rsidP="00367133">
            <w:pPr>
              <w:jc w:val="both"/>
              <w:rPr>
                <w:sz w:val="20"/>
                <w:szCs w:val="20"/>
              </w:rPr>
            </w:pPr>
            <w:r w:rsidRPr="00E50B51">
              <w:rPr>
                <w:sz w:val="20"/>
                <w:szCs w:val="20"/>
              </w:rPr>
              <w:t>Im Fall wurde unter anderem der Kläger wegen der Abgabe von Vaginal</w:t>
            </w:r>
            <w:r>
              <w:rPr>
                <w:sz w:val="20"/>
                <w:szCs w:val="20"/>
              </w:rPr>
              <w:t>-</w:t>
            </w:r>
            <w:r w:rsidRPr="00E50B51">
              <w:rPr>
                <w:sz w:val="20"/>
                <w:szCs w:val="20"/>
              </w:rPr>
              <w:t xml:space="preserve">schaum an eine unverheiratete Frau am Ende einer Vorlesung verurteilt, da ein solches Verhalten gegen </w:t>
            </w:r>
            <w:bookmarkStart w:id="62" w:name="_Hlk230080263"/>
            <w:proofErr w:type="spellStart"/>
            <w:r w:rsidRPr="00E50B51">
              <w:rPr>
                <w:sz w:val="20"/>
                <w:szCs w:val="20"/>
              </w:rPr>
              <w:t>Mass</w:t>
            </w:r>
            <w:proofErr w:type="spellEnd"/>
            <w:r w:rsidRPr="00E50B51">
              <w:rPr>
                <w:sz w:val="20"/>
                <w:szCs w:val="20"/>
              </w:rPr>
              <w:t xml:space="preserve">. Gen. Law Ann. </w:t>
            </w:r>
            <w:proofErr w:type="spellStart"/>
            <w:r w:rsidRPr="00E50B51">
              <w:rPr>
                <w:sz w:val="20"/>
                <w:szCs w:val="20"/>
              </w:rPr>
              <w:t>ch</w:t>
            </w:r>
            <w:proofErr w:type="spellEnd"/>
            <w:r w:rsidRPr="00E50B51">
              <w:rPr>
                <w:sz w:val="20"/>
                <w:szCs w:val="20"/>
              </w:rPr>
              <w:t xml:space="preserve">. 272, </w:t>
            </w:r>
            <w:r>
              <w:rPr>
                <w:sz w:val="20"/>
                <w:szCs w:val="20"/>
              </w:rPr>
              <w:t>§ </w:t>
            </w:r>
            <w:r w:rsidRPr="00E50B51">
              <w:rPr>
                <w:sz w:val="20"/>
                <w:szCs w:val="20"/>
              </w:rPr>
              <w:t>21</w:t>
            </w:r>
            <w:bookmarkEnd w:id="62"/>
            <w:r>
              <w:rPr>
                <w:rStyle w:val="Funotenzeichen"/>
                <w:sz w:val="20"/>
                <w:szCs w:val="20"/>
              </w:rPr>
              <w:footnoteReference w:id="1322"/>
            </w:r>
            <w:r w:rsidRPr="00E50B51">
              <w:rPr>
                <w:sz w:val="20"/>
                <w:szCs w:val="20"/>
              </w:rPr>
              <w:t xml:space="preserve"> verstoße. Der </w:t>
            </w:r>
            <w:r>
              <w:rPr>
                <w:sz w:val="20"/>
                <w:szCs w:val="20"/>
              </w:rPr>
              <w:t>U.S. Supreme Court</w:t>
            </w:r>
            <w:r w:rsidRPr="00E50B51">
              <w:rPr>
                <w:sz w:val="20"/>
                <w:szCs w:val="20"/>
              </w:rPr>
              <w:t xml:space="preserve"> erklärte </w:t>
            </w:r>
            <w:r>
              <w:rPr>
                <w:sz w:val="20"/>
                <w:szCs w:val="20"/>
              </w:rPr>
              <w:t>dieses</w:t>
            </w:r>
            <w:r w:rsidRPr="00E50B51">
              <w:rPr>
                <w:sz w:val="20"/>
                <w:szCs w:val="20"/>
              </w:rPr>
              <w:t xml:space="preserve"> Gesetz indes für </w:t>
            </w:r>
            <w:r w:rsidRPr="00327D3C">
              <w:rPr>
                <w:sz w:val="20"/>
                <w:szCs w:val="20"/>
              </w:rPr>
              <w:t xml:space="preserve">verfassungswidrig. Es verstoße gegen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327D3C">
              <w:rPr>
                <w:sz w:val="20"/>
                <w:szCs w:val="20"/>
              </w:rPr>
              <w:t xml:space="preserve"> </w:t>
            </w:r>
            <w:r w:rsidRPr="00E50B51">
              <w:rPr>
                <w:sz w:val="20"/>
                <w:szCs w:val="20"/>
              </w:rPr>
              <w:t xml:space="preserve">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Es g</w:t>
            </w:r>
            <w:r>
              <w:rPr>
                <w:sz w:val="20"/>
                <w:szCs w:val="20"/>
              </w:rPr>
              <w:t>e</w:t>
            </w:r>
            <w:r w:rsidRPr="00E50B51">
              <w:rPr>
                <w:sz w:val="20"/>
                <w:szCs w:val="20"/>
              </w:rPr>
              <w:t xml:space="preserve">be keinen sachlichen Grund, Verheiratete und Unverheiratete unterschiedlich zu behandeln, wie es das Gesetz aber </w:t>
            </w:r>
            <w:r>
              <w:rPr>
                <w:sz w:val="20"/>
                <w:szCs w:val="20"/>
              </w:rPr>
              <w:t>tue</w:t>
            </w:r>
            <w:r w:rsidRPr="00E50B51">
              <w:rPr>
                <w:sz w:val="20"/>
                <w:szCs w:val="20"/>
              </w:rPr>
              <w:t>. Das Recht auf Schutz der Privatsphäre („</w:t>
            </w:r>
            <w:proofErr w:type="spellStart"/>
            <w:r w:rsidRPr="00E50B51">
              <w:rPr>
                <w:sz w:val="20"/>
                <w:szCs w:val="20"/>
              </w:rPr>
              <w:t>right</w:t>
            </w:r>
            <w:proofErr w:type="spellEnd"/>
            <w:r w:rsidRPr="00E50B51">
              <w:rPr>
                <w:sz w:val="20"/>
                <w:szCs w:val="20"/>
              </w:rPr>
              <w:t xml:space="preserve"> of </w:t>
            </w:r>
            <w:proofErr w:type="spellStart"/>
            <w:r w:rsidRPr="00E50B51">
              <w:rPr>
                <w:sz w:val="20"/>
                <w:szCs w:val="20"/>
              </w:rPr>
              <w:t>privacy</w:t>
            </w:r>
            <w:proofErr w:type="spellEnd"/>
            <w:r w:rsidRPr="00E50B51">
              <w:rPr>
                <w:sz w:val="20"/>
                <w:szCs w:val="20"/>
              </w:rPr>
              <w:t>“</w:t>
            </w:r>
            <w:r>
              <w:rPr>
                <w:rStyle w:val="Funotenzeichen"/>
                <w:sz w:val="20"/>
                <w:szCs w:val="20"/>
              </w:rPr>
              <w:footnoteReference w:id="1323"/>
            </w:r>
            <w:r w:rsidRPr="00E50B51">
              <w:rPr>
                <w:sz w:val="20"/>
                <w:szCs w:val="20"/>
              </w:rPr>
              <w:t>) vor unerwünschten Eingriffen in die grundsätzliche Entscheidung, ob man Kinder haben möchte, sei schließlich für Verheiratete und Unverheiratete gleich.</w:t>
            </w:r>
          </w:p>
          <w:p w14:paraId="089DB3CA" w14:textId="77777777" w:rsidR="00074551" w:rsidRPr="00E50B51" w:rsidRDefault="00074551" w:rsidP="00367133">
            <w:pPr>
              <w:jc w:val="both"/>
              <w:rPr>
                <w:sz w:val="20"/>
                <w:szCs w:val="20"/>
              </w:rPr>
            </w:pPr>
          </w:p>
        </w:tc>
        <w:tc>
          <w:tcPr>
            <w:tcW w:w="1822" w:type="pct"/>
          </w:tcPr>
          <w:p w14:paraId="2506F9B7" w14:textId="77777777" w:rsidR="00074551" w:rsidRPr="007A5742" w:rsidRDefault="00074551" w:rsidP="00367133">
            <w:pPr>
              <w:jc w:val="both"/>
              <w:rPr>
                <w:sz w:val="20"/>
                <w:szCs w:val="20"/>
              </w:rPr>
            </w:pPr>
            <w:r w:rsidRPr="007A5742">
              <w:rPr>
                <w:sz w:val="20"/>
                <w:szCs w:val="20"/>
              </w:rPr>
              <w:t xml:space="preserve">In </w:t>
            </w:r>
            <w:r w:rsidRPr="5B67C1D2">
              <w:rPr>
                <w:i/>
                <w:iCs/>
                <w:sz w:val="20"/>
                <w:szCs w:val="20"/>
              </w:rPr>
              <w:t>Eisenstadt v. Baird</w:t>
            </w:r>
            <w:r w:rsidRPr="007A5742">
              <w:rPr>
                <w:sz w:val="20"/>
                <w:szCs w:val="20"/>
              </w:rPr>
              <w:t xml:space="preserve"> erklärte der </w:t>
            </w:r>
            <w:r>
              <w:rPr>
                <w:sz w:val="20"/>
                <w:szCs w:val="20"/>
              </w:rPr>
              <w:t>U.S. Supreme Court</w:t>
            </w:r>
            <w:r w:rsidRPr="007A5742">
              <w:rPr>
                <w:sz w:val="20"/>
                <w:szCs w:val="20"/>
              </w:rPr>
              <w:t>, dass die Bedingungen für ein Glücksstreben nicht nur die Ehe umfassen, sondern vor allem Entscheidungen, die zwei Personen in grundlegenden Angelegenheiten treffen</w:t>
            </w:r>
            <w:r>
              <w:rPr>
                <w:sz w:val="20"/>
                <w:szCs w:val="20"/>
              </w:rPr>
              <w:t>,</w:t>
            </w:r>
            <w:r w:rsidRPr="007A5742">
              <w:rPr>
                <w:sz w:val="20"/>
                <w:szCs w:val="20"/>
              </w:rPr>
              <w:t xml:space="preserve"> wie ein Kind zu zeugen.</w:t>
            </w:r>
            <w:r w:rsidRPr="007A5742">
              <w:rPr>
                <w:sz w:val="20"/>
                <w:szCs w:val="20"/>
                <w:vertAlign w:val="superscript"/>
              </w:rPr>
              <w:footnoteReference w:id="1324"/>
            </w:r>
          </w:p>
          <w:p w14:paraId="17A6B734" w14:textId="77777777" w:rsidR="00074551" w:rsidRPr="007A5742" w:rsidRDefault="00074551" w:rsidP="00367133">
            <w:pPr>
              <w:jc w:val="both"/>
              <w:rPr>
                <w:sz w:val="20"/>
                <w:szCs w:val="20"/>
              </w:rPr>
            </w:pPr>
            <w:r w:rsidRPr="007A5742">
              <w:rPr>
                <w:sz w:val="20"/>
                <w:szCs w:val="20"/>
                <w:lang w:val="en-US"/>
              </w:rPr>
              <w:t xml:space="preserve">Der </w:t>
            </w:r>
            <w:r>
              <w:rPr>
                <w:sz w:val="20"/>
                <w:szCs w:val="20"/>
                <w:lang w:val="en-US"/>
              </w:rPr>
              <w:t>U.S. Supreme Court</w:t>
            </w:r>
            <w:r w:rsidRPr="007A5742">
              <w:rPr>
                <w:sz w:val="20"/>
                <w:szCs w:val="20"/>
                <w:lang w:val="en-US"/>
              </w:rPr>
              <w:t xml:space="preserve"> </w:t>
            </w:r>
            <w:proofErr w:type="spellStart"/>
            <w:r w:rsidRPr="007A5742">
              <w:rPr>
                <w:sz w:val="20"/>
                <w:szCs w:val="20"/>
                <w:lang w:val="en-US"/>
              </w:rPr>
              <w:t>setzte</w:t>
            </w:r>
            <w:proofErr w:type="spellEnd"/>
            <w:r w:rsidRPr="007A5742">
              <w:rPr>
                <w:sz w:val="20"/>
                <w:szCs w:val="20"/>
                <w:lang w:val="en-US"/>
              </w:rPr>
              <w:t xml:space="preserve"> </w:t>
            </w:r>
            <w:proofErr w:type="spellStart"/>
            <w:r w:rsidRPr="007A5742">
              <w:rPr>
                <w:sz w:val="20"/>
                <w:szCs w:val="20"/>
                <w:lang w:val="en-US"/>
              </w:rPr>
              <w:t>sich</w:t>
            </w:r>
            <w:proofErr w:type="spellEnd"/>
            <w:r w:rsidRPr="007A5742">
              <w:rPr>
                <w:sz w:val="20"/>
                <w:szCs w:val="20"/>
                <w:lang w:val="en-US"/>
              </w:rPr>
              <w:t xml:space="preserve"> </w:t>
            </w:r>
            <w:proofErr w:type="spellStart"/>
            <w:r w:rsidRPr="007A5742">
              <w:rPr>
                <w:sz w:val="20"/>
                <w:szCs w:val="20"/>
                <w:lang w:val="en-US"/>
              </w:rPr>
              <w:t>abermals</w:t>
            </w:r>
            <w:proofErr w:type="spellEnd"/>
            <w:r w:rsidRPr="007A5742">
              <w:rPr>
                <w:sz w:val="20"/>
                <w:szCs w:val="20"/>
                <w:lang w:val="en-US"/>
              </w:rPr>
              <w:t xml:space="preserve"> </w:t>
            </w:r>
            <w:proofErr w:type="spellStart"/>
            <w:r w:rsidRPr="007A5742">
              <w:rPr>
                <w:sz w:val="20"/>
                <w:szCs w:val="20"/>
                <w:lang w:val="en-US"/>
              </w:rPr>
              <w:t>mit</w:t>
            </w:r>
            <w:proofErr w:type="spellEnd"/>
            <w:r w:rsidRPr="007A5742">
              <w:rPr>
                <w:sz w:val="20"/>
                <w:szCs w:val="20"/>
                <w:lang w:val="en-US"/>
              </w:rPr>
              <w:t xml:space="preserve"> den </w:t>
            </w:r>
            <w:proofErr w:type="spellStart"/>
            <w:r w:rsidRPr="007A5742">
              <w:rPr>
                <w:sz w:val="20"/>
                <w:szCs w:val="20"/>
                <w:lang w:val="en-US"/>
              </w:rPr>
              <w:t>Bedingungen</w:t>
            </w:r>
            <w:proofErr w:type="spellEnd"/>
            <w:r w:rsidRPr="007A5742">
              <w:rPr>
                <w:sz w:val="20"/>
                <w:szCs w:val="20"/>
                <w:lang w:val="en-US"/>
              </w:rPr>
              <w:t xml:space="preserve"> für </w:t>
            </w:r>
            <w:proofErr w:type="spellStart"/>
            <w:r w:rsidRPr="007A5742">
              <w:rPr>
                <w:sz w:val="20"/>
                <w:szCs w:val="20"/>
                <w:lang w:val="en-US"/>
              </w:rPr>
              <w:t>ein</w:t>
            </w:r>
            <w:proofErr w:type="spellEnd"/>
            <w:r w:rsidRPr="007A5742">
              <w:rPr>
                <w:sz w:val="20"/>
                <w:szCs w:val="20"/>
                <w:lang w:val="en-US"/>
              </w:rPr>
              <w:t xml:space="preserve"> </w:t>
            </w:r>
            <w:proofErr w:type="spellStart"/>
            <w:r w:rsidRPr="007A5742">
              <w:rPr>
                <w:sz w:val="20"/>
                <w:szCs w:val="20"/>
                <w:lang w:val="en-US"/>
              </w:rPr>
              <w:t>Glücksstreben</w:t>
            </w:r>
            <w:proofErr w:type="spellEnd"/>
            <w:r w:rsidRPr="007A5742">
              <w:rPr>
                <w:sz w:val="20"/>
                <w:szCs w:val="20"/>
                <w:lang w:val="en-US"/>
              </w:rPr>
              <w:t xml:space="preserve"> </w:t>
            </w:r>
            <w:proofErr w:type="spellStart"/>
            <w:r w:rsidRPr="007A5742">
              <w:rPr>
                <w:sz w:val="20"/>
                <w:szCs w:val="20"/>
                <w:lang w:val="en-US"/>
              </w:rPr>
              <w:t>auseinander</w:t>
            </w:r>
            <w:proofErr w:type="spellEnd"/>
            <w:r w:rsidRPr="007A5742">
              <w:rPr>
                <w:sz w:val="20"/>
                <w:szCs w:val="20"/>
                <w:lang w:val="en-US"/>
              </w:rPr>
              <w:t xml:space="preserve"> („The makers of our Constitution undertook to secure conditions favorable to the pursuit of </w:t>
            </w:r>
            <w:proofErr w:type="gramStart"/>
            <w:r w:rsidRPr="007A5742">
              <w:rPr>
                <w:sz w:val="20"/>
                <w:szCs w:val="20"/>
                <w:lang w:val="en-US"/>
              </w:rPr>
              <w:t>happiness.“</w:t>
            </w:r>
            <w:proofErr w:type="gramEnd"/>
            <w:r w:rsidRPr="007A5742">
              <w:rPr>
                <w:sz w:val="20"/>
                <w:szCs w:val="20"/>
                <w:vertAlign w:val="superscript"/>
                <w:lang w:val="en-US"/>
              </w:rPr>
              <w:footnoteReference w:id="1325"/>
            </w:r>
            <w:r w:rsidRPr="007A5742">
              <w:rPr>
                <w:sz w:val="20"/>
                <w:szCs w:val="20"/>
              </w:rPr>
              <w:t xml:space="preserve">). Dazu bezog er sich zunächst auf </w:t>
            </w:r>
            <w:r w:rsidRPr="5B67C1D2">
              <w:rPr>
                <w:i/>
                <w:iCs/>
                <w:sz w:val="20"/>
                <w:szCs w:val="20"/>
              </w:rPr>
              <w:t>Stanley v. Georgia</w:t>
            </w:r>
            <w:r w:rsidRPr="007A5742">
              <w:rPr>
                <w:sz w:val="20"/>
                <w:szCs w:val="20"/>
              </w:rPr>
              <w:t>.</w:t>
            </w:r>
            <w:r w:rsidRPr="007A5742">
              <w:rPr>
                <w:sz w:val="20"/>
                <w:szCs w:val="20"/>
                <w:vertAlign w:val="superscript"/>
              </w:rPr>
              <w:footnoteReference w:id="1326"/>
            </w:r>
            <w:r w:rsidRPr="007A5742">
              <w:rPr>
                <w:sz w:val="20"/>
                <w:szCs w:val="20"/>
              </w:rPr>
              <w:t xml:space="preserve"> </w:t>
            </w:r>
            <w:proofErr w:type="gramStart"/>
            <w:r w:rsidRPr="007A5742">
              <w:rPr>
                <w:sz w:val="20"/>
                <w:szCs w:val="20"/>
              </w:rPr>
              <w:t>Dort</w:t>
            </w:r>
            <w:proofErr w:type="gramEnd"/>
            <w:r w:rsidRPr="007A5742">
              <w:rPr>
                <w:sz w:val="20"/>
                <w:szCs w:val="20"/>
              </w:rPr>
              <w:t xml:space="preserve"> hieß es: Das Recht</w:t>
            </w:r>
            <w:r>
              <w:rPr>
                <w:sz w:val="20"/>
                <w:szCs w:val="20"/>
              </w:rPr>
              <w:t>,</w:t>
            </w:r>
            <w:r w:rsidRPr="007A5742">
              <w:rPr>
                <w:sz w:val="20"/>
                <w:szCs w:val="20"/>
              </w:rPr>
              <w:t xml:space="preserve"> frei von unerwünschten staatlichen Eingriffen in die Privatsphäre zu sein, sei grundlegend; Eingriffe </w:t>
            </w:r>
            <w:r>
              <w:rPr>
                <w:sz w:val="20"/>
                <w:szCs w:val="20"/>
              </w:rPr>
              <w:t>seien</w:t>
            </w:r>
            <w:r w:rsidRPr="007A5742">
              <w:rPr>
                <w:sz w:val="20"/>
                <w:szCs w:val="20"/>
              </w:rPr>
              <w:t xml:space="preserve"> nur in sehr begrenzten Ausnahmen möglich („fundamental </w:t>
            </w:r>
            <w:proofErr w:type="spellStart"/>
            <w:r w:rsidRPr="007A5742">
              <w:rPr>
                <w:sz w:val="20"/>
                <w:szCs w:val="20"/>
              </w:rPr>
              <w:t>is</w:t>
            </w:r>
            <w:proofErr w:type="spellEnd"/>
            <w:r w:rsidRPr="007A5742">
              <w:rPr>
                <w:sz w:val="20"/>
                <w:szCs w:val="20"/>
              </w:rPr>
              <w:t xml:space="preserve"> the </w:t>
            </w:r>
            <w:proofErr w:type="spellStart"/>
            <w:r w:rsidRPr="007A5742">
              <w:rPr>
                <w:sz w:val="20"/>
                <w:szCs w:val="20"/>
              </w:rPr>
              <w:t>right</w:t>
            </w:r>
            <w:proofErr w:type="spellEnd"/>
            <w:r w:rsidRPr="007A5742">
              <w:rPr>
                <w:sz w:val="20"/>
                <w:szCs w:val="20"/>
              </w:rPr>
              <w:t xml:space="preserve"> to </w:t>
            </w:r>
            <w:proofErr w:type="spellStart"/>
            <w:r w:rsidRPr="007A5742">
              <w:rPr>
                <w:sz w:val="20"/>
                <w:szCs w:val="20"/>
              </w:rPr>
              <w:t>be</w:t>
            </w:r>
            <w:proofErr w:type="spellEnd"/>
            <w:r w:rsidRPr="007A5742">
              <w:rPr>
                <w:sz w:val="20"/>
                <w:szCs w:val="20"/>
              </w:rPr>
              <w:t xml:space="preserve"> </w:t>
            </w:r>
            <w:proofErr w:type="spellStart"/>
            <w:r w:rsidRPr="007A5742">
              <w:rPr>
                <w:sz w:val="20"/>
                <w:szCs w:val="20"/>
              </w:rPr>
              <w:t>free</w:t>
            </w:r>
            <w:proofErr w:type="spellEnd"/>
            <w:r w:rsidRPr="007A5742">
              <w:rPr>
                <w:sz w:val="20"/>
                <w:szCs w:val="20"/>
              </w:rPr>
              <w:t xml:space="preserve">, </w:t>
            </w:r>
            <w:proofErr w:type="spellStart"/>
            <w:r w:rsidRPr="007A5742">
              <w:rPr>
                <w:sz w:val="20"/>
                <w:szCs w:val="20"/>
              </w:rPr>
              <w:t>except</w:t>
            </w:r>
            <w:proofErr w:type="spellEnd"/>
            <w:r w:rsidRPr="007A5742">
              <w:rPr>
                <w:sz w:val="20"/>
                <w:szCs w:val="20"/>
              </w:rPr>
              <w:t xml:space="preserve"> in </w:t>
            </w:r>
            <w:proofErr w:type="spellStart"/>
            <w:r w:rsidRPr="007A5742">
              <w:rPr>
                <w:sz w:val="20"/>
                <w:szCs w:val="20"/>
              </w:rPr>
              <w:t>very</w:t>
            </w:r>
            <w:proofErr w:type="spellEnd"/>
            <w:r w:rsidRPr="007A5742">
              <w:rPr>
                <w:sz w:val="20"/>
                <w:szCs w:val="20"/>
              </w:rPr>
              <w:t xml:space="preserve"> limited </w:t>
            </w:r>
            <w:proofErr w:type="spellStart"/>
            <w:r w:rsidRPr="007A5742">
              <w:rPr>
                <w:sz w:val="20"/>
                <w:szCs w:val="20"/>
              </w:rPr>
              <w:t>circumstances</w:t>
            </w:r>
            <w:proofErr w:type="spellEnd"/>
            <w:r w:rsidRPr="007A5742">
              <w:rPr>
                <w:sz w:val="20"/>
                <w:szCs w:val="20"/>
              </w:rPr>
              <w:t xml:space="preserve">, </w:t>
            </w:r>
            <w:proofErr w:type="spellStart"/>
            <w:r w:rsidRPr="007A5742">
              <w:rPr>
                <w:sz w:val="20"/>
                <w:szCs w:val="20"/>
              </w:rPr>
              <w:t>from</w:t>
            </w:r>
            <w:proofErr w:type="spellEnd"/>
            <w:r w:rsidRPr="007A5742">
              <w:rPr>
                <w:sz w:val="20"/>
                <w:szCs w:val="20"/>
              </w:rPr>
              <w:t xml:space="preserve"> </w:t>
            </w:r>
            <w:proofErr w:type="spellStart"/>
            <w:r w:rsidRPr="007A5742">
              <w:rPr>
                <w:sz w:val="20"/>
                <w:szCs w:val="20"/>
              </w:rPr>
              <w:t>unwanted</w:t>
            </w:r>
            <w:proofErr w:type="spellEnd"/>
            <w:r w:rsidRPr="007A5742">
              <w:rPr>
                <w:sz w:val="20"/>
                <w:szCs w:val="20"/>
              </w:rPr>
              <w:t xml:space="preserve"> </w:t>
            </w:r>
            <w:proofErr w:type="spellStart"/>
            <w:r w:rsidRPr="007A5742">
              <w:rPr>
                <w:sz w:val="20"/>
                <w:szCs w:val="20"/>
              </w:rPr>
              <w:t>governmental</w:t>
            </w:r>
            <w:proofErr w:type="spellEnd"/>
            <w:r w:rsidRPr="007A5742">
              <w:rPr>
                <w:sz w:val="20"/>
                <w:szCs w:val="20"/>
              </w:rPr>
              <w:t xml:space="preserve"> </w:t>
            </w:r>
            <w:proofErr w:type="spellStart"/>
            <w:r w:rsidRPr="007A5742">
              <w:rPr>
                <w:sz w:val="20"/>
                <w:szCs w:val="20"/>
              </w:rPr>
              <w:t>intrusions</w:t>
            </w:r>
            <w:proofErr w:type="spellEnd"/>
            <w:r w:rsidRPr="007A5742">
              <w:rPr>
                <w:sz w:val="20"/>
                <w:szCs w:val="20"/>
              </w:rPr>
              <w:t xml:space="preserve"> </w:t>
            </w:r>
            <w:proofErr w:type="spellStart"/>
            <w:r w:rsidRPr="007A5742">
              <w:rPr>
                <w:sz w:val="20"/>
                <w:szCs w:val="20"/>
              </w:rPr>
              <w:t>into</w:t>
            </w:r>
            <w:proofErr w:type="spellEnd"/>
            <w:r w:rsidRPr="007A5742">
              <w:rPr>
                <w:sz w:val="20"/>
                <w:szCs w:val="20"/>
              </w:rPr>
              <w:t xml:space="preserve"> </w:t>
            </w:r>
            <w:proofErr w:type="spellStart"/>
            <w:r w:rsidRPr="007A5742">
              <w:rPr>
                <w:sz w:val="20"/>
                <w:szCs w:val="20"/>
              </w:rPr>
              <w:t>one</w:t>
            </w:r>
            <w:r>
              <w:rPr>
                <w:sz w:val="20"/>
                <w:szCs w:val="20"/>
              </w:rPr>
              <w:t>’</w:t>
            </w:r>
            <w:r w:rsidRPr="007A5742">
              <w:rPr>
                <w:sz w:val="20"/>
                <w:szCs w:val="20"/>
              </w:rPr>
              <w:t>s</w:t>
            </w:r>
            <w:proofErr w:type="spellEnd"/>
            <w:r w:rsidRPr="007A5742">
              <w:rPr>
                <w:sz w:val="20"/>
                <w:szCs w:val="20"/>
              </w:rPr>
              <w:t xml:space="preserve"> </w:t>
            </w:r>
            <w:proofErr w:type="spellStart"/>
            <w:r w:rsidRPr="007A5742">
              <w:rPr>
                <w:sz w:val="20"/>
                <w:szCs w:val="20"/>
              </w:rPr>
              <w:t>privacy</w:t>
            </w:r>
            <w:proofErr w:type="spellEnd"/>
            <w:r w:rsidRPr="007A5742">
              <w:rPr>
                <w:sz w:val="20"/>
                <w:szCs w:val="20"/>
              </w:rPr>
              <w:t>“</w:t>
            </w:r>
            <w:r w:rsidRPr="007A5742">
              <w:rPr>
                <w:sz w:val="20"/>
                <w:szCs w:val="20"/>
                <w:vertAlign w:val="superscript"/>
              </w:rPr>
              <w:footnoteReference w:id="1327"/>
            </w:r>
            <w:r w:rsidRPr="007A5742">
              <w:rPr>
                <w:sz w:val="20"/>
                <w:szCs w:val="20"/>
              </w:rPr>
              <w:t xml:space="preserve">). Dieses weite Verständnis der Privatsphäre bestätigte der </w:t>
            </w:r>
            <w:r>
              <w:rPr>
                <w:sz w:val="20"/>
                <w:szCs w:val="20"/>
              </w:rPr>
              <w:t>U.S. Supreme Court</w:t>
            </w:r>
            <w:r w:rsidRPr="007A5742">
              <w:rPr>
                <w:sz w:val="20"/>
                <w:szCs w:val="20"/>
              </w:rPr>
              <w:t xml:space="preserve">, indem er den Sinn und Zweck der Rechtsprechung nach </w:t>
            </w:r>
            <w:r w:rsidRPr="5B67C1D2">
              <w:rPr>
                <w:i/>
                <w:iCs/>
                <w:sz w:val="20"/>
                <w:szCs w:val="20"/>
              </w:rPr>
              <w:t>Griswold</w:t>
            </w:r>
            <w:r w:rsidRPr="007A5742">
              <w:rPr>
                <w:sz w:val="20"/>
                <w:szCs w:val="20"/>
              </w:rPr>
              <w:t xml:space="preserve"> heranzog. In </w:t>
            </w:r>
            <w:r>
              <w:rPr>
                <w:sz w:val="20"/>
                <w:szCs w:val="20"/>
              </w:rPr>
              <w:t>dieser</w:t>
            </w:r>
            <w:r w:rsidRPr="007A5742">
              <w:rPr>
                <w:sz w:val="20"/>
                <w:szCs w:val="20"/>
              </w:rPr>
              <w:t xml:space="preserve"> schützte er die Ehe als Teil der Privatsphäre gegen sta</w:t>
            </w:r>
            <w:r>
              <w:rPr>
                <w:sz w:val="20"/>
                <w:szCs w:val="20"/>
              </w:rPr>
              <w:t>a</w:t>
            </w:r>
            <w:r w:rsidRPr="007A5742">
              <w:rPr>
                <w:sz w:val="20"/>
                <w:szCs w:val="20"/>
              </w:rPr>
              <w:t>tliche Eingriffe; die Argumentation laute</w:t>
            </w:r>
            <w:r>
              <w:rPr>
                <w:sz w:val="20"/>
                <w:szCs w:val="20"/>
              </w:rPr>
              <w:t>te</w:t>
            </w:r>
            <w:r w:rsidRPr="007A5742">
              <w:rPr>
                <w:sz w:val="20"/>
                <w:szCs w:val="20"/>
              </w:rPr>
              <w:t xml:space="preserve">: Das Ehepaar bilde nicht nur eine Einheit des Herzens. Bei dem Schutz der Ehe </w:t>
            </w:r>
            <w:r>
              <w:rPr>
                <w:sz w:val="20"/>
                <w:szCs w:val="20"/>
              </w:rPr>
              <w:t>gehe</w:t>
            </w:r>
            <w:r w:rsidRPr="007A5742">
              <w:rPr>
                <w:sz w:val="20"/>
                <w:szCs w:val="20"/>
              </w:rPr>
              <w:t xml:space="preserve"> es vielmehr um den Schutz einer Vereinigung zweier Individuen mit unterschiedlicher Persönlichkeit. Wenn das Recht auf Privatsphäre also die Ehe schütze, dann sei der Sinn und Zweck vor allem, die Vereinigung zweier Individuen zu schützen. </w:t>
            </w:r>
            <w:r w:rsidRPr="007A5742">
              <w:rPr>
                <w:sz w:val="20"/>
                <w:szCs w:val="20"/>
                <w:lang w:val="en-US"/>
              </w:rPr>
              <w:t xml:space="preserve">Dabei </w:t>
            </w:r>
            <w:proofErr w:type="spellStart"/>
            <w:r w:rsidRPr="007A5742">
              <w:rPr>
                <w:sz w:val="20"/>
                <w:szCs w:val="20"/>
                <w:lang w:val="en-US"/>
              </w:rPr>
              <w:t>komme</w:t>
            </w:r>
            <w:proofErr w:type="spellEnd"/>
            <w:r w:rsidRPr="007A5742">
              <w:rPr>
                <w:sz w:val="20"/>
                <w:szCs w:val="20"/>
                <w:lang w:val="en-US"/>
              </w:rPr>
              <w:t xml:space="preserve"> es nicht </w:t>
            </w:r>
            <w:proofErr w:type="spellStart"/>
            <w:r w:rsidRPr="007A5742">
              <w:rPr>
                <w:sz w:val="20"/>
                <w:szCs w:val="20"/>
                <w:lang w:val="en-US"/>
              </w:rPr>
              <w:t>darauf</w:t>
            </w:r>
            <w:proofErr w:type="spellEnd"/>
            <w:r w:rsidRPr="007A5742">
              <w:rPr>
                <w:sz w:val="20"/>
                <w:szCs w:val="20"/>
                <w:lang w:val="en-US"/>
              </w:rPr>
              <w:t xml:space="preserve"> an, </w:t>
            </w:r>
            <w:proofErr w:type="spellStart"/>
            <w:r w:rsidRPr="007A5742">
              <w:rPr>
                <w:sz w:val="20"/>
                <w:szCs w:val="20"/>
                <w:lang w:val="en-US"/>
              </w:rPr>
              <w:t>ob</w:t>
            </w:r>
            <w:proofErr w:type="spellEnd"/>
            <w:r w:rsidRPr="007A5742">
              <w:rPr>
                <w:sz w:val="20"/>
                <w:szCs w:val="20"/>
                <w:lang w:val="en-US"/>
              </w:rPr>
              <w:t xml:space="preserve"> die </w:t>
            </w:r>
            <w:proofErr w:type="spellStart"/>
            <w:r w:rsidRPr="007A5742">
              <w:rPr>
                <w:sz w:val="20"/>
                <w:szCs w:val="20"/>
                <w:lang w:val="en-US"/>
              </w:rPr>
              <w:t>Individuen</w:t>
            </w:r>
            <w:proofErr w:type="spellEnd"/>
            <w:r w:rsidRPr="007A5742">
              <w:rPr>
                <w:sz w:val="20"/>
                <w:szCs w:val="20"/>
                <w:lang w:val="en-US"/>
              </w:rPr>
              <w:t xml:space="preserve"> </w:t>
            </w:r>
            <w:proofErr w:type="spellStart"/>
            <w:r w:rsidRPr="007A5742">
              <w:rPr>
                <w:sz w:val="20"/>
                <w:szCs w:val="20"/>
                <w:lang w:val="en-US"/>
              </w:rPr>
              <w:t>verheiratet</w:t>
            </w:r>
            <w:proofErr w:type="spellEnd"/>
            <w:r w:rsidRPr="007A5742">
              <w:rPr>
                <w:sz w:val="20"/>
                <w:szCs w:val="20"/>
                <w:lang w:val="en-US"/>
              </w:rPr>
              <w:t xml:space="preserve"> </w:t>
            </w:r>
            <w:proofErr w:type="spellStart"/>
            <w:r w:rsidRPr="007A5742">
              <w:rPr>
                <w:sz w:val="20"/>
                <w:szCs w:val="20"/>
                <w:lang w:val="en-US"/>
              </w:rPr>
              <w:t>oder</w:t>
            </w:r>
            <w:proofErr w:type="spellEnd"/>
            <w:r w:rsidRPr="007A5742">
              <w:rPr>
                <w:sz w:val="20"/>
                <w:szCs w:val="20"/>
                <w:lang w:val="en-US"/>
              </w:rPr>
              <w:t xml:space="preserve"> </w:t>
            </w:r>
            <w:proofErr w:type="spellStart"/>
            <w:r w:rsidRPr="007A5742">
              <w:rPr>
                <w:sz w:val="20"/>
                <w:szCs w:val="20"/>
                <w:lang w:val="en-US"/>
              </w:rPr>
              <w:t>ledig</w:t>
            </w:r>
            <w:proofErr w:type="spellEnd"/>
            <w:r w:rsidRPr="007A5742">
              <w:rPr>
                <w:sz w:val="20"/>
                <w:szCs w:val="20"/>
                <w:lang w:val="en-US"/>
              </w:rPr>
              <w:t xml:space="preserve"> </w:t>
            </w:r>
            <w:proofErr w:type="spellStart"/>
            <w:r w:rsidRPr="007A5742">
              <w:rPr>
                <w:sz w:val="20"/>
                <w:szCs w:val="20"/>
                <w:lang w:val="en-US"/>
              </w:rPr>
              <w:t>seien</w:t>
            </w:r>
            <w:proofErr w:type="spellEnd"/>
            <w:r w:rsidRPr="007A5742">
              <w:rPr>
                <w:sz w:val="20"/>
                <w:szCs w:val="20"/>
                <w:lang w:val="en-US"/>
              </w:rPr>
              <w:t xml:space="preserve"> („right of privacy means anything, it is the right of the </w:t>
            </w:r>
            <w:r w:rsidRPr="5B67C1D2">
              <w:rPr>
                <w:i/>
                <w:iCs/>
                <w:sz w:val="20"/>
                <w:szCs w:val="20"/>
                <w:lang w:val="en-US"/>
              </w:rPr>
              <w:t>individual</w:t>
            </w:r>
            <w:r w:rsidRPr="007A5742">
              <w:rPr>
                <w:sz w:val="20"/>
                <w:szCs w:val="20"/>
                <w:lang w:val="en-US"/>
              </w:rPr>
              <w:t xml:space="preserve">, married or </w:t>
            </w:r>
            <w:proofErr w:type="gramStart"/>
            <w:r w:rsidRPr="007A5742">
              <w:rPr>
                <w:sz w:val="20"/>
                <w:szCs w:val="20"/>
                <w:lang w:val="en-US"/>
              </w:rPr>
              <w:t>single“</w:t>
            </w:r>
            <w:proofErr w:type="gramEnd"/>
            <w:r w:rsidRPr="007A5742">
              <w:rPr>
                <w:sz w:val="20"/>
                <w:szCs w:val="20"/>
                <w:vertAlign w:val="superscript"/>
                <w:lang w:val="en-US"/>
              </w:rPr>
              <w:footnoteReference w:id="1328"/>
            </w:r>
            <w:r w:rsidRPr="007A5742">
              <w:rPr>
                <w:sz w:val="20"/>
                <w:szCs w:val="20"/>
                <w:lang w:val="en-US"/>
              </w:rPr>
              <w:t xml:space="preserve">). </w:t>
            </w:r>
            <w:r w:rsidRPr="007A5742">
              <w:rPr>
                <w:sz w:val="20"/>
                <w:szCs w:val="20"/>
              </w:rPr>
              <w:t>Und dabei umfasse der Schutz, frei von ungerechtfertigter staatlicher Einschränkung zu bleiben, vor allem Angelegenheiten, die eine Person grundlegend betr</w:t>
            </w:r>
            <w:r>
              <w:rPr>
                <w:sz w:val="20"/>
                <w:szCs w:val="20"/>
              </w:rPr>
              <w:t>ä</w:t>
            </w:r>
            <w:r w:rsidRPr="007A5742">
              <w:rPr>
                <w:sz w:val="20"/>
                <w:szCs w:val="20"/>
              </w:rPr>
              <w:t>fen („</w:t>
            </w:r>
            <w:proofErr w:type="spellStart"/>
            <w:r w:rsidRPr="007A5742">
              <w:rPr>
                <w:sz w:val="20"/>
                <w:szCs w:val="20"/>
              </w:rPr>
              <w:t>matters</w:t>
            </w:r>
            <w:proofErr w:type="spellEnd"/>
            <w:r w:rsidRPr="007A5742">
              <w:rPr>
                <w:sz w:val="20"/>
                <w:szCs w:val="20"/>
              </w:rPr>
              <w:t xml:space="preserve"> so </w:t>
            </w:r>
            <w:proofErr w:type="spellStart"/>
            <w:r w:rsidRPr="007A5742">
              <w:rPr>
                <w:sz w:val="20"/>
                <w:szCs w:val="20"/>
              </w:rPr>
              <w:t>fundamentally</w:t>
            </w:r>
            <w:proofErr w:type="spellEnd"/>
            <w:r w:rsidRPr="007A5742">
              <w:rPr>
                <w:sz w:val="20"/>
                <w:szCs w:val="20"/>
              </w:rPr>
              <w:t xml:space="preserve"> </w:t>
            </w:r>
            <w:proofErr w:type="spellStart"/>
            <w:r w:rsidRPr="007A5742">
              <w:rPr>
                <w:sz w:val="20"/>
                <w:szCs w:val="20"/>
              </w:rPr>
              <w:t>affecting</w:t>
            </w:r>
            <w:proofErr w:type="spellEnd"/>
            <w:r w:rsidRPr="007A5742">
              <w:rPr>
                <w:sz w:val="20"/>
                <w:szCs w:val="20"/>
              </w:rPr>
              <w:t xml:space="preserve"> a </w:t>
            </w:r>
            <w:proofErr w:type="spellStart"/>
            <w:r w:rsidRPr="007A5742">
              <w:rPr>
                <w:sz w:val="20"/>
                <w:szCs w:val="20"/>
              </w:rPr>
              <w:t>person</w:t>
            </w:r>
            <w:proofErr w:type="spellEnd"/>
            <w:r w:rsidRPr="007A5742">
              <w:rPr>
                <w:sz w:val="20"/>
                <w:szCs w:val="20"/>
              </w:rPr>
              <w:t>“</w:t>
            </w:r>
            <w:r w:rsidRPr="007A5742">
              <w:rPr>
                <w:sz w:val="20"/>
                <w:szCs w:val="20"/>
                <w:vertAlign w:val="superscript"/>
              </w:rPr>
              <w:footnoteReference w:id="1329"/>
            </w:r>
            <w:r w:rsidRPr="007A5742">
              <w:rPr>
                <w:sz w:val="20"/>
                <w:szCs w:val="20"/>
              </w:rPr>
              <w:t>) wie die Entscheidung, ob man ein Kind zeugen oder gebären wolle.</w:t>
            </w:r>
            <w:r w:rsidRPr="007A5742">
              <w:rPr>
                <w:sz w:val="20"/>
                <w:szCs w:val="20"/>
                <w:vertAlign w:val="superscript"/>
              </w:rPr>
              <w:footnoteReference w:id="1330"/>
            </w:r>
          </w:p>
          <w:p w14:paraId="71CEF192" w14:textId="77777777" w:rsidR="00074551" w:rsidRPr="00E50B51" w:rsidRDefault="00074551" w:rsidP="00367133">
            <w:pPr>
              <w:jc w:val="both"/>
              <w:rPr>
                <w:sz w:val="20"/>
                <w:szCs w:val="20"/>
              </w:rPr>
            </w:pPr>
          </w:p>
        </w:tc>
      </w:tr>
      <w:tr w:rsidR="00074551" w:rsidRPr="00E50B51" w14:paraId="562FA3C0" w14:textId="77777777" w:rsidTr="00BE689F">
        <w:trPr>
          <w:cantSplit/>
          <w:trHeight w:val="3175"/>
        </w:trPr>
        <w:tc>
          <w:tcPr>
            <w:tcW w:w="293" w:type="pct"/>
          </w:tcPr>
          <w:p w14:paraId="15F7B90D"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B82F559" w14:textId="77777777" w:rsidR="00074551" w:rsidRPr="00E50B51" w:rsidRDefault="00074551" w:rsidP="00367133">
            <w:pPr>
              <w:ind w:left="113" w:right="416"/>
              <w:jc w:val="both"/>
              <w:rPr>
                <w:sz w:val="20"/>
                <w:szCs w:val="20"/>
                <w:lang w:val="en-US"/>
              </w:rPr>
            </w:pPr>
            <w:r w:rsidRPr="009E57E1">
              <w:rPr>
                <w:i/>
                <w:sz w:val="20"/>
                <w:szCs w:val="20"/>
                <w:lang w:val="en-US"/>
              </w:rPr>
              <w:t>Ferrell v. Dallas Independent School Dist.</w:t>
            </w:r>
          </w:p>
        </w:tc>
        <w:tc>
          <w:tcPr>
            <w:tcW w:w="197" w:type="pct"/>
            <w:textDirection w:val="tbRl"/>
            <w:vAlign w:val="center"/>
          </w:tcPr>
          <w:p w14:paraId="4A0B3810" w14:textId="77777777" w:rsidR="00074551" w:rsidRPr="00E50B51" w:rsidRDefault="00074551" w:rsidP="00367133">
            <w:pPr>
              <w:ind w:left="113" w:right="113"/>
              <w:jc w:val="both"/>
              <w:rPr>
                <w:sz w:val="20"/>
                <w:szCs w:val="20"/>
              </w:rPr>
            </w:pPr>
            <w:r w:rsidRPr="00E50B51">
              <w:rPr>
                <w:sz w:val="20"/>
                <w:szCs w:val="20"/>
                <w:lang w:val="en-US"/>
              </w:rPr>
              <w:t>393 U.S. 856</w:t>
            </w:r>
          </w:p>
        </w:tc>
        <w:tc>
          <w:tcPr>
            <w:tcW w:w="306" w:type="pct"/>
            <w:textDirection w:val="tbRl"/>
            <w:vAlign w:val="center"/>
          </w:tcPr>
          <w:p w14:paraId="2B72AAC3" w14:textId="77777777" w:rsidR="00074551" w:rsidRPr="00E50B51" w:rsidRDefault="00074551" w:rsidP="00367133">
            <w:pPr>
              <w:ind w:left="113" w:right="113"/>
              <w:jc w:val="both"/>
              <w:rPr>
                <w:sz w:val="20"/>
                <w:szCs w:val="20"/>
              </w:rPr>
            </w:pPr>
            <w:r w:rsidRPr="00E50B51">
              <w:rPr>
                <w:sz w:val="20"/>
                <w:szCs w:val="20"/>
              </w:rPr>
              <w:t>14. Oktober 1968</w:t>
            </w:r>
          </w:p>
        </w:tc>
        <w:tc>
          <w:tcPr>
            <w:tcW w:w="401" w:type="pct"/>
          </w:tcPr>
          <w:p w14:paraId="690DB25C" w14:textId="77777777" w:rsidR="00074551" w:rsidRPr="00E50B51" w:rsidRDefault="00074551" w:rsidP="00367133">
            <w:pPr>
              <w:jc w:val="center"/>
              <w:rPr>
                <w:sz w:val="20"/>
                <w:szCs w:val="20"/>
              </w:rPr>
            </w:pPr>
            <w:r w:rsidRPr="00E50B51">
              <w:rPr>
                <w:sz w:val="20"/>
                <w:szCs w:val="20"/>
              </w:rPr>
              <w:t>D</w:t>
            </w:r>
          </w:p>
        </w:tc>
        <w:tc>
          <w:tcPr>
            <w:tcW w:w="1594" w:type="pct"/>
          </w:tcPr>
          <w:p w14:paraId="4D80641D" w14:textId="77777777" w:rsidR="00074551" w:rsidRPr="00E50B51" w:rsidRDefault="00074551" w:rsidP="00367133">
            <w:pPr>
              <w:jc w:val="both"/>
              <w:rPr>
                <w:sz w:val="20"/>
                <w:szCs w:val="20"/>
              </w:rPr>
            </w:pPr>
            <w:r w:rsidRPr="00E50B51">
              <w:rPr>
                <w:sz w:val="20"/>
                <w:szCs w:val="20"/>
              </w:rPr>
              <w:t>*</w:t>
            </w:r>
          </w:p>
        </w:tc>
        <w:tc>
          <w:tcPr>
            <w:tcW w:w="1822" w:type="pct"/>
          </w:tcPr>
          <w:p w14:paraId="518D8D91" w14:textId="750C6750" w:rsidR="00074551" w:rsidRPr="00E50B51" w:rsidRDefault="00074551" w:rsidP="00367133">
            <w:pPr>
              <w:jc w:val="both"/>
              <w:rPr>
                <w:sz w:val="20"/>
                <w:szCs w:val="20"/>
              </w:rPr>
            </w:pPr>
            <w:r w:rsidRPr="004A1E94">
              <w:rPr>
                <w:sz w:val="20"/>
                <w:szCs w:val="20"/>
              </w:rPr>
              <w:t xml:space="preserve">In </w:t>
            </w:r>
            <w:r w:rsidRPr="5B67C1D2">
              <w:rPr>
                <w:i/>
                <w:iCs/>
                <w:sz w:val="20"/>
                <w:szCs w:val="20"/>
              </w:rPr>
              <w:t xml:space="preserve">Ferrell v. Dallas Independent School </w:t>
            </w:r>
            <w:proofErr w:type="spellStart"/>
            <w:r w:rsidRPr="5B67C1D2">
              <w:rPr>
                <w:i/>
                <w:iCs/>
                <w:sz w:val="20"/>
                <w:szCs w:val="20"/>
              </w:rPr>
              <w:t>Dist</w:t>
            </w:r>
            <w:proofErr w:type="spellEnd"/>
            <w:r w:rsidRPr="5B67C1D2">
              <w:rPr>
                <w:i/>
                <w:iCs/>
                <w:sz w:val="20"/>
                <w:szCs w:val="20"/>
              </w:rPr>
              <w:t>.</w:t>
            </w:r>
            <w:r w:rsidRPr="004A1E94">
              <w:rPr>
                <w:sz w:val="20"/>
                <w:szCs w:val="20"/>
                <w:vertAlign w:val="superscript"/>
                <w:lang w:val="en-US"/>
              </w:rPr>
              <w:footnoteReference w:id="1331"/>
            </w:r>
            <w:r w:rsidRPr="004A1E94">
              <w:rPr>
                <w:sz w:val="20"/>
                <w:szCs w:val="20"/>
              </w:rPr>
              <w:t xml:space="preserve"> und darauf fußenden Folgeurteilen</w:t>
            </w:r>
            <w:r w:rsidRPr="004A1E94">
              <w:rPr>
                <w:sz w:val="20"/>
                <w:szCs w:val="20"/>
                <w:vertAlign w:val="superscript"/>
              </w:rPr>
              <w:footnoteReference w:id="1332"/>
            </w:r>
            <w:r w:rsidRPr="004A1E94">
              <w:rPr>
                <w:sz w:val="20"/>
                <w:szCs w:val="20"/>
              </w:rPr>
              <w:t xml:space="preserve"> reicherte der </w:t>
            </w:r>
            <w:r>
              <w:rPr>
                <w:sz w:val="20"/>
                <w:szCs w:val="20"/>
              </w:rPr>
              <w:t>U.S. Supreme Court</w:t>
            </w:r>
            <w:r w:rsidRPr="004A1E94">
              <w:rPr>
                <w:sz w:val="20"/>
                <w:szCs w:val="20"/>
              </w:rPr>
              <w:t xml:space="preserve"> die „</w:t>
            </w:r>
            <w:proofErr w:type="spellStart"/>
            <w:r w:rsidRPr="004A1E94">
              <w:rPr>
                <w:sz w:val="20"/>
                <w:szCs w:val="20"/>
              </w:rPr>
              <w:t>zones</w:t>
            </w:r>
            <w:proofErr w:type="spellEnd"/>
            <w:r w:rsidRPr="004A1E94">
              <w:rPr>
                <w:sz w:val="20"/>
                <w:szCs w:val="20"/>
              </w:rPr>
              <w:t xml:space="preserve"> of </w:t>
            </w:r>
            <w:proofErr w:type="spellStart"/>
            <w:r w:rsidRPr="004A1E94">
              <w:rPr>
                <w:sz w:val="20"/>
                <w:szCs w:val="20"/>
              </w:rPr>
              <w:t>privacy</w:t>
            </w:r>
            <w:proofErr w:type="spellEnd"/>
            <w:r w:rsidRPr="004A1E94">
              <w:rPr>
                <w:sz w:val="20"/>
                <w:szCs w:val="20"/>
              </w:rPr>
              <w:t>“</w:t>
            </w:r>
            <w:r w:rsidRPr="004A1E94">
              <w:rPr>
                <w:sz w:val="20"/>
                <w:szCs w:val="20"/>
                <w:vertAlign w:val="superscript"/>
              </w:rPr>
              <w:footnoteReference w:id="1333"/>
            </w:r>
            <w:r w:rsidRPr="004A1E94">
              <w:rPr>
                <w:sz w:val="20"/>
                <w:szCs w:val="20"/>
              </w:rPr>
              <w:t xml:space="preserve"> als Bedingung für ein Glücksstreben an, nämlich </w:t>
            </w:r>
            <w:r>
              <w:rPr>
                <w:sz w:val="20"/>
                <w:szCs w:val="20"/>
              </w:rPr>
              <w:t>um das Recht,</w:t>
            </w:r>
            <w:r w:rsidRPr="004A1E94">
              <w:rPr>
                <w:sz w:val="20"/>
                <w:szCs w:val="20"/>
              </w:rPr>
              <w:t xml:space="preserve"> das Bild der eigenen Persönlichkeit und die eigene</w:t>
            </w:r>
            <w:r>
              <w:rPr>
                <w:sz w:val="20"/>
                <w:szCs w:val="20"/>
              </w:rPr>
              <w:t>n</w:t>
            </w:r>
            <w:r w:rsidRPr="004A1E94">
              <w:rPr>
                <w:sz w:val="20"/>
                <w:szCs w:val="20"/>
              </w:rPr>
              <w:t xml:space="preserve"> Glaubensgrundsätze gegenüber staatlichen Maßnahmen zu schützen.</w:t>
            </w:r>
            <w:r w:rsidRPr="004A1E94">
              <w:rPr>
                <w:sz w:val="20"/>
                <w:szCs w:val="20"/>
                <w:vertAlign w:val="superscript"/>
              </w:rPr>
              <w:footnoteReference w:id="1334"/>
            </w:r>
            <w:r>
              <w:rPr>
                <w:sz w:val="20"/>
                <w:szCs w:val="20"/>
              </w:rPr>
              <w:t xml:space="preserve"> </w:t>
            </w:r>
            <w:r w:rsidRPr="002E2320">
              <w:rPr>
                <w:sz w:val="20"/>
                <w:szCs w:val="20"/>
              </w:rPr>
              <w:t>Zu</w:t>
            </w:r>
            <w:r w:rsidRPr="004A1E94">
              <w:rPr>
                <w:sz w:val="20"/>
                <w:szCs w:val="20"/>
              </w:rPr>
              <w:t xml:space="preserve"> diesen Sphären des Privatrechts </w:t>
            </w:r>
            <w:r w:rsidRPr="002E2320">
              <w:rPr>
                <w:sz w:val="20"/>
                <w:szCs w:val="20"/>
              </w:rPr>
              <w:t xml:space="preserve">erklärt der </w:t>
            </w:r>
            <w:r>
              <w:rPr>
                <w:sz w:val="20"/>
                <w:szCs w:val="20"/>
              </w:rPr>
              <w:t>U.S. Supreme Court</w:t>
            </w:r>
            <w:r w:rsidRPr="002E2320">
              <w:rPr>
                <w:sz w:val="20"/>
                <w:szCs w:val="20"/>
              </w:rPr>
              <w:t xml:space="preserve"> in Folgeurteilen, die den Fall </w:t>
            </w:r>
            <w:r w:rsidRPr="5B67C1D2">
              <w:rPr>
                <w:i/>
                <w:iCs/>
                <w:sz w:val="20"/>
                <w:szCs w:val="20"/>
              </w:rPr>
              <w:t xml:space="preserve">Ferrell v. Dallas Independent School </w:t>
            </w:r>
            <w:proofErr w:type="spellStart"/>
            <w:r w:rsidRPr="5B67C1D2">
              <w:rPr>
                <w:i/>
                <w:iCs/>
                <w:sz w:val="20"/>
                <w:szCs w:val="20"/>
              </w:rPr>
              <w:t>Dist</w:t>
            </w:r>
            <w:proofErr w:type="spellEnd"/>
            <w:r w:rsidRPr="5B67C1D2">
              <w:rPr>
                <w:i/>
                <w:iCs/>
                <w:sz w:val="20"/>
                <w:szCs w:val="20"/>
              </w:rPr>
              <w:t>.</w:t>
            </w:r>
            <w:r w:rsidRPr="002E2320">
              <w:rPr>
                <w:sz w:val="20"/>
                <w:szCs w:val="20"/>
              </w:rPr>
              <w:t xml:space="preserve"> aufgriffen: Der Staat könne den Schulzugang aufgrund auffallender Frisuren durchaus beschränken. </w:t>
            </w:r>
            <w:bookmarkStart w:id="63" w:name="_Hlk224637832"/>
            <w:r w:rsidRPr="002E2320">
              <w:rPr>
                <w:sz w:val="20"/>
                <w:szCs w:val="20"/>
              </w:rPr>
              <w:t>Aber nur wenn ein sachlicher Grund bestehe wie die</w:t>
            </w:r>
            <w:r>
              <w:rPr>
                <w:sz w:val="20"/>
                <w:szCs w:val="20"/>
              </w:rPr>
              <w:t xml:space="preserve"> Aufrechterhaltung der</w:t>
            </w:r>
            <w:r w:rsidRPr="002E2320">
              <w:rPr>
                <w:sz w:val="20"/>
                <w:szCs w:val="20"/>
              </w:rPr>
              <w:t xml:space="preserve"> Disziplin</w:t>
            </w:r>
            <w:r>
              <w:rPr>
                <w:sz w:val="20"/>
                <w:szCs w:val="20"/>
              </w:rPr>
              <w:t>,</w:t>
            </w:r>
            <w:r w:rsidRPr="002E2320">
              <w:rPr>
                <w:sz w:val="20"/>
                <w:szCs w:val="20"/>
                <w:vertAlign w:val="superscript"/>
              </w:rPr>
              <w:footnoteReference w:id="1335"/>
            </w:r>
            <w:r w:rsidRPr="002E2320">
              <w:rPr>
                <w:sz w:val="20"/>
                <w:szCs w:val="20"/>
              </w:rPr>
              <w:t xml:space="preserve"> </w:t>
            </w:r>
            <w:r>
              <w:rPr>
                <w:sz w:val="20"/>
                <w:szCs w:val="20"/>
              </w:rPr>
              <w:t>der</w:t>
            </w:r>
            <w:r w:rsidRPr="004A1E94">
              <w:rPr>
                <w:sz w:val="20"/>
                <w:szCs w:val="20"/>
              </w:rPr>
              <w:t xml:space="preserve"> </w:t>
            </w:r>
            <w:r w:rsidRPr="002E2320">
              <w:rPr>
                <w:sz w:val="20"/>
                <w:szCs w:val="20"/>
              </w:rPr>
              <w:t>Gesundheit oder de</w:t>
            </w:r>
            <w:r>
              <w:rPr>
                <w:sz w:val="20"/>
                <w:szCs w:val="20"/>
              </w:rPr>
              <w:t>r Anstandsregeln</w:t>
            </w:r>
            <w:r w:rsidR="006F4315">
              <w:rPr>
                <w:sz w:val="20"/>
                <w:szCs w:val="20"/>
              </w:rPr>
              <w:t xml:space="preserve"> (</w:t>
            </w:r>
            <w:proofErr w:type="spellStart"/>
            <w:r w:rsidR="006F4315">
              <w:rPr>
                <w:sz w:val="20"/>
                <w:szCs w:val="20"/>
              </w:rPr>
              <w:t>Decorum</w:t>
            </w:r>
            <w:proofErr w:type="spellEnd"/>
            <w:r w:rsidR="006F4315">
              <w:rPr>
                <w:sz w:val="20"/>
                <w:szCs w:val="20"/>
              </w:rPr>
              <w:t>)</w:t>
            </w:r>
            <w:r w:rsidRPr="002E2320">
              <w:rPr>
                <w:sz w:val="20"/>
                <w:szCs w:val="20"/>
              </w:rPr>
              <w:t xml:space="preserve"> der Institution.</w:t>
            </w:r>
            <w:r w:rsidRPr="002E2320">
              <w:rPr>
                <w:sz w:val="20"/>
                <w:szCs w:val="20"/>
                <w:vertAlign w:val="superscript"/>
              </w:rPr>
              <w:footnoteReference w:id="1336"/>
            </w:r>
            <w:r w:rsidRPr="002E2320">
              <w:rPr>
                <w:sz w:val="20"/>
                <w:szCs w:val="20"/>
              </w:rPr>
              <w:t xml:space="preserve"> </w:t>
            </w:r>
            <w:bookmarkEnd w:id="63"/>
            <w:r w:rsidRPr="002E2320">
              <w:rPr>
                <w:sz w:val="20"/>
                <w:szCs w:val="20"/>
              </w:rPr>
              <w:t xml:space="preserve">Im Fall bildete für den Schüler als Kläger und Berufsmusiker zwar seine Frisur einen Teil seiner Berufsausübungsfreiheit und damit auch </w:t>
            </w:r>
            <w:r>
              <w:rPr>
                <w:sz w:val="20"/>
                <w:szCs w:val="20"/>
              </w:rPr>
              <w:t xml:space="preserve">einen </w:t>
            </w:r>
            <w:r w:rsidRPr="002E2320">
              <w:rPr>
                <w:sz w:val="20"/>
                <w:szCs w:val="20"/>
              </w:rPr>
              <w:t xml:space="preserve">Teil des Freiheits- und Eigentumsbegriffs </w:t>
            </w:r>
            <w:r>
              <w:rPr>
                <w:sz w:val="20"/>
                <w:szCs w:val="20"/>
              </w:rPr>
              <w:t>nach</w:t>
            </w:r>
            <w:r w:rsidRPr="002E232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4A1E94">
              <w:rPr>
                <w:sz w:val="20"/>
                <w:szCs w:val="20"/>
              </w:rPr>
              <w:t xml:space="preserve"> sowie zuletzt </w:t>
            </w:r>
            <w:r>
              <w:rPr>
                <w:sz w:val="20"/>
                <w:szCs w:val="20"/>
              </w:rPr>
              <w:t>einen</w:t>
            </w:r>
            <w:r w:rsidRPr="004A1E94">
              <w:rPr>
                <w:sz w:val="20"/>
                <w:szCs w:val="20"/>
              </w:rPr>
              <w:t xml:space="preserve"> Teil der Meinungsausübungsfreiheit</w:t>
            </w:r>
            <w:r>
              <w:rPr>
                <w:sz w:val="20"/>
                <w:szCs w:val="20"/>
              </w:rPr>
              <w:t>.</w:t>
            </w:r>
            <w:r w:rsidRPr="002E2320">
              <w:rPr>
                <w:sz w:val="20"/>
                <w:szCs w:val="20"/>
                <w:vertAlign w:val="superscript"/>
              </w:rPr>
              <w:footnoteReference w:id="1337"/>
            </w:r>
            <w:r w:rsidRPr="002E2320">
              <w:rPr>
                <w:sz w:val="20"/>
                <w:szCs w:val="20"/>
              </w:rPr>
              <w:t xml:space="preserve"> Aber als Schüler müsse die Berufsausübung als kommerzielle Aktivität hinter der schulischen Disziplinierung zurücktreten, vor allem da die Berufsausübung nur leicht berührt sei, da </w:t>
            </w:r>
            <w:r>
              <w:rPr>
                <w:sz w:val="20"/>
                <w:szCs w:val="20"/>
              </w:rPr>
              <w:t>A</w:t>
            </w:r>
            <w:r w:rsidRPr="002E2320">
              <w:rPr>
                <w:sz w:val="20"/>
                <w:szCs w:val="20"/>
              </w:rPr>
              <w:t>lternativen wie Perücken</w:t>
            </w:r>
            <w:r>
              <w:rPr>
                <w:sz w:val="20"/>
                <w:szCs w:val="20"/>
              </w:rPr>
              <w:t xml:space="preserve"> bestünden</w:t>
            </w:r>
            <w:r w:rsidRPr="002E2320">
              <w:rPr>
                <w:sz w:val="20"/>
                <w:szCs w:val="20"/>
              </w:rPr>
              <w:t>.</w:t>
            </w:r>
            <w:r w:rsidRPr="002E2320">
              <w:rPr>
                <w:sz w:val="20"/>
                <w:szCs w:val="20"/>
                <w:vertAlign w:val="superscript"/>
              </w:rPr>
              <w:footnoteReference w:id="1338"/>
            </w:r>
          </w:p>
          <w:p w14:paraId="3E7CD622" w14:textId="77777777" w:rsidR="00074551" w:rsidRPr="00E50B51" w:rsidRDefault="00074551" w:rsidP="00367133">
            <w:pPr>
              <w:jc w:val="both"/>
              <w:rPr>
                <w:sz w:val="20"/>
                <w:szCs w:val="20"/>
              </w:rPr>
            </w:pPr>
          </w:p>
        </w:tc>
      </w:tr>
      <w:tr w:rsidR="00074551" w:rsidRPr="00E50B51" w14:paraId="6E6D9DD6" w14:textId="77777777" w:rsidTr="00BE689F">
        <w:trPr>
          <w:cantSplit/>
          <w:trHeight w:val="3175"/>
        </w:trPr>
        <w:tc>
          <w:tcPr>
            <w:tcW w:w="293" w:type="pct"/>
          </w:tcPr>
          <w:p w14:paraId="7CA9EEF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E406680" w14:textId="77777777" w:rsidR="00074551" w:rsidRPr="00E50B51" w:rsidRDefault="00074551" w:rsidP="00367133">
            <w:pPr>
              <w:ind w:left="113" w:right="416"/>
              <w:jc w:val="both"/>
              <w:rPr>
                <w:sz w:val="20"/>
                <w:szCs w:val="20"/>
              </w:rPr>
            </w:pPr>
            <w:r w:rsidRPr="009167A5">
              <w:rPr>
                <w:i/>
                <w:sz w:val="20"/>
                <w:szCs w:val="20"/>
              </w:rPr>
              <w:t>Griswold v. Connecticut</w:t>
            </w:r>
          </w:p>
        </w:tc>
        <w:tc>
          <w:tcPr>
            <w:tcW w:w="197" w:type="pct"/>
            <w:textDirection w:val="tbRl"/>
            <w:vAlign w:val="center"/>
          </w:tcPr>
          <w:p w14:paraId="27A8F2FA" w14:textId="77777777" w:rsidR="00074551" w:rsidRPr="00E50B51" w:rsidRDefault="00074551" w:rsidP="00367133">
            <w:pPr>
              <w:ind w:left="113" w:right="113"/>
              <w:jc w:val="both"/>
              <w:rPr>
                <w:sz w:val="20"/>
                <w:szCs w:val="20"/>
              </w:rPr>
            </w:pPr>
            <w:r w:rsidRPr="00E50B51">
              <w:rPr>
                <w:sz w:val="20"/>
                <w:szCs w:val="20"/>
                <w:lang w:val="en-US"/>
              </w:rPr>
              <w:t>381 U.S. 479</w:t>
            </w:r>
          </w:p>
        </w:tc>
        <w:tc>
          <w:tcPr>
            <w:tcW w:w="306" w:type="pct"/>
            <w:textDirection w:val="tbRl"/>
            <w:vAlign w:val="center"/>
          </w:tcPr>
          <w:p w14:paraId="177E1652" w14:textId="77777777" w:rsidR="00074551" w:rsidRPr="00E50B51" w:rsidRDefault="00074551" w:rsidP="00367133">
            <w:pPr>
              <w:ind w:left="113" w:right="113"/>
              <w:jc w:val="both"/>
              <w:rPr>
                <w:sz w:val="20"/>
                <w:szCs w:val="20"/>
              </w:rPr>
            </w:pPr>
            <w:r w:rsidRPr="00E50B51">
              <w:rPr>
                <w:sz w:val="20"/>
                <w:szCs w:val="20"/>
              </w:rPr>
              <w:t>7. Juni 1965</w:t>
            </w:r>
          </w:p>
        </w:tc>
        <w:tc>
          <w:tcPr>
            <w:tcW w:w="401" w:type="pct"/>
          </w:tcPr>
          <w:p w14:paraId="5B2B15CA" w14:textId="77777777" w:rsidR="00074551" w:rsidRPr="00E50B51" w:rsidRDefault="00074551" w:rsidP="00367133">
            <w:pPr>
              <w:jc w:val="center"/>
              <w:rPr>
                <w:sz w:val="20"/>
                <w:szCs w:val="20"/>
              </w:rPr>
            </w:pPr>
            <w:r w:rsidRPr="00E50B51">
              <w:rPr>
                <w:sz w:val="20"/>
                <w:szCs w:val="20"/>
              </w:rPr>
              <w:t>C</w:t>
            </w:r>
          </w:p>
        </w:tc>
        <w:tc>
          <w:tcPr>
            <w:tcW w:w="1594" w:type="pct"/>
          </w:tcPr>
          <w:p w14:paraId="1EEFC399" w14:textId="77777777" w:rsidR="00074551" w:rsidRPr="00E50B51" w:rsidRDefault="00074551" w:rsidP="00367133">
            <w:pPr>
              <w:jc w:val="both"/>
              <w:rPr>
                <w:sz w:val="20"/>
                <w:szCs w:val="20"/>
              </w:rPr>
            </w:pPr>
            <w:r w:rsidRPr="00E50B51">
              <w:rPr>
                <w:sz w:val="20"/>
                <w:szCs w:val="20"/>
              </w:rPr>
              <w:t>*</w:t>
            </w:r>
          </w:p>
        </w:tc>
        <w:tc>
          <w:tcPr>
            <w:tcW w:w="1822" w:type="pct"/>
          </w:tcPr>
          <w:p w14:paraId="6F2F768F" w14:textId="09FDB489" w:rsidR="00074551" w:rsidRPr="009C0F64" w:rsidRDefault="00074551" w:rsidP="00367133">
            <w:pPr>
              <w:jc w:val="both"/>
              <w:rPr>
                <w:sz w:val="20"/>
                <w:szCs w:val="20"/>
              </w:rPr>
            </w:pPr>
            <w:r>
              <w:rPr>
                <w:sz w:val="20"/>
                <w:szCs w:val="20"/>
              </w:rPr>
              <w:t xml:space="preserve">In </w:t>
            </w:r>
            <w:r w:rsidRPr="5B67C1D2">
              <w:rPr>
                <w:i/>
                <w:iCs/>
                <w:sz w:val="20"/>
                <w:szCs w:val="20"/>
              </w:rPr>
              <w:t>Griswold v. Connecticut</w:t>
            </w:r>
            <w:r w:rsidRPr="009C0F64">
              <w:rPr>
                <w:sz w:val="20"/>
                <w:szCs w:val="20"/>
              </w:rPr>
              <w:t xml:space="preserve"> erklärte der </w:t>
            </w:r>
            <w:r>
              <w:rPr>
                <w:sz w:val="20"/>
                <w:szCs w:val="20"/>
              </w:rPr>
              <w:t>U.S. Supreme Court</w:t>
            </w:r>
            <w:r w:rsidRPr="009C0F64">
              <w:rPr>
                <w:sz w:val="20"/>
                <w:szCs w:val="20"/>
              </w:rPr>
              <w:t xml:space="preserve"> Rechte der Sphären des </w:t>
            </w:r>
            <w:r>
              <w:rPr>
                <w:sz w:val="20"/>
                <w:szCs w:val="20"/>
              </w:rPr>
              <w:t>a</w:t>
            </w:r>
            <w:r w:rsidRPr="009C0F64">
              <w:rPr>
                <w:sz w:val="20"/>
                <w:szCs w:val="20"/>
              </w:rPr>
              <w:t xml:space="preserve">llgemeinen Persönlichkeitsrechts, das zur freiheitlichen Seite des Strebens nach Glück gehöre. Um dieses Recht auf Privatsphäre nun umfassend herzuleiten, führte der </w:t>
            </w:r>
            <w:r>
              <w:rPr>
                <w:sz w:val="20"/>
                <w:szCs w:val="20"/>
              </w:rPr>
              <w:t>U.S. Supreme Court</w:t>
            </w:r>
            <w:r w:rsidRPr="009C0F64">
              <w:rPr>
                <w:sz w:val="20"/>
                <w:szCs w:val="20"/>
              </w:rPr>
              <w:t xml:space="preserve"> wieder den Begriff der Bedingungen für ein Streben nach Glück an („</w:t>
            </w:r>
            <w:proofErr w:type="spellStart"/>
            <w:r w:rsidRPr="009C0F64">
              <w:rPr>
                <w:sz w:val="20"/>
                <w:szCs w:val="20"/>
              </w:rPr>
              <w:t>secure</w:t>
            </w:r>
            <w:proofErr w:type="spellEnd"/>
            <w:r w:rsidRPr="009C0F64">
              <w:rPr>
                <w:sz w:val="20"/>
                <w:szCs w:val="20"/>
              </w:rPr>
              <w:t xml:space="preserve"> </w:t>
            </w:r>
            <w:proofErr w:type="spellStart"/>
            <w:r w:rsidRPr="009C0F64">
              <w:rPr>
                <w:sz w:val="20"/>
                <w:szCs w:val="20"/>
              </w:rPr>
              <w:t>conditions</w:t>
            </w:r>
            <w:proofErr w:type="spellEnd"/>
            <w:r w:rsidRPr="009C0F64">
              <w:rPr>
                <w:sz w:val="20"/>
                <w:szCs w:val="20"/>
              </w:rPr>
              <w:t xml:space="preserve"> favorable to the </w:t>
            </w:r>
            <w:proofErr w:type="spellStart"/>
            <w:r w:rsidRPr="009C0F64">
              <w:rPr>
                <w:sz w:val="20"/>
                <w:szCs w:val="20"/>
              </w:rPr>
              <w:t>pursuit</w:t>
            </w:r>
            <w:proofErr w:type="spellEnd"/>
            <w:r w:rsidRPr="009C0F64">
              <w:rPr>
                <w:sz w:val="20"/>
                <w:szCs w:val="20"/>
              </w:rPr>
              <w:t xml:space="preserve"> of </w:t>
            </w:r>
            <w:proofErr w:type="spellStart"/>
            <w:r w:rsidRPr="009C0F64">
              <w:rPr>
                <w:sz w:val="20"/>
                <w:szCs w:val="20"/>
              </w:rPr>
              <w:t>happiness</w:t>
            </w:r>
            <w:proofErr w:type="spellEnd"/>
            <w:r w:rsidRPr="009C0F64">
              <w:rPr>
                <w:sz w:val="20"/>
                <w:szCs w:val="20"/>
              </w:rPr>
              <w:t>“</w:t>
            </w:r>
            <w:r w:rsidRPr="009C0F64">
              <w:rPr>
                <w:sz w:val="20"/>
                <w:szCs w:val="20"/>
                <w:vertAlign w:val="superscript"/>
              </w:rPr>
              <w:footnoteReference w:id="1339"/>
            </w:r>
            <w:r w:rsidRPr="009C0F64">
              <w:rPr>
                <w:sz w:val="20"/>
                <w:szCs w:val="20"/>
              </w:rPr>
              <w:t xml:space="preserve">), die </w:t>
            </w:r>
            <w:r>
              <w:rPr>
                <w:sz w:val="20"/>
                <w:szCs w:val="20"/>
              </w:rPr>
              <w:t>z.B.</w:t>
            </w:r>
            <w:r w:rsidRPr="009C0F64">
              <w:rPr>
                <w:sz w:val="20"/>
                <w:szCs w:val="20"/>
              </w:rPr>
              <w:t xml:space="preserve"> den Wortlaut </w:t>
            </w:r>
            <w:r>
              <w:rPr>
                <w:sz w:val="20"/>
                <w:szCs w:val="20"/>
              </w:rPr>
              <w:t>von</w:t>
            </w:r>
            <w:r w:rsidRPr="009C0F6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 und V</w:t>
            </w:r>
            <w:r w:rsidRPr="009C0F64">
              <w:rPr>
                <w:sz w:val="20"/>
                <w:szCs w:val="20"/>
              </w:rPr>
              <w:t xml:space="preserve"> hin zu einem Recht auf Privatsphäre ausdehnen. Damit bilden die Bedingungen von Glück die Grundlage für das Recht auf Privatsphäre („</w:t>
            </w:r>
            <w:proofErr w:type="spellStart"/>
            <w:r w:rsidRPr="009C0F64">
              <w:rPr>
                <w:sz w:val="20"/>
                <w:szCs w:val="20"/>
              </w:rPr>
              <w:t>principles</w:t>
            </w:r>
            <w:proofErr w:type="spellEnd"/>
            <w:r w:rsidRPr="009C0F64">
              <w:rPr>
                <w:sz w:val="20"/>
                <w:szCs w:val="20"/>
              </w:rPr>
              <w:t xml:space="preserve"> </w:t>
            </w:r>
            <w:proofErr w:type="spellStart"/>
            <w:r w:rsidRPr="009C0F64">
              <w:rPr>
                <w:sz w:val="20"/>
                <w:szCs w:val="20"/>
              </w:rPr>
              <w:t>underlying</w:t>
            </w:r>
            <w:proofErr w:type="spellEnd"/>
            <w:r w:rsidRPr="009C0F64">
              <w:rPr>
                <w:sz w:val="20"/>
                <w:szCs w:val="20"/>
              </w:rPr>
              <w:t xml:space="preserve"> the </w:t>
            </w:r>
            <w:proofErr w:type="spellStart"/>
            <w:r w:rsidRPr="009C0F64">
              <w:rPr>
                <w:sz w:val="20"/>
                <w:szCs w:val="20"/>
              </w:rPr>
              <w:t>Constitution</w:t>
            </w:r>
            <w:r>
              <w:rPr>
                <w:sz w:val="20"/>
                <w:szCs w:val="20"/>
              </w:rPr>
              <w:t>’</w:t>
            </w:r>
            <w:r w:rsidRPr="009C0F64">
              <w:rPr>
                <w:sz w:val="20"/>
                <w:szCs w:val="20"/>
              </w:rPr>
              <w:t>s</w:t>
            </w:r>
            <w:proofErr w:type="spellEnd"/>
            <w:r w:rsidRPr="009C0F64">
              <w:rPr>
                <w:sz w:val="20"/>
                <w:szCs w:val="20"/>
              </w:rPr>
              <w:t xml:space="preserve"> </w:t>
            </w:r>
            <w:proofErr w:type="spellStart"/>
            <w:r w:rsidRPr="009C0F64">
              <w:rPr>
                <w:sz w:val="20"/>
                <w:szCs w:val="20"/>
              </w:rPr>
              <w:t>guarantees</w:t>
            </w:r>
            <w:proofErr w:type="spellEnd"/>
            <w:r w:rsidRPr="009C0F64">
              <w:rPr>
                <w:sz w:val="20"/>
                <w:szCs w:val="20"/>
              </w:rPr>
              <w:t xml:space="preserve"> of </w:t>
            </w:r>
            <w:proofErr w:type="spellStart"/>
            <w:r w:rsidRPr="009C0F64">
              <w:rPr>
                <w:sz w:val="20"/>
                <w:szCs w:val="20"/>
              </w:rPr>
              <w:t>privacy</w:t>
            </w:r>
            <w:proofErr w:type="spellEnd"/>
            <w:r w:rsidRPr="009C0F64">
              <w:rPr>
                <w:sz w:val="20"/>
                <w:szCs w:val="20"/>
              </w:rPr>
              <w:t>“</w:t>
            </w:r>
            <w:r w:rsidRPr="009C0F64">
              <w:rPr>
                <w:sz w:val="20"/>
                <w:szCs w:val="20"/>
                <w:vertAlign w:val="superscript"/>
              </w:rPr>
              <w:footnoteReference w:id="1340"/>
            </w:r>
            <w:r w:rsidRPr="009C0F64">
              <w:rPr>
                <w:sz w:val="20"/>
                <w:szCs w:val="20"/>
              </w:rPr>
              <w:t xml:space="preserve">). Dann spezifizierte der </w:t>
            </w:r>
            <w:r>
              <w:rPr>
                <w:sz w:val="20"/>
                <w:szCs w:val="20"/>
              </w:rPr>
              <w:t>U.S. Supreme Court</w:t>
            </w:r>
            <w:r w:rsidRPr="009C0F64">
              <w:rPr>
                <w:sz w:val="20"/>
                <w:szCs w:val="20"/>
              </w:rPr>
              <w:t xml:space="preserve"> das Recht auf Privatsphäre weiter: Es umfasse auch das Recht auf Meinungs- und Pressefreiheit, das Recht auf Verbreitung, auf Empfang und Konsum von Informationen und lehne sich an die Wissenschafts-, die Gedanken- und </w:t>
            </w:r>
            <w:r>
              <w:rPr>
                <w:sz w:val="20"/>
                <w:szCs w:val="20"/>
              </w:rPr>
              <w:t xml:space="preserve">die </w:t>
            </w:r>
            <w:r w:rsidRPr="009C0F64">
              <w:rPr>
                <w:sz w:val="20"/>
                <w:szCs w:val="20"/>
              </w:rPr>
              <w:t>Lehrfreiheit an.</w:t>
            </w:r>
            <w:r w:rsidRPr="009C0F64">
              <w:rPr>
                <w:sz w:val="20"/>
                <w:szCs w:val="20"/>
                <w:vertAlign w:val="superscript"/>
              </w:rPr>
              <w:footnoteReference w:id="1341"/>
            </w:r>
          </w:p>
          <w:p w14:paraId="0AE42BB6" w14:textId="77777777" w:rsidR="00074551" w:rsidRPr="00E50B51" w:rsidRDefault="00074551" w:rsidP="00367133">
            <w:pPr>
              <w:jc w:val="both"/>
              <w:rPr>
                <w:sz w:val="20"/>
                <w:szCs w:val="20"/>
              </w:rPr>
            </w:pPr>
          </w:p>
        </w:tc>
      </w:tr>
      <w:tr w:rsidR="00074551" w:rsidRPr="00E50B51" w14:paraId="16590EB3" w14:textId="77777777" w:rsidTr="00BE689F">
        <w:trPr>
          <w:cantSplit/>
          <w:trHeight w:val="3175"/>
        </w:trPr>
        <w:tc>
          <w:tcPr>
            <w:tcW w:w="293" w:type="pct"/>
          </w:tcPr>
          <w:p w14:paraId="7E4D07D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C328890" w14:textId="77777777" w:rsidR="00074551" w:rsidRPr="00E50B51" w:rsidRDefault="00074551" w:rsidP="00367133">
            <w:pPr>
              <w:ind w:left="113" w:right="416"/>
              <w:jc w:val="both"/>
              <w:rPr>
                <w:sz w:val="20"/>
                <w:szCs w:val="20"/>
              </w:rPr>
            </w:pPr>
            <w:r w:rsidRPr="009E57E1">
              <w:rPr>
                <w:i/>
                <w:sz w:val="20"/>
                <w:szCs w:val="20"/>
                <w:lang w:val="en-US"/>
              </w:rPr>
              <w:t>Lawrence v. Texas</w:t>
            </w:r>
          </w:p>
        </w:tc>
        <w:tc>
          <w:tcPr>
            <w:tcW w:w="197" w:type="pct"/>
            <w:textDirection w:val="tbRl"/>
            <w:vAlign w:val="center"/>
          </w:tcPr>
          <w:p w14:paraId="69ADE4D6" w14:textId="77777777" w:rsidR="00074551" w:rsidRPr="00E50B51" w:rsidRDefault="00074551" w:rsidP="00367133">
            <w:pPr>
              <w:ind w:left="113" w:right="113"/>
              <w:jc w:val="both"/>
              <w:rPr>
                <w:sz w:val="20"/>
                <w:szCs w:val="20"/>
              </w:rPr>
            </w:pPr>
            <w:r w:rsidRPr="00E50B51">
              <w:rPr>
                <w:sz w:val="20"/>
                <w:szCs w:val="20"/>
                <w:lang w:val="en-US"/>
              </w:rPr>
              <w:t>539 U.S. 558</w:t>
            </w:r>
          </w:p>
        </w:tc>
        <w:tc>
          <w:tcPr>
            <w:tcW w:w="306" w:type="pct"/>
            <w:textDirection w:val="tbRl"/>
            <w:vAlign w:val="center"/>
          </w:tcPr>
          <w:p w14:paraId="4F30CE91" w14:textId="77777777" w:rsidR="00074551" w:rsidRPr="00E50B51" w:rsidRDefault="00074551" w:rsidP="00367133">
            <w:pPr>
              <w:ind w:left="113" w:right="113"/>
              <w:jc w:val="both"/>
              <w:rPr>
                <w:sz w:val="20"/>
                <w:szCs w:val="20"/>
              </w:rPr>
            </w:pPr>
            <w:r w:rsidRPr="00E50B51">
              <w:rPr>
                <w:sz w:val="20"/>
                <w:szCs w:val="20"/>
                <w:lang w:val="en-US"/>
              </w:rPr>
              <w:t>26. Juni 2003</w:t>
            </w:r>
          </w:p>
        </w:tc>
        <w:tc>
          <w:tcPr>
            <w:tcW w:w="401" w:type="pct"/>
          </w:tcPr>
          <w:p w14:paraId="1E716EF0"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00B9B400" w14:textId="77777777" w:rsidR="00074551" w:rsidRPr="00E50B51" w:rsidRDefault="00074551" w:rsidP="00367133">
            <w:pPr>
              <w:jc w:val="both"/>
              <w:rPr>
                <w:sz w:val="20"/>
                <w:szCs w:val="20"/>
              </w:rPr>
            </w:pPr>
            <w:r w:rsidRPr="00E50B51">
              <w:rPr>
                <w:sz w:val="20"/>
                <w:szCs w:val="20"/>
              </w:rPr>
              <w:t>*</w:t>
            </w:r>
          </w:p>
        </w:tc>
        <w:tc>
          <w:tcPr>
            <w:tcW w:w="1822" w:type="pct"/>
          </w:tcPr>
          <w:p w14:paraId="6F3B0A10" w14:textId="77777777" w:rsidR="00074551" w:rsidRDefault="00074551" w:rsidP="00367133">
            <w:pPr>
              <w:jc w:val="both"/>
              <w:rPr>
                <w:sz w:val="20"/>
                <w:szCs w:val="20"/>
              </w:rPr>
            </w:pPr>
            <w:r w:rsidRPr="0088034A">
              <w:rPr>
                <w:sz w:val="20"/>
                <w:szCs w:val="20"/>
              </w:rPr>
              <w:t xml:space="preserve">In </w:t>
            </w:r>
            <w:r w:rsidRPr="5B67C1D2">
              <w:rPr>
                <w:i/>
                <w:iCs/>
                <w:sz w:val="20"/>
                <w:szCs w:val="20"/>
              </w:rPr>
              <w:t>Lawrence v. Texas</w:t>
            </w:r>
            <w:r w:rsidRPr="0088034A">
              <w:rPr>
                <w:sz w:val="20"/>
                <w:szCs w:val="20"/>
              </w:rPr>
              <w:t xml:space="preserve"> erklärt der Dissens, der Staat könne Freiheitsrechte als Teile des „</w:t>
            </w:r>
            <w:proofErr w:type="spellStart"/>
            <w:r w:rsidRPr="0088034A">
              <w:rPr>
                <w:sz w:val="20"/>
                <w:szCs w:val="20"/>
              </w:rPr>
              <w:t>right</w:t>
            </w:r>
            <w:proofErr w:type="spellEnd"/>
            <w:r w:rsidRPr="0088034A">
              <w:rPr>
                <w:sz w:val="20"/>
                <w:szCs w:val="20"/>
              </w:rPr>
              <w:t xml:space="preserve"> of </w:t>
            </w:r>
            <w:proofErr w:type="spellStart"/>
            <w:r w:rsidRPr="0088034A">
              <w:rPr>
                <w:sz w:val="20"/>
                <w:szCs w:val="20"/>
              </w:rPr>
              <w:t>privacy</w:t>
            </w:r>
            <w:proofErr w:type="spellEnd"/>
            <w:r w:rsidRPr="0088034A">
              <w:rPr>
                <w:sz w:val="20"/>
                <w:szCs w:val="20"/>
              </w:rPr>
              <w:t>“</w:t>
            </w:r>
            <w:r w:rsidRPr="0088034A">
              <w:rPr>
                <w:sz w:val="20"/>
                <w:szCs w:val="20"/>
                <w:vertAlign w:val="superscript"/>
              </w:rPr>
              <w:footnoteReference w:id="1342"/>
            </w:r>
            <w:r w:rsidRPr="0088034A">
              <w:rPr>
                <w:sz w:val="20"/>
                <w:szCs w:val="20"/>
              </w:rPr>
              <w:t xml:space="preserve"> nur unter </w:t>
            </w:r>
            <w:r>
              <w:rPr>
                <w:sz w:val="20"/>
                <w:szCs w:val="20"/>
              </w:rPr>
              <w:t>besonderer</w:t>
            </w:r>
            <w:r w:rsidRPr="0088034A">
              <w:rPr>
                <w:sz w:val="20"/>
                <w:szCs w:val="20"/>
              </w:rPr>
              <w:t xml:space="preserve"> Rechtfertigungslast einschränken („</w:t>
            </w:r>
            <w:proofErr w:type="spellStart"/>
            <w:r w:rsidRPr="0088034A">
              <w:rPr>
                <w:sz w:val="20"/>
                <w:szCs w:val="20"/>
              </w:rPr>
              <w:t>subject</w:t>
            </w:r>
            <w:proofErr w:type="spellEnd"/>
            <w:r w:rsidRPr="0088034A">
              <w:rPr>
                <w:sz w:val="20"/>
                <w:szCs w:val="20"/>
              </w:rPr>
              <w:t xml:space="preserve"> […] to </w:t>
            </w:r>
            <w:proofErr w:type="spellStart"/>
            <w:r w:rsidRPr="0088034A">
              <w:rPr>
                <w:sz w:val="20"/>
                <w:szCs w:val="20"/>
              </w:rPr>
              <w:t>strict</w:t>
            </w:r>
            <w:proofErr w:type="spellEnd"/>
            <w:r w:rsidRPr="0088034A">
              <w:rPr>
                <w:sz w:val="20"/>
                <w:szCs w:val="20"/>
              </w:rPr>
              <w:t xml:space="preserve"> </w:t>
            </w:r>
            <w:proofErr w:type="spellStart"/>
            <w:r w:rsidRPr="0088034A">
              <w:rPr>
                <w:sz w:val="20"/>
                <w:szCs w:val="20"/>
              </w:rPr>
              <w:t>scrutiny</w:t>
            </w:r>
            <w:proofErr w:type="spellEnd"/>
            <w:r w:rsidRPr="0088034A">
              <w:rPr>
                <w:sz w:val="20"/>
                <w:szCs w:val="20"/>
              </w:rPr>
              <w:t>“</w:t>
            </w:r>
            <w:r w:rsidRPr="0088034A">
              <w:rPr>
                <w:sz w:val="20"/>
                <w:szCs w:val="20"/>
                <w:vertAlign w:val="superscript"/>
              </w:rPr>
              <w:footnoteReference w:id="1343"/>
            </w:r>
            <w:r w:rsidRPr="0088034A">
              <w:rPr>
                <w:sz w:val="20"/>
                <w:szCs w:val="20"/>
              </w:rPr>
              <w:t xml:space="preserve">), wenn sie in der Geschichte und Tradition </w:t>
            </w:r>
            <w:r>
              <w:rPr>
                <w:sz w:val="20"/>
                <w:szCs w:val="20"/>
              </w:rPr>
              <w:t>der</w:t>
            </w:r>
            <w:r w:rsidRPr="0088034A">
              <w:rPr>
                <w:sz w:val="20"/>
                <w:szCs w:val="20"/>
              </w:rPr>
              <w:t xml:space="preserve"> Nation verwurzelt seien, d.h. wesentlich für das Glücksstreben </w:t>
            </w:r>
            <w:r>
              <w:rPr>
                <w:sz w:val="20"/>
                <w:szCs w:val="20"/>
              </w:rPr>
              <w:t>seien</w:t>
            </w:r>
            <w:r w:rsidRPr="0088034A">
              <w:rPr>
                <w:sz w:val="20"/>
                <w:szCs w:val="20"/>
              </w:rPr>
              <w:t>. Um zu bestimmen, wie weit das „</w:t>
            </w:r>
            <w:proofErr w:type="spellStart"/>
            <w:r w:rsidRPr="0088034A">
              <w:rPr>
                <w:sz w:val="20"/>
                <w:szCs w:val="20"/>
              </w:rPr>
              <w:t>right</w:t>
            </w:r>
            <w:proofErr w:type="spellEnd"/>
            <w:r w:rsidRPr="0088034A">
              <w:rPr>
                <w:sz w:val="20"/>
                <w:szCs w:val="20"/>
              </w:rPr>
              <w:t xml:space="preserve"> of </w:t>
            </w:r>
            <w:proofErr w:type="spellStart"/>
            <w:r w:rsidRPr="0088034A">
              <w:rPr>
                <w:sz w:val="20"/>
                <w:szCs w:val="20"/>
              </w:rPr>
              <w:t>privacy</w:t>
            </w:r>
            <w:proofErr w:type="spellEnd"/>
            <w:r w:rsidRPr="0088034A">
              <w:rPr>
                <w:sz w:val="20"/>
                <w:szCs w:val="20"/>
              </w:rPr>
              <w:t>“</w:t>
            </w:r>
            <w:r w:rsidRPr="0088034A">
              <w:rPr>
                <w:sz w:val="20"/>
                <w:szCs w:val="20"/>
                <w:vertAlign w:val="superscript"/>
              </w:rPr>
              <w:footnoteReference w:id="1344"/>
            </w:r>
            <w:r w:rsidRPr="0088034A">
              <w:rPr>
                <w:sz w:val="20"/>
                <w:szCs w:val="20"/>
              </w:rPr>
              <w:t xml:space="preserve"> gegen staatliche Eingriffe schützt, fragte der Dissens, wie tief die zum </w:t>
            </w:r>
            <w:r>
              <w:rPr>
                <w:sz w:val="20"/>
                <w:szCs w:val="20"/>
              </w:rPr>
              <w:t>„</w:t>
            </w:r>
            <w:proofErr w:type="spellStart"/>
            <w:r w:rsidRPr="0088034A">
              <w:rPr>
                <w:sz w:val="20"/>
                <w:szCs w:val="20"/>
              </w:rPr>
              <w:t>right</w:t>
            </w:r>
            <w:proofErr w:type="spellEnd"/>
            <w:r w:rsidRPr="0088034A">
              <w:rPr>
                <w:sz w:val="20"/>
                <w:szCs w:val="20"/>
              </w:rPr>
              <w:t xml:space="preserve"> of </w:t>
            </w:r>
            <w:proofErr w:type="spellStart"/>
            <w:r w:rsidRPr="0088034A">
              <w:rPr>
                <w:sz w:val="20"/>
                <w:szCs w:val="20"/>
              </w:rPr>
              <w:t>privacy</w:t>
            </w:r>
            <w:proofErr w:type="spellEnd"/>
            <w:r>
              <w:rPr>
                <w:sz w:val="20"/>
                <w:szCs w:val="20"/>
              </w:rPr>
              <w:t>“</w:t>
            </w:r>
            <w:r w:rsidRPr="0088034A">
              <w:rPr>
                <w:sz w:val="20"/>
                <w:szCs w:val="20"/>
                <w:vertAlign w:val="superscript"/>
              </w:rPr>
              <w:footnoteReference w:id="1345"/>
            </w:r>
            <w:r w:rsidRPr="0088034A">
              <w:rPr>
                <w:sz w:val="20"/>
                <w:szCs w:val="20"/>
              </w:rPr>
              <w:t xml:space="preserve"> gehörenden Freiheitsrechte in der Geschichte und Tradition </w:t>
            </w:r>
            <w:r>
              <w:rPr>
                <w:sz w:val="20"/>
                <w:szCs w:val="20"/>
              </w:rPr>
              <w:t xml:space="preserve">der Nation </w:t>
            </w:r>
            <w:r w:rsidRPr="0088034A">
              <w:rPr>
                <w:sz w:val="20"/>
                <w:szCs w:val="20"/>
              </w:rPr>
              <w:t>verwurzelt seien („</w:t>
            </w:r>
            <w:proofErr w:type="spellStart"/>
            <w:r w:rsidRPr="0088034A">
              <w:rPr>
                <w:sz w:val="20"/>
                <w:szCs w:val="20"/>
              </w:rPr>
              <w:t>deeply</w:t>
            </w:r>
            <w:proofErr w:type="spellEnd"/>
            <w:r w:rsidRPr="0088034A">
              <w:rPr>
                <w:sz w:val="20"/>
                <w:szCs w:val="20"/>
              </w:rPr>
              <w:t xml:space="preserve"> </w:t>
            </w:r>
            <w:proofErr w:type="spellStart"/>
            <w:r w:rsidRPr="0088034A">
              <w:rPr>
                <w:sz w:val="20"/>
                <w:szCs w:val="20"/>
              </w:rPr>
              <w:t>rooted</w:t>
            </w:r>
            <w:proofErr w:type="spellEnd"/>
            <w:r w:rsidRPr="0088034A">
              <w:rPr>
                <w:sz w:val="20"/>
                <w:szCs w:val="20"/>
              </w:rPr>
              <w:t xml:space="preserve"> in </w:t>
            </w:r>
            <w:proofErr w:type="spellStart"/>
            <w:r w:rsidRPr="0088034A">
              <w:rPr>
                <w:sz w:val="20"/>
                <w:szCs w:val="20"/>
              </w:rPr>
              <w:t>this</w:t>
            </w:r>
            <w:proofErr w:type="spellEnd"/>
            <w:r w:rsidRPr="0088034A">
              <w:rPr>
                <w:sz w:val="20"/>
                <w:szCs w:val="20"/>
              </w:rPr>
              <w:t xml:space="preserve"> </w:t>
            </w:r>
            <w:proofErr w:type="spellStart"/>
            <w:r w:rsidRPr="0088034A">
              <w:rPr>
                <w:sz w:val="20"/>
                <w:szCs w:val="20"/>
              </w:rPr>
              <w:t>Nation</w:t>
            </w:r>
            <w:r>
              <w:rPr>
                <w:sz w:val="20"/>
                <w:szCs w:val="20"/>
              </w:rPr>
              <w:t>’</w:t>
            </w:r>
            <w:r w:rsidRPr="0088034A">
              <w:rPr>
                <w:sz w:val="20"/>
                <w:szCs w:val="20"/>
              </w:rPr>
              <w:t>s</w:t>
            </w:r>
            <w:proofErr w:type="spellEnd"/>
            <w:r w:rsidRPr="0088034A">
              <w:rPr>
                <w:sz w:val="20"/>
                <w:szCs w:val="20"/>
              </w:rPr>
              <w:t xml:space="preserve"> </w:t>
            </w:r>
            <w:proofErr w:type="spellStart"/>
            <w:r w:rsidRPr="0088034A">
              <w:rPr>
                <w:sz w:val="20"/>
                <w:szCs w:val="20"/>
              </w:rPr>
              <w:t>history</w:t>
            </w:r>
            <w:proofErr w:type="spellEnd"/>
            <w:r w:rsidRPr="0088034A">
              <w:rPr>
                <w:sz w:val="20"/>
                <w:szCs w:val="20"/>
              </w:rPr>
              <w:t xml:space="preserve"> and </w:t>
            </w:r>
            <w:proofErr w:type="spellStart"/>
            <w:r w:rsidRPr="0088034A">
              <w:rPr>
                <w:sz w:val="20"/>
                <w:szCs w:val="20"/>
              </w:rPr>
              <w:t>tradition</w:t>
            </w:r>
            <w:proofErr w:type="spellEnd"/>
            <w:r w:rsidRPr="0088034A">
              <w:rPr>
                <w:sz w:val="20"/>
                <w:szCs w:val="20"/>
              </w:rPr>
              <w:t>“</w:t>
            </w:r>
            <w:r w:rsidRPr="0088034A">
              <w:rPr>
                <w:sz w:val="20"/>
                <w:szCs w:val="20"/>
                <w:vertAlign w:val="superscript"/>
              </w:rPr>
              <w:footnoteReference w:id="1346"/>
            </w:r>
            <w:r w:rsidRPr="0088034A">
              <w:rPr>
                <w:sz w:val="20"/>
                <w:szCs w:val="20"/>
              </w:rPr>
              <w:t xml:space="preserve">). Die Freiheitsrechte seien </w:t>
            </w:r>
            <w:r>
              <w:rPr>
                <w:sz w:val="20"/>
                <w:szCs w:val="20"/>
              </w:rPr>
              <w:t xml:space="preserve">eben </w:t>
            </w:r>
            <w:r w:rsidRPr="0088034A">
              <w:rPr>
                <w:sz w:val="20"/>
                <w:szCs w:val="20"/>
              </w:rPr>
              <w:t xml:space="preserve">dann als tief verwurzelt in der Geschichte und Tradition der Vereinigten Staaten anzusehen, wenn sie wesentlich für ein Streben nach Glück </w:t>
            </w:r>
            <w:r>
              <w:rPr>
                <w:sz w:val="20"/>
                <w:szCs w:val="20"/>
              </w:rPr>
              <w:t>seien</w:t>
            </w:r>
            <w:r w:rsidRPr="0088034A">
              <w:rPr>
                <w:sz w:val="20"/>
                <w:szCs w:val="20"/>
              </w:rPr>
              <w:t xml:space="preserve">. Wenn das der Fall </w:t>
            </w:r>
            <w:r>
              <w:rPr>
                <w:sz w:val="20"/>
                <w:szCs w:val="20"/>
              </w:rPr>
              <w:t>sei</w:t>
            </w:r>
            <w:r w:rsidRPr="0088034A">
              <w:rPr>
                <w:sz w:val="20"/>
                <w:szCs w:val="20"/>
              </w:rPr>
              <w:t xml:space="preserve">, dann </w:t>
            </w:r>
            <w:r>
              <w:rPr>
                <w:sz w:val="20"/>
                <w:szCs w:val="20"/>
              </w:rPr>
              <w:t>seien</w:t>
            </w:r>
            <w:r w:rsidRPr="0088034A">
              <w:rPr>
                <w:sz w:val="20"/>
                <w:szCs w:val="20"/>
              </w:rPr>
              <w:t xml:space="preserve"> diese Freiheitsrechte Grundrechte („fundamental </w:t>
            </w:r>
            <w:proofErr w:type="spellStart"/>
            <w:r w:rsidRPr="0088034A">
              <w:rPr>
                <w:sz w:val="20"/>
                <w:szCs w:val="20"/>
              </w:rPr>
              <w:t>right</w:t>
            </w:r>
            <w:proofErr w:type="spellEnd"/>
            <w:r w:rsidRPr="0088034A">
              <w:rPr>
                <w:sz w:val="20"/>
                <w:szCs w:val="20"/>
              </w:rPr>
              <w:t>“</w:t>
            </w:r>
            <w:r w:rsidRPr="0088034A">
              <w:rPr>
                <w:sz w:val="20"/>
                <w:szCs w:val="20"/>
                <w:vertAlign w:val="superscript"/>
              </w:rPr>
              <w:footnoteReference w:id="1347"/>
            </w:r>
            <w:r w:rsidRPr="0088034A">
              <w:rPr>
                <w:sz w:val="20"/>
                <w:szCs w:val="20"/>
              </w:rPr>
              <w:t>)</w:t>
            </w:r>
            <w:r>
              <w:rPr>
                <w:sz w:val="20"/>
                <w:szCs w:val="20"/>
              </w:rPr>
              <w:t>, deren Einschränkung einer strengen Rechtfertigungslast unterliege</w:t>
            </w:r>
            <w:r w:rsidRPr="0088034A">
              <w:rPr>
                <w:sz w:val="20"/>
                <w:szCs w:val="20"/>
              </w:rPr>
              <w:t xml:space="preserve"> („</w:t>
            </w:r>
            <w:proofErr w:type="spellStart"/>
            <w:r w:rsidRPr="0088034A">
              <w:rPr>
                <w:sz w:val="20"/>
                <w:szCs w:val="20"/>
              </w:rPr>
              <w:t>subject</w:t>
            </w:r>
            <w:proofErr w:type="spellEnd"/>
            <w:r w:rsidRPr="0088034A">
              <w:rPr>
                <w:sz w:val="20"/>
                <w:szCs w:val="20"/>
              </w:rPr>
              <w:t xml:space="preserve"> […] to </w:t>
            </w:r>
            <w:proofErr w:type="spellStart"/>
            <w:r w:rsidRPr="0088034A">
              <w:rPr>
                <w:sz w:val="20"/>
                <w:szCs w:val="20"/>
              </w:rPr>
              <w:t>strict</w:t>
            </w:r>
            <w:proofErr w:type="spellEnd"/>
            <w:r w:rsidRPr="0088034A">
              <w:rPr>
                <w:sz w:val="20"/>
                <w:szCs w:val="20"/>
              </w:rPr>
              <w:t xml:space="preserve"> </w:t>
            </w:r>
            <w:proofErr w:type="spellStart"/>
            <w:r w:rsidRPr="0088034A">
              <w:rPr>
                <w:sz w:val="20"/>
                <w:szCs w:val="20"/>
              </w:rPr>
              <w:t>scrutiny</w:t>
            </w:r>
            <w:proofErr w:type="spellEnd"/>
            <w:r w:rsidRPr="0088034A">
              <w:rPr>
                <w:sz w:val="20"/>
                <w:szCs w:val="20"/>
              </w:rPr>
              <w:t>“</w:t>
            </w:r>
            <w:r w:rsidRPr="0088034A">
              <w:rPr>
                <w:sz w:val="20"/>
                <w:szCs w:val="20"/>
                <w:vertAlign w:val="superscript"/>
              </w:rPr>
              <w:footnoteReference w:id="1348"/>
            </w:r>
            <w:r w:rsidRPr="0088034A">
              <w:rPr>
                <w:sz w:val="20"/>
                <w:szCs w:val="20"/>
              </w:rPr>
              <w:t>).</w:t>
            </w:r>
          </w:p>
          <w:p w14:paraId="46FDEC24" w14:textId="77777777" w:rsidR="00074551" w:rsidRPr="00E50B51" w:rsidRDefault="00074551" w:rsidP="00367133">
            <w:pPr>
              <w:jc w:val="both"/>
              <w:rPr>
                <w:sz w:val="20"/>
                <w:szCs w:val="20"/>
              </w:rPr>
            </w:pPr>
          </w:p>
        </w:tc>
      </w:tr>
      <w:tr w:rsidR="00074551" w:rsidRPr="00E50B51" w14:paraId="2DDABCC5" w14:textId="77777777" w:rsidTr="00BE689F">
        <w:trPr>
          <w:cantSplit/>
          <w:trHeight w:val="3175"/>
        </w:trPr>
        <w:tc>
          <w:tcPr>
            <w:tcW w:w="293" w:type="pct"/>
          </w:tcPr>
          <w:p w14:paraId="7195B8E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7E34186" w14:textId="77777777" w:rsidR="00074551" w:rsidRPr="00E50B51" w:rsidRDefault="00074551" w:rsidP="00367133">
            <w:pPr>
              <w:ind w:left="113" w:right="416"/>
              <w:jc w:val="both"/>
              <w:rPr>
                <w:sz w:val="20"/>
                <w:szCs w:val="20"/>
              </w:rPr>
            </w:pPr>
            <w:r w:rsidRPr="009E57E1">
              <w:rPr>
                <w:i/>
                <w:sz w:val="20"/>
                <w:szCs w:val="20"/>
              </w:rPr>
              <w:t>Stanley v. Georgia</w:t>
            </w:r>
          </w:p>
        </w:tc>
        <w:tc>
          <w:tcPr>
            <w:tcW w:w="197" w:type="pct"/>
            <w:textDirection w:val="tbRl"/>
            <w:vAlign w:val="center"/>
          </w:tcPr>
          <w:p w14:paraId="04556FCD" w14:textId="77777777" w:rsidR="00074551" w:rsidRPr="00E50B51" w:rsidRDefault="00074551" w:rsidP="00367133">
            <w:pPr>
              <w:ind w:left="113" w:right="113"/>
              <w:jc w:val="both"/>
              <w:rPr>
                <w:sz w:val="20"/>
                <w:szCs w:val="20"/>
              </w:rPr>
            </w:pPr>
            <w:r w:rsidRPr="00E50B51">
              <w:rPr>
                <w:sz w:val="20"/>
                <w:szCs w:val="20"/>
                <w:lang w:val="en-US"/>
              </w:rPr>
              <w:t>394 U.S. 557</w:t>
            </w:r>
          </w:p>
        </w:tc>
        <w:tc>
          <w:tcPr>
            <w:tcW w:w="306" w:type="pct"/>
            <w:textDirection w:val="tbRl"/>
            <w:vAlign w:val="center"/>
          </w:tcPr>
          <w:p w14:paraId="5CAEAED6" w14:textId="77777777" w:rsidR="00074551" w:rsidRPr="00E50B51" w:rsidRDefault="00074551" w:rsidP="00367133">
            <w:pPr>
              <w:ind w:left="113" w:right="113"/>
              <w:jc w:val="both"/>
              <w:rPr>
                <w:sz w:val="20"/>
                <w:szCs w:val="20"/>
              </w:rPr>
            </w:pPr>
            <w:r w:rsidRPr="00E50B51">
              <w:rPr>
                <w:sz w:val="20"/>
                <w:szCs w:val="20"/>
                <w:lang w:val="en-US"/>
              </w:rPr>
              <w:t>7. April 1969</w:t>
            </w:r>
          </w:p>
        </w:tc>
        <w:tc>
          <w:tcPr>
            <w:tcW w:w="401" w:type="pct"/>
          </w:tcPr>
          <w:p w14:paraId="34763DC1"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372BF22D" w14:textId="77777777" w:rsidR="00074551" w:rsidRPr="00E50B51" w:rsidRDefault="00074551" w:rsidP="00367133">
            <w:pPr>
              <w:jc w:val="both"/>
              <w:rPr>
                <w:sz w:val="20"/>
                <w:szCs w:val="20"/>
              </w:rPr>
            </w:pPr>
            <w:r w:rsidRPr="00E50B51">
              <w:rPr>
                <w:sz w:val="20"/>
                <w:szCs w:val="20"/>
              </w:rPr>
              <w:t>*</w:t>
            </w:r>
          </w:p>
          <w:p w14:paraId="2BF672C1" w14:textId="77777777" w:rsidR="00074551" w:rsidRPr="00E50B51" w:rsidRDefault="00074551" w:rsidP="00367133">
            <w:pPr>
              <w:jc w:val="both"/>
              <w:rPr>
                <w:sz w:val="20"/>
                <w:szCs w:val="20"/>
              </w:rPr>
            </w:pPr>
          </w:p>
        </w:tc>
        <w:tc>
          <w:tcPr>
            <w:tcW w:w="1822" w:type="pct"/>
          </w:tcPr>
          <w:p w14:paraId="289D17C1" w14:textId="77777777" w:rsidR="00074551" w:rsidRPr="00F037AD" w:rsidRDefault="00074551" w:rsidP="00367133">
            <w:pPr>
              <w:jc w:val="both"/>
              <w:rPr>
                <w:sz w:val="20"/>
                <w:szCs w:val="20"/>
              </w:rPr>
            </w:pPr>
            <w:r w:rsidRPr="00F037AD">
              <w:rPr>
                <w:sz w:val="20"/>
                <w:szCs w:val="20"/>
              </w:rPr>
              <w:t xml:space="preserve">Der </w:t>
            </w:r>
            <w:r>
              <w:rPr>
                <w:sz w:val="20"/>
                <w:szCs w:val="20"/>
              </w:rPr>
              <w:t>U.S. Supreme Court</w:t>
            </w:r>
            <w:r w:rsidRPr="00F037AD">
              <w:rPr>
                <w:sz w:val="20"/>
                <w:szCs w:val="20"/>
              </w:rPr>
              <w:t xml:space="preserve"> erklärte in </w:t>
            </w:r>
            <w:r w:rsidRPr="5B67C1D2">
              <w:rPr>
                <w:i/>
                <w:iCs/>
                <w:sz w:val="20"/>
                <w:szCs w:val="20"/>
              </w:rPr>
              <w:t>Stanley v. Georgia</w:t>
            </w:r>
            <w:r>
              <w:rPr>
                <w:sz w:val="20"/>
                <w:szCs w:val="20"/>
              </w:rPr>
              <w:t>,</w:t>
            </w:r>
            <w:r w:rsidRPr="00F037AD">
              <w:rPr>
                <w:sz w:val="20"/>
                <w:szCs w:val="20"/>
                <w:vertAlign w:val="superscript"/>
              </w:rPr>
              <w:footnoteReference w:id="1349"/>
            </w:r>
            <w:r w:rsidRPr="00F037AD">
              <w:rPr>
                <w:sz w:val="20"/>
                <w:szCs w:val="20"/>
              </w:rPr>
              <w:t xml:space="preserve"> </w:t>
            </w:r>
            <w:proofErr w:type="gramStart"/>
            <w:r>
              <w:rPr>
                <w:sz w:val="20"/>
                <w:szCs w:val="20"/>
              </w:rPr>
              <w:t>das</w:t>
            </w:r>
            <w:proofErr w:type="gramEnd"/>
            <w:r w:rsidRPr="00F037AD">
              <w:rPr>
                <w:sz w:val="20"/>
                <w:szCs w:val="20"/>
              </w:rPr>
              <w:t xml:space="preserve"> die Privatsphäre als eine Bedingung von Glück grundsätzlich freizuhalten sei von staatlichen Eingriffen („For also fundamental </w:t>
            </w:r>
            <w:proofErr w:type="spellStart"/>
            <w:r w:rsidRPr="00F037AD">
              <w:rPr>
                <w:sz w:val="20"/>
                <w:szCs w:val="20"/>
              </w:rPr>
              <w:t>is</w:t>
            </w:r>
            <w:proofErr w:type="spellEnd"/>
            <w:r w:rsidRPr="00F037AD">
              <w:rPr>
                <w:sz w:val="20"/>
                <w:szCs w:val="20"/>
              </w:rPr>
              <w:t xml:space="preserve"> the </w:t>
            </w:r>
            <w:proofErr w:type="spellStart"/>
            <w:r w:rsidRPr="00F037AD">
              <w:rPr>
                <w:sz w:val="20"/>
                <w:szCs w:val="20"/>
              </w:rPr>
              <w:t>right</w:t>
            </w:r>
            <w:proofErr w:type="spellEnd"/>
            <w:r w:rsidRPr="00F037AD">
              <w:rPr>
                <w:sz w:val="20"/>
                <w:szCs w:val="20"/>
              </w:rPr>
              <w:t xml:space="preserve"> to </w:t>
            </w:r>
            <w:proofErr w:type="spellStart"/>
            <w:r w:rsidRPr="00F037AD">
              <w:rPr>
                <w:sz w:val="20"/>
                <w:szCs w:val="20"/>
              </w:rPr>
              <w:t>be</w:t>
            </w:r>
            <w:proofErr w:type="spellEnd"/>
            <w:r w:rsidRPr="00F037AD">
              <w:rPr>
                <w:sz w:val="20"/>
                <w:szCs w:val="20"/>
              </w:rPr>
              <w:t xml:space="preserve"> </w:t>
            </w:r>
            <w:proofErr w:type="spellStart"/>
            <w:r w:rsidRPr="00F037AD">
              <w:rPr>
                <w:sz w:val="20"/>
                <w:szCs w:val="20"/>
              </w:rPr>
              <w:t>free</w:t>
            </w:r>
            <w:proofErr w:type="spellEnd"/>
            <w:r w:rsidRPr="00F037AD">
              <w:rPr>
                <w:sz w:val="20"/>
                <w:szCs w:val="20"/>
              </w:rPr>
              <w:t xml:space="preserve">, </w:t>
            </w:r>
            <w:proofErr w:type="spellStart"/>
            <w:r w:rsidRPr="00F037AD">
              <w:rPr>
                <w:sz w:val="20"/>
                <w:szCs w:val="20"/>
              </w:rPr>
              <w:t>except</w:t>
            </w:r>
            <w:proofErr w:type="spellEnd"/>
            <w:r w:rsidRPr="00F037AD">
              <w:rPr>
                <w:sz w:val="20"/>
                <w:szCs w:val="20"/>
              </w:rPr>
              <w:t xml:space="preserve"> in </w:t>
            </w:r>
            <w:proofErr w:type="spellStart"/>
            <w:r w:rsidRPr="00F037AD">
              <w:rPr>
                <w:sz w:val="20"/>
                <w:szCs w:val="20"/>
              </w:rPr>
              <w:t>very</w:t>
            </w:r>
            <w:proofErr w:type="spellEnd"/>
            <w:r w:rsidRPr="00F037AD">
              <w:rPr>
                <w:sz w:val="20"/>
                <w:szCs w:val="20"/>
              </w:rPr>
              <w:t xml:space="preserve"> limited </w:t>
            </w:r>
            <w:proofErr w:type="spellStart"/>
            <w:r w:rsidRPr="00F037AD">
              <w:rPr>
                <w:sz w:val="20"/>
                <w:szCs w:val="20"/>
              </w:rPr>
              <w:t>circumstances</w:t>
            </w:r>
            <w:proofErr w:type="spellEnd"/>
            <w:r w:rsidRPr="00F037AD">
              <w:rPr>
                <w:sz w:val="20"/>
                <w:szCs w:val="20"/>
              </w:rPr>
              <w:t xml:space="preserve">, </w:t>
            </w:r>
            <w:proofErr w:type="spellStart"/>
            <w:r w:rsidRPr="00F037AD">
              <w:rPr>
                <w:sz w:val="20"/>
                <w:szCs w:val="20"/>
              </w:rPr>
              <w:t>from</w:t>
            </w:r>
            <w:proofErr w:type="spellEnd"/>
            <w:r w:rsidRPr="00F037AD">
              <w:rPr>
                <w:sz w:val="20"/>
                <w:szCs w:val="20"/>
              </w:rPr>
              <w:t xml:space="preserve"> </w:t>
            </w:r>
            <w:proofErr w:type="spellStart"/>
            <w:r w:rsidRPr="00F037AD">
              <w:rPr>
                <w:sz w:val="20"/>
                <w:szCs w:val="20"/>
              </w:rPr>
              <w:t>unwanted</w:t>
            </w:r>
            <w:proofErr w:type="spellEnd"/>
            <w:r w:rsidRPr="00F037AD">
              <w:rPr>
                <w:sz w:val="20"/>
                <w:szCs w:val="20"/>
              </w:rPr>
              <w:t xml:space="preserve"> </w:t>
            </w:r>
            <w:proofErr w:type="spellStart"/>
            <w:r w:rsidRPr="00F037AD">
              <w:rPr>
                <w:sz w:val="20"/>
                <w:szCs w:val="20"/>
              </w:rPr>
              <w:t>governmental</w:t>
            </w:r>
            <w:proofErr w:type="spellEnd"/>
            <w:r w:rsidRPr="00F037AD">
              <w:rPr>
                <w:sz w:val="20"/>
                <w:szCs w:val="20"/>
              </w:rPr>
              <w:t xml:space="preserve"> </w:t>
            </w:r>
            <w:proofErr w:type="spellStart"/>
            <w:r w:rsidRPr="00F037AD">
              <w:rPr>
                <w:sz w:val="20"/>
                <w:szCs w:val="20"/>
              </w:rPr>
              <w:t>intrusions</w:t>
            </w:r>
            <w:proofErr w:type="spellEnd"/>
            <w:r w:rsidRPr="00F037AD">
              <w:rPr>
                <w:sz w:val="20"/>
                <w:szCs w:val="20"/>
              </w:rPr>
              <w:t xml:space="preserve"> </w:t>
            </w:r>
            <w:proofErr w:type="spellStart"/>
            <w:r w:rsidRPr="00F037AD">
              <w:rPr>
                <w:sz w:val="20"/>
                <w:szCs w:val="20"/>
              </w:rPr>
              <w:t>into</w:t>
            </w:r>
            <w:proofErr w:type="spellEnd"/>
            <w:r w:rsidRPr="00F037AD">
              <w:rPr>
                <w:sz w:val="20"/>
                <w:szCs w:val="20"/>
              </w:rPr>
              <w:t xml:space="preserve"> </w:t>
            </w:r>
            <w:proofErr w:type="spellStart"/>
            <w:r w:rsidRPr="00F037AD">
              <w:rPr>
                <w:sz w:val="20"/>
                <w:szCs w:val="20"/>
              </w:rPr>
              <w:t>one</w:t>
            </w:r>
            <w:r>
              <w:rPr>
                <w:sz w:val="20"/>
                <w:szCs w:val="20"/>
              </w:rPr>
              <w:t>’</w:t>
            </w:r>
            <w:r w:rsidRPr="00F037AD">
              <w:rPr>
                <w:sz w:val="20"/>
                <w:szCs w:val="20"/>
              </w:rPr>
              <w:t>s</w:t>
            </w:r>
            <w:proofErr w:type="spellEnd"/>
            <w:r w:rsidRPr="00F037AD">
              <w:rPr>
                <w:sz w:val="20"/>
                <w:szCs w:val="20"/>
              </w:rPr>
              <w:t xml:space="preserve"> </w:t>
            </w:r>
            <w:proofErr w:type="spellStart"/>
            <w:r w:rsidRPr="00F037AD">
              <w:rPr>
                <w:sz w:val="20"/>
                <w:szCs w:val="20"/>
              </w:rPr>
              <w:t>privacy</w:t>
            </w:r>
            <w:proofErr w:type="spellEnd"/>
            <w:r w:rsidRPr="00F037AD">
              <w:rPr>
                <w:sz w:val="20"/>
                <w:szCs w:val="20"/>
              </w:rPr>
              <w:t>“</w:t>
            </w:r>
            <w:r w:rsidRPr="00F037AD">
              <w:rPr>
                <w:sz w:val="20"/>
                <w:szCs w:val="20"/>
                <w:vertAlign w:val="superscript"/>
                <w:lang w:val="en-US"/>
              </w:rPr>
              <w:footnoteReference w:id="1350"/>
            </w:r>
            <w:r w:rsidRPr="00F037AD">
              <w:rPr>
                <w:sz w:val="20"/>
                <w:szCs w:val="20"/>
              </w:rPr>
              <w:t xml:space="preserve">). Der </w:t>
            </w:r>
            <w:r>
              <w:rPr>
                <w:sz w:val="20"/>
                <w:szCs w:val="20"/>
              </w:rPr>
              <w:t>U.S. Supreme Court</w:t>
            </w:r>
            <w:r w:rsidRPr="00F037AD">
              <w:rPr>
                <w:sz w:val="20"/>
                <w:szCs w:val="20"/>
              </w:rPr>
              <w:t xml:space="preserve"> äußerte sich zu zwei Ausprägungen als Folge, dass jenes Recht eine Bedingung des Strebens nach Glück sei („</w:t>
            </w:r>
            <w:proofErr w:type="spellStart"/>
            <w:r w:rsidRPr="00F037AD">
              <w:rPr>
                <w:sz w:val="20"/>
                <w:szCs w:val="20"/>
              </w:rPr>
              <w:t>conditions</w:t>
            </w:r>
            <w:proofErr w:type="spellEnd"/>
            <w:r w:rsidRPr="00F037AD">
              <w:rPr>
                <w:sz w:val="20"/>
                <w:szCs w:val="20"/>
              </w:rPr>
              <w:t xml:space="preserve"> favorable to the </w:t>
            </w:r>
            <w:proofErr w:type="spellStart"/>
            <w:r w:rsidRPr="00F037AD">
              <w:rPr>
                <w:sz w:val="20"/>
                <w:szCs w:val="20"/>
              </w:rPr>
              <w:t>pursuit</w:t>
            </w:r>
            <w:proofErr w:type="spellEnd"/>
            <w:r w:rsidRPr="00F037AD">
              <w:rPr>
                <w:sz w:val="20"/>
                <w:szCs w:val="20"/>
              </w:rPr>
              <w:t xml:space="preserve"> of </w:t>
            </w:r>
            <w:proofErr w:type="spellStart"/>
            <w:r w:rsidRPr="00F037AD">
              <w:rPr>
                <w:sz w:val="20"/>
                <w:szCs w:val="20"/>
              </w:rPr>
              <w:t>happiness</w:t>
            </w:r>
            <w:proofErr w:type="spellEnd"/>
            <w:r w:rsidRPr="00F037AD">
              <w:rPr>
                <w:sz w:val="20"/>
                <w:szCs w:val="20"/>
              </w:rPr>
              <w:t>“</w:t>
            </w:r>
            <w:r w:rsidRPr="00F037AD">
              <w:rPr>
                <w:sz w:val="20"/>
                <w:szCs w:val="20"/>
                <w:vertAlign w:val="superscript"/>
              </w:rPr>
              <w:footnoteReference w:id="1351"/>
            </w:r>
            <w:r w:rsidRPr="00F037AD">
              <w:rPr>
                <w:sz w:val="20"/>
                <w:szCs w:val="20"/>
              </w:rPr>
              <w:t>): Einerseits bestehe das Grundrecht</w:t>
            </w:r>
            <w:r>
              <w:rPr>
                <w:sz w:val="20"/>
                <w:szCs w:val="20"/>
              </w:rPr>
              <w:t>,</w:t>
            </w:r>
            <w:r w:rsidRPr="00F037AD">
              <w:rPr>
                <w:sz w:val="20"/>
                <w:szCs w:val="20"/>
              </w:rPr>
              <w:t xml:space="preserve"> von unerwünschten staatlichen Eingriffen in die Privatsphäre verschont zu bleiben, außer unter sehr begrenzten Umständen. Andererseits sei jeder frei darin, Ideen und Informationen zu konsumieren</w:t>
            </w:r>
            <w:r>
              <w:rPr>
                <w:sz w:val="20"/>
                <w:szCs w:val="20"/>
              </w:rPr>
              <w:t>,</w:t>
            </w:r>
            <w:r w:rsidRPr="00F037AD">
              <w:rPr>
                <w:sz w:val="20"/>
                <w:szCs w:val="20"/>
              </w:rPr>
              <w:t xml:space="preserve"> unabhängig </w:t>
            </w:r>
            <w:r>
              <w:rPr>
                <w:sz w:val="20"/>
                <w:szCs w:val="20"/>
              </w:rPr>
              <w:t>von ihrem Inhalt</w:t>
            </w:r>
            <w:r w:rsidRPr="00F037AD">
              <w:rPr>
                <w:sz w:val="20"/>
                <w:szCs w:val="20"/>
              </w:rPr>
              <w:t xml:space="preserve">. Das falle auch unter den Schutzbereich der Meinungs- und Pressefreiheit („This </w:t>
            </w:r>
            <w:proofErr w:type="spellStart"/>
            <w:r w:rsidRPr="00F037AD">
              <w:rPr>
                <w:sz w:val="20"/>
                <w:szCs w:val="20"/>
              </w:rPr>
              <w:t>freedom</w:t>
            </w:r>
            <w:proofErr w:type="spellEnd"/>
            <w:r w:rsidRPr="00F037AD">
              <w:rPr>
                <w:sz w:val="20"/>
                <w:szCs w:val="20"/>
              </w:rPr>
              <w:t xml:space="preserve"> [of </w:t>
            </w:r>
            <w:proofErr w:type="spellStart"/>
            <w:r w:rsidRPr="00F037AD">
              <w:rPr>
                <w:sz w:val="20"/>
                <w:szCs w:val="20"/>
              </w:rPr>
              <w:t>speech</w:t>
            </w:r>
            <w:proofErr w:type="spellEnd"/>
            <w:r w:rsidRPr="00F037AD">
              <w:rPr>
                <w:sz w:val="20"/>
                <w:szCs w:val="20"/>
              </w:rPr>
              <w:t xml:space="preserve"> and press] </w:t>
            </w:r>
            <w:r>
              <w:rPr>
                <w:sz w:val="20"/>
                <w:szCs w:val="20"/>
              </w:rPr>
              <w:t>…</w:t>
            </w:r>
            <w:r w:rsidRPr="00F037AD">
              <w:rPr>
                <w:sz w:val="20"/>
                <w:szCs w:val="20"/>
              </w:rPr>
              <w:t xml:space="preserve"> </w:t>
            </w:r>
            <w:proofErr w:type="spellStart"/>
            <w:r w:rsidRPr="00F037AD">
              <w:rPr>
                <w:sz w:val="20"/>
                <w:szCs w:val="20"/>
              </w:rPr>
              <w:t>necessarily</w:t>
            </w:r>
            <w:proofErr w:type="spellEnd"/>
            <w:r w:rsidRPr="00F037AD">
              <w:rPr>
                <w:sz w:val="20"/>
                <w:szCs w:val="20"/>
              </w:rPr>
              <w:t xml:space="preserve"> </w:t>
            </w:r>
            <w:proofErr w:type="spellStart"/>
            <w:r w:rsidRPr="00F037AD">
              <w:rPr>
                <w:sz w:val="20"/>
                <w:szCs w:val="20"/>
              </w:rPr>
              <w:t>protects</w:t>
            </w:r>
            <w:proofErr w:type="spellEnd"/>
            <w:r w:rsidRPr="00F037AD">
              <w:rPr>
                <w:sz w:val="20"/>
                <w:szCs w:val="20"/>
              </w:rPr>
              <w:t xml:space="preserve"> the </w:t>
            </w:r>
            <w:proofErr w:type="spellStart"/>
            <w:r w:rsidRPr="00F037AD">
              <w:rPr>
                <w:sz w:val="20"/>
                <w:szCs w:val="20"/>
              </w:rPr>
              <w:t>right</w:t>
            </w:r>
            <w:proofErr w:type="spellEnd"/>
            <w:r w:rsidRPr="00F037AD">
              <w:rPr>
                <w:sz w:val="20"/>
                <w:szCs w:val="20"/>
              </w:rPr>
              <w:t xml:space="preserve"> to </w:t>
            </w:r>
            <w:proofErr w:type="spellStart"/>
            <w:r w:rsidRPr="00F037AD">
              <w:rPr>
                <w:sz w:val="20"/>
                <w:szCs w:val="20"/>
              </w:rPr>
              <w:t>receive</w:t>
            </w:r>
            <w:proofErr w:type="spellEnd"/>
            <w:r w:rsidRPr="00F037AD">
              <w:rPr>
                <w:sz w:val="20"/>
                <w:szCs w:val="20"/>
              </w:rPr>
              <w:t>“</w:t>
            </w:r>
            <w:r w:rsidRPr="00F037AD">
              <w:rPr>
                <w:sz w:val="20"/>
                <w:szCs w:val="20"/>
                <w:vertAlign w:val="superscript"/>
              </w:rPr>
              <w:footnoteReference w:id="1352"/>
            </w:r>
            <w:r w:rsidRPr="00F037AD">
              <w:rPr>
                <w:sz w:val="20"/>
                <w:szCs w:val="20"/>
              </w:rPr>
              <w:t>). Beide Merkmale verletzte ein Gesetz, auf Grundlage dessen die Polizei obszönes Material bei einer Durchsuchung in einer Wohnung gefunden hatte und dessen Besitz bestraft wurde. Denn dieser Bereich falle unter die Privatsphäre.</w:t>
            </w:r>
            <w:r w:rsidRPr="00F037AD">
              <w:rPr>
                <w:sz w:val="20"/>
                <w:szCs w:val="20"/>
                <w:vertAlign w:val="superscript"/>
              </w:rPr>
              <w:footnoteReference w:id="1353"/>
            </w:r>
          </w:p>
          <w:p w14:paraId="2DA4FF16" w14:textId="77777777" w:rsidR="00074551" w:rsidRPr="00E50B51" w:rsidRDefault="00074551" w:rsidP="00367133">
            <w:pPr>
              <w:jc w:val="both"/>
              <w:rPr>
                <w:sz w:val="20"/>
                <w:szCs w:val="20"/>
              </w:rPr>
            </w:pPr>
          </w:p>
        </w:tc>
      </w:tr>
      <w:tr w:rsidR="00074551" w:rsidRPr="00E50B51" w14:paraId="1D3B732F" w14:textId="77777777" w:rsidTr="00BE689F">
        <w:trPr>
          <w:cantSplit/>
          <w:trHeight w:val="3175"/>
        </w:trPr>
        <w:tc>
          <w:tcPr>
            <w:tcW w:w="293" w:type="pct"/>
          </w:tcPr>
          <w:p w14:paraId="3B8899DF"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283E4B8" w14:textId="77777777" w:rsidR="00074551" w:rsidRPr="00E50B51" w:rsidRDefault="00074551" w:rsidP="00367133">
            <w:pPr>
              <w:ind w:left="113" w:right="416"/>
              <w:jc w:val="both"/>
              <w:rPr>
                <w:sz w:val="20"/>
                <w:szCs w:val="20"/>
              </w:rPr>
            </w:pPr>
            <w:r w:rsidRPr="009167A5">
              <w:rPr>
                <w:i/>
                <w:sz w:val="20"/>
                <w:szCs w:val="20"/>
              </w:rPr>
              <w:t xml:space="preserve">Washington v. </w:t>
            </w:r>
            <w:proofErr w:type="spellStart"/>
            <w:r w:rsidRPr="009167A5">
              <w:rPr>
                <w:i/>
                <w:sz w:val="20"/>
                <w:szCs w:val="20"/>
              </w:rPr>
              <w:t>Glucksberg</w:t>
            </w:r>
            <w:proofErr w:type="spellEnd"/>
          </w:p>
        </w:tc>
        <w:tc>
          <w:tcPr>
            <w:tcW w:w="197" w:type="pct"/>
            <w:textDirection w:val="tbRl"/>
            <w:vAlign w:val="center"/>
          </w:tcPr>
          <w:p w14:paraId="18EA1F1E" w14:textId="77777777" w:rsidR="00074551" w:rsidRPr="00E50B51" w:rsidRDefault="00074551" w:rsidP="00367133">
            <w:pPr>
              <w:ind w:left="113" w:right="113"/>
              <w:jc w:val="both"/>
              <w:rPr>
                <w:sz w:val="20"/>
                <w:szCs w:val="20"/>
              </w:rPr>
            </w:pPr>
            <w:r w:rsidRPr="00E50B51">
              <w:rPr>
                <w:sz w:val="20"/>
                <w:szCs w:val="20"/>
                <w:lang w:val="en-US"/>
              </w:rPr>
              <w:t>521 U.S. 702</w:t>
            </w:r>
          </w:p>
        </w:tc>
        <w:tc>
          <w:tcPr>
            <w:tcW w:w="306" w:type="pct"/>
            <w:textDirection w:val="tbRl"/>
            <w:vAlign w:val="center"/>
          </w:tcPr>
          <w:p w14:paraId="68B8852F" w14:textId="77777777" w:rsidR="00074551" w:rsidRPr="00E50B51" w:rsidRDefault="00074551" w:rsidP="00367133">
            <w:pPr>
              <w:ind w:left="113" w:right="113"/>
              <w:jc w:val="both"/>
              <w:rPr>
                <w:sz w:val="20"/>
                <w:szCs w:val="20"/>
              </w:rPr>
            </w:pPr>
            <w:r w:rsidRPr="00E50B51">
              <w:rPr>
                <w:sz w:val="20"/>
                <w:szCs w:val="20"/>
              </w:rPr>
              <w:t>26. Juni 1997</w:t>
            </w:r>
          </w:p>
        </w:tc>
        <w:tc>
          <w:tcPr>
            <w:tcW w:w="401" w:type="pct"/>
          </w:tcPr>
          <w:p w14:paraId="09DA5144" w14:textId="77777777" w:rsidR="00074551" w:rsidRPr="00E50B51" w:rsidRDefault="00074551" w:rsidP="00367133">
            <w:pPr>
              <w:jc w:val="center"/>
              <w:rPr>
                <w:sz w:val="20"/>
                <w:szCs w:val="20"/>
              </w:rPr>
            </w:pPr>
            <w:r w:rsidRPr="00E50B51">
              <w:rPr>
                <w:sz w:val="20"/>
                <w:szCs w:val="20"/>
              </w:rPr>
              <w:t>C</w:t>
            </w:r>
          </w:p>
        </w:tc>
        <w:tc>
          <w:tcPr>
            <w:tcW w:w="1594" w:type="pct"/>
          </w:tcPr>
          <w:p w14:paraId="176C547A" w14:textId="77777777" w:rsidR="00074551" w:rsidRPr="00E50B51" w:rsidRDefault="00074551" w:rsidP="00367133">
            <w:pPr>
              <w:jc w:val="both"/>
              <w:rPr>
                <w:sz w:val="20"/>
                <w:szCs w:val="20"/>
              </w:rPr>
            </w:pPr>
            <w:r w:rsidRPr="00E50B51">
              <w:rPr>
                <w:sz w:val="20"/>
                <w:szCs w:val="20"/>
              </w:rPr>
              <w:t>*</w:t>
            </w:r>
          </w:p>
        </w:tc>
        <w:tc>
          <w:tcPr>
            <w:tcW w:w="1822" w:type="pct"/>
          </w:tcPr>
          <w:p w14:paraId="31F19DB2" w14:textId="1826B89A" w:rsidR="00074551" w:rsidRPr="00E50B51" w:rsidRDefault="00074551" w:rsidP="00367133">
            <w:pPr>
              <w:tabs>
                <w:tab w:val="left" w:pos="4678"/>
              </w:tabs>
              <w:jc w:val="both"/>
              <w:rPr>
                <w:sz w:val="20"/>
                <w:szCs w:val="20"/>
              </w:rPr>
            </w:pPr>
            <w:r w:rsidRPr="003B1467">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 xml:space="preserve"> </w:t>
            </w:r>
            <w:r w:rsidRPr="003B1467">
              <w:rPr>
                <w:sz w:val="20"/>
                <w:szCs w:val="20"/>
              </w:rPr>
              <w:t xml:space="preserve">urteilte zunächst, die Bedingungen für Glücksstreben schützt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lang w:val="en-US"/>
              </w:rPr>
              <w:t xml:space="preserve"> („the Fourteenth Amendment protected […] those privileges long recognized at common law as essential to the orderly pursuit of happiness by free men“</w:t>
            </w:r>
            <w:r w:rsidRPr="003B1467">
              <w:rPr>
                <w:sz w:val="20"/>
                <w:szCs w:val="20"/>
                <w:vertAlign w:val="superscript"/>
                <w:lang w:val="en-US"/>
              </w:rPr>
              <w:footnoteReference w:id="1354"/>
            </w:r>
            <w:r w:rsidRPr="00B45592">
              <w:rPr>
                <w:sz w:val="20"/>
                <w:szCs w:val="20"/>
                <w:lang w:val="en-IE"/>
              </w:rPr>
              <w:t xml:space="preserve">). </w:t>
            </w:r>
            <w:r w:rsidRPr="003B1467">
              <w:rPr>
                <w:sz w:val="20"/>
                <w:szCs w:val="20"/>
              </w:rPr>
              <w:t>Und diese Bedingungen konstituier</w:t>
            </w:r>
            <w:r>
              <w:rPr>
                <w:sz w:val="20"/>
                <w:szCs w:val="20"/>
              </w:rPr>
              <w:t>t</w:t>
            </w:r>
            <w:r w:rsidRPr="003B1467">
              <w:rPr>
                <w:sz w:val="20"/>
                <w:szCs w:val="20"/>
              </w:rPr>
              <w:t>en eine Willkürprüfung für Gesetz auf Ebene des Verfassungsrechts („</w:t>
            </w:r>
            <w:proofErr w:type="spellStart"/>
            <w:r w:rsidRPr="003B1467">
              <w:rPr>
                <w:sz w:val="20"/>
                <w:szCs w:val="20"/>
              </w:rPr>
              <w:t>criterion</w:t>
            </w:r>
            <w:proofErr w:type="spellEnd"/>
            <w:r w:rsidRPr="003B1467">
              <w:rPr>
                <w:sz w:val="20"/>
                <w:szCs w:val="20"/>
              </w:rPr>
              <w:t xml:space="preserve"> in </w:t>
            </w:r>
            <w:proofErr w:type="spellStart"/>
            <w:r w:rsidRPr="003B1467">
              <w:rPr>
                <w:sz w:val="20"/>
                <w:szCs w:val="20"/>
              </w:rPr>
              <w:t>converse</w:t>
            </w:r>
            <w:proofErr w:type="spellEnd"/>
            <w:r w:rsidRPr="003B1467">
              <w:rPr>
                <w:sz w:val="20"/>
                <w:szCs w:val="20"/>
              </w:rPr>
              <w:t xml:space="preserve"> </w:t>
            </w:r>
            <w:proofErr w:type="spellStart"/>
            <w:r w:rsidRPr="003B1467">
              <w:rPr>
                <w:sz w:val="20"/>
                <w:szCs w:val="20"/>
              </w:rPr>
              <w:t>terms</w:t>
            </w:r>
            <w:proofErr w:type="spellEnd"/>
            <w:r w:rsidRPr="003B1467">
              <w:rPr>
                <w:sz w:val="20"/>
                <w:szCs w:val="20"/>
              </w:rPr>
              <w:t xml:space="preserve"> of </w:t>
            </w:r>
            <w:proofErr w:type="spellStart"/>
            <w:r w:rsidRPr="003B1467">
              <w:rPr>
                <w:sz w:val="20"/>
                <w:szCs w:val="20"/>
              </w:rPr>
              <w:t>reasonableness</w:t>
            </w:r>
            <w:proofErr w:type="spellEnd"/>
            <w:r w:rsidRPr="003B1467">
              <w:rPr>
                <w:sz w:val="20"/>
                <w:szCs w:val="20"/>
              </w:rPr>
              <w:t xml:space="preserve"> </w:t>
            </w:r>
            <w:proofErr w:type="spellStart"/>
            <w:r w:rsidRPr="003B1467">
              <w:rPr>
                <w:sz w:val="20"/>
                <w:szCs w:val="20"/>
              </w:rPr>
              <w:t>or</w:t>
            </w:r>
            <w:proofErr w:type="spellEnd"/>
            <w:r w:rsidRPr="003B1467">
              <w:rPr>
                <w:sz w:val="20"/>
                <w:szCs w:val="20"/>
              </w:rPr>
              <w:t xml:space="preserve"> </w:t>
            </w:r>
            <w:proofErr w:type="spellStart"/>
            <w:r w:rsidRPr="003B1467">
              <w:rPr>
                <w:sz w:val="20"/>
                <w:szCs w:val="20"/>
              </w:rPr>
              <w:t>arbitrariness</w:t>
            </w:r>
            <w:proofErr w:type="spellEnd"/>
            <w:r w:rsidRPr="003B1467">
              <w:rPr>
                <w:sz w:val="20"/>
                <w:szCs w:val="20"/>
              </w:rPr>
              <w:t>“</w:t>
            </w:r>
            <w:r w:rsidRPr="003B1467">
              <w:rPr>
                <w:sz w:val="20"/>
                <w:szCs w:val="20"/>
                <w:vertAlign w:val="superscript"/>
              </w:rPr>
              <w:footnoteReference w:id="1355"/>
            </w:r>
            <w:r w:rsidRPr="003B1467">
              <w:rPr>
                <w:sz w:val="20"/>
                <w:szCs w:val="20"/>
              </w:rPr>
              <w:t xml:space="preserve">). Wie kommt der </w:t>
            </w:r>
            <w:r>
              <w:rPr>
                <w:sz w:val="20"/>
                <w:szCs w:val="20"/>
              </w:rPr>
              <w:t>U.S. Supreme Court</w:t>
            </w:r>
            <w:r w:rsidRPr="003B1467">
              <w:rPr>
                <w:sz w:val="20"/>
                <w:szCs w:val="20"/>
              </w:rPr>
              <w:t xml:space="preserve"> dazu? Er füllt den Wortlaut Freiheit und Eigentum und die </w:t>
            </w:r>
            <w:r>
              <w:rPr>
                <w:sz w:val="20"/>
                <w:szCs w:val="20"/>
              </w:rPr>
              <w:t>D</w:t>
            </w:r>
            <w:r w:rsidRPr="003B1467">
              <w:rPr>
                <w:sz w:val="20"/>
                <w:szCs w:val="20"/>
              </w:rPr>
              <w:t xml:space="preserve">ue </w:t>
            </w:r>
            <w:proofErr w:type="spellStart"/>
            <w:r>
              <w:rPr>
                <w:sz w:val="20"/>
                <w:szCs w:val="20"/>
              </w:rPr>
              <w:t>P</w:t>
            </w:r>
            <w:r w:rsidRPr="003B1467">
              <w:rPr>
                <w:sz w:val="20"/>
                <w:szCs w:val="20"/>
              </w:rPr>
              <w:t>rocess</w:t>
            </w:r>
            <w:proofErr w:type="spellEnd"/>
            <w:r w:rsidRPr="003B1467">
              <w:rPr>
                <w:sz w:val="20"/>
                <w:szCs w:val="20"/>
              </w:rPr>
              <w:t xml:space="preserve"> </w:t>
            </w:r>
            <w:proofErr w:type="spellStart"/>
            <w:r>
              <w:rPr>
                <w:sz w:val="20"/>
                <w:szCs w:val="20"/>
              </w:rPr>
              <w:t>C</w:t>
            </w:r>
            <w:r w:rsidRPr="003B1467">
              <w:rPr>
                <w:sz w:val="20"/>
                <w:szCs w:val="20"/>
              </w:rPr>
              <w:t>lause</w:t>
            </w:r>
            <w:proofErr w:type="spellEnd"/>
            <w:r w:rsidRPr="003B1467">
              <w:rPr>
                <w:sz w:val="20"/>
                <w:szCs w:val="20"/>
              </w:rPr>
              <w:t xml:space="preserve"> </w:t>
            </w:r>
            <w:r>
              <w:rPr>
                <w:sz w:val="20"/>
                <w:szCs w:val="20"/>
              </w:rPr>
              <w:t>von</w:t>
            </w:r>
            <w:r w:rsidRPr="003B1467">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mit einer Angemessenheits- und Willkürprüfung („</w:t>
            </w:r>
            <w:proofErr w:type="spellStart"/>
            <w:r w:rsidRPr="003B1467">
              <w:rPr>
                <w:sz w:val="20"/>
                <w:szCs w:val="20"/>
              </w:rPr>
              <w:t>reasonableness</w:t>
            </w:r>
            <w:proofErr w:type="spellEnd"/>
            <w:r w:rsidRPr="003B1467">
              <w:rPr>
                <w:sz w:val="20"/>
                <w:szCs w:val="20"/>
              </w:rPr>
              <w:t xml:space="preserve"> </w:t>
            </w:r>
            <w:proofErr w:type="spellStart"/>
            <w:r w:rsidRPr="003B1467">
              <w:rPr>
                <w:sz w:val="20"/>
                <w:szCs w:val="20"/>
              </w:rPr>
              <w:t>or</w:t>
            </w:r>
            <w:proofErr w:type="spellEnd"/>
            <w:r w:rsidRPr="003B1467">
              <w:rPr>
                <w:sz w:val="20"/>
                <w:szCs w:val="20"/>
              </w:rPr>
              <w:t xml:space="preserve"> </w:t>
            </w:r>
            <w:proofErr w:type="spellStart"/>
            <w:r w:rsidRPr="003B1467">
              <w:rPr>
                <w:sz w:val="20"/>
                <w:szCs w:val="20"/>
              </w:rPr>
              <w:t>arbitrariness</w:t>
            </w:r>
            <w:proofErr w:type="spellEnd"/>
            <w:r w:rsidRPr="003B1467">
              <w:rPr>
                <w:sz w:val="20"/>
                <w:szCs w:val="20"/>
              </w:rPr>
              <w:t>“</w:t>
            </w:r>
            <w:r w:rsidRPr="003B1467">
              <w:rPr>
                <w:sz w:val="20"/>
                <w:szCs w:val="20"/>
                <w:vertAlign w:val="superscript"/>
              </w:rPr>
              <w:footnoteReference w:id="1356"/>
            </w:r>
            <w:r w:rsidRPr="003B1467">
              <w:rPr>
                <w:sz w:val="20"/>
                <w:szCs w:val="20"/>
              </w:rPr>
              <w:t xml:space="preserve">) und materiellen Postulaten. Diese Postulate bilden Bedingungen für Glück. Doch wie entwickelten sich diese Postulate bzw. Bedingungen? Historisch gingen sie auf die </w:t>
            </w:r>
            <w:r w:rsidRPr="5B67C1D2">
              <w:rPr>
                <w:i/>
                <w:iCs/>
                <w:sz w:val="20"/>
                <w:szCs w:val="20"/>
              </w:rPr>
              <w:t>Slaughter-House Cases</w:t>
            </w:r>
            <w:r w:rsidRPr="003B1467">
              <w:rPr>
                <w:sz w:val="20"/>
                <w:szCs w:val="20"/>
              </w:rPr>
              <w:t xml:space="preserve"> zurück.</w:t>
            </w:r>
            <w:r w:rsidRPr="003B1467">
              <w:rPr>
                <w:sz w:val="20"/>
                <w:szCs w:val="20"/>
                <w:vertAlign w:val="superscript"/>
              </w:rPr>
              <w:footnoteReference w:id="1357"/>
            </w:r>
            <w:r w:rsidRPr="003B1467">
              <w:rPr>
                <w:sz w:val="20"/>
                <w:szCs w:val="20"/>
              </w:rPr>
              <w:t xml:space="preserve"> In diesen Fällen erklärte der </w:t>
            </w:r>
            <w:r>
              <w:rPr>
                <w:sz w:val="20"/>
                <w:szCs w:val="20"/>
              </w:rPr>
              <w:t>U.S. Supreme Court</w:t>
            </w:r>
            <w:r w:rsidRPr="003B1467">
              <w:rPr>
                <w:sz w:val="20"/>
                <w:szCs w:val="20"/>
              </w:rPr>
              <w:t>, die Berufswahl sei ein Teil von Freiheit – und die Berufsausübung sei ein Teil des Eigentums. Und sowohl Freiheit als auch Eigentum würden nur anerkannt, wenn staatliche Maßnahmen sie nicht willkürlich einschränk</w:t>
            </w:r>
            <w:r>
              <w:rPr>
                <w:sz w:val="20"/>
                <w:szCs w:val="20"/>
              </w:rPr>
              <w:t>t</w:t>
            </w:r>
            <w:r w:rsidRPr="003B1467">
              <w:rPr>
                <w:sz w:val="20"/>
                <w:szCs w:val="20"/>
              </w:rPr>
              <w:t>en („</w:t>
            </w:r>
            <w:proofErr w:type="spellStart"/>
            <w:r w:rsidRPr="003B1467">
              <w:rPr>
                <w:sz w:val="20"/>
                <w:szCs w:val="20"/>
              </w:rPr>
              <w:t>are</w:t>
            </w:r>
            <w:proofErr w:type="spellEnd"/>
            <w:r w:rsidRPr="003B1467">
              <w:rPr>
                <w:sz w:val="20"/>
                <w:szCs w:val="20"/>
              </w:rPr>
              <w:t xml:space="preserve"> not </w:t>
            </w:r>
            <w:proofErr w:type="spellStart"/>
            <w:r w:rsidRPr="003B1467">
              <w:rPr>
                <w:sz w:val="20"/>
                <w:szCs w:val="20"/>
              </w:rPr>
              <w:t>truly</w:t>
            </w:r>
            <w:proofErr w:type="spellEnd"/>
            <w:r w:rsidRPr="003B1467">
              <w:rPr>
                <w:sz w:val="20"/>
                <w:szCs w:val="20"/>
              </w:rPr>
              <w:t xml:space="preserve"> </w:t>
            </w:r>
            <w:proofErr w:type="spellStart"/>
            <w:r w:rsidRPr="003B1467">
              <w:rPr>
                <w:sz w:val="20"/>
                <w:szCs w:val="20"/>
              </w:rPr>
              <w:t>recognized</w:t>
            </w:r>
            <w:proofErr w:type="spellEnd"/>
            <w:r w:rsidRPr="003B1467">
              <w:rPr>
                <w:sz w:val="20"/>
                <w:szCs w:val="20"/>
              </w:rPr>
              <w:t xml:space="preserve"> </w:t>
            </w:r>
            <w:proofErr w:type="spellStart"/>
            <w:r w:rsidRPr="003B1467">
              <w:rPr>
                <w:sz w:val="20"/>
                <w:szCs w:val="20"/>
              </w:rPr>
              <w:t>if</w:t>
            </w:r>
            <w:proofErr w:type="spellEnd"/>
            <w:r w:rsidRPr="003B1467">
              <w:rPr>
                <w:sz w:val="20"/>
                <w:szCs w:val="20"/>
              </w:rPr>
              <w:t xml:space="preserve"> such </w:t>
            </w:r>
            <w:proofErr w:type="spellStart"/>
            <w:r w:rsidRPr="003B1467">
              <w:rPr>
                <w:sz w:val="20"/>
                <w:szCs w:val="20"/>
              </w:rPr>
              <w:t>rights</w:t>
            </w:r>
            <w:proofErr w:type="spellEnd"/>
            <w:r w:rsidRPr="003B1467">
              <w:rPr>
                <w:sz w:val="20"/>
                <w:szCs w:val="20"/>
              </w:rPr>
              <w:t xml:space="preserve"> </w:t>
            </w:r>
            <w:proofErr w:type="spellStart"/>
            <w:r w:rsidRPr="003B1467">
              <w:rPr>
                <w:sz w:val="20"/>
                <w:szCs w:val="20"/>
              </w:rPr>
              <w:t>may</w:t>
            </w:r>
            <w:proofErr w:type="spellEnd"/>
            <w:r w:rsidRPr="003B1467">
              <w:rPr>
                <w:sz w:val="20"/>
                <w:szCs w:val="20"/>
              </w:rPr>
              <w:t xml:space="preserve"> </w:t>
            </w:r>
            <w:proofErr w:type="spellStart"/>
            <w:proofErr w:type="gramStart"/>
            <w:r w:rsidRPr="003B1467">
              <w:rPr>
                <w:sz w:val="20"/>
                <w:szCs w:val="20"/>
              </w:rPr>
              <w:t>be</w:t>
            </w:r>
            <w:proofErr w:type="spellEnd"/>
            <w:r w:rsidRPr="003B1467">
              <w:rPr>
                <w:sz w:val="20"/>
                <w:szCs w:val="20"/>
              </w:rPr>
              <w:t xml:space="preserve"> </w:t>
            </w:r>
            <w:r>
              <w:rPr>
                <w:sz w:val="20"/>
                <w:szCs w:val="20"/>
              </w:rPr>
              <w:t>,</w:t>
            </w:r>
            <w:proofErr w:type="spellStart"/>
            <w:r w:rsidRPr="003B1467">
              <w:rPr>
                <w:sz w:val="20"/>
                <w:szCs w:val="20"/>
              </w:rPr>
              <w:t>arbitrarily</w:t>
            </w:r>
            <w:proofErr w:type="spellEnd"/>
            <w:proofErr w:type="gramEnd"/>
            <w:r w:rsidRPr="003B1467">
              <w:rPr>
                <w:sz w:val="20"/>
                <w:szCs w:val="20"/>
              </w:rPr>
              <w:t xml:space="preserve"> </w:t>
            </w:r>
            <w:proofErr w:type="spellStart"/>
            <w:r w:rsidRPr="003B1467">
              <w:rPr>
                <w:sz w:val="20"/>
                <w:szCs w:val="20"/>
              </w:rPr>
              <w:t>assailed</w:t>
            </w:r>
            <w:proofErr w:type="spellEnd"/>
            <w:r>
              <w:rPr>
                <w:sz w:val="20"/>
                <w:szCs w:val="20"/>
              </w:rPr>
              <w:t>‘</w:t>
            </w:r>
            <w:r w:rsidRPr="003B1467">
              <w:rPr>
                <w:sz w:val="20"/>
                <w:szCs w:val="20"/>
              </w:rPr>
              <w:t>“</w:t>
            </w:r>
            <w:r w:rsidRPr="003B1467">
              <w:rPr>
                <w:sz w:val="20"/>
                <w:szCs w:val="20"/>
                <w:vertAlign w:val="superscript"/>
              </w:rPr>
              <w:footnoteReference w:id="1358"/>
            </w:r>
            <w:r w:rsidRPr="003B1467">
              <w:rPr>
                <w:sz w:val="20"/>
                <w:szCs w:val="20"/>
              </w:rPr>
              <w:t xml:space="preserve">). </w:t>
            </w:r>
            <w:r w:rsidRPr="00B45592">
              <w:rPr>
                <w:sz w:val="20"/>
                <w:szCs w:val="20"/>
              </w:rPr>
              <w:t xml:space="preserve">Anhand dessen bildete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B45592">
              <w:rPr>
                <w:sz w:val="20"/>
                <w:szCs w:val="20"/>
              </w:rPr>
              <w:t xml:space="preserve"> einen verfassungsrechtlichen Prüfungsmaßstab für Gesetze („review legislative </w:t>
            </w:r>
            <w:proofErr w:type="spellStart"/>
            <w:r w:rsidRPr="00B45592">
              <w:rPr>
                <w:sz w:val="20"/>
                <w:szCs w:val="20"/>
              </w:rPr>
              <w:t>action</w:t>
            </w:r>
            <w:proofErr w:type="spellEnd"/>
            <w:r w:rsidRPr="00B45592">
              <w:rPr>
                <w:sz w:val="20"/>
                <w:szCs w:val="20"/>
              </w:rPr>
              <w:t xml:space="preserve"> for </w:t>
            </w:r>
            <w:proofErr w:type="spellStart"/>
            <w:r w:rsidRPr="00B45592">
              <w:rPr>
                <w:sz w:val="20"/>
                <w:szCs w:val="20"/>
              </w:rPr>
              <w:t>consistency</w:t>
            </w:r>
            <w:proofErr w:type="spellEnd"/>
            <w:r w:rsidRPr="00B45592">
              <w:rPr>
                <w:sz w:val="20"/>
                <w:szCs w:val="20"/>
              </w:rPr>
              <w:t xml:space="preserve"> </w:t>
            </w:r>
            <w:proofErr w:type="spellStart"/>
            <w:r w:rsidRPr="00B45592">
              <w:rPr>
                <w:sz w:val="20"/>
                <w:szCs w:val="20"/>
              </w:rPr>
              <w:t>with</w:t>
            </w:r>
            <w:proofErr w:type="spellEnd"/>
            <w:r w:rsidRPr="00B45592">
              <w:rPr>
                <w:sz w:val="20"/>
                <w:szCs w:val="20"/>
              </w:rPr>
              <w:t xml:space="preserve"> the </w:t>
            </w:r>
            <w:r>
              <w:rPr>
                <w:sz w:val="20"/>
                <w:szCs w:val="20"/>
              </w:rPr>
              <w:t xml:space="preserve">Due </w:t>
            </w:r>
            <w:proofErr w:type="spellStart"/>
            <w:r>
              <w:rPr>
                <w:sz w:val="20"/>
                <w:szCs w:val="20"/>
              </w:rPr>
              <w:t>Process</w:t>
            </w:r>
            <w:proofErr w:type="spellEnd"/>
            <w:r>
              <w:rPr>
                <w:sz w:val="20"/>
                <w:szCs w:val="20"/>
              </w:rPr>
              <w:t xml:space="preserve"> </w:t>
            </w:r>
            <w:proofErr w:type="spellStart"/>
            <w:r>
              <w:rPr>
                <w:sz w:val="20"/>
                <w:szCs w:val="20"/>
              </w:rPr>
              <w:t>Clause</w:t>
            </w:r>
            <w:proofErr w:type="spellEnd"/>
            <w:r w:rsidRPr="00B45592">
              <w:rPr>
                <w:sz w:val="20"/>
                <w:szCs w:val="20"/>
              </w:rPr>
              <w:t xml:space="preserve"> </w:t>
            </w:r>
            <w:proofErr w:type="spellStart"/>
            <w:r w:rsidRPr="00B45592">
              <w:rPr>
                <w:sz w:val="20"/>
                <w:szCs w:val="20"/>
              </w:rPr>
              <w:t>even</w:t>
            </w:r>
            <w:proofErr w:type="spellEnd"/>
            <w:r w:rsidRPr="00B45592">
              <w:rPr>
                <w:sz w:val="20"/>
                <w:szCs w:val="20"/>
              </w:rPr>
              <w:t xml:space="preserve"> as </w:t>
            </w:r>
            <w:proofErr w:type="spellStart"/>
            <w:r w:rsidRPr="00B45592">
              <w:rPr>
                <w:sz w:val="20"/>
                <w:szCs w:val="20"/>
              </w:rPr>
              <w:t>they</w:t>
            </w:r>
            <w:proofErr w:type="spellEnd"/>
            <w:r w:rsidRPr="00B45592">
              <w:rPr>
                <w:sz w:val="20"/>
                <w:szCs w:val="20"/>
              </w:rPr>
              <w:t xml:space="preserve"> </w:t>
            </w:r>
            <w:proofErr w:type="spellStart"/>
            <w:r w:rsidRPr="00B45592">
              <w:rPr>
                <w:sz w:val="20"/>
                <w:szCs w:val="20"/>
              </w:rPr>
              <w:t>upheld</w:t>
            </w:r>
            <w:proofErr w:type="spellEnd"/>
            <w:r w:rsidRPr="00B45592">
              <w:rPr>
                <w:sz w:val="20"/>
                <w:szCs w:val="20"/>
              </w:rPr>
              <w:t xml:space="preserve"> the </w:t>
            </w:r>
            <w:proofErr w:type="spellStart"/>
            <w:r w:rsidRPr="00B45592">
              <w:rPr>
                <w:sz w:val="20"/>
                <w:szCs w:val="20"/>
              </w:rPr>
              <w:t>laws</w:t>
            </w:r>
            <w:proofErr w:type="spellEnd"/>
            <w:r w:rsidRPr="00B45592">
              <w:rPr>
                <w:sz w:val="20"/>
                <w:szCs w:val="20"/>
              </w:rPr>
              <w:t xml:space="preserve"> in </w:t>
            </w:r>
            <w:proofErr w:type="spellStart"/>
            <w:r w:rsidRPr="00B45592">
              <w:rPr>
                <w:sz w:val="20"/>
                <w:szCs w:val="20"/>
              </w:rPr>
              <w:t>question</w:t>
            </w:r>
            <w:proofErr w:type="spellEnd"/>
            <w:r w:rsidRPr="00B45592">
              <w:rPr>
                <w:sz w:val="20"/>
                <w:szCs w:val="20"/>
              </w:rPr>
              <w:t>”</w:t>
            </w:r>
            <w:r w:rsidRPr="003B1467">
              <w:rPr>
                <w:sz w:val="20"/>
                <w:szCs w:val="20"/>
                <w:vertAlign w:val="superscript"/>
                <w:lang w:val="en-US"/>
              </w:rPr>
              <w:footnoteReference w:id="1359"/>
            </w:r>
            <w:r w:rsidRPr="003B1467">
              <w:rPr>
                <w:sz w:val="20"/>
                <w:szCs w:val="20"/>
              </w:rPr>
              <w:t>). Doch wie entwickelten sich diese Generalklauseln</w:t>
            </w:r>
            <w:r>
              <w:rPr>
                <w:sz w:val="20"/>
                <w:szCs w:val="20"/>
              </w:rPr>
              <w:t xml:space="preserve"> </w:t>
            </w:r>
            <w:r w:rsidRPr="003B1467">
              <w:rPr>
                <w:sz w:val="20"/>
                <w:szCs w:val="20"/>
              </w:rPr>
              <w:t>– insbesondere die Freiheit</w:t>
            </w:r>
            <w:r>
              <w:rPr>
                <w:sz w:val="22"/>
                <w:szCs w:val="22"/>
              </w:rPr>
              <w:t xml:space="preserve"> </w:t>
            </w:r>
            <w:r w:rsidRPr="003B1467">
              <w:rPr>
                <w:sz w:val="20"/>
                <w:szCs w:val="20"/>
              </w:rPr>
              <w:t xml:space="preserve">– anhand der vom Wortlaut gelösten Maßstäbe wie der Berufsfreiheit weiter? In </w:t>
            </w:r>
            <w:r w:rsidRPr="5B67C1D2">
              <w:rPr>
                <w:i/>
                <w:iCs/>
                <w:sz w:val="20"/>
                <w:szCs w:val="20"/>
              </w:rPr>
              <w:t>Allgeyer v. Louisiana</w:t>
            </w:r>
            <w:r w:rsidRPr="003B1467">
              <w:rPr>
                <w:sz w:val="20"/>
                <w:szCs w:val="20"/>
                <w:vertAlign w:val="superscript"/>
              </w:rPr>
              <w:footnoteReference w:id="1360"/>
            </w:r>
            <w:r w:rsidRPr="003B1467">
              <w:rPr>
                <w:sz w:val="20"/>
                <w:szCs w:val="20"/>
              </w:rPr>
              <w:t xml:space="preserve"> erklärte der </w:t>
            </w:r>
            <w:r>
              <w:rPr>
                <w:sz w:val="20"/>
                <w:szCs w:val="20"/>
              </w:rPr>
              <w:t>U.S. Supreme Court</w:t>
            </w:r>
            <w:r w:rsidRPr="003B1467">
              <w:rPr>
                <w:sz w:val="20"/>
                <w:szCs w:val="20"/>
              </w:rPr>
              <w:t xml:space="preserve"> ein Gesetz für verfassungswidrig, weil es unangemessen in den Freiheitsbegriff und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3B1467">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eingriff, konkret: in die Vertragsfreiheit.</w:t>
            </w:r>
            <w:r w:rsidRPr="003B1467">
              <w:rPr>
                <w:sz w:val="20"/>
                <w:szCs w:val="20"/>
                <w:vertAlign w:val="superscript"/>
              </w:rPr>
              <w:footnoteReference w:id="1361"/>
            </w:r>
            <w:r w:rsidRPr="003B1467">
              <w:rPr>
                <w:sz w:val="20"/>
                <w:szCs w:val="20"/>
              </w:rPr>
              <w:t xml:space="preserve"> Damit schlug er zugleich eine materiell-rechtliche Auslegung des Freiheitsbegriffs vor („</w:t>
            </w:r>
            <w:proofErr w:type="spellStart"/>
            <w:r w:rsidRPr="003B1467">
              <w:rPr>
                <w:sz w:val="20"/>
                <w:szCs w:val="20"/>
              </w:rPr>
              <w:t>substantive</w:t>
            </w:r>
            <w:proofErr w:type="spellEnd"/>
            <w:r w:rsidRPr="003B1467">
              <w:rPr>
                <w:sz w:val="20"/>
                <w:szCs w:val="20"/>
              </w:rPr>
              <w:t xml:space="preserve"> </w:t>
            </w:r>
            <w:proofErr w:type="spellStart"/>
            <w:r w:rsidRPr="003B1467">
              <w:rPr>
                <w:sz w:val="20"/>
                <w:szCs w:val="20"/>
              </w:rPr>
              <w:t>interpretation</w:t>
            </w:r>
            <w:proofErr w:type="spellEnd"/>
            <w:r w:rsidRPr="003B1467">
              <w:rPr>
                <w:sz w:val="20"/>
                <w:szCs w:val="20"/>
              </w:rPr>
              <w:t xml:space="preserve"> </w:t>
            </w:r>
            <w:proofErr w:type="gramStart"/>
            <w:r w:rsidRPr="003B1467">
              <w:rPr>
                <w:sz w:val="20"/>
                <w:szCs w:val="20"/>
              </w:rPr>
              <w:t xml:space="preserve">of </w:t>
            </w:r>
            <w:r>
              <w:rPr>
                <w:sz w:val="20"/>
                <w:szCs w:val="20"/>
              </w:rPr>
              <w:t>,</w:t>
            </w:r>
            <w:proofErr w:type="spellStart"/>
            <w:r w:rsidRPr="003B1467">
              <w:rPr>
                <w:sz w:val="20"/>
                <w:szCs w:val="20"/>
              </w:rPr>
              <w:t>liberty</w:t>
            </w:r>
            <w:proofErr w:type="spellEnd"/>
            <w:proofErr w:type="gramEnd"/>
            <w:r>
              <w:rPr>
                <w:sz w:val="20"/>
                <w:szCs w:val="20"/>
              </w:rPr>
              <w:t>‘</w:t>
            </w:r>
            <w:r w:rsidRPr="003B1467">
              <w:rPr>
                <w:sz w:val="20"/>
                <w:szCs w:val="20"/>
              </w:rPr>
              <w:t>“</w:t>
            </w:r>
            <w:r w:rsidRPr="003B1467">
              <w:rPr>
                <w:sz w:val="20"/>
                <w:szCs w:val="20"/>
                <w:vertAlign w:val="superscript"/>
              </w:rPr>
              <w:footnoteReference w:id="1362"/>
            </w:r>
            <w:r w:rsidRPr="003B1467">
              <w:rPr>
                <w:sz w:val="20"/>
                <w:szCs w:val="20"/>
              </w:rPr>
              <w:t xml:space="preserve">). Nach diesem materiell-rechtlichen Verständnis in </w:t>
            </w:r>
            <w:r w:rsidRPr="5B67C1D2">
              <w:rPr>
                <w:i/>
                <w:iCs/>
                <w:sz w:val="20"/>
                <w:szCs w:val="20"/>
              </w:rPr>
              <w:t>Allgeyer v. Louisiana</w:t>
            </w:r>
            <w:r w:rsidRPr="003B1467">
              <w:rPr>
                <w:sz w:val="20"/>
                <w:szCs w:val="20"/>
                <w:vertAlign w:val="superscript"/>
              </w:rPr>
              <w:footnoteReference w:id="1363"/>
            </w:r>
            <w:r w:rsidRPr="003B1467">
              <w:rPr>
                <w:sz w:val="20"/>
                <w:szCs w:val="20"/>
              </w:rPr>
              <w:t xml:space="preserve"> erweiterte er die Freiheit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auf folgende Postulate: Der Bürger habe eine allgemeine Handlungs-, Persönlichkeits- und Gewissensfreiheit, er sei frei darin, diese auszuüben und ihm komme zugleich Freizügigkeit und eben </w:t>
            </w:r>
            <w:r>
              <w:rPr>
                <w:sz w:val="20"/>
                <w:szCs w:val="20"/>
              </w:rPr>
              <w:t>d</w:t>
            </w:r>
            <w:r w:rsidRPr="003B1467">
              <w:rPr>
                <w:sz w:val="20"/>
                <w:szCs w:val="20"/>
              </w:rPr>
              <w:t>ie Berufswahl- sowie Berufsausübungsfreiheit zu; und um diese auszuüben, bedürfe es eben der Vertragsfreiheit.</w:t>
            </w:r>
            <w:r w:rsidRPr="003B1467">
              <w:rPr>
                <w:sz w:val="20"/>
                <w:szCs w:val="20"/>
                <w:vertAlign w:val="superscript"/>
              </w:rPr>
              <w:footnoteReference w:id="1364"/>
            </w:r>
            <w:r w:rsidRPr="003B1467">
              <w:rPr>
                <w:sz w:val="20"/>
                <w:szCs w:val="20"/>
              </w:rPr>
              <w:t xml:space="preserve"> Zwar könne die Polizeigewalt </w:t>
            </w:r>
            <w:r>
              <w:rPr>
                <w:sz w:val="20"/>
                <w:szCs w:val="20"/>
              </w:rPr>
              <w:t>z.B.</w:t>
            </w:r>
            <w:r w:rsidRPr="003B1467">
              <w:rPr>
                <w:sz w:val="20"/>
                <w:szCs w:val="20"/>
              </w:rPr>
              <w:t xml:space="preserve"> die Vertragsfreiheit einschränken („</w:t>
            </w:r>
            <w:proofErr w:type="spellStart"/>
            <w:r w:rsidRPr="003B1467">
              <w:rPr>
                <w:sz w:val="20"/>
                <w:szCs w:val="20"/>
              </w:rPr>
              <w:t>can</w:t>
            </w:r>
            <w:proofErr w:type="spellEnd"/>
            <w:r w:rsidRPr="003B1467">
              <w:rPr>
                <w:sz w:val="20"/>
                <w:szCs w:val="20"/>
              </w:rPr>
              <w:t xml:space="preserve"> the State </w:t>
            </w:r>
            <w:proofErr w:type="spellStart"/>
            <w:r w:rsidRPr="003B1467">
              <w:rPr>
                <w:sz w:val="20"/>
                <w:szCs w:val="20"/>
              </w:rPr>
              <w:t>exercise</w:t>
            </w:r>
            <w:proofErr w:type="spellEnd"/>
            <w:r w:rsidRPr="003B1467">
              <w:rPr>
                <w:sz w:val="20"/>
                <w:szCs w:val="20"/>
              </w:rPr>
              <w:t xml:space="preserve"> </w:t>
            </w:r>
            <w:proofErr w:type="spellStart"/>
            <w:r w:rsidRPr="003B1467">
              <w:rPr>
                <w:sz w:val="20"/>
                <w:szCs w:val="20"/>
              </w:rPr>
              <w:t>its</w:t>
            </w:r>
            <w:proofErr w:type="spellEnd"/>
            <w:r w:rsidRPr="003B1467">
              <w:rPr>
                <w:sz w:val="20"/>
                <w:szCs w:val="20"/>
              </w:rPr>
              <w:t xml:space="preserve"> </w:t>
            </w:r>
            <w:proofErr w:type="spellStart"/>
            <w:r w:rsidRPr="003B1467">
              <w:rPr>
                <w:sz w:val="20"/>
                <w:szCs w:val="20"/>
              </w:rPr>
              <w:t>police</w:t>
            </w:r>
            <w:proofErr w:type="spellEnd"/>
            <w:r w:rsidRPr="003B1467">
              <w:rPr>
                <w:sz w:val="20"/>
                <w:szCs w:val="20"/>
              </w:rPr>
              <w:t xml:space="preserve"> power“</w:t>
            </w:r>
            <w:r w:rsidRPr="003B1467">
              <w:rPr>
                <w:sz w:val="20"/>
                <w:szCs w:val="20"/>
                <w:vertAlign w:val="superscript"/>
              </w:rPr>
              <w:footnoteReference w:id="1365"/>
            </w:r>
            <w:r w:rsidRPr="003B1467">
              <w:rPr>
                <w:sz w:val="20"/>
                <w:szCs w:val="20"/>
              </w:rPr>
              <w:t>). Aber die Einschränkung der Freiheit sei zurückhaltend auszuüben, sie müsse die Ausnahme bleiben</w:t>
            </w:r>
            <w:r>
              <w:rPr>
                <w:sz w:val="20"/>
                <w:szCs w:val="20"/>
              </w:rPr>
              <w:t xml:space="preserve"> </w:t>
            </w:r>
            <w:r w:rsidRPr="003B1467">
              <w:rPr>
                <w:sz w:val="20"/>
                <w:szCs w:val="20"/>
              </w:rPr>
              <w:t>und daher allenfalls anhand des Einzelfalls abzuwägen sein („</w:t>
            </w:r>
            <w:proofErr w:type="spellStart"/>
            <w:r w:rsidRPr="003B1467">
              <w:rPr>
                <w:sz w:val="20"/>
                <w:szCs w:val="20"/>
              </w:rPr>
              <w:t>left</w:t>
            </w:r>
            <w:proofErr w:type="spellEnd"/>
            <w:r w:rsidRPr="003B1467">
              <w:rPr>
                <w:sz w:val="20"/>
                <w:szCs w:val="20"/>
              </w:rPr>
              <w:t xml:space="preserve"> for </w:t>
            </w:r>
            <w:proofErr w:type="spellStart"/>
            <w:r w:rsidRPr="003B1467">
              <w:rPr>
                <w:sz w:val="20"/>
                <w:szCs w:val="20"/>
              </w:rPr>
              <w:t>determination</w:t>
            </w:r>
            <w:proofErr w:type="spellEnd"/>
            <w:r w:rsidRPr="003B1467">
              <w:rPr>
                <w:sz w:val="20"/>
                <w:szCs w:val="20"/>
              </w:rPr>
              <w:t xml:space="preserve"> to </w:t>
            </w:r>
            <w:proofErr w:type="spellStart"/>
            <w:r w:rsidRPr="003B1467">
              <w:rPr>
                <w:sz w:val="20"/>
                <w:szCs w:val="20"/>
              </w:rPr>
              <w:t>each</w:t>
            </w:r>
            <w:proofErr w:type="spellEnd"/>
            <w:r w:rsidRPr="003B1467">
              <w:rPr>
                <w:sz w:val="20"/>
                <w:szCs w:val="20"/>
              </w:rPr>
              <w:t xml:space="preserve"> </w:t>
            </w:r>
            <w:proofErr w:type="spellStart"/>
            <w:r w:rsidRPr="003B1467">
              <w:rPr>
                <w:sz w:val="20"/>
                <w:szCs w:val="20"/>
              </w:rPr>
              <w:t>case</w:t>
            </w:r>
            <w:proofErr w:type="spellEnd"/>
            <w:r w:rsidRPr="003B1467">
              <w:rPr>
                <w:sz w:val="20"/>
                <w:szCs w:val="20"/>
              </w:rPr>
              <w:t xml:space="preserve"> as it </w:t>
            </w:r>
            <w:proofErr w:type="spellStart"/>
            <w:r w:rsidRPr="003B1467">
              <w:rPr>
                <w:sz w:val="20"/>
                <w:szCs w:val="20"/>
              </w:rPr>
              <w:t>arises</w:t>
            </w:r>
            <w:proofErr w:type="spellEnd"/>
            <w:r w:rsidRPr="003B1467">
              <w:rPr>
                <w:sz w:val="20"/>
                <w:szCs w:val="20"/>
              </w:rPr>
              <w:t>“</w:t>
            </w:r>
            <w:r w:rsidRPr="003B1467">
              <w:rPr>
                <w:sz w:val="20"/>
                <w:szCs w:val="20"/>
                <w:vertAlign w:val="superscript"/>
              </w:rPr>
              <w:footnoteReference w:id="1366"/>
            </w:r>
            <w:r w:rsidRPr="003B1467">
              <w:rPr>
                <w:sz w:val="20"/>
                <w:szCs w:val="20"/>
              </w:rPr>
              <w:t xml:space="preserve">). Auf </w:t>
            </w:r>
            <w:r w:rsidRPr="5B67C1D2">
              <w:rPr>
                <w:i/>
                <w:iCs/>
                <w:sz w:val="20"/>
                <w:szCs w:val="20"/>
              </w:rPr>
              <w:t>Allgeyer</w:t>
            </w:r>
            <w:r w:rsidRPr="003B1467">
              <w:rPr>
                <w:sz w:val="20"/>
                <w:szCs w:val="20"/>
              </w:rPr>
              <w:t xml:space="preserve"> </w:t>
            </w:r>
            <w:r w:rsidRPr="5B67C1D2">
              <w:rPr>
                <w:i/>
                <w:iCs/>
                <w:sz w:val="20"/>
                <w:szCs w:val="20"/>
              </w:rPr>
              <w:t xml:space="preserve">v. </w:t>
            </w:r>
            <w:proofErr w:type="spellStart"/>
            <w:r w:rsidRPr="5B67C1D2">
              <w:rPr>
                <w:i/>
                <w:iCs/>
                <w:sz w:val="20"/>
                <w:szCs w:val="20"/>
              </w:rPr>
              <w:t>Lousiana</w:t>
            </w:r>
            <w:proofErr w:type="spellEnd"/>
            <w:r w:rsidRPr="003B1467">
              <w:rPr>
                <w:sz w:val="20"/>
                <w:szCs w:val="20"/>
              </w:rPr>
              <w:t xml:space="preserve"> folgte die Lochner-Ära.</w:t>
            </w:r>
            <w:r w:rsidRPr="003B1467">
              <w:rPr>
                <w:sz w:val="20"/>
                <w:szCs w:val="20"/>
                <w:vertAlign w:val="superscript"/>
              </w:rPr>
              <w:footnoteReference w:id="1367"/>
            </w:r>
            <w:r w:rsidRPr="003B1467">
              <w:rPr>
                <w:sz w:val="20"/>
                <w:szCs w:val="20"/>
              </w:rPr>
              <w:t xml:space="preserve"> Diese drängte die staatliche Wirtschaftsgesetzgebung des </w:t>
            </w:r>
            <w:r w:rsidRPr="5B67C1D2">
              <w:rPr>
                <w:i/>
                <w:iCs/>
                <w:sz w:val="20"/>
                <w:szCs w:val="20"/>
              </w:rPr>
              <w:t>New Deals</w:t>
            </w:r>
            <w:r w:rsidRPr="003B1467">
              <w:rPr>
                <w:sz w:val="20"/>
                <w:szCs w:val="20"/>
              </w:rPr>
              <w:t xml:space="preserve"> zugunsten des </w:t>
            </w:r>
            <w:r w:rsidRPr="003B1467">
              <w:rPr>
                <w:sz w:val="20"/>
                <w:szCs w:val="20"/>
              </w:rPr>
              <w:lastRenderedPageBreak/>
              <w:t>Freiheitsbegriffs zurück („</w:t>
            </w:r>
            <w:proofErr w:type="spellStart"/>
            <w:r w:rsidRPr="003B1467">
              <w:rPr>
                <w:sz w:val="20"/>
                <w:szCs w:val="20"/>
              </w:rPr>
              <w:t>constitutional</w:t>
            </w:r>
            <w:proofErr w:type="spellEnd"/>
            <w:r w:rsidRPr="003B1467">
              <w:rPr>
                <w:sz w:val="20"/>
                <w:szCs w:val="20"/>
              </w:rPr>
              <w:t xml:space="preserve"> </w:t>
            </w:r>
            <w:proofErr w:type="spellStart"/>
            <w:r w:rsidRPr="003B1467">
              <w:rPr>
                <w:sz w:val="20"/>
                <w:szCs w:val="20"/>
              </w:rPr>
              <w:t>arbitrariness</w:t>
            </w:r>
            <w:proofErr w:type="spellEnd"/>
            <w:r w:rsidRPr="003B1467">
              <w:rPr>
                <w:sz w:val="20"/>
                <w:szCs w:val="20"/>
              </w:rPr>
              <w:t xml:space="preserve"> review“</w:t>
            </w:r>
            <w:r w:rsidRPr="003B1467">
              <w:rPr>
                <w:sz w:val="20"/>
                <w:szCs w:val="20"/>
                <w:vertAlign w:val="superscript"/>
              </w:rPr>
              <w:footnoteReference w:id="1368"/>
            </w:r>
            <w:r w:rsidRPr="003B1467">
              <w:rPr>
                <w:sz w:val="20"/>
                <w:szCs w:val="20"/>
              </w:rPr>
              <w:t xml:space="preserve">). Beispiele für die Ära lieferte der </w:t>
            </w:r>
            <w:r>
              <w:rPr>
                <w:sz w:val="20"/>
                <w:szCs w:val="20"/>
              </w:rPr>
              <w:t>U.S. Supreme Court</w:t>
            </w:r>
            <w:r w:rsidRPr="003B1467">
              <w:rPr>
                <w:sz w:val="20"/>
                <w:szCs w:val="20"/>
              </w:rPr>
              <w:t>, indem er die Höchstarbeitszeit für Bäcker</w:t>
            </w:r>
            <w:r w:rsidRPr="003B1467">
              <w:rPr>
                <w:sz w:val="20"/>
                <w:szCs w:val="20"/>
                <w:vertAlign w:val="superscript"/>
              </w:rPr>
              <w:footnoteReference w:id="1369"/>
            </w:r>
            <w:r w:rsidRPr="003B1467">
              <w:rPr>
                <w:sz w:val="20"/>
                <w:szCs w:val="20"/>
              </w:rPr>
              <w:t xml:space="preserve"> oder die Mindestlohngesetzgebung</w:t>
            </w:r>
            <w:r w:rsidRPr="003B1467">
              <w:rPr>
                <w:sz w:val="20"/>
                <w:szCs w:val="20"/>
                <w:vertAlign w:val="superscript"/>
              </w:rPr>
              <w:footnoteReference w:id="1370"/>
            </w:r>
            <w:r w:rsidRPr="003B1467">
              <w:rPr>
                <w:sz w:val="20"/>
                <w:szCs w:val="20"/>
              </w:rPr>
              <w:t xml:space="preserve"> </w:t>
            </w:r>
            <w:r>
              <w:rPr>
                <w:sz w:val="20"/>
                <w:szCs w:val="20"/>
              </w:rPr>
              <w:t xml:space="preserve">für </w:t>
            </w:r>
            <w:r w:rsidRPr="003B1467">
              <w:rPr>
                <w:sz w:val="20"/>
                <w:szCs w:val="20"/>
              </w:rPr>
              <w:t>verfassungswidrig erklärte. Diese</w:t>
            </w:r>
            <w:r>
              <w:rPr>
                <w:sz w:val="20"/>
                <w:szCs w:val="20"/>
              </w:rPr>
              <w:t>n</w:t>
            </w:r>
            <w:r w:rsidRPr="003B1467">
              <w:rPr>
                <w:sz w:val="20"/>
                <w:szCs w:val="20"/>
              </w:rPr>
              <w:t xml:space="preserve"> weite</w:t>
            </w:r>
            <w:r>
              <w:rPr>
                <w:sz w:val="20"/>
                <w:szCs w:val="20"/>
              </w:rPr>
              <w:t>n</w:t>
            </w:r>
            <w:r w:rsidRPr="003B1467">
              <w:rPr>
                <w:sz w:val="20"/>
                <w:szCs w:val="20"/>
              </w:rPr>
              <w:t xml:space="preserve"> verfassungsrechtliche</w:t>
            </w:r>
            <w:r>
              <w:rPr>
                <w:sz w:val="20"/>
                <w:szCs w:val="20"/>
              </w:rPr>
              <w:t>n</w:t>
            </w:r>
            <w:r w:rsidRPr="003B1467">
              <w:rPr>
                <w:sz w:val="20"/>
                <w:szCs w:val="20"/>
              </w:rPr>
              <w:t xml:space="preserve"> Maßstab der Freiheit bestätigte und entwickelte dann </w:t>
            </w:r>
            <w:r w:rsidRPr="5B67C1D2">
              <w:rPr>
                <w:i/>
                <w:iCs/>
                <w:sz w:val="20"/>
                <w:szCs w:val="20"/>
              </w:rPr>
              <w:t>Meyer v. Nebraska</w:t>
            </w:r>
            <w:r w:rsidRPr="003B1467">
              <w:rPr>
                <w:sz w:val="20"/>
                <w:szCs w:val="20"/>
              </w:rPr>
              <w:t>.</w:t>
            </w:r>
            <w:r w:rsidRPr="003B1467">
              <w:rPr>
                <w:sz w:val="20"/>
                <w:szCs w:val="20"/>
                <w:vertAlign w:val="superscript"/>
              </w:rPr>
              <w:footnoteReference w:id="1371"/>
            </w:r>
            <w:r w:rsidRPr="003B1467">
              <w:rPr>
                <w:sz w:val="20"/>
                <w:szCs w:val="20"/>
              </w:rPr>
              <w:t xml:space="preserve"> In d</w:t>
            </w:r>
            <w:r>
              <w:rPr>
                <w:sz w:val="20"/>
                <w:szCs w:val="20"/>
              </w:rPr>
              <w:t>ies</w:t>
            </w:r>
            <w:r w:rsidRPr="003B1467">
              <w:rPr>
                <w:sz w:val="20"/>
                <w:szCs w:val="20"/>
              </w:rPr>
              <w:t xml:space="preserve">em Urteil erfuhr die Willkürprüfung des Freiheitsbegriffs weitere, materiell-rechtliche Postulate („modern </w:t>
            </w:r>
            <w:proofErr w:type="spellStart"/>
            <w:r w:rsidRPr="003B1467">
              <w:rPr>
                <w:sz w:val="20"/>
                <w:szCs w:val="20"/>
              </w:rPr>
              <w:t>substantive</w:t>
            </w:r>
            <w:proofErr w:type="spellEnd"/>
            <w:r w:rsidRPr="003B1467">
              <w:rPr>
                <w:sz w:val="20"/>
                <w:szCs w:val="20"/>
              </w:rPr>
              <w:t xml:space="preserve"> due </w:t>
            </w:r>
            <w:proofErr w:type="spellStart"/>
            <w:r w:rsidRPr="003B1467">
              <w:rPr>
                <w:sz w:val="20"/>
                <w:szCs w:val="20"/>
              </w:rPr>
              <w:t>proce</w:t>
            </w:r>
            <w:r>
              <w:rPr>
                <w:sz w:val="20"/>
                <w:szCs w:val="20"/>
              </w:rPr>
              <w:t>s</w:t>
            </w:r>
            <w:r w:rsidRPr="003B1467">
              <w:rPr>
                <w:sz w:val="20"/>
                <w:szCs w:val="20"/>
              </w:rPr>
              <w:t>s</w:t>
            </w:r>
            <w:proofErr w:type="spellEnd"/>
            <w:r w:rsidRPr="003B1467">
              <w:rPr>
                <w:sz w:val="20"/>
                <w:szCs w:val="20"/>
              </w:rPr>
              <w:t>“</w:t>
            </w:r>
            <w:r w:rsidRPr="003B1467">
              <w:rPr>
                <w:sz w:val="20"/>
                <w:szCs w:val="20"/>
                <w:vertAlign w:val="superscript"/>
              </w:rPr>
              <w:footnoteReference w:id="1372"/>
            </w:r>
            <w:r w:rsidRPr="003B1467">
              <w:rPr>
                <w:sz w:val="20"/>
                <w:szCs w:val="20"/>
              </w:rPr>
              <w:t xml:space="preserve">): Dabei berief sich der </w:t>
            </w:r>
            <w:r>
              <w:rPr>
                <w:sz w:val="20"/>
                <w:szCs w:val="20"/>
              </w:rPr>
              <w:t>U.S. Supreme Court</w:t>
            </w:r>
            <w:r w:rsidRPr="003B1467">
              <w:rPr>
                <w:sz w:val="20"/>
                <w:szCs w:val="20"/>
              </w:rPr>
              <w:t xml:space="preserve"> nicht auf Artikel der </w:t>
            </w:r>
            <w:r w:rsidRPr="5B67C1D2">
              <w:rPr>
                <w:i/>
                <w:iCs/>
                <w:sz w:val="20"/>
                <w:szCs w:val="20"/>
              </w:rPr>
              <w:t>Bill of Rights</w:t>
            </w:r>
            <w:r w:rsidRPr="003B1467">
              <w:rPr>
                <w:sz w:val="20"/>
                <w:szCs w:val="20"/>
              </w:rPr>
              <w:t>, sondern er bestätigte ungeschriebene Freiheiten, indem er Präzedenzen von de</w:t>
            </w:r>
            <w:r>
              <w:rPr>
                <w:sz w:val="20"/>
                <w:szCs w:val="20"/>
              </w:rPr>
              <w:t>n</w:t>
            </w:r>
            <w:r w:rsidRPr="003B1467">
              <w:rPr>
                <w:sz w:val="20"/>
                <w:szCs w:val="20"/>
              </w:rPr>
              <w:t xml:space="preserve"> </w:t>
            </w:r>
            <w:r w:rsidRPr="5B67C1D2">
              <w:rPr>
                <w:i/>
                <w:iCs/>
                <w:sz w:val="20"/>
                <w:szCs w:val="20"/>
              </w:rPr>
              <w:t>Slaughter-House Cases</w:t>
            </w:r>
            <w:r w:rsidRPr="003B1467">
              <w:rPr>
                <w:sz w:val="20"/>
                <w:szCs w:val="20"/>
                <w:vertAlign w:val="superscript"/>
              </w:rPr>
              <w:footnoteReference w:id="1373"/>
            </w:r>
            <w:r w:rsidRPr="003B1467">
              <w:rPr>
                <w:sz w:val="20"/>
                <w:szCs w:val="20"/>
              </w:rPr>
              <w:t xml:space="preserve"> bis zu </w:t>
            </w:r>
            <w:r w:rsidRPr="5B67C1D2">
              <w:rPr>
                <w:i/>
                <w:iCs/>
                <w:sz w:val="20"/>
                <w:szCs w:val="20"/>
              </w:rPr>
              <w:t>Adkins</w:t>
            </w:r>
            <w:r w:rsidRPr="003B1467">
              <w:rPr>
                <w:sz w:val="20"/>
                <w:szCs w:val="20"/>
                <w:vertAlign w:val="superscript"/>
              </w:rPr>
              <w:footnoteReference w:id="1374"/>
            </w:r>
            <w:r w:rsidRPr="003B1467">
              <w:rPr>
                <w:sz w:val="20"/>
                <w:szCs w:val="20"/>
              </w:rPr>
              <w:t xml:space="preserve"> aufgriff, </w:t>
            </w:r>
            <w:r>
              <w:rPr>
                <w:sz w:val="20"/>
                <w:szCs w:val="20"/>
              </w:rPr>
              <w:t>mit anderen Worten:</w:t>
            </w:r>
            <w:r w:rsidRPr="003B1467">
              <w:rPr>
                <w:sz w:val="20"/>
                <w:szCs w:val="20"/>
              </w:rPr>
              <w:t xml:space="preserve"> die Vertragsfreiheit, Berufsausübungsfreiheit, Wissensfreiheit, Ehefreiheit, Wohnungsfreiheit, Erziehungsfreiheit, Gewissens- und Glaubensfreiheit – zusammengefasst als </w:t>
            </w:r>
            <w:r>
              <w:rPr>
                <w:sz w:val="20"/>
                <w:szCs w:val="20"/>
              </w:rPr>
              <w:t>Vorrechte</w:t>
            </w:r>
            <w:r w:rsidRPr="003B1467">
              <w:rPr>
                <w:sz w:val="20"/>
                <w:szCs w:val="20"/>
              </w:rPr>
              <w:t xml:space="preserve"> oder Bedingungen, die wesentlich für das Glücksstreben seien.</w:t>
            </w:r>
            <w:r w:rsidRPr="003B1467">
              <w:rPr>
                <w:sz w:val="20"/>
                <w:szCs w:val="20"/>
                <w:vertAlign w:val="superscript"/>
              </w:rPr>
              <w:footnoteReference w:id="1375"/>
            </w:r>
            <w:r w:rsidRPr="003B1467">
              <w:rPr>
                <w:sz w:val="20"/>
                <w:szCs w:val="20"/>
              </w:rPr>
              <w:t xml:space="preserve"> Der </w:t>
            </w:r>
            <w:r>
              <w:rPr>
                <w:sz w:val="20"/>
                <w:szCs w:val="20"/>
              </w:rPr>
              <w:t>U.S. Supreme Court</w:t>
            </w:r>
            <w:r w:rsidRPr="003B1467">
              <w:rPr>
                <w:sz w:val="20"/>
                <w:szCs w:val="20"/>
              </w:rPr>
              <w:t xml:space="preserve"> bestätigte nicht nur, sondern spezifizierte auch</w:t>
            </w:r>
            <w:r>
              <w:rPr>
                <w:sz w:val="20"/>
                <w:szCs w:val="20"/>
              </w:rPr>
              <w:t>,</w:t>
            </w:r>
            <w:r w:rsidRPr="003B1467">
              <w:rPr>
                <w:sz w:val="20"/>
                <w:szCs w:val="20"/>
              </w:rPr>
              <w:t xml:space="preserve"> zu den Freiheiten gehöre weiter: die Lehrfreiheit und Erziehungsfreiheit ohne unangemessene Einschränkung des Staats („</w:t>
            </w:r>
            <w:proofErr w:type="spellStart"/>
            <w:r w:rsidRPr="003B1467">
              <w:rPr>
                <w:sz w:val="20"/>
                <w:szCs w:val="20"/>
              </w:rPr>
              <w:t>without</w:t>
            </w:r>
            <w:proofErr w:type="spellEnd"/>
            <w:r w:rsidRPr="003B1467">
              <w:rPr>
                <w:sz w:val="20"/>
                <w:szCs w:val="20"/>
              </w:rPr>
              <w:t xml:space="preserve"> </w:t>
            </w:r>
            <w:proofErr w:type="spellStart"/>
            <w:r w:rsidRPr="003B1467">
              <w:rPr>
                <w:sz w:val="20"/>
                <w:szCs w:val="20"/>
              </w:rPr>
              <w:t>unreasonable</w:t>
            </w:r>
            <w:proofErr w:type="spellEnd"/>
            <w:r w:rsidRPr="003B1467">
              <w:rPr>
                <w:sz w:val="20"/>
                <w:szCs w:val="20"/>
              </w:rPr>
              <w:t xml:space="preserve"> </w:t>
            </w:r>
            <w:proofErr w:type="spellStart"/>
            <w:r w:rsidRPr="003B1467">
              <w:rPr>
                <w:sz w:val="20"/>
                <w:szCs w:val="20"/>
              </w:rPr>
              <w:t>interference</w:t>
            </w:r>
            <w:proofErr w:type="spellEnd"/>
            <w:r w:rsidRPr="003B1467">
              <w:rPr>
                <w:sz w:val="20"/>
                <w:szCs w:val="20"/>
              </w:rPr>
              <w:t xml:space="preserve"> by the States“</w:t>
            </w:r>
            <w:r w:rsidRPr="003B1467">
              <w:rPr>
                <w:sz w:val="20"/>
                <w:szCs w:val="20"/>
                <w:vertAlign w:val="superscript"/>
              </w:rPr>
              <w:footnoteReference w:id="1376"/>
            </w:r>
            <w:r w:rsidRPr="003B1467">
              <w:rPr>
                <w:sz w:val="20"/>
                <w:szCs w:val="20"/>
              </w:rPr>
              <w:t xml:space="preserve">). </w:t>
            </w:r>
            <w:r>
              <w:rPr>
                <w:sz w:val="20"/>
                <w:szCs w:val="20"/>
              </w:rPr>
              <w:t>Etwa</w:t>
            </w:r>
            <w:r w:rsidRPr="003B1467">
              <w:rPr>
                <w:sz w:val="20"/>
                <w:szCs w:val="20"/>
              </w:rPr>
              <w:t xml:space="preserve"> sei das Verbot des Fremdsprachenunterrichts an Schulen willkürlich, unangemessen und ohne Kompetenz von einem Bundesstaat erlassen worden („</w:t>
            </w:r>
            <w:proofErr w:type="spellStart"/>
            <w:r w:rsidRPr="003B1467">
              <w:rPr>
                <w:sz w:val="20"/>
                <w:szCs w:val="20"/>
              </w:rPr>
              <w:t>arbitrary</w:t>
            </w:r>
            <w:proofErr w:type="spellEnd"/>
            <w:r w:rsidRPr="003B1467">
              <w:rPr>
                <w:sz w:val="20"/>
                <w:szCs w:val="20"/>
              </w:rPr>
              <w:t xml:space="preserve"> and </w:t>
            </w:r>
            <w:proofErr w:type="spellStart"/>
            <w:r w:rsidRPr="003B1467">
              <w:rPr>
                <w:sz w:val="20"/>
                <w:szCs w:val="20"/>
              </w:rPr>
              <w:t>without</w:t>
            </w:r>
            <w:proofErr w:type="spellEnd"/>
            <w:r w:rsidRPr="003B1467">
              <w:rPr>
                <w:sz w:val="20"/>
                <w:szCs w:val="20"/>
              </w:rPr>
              <w:t xml:space="preserve"> </w:t>
            </w:r>
            <w:proofErr w:type="spellStart"/>
            <w:r w:rsidRPr="003B1467">
              <w:rPr>
                <w:sz w:val="20"/>
                <w:szCs w:val="20"/>
              </w:rPr>
              <w:t>reasonable</w:t>
            </w:r>
            <w:proofErr w:type="spellEnd"/>
            <w:r w:rsidRPr="003B1467">
              <w:rPr>
                <w:sz w:val="20"/>
                <w:szCs w:val="20"/>
              </w:rPr>
              <w:t xml:space="preserve"> </w:t>
            </w:r>
            <w:proofErr w:type="spellStart"/>
            <w:r w:rsidRPr="003B1467">
              <w:rPr>
                <w:sz w:val="20"/>
                <w:szCs w:val="20"/>
              </w:rPr>
              <w:t>relation</w:t>
            </w:r>
            <w:proofErr w:type="spellEnd"/>
            <w:r w:rsidRPr="003B1467">
              <w:rPr>
                <w:sz w:val="20"/>
                <w:szCs w:val="20"/>
              </w:rPr>
              <w:t xml:space="preserve"> to </w:t>
            </w:r>
            <w:proofErr w:type="spellStart"/>
            <w:r w:rsidRPr="003B1467">
              <w:rPr>
                <w:sz w:val="20"/>
                <w:szCs w:val="20"/>
              </w:rPr>
              <w:t>any</w:t>
            </w:r>
            <w:proofErr w:type="spellEnd"/>
            <w:r w:rsidRPr="003B1467">
              <w:rPr>
                <w:sz w:val="20"/>
                <w:szCs w:val="20"/>
              </w:rPr>
              <w:t xml:space="preserve"> end </w:t>
            </w:r>
            <w:proofErr w:type="spellStart"/>
            <w:r w:rsidRPr="003B1467">
              <w:rPr>
                <w:sz w:val="20"/>
                <w:szCs w:val="20"/>
              </w:rPr>
              <w:t>within</w:t>
            </w:r>
            <w:proofErr w:type="spellEnd"/>
            <w:r w:rsidRPr="003B1467">
              <w:rPr>
                <w:sz w:val="20"/>
                <w:szCs w:val="20"/>
              </w:rPr>
              <w:t xml:space="preserve"> the </w:t>
            </w:r>
            <w:proofErr w:type="spellStart"/>
            <w:r w:rsidRPr="003B1467">
              <w:rPr>
                <w:sz w:val="20"/>
                <w:szCs w:val="20"/>
              </w:rPr>
              <w:t>competency</w:t>
            </w:r>
            <w:proofErr w:type="spellEnd"/>
            <w:r w:rsidRPr="003B1467">
              <w:rPr>
                <w:sz w:val="20"/>
                <w:szCs w:val="20"/>
              </w:rPr>
              <w:t xml:space="preserve"> of the State“</w:t>
            </w:r>
            <w:r w:rsidRPr="003B1467">
              <w:rPr>
                <w:sz w:val="20"/>
                <w:szCs w:val="20"/>
                <w:vertAlign w:val="superscript"/>
              </w:rPr>
              <w:footnoteReference w:id="1377"/>
            </w:r>
            <w:r w:rsidRPr="003B1467">
              <w:rPr>
                <w:sz w:val="20"/>
                <w:szCs w:val="20"/>
              </w:rPr>
              <w:t xml:space="preserve">). </w:t>
            </w:r>
            <w:r>
              <w:rPr>
                <w:sz w:val="20"/>
                <w:szCs w:val="20"/>
              </w:rPr>
              <w:t xml:space="preserve">Des </w:t>
            </w:r>
            <w:proofErr w:type="spellStart"/>
            <w:r>
              <w:rPr>
                <w:sz w:val="20"/>
                <w:szCs w:val="20"/>
              </w:rPr>
              <w:t>Weiteren</w:t>
            </w:r>
            <w:proofErr w:type="spellEnd"/>
            <w:r w:rsidRPr="003B1467">
              <w:rPr>
                <w:sz w:val="20"/>
                <w:szCs w:val="20"/>
              </w:rPr>
              <w:t xml:space="preserve"> erklärte der </w:t>
            </w:r>
            <w:r>
              <w:rPr>
                <w:sz w:val="20"/>
                <w:szCs w:val="20"/>
              </w:rPr>
              <w:t>U.S. Supreme Court</w:t>
            </w:r>
            <w:r w:rsidRPr="003B1467">
              <w:rPr>
                <w:sz w:val="20"/>
                <w:szCs w:val="20"/>
              </w:rPr>
              <w:t xml:space="preserve"> in </w:t>
            </w:r>
            <w:r w:rsidRPr="5B67C1D2">
              <w:rPr>
                <w:i/>
                <w:iCs/>
                <w:sz w:val="20"/>
                <w:szCs w:val="20"/>
              </w:rPr>
              <w:t>Pierce v. Society of Sisters</w:t>
            </w:r>
            <w:r w:rsidRPr="003B1467">
              <w:rPr>
                <w:sz w:val="20"/>
                <w:szCs w:val="20"/>
                <w:vertAlign w:val="superscript"/>
              </w:rPr>
              <w:footnoteReference w:id="1378"/>
            </w:r>
            <w:r w:rsidRPr="003B1467">
              <w:rPr>
                <w:sz w:val="20"/>
                <w:szCs w:val="20"/>
              </w:rPr>
              <w:t xml:space="preserve"> aufgrund der materiellen Postulate</w:t>
            </w:r>
            <w:r>
              <w:rPr>
                <w:sz w:val="20"/>
                <w:szCs w:val="20"/>
              </w:rPr>
              <w:t>, die aus der</w:t>
            </w:r>
            <w:r w:rsidRPr="003B1467">
              <w:rPr>
                <w:sz w:val="20"/>
                <w:szCs w:val="20"/>
              </w:rPr>
              <w:t xml:space="preserve"> Unangemessenheits- und Willkürprüfung </w:t>
            </w:r>
            <w:r>
              <w:rPr>
                <w:sz w:val="20"/>
                <w:szCs w:val="20"/>
              </w:rPr>
              <w:t>erwachsen</w:t>
            </w:r>
            <w:r w:rsidRPr="003B1467">
              <w:rPr>
                <w:sz w:val="20"/>
                <w:szCs w:val="20"/>
              </w:rPr>
              <w:t xml:space="preserve">, ein Gesetz für verfassungswidrig, welches </w:t>
            </w:r>
            <w:r w:rsidRPr="5B67C1D2">
              <w:rPr>
                <w:i/>
                <w:iCs/>
                <w:sz w:val="20"/>
                <w:szCs w:val="20"/>
              </w:rPr>
              <w:t>de facto</w:t>
            </w:r>
            <w:r w:rsidRPr="003B1467">
              <w:rPr>
                <w:sz w:val="20"/>
                <w:szCs w:val="20"/>
              </w:rPr>
              <w:t xml:space="preserve"> Privatschulen verbot. Was Willkür bis hierhin hieß, zeige sich an zwei Prüfungsfragen, so fasste der </w:t>
            </w:r>
            <w:r>
              <w:rPr>
                <w:sz w:val="20"/>
                <w:szCs w:val="20"/>
              </w:rPr>
              <w:t>U.S. Supreme Court</w:t>
            </w:r>
            <w:r w:rsidRPr="003B1467">
              <w:rPr>
                <w:sz w:val="20"/>
                <w:szCs w:val="20"/>
              </w:rPr>
              <w:t xml:space="preserve"> in </w:t>
            </w:r>
            <w:r w:rsidRPr="5B67C1D2">
              <w:rPr>
                <w:i/>
                <w:iCs/>
                <w:sz w:val="20"/>
                <w:szCs w:val="20"/>
              </w:rPr>
              <w:t>Palko v. Connecticut</w:t>
            </w:r>
            <w:r w:rsidRPr="003B1467">
              <w:rPr>
                <w:sz w:val="20"/>
                <w:szCs w:val="20"/>
                <w:vertAlign w:val="superscript"/>
              </w:rPr>
              <w:footnoteReference w:id="1379"/>
            </w:r>
            <w:r>
              <w:rPr>
                <w:sz w:val="20"/>
                <w:szCs w:val="20"/>
              </w:rPr>
              <w:t xml:space="preserve"> </w:t>
            </w:r>
            <w:r w:rsidRPr="003B1467">
              <w:rPr>
                <w:sz w:val="20"/>
                <w:szCs w:val="20"/>
              </w:rPr>
              <w:t>zusammen: Kann das Rechtssystem und Gemeinwesen ein Gesetz ertragen? Und verletzt das Gesetz grundlegende Prinzipien der Freiheit und Gerechtigkeit, die den zivilen und politischen Institutionen zugrunde liegen? Die grundlegenden Prinzipien gründen auf den Bedingungen von Glück.</w:t>
            </w:r>
            <w:r w:rsidRPr="003B1467">
              <w:rPr>
                <w:sz w:val="20"/>
                <w:szCs w:val="20"/>
                <w:vertAlign w:val="superscript"/>
              </w:rPr>
              <w:footnoteReference w:id="1380"/>
            </w:r>
            <w:r w:rsidRPr="003B1467">
              <w:rPr>
                <w:sz w:val="20"/>
                <w:szCs w:val="20"/>
              </w:rPr>
              <w:t xml:space="preserve"> Und die Willkürprüfung anhand des Freiheitsbegriffs aus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3B1467">
              <w:rPr>
                <w:sz w:val="20"/>
                <w:szCs w:val="20"/>
              </w:rPr>
              <w:t xml:space="preserve"> erweiterte dann </w:t>
            </w:r>
            <w:r w:rsidRPr="5B67C1D2">
              <w:rPr>
                <w:i/>
                <w:iCs/>
                <w:sz w:val="20"/>
                <w:szCs w:val="20"/>
              </w:rPr>
              <w:t>Skinner v. Oklahoma</w:t>
            </w:r>
            <w:r w:rsidRPr="003B1467">
              <w:rPr>
                <w:sz w:val="20"/>
                <w:szCs w:val="20"/>
                <w:vertAlign w:val="superscript"/>
              </w:rPr>
              <w:footnoteReference w:id="1381"/>
            </w:r>
            <w:r>
              <w:rPr>
                <w:sz w:val="20"/>
                <w:szCs w:val="20"/>
              </w:rPr>
              <w:t xml:space="preserve"> </w:t>
            </w:r>
            <w:r w:rsidRPr="003B1467">
              <w:rPr>
                <w:sz w:val="20"/>
                <w:szCs w:val="20"/>
              </w:rPr>
              <w:t xml:space="preserve">um den Freiheitsbegriff in Verbindung mit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3B1467">
              <w:rPr>
                <w:sz w:val="20"/>
                <w:szCs w:val="20"/>
              </w:rPr>
              <w:t xml:space="preserve">, ebenso abgeleitet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Die Erweiterung umfasse das Grundrecht der gleichen individuellen Entscheidungsfreiheit (</w:t>
            </w:r>
            <w:proofErr w:type="gramStart"/>
            <w:r w:rsidRPr="003B1467">
              <w:rPr>
                <w:sz w:val="20"/>
                <w:szCs w:val="20"/>
              </w:rPr>
              <w:t>„</w:t>
            </w:r>
            <w:r>
              <w:rPr>
                <w:sz w:val="20"/>
                <w:szCs w:val="20"/>
              </w:rPr>
              <w:t>,</w:t>
            </w:r>
            <w:r w:rsidRPr="003B1467">
              <w:rPr>
                <w:sz w:val="20"/>
                <w:szCs w:val="20"/>
              </w:rPr>
              <w:t>fundamental</w:t>
            </w:r>
            <w:proofErr w:type="gramEnd"/>
            <w:r>
              <w:rPr>
                <w:sz w:val="20"/>
                <w:szCs w:val="20"/>
              </w:rPr>
              <w:t>‘</w:t>
            </w:r>
            <w:r w:rsidRPr="003B1467">
              <w:rPr>
                <w:sz w:val="20"/>
                <w:szCs w:val="20"/>
              </w:rPr>
              <w:t xml:space="preserve"> </w:t>
            </w:r>
            <w:proofErr w:type="spellStart"/>
            <w:r w:rsidRPr="003B1467">
              <w:rPr>
                <w:sz w:val="20"/>
                <w:szCs w:val="20"/>
              </w:rPr>
              <w:t>nature</w:t>
            </w:r>
            <w:proofErr w:type="spellEnd"/>
            <w:r w:rsidRPr="003B1467">
              <w:rPr>
                <w:sz w:val="20"/>
                <w:szCs w:val="20"/>
              </w:rPr>
              <w:t xml:space="preserve"> of individual </w:t>
            </w:r>
            <w:proofErr w:type="spellStart"/>
            <w:r w:rsidRPr="003B1467">
              <w:rPr>
                <w:sz w:val="20"/>
                <w:szCs w:val="20"/>
              </w:rPr>
              <w:t>choice</w:t>
            </w:r>
            <w:proofErr w:type="spellEnd"/>
            <w:r w:rsidRPr="003B1467">
              <w:rPr>
                <w:sz w:val="20"/>
                <w:szCs w:val="20"/>
              </w:rPr>
              <w:t>“</w:t>
            </w:r>
            <w:r w:rsidRPr="003B1467">
              <w:rPr>
                <w:sz w:val="20"/>
                <w:szCs w:val="20"/>
                <w:vertAlign w:val="superscript"/>
              </w:rPr>
              <w:footnoteReference w:id="1382"/>
            </w:r>
            <w:r w:rsidRPr="003B1467">
              <w:rPr>
                <w:sz w:val="20"/>
                <w:szCs w:val="20"/>
              </w:rPr>
              <w:t>)</w:t>
            </w:r>
            <w:r>
              <w:rPr>
                <w:sz w:val="20"/>
                <w:szCs w:val="20"/>
              </w:rPr>
              <w:t>,</w:t>
            </w:r>
            <w:r w:rsidRPr="003B1467">
              <w:rPr>
                <w:sz w:val="20"/>
                <w:szCs w:val="20"/>
              </w:rPr>
              <w:t xml:space="preserve"> </w:t>
            </w:r>
            <w:r>
              <w:rPr>
                <w:sz w:val="20"/>
                <w:szCs w:val="20"/>
              </w:rPr>
              <w:t>z.B.</w:t>
            </w:r>
            <w:r w:rsidRPr="003B1467">
              <w:rPr>
                <w:sz w:val="20"/>
                <w:szCs w:val="20"/>
              </w:rPr>
              <w:t xml:space="preserve"> ausgedrückt darin, über die Fortpflanzung selbst entscheiden zu können. Dazu führte der </w:t>
            </w:r>
            <w:r>
              <w:rPr>
                <w:sz w:val="20"/>
                <w:szCs w:val="20"/>
              </w:rPr>
              <w:t>U.S. Supreme Court</w:t>
            </w:r>
            <w:r w:rsidRPr="003B1467">
              <w:rPr>
                <w:sz w:val="20"/>
                <w:szCs w:val="20"/>
              </w:rPr>
              <w:t xml:space="preserve"> die erhebliche Rechtfertigungslast ein („</w:t>
            </w:r>
            <w:proofErr w:type="spellStart"/>
            <w:r w:rsidRPr="003B1467">
              <w:rPr>
                <w:sz w:val="20"/>
                <w:szCs w:val="20"/>
              </w:rPr>
              <w:t>strict</w:t>
            </w:r>
            <w:proofErr w:type="spellEnd"/>
            <w:r w:rsidRPr="003B1467">
              <w:rPr>
                <w:sz w:val="20"/>
                <w:szCs w:val="20"/>
              </w:rPr>
              <w:t xml:space="preserve"> </w:t>
            </w:r>
            <w:proofErr w:type="spellStart"/>
            <w:r w:rsidRPr="003B1467">
              <w:rPr>
                <w:sz w:val="20"/>
                <w:szCs w:val="20"/>
              </w:rPr>
              <w:t>scrutiny</w:t>
            </w:r>
            <w:proofErr w:type="spellEnd"/>
            <w:r w:rsidRPr="003B1467">
              <w:rPr>
                <w:sz w:val="20"/>
                <w:szCs w:val="20"/>
              </w:rPr>
              <w:t>“</w:t>
            </w:r>
            <w:r w:rsidRPr="003B1467">
              <w:rPr>
                <w:sz w:val="20"/>
                <w:szCs w:val="20"/>
                <w:vertAlign w:val="superscript"/>
              </w:rPr>
              <w:footnoteReference w:id="1383"/>
            </w:r>
            <w:r w:rsidRPr="003B1467">
              <w:rPr>
                <w:sz w:val="20"/>
                <w:szCs w:val="20"/>
              </w:rPr>
              <w:t>). D.h. nur</w:t>
            </w:r>
            <w:r>
              <w:rPr>
                <w:sz w:val="20"/>
                <w:szCs w:val="20"/>
              </w:rPr>
              <w:t>,</w:t>
            </w:r>
            <w:r w:rsidRPr="003B1467">
              <w:rPr>
                <w:sz w:val="20"/>
                <w:szCs w:val="20"/>
              </w:rPr>
              <w:t xml:space="preserve"> wenn staatliche Maßnahmen diese einhalten, können sie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mit seinen materiellen Postulaten einschränken; jede Beeinträchtigung des </w:t>
            </w:r>
            <w:r w:rsidRPr="003B1467">
              <w:rPr>
                <w:sz w:val="20"/>
                <w:szCs w:val="20"/>
              </w:rPr>
              <w:lastRenderedPageBreak/>
              <w:t>Freiheitsinteresses erforder</w:t>
            </w:r>
            <w:r>
              <w:rPr>
                <w:sz w:val="20"/>
                <w:szCs w:val="20"/>
              </w:rPr>
              <w:t>t</w:t>
            </w:r>
            <w:r w:rsidRPr="003B1467">
              <w:rPr>
                <w:sz w:val="20"/>
                <w:szCs w:val="20"/>
              </w:rPr>
              <w:t xml:space="preserve"> also eine erhöhte Sorgfalt </w:t>
            </w:r>
            <w:r>
              <w:rPr>
                <w:sz w:val="20"/>
                <w:szCs w:val="20"/>
              </w:rPr>
              <w:t>vonseiten des Staates</w:t>
            </w:r>
            <w:r w:rsidRPr="003B1467">
              <w:rPr>
                <w:sz w:val="20"/>
                <w:szCs w:val="20"/>
              </w:rPr>
              <w:t xml:space="preserve"> („</w:t>
            </w:r>
            <w:proofErr w:type="spellStart"/>
            <w:r w:rsidRPr="003B1467">
              <w:rPr>
                <w:sz w:val="20"/>
                <w:szCs w:val="20"/>
              </w:rPr>
              <w:t>standard</w:t>
            </w:r>
            <w:proofErr w:type="spellEnd"/>
            <w:r w:rsidRPr="003B1467">
              <w:rPr>
                <w:sz w:val="20"/>
                <w:szCs w:val="20"/>
              </w:rPr>
              <w:t xml:space="preserve"> of </w:t>
            </w:r>
            <w:proofErr w:type="spellStart"/>
            <w:r w:rsidRPr="003B1467">
              <w:rPr>
                <w:sz w:val="20"/>
                <w:szCs w:val="20"/>
              </w:rPr>
              <w:t>arbitrariness</w:t>
            </w:r>
            <w:proofErr w:type="spellEnd"/>
            <w:r w:rsidRPr="003B1467">
              <w:rPr>
                <w:sz w:val="20"/>
                <w:szCs w:val="20"/>
              </w:rPr>
              <w:t xml:space="preserve">, a </w:t>
            </w:r>
            <w:proofErr w:type="spellStart"/>
            <w:r w:rsidRPr="003B1467">
              <w:rPr>
                <w:sz w:val="20"/>
                <w:szCs w:val="20"/>
              </w:rPr>
              <w:t>judicial</w:t>
            </w:r>
            <w:proofErr w:type="spellEnd"/>
            <w:r w:rsidRPr="003B1467">
              <w:rPr>
                <w:sz w:val="20"/>
                <w:szCs w:val="20"/>
              </w:rPr>
              <w:t xml:space="preserve"> </w:t>
            </w:r>
            <w:proofErr w:type="spellStart"/>
            <w:r w:rsidRPr="003B1467">
              <w:rPr>
                <w:sz w:val="20"/>
                <w:szCs w:val="20"/>
              </w:rPr>
              <w:t>obligation</w:t>
            </w:r>
            <w:proofErr w:type="spellEnd"/>
            <w:r w:rsidRPr="003B1467">
              <w:rPr>
                <w:sz w:val="20"/>
                <w:szCs w:val="20"/>
              </w:rPr>
              <w:t xml:space="preserve"> to </w:t>
            </w:r>
            <w:proofErr w:type="spellStart"/>
            <w:r w:rsidRPr="003B1467">
              <w:rPr>
                <w:sz w:val="20"/>
                <w:szCs w:val="20"/>
              </w:rPr>
              <w:t>scrutinize</w:t>
            </w:r>
            <w:proofErr w:type="spellEnd"/>
            <w:r w:rsidRPr="003B1467">
              <w:rPr>
                <w:sz w:val="20"/>
                <w:szCs w:val="20"/>
              </w:rPr>
              <w:t xml:space="preserve"> </w:t>
            </w:r>
            <w:proofErr w:type="spellStart"/>
            <w:r w:rsidRPr="003B1467">
              <w:rPr>
                <w:sz w:val="20"/>
                <w:szCs w:val="20"/>
              </w:rPr>
              <w:t>any</w:t>
            </w:r>
            <w:proofErr w:type="spellEnd"/>
            <w:r w:rsidRPr="003B1467">
              <w:rPr>
                <w:sz w:val="20"/>
                <w:szCs w:val="20"/>
              </w:rPr>
              <w:t xml:space="preserve"> </w:t>
            </w:r>
            <w:proofErr w:type="spellStart"/>
            <w:r w:rsidRPr="003B1467">
              <w:rPr>
                <w:sz w:val="20"/>
                <w:szCs w:val="20"/>
              </w:rPr>
              <w:t>impingement</w:t>
            </w:r>
            <w:proofErr w:type="spellEnd"/>
            <w:r w:rsidRPr="003B1467">
              <w:rPr>
                <w:sz w:val="20"/>
                <w:szCs w:val="20"/>
              </w:rPr>
              <w:t xml:space="preserve"> on such an important </w:t>
            </w:r>
            <w:proofErr w:type="spellStart"/>
            <w:r w:rsidRPr="003B1467">
              <w:rPr>
                <w:sz w:val="20"/>
                <w:szCs w:val="20"/>
              </w:rPr>
              <w:t>interest</w:t>
            </w:r>
            <w:proofErr w:type="spellEnd"/>
            <w:r w:rsidRPr="003B1467">
              <w:rPr>
                <w:sz w:val="20"/>
                <w:szCs w:val="20"/>
              </w:rPr>
              <w:t xml:space="preserve"> </w:t>
            </w:r>
            <w:proofErr w:type="spellStart"/>
            <w:r w:rsidRPr="003B1467">
              <w:rPr>
                <w:sz w:val="20"/>
                <w:szCs w:val="20"/>
              </w:rPr>
              <w:t>with</w:t>
            </w:r>
            <w:proofErr w:type="spellEnd"/>
            <w:r w:rsidRPr="003B1467">
              <w:rPr>
                <w:sz w:val="20"/>
                <w:szCs w:val="20"/>
              </w:rPr>
              <w:t xml:space="preserve"> </w:t>
            </w:r>
            <w:proofErr w:type="spellStart"/>
            <w:r w:rsidRPr="003B1467">
              <w:rPr>
                <w:sz w:val="20"/>
                <w:szCs w:val="20"/>
              </w:rPr>
              <w:t>heightened</w:t>
            </w:r>
            <w:proofErr w:type="spellEnd"/>
            <w:r w:rsidRPr="003B1467">
              <w:rPr>
                <w:sz w:val="20"/>
                <w:szCs w:val="20"/>
              </w:rPr>
              <w:t xml:space="preserve"> care“</w:t>
            </w:r>
            <w:r w:rsidRPr="003B1467">
              <w:rPr>
                <w:sz w:val="20"/>
                <w:szCs w:val="20"/>
                <w:vertAlign w:val="superscript"/>
              </w:rPr>
              <w:footnoteReference w:id="1384"/>
            </w:r>
            <w:r w:rsidRPr="003B1467">
              <w:rPr>
                <w:sz w:val="20"/>
                <w:szCs w:val="20"/>
              </w:rPr>
              <w:t>). Erhöhte Sorgfalt heißt wiederum was? Es heißt, die Art und das Ausmaß der Rechtfertigung staatlicher Maßnahmen müsse</w:t>
            </w:r>
            <w:r>
              <w:rPr>
                <w:sz w:val="20"/>
                <w:szCs w:val="20"/>
              </w:rPr>
              <w:t>n</w:t>
            </w:r>
            <w:r w:rsidRPr="003B1467">
              <w:rPr>
                <w:sz w:val="20"/>
                <w:szCs w:val="20"/>
              </w:rPr>
              <w:t xml:space="preserve"> vom Gewicht des betroffenen Interesses der Person abhängig gemacht werden, so </w:t>
            </w:r>
            <w:r>
              <w:rPr>
                <w:sz w:val="20"/>
                <w:szCs w:val="20"/>
              </w:rPr>
              <w:t>z.B.</w:t>
            </w:r>
            <w:r w:rsidRPr="003B1467">
              <w:rPr>
                <w:sz w:val="20"/>
                <w:szCs w:val="20"/>
              </w:rPr>
              <w:t xml:space="preserve"> im Dissens in </w:t>
            </w:r>
            <w:r w:rsidRPr="5B67C1D2">
              <w:rPr>
                <w:i/>
                <w:iCs/>
                <w:sz w:val="20"/>
                <w:szCs w:val="20"/>
              </w:rPr>
              <w:t>Poe v. Ullman</w:t>
            </w:r>
            <w:r w:rsidRPr="003B1467">
              <w:rPr>
                <w:sz w:val="20"/>
                <w:szCs w:val="20"/>
              </w:rPr>
              <w:t>.</w:t>
            </w:r>
            <w:r w:rsidRPr="003B1467">
              <w:rPr>
                <w:sz w:val="20"/>
                <w:szCs w:val="20"/>
                <w:vertAlign w:val="superscript"/>
              </w:rPr>
              <w:footnoteReference w:id="1385"/>
            </w:r>
            <w:r w:rsidRPr="003B1467">
              <w:rPr>
                <w:sz w:val="20"/>
                <w:szCs w:val="20"/>
              </w:rPr>
              <w:t xml:space="preserve"> </w:t>
            </w:r>
            <w:r w:rsidRPr="00B45592">
              <w:rPr>
                <w:sz w:val="20"/>
                <w:szCs w:val="20"/>
              </w:rPr>
              <w:t xml:space="preserve">Und der Dissens in </w:t>
            </w:r>
            <w:r w:rsidRPr="5B67C1D2">
              <w:rPr>
                <w:i/>
                <w:iCs/>
                <w:sz w:val="20"/>
                <w:szCs w:val="20"/>
              </w:rPr>
              <w:t>Poe</w:t>
            </w:r>
            <w:r w:rsidRPr="00B45592">
              <w:rPr>
                <w:sz w:val="20"/>
                <w:szCs w:val="20"/>
              </w:rPr>
              <w:t xml:space="preserve"> trug sich in </w:t>
            </w:r>
            <w:r w:rsidRPr="5B67C1D2">
              <w:rPr>
                <w:i/>
                <w:iCs/>
                <w:sz w:val="20"/>
                <w:szCs w:val="20"/>
              </w:rPr>
              <w:t>Griswold v. Connecticut</w:t>
            </w:r>
            <w:r w:rsidRPr="00B45592">
              <w:rPr>
                <w:sz w:val="20"/>
                <w:szCs w:val="20"/>
              </w:rPr>
              <w:t xml:space="preserve"> fort,</w:t>
            </w:r>
            <w:r w:rsidRPr="003B1467">
              <w:rPr>
                <w:sz w:val="20"/>
                <w:szCs w:val="20"/>
                <w:vertAlign w:val="superscript"/>
                <w:lang w:val="en-US"/>
              </w:rPr>
              <w:footnoteReference w:id="1386"/>
            </w:r>
            <w:r w:rsidRPr="00B45592">
              <w:rPr>
                <w:sz w:val="20"/>
                <w:szCs w:val="20"/>
              </w:rPr>
              <w:t xml:space="preserve"> bis das Gericht in </w:t>
            </w:r>
            <w:r w:rsidRPr="5B67C1D2">
              <w:rPr>
                <w:i/>
                <w:iCs/>
                <w:sz w:val="20"/>
                <w:szCs w:val="20"/>
              </w:rPr>
              <w:t xml:space="preserve">Planned </w:t>
            </w:r>
            <w:proofErr w:type="spellStart"/>
            <w:r w:rsidRPr="5B67C1D2">
              <w:rPr>
                <w:i/>
                <w:iCs/>
                <w:sz w:val="20"/>
                <w:szCs w:val="20"/>
              </w:rPr>
              <w:t>Parenthood</w:t>
            </w:r>
            <w:proofErr w:type="spellEnd"/>
            <w:r w:rsidRPr="5B67C1D2">
              <w:rPr>
                <w:i/>
                <w:iCs/>
                <w:sz w:val="20"/>
                <w:szCs w:val="20"/>
              </w:rPr>
              <w:t xml:space="preserve"> of </w:t>
            </w:r>
            <w:proofErr w:type="spellStart"/>
            <w:r w:rsidRPr="5B67C1D2">
              <w:rPr>
                <w:i/>
                <w:iCs/>
                <w:sz w:val="20"/>
                <w:szCs w:val="20"/>
              </w:rPr>
              <w:t>Southeastern</w:t>
            </w:r>
            <w:proofErr w:type="spellEnd"/>
            <w:r w:rsidRPr="5B67C1D2">
              <w:rPr>
                <w:i/>
                <w:iCs/>
                <w:sz w:val="20"/>
                <w:szCs w:val="20"/>
              </w:rPr>
              <w:t xml:space="preserve"> </w:t>
            </w:r>
            <w:proofErr w:type="spellStart"/>
            <w:r w:rsidRPr="5B67C1D2">
              <w:rPr>
                <w:i/>
                <w:iCs/>
                <w:sz w:val="20"/>
                <w:szCs w:val="20"/>
              </w:rPr>
              <w:t>Pa</w:t>
            </w:r>
            <w:proofErr w:type="spellEnd"/>
            <w:r w:rsidRPr="5B67C1D2">
              <w:rPr>
                <w:i/>
                <w:iCs/>
                <w:sz w:val="20"/>
                <w:szCs w:val="20"/>
              </w:rPr>
              <w:t>. v. Casey</w:t>
            </w:r>
            <w:r w:rsidRPr="00B45592">
              <w:rPr>
                <w:sz w:val="20"/>
                <w:szCs w:val="20"/>
              </w:rPr>
              <w:t xml:space="preserve"> diesen Ansatz in seiner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B45592">
              <w:rPr>
                <w:sz w:val="20"/>
                <w:szCs w:val="20"/>
              </w:rPr>
              <w:t xml:space="preserve"> bestätigte.</w:t>
            </w:r>
            <w:r w:rsidRPr="003B1467">
              <w:rPr>
                <w:sz w:val="20"/>
                <w:szCs w:val="20"/>
                <w:vertAlign w:val="superscript"/>
                <w:lang w:val="en-US"/>
              </w:rPr>
              <w:footnoteReference w:id="1387"/>
            </w:r>
            <w:r w:rsidRPr="00B45592">
              <w:rPr>
                <w:sz w:val="20"/>
                <w:szCs w:val="20"/>
              </w:rPr>
              <w:t xml:space="preserve"> </w:t>
            </w:r>
            <w:r w:rsidRPr="003B1467">
              <w:rPr>
                <w:sz w:val="20"/>
                <w:szCs w:val="20"/>
              </w:rPr>
              <w:t xml:space="preserve">Der ehemalige Dissens fasst in drei Schritten die heute geltende verfassungsrechtliche Überprüfung von Gesetzen zusammen: Erstens müssen Gerichte Gesetze materiell-rechtlich auf ihre Verfassungsmäßigkeit überprüfen, </w:t>
            </w:r>
            <w:r>
              <w:rPr>
                <w:sz w:val="20"/>
                <w:szCs w:val="20"/>
              </w:rPr>
              <w:t>z.B.</w:t>
            </w:r>
            <w:r w:rsidRPr="003B1467">
              <w:rPr>
                <w:sz w:val="20"/>
                <w:szCs w:val="20"/>
              </w:rPr>
              <w:t xml:space="preserve"> konnte der </w:t>
            </w:r>
            <w:r>
              <w:rPr>
                <w:sz w:val="20"/>
                <w:szCs w:val="20"/>
              </w:rPr>
              <w:t>U.S. Supreme Court</w:t>
            </w:r>
            <w:r w:rsidRPr="003B1467">
              <w:rPr>
                <w:sz w:val="20"/>
                <w:szCs w:val="20"/>
              </w:rPr>
              <w:t xml:space="preserve"> damit die Segregation im öffentlichen Raum aufheben,</w:t>
            </w:r>
            <w:r w:rsidRPr="003B1467">
              <w:rPr>
                <w:sz w:val="20"/>
                <w:szCs w:val="20"/>
                <w:vertAlign w:val="superscript"/>
              </w:rPr>
              <w:footnoteReference w:id="1388"/>
            </w:r>
            <w:r w:rsidRPr="003B1467">
              <w:rPr>
                <w:sz w:val="20"/>
                <w:szCs w:val="20"/>
              </w:rPr>
              <w:t xml:space="preserve"> die Ehe zwischen verschiedenen Rassen legitimieren,</w:t>
            </w:r>
            <w:r w:rsidRPr="003B1467">
              <w:rPr>
                <w:sz w:val="20"/>
                <w:szCs w:val="20"/>
                <w:vertAlign w:val="superscript"/>
              </w:rPr>
              <w:footnoteReference w:id="1389"/>
            </w:r>
            <w:r w:rsidRPr="003B1467">
              <w:rPr>
                <w:sz w:val="20"/>
                <w:szCs w:val="20"/>
              </w:rPr>
              <w:t xml:space="preserve"> die eheliche Privatsphäre</w:t>
            </w:r>
            <w:r w:rsidRPr="003B1467">
              <w:rPr>
                <w:sz w:val="20"/>
                <w:szCs w:val="20"/>
                <w:vertAlign w:val="superscript"/>
              </w:rPr>
              <w:footnoteReference w:id="1390"/>
            </w:r>
            <w:r w:rsidRPr="003B1467">
              <w:rPr>
                <w:sz w:val="20"/>
                <w:szCs w:val="20"/>
              </w:rPr>
              <w:t xml:space="preserve"> und Empfängnisverhütung schützen,</w:t>
            </w:r>
            <w:r w:rsidRPr="003B1467">
              <w:rPr>
                <w:sz w:val="20"/>
                <w:szCs w:val="20"/>
                <w:vertAlign w:val="superscript"/>
              </w:rPr>
              <w:footnoteReference w:id="1391"/>
            </w:r>
            <w:r w:rsidRPr="003B1467">
              <w:rPr>
                <w:sz w:val="20"/>
                <w:szCs w:val="20"/>
              </w:rPr>
              <w:t xml:space="preserve"> die Entscheidungsfreiheit für medizinische Behandlungen gewähren</w:t>
            </w:r>
            <w:r w:rsidRPr="003B1467">
              <w:rPr>
                <w:sz w:val="20"/>
                <w:szCs w:val="20"/>
                <w:vertAlign w:val="superscript"/>
              </w:rPr>
              <w:footnoteReference w:id="1392"/>
            </w:r>
            <w:r w:rsidRPr="003B1467">
              <w:rPr>
                <w:sz w:val="20"/>
                <w:szCs w:val="20"/>
              </w:rPr>
              <w:t xml:space="preserve"> und die Grenzen von Freiheitsbeschränkungen konturieren.</w:t>
            </w:r>
            <w:r w:rsidRPr="003B1467">
              <w:rPr>
                <w:sz w:val="20"/>
                <w:szCs w:val="20"/>
                <w:vertAlign w:val="superscript"/>
              </w:rPr>
              <w:footnoteReference w:id="1393"/>
            </w:r>
            <w:r w:rsidRPr="003B1467">
              <w:rPr>
                <w:sz w:val="20"/>
                <w:szCs w:val="20"/>
              </w:rPr>
              <w:t xml:space="preserve"> D.h. der </w:t>
            </w:r>
            <w:r>
              <w:rPr>
                <w:sz w:val="20"/>
                <w:szCs w:val="20"/>
              </w:rPr>
              <w:t>U.S. Supreme Court</w:t>
            </w:r>
            <w:r w:rsidRPr="003B1467">
              <w:rPr>
                <w:sz w:val="20"/>
                <w:szCs w:val="20"/>
              </w:rPr>
              <w:t xml:space="preserve"> hatte Gesetze anhand dieser zunehmenden materiellen Postulate zu überprüfen, wie er es in </w:t>
            </w:r>
            <w:r w:rsidRPr="5B67C1D2">
              <w:rPr>
                <w:i/>
                <w:iCs/>
                <w:sz w:val="20"/>
                <w:szCs w:val="20"/>
              </w:rPr>
              <w:t>Marbury v. Madison</w:t>
            </w:r>
            <w:r w:rsidRPr="003B1467">
              <w:rPr>
                <w:sz w:val="20"/>
                <w:szCs w:val="20"/>
              </w:rPr>
              <w:t xml:space="preserve"> bereits andeutete.</w:t>
            </w:r>
            <w:r w:rsidRPr="003B1467">
              <w:rPr>
                <w:sz w:val="20"/>
                <w:szCs w:val="20"/>
                <w:vertAlign w:val="superscript"/>
              </w:rPr>
              <w:footnoteReference w:id="1394"/>
            </w:r>
            <w:r w:rsidRPr="003B1467">
              <w:rPr>
                <w:sz w:val="20"/>
                <w:szCs w:val="20"/>
              </w:rPr>
              <w:t xml:space="preserv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3B1467">
              <w:rPr>
                <w:sz w:val="20"/>
                <w:szCs w:val="20"/>
              </w:rPr>
              <w:t xml:space="preserve"> manifestier</w:t>
            </w:r>
            <w:r>
              <w:rPr>
                <w:sz w:val="20"/>
                <w:szCs w:val="20"/>
              </w:rPr>
              <w:t>t</w:t>
            </w:r>
            <w:r w:rsidRPr="003B1467">
              <w:rPr>
                <w:sz w:val="20"/>
                <w:szCs w:val="20"/>
              </w:rPr>
              <w:t xml:space="preserve"> sich also zunehmend mit materiell-rechtlichem Gehalt und nicht nur als verfahrensrechtliche Beschränkung („impossible to </w:t>
            </w:r>
            <w:proofErr w:type="spellStart"/>
            <w:r w:rsidRPr="003B1467">
              <w:rPr>
                <w:sz w:val="20"/>
                <w:szCs w:val="20"/>
              </w:rPr>
              <w:t>construe</w:t>
            </w:r>
            <w:proofErr w:type="spellEnd"/>
            <w:r w:rsidRPr="003B1467">
              <w:rPr>
                <w:sz w:val="20"/>
                <w:szCs w:val="20"/>
              </w:rPr>
              <w:t xml:space="preserve"> the </w:t>
            </w:r>
            <w:proofErr w:type="spellStart"/>
            <w:r w:rsidRPr="003B1467">
              <w:rPr>
                <w:sz w:val="20"/>
                <w:szCs w:val="20"/>
              </w:rPr>
              <w:t>text</w:t>
            </w:r>
            <w:proofErr w:type="spellEnd"/>
            <w:r w:rsidRPr="003B1467">
              <w:rPr>
                <w:sz w:val="20"/>
                <w:szCs w:val="20"/>
              </w:rPr>
              <w:t xml:space="preserve"> of due </w:t>
            </w:r>
            <w:proofErr w:type="spellStart"/>
            <w:r w:rsidRPr="003B1467">
              <w:rPr>
                <w:sz w:val="20"/>
                <w:szCs w:val="20"/>
              </w:rPr>
              <w:t>process</w:t>
            </w:r>
            <w:proofErr w:type="spellEnd"/>
            <w:r w:rsidRPr="003B1467">
              <w:rPr>
                <w:sz w:val="20"/>
                <w:szCs w:val="20"/>
              </w:rPr>
              <w:t xml:space="preserve"> </w:t>
            </w:r>
            <w:proofErr w:type="spellStart"/>
            <w:r w:rsidRPr="003B1467">
              <w:rPr>
                <w:sz w:val="20"/>
                <w:szCs w:val="20"/>
              </w:rPr>
              <w:t>without</w:t>
            </w:r>
            <w:proofErr w:type="spellEnd"/>
            <w:r w:rsidRPr="003B1467">
              <w:rPr>
                <w:sz w:val="20"/>
                <w:szCs w:val="20"/>
              </w:rPr>
              <w:t xml:space="preserve"> </w:t>
            </w:r>
            <w:proofErr w:type="spellStart"/>
            <w:r w:rsidRPr="003B1467">
              <w:rPr>
                <w:sz w:val="20"/>
                <w:szCs w:val="20"/>
              </w:rPr>
              <w:t>recognizing</w:t>
            </w:r>
            <w:proofErr w:type="spellEnd"/>
            <w:r w:rsidRPr="003B1467">
              <w:rPr>
                <w:sz w:val="20"/>
                <w:szCs w:val="20"/>
              </w:rPr>
              <w:t xml:space="preserve"> </w:t>
            </w:r>
            <w:proofErr w:type="spellStart"/>
            <w:r w:rsidRPr="003B1467">
              <w:rPr>
                <w:sz w:val="20"/>
                <w:szCs w:val="20"/>
              </w:rPr>
              <w:t>substantive</w:t>
            </w:r>
            <w:proofErr w:type="spellEnd"/>
            <w:r w:rsidRPr="003B1467">
              <w:rPr>
                <w:sz w:val="20"/>
                <w:szCs w:val="20"/>
              </w:rPr>
              <w:t xml:space="preserve">, and not </w:t>
            </w:r>
            <w:proofErr w:type="spellStart"/>
            <w:r w:rsidRPr="003B1467">
              <w:rPr>
                <w:sz w:val="20"/>
                <w:szCs w:val="20"/>
              </w:rPr>
              <w:t>merely</w:t>
            </w:r>
            <w:proofErr w:type="spellEnd"/>
            <w:r w:rsidRPr="003B1467">
              <w:rPr>
                <w:sz w:val="20"/>
                <w:szCs w:val="20"/>
              </w:rPr>
              <w:t xml:space="preserve"> </w:t>
            </w:r>
            <w:proofErr w:type="spellStart"/>
            <w:r w:rsidRPr="003B1467">
              <w:rPr>
                <w:sz w:val="20"/>
                <w:szCs w:val="20"/>
              </w:rPr>
              <w:t>procedural</w:t>
            </w:r>
            <w:proofErr w:type="spellEnd"/>
            <w:r w:rsidRPr="003B1467">
              <w:rPr>
                <w:sz w:val="20"/>
                <w:szCs w:val="20"/>
              </w:rPr>
              <w:t xml:space="preserve">, </w:t>
            </w:r>
            <w:proofErr w:type="spellStart"/>
            <w:r w:rsidRPr="003B1467">
              <w:rPr>
                <w:sz w:val="20"/>
                <w:szCs w:val="20"/>
              </w:rPr>
              <w:t>limitations</w:t>
            </w:r>
            <w:proofErr w:type="spellEnd"/>
            <w:r w:rsidRPr="003B1467">
              <w:rPr>
                <w:sz w:val="20"/>
                <w:szCs w:val="20"/>
              </w:rPr>
              <w:t>“</w:t>
            </w:r>
            <w:r w:rsidRPr="003B1467">
              <w:rPr>
                <w:sz w:val="20"/>
                <w:szCs w:val="20"/>
                <w:vertAlign w:val="superscript"/>
              </w:rPr>
              <w:footnoteReference w:id="1395"/>
            </w:r>
            <w:r w:rsidRPr="003B1467">
              <w:rPr>
                <w:sz w:val="20"/>
                <w:szCs w:val="20"/>
              </w:rPr>
              <w:t xml:space="preserve">). Die Begründung für diese Zunahme ist der Wortlaut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Er verpflichtet</w:t>
            </w:r>
            <w:r>
              <w:rPr>
                <w:sz w:val="20"/>
                <w:szCs w:val="20"/>
              </w:rPr>
              <w:t xml:space="preserve"> zur Definition von</w:t>
            </w:r>
            <w:r w:rsidRPr="003B1467">
              <w:rPr>
                <w:sz w:val="20"/>
                <w:szCs w:val="20"/>
              </w:rPr>
              <w:t xml:space="preserve"> Leben, Freiheit und Eigentum, damit Gerichte überhaupt entscheiden können, ob ein ordnungsgemäßer Entzug </w:t>
            </w:r>
            <w:r>
              <w:rPr>
                <w:sz w:val="20"/>
                <w:szCs w:val="20"/>
              </w:rPr>
              <w:t>derselben</w:t>
            </w:r>
            <w:r w:rsidRPr="003B1467">
              <w:rPr>
                <w:sz w:val="20"/>
                <w:szCs w:val="20"/>
              </w:rPr>
              <w:t xml:space="preserve"> besteh</w:t>
            </w:r>
            <w:r>
              <w:rPr>
                <w:sz w:val="20"/>
                <w:szCs w:val="20"/>
              </w:rPr>
              <w:t>t</w:t>
            </w:r>
            <w:r w:rsidRPr="003B1467">
              <w:rPr>
                <w:sz w:val="20"/>
                <w:szCs w:val="20"/>
              </w:rPr>
              <w:t xml:space="preserve"> – oder nicht.</w:t>
            </w:r>
            <w:r w:rsidRPr="003B1467">
              <w:rPr>
                <w:sz w:val="20"/>
                <w:szCs w:val="20"/>
                <w:vertAlign w:val="superscript"/>
              </w:rPr>
              <w:footnoteReference w:id="1396"/>
            </w:r>
            <w:r w:rsidRPr="003B1467">
              <w:rPr>
                <w:sz w:val="20"/>
                <w:szCs w:val="20"/>
              </w:rPr>
              <w:t xml:space="preserve"> Und zweitens geht es bei dieser Verfassungsprüfung nicht darum, extratextuelle, absolute Rechte zu schöpfen, sondern widerstreitende Prinzipien, die die Geschichte und Werte des Volkes hervorbrachten („</w:t>
            </w:r>
            <w:proofErr w:type="spellStart"/>
            <w:r w:rsidRPr="003B1467">
              <w:rPr>
                <w:sz w:val="20"/>
                <w:szCs w:val="20"/>
              </w:rPr>
              <w:t>clashing</w:t>
            </w:r>
            <w:proofErr w:type="spellEnd"/>
            <w:r w:rsidRPr="003B1467">
              <w:rPr>
                <w:sz w:val="20"/>
                <w:szCs w:val="20"/>
              </w:rPr>
              <w:t xml:space="preserve"> </w:t>
            </w:r>
            <w:proofErr w:type="spellStart"/>
            <w:r w:rsidRPr="003B1467">
              <w:rPr>
                <w:sz w:val="20"/>
                <w:szCs w:val="20"/>
              </w:rPr>
              <w:t>principles</w:t>
            </w:r>
            <w:proofErr w:type="spellEnd"/>
            <w:r w:rsidRPr="003B1467">
              <w:rPr>
                <w:sz w:val="20"/>
                <w:szCs w:val="20"/>
              </w:rPr>
              <w:t xml:space="preserve"> […] </w:t>
            </w:r>
            <w:proofErr w:type="spellStart"/>
            <w:r w:rsidRPr="003B1467">
              <w:rPr>
                <w:sz w:val="20"/>
                <w:szCs w:val="20"/>
              </w:rPr>
              <w:t>within</w:t>
            </w:r>
            <w:proofErr w:type="spellEnd"/>
            <w:r w:rsidRPr="003B1467">
              <w:rPr>
                <w:sz w:val="20"/>
                <w:szCs w:val="20"/>
              </w:rPr>
              <w:t xml:space="preserve"> the </w:t>
            </w:r>
            <w:proofErr w:type="spellStart"/>
            <w:r w:rsidRPr="003B1467">
              <w:rPr>
                <w:sz w:val="20"/>
                <w:szCs w:val="20"/>
              </w:rPr>
              <w:t>history</w:t>
            </w:r>
            <w:proofErr w:type="spellEnd"/>
            <w:r w:rsidRPr="003B1467">
              <w:rPr>
                <w:sz w:val="20"/>
                <w:szCs w:val="20"/>
              </w:rPr>
              <w:t xml:space="preserve"> of </w:t>
            </w:r>
            <w:proofErr w:type="spellStart"/>
            <w:r w:rsidRPr="003B1467">
              <w:rPr>
                <w:sz w:val="20"/>
                <w:szCs w:val="20"/>
              </w:rPr>
              <w:t>our</w:t>
            </w:r>
            <w:proofErr w:type="spellEnd"/>
            <w:r w:rsidRPr="003B1467">
              <w:rPr>
                <w:sz w:val="20"/>
                <w:szCs w:val="20"/>
              </w:rPr>
              <w:t xml:space="preserve"> </w:t>
            </w:r>
            <w:proofErr w:type="spellStart"/>
            <w:r w:rsidRPr="003B1467">
              <w:rPr>
                <w:sz w:val="20"/>
                <w:szCs w:val="20"/>
              </w:rPr>
              <w:t>values</w:t>
            </w:r>
            <w:proofErr w:type="spellEnd"/>
            <w:r w:rsidRPr="003B1467">
              <w:rPr>
                <w:sz w:val="20"/>
                <w:szCs w:val="20"/>
              </w:rPr>
              <w:t xml:space="preserve"> as a </w:t>
            </w:r>
            <w:proofErr w:type="spellStart"/>
            <w:r w:rsidRPr="003B1467">
              <w:rPr>
                <w:sz w:val="20"/>
                <w:szCs w:val="20"/>
              </w:rPr>
              <w:t>people</w:t>
            </w:r>
            <w:proofErr w:type="spellEnd"/>
            <w:r w:rsidRPr="003B1467">
              <w:rPr>
                <w:sz w:val="20"/>
                <w:szCs w:val="20"/>
              </w:rPr>
              <w:t>“</w:t>
            </w:r>
            <w:r w:rsidRPr="003B1467">
              <w:rPr>
                <w:sz w:val="20"/>
                <w:szCs w:val="20"/>
                <w:vertAlign w:val="superscript"/>
              </w:rPr>
              <w:footnoteReference w:id="1397"/>
            </w:r>
            <w:r w:rsidRPr="003B1467">
              <w:rPr>
                <w:sz w:val="20"/>
                <w:szCs w:val="20"/>
              </w:rPr>
              <w:t>), in Struktur miteinander abzuwägen. Dabei müssen Gericht</w:t>
            </w:r>
            <w:r>
              <w:rPr>
                <w:sz w:val="20"/>
                <w:szCs w:val="20"/>
              </w:rPr>
              <w:t>e</w:t>
            </w:r>
            <w:r w:rsidRPr="003B1467">
              <w:rPr>
                <w:sz w:val="20"/>
                <w:szCs w:val="20"/>
              </w:rPr>
              <w:t xml:space="preserve"> die relative Stärke dieser Prinzipien anhand der dahinterstehenden, widerstreitenden Interessen miteinander vergleichen. Und </w:t>
            </w:r>
            <w:r>
              <w:rPr>
                <w:sz w:val="20"/>
                <w:szCs w:val="20"/>
              </w:rPr>
              <w:t>d</w:t>
            </w:r>
            <w:r w:rsidRPr="003B1467">
              <w:rPr>
                <w:sz w:val="20"/>
                <w:szCs w:val="20"/>
              </w:rPr>
              <w:t xml:space="preserve">rittens muss die materiell-rechtliche Prüfung der Verfassungsmäßigkeit anhand </w:t>
            </w:r>
            <w:r>
              <w:rPr>
                <w:sz w:val="20"/>
                <w:szCs w:val="20"/>
              </w:rPr>
              <w:t>von</w:t>
            </w:r>
            <w:r w:rsidRPr="003B1467">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immer die streitenden Interessen als Ausgangspunkt wählen. Die Prüfung darf die Interessen nicht ersetzen und hat Gesetze nur entsprechend diese</w:t>
            </w:r>
            <w:r>
              <w:rPr>
                <w:sz w:val="20"/>
                <w:szCs w:val="20"/>
              </w:rPr>
              <w:t>n</w:t>
            </w:r>
            <w:r w:rsidRPr="003B1467">
              <w:rPr>
                <w:sz w:val="20"/>
                <w:szCs w:val="20"/>
              </w:rPr>
              <w:t xml:space="preserve"> Interessen auf Angemessenheit zu prüfen. D</w:t>
            </w:r>
            <w:r>
              <w:rPr>
                <w:sz w:val="20"/>
                <w:szCs w:val="20"/>
              </w:rPr>
              <w:t>as bedeutet,</w:t>
            </w:r>
            <w:r w:rsidRPr="003B1467">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1467">
              <w:rPr>
                <w:sz w:val="20"/>
                <w:szCs w:val="20"/>
              </w:rPr>
              <w:t xml:space="preserve"> beinhalte</w:t>
            </w:r>
            <w:r>
              <w:rPr>
                <w:sz w:val="20"/>
                <w:szCs w:val="20"/>
              </w:rPr>
              <w:t>t</w:t>
            </w:r>
            <w:r w:rsidRPr="003B1467">
              <w:rPr>
                <w:sz w:val="20"/>
                <w:szCs w:val="20"/>
              </w:rPr>
              <w:t xml:space="preserve"> durch die Erweiterungen zwar </w:t>
            </w:r>
            <w:proofErr w:type="spellStart"/>
            <w:r w:rsidRPr="003B1467">
              <w:rPr>
                <w:sz w:val="20"/>
                <w:szCs w:val="20"/>
              </w:rPr>
              <w:t>unaufgezählte</w:t>
            </w:r>
            <w:proofErr w:type="spellEnd"/>
            <w:r w:rsidRPr="003B1467">
              <w:rPr>
                <w:sz w:val="20"/>
                <w:szCs w:val="20"/>
              </w:rPr>
              <w:t xml:space="preserve"> Rechte („</w:t>
            </w:r>
            <w:proofErr w:type="spellStart"/>
            <w:r w:rsidRPr="003B1467">
              <w:rPr>
                <w:sz w:val="20"/>
                <w:szCs w:val="20"/>
              </w:rPr>
              <w:t>unenumerated</w:t>
            </w:r>
            <w:proofErr w:type="spellEnd"/>
            <w:r w:rsidRPr="003B1467">
              <w:rPr>
                <w:sz w:val="20"/>
                <w:szCs w:val="20"/>
              </w:rPr>
              <w:t xml:space="preserve"> </w:t>
            </w:r>
            <w:proofErr w:type="spellStart"/>
            <w:r w:rsidRPr="003B1467">
              <w:rPr>
                <w:sz w:val="20"/>
                <w:szCs w:val="20"/>
              </w:rPr>
              <w:t>rights</w:t>
            </w:r>
            <w:proofErr w:type="spellEnd"/>
            <w:r w:rsidRPr="003B1467">
              <w:rPr>
                <w:sz w:val="20"/>
                <w:szCs w:val="20"/>
              </w:rPr>
              <w:t xml:space="preserve"> in the </w:t>
            </w:r>
            <w:proofErr w:type="spellStart"/>
            <w:r w:rsidRPr="003B1467">
              <w:rPr>
                <w:sz w:val="20"/>
                <w:szCs w:val="20"/>
              </w:rPr>
              <w:t>wake</w:t>
            </w:r>
            <w:proofErr w:type="spellEnd"/>
            <w:r w:rsidRPr="003B1467">
              <w:rPr>
                <w:sz w:val="20"/>
                <w:szCs w:val="20"/>
              </w:rPr>
              <w:t xml:space="preserve"> of the Poe </w:t>
            </w:r>
            <w:proofErr w:type="spellStart"/>
            <w:r w:rsidRPr="003B1467">
              <w:rPr>
                <w:sz w:val="20"/>
                <w:szCs w:val="20"/>
              </w:rPr>
              <w:t>dissent</w:t>
            </w:r>
            <w:proofErr w:type="spellEnd"/>
            <w:r w:rsidRPr="003B1467">
              <w:rPr>
                <w:sz w:val="20"/>
                <w:szCs w:val="20"/>
              </w:rPr>
              <w:t>“</w:t>
            </w:r>
            <w:r w:rsidRPr="003B1467">
              <w:rPr>
                <w:sz w:val="20"/>
                <w:szCs w:val="20"/>
                <w:vertAlign w:val="superscript"/>
              </w:rPr>
              <w:footnoteReference w:id="1398"/>
            </w:r>
            <w:r w:rsidRPr="003B1467">
              <w:rPr>
                <w:sz w:val="20"/>
                <w:szCs w:val="20"/>
              </w:rPr>
              <w:t xml:space="preserve">) </w:t>
            </w:r>
            <w:r w:rsidRPr="003B1467">
              <w:rPr>
                <w:sz w:val="20"/>
                <w:szCs w:val="20"/>
              </w:rPr>
              <w:lastRenderedPageBreak/>
              <w:t xml:space="preserve">wegen des offenen Freiheitsbegriffs und der offenen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3B1467">
              <w:rPr>
                <w:sz w:val="20"/>
                <w:szCs w:val="20"/>
              </w:rPr>
              <w:t>. Aber anhand des Konzepts der geordneten Freiheit („</w:t>
            </w:r>
            <w:proofErr w:type="spellStart"/>
            <w:r w:rsidRPr="003B1467">
              <w:rPr>
                <w:sz w:val="20"/>
                <w:szCs w:val="20"/>
              </w:rPr>
              <w:t>ordered</w:t>
            </w:r>
            <w:proofErr w:type="spellEnd"/>
            <w:r w:rsidRPr="003B1467">
              <w:rPr>
                <w:sz w:val="20"/>
                <w:szCs w:val="20"/>
              </w:rPr>
              <w:t xml:space="preserve"> </w:t>
            </w:r>
            <w:proofErr w:type="spellStart"/>
            <w:r w:rsidRPr="003B1467">
              <w:rPr>
                <w:sz w:val="20"/>
                <w:szCs w:val="20"/>
              </w:rPr>
              <w:t>liberty</w:t>
            </w:r>
            <w:proofErr w:type="spellEnd"/>
            <w:r w:rsidRPr="003B1467">
              <w:rPr>
                <w:sz w:val="20"/>
                <w:szCs w:val="20"/>
              </w:rPr>
              <w:t>“</w:t>
            </w:r>
            <w:r w:rsidRPr="003B1467">
              <w:rPr>
                <w:sz w:val="20"/>
                <w:szCs w:val="20"/>
                <w:vertAlign w:val="superscript"/>
              </w:rPr>
              <w:footnoteReference w:id="1399"/>
            </w:r>
            <w:r w:rsidRPr="003B1467">
              <w:rPr>
                <w:sz w:val="20"/>
                <w:szCs w:val="20"/>
              </w:rPr>
              <w:t xml:space="preserve">) bildet sich dennoch ein hinreichend konkreter Maßstab: </w:t>
            </w:r>
            <w:r>
              <w:rPr>
                <w:sz w:val="20"/>
                <w:szCs w:val="20"/>
              </w:rPr>
              <w:t>z</w:t>
            </w:r>
            <w:r w:rsidRPr="003B1467">
              <w:rPr>
                <w:sz w:val="20"/>
                <w:szCs w:val="20"/>
              </w:rPr>
              <w:t>usammen</w:t>
            </w:r>
            <w:r>
              <w:rPr>
                <w:sz w:val="20"/>
                <w:szCs w:val="20"/>
              </w:rPr>
              <w:t>ge</w:t>
            </w:r>
            <w:r w:rsidRPr="003B1467">
              <w:rPr>
                <w:sz w:val="20"/>
                <w:szCs w:val="20"/>
              </w:rPr>
              <w:t>fasst als ein Kontinuum von Freiheitsrechten, die vor Willkür und Unangemessenheit schützen („</w:t>
            </w:r>
            <w:proofErr w:type="spellStart"/>
            <w:r w:rsidRPr="003B1467">
              <w:rPr>
                <w:sz w:val="20"/>
                <w:szCs w:val="20"/>
              </w:rPr>
              <w:t>arbitrary</w:t>
            </w:r>
            <w:proofErr w:type="spellEnd"/>
            <w:r w:rsidRPr="003B1467">
              <w:rPr>
                <w:sz w:val="20"/>
                <w:szCs w:val="20"/>
              </w:rPr>
              <w:t xml:space="preserve"> </w:t>
            </w:r>
            <w:proofErr w:type="spellStart"/>
            <w:r w:rsidRPr="003B1467">
              <w:rPr>
                <w:sz w:val="20"/>
                <w:szCs w:val="20"/>
              </w:rPr>
              <w:t>impositions</w:t>
            </w:r>
            <w:proofErr w:type="spellEnd"/>
            <w:r w:rsidRPr="003B1467">
              <w:rPr>
                <w:sz w:val="20"/>
                <w:szCs w:val="20"/>
              </w:rPr>
              <w:t xml:space="preserve"> and </w:t>
            </w:r>
            <w:proofErr w:type="spellStart"/>
            <w:r w:rsidRPr="003B1467">
              <w:rPr>
                <w:sz w:val="20"/>
                <w:szCs w:val="20"/>
              </w:rPr>
              <w:t>purposeless</w:t>
            </w:r>
            <w:proofErr w:type="spellEnd"/>
            <w:r w:rsidRPr="003B1467">
              <w:rPr>
                <w:sz w:val="20"/>
                <w:szCs w:val="20"/>
              </w:rPr>
              <w:t xml:space="preserve"> restraints“</w:t>
            </w:r>
            <w:r w:rsidRPr="003B1467">
              <w:rPr>
                <w:sz w:val="20"/>
                <w:szCs w:val="20"/>
                <w:vertAlign w:val="superscript"/>
              </w:rPr>
              <w:footnoteReference w:id="1400"/>
            </w:r>
            <w:r w:rsidRPr="003B1467">
              <w:rPr>
                <w:sz w:val="20"/>
                <w:szCs w:val="20"/>
              </w:rPr>
              <w:t>). Dieser ordnende Gedanke verbindet auch die ordnende Freiheit mit den Bedingungen für ein</w:t>
            </w:r>
            <w:r>
              <w:rPr>
                <w:sz w:val="20"/>
                <w:szCs w:val="20"/>
              </w:rPr>
              <w:t> </w:t>
            </w:r>
            <w:r w:rsidRPr="003B1467">
              <w:rPr>
                <w:sz w:val="20"/>
                <w:szCs w:val="20"/>
              </w:rPr>
              <w:t>– geordnetes</w:t>
            </w:r>
            <w:r>
              <w:rPr>
                <w:sz w:val="20"/>
                <w:szCs w:val="20"/>
              </w:rPr>
              <w:t> </w:t>
            </w:r>
            <w:r w:rsidRPr="003B1467">
              <w:rPr>
                <w:sz w:val="20"/>
                <w:szCs w:val="20"/>
              </w:rPr>
              <w:t>– Streben nach Glück.</w:t>
            </w:r>
            <w:r w:rsidRPr="003B1467">
              <w:rPr>
                <w:sz w:val="20"/>
                <w:szCs w:val="20"/>
                <w:vertAlign w:val="superscript"/>
              </w:rPr>
              <w:footnoteReference w:id="1401"/>
            </w:r>
          </w:p>
        </w:tc>
      </w:tr>
      <w:tr w:rsidR="00074551" w:rsidRPr="00E50B51" w14:paraId="7A4E8211" w14:textId="77777777" w:rsidTr="00BE689F">
        <w:trPr>
          <w:cantSplit/>
          <w:trHeight w:val="1259"/>
        </w:trPr>
        <w:tc>
          <w:tcPr>
            <w:tcW w:w="293" w:type="pct"/>
          </w:tcPr>
          <w:p w14:paraId="0CBE8A6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4D11B7E" w14:textId="77777777" w:rsidR="00074551" w:rsidRPr="00E50B51" w:rsidRDefault="00074551" w:rsidP="00367133">
            <w:pPr>
              <w:ind w:left="113" w:right="416"/>
              <w:jc w:val="both"/>
              <w:rPr>
                <w:sz w:val="20"/>
                <w:szCs w:val="20"/>
              </w:rPr>
            </w:pPr>
            <w:r w:rsidRPr="00B35CD0">
              <w:rPr>
                <w:i/>
                <w:sz w:val="20"/>
                <w:szCs w:val="20"/>
              </w:rPr>
              <w:t xml:space="preserve">Zablocki v. </w:t>
            </w:r>
            <w:proofErr w:type="spellStart"/>
            <w:r w:rsidRPr="00B35CD0">
              <w:rPr>
                <w:i/>
                <w:sz w:val="20"/>
                <w:szCs w:val="20"/>
              </w:rPr>
              <w:t>Redhail</w:t>
            </w:r>
            <w:proofErr w:type="spellEnd"/>
          </w:p>
        </w:tc>
        <w:tc>
          <w:tcPr>
            <w:tcW w:w="197" w:type="pct"/>
            <w:textDirection w:val="tbRl"/>
            <w:vAlign w:val="center"/>
          </w:tcPr>
          <w:p w14:paraId="65186479" w14:textId="77777777" w:rsidR="00074551" w:rsidRPr="00E50B51" w:rsidRDefault="00074551" w:rsidP="00367133">
            <w:pPr>
              <w:ind w:left="113" w:right="113"/>
              <w:jc w:val="both"/>
              <w:rPr>
                <w:sz w:val="20"/>
                <w:szCs w:val="20"/>
              </w:rPr>
            </w:pPr>
            <w:r w:rsidRPr="00E50B51">
              <w:rPr>
                <w:sz w:val="20"/>
                <w:szCs w:val="20"/>
                <w:lang w:val="en-US"/>
              </w:rPr>
              <w:t>434 U.S. 374</w:t>
            </w:r>
          </w:p>
        </w:tc>
        <w:tc>
          <w:tcPr>
            <w:tcW w:w="306" w:type="pct"/>
            <w:textDirection w:val="tbRl"/>
            <w:vAlign w:val="center"/>
          </w:tcPr>
          <w:p w14:paraId="73D35C88" w14:textId="77777777" w:rsidR="00074551" w:rsidRPr="00E50B51" w:rsidRDefault="00074551" w:rsidP="00367133">
            <w:pPr>
              <w:ind w:left="113" w:right="113"/>
              <w:jc w:val="both"/>
              <w:rPr>
                <w:sz w:val="20"/>
                <w:szCs w:val="20"/>
              </w:rPr>
            </w:pPr>
            <w:r w:rsidRPr="00E50B51">
              <w:rPr>
                <w:sz w:val="20"/>
                <w:szCs w:val="20"/>
              </w:rPr>
              <w:t>18. Januar 1978</w:t>
            </w:r>
          </w:p>
        </w:tc>
        <w:tc>
          <w:tcPr>
            <w:tcW w:w="401" w:type="pct"/>
          </w:tcPr>
          <w:p w14:paraId="0E91C0CD" w14:textId="77777777" w:rsidR="00074551" w:rsidRPr="00E50B51" w:rsidRDefault="00074551" w:rsidP="00367133">
            <w:pPr>
              <w:jc w:val="center"/>
              <w:rPr>
                <w:sz w:val="20"/>
                <w:szCs w:val="20"/>
              </w:rPr>
            </w:pPr>
            <w:r w:rsidRPr="00E50B51">
              <w:rPr>
                <w:sz w:val="20"/>
                <w:szCs w:val="20"/>
              </w:rPr>
              <w:t>M/C</w:t>
            </w:r>
          </w:p>
        </w:tc>
        <w:tc>
          <w:tcPr>
            <w:tcW w:w="1594" w:type="pct"/>
          </w:tcPr>
          <w:p w14:paraId="089E2176" w14:textId="77777777"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bundesstaatliches Gesetz (Wis. Stat. </w:t>
            </w:r>
            <w:r>
              <w:rPr>
                <w:sz w:val="20"/>
                <w:szCs w:val="20"/>
              </w:rPr>
              <w:t>§ </w:t>
            </w:r>
            <w:r w:rsidRPr="00E50B51">
              <w:rPr>
                <w:sz w:val="20"/>
                <w:szCs w:val="20"/>
              </w:rPr>
              <w:t>245.10, 1973) für verfassungswidrig.</w:t>
            </w:r>
            <w:r w:rsidRPr="5B67C1D2">
              <w:rPr>
                <w:rStyle w:val="Funotenzeichen"/>
                <w:rFonts w:eastAsiaTheme="majorEastAsia"/>
                <w:sz w:val="20"/>
                <w:szCs w:val="20"/>
              </w:rPr>
              <w:footnoteReference w:id="1402"/>
            </w:r>
            <w:r w:rsidRPr="00E50B51">
              <w:rPr>
                <w:sz w:val="20"/>
                <w:szCs w:val="20"/>
              </w:rPr>
              <w:t xml:space="preserve"> Das Gesetz setzte voraus: </w:t>
            </w:r>
            <w:r>
              <w:rPr>
                <w:sz w:val="20"/>
                <w:szCs w:val="20"/>
              </w:rPr>
              <w:t>W</w:t>
            </w:r>
            <w:r w:rsidRPr="00E50B51">
              <w:rPr>
                <w:sz w:val="20"/>
                <w:szCs w:val="20"/>
              </w:rPr>
              <w:t xml:space="preserve">enn ein Mann für eines seiner Kinder </w:t>
            </w:r>
            <w:r>
              <w:rPr>
                <w:sz w:val="20"/>
                <w:szCs w:val="20"/>
              </w:rPr>
              <w:t>z.B.</w:t>
            </w:r>
            <w:r w:rsidRPr="00E50B51">
              <w:rPr>
                <w:sz w:val="20"/>
                <w:szCs w:val="20"/>
              </w:rPr>
              <w:t xml:space="preserve"> aus geschiedener Ehe mit Unterhaltszahlungen in Verzug stehe, dann sei eine</w:t>
            </w:r>
            <w:r>
              <w:rPr>
                <w:sz w:val="20"/>
                <w:szCs w:val="20"/>
              </w:rPr>
              <w:t xml:space="preserve"> weitere</w:t>
            </w:r>
            <w:r w:rsidRPr="00E50B51">
              <w:rPr>
                <w:sz w:val="20"/>
                <w:szCs w:val="20"/>
              </w:rPr>
              <w:t xml:space="preserve"> Heirat für ihn verboten.</w:t>
            </w:r>
            <w:r w:rsidRPr="00E50B51">
              <w:rPr>
                <w:sz w:val="20"/>
                <w:szCs w:val="20"/>
                <w:vertAlign w:val="superscript"/>
              </w:rPr>
              <w:footnoteReference w:id="1403"/>
            </w:r>
          </w:p>
          <w:p w14:paraId="35766D0E" w14:textId="77777777" w:rsidR="00074551" w:rsidRPr="00E50B51" w:rsidRDefault="00074551" w:rsidP="00367133">
            <w:pPr>
              <w:jc w:val="both"/>
              <w:rPr>
                <w:sz w:val="20"/>
                <w:szCs w:val="20"/>
              </w:rPr>
            </w:pPr>
          </w:p>
        </w:tc>
        <w:tc>
          <w:tcPr>
            <w:tcW w:w="1822" w:type="pct"/>
          </w:tcPr>
          <w:p w14:paraId="1B428CFA" w14:textId="77777777" w:rsidR="00074551" w:rsidRPr="00E47912" w:rsidRDefault="00074551" w:rsidP="00367133">
            <w:pPr>
              <w:jc w:val="both"/>
              <w:rPr>
                <w:sz w:val="20"/>
                <w:szCs w:val="20"/>
              </w:rPr>
            </w:pPr>
            <w:r w:rsidRPr="00E47912">
              <w:rPr>
                <w:sz w:val="20"/>
                <w:szCs w:val="20"/>
              </w:rPr>
              <w:t xml:space="preserve">In </w:t>
            </w:r>
            <w:r w:rsidRPr="5B67C1D2">
              <w:rPr>
                <w:i/>
                <w:iCs/>
                <w:sz w:val="20"/>
                <w:szCs w:val="20"/>
              </w:rPr>
              <w:t xml:space="preserve">Zablocki v. </w:t>
            </w:r>
            <w:proofErr w:type="spellStart"/>
            <w:r w:rsidRPr="5B67C1D2">
              <w:rPr>
                <w:i/>
                <w:iCs/>
                <w:sz w:val="20"/>
                <w:szCs w:val="20"/>
              </w:rPr>
              <w:t>Redhail</w:t>
            </w:r>
            <w:proofErr w:type="spellEnd"/>
            <w:r w:rsidRPr="00E47912">
              <w:rPr>
                <w:sz w:val="20"/>
                <w:szCs w:val="20"/>
              </w:rPr>
              <w:t xml:space="preserve"> erläuterte der </w:t>
            </w:r>
            <w:r>
              <w:rPr>
                <w:sz w:val="20"/>
                <w:szCs w:val="20"/>
              </w:rPr>
              <w:t>U.S. Supreme Court</w:t>
            </w:r>
            <w:r w:rsidRPr="00E47912">
              <w:rPr>
                <w:sz w:val="20"/>
                <w:szCs w:val="20"/>
              </w:rPr>
              <w:t xml:space="preserve"> die Ehefreiheit als Ausprägung des Rechts auf Privatsphäre, das eine Bedingung für Glücksstreben sei. Korrelate dazu seien: Wie man sich fortpflanze,</w:t>
            </w:r>
            <w:r w:rsidRPr="00E47912">
              <w:rPr>
                <w:sz w:val="20"/>
                <w:szCs w:val="20"/>
                <w:vertAlign w:val="superscript"/>
              </w:rPr>
              <w:t xml:space="preserve"> </w:t>
            </w:r>
            <w:r w:rsidRPr="00E47912">
              <w:rPr>
                <w:sz w:val="20"/>
                <w:szCs w:val="20"/>
                <w:vertAlign w:val="superscript"/>
              </w:rPr>
              <w:footnoteReference w:id="1404"/>
            </w:r>
            <w:r w:rsidRPr="00E47912">
              <w:rPr>
                <w:sz w:val="20"/>
                <w:szCs w:val="20"/>
              </w:rPr>
              <w:t xml:space="preserve"> wie man verhüte,</w:t>
            </w:r>
            <w:r w:rsidRPr="00E47912">
              <w:rPr>
                <w:sz w:val="20"/>
                <w:szCs w:val="20"/>
                <w:vertAlign w:val="superscript"/>
              </w:rPr>
              <w:footnoteReference w:id="1405"/>
            </w:r>
            <w:r w:rsidRPr="00E47912">
              <w:rPr>
                <w:sz w:val="20"/>
                <w:szCs w:val="20"/>
              </w:rPr>
              <w:t xml:space="preserve"> mit wem man familiäre Beziehungen unterhalte,</w:t>
            </w:r>
            <w:r w:rsidRPr="00E47912">
              <w:rPr>
                <w:sz w:val="20"/>
                <w:szCs w:val="20"/>
                <w:vertAlign w:val="superscript"/>
              </w:rPr>
              <w:footnoteReference w:id="1406"/>
            </w:r>
            <w:r w:rsidRPr="00E47912">
              <w:rPr>
                <w:sz w:val="20"/>
                <w:szCs w:val="20"/>
              </w:rPr>
              <w:t xml:space="preserve"> und wie man Kinder erziehe.</w:t>
            </w:r>
            <w:r w:rsidRPr="00E47912">
              <w:rPr>
                <w:sz w:val="20"/>
                <w:szCs w:val="20"/>
                <w:vertAlign w:val="superscript"/>
              </w:rPr>
              <w:footnoteReference w:id="1407"/>
            </w:r>
            <w:r w:rsidRPr="00E47912">
              <w:rPr>
                <w:sz w:val="20"/>
                <w:szCs w:val="20"/>
              </w:rPr>
              <w:t xml:space="preserve"> Staatliche Maßnahmen könn</w:t>
            </w:r>
            <w:r>
              <w:rPr>
                <w:sz w:val="20"/>
                <w:szCs w:val="20"/>
              </w:rPr>
              <w:t>t</w:t>
            </w:r>
            <w:r w:rsidRPr="00E47912">
              <w:rPr>
                <w:sz w:val="20"/>
                <w:szCs w:val="20"/>
              </w:rPr>
              <w:t>en diese Freiheiten nur mit qualifizierte</w:t>
            </w:r>
            <w:r>
              <w:rPr>
                <w:sz w:val="20"/>
                <w:szCs w:val="20"/>
              </w:rPr>
              <w:t>r</w:t>
            </w:r>
            <w:r w:rsidRPr="00E47912">
              <w:rPr>
                <w:sz w:val="20"/>
                <w:szCs w:val="20"/>
              </w:rPr>
              <w:t xml:space="preserve"> Rechtfertigungslast einschränken („</w:t>
            </w:r>
            <w:proofErr w:type="spellStart"/>
            <w:r w:rsidRPr="00E47912">
              <w:rPr>
                <w:sz w:val="20"/>
                <w:szCs w:val="20"/>
              </w:rPr>
              <w:t>tailored</w:t>
            </w:r>
            <w:proofErr w:type="spellEnd"/>
            <w:r w:rsidRPr="00E47912">
              <w:rPr>
                <w:sz w:val="20"/>
                <w:szCs w:val="20"/>
              </w:rPr>
              <w:t xml:space="preserve"> to </w:t>
            </w:r>
            <w:proofErr w:type="spellStart"/>
            <w:r w:rsidRPr="00E47912">
              <w:rPr>
                <w:sz w:val="20"/>
                <w:szCs w:val="20"/>
              </w:rPr>
              <w:t>effectuate</w:t>
            </w:r>
            <w:proofErr w:type="spellEnd"/>
            <w:r w:rsidRPr="00E47912">
              <w:rPr>
                <w:sz w:val="20"/>
                <w:szCs w:val="20"/>
              </w:rPr>
              <w:t xml:space="preserve"> the </w:t>
            </w:r>
            <w:proofErr w:type="spellStart"/>
            <w:r w:rsidRPr="00E47912">
              <w:rPr>
                <w:sz w:val="20"/>
                <w:szCs w:val="20"/>
              </w:rPr>
              <w:t>state</w:t>
            </w:r>
            <w:r>
              <w:rPr>
                <w:sz w:val="20"/>
                <w:szCs w:val="20"/>
              </w:rPr>
              <w:t>’</w:t>
            </w:r>
            <w:r w:rsidRPr="00E47912">
              <w:rPr>
                <w:sz w:val="20"/>
                <w:szCs w:val="20"/>
              </w:rPr>
              <w:t>s</w:t>
            </w:r>
            <w:proofErr w:type="spellEnd"/>
            <w:r w:rsidRPr="00E47912">
              <w:rPr>
                <w:sz w:val="20"/>
                <w:szCs w:val="20"/>
              </w:rPr>
              <w:t xml:space="preserve"> </w:t>
            </w:r>
            <w:proofErr w:type="spellStart"/>
            <w:r w:rsidRPr="00E47912">
              <w:rPr>
                <w:sz w:val="20"/>
                <w:szCs w:val="20"/>
              </w:rPr>
              <w:t>interests</w:t>
            </w:r>
            <w:proofErr w:type="spellEnd"/>
            <w:r w:rsidRPr="00E47912">
              <w:rPr>
                <w:sz w:val="20"/>
                <w:szCs w:val="20"/>
              </w:rPr>
              <w:t>“</w:t>
            </w:r>
            <w:r w:rsidRPr="00E47912">
              <w:rPr>
                <w:sz w:val="20"/>
                <w:szCs w:val="20"/>
                <w:vertAlign w:val="superscript"/>
              </w:rPr>
              <w:footnoteReference w:id="1408"/>
            </w:r>
            <w:r w:rsidRPr="00E47912">
              <w:rPr>
                <w:sz w:val="20"/>
                <w:szCs w:val="20"/>
              </w:rPr>
              <w:t>), da sie als Bedingungen für Glücksstreben fundamental zu wahrende Rechte beinhalten.</w:t>
            </w:r>
          </w:p>
          <w:p w14:paraId="632712F5" w14:textId="70DB500F" w:rsidR="00074551" w:rsidRPr="00E47912" w:rsidRDefault="00074551" w:rsidP="00367133">
            <w:pPr>
              <w:jc w:val="both"/>
              <w:rPr>
                <w:sz w:val="20"/>
                <w:szCs w:val="20"/>
              </w:rPr>
            </w:pPr>
            <w:r w:rsidRPr="00E47912">
              <w:rPr>
                <w:sz w:val="20"/>
                <w:szCs w:val="20"/>
              </w:rPr>
              <w:t xml:space="preserve">Um zur Verfassungswidrigkeit des Gesetzes zu gelangen, stellte der </w:t>
            </w:r>
            <w:r>
              <w:rPr>
                <w:sz w:val="20"/>
                <w:szCs w:val="20"/>
              </w:rPr>
              <w:t>U.S. Supreme Court</w:t>
            </w:r>
            <w:r w:rsidRPr="00E47912">
              <w:rPr>
                <w:sz w:val="20"/>
                <w:szCs w:val="20"/>
              </w:rPr>
              <w:t xml:space="preserve"> die Ungleichbehandlung fest, und zwar zwischen Menschen mit und ohne Kinder. Zudem bestätigte der </w:t>
            </w:r>
            <w:r>
              <w:rPr>
                <w:sz w:val="20"/>
                <w:szCs w:val="20"/>
              </w:rPr>
              <w:t>U.S. Supreme Court</w:t>
            </w:r>
            <w:r w:rsidRPr="00E47912">
              <w:rPr>
                <w:sz w:val="20"/>
                <w:szCs w:val="20"/>
              </w:rPr>
              <w:t xml:space="preserve"> </w:t>
            </w:r>
            <w:r w:rsidRPr="5B67C1D2">
              <w:rPr>
                <w:i/>
                <w:iCs/>
                <w:sz w:val="20"/>
                <w:szCs w:val="20"/>
              </w:rPr>
              <w:t>Loving v. Virginia</w:t>
            </w:r>
            <w:r w:rsidRPr="00E47912">
              <w:rPr>
                <w:sz w:val="20"/>
                <w:szCs w:val="20"/>
              </w:rPr>
              <w:t>.</w:t>
            </w:r>
            <w:r w:rsidRPr="00E47912">
              <w:rPr>
                <w:sz w:val="20"/>
                <w:szCs w:val="20"/>
                <w:vertAlign w:val="superscript"/>
              </w:rPr>
              <w:footnoteReference w:id="1409"/>
            </w:r>
            <w:r w:rsidRPr="00E47912">
              <w:rPr>
                <w:sz w:val="20"/>
                <w:szCs w:val="20"/>
              </w:rPr>
              <w:t xml:space="preserve"> </w:t>
            </w:r>
            <w:proofErr w:type="gramStart"/>
            <w:r w:rsidRPr="00E47912">
              <w:rPr>
                <w:sz w:val="20"/>
                <w:szCs w:val="20"/>
              </w:rPr>
              <w:t>Dort</w:t>
            </w:r>
            <w:proofErr w:type="gramEnd"/>
            <w:r w:rsidRPr="00E47912">
              <w:rPr>
                <w:sz w:val="20"/>
                <w:szCs w:val="20"/>
              </w:rPr>
              <w:t xml:space="preserve"> urteilte er, was grundlegende Freiheiten („fundamental </w:t>
            </w:r>
            <w:proofErr w:type="spellStart"/>
            <w:r w:rsidRPr="00E47912">
              <w:rPr>
                <w:sz w:val="20"/>
                <w:szCs w:val="20"/>
              </w:rPr>
              <w:t>liberty</w:t>
            </w:r>
            <w:proofErr w:type="spellEnd"/>
            <w:r w:rsidRPr="00E47912">
              <w:rPr>
                <w:sz w:val="20"/>
                <w:szCs w:val="20"/>
              </w:rPr>
              <w:t>“</w:t>
            </w:r>
            <w:r w:rsidRPr="00E47912">
              <w:rPr>
                <w:sz w:val="20"/>
                <w:szCs w:val="20"/>
                <w:vertAlign w:val="superscript"/>
              </w:rPr>
              <w:footnoteReference w:id="1410"/>
            </w:r>
            <w:r w:rsidRPr="00E47912">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47912">
              <w:rPr>
                <w:sz w:val="20"/>
                <w:szCs w:val="20"/>
              </w:rPr>
              <w:t xml:space="preserve"> seien. Die grundlegenden Freiheiten seien lebenswichtige, persönliche Rechte („vital personal </w:t>
            </w:r>
            <w:proofErr w:type="spellStart"/>
            <w:r w:rsidRPr="00E47912">
              <w:rPr>
                <w:sz w:val="20"/>
                <w:szCs w:val="20"/>
              </w:rPr>
              <w:t>rights</w:t>
            </w:r>
            <w:proofErr w:type="spellEnd"/>
            <w:r w:rsidRPr="00E47912">
              <w:rPr>
                <w:sz w:val="20"/>
                <w:szCs w:val="20"/>
              </w:rPr>
              <w:t>“</w:t>
            </w:r>
            <w:r w:rsidRPr="00E47912">
              <w:rPr>
                <w:sz w:val="20"/>
                <w:szCs w:val="20"/>
                <w:vertAlign w:val="superscript"/>
              </w:rPr>
              <w:footnoteReference w:id="1411"/>
            </w:r>
            <w:r w:rsidRPr="00E47912">
              <w:rPr>
                <w:sz w:val="20"/>
                <w:szCs w:val="20"/>
              </w:rPr>
              <w:t xml:space="preserve">). Dies sind wiederum Rechte, die wesentlich für ein Streben nach Glück sind („essential to the </w:t>
            </w:r>
            <w:proofErr w:type="spellStart"/>
            <w:r w:rsidRPr="00E47912">
              <w:rPr>
                <w:sz w:val="20"/>
                <w:szCs w:val="20"/>
              </w:rPr>
              <w:t>orderly</w:t>
            </w:r>
            <w:proofErr w:type="spellEnd"/>
            <w:r w:rsidRPr="00E47912">
              <w:rPr>
                <w:sz w:val="20"/>
                <w:szCs w:val="20"/>
              </w:rPr>
              <w:t xml:space="preserve"> </w:t>
            </w:r>
            <w:proofErr w:type="spellStart"/>
            <w:r w:rsidRPr="00E47912">
              <w:rPr>
                <w:sz w:val="20"/>
                <w:szCs w:val="20"/>
              </w:rPr>
              <w:t>pursuit</w:t>
            </w:r>
            <w:proofErr w:type="spellEnd"/>
            <w:r w:rsidRPr="00E47912">
              <w:rPr>
                <w:sz w:val="20"/>
                <w:szCs w:val="20"/>
              </w:rPr>
              <w:t xml:space="preserve"> of </w:t>
            </w:r>
            <w:proofErr w:type="spellStart"/>
            <w:r w:rsidRPr="00E47912">
              <w:rPr>
                <w:sz w:val="20"/>
                <w:szCs w:val="20"/>
              </w:rPr>
              <w:t>happiness</w:t>
            </w:r>
            <w:proofErr w:type="spellEnd"/>
            <w:r w:rsidRPr="00E47912">
              <w:rPr>
                <w:sz w:val="20"/>
                <w:szCs w:val="20"/>
              </w:rPr>
              <w:t xml:space="preserve"> by </w:t>
            </w:r>
            <w:proofErr w:type="spellStart"/>
            <w:r w:rsidRPr="00E47912">
              <w:rPr>
                <w:sz w:val="20"/>
                <w:szCs w:val="20"/>
              </w:rPr>
              <w:t>free</w:t>
            </w:r>
            <w:proofErr w:type="spellEnd"/>
            <w:r w:rsidRPr="00E47912">
              <w:rPr>
                <w:sz w:val="20"/>
                <w:szCs w:val="20"/>
              </w:rPr>
              <w:t xml:space="preserve"> </w:t>
            </w:r>
            <w:proofErr w:type="spellStart"/>
            <w:r w:rsidRPr="00E47912">
              <w:rPr>
                <w:sz w:val="20"/>
                <w:szCs w:val="20"/>
              </w:rPr>
              <w:t>men</w:t>
            </w:r>
            <w:proofErr w:type="spellEnd"/>
            <w:r w:rsidRPr="00E47912">
              <w:rPr>
                <w:sz w:val="20"/>
                <w:szCs w:val="20"/>
              </w:rPr>
              <w:t>“</w:t>
            </w:r>
            <w:r w:rsidRPr="00E47912">
              <w:rPr>
                <w:sz w:val="20"/>
                <w:szCs w:val="20"/>
                <w:vertAlign w:val="superscript"/>
              </w:rPr>
              <w:footnoteReference w:id="1412"/>
            </w:r>
            <w:r w:rsidRPr="00E47912">
              <w:rPr>
                <w:sz w:val="20"/>
                <w:szCs w:val="20"/>
              </w:rPr>
              <w:t xml:space="preserve">), wie </w:t>
            </w:r>
            <w:r>
              <w:rPr>
                <w:sz w:val="20"/>
                <w:szCs w:val="20"/>
              </w:rPr>
              <w:t>z.B.</w:t>
            </w:r>
            <w:r w:rsidRPr="00E47912">
              <w:rPr>
                <w:sz w:val="20"/>
                <w:szCs w:val="20"/>
              </w:rPr>
              <w:t xml:space="preserve"> existenzwahrende Bürgerrechte (</w:t>
            </w:r>
            <w:proofErr w:type="gramStart"/>
            <w:r w:rsidRPr="00E47912">
              <w:rPr>
                <w:sz w:val="20"/>
                <w:szCs w:val="20"/>
              </w:rPr>
              <w:t>„</w:t>
            </w:r>
            <w:r>
              <w:rPr>
                <w:sz w:val="20"/>
                <w:szCs w:val="20"/>
              </w:rPr>
              <w:t>,</w:t>
            </w:r>
            <w:proofErr w:type="spellStart"/>
            <w:r w:rsidRPr="00E47912">
              <w:rPr>
                <w:sz w:val="20"/>
                <w:szCs w:val="20"/>
              </w:rPr>
              <w:t>basic</w:t>
            </w:r>
            <w:proofErr w:type="spellEnd"/>
            <w:proofErr w:type="gramEnd"/>
            <w:r w:rsidRPr="00E47912">
              <w:rPr>
                <w:sz w:val="20"/>
                <w:szCs w:val="20"/>
              </w:rPr>
              <w:t xml:space="preserve"> </w:t>
            </w:r>
            <w:proofErr w:type="spellStart"/>
            <w:r w:rsidRPr="00E47912">
              <w:rPr>
                <w:sz w:val="20"/>
                <w:szCs w:val="20"/>
              </w:rPr>
              <w:t>civil</w:t>
            </w:r>
            <w:proofErr w:type="spellEnd"/>
            <w:r w:rsidRPr="00E47912">
              <w:rPr>
                <w:sz w:val="20"/>
                <w:szCs w:val="20"/>
              </w:rPr>
              <w:t xml:space="preserve"> </w:t>
            </w:r>
            <w:proofErr w:type="spellStart"/>
            <w:r w:rsidRPr="00E47912">
              <w:rPr>
                <w:sz w:val="20"/>
                <w:szCs w:val="20"/>
              </w:rPr>
              <w:t>rights</w:t>
            </w:r>
            <w:proofErr w:type="spellEnd"/>
            <w:r w:rsidRPr="00E47912">
              <w:rPr>
                <w:sz w:val="20"/>
                <w:szCs w:val="20"/>
              </w:rPr>
              <w:t xml:space="preserve"> of man</w:t>
            </w:r>
            <w:r>
              <w:rPr>
                <w:sz w:val="20"/>
                <w:szCs w:val="20"/>
              </w:rPr>
              <w:t>‘</w:t>
            </w:r>
            <w:r w:rsidRPr="00E47912">
              <w:rPr>
                <w:sz w:val="20"/>
                <w:szCs w:val="20"/>
              </w:rPr>
              <w:t xml:space="preserve">, fundamental to </w:t>
            </w:r>
            <w:proofErr w:type="spellStart"/>
            <w:r w:rsidRPr="00E47912">
              <w:rPr>
                <w:sz w:val="20"/>
                <w:szCs w:val="20"/>
              </w:rPr>
              <w:t>our</w:t>
            </w:r>
            <w:proofErr w:type="spellEnd"/>
            <w:r w:rsidRPr="00E47912">
              <w:rPr>
                <w:sz w:val="20"/>
                <w:szCs w:val="20"/>
              </w:rPr>
              <w:t xml:space="preserve"> </w:t>
            </w:r>
            <w:proofErr w:type="spellStart"/>
            <w:r w:rsidRPr="00E47912">
              <w:rPr>
                <w:sz w:val="20"/>
                <w:szCs w:val="20"/>
              </w:rPr>
              <w:t>very</w:t>
            </w:r>
            <w:proofErr w:type="spellEnd"/>
            <w:r w:rsidRPr="00E47912">
              <w:rPr>
                <w:sz w:val="20"/>
                <w:szCs w:val="20"/>
              </w:rPr>
              <w:t xml:space="preserve"> </w:t>
            </w:r>
            <w:proofErr w:type="spellStart"/>
            <w:r w:rsidRPr="00E47912">
              <w:rPr>
                <w:sz w:val="20"/>
                <w:szCs w:val="20"/>
              </w:rPr>
              <w:t>existence</w:t>
            </w:r>
            <w:proofErr w:type="spellEnd"/>
            <w:r w:rsidRPr="00E47912">
              <w:rPr>
                <w:sz w:val="20"/>
                <w:szCs w:val="20"/>
              </w:rPr>
              <w:t xml:space="preserve"> and </w:t>
            </w:r>
            <w:proofErr w:type="spellStart"/>
            <w:r w:rsidRPr="00E47912">
              <w:rPr>
                <w:sz w:val="20"/>
                <w:szCs w:val="20"/>
              </w:rPr>
              <w:t>survival</w:t>
            </w:r>
            <w:proofErr w:type="spellEnd"/>
            <w:r w:rsidRPr="00E47912">
              <w:rPr>
                <w:sz w:val="20"/>
                <w:szCs w:val="20"/>
              </w:rPr>
              <w:t>“</w:t>
            </w:r>
            <w:r w:rsidRPr="00E47912">
              <w:rPr>
                <w:sz w:val="20"/>
                <w:szCs w:val="20"/>
                <w:vertAlign w:val="superscript"/>
              </w:rPr>
              <w:footnoteReference w:id="1413"/>
            </w:r>
            <w:r w:rsidRPr="00E47912">
              <w:rPr>
                <w:sz w:val="20"/>
                <w:szCs w:val="20"/>
              </w:rPr>
              <w:t>) wie die Ehefreiheit. Denn ohne die Ehe gäbe es weder Gesellschaft noch Fortschritt („</w:t>
            </w:r>
            <w:proofErr w:type="spellStart"/>
            <w:r w:rsidRPr="00E47912">
              <w:rPr>
                <w:sz w:val="20"/>
                <w:szCs w:val="20"/>
              </w:rPr>
              <w:t>without</w:t>
            </w:r>
            <w:proofErr w:type="spellEnd"/>
            <w:r w:rsidRPr="00E47912">
              <w:rPr>
                <w:sz w:val="20"/>
                <w:szCs w:val="20"/>
              </w:rPr>
              <w:t xml:space="preserve"> </w:t>
            </w:r>
            <w:proofErr w:type="spellStart"/>
            <w:r w:rsidRPr="00E47912">
              <w:rPr>
                <w:sz w:val="20"/>
                <w:szCs w:val="20"/>
              </w:rPr>
              <w:t>which</w:t>
            </w:r>
            <w:proofErr w:type="spellEnd"/>
            <w:r w:rsidRPr="00E47912">
              <w:rPr>
                <w:sz w:val="20"/>
                <w:szCs w:val="20"/>
              </w:rPr>
              <w:t xml:space="preserve"> </w:t>
            </w:r>
            <w:proofErr w:type="spellStart"/>
            <w:r w:rsidRPr="00E47912">
              <w:rPr>
                <w:sz w:val="20"/>
                <w:szCs w:val="20"/>
              </w:rPr>
              <w:t>there</w:t>
            </w:r>
            <w:proofErr w:type="spellEnd"/>
            <w:r w:rsidRPr="00E47912">
              <w:rPr>
                <w:sz w:val="20"/>
                <w:szCs w:val="20"/>
              </w:rPr>
              <w:t xml:space="preserve"> </w:t>
            </w:r>
            <w:proofErr w:type="spellStart"/>
            <w:r w:rsidRPr="00E47912">
              <w:rPr>
                <w:sz w:val="20"/>
                <w:szCs w:val="20"/>
              </w:rPr>
              <w:t>would</w:t>
            </w:r>
            <w:proofErr w:type="spellEnd"/>
            <w:r w:rsidRPr="00E47912">
              <w:rPr>
                <w:sz w:val="20"/>
                <w:szCs w:val="20"/>
              </w:rPr>
              <w:t xml:space="preserve"> </w:t>
            </w:r>
            <w:proofErr w:type="spellStart"/>
            <w:r w:rsidRPr="00E47912">
              <w:rPr>
                <w:sz w:val="20"/>
                <w:szCs w:val="20"/>
              </w:rPr>
              <w:t>be</w:t>
            </w:r>
            <w:proofErr w:type="spellEnd"/>
            <w:r w:rsidRPr="00E47912">
              <w:rPr>
                <w:sz w:val="20"/>
                <w:szCs w:val="20"/>
              </w:rPr>
              <w:t xml:space="preserve"> </w:t>
            </w:r>
            <w:proofErr w:type="spellStart"/>
            <w:r w:rsidRPr="00E47912">
              <w:rPr>
                <w:sz w:val="20"/>
                <w:szCs w:val="20"/>
              </w:rPr>
              <w:t>neither</w:t>
            </w:r>
            <w:proofErr w:type="spellEnd"/>
            <w:r w:rsidRPr="00E47912">
              <w:rPr>
                <w:sz w:val="20"/>
                <w:szCs w:val="20"/>
              </w:rPr>
              <w:t xml:space="preserve"> </w:t>
            </w:r>
            <w:proofErr w:type="spellStart"/>
            <w:r w:rsidRPr="00E47912">
              <w:rPr>
                <w:sz w:val="20"/>
                <w:szCs w:val="20"/>
              </w:rPr>
              <w:t>civilization</w:t>
            </w:r>
            <w:proofErr w:type="spellEnd"/>
            <w:r w:rsidRPr="00E47912">
              <w:rPr>
                <w:sz w:val="20"/>
                <w:szCs w:val="20"/>
              </w:rPr>
              <w:t xml:space="preserve"> </w:t>
            </w:r>
            <w:proofErr w:type="spellStart"/>
            <w:r w:rsidRPr="00E47912">
              <w:rPr>
                <w:sz w:val="20"/>
                <w:szCs w:val="20"/>
              </w:rPr>
              <w:t>nor</w:t>
            </w:r>
            <w:proofErr w:type="spellEnd"/>
            <w:r w:rsidRPr="00E47912">
              <w:rPr>
                <w:sz w:val="20"/>
                <w:szCs w:val="20"/>
              </w:rPr>
              <w:t xml:space="preserve"> </w:t>
            </w:r>
            <w:proofErr w:type="spellStart"/>
            <w:r w:rsidRPr="00E47912">
              <w:rPr>
                <w:sz w:val="20"/>
                <w:szCs w:val="20"/>
              </w:rPr>
              <w:t>progress</w:t>
            </w:r>
            <w:proofErr w:type="spellEnd"/>
            <w:r w:rsidRPr="00E47912">
              <w:rPr>
                <w:sz w:val="20"/>
                <w:szCs w:val="20"/>
              </w:rPr>
              <w:t>“</w:t>
            </w:r>
            <w:r w:rsidRPr="00E47912">
              <w:rPr>
                <w:sz w:val="20"/>
                <w:szCs w:val="20"/>
                <w:vertAlign w:val="superscript"/>
              </w:rPr>
              <w:footnoteReference w:id="1414"/>
            </w:r>
            <w:r w:rsidRPr="00E47912">
              <w:rPr>
                <w:sz w:val="20"/>
                <w:szCs w:val="20"/>
              </w:rPr>
              <w:t xml:space="preserve">) oder unsere </w:t>
            </w:r>
            <w:r>
              <w:rPr>
                <w:sz w:val="20"/>
                <w:szCs w:val="20"/>
              </w:rPr>
              <w:t>Spezies</w:t>
            </w:r>
            <w:r w:rsidRPr="00E47912">
              <w:rPr>
                <w:sz w:val="20"/>
                <w:szCs w:val="20"/>
              </w:rPr>
              <w:t xml:space="preserve">, so der </w:t>
            </w:r>
            <w:r>
              <w:rPr>
                <w:sz w:val="20"/>
                <w:szCs w:val="20"/>
              </w:rPr>
              <w:t>U.S. Supreme Court</w:t>
            </w:r>
            <w:r w:rsidR="00705990">
              <w:rPr>
                <w:sz w:val="20"/>
                <w:szCs w:val="20"/>
              </w:rPr>
              <w:t xml:space="preserve"> andeutend</w:t>
            </w:r>
            <w:r w:rsidRPr="00E47912">
              <w:rPr>
                <w:sz w:val="20"/>
                <w:szCs w:val="20"/>
              </w:rPr>
              <w:t>.</w:t>
            </w:r>
            <w:r w:rsidRPr="00E47912">
              <w:rPr>
                <w:sz w:val="20"/>
                <w:szCs w:val="20"/>
                <w:vertAlign w:val="superscript"/>
              </w:rPr>
              <w:footnoteReference w:id="1415"/>
            </w:r>
            <w:r w:rsidRPr="00E47912">
              <w:rPr>
                <w:sz w:val="20"/>
                <w:szCs w:val="20"/>
              </w:rPr>
              <w:t xml:space="preserve"> Zur Ehefreiheit gehöre als Korrelat auch, ein Heim zu gründen und Kinder zu erziehen („to </w:t>
            </w:r>
            <w:proofErr w:type="spellStart"/>
            <w:r w:rsidRPr="00E47912">
              <w:rPr>
                <w:sz w:val="20"/>
                <w:szCs w:val="20"/>
              </w:rPr>
              <w:t>marry</w:t>
            </w:r>
            <w:proofErr w:type="spellEnd"/>
            <w:r w:rsidRPr="00E47912">
              <w:rPr>
                <w:sz w:val="20"/>
                <w:szCs w:val="20"/>
              </w:rPr>
              <w:t xml:space="preserve">, </w:t>
            </w:r>
            <w:proofErr w:type="spellStart"/>
            <w:r w:rsidRPr="00E47912">
              <w:rPr>
                <w:sz w:val="20"/>
                <w:szCs w:val="20"/>
              </w:rPr>
              <w:t>establish</w:t>
            </w:r>
            <w:proofErr w:type="spellEnd"/>
            <w:r w:rsidRPr="00E47912">
              <w:rPr>
                <w:sz w:val="20"/>
                <w:szCs w:val="20"/>
              </w:rPr>
              <w:t xml:space="preserve"> a </w:t>
            </w:r>
            <w:proofErr w:type="spellStart"/>
            <w:r w:rsidRPr="00E47912">
              <w:rPr>
                <w:sz w:val="20"/>
                <w:szCs w:val="20"/>
              </w:rPr>
              <w:t>home</w:t>
            </w:r>
            <w:proofErr w:type="spellEnd"/>
            <w:r w:rsidRPr="00E47912">
              <w:rPr>
                <w:sz w:val="20"/>
                <w:szCs w:val="20"/>
              </w:rPr>
              <w:t xml:space="preserve"> and bring </w:t>
            </w:r>
            <w:proofErr w:type="spellStart"/>
            <w:r w:rsidRPr="00E47912">
              <w:rPr>
                <w:sz w:val="20"/>
                <w:szCs w:val="20"/>
              </w:rPr>
              <w:t>up</w:t>
            </w:r>
            <w:proofErr w:type="spellEnd"/>
            <w:r w:rsidRPr="00E47912">
              <w:rPr>
                <w:sz w:val="20"/>
                <w:szCs w:val="20"/>
              </w:rPr>
              <w:t xml:space="preserve"> </w:t>
            </w:r>
            <w:proofErr w:type="spellStart"/>
            <w:r w:rsidRPr="00E47912">
              <w:rPr>
                <w:sz w:val="20"/>
                <w:szCs w:val="20"/>
              </w:rPr>
              <w:t>children</w:t>
            </w:r>
            <w:proofErr w:type="spellEnd"/>
            <w:r w:rsidRPr="00E47912">
              <w:rPr>
                <w:sz w:val="20"/>
                <w:szCs w:val="20"/>
              </w:rPr>
              <w:t>“</w:t>
            </w:r>
            <w:r w:rsidRPr="00E47912">
              <w:rPr>
                <w:sz w:val="20"/>
                <w:szCs w:val="20"/>
                <w:vertAlign w:val="superscript"/>
              </w:rPr>
              <w:footnoteReference w:id="1416"/>
            </w:r>
            <w:r w:rsidRPr="00E47912">
              <w:rPr>
                <w:sz w:val="20"/>
                <w:szCs w:val="20"/>
              </w:rPr>
              <w:t xml:space="preserve">). Ob Freiheitsrechte fundamental </w:t>
            </w:r>
            <w:r>
              <w:rPr>
                <w:sz w:val="20"/>
                <w:szCs w:val="20"/>
              </w:rPr>
              <w:t>sind</w:t>
            </w:r>
            <w:r w:rsidRPr="00E47912">
              <w:rPr>
                <w:sz w:val="20"/>
                <w:szCs w:val="20"/>
              </w:rPr>
              <w:t xml:space="preserve"> und wie sie einzuschränken sind, richtet sich also danach, ob sie wesentlich für ein Streben nach Glück sind. Strukturell hat der </w:t>
            </w:r>
            <w:r>
              <w:rPr>
                <w:sz w:val="20"/>
                <w:szCs w:val="20"/>
              </w:rPr>
              <w:t>U.S. Supreme Court</w:t>
            </w:r>
            <w:r w:rsidRPr="00E47912">
              <w:rPr>
                <w:sz w:val="20"/>
                <w:szCs w:val="20"/>
              </w:rPr>
              <w:t xml:space="preserve"> die Ehefreiheit in jüngeren Entscheidungen erweitert und dem Recht auf Privatsphäre („</w:t>
            </w:r>
            <w:proofErr w:type="spellStart"/>
            <w:r w:rsidRPr="00E47912">
              <w:rPr>
                <w:sz w:val="20"/>
                <w:szCs w:val="20"/>
              </w:rPr>
              <w:t>right</w:t>
            </w:r>
            <w:proofErr w:type="spellEnd"/>
            <w:r w:rsidRPr="00E47912">
              <w:rPr>
                <w:sz w:val="20"/>
                <w:szCs w:val="20"/>
              </w:rPr>
              <w:t xml:space="preserve"> of </w:t>
            </w:r>
            <w:proofErr w:type="spellStart"/>
            <w:r w:rsidRPr="00E47912">
              <w:rPr>
                <w:sz w:val="20"/>
                <w:szCs w:val="20"/>
              </w:rPr>
              <w:t>privacy</w:t>
            </w:r>
            <w:proofErr w:type="spellEnd"/>
            <w:r w:rsidRPr="00E47912">
              <w:rPr>
                <w:sz w:val="20"/>
                <w:szCs w:val="20"/>
              </w:rPr>
              <w:t>“</w:t>
            </w:r>
            <w:r w:rsidRPr="00E47912">
              <w:rPr>
                <w:sz w:val="20"/>
                <w:szCs w:val="20"/>
                <w:vertAlign w:val="superscript"/>
              </w:rPr>
              <w:footnoteReference w:id="1417"/>
            </w:r>
            <w:r w:rsidRPr="00E47912">
              <w:rPr>
                <w:sz w:val="20"/>
                <w:szCs w:val="20"/>
              </w:rPr>
              <w:t>) zugeordnet, welches Teil des Strebens nach Glück sei</w:t>
            </w:r>
            <w:r w:rsidRPr="00E47912">
              <w:rPr>
                <w:sz w:val="20"/>
                <w:szCs w:val="20"/>
                <w:vertAlign w:val="superscript"/>
              </w:rPr>
              <w:footnoteReference w:id="1418"/>
            </w:r>
            <w:r w:rsidRPr="00E47912">
              <w:rPr>
                <w:sz w:val="20"/>
                <w:szCs w:val="20"/>
              </w:rPr>
              <w:t xml:space="preserve"> – und welches auch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47912">
              <w:rPr>
                <w:sz w:val="20"/>
                <w:szCs w:val="20"/>
              </w:rPr>
              <w:t xml:space="preserve">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47912">
              <w:rPr>
                <w:sz w:val="20"/>
                <w:szCs w:val="20"/>
              </w:rPr>
              <w:t xml:space="preserve"> schütze.</w:t>
            </w:r>
            <w:r w:rsidRPr="00E47912">
              <w:rPr>
                <w:sz w:val="20"/>
                <w:szCs w:val="20"/>
                <w:vertAlign w:val="superscript"/>
              </w:rPr>
              <w:footnoteReference w:id="1419"/>
            </w:r>
            <w:r w:rsidRPr="00E47912">
              <w:rPr>
                <w:sz w:val="20"/>
                <w:szCs w:val="20"/>
              </w:rPr>
              <w:t xml:space="preserve"> Allerdings konkretisiert der </w:t>
            </w:r>
            <w:r>
              <w:rPr>
                <w:sz w:val="20"/>
                <w:szCs w:val="20"/>
              </w:rPr>
              <w:t>U.S. Supreme Court</w:t>
            </w:r>
            <w:r w:rsidRPr="00E47912">
              <w:rPr>
                <w:sz w:val="20"/>
                <w:szCs w:val="20"/>
              </w:rPr>
              <w:t xml:space="preserve"> auch: </w:t>
            </w:r>
            <w:r>
              <w:rPr>
                <w:sz w:val="20"/>
                <w:szCs w:val="20"/>
              </w:rPr>
              <w:t>D</w:t>
            </w:r>
            <w:r w:rsidRPr="00E47912">
              <w:rPr>
                <w:sz w:val="20"/>
                <w:szCs w:val="20"/>
              </w:rPr>
              <w:t xml:space="preserve">ie Ehefreiheit sei ein Recht auf Privatsphäre, </w:t>
            </w:r>
            <w:r>
              <w:rPr>
                <w:sz w:val="20"/>
                <w:szCs w:val="20"/>
              </w:rPr>
              <w:t>welches</w:t>
            </w:r>
            <w:r w:rsidRPr="00E47912">
              <w:rPr>
                <w:sz w:val="20"/>
                <w:szCs w:val="20"/>
              </w:rPr>
              <w:t xml:space="preserve"> älter ist als die </w:t>
            </w:r>
            <w:r>
              <w:rPr>
                <w:sz w:val="20"/>
                <w:szCs w:val="20"/>
              </w:rPr>
              <w:t>U.S.</w:t>
            </w:r>
            <w:r w:rsidRPr="00E47912">
              <w:rPr>
                <w:sz w:val="20"/>
                <w:szCs w:val="20"/>
              </w:rPr>
              <w:t xml:space="preserve"> </w:t>
            </w:r>
            <w:proofErr w:type="spellStart"/>
            <w:r w:rsidRPr="00E47912">
              <w:rPr>
                <w:sz w:val="20"/>
                <w:szCs w:val="20"/>
              </w:rPr>
              <w:t>Const</w:t>
            </w:r>
            <w:proofErr w:type="spellEnd"/>
            <w:r w:rsidRPr="00E47912">
              <w:rPr>
                <w:sz w:val="20"/>
                <w:szCs w:val="20"/>
              </w:rPr>
              <w:t xml:space="preserve">. und die </w:t>
            </w:r>
            <w:r w:rsidRPr="5B67C1D2">
              <w:rPr>
                <w:i/>
                <w:iCs/>
                <w:sz w:val="20"/>
                <w:szCs w:val="20"/>
              </w:rPr>
              <w:t>Bill of Rights</w:t>
            </w:r>
            <w:r w:rsidRPr="00E47912">
              <w:rPr>
                <w:sz w:val="20"/>
                <w:szCs w:val="20"/>
              </w:rPr>
              <w:t>.</w:t>
            </w:r>
            <w:r w:rsidRPr="00E47912">
              <w:rPr>
                <w:sz w:val="20"/>
                <w:szCs w:val="20"/>
                <w:vertAlign w:val="superscript"/>
              </w:rPr>
              <w:footnoteReference w:id="1420"/>
            </w:r>
            <w:r>
              <w:rPr>
                <w:sz w:val="20"/>
                <w:szCs w:val="20"/>
              </w:rPr>
              <w:t xml:space="preserve"> </w:t>
            </w:r>
            <w:r w:rsidRPr="00E47912">
              <w:rPr>
                <w:sz w:val="20"/>
                <w:szCs w:val="20"/>
              </w:rPr>
              <w:t xml:space="preserve">Dies kann als Anspielung auf das dem Menschen inhärente Recht auf ein Streben nach Glück gesehen werden, </w:t>
            </w:r>
            <w:r>
              <w:rPr>
                <w:sz w:val="20"/>
                <w:szCs w:val="20"/>
              </w:rPr>
              <w:t>d</w:t>
            </w:r>
            <w:r w:rsidRPr="00E47912">
              <w:rPr>
                <w:sz w:val="20"/>
                <w:szCs w:val="20"/>
              </w:rPr>
              <w:t xml:space="preserve">as ebenso älter ist als Verfassungsdokumente. Zum Recht auf Privatsphäre als einer Bedingung für ein Streben nach Glück führte der </w:t>
            </w:r>
            <w:r>
              <w:rPr>
                <w:sz w:val="20"/>
                <w:szCs w:val="20"/>
              </w:rPr>
              <w:t>U.S. Supreme Court</w:t>
            </w:r>
            <w:r w:rsidRPr="00E47912">
              <w:rPr>
                <w:sz w:val="20"/>
                <w:szCs w:val="20"/>
              </w:rPr>
              <w:t xml:space="preserve"> dann weiter aus, dass er bisher die äußeren Grenzen des Rechts auf Privatsphäre unbeschrieben belassen habe („the </w:t>
            </w:r>
            <w:proofErr w:type="spellStart"/>
            <w:r w:rsidRPr="00E47912">
              <w:rPr>
                <w:sz w:val="20"/>
                <w:szCs w:val="20"/>
              </w:rPr>
              <w:t>outer</w:t>
            </w:r>
            <w:proofErr w:type="spellEnd"/>
            <w:r w:rsidRPr="00E47912">
              <w:rPr>
                <w:sz w:val="20"/>
                <w:szCs w:val="20"/>
              </w:rPr>
              <w:t xml:space="preserve"> </w:t>
            </w:r>
            <w:proofErr w:type="spellStart"/>
            <w:r w:rsidRPr="00E47912">
              <w:rPr>
                <w:sz w:val="20"/>
                <w:szCs w:val="20"/>
              </w:rPr>
              <w:t>limits</w:t>
            </w:r>
            <w:proofErr w:type="spellEnd"/>
            <w:r w:rsidRPr="00E47912">
              <w:rPr>
                <w:sz w:val="20"/>
                <w:szCs w:val="20"/>
              </w:rPr>
              <w:t xml:space="preserve"> of [the </w:t>
            </w:r>
            <w:proofErr w:type="spellStart"/>
            <w:r w:rsidRPr="00E47912">
              <w:rPr>
                <w:sz w:val="20"/>
                <w:szCs w:val="20"/>
              </w:rPr>
              <w:t>right</w:t>
            </w:r>
            <w:proofErr w:type="spellEnd"/>
            <w:r w:rsidRPr="00E47912">
              <w:rPr>
                <w:sz w:val="20"/>
                <w:szCs w:val="20"/>
              </w:rPr>
              <w:t xml:space="preserve"> of personal </w:t>
            </w:r>
            <w:proofErr w:type="spellStart"/>
            <w:r w:rsidRPr="00E47912">
              <w:rPr>
                <w:sz w:val="20"/>
                <w:szCs w:val="20"/>
              </w:rPr>
              <w:t>privacy</w:t>
            </w:r>
            <w:proofErr w:type="spellEnd"/>
            <w:r w:rsidRPr="00E47912">
              <w:rPr>
                <w:sz w:val="20"/>
                <w:szCs w:val="20"/>
              </w:rPr>
              <w:t xml:space="preserve">] </w:t>
            </w:r>
            <w:proofErr w:type="spellStart"/>
            <w:r w:rsidRPr="00E47912">
              <w:rPr>
                <w:sz w:val="20"/>
                <w:szCs w:val="20"/>
              </w:rPr>
              <w:t>have</w:t>
            </w:r>
            <w:proofErr w:type="spellEnd"/>
            <w:r w:rsidRPr="00E47912">
              <w:rPr>
                <w:sz w:val="20"/>
                <w:szCs w:val="20"/>
              </w:rPr>
              <w:t xml:space="preserve"> not </w:t>
            </w:r>
            <w:proofErr w:type="spellStart"/>
            <w:r w:rsidRPr="00E47912">
              <w:rPr>
                <w:sz w:val="20"/>
                <w:szCs w:val="20"/>
              </w:rPr>
              <w:t>been</w:t>
            </w:r>
            <w:proofErr w:type="spellEnd"/>
            <w:r w:rsidRPr="00E47912">
              <w:rPr>
                <w:sz w:val="20"/>
                <w:szCs w:val="20"/>
              </w:rPr>
              <w:t xml:space="preserve"> </w:t>
            </w:r>
            <w:proofErr w:type="spellStart"/>
            <w:r w:rsidRPr="00E47912">
              <w:rPr>
                <w:sz w:val="20"/>
                <w:szCs w:val="20"/>
              </w:rPr>
              <w:t>marked</w:t>
            </w:r>
            <w:proofErr w:type="spellEnd"/>
            <w:r w:rsidRPr="00E47912">
              <w:rPr>
                <w:sz w:val="20"/>
                <w:szCs w:val="20"/>
              </w:rPr>
              <w:t xml:space="preserve"> by the Court“</w:t>
            </w:r>
            <w:r w:rsidRPr="00E47912">
              <w:rPr>
                <w:sz w:val="20"/>
                <w:szCs w:val="20"/>
                <w:vertAlign w:val="superscript"/>
              </w:rPr>
              <w:footnoteReference w:id="1421"/>
            </w:r>
            <w:r w:rsidRPr="00E47912">
              <w:rPr>
                <w:sz w:val="20"/>
                <w:szCs w:val="20"/>
              </w:rPr>
              <w:t>). Stattdessen habe er sich über das Innenleben, also den materiellen Gehalt, der Privatsphäre genäh</w:t>
            </w:r>
            <w:r>
              <w:rPr>
                <w:sz w:val="20"/>
                <w:szCs w:val="20"/>
              </w:rPr>
              <w:t>e</w:t>
            </w:r>
            <w:r w:rsidRPr="00E47912">
              <w:rPr>
                <w:sz w:val="20"/>
                <w:szCs w:val="20"/>
              </w:rPr>
              <w:t xml:space="preserve">rt. Das Innenleben richte </w:t>
            </w:r>
            <w:r w:rsidRPr="00E47912">
              <w:rPr>
                <w:sz w:val="20"/>
                <w:szCs w:val="20"/>
              </w:rPr>
              <w:lastRenderedPageBreak/>
              <w:t>sich am Merkmal der persönlichen Entscheidungen aus</w:t>
            </w:r>
            <w:r>
              <w:rPr>
                <w:sz w:val="20"/>
                <w:szCs w:val="20"/>
              </w:rPr>
              <w:t>,</w:t>
            </w:r>
            <w:r w:rsidRPr="00E47912">
              <w:rPr>
                <w:sz w:val="20"/>
                <w:szCs w:val="20"/>
              </w:rPr>
              <w:t xml:space="preserve"> </w:t>
            </w:r>
            <w:r>
              <w:rPr>
                <w:sz w:val="20"/>
                <w:szCs w:val="20"/>
              </w:rPr>
              <w:t>z.B.</w:t>
            </w:r>
            <w:r w:rsidRPr="00E47912">
              <w:rPr>
                <w:sz w:val="20"/>
                <w:szCs w:val="20"/>
              </w:rPr>
              <w:t xml:space="preserve"> wie man sich fortpflanze,</w:t>
            </w:r>
            <w:r w:rsidRPr="00E47912">
              <w:rPr>
                <w:sz w:val="20"/>
                <w:szCs w:val="20"/>
                <w:vertAlign w:val="superscript"/>
              </w:rPr>
              <w:footnoteReference w:id="1422"/>
            </w:r>
            <w:r w:rsidRPr="00E47912">
              <w:rPr>
                <w:sz w:val="20"/>
                <w:szCs w:val="20"/>
              </w:rPr>
              <w:t xml:space="preserve"> wie man verhüte,</w:t>
            </w:r>
            <w:r w:rsidRPr="00E47912">
              <w:rPr>
                <w:sz w:val="20"/>
                <w:szCs w:val="20"/>
                <w:vertAlign w:val="superscript"/>
              </w:rPr>
              <w:footnoteReference w:id="1423"/>
            </w:r>
            <w:r w:rsidRPr="00E47912">
              <w:rPr>
                <w:sz w:val="20"/>
                <w:szCs w:val="20"/>
              </w:rPr>
              <w:t xml:space="preserve"> mit wem man familiäre Beziehungen </w:t>
            </w:r>
            <w:proofErr w:type="gramStart"/>
            <w:r w:rsidRPr="00E47912">
              <w:rPr>
                <w:sz w:val="20"/>
                <w:szCs w:val="20"/>
              </w:rPr>
              <w:t>unterhalte</w:t>
            </w:r>
            <w:proofErr w:type="gramEnd"/>
            <w:r w:rsidRPr="00E47912">
              <w:rPr>
                <w:sz w:val="20"/>
                <w:szCs w:val="20"/>
                <w:vertAlign w:val="superscript"/>
              </w:rPr>
              <w:footnoteReference w:id="1424"/>
            </w:r>
            <w:r w:rsidRPr="00E47912">
              <w:rPr>
                <w:sz w:val="20"/>
                <w:szCs w:val="20"/>
              </w:rPr>
              <w:t xml:space="preserve"> und wie man Kinder erziehe.</w:t>
            </w:r>
            <w:r w:rsidRPr="00E47912">
              <w:rPr>
                <w:sz w:val="20"/>
                <w:szCs w:val="20"/>
                <w:vertAlign w:val="superscript"/>
              </w:rPr>
              <w:footnoteReference w:id="1425"/>
            </w:r>
            <w:r w:rsidRPr="00E47912">
              <w:rPr>
                <w:sz w:val="20"/>
                <w:szCs w:val="20"/>
              </w:rPr>
              <w:t xml:space="preserve"> Die Regierung könne diese Ausprägungen des Rechts auf Privatsphäre als eine Bedingung von Glücksstreben nur gerechtfertigt einschränken. D.h. wenn staatliche Maßnahmen fundamentale Rechte einschränken („fundamental </w:t>
            </w:r>
            <w:proofErr w:type="spellStart"/>
            <w:r w:rsidRPr="00E47912">
              <w:rPr>
                <w:sz w:val="20"/>
                <w:szCs w:val="20"/>
              </w:rPr>
              <w:t>right</w:t>
            </w:r>
            <w:proofErr w:type="spellEnd"/>
            <w:r w:rsidRPr="00E47912">
              <w:rPr>
                <w:sz w:val="20"/>
                <w:szCs w:val="20"/>
              </w:rPr>
              <w:t>“</w:t>
            </w:r>
            <w:r w:rsidRPr="00E47912">
              <w:rPr>
                <w:sz w:val="20"/>
                <w:szCs w:val="20"/>
                <w:vertAlign w:val="superscript"/>
              </w:rPr>
              <w:footnoteReference w:id="1426"/>
            </w:r>
            <w:r w:rsidRPr="00E47912">
              <w:rPr>
                <w:sz w:val="20"/>
                <w:szCs w:val="20"/>
              </w:rPr>
              <w:t xml:space="preserve">), dann müssen Verfassungsrechte wie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Proctection</w:t>
            </w:r>
            <w:proofErr w:type="spellEnd"/>
            <w:r w:rsidRPr="5B67C1D2">
              <w:rPr>
                <w:i/>
                <w:iCs/>
                <w:sz w:val="20"/>
                <w:szCs w:val="20"/>
              </w:rPr>
              <w:t xml:space="preserve"> </w:t>
            </w:r>
            <w:proofErr w:type="spellStart"/>
            <w:r w:rsidRPr="5B67C1D2">
              <w:rPr>
                <w:i/>
                <w:iCs/>
                <w:sz w:val="20"/>
                <w:szCs w:val="20"/>
              </w:rPr>
              <w:t>Clause</w:t>
            </w:r>
            <w:proofErr w:type="spellEnd"/>
            <w:r w:rsidRPr="00E47912">
              <w:rPr>
                <w:sz w:val="20"/>
                <w:szCs w:val="20"/>
              </w:rPr>
              <w:t xml:space="preserve"> unter strengstem Prüfungsmaßstab gewahrt bleiben („</w:t>
            </w:r>
            <w:proofErr w:type="spellStart"/>
            <w:r w:rsidRPr="00E47912">
              <w:rPr>
                <w:sz w:val="20"/>
                <w:szCs w:val="20"/>
              </w:rPr>
              <w:t>strict</w:t>
            </w:r>
            <w:proofErr w:type="spellEnd"/>
            <w:r w:rsidRPr="00E47912">
              <w:rPr>
                <w:sz w:val="20"/>
                <w:szCs w:val="20"/>
              </w:rPr>
              <w:t xml:space="preserve"> </w:t>
            </w:r>
            <w:proofErr w:type="spellStart"/>
            <w:r w:rsidRPr="00E47912">
              <w:rPr>
                <w:sz w:val="20"/>
                <w:szCs w:val="20"/>
              </w:rPr>
              <w:t>scrutiny</w:t>
            </w:r>
            <w:proofErr w:type="spellEnd"/>
            <w:r w:rsidRPr="00E47912">
              <w:rPr>
                <w:sz w:val="20"/>
                <w:szCs w:val="20"/>
              </w:rPr>
              <w:t>“</w:t>
            </w:r>
            <w:r w:rsidRPr="00E47912">
              <w:rPr>
                <w:sz w:val="20"/>
                <w:szCs w:val="20"/>
                <w:vertAlign w:val="superscript"/>
              </w:rPr>
              <w:footnoteReference w:id="1427"/>
            </w:r>
            <w:r w:rsidRPr="00E47912">
              <w:rPr>
                <w:sz w:val="20"/>
                <w:szCs w:val="20"/>
              </w:rPr>
              <w:t>; „</w:t>
            </w:r>
            <w:proofErr w:type="spellStart"/>
            <w:r w:rsidRPr="00E47912">
              <w:rPr>
                <w:sz w:val="20"/>
                <w:szCs w:val="20"/>
              </w:rPr>
              <w:t>critical</w:t>
            </w:r>
            <w:proofErr w:type="spellEnd"/>
            <w:r w:rsidRPr="00E47912">
              <w:rPr>
                <w:sz w:val="20"/>
                <w:szCs w:val="20"/>
              </w:rPr>
              <w:t xml:space="preserve"> </w:t>
            </w:r>
            <w:proofErr w:type="spellStart"/>
            <w:r w:rsidRPr="00E47912">
              <w:rPr>
                <w:sz w:val="20"/>
                <w:szCs w:val="20"/>
              </w:rPr>
              <w:t>examination</w:t>
            </w:r>
            <w:proofErr w:type="spellEnd"/>
            <w:r w:rsidRPr="00E47912">
              <w:rPr>
                <w:sz w:val="20"/>
                <w:szCs w:val="20"/>
              </w:rPr>
              <w:t>“</w:t>
            </w:r>
            <w:r w:rsidRPr="00E47912">
              <w:rPr>
                <w:sz w:val="20"/>
                <w:szCs w:val="20"/>
                <w:vertAlign w:val="superscript"/>
              </w:rPr>
              <w:footnoteReference w:id="1428"/>
            </w:r>
            <w:r w:rsidRPr="00E47912">
              <w:rPr>
                <w:sz w:val="20"/>
                <w:szCs w:val="20"/>
              </w:rPr>
              <w:t>; „</w:t>
            </w:r>
            <w:proofErr w:type="spellStart"/>
            <w:r w:rsidRPr="00E47912">
              <w:rPr>
                <w:sz w:val="20"/>
                <w:szCs w:val="20"/>
              </w:rPr>
              <w:t>rigorous</w:t>
            </w:r>
            <w:proofErr w:type="spellEnd"/>
            <w:r w:rsidRPr="00E47912">
              <w:rPr>
                <w:sz w:val="20"/>
                <w:szCs w:val="20"/>
              </w:rPr>
              <w:t xml:space="preserve"> </w:t>
            </w:r>
            <w:proofErr w:type="spellStart"/>
            <w:r w:rsidRPr="00E47912">
              <w:rPr>
                <w:sz w:val="20"/>
                <w:szCs w:val="20"/>
              </w:rPr>
              <w:t>scrutiny</w:t>
            </w:r>
            <w:proofErr w:type="spellEnd"/>
            <w:r w:rsidRPr="00E47912">
              <w:rPr>
                <w:sz w:val="20"/>
                <w:szCs w:val="20"/>
              </w:rPr>
              <w:t>“</w:t>
            </w:r>
            <w:r w:rsidRPr="00E47912">
              <w:rPr>
                <w:sz w:val="20"/>
                <w:szCs w:val="20"/>
                <w:vertAlign w:val="superscript"/>
              </w:rPr>
              <w:footnoteReference w:id="1429"/>
            </w:r>
            <w:r w:rsidRPr="00E47912">
              <w:rPr>
                <w:sz w:val="20"/>
                <w:szCs w:val="20"/>
              </w:rPr>
              <w:t>). Damit habe der Staat eine qualifizierte Rechtfertigungslast („</w:t>
            </w:r>
            <w:proofErr w:type="spellStart"/>
            <w:r w:rsidRPr="00E47912">
              <w:rPr>
                <w:sz w:val="20"/>
                <w:szCs w:val="20"/>
              </w:rPr>
              <w:t>burden</w:t>
            </w:r>
            <w:proofErr w:type="spellEnd"/>
            <w:r w:rsidRPr="00E47912">
              <w:rPr>
                <w:sz w:val="20"/>
                <w:szCs w:val="20"/>
              </w:rPr>
              <w:t xml:space="preserve"> of </w:t>
            </w:r>
            <w:proofErr w:type="spellStart"/>
            <w:r w:rsidRPr="00E47912">
              <w:rPr>
                <w:sz w:val="20"/>
                <w:szCs w:val="20"/>
              </w:rPr>
              <w:t>justification</w:t>
            </w:r>
            <w:proofErr w:type="spellEnd"/>
            <w:r w:rsidRPr="00E47912">
              <w:rPr>
                <w:sz w:val="20"/>
                <w:szCs w:val="20"/>
              </w:rPr>
              <w:t>“</w:t>
            </w:r>
            <w:r w:rsidRPr="00E47912">
              <w:rPr>
                <w:sz w:val="20"/>
                <w:szCs w:val="20"/>
                <w:vertAlign w:val="superscript"/>
              </w:rPr>
              <w:footnoteReference w:id="1430"/>
            </w:r>
            <w:r w:rsidRPr="00E47912">
              <w:rPr>
                <w:sz w:val="20"/>
                <w:szCs w:val="20"/>
              </w:rPr>
              <w:t xml:space="preserve">). Ein sachlicher Grund oder öffentliches Interesse allein reiche für die Einschränkung der fundamentalen Rechte nicht aus. </w:t>
            </w:r>
            <w:r>
              <w:rPr>
                <w:sz w:val="20"/>
                <w:szCs w:val="20"/>
              </w:rPr>
              <w:t>Im vorliegenden</w:t>
            </w:r>
            <w:r w:rsidRPr="00E47912">
              <w:rPr>
                <w:sz w:val="20"/>
                <w:szCs w:val="20"/>
              </w:rPr>
              <w:t xml:space="preserve"> Fall – </w:t>
            </w:r>
            <w:r>
              <w:rPr>
                <w:sz w:val="20"/>
                <w:szCs w:val="20"/>
              </w:rPr>
              <w:t xml:space="preserve">dem Verbot einer weiteren Heirat, </w:t>
            </w:r>
            <w:r w:rsidRPr="00E47912">
              <w:rPr>
                <w:sz w:val="20"/>
                <w:szCs w:val="20"/>
              </w:rPr>
              <w:t xml:space="preserve">wenn ein Mann für eines seiner Kinder </w:t>
            </w:r>
            <w:r>
              <w:rPr>
                <w:sz w:val="20"/>
                <w:szCs w:val="20"/>
              </w:rPr>
              <w:t>z.B.</w:t>
            </w:r>
            <w:r w:rsidRPr="00E47912">
              <w:rPr>
                <w:sz w:val="20"/>
                <w:szCs w:val="20"/>
              </w:rPr>
              <w:t xml:space="preserve"> aus geschiedener Ehe mit Unterhaltszahlungen in Verzug </w:t>
            </w:r>
            <w:proofErr w:type="gramStart"/>
            <w:r w:rsidRPr="00E47912">
              <w:rPr>
                <w:sz w:val="20"/>
                <w:szCs w:val="20"/>
              </w:rPr>
              <w:t>stehe</w:t>
            </w:r>
            <w:proofErr w:type="gramEnd"/>
            <w:r w:rsidRPr="00E47912">
              <w:rPr>
                <w:sz w:val="20"/>
                <w:szCs w:val="20"/>
                <w:vertAlign w:val="superscript"/>
              </w:rPr>
              <w:footnoteReference w:id="1431"/>
            </w:r>
            <w:r w:rsidRPr="00E47912">
              <w:rPr>
                <w:sz w:val="20"/>
                <w:szCs w:val="20"/>
              </w:rPr>
              <w:t xml:space="preserve"> – </w:t>
            </w:r>
            <w:r>
              <w:rPr>
                <w:sz w:val="20"/>
                <w:szCs w:val="20"/>
              </w:rPr>
              <w:t>habe</w:t>
            </w:r>
            <w:r w:rsidRPr="00E47912">
              <w:rPr>
                <w:sz w:val="20"/>
                <w:szCs w:val="20"/>
              </w:rPr>
              <w:t xml:space="preserve"> der </w:t>
            </w:r>
            <w:r>
              <w:rPr>
                <w:sz w:val="20"/>
                <w:szCs w:val="20"/>
              </w:rPr>
              <w:t>Bundesstaat</w:t>
            </w:r>
            <w:r w:rsidRPr="00E47912">
              <w:rPr>
                <w:sz w:val="20"/>
                <w:szCs w:val="20"/>
              </w:rPr>
              <w:t xml:space="preserve"> beides nicht dar</w:t>
            </w:r>
            <w:r>
              <w:rPr>
                <w:sz w:val="20"/>
                <w:szCs w:val="20"/>
              </w:rPr>
              <w:t>gelegt</w:t>
            </w:r>
            <w:r w:rsidRPr="00E47912">
              <w:rPr>
                <w:sz w:val="20"/>
                <w:szCs w:val="20"/>
              </w:rPr>
              <w:t xml:space="preserve"> („</w:t>
            </w:r>
            <w:proofErr w:type="spellStart"/>
            <w:r w:rsidRPr="00E47912">
              <w:rPr>
                <w:sz w:val="20"/>
                <w:szCs w:val="20"/>
              </w:rPr>
              <w:t>without</w:t>
            </w:r>
            <w:proofErr w:type="spellEnd"/>
            <w:r w:rsidRPr="00E47912">
              <w:rPr>
                <w:sz w:val="20"/>
                <w:szCs w:val="20"/>
              </w:rPr>
              <w:t xml:space="preserve"> </w:t>
            </w:r>
            <w:proofErr w:type="spellStart"/>
            <w:r w:rsidRPr="00E47912">
              <w:rPr>
                <w:sz w:val="20"/>
                <w:szCs w:val="20"/>
              </w:rPr>
              <w:t>being</w:t>
            </w:r>
            <w:proofErr w:type="spellEnd"/>
            <w:r w:rsidRPr="00E47912">
              <w:rPr>
                <w:sz w:val="20"/>
                <w:szCs w:val="20"/>
              </w:rPr>
              <w:t xml:space="preserve"> </w:t>
            </w:r>
            <w:proofErr w:type="spellStart"/>
            <w:r w:rsidRPr="00E47912">
              <w:rPr>
                <w:sz w:val="20"/>
                <w:szCs w:val="20"/>
              </w:rPr>
              <w:t>closely</w:t>
            </w:r>
            <w:proofErr w:type="spellEnd"/>
            <w:r w:rsidRPr="00E47912">
              <w:rPr>
                <w:sz w:val="20"/>
                <w:szCs w:val="20"/>
              </w:rPr>
              <w:t xml:space="preserve"> </w:t>
            </w:r>
            <w:proofErr w:type="spellStart"/>
            <w:r w:rsidRPr="00E47912">
              <w:rPr>
                <w:sz w:val="20"/>
                <w:szCs w:val="20"/>
              </w:rPr>
              <w:t>tailored</w:t>
            </w:r>
            <w:proofErr w:type="spellEnd"/>
            <w:r w:rsidRPr="00E47912">
              <w:rPr>
                <w:sz w:val="20"/>
                <w:szCs w:val="20"/>
              </w:rPr>
              <w:t xml:space="preserve"> to </w:t>
            </w:r>
            <w:proofErr w:type="spellStart"/>
            <w:r w:rsidRPr="00E47912">
              <w:rPr>
                <w:sz w:val="20"/>
                <w:szCs w:val="20"/>
              </w:rPr>
              <w:t>effectuate</w:t>
            </w:r>
            <w:proofErr w:type="spellEnd"/>
            <w:r w:rsidRPr="00E47912">
              <w:rPr>
                <w:sz w:val="20"/>
                <w:szCs w:val="20"/>
              </w:rPr>
              <w:t xml:space="preserve"> the </w:t>
            </w:r>
            <w:proofErr w:type="spellStart"/>
            <w:r w:rsidRPr="00E47912">
              <w:rPr>
                <w:sz w:val="20"/>
                <w:szCs w:val="20"/>
              </w:rPr>
              <w:t>state</w:t>
            </w:r>
            <w:r>
              <w:rPr>
                <w:sz w:val="20"/>
                <w:szCs w:val="20"/>
              </w:rPr>
              <w:t>’</w:t>
            </w:r>
            <w:r w:rsidRPr="00E47912">
              <w:rPr>
                <w:sz w:val="20"/>
                <w:szCs w:val="20"/>
              </w:rPr>
              <w:t>s</w:t>
            </w:r>
            <w:proofErr w:type="spellEnd"/>
            <w:r w:rsidRPr="00E47912">
              <w:rPr>
                <w:sz w:val="20"/>
                <w:szCs w:val="20"/>
              </w:rPr>
              <w:t xml:space="preserve"> </w:t>
            </w:r>
            <w:proofErr w:type="spellStart"/>
            <w:r w:rsidRPr="00E47912">
              <w:rPr>
                <w:sz w:val="20"/>
                <w:szCs w:val="20"/>
              </w:rPr>
              <w:t>interests</w:t>
            </w:r>
            <w:proofErr w:type="spellEnd"/>
            <w:r w:rsidRPr="00E47912">
              <w:rPr>
                <w:sz w:val="20"/>
                <w:szCs w:val="20"/>
              </w:rPr>
              <w:t>“</w:t>
            </w:r>
            <w:r w:rsidRPr="00E47912">
              <w:rPr>
                <w:sz w:val="20"/>
                <w:szCs w:val="20"/>
                <w:vertAlign w:val="superscript"/>
              </w:rPr>
              <w:footnoteReference w:id="1432"/>
            </w:r>
            <w:r w:rsidRPr="00E47912">
              <w:rPr>
                <w:sz w:val="20"/>
                <w:szCs w:val="20"/>
              </w:rPr>
              <w:t>)</w:t>
            </w:r>
            <w:r>
              <w:rPr>
                <w:sz w:val="20"/>
                <w:szCs w:val="20"/>
              </w:rPr>
              <w:t xml:space="preserve"> und</w:t>
            </w:r>
            <w:r w:rsidRPr="00E47912">
              <w:rPr>
                <w:sz w:val="20"/>
                <w:szCs w:val="20"/>
              </w:rPr>
              <w:t xml:space="preserve"> die Ehefreiheit </w:t>
            </w:r>
            <w:r>
              <w:rPr>
                <w:sz w:val="20"/>
                <w:szCs w:val="20"/>
              </w:rPr>
              <w:t>ungerechtfertigterweise</w:t>
            </w:r>
            <w:r w:rsidRPr="00E47912">
              <w:rPr>
                <w:sz w:val="20"/>
                <w:szCs w:val="20"/>
              </w:rPr>
              <w:t xml:space="preserve"> beschränk</w:t>
            </w:r>
            <w:r>
              <w:rPr>
                <w:sz w:val="20"/>
                <w:szCs w:val="20"/>
              </w:rPr>
              <w:t>t</w:t>
            </w:r>
            <w:r w:rsidRPr="00E47912">
              <w:rPr>
                <w:sz w:val="20"/>
                <w:szCs w:val="20"/>
              </w:rPr>
              <w:t xml:space="preserve">. Vielmehr sei die Ehefreiheit grundsätzlich abwägungsfest. Und hier sei es sogar so, dass die finanzielle Leistungsfähigkeit („lack the </w:t>
            </w:r>
            <w:proofErr w:type="spellStart"/>
            <w:r w:rsidRPr="00E47912">
              <w:rPr>
                <w:sz w:val="20"/>
                <w:szCs w:val="20"/>
              </w:rPr>
              <w:t>financial</w:t>
            </w:r>
            <w:proofErr w:type="spellEnd"/>
            <w:r w:rsidRPr="00E47912">
              <w:rPr>
                <w:sz w:val="20"/>
                <w:szCs w:val="20"/>
              </w:rPr>
              <w:t xml:space="preserve"> </w:t>
            </w:r>
            <w:proofErr w:type="spellStart"/>
            <w:r w:rsidRPr="00E47912">
              <w:rPr>
                <w:sz w:val="20"/>
                <w:szCs w:val="20"/>
              </w:rPr>
              <w:t>means</w:t>
            </w:r>
            <w:proofErr w:type="spellEnd"/>
            <w:r w:rsidRPr="00E47912">
              <w:rPr>
                <w:sz w:val="20"/>
                <w:szCs w:val="20"/>
              </w:rPr>
              <w:t>“</w:t>
            </w:r>
            <w:r w:rsidRPr="00E47912">
              <w:rPr>
                <w:sz w:val="20"/>
                <w:szCs w:val="20"/>
                <w:vertAlign w:val="superscript"/>
              </w:rPr>
              <w:footnoteReference w:id="1433"/>
            </w:r>
            <w:r w:rsidRPr="00E47912">
              <w:rPr>
                <w:sz w:val="20"/>
                <w:szCs w:val="20"/>
              </w:rPr>
              <w:t>) dazu führen könne, dass eine Ehe gar nicht eingegangen würde („</w:t>
            </w:r>
            <w:proofErr w:type="spellStart"/>
            <w:r w:rsidRPr="00E47912">
              <w:rPr>
                <w:sz w:val="20"/>
                <w:szCs w:val="20"/>
              </w:rPr>
              <w:t>absolutely</w:t>
            </w:r>
            <w:proofErr w:type="spellEnd"/>
            <w:r w:rsidRPr="00E47912">
              <w:rPr>
                <w:sz w:val="20"/>
                <w:szCs w:val="20"/>
              </w:rPr>
              <w:t xml:space="preserve"> </w:t>
            </w:r>
            <w:proofErr w:type="spellStart"/>
            <w:r w:rsidRPr="00E47912">
              <w:rPr>
                <w:sz w:val="20"/>
                <w:szCs w:val="20"/>
              </w:rPr>
              <w:t>prevented</w:t>
            </w:r>
            <w:proofErr w:type="spellEnd"/>
            <w:r w:rsidRPr="00E47912">
              <w:rPr>
                <w:sz w:val="20"/>
                <w:szCs w:val="20"/>
              </w:rPr>
              <w:t>“</w:t>
            </w:r>
            <w:r w:rsidRPr="00E47912">
              <w:rPr>
                <w:sz w:val="20"/>
                <w:szCs w:val="20"/>
                <w:vertAlign w:val="superscript"/>
              </w:rPr>
              <w:footnoteReference w:id="1434"/>
            </w:r>
            <w:r w:rsidRPr="00E47912">
              <w:rPr>
                <w:sz w:val="20"/>
                <w:szCs w:val="20"/>
              </w:rPr>
              <w:t>). Erschwerend komm</w:t>
            </w:r>
            <w:r>
              <w:rPr>
                <w:sz w:val="20"/>
                <w:szCs w:val="20"/>
              </w:rPr>
              <w:t>e hinzu</w:t>
            </w:r>
            <w:r w:rsidRPr="00E47912">
              <w:rPr>
                <w:sz w:val="20"/>
                <w:szCs w:val="20"/>
              </w:rPr>
              <w:t xml:space="preserve">, </w:t>
            </w:r>
            <w:r>
              <w:rPr>
                <w:sz w:val="20"/>
                <w:szCs w:val="20"/>
              </w:rPr>
              <w:t xml:space="preserve">dass </w:t>
            </w:r>
            <w:r w:rsidRPr="00E47912">
              <w:rPr>
                <w:sz w:val="20"/>
                <w:szCs w:val="20"/>
              </w:rPr>
              <w:t>der Staat auch mittelbar durch die finanziellen Auflagen in die Entscheidungsfreiheit („</w:t>
            </w:r>
            <w:proofErr w:type="spellStart"/>
            <w:r w:rsidRPr="00E47912">
              <w:rPr>
                <w:sz w:val="20"/>
                <w:szCs w:val="20"/>
              </w:rPr>
              <w:t>freedom</w:t>
            </w:r>
            <w:proofErr w:type="spellEnd"/>
            <w:r w:rsidRPr="00E47912">
              <w:rPr>
                <w:sz w:val="20"/>
                <w:szCs w:val="20"/>
              </w:rPr>
              <w:t xml:space="preserve"> of </w:t>
            </w:r>
            <w:proofErr w:type="spellStart"/>
            <w:r w:rsidRPr="00E47912">
              <w:rPr>
                <w:sz w:val="20"/>
                <w:szCs w:val="20"/>
              </w:rPr>
              <w:t>choice</w:t>
            </w:r>
            <w:proofErr w:type="spellEnd"/>
            <w:r w:rsidRPr="00E47912">
              <w:rPr>
                <w:sz w:val="20"/>
                <w:szCs w:val="20"/>
              </w:rPr>
              <w:t>“</w:t>
            </w:r>
            <w:r w:rsidRPr="00E47912">
              <w:rPr>
                <w:sz w:val="20"/>
                <w:szCs w:val="20"/>
                <w:vertAlign w:val="superscript"/>
              </w:rPr>
              <w:footnoteReference w:id="1435"/>
            </w:r>
            <w:r w:rsidRPr="00E47912">
              <w:rPr>
                <w:sz w:val="20"/>
                <w:szCs w:val="20"/>
              </w:rPr>
              <w:t>) als Korrelat der Ehefreiheit eingreife, aber ohne obiger Rechtfertigungslast nachzukommen.</w:t>
            </w:r>
          </w:p>
          <w:p w14:paraId="6D0F2D6C" w14:textId="77777777" w:rsidR="00074551" w:rsidRPr="00E50B51" w:rsidRDefault="00074551" w:rsidP="00367133">
            <w:pPr>
              <w:jc w:val="both"/>
              <w:rPr>
                <w:sz w:val="20"/>
                <w:szCs w:val="20"/>
              </w:rPr>
            </w:pPr>
          </w:p>
        </w:tc>
      </w:tr>
      <w:tr w:rsidR="00074551" w:rsidRPr="00E50B51" w14:paraId="0B5E3BE1" w14:textId="77777777" w:rsidTr="00203768">
        <w:trPr>
          <w:cantSplit/>
          <w:trHeight w:val="3175"/>
        </w:trPr>
        <w:tc>
          <w:tcPr>
            <w:tcW w:w="293" w:type="pct"/>
            <w:shd w:val="clear" w:color="auto" w:fill="E7E6E6" w:themeFill="background2"/>
          </w:tcPr>
          <w:p w14:paraId="30E0AD5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3667342E" w14:textId="77777777" w:rsidR="00074551" w:rsidRPr="00E50B51" w:rsidRDefault="00074551" w:rsidP="00367133">
            <w:pPr>
              <w:ind w:left="113" w:right="416"/>
              <w:jc w:val="both"/>
              <w:rPr>
                <w:sz w:val="20"/>
                <w:szCs w:val="20"/>
              </w:rPr>
            </w:pPr>
            <w:r w:rsidRPr="00E50B51">
              <w:rPr>
                <w:sz w:val="20"/>
                <w:szCs w:val="20"/>
              </w:rPr>
              <w:t>Naturrechtlich-freiheitliche Seite</w:t>
            </w:r>
          </w:p>
        </w:tc>
        <w:tc>
          <w:tcPr>
            <w:tcW w:w="197" w:type="pct"/>
            <w:shd w:val="clear" w:color="auto" w:fill="E7E6E6" w:themeFill="background2"/>
            <w:textDirection w:val="tbRl"/>
            <w:vAlign w:val="center"/>
          </w:tcPr>
          <w:p w14:paraId="3049A46D" w14:textId="77777777" w:rsidR="00074551" w:rsidRPr="00E50B51" w:rsidRDefault="00074551" w:rsidP="00367133">
            <w:pPr>
              <w:ind w:left="113" w:right="113"/>
              <w:jc w:val="both"/>
              <w:rPr>
                <w:sz w:val="20"/>
                <w:szCs w:val="20"/>
              </w:rPr>
            </w:pPr>
            <w:r w:rsidRPr="00E50B51">
              <w:rPr>
                <w:sz w:val="20"/>
                <w:szCs w:val="20"/>
              </w:rPr>
              <w:t xml:space="preserve">Substantive Due </w:t>
            </w:r>
            <w:proofErr w:type="spellStart"/>
            <w:r w:rsidRPr="00E50B51">
              <w:rPr>
                <w:sz w:val="20"/>
                <w:szCs w:val="20"/>
              </w:rPr>
              <w:t>Process</w:t>
            </w:r>
            <w:proofErr w:type="spellEnd"/>
          </w:p>
        </w:tc>
        <w:tc>
          <w:tcPr>
            <w:tcW w:w="306" w:type="pct"/>
            <w:shd w:val="clear" w:color="auto" w:fill="E7E6E6" w:themeFill="background2"/>
            <w:textDirection w:val="tbRl"/>
            <w:vAlign w:val="center"/>
          </w:tcPr>
          <w:p w14:paraId="1435A9AA" w14:textId="77777777" w:rsidR="00074551" w:rsidRPr="00E50B51" w:rsidRDefault="00074551" w:rsidP="00367133">
            <w:pPr>
              <w:ind w:left="113" w:right="113"/>
              <w:jc w:val="both"/>
              <w:rPr>
                <w:sz w:val="20"/>
                <w:szCs w:val="20"/>
              </w:rPr>
            </w:pPr>
            <w:r w:rsidRPr="00E50B51">
              <w:rPr>
                <w:sz w:val="20"/>
                <w:szCs w:val="20"/>
              </w:rPr>
              <w:t>Scope</w:t>
            </w:r>
          </w:p>
        </w:tc>
        <w:tc>
          <w:tcPr>
            <w:tcW w:w="401" w:type="pct"/>
            <w:shd w:val="clear" w:color="auto" w:fill="E7E6E6" w:themeFill="background2"/>
            <w:textDirection w:val="tbRl"/>
          </w:tcPr>
          <w:p w14:paraId="69BA9DD8" w14:textId="77777777" w:rsidR="00074551" w:rsidRDefault="00074551" w:rsidP="00367133">
            <w:pPr>
              <w:ind w:left="113" w:right="113"/>
              <w:rPr>
                <w:sz w:val="20"/>
                <w:szCs w:val="20"/>
              </w:rPr>
            </w:pPr>
          </w:p>
          <w:p w14:paraId="3746656D" w14:textId="77777777" w:rsidR="00074551" w:rsidRPr="00E50B51" w:rsidRDefault="00074551" w:rsidP="00367133">
            <w:pPr>
              <w:ind w:left="113" w:right="113"/>
              <w:rPr>
                <w:sz w:val="20"/>
                <w:szCs w:val="20"/>
              </w:rPr>
            </w:pPr>
            <w:r w:rsidRPr="00E50B51">
              <w:rPr>
                <w:sz w:val="20"/>
                <w:szCs w:val="20"/>
              </w:rPr>
              <w:t xml:space="preserve">Personal </w:t>
            </w:r>
            <w:proofErr w:type="spellStart"/>
            <w:r>
              <w:rPr>
                <w:sz w:val="20"/>
                <w:szCs w:val="20"/>
              </w:rPr>
              <w:t>D</w:t>
            </w:r>
            <w:r w:rsidRPr="00E50B51">
              <w:rPr>
                <w:sz w:val="20"/>
                <w:szCs w:val="20"/>
              </w:rPr>
              <w:t>ecision</w:t>
            </w:r>
            <w:proofErr w:type="spellEnd"/>
          </w:p>
        </w:tc>
        <w:tc>
          <w:tcPr>
            <w:tcW w:w="1594" w:type="pct"/>
            <w:shd w:val="clear" w:color="auto" w:fill="E7E6E6" w:themeFill="background2"/>
            <w:vAlign w:val="center"/>
          </w:tcPr>
          <w:p w14:paraId="22ADC70A" w14:textId="77777777" w:rsidR="00074551" w:rsidRPr="00E50B51" w:rsidRDefault="00074551" w:rsidP="00367133">
            <w:pPr>
              <w:jc w:val="both"/>
              <w:rPr>
                <w:sz w:val="20"/>
                <w:szCs w:val="20"/>
              </w:rPr>
            </w:pPr>
          </w:p>
        </w:tc>
        <w:tc>
          <w:tcPr>
            <w:tcW w:w="1822" w:type="pct"/>
            <w:shd w:val="clear" w:color="auto" w:fill="E7E6E6" w:themeFill="background2"/>
          </w:tcPr>
          <w:p w14:paraId="7FB98632" w14:textId="4B86A97D"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26B5AFAA" w14:textId="77777777" w:rsidTr="00BE689F">
        <w:trPr>
          <w:cantSplit/>
          <w:trHeight w:val="3175"/>
        </w:trPr>
        <w:tc>
          <w:tcPr>
            <w:tcW w:w="293" w:type="pct"/>
          </w:tcPr>
          <w:p w14:paraId="392BE90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498680B" w14:textId="77777777" w:rsidR="00074551" w:rsidRPr="00E50B51" w:rsidRDefault="00074551" w:rsidP="00367133">
            <w:pPr>
              <w:ind w:left="113" w:right="416"/>
              <w:jc w:val="both"/>
              <w:rPr>
                <w:sz w:val="20"/>
                <w:szCs w:val="20"/>
              </w:rPr>
            </w:pPr>
            <w:r w:rsidRPr="00D83E4F">
              <w:rPr>
                <w:i/>
                <w:sz w:val="20"/>
                <w:szCs w:val="20"/>
              </w:rPr>
              <w:t>Doe v. Bolton</w:t>
            </w:r>
          </w:p>
        </w:tc>
        <w:tc>
          <w:tcPr>
            <w:tcW w:w="197" w:type="pct"/>
            <w:textDirection w:val="tbRl"/>
            <w:vAlign w:val="center"/>
          </w:tcPr>
          <w:p w14:paraId="45DC6369" w14:textId="77777777" w:rsidR="00074551" w:rsidRPr="00E50B51" w:rsidRDefault="00074551" w:rsidP="00367133">
            <w:pPr>
              <w:ind w:left="113" w:right="113"/>
              <w:jc w:val="both"/>
              <w:rPr>
                <w:sz w:val="20"/>
                <w:szCs w:val="20"/>
              </w:rPr>
            </w:pPr>
            <w:r w:rsidRPr="00E50B51">
              <w:rPr>
                <w:sz w:val="20"/>
                <w:szCs w:val="20"/>
                <w:lang w:val="en-US"/>
              </w:rPr>
              <w:t>410 U.S. 179</w:t>
            </w:r>
          </w:p>
        </w:tc>
        <w:tc>
          <w:tcPr>
            <w:tcW w:w="306" w:type="pct"/>
            <w:textDirection w:val="tbRl"/>
            <w:vAlign w:val="center"/>
          </w:tcPr>
          <w:p w14:paraId="32DE7ED3" w14:textId="77777777" w:rsidR="00074551" w:rsidRPr="00E50B51" w:rsidRDefault="00074551" w:rsidP="00367133">
            <w:pPr>
              <w:ind w:left="113" w:right="113"/>
              <w:jc w:val="both"/>
              <w:rPr>
                <w:sz w:val="20"/>
                <w:szCs w:val="20"/>
              </w:rPr>
            </w:pPr>
            <w:r w:rsidRPr="00E50B51">
              <w:rPr>
                <w:sz w:val="20"/>
                <w:szCs w:val="20"/>
              </w:rPr>
              <w:t>22. Januar 1973</w:t>
            </w:r>
          </w:p>
        </w:tc>
        <w:tc>
          <w:tcPr>
            <w:tcW w:w="401" w:type="pct"/>
          </w:tcPr>
          <w:p w14:paraId="1CB429AA" w14:textId="77777777" w:rsidR="00074551" w:rsidRPr="00E50B51" w:rsidRDefault="00074551" w:rsidP="00367133">
            <w:pPr>
              <w:jc w:val="center"/>
              <w:rPr>
                <w:sz w:val="20"/>
                <w:szCs w:val="20"/>
              </w:rPr>
            </w:pPr>
            <w:r w:rsidRPr="00E50B51">
              <w:rPr>
                <w:sz w:val="20"/>
                <w:szCs w:val="20"/>
              </w:rPr>
              <w:t>C</w:t>
            </w:r>
          </w:p>
        </w:tc>
        <w:tc>
          <w:tcPr>
            <w:tcW w:w="1594" w:type="pct"/>
          </w:tcPr>
          <w:p w14:paraId="46AF1D66" w14:textId="77777777" w:rsidR="00074551" w:rsidRPr="00E50B51" w:rsidRDefault="00074551" w:rsidP="00367133">
            <w:pPr>
              <w:jc w:val="both"/>
              <w:rPr>
                <w:sz w:val="20"/>
                <w:szCs w:val="20"/>
              </w:rPr>
            </w:pPr>
            <w:r w:rsidRPr="00E50B51">
              <w:rPr>
                <w:sz w:val="20"/>
                <w:szCs w:val="20"/>
              </w:rPr>
              <w:t>*</w:t>
            </w:r>
          </w:p>
          <w:p w14:paraId="4707A633" w14:textId="77777777" w:rsidR="00074551" w:rsidRPr="00E50B51" w:rsidRDefault="00074551" w:rsidP="00367133">
            <w:pPr>
              <w:jc w:val="both"/>
              <w:rPr>
                <w:sz w:val="20"/>
                <w:szCs w:val="20"/>
              </w:rPr>
            </w:pPr>
          </w:p>
        </w:tc>
        <w:tc>
          <w:tcPr>
            <w:tcW w:w="1822" w:type="pct"/>
          </w:tcPr>
          <w:p w14:paraId="0B7FCBB2" w14:textId="77777777" w:rsidR="00074551" w:rsidRPr="00E50B51" w:rsidRDefault="00074551" w:rsidP="00367133">
            <w:pPr>
              <w:jc w:val="both"/>
              <w:rPr>
                <w:sz w:val="20"/>
                <w:szCs w:val="20"/>
              </w:rPr>
            </w:pPr>
            <w:r w:rsidRPr="00E50B51">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E50B51">
              <w:rPr>
                <w:sz w:val="20"/>
                <w:szCs w:val="20"/>
              </w:rPr>
              <w:t xml:space="preserve"> erläuterte das Recht auf Privatsphäre als Teil des Strebens nach Glück. Dabei gehöre zu einer der Sphären des Privatrechts („</w:t>
            </w:r>
            <w:proofErr w:type="spellStart"/>
            <w:r w:rsidRPr="00E50B51">
              <w:rPr>
                <w:sz w:val="20"/>
                <w:szCs w:val="20"/>
              </w:rPr>
              <w:t>zones</w:t>
            </w:r>
            <w:proofErr w:type="spellEnd"/>
            <w:r w:rsidRPr="00E50B51">
              <w:rPr>
                <w:sz w:val="20"/>
                <w:szCs w:val="20"/>
              </w:rPr>
              <w:t xml:space="preserve"> of </w:t>
            </w:r>
            <w:proofErr w:type="spellStart"/>
            <w:r w:rsidRPr="00E50B51">
              <w:rPr>
                <w:sz w:val="20"/>
                <w:szCs w:val="20"/>
              </w:rPr>
              <w:t>privacy</w:t>
            </w:r>
            <w:proofErr w:type="spellEnd"/>
            <w:r w:rsidRPr="00E50B51">
              <w:rPr>
                <w:sz w:val="20"/>
                <w:szCs w:val="20"/>
              </w:rPr>
              <w:t>“</w:t>
            </w:r>
            <w:r w:rsidRPr="5B67C1D2">
              <w:rPr>
                <w:rStyle w:val="Funotenzeichen"/>
                <w:rFonts w:eastAsiaTheme="majorEastAsia"/>
                <w:sz w:val="20"/>
                <w:szCs w:val="20"/>
              </w:rPr>
              <w:footnoteReference w:id="1436"/>
            </w:r>
            <w:r w:rsidRPr="00E50B51">
              <w:rPr>
                <w:sz w:val="20"/>
                <w:szCs w:val="20"/>
              </w:rPr>
              <w:t>)</w:t>
            </w:r>
            <w:r>
              <w:rPr>
                <w:sz w:val="20"/>
                <w:szCs w:val="20"/>
              </w:rPr>
              <w:t xml:space="preserve"> </w:t>
            </w:r>
            <w:r w:rsidRPr="00E50B51">
              <w:rPr>
                <w:sz w:val="20"/>
                <w:szCs w:val="20"/>
              </w:rPr>
              <w:t>die Wahlfreiheit bei grundlegenden Lebensentscheidungen, betreffen</w:t>
            </w:r>
            <w:r>
              <w:rPr>
                <w:sz w:val="20"/>
                <w:szCs w:val="20"/>
              </w:rPr>
              <w:t>d</w:t>
            </w:r>
            <w:r w:rsidRPr="00E50B51">
              <w:rPr>
                <w:sz w:val="20"/>
                <w:szCs w:val="20"/>
              </w:rPr>
              <w:t xml:space="preserve"> </w:t>
            </w:r>
            <w:r>
              <w:rPr>
                <w:sz w:val="20"/>
                <w:szCs w:val="20"/>
              </w:rPr>
              <w:t>z.B.</w:t>
            </w:r>
            <w:r w:rsidRPr="00E50B51">
              <w:rPr>
                <w:sz w:val="20"/>
                <w:szCs w:val="20"/>
              </w:rPr>
              <w:t xml:space="preserve"> Ehe, Scheidung, Fortpflanzung, Empfängnisverhütung sowie Bildung und Erziehung von Kindern.</w:t>
            </w:r>
            <w:r w:rsidRPr="5B67C1D2">
              <w:rPr>
                <w:rStyle w:val="Funotenzeichen"/>
                <w:rFonts w:eastAsiaTheme="majorEastAsia"/>
                <w:sz w:val="20"/>
                <w:szCs w:val="20"/>
              </w:rPr>
              <w:footnoteReference w:id="1437"/>
            </w:r>
          </w:p>
          <w:p w14:paraId="40B624FC" w14:textId="77777777" w:rsidR="00074551" w:rsidRPr="00E50B51" w:rsidRDefault="00074551" w:rsidP="00367133">
            <w:pPr>
              <w:jc w:val="both"/>
              <w:rPr>
                <w:sz w:val="20"/>
                <w:szCs w:val="20"/>
              </w:rPr>
            </w:pPr>
          </w:p>
        </w:tc>
      </w:tr>
      <w:tr w:rsidR="00074551" w:rsidRPr="00E50B51" w14:paraId="46B5064D" w14:textId="77777777" w:rsidTr="00BE689F">
        <w:trPr>
          <w:cantSplit/>
          <w:trHeight w:val="3175"/>
        </w:trPr>
        <w:tc>
          <w:tcPr>
            <w:tcW w:w="293" w:type="pct"/>
          </w:tcPr>
          <w:p w14:paraId="2320D79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DFC671F" w14:textId="77777777" w:rsidR="00074551" w:rsidRPr="00E50B51" w:rsidRDefault="00074551" w:rsidP="00367133">
            <w:pPr>
              <w:ind w:left="113" w:right="416"/>
              <w:jc w:val="both"/>
              <w:rPr>
                <w:sz w:val="20"/>
                <w:szCs w:val="20"/>
              </w:rPr>
            </w:pPr>
            <w:r w:rsidRPr="009167A5">
              <w:rPr>
                <w:i/>
                <w:sz w:val="20"/>
                <w:szCs w:val="20"/>
              </w:rPr>
              <w:t>Griswold v. Connecticut</w:t>
            </w:r>
          </w:p>
        </w:tc>
        <w:tc>
          <w:tcPr>
            <w:tcW w:w="197" w:type="pct"/>
            <w:textDirection w:val="tbRl"/>
            <w:vAlign w:val="center"/>
          </w:tcPr>
          <w:p w14:paraId="170CD5DF" w14:textId="77777777" w:rsidR="00074551" w:rsidRPr="00E50B51" w:rsidRDefault="00074551" w:rsidP="00367133">
            <w:pPr>
              <w:ind w:left="113" w:right="113"/>
              <w:jc w:val="both"/>
              <w:rPr>
                <w:sz w:val="20"/>
                <w:szCs w:val="20"/>
              </w:rPr>
            </w:pPr>
            <w:r w:rsidRPr="00E50B51">
              <w:rPr>
                <w:sz w:val="20"/>
                <w:szCs w:val="20"/>
                <w:lang w:val="en-US"/>
              </w:rPr>
              <w:t>381 U.S. 479</w:t>
            </w:r>
          </w:p>
        </w:tc>
        <w:tc>
          <w:tcPr>
            <w:tcW w:w="306" w:type="pct"/>
            <w:textDirection w:val="tbRl"/>
            <w:vAlign w:val="center"/>
          </w:tcPr>
          <w:p w14:paraId="62759C09" w14:textId="77777777" w:rsidR="00074551" w:rsidRPr="00E50B51" w:rsidRDefault="00074551" w:rsidP="00367133">
            <w:pPr>
              <w:ind w:left="113" w:right="113"/>
              <w:jc w:val="both"/>
              <w:rPr>
                <w:sz w:val="20"/>
                <w:szCs w:val="20"/>
              </w:rPr>
            </w:pPr>
            <w:r w:rsidRPr="00E50B51">
              <w:rPr>
                <w:sz w:val="20"/>
                <w:szCs w:val="20"/>
              </w:rPr>
              <w:t>7. Juni 1965</w:t>
            </w:r>
          </w:p>
        </w:tc>
        <w:tc>
          <w:tcPr>
            <w:tcW w:w="401" w:type="pct"/>
          </w:tcPr>
          <w:p w14:paraId="54EFDECF" w14:textId="77777777" w:rsidR="00074551" w:rsidRPr="00E50B51" w:rsidRDefault="00074551" w:rsidP="00367133">
            <w:pPr>
              <w:jc w:val="center"/>
              <w:rPr>
                <w:sz w:val="20"/>
                <w:szCs w:val="20"/>
              </w:rPr>
            </w:pPr>
            <w:r w:rsidRPr="00E50B51">
              <w:rPr>
                <w:sz w:val="20"/>
                <w:szCs w:val="20"/>
              </w:rPr>
              <w:t>C</w:t>
            </w:r>
          </w:p>
        </w:tc>
        <w:tc>
          <w:tcPr>
            <w:tcW w:w="1594" w:type="pct"/>
          </w:tcPr>
          <w:p w14:paraId="1143875D" w14:textId="77777777" w:rsidR="00074551" w:rsidRPr="00E50B51" w:rsidRDefault="00074551" w:rsidP="00367133">
            <w:pPr>
              <w:jc w:val="both"/>
              <w:rPr>
                <w:sz w:val="20"/>
                <w:szCs w:val="20"/>
              </w:rPr>
            </w:pPr>
            <w:r w:rsidRPr="00E50B51">
              <w:rPr>
                <w:sz w:val="20"/>
                <w:szCs w:val="20"/>
              </w:rPr>
              <w:t>*</w:t>
            </w:r>
          </w:p>
          <w:p w14:paraId="66ACBE4B" w14:textId="77777777" w:rsidR="00074551" w:rsidRPr="00E50B51" w:rsidRDefault="00074551" w:rsidP="00367133">
            <w:pPr>
              <w:jc w:val="both"/>
              <w:rPr>
                <w:sz w:val="20"/>
                <w:szCs w:val="20"/>
              </w:rPr>
            </w:pPr>
          </w:p>
        </w:tc>
        <w:tc>
          <w:tcPr>
            <w:tcW w:w="1822" w:type="pct"/>
          </w:tcPr>
          <w:p w14:paraId="0C0D3657" w14:textId="77777777" w:rsidR="00074551" w:rsidRPr="00F16096" w:rsidRDefault="00074551" w:rsidP="00367133">
            <w:pPr>
              <w:jc w:val="both"/>
              <w:rPr>
                <w:sz w:val="20"/>
                <w:szCs w:val="20"/>
              </w:rPr>
            </w:pPr>
            <w:r w:rsidRPr="00F16096">
              <w:rPr>
                <w:sz w:val="20"/>
                <w:szCs w:val="20"/>
              </w:rPr>
              <w:t xml:space="preserve">In </w:t>
            </w:r>
            <w:r w:rsidRPr="009167A5">
              <w:rPr>
                <w:i/>
                <w:sz w:val="20"/>
                <w:szCs w:val="20"/>
              </w:rPr>
              <w:t>Griswold v. Connecticut</w:t>
            </w:r>
            <w:r w:rsidRPr="00F16096">
              <w:rPr>
                <w:sz w:val="20"/>
                <w:szCs w:val="20"/>
              </w:rPr>
              <w:t xml:space="preserve"> erklärte der </w:t>
            </w:r>
            <w:r>
              <w:rPr>
                <w:sz w:val="20"/>
                <w:szCs w:val="20"/>
              </w:rPr>
              <w:t>U.S. Supreme Court</w:t>
            </w:r>
            <w:r w:rsidRPr="00F16096">
              <w:rPr>
                <w:sz w:val="20"/>
                <w:szCs w:val="20"/>
              </w:rPr>
              <w:t xml:space="preserve"> Rechte der Sphären des </w:t>
            </w:r>
            <w:r>
              <w:rPr>
                <w:sz w:val="20"/>
                <w:szCs w:val="20"/>
              </w:rPr>
              <w:t>a</w:t>
            </w:r>
            <w:r w:rsidRPr="00F16096">
              <w:rPr>
                <w:sz w:val="20"/>
                <w:szCs w:val="20"/>
              </w:rPr>
              <w:t xml:space="preserve">llgemeinen Persönlichkeitsrechts, das zur freiheitlichen Seite des Strebens nach Glück gehöre. </w:t>
            </w:r>
          </w:p>
          <w:p w14:paraId="71EA5B14" w14:textId="133E4ADF" w:rsidR="00074551" w:rsidRPr="00E50B51" w:rsidRDefault="00074551" w:rsidP="00367133">
            <w:pPr>
              <w:jc w:val="both"/>
              <w:rPr>
                <w:sz w:val="20"/>
                <w:szCs w:val="20"/>
              </w:rPr>
            </w:pPr>
            <w:r w:rsidRPr="00F16096">
              <w:rPr>
                <w:sz w:val="20"/>
                <w:szCs w:val="20"/>
              </w:rPr>
              <w:t xml:space="preserve">Vor allem die Freiheit, Entscheidungen in grundlegenden Lebensbereichen selbst zu treffen, sei eine Bedingung für ein Streben nach Glück.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F16096">
              <w:rPr>
                <w:sz w:val="20"/>
                <w:szCs w:val="20"/>
              </w:rPr>
              <w:t xml:space="preserve"> leitet</w:t>
            </w:r>
            <w:r>
              <w:rPr>
                <w:sz w:val="20"/>
                <w:szCs w:val="20"/>
              </w:rPr>
              <w:t>e</w:t>
            </w:r>
            <w:r w:rsidRPr="00F16096">
              <w:rPr>
                <w:sz w:val="20"/>
                <w:szCs w:val="20"/>
              </w:rPr>
              <w:t xml:space="preserve"> dies her. Sie erklärte zunächst, die Urheber der Verfassung </w:t>
            </w:r>
            <w:r>
              <w:rPr>
                <w:sz w:val="20"/>
                <w:szCs w:val="20"/>
              </w:rPr>
              <w:t>hätten</w:t>
            </w:r>
            <w:r w:rsidRPr="00F16096">
              <w:rPr>
                <w:sz w:val="20"/>
                <w:szCs w:val="20"/>
              </w:rPr>
              <w:t xml:space="preserve">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w:t>
            </w:r>
            <w:r>
              <w:rPr>
                <w:sz w:val="20"/>
                <w:szCs w:val="20"/>
              </w:rPr>
              <w:t xml:space="preserve"> kodifiziert</w:t>
            </w:r>
            <w:r w:rsidRPr="00F16096">
              <w:rPr>
                <w:sz w:val="20"/>
                <w:szCs w:val="20"/>
              </w:rPr>
              <w:t>, dass es Grundrechte gebe, die nicht ausdrücklich in den ersten acht Amendments aufgezählt sein müss</w:t>
            </w:r>
            <w:r>
              <w:rPr>
                <w:sz w:val="20"/>
                <w:szCs w:val="20"/>
              </w:rPr>
              <w:t>t</w:t>
            </w:r>
            <w:r w:rsidRPr="00F16096">
              <w:rPr>
                <w:sz w:val="20"/>
                <w:szCs w:val="20"/>
              </w:rPr>
              <w:t xml:space="preserve">en. Auf dieser Historie beruhe die Auslegung des Freiheitsbegriffs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00F16096">
              <w:rPr>
                <w:sz w:val="20"/>
                <w:szCs w:val="20"/>
              </w:rPr>
              <w:t xml:space="preserve"> D</w:t>
            </w:r>
            <w:r>
              <w:rPr>
                <w:sz w:val="20"/>
                <w:szCs w:val="20"/>
              </w:rPr>
              <w:t>ies</w:t>
            </w:r>
            <w:r w:rsidRPr="00F16096">
              <w:rPr>
                <w:sz w:val="20"/>
                <w:szCs w:val="20"/>
              </w:rPr>
              <w:t xml:space="preserve">er schütze </w:t>
            </w:r>
            <w:proofErr w:type="spellStart"/>
            <w:r w:rsidRPr="00F16096">
              <w:rPr>
                <w:sz w:val="20"/>
                <w:szCs w:val="20"/>
              </w:rPr>
              <w:t>unaufgezählte</w:t>
            </w:r>
            <w:proofErr w:type="spellEnd"/>
            <w:r w:rsidRPr="00F16096">
              <w:rPr>
                <w:sz w:val="20"/>
                <w:szCs w:val="20"/>
              </w:rPr>
              <w:t>,</w:t>
            </w:r>
            <w:r w:rsidRPr="00F16096">
              <w:rPr>
                <w:sz w:val="20"/>
                <w:szCs w:val="20"/>
                <w:vertAlign w:val="superscript"/>
              </w:rPr>
              <w:footnoteReference w:id="1438"/>
            </w:r>
            <w:r w:rsidRPr="00F16096">
              <w:rPr>
                <w:sz w:val="20"/>
                <w:szCs w:val="20"/>
              </w:rPr>
              <w:t xml:space="preserve"> aber grundlegende persönliche Freiheiten („fundamental personal </w:t>
            </w:r>
            <w:proofErr w:type="spellStart"/>
            <w:r w:rsidRPr="00F16096">
              <w:rPr>
                <w:sz w:val="20"/>
                <w:szCs w:val="20"/>
              </w:rPr>
              <w:t>liberties</w:t>
            </w:r>
            <w:proofErr w:type="spellEnd"/>
            <w:r w:rsidRPr="00F16096">
              <w:rPr>
                <w:sz w:val="20"/>
                <w:szCs w:val="20"/>
              </w:rPr>
              <w:t>“</w:t>
            </w:r>
            <w:r w:rsidRPr="00F16096">
              <w:rPr>
                <w:sz w:val="20"/>
                <w:szCs w:val="20"/>
                <w:vertAlign w:val="superscript"/>
              </w:rPr>
              <w:footnoteReference w:id="1439"/>
            </w:r>
            <w:r w:rsidRPr="00F16096">
              <w:rPr>
                <w:sz w:val="20"/>
                <w:szCs w:val="20"/>
              </w:rPr>
              <w:t>) vor einer Einschränkung durch die Regierung.</w:t>
            </w:r>
            <w:r w:rsidRPr="00F16096">
              <w:rPr>
                <w:sz w:val="20"/>
                <w:szCs w:val="20"/>
                <w:vertAlign w:val="superscript"/>
              </w:rPr>
              <w:footnoteReference w:id="1440"/>
            </w:r>
            <w:r w:rsidRPr="00F16096">
              <w:rPr>
                <w:sz w:val="20"/>
                <w:szCs w:val="20"/>
              </w:rPr>
              <w:t xml:space="preserve"> M</w:t>
            </w:r>
            <w:r>
              <w:rPr>
                <w:sz w:val="20"/>
                <w:szCs w:val="20"/>
              </w:rPr>
              <w:t>it anderen Worten:</w:t>
            </w:r>
            <w:r w:rsidRPr="00F16096">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w:t>
            </w:r>
            <w:r w:rsidRPr="00F16096">
              <w:rPr>
                <w:sz w:val="20"/>
                <w:szCs w:val="20"/>
              </w:rPr>
              <w:t xml:space="preserve"> stütze</w:t>
            </w:r>
            <w:r>
              <w:rPr>
                <w:sz w:val="20"/>
                <w:szCs w:val="20"/>
              </w:rPr>
              <w:t xml:space="preserve"> die Ansicht</w:t>
            </w:r>
            <w:r w:rsidRPr="00F16096">
              <w:rPr>
                <w:sz w:val="20"/>
                <w:szCs w:val="20"/>
              </w:rPr>
              <w:t xml:space="preserve">, dass der Freiheitsbegriff nicht auf Rechte beschränkt sei, die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I–VIII</w:t>
            </w:r>
            <w:r w:rsidRPr="00F16096">
              <w:rPr>
                <w:sz w:val="20"/>
                <w:szCs w:val="20"/>
                <w:lang w:val="en-US"/>
              </w:rPr>
              <w:t xml:space="preserve"> </w:t>
            </w:r>
            <w:proofErr w:type="spellStart"/>
            <w:r w:rsidRPr="00F16096">
              <w:rPr>
                <w:sz w:val="20"/>
                <w:szCs w:val="20"/>
                <w:lang w:val="en-US"/>
              </w:rPr>
              <w:t>verwende</w:t>
            </w:r>
            <w:r>
              <w:rPr>
                <w:sz w:val="20"/>
                <w:szCs w:val="20"/>
                <w:lang w:val="en-US"/>
              </w:rPr>
              <w:t>te</w:t>
            </w:r>
            <w:r w:rsidRPr="00F16096">
              <w:rPr>
                <w:sz w:val="20"/>
                <w:szCs w:val="20"/>
                <w:lang w:val="en-US"/>
              </w:rPr>
              <w:t>n</w:t>
            </w:r>
            <w:proofErr w:type="spellEnd"/>
            <w:r w:rsidRPr="00F16096">
              <w:rPr>
                <w:sz w:val="20"/>
                <w:szCs w:val="20"/>
                <w:lang w:val="en-US"/>
              </w:rPr>
              <w:t xml:space="preserve"> („the Ninth Amendment […] lends strong support to the view that </w:t>
            </w:r>
            <w:proofErr w:type="gramStart"/>
            <w:r w:rsidRPr="00F16096">
              <w:rPr>
                <w:sz w:val="20"/>
                <w:szCs w:val="20"/>
                <w:lang w:val="en-US"/>
              </w:rPr>
              <w:t xml:space="preserve">the </w:t>
            </w:r>
            <w:r>
              <w:rPr>
                <w:sz w:val="20"/>
                <w:szCs w:val="20"/>
                <w:lang w:val="en-US"/>
              </w:rPr>
              <w:t>,</w:t>
            </w:r>
            <w:r w:rsidRPr="00F16096">
              <w:rPr>
                <w:sz w:val="20"/>
                <w:szCs w:val="20"/>
                <w:lang w:val="en-US"/>
              </w:rPr>
              <w:t>liberty</w:t>
            </w:r>
            <w:proofErr w:type="gramEnd"/>
            <w:r>
              <w:rPr>
                <w:sz w:val="20"/>
                <w:szCs w:val="20"/>
                <w:lang w:val="en-US"/>
              </w:rPr>
              <w:t>‘</w:t>
            </w:r>
            <w:r w:rsidRPr="00F16096">
              <w:rPr>
                <w:sz w:val="20"/>
                <w:szCs w:val="20"/>
                <w:lang w:val="en-US"/>
              </w:rPr>
              <w:t xml:space="preserve"> protected by the Fifth and Fourteenth Amendments from infringement by the Federal Government or the States is not restricted to rights specifically mentioned in the first eight amendments“</w:t>
            </w:r>
            <w:r w:rsidRPr="00F16096">
              <w:rPr>
                <w:sz w:val="20"/>
                <w:szCs w:val="20"/>
                <w:vertAlign w:val="superscript"/>
                <w:lang w:val="en-US"/>
              </w:rPr>
              <w:footnoteReference w:id="1441"/>
            </w:r>
            <w:r w:rsidRPr="00B45592">
              <w:rPr>
                <w:sz w:val="20"/>
                <w:szCs w:val="20"/>
                <w:lang w:val="en-IE"/>
              </w:rPr>
              <w:t xml:space="preserve">). </w:t>
            </w:r>
            <w:r w:rsidRPr="00F16096">
              <w:rPr>
                <w:sz w:val="20"/>
                <w:szCs w:val="20"/>
              </w:rPr>
              <w:t xml:space="preserve">Doch wann ist ein Recht eine geschützte Freiheit als fundamentales Grundrecht – und wann nicht („so </w:t>
            </w:r>
            <w:proofErr w:type="spellStart"/>
            <w:r w:rsidRPr="00F16096">
              <w:rPr>
                <w:sz w:val="20"/>
                <w:szCs w:val="20"/>
              </w:rPr>
              <w:t>rooted</w:t>
            </w:r>
            <w:proofErr w:type="spellEnd"/>
            <w:r w:rsidRPr="00F16096">
              <w:rPr>
                <w:sz w:val="20"/>
                <w:szCs w:val="20"/>
              </w:rPr>
              <w:t xml:space="preserve"> [</w:t>
            </w:r>
            <w:proofErr w:type="spellStart"/>
            <w:r w:rsidRPr="00F16096">
              <w:rPr>
                <w:sz w:val="20"/>
                <w:szCs w:val="20"/>
              </w:rPr>
              <w:t>there</w:t>
            </w:r>
            <w:proofErr w:type="spellEnd"/>
            <w:r w:rsidRPr="00F16096">
              <w:rPr>
                <w:sz w:val="20"/>
                <w:szCs w:val="20"/>
              </w:rPr>
              <w:t xml:space="preserve">] </w:t>
            </w:r>
            <w:r>
              <w:rPr>
                <w:sz w:val="20"/>
                <w:szCs w:val="20"/>
              </w:rPr>
              <w:t>…</w:t>
            </w:r>
            <w:r w:rsidRPr="00F16096">
              <w:rPr>
                <w:sz w:val="20"/>
                <w:szCs w:val="20"/>
              </w:rPr>
              <w:t xml:space="preserve"> as to </w:t>
            </w:r>
            <w:proofErr w:type="spellStart"/>
            <w:r w:rsidRPr="00F16096">
              <w:rPr>
                <w:sz w:val="20"/>
                <w:szCs w:val="20"/>
              </w:rPr>
              <w:t>be</w:t>
            </w:r>
            <w:proofErr w:type="spellEnd"/>
            <w:r w:rsidRPr="00F16096">
              <w:rPr>
                <w:sz w:val="20"/>
                <w:szCs w:val="20"/>
              </w:rPr>
              <w:t xml:space="preserve"> </w:t>
            </w:r>
            <w:proofErr w:type="spellStart"/>
            <w:r w:rsidRPr="00F16096">
              <w:rPr>
                <w:sz w:val="20"/>
                <w:szCs w:val="20"/>
              </w:rPr>
              <w:t>ranked</w:t>
            </w:r>
            <w:proofErr w:type="spellEnd"/>
            <w:r w:rsidRPr="00F16096">
              <w:rPr>
                <w:sz w:val="20"/>
                <w:szCs w:val="20"/>
              </w:rPr>
              <w:t xml:space="preserve"> as fundamental“</w:t>
            </w:r>
            <w:r w:rsidRPr="00F16096">
              <w:rPr>
                <w:sz w:val="20"/>
                <w:szCs w:val="20"/>
                <w:vertAlign w:val="superscript"/>
              </w:rPr>
              <w:footnoteReference w:id="1442"/>
            </w:r>
            <w:r w:rsidRPr="00F16096">
              <w:rPr>
                <w:sz w:val="20"/>
                <w:szCs w:val="20"/>
              </w:rPr>
              <w:t>)? Dafür gibt es drei Testfragen: Sind die Rechte in der Rechtstradition enthalten und den Menschen bewusst („</w:t>
            </w:r>
            <w:proofErr w:type="spellStart"/>
            <w:r w:rsidRPr="00F16096">
              <w:rPr>
                <w:sz w:val="20"/>
                <w:szCs w:val="20"/>
              </w:rPr>
              <w:t>traditions</w:t>
            </w:r>
            <w:proofErr w:type="spellEnd"/>
            <w:r w:rsidRPr="00F16096">
              <w:rPr>
                <w:sz w:val="20"/>
                <w:szCs w:val="20"/>
              </w:rPr>
              <w:t xml:space="preserve"> and [</w:t>
            </w:r>
            <w:proofErr w:type="spellStart"/>
            <w:r w:rsidRPr="00F16096">
              <w:rPr>
                <w:sz w:val="20"/>
                <w:szCs w:val="20"/>
              </w:rPr>
              <w:t>collective</w:t>
            </w:r>
            <w:proofErr w:type="spellEnd"/>
            <w:r w:rsidRPr="00F16096">
              <w:rPr>
                <w:sz w:val="20"/>
                <w:szCs w:val="20"/>
              </w:rPr>
              <w:t xml:space="preserve">] </w:t>
            </w:r>
            <w:proofErr w:type="spellStart"/>
            <w:r w:rsidRPr="00F16096">
              <w:rPr>
                <w:sz w:val="20"/>
                <w:szCs w:val="20"/>
              </w:rPr>
              <w:t>conscience</w:t>
            </w:r>
            <w:proofErr w:type="spellEnd"/>
            <w:r w:rsidRPr="00F16096">
              <w:rPr>
                <w:sz w:val="20"/>
                <w:szCs w:val="20"/>
              </w:rPr>
              <w:t xml:space="preserve"> of </w:t>
            </w:r>
            <w:proofErr w:type="spellStart"/>
            <w:r w:rsidRPr="00F16096">
              <w:rPr>
                <w:sz w:val="20"/>
                <w:szCs w:val="20"/>
              </w:rPr>
              <w:t>our</w:t>
            </w:r>
            <w:proofErr w:type="spellEnd"/>
            <w:r w:rsidRPr="00F16096">
              <w:rPr>
                <w:sz w:val="20"/>
                <w:szCs w:val="20"/>
              </w:rPr>
              <w:t xml:space="preserve"> </w:t>
            </w:r>
            <w:proofErr w:type="spellStart"/>
            <w:r w:rsidRPr="00F16096">
              <w:rPr>
                <w:sz w:val="20"/>
                <w:szCs w:val="20"/>
              </w:rPr>
              <w:t>people</w:t>
            </w:r>
            <w:proofErr w:type="spellEnd"/>
            <w:r>
              <w:rPr>
                <w:sz w:val="20"/>
                <w:szCs w:val="20"/>
              </w:rPr>
              <w:t>“</w:t>
            </w:r>
            <w:r w:rsidRPr="00F16096">
              <w:rPr>
                <w:sz w:val="20"/>
                <w:szCs w:val="20"/>
                <w:vertAlign w:val="superscript"/>
              </w:rPr>
              <w:footnoteReference w:id="1443"/>
            </w:r>
            <w:r w:rsidRPr="00F16096">
              <w:rPr>
                <w:sz w:val="20"/>
                <w:szCs w:val="20"/>
              </w:rPr>
              <w:t xml:space="preserve">)? Und kann das Recht </w:t>
            </w:r>
            <w:r>
              <w:rPr>
                <w:sz w:val="20"/>
                <w:szCs w:val="20"/>
              </w:rPr>
              <w:t xml:space="preserve">nicht </w:t>
            </w:r>
            <w:r w:rsidRPr="00F16096">
              <w:rPr>
                <w:sz w:val="20"/>
                <w:szCs w:val="20"/>
              </w:rPr>
              <w:t xml:space="preserve">abgelehnt werden, </w:t>
            </w:r>
            <w:r>
              <w:rPr>
                <w:sz w:val="20"/>
                <w:szCs w:val="20"/>
              </w:rPr>
              <w:t>ohne dass</w:t>
            </w:r>
            <w:r w:rsidRPr="00F16096">
              <w:rPr>
                <w:sz w:val="20"/>
                <w:szCs w:val="20"/>
              </w:rPr>
              <w:t xml:space="preserve"> die Fundamentalprinzipien Freiheit und Gerechtigkeit verletzt </w:t>
            </w:r>
            <w:r>
              <w:rPr>
                <w:sz w:val="20"/>
                <w:szCs w:val="20"/>
              </w:rPr>
              <w:t>werden</w:t>
            </w:r>
            <w:r w:rsidRPr="00F16096">
              <w:rPr>
                <w:sz w:val="20"/>
                <w:szCs w:val="20"/>
              </w:rPr>
              <w:t xml:space="preserve"> („</w:t>
            </w:r>
            <w:proofErr w:type="spellStart"/>
            <w:r w:rsidRPr="00F16096">
              <w:rPr>
                <w:sz w:val="20"/>
                <w:szCs w:val="20"/>
              </w:rPr>
              <w:t>is</w:t>
            </w:r>
            <w:proofErr w:type="spellEnd"/>
            <w:r w:rsidRPr="00F16096">
              <w:rPr>
                <w:sz w:val="20"/>
                <w:szCs w:val="20"/>
              </w:rPr>
              <w:t xml:space="preserve"> of such a </w:t>
            </w:r>
            <w:proofErr w:type="spellStart"/>
            <w:r w:rsidRPr="00F16096">
              <w:rPr>
                <w:sz w:val="20"/>
                <w:szCs w:val="20"/>
              </w:rPr>
              <w:t>character</w:t>
            </w:r>
            <w:proofErr w:type="spellEnd"/>
            <w:r w:rsidRPr="00F16096">
              <w:rPr>
                <w:sz w:val="20"/>
                <w:szCs w:val="20"/>
              </w:rPr>
              <w:t xml:space="preserve"> </w:t>
            </w:r>
            <w:proofErr w:type="spellStart"/>
            <w:r w:rsidRPr="00F16096">
              <w:rPr>
                <w:sz w:val="20"/>
                <w:szCs w:val="20"/>
              </w:rPr>
              <w:t>that</w:t>
            </w:r>
            <w:proofErr w:type="spellEnd"/>
            <w:r w:rsidRPr="00F16096">
              <w:rPr>
                <w:sz w:val="20"/>
                <w:szCs w:val="20"/>
              </w:rPr>
              <w:t xml:space="preserve"> it </w:t>
            </w:r>
            <w:proofErr w:type="spellStart"/>
            <w:r w:rsidRPr="00F16096">
              <w:rPr>
                <w:sz w:val="20"/>
                <w:szCs w:val="20"/>
              </w:rPr>
              <w:t>cannot</w:t>
            </w:r>
            <w:proofErr w:type="spellEnd"/>
            <w:r w:rsidRPr="00F16096">
              <w:rPr>
                <w:sz w:val="20"/>
                <w:szCs w:val="20"/>
              </w:rPr>
              <w:t xml:space="preserve"> </w:t>
            </w:r>
            <w:proofErr w:type="spellStart"/>
            <w:r w:rsidRPr="00F16096">
              <w:rPr>
                <w:sz w:val="20"/>
                <w:szCs w:val="20"/>
              </w:rPr>
              <w:t>be</w:t>
            </w:r>
            <w:proofErr w:type="spellEnd"/>
            <w:r w:rsidRPr="00F16096">
              <w:rPr>
                <w:sz w:val="20"/>
                <w:szCs w:val="20"/>
              </w:rPr>
              <w:t xml:space="preserve"> </w:t>
            </w:r>
            <w:proofErr w:type="spellStart"/>
            <w:r w:rsidRPr="00F16096">
              <w:rPr>
                <w:sz w:val="20"/>
                <w:szCs w:val="20"/>
              </w:rPr>
              <w:t>denied</w:t>
            </w:r>
            <w:proofErr w:type="spellEnd"/>
            <w:r w:rsidRPr="00F16096">
              <w:rPr>
                <w:sz w:val="20"/>
                <w:szCs w:val="20"/>
              </w:rPr>
              <w:t xml:space="preserve"> </w:t>
            </w:r>
            <w:proofErr w:type="spellStart"/>
            <w:r w:rsidRPr="00F16096">
              <w:rPr>
                <w:sz w:val="20"/>
                <w:szCs w:val="20"/>
              </w:rPr>
              <w:t>without</w:t>
            </w:r>
            <w:proofErr w:type="spellEnd"/>
            <w:r w:rsidRPr="00F16096">
              <w:rPr>
                <w:sz w:val="20"/>
                <w:szCs w:val="20"/>
              </w:rPr>
              <w:t xml:space="preserve"> </w:t>
            </w:r>
            <w:proofErr w:type="spellStart"/>
            <w:r w:rsidRPr="00F16096">
              <w:rPr>
                <w:sz w:val="20"/>
                <w:szCs w:val="20"/>
              </w:rPr>
              <w:t>violating</w:t>
            </w:r>
            <w:proofErr w:type="spellEnd"/>
            <w:r w:rsidRPr="00F16096">
              <w:rPr>
                <w:sz w:val="20"/>
                <w:szCs w:val="20"/>
              </w:rPr>
              <w:t xml:space="preserve"> </w:t>
            </w:r>
            <w:proofErr w:type="spellStart"/>
            <w:proofErr w:type="gramStart"/>
            <w:r w:rsidRPr="00F16096">
              <w:rPr>
                <w:sz w:val="20"/>
                <w:szCs w:val="20"/>
              </w:rPr>
              <w:t>those</w:t>
            </w:r>
            <w:proofErr w:type="spellEnd"/>
            <w:r w:rsidRPr="00F16096">
              <w:rPr>
                <w:sz w:val="20"/>
                <w:szCs w:val="20"/>
              </w:rPr>
              <w:t xml:space="preserve"> </w:t>
            </w:r>
            <w:r>
              <w:rPr>
                <w:sz w:val="20"/>
                <w:szCs w:val="20"/>
              </w:rPr>
              <w:t>,</w:t>
            </w:r>
            <w:r w:rsidRPr="00F16096">
              <w:rPr>
                <w:sz w:val="20"/>
                <w:szCs w:val="20"/>
              </w:rPr>
              <w:t>fundamental</w:t>
            </w:r>
            <w:proofErr w:type="gramEnd"/>
            <w:r w:rsidRPr="00F16096">
              <w:rPr>
                <w:sz w:val="20"/>
                <w:szCs w:val="20"/>
              </w:rPr>
              <w:t xml:space="preserve"> </w:t>
            </w:r>
            <w:proofErr w:type="spellStart"/>
            <w:r w:rsidRPr="00F16096">
              <w:rPr>
                <w:sz w:val="20"/>
                <w:szCs w:val="20"/>
              </w:rPr>
              <w:t>principles</w:t>
            </w:r>
            <w:proofErr w:type="spellEnd"/>
            <w:r w:rsidRPr="00F16096">
              <w:rPr>
                <w:sz w:val="20"/>
                <w:szCs w:val="20"/>
              </w:rPr>
              <w:t xml:space="preserve"> of </w:t>
            </w:r>
            <w:proofErr w:type="spellStart"/>
            <w:r w:rsidRPr="00F16096">
              <w:rPr>
                <w:sz w:val="20"/>
                <w:szCs w:val="20"/>
              </w:rPr>
              <w:t>liberty</w:t>
            </w:r>
            <w:proofErr w:type="spellEnd"/>
            <w:r w:rsidRPr="00F16096">
              <w:rPr>
                <w:sz w:val="20"/>
                <w:szCs w:val="20"/>
              </w:rPr>
              <w:t xml:space="preserve"> and </w:t>
            </w:r>
            <w:proofErr w:type="spellStart"/>
            <w:r w:rsidRPr="00F16096">
              <w:rPr>
                <w:sz w:val="20"/>
                <w:szCs w:val="20"/>
              </w:rPr>
              <w:t>justice</w:t>
            </w:r>
            <w:proofErr w:type="spellEnd"/>
            <w:r>
              <w:rPr>
                <w:sz w:val="20"/>
                <w:szCs w:val="20"/>
              </w:rPr>
              <w:t>‘</w:t>
            </w:r>
            <w:r w:rsidRPr="00F16096">
              <w:rPr>
                <w:sz w:val="20"/>
                <w:szCs w:val="20"/>
              </w:rPr>
              <w:t>“</w:t>
            </w:r>
            <w:r w:rsidRPr="00F16096">
              <w:rPr>
                <w:sz w:val="20"/>
                <w:szCs w:val="20"/>
                <w:vertAlign w:val="superscript"/>
                <w:lang w:val="en-US"/>
              </w:rPr>
              <w:footnoteReference w:id="1444"/>
            </w:r>
            <w:r w:rsidRPr="00F16096">
              <w:rPr>
                <w:sz w:val="20"/>
                <w:szCs w:val="20"/>
              </w:rPr>
              <w:t>)? Zuletzt: Lässt sich das Recht auf verfassungsrechtliche Garantien zumindest mittelbar zurückführen („</w:t>
            </w:r>
            <w:proofErr w:type="spellStart"/>
            <w:r w:rsidRPr="00F16096">
              <w:rPr>
                <w:sz w:val="20"/>
                <w:szCs w:val="20"/>
              </w:rPr>
              <w:t>gains</w:t>
            </w:r>
            <w:proofErr w:type="spellEnd"/>
            <w:r w:rsidRPr="00F16096">
              <w:rPr>
                <w:sz w:val="20"/>
                <w:szCs w:val="20"/>
              </w:rPr>
              <w:t xml:space="preserve"> </w:t>
            </w:r>
            <w:proofErr w:type="spellStart"/>
            <w:r w:rsidRPr="00F16096">
              <w:rPr>
                <w:sz w:val="20"/>
                <w:szCs w:val="20"/>
              </w:rPr>
              <w:t>content</w:t>
            </w:r>
            <w:proofErr w:type="spellEnd"/>
            <w:r w:rsidRPr="00F16096">
              <w:rPr>
                <w:sz w:val="20"/>
                <w:szCs w:val="20"/>
              </w:rPr>
              <w:t xml:space="preserve"> </w:t>
            </w:r>
            <w:proofErr w:type="spellStart"/>
            <w:r w:rsidRPr="00F16096">
              <w:rPr>
                <w:sz w:val="20"/>
                <w:szCs w:val="20"/>
              </w:rPr>
              <w:t>from</w:t>
            </w:r>
            <w:proofErr w:type="spellEnd"/>
            <w:r w:rsidRPr="00F16096">
              <w:rPr>
                <w:sz w:val="20"/>
                <w:szCs w:val="20"/>
              </w:rPr>
              <w:t xml:space="preserve"> the </w:t>
            </w:r>
            <w:proofErr w:type="spellStart"/>
            <w:r w:rsidRPr="00F16096">
              <w:rPr>
                <w:sz w:val="20"/>
                <w:szCs w:val="20"/>
              </w:rPr>
              <w:t>emanations</w:t>
            </w:r>
            <w:proofErr w:type="spellEnd"/>
            <w:r w:rsidRPr="00F16096">
              <w:rPr>
                <w:sz w:val="20"/>
                <w:szCs w:val="20"/>
              </w:rPr>
              <w:t xml:space="preserve"> of </w:t>
            </w:r>
            <w:r>
              <w:rPr>
                <w:sz w:val="20"/>
                <w:szCs w:val="20"/>
              </w:rPr>
              <w:t xml:space="preserve">… </w:t>
            </w:r>
            <w:proofErr w:type="spellStart"/>
            <w:r w:rsidRPr="00F16096">
              <w:rPr>
                <w:sz w:val="20"/>
                <w:szCs w:val="20"/>
              </w:rPr>
              <w:t>specific</w:t>
            </w:r>
            <w:proofErr w:type="spellEnd"/>
            <w:r w:rsidRPr="00F16096">
              <w:rPr>
                <w:sz w:val="20"/>
                <w:szCs w:val="20"/>
              </w:rPr>
              <w:t xml:space="preserve"> [</w:t>
            </w:r>
            <w:proofErr w:type="spellStart"/>
            <w:r w:rsidRPr="00F16096">
              <w:rPr>
                <w:sz w:val="20"/>
                <w:szCs w:val="20"/>
              </w:rPr>
              <w:t>constitutional</w:t>
            </w:r>
            <w:proofErr w:type="spellEnd"/>
            <w:r w:rsidRPr="00F16096">
              <w:rPr>
                <w:sz w:val="20"/>
                <w:szCs w:val="20"/>
              </w:rPr>
              <w:t xml:space="preserve">] </w:t>
            </w:r>
            <w:proofErr w:type="spellStart"/>
            <w:r w:rsidRPr="00F16096">
              <w:rPr>
                <w:sz w:val="20"/>
                <w:szCs w:val="20"/>
              </w:rPr>
              <w:t>guarantees</w:t>
            </w:r>
            <w:proofErr w:type="spellEnd"/>
            <w:r w:rsidRPr="00F16096">
              <w:rPr>
                <w:sz w:val="20"/>
                <w:szCs w:val="20"/>
              </w:rPr>
              <w:t>“</w:t>
            </w:r>
            <w:r w:rsidRPr="00F16096">
              <w:rPr>
                <w:sz w:val="20"/>
                <w:szCs w:val="20"/>
                <w:vertAlign w:val="superscript"/>
              </w:rPr>
              <w:footnoteReference w:id="1445"/>
            </w:r>
            <w:r w:rsidRPr="00F16096">
              <w:rPr>
                <w:sz w:val="20"/>
                <w:szCs w:val="20"/>
              </w:rPr>
              <w:t>)? Laut dieser Tests ist das Recht auf Privatsphäre ein sog. persönliches Grundrecht („</w:t>
            </w:r>
            <w:proofErr w:type="spellStart"/>
            <w:r w:rsidRPr="00F16096">
              <w:rPr>
                <w:sz w:val="20"/>
                <w:szCs w:val="20"/>
              </w:rPr>
              <w:t>right</w:t>
            </w:r>
            <w:proofErr w:type="spellEnd"/>
            <w:r w:rsidRPr="00F16096">
              <w:rPr>
                <w:sz w:val="20"/>
                <w:szCs w:val="20"/>
              </w:rPr>
              <w:t xml:space="preserve"> of </w:t>
            </w:r>
            <w:proofErr w:type="spellStart"/>
            <w:r w:rsidRPr="00F16096">
              <w:rPr>
                <w:sz w:val="20"/>
                <w:szCs w:val="20"/>
              </w:rPr>
              <w:t>privacy</w:t>
            </w:r>
            <w:proofErr w:type="spellEnd"/>
            <w:r w:rsidRPr="00F16096">
              <w:rPr>
                <w:sz w:val="20"/>
                <w:szCs w:val="20"/>
              </w:rPr>
              <w:t xml:space="preserve"> </w:t>
            </w:r>
            <w:proofErr w:type="spellStart"/>
            <w:r w:rsidRPr="00F16096">
              <w:rPr>
                <w:sz w:val="20"/>
                <w:szCs w:val="20"/>
              </w:rPr>
              <w:t>is</w:t>
            </w:r>
            <w:proofErr w:type="spellEnd"/>
            <w:r w:rsidRPr="00F16096">
              <w:rPr>
                <w:sz w:val="20"/>
                <w:szCs w:val="20"/>
              </w:rPr>
              <w:t xml:space="preserve"> a fundamental personal </w:t>
            </w:r>
            <w:proofErr w:type="spellStart"/>
            <w:r w:rsidRPr="00F16096">
              <w:rPr>
                <w:sz w:val="20"/>
                <w:szCs w:val="20"/>
              </w:rPr>
              <w:t>right</w:t>
            </w:r>
            <w:proofErr w:type="spellEnd"/>
            <w:r w:rsidRPr="00F16096">
              <w:rPr>
                <w:sz w:val="20"/>
                <w:szCs w:val="20"/>
              </w:rPr>
              <w:t>“</w:t>
            </w:r>
            <w:r w:rsidRPr="00F16096">
              <w:rPr>
                <w:sz w:val="20"/>
                <w:szCs w:val="20"/>
                <w:vertAlign w:val="superscript"/>
                <w:lang w:val="en-US"/>
              </w:rPr>
              <w:footnoteReference w:id="1446"/>
            </w:r>
            <w:r w:rsidRPr="00F16096">
              <w:rPr>
                <w:sz w:val="20"/>
                <w:szCs w:val="20"/>
              </w:rPr>
              <w:t xml:space="preserve">), so der </w:t>
            </w:r>
            <w:r>
              <w:rPr>
                <w:sz w:val="20"/>
                <w:szCs w:val="20"/>
              </w:rPr>
              <w:t>U.S. Supreme Court</w:t>
            </w:r>
            <w:r w:rsidRPr="00F16096">
              <w:rPr>
                <w:sz w:val="20"/>
                <w:szCs w:val="20"/>
              </w:rPr>
              <w:t>. Doch welche Prinzipien bilden dann die einzelnen Garantien für das Recht auf Privatsphäre („</w:t>
            </w:r>
            <w:proofErr w:type="spellStart"/>
            <w:r w:rsidRPr="00F16096">
              <w:rPr>
                <w:sz w:val="20"/>
                <w:szCs w:val="20"/>
              </w:rPr>
              <w:t>principles</w:t>
            </w:r>
            <w:proofErr w:type="spellEnd"/>
            <w:r w:rsidRPr="00F16096">
              <w:rPr>
                <w:sz w:val="20"/>
                <w:szCs w:val="20"/>
              </w:rPr>
              <w:t xml:space="preserve"> </w:t>
            </w:r>
            <w:proofErr w:type="spellStart"/>
            <w:r w:rsidRPr="00F16096">
              <w:rPr>
                <w:sz w:val="20"/>
                <w:szCs w:val="20"/>
              </w:rPr>
              <w:t>underlying</w:t>
            </w:r>
            <w:proofErr w:type="spellEnd"/>
            <w:r w:rsidRPr="00F16096">
              <w:rPr>
                <w:sz w:val="20"/>
                <w:szCs w:val="20"/>
              </w:rPr>
              <w:t xml:space="preserve"> the </w:t>
            </w:r>
            <w:proofErr w:type="spellStart"/>
            <w:r w:rsidRPr="00F16096">
              <w:rPr>
                <w:sz w:val="20"/>
                <w:szCs w:val="20"/>
              </w:rPr>
              <w:t>Constitution</w:t>
            </w:r>
            <w:r>
              <w:rPr>
                <w:sz w:val="20"/>
                <w:szCs w:val="20"/>
              </w:rPr>
              <w:t>’</w:t>
            </w:r>
            <w:r w:rsidRPr="00F16096">
              <w:rPr>
                <w:sz w:val="20"/>
                <w:szCs w:val="20"/>
              </w:rPr>
              <w:t>s</w:t>
            </w:r>
            <w:proofErr w:type="spellEnd"/>
            <w:r w:rsidRPr="00F16096">
              <w:rPr>
                <w:sz w:val="20"/>
                <w:szCs w:val="20"/>
              </w:rPr>
              <w:t xml:space="preserve"> </w:t>
            </w:r>
            <w:proofErr w:type="spellStart"/>
            <w:r w:rsidRPr="00F16096">
              <w:rPr>
                <w:sz w:val="20"/>
                <w:szCs w:val="20"/>
              </w:rPr>
              <w:t>guarantees</w:t>
            </w:r>
            <w:proofErr w:type="spellEnd"/>
            <w:r w:rsidRPr="00F16096">
              <w:rPr>
                <w:sz w:val="20"/>
                <w:szCs w:val="20"/>
              </w:rPr>
              <w:t xml:space="preserve"> of </w:t>
            </w:r>
            <w:proofErr w:type="spellStart"/>
            <w:r w:rsidRPr="00F16096">
              <w:rPr>
                <w:sz w:val="20"/>
                <w:szCs w:val="20"/>
              </w:rPr>
              <w:t>privacy</w:t>
            </w:r>
            <w:proofErr w:type="spellEnd"/>
            <w:r w:rsidRPr="00F16096">
              <w:rPr>
                <w:sz w:val="20"/>
                <w:szCs w:val="20"/>
              </w:rPr>
              <w:t>“</w:t>
            </w:r>
            <w:r w:rsidRPr="00F16096">
              <w:rPr>
                <w:sz w:val="20"/>
                <w:szCs w:val="20"/>
                <w:vertAlign w:val="superscript"/>
              </w:rPr>
              <w:footnoteReference w:id="1447"/>
            </w:r>
            <w:r>
              <w:rPr>
                <w:sz w:val="20"/>
                <w:szCs w:val="20"/>
              </w:rPr>
              <w:t>)</w:t>
            </w:r>
            <w:r w:rsidRPr="00F16096">
              <w:rPr>
                <w:sz w:val="20"/>
                <w:szCs w:val="20"/>
              </w:rPr>
              <w:t xml:space="preserve">? Das sind solche, die </w:t>
            </w:r>
            <w:r>
              <w:rPr>
                <w:sz w:val="20"/>
                <w:szCs w:val="20"/>
              </w:rPr>
              <w:t xml:space="preserve">die </w:t>
            </w:r>
            <w:r w:rsidRPr="00F16096">
              <w:rPr>
                <w:sz w:val="20"/>
                <w:szCs w:val="20"/>
              </w:rPr>
              <w:t>Bedingung</w:t>
            </w:r>
            <w:r>
              <w:rPr>
                <w:sz w:val="20"/>
                <w:szCs w:val="20"/>
              </w:rPr>
              <w:t>en</w:t>
            </w:r>
            <w:r w:rsidRPr="00F16096">
              <w:rPr>
                <w:sz w:val="20"/>
                <w:szCs w:val="20"/>
              </w:rPr>
              <w:t xml:space="preserve"> für ein Streben nach Glück sichern („</w:t>
            </w:r>
            <w:proofErr w:type="spellStart"/>
            <w:r w:rsidRPr="00F16096">
              <w:rPr>
                <w:sz w:val="20"/>
                <w:szCs w:val="20"/>
              </w:rPr>
              <w:t>secure</w:t>
            </w:r>
            <w:proofErr w:type="spellEnd"/>
            <w:r w:rsidRPr="00F16096">
              <w:rPr>
                <w:sz w:val="20"/>
                <w:szCs w:val="20"/>
              </w:rPr>
              <w:t xml:space="preserve"> </w:t>
            </w:r>
            <w:proofErr w:type="spellStart"/>
            <w:r w:rsidRPr="00F16096">
              <w:rPr>
                <w:sz w:val="20"/>
                <w:szCs w:val="20"/>
              </w:rPr>
              <w:t>conditions</w:t>
            </w:r>
            <w:proofErr w:type="spellEnd"/>
            <w:r w:rsidRPr="00F16096">
              <w:rPr>
                <w:sz w:val="20"/>
                <w:szCs w:val="20"/>
              </w:rPr>
              <w:t xml:space="preserve"> favorable to the </w:t>
            </w:r>
            <w:proofErr w:type="spellStart"/>
            <w:r w:rsidRPr="00F16096">
              <w:rPr>
                <w:sz w:val="20"/>
                <w:szCs w:val="20"/>
              </w:rPr>
              <w:t>pursuit</w:t>
            </w:r>
            <w:proofErr w:type="spellEnd"/>
            <w:r w:rsidRPr="00F16096">
              <w:rPr>
                <w:sz w:val="20"/>
                <w:szCs w:val="20"/>
              </w:rPr>
              <w:t xml:space="preserve"> of </w:t>
            </w:r>
            <w:proofErr w:type="spellStart"/>
            <w:r w:rsidRPr="00F16096">
              <w:rPr>
                <w:sz w:val="20"/>
                <w:szCs w:val="20"/>
              </w:rPr>
              <w:t>happiness</w:t>
            </w:r>
            <w:proofErr w:type="spellEnd"/>
            <w:r w:rsidRPr="00F16096">
              <w:rPr>
                <w:sz w:val="20"/>
                <w:szCs w:val="20"/>
              </w:rPr>
              <w:t>“</w:t>
            </w:r>
            <w:r w:rsidRPr="00F16096">
              <w:rPr>
                <w:sz w:val="20"/>
                <w:szCs w:val="20"/>
                <w:vertAlign w:val="superscript"/>
              </w:rPr>
              <w:footnoteReference w:id="1448"/>
            </w:r>
            <w:r w:rsidRPr="00F16096">
              <w:rPr>
                <w:sz w:val="20"/>
                <w:szCs w:val="20"/>
              </w:rPr>
              <w:t>). Die Bedingung</w:t>
            </w:r>
            <w:r>
              <w:rPr>
                <w:sz w:val="20"/>
                <w:szCs w:val="20"/>
              </w:rPr>
              <w:t>en</w:t>
            </w:r>
            <w:r w:rsidRPr="00F16096">
              <w:rPr>
                <w:sz w:val="20"/>
                <w:szCs w:val="20"/>
              </w:rPr>
              <w:t xml:space="preserve"> für Glücksstreben </w:t>
            </w:r>
            <w:r w:rsidR="00AE5329">
              <w:rPr>
                <w:sz w:val="20"/>
                <w:szCs w:val="20"/>
              </w:rPr>
              <w:t>mit Bezug auf das</w:t>
            </w:r>
            <w:r w:rsidRPr="00F16096">
              <w:rPr>
                <w:sz w:val="20"/>
                <w:szCs w:val="20"/>
              </w:rPr>
              <w:t xml:space="preserve"> Recht auf Privatsphäre drücken sich in dreierlei Richtung aus, die der Begriff </w:t>
            </w:r>
            <w:r>
              <w:rPr>
                <w:sz w:val="20"/>
                <w:szCs w:val="20"/>
              </w:rPr>
              <w:t>„</w:t>
            </w:r>
            <w:r w:rsidRPr="00F16096">
              <w:rPr>
                <w:sz w:val="20"/>
                <w:szCs w:val="20"/>
              </w:rPr>
              <w:t>das Recht</w:t>
            </w:r>
            <w:r>
              <w:rPr>
                <w:sz w:val="20"/>
                <w:szCs w:val="20"/>
              </w:rPr>
              <w:t>, in Ruhe</w:t>
            </w:r>
            <w:r w:rsidRPr="00F16096">
              <w:rPr>
                <w:sz w:val="20"/>
                <w:szCs w:val="20"/>
              </w:rPr>
              <w:t xml:space="preserve"> gelassen zu werden</w:t>
            </w:r>
            <w:r>
              <w:rPr>
                <w:sz w:val="20"/>
                <w:szCs w:val="20"/>
              </w:rPr>
              <w:t>“</w:t>
            </w:r>
            <w:r w:rsidRPr="00F16096">
              <w:rPr>
                <w:sz w:val="20"/>
                <w:szCs w:val="20"/>
              </w:rPr>
              <w:t> zusammenfasst: das Innenleben des Menschen („man</w:t>
            </w:r>
            <w:r>
              <w:rPr>
                <w:sz w:val="20"/>
                <w:szCs w:val="20"/>
              </w:rPr>
              <w:t>’</w:t>
            </w:r>
            <w:r w:rsidRPr="00F16096">
              <w:rPr>
                <w:sz w:val="20"/>
                <w:szCs w:val="20"/>
              </w:rPr>
              <w:t xml:space="preserve">s spiritual </w:t>
            </w:r>
            <w:proofErr w:type="spellStart"/>
            <w:r w:rsidRPr="00F16096">
              <w:rPr>
                <w:sz w:val="20"/>
                <w:szCs w:val="20"/>
              </w:rPr>
              <w:t>nature</w:t>
            </w:r>
            <w:proofErr w:type="spellEnd"/>
            <w:r w:rsidRPr="00F16096">
              <w:rPr>
                <w:sz w:val="20"/>
                <w:szCs w:val="20"/>
              </w:rPr>
              <w:t xml:space="preserve">, of </w:t>
            </w:r>
            <w:proofErr w:type="spellStart"/>
            <w:r w:rsidRPr="00F16096">
              <w:rPr>
                <w:sz w:val="20"/>
                <w:szCs w:val="20"/>
              </w:rPr>
              <w:t>his</w:t>
            </w:r>
            <w:proofErr w:type="spellEnd"/>
            <w:r w:rsidRPr="00F16096">
              <w:rPr>
                <w:sz w:val="20"/>
                <w:szCs w:val="20"/>
              </w:rPr>
              <w:t xml:space="preserve"> </w:t>
            </w:r>
            <w:proofErr w:type="spellStart"/>
            <w:r w:rsidRPr="00F16096">
              <w:rPr>
                <w:sz w:val="20"/>
                <w:szCs w:val="20"/>
              </w:rPr>
              <w:t>feelings</w:t>
            </w:r>
            <w:proofErr w:type="spellEnd"/>
            <w:r w:rsidRPr="00F16096">
              <w:rPr>
                <w:sz w:val="20"/>
                <w:szCs w:val="20"/>
              </w:rPr>
              <w:t xml:space="preserve"> and of </w:t>
            </w:r>
            <w:proofErr w:type="spellStart"/>
            <w:r w:rsidRPr="00F16096">
              <w:rPr>
                <w:sz w:val="20"/>
                <w:szCs w:val="20"/>
              </w:rPr>
              <w:t>his</w:t>
            </w:r>
            <w:proofErr w:type="spellEnd"/>
            <w:r w:rsidRPr="00F16096">
              <w:rPr>
                <w:sz w:val="20"/>
                <w:szCs w:val="20"/>
              </w:rPr>
              <w:t xml:space="preserve"> </w:t>
            </w:r>
            <w:proofErr w:type="spellStart"/>
            <w:r w:rsidRPr="00F16096">
              <w:rPr>
                <w:sz w:val="20"/>
                <w:szCs w:val="20"/>
              </w:rPr>
              <w:t>intellect</w:t>
            </w:r>
            <w:proofErr w:type="spellEnd"/>
            <w:r w:rsidRPr="00F16096">
              <w:rPr>
                <w:sz w:val="20"/>
                <w:szCs w:val="20"/>
              </w:rPr>
              <w:t>“</w:t>
            </w:r>
            <w:r w:rsidRPr="00F16096">
              <w:rPr>
                <w:sz w:val="20"/>
                <w:szCs w:val="20"/>
                <w:vertAlign w:val="superscript"/>
              </w:rPr>
              <w:footnoteReference w:id="1449"/>
            </w:r>
            <w:r w:rsidRPr="00F16096">
              <w:rPr>
                <w:sz w:val="20"/>
                <w:szCs w:val="20"/>
              </w:rPr>
              <w:t xml:space="preserve">), die materiellen Grundbedürfnisse („material </w:t>
            </w:r>
            <w:proofErr w:type="spellStart"/>
            <w:r w:rsidRPr="00F16096">
              <w:rPr>
                <w:sz w:val="20"/>
                <w:szCs w:val="20"/>
              </w:rPr>
              <w:t>things</w:t>
            </w:r>
            <w:proofErr w:type="spellEnd"/>
            <w:r w:rsidRPr="00F16096">
              <w:rPr>
                <w:sz w:val="20"/>
                <w:szCs w:val="20"/>
              </w:rPr>
              <w:t>“</w:t>
            </w:r>
            <w:r w:rsidRPr="00F16096">
              <w:rPr>
                <w:sz w:val="20"/>
                <w:szCs w:val="20"/>
                <w:vertAlign w:val="superscript"/>
              </w:rPr>
              <w:footnoteReference w:id="1450"/>
            </w:r>
            <w:r w:rsidRPr="00F16096">
              <w:rPr>
                <w:sz w:val="20"/>
                <w:szCs w:val="20"/>
              </w:rPr>
              <w:t xml:space="preserve">) sowie zuletzt den Glauben, die </w:t>
            </w:r>
            <w:r w:rsidRPr="00F16096">
              <w:rPr>
                <w:sz w:val="20"/>
                <w:szCs w:val="20"/>
              </w:rPr>
              <w:lastRenderedPageBreak/>
              <w:t>Gedanken und Gefühle zu schützen („</w:t>
            </w:r>
            <w:proofErr w:type="spellStart"/>
            <w:r w:rsidRPr="00F16096">
              <w:rPr>
                <w:sz w:val="20"/>
                <w:szCs w:val="20"/>
              </w:rPr>
              <w:t>protect</w:t>
            </w:r>
            <w:proofErr w:type="spellEnd"/>
            <w:r w:rsidRPr="00F16096">
              <w:rPr>
                <w:sz w:val="20"/>
                <w:szCs w:val="20"/>
              </w:rPr>
              <w:t xml:space="preserve"> Americans in </w:t>
            </w:r>
            <w:proofErr w:type="spellStart"/>
            <w:r w:rsidRPr="00F16096">
              <w:rPr>
                <w:sz w:val="20"/>
                <w:szCs w:val="20"/>
              </w:rPr>
              <w:t>their</w:t>
            </w:r>
            <w:proofErr w:type="spellEnd"/>
            <w:r w:rsidRPr="00F16096">
              <w:rPr>
                <w:sz w:val="20"/>
                <w:szCs w:val="20"/>
              </w:rPr>
              <w:t xml:space="preserve"> beliefs, </w:t>
            </w:r>
            <w:proofErr w:type="spellStart"/>
            <w:r w:rsidRPr="00F16096">
              <w:rPr>
                <w:sz w:val="20"/>
                <w:szCs w:val="20"/>
              </w:rPr>
              <w:t>their</w:t>
            </w:r>
            <w:proofErr w:type="spellEnd"/>
            <w:r w:rsidRPr="00F16096">
              <w:rPr>
                <w:sz w:val="20"/>
                <w:szCs w:val="20"/>
              </w:rPr>
              <w:t xml:space="preserve"> </w:t>
            </w:r>
            <w:proofErr w:type="spellStart"/>
            <w:r w:rsidRPr="00F16096">
              <w:rPr>
                <w:sz w:val="20"/>
                <w:szCs w:val="20"/>
              </w:rPr>
              <w:t>thoughts</w:t>
            </w:r>
            <w:proofErr w:type="spellEnd"/>
            <w:r w:rsidRPr="00F16096">
              <w:rPr>
                <w:sz w:val="20"/>
                <w:szCs w:val="20"/>
              </w:rPr>
              <w:t xml:space="preserve">, </w:t>
            </w:r>
            <w:proofErr w:type="spellStart"/>
            <w:r w:rsidRPr="00F16096">
              <w:rPr>
                <w:sz w:val="20"/>
                <w:szCs w:val="20"/>
              </w:rPr>
              <w:t>their</w:t>
            </w:r>
            <w:proofErr w:type="spellEnd"/>
            <w:r w:rsidRPr="00F16096">
              <w:rPr>
                <w:sz w:val="20"/>
                <w:szCs w:val="20"/>
              </w:rPr>
              <w:t xml:space="preserve"> </w:t>
            </w:r>
            <w:proofErr w:type="spellStart"/>
            <w:r w:rsidRPr="00F16096">
              <w:rPr>
                <w:sz w:val="20"/>
                <w:szCs w:val="20"/>
              </w:rPr>
              <w:t>emotions</w:t>
            </w:r>
            <w:proofErr w:type="spellEnd"/>
            <w:r w:rsidRPr="00F16096">
              <w:rPr>
                <w:sz w:val="20"/>
                <w:szCs w:val="20"/>
              </w:rPr>
              <w:t xml:space="preserve"> and </w:t>
            </w:r>
            <w:proofErr w:type="spellStart"/>
            <w:r w:rsidRPr="00F16096">
              <w:rPr>
                <w:sz w:val="20"/>
                <w:szCs w:val="20"/>
              </w:rPr>
              <w:t>their</w:t>
            </w:r>
            <w:proofErr w:type="spellEnd"/>
            <w:r w:rsidRPr="00F16096">
              <w:rPr>
                <w:sz w:val="20"/>
                <w:szCs w:val="20"/>
              </w:rPr>
              <w:t xml:space="preserve"> </w:t>
            </w:r>
            <w:proofErr w:type="spellStart"/>
            <w:r w:rsidRPr="00F16096">
              <w:rPr>
                <w:sz w:val="20"/>
                <w:szCs w:val="20"/>
              </w:rPr>
              <w:t>sensations</w:t>
            </w:r>
            <w:proofErr w:type="spellEnd"/>
            <w:r w:rsidRPr="00F16096">
              <w:rPr>
                <w:sz w:val="20"/>
                <w:szCs w:val="20"/>
              </w:rPr>
              <w:t>“</w:t>
            </w:r>
            <w:r w:rsidRPr="00F16096">
              <w:rPr>
                <w:sz w:val="20"/>
                <w:szCs w:val="20"/>
                <w:vertAlign w:val="superscript"/>
              </w:rPr>
              <w:footnoteReference w:id="1451"/>
            </w:r>
            <w:r w:rsidRPr="00F16096">
              <w:rPr>
                <w:sz w:val="20"/>
                <w:szCs w:val="20"/>
              </w:rPr>
              <w:t xml:space="preserve">) – </w:t>
            </w:r>
            <w:r>
              <w:rPr>
                <w:sz w:val="20"/>
                <w:szCs w:val="20"/>
              </w:rPr>
              <w:t xml:space="preserve">diese seien </w:t>
            </w:r>
            <w:r w:rsidRPr="00F16096">
              <w:rPr>
                <w:sz w:val="20"/>
                <w:szCs w:val="20"/>
              </w:rPr>
              <w:t>allesamt gegen Eingriffe der Regierung geschützt. Ein weiteres Beispiel für das Recht auf Privatsphäre sei dessen sensibelster Bereich: die Ehefreiheit,</w:t>
            </w:r>
            <w:r w:rsidRPr="00F16096">
              <w:rPr>
                <w:sz w:val="20"/>
                <w:szCs w:val="20"/>
                <w:vertAlign w:val="superscript"/>
              </w:rPr>
              <w:footnoteReference w:id="1452"/>
            </w:r>
            <w:r w:rsidRPr="00F16096">
              <w:rPr>
                <w:sz w:val="20"/>
                <w:szCs w:val="20"/>
              </w:rPr>
              <w:t xml:space="preserve"> die damit verbundene eheliche Beziehung und die eheliche Wohnung</w:t>
            </w:r>
            <w:r w:rsidRPr="00F16096">
              <w:rPr>
                <w:sz w:val="20"/>
                <w:szCs w:val="20"/>
                <w:vertAlign w:val="superscript"/>
              </w:rPr>
              <w:footnoteReference w:id="1453"/>
            </w:r>
            <w:r w:rsidRPr="00F16096">
              <w:rPr>
                <w:sz w:val="20"/>
                <w:szCs w:val="20"/>
              </w:rPr>
              <w:t xml:space="preserve"> sowie </w:t>
            </w:r>
            <w:r>
              <w:rPr>
                <w:sz w:val="20"/>
                <w:szCs w:val="20"/>
              </w:rPr>
              <w:t xml:space="preserve">die Erziehung von </w:t>
            </w:r>
            <w:r w:rsidRPr="00F16096">
              <w:rPr>
                <w:sz w:val="20"/>
                <w:szCs w:val="20"/>
              </w:rPr>
              <w:t>Kinder</w:t>
            </w:r>
            <w:r>
              <w:rPr>
                <w:sz w:val="20"/>
                <w:szCs w:val="20"/>
              </w:rPr>
              <w:t>n</w:t>
            </w:r>
            <w:r w:rsidRPr="00F16096">
              <w:rPr>
                <w:sz w:val="20"/>
                <w:szCs w:val="20"/>
              </w:rPr>
              <w:t>. Diese Garantien der Privatsphäre werden durch das übergeordnete Recht in Ruhe gelassen zu werden als grundlegender Freiheit selbst zu einer</w:t>
            </w:r>
            <w:r>
              <w:rPr>
                <w:sz w:val="20"/>
                <w:szCs w:val="20"/>
              </w:rPr>
              <w:t xml:space="preserve"> solchen</w:t>
            </w:r>
            <w:r w:rsidRPr="00F16096">
              <w:rPr>
                <w:sz w:val="20"/>
                <w:szCs w:val="20"/>
              </w:rPr>
              <w:t xml:space="preserve">. Sie bestimmen daher den Ausgang von Verfassungsstreitigkeiten, </w:t>
            </w:r>
            <w:r>
              <w:rPr>
                <w:sz w:val="20"/>
                <w:szCs w:val="20"/>
              </w:rPr>
              <w:t>z.B.</w:t>
            </w:r>
            <w:r w:rsidRPr="00F16096">
              <w:rPr>
                <w:sz w:val="20"/>
                <w:szCs w:val="20"/>
              </w:rPr>
              <w:t xml:space="preserve"> wie oben beschrieben: die Verfassungswidrigkeit eines Verbots für Eltern, Kinder an Privatschulen </w:t>
            </w:r>
            <w:r>
              <w:rPr>
                <w:sz w:val="20"/>
                <w:szCs w:val="20"/>
              </w:rPr>
              <w:t>unterrichten zu lassen</w:t>
            </w:r>
            <w:r w:rsidRPr="00F16096">
              <w:rPr>
                <w:sz w:val="20"/>
                <w:szCs w:val="20"/>
              </w:rPr>
              <w:t>.</w:t>
            </w:r>
            <w:r w:rsidRPr="00F16096">
              <w:rPr>
                <w:sz w:val="20"/>
                <w:szCs w:val="20"/>
                <w:vertAlign w:val="superscript"/>
              </w:rPr>
              <w:footnoteReference w:id="1454"/>
            </w:r>
          </w:p>
        </w:tc>
      </w:tr>
      <w:tr w:rsidR="00074551" w:rsidRPr="00E50B51" w14:paraId="564BA647" w14:textId="77777777" w:rsidTr="00BE689F">
        <w:trPr>
          <w:cantSplit/>
          <w:trHeight w:val="3175"/>
        </w:trPr>
        <w:tc>
          <w:tcPr>
            <w:tcW w:w="293" w:type="pct"/>
          </w:tcPr>
          <w:p w14:paraId="29BF915D"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35386B03" w14:textId="77777777" w:rsidR="00074551" w:rsidRPr="00E50B51" w:rsidRDefault="00074551" w:rsidP="00367133">
            <w:pPr>
              <w:ind w:left="113" w:right="416"/>
              <w:jc w:val="both"/>
              <w:rPr>
                <w:sz w:val="20"/>
                <w:szCs w:val="20"/>
              </w:rPr>
            </w:pPr>
            <w:r w:rsidRPr="009167A5">
              <w:rPr>
                <w:i/>
                <w:sz w:val="20"/>
                <w:szCs w:val="20"/>
                <w:lang w:eastAsia="de-DE"/>
              </w:rPr>
              <w:t>Obergefell v. Hodges</w:t>
            </w:r>
          </w:p>
        </w:tc>
        <w:tc>
          <w:tcPr>
            <w:tcW w:w="197" w:type="pct"/>
            <w:textDirection w:val="tbRl"/>
            <w:vAlign w:val="center"/>
          </w:tcPr>
          <w:p w14:paraId="506E1DD7" w14:textId="77777777" w:rsidR="00074551" w:rsidRPr="00E50B51" w:rsidRDefault="00074551" w:rsidP="00367133">
            <w:pPr>
              <w:ind w:left="113" w:right="113"/>
              <w:jc w:val="both"/>
              <w:rPr>
                <w:sz w:val="20"/>
                <w:szCs w:val="20"/>
              </w:rPr>
            </w:pPr>
            <w:r w:rsidRPr="00E50B51">
              <w:rPr>
                <w:sz w:val="20"/>
                <w:szCs w:val="20"/>
                <w:lang w:val="en-US"/>
              </w:rPr>
              <w:t>576 U.S. 644</w:t>
            </w:r>
          </w:p>
        </w:tc>
        <w:tc>
          <w:tcPr>
            <w:tcW w:w="306" w:type="pct"/>
            <w:textDirection w:val="tbRl"/>
            <w:vAlign w:val="center"/>
          </w:tcPr>
          <w:p w14:paraId="2B7BB373" w14:textId="77777777" w:rsidR="00074551" w:rsidRPr="00E50B51" w:rsidRDefault="00074551" w:rsidP="00367133">
            <w:pPr>
              <w:ind w:left="113" w:right="113"/>
              <w:jc w:val="both"/>
              <w:rPr>
                <w:sz w:val="20"/>
                <w:szCs w:val="20"/>
              </w:rPr>
            </w:pPr>
            <w:r w:rsidRPr="00E50B51">
              <w:rPr>
                <w:sz w:val="20"/>
                <w:szCs w:val="20"/>
              </w:rPr>
              <w:t>26. Januar 2015</w:t>
            </w:r>
          </w:p>
        </w:tc>
        <w:tc>
          <w:tcPr>
            <w:tcW w:w="401" w:type="pct"/>
          </w:tcPr>
          <w:p w14:paraId="439FFD4C" w14:textId="77777777" w:rsidR="00074551" w:rsidRPr="00E50B51" w:rsidRDefault="00074551" w:rsidP="00367133">
            <w:pPr>
              <w:jc w:val="center"/>
              <w:rPr>
                <w:sz w:val="20"/>
                <w:szCs w:val="20"/>
              </w:rPr>
            </w:pPr>
            <w:r w:rsidRPr="00E50B51">
              <w:rPr>
                <w:sz w:val="20"/>
                <w:szCs w:val="20"/>
              </w:rPr>
              <w:t>M</w:t>
            </w:r>
          </w:p>
        </w:tc>
        <w:tc>
          <w:tcPr>
            <w:tcW w:w="1594" w:type="pct"/>
          </w:tcPr>
          <w:p w14:paraId="6BC52120" w14:textId="77777777" w:rsidR="00074551" w:rsidRPr="00E50B51" w:rsidRDefault="00074551" w:rsidP="00367133">
            <w:pPr>
              <w:jc w:val="both"/>
              <w:rPr>
                <w:sz w:val="20"/>
                <w:szCs w:val="20"/>
              </w:rPr>
            </w:pPr>
            <w:r w:rsidRPr="00E50B51">
              <w:rPr>
                <w:sz w:val="20"/>
                <w:szCs w:val="20"/>
              </w:rPr>
              <w:t>*</w:t>
            </w:r>
          </w:p>
          <w:p w14:paraId="0494C4A3" w14:textId="77777777" w:rsidR="00074551" w:rsidRPr="00E50B51" w:rsidRDefault="00074551" w:rsidP="00367133">
            <w:pPr>
              <w:jc w:val="both"/>
              <w:rPr>
                <w:sz w:val="20"/>
                <w:szCs w:val="20"/>
              </w:rPr>
            </w:pPr>
          </w:p>
        </w:tc>
        <w:tc>
          <w:tcPr>
            <w:tcW w:w="1822" w:type="pct"/>
          </w:tcPr>
          <w:p w14:paraId="5A484601" w14:textId="35022F27" w:rsidR="00074551" w:rsidRDefault="00074551" w:rsidP="00367133">
            <w:pPr>
              <w:jc w:val="both"/>
              <w:rPr>
                <w:sz w:val="20"/>
                <w:szCs w:val="20"/>
              </w:rPr>
            </w:pPr>
            <w:r w:rsidRPr="0008552C">
              <w:rPr>
                <w:sz w:val="20"/>
                <w:szCs w:val="20"/>
              </w:rPr>
              <w:t xml:space="preserve">Der </w:t>
            </w:r>
            <w:r>
              <w:rPr>
                <w:sz w:val="20"/>
                <w:szCs w:val="20"/>
              </w:rPr>
              <w:t>U.S. Supreme Court</w:t>
            </w:r>
            <w:r w:rsidRPr="0008552C">
              <w:rPr>
                <w:sz w:val="20"/>
                <w:szCs w:val="20"/>
              </w:rPr>
              <w:t xml:space="preserve"> erklärt, wie Gerichte Freiheitsrechte anhand der Bedingungen des Glücksstrebens schöpfen. Zunächst maßen sich die Verfasser der </w:t>
            </w:r>
            <w:r w:rsidRPr="5B67C1D2">
              <w:rPr>
                <w:i/>
                <w:iCs/>
                <w:sz w:val="20"/>
                <w:szCs w:val="20"/>
              </w:rPr>
              <w:t>Bill of Rights</w:t>
            </w:r>
            <w:r w:rsidRPr="0008552C">
              <w:rPr>
                <w:sz w:val="20"/>
                <w:szCs w:val="20"/>
              </w:rPr>
              <w:t xml:space="preserve"> und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8552C">
              <w:rPr>
                <w:sz w:val="20"/>
                <w:szCs w:val="20"/>
              </w:rPr>
              <w:t xml:space="preserve"> nicht an, die Freiheit in all ihren Dimensionen zu kennen. Vielmehr vertrauten sie künftigen Generationen eine Charta an, die das Recht aller Menschen schützt, jene Freiheit in dem Maße durchzusetzen, wie sie diese erlernen. Wenn neue Erkenntnisse eine Diskrepanz zwischen den Schutzbestimmungen der Verfassung und einer möglicherweise überkommenen Rechtsnorm aufzeigen, dann muss ein Freiheitsanspruch geprüft werden. Dies geschah im Fall </w:t>
            </w:r>
            <w:r w:rsidRPr="5B67C1D2">
              <w:rPr>
                <w:i/>
                <w:iCs/>
                <w:sz w:val="20"/>
                <w:szCs w:val="20"/>
              </w:rPr>
              <w:t>Obergefell v. Hodges</w:t>
            </w:r>
            <w:r w:rsidRPr="0008552C">
              <w:rPr>
                <w:sz w:val="20"/>
                <w:szCs w:val="20"/>
              </w:rPr>
              <w:t xml:space="preserve">, wo der </w:t>
            </w:r>
            <w:r>
              <w:rPr>
                <w:sz w:val="20"/>
                <w:szCs w:val="20"/>
              </w:rPr>
              <w:t>U.S. Supreme Court</w:t>
            </w:r>
            <w:r w:rsidRPr="0008552C">
              <w:rPr>
                <w:sz w:val="20"/>
                <w:szCs w:val="20"/>
              </w:rPr>
              <w:t xml:space="preserve"> die Ehefreiheit für gleichgeschlechtliche Paare öffnete.</w:t>
            </w:r>
            <w:r w:rsidRPr="0008552C">
              <w:rPr>
                <w:sz w:val="20"/>
                <w:szCs w:val="20"/>
                <w:vertAlign w:val="superscript"/>
              </w:rPr>
              <w:footnoteReference w:id="1455"/>
            </w:r>
            <w:r w:rsidRPr="0008552C">
              <w:rPr>
                <w:sz w:val="20"/>
                <w:szCs w:val="20"/>
              </w:rPr>
              <w:t xml:space="preserve"> Der </w:t>
            </w:r>
            <w:r>
              <w:rPr>
                <w:sz w:val="20"/>
                <w:szCs w:val="20"/>
              </w:rPr>
              <w:t>U.S. Supreme Court</w:t>
            </w:r>
            <w:r w:rsidRPr="0008552C">
              <w:rPr>
                <w:sz w:val="20"/>
                <w:szCs w:val="20"/>
              </w:rPr>
              <w:t xml:space="preserve"> schuf anhand der Bedingungen für ein Glücksstreben erst die Ehefreiheit und dann die Ehefreiheit zwischen unterschiedlichen Rassen,</w:t>
            </w:r>
            <w:r w:rsidRPr="0008552C">
              <w:rPr>
                <w:sz w:val="20"/>
                <w:szCs w:val="20"/>
                <w:vertAlign w:val="superscript"/>
              </w:rPr>
              <w:footnoteReference w:id="1456"/>
            </w:r>
            <w:r w:rsidRPr="0008552C">
              <w:rPr>
                <w:sz w:val="20"/>
                <w:szCs w:val="20"/>
              </w:rPr>
              <w:t xml:space="preserve"> die sich zuvor nicht in der Verfassung fand. Dieser Herleitungsprozess anhand der Glücksbedingungen lässt sich abstrahieren, nämlich: Glücksbedingungen schützen auch die persönlichen Entscheidungen. Doch wie lautet die dogmatische Begründung dafür? Gemäß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08552C">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8552C">
              <w:rPr>
                <w:sz w:val="20"/>
                <w:szCs w:val="20"/>
              </w:rPr>
              <w:t xml:space="preserve"> darf kein Staat einer Person die Freiheit ohne ein rechtsstaatliches Verfahren entziehen. Zu den durch diese Klausel geschützten Grundfreiheiten („fundamental </w:t>
            </w:r>
            <w:proofErr w:type="spellStart"/>
            <w:r w:rsidRPr="0008552C">
              <w:rPr>
                <w:sz w:val="20"/>
                <w:szCs w:val="20"/>
              </w:rPr>
              <w:t>liberties</w:t>
            </w:r>
            <w:proofErr w:type="spellEnd"/>
            <w:r w:rsidRPr="0008552C">
              <w:rPr>
                <w:sz w:val="20"/>
                <w:szCs w:val="20"/>
              </w:rPr>
              <w:t>“</w:t>
            </w:r>
            <w:r w:rsidRPr="0008552C">
              <w:rPr>
                <w:sz w:val="20"/>
                <w:szCs w:val="20"/>
                <w:vertAlign w:val="superscript"/>
              </w:rPr>
              <w:t xml:space="preserve"> </w:t>
            </w:r>
            <w:r w:rsidRPr="0008552C">
              <w:rPr>
                <w:sz w:val="20"/>
                <w:szCs w:val="20"/>
                <w:vertAlign w:val="superscript"/>
              </w:rPr>
              <w:footnoteReference w:id="1457"/>
            </w:r>
            <w:r w:rsidRPr="0008552C">
              <w:rPr>
                <w:sz w:val="20"/>
                <w:szCs w:val="20"/>
              </w:rPr>
              <w:t xml:space="preserve">) gehören zwar die in der </w:t>
            </w:r>
            <w:r w:rsidRPr="5B67C1D2">
              <w:rPr>
                <w:i/>
                <w:iCs/>
                <w:sz w:val="20"/>
                <w:szCs w:val="20"/>
              </w:rPr>
              <w:t>Bill of Rights</w:t>
            </w:r>
            <w:r w:rsidRPr="0008552C">
              <w:rPr>
                <w:sz w:val="20"/>
                <w:szCs w:val="20"/>
              </w:rPr>
              <w:t xml:space="preserve"> aufgezählten Rechte. Aber darüber hinaus erstrecken sich diese Grundfreiheiten auf bestimmte persönliche Entscheidungen, nämlich die, die für die Würde und Autonomie des Einzelnen von zentraler Bedeutung sind („individual </w:t>
            </w:r>
            <w:proofErr w:type="spellStart"/>
            <w:r w:rsidRPr="0008552C">
              <w:rPr>
                <w:sz w:val="20"/>
                <w:szCs w:val="20"/>
              </w:rPr>
              <w:t>dignity</w:t>
            </w:r>
            <w:proofErr w:type="spellEnd"/>
            <w:r w:rsidRPr="0008552C">
              <w:rPr>
                <w:sz w:val="20"/>
                <w:szCs w:val="20"/>
              </w:rPr>
              <w:t xml:space="preserve"> and </w:t>
            </w:r>
            <w:proofErr w:type="spellStart"/>
            <w:r w:rsidRPr="0008552C">
              <w:rPr>
                <w:sz w:val="20"/>
                <w:szCs w:val="20"/>
              </w:rPr>
              <w:t>autonomy</w:t>
            </w:r>
            <w:proofErr w:type="spellEnd"/>
            <w:r w:rsidRPr="0008552C">
              <w:rPr>
                <w:sz w:val="20"/>
                <w:szCs w:val="20"/>
              </w:rPr>
              <w:t>“</w:t>
            </w:r>
            <w:r w:rsidRPr="0008552C">
              <w:rPr>
                <w:sz w:val="20"/>
                <w:szCs w:val="20"/>
                <w:vertAlign w:val="superscript"/>
              </w:rPr>
              <w:footnoteReference w:id="1458"/>
            </w:r>
            <w:r w:rsidRPr="0008552C">
              <w:rPr>
                <w:sz w:val="20"/>
                <w:szCs w:val="20"/>
              </w:rPr>
              <w:t>). Das schließt intime Entscheidungen ein, die die persönliche Identität und den Glauben definieren („</w:t>
            </w:r>
            <w:proofErr w:type="spellStart"/>
            <w:r w:rsidRPr="0008552C">
              <w:rPr>
                <w:sz w:val="20"/>
                <w:szCs w:val="20"/>
              </w:rPr>
              <w:t>intimate</w:t>
            </w:r>
            <w:proofErr w:type="spellEnd"/>
            <w:r w:rsidRPr="0008552C">
              <w:rPr>
                <w:sz w:val="20"/>
                <w:szCs w:val="20"/>
              </w:rPr>
              <w:t xml:space="preserve"> </w:t>
            </w:r>
            <w:proofErr w:type="spellStart"/>
            <w:r w:rsidRPr="0008552C">
              <w:rPr>
                <w:sz w:val="20"/>
                <w:szCs w:val="20"/>
              </w:rPr>
              <w:t>choices</w:t>
            </w:r>
            <w:proofErr w:type="spellEnd"/>
            <w:r w:rsidRPr="0008552C">
              <w:rPr>
                <w:sz w:val="20"/>
                <w:szCs w:val="20"/>
              </w:rPr>
              <w:t xml:space="preserve"> </w:t>
            </w:r>
            <w:proofErr w:type="spellStart"/>
            <w:r w:rsidRPr="0008552C">
              <w:rPr>
                <w:sz w:val="20"/>
                <w:szCs w:val="20"/>
              </w:rPr>
              <w:t>that</w:t>
            </w:r>
            <w:proofErr w:type="spellEnd"/>
            <w:r w:rsidRPr="0008552C">
              <w:rPr>
                <w:sz w:val="20"/>
                <w:szCs w:val="20"/>
              </w:rPr>
              <w:t xml:space="preserve"> </w:t>
            </w:r>
            <w:proofErr w:type="spellStart"/>
            <w:r w:rsidRPr="0008552C">
              <w:rPr>
                <w:sz w:val="20"/>
                <w:szCs w:val="20"/>
              </w:rPr>
              <w:t>define</w:t>
            </w:r>
            <w:proofErr w:type="spellEnd"/>
            <w:r w:rsidRPr="0008552C">
              <w:rPr>
                <w:sz w:val="20"/>
                <w:szCs w:val="20"/>
              </w:rPr>
              <w:t xml:space="preserve"> personal </w:t>
            </w:r>
            <w:proofErr w:type="spellStart"/>
            <w:r w:rsidRPr="0008552C">
              <w:rPr>
                <w:sz w:val="20"/>
                <w:szCs w:val="20"/>
              </w:rPr>
              <w:t>identity</w:t>
            </w:r>
            <w:proofErr w:type="spellEnd"/>
            <w:r w:rsidRPr="0008552C">
              <w:rPr>
                <w:sz w:val="20"/>
                <w:szCs w:val="20"/>
              </w:rPr>
              <w:t xml:space="preserve"> and beliefs“</w:t>
            </w:r>
            <w:r w:rsidRPr="0008552C">
              <w:rPr>
                <w:sz w:val="20"/>
                <w:szCs w:val="20"/>
                <w:vertAlign w:val="superscript"/>
              </w:rPr>
              <w:t xml:space="preserve"> </w:t>
            </w:r>
            <w:r w:rsidRPr="0008552C">
              <w:rPr>
                <w:sz w:val="20"/>
                <w:szCs w:val="20"/>
                <w:vertAlign w:val="superscript"/>
              </w:rPr>
              <w:footnoteReference w:id="1459"/>
            </w:r>
            <w:r w:rsidRPr="0008552C">
              <w:rPr>
                <w:sz w:val="20"/>
                <w:szCs w:val="20"/>
              </w:rPr>
              <w:t xml:space="preserve">). Eine vergleichbare Herleitung bestätigt </w:t>
            </w:r>
            <w:r w:rsidRPr="5B67C1D2">
              <w:rPr>
                <w:i/>
                <w:iCs/>
                <w:sz w:val="20"/>
                <w:szCs w:val="20"/>
              </w:rPr>
              <w:t xml:space="preserve">Zablocki v. </w:t>
            </w:r>
            <w:proofErr w:type="spellStart"/>
            <w:r w:rsidRPr="5B67C1D2">
              <w:rPr>
                <w:i/>
                <w:iCs/>
                <w:sz w:val="20"/>
                <w:szCs w:val="20"/>
              </w:rPr>
              <w:t>Redhail</w:t>
            </w:r>
            <w:proofErr w:type="spellEnd"/>
            <w:r w:rsidRPr="0008552C">
              <w:rPr>
                <w:sz w:val="20"/>
                <w:szCs w:val="20"/>
              </w:rPr>
              <w:t>.</w:t>
            </w:r>
            <w:r w:rsidRPr="0008552C">
              <w:rPr>
                <w:sz w:val="20"/>
                <w:szCs w:val="20"/>
                <w:vertAlign w:val="superscript"/>
              </w:rPr>
              <w:footnoteReference w:id="1460"/>
            </w:r>
          </w:p>
          <w:p w14:paraId="21B27553" w14:textId="77777777" w:rsidR="00074551" w:rsidRPr="00E50B51" w:rsidRDefault="00074551" w:rsidP="00367133">
            <w:pPr>
              <w:jc w:val="both"/>
              <w:rPr>
                <w:sz w:val="20"/>
                <w:szCs w:val="20"/>
              </w:rPr>
            </w:pPr>
          </w:p>
        </w:tc>
      </w:tr>
      <w:tr w:rsidR="00074551" w:rsidRPr="00E50B51" w14:paraId="345BE1C0" w14:textId="77777777" w:rsidTr="00203768">
        <w:trPr>
          <w:cantSplit/>
          <w:trHeight w:val="3175"/>
        </w:trPr>
        <w:tc>
          <w:tcPr>
            <w:tcW w:w="293" w:type="pct"/>
            <w:shd w:val="clear" w:color="auto" w:fill="E7E6E6" w:themeFill="background2"/>
          </w:tcPr>
          <w:p w14:paraId="2F36C351"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p w14:paraId="62EFC5E0" w14:textId="77777777" w:rsidR="00074551" w:rsidRPr="00E50B51" w:rsidRDefault="00074551" w:rsidP="00367133">
            <w:pPr>
              <w:ind w:right="416"/>
              <w:jc w:val="center"/>
              <w:rPr>
                <w:sz w:val="20"/>
                <w:szCs w:val="20"/>
              </w:rPr>
            </w:pPr>
            <w:r w:rsidRPr="00E50B51">
              <w:rPr>
                <w:sz w:val="20"/>
                <w:szCs w:val="20"/>
              </w:rPr>
              <w:t>H</w:t>
            </w:r>
          </w:p>
        </w:tc>
        <w:tc>
          <w:tcPr>
            <w:tcW w:w="387" w:type="pct"/>
            <w:shd w:val="clear" w:color="auto" w:fill="E7E6E6" w:themeFill="background2"/>
            <w:textDirection w:val="tbRl"/>
            <w:vAlign w:val="center"/>
          </w:tcPr>
          <w:p w14:paraId="23871F35" w14:textId="77777777" w:rsidR="00074551" w:rsidRPr="00E50B51" w:rsidRDefault="00074551" w:rsidP="00367133">
            <w:pPr>
              <w:ind w:left="113" w:right="416"/>
              <w:jc w:val="both"/>
              <w:rPr>
                <w:sz w:val="20"/>
                <w:szCs w:val="20"/>
              </w:rPr>
            </w:pPr>
            <w:r w:rsidRPr="00E50B51">
              <w:rPr>
                <w:sz w:val="20"/>
                <w:szCs w:val="20"/>
              </w:rPr>
              <w:t xml:space="preserve">Rechtsstaatliche Seite </w:t>
            </w:r>
          </w:p>
        </w:tc>
        <w:tc>
          <w:tcPr>
            <w:tcW w:w="197" w:type="pct"/>
            <w:shd w:val="clear" w:color="auto" w:fill="E7E6E6" w:themeFill="background2"/>
            <w:textDirection w:val="tbRl"/>
            <w:vAlign w:val="center"/>
          </w:tcPr>
          <w:p w14:paraId="11C4FF43" w14:textId="77777777" w:rsidR="00074551" w:rsidRPr="00E50B51" w:rsidRDefault="00074551" w:rsidP="00367133">
            <w:pPr>
              <w:ind w:left="113" w:right="113"/>
              <w:jc w:val="both"/>
              <w:rPr>
                <w:sz w:val="20"/>
                <w:szCs w:val="20"/>
              </w:rPr>
            </w:pPr>
          </w:p>
        </w:tc>
        <w:tc>
          <w:tcPr>
            <w:tcW w:w="306" w:type="pct"/>
            <w:shd w:val="clear" w:color="auto" w:fill="E7E6E6" w:themeFill="background2"/>
            <w:textDirection w:val="tbRl"/>
            <w:vAlign w:val="center"/>
          </w:tcPr>
          <w:p w14:paraId="4D8159FF"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76666F5D"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2CB39EC" w14:textId="77777777" w:rsidR="00074551" w:rsidRPr="00E50B51" w:rsidRDefault="00074551" w:rsidP="00367133">
            <w:pPr>
              <w:jc w:val="both"/>
              <w:rPr>
                <w:sz w:val="20"/>
                <w:szCs w:val="20"/>
              </w:rPr>
            </w:pPr>
          </w:p>
        </w:tc>
        <w:tc>
          <w:tcPr>
            <w:tcW w:w="1822" w:type="pct"/>
            <w:shd w:val="clear" w:color="auto" w:fill="E7E6E6" w:themeFill="background2"/>
          </w:tcPr>
          <w:p w14:paraId="5979E53B" w14:textId="1D0661F4" w:rsidR="00074551" w:rsidRPr="00E50B51" w:rsidRDefault="00074551" w:rsidP="00203768">
            <w:pPr>
              <w:rPr>
                <w:sz w:val="20"/>
                <w:szCs w:val="20"/>
              </w:rPr>
            </w:pPr>
          </w:p>
        </w:tc>
      </w:tr>
      <w:tr w:rsidR="00074551" w:rsidRPr="00E50B51" w14:paraId="632BB13B" w14:textId="77777777" w:rsidTr="00136C30">
        <w:trPr>
          <w:cantSplit/>
          <w:trHeight w:val="3175"/>
        </w:trPr>
        <w:tc>
          <w:tcPr>
            <w:tcW w:w="293" w:type="pct"/>
            <w:shd w:val="clear" w:color="auto" w:fill="E7E6E6" w:themeFill="background2"/>
          </w:tcPr>
          <w:p w14:paraId="43F04A02"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E7E6E6" w:themeFill="background2"/>
            <w:textDirection w:val="tbRl"/>
            <w:vAlign w:val="center"/>
          </w:tcPr>
          <w:p w14:paraId="7453FE99"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555B258C" w14:textId="77777777" w:rsidR="00074551" w:rsidRPr="00E50B51" w:rsidRDefault="00074551" w:rsidP="00367133">
            <w:pPr>
              <w:ind w:left="113" w:right="113"/>
              <w:jc w:val="both"/>
              <w:rPr>
                <w:sz w:val="20"/>
                <w:szCs w:val="20"/>
              </w:rPr>
            </w:pPr>
            <w:r w:rsidRPr="00E50B51">
              <w:rPr>
                <w:sz w:val="20"/>
                <w:szCs w:val="20"/>
              </w:rPr>
              <w:t>Separation of Powers</w:t>
            </w:r>
          </w:p>
        </w:tc>
        <w:tc>
          <w:tcPr>
            <w:tcW w:w="306" w:type="pct"/>
            <w:shd w:val="clear" w:color="auto" w:fill="E7E6E6" w:themeFill="background2"/>
            <w:textDirection w:val="tbRl"/>
            <w:vAlign w:val="center"/>
          </w:tcPr>
          <w:p w14:paraId="24BC5057" w14:textId="77777777" w:rsidR="00074551" w:rsidRPr="00E50B51" w:rsidRDefault="00074551" w:rsidP="00367133">
            <w:pPr>
              <w:ind w:left="113" w:right="113"/>
              <w:jc w:val="both"/>
              <w:rPr>
                <w:sz w:val="20"/>
                <w:szCs w:val="20"/>
              </w:rPr>
            </w:pPr>
            <w:r>
              <w:rPr>
                <w:sz w:val="20"/>
                <w:szCs w:val="20"/>
              </w:rPr>
              <w:t>Scope</w:t>
            </w:r>
          </w:p>
        </w:tc>
        <w:tc>
          <w:tcPr>
            <w:tcW w:w="401" w:type="pct"/>
            <w:shd w:val="clear" w:color="auto" w:fill="E7E6E6" w:themeFill="background2"/>
          </w:tcPr>
          <w:p w14:paraId="6762E355"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7B829E4" w14:textId="77777777" w:rsidR="00074551" w:rsidRPr="00E50B51" w:rsidRDefault="00074551" w:rsidP="00367133">
            <w:pPr>
              <w:jc w:val="both"/>
              <w:rPr>
                <w:sz w:val="20"/>
                <w:szCs w:val="20"/>
              </w:rPr>
            </w:pPr>
          </w:p>
        </w:tc>
        <w:tc>
          <w:tcPr>
            <w:tcW w:w="1822" w:type="pct"/>
            <w:shd w:val="clear" w:color="auto" w:fill="E7E6E6" w:themeFill="background2"/>
          </w:tcPr>
          <w:p w14:paraId="4F2BECE3" w14:textId="18E89CB1" w:rsidR="00074551" w:rsidRPr="00E50B51" w:rsidRDefault="00136C30" w:rsidP="00136C30">
            <w:pPr>
              <w:rPr>
                <w:sz w:val="20"/>
                <w:szCs w:val="20"/>
              </w:rPr>
            </w:pPr>
            <w:r w:rsidRPr="00A15DB3">
              <w:rPr>
                <w:i/>
                <w:iCs/>
                <w:sz w:val="16"/>
                <w:szCs w:val="16"/>
              </w:rPr>
              <w:t>Thematische Gliederung der nachfolgenden Entscheidungen ↓</w:t>
            </w:r>
          </w:p>
        </w:tc>
      </w:tr>
      <w:tr w:rsidR="00074551" w:rsidRPr="00E50B51" w14:paraId="2BFA52EA" w14:textId="77777777" w:rsidTr="00BE689F">
        <w:trPr>
          <w:cantSplit/>
          <w:trHeight w:val="3175"/>
        </w:trPr>
        <w:tc>
          <w:tcPr>
            <w:tcW w:w="293" w:type="pct"/>
          </w:tcPr>
          <w:p w14:paraId="1E3B0C7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A58DCA8" w14:textId="77777777" w:rsidR="00074551" w:rsidRPr="00E50B51" w:rsidRDefault="00074551" w:rsidP="00367133">
            <w:pPr>
              <w:ind w:left="113" w:right="416"/>
              <w:jc w:val="both"/>
              <w:rPr>
                <w:sz w:val="20"/>
                <w:szCs w:val="20"/>
              </w:rPr>
            </w:pPr>
            <w:r w:rsidRPr="00B35CD0">
              <w:rPr>
                <w:i/>
                <w:sz w:val="20"/>
                <w:szCs w:val="20"/>
              </w:rPr>
              <w:t xml:space="preserve">Ex </w:t>
            </w:r>
            <w:proofErr w:type="spellStart"/>
            <w:r w:rsidRPr="00B35CD0">
              <w:rPr>
                <w:i/>
                <w:sz w:val="20"/>
                <w:szCs w:val="20"/>
              </w:rPr>
              <w:t>parte</w:t>
            </w:r>
            <w:proofErr w:type="spellEnd"/>
            <w:r w:rsidRPr="00B35CD0">
              <w:rPr>
                <w:i/>
                <w:sz w:val="20"/>
                <w:szCs w:val="20"/>
              </w:rPr>
              <w:t xml:space="preserve"> Milligan</w:t>
            </w:r>
          </w:p>
        </w:tc>
        <w:tc>
          <w:tcPr>
            <w:tcW w:w="197" w:type="pct"/>
            <w:textDirection w:val="tbRl"/>
            <w:vAlign w:val="center"/>
          </w:tcPr>
          <w:p w14:paraId="1E160D2C" w14:textId="77777777" w:rsidR="00074551" w:rsidRPr="00E50B51" w:rsidRDefault="00074551" w:rsidP="00367133">
            <w:pPr>
              <w:ind w:left="113" w:right="113"/>
              <w:jc w:val="both"/>
              <w:rPr>
                <w:sz w:val="20"/>
                <w:szCs w:val="20"/>
              </w:rPr>
            </w:pPr>
            <w:r w:rsidRPr="00E50B51">
              <w:rPr>
                <w:sz w:val="20"/>
                <w:szCs w:val="20"/>
                <w:lang w:val="en-US"/>
              </w:rPr>
              <w:t>71 U.S. 2</w:t>
            </w:r>
          </w:p>
        </w:tc>
        <w:tc>
          <w:tcPr>
            <w:tcW w:w="306" w:type="pct"/>
            <w:textDirection w:val="tbRl"/>
            <w:vAlign w:val="center"/>
          </w:tcPr>
          <w:p w14:paraId="4F04194A" w14:textId="77777777" w:rsidR="00074551" w:rsidRPr="00E50B51" w:rsidRDefault="00074551" w:rsidP="00367133">
            <w:pPr>
              <w:ind w:left="113" w:right="113"/>
              <w:jc w:val="both"/>
              <w:rPr>
                <w:sz w:val="20"/>
                <w:szCs w:val="20"/>
              </w:rPr>
            </w:pPr>
            <w:r w:rsidRPr="00E50B51">
              <w:rPr>
                <w:sz w:val="20"/>
                <w:szCs w:val="20"/>
              </w:rPr>
              <w:t>3. April 1866</w:t>
            </w:r>
          </w:p>
        </w:tc>
        <w:tc>
          <w:tcPr>
            <w:tcW w:w="401" w:type="pct"/>
          </w:tcPr>
          <w:p w14:paraId="6B4B1096" w14:textId="77777777" w:rsidR="00074551" w:rsidRPr="00E50B51" w:rsidRDefault="00074551" w:rsidP="00367133">
            <w:pPr>
              <w:jc w:val="center"/>
              <w:rPr>
                <w:sz w:val="20"/>
                <w:szCs w:val="20"/>
              </w:rPr>
            </w:pPr>
            <w:r w:rsidRPr="00E50B51">
              <w:rPr>
                <w:sz w:val="20"/>
                <w:szCs w:val="20"/>
              </w:rPr>
              <w:t>S</w:t>
            </w:r>
          </w:p>
        </w:tc>
        <w:tc>
          <w:tcPr>
            <w:tcW w:w="1594" w:type="pct"/>
          </w:tcPr>
          <w:p w14:paraId="39C82921" w14:textId="77777777" w:rsidR="00074551" w:rsidRPr="00E50B51" w:rsidRDefault="00074551" w:rsidP="00367133">
            <w:pPr>
              <w:jc w:val="both"/>
              <w:rPr>
                <w:sz w:val="20"/>
                <w:szCs w:val="20"/>
              </w:rPr>
            </w:pPr>
            <w:r w:rsidRPr="00E50B51">
              <w:rPr>
                <w:sz w:val="20"/>
                <w:szCs w:val="20"/>
              </w:rPr>
              <w:t xml:space="preserve">Ein Häftling, der in einem Militärgefängnis inhaftiert war, erhob Einspruch gegen die Zuständigkeit einer Militärkommission, die ihn zum Tode verurteilt hatte. Der </w:t>
            </w:r>
            <w:r>
              <w:rPr>
                <w:sz w:val="20"/>
                <w:szCs w:val="20"/>
              </w:rPr>
              <w:t>U.S. Supreme Court</w:t>
            </w:r>
            <w:r w:rsidRPr="00E50B51">
              <w:rPr>
                <w:sz w:val="20"/>
                <w:szCs w:val="20"/>
              </w:rPr>
              <w:t xml:space="preserve"> urteilte, dass die Militärkommission nicht zuständig sei, den Häftling zu verurteilen. Denn sie sei nicht vom Kongress als rechtsprechendes Organ legitimiert. Zudem sei dem Häftling ein Verfahren mit Geschworenen verwehrt geblieben. Aufgrund dieser Feststellungen verfügte das Gericht die Entlassung des Häftlings. Das Verfahren der Militärkommission sei verfassungswidrig gewesen.</w:t>
            </w:r>
            <w:r w:rsidRPr="5B67C1D2">
              <w:rPr>
                <w:rStyle w:val="Funotenzeichen"/>
                <w:rFonts w:eastAsiaTheme="majorEastAsia"/>
                <w:sz w:val="20"/>
                <w:szCs w:val="20"/>
              </w:rPr>
              <w:footnoteReference w:id="1461"/>
            </w:r>
          </w:p>
          <w:p w14:paraId="4EDE9A59" w14:textId="77777777" w:rsidR="00074551" w:rsidRPr="00E50B51" w:rsidRDefault="00074551" w:rsidP="00367133">
            <w:pPr>
              <w:jc w:val="both"/>
              <w:rPr>
                <w:sz w:val="20"/>
                <w:szCs w:val="20"/>
              </w:rPr>
            </w:pPr>
          </w:p>
        </w:tc>
        <w:tc>
          <w:tcPr>
            <w:tcW w:w="1822" w:type="pct"/>
          </w:tcPr>
          <w:p w14:paraId="4CD42D7C" w14:textId="793D4630" w:rsidR="00074551" w:rsidRDefault="00074551" w:rsidP="00367133">
            <w:pPr>
              <w:jc w:val="both"/>
              <w:rPr>
                <w:sz w:val="20"/>
                <w:szCs w:val="20"/>
                <w:lang w:val="en-US"/>
              </w:rPr>
            </w:pPr>
            <w:r w:rsidRPr="0008552C">
              <w:rPr>
                <w:sz w:val="20"/>
                <w:szCs w:val="20"/>
              </w:rPr>
              <w:t xml:space="preserve">Der </w:t>
            </w:r>
            <w:r>
              <w:rPr>
                <w:sz w:val="20"/>
                <w:szCs w:val="20"/>
              </w:rPr>
              <w:t>U.S. Supreme Court</w:t>
            </w:r>
            <w:r w:rsidRPr="0008552C">
              <w:rPr>
                <w:sz w:val="20"/>
                <w:szCs w:val="20"/>
              </w:rPr>
              <w:t xml:space="preserve"> grenzte im Urteil am Beispiel von verschiedenen Gerichtsarten die Judikative von der Legislative ab. Die </w:t>
            </w:r>
            <w:r>
              <w:rPr>
                <w:sz w:val="20"/>
                <w:szCs w:val="20"/>
              </w:rPr>
              <w:t>U.S.</w:t>
            </w:r>
            <w:r w:rsidRPr="0008552C">
              <w:rPr>
                <w:sz w:val="20"/>
                <w:szCs w:val="20"/>
              </w:rPr>
              <w:t xml:space="preserve"> </w:t>
            </w:r>
            <w:proofErr w:type="spellStart"/>
            <w:r w:rsidRPr="0008552C">
              <w:rPr>
                <w:sz w:val="20"/>
                <w:szCs w:val="20"/>
              </w:rPr>
              <w:t>Const</w:t>
            </w:r>
            <w:proofErr w:type="spellEnd"/>
            <w:r w:rsidRPr="0008552C">
              <w:rPr>
                <w:sz w:val="20"/>
                <w:szCs w:val="20"/>
              </w:rPr>
              <w:t>. gewähr</w:t>
            </w:r>
            <w:r>
              <w:rPr>
                <w:sz w:val="20"/>
                <w:szCs w:val="20"/>
              </w:rPr>
              <w:t>t</w:t>
            </w:r>
            <w:r w:rsidRPr="0008552C">
              <w:rPr>
                <w:sz w:val="20"/>
                <w:szCs w:val="20"/>
              </w:rPr>
              <w:t xml:space="preserve"> dem </w:t>
            </w:r>
            <w:r>
              <w:rPr>
                <w:sz w:val="20"/>
                <w:szCs w:val="20"/>
              </w:rPr>
              <w:t>U.S. Supreme Court</w:t>
            </w:r>
            <w:r w:rsidRPr="0008552C">
              <w:rPr>
                <w:sz w:val="20"/>
                <w:szCs w:val="20"/>
              </w:rPr>
              <w:t xml:space="preserve"> sowie den untergeordneten Gerichten die judikative Gewalt. Einrichten kann die Gerichte aber nur der Kongress. Wiederum gesetzliche Grundlagen </w:t>
            </w:r>
            <w:r>
              <w:rPr>
                <w:sz w:val="20"/>
                <w:szCs w:val="20"/>
              </w:rPr>
              <w:t>z.B.</w:t>
            </w:r>
            <w:r w:rsidRPr="0008552C">
              <w:rPr>
                <w:sz w:val="20"/>
                <w:szCs w:val="20"/>
              </w:rPr>
              <w:t xml:space="preserve"> des Kongresses müssen dann das Handeln des</w:t>
            </w:r>
            <w:r w:rsidR="00AE5329">
              <w:rPr>
                <w:sz w:val="20"/>
                <w:szCs w:val="20"/>
              </w:rPr>
              <w:t xml:space="preserve"> Gerichts</w:t>
            </w:r>
            <w:r w:rsidRPr="0008552C">
              <w:rPr>
                <w:sz w:val="20"/>
                <w:szCs w:val="20"/>
              </w:rPr>
              <w:t xml:space="preserve"> und die Organisation durch den Gerichtspräsidenten bestimmen. Der gerichtliche Aufgabenbereich besteht dann darin, Gesetze anzuwenden, nicht </w:t>
            </w:r>
            <w:r>
              <w:rPr>
                <w:sz w:val="20"/>
                <w:szCs w:val="20"/>
              </w:rPr>
              <w:t xml:space="preserve">sie </w:t>
            </w:r>
            <w:r w:rsidRPr="0008552C">
              <w:rPr>
                <w:sz w:val="20"/>
                <w:szCs w:val="20"/>
              </w:rPr>
              <w:t xml:space="preserve">zu schaffen. Zum Beispiel können Gerichtsbarkeiten als Quelle kein ungeschriebenes Strafgesetzbuch anwenden. Denn so würden sie ein Strafgesetz schaffen, was </w:t>
            </w:r>
            <w:r>
              <w:rPr>
                <w:sz w:val="20"/>
                <w:szCs w:val="20"/>
              </w:rPr>
              <w:t>aber</w:t>
            </w:r>
            <w:r w:rsidRPr="0008552C">
              <w:rPr>
                <w:sz w:val="20"/>
                <w:szCs w:val="20"/>
              </w:rPr>
              <w:t xml:space="preserve"> Aufgabe der Legislative sei, so der </w:t>
            </w:r>
            <w:r>
              <w:rPr>
                <w:sz w:val="20"/>
                <w:szCs w:val="20"/>
              </w:rPr>
              <w:t>U.S. Supreme Court</w:t>
            </w:r>
            <w:r w:rsidRPr="0008552C">
              <w:rPr>
                <w:sz w:val="20"/>
                <w:szCs w:val="20"/>
              </w:rPr>
              <w:t>. Und woher stammt diese Abgrenzung von Judikative zu Legislative? Würden sich beide verschränken bzw. unzureichend abgrenzen, wie oftmals bei Kriegsrecht und bei Militärgerichten der Fall, dann würde die Grundlage des Staatswesens entfallen („</w:t>
            </w:r>
            <w:proofErr w:type="spellStart"/>
            <w:r w:rsidRPr="0008552C">
              <w:rPr>
                <w:sz w:val="20"/>
                <w:szCs w:val="20"/>
              </w:rPr>
              <w:t>safeguards</w:t>
            </w:r>
            <w:proofErr w:type="spellEnd"/>
            <w:r w:rsidRPr="0008552C">
              <w:rPr>
                <w:sz w:val="20"/>
                <w:szCs w:val="20"/>
              </w:rPr>
              <w:t xml:space="preserve"> of </w:t>
            </w:r>
            <w:proofErr w:type="spellStart"/>
            <w:r w:rsidRPr="0008552C">
              <w:rPr>
                <w:sz w:val="20"/>
                <w:szCs w:val="20"/>
              </w:rPr>
              <w:t>civil</w:t>
            </w:r>
            <w:proofErr w:type="spellEnd"/>
            <w:r w:rsidRPr="0008552C">
              <w:rPr>
                <w:sz w:val="20"/>
                <w:szCs w:val="20"/>
              </w:rPr>
              <w:t xml:space="preserve"> </w:t>
            </w:r>
            <w:proofErr w:type="spellStart"/>
            <w:r w:rsidRPr="0008552C">
              <w:rPr>
                <w:sz w:val="20"/>
                <w:szCs w:val="20"/>
              </w:rPr>
              <w:t>liberty</w:t>
            </w:r>
            <w:proofErr w:type="spellEnd"/>
            <w:r w:rsidRPr="0008552C">
              <w:rPr>
                <w:sz w:val="20"/>
                <w:szCs w:val="20"/>
              </w:rPr>
              <w:t>“</w:t>
            </w:r>
            <w:r w:rsidRPr="0008552C">
              <w:rPr>
                <w:sz w:val="20"/>
                <w:szCs w:val="20"/>
                <w:vertAlign w:val="superscript"/>
              </w:rPr>
              <w:footnoteReference w:id="1462"/>
            </w:r>
            <w:r w:rsidRPr="0008552C">
              <w:rPr>
                <w:sz w:val="20"/>
                <w:szCs w:val="20"/>
              </w:rPr>
              <w:t>), nämlich Freiheit und die Möglichkeit</w:t>
            </w:r>
            <w:r>
              <w:rPr>
                <w:sz w:val="20"/>
                <w:szCs w:val="20"/>
              </w:rPr>
              <w:t>,</w:t>
            </w:r>
            <w:r w:rsidRPr="0008552C">
              <w:rPr>
                <w:sz w:val="20"/>
                <w:szCs w:val="20"/>
              </w:rPr>
              <w:t xml:space="preserve"> nach Glück streben zu können („fatal to </w:t>
            </w:r>
            <w:proofErr w:type="spellStart"/>
            <w:r w:rsidRPr="0008552C">
              <w:rPr>
                <w:sz w:val="20"/>
                <w:szCs w:val="20"/>
              </w:rPr>
              <w:t>liberty</w:t>
            </w:r>
            <w:proofErr w:type="spellEnd"/>
            <w:r w:rsidRPr="0008552C">
              <w:rPr>
                <w:sz w:val="20"/>
                <w:szCs w:val="20"/>
              </w:rPr>
              <w:t xml:space="preserve"> and the </w:t>
            </w:r>
            <w:proofErr w:type="spellStart"/>
            <w:r w:rsidRPr="0008552C">
              <w:rPr>
                <w:sz w:val="20"/>
                <w:szCs w:val="20"/>
              </w:rPr>
              <w:t>pursuit</w:t>
            </w:r>
            <w:proofErr w:type="spellEnd"/>
            <w:r w:rsidRPr="0008552C">
              <w:rPr>
                <w:sz w:val="20"/>
                <w:szCs w:val="20"/>
              </w:rPr>
              <w:t xml:space="preserve"> of </w:t>
            </w:r>
            <w:proofErr w:type="spellStart"/>
            <w:r w:rsidRPr="0008552C">
              <w:rPr>
                <w:sz w:val="20"/>
                <w:szCs w:val="20"/>
              </w:rPr>
              <w:t>happiness</w:t>
            </w:r>
            <w:proofErr w:type="spellEnd"/>
            <w:r w:rsidRPr="0008552C">
              <w:rPr>
                <w:sz w:val="20"/>
                <w:szCs w:val="20"/>
              </w:rPr>
              <w:t>“</w:t>
            </w:r>
            <w:r w:rsidRPr="0008552C">
              <w:rPr>
                <w:sz w:val="20"/>
                <w:szCs w:val="20"/>
                <w:vertAlign w:val="superscript"/>
              </w:rPr>
              <w:footnoteReference w:id="1463"/>
            </w:r>
            <w:r w:rsidRPr="0008552C">
              <w:rPr>
                <w:sz w:val="20"/>
                <w:szCs w:val="20"/>
              </w:rPr>
              <w:t>). Wegen dieser Grund</w:t>
            </w:r>
            <w:r>
              <w:rPr>
                <w:sz w:val="20"/>
                <w:szCs w:val="20"/>
              </w:rPr>
              <w:t>la</w:t>
            </w:r>
            <w:r w:rsidRPr="0008552C">
              <w:rPr>
                <w:sz w:val="20"/>
                <w:szCs w:val="20"/>
              </w:rPr>
              <w:t>ge des Staatswesens sei es nur im absoluten Ausnahmefall möglich, Gewalten zu verschränken („</w:t>
            </w:r>
            <w:proofErr w:type="spellStart"/>
            <w:r w:rsidRPr="0008552C">
              <w:rPr>
                <w:sz w:val="20"/>
                <w:szCs w:val="20"/>
              </w:rPr>
              <w:t>exercise</w:t>
            </w:r>
            <w:proofErr w:type="spellEnd"/>
            <w:r w:rsidRPr="0008552C">
              <w:rPr>
                <w:sz w:val="20"/>
                <w:szCs w:val="20"/>
              </w:rPr>
              <w:t xml:space="preserve"> of </w:t>
            </w:r>
            <w:proofErr w:type="spellStart"/>
            <w:r w:rsidRPr="0008552C">
              <w:rPr>
                <w:sz w:val="20"/>
                <w:szCs w:val="20"/>
              </w:rPr>
              <w:t>military</w:t>
            </w:r>
            <w:proofErr w:type="spellEnd"/>
            <w:r w:rsidRPr="0008552C">
              <w:rPr>
                <w:sz w:val="20"/>
                <w:szCs w:val="20"/>
              </w:rPr>
              <w:t xml:space="preserve"> power, </w:t>
            </w:r>
            <w:proofErr w:type="spellStart"/>
            <w:r w:rsidRPr="0008552C">
              <w:rPr>
                <w:sz w:val="20"/>
                <w:szCs w:val="20"/>
              </w:rPr>
              <w:t>when</w:t>
            </w:r>
            <w:proofErr w:type="spellEnd"/>
            <w:r w:rsidRPr="0008552C">
              <w:rPr>
                <w:sz w:val="20"/>
                <w:szCs w:val="20"/>
              </w:rPr>
              <w:t xml:space="preserve"> </w:t>
            </w:r>
            <w:proofErr w:type="spellStart"/>
            <w:r w:rsidRPr="0008552C">
              <w:rPr>
                <w:sz w:val="20"/>
                <w:szCs w:val="20"/>
              </w:rPr>
              <w:t>necessity</w:t>
            </w:r>
            <w:proofErr w:type="spellEnd"/>
            <w:r w:rsidRPr="0008552C">
              <w:rPr>
                <w:sz w:val="20"/>
                <w:szCs w:val="20"/>
              </w:rPr>
              <w:t xml:space="preserve"> </w:t>
            </w:r>
            <w:proofErr w:type="spellStart"/>
            <w:r w:rsidRPr="0008552C">
              <w:rPr>
                <w:sz w:val="20"/>
                <w:szCs w:val="20"/>
              </w:rPr>
              <w:t>demands</w:t>
            </w:r>
            <w:proofErr w:type="spellEnd"/>
            <w:r w:rsidRPr="0008552C">
              <w:rPr>
                <w:sz w:val="20"/>
                <w:szCs w:val="20"/>
              </w:rPr>
              <w:t xml:space="preserve"> and </w:t>
            </w:r>
            <w:proofErr w:type="spellStart"/>
            <w:r w:rsidRPr="0008552C">
              <w:rPr>
                <w:sz w:val="20"/>
                <w:szCs w:val="20"/>
              </w:rPr>
              <w:t>prudence</w:t>
            </w:r>
            <w:proofErr w:type="spellEnd"/>
            <w:r w:rsidRPr="0008552C">
              <w:rPr>
                <w:sz w:val="20"/>
                <w:szCs w:val="20"/>
              </w:rPr>
              <w:t xml:space="preserve"> </w:t>
            </w:r>
            <w:proofErr w:type="spellStart"/>
            <w:r w:rsidRPr="0008552C">
              <w:rPr>
                <w:sz w:val="20"/>
                <w:szCs w:val="20"/>
              </w:rPr>
              <w:t>dictates</w:t>
            </w:r>
            <w:proofErr w:type="spellEnd"/>
            <w:r w:rsidRPr="0008552C">
              <w:rPr>
                <w:sz w:val="20"/>
                <w:szCs w:val="20"/>
              </w:rPr>
              <w:t>.</w:t>
            </w:r>
            <w:r>
              <w:rPr>
                <w:sz w:val="20"/>
                <w:szCs w:val="20"/>
              </w:rPr>
              <w:t xml:space="preserve"> </w:t>
            </w:r>
            <w:r w:rsidRPr="0008552C">
              <w:rPr>
                <w:sz w:val="20"/>
                <w:szCs w:val="20"/>
                <w:lang w:val="en-US"/>
              </w:rPr>
              <w:t>If the civil law fails to preserve rights [</w:t>
            </w:r>
            <w:proofErr w:type="gramStart"/>
            <w:r w:rsidRPr="0008552C">
              <w:rPr>
                <w:sz w:val="20"/>
                <w:szCs w:val="20"/>
                <w:lang w:val="en-US"/>
              </w:rPr>
              <w:t>…]“</w:t>
            </w:r>
            <w:proofErr w:type="gramEnd"/>
            <w:r w:rsidRPr="0008552C">
              <w:rPr>
                <w:sz w:val="20"/>
                <w:szCs w:val="20"/>
                <w:vertAlign w:val="superscript"/>
              </w:rPr>
              <w:footnoteReference w:id="1464"/>
            </w:r>
            <w:r w:rsidRPr="0008552C">
              <w:rPr>
                <w:sz w:val="20"/>
                <w:szCs w:val="20"/>
                <w:lang w:val="en-US"/>
              </w:rPr>
              <w:t>).</w:t>
            </w:r>
          </w:p>
          <w:p w14:paraId="02E1D022" w14:textId="77777777" w:rsidR="00074551" w:rsidRPr="00A3524C" w:rsidRDefault="00074551" w:rsidP="00367133">
            <w:pPr>
              <w:jc w:val="both"/>
              <w:rPr>
                <w:sz w:val="20"/>
                <w:szCs w:val="20"/>
                <w:lang w:val="en-US"/>
              </w:rPr>
            </w:pPr>
          </w:p>
        </w:tc>
      </w:tr>
      <w:tr w:rsidR="00074551" w:rsidRPr="00E50B51" w14:paraId="19E5C7E7" w14:textId="77777777" w:rsidTr="00BE689F">
        <w:trPr>
          <w:cantSplit/>
          <w:trHeight w:val="3175"/>
        </w:trPr>
        <w:tc>
          <w:tcPr>
            <w:tcW w:w="293" w:type="pct"/>
          </w:tcPr>
          <w:p w14:paraId="3D4B9514"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7A30858" w14:textId="77777777" w:rsidR="00074551" w:rsidRPr="00B45592" w:rsidRDefault="00074551" w:rsidP="00367133">
            <w:pPr>
              <w:ind w:left="113" w:right="113"/>
              <w:jc w:val="both"/>
              <w:rPr>
                <w:i/>
                <w:sz w:val="20"/>
                <w:szCs w:val="20"/>
                <w:lang w:val="en-US"/>
              </w:rPr>
            </w:pPr>
            <w:r w:rsidRPr="00B45592">
              <w:rPr>
                <w:i/>
                <w:sz w:val="20"/>
                <w:szCs w:val="20"/>
                <w:lang w:val="en-US"/>
              </w:rPr>
              <w:t>James Everard’s Breweries v. Day</w:t>
            </w:r>
          </w:p>
        </w:tc>
        <w:tc>
          <w:tcPr>
            <w:tcW w:w="197" w:type="pct"/>
            <w:textDirection w:val="tbRl"/>
            <w:vAlign w:val="center"/>
          </w:tcPr>
          <w:p w14:paraId="6483D6E8" w14:textId="77777777" w:rsidR="00074551" w:rsidRPr="00E50B51" w:rsidRDefault="00074551" w:rsidP="00367133">
            <w:pPr>
              <w:ind w:left="113" w:right="113"/>
              <w:jc w:val="both"/>
              <w:rPr>
                <w:sz w:val="20"/>
                <w:szCs w:val="20"/>
              </w:rPr>
            </w:pPr>
            <w:r w:rsidRPr="00E50B51">
              <w:rPr>
                <w:sz w:val="20"/>
                <w:szCs w:val="20"/>
                <w:lang w:val="en-US"/>
              </w:rPr>
              <w:t>265 U.S. 545</w:t>
            </w:r>
          </w:p>
        </w:tc>
        <w:tc>
          <w:tcPr>
            <w:tcW w:w="306" w:type="pct"/>
            <w:textDirection w:val="tbRl"/>
            <w:vAlign w:val="center"/>
          </w:tcPr>
          <w:p w14:paraId="30D8724D" w14:textId="77777777" w:rsidR="00074551" w:rsidRPr="00E50B51" w:rsidRDefault="00074551" w:rsidP="00367133">
            <w:pPr>
              <w:ind w:left="113" w:right="113"/>
              <w:jc w:val="both"/>
              <w:rPr>
                <w:sz w:val="20"/>
                <w:szCs w:val="20"/>
              </w:rPr>
            </w:pPr>
            <w:r w:rsidRPr="00E50B51">
              <w:rPr>
                <w:sz w:val="20"/>
                <w:szCs w:val="20"/>
              </w:rPr>
              <w:t>9. Juni 1924</w:t>
            </w:r>
          </w:p>
        </w:tc>
        <w:tc>
          <w:tcPr>
            <w:tcW w:w="401" w:type="pct"/>
          </w:tcPr>
          <w:p w14:paraId="7AA5BCA6" w14:textId="77777777" w:rsidR="00074551" w:rsidRPr="00E50B51" w:rsidRDefault="00074551" w:rsidP="00367133">
            <w:pPr>
              <w:jc w:val="center"/>
              <w:rPr>
                <w:sz w:val="20"/>
                <w:szCs w:val="20"/>
              </w:rPr>
            </w:pPr>
            <w:r w:rsidRPr="00E50B51">
              <w:rPr>
                <w:sz w:val="20"/>
                <w:szCs w:val="20"/>
              </w:rPr>
              <w:t>S</w:t>
            </w:r>
          </w:p>
        </w:tc>
        <w:tc>
          <w:tcPr>
            <w:tcW w:w="1594" w:type="pct"/>
          </w:tcPr>
          <w:p w14:paraId="434333DA" w14:textId="77777777" w:rsidR="00074551" w:rsidRPr="00E50B51" w:rsidRDefault="00074551" w:rsidP="00367133">
            <w:pPr>
              <w:jc w:val="both"/>
              <w:rPr>
                <w:sz w:val="20"/>
                <w:szCs w:val="20"/>
              </w:rPr>
            </w:pPr>
            <w:r w:rsidRPr="00E50B51">
              <w:rPr>
                <w:sz w:val="20"/>
                <w:szCs w:val="20"/>
              </w:rPr>
              <w:t>*</w:t>
            </w:r>
          </w:p>
        </w:tc>
        <w:tc>
          <w:tcPr>
            <w:tcW w:w="1822" w:type="pct"/>
          </w:tcPr>
          <w:p w14:paraId="0428FC4E" w14:textId="77777777" w:rsidR="00074551" w:rsidRDefault="00074551" w:rsidP="00367133">
            <w:pPr>
              <w:jc w:val="both"/>
              <w:rPr>
                <w:sz w:val="20"/>
                <w:szCs w:val="20"/>
                <w:vertAlign w:val="superscript"/>
              </w:rPr>
            </w:pPr>
            <w:r w:rsidRPr="00076FF2">
              <w:rPr>
                <w:sz w:val="20"/>
                <w:szCs w:val="20"/>
              </w:rPr>
              <w:t xml:space="preserve">Wenn der Kongress ein Mittel wählt, das nicht verboten ist und sich eignet, legitime Ziele zu erreichen, für die dem Kongress auch noch eine Kompetenz zukommt, dann darf der </w:t>
            </w:r>
            <w:r>
              <w:rPr>
                <w:sz w:val="20"/>
                <w:szCs w:val="20"/>
              </w:rPr>
              <w:t>U.S. Supreme Court</w:t>
            </w:r>
            <w:r w:rsidRPr="00076FF2">
              <w:rPr>
                <w:sz w:val="20"/>
                <w:szCs w:val="20"/>
              </w:rPr>
              <w:t xml:space="preserve"> nicht den Grad überprüfen, inwieweit das Mittel genau notwendig sei. Damit </w:t>
            </w:r>
            <w:r>
              <w:rPr>
                <w:sz w:val="20"/>
                <w:szCs w:val="20"/>
              </w:rPr>
              <w:t>würden</w:t>
            </w:r>
            <w:r w:rsidRPr="00076FF2">
              <w:rPr>
                <w:sz w:val="20"/>
                <w:szCs w:val="20"/>
              </w:rPr>
              <w:t xml:space="preserve"> Gerichte wiederum ihre Kompetenz</w:t>
            </w:r>
            <w:r>
              <w:rPr>
                <w:sz w:val="20"/>
                <w:szCs w:val="20"/>
              </w:rPr>
              <w:t xml:space="preserve"> überschreiten, d</w:t>
            </w:r>
            <w:r w:rsidRPr="00076FF2">
              <w:rPr>
                <w:sz w:val="20"/>
                <w:szCs w:val="20"/>
              </w:rPr>
              <w:t xml:space="preserve">enn sie betätigten sich dadurch als Legislative. Der </w:t>
            </w:r>
            <w:r>
              <w:rPr>
                <w:sz w:val="20"/>
                <w:szCs w:val="20"/>
              </w:rPr>
              <w:t>U.S. Supreme Court</w:t>
            </w:r>
            <w:r w:rsidRPr="00076FF2">
              <w:rPr>
                <w:sz w:val="20"/>
                <w:szCs w:val="20"/>
              </w:rPr>
              <w:t xml:space="preserve"> darf also nicht den Sinn von Gesetzgebungen prüfen. Er darf aber prüfen, ob das Handeln der Legislative, </w:t>
            </w:r>
            <w:r>
              <w:rPr>
                <w:sz w:val="20"/>
                <w:szCs w:val="20"/>
              </w:rPr>
              <w:t>z.B.</w:t>
            </w:r>
            <w:r w:rsidRPr="00076FF2">
              <w:rPr>
                <w:sz w:val="20"/>
                <w:szCs w:val="20"/>
              </w:rPr>
              <w:t xml:space="preserve"> des Kongresses, über die verfassungsmäßigen Grenzen seiner Kompetenz und des gesetzgeberischen Ermessens hinausgeh</w:t>
            </w:r>
            <w:r>
              <w:rPr>
                <w:sz w:val="20"/>
                <w:szCs w:val="20"/>
              </w:rPr>
              <w:t>t.</w:t>
            </w:r>
            <w:r w:rsidRPr="00076FF2">
              <w:rPr>
                <w:sz w:val="20"/>
                <w:szCs w:val="20"/>
                <w:vertAlign w:val="superscript"/>
              </w:rPr>
              <w:footnoteReference w:id="1465"/>
            </w:r>
            <w:r w:rsidRPr="00076FF2">
              <w:rPr>
                <w:sz w:val="20"/>
                <w:szCs w:val="20"/>
              </w:rPr>
              <w:t xml:space="preserve"> </w:t>
            </w:r>
            <w:r>
              <w:rPr>
                <w:sz w:val="20"/>
                <w:szCs w:val="20"/>
              </w:rPr>
              <w:t>E</w:t>
            </w:r>
            <w:r w:rsidRPr="00076FF2">
              <w:rPr>
                <w:sz w:val="20"/>
                <w:szCs w:val="20"/>
              </w:rPr>
              <w:t>in Maßstab dafür</w:t>
            </w:r>
            <w:r>
              <w:rPr>
                <w:sz w:val="20"/>
                <w:szCs w:val="20"/>
              </w:rPr>
              <w:t xml:space="preserve"> sei</w:t>
            </w:r>
            <w:r w:rsidRPr="00076FF2">
              <w:rPr>
                <w:sz w:val="20"/>
                <w:szCs w:val="20"/>
              </w:rPr>
              <w:t xml:space="preserve"> das konstitutionelle Recht auf Bedingungen für Glücksstreben („</w:t>
            </w:r>
            <w:proofErr w:type="spellStart"/>
            <w:r w:rsidRPr="00076FF2">
              <w:rPr>
                <w:sz w:val="20"/>
                <w:szCs w:val="20"/>
              </w:rPr>
              <w:t>constitutional</w:t>
            </w:r>
            <w:proofErr w:type="spellEnd"/>
            <w:r w:rsidRPr="00076FF2">
              <w:rPr>
                <w:sz w:val="20"/>
                <w:szCs w:val="20"/>
              </w:rPr>
              <w:t xml:space="preserve"> </w:t>
            </w:r>
            <w:proofErr w:type="spellStart"/>
            <w:r w:rsidRPr="00076FF2">
              <w:rPr>
                <w:sz w:val="20"/>
                <w:szCs w:val="20"/>
              </w:rPr>
              <w:t>right</w:t>
            </w:r>
            <w:proofErr w:type="spellEnd"/>
            <w:r w:rsidRPr="00076FF2">
              <w:rPr>
                <w:sz w:val="20"/>
                <w:szCs w:val="20"/>
              </w:rPr>
              <w:t xml:space="preserve"> of the individual to </w:t>
            </w:r>
            <w:proofErr w:type="spellStart"/>
            <w:r w:rsidRPr="00076FF2">
              <w:rPr>
                <w:sz w:val="20"/>
                <w:szCs w:val="20"/>
              </w:rPr>
              <w:t>enjoy</w:t>
            </w:r>
            <w:proofErr w:type="spellEnd"/>
            <w:r w:rsidRPr="00076FF2">
              <w:rPr>
                <w:sz w:val="20"/>
                <w:szCs w:val="20"/>
              </w:rPr>
              <w:t xml:space="preserve"> </w:t>
            </w:r>
            <w:proofErr w:type="spellStart"/>
            <w:r w:rsidRPr="00076FF2">
              <w:rPr>
                <w:sz w:val="20"/>
                <w:szCs w:val="20"/>
              </w:rPr>
              <w:t>those</w:t>
            </w:r>
            <w:proofErr w:type="spellEnd"/>
            <w:r w:rsidRPr="00076FF2">
              <w:rPr>
                <w:sz w:val="20"/>
                <w:szCs w:val="20"/>
              </w:rPr>
              <w:t xml:space="preserve"> </w:t>
            </w:r>
            <w:proofErr w:type="spellStart"/>
            <w:r w:rsidRPr="00076FF2">
              <w:rPr>
                <w:sz w:val="20"/>
                <w:szCs w:val="20"/>
              </w:rPr>
              <w:t>privileges</w:t>
            </w:r>
            <w:proofErr w:type="spellEnd"/>
            <w:r w:rsidRPr="00076FF2">
              <w:rPr>
                <w:sz w:val="20"/>
                <w:szCs w:val="20"/>
              </w:rPr>
              <w:t xml:space="preserve"> of </w:t>
            </w:r>
            <w:proofErr w:type="spellStart"/>
            <w:r w:rsidRPr="00076FF2">
              <w:rPr>
                <w:sz w:val="20"/>
                <w:szCs w:val="20"/>
              </w:rPr>
              <w:t>life</w:t>
            </w:r>
            <w:proofErr w:type="spellEnd"/>
            <w:r w:rsidRPr="00076FF2">
              <w:rPr>
                <w:sz w:val="20"/>
                <w:szCs w:val="20"/>
              </w:rPr>
              <w:t xml:space="preserve">, </w:t>
            </w:r>
            <w:proofErr w:type="spellStart"/>
            <w:r w:rsidRPr="00076FF2">
              <w:rPr>
                <w:sz w:val="20"/>
                <w:szCs w:val="20"/>
              </w:rPr>
              <w:t>liberty</w:t>
            </w:r>
            <w:proofErr w:type="spellEnd"/>
            <w:r w:rsidRPr="00076FF2">
              <w:rPr>
                <w:sz w:val="20"/>
                <w:szCs w:val="20"/>
              </w:rPr>
              <w:t xml:space="preserve"> and </w:t>
            </w:r>
            <w:proofErr w:type="spellStart"/>
            <w:r w:rsidRPr="00076FF2">
              <w:rPr>
                <w:sz w:val="20"/>
                <w:szCs w:val="20"/>
              </w:rPr>
              <w:t>pursuit</w:t>
            </w:r>
            <w:proofErr w:type="spellEnd"/>
            <w:r w:rsidRPr="00076FF2">
              <w:rPr>
                <w:sz w:val="20"/>
                <w:szCs w:val="20"/>
              </w:rPr>
              <w:t xml:space="preserve"> of </w:t>
            </w:r>
            <w:proofErr w:type="spellStart"/>
            <w:r w:rsidRPr="00076FF2">
              <w:rPr>
                <w:sz w:val="20"/>
                <w:szCs w:val="20"/>
              </w:rPr>
              <w:t>happiness</w:t>
            </w:r>
            <w:proofErr w:type="spellEnd"/>
            <w:r w:rsidRPr="00076FF2">
              <w:rPr>
                <w:sz w:val="20"/>
                <w:szCs w:val="20"/>
              </w:rPr>
              <w:t>“</w:t>
            </w:r>
            <w:r w:rsidRPr="00076FF2">
              <w:rPr>
                <w:sz w:val="20"/>
                <w:szCs w:val="20"/>
                <w:vertAlign w:val="superscript"/>
              </w:rPr>
              <w:t xml:space="preserve"> </w:t>
            </w:r>
            <w:r w:rsidRPr="00076FF2">
              <w:rPr>
                <w:sz w:val="20"/>
                <w:szCs w:val="20"/>
                <w:vertAlign w:val="superscript"/>
              </w:rPr>
              <w:footnoteReference w:id="1466"/>
            </w:r>
            <w:r w:rsidRPr="00076FF2">
              <w:rPr>
                <w:sz w:val="20"/>
                <w:szCs w:val="20"/>
              </w:rPr>
              <w:t>). Dazu ergänzte der Kläger, wie innerhalb der Legislative zwischen Aufgaben des Bundes und bundesstaatlichen Aufgaben zu unterscheiden sei, nämlich: Nicht delegierte Kompetenzen verbleiben bei den Bundesstaaten („</w:t>
            </w:r>
            <w:proofErr w:type="spellStart"/>
            <w:r w:rsidRPr="00076FF2">
              <w:rPr>
                <w:sz w:val="20"/>
                <w:szCs w:val="20"/>
              </w:rPr>
              <w:t>distinction</w:t>
            </w:r>
            <w:proofErr w:type="spellEnd"/>
            <w:r w:rsidRPr="00076FF2">
              <w:rPr>
                <w:sz w:val="20"/>
                <w:szCs w:val="20"/>
              </w:rPr>
              <w:t xml:space="preserve"> </w:t>
            </w:r>
            <w:proofErr w:type="spellStart"/>
            <w:r w:rsidRPr="00076FF2">
              <w:rPr>
                <w:sz w:val="20"/>
                <w:szCs w:val="20"/>
              </w:rPr>
              <w:t>between</w:t>
            </w:r>
            <w:proofErr w:type="spellEnd"/>
            <w:r w:rsidRPr="00076FF2">
              <w:rPr>
                <w:sz w:val="20"/>
                <w:szCs w:val="20"/>
              </w:rPr>
              <w:t xml:space="preserve"> national and </w:t>
            </w:r>
            <w:proofErr w:type="spellStart"/>
            <w:r w:rsidRPr="00076FF2">
              <w:rPr>
                <w:sz w:val="20"/>
                <w:szCs w:val="20"/>
              </w:rPr>
              <w:t>state</w:t>
            </w:r>
            <w:proofErr w:type="spellEnd"/>
            <w:r w:rsidRPr="00076FF2">
              <w:rPr>
                <w:sz w:val="20"/>
                <w:szCs w:val="20"/>
              </w:rPr>
              <w:t xml:space="preserve"> </w:t>
            </w:r>
            <w:proofErr w:type="spellStart"/>
            <w:r w:rsidRPr="00076FF2">
              <w:rPr>
                <w:sz w:val="20"/>
                <w:szCs w:val="20"/>
              </w:rPr>
              <w:t>functions</w:t>
            </w:r>
            <w:proofErr w:type="spellEnd"/>
            <w:r w:rsidRPr="00076FF2">
              <w:rPr>
                <w:sz w:val="20"/>
                <w:szCs w:val="20"/>
              </w:rPr>
              <w:t xml:space="preserve"> still </w:t>
            </w:r>
            <w:proofErr w:type="spellStart"/>
            <w:r w:rsidRPr="00076FF2">
              <w:rPr>
                <w:sz w:val="20"/>
                <w:szCs w:val="20"/>
              </w:rPr>
              <w:t>remains</w:t>
            </w:r>
            <w:proofErr w:type="spellEnd"/>
            <w:r w:rsidRPr="00076FF2">
              <w:rPr>
                <w:sz w:val="20"/>
                <w:szCs w:val="20"/>
              </w:rPr>
              <w:t xml:space="preserve">, and the </w:t>
            </w:r>
            <w:proofErr w:type="spellStart"/>
            <w:r w:rsidRPr="00076FF2">
              <w:rPr>
                <w:sz w:val="20"/>
                <w:szCs w:val="20"/>
              </w:rPr>
              <w:t>powers</w:t>
            </w:r>
            <w:proofErr w:type="spellEnd"/>
            <w:r w:rsidRPr="00076FF2">
              <w:rPr>
                <w:sz w:val="20"/>
                <w:szCs w:val="20"/>
              </w:rPr>
              <w:t xml:space="preserve"> </w:t>
            </w:r>
            <w:proofErr w:type="spellStart"/>
            <w:r w:rsidRPr="00076FF2">
              <w:rPr>
                <w:sz w:val="20"/>
                <w:szCs w:val="20"/>
              </w:rPr>
              <w:t>which</w:t>
            </w:r>
            <w:proofErr w:type="spellEnd"/>
            <w:r w:rsidRPr="00076FF2">
              <w:rPr>
                <w:sz w:val="20"/>
                <w:szCs w:val="20"/>
              </w:rPr>
              <w:t xml:space="preserve"> </w:t>
            </w:r>
            <w:proofErr w:type="spellStart"/>
            <w:r w:rsidRPr="00076FF2">
              <w:rPr>
                <w:sz w:val="20"/>
                <w:szCs w:val="20"/>
              </w:rPr>
              <w:t>are</w:t>
            </w:r>
            <w:proofErr w:type="spellEnd"/>
            <w:r w:rsidRPr="00076FF2">
              <w:rPr>
                <w:sz w:val="20"/>
                <w:szCs w:val="20"/>
              </w:rPr>
              <w:t xml:space="preserve"> </w:t>
            </w:r>
            <w:proofErr w:type="spellStart"/>
            <w:r w:rsidRPr="00076FF2">
              <w:rPr>
                <w:sz w:val="20"/>
                <w:szCs w:val="20"/>
              </w:rPr>
              <w:t>undelegated</w:t>
            </w:r>
            <w:proofErr w:type="spellEnd"/>
            <w:r w:rsidRPr="00076FF2">
              <w:rPr>
                <w:sz w:val="20"/>
                <w:szCs w:val="20"/>
              </w:rPr>
              <w:t xml:space="preserve"> still </w:t>
            </w:r>
            <w:proofErr w:type="spellStart"/>
            <w:r w:rsidRPr="00076FF2">
              <w:rPr>
                <w:sz w:val="20"/>
                <w:szCs w:val="20"/>
              </w:rPr>
              <w:t>rest</w:t>
            </w:r>
            <w:proofErr w:type="spellEnd"/>
            <w:r w:rsidRPr="00076FF2">
              <w:rPr>
                <w:sz w:val="20"/>
                <w:szCs w:val="20"/>
              </w:rPr>
              <w:t xml:space="preserve"> in the States“</w:t>
            </w:r>
            <w:r w:rsidRPr="00076FF2">
              <w:rPr>
                <w:sz w:val="20"/>
                <w:szCs w:val="20"/>
                <w:vertAlign w:val="superscript"/>
              </w:rPr>
              <w:footnoteReference w:id="1467"/>
            </w:r>
            <w:r w:rsidRPr="00076FF2">
              <w:rPr>
                <w:sz w:val="20"/>
                <w:szCs w:val="20"/>
              </w:rPr>
              <w:t xml:space="preserve">), solange der Bund nicht handelt. Zum Beispiel lag die Kompetenz für Gesundheitspolitik zunächst bei den Bundesstaaten. Wenn der Bund bzw. der Kongress nun aber Gesundheit regeln will, wie </w:t>
            </w:r>
            <w:r>
              <w:rPr>
                <w:sz w:val="20"/>
                <w:szCs w:val="20"/>
              </w:rPr>
              <w:t>z.B.</w:t>
            </w:r>
            <w:r w:rsidRPr="00076FF2">
              <w:rPr>
                <w:sz w:val="20"/>
                <w:szCs w:val="20"/>
              </w:rPr>
              <w:t xml:space="preserve"> die nationale Prohibition </w:t>
            </w:r>
            <w:r>
              <w:rPr>
                <w:sz w:val="20"/>
                <w:szCs w:val="20"/>
              </w:rPr>
              <w:t>der</w:t>
            </w:r>
            <w:r w:rsidRPr="00076FF2">
              <w:rPr>
                <w:sz w:val="20"/>
                <w:szCs w:val="20"/>
              </w:rPr>
              <w:t xml:space="preserve"> Herstellung bestimmte</w:t>
            </w:r>
            <w:r>
              <w:rPr>
                <w:sz w:val="20"/>
                <w:szCs w:val="20"/>
              </w:rPr>
              <w:t>r</w:t>
            </w:r>
            <w:r w:rsidRPr="00076FF2">
              <w:rPr>
                <w:sz w:val="20"/>
                <w:szCs w:val="20"/>
              </w:rPr>
              <w:t xml:space="preserve"> alkoholische</w:t>
            </w:r>
            <w:r>
              <w:rPr>
                <w:sz w:val="20"/>
                <w:szCs w:val="20"/>
              </w:rPr>
              <w:t>r</w:t>
            </w:r>
            <w:r w:rsidRPr="00076FF2">
              <w:rPr>
                <w:sz w:val="20"/>
                <w:szCs w:val="20"/>
              </w:rPr>
              <w:t xml:space="preserve"> Getränke, dann kann er das an sich ziehen, muss aber </w:t>
            </w:r>
            <w:r>
              <w:rPr>
                <w:sz w:val="20"/>
                <w:szCs w:val="20"/>
              </w:rPr>
              <w:t>die</w:t>
            </w:r>
            <w:r w:rsidRPr="00076FF2">
              <w:rPr>
                <w:sz w:val="20"/>
                <w:szCs w:val="20"/>
              </w:rPr>
              <w:t xml:space="preserve"> verfassungsmäßige</w:t>
            </w:r>
            <w:r>
              <w:rPr>
                <w:sz w:val="20"/>
                <w:szCs w:val="20"/>
              </w:rPr>
              <w:t>n</w:t>
            </w:r>
            <w:r w:rsidRPr="00076FF2">
              <w:rPr>
                <w:sz w:val="20"/>
                <w:szCs w:val="20"/>
              </w:rPr>
              <w:t xml:space="preserve"> Recht</w:t>
            </w:r>
            <w:r>
              <w:rPr>
                <w:sz w:val="20"/>
                <w:szCs w:val="20"/>
              </w:rPr>
              <w:t>e</w:t>
            </w:r>
            <w:r w:rsidRPr="00076FF2">
              <w:rPr>
                <w:sz w:val="20"/>
                <w:szCs w:val="20"/>
              </w:rPr>
              <w:t xml:space="preserve"> des Einzelnen abwägen, wie </w:t>
            </w:r>
            <w:r>
              <w:rPr>
                <w:sz w:val="20"/>
                <w:szCs w:val="20"/>
              </w:rPr>
              <w:t xml:space="preserve">etwa </w:t>
            </w:r>
            <w:r w:rsidRPr="00076FF2">
              <w:rPr>
                <w:sz w:val="20"/>
                <w:szCs w:val="20"/>
              </w:rPr>
              <w:t>das Vorrecht auf Streben nach Glück („</w:t>
            </w:r>
            <w:proofErr w:type="spellStart"/>
            <w:r w:rsidRPr="00076FF2">
              <w:rPr>
                <w:sz w:val="20"/>
                <w:szCs w:val="20"/>
              </w:rPr>
              <w:t>constitutional</w:t>
            </w:r>
            <w:proofErr w:type="spellEnd"/>
            <w:r w:rsidRPr="00076FF2">
              <w:rPr>
                <w:sz w:val="20"/>
                <w:szCs w:val="20"/>
              </w:rPr>
              <w:t xml:space="preserve"> </w:t>
            </w:r>
            <w:proofErr w:type="spellStart"/>
            <w:r w:rsidRPr="00076FF2">
              <w:rPr>
                <w:sz w:val="20"/>
                <w:szCs w:val="20"/>
              </w:rPr>
              <w:t>right</w:t>
            </w:r>
            <w:proofErr w:type="spellEnd"/>
            <w:r w:rsidRPr="00076FF2">
              <w:rPr>
                <w:sz w:val="20"/>
                <w:szCs w:val="20"/>
              </w:rPr>
              <w:t xml:space="preserve"> of the individual to </w:t>
            </w:r>
            <w:proofErr w:type="spellStart"/>
            <w:r w:rsidRPr="00076FF2">
              <w:rPr>
                <w:sz w:val="20"/>
                <w:szCs w:val="20"/>
              </w:rPr>
              <w:t>enjoy</w:t>
            </w:r>
            <w:proofErr w:type="spellEnd"/>
            <w:r w:rsidRPr="00076FF2">
              <w:rPr>
                <w:sz w:val="20"/>
                <w:szCs w:val="20"/>
              </w:rPr>
              <w:t xml:space="preserve"> </w:t>
            </w:r>
            <w:proofErr w:type="spellStart"/>
            <w:r w:rsidRPr="00076FF2">
              <w:rPr>
                <w:sz w:val="20"/>
                <w:szCs w:val="20"/>
              </w:rPr>
              <w:t>those</w:t>
            </w:r>
            <w:proofErr w:type="spellEnd"/>
            <w:r w:rsidRPr="00076FF2">
              <w:rPr>
                <w:sz w:val="20"/>
                <w:szCs w:val="20"/>
              </w:rPr>
              <w:t xml:space="preserve"> </w:t>
            </w:r>
            <w:proofErr w:type="spellStart"/>
            <w:r w:rsidRPr="00076FF2">
              <w:rPr>
                <w:sz w:val="20"/>
                <w:szCs w:val="20"/>
              </w:rPr>
              <w:t>privileges</w:t>
            </w:r>
            <w:proofErr w:type="spellEnd"/>
            <w:r w:rsidRPr="00076FF2">
              <w:rPr>
                <w:sz w:val="20"/>
                <w:szCs w:val="20"/>
              </w:rPr>
              <w:t xml:space="preserve"> of </w:t>
            </w:r>
            <w:proofErr w:type="spellStart"/>
            <w:r w:rsidRPr="00076FF2">
              <w:rPr>
                <w:sz w:val="20"/>
                <w:szCs w:val="20"/>
              </w:rPr>
              <w:t>life</w:t>
            </w:r>
            <w:proofErr w:type="spellEnd"/>
            <w:r w:rsidRPr="00076FF2">
              <w:rPr>
                <w:sz w:val="20"/>
                <w:szCs w:val="20"/>
              </w:rPr>
              <w:t xml:space="preserve">, </w:t>
            </w:r>
            <w:proofErr w:type="spellStart"/>
            <w:r w:rsidRPr="00076FF2">
              <w:rPr>
                <w:sz w:val="20"/>
                <w:szCs w:val="20"/>
              </w:rPr>
              <w:t>liberty</w:t>
            </w:r>
            <w:proofErr w:type="spellEnd"/>
            <w:r w:rsidRPr="00076FF2">
              <w:rPr>
                <w:sz w:val="20"/>
                <w:szCs w:val="20"/>
              </w:rPr>
              <w:t xml:space="preserve"> and </w:t>
            </w:r>
            <w:proofErr w:type="spellStart"/>
            <w:r w:rsidRPr="00076FF2">
              <w:rPr>
                <w:sz w:val="20"/>
                <w:szCs w:val="20"/>
              </w:rPr>
              <w:t>pursuit</w:t>
            </w:r>
            <w:proofErr w:type="spellEnd"/>
            <w:r w:rsidRPr="00076FF2">
              <w:rPr>
                <w:sz w:val="20"/>
                <w:szCs w:val="20"/>
              </w:rPr>
              <w:t xml:space="preserve"> of </w:t>
            </w:r>
            <w:proofErr w:type="spellStart"/>
            <w:r w:rsidRPr="00076FF2">
              <w:rPr>
                <w:sz w:val="20"/>
                <w:szCs w:val="20"/>
              </w:rPr>
              <w:t>happiness</w:t>
            </w:r>
            <w:proofErr w:type="spellEnd"/>
            <w:r w:rsidRPr="00076FF2">
              <w:rPr>
                <w:sz w:val="20"/>
                <w:szCs w:val="20"/>
              </w:rPr>
              <w:t>“</w:t>
            </w:r>
            <w:r w:rsidRPr="00076FF2">
              <w:rPr>
                <w:sz w:val="20"/>
                <w:szCs w:val="20"/>
                <w:vertAlign w:val="superscript"/>
              </w:rPr>
              <w:t xml:space="preserve"> </w:t>
            </w:r>
            <w:r w:rsidRPr="00076FF2">
              <w:rPr>
                <w:sz w:val="20"/>
                <w:szCs w:val="20"/>
                <w:vertAlign w:val="superscript"/>
              </w:rPr>
              <w:footnoteReference w:id="1468"/>
            </w:r>
            <w:r w:rsidRPr="00076FF2">
              <w:rPr>
                <w:sz w:val="20"/>
                <w:szCs w:val="20"/>
              </w:rPr>
              <w:t xml:space="preserve">), die sowohl im Bund als auch in </w:t>
            </w:r>
            <w:r>
              <w:rPr>
                <w:sz w:val="20"/>
                <w:szCs w:val="20"/>
              </w:rPr>
              <w:t xml:space="preserve">den </w:t>
            </w:r>
            <w:r w:rsidRPr="00076FF2">
              <w:rPr>
                <w:sz w:val="20"/>
                <w:szCs w:val="20"/>
              </w:rPr>
              <w:t xml:space="preserve">Bundesstaaten gelten. Das übersah der </w:t>
            </w:r>
            <w:r>
              <w:rPr>
                <w:sz w:val="20"/>
                <w:szCs w:val="20"/>
              </w:rPr>
              <w:t>U.S. Supreme Court</w:t>
            </w:r>
            <w:r w:rsidRPr="00076FF2">
              <w:rPr>
                <w:sz w:val="20"/>
                <w:szCs w:val="20"/>
              </w:rPr>
              <w:t xml:space="preserve"> im Fall,</w:t>
            </w:r>
            <w:r w:rsidRPr="00076FF2">
              <w:rPr>
                <w:sz w:val="20"/>
                <w:szCs w:val="20"/>
                <w:vertAlign w:val="superscript"/>
              </w:rPr>
              <w:footnoteReference w:id="1469"/>
            </w:r>
            <w:r w:rsidRPr="00076FF2">
              <w:rPr>
                <w:sz w:val="20"/>
                <w:szCs w:val="20"/>
              </w:rPr>
              <w:t xml:space="preserve"> wo er ein Gesetz (</w:t>
            </w:r>
            <w:proofErr w:type="spellStart"/>
            <w:r w:rsidRPr="5B67C1D2">
              <w:rPr>
                <w:i/>
                <w:iCs/>
                <w:sz w:val="20"/>
                <w:szCs w:val="20"/>
              </w:rPr>
              <w:t>Supplemental</w:t>
            </w:r>
            <w:proofErr w:type="spellEnd"/>
            <w:r w:rsidRPr="5B67C1D2">
              <w:rPr>
                <w:i/>
                <w:iCs/>
                <w:sz w:val="20"/>
                <w:szCs w:val="20"/>
              </w:rPr>
              <w:t xml:space="preserve"> Prohibition Act</w:t>
            </w:r>
            <w:r w:rsidRPr="00076FF2">
              <w:rPr>
                <w:sz w:val="20"/>
                <w:szCs w:val="20"/>
              </w:rPr>
              <w:t>, 42 Stat. 222</w:t>
            </w:r>
            <w:r>
              <w:rPr>
                <w:sz w:val="20"/>
                <w:szCs w:val="20"/>
              </w:rPr>
              <w:t>,</w:t>
            </w:r>
            <w:r w:rsidRPr="00076FF2">
              <w:rPr>
                <w:sz w:val="20"/>
                <w:szCs w:val="20"/>
                <w:vertAlign w:val="superscript"/>
              </w:rPr>
              <w:t xml:space="preserve"> </w:t>
            </w:r>
            <w:r>
              <w:rPr>
                <w:sz w:val="20"/>
                <w:szCs w:val="20"/>
              </w:rPr>
              <w:t>§ </w:t>
            </w:r>
            <w:r w:rsidRPr="00076FF2">
              <w:rPr>
                <w:sz w:val="20"/>
                <w:szCs w:val="20"/>
              </w:rPr>
              <w:t xml:space="preserve">2) für verfassungsgemäß erklärte, </w:t>
            </w:r>
            <w:r>
              <w:rPr>
                <w:sz w:val="20"/>
                <w:szCs w:val="20"/>
              </w:rPr>
              <w:t>welches</w:t>
            </w:r>
            <w:r w:rsidRPr="00076FF2">
              <w:rPr>
                <w:sz w:val="20"/>
                <w:szCs w:val="20"/>
              </w:rPr>
              <w:t xml:space="preserve"> dem </w:t>
            </w:r>
            <w:r w:rsidRPr="5B67C1D2">
              <w:rPr>
                <w:i/>
                <w:iCs/>
                <w:sz w:val="20"/>
                <w:szCs w:val="20"/>
              </w:rPr>
              <w:t>Commissioner of Internal Revenue</w:t>
            </w:r>
            <w:r w:rsidRPr="00076FF2">
              <w:rPr>
                <w:sz w:val="20"/>
                <w:szCs w:val="20"/>
              </w:rPr>
              <w:t xml:space="preserve"> verbot, Ärzten</w:t>
            </w:r>
            <w:r>
              <w:rPr>
                <w:sz w:val="20"/>
                <w:szCs w:val="20"/>
              </w:rPr>
              <w:t xml:space="preserve"> die Verschreibung von</w:t>
            </w:r>
            <w:r w:rsidRPr="00076FF2">
              <w:rPr>
                <w:sz w:val="20"/>
                <w:szCs w:val="20"/>
              </w:rPr>
              <w:t xml:space="preserve"> berauschende</w:t>
            </w:r>
            <w:r>
              <w:rPr>
                <w:sz w:val="20"/>
                <w:szCs w:val="20"/>
              </w:rPr>
              <w:t>n</w:t>
            </w:r>
            <w:r w:rsidRPr="00076FF2">
              <w:rPr>
                <w:sz w:val="20"/>
                <w:szCs w:val="20"/>
              </w:rPr>
              <w:t xml:space="preserve"> Malzliköre</w:t>
            </w:r>
            <w:r>
              <w:rPr>
                <w:sz w:val="20"/>
                <w:szCs w:val="20"/>
              </w:rPr>
              <w:t>n</w:t>
            </w:r>
            <w:r w:rsidRPr="00076FF2">
              <w:rPr>
                <w:sz w:val="20"/>
                <w:szCs w:val="20"/>
              </w:rPr>
              <w:t xml:space="preserve"> zu medizinischen Zwecken zu genehmigen.</w:t>
            </w:r>
            <w:r w:rsidRPr="00076FF2">
              <w:rPr>
                <w:sz w:val="20"/>
                <w:szCs w:val="20"/>
                <w:vertAlign w:val="superscript"/>
              </w:rPr>
              <w:t xml:space="preserve"> </w:t>
            </w:r>
            <w:r w:rsidRPr="00076FF2">
              <w:rPr>
                <w:sz w:val="20"/>
                <w:szCs w:val="20"/>
                <w:vertAlign w:val="superscript"/>
              </w:rPr>
              <w:footnoteReference w:id="1470"/>
            </w:r>
          </w:p>
          <w:p w14:paraId="3363E21A" w14:textId="77777777" w:rsidR="00074551" w:rsidRPr="00E50B51" w:rsidRDefault="00074551" w:rsidP="00367133">
            <w:pPr>
              <w:jc w:val="both"/>
              <w:rPr>
                <w:sz w:val="20"/>
                <w:szCs w:val="20"/>
              </w:rPr>
            </w:pPr>
          </w:p>
        </w:tc>
      </w:tr>
      <w:tr w:rsidR="00074551" w:rsidRPr="00E50B51" w14:paraId="61B22E43" w14:textId="77777777" w:rsidTr="00BE689F">
        <w:trPr>
          <w:cantSplit/>
          <w:trHeight w:val="3175"/>
        </w:trPr>
        <w:tc>
          <w:tcPr>
            <w:tcW w:w="293" w:type="pct"/>
          </w:tcPr>
          <w:p w14:paraId="1F32B533"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75E158E" w14:textId="77777777" w:rsidR="00074551" w:rsidRPr="00E50B51" w:rsidRDefault="00074551" w:rsidP="00367133">
            <w:pPr>
              <w:ind w:left="113" w:right="113"/>
              <w:jc w:val="both"/>
              <w:rPr>
                <w:sz w:val="20"/>
                <w:szCs w:val="20"/>
              </w:rPr>
            </w:pPr>
            <w:r w:rsidRPr="00584023">
              <w:rPr>
                <w:i/>
                <w:sz w:val="20"/>
                <w:szCs w:val="20"/>
              </w:rPr>
              <w:t>Mugler v. Kansas</w:t>
            </w:r>
          </w:p>
        </w:tc>
        <w:tc>
          <w:tcPr>
            <w:tcW w:w="197" w:type="pct"/>
            <w:textDirection w:val="tbRl"/>
            <w:vAlign w:val="center"/>
          </w:tcPr>
          <w:p w14:paraId="6F6DD2FB" w14:textId="77777777" w:rsidR="00074551" w:rsidRPr="00E50B51" w:rsidRDefault="00074551" w:rsidP="00367133">
            <w:pPr>
              <w:ind w:left="113" w:right="113"/>
              <w:jc w:val="both"/>
              <w:rPr>
                <w:sz w:val="20"/>
                <w:szCs w:val="20"/>
              </w:rPr>
            </w:pPr>
            <w:r w:rsidRPr="00E50B51">
              <w:rPr>
                <w:sz w:val="20"/>
                <w:szCs w:val="20"/>
                <w:lang w:val="en-US"/>
              </w:rPr>
              <w:t>123 U.S. 623</w:t>
            </w:r>
          </w:p>
        </w:tc>
        <w:tc>
          <w:tcPr>
            <w:tcW w:w="306" w:type="pct"/>
            <w:textDirection w:val="tbRl"/>
            <w:vAlign w:val="center"/>
          </w:tcPr>
          <w:p w14:paraId="6343E4B0" w14:textId="77777777" w:rsidR="00074551" w:rsidRPr="00E50B51" w:rsidRDefault="00074551" w:rsidP="00367133">
            <w:pPr>
              <w:ind w:left="113" w:right="113"/>
              <w:jc w:val="both"/>
              <w:rPr>
                <w:sz w:val="20"/>
                <w:szCs w:val="20"/>
              </w:rPr>
            </w:pPr>
            <w:r w:rsidRPr="00E50B51">
              <w:rPr>
                <w:sz w:val="20"/>
                <w:szCs w:val="20"/>
              </w:rPr>
              <w:t>5. Dezember 1887</w:t>
            </w:r>
          </w:p>
        </w:tc>
        <w:tc>
          <w:tcPr>
            <w:tcW w:w="401" w:type="pct"/>
          </w:tcPr>
          <w:p w14:paraId="3EA9175E" w14:textId="77777777" w:rsidR="00074551" w:rsidRPr="00E50B51" w:rsidRDefault="00074551" w:rsidP="00367133">
            <w:pPr>
              <w:jc w:val="center"/>
              <w:rPr>
                <w:sz w:val="20"/>
                <w:szCs w:val="20"/>
              </w:rPr>
            </w:pPr>
            <w:r w:rsidRPr="00E50B51">
              <w:rPr>
                <w:sz w:val="20"/>
                <w:szCs w:val="20"/>
              </w:rPr>
              <w:t>S</w:t>
            </w:r>
          </w:p>
        </w:tc>
        <w:tc>
          <w:tcPr>
            <w:tcW w:w="1594" w:type="pct"/>
          </w:tcPr>
          <w:p w14:paraId="77F24C68" w14:textId="77777777" w:rsidR="00074551" w:rsidRPr="00E50B51" w:rsidRDefault="00074551" w:rsidP="00367133">
            <w:pPr>
              <w:jc w:val="both"/>
              <w:rPr>
                <w:sz w:val="20"/>
                <w:szCs w:val="20"/>
              </w:rPr>
            </w:pPr>
            <w:r w:rsidRPr="00E50B51">
              <w:rPr>
                <w:sz w:val="20"/>
                <w:szCs w:val="20"/>
              </w:rPr>
              <w:t>*</w:t>
            </w:r>
          </w:p>
        </w:tc>
        <w:tc>
          <w:tcPr>
            <w:tcW w:w="1822" w:type="pct"/>
          </w:tcPr>
          <w:p w14:paraId="256A3B20" w14:textId="77777777" w:rsidR="00074551" w:rsidRDefault="00074551" w:rsidP="00367133">
            <w:pPr>
              <w:jc w:val="both"/>
              <w:rPr>
                <w:sz w:val="20"/>
                <w:szCs w:val="20"/>
              </w:rPr>
            </w:pPr>
            <w:r w:rsidRPr="00960FEA">
              <w:rPr>
                <w:sz w:val="20"/>
                <w:szCs w:val="20"/>
              </w:rPr>
              <w:t xml:space="preserve">Keine der staatlichen Gewalten darf Kompetenzen ausüben, die die Verfassung einer anderen Gewalt zuweist. Das sei ein grundlegendes Prinzip der Institutionen („fundamental </w:t>
            </w:r>
            <w:proofErr w:type="spellStart"/>
            <w:r w:rsidRPr="00960FEA">
              <w:rPr>
                <w:sz w:val="20"/>
                <w:szCs w:val="20"/>
              </w:rPr>
              <w:t>principle</w:t>
            </w:r>
            <w:proofErr w:type="spellEnd"/>
            <w:r w:rsidRPr="00960FEA">
              <w:rPr>
                <w:sz w:val="20"/>
                <w:szCs w:val="20"/>
              </w:rPr>
              <w:t xml:space="preserve"> in </w:t>
            </w:r>
            <w:proofErr w:type="spellStart"/>
            <w:r w:rsidRPr="00960FEA">
              <w:rPr>
                <w:sz w:val="20"/>
                <w:szCs w:val="20"/>
              </w:rPr>
              <w:t>our</w:t>
            </w:r>
            <w:proofErr w:type="spellEnd"/>
            <w:r w:rsidRPr="00960FEA">
              <w:rPr>
                <w:sz w:val="20"/>
                <w:szCs w:val="20"/>
              </w:rPr>
              <w:t xml:space="preserve"> </w:t>
            </w:r>
            <w:proofErr w:type="spellStart"/>
            <w:r w:rsidRPr="00960FEA">
              <w:rPr>
                <w:sz w:val="20"/>
                <w:szCs w:val="20"/>
              </w:rPr>
              <w:t>institutions</w:t>
            </w:r>
            <w:proofErr w:type="spellEnd"/>
            <w:r w:rsidRPr="00960FEA">
              <w:rPr>
                <w:sz w:val="20"/>
                <w:szCs w:val="20"/>
              </w:rPr>
              <w:t>“</w:t>
            </w:r>
            <w:r w:rsidRPr="00960FEA">
              <w:rPr>
                <w:sz w:val="20"/>
                <w:szCs w:val="20"/>
                <w:vertAlign w:val="superscript"/>
              </w:rPr>
              <w:footnoteReference w:id="1471"/>
            </w:r>
            <w:r w:rsidRPr="00960FEA">
              <w:rPr>
                <w:sz w:val="20"/>
                <w:szCs w:val="20"/>
              </w:rPr>
              <w:t xml:space="preserve">). Es sei unerlässlich für die öffentliche Freiheit („indispensable to the </w:t>
            </w:r>
            <w:proofErr w:type="spellStart"/>
            <w:r w:rsidRPr="00960FEA">
              <w:rPr>
                <w:sz w:val="20"/>
                <w:szCs w:val="20"/>
              </w:rPr>
              <w:t>preservation</w:t>
            </w:r>
            <w:proofErr w:type="spellEnd"/>
            <w:r w:rsidRPr="00960FEA">
              <w:rPr>
                <w:sz w:val="20"/>
                <w:szCs w:val="20"/>
              </w:rPr>
              <w:t xml:space="preserve"> of </w:t>
            </w:r>
            <w:proofErr w:type="spellStart"/>
            <w:r w:rsidRPr="00960FEA">
              <w:rPr>
                <w:sz w:val="20"/>
                <w:szCs w:val="20"/>
              </w:rPr>
              <w:t>public</w:t>
            </w:r>
            <w:proofErr w:type="spellEnd"/>
            <w:r w:rsidRPr="00960FEA">
              <w:rPr>
                <w:sz w:val="20"/>
                <w:szCs w:val="20"/>
              </w:rPr>
              <w:t xml:space="preserve"> </w:t>
            </w:r>
            <w:proofErr w:type="spellStart"/>
            <w:r w:rsidRPr="00960FEA">
              <w:rPr>
                <w:sz w:val="20"/>
                <w:szCs w:val="20"/>
              </w:rPr>
              <w:t>liberty</w:t>
            </w:r>
            <w:proofErr w:type="spellEnd"/>
            <w:r w:rsidRPr="00960FEA">
              <w:rPr>
                <w:sz w:val="20"/>
                <w:szCs w:val="20"/>
              </w:rPr>
              <w:t>“</w:t>
            </w:r>
            <w:r w:rsidRPr="00960FEA">
              <w:rPr>
                <w:sz w:val="20"/>
                <w:szCs w:val="20"/>
                <w:vertAlign w:val="superscript"/>
              </w:rPr>
              <w:footnoteReference w:id="1472"/>
            </w:r>
            <w:r w:rsidRPr="00960FEA">
              <w:rPr>
                <w:sz w:val="20"/>
                <w:szCs w:val="20"/>
              </w:rPr>
              <w:t xml:space="preserve">). Doch was heißt das genau? Zum Beispiel </w:t>
            </w:r>
            <w:r>
              <w:rPr>
                <w:sz w:val="20"/>
                <w:szCs w:val="20"/>
              </w:rPr>
              <w:t>dies: W</w:t>
            </w:r>
            <w:r w:rsidRPr="00960FEA">
              <w:rPr>
                <w:sz w:val="20"/>
                <w:szCs w:val="20"/>
              </w:rPr>
              <w:t>enn der Gesetzgeber die Herstellung bestimmter Getränke verbieten will, um die öffentliche Ordnung zu fördern („</w:t>
            </w:r>
            <w:proofErr w:type="spellStart"/>
            <w:r w:rsidRPr="00960FEA">
              <w:rPr>
                <w:sz w:val="20"/>
                <w:szCs w:val="20"/>
              </w:rPr>
              <w:t>guard</w:t>
            </w:r>
            <w:proofErr w:type="spellEnd"/>
            <w:r w:rsidRPr="00960FEA">
              <w:rPr>
                <w:sz w:val="20"/>
                <w:szCs w:val="20"/>
              </w:rPr>
              <w:t xml:space="preserve"> the </w:t>
            </w:r>
            <w:proofErr w:type="spellStart"/>
            <w:r w:rsidRPr="00960FEA">
              <w:rPr>
                <w:sz w:val="20"/>
                <w:szCs w:val="20"/>
              </w:rPr>
              <w:t>community</w:t>
            </w:r>
            <w:proofErr w:type="spellEnd"/>
            <w:r w:rsidRPr="00960FEA">
              <w:rPr>
                <w:sz w:val="20"/>
                <w:szCs w:val="20"/>
              </w:rPr>
              <w:t>“</w:t>
            </w:r>
            <w:r w:rsidRPr="00960FEA">
              <w:rPr>
                <w:sz w:val="20"/>
                <w:szCs w:val="20"/>
                <w:vertAlign w:val="superscript"/>
              </w:rPr>
              <w:footnoteReference w:id="1473"/>
            </w:r>
            <w:r w:rsidRPr="00960FEA">
              <w:rPr>
                <w:sz w:val="20"/>
                <w:szCs w:val="20"/>
              </w:rPr>
              <w:t xml:space="preserve">), dann kann die Judikative ihre Rechtsansicht, ob dieses Verbot ein taugliches sei, nicht unmittelbar an die Stelle des Gesetzgebers rücken. Denn dies sei die Kompetenz der Legislative („legislative </w:t>
            </w:r>
            <w:proofErr w:type="spellStart"/>
            <w:r w:rsidRPr="00960FEA">
              <w:rPr>
                <w:sz w:val="20"/>
                <w:szCs w:val="20"/>
              </w:rPr>
              <w:t>determination</w:t>
            </w:r>
            <w:proofErr w:type="spellEnd"/>
            <w:r w:rsidRPr="00960FEA">
              <w:rPr>
                <w:sz w:val="20"/>
                <w:szCs w:val="20"/>
              </w:rPr>
              <w:t xml:space="preserve"> of </w:t>
            </w:r>
            <w:proofErr w:type="spellStart"/>
            <w:r w:rsidRPr="00960FEA">
              <w:rPr>
                <w:sz w:val="20"/>
                <w:szCs w:val="20"/>
              </w:rPr>
              <w:t>that</w:t>
            </w:r>
            <w:proofErr w:type="spellEnd"/>
            <w:r w:rsidRPr="00960FEA">
              <w:rPr>
                <w:sz w:val="20"/>
                <w:szCs w:val="20"/>
              </w:rPr>
              <w:t xml:space="preserve"> </w:t>
            </w:r>
            <w:proofErr w:type="spellStart"/>
            <w:r w:rsidRPr="00960FEA">
              <w:rPr>
                <w:sz w:val="20"/>
                <w:szCs w:val="20"/>
              </w:rPr>
              <w:t>question</w:t>
            </w:r>
            <w:proofErr w:type="spellEnd"/>
            <w:r w:rsidRPr="00960FEA">
              <w:rPr>
                <w:sz w:val="20"/>
                <w:szCs w:val="20"/>
              </w:rPr>
              <w:t>“</w:t>
            </w:r>
            <w:r w:rsidRPr="00960FEA">
              <w:rPr>
                <w:sz w:val="20"/>
                <w:szCs w:val="20"/>
                <w:vertAlign w:val="superscript"/>
              </w:rPr>
              <w:footnoteReference w:id="1474"/>
            </w:r>
            <w:r w:rsidRPr="00960FEA">
              <w:rPr>
                <w:sz w:val="20"/>
                <w:szCs w:val="20"/>
              </w:rPr>
              <w:t>). Bei der Gewaltenteil</w:t>
            </w:r>
            <w:r>
              <w:rPr>
                <w:sz w:val="20"/>
                <w:szCs w:val="20"/>
              </w:rPr>
              <w:t>ung</w:t>
            </w:r>
            <w:r w:rsidRPr="00960FEA">
              <w:rPr>
                <w:sz w:val="20"/>
                <w:szCs w:val="20"/>
              </w:rPr>
              <w:t xml:space="preserve"> gibt es jedoch Grenzen. Die ergeben sich vor allem aus den Rechten, die der Staatsbürgerschaft und den Bedingungen für Glücksstreben inhärent sind. Im Fall ist das bloße Recht, Alkohol herzustellen, nicht der Staatsbürgerschaft inhärent („Such a </w:t>
            </w:r>
            <w:proofErr w:type="spellStart"/>
            <w:r w:rsidRPr="00960FEA">
              <w:rPr>
                <w:sz w:val="20"/>
                <w:szCs w:val="20"/>
              </w:rPr>
              <w:t>right</w:t>
            </w:r>
            <w:proofErr w:type="spellEnd"/>
            <w:r w:rsidRPr="00960FEA">
              <w:rPr>
                <w:sz w:val="20"/>
                <w:szCs w:val="20"/>
              </w:rPr>
              <w:t xml:space="preserve"> </w:t>
            </w:r>
            <w:proofErr w:type="spellStart"/>
            <w:r w:rsidRPr="00960FEA">
              <w:rPr>
                <w:sz w:val="20"/>
                <w:szCs w:val="20"/>
              </w:rPr>
              <w:t>does</w:t>
            </w:r>
            <w:proofErr w:type="spellEnd"/>
            <w:r w:rsidRPr="00960FEA">
              <w:rPr>
                <w:sz w:val="20"/>
                <w:szCs w:val="20"/>
              </w:rPr>
              <w:t xml:space="preserve"> not </w:t>
            </w:r>
            <w:proofErr w:type="spellStart"/>
            <w:r w:rsidRPr="00960FEA">
              <w:rPr>
                <w:sz w:val="20"/>
                <w:szCs w:val="20"/>
              </w:rPr>
              <w:t>inhere</w:t>
            </w:r>
            <w:proofErr w:type="spellEnd"/>
            <w:r w:rsidRPr="00960FEA">
              <w:rPr>
                <w:sz w:val="20"/>
                <w:szCs w:val="20"/>
              </w:rPr>
              <w:t xml:space="preserve"> in </w:t>
            </w:r>
            <w:proofErr w:type="spellStart"/>
            <w:r w:rsidRPr="00960FEA">
              <w:rPr>
                <w:sz w:val="20"/>
                <w:szCs w:val="20"/>
              </w:rPr>
              <w:t>citizenship</w:t>
            </w:r>
            <w:proofErr w:type="spellEnd"/>
            <w:r w:rsidRPr="00960FEA">
              <w:rPr>
                <w:sz w:val="20"/>
                <w:szCs w:val="20"/>
              </w:rPr>
              <w:t>.“</w:t>
            </w:r>
            <w:r w:rsidRPr="00960FEA">
              <w:rPr>
                <w:sz w:val="20"/>
                <w:szCs w:val="20"/>
                <w:vertAlign w:val="superscript"/>
              </w:rPr>
              <w:footnoteReference w:id="1475"/>
            </w:r>
            <w:r w:rsidRPr="00960FEA">
              <w:rPr>
                <w:sz w:val="20"/>
                <w:szCs w:val="20"/>
              </w:rPr>
              <w:t>). Damit könne die Legislative zugunsten des Allgemeinwohls („</w:t>
            </w:r>
            <w:proofErr w:type="spellStart"/>
            <w:r w:rsidRPr="00960FEA">
              <w:rPr>
                <w:sz w:val="20"/>
                <w:szCs w:val="20"/>
              </w:rPr>
              <w:t>general</w:t>
            </w:r>
            <w:proofErr w:type="spellEnd"/>
            <w:r w:rsidRPr="00960FEA">
              <w:rPr>
                <w:sz w:val="20"/>
                <w:szCs w:val="20"/>
              </w:rPr>
              <w:t xml:space="preserve"> </w:t>
            </w:r>
            <w:proofErr w:type="spellStart"/>
            <w:r w:rsidRPr="00960FEA">
              <w:rPr>
                <w:sz w:val="20"/>
                <w:szCs w:val="20"/>
              </w:rPr>
              <w:t>welfare</w:t>
            </w:r>
            <w:proofErr w:type="spellEnd"/>
            <w:r w:rsidRPr="00960FEA">
              <w:rPr>
                <w:sz w:val="20"/>
                <w:szCs w:val="20"/>
              </w:rPr>
              <w:t>“</w:t>
            </w:r>
            <w:r w:rsidRPr="00960FEA">
              <w:rPr>
                <w:sz w:val="20"/>
                <w:szCs w:val="20"/>
                <w:vertAlign w:val="superscript"/>
              </w:rPr>
              <w:footnoteReference w:id="1476"/>
            </w:r>
            <w:r w:rsidRPr="00960FEA">
              <w:rPr>
                <w:sz w:val="20"/>
                <w:szCs w:val="20"/>
              </w:rPr>
              <w:t>)</w:t>
            </w:r>
            <w:r>
              <w:rPr>
                <w:sz w:val="20"/>
                <w:szCs w:val="20"/>
              </w:rPr>
              <w:t xml:space="preserve"> </w:t>
            </w:r>
            <w:r w:rsidRPr="00960FEA">
              <w:rPr>
                <w:sz w:val="20"/>
                <w:szCs w:val="20"/>
              </w:rPr>
              <w:t>dieses auch verbieten, ohne einer strengen, judikativen Kontrolle zu unterliegen. Der Klägervortrag fasst anhand zweier Prüfungsfragen zusammen, wann ein Gesetz verfassungswidrig sei: Entzieht das Gesetz unveräußerliche Rechte, welche sich daran bemessen, ob sie Glücksstreben bedingen („</w:t>
            </w:r>
            <w:proofErr w:type="spellStart"/>
            <w:r w:rsidRPr="00960FEA">
              <w:rPr>
                <w:sz w:val="20"/>
                <w:szCs w:val="20"/>
              </w:rPr>
              <w:t>certain</w:t>
            </w:r>
            <w:proofErr w:type="spellEnd"/>
            <w:r w:rsidRPr="00960FEA">
              <w:rPr>
                <w:sz w:val="20"/>
                <w:szCs w:val="20"/>
              </w:rPr>
              <w:t xml:space="preserve"> </w:t>
            </w:r>
            <w:proofErr w:type="spellStart"/>
            <w:r w:rsidRPr="00960FEA">
              <w:rPr>
                <w:sz w:val="20"/>
                <w:szCs w:val="20"/>
              </w:rPr>
              <w:t>natural</w:t>
            </w:r>
            <w:proofErr w:type="spellEnd"/>
            <w:r w:rsidRPr="00960FEA">
              <w:rPr>
                <w:sz w:val="20"/>
                <w:szCs w:val="20"/>
              </w:rPr>
              <w:t xml:space="preserve"> </w:t>
            </w:r>
            <w:proofErr w:type="spellStart"/>
            <w:r w:rsidRPr="00960FEA">
              <w:rPr>
                <w:sz w:val="20"/>
                <w:szCs w:val="20"/>
              </w:rPr>
              <w:t>rights</w:t>
            </w:r>
            <w:proofErr w:type="spellEnd"/>
            <w:r w:rsidRPr="00960FEA">
              <w:rPr>
                <w:sz w:val="20"/>
                <w:szCs w:val="20"/>
              </w:rPr>
              <w:t xml:space="preserve"> not </w:t>
            </w:r>
            <w:proofErr w:type="spellStart"/>
            <w:r w:rsidRPr="00960FEA">
              <w:rPr>
                <w:sz w:val="20"/>
                <w:szCs w:val="20"/>
              </w:rPr>
              <w:t>surrendered</w:t>
            </w:r>
            <w:proofErr w:type="spellEnd"/>
            <w:r w:rsidRPr="00960FEA">
              <w:rPr>
                <w:sz w:val="20"/>
                <w:szCs w:val="20"/>
              </w:rPr>
              <w:t xml:space="preserve"> to </w:t>
            </w:r>
            <w:proofErr w:type="spellStart"/>
            <w:r w:rsidRPr="00960FEA">
              <w:rPr>
                <w:sz w:val="20"/>
                <w:szCs w:val="20"/>
              </w:rPr>
              <w:t>society</w:t>
            </w:r>
            <w:proofErr w:type="spellEnd"/>
            <w:r w:rsidRPr="00960FEA">
              <w:rPr>
                <w:sz w:val="20"/>
                <w:szCs w:val="20"/>
              </w:rPr>
              <w:t xml:space="preserve">, but </w:t>
            </w:r>
            <w:proofErr w:type="spellStart"/>
            <w:r w:rsidRPr="00960FEA">
              <w:rPr>
                <w:sz w:val="20"/>
                <w:szCs w:val="20"/>
              </w:rPr>
              <w:t>reserved</w:t>
            </w:r>
            <w:proofErr w:type="spellEnd"/>
            <w:r w:rsidRPr="00960FEA">
              <w:rPr>
                <w:sz w:val="20"/>
                <w:szCs w:val="20"/>
              </w:rPr>
              <w:t xml:space="preserve"> to </w:t>
            </w:r>
            <w:proofErr w:type="spellStart"/>
            <w:r w:rsidRPr="00960FEA">
              <w:rPr>
                <w:sz w:val="20"/>
                <w:szCs w:val="20"/>
              </w:rPr>
              <w:t>himself</w:t>
            </w:r>
            <w:proofErr w:type="spellEnd"/>
            <w:r w:rsidRPr="00960FEA">
              <w:rPr>
                <w:sz w:val="20"/>
                <w:szCs w:val="20"/>
              </w:rPr>
              <w:t xml:space="preserve"> and </w:t>
            </w:r>
            <w:proofErr w:type="spellStart"/>
            <w:r w:rsidRPr="00960FEA">
              <w:rPr>
                <w:sz w:val="20"/>
                <w:szCs w:val="20"/>
              </w:rPr>
              <w:t>necessary</w:t>
            </w:r>
            <w:proofErr w:type="spellEnd"/>
            <w:r w:rsidRPr="00960FEA">
              <w:rPr>
                <w:sz w:val="20"/>
                <w:szCs w:val="20"/>
              </w:rPr>
              <w:t xml:space="preserve"> to </w:t>
            </w:r>
            <w:proofErr w:type="spellStart"/>
            <w:r w:rsidRPr="00960FEA">
              <w:rPr>
                <w:sz w:val="20"/>
                <w:szCs w:val="20"/>
              </w:rPr>
              <w:t>his</w:t>
            </w:r>
            <w:proofErr w:type="spellEnd"/>
            <w:r w:rsidRPr="00960FEA">
              <w:rPr>
                <w:sz w:val="20"/>
                <w:szCs w:val="20"/>
              </w:rPr>
              <w:t xml:space="preserve"> </w:t>
            </w:r>
            <w:proofErr w:type="spellStart"/>
            <w:r w:rsidRPr="00960FEA">
              <w:rPr>
                <w:sz w:val="20"/>
                <w:szCs w:val="20"/>
              </w:rPr>
              <w:t>pursuit</w:t>
            </w:r>
            <w:proofErr w:type="spellEnd"/>
            <w:r w:rsidRPr="00960FEA">
              <w:rPr>
                <w:sz w:val="20"/>
                <w:szCs w:val="20"/>
              </w:rPr>
              <w:t xml:space="preserve"> of </w:t>
            </w:r>
            <w:proofErr w:type="spellStart"/>
            <w:r w:rsidRPr="00960FEA">
              <w:rPr>
                <w:sz w:val="20"/>
                <w:szCs w:val="20"/>
              </w:rPr>
              <w:t>happiness</w:t>
            </w:r>
            <w:proofErr w:type="spellEnd"/>
            <w:r w:rsidRPr="00960FEA">
              <w:rPr>
                <w:sz w:val="20"/>
                <w:szCs w:val="20"/>
              </w:rPr>
              <w:t xml:space="preserve">, and </w:t>
            </w:r>
            <w:proofErr w:type="spellStart"/>
            <w:r w:rsidRPr="00960FEA">
              <w:rPr>
                <w:sz w:val="20"/>
                <w:szCs w:val="20"/>
              </w:rPr>
              <w:t>which</w:t>
            </w:r>
            <w:proofErr w:type="spellEnd"/>
            <w:r w:rsidRPr="00960FEA">
              <w:rPr>
                <w:sz w:val="20"/>
                <w:szCs w:val="20"/>
              </w:rPr>
              <w:t xml:space="preserve"> the </w:t>
            </w:r>
            <w:proofErr w:type="spellStart"/>
            <w:r w:rsidRPr="00960FEA">
              <w:rPr>
                <w:sz w:val="20"/>
                <w:szCs w:val="20"/>
              </w:rPr>
              <w:t>law</w:t>
            </w:r>
            <w:proofErr w:type="spellEnd"/>
            <w:r w:rsidRPr="00960FEA">
              <w:rPr>
                <w:sz w:val="20"/>
                <w:szCs w:val="20"/>
              </w:rPr>
              <w:t xml:space="preserve"> </w:t>
            </w:r>
            <w:proofErr w:type="spellStart"/>
            <w:r w:rsidRPr="00960FEA">
              <w:rPr>
                <w:sz w:val="20"/>
                <w:szCs w:val="20"/>
              </w:rPr>
              <w:t>cannot</w:t>
            </w:r>
            <w:proofErr w:type="spellEnd"/>
            <w:r w:rsidRPr="00960FEA">
              <w:rPr>
                <w:sz w:val="20"/>
                <w:szCs w:val="20"/>
              </w:rPr>
              <w:t xml:space="preserve"> </w:t>
            </w:r>
            <w:proofErr w:type="spellStart"/>
            <w:r w:rsidRPr="00960FEA">
              <w:rPr>
                <w:sz w:val="20"/>
                <w:szCs w:val="20"/>
              </w:rPr>
              <w:t>take</w:t>
            </w:r>
            <w:proofErr w:type="spellEnd"/>
            <w:r w:rsidRPr="00960FEA">
              <w:rPr>
                <w:sz w:val="20"/>
                <w:szCs w:val="20"/>
              </w:rPr>
              <w:t xml:space="preserve"> </w:t>
            </w:r>
            <w:proofErr w:type="spellStart"/>
            <w:r w:rsidRPr="00960FEA">
              <w:rPr>
                <w:sz w:val="20"/>
                <w:szCs w:val="20"/>
              </w:rPr>
              <w:t>away</w:t>
            </w:r>
            <w:proofErr w:type="spellEnd"/>
            <w:r w:rsidRPr="00960FEA">
              <w:rPr>
                <w:sz w:val="20"/>
                <w:szCs w:val="20"/>
              </w:rPr>
              <w:t>“</w:t>
            </w:r>
            <w:r w:rsidRPr="00960FEA">
              <w:rPr>
                <w:sz w:val="20"/>
                <w:szCs w:val="20"/>
                <w:vertAlign w:val="superscript"/>
              </w:rPr>
              <w:t xml:space="preserve"> </w:t>
            </w:r>
            <w:r w:rsidRPr="00960FEA">
              <w:rPr>
                <w:sz w:val="20"/>
                <w:szCs w:val="20"/>
                <w:vertAlign w:val="superscript"/>
              </w:rPr>
              <w:footnoteReference w:id="1477"/>
            </w:r>
            <w:r w:rsidRPr="00960FEA">
              <w:rPr>
                <w:sz w:val="20"/>
                <w:szCs w:val="20"/>
              </w:rPr>
              <w:t xml:space="preserve">)? Und wenn ja, hält die Rechtsgrundlage dabei ein rechtsstaatliches Verfahren ein („due </w:t>
            </w:r>
            <w:proofErr w:type="spellStart"/>
            <w:r w:rsidRPr="00960FEA">
              <w:rPr>
                <w:sz w:val="20"/>
                <w:szCs w:val="20"/>
              </w:rPr>
              <w:t>process</w:t>
            </w:r>
            <w:proofErr w:type="spellEnd"/>
            <w:r w:rsidRPr="00960FEA">
              <w:rPr>
                <w:sz w:val="20"/>
                <w:szCs w:val="20"/>
              </w:rPr>
              <w:t xml:space="preserve"> of </w:t>
            </w:r>
            <w:proofErr w:type="spellStart"/>
            <w:r w:rsidRPr="00960FEA">
              <w:rPr>
                <w:sz w:val="20"/>
                <w:szCs w:val="20"/>
              </w:rPr>
              <w:t>law</w:t>
            </w:r>
            <w:proofErr w:type="spellEnd"/>
            <w:r w:rsidRPr="00960FEA">
              <w:rPr>
                <w:sz w:val="20"/>
                <w:szCs w:val="20"/>
              </w:rPr>
              <w:t>“</w:t>
            </w:r>
            <w:r w:rsidRPr="00960FEA">
              <w:rPr>
                <w:sz w:val="20"/>
                <w:szCs w:val="20"/>
                <w:vertAlign w:val="superscript"/>
              </w:rPr>
              <w:footnoteReference w:id="1478"/>
            </w:r>
            <w:r w:rsidRPr="00960FEA">
              <w:rPr>
                <w:sz w:val="20"/>
                <w:szCs w:val="20"/>
              </w:rPr>
              <w:t xml:space="preserve">) – falls nicht, dann sei das Gesetz verfassungswidrig (hier </w:t>
            </w:r>
            <w:r>
              <w:rPr>
                <w:sz w:val="20"/>
                <w:szCs w:val="20"/>
              </w:rPr>
              <w:t>z.B.</w:t>
            </w:r>
            <w:r w:rsidRPr="00960FEA">
              <w:rPr>
                <w:sz w:val="20"/>
                <w:szCs w:val="20"/>
              </w:rPr>
              <w:t xml:space="preserve"> „the </w:t>
            </w:r>
            <w:proofErr w:type="spellStart"/>
            <w:r w:rsidRPr="00960FEA">
              <w:rPr>
                <w:sz w:val="20"/>
                <w:szCs w:val="20"/>
              </w:rPr>
              <w:t>statute</w:t>
            </w:r>
            <w:proofErr w:type="spellEnd"/>
            <w:r w:rsidRPr="00960FEA">
              <w:rPr>
                <w:sz w:val="20"/>
                <w:szCs w:val="20"/>
              </w:rPr>
              <w:t xml:space="preserve"> of Kansas </w:t>
            </w:r>
            <w:proofErr w:type="spellStart"/>
            <w:r w:rsidRPr="00960FEA">
              <w:rPr>
                <w:sz w:val="20"/>
                <w:szCs w:val="20"/>
              </w:rPr>
              <w:t>now</w:t>
            </w:r>
            <w:proofErr w:type="spellEnd"/>
            <w:r w:rsidRPr="00960FEA">
              <w:rPr>
                <w:sz w:val="20"/>
                <w:szCs w:val="20"/>
              </w:rPr>
              <w:t xml:space="preserve"> in </w:t>
            </w:r>
            <w:proofErr w:type="spellStart"/>
            <w:r w:rsidRPr="00960FEA">
              <w:rPr>
                <w:sz w:val="20"/>
                <w:szCs w:val="20"/>
              </w:rPr>
              <w:t>question</w:t>
            </w:r>
            <w:proofErr w:type="spellEnd"/>
            <w:r w:rsidRPr="00960FEA">
              <w:rPr>
                <w:sz w:val="20"/>
                <w:szCs w:val="20"/>
              </w:rPr>
              <w:t xml:space="preserve"> </w:t>
            </w:r>
            <w:proofErr w:type="spellStart"/>
            <w:r w:rsidRPr="00960FEA">
              <w:rPr>
                <w:sz w:val="20"/>
                <w:szCs w:val="20"/>
              </w:rPr>
              <w:t>is</w:t>
            </w:r>
            <w:proofErr w:type="spellEnd"/>
            <w:r w:rsidRPr="00960FEA">
              <w:rPr>
                <w:sz w:val="20"/>
                <w:szCs w:val="20"/>
              </w:rPr>
              <w:t xml:space="preserve"> </w:t>
            </w:r>
            <w:proofErr w:type="gramStart"/>
            <w:r w:rsidRPr="00960FEA">
              <w:rPr>
                <w:sz w:val="20"/>
                <w:szCs w:val="20"/>
              </w:rPr>
              <w:t xml:space="preserve">not </w:t>
            </w:r>
            <w:r>
              <w:rPr>
                <w:sz w:val="20"/>
                <w:szCs w:val="20"/>
              </w:rPr>
              <w:t>,</w:t>
            </w:r>
            <w:r w:rsidRPr="00960FEA">
              <w:rPr>
                <w:sz w:val="20"/>
                <w:szCs w:val="20"/>
              </w:rPr>
              <w:t>due</w:t>
            </w:r>
            <w:proofErr w:type="gramEnd"/>
            <w:r w:rsidRPr="00960FEA">
              <w:rPr>
                <w:sz w:val="20"/>
                <w:szCs w:val="20"/>
              </w:rPr>
              <w:t xml:space="preserve"> </w:t>
            </w:r>
            <w:proofErr w:type="spellStart"/>
            <w:r w:rsidRPr="00960FEA">
              <w:rPr>
                <w:sz w:val="20"/>
                <w:szCs w:val="20"/>
              </w:rPr>
              <w:t>process</w:t>
            </w:r>
            <w:proofErr w:type="spellEnd"/>
            <w:r w:rsidRPr="00960FEA">
              <w:rPr>
                <w:sz w:val="20"/>
                <w:szCs w:val="20"/>
              </w:rPr>
              <w:t xml:space="preserve"> of </w:t>
            </w:r>
            <w:proofErr w:type="spellStart"/>
            <w:r w:rsidRPr="00960FEA">
              <w:rPr>
                <w:sz w:val="20"/>
                <w:szCs w:val="20"/>
              </w:rPr>
              <w:t>law</w:t>
            </w:r>
            <w:proofErr w:type="spellEnd"/>
            <w:r w:rsidRPr="00960FEA">
              <w:rPr>
                <w:sz w:val="20"/>
                <w:szCs w:val="20"/>
              </w:rPr>
              <w:t>‘“</w:t>
            </w:r>
            <w:r w:rsidRPr="00960FEA">
              <w:rPr>
                <w:sz w:val="20"/>
                <w:szCs w:val="20"/>
                <w:vertAlign w:val="superscript"/>
              </w:rPr>
              <w:footnoteReference w:id="1479"/>
            </w:r>
            <w:r w:rsidRPr="00960FEA">
              <w:rPr>
                <w:sz w:val="20"/>
                <w:szCs w:val="20"/>
              </w:rPr>
              <w:t>).</w:t>
            </w:r>
          </w:p>
          <w:p w14:paraId="776B1283" w14:textId="77777777" w:rsidR="00074551" w:rsidRPr="00E50B51" w:rsidRDefault="00074551" w:rsidP="00367133">
            <w:pPr>
              <w:jc w:val="both"/>
              <w:rPr>
                <w:sz w:val="20"/>
                <w:szCs w:val="20"/>
              </w:rPr>
            </w:pPr>
          </w:p>
        </w:tc>
      </w:tr>
      <w:tr w:rsidR="00074551" w:rsidRPr="00E50B51" w14:paraId="0773B4C4" w14:textId="77777777" w:rsidTr="00BE689F">
        <w:trPr>
          <w:cantSplit/>
          <w:trHeight w:val="3175"/>
        </w:trPr>
        <w:tc>
          <w:tcPr>
            <w:tcW w:w="293" w:type="pct"/>
          </w:tcPr>
          <w:p w14:paraId="0BA5B827"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6F9674A6" w14:textId="77777777" w:rsidR="00074551" w:rsidRPr="00E50B51" w:rsidRDefault="00074551" w:rsidP="00367133">
            <w:pPr>
              <w:ind w:left="113" w:right="416"/>
              <w:jc w:val="both"/>
              <w:rPr>
                <w:sz w:val="20"/>
                <w:szCs w:val="20"/>
              </w:rPr>
            </w:pPr>
            <w:r w:rsidRPr="009167A5">
              <w:rPr>
                <w:i/>
                <w:sz w:val="20"/>
                <w:szCs w:val="20"/>
                <w:lang w:eastAsia="de-DE"/>
              </w:rPr>
              <w:t>Obergefell v. Hodges</w:t>
            </w:r>
          </w:p>
        </w:tc>
        <w:tc>
          <w:tcPr>
            <w:tcW w:w="197" w:type="pct"/>
            <w:textDirection w:val="tbRl"/>
            <w:vAlign w:val="center"/>
          </w:tcPr>
          <w:p w14:paraId="7A060541" w14:textId="77777777" w:rsidR="00074551" w:rsidRPr="00E50B51" w:rsidRDefault="00074551" w:rsidP="00367133">
            <w:pPr>
              <w:ind w:left="113" w:right="113"/>
              <w:jc w:val="both"/>
              <w:rPr>
                <w:sz w:val="20"/>
                <w:szCs w:val="20"/>
              </w:rPr>
            </w:pPr>
            <w:r w:rsidRPr="00E50B51">
              <w:rPr>
                <w:sz w:val="20"/>
                <w:szCs w:val="20"/>
                <w:lang w:val="en-US"/>
              </w:rPr>
              <w:t>576 U.S. 644</w:t>
            </w:r>
          </w:p>
        </w:tc>
        <w:tc>
          <w:tcPr>
            <w:tcW w:w="306" w:type="pct"/>
            <w:textDirection w:val="tbRl"/>
            <w:vAlign w:val="center"/>
          </w:tcPr>
          <w:p w14:paraId="54047FAE" w14:textId="77777777" w:rsidR="00074551" w:rsidRPr="00E50B51" w:rsidRDefault="00074551" w:rsidP="00367133">
            <w:pPr>
              <w:ind w:left="113" w:right="113"/>
              <w:jc w:val="both"/>
              <w:rPr>
                <w:sz w:val="20"/>
                <w:szCs w:val="20"/>
              </w:rPr>
            </w:pPr>
            <w:r w:rsidRPr="00E50B51">
              <w:rPr>
                <w:sz w:val="20"/>
                <w:szCs w:val="20"/>
              </w:rPr>
              <w:t>26. Januar 2015</w:t>
            </w:r>
          </w:p>
        </w:tc>
        <w:tc>
          <w:tcPr>
            <w:tcW w:w="401" w:type="pct"/>
          </w:tcPr>
          <w:p w14:paraId="4BA313CC" w14:textId="77777777" w:rsidR="00074551" w:rsidRPr="00E50B51" w:rsidRDefault="00074551" w:rsidP="00367133">
            <w:pPr>
              <w:jc w:val="center"/>
              <w:rPr>
                <w:sz w:val="20"/>
                <w:szCs w:val="20"/>
              </w:rPr>
            </w:pPr>
            <w:r w:rsidRPr="00E50B51">
              <w:rPr>
                <w:sz w:val="20"/>
                <w:szCs w:val="20"/>
              </w:rPr>
              <w:t>M</w:t>
            </w:r>
          </w:p>
        </w:tc>
        <w:tc>
          <w:tcPr>
            <w:tcW w:w="1594" w:type="pct"/>
          </w:tcPr>
          <w:p w14:paraId="4A3B4DEE" w14:textId="77777777" w:rsidR="00074551" w:rsidRPr="00E50B51" w:rsidRDefault="00074551" w:rsidP="00367133">
            <w:pPr>
              <w:jc w:val="both"/>
              <w:rPr>
                <w:sz w:val="20"/>
                <w:szCs w:val="20"/>
              </w:rPr>
            </w:pPr>
            <w:r w:rsidRPr="00E50B51">
              <w:rPr>
                <w:sz w:val="20"/>
                <w:szCs w:val="20"/>
              </w:rPr>
              <w:t>*</w:t>
            </w:r>
          </w:p>
        </w:tc>
        <w:tc>
          <w:tcPr>
            <w:tcW w:w="1822" w:type="pct"/>
          </w:tcPr>
          <w:p w14:paraId="60296E9D" w14:textId="77777777" w:rsidR="00074551" w:rsidRPr="00821732" w:rsidRDefault="00074551" w:rsidP="00367133">
            <w:pPr>
              <w:jc w:val="both"/>
              <w:rPr>
                <w:sz w:val="20"/>
                <w:szCs w:val="20"/>
              </w:rPr>
            </w:pPr>
            <w:r>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821732">
              <w:rPr>
                <w:sz w:val="20"/>
                <w:szCs w:val="20"/>
              </w:rPr>
              <w:t xml:space="preserve"> bespricht, an was sich Gerichte im Gewaltengefüge halten müssen, um Doktrin zu entdecken („</w:t>
            </w:r>
            <w:proofErr w:type="spellStart"/>
            <w:r w:rsidRPr="00821732">
              <w:rPr>
                <w:sz w:val="20"/>
                <w:szCs w:val="20"/>
              </w:rPr>
              <w:t>discovering</w:t>
            </w:r>
            <w:proofErr w:type="spellEnd"/>
            <w:r w:rsidRPr="00821732">
              <w:rPr>
                <w:sz w:val="20"/>
                <w:szCs w:val="20"/>
              </w:rPr>
              <w:t>“</w:t>
            </w:r>
            <w:r w:rsidRPr="00821732">
              <w:rPr>
                <w:sz w:val="20"/>
                <w:szCs w:val="20"/>
                <w:vertAlign w:val="superscript"/>
              </w:rPr>
              <w:footnoteReference w:id="1480"/>
            </w:r>
            <w:r w:rsidRPr="00821732">
              <w:rPr>
                <w:sz w:val="20"/>
                <w:szCs w:val="20"/>
              </w:rPr>
              <w:t>). Zunächst müssen sich Gerichte bei Doktrinen zurückhalten, da sie in die Legislative eingreifen („</w:t>
            </w:r>
            <w:proofErr w:type="spellStart"/>
            <w:r w:rsidRPr="00821732">
              <w:rPr>
                <w:sz w:val="20"/>
                <w:szCs w:val="20"/>
              </w:rPr>
              <w:t>ensure</w:t>
            </w:r>
            <w:proofErr w:type="spellEnd"/>
            <w:r w:rsidRPr="00821732">
              <w:rPr>
                <w:sz w:val="20"/>
                <w:szCs w:val="20"/>
              </w:rPr>
              <w:t xml:space="preserve"> restraint in </w:t>
            </w:r>
            <w:proofErr w:type="spellStart"/>
            <w:r w:rsidRPr="00821732">
              <w:rPr>
                <w:sz w:val="20"/>
                <w:szCs w:val="20"/>
              </w:rPr>
              <w:t>this</w:t>
            </w:r>
            <w:proofErr w:type="spellEnd"/>
            <w:r w:rsidRPr="00821732">
              <w:rPr>
                <w:sz w:val="20"/>
                <w:szCs w:val="20"/>
              </w:rPr>
              <w:t xml:space="preserve"> </w:t>
            </w:r>
            <w:proofErr w:type="spellStart"/>
            <w:r w:rsidRPr="00821732">
              <w:rPr>
                <w:sz w:val="20"/>
                <w:szCs w:val="20"/>
              </w:rPr>
              <w:t>delicate</w:t>
            </w:r>
            <w:proofErr w:type="spellEnd"/>
            <w:r w:rsidRPr="00821732">
              <w:rPr>
                <w:sz w:val="20"/>
                <w:szCs w:val="20"/>
              </w:rPr>
              <w:t xml:space="preserve"> </w:t>
            </w:r>
            <w:proofErr w:type="spellStart"/>
            <w:r w:rsidRPr="00821732">
              <w:rPr>
                <w:sz w:val="20"/>
                <w:szCs w:val="20"/>
              </w:rPr>
              <w:t>enterprise</w:t>
            </w:r>
            <w:proofErr w:type="spellEnd"/>
            <w:r w:rsidRPr="00821732">
              <w:rPr>
                <w:sz w:val="20"/>
                <w:szCs w:val="20"/>
              </w:rPr>
              <w:t>“</w:t>
            </w:r>
            <w:r w:rsidRPr="00821732">
              <w:rPr>
                <w:sz w:val="20"/>
                <w:szCs w:val="20"/>
                <w:vertAlign w:val="superscript"/>
              </w:rPr>
              <w:footnoteReference w:id="1481"/>
            </w:r>
            <w:r w:rsidRPr="00821732">
              <w:rPr>
                <w:sz w:val="20"/>
                <w:szCs w:val="20"/>
              </w:rPr>
              <w:t>). Die Zurückhaltung setzt sich aus vier Rahmenbedingungen zusammen: Die Lehren der Geschichte („</w:t>
            </w:r>
            <w:proofErr w:type="spellStart"/>
            <w:r w:rsidRPr="00821732">
              <w:rPr>
                <w:sz w:val="20"/>
                <w:szCs w:val="20"/>
              </w:rPr>
              <w:t>teachings</w:t>
            </w:r>
            <w:proofErr w:type="spellEnd"/>
            <w:r w:rsidRPr="00821732">
              <w:rPr>
                <w:sz w:val="20"/>
                <w:szCs w:val="20"/>
              </w:rPr>
              <w:t xml:space="preserve"> of </w:t>
            </w:r>
            <w:proofErr w:type="spellStart"/>
            <w:r w:rsidRPr="00821732">
              <w:rPr>
                <w:sz w:val="20"/>
                <w:szCs w:val="20"/>
              </w:rPr>
              <w:t>history</w:t>
            </w:r>
            <w:proofErr w:type="spellEnd"/>
            <w:r w:rsidRPr="00821732">
              <w:rPr>
                <w:sz w:val="20"/>
                <w:szCs w:val="20"/>
              </w:rPr>
              <w:t>“</w:t>
            </w:r>
            <w:r w:rsidRPr="00821732">
              <w:rPr>
                <w:sz w:val="20"/>
                <w:szCs w:val="20"/>
                <w:vertAlign w:val="superscript"/>
              </w:rPr>
              <w:footnoteReference w:id="1482"/>
            </w:r>
            <w:r w:rsidRPr="00821732">
              <w:rPr>
                <w:sz w:val="20"/>
                <w:szCs w:val="20"/>
              </w:rPr>
              <w:t>), die Anerkennung grundlegender Verfassungswerte („</w:t>
            </w:r>
            <w:proofErr w:type="spellStart"/>
            <w:r w:rsidRPr="00821732">
              <w:rPr>
                <w:sz w:val="20"/>
                <w:szCs w:val="20"/>
              </w:rPr>
              <w:t>teachings</w:t>
            </w:r>
            <w:proofErr w:type="spellEnd"/>
            <w:r w:rsidRPr="00821732">
              <w:rPr>
                <w:sz w:val="20"/>
                <w:szCs w:val="20"/>
              </w:rPr>
              <w:t xml:space="preserve"> of </w:t>
            </w:r>
            <w:proofErr w:type="spellStart"/>
            <w:r w:rsidRPr="00821732">
              <w:rPr>
                <w:sz w:val="20"/>
                <w:szCs w:val="20"/>
              </w:rPr>
              <w:t>history</w:t>
            </w:r>
            <w:proofErr w:type="spellEnd"/>
            <w:r w:rsidRPr="00821732">
              <w:rPr>
                <w:sz w:val="20"/>
                <w:szCs w:val="20"/>
              </w:rPr>
              <w:t>“</w:t>
            </w:r>
            <w:r w:rsidRPr="00821732">
              <w:rPr>
                <w:sz w:val="20"/>
                <w:szCs w:val="20"/>
                <w:vertAlign w:val="superscript"/>
              </w:rPr>
              <w:footnoteReference w:id="1483"/>
            </w:r>
            <w:r w:rsidRPr="00821732">
              <w:rPr>
                <w:sz w:val="20"/>
                <w:szCs w:val="20"/>
              </w:rPr>
              <w:t xml:space="preserve">), die Würdigung des Föderalismus </w:t>
            </w:r>
            <w:r w:rsidRPr="00A01B48">
              <w:rPr>
                <w:sz w:val="20"/>
                <w:szCs w:val="20"/>
              </w:rPr>
              <w:t xml:space="preserve">sowie </w:t>
            </w:r>
            <w:r w:rsidRPr="00821732">
              <w:rPr>
                <w:sz w:val="20"/>
                <w:szCs w:val="20"/>
              </w:rPr>
              <w:t>der Gewaltenteilung („</w:t>
            </w:r>
            <w:proofErr w:type="spellStart"/>
            <w:r w:rsidRPr="00821732">
              <w:rPr>
                <w:sz w:val="20"/>
                <w:szCs w:val="20"/>
              </w:rPr>
              <w:t>doctrines</w:t>
            </w:r>
            <w:proofErr w:type="spellEnd"/>
            <w:r w:rsidRPr="00821732">
              <w:rPr>
                <w:sz w:val="20"/>
                <w:szCs w:val="20"/>
              </w:rPr>
              <w:t xml:space="preserve"> of </w:t>
            </w:r>
            <w:proofErr w:type="spellStart"/>
            <w:r w:rsidRPr="00821732">
              <w:rPr>
                <w:sz w:val="20"/>
                <w:szCs w:val="20"/>
              </w:rPr>
              <w:t>federalism</w:t>
            </w:r>
            <w:proofErr w:type="spellEnd"/>
            <w:r w:rsidRPr="00821732">
              <w:rPr>
                <w:sz w:val="20"/>
                <w:szCs w:val="20"/>
              </w:rPr>
              <w:t xml:space="preserve"> and </w:t>
            </w:r>
            <w:proofErr w:type="spellStart"/>
            <w:r w:rsidRPr="00821732">
              <w:rPr>
                <w:sz w:val="20"/>
                <w:szCs w:val="20"/>
              </w:rPr>
              <w:t>separation</w:t>
            </w:r>
            <w:proofErr w:type="spellEnd"/>
            <w:r w:rsidRPr="00821732">
              <w:rPr>
                <w:sz w:val="20"/>
                <w:szCs w:val="20"/>
              </w:rPr>
              <w:t xml:space="preserve"> of </w:t>
            </w:r>
            <w:proofErr w:type="spellStart"/>
            <w:r w:rsidRPr="00821732">
              <w:rPr>
                <w:sz w:val="20"/>
                <w:szCs w:val="20"/>
              </w:rPr>
              <w:t>powers</w:t>
            </w:r>
            <w:proofErr w:type="spellEnd"/>
            <w:r w:rsidRPr="00821732">
              <w:rPr>
                <w:sz w:val="20"/>
                <w:szCs w:val="20"/>
              </w:rPr>
              <w:t>“</w:t>
            </w:r>
            <w:r w:rsidRPr="00821732">
              <w:rPr>
                <w:sz w:val="20"/>
                <w:szCs w:val="20"/>
                <w:vertAlign w:val="superscript"/>
              </w:rPr>
              <w:footnoteReference w:id="1484"/>
            </w:r>
            <w:r w:rsidRPr="00821732">
              <w:rPr>
                <w:sz w:val="20"/>
                <w:szCs w:val="20"/>
              </w:rPr>
              <w:t xml:space="preserve">). Diese vier Rahmenbedingungen kulminieren sich </w:t>
            </w:r>
            <w:r>
              <w:rPr>
                <w:sz w:val="20"/>
                <w:szCs w:val="20"/>
              </w:rPr>
              <w:t>z.B.</w:t>
            </w:r>
            <w:r w:rsidRPr="00821732">
              <w:rPr>
                <w:sz w:val="20"/>
                <w:szCs w:val="20"/>
              </w:rPr>
              <w:t xml:space="preserve"> in der Ehefreiheit, die sich aus den Bedingungen für Glücksstreben ableitet</w:t>
            </w:r>
            <w:r>
              <w:rPr>
                <w:sz w:val="20"/>
                <w:szCs w:val="20"/>
              </w:rPr>
              <w:t>. Die</w:t>
            </w:r>
            <w:r w:rsidRPr="00821732">
              <w:rPr>
                <w:sz w:val="20"/>
                <w:szCs w:val="20"/>
              </w:rPr>
              <w:t xml:space="preserv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821732">
              <w:rPr>
                <w:sz w:val="20"/>
                <w:szCs w:val="20"/>
              </w:rPr>
              <w:t xml:space="preserve"> erklärt</w:t>
            </w:r>
            <w:r>
              <w:rPr>
                <w:sz w:val="20"/>
                <w:szCs w:val="20"/>
              </w:rPr>
              <w:t>, weshalb die Ehefreiheit die vier genannten Rahmenbedingungen erfülle</w:t>
            </w:r>
            <w:r w:rsidRPr="00821732">
              <w:rPr>
                <w:sz w:val="20"/>
                <w:szCs w:val="20"/>
              </w:rPr>
              <w:t xml:space="preserve">: Sie sei historisch verankert („traditional </w:t>
            </w:r>
            <w:proofErr w:type="spellStart"/>
            <w:r w:rsidRPr="00821732">
              <w:rPr>
                <w:sz w:val="20"/>
                <w:szCs w:val="20"/>
              </w:rPr>
              <w:t>understanding</w:t>
            </w:r>
            <w:proofErr w:type="spellEnd"/>
            <w:r w:rsidRPr="00821732">
              <w:rPr>
                <w:sz w:val="20"/>
                <w:szCs w:val="20"/>
              </w:rPr>
              <w:t>“</w:t>
            </w:r>
            <w:r w:rsidRPr="00821732">
              <w:rPr>
                <w:sz w:val="20"/>
                <w:szCs w:val="20"/>
                <w:vertAlign w:val="superscript"/>
              </w:rPr>
              <w:footnoteReference w:id="1485"/>
            </w:r>
            <w:r w:rsidRPr="00821732">
              <w:rPr>
                <w:sz w:val="20"/>
                <w:szCs w:val="20"/>
              </w:rPr>
              <w:t>), sie spiegle einen grundlegenden Wert wider („</w:t>
            </w:r>
            <w:proofErr w:type="spellStart"/>
            <w:r w:rsidRPr="00821732">
              <w:rPr>
                <w:sz w:val="20"/>
                <w:szCs w:val="20"/>
              </w:rPr>
              <w:t>characterizes</w:t>
            </w:r>
            <w:proofErr w:type="spellEnd"/>
            <w:r w:rsidRPr="00821732">
              <w:rPr>
                <w:sz w:val="20"/>
                <w:szCs w:val="20"/>
              </w:rPr>
              <w:t xml:space="preserve"> </w:t>
            </w:r>
            <w:proofErr w:type="spellStart"/>
            <w:r w:rsidRPr="00821732">
              <w:rPr>
                <w:sz w:val="20"/>
                <w:szCs w:val="20"/>
              </w:rPr>
              <w:t>most</w:t>
            </w:r>
            <w:proofErr w:type="spellEnd"/>
            <w:r w:rsidRPr="00821732">
              <w:rPr>
                <w:sz w:val="20"/>
                <w:szCs w:val="20"/>
              </w:rPr>
              <w:t xml:space="preserve"> American </w:t>
            </w:r>
            <w:proofErr w:type="spellStart"/>
            <w:r w:rsidRPr="00821732">
              <w:rPr>
                <w:sz w:val="20"/>
                <w:szCs w:val="20"/>
              </w:rPr>
              <w:t>political</w:t>
            </w:r>
            <w:proofErr w:type="spellEnd"/>
            <w:r w:rsidRPr="00821732">
              <w:rPr>
                <w:sz w:val="20"/>
                <w:szCs w:val="20"/>
              </w:rPr>
              <w:t xml:space="preserve"> </w:t>
            </w:r>
            <w:proofErr w:type="spellStart"/>
            <w:r w:rsidRPr="00821732">
              <w:rPr>
                <w:sz w:val="20"/>
                <w:szCs w:val="20"/>
              </w:rPr>
              <w:t>discourse</w:t>
            </w:r>
            <w:proofErr w:type="spellEnd"/>
            <w:r w:rsidRPr="00821732">
              <w:rPr>
                <w:sz w:val="20"/>
                <w:szCs w:val="20"/>
              </w:rPr>
              <w:t>“</w:t>
            </w:r>
            <w:r w:rsidRPr="00821732">
              <w:rPr>
                <w:sz w:val="20"/>
                <w:szCs w:val="20"/>
                <w:vertAlign w:val="superscript"/>
              </w:rPr>
              <w:footnoteReference w:id="1486"/>
            </w:r>
            <w:r w:rsidRPr="00821732">
              <w:rPr>
                <w:sz w:val="20"/>
                <w:szCs w:val="20"/>
              </w:rPr>
              <w:t>), gelte föderal („</w:t>
            </w:r>
            <w:proofErr w:type="spellStart"/>
            <w:r w:rsidRPr="00821732">
              <w:rPr>
                <w:sz w:val="20"/>
                <w:szCs w:val="20"/>
              </w:rPr>
              <w:t>basic</w:t>
            </w:r>
            <w:proofErr w:type="spellEnd"/>
            <w:r w:rsidRPr="00821732">
              <w:rPr>
                <w:sz w:val="20"/>
                <w:szCs w:val="20"/>
              </w:rPr>
              <w:t xml:space="preserve"> </w:t>
            </w:r>
            <w:proofErr w:type="spellStart"/>
            <w:r w:rsidRPr="00821732">
              <w:rPr>
                <w:sz w:val="20"/>
                <w:szCs w:val="20"/>
              </w:rPr>
              <w:t>argument</w:t>
            </w:r>
            <w:proofErr w:type="spellEnd"/>
            <w:r w:rsidRPr="00821732">
              <w:rPr>
                <w:sz w:val="20"/>
                <w:szCs w:val="20"/>
              </w:rPr>
              <w:t xml:space="preserve"> </w:t>
            </w:r>
            <w:proofErr w:type="spellStart"/>
            <w:r w:rsidRPr="00821732">
              <w:rPr>
                <w:sz w:val="20"/>
                <w:szCs w:val="20"/>
              </w:rPr>
              <w:t>is</w:t>
            </w:r>
            <w:proofErr w:type="spellEnd"/>
            <w:r w:rsidRPr="00821732">
              <w:rPr>
                <w:sz w:val="20"/>
                <w:szCs w:val="20"/>
              </w:rPr>
              <w:t xml:space="preserve"> </w:t>
            </w:r>
            <w:proofErr w:type="spellStart"/>
            <w:r w:rsidRPr="00821732">
              <w:rPr>
                <w:sz w:val="20"/>
                <w:szCs w:val="20"/>
              </w:rPr>
              <w:t>that</w:t>
            </w:r>
            <w:proofErr w:type="spellEnd"/>
            <w:r w:rsidRPr="00821732">
              <w:rPr>
                <w:sz w:val="20"/>
                <w:szCs w:val="20"/>
              </w:rPr>
              <w:t xml:space="preserve"> States </w:t>
            </w:r>
            <w:proofErr w:type="spellStart"/>
            <w:r w:rsidRPr="00821732">
              <w:rPr>
                <w:sz w:val="20"/>
                <w:szCs w:val="20"/>
              </w:rPr>
              <w:t>formalize</w:t>
            </w:r>
            <w:proofErr w:type="spellEnd"/>
            <w:r w:rsidRPr="00821732">
              <w:rPr>
                <w:sz w:val="20"/>
                <w:szCs w:val="20"/>
              </w:rPr>
              <w:t>“</w:t>
            </w:r>
            <w:r w:rsidRPr="00821732">
              <w:rPr>
                <w:sz w:val="20"/>
                <w:szCs w:val="20"/>
                <w:vertAlign w:val="superscript"/>
              </w:rPr>
              <w:footnoteReference w:id="1487"/>
            </w:r>
            <w:r w:rsidRPr="00821732">
              <w:rPr>
                <w:sz w:val="20"/>
                <w:szCs w:val="20"/>
              </w:rPr>
              <w:t xml:space="preserve">) und achte die Gewaltenteilung durch hinreichende normative Verankerung („This </w:t>
            </w:r>
            <w:proofErr w:type="spellStart"/>
            <w:r w:rsidRPr="00821732">
              <w:rPr>
                <w:sz w:val="20"/>
                <w:szCs w:val="20"/>
              </w:rPr>
              <w:t>understanding</w:t>
            </w:r>
            <w:proofErr w:type="spellEnd"/>
            <w:r w:rsidRPr="00821732">
              <w:rPr>
                <w:sz w:val="20"/>
                <w:szCs w:val="20"/>
              </w:rPr>
              <w:t xml:space="preserve"> of </w:t>
            </w:r>
            <w:proofErr w:type="spellStart"/>
            <w:r w:rsidRPr="00821732">
              <w:rPr>
                <w:sz w:val="20"/>
                <w:szCs w:val="20"/>
              </w:rPr>
              <w:t>marriage</w:t>
            </w:r>
            <w:proofErr w:type="spellEnd"/>
            <w:r w:rsidRPr="00821732">
              <w:rPr>
                <w:sz w:val="20"/>
                <w:szCs w:val="20"/>
              </w:rPr>
              <w:t xml:space="preserve">, </w:t>
            </w:r>
            <w:proofErr w:type="spellStart"/>
            <w:r w:rsidRPr="00821732">
              <w:rPr>
                <w:sz w:val="20"/>
                <w:szCs w:val="20"/>
              </w:rPr>
              <w:t>which</w:t>
            </w:r>
            <w:proofErr w:type="spellEnd"/>
            <w:r w:rsidRPr="00821732">
              <w:rPr>
                <w:sz w:val="20"/>
                <w:szCs w:val="20"/>
              </w:rPr>
              <w:t xml:space="preserve"> </w:t>
            </w:r>
            <w:proofErr w:type="spellStart"/>
            <w:r w:rsidRPr="00821732">
              <w:rPr>
                <w:sz w:val="20"/>
                <w:szCs w:val="20"/>
              </w:rPr>
              <w:t>focuses</w:t>
            </w:r>
            <w:proofErr w:type="spellEnd"/>
            <w:r w:rsidRPr="00821732">
              <w:rPr>
                <w:sz w:val="20"/>
                <w:szCs w:val="20"/>
              </w:rPr>
              <w:t xml:space="preserve"> </w:t>
            </w:r>
            <w:proofErr w:type="spellStart"/>
            <w:r w:rsidRPr="00821732">
              <w:rPr>
                <w:sz w:val="20"/>
                <w:szCs w:val="20"/>
              </w:rPr>
              <w:t>almost</w:t>
            </w:r>
            <w:proofErr w:type="spellEnd"/>
            <w:r w:rsidRPr="00821732">
              <w:rPr>
                <w:sz w:val="20"/>
                <w:szCs w:val="20"/>
              </w:rPr>
              <w:t xml:space="preserve"> </w:t>
            </w:r>
            <w:proofErr w:type="spellStart"/>
            <w:r w:rsidRPr="00821732">
              <w:rPr>
                <w:sz w:val="20"/>
                <w:szCs w:val="20"/>
              </w:rPr>
              <w:t>entirely</w:t>
            </w:r>
            <w:proofErr w:type="spellEnd"/>
            <w:r w:rsidRPr="00821732">
              <w:rPr>
                <w:sz w:val="20"/>
                <w:szCs w:val="20"/>
              </w:rPr>
              <w:t xml:space="preserve"> on the </w:t>
            </w:r>
            <w:proofErr w:type="spellStart"/>
            <w:r w:rsidRPr="00821732">
              <w:rPr>
                <w:sz w:val="20"/>
                <w:szCs w:val="20"/>
              </w:rPr>
              <w:t>happiness</w:t>
            </w:r>
            <w:proofErr w:type="spellEnd"/>
            <w:r w:rsidRPr="00821732">
              <w:rPr>
                <w:sz w:val="20"/>
                <w:szCs w:val="20"/>
              </w:rPr>
              <w:t xml:space="preserve"> of </w:t>
            </w:r>
            <w:proofErr w:type="spellStart"/>
            <w:r w:rsidRPr="00821732">
              <w:rPr>
                <w:sz w:val="20"/>
                <w:szCs w:val="20"/>
              </w:rPr>
              <w:t>persons</w:t>
            </w:r>
            <w:proofErr w:type="spellEnd"/>
            <w:r w:rsidRPr="00821732">
              <w:rPr>
                <w:sz w:val="20"/>
                <w:szCs w:val="20"/>
              </w:rPr>
              <w:t>“</w:t>
            </w:r>
            <w:r w:rsidRPr="00821732">
              <w:rPr>
                <w:sz w:val="20"/>
                <w:szCs w:val="20"/>
                <w:vertAlign w:val="superscript"/>
              </w:rPr>
              <w:footnoteReference w:id="1488"/>
            </w:r>
            <w:r w:rsidRPr="00821732">
              <w:rPr>
                <w:sz w:val="20"/>
                <w:szCs w:val="20"/>
              </w:rPr>
              <w:t>).</w:t>
            </w:r>
          </w:p>
          <w:p w14:paraId="30855DFE" w14:textId="77777777" w:rsidR="00074551" w:rsidRPr="00E50B51" w:rsidRDefault="00074551" w:rsidP="00367133">
            <w:pPr>
              <w:jc w:val="both"/>
              <w:rPr>
                <w:sz w:val="20"/>
                <w:szCs w:val="20"/>
              </w:rPr>
            </w:pPr>
          </w:p>
        </w:tc>
      </w:tr>
      <w:tr w:rsidR="00074551" w:rsidRPr="00E50B51" w14:paraId="02800E8C" w14:textId="77777777" w:rsidTr="00BE689F">
        <w:trPr>
          <w:cantSplit/>
          <w:trHeight w:val="3175"/>
        </w:trPr>
        <w:tc>
          <w:tcPr>
            <w:tcW w:w="293" w:type="pct"/>
          </w:tcPr>
          <w:p w14:paraId="7CEA6E5C"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898B13D" w14:textId="77777777" w:rsidR="00074551" w:rsidRPr="00B45592" w:rsidRDefault="00074551" w:rsidP="00367133">
            <w:pPr>
              <w:ind w:left="113" w:right="416"/>
              <w:jc w:val="both"/>
              <w:rPr>
                <w:i/>
                <w:sz w:val="20"/>
                <w:szCs w:val="20"/>
                <w:lang w:eastAsia="de-DE"/>
              </w:rPr>
            </w:pPr>
            <w:r w:rsidRPr="00B45592">
              <w:rPr>
                <w:i/>
                <w:sz w:val="20"/>
                <w:szCs w:val="20"/>
              </w:rPr>
              <w:t xml:space="preserve">Loan </w:t>
            </w:r>
            <w:proofErr w:type="spellStart"/>
            <w:r w:rsidRPr="00B45592">
              <w:rPr>
                <w:i/>
                <w:sz w:val="20"/>
                <w:szCs w:val="20"/>
              </w:rPr>
              <w:t>Ass’n</w:t>
            </w:r>
            <w:proofErr w:type="spellEnd"/>
            <w:r w:rsidRPr="00B45592">
              <w:rPr>
                <w:i/>
                <w:sz w:val="20"/>
                <w:szCs w:val="20"/>
              </w:rPr>
              <w:t xml:space="preserve"> v. Topeka</w:t>
            </w:r>
          </w:p>
        </w:tc>
        <w:tc>
          <w:tcPr>
            <w:tcW w:w="197" w:type="pct"/>
            <w:textDirection w:val="tbRl"/>
            <w:vAlign w:val="center"/>
          </w:tcPr>
          <w:p w14:paraId="24D447B4" w14:textId="77777777" w:rsidR="00074551" w:rsidRPr="00E50B51" w:rsidRDefault="00074551" w:rsidP="00367133">
            <w:pPr>
              <w:ind w:left="113" w:right="113"/>
              <w:jc w:val="both"/>
              <w:rPr>
                <w:sz w:val="20"/>
                <w:szCs w:val="20"/>
                <w:lang w:val="en-US"/>
              </w:rPr>
            </w:pPr>
            <w:r w:rsidRPr="00BE3728">
              <w:rPr>
                <w:sz w:val="20"/>
                <w:szCs w:val="20"/>
              </w:rPr>
              <w:t>87 U.S. 655</w:t>
            </w:r>
          </w:p>
        </w:tc>
        <w:tc>
          <w:tcPr>
            <w:tcW w:w="306" w:type="pct"/>
            <w:textDirection w:val="tbRl"/>
            <w:vAlign w:val="center"/>
          </w:tcPr>
          <w:p w14:paraId="7ECF965C" w14:textId="77777777" w:rsidR="00074551" w:rsidRPr="00E50B51" w:rsidRDefault="00074551" w:rsidP="00367133">
            <w:pPr>
              <w:ind w:left="113" w:right="113"/>
              <w:jc w:val="both"/>
              <w:rPr>
                <w:sz w:val="20"/>
                <w:szCs w:val="20"/>
              </w:rPr>
            </w:pPr>
            <w:r w:rsidRPr="00BE3728">
              <w:rPr>
                <w:sz w:val="20"/>
                <w:szCs w:val="20"/>
                <w:lang w:val="en-US"/>
              </w:rPr>
              <w:t>01. Oktober 1874</w:t>
            </w:r>
          </w:p>
        </w:tc>
        <w:tc>
          <w:tcPr>
            <w:tcW w:w="401" w:type="pct"/>
          </w:tcPr>
          <w:p w14:paraId="7CC83CAE"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28CCE9C1"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 ein Gesetz (vgl. </w:t>
            </w:r>
            <w:r w:rsidRPr="5B67C1D2">
              <w:rPr>
                <w:i/>
                <w:iCs/>
                <w:sz w:val="20"/>
                <w:szCs w:val="20"/>
              </w:rPr>
              <w:t>Kansas Statute 1872</w:t>
            </w:r>
            <w:r w:rsidRPr="00BE3728">
              <w:rPr>
                <w:rStyle w:val="Funotenzeichen"/>
                <w:sz w:val="20"/>
                <w:szCs w:val="20"/>
              </w:rPr>
              <w:footnoteReference w:id="1489"/>
            </w:r>
            <w:r w:rsidRPr="00BE3728">
              <w:rPr>
                <w:sz w:val="20"/>
                <w:szCs w:val="20"/>
              </w:rPr>
              <w:t xml:space="preserve">) für verfassungswidrig. Der </w:t>
            </w:r>
            <w:r>
              <w:rPr>
                <w:sz w:val="20"/>
                <w:szCs w:val="20"/>
              </w:rPr>
              <w:t>U.S. Supreme Court</w:t>
            </w:r>
            <w:r w:rsidRPr="00BE3728">
              <w:rPr>
                <w:sz w:val="20"/>
                <w:szCs w:val="20"/>
              </w:rPr>
              <w:t xml:space="preserve"> prüfte, ob ein Stadtrat als </w:t>
            </w:r>
            <w:r>
              <w:rPr>
                <w:sz w:val="20"/>
                <w:szCs w:val="20"/>
              </w:rPr>
              <w:t xml:space="preserve">Teil der </w:t>
            </w:r>
            <w:r w:rsidRPr="00BE3728">
              <w:rPr>
                <w:sz w:val="20"/>
                <w:szCs w:val="20"/>
              </w:rPr>
              <w:t>Legislative Kansas</w:t>
            </w:r>
            <w:r>
              <w:rPr>
                <w:sz w:val="20"/>
                <w:szCs w:val="20"/>
              </w:rPr>
              <w:t>’</w:t>
            </w:r>
            <w:r w:rsidRPr="00BE3728">
              <w:rPr>
                <w:sz w:val="20"/>
                <w:szCs w:val="20"/>
              </w:rPr>
              <w:t xml:space="preserve"> befugt </w:t>
            </w:r>
            <w:r>
              <w:rPr>
                <w:sz w:val="20"/>
                <w:szCs w:val="20"/>
              </w:rPr>
              <w:t>sei</w:t>
            </w:r>
            <w:r w:rsidRPr="00BE3728">
              <w:rPr>
                <w:sz w:val="20"/>
                <w:szCs w:val="20"/>
              </w:rPr>
              <w:t xml:space="preserve">, Steuern zu erheben, um private Unternehmen zu </w:t>
            </w:r>
            <w:r>
              <w:rPr>
                <w:sz w:val="20"/>
                <w:szCs w:val="20"/>
              </w:rPr>
              <w:t>unterstützen, wie</w:t>
            </w:r>
            <w:r w:rsidRPr="00BE3728">
              <w:rPr>
                <w:sz w:val="20"/>
                <w:szCs w:val="20"/>
              </w:rPr>
              <w:t xml:space="preserve"> </w:t>
            </w:r>
            <w:r>
              <w:rPr>
                <w:sz w:val="20"/>
                <w:szCs w:val="20"/>
              </w:rPr>
              <w:t>z.B.</w:t>
            </w:r>
            <w:r w:rsidRPr="00BE3728">
              <w:rPr>
                <w:sz w:val="20"/>
                <w:szCs w:val="20"/>
              </w:rPr>
              <w:t xml:space="preserve"> eine Brückenbaufirma. Er urteilte, dass eine Steuer, die nicht vordringlich einem öffentlichen Zweck diene, </w:t>
            </w:r>
            <w:r>
              <w:rPr>
                <w:sz w:val="20"/>
                <w:szCs w:val="20"/>
              </w:rPr>
              <w:t xml:space="preserve">zunächst einmal </w:t>
            </w:r>
            <w:r w:rsidRPr="00BE3728">
              <w:rPr>
                <w:sz w:val="20"/>
                <w:szCs w:val="20"/>
              </w:rPr>
              <w:t>verfassungswidrig sei.</w:t>
            </w:r>
            <w:r>
              <w:rPr>
                <w:rStyle w:val="Funotenzeichen"/>
                <w:sz w:val="20"/>
                <w:szCs w:val="20"/>
              </w:rPr>
              <w:footnoteReference w:id="1490"/>
            </w:r>
          </w:p>
        </w:tc>
        <w:tc>
          <w:tcPr>
            <w:tcW w:w="1822" w:type="pct"/>
          </w:tcPr>
          <w:p w14:paraId="58306568" w14:textId="77777777" w:rsidR="00074551" w:rsidRDefault="00074551" w:rsidP="00367133">
            <w:pPr>
              <w:jc w:val="both"/>
              <w:rPr>
                <w:sz w:val="20"/>
                <w:szCs w:val="20"/>
              </w:rPr>
            </w:pPr>
            <w:r w:rsidRPr="00425339">
              <w:rPr>
                <w:sz w:val="20"/>
                <w:szCs w:val="20"/>
              </w:rPr>
              <w:t xml:space="preserve">Die Theorie der Regierung der Vereinigten Staaten begrenze Macht – sowohl auf staatlicher als auch auf nationaler Ebene. Daher verfüge die exekutive, legislative und judikative Gewalt über definierte Kompetenzen. Die weitere Konsequenz sei eine dem Wesen </w:t>
            </w:r>
            <w:proofErr w:type="gramStart"/>
            <w:r w:rsidRPr="00425339">
              <w:rPr>
                <w:sz w:val="20"/>
                <w:szCs w:val="20"/>
              </w:rPr>
              <w:t>nach freie Regierung</w:t>
            </w:r>
            <w:proofErr w:type="gramEnd"/>
            <w:r w:rsidRPr="00425339">
              <w:rPr>
                <w:sz w:val="20"/>
                <w:szCs w:val="20"/>
              </w:rPr>
              <w:t>. Weiter gebe es individuelle Abwehrrechte, die den sozialen Vertrag einer freien Regierung sicher</w:t>
            </w:r>
            <w:r>
              <w:rPr>
                <w:sz w:val="20"/>
                <w:szCs w:val="20"/>
              </w:rPr>
              <w:t>te</w:t>
            </w:r>
            <w:r w:rsidRPr="00425339">
              <w:rPr>
                <w:sz w:val="20"/>
                <w:szCs w:val="20"/>
              </w:rPr>
              <w:t>n.</w:t>
            </w:r>
            <w:r w:rsidRPr="00425339">
              <w:rPr>
                <w:sz w:val="20"/>
                <w:szCs w:val="20"/>
                <w:vertAlign w:val="superscript"/>
              </w:rPr>
              <w:footnoteReference w:id="1491"/>
            </w:r>
            <w:r w:rsidRPr="00425339">
              <w:rPr>
                <w:sz w:val="20"/>
                <w:szCs w:val="20"/>
              </w:rPr>
              <w:t xml:space="preserve"> In diesem Rahmen erklärt der </w:t>
            </w:r>
            <w:r>
              <w:rPr>
                <w:sz w:val="20"/>
                <w:szCs w:val="20"/>
              </w:rPr>
              <w:t>U.S. Supreme Court</w:t>
            </w:r>
            <w:r w:rsidRPr="00425339">
              <w:rPr>
                <w:sz w:val="20"/>
                <w:szCs w:val="20"/>
              </w:rPr>
              <w:t xml:space="preserve"> die sog. Regierungstheorie („</w:t>
            </w:r>
            <w:proofErr w:type="spellStart"/>
            <w:r w:rsidRPr="00425339">
              <w:rPr>
                <w:sz w:val="20"/>
                <w:szCs w:val="20"/>
              </w:rPr>
              <w:t>theory</w:t>
            </w:r>
            <w:proofErr w:type="spellEnd"/>
            <w:r w:rsidRPr="00425339">
              <w:rPr>
                <w:sz w:val="20"/>
                <w:szCs w:val="20"/>
              </w:rPr>
              <w:t xml:space="preserve"> of </w:t>
            </w:r>
            <w:proofErr w:type="spellStart"/>
            <w:r w:rsidRPr="00425339">
              <w:rPr>
                <w:sz w:val="20"/>
                <w:szCs w:val="20"/>
              </w:rPr>
              <w:t>our</w:t>
            </w:r>
            <w:proofErr w:type="spellEnd"/>
            <w:r w:rsidRPr="00425339">
              <w:rPr>
                <w:sz w:val="20"/>
                <w:szCs w:val="20"/>
              </w:rPr>
              <w:t xml:space="preserve"> </w:t>
            </w:r>
            <w:proofErr w:type="spellStart"/>
            <w:r w:rsidRPr="00425339">
              <w:rPr>
                <w:sz w:val="20"/>
                <w:szCs w:val="20"/>
              </w:rPr>
              <w:t>governments</w:t>
            </w:r>
            <w:proofErr w:type="spellEnd"/>
            <w:r w:rsidRPr="00425339">
              <w:rPr>
                <w:sz w:val="20"/>
                <w:szCs w:val="20"/>
              </w:rPr>
              <w:t>, State and National“</w:t>
            </w:r>
            <w:r w:rsidRPr="00425339">
              <w:rPr>
                <w:sz w:val="20"/>
                <w:szCs w:val="20"/>
                <w:vertAlign w:val="superscript"/>
                <w:lang w:val="en-US"/>
              </w:rPr>
              <w:footnoteReference w:id="1492"/>
            </w:r>
            <w:r w:rsidRPr="00425339">
              <w:rPr>
                <w:sz w:val="20"/>
                <w:szCs w:val="20"/>
              </w:rPr>
              <w:t>). Die besage, dass eine Machtkonzentration auf nur eine Gewalt zu verhüten sei.</w:t>
            </w:r>
            <w:r w:rsidRPr="00425339">
              <w:rPr>
                <w:sz w:val="20"/>
                <w:szCs w:val="20"/>
                <w:vertAlign w:val="superscript"/>
                <w:lang w:val="en-US"/>
              </w:rPr>
              <w:footnoteReference w:id="1493"/>
            </w:r>
            <w:r w:rsidRPr="00425339">
              <w:rPr>
                <w:sz w:val="20"/>
                <w:szCs w:val="20"/>
              </w:rPr>
              <w:t xml:space="preserve"> Denn Bürger stell</w:t>
            </w:r>
            <w:r>
              <w:rPr>
                <w:sz w:val="20"/>
                <w:szCs w:val="20"/>
              </w:rPr>
              <w:t>t</w:t>
            </w:r>
            <w:r w:rsidRPr="00425339">
              <w:rPr>
                <w:sz w:val="20"/>
                <w:szCs w:val="20"/>
              </w:rPr>
              <w:t xml:space="preserve">en ihr Glück, was sich </w:t>
            </w:r>
            <w:r>
              <w:rPr>
                <w:sz w:val="20"/>
                <w:szCs w:val="20"/>
              </w:rPr>
              <w:t>z.B.</w:t>
            </w:r>
            <w:r w:rsidRPr="00425339">
              <w:rPr>
                <w:sz w:val="20"/>
                <w:szCs w:val="20"/>
              </w:rPr>
              <w:t xml:space="preserve"> im Eigentum und der dadurch zu erreichenden Sicherheit äußere („</w:t>
            </w:r>
            <w:proofErr w:type="spellStart"/>
            <w:r w:rsidRPr="00425339">
              <w:rPr>
                <w:sz w:val="20"/>
                <w:szCs w:val="20"/>
              </w:rPr>
              <w:t>his</w:t>
            </w:r>
            <w:proofErr w:type="spellEnd"/>
            <w:r w:rsidRPr="00425339">
              <w:rPr>
                <w:sz w:val="20"/>
                <w:szCs w:val="20"/>
              </w:rPr>
              <w:t xml:space="preserve"> own, all in </w:t>
            </w:r>
            <w:proofErr w:type="spellStart"/>
            <w:r w:rsidRPr="00425339">
              <w:rPr>
                <w:sz w:val="20"/>
                <w:szCs w:val="20"/>
              </w:rPr>
              <w:t>which</w:t>
            </w:r>
            <w:proofErr w:type="spellEnd"/>
            <w:r w:rsidRPr="00425339">
              <w:rPr>
                <w:sz w:val="20"/>
                <w:szCs w:val="20"/>
              </w:rPr>
              <w:t xml:space="preserve"> he </w:t>
            </w:r>
            <w:proofErr w:type="spellStart"/>
            <w:r w:rsidRPr="00425339">
              <w:rPr>
                <w:sz w:val="20"/>
                <w:szCs w:val="20"/>
              </w:rPr>
              <w:t>has</w:t>
            </w:r>
            <w:proofErr w:type="spellEnd"/>
            <w:r w:rsidRPr="00425339">
              <w:rPr>
                <w:sz w:val="20"/>
                <w:szCs w:val="20"/>
              </w:rPr>
              <w:t xml:space="preserve"> </w:t>
            </w:r>
            <w:proofErr w:type="spellStart"/>
            <w:r w:rsidRPr="00425339">
              <w:rPr>
                <w:sz w:val="20"/>
                <w:szCs w:val="20"/>
              </w:rPr>
              <w:t>placed</w:t>
            </w:r>
            <w:proofErr w:type="spellEnd"/>
            <w:r w:rsidRPr="00425339">
              <w:rPr>
                <w:sz w:val="20"/>
                <w:szCs w:val="20"/>
              </w:rPr>
              <w:t xml:space="preserve"> </w:t>
            </w:r>
            <w:proofErr w:type="spellStart"/>
            <w:r w:rsidRPr="00425339">
              <w:rPr>
                <w:sz w:val="20"/>
                <w:szCs w:val="20"/>
              </w:rPr>
              <w:t>his</w:t>
            </w:r>
            <w:proofErr w:type="spellEnd"/>
            <w:r w:rsidRPr="00425339">
              <w:rPr>
                <w:sz w:val="20"/>
                <w:szCs w:val="20"/>
              </w:rPr>
              <w:t xml:space="preserve"> </w:t>
            </w:r>
            <w:proofErr w:type="spellStart"/>
            <w:r w:rsidRPr="00425339">
              <w:rPr>
                <w:sz w:val="20"/>
                <w:szCs w:val="20"/>
              </w:rPr>
              <w:t>happiness</w:t>
            </w:r>
            <w:proofErr w:type="spellEnd"/>
            <w:r w:rsidRPr="00425339">
              <w:rPr>
                <w:sz w:val="20"/>
                <w:szCs w:val="20"/>
              </w:rPr>
              <w:t xml:space="preserve">, and the </w:t>
            </w:r>
            <w:proofErr w:type="spellStart"/>
            <w:r w:rsidRPr="00425339">
              <w:rPr>
                <w:sz w:val="20"/>
                <w:szCs w:val="20"/>
              </w:rPr>
              <w:t>security</w:t>
            </w:r>
            <w:proofErr w:type="spellEnd"/>
            <w:r w:rsidRPr="00425339">
              <w:rPr>
                <w:sz w:val="20"/>
                <w:szCs w:val="20"/>
              </w:rPr>
              <w:t xml:space="preserve"> of </w:t>
            </w:r>
            <w:proofErr w:type="spellStart"/>
            <w:r w:rsidRPr="00425339">
              <w:rPr>
                <w:sz w:val="20"/>
                <w:szCs w:val="20"/>
              </w:rPr>
              <w:t>which</w:t>
            </w:r>
            <w:proofErr w:type="spellEnd"/>
            <w:r w:rsidRPr="00425339">
              <w:rPr>
                <w:sz w:val="20"/>
                <w:szCs w:val="20"/>
              </w:rPr>
              <w:t xml:space="preserve"> </w:t>
            </w:r>
            <w:proofErr w:type="spellStart"/>
            <w:r w:rsidRPr="00425339">
              <w:rPr>
                <w:sz w:val="20"/>
                <w:szCs w:val="20"/>
              </w:rPr>
              <w:t>is</w:t>
            </w:r>
            <w:proofErr w:type="spellEnd"/>
            <w:r w:rsidRPr="00425339">
              <w:rPr>
                <w:sz w:val="20"/>
                <w:szCs w:val="20"/>
              </w:rPr>
              <w:t xml:space="preserve"> essential to </w:t>
            </w:r>
            <w:proofErr w:type="spellStart"/>
            <w:r w:rsidRPr="00425339">
              <w:rPr>
                <w:sz w:val="20"/>
                <w:szCs w:val="20"/>
              </w:rPr>
              <w:t>that</w:t>
            </w:r>
            <w:proofErr w:type="spellEnd"/>
            <w:r w:rsidRPr="00425339">
              <w:rPr>
                <w:sz w:val="20"/>
                <w:szCs w:val="20"/>
              </w:rPr>
              <w:t xml:space="preserve"> </w:t>
            </w:r>
            <w:proofErr w:type="spellStart"/>
            <w:r w:rsidRPr="00425339">
              <w:rPr>
                <w:sz w:val="20"/>
                <w:szCs w:val="20"/>
              </w:rPr>
              <w:t>happiness</w:t>
            </w:r>
            <w:proofErr w:type="spellEnd"/>
            <w:r w:rsidRPr="00425339">
              <w:rPr>
                <w:sz w:val="20"/>
                <w:szCs w:val="20"/>
              </w:rPr>
              <w:t>“</w:t>
            </w:r>
            <w:r w:rsidRPr="00425339">
              <w:rPr>
                <w:sz w:val="20"/>
                <w:szCs w:val="20"/>
                <w:vertAlign w:val="superscript"/>
              </w:rPr>
              <w:footnoteReference w:id="1494"/>
            </w:r>
            <w:r w:rsidRPr="00425339">
              <w:rPr>
                <w:sz w:val="20"/>
                <w:szCs w:val="20"/>
              </w:rPr>
              <w:t>)</w:t>
            </w:r>
            <w:r>
              <w:rPr>
                <w:sz w:val="20"/>
                <w:szCs w:val="20"/>
              </w:rPr>
              <w:t>,</w:t>
            </w:r>
            <w:r w:rsidRPr="00425339">
              <w:rPr>
                <w:sz w:val="20"/>
                <w:szCs w:val="20"/>
              </w:rPr>
              <w:t xml:space="preserve"> unter den Schutz der drei Gewalten – und nicht unter nur eine. </w:t>
            </w:r>
            <w:r>
              <w:rPr>
                <w:sz w:val="20"/>
                <w:szCs w:val="20"/>
              </w:rPr>
              <w:t>W</w:t>
            </w:r>
            <w:r w:rsidRPr="00425339">
              <w:rPr>
                <w:sz w:val="20"/>
                <w:szCs w:val="20"/>
              </w:rPr>
              <w:t xml:space="preserve">äre dem so, läge </w:t>
            </w:r>
            <w:r>
              <w:rPr>
                <w:sz w:val="20"/>
                <w:szCs w:val="20"/>
              </w:rPr>
              <w:t xml:space="preserve">schließlich </w:t>
            </w:r>
            <w:r w:rsidRPr="00425339">
              <w:rPr>
                <w:sz w:val="20"/>
                <w:szCs w:val="20"/>
              </w:rPr>
              <w:t>Despotismus vor, wofür die Bürger die Regierung aber gerade nicht einsetzen bzw. absetzen könn</w:t>
            </w:r>
            <w:r>
              <w:rPr>
                <w:sz w:val="20"/>
                <w:szCs w:val="20"/>
              </w:rPr>
              <w:t>t</w:t>
            </w:r>
            <w:r w:rsidRPr="00425339">
              <w:rPr>
                <w:sz w:val="20"/>
                <w:szCs w:val="20"/>
              </w:rPr>
              <w:t>en.</w:t>
            </w:r>
            <w:r w:rsidRPr="00425339">
              <w:rPr>
                <w:sz w:val="20"/>
                <w:szCs w:val="20"/>
                <w:vertAlign w:val="superscript"/>
              </w:rPr>
              <w:footnoteReference w:id="1495"/>
            </w:r>
          </w:p>
          <w:p w14:paraId="53AF2DE2" w14:textId="77777777" w:rsidR="00074551" w:rsidRPr="00E50B51" w:rsidRDefault="00074551" w:rsidP="00367133">
            <w:pPr>
              <w:jc w:val="both"/>
              <w:rPr>
                <w:sz w:val="20"/>
                <w:szCs w:val="20"/>
              </w:rPr>
            </w:pPr>
          </w:p>
        </w:tc>
      </w:tr>
      <w:tr w:rsidR="00074551" w:rsidRPr="00E50B51" w14:paraId="02EABA2E" w14:textId="77777777" w:rsidTr="00203768">
        <w:trPr>
          <w:cantSplit/>
          <w:trHeight w:val="3175"/>
        </w:trPr>
        <w:tc>
          <w:tcPr>
            <w:tcW w:w="293" w:type="pct"/>
            <w:shd w:val="clear" w:color="auto" w:fill="E7E6E6" w:themeFill="background2"/>
          </w:tcPr>
          <w:p w14:paraId="05BAC35D"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68E58A98" w14:textId="77777777" w:rsidR="00074551" w:rsidRPr="00E50B51" w:rsidRDefault="00074551" w:rsidP="00367133">
            <w:pPr>
              <w:ind w:left="113" w:right="416"/>
              <w:jc w:val="both"/>
              <w:rPr>
                <w:sz w:val="20"/>
                <w:szCs w:val="20"/>
                <w:lang w:eastAsia="de-DE"/>
              </w:rPr>
            </w:pPr>
            <w:r w:rsidRPr="00BE3728">
              <w:rPr>
                <w:sz w:val="20"/>
                <w:szCs w:val="20"/>
              </w:rPr>
              <w:t>Rechtsstaatliche Seite</w:t>
            </w:r>
          </w:p>
        </w:tc>
        <w:tc>
          <w:tcPr>
            <w:tcW w:w="197" w:type="pct"/>
            <w:shd w:val="clear" w:color="auto" w:fill="E7E6E6" w:themeFill="background2"/>
            <w:textDirection w:val="tbRl"/>
            <w:vAlign w:val="center"/>
          </w:tcPr>
          <w:p w14:paraId="4902E8D1" w14:textId="77777777" w:rsidR="00074551" w:rsidRPr="00E50B51" w:rsidRDefault="00074551" w:rsidP="00367133">
            <w:pPr>
              <w:ind w:left="113" w:right="113"/>
              <w:jc w:val="both"/>
              <w:rPr>
                <w:sz w:val="20"/>
                <w:szCs w:val="20"/>
                <w:lang w:val="en-US"/>
              </w:rPr>
            </w:pPr>
            <w:r w:rsidRPr="00BE3728">
              <w:rPr>
                <w:sz w:val="20"/>
                <w:szCs w:val="20"/>
              </w:rPr>
              <w:t>Separation of Powers</w:t>
            </w:r>
          </w:p>
        </w:tc>
        <w:tc>
          <w:tcPr>
            <w:tcW w:w="306" w:type="pct"/>
            <w:shd w:val="clear" w:color="auto" w:fill="E7E6E6" w:themeFill="background2"/>
            <w:textDirection w:val="tbRl"/>
            <w:vAlign w:val="center"/>
          </w:tcPr>
          <w:p w14:paraId="0FAA78F0" w14:textId="77777777" w:rsidR="00074551" w:rsidRPr="00E50B51" w:rsidRDefault="00074551" w:rsidP="00367133">
            <w:pPr>
              <w:ind w:left="113" w:right="113"/>
              <w:jc w:val="both"/>
              <w:rPr>
                <w:sz w:val="20"/>
                <w:szCs w:val="20"/>
              </w:rPr>
            </w:pPr>
            <w:r w:rsidRPr="00BE3728">
              <w:rPr>
                <w:sz w:val="20"/>
                <w:szCs w:val="20"/>
              </w:rPr>
              <w:t xml:space="preserve">Public </w:t>
            </w:r>
            <w:proofErr w:type="spellStart"/>
            <w:r w:rsidRPr="00BE3728">
              <w:rPr>
                <w:sz w:val="20"/>
                <w:szCs w:val="20"/>
              </w:rPr>
              <w:t>Improvements</w:t>
            </w:r>
            <w:proofErr w:type="spellEnd"/>
          </w:p>
        </w:tc>
        <w:tc>
          <w:tcPr>
            <w:tcW w:w="401" w:type="pct"/>
            <w:shd w:val="clear" w:color="auto" w:fill="E7E6E6" w:themeFill="background2"/>
          </w:tcPr>
          <w:p w14:paraId="19EE4EF4"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657B038" w14:textId="77777777" w:rsidR="00074551" w:rsidRPr="00E50B51" w:rsidRDefault="00074551" w:rsidP="00367133">
            <w:pPr>
              <w:jc w:val="both"/>
              <w:rPr>
                <w:sz w:val="20"/>
                <w:szCs w:val="20"/>
              </w:rPr>
            </w:pPr>
          </w:p>
        </w:tc>
        <w:tc>
          <w:tcPr>
            <w:tcW w:w="1822" w:type="pct"/>
            <w:shd w:val="clear" w:color="auto" w:fill="E7E6E6" w:themeFill="background2"/>
          </w:tcPr>
          <w:p w14:paraId="4D103C6B" w14:textId="77355800"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030E0C02" w14:textId="77777777" w:rsidTr="00BE689F">
        <w:trPr>
          <w:cantSplit/>
          <w:trHeight w:val="3175"/>
        </w:trPr>
        <w:tc>
          <w:tcPr>
            <w:tcW w:w="293" w:type="pct"/>
          </w:tcPr>
          <w:p w14:paraId="01F51A02"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2F3610C" w14:textId="77777777" w:rsidR="00074551" w:rsidRPr="00E50B51" w:rsidRDefault="00074551" w:rsidP="00367133">
            <w:pPr>
              <w:ind w:left="113" w:right="416"/>
              <w:jc w:val="both"/>
              <w:rPr>
                <w:sz w:val="20"/>
                <w:szCs w:val="20"/>
                <w:lang w:eastAsia="de-DE"/>
              </w:rPr>
            </w:pPr>
            <w:r w:rsidRPr="00B35CD0">
              <w:rPr>
                <w:i/>
                <w:sz w:val="20"/>
                <w:szCs w:val="20"/>
              </w:rPr>
              <w:t>Larson v. South Dakota</w:t>
            </w:r>
          </w:p>
        </w:tc>
        <w:tc>
          <w:tcPr>
            <w:tcW w:w="197" w:type="pct"/>
            <w:textDirection w:val="tbRl"/>
            <w:vAlign w:val="center"/>
          </w:tcPr>
          <w:p w14:paraId="3DDEDB2D" w14:textId="77777777" w:rsidR="00074551" w:rsidRPr="00E50B51" w:rsidRDefault="00074551" w:rsidP="00367133">
            <w:pPr>
              <w:ind w:left="113" w:right="113"/>
              <w:jc w:val="both"/>
              <w:rPr>
                <w:sz w:val="20"/>
                <w:szCs w:val="20"/>
                <w:lang w:val="en-US"/>
              </w:rPr>
            </w:pPr>
            <w:r w:rsidRPr="00BE3728">
              <w:rPr>
                <w:sz w:val="20"/>
                <w:szCs w:val="20"/>
              </w:rPr>
              <w:t>278 U.S. 429</w:t>
            </w:r>
          </w:p>
        </w:tc>
        <w:tc>
          <w:tcPr>
            <w:tcW w:w="306" w:type="pct"/>
            <w:textDirection w:val="tbRl"/>
            <w:vAlign w:val="center"/>
          </w:tcPr>
          <w:p w14:paraId="298B2D08" w14:textId="77777777" w:rsidR="00074551" w:rsidRPr="00E50B51" w:rsidRDefault="00074551" w:rsidP="00367133">
            <w:pPr>
              <w:ind w:left="113" w:right="113"/>
              <w:jc w:val="both"/>
              <w:rPr>
                <w:sz w:val="20"/>
                <w:szCs w:val="20"/>
              </w:rPr>
            </w:pPr>
            <w:r w:rsidRPr="00BE3728">
              <w:rPr>
                <w:sz w:val="20"/>
                <w:szCs w:val="20"/>
              </w:rPr>
              <w:t>18. Februar 1</w:t>
            </w:r>
            <w:r>
              <w:rPr>
                <w:sz w:val="20"/>
                <w:szCs w:val="20"/>
              </w:rPr>
              <w:t>9</w:t>
            </w:r>
            <w:r w:rsidRPr="00BE3728">
              <w:rPr>
                <w:sz w:val="20"/>
                <w:szCs w:val="20"/>
              </w:rPr>
              <w:t>29</w:t>
            </w:r>
          </w:p>
        </w:tc>
        <w:tc>
          <w:tcPr>
            <w:tcW w:w="401" w:type="pct"/>
          </w:tcPr>
          <w:p w14:paraId="5B4B6405"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76490508"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die Klage eines Fährfranchisenehmers ab. Dieser </w:t>
            </w:r>
            <w:r>
              <w:rPr>
                <w:sz w:val="20"/>
                <w:szCs w:val="20"/>
              </w:rPr>
              <w:t>habe</w:t>
            </w:r>
            <w:r w:rsidRPr="00BE3728">
              <w:rPr>
                <w:sz w:val="20"/>
                <w:szCs w:val="20"/>
              </w:rPr>
              <w:t xml:space="preserve"> keinen Anspruch auf Schadensersatz, nachdem der Bundesstaat South Dakota eine Brücke nahe seiner Fähranlegestelle errichtet</w:t>
            </w:r>
            <w:r>
              <w:rPr>
                <w:sz w:val="20"/>
                <w:szCs w:val="20"/>
              </w:rPr>
              <w:t xml:space="preserve"> hatte</w:t>
            </w:r>
            <w:r w:rsidRPr="00BE3728">
              <w:rPr>
                <w:sz w:val="20"/>
                <w:szCs w:val="20"/>
              </w:rPr>
              <w:t>. Die Fährkonzessionen schl</w:t>
            </w:r>
            <w:r>
              <w:rPr>
                <w:sz w:val="20"/>
                <w:szCs w:val="20"/>
              </w:rPr>
              <w:t>ö</w:t>
            </w:r>
            <w:r w:rsidRPr="00BE3728">
              <w:rPr>
                <w:sz w:val="20"/>
                <w:szCs w:val="20"/>
              </w:rPr>
              <w:t>ss</w:t>
            </w:r>
            <w:r>
              <w:rPr>
                <w:sz w:val="20"/>
                <w:szCs w:val="20"/>
              </w:rPr>
              <w:t>en</w:t>
            </w:r>
            <w:r w:rsidRPr="00BE3728">
              <w:rPr>
                <w:sz w:val="20"/>
                <w:szCs w:val="20"/>
              </w:rPr>
              <w:t xml:space="preserve"> den Brückenbau durch die Legislative nicht aus. Denn ein Fährfranchise garantiere keine Exklusivität für Transportwege über Wasser.</w:t>
            </w:r>
            <w:r w:rsidRPr="00BE3728">
              <w:rPr>
                <w:rStyle w:val="Funotenzeichen"/>
                <w:sz w:val="20"/>
                <w:szCs w:val="20"/>
              </w:rPr>
              <w:footnoteReference w:id="1496"/>
            </w:r>
          </w:p>
          <w:p w14:paraId="6A52EF5A" w14:textId="77777777" w:rsidR="00074551" w:rsidRPr="00E50B51" w:rsidRDefault="00074551" w:rsidP="00367133">
            <w:pPr>
              <w:jc w:val="both"/>
              <w:rPr>
                <w:sz w:val="20"/>
                <w:szCs w:val="20"/>
              </w:rPr>
            </w:pPr>
          </w:p>
        </w:tc>
        <w:tc>
          <w:tcPr>
            <w:tcW w:w="1822" w:type="pct"/>
          </w:tcPr>
          <w:p w14:paraId="0AB53BAC" w14:textId="77777777" w:rsidR="00074551" w:rsidRPr="00B45592" w:rsidRDefault="00074551" w:rsidP="00367133">
            <w:pPr>
              <w:jc w:val="both"/>
              <w:rPr>
                <w:i/>
                <w:sz w:val="20"/>
                <w:szCs w:val="20"/>
                <w:lang w:val="en-IE"/>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IE"/>
              </w:rPr>
              <w:t>Governments › Public Improvements › General Overview</w:t>
            </w:r>
          </w:p>
          <w:p w14:paraId="65BEDF24" w14:textId="77777777" w:rsidR="00074551" w:rsidRPr="00B45592" w:rsidRDefault="00074551" w:rsidP="00367133">
            <w:pPr>
              <w:jc w:val="both"/>
              <w:rPr>
                <w:sz w:val="20"/>
                <w:szCs w:val="20"/>
                <w:lang w:val="en-IE"/>
              </w:rPr>
            </w:pPr>
          </w:p>
          <w:p w14:paraId="668367FB" w14:textId="77777777" w:rsidR="00074551" w:rsidRPr="00BE3728" w:rsidRDefault="00074551" w:rsidP="00367133">
            <w:pPr>
              <w:jc w:val="both"/>
              <w:rPr>
                <w:sz w:val="20"/>
                <w:szCs w:val="20"/>
              </w:rPr>
            </w:pPr>
            <w:r w:rsidRPr="00BE3728">
              <w:rPr>
                <w:sz w:val="20"/>
                <w:szCs w:val="20"/>
              </w:rPr>
              <w:t>Die verfassungsrechtliche Vermutung laute, dass im Zweifel ein Staat seine Kompetenz nicht in einem Bereich aufgebe, für dessen Ziel die Bürger ihn errichtet</w:t>
            </w:r>
            <w:r>
              <w:rPr>
                <w:sz w:val="20"/>
                <w:szCs w:val="20"/>
              </w:rPr>
              <w:t xml:space="preserve"> hätten</w:t>
            </w:r>
            <w:r w:rsidRPr="00BE3728">
              <w:rPr>
                <w:sz w:val="20"/>
                <w:szCs w:val="20"/>
              </w:rPr>
              <w:t>. Wenn also eine private Körperschaft vortrage, dass ein Bundesstaat seine Kompetenz</w:t>
            </w:r>
            <w:r>
              <w:rPr>
                <w:sz w:val="20"/>
                <w:szCs w:val="20"/>
              </w:rPr>
              <w:t>,</w:t>
            </w:r>
            <w:r w:rsidRPr="00BE3728">
              <w:rPr>
                <w:sz w:val="20"/>
                <w:szCs w:val="20"/>
              </w:rPr>
              <w:t xml:space="preserve"> i</w:t>
            </w:r>
            <w:r>
              <w:rPr>
                <w:sz w:val="20"/>
                <w:szCs w:val="20"/>
              </w:rPr>
              <w:t xml:space="preserve">n einem bestimmten </w:t>
            </w:r>
            <w:r w:rsidRPr="00BE3728">
              <w:rPr>
                <w:sz w:val="20"/>
                <w:szCs w:val="20"/>
              </w:rPr>
              <w:t>Bereich die Verkehrsrouten zu bewirtschaften, abgetreten habe</w:t>
            </w:r>
            <w:r>
              <w:rPr>
                <w:sz w:val="20"/>
                <w:szCs w:val="20"/>
              </w:rPr>
              <w:t xml:space="preserve"> </w:t>
            </w:r>
            <w:r w:rsidRPr="00BE3728">
              <w:rPr>
                <w:sz w:val="20"/>
                <w:szCs w:val="20"/>
              </w:rPr>
              <w:t xml:space="preserve">– hier für 70 Jahre –, dann gelte im Zweifel, dass dies nicht der Fall sei, denn für dieses Ziel </w:t>
            </w:r>
            <w:r>
              <w:rPr>
                <w:sz w:val="20"/>
                <w:szCs w:val="20"/>
              </w:rPr>
              <w:t>hätten</w:t>
            </w:r>
            <w:r w:rsidRPr="00BE3728">
              <w:rPr>
                <w:sz w:val="20"/>
                <w:szCs w:val="20"/>
              </w:rPr>
              <w:t xml:space="preserve"> die Bürger den Staat errichtet</w:t>
            </w:r>
            <w:r>
              <w:rPr>
                <w:sz w:val="20"/>
                <w:szCs w:val="20"/>
              </w:rPr>
              <w:t>. D</w:t>
            </w:r>
            <w:r w:rsidRPr="00BE3728">
              <w:rPr>
                <w:sz w:val="20"/>
                <w:szCs w:val="20"/>
              </w:rPr>
              <w:t>ie Ausnahme: Der Staat ha</w:t>
            </w:r>
            <w:r>
              <w:rPr>
                <w:sz w:val="20"/>
                <w:szCs w:val="20"/>
              </w:rPr>
              <w:t>be</w:t>
            </w:r>
            <w:r w:rsidRPr="00BE3728">
              <w:rPr>
                <w:sz w:val="20"/>
                <w:szCs w:val="20"/>
              </w:rPr>
              <w:t xml:space="preserve"> explizit seine Kompetenz abgetreten. Das ha</w:t>
            </w:r>
            <w:r>
              <w:rPr>
                <w:sz w:val="20"/>
                <w:szCs w:val="20"/>
              </w:rPr>
              <w:t>be</w:t>
            </w:r>
            <w:r w:rsidRPr="00BE3728">
              <w:rPr>
                <w:sz w:val="20"/>
                <w:szCs w:val="20"/>
              </w:rPr>
              <w:t xml:space="preserve"> er</w:t>
            </w:r>
            <w:r>
              <w:rPr>
                <w:sz w:val="20"/>
                <w:szCs w:val="20"/>
              </w:rPr>
              <w:t xml:space="preserve"> hier</w:t>
            </w:r>
            <w:r w:rsidRPr="00BE3728">
              <w:rPr>
                <w:sz w:val="20"/>
                <w:szCs w:val="20"/>
              </w:rPr>
              <w:t xml:space="preserve"> nicht getan.</w:t>
            </w:r>
            <w:r w:rsidRPr="00BE3728">
              <w:rPr>
                <w:rStyle w:val="Funotenzeichen"/>
                <w:sz w:val="20"/>
                <w:szCs w:val="20"/>
              </w:rPr>
              <w:footnoteReference w:id="1497"/>
            </w:r>
          </w:p>
          <w:p w14:paraId="5A38E458" w14:textId="77777777" w:rsidR="00074551" w:rsidRPr="00BE3728" w:rsidRDefault="00074551" w:rsidP="00367133">
            <w:pPr>
              <w:jc w:val="both"/>
              <w:rPr>
                <w:sz w:val="20"/>
                <w:szCs w:val="20"/>
              </w:rPr>
            </w:pPr>
          </w:p>
          <w:p w14:paraId="539CEDD7"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stellte sich die Frage, was staatliche Eingriffe als oberste Prinzipien leiten. Der Staat muss sich bei Eingriffen wie öffentliche</w:t>
            </w:r>
            <w:r>
              <w:rPr>
                <w:sz w:val="20"/>
                <w:szCs w:val="20"/>
              </w:rPr>
              <w:t>n</w:t>
            </w:r>
            <w:r w:rsidRPr="00BE3728">
              <w:rPr>
                <w:sz w:val="20"/>
                <w:szCs w:val="20"/>
              </w:rPr>
              <w:t xml:space="preserve"> Zuschüsse</w:t>
            </w:r>
            <w:r>
              <w:rPr>
                <w:sz w:val="20"/>
                <w:szCs w:val="20"/>
              </w:rPr>
              <w:t>n</w:t>
            </w:r>
            <w:r w:rsidRPr="00BE3728">
              <w:rPr>
                <w:sz w:val="20"/>
                <w:szCs w:val="20"/>
              </w:rPr>
              <w:t xml:space="preserve"> grundsätzlich zurückhalten.</w:t>
            </w:r>
            <w:r w:rsidRPr="00BE3728">
              <w:rPr>
                <w:rStyle w:val="Funotenzeichen"/>
                <w:sz w:val="20"/>
                <w:szCs w:val="20"/>
              </w:rPr>
              <w:footnoteReference w:id="1498"/>
            </w:r>
            <w:r w:rsidRPr="00BE3728">
              <w:rPr>
                <w:sz w:val="20"/>
                <w:szCs w:val="20"/>
              </w:rPr>
              <w:t xml:space="preserve"> Damit streitet, dass</w:t>
            </w:r>
            <w:r>
              <w:rPr>
                <w:sz w:val="20"/>
                <w:szCs w:val="20"/>
              </w:rPr>
              <w:t xml:space="preserve"> es</w:t>
            </w:r>
            <w:r w:rsidRPr="00BE3728">
              <w:rPr>
                <w:sz w:val="20"/>
                <w:szCs w:val="20"/>
              </w:rPr>
              <w:t xml:space="preserve"> Zweck und Ziel jeder Regierung sei, das Glück und den Wohlstand der Gemeinschaft zu fördern („</w:t>
            </w:r>
            <w:proofErr w:type="spellStart"/>
            <w:r w:rsidRPr="00BE3728">
              <w:rPr>
                <w:sz w:val="20"/>
                <w:szCs w:val="20"/>
              </w:rPr>
              <w:t>object</w:t>
            </w:r>
            <w:proofErr w:type="spellEnd"/>
            <w:r w:rsidRPr="00BE3728">
              <w:rPr>
                <w:sz w:val="20"/>
                <w:szCs w:val="20"/>
              </w:rPr>
              <w:t xml:space="preserve"> and end of all </w:t>
            </w:r>
            <w:proofErr w:type="spellStart"/>
            <w:r w:rsidRPr="00BE3728">
              <w:rPr>
                <w:sz w:val="20"/>
                <w:szCs w:val="20"/>
              </w:rPr>
              <w:t>government</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to promote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the </w:t>
            </w:r>
            <w:proofErr w:type="spellStart"/>
            <w:r w:rsidRPr="00BE3728">
              <w:rPr>
                <w:sz w:val="20"/>
                <w:szCs w:val="20"/>
              </w:rPr>
              <w:t>community</w:t>
            </w:r>
            <w:proofErr w:type="spellEnd"/>
            <w:r w:rsidRPr="00BE3728">
              <w:rPr>
                <w:sz w:val="20"/>
                <w:szCs w:val="20"/>
              </w:rPr>
              <w:t>“</w:t>
            </w:r>
            <w:r w:rsidRPr="00BE3728">
              <w:rPr>
                <w:rStyle w:val="Funotenzeichen"/>
                <w:sz w:val="20"/>
                <w:szCs w:val="20"/>
              </w:rPr>
              <w:footnoteReference w:id="1499"/>
            </w:r>
            <w:r w:rsidRPr="00BE3728">
              <w:rPr>
                <w:sz w:val="20"/>
                <w:szCs w:val="20"/>
              </w:rPr>
              <w:t>). Das drück</w:t>
            </w:r>
            <w:r>
              <w:rPr>
                <w:sz w:val="20"/>
                <w:szCs w:val="20"/>
              </w:rPr>
              <w:t>e</w:t>
            </w:r>
            <w:r w:rsidRPr="00BE3728">
              <w:rPr>
                <w:sz w:val="20"/>
                <w:szCs w:val="20"/>
              </w:rPr>
              <w:t xml:space="preserve"> sich im Fall darin aus, dass der Staat Verkehrslinien errichten </w:t>
            </w:r>
            <w:r>
              <w:rPr>
                <w:sz w:val="20"/>
                <w:szCs w:val="20"/>
              </w:rPr>
              <w:t>könne</w:t>
            </w:r>
            <w:r w:rsidRPr="00BE3728">
              <w:rPr>
                <w:sz w:val="20"/>
                <w:szCs w:val="20"/>
              </w:rPr>
              <w:t xml:space="preserve">, um die Wirtschaft zu fördern, respektive Handelsrouten zu erschließen. Eine bisweilen vergebene Fährkonzession </w:t>
            </w:r>
            <w:r>
              <w:rPr>
                <w:sz w:val="20"/>
                <w:szCs w:val="20"/>
              </w:rPr>
              <w:t>könne</w:t>
            </w:r>
            <w:r w:rsidRPr="00BE3728">
              <w:rPr>
                <w:sz w:val="20"/>
                <w:szCs w:val="20"/>
              </w:rPr>
              <w:t xml:space="preserve"> den Gesetzgeber nicht daran hindern, den Bau einer Brücke in der Nähe der Fähre zu gewähren.</w:t>
            </w:r>
            <w:r w:rsidRPr="00BE3728">
              <w:rPr>
                <w:rStyle w:val="Funotenzeichen"/>
                <w:sz w:val="20"/>
                <w:szCs w:val="20"/>
              </w:rPr>
              <w:footnoteReference w:id="1500"/>
            </w:r>
          </w:p>
          <w:p w14:paraId="465D4432" w14:textId="77777777" w:rsidR="00074551" w:rsidRPr="00E50B51" w:rsidRDefault="00074551" w:rsidP="00367133">
            <w:pPr>
              <w:jc w:val="both"/>
              <w:rPr>
                <w:sz w:val="20"/>
                <w:szCs w:val="20"/>
              </w:rPr>
            </w:pPr>
          </w:p>
        </w:tc>
      </w:tr>
      <w:tr w:rsidR="00074551" w:rsidRPr="00E50B51" w14:paraId="51FC6554" w14:textId="77777777" w:rsidTr="00203768">
        <w:trPr>
          <w:cantSplit/>
          <w:trHeight w:val="3175"/>
        </w:trPr>
        <w:tc>
          <w:tcPr>
            <w:tcW w:w="293" w:type="pct"/>
            <w:shd w:val="clear" w:color="auto" w:fill="E7E6E6" w:themeFill="background2"/>
          </w:tcPr>
          <w:p w14:paraId="4CEF540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1477B6AA"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4FA7569F" w14:textId="77777777" w:rsidR="00074551" w:rsidRPr="00E50B51" w:rsidRDefault="00074551" w:rsidP="00367133">
            <w:pPr>
              <w:ind w:left="113" w:right="113"/>
              <w:jc w:val="both"/>
              <w:rPr>
                <w:sz w:val="20"/>
                <w:szCs w:val="20"/>
              </w:rPr>
            </w:pPr>
            <w:r w:rsidRPr="00E50B51">
              <w:rPr>
                <w:sz w:val="20"/>
                <w:szCs w:val="20"/>
              </w:rPr>
              <w:t xml:space="preserve">State </w:t>
            </w:r>
            <w:proofErr w:type="spellStart"/>
            <w:r w:rsidRPr="00E50B51">
              <w:rPr>
                <w:sz w:val="20"/>
                <w:szCs w:val="20"/>
              </w:rPr>
              <w:t>Application</w:t>
            </w:r>
            <w:proofErr w:type="spellEnd"/>
          </w:p>
        </w:tc>
        <w:tc>
          <w:tcPr>
            <w:tcW w:w="306" w:type="pct"/>
            <w:shd w:val="clear" w:color="auto" w:fill="E7E6E6" w:themeFill="background2"/>
            <w:textDirection w:val="tbRl"/>
            <w:vAlign w:val="center"/>
          </w:tcPr>
          <w:p w14:paraId="61B2FACF"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2A4CCA5E"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EFC3297" w14:textId="77777777" w:rsidR="00074551" w:rsidRPr="00E50B51" w:rsidRDefault="00074551" w:rsidP="00367133">
            <w:pPr>
              <w:jc w:val="both"/>
              <w:rPr>
                <w:sz w:val="20"/>
                <w:szCs w:val="20"/>
              </w:rPr>
            </w:pPr>
          </w:p>
        </w:tc>
        <w:tc>
          <w:tcPr>
            <w:tcW w:w="1822" w:type="pct"/>
            <w:shd w:val="clear" w:color="auto" w:fill="E7E6E6" w:themeFill="background2"/>
          </w:tcPr>
          <w:p w14:paraId="0C2DBEC6" w14:textId="547DF79A"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5E5FBD2A" w14:textId="77777777" w:rsidTr="00BE689F">
        <w:trPr>
          <w:cantSplit/>
          <w:trHeight w:val="3175"/>
        </w:trPr>
        <w:tc>
          <w:tcPr>
            <w:tcW w:w="293" w:type="pct"/>
          </w:tcPr>
          <w:p w14:paraId="5AC83895"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E2F89A4" w14:textId="77777777" w:rsidR="00074551" w:rsidRPr="00E50B51" w:rsidRDefault="00074551" w:rsidP="00367133">
            <w:pPr>
              <w:ind w:left="113" w:right="416"/>
              <w:jc w:val="both"/>
              <w:rPr>
                <w:sz w:val="20"/>
                <w:szCs w:val="20"/>
              </w:rPr>
            </w:pPr>
            <w:r w:rsidRPr="00B35CD0">
              <w:rPr>
                <w:i/>
                <w:sz w:val="20"/>
                <w:szCs w:val="20"/>
                <w:lang w:val="en-US"/>
              </w:rPr>
              <w:t>Bute v. Illinois</w:t>
            </w:r>
          </w:p>
        </w:tc>
        <w:tc>
          <w:tcPr>
            <w:tcW w:w="197" w:type="pct"/>
            <w:textDirection w:val="tbRl"/>
            <w:vAlign w:val="center"/>
          </w:tcPr>
          <w:p w14:paraId="10C0266F" w14:textId="77777777" w:rsidR="00074551" w:rsidRPr="00E50B51" w:rsidRDefault="00074551" w:rsidP="00367133">
            <w:pPr>
              <w:ind w:left="113" w:right="113"/>
              <w:jc w:val="both"/>
              <w:rPr>
                <w:sz w:val="20"/>
                <w:szCs w:val="20"/>
              </w:rPr>
            </w:pPr>
            <w:r w:rsidRPr="00E50B51">
              <w:rPr>
                <w:sz w:val="20"/>
                <w:szCs w:val="20"/>
                <w:lang w:val="en-US"/>
              </w:rPr>
              <w:t>333 U.S. 640</w:t>
            </w:r>
          </w:p>
        </w:tc>
        <w:tc>
          <w:tcPr>
            <w:tcW w:w="306" w:type="pct"/>
            <w:textDirection w:val="tbRl"/>
            <w:vAlign w:val="center"/>
          </w:tcPr>
          <w:p w14:paraId="368F193C" w14:textId="77777777" w:rsidR="00074551" w:rsidRPr="00E50B51" w:rsidRDefault="00074551" w:rsidP="00367133">
            <w:pPr>
              <w:ind w:left="113" w:right="113"/>
              <w:jc w:val="both"/>
              <w:rPr>
                <w:sz w:val="20"/>
                <w:szCs w:val="20"/>
              </w:rPr>
            </w:pPr>
            <w:r w:rsidRPr="00E50B51">
              <w:rPr>
                <w:sz w:val="20"/>
                <w:szCs w:val="20"/>
              </w:rPr>
              <w:t>19. April 1948</w:t>
            </w:r>
          </w:p>
        </w:tc>
        <w:tc>
          <w:tcPr>
            <w:tcW w:w="401" w:type="pct"/>
          </w:tcPr>
          <w:p w14:paraId="2AC7F362" w14:textId="77777777" w:rsidR="00074551" w:rsidRPr="00E50B51" w:rsidRDefault="00074551" w:rsidP="00367133">
            <w:pPr>
              <w:jc w:val="center"/>
              <w:rPr>
                <w:sz w:val="20"/>
                <w:szCs w:val="20"/>
              </w:rPr>
            </w:pPr>
            <w:r w:rsidRPr="00E50B51">
              <w:rPr>
                <w:sz w:val="20"/>
                <w:szCs w:val="20"/>
              </w:rPr>
              <w:t>M</w:t>
            </w:r>
          </w:p>
        </w:tc>
        <w:tc>
          <w:tcPr>
            <w:tcW w:w="1594" w:type="pct"/>
          </w:tcPr>
          <w:p w14:paraId="53D0AF3F" w14:textId="7FA5111A" w:rsidR="00074551" w:rsidRPr="00E50B51" w:rsidRDefault="00074551" w:rsidP="00367133">
            <w:pPr>
              <w:jc w:val="both"/>
              <w:rPr>
                <w:sz w:val="20"/>
                <w:szCs w:val="20"/>
              </w:rPr>
            </w:pPr>
            <w:r w:rsidRPr="00E50B51">
              <w:rPr>
                <w:sz w:val="20"/>
                <w:szCs w:val="20"/>
              </w:rPr>
              <w:t xml:space="preserve">Im Fall klagte zunächst die Staatsanwaltschaft Roy </w:t>
            </w:r>
            <w:proofErr w:type="spellStart"/>
            <w:r w:rsidRPr="00E50B51">
              <w:rPr>
                <w:sz w:val="20"/>
                <w:szCs w:val="20"/>
              </w:rPr>
              <w:t>Bute</w:t>
            </w:r>
            <w:proofErr w:type="spellEnd"/>
            <w:r w:rsidRPr="00E50B51">
              <w:rPr>
                <w:sz w:val="20"/>
                <w:szCs w:val="20"/>
              </w:rPr>
              <w:t xml:space="preserve"> an, sich unzüchtig an Kindern vergangen zu haben. Er hatte aber keinen Anwalt und das Gericht (</w:t>
            </w:r>
            <w:r w:rsidRPr="5B67C1D2">
              <w:rPr>
                <w:i/>
                <w:iCs/>
                <w:sz w:val="20"/>
                <w:szCs w:val="20"/>
              </w:rPr>
              <w:t>Trial Court</w:t>
            </w:r>
            <w:r w:rsidRPr="00E50B51">
              <w:rPr>
                <w:sz w:val="20"/>
                <w:szCs w:val="20"/>
              </w:rPr>
              <w:t xml:space="preserve">) bestellte auch keinen. </w:t>
            </w:r>
            <w:proofErr w:type="spellStart"/>
            <w:r w:rsidRPr="00E50B51">
              <w:rPr>
                <w:sz w:val="20"/>
                <w:szCs w:val="20"/>
              </w:rPr>
              <w:t>Bute</w:t>
            </w:r>
            <w:proofErr w:type="spellEnd"/>
            <w:r w:rsidRPr="00E50B51">
              <w:rPr>
                <w:sz w:val="20"/>
                <w:szCs w:val="20"/>
              </w:rPr>
              <w:t xml:space="preserve"> bekannte sich dennoch schuldig. Daraufhin verurteilte ihn der </w:t>
            </w:r>
            <w:r w:rsidRPr="5B67C1D2">
              <w:rPr>
                <w:i/>
                <w:iCs/>
                <w:sz w:val="20"/>
                <w:szCs w:val="20"/>
              </w:rPr>
              <w:t>Trial Court</w:t>
            </w:r>
            <w:r w:rsidRPr="00E50B51" w:rsidDel="00241BA6">
              <w:rPr>
                <w:sz w:val="20"/>
                <w:szCs w:val="20"/>
              </w:rPr>
              <w:t xml:space="preserve"> </w:t>
            </w:r>
            <w:r w:rsidRPr="00E50B51">
              <w:rPr>
                <w:sz w:val="20"/>
                <w:szCs w:val="20"/>
              </w:rPr>
              <w:t xml:space="preserve">zu einer Haftstrafe von 20 Jahren. Der </w:t>
            </w:r>
            <w:r w:rsidRPr="5B67C1D2">
              <w:rPr>
                <w:i/>
                <w:iCs/>
                <w:sz w:val="20"/>
                <w:szCs w:val="20"/>
              </w:rPr>
              <w:t>Supreme Court of Illinois</w:t>
            </w:r>
            <w:r w:rsidRPr="00E50B51">
              <w:rPr>
                <w:sz w:val="20"/>
                <w:szCs w:val="20"/>
              </w:rPr>
              <w:t xml:space="preserve"> bestätigte die Strafe. An den </w:t>
            </w:r>
            <w:r>
              <w:rPr>
                <w:sz w:val="20"/>
                <w:szCs w:val="20"/>
              </w:rPr>
              <w:t>U.S. Supreme Court</w:t>
            </w:r>
            <w:r w:rsidRPr="00E50B51">
              <w:rPr>
                <w:sz w:val="20"/>
                <w:szCs w:val="20"/>
              </w:rPr>
              <w:t xml:space="preserve"> richtete sich dann die Frage: Hätte ein faires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einen Anwalt für die Verteidigung von </w:t>
            </w:r>
            <w:proofErr w:type="spellStart"/>
            <w:r w:rsidRPr="00E50B51">
              <w:rPr>
                <w:sz w:val="20"/>
                <w:szCs w:val="20"/>
              </w:rPr>
              <w:t>Bute</w:t>
            </w:r>
            <w:proofErr w:type="spellEnd"/>
            <w:r w:rsidRPr="00E50B51">
              <w:rPr>
                <w:sz w:val="20"/>
                <w:szCs w:val="20"/>
              </w:rPr>
              <w:t xml:space="preserve"> verlangt? Laut </w:t>
            </w:r>
            <w:r>
              <w:rPr>
                <w:sz w:val="20"/>
                <w:szCs w:val="20"/>
              </w:rPr>
              <w:t>U.S. Supreme Court</w:t>
            </w:r>
            <w:r w:rsidRPr="00E50B51">
              <w:rPr>
                <w:sz w:val="20"/>
                <w:szCs w:val="20"/>
              </w:rPr>
              <w:t xml:space="preserve"> sei ein Anwalt nicht erforderlich gewesen.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verpflichte den Bundesstaat nicht, einen Anwalt zu stellen oder zu prüfen, ob der Angeklagte einen Anwalt wünsch</w:t>
            </w:r>
            <w:r>
              <w:rPr>
                <w:sz w:val="20"/>
                <w:szCs w:val="20"/>
              </w:rPr>
              <w:t>e</w:t>
            </w:r>
            <w:r w:rsidRPr="00E50B51">
              <w:rPr>
                <w:sz w:val="20"/>
                <w:szCs w:val="20"/>
              </w:rPr>
              <w:t>, soweit dieser keinen gegenteiligen Willen geäußert ha</w:t>
            </w:r>
            <w:r>
              <w:rPr>
                <w:sz w:val="20"/>
                <w:szCs w:val="20"/>
              </w:rPr>
              <w:t>b</w:t>
            </w:r>
            <w:r w:rsidRPr="00E50B51">
              <w:rPr>
                <w:sz w:val="20"/>
                <w:szCs w:val="20"/>
              </w:rPr>
              <w:t xml:space="preserve">e. D.h. ein Schweigen seinerseits </w:t>
            </w:r>
            <w:r>
              <w:rPr>
                <w:sz w:val="20"/>
                <w:szCs w:val="20"/>
              </w:rPr>
              <w:t>bedürfe</w:t>
            </w:r>
            <w:r w:rsidRPr="00E50B51">
              <w:rPr>
                <w:sz w:val="20"/>
                <w:szCs w:val="20"/>
              </w:rPr>
              <w:t xml:space="preserve"> keiner weiteren Prüfung. Überdies </w:t>
            </w:r>
            <w:r>
              <w:rPr>
                <w:sz w:val="20"/>
                <w:szCs w:val="20"/>
              </w:rPr>
              <w:t>seien</w:t>
            </w:r>
            <w:r w:rsidRPr="00E50B51">
              <w:rPr>
                <w:sz w:val="20"/>
                <w:szCs w:val="20"/>
              </w:rPr>
              <w:t xml:space="preserve"> staatliche Gerichte (</w:t>
            </w:r>
            <w:proofErr w:type="spellStart"/>
            <w:r w:rsidRPr="5B67C1D2">
              <w:rPr>
                <w:i/>
                <w:iCs/>
                <w:sz w:val="20"/>
                <w:szCs w:val="20"/>
              </w:rPr>
              <w:t>state</w:t>
            </w:r>
            <w:proofErr w:type="spellEnd"/>
            <w:r w:rsidRPr="5B67C1D2">
              <w:rPr>
                <w:i/>
                <w:iCs/>
                <w:sz w:val="20"/>
                <w:szCs w:val="20"/>
              </w:rPr>
              <w:t xml:space="preserve"> </w:t>
            </w:r>
            <w:proofErr w:type="spellStart"/>
            <w:r w:rsidRPr="5B67C1D2">
              <w:rPr>
                <w:i/>
                <w:iCs/>
                <w:sz w:val="20"/>
                <w:szCs w:val="20"/>
              </w:rPr>
              <w:t>courts</w:t>
            </w:r>
            <w:proofErr w:type="spellEnd"/>
            <w:r w:rsidRPr="00E50B51">
              <w:rPr>
                <w:sz w:val="20"/>
                <w:szCs w:val="20"/>
              </w:rPr>
              <w:t>) nicht an die Verfahren gebunden, die Bundesgerichte (</w:t>
            </w:r>
            <w:proofErr w:type="spellStart"/>
            <w:r w:rsidRPr="5B67C1D2">
              <w:rPr>
                <w:i/>
                <w:iCs/>
                <w:sz w:val="20"/>
                <w:szCs w:val="20"/>
              </w:rPr>
              <w:t>federal</w:t>
            </w:r>
            <w:proofErr w:type="spellEnd"/>
            <w:r w:rsidRPr="5B67C1D2">
              <w:rPr>
                <w:i/>
                <w:iCs/>
                <w:sz w:val="20"/>
                <w:szCs w:val="20"/>
              </w:rPr>
              <w:t xml:space="preserve"> </w:t>
            </w:r>
            <w:proofErr w:type="spellStart"/>
            <w:r w:rsidRPr="5B67C1D2">
              <w:rPr>
                <w:i/>
                <w:iCs/>
                <w:sz w:val="20"/>
                <w:szCs w:val="20"/>
              </w:rPr>
              <w:t>courts</w:t>
            </w:r>
            <w:proofErr w:type="spellEnd"/>
            <w:r w:rsidRPr="00E50B51">
              <w:rPr>
                <w:sz w:val="20"/>
                <w:szCs w:val="20"/>
              </w:rPr>
              <w:t>) befolgen – hier bei der Bestellung eines Verteidigers (</w:t>
            </w:r>
            <w:proofErr w:type="spellStart"/>
            <w:r w:rsidRPr="5B67C1D2">
              <w:rPr>
                <w:i/>
                <w:iCs/>
                <w:sz w:val="20"/>
                <w:szCs w:val="20"/>
              </w:rPr>
              <w:t>state</w:t>
            </w:r>
            <w:proofErr w:type="spellEnd"/>
            <w:r w:rsidRPr="5B67C1D2">
              <w:rPr>
                <w:i/>
                <w:iCs/>
                <w:sz w:val="20"/>
                <w:szCs w:val="20"/>
              </w:rPr>
              <w:t xml:space="preserve"> </w:t>
            </w:r>
            <w:proofErr w:type="spellStart"/>
            <w:r w:rsidRPr="5B67C1D2">
              <w:rPr>
                <w:i/>
                <w:iCs/>
                <w:sz w:val="20"/>
                <w:szCs w:val="20"/>
              </w:rPr>
              <w:t>application</w:t>
            </w:r>
            <w:proofErr w:type="spellEnd"/>
            <w:r w:rsidRPr="00E50B51">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rStyle w:val="Funotenzeichen"/>
                <w:rFonts w:eastAsiaTheme="majorEastAsia"/>
                <w:sz w:val="20"/>
                <w:szCs w:val="20"/>
              </w:rPr>
              <w:footnoteReference w:id="1501"/>
            </w:r>
            <w:r w:rsidRPr="00E50B51">
              <w:rPr>
                <w:sz w:val="20"/>
                <w:szCs w:val="20"/>
              </w:rPr>
              <w:t xml:space="preserve"> Bundesstaaten könn</w:t>
            </w:r>
            <w:r>
              <w:rPr>
                <w:sz w:val="20"/>
                <w:szCs w:val="20"/>
              </w:rPr>
              <w:t>t</w:t>
            </w:r>
            <w:r w:rsidRPr="00E50B51">
              <w:rPr>
                <w:sz w:val="20"/>
                <w:szCs w:val="20"/>
              </w:rPr>
              <w:t>en die Voraussetzungen für den Beistand eines Anwalts selbst bestimmen.</w:t>
            </w:r>
          </w:p>
          <w:p w14:paraId="07DFEA05" w14:textId="77777777" w:rsidR="00074551" w:rsidRPr="00E50B51" w:rsidRDefault="00074551" w:rsidP="00367133">
            <w:pPr>
              <w:jc w:val="both"/>
              <w:rPr>
                <w:sz w:val="20"/>
                <w:szCs w:val="20"/>
              </w:rPr>
            </w:pPr>
          </w:p>
        </w:tc>
        <w:tc>
          <w:tcPr>
            <w:tcW w:w="1822" w:type="pct"/>
          </w:tcPr>
          <w:p w14:paraId="34216509" w14:textId="77777777" w:rsidR="00074551" w:rsidRDefault="00074551" w:rsidP="00367133">
            <w:pPr>
              <w:jc w:val="both"/>
              <w:rPr>
                <w:sz w:val="20"/>
                <w:szCs w:val="20"/>
              </w:rPr>
            </w:pPr>
            <w:r w:rsidRPr="00A3524C">
              <w:rPr>
                <w:sz w:val="20"/>
                <w:szCs w:val="20"/>
              </w:rPr>
              <w:t xml:space="preserve">In </w:t>
            </w:r>
            <w:proofErr w:type="spellStart"/>
            <w:r w:rsidRPr="00B35CD0">
              <w:rPr>
                <w:i/>
                <w:sz w:val="20"/>
                <w:szCs w:val="20"/>
              </w:rPr>
              <w:t>Bute</w:t>
            </w:r>
            <w:proofErr w:type="spellEnd"/>
            <w:r w:rsidRPr="00B35CD0">
              <w:rPr>
                <w:i/>
                <w:sz w:val="20"/>
                <w:szCs w:val="20"/>
              </w:rPr>
              <w:t xml:space="preserve"> v. Illinois</w:t>
            </w:r>
            <w:r w:rsidRPr="00A3524C">
              <w:rPr>
                <w:sz w:val="20"/>
                <w:szCs w:val="20"/>
              </w:rPr>
              <w:t xml:space="preserve"> erklärt der </w:t>
            </w:r>
            <w:r>
              <w:rPr>
                <w:sz w:val="20"/>
                <w:szCs w:val="20"/>
              </w:rPr>
              <w:t>U.S. Supreme Court</w:t>
            </w:r>
            <w:r w:rsidRPr="00A3524C">
              <w:rPr>
                <w:sz w:val="20"/>
                <w:szCs w:val="20"/>
              </w:rPr>
              <w:t xml:space="preserve"> u.a</w:t>
            </w:r>
            <w:r>
              <w:rPr>
                <w:sz w:val="20"/>
                <w:szCs w:val="20"/>
              </w:rPr>
              <w:t>.</w:t>
            </w:r>
            <w:r w:rsidRPr="00A3524C">
              <w:rPr>
                <w:sz w:val="20"/>
                <w:szCs w:val="20"/>
              </w:rPr>
              <w:t xml:space="preserve"> den Zusammenhang von Gewaltenteilung und dem Streben nach Glück: Das Streben nach Glück sei nah am Bürger zu verwirklichen, weshalb sich die Kompetenzverteilung und vor allem die Selbstverwaltung danach ausrichten müsse.</w:t>
            </w:r>
          </w:p>
          <w:p w14:paraId="002DCBFC" w14:textId="77777777" w:rsidR="00074551" w:rsidRPr="00A3524C" w:rsidRDefault="00074551" w:rsidP="00367133">
            <w:pPr>
              <w:jc w:val="both"/>
              <w:rPr>
                <w:sz w:val="20"/>
                <w:szCs w:val="20"/>
              </w:rPr>
            </w:pPr>
          </w:p>
          <w:p w14:paraId="77F7417C" w14:textId="2AF95848" w:rsidR="00074551" w:rsidRPr="00A3524C" w:rsidRDefault="00074551" w:rsidP="00367133">
            <w:pPr>
              <w:jc w:val="both"/>
              <w:rPr>
                <w:sz w:val="20"/>
                <w:szCs w:val="20"/>
              </w:rPr>
            </w:pPr>
            <w:r w:rsidRPr="00A3524C">
              <w:rPr>
                <w:sz w:val="20"/>
                <w:szCs w:val="20"/>
              </w:rPr>
              <w:t xml:space="preserve">Die Grenze für einen Bundesstaat, die Beistandspraxis zu regeln, seien die Freiheitsrechte („the </w:t>
            </w:r>
            <w:proofErr w:type="spellStart"/>
            <w:r w:rsidRPr="00A3524C">
              <w:rPr>
                <w:sz w:val="20"/>
                <w:szCs w:val="20"/>
              </w:rPr>
              <w:t>very</w:t>
            </w:r>
            <w:proofErr w:type="spellEnd"/>
            <w:r w:rsidRPr="00A3524C">
              <w:rPr>
                <w:sz w:val="20"/>
                <w:szCs w:val="20"/>
              </w:rPr>
              <w:t xml:space="preserve"> </w:t>
            </w:r>
            <w:proofErr w:type="spellStart"/>
            <w:r w:rsidRPr="00A3524C">
              <w:rPr>
                <w:sz w:val="20"/>
                <w:szCs w:val="20"/>
              </w:rPr>
              <w:t>essence</w:t>
            </w:r>
            <w:proofErr w:type="spellEnd"/>
            <w:r w:rsidRPr="00A3524C">
              <w:rPr>
                <w:sz w:val="20"/>
                <w:szCs w:val="20"/>
              </w:rPr>
              <w:t xml:space="preserve"> of a </w:t>
            </w:r>
            <w:proofErr w:type="spellStart"/>
            <w:r w:rsidRPr="00A3524C">
              <w:rPr>
                <w:sz w:val="20"/>
                <w:szCs w:val="20"/>
              </w:rPr>
              <w:t>scheme</w:t>
            </w:r>
            <w:proofErr w:type="spellEnd"/>
            <w:r w:rsidRPr="00A3524C">
              <w:rPr>
                <w:sz w:val="20"/>
                <w:szCs w:val="20"/>
              </w:rPr>
              <w:t xml:space="preserve"> of </w:t>
            </w:r>
            <w:proofErr w:type="spellStart"/>
            <w:r w:rsidRPr="00A3524C">
              <w:rPr>
                <w:sz w:val="20"/>
                <w:szCs w:val="20"/>
              </w:rPr>
              <w:t>ordered</w:t>
            </w:r>
            <w:proofErr w:type="spellEnd"/>
            <w:r w:rsidRPr="00A3524C">
              <w:rPr>
                <w:sz w:val="20"/>
                <w:szCs w:val="20"/>
              </w:rPr>
              <w:t xml:space="preserve"> </w:t>
            </w:r>
            <w:proofErr w:type="spellStart"/>
            <w:r w:rsidRPr="00A3524C">
              <w:rPr>
                <w:sz w:val="20"/>
                <w:szCs w:val="20"/>
              </w:rPr>
              <w:t>liberty</w:t>
            </w:r>
            <w:proofErr w:type="spellEnd"/>
            <w:r>
              <w:rPr>
                <w:sz w:val="20"/>
                <w:szCs w:val="20"/>
              </w:rPr>
              <w:t>“</w:t>
            </w:r>
            <w:r>
              <w:rPr>
                <w:rStyle w:val="Funotenzeichen"/>
                <w:sz w:val="20"/>
                <w:szCs w:val="20"/>
              </w:rPr>
              <w:footnoteReference w:id="1502"/>
            </w:r>
            <w:r w:rsidRPr="00A3524C">
              <w:rPr>
                <w:sz w:val="20"/>
                <w:szCs w:val="20"/>
              </w:rPr>
              <w:t>) und das Gerechtigkeitsprinzip („</w:t>
            </w:r>
            <w:proofErr w:type="spellStart"/>
            <w:r w:rsidRPr="00A3524C">
              <w:rPr>
                <w:sz w:val="20"/>
                <w:szCs w:val="20"/>
              </w:rPr>
              <w:t>principle</w:t>
            </w:r>
            <w:proofErr w:type="spellEnd"/>
            <w:r w:rsidRPr="00A3524C">
              <w:rPr>
                <w:sz w:val="20"/>
                <w:szCs w:val="20"/>
              </w:rPr>
              <w:t xml:space="preserve"> of </w:t>
            </w:r>
            <w:proofErr w:type="spellStart"/>
            <w:r w:rsidRPr="00A3524C">
              <w:rPr>
                <w:sz w:val="20"/>
                <w:szCs w:val="20"/>
              </w:rPr>
              <w:t>justice</w:t>
            </w:r>
            <w:proofErr w:type="spellEnd"/>
            <w:r w:rsidRPr="00A3524C">
              <w:rPr>
                <w:sz w:val="20"/>
                <w:szCs w:val="20"/>
              </w:rPr>
              <w:t xml:space="preserve"> so </w:t>
            </w:r>
            <w:proofErr w:type="spellStart"/>
            <w:r w:rsidRPr="00A3524C">
              <w:rPr>
                <w:sz w:val="20"/>
                <w:szCs w:val="20"/>
              </w:rPr>
              <w:t>rooted</w:t>
            </w:r>
            <w:proofErr w:type="spellEnd"/>
            <w:r w:rsidRPr="00A3524C">
              <w:rPr>
                <w:sz w:val="20"/>
                <w:szCs w:val="20"/>
              </w:rPr>
              <w:t xml:space="preserve"> in the </w:t>
            </w:r>
            <w:proofErr w:type="spellStart"/>
            <w:r w:rsidRPr="00A3524C">
              <w:rPr>
                <w:sz w:val="20"/>
                <w:szCs w:val="20"/>
              </w:rPr>
              <w:t>traditions</w:t>
            </w:r>
            <w:proofErr w:type="spellEnd"/>
            <w:r w:rsidRPr="00A3524C">
              <w:rPr>
                <w:sz w:val="20"/>
                <w:szCs w:val="20"/>
              </w:rPr>
              <w:t xml:space="preserve"> and </w:t>
            </w:r>
            <w:proofErr w:type="spellStart"/>
            <w:r w:rsidRPr="00A3524C">
              <w:rPr>
                <w:sz w:val="20"/>
                <w:szCs w:val="20"/>
              </w:rPr>
              <w:t>conscience</w:t>
            </w:r>
            <w:proofErr w:type="spellEnd"/>
            <w:r w:rsidRPr="00A3524C">
              <w:rPr>
                <w:sz w:val="20"/>
                <w:szCs w:val="20"/>
              </w:rPr>
              <w:t xml:space="preserve"> of </w:t>
            </w:r>
            <w:proofErr w:type="spellStart"/>
            <w:r w:rsidRPr="00A3524C">
              <w:rPr>
                <w:sz w:val="20"/>
                <w:szCs w:val="20"/>
              </w:rPr>
              <w:t>our</w:t>
            </w:r>
            <w:proofErr w:type="spellEnd"/>
            <w:r w:rsidRPr="00A3524C">
              <w:rPr>
                <w:sz w:val="20"/>
                <w:szCs w:val="20"/>
              </w:rPr>
              <w:t xml:space="preserve"> </w:t>
            </w:r>
            <w:proofErr w:type="spellStart"/>
            <w:r w:rsidRPr="00A3524C">
              <w:rPr>
                <w:sz w:val="20"/>
                <w:szCs w:val="20"/>
              </w:rPr>
              <w:t>people</w:t>
            </w:r>
            <w:proofErr w:type="spellEnd"/>
            <w:r w:rsidRPr="00A3524C">
              <w:rPr>
                <w:sz w:val="20"/>
                <w:szCs w:val="20"/>
              </w:rPr>
              <w:t xml:space="preserve"> as to </w:t>
            </w:r>
            <w:proofErr w:type="spellStart"/>
            <w:r w:rsidRPr="00A3524C">
              <w:rPr>
                <w:sz w:val="20"/>
                <w:szCs w:val="20"/>
              </w:rPr>
              <w:t>be</w:t>
            </w:r>
            <w:proofErr w:type="spellEnd"/>
            <w:r w:rsidRPr="00A3524C">
              <w:rPr>
                <w:sz w:val="20"/>
                <w:szCs w:val="20"/>
              </w:rPr>
              <w:t xml:space="preserve"> </w:t>
            </w:r>
            <w:proofErr w:type="spellStart"/>
            <w:r w:rsidRPr="00A3524C">
              <w:rPr>
                <w:sz w:val="20"/>
                <w:szCs w:val="20"/>
              </w:rPr>
              <w:t>ranked</w:t>
            </w:r>
            <w:proofErr w:type="spellEnd"/>
            <w:r w:rsidRPr="00A3524C">
              <w:rPr>
                <w:sz w:val="20"/>
                <w:szCs w:val="20"/>
              </w:rPr>
              <w:t xml:space="preserve"> as fundamental“</w:t>
            </w:r>
            <w:r>
              <w:rPr>
                <w:rStyle w:val="Funotenzeichen"/>
                <w:sz w:val="20"/>
                <w:szCs w:val="20"/>
              </w:rPr>
              <w:footnoteReference w:id="1503"/>
            </w:r>
            <w:r w:rsidRPr="00A3524C">
              <w:rPr>
                <w:sz w:val="20"/>
                <w:szCs w:val="20"/>
              </w:rPr>
              <w:t xml:space="preserve">) nach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3524C">
              <w:rPr>
                <w:sz w:val="20"/>
                <w:szCs w:val="20"/>
              </w:rPr>
              <w:t xml:space="preserve"> Aus dieser absoluten Grenze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A3524C">
              <w:rPr>
                <w:sz w:val="20"/>
                <w:szCs w:val="20"/>
              </w:rPr>
              <w:t xml:space="preserve"> für das Handeln der Bundesstaaten wie Illinois entwickelt der </w:t>
            </w:r>
            <w:r>
              <w:rPr>
                <w:sz w:val="20"/>
                <w:szCs w:val="20"/>
              </w:rPr>
              <w:t>U.S. Supreme Court</w:t>
            </w:r>
            <w:r w:rsidRPr="00A3524C">
              <w:rPr>
                <w:sz w:val="20"/>
                <w:szCs w:val="20"/>
              </w:rPr>
              <w:t xml:space="preserve"> dann eine Begründungskulisse anhand des Strebens nach Glück dazu, wie sich Staatsgewalten abgrenzen: Der </w:t>
            </w:r>
            <w:r>
              <w:rPr>
                <w:sz w:val="20"/>
                <w:szCs w:val="20"/>
              </w:rPr>
              <w:t>U.S. Supreme Court</w:t>
            </w:r>
            <w:r w:rsidRPr="00A3524C">
              <w:rPr>
                <w:sz w:val="20"/>
                <w:szCs w:val="20"/>
              </w:rPr>
              <w:t xml:space="preserve"> beginnt damit, dass als Kernkonzept der Verfassung von 1787 zwischen Bundesstaaten und Bundesregierung sich die Gewalten teilen.</w:t>
            </w:r>
            <w:r w:rsidRPr="00A3524C">
              <w:rPr>
                <w:sz w:val="20"/>
                <w:szCs w:val="20"/>
                <w:vertAlign w:val="superscript"/>
              </w:rPr>
              <w:footnoteReference w:id="1504"/>
            </w:r>
            <w:r w:rsidRPr="00A3524C">
              <w:rPr>
                <w:sz w:val="20"/>
                <w:szCs w:val="20"/>
              </w:rPr>
              <w:t xml:space="preserve"> Die </w:t>
            </w:r>
            <w:r w:rsidRPr="5B67C1D2">
              <w:rPr>
                <w:i/>
                <w:iCs/>
                <w:sz w:val="20"/>
                <w:szCs w:val="20"/>
              </w:rPr>
              <w:t>Bill of Rights</w:t>
            </w:r>
            <w:r w:rsidRPr="00A3524C">
              <w:rPr>
                <w:sz w:val="20"/>
                <w:szCs w:val="20"/>
              </w:rPr>
              <w:t xml:space="preserve"> von 1791 mit 10 </w:t>
            </w:r>
            <w:r w:rsidRPr="00B45592">
              <w:rPr>
                <w:sz w:val="20"/>
                <w:szCs w:val="20"/>
              </w:rPr>
              <w:t>Amendments</w:t>
            </w:r>
            <w:r w:rsidRPr="00A3524C">
              <w:rPr>
                <w:sz w:val="20"/>
                <w:szCs w:val="20"/>
              </w:rPr>
              <w:t xml:space="preserve"> vertiefte diese Gewaltenteilung. Konkret drängte die Bill of Rights mit ihren </w:t>
            </w:r>
            <w:r w:rsidRPr="00B45592">
              <w:rPr>
                <w:sz w:val="20"/>
                <w:szCs w:val="20"/>
              </w:rPr>
              <w:t>Amendments</w:t>
            </w:r>
            <w:r w:rsidRPr="5B67C1D2">
              <w:rPr>
                <w:i/>
                <w:iCs/>
                <w:sz w:val="20"/>
                <w:szCs w:val="20"/>
              </w:rPr>
              <w:t xml:space="preserve"> </w:t>
            </w:r>
            <w:r w:rsidRPr="00A3524C">
              <w:rPr>
                <w:sz w:val="20"/>
                <w:szCs w:val="20"/>
              </w:rPr>
              <w:t xml:space="preserve">die Bundesregierung und Bundesgerichte in ihrer Gewaltenausübung zurück, zugunsten der Bundesstaaten. Indes schränkte sie die Bundesstaaten nicht weiter ein. Im Gegenteil: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IX und X</w:t>
            </w:r>
            <w:r w:rsidRPr="00A3524C">
              <w:rPr>
                <w:sz w:val="20"/>
                <w:szCs w:val="20"/>
              </w:rPr>
              <w:t xml:space="preserve"> stärkte die </w:t>
            </w:r>
            <w:r w:rsidRPr="5B67C1D2">
              <w:rPr>
                <w:i/>
                <w:iCs/>
                <w:sz w:val="20"/>
                <w:szCs w:val="20"/>
              </w:rPr>
              <w:t>Bill of Rights</w:t>
            </w:r>
            <w:r w:rsidRPr="00A3524C">
              <w:rPr>
                <w:sz w:val="20"/>
                <w:szCs w:val="20"/>
              </w:rPr>
              <w:t xml:space="preserve"> die bundesstaatliche Gewaltenausübung wie auch die Rechte des einzelnen Bürgers.</w:t>
            </w:r>
            <w:r w:rsidRPr="00A3524C">
              <w:rPr>
                <w:sz w:val="20"/>
                <w:szCs w:val="20"/>
                <w:vertAlign w:val="superscript"/>
              </w:rPr>
              <w:footnoteReference w:id="1505"/>
            </w:r>
            <w:r w:rsidRPr="00A3524C">
              <w:rPr>
                <w:sz w:val="20"/>
                <w:szCs w:val="20"/>
              </w:rPr>
              <w:t xml:space="preserve"> Der </w:t>
            </w:r>
            <w:r>
              <w:rPr>
                <w:sz w:val="20"/>
                <w:szCs w:val="20"/>
              </w:rPr>
              <w:t>U.S. Supreme Court</w:t>
            </w:r>
            <w:r w:rsidRPr="00A3524C">
              <w:rPr>
                <w:sz w:val="20"/>
                <w:szCs w:val="20"/>
              </w:rPr>
              <w:t xml:space="preserve"> erklärte weiter, die Verfassung von 1787 und </w:t>
            </w:r>
            <w:r w:rsidRPr="5B67C1D2">
              <w:rPr>
                <w:i/>
                <w:iCs/>
                <w:sz w:val="20"/>
                <w:szCs w:val="20"/>
              </w:rPr>
              <w:t>die Bill of Rights</w:t>
            </w:r>
            <w:r w:rsidRPr="00A3524C">
              <w:rPr>
                <w:sz w:val="20"/>
                <w:szCs w:val="20"/>
              </w:rPr>
              <w:t xml:space="preserve"> von 1791 gründe</w:t>
            </w:r>
            <w:r>
              <w:rPr>
                <w:sz w:val="20"/>
                <w:szCs w:val="20"/>
              </w:rPr>
              <w:t>te</w:t>
            </w:r>
            <w:r w:rsidRPr="00A3524C">
              <w:rPr>
                <w:sz w:val="20"/>
                <w:szCs w:val="20"/>
              </w:rPr>
              <w:t>n in der Unabhängigkeitserklärung („</w:t>
            </w:r>
            <w:r w:rsidRPr="00B45592">
              <w:rPr>
                <w:sz w:val="20"/>
                <w:szCs w:val="20"/>
              </w:rPr>
              <w:t xml:space="preserve">The </w:t>
            </w:r>
            <w:proofErr w:type="spellStart"/>
            <w:r w:rsidRPr="00B45592">
              <w:rPr>
                <w:sz w:val="20"/>
                <w:szCs w:val="20"/>
              </w:rPr>
              <w:t>Constitution</w:t>
            </w:r>
            <w:proofErr w:type="spellEnd"/>
            <w:r w:rsidRPr="00B45592">
              <w:rPr>
                <w:sz w:val="20"/>
                <w:szCs w:val="20"/>
              </w:rPr>
              <w:t xml:space="preserve"> was </w:t>
            </w:r>
            <w:proofErr w:type="spellStart"/>
            <w:r w:rsidRPr="00B45592">
              <w:rPr>
                <w:sz w:val="20"/>
                <w:szCs w:val="20"/>
              </w:rPr>
              <w:t>conceived</w:t>
            </w:r>
            <w:proofErr w:type="spellEnd"/>
            <w:r w:rsidRPr="00B45592">
              <w:rPr>
                <w:sz w:val="20"/>
                <w:szCs w:val="20"/>
              </w:rPr>
              <w:t xml:space="preserve"> […] in the </w:t>
            </w:r>
            <w:proofErr w:type="spellStart"/>
            <w:r w:rsidRPr="00B45592">
              <w:rPr>
                <w:sz w:val="20"/>
                <w:szCs w:val="20"/>
              </w:rPr>
              <w:t>spirit</w:t>
            </w:r>
            <w:proofErr w:type="spellEnd"/>
            <w:r w:rsidRPr="00B45592">
              <w:rPr>
                <w:sz w:val="20"/>
                <w:szCs w:val="20"/>
              </w:rPr>
              <w:t xml:space="preserve"> of the Declaration of Independence</w:t>
            </w:r>
            <w:r w:rsidRPr="00A3524C">
              <w:rPr>
                <w:sz w:val="20"/>
                <w:szCs w:val="20"/>
              </w:rPr>
              <w:t>“</w:t>
            </w:r>
            <w:r>
              <w:rPr>
                <w:rStyle w:val="Funotenzeichen"/>
                <w:sz w:val="20"/>
                <w:szCs w:val="20"/>
              </w:rPr>
              <w:footnoteReference w:id="1506"/>
            </w:r>
            <w:r w:rsidRPr="00A3524C">
              <w:rPr>
                <w:sz w:val="20"/>
                <w:szCs w:val="20"/>
              </w:rPr>
              <w:t xml:space="preserve">). Die </w:t>
            </w:r>
            <w:r w:rsidRPr="5B67C1D2">
              <w:rPr>
                <w:i/>
                <w:iCs/>
                <w:sz w:val="20"/>
                <w:szCs w:val="20"/>
              </w:rPr>
              <w:t>Declaration of Independence</w:t>
            </w:r>
            <w:r w:rsidRPr="00A3524C">
              <w:rPr>
                <w:sz w:val="20"/>
                <w:szCs w:val="20"/>
              </w:rPr>
              <w:t xml:space="preserve"> setze für beide Verfassungsdokumente voraus, Menschen müss</w:t>
            </w:r>
            <w:r>
              <w:rPr>
                <w:sz w:val="20"/>
                <w:szCs w:val="20"/>
              </w:rPr>
              <w:t>t</w:t>
            </w:r>
            <w:r w:rsidRPr="00A3524C">
              <w:rPr>
                <w:sz w:val="20"/>
                <w:szCs w:val="20"/>
              </w:rPr>
              <w:t>en Regierungen einsetzen, damit diese ihre unveräußerlichen Rechte wie das Streben nach Glück sicher</w:t>
            </w:r>
            <w:r>
              <w:rPr>
                <w:sz w:val="20"/>
                <w:szCs w:val="20"/>
              </w:rPr>
              <w:t>te</w:t>
            </w:r>
            <w:r w:rsidRPr="00A3524C">
              <w:rPr>
                <w:sz w:val="20"/>
                <w:szCs w:val="20"/>
              </w:rPr>
              <w:t>n. Von dieser Einsetzung als Akt der Zustimmung der Regierten leiten Regierungen ihre Befugnisse bzw. Kompetenz ab. Dabei sei die</w:t>
            </w:r>
            <w:r>
              <w:rPr>
                <w:sz w:val="20"/>
                <w:szCs w:val="20"/>
              </w:rPr>
              <w:t>se</w:t>
            </w:r>
            <w:r w:rsidRPr="00A3524C">
              <w:rPr>
                <w:sz w:val="20"/>
                <w:szCs w:val="20"/>
              </w:rPr>
              <w:t xml:space="preserve"> Befugnis, d.h. die</w:t>
            </w:r>
            <w:r>
              <w:rPr>
                <w:sz w:val="20"/>
                <w:szCs w:val="20"/>
              </w:rPr>
              <w:t xml:space="preserve"> Sicherung der</w:t>
            </w:r>
            <w:r w:rsidRPr="00A3524C">
              <w:rPr>
                <w:sz w:val="20"/>
                <w:szCs w:val="20"/>
              </w:rPr>
              <w:t xml:space="preserve"> individuelle</w:t>
            </w:r>
            <w:r>
              <w:rPr>
                <w:sz w:val="20"/>
                <w:szCs w:val="20"/>
              </w:rPr>
              <w:t>n</w:t>
            </w:r>
            <w:r w:rsidRPr="00A3524C">
              <w:rPr>
                <w:sz w:val="20"/>
                <w:szCs w:val="20"/>
              </w:rPr>
              <w:t xml:space="preserve"> bzw. unveräußerliche</w:t>
            </w:r>
            <w:r>
              <w:rPr>
                <w:sz w:val="20"/>
                <w:szCs w:val="20"/>
              </w:rPr>
              <w:t>n</w:t>
            </w:r>
            <w:r w:rsidRPr="00A3524C">
              <w:rPr>
                <w:sz w:val="20"/>
                <w:szCs w:val="20"/>
              </w:rPr>
              <w:t xml:space="preserve"> Rechte, so unmittelbar am Volk auszuüben wie möglich. Folglich müss</w:t>
            </w:r>
            <w:r>
              <w:rPr>
                <w:sz w:val="20"/>
                <w:szCs w:val="20"/>
              </w:rPr>
              <w:t>t</w:t>
            </w:r>
            <w:r w:rsidRPr="00A3524C">
              <w:rPr>
                <w:sz w:val="20"/>
                <w:szCs w:val="20"/>
              </w:rPr>
              <w:t>en Bundesstaaten – nicht der Bund – vorrangig individuelle und unveräußerliche Rechte sichern („</w:t>
            </w:r>
            <w:proofErr w:type="spellStart"/>
            <w:r w:rsidRPr="00A3524C">
              <w:rPr>
                <w:sz w:val="20"/>
                <w:szCs w:val="20"/>
              </w:rPr>
              <w:t>control</w:t>
            </w:r>
            <w:proofErr w:type="spellEnd"/>
            <w:r w:rsidRPr="00A3524C">
              <w:rPr>
                <w:sz w:val="20"/>
                <w:szCs w:val="20"/>
              </w:rPr>
              <w:t xml:space="preserve"> </w:t>
            </w:r>
            <w:proofErr w:type="spellStart"/>
            <w:r w:rsidRPr="00A3524C">
              <w:rPr>
                <w:sz w:val="20"/>
                <w:szCs w:val="20"/>
              </w:rPr>
              <w:t>over</w:t>
            </w:r>
            <w:proofErr w:type="spellEnd"/>
            <w:r w:rsidRPr="00A3524C">
              <w:rPr>
                <w:sz w:val="20"/>
                <w:szCs w:val="20"/>
              </w:rPr>
              <w:t xml:space="preserve"> individual </w:t>
            </w:r>
            <w:proofErr w:type="spellStart"/>
            <w:r w:rsidRPr="00A3524C">
              <w:rPr>
                <w:sz w:val="20"/>
                <w:szCs w:val="20"/>
              </w:rPr>
              <w:t>rights</w:t>
            </w:r>
            <w:proofErr w:type="spellEnd"/>
            <w:r w:rsidRPr="00A3524C">
              <w:rPr>
                <w:sz w:val="20"/>
                <w:szCs w:val="20"/>
              </w:rPr>
              <w:t xml:space="preserve"> </w:t>
            </w:r>
            <w:proofErr w:type="spellStart"/>
            <w:r w:rsidRPr="00A3524C">
              <w:rPr>
                <w:sz w:val="20"/>
                <w:szCs w:val="20"/>
              </w:rPr>
              <w:t>close</w:t>
            </w:r>
            <w:proofErr w:type="spellEnd"/>
            <w:r w:rsidRPr="00A3524C">
              <w:rPr>
                <w:sz w:val="20"/>
                <w:szCs w:val="20"/>
              </w:rPr>
              <w:t xml:space="preserve"> to the </w:t>
            </w:r>
            <w:proofErr w:type="spellStart"/>
            <w:r w:rsidRPr="00A3524C">
              <w:rPr>
                <w:sz w:val="20"/>
                <w:szCs w:val="20"/>
              </w:rPr>
              <w:t>people</w:t>
            </w:r>
            <w:proofErr w:type="spellEnd"/>
            <w:r w:rsidRPr="00A3524C">
              <w:rPr>
                <w:sz w:val="20"/>
                <w:szCs w:val="20"/>
              </w:rPr>
              <w:t xml:space="preserve"> </w:t>
            </w:r>
            <w:proofErr w:type="spellStart"/>
            <w:r w:rsidRPr="00A3524C">
              <w:rPr>
                <w:sz w:val="20"/>
                <w:szCs w:val="20"/>
              </w:rPr>
              <w:t>through</w:t>
            </w:r>
            <w:proofErr w:type="spellEnd"/>
            <w:r w:rsidRPr="00A3524C">
              <w:rPr>
                <w:sz w:val="20"/>
                <w:szCs w:val="20"/>
              </w:rPr>
              <w:t xml:space="preserve"> </w:t>
            </w:r>
            <w:proofErr w:type="spellStart"/>
            <w:r w:rsidRPr="00A3524C">
              <w:rPr>
                <w:sz w:val="20"/>
                <w:szCs w:val="20"/>
              </w:rPr>
              <w:t>their</w:t>
            </w:r>
            <w:proofErr w:type="spellEnd"/>
            <w:r w:rsidRPr="00A3524C">
              <w:rPr>
                <w:sz w:val="20"/>
                <w:szCs w:val="20"/>
              </w:rPr>
              <w:t xml:space="preserve"> </w:t>
            </w:r>
            <w:proofErr w:type="spellStart"/>
            <w:r w:rsidRPr="00A3524C">
              <w:rPr>
                <w:sz w:val="20"/>
                <w:szCs w:val="20"/>
              </w:rPr>
              <w:t>states</w:t>
            </w:r>
            <w:proofErr w:type="spellEnd"/>
            <w:r w:rsidRPr="00A3524C">
              <w:rPr>
                <w:sz w:val="20"/>
                <w:szCs w:val="20"/>
              </w:rPr>
              <w:t>“</w:t>
            </w:r>
            <w:r>
              <w:rPr>
                <w:sz w:val="20"/>
                <w:szCs w:val="20"/>
              </w:rPr>
              <w:t>;</w:t>
            </w:r>
            <w:r w:rsidRPr="00A3524C">
              <w:rPr>
                <w:sz w:val="20"/>
                <w:szCs w:val="20"/>
                <w:vertAlign w:val="superscript"/>
              </w:rPr>
              <w:footnoteReference w:id="1507"/>
            </w:r>
            <w:r w:rsidRPr="00A3524C">
              <w:rPr>
                <w:sz w:val="20"/>
                <w:szCs w:val="20"/>
              </w:rPr>
              <w:t xml:space="preserve"> „[t]he </w:t>
            </w:r>
            <w:proofErr w:type="spellStart"/>
            <w:r w:rsidRPr="00A3524C">
              <w:rPr>
                <w:sz w:val="20"/>
                <w:szCs w:val="20"/>
              </w:rPr>
              <w:t>principle</w:t>
            </w:r>
            <w:proofErr w:type="spellEnd"/>
            <w:r w:rsidRPr="00A3524C">
              <w:rPr>
                <w:sz w:val="20"/>
                <w:szCs w:val="20"/>
              </w:rPr>
              <w:t xml:space="preserve"> of Home Rule“</w:t>
            </w:r>
            <w:r w:rsidRPr="00A3524C">
              <w:rPr>
                <w:sz w:val="20"/>
                <w:szCs w:val="20"/>
                <w:vertAlign w:val="superscript"/>
              </w:rPr>
              <w:footnoteReference w:id="1508"/>
            </w:r>
            <w:r w:rsidRPr="00A3524C">
              <w:rPr>
                <w:sz w:val="20"/>
                <w:szCs w:val="20"/>
              </w:rPr>
              <w:t xml:space="preserve">). Beispiele dafür sind die </w:t>
            </w:r>
            <w:r w:rsidR="005516A5" w:rsidRPr="005516A5">
              <w:rPr>
                <w:sz w:val="20"/>
                <w:szCs w:val="20"/>
              </w:rPr>
              <w:t>Polizeibefugnisse, die Festlegung der Verfahrensordnung für Gerichtsverfahren, die ortsnahe Verurteilung von Straftaten und die bürgernahe</w:t>
            </w:r>
            <w:r w:rsidR="005516A5">
              <w:rPr>
                <w:sz w:val="20"/>
                <w:szCs w:val="20"/>
              </w:rPr>
              <w:t xml:space="preserve"> </w:t>
            </w:r>
            <w:r w:rsidRPr="00A3524C">
              <w:rPr>
                <w:sz w:val="20"/>
                <w:szCs w:val="20"/>
              </w:rPr>
              <w:t xml:space="preserve">Selbstverwaltung. Letztere müsse so nah am Regierten wie möglich geschehen, um die Zufriedenheit bzw. die Bedingungen für Glück eng an den lokalen Gegebenheiten auszurichten („vital </w:t>
            </w:r>
            <w:proofErr w:type="spellStart"/>
            <w:r w:rsidRPr="00A3524C">
              <w:rPr>
                <w:sz w:val="20"/>
                <w:szCs w:val="20"/>
              </w:rPr>
              <w:t>test</w:t>
            </w:r>
            <w:proofErr w:type="spellEnd"/>
            <w:r w:rsidRPr="00A3524C">
              <w:rPr>
                <w:sz w:val="20"/>
                <w:szCs w:val="20"/>
              </w:rPr>
              <w:t xml:space="preserve"> of </w:t>
            </w:r>
            <w:proofErr w:type="spellStart"/>
            <w:r w:rsidRPr="00A3524C">
              <w:rPr>
                <w:sz w:val="20"/>
                <w:szCs w:val="20"/>
              </w:rPr>
              <w:t>self</w:t>
            </w:r>
            <w:proofErr w:type="spellEnd"/>
            <w:r w:rsidRPr="00A3524C">
              <w:rPr>
                <w:sz w:val="20"/>
                <w:szCs w:val="20"/>
              </w:rPr>
              <w:t>-</w:t>
            </w:r>
            <w:r w:rsidRPr="00A3524C">
              <w:rPr>
                <w:sz w:val="20"/>
                <w:szCs w:val="20"/>
              </w:rPr>
              <w:lastRenderedPageBreak/>
              <w:t xml:space="preserve">government […] </w:t>
            </w:r>
            <w:proofErr w:type="spellStart"/>
            <w:r w:rsidRPr="00A3524C">
              <w:rPr>
                <w:sz w:val="20"/>
                <w:szCs w:val="20"/>
              </w:rPr>
              <w:t>is</w:t>
            </w:r>
            <w:proofErr w:type="spellEnd"/>
            <w:r w:rsidRPr="00A3524C">
              <w:rPr>
                <w:sz w:val="20"/>
                <w:szCs w:val="20"/>
              </w:rPr>
              <w:t xml:space="preserve"> </w:t>
            </w:r>
            <w:proofErr w:type="spellStart"/>
            <w:r w:rsidRPr="00A3524C">
              <w:rPr>
                <w:sz w:val="20"/>
                <w:szCs w:val="20"/>
              </w:rPr>
              <w:t>its</w:t>
            </w:r>
            <w:proofErr w:type="spellEnd"/>
            <w:r w:rsidRPr="00A3524C">
              <w:rPr>
                <w:sz w:val="20"/>
                <w:szCs w:val="20"/>
              </w:rPr>
              <w:t xml:space="preserve"> </w:t>
            </w:r>
            <w:proofErr w:type="spellStart"/>
            <w:r w:rsidRPr="00A3524C">
              <w:rPr>
                <w:sz w:val="20"/>
                <w:szCs w:val="20"/>
              </w:rPr>
              <w:t>satisfactoriness</w:t>
            </w:r>
            <w:proofErr w:type="spellEnd"/>
            <w:r w:rsidRPr="00A3524C">
              <w:rPr>
                <w:sz w:val="20"/>
                <w:szCs w:val="20"/>
              </w:rPr>
              <w:t xml:space="preserve"> </w:t>
            </w:r>
            <w:proofErr w:type="spellStart"/>
            <w:r w:rsidRPr="00A3524C">
              <w:rPr>
                <w:sz w:val="20"/>
                <w:szCs w:val="20"/>
              </w:rPr>
              <w:t>weighed</w:t>
            </w:r>
            <w:proofErr w:type="spellEnd"/>
            <w:r w:rsidRPr="00A3524C">
              <w:rPr>
                <w:sz w:val="20"/>
                <w:szCs w:val="20"/>
              </w:rPr>
              <w:t xml:space="preserve"> in the </w:t>
            </w:r>
            <w:proofErr w:type="spellStart"/>
            <w:r w:rsidRPr="00A3524C">
              <w:rPr>
                <w:sz w:val="20"/>
                <w:szCs w:val="20"/>
              </w:rPr>
              <w:t>scales</w:t>
            </w:r>
            <w:proofErr w:type="spellEnd"/>
            <w:r w:rsidRPr="00A3524C">
              <w:rPr>
                <w:sz w:val="20"/>
                <w:szCs w:val="20"/>
              </w:rPr>
              <w:t xml:space="preserve"> of ‚the </w:t>
            </w:r>
            <w:proofErr w:type="spellStart"/>
            <w:r w:rsidRPr="00A3524C">
              <w:rPr>
                <w:sz w:val="20"/>
                <w:szCs w:val="20"/>
              </w:rPr>
              <w:t>governed</w:t>
            </w:r>
            <w:proofErr w:type="spellEnd"/>
            <w:r>
              <w:rPr>
                <w:sz w:val="20"/>
                <w:szCs w:val="20"/>
              </w:rPr>
              <w:t>‘</w:t>
            </w:r>
            <w:r w:rsidRPr="00A3524C">
              <w:rPr>
                <w:sz w:val="20"/>
                <w:szCs w:val="20"/>
              </w:rPr>
              <w:t>“</w:t>
            </w:r>
            <w:r w:rsidRPr="00A3524C">
              <w:rPr>
                <w:sz w:val="20"/>
                <w:szCs w:val="20"/>
                <w:vertAlign w:val="superscript"/>
              </w:rPr>
              <w:footnoteReference w:id="1509"/>
            </w:r>
            <w:r w:rsidRPr="00A3524C">
              <w:rPr>
                <w:sz w:val="20"/>
                <w:szCs w:val="20"/>
              </w:rPr>
              <w:t>). Das Streben nach Glück ist also nah am Bürger zu verwirklichen, weshalb sich die Kompetenzverteilung und vor allem die Selbstverwaltung auch danach ausrichten muss.</w:t>
            </w:r>
          </w:p>
          <w:p w14:paraId="63982210" w14:textId="77777777" w:rsidR="00074551" w:rsidRPr="00E50B51" w:rsidRDefault="00074551" w:rsidP="00367133">
            <w:pPr>
              <w:jc w:val="both"/>
              <w:rPr>
                <w:sz w:val="20"/>
                <w:szCs w:val="20"/>
              </w:rPr>
            </w:pPr>
          </w:p>
        </w:tc>
      </w:tr>
      <w:tr w:rsidR="00074551" w:rsidRPr="00E50B51" w14:paraId="5B0EB99C" w14:textId="77777777" w:rsidTr="0056095C">
        <w:trPr>
          <w:cantSplit/>
          <w:trHeight w:val="1134"/>
        </w:trPr>
        <w:tc>
          <w:tcPr>
            <w:tcW w:w="293" w:type="pct"/>
          </w:tcPr>
          <w:p w14:paraId="19E8F00B" w14:textId="77777777" w:rsidR="00074551" w:rsidRPr="00E50B51" w:rsidRDefault="00074551" w:rsidP="00061436">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84D8C2C" w14:textId="77777777" w:rsidR="00074551" w:rsidRPr="00E50B51" w:rsidRDefault="00074551" w:rsidP="0056095C">
            <w:pPr>
              <w:ind w:left="113" w:right="416"/>
              <w:jc w:val="both"/>
              <w:rPr>
                <w:sz w:val="20"/>
                <w:szCs w:val="20"/>
              </w:rPr>
            </w:pPr>
            <w:proofErr w:type="spellStart"/>
            <w:r w:rsidRPr="00B35CD0">
              <w:rPr>
                <w:i/>
                <w:sz w:val="20"/>
                <w:szCs w:val="20"/>
              </w:rPr>
              <w:t>Gamble</w:t>
            </w:r>
            <w:proofErr w:type="spellEnd"/>
            <w:r w:rsidRPr="00B35CD0">
              <w:rPr>
                <w:i/>
                <w:sz w:val="20"/>
                <w:szCs w:val="20"/>
              </w:rPr>
              <w:t xml:space="preserve"> v. United States</w:t>
            </w:r>
          </w:p>
        </w:tc>
        <w:tc>
          <w:tcPr>
            <w:tcW w:w="197" w:type="pct"/>
            <w:textDirection w:val="tbRl"/>
            <w:vAlign w:val="center"/>
          </w:tcPr>
          <w:p w14:paraId="720733F8" w14:textId="77777777" w:rsidR="00074551" w:rsidRPr="00E50B51" w:rsidRDefault="00074551" w:rsidP="0056095C">
            <w:pPr>
              <w:ind w:left="113" w:right="113"/>
              <w:jc w:val="both"/>
              <w:rPr>
                <w:sz w:val="20"/>
                <w:szCs w:val="20"/>
              </w:rPr>
            </w:pPr>
            <w:r w:rsidRPr="00E50B51">
              <w:rPr>
                <w:sz w:val="20"/>
                <w:szCs w:val="20"/>
                <w:lang w:val="en-US"/>
              </w:rPr>
              <w:t>139 S. Ct. 1960</w:t>
            </w:r>
          </w:p>
        </w:tc>
        <w:tc>
          <w:tcPr>
            <w:tcW w:w="306" w:type="pct"/>
            <w:textDirection w:val="tbRl"/>
            <w:vAlign w:val="center"/>
          </w:tcPr>
          <w:p w14:paraId="1961B5F2" w14:textId="77777777" w:rsidR="00074551" w:rsidRPr="00E50B51" w:rsidRDefault="00074551" w:rsidP="0056095C">
            <w:pPr>
              <w:ind w:left="113" w:right="113"/>
              <w:jc w:val="both"/>
              <w:rPr>
                <w:sz w:val="20"/>
                <w:szCs w:val="20"/>
              </w:rPr>
            </w:pPr>
            <w:r w:rsidRPr="00E50B51">
              <w:rPr>
                <w:sz w:val="20"/>
                <w:szCs w:val="20"/>
              </w:rPr>
              <w:t>17. Juni 2019</w:t>
            </w:r>
          </w:p>
        </w:tc>
        <w:tc>
          <w:tcPr>
            <w:tcW w:w="401" w:type="pct"/>
          </w:tcPr>
          <w:p w14:paraId="548DBA56" w14:textId="77777777" w:rsidR="00074551" w:rsidRPr="00E50B51" w:rsidRDefault="00074551" w:rsidP="00061436">
            <w:pPr>
              <w:jc w:val="center"/>
              <w:rPr>
                <w:sz w:val="20"/>
                <w:szCs w:val="20"/>
              </w:rPr>
            </w:pPr>
            <w:r w:rsidRPr="00E50B51">
              <w:rPr>
                <w:sz w:val="20"/>
                <w:szCs w:val="20"/>
              </w:rPr>
              <w:t>C</w:t>
            </w:r>
          </w:p>
        </w:tc>
        <w:tc>
          <w:tcPr>
            <w:tcW w:w="1594" w:type="pct"/>
          </w:tcPr>
          <w:p w14:paraId="5C3262A3" w14:textId="5BAFC8AE" w:rsidR="00074551" w:rsidRPr="00E50B51" w:rsidRDefault="00074551" w:rsidP="00061436">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den Zusammenhang zwischen </w:t>
            </w:r>
            <w:r>
              <w:rPr>
                <w:sz w:val="20"/>
                <w:szCs w:val="20"/>
              </w:rPr>
              <w:t>den „</w:t>
            </w:r>
            <w:proofErr w:type="spellStart"/>
            <w:r>
              <w:rPr>
                <w:sz w:val="20"/>
                <w:szCs w:val="20"/>
              </w:rPr>
              <w:t>c</w:t>
            </w:r>
            <w:r w:rsidRPr="00432FE3">
              <w:rPr>
                <w:sz w:val="20"/>
                <w:szCs w:val="20"/>
              </w:rPr>
              <w:t>ommon</w:t>
            </w:r>
            <w:proofErr w:type="spellEnd"/>
            <w:r w:rsidRPr="00432FE3">
              <w:rPr>
                <w:sz w:val="20"/>
                <w:szCs w:val="20"/>
              </w:rPr>
              <w:t xml:space="preserve"> </w:t>
            </w:r>
            <w:proofErr w:type="spellStart"/>
            <w:r w:rsidRPr="00432FE3">
              <w:rPr>
                <w:sz w:val="20"/>
                <w:szCs w:val="20"/>
              </w:rPr>
              <w:t>law</w:t>
            </w:r>
            <w:proofErr w:type="spellEnd"/>
            <w:r w:rsidRPr="00432FE3">
              <w:rPr>
                <w:sz w:val="20"/>
                <w:szCs w:val="20"/>
              </w:rPr>
              <w:t xml:space="preserve"> </w:t>
            </w:r>
            <w:proofErr w:type="spellStart"/>
            <w:r w:rsidRPr="00432FE3">
              <w:rPr>
                <w:sz w:val="20"/>
                <w:szCs w:val="20"/>
              </w:rPr>
              <w:t>doctrines</w:t>
            </w:r>
            <w:proofErr w:type="spellEnd"/>
            <w:r w:rsidRPr="00432FE3">
              <w:rPr>
                <w:sz w:val="20"/>
                <w:szCs w:val="20"/>
              </w:rPr>
              <w:t>“</w:t>
            </w:r>
            <w:r>
              <w:rPr>
                <w:rStyle w:val="Funotenzeichen"/>
                <w:sz w:val="20"/>
                <w:szCs w:val="20"/>
                <w:lang w:val="en-US"/>
              </w:rPr>
              <w:footnoteReference w:id="1510"/>
            </w:r>
            <w:r w:rsidRPr="00432FE3">
              <w:rPr>
                <w:sz w:val="20"/>
                <w:szCs w:val="20"/>
              </w:rPr>
              <w:t xml:space="preserve"> und dem </w:t>
            </w:r>
            <w:r>
              <w:rPr>
                <w:sz w:val="20"/>
                <w:szCs w:val="20"/>
              </w:rPr>
              <w:t>Grundrecht</w:t>
            </w:r>
            <w:r w:rsidRPr="00432FE3">
              <w:rPr>
                <w:sz w:val="20"/>
                <w:szCs w:val="20"/>
              </w:rPr>
              <w:t xml:space="preserve"> des </w:t>
            </w:r>
            <w:proofErr w:type="spellStart"/>
            <w:r w:rsidRPr="5B67C1D2">
              <w:rPr>
                <w:i/>
                <w:iCs/>
                <w:sz w:val="20"/>
                <w:szCs w:val="20"/>
              </w:rPr>
              <w:t>pursuit</w:t>
            </w:r>
            <w:proofErr w:type="spellEnd"/>
            <w:r w:rsidRPr="5B67C1D2">
              <w:rPr>
                <w:i/>
                <w:iCs/>
                <w:sz w:val="20"/>
                <w:szCs w:val="20"/>
              </w:rPr>
              <w:t xml:space="preserve"> of Happiness</w:t>
            </w:r>
            <w:r w:rsidRPr="00432FE3">
              <w:rPr>
                <w:sz w:val="20"/>
                <w:szCs w:val="20"/>
              </w:rPr>
              <w:t xml:space="preserve">. </w:t>
            </w:r>
            <w:r w:rsidRPr="00E50B51">
              <w:rPr>
                <w:sz w:val="20"/>
                <w:szCs w:val="20"/>
              </w:rPr>
              <w:t xml:space="preserve">Dabei nahm der </w:t>
            </w:r>
            <w:r>
              <w:rPr>
                <w:sz w:val="20"/>
                <w:szCs w:val="20"/>
              </w:rPr>
              <w:t>U.S. Supreme Court</w:t>
            </w:r>
            <w:r w:rsidRPr="00E50B51">
              <w:rPr>
                <w:sz w:val="20"/>
                <w:szCs w:val="20"/>
              </w:rPr>
              <w:t xml:space="preserve"> die Ve</w:t>
            </w:r>
            <w:r>
              <w:rPr>
                <w:sz w:val="20"/>
                <w:szCs w:val="20"/>
              </w:rPr>
              <w:t>r</w:t>
            </w:r>
            <w:r w:rsidRPr="00E50B51">
              <w:rPr>
                <w:sz w:val="20"/>
                <w:szCs w:val="20"/>
              </w:rPr>
              <w:t xml:space="preserve">urteilung von Terance Martez </w:t>
            </w:r>
            <w:proofErr w:type="spellStart"/>
            <w:r w:rsidRPr="00E50B51">
              <w:rPr>
                <w:sz w:val="20"/>
                <w:szCs w:val="20"/>
              </w:rPr>
              <w:t>Gamble</w:t>
            </w:r>
            <w:proofErr w:type="spellEnd"/>
            <w:r w:rsidRPr="00E50B51">
              <w:rPr>
                <w:sz w:val="20"/>
                <w:szCs w:val="20"/>
              </w:rPr>
              <w:t xml:space="preserve"> zum Anlass, d</w:t>
            </w:r>
            <w:r>
              <w:rPr>
                <w:sz w:val="20"/>
                <w:szCs w:val="20"/>
              </w:rPr>
              <w:t>iesen</w:t>
            </w:r>
            <w:r w:rsidRPr="00E50B51">
              <w:rPr>
                <w:sz w:val="20"/>
                <w:szCs w:val="20"/>
              </w:rPr>
              <w:t xml:space="preserve"> Zusammenhang zu erläutern. Ein Gericht in Alamba </w:t>
            </w:r>
            <w:r>
              <w:rPr>
                <w:sz w:val="20"/>
                <w:szCs w:val="20"/>
              </w:rPr>
              <w:t xml:space="preserve">hatte </w:t>
            </w:r>
            <w:proofErr w:type="spellStart"/>
            <w:r w:rsidRPr="00E50B51">
              <w:rPr>
                <w:sz w:val="20"/>
                <w:szCs w:val="20"/>
              </w:rPr>
              <w:t>Gamble</w:t>
            </w:r>
            <w:proofErr w:type="spellEnd"/>
            <w:r w:rsidRPr="00E50B51">
              <w:rPr>
                <w:sz w:val="20"/>
                <w:szCs w:val="20"/>
              </w:rPr>
              <w:t xml:space="preserve"> </w:t>
            </w:r>
            <w:r>
              <w:rPr>
                <w:sz w:val="20"/>
                <w:szCs w:val="20"/>
              </w:rPr>
              <w:t>zunächst</w:t>
            </w:r>
            <w:r w:rsidRPr="00E50B51">
              <w:rPr>
                <w:sz w:val="20"/>
                <w:szCs w:val="20"/>
              </w:rPr>
              <w:t xml:space="preserve"> nach bundesstaatlichem Gesetz wegen </w:t>
            </w:r>
            <w:r w:rsidRPr="00DB3361">
              <w:rPr>
                <w:sz w:val="20"/>
                <w:szCs w:val="20"/>
              </w:rPr>
              <w:t>Waffenbesitzes („</w:t>
            </w:r>
            <w:proofErr w:type="spellStart"/>
            <w:r w:rsidRPr="00DB3361">
              <w:rPr>
                <w:sz w:val="20"/>
                <w:szCs w:val="20"/>
              </w:rPr>
              <w:t>felon</w:t>
            </w:r>
            <w:proofErr w:type="spellEnd"/>
            <w:r w:rsidRPr="00DB3361">
              <w:rPr>
                <w:sz w:val="20"/>
                <w:szCs w:val="20"/>
              </w:rPr>
              <w:t>-in-possession-of-a-</w:t>
            </w:r>
            <w:proofErr w:type="spellStart"/>
            <w:r w:rsidRPr="00DB3361">
              <w:rPr>
                <w:sz w:val="20"/>
                <w:szCs w:val="20"/>
              </w:rPr>
              <w:t>firearm</w:t>
            </w:r>
            <w:proofErr w:type="spellEnd"/>
            <w:r w:rsidRPr="00DB3361">
              <w:rPr>
                <w:sz w:val="20"/>
                <w:szCs w:val="20"/>
              </w:rPr>
              <w:t xml:space="preserve"> </w:t>
            </w:r>
            <w:proofErr w:type="spellStart"/>
            <w:r w:rsidRPr="00DB3361">
              <w:rPr>
                <w:sz w:val="20"/>
                <w:szCs w:val="20"/>
              </w:rPr>
              <w:t>statute</w:t>
            </w:r>
            <w:proofErr w:type="spellEnd"/>
            <w:r w:rsidRPr="00DB3361">
              <w:rPr>
                <w:sz w:val="20"/>
                <w:szCs w:val="20"/>
              </w:rPr>
              <w:t>“</w:t>
            </w:r>
            <w:r w:rsidRPr="00DB3361">
              <w:rPr>
                <w:rStyle w:val="Funotenzeichen"/>
                <w:sz w:val="20"/>
                <w:szCs w:val="20"/>
              </w:rPr>
              <w:footnoteReference w:id="1511"/>
            </w:r>
            <w:r w:rsidRPr="00DB3361">
              <w:rPr>
                <w:sz w:val="20"/>
                <w:szCs w:val="20"/>
              </w:rPr>
              <w:t>)</w:t>
            </w:r>
            <w:r>
              <w:rPr>
                <w:sz w:val="20"/>
                <w:szCs w:val="20"/>
              </w:rPr>
              <w:t xml:space="preserve"> verurteilt</w:t>
            </w:r>
            <w:r w:rsidRPr="00DB3361">
              <w:rPr>
                <w:sz w:val="20"/>
                <w:szCs w:val="20"/>
              </w:rPr>
              <w:t xml:space="preserve">. Und anschließend verurteilte </w:t>
            </w:r>
            <w:r>
              <w:rPr>
                <w:sz w:val="20"/>
                <w:szCs w:val="20"/>
              </w:rPr>
              <w:t xml:space="preserve">ihn </w:t>
            </w:r>
            <w:r w:rsidRPr="00DB3361">
              <w:rPr>
                <w:sz w:val="20"/>
                <w:szCs w:val="20"/>
              </w:rPr>
              <w:t xml:space="preserve">der </w:t>
            </w:r>
            <w:proofErr w:type="spellStart"/>
            <w:r w:rsidRPr="00B45592">
              <w:rPr>
                <w:sz w:val="20"/>
                <w:szCs w:val="20"/>
              </w:rPr>
              <w:t>District</w:t>
            </w:r>
            <w:proofErr w:type="spellEnd"/>
            <w:r w:rsidRPr="00B45592">
              <w:rPr>
                <w:sz w:val="20"/>
                <w:szCs w:val="20"/>
              </w:rPr>
              <w:t xml:space="preserve"> Court</w:t>
            </w:r>
            <w:r w:rsidRPr="00DB3361">
              <w:rPr>
                <w:sz w:val="20"/>
                <w:szCs w:val="20"/>
              </w:rPr>
              <w:t xml:space="preserve"> nach den </w:t>
            </w:r>
            <w:proofErr w:type="spellStart"/>
            <w:r w:rsidRPr="5B67C1D2">
              <w:rPr>
                <w:i/>
                <w:iCs/>
                <w:sz w:val="20"/>
                <w:szCs w:val="20"/>
              </w:rPr>
              <w:t>federal</w:t>
            </w:r>
            <w:proofErr w:type="spellEnd"/>
            <w:r w:rsidRPr="5B67C1D2">
              <w:rPr>
                <w:i/>
                <w:iCs/>
                <w:sz w:val="20"/>
                <w:szCs w:val="20"/>
              </w:rPr>
              <w:t xml:space="preserve"> </w:t>
            </w:r>
            <w:proofErr w:type="spellStart"/>
            <w:r w:rsidRPr="5B67C1D2">
              <w:rPr>
                <w:i/>
                <w:iCs/>
                <w:sz w:val="20"/>
                <w:szCs w:val="20"/>
              </w:rPr>
              <w:t>statutes</w:t>
            </w:r>
            <w:proofErr w:type="spellEnd"/>
            <w:r w:rsidRPr="00B45592">
              <w:rPr>
                <w:rStyle w:val="Funotenzeichen"/>
                <w:sz w:val="20"/>
                <w:szCs w:val="20"/>
              </w:rPr>
              <w:footnoteReference w:id="1512"/>
            </w:r>
            <w:r w:rsidRPr="5B67C1D2">
              <w:rPr>
                <w:i/>
                <w:iCs/>
                <w:sz w:val="20"/>
                <w:szCs w:val="20"/>
              </w:rPr>
              <w:t xml:space="preserve"> </w:t>
            </w:r>
            <w:r w:rsidRPr="00DB3361">
              <w:rPr>
                <w:sz w:val="20"/>
                <w:szCs w:val="20"/>
              </w:rPr>
              <w:t>in gleicher Sache. Es gab also ein bundesstaatliches Ur</w:t>
            </w:r>
            <w:r>
              <w:rPr>
                <w:sz w:val="20"/>
                <w:szCs w:val="20"/>
              </w:rPr>
              <w:t xml:space="preserve">teil und ein Urteil eines Bundesgerichts. </w:t>
            </w:r>
            <w:r w:rsidRPr="00E50B51">
              <w:rPr>
                <w:sz w:val="20"/>
                <w:szCs w:val="20"/>
              </w:rPr>
              <w:t xml:space="preserve">Der </w:t>
            </w:r>
            <w:r>
              <w:rPr>
                <w:sz w:val="20"/>
                <w:szCs w:val="20"/>
              </w:rPr>
              <w:t>U.S. Supreme Court</w:t>
            </w:r>
            <w:r w:rsidRPr="00E50B51">
              <w:rPr>
                <w:sz w:val="20"/>
                <w:szCs w:val="20"/>
              </w:rPr>
              <w:t xml:space="preserve"> urteilte</w:t>
            </w:r>
            <w:r>
              <w:rPr>
                <w:sz w:val="20"/>
                <w:szCs w:val="20"/>
              </w:rPr>
              <w:t xml:space="preserve"> dann</w:t>
            </w:r>
            <w:r w:rsidRPr="00E50B51">
              <w:rPr>
                <w:sz w:val="20"/>
                <w:szCs w:val="20"/>
              </w:rPr>
              <w:t xml:space="preserve">, </w:t>
            </w:r>
            <w:r>
              <w:rPr>
                <w:sz w:val="20"/>
                <w:szCs w:val="20"/>
              </w:rPr>
              <w:t xml:space="preserve">die </w:t>
            </w:r>
            <w:r w:rsidRPr="00E50B51">
              <w:rPr>
                <w:sz w:val="20"/>
                <w:szCs w:val="20"/>
              </w:rPr>
              <w:t xml:space="preserve">Strafverfolgung vor einem Gericht eines Bundesstaates und einem Bundesgericht in derselben Sache verstoße nicht gegen die sog. </w:t>
            </w:r>
            <w:r w:rsidRPr="5B67C1D2">
              <w:rPr>
                <w:i/>
                <w:iCs/>
                <w:sz w:val="20"/>
                <w:szCs w:val="20"/>
              </w:rPr>
              <w:t xml:space="preserve">Double Jeopardy </w:t>
            </w:r>
            <w:proofErr w:type="spellStart"/>
            <w:r w:rsidRPr="5B67C1D2">
              <w:rPr>
                <w:i/>
                <w:iCs/>
                <w:sz w:val="20"/>
                <w:szCs w:val="20"/>
              </w:rPr>
              <w:t>Clause</w:t>
            </w:r>
            <w:proofErr w:type="spellEnd"/>
            <w:r>
              <w:rPr>
                <w:sz w:val="20"/>
                <w:szCs w:val="20"/>
              </w:rPr>
              <w:t>, den „</w:t>
            </w:r>
            <w:r w:rsidRPr="00E50B51">
              <w:rPr>
                <w:sz w:val="20"/>
                <w:szCs w:val="20"/>
              </w:rPr>
              <w:t>ne bis in idem</w:t>
            </w:r>
            <w:r>
              <w:rPr>
                <w:sz w:val="20"/>
                <w:szCs w:val="20"/>
              </w:rPr>
              <w:t>“-Grundsatz</w:t>
            </w:r>
            <w:r w:rsidRPr="00E50B51">
              <w:rPr>
                <w:sz w:val="20"/>
                <w:szCs w:val="20"/>
              </w:rPr>
              <w:t xml:space="preserve">. Denn </w:t>
            </w:r>
            <w:r>
              <w:rPr>
                <w:sz w:val="20"/>
                <w:szCs w:val="20"/>
              </w:rPr>
              <w:t>der</w:t>
            </w:r>
            <w:r w:rsidRPr="00E50B51">
              <w:rPr>
                <w:sz w:val="20"/>
                <w:szCs w:val="20"/>
              </w:rPr>
              <w:t xml:space="preserve"> Bundesstaat und </w:t>
            </w:r>
            <w:r>
              <w:rPr>
                <w:sz w:val="20"/>
                <w:szCs w:val="20"/>
              </w:rPr>
              <w:t>der Bund</w:t>
            </w:r>
            <w:r w:rsidRPr="00E50B51">
              <w:rPr>
                <w:sz w:val="20"/>
                <w:szCs w:val="20"/>
              </w:rPr>
              <w:t xml:space="preserve"> seien getrennte Hoheitsgewalten („separate </w:t>
            </w:r>
            <w:proofErr w:type="spellStart"/>
            <w:r w:rsidRPr="00E50B51">
              <w:rPr>
                <w:sz w:val="20"/>
                <w:szCs w:val="20"/>
              </w:rPr>
              <w:t>sovereigns</w:t>
            </w:r>
            <w:proofErr w:type="spellEnd"/>
            <w:r w:rsidRPr="00E50B51">
              <w:rPr>
                <w:sz w:val="20"/>
                <w:szCs w:val="20"/>
              </w:rPr>
              <w:t>“</w:t>
            </w:r>
            <w:r w:rsidRPr="5B67C1D2">
              <w:rPr>
                <w:rStyle w:val="Funotenzeichen"/>
                <w:rFonts w:eastAsiaTheme="majorEastAsia"/>
                <w:sz w:val="20"/>
                <w:szCs w:val="20"/>
              </w:rPr>
              <w:footnoteReference w:id="1513"/>
            </w:r>
            <w:r w:rsidRPr="00E50B51">
              <w:rPr>
                <w:sz w:val="20"/>
                <w:szCs w:val="20"/>
              </w:rPr>
              <w:t>)</w:t>
            </w:r>
            <w:r>
              <w:rPr>
                <w:sz w:val="20"/>
                <w:szCs w:val="20"/>
              </w:rPr>
              <w:t xml:space="preserve">, was sich hier ausdrücke im </w:t>
            </w:r>
            <w:proofErr w:type="spellStart"/>
            <w:r w:rsidRPr="5B67C1D2">
              <w:rPr>
                <w:i/>
                <w:iCs/>
                <w:sz w:val="20"/>
                <w:szCs w:val="20"/>
              </w:rPr>
              <w:t>felon</w:t>
            </w:r>
            <w:proofErr w:type="spellEnd"/>
            <w:r w:rsidRPr="5B67C1D2">
              <w:rPr>
                <w:i/>
                <w:iCs/>
                <w:sz w:val="20"/>
                <w:szCs w:val="20"/>
              </w:rPr>
              <w:t>-in-possession-of-a-</w:t>
            </w:r>
            <w:proofErr w:type="spellStart"/>
            <w:r w:rsidRPr="5B67C1D2">
              <w:rPr>
                <w:i/>
                <w:iCs/>
                <w:sz w:val="20"/>
                <w:szCs w:val="20"/>
              </w:rPr>
              <w:t>firearm</w:t>
            </w:r>
            <w:proofErr w:type="spellEnd"/>
            <w:r w:rsidRPr="5B67C1D2">
              <w:rPr>
                <w:i/>
                <w:iCs/>
                <w:sz w:val="20"/>
                <w:szCs w:val="20"/>
              </w:rPr>
              <w:t xml:space="preserve"> </w:t>
            </w:r>
            <w:proofErr w:type="spellStart"/>
            <w:r w:rsidRPr="5B67C1D2">
              <w:rPr>
                <w:i/>
                <w:iCs/>
                <w:sz w:val="20"/>
                <w:szCs w:val="20"/>
              </w:rPr>
              <w:t>statute</w:t>
            </w:r>
            <w:proofErr w:type="spellEnd"/>
            <w:r w:rsidRPr="00B6207E">
              <w:rPr>
                <w:sz w:val="20"/>
                <w:szCs w:val="20"/>
              </w:rPr>
              <w:t xml:space="preserve"> </w:t>
            </w:r>
            <w:r>
              <w:rPr>
                <w:sz w:val="20"/>
                <w:szCs w:val="20"/>
              </w:rPr>
              <w:t>und</w:t>
            </w:r>
            <w:r w:rsidRPr="00B6207E">
              <w:rPr>
                <w:sz w:val="20"/>
                <w:szCs w:val="20"/>
              </w:rPr>
              <w:t xml:space="preserve"> den </w:t>
            </w:r>
            <w:proofErr w:type="spellStart"/>
            <w:r w:rsidRPr="5B67C1D2">
              <w:rPr>
                <w:i/>
                <w:iCs/>
                <w:sz w:val="20"/>
                <w:szCs w:val="20"/>
              </w:rPr>
              <w:t>federal</w:t>
            </w:r>
            <w:proofErr w:type="spellEnd"/>
            <w:r w:rsidRPr="5B67C1D2">
              <w:rPr>
                <w:i/>
                <w:iCs/>
                <w:sz w:val="20"/>
                <w:szCs w:val="20"/>
              </w:rPr>
              <w:t xml:space="preserve"> </w:t>
            </w:r>
            <w:proofErr w:type="spellStart"/>
            <w:r w:rsidRPr="5B67C1D2">
              <w:rPr>
                <w:i/>
                <w:iCs/>
                <w:sz w:val="20"/>
                <w:szCs w:val="20"/>
              </w:rPr>
              <w:t>statutes</w:t>
            </w:r>
            <w:proofErr w:type="spellEnd"/>
            <w:r w:rsidRPr="5B67C1D2">
              <w:rPr>
                <w:i/>
                <w:iCs/>
                <w:sz w:val="20"/>
                <w:szCs w:val="20"/>
              </w:rPr>
              <w:t>.</w:t>
            </w:r>
            <w:r>
              <w:rPr>
                <w:sz w:val="20"/>
                <w:szCs w:val="20"/>
              </w:rPr>
              <w:t xml:space="preserve"> Und w</w:t>
            </w:r>
            <w:r w:rsidRPr="00E50B51">
              <w:rPr>
                <w:sz w:val="20"/>
                <w:szCs w:val="20"/>
              </w:rPr>
              <w:t xml:space="preserve">as sich auch aus dem Wortlaut </w:t>
            </w:r>
            <w:r>
              <w:rPr>
                <w:sz w:val="20"/>
                <w:szCs w:val="20"/>
              </w:rPr>
              <w:t>von</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Pr>
                <w:sz w:val="20"/>
                <w:szCs w:val="20"/>
              </w:rPr>
              <w:t xml:space="preserve"> </w:t>
            </w:r>
            <w:r w:rsidRPr="00E50B51">
              <w:rPr>
                <w:sz w:val="20"/>
                <w:szCs w:val="20"/>
              </w:rPr>
              <w:t>erg</w:t>
            </w:r>
            <w:r>
              <w:rPr>
                <w:sz w:val="20"/>
                <w:szCs w:val="20"/>
              </w:rPr>
              <w:t>ebe</w:t>
            </w:r>
            <w:r w:rsidRPr="00E50B51">
              <w:rPr>
                <w:sz w:val="20"/>
                <w:szCs w:val="20"/>
              </w:rPr>
              <w:t xml:space="preserve">: Ein Souverän wie die Bundes- oder </w:t>
            </w:r>
            <w:r>
              <w:rPr>
                <w:sz w:val="20"/>
                <w:szCs w:val="20"/>
              </w:rPr>
              <w:t>bundesstaatliche R</w:t>
            </w:r>
            <w:r w:rsidRPr="00E50B51">
              <w:rPr>
                <w:sz w:val="20"/>
                <w:szCs w:val="20"/>
              </w:rPr>
              <w:t xml:space="preserve">egierung </w:t>
            </w:r>
            <w:r>
              <w:rPr>
                <w:sz w:val="20"/>
                <w:szCs w:val="20"/>
              </w:rPr>
              <w:t>erlasse</w:t>
            </w:r>
            <w:r w:rsidRPr="00E50B51">
              <w:rPr>
                <w:sz w:val="20"/>
                <w:szCs w:val="20"/>
              </w:rPr>
              <w:t xml:space="preserve"> Gesetze und ein solches Gesetz wiederum bestimm</w:t>
            </w:r>
            <w:r>
              <w:rPr>
                <w:sz w:val="20"/>
                <w:szCs w:val="20"/>
              </w:rPr>
              <w:t>e dann</w:t>
            </w:r>
            <w:r w:rsidRPr="00E50B51">
              <w:rPr>
                <w:sz w:val="20"/>
                <w:szCs w:val="20"/>
              </w:rPr>
              <w:t>, was eine Straftat (</w:t>
            </w:r>
            <w:r w:rsidR="005516A5" w:rsidRPr="00E50B51">
              <w:rPr>
                <w:sz w:val="20"/>
                <w:szCs w:val="20"/>
              </w:rPr>
              <w:t>„</w:t>
            </w:r>
            <w:proofErr w:type="spellStart"/>
            <w:r w:rsidRPr="00E50B51">
              <w:rPr>
                <w:sz w:val="20"/>
                <w:szCs w:val="20"/>
              </w:rPr>
              <w:t>offense</w:t>
            </w:r>
            <w:proofErr w:type="spellEnd"/>
            <w:r w:rsidRPr="00E50B51">
              <w:rPr>
                <w:sz w:val="20"/>
                <w:szCs w:val="20"/>
              </w:rPr>
              <w:t>“</w:t>
            </w:r>
            <w:r w:rsidRPr="5B67C1D2">
              <w:rPr>
                <w:rStyle w:val="Funotenzeichen"/>
                <w:rFonts w:eastAsiaTheme="majorEastAsia"/>
                <w:sz w:val="20"/>
                <w:szCs w:val="20"/>
              </w:rPr>
              <w:footnoteReference w:id="1514"/>
            </w:r>
            <w:r w:rsidRPr="00E50B51">
              <w:rPr>
                <w:sz w:val="20"/>
                <w:szCs w:val="20"/>
              </w:rPr>
              <w:t>) darstell</w:t>
            </w:r>
            <w:r>
              <w:rPr>
                <w:sz w:val="20"/>
                <w:szCs w:val="20"/>
              </w:rPr>
              <w:t>e</w:t>
            </w:r>
            <w:r w:rsidRPr="00E50B51">
              <w:rPr>
                <w:sz w:val="20"/>
                <w:szCs w:val="20"/>
              </w:rPr>
              <w:t>; aber Gesetze zweier verschiedener Souveräne seien zwei verschiedene Gesetz</w:t>
            </w:r>
            <w:r>
              <w:rPr>
                <w:sz w:val="20"/>
                <w:szCs w:val="20"/>
              </w:rPr>
              <w:t xml:space="preserve">e. Sie </w:t>
            </w:r>
            <w:r w:rsidRPr="00E50B51">
              <w:rPr>
                <w:sz w:val="20"/>
                <w:szCs w:val="20"/>
              </w:rPr>
              <w:t>stell</w:t>
            </w:r>
            <w:r>
              <w:rPr>
                <w:sz w:val="20"/>
                <w:szCs w:val="20"/>
              </w:rPr>
              <w:t>t</w:t>
            </w:r>
            <w:r w:rsidRPr="00E50B51">
              <w:rPr>
                <w:sz w:val="20"/>
                <w:szCs w:val="20"/>
              </w:rPr>
              <w:t>en damit zwei Straftaten dar</w:t>
            </w:r>
            <w:r>
              <w:rPr>
                <w:sz w:val="20"/>
                <w:szCs w:val="20"/>
              </w:rPr>
              <w:t xml:space="preserve">, genannt </w:t>
            </w:r>
            <w:proofErr w:type="spellStart"/>
            <w:r w:rsidRPr="5B67C1D2">
              <w:rPr>
                <w:i/>
                <w:iCs/>
                <w:sz w:val="20"/>
                <w:szCs w:val="20"/>
              </w:rPr>
              <w:t>state</w:t>
            </w:r>
            <w:proofErr w:type="spellEnd"/>
            <w:r w:rsidRPr="5B67C1D2">
              <w:rPr>
                <w:i/>
                <w:iCs/>
                <w:sz w:val="20"/>
                <w:szCs w:val="20"/>
              </w:rPr>
              <w:t xml:space="preserve"> </w:t>
            </w:r>
            <w:proofErr w:type="spellStart"/>
            <w:r w:rsidRPr="5B67C1D2">
              <w:rPr>
                <w:i/>
                <w:iCs/>
                <w:sz w:val="20"/>
                <w:szCs w:val="20"/>
              </w:rPr>
              <w:t>application</w:t>
            </w:r>
            <w:proofErr w:type="spellEnd"/>
            <w:r w:rsidRPr="00E50B51">
              <w:rPr>
                <w:sz w:val="20"/>
                <w:szCs w:val="20"/>
              </w:rPr>
              <w:t>.</w:t>
            </w:r>
            <w:r>
              <w:rPr>
                <w:sz w:val="20"/>
                <w:szCs w:val="20"/>
              </w:rPr>
              <w:t xml:space="preserve"> Und sie bildeten die Grundlage für zwei mögliche Urteile.</w:t>
            </w:r>
            <w:r w:rsidRPr="5B67C1D2">
              <w:rPr>
                <w:rStyle w:val="Funotenzeichen"/>
                <w:rFonts w:eastAsiaTheme="majorEastAsia"/>
                <w:sz w:val="20"/>
                <w:szCs w:val="20"/>
              </w:rPr>
              <w:footnoteReference w:id="1515"/>
            </w:r>
          </w:p>
          <w:p w14:paraId="13FEE88D" w14:textId="77777777" w:rsidR="00074551" w:rsidRPr="00E50B51" w:rsidRDefault="00074551" w:rsidP="00061436">
            <w:pPr>
              <w:jc w:val="both"/>
              <w:rPr>
                <w:sz w:val="20"/>
                <w:szCs w:val="20"/>
              </w:rPr>
            </w:pPr>
          </w:p>
        </w:tc>
        <w:tc>
          <w:tcPr>
            <w:tcW w:w="1822" w:type="pct"/>
          </w:tcPr>
          <w:p w14:paraId="352C1AD4" w14:textId="77777777" w:rsidR="00074551" w:rsidRDefault="00074551" w:rsidP="00061436">
            <w:pPr>
              <w:jc w:val="both"/>
              <w:rPr>
                <w:sz w:val="20"/>
                <w:szCs w:val="20"/>
              </w:rPr>
            </w:pPr>
            <w:r w:rsidRPr="00C855FC">
              <w:rPr>
                <w:sz w:val="20"/>
                <w:szCs w:val="20"/>
              </w:rPr>
              <w:t xml:space="preserve">In </w:t>
            </w:r>
            <w:proofErr w:type="spellStart"/>
            <w:r w:rsidRPr="5B67C1D2">
              <w:rPr>
                <w:i/>
                <w:iCs/>
                <w:sz w:val="20"/>
                <w:szCs w:val="20"/>
              </w:rPr>
              <w:t>Gamble</w:t>
            </w:r>
            <w:proofErr w:type="spellEnd"/>
            <w:r w:rsidRPr="5B67C1D2">
              <w:rPr>
                <w:i/>
                <w:iCs/>
                <w:sz w:val="20"/>
                <w:szCs w:val="20"/>
              </w:rPr>
              <w:t xml:space="preserve"> v. United States</w:t>
            </w:r>
            <w:r w:rsidRPr="00C855FC">
              <w:rPr>
                <w:sz w:val="20"/>
                <w:szCs w:val="20"/>
              </w:rPr>
              <w:t xml:space="preserve"> erklärt der </w:t>
            </w:r>
            <w:r>
              <w:rPr>
                <w:sz w:val="20"/>
                <w:szCs w:val="20"/>
              </w:rPr>
              <w:t>U.S. Supreme Court</w:t>
            </w:r>
            <w:r w:rsidRPr="00C855FC">
              <w:rPr>
                <w:sz w:val="20"/>
                <w:szCs w:val="20"/>
              </w:rPr>
              <w:t>, dass „</w:t>
            </w:r>
            <w:proofErr w:type="spellStart"/>
            <w:r>
              <w:rPr>
                <w:sz w:val="20"/>
                <w:szCs w:val="20"/>
              </w:rPr>
              <w:t>c</w:t>
            </w:r>
            <w:r w:rsidRPr="00C855FC">
              <w:rPr>
                <w:sz w:val="20"/>
                <w:szCs w:val="20"/>
              </w:rPr>
              <w:t>ommon</w:t>
            </w:r>
            <w:proofErr w:type="spellEnd"/>
            <w:r w:rsidRPr="00C855FC">
              <w:rPr>
                <w:sz w:val="20"/>
                <w:szCs w:val="20"/>
              </w:rPr>
              <w:t xml:space="preserve"> </w:t>
            </w:r>
            <w:proofErr w:type="spellStart"/>
            <w:r w:rsidRPr="00C855FC">
              <w:rPr>
                <w:sz w:val="20"/>
                <w:szCs w:val="20"/>
              </w:rPr>
              <w:t>law</w:t>
            </w:r>
            <w:proofErr w:type="spellEnd"/>
            <w:r w:rsidRPr="00C855FC">
              <w:rPr>
                <w:sz w:val="20"/>
                <w:szCs w:val="20"/>
              </w:rPr>
              <w:t xml:space="preserve"> </w:t>
            </w:r>
            <w:proofErr w:type="spellStart"/>
            <w:r w:rsidRPr="00C855FC">
              <w:rPr>
                <w:sz w:val="20"/>
                <w:szCs w:val="20"/>
              </w:rPr>
              <w:t>doctrines</w:t>
            </w:r>
            <w:proofErr w:type="spellEnd"/>
            <w:r w:rsidRPr="00C855FC">
              <w:rPr>
                <w:sz w:val="20"/>
                <w:szCs w:val="20"/>
              </w:rPr>
              <w:t>“</w:t>
            </w:r>
            <w:r w:rsidRPr="00C855FC">
              <w:rPr>
                <w:sz w:val="20"/>
                <w:szCs w:val="20"/>
                <w:vertAlign w:val="superscript"/>
                <w:lang w:val="en-US"/>
              </w:rPr>
              <w:footnoteReference w:id="1516"/>
            </w:r>
            <w:r w:rsidRPr="00C855FC">
              <w:rPr>
                <w:sz w:val="20"/>
                <w:szCs w:val="20"/>
              </w:rPr>
              <w:t xml:space="preserve"> entstehen, wenn Gerichte oder der Gesetzgeber Gesetze auslegen. Dies sei zulässig, weil sich auch Grundprinzipien („fundamental </w:t>
            </w:r>
            <w:proofErr w:type="spellStart"/>
            <w:r w:rsidRPr="00C855FC">
              <w:rPr>
                <w:sz w:val="20"/>
                <w:szCs w:val="20"/>
              </w:rPr>
              <w:t>principles</w:t>
            </w:r>
            <w:proofErr w:type="spellEnd"/>
            <w:r w:rsidRPr="00C855FC">
              <w:rPr>
                <w:sz w:val="20"/>
                <w:szCs w:val="20"/>
              </w:rPr>
              <w:t>“</w:t>
            </w:r>
            <w:r w:rsidRPr="00C855FC">
              <w:rPr>
                <w:sz w:val="20"/>
                <w:szCs w:val="20"/>
                <w:vertAlign w:val="superscript"/>
              </w:rPr>
              <w:footnoteReference w:id="1517"/>
            </w:r>
            <w:r w:rsidRPr="00C855FC">
              <w:rPr>
                <w:sz w:val="20"/>
                <w:szCs w:val="20"/>
              </w:rPr>
              <w:t>) wie das Streben nach Glück aus einer Auseinandersetzung mit Gesetzen ergeben</w:t>
            </w:r>
            <w:r>
              <w:rPr>
                <w:sz w:val="20"/>
                <w:szCs w:val="20"/>
              </w:rPr>
              <w:t xml:space="preserve"> hätten</w:t>
            </w:r>
            <w:r w:rsidRPr="00C855FC">
              <w:rPr>
                <w:sz w:val="20"/>
                <w:szCs w:val="20"/>
              </w:rPr>
              <w:t xml:space="preserve">, ein </w:t>
            </w:r>
            <w:r>
              <w:rPr>
                <w:sz w:val="20"/>
                <w:szCs w:val="20"/>
              </w:rPr>
              <w:t>E</w:t>
            </w:r>
            <w:r w:rsidRPr="00C855FC">
              <w:rPr>
                <w:sz w:val="20"/>
                <w:szCs w:val="20"/>
              </w:rPr>
              <w:t>rst-recht</w:t>
            </w:r>
            <w:r>
              <w:rPr>
                <w:sz w:val="20"/>
                <w:szCs w:val="20"/>
              </w:rPr>
              <w:t>-</w:t>
            </w:r>
            <w:r w:rsidRPr="00C855FC">
              <w:rPr>
                <w:sz w:val="20"/>
                <w:szCs w:val="20"/>
              </w:rPr>
              <w:t>Schluss.</w:t>
            </w:r>
          </w:p>
          <w:p w14:paraId="780DF3EE" w14:textId="77777777" w:rsidR="00074551" w:rsidRPr="00C855FC" w:rsidRDefault="00074551" w:rsidP="00061436">
            <w:pPr>
              <w:jc w:val="both"/>
              <w:rPr>
                <w:sz w:val="20"/>
                <w:szCs w:val="20"/>
              </w:rPr>
            </w:pPr>
          </w:p>
          <w:p w14:paraId="4A53E526" w14:textId="67624444" w:rsidR="00074551" w:rsidRPr="00C855FC" w:rsidRDefault="00074551" w:rsidP="00061436">
            <w:pPr>
              <w:jc w:val="both"/>
              <w:rPr>
                <w:sz w:val="20"/>
                <w:szCs w:val="20"/>
              </w:rPr>
            </w:pPr>
            <w:r w:rsidRPr="00C855FC">
              <w:rPr>
                <w:sz w:val="20"/>
                <w:szCs w:val="20"/>
              </w:rPr>
              <w:t xml:space="preserve">Richter </w:t>
            </w:r>
            <w:r w:rsidRPr="5B67C1D2">
              <w:rPr>
                <w:i/>
                <w:iCs/>
                <w:sz w:val="20"/>
                <w:szCs w:val="20"/>
              </w:rPr>
              <w:t>Thomas</w:t>
            </w:r>
            <w:r w:rsidRPr="00C855FC">
              <w:rPr>
                <w:sz w:val="20"/>
                <w:szCs w:val="20"/>
              </w:rPr>
              <w:t xml:space="preserve"> erweiterte die Stellungnahme des Gerichts in seiner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C855FC">
              <w:rPr>
                <w:sz w:val="20"/>
                <w:szCs w:val="20"/>
              </w:rPr>
              <w:t>. Danach erklärt</w:t>
            </w:r>
            <w:r>
              <w:rPr>
                <w:sz w:val="20"/>
                <w:szCs w:val="20"/>
              </w:rPr>
              <w:t>e</w:t>
            </w:r>
            <w:r w:rsidRPr="00C855FC">
              <w:rPr>
                <w:sz w:val="20"/>
                <w:szCs w:val="20"/>
              </w:rPr>
              <w:t xml:space="preserve"> er den Ursprung der </w:t>
            </w:r>
            <w:proofErr w:type="spellStart"/>
            <w:r w:rsidRPr="5B67C1D2">
              <w:rPr>
                <w:i/>
                <w:iCs/>
                <w:sz w:val="20"/>
                <w:szCs w:val="20"/>
              </w:rPr>
              <w:t>common</w:t>
            </w:r>
            <w:proofErr w:type="spellEnd"/>
            <w:r w:rsidRPr="5B67C1D2">
              <w:rPr>
                <w:i/>
                <w:iCs/>
                <w:sz w:val="20"/>
                <w:szCs w:val="20"/>
              </w:rPr>
              <w:t xml:space="preserve"> </w:t>
            </w:r>
            <w:proofErr w:type="spellStart"/>
            <w:r w:rsidRPr="5B67C1D2">
              <w:rPr>
                <w:i/>
                <w:iCs/>
                <w:sz w:val="20"/>
                <w:szCs w:val="20"/>
              </w:rPr>
              <w:t>law</w:t>
            </w:r>
            <w:proofErr w:type="spellEnd"/>
            <w:r w:rsidRPr="5B67C1D2">
              <w:rPr>
                <w:i/>
                <w:iCs/>
                <w:sz w:val="20"/>
                <w:szCs w:val="20"/>
              </w:rPr>
              <w:t xml:space="preserve"> </w:t>
            </w:r>
            <w:proofErr w:type="spellStart"/>
            <w:r w:rsidRPr="5B67C1D2">
              <w:rPr>
                <w:i/>
                <w:iCs/>
                <w:sz w:val="20"/>
                <w:szCs w:val="20"/>
              </w:rPr>
              <w:t>doctrine</w:t>
            </w:r>
            <w:r w:rsidR="00AC3501">
              <w:rPr>
                <w:i/>
                <w:iCs/>
                <w:sz w:val="20"/>
                <w:szCs w:val="20"/>
              </w:rPr>
              <w:t>s</w:t>
            </w:r>
            <w:proofErr w:type="spellEnd"/>
            <w:r w:rsidRPr="00C855FC">
              <w:rPr>
                <w:sz w:val="20"/>
                <w:szCs w:val="20"/>
              </w:rPr>
              <w:t xml:space="preserve">, </w:t>
            </w:r>
            <w:r>
              <w:rPr>
                <w:sz w:val="20"/>
                <w:szCs w:val="20"/>
              </w:rPr>
              <w:t>z.B.</w:t>
            </w:r>
            <w:r w:rsidRPr="00C855FC">
              <w:rPr>
                <w:sz w:val="20"/>
                <w:szCs w:val="20"/>
              </w:rPr>
              <w:t xml:space="preserve"> der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00C855FC">
              <w:rPr>
                <w:sz w:val="20"/>
                <w:szCs w:val="20"/>
              </w:rPr>
              <w:t xml:space="preserve">. Er definierte: Gerichte und Gesetzgeber betrachten die sog. </w:t>
            </w:r>
            <w:proofErr w:type="spellStart"/>
            <w:r w:rsidRPr="5B67C1D2">
              <w:rPr>
                <w:i/>
                <w:iCs/>
                <w:sz w:val="20"/>
                <w:szCs w:val="20"/>
              </w:rPr>
              <w:t>common</w:t>
            </w:r>
            <w:proofErr w:type="spellEnd"/>
            <w:r w:rsidRPr="5B67C1D2">
              <w:rPr>
                <w:i/>
                <w:iCs/>
                <w:sz w:val="20"/>
                <w:szCs w:val="20"/>
              </w:rPr>
              <w:t xml:space="preserve"> </w:t>
            </w:r>
            <w:proofErr w:type="spellStart"/>
            <w:r w:rsidRPr="5B67C1D2">
              <w:rPr>
                <w:i/>
                <w:iCs/>
                <w:sz w:val="20"/>
                <w:szCs w:val="20"/>
              </w:rPr>
              <w:t>law</w:t>
            </w:r>
            <w:proofErr w:type="spellEnd"/>
            <w:r w:rsidRPr="5B67C1D2">
              <w:rPr>
                <w:i/>
                <w:iCs/>
                <w:sz w:val="20"/>
                <w:szCs w:val="20"/>
              </w:rPr>
              <w:t xml:space="preserve"> </w:t>
            </w:r>
            <w:proofErr w:type="spellStart"/>
            <w:r w:rsidRPr="5B67C1D2">
              <w:rPr>
                <w:i/>
                <w:iCs/>
                <w:sz w:val="20"/>
                <w:szCs w:val="20"/>
              </w:rPr>
              <w:t>doctrine</w:t>
            </w:r>
            <w:r w:rsidR="00AC3501">
              <w:rPr>
                <w:i/>
                <w:iCs/>
                <w:sz w:val="20"/>
                <w:szCs w:val="20"/>
              </w:rPr>
              <w:t>s</w:t>
            </w:r>
            <w:proofErr w:type="spellEnd"/>
            <w:r w:rsidRPr="00C855FC">
              <w:rPr>
                <w:sz w:val="20"/>
                <w:szCs w:val="20"/>
              </w:rPr>
              <w:t xml:space="preserve"> nicht als gesetzesgleich, sondern als Prinzipien. Und diese ergeben sich, wenn Gesetze</w:t>
            </w:r>
            <w:r>
              <w:rPr>
                <w:sz w:val="20"/>
                <w:szCs w:val="20"/>
              </w:rPr>
              <w:t xml:space="preserve"> ausgelegt werden</w:t>
            </w:r>
            <w:r w:rsidRPr="00C855FC">
              <w:rPr>
                <w:sz w:val="20"/>
                <w:szCs w:val="20"/>
              </w:rPr>
              <w:t xml:space="preserve">. Doch woraus legitimiert sich diese Definition? Kurz: Aus den Gründungsdokumenten der Vereinigten Staaten. Denn die Gründungsdokumente beruhen auf Grundprinzipien („fundamental </w:t>
            </w:r>
            <w:proofErr w:type="spellStart"/>
            <w:r w:rsidRPr="00C855FC">
              <w:rPr>
                <w:sz w:val="20"/>
                <w:szCs w:val="20"/>
              </w:rPr>
              <w:t>principles</w:t>
            </w:r>
            <w:proofErr w:type="spellEnd"/>
            <w:r w:rsidRPr="00C855FC">
              <w:rPr>
                <w:sz w:val="20"/>
                <w:szCs w:val="20"/>
              </w:rPr>
              <w:t>“</w:t>
            </w:r>
            <w:r w:rsidRPr="00C855FC">
              <w:rPr>
                <w:sz w:val="20"/>
                <w:szCs w:val="20"/>
                <w:vertAlign w:val="superscript"/>
              </w:rPr>
              <w:footnoteReference w:id="1518"/>
            </w:r>
            <w:r w:rsidRPr="00C855FC">
              <w:rPr>
                <w:sz w:val="20"/>
                <w:szCs w:val="20"/>
              </w:rPr>
              <w:t>), welche bekannt oder objektiv erfahrbar seien – wie das Streben nach Glück.</w:t>
            </w:r>
            <w:r w:rsidRPr="00C855FC">
              <w:rPr>
                <w:sz w:val="20"/>
                <w:szCs w:val="20"/>
                <w:vertAlign w:val="superscript"/>
              </w:rPr>
              <w:footnoteReference w:id="1519"/>
            </w:r>
            <w:r w:rsidRPr="00C855FC">
              <w:rPr>
                <w:sz w:val="20"/>
                <w:szCs w:val="20"/>
              </w:rPr>
              <w:t xml:space="preserve"> Und daher sei es zulässig, auch aus Gesetzen höhere Prinzipien abzuleiten.</w:t>
            </w:r>
          </w:p>
          <w:p w14:paraId="0F8ACE08" w14:textId="77777777" w:rsidR="00074551" w:rsidRPr="00E50B51" w:rsidRDefault="00074551" w:rsidP="00061436">
            <w:pPr>
              <w:jc w:val="both"/>
              <w:rPr>
                <w:sz w:val="20"/>
                <w:szCs w:val="20"/>
              </w:rPr>
            </w:pPr>
          </w:p>
        </w:tc>
      </w:tr>
      <w:tr w:rsidR="00074551" w:rsidRPr="00E50B51" w14:paraId="70F212A5" w14:textId="77777777" w:rsidTr="00203768">
        <w:trPr>
          <w:cantSplit/>
          <w:trHeight w:val="3175"/>
        </w:trPr>
        <w:tc>
          <w:tcPr>
            <w:tcW w:w="293" w:type="pct"/>
            <w:shd w:val="clear" w:color="auto" w:fill="E7E6E6" w:themeFill="background2"/>
          </w:tcPr>
          <w:p w14:paraId="5EF3720F"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3C6B81DD"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0361E204"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5D28680D" w14:textId="77777777" w:rsidR="00074551" w:rsidRPr="00E50B51" w:rsidRDefault="00074551" w:rsidP="00367133">
            <w:pPr>
              <w:ind w:left="113" w:right="113"/>
              <w:jc w:val="both"/>
              <w:rPr>
                <w:sz w:val="20"/>
                <w:szCs w:val="20"/>
              </w:rPr>
            </w:pPr>
            <w:r w:rsidRPr="00E50B51">
              <w:rPr>
                <w:sz w:val="20"/>
                <w:szCs w:val="20"/>
              </w:rPr>
              <w:t>Sep</w:t>
            </w:r>
            <w:r>
              <w:rPr>
                <w:sz w:val="20"/>
                <w:szCs w:val="20"/>
              </w:rPr>
              <w:t>a</w:t>
            </w:r>
            <w:r w:rsidRPr="00E50B51">
              <w:rPr>
                <w:sz w:val="20"/>
                <w:szCs w:val="20"/>
              </w:rPr>
              <w:t>ration of Powers</w:t>
            </w:r>
          </w:p>
        </w:tc>
        <w:tc>
          <w:tcPr>
            <w:tcW w:w="306" w:type="pct"/>
            <w:shd w:val="clear" w:color="auto" w:fill="E7E6E6" w:themeFill="background2"/>
            <w:textDirection w:val="tbRl"/>
            <w:vAlign w:val="center"/>
          </w:tcPr>
          <w:p w14:paraId="722CA831" w14:textId="77777777" w:rsidR="00074551" w:rsidRPr="00B45592" w:rsidRDefault="00074551" w:rsidP="00367133">
            <w:pPr>
              <w:ind w:left="113" w:right="113"/>
              <w:jc w:val="both"/>
              <w:rPr>
                <w:sz w:val="20"/>
                <w:szCs w:val="20"/>
              </w:rPr>
            </w:pPr>
            <w:proofErr w:type="spellStart"/>
            <w:r w:rsidRPr="00B45592">
              <w:rPr>
                <w:sz w:val="20"/>
                <w:szCs w:val="20"/>
              </w:rPr>
              <w:t>Judiciary</w:t>
            </w:r>
            <w:proofErr w:type="spellEnd"/>
          </w:p>
          <w:p w14:paraId="363D481A" w14:textId="77777777" w:rsidR="00074551" w:rsidRPr="00E50B51" w:rsidRDefault="00074551" w:rsidP="00367133">
            <w:pPr>
              <w:ind w:left="113" w:right="113"/>
              <w:jc w:val="both"/>
              <w:rPr>
                <w:sz w:val="20"/>
                <w:szCs w:val="20"/>
              </w:rPr>
            </w:pPr>
          </w:p>
        </w:tc>
        <w:tc>
          <w:tcPr>
            <w:tcW w:w="401" w:type="pct"/>
            <w:shd w:val="clear" w:color="auto" w:fill="E7E6E6" w:themeFill="background2"/>
            <w:textDirection w:val="tbRl"/>
          </w:tcPr>
          <w:p w14:paraId="6803E14A" w14:textId="77777777" w:rsidR="00074551" w:rsidRDefault="00074551" w:rsidP="00367133">
            <w:pPr>
              <w:ind w:left="113" w:right="113"/>
              <w:rPr>
                <w:sz w:val="20"/>
                <w:szCs w:val="20"/>
              </w:rPr>
            </w:pPr>
          </w:p>
          <w:p w14:paraId="77E6B789" w14:textId="77777777" w:rsidR="00074551" w:rsidRPr="00E50B51" w:rsidRDefault="00074551" w:rsidP="00367133">
            <w:pPr>
              <w:ind w:left="113" w:right="113"/>
              <w:rPr>
                <w:sz w:val="20"/>
                <w:szCs w:val="20"/>
              </w:rPr>
            </w:pPr>
            <w:proofErr w:type="spellStart"/>
            <w:r w:rsidRPr="00E50B51">
              <w:rPr>
                <w:sz w:val="20"/>
                <w:szCs w:val="20"/>
              </w:rPr>
              <w:t>Jurisdiction</w:t>
            </w:r>
            <w:proofErr w:type="spellEnd"/>
          </w:p>
        </w:tc>
        <w:tc>
          <w:tcPr>
            <w:tcW w:w="1594" w:type="pct"/>
            <w:shd w:val="clear" w:color="auto" w:fill="E7E6E6" w:themeFill="background2"/>
            <w:vAlign w:val="center"/>
          </w:tcPr>
          <w:p w14:paraId="691BF2EF" w14:textId="77777777" w:rsidR="00074551" w:rsidRPr="00E50B51" w:rsidRDefault="00074551" w:rsidP="00367133">
            <w:pPr>
              <w:jc w:val="both"/>
              <w:rPr>
                <w:sz w:val="20"/>
                <w:szCs w:val="20"/>
              </w:rPr>
            </w:pPr>
          </w:p>
        </w:tc>
        <w:tc>
          <w:tcPr>
            <w:tcW w:w="1822" w:type="pct"/>
            <w:shd w:val="clear" w:color="auto" w:fill="E7E6E6" w:themeFill="background2"/>
          </w:tcPr>
          <w:p w14:paraId="7043B7E0" w14:textId="7F90B5AB"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26AADFF2" w14:textId="77777777" w:rsidTr="00BE689F">
        <w:trPr>
          <w:cantSplit/>
          <w:trHeight w:val="3175"/>
        </w:trPr>
        <w:tc>
          <w:tcPr>
            <w:tcW w:w="293" w:type="pct"/>
          </w:tcPr>
          <w:p w14:paraId="11C230F7"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1DD324B" w14:textId="77777777" w:rsidR="00074551" w:rsidRPr="00E50B51" w:rsidRDefault="00074551" w:rsidP="00367133">
            <w:pPr>
              <w:ind w:left="113" w:right="416"/>
              <w:jc w:val="both"/>
              <w:rPr>
                <w:sz w:val="20"/>
                <w:szCs w:val="20"/>
              </w:rPr>
            </w:pPr>
            <w:r w:rsidRPr="00B35CD0">
              <w:rPr>
                <w:i/>
                <w:sz w:val="20"/>
                <w:szCs w:val="20"/>
                <w:lang w:val="en-US"/>
              </w:rPr>
              <w:t>Green v. Biddle</w:t>
            </w:r>
          </w:p>
        </w:tc>
        <w:tc>
          <w:tcPr>
            <w:tcW w:w="197" w:type="pct"/>
            <w:textDirection w:val="tbRl"/>
            <w:vAlign w:val="center"/>
          </w:tcPr>
          <w:p w14:paraId="7DDF5AC8" w14:textId="77777777" w:rsidR="00074551" w:rsidRPr="00E50B51" w:rsidRDefault="00074551" w:rsidP="00367133">
            <w:pPr>
              <w:ind w:left="113" w:right="113"/>
              <w:jc w:val="both"/>
              <w:rPr>
                <w:i/>
                <w:iCs/>
                <w:sz w:val="20"/>
                <w:szCs w:val="20"/>
              </w:rPr>
            </w:pPr>
            <w:r w:rsidRPr="00E50B51">
              <w:rPr>
                <w:sz w:val="20"/>
                <w:szCs w:val="20"/>
                <w:lang w:val="en-US"/>
              </w:rPr>
              <w:t>21 U.S. 1</w:t>
            </w:r>
          </w:p>
        </w:tc>
        <w:tc>
          <w:tcPr>
            <w:tcW w:w="306" w:type="pct"/>
            <w:textDirection w:val="tbRl"/>
            <w:vAlign w:val="center"/>
          </w:tcPr>
          <w:p w14:paraId="7CAAAE4D" w14:textId="77777777" w:rsidR="00074551" w:rsidRPr="00E50B51" w:rsidRDefault="00074551" w:rsidP="00367133">
            <w:pPr>
              <w:ind w:left="113" w:right="113"/>
              <w:jc w:val="both"/>
              <w:rPr>
                <w:sz w:val="20"/>
                <w:szCs w:val="20"/>
              </w:rPr>
            </w:pPr>
            <w:r w:rsidRPr="00E50B51">
              <w:rPr>
                <w:sz w:val="20"/>
                <w:szCs w:val="20"/>
                <w:lang w:val="en-US"/>
              </w:rPr>
              <w:t xml:space="preserve">17. </w:t>
            </w:r>
            <w:proofErr w:type="spellStart"/>
            <w:r w:rsidRPr="00E50B51">
              <w:rPr>
                <w:sz w:val="20"/>
                <w:szCs w:val="20"/>
                <w:lang w:val="en-US"/>
              </w:rPr>
              <w:t>Februar</w:t>
            </w:r>
            <w:proofErr w:type="spellEnd"/>
            <w:r w:rsidRPr="00E50B51">
              <w:rPr>
                <w:sz w:val="20"/>
                <w:szCs w:val="20"/>
                <w:lang w:val="en-US"/>
              </w:rPr>
              <w:t xml:space="preserve"> 1823</w:t>
            </w:r>
          </w:p>
        </w:tc>
        <w:tc>
          <w:tcPr>
            <w:tcW w:w="401" w:type="pct"/>
          </w:tcPr>
          <w:p w14:paraId="3AEDC5B8"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4EC70686" w14:textId="77777777" w:rsidR="00074551" w:rsidRPr="00E50B51" w:rsidRDefault="00074551" w:rsidP="00367133">
            <w:pPr>
              <w:jc w:val="both"/>
              <w:rPr>
                <w:sz w:val="20"/>
                <w:szCs w:val="20"/>
              </w:rPr>
            </w:pPr>
            <w:r w:rsidRPr="00E50B51">
              <w:rPr>
                <w:sz w:val="20"/>
                <w:szCs w:val="20"/>
              </w:rPr>
              <w:t>*</w:t>
            </w:r>
          </w:p>
        </w:tc>
        <w:tc>
          <w:tcPr>
            <w:tcW w:w="1822" w:type="pct"/>
          </w:tcPr>
          <w:p w14:paraId="445224FC" w14:textId="77777777" w:rsidR="00074551" w:rsidRDefault="00074551" w:rsidP="00367133">
            <w:pPr>
              <w:jc w:val="both"/>
              <w:rPr>
                <w:sz w:val="20"/>
                <w:szCs w:val="20"/>
              </w:rPr>
            </w:pPr>
            <w:r w:rsidRPr="00986056">
              <w:rPr>
                <w:sz w:val="20"/>
                <w:szCs w:val="20"/>
              </w:rPr>
              <w:t xml:space="preserve">Der </w:t>
            </w:r>
            <w:r>
              <w:rPr>
                <w:sz w:val="20"/>
                <w:szCs w:val="20"/>
              </w:rPr>
              <w:t>U.S. Supreme Court</w:t>
            </w:r>
            <w:r w:rsidRPr="00986056">
              <w:rPr>
                <w:sz w:val="20"/>
                <w:szCs w:val="20"/>
              </w:rPr>
              <w:t xml:space="preserve"> erklärte sich für zuständig, weil </w:t>
            </w:r>
            <w:r>
              <w:rPr>
                <w:sz w:val="20"/>
                <w:szCs w:val="20"/>
              </w:rPr>
              <w:t>der</w:t>
            </w:r>
            <w:r w:rsidRPr="00664F0F">
              <w:rPr>
                <w:sz w:val="20"/>
                <w:szCs w:val="20"/>
              </w:rPr>
              <w:t xml:space="preserve"> </w:t>
            </w:r>
            <w:r w:rsidRPr="00986056">
              <w:rPr>
                <w:sz w:val="20"/>
                <w:szCs w:val="20"/>
              </w:rPr>
              <w:t>Fall eine grundlegende Maxime betr</w:t>
            </w:r>
            <w:r w:rsidRPr="00664F0F">
              <w:rPr>
                <w:sz w:val="20"/>
                <w:szCs w:val="20"/>
              </w:rPr>
              <w:t>offen habe</w:t>
            </w:r>
            <w:r w:rsidRPr="00986056">
              <w:rPr>
                <w:sz w:val="20"/>
                <w:szCs w:val="20"/>
              </w:rPr>
              <w:t>. Diese laute: Das Streben nach Glück sei ein inhärentes Recht jeder freien Gesellschaft</w:t>
            </w:r>
            <w:r w:rsidRPr="00664F0F">
              <w:rPr>
                <w:sz w:val="20"/>
                <w:szCs w:val="20"/>
              </w:rPr>
              <w:t>. Überdies schränke sich diese Maxime</w:t>
            </w:r>
            <w:r w:rsidRPr="00986056">
              <w:rPr>
                <w:sz w:val="20"/>
                <w:szCs w:val="20"/>
              </w:rPr>
              <w:t xml:space="preserve"> </w:t>
            </w:r>
            <w:r w:rsidRPr="00664F0F">
              <w:rPr>
                <w:sz w:val="20"/>
                <w:szCs w:val="20"/>
              </w:rPr>
              <w:t xml:space="preserve">auch </w:t>
            </w:r>
            <w:r w:rsidRPr="00986056">
              <w:rPr>
                <w:sz w:val="20"/>
                <w:szCs w:val="20"/>
              </w:rPr>
              <w:t>sich selbst ein. Denn niemand habe das Recht, nach seinem Glück zu streben, wenn er damit anderen schade. Um diese Maxime zu schützen, könn</w:t>
            </w:r>
            <w:r>
              <w:rPr>
                <w:sz w:val="20"/>
                <w:szCs w:val="20"/>
              </w:rPr>
              <w:t>t</w:t>
            </w:r>
            <w:r w:rsidRPr="00986056">
              <w:rPr>
                <w:sz w:val="20"/>
                <w:szCs w:val="20"/>
              </w:rPr>
              <w:t xml:space="preserve">en Bundesstaaten </w:t>
            </w:r>
            <w:r>
              <w:rPr>
                <w:sz w:val="20"/>
                <w:szCs w:val="20"/>
              </w:rPr>
              <w:t>z.B.</w:t>
            </w:r>
            <w:r w:rsidRPr="00664F0F">
              <w:rPr>
                <w:sz w:val="20"/>
                <w:szCs w:val="20"/>
              </w:rPr>
              <w:t xml:space="preserve"> </w:t>
            </w:r>
            <w:r w:rsidRPr="00986056">
              <w:rPr>
                <w:sz w:val="20"/>
                <w:szCs w:val="20"/>
              </w:rPr>
              <w:t>Staatsverträge miteinander schließen</w:t>
            </w:r>
            <w:r w:rsidRPr="00664F0F">
              <w:rPr>
                <w:sz w:val="20"/>
                <w:szCs w:val="20"/>
              </w:rPr>
              <w:t xml:space="preserve">. Eine Folge: </w:t>
            </w:r>
            <w:r w:rsidRPr="00986056">
              <w:rPr>
                <w:sz w:val="20"/>
                <w:szCs w:val="20"/>
              </w:rPr>
              <w:t xml:space="preserve">zwischenstaatliche Eigentumsverhältnisse zu regeln, die </w:t>
            </w:r>
            <w:r w:rsidRPr="00664F0F">
              <w:rPr>
                <w:sz w:val="20"/>
                <w:szCs w:val="20"/>
              </w:rPr>
              <w:t xml:space="preserve">das </w:t>
            </w:r>
            <w:r w:rsidRPr="00986056">
              <w:rPr>
                <w:sz w:val="20"/>
                <w:szCs w:val="20"/>
              </w:rPr>
              <w:t xml:space="preserve">Glücksstrebens </w:t>
            </w:r>
            <w:r w:rsidRPr="00664F0F">
              <w:rPr>
                <w:sz w:val="20"/>
                <w:szCs w:val="20"/>
              </w:rPr>
              <w:t>ausprägen</w:t>
            </w:r>
            <w:r w:rsidRPr="00986056">
              <w:rPr>
                <w:sz w:val="20"/>
                <w:szCs w:val="20"/>
              </w:rPr>
              <w:t>. D</w:t>
            </w:r>
            <w:r w:rsidRPr="00664F0F">
              <w:rPr>
                <w:sz w:val="20"/>
                <w:szCs w:val="20"/>
              </w:rPr>
              <w:t>iese Folge</w:t>
            </w:r>
            <w:r w:rsidRPr="00986056">
              <w:rPr>
                <w:sz w:val="20"/>
                <w:szCs w:val="20"/>
              </w:rPr>
              <w:t xml:space="preserve"> ergebe sich</w:t>
            </w:r>
            <w:r w:rsidRPr="00664F0F">
              <w:rPr>
                <w:sz w:val="20"/>
                <w:szCs w:val="20"/>
              </w:rPr>
              <w:t xml:space="preserve"> kompetenziell</w:t>
            </w:r>
            <w:r w:rsidRPr="00986056">
              <w:rPr>
                <w:sz w:val="20"/>
                <w:szCs w:val="20"/>
              </w:rPr>
              <w:t xml:space="preserve"> aus der Souveränität der Bundesstaaten. Die Grenze für solche Staatsverträge laute aber</w:t>
            </w:r>
            <w:r w:rsidRPr="00664F0F">
              <w:rPr>
                <w:sz w:val="20"/>
                <w:szCs w:val="20"/>
              </w:rPr>
              <w:t>, dass d</w:t>
            </w:r>
            <w:r w:rsidRPr="00986056">
              <w:rPr>
                <w:sz w:val="20"/>
                <w:szCs w:val="20"/>
              </w:rPr>
              <w:t>er Staat das Eigentum Einzelner nicht so weit einschränken</w:t>
            </w:r>
            <w:r w:rsidRPr="00664F0F">
              <w:rPr>
                <w:sz w:val="20"/>
                <w:szCs w:val="20"/>
              </w:rPr>
              <w:t xml:space="preserve"> dürfe</w:t>
            </w:r>
            <w:r w:rsidRPr="00986056">
              <w:rPr>
                <w:sz w:val="20"/>
                <w:szCs w:val="20"/>
              </w:rPr>
              <w:t xml:space="preserve">, dass er ihnen </w:t>
            </w:r>
            <w:r w:rsidRPr="00664F0F">
              <w:rPr>
                <w:sz w:val="20"/>
                <w:szCs w:val="20"/>
              </w:rPr>
              <w:t xml:space="preserve">ihre </w:t>
            </w:r>
            <w:r w:rsidRPr="00986056">
              <w:rPr>
                <w:sz w:val="20"/>
                <w:szCs w:val="20"/>
              </w:rPr>
              <w:t xml:space="preserve">Eigentumsaufwertungen des Grundstücks nehme, </w:t>
            </w:r>
            <w:r>
              <w:rPr>
                <w:sz w:val="20"/>
                <w:szCs w:val="20"/>
              </w:rPr>
              <w:t>z.B.</w:t>
            </w:r>
            <w:r w:rsidRPr="00986056">
              <w:rPr>
                <w:sz w:val="20"/>
                <w:szCs w:val="20"/>
              </w:rPr>
              <w:t xml:space="preserve"> indem er die Aufwertungen besteuere („but it </w:t>
            </w:r>
            <w:proofErr w:type="spellStart"/>
            <w:r w:rsidRPr="00986056">
              <w:rPr>
                <w:sz w:val="20"/>
                <w:szCs w:val="20"/>
              </w:rPr>
              <w:t>does</w:t>
            </w:r>
            <w:proofErr w:type="spellEnd"/>
            <w:r w:rsidRPr="00986056">
              <w:rPr>
                <w:sz w:val="20"/>
                <w:szCs w:val="20"/>
              </w:rPr>
              <w:t xml:space="preserve"> </w:t>
            </w:r>
            <w:proofErr w:type="spellStart"/>
            <w:r w:rsidRPr="00986056">
              <w:rPr>
                <w:sz w:val="20"/>
                <w:szCs w:val="20"/>
              </w:rPr>
              <w:t>prevent</w:t>
            </w:r>
            <w:proofErr w:type="spellEnd"/>
            <w:r w:rsidRPr="00986056">
              <w:rPr>
                <w:sz w:val="20"/>
                <w:szCs w:val="20"/>
              </w:rPr>
              <w:t xml:space="preserve"> her </w:t>
            </w:r>
            <w:proofErr w:type="spellStart"/>
            <w:r w:rsidRPr="00986056">
              <w:rPr>
                <w:sz w:val="20"/>
                <w:szCs w:val="20"/>
              </w:rPr>
              <w:t>from</w:t>
            </w:r>
            <w:proofErr w:type="spellEnd"/>
            <w:r w:rsidRPr="00986056">
              <w:rPr>
                <w:sz w:val="20"/>
                <w:szCs w:val="20"/>
              </w:rPr>
              <w:t xml:space="preserve"> </w:t>
            </w:r>
            <w:proofErr w:type="spellStart"/>
            <w:r w:rsidRPr="00986056">
              <w:rPr>
                <w:sz w:val="20"/>
                <w:szCs w:val="20"/>
              </w:rPr>
              <w:t>confiscating</w:t>
            </w:r>
            <w:proofErr w:type="spellEnd"/>
            <w:r w:rsidRPr="00986056">
              <w:rPr>
                <w:sz w:val="20"/>
                <w:szCs w:val="20"/>
              </w:rPr>
              <w:t xml:space="preserve"> the </w:t>
            </w:r>
            <w:proofErr w:type="spellStart"/>
            <w:r w:rsidRPr="00986056">
              <w:rPr>
                <w:sz w:val="20"/>
                <w:szCs w:val="20"/>
              </w:rPr>
              <w:t>property</w:t>
            </w:r>
            <w:proofErr w:type="spellEnd"/>
            <w:r w:rsidRPr="00986056">
              <w:rPr>
                <w:sz w:val="20"/>
                <w:szCs w:val="20"/>
              </w:rPr>
              <w:t xml:space="preserve"> of </w:t>
            </w:r>
            <w:proofErr w:type="spellStart"/>
            <w:r w:rsidRPr="00986056">
              <w:rPr>
                <w:sz w:val="20"/>
                <w:szCs w:val="20"/>
              </w:rPr>
              <w:t>individuals</w:t>
            </w:r>
            <w:proofErr w:type="spellEnd"/>
            <w:r w:rsidRPr="00986056">
              <w:rPr>
                <w:sz w:val="20"/>
                <w:szCs w:val="20"/>
              </w:rPr>
              <w:t xml:space="preserve"> </w:t>
            </w:r>
            <w:proofErr w:type="spellStart"/>
            <w:r w:rsidRPr="00986056">
              <w:rPr>
                <w:sz w:val="20"/>
                <w:szCs w:val="20"/>
              </w:rPr>
              <w:t>under</w:t>
            </w:r>
            <w:proofErr w:type="spellEnd"/>
            <w:r w:rsidRPr="00986056">
              <w:rPr>
                <w:sz w:val="20"/>
                <w:szCs w:val="20"/>
              </w:rPr>
              <w:t xml:space="preserve"> the </w:t>
            </w:r>
            <w:proofErr w:type="spellStart"/>
            <w:r w:rsidRPr="00986056">
              <w:rPr>
                <w:sz w:val="20"/>
                <w:szCs w:val="20"/>
              </w:rPr>
              <w:t>pretext</w:t>
            </w:r>
            <w:proofErr w:type="spellEnd"/>
            <w:r w:rsidRPr="00986056">
              <w:rPr>
                <w:sz w:val="20"/>
                <w:szCs w:val="20"/>
              </w:rPr>
              <w:t xml:space="preserve"> of a </w:t>
            </w:r>
            <w:proofErr w:type="spellStart"/>
            <w:r w:rsidRPr="00986056">
              <w:rPr>
                <w:sz w:val="20"/>
                <w:szCs w:val="20"/>
              </w:rPr>
              <w:t>mere</w:t>
            </w:r>
            <w:proofErr w:type="spellEnd"/>
            <w:r w:rsidRPr="00986056">
              <w:rPr>
                <w:sz w:val="20"/>
                <w:szCs w:val="20"/>
              </w:rPr>
              <w:t xml:space="preserve"> </w:t>
            </w:r>
            <w:proofErr w:type="spellStart"/>
            <w:r w:rsidRPr="00986056">
              <w:rPr>
                <w:sz w:val="20"/>
                <w:szCs w:val="20"/>
              </w:rPr>
              <w:t>modification</w:t>
            </w:r>
            <w:proofErr w:type="spellEnd"/>
            <w:r w:rsidRPr="00986056">
              <w:rPr>
                <w:sz w:val="20"/>
                <w:szCs w:val="20"/>
              </w:rPr>
              <w:t xml:space="preserve"> of the </w:t>
            </w:r>
            <w:proofErr w:type="spellStart"/>
            <w:r w:rsidRPr="00986056">
              <w:rPr>
                <w:sz w:val="20"/>
                <w:szCs w:val="20"/>
              </w:rPr>
              <w:t>law</w:t>
            </w:r>
            <w:proofErr w:type="spellEnd"/>
            <w:r w:rsidRPr="00986056">
              <w:rPr>
                <w:sz w:val="20"/>
                <w:szCs w:val="20"/>
              </w:rPr>
              <w:t xml:space="preserve"> as to </w:t>
            </w:r>
            <w:proofErr w:type="spellStart"/>
            <w:r w:rsidRPr="00986056">
              <w:rPr>
                <w:sz w:val="20"/>
                <w:szCs w:val="20"/>
              </w:rPr>
              <w:t>improvements</w:t>
            </w:r>
            <w:proofErr w:type="spellEnd"/>
            <w:r w:rsidRPr="00986056">
              <w:rPr>
                <w:sz w:val="20"/>
                <w:szCs w:val="20"/>
              </w:rPr>
              <w:t xml:space="preserve"> </w:t>
            </w:r>
            <w:proofErr w:type="spellStart"/>
            <w:r w:rsidRPr="00986056">
              <w:rPr>
                <w:sz w:val="20"/>
                <w:szCs w:val="20"/>
              </w:rPr>
              <w:t>made</w:t>
            </w:r>
            <w:proofErr w:type="spellEnd"/>
            <w:r w:rsidRPr="00986056">
              <w:rPr>
                <w:sz w:val="20"/>
                <w:szCs w:val="20"/>
              </w:rPr>
              <w:t xml:space="preserve"> by </w:t>
            </w:r>
            <w:proofErr w:type="spellStart"/>
            <w:r w:rsidRPr="00986056">
              <w:rPr>
                <w:sz w:val="20"/>
                <w:szCs w:val="20"/>
              </w:rPr>
              <w:t>occupying</w:t>
            </w:r>
            <w:proofErr w:type="spellEnd"/>
            <w:r w:rsidRPr="00986056">
              <w:rPr>
                <w:sz w:val="20"/>
                <w:szCs w:val="20"/>
              </w:rPr>
              <w:t xml:space="preserve"> </w:t>
            </w:r>
            <w:proofErr w:type="spellStart"/>
            <w:r w:rsidRPr="00986056">
              <w:rPr>
                <w:sz w:val="20"/>
                <w:szCs w:val="20"/>
              </w:rPr>
              <w:t>claimants</w:t>
            </w:r>
            <w:proofErr w:type="spellEnd"/>
            <w:r w:rsidRPr="00986056">
              <w:rPr>
                <w:sz w:val="20"/>
                <w:szCs w:val="20"/>
              </w:rPr>
              <w:t>.“</w:t>
            </w:r>
            <w:r w:rsidRPr="00986056">
              <w:rPr>
                <w:sz w:val="20"/>
                <w:szCs w:val="20"/>
                <w:vertAlign w:val="superscript"/>
              </w:rPr>
              <w:t xml:space="preserve"> </w:t>
            </w:r>
            <w:r w:rsidRPr="00986056">
              <w:rPr>
                <w:sz w:val="20"/>
                <w:szCs w:val="20"/>
                <w:vertAlign w:val="superscript"/>
              </w:rPr>
              <w:footnoteReference w:id="1520"/>
            </w:r>
            <w:r w:rsidRPr="00986056">
              <w:rPr>
                <w:sz w:val="20"/>
                <w:szCs w:val="20"/>
                <w:lang w:val="en-US"/>
              </w:rPr>
              <w:t xml:space="preserve">). Denn der Bundesstaat </w:t>
            </w:r>
            <w:proofErr w:type="spellStart"/>
            <w:r w:rsidRPr="00986056">
              <w:rPr>
                <w:sz w:val="20"/>
                <w:szCs w:val="20"/>
                <w:lang w:val="en-US"/>
              </w:rPr>
              <w:t>müsse</w:t>
            </w:r>
            <w:proofErr w:type="spellEnd"/>
            <w:r w:rsidRPr="00986056">
              <w:rPr>
                <w:sz w:val="20"/>
                <w:szCs w:val="20"/>
                <w:lang w:val="en-US"/>
              </w:rPr>
              <w:t xml:space="preserve"> </w:t>
            </w:r>
            <w:proofErr w:type="spellStart"/>
            <w:r w:rsidRPr="00986056">
              <w:rPr>
                <w:sz w:val="20"/>
                <w:szCs w:val="20"/>
                <w:lang w:val="en-US"/>
              </w:rPr>
              <w:t>als</w:t>
            </w:r>
            <w:proofErr w:type="spellEnd"/>
            <w:r w:rsidRPr="00986056">
              <w:rPr>
                <w:sz w:val="20"/>
                <w:szCs w:val="20"/>
                <w:lang w:val="en-US"/>
              </w:rPr>
              <w:t xml:space="preserve"> </w:t>
            </w:r>
            <w:proofErr w:type="spellStart"/>
            <w:r w:rsidRPr="00986056">
              <w:rPr>
                <w:sz w:val="20"/>
                <w:szCs w:val="20"/>
                <w:lang w:val="en-US"/>
              </w:rPr>
              <w:t>Ausdruck</w:t>
            </w:r>
            <w:proofErr w:type="spellEnd"/>
            <w:r w:rsidRPr="00986056">
              <w:rPr>
                <w:sz w:val="20"/>
                <w:szCs w:val="20"/>
                <w:lang w:val="en-US"/>
              </w:rPr>
              <w:t xml:space="preserve"> des </w:t>
            </w:r>
            <w:proofErr w:type="spellStart"/>
            <w:r w:rsidRPr="00986056">
              <w:rPr>
                <w:sz w:val="20"/>
                <w:szCs w:val="20"/>
                <w:lang w:val="en-US"/>
              </w:rPr>
              <w:t>Glücksstreben</w:t>
            </w:r>
            <w:r>
              <w:rPr>
                <w:sz w:val="20"/>
                <w:szCs w:val="20"/>
                <w:lang w:val="en-US"/>
              </w:rPr>
              <w:t>s</w:t>
            </w:r>
            <w:proofErr w:type="spellEnd"/>
            <w:r w:rsidRPr="00986056">
              <w:rPr>
                <w:sz w:val="20"/>
                <w:szCs w:val="20"/>
                <w:lang w:val="en-US"/>
              </w:rPr>
              <w:t xml:space="preserve"> </w:t>
            </w:r>
            <w:proofErr w:type="spellStart"/>
            <w:r w:rsidRPr="00986056">
              <w:rPr>
                <w:sz w:val="20"/>
                <w:szCs w:val="20"/>
                <w:lang w:val="en-US"/>
              </w:rPr>
              <w:t>zuvorderst</w:t>
            </w:r>
            <w:proofErr w:type="spellEnd"/>
            <w:r w:rsidRPr="00986056">
              <w:rPr>
                <w:sz w:val="20"/>
                <w:szCs w:val="20"/>
                <w:lang w:val="en-US"/>
              </w:rPr>
              <w:t xml:space="preserve"> Rechte </w:t>
            </w:r>
            <w:proofErr w:type="spellStart"/>
            <w:r w:rsidRPr="00986056">
              <w:rPr>
                <w:sz w:val="20"/>
                <w:szCs w:val="20"/>
                <w:lang w:val="en-US"/>
              </w:rPr>
              <w:t>Privater</w:t>
            </w:r>
            <w:proofErr w:type="spellEnd"/>
            <w:r w:rsidRPr="00986056">
              <w:rPr>
                <w:sz w:val="20"/>
                <w:szCs w:val="20"/>
                <w:lang w:val="en-US"/>
              </w:rPr>
              <w:t xml:space="preserve"> </w:t>
            </w:r>
            <w:proofErr w:type="spellStart"/>
            <w:r w:rsidRPr="00986056">
              <w:rPr>
                <w:sz w:val="20"/>
                <w:szCs w:val="20"/>
                <w:lang w:val="en-US"/>
              </w:rPr>
              <w:t>gegen</w:t>
            </w:r>
            <w:proofErr w:type="spellEnd"/>
            <w:r w:rsidRPr="00986056">
              <w:rPr>
                <w:sz w:val="20"/>
                <w:szCs w:val="20"/>
                <w:lang w:val="en-US"/>
              </w:rPr>
              <w:t xml:space="preserve"> legislative </w:t>
            </w:r>
            <w:proofErr w:type="spellStart"/>
            <w:r w:rsidRPr="00986056">
              <w:rPr>
                <w:sz w:val="20"/>
                <w:szCs w:val="20"/>
                <w:lang w:val="en-US"/>
              </w:rPr>
              <w:t>Eingriffe</w:t>
            </w:r>
            <w:proofErr w:type="spellEnd"/>
            <w:r w:rsidRPr="00986056">
              <w:rPr>
                <w:sz w:val="20"/>
                <w:szCs w:val="20"/>
                <w:lang w:val="en-US"/>
              </w:rPr>
              <w:t xml:space="preserve"> </w:t>
            </w:r>
            <w:proofErr w:type="spellStart"/>
            <w:r w:rsidRPr="00986056">
              <w:rPr>
                <w:sz w:val="20"/>
                <w:szCs w:val="20"/>
                <w:lang w:val="en-US"/>
              </w:rPr>
              <w:t>sichern</w:t>
            </w:r>
            <w:proofErr w:type="spellEnd"/>
            <w:r w:rsidRPr="00986056">
              <w:rPr>
                <w:sz w:val="20"/>
                <w:szCs w:val="20"/>
                <w:lang w:val="en-US"/>
              </w:rPr>
              <w:t xml:space="preserve"> („the sole object of the compact is perpetually to secure the vested rights of private individuals from violation by legislative </w:t>
            </w:r>
            <w:proofErr w:type="gramStart"/>
            <w:r w:rsidRPr="00986056">
              <w:rPr>
                <w:sz w:val="20"/>
                <w:szCs w:val="20"/>
                <w:lang w:val="en-US"/>
              </w:rPr>
              <w:t>acts“</w:t>
            </w:r>
            <w:proofErr w:type="gramEnd"/>
            <w:r w:rsidRPr="00986056">
              <w:rPr>
                <w:sz w:val="20"/>
                <w:szCs w:val="20"/>
                <w:vertAlign w:val="superscript"/>
              </w:rPr>
              <w:footnoteReference w:id="1521"/>
            </w:r>
            <w:r w:rsidRPr="00B45592">
              <w:rPr>
                <w:sz w:val="20"/>
                <w:szCs w:val="20"/>
                <w:lang w:val="en-IE"/>
              </w:rPr>
              <w:t xml:space="preserve">). </w:t>
            </w:r>
            <w:r w:rsidRPr="00986056">
              <w:rPr>
                <w:sz w:val="20"/>
                <w:szCs w:val="20"/>
              </w:rPr>
              <w:t>Und gerade das t</w:t>
            </w:r>
            <w:r w:rsidRPr="00664F0F">
              <w:rPr>
                <w:sz w:val="20"/>
                <w:szCs w:val="20"/>
              </w:rPr>
              <w:t>u</w:t>
            </w:r>
            <w:r>
              <w:rPr>
                <w:sz w:val="20"/>
                <w:szCs w:val="20"/>
              </w:rPr>
              <w:t>e</w:t>
            </w:r>
            <w:r w:rsidRPr="00664F0F">
              <w:rPr>
                <w:sz w:val="20"/>
                <w:szCs w:val="20"/>
              </w:rPr>
              <w:t xml:space="preserve"> er mit derlei Besteuerungen </w:t>
            </w:r>
            <w:r w:rsidRPr="00986056">
              <w:rPr>
                <w:sz w:val="20"/>
                <w:szCs w:val="20"/>
              </w:rPr>
              <w:t>nicht</w:t>
            </w:r>
            <w:r>
              <w:rPr>
                <w:sz w:val="20"/>
                <w:szCs w:val="20"/>
              </w:rPr>
              <w:t>.</w:t>
            </w:r>
          </w:p>
          <w:p w14:paraId="1E61BD60" w14:textId="77777777" w:rsidR="00074551" w:rsidRPr="00E50B51" w:rsidRDefault="00074551" w:rsidP="00367133">
            <w:pPr>
              <w:jc w:val="both"/>
              <w:rPr>
                <w:sz w:val="20"/>
                <w:szCs w:val="20"/>
              </w:rPr>
            </w:pPr>
          </w:p>
        </w:tc>
      </w:tr>
      <w:tr w:rsidR="00074551" w:rsidRPr="00E50B51" w14:paraId="25F8864C" w14:textId="77777777" w:rsidTr="00BE689F">
        <w:trPr>
          <w:cantSplit/>
          <w:trHeight w:val="3175"/>
        </w:trPr>
        <w:tc>
          <w:tcPr>
            <w:tcW w:w="293" w:type="pct"/>
          </w:tcPr>
          <w:p w14:paraId="045E191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8F62AFA" w14:textId="77777777" w:rsidR="00074551" w:rsidRPr="00E50B51" w:rsidRDefault="00074551" w:rsidP="00367133">
            <w:pPr>
              <w:ind w:left="113" w:right="416"/>
              <w:jc w:val="both"/>
              <w:rPr>
                <w:sz w:val="20"/>
                <w:szCs w:val="20"/>
              </w:rPr>
            </w:pPr>
            <w:r w:rsidRPr="00584023">
              <w:rPr>
                <w:i/>
                <w:sz w:val="20"/>
                <w:szCs w:val="20"/>
              </w:rPr>
              <w:t>Mugler v. Kansas</w:t>
            </w:r>
          </w:p>
        </w:tc>
        <w:tc>
          <w:tcPr>
            <w:tcW w:w="197" w:type="pct"/>
            <w:textDirection w:val="tbRl"/>
            <w:vAlign w:val="center"/>
          </w:tcPr>
          <w:p w14:paraId="06DB9091" w14:textId="77777777" w:rsidR="00074551" w:rsidRPr="00E50B51" w:rsidRDefault="00074551" w:rsidP="00367133">
            <w:pPr>
              <w:ind w:left="113" w:right="113"/>
              <w:jc w:val="both"/>
              <w:rPr>
                <w:i/>
                <w:iCs/>
                <w:sz w:val="20"/>
                <w:szCs w:val="20"/>
              </w:rPr>
            </w:pPr>
            <w:r w:rsidRPr="00E50B51">
              <w:rPr>
                <w:sz w:val="20"/>
                <w:szCs w:val="20"/>
                <w:lang w:val="en-US"/>
              </w:rPr>
              <w:t>123 U.S. 623</w:t>
            </w:r>
          </w:p>
        </w:tc>
        <w:tc>
          <w:tcPr>
            <w:tcW w:w="306" w:type="pct"/>
            <w:textDirection w:val="tbRl"/>
            <w:vAlign w:val="center"/>
          </w:tcPr>
          <w:p w14:paraId="3045B2B0" w14:textId="77777777" w:rsidR="00074551" w:rsidRPr="00E50B51" w:rsidRDefault="00074551" w:rsidP="00367133">
            <w:pPr>
              <w:ind w:left="113" w:right="113"/>
              <w:jc w:val="both"/>
              <w:rPr>
                <w:sz w:val="20"/>
                <w:szCs w:val="20"/>
              </w:rPr>
            </w:pPr>
            <w:r w:rsidRPr="00E50B51">
              <w:rPr>
                <w:sz w:val="20"/>
                <w:szCs w:val="20"/>
              </w:rPr>
              <w:t>5. Dezember 1887</w:t>
            </w:r>
          </w:p>
        </w:tc>
        <w:tc>
          <w:tcPr>
            <w:tcW w:w="401" w:type="pct"/>
          </w:tcPr>
          <w:p w14:paraId="7CE4E3A0" w14:textId="77777777" w:rsidR="00074551" w:rsidRPr="00E50B51" w:rsidRDefault="00074551" w:rsidP="00367133">
            <w:pPr>
              <w:jc w:val="center"/>
              <w:rPr>
                <w:sz w:val="20"/>
                <w:szCs w:val="20"/>
              </w:rPr>
            </w:pPr>
            <w:r w:rsidRPr="00E50B51">
              <w:rPr>
                <w:sz w:val="20"/>
                <w:szCs w:val="20"/>
              </w:rPr>
              <w:t>S</w:t>
            </w:r>
          </w:p>
        </w:tc>
        <w:tc>
          <w:tcPr>
            <w:tcW w:w="1594" w:type="pct"/>
          </w:tcPr>
          <w:p w14:paraId="73FD5B38" w14:textId="77777777" w:rsidR="00074551" w:rsidRPr="00E50B51" w:rsidRDefault="00074551" w:rsidP="00367133">
            <w:pPr>
              <w:jc w:val="both"/>
              <w:rPr>
                <w:sz w:val="20"/>
                <w:szCs w:val="20"/>
              </w:rPr>
            </w:pPr>
            <w:r w:rsidRPr="00E50B51">
              <w:rPr>
                <w:sz w:val="20"/>
                <w:szCs w:val="20"/>
              </w:rPr>
              <w:t>*</w:t>
            </w:r>
          </w:p>
        </w:tc>
        <w:tc>
          <w:tcPr>
            <w:tcW w:w="1822" w:type="pct"/>
          </w:tcPr>
          <w:p w14:paraId="59A17B56" w14:textId="77777777" w:rsidR="00074551" w:rsidRDefault="00074551" w:rsidP="00367133">
            <w:pPr>
              <w:jc w:val="both"/>
              <w:rPr>
                <w:sz w:val="20"/>
                <w:szCs w:val="20"/>
              </w:rPr>
            </w:pPr>
            <w:r w:rsidRPr="005222B1">
              <w:rPr>
                <w:sz w:val="20"/>
                <w:szCs w:val="20"/>
              </w:rPr>
              <w:t xml:space="preserve">Der </w:t>
            </w:r>
            <w:r>
              <w:rPr>
                <w:sz w:val="20"/>
                <w:szCs w:val="20"/>
              </w:rPr>
              <w:t>U.S. Supreme Court</w:t>
            </w:r>
            <w:r w:rsidRPr="005222B1">
              <w:rPr>
                <w:sz w:val="20"/>
                <w:szCs w:val="20"/>
              </w:rPr>
              <w:t xml:space="preserve"> erklärt</w:t>
            </w:r>
            <w:r>
              <w:rPr>
                <w:sz w:val="20"/>
                <w:szCs w:val="20"/>
              </w:rPr>
              <w:t>e</w:t>
            </w:r>
            <w:r w:rsidRPr="005222B1">
              <w:rPr>
                <w:sz w:val="20"/>
                <w:szCs w:val="20"/>
              </w:rPr>
              <w:t>, dass ein sog. Billigkeitsverfahren („</w:t>
            </w:r>
            <w:proofErr w:type="spellStart"/>
            <w:r w:rsidRPr="005222B1">
              <w:rPr>
                <w:sz w:val="20"/>
                <w:szCs w:val="20"/>
              </w:rPr>
              <w:t>proceedings</w:t>
            </w:r>
            <w:proofErr w:type="spellEnd"/>
            <w:r w:rsidRPr="005222B1">
              <w:rPr>
                <w:sz w:val="20"/>
                <w:szCs w:val="20"/>
              </w:rPr>
              <w:t xml:space="preserve"> in </w:t>
            </w:r>
            <w:proofErr w:type="spellStart"/>
            <w:r w:rsidRPr="005222B1">
              <w:rPr>
                <w:sz w:val="20"/>
                <w:szCs w:val="20"/>
              </w:rPr>
              <w:t>equity</w:t>
            </w:r>
            <w:proofErr w:type="spellEnd"/>
            <w:r w:rsidRPr="005222B1">
              <w:rPr>
                <w:sz w:val="20"/>
                <w:szCs w:val="20"/>
              </w:rPr>
              <w:t>“</w:t>
            </w:r>
            <w:r w:rsidRPr="005222B1">
              <w:rPr>
                <w:sz w:val="20"/>
                <w:szCs w:val="20"/>
                <w:vertAlign w:val="superscript"/>
              </w:rPr>
              <w:t xml:space="preserve"> </w:t>
            </w:r>
            <w:r w:rsidRPr="005222B1">
              <w:rPr>
                <w:sz w:val="20"/>
                <w:szCs w:val="20"/>
                <w:vertAlign w:val="superscript"/>
              </w:rPr>
              <w:footnoteReference w:id="1522"/>
            </w:r>
            <w:r w:rsidRPr="005222B1">
              <w:rPr>
                <w:sz w:val="20"/>
                <w:szCs w:val="20"/>
              </w:rPr>
              <w:t xml:space="preserve">) nach </w:t>
            </w:r>
            <w:r>
              <w:rPr>
                <w:sz w:val="20"/>
                <w:szCs w:val="20"/>
              </w:rPr>
              <w:t>§ 13 des</w:t>
            </w:r>
            <w:r w:rsidRPr="005222B1">
              <w:rPr>
                <w:sz w:val="20"/>
                <w:szCs w:val="20"/>
              </w:rPr>
              <w:t xml:space="preserve"> </w:t>
            </w:r>
            <w:r w:rsidRPr="5B67C1D2">
              <w:rPr>
                <w:i/>
                <w:iCs/>
                <w:sz w:val="20"/>
                <w:szCs w:val="20"/>
              </w:rPr>
              <w:t>Kansas Act of 1885</w:t>
            </w:r>
            <w:r w:rsidRPr="005222B1">
              <w:rPr>
                <w:sz w:val="20"/>
                <w:szCs w:val="20"/>
                <w:vertAlign w:val="superscript"/>
              </w:rPr>
              <w:footnoteReference w:id="1523"/>
            </w:r>
            <w:r w:rsidRPr="005222B1">
              <w:rPr>
                <w:sz w:val="20"/>
                <w:szCs w:val="20"/>
              </w:rPr>
              <w:t xml:space="preserve"> mit einem rechtsstaatlichen Verfahren vereinbar sei gemäß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5222B1">
              <w:rPr>
                <w:sz w:val="20"/>
                <w:szCs w:val="20"/>
              </w:rPr>
              <w:t>. Zwar seien grundsätzlich ordentliche Gerichte zuständig für die in einem Fall betroffene</w:t>
            </w:r>
            <w:r>
              <w:rPr>
                <w:sz w:val="20"/>
                <w:szCs w:val="20"/>
              </w:rPr>
              <w:t>n</w:t>
            </w:r>
            <w:r w:rsidRPr="005222B1">
              <w:rPr>
                <w:sz w:val="20"/>
                <w:szCs w:val="20"/>
              </w:rPr>
              <w:t xml:space="preserve"> Störungen der öffentlichen Sicherheit und Ordnung, hier in Form des Alkoholabgabev</w:t>
            </w:r>
            <w:r>
              <w:rPr>
                <w:sz w:val="20"/>
                <w:szCs w:val="20"/>
              </w:rPr>
              <w:t>er</w:t>
            </w:r>
            <w:r w:rsidRPr="005222B1">
              <w:rPr>
                <w:sz w:val="20"/>
                <w:szCs w:val="20"/>
              </w:rPr>
              <w:t>bots. Und die ordentliche Gerichtsbarkeit umfließ</w:t>
            </w:r>
            <w:r>
              <w:rPr>
                <w:sz w:val="20"/>
                <w:szCs w:val="20"/>
              </w:rPr>
              <w:t>e</w:t>
            </w:r>
            <w:r w:rsidRPr="005222B1">
              <w:rPr>
                <w:sz w:val="20"/>
                <w:szCs w:val="20"/>
              </w:rPr>
              <w:t xml:space="preserve"> auch die Konstellation, wenn das Privateigentum und die öffentlichen Rechte – also Rechtsverhältnisse zwischen der Exekutive und de</w:t>
            </w:r>
            <w:r>
              <w:rPr>
                <w:sz w:val="20"/>
                <w:szCs w:val="20"/>
              </w:rPr>
              <w:t>n</w:t>
            </w:r>
            <w:r w:rsidRPr="005222B1">
              <w:rPr>
                <w:sz w:val="20"/>
                <w:szCs w:val="20"/>
              </w:rPr>
              <w:t xml:space="preserve"> Bürger</w:t>
            </w:r>
            <w:r>
              <w:rPr>
                <w:sz w:val="20"/>
                <w:szCs w:val="20"/>
              </w:rPr>
              <w:t>n</w:t>
            </w:r>
            <w:r w:rsidRPr="005222B1">
              <w:rPr>
                <w:sz w:val="20"/>
                <w:szCs w:val="20"/>
              </w:rPr>
              <w:t xml:space="preserve"> – beeinträchtigt würden. Bei einer Störung der öffentlichen Sicherheit und Ordnung </w:t>
            </w:r>
            <w:r>
              <w:rPr>
                <w:sz w:val="20"/>
                <w:szCs w:val="20"/>
              </w:rPr>
              <w:t>könne</w:t>
            </w:r>
            <w:r w:rsidRPr="005222B1">
              <w:rPr>
                <w:sz w:val="20"/>
                <w:szCs w:val="20"/>
              </w:rPr>
              <w:t xml:space="preserve"> der Betroffene dann zu seinem Rechtsschutz Anklage erheben oder </w:t>
            </w:r>
            <w:r>
              <w:rPr>
                <w:sz w:val="20"/>
                <w:szCs w:val="20"/>
              </w:rPr>
              <w:t xml:space="preserve">eine </w:t>
            </w:r>
            <w:r w:rsidRPr="005222B1">
              <w:rPr>
                <w:sz w:val="20"/>
                <w:szCs w:val="20"/>
              </w:rPr>
              <w:t>einstweilige Verfügung beantragen. Aber das Billigkeitsverfahren sei ein schnellerer und in Teilen ein wirksamerer Rechtsbehelf, weshalb e</w:t>
            </w:r>
            <w:r>
              <w:rPr>
                <w:sz w:val="20"/>
                <w:szCs w:val="20"/>
              </w:rPr>
              <w:t>s</w:t>
            </w:r>
            <w:r w:rsidRPr="005222B1">
              <w:rPr>
                <w:sz w:val="20"/>
                <w:szCs w:val="20"/>
              </w:rPr>
              <w:t xml:space="preserve"> neben dem ordentlichen Verfahren stehen </w:t>
            </w:r>
            <w:r>
              <w:rPr>
                <w:sz w:val="20"/>
                <w:szCs w:val="20"/>
              </w:rPr>
              <w:t>könne</w:t>
            </w:r>
            <w:r w:rsidRPr="005222B1">
              <w:rPr>
                <w:sz w:val="20"/>
                <w:szCs w:val="20"/>
              </w:rPr>
              <w:t>. E</w:t>
            </w:r>
            <w:r>
              <w:rPr>
                <w:sz w:val="20"/>
                <w:szCs w:val="20"/>
              </w:rPr>
              <w:t>s</w:t>
            </w:r>
            <w:r w:rsidRPr="005222B1">
              <w:rPr>
                <w:sz w:val="20"/>
                <w:szCs w:val="20"/>
              </w:rPr>
              <w:t xml:space="preserve"> ist schneller, weil die Verfahrensanforderung und die Dauer geringer sind. Und e</w:t>
            </w:r>
            <w:r>
              <w:rPr>
                <w:sz w:val="20"/>
                <w:szCs w:val="20"/>
              </w:rPr>
              <w:t>s</w:t>
            </w:r>
            <w:r w:rsidRPr="005222B1">
              <w:rPr>
                <w:sz w:val="20"/>
                <w:szCs w:val="20"/>
              </w:rPr>
              <w:t xml:space="preserve"> </w:t>
            </w:r>
            <w:r>
              <w:rPr>
                <w:sz w:val="20"/>
                <w:szCs w:val="20"/>
              </w:rPr>
              <w:t xml:space="preserve">ist </w:t>
            </w:r>
            <w:r w:rsidRPr="005222B1">
              <w:rPr>
                <w:sz w:val="20"/>
                <w:szCs w:val="20"/>
              </w:rPr>
              <w:t>wirksamer, da auch ein präventiver Schutz möglich ist, also Schaden noch nicht eingetreten sein muss. Nach ständiger Rechtsprechung kann damit auch die Öffentlichkeit vor Schäden geschützt werden – wie hier vor den möglichen Folgen des Alkoholverkaufs.</w:t>
            </w:r>
            <w:r w:rsidRPr="005222B1">
              <w:rPr>
                <w:sz w:val="20"/>
                <w:szCs w:val="20"/>
                <w:vertAlign w:val="superscript"/>
              </w:rPr>
              <w:footnoteReference w:id="1524"/>
            </w:r>
            <w:r w:rsidRPr="005222B1">
              <w:rPr>
                <w:sz w:val="20"/>
                <w:szCs w:val="20"/>
              </w:rPr>
              <w:t xml:space="preserve"> Der Beklagte trägt indes vor, dass ein Billigkeitsverfahren nicht anwendbar sei. Denn Naturrechte seien betroffen</w:t>
            </w:r>
            <w:r>
              <w:rPr>
                <w:sz w:val="20"/>
                <w:szCs w:val="20"/>
              </w:rPr>
              <w:t xml:space="preserve"> und diese seien</w:t>
            </w:r>
            <w:r w:rsidRPr="005222B1">
              <w:rPr>
                <w:sz w:val="20"/>
                <w:szCs w:val="20"/>
              </w:rPr>
              <w:t xml:space="preserve"> dem Menschen inhärent. Sie erg</w:t>
            </w:r>
            <w:r>
              <w:rPr>
                <w:sz w:val="20"/>
                <w:szCs w:val="20"/>
              </w:rPr>
              <w:t>ä</w:t>
            </w:r>
            <w:r w:rsidRPr="005222B1">
              <w:rPr>
                <w:sz w:val="20"/>
                <w:szCs w:val="20"/>
              </w:rPr>
              <w:t>ben sich daraus, dass sie notwendig für ein Glücksstreben seien und staatliche Maßnahmen sie grundsätzlich nicht einschränken könn</w:t>
            </w:r>
            <w:r>
              <w:rPr>
                <w:sz w:val="20"/>
                <w:szCs w:val="20"/>
              </w:rPr>
              <w:t>t</w:t>
            </w:r>
            <w:r w:rsidRPr="005222B1">
              <w:rPr>
                <w:sz w:val="20"/>
                <w:szCs w:val="20"/>
              </w:rPr>
              <w:t>en („</w:t>
            </w:r>
            <w:proofErr w:type="spellStart"/>
            <w:r w:rsidRPr="005222B1">
              <w:rPr>
                <w:sz w:val="20"/>
                <w:szCs w:val="20"/>
              </w:rPr>
              <w:t>natural</w:t>
            </w:r>
            <w:proofErr w:type="spellEnd"/>
            <w:r w:rsidRPr="005222B1">
              <w:rPr>
                <w:sz w:val="20"/>
                <w:szCs w:val="20"/>
              </w:rPr>
              <w:t xml:space="preserve"> </w:t>
            </w:r>
            <w:proofErr w:type="spellStart"/>
            <w:r w:rsidRPr="005222B1">
              <w:rPr>
                <w:sz w:val="20"/>
                <w:szCs w:val="20"/>
              </w:rPr>
              <w:t>rights</w:t>
            </w:r>
            <w:proofErr w:type="spellEnd"/>
            <w:r w:rsidRPr="005222B1">
              <w:rPr>
                <w:sz w:val="20"/>
                <w:szCs w:val="20"/>
              </w:rPr>
              <w:t xml:space="preserve"> […] </w:t>
            </w:r>
            <w:proofErr w:type="spellStart"/>
            <w:r w:rsidRPr="005222B1">
              <w:rPr>
                <w:sz w:val="20"/>
                <w:szCs w:val="20"/>
              </w:rPr>
              <w:t>necessary</w:t>
            </w:r>
            <w:proofErr w:type="spellEnd"/>
            <w:r w:rsidRPr="005222B1">
              <w:rPr>
                <w:sz w:val="20"/>
                <w:szCs w:val="20"/>
              </w:rPr>
              <w:t xml:space="preserve"> to </w:t>
            </w:r>
            <w:proofErr w:type="spellStart"/>
            <w:r w:rsidRPr="005222B1">
              <w:rPr>
                <w:sz w:val="20"/>
                <w:szCs w:val="20"/>
              </w:rPr>
              <w:t>his</w:t>
            </w:r>
            <w:proofErr w:type="spellEnd"/>
            <w:r w:rsidRPr="005222B1">
              <w:rPr>
                <w:sz w:val="20"/>
                <w:szCs w:val="20"/>
              </w:rPr>
              <w:t xml:space="preserve"> </w:t>
            </w:r>
            <w:proofErr w:type="spellStart"/>
            <w:r w:rsidRPr="005222B1">
              <w:rPr>
                <w:sz w:val="20"/>
                <w:szCs w:val="20"/>
              </w:rPr>
              <w:t>pursuit</w:t>
            </w:r>
            <w:proofErr w:type="spellEnd"/>
            <w:r w:rsidRPr="005222B1">
              <w:rPr>
                <w:sz w:val="20"/>
                <w:szCs w:val="20"/>
              </w:rPr>
              <w:t xml:space="preserve"> of </w:t>
            </w:r>
            <w:proofErr w:type="spellStart"/>
            <w:r w:rsidRPr="005222B1">
              <w:rPr>
                <w:sz w:val="20"/>
                <w:szCs w:val="20"/>
              </w:rPr>
              <w:t>happiness</w:t>
            </w:r>
            <w:proofErr w:type="spellEnd"/>
            <w:r w:rsidRPr="005222B1">
              <w:rPr>
                <w:sz w:val="20"/>
                <w:szCs w:val="20"/>
              </w:rPr>
              <w:t xml:space="preserve">, and </w:t>
            </w:r>
            <w:proofErr w:type="spellStart"/>
            <w:r w:rsidRPr="005222B1">
              <w:rPr>
                <w:sz w:val="20"/>
                <w:szCs w:val="20"/>
              </w:rPr>
              <w:t>which</w:t>
            </w:r>
            <w:proofErr w:type="spellEnd"/>
            <w:r w:rsidRPr="005222B1">
              <w:rPr>
                <w:sz w:val="20"/>
                <w:szCs w:val="20"/>
              </w:rPr>
              <w:t xml:space="preserve"> the </w:t>
            </w:r>
            <w:proofErr w:type="spellStart"/>
            <w:r w:rsidRPr="005222B1">
              <w:rPr>
                <w:sz w:val="20"/>
                <w:szCs w:val="20"/>
              </w:rPr>
              <w:t>law</w:t>
            </w:r>
            <w:proofErr w:type="spellEnd"/>
            <w:r w:rsidRPr="005222B1">
              <w:rPr>
                <w:sz w:val="20"/>
                <w:szCs w:val="20"/>
              </w:rPr>
              <w:t xml:space="preserve"> </w:t>
            </w:r>
            <w:proofErr w:type="spellStart"/>
            <w:r w:rsidRPr="005222B1">
              <w:rPr>
                <w:sz w:val="20"/>
                <w:szCs w:val="20"/>
              </w:rPr>
              <w:t>cannot</w:t>
            </w:r>
            <w:proofErr w:type="spellEnd"/>
            <w:r w:rsidRPr="005222B1">
              <w:rPr>
                <w:sz w:val="20"/>
                <w:szCs w:val="20"/>
              </w:rPr>
              <w:t xml:space="preserve"> </w:t>
            </w:r>
            <w:proofErr w:type="spellStart"/>
            <w:r w:rsidRPr="005222B1">
              <w:rPr>
                <w:sz w:val="20"/>
                <w:szCs w:val="20"/>
              </w:rPr>
              <w:t>take</w:t>
            </w:r>
            <w:proofErr w:type="spellEnd"/>
            <w:r w:rsidRPr="005222B1">
              <w:rPr>
                <w:sz w:val="20"/>
                <w:szCs w:val="20"/>
              </w:rPr>
              <w:t xml:space="preserve"> </w:t>
            </w:r>
            <w:proofErr w:type="spellStart"/>
            <w:r w:rsidRPr="005222B1">
              <w:rPr>
                <w:sz w:val="20"/>
                <w:szCs w:val="20"/>
              </w:rPr>
              <w:t>away</w:t>
            </w:r>
            <w:proofErr w:type="spellEnd"/>
            <w:r w:rsidRPr="005222B1">
              <w:rPr>
                <w:sz w:val="20"/>
                <w:szCs w:val="20"/>
              </w:rPr>
              <w:t>“</w:t>
            </w:r>
            <w:r w:rsidRPr="005222B1">
              <w:rPr>
                <w:sz w:val="20"/>
                <w:szCs w:val="20"/>
                <w:vertAlign w:val="superscript"/>
              </w:rPr>
              <w:footnoteReference w:id="1525"/>
            </w:r>
            <w:r w:rsidRPr="005222B1">
              <w:rPr>
                <w:sz w:val="20"/>
                <w:szCs w:val="20"/>
              </w:rPr>
              <w:t xml:space="preserve">). </w:t>
            </w:r>
            <w:proofErr w:type="spellStart"/>
            <w:r w:rsidRPr="005222B1">
              <w:rPr>
                <w:sz w:val="20"/>
                <w:szCs w:val="20"/>
                <w:lang w:val="en-US"/>
              </w:rPr>
              <w:t>Darunter</w:t>
            </w:r>
            <w:proofErr w:type="spellEnd"/>
            <w:r w:rsidRPr="005222B1">
              <w:rPr>
                <w:sz w:val="20"/>
                <w:szCs w:val="20"/>
                <w:lang w:val="en-US"/>
              </w:rPr>
              <w:t xml:space="preserve"> </w:t>
            </w:r>
            <w:proofErr w:type="spellStart"/>
            <w:r>
              <w:rPr>
                <w:sz w:val="20"/>
                <w:szCs w:val="20"/>
                <w:lang w:val="en-US"/>
              </w:rPr>
              <w:t>falle</w:t>
            </w:r>
            <w:proofErr w:type="spellEnd"/>
            <w:r w:rsidRPr="005222B1">
              <w:rPr>
                <w:sz w:val="20"/>
                <w:szCs w:val="20"/>
                <w:lang w:val="en-US"/>
              </w:rPr>
              <w:t xml:space="preserve"> </w:t>
            </w:r>
            <w:proofErr w:type="spellStart"/>
            <w:r w:rsidRPr="005222B1">
              <w:rPr>
                <w:sz w:val="20"/>
                <w:szCs w:val="20"/>
                <w:lang w:val="en-US"/>
              </w:rPr>
              <w:t>auch</w:t>
            </w:r>
            <w:proofErr w:type="spellEnd"/>
            <w:r w:rsidRPr="005222B1">
              <w:rPr>
                <w:sz w:val="20"/>
                <w:szCs w:val="20"/>
                <w:lang w:val="en-US"/>
              </w:rPr>
              <w:t xml:space="preserve"> das Recht, Essen und </w:t>
            </w:r>
            <w:proofErr w:type="spellStart"/>
            <w:r w:rsidRPr="005222B1">
              <w:rPr>
                <w:sz w:val="20"/>
                <w:szCs w:val="20"/>
                <w:lang w:val="en-US"/>
              </w:rPr>
              <w:t>Trinken</w:t>
            </w:r>
            <w:proofErr w:type="spellEnd"/>
            <w:r w:rsidRPr="005222B1">
              <w:rPr>
                <w:sz w:val="20"/>
                <w:szCs w:val="20"/>
                <w:lang w:val="en-US"/>
              </w:rPr>
              <w:t xml:space="preserve"> </w:t>
            </w:r>
            <w:proofErr w:type="spellStart"/>
            <w:r w:rsidRPr="005222B1">
              <w:rPr>
                <w:sz w:val="20"/>
                <w:szCs w:val="20"/>
                <w:lang w:val="en-US"/>
              </w:rPr>
              <w:t>herzustellen</w:t>
            </w:r>
            <w:proofErr w:type="spellEnd"/>
            <w:r>
              <w:rPr>
                <w:sz w:val="20"/>
                <w:szCs w:val="20"/>
                <w:lang w:val="en-US"/>
              </w:rPr>
              <w:t>,</w:t>
            </w:r>
            <w:r w:rsidRPr="005222B1">
              <w:rPr>
                <w:sz w:val="20"/>
                <w:szCs w:val="20"/>
                <w:lang w:val="en-US"/>
              </w:rPr>
              <w:t xml:space="preserve"> </w:t>
            </w:r>
            <w:proofErr w:type="spellStart"/>
            <w:r w:rsidRPr="005222B1">
              <w:rPr>
                <w:sz w:val="20"/>
                <w:szCs w:val="20"/>
                <w:lang w:val="en-US"/>
              </w:rPr>
              <w:t>solange</w:t>
            </w:r>
            <w:proofErr w:type="spellEnd"/>
            <w:r w:rsidRPr="005222B1">
              <w:rPr>
                <w:sz w:val="20"/>
                <w:szCs w:val="20"/>
                <w:lang w:val="en-US"/>
              </w:rPr>
              <w:t xml:space="preserve"> </w:t>
            </w:r>
            <w:r>
              <w:rPr>
                <w:sz w:val="20"/>
                <w:szCs w:val="20"/>
                <w:lang w:val="en-US"/>
              </w:rPr>
              <w:t>dies</w:t>
            </w:r>
            <w:r w:rsidRPr="005222B1">
              <w:rPr>
                <w:sz w:val="20"/>
                <w:szCs w:val="20"/>
                <w:lang w:val="en-US"/>
              </w:rPr>
              <w:t xml:space="preserve"> </w:t>
            </w:r>
            <w:proofErr w:type="spellStart"/>
            <w:r w:rsidRPr="005222B1">
              <w:rPr>
                <w:sz w:val="20"/>
                <w:szCs w:val="20"/>
                <w:lang w:val="en-US"/>
              </w:rPr>
              <w:t>keinem</w:t>
            </w:r>
            <w:proofErr w:type="spellEnd"/>
            <w:r w:rsidRPr="005222B1">
              <w:rPr>
                <w:sz w:val="20"/>
                <w:szCs w:val="20"/>
                <w:lang w:val="en-US"/>
              </w:rPr>
              <w:t xml:space="preserve"> </w:t>
            </w:r>
            <w:proofErr w:type="spellStart"/>
            <w:r>
              <w:rPr>
                <w:sz w:val="20"/>
                <w:szCs w:val="20"/>
                <w:lang w:val="en-US"/>
              </w:rPr>
              <w:t>a</w:t>
            </w:r>
            <w:r w:rsidRPr="005222B1">
              <w:rPr>
                <w:sz w:val="20"/>
                <w:szCs w:val="20"/>
                <w:lang w:val="en-US"/>
              </w:rPr>
              <w:t>ndere</w:t>
            </w:r>
            <w:r>
              <w:rPr>
                <w:sz w:val="20"/>
                <w:szCs w:val="20"/>
                <w:lang w:val="en-US"/>
              </w:rPr>
              <w:t>n</w:t>
            </w:r>
            <w:proofErr w:type="spellEnd"/>
            <w:r w:rsidRPr="005222B1">
              <w:rPr>
                <w:sz w:val="20"/>
                <w:szCs w:val="20"/>
                <w:lang w:val="en-US"/>
              </w:rPr>
              <w:t xml:space="preserve"> Schaden </w:t>
            </w:r>
            <w:proofErr w:type="spellStart"/>
            <w:r w:rsidRPr="005222B1">
              <w:rPr>
                <w:sz w:val="20"/>
                <w:szCs w:val="20"/>
                <w:lang w:val="en-US"/>
              </w:rPr>
              <w:t>zufüge</w:t>
            </w:r>
            <w:proofErr w:type="spellEnd"/>
            <w:r w:rsidRPr="005222B1">
              <w:rPr>
                <w:sz w:val="20"/>
                <w:szCs w:val="20"/>
                <w:lang w:val="en-US"/>
              </w:rPr>
              <w:t xml:space="preserve"> („that his right to manufacture any article of food or drink […] provided the process of manufacturing does not endanger the lives or property of others, is one of these reserved or natural </w:t>
            </w:r>
            <w:proofErr w:type="gramStart"/>
            <w:r w:rsidRPr="005222B1">
              <w:rPr>
                <w:sz w:val="20"/>
                <w:szCs w:val="20"/>
                <w:lang w:val="en-US"/>
              </w:rPr>
              <w:t>rights“</w:t>
            </w:r>
            <w:proofErr w:type="gramEnd"/>
            <w:r w:rsidRPr="005222B1">
              <w:rPr>
                <w:sz w:val="20"/>
                <w:szCs w:val="20"/>
                <w:vertAlign w:val="superscript"/>
                <w:lang w:val="en-US"/>
              </w:rPr>
              <w:footnoteReference w:id="1526"/>
            </w:r>
            <w:r w:rsidRPr="005222B1">
              <w:rPr>
                <w:sz w:val="20"/>
                <w:szCs w:val="20"/>
                <w:lang w:val="en-US"/>
              </w:rPr>
              <w:t xml:space="preserve">). </w:t>
            </w:r>
            <w:r w:rsidRPr="005222B1">
              <w:rPr>
                <w:sz w:val="20"/>
                <w:szCs w:val="20"/>
              </w:rPr>
              <w:t>Weil das streitige Gesetz diese</w:t>
            </w:r>
            <w:r>
              <w:rPr>
                <w:sz w:val="20"/>
                <w:szCs w:val="20"/>
              </w:rPr>
              <w:t>n</w:t>
            </w:r>
            <w:r w:rsidRPr="005222B1">
              <w:rPr>
                <w:sz w:val="20"/>
                <w:szCs w:val="20"/>
              </w:rPr>
              <w:t xml:space="preserve"> Status als Naturrecht einschränke, </w:t>
            </w:r>
            <w:r>
              <w:rPr>
                <w:sz w:val="20"/>
                <w:szCs w:val="20"/>
              </w:rPr>
              <w:t>müsse</w:t>
            </w:r>
            <w:r w:rsidRPr="005222B1">
              <w:rPr>
                <w:sz w:val="20"/>
                <w:szCs w:val="20"/>
              </w:rPr>
              <w:t xml:space="preserve">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5222B1">
              <w:rPr>
                <w:sz w:val="20"/>
                <w:szCs w:val="20"/>
              </w:rPr>
              <w:t xml:space="preserve"> als rechtsstaatlichem Verfahren entsprochen werden, </w:t>
            </w:r>
            <w:r>
              <w:rPr>
                <w:sz w:val="20"/>
                <w:szCs w:val="20"/>
              </w:rPr>
              <w:t>z.B.</w:t>
            </w:r>
            <w:r w:rsidRPr="005222B1">
              <w:rPr>
                <w:sz w:val="20"/>
                <w:szCs w:val="20"/>
              </w:rPr>
              <w:t xml:space="preserve"> mit Geschworenen.</w:t>
            </w:r>
            <w:r w:rsidRPr="005222B1">
              <w:rPr>
                <w:sz w:val="20"/>
                <w:szCs w:val="20"/>
                <w:vertAlign w:val="superscript"/>
              </w:rPr>
              <w:footnoteReference w:id="1527"/>
            </w:r>
            <w:r w:rsidRPr="005222B1">
              <w:rPr>
                <w:sz w:val="20"/>
                <w:szCs w:val="20"/>
              </w:rPr>
              <w:t xml:space="preserve"> Dem genüg</w:t>
            </w:r>
            <w:r>
              <w:rPr>
                <w:sz w:val="20"/>
                <w:szCs w:val="20"/>
              </w:rPr>
              <w:t>e</w:t>
            </w:r>
            <w:r w:rsidRPr="005222B1">
              <w:rPr>
                <w:sz w:val="20"/>
                <w:szCs w:val="20"/>
              </w:rPr>
              <w:t xml:space="preserve"> aber nicht das verkürzte Billigkeitsverfahren.</w:t>
            </w:r>
            <w:r w:rsidRPr="005222B1">
              <w:rPr>
                <w:sz w:val="20"/>
                <w:szCs w:val="20"/>
                <w:vertAlign w:val="superscript"/>
              </w:rPr>
              <w:footnoteReference w:id="1528"/>
            </w:r>
          </w:p>
          <w:p w14:paraId="23058629" w14:textId="77777777" w:rsidR="00074551" w:rsidRPr="00E50B51" w:rsidRDefault="00074551" w:rsidP="00367133">
            <w:pPr>
              <w:jc w:val="both"/>
              <w:rPr>
                <w:sz w:val="20"/>
                <w:szCs w:val="20"/>
              </w:rPr>
            </w:pPr>
          </w:p>
        </w:tc>
      </w:tr>
      <w:tr w:rsidR="00074551" w:rsidRPr="00E50B51" w14:paraId="5C05DCCA" w14:textId="77777777" w:rsidTr="00BE689F">
        <w:trPr>
          <w:cantSplit/>
          <w:trHeight w:val="3175"/>
        </w:trPr>
        <w:tc>
          <w:tcPr>
            <w:tcW w:w="293" w:type="pct"/>
          </w:tcPr>
          <w:p w14:paraId="4A44DC5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EC4C693" w14:textId="77777777" w:rsidR="00074551" w:rsidRPr="00E50B51" w:rsidRDefault="00074551" w:rsidP="00367133">
            <w:pPr>
              <w:ind w:left="113" w:right="416"/>
              <w:jc w:val="both"/>
              <w:rPr>
                <w:sz w:val="20"/>
                <w:szCs w:val="20"/>
              </w:rPr>
            </w:pPr>
            <w:r w:rsidRPr="007360B0">
              <w:rPr>
                <w:i/>
                <w:sz w:val="20"/>
                <w:szCs w:val="20"/>
              </w:rPr>
              <w:t>Taylor v. Beckham</w:t>
            </w:r>
          </w:p>
        </w:tc>
        <w:tc>
          <w:tcPr>
            <w:tcW w:w="197" w:type="pct"/>
            <w:textDirection w:val="tbRl"/>
            <w:vAlign w:val="center"/>
          </w:tcPr>
          <w:p w14:paraId="6E02C340" w14:textId="77777777" w:rsidR="00074551" w:rsidRPr="00E50B51" w:rsidRDefault="00074551" w:rsidP="00367133">
            <w:pPr>
              <w:ind w:left="113" w:right="113"/>
              <w:jc w:val="both"/>
              <w:rPr>
                <w:i/>
                <w:iCs/>
                <w:sz w:val="20"/>
                <w:szCs w:val="20"/>
              </w:rPr>
            </w:pPr>
            <w:r w:rsidRPr="00E50B51">
              <w:rPr>
                <w:sz w:val="20"/>
                <w:szCs w:val="20"/>
                <w:lang w:val="en-US"/>
              </w:rPr>
              <w:t>178 U.S. 548</w:t>
            </w:r>
          </w:p>
        </w:tc>
        <w:tc>
          <w:tcPr>
            <w:tcW w:w="306" w:type="pct"/>
            <w:textDirection w:val="tbRl"/>
            <w:vAlign w:val="center"/>
          </w:tcPr>
          <w:p w14:paraId="7B0963E2" w14:textId="77777777" w:rsidR="00074551" w:rsidRPr="00E50B51" w:rsidRDefault="00074551" w:rsidP="00367133">
            <w:pPr>
              <w:ind w:left="113" w:right="113"/>
              <w:jc w:val="both"/>
              <w:rPr>
                <w:sz w:val="20"/>
                <w:szCs w:val="20"/>
              </w:rPr>
            </w:pPr>
            <w:r w:rsidRPr="00E50B51">
              <w:rPr>
                <w:sz w:val="20"/>
                <w:szCs w:val="20"/>
              </w:rPr>
              <w:t>21. Mai 19</w:t>
            </w:r>
            <w:r>
              <w:rPr>
                <w:sz w:val="20"/>
                <w:szCs w:val="20"/>
              </w:rPr>
              <w:t>00</w:t>
            </w:r>
          </w:p>
        </w:tc>
        <w:tc>
          <w:tcPr>
            <w:tcW w:w="401" w:type="pct"/>
          </w:tcPr>
          <w:p w14:paraId="3249DC0C" w14:textId="77777777" w:rsidR="00074551" w:rsidRPr="00E50B51" w:rsidRDefault="00074551" w:rsidP="00367133">
            <w:pPr>
              <w:jc w:val="center"/>
              <w:rPr>
                <w:sz w:val="20"/>
                <w:szCs w:val="20"/>
              </w:rPr>
            </w:pPr>
            <w:r w:rsidRPr="00E50B51">
              <w:rPr>
                <w:iCs/>
                <w:sz w:val="20"/>
                <w:szCs w:val="20"/>
              </w:rPr>
              <w:t>R</w:t>
            </w:r>
          </w:p>
        </w:tc>
        <w:tc>
          <w:tcPr>
            <w:tcW w:w="1594" w:type="pct"/>
          </w:tcPr>
          <w:p w14:paraId="568B9771" w14:textId="77777777" w:rsidR="00074551" w:rsidRPr="00E50B51" w:rsidRDefault="00074551" w:rsidP="00367133">
            <w:pPr>
              <w:jc w:val="both"/>
              <w:rPr>
                <w:sz w:val="20"/>
                <w:szCs w:val="20"/>
              </w:rPr>
            </w:pPr>
            <w:r w:rsidRPr="00E50B51">
              <w:rPr>
                <w:sz w:val="20"/>
                <w:szCs w:val="20"/>
              </w:rPr>
              <w:t>*</w:t>
            </w:r>
          </w:p>
        </w:tc>
        <w:tc>
          <w:tcPr>
            <w:tcW w:w="1822" w:type="pct"/>
          </w:tcPr>
          <w:p w14:paraId="443DB725" w14:textId="708599A2" w:rsidR="00074551" w:rsidRPr="00921BFD" w:rsidRDefault="00074551" w:rsidP="00367133">
            <w:pPr>
              <w:jc w:val="both"/>
              <w:rPr>
                <w:sz w:val="20"/>
                <w:szCs w:val="20"/>
              </w:rPr>
            </w:pPr>
            <w:r>
              <w:rPr>
                <w:sz w:val="20"/>
                <w:szCs w:val="20"/>
              </w:rPr>
              <w:t>Der</w:t>
            </w:r>
            <w:r w:rsidRPr="00921BFD">
              <w:rPr>
                <w:sz w:val="20"/>
                <w:szCs w:val="20"/>
              </w:rPr>
              <w:t xml:space="preserve"> Reporter </w:t>
            </w:r>
            <w:r>
              <w:rPr>
                <w:sz w:val="20"/>
                <w:szCs w:val="20"/>
              </w:rPr>
              <w:t>des U.S. Supreme Court</w:t>
            </w:r>
            <w:r w:rsidRPr="00921BFD">
              <w:rPr>
                <w:sz w:val="20"/>
                <w:szCs w:val="20"/>
              </w:rPr>
              <w:t xml:space="preserve"> schrieb: Wenn statt dem Volk die Legislative des Bundesstaates – hier die „</w:t>
            </w:r>
            <w:proofErr w:type="spellStart"/>
            <w:r w:rsidRPr="00921BFD">
              <w:rPr>
                <w:sz w:val="20"/>
                <w:szCs w:val="20"/>
              </w:rPr>
              <w:t>general</w:t>
            </w:r>
            <w:proofErr w:type="spellEnd"/>
            <w:r w:rsidRPr="00921BFD">
              <w:rPr>
                <w:sz w:val="20"/>
                <w:szCs w:val="20"/>
              </w:rPr>
              <w:t xml:space="preserve"> </w:t>
            </w:r>
            <w:proofErr w:type="spellStart"/>
            <w:r w:rsidRPr="00921BFD">
              <w:rPr>
                <w:sz w:val="20"/>
                <w:szCs w:val="20"/>
              </w:rPr>
              <w:t>assembly</w:t>
            </w:r>
            <w:proofErr w:type="spellEnd"/>
            <w:r w:rsidRPr="00921BFD">
              <w:rPr>
                <w:sz w:val="20"/>
                <w:szCs w:val="20"/>
              </w:rPr>
              <w:t>“</w:t>
            </w:r>
            <w:r w:rsidRPr="00921BFD">
              <w:rPr>
                <w:sz w:val="20"/>
                <w:szCs w:val="20"/>
                <w:vertAlign w:val="superscript"/>
              </w:rPr>
              <w:footnoteReference w:id="1529"/>
            </w:r>
            <w:r w:rsidRPr="00921BFD">
              <w:rPr>
                <w:sz w:val="20"/>
                <w:szCs w:val="20"/>
              </w:rPr>
              <w:t xml:space="preserve">, also das bundesstaatliche Parlament Kentuckys – über den Ausgang einer Wahl entscheide, dann </w:t>
            </w:r>
            <w:r>
              <w:rPr>
                <w:sz w:val="20"/>
                <w:szCs w:val="20"/>
              </w:rPr>
              <w:t>könne</w:t>
            </w:r>
            <w:r w:rsidRPr="00921BFD">
              <w:rPr>
                <w:sz w:val="20"/>
                <w:szCs w:val="20"/>
              </w:rPr>
              <w:t xml:space="preserve"> sich die Zuständigkeit des </w:t>
            </w:r>
            <w:r>
              <w:rPr>
                <w:sz w:val="20"/>
                <w:szCs w:val="20"/>
              </w:rPr>
              <w:t>U.S. Supreme Court</w:t>
            </w:r>
            <w:r w:rsidRPr="00921BFD">
              <w:rPr>
                <w:sz w:val="20"/>
                <w:szCs w:val="20"/>
              </w:rPr>
              <w:t xml:space="preserve"> nur über zwei Sachverhalte begründen: Erstens, wenn das bundesstaatliche Parlament nach einer Wahlanfechtung über den Ausgang einer Wahl entscheide, </w:t>
            </w:r>
            <w:r w:rsidR="00AC3501">
              <w:rPr>
                <w:sz w:val="20"/>
                <w:szCs w:val="20"/>
              </w:rPr>
              <w:t>es</w:t>
            </w:r>
            <w:r w:rsidRPr="00921BFD">
              <w:rPr>
                <w:sz w:val="20"/>
                <w:szCs w:val="20"/>
              </w:rPr>
              <w:t xml:space="preserve"> aber die betroffenen Ämter ohne ein rechtsstaatliches Verfahren entziehe bzw. vergebe. Und zweitens: Wenn das bundesstaatliche Parlament dem Volk des Bundesstaats in Gänze das Recht entziehe, seine eigenen Vertreter zu wählen, was </w:t>
            </w:r>
            <w:r>
              <w:rPr>
                <w:sz w:val="20"/>
                <w:szCs w:val="20"/>
              </w:rPr>
              <w:t>jedoch</w:t>
            </w:r>
            <w:r w:rsidRPr="00921BFD">
              <w:rPr>
                <w:sz w:val="20"/>
                <w:szCs w:val="20"/>
              </w:rPr>
              <w:t xml:space="preserve"> die </w:t>
            </w:r>
            <w:r>
              <w:rPr>
                <w:sz w:val="20"/>
                <w:szCs w:val="20"/>
              </w:rPr>
              <w:t>U.S.</w:t>
            </w:r>
            <w:r w:rsidRPr="00921BFD">
              <w:rPr>
                <w:sz w:val="20"/>
                <w:szCs w:val="20"/>
              </w:rPr>
              <w:t xml:space="preserve"> </w:t>
            </w:r>
            <w:proofErr w:type="spellStart"/>
            <w:r w:rsidRPr="00921BFD">
              <w:rPr>
                <w:sz w:val="20"/>
                <w:szCs w:val="20"/>
              </w:rPr>
              <w:t>Const</w:t>
            </w:r>
            <w:proofErr w:type="spellEnd"/>
            <w:r w:rsidRPr="00921BFD">
              <w:rPr>
                <w:sz w:val="20"/>
                <w:szCs w:val="20"/>
              </w:rPr>
              <w:t>. für eine republikanische Regierungsform für Bundesstaaten vorsehe.</w:t>
            </w:r>
            <w:r w:rsidRPr="00921BFD">
              <w:rPr>
                <w:sz w:val="20"/>
                <w:szCs w:val="20"/>
                <w:vertAlign w:val="superscript"/>
              </w:rPr>
              <w:footnoteReference w:id="1530"/>
            </w:r>
            <w:r w:rsidRPr="00921BFD">
              <w:rPr>
                <w:sz w:val="20"/>
                <w:szCs w:val="20"/>
              </w:rPr>
              <w:t xml:space="preserve"> Beide Sachverhalte sahen die Beklagten als erfüllt an. Einerseits argumentierten sie, das bundesstaatliche Parlament halte die Anforderungen für ein rechtsstaatliches Verfahren nicht ein. Denn die Wahlfeststellung sei ihrer Natur nach judikativ, nicht legislativ. Und deshalb unterliege sie den strengen Verfahrensanforderungen </w:t>
            </w:r>
            <w:r>
              <w:rPr>
                <w:sz w:val="20"/>
                <w:szCs w:val="20"/>
              </w:rPr>
              <w:t>von</w:t>
            </w:r>
            <w:r w:rsidRPr="00921BFD">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921BFD">
              <w:rPr>
                <w:sz w:val="20"/>
                <w:szCs w:val="20"/>
              </w:rPr>
              <w:t xml:space="preserve"> Die geben </w:t>
            </w:r>
            <w:r>
              <w:rPr>
                <w:sz w:val="20"/>
                <w:szCs w:val="20"/>
              </w:rPr>
              <w:t>z.B.</w:t>
            </w:r>
            <w:r w:rsidRPr="00921BFD">
              <w:rPr>
                <w:sz w:val="20"/>
                <w:szCs w:val="20"/>
              </w:rPr>
              <w:t xml:space="preserve"> vor, dass die unveräußerlichen Rechte abgewogen werden müssen, wie </w:t>
            </w:r>
            <w:r>
              <w:rPr>
                <w:sz w:val="20"/>
                <w:szCs w:val="20"/>
              </w:rPr>
              <w:t xml:space="preserve">etwa </w:t>
            </w:r>
            <w:r w:rsidRPr="00921BFD">
              <w:rPr>
                <w:sz w:val="20"/>
                <w:szCs w:val="20"/>
              </w:rPr>
              <w:t xml:space="preserve">das Streben nach Glück. </w:t>
            </w:r>
            <w:r w:rsidRPr="00921BFD">
              <w:rPr>
                <w:sz w:val="20"/>
                <w:szCs w:val="20"/>
                <w:lang w:val="en-US"/>
              </w:rPr>
              <w:t xml:space="preserve">Denn es </w:t>
            </w:r>
            <w:proofErr w:type="spellStart"/>
            <w:r w:rsidRPr="00921BFD">
              <w:rPr>
                <w:sz w:val="20"/>
                <w:szCs w:val="20"/>
                <w:lang w:val="en-US"/>
              </w:rPr>
              <w:t>gehe</w:t>
            </w:r>
            <w:proofErr w:type="spellEnd"/>
            <w:r w:rsidRPr="00921BFD">
              <w:rPr>
                <w:sz w:val="20"/>
                <w:szCs w:val="20"/>
                <w:lang w:val="en-US"/>
              </w:rPr>
              <w:t xml:space="preserve"> </w:t>
            </w:r>
            <w:proofErr w:type="spellStart"/>
            <w:r w:rsidRPr="00921BFD">
              <w:rPr>
                <w:sz w:val="20"/>
                <w:szCs w:val="20"/>
                <w:lang w:val="en-US"/>
              </w:rPr>
              <w:t>mit</w:t>
            </w:r>
            <w:proofErr w:type="spellEnd"/>
            <w:r w:rsidRPr="00921BFD">
              <w:rPr>
                <w:sz w:val="20"/>
                <w:szCs w:val="20"/>
                <w:lang w:val="en-US"/>
              </w:rPr>
              <w:t xml:space="preserve"> dem </w:t>
            </w:r>
            <w:proofErr w:type="spellStart"/>
            <w:r w:rsidRPr="00921BFD">
              <w:rPr>
                <w:sz w:val="20"/>
                <w:szCs w:val="20"/>
                <w:lang w:val="en-US"/>
              </w:rPr>
              <w:t>Zugang</w:t>
            </w:r>
            <w:proofErr w:type="spellEnd"/>
            <w:r w:rsidRPr="00921BFD">
              <w:rPr>
                <w:sz w:val="20"/>
                <w:szCs w:val="20"/>
                <w:lang w:val="en-US"/>
              </w:rPr>
              <w:t xml:space="preserve"> </w:t>
            </w:r>
            <w:proofErr w:type="spellStart"/>
            <w:r w:rsidRPr="00921BFD">
              <w:rPr>
                <w:sz w:val="20"/>
                <w:szCs w:val="20"/>
                <w:lang w:val="en-US"/>
              </w:rPr>
              <w:t>zu</w:t>
            </w:r>
            <w:proofErr w:type="spellEnd"/>
            <w:r w:rsidRPr="00921BFD">
              <w:rPr>
                <w:sz w:val="20"/>
                <w:szCs w:val="20"/>
                <w:lang w:val="en-US"/>
              </w:rPr>
              <w:t xml:space="preserve"> </w:t>
            </w:r>
            <w:proofErr w:type="spellStart"/>
            <w:r w:rsidRPr="00921BFD">
              <w:rPr>
                <w:sz w:val="20"/>
                <w:szCs w:val="20"/>
                <w:lang w:val="en-US"/>
              </w:rPr>
              <w:t>öffentlichen</w:t>
            </w:r>
            <w:proofErr w:type="spellEnd"/>
            <w:r w:rsidRPr="00921BFD">
              <w:rPr>
                <w:sz w:val="20"/>
                <w:szCs w:val="20"/>
                <w:lang w:val="en-US"/>
              </w:rPr>
              <w:t xml:space="preserve"> Ämtern um </w:t>
            </w:r>
            <w:proofErr w:type="spellStart"/>
            <w:r w:rsidRPr="00921BFD">
              <w:rPr>
                <w:sz w:val="20"/>
                <w:szCs w:val="20"/>
                <w:lang w:val="en-US"/>
              </w:rPr>
              <w:t>eine</w:t>
            </w:r>
            <w:proofErr w:type="spellEnd"/>
            <w:r w:rsidRPr="00921BFD">
              <w:rPr>
                <w:sz w:val="20"/>
                <w:szCs w:val="20"/>
                <w:lang w:val="en-US"/>
              </w:rPr>
              <w:t xml:space="preserve"> </w:t>
            </w:r>
            <w:proofErr w:type="spellStart"/>
            <w:r w:rsidRPr="00921BFD">
              <w:rPr>
                <w:sz w:val="20"/>
                <w:szCs w:val="20"/>
                <w:lang w:val="en-US"/>
              </w:rPr>
              <w:t>notwendige</w:t>
            </w:r>
            <w:proofErr w:type="spellEnd"/>
            <w:r w:rsidRPr="00921BFD">
              <w:rPr>
                <w:sz w:val="20"/>
                <w:szCs w:val="20"/>
                <w:lang w:val="en-US"/>
              </w:rPr>
              <w:t xml:space="preserve"> </w:t>
            </w:r>
            <w:proofErr w:type="spellStart"/>
            <w:r w:rsidRPr="00921BFD">
              <w:rPr>
                <w:sz w:val="20"/>
                <w:szCs w:val="20"/>
                <w:lang w:val="en-US"/>
              </w:rPr>
              <w:t>Bedingung</w:t>
            </w:r>
            <w:proofErr w:type="spellEnd"/>
            <w:r w:rsidRPr="00921BFD">
              <w:rPr>
                <w:sz w:val="20"/>
                <w:szCs w:val="20"/>
                <w:lang w:val="en-US"/>
              </w:rPr>
              <w:t xml:space="preserve"> für das </w:t>
            </w:r>
            <w:proofErr w:type="spellStart"/>
            <w:r w:rsidRPr="00921BFD">
              <w:rPr>
                <w:sz w:val="20"/>
                <w:szCs w:val="20"/>
                <w:lang w:val="en-US"/>
              </w:rPr>
              <w:t>Glücksstreben</w:t>
            </w:r>
            <w:proofErr w:type="spellEnd"/>
            <w:r w:rsidRPr="00921BFD">
              <w:rPr>
                <w:sz w:val="20"/>
                <w:szCs w:val="20"/>
                <w:lang w:val="en-US"/>
              </w:rPr>
              <w:t xml:space="preserve">, </w:t>
            </w:r>
            <w:proofErr w:type="spellStart"/>
            <w:r w:rsidRPr="00921BFD">
              <w:rPr>
                <w:sz w:val="20"/>
                <w:szCs w:val="20"/>
                <w:lang w:val="en-US"/>
              </w:rPr>
              <w:t>nämlich</w:t>
            </w:r>
            <w:proofErr w:type="spellEnd"/>
            <w:r w:rsidRPr="00921BFD">
              <w:rPr>
                <w:sz w:val="20"/>
                <w:szCs w:val="20"/>
                <w:lang w:val="en-US"/>
              </w:rPr>
              <w:t xml:space="preserve"> um die </w:t>
            </w:r>
            <w:proofErr w:type="spellStart"/>
            <w:r w:rsidRPr="00921BFD">
              <w:rPr>
                <w:sz w:val="20"/>
                <w:szCs w:val="20"/>
                <w:lang w:val="en-US"/>
              </w:rPr>
              <w:t>Berufsausübungsfreiheit</w:t>
            </w:r>
            <w:proofErr w:type="spellEnd"/>
            <w:r w:rsidRPr="00921BFD">
              <w:rPr>
                <w:sz w:val="20"/>
                <w:szCs w:val="20"/>
                <w:lang w:val="en-US"/>
              </w:rPr>
              <w:t xml:space="preserve"> („arbitrary power by the State or any department thereof, whereby any person shall be deprived of […] the pursuit of happiness, including therein the enjoyment of honors and the occupation of positions of public </w:t>
            </w:r>
            <w:proofErr w:type="gramStart"/>
            <w:r w:rsidRPr="00921BFD">
              <w:rPr>
                <w:sz w:val="20"/>
                <w:szCs w:val="20"/>
                <w:lang w:val="en-US"/>
              </w:rPr>
              <w:t>trust“</w:t>
            </w:r>
            <w:proofErr w:type="gramEnd"/>
            <w:r w:rsidRPr="00921BFD">
              <w:rPr>
                <w:sz w:val="20"/>
                <w:szCs w:val="20"/>
                <w:vertAlign w:val="superscript"/>
                <w:lang w:val="en-US"/>
              </w:rPr>
              <w:footnoteReference w:id="1531"/>
            </w:r>
            <w:r w:rsidRPr="00921BFD">
              <w:rPr>
                <w:sz w:val="20"/>
                <w:szCs w:val="20"/>
                <w:lang w:val="en-US"/>
              </w:rPr>
              <w:t xml:space="preserve">). </w:t>
            </w:r>
            <w:r w:rsidRPr="00921BFD">
              <w:rPr>
                <w:sz w:val="20"/>
                <w:szCs w:val="20"/>
              </w:rPr>
              <w:t xml:space="preserve">Und andererseits setze sich der </w:t>
            </w:r>
            <w:r>
              <w:rPr>
                <w:sz w:val="20"/>
                <w:szCs w:val="20"/>
              </w:rPr>
              <w:t>U.S. Supreme Court</w:t>
            </w:r>
            <w:r w:rsidRPr="00921BFD">
              <w:rPr>
                <w:sz w:val="20"/>
                <w:szCs w:val="20"/>
              </w:rPr>
              <w:t xml:space="preserve"> nicht hinreichend damit auseinander, dass die </w:t>
            </w:r>
            <w:proofErr w:type="spellStart"/>
            <w:r w:rsidRPr="5B67C1D2">
              <w:rPr>
                <w:i/>
                <w:iCs/>
                <w:sz w:val="20"/>
                <w:szCs w:val="20"/>
              </w:rPr>
              <w:t>general</w:t>
            </w:r>
            <w:proofErr w:type="spellEnd"/>
            <w:r w:rsidRPr="5B67C1D2">
              <w:rPr>
                <w:i/>
                <w:iCs/>
                <w:sz w:val="20"/>
                <w:szCs w:val="20"/>
              </w:rPr>
              <w:t xml:space="preserve"> </w:t>
            </w:r>
            <w:proofErr w:type="spellStart"/>
            <w:r w:rsidRPr="5B67C1D2">
              <w:rPr>
                <w:i/>
                <w:iCs/>
                <w:sz w:val="20"/>
                <w:szCs w:val="20"/>
              </w:rPr>
              <w:t>assembly</w:t>
            </w:r>
            <w:proofErr w:type="spellEnd"/>
            <w:r w:rsidRPr="00921BFD">
              <w:rPr>
                <w:sz w:val="20"/>
                <w:szCs w:val="20"/>
              </w:rPr>
              <w:t xml:space="preserve"> mit der Entscheidung über den Wahlausgang auch Ämter </w:t>
            </w:r>
            <w:r>
              <w:rPr>
                <w:sz w:val="20"/>
                <w:szCs w:val="20"/>
              </w:rPr>
              <w:t>entziehe</w:t>
            </w:r>
            <w:r w:rsidRPr="00921BFD">
              <w:rPr>
                <w:sz w:val="20"/>
                <w:szCs w:val="20"/>
              </w:rPr>
              <w:t xml:space="preserve">. Aber zur politischen Freiheit als Bedingung für Glücksstreben gehöre auch, dass dies nur </w:t>
            </w:r>
            <w:r>
              <w:rPr>
                <w:sz w:val="20"/>
                <w:szCs w:val="20"/>
              </w:rPr>
              <w:t xml:space="preserve">durch </w:t>
            </w:r>
            <w:r w:rsidRPr="00921BFD">
              <w:rPr>
                <w:sz w:val="20"/>
                <w:szCs w:val="20"/>
              </w:rPr>
              <w:t xml:space="preserve">Wahlen </w:t>
            </w:r>
            <w:r>
              <w:rPr>
                <w:sz w:val="20"/>
                <w:szCs w:val="20"/>
              </w:rPr>
              <w:t>geschehen könne</w:t>
            </w:r>
            <w:r w:rsidRPr="00921BFD">
              <w:rPr>
                <w:sz w:val="20"/>
                <w:szCs w:val="20"/>
              </w:rPr>
              <w:t xml:space="preserve"> („</w:t>
            </w:r>
            <w:proofErr w:type="spellStart"/>
            <w:r w:rsidRPr="00921BFD">
              <w:rPr>
                <w:sz w:val="20"/>
                <w:szCs w:val="20"/>
              </w:rPr>
              <w:t>deprived</w:t>
            </w:r>
            <w:proofErr w:type="spellEnd"/>
            <w:r w:rsidRPr="00921BFD">
              <w:rPr>
                <w:sz w:val="20"/>
                <w:szCs w:val="20"/>
              </w:rPr>
              <w:t xml:space="preserve"> of </w:t>
            </w:r>
            <w:proofErr w:type="spellStart"/>
            <w:r w:rsidRPr="00921BFD">
              <w:rPr>
                <w:sz w:val="20"/>
                <w:szCs w:val="20"/>
              </w:rPr>
              <w:t>their</w:t>
            </w:r>
            <w:proofErr w:type="spellEnd"/>
            <w:r w:rsidRPr="00921BFD">
              <w:rPr>
                <w:sz w:val="20"/>
                <w:szCs w:val="20"/>
              </w:rPr>
              <w:t xml:space="preserve"> </w:t>
            </w:r>
            <w:proofErr w:type="spellStart"/>
            <w:r w:rsidRPr="00921BFD">
              <w:rPr>
                <w:sz w:val="20"/>
                <w:szCs w:val="20"/>
              </w:rPr>
              <w:t>political</w:t>
            </w:r>
            <w:proofErr w:type="spellEnd"/>
            <w:r w:rsidRPr="00921BFD">
              <w:rPr>
                <w:sz w:val="20"/>
                <w:szCs w:val="20"/>
              </w:rPr>
              <w:t xml:space="preserve"> </w:t>
            </w:r>
            <w:proofErr w:type="spellStart"/>
            <w:r w:rsidRPr="00921BFD">
              <w:rPr>
                <w:sz w:val="20"/>
                <w:szCs w:val="20"/>
              </w:rPr>
              <w:t>liberty</w:t>
            </w:r>
            <w:proofErr w:type="spellEnd"/>
            <w:r w:rsidRPr="00921BFD">
              <w:rPr>
                <w:sz w:val="20"/>
                <w:szCs w:val="20"/>
              </w:rPr>
              <w:t xml:space="preserve"> </w:t>
            </w:r>
            <w:proofErr w:type="spellStart"/>
            <w:r w:rsidRPr="00921BFD">
              <w:rPr>
                <w:sz w:val="20"/>
                <w:szCs w:val="20"/>
              </w:rPr>
              <w:t>without</w:t>
            </w:r>
            <w:proofErr w:type="spellEnd"/>
            <w:r w:rsidRPr="00921BFD">
              <w:rPr>
                <w:sz w:val="20"/>
                <w:szCs w:val="20"/>
              </w:rPr>
              <w:t xml:space="preserve"> due </w:t>
            </w:r>
            <w:proofErr w:type="spellStart"/>
            <w:r w:rsidRPr="00921BFD">
              <w:rPr>
                <w:sz w:val="20"/>
                <w:szCs w:val="20"/>
              </w:rPr>
              <w:t>process</w:t>
            </w:r>
            <w:proofErr w:type="spellEnd"/>
            <w:r w:rsidRPr="00921BFD">
              <w:rPr>
                <w:sz w:val="20"/>
                <w:szCs w:val="20"/>
              </w:rPr>
              <w:t xml:space="preserve"> of </w:t>
            </w:r>
            <w:proofErr w:type="spellStart"/>
            <w:r w:rsidRPr="00921BFD">
              <w:rPr>
                <w:sz w:val="20"/>
                <w:szCs w:val="20"/>
              </w:rPr>
              <w:t>law</w:t>
            </w:r>
            <w:proofErr w:type="spellEnd"/>
            <w:r w:rsidRPr="00921BFD">
              <w:rPr>
                <w:sz w:val="20"/>
                <w:szCs w:val="20"/>
              </w:rPr>
              <w:t>“</w:t>
            </w:r>
            <w:r w:rsidRPr="00921BFD">
              <w:rPr>
                <w:sz w:val="20"/>
                <w:szCs w:val="20"/>
                <w:vertAlign w:val="superscript"/>
              </w:rPr>
              <w:footnoteReference w:id="1532"/>
            </w:r>
            <w:r w:rsidRPr="00921BFD">
              <w:rPr>
                <w:sz w:val="20"/>
                <w:szCs w:val="20"/>
              </w:rPr>
              <w:t>).</w:t>
            </w:r>
          </w:p>
          <w:p w14:paraId="0EA7F244" w14:textId="77777777" w:rsidR="00074551" w:rsidRPr="00E50B51" w:rsidRDefault="00074551" w:rsidP="00367133">
            <w:pPr>
              <w:jc w:val="both"/>
              <w:rPr>
                <w:sz w:val="20"/>
                <w:szCs w:val="20"/>
              </w:rPr>
            </w:pPr>
          </w:p>
        </w:tc>
      </w:tr>
      <w:tr w:rsidR="00074551" w:rsidRPr="00E50B51" w14:paraId="4FF55A38" w14:textId="77777777" w:rsidTr="00BE689F">
        <w:trPr>
          <w:cantSplit/>
          <w:trHeight w:val="3175"/>
        </w:trPr>
        <w:tc>
          <w:tcPr>
            <w:tcW w:w="293" w:type="pct"/>
          </w:tcPr>
          <w:p w14:paraId="67F4132A"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19900DAC" w14:textId="77777777" w:rsidR="00074551" w:rsidRPr="00B45592" w:rsidRDefault="00074551" w:rsidP="00367133">
            <w:pPr>
              <w:ind w:left="113" w:right="416"/>
              <w:jc w:val="both"/>
              <w:rPr>
                <w:i/>
                <w:sz w:val="20"/>
                <w:szCs w:val="20"/>
              </w:rPr>
            </w:pPr>
            <w:r w:rsidRPr="00B45592">
              <w:rPr>
                <w:i/>
                <w:sz w:val="20"/>
                <w:szCs w:val="20"/>
              </w:rPr>
              <w:t xml:space="preserve">Martin v. </w:t>
            </w:r>
            <w:proofErr w:type="spellStart"/>
            <w:r w:rsidRPr="00B45592">
              <w:rPr>
                <w:i/>
                <w:sz w:val="20"/>
                <w:szCs w:val="20"/>
              </w:rPr>
              <w:t>Hunter’s</w:t>
            </w:r>
            <w:proofErr w:type="spellEnd"/>
            <w:r w:rsidRPr="00B45592">
              <w:rPr>
                <w:i/>
                <w:sz w:val="20"/>
                <w:szCs w:val="20"/>
              </w:rPr>
              <w:t xml:space="preserve"> </w:t>
            </w:r>
            <w:proofErr w:type="spellStart"/>
            <w:r w:rsidRPr="00B45592">
              <w:rPr>
                <w:i/>
                <w:sz w:val="20"/>
                <w:szCs w:val="20"/>
              </w:rPr>
              <w:t>Lessee</w:t>
            </w:r>
            <w:proofErr w:type="spellEnd"/>
          </w:p>
        </w:tc>
        <w:tc>
          <w:tcPr>
            <w:tcW w:w="197" w:type="pct"/>
            <w:textDirection w:val="tbRl"/>
            <w:vAlign w:val="center"/>
          </w:tcPr>
          <w:p w14:paraId="46694A0A" w14:textId="77777777" w:rsidR="00074551" w:rsidRPr="00E50B51" w:rsidRDefault="00074551" w:rsidP="00367133">
            <w:pPr>
              <w:ind w:left="113" w:right="113"/>
              <w:jc w:val="both"/>
              <w:rPr>
                <w:sz w:val="20"/>
                <w:szCs w:val="20"/>
                <w:lang w:val="en-US"/>
              </w:rPr>
            </w:pPr>
            <w:r w:rsidRPr="00BE3728">
              <w:rPr>
                <w:sz w:val="20"/>
                <w:szCs w:val="20"/>
              </w:rPr>
              <w:t>14 U.S. 304</w:t>
            </w:r>
          </w:p>
        </w:tc>
        <w:tc>
          <w:tcPr>
            <w:tcW w:w="306" w:type="pct"/>
            <w:textDirection w:val="tbRl"/>
            <w:vAlign w:val="center"/>
          </w:tcPr>
          <w:p w14:paraId="504A3135" w14:textId="77777777" w:rsidR="00074551" w:rsidRPr="00E50B51" w:rsidRDefault="00074551" w:rsidP="00367133">
            <w:pPr>
              <w:ind w:left="113" w:right="113"/>
              <w:jc w:val="both"/>
              <w:rPr>
                <w:sz w:val="20"/>
                <w:szCs w:val="20"/>
              </w:rPr>
            </w:pPr>
            <w:r w:rsidRPr="00BE3728">
              <w:rPr>
                <w:sz w:val="20"/>
                <w:szCs w:val="20"/>
              </w:rPr>
              <w:t>20. März 1816</w:t>
            </w:r>
          </w:p>
        </w:tc>
        <w:tc>
          <w:tcPr>
            <w:tcW w:w="401" w:type="pct"/>
          </w:tcPr>
          <w:p w14:paraId="494E9459" w14:textId="77777777" w:rsidR="00074551" w:rsidRPr="00E50B51" w:rsidRDefault="00074551" w:rsidP="00367133">
            <w:pPr>
              <w:jc w:val="center"/>
              <w:rPr>
                <w:iCs/>
                <w:sz w:val="20"/>
                <w:szCs w:val="20"/>
              </w:rPr>
            </w:pPr>
            <w:r w:rsidRPr="00BE3728">
              <w:rPr>
                <w:sz w:val="20"/>
                <w:szCs w:val="20"/>
                <w:lang w:val="en-US"/>
              </w:rPr>
              <w:t>C</w:t>
            </w:r>
          </w:p>
        </w:tc>
        <w:tc>
          <w:tcPr>
            <w:tcW w:w="1594" w:type="pct"/>
          </w:tcPr>
          <w:p w14:paraId="669DE8DB" w14:textId="23CDA562" w:rsidR="00074551" w:rsidRPr="00BE3728" w:rsidRDefault="00074551" w:rsidP="00367133">
            <w:pPr>
              <w:jc w:val="both"/>
              <w:rPr>
                <w:sz w:val="20"/>
                <w:szCs w:val="20"/>
              </w:rPr>
            </w:pPr>
            <w:r w:rsidRPr="00BE3728">
              <w:rPr>
                <w:sz w:val="20"/>
                <w:szCs w:val="20"/>
              </w:rPr>
              <w:t xml:space="preserve">In </w:t>
            </w:r>
            <w:r w:rsidRPr="5B67C1D2">
              <w:rPr>
                <w:i/>
                <w:iCs/>
                <w:sz w:val="20"/>
                <w:szCs w:val="20"/>
              </w:rPr>
              <w:t xml:space="preserve">Martin v. </w:t>
            </w:r>
            <w:proofErr w:type="spellStart"/>
            <w:r w:rsidRPr="5B67C1D2">
              <w:rPr>
                <w:i/>
                <w:iCs/>
                <w:sz w:val="20"/>
                <w:szCs w:val="20"/>
              </w:rPr>
              <w:t>Hunter’s</w:t>
            </w:r>
            <w:proofErr w:type="spellEnd"/>
            <w:r w:rsidRPr="5B67C1D2">
              <w:rPr>
                <w:i/>
                <w:iCs/>
                <w:sz w:val="20"/>
                <w:szCs w:val="20"/>
              </w:rPr>
              <w:t xml:space="preserve"> </w:t>
            </w:r>
            <w:proofErr w:type="spellStart"/>
            <w:r w:rsidRPr="5B67C1D2">
              <w:rPr>
                <w:i/>
                <w:iCs/>
                <w:sz w:val="20"/>
                <w:szCs w:val="20"/>
              </w:rPr>
              <w:t>Lessee</w:t>
            </w:r>
            <w:proofErr w:type="spellEnd"/>
            <w:r w:rsidRPr="00BE3728">
              <w:rPr>
                <w:sz w:val="20"/>
                <w:szCs w:val="20"/>
              </w:rPr>
              <w:t xml:space="preserve"> hatte der </w:t>
            </w:r>
            <w:r>
              <w:rPr>
                <w:sz w:val="20"/>
                <w:szCs w:val="20"/>
              </w:rPr>
              <w:t>U.S. Supreme Court</w:t>
            </w:r>
            <w:r w:rsidRPr="00BE3728">
              <w:rPr>
                <w:sz w:val="20"/>
                <w:szCs w:val="20"/>
              </w:rPr>
              <w:t xml:space="preserve"> die Frage zu beantworten</w:t>
            </w:r>
            <w:r>
              <w:rPr>
                <w:sz w:val="20"/>
                <w:szCs w:val="20"/>
              </w:rPr>
              <w:t>, o</w:t>
            </w:r>
            <w:r w:rsidRPr="00BE3728">
              <w:rPr>
                <w:sz w:val="20"/>
                <w:szCs w:val="20"/>
              </w:rPr>
              <w:t xml:space="preserve">b </w:t>
            </w:r>
            <w:r>
              <w:rPr>
                <w:sz w:val="20"/>
                <w:szCs w:val="20"/>
              </w:rPr>
              <w:t>§ </w:t>
            </w:r>
            <w:r w:rsidRPr="00BE3728">
              <w:rPr>
                <w:sz w:val="20"/>
                <w:szCs w:val="20"/>
              </w:rPr>
              <w:t xml:space="preserve">25 des </w:t>
            </w:r>
            <w:proofErr w:type="spellStart"/>
            <w:r w:rsidRPr="5B67C1D2">
              <w:rPr>
                <w:i/>
                <w:iCs/>
                <w:sz w:val="20"/>
                <w:szCs w:val="20"/>
              </w:rPr>
              <w:t>Judiciary</w:t>
            </w:r>
            <w:proofErr w:type="spellEnd"/>
            <w:r w:rsidRPr="5B67C1D2">
              <w:rPr>
                <w:i/>
                <w:iCs/>
                <w:sz w:val="20"/>
                <w:szCs w:val="20"/>
              </w:rPr>
              <w:t xml:space="preserve"> Act</w:t>
            </w:r>
            <w:r w:rsidRPr="00BE3728">
              <w:rPr>
                <w:rStyle w:val="Funotenzeichen"/>
                <w:sz w:val="20"/>
                <w:szCs w:val="20"/>
              </w:rPr>
              <w:footnoteReference w:id="1533"/>
            </w:r>
            <w:r w:rsidRPr="00BE3728">
              <w:rPr>
                <w:sz w:val="20"/>
                <w:szCs w:val="20"/>
              </w:rPr>
              <w:t xml:space="preserve"> verfassungswidrig sei. Der gestatte</w:t>
            </w:r>
            <w:r>
              <w:rPr>
                <w:sz w:val="20"/>
                <w:szCs w:val="20"/>
              </w:rPr>
              <w:t>te</w:t>
            </w:r>
            <w:r w:rsidRPr="00BE3728">
              <w:rPr>
                <w:sz w:val="20"/>
                <w:szCs w:val="20"/>
              </w:rPr>
              <w:t xml:space="preserve"> dem </w:t>
            </w:r>
            <w:r>
              <w:rPr>
                <w:sz w:val="20"/>
                <w:szCs w:val="20"/>
              </w:rPr>
              <w:t>U.S. Supreme Court</w:t>
            </w:r>
            <w:r w:rsidRPr="00BE3728">
              <w:rPr>
                <w:sz w:val="20"/>
                <w:szCs w:val="20"/>
              </w:rPr>
              <w:t xml:space="preserve"> die Überprüfung bundesstaatliche</w:t>
            </w:r>
            <w:r>
              <w:rPr>
                <w:sz w:val="20"/>
                <w:szCs w:val="20"/>
              </w:rPr>
              <w:t>r</w:t>
            </w:r>
            <w:r w:rsidRPr="00BE3728">
              <w:rPr>
                <w:sz w:val="20"/>
                <w:szCs w:val="20"/>
              </w:rPr>
              <w:t xml:space="preserve"> Gerichtsentscheidungen bei Fragen des Bundesrechts. </w:t>
            </w:r>
            <w:r w:rsidRPr="00B45592">
              <w:rPr>
                <w:sz w:val="20"/>
                <w:szCs w:val="20"/>
                <w:lang w:val="en-IE"/>
              </w:rPr>
              <w:t xml:space="preserve">Der U.S. Supreme Court </w:t>
            </w:r>
            <w:proofErr w:type="spellStart"/>
            <w:r w:rsidRPr="00B45592">
              <w:rPr>
                <w:sz w:val="20"/>
                <w:szCs w:val="20"/>
                <w:lang w:val="en-IE"/>
              </w:rPr>
              <w:t>entschied</w:t>
            </w:r>
            <w:proofErr w:type="spellEnd"/>
            <w:r w:rsidRPr="00B45592">
              <w:rPr>
                <w:sz w:val="20"/>
                <w:szCs w:val="20"/>
                <w:lang w:val="en-IE"/>
              </w:rPr>
              <w:t xml:space="preserve">, </w:t>
            </w:r>
            <w:proofErr w:type="spellStart"/>
            <w:r w:rsidRPr="00B45592">
              <w:rPr>
                <w:sz w:val="20"/>
                <w:szCs w:val="20"/>
                <w:lang w:val="en-IE"/>
              </w:rPr>
              <w:t>dass</w:t>
            </w:r>
            <w:proofErr w:type="spellEnd"/>
            <w:r w:rsidRPr="00B45592">
              <w:rPr>
                <w:sz w:val="20"/>
                <w:szCs w:val="20"/>
                <w:lang w:val="en-IE"/>
              </w:rPr>
              <w:t xml:space="preserve"> </w:t>
            </w:r>
            <w:r w:rsidR="00023A37">
              <w:rPr>
                <w:sz w:val="20"/>
                <w:szCs w:val="20"/>
                <w:lang w:val="en-IE"/>
              </w:rPr>
              <w:t>U.S. Const. art. VI</w:t>
            </w:r>
            <w:r w:rsidRPr="00B45592">
              <w:rPr>
                <w:sz w:val="20"/>
                <w:szCs w:val="20"/>
                <w:lang w:val="en-IE"/>
              </w:rPr>
              <w:t xml:space="preserve"> </w:t>
            </w:r>
            <w:r w:rsidRPr="00BE3728">
              <w:rPr>
                <w:sz w:val="20"/>
                <w:szCs w:val="20"/>
              </w:rPr>
              <w:t xml:space="preserve">(die </w:t>
            </w:r>
            <w:r w:rsidRPr="5B67C1D2">
              <w:rPr>
                <w:i/>
                <w:iCs/>
                <w:sz w:val="20"/>
                <w:szCs w:val="20"/>
              </w:rPr>
              <w:t xml:space="preserve">Supremacy </w:t>
            </w:r>
            <w:proofErr w:type="spellStart"/>
            <w:r w:rsidRPr="5B67C1D2">
              <w:rPr>
                <w:i/>
                <w:iCs/>
                <w:sz w:val="20"/>
                <w:szCs w:val="20"/>
              </w:rPr>
              <w:t>Clause</w:t>
            </w:r>
            <w:proofErr w:type="spellEnd"/>
            <w:r w:rsidRPr="00BE3728">
              <w:rPr>
                <w:sz w:val="20"/>
                <w:szCs w:val="20"/>
              </w:rPr>
              <w:t xml:space="preserve">) </w:t>
            </w:r>
            <w:r>
              <w:rPr>
                <w:sz w:val="20"/>
                <w:szCs w:val="20"/>
              </w:rPr>
              <w:t>in Verbindung mit</w:t>
            </w:r>
            <w:r w:rsidRPr="00BE3728">
              <w:rPr>
                <w:sz w:val="20"/>
                <w:szCs w:val="20"/>
              </w:rPr>
              <w:t xml:space="preserve"> der Berufungszuständigkeit in </w:t>
            </w:r>
            <w:r>
              <w:rPr>
                <w:sz w:val="20"/>
                <w:szCs w:val="20"/>
              </w:rPr>
              <w:t>Art. </w:t>
            </w:r>
            <w:r w:rsidRPr="00BE3728">
              <w:rPr>
                <w:sz w:val="20"/>
                <w:szCs w:val="20"/>
              </w:rPr>
              <w:t xml:space="preserve">III, </w:t>
            </w:r>
            <w:r>
              <w:rPr>
                <w:sz w:val="20"/>
                <w:szCs w:val="20"/>
              </w:rPr>
              <w:t>§ </w:t>
            </w:r>
            <w:r w:rsidRPr="00BE3728">
              <w:rPr>
                <w:sz w:val="20"/>
                <w:szCs w:val="20"/>
              </w:rPr>
              <w:t xml:space="preserve">2 den Bundesgerichten die Kompetenz verleihe, Entscheidungen der bundesstaatlichen Gerichte zu überprüfen, soweit sie das Bundesrecht oder die Verfassung auslegen. Der </w:t>
            </w:r>
            <w:r>
              <w:rPr>
                <w:sz w:val="20"/>
                <w:szCs w:val="20"/>
              </w:rPr>
              <w:t>U.S. Supreme Court</w:t>
            </w:r>
            <w:r w:rsidRPr="00BE3728">
              <w:rPr>
                <w:sz w:val="20"/>
                <w:szCs w:val="20"/>
              </w:rPr>
              <w:t xml:space="preserve"> wies</w:t>
            </w:r>
            <w:r>
              <w:rPr>
                <w:sz w:val="20"/>
                <w:szCs w:val="20"/>
              </w:rPr>
              <w:t xml:space="preserve"> das Argument</w:t>
            </w:r>
            <w:r w:rsidRPr="00BE3728">
              <w:rPr>
                <w:sz w:val="20"/>
                <w:szCs w:val="20"/>
              </w:rPr>
              <w:t xml:space="preserve"> zurück, dass ein Bundesstaat und die nationale Regierung gleichberechtigte Souveräne seien. Gestützt auf die </w:t>
            </w:r>
            <w:r w:rsidRPr="5B67C1D2">
              <w:rPr>
                <w:i/>
                <w:iCs/>
                <w:sz w:val="20"/>
                <w:szCs w:val="20"/>
              </w:rPr>
              <w:t xml:space="preserve">Supremacy </w:t>
            </w:r>
            <w:proofErr w:type="spellStart"/>
            <w:r w:rsidRPr="5B67C1D2">
              <w:rPr>
                <w:i/>
                <w:iCs/>
                <w:sz w:val="20"/>
                <w:szCs w:val="20"/>
              </w:rPr>
              <w:t>Clause</w:t>
            </w:r>
            <w:proofErr w:type="spellEnd"/>
            <w:r w:rsidRPr="00BE3728">
              <w:rPr>
                <w:sz w:val="20"/>
                <w:szCs w:val="20"/>
              </w:rPr>
              <w:t xml:space="preserve"> gingen bundesrechtliche Interpretationen denen der Bundesstaaten vor. Das gewähre ein einheitliches und vorhersehbares Ergebnis in allen Bundesstaaten.</w:t>
            </w:r>
            <w:r w:rsidRPr="00BE3728">
              <w:rPr>
                <w:rStyle w:val="Funotenzeichen"/>
                <w:sz w:val="20"/>
                <w:szCs w:val="20"/>
              </w:rPr>
              <w:footnoteReference w:id="1534"/>
            </w:r>
          </w:p>
          <w:p w14:paraId="52FB012F" w14:textId="77777777" w:rsidR="00074551" w:rsidRPr="00BE3728" w:rsidRDefault="00074551" w:rsidP="00367133">
            <w:pPr>
              <w:jc w:val="both"/>
              <w:rPr>
                <w:sz w:val="20"/>
                <w:szCs w:val="20"/>
              </w:rPr>
            </w:pPr>
          </w:p>
          <w:p w14:paraId="026949EF" w14:textId="77777777" w:rsidR="00074551" w:rsidRPr="00BE3728" w:rsidRDefault="00074551" w:rsidP="00367133">
            <w:pPr>
              <w:jc w:val="both"/>
              <w:rPr>
                <w:sz w:val="20"/>
                <w:szCs w:val="20"/>
              </w:rPr>
            </w:pPr>
          </w:p>
          <w:p w14:paraId="1C4611D8" w14:textId="77777777" w:rsidR="00074551" w:rsidRPr="00BE3728" w:rsidRDefault="00074551" w:rsidP="00367133">
            <w:pPr>
              <w:jc w:val="both"/>
              <w:rPr>
                <w:sz w:val="20"/>
                <w:szCs w:val="20"/>
              </w:rPr>
            </w:pPr>
            <w:r w:rsidRPr="00BE3728">
              <w:rPr>
                <w:sz w:val="20"/>
                <w:szCs w:val="20"/>
              </w:rPr>
              <w:br/>
            </w:r>
          </w:p>
          <w:p w14:paraId="472751E7" w14:textId="77777777" w:rsidR="00074551" w:rsidRPr="00E50B51" w:rsidRDefault="00074551" w:rsidP="00367133">
            <w:pPr>
              <w:jc w:val="both"/>
              <w:rPr>
                <w:sz w:val="20"/>
                <w:szCs w:val="20"/>
              </w:rPr>
            </w:pPr>
          </w:p>
        </w:tc>
        <w:tc>
          <w:tcPr>
            <w:tcW w:w="1822" w:type="pct"/>
          </w:tcPr>
          <w:p w14:paraId="4A7DF1DE"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Constitutional Law › The Judiciary › Jurisdiction › General Overview</w:t>
            </w:r>
          </w:p>
          <w:p w14:paraId="5CB4C184" w14:textId="77777777" w:rsidR="00074551" w:rsidRPr="00BE3728" w:rsidRDefault="00074551" w:rsidP="00367133">
            <w:pPr>
              <w:jc w:val="both"/>
              <w:rPr>
                <w:sz w:val="20"/>
                <w:szCs w:val="20"/>
                <w:lang w:val="en-US"/>
              </w:rPr>
            </w:pPr>
          </w:p>
          <w:p w14:paraId="1D70C610" w14:textId="77777777" w:rsidR="00074551" w:rsidRDefault="00074551" w:rsidP="00367133">
            <w:pPr>
              <w:jc w:val="both"/>
              <w:rPr>
                <w:sz w:val="20"/>
                <w:szCs w:val="20"/>
              </w:rPr>
            </w:pPr>
            <w:r w:rsidRPr="00BE3728">
              <w:rPr>
                <w:sz w:val="20"/>
                <w:szCs w:val="20"/>
              </w:rPr>
              <w:t xml:space="preserve">Der </w:t>
            </w:r>
            <w:r>
              <w:rPr>
                <w:sz w:val="20"/>
                <w:szCs w:val="20"/>
              </w:rPr>
              <w:t>Art. </w:t>
            </w:r>
            <w:r w:rsidRPr="00BE3728">
              <w:rPr>
                <w:sz w:val="20"/>
                <w:szCs w:val="20"/>
              </w:rPr>
              <w:t xml:space="preserve">III, </w:t>
            </w:r>
            <w:r>
              <w:rPr>
                <w:sz w:val="20"/>
                <w:szCs w:val="20"/>
              </w:rPr>
              <w:t>§ </w:t>
            </w:r>
            <w:r w:rsidRPr="00BE3728">
              <w:rPr>
                <w:sz w:val="20"/>
                <w:szCs w:val="20"/>
              </w:rPr>
              <w:t xml:space="preserve">1 </w:t>
            </w:r>
            <w:r>
              <w:rPr>
                <w:sz w:val="20"/>
                <w:szCs w:val="20"/>
              </w:rPr>
              <w:t>U.S.</w:t>
            </w:r>
            <w:r w:rsidRPr="00BE3728">
              <w:rPr>
                <w:sz w:val="20"/>
                <w:szCs w:val="20"/>
              </w:rPr>
              <w:t xml:space="preserve"> </w:t>
            </w:r>
            <w:proofErr w:type="spellStart"/>
            <w:r w:rsidRPr="00BE3728">
              <w:rPr>
                <w:sz w:val="20"/>
                <w:szCs w:val="20"/>
              </w:rPr>
              <w:t>Cons</w:t>
            </w:r>
            <w:proofErr w:type="spellEnd"/>
            <w:r w:rsidRPr="00BE3728">
              <w:rPr>
                <w:sz w:val="20"/>
                <w:szCs w:val="20"/>
              </w:rPr>
              <w:t>. regelt, dass die Legislative der Vereinigten</w:t>
            </w:r>
            <w:r>
              <w:rPr>
                <w:sz w:val="20"/>
                <w:szCs w:val="20"/>
              </w:rPr>
              <w:t xml:space="preserve"> Staaten</w:t>
            </w:r>
            <w:r w:rsidRPr="00BE3728">
              <w:rPr>
                <w:sz w:val="20"/>
                <w:szCs w:val="20"/>
              </w:rPr>
              <w:t xml:space="preserve"> beim </w:t>
            </w:r>
            <w:r>
              <w:rPr>
                <w:sz w:val="20"/>
                <w:szCs w:val="20"/>
              </w:rPr>
              <w:t>U.S. Supreme Court</w:t>
            </w:r>
            <w:r w:rsidRPr="00BE3728">
              <w:rPr>
                <w:sz w:val="20"/>
                <w:szCs w:val="20"/>
              </w:rPr>
              <w:t xml:space="preserve"> und bei untergeordneten Gerichten angesiedelt sei, die </w:t>
            </w:r>
            <w:r>
              <w:rPr>
                <w:sz w:val="20"/>
                <w:szCs w:val="20"/>
              </w:rPr>
              <w:t xml:space="preserve">wiederum </w:t>
            </w:r>
            <w:r w:rsidRPr="00BE3728">
              <w:rPr>
                <w:sz w:val="20"/>
                <w:szCs w:val="20"/>
              </w:rPr>
              <w:t>der Kongress einrichten könne.</w:t>
            </w:r>
            <w:r w:rsidRPr="00BE3728">
              <w:rPr>
                <w:rStyle w:val="Funotenzeichen"/>
                <w:sz w:val="20"/>
                <w:szCs w:val="20"/>
              </w:rPr>
              <w:footnoteReference w:id="1535"/>
            </w:r>
          </w:p>
          <w:p w14:paraId="0A6B16E0" w14:textId="77777777" w:rsidR="00074551" w:rsidRPr="00BE3728" w:rsidRDefault="00074551" w:rsidP="00367133">
            <w:pPr>
              <w:jc w:val="both"/>
              <w:rPr>
                <w:sz w:val="20"/>
                <w:szCs w:val="20"/>
              </w:rPr>
            </w:pPr>
          </w:p>
          <w:p w14:paraId="495958A8" w14:textId="77777777" w:rsidR="00074551" w:rsidRDefault="00074551" w:rsidP="00367133">
            <w:pPr>
              <w:jc w:val="both"/>
              <w:rPr>
                <w:sz w:val="20"/>
                <w:szCs w:val="20"/>
              </w:rPr>
            </w:pPr>
            <w:r w:rsidRPr="00BE3728">
              <w:rPr>
                <w:sz w:val="20"/>
                <w:szCs w:val="20"/>
              </w:rPr>
              <w:t>Doch woher rührt die Verschränkung der Gewalten? Die Regeln für die Auslegung orientieren sich an der Verfassung, diese sei ein dreigliedriger Vertrag. Die drei Parteien sind das Volk, die Bundesstaaten und die Vereinigten Staaten. Zwar ging der Vertragsschluss vom Volk aus</w:t>
            </w:r>
            <w:r>
              <w:rPr>
                <w:sz w:val="20"/>
                <w:szCs w:val="20"/>
              </w:rPr>
              <w:t>, a</w:t>
            </w:r>
            <w:r w:rsidRPr="00BE3728">
              <w:rPr>
                <w:sz w:val="20"/>
                <w:szCs w:val="20"/>
              </w:rPr>
              <w:t xml:space="preserve">ber nunmehr sei die Verfassung kein ausschließlicher Akt des Volkes mehr.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sorge dafür, dass die Parteien sich gegenseitig Kompetenzen abtreten und sich anerkennen: </w:t>
            </w:r>
            <w:r>
              <w:rPr>
                <w:sz w:val="20"/>
                <w:szCs w:val="20"/>
              </w:rPr>
              <w:t>Beispielsweise</w:t>
            </w:r>
            <w:r w:rsidRPr="00BE3728">
              <w:rPr>
                <w:sz w:val="20"/>
                <w:szCs w:val="20"/>
              </w:rPr>
              <w:t xml:space="preserve"> garantieren die Vereinigten Staaten jedem Bundesstaat eine republikanische Regierungsform. Die Verfassung führe dazu, dass die Parteien unweigerlich in Interessenskonflikte treten, </w:t>
            </w:r>
            <w:r>
              <w:rPr>
                <w:sz w:val="20"/>
                <w:szCs w:val="20"/>
              </w:rPr>
              <w:t>z.B.</w:t>
            </w:r>
            <w:r w:rsidRPr="00BE3728">
              <w:rPr>
                <w:sz w:val="20"/>
                <w:szCs w:val="20"/>
              </w:rPr>
              <w:t xml:space="preserve"> verzichten sie auf das Privileg, Richter in eigener Sache zu sein. Dadurch werden aber schwere Konflikte vermieden. Das übergeordnete Ziel? Die Sicherheit und das Glück im Ganzen zu steigern („</w:t>
            </w:r>
            <w:proofErr w:type="spellStart"/>
            <w:r w:rsidRPr="00BE3728">
              <w:rPr>
                <w:sz w:val="20"/>
                <w:szCs w:val="20"/>
              </w:rPr>
              <w:t>security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the </w:t>
            </w:r>
            <w:proofErr w:type="spellStart"/>
            <w:r w:rsidRPr="00BE3728">
              <w:rPr>
                <w:sz w:val="20"/>
                <w:szCs w:val="20"/>
              </w:rPr>
              <w:t>whole</w:t>
            </w:r>
            <w:proofErr w:type="spellEnd"/>
            <w:r w:rsidRPr="00BE3728">
              <w:rPr>
                <w:sz w:val="20"/>
                <w:szCs w:val="20"/>
              </w:rPr>
              <w:t xml:space="preserve"> was the </w:t>
            </w:r>
            <w:proofErr w:type="spellStart"/>
            <w:r w:rsidRPr="00BE3728">
              <w:rPr>
                <w:sz w:val="20"/>
                <w:szCs w:val="20"/>
              </w:rPr>
              <w:t>object</w:t>
            </w:r>
            <w:proofErr w:type="spellEnd"/>
            <w:r w:rsidRPr="00BE3728">
              <w:rPr>
                <w:sz w:val="20"/>
                <w:szCs w:val="20"/>
              </w:rPr>
              <w:t>“</w:t>
            </w:r>
            <w:r w:rsidRPr="00BE3728">
              <w:rPr>
                <w:rStyle w:val="Funotenzeichen"/>
                <w:sz w:val="20"/>
                <w:szCs w:val="20"/>
              </w:rPr>
              <w:footnoteReference w:id="1536"/>
            </w:r>
            <w:r w:rsidRPr="00BE3728">
              <w:rPr>
                <w:sz w:val="20"/>
                <w:szCs w:val="20"/>
              </w:rPr>
              <w:t>). Die Parteilichkeit steht daher im Lichte dieser Ziele des Ganzen, einen Staat zu formen.</w:t>
            </w:r>
            <w:r w:rsidRPr="00BE3728">
              <w:rPr>
                <w:rStyle w:val="Funotenzeichen"/>
                <w:sz w:val="20"/>
                <w:szCs w:val="20"/>
              </w:rPr>
              <w:footnoteReference w:id="1537"/>
            </w:r>
          </w:p>
          <w:p w14:paraId="03AAF13D" w14:textId="77777777" w:rsidR="00074551" w:rsidRPr="00E50B51" w:rsidRDefault="00074551" w:rsidP="00367133">
            <w:pPr>
              <w:jc w:val="both"/>
              <w:rPr>
                <w:sz w:val="20"/>
                <w:szCs w:val="20"/>
              </w:rPr>
            </w:pPr>
          </w:p>
        </w:tc>
      </w:tr>
      <w:tr w:rsidR="00074551" w:rsidRPr="00E50B51" w14:paraId="4116C2B6" w14:textId="77777777" w:rsidTr="00BE689F">
        <w:trPr>
          <w:cantSplit/>
          <w:trHeight w:val="3175"/>
        </w:trPr>
        <w:tc>
          <w:tcPr>
            <w:tcW w:w="293" w:type="pct"/>
          </w:tcPr>
          <w:p w14:paraId="129304DE"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2D2E690E" w14:textId="77777777" w:rsidR="00074551" w:rsidRPr="00BE3728" w:rsidRDefault="00074551" w:rsidP="00367133">
            <w:pPr>
              <w:ind w:right="416"/>
              <w:jc w:val="center"/>
              <w:rPr>
                <w:sz w:val="20"/>
                <w:szCs w:val="20"/>
              </w:rPr>
            </w:pPr>
            <w:r>
              <w:rPr>
                <w:sz w:val="20"/>
                <w:szCs w:val="20"/>
                <w:lang w:val="en-US"/>
              </w:rPr>
              <w:t>H</w:t>
            </w:r>
          </w:p>
        </w:tc>
        <w:tc>
          <w:tcPr>
            <w:tcW w:w="387" w:type="pct"/>
            <w:textDirection w:val="tbRl"/>
            <w:vAlign w:val="center"/>
          </w:tcPr>
          <w:p w14:paraId="6880FE99" w14:textId="77777777" w:rsidR="00074551" w:rsidRPr="00BE3728" w:rsidRDefault="00074551" w:rsidP="00367133">
            <w:pPr>
              <w:ind w:left="113" w:right="416"/>
              <w:jc w:val="both"/>
              <w:rPr>
                <w:sz w:val="20"/>
                <w:szCs w:val="20"/>
              </w:rPr>
            </w:pPr>
            <w:r w:rsidRPr="008F73D7">
              <w:rPr>
                <w:i/>
                <w:sz w:val="20"/>
                <w:szCs w:val="20"/>
              </w:rPr>
              <w:t>Florentine v. Barton</w:t>
            </w:r>
          </w:p>
        </w:tc>
        <w:tc>
          <w:tcPr>
            <w:tcW w:w="197" w:type="pct"/>
            <w:textDirection w:val="tbRl"/>
            <w:vAlign w:val="center"/>
          </w:tcPr>
          <w:p w14:paraId="37B41C7C" w14:textId="77777777" w:rsidR="00074551" w:rsidRPr="00BE3728" w:rsidRDefault="00074551" w:rsidP="00367133">
            <w:pPr>
              <w:ind w:left="113" w:right="113"/>
              <w:jc w:val="both"/>
              <w:rPr>
                <w:sz w:val="20"/>
                <w:szCs w:val="20"/>
              </w:rPr>
            </w:pPr>
            <w:r w:rsidRPr="00257307">
              <w:rPr>
                <w:sz w:val="20"/>
                <w:szCs w:val="20"/>
              </w:rPr>
              <w:t>69 U.S. 210</w:t>
            </w:r>
          </w:p>
        </w:tc>
        <w:tc>
          <w:tcPr>
            <w:tcW w:w="306" w:type="pct"/>
            <w:textDirection w:val="tbRl"/>
            <w:vAlign w:val="center"/>
          </w:tcPr>
          <w:p w14:paraId="13B57FEA" w14:textId="77777777" w:rsidR="00074551" w:rsidRPr="00BE3728" w:rsidRDefault="00074551" w:rsidP="00367133">
            <w:pPr>
              <w:ind w:left="113" w:right="113"/>
              <w:jc w:val="both"/>
              <w:rPr>
                <w:sz w:val="20"/>
                <w:szCs w:val="20"/>
              </w:rPr>
            </w:pPr>
            <w:r>
              <w:rPr>
                <w:sz w:val="20"/>
                <w:szCs w:val="20"/>
                <w:lang w:val="en-US"/>
              </w:rPr>
              <w:t>1. Dezember 1864</w:t>
            </w:r>
          </w:p>
        </w:tc>
        <w:tc>
          <w:tcPr>
            <w:tcW w:w="401" w:type="pct"/>
          </w:tcPr>
          <w:p w14:paraId="34F8F6B2" w14:textId="77777777" w:rsidR="00074551" w:rsidRPr="00BE3728" w:rsidRDefault="00074551" w:rsidP="00367133">
            <w:pPr>
              <w:jc w:val="center"/>
              <w:rPr>
                <w:sz w:val="20"/>
                <w:szCs w:val="20"/>
                <w:lang w:val="en-US"/>
              </w:rPr>
            </w:pPr>
            <w:r>
              <w:rPr>
                <w:sz w:val="20"/>
                <w:szCs w:val="20"/>
                <w:lang w:val="en-US"/>
              </w:rPr>
              <w:t>S</w:t>
            </w:r>
          </w:p>
        </w:tc>
        <w:tc>
          <w:tcPr>
            <w:tcW w:w="1594" w:type="pct"/>
          </w:tcPr>
          <w:p w14:paraId="4E1CD777" w14:textId="77777777" w:rsidR="00074551" w:rsidRPr="00BE3728" w:rsidRDefault="00074551" w:rsidP="00367133">
            <w:pPr>
              <w:jc w:val="both"/>
              <w:rPr>
                <w:sz w:val="20"/>
                <w:szCs w:val="20"/>
              </w:rPr>
            </w:pPr>
            <w:r>
              <w:rPr>
                <w:sz w:val="20"/>
                <w:szCs w:val="20"/>
              </w:rPr>
              <w:t>*</w:t>
            </w:r>
          </w:p>
        </w:tc>
        <w:tc>
          <w:tcPr>
            <w:tcW w:w="1822" w:type="pct"/>
          </w:tcPr>
          <w:p w14:paraId="4382D10A" w14:textId="77777777" w:rsidR="00074551" w:rsidRDefault="00074551" w:rsidP="00367133">
            <w:pPr>
              <w:rPr>
                <w:i/>
                <w:iCs/>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iCs/>
                <w:sz w:val="20"/>
                <w:szCs w:val="20"/>
                <w:lang w:val="en-US"/>
              </w:rPr>
              <w:t>Jurisdiction/Governments › Courts › Authority to Adjudicate</w:t>
            </w:r>
          </w:p>
          <w:p w14:paraId="0C9A3A30" w14:textId="77777777" w:rsidR="00074551" w:rsidRPr="00B45592" w:rsidRDefault="00074551" w:rsidP="00367133">
            <w:pPr>
              <w:rPr>
                <w:i/>
                <w:iCs/>
                <w:sz w:val="20"/>
                <w:szCs w:val="20"/>
                <w:lang w:val="en-US"/>
              </w:rPr>
            </w:pPr>
          </w:p>
          <w:p w14:paraId="13B6F6D7" w14:textId="77777777" w:rsidR="00074551" w:rsidRPr="00DF1436" w:rsidRDefault="00074551" w:rsidP="00367133">
            <w:pPr>
              <w:rPr>
                <w:sz w:val="20"/>
                <w:szCs w:val="20"/>
              </w:rPr>
            </w:pPr>
            <w:r w:rsidRPr="00DF1436">
              <w:rPr>
                <w:sz w:val="20"/>
                <w:szCs w:val="20"/>
              </w:rPr>
              <w:t xml:space="preserve">Der </w:t>
            </w:r>
            <w:r>
              <w:rPr>
                <w:sz w:val="20"/>
                <w:szCs w:val="20"/>
              </w:rPr>
              <w:t>U.S. Supreme Court</w:t>
            </w:r>
            <w:r w:rsidRPr="00DF1436">
              <w:rPr>
                <w:sz w:val="20"/>
                <w:szCs w:val="20"/>
              </w:rPr>
              <w:t xml:space="preserve"> zitierte im Syllabus eines Falls </w:t>
            </w:r>
            <w:r w:rsidRPr="5B67C1D2">
              <w:rPr>
                <w:i/>
                <w:iCs/>
                <w:sz w:val="20"/>
                <w:szCs w:val="20"/>
              </w:rPr>
              <w:t>Gaines et al. v. Buford</w:t>
            </w:r>
            <w:r w:rsidRPr="00DF1436">
              <w:rPr>
                <w:sz w:val="20"/>
                <w:szCs w:val="20"/>
                <w:vertAlign w:val="superscript"/>
              </w:rPr>
              <w:footnoteReference w:id="1538"/>
            </w:r>
            <w:r w:rsidRPr="00DF1436">
              <w:rPr>
                <w:sz w:val="20"/>
                <w:szCs w:val="20"/>
              </w:rPr>
              <w:t xml:space="preserve"> als Maßstab. Dort ging es um ein Gesetz, </w:t>
            </w:r>
            <w:r>
              <w:rPr>
                <w:sz w:val="20"/>
                <w:szCs w:val="20"/>
              </w:rPr>
              <w:t>nach</w:t>
            </w:r>
            <w:r w:rsidRPr="00DF1436">
              <w:rPr>
                <w:sz w:val="20"/>
                <w:szCs w:val="20"/>
              </w:rPr>
              <w:t xml:space="preserve"> dem ein Bundesstaat ein Grundstück entziehen kann, wenn der Eigentümer dieses nicht innerhalb einer bestimmten Frist aufwerte</w:t>
            </w:r>
            <w:r>
              <w:rPr>
                <w:sz w:val="20"/>
                <w:szCs w:val="20"/>
              </w:rPr>
              <w:t>t</w:t>
            </w:r>
            <w:r w:rsidRPr="00DF1436">
              <w:rPr>
                <w:sz w:val="20"/>
                <w:szCs w:val="20"/>
              </w:rPr>
              <w:t xml:space="preserve">. Dieses Gesetz erklärte der </w:t>
            </w:r>
            <w:r>
              <w:rPr>
                <w:sz w:val="20"/>
                <w:szCs w:val="20"/>
              </w:rPr>
              <w:t>U.S. Supreme Court</w:t>
            </w:r>
            <w:r w:rsidRPr="00DF1436">
              <w:rPr>
                <w:sz w:val="20"/>
                <w:szCs w:val="20"/>
              </w:rPr>
              <w:t xml:space="preserve"> für verfassungswidrig, und zwar wie folgt: Zwar komme dem Volk hinsichtlich seiner Regierungen eine souveräne und auch revolutionäre Macht zu; aber wenn eine Regierung die Gerechtigkeit wahre und das Recht auf Leben, Freiheit, Eigentum und das Streben nach Glück sichere, dann liege die souveräne Macht bei der Regierung</w:t>
            </w:r>
            <w:r>
              <w:rPr>
                <w:sz w:val="20"/>
                <w:szCs w:val="20"/>
              </w:rPr>
              <w:t>. I</w:t>
            </w:r>
            <w:r w:rsidRPr="00DF1436">
              <w:rPr>
                <w:sz w:val="20"/>
                <w:szCs w:val="20"/>
              </w:rPr>
              <w:t>ndes sei dies keine Macht ohne Einschränkung – weder auf Staats- noch auf Bundesebene.</w:t>
            </w:r>
            <w:r w:rsidRPr="00DF1436">
              <w:rPr>
                <w:sz w:val="20"/>
                <w:szCs w:val="20"/>
                <w:vertAlign w:val="superscript"/>
              </w:rPr>
              <w:footnoteReference w:id="1539"/>
            </w:r>
            <w:r w:rsidRPr="00B45592">
              <w:rPr>
                <w:sz w:val="20"/>
                <w:szCs w:val="20"/>
              </w:rPr>
              <w:t xml:space="preserve"> </w:t>
            </w:r>
            <w:r w:rsidRPr="00DF1436">
              <w:rPr>
                <w:sz w:val="20"/>
                <w:szCs w:val="20"/>
              </w:rPr>
              <w:t xml:space="preserve">Diese Macht sei in </w:t>
            </w:r>
            <w:r w:rsidRPr="5B67C1D2">
              <w:rPr>
                <w:i/>
                <w:iCs/>
                <w:sz w:val="20"/>
                <w:szCs w:val="20"/>
              </w:rPr>
              <w:t>Gaines et al. v. Buford</w:t>
            </w:r>
            <w:r w:rsidRPr="00DF1436">
              <w:rPr>
                <w:sz w:val="20"/>
                <w:szCs w:val="20"/>
                <w:vertAlign w:val="superscript"/>
              </w:rPr>
              <w:footnoteReference w:id="1540"/>
            </w:r>
            <w:r w:rsidRPr="00DF1436">
              <w:rPr>
                <w:sz w:val="20"/>
                <w:szCs w:val="20"/>
              </w:rPr>
              <w:t xml:space="preserve"> übertreten</w:t>
            </w:r>
            <w:r>
              <w:rPr>
                <w:sz w:val="20"/>
                <w:szCs w:val="20"/>
              </w:rPr>
              <w:t xml:space="preserve"> worden</w:t>
            </w:r>
            <w:r w:rsidRPr="00DF1436">
              <w:rPr>
                <w:sz w:val="20"/>
                <w:szCs w:val="20"/>
              </w:rPr>
              <w:t xml:space="preserve">; die Klägerseite stimmte dem zu. In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DF1436">
              <w:rPr>
                <w:sz w:val="20"/>
                <w:szCs w:val="20"/>
              </w:rPr>
              <w:t xml:space="preserve"> zeigte sich der </w:t>
            </w:r>
            <w:r>
              <w:rPr>
                <w:sz w:val="20"/>
                <w:szCs w:val="20"/>
              </w:rPr>
              <w:t>U.S. Supreme Court</w:t>
            </w:r>
            <w:r w:rsidRPr="00DF1436">
              <w:rPr>
                <w:sz w:val="20"/>
                <w:szCs w:val="20"/>
              </w:rPr>
              <w:t xml:space="preserve"> indes überzeugt, dass ein Nachlassverwalter per Gerichtsanordnung Eigentum auch an Private verkauf</w:t>
            </w:r>
            <w:r>
              <w:rPr>
                <w:sz w:val="20"/>
                <w:szCs w:val="20"/>
              </w:rPr>
              <w:t>en</w:t>
            </w:r>
            <w:r w:rsidRPr="00DF1436">
              <w:rPr>
                <w:sz w:val="20"/>
                <w:szCs w:val="20"/>
              </w:rPr>
              <w:t xml:space="preserve"> könne, obwohl dafür ein Gesetz notwendig sei. Eine solche gesetzliche Ausgestaltung liege im Ermessen der Legislative und </w:t>
            </w:r>
            <w:r>
              <w:rPr>
                <w:sz w:val="20"/>
                <w:szCs w:val="20"/>
              </w:rPr>
              <w:t>habe im Fall bestanden</w:t>
            </w:r>
            <w:r w:rsidRPr="00DF1436">
              <w:rPr>
                <w:sz w:val="20"/>
                <w:szCs w:val="20"/>
              </w:rPr>
              <w:t>.</w:t>
            </w:r>
            <w:r w:rsidRPr="00DF1436">
              <w:rPr>
                <w:sz w:val="20"/>
                <w:szCs w:val="20"/>
                <w:vertAlign w:val="superscript"/>
              </w:rPr>
              <w:footnoteReference w:id="1541"/>
            </w:r>
            <w:r w:rsidRPr="00DF1436">
              <w:rPr>
                <w:sz w:val="20"/>
                <w:szCs w:val="20"/>
              </w:rPr>
              <w:t xml:space="preserve"> D.h. eine Regierung habe für ihre Legitimität das Streben nach Glück und als Teil dessen den Eigentumserwerb zu achten, wobei Eigentum – respektive das Streben nach Glück – grundsätzlich durch ein Gesetz und ausnahmsweise durch eine gerichtliche Anordnung entzogen werden könne.</w:t>
            </w:r>
          </w:p>
          <w:p w14:paraId="6D2860CE" w14:textId="77777777" w:rsidR="00074551" w:rsidRPr="00AB127A" w:rsidRDefault="00074551" w:rsidP="00367133">
            <w:pPr>
              <w:jc w:val="both"/>
              <w:rPr>
                <w:sz w:val="20"/>
                <w:szCs w:val="20"/>
              </w:rPr>
            </w:pPr>
          </w:p>
        </w:tc>
      </w:tr>
      <w:tr w:rsidR="00074551" w:rsidRPr="00E50B51" w14:paraId="16562000" w14:textId="77777777" w:rsidTr="00BE689F">
        <w:trPr>
          <w:cantSplit/>
          <w:trHeight w:val="3175"/>
        </w:trPr>
        <w:tc>
          <w:tcPr>
            <w:tcW w:w="293" w:type="pct"/>
          </w:tcPr>
          <w:p w14:paraId="21388DF8"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1AB325F"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6FB820BA" w14:textId="77777777" w:rsidR="00074551" w:rsidRPr="00257307" w:rsidRDefault="00074551" w:rsidP="00367133">
            <w:pPr>
              <w:ind w:left="113" w:right="416"/>
              <w:jc w:val="both"/>
              <w:rPr>
                <w:sz w:val="20"/>
                <w:szCs w:val="20"/>
              </w:rPr>
            </w:pPr>
            <w:r w:rsidRPr="00B35CD0">
              <w:rPr>
                <w:i/>
                <w:sz w:val="20"/>
                <w:szCs w:val="20"/>
              </w:rPr>
              <w:t>Truax v. Corrigan</w:t>
            </w:r>
          </w:p>
        </w:tc>
        <w:tc>
          <w:tcPr>
            <w:tcW w:w="197" w:type="pct"/>
            <w:textDirection w:val="tbRl"/>
            <w:vAlign w:val="center"/>
          </w:tcPr>
          <w:p w14:paraId="05CC84F2" w14:textId="77777777" w:rsidR="00074551" w:rsidRPr="00257307" w:rsidRDefault="00074551" w:rsidP="00367133">
            <w:pPr>
              <w:ind w:left="113" w:right="113"/>
              <w:jc w:val="both"/>
              <w:rPr>
                <w:sz w:val="20"/>
                <w:szCs w:val="20"/>
              </w:rPr>
            </w:pPr>
            <w:r w:rsidRPr="00257307">
              <w:rPr>
                <w:sz w:val="20"/>
                <w:szCs w:val="20"/>
              </w:rPr>
              <w:t>257 U.S. 312</w:t>
            </w:r>
          </w:p>
        </w:tc>
        <w:tc>
          <w:tcPr>
            <w:tcW w:w="306" w:type="pct"/>
            <w:textDirection w:val="tbRl"/>
            <w:vAlign w:val="center"/>
          </w:tcPr>
          <w:p w14:paraId="1214F7AE" w14:textId="77777777" w:rsidR="00074551" w:rsidRDefault="00074551" w:rsidP="00367133">
            <w:pPr>
              <w:ind w:left="113" w:right="113"/>
              <w:jc w:val="both"/>
              <w:rPr>
                <w:sz w:val="20"/>
                <w:szCs w:val="20"/>
                <w:lang w:val="en-US"/>
              </w:rPr>
            </w:pPr>
            <w:r>
              <w:rPr>
                <w:sz w:val="20"/>
                <w:szCs w:val="20"/>
                <w:lang w:val="en-US"/>
              </w:rPr>
              <w:t>19. Dezember 1921</w:t>
            </w:r>
          </w:p>
        </w:tc>
        <w:tc>
          <w:tcPr>
            <w:tcW w:w="401" w:type="pct"/>
          </w:tcPr>
          <w:p w14:paraId="496E97CA" w14:textId="77777777" w:rsidR="00074551" w:rsidRDefault="00074551" w:rsidP="00367133">
            <w:pPr>
              <w:jc w:val="center"/>
              <w:rPr>
                <w:sz w:val="20"/>
                <w:szCs w:val="20"/>
                <w:lang w:val="en-US"/>
              </w:rPr>
            </w:pPr>
            <w:r>
              <w:rPr>
                <w:sz w:val="20"/>
                <w:szCs w:val="20"/>
                <w:lang w:val="en-US"/>
              </w:rPr>
              <w:t>M</w:t>
            </w:r>
          </w:p>
        </w:tc>
        <w:tc>
          <w:tcPr>
            <w:tcW w:w="1594" w:type="pct"/>
          </w:tcPr>
          <w:p w14:paraId="32C20876" w14:textId="77777777" w:rsidR="00074551" w:rsidRDefault="00074551" w:rsidP="00367133">
            <w:pPr>
              <w:jc w:val="both"/>
              <w:rPr>
                <w:sz w:val="20"/>
                <w:szCs w:val="20"/>
              </w:rPr>
            </w:pPr>
            <w:r w:rsidRPr="002961A6">
              <w:rPr>
                <w:sz w:val="20"/>
                <w:szCs w:val="20"/>
              </w:rPr>
              <w:t xml:space="preserve">Der </w:t>
            </w:r>
            <w:r>
              <w:rPr>
                <w:sz w:val="20"/>
                <w:szCs w:val="20"/>
              </w:rPr>
              <w:t>U.S. Supreme Court</w:t>
            </w:r>
            <w:r w:rsidRPr="002961A6">
              <w:rPr>
                <w:sz w:val="20"/>
                <w:szCs w:val="20"/>
              </w:rPr>
              <w:t xml:space="preserve"> hob </w:t>
            </w:r>
            <w:r>
              <w:rPr>
                <w:sz w:val="20"/>
                <w:szCs w:val="20"/>
              </w:rPr>
              <w:t xml:space="preserve">ein Urteil auf, welches ein Klagebegehren zunächst noch abgewiesen hatte – und </w:t>
            </w:r>
            <w:r w:rsidRPr="002961A6">
              <w:rPr>
                <w:sz w:val="20"/>
                <w:szCs w:val="20"/>
              </w:rPr>
              <w:t>verwies den Fall zurück</w:t>
            </w:r>
            <w:r>
              <w:rPr>
                <w:sz w:val="20"/>
                <w:szCs w:val="20"/>
              </w:rPr>
              <w:t>. Denn</w:t>
            </w:r>
            <w:r w:rsidRPr="002961A6">
              <w:rPr>
                <w:sz w:val="20"/>
                <w:szCs w:val="20"/>
              </w:rPr>
              <w:t xml:space="preserve"> </w:t>
            </w:r>
            <w:r>
              <w:rPr>
                <w:sz w:val="20"/>
                <w:szCs w:val="20"/>
              </w:rPr>
              <w:t xml:space="preserve">die Vorinstanzen hätten den </w:t>
            </w:r>
            <w:r w:rsidRPr="002961A6">
              <w:rPr>
                <w:sz w:val="20"/>
                <w:szCs w:val="20"/>
              </w:rPr>
              <w:t xml:space="preserve">Klägern </w:t>
            </w:r>
            <w:r>
              <w:rPr>
                <w:sz w:val="20"/>
                <w:szCs w:val="20"/>
              </w:rPr>
              <w:t xml:space="preserve">den </w:t>
            </w:r>
            <w:r w:rsidRPr="002961A6">
              <w:rPr>
                <w:sz w:val="20"/>
                <w:szCs w:val="20"/>
              </w:rPr>
              <w:t>gleiche</w:t>
            </w:r>
            <w:r>
              <w:rPr>
                <w:sz w:val="20"/>
                <w:szCs w:val="20"/>
              </w:rPr>
              <w:t>n</w:t>
            </w:r>
            <w:r w:rsidRPr="002961A6">
              <w:rPr>
                <w:sz w:val="20"/>
                <w:szCs w:val="20"/>
              </w:rPr>
              <w:t xml:space="preserve"> Schutz </w:t>
            </w:r>
            <w:r>
              <w:rPr>
                <w:sz w:val="20"/>
                <w:szCs w:val="20"/>
              </w:rPr>
              <w:t xml:space="preserve">durch Gesetze </w:t>
            </w:r>
            <w:r w:rsidRPr="002961A6">
              <w:rPr>
                <w:sz w:val="20"/>
                <w:szCs w:val="20"/>
              </w:rPr>
              <w:t>verweigert.</w:t>
            </w:r>
            <w:r>
              <w:rPr>
                <w:sz w:val="20"/>
                <w:szCs w:val="20"/>
              </w:rPr>
              <w:t xml:space="preserve"> </w:t>
            </w:r>
            <w:r w:rsidRPr="002961A6">
              <w:rPr>
                <w:sz w:val="20"/>
                <w:szCs w:val="20"/>
              </w:rPr>
              <w:t>Die Kläger</w:t>
            </w:r>
            <w:r>
              <w:rPr>
                <w:sz w:val="20"/>
                <w:szCs w:val="20"/>
              </w:rPr>
              <w:t xml:space="preserve"> waren</w:t>
            </w:r>
            <w:r w:rsidRPr="002961A6">
              <w:rPr>
                <w:sz w:val="20"/>
                <w:szCs w:val="20"/>
              </w:rPr>
              <w:t xml:space="preserve"> Restaurant</w:t>
            </w:r>
            <w:r>
              <w:rPr>
                <w:sz w:val="20"/>
                <w:szCs w:val="20"/>
              </w:rPr>
              <w:t>eigentümer</w:t>
            </w:r>
            <w:r w:rsidRPr="002961A6">
              <w:rPr>
                <w:sz w:val="20"/>
                <w:szCs w:val="20"/>
              </w:rPr>
              <w:t xml:space="preserve"> und beschäftigten die Beklagten als Köche und Kellner. </w:t>
            </w:r>
            <w:r>
              <w:rPr>
                <w:sz w:val="20"/>
                <w:szCs w:val="20"/>
              </w:rPr>
              <w:t xml:space="preserve">Aufgrund eines </w:t>
            </w:r>
            <w:r w:rsidRPr="002961A6">
              <w:rPr>
                <w:sz w:val="20"/>
                <w:szCs w:val="20"/>
              </w:rPr>
              <w:t>Streit</w:t>
            </w:r>
            <w:r>
              <w:rPr>
                <w:sz w:val="20"/>
                <w:szCs w:val="20"/>
              </w:rPr>
              <w:t>s</w:t>
            </w:r>
            <w:r w:rsidRPr="002961A6">
              <w:rPr>
                <w:sz w:val="20"/>
                <w:szCs w:val="20"/>
              </w:rPr>
              <w:t xml:space="preserve"> über Arbeitsbedingungen </w:t>
            </w:r>
            <w:r>
              <w:rPr>
                <w:sz w:val="20"/>
                <w:szCs w:val="20"/>
              </w:rPr>
              <w:t>bestreikten die Beklagten die Kläger</w:t>
            </w:r>
            <w:r w:rsidRPr="002961A6">
              <w:rPr>
                <w:sz w:val="20"/>
                <w:szCs w:val="20"/>
              </w:rPr>
              <w:t xml:space="preserve">. Die Beklagten folgten </w:t>
            </w:r>
            <w:r>
              <w:rPr>
                <w:sz w:val="20"/>
                <w:szCs w:val="20"/>
              </w:rPr>
              <w:t xml:space="preserve">dabei </w:t>
            </w:r>
            <w:r w:rsidRPr="002961A6">
              <w:rPr>
                <w:sz w:val="20"/>
                <w:szCs w:val="20"/>
              </w:rPr>
              <w:t xml:space="preserve">einem Plan, </w:t>
            </w:r>
            <w:r>
              <w:rPr>
                <w:sz w:val="20"/>
                <w:szCs w:val="20"/>
              </w:rPr>
              <w:t xml:space="preserve">nämlich dem </w:t>
            </w:r>
            <w:r w:rsidRPr="002961A6">
              <w:rPr>
                <w:sz w:val="20"/>
                <w:szCs w:val="20"/>
              </w:rPr>
              <w:t xml:space="preserve">Geschäft der Kläger zu </w:t>
            </w:r>
            <w:r>
              <w:rPr>
                <w:sz w:val="20"/>
                <w:szCs w:val="20"/>
              </w:rPr>
              <w:t xml:space="preserve">schaden; </w:t>
            </w:r>
            <w:r w:rsidRPr="002961A6">
              <w:rPr>
                <w:sz w:val="20"/>
                <w:szCs w:val="20"/>
              </w:rPr>
              <w:t xml:space="preserve">sie </w:t>
            </w:r>
            <w:r>
              <w:rPr>
                <w:sz w:val="20"/>
                <w:szCs w:val="20"/>
              </w:rPr>
              <w:t xml:space="preserve">stellten </w:t>
            </w:r>
            <w:r w:rsidRPr="002961A6">
              <w:rPr>
                <w:sz w:val="20"/>
                <w:szCs w:val="20"/>
              </w:rPr>
              <w:t>Streikposten auf</w:t>
            </w:r>
            <w:r>
              <w:rPr>
                <w:sz w:val="20"/>
                <w:szCs w:val="20"/>
              </w:rPr>
              <w:t xml:space="preserve"> </w:t>
            </w:r>
            <w:r w:rsidRPr="002961A6">
              <w:rPr>
                <w:sz w:val="20"/>
                <w:szCs w:val="20"/>
              </w:rPr>
              <w:t xml:space="preserve">und </w:t>
            </w:r>
            <w:r>
              <w:rPr>
                <w:sz w:val="20"/>
                <w:szCs w:val="20"/>
              </w:rPr>
              <w:t xml:space="preserve">schreckten </w:t>
            </w:r>
            <w:r w:rsidRPr="002961A6">
              <w:rPr>
                <w:sz w:val="20"/>
                <w:szCs w:val="20"/>
              </w:rPr>
              <w:t xml:space="preserve">Kunden ab. Die Kläger </w:t>
            </w:r>
            <w:r>
              <w:rPr>
                <w:sz w:val="20"/>
                <w:szCs w:val="20"/>
              </w:rPr>
              <w:t xml:space="preserve">begehrten daraufhin </w:t>
            </w:r>
            <w:r w:rsidRPr="002961A6">
              <w:rPr>
                <w:sz w:val="20"/>
                <w:szCs w:val="20"/>
              </w:rPr>
              <w:t xml:space="preserve">eine einstweilige Verfügung zur Unterlassung </w:t>
            </w:r>
            <w:r>
              <w:rPr>
                <w:sz w:val="20"/>
                <w:szCs w:val="20"/>
              </w:rPr>
              <w:t>dessen</w:t>
            </w:r>
            <w:r w:rsidRPr="002961A6">
              <w:rPr>
                <w:sz w:val="20"/>
                <w:szCs w:val="20"/>
              </w:rPr>
              <w:t xml:space="preserve">. Die Beklagten beriefen sich </w:t>
            </w:r>
            <w:r>
              <w:rPr>
                <w:sz w:val="20"/>
                <w:szCs w:val="20"/>
              </w:rPr>
              <w:t xml:space="preserve">indes </w:t>
            </w:r>
            <w:r w:rsidRPr="002961A6">
              <w:rPr>
                <w:sz w:val="20"/>
                <w:szCs w:val="20"/>
              </w:rPr>
              <w:t xml:space="preserve">auf Ariz. Rev. Stat. </w:t>
            </w:r>
            <w:r>
              <w:rPr>
                <w:sz w:val="20"/>
                <w:szCs w:val="20"/>
              </w:rPr>
              <w:t>§ </w:t>
            </w:r>
            <w:r w:rsidRPr="002961A6">
              <w:rPr>
                <w:sz w:val="20"/>
                <w:szCs w:val="20"/>
              </w:rPr>
              <w:t>1464 (1913)</w:t>
            </w:r>
            <w:r>
              <w:rPr>
                <w:sz w:val="20"/>
                <w:szCs w:val="20"/>
              </w:rPr>
              <w:t>.</w:t>
            </w:r>
            <w:r>
              <w:rPr>
                <w:rStyle w:val="Funotenzeichen"/>
                <w:sz w:val="20"/>
                <w:szCs w:val="20"/>
              </w:rPr>
              <w:footnoteReference w:id="1542"/>
            </w:r>
            <w:r>
              <w:rPr>
                <w:sz w:val="20"/>
                <w:szCs w:val="20"/>
              </w:rPr>
              <w:t xml:space="preserve"> D</w:t>
            </w:r>
            <w:r w:rsidRPr="002961A6">
              <w:rPr>
                <w:sz w:val="20"/>
                <w:szCs w:val="20"/>
              </w:rPr>
              <w:t xml:space="preserve">er </w:t>
            </w:r>
            <w:r>
              <w:rPr>
                <w:sz w:val="20"/>
                <w:szCs w:val="20"/>
              </w:rPr>
              <w:t xml:space="preserve">untersage </w:t>
            </w:r>
            <w:r w:rsidRPr="002961A6">
              <w:rPr>
                <w:sz w:val="20"/>
                <w:szCs w:val="20"/>
              </w:rPr>
              <w:t>eine einstweilige Verfügung in Streitigkeiten zwischen Arbeitgeber</w:t>
            </w:r>
            <w:r>
              <w:rPr>
                <w:sz w:val="20"/>
                <w:szCs w:val="20"/>
              </w:rPr>
              <w:t>n</w:t>
            </w:r>
            <w:r w:rsidRPr="002961A6">
              <w:rPr>
                <w:sz w:val="20"/>
                <w:szCs w:val="20"/>
              </w:rPr>
              <w:t xml:space="preserve"> und Arbeitnehmer</w:t>
            </w:r>
            <w:r>
              <w:rPr>
                <w:sz w:val="20"/>
                <w:szCs w:val="20"/>
              </w:rPr>
              <w:t>n</w:t>
            </w:r>
            <w:r w:rsidRPr="002961A6">
              <w:rPr>
                <w:sz w:val="20"/>
                <w:szCs w:val="20"/>
              </w:rPr>
              <w:t xml:space="preserve">. Der </w:t>
            </w:r>
            <w:r w:rsidRPr="5B67C1D2">
              <w:rPr>
                <w:i/>
                <w:iCs/>
                <w:sz w:val="20"/>
                <w:szCs w:val="20"/>
              </w:rPr>
              <w:t>Arizona Supreme Court</w:t>
            </w:r>
            <w:r>
              <w:rPr>
                <w:sz w:val="20"/>
                <w:szCs w:val="20"/>
              </w:rPr>
              <w:t xml:space="preserve"> </w:t>
            </w:r>
            <w:r w:rsidRPr="002961A6">
              <w:rPr>
                <w:sz w:val="20"/>
                <w:szCs w:val="20"/>
              </w:rPr>
              <w:t xml:space="preserve">bestätigte </w:t>
            </w:r>
            <w:r>
              <w:rPr>
                <w:sz w:val="20"/>
                <w:szCs w:val="20"/>
              </w:rPr>
              <w:t xml:space="preserve">daher die Abweisung der </w:t>
            </w:r>
            <w:r w:rsidRPr="002961A6">
              <w:rPr>
                <w:sz w:val="20"/>
                <w:szCs w:val="20"/>
              </w:rPr>
              <w:t>Klage.</w:t>
            </w:r>
            <w:r>
              <w:rPr>
                <w:sz w:val="20"/>
                <w:szCs w:val="20"/>
              </w:rPr>
              <w:t xml:space="preserve"> Der U.S. Supreme Court </w:t>
            </w:r>
            <w:r w:rsidRPr="002961A6">
              <w:rPr>
                <w:sz w:val="20"/>
                <w:szCs w:val="20"/>
              </w:rPr>
              <w:t xml:space="preserve">hob die Entscheidung </w:t>
            </w:r>
            <w:r>
              <w:rPr>
                <w:sz w:val="20"/>
                <w:szCs w:val="20"/>
              </w:rPr>
              <w:t xml:space="preserve">indes </w:t>
            </w:r>
            <w:r w:rsidRPr="002961A6">
              <w:rPr>
                <w:sz w:val="20"/>
                <w:szCs w:val="20"/>
              </w:rPr>
              <w:t>auf. Er stellte fest, dass d</w:t>
            </w:r>
            <w:r>
              <w:rPr>
                <w:sz w:val="20"/>
                <w:szCs w:val="20"/>
              </w:rPr>
              <w:t xml:space="preserve">en </w:t>
            </w:r>
            <w:r w:rsidRPr="002961A6">
              <w:rPr>
                <w:sz w:val="20"/>
                <w:szCs w:val="20"/>
              </w:rPr>
              <w:t>Kläger</w:t>
            </w:r>
            <w:r>
              <w:rPr>
                <w:sz w:val="20"/>
                <w:szCs w:val="20"/>
              </w:rPr>
              <w:t>n</w:t>
            </w:r>
            <w:r w:rsidRPr="002961A6">
              <w:rPr>
                <w:sz w:val="20"/>
                <w:szCs w:val="20"/>
              </w:rPr>
              <w:t xml:space="preserve"> der gleiche Schutz</w:t>
            </w:r>
            <w:r>
              <w:rPr>
                <w:sz w:val="20"/>
                <w:szCs w:val="20"/>
              </w:rPr>
              <w:t>, den Gesetze eröffnen („</w:t>
            </w:r>
            <w:proofErr w:type="spellStart"/>
            <w:r w:rsidRPr="00BC628E">
              <w:rPr>
                <w:sz w:val="20"/>
                <w:szCs w:val="20"/>
              </w:rPr>
              <w:t>equal</w:t>
            </w:r>
            <w:proofErr w:type="spellEnd"/>
            <w:r w:rsidRPr="00BC628E">
              <w:rPr>
                <w:sz w:val="20"/>
                <w:szCs w:val="20"/>
              </w:rPr>
              <w:t xml:space="preserve"> </w:t>
            </w:r>
            <w:proofErr w:type="spellStart"/>
            <w:r w:rsidRPr="00BC628E">
              <w:rPr>
                <w:sz w:val="20"/>
                <w:szCs w:val="20"/>
              </w:rPr>
              <w:t>protection</w:t>
            </w:r>
            <w:proofErr w:type="spellEnd"/>
            <w:r w:rsidRPr="00BC628E">
              <w:rPr>
                <w:sz w:val="20"/>
                <w:szCs w:val="20"/>
              </w:rPr>
              <w:t xml:space="preserve"> of the </w:t>
            </w:r>
            <w:proofErr w:type="spellStart"/>
            <w:r w:rsidRPr="00BC628E">
              <w:rPr>
                <w:sz w:val="20"/>
                <w:szCs w:val="20"/>
              </w:rPr>
              <w:t>law</w:t>
            </w:r>
            <w:proofErr w:type="spellEnd"/>
            <w:r>
              <w:rPr>
                <w:sz w:val="20"/>
                <w:szCs w:val="20"/>
              </w:rPr>
              <w:t>“</w:t>
            </w:r>
            <w:r>
              <w:rPr>
                <w:rStyle w:val="Funotenzeichen"/>
                <w:sz w:val="20"/>
                <w:szCs w:val="20"/>
              </w:rPr>
              <w:footnoteReference w:id="1543"/>
            </w:r>
            <w:r>
              <w:rPr>
                <w:sz w:val="20"/>
                <w:szCs w:val="20"/>
              </w:rPr>
              <w:t xml:space="preserve">), </w:t>
            </w:r>
            <w:r w:rsidRPr="002961A6">
              <w:rPr>
                <w:sz w:val="20"/>
                <w:szCs w:val="20"/>
              </w:rPr>
              <w:t xml:space="preserve">verweigert </w:t>
            </w:r>
            <w:r>
              <w:rPr>
                <w:sz w:val="20"/>
                <w:szCs w:val="20"/>
              </w:rPr>
              <w:t>worden war</w:t>
            </w:r>
            <w:r w:rsidRPr="002961A6">
              <w:rPr>
                <w:sz w:val="20"/>
                <w:szCs w:val="20"/>
              </w:rPr>
              <w:t xml:space="preserve">. </w:t>
            </w:r>
            <w:r>
              <w:rPr>
                <w:sz w:val="20"/>
                <w:szCs w:val="20"/>
              </w:rPr>
              <w:t>Denn d</w:t>
            </w:r>
            <w:r w:rsidRPr="002961A6">
              <w:rPr>
                <w:sz w:val="20"/>
                <w:szCs w:val="20"/>
              </w:rPr>
              <w:t>i</w:t>
            </w:r>
            <w:r>
              <w:rPr>
                <w:sz w:val="20"/>
                <w:szCs w:val="20"/>
              </w:rPr>
              <w:t xml:space="preserve">e </w:t>
            </w:r>
            <w:r w:rsidRPr="002961A6">
              <w:rPr>
                <w:sz w:val="20"/>
                <w:szCs w:val="20"/>
              </w:rPr>
              <w:t xml:space="preserve">Eigentumsrechte der Kläger </w:t>
            </w:r>
            <w:r>
              <w:rPr>
                <w:sz w:val="20"/>
                <w:szCs w:val="20"/>
              </w:rPr>
              <w:t>waren</w:t>
            </w:r>
            <w:r w:rsidRPr="002961A6">
              <w:rPr>
                <w:sz w:val="20"/>
                <w:szCs w:val="20"/>
              </w:rPr>
              <w:t xml:space="preserve"> verletzt</w:t>
            </w:r>
            <w:r>
              <w:rPr>
                <w:sz w:val="20"/>
                <w:szCs w:val="20"/>
              </w:rPr>
              <w:t xml:space="preserve"> worden</w:t>
            </w:r>
            <w:r w:rsidRPr="002961A6">
              <w:rPr>
                <w:sz w:val="20"/>
                <w:szCs w:val="20"/>
              </w:rPr>
              <w:t xml:space="preserve">. </w:t>
            </w:r>
            <w:r>
              <w:rPr>
                <w:sz w:val="20"/>
                <w:szCs w:val="20"/>
              </w:rPr>
              <w:t>Und d</w:t>
            </w:r>
            <w:r w:rsidRPr="002961A6">
              <w:rPr>
                <w:sz w:val="20"/>
                <w:szCs w:val="20"/>
              </w:rPr>
              <w:t xml:space="preserve">iese Verletzung </w:t>
            </w:r>
            <w:r>
              <w:rPr>
                <w:sz w:val="20"/>
                <w:szCs w:val="20"/>
              </w:rPr>
              <w:t xml:space="preserve">war </w:t>
            </w:r>
            <w:r w:rsidRPr="002961A6">
              <w:rPr>
                <w:sz w:val="20"/>
                <w:szCs w:val="20"/>
              </w:rPr>
              <w:t>unrechtmäßig, wenn sie von anderen als den Mitarbeitern der Kläger begangen w</w:t>
            </w:r>
            <w:r>
              <w:rPr>
                <w:sz w:val="20"/>
                <w:szCs w:val="20"/>
              </w:rPr>
              <w:t>u</w:t>
            </w:r>
            <w:r w:rsidRPr="002961A6">
              <w:rPr>
                <w:sz w:val="20"/>
                <w:szCs w:val="20"/>
              </w:rPr>
              <w:t>rde</w:t>
            </w:r>
            <w:r>
              <w:rPr>
                <w:sz w:val="20"/>
                <w:szCs w:val="20"/>
              </w:rPr>
              <w:t>; gerade das war hier der Fall, weil die Kläger die beklagten Mitarbeiter zum Streikzeitpunkt nicht mehr beschäftigten. Damit war</w:t>
            </w:r>
            <w:r w:rsidRPr="002961A6">
              <w:rPr>
                <w:sz w:val="20"/>
                <w:szCs w:val="20"/>
              </w:rPr>
              <w:t xml:space="preserve"> </w:t>
            </w:r>
            <w:r>
              <w:rPr>
                <w:sz w:val="20"/>
                <w:szCs w:val="20"/>
              </w:rPr>
              <w:t xml:space="preserve">den Klägern </w:t>
            </w:r>
            <w:r w:rsidRPr="002961A6">
              <w:rPr>
                <w:sz w:val="20"/>
                <w:szCs w:val="20"/>
              </w:rPr>
              <w:t>die einstweilige Verfügung verwehrt</w:t>
            </w:r>
            <w:r>
              <w:rPr>
                <w:sz w:val="20"/>
                <w:szCs w:val="20"/>
              </w:rPr>
              <w:t xml:space="preserve"> worden</w:t>
            </w:r>
            <w:r w:rsidRPr="002961A6">
              <w:rPr>
                <w:sz w:val="20"/>
                <w:szCs w:val="20"/>
              </w:rPr>
              <w:t xml:space="preserve">, obwohl sie anderen Klägern zur Verfügung </w:t>
            </w:r>
            <w:r>
              <w:rPr>
                <w:sz w:val="20"/>
                <w:szCs w:val="20"/>
              </w:rPr>
              <w:t>gestanden hätte</w:t>
            </w:r>
            <w:r w:rsidRPr="002961A6">
              <w:rPr>
                <w:sz w:val="20"/>
                <w:szCs w:val="20"/>
              </w:rPr>
              <w:t>.</w:t>
            </w:r>
            <w:r>
              <w:rPr>
                <w:sz w:val="20"/>
                <w:szCs w:val="20"/>
              </w:rPr>
              <w:t xml:space="preserve"> Ein Verstoß gegen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Pr>
                <w:sz w:val="20"/>
                <w:szCs w:val="20"/>
              </w:rPr>
              <w:t xml:space="preserve"> lag vor.</w:t>
            </w:r>
            <w:r>
              <w:rPr>
                <w:rStyle w:val="Funotenzeichen"/>
                <w:sz w:val="20"/>
                <w:szCs w:val="20"/>
              </w:rPr>
              <w:footnoteReference w:id="1544"/>
            </w:r>
          </w:p>
          <w:p w14:paraId="58CB55CE" w14:textId="77777777" w:rsidR="00074551" w:rsidRDefault="00074551" w:rsidP="00367133">
            <w:pPr>
              <w:jc w:val="both"/>
              <w:rPr>
                <w:sz w:val="20"/>
                <w:szCs w:val="20"/>
              </w:rPr>
            </w:pPr>
          </w:p>
        </w:tc>
        <w:tc>
          <w:tcPr>
            <w:tcW w:w="1822" w:type="pct"/>
          </w:tcPr>
          <w:p w14:paraId="0BA7AFDB"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Jurisdiction</w:t>
            </w:r>
            <w:proofErr w:type="spellEnd"/>
          </w:p>
          <w:p w14:paraId="3B122D3D" w14:textId="77777777" w:rsidR="00074551" w:rsidRPr="00B37FB7" w:rsidRDefault="00074551" w:rsidP="00367133">
            <w:pPr>
              <w:rPr>
                <w:b/>
                <w:bCs/>
                <w:sz w:val="20"/>
                <w:szCs w:val="20"/>
              </w:rPr>
            </w:pPr>
          </w:p>
          <w:p w14:paraId="435E5E58" w14:textId="218ADC02" w:rsidR="00074551" w:rsidRPr="00AD4EC2" w:rsidRDefault="00074551" w:rsidP="00367133">
            <w:pPr>
              <w:rPr>
                <w:b/>
                <w:bCs/>
                <w:sz w:val="20"/>
                <w:szCs w:val="20"/>
              </w:rPr>
            </w:pPr>
            <w:bookmarkStart w:id="66" w:name="_Hlk225252845"/>
            <w:r w:rsidRPr="00B37FB7">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B37FB7">
              <w:rPr>
                <w:sz w:val="20"/>
                <w:szCs w:val="20"/>
              </w:rPr>
              <w:t xml:space="preserve"> erklärte das Gesetz Ariz. Rev. Stat. </w:t>
            </w:r>
            <w:r>
              <w:rPr>
                <w:sz w:val="20"/>
                <w:szCs w:val="20"/>
              </w:rPr>
              <w:t>§ </w:t>
            </w:r>
            <w:r w:rsidRPr="00B37FB7">
              <w:rPr>
                <w:sz w:val="20"/>
                <w:szCs w:val="20"/>
              </w:rPr>
              <w:t>1464 (1913)</w:t>
            </w:r>
            <w:r w:rsidRPr="00B37FB7">
              <w:rPr>
                <w:sz w:val="20"/>
                <w:szCs w:val="20"/>
                <w:vertAlign w:val="superscript"/>
              </w:rPr>
              <w:t xml:space="preserve"> </w:t>
            </w:r>
            <w:r w:rsidRPr="00B37FB7">
              <w:rPr>
                <w:sz w:val="20"/>
                <w:szCs w:val="20"/>
                <w:vertAlign w:val="superscript"/>
              </w:rPr>
              <w:footnoteReference w:id="1545"/>
            </w:r>
            <w:r w:rsidRPr="00B37FB7">
              <w:rPr>
                <w:sz w:val="20"/>
                <w:szCs w:val="20"/>
              </w:rPr>
              <w:t xml:space="preserve"> für verfassungswidrig, da es Arbeitnehmern – hier einem Restauranteigentümer – Schutz vor einstweiligen Verfügungen gewährte, auch wenn strafbare Handlungen vorlagen wie </w:t>
            </w:r>
            <w:r>
              <w:rPr>
                <w:sz w:val="20"/>
                <w:szCs w:val="20"/>
              </w:rPr>
              <w:t xml:space="preserve">die Verleumdung der </w:t>
            </w:r>
            <w:r w:rsidRPr="00B37FB7">
              <w:rPr>
                <w:sz w:val="20"/>
                <w:szCs w:val="20"/>
              </w:rPr>
              <w:t xml:space="preserve">Arbeitgeber mit Flugblättern </w:t>
            </w:r>
            <w:r>
              <w:rPr>
                <w:sz w:val="20"/>
                <w:szCs w:val="20"/>
              </w:rPr>
              <w:t xml:space="preserve">durch die </w:t>
            </w:r>
            <w:r w:rsidRPr="00B37FB7">
              <w:rPr>
                <w:sz w:val="20"/>
                <w:szCs w:val="20"/>
              </w:rPr>
              <w:t>Arbeitnehmer.</w:t>
            </w:r>
            <w:bookmarkEnd w:id="66"/>
            <w:r w:rsidRPr="00B37FB7">
              <w:rPr>
                <w:sz w:val="20"/>
                <w:szCs w:val="20"/>
              </w:rPr>
              <w:t xml:space="preserve"> Dies verwehrte den </w:t>
            </w:r>
            <w:r>
              <w:rPr>
                <w:sz w:val="20"/>
                <w:szCs w:val="20"/>
              </w:rPr>
              <w:t>von dem</w:t>
            </w:r>
            <w:r w:rsidRPr="00B37FB7">
              <w:rPr>
                <w:sz w:val="20"/>
                <w:szCs w:val="20"/>
              </w:rPr>
              <w:t xml:space="preserve"> strafrechtliche</w:t>
            </w:r>
            <w:r>
              <w:rPr>
                <w:sz w:val="20"/>
                <w:szCs w:val="20"/>
              </w:rPr>
              <w:t>n</w:t>
            </w:r>
            <w:r w:rsidRPr="00B37FB7">
              <w:rPr>
                <w:sz w:val="20"/>
                <w:szCs w:val="20"/>
              </w:rPr>
              <w:t xml:space="preserve"> Verhalten betroffenen Restauranteigentümern den gleichen gerichtlichen Schutz, den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37FB7">
              <w:rPr>
                <w:sz w:val="20"/>
                <w:szCs w:val="20"/>
              </w:rPr>
              <w:t xml:space="preserve"> aber fordert. Denn das Amendment sicher</w:t>
            </w:r>
            <w:r>
              <w:rPr>
                <w:sz w:val="20"/>
                <w:szCs w:val="20"/>
              </w:rPr>
              <w:t>e</w:t>
            </w:r>
            <w:r w:rsidRPr="00B37FB7">
              <w:rPr>
                <w:sz w:val="20"/>
                <w:szCs w:val="20"/>
              </w:rPr>
              <w:t xml:space="preserve"> nicht nur den Schutz vor willkürlicher Entziehung von Leben, Freiheit oder Eigentum, sondern verlange auch gleichen Schutz und gleiche Sicherheit zur Ausübung von Persönlichkeitsrechten und Bürgerrechten, einschließlich des Rechts auf ein gleiches Streben nach Glück. Daher müss</w:t>
            </w:r>
            <w:r>
              <w:rPr>
                <w:sz w:val="20"/>
                <w:szCs w:val="20"/>
              </w:rPr>
              <w:t>t</w:t>
            </w:r>
            <w:r w:rsidRPr="00B37FB7">
              <w:rPr>
                <w:sz w:val="20"/>
                <w:szCs w:val="20"/>
              </w:rPr>
              <w:t xml:space="preserve">en alle Bürger auch die gleichen Rechte vor Gericht haben, um ihr Eigentum zu schützen. Doch das Gesetz </w:t>
            </w:r>
            <w:r>
              <w:rPr>
                <w:sz w:val="20"/>
                <w:szCs w:val="20"/>
              </w:rPr>
              <w:t>schaffe</w:t>
            </w:r>
            <w:r w:rsidRPr="00B37FB7">
              <w:rPr>
                <w:sz w:val="20"/>
                <w:szCs w:val="20"/>
              </w:rPr>
              <w:t xml:space="preserve"> eine unzulässige Strafbarkeitslücke, indem es Arbeitnehmer von einstweiligen Verfügungen ausnahm, was gegen den Gleichheitssatz verst</w:t>
            </w:r>
            <w:r>
              <w:rPr>
                <w:sz w:val="20"/>
                <w:szCs w:val="20"/>
              </w:rPr>
              <w:t>oße</w:t>
            </w:r>
            <w:r w:rsidRPr="00B37FB7">
              <w:rPr>
                <w:sz w:val="20"/>
                <w:szCs w:val="20"/>
              </w:rPr>
              <w:t>.</w:t>
            </w:r>
            <w:r w:rsidRPr="00B37FB7">
              <w:rPr>
                <w:sz w:val="20"/>
                <w:szCs w:val="20"/>
                <w:vertAlign w:val="superscript"/>
              </w:rPr>
              <w:footnoteReference w:id="1546"/>
            </w:r>
          </w:p>
        </w:tc>
      </w:tr>
      <w:tr w:rsidR="00074551" w:rsidRPr="00E50B51" w14:paraId="0050E07F" w14:textId="77777777" w:rsidTr="00203768">
        <w:trPr>
          <w:cantSplit/>
          <w:trHeight w:val="3175"/>
        </w:trPr>
        <w:tc>
          <w:tcPr>
            <w:tcW w:w="293" w:type="pct"/>
            <w:shd w:val="clear" w:color="auto" w:fill="E7E6E6" w:themeFill="background2"/>
          </w:tcPr>
          <w:p w14:paraId="0116652A"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5333A278" w14:textId="77777777" w:rsidR="00074551" w:rsidRPr="00BE3728" w:rsidRDefault="00074551" w:rsidP="00367133">
            <w:pPr>
              <w:ind w:left="113" w:right="416"/>
              <w:jc w:val="both"/>
              <w:rPr>
                <w:sz w:val="20"/>
                <w:szCs w:val="20"/>
              </w:rPr>
            </w:pPr>
            <w:r w:rsidRPr="00BE3728">
              <w:rPr>
                <w:sz w:val="20"/>
                <w:szCs w:val="20"/>
              </w:rPr>
              <w:t>Rechtsstaatliche Seite</w:t>
            </w:r>
          </w:p>
        </w:tc>
        <w:tc>
          <w:tcPr>
            <w:tcW w:w="197" w:type="pct"/>
            <w:shd w:val="clear" w:color="auto" w:fill="E7E6E6" w:themeFill="background2"/>
            <w:textDirection w:val="tbRl"/>
            <w:vAlign w:val="center"/>
          </w:tcPr>
          <w:p w14:paraId="7EECC7DB" w14:textId="77777777" w:rsidR="00074551" w:rsidRPr="00BE3728" w:rsidRDefault="00074551" w:rsidP="00367133">
            <w:pPr>
              <w:ind w:left="113" w:right="113"/>
              <w:jc w:val="both"/>
              <w:rPr>
                <w:sz w:val="20"/>
                <w:szCs w:val="20"/>
              </w:rPr>
            </w:pPr>
            <w:r w:rsidRPr="00BE3728">
              <w:rPr>
                <w:sz w:val="20"/>
                <w:szCs w:val="20"/>
              </w:rPr>
              <w:t>Separation of Powers</w:t>
            </w:r>
          </w:p>
        </w:tc>
        <w:tc>
          <w:tcPr>
            <w:tcW w:w="306" w:type="pct"/>
            <w:shd w:val="clear" w:color="auto" w:fill="E7E6E6" w:themeFill="background2"/>
            <w:textDirection w:val="tbRl"/>
            <w:vAlign w:val="center"/>
          </w:tcPr>
          <w:p w14:paraId="5CBC284C" w14:textId="77777777" w:rsidR="00074551" w:rsidRPr="00BE3728" w:rsidRDefault="00074551" w:rsidP="00367133">
            <w:pPr>
              <w:ind w:left="113" w:right="113"/>
              <w:jc w:val="both"/>
              <w:rPr>
                <w:sz w:val="20"/>
                <w:szCs w:val="20"/>
              </w:rPr>
            </w:pPr>
            <w:r w:rsidRPr="00BE3728">
              <w:rPr>
                <w:sz w:val="20"/>
                <w:szCs w:val="20"/>
              </w:rPr>
              <w:t>Courts</w:t>
            </w:r>
          </w:p>
        </w:tc>
        <w:tc>
          <w:tcPr>
            <w:tcW w:w="401" w:type="pct"/>
            <w:shd w:val="clear" w:color="auto" w:fill="E7E6E6" w:themeFill="background2"/>
            <w:textDirection w:val="tbRl"/>
          </w:tcPr>
          <w:p w14:paraId="3962E2AC" w14:textId="77777777" w:rsidR="00074551" w:rsidRDefault="00074551" w:rsidP="00367133">
            <w:pPr>
              <w:ind w:left="113" w:right="113"/>
              <w:rPr>
                <w:sz w:val="20"/>
                <w:szCs w:val="20"/>
              </w:rPr>
            </w:pPr>
          </w:p>
          <w:p w14:paraId="219EAC04" w14:textId="77777777" w:rsidR="00074551" w:rsidRPr="00BE3728" w:rsidRDefault="00074551" w:rsidP="00367133">
            <w:pPr>
              <w:ind w:left="113" w:right="113"/>
              <w:rPr>
                <w:sz w:val="20"/>
                <w:szCs w:val="20"/>
                <w:lang w:val="en-US"/>
              </w:rPr>
            </w:pPr>
            <w:proofErr w:type="spellStart"/>
            <w:r w:rsidRPr="00BE3728">
              <w:rPr>
                <w:sz w:val="20"/>
                <w:szCs w:val="20"/>
              </w:rPr>
              <w:t>Judicial</w:t>
            </w:r>
            <w:proofErr w:type="spellEnd"/>
            <w:r w:rsidRPr="00BE3728">
              <w:rPr>
                <w:sz w:val="20"/>
                <w:szCs w:val="20"/>
              </w:rPr>
              <w:t xml:space="preserve"> </w:t>
            </w:r>
            <w:proofErr w:type="spellStart"/>
            <w:r w:rsidRPr="00BE3728">
              <w:rPr>
                <w:sz w:val="20"/>
                <w:szCs w:val="20"/>
              </w:rPr>
              <w:t>Precedent</w:t>
            </w:r>
            <w:proofErr w:type="spellEnd"/>
          </w:p>
        </w:tc>
        <w:tc>
          <w:tcPr>
            <w:tcW w:w="1594" w:type="pct"/>
            <w:shd w:val="clear" w:color="auto" w:fill="E7E6E6" w:themeFill="background2"/>
            <w:vAlign w:val="center"/>
          </w:tcPr>
          <w:p w14:paraId="5F39CC86" w14:textId="77777777" w:rsidR="00074551" w:rsidRPr="00BE3728" w:rsidRDefault="00074551" w:rsidP="00367133">
            <w:pPr>
              <w:jc w:val="both"/>
              <w:rPr>
                <w:sz w:val="20"/>
                <w:szCs w:val="20"/>
              </w:rPr>
            </w:pPr>
          </w:p>
        </w:tc>
        <w:tc>
          <w:tcPr>
            <w:tcW w:w="1822" w:type="pct"/>
            <w:shd w:val="clear" w:color="auto" w:fill="E7E6E6" w:themeFill="background2"/>
          </w:tcPr>
          <w:p w14:paraId="47681DED" w14:textId="6D966272" w:rsidR="00074551" w:rsidRPr="00BE3728" w:rsidRDefault="00203768" w:rsidP="00203768">
            <w:pPr>
              <w:rPr>
                <w:sz w:val="20"/>
                <w:szCs w:val="20"/>
                <w:lang w:val="en-US"/>
              </w:rPr>
            </w:pPr>
            <w:r w:rsidRPr="00A15DB3">
              <w:rPr>
                <w:i/>
                <w:iCs/>
                <w:sz w:val="16"/>
                <w:szCs w:val="16"/>
              </w:rPr>
              <w:t>Thematische Gliederung der nachfolgenden Entscheidungen ↓</w:t>
            </w:r>
          </w:p>
        </w:tc>
      </w:tr>
      <w:tr w:rsidR="00074551" w:rsidRPr="00E50B51" w14:paraId="7F63DDD2" w14:textId="77777777" w:rsidTr="00BE689F">
        <w:trPr>
          <w:cantSplit/>
          <w:trHeight w:val="3175"/>
        </w:trPr>
        <w:tc>
          <w:tcPr>
            <w:tcW w:w="293" w:type="pct"/>
          </w:tcPr>
          <w:p w14:paraId="39C121FB" w14:textId="77777777" w:rsidR="00074551" w:rsidRPr="00BE3728"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41417CB7" w14:textId="77777777" w:rsidR="00074551" w:rsidRPr="00B45592" w:rsidRDefault="00074551" w:rsidP="00367133">
            <w:pPr>
              <w:ind w:left="113" w:right="416"/>
              <w:jc w:val="both"/>
              <w:rPr>
                <w:i/>
                <w:sz w:val="20"/>
                <w:szCs w:val="20"/>
                <w:lang w:val="en-US"/>
              </w:rPr>
            </w:pPr>
            <w:r w:rsidRPr="00B45592">
              <w:rPr>
                <w:i/>
                <w:sz w:val="20"/>
                <w:szCs w:val="20"/>
                <w:lang w:val="en-US"/>
              </w:rPr>
              <w:t>Bank of United States v. Daniel</w:t>
            </w:r>
          </w:p>
        </w:tc>
        <w:tc>
          <w:tcPr>
            <w:tcW w:w="197" w:type="pct"/>
            <w:textDirection w:val="tbRl"/>
            <w:vAlign w:val="center"/>
          </w:tcPr>
          <w:p w14:paraId="085A5B3D" w14:textId="77777777" w:rsidR="00074551" w:rsidRPr="00BE3728" w:rsidRDefault="00074551" w:rsidP="00367133">
            <w:pPr>
              <w:ind w:left="113" w:right="113"/>
              <w:jc w:val="both"/>
              <w:rPr>
                <w:sz w:val="20"/>
                <w:szCs w:val="20"/>
              </w:rPr>
            </w:pPr>
            <w:r w:rsidRPr="00BE3728">
              <w:rPr>
                <w:sz w:val="20"/>
                <w:szCs w:val="20"/>
              </w:rPr>
              <w:t>37 U.S. 32</w:t>
            </w:r>
          </w:p>
        </w:tc>
        <w:tc>
          <w:tcPr>
            <w:tcW w:w="306" w:type="pct"/>
            <w:textDirection w:val="tbRl"/>
            <w:vAlign w:val="center"/>
          </w:tcPr>
          <w:p w14:paraId="0D6AF613" w14:textId="77777777" w:rsidR="00074551" w:rsidRPr="00BE3728" w:rsidRDefault="00074551" w:rsidP="00367133">
            <w:pPr>
              <w:ind w:left="113" w:right="113"/>
              <w:jc w:val="both"/>
              <w:rPr>
                <w:sz w:val="20"/>
                <w:szCs w:val="20"/>
              </w:rPr>
            </w:pPr>
            <w:r w:rsidRPr="00BE3728">
              <w:rPr>
                <w:sz w:val="20"/>
                <w:szCs w:val="20"/>
              </w:rPr>
              <w:t>27. Januar 1838</w:t>
            </w:r>
          </w:p>
        </w:tc>
        <w:tc>
          <w:tcPr>
            <w:tcW w:w="401" w:type="pct"/>
          </w:tcPr>
          <w:p w14:paraId="5B6EF23F" w14:textId="77777777" w:rsidR="00074551" w:rsidRPr="00BE3728" w:rsidRDefault="00074551" w:rsidP="00367133">
            <w:pPr>
              <w:jc w:val="center"/>
              <w:rPr>
                <w:sz w:val="20"/>
                <w:szCs w:val="20"/>
                <w:lang w:val="en-US"/>
              </w:rPr>
            </w:pPr>
            <w:r w:rsidRPr="00BE3728">
              <w:rPr>
                <w:sz w:val="20"/>
                <w:szCs w:val="20"/>
                <w:lang w:val="en-US"/>
              </w:rPr>
              <w:t>S</w:t>
            </w:r>
          </w:p>
        </w:tc>
        <w:tc>
          <w:tcPr>
            <w:tcW w:w="1594" w:type="pct"/>
          </w:tcPr>
          <w:p w14:paraId="4A502F55" w14:textId="77777777" w:rsidR="00074551" w:rsidRPr="00BE3728" w:rsidRDefault="00074551" w:rsidP="00367133">
            <w:pPr>
              <w:jc w:val="both"/>
              <w:rPr>
                <w:sz w:val="20"/>
                <w:szCs w:val="20"/>
              </w:rPr>
            </w:pPr>
            <w:r w:rsidRPr="00BE3728">
              <w:rPr>
                <w:sz w:val="20"/>
                <w:szCs w:val="20"/>
              </w:rPr>
              <w:t>Ein Aussteller stellte einen Wechsel aus</w:t>
            </w:r>
            <w:r>
              <w:rPr>
                <w:sz w:val="20"/>
                <w:szCs w:val="20"/>
              </w:rPr>
              <w:t>; d</w:t>
            </w:r>
            <w:r w:rsidRPr="00BE3728">
              <w:rPr>
                <w:sz w:val="20"/>
                <w:szCs w:val="20"/>
              </w:rPr>
              <w:t xml:space="preserve">er wurde aber zurückgegeben und nicht eingelöst. </w:t>
            </w:r>
            <w:r>
              <w:rPr>
                <w:sz w:val="20"/>
                <w:szCs w:val="20"/>
              </w:rPr>
              <w:t>Daraufhin forderte</w:t>
            </w:r>
            <w:r w:rsidRPr="00BE3728">
              <w:rPr>
                <w:sz w:val="20"/>
                <w:szCs w:val="20"/>
              </w:rPr>
              <w:t xml:space="preserve"> die Bank als Kläger</w:t>
            </w:r>
            <w:r>
              <w:rPr>
                <w:sz w:val="20"/>
                <w:szCs w:val="20"/>
              </w:rPr>
              <w:t>in</w:t>
            </w:r>
            <w:r w:rsidRPr="00BE3728">
              <w:rPr>
                <w:sz w:val="20"/>
                <w:szCs w:val="20"/>
              </w:rPr>
              <w:t xml:space="preserve"> gemäß dem </w:t>
            </w:r>
            <w:r w:rsidRPr="5B67C1D2">
              <w:rPr>
                <w:i/>
                <w:iCs/>
                <w:sz w:val="20"/>
                <w:szCs w:val="20"/>
              </w:rPr>
              <w:t>Statute of Kentucky of 1789</w:t>
            </w:r>
            <w:r w:rsidRPr="00BE3728">
              <w:rPr>
                <w:rStyle w:val="Funotenzeichen"/>
                <w:sz w:val="20"/>
                <w:szCs w:val="20"/>
              </w:rPr>
              <w:footnoteReference w:id="1547"/>
            </w:r>
            <w:r w:rsidRPr="00BE3728">
              <w:rPr>
                <w:sz w:val="20"/>
                <w:szCs w:val="20"/>
              </w:rPr>
              <w:t xml:space="preserve"> Schadensersatz in Höhe von 10</w:t>
            </w:r>
            <w:r>
              <w:rPr>
                <w:sz w:val="20"/>
                <w:szCs w:val="20"/>
              </w:rPr>
              <w:t> </w:t>
            </w:r>
            <w:r w:rsidRPr="00BE3728">
              <w:rPr>
                <w:sz w:val="20"/>
                <w:szCs w:val="20"/>
              </w:rPr>
              <w:t xml:space="preserve">% der Wechselsumme. Das Berufungsgericht und der </w:t>
            </w:r>
            <w:r>
              <w:rPr>
                <w:sz w:val="20"/>
                <w:szCs w:val="20"/>
              </w:rPr>
              <w:t>U.S. Supreme Court</w:t>
            </w:r>
            <w:r w:rsidRPr="00BE3728">
              <w:rPr>
                <w:sz w:val="20"/>
                <w:szCs w:val="20"/>
              </w:rPr>
              <w:t xml:space="preserve"> urteilten zwar, dass dieses Gesetz nicht anwendbar sei, wenn Aussteller und Akzeptant aus Kentucky stamm</w:t>
            </w:r>
            <w:r>
              <w:rPr>
                <w:sz w:val="20"/>
                <w:szCs w:val="20"/>
              </w:rPr>
              <w:t>t</w:t>
            </w:r>
            <w:r w:rsidRPr="00BE3728">
              <w:rPr>
                <w:sz w:val="20"/>
                <w:szCs w:val="20"/>
              </w:rPr>
              <w:t>en. Aber beide erkannten der Bank dennoch Schadensersatz nach Handelsbrauch zu. Denn der Wechsel galt als ausländisch – eine Voraussetzung für den Schadensersatz, um den zwischenstaatlichen Handel zu schützen: Hier wurde der Wechsel in Kentucky ausgestellt und war in New Orleans zahlbar. Und ein Rechtsirrtum seitens der Beklagten lag nicht vor</w:t>
            </w:r>
            <w:r>
              <w:rPr>
                <w:sz w:val="20"/>
                <w:szCs w:val="20"/>
              </w:rPr>
              <w:t>, d</w:t>
            </w:r>
            <w:r w:rsidRPr="00BE3728">
              <w:rPr>
                <w:sz w:val="20"/>
                <w:szCs w:val="20"/>
              </w:rPr>
              <w:t>enn sie waren als Anwälte mit dem Handelsbrauch vertraut. Zudem war die Verjährungsfrist abgelaufen, um einen Rechtsirrtum stark zu machen.</w:t>
            </w:r>
            <w:r w:rsidRPr="00BE3728">
              <w:rPr>
                <w:rStyle w:val="Funotenzeichen"/>
                <w:sz w:val="20"/>
                <w:szCs w:val="20"/>
              </w:rPr>
              <w:footnoteReference w:id="1548"/>
            </w:r>
          </w:p>
          <w:p w14:paraId="01349E8F" w14:textId="77777777" w:rsidR="00074551" w:rsidRPr="00BE3728" w:rsidRDefault="00074551" w:rsidP="00367133">
            <w:pPr>
              <w:jc w:val="both"/>
              <w:rPr>
                <w:sz w:val="20"/>
                <w:szCs w:val="20"/>
              </w:rPr>
            </w:pPr>
            <w:r w:rsidRPr="00BE3728">
              <w:rPr>
                <w:sz w:val="20"/>
                <w:szCs w:val="20"/>
              </w:rPr>
              <w:br/>
            </w:r>
          </w:p>
          <w:p w14:paraId="5AB37CC9" w14:textId="77777777" w:rsidR="00074551" w:rsidRPr="00BE3728" w:rsidRDefault="00074551" w:rsidP="00367133">
            <w:pPr>
              <w:jc w:val="both"/>
              <w:rPr>
                <w:sz w:val="20"/>
                <w:szCs w:val="20"/>
              </w:rPr>
            </w:pPr>
          </w:p>
        </w:tc>
        <w:tc>
          <w:tcPr>
            <w:tcW w:w="1822" w:type="pct"/>
          </w:tcPr>
          <w:p w14:paraId="32C704A3" w14:textId="77777777" w:rsidR="00074551" w:rsidRPr="00B45592" w:rsidRDefault="00074551" w:rsidP="00367133">
            <w:pPr>
              <w:jc w:val="both"/>
              <w:rPr>
                <w:i/>
                <w:sz w:val="20"/>
                <w:szCs w:val="20"/>
                <w:lang w:val="en-IE"/>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w:t>
            </w:r>
            <w:r>
              <w:rPr>
                <w:i/>
                <w:sz w:val="20"/>
                <w:szCs w:val="20"/>
                <w:lang w:val="en-IE"/>
              </w:rPr>
              <w:t xml:space="preserve"> </w:t>
            </w:r>
            <w:r w:rsidRPr="00B45592">
              <w:rPr>
                <w:i/>
                <w:sz w:val="20"/>
                <w:szCs w:val="20"/>
                <w:lang w:val="en-IE"/>
              </w:rPr>
              <w:t>Governments › Courts › Judicial Precedent</w:t>
            </w:r>
          </w:p>
          <w:p w14:paraId="1809A973" w14:textId="77777777" w:rsidR="00074551" w:rsidRPr="00B45592" w:rsidRDefault="00074551" w:rsidP="00367133">
            <w:pPr>
              <w:jc w:val="both"/>
              <w:rPr>
                <w:sz w:val="20"/>
                <w:szCs w:val="20"/>
                <w:lang w:val="en-IE"/>
              </w:rPr>
            </w:pPr>
          </w:p>
          <w:p w14:paraId="60C335F3" w14:textId="625E50DA" w:rsidR="00CA46F7" w:rsidRDefault="00CA46F7" w:rsidP="00367133">
            <w:pPr>
              <w:jc w:val="both"/>
              <w:rPr>
                <w:sz w:val="20"/>
                <w:szCs w:val="20"/>
              </w:rPr>
            </w:pPr>
            <w:r w:rsidRPr="00CA46F7">
              <w:rPr>
                <w:sz w:val="20"/>
                <w:szCs w:val="20"/>
              </w:rPr>
              <w:t>Nach ständiger Rechtsprechung prüft der U.S. Supreme Court, ob sich zu einzelstaatlichen Gesetzen eine gefestigte Auslegung durch die Gerichte des jeweiligen Bundesstaats herausgebildet hat, und folgt einer solchen gefestigten Auslegung.</w:t>
            </w:r>
            <w:r w:rsidRPr="00BE3728">
              <w:rPr>
                <w:rStyle w:val="Funotenzeichen"/>
                <w:sz w:val="20"/>
                <w:szCs w:val="20"/>
              </w:rPr>
              <w:t xml:space="preserve"> </w:t>
            </w:r>
            <w:r w:rsidRPr="00BE3728">
              <w:rPr>
                <w:rStyle w:val="Funotenzeichen"/>
                <w:sz w:val="20"/>
                <w:szCs w:val="20"/>
              </w:rPr>
              <w:footnoteReference w:id="1549"/>
            </w:r>
          </w:p>
          <w:p w14:paraId="7F608C8E" w14:textId="77777777" w:rsidR="00074551" w:rsidRDefault="00074551" w:rsidP="00367133">
            <w:pPr>
              <w:jc w:val="both"/>
              <w:rPr>
                <w:sz w:val="20"/>
                <w:szCs w:val="20"/>
              </w:rPr>
            </w:pPr>
          </w:p>
          <w:p w14:paraId="35FD3339" w14:textId="4656DBE2" w:rsidR="00074551" w:rsidRDefault="00074551" w:rsidP="00367133">
            <w:pPr>
              <w:jc w:val="both"/>
              <w:rPr>
                <w:sz w:val="20"/>
                <w:szCs w:val="20"/>
              </w:rPr>
            </w:pPr>
            <w:r w:rsidRPr="00BE3728">
              <w:rPr>
                <w:sz w:val="20"/>
                <w:szCs w:val="20"/>
              </w:rPr>
              <w:t xml:space="preserve">Glück als Ordnungsprinzip bespricht der </w:t>
            </w:r>
            <w:r>
              <w:rPr>
                <w:sz w:val="20"/>
                <w:szCs w:val="20"/>
              </w:rPr>
              <w:t>U.S. Supreme Court</w:t>
            </w:r>
            <w:r w:rsidRPr="00BE3728">
              <w:rPr>
                <w:sz w:val="20"/>
                <w:szCs w:val="20"/>
              </w:rPr>
              <w:t xml:space="preserve"> im Rahmen des Syllabus. Er fragt, ob spätere Gerichtsentscheidungen in höherer Instanz in anderen Fällen, aber zur gleichen Rechtsfrage zurückwirken können. Hierzu zitiert der </w:t>
            </w:r>
            <w:r>
              <w:rPr>
                <w:sz w:val="20"/>
                <w:szCs w:val="20"/>
              </w:rPr>
              <w:t>U.S. Supreme Court</w:t>
            </w:r>
            <w:r w:rsidRPr="00BE3728">
              <w:rPr>
                <w:sz w:val="20"/>
                <w:szCs w:val="20"/>
              </w:rPr>
              <w:t xml:space="preserve"> eine ständige Rechtsprechung: Eine spätere Entscheidung eines höheren Gerichts, aber in einem anderen Fall, die indes eine identische Rechtsfrage anders behandelt, kann nicht zurückwirken. Denn wenn man dies zuließe, also dass eine spätere gerichtliche Entscheidung in einem anderen Fall</w:t>
            </w:r>
            <w:r>
              <w:rPr>
                <w:sz w:val="20"/>
                <w:szCs w:val="20"/>
              </w:rPr>
              <w:t xml:space="preserve"> </w:t>
            </w:r>
            <w:r w:rsidRPr="00BE3728">
              <w:rPr>
                <w:sz w:val="20"/>
                <w:szCs w:val="20"/>
              </w:rPr>
              <w:t xml:space="preserve">eine vorher entschiedene Rechtsfrage annulliere, dann konterkariere dies zwei Grundprinzipien: Sowohl den gesellschaftlichen Frieden als auch das Glück der Menschheit („to </w:t>
            </w:r>
            <w:proofErr w:type="spellStart"/>
            <w:r w:rsidRPr="00BE3728">
              <w:rPr>
                <w:sz w:val="20"/>
                <w:szCs w:val="20"/>
              </w:rPr>
              <w:t>permit</w:t>
            </w:r>
            <w:proofErr w:type="spellEnd"/>
            <w:r w:rsidRPr="00BE3728">
              <w:rPr>
                <w:sz w:val="20"/>
                <w:szCs w:val="20"/>
              </w:rPr>
              <w:t xml:space="preserve"> a subsequent </w:t>
            </w:r>
            <w:proofErr w:type="spellStart"/>
            <w:r w:rsidRPr="00BE3728">
              <w:rPr>
                <w:sz w:val="20"/>
                <w:szCs w:val="20"/>
              </w:rPr>
              <w:t>judicial</w:t>
            </w:r>
            <w:proofErr w:type="spellEnd"/>
            <w:r w:rsidRPr="00BE3728">
              <w:rPr>
                <w:sz w:val="20"/>
                <w:szCs w:val="20"/>
              </w:rPr>
              <w:t xml:space="preserve"> </w:t>
            </w:r>
            <w:proofErr w:type="spellStart"/>
            <w:r w:rsidRPr="00BE3728">
              <w:rPr>
                <w:sz w:val="20"/>
                <w:szCs w:val="20"/>
              </w:rPr>
              <w:t>decision</w:t>
            </w:r>
            <w:proofErr w:type="spellEnd"/>
            <w:r w:rsidRPr="00BE3728">
              <w:rPr>
                <w:sz w:val="20"/>
                <w:szCs w:val="20"/>
              </w:rPr>
              <w:t xml:space="preserve"> in </w:t>
            </w:r>
            <w:proofErr w:type="spellStart"/>
            <w:r w:rsidRPr="00BE3728">
              <w:rPr>
                <w:sz w:val="20"/>
                <w:szCs w:val="20"/>
              </w:rPr>
              <w:t>any</w:t>
            </w:r>
            <w:proofErr w:type="spellEnd"/>
            <w:r w:rsidRPr="00BE3728">
              <w:rPr>
                <w:sz w:val="20"/>
                <w:szCs w:val="20"/>
              </w:rPr>
              <w:t xml:space="preserve"> </w:t>
            </w:r>
            <w:proofErr w:type="spellStart"/>
            <w:r w:rsidRPr="00BE3728">
              <w:rPr>
                <w:sz w:val="20"/>
                <w:szCs w:val="20"/>
              </w:rPr>
              <w:t>one</w:t>
            </w:r>
            <w:proofErr w:type="spellEnd"/>
            <w:r w:rsidRPr="00BE3728">
              <w:rPr>
                <w:sz w:val="20"/>
                <w:szCs w:val="20"/>
              </w:rPr>
              <w:t xml:space="preserve"> </w:t>
            </w:r>
            <w:proofErr w:type="spellStart"/>
            <w:r w:rsidRPr="00BE3728">
              <w:rPr>
                <w:sz w:val="20"/>
                <w:szCs w:val="20"/>
              </w:rPr>
              <w:t>case</w:t>
            </w:r>
            <w:proofErr w:type="spellEnd"/>
            <w:r w:rsidRPr="00BE3728">
              <w:rPr>
                <w:sz w:val="20"/>
                <w:szCs w:val="20"/>
              </w:rPr>
              <w:t xml:space="preserve"> […] to […] </w:t>
            </w:r>
            <w:proofErr w:type="spellStart"/>
            <w:r w:rsidRPr="00BE3728">
              <w:rPr>
                <w:sz w:val="20"/>
                <w:szCs w:val="20"/>
              </w:rPr>
              <w:t>annul</w:t>
            </w:r>
            <w:proofErr w:type="spellEnd"/>
            <w:r w:rsidRPr="00BE3728">
              <w:rPr>
                <w:sz w:val="20"/>
                <w:szCs w:val="20"/>
              </w:rPr>
              <w:t xml:space="preserve"> </w:t>
            </w:r>
            <w:proofErr w:type="spellStart"/>
            <w:r w:rsidRPr="00BE3728">
              <w:rPr>
                <w:sz w:val="20"/>
                <w:szCs w:val="20"/>
              </w:rPr>
              <w:t>every</w:t>
            </w:r>
            <w:proofErr w:type="spellEnd"/>
            <w:r w:rsidRPr="00BE3728">
              <w:rPr>
                <w:sz w:val="20"/>
                <w:szCs w:val="20"/>
              </w:rPr>
              <w:t xml:space="preserve"> </w:t>
            </w:r>
            <w:proofErr w:type="spellStart"/>
            <w:r w:rsidRPr="00BE3728">
              <w:rPr>
                <w:sz w:val="20"/>
                <w:szCs w:val="20"/>
              </w:rPr>
              <w:t>thing</w:t>
            </w:r>
            <w:proofErr w:type="spellEnd"/>
            <w:r w:rsidRPr="00BE3728">
              <w:rPr>
                <w:sz w:val="20"/>
                <w:szCs w:val="20"/>
              </w:rPr>
              <w:t xml:space="preserve"> </w:t>
            </w:r>
            <w:proofErr w:type="spellStart"/>
            <w:r w:rsidRPr="00BE3728">
              <w:rPr>
                <w:sz w:val="20"/>
                <w:szCs w:val="20"/>
              </w:rPr>
              <w:t>that</w:t>
            </w:r>
            <w:proofErr w:type="spellEnd"/>
            <w:r w:rsidRPr="00BE3728">
              <w:rPr>
                <w:sz w:val="20"/>
                <w:szCs w:val="20"/>
              </w:rPr>
              <w:t xml:space="preserve"> </w:t>
            </w:r>
            <w:proofErr w:type="spellStart"/>
            <w:r w:rsidRPr="00BE3728">
              <w:rPr>
                <w:sz w:val="20"/>
                <w:szCs w:val="20"/>
              </w:rPr>
              <w:t>has</w:t>
            </w:r>
            <w:proofErr w:type="spellEnd"/>
            <w:r w:rsidRPr="00BE3728">
              <w:rPr>
                <w:sz w:val="20"/>
                <w:szCs w:val="20"/>
              </w:rPr>
              <w:t xml:space="preserve"> </w:t>
            </w:r>
            <w:proofErr w:type="spellStart"/>
            <w:r w:rsidRPr="00BE3728">
              <w:rPr>
                <w:sz w:val="20"/>
                <w:szCs w:val="20"/>
              </w:rPr>
              <w:t>been</w:t>
            </w:r>
            <w:proofErr w:type="spellEnd"/>
            <w:r w:rsidRPr="00BE3728">
              <w:rPr>
                <w:sz w:val="20"/>
                <w:szCs w:val="20"/>
              </w:rPr>
              <w:t xml:space="preserve"> </w:t>
            </w:r>
            <w:proofErr w:type="spellStart"/>
            <w:r w:rsidRPr="00BE3728">
              <w:rPr>
                <w:sz w:val="20"/>
                <w:szCs w:val="20"/>
              </w:rPr>
              <w:t>done</w:t>
            </w:r>
            <w:proofErr w:type="spellEnd"/>
            <w:r w:rsidRPr="00BE3728">
              <w:rPr>
                <w:sz w:val="20"/>
                <w:szCs w:val="20"/>
              </w:rPr>
              <w:t xml:space="preserve"> in </w:t>
            </w:r>
            <w:proofErr w:type="spellStart"/>
            <w:r w:rsidRPr="00BE3728">
              <w:rPr>
                <w:sz w:val="20"/>
                <w:szCs w:val="20"/>
              </w:rPr>
              <w:t>other</w:t>
            </w:r>
            <w:proofErr w:type="spellEnd"/>
            <w:r w:rsidRPr="00BE3728">
              <w:rPr>
                <w:sz w:val="20"/>
                <w:szCs w:val="20"/>
              </w:rPr>
              <w:t xml:space="preserve"> </w:t>
            </w:r>
            <w:proofErr w:type="spellStart"/>
            <w:r w:rsidRPr="00BE3728">
              <w:rPr>
                <w:sz w:val="20"/>
                <w:szCs w:val="20"/>
              </w:rPr>
              <w:t>cases</w:t>
            </w:r>
            <w:proofErr w:type="spellEnd"/>
            <w:r w:rsidRPr="00BE3728">
              <w:rPr>
                <w:sz w:val="20"/>
                <w:szCs w:val="20"/>
              </w:rPr>
              <w:t xml:space="preserve"> […] </w:t>
            </w:r>
            <w:proofErr w:type="spellStart"/>
            <w:r w:rsidRPr="00BE3728">
              <w:rPr>
                <w:sz w:val="20"/>
                <w:szCs w:val="20"/>
              </w:rPr>
              <w:t>would</w:t>
            </w:r>
            <w:proofErr w:type="spellEnd"/>
            <w:r w:rsidRPr="00BE3728">
              <w:rPr>
                <w:sz w:val="20"/>
                <w:szCs w:val="20"/>
              </w:rPr>
              <w:t xml:space="preserve"> </w:t>
            </w:r>
            <w:proofErr w:type="spellStart"/>
            <w:r w:rsidRPr="00BE3728">
              <w:rPr>
                <w:sz w:val="20"/>
                <w:szCs w:val="20"/>
              </w:rPr>
              <w:t>lead</w:t>
            </w:r>
            <w:proofErr w:type="spellEnd"/>
            <w:r w:rsidRPr="00BE3728">
              <w:rPr>
                <w:sz w:val="20"/>
                <w:szCs w:val="20"/>
              </w:rPr>
              <w:t xml:space="preserve"> to the </w:t>
            </w:r>
            <w:proofErr w:type="spellStart"/>
            <w:r w:rsidRPr="00BE3728">
              <w:rPr>
                <w:sz w:val="20"/>
                <w:szCs w:val="20"/>
              </w:rPr>
              <w:t>most</w:t>
            </w:r>
            <w:proofErr w:type="spellEnd"/>
            <w:r w:rsidRPr="00BE3728">
              <w:rPr>
                <w:sz w:val="20"/>
                <w:szCs w:val="20"/>
              </w:rPr>
              <w:t xml:space="preserve"> </w:t>
            </w:r>
            <w:proofErr w:type="spellStart"/>
            <w:r w:rsidRPr="00BE3728">
              <w:rPr>
                <w:sz w:val="20"/>
                <w:szCs w:val="20"/>
              </w:rPr>
              <w:t>mischievious</w:t>
            </w:r>
            <w:proofErr w:type="spellEnd"/>
            <w:r w:rsidRPr="00BE3728">
              <w:rPr>
                <w:sz w:val="20"/>
                <w:szCs w:val="20"/>
              </w:rPr>
              <w:t xml:space="preserve"> </w:t>
            </w:r>
            <w:proofErr w:type="spellStart"/>
            <w:r w:rsidRPr="00BE3728">
              <w:rPr>
                <w:sz w:val="20"/>
                <w:szCs w:val="20"/>
              </w:rPr>
              <w:t>consequences</w:t>
            </w:r>
            <w:proofErr w:type="spellEnd"/>
            <w:r w:rsidRPr="00BE3728">
              <w:rPr>
                <w:sz w:val="20"/>
                <w:szCs w:val="20"/>
              </w:rPr>
              <w:t xml:space="preserve">. </w:t>
            </w:r>
            <w:r w:rsidRPr="00BE3728">
              <w:rPr>
                <w:sz w:val="20"/>
                <w:szCs w:val="20"/>
                <w:lang w:val="en-US"/>
              </w:rPr>
              <w:t xml:space="preserve">Fortunately for the […] happiness of mankind, no such pernicious precedent is to be </w:t>
            </w:r>
            <w:proofErr w:type="gramStart"/>
            <w:r w:rsidRPr="00BE3728">
              <w:rPr>
                <w:sz w:val="20"/>
                <w:szCs w:val="20"/>
                <w:lang w:val="en-US"/>
              </w:rPr>
              <w:t>found.“</w:t>
            </w:r>
            <w:proofErr w:type="gramEnd"/>
            <w:r w:rsidRPr="00BE3728">
              <w:rPr>
                <w:rStyle w:val="Funotenzeichen"/>
                <w:sz w:val="20"/>
                <w:szCs w:val="20"/>
                <w:lang w:val="en-US"/>
              </w:rPr>
              <w:footnoteReference w:id="1550"/>
            </w:r>
            <w:r w:rsidRPr="00BE3728">
              <w:rPr>
                <w:sz w:val="20"/>
                <w:szCs w:val="20"/>
              </w:rPr>
              <w:t>). Als Folge kommt es auf das Recht zum Zeitpunkt der früheren Entscheidung an, auch wenn ein Rechtsirrtum vorlag.</w:t>
            </w:r>
            <w:r w:rsidRPr="00BE3728">
              <w:rPr>
                <w:rStyle w:val="Funotenzeichen"/>
                <w:sz w:val="20"/>
                <w:szCs w:val="20"/>
                <w:lang w:val="en-US"/>
              </w:rPr>
              <w:footnoteReference w:id="1551"/>
            </w:r>
          </w:p>
          <w:p w14:paraId="4DA2F37D" w14:textId="77777777" w:rsidR="00074551" w:rsidRPr="00996DA4" w:rsidRDefault="00074551" w:rsidP="00367133">
            <w:pPr>
              <w:jc w:val="both"/>
              <w:rPr>
                <w:sz w:val="20"/>
                <w:szCs w:val="20"/>
              </w:rPr>
            </w:pPr>
          </w:p>
        </w:tc>
      </w:tr>
      <w:tr w:rsidR="00074551" w:rsidRPr="00E50B51" w14:paraId="4F7E52E8" w14:textId="77777777" w:rsidTr="00203768">
        <w:trPr>
          <w:cantSplit/>
          <w:trHeight w:val="3175"/>
        </w:trPr>
        <w:tc>
          <w:tcPr>
            <w:tcW w:w="293" w:type="pct"/>
            <w:shd w:val="clear" w:color="auto" w:fill="E7E6E6" w:themeFill="background2"/>
          </w:tcPr>
          <w:p w14:paraId="3541B235"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345E6AE7" w14:textId="77777777" w:rsidR="00074551" w:rsidRPr="00BE3728" w:rsidRDefault="00074551" w:rsidP="00367133">
            <w:pPr>
              <w:ind w:left="113" w:right="416"/>
              <w:jc w:val="both"/>
              <w:rPr>
                <w:sz w:val="20"/>
                <w:szCs w:val="20"/>
              </w:rPr>
            </w:pPr>
            <w:r w:rsidRPr="00BE3728">
              <w:rPr>
                <w:sz w:val="20"/>
                <w:szCs w:val="20"/>
              </w:rPr>
              <w:t>Rechtsstaatliche Seite</w:t>
            </w:r>
          </w:p>
        </w:tc>
        <w:tc>
          <w:tcPr>
            <w:tcW w:w="197" w:type="pct"/>
            <w:shd w:val="clear" w:color="auto" w:fill="E7E6E6" w:themeFill="background2"/>
            <w:textDirection w:val="tbRl"/>
            <w:vAlign w:val="center"/>
          </w:tcPr>
          <w:p w14:paraId="2537FCFB" w14:textId="77777777" w:rsidR="00074551" w:rsidRPr="00BE3728" w:rsidRDefault="00074551" w:rsidP="00367133">
            <w:pPr>
              <w:ind w:left="113" w:right="113"/>
              <w:jc w:val="both"/>
              <w:rPr>
                <w:sz w:val="20"/>
                <w:szCs w:val="20"/>
              </w:rPr>
            </w:pPr>
            <w:r w:rsidRPr="00BE3728">
              <w:rPr>
                <w:sz w:val="20"/>
                <w:szCs w:val="20"/>
              </w:rPr>
              <w:t>Separation of Powers</w:t>
            </w:r>
          </w:p>
        </w:tc>
        <w:tc>
          <w:tcPr>
            <w:tcW w:w="306" w:type="pct"/>
            <w:shd w:val="clear" w:color="auto" w:fill="E7E6E6" w:themeFill="background2"/>
            <w:textDirection w:val="tbRl"/>
            <w:vAlign w:val="center"/>
          </w:tcPr>
          <w:p w14:paraId="6FF0F396" w14:textId="77777777" w:rsidR="00074551" w:rsidRPr="00BE3728" w:rsidRDefault="00074551" w:rsidP="00367133">
            <w:pPr>
              <w:ind w:left="113" w:right="113"/>
              <w:jc w:val="both"/>
              <w:rPr>
                <w:sz w:val="20"/>
                <w:szCs w:val="20"/>
              </w:rPr>
            </w:pPr>
            <w:r w:rsidRPr="00BE3728">
              <w:rPr>
                <w:sz w:val="20"/>
                <w:szCs w:val="20"/>
              </w:rPr>
              <w:t>Courts</w:t>
            </w:r>
          </w:p>
        </w:tc>
        <w:tc>
          <w:tcPr>
            <w:tcW w:w="401" w:type="pct"/>
            <w:shd w:val="clear" w:color="auto" w:fill="E7E6E6" w:themeFill="background2"/>
            <w:textDirection w:val="tbRl"/>
          </w:tcPr>
          <w:p w14:paraId="09BDA97F" w14:textId="77777777" w:rsidR="00074551" w:rsidRDefault="00074551" w:rsidP="00367133">
            <w:pPr>
              <w:ind w:left="113" w:right="113"/>
              <w:rPr>
                <w:sz w:val="20"/>
                <w:szCs w:val="20"/>
                <w:lang w:val="en-US"/>
              </w:rPr>
            </w:pPr>
          </w:p>
          <w:p w14:paraId="4C1C251C" w14:textId="77777777" w:rsidR="00074551" w:rsidRPr="00BE3728" w:rsidRDefault="00074551" w:rsidP="00367133">
            <w:pPr>
              <w:ind w:left="113" w:right="113"/>
              <w:rPr>
                <w:sz w:val="20"/>
                <w:szCs w:val="20"/>
                <w:lang w:val="en-US"/>
              </w:rPr>
            </w:pPr>
            <w:r w:rsidRPr="00BE3728">
              <w:rPr>
                <w:sz w:val="20"/>
                <w:szCs w:val="20"/>
                <w:lang w:val="en-US"/>
              </w:rPr>
              <w:t>Authority to Adjudicate</w:t>
            </w:r>
          </w:p>
        </w:tc>
        <w:tc>
          <w:tcPr>
            <w:tcW w:w="1594" w:type="pct"/>
            <w:shd w:val="clear" w:color="auto" w:fill="E7E6E6" w:themeFill="background2"/>
            <w:vAlign w:val="center"/>
          </w:tcPr>
          <w:p w14:paraId="6EC870F2" w14:textId="77777777" w:rsidR="00074551" w:rsidRPr="00BE3728" w:rsidRDefault="00074551" w:rsidP="00367133">
            <w:pPr>
              <w:jc w:val="both"/>
              <w:rPr>
                <w:sz w:val="20"/>
                <w:szCs w:val="20"/>
              </w:rPr>
            </w:pPr>
          </w:p>
        </w:tc>
        <w:tc>
          <w:tcPr>
            <w:tcW w:w="1822" w:type="pct"/>
            <w:shd w:val="clear" w:color="auto" w:fill="E7E6E6" w:themeFill="background2"/>
          </w:tcPr>
          <w:p w14:paraId="1AA1E296" w14:textId="3D4B9CE3" w:rsidR="00074551" w:rsidRPr="00BE3728" w:rsidRDefault="00203768" w:rsidP="00203768">
            <w:pPr>
              <w:rPr>
                <w:sz w:val="20"/>
                <w:szCs w:val="20"/>
                <w:lang w:val="en-US"/>
              </w:rPr>
            </w:pPr>
            <w:r w:rsidRPr="00A15DB3">
              <w:rPr>
                <w:i/>
                <w:iCs/>
                <w:sz w:val="16"/>
                <w:szCs w:val="16"/>
              </w:rPr>
              <w:t>Thematische Gliederung der nachfolgenden Entscheidungen ↓</w:t>
            </w:r>
          </w:p>
        </w:tc>
      </w:tr>
      <w:tr w:rsidR="00074551" w:rsidRPr="00E50B51" w14:paraId="5F094931" w14:textId="77777777" w:rsidTr="00BE689F">
        <w:trPr>
          <w:cantSplit/>
          <w:trHeight w:val="3175"/>
        </w:trPr>
        <w:tc>
          <w:tcPr>
            <w:tcW w:w="293" w:type="pct"/>
          </w:tcPr>
          <w:p w14:paraId="3C3F73E2"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694D8AA1" w14:textId="77777777" w:rsidR="00074551" w:rsidRPr="00BE3728" w:rsidRDefault="00074551" w:rsidP="00367133">
            <w:pPr>
              <w:ind w:left="113" w:right="416"/>
              <w:jc w:val="both"/>
              <w:rPr>
                <w:sz w:val="20"/>
                <w:szCs w:val="20"/>
              </w:rPr>
            </w:pPr>
            <w:r w:rsidRPr="00B35CD0">
              <w:rPr>
                <w:i/>
                <w:sz w:val="20"/>
                <w:szCs w:val="20"/>
              </w:rPr>
              <w:t>Anderson v. Dunn</w:t>
            </w:r>
          </w:p>
        </w:tc>
        <w:tc>
          <w:tcPr>
            <w:tcW w:w="197" w:type="pct"/>
            <w:textDirection w:val="tbRl"/>
            <w:vAlign w:val="center"/>
          </w:tcPr>
          <w:p w14:paraId="5ECC210C" w14:textId="77777777" w:rsidR="00074551" w:rsidRPr="00BE3728" w:rsidRDefault="00074551" w:rsidP="00367133">
            <w:pPr>
              <w:ind w:left="113" w:right="113"/>
              <w:jc w:val="both"/>
              <w:rPr>
                <w:sz w:val="20"/>
                <w:szCs w:val="20"/>
              </w:rPr>
            </w:pPr>
            <w:r w:rsidRPr="00BE3728">
              <w:rPr>
                <w:sz w:val="20"/>
                <w:szCs w:val="20"/>
              </w:rPr>
              <w:t>19 U.S. 204</w:t>
            </w:r>
          </w:p>
        </w:tc>
        <w:tc>
          <w:tcPr>
            <w:tcW w:w="306" w:type="pct"/>
            <w:textDirection w:val="tbRl"/>
            <w:vAlign w:val="center"/>
          </w:tcPr>
          <w:p w14:paraId="581CAC0A" w14:textId="77777777" w:rsidR="00074551" w:rsidRPr="00BE3728" w:rsidRDefault="00074551" w:rsidP="00367133">
            <w:pPr>
              <w:ind w:left="113" w:right="113"/>
              <w:jc w:val="both"/>
              <w:rPr>
                <w:sz w:val="20"/>
                <w:szCs w:val="20"/>
              </w:rPr>
            </w:pPr>
            <w:r w:rsidRPr="00BE3728">
              <w:rPr>
                <w:sz w:val="20"/>
                <w:szCs w:val="20"/>
              </w:rPr>
              <w:t>02. März 1821</w:t>
            </w:r>
          </w:p>
        </w:tc>
        <w:tc>
          <w:tcPr>
            <w:tcW w:w="401" w:type="pct"/>
          </w:tcPr>
          <w:p w14:paraId="5F00DDF0" w14:textId="77777777" w:rsidR="00074551" w:rsidRPr="00BE3728" w:rsidRDefault="00074551" w:rsidP="00367133">
            <w:pPr>
              <w:jc w:val="center"/>
              <w:rPr>
                <w:sz w:val="20"/>
                <w:szCs w:val="20"/>
                <w:lang w:val="en-US"/>
              </w:rPr>
            </w:pPr>
            <w:r w:rsidRPr="00BE3728">
              <w:rPr>
                <w:sz w:val="20"/>
                <w:szCs w:val="20"/>
                <w:lang w:val="en-US"/>
              </w:rPr>
              <w:t>M</w:t>
            </w:r>
          </w:p>
        </w:tc>
        <w:tc>
          <w:tcPr>
            <w:tcW w:w="1594" w:type="pct"/>
          </w:tcPr>
          <w:p w14:paraId="3F4F2604" w14:textId="28AACD98" w:rsidR="00074551" w:rsidRPr="00BE3728" w:rsidRDefault="00074551" w:rsidP="00367133">
            <w:pPr>
              <w:jc w:val="both"/>
              <w:rPr>
                <w:sz w:val="20"/>
                <w:szCs w:val="20"/>
              </w:rPr>
            </w:pPr>
            <w:r>
              <w:rPr>
                <w:sz w:val="20"/>
                <w:szCs w:val="20"/>
                <w:lang w:val="en-IE"/>
              </w:rPr>
              <w:t>Der</w:t>
            </w:r>
            <w:r w:rsidRPr="00B45592">
              <w:rPr>
                <w:sz w:val="20"/>
                <w:szCs w:val="20"/>
                <w:lang w:val="en-IE"/>
              </w:rPr>
              <w:t xml:space="preserve"> U.S. Supreme Court </w:t>
            </w:r>
            <w:proofErr w:type="spellStart"/>
            <w:r w:rsidRPr="00B45592">
              <w:rPr>
                <w:sz w:val="20"/>
                <w:szCs w:val="20"/>
                <w:lang w:val="en-IE"/>
              </w:rPr>
              <w:t>bestätigte</w:t>
            </w:r>
            <w:proofErr w:type="spellEnd"/>
            <w:r w:rsidRPr="00B45592">
              <w:rPr>
                <w:sz w:val="20"/>
                <w:szCs w:val="20"/>
                <w:lang w:val="en-IE"/>
              </w:rPr>
              <w:t xml:space="preserve"> </w:t>
            </w:r>
            <w:proofErr w:type="spellStart"/>
            <w:r w:rsidRPr="00B45592">
              <w:rPr>
                <w:sz w:val="20"/>
                <w:szCs w:val="20"/>
                <w:lang w:val="en-IE"/>
              </w:rPr>
              <w:t>ein</w:t>
            </w:r>
            <w:proofErr w:type="spellEnd"/>
            <w:r w:rsidRPr="00B45592">
              <w:rPr>
                <w:sz w:val="20"/>
                <w:szCs w:val="20"/>
                <w:lang w:val="en-IE"/>
              </w:rPr>
              <w:t xml:space="preserve"> </w:t>
            </w:r>
            <w:proofErr w:type="spellStart"/>
            <w:r w:rsidRPr="00B45592">
              <w:rPr>
                <w:sz w:val="20"/>
                <w:szCs w:val="20"/>
                <w:lang w:val="en-IE"/>
              </w:rPr>
              <w:t>Urteil</w:t>
            </w:r>
            <w:proofErr w:type="spellEnd"/>
            <w:r w:rsidRPr="00B45592">
              <w:rPr>
                <w:sz w:val="20"/>
                <w:szCs w:val="20"/>
                <w:lang w:val="en-IE"/>
              </w:rPr>
              <w:t xml:space="preserve"> des </w:t>
            </w:r>
            <w:r w:rsidRPr="5B67C1D2">
              <w:rPr>
                <w:i/>
                <w:iCs/>
                <w:sz w:val="20"/>
                <w:szCs w:val="20"/>
                <w:lang w:val="en-IE"/>
              </w:rPr>
              <w:t>Circuit Court for the District of Columbia</w:t>
            </w:r>
            <w:r w:rsidRPr="00B45592">
              <w:rPr>
                <w:sz w:val="20"/>
                <w:szCs w:val="20"/>
                <w:lang w:val="en-IE"/>
              </w:rPr>
              <w:t xml:space="preserve">. </w:t>
            </w:r>
            <w:r w:rsidRPr="00BE3728">
              <w:rPr>
                <w:sz w:val="20"/>
                <w:szCs w:val="20"/>
              </w:rPr>
              <w:t xml:space="preserve">Der </w:t>
            </w:r>
            <w:r>
              <w:rPr>
                <w:sz w:val="20"/>
                <w:szCs w:val="20"/>
              </w:rPr>
              <w:t>U.S. Supreme Court</w:t>
            </w:r>
            <w:r w:rsidRPr="00BE3728">
              <w:rPr>
                <w:sz w:val="20"/>
                <w:szCs w:val="20"/>
              </w:rPr>
              <w:t xml:space="preserve"> urteilte, dass der Kongress das Recht hat, Nichtmitglieder wegen Verachtung zu bestrafen. John Anderson </w:t>
            </w:r>
            <w:r>
              <w:rPr>
                <w:sz w:val="20"/>
                <w:szCs w:val="20"/>
              </w:rPr>
              <w:t>hatte versucht</w:t>
            </w:r>
            <w:r w:rsidRPr="00BE3728">
              <w:rPr>
                <w:sz w:val="20"/>
                <w:szCs w:val="20"/>
              </w:rPr>
              <w:t xml:space="preserve">, ein Mitglied des Kongresses zu bestechen. Daraufhin ordnete das Repräsentantenhaus seine Festnahme an. Er wurde vom Sprecher, Dunn, gerügt. Anderson klagte gegen Dunn wegen Körperverletzung und Freiheitsberaubung. Er behauptete, die Verfassung verleihe dem Kongress nicht die Befugnis zur Bestrafung wegen Verachtung. Anderson als Kläger meinte, der Kongress sei weder dafür zuständig, seine Abwesenheit unter Strafe zu stellen, noch einen Haftbefehl zu erlassen, weshalb der Haftbefehl </w:t>
            </w:r>
            <w:r w:rsidRPr="5B67C1D2">
              <w:rPr>
                <w:i/>
                <w:iCs/>
                <w:sz w:val="20"/>
                <w:szCs w:val="20"/>
              </w:rPr>
              <w:t xml:space="preserve">ex </w:t>
            </w:r>
            <w:proofErr w:type="spellStart"/>
            <w:r w:rsidRPr="5B67C1D2">
              <w:rPr>
                <w:i/>
                <w:iCs/>
                <w:sz w:val="20"/>
                <w:szCs w:val="20"/>
              </w:rPr>
              <w:t>tunc</w:t>
            </w:r>
            <w:proofErr w:type="spellEnd"/>
            <w:r w:rsidRPr="00BE3728">
              <w:rPr>
                <w:sz w:val="20"/>
                <w:szCs w:val="20"/>
              </w:rPr>
              <w:t xml:space="preserve"> nichtig sei. Die streitentscheidende Norm laute </w:t>
            </w:r>
            <w:r w:rsidR="00023A37">
              <w:rPr>
                <w:sz w:val="20"/>
                <w:szCs w:val="20"/>
              </w:rPr>
              <w:t xml:space="preserve">U.S. </w:t>
            </w:r>
            <w:proofErr w:type="spellStart"/>
            <w:r w:rsidR="00023A37">
              <w:rPr>
                <w:sz w:val="20"/>
                <w:szCs w:val="20"/>
              </w:rPr>
              <w:t>Const</w:t>
            </w:r>
            <w:proofErr w:type="spellEnd"/>
            <w:r w:rsidR="00023A37">
              <w:rPr>
                <w:sz w:val="20"/>
                <w:szCs w:val="20"/>
              </w:rPr>
              <w:t>. art. I, § 5.</w:t>
            </w:r>
            <w:r w:rsidRPr="00BE3728">
              <w:rPr>
                <w:sz w:val="20"/>
                <w:szCs w:val="20"/>
              </w:rPr>
              <w:t xml:space="preserve"> </w:t>
            </w:r>
            <w:r w:rsidR="0012103A" w:rsidRPr="0012103A">
              <w:rPr>
                <w:sz w:val="20"/>
                <w:szCs w:val="20"/>
              </w:rPr>
              <w:t>Nach Auffassung des U.S. Supreme Court gestattet diese dem Kongress, seine Hausordnung festzulegen</w:t>
            </w:r>
            <w:r w:rsidRPr="00BE3728">
              <w:rPr>
                <w:sz w:val="20"/>
                <w:szCs w:val="20"/>
              </w:rPr>
              <w:t>. Darunter falle die Verachtungsbefugnis. Diese sei notwendig, um die Funktionen des Repräsentantenhauses zu sichern. Der Kläger hatte gegen die Anordnung verstoßen</w:t>
            </w:r>
            <w:r>
              <w:rPr>
                <w:sz w:val="20"/>
                <w:szCs w:val="20"/>
              </w:rPr>
              <w:t>, w</w:t>
            </w:r>
            <w:r w:rsidRPr="00BE3728">
              <w:rPr>
                <w:sz w:val="20"/>
                <w:szCs w:val="20"/>
              </w:rPr>
              <w:t>oraufhin ein Haftbefehl ausgestellt wurde.</w:t>
            </w:r>
            <w:r w:rsidRPr="00BE3728">
              <w:rPr>
                <w:rStyle w:val="Funotenzeichen"/>
                <w:sz w:val="20"/>
                <w:szCs w:val="20"/>
              </w:rPr>
              <w:footnoteReference w:id="1552"/>
            </w:r>
          </w:p>
          <w:p w14:paraId="5A723B85" w14:textId="77777777" w:rsidR="00074551" w:rsidRPr="00BE3728" w:rsidRDefault="00074551" w:rsidP="00367133">
            <w:pPr>
              <w:jc w:val="both"/>
              <w:rPr>
                <w:sz w:val="20"/>
                <w:szCs w:val="20"/>
              </w:rPr>
            </w:pPr>
          </w:p>
          <w:p w14:paraId="6B6255E0" w14:textId="77777777" w:rsidR="00074551" w:rsidRPr="00BE3728" w:rsidRDefault="00074551" w:rsidP="00367133">
            <w:pPr>
              <w:jc w:val="both"/>
              <w:rPr>
                <w:sz w:val="20"/>
                <w:szCs w:val="20"/>
              </w:rPr>
            </w:pPr>
          </w:p>
          <w:p w14:paraId="3685562E" w14:textId="77777777" w:rsidR="00074551" w:rsidRPr="00BE3728" w:rsidRDefault="00074551" w:rsidP="00367133">
            <w:pPr>
              <w:jc w:val="both"/>
              <w:rPr>
                <w:sz w:val="20"/>
                <w:szCs w:val="20"/>
              </w:rPr>
            </w:pPr>
          </w:p>
        </w:tc>
        <w:tc>
          <w:tcPr>
            <w:tcW w:w="1822" w:type="pct"/>
          </w:tcPr>
          <w:p w14:paraId="3447FA74" w14:textId="77777777" w:rsidR="00074551" w:rsidRPr="00B45592" w:rsidRDefault="00074551" w:rsidP="00367133">
            <w:pPr>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Governments › Courts › Authority to Adjudicate</w:t>
            </w:r>
          </w:p>
          <w:p w14:paraId="48600284" w14:textId="77777777" w:rsidR="00074551" w:rsidRPr="00BE3728" w:rsidRDefault="00074551" w:rsidP="00367133">
            <w:pPr>
              <w:jc w:val="both"/>
              <w:rPr>
                <w:sz w:val="20"/>
                <w:szCs w:val="20"/>
                <w:lang w:val="en-US"/>
              </w:rPr>
            </w:pPr>
          </w:p>
          <w:p w14:paraId="264D5BA5" w14:textId="77777777" w:rsidR="00074551" w:rsidRDefault="00074551" w:rsidP="00367133">
            <w:pPr>
              <w:jc w:val="both"/>
              <w:rPr>
                <w:sz w:val="20"/>
                <w:szCs w:val="20"/>
              </w:rPr>
            </w:pPr>
            <w:r w:rsidRPr="00B45592">
              <w:rPr>
                <w:sz w:val="20"/>
                <w:szCs w:val="20"/>
              </w:rPr>
              <w:t xml:space="preserve">Die Sicherheit des Volkes sei eines der höchsten Rechtsprinzipien („the </w:t>
            </w:r>
            <w:proofErr w:type="spellStart"/>
            <w:r w:rsidRPr="00B45592">
              <w:rPr>
                <w:sz w:val="20"/>
                <w:szCs w:val="20"/>
              </w:rPr>
              <w:t>safety</w:t>
            </w:r>
            <w:proofErr w:type="spellEnd"/>
            <w:r w:rsidRPr="00B45592">
              <w:rPr>
                <w:sz w:val="20"/>
                <w:szCs w:val="20"/>
              </w:rPr>
              <w:t xml:space="preserve"> of the </w:t>
            </w:r>
            <w:proofErr w:type="spellStart"/>
            <w:r w:rsidRPr="00B45592">
              <w:rPr>
                <w:sz w:val="20"/>
                <w:szCs w:val="20"/>
              </w:rPr>
              <w:t>people</w:t>
            </w:r>
            <w:proofErr w:type="spellEnd"/>
            <w:r w:rsidRPr="00B45592">
              <w:rPr>
                <w:sz w:val="20"/>
                <w:szCs w:val="20"/>
              </w:rPr>
              <w:t xml:space="preserve"> </w:t>
            </w:r>
            <w:proofErr w:type="spellStart"/>
            <w:r w:rsidRPr="00B45592">
              <w:rPr>
                <w:sz w:val="20"/>
                <w:szCs w:val="20"/>
              </w:rPr>
              <w:t>is</w:t>
            </w:r>
            <w:proofErr w:type="spellEnd"/>
            <w:r w:rsidRPr="00B45592">
              <w:rPr>
                <w:sz w:val="20"/>
                <w:szCs w:val="20"/>
              </w:rPr>
              <w:t xml:space="preserve"> the </w:t>
            </w:r>
            <w:proofErr w:type="spellStart"/>
            <w:r w:rsidRPr="00B45592">
              <w:rPr>
                <w:sz w:val="20"/>
                <w:szCs w:val="20"/>
              </w:rPr>
              <w:t>supreme</w:t>
            </w:r>
            <w:proofErr w:type="spellEnd"/>
            <w:r w:rsidRPr="00B45592">
              <w:rPr>
                <w:sz w:val="20"/>
                <w:szCs w:val="20"/>
              </w:rPr>
              <w:t xml:space="preserve"> </w:t>
            </w:r>
            <w:proofErr w:type="spellStart"/>
            <w:r w:rsidRPr="00B45592">
              <w:rPr>
                <w:sz w:val="20"/>
                <w:szCs w:val="20"/>
              </w:rPr>
              <w:t>law</w:t>
            </w:r>
            <w:proofErr w:type="spellEnd"/>
            <w:r w:rsidRPr="00B45592">
              <w:rPr>
                <w:sz w:val="20"/>
                <w:szCs w:val="20"/>
              </w:rPr>
              <w:t>“</w:t>
            </w:r>
            <w:r w:rsidRPr="00BE3728">
              <w:rPr>
                <w:rStyle w:val="Funotenzeichen"/>
                <w:sz w:val="20"/>
                <w:szCs w:val="20"/>
              </w:rPr>
              <w:footnoteReference w:id="1553"/>
            </w:r>
            <w:r w:rsidRPr="00B45592">
              <w:rPr>
                <w:sz w:val="20"/>
                <w:szCs w:val="20"/>
              </w:rPr>
              <w:t xml:space="preserve">). </w:t>
            </w:r>
            <w:r>
              <w:rPr>
                <w:sz w:val="20"/>
                <w:szCs w:val="20"/>
              </w:rPr>
              <w:t>Sie</w:t>
            </w:r>
            <w:r w:rsidRPr="00BE3728">
              <w:rPr>
                <w:sz w:val="20"/>
                <w:szCs w:val="20"/>
              </w:rPr>
              <w:t xml:space="preserve"> sei unerlässlich, damit </w:t>
            </w:r>
            <w:r>
              <w:rPr>
                <w:sz w:val="20"/>
                <w:szCs w:val="20"/>
              </w:rPr>
              <w:t>z.B.</w:t>
            </w:r>
            <w:r w:rsidRPr="00BE3728">
              <w:rPr>
                <w:sz w:val="20"/>
                <w:szCs w:val="20"/>
              </w:rPr>
              <w:t xml:space="preserve"> Beamte ihre Funktion ausüben könn</w:t>
            </w:r>
            <w:r>
              <w:rPr>
                <w:sz w:val="20"/>
                <w:szCs w:val="20"/>
              </w:rPr>
              <w:t>t</w:t>
            </w:r>
            <w:r w:rsidRPr="00BE3728">
              <w:rPr>
                <w:sz w:val="20"/>
                <w:szCs w:val="20"/>
              </w:rPr>
              <w:t>en. Ohne diese Sicherheit sei ihre Tätigkeit nicht gewährleistet. Auf diesem Prinzip beruhe auch, dass Gerichte Rechtswidrigkeiten entgegenwirken können („</w:t>
            </w:r>
            <w:proofErr w:type="spellStart"/>
            <w:r w:rsidRPr="00BE3728">
              <w:rPr>
                <w:sz w:val="20"/>
                <w:szCs w:val="20"/>
              </w:rPr>
              <w:t>principle</w:t>
            </w:r>
            <w:proofErr w:type="spellEnd"/>
            <w:r w:rsidRPr="00BE3728">
              <w:rPr>
                <w:sz w:val="20"/>
                <w:szCs w:val="20"/>
              </w:rPr>
              <w:t xml:space="preserve"> it </w:t>
            </w:r>
            <w:proofErr w:type="spellStart"/>
            <w:r w:rsidRPr="00BE3728">
              <w:rPr>
                <w:sz w:val="20"/>
                <w:szCs w:val="20"/>
              </w:rPr>
              <w:t>is</w:t>
            </w:r>
            <w:proofErr w:type="spellEnd"/>
            <w:r w:rsidRPr="00BE3728">
              <w:rPr>
                <w:sz w:val="20"/>
                <w:szCs w:val="20"/>
              </w:rPr>
              <w:t xml:space="preserve">, </w:t>
            </w:r>
            <w:proofErr w:type="spellStart"/>
            <w:r w:rsidRPr="00BE3728">
              <w:rPr>
                <w:sz w:val="20"/>
                <w:szCs w:val="20"/>
              </w:rPr>
              <w:t>that</w:t>
            </w:r>
            <w:proofErr w:type="spellEnd"/>
            <w:r w:rsidRPr="00BE3728">
              <w:rPr>
                <w:sz w:val="20"/>
                <w:szCs w:val="20"/>
              </w:rPr>
              <w:t xml:space="preserve"> Courts of </w:t>
            </w:r>
            <w:proofErr w:type="spellStart"/>
            <w:r w:rsidRPr="00BE3728">
              <w:rPr>
                <w:sz w:val="20"/>
                <w:szCs w:val="20"/>
              </w:rPr>
              <w:t>justice</w:t>
            </w:r>
            <w:proofErr w:type="spellEnd"/>
            <w:r w:rsidRPr="00BE3728">
              <w:rPr>
                <w:sz w:val="20"/>
                <w:szCs w:val="20"/>
              </w:rPr>
              <w:t xml:space="preserve"> </w:t>
            </w:r>
            <w:proofErr w:type="spellStart"/>
            <w:r w:rsidRPr="00BE3728">
              <w:rPr>
                <w:sz w:val="20"/>
                <w:szCs w:val="20"/>
              </w:rPr>
              <w:t>are</w:t>
            </w:r>
            <w:proofErr w:type="spellEnd"/>
            <w:r w:rsidRPr="00BE3728">
              <w:rPr>
                <w:sz w:val="20"/>
                <w:szCs w:val="20"/>
              </w:rPr>
              <w:t xml:space="preserve"> </w:t>
            </w:r>
            <w:proofErr w:type="spellStart"/>
            <w:r w:rsidRPr="00BE3728">
              <w:rPr>
                <w:sz w:val="20"/>
                <w:szCs w:val="20"/>
              </w:rPr>
              <w:t>universally</w:t>
            </w:r>
            <w:proofErr w:type="spellEnd"/>
            <w:r w:rsidRPr="00BE3728">
              <w:rPr>
                <w:sz w:val="20"/>
                <w:szCs w:val="20"/>
              </w:rPr>
              <w:t xml:space="preserve"> </w:t>
            </w:r>
            <w:proofErr w:type="spellStart"/>
            <w:r w:rsidRPr="00BE3728">
              <w:rPr>
                <w:sz w:val="20"/>
                <w:szCs w:val="20"/>
              </w:rPr>
              <w:t>acknowledged</w:t>
            </w:r>
            <w:proofErr w:type="spellEnd"/>
            <w:r w:rsidRPr="00BE3728">
              <w:rPr>
                <w:sz w:val="20"/>
                <w:szCs w:val="20"/>
              </w:rPr>
              <w:t xml:space="preserve"> to </w:t>
            </w:r>
            <w:proofErr w:type="spellStart"/>
            <w:r w:rsidRPr="00BE3728">
              <w:rPr>
                <w:sz w:val="20"/>
                <w:szCs w:val="20"/>
              </w:rPr>
              <w:t>be</w:t>
            </w:r>
            <w:proofErr w:type="spellEnd"/>
            <w:r w:rsidRPr="00BE3728">
              <w:rPr>
                <w:sz w:val="20"/>
                <w:szCs w:val="20"/>
              </w:rPr>
              <w:t xml:space="preserve"> </w:t>
            </w:r>
            <w:proofErr w:type="spellStart"/>
            <w:r w:rsidRPr="00BE3728">
              <w:rPr>
                <w:sz w:val="20"/>
                <w:szCs w:val="20"/>
              </w:rPr>
              <w:t>vested</w:t>
            </w:r>
            <w:proofErr w:type="spellEnd"/>
            <w:r w:rsidRPr="00BE3728">
              <w:rPr>
                <w:sz w:val="20"/>
                <w:szCs w:val="20"/>
              </w:rPr>
              <w:t xml:space="preserve">, by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very</w:t>
            </w:r>
            <w:proofErr w:type="spellEnd"/>
            <w:r w:rsidRPr="00BE3728">
              <w:rPr>
                <w:sz w:val="20"/>
                <w:szCs w:val="20"/>
              </w:rPr>
              <w:t xml:space="preserve"> </w:t>
            </w:r>
            <w:proofErr w:type="spellStart"/>
            <w:r w:rsidRPr="00BE3728">
              <w:rPr>
                <w:sz w:val="20"/>
                <w:szCs w:val="20"/>
              </w:rPr>
              <w:t>creation</w:t>
            </w:r>
            <w:proofErr w:type="spellEnd"/>
            <w:r w:rsidRPr="00BE3728">
              <w:rPr>
                <w:sz w:val="20"/>
                <w:szCs w:val="20"/>
              </w:rPr>
              <w:t xml:space="preserve">, </w:t>
            </w:r>
            <w:proofErr w:type="spellStart"/>
            <w:r w:rsidRPr="00BE3728">
              <w:rPr>
                <w:sz w:val="20"/>
                <w:szCs w:val="20"/>
              </w:rPr>
              <w:t>with</w:t>
            </w:r>
            <w:proofErr w:type="spellEnd"/>
            <w:r w:rsidRPr="00BE3728">
              <w:rPr>
                <w:sz w:val="20"/>
                <w:szCs w:val="20"/>
              </w:rPr>
              <w:t xml:space="preserve"> power to </w:t>
            </w:r>
            <w:proofErr w:type="spellStart"/>
            <w:r w:rsidRPr="00BE3728">
              <w:rPr>
                <w:sz w:val="20"/>
                <w:szCs w:val="20"/>
              </w:rPr>
              <w:t>impose</w:t>
            </w:r>
            <w:proofErr w:type="spellEnd"/>
            <w:r w:rsidRPr="00BE3728">
              <w:rPr>
                <w:sz w:val="20"/>
                <w:szCs w:val="20"/>
              </w:rPr>
              <w:t>“</w:t>
            </w:r>
            <w:r w:rsidRPr="00BE3728">
              <w:rPr>
                <w:rStyle w:val="Funotenzeichen"/>
                <w:sz w:val="20"/>
                <w:szCs w:val="20"/>
              </w:rPr>
              <w:footnoteReference w:id="1554"/>
            </w:r>
            <w:r w:rsidRPr="00BE3728">
              <w:rPr>
                <w:sz w:val="20"/>
                <w:szCs w:val="20"/>
              </w:rPr>
              <w:t>)</w:t>
            </w:r>
            <w:r>
              <w:rPr>
                <w:sz w:val="20"/>
                <w:szCs w:val="20"/>
              </w:rPr>
              <w:t>,</w:t>
            </w:r>
            <w:r w:rsidRPr="00BE3728">
              <w:rPr>
                <w:sz w:val="20"/>
                <w:szCs w:val="20"/>
              </w:rPr>
              <w:t xml:space="preserve"> wie </w:t>
            </w:r>
            <w:r>
              <w:rPr>
                <w:sz w:val="20"/>
                <w:szCs w:val="20"/>
              </w:rPr>
              <w:t>z.B.</w:t>
            </w:r>
            <w:r w:rsidRPr="00BE3728">
              <w:rPr>
                <w:sz w:val="20"/>
                <w:szCs w:val="20"/>
              </w:rPr>
              <w:t xml:space="preserve"> bei Beleidigungen von oder Nichterscheinen vor öffentlichen Stellen. Gerichte können dies sanktionieren. Damit sichern sie die Funktionsweise der Gewalten.</w:t>
            </w:r>
            <w:r w:rsidRPr="00BE3728">
              <w:rPr>
                <w:rStyle w:val="Funotenzeichen"/>
                <w:sz w:val="20"/>
                <w:szCs w:val="20"/>
              </w:rPr>
              <w:t xml:space="preserve"> </w:t>
            </w:r>
            <w:r w:rsidRPr="00BE3728">
              <w:rPr>
                <w:rStyle w:val="Funotenzeichen"/>
                <w:sz w:val="20"/>
                <w:szCs w:val="20"/>
              </w:rPr>
              <w:footnoteReference w:id="1555"/>
            </w:r>
          </w:p>
          <w:p w14:paraId="00C18CAE" w14:textId="77777777" w:rsidR="00074551" w:rsidRPr="00BE3728" w:rsidRDefault="00074551" w:rsidP="00367133">
            <w:pPr>
              <w:jc w:val="both"/>
              <w:rPr>
                <w:sz w:val="20"/>
                <w:szCs w:val="20"/>
              </w:rPr>
            </w:pPr>
          </w:p>
          <w:p w14:paraId="1C3EAA7B"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kam zu dieser Schlussfolgerung, indem er urteil</w:t>
            </w:r>
            <w:r>
              <w:rPr>
                <w:sz w:val="20"/>
                <w:szCs w:val="20"/>
              </w:rPr>
              <w:t>t</w:t>
            </w:r>
            <w:r w:rsidRPr="00BE3728">
              <w:rPr>
                <w:sz w:val="20"/>
                <w:szCs w:val="20"/>
              </w:rPr>
              <w:t xml:space="preserve">e: Der einzige Zweck und das einzige Ziel aller Institutionen sei die Sicherheit und das Glück des Bürgers („the </w:t>
            </w:r>
            <w:proofErr w:type="spellStart"/>
            <w:r w:rsidRPr="00BE3728">
              <w:rPr>
                <w:sz w:val="20"/>
                <w:szCs w:val="20"/>
              </w:rPr>
              <w:t>sole</w:t>
            </w:r>
            <w:proofErr w:type="spellEnd"/>
            <w:r w:rsidRPr="00BE3728">
              <w:rPr>
                <w:sz w:val="20"/>
                <w:szCs w:val="20"/>
              </w:rPr>
              <w:t xml:space="preserve"> end and </w:t>
            </w:r>
            <w:proofErr w:type="spellStart"/>
            <w:r w:rsidRPr="00BE3728">
              <w:rPr>
                <w:sz w:val="20"/>
                <w:szCs w:val="20"/>
              </w:rPr>
              <w:t>aim</w:t>
            </w:r>
            <w:proofErr w:type="spellEnd"/>
            <w:r w:rsidRPr="00BE3728">
              <w:rPr>
                <w:sz w:val="20"/>
                <w:szCs w:val="20"/>
              </w:rPr>
              <w:t xml:space="preserve"> of all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institutions</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the </w:t>
            </w:r>
            <w:proofErr w:type="spellStart"/>
            <w:r w:rsidRPr="00BE3728">
              <w:rPr>
                <w:sz w:val="20"/>
                <w:szCs w:val="20"/>
              </w:rPr>
              <w:t>safety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the </w:t>
            </w:r>
            <w:proofErr w:type="spellStart"/>
            <w:r w:rsidRPr="00BE3728">
              <w:rPr>
                <w:sz w:val="20"/>
                <w:szCs w:val="20"/>
              </w:rPr>
              <w:t>citizen</w:t>
            </w:r>
            <w:proofErr w:type="spellEnd"/>
            <w:r w:rsidRPr="00BE3728">
              <w:rPr>
                <w:sz w:val="20"/>
                <w:szCs w:val="20"/>
              </w:rPr>
              <w:t>“</w:t>
            </w:r>
            <w:r>
              <w:rPr>
                <w:rStyle w:val="Funotenzeichen"/>
                <w:sz w:val="20"/>
                <w:szCs w:val="20"/>
              </w:rPr>
              <w:footnoteReference w:id="1556"/>
            </w:r>
            <w:r w:rsidRPr="00BE3728">
              <w:rPr>
                <w:sz w:val="20"/>
                <w:szCs w:val="20"/>
              </w:rPr>
              <w:t>). Die Beziehung sei oft indirekt zwischen Zweck und Ziel auf der einen Seite sowie institutionellem Handeln auf der anderen Seite. Denn das Handeln gestalte sich nicht als exakte Wissenschaft („</w:t>
            </w:r>
            <w:proofErr w:type="spellStart"/>
            <w:r w:rsidRPr="00BE3728">
              <w:rPr>
                <w:sz w:val="20"/>
                <w:szCs w:val="20"/>
              </w:rPr>
              <w:t>science</w:t>
            </w:r>
            <w:proofErr w:type="spellEnd"/>
            <w:r w:rsidRPr="00BE3728">
              <w:rPr>
                <w:sz w:val="20"/>
                <w:szCs w:val="20"/>
              </w:rPr>
              <w:t xml:space="preserve"> of </w:t>
            </w:r>
            <w:proofErr w:type="spellStart"/>
            <w:r w:rsidRPr="00BE3728">
              <w:rPr>
                <w:sz w:val="20"/>
                <w:szCs w:val="20"/>
              </w:rPr>
              <w:t>government</w:t>
            </w:r>
            <w:proofErr w:type="spellEnd"/>
            <w:r w:rsidRPr="00BE3728">
              <w:rPr>
                <w:sz w:val="20"/>
                <w:szCs w:val="20"/>
              </w:rPr>
              <w:t>“</w:t>
            </w:r>
            <w:r>
              <w:rPr>
                <w:rStyle w:val="Funotenzeichen"/>
                <w:sz w:val="20"/>
                <w:szCs w:val="20"/>
              </w:rPr>
              <w:footnoteReference w:id="1557"/>
            </w:r>
            <w:r w:rsidRPr="00BE3728">
              <w:rPr>
                <w:sz w:val="20"/>
                <w:szCs w:val="20"/>
              </w:rPr>
              <w:t xml:space="preserve">). </w:t>
            </w:r>
            <w:r>
              <w:rPr>
                <w:sz w:val="20"/>
                <w:szCs w:val="20"/>
                <w:lang w:val="en-US"/>
              </w:rPr>
              <w:t>Trotz</w:t>
            </w:r>
            <w:r w:rsidRPr="00BE3728">
              <w:rPr>
                <w:sz w:val="20"/>
                <w:szCs w:val="20"/>
                <w:lang w:val="en-US"/>
              </w:rPr>
              <w:t xml:space="preserve"> </w:t>
            </w:r>
            <w:proofErr w:type="spellStart"/>
            <w:r w:rsidRPr="00BE3728">
              <w:rPr>
                <w:sz w:val="20"/>
                <w:szCs w:val="20"/>
                <w:lang w:val="en-US"/>
              </w:rPr>
              <w:t>dieser</w:t>
            </w:r>
            <w:proofErr w:type="spellEnd"/>
            <w:r w:rsidRPr="00BE3728">
              <w:rPr>
                <w:sz w:val="20"/>
                <w:szCs w:val="20"/>
                <w:lang w:val="en-US"/>
              </w:rPr>
              <w:t xml:space="preserve"> </w:t>
            </w:r>
            <w:proofErr w:type="spellStart"/>
            <w:r w:rsidRPr="00BE3728">
              <w:rPr>
                <w:sz w:val="20"/>
                <w:szCs w:val="20"/>
                <w:lang w:val="en-US"/>
              </w:rPr>
              <w:t>Indirektheit</w:t>
            </w:r>
            <w:proofErr w:type="spellEnd"/>
            <w:r w:rsidRPr="00BE3728">
              <w:rPr>
                <w:sz w:val="20"/>
                <w:szCs w:val="20"/>
                <w:lang w:val="en-US"/>
              </w:rPr>
              <w:t xml:space="preserve"> </w:t>
            </w:r>
            <w:proofErr w:type="spellStart"/>
            <w:r w:rsidRPr="00BE3728">
              <w:rPr>
                <w:sz w:val="20"/>
                <w:szCs w:val="20"/>
                <w:lang w:val="en-US"/>
              </w:rPr>
              <w:t>b</w:t>
            </w:r>
            <w:r>
              <w:rPr>
                <w:sz w:val="20"/>
                <w:szCs w:val="20"/>
                <w:lang w:val="en-US"/>
              </w:rPr>
              <w:t>ä</w:t>
            </w:r>
            <w:r w:rsidRPr="00BE3728">
              <w:rPr>
                <w:sz w:val="20"/>
                <w:szCs w:val="20"/>
                <w:lang w:val="en-US"/>
              </w:rPr>
              <w:t>nden</w:t>
            </w:r>
            <w:proofErr w:type="spellEnd"/>
            <w:r w:rsidRPr="00BE3728">
              <w:rPr>
                <w:sz w:val="20"/>
                <w:szCs w:val="20"/>
                <w:lang w:val="en-US"/>
              </w:rPr>
              <w:t xml:space="preserve"> die </w:t>
            </w:r>
            <w:proofErr w:type="spellStart"/>
            <w:r w:rsidRPr="00BE3728">
              <w:rPr>
                <w:sz w:val="20"/>
                <w:szCs w:val="20"/>
                <w:lang w:val="en-US"/>
              </w:rPr>
              <w:t>Ziel</w:t>
            </w:r>
            <w:r>
              <w:rPr>
                <w:sz w:val="20"/>
                <w:szCs w:val="20"/>
                <w:lang w:val="en-US"/>
              </w:rPr>
              <w:t>e</w:t>
            </w:r>
            <w:proofErr w:type="spellEnd"/>
            <w:r w:rsidRPr="00BE3728">
              <w:rPr>
                <w:sz w:val="20"/>
                <w:szCs w:val="20"/>
                <w:lang w:val="en-US"/>
              </w:rPr>
              <w:t xml:space="preserve"> die </w:t>
            </w:r>
            <w:proofErr w:type="spellStart"/>
            <w:r w:rsidRPr="00BE3728">
              <w:rPr>
                <w:sz w:val="20"/>
                <w:szCs w:val="20"/>
                <w:lang w:val="en-US"/>
              </w:rPr>
              <w:t>Gewalten</w:t>
            </w:r>
            <w:proofErr w:type="spellEnd"/>
            <w:r w:rsidRPr="00BE3728">
              <w:rPr>
                <w:sz w:val="20"/>
                <w:szCs w:val="20"/>
                <w:lang w:val="en-US"/>
              </w:rPr>
              <w:t xml:space="preserve"> („public functionaries must be left at liberty to exercise the powers which the people have </w:t>
            </w:r>
            <w:proofErr w:type="spellStart"/>
            <w:r w:rsidRPr="005A3CC9">
              <w:rPr>
                <w:sz w:val="20"/>
                <w:szCs w:val="20"/>
                <w:lang w:val="en-US"/>
              </w:rPr>
              <w:t>intrusted</w:t>
            </w:r>
            <w:proofErr w:type="spellEnd"/>
            <w:r w:rsidRPr="005A3CC9">
              <w:rPr>
                <w:sz w:val="20"/>
                <w:szCs w:val="20"/>
                <w:lang w:val="en-US"/>
              </w:rPr>
              <w:t xml:space="preserve"> to </w:t>
            </w:r>
            <w:proofErr w:type="gramStart"/>
            <w:r w:rsidRPr="005A3CC9">
              <w:rPr>
                <w:sz w:val="20"/>
                <w:szCs w:val="20"/>
                <w:lang w:val="en-US"/>
              </w:rPr>
              <w:t>them“</w:t>
            </w:r>
            <w:proofErr w:type="gramEnd"/>
            <w:r w:rsidRPr="005A3CC9">
              <w:rPr>
                <w:rStyle w:val="Funotenzeichen"/>
                <w:sz w:val="20"/>
                <w:szCs w:val="20"/>
              </w:rPr>
              <w:footnoteReference w:id="1558"/>
            </w:r>
            <w:r w:rsidRPr="005A3CC9">
              <w:rPr>
                <w:sz w:val="20"/>
                <w:szCs w:val="20"/>
                <w:lang w:val="en-US"/>
              </w:rPr>
              <w:t xml:space="preserve">). </w:t>
            </w:r>
            <w:r w:rsidRPr="005A3CC9">
              <w:rPr>
                <w:sz w:val="20"/>
                <w:szCs w:val="20"/>
              </w:rPr>
              <w:t xml:space="preserve">Denn für den Zweck der Sicherheit und das Ziel des Glücks </w:t>
            </w:r>
            <w:r>
              <w:rPr>
                <w:sz w:val="20"/>
                <w:szCs w:val="20"/>
              </w:rPr>
              <w:t>habe</w:t>
            </w:r>
            <w:r w:rsidRPr="005A3CC9">
              <w:rPr>
                <w:sz w:val="20"/>
                <w:szCs w:val="20"/>
              </w:rPr>
              <w:t xml:space="preserve"> das Volk den Gewalten ihre Befugnisse an</w:t>
            </w:r>
            <w:r>
              <w:rPr>
                <w:sz w:val="20"/>
                <w:szCs w:val="20"/>
              </w:rPr>
              <w:t>vertraut</w:t>
            </w:r>
            <w:r w:rsidRPr="005A3CC9">
              <w:rPr>
                <w:sz w:val="20"/>
                <w:szCs w:val="20"/>
              </w:rPr>
              <w:t xml:space="preserve"> („</w:t>
            </w:r>
            <w:proofErr w:type="spellStart"/>
            <w:r w:rsidRPr="005A3CC9">
              <w:rPr>
                <w:sz w:val="20"/>
                <w:szCs w:val="20"/>
              </w:rPr>
              <w:t>require</w:t>
            </w:r>
            <w:proofErr w:type="spellEnd"/>
            <w:r w:rsidRPr="005A3CC9">
              <w:rPr>
                <w:sz w:val="20"/>
                <w:szCs w:val="20"/>
              </w:rPr>
              <w:t xml:space="preserve"> the </w:t>
            </w:r>
            <w:proofErr w:type="spellStart"/>
            <w:r w:rsidRPr="005A3CC9">
              <w:rPr>
                <w:sz w:val="20"/>
                <w:szCs w:val="20"/>
              </w:rPr>
              <w:t>exertion</w:t>
            </w:r>
            <w:proofErr w:type="spellEnd"/>
            <w:r w:rsidRPr="005A3CC9">
              <w:rPr>
                <w:sz w:val="20"/>
                <w:szCs w:val="20"/>
              </w:rPr>
              <w:t xml:space="preserve"> of the </w:t>
            </w:r>
            <w:proofErr w:type="spellStart"/>
            <w:r w:rsidRPr="005A3CC9">
              <w:rPr>
                <w:sz w:val="20"/>
                <w:szCs w:val="20"/>
              </w:rPr>
              <w:t>powers</w:t>
            </w:r>
            <w:proofErr w:type="spellEnd"/>
            <w:r w:rsidRPr="005A3CC9">
              <w:rPr>
                <w:sz w:val="20"/>
                <w:szCs w:val="20"/>
              </w:rPr>
              <w:t xml:space="preserve"> indispensable to the </w:t>
            </w:r>
            <w:proofErr w:type="spellStart"/>
            <w:r w:rsidRPr="005A3CC9">
              <w:rPr>
                <w:sz w:val="20"/>
                <w:szCs w:val="20"/>
              </w:rPr>
              <w:t>attainment</w:t>
            </w:r>
            <w:proofErr w:type="spellEnd"/>
            <w:r w:rsidRPr="005A3CC9">
              <w:rPr>
                <w:sz w:val="20"/>
                <w:szCs w:val="20"/>
              </w:rPr>
              <w:t xml:space="preserve"> of the </w:t>
            </w:r>
            <w:proofErr w:type="spellStart"/>
            <w:r w:rsidRPr="005A3CC9">
              <w:rPr>
                <w:sz w:val="20"/>
                <w:szCs w:val="20"/>
              </w:rPr>
              <w:t>ends</w:t>
            </w:r>
            <w:proofErr w:type="spellEnd"/>
            <w:r w:rsidRPr="005A3CC9">
              <w:rPr>
                <w:sz w:val="20"/>
                <w:szCs w:val="20"/>
              </w:rPr>
              <w:t xml:space="preserve"> of </w:t>
            </w:r>
            <w:proofErr w:type="spellStart"/>
            <w:r w:rsidRPr="005A3CC9">
              <w:rPr>
                <w:sz w:val="20"/>
                <w:szCs w:val="20"/>
              </w:rPr>
              <w:t>their</w:t>
            </w:r>
            <w:proofErr w:type="spellEnd"/>
            <w:r w:rsidRPr="005A3CC9">
              <w:rPr>
                <w:sz w:val="20"/>
                <w:szCs w:val="20"/>
              </w:rPr>
              <w:t xml:space="preserve"> </w:t>
            </w:r>
            <w:proofErr w:type="spellStart"/>
            <w:r w:rsidRPr="005A3CC9">
              <w:rPr>
                <w:sz w:val="20"/>
                <w:szCs w:val="20"/>
              </w:rPr>
              <w:t>creation</w:t>
            </w:r>
            <w:proofErr w:type="spellEnd"/>
            <w:r w:rsidRPr="005A3CC9">
              <w:rPr>
                <w:sz w:val="20"/>
                <w:szCs w:val="20"/>
              </w:rPr>
              <w:t>“</w:t>
            </w:r>
            <w:r>
              <w:rPr>
                <w:rStyle w:val="Funotenzeichen"/>
                <w:sz w:val="20"/>
                <w:szCs w:val="20"/>
              </w:rPr>
              <w:footnoteReference w:id="1559"/>
            </w:r>
            <w:r w:rsidRPr="005A3CC9">
              <w:rPr>
                <w:sz w:val="20"/>
                <w:szCs w:val="20"/>
              </w:rPr>
              <w:t>). Dabei</w:t>
            </w:r>
            <w:r w:rsidRPr="00BE3728">
              <w:rPr>
                <w:sz w:val="20"/>
                <w:szCs w:val="20"/>
              </w:rPr>
              <w:t xml:space="preserve"> </w:t>
            </w:r>
            <w:r>
              <w:rPr>
                <w:sz w:val="20"/>
                <w:szCs w:val="20"/>
              </w:rPr>
              <w:t>müsse</w:t>
            </w:r>
            <w:r w:rsidRPr="00BE3728">
              <w:rPr>
                <w:sz w:val="20"/>
                <w:szCs w:val="20"/>
              </w:rPr>
              <w:t xml:space="preserve"> in Kauf</w:t>
            </w:r>
            <w:r>
              <w:rPr>
                <w:sz w:val="20"/>
                <w:szCs w:val="20"/>
              </w:rPr>
              <w:t xml:space="preserve"> genommen werden</w:t>
            </w:r>
            <w:r w:rsidRPr="00BE3728">
              <w:rPr>
                <w:sz w:val="20"/>
                <w:szCs w:val="20"/>
              </w:rPr>
              <w:t xml:space="preserve">, </w:t>
            </w:r>
            <w:r>
              <w:rPr>
                <w:sz w:val="20"/>
                <w:szCs w:val="20"/>
              </w:rPr>
              <w:t xml:space="preserve">dass </w:t>
            </w:r>
            <w:r w:rsidRPr="00BE3728">
              <w:rPr>
                <w:sz w:val="20"/>
                <w:szCs w:val="20"/>
              </w:rPr>
              <w:t>Zweck und Ziel mit den Rechten Einzelner konfligieren. Zum Beispiel konfligiere zwar eine Haftstrafe mit dem Freiheitsrecht des Einzelnen. Aber das dahinterstehende Strafgesetz diene bis zu dieser Verurteilung auch dem Schutz des Straftäters. Daher dürfe der Einzelfall den Zweck bzw. das Ziel nicht derogieren, die Folge sei</w:t>
            </w:r>
            <w:r>
              <w:rPr>
                <w:sz w:val="20"/>
                <w:szCs w:val="20"/>
              </w:rPr>
              <w:t xml:space="preserve"> sonst</w:t>
            </w:r>
            <w:r w:rsidRPr="00BE3728">
              <w:rPr>
                <w:sz w:val="20"/>
                <w:szCs w:val="20"/>
              </w:rPr>
              <w:t xml:space="preserve"> Willkür bzw. Despotismus („</w:t>
            </w:r>
            <w:proofErr w:type="spellStart"/>
            <w:r w:rsidRPr="00BE3728">
              <w:rPr>
                <w:sz w:val="20"/>
                <w:szCs w:val="20"/>
              </w:rPr>
              <w:t>have</w:t>
            </w:r>
            <w:proofErr w:type="spellEnd"/>
            <w:r w:rsidRPr="00BE3728">
              <w:rPr>
                <w:sz w:val="20"/>
                <w:szCs w:val="20"/>
              </w:rPr>
              <w:t xml:space="preserve"> a </w:t>
            </w:r>
            <w:proofErr w:type="spellStart"/>
            <w:r w:rsidRPr="00BE3728">
              <w:rPr>
                <w:sz w:val="20"/>
                <w:szCs w:val="20"/>
              </w:rPr>
              <w:t>direct</w:t>
            </w:r>
            <w:proofErr w:type="spellEnd"/>
            <w:r w:rsidRPr="00BE3728">
              <w:rPr>
                <w:sz w:val="20"/>
                <w:szCs w:val="20"/>
              </w:rPr>
              <w:t xml:space="preserve"> </w:t>
            </w:r>
            <w:proofErr w:type="spellStart"/>
            <w:r w:rsidRPr="00BE3728">
              <w:rPr>
                <w:sz w:val="20"/>
                <w:szCs w:val="20"/>
              </w:rPr>
              <w:t>tendency</w:t>
            </w:r>
            <w:proofErr w:type="spellEnd"/>
            <w:r w:rsidRPr="00BE3728">
              <w:rPr>
                <w:sz w:val="20"/>
                <w:szCs w:val="20"/>
              </w:rPr>
              <w:t xml:space="preserve"> to </w:t>
            </w:r>
            <w:proofErr w:type="spellStart"/>
            <w:r w:rsidRPr="00BE3728">
              <w:rPr>
                <w:sz w:val="20"/>
                <w:szCs w:val="20"/>
              </w:rPr>
              <w:t>produce</w:t>
            </w:r>
            <w:proofErr w:type="spellEnd"/>
            <w:r w:rsidRPr="00BE3728">
              <w:rPr>
                <w:sz w:val="20"/>
                <w:szCs w:val="20"/>
              </w:rPr>
              <w:t xml:space="preserve"> </w:t>
            </w:r>
            <w:proofErr w:type="spellStart"/>
            <w:r w:rsidRPr="00BE3728">
              <w:rPr>
                <w:sz w:val="20"/>
                <w:szCs w:val="20"/>
              </w:rPr>
              <w:t>that</w:t>
            </w:r>
            <w:proofErr w:type="spellEnd"/>
            <w:r w:rsidRPr="00BE3728">
              <w:rPr>
                <w:sz w:val="20"/>
                <w:szCs w:val="20"/>
              </w:rPr>
              <w:t xml:space="preserve"> </w:t>
            </w:r>
            <w:proofErr w:type="spellStart"/>
            <w:r w:rsidRPr="00BE3728">
              <w:rPr>
                <w:sz w:val="20"/>
                <w:szCs w:val="20"/>
              </w:rPr>
              <w:t>worst</w:t>
            </w:r>
            <w:proofErr w:type="spellEnd"/>
            <w:r w:rsidRPr="00BE3728">
              <w:rPr>
                <w:sz w:val="20"/>
                <w:szCs w:val="20"/>
              </w:rPr>
              <w:t xml:space="preserve"> of all </w:t>
            </w:r>
            <w:proofErr w:type="spellStart"/>
            <w:r w:rsidRPr="00BE3728">
              <w:rPr>
                <w:sz w:val="20"/>
                <w:szCs w:val="20"/>
              </w:rPr>
              <w:t>despotisms</w:t>
            </w:r>
            <w:proofErr w:type="spellEnd"/>
            <w:r w:rsidRPr="00BE3728">
              <w:rPr>
                <w:sz w:val="20"/>
                <w:szCs w:val="20"/>
              </w:rPr>
              <w:t>“</w:t>
            </w:r>
            <w:r w:rsidRPr="00BE3728">
              <w:rPr>
                <w:rStyle w:val="Funotenzeichen"/>
                <w:sz w:val="20"/>
                <w:szCs w:val="20"/>
              </w:rPr>
              <w:footnoteReference w:id="1560"/>
            </w:r>
            <w:r w:rsidRPr="00BE3728">
              <w:rPr>
                <w:sz w:val="20"/>
                <w:szCs w:val="20"/>
              </w:rPr>
              <w:t>)</w:t>
            </w:r>
            <w:r>
              <w:rPr>
                <w:sz w:val="20"/>
                <w:szCs w:val="20"/>
              </w:rPr>
              <w:t>.</w:t>
            </w:r>
          </w:p>
          <w:p w14:paraId="2B1EFE2A" w14:textId="77777777" w:rsidR="00074551" w:rsidRPr="00996DA4" w:rsidRDefault="00074551" w:rsidP="00367133">
            <w:pPr>
              <w:jc w:val="both"/>
              <w:rPr>
                <w:sz w:val="20"/>
                <w:szCs w:val="20"/>
              </w:rPr>
            </w:pPr>
          </w:p>
        </w:tc>
      </w:tr>
      <w:tr w:rsidR="00074551" w:rsidRPr="00E50B51" w14:paraId="41489D80" w14:textId="77777777" w:rsidTr="00203768">
        <w:trPr>
          <w:cantSplit/>
          <w:trHeight w:val="3175"/>
        </w:trPr>
        <w:tc>
          <w:tcPr>
            <w:tcW w:w="293" w:type="pct"/>
            <w:shd w:val="clear" w:color="auto" w:fill="E7E6E6" w:themeFill="background2"/>
          </w:tcPr>
          <w:p w14:paraId="0249BA47"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617BED03" w14:textId="77777777" w:rsidR="00074551" w:rsidRPr="00BE3728" w:rsidRDefault="00074551" w:rsidP="00367133">
            <w:pPr>
              <w:ind w:left="113" w:right="416"/>
              <w:jc w:val="both"/>
              <w:rPr>
                <w:sz w:val="20"/>
                <w:szCs w:val="20"/>
              </w:rPr>
            </w:pPr>
            <w:r w:rsidRPr="00BE3728">
              <w:rPr>
                <w:sz w:val="20"/>
                <w:szCs w:val="20"/>
              </w:rPr>
              <w:t>Rechtsstaatliche Seite</w:t>
            </w:r>
          </w:p>
        </w:tc>
        <w:tc>
          <w:tcPr>
            <w:tcW w:w="197" w:type="pct"/>
            <w:shd w:val="clear" w:color="auto" w:fill="E7E6E6" w:themeFill="background2"/>
            <w:textDirection w:val="tbRl"/>
            <w:vAlign w:val="center"/>
          </w:tcPr>
          <w:p w14:paraId="6A408746" w14:textId="77777777" w:rsidR="00074551" w:rsidRPr="00BE3728" w:rsidRDefault="00074551" w:rsidP="00367133">
            <w:pPr>
              <w:ind w:left="113" w:right="113"/>
              <w:jc w:val="both"/>
              <w:rPr>
                <w:sz w:val="20"/>
                <w:szCs w:val="20"/>
              </w:rPr>
            </w:pPr>
            <w:r w:rsidRPr="00BE3728">
              <w:rPr>
                <w:sz w:val="20"/>
                <w:szCs w:val="20"/>
              </w:rPr>
              <w:t>Separation of Powers</w:t>
            </w:r>
          </w:p>
        </w:tc>
        <w:tc>
          <w:tcPr>
            <w:tcW w:w="306" w:type="pct"/>
            <w:shd w:val="clear" w:color="auto" w:fill="E7E6E6" w:themeFill="background2"/>
            <w:textDirection w:val="tbRl"/>
            <w:vAlign w:val="center"/>
          </w:tcPr>
          <w:p w14:paraId="48926A96" w14:textId="77777777" w:rsidR="00074551" w:rsidRPr="00BE3728" w:rsidRDefault="00074551" w:rsidP="00367133">
            <w:pPr>
              <w:ind w:left="113" w:right="113"/>
              <w:jc w:val="both"/>
              <w:rPr>
                <w:sz w:val="20"/>
                <w:szCs w:val="20"/>
              </w:rPr>
            </w:pPr>
            <w:r w:rsidRPr="00BE3728">
              <w:rPr>
                <w:sz w:val="20"/>
                <w:szCs w:val="20"/>
              </w:rPr>
              <w:t>Legislation</w:t>
            </w:r>
          </w:p>
        </w:tc>
        <w:tc>
          <w:tcPr>
            <w:tcW w:w="401" w:type="pct"/>
            <w:shd w:val="clear" w:color="auto" w:fill="E7E6E6" w:themeFill="background2"/>
            <w:textDirection w:val="tbRl"/>
          </w:tcPr>
          <w:p w14:paraId="340FD462" w14:textId="77777777" w:rsidR="00074551" w:rsidRDefault="00074551" w:rsidP="00367133">
            <w:pPr>
              <w:ind w:left="113" w:right="113"/>
              <w:rPr>
                <w:sz w:val="20"/>
                <w:szCs w:val="20"/>
                <w:lang w:val="en-US"/>
              </w:rPr>
            </w:pPr>
          </w:p>
          <w:p w14:paraId="5E538FE9" w14:textId="77777777" w:rsidR="00074551" w:rsidRPr="00BE3728" w:rsidRDefault="00074551" w:rsidP="00367133">
            <w:pPr>
              <w:ind w:left="113" w:right="113"/>
              <w:rPr>
                <w:sz w:val="20"/>
                <w:szCs w:val="20"/>
                <w:lang w:val="en-US"/>
              </w:rPr>
            </w:pPr>
            <w:r w:rsidRPr="00BE3728">
              <w:rPr>
                <w:sz w:val="20"/>
                <w:szCs w:val="20"/>
                <w:lang w:val="en-US"/>
              </w:rPr>
              <w:t>Interpretation</w:t>
            </w:r>
          </w:p>
        </w:tc>
        <w:tc>
          <w:tcPr>
            <w:tcW w:w="1594" w:type="pct"/>
            <w:shd w:val="clear" w:color="auto" w:fill="E7E6E6" w:themeFill="background2"/>
            <w:vAlign w:val="center"/>
          </w:tcPr>
          <w:p w14:paraId="46C4D574" w14:textId="77777777" w:rsidR="00074551" w:rsidRPr="00BE3728" w:rsidRDefault="00074551" w:rsidP="00367133">
            <w:pPr>
              <w:jc w:val="both"/>
              <w:rPr>
                <w:sz w:val="20"/>
                <w:szCs w:val="20"/>
              </w:rPr>
            </w:pPr>
          </w:p>
        </w:tc>
        <w:tc>
          <w:tcPr>
            <w:tcW w:w="1822" w:type="pct"/>
            <w:shd w:val="clear" w:color="auto" w:fill="E7E6E6" w:themeFill="background2"/>
          </w:tcPr>
          <w:p w14:paraId="083DADFE" w14:textId="18CE727B" w:rsidR="00074551" w:rsidRPr="00BE3728" w:rsidRDefault="00203768" w:rsidP="00203768">
            <w:pPr>
              <w:rPr>
                <w:sz w:val="20"/>
                <w:szCs w:val="20"/>
                <w:lang w:val="en-US"/>
              </w:rPr>
            </w:pPr>
            <w:r w:rsidRPr="00A15DB3">
              <w:rPr>
                <w:i/>
                <w:iCs/>
                <w:sz w:val="16"/>
                <w:szCs w:val="16"/>
              </w:rPr>
              <w:t>Thematische Gliederung der nachfolgenden Entscheidungen ↓</w:t>
            </w:r>
          </w:p>
        </w:tc>
      </w:tr>
      <w:tr w:rsidR="00074551" w:rsidRPr="00E50B51" w14:paraId="0167AD09" w14:textId="77777777" w:rsidTr="00BE689F">
        <w:trPr>
          <w:cantSplit/>
          <w:trHeight w:val="3175"/>
        </w:trPr>
        <w:tc>
          <w:tcPr>
            <w:tcW w:w="293" w:type="pct"/>
          </w:tcPr>
          <w:p w14:paraId="19CF0222"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5918288" w14:textId="77777777" w:rsidR="00074551" w:rsidRPr="00B45592" w:rsidRDefault="00074551" w:rsidP="00367133">
            <w:pPr>
              <w:ind w:left="113" w:right="416"/>
              <w:jc w:val="both"/>
              <w:rPr>
                <w:i/>
                <w:sz w:val="20"/>
                <w:szCs w:val="20"/>
              </w:rPr>
            </w:pPr>
            <w:r w:rsidRPr="00B45592">
              <w:rPr>
                <w:i/>
                <w:sz w:val="20"/>
                <w:szCs w:val="20"/>
              </w:rPr>
              <w:t>Prigg v. Pennsylvania</w:t>
            </w:r>
          </w:p>
        </w:tc>
        <w:tc>
          <w:tcPr>
            <w:tcW w:w="197" w:type="pct"/>
            <w:textDirection w:val="tbRl"/>
            <w:vAlign w:val="center"/>
          </w:tcPr>
          <w:p w14:paraId="2A496D61" w14:textId="77777777" w:rsidR="00074551" w:rsidRPr="00BE3728" w:rsidRDefault="00074551" w:rsidP="00367133">
            <w:pPr>
              <w:ind w:left="113" w:right="113"/>
              <w:jc w:val="both"/>
              <w:rPr>
                <w:sz w:val="20"/>
                <w:szCs w:val="20"/>
              </w:rPr>
            </w:pPr>
            <w:r w:rsidRPr="00BE3728">
              <w:rPr>
                <w:sz w:val="20"/>
                <w:szCs w:val="20"/>
              </w:rPr>
              <w:t>41 U.S. 539</w:t>
            </w:r>
          </w:p>
        </w:tc>
        <w:tc>
          <w:tcPr>
            <w:tcW w:w="306" w:type="pct"/>
            <w:textDirection w:val="tbRl"/>
            <w:vAlign w:val="center"/>
          </w:tcPr>
          <w:p w14:paraId="5DF5F123" w14:textId="77777777" w:rsidR="00074551" w:rsidRPr="00BE3728" w:rsidRDefault="00074551" w:rsidP="00367133">
            <w:pPr>
              <w:ind w:left="113" w:right="113"/>
              <w:jc w:val="both"/>
              <w:rPr>
                <w:sz w:val="20"/>
                <w:szCs w:val="20"/>
              </w:rPr>
            </w:pPr>
            <w:r w:rsidRPr="00BE3728">
              <w:rPr>
                <w:sz w:val="20"/>
                <w:szCs w:val="20"/>
              </w:rPr>
              <w:t>01. März 1842</w:t>
            </w:r>
          </w:p>
        </w:tc>
        <w:tc>
          <w:tcPr>
            <w:tcW w:w="401" w:type="pct"/>
          </w:tcPr>
          <w:p w14:paraId="3F30AFD2" w14:textId="77777777" w:rsidR="00074551" w:rsidRPr="00BE3728" w:rsidRDefault="00074551" w:rsidP="00367133">
            <w:pPr>
              <w:jc w:val="center"/>
              <w:rPr>
                <w:sz w:val="20"/>
                <w:szCs w:val="20"/>
                <w:lang w:val="en-US"/>
              </w:rPr>
            </w:pPr>
            <w:r w:rsidRPr="00BE3728">
              <w:rPr>
                <w:sz w:val="20"/>
                <w:szCs w:val="20"/>
                <w:lang w:val="en-US"/>
              </w:rPr>
              <w:t>S</w:t>
            </w:r>
          </w:p>
        </w:tc>
        <w:tc>
          <w:tcPr>
            <w:tcW w:w="1594" w:type="pct"/>
          </w:tcPr>
          <w:p w14:paraId="49D5D88A" w14:textId="02A7CEE1" w:rsidR="00074551" w:rsidRPr="00BE3728" w:rsidRDefault="00074551" w:rsidP="00367133">
            <w:pPr>
              <w:jc w:val="both"/>
              <w:rPr>
                <w:sz w:val="20"/>
                <w:szCs w:val="20"/>
              </w:rPr>
            </w:pPr>
            <w:r w:rsidRPr="00BE3728">
              <w:rPr>
                <w:sz w:val="20"/>
                <w:szCs w:val="20"/>
              </w:rPr>
              <w:t>Der Gesetzgeber Pennsylvanias erließ 1788 und 1826 Gesetze</w:t>
            </w:r>
            <w:r>
              <w:rPr>
                <w:sz w:val="20"/>
                <w:szCs w:val="20"/>
              </w:rPr>
              <w:t>,</w:t>
            </w:r>
            <w:r w:rsidRPr="00BE3728">
              <w:rPr>
                <w:rStyle w:val="Funotenzeichen"/>
                <w:sz w:val="20"/>
                <w:szCs w:val="20"/>
              </w:rPr>
              <w:footnoteReference w:id="1561"/>
            </w:r>
            <w:r w:rsidRPr="00BE3728">
              <w:rPr>
                <w:sz w:val="20"/>
                <w:szCs w:val="20"/>
              </w:rPr>
              <w:t xml:space="preserve"> die die Verbringung von Sklaven aus dem Bundesstaat verboten, soweit der Verbringende bezwecke, den Verbrachten</w:t>
            </w:r>
            <w:r>
              <w:rPr>
                <w:sz w:val="20"/>
                <w:szCs w:val="20"/>
              </w:rPr>
              <w:t xml:space="preserve"> erneut</w:t>
            </w:r>
            <w:r w:rsidRPr="00BE3728">
              <w:rPr>
                <w:sz w:val="20"/>
                <w:szCs w:val="20"/>
              </w:rPr>
              <w:t xml:space="preserve"> zu versklaven. Im Jahr 1832 zog eine Sklavin, Margaret Morgan, von Maryland nach Pennsylvania. Dann wollten sie die Erben ihres Sklavenhalters als Sklavin zurückhaben. Sie beauftragten daher Edward Prigg, sie in Pennsylvania in Gewahrsam zu nehmen und zurückzuführen. Nachdem Prigg Morgan nach Maryland zurückgebracht hatte, verurteilte ein Gericht in Pennsylvania Prigg. Er habe gegen das Gesetz von 1826 verstoßen. Prigg </w:t>
            </w:r>
            <w:r>
              <w:rPr>
                <w:sz w:val="20"/>
                <w:szCs w:val="20"/>
              </w:rPr>
              <w:t>vertrat</w:t>
            </w:r>
            <w:r w:rsidRPr="00BE3728">
              <w:rPr>
                <w:sz w:val="20"/>
                <w:szCs w:val="20"/>
              </w:rPr>
              <w:t xml:space="preserve"> bis zum </w:t>
            </w:r>
            <w:r w:rsidRPr="5B67C1D2">
              <w:rPr>
                <w:i/>
                <w:iCs/>
                <w:sz w:val="20"/>
                <w:szCs w:val="20"/>
              </w:rPr>
              <w:t>Pennsylvania Supreme Court </w:t>
            </w:r>
            <w:r w:rsidRPr="00BE3728">
              <w:rPr>
                <w:sz w:val="20"/>
                <w:szCs w:val="20"/>
              </w:rPr>
              <w:t>indes erfolglos</w:t>
            </w:r>
            <w:r>
              <w:rPr>
                <w:sz w:val="20"/>
                <w:szCs w:val="20"/>
              </w:rPr>
              <w:t xml:space="preserve"> die Ansicht</w:t>
            </w:r>
            <w:r w:rsidRPr="00BE3728">
              <w:rPr>
                <w:sz w:val="20"/>
                <w:szCs w:val="20"/>
              </w:rPr>
              <w:t xml:space="preserve">, dass die Gesetze von 1788 und 1826 gegen die verfassungsmäßige Garantie der Auslieferung zwischen den Bundesstaaten verstießen nach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E3728">
              <w:rPr>
                <w:sz w:val="20"/>
                <w:szCs w:val="20"/>
              </w:rPr>
              <w:t xml:space="preserve"> Sie widerspr</w:t>
            </w:r>
            <w:r>
              <w:rPr>
                <w:sz w:val="20"/>
                <w:szCs w:val="20"/>
              </w:rPr>
              <w:t>ä</w:t>
            </w:r>
            <w:r w:rsidRPr="00BE3728">
              <w:rPr>
                <w:sz w:val="20"/>
                <w:szCs w:val="20"/>
              </w:rPr>
              <w:t>chen zudem de</w:t>
            </w:r>
            <w:r>
              <w:rPr>
                <w:sz w:val="20"/>
                <w:szCs w:val="20"/>
              </w:rPr>
              <w:t>m</w:t>
            </w:r>
            <w:r w:rsidRPr="00BE3728">
              <w:rPr>
                <w:sz w:val="20"/>
                <w:szCs w:val="20"/>
              </w:rPr>
              <w:t xml:space="preserve"> </w:t>
            </w:r>
            <w:proofErr w:type="spellStart"/>
            <w:r w:rsidRPr="5B67C1D2">
              <w:rPr>
                <w:i/>
                <w:iCs/>
                <w:sz w:val="20"/>
                <w:szCs w:val="20"/>
              </w:rPr>
              <w:t>Fugitive</w:t>
            </w:r>
            <w:proofErr w:type="spellEnd"/>
            <w:r w:rsidRPr="5B67C1D2">
              <w:rPr>
                <w:i/>
                <w:iCs/>
                <w:sz w:val="20"/>
                <w:szCs w:val="20"/>
              </w:rPr>
              <w:t xml:space="preserve"> Slave Law </w:t>
            </w:r>
            <w:r>
              <w:rPr>
                <w:sz w:val="20"/>
                <w:szCs w:val="20"/>
              </w:rPr>
              <w:t>von</w:t>
            </w:r>
            <w:r w:rsidRPr="003F7EEA">
              <w:rPr>
                <w:sz w:val="20"/>
                <w:szCs w:val="20"/>
              </w:rPr>
              <w:t xml:space="preserve"> 1793</w:t>
            </w:r>
            <w:r w:rsidRPr="00BE3728">
              <w:rPr>
                <w:sz w:val="20"/>
                <w:szCs w:val="20"/>
              </w:rPr>
              <w:t xml:space="preserve">, einem Bundesgesetz. Der </w:t>
            </w:r>
            <w:r>
              <w:rPr>
                <w:sz w:val="20"/>
                <w:szCs w:val="20"/>
              </w:rPr>
              <w:t>U.S. Supreme Court</w:t>
            </w:r>
            <w:r w:rsidRPr="00BE3728">
              <w:rPr>
                <w:sz w:val="20"/>
                <w:szCs w:val="20"/>
              </w:rPr>
              <w:t xml:space="preserve"> hatte nun zwei Fragen zu entscheiden: </w:t>
            </w:r>
            <w:r>
              <w:rPr>
                <w:sz w:val="20"/>
                <w:szCs w:val="20"/>
              </w:rPr>
              <w:t>Zum einen</w:t>
            </w:r>
            <w:r w:rsidRPr="00BE3728">
              <w:rPr>
                <w:sz w:val="20"/>
                <w:szCs w:val="20"/>
              </w:rPr>
              <w:t xml:space="preserve">, ob das Gesetz von Pennsylvania gegen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E3728">
              <w:rPr>
                <w:sz w:val="20"/>
                <w:szCs w:val="20"/>
              </w:rPr>
              <w:t xml:space="preserve"> verstoße, weil es die Auslieferung von Sklaven an andere Bundesstaaten zum Zwecke der Sklaverei verb</w:t>
            </w:r>
            <w:r>
              <w:rPr>
                <w:sz w:val="20"/>
                <w:szCs w:val="20"/>
              </w:rPr>
              <w:t>ot.</w:t>
            </w:r>
            <w:r w:rsidRPr="00BE3728">
              <w:rPr>
                <w:sz w:val="20"/>
                <w:szCs w:val="20"/>
              </w:rPr>
              <w:t xml:space="preserve"> </w:t>
            </w:r>
            <w:r>
              <w:rPr>
                <w:sz w:val="20"/>
                <w:szCs w:val="20"/>
              </w:rPr>
              <w:t>Und zum anderen</w:t>
            </w:r>
            <w:r w:rsidRPr="00BE3728">
              <w:rPr>
                <w:sz w:val="20"/>
                <w:szCs w:val="20"/>
              </w:rPr>
              <w:t xml:space="preserve">, ob das Gesetz Pennsylvanias gegen das </w:t>
            </w:r>
            <w:proofErr w:type="spellStart"/>
            <w:r w:rsidRPr="5B67C1D2">
              <w:rPr>
                <w:i/>
                <w:iCs/>
                <w:sz w:val="20"/>
                <w:szCs w:val="20"/>
              </w:rPr>
              <w:t>Fugitive</w:t>
            </w:r>
            <w:proofErr w:type="spellEnd"/>
            <w:r w:rsidRPr="5B67C1D2">
              <w:rPr>
                <w:i/>
                <w:iCs/>
                <w:sz w:val="20"/>
                <w:szCs w:val="20"/>
              </w:rPr>
              <w:t xml:space="preserve"> Slave Law</w:t>
            </w:r>
            <w:r w:rsidRPr="00BE3728">
              <w:rPr>
                <w:sz w:val="20"/>
                <w:szCs w:val="20"/>
              </w:rPr>
              <w:t xml:space="preserve"> von 1793 verstoße und damit nach der </w:t>
            </w:r>
            <w:r w:rsidRPr="5B67C1D2">
              <w:rPr>
                <w:i/>
                <w:iCs/>
                <w:sz w:val="20"/>
                <w:szCs w:val="20"/>
              </w:rPr>
              <w:t xml:space="preserve">Supremacy </w:t>
            </w:r>
            <w:proofErr w:type="spellStart"/>
            <w:r w:rsidRPr="5B67C1D2">
              <w:rPr>
                <w:i/>
                <w:iCs/>
                <w:sz w:val="20"/>
                <w:szCs w:val="20"/>
              </w:rPr>
              <w:t>Clause</w:t>
            </w:r>
            <w:proofErr w:type="spellEnd"/>
            <w:r w:rsidRPr="00BE3728">
              <w:rPr>
                <w:sz w:val="20"/>
                <w:szCs w:val="20"/>
              </w:rPr>
              <w:t xml:space="preserve"> hinter Bundesrecht zurücktreten müsse</w:t>
            </w:r>
            <w:r>
              <w:rPr>
                <w:sz w:val="20"/>
                <w:szCs w:val="20"/>
              </w:rPr>
              <w:t>.</w:t>
            </w:r>
            <w:r w:rsidRPr="00BE3728">
              <w:rPr>
                <w:sz w:val="20"/>
                <w:szCs w:val="20"/>
              </w:rPr>
              <w:t xml:space="preserve"> Der </w:t>
            </w:r>
            <w:r>
              <w:rPr>
                <w:sz w:val="20"/>
                <w:szCs w:val="20"/>
              </w:rPr>
              <w:t>U.S. Supreme Court</w:t>
            </w:r>
            <w:r w:rsidRPr="00BE3728">
              <w:rPr>
                <w:sz w:val="20"/>
                <w:szCs w:val="20"/>
              </w:rPr>
              <w:t xml:space="preserve"> bejahte beide Fragen</w:t>
            </w:r>
            <w:r>
              <w:rPr>
                <w:sz w:val="20"/>
                <w:szCs w:val="20"/>
              </w:rPr>
              <w:t>:</w:t>
            </w:r>
            <w:r w:rsidRPr="00BE3728">
              <w:rPr>
                <w:sz w:val="20"/>
                <w:szCs w:val="20"/>
              </w:rPr>
              <w:t xml:space="preserve"> Die Gesetze von 1788 und 1826 in Pennsylvania st</w:t>
            </w:r>
            <w:r>
              <w:rPr>
                <w:sz w:val="20"/>
                <w:szCs w:val="20"/>
              </w:rPr>
              <w:t>ü</w:t>
            </w:r>
            <w:r w:rsidRPr="00BE3728">
              <w:rPr>
                <w:sz w:val="20"/>
                <w:szCs w:val="20"/>
              </w:rPr>
              <w:t xml:space="preserve">nden im Widerspruch zu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45592">
              <w:rPr>
                <w:sz w:val="20"/>
                <w:szCs w:val="20"/>
              </w:rPr>
              <w:t xml:space="preserve"> und dem </w:t>
            </w:r>
            <w:proofErr w:type="spellStart"/>
            <w:r w:rsidRPr="5B67C1D2">
              <w:rPr>
                <w:i/>
                <w:iCs/>
                <w:sz w:val="20"/>
                <w:szCs w:val="20"/>
              </w:rPr>
              <w:t>Fugitive</w:t>
            </w:r>
            <w:proofErr w:type="spellEnd"/>
            <w:r w:rsidRPr="5B67C1D2">
              <w:rPr>
                <w:i/>
                <w:iCs/>
                <w:sz w:val="20"/>
                <w:szCs w:val="20"/>
              </w:rPr>
              <w:t xml:space="preserve"> Slave Law</w:t>
            </w:r>
            <w:r w:rsidRPr="00B45592">
              <w:rPr>
                <w:sz w:val="20"/>
                <w:szCs w:val="20"/>
              </w:rPr>
              <w:t xml:space="preserve">. </w:t>
            </w:r>
            <w:r w:rsidRPr="00BE3728">
              <w:rPr>
                <w:sz w:val="20"/>
                <w:szCs w:val="20"/>
              </w:rPr>
              <w:t xml:space="preserve">Und die </w:t>
            </w:r>
            <w:r w:rsidRPr="5B67C1D2">
              <w:rPr>
                <w:i/>
                <w:iCs/>
                <w:sz w:val="20"/>
                <w:szCs w:val="20"/>
              </w:rPr>
              <w:t xml:space="preserve">Supremacy </w:t>
            </w:r>
            <w:proofErr w:type="spellStart"/>
            <w:r w:rsidRPr="5B67C1D2">
              <w:rPr>
                <w:i/>
                <w:iCs/>
                <w:sz w:val="20"/>
                <w:szCs w:val="20"/>
              </w:rPr>
              <w:t>Clause</w:t>
            </w:r>
            <w:proofErr w:type="spellEnd"/>
            <w:r w:rsidRPr="00BE3728">
              <w:rPr>
                <w:sz w:val="20"/>
                <w:szCs w:val="20"/>
              </w:rPr>
              <w:t xml:space="preserve"> garantiere, dass Bundesgesetze – </w:t>
            </w:r>
            <w:r>
              <w:rPr>
                <w:sz w:val="20"/>
                <w:szCs w:val="20"/>
              </w:rPr>
              <w:t>das</w:t>
            </w:r>
            <w:r w:rsidRPr="00BE3728">
              <w:rPr>
                <w:sz w:val="20"/>
                <w:szCs w:val="20"/>
              </w:rPr>
              <w:t xml:space="preserve"> </w:t>
            </w:r>
            <w:proofErr w:type="spellStart"/>
            <w:r w:rsidRPr="00BE3728">
              <w:rPr>
                <w:sz w:val="20"/>
                <w:szCs w:val="20"/>
              </w:rPr>
              <w:t>Fugitive</w:t>
            </w:r>
            <w:proofErr w:type="spellEnd"/>
            <w:r w:rsidRPr="00BE3728">
              <w:rPr>
                <w:sz w:val="20"/>
                <w:szCs w:val="20"/>
              </w:rPr>
              <w:t xml:space="preserve"> Slave Law – Vorrang vor den bundesstaatlichen Gesetzen haben. Aber die Entscheidung nivelliere nicht jedes Asyl für Sklaven über die bundesstaatlichen Grenzen hinweg. </w:t>
            </w:r>
            <w:r>
              <w:rPr>
                <w:sz w:val="20"/>
                <w:szCs w:val="20"/>
              </w:rPr>
              <w:t>Die Rückführung von</w:t>
            </w:r>
            <w:r w:rsidRPr="00BE3728">
              <w:rPr>
                <w:sz w:val="20"/>
                <w:szCs w:val="20"/>
              </w:rPr>
              <w:t xml:space="preserve"> Sklaven könn</w:t>
            </w:r>
            <w:r>
              <w:rPr>
                <w:sz w:val="20"/>
                <w:szCs w:val="20"/>
              </w:rPr>
              <w:t>t</w:t>
            </w:r>
            <w:r w:rsidRPr="00BE3728">
              <w:rPr>
                <w:sz w:val="20"/>
                <w:szCs w:val="20"/>
              </w:rPr>
              <w:t>en fortan in den sog. freien Bundesstaaten – d.h. solche ohne Sklaverei – nur bundesstaatliche Beamte durchsetzen, nicht jedoch Private.</w:t>
            </w:r>
            <w:r w:rsidRPr="00BE3728">
              <w:rPr>
                <w:rStyle w:val="Funotenzeichen"/>
                <w:sz w:val="20"/>
                <w:szCs w:val="20"/>
              </w:rPr>
              <w:footnoteReference w:id="1562"/>
            </w:r>
          </w:p>
          <w:p w14:paraId="2BE10A63" w14:textId="77777777" w:rsidR="00074551" w:rsidRPr="00BE3728" w:rsidRDefault="00074551" w:rsidP="00367133">
            <w:pPr>
              <w:jc w:val="both"/>
              <w:rPr>
                <w:sz w:val="20"/>
                <w:szCs w:val="20"/>
              </w:rPr>
            </w:pPr>
          </w:p>
        </w:tc>
        <w:tc>
          <w:tcPr>
            <w:tcW w:w="1822" w:type="pct"/>
          </w:tcPr>
          <w:p w14:paraId="73585326" w14:textId="77777777" w:rsidR="00074551" w:rsidRPr="00B45592" w:rsidRDefault="00074551" w:rsidP="00367133">
            <w:pPr>
              <w:jc w:val="both"/>
              <w:rPr>
                <w:i/>
                <w:sz w:val="20"/>
                <w:szCs w:val="20"/>
              </w:rPr>
            </w:pPr>
            <w:r w:rsidRPr="00B45592">
              <w:rPr>
                <w:i/>
                <w:sz w:val="20"/>
                <w:szCs w:val="20"/>
              </w:rPr>
              <w:t>LexisNexis-Klassifikation: Governments › Legislation › Interpretation</w:t>
            </w:r>
          </w:p>
          <w:p w14:paraId="1E7ADB2F" w14:textId="77777777" w:rsidR="00074551" w:rsidRPr="00BE3728" w:rsidRDefault="00074551" w:rsidP="00367133">
            <w:pPr>
              <w:jc w:val="both"/>
              <w:rPr>
                <w:sz w:val="20"/>
                <w:szCs w:val="20"/>
              </w:rPr>
            </w:pPr>
          </w:p>
          <w:p w14:paraId="6A374FA5"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urteilte, kein Gericht </w:t>
            </w:r>
            <w:r>
              <w:rPr>
                <w:sz w:val="20"/>
                <w:szCs w:val="20"/>
              </w:rPr>
              <w:t>könne</w:t>
            </w:r>
            <w:r w:rsidRPr="00BE3728">
              <w:rPr>
                <w:sz w:val="20"/>
                <w:szCs w:val="20"/>
              </w:rPr>
              <w:t xml:space="preserve"> ermächtigt werden, eine Klausel der Verfassung so auszulegen, dass sie </w:t>
            </w:r>
            <w:r>
              <w:rPr>
                <w:sz w:val="20"/>
                <w:szCs w:val="20"/>
              </w:rPr>
              <w:t>deren</w:t>
            </w:r>
            <w:r w:rsidRPr="00BE3728">
              <w:rPr>
                <w:sz w:val="20"/>
                <w:szCs w:val="20"/>
              </w:rPr>
              <w:t xml:space="preserve"> Ziele vereitele, wenn eine andere Auslegung, die gleichermaßen mit dem Wortlaut und dem Sinn der Verfassung übereinstimme, diese Ziele durchsetzen und schützen würde.</w:t>
            </w:r>
            <w:r w:rsidRPr="00BE3728">
              <w:rPr>
                <w:rStyle w:val="Funotenzeichen"/>
                <w:sz w:val="20"/>
                <w:szCs w:val="20"/>
              </w:rPr>
              <w:footnoteReference w:id="1563"/>
            </w:r>
          </w:p>
          <w:p w14:paraId="66F76845" w14:textId="77777777" w:rsidR="00074551" w:rsidRPr="00BE3728" w:rsidRDefault="00074551" w:rsidP="00367133">
            <w:pPr>
              <w:jc w:val="both"/>
              <w:rPr>
                <w:sz w:val="20"/>
                <w:szCs w:val="20"/>
              </w:rPr>
            </w:pPr>
          </w:p>
          <w:p w14:paraId="3C681E85" w14:textId="77777777" w:rsidR="00074551" w:rsidRPr="00A3524C" w:rsidRDefault="00074551" w:rsidP="00367133">
            <w:pPr>
              <w:jc w:val="both"/>
              <w:rPr>
                <w:sz w:val="20"/>
                <w:szCs w:val="20"/>
              </w:rPr>
            </w:pPr>
            <w:r w:rsidRPr="00BE3728">
              <w:rPr>
                <w:sz w:val="20"/>
                <w:szCs w:val="20"/>
              </w:rPr>
              <w:t xml:space="preserve">Für Pennsylvania argumentierte der Prozessvertreter, die Freiheit der Frau und ihrer Kinder </w:t>
            </w:r>
            <w:r>
              <w:rPr>
                <w:sz w:val="20"/>
                <w:szCs w:val="20"/>
              </w:rPr>
              <w:t>sollten</w:t>
            </w:r>
            <w:r w:rsidRPr="00BE3728">
              <w:rPr>
                <w:sz w:val="20"/>
                <w:szCs w:val="20"/>
              </w:rPr>
              <w:t xml:space="preserve"> priorisier</w:t>
            </w:r>
            <w:r>
              <w:rPr>
                <w:sz w:val="20"/>
                <w:szCs w:val="20"/>
              </w:rPr>
              <w:t>t werden</w:t>
            </w:r>
            <w:r w:rsidRPr="00BE3728">
              <w:rPr>
                <w:sz w:val="20"/>
                <w:szCs w:val="20"/>
              </w:rPr>
              <w:t xml:space="preserve">. Denn die Entscheidung einer solchen verfassungsrechtlichen Frage beeinflusse genau die fundamentalen Prinzipien der Vereinigten Staaten („of a </w:t>
            </w:r>
            <w:proofErr w:type="spellStart"/>
            <w:r w:rsidRPr="00BE3728">
              <w:rPr>
                <w:sz w:val="20"/>
                <w:szCs w:val="20"/>
              </w:rPr>
              <w:t>whole</w:t>
            </w:r>
            <w:proofErr w:type="spellEnd"/>
            <w:r w:rsidRPr="00BE3728">
              <w:rPr>
                <w:sz w:val="20"/>
                <w:szCs w:val="20"/>
              </w:rPr>
              <w:t xml:space="preserve"> </w:t>
            </w:r>
            <w:proofErr w:type="spellStart"/>
            <w:r w:rsidRPr="00BE3728">
              <w:rPr>
                <w:sz w:val="20"/>
                <w:szCs w:val="20"/>
              </w:rPr>
              <w:t>nation</w:t>
            </w:r>
            <w:proofErr w:type="spellEnd"/>
            <w:r w:rsidRPr="00BE3728">
              <w:rPr>
                <w:sz w:val="20"/>
                <w:szCs w:val="20"/>
              </w:rPr>
              <w:t>“</w:t>
            </w:r>
            <w:r w:rsidRPr="00BE3728">
              <w:rPr>
                <w:rStyle w:val="Funotenzeichen"/>
                <w:sz w:val="20"/>
                <w:szCs w:val="20"/>
                <w:lang w:val="en-US"/>
              </w:rPr>
              <w:footnoteReference w:id="1564"/>
            </w:r>
            <w:r w:rsidRPr="00BE3728">
              <w:rPr>
                <w:sz w:val="20"/>
                <w:szCs w:val="20"/>
              </w:rPr>
              <w:t xml:space="preserve">): </w:t>
            </w:r>
            <w:r>
              <w:rPr>
                <w:sz w:val="20"/>
                <w:szCs w:val="20"/>
              </w:rPr>
              <w:t>d</w:t>
            </w:r>
            <w:r w:rsidRPr="00BE3728">
              <w:rPr>
                <w:sz w:val="20"/>
                <w:szCs w:val="20"/>
              </w:rPr>
              <w:t xml:space="preserve">as Glück und den Wohlstand, das Leben und die Freiheiten („The </w:t>
            </w:r>
            <w:proofErr w:type="spellStart"/>
            <w:r w:rsidRPr="00BE3728">
              <w:rPr>
                <w:sz w:val="20"/>
                <w:szCs w:val="20"/>
              </w:rPr>
              <w:t>final</w:t>
            </w:r>
            <w:proofErr w:type="spellEnd"/>
            <w:r w:rsidRPr="00BE3728">
              <w:rPr>
                <w:sz w:val="20"/>
                <w:szCs w:val="20"/>
              </w:rPr>
              <w:t xml:space="preserve"> </w:t>
            </w:r>
            <w:proofErr w:type="spellStart"/>
            <w:r w:rsidRPr="00BE3728">
              <w:rPr>
                <w:sz w:val="20"/>
                <w:szCs w:val="20"/>
              </w:rPr>
              <w:t>decision</w:t>
            </w:r>
            <w:proofErr w:type="spellEnd"/>
            <w:r w:rsidRPr="00BE3728">
              <w:rPr>
                <w:sz w:val="20"/>
                <w:szCs w:val="20"/>
              </w:rPr>
              <w:t xml:space="preserve"> of a </w:t>
            </w:r>
            <w:proofErr w:type="spellStart"/>
            <w:r w:rsidRPr="00BE3728">
              <w:rPr>
                <w:sz w:val="20"/>
                <w:szCs w:val="20"/>
              </w:rPr>
              <w:t>great</w:t>
            </w:r>
            <w:proofErr w:type="spellEnd"/>
            <w:r w:rsidRPr="00BE3728">
              <w:rPr>
                <w:sz w:val="20"/>
                <w:szCs w:val="20"/>
              </w:rPr>
              <w:t xml:space="preserve"> </w:t>
            </w:r>
            <w:proofErr w:type="spellStart"/>
            <w:r w:rsidRPr="00BE3728">
              <w:rPr>
                <w:sz w:val="20"/>
                <w:szCs w:val="20"/>
              </w:rPr>
              <w:t>constitutional</w:t>
            </w:r>
            <w:proofErr w:type="spellEnd"/>
            <w:r w:rsidRPr="00BE3728">
              <w:rPr>
                <w:sz w:val="20"/>
                <w:szCs w:val="20"/>
              </w:rPr>
              <w:t xml:space="preserve"> </w:t>
            </w:r>
            <w:proofErr w:type="spellStart"/>
            <w:r w:rsidRPr="00BE3728">
              <w:rPr>
                <w:sz w:val="20"/>
                <w:szCs w:val="20"/>
              </w:rPr>
              <w:t>question</w:t>
            </w:r>
            <w:proofErr w:type="spellEnd"/>
            <w:r w:rsidRPr="00BE3728">
              <w:rPr>
                <w:sz w:val="20"/>
                <w:szCs w:val="20"/>
              </w:rPr>
              <w:t xml:space="preserve"> […]; </w:t>
            </w:r>
            <w:proofErr w:type="spellStart"/>
            <w:r w:rsidRPr="00BE3728">
              <w:rPr>
                <w:sz w:val="20"/>
                <w:szCs w:val="20"/>
              </w:rPr>
              <w:t>inasmuch</w:t>
            </w:r>
            <w:proofErr w:type="spellEnd"/>
            <w:r w:rsidRPr="00BE3728">
              <w:rPr>
                <w:sz w:val="20"/>
                <w:szCs w:val="20"/>
              </w:rPr>
              <w:t xml:space="preserve"> as it </w:t>
            </w:r>
            <w:proofErr w:type="spellStart"/>
            <w:r w:rsidRPr="00BE3728">
              <w:rPr>
                <w:sz w:val="20"/>
                <w:szCs w:val="20"/>
              </w:rPr>
              <w:t>may</w:t>
            </w:r>
            <w:proofErr w:type="spellEnd"/>
            <w:r w:rsidRPr="00BE3728">
              <w:rPr>
                <w:sz w:val="20"/>
                <w:szCs w:val="20"/>
              </w:rPr>
              <w:t xml:space="preserve"> </w:t>
            </w:r>
            <w:proofErr w:type="spellStart"/>
            <w:r w:rsidRPr="00BE3728">
              <w:rPr>
                <w:sz w:val="20"/>
                <w:szCs w:val="20"/>
              </w:rPr>
              <w:t>affect</w:t>
            </w:r>
            <w:proofErr w:type="spellEnd"/>
            <w:r w:rsidRPr="00BE3728">
              <w:rPr>
                <w:sz w:val="20"/>
                <w:szCs w:val="20"/>
              </w:rPr>
              <w:t xml:space="preserve">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the </w:t>
            </w:r>
            <w:proofErr w:type="spellStart"/>
            <w:r w:rsidRPr="00BE3728">
              <w:rPr>
                <w:sz w:val="20"/>
                <w:szCs w:val="20"/>
              </w:rPr>
              <w:t>lives</w:t>
            </w:r>
            <w:proofErr w:type="spellEnd"/>
            <w:r w:rsidRPr="00BE3728">
              <w:rPr>
                <w:sz w:val="20"/>
                <w:szCs w:val="20"/>
              </w:rPr>
              <w:t xml:space="preserve"> </w:t>
            </w:r>
            <w:proofErr w:type="spellStart"/>
            <w:r w:rsidRPr="00BE3728">
              <w:rPr>
                <w:sz w:val="20"/>
                <w:szCs w:val="20"/>
              </w:rPr>
              <w:t>or</w:t>
            </w:r>
            <w:proofErr w:type="spellEnd"/>
            <w:r w:rsidRPr="00BE3728">
              <w:rPr>
                <w:sz w:val="20"/>
                <w:szCs w:val="20"/>
              </w:rPr>
              <w:t xml:space="preserve"> </w:t>
            </w:r>
            <w:proofErr w:type="spellStart"/>
            <w:r w:rsidRPr="00BE3728">
              <w:rPr>
                <w:sz w:val="20"/>
                <w:szCs w:val="20"/>
              </w:rPr>
              <w:t>liberties</w:t>
            </w:r>
            <w:proofErr w:type="spellEnd"/>
            <w:r w:rsidRPr="00BE3728">
              <w:rPr>
                <w:sz w:val="20"/>
                <w:szCs w:val="20"/>
              </w:rPr>
              <w:t xml:space="preserve"> of a </w:t>
            </w:r>
            <w:proofErr w:type="spellStart"/>
            <w:r w:rsidRPr="00BE3728">
              <w:rPr>
                <w:sz w:val="20"/>
                <w:szCs w:val="20"/>
              </w:rPr>
              <w:t>whole</w:t>
            </w:r>
            <w:proofErr w:type="spellEnd"/>
            <w:r w:rsidRPr="00BE3728">
              <w:rPr>
                <w:sz w:val="20"/>
                <w:szCs w:val="20"/>
              </w:rPr>
              <w:t xml:space="preserve"> </w:t>
            </w:r>
            <w:proofErr w:type="spellStart"/>
            <w:r w:rsidRPr="00BE3728">
              <w:rPr>
                <w:sz w:val="20"/>
                <w:szCs w:val="20"/>
              </w:rPr>
              <w:t>nation</w:t>
            </w:r>
            <w:proofErr w:type="spellEnd"/>
            <w:r w:rsidRPr="00BE3728">
              <w:rPr>
                <w:sz w:val="20"/>
                <w:szCs w:val="20"/>
              </w:rPr>
              <w:t>“</w:t>
            </w:r>
            <w:r w:rsidRPr="00BE3728">
              <w:rPr>
                <w:rStyle w:val="Funotenzeichen"/>
                <w:sz w:val="20"/>
                <w:szCs w:val="20"/>
              </w:rPr>
              <w:footnoteReference w:id="1565"/>
            </w:r>
            <w:r w:rsidRPr="00BE3728">
              <w:rPr>
                <w:sz w:val="20"/>
                <w:szCs w:val="20"/>
              </w:rPr>
              <w:t xml:space="preserve">). Und die Menschen schütze nichts mehr als </w:t>
            </w:r>
            <w:r>
              <w:rPr>
                <w:sz w:val="20"/>
                <w:szCs w:val="20"/>
              </w:rPr>
              <w:t>d</w:t>
            </w:r>
            <w:r w:rsidRPr="00BE3728">
              <w:rPr>
                <w:sz w:val="20"/>
                <w:szCs w:val="20"/>
              </w:rPr>
              <w:t xml:space="preserve">ie sog. Charta ihrer Freiheit, als Grundgesetz des Landes („fundamental </w:t>
            </w:r>
            <w:proofErr w:type="spellStart"/>
            <w:r w:rsidRPr="00BE3728">
              <w:rPr>
                <w:sz w:val="20"/>
                <w:szCs w:val="20"/>
              </w:rPr>
              <w:t>law</w:t>
            </w:r>
            <w:proofErr w:type="spellEnd"/>
            <w:r w:rsidRPr="00BE3728">
              <w:rPr>
                <w:sz w:val="20"/>
                <w:szCs w:val="20"/>
              </w:rPr>
              <w:t xml:space="preserve"> of the </w:t>
            </w:r>
            <w:proofErr w:type="spellStart"/>
            <w:r w:rsidRPr="00BE3728">
              <w:rPr>
                <w:sz w:val="20"/>
                <w:szCs w:val="20"/>
              </w:rPr>
              <w:t>land</w:t>
            </w:r>
            <w:proofErr w:type="spellEnd"/>
            <w:r w:rsidRPr="00BE3728">
              <w:rPr>
                <w:sz w:val="20"/>
                <w:szCs w:val="20"/>
              </w:rPr>
              <w:t>“</w:t>
            </w:r>
            <w:r w:rsidRPr="00BE3728">
              <w:rPr>
                <w:rStyle w:val="Funotenzeichen"/>
                <w:sz w:val="20"/>
                <w:szCs w:val="20"/>
              </w:rPr>
              <w:footnoteReference w:id="1566"/>
            </w:r>
            <w:r w:rsidRPr="00BE3728">
              <w:rPr>
                <w:sz w:val="20"/>
                <w:szCs w:val="20"/>
              </w:rPr>
              <w:t>). Sie sei die Arche der öffentlichen Sicherheit. Eine Teilmenge beschreib</w:t>
            </w:r>
            <w:r>
              <w:rPr>
                <w:sz w:val="20"/>
                <w:szCs w:val="20"/>
              </w:rPr>
              <w:t>e</w:t>
            </w:r>
            <w:r w:rsidRPr="00BE3728">
              <w:rPr>
                <w:sz w:val="20"/>
                <w:szCs w:val="20"/>
              </w:rPr>
              <w:t xml:space="preserve"> die </w:t>
            </w:r>
            <w:r w:rsidRPr="5B67C1D2">
              <w:rPr>
                <w:i/>
                <w:iCs/>
                <w:sz w:val="20"/>
                <w:szCs w:val="20"/>
              </w:rPr>
              <w:t>Declaration of Independence</w:t>
            </w:r>
            <w:r>
              <w:rPr>
                <w:sz w:val="20"/>
                <w:szCs w:val="20"/>
              </w:rPr>
              <w:t>,</w:t>
            </w:r>
            <w:r w:rsidRPr="00BE3728">
              <w:rPr>
                <w:rStyle w:val="Funotenzeichen"/>
                <w:sz w:val="20"/>
                <w:szCs w:val="20"/>
              </w:rPr>
              <w:footnoteReference w:id="1567"/>
            </w:r>
            <w:r w:rsidRPr="00BE3728">
              <w:rPr>
                <w:sz w:val="20"/>
                <w:szCs w:val="20"/>
              </w:rPr>
              <w:t xml:space="preserve"> </w:t>
            </w:r>
            <w:r>
              <w:rPr>
                <w:sz w:val="20"/>
                <w:szCs w:val="20"/>
              </w:rPr>
              <w:t>d</w:t>
            </w:r>
            <w:r w:rsidRPr="00BE3728">
              <w:rPr>
                <w:sz w:val="20"/>
                <w:szCs w:val="20"/>
              </w:rPr>
              <w:t>ie Unabhängigkeit und die unveräußerlichen Rechte für alle schuf.</w:t>
            </w:r>
          </w:p>
        </w:tc>
      </w:tr>
      <w:tr w:rsidR="00074551" w:rsidRPr="00E50B51" w14:paraId="3B66D828" w14:textId="77777777" w:rsidTr="00203768">
        <w:trPr>
          <w:cantSplit/>
          <w:trHeight w:val="3175"/>
        </w:trPr>
        <w:tc>
          <w:tcPr>
            <w:tcW w:w="293" w:type="pct"/>
            <w:shd w:val="clear" w:color="auto" w:fill="E7E6E6" w:themeFill="background2"/>
          </w:tcPr>
          <w:p w14:paraId="0165E826"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3D879DEC" w14:textId="77777777" w:rsidR="00074551" w:rsidRPr="00BE3728" w:rsidRDefault="00074551" w:rsidP="00367133">
            <w:pPr>
              <w:ind w:left="113" w:right="416"/>
              <w:jc w:val="both"/>
              <w:rPr>
                <w:sz w:val="20"/>
                <w:szCs w:val="20"/>
              </w:rPr>
            </w:pPr>
            <w:r w:rsidRPr="00BE3728">
              <w:rPr>
                <w:sz w:val="20"/>
                <w:szCs w:val="20"/>
              </w:rPr>
              <w:t>Rechtsstaatliche Seite</w:t>
            </w:r>
          </w:p>
        </w:tc>
        <w:tc>
          <w:tcPr>
            <w:tcW w:w="197" w:type="pct"/>
            <w:shd w:val="clear" w:color="auto" w:fill="E7E6E6" w:themeFill="background2"/>
            <w:textDirection w:val="tbRl"/>
            <w:vAlign w:val="center"/>
          </w:tcPr>
          <w:p w14:paraId="16C23AD8" w14:textId="77777777" w:rsidR="00074551" w:rsidRPr="00BE3728" w:rsidRDefault="00074551" w:rsidP="00367133">
            <w:pPr>
              <w:ind w:left="113" w:right="113"/>
              <w:jc w:val="both"/>
              <w:rPr>
                <w:sz w:val="20"/>
                <w:szCs w:val="20"/>
              </w:rPr>
            </w:pPr>
            <w:r w:rsidRPr="00BE3728">
              <w:rPr>
                <w:sz w:val="20"/>
                <w:szCs w:val="20"/>
              </w:rPr>
              <w:t>Separation of Powers</w:t>
            </w:r>
          </w:p>
        </w:tc>
        <w:tc>
          <w:tcPr>
            <w:tcW w:w="306" w:type="pct"/>
            <w:shd w:val="clear" w:color="auto" w:fill="E7E6E6" w:themeFill="background2"/>
            <w:textDirection w:val="tbRl"/>
            <w:vAlign w:val="center"/>
          </w:tcPr>
          <w:p w14:paraId="34581C01" w14:textId="77777777" w:rsidR="00074551" w:rsidRPr="00BE3728" w:rsidRDefault="00074551" w:rsidP="00367133">
            <w:pPr>
              <w:ind w:left="113" w:right="113"/>
              <w:jc w:val="both"/>
              <w:rPr>
                <w:sz w:val="20"/>
                <w:szCs w:val="20"/>
              </w:rPr>
            </w:pPr>
            <w:proofErr w:type="spellStart"/>
            <w:r w:rsidRPr="00BE3728">
              <w:rPr>
                <w:sz w:val="20"/>
                <w:szCs w:val="20"/>
              </w:rPr>
              <w:t>Legislatures</w:t>
            </w:r>
            <w:proofErr w:type="spellEnd"/>
          </w:p>
        </w:tc>
        <w:tc>
          <w:tcPr>
            <w:tcW w:w="401" w:type="pct"/>
            <w:shd w:val="clear" w:color="auto" w:fill="E7E6E6" w:themeFill="background2"/>
          </w:tcPr>
          <w:p w14:paraId="33371A4C" w14:textId="77777777" w:rsidR="00074551" w:rsidRPr="00BE3728" w:rsidRDefault="00074551" w:rsidP="00367133">
            <w:pPr>
              <w:jc w:val="center"/>
              <w:rPr>
                <w:sz w:val="20"/>
                <w:szCs w:val="20"/>
                <w:lang w:val="en-US"/>
              </w:rPr>
            </w:pPr>
          </w:p>
        </w:tc>
        <w:tc>
          <w:tcPr>
            <w:tcW w:w="1594" w:type="pct"/>
            <w:shd w:val="clear" w:color="auto" w:fill="E7E6E6" w:themeFill="background2"/>
            <w:vAlign w:val="center"/>
          </w:tcPr>
          <w:p w14:paraId="63F89778" w14:textId="77777777" w:rsidR="00074551" w:rsidRPr="00BE3728" w:rsidRDefault="00074551" w:rsidP="00367133">
            <w:pPr>
              <w:jc w:val="both"/>
              <w:rPr>
                <w:sz w:val="20"/>
                <w:szCs w:val="20"/>
              </w:rPr>
            </w:pPr>
          </w:p>
        </w:tc>
        <w:tc>
          <w:tcPr>
            <w:tcW w:w="1822" w:type="pct"/>
            <w:shd w:val="clear" w:color="auto" w:fill="E7E6E6" w:themeFill="background2"/>
          </w:tcPr>
          <w:p w14:paraId="52D7C9D5" w14:textId="430A8D22" w:rsidR="00074551" w:rsidRPr="00BE3728" w:rsidRDefault="00203768" w:rsidP="00203768">
            <w:pPr>
              <w:rPr>
                <w:sz w:val="20"/>
                <w:szCs w:val="20"/>
                <w:lang w:val="en-US"/>
              </w:rPr>
            </w:pPr>
            <w:r w:rsidRPr="00A15DB3">
              <w:rPr>
                <w:i/>
                <w:iCs/>
                <w:sz w:val="16"/>
                <w:szCs w:val="16"/>
              </w:rPr>
              <w:t>Thematische Gliederung der nachfolgenden Entscheidungen ↓</w:t>
            </w:r>
          </w:p>
        </w:tc>
      </w:tr>
      <w:tr w:rsidR="00074551" w:rsidRPr="00E50B51" w14:paraId="43F94588" w14:textId="77777777" w:rsidTr="00BE689F">
        <w:trPr>
          <w:cantSplit/>
          <w:trHeight w:val="3175"/>
        </w:trPr>
        <w:tc>
          <w:tcPr>
            <w:tcW w:w="293" w:type="pct"/>
          </w:tcPr>
          <w:p w14:paraId="737F3FF5"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73C59A81" w14:textId="77777777" w:rsidR="00074551" w:rsidRPr="00B45592" w:rsidRDefault="00074551" w:rsidP="00367133">
            <w:pPr>
              <w:ind w:left="113" w:right="416"/>
              <w:jc w:val="both"/>
              <w:rPr>
                <w:i/>
                <w:sz w:val="20"/>
                <w:szCs w:val="20"/>
              </w:rPr>
            </w:pPr>
            <w:r w:rsidRPr="00A15962">
              <w:rPr>
                <w:i/>
                <w:sz w:val="20"/>
                <w:szCs w:val="20"/>
              </w:rPr>
              <w:t>United States v. Stanley</w:t>
            </w:r>
          </w:p>
        </w:tc>
        <w:tc>
          <w:tcPr>
            <w:tcW w:w="197" w:type="pct"/>
            <w:textDirection w:val="tbRl"/>
            <w:vAlign w:val="center"/>
          </w:tcPr>
          <w:p w14:paraId="7EC5347B" w14:textId="77777777" w:rsidR="00074551" w:rsidRPr="00BE3728" w:rsidRDefault="00074551" w:rsidP="00367133">
            <w:pPr>
              <w:ind w:left="113" w:right="113"/>
              <w:jc w:val="both"/>
              <w:rPr>
                <w:sz w:val="20"/>
                <w:szCs w:val="20"/>
              </w:rPr>
            </w:pPr>
            <w:r w:rsidRPr="00BE3728">
              <w:rPr>
                <w:sz w:val="20"/>
                <w:szCs w:val="20"/>
              </w:rPr>
              <w:t>109 U.S. 3</w:t>
            </w:r>
          </w:p>
        </w:tc>
        <w:tc>
          <w:tcPr>
            <w:tcW w:w="306" w:type="pct"/>
            <w:textDirection w:val="tbRl"/>
            <w:vAlign w:val="center"/>
          </w:tcPr>
          <w:p w14:paraId="6E7B48FE" w14:textId="77777777" w:rsidR="00074551" w:rsidRPr="00BE3728" w:rsidRDefault="00074551" w:rsidP="00367133">
            <w:pPr>
              <w:ind w:left="113" w:right="113"/>
              <w:jc w:val="both"/>
              <w:rPr>
                <w:sz w:val="20"/>
                <w:szCs w:val="20"/>
              </w:rPr>
            </w:pPr>
            <w:r w:rsidRPr="00BE3728">
              <w:rPr>
                <w:sz w:val="20"/>
                <w:szCs w:val="20"/>
              </w:rPr>
              <w:t>15. Oktober 1883</w:t>
            </w:r>
          </w:p>
        </w:tc>
        <w:tc>
          <w:tcPr>
            <w:tcW w:w="401" w:type="pct"/>
          </w:tcPr>
          <w:p w14:paraId="0AAC3149" w14:textId="77777777" w:rsidR="00074551" w:rsidRPr="00BE3728" w:rsidRDefault="00074551" w:rsidP="00367133">
            <w:pPr>
              <w:jc w:val="center"/>
              <w:rPr>
                <w:sz w:val="20"/>
                <w:szCs w:val="20"/>
                <w:lang w:val="en-US"/>
              </w:rPr>
            </w:pPr>
            <w:r w:rsidRPr="00BE3728">
              <w:rPr>
                <w:sz w:val="20"/>
                <w:szCs w:val="20"/>
                <w:lang w:val="en-US"/>
              </w:rPr>
              <w:t>D</w:t>
            </w:r>
          </w:p>
        </w:tc>
        <w:tc>
          <w:tcPr>
            <w:tcW w:w="1594" w:type="pct"/>
          </w:tcPr>
          <w:p w14:paraId="0AEB7E7C" w14:textId="0CC67564" w:rsidR="00074551" w:rsidRPr="00BE3728" w:rsidRDefault="00074551" w:rsidP="00367133">
            <w:pPr>
              <w:jc w:val="both"/>
              <w:rPr>
                <w:sz w:val="20"/>
                <w:szCs w:val="20"/>
              </w:rPr>
            </w:pPr>
            <w:r w:rsidRPr="00BE3728">
              <w:rPr>
                <w:sz w:val="20"/>
                <w:szCs w:val="20"/>
              </w:rPr>
              <w:t>In den fünf zusammen entschiedenen Zivilrechtsfällen aus verschiedenen Bundesstaaten stellte sich die Frage nach der Verfassungsmäßigkeit des </w:t>
            </w:r>
            <w:proofErr w:type="spellStart"/>
            <w:r w:rsidRPr="5B67C1D2">
              <w:rPr>
                <w:i/>
                <w:iCs/>
                <w:sz w:val="20"/>
                <w:szCs w:val="20"/>
              </w:rPr>
              <w:t>Civil</w:t>
            </w:r>
            <w:proofErr w:type="spellEnd"/>
            <w:r w:rsidRPr="5B67C1D2">
              <w:rPr>
                <w:i/>
                <w:iCs/>
                <w:sz w:val="20"/>
                <w:szCs w:val="20"/>
              </w:rPr>
              <w:t xml:space="preserve"> Rights Act of 1875</w:t>
            </w:r>
            <w:r w:rsidRPr="00BE3728">
              <w:rPr>
                <w:sz w:val="20"/>
                <w:szCs w:val="20"/>
              </w:rPr>
              <w:t xml:space="preserve">, 18 Stat. 335 </w:t>
            </w:r>
            <w:r>
              <w:rPr>
                <w:sz w:val="20"/>
                <w:szCs w:val="20"/>
              </w:rPr>
              <w:t>§ </w:t>
            </w:r>
            <w:r w:rsidRPr="00BE3728">
              <w:rPr>
                <w:sz w:val="20"/>
                <w:szCs w:val="20"/>
              </w:rPr>
              <w:t xml:space="preserve">1 und </w:t>
            </w:r>
            <w:r>
              <w:rPr>
                <w:sz w:val="20"/>
                <w:szCs w:val="20"/>
              </w:rPr>
              <w:t>§ </w:t>
            </w:r>
            <w:r w:rsidRPr="00BE3728">
              <w:rPr>
                <w:sz w:val="20"/>
                <w:szCs w:val="20"/>
              </w:rPr>
              <w:t>2.</w:t>
            </w:r>
            <w:r w:rsidRPr="00BE3728">
              <w:rPr>
                <w:rStyle w:val="Funotenzeichen"/>
                <w:sz w:val="20"/>
                <w:szCs w:val="20"/>
              </w:rPr>
              <w:footnoteReference w:id="1568"/>
            </w:r>
            <w:r w:rsidRPr="00BE3728">
              <w:rPr>
                <w:sz w:val="20"/>
                <w:szCs w:val="20"/>
              </w:rPr>
              <w:t xml:space="preserve"> Der </w:t>
            </w:r>
            <w:r>
              <w:rPr>
                <w:sz w:val="20"/>
                <w:szCs w:val="20"/>
              </w:rPr>
              <w:t>U.S. Supreme Court</w:t>
            </w:r>
            <w:r w:rsidRPr="00BE3728">
              <w:rPr>
                <w:sz w:val="20"/>
                <w:szCs w:val="20"/>
              </w:rPr>
              <w:t xml:space="preserve"> urteilte, die Abschnitte </w:t>
            </w:r>
            <w:r>
              <w:rPr>
                <w:sz w:val="20"/>
                <w:szCs w:val="20"/>
              </w:rPr>
              <w:t>§ </w:t>
            </w:r>
            <w:r w:rsidRPr="00BE3728">
              <w:rPr>
                <w:sz w:val="20"/>
                <w:szCs w:val="20"/>
              </w:rPr>
              <w:t xml:space="preserve">1 und </w:t>
            </w:r>
            <w:r>
              <w:rPr>
                <w:sz w:val="20"/>
                <w:szCs w:val="20"/>
              </w:rPr>
              <w:t>§ </w:t>
            </w:r>
            <w:r w:rsidRPr="00BE3728">
              <w:rPr>
                <w:sz w:val="20"/>
                <w:szCs w:val="20"/>
              </w:rPr>
              <w:t>2 seien verfassungswidrig</w:t>
            </w:r>
            <w:r>
              <w:rPr>
                <w:sz w:val="20"/>
                <w:szCs w:val="20"/>
              </w:rPr>
              <w:t>, d</w:t>
            </w:r>
            <w:r w:rsidRPr="00BE3728">
              <w:rPr>
                <w:sz w:val="20"/>
                <w:szCs w:val="20"/>
              </w:rPr>
              <w:t>enn sie regel</w:t>
            </w:r>
            <w:r>
              <w:rPr>
                <w:sz w:val="20"/>
                <w:szCs w:val="20"/>
              </w:rPr>
              <w:t>te</w:t>
            </w:r>
            <w:r w:rsidRPr="00BE3728">
              <w:rPr>
                <w:sz w:val="20"/>
                <w:szCs w:val="20"/>
              </w:rPr>
              <w:t>n individuelles Handeln („</w:t>
            </w:r>
            <w:proofErr w:type="spellStart"/>
            <w:r w:rsidRPr="00BE3728">
              <w:rPr>
                <w:sz w:val="20"/>
                <w:szCs w:val="20"/>
              </w:rPr>
              <w:t>proscribe</w:t>
            </w:r>
            <w:proofErr w:type="spellEnd"/>
            <w:r w:rsidRPr="00BE3728">
              <w:rPr>
                <w:sz w:val="20"/>
                <w:szCs w:val="20"/>
              </w:rPr>
              <w:t xml:space="preserve"> individual </w:t>
            </w:r>
            <w:proofErr w:type="spellStart"/>
            <w:r w:rsidRPr="00BE3728">
              <w:rPr>
                <w:sz w:val="20"/>
                <w:szCs w:val="20"/>
              </w:rPr>
              <w:t>action</w:t>
            </w:r>
            <w:proofErr w:type="spellEnd"/>
            <w:r w:rsidRPr="00BE3728">
              <w:rPr>
                <w:sz w:val="20"/>
                <w:szCs w:val="20"/>
              </w:rPr>
              <w:t>“</w:t>
            </w:r>
            <w:r w:rsidRPr="00BE3728">
              <w:rPr>
                <w:rStyle w:val="Funotenzeichen"/>
                <w:sz w:val="20"/>
                <w:szCs w:val="20"/>
              </w:rPr>
              <w:footnoteReference w:id="1569"/>
            </w:r>
            <w:r w:rsidRPr="00BE3728">
              <w:rPr>
                <w:sz w:val="20"/>
                <w:szCs w:val="20"/>
              </w:rPr>
              <w:t>). Das falle aber in Zuständigkeitsbereich der Bundesstaaten</w:t>
            </w:r>
            <w:r>
              <w:rPr>
                <w:sz w:val="20"/>
                <w:szCs w:val="20"/>
              </w:rPr>
              <w:t> </w:t>
            </w:r>
            <w:r w:rsidRPr="00BE3728">
              <w:rPr>
                <w:sz w:val="20"/>
                <w:szCs w:val="20"/>
              </w:rPr>
              <w:t xml:space="preserve">– und nicht in den des Bundes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w:t>
            </w:r>
            <w:r w:rsidRPr="00BE3728">
              <w:rPr>
                <w:sz w:val="20"/>
                <w:szCs w:val="20"/>
              </w:rPr>
              <w:t xml:space="preserve"> Zudem verbiete zwar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BE3728">
              <w:rPr>
                <w:sz w:val="20"/>
                <w:szCs w:val="20"/>
              </w:rPr>
              <w:t xml:space="preserve"> </w:t>
            </w:r>
            <w:r>
              <w:rPr>
                <w:sz w:val="20"/>
                <w:szCs w:val="20"/>
              </w:rPr>
              <w:t xml:space="preserve">die </w:t>
            </w:r>
            <w:r w:rsidRPr="00E65E9E">
              <w:rPr>
                <w:sz w:val="20"/>
                <w:szCs w:val="20"/>
              </w:rPr>
              <w:t xml:space="preserve">Sklaverei. </w:t>
            </w:r>
            <w:r w:rsidR="00E65E9E" w:rsidRPr="00E65E9E">
              <w:rPr>
                <w:sz w:val="20"/>
                <w:szCs w:val="20"/>
              </w:rPr>
              <w:t>Aber die von §§ 1 und 2 des </w:t>
            </w:r>
            <w:proofErr w:type="spellStart"/>
            <w:r w:rsidR="00E65E9E" w:rsidRPr="00E65E9E">
              <w:rPr>
                <w:i/>
                <w:iCs/>
                <w:sz w:val="20"/>
                <w:szCs w:val="20"/>
              </w:rPr>
              <w:t>Civil</w:t>
            </w:r>
            <w:proofErr w:type="spellEnd"/>
            <w:r w:rsidR="00E65E9E" w:rsidRPr="00E65E9E">
              <w:rPr>
                <w:i/>
                <w:iCs/>
                <w:sz w:val="20"/>
                <w:szCs w:val="20"/>
              </w:rPr>
              <w:t xml:space="preserve"> Rights Act</w:t>
            </w:r>
            <w:r w:rsidR="00E65E9E" w:rsidRPr="00E65E9E">
              <w:rPr>
                <w:sz w:val="20"/>
                <w:szCs w:val="20"/>
              </w:rPr>
              <w:t xml:space="preserve"> erfasste Verweigerung des gleichen Zugangs zu Gasthäusern, öffentlichen Verkehrsmitteln und Vergnügungsstätten erreiche nach Auffassung des U.S. Supreme Court nicht das Niveau von Sklaverei oder unfreiwilliger Knechtschaft und begründe auch kein </w:t>
            </w:r>
            <w:proofErr w:type="spellStart"/>
            <w:r w:rsidR="00E65E9E" w:rsidRPr="00E65E9E">
              <w:rPr>
                <w:i/>
                <w:iCs/>
                <w:sz w:val="20"/>
                <w:szCs w:val="20"/>
              </w:rPr>
              <w:t>badge</w:t>
            </w:r>
            <w:proofErr w:type="spellEnd"/>
            <w:r w:rsidR="00E65E9E" w:rsidRPr="00E65E9E">
              <w:rPr>
                <w:i/>
                <w:iCs/>
                <w:sz w:val="20"/>
                <w:szCs w:val="20"/>
              </w:rPr>
              <w:t xml:space="preserve"> of </w:t>
            </w:r>
            <w:proofErr w:type="spellStart"/>
            <w:r w:rsidR="00E65E9E" w:rsidRPr="00E65E9E">
              <w:rPr>
                <w:i/>
                <w:iCs/>
                <w:sz w:val="20"/>
                <w:szCs w:val="20"/>
              </w:rPr>
              <w:t>slavery</w:t>
            </w:r>
            <w:proofErr w:type="spellEnd"/>
            <w:r w:rsidRPr="00E65E9E">
              <w:rPr>
                <w:sz w:val="20"/>
                <w:szCs w:val="20"/>
              </w:rPr>
              <w:t>.</w:t>
            </w:r>
            <w:r w:rsidRPr="00BE3728">
              <w:rPr>
                <w:sz w:val="20"/>
                <w:szCs w:val="20"/>
              </w:rPr>
              <w:t xml:space="preserve"> Weshalb der Bund auch aufgrund dieses Amendments nicht regeln </w:t>
            </w:r>
            <w:r>
              <w:rPr>
                <w:sz w:val="20"/>
                <w:szCs w:val="20"/>
              </w:rPr>
              <w:t>könne</w:t>
            </w:r>
            <w:r w:rsidRPr="00BE3728">
              <w:rPr>
                <w:sz w:val="20"/>
                <w:szCs w:val="20"/>
              </w:rPr>
              <w:t>. Zuletzt biete auch</w:t>
            </w:r>
            <w:r>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keine Rechtsgrundlage für die Abschnitte des </w:t>
            </w:r>
            <w:proofErr w:type="spellStart"/>
            <w:r w:rsidRPr="5B67C1D2">
              <w:rPr>
                <w:i/>
                <w:iCs/>
                <w:sz w:val="20"/>
                <w:szCs w:val="20"/>
              </w:rPr>
              <w:t>Civil</w:t>
            </w:r>
            <w:proofErr w:type="spellEnd"/>
            <w:r w:rsidRPr="5B67C1D2">
              <w:rPr>
                <w:i/>
                <w:iCs/>
                <w:sz w:val="20"/>
                <w:szCs w:val="20"/>
              </w:rPr>
              <w:t xml:space="preserve"> Rights Act</w:t>
            </w:r>
            <w:r w:rsidRPr="00BE3728">
              <w:rPr>
                <w:sz w:val="20"/>
                <w:szCs w:val="20"/>
              </w:rPr>
              <w:t xml:space="preserve">. Denn der Normadressat </w:t>
            </w:r>
            <w:r>
              <w:rPr>
                <w:sz w:val="20"/>
                <w:szCs w:val="20"/>
              </w:rPr>
              <w:t>von</w:t>
            </w:r>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sei die Legislative, nicht die Einzelpersonen. An die richte</w:t>
            </w:r>
            <w:r>
              <w:rPr>
                <w:sz w:val="20"/>
                <w:szCs w:val="20"/>
              </w:rPr>
              <w:t>te</w:t>
            </w:r>
            <w:r w:rsidRPr="00BE3728">
              <w:rPr>
                <w:sz w:val="20"/>
                <w:szCs w:val="20"/>
              </w:rPr>
              <w:t xml:space="preserve">n sich aber die Abschnitte 1 und 2 des </w:t>
            </w:r>
            <w:proofErr w:type="spellStart"/>
            <w:r w:rsidRPr="5B67C1D2">
              <w:rPr>
                <w:i/>
                <w:iCs/>
                <w:sz w:val="20"/>
                <w:szCs w:val="20"/>
              </w:rPr>
              <w:t>Civil</w:t>
            </w:r>
            <w:proofErr w:type="spellEnd"/>
            <w:r w:rsidRPr="5B67C1D2">
              <w:rPr>
                <w:i/>
                <w:iCs/>
                <w:sz w:val="20"/>
                <w:szCs w:val="20"/>
              </w:rPr>
              <w:t xml:space="preserve"> Rights Act</w:t>
            </w:r>
            <w:r w:rsidRPr="00BE3728">
              <w:rPr>
                <w:sz w:val="20"/>
                <w:szCs w:val="20"/>
              </w:rPr>
              <w:t xml:space="preserve">. Folglich erklärte der </w:t>
            </w:r>
            <w:r>
              <w:rPr>
                <w:sz w:val="20"/>
                <w:szCs w:val="20"/>
              </w:rPr>
              <w:t>U.S. Supreme Court</w:t>
            </w:r>
            <w:r w:rsidRPr="00BE3728">
              <w:rPr>
                <w:sz w:val="20"/>
                <w:szCs w:val="20"/>
              </w:rPr>
              <w:t xml:space="preserve"> die Abschnitte für verfassungswidrig</w:t>
            </w:r>
            <w:r>
              <w:rPr>
                <w:sz w:val="20"/>
                <w:szCs w:val="20"/>
              </w:rPr>
              <w:t xml:space="preserve"> und</w:t>
            </w:r>
            <w:r w:rsidRPr="00BE3728">
              <w:rPr>
                <w:sz w:val="20"/>
                <w:szCs w:val="20"/>
              </w:rPr>
              <w:t xml:space="preserve"> setzte sie außer Kraft.</w:t>
            </w:r>
            <w:r w:rsidRPr="00BE3728">
              <w:rPr>
                <w:rStyle w:val="Funotenzeichen"/>
                <w:sz w:val="20"/>
                <w:szCs w:val="20"/>
              </w:rPr>
              <w:footnoteReference w:id="1570"/>
            </w:r>
          </w:p>
          <w:p w14:paraId="07602109" w14:textId="77777777" w:rsidR="00074551" w:rsidRPr="00BE3728" w:rsidRDefault="00074551" w:rsidP="00367133">
            <w:pPr>
              <w:jc w:val="both"/>
              <w:rPr>
                <w:sz w:val="20"/>
                <w:szCs w:val="20"/>
              </w:rPr>
            </w:pPr>
          </w:p>
          <w:p w14:paraId="0DDFFC69" w14:textId="77777777" w:rsidR="00074551" w:rsidRPr="00BE3728" w:rsidRDefault="00074551" w:rsidP="00367133">
            <w:pPr>
              <w:jc w:val="both"/>
              <w:rPr>
                <w:sz w:val="20"/>
                <w:szCs w:val="20"/>
              </w:rPr>
            </w:pPr>
          </w:p>
          <w:p w14:paraId="64E30D14" w14:textId="77777777" w:rsidR="00074551" w:rsidRPr="00BE3728" w:rsidRDefault="00074551" w:rsidP="00367133">
            <w:pPr>
              <w:jc w:val="both"/>
              <w:rPr>
                <w:sz w:val="20"/>
                <w:szCs w:val="20"/>
              </w:rPr>
            </w:pPr>
          </w:p>
        </w:tc>
        <w:tc>
          <w:tcPr>
            <w:tcW w:w="1822" w:type="pct"/>
          </w:tcPr>
          <w:p w14:paraId="7579964C" w14:textId="77777777" w:rsidR="00074551" w:rsidRPr="00B45592" w:rsidRDefault="00074551" w:rsidP="00367133">
            <w:pPr>
              <w:rPr>
                <w:i/>
                <w:sz w:val="20"/>
                <w:szCs w:val="20"/>
                <w:lang w:val="en-IE"/>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IE"/>
              </w:rPr>
              <w:t>Governments › State &amp; Territorial Governments › Legislatures</w:t>
            </w:r>
          </w:p>
          <w:p w14:paraId="5487E03D" w14:textId="77777777" w:rsidR="00074551" w:rsidRPr="00B45592" w:rsidRDefault="00074551" w:rsidP="00367133">
            <w:pPr>
              <w:jc w:val="both"/>
              <w:rPr>
                <w:sz w:val="20"/>
                <w:szCs w:val="20"/>
                <w:lang w:val="en-IE"/>
              </w:rPr>
            </w:pPr>
          </w:p>
          <w:p w14:paraId="7BB25CF2" w14:textId="48AB47C9" w:rsidR="00074551" w:rsidRPr="00BE3728" w:rsidRDefault="00074551" w:rsidP="00367133">
            <w:pPr>
              <w:jc w:val="both"/>
              <w:rPr>
                <w:sz w:val="20"/>
                <w:szCs w:val="20"/>
              </w:rPr>
            </w:pPr>
            <w:r w:rsidRPr="00BE3728">
              <w:rPr>
                <w:sz w:val="20"/>
                <w:szCs w:val="20"/>
              </w:rPr>
              <w:t xml:space="preserve">Der Eingriff in die Rechte des Einzelnen durch das Gesetz erlaubt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nicht. Das Amendment erklärt nur Gesetze und Maßnahmen für nichtig, die die Vorrechte und Immunitäten der Bürger der Vereinigten Staaten beeinträchtigen</w:t>
            </w:r>
            <w:r>
              <w:rPr>
                <w:sz w:val="20"/>
                <w:szCs w:val="20"/>
              </w:rPr>
              <w:t xml:space="preserve">, </w:t>
            </w:r>
            <w:r w:rsidRPr="00BE3728">
              <w:rPr>
                <w:sz w:val="20"/>
                <w:szCs w:val="20"/>
              </w:rPr>
              <w:t xml:space="preserve">ohne ein </w:t>
            </w:r>
            <w:r w:rsidRPr="00B45592">
              <w:rPr>
                <w:sz w:val="20"/>
                <w:szCs w:val="20"/>
              </w:rPr>
              <w:t>rechtsstaatliches Verfahren</w:t>
            </w:r>
            <w:r w:rsidRPr="00BE3728">
              <w:rPr>
                <w:sz w:val="20"/>
                <w:szCs w:val="20"/>
              </w:rPr>
              <w:t xml:space="preserve"> in das Leben, die Freiheit oder das Eigentum eingreifen oder den gleichen Schutz durch die Gesetze verweigern. Zu dieser Regelungs- kommt die Durchsetzungskompetenz des Kongresses. Allerdings reiche keine Kompetenz so weit, mit staatlichen Maßnahmen in Privatangelegenheiten einzutreten.</w:t>
            </w:r>
            <w:r w:rsidRPr="00BE3728">
              <w:rPr>
                <w:rStyle w:val="Funotenzeichen"/>
                <w:sz w:val="20"/>
                <w:szCs w:val="20"/>
              </w:rPr>
              <w:footnoteReference w:id="1571"/>
            </w:r>
          </w:p>
          <w:p w14:paraId="04A4B97D" w14:textId="77777777" w:rsidR="00074551" w:rsidRPr="00BE3728" w:rsidRDefault="00074551" w:rsidP="00367133">
            <w:pPr>
              <w:jc w:val="both"/>
              <w:rPr>
                <w:sz w:val="20"/>
                <w:szCs w:val="20"/>
              </w:rPr>
            </w:pPr>
          </w:p>
          <w:p w14:paraId="3E6C9068" w14:textId="54A80A4B" w:rsidR="00074551" w:rsidRDefault="00074551" w:rsidP="00367133">
            <w:pPr>
              <w:jc w:val="both"/>
              <w:rPr>
                <w:sz w:val="20"/>
                <w:szCs w:val="20"/>
              </w:rPr>
            </w:pPr>
            <w:r w:rsidRPr="00BE3728">
              <w:rPr>
                <w:sz w:val="20"/>
                <w:szCs w:val="20"/>
              </w:rPr>
              <w:t xml:space="preserve">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stimm</w:t>
            </w:r>
            <w:r>
              <w:rPr>
                <w:sz w:val="20"/>
                <w:szCs w:val="20"/>
              </w:rPr>
              <w:t>t</w:t>
            </w:r>
            <w:r w:rsidRPr="00BE3728">
              <w:rPr>
                <w:sz w:val="20"/>
                <w:szCs w:val="20"/>
              </w:rPr>
              <w:t xml:space="preserve">e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zwar insoweit zu: Der</w:t>
            </w:r>
            <w:r>
              <w:rPr>
                <w:sz w:val="20"/>
                <w:szCs w:val="20"/>
              </w:rPr>
              <w:t xml:space="preserve"> Sinn des</w:t>
            </w:r>
            <w:r w:rsidRPr="00BE3728">
              <w:rPr>
                <w:sz w:val="20"/>
                <w:szCs w:val="20"/>
              </w:rPr>
              <w:t xml:space="preserve"> </w:t>
            </w:r>
            <w:proofErr w:type="spellStart"/>
            <w:r w:rsidRPr="5B67C1D2">
              <w:rPr>
                <w:i/>
                <w:iCs/>
                <w:sz w:val="20"/>
                <w:szCs w:val="20"/>
              </w:rPr>
              <w:t>Civil</w:t>
            </w:r>
            <w:proofErr w:type="spellEnd"/>
            <w:r w:rsidRPr="5B67C1D2">
              <w:rPr>
                <w:i/>
                <w:iCs/>
                <w:sz w:val="20"/>
                <w:szCs w:val="20"/>
              </w:rPr>
              <w:t xml:space="preserve"> Rights Act of 1875</w:t>
            </w:r>
            <w:r w:rsidRPr="00BE3728">
              <w:rPr>
                <w:sz w:val="20"/>
                <w:szCs w:val="20"/>
              </w:rPr>
              <w:t>, 18 Stat. 335</w:t>
            </w:r>
            <w:r w:rsidRPr="00BE3728">
              <w:rPr>
                <w:rStyle w:val="Funotenzeichen"/>
                <w:sz w:val="20"/>
                <w:szCs w:val="20"/>
              </w:rPr>
              <w:footnoteReference w:id="1572"/>
            </w:r>
            <w:r w:rsidRPr="00BE3728">
              <w:rPr>
                <w:sz w:val="20"/>
                <w:szCs w:val="20"/>
              </w:rPr>
              <w:t xml:space="preserve"> </w:t>
            </w:r>
            <w:r>
              <w:rPr>
                <w:sz w:val="20"/>
                <w:szCs w:val="20"/>
              </w:rPr>
              <w:t>§ </w:t>
            </w:r>
            <w:r w:rsidRPr="00BE3728">
              <w:rPr>
                <w:sz w:val="20"/>
                <w:szCs w:val="20"/>
              </w:rPr>
              <w:t xml:space="preserve">1 und </w:t>
            </w:r>
            <w:r>
              <w:rPr>
                <w:sz w:val="20"/>
                <w:szCs w:val="20"/>
              </w:rPr>
              <w:t>§ </w:t>
            </w:r>
            <w:r w:rsidRPr="00BE3728">
              <w:rPr>
                <w:sz w:val="20"/>
                <w:szCs w:val="20"/>
              </w:rPr>
              <w:t>2 bestehe nicht darin, jedermann Anspruch auf Unterkünfte und Privilegien in Gasthäusern, öffentlichen Verkehrsmitteln und Theatern zu gestatten. Diese Umgebungen müss</w:t>
            </w:r>
            <w:r>
              <w:rPr>
                <w:sz w:val="20"/>
                <w:szCs w:val="20"/>
              </w:rPr>
              <w:t>t</w:t>
            </w:r>
            <w:r w:rsidRPr="00BE3728">
              <w:rPr>
                <w:sz w:val="20"/>
                <w:szCs w:val="20"/>
              </w:rPr>
              <w:t xml:space="preserve">en nur Bedingungen unterliegen, die für alle Bürger gelten, d.h. unabhängig </w:t>
            </w:r>
            <w:r>
              <w:rPr>
                <w:sz w:val="20"/>
                <w:szCs w:val="20"/>
              </w:rPr>
              <w:t xml:space="preserve">von </w:t>
            </w:r>
            <w:r w:rsidRPr="00BE3728">
              <w:rPr>
                <w:sz w:val="20"/>
                <w:szCs w:val="20"/>
              </w:rPr>
              <w:t xml:space="preserve">ihrer Rasse oder Hautfarbe. Aber dies könne der Kongress sichern. Deshalb </w:t>
            </w:r>
            <w:r>
              <w:rPr>
                <w:sz w:val="20"/>
                <w:szCs w:val="20"/>
              </w:rPr>
              <w:t>habe</w:t>
            </w:r>
            <w:r w:rsidRPr="00BE3728">
              <w:rPr>
                <w:sz w:val="20"/>
                <w:szCs w:val="20"/>
              </w:rPr>
              <w:t xml:space="preserve">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zu Unrecht</w:t>
            </w:r>
            <w:r>
              <w:rPr>
                <w:sz w:val="20"/>
                <w:szCs w:val="20"/>
              </w:rPr>
              <w:t xml:space="preserve"> geurteilt</w:t>
            </w:r>
            <w:r w:rsidRPr="00BE3728">
              <w:rPr>
                <w:sz w:val="20"/>
                <w:szCs w:val="20"/>
              </w:rPr>
              <w:t xml:space="preserve">, dass der Kongress weder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BE3728">
              <w:rPr>
                <w:sz w:val="20"/>
                <w:szCs w:val="20"/>
              </w:rPr>
              <w:t xml:space="preserve"> noch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befugt sei, Vorschriften in diesem Bereich zu erlassen. Genau das könne er</w:t>
            </w:r>
            <w:r>
              <w:rPr>
                <w:sz w:val="20"/>
                <w:szCs w:val="20"/>
              </w:rPr>
              <w:t xml:space="preserve"> tun</w:t>
            </w:r>
            <w:r w:rsidRPr="00BE3728">
              <w:rPr>
                <w:sz w:val="20"/>
                <w:szCs w:val="20"/>
              </w:rPr>
              <w:t>. Und daher sei auch der erste und zweite Abschnitt des Gesetzes nicht verfassungswidrig.</w:t>
            </w:r>
            <w:r w:rsidRPr="00BE3728">
              <w:rPr>
                <w:rStyle w:val="Funotenzeichen"/>
                <w:sz w:val="20"/>
                <w:szCs w:val="20"/>
              </w:rPr>
              <w:footnoteReference w:id="1573"/>
            </w:r>
            <w:r w:rsidRPr="00BE3728">
              <w:rPr>
                <w:sz w:val="20"/>
                <w:szCs w:val="20"/>
              </w:rPr>
              <w:t xml:space="preserve"> Doch warum? Ein Begründungsstrang laute</w:t>
            </w:r>
            <w:r>
              <w:rPr>
                <w:sz w:val="20"/>
                <w:szCs w:val="20"/>
              </w:rPr>
              <w:t>te</w:t>
            </w:r>
            <w:r w:rsidRPr="00BE3728">
              <w:rPr>
                <w:sz w:val="20"/>
                <w:szCs w:val="20"/>
              </w:rPr>
              <w:t xml:space="preserve">: Ein Zweck der Gesetzgebung des Kongresses bestehe genau darin, schwarze </w:t>
            </w:r>
            <w:r>
              <w:rPr>
                <w:sz w:val="20"/>
                <w:szCs w:val="20"/>
              </w:rPr>
              <w:t>Amerikaner</w:t>
            </w:r>
            <w:r w:rsidRPr="00BE3728">
              <w:rPr>
                <w:sz w:val="20"/>
                <w:szCs w:val="20"/>
              </w:rPr>
              <w:t xml:space="preserve"> in die Lage </w:t>
            </w:r>
            <w:r>
              <w:rPr>
                <w:sz w:val="20"/>
                <w:szCs w:val="20"/>
              </w:rPr>
              <w:t>von</w:t>
            </w:r>
            <w:r w:rsidRPr="00BE3728">
              <w:rPr>
                <w:sz w:val="20"/>
                <w:szCs w:val="20"/>
              </w:rPr>
              <w:t xml:space="preserve"> Bürger</w:t>
            </w:r>
            <w:r>
              <w:rPr>
                <w:sz w:val="20"/>
                <w:szCs w:val="20"/>
              </w:rPr>
              <w:t>n</w:t>
            </w:r>
            <w:r w:rsidRPr="00BE3728">
              <w:rPr>
                <w:sz w:val="20"/>
                <w:szCs w:val="20"/>
              </w:rPr>
              <w:t xml:space="preserve"> zu versetzen und </w:t>
            </w:r>
            <w:r>
              <w:rPr>
                <w:sz w:val="20"/>
                <w:szCs w:val="20"/>
              </w:rPr>
              <w:t xml:space="preserve">ihnen </w:t>
            </w:r>
            <w:r w:rsidRPr="00BE3728">
              <w:rPr>
                <w:sz w:val="20"/>
                <w:szCs w:val="20"/>
              </w:rPr>
              <w:t xml:space="preserve">alle Privilegien zu </w:t>
            </w:r>
            <w:r>
              <w:rPr>
                <w:sz w:val="20"/>
                <w:szCs w:val="20"/>
              </w:rPr>
              <w:t>sichern</w:t>
            </w:r>
            <w:r w:rsidRPr="00BE3728">
              <w:rPr>
                <w:sz w:val="20"/>
                <w:szCs w:val="20"/>
              </w:rPr>
              <w:t>, die ihnen nach den Gesetzen als Teil des Volkes zustehen.</w:t>
            </w:r>
            <w:r w:rsidRPr="00BE3728">
              <w:rPr>
                <w:rStyle w:val="Funotenzeichen"/>
                <w:sz w:val="20"/>
                <w:szCs w:val="20"/>
              </w:rPr>
              <w:footnoteReference w:id="1574"/>
            </w:r>
            <w:r w:rsidRPr="00BE3728">
              <w:rPr>
                <w:sz w:val="20"/>
                <w:szCs w:val="20"/>
              </w:rPr>
              <w:t xml:space="preserve"> Denn für das Wohlergehen und das Glück aller – also des gesamten Volkes – sei</w:t>
            </w:r>
            <w:r>
              <w:rPr>
                <w:sz w:val="20"/>
                <w:szCs w:val="20"/>
              </w:rPr>
              <w:t>en</w:t>
            </w:r>
            <w:r w:rsidRPr="00BE3728">
              <w:rPr>
                <w:sz w:val="20"/>
                <w:szCs w:val="20"/>
              </w:rPr>
              <w:t xml:space="preserve"> die Regierung und der Kongress auch bestimmt („to </w:t>
            </w:r>
            <w:proofErr w:type="spellStart"/>
            <w:r w:rsidRPr="00BE3728">
              <w:rPr>
                <w:sz w:val="20"/>
                <w:szCs w:val="20"/>
              </w:rPr>
              <w:t>them</w:t>
            </w:r>
            <w:proofErr w:type="spellEnd"/>
            <w:r w:rsidRPr="00BE3728">
              <w:rPr>
                <w:sz w:val="20"/>
                <w:szCs w:val="20"/>
              </w:rPr>
              <w:t xml:space="preserve"> as a </w:t>
            </w:r>
            <w:proofErr w:type="spellStart"/>
            <w:r w:rsidRPr="00BE3728">
              <w:rPr>
                <w:sz w:val="20"/>
                <w:szCs w:val="20"/>
              </w:rPr>
              <w:t>component</w:t>
            </w:r>
            <w:proofErr w:type="spellEnd"/>
            <w:r w:rsidRPr="00BE3728">
              <w:rPr>
                <w:sz w:val="20"/>
                <w:szCs w:val="20"/>
              </w:rPr>
              <w:t xml:space="preserve"> </w:t>
            </w:r>
            <w:proofErr w:type="spellStart"/>
            <w:r w:rsidRPr="00BE3728">
              <w:rPr>
                <w:sz w:val="20"/>
                <w:szCs w:val="20"/>
              </w:rPr>
              <w:t>part</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 xml:space="preserve"> for </w:t>
            </w:r>
            <w:proofErr w:type="spellStart"/>
            <w:r w:rsidRPr="00BE3728">
              <w:rPr>
                <w:sz w:val="20"/>
                <w:szCs w:val="20"/>
              </w:rPr>
              <w:t>whose</w:t>
            </w:r>
            <w:proofErr w:type="spellEnd"/>
            <w:r w:rsidRPr="00BE3728">
              <w:rPr>
                <w:sz w:val="20"/>
                <w:szCs w:val="20"/>
              </w:rPr>
              <w:t xml:space="preserve"> </w:t>
            </w:r>
            <w:proofErr w:type="spellStart"/>
            <w:r w:rsidRPr="00BE3728">
              <w:rPr>
                <w:sz w:val="20"/>
                <w:szCs w:val="20"/>
              </w:rPr>
              <w:t>welfare</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w:t>
            </w:r>
            <w:proofErr w:type="spellStart"/>
            <w:r w:rsidRPr="00BE3728">
              <w:rPr>
                <w:sz w:val="20"/>
                <w:szCs w:val="20"/>
              </w:rPr>
              <w:t>government</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w:t>
            </w:r>
            <w:proofErr w:type="spellStart"/>
            <w:r w:rsidRPr="00BE3728">
              <w:rPr>
                <w:sz w:val="20"/>
                <w:szCs w:val="20"/>
              </w:rPr>
              <w:t>ordained</w:t>
            </w:r>
            <w:proofErr w:type="spellEnd"/>
            <w:r w:rsidRPr="00BE3728">
              <w:rPr>
                <w:sz w:val="20"/>
                <w:szCs w:val="20"/>
              </w:rPr>
              <w:t>“</w:t>
            </w:r>
            <w:r w:rsidRPr="00BE3728">
              <w:rPr>
                <w:rStyle w:val="Funotenzeichen"/>
                <w:sz w:val="20"/>
                <w:szCs w:val="20"/>
              </w:rPr>
              <w:footnoteReference w:id="1575"/>
            </w:r>
            <w:r w:rsidRPr="00BE3728">
              <w:rPr>
                <w:sz w:val="20"/>
                <w:szCs w:val="20"/>
              </w:rPr>
              <w:t>).</w:t>
            </w:r>
          </w:p>
          <w:p w14:paraId="65ECAEC2" w14:textId="77777777" w:rsidR="00074551" w:rsidRPr="00996DA4" w:rsidRDefault="00074551" w:rsidP="00367133">
            <w:pPr>
              <w:jc w:val="both"/>
              <w:rPr>
                <w:sz w:val="20"/>
                <w:szCs w:val="20"/>
              </w:rPr>
            </w:pPr>
          </w:p>
        </w:tc>
      </w:tr>
      <w:tr w:rsidR="00074551" w:rsidRPr="00E50B51" w14:paraId="5DB0E68C" w14:textId="77777777" w:rsidTr="00203768">
        <w:trPr>
          <w:cantSplit/>
          <w:trHeight w:val="3175"/>
        </w:trPr>
        <w:tc>
          <w:tcPr>
            <w:tcW w:w="293" w:type="pct"/>
            <w:shd w:val="clear" w:color="auto" w:fill="E7E6E6" w:themeFill="background2"/>
          </w:tcPr>
          <w:p w14:paraId="4CED5250"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477BB415" w14:textId="77777777" w:rsidR="00074551" w:rsidRPr="00BE3728" w:rsidRDefault="00074551" w:rsidP="00367133">
            <w:pPr>
              <w:ind w:left="113" w:right="416"/>
              <w:jc w:val="both"/>
              <w:rPr>
                <w:sz w:val="20"/>
                <w:szCs w:val="20"/>
              </w:rPr>
            </w:pPr>
            <w:r w:rsidRPr="00BE3728">
              <w:rPr>
                <w:sz w:val="20"/>
                <w:szCs w:val="20"/>
              </w:rPr>
              <w:t>Rechtsstaatliche Seite</w:t>
            </w:r>
          </w:p>
        </w:tc>
        <w:tc>
          <w:tcPr>
            <w:tcW w:w="197" w:type="pct"/>
            <w:shd w:val="clear" w:color="auto" w:fill="E7E6E6" w:themeFill="background2"/>
            <w:textDirection w:val="tbRl"/>
            <w:vAlign w:val="center"/>
          </w:tcPr>
          <w:p w14:paraId="6FB86E7B" w14:textId="77777777" w:rsidR="00074551" w:rsidRPr="00BE3728" w:rsidRDefault="00074551" w:rsidP="00367133">
            <w:pPr>
              <w:ind w:left="113" w:right="113"/>
              <w:jc w:val="both"/>
              <w:rPr>
                <w:sz w:val="20"/>
                <w:szCs w:val="20"/>
              </w:rPr>
            </w:pPr>
            <w:r w:rsidRPr="00BE3728">
              <w:rPr>
                <w:sz w:val="20"/>
                <w:szCs w:val="20"/>
              </w:rPr>
              <w:t>Separation of Powers</w:t>
            </w:r>
          </w:p>
        </w:tc>
        <w:tc>
          <w:tcPr>
            <w:tcW w:w="306" w:type="pct"/>
            <w:shd w:val="clear" w:color="auto" w:fill="E7E6E6" w:themeFill="background2"/>
            <w:textDirection w:val="tbRl"/>
            <w:vAlign w:val="center"/>
          </w:tcPr>
          <w:p w14:paraId="11735142" w14:textId="77777777" w:rsidR="00074551" w:rsidRPr="00BE3728" w:rsidRDefault="00074551" w:rsidP="00367133">
            <w:pPr>
              <w:ind w:left="113" w:right="113"/>
              <w:jc w:val="both"/>
              <w:rPr>
                <w:sz w:val="20"/>
                <w:szCs w:val="20"/>
              </w:rPr>
            </w:pPr>
            <w:r w:rsidRPr="00BE3728">
              <w:rPr>
                <w:sz w:val="20"/>
                <w:szCs w:val="20"/>
                <w:lang w:val="en-US"/>
              </w:rPr>
              <w:t>Employees &amp; Officials</w:t>
            </w:r>
          </w:p>
        </w:tc>
        <w:tc>
          <w:tcPr>
            <w:tcW w:w="401" w:type="pct"/>
            <w:shd w:val="clear" w:color="auto" w:fill="E7E6E6" w:themeFill="background2"/>
          </w:tcPr>
          <w:p w14:paraId="10010C19" w14:textId="77777777" w:rsidR="00074551" w:rsidRPr="00BE3728" w:rsidRDefault="00074551" w:rsidP="00367133">
            <w:pPr>
              <w:jc w:val="center"/>
              <w:rPr>
                <w:sz w:val="20"/>
                <w:szCs w:val="20"/>
                <w:lang w:val="en-US"/>
              </w:rPr>
            </w:pPr>
          </w:p>
        </w:tc>
        <w:tc>
          <w:tcPr>
            <w:tcW w:w="1594" w:type="pct"/>
            <w:shd w:val="clear" w:color="auto" w:fill="E7E6E6" w:themeFill="background2"/>
            <w:vAlign w:val="center"/>
          </w:tcPr>
          <w:p w14:paraId="1339DAA0" w14:textId="77777777" w:rsidR="00074551" w:rsidRPr="00BE3728" w:rsidRDefault="00074551" w:rsidP="00367133">
            <w:pPr>
              <w:jc w:val="both"/>
              <w:rPr>
                <w:sz w:val="20"/>
                <w:szCs w:val="20"/>
              </w:rPr>
            </w:pPr>
          </w:p>
        </w:tc>
        <w:tc>
          <w:tcPr>
            <w:tcW w:w="1822" w:type="pct"/>
            <w:shd w:val="clear" w:color="auto" w:fill="E7E6E6" w:themeFill="background2"/>
          </w:tcPr>
          <w:p w14:paraId="2D84E0CD" w14:textId="06D530E4" w:rsidR="00074551" w:rsidRPr="00BE3728" w:rsidRDefault="00203768" w:rsidP="00203768">
            <w:pPr>
              <w:rPr>
                <w:sz w:val="20"/>
                <w:szCs w:val="20"/>
                <w:lang w:val="en-US"/>
              </w:rPr>
            </w:pPr>
            <w:r w:rsidRPr="00A15DB3">
              <w:rPr>
                <w:i/>
                <w:iCs/>
                <w:sz w:val="16"/>
                <w:szCs w:val="16"/>
              </w:rPr>
              <w:t>Thematische Gliederung der nachfolgenden Entscheidungen ↓</w:t>
            </w:r>
          </w:p>
        </w:tc>
      </w:tr>
      <w:tr w:rsidR="00074551" w:rsidRPr="00E50B51" w14:paraId="04FC0362" w14:textId="77777777" w:rsidTr="00BE689F">
        <w:trPr>
          <w:cantSplit/>
          <w:trHeight w:val="3175"/>
        </w:trPr>
        <w:tc>
          <w:tcPr>
            <w:tcW w:w="293" w:type="pct"/>
          </w:tcPr>
          <w:p w14:paraId="66896D09"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128ECDA" w14:textId="77777777" w:rsidR="00074551" w:rsidRPr="00BE3728" w:rsidRDefault="00074551" w:rsidP="00367133">
            <w:pPr>
              <w:ind w:left="113" w:right="416"/>
              <w:jc w:val="both"/>
              <w:rPr>
                <w:sz w:val="20"/>
                <w:szCs w:val="20"/>
              </w:rPr>
            </w:pPr>
            <w:r w:rsidRPr="00A15962">
              <w:rPr>
                <w:i/>
                <w:sz w:val="20"/>
                <w:szCs w:val="20"/>
              </w:rPr>
              <w:t xml:space="preserve">Butler v. </w:t>
            </w:r>
            <w:proofErr w:type="spellStart"/>
            <w:r w:rsidRPr="00A15962">
              <w:rPr>
                <w:i/>
                <w:sz w:val="20"/>
                <w:szCs w:val="20"/>
              </w:rPr>
              <w:t>Pa</w:t>
            </w:r>
            <w:proofErr w:type="spellEnd"/>
            <w:r w:rsidRPr="00A15962">
              <w:rPr>
                <w:i/>
                <w:sz w:val="20"/>
                <w:szCs w:val="20"/>
              </w:rPr>
              <w:t>.</w:t>
            </w:r>
          </w:p>
        </w:tc>
        <w:tc>
          <w:tcPr>
            <w:tcW w:w="197" w:type="pct"/>
            <w:textDirection w:val="tbRl"/>
            <w:vAlign w:val="center"/>
          </w:tcPr>
          <w:p w14:paraId="5A134754" w14:textId="77777777" w:rsidR="00074551" w:rsidRPr="00BE3728" w:rsidRDefault="00074551" w:rsidP="00367133">
            <w:pPr>
              <w:ind w:left="113" w:right="113"/>
              <w:jc w:val="both"/>
              <w:rPr>
                <w:sz w:val="20"/>
                <w:szCs w:val="20"/>
              </w:rPr>
            </w:pPr>
            <w:r w:rsidRPr="00BE3728">
              <w:rPr>
                <w:sz w:val="20"/>
                <w:szCs w:val="20"/>
              </w:rPr>
              <w:t>51 U.S. 402</w:t>
            </w:r>
          </w:p>
        </w:tc>
        <w:tc>
          <w:tcPr>
            <w:tcW w:w="306" w:type="pct"/>
            <w:textDirection w:val="tbRl"/>
            <w:vAlign w:val="center"/>
          </w:tcPr>
          <w:p w14:paraId="30A43D14" w14:textId="77777777" w:rsidR="00074551" w:rsidRPr="00BE3728" w:rsidRDefault="00074551" w:rsidP="00367133">
            <w:pPr>
              <w:ind w:left="113" w:right="113"/>
              <w:jc w:val="both"/>
              <w:rPr>
                <w:sz w:val="20"/>
                <w:szCs w:val="20"/>
              </w:rPr>
            </w:pPr>
            <w:r w:rsidRPr="00BE3728">
              <w:rPr>
                <w:sz w:val="20"/>
                <w:szCs w:val="20"/>
              </w:rPr>
              <w:t>22. Januar 1851</w:t>
            </w:r>
          </w:p>
        </w:tc>
        <w:tc>
          <w:tcPr>
            <w:tcW w:w="401" w:type="pct"/>
          </w:tcPr>
          <w:p w14:paraId="27C800C2" w14:textId="77777777" w:rsidR="00074551" w:rsidRPr="00BE3728" w:rsidRDefault="00074551" w:rsidP="00367133">
            <w:pPr>
              <w:jc w:val="center"/>
              <w:rPr>
                <w:sz w:val="20"/>
                <w:szCs w:val="20"/>
                <w:lang w:val="en-US"/>
              </w:rPr>
            </w:pPr>
            <w:r w:rsidRPr="00BE3728">
              <w:rPr>
                <w:sz w:val="20"/>
                <w:szCs w:val="20"/>
                <w:lang w:val="en-US"/>
              </w:rPr>
              <w:t>S</w:t>
            </w:r>
          </w:p>
        </w:tc>
        <w:tc>
          <w:tcPr>
            <w:tcW w:w="1594" w:type="pct"/>
          </w:tcPr>
          <w:p w14:paraId="3ED1D9CF"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die Ansprüche der Kanalkommissare zurück. Diese h</w:t>
            </w:r>
            <w:r>
              <w:rPr>
                <w:sz w:val="20"/>
                <w:szCs w:val="20"/>
              </w:rPr>
              <w:t>ä</w:t>
            </w:r>
            <w:r w:rsidRPr="00BE3728">
              <w:rPr>
                <w:sz w:val="20"/>
                <w:szCs w:val="20"/>
              </w:rPr>
              <w:t xml:space="preserve">tten kein Recht, die Verfassungsmäßigkeit eines Gesetzes </w:t>
            </w:r>
            <w:r>
              <w:rPr>
                <w:sz w:val="20"/>
                <w:szCs w:val="20"/>
              </w:rPr>
              <w:t>infrage</w:t>
            </w:r>
            <w:r w:rsidRPr="00BE3728">
              <w:rPr>
                <w:sz w:val="20"/>
                <w:szCs w:val="20"/>
              </w:rPr>
              <w:t xml:space="preserve"> zu stellen, </w:t>
            </w:r>
            <w:proofErr w:type="gramStart"/>
            <w:r w:rsidRPr="00BE3728">
              <w:rPr>
                <w:sz w:val="20"/>
                <w:szCs w:val="20"/>
              </w:rPr>
              <w:t>das</w:t>
            </w:r>
            <w:proofErr w:type="gramEnd"/>
            <w:r w:rsidRPr="00BE3728">
              <w:rPr>
                <w:sz w:val="20"/>
                <w:szCs w:val="20"/>
              </w:rPr>
              <w:t xml:space="preserve"> ihre Gehälter senkte. Der Bundesstaat Pennsylvania setzte sich</w:t>
            </w:r>
            <w:r>
              <w:rPr>
                <w:sz w:val="20"/>
                <w:szCs w:val="20"/>
              </w:rPr>
              <w:t xml:space="preserve"> somit</w:t>
            </w:r>
            <w:r w:rsidRPr="00BE3728">
              <w:rPr>
                <w:sz w:val="20"/>
                <w:szCs w:val="20"/>
              </w:rPr>
              <w:t xml:space="preserve"> gegen die Kommissare durch. Das Gesetz </w:t>
            </w:r>
            <w:r>
              <w:rPr>
                <w:sz w:val="20"/>
                <w:szCs w:val="20"/>
              </w:rPr>
              <w:t>habe</w:t>
            </w:r>
            <w:r w:rsidRPr="00BE3728">
              <w:rPr>
                <w:sz w:val="20"/>
                <w:szCs w:val="20"/>
              </w:rPr>
              <w:t xml:space="preserve"> rechtmäßig neue Gehälter fest</w:t>
            </w:r>
            <w:r>
              <w:rPr>
                <w:sz w:val="20"/>
                <w:szCs w:val="20"/>
              </w:rPr>
              <w:t>gelegt</w:t>
            </w:r>
            <w:r w:rsidRPr="00BE3728">
              <w:rPr>
                <w:sz w:val="20"/>
                <w:szCs w:val="20"/>
              </w:rPr>
              <w:t xml:space="preserve">. Die Kommissare, ernannt vom Gouverneur, forderten die vorherigen Gehälter. Der </w:t>
            </w:r>
            <w:r>
              <w:rPr>
                <w:sz w:val="20"/>
                <w:szCs w:val="20"/>
              </w:rPr>
              <w:t>U.S. Supreme Court</w:t>
            </w:r>
            <w:r w:rsidRPr="00BE3728">
              <w:rPr>
                <w:sz w:val="20"/>
                <w:szCs w:val="20"/>
              </w:rPr>
              <w:t xml:space="preserve"> sah keinen Vertragsbruch. Er entschied, dass es keinen Vertrag über die Dauerhaftigkeit eines Gehalts für die Dienste eines öffentlichen Beamten </w:t>
            </w:r>
            <w:r>
              <w:rPr>
                <w:sz w:val="20"/>
                <w:szCs w:val="20"/>
              </w:rPr>
              <w:t>gebe</w:t>
            </w:r>
            <w:r w:rsidRPr="00BE3728">
              <w:rPr>
                <w:sz w:val="20"/>
                <w:szCs w:val="20"/>
              </w:rPr>
              <w:t>. Jegliche Zusagen hingen vom Willen der Gesetzgeber ab. Die Gehälter öffentlicher Dienstleister l</w:t>
            </w:r>
            <w:r>
              <w:rPr>
                <w:sz w:val="20"/>
                <w:szCs w:val="20"/>
              </w:rPr>
              <w:t>ä</w:t>
            </w:r>
            <w:r w:rsidRPr="00BE3728">
              <w:rPr>
                <w:sz w:val="20"/>
                <w:szCs w:val="20"/>
              </w:rPr>
              <w:t>gen im Ermessen der Gesetzgeber. Und die Kommissare fielen nicht unter spezielle verfassungsrechtliche Gehaltsschutzregelungen wie Richter oder der Gouverneur.</w:t>
            </w:r>
            <w:r w:rsidRPr="00BE3728">
              <w:rPr>
                <w:rStyle w:val="Funotenzeichen"/>
                <w:sz w:val="20"/>
                <w:szCs w:val="20"/>
              </w:rPr>
              <w:footnoteReference w:id="1576"/>
            </w:r>
          </w:p>
          <w:p w14:paraId="139DB10B" w14:textId="77777777" w:rsidR="00074551" w:rsidRPr="00BE3728" w:rsidRDefault="00074551" w:rsidP="00367133">
            <w:pPr>
              <w:jc w:val="both"/>
              <w:rPr>
                <w:sz w:val="20"/>
                <w:szCs w:val="20"/>
              </w:rPr>
            </w:pPr>
          </w:p>
        </w:tc>
        <w:tc>
          <w:tcPr>
            <w:tcW w:w="1822" w:type="pct"/>
          </w:tcPr>
          <w:p w14:paraId="239DBA7B"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w:t>
            </w:r>
            <w:r>
              <w:rPr>
                <w:i/>
                <w:sz w:val="20"/>
                <w:szCs w:val="20"/>
                <w:lang w:val="en-IE"/>
              </w:rPr>
              <w:t xml:space="preserve"> </w:t>
            </w:r>
            <w:r w:rsidRPr="00B45592">
              <w:rPr>
                <w:i/>
                <w:sz w:val="20"/>
                <w:szCs w:val="20"/>
                <w:lang w:val="en-US"/>
              </w:rPr>
              <w:t>Governments › State &amp; Territorial Governments › Employees &amp; Officials</w:t>
            </w:r>
          </w:p>
          <w:p w14:paraId="7507BF19" w14:textId="77777777" w:rsidR="00074551" w:rsidRPr="00BE3728" w:rsidRDefault="00074551" w:rsidP="00367133">
            <w:pPr>
              <w:jc w:val="both"/>
              <w:rPr>
                <w:sz w:val="20"/>
                <w:szCs w:val="20"/>
                <w:lang w:val="en-US"/>
              </w:rPr>
            </w:pPr>
          </w:p>
          <w:p w14:paraId="453B07AF" w14:textId="77777777" w:rsidR="00074551" w:rsidRDefault="00074551" w:rsidP="00367133">
            <w:pPr>
              <w:jc w:val="both"/>
              <w:rPr>
                <w:sz w:val="20"/>
                <w:szCs w:val="20"/>
              </w:rPr>
            </w:pPr>
            <w:r w:rsidRPr="00BE3728">
              <w:rPr>
                <w:sz w:val="20"/>
                <w:szCs w:val="20"/>
              </w:rPr>
              <w:t xml:space="preserve">Eine Regierung muss </w:t>
            </w:r>
            <w:r>
              <w:rPr>
                <w:sz w:val="20"/>
                <w:szCs w:val="20"/>
              </w:rPr>
              <w:t xml:space="preserve">die </w:t>
            </w:r>
            <w:r w:rsidRPr="00BE3728">
              <w:rPr>
                <w:sz w:val="20"/>
                <w:szCs w:val="20"/>
              </w:rPr>
              <w:t>Kompetenz haben, Gesetze zu erlassen und aufzuheben</w:t>
            </w:r>
            <w:r>
              <w:rPr>
                <w:sz w:val="20"/>
                <w:szCs w:val="20"/>
              </w:rPr>
              <w:t>,</w:t>
            </w:r>
            <w:r w:rsidRPr="00BE3728">
              <w:rPr>
                <w:sz w:val="20"/>
                <w:szCs w:val="20"/>
              </w:rPr>
              <w:t xml:space="preserve"> </w:t>
            </w:r>
            <w:r>
              <w:rPr>
                <w:sz w:val="20"/>
                <w:szCs w:val="20"/>
              </w:rPr>
              <w:t>und</w:t>
            </w:r>
            <w:r w:rsidRPr="00BE3728">
              <w:rPr>
                <w:sz w:val="20"/>
                <w:szCs w:val="20"/>
              </w:rPr>
              <w:t xml:space="preserve"> um diese Gesetze durchzusetzen, muss die Regierung Organe gründen, ändern oder aufheben können. Diese Kompetenz sei unverzichtbar, um das Staatswesens und die Sicherheit der Gemeinschaft zu erhalten. Die Kompetenz und ihren Umfang steuern höhere organische Gesetz und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Wenn diese nicht beschränken, dann liegt das staatliche Handeln auf Grundlage der Kompetenz im Ermessen der Regierung.</w:t>
            </w:r>
            <w:r w:rsidRPr="00BE3728">
              <w:rPr>
                <w:rStyle w:val="Funotenzeichen"/>
                <w:sz w:val="20"/>
                <w:szCs w:val="20"/>
              </w:rPr>
              <w:footnoteReference w:id="1577"/>
            </w:r>
          </w:p>
          <w:p w14:paraId="04A2AA1B" w14:textId="77777777" w:rsidR="00074551" w:rsidRDefault="00074551" w:rsidP="00367133">
            <w:pPr>
              <w:jc w:val="both"/>
              <w:rPr>
                <w:sz w:val="20"/>
                <w:szCs w:val="20"/>
              </w:rPr>
            </w:pPr>
          </w:p>
          <w:p w14:paraId="6F648601" w14:textId="77777777"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stellte heraus, dass bei öffentlichen Zuwendungen wie einem Beamtengehalt eine strenge Prüfung erfolgen müsse („</w:t>
            </w:r>
            <w:proofErr w:type="spellStart"/>
            <w:r w:rsidRPr="00BE3728">
              <w:rPr>
                <w:sz w:val="20"/>
                <w:szCs w:val="20"/>
              </w:rPr>
              <w:t>grants</w:t>
            </w:r>
            <w:proofErr w:type="spellEnd"/>
            <w:r w:rsidRPr="00BE3728">
              <w:rPr>
                <w:sz w:val="20"/>
                <w:szCs w:val="20"/>
              </w:rPr>
              <w:t xml:space="preserve"> by the </w:t>
            </w:r>
            <w:proofErr w:type="spellStart"/>
            <w:r w:rsidRPr="00BE3728">
              <w:rPr>
                <w:sz w:val="20"/>
                <w:szCs w:val="20"/>
              </w:rPr>
              <w:t>public</w:t>
            </w:r>
            <w:proofErr w:type="spellEnd"/>
            <w:r w:rsidRPr="00BE3728">
              <w:rPr>
                <w:sz w:val="20"/>
                <w:szCs w:val="20"/>
              </w:rPr>
              <w:t xml:space="preserve">, </w:t>
            </w:r>
            <w:proofErr w:type="spellStart"/>
            <w:r w:rsidRPr="00BE3728">
              <w:rPr>
                <w:sz w:val="20"/>
                <w:szCs w:val="20"/>
              </w:rPr>
              <w:t>nothing</w:t>
            </w:r>
            <w:proofErr w:type="spellEnd"/>
            <w:r w:rsidRPr="00BE3728">
              <w:rPr>
                <w:sz w:val="20"/>
                <w:szCs w:val="20"/>
              </w:rPr>
              <w:t xml:space="preserve"> </w:t>
            </w:r>
            <w:proofErr w:type="spellStart"/>
            <w:r w:rsidRPr="00BE3728">
              <w:rPr>
                <w:sz w:val="20"/>
                <w:szCs w:val="20"/>
              </w:rPr>
              <w:t>passes</w:t>
            </w:r>
            <w:proofErr w:type="spellEnd"/>
            <w:r w:rsidRPr="00BE3728">
              <w:rPr>
                <w:sz w:val="20"/>
                <w:szCs w:val="20"/>
              </w:rPr>
              <w:t xml:space="preserve"> by </w:t>
            </w:r>
            <w:proofErr w:type="spellStart"/>
            <w:r w:rsidRPr="00BE3728">
              <w:rPr>
                <w:sz w:val="20"/>
                <w:szCs w:val="20"/>
              </w:rPr>
              <w:t>implication</w:t>
            </w:r>
            <w:proofErr w:type="spellEnd"/>
            <w:r w:rsidRPr="00BE3728">
              <w:rPr>
                <w:sz w:val="20"/>
                <w:szCs w:val="20"/>
              </w:rPr>
              <w:t xml:space="preserve">“). </w:t>
            </w:r>
            <w:r>
              <w:rPr>
                <w:sz w:val="20"/>
                <w:szCs w:val="20"/>
              </w:rPr>
              <w:t>Diese zielt darauf ab</w:t>
            </w:r>
            <w:r w:rsidRPr="00BE3728">
              <w:rPr>
                <w:sz w:val="20"/>
                <w:szCs w:val="20"/>
              </w:rPr>
              <w:t xml:space="preserve">, ob der Zweck und das Ziel </w:t>
            </w:r>
            <w:r>
              <w:rPr>
                <w:sz w:val="20"/>
                <w:szCs w:val="20"/>
              </w:rPr>
              <w:t xml:space="preserve">der </w:t>
            </w:r>
            <w:r w:rsidRPr="00BE3728">
              <w:rPr>
                <w:sz w:val="20"/>
                <w:szCs w:val="20"/>
              </w:rPr>
              <w:t>Regierung eingehalte</w:t>
            </w:r>
            <w:r>
              <w:rPr>
                <w:sz w:val="20"/>
                <w:szCs w:val="20"/>
              </w:rPr>
              <w:t>n</w:t>
            </w:r>
            <w:r w:rsidRPr="00BE3728">
              <w:rPr>
                <w:sz w:val="20"/>
                <w:szCs w:val="20"/>
              </w:rPr>
              <w:t xml:space="preserve"> würde</w:t>
            </w:r>
            <w:r>
              <w:rPr>
                <w:sz w:val="20"/>
                <w:szCs w:val="20"/>
              </w:rPr>
              <w:t>n</w:t>
            </w:r>
            <w:r w:rsidRPr="00BE3728">
              <w:rPr>
                <w:sz w:val="20"/>
                <w:szCs w:val="20"/>
              </w:rPr>
              <w:t xml:space="preserve">. Gemeint ist wiederum: </w:t>
            </w:r>
            <w:r>
              <w:rPr>
                <w:sz w:val="20"/>
                <w:szCs w:val="20"/>
              </w:rPr>
              <w:t>o</w:t>
            </w:r>
            <w:r w:rsidRPr="00BE3728">
              <w:rPr>
                <w:sz w:val="20"/>
                <w:szCs w:val="20"/>
              </w:rPr>
              <w:t>b das Glück und der Wohlstand der Gemeinschaft gefördert würde</w:t>
            </w:r>
            <w:r>
              <w:rPr>
                <w:sz w:val="20"/>
                <w:szCs w:val="20"/>
              </w:rPr>
              <w:t>n</w:t>
            </w:r>
            <w:r w:rsidRPr="00BE3728">
              <w:rPr>
                <w:sz w:val="20"/>
                <w:szCs w:val="20"/>
              </w:rPr>
              <w:t xml:space="preserve"> („promote the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of the </w:t>
            </w:r>
            <w:proofErr w:type="spellStart"/>
            <w:r w:rsidRPr="00BE3728">
              <w:rPr>
                <w:sz w:val="20"/>
                <w:szCs w:val="20"/>
              </w:rPr>
              <w:t>community</w:t>
            </w:r>
            <w:proofErr w:type="spellEnd"/>
            <w:r w:rsidRPr="00BE3728">
              <w:rPr>
                <w:sz w:val="20"/>
                <w:szCs w:val="20"/>
              </w:rPr>
              <w:t>“</w:t>
            </w:r>
            <w:r w:rsidRPr="00BE3728">
              <w:rPr>
                <w:rStyle w:val="Funotenzeichen"/>
                <w:sz w:val="20"/>
                <w:szCs w:val="20"/>
              </w:rPr>
              <w:footnoteReference w:id="1578"/>
            </w:r>
            <w:r w:rsidRPr="00BE3728">
              <w:rPr>
                <w:sz w:val="20"/>
                <w:szCs w:val="20"/>
              </w:rPr>
              <w:t xml:space="preserve">). Das präge sich im Fall wie </w:t>
            </w:r>
            <w:r>
              <w:rPr>
                <w:sz w:val="20"/>
                <w:szCs w:val="20"/>
              </w:rPr>
              <w:t>f</w:t>
            </w:r>
            <w:r w:rsidRPr="00BE3728">
              <w:rPr>
                <w:sz w:val="20"/>
                <w:szCs w:val="20"/>
              </w:rPr>
              <w:t>olgt aus: Wenn Beamte</w:t>
            </w:r>
            <w:r>
              <w:rPr>
                <w:sz w:val="20"/>
                <w:szCs w:val="20"/>
              </w:rPr>
              <w:t>,</w:t>
            </w:r>
            <w:r w:rsidRPr="00BE3728">
              <w:rPr>
                <w:sz w:val="20"/>
                <w:szCs w:val="20"/>
              </w:rPr>
              <w:t xml:space="preserve"> wie hier Kanalkommissare</w:t>
            </w:r>
            <w:r>
              <w:rPr>
                <w:sz w:val="20"/>
                <w:szCs w:val="20"/>
              </w:rPr>
              <w:t>,</w:t>
            </w:r>
            <w:r w:rsidRPr="00BE3728">
              <w:rPr>
                <w:sz w:val="20"/>
                <w:szCs w:val="20"/>
              </w:rPr>
              <w:t xml:space="preserve"> mit bestimmten definierten und begrenzten Befugnissen ausgestattet seien</w:t>
            </w:r>
            <w:r>
              <w:rPr>
                <w:sz w:val="20"/>
                <w:szCs w:val="20"/>
              </w:rPr>
              <w:t xml:space="preserve"> und</w:t>
            </w:r>
            <w:r w:rsidRPr="00BE3728">
              <w:rPr>
                <w:sz w:val="20"/>
                <w:szCs w:val="20"/>
              </w:rPr>
              <w:t xml:space="preserve"> öffentliche Aufgaben erfüll</w:t>
            </w:r>
            <w:r>
              <w:rPr>
                <w:sz w:val="20"/>
                <w:szCs w:val="20"/>
              </w:rPr>
              <w:t>t</w:t>
            </w:r>
            <w:r w:rsidRPr="00BE3728">
              <w:rPr>
                <w:sz w:val="20"/>
                <w:szCs w:val="20"/>
              </w:rPr>
              <w:t>en, die eine gesetzliche Grundlage regelt</w:t>
            </w:r>
            <w:r>
              <w:rPr>
                <w:sz w:val="20"/>
                <w:szCs w:val="20"/>
              </w:rPr>
              <w:t> –</w:t>
            </w:r>
            <w:r w:rsidRPr="00BE3728">
              <w:rPr>
                <w:sz w:val="20"/>
                <w:szCs w:val="20"/>
              </w:rPr>
              <w:t xml:space="preserve"> wobei eine Überprüfung sta</w:t>
            </w:r>
            <w:r>
              <w:rPr>
                <w:sz w:val="20"/>
                <w:szCs w:val="20"/>
              </w:rPr>
              <w:t>tt</w:t>
            </w:r>
            <w:r w:rsidRPr="00BE3728">
              <w:rPr>
                <w:sz w:val="20"/>
                <w:szCs w:val="20"/>
              </w:rPr>
              <w:t>finde, ob sie noch im öffentlichen Interesse handel</w:t>
            </w:r>
            <w:r>
              <w:rPr>
                <w:sz w:val="20"/>
                <w:szCs w:val="20"/>
              </w:rPr>
              <w:t>te</w:t>
            </w:r>
            <w:r w:rsidRPr="00BE3728">
              <w:rPr>
                <w:sz w:val="20"/>
                <w:szCs w:val="20"/>
              </w:rPr>
              <w:t>n</w:t>
            </w:r>
            <w:r>
              <w:rPr>
                <w:sz w:val="20"/>
                <w:szCs w:val="20"/>
              </w:rPr>
              <w:t> –</w:t>
            </w:r>
            <w:r w:rsidRPr="00BE3728">
              <w:rPr>
                <w:sz w:val="20"/>
                <w:szCs w:val="20"/>
              </w:rPr>
              <w:t>, dann könne der Staat das Beamtengehalt anpassen.</w:t>
            </w:r>
            <w:r w:rsidRPr="00BE3728">
              <w:rPr>
                <w:rStyle w:val="Funotenzeichen"/>
                <w:sz w:val="20"/>
                <w:szCs w:val="20"/>
              </w:rPr>
              <w:footnoteReference w:id="1579"/>
            </w:r>
          </w:p>
          <w:p w14:paraId="7E75B70A" w14:textId="77777777" w:rsidR="00074551" w:rsidRPr="00996DA4" w:rsidRDefault="00074551" w:rsidP="00367133">
            <w:pPr>
              <w:jc w:val="both"/>
              <w:rPr>
                <w:sz w:val="20"/>
                <w:szCs w:val="20"/>
              </w:rPr>
            </w:pPr>
          </w:p>
        </w:tc>
      </w:tr>
      <w:tr w:rsidR="00074551" w:rsidRPr="00E50B51" w14:paraId="1BF73991" w14:textId="77777777" w:rsidTr="00BE689F">
        <w:trPr>
          <w:cantSplit/>
          <w:trHeight w:val="3175"/>
        </w:trPr>
        <w:tc>
          <w:tcPr>
            <w:tcW w:w="293" w:type="pct"/>
          </w:tcPr>
          <w:p w14:paraId="531A66BF" w14:textId="77777777" w:rsidR="00074551" w:rsidRPr="00BE3728"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6E4844E" w14:textId="77777777" w:rsidR="00074551" w:rsidRPr="00B45592" w:rsidRDefault="00074551" w:rsidP="00367133">
            <w:pPr>
              <w:ind w:left="113" w:right="416"/>
              <w:jc w:val="both"/>
              <w:rPr>
                <w:i/>
                <w:sz w:val="20"/>
                <w:szCs w:val="20"/>
              </w:rPr>
            </w:pPr>
            <w:r w:rsidRPr="00B45592">
              <w:rPr>
                <w:i/>
                <w:sz w:val="20"/>
                <w:szCs w:val="20"/>
              </w:rPr>
              <w:t xml:space="preserve">Ex </w:t>
            </w:r>
            <w:proofErr w:type="spellStart"/>
            <w:r w:rsidRPr="00B45592">
              <w:rPr>
                <w:i/>
                <w:sz w:val="20"/>
                <w:szCs w:val="20"/>
              </w:rPr>
              <w:t>parte</w:t>
            </w:r>
            <w:proofErr w:type="spellEnd"/>
            <w:r w:rsidRPr="00B45592">
              <w:rPr>
                <w:i/>
                <w:sz w:val="20"/>
                <w:szCs w:val="20"/>
              </w:rPr>
              <w:t xml:space="preserve"> Clarke</w:t>
            </w:r>
          </w:p>
        </w:tc>
        <w:tc>
          <w:tcPr>
            <w:tcW w:w="197" w:type="pct"/>
            <w:textDirection w:val="tbRl"/>
            <w:vAlign w:val="center"/>
          </w:tcPr>
          <w:p w14:paraId="77B472C8" w14:textId="77777777" w:rsidR="00074551" w:rsidRPr="00BE3728" w:rsidRDefault="00074551" w:rsidP="00367133">
            <w:pPr>
              <w:ind w:left="113" w:right="113"/>
              <w:jc w:val="both"/>
              <w:rPr>
                <w:sz w:val="20"/>
                <w:szCs w:val="20"/>
              </w:rPr>
            </w:pPr>
            <w:r w:rsidRPr="00BE3728">
              <w:rPr>
                <w:sz w:val="20"/>
                <w:szCs w:val="20"/>
              </w:rPr>
              <w:t>100 U.S. 399</w:t>
            </w:r>
          </w:p>
        </w:tc>
        <w:tc>
          <w:tcPr>
            <w:tcW w:w="306" w:type="pct"/>
            <w:textDirection w:val="tbRl"/>
            <w:vAlign w:val="center"/>
          </w:tcPr>
          <w:p w14:paraId="60A469AD" w14:textId="77777777" w:rsidR="00074551" w:rsidRPr="00BE3728" w:rsidRDefault="00074551" w:rsidP="00367133">
            <w:pPr>
              <w:ind w:left="113" w:right="113"/>
              <w:jc w:val="both"/>
              <w:rPr>
                <w:sz w:val="20"/>
                <w:szCs w:val="20"/>
              </w:rPr>
            </w:pPr>
            <w:r w:rsidRPr="00BE3728">
              <w:rPr>
                <w:sz w:val="20"/>
                <w:szCs w:val="20"/>
              </w:rPr>
              <w:t>01. Oktober 1879</w:t>
            </w:r>
          </w:p>
        </w:tc>
        <w:tc>
          <w:tcPr>
            <w:tcW w:w="401" w:type="pct"/>
          </w:tcPr>
          <w:p w14:paraId="1E76F7D4" w14:textId="77777777" w:rsidR="00074551" w:rsidRPr="00BE3728" w:rsidRDefault="00074551" w:rsidP="00367133">
            <w:pPr>
              <w:jc w:val="center"/>
              <w:rPr>
                <w:sz w:val="20"/>
                <w:szCs w:val="20"/>
                <w:lang w:val="en-US"/>
              </w:rPr>
            </w:pPr>
            <w:r w:rsidRPr="00BE3728">
              <w:rPr>
                <w:sz w:val="20"/>
                <w:szCs w:val="20"/>
                <w:lang w:val="en-US"/>
              </w:rPr>
              <w:t>D</w:t>
            </w:r>
          </w:p>
        </w:tc>
        <w:tc>
          <w:tcPr>
            <w:tcW w:w="1594" w:type="pct"/>
          </w:tcPr>
          <w:p w14:paraId="550E3BA8" w14:textId="7287A217" w:rsidR="00074551" w:rsidRPr="00BE3728" w:rsidRDefault="00074551" w:rsidP="00367133">
            <w:pPr>
              <w:jc w:val="both"/>
              <w:rPr>
                <w:sz w:val="20"/>
                <w:szCs w:val="20"/>
              </w:rPr>
            </w:pPr>
            <w:r w:rsidRPr="00BE3728">
              <w:rPr>
                <w:sz w:val="20"/>
                <w:szCs w:val="20"/>
              </w:rPr>
              <w:t xml:space="preserve">Ein einzelner Richter </w:t>
            </w:r>
            <w:r w:rsidR="00E65E9E">
              <w:rPr>
                <w:sz w:val="20"/>
                <w:szCs w:val="20"/>
              </w:rPr>
              <w:t>eines</w:t>
            </w:r>
            <w:r w:rsidRPr="00BE3728">
              <w:rPr>
                <w:sz w:val="20"/>
                <w:szCs w:val="20"/>
              </w:rPr>
              <w:t xml:space="preserve"> Gerichts handelte verfassungskonform, wenn er die Überprüfung eines Haftprüfungsbeschluss</w:t>
            </w:r>
            <w:r>
              <w:rPr>
                <w:sz w:val="20"/>
                <w:szCs w:val="20"/>
              </w:rPr>
              <w:t>es</w:t>
            </w:r>
            <w:r w:rsidRPr="00BE3728">
              <w:rPr>
                <w:sz w:val="20"/>
                <w:szCs w:val="20"/>
              </w:rPr>
              <w:t xml:space="preserve"> an die Kammer verwies, weil die Sache eine besondere Schwierigkeit tatsächlicher oder rechtlicher Art aufwies und die Rechtssache eine grundsätzliche Bedeutung ha</w:t>
            </w:r>
            <w:r>
              <w:rPr>
                <w:sz w:val="20"/>
                <w:szCs w:val="20"/>
              </w:rPr>
              <w:t>tt</w:t>
            </w:r>
            <w:r w:rsidRPr="00BE3728">
              <w:rPr>
                <w:sz w:val="20"/>
                <w:szCs w:val="20"/>
              </w:rPr>
              <w:t>e. Der Fall dreh</w:t>
            </w:r>
            <w:r>
              <w:rPr>
                <w:sz w:val="20"/>
                <w:szCs w:val="20"/>
              </w:rPr>
              <w:t>t</w:t>
            </w:r>
            <w:r w:rsidRPr="00BE3728">
              <w:rPr>
                <w:sz w:val="20"/>
                <w:szCs w:val="20"/>
              </w:rPr>
              <w:t xml:space="preserve">e sich darum, dass ein Wahlbeamter gegen seine Pflichten </w:t>
            </w:r>
            <w:r>
              <w:rPr>
                <w:sz w:val="20"/>
                <w:szCs w:val="20"/>
              </w:rPr>
              <w:t>verstoßen hatte</w:t>
            </w:r>
            <w:r w:rsidRPr="00BE3728">
              <w:rPr>
                <w:sz w:val="20"/>
                <w:szCs w:val="20"/>
              </w:rPr>
              <w:t xml:space="preserve">. Er ließ zu, dass jemand das Siegel der Wahlbücher brechen konnte, bevor die Beamten </w:t>
            </w:r>
            <w:r>
              <w:rPr>
                <w:sz w:val="20"/>
                <w:szCs w:val="20"/>
              </w:rPr>
              <w:t xml:space="preserve">mit der Auszählung </w:t>
            </w:r>
            <w:r w:rsidRPr="00BE3728">
              <w:rPr>
                <w:sz w:val="20"/>
                <w:szCs w:val="20"/>
              </w:rPr>
              <w:t xml:space="preserve">begannen. Das verstieß gegen das bundesstaatliche Gesetz: </w:t>
            </w:r>
            <w:r>
              <w:rPr>
                <w:sz w:val="20"/>
                <w:szCs w:val="20"/>
              </w:rPr>
              <w:t>§ </w:t>
            </w:r>
            <w:r w:rsidRPr="00BE3728">
              <w:rPr>
                <w:sz w:val="20"/>
                <w:szCs w:val="20"/>
              </w:rPr>
              <w:t xml:space="preserve">5515 </w:t>
            </w:r>
            <w:r>
              <w:rPr>
                <w:sz w:val="20"/>
                <w:szCs w:val="20"/>
              </w:rPr>
              <w:t>der</w:t>
            </w:r>
            <w:r w:rsidRPr="00BE3728">
              <w:rPr>
                <w:sz w:val="20"/>
                <w:szCs w:val="20"/>
              </w:rPr>
              <w:t xml:space="preserve"> </w:t>
            </w:r>
            <w:proofErr w:type="spellStart"/>
            <w:r w:rsidRPr="5B67C1D2">
              <w:rPr>
                <w:i/>
                <w:iCs/>
                <w:sz w:val="20"/>
                <w:szCs w:val="20"/>
              </w:rPr>
              <w:t>Revised</w:t>
            </w:r>
            <w:proofErr w:type="spellEnd"/>
            <w:r w:rsidRPr="5B67C1D2">
              <w:rPr>
                <w:i/>
                <w:iCs/>
                <w:sz w:val="20"/>
                <w:szCs w:val="20"/>
              </w:rPr>
              <w:t xml:space="preserve"> Statutes</w:t>
            </w:r>
            <w:r w:rsidRPr="00B45592">
              <w:rPr>
                <w:rStyle w:val="Funotenzeichen"/>
                <w:sz w:val="20"/>
                <w:szCs w:val="20"/>
                <w:vertAlign w:val="baseline"/>
              </w:rPr>
              <w:t>.</w:t>
            </w:r>
            <w:r w:rsidRPr="00BE3728">
              <w:rPr>
                <w:rStyle w:val="Funotenzeichen"/>
                <w:sz w:val="20"/>
                <w:szCs w:val="20"/>
                <w:lang w:val="en-US"/>
              </w:rPr>
              <w:footnoteReference w:id="1580"/>
            </w:r>
            <w:r w:rsidRPr="00BE3728">
              <w:rPr>
                <w:sz w:val="20"/>
                <w:szCs w:val="20"/>
              </w:rPr>
              <w:t xml:space="preserve"> Der </w:t>
            </w:r>
            <w:r>
              <w:rPr>
                <w:sz w:val="20"/>
                <w:szCs w:val="20"/>
              </w:rPr>
              <w:t>U.S. Supreme Court</w:t>
            </w:r>
            <w:r w:rsidRPr="00BE3728">
              <w:rPr>
                <w:sz w:val="20"/>
                <w:szCs w:val="20"/>
              </w:rPr>
              <w:t xml:space="preserve"> urteilte, dass der </w:t>
            </w:r>
            <w:proofErr w:type="spellStart"/>
            <w:r w:rsidRPr="00BE3728">
              <w:rPr>
                <w:sz w:val="20"/>
                <w:szCs w:val="20"/>
              </w:rPr>
              <w:t>Congress</w:t>
            </w:r>
            <w:proofErr w:type="spellEnd"/>
            <w:r w:rsidRPr="00BE3728">
              <w:rPr>
                <w:sz w:val="20"/>
                <w:szCs w:val="20"/>
              </w:rPr>
              <w:t xml:space="preserve"> in the </w:t>
            </w:r>
            <w:r>
              <w:rPr>
                <w:sz w:val="20"/>
                <w:szCs w:val="20"/>
              </w:rPr>
              <w:t>C</w:t>
            </w:r>
            <w:r w:rsidRPr="00BE3728">
              <w:rPr>
                <w:sz w:val="20"/>
                <w:szCs w:val="20"/>
              </w:rPr>
              <w:t>ity of Cincinnati die Kompetenz habe, ein solches Gesetz zu erlassen, das einen Wahlbeamten für die Verletzung seiner Pflicht bei der Wahl eines lokalen Kongressabgeordneten bestraf</w:t>
            </w:r>
            <w:r>
              <w:rPr>
                <w:sz w:val="20"/>
                <w:szCs w:val="20"/>
              </w:rPr>
              <w:t>t</w:t>
            </w:r>
            <w:r w:rsidRPr="00BE3728">
              <w:rPr>
                <w:sz w:val="20"/>
                <w:szCs w:val="20"/>
              </w:rPr>
              <w:t xml:space="preserve">e. Der Grund für seine Inhaftierung sei auch ausreichend. Hinsichtlich der Überweisung des Falls an das gesamte Gericht durch einen Richter stellte der </w:t>
            </w:r>
            <w:r>
              <w:rPr>
                <w:sz w:val="20"/>
                <w:szCs w:val="20"/>
              </w:rPr>
              <w:t>U.S. Supreme Court</w:t>
            </w:r>
            <w:r w:rsidRPr="00BE3728">
              <w:rPr>
                <w:sz w:val="20"/>
                <w:szCs w:val="20"/>
              </w:rPr>
              <w:t xml:space="preserve"> fest, dass nichts den Richter daran hinderte, den Fall zu überweisen, weil die Sache eine besondere Schwierigkeit rechtlicher Art aufwies – schließlich ging es um Haft und die Entscheidung des </w:t>
            </w:r>
            <w:r w:rsidRPr="00B45592">
              <w:rPr>
                <w:sz w:val="20"/>
                <w:szCs w:val="20"/>
              </w:rPr>
              <w:t>U.S.</w:t>
            </w:r>
            <w:r w:rsidRPr="00BE3728">
              <w:rPr>
                <w:sz w:val="20"/>
                <w:szCs w:val="20"/>
              </w:rPr>
              <w:t xml:space="preserve"> Circuit Court.</w:t>
            </w:r>
            <w:r w:rsidRPr="00BE3728">
              <w:rPr>
                <w:rStyle w:val="Funotenzeichen"/>
                <w:sz w:val="20"/>
                <w:szCs w:val="20"/>
              </w:rPr>
              <w:footnoteReference w:id="1581"/>
            </w:r>
          </w:p>
        </w:tc>
        <w:tc>
          <w:tcPr>
            <w:tcW w:w="1822" w:type="pct"/>
          </w:tcPr>
          <w:p w14:paraId="1E138C5A" w14:textId="77777777" w:rsidR="00074551" w:rsidRPr="00B45592" w:rsidRDefault="00074551" w:rsidP="00367133">
            <w:pPr>
              <w:jc w:val="both"/>
              <w:rPr>
                <w:i/>
                <w:sz w:val="20"/>
                <w:szCs w:val="20"/>
                <w:lang w:val="en-IE"/>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w:t>
            </w:r>
            <w:r>
              <w:rPr>
                <w:i/>
                <w:sz w:val="20"/>
                <w:szCs w:val="20"/>
                <w:lang w:val="en-IE"/>
              </w:rPr>
              <w:t xml:space="preserve"> </w:t>
            </w:r>
            <w:r w:rsidRPr="00B45592">
              <w:rPr>
                <w:i/>
                <w:sz w:val="20"/>
                <w:szCs w:val="20"/>
                <w:lang w:val="en-IE"/>
              </w:rPr>
              <w:t>Governments › Courts › Authority to Adjudicate</w:t>
            </w:r>
          </w:p>
          <w:p w14:paraId="6EFC16E2" w14:textId="77777777" w:rsidR="00074551" w:rsidRPr="00B45592" w:rsidRDefault="00074551" w:rsidP="00367133">
            <w:pPr>
              <w:jc w:val="both"/>
              <w:rPr>
                <w:sz w:val="20"/>
                <w:szCs w:val="20"/>
                <w:lang w:val="en-IE"/>
              </w:rPr>
            </w:pPr>
          </w:p>
          <w:p w14:paraId="5806D329" w14:textId="77777777" w:rsidR="00074551" w:rsidRDefault="00074551" w:rsidP="00367133">
            <w:pPr>
              <w:jc w:val="both"/>
              <w:rPr>
                <w:sz w:val="20"/>
                <w:szCs w:val="20"/>
              </w:rPr>
            </w:pPr>
            <w:r w:rsidRPr="00BE3728">
              <w:rPr>
                <w:sz w:val="20"/>
                <w:szCs w:val="20"/>
              </w:rPr>
              <w:t xml:space="preserve">Kein Richter wird einen Fall an das Gericht verweisen, wenn er ihn selbst zufriedenstellend entscheiden kann, und er wird dies in keinem Fall tun, </w:t>
            </w:r>
            <w:r>
              <w:rPr>
                <w:sz w:val="20"/>
                <w:szCs w:val="20"/>
              </w:rPr>
              <w:t>wenn</w:t>
            </w:r>
            <w:r w:rsidRPr="00BE3728">
              <w:rPr>
                <w:sz w:val="20"/>
                <w:szCs w:val="20"/>
              </w:rPr>
              <w:t xml:space="preserve"> dem Antragsteller dadurch ein Schaden entsteht.</w:t>
            </w:r>
          </w:p>
          <w:p w14:paraId="18DFBDDD" w14:textId="77777777" w:rsidR="00074551" w:rsidRDefault="00074551" w:rsidP="00367133">
            <w:pPr>
              <w:jc w:val="both"/>
              <w:rPr>
                <w:sz w:val="20"/>
                <w:szCs w:val="20"/>
              </w:rPr>
            </w:pPr>
          </w:p>
          <w:p w14:paraId="5A838553" w14:textId="77777777" w:rsidR="00074551" w:rsidRDefault="00074551" w:rsidP="00367133">
            <w:pPr>
              <w:jc w:val="both"/>
              <w:rPr>
                <w:sz w:val="20"/>
                <w:szCs w:val="20"/>
              </w:rPr>
            </w:pPr>
            <w:r w:rsidRPr="00BE3728">
              <w:rPr>
                <w:sz w:val="20"/>
                <w:szCs w:val="20"/>
              </w:rPr>
              <w:t xml:space="preserve">Der Dissens meint,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 xml:space="preserve"> </w:t>
            </w:r>
            <w:r w:rsidRPr="00BE3728">
              <w:rPr>
                <w:sz w:val="20"/>
                <w:szCs w:val="20"/>
              </w:rPr>
              <w:t>habe übersehen, dass das streitgegenständliche Gesetz im Fall nicht Anwendung finde. Denn das Gesetz legitim</w:t>
            </w:r>
            <w:r>
              <w:rPr>
                <w:sz w:val="20"/>
                <w:szCs w:val="20"/>
              </w:rPr>
              <w:t>i</w:t>
            </w:r>
            <w:r w:rsidRPr="00BE3728">
              <w:rPr>
                <w:sz w:val="20"/>
                <w:szCs w:val="20"/>
              </w:rPr>
              <w:t>ere den Bund nicht dazu, in Angelegenheiten eines Bundesstaats einzugreifen. Der Fall drehe sich um bundesstaatliche Wahlrichter. Damit seien die Bundesstaaten zuständig</w:t>
            </w:r>
            <w:r>
              <w:rPr>
                <w:sz w:val="20"/>
                <w:szCs w:val="20"/>
              </w:rPr>
              <w:t>, d</w:t>
            </w:r>
            <w:r w:rsidRPr="00BE3728">
              <w:rPr>
                <w:sz w:val="20"/>
                <w:szCs w:val="20"/>
              </w:rPr>
              <w:t>enn sie beaufsichtig</w:t>
            </w:r>
            <w:r>
              <w:rPr>
                <w:sz w:val="20"/>
                <w:szCs w:val="20"/>
              </w:rPr>
              <w:t>t</w:t>
            </w:r>
            <w:r w:rsidRPr="00BE3728">
              <w:rPr>
                <w:sz w:val="20"/>
                <w:szCs w:val="20"/>
              </w:rPr>
              <w:t xml:space="preserve">en interne Angelegenheit wie ihre Wahlen. Zudem </w:t>
            </w:r>
            <w:r>
              <w:rPr>
                <w:sz w:val="20"/>
                <w:szCs w:val="20"/>
              </w:rPr>
              <w:t>habe</w:t>
            </w:r>
            <w:r w:rsidRPr="00BE3728">
              <w:rPr>
                <w:sz w:val="20"/>
                <w:szCs w:val="20"/>
              </w:rPr>
              <w:t xml:space="preserve"> das streitgegenständliche Gesetz ein anderes Ziel, nämlich Wahlbetrug bei Mitgliedern des Kongresses zu verhindern. Der Wortlaut decke nicht, bundesstaatliche Beamte wie Wahlrichter zu kontrollieren. Zudem seien bundesstaatliche Beamte durch Staatsziele ohnehin verpflichtet, innere Angelegenheiten mit dem Ziel zu regeln, den Wohlstand und das Glück ihres Volkes zu fördern („</w:t>
            </w:r>
            <w:proofErr w:type="spellStart"/>
            <w:r w:rsidRPr="00BE3728">
              <w:rPr>
                <w:sz w:val="20"/>
                <w:szCs w:val="20"/>
              </w:rPr>
              <w:t>sole</w:t>
            </w:r>
            <w:proofErr w:type="spellEnd"/>
            <w:r w:rsidRPr="00BE3728">
              <w:rPr>
                <w:sz w:val="20"/>
                <w:szCs w:val="20"/>
              </w:rPr>
              <w:t xml:space="preserve"> power to </w:t>
            </w:r>
            <w:proofErr w:type="spellStart"/>
            <w:r w:rsidRPr="00BE3728">
              <w:rPr>
                <w:sz w:val="20"/>
                <w:szCs w:val="20"/>
              </w:rPr>
              <w:t>regulate</w:t>
            </w:r>
            <w:proofErr w:type="spellEnd"/>
            <w:r w:rsidRPr="00BE3728">
              <w:rPr>
                <w:sz w:val="20"/>
                <w:szCs w:val="20"/>
              </w:rPr>
              <w:t xml:space="preserve"> </w:t>
            </w:r>
            <w:proofErr w:type="spellStart"/>
            <w:r w:rsidRPr="00BE3728">
              <w:rPr>
                <w:sz w:val="20"/>
                <w:szCs w:val="20"/>
              </w:rPr>
              <w:t>domestic</w:t>
            </w:r>
            <w:proofErr w:type="spellEnd"/>
            <w:r w:rsidRPr="00BE3728">
              <w:rPr>
                <w:sz w:val="20"/>
                <w:szCs w:val="20"/>
              </w:rPr>
              <w:t xml:space="preserve"> </w:t>
            </w:r>
            <w:proofErr w:type="spellStart"/>
            <w:r w:rsidRPr="00BE3728">
              <w:rPr>
                <w:sz w:val="20"/>
                <w:szCs w:val="20"/>
              </w:rPr>
              <w:t>affairs</w:t>
            </w:r>
            <w:proofErr w:type="spellEnd"/>
            <w:r w:rsidRPr="00BE3728">
              <w:rPr>
                <w:sz w:val="20"/>
                <w:szCs w:val="20"/>
              </w:rPr>
              <w:t xml:space="preserve"> of the </w:t>
            </w:r>
            <w:proofErr w:type="spellStart"/>
            <w:r w:rsidRPr="00BE3728">
              <w:rPr>
                <w:sz w:val="20"/>
                <w:szCs w:val="20"/>
              </w:rPr>
              <w:t>highest</w:t>
            </w:r>
            <w:proofErr w:type="spellEnd"/>
            <w:r w:rsidRPr="00BE3728">
              <w:rPr>
                <w:sz w:val="20"/>
                <w:szCs w:val="20"/>
              </w:rPr>
              <w:t xml:space="preserve"> </w:t>
            </w:r>
            <w:proofErr w:type="spellStart"/>
            <w:r w:rsidRPr="00BE3728">
              <w:rPr>
                <w:sz w:val="20"/>
                <w:szCs w:val="20"/>
              </w:rPr>
              <w:t>moment</w:t>
            </w:r>
            <w:proofErr w:type="spellEnd"/>
            <w:r w:rsidRPr="00BE3728">
              <w:rPr>
                <w:sz w:val="20"/>
                <w:szCs w:val="20"/>
              </w:rPr>
              <w:t xml:space="preserve"> to the </w:t>
            </w:r>
            <w:proofErr w:type="spellStart"/>
            <w:r w:rsidRPr="00BE3728">
              <w:rPr>
                <w:sz w:val="20"/>
                <w:szCs w:val="20"/>
              </w:rPr>
              <w:t>prosperity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their</w:t>
            </w:r>
            <w:proofErr w:type="spellEnd"/>
            <w:r w:rsidRPr="00BE3728">
              <w:rPr>
                <w:sz w:val="20"/>
                <w:szCs w:val="20"/>
              </w:rPr>
              <w:t xml:space="preserv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1582"/>
            </w:r>
            <w:r w:rsidRPr="00BE3728">
              <w:rPr>
                <w:sz w:val="20"/>
                <w:szCs w:val="20"/>
              </w:rPr>
              <w:t>) – sowie Eigentumserwerb und dessen Übertragung zu ermöglichen und auch die Ehe zu fördern sowie die Erziehung von Kindern zu erleichtern. Und wenn ihnen solch zentrale Angelegenheiten anvertraut werden könn</w:t>
            </w:r>
            <w:r>
              <w:rPr>
                <w:sz w:val="20"/>
                <w:szCs w:val="20"/>
              </w:rPr>
              <w:t>t</w:t>
            </w:r>
            <w:r w:rsidRPr="00BE3728">
              <w:rPr>
                <w:sz w:val="20"/>
                <w:szCs w:val="20"/>
              </w:rPr>
              <w:t>en, dann brauch</w:t>
            </w:r>
            <w:r>
              <w:rPr>
                <w:sz w:val="20"/>
                <w:szCs w:val="20"/>
              </w:rPr>
              <w:t>e</w:t>
            </w:r>
            <w:r w:rsidRPr="00BE3728">
              <w:rPr>
                <w:sz w:val="20"/>
                <w:szCs w:val="20"/>
              </w:rPr>
              <w:t xml:space="preserve"> es kein Bundesgesetz, um die bundesstaatlichen Wahlen zu überwachen.</w:t>
            </w:r>
            <w:r w:rsidRPr="00BE3728">
              <w:rPr>
                <w:rStyle w:val="Funotenzeichen"/>
                <w:sz w:val="20"/>
                <w:szCs w:val="20"/>
              </w:rPr>
              <w:footnoteReference w:id="1583"/>
            </w:r>
          </w:p>
          <w:p w14:paraId="029EAA48" w14:textId="77777777" w:rsidR="00074551" w:rsidRPr="00996DA4" w:rsidRDefault="00074551" w:rsidP="00367133">
            <w:pPr>
              <w:jc w:val="both"/>
              <w:rPr>
                <w:sz w:val="20"/>
                <w:szCs w:val="20"/>
              </w:rPr>
            </w:pPr>
          </w:p>
        </w:tc>
      </w:tr>
      <w:tr w:rsidR="00074551" w:rsidRPr="00E50B51" w14:paraId="516EE3B0" w14:textId="77777777" w:rsidTr="00203768">
        <w:trPr>
          <w:cantSplit/>
          <w:trHeight w:val="3175"/>
        </w:trPr>
        <w:tc>
          <w:tcPr>
            <w:tcW w:w="293" w:type="pct"/>
            <w:shd w:val="clear" w:color="auto" w:fill="E7E6E6" w:themeFill="background2"/>
          </w:tcPr>
          <w:p w14:paraId="76682600"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1486B2EE"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0E8B21B7"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0A992760" w14:textId="77777777" w:rsidR="00074551" w:rsidRPr="00E50B51" w:rsidRDefault="00074551" w:rsidP="00367133">
            <w:pPr>
              <w:ind w:left="113" w:right="113"/>
              <w:jc w:val="both"/>
              <w:rPr>
                <w:sz w:val="20"/>
                <w:szCs w:val="20"/>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308842B3" w14:textId="77777777" w:rsidR="00074551" w:rsidRPr="00E50B51" w:rsidRDefault="00074551" w:rsidP="00367133">
            <w:pPr>
              <w:ind w:left="113" w:right="113"/>
              <w:jc w:val="both"/>
              <w:rPr>
                <w:sz w:val="20"/>
                <w:szCs w:val="20"/>
              </w:rPr>
            </w:pPr>
            <w:r w:rsidRPr="00E50B51">
              <w:rPr>
                <w:sz w:val="20"/>
                <w:szCs w:val="20"/>
              </w:rPr>
              <w:t>Scope/Nature</w:t>
            </w:r>
          </w:p>
        </w:tc>
        <w:tc>
          <w:tcPr>
            <w:tcW w:w="401" w:type="pct"/>
            <w:shd w:val="clear" w:color="auto" w:fill="E7E6E6" w:themeFill="background2"/>
          </w:tcPr>
          <w:p w14:paraId="7673A909"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E28C092" w14:textId="77777777" w:rsidR="00074551" w:rsidRPr="00E50B51" w:rsidRDefault="00074551" w:rsidP="00367133">
            <w:pPr>
              <w:jc w:val="both"/>
              <w:rPr>
                <w:sz w:val="20"/>
                <w:szCs w:val="20"/>
              </w:rPr>
            </w:pPr>
          </w:p>
        </w:tc>
        <w:tc>
          <w:tcPr>
            <w:tcW w:w="1822" w:type="pct"/>
            <w:shd w:val="clear" w:color="auto" w:fill="E7E6E6" w:themeFill="background2"/>
          </w:tcPr>
          <w:p w14:paraId="0C707616" w14:textId="3BC13EA5"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039146A4" w14:textId="77777777" w:rsidTr="00BE689F">
        <w:trPr>
          <w:cantSplit/>
          <w:trHeight w:val="3175"/>
        </w:trPr>
        <w:tc>
          <w:tcPr>
            <w:tcW w:w="293" w:type="pct"/>
          </w:tcPr>
          <w:p w14:paraId="2621AB89"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textDirection w:val="tbRl"/>
            <w:vAlign w:val="center"/>
          </w:tcPr>
          <w:p w14:paraId="74BE5D04" w14:textId="77777777" w:rsidR="00074551" w:rsidRPr="00E50B51" w:rsidRDefault="00074551" w:rsidP="00367133">
            <w:pPr>
              <w:ind w:left="113" w:right="416"/>
              <w:jc w:val="both"/>
              <w:rPr>
                <w:sz w:val="20"/>
                <w:szCs w:val="20"/>
              </w:rPr>
            </w:pPr>
            <w:proofErr w:type="spellStart"/>
            <w:r w:rsidRPr="00584023">
              <w:rPr>
                <w:i/>
                <w:sz w:val="20"/>
                <w:szCs w:val="20"/>
              </w:rPr>
              <w:t>Bartemeyer</w:t>
            </w:r>
            <w:proofErr w:type="spellEnd"/>
            <w:r w:rsidRPr="00584023">
              <w:rPr>
                <w:i/>
                <w:sz w:val="20"/>
                <w:szCs w:val="20"/>
              </w:rPr>
              <w:t xml:space="preserve"> v. Iowa</w:t>
            </w:r>
          </w:p>
        </w:tc>
        <w:tc>
          <w:tcPr>
            <w:tcW w:w="197" w:type="pct"/>
            <w:textDirection w:val="tbRl"/>
            <w:vAlign w:val="center"/>
          </w:tcPr>
          <w:p w14:paraId="46034FC6" w14:textId="77777777" w:rsidR="00074551" w:rsidRPr="00E50B51" w:rsidRDefault="00074551" w:rsidP="00367133">
            <w:pPr>
              <w:ind w:left="113" w:right="113"/>
              <w:jc w:val="both"/>
              <w:rPr>
                <w:sz w:val="20"/>
                <w:szCs w:val="20"/>
              </w:rPr>
            </w:pPr>
            <w:r w:rsidRPr="00E50B51">
              <w:rPr>
                <w:sz w:val="20"/>
                <w:szCs w:val="20"/>
                <w:lang w:val="en-US"/>
              </w:rPr>
              <w:t>85 U.S. 129</w:t>
            </w:r>
          </w:p>
        </w:tc>
        <w:tc>
          <w:tcPr>
            <w:tcW w:w="306" w:type="pct"/>
            <w:textDirection w:val="tbRl"/>
            <w:vAlign w:val="center"/>
          </w:tcPr>
          <w:p w14:paraId="0818395F" w14:textId="77777777" w:rsidR="00074551" w:rsidRPr="00E50B51" w:rsidRDefault="00074551" w:rsidP="00367133">
            <w:pPr>
              <w:ind w:left="113" w:right="113"/>
              <w:jc w:val="both"/>
              <w:rPr>
                <w:sz w:val="20"/>
                <w:szCs w:val="20"/>
              </w:rPr>
            </w:pPr>
            <w:r w:rsidRPr="00E50B51">
              <w:rPr>
                <w:sz w:val="20"/>
                <w:szCs w:val="20"/>
              </w:rPr>
              <w:t>4. März 1874</w:t>
            </w:r>
          </w:p>
        </w:tc>
        <w:tc>
          <w:tcPr>
            <w:tcW w:w="401" w:type="pct"/>
          </w:tcPr>
          <w:p w14:paraId="245DAE35" w14:textId="77777777" w:rsidR="00074551" w:rsidRPr="00E50B51" w:rsidRDefault="00074551" w:rsidP="00367133">
            <w:pPr>
              <w:jc w:val="center"/>
              <w:rPr>
                <w:sz w:val="20"/>
                <w:szCs w:val="20"/>
              </w:rPr>
            </w:pPr>
            <w:r w:rsidRPr="00E50B51">
              <w:rPr>
                <w:sz w:val="20"/>
                <w:szCs w:val="20"/>
              </w:rPr>
              <w:t>C</w:t>
            </w:r>
          </w:p>
        </w:tc>
        <w:tc>
          <w:tcPr>
            <w:tcW w:w="1594" w:type="pct"/>
          </w:tcPr>
          <w:p w14:paraId="38F0DFAD" w14:textId="77777777" w:rsidR="00074551" w:rsidRPr="00E50B51" w:rsidRDefault="00074551" w:rsidP="00367133">
            <w:pPr>
              <w:jc w:val="both"/>
              <w:rPr>
                <w:sz w:val="20"/>
                <w:szCs w:val="20"/>
              </w:rPr>
            </w:pPr>
            <w:r w:rsidRPr="00E50B51">
              <w:rPr>
                <w:sz w:val="20"/>
                <w:szCs w:val="20"/>
              </w:rPr>
              <w:t>*</w:t>
            </w:r>
          </w:p>
          <w:p w14:paraId="0BC1C113" w14:textId="77777777" w:rsidR="00074551" w:rsidRPr="00E50B51" w:rsidRDefault="00074551" w:rsidP="00367133">
            <w:pPr>
              <w:jc w:val="both"/>
              <w:rPr>
                <w:sz w:val="20"/>
                <w:szCs w:val="20"/>
              </w:rPr>
            </w:pPr>
          </w:p>
        </w:tc>
        <w:tc>
          <w:tcPr>
            <w:tcW w:w="1822" w:type="pct"/>
          </w:tcPr>
          <w:p w14:paraId="2318A57C" w14:textId="03D14F90" w:rsidR="00074551" w:rsidRPr="00E50B51" w:rsidRDefault="00074551" w:rsidP="00367133">
            <w:pPr>
              <w:jc w:val="both"/>
              <w:rPr>
                <w:sz w:val="20"/>
                <w:szCs w:val="20"/>
              </w:rPr>
            </w:pPr>
            <w:r w:rsidRPr="00113328">
              <w:rPr>
                <w:sz w:val="20"/>
                <w:szCs w:val="20"/>
              </w:rPr>
              <w:t xml:space="preserve">Richter </w:t>
            </w:r>
            <w:r w:rsidRPr="5B67C1D2">
              <w:rPr>
                <w:i/>
                <w:iCs/>
                <w:sz w:val="20"/>
                <w:szCs w:val="20"/>
              </w:rPr>
              <w:t>Field</w:t>
            </w:r>
            <w:r w:rsidRPr="00113328">
              <w:rPr>
                <w:sz w:val="20"/>
                <w:szCs w:val="20"/>
              </w:rPr>
              <w:t xml:space="preserve"> schrieb, da</w:t>
            </w:r>
            <w:r w:rsidRPr="00D82470">
              <w:rPr>
                <w:sz w:val="20"/>
                <w:szCs w:val="20"/>
              </w:rPr>
              <w:t>s</w:t>
            </w:r>
            <w:r w:rsidRPr="00113328">
              <w:rPr>
                <w:sz w:val="20"/>
                <w:szCs w:val="20"/>
              </w:rPr>
              <w:t xml:space="preserv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13328">
              <w:rPr>
                <w:sz w:val="20"/>
                <w:szCs w:val="20"/>
              </w:rPr>
              <w:t xml:space="preserve"> mit seinem Begriff </w:t>
            </w:r>
            <w:r w:rsidRPr="00D82470">
              <w:rPr>
                <w:sz w:val="20"/>
                <w:szCs w:val="20"/>
              </w:rPr>
              <w:t xml:space="preserve">der </w:t>
            </w:r>
            <w:r w:rsidRPr="00113328">
              <w:rPr>
                <w:sz w:val="20"/>
                <w:szCs w:val="20"/>
              </w:rPr>
              <w:t xml:space="preserve">Freiheit dem Staat das </w:t>
            </w:r>
            <w:r w:rsidRPr="00D82470">
              <w:rPr>
                <w:sz w:val="20"/>
                <w:szCs w:val="20"/>
              </w:rPr>
              <w:t xml:space="preserve">Vorrecht </w:t>
            </w:r>
            <w:r>
              <w:rPr>
                <w:sz w:val="20"/>
                <w:szCs w:val="20"/>
              </w:rPr>
              <w:t>nehme</w:t>
            </w:r>
            <w:r w:rsidRPr="00113328">
              <w:rPr>
                <w:sz w:val="20"/>
                <w:szCs w:val="20"/>
              </w:rPr>
              <w:t xml:space="preserve">, Berufe an bestimmte Personen zu </w:t>
            </w:r>
            <w:proofErr w:type="spellStart"/>
            <w:r w:rsidRPr="00113328">
              <w:rPr>
                <w:sz w:val="20"/>
                <w:szCs w:val="20"/>
              </w:rPr>
              <w:t>konzessieren</w:t>
            </w:r>
            <w:proofErr w:type="spellEnd"/>
            <w:r w:rsidRPr="00113328">
              <w:rPr>
                <w:sz w:val="20"/>
                <w:szCs w:val="20"/>
              </w:rPr>
              <w:t xml:space="preserve">, </w:t>
            </w:r>
            <w:r>
              <w:rPr>
                <w:sz w:val="20"/>
                <w:szCs w:val="20"/>
              </w:rPr>
              <w:t>z.B.</w:t>
            </w:r>
            <w:r w:rsidRPr="00113328">
              <w:rPr>
                <w:sz w:val="20"/>
                <w:szCs w:val="20"/>
              </w:rPr>
              <w:t xml:space="preserve"> die Brotherstellung, das Hutmacherhandwerk oder die Feldbewirtschaftung. Denn damit würden anderen Personen diese Berufe zugleich vorenthalten</w:t>
            </w:r>
            <w:r w:rsidRPr="00D82470">
              <w:rPr>
                <w:sz w:val="20"/>
                <w:szCs w:val="20"/>
              </w:rPr>
              <w:t>. Und das verstieße</w:t>
            </w:r>
            <w:r w:rsidRPr="00113328">
              <w:rPr>
                <w:sz w:val="20"/>
                <w:szCs w:val="20"/>
              </w:rPr>
              <w:t xml:space="preserve"> gegen ihre Freiheit. Dies ergebe sich nunmehr aus dem Recht, </w:t>
            </w:r>
            <w:r>
              <w:rPr>
                <w:sz w:val="20"/>
                <w:szCs w:val="20"/>
              </w:rPr>
              <w:t>das</w:t>
            </w:r>
            <w:r w:rsidRPr="00113328">
              <w:rPr>
                <w:sz w:val="20"/>
                <w:szCs w:val="20"/>
              </w:rPr>
              <w:t xml:space="preserve"> jeder gleichermaßen nach Glück streben </w:t>
            </w:r>
            <w:proofErr w:type="gramStart"/>
            <w:r w:rsidRPr="00113328">
              <w:rPr>
                <w:sz w:val="20"/>
                <w:szCs w:val="20"/>
              </w:rPr>
              <w:t>könne</w:t>
            </w:r>
            <w:r w:rsidRPr="00D82470">
              <w:rPr>
                <w:sz w:val="20"/>
                <w:szCs w:val="20"/>
              </w:rPr>
              <w:t>n</w:t>
            </w:r>
            <w:proofErr w:type="gramEnd"/>
            <w:r w:rsidRPr="00D82470">
              <w:rPr>
                <w:sz w:val="20"/>
                <w:szCs w:val="20"/>
              </w:rPr>
              <w:t xml:space="preserve"> müsse</w:t>
            </w:r>
            <w:r w:rsidRPr="00113328">
              <w:rPr>
                <w:sz w:val="20"/>
                <w:szCs w:val="20"/>
              </w:rPr>
              <w:t xml:space="preserve">. Damit </w:t>
            </w:r>
            <w:r>
              <w:rPr>
                <w:sz w:val="20"/>
                <w:szCs w:val="20"/>
              </w:rPr>
              <w:t>könne</w:t>
            </w:r>
            <w:r w:rsidRPr="00113328">
              <w:rPr>
                <w:sz w:val="20"/>
                <w:szCs w:val="20"/>
              </w:rPr>
              <w:t xml:space="preserve"> jedermann grundsätzlich jeder Beschäftigung nachgehen, soweit sie rechtmäßig </w:t>
            </w:r>
            <w:r w:rsidRPr="00D82470">
              <w:rPr>
                <w:sz w:val="20"/>
                <w:szCs w:val="20"/>
              </w:rPr>
              <w:t>sei</w:t>
            </w:r>
            <w:r w:rsidRPr="00113328">
              <w:rPr>
                <w:sz w:val="20"/>
                <w:szCs w:val="20"/>
              </w:rPr>
              <w:t xml:space="preserve">. Dies könne der Staat dann auch nur gegenüber jedermann gleichermaßen beschränken, statt an bestimmte Personen </w:t>
            </w:r>
            <w:r w:rsidRPr="00D82470">
              <w:rPr>
                <w:sz w:val="20"/>
                <w:szCs w:val="20"/>
              </w:rPr>
              <w:t>Vorrechte</w:t>
            </w:r>
            <w:r w:rsidRPr="00113328">
              <w:rPr>
                <w:sz w:val="20"/>
                <w:szCs w:val="20"/>
              </w:rPr>
              <w:t xml:space="preserve"> zu </w:t>
            </w:r>
            <w:proofErr w:type="spellStart"/>
            <w:r w:rsidRPr="00113328">
              <w:rPr>
                <w:sz w:val="20"/>
                <w:szCs w:val="20"/>
              </w:rPr>
              <w:t>konzessieren</w:t>
            </w:r>
            <w:proofErr w:type="spellEnd"/>
            <w:r w:rsidRPr="00113328">
              <w:rPr>
                <w:sz w:val="20"/>
                <w:szCs w:val="20"/>
              </w:rPr>
              <w:t>. Mit eine</w:t>
            </w:r>
            <w:r>
              <w:rPr>
                <w:sz w:val="20"/>
                <w:szCs w:val="20"/>
              </w:rPr>
              <w:t>r</w:t>
            </w:r>
            <w:r w:rsidRPr="00113328">
              <w:rPr>
                <w:sz w:val="20"/>
                <w:szCs w:val="20"/>
              </w:rPr>
              <w:t xml:space="preserve"> generellen Alkoholabgabe verbleibe indes der Berufszugang für jedermann.</w:t>
            </w:r>
            <w:r w:rsidRPr="00D82470">
              <w:rPr>
                <w:sz w:val="20"/>
                <w:szCs w:val="20"/>
                <w:vertAlign w:val="superscript"/>
              </w:rPr>
              <w:footnoteReference w:id="1584"/>
            </w:r>
          </w:p>
        </w:tc>
      </w:tr>
      <w:tr w:rsidR="00074551" w:rsidRPr="00E50B51" w14:paraId="1CB1C24E" w14:textId="77777777" w:rsidTr="00BE689F">
        <w:trPr>
          <w:cantSplit/>
          <w:trHeight w:val="3175"/>
        </w:trPr>
        <w:tc>
          <w:tcPr>
            <w:tcW w:w="293" w:type="pct"/>
          </w:tcPr>
          <w:p w14:paraId="774FA4B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56F07F3" w14:textId="77777777" w:rsidR="00074551" w:rsidRPr="00E50B51" w:rsidRDefault="00074551" w:rsidP="00367133">
            <w:pPr>
              <w:ind w:left="113" w:right="416"/>
              <w:jc w:val="both"/>
              <w:rPr>
                <w:sz w:val="20"/>
                <w:szCs w:val="20"/>
              </w:rPr>
            </w:pPr>
            <w:r w:rsidRPr="00A15962">
              <w:rPr>
                <w:i/>
                <w:sz w:val="20"/>
                <w:szCs w:val="20"/>
              </w:rPr>
              <w:t>Bell v. Maryland</w:t>
            </w:r>
          </w:p>
        </w:tc>
        <w:tc>
          <w:tcPr>
            <w:tcW w:w="197" w:type="pct"/>
            <w:textDirection w:val="tbRl"/>
            <w:vAlign w:val="center"/>
          </w:tcPr>
          <w:p w14:paraId="4F90DEB3" w14:textId="77777777" w:rsidR="00074551" w:rsidRPr="00E50B51" w:rsidRDefault="00074551" w:rsidP="00367133">
            <w:pPr>
              <w:ind w:left="113" w:right="113"/>
              <w:jc w:val="both"/>
              <w:rPr>
                <w:sz w:val="20"/>
                <w:szCs w:val="20"/>
              </w:rPr>
            </w:pPr>
            <w:r w:rsidRPr="00E50B51">
              <w:rPr>
                <w:sz w:val="20"/>
                <w:szCs w:val="20"/>
                <w:lang w:val="en-US"/>
              </w:rPr>
              <w:t>378 U.S. 226</w:t>
            </w:r>
          </w:p>
        </w:tc>
        <w:tc>
          <w:tcPr>
            <w:tcW w:w="306" w:type="pct"/>
            <w:textDirection w:val="tbRl"/>
            <w:vAlign w:val="center"/>
          </w:tcPr>
          <w:p w14:paraId="03BC68AD" w14:textId="77777777" w:rsidR="00074551" w:rsidRPr="00E50B51" w:rsidRDefault="00074551" w:rsidP="00367133">
            <w:pPr>
              <w:ind w:left="113" w:right="113"/>
              <w:jc w:val="both"/>
              <w:rPr>
                <w:sz w:val="20"/>
                <w:szCs w:val="20"/>
              </w:rPr>
            </w:pPr>
            <w:r w:rsidRPr="00E50B51">
              <w:rPr>
                <w:sz w:val="20"/>
                <w:szCs w:val="20"/>
              </w:rPr>
              <w:t>22. Juni 1964</w:t>
            </w:r>
          </w:p>
        </w:tc>
        <w:tc>
          <w:tcPr>
            <w:tcW w:w="401" w:type="pct"/>
          </w:tcPr>
          <w:p w14:paraId="6E085AAF" w14:textId="77777777" w:rsidR="00074551" w:rsidRPr="00E50B51" w:rsidRDefault="00074551" w:rsidP="00367133">
            <w:pPr>
              <w:jc w:val="center"/>
              <w:rPr>
                <w:sz w:val="20"/>
                <w:szCs w:val="20"/>
              </w:rPr>
            </w:pPr>
            <w:r w:rsidRPr="00E50B51">
              <w:rPr>
                <w:sz w:val="20"/>
                <w:szCs w:val="20"/>
              </w:rPr>
              <w:t>C</w:t>
            </w:r>
          </w:p>
        </w:tc>
        <w:tc>
          <w:tcPr>
            <w:tcW w:w="1594" w:type="pct"/>
          </w:tcPr>
          <w:p w14:paraId="518BE15C" w14:textId="77777777" w:rsidR="00074551" w:rsidRPr="00E50B51" w:rsidRDefault="00074551" w:rsidP="00367133">
            <w:pPr>
              <w:jc w:val="both"/>
              <w:rPr>
                <w:sz w:val="20"/>
                <w:szCs w:val="20"/>
              </w:rPr>
            </w:pPr>
            <w:r w:rsidRPr="00E50B51">
              <w:rPr>
                <w:sz w:val="20"/>
                <w:szCs w:val="20"/>
              </w:rPr>
              <w:t xml:space="preserve">Im Fall ging es darum, dass die Polizei die Kläger, nämlich </w:t>
            </w:r>
            <w:r>
              <w:rPr>
                <w:sz w:val="20"/>
                <w:szCs w:val="20"/>
              </w:rPr>
              <w:t>zwölf</w:t>
            </w:r>
            <w:r w:rsidRPr="00E50B51">
              <w:rPr>
                <w:sz w:val="20"/>
                <w:szCs w:val="20"/>
              </w:rPr>
              <w:t xml:space="preserve"> afroamerikanische Studenten, wegen Hausfriedensbruchs verhaftete, weil sie an einer Demonstration in einem privat</w:t>
            </w:r>
            <w:r>
              <w:rPr>
                <w:sz w:val="20"/>
                <w:szCs w:val="20"/>
              </w:rPr>
              <w:t xml:space="preserve"> </w:t>
            </w:r>
            <w:r w:rsidRPr="00E50B51">
              <w:rPr>
                <w:sz w:val="20"/>
                <w:szCs w:val="20"/>
              </w:rPr>
              <w:t>geführte</w:t>
            </w:r>
            <w:r>
              <w:rPr>
                <w:sz w:val="20"/>
                <w:szCs w:val="20"/>
              </w:rPr>
              <w:t>n</w:t>
            </w:r>
            <w:r w:rsidRPr="00E50B51">
              <w:rPr>
                <w:sz w:val="20"/>
                <w:szCs w:val="20"/>
              </w:rPr>
              <w:t xml:space="preserve"> Restaurant teilgenommen hatten. Der Grund für die Demonstration war, dass sich das Restaurant weigert</w:t>
            </w:r>
            <w:r>
              <w:rPr>
                <w:sz w:val="20"/>
                <w:szCs w:val="20"/>
              </w:rPr>
              <w:t>e</w:t>
            </w:r>
            <w:r w:rsidRPr="00E50B51">
              <w:rPr>
                <w:sz w:val="20"/>
                <w:szCs w:val="20"/>
              </w:rPr>
              <w:t xml:space="preserve">, Angehörige bestimmter Rassen zu bedienen. Die Kläger wurden in den Vorinstanzen verurteilt. Der </w:t>
            </w:r>
            <w:r>
              <w:rPr>
                <w:sz w:val="20"/>
                <w:szCs w:val="20"/>
              </w:rPr>
              <w:t>U.S. Supreme Court</w:t>
            </w:r>
            <w:r w:rsidRPr="00E50B51">
              <w:rPr>
                <w:sz w:val="20"/>
                <w:szCs w:val="20"/>
              </w:rPr>
              <w:t xml:space="preserve"> hob die Urteile auf. Er begründete: Einerseits habe sich die Gerichtspraxis geändert. Solche Handlung</w:t>
            </w:r>
            <w:r>
              <w:rPr>
                <w:sz w:val="20"/>
                <w:szCs w:val="20"/>
              </w:rPr>
              <w:t>en</w:t>
            </w:r>
            <w:r w:rsidRPr="00E50B51">
              <w:rPr>
                <w:sz w:val="20"/>
                <w:szCs w:val="20"/>
              </w:rPr>
              <w:t xml:space="preserve"> seien nicht mehr als Hausfriedensbruch anzusehen. Und andererseits </w:t>
            </w:r>
            <w:r>
              <w:rPr>
                <w:sz w:val="20"/>
                <w:szCs w:val="20"/>
              </w:rPr>
              <w:t xml:space="preserve">legte der U.S. Supreme Court ein neues </w:t>
            </w:r>
            <w:r w:rsidRPr="00E50B51">
              <w:rPr>
                <w:sz w:val="20"/>
                <w:szCs w:val="20"/>
              </w:rPr>
              <w:t>Gesetz (</w:t>
            </w:r>
            <w:r w:rsidRPr="5B67C1D2">
              <w:rPr>
                <w:i/>
                <w:iCs/>
                <w:sz w:val="20"/>
                <w:szCs w:val="20"/>
              </w:rPr>
              <w:t xml:space="preserve">Public </w:t>
            </w:r>
            <w:proofErr w:type="spellStart"/>
            <w:r w:rsidRPr="5B67C1D2">
              <w:rPr>
                <w:i/>
                <w:iCs/>
                <w:sz w:val="20"/>
                <w:szCs w:val="20"/>
              </w:rPr>
              <w:t>Accommodations</w:t>
            </w:r>
            <w:proofErr w:type="spellEnd"/>
            <w:r w:rsidRPr="5B67C1D2">
              <w:rPr>
                <w:i/>
                <w:iCs/>
                <w:sz w:val="20"/>
                <w:szCs w:val="20"/>
              </w:rPr>
              <w:t xml:space="preserve"> Law, Maryland</w:t>
            </w:r>
            <w:r w:rsidRPr="00E50B51">
              <w:rPr>
                <w:sz w:val="20"/>
                <w:szCs w:val="20"/>
              </w:rPr>
              <w:t xml:space="preserve">) </w:t>
            </w:r>
            <w:r>
              <w:rPr>
                <w:sz w:val="20"/>
                <w:szCs w:val="20"/>
              </w:rPr>
              <w:t xml:space="preserve">so aus, dass es </w:t>
            </w:r>
            <w:r w:rsidRPr="00E50B51">
              <w:rPr>
                <w:sz w:val="20"/>
                <w:szCs w:val="20"/>
              </w:rPr>
              <w:t>Restaurantbesitzern bzw. -eigentümern eine rassische Segregation</w:t>
            </w:r>
            <w:r>
              <w:rPr>
                <w:sz w:val="20"/>
                <w:szCs w:val="20"/>
              </w:rPr>
              <w:t xml:space="preserve"> verbot</w:t>
            </w:r>
            <w:r w:rsidRPr="00E50B51">
              <w:rPr>
                <w:sz w:val="20"/>
                <w:szCs w:val="20"/>
              </w:rPr>
              <w:t>.</w:t>
            </w:r>
            <w:r>
              <w:rPr>
                <w:rStyle w:val="Funotenzeichen"/>
                <w:sz w:val="20"/>
                <w:szCs w:val="20"/>
              </w:rPr>
              <w:footnoteReference w:id="1585"/>
            </w:r>
          </w:p>
          <w:p w14:paraId="7E5174F0" w14:textId="77777777" w:rsidR="00074551" w:rsidRPr="00E50B51" w:rsidRDefault="00074551" w:rsidP="00367133">
            <w:pPr>
              <w:jc w:val="both"/>
              <w:rPr>
                <w:sz w:val="20"/>
                <w:szCs w:val="20"/>
              </w:rPr>
            </w:pPr>
          </w:p>
        </w:tc>
        <w:tc>
          <w:tcPr>
            <w:tcW w:w="1822" w:type="pct"/>
          </w:tcPr>
          <w:p w14:paraId="0EACC476" w14:textId="77777777" w:rsidR="00074551" w:rsidRDefault="00074551" w:rsidP="00367133">
            <w:pPr>
              <w:jc w:val="both"/>
              <w:rPr>
                <w:sz w:val="20"/>
                <w:szCs w:val="20"/>
              </w:rPr>
            </w:pPr>
            <w:r w:rsidRPr="00D81397">
              <w:rPr>
                <w:sz w:val="20"/>
                <w:szCs w:val="20"/>
              </w:rPr>
              <w:t xml:space="preserve">Im Urteil erwähnte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D81397">
              <w:rPr>
                <w:sz w:val="20"/>
                <w:szCs w:val="20"/>
              </w:rPr>
              <w:t xml:space="preserve"> zwei Mal </w:t>
            </w:r>
            <w:r>
              <w:rPr>
                <w:sz w:val="20"/>
                <w:szCs w:val="20"/>
              </w:rPr>
              <w:t>das</w:t>
            </w:r>
            <w:r w:rsidRPr="00D81397">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D81397">
              <w:rPr>
                <w:sz w:val="20"/>
                <w:szCs w:val="20"/>
              </w:rPr>
              <w:t xml:space="preserve">. Erstens leitete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D81397">
              <w:rPr>
                <w:sz w:val="20"/>
                <w:szCs w:val="20"/>
              </w:rPr>
              <w:t xml:space="preserve"> her, dass </w:t>
            </w:r>
            <w:r>
              <w:rPr>
                <w:sz w:val="20"/>
                <w:szCs w:val="20"/>
              </w:rPr>
              <w:t>das</w:t>
            </w:r>
            <w:r w:rsidRPr="00D81397">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D81397">
              <w:rPr>
                <w:sz w:val="20"/>
                <w:szCs w:val="20"/>
              </w:rPr>
              <w:t xml:space="preserve"> in der </w:t>
            </w:r>
            <w:r w:rsidRPr="5B67C1D2">
              <w:rPr>
                <w:i/>
                <w:iCs/>
                <w:sz w:val="20"/>
                <w:szCs w:val="20"/>
              </w:rPr>
              <w:t>Declaration of Independence</w:t>
            </w:r>
            <w:r w:rsidRPr="00D81397">
              <w:rPr>
                <w:sz w:val="20"/>
                <w:szCs w:val="20"/>
              </w:rPr>
              <w:t xml:space="preserve"> die Zielrichtung bilde für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 XIV und XV.</w:t>
            </w:r>
            <w:r w:rsidRPr="00D81397">
              <w:rPr>
                <w:sz w:val="20"/>
                <w:szCs w:val="20"/>
              </w:rPr>
              <w:t xml:space="preserve"> Und diese form</w:t>
            </w:r>
            <w:r>
              <w:rPr>
                <w:sz w:val="20"/>
                <w:szCs w:val="20"/>
              </w:rPr>
              <w:t>t</w:t>
            </w:r>
            <w:r w:rsidRPr="00D81397">
              <w:rPr>
                <w:sz w:val="20"/>
                <w:szCs w:val="20"/>
              </w:rPr>
              <w:t xml:space="preserve">en heute den Gleichheitssatz weiter aus. Die </w:t>
            </w:r>
            <w:r w:rsidRPr="5B67C1D2">
              <w:rPr>
                <w:i/>
                <w:iCs/>
                <w:sz w:val="20"/>
                <w:szCs w:val="20"/>
              </w:rPr>
              <w:t>Declaration of Independence</w:t>
            </w:r>
            <w:r w:rsidRPr="00D81397">
              <w:rPr>
                <w:sz w:val="20"/>
                <w:szCs w:val="20"/>
              </w:rPr>
              <w:t xml:space="preserve"> regele als amerikanische</w:t>
            </w:r>
            <w:r>
              <w:rPr>
                <w:sz w:val="20"/>
                <w:szCs w:val="20"/>
              </w:rPr>
              <w:t>s</w:t>
            </w:r>
            <w:r w:rsidRPr="00D81397">
              <w:rPr>
                <w:sz w:val="20"/>
                <w:szCs w:val="20"/>
              </w:rPr>
              <w:t xml:space="preserve"> Glaubensbekenntnis („American </w:t>
            </w:r>
            <w:proofErr w:type="spellStart"/>
            <w:r w:rsidRPr="00D81397">
              <w:rPr>
                <w:sz w:val="20"/>
                <w:szCs w:val="20"/>
              </w:rPr>
              <w:t>creed</w:t>
            </w:r>
            <w:proofErr w:type="spellEnd"/>
            <w:r w:rsidRPr="00D81397">
              <w:rPr>
                <w:sz w:val="20"/>
                <w:szCs w:val="20"/>
              </w:rPr>
              <w:t>“</w:t>
            </w:r>
            <w:r w:rsidRPr="00D81397">
              <w:rPr>
                <w:sz w:val="20"/>
                <w:szCs w:val="20"/>
                <w:vertAlign w:val="superscript"/>
              </w:rPr>
              <w:footnoteReference w:id="1586"/>
            </w:r>
            <w:r w:rsidRPr="00D81397">
              <w:rPr>
                <w:sz w:val="20"/>
                <w:szCs w:val="20"/>
              </w:rPr>
              <w:t xml:space="preserve">) nämlich, dass alle Menschen gleich geschaffen </w:t>
            </w:r>
            <w:r>
              <w:rPr>
                <w:sz w:val="20"/>
                <w:szCs w:val="20"/>
              </w:rPr>
              <w:t>seien</w:t>
            </w:r>
            <w:r w:rsidRPr="00D81397">
              <w:rPr>
                <w:sz w:val="20"/>
                <w:szCs w:val="20"/>
              </w:rPr>
              <w:t xml:space="preserve">, dass sie </w:t>
            </w:r>
            <w:proofErr w:type="gramStart"/>
            <w:r w:rsidRPr="00D81397">
              <w:rPr>
                <w:sz w:val="20"/>
                <w:szCs w:val="20"/>
              </w:rPr>
              <w:t>mit bestimmten</w:t>
            </w:r>
            <w:proofErr w:type="gramEnd"/>
            <w:r w:rsidRPr="00D81397">
              <w:rPr>
                <w:sz w:val="20"/>
                <w:szCs w:val="20"/>
              </w:rPr>
              <w:t xml:space="preserve">, unveräußerlichen Rechten ausgestattet </w:t>
            </w:r>
            <w:r>
              <w:rPr>
                <w:sz w:val="20"/>
                <w:szCs w:val="20"/>
              </w:rPr>
              <w:t>seien</w:t>
            </w:r>
            <w:r w:rsidRPr="00D81397">
              <w:rPr>
                <w:sz w:val="20"/>
                <w:szCs w:val="20"/>
              </w:rPr>
              <w:t>, wozu das Streben nach Glück gehöre. Allerdings sei dies nicht nur Glaubensbekenntnis, sondern auch Ideal („ideal“</w:t>
            </w:r>
            <w:r w:rsidRPr="00D81397">
              <w:rPr>
                <w:sz w:val="20"/>
                <w:szCs w:val="20"/>
                <w:vertAlign w:val="superscript"/>
              </w:rPr>
              <w:footnoteReference w:id="1587"/>
            </w:r>
            <w:r w:rsidRPr="00D81397">
              <w:rPr>
                <w:sz w:val="20"/>
                <w:szCs w:val="20"/>
              </w:rPr>
              <w:t xml:space="preserve">), also Zielsetzung für staatliches Handeln. Dieses Ideal errichtete indes nicht die </w:t>
            </w:r>
            <w:r>
              <w:rPr>
                <w:sz w:val="20"/>
                <w:szCs w:val="20"/>
              </w:rPr>
              <w:t>U.S.</w:t>
            </w:r>
            <w:r w:rsidRPr="00D81397">
              <w:rPr>
                <w:sz w:val="20"/>
                <w:szCs w:val="20"/>
              </w:rPr>
              <w:t xml:space="preserve"> </w:t>
            </w:r>
            <w:proofErr w:type="spellStart"/>
            <w:r w:rsidRPr="00D81397">
              <w:rPr>
                <w:sz w:val="20"/>
                <w:szCs w:val="20"/>
              </w:rPr>
              <w:t>Const</w:t>
            </w:r>
            <w:proofErr w:type="spellEnd"/>
            <w:r w:rsidRPr="00D81397">
              <w:rPr>
                <w:sz w:val="20"/>
                <w:szCs w:val="20"/>
              </w:rPr>
              <w:t xml:space="preserve">. Denn anders als die </w:t>
            </w:r>
            <w:r w:rsidRPr="5B67C1D2">
              <w:rPr>
                <w:i/>
                <w:iCs/>
                <w:sz w:val="20"/>
                <w:szCs w:val="20"/>
              </w:rPr>
              <w:t>Declaration of Independence</w:t>
            </w:r>
            <w:r w:rsidRPr="00D81397">
              <w:rPr>
                <w:sz w:val="20"/>
                <w:szCs w:val="20"/>
              </w:rPr>
              <w:t xml:space="preserve"> </w:t>
            </w:r>
            <w:proofErr w:type="gramStart"/>
            <w:r w:rsidRPr="00D81397">
              <w:rPr>
                <w:sz w:val="20"/>
                <w:szCs w:val="20"/>
              </w:rPr>
              <w:t>erklärte</w:t>
            </w:r>
            <w:proofErr w:type="gramEnd"/>
            <w:r w:rsidRPr="00D81397">
              <w:rPr>
                <w:sz w:val="20"/>
                <w:szCs w:val="20"/>
              </w:rPr>
              <w:t xml:space="preserve"> die </w:t>
            </w:r>
            <w:r>
              <w:rPr>
                <w:sz w:val="20"/>
                <w:szCs w:val="20"/>
              </w:rPr>
              <w:t>U.S.</w:t>
            </w:r>
            <w:r w:rsidRPr="00D81397">
              <w:rPr>
                <w:sz w:val="20"/>
                <w:szCs w:val="20"/>
              </w:rPr>
              <w:t xml:space="preserve"> </w:t>
            </w:r>
            <w:proofErr w:type="spellStart"/>
            <w:r w:rsidRPr="00D81397">
              <w:rPr>
                <w:sz w:val="20"/>
                <w:szCs w:val="20"/>
              </w:rPr>
              <w:t>Const</w:t>
            </w:r>
            <w:proofErr w:type="spellEnd"/>
            <w:r w:rsidRPr="00D81397">
              <w:rPr>
                <w:sz w:val="20"/>
                <w:szCs w:val="20"/>
              </w:rPr>
              <w:t xml:space="preserve">. nicht alle Menschen für frei und gleich. Sondern sie erklärte alle Menschen für frei und gleich – mit Ausnahme der Schwarzen. </w:t>
            </w:r>
            <w:r w:rsidRPr="00D81397">
              <w:rPr>
                <w:sz w:val="20"/>
                <w:szCs w:val="20"/>
                <w:lang w:val="en-US"/>
              </w:rPr>
              <w:t xml:space="preserve">Die </w:t>
            </w:r>
            <w:proofErr w:type="spellStart"/>
            <w:r w:rsidRPr="00D81397">
              <w:rPr>
                <w:sz w:val="20"/>
                <w:szCs w:val="20"/>
                <w:lang w:val="en-US"/>
              </w:rPr>
              <w:t>sollten</w:t>
            </w:r>
            <w:proofErr w:type="spellEnd"/>
            <w:r w:rsidRPr="00D81397">
              <w:rPr>
                <w:sz w:val="20"/>
                <w:szCs w:val="20"/>
                <w:lang w:val="en-US"/>
              </w:rPr>
              <w:t xml:space="preserve"> </w:t>
            </w:r>
            <w:proofErr w:type="spellStart"/>
            <w:r w:rsidRPr="00D81397">
              <w:rPr>
                <w:sz w:val="20"/>
                <w:szCs w:val="20"/>
                <w:lang w:val="en-US"/>
              </w:rPr>
              <w:t>weder</w:t>
            </w:r>
            <w:proofErr w:type="spellEnd"/>
            <w:r w:rsidRPr="00D81397">
              <w:rPr>
                <w:sz w:val="20"/>
                <w:szCs w:val="20"/>
                <w:lang w:val="en-US"/>
              </w:rPr>
              <w:t xml:space="preserve"> </w:t>
            </w:r>
            <w:proofErr w:type="spellStart"/>
            <w:r w:rsidRPr="00D81397">
              <w:rPr>
                <w:sz w:val="20"/>
                <w:szCs w:val="20"/>
                <w:lang w:val="en-US"/>
              </w:rPr>
              <w:t>frei</w:t>
            </w:r>
            <w:proofErr w:type="spellEnd"/>
            <w:r w:rsidRPr="00D81397">
              <w:rPr>
                <w:sz w:val="20"/>
                <w:szCs w:val="20"/>
                <w:lang w:val="en-US"/>
              </w:rPr>
              <w:t xml:space="preserve"> </w:t>
            </w:r>
            <w:proofErr w:type="spellStart"/>
            <w:r w:rsidRPr="00D81397">
              <w:rPr>
                <w:sz w:val="20"/>
                <w:szCs w:val="20"/>
                <w:lang w:val="en-US"/>
              </w:rPr>
              <w:t>noch</w:t>
            </w:r>
            <w:proofErr w:type="spellEnd"/>
            <w:r w:rsidRPr="00D81397">
              <w:rPr>
                <w:sz w:val="20"/>
                <w:szCs w:val="20"/>
                <w:lang w:val="en-US"/>
              </w:rPr>
              <w:t xml:space="preserve"> </w:t>
            </w:r>
            <w:proofErr w:type="spellStart"/>
            <w:r w:rsidRPr="00D81397">
              <w:rPr>
                <w:sz w:val="20"/>
                <w:szCs w:val="20"/>
                <w:lang w:val="en-US"/>
              </w:rPr>
              <w:t>gleich</w:t>
            </w:r>
            <w:proofErr w:type="spellEnd"/>
            <w:r w:rsidRPr="00D81397">
              <w:rPr>
                <w:sz w:val="20"/>
                <w:szCs w:val="20"/>
                <w:lang w:val="en-US"/>
              </w:rPr>
              <w:t xml:space="preserve"> sein („declared all men to be free and equal </w:t>
            </w:r>
            <w:r>
              <w:rPr>
                <w:sz w:val="20"/>
                <w:szCs w:val="20"/>
                <w:lang w:val="en-US"/>
              </w:rPr>
              <w:t>–</w:t>
            </w:r>
            <w:r w:rsidRPr="00D81397">
              <w:rPr>
                <w:sz w:val="20"/>
                <w:szCs w:val="20"/>
                <w:lang w:val="en-US"/>
              </w:rPr>
              <w:t xml:space="preserve"> except black men who were to be neither free nor </w:t>
            </w:r>
            <w:proofErr w:type="gramStart"/>
            <w:r w:rsidRPr="00D81397">
              <w:rPr>
                <w:sz w:val="20"/>
                <w:szCs w:val="20"/>
                <w:lang w:val="en-US"/>
              </w:rPr>
              <w:t>equal“</w:t>
            </w:r>
            <w:proofErr w:type="gramEnd"/>
            <w:r w:rsidRPr="00D81397">
              <w:rPr>
                <w:sz w:val="20"/>
                <w:szCs w:val="20"/>
                <w:vertAlign w:val="superscript"/>
              </w:rPr>
              <w:footnoteReference w:id="1588"/>
            </w:r>
            <w:r w:rsidRPr="00D81397">
              <w:rPr>
                <w:sz w:val="20"/>
                <w:szCs w:val="20"/>
                <w:lang w:val="en-US"/>
              </w:rPr>
              <w:t xml:space="preserve">). </w:t>
            </w:r>
            <w:r w:rsidRPr="00D81397">
              <w:rPr>
                <w:sz w:val="20"/>
                <w:szCs w:val="20"/>
              </w:rPr>
              <w:t xml:space="preserve">Die </w:t>
            </w:r>
            <w:r>
              <w:rPr>
                <w:sz w:val="20"/>
                <w:szCs w:val="20"/>
              </w:rPr>
              <w:t>U.S.</w:t>
            </w:r>
            <w:r w:rsidRPr="00D81397">
              <w:rPr>
                <w:sz w:val="20"/>
                <w:szCs w:val="20"/>
              </w:rPr>
              <w:t xml:space="preserve"> </w:t>
            </w:r>
            <w:proofErr w:type="spellStart"/>
            <w:r w:rsidRPr="00D81397">
              <w:rPr>
                <w:sz w:val="20"/>
                <w:szCs w:val="20"/>
              </w:rPr>
              <w:t>Const</w:t>
            </w:r>
            <w:proofErr w:type="spellEnd"/>
            <w:r w:rsidRPr="00D81397">
              <w:rPr>
                <w:sz w:val="20"/>
                <w:szCs w:val="20"/>
              </w:rPr>
              <w:t xml:space="preserve">. zeigte sich inkonsistent mit dem amerikanischen Glaubensbekenntnis bzw. Ideal, also der </w:t>
            </w:r>
            <w:r w:rsidRPr="5B67C1D2">
              <w:rPr>
                <w:i/>
                <w:iCs/>
                <w:sz w:val="20"/>
                <w:szCs w:val="20"/>
              </w:rPr>
              <w:t>Declaration of Independence</w:t>
            </w:r>
            <w:r w:rsidRPr="00D81397">
              <w:rPr>
                <w:sz w:val="20"/>
                <w:szCs w:val="20"/>
              </w:rPr>
              <w:t xml:space="preserve">. </w:t>
            </w:r>
            <w:r w:rsidRPr="00D81397">
              <w:rPr>
                <w:sz w:val="20"/>
                <w:szCs w:val="20"/>
                <w:lang w:val="en-US"/>
              </w:rPr>
              <w:t xml:space="preserve">Es </w:t>
            </w:r>
            <w:proofErr w:type="spellStart"/>
            <w:r w:rsidRPr="00D81397">
              <w:rPr>
                <w:sz w:val="20"/>
                <w:szCs w:val="20"/>
                <w:lang w:val="en-US"/>
              </w:rPr>
              <w:t>bedurfte</w:t>
            </w:r>
            <w:proofErr w:type="spellEnd"/>
            <w:r w:rsidRPr="00D81397">
              <w:rPr>
                <w:sz w:val="20"/>
                <w:szCs w:val="20"/>
                <w:lang w:val="en-US"/>
              </w:rPr>
              <w:t xml:space="preserve"> des </w:t>
            </w:r>
            <w:proofErr w:type="spellStart"/>
            <w:r w:rsidRPr="00D81397">
              <w:rPr>
                <w:sz w:val="20"/>
                <w:szCs w:val="20"/>
                <w:lang w:val="en-US"/>
              </w:rPr>
              <w:t>Bürgerkrieges</w:t>
            </w:r>
            <w:proofErr w:type="spellEnd"/>
            <w:r w:rsidRPr="00D81397">
              <w:rPr>
                <w:sz w:val="20"/>
                <w:szCs w:val="20"/>
                <w:lang w:val="en-US"/>
              </w:rPr>
              <w:t>, um die U</w:t>
            </w:r>
            <w:r>
              <w:rPr>
                <w:sz w:val="20"/>
                <w:szCs w:val="20"/>
                <w:lang w:val="en-US"/>
              </w:rPr>
              <w:t>.</w:t>
            </w:r>
            <w:r w:rsidRPr="00D81397">
              <w:rPr>
                <w:sz w:val="20"/>
                <w:szCs w:val="20"/>
                <w:lang w:val="en-US"/>
              </w:rPr>
              <w:t>S. Const</w:t>
            </w:r>
            <w:r>
              <w:rPr>
                <w:sz w:val="20"/>
                <w:szCs w:val="20"/>
                <w:lang w:val="en-US"/>
              </w:rPr>
              <w:t>.</w:t>
            </w:r>
            <w:r w:rsidRPr="00D81397">
              <w:rPr>
                <w:sz w:val="20"/>
                <w:szCs w:val="20"/>
                <w:lang w:val="en-US"/>
              </w:rPr>
              <w:t xml:space="preserve"> </w:t>
            </w:r>
            <w:proofErr w:type="spellStart"/>
            <w:r w:rsidRPr="00D81397">
              <w:rPr>
                <w:sz w:val="20"/>
                <w:szCs w:val="20"/>
                <w:lang w:val="en-US"/>
              </w:rPr>
              <w:t>hin</w:t>
            </w:r>
            <w:proofErr w:type="spellEnd"/>
            <w:r w:rsidRPr="00D81397">
              <w:rPr>
                <w:sz w:val="20"/>
                <w:szCs w:val="20"/>
                <w:lang w:val="en-US"/>
              </w:rPr>
              <w:t xml:space="preserve"> </w:t>
            </w:r>
            <w:proofErr w:type="spellStart"/>
            <w:r w:rsidRPr="00D81397">
              <w:rPr>
                <w:sz w:val="20"/>
                <w:szCs w:val="20"/>
                <w:lang w:val="en-US"/>
              </w:rPr>
              <w:t>zur</w:t>
            </w:r>
            <w:proofErr w:type="spellEnd"/>
            <w:r w:rsidRPr="00D81397">
              <w:rPr>
                <w:sz w:val="20"/>
                <w:szCs w:val="20"/>
                <w:lang w:val="en-US"/>
              </w:rPr>
              <w:t xml:space="preserve"> </w:t>
            </w:r>
            <w:r w:rsidRPr="5B67C1D2">
              <w:rPr>
                <w:i/>
                <w:iCs/>
                <w:sz w:val="20"/>
                <w:szCs w:val="20"/>
                <w:lang w:val="en-US"/>
              </w:rPr>
              <w:t>Declaration of Independence</w:t>
            </w:r>
            <w:r w:rsidRPr="00D81397">
              <w:rPr>
                <w:sz w:val="20"/>
                <w:szCs w:val="20"/>
                <w:lang w:val="en-US"/>
              </w:rPr>
              <w:t xml:space="preserve"> </w:t>
            </w:r>
            <w:proofErr w:type="spellStart"/>
            <w:r w:rsidRPr="00D81397">
              <w:rPr>
                <w:sz w:val="20"/>
                <w:szCs w:val="20"/>
                <w:lang w:val="en-US"/>
              </w:rPr>
              <w:t>zu</w:t>
            </w:r>
            <w:proofErr w:type="spellEnd"/>
            <w:r w:rsidRPr="00D81397">
              <w:rPr>
                <w:sz w:val="20"/>
                <w:szCs w:val="20"/>
                <w:lang w:val="en-US"/>
              </w:rPr>
              <w:t xml:space="preserve"> </w:t>
            </w:r>
            <w:proofErr w:type="spellStart"/>
            <w:r w:rsidRPr="00D81397">
              <w:rPr>
                <w:sz w:val="20"/>
                <w:szCs w:val="20"/>
                <w:lang w:val="en-US"/>
              </w:rPr>
              <w:t>korr</w:t>
            </w:r>
            <w:r>
              <w:rPr>
                <w:sz w:val="20"/>
                <w:szCs w:val="20"/>
                <w:lang w:val="en-US"/>
              </w:rPr>
              <w:t>i</w:t>
            </w:r>
            <w:r w:rsidRPr="00D81397">
              <w:rPr>
                <w:sz w:val="20"/>
                <w:szCs w:val="20"/>
                <w:lang w:val="en-US"/>
              </w:rPr>
              <w:t>gieren</w:t>
            </w:r>
            <w:proofErr w:type="spellEnd"/>
            <w:r w:rsidRPr="00D81397">
              <w:rPr>
                <w:sz w:val="20"/>
                <w:szCs w:val="20"/>
                <w:lang w:val="en-US"/>
              </w:rPr>
              <w:t xml:space="preserve"> („inconsistency reflected a fundamental departure from the American creed, a departure which it took a tragic civil war to set </w:t>
            </w:r>
            <w:proofErr w:type="gramStart"/>
            <w:r w:rsidRPr="00D81397">
              <w:rPr>
                <w:sz w:val="20"/>
                <w:szCs w:val="20"/>
                <w:lang w:val="en-US"/>
              </w:rPr>
              <w:t>right“</w:t>
            </w:r>
            <w:proofErr w:type="gramEnd"/>
            <w:r w:rsidRPr="00D81397">
              <w:rPr>
                <w:sz w:val="20"/>
                <w:szCs w:val="20"/>
                <w:vertAlign w:val="superscript"/>
                <w:lang w:val="en-US"/>
              </w:rPr>
              <w:footnoteReference w:id="1589"/>
            </w:r>
            <w:r w:rsidRPr="00D81397">
              <w:rPr>
                <w:sz w:val="20"/>
                <w:szCs w:val="20"/>
                <w:lang w:val="en-US"/>
              </w:rPr>
              <w:t xml:space="preserve">). </w:t>
            </w:r>
            <w:r w:rsidRPr="00D81397">
              <w:rPr>
                <w:sz w:val="20"/>
                <w:szCs w:val="20"/>
              </w:rPr>
              <w:t xml:space="preserve">Die </w:t>
            </w:r>
            <w:r>
              <w:rPr>
                <w:sz w:val="20"/>
                <w:szCs w:val="20"/>
              </w:rPr>
              <w:t>U.S.</w:t>
            </w:r>
            <w:r w:rsidRPr="00D81397">
              <w:rPr>
                <w:sz w:val="20"/>
                <w:szCs w:val="20"/>
              </w:rPr>
              <w:t xml:space="preserve"> </w:t>
            </w:r>
            <w:proofErr w:type="spellStart"/>
            <w:r w:rsidRPr="00D81397">
              <w:rPr>
                <w:sz w:val="20"/>
                <w:szCs w:val="20"/>
              </w:rPr>
              <w:t>Const</w:t>
            </w:r>
            <w:proofErr w:type="spellEnd"/>
            <w:r w:rsidRPr="00D81397">
              <w:rPr>
                <w:sz w:val="20"/>
                <w:szCs w:val="20"/>
              </w:rPr>
              <w:t xml:space="preserve">. korrigierten dann die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 XIV und XV</w:t>
            </w:r>
            <w:r w:rsidRPr="00D81397">
              <w:rPr>
                <w:sz w:val="20"/>
                <w:szCs w:val="20"/>
              </w:rPr>
              <w:t xml:space="preserve"> </w:t>
            </w:r>
            <w:r>
              <w:rPr>
                <w:sz w:val="20"/>
                <w:szCs w:val="20"/>
              </w:rPr>
              <w:t xml:space="preserve">hin </w:t>
            </w:r>
            <w:r w:rsidRPr="00D81397">
              <w:rPr>
                <w:sz w:val="20"/>
                <w:szCs w:val="20"/>
              </w:rPr>
              <w:t xml:space="preserve">zum Ideal, also der </w:t>
            </w:r>
            <w:r w:rsidRPr="5B67C1D2">
              <w:rPr>
                <w:i/>
                <w:iCs/>
                <w:sz w:val="20"/>
                <w:szCs w:val="20"/>
              </w:rPr>
              <w:t>Declaration of Independence</w:t>
            </w:r>
            <w:r w:rsidRPr="00D81397">
              <w:rPr>
                <w:sz w:val="20"/>
                <w:szCs w:val="20"/>
              </w:rPr>
              <w:t>. Die Amendments garantierten nunmehr Freiheit und Gleichheit für alle, unabhängig von Rasse, Hautfarbe oder früherer Leibeigenschaft.</w:t>
            </w:r>
            <w:r w:rsidRPr="00D81397">
              <w:rPr>
                <w:sz w:val="20"/>
                <w:szCs w:val="20"/>
                <w:vertAlign w:val="superscript"/>
              </w:rPr>
              <w:footnoteReference w:id="1590"/>
            </w:r>
            <w:r w:rsidRPr="00D81397">
              <w:rPr>
                <w:sz w:val="20"/>
                <w:szCs w:val="20"/>
              </w:rPr>
              <w:t xml:space="preserve"> Haben die Amendments also den Gleichheitssatz und das gleiche Recht auf ein Streben </w:t>
            </w:r>
            <w:r>
              <w:rPr>
                <w:sz w:val="20"/>
                <w:szCs w:val="20"/>
              </w:rPr>
              <w:t>nach</w:t>
            </w:r>
            <w:r w:rsidRPr="00D81397">
              <w:rPr>
                <w:sz w:val="20"/>
                <w:szCs w:val="20"/>
              </w:rPr>
              <w:t xml:space="preserve"> Glück nach der </w:t>
            </w:r>
            <w:r w:rsidRPr="5B67C1D2">
              <w:rPr>
                <w:i/>
                <w:iCs/>
                <w:sz w:val="20"/>
                <w:szCs w:val="20"/>
              </w:rPr>
              <w:t>Declaration of Independence</w:t>
            </w:r>
            <w:r w:rsidRPr="00D81397">
              <w:rPr>
                <w:sz w:val="20"/>
                <w:szCs w:val="20"/>
              </w:rPr>
              <w:t xml:space="preserve"> abgelöst und damit entbehrlich gemacht? Mit</w:t>
            </w:r>
            <w:r>
              <w:rPr>
                <w:sz w:val="20"/>
                <w:szCs w:val="20"/>
              </w:rPr>
              <w:t>n</w:t>
            </w:r>
            <w:r w:rsidRPr="00D81397">
              <w:rPr>
                <w:sz w:val="20"/>
                <w:szCs w:val="20"/>
              </w:rPr>
              <w:t xml:space="preserve">ichten. Denn die Amendments offenbarten die Wirkung der </w:t>
            </w:r>
            <w:r w:rsidRPr="5B67C1D2">
              <w:rPr>
                <w:i/>
                <w:iCs/>
                <w:sz w:val="20"/>
                <w:szCs w:val="20"/>
              </w:rPr>
              <w:t>Declaration of Independence</w:t>
            </w:r>
            <w:r w:rsidRPr="00D81397">
              <w:rPr>
                <w:sz w:val="20"/>
                <w:szCs w:val="20"/>
              </w:rPr>
              <w:t xml:space="preserve">: als Ziel für die </w:t>
            </w:r>
            <w:r>
              <w:rPr>
                <w:sz w:val="20"/>
                <w:szCs w:val="20"/>
              </w:rPr>
              <w:t>U.S.</w:t>
            </w:r>
            <w:r w:rsidRPr="00D81397">
              <w:rPr>
                <w:sz w:val="20"/>
                <w:szCs w:val="20"/>
              </w:rPr>
              <w:t xml:space="preserve"> </w:t>
            </w:r>
            <w:proofErr w:type="spellStart"/>
            <w:r w:rsidRPr="00D81397">
              <w:rPr>
                <w:sz w:val="20"/>
                <w:szCs w:val="20"/>
              </w:rPr>
              <w:t>Const</w:t>
            </w:r>
            <w:proofErr w:type="spellEnd"/>
            <w:r w:rsidRPr="00D81397">
              <w:rPr>
                <w:sz w:val="20"/>
                <w:szCs w:val="20"/>
              </w:rPr>
              <w:t xml:space="preserve">. </w:t>
            </w:r>
            <w:r w:rsidRPr="00D81397">
              <w:rPr>
                <w:sz w:val="20"/>
                <w:szCs w:val="20"/>
                <w:lang w:val="en-US"/>
              </w:rPr>
              <w:t xml:space="preserve">(„revelation of the great purposes which were intended to be </w:t>
            </w:r>
            <w:proofErr w:type="gramStart"/>
            <w:r w:rsidRPr="00D81397">
              <w:rPr>
                <w:sz w:val="20"/>
                <w:szCs w:val="20"/>
                <w:lang w:val="en-US"/>
              </w:rPr>
              <w:t>achieved“</w:t>
            </w:r>
            <w:proofErr w:type="gramEnd"/>
            <w:r w:rsidRPr="00D81397">
              <w:rPr>
                <w:sz w:val="20"/>
                <w:szCs w:val="20"/>
                <w:vertAlign w:val="superscript"/>
                <w:lang w:val="en-US"/>
              </w:rPr>
              <w:footnoteReference w:id="1591"/>
            </w:r>
            <w:r w:rsidRPr="00D81397">
              <w:rPr>
                <w:sz w:val="20"/>
                <w:szCs w:val="20"/>
                <w:lang w:val="en-US"/>
              </w:rPr>
              <w:t xml:space="preserve">). </w:t>
            </w:r>
            <w:r w:rsidRPr="00D81397">
              <w:rPr>
                <w:sz w:val="20"/>
                <w:szCs w:val="20"/>
              </w:rPr>
              <w:t xml:space="preserve">Aber die Offenbarung allein sei nicht verständlich ohne die Ideale der </w:t>
            </w:r>
            <w:r w:rsidRPr="5B67C1D2">
              <w:rPr>
                <w:i/>
                <w:iCs/>
                <w:sz w:val="20"/>
                <w:szCs w:val="20"/>
              </w:rPr>
              <w:t>Declaration of Independence</w:t>
            </w:r>
            <w:r w:rsidRPr="00D81397">
              <w:rPr>
                <w:sz w:val="20"/>
                <w:szCs w:val="20"/>
              </w:rPr>
              <w:t xml:space="preserve">. Diese Idee bestätigte und entwickelte </w:t>
            </w:r>
            <w:r w:rsidRPr="5B67C1D2">
              <w:rPr>
                <w:i/>
                <w:iCs/>
                <w:sz w:val="20"/>
                <w:szCs w:val="20"/>
              </w:rPr>
              <w:t>Brown v. Board of Education</w:t>
            </w:r>
            <w:r w:rsidRPr="00D81397">
              <w:rPr>
                <w:sz w:val="20"/>
                <w:szCs w:val="20"/>
              </w:rPr>
              <w:t xml:space="preserve"> als sog. Verfassungsstandard („</w:t>
            </w:r>
            <w:proofErr w:type="spellStart"/>
            <w:r w:rsidRPr="00D81397">
              <w:rPr>
                <w:sz w:val="20"/>
                <w:szCs w:val="20"/>
              </w:rPr>
              <w:t>constitutional</w:t>
            </w:r>
            <w:proofErr w:type="spellEnd"/>
            <w:r w:rsidRPr="00D81397">
              <w:rPr>
                <w:sz w:val="20"/>
                <w:szCs w:val="20"/>
              </w:rPr>
              <w:t xml:space="preserve"> </w:t>
            </w:r>
            <w:proofErr w:type="spellStart"/>
            <w:r w:rsidRPr="00D81397">
              <w:rPr>
                <w:sz w:val="20"/>
                <w:szCs w:val="20"/>
              </w:rPr>
              <w:t>standard</w:t>
            </w:r>
            <w:proofErr w:type="spellEnd"/>
            <w:r w:rsidRPr="00D81397">
              <w:rPr>
                <w:sz w:val="20"/>
                <w:szCs w:val="20"/>
              </w:rPr>
              <w:t>“</w:t>
            </w:r>
            <w:r w:rsidRPr="00D81397">
              <w:rPr>
                <w:sz w:val="20"/>
                <w:szCs w:val="20"/>
                <w:vertAlign w:val="superscript"/>
              </w:rPr>
              <w:footnoteReference w:id="1592"/>
            </w:r>
            <w:r w:rsidRPr="00D81397">
              <w:rPr>
                <w:sz w:val="20"/>
                <w:szCs w:val="20"/>
              </w:rPr>
              <w:t xml:space="preserve">). Danach gebiete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D81397">
              <w:rPr>
                <w:sz w:val="20"/>
                <w:szCs w:val="20"/>
              </w:rPr>
              <w:t xml:space="preserve">Gleichheit; dagegen verstoße </w:t>
            </w:r>
            <w:r>
              <w:rPr>
                <w:sz w:val="20"/>
                <w:szCs w:val="20"/>
              </w:rPr>
              <w:t>z.B.</w:t>
            </w:r>
            <w:r w:rsidRPr="00D81397">
              <w:rPr>
                <w:sz w:val="20"/>
                <w:szCs w:val="20"/>
              </w:rPr>
              <w:t xml:space="preserve"> Rassentrennung per Gesetz. Denn das drücke Ungleichheit schlechthin aus. Dafür erklärte der </w:t>
            </w:r>
            <w:r>
              <w:rPr>
                <w:sz w:val="20"/>
                <w:szCs w:val="20"/>
              </w:rPr>
              <w:t>U.S. Supreme Court</w:t>
            </w:r>
            <w:r w:rsidRPr="00D81397">
              <w:rPr>
                <w:sz w:val="20"/>
                <w:szCs w:val="20"/>
              </w:rPr>
              <w:t xml:space="preserve"> die </w:t>
            </w:r>
            <w:proofErr w:type="spellStart"/>
            <w:r w:rsidRPr="00D81397">
              <w:rPr>
                <w:sz w:val="20"/>
                <w:szCs w:val="20"/>
              </w:rPr>
              <w:t>Equal</w:t>
            </w:r>
            <w:proofErr w:type="spellEnd"/>
            <w:r w:rsidRPr="00D81397">
              <w:rPr>
                <w:sz w:val="20"/>
                <w:szCs w:val="20"/>
              </w:rPr>
              <w:t xml:space="preserve"> </w:t>
            </w:r>
            <w:proofErr w:type="spellStart"/>
            <w:r w:rsidRPr="00D81397">
              <w:rPr>
                <w:sz w:val="20"/>
                <w:szCs w:val="20"/>
              </w:rPr>
              <w:t>Pro</w:t>
            </w:r>
            <w:r>
              <w:rPr>
                <w:sz w:val="20"/>
                <w:szCs w:val="20"/>
              </w:rPr>
              <w:t>tec</w:t>
            </w:r>
            <w:r w:rsidRPr="00D81397">
              <w:rPr>
                <w:sz w:val="20"/>
                <w:szCs w:val="20"/>
              </w:rPr>
              <w:t>tion</w:t>
            </w:r>
            <w:proofErr w:type="spellEnd"/>
            <w:r w:rsidRPr="00D81397">
              <w:rPr>
                <w:sz w:val="20"/>
                <w:szCs w:val="20"/>
              </w:rPr>
              <w:t xml:space="preserve"> </w:t>
            </w:r>
            <w:proofErr w:type="spellStart"/>
            <w:r w:rsidRPr="00D81397">
              <w:rPr>
                <w:sz w:val="20"/>
                <w:szCs w:val="20"/>
              </w:rPr>
              <w:t>Clause</w:t>
            </w:r>
            <w:proofErr w:type="spellEnd"/>
            <w:r w:rsidRPr="00D81397">
              <w:rPr>
                <w:sz w:val="20"/>
                <w:szCs w:val="20"/>
              </w:rPr>
              <w:t xml:space="preserve"> als Offenbarung eines Verfassungsziels (</w:t>
            </w:r>
            <w:proofErr w:type="gramStart"/>
            <w:r w:rsidRPr="00D81397">
              <w:rPr>
                <w:sz w:val="20"/>
                <w:szCs w:val="20"/>
              </w:rPr>
              <w:t>„</w:t>
            </w:r>
            <w:r>
              <w:rPr>
                <w:sz w:val="20"/>
                <w:szCs w:val="20"/>
              </w:rPr>
              <w:t>,</w:t>
            </w:r>
            <w:r w:rsidRPr="00D81397">
              <w:rPr>
                <w:sz w:val="20"/>
                <w:szCs w:val="20"/>
              </w:rPr>
              <w:t>as</w:t>
            </w:r>
            <w:proofErr w:type="gramEnd"/>
            <w:r w:rsidRPr="00D81397">
              <w:rPr>
                <w:sz w:val="20"/>
                <w:szCs w:val="20"/>
              </w:rPr>
              <w:t xml:space="preserve"> the </w:t>
            </w:r>
            <w:proofErr w:type="spellStart"/>
            <w:r w:rsidRPr="00D81397">
              <w:rPr>
                <w:sz w:val="20"/>
                <w:szCs w:val="20"/>
              </w:rPr>
              <w:t>revelation</w:t>
            </w:r>
            <w:proofErr w:type="spellEnd"/>
            <w:r>
              <w:rPr>
                <w:sz w:val="20"/>
                <w:szCs w:val="20"/>
              </w:rPr>
              <w:t>‘</w:t>
            </w:r>
            <w:r w:rsidRPr="00D81397">
              <w:rPr>
                <w:sz w:val="20"/>
                <w:szCs w:val="20"/>
              </w:rPr>
              <w:t xml:space="preserve"> of an </w:t>
            </w:r>
            <w:proofErr w:type="spellStart"/>
            <w:r w:rsidRPr="00D81397">
              <w:rPr>
                <w:sz w:val="20"/>
                <w:szCs w:val="20"/>
              </w:rPr>
              <w:t>enduring</w:t>
            </w:r>
            <w:proofErr w:type="spellEnd"/>
            <w:r w:rsidRPr="00D81397">
              <w:rPr>
                <w:sz w:val="20"/>
                <w:szCs w:val="20"/>
              </w:rPr>
              <w:t xml:space="preserve"> </w:t>
            </w:r>
            <w:proofErr w:type="spellStart"/>
            <w:r w:rsidRPr="00D81397">
              <w:rPr>
                <w:sz w:val="20"/>
                <w:szCs w:val="20"/>
              </w:rPr>
              <w:t>constitutional</w:t>
            </w:r>
            <w:proofErr w:type="spellEnd"/>
            <w:r w:rsidRPr="00D81397">
              <w:rPr>
                <w:sz w:val="20"/>
                <w:szCs w:val="20"/>
              </w:rPr>
              <w:t xml:space="preserve"> </w:t>
            </w:r>
            <w:proofErr w:type="spellStart"/>
            <w:r w:rsidRPr="00D81397">
              <w:rPr>
                <w:sz w:val="20"/>
                <w:szCs w:val="20"/>
              </w:rPr>
              <w:t>purpose</w:t>
            </w:r>
            <w:proofErr w:type="spellEnd"/>
            <w:r w:rsidRPr="00D81397">
              <w:rPr>
                <w:sz w:val="20"/>
                <w:szCs w:val="20"/>
              </w:rPr>
              <w:t>“</w:t>
            </w:r>
            <w:r w:rsidRPr="00D81397">
              <w:rPr>
                <w:sz w:val="20"/>
                <w:szCs w:val="20"/>
                <w:vertAlign w:val="superscript"/>
              </w:rPr>
              <w:footnoteReference w:id="1593"/>
            </w:r>
            <w:r w:rsidRPr="00D81397">
              <w:rPr>
                <w:sz w:val="20"/>
                <w:szCs w:val="20"/>
              </w:rPr>
              <w:t xml:space="preserve">). Dieses drücke sich in Idealen der </w:t>
            </w:r>
            <w:r w:rsidRPr="5B67C1D2">
              <w:rPr>
                <w:i/>
                <w:iCs/>
                <w:sz w:val="20"/>
                <w:szCs w:val="20"/>
              </w:rPr>
              <w:t>Declaration of Independence</w:t>
            </w:r>
            <w:r w:rsidRPr="00D81397">
              <w:rPr>
                <w:sz w:val="20"/>
                <w:szCs w:val="20"/>
              </w:rPr>
              <w:t xml:space="preserve"> aus, wie dem gleichen Streben nach Glück. Kurz gesagt: Die Verfassung müsse farbenblind sein („a </w:t>
            </w:r>
            <w:proofErr w:type="spellStart"/>
            <w:r w:rsidRPr="00D81397">
              <w:rPr>
                <w:sz w:val="20"/>
                <w:szCs w:val="20"/>
              </w:rPr>
              <w:t>Constitution</w:t>
            </w:r>
            <w:proofErr w:type="spellEnd"/>
            <w:r w:rsidRPr="00D81397">
              <w:rPr>
                <w:sz w:val="20"/>
                <w:szCs w:val="20"/>
              </w:rPr>
              <w:t xml:space="preserve"> </w:t>
            </w:r>
            <w:proofErr w:type="spellStart"/>
            <w:r w:rsidRPr="00D81397">
              <w:rPr>
                <w:sz w:val="20"/>
                <w:szCs w:val="20"/>
              </w:rPr>
              <w:t>which</w:t>
            </w:r>
            <w:proofErr w:type="spellEnd"/>
            <w:r w:rsidRPr="00D81397">
              <w:rPr>
                <w:sz w:val="20"/>
                <w:szCs w:val="20"/>
              </w:rPr>
              <w:t xml:space="preserve"> </w:t>
            </w:r>
            <w:proofErr w:type="spellStart"/>
            <w:r w:rsidRPr="00D81397">
              <w:rPr>
                <w:sz w:val="20"/>
                <w:szCs w:val="20"/>
              </w:rPr>
              <w:t>is</w:t>
            </w:r>
            <w:proofErr w:type="spellEnd"/>
            <w:r w:rsidRPr="00D81397">
              <w:rPr>
                <w:sz w:val="20"/>
                <w:szCs w:val="20"/>
              </w:rPr>
              <w:t xml:space="preserve"> </w:t>
            </w:r>
            <w:proofErr w:type="spellStart"/>
            <w:r w:rsidRPr="00D81397">
              <w:rPr>
                <w:sz w:val="20"/>
                <w:szCs w:val="20"/>
              </w:rPr>
              <w:t>color</w:t>
            </w:r>
            <w:proofErr w:type="spellEnd"/>
            <w:r w:rsidRPr="00D81397">
              <w:rPr>
                <w:sz w:val="20"/>
                <w:szCs w:val="20"/>
              </w:rPr>
              <w:t xml:space="preserve"> blind“</w:t>
            </w:r>
            <w:r w:rsidRPr="00D81397">
              <w:rPr>
                <w:sz w:val="20"/>
                <w:szCs w:val="20"/>
                <w:vertAlign w:val="superscript"/>
              </w:rPr>
              <w:footnoteReference w:id="1594"/>
            </w:r>
            <w:r w:rsidRPr="00D81397">
              <w:rPr>
                <w:sz w:val="20"/>
                <w:szCs w:val="20"/>
              </w:rPr>
              <w:t xml:space="preserve">). </w:t>
            </w:r>
            <w:r w:rsidRPr="00D81397">
              <w:rPr>
                <w:sz w:val="20"/>
                <w:szCs w:val="20"/>
              </w:rPr>
              <w:lastRenderedPageBreak/>
              <w:t xml:space="preserve">Wenn die Verfassung davon abweiche, korrigiere also das Ideal. Deshalb sei es nicht entbehrlich. Und zweitens besprach das Urteil </w:t>
            </w:r>
            <w:r>
              <w:rPr>
                <w:sz w:val="20"/>
                <w:szCs w:val="20"/>
              </w:rPr>
              <w:t>das</w:t>
            </w:r>
            <w:r w:rsidRPr="00D81397">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D81397">
              <w:rPr>
                <w:sz w:val="20"/>
                <w:szCs w:val="20"/>
              </w:rPr>
              <w:t xml:space="preserve"> in seinem historischen Kontext, um zu bestätigen, dass diese</w:t>
            </w:r>
            <w:r>
              <w:rPr>
                <w:sz w:val="20"/>
                <w:szCs w:val="20"/>
              </w:rPr>
              <w:t>s</w:t>
            </w:r>
            <w:r w:rsidRPr="00D81397">
              <w:rPr>
                <w:sz w:val="20"/>
                <w:szCs w:val="20"/>
              </w:rPr>
              <w:t xml:space="preserve"> den Ursprung des Gleichheitssatzes bilde. Bereits </w:t>
            </w:r>
            <w:r>
              <w:rPr>
                <w:sz w:val="20"/>
                <w:szCs w:val="20"/>
              </w:rPr>
              <w:t>S</w:t>
            </w:r>
            <w:r w:rsidRPr="00D81397">
              <w:rPr>
                <w:sz w:val="20"/>
                <w:szCs w:val="20"/>
              </w:rPr>
              <w:t xml:space="preserve">enator </w:t>
            </w:r>
            <w:r w:rsidRPr="5B67C1D2">
              <w:rPr>
                <w:i/>
                <w:iCs/>
                <w:sz w:val="20"/>
                <w:szCs w:val="20"/>
              </w:rPr>
              <w:t>Sumner</w:t>
            </w:r>
            <w:r w:rsidRPr="00D81397">
              <w:rPr>
                <w:sz w:val="20"/>
                <w:szCs w:val="20"/>
              </w:rPr>
              <w:t xml:space="preserve"> sprach bei der Erörterung des Bürgerrechtsgesetzes von 1875</w:t>
            </w:r>
            <w:r w:rsidRPr="00D81397">
              <w:rPr>
                <w:sz w:val="20"/>
                <w:szCs w:val="20"/>
                <w:vertAlign w:val="superscript"/>
              </w:rPr>
              <w:footnoteReference w:id="1595"/>
            </w:r>
            <w:r w:rsidRPr="00D81397">
              <w:rPr>
                <w:sz w:val="20"/>
                <w:szCs w:val="20"/>
              </w:rPr>
              <w:t xml:space="preserve"> über das Staatsziel des Strebens nach Glück, das allen gleich zugänglich sein müsse („</w:t>
            </w:r>
            <w:proofErr w:type="spellStart"/>
            <w:r w:rsidRPr="00D81397">
              <w:rPr>
                <w:sz w:val="20"/>
                <w:szCs w:val="20"/>
              </w:rPr>
              <w:t>object</w:t>
            </w:r>
            <w:proofErr w:type="spellEnd"/>
            <w:r w:rsidRPr="00D81397">
              <w:rPr>
                <w:sz w:val="20"/>
                <w:szCs w:val="20"/>
              </w:rPr>
              <w:t xml:space="preserve"> </w:t>
            </w:r>
            <w:proofErr w:type="spellStart"/>
            <w:r w:rsidRPr="00D81397">
              <w:rPr>
                <w:sz w:val="20"/>
                <w:szCs w:val="20"/>
              </w:rPr>
              <w:t>is</w:t>
            </w:r>
            <w:proofErr w:type="spellEnd"/>
            <w:r w:rsidRPr="00D81397">
              <w:rPr>
                <w:sz w:val="20"/>
                <w:szCs w:val="20"/>
              </w:rPr>
              <w:t xml:space="preserve"> </w:t>
            </w:r>
            <w:proofErr w:type="gramStart"/>
            <w:r w:rsidRPr="00D81397">
              <w:rPr>
                <w:sz w:val="20"/>
                <w:szCs w:val="20"/>
              </w:rPr>
              <w:t xml:space="preserve">the </w:t>
            </w:r>
            <w:r>
              <w:rPr>
                <w:sz w:val="20"/>
                <w:szCs w:val="20"/>
              </w:rPr>
              <w:t>,</w:t>
            </w:r>
            <w:proofErr w:type="spellStart"/>
            <w:r w:rsidRPr="00D81397">
              <w:rPr>
                <w:sz w:val="20"/>
                <w:szCs w:val="20"/>
              </w:rPr>
              <w:t>pursuit</w:t>
            </w:r>
            <w:proofErr w:type="spellEnd"/>
            <w:proofErr w:type="gramEnd"/>
            <w:r w:rsidRPr="00D81397">
              <w:rPr>
                <w:sz w:val="20"/>
                <w:szCs w:val="20"/>
              </w:rPr>
              <w:t xml:space="preserve"> of </w:t>
            </w:r>
            <w:proofErr w:type="spellStart"/>
            <w:r w:rsidRPr="00D81397">
              <w:rPr>
                <w:sz w:val="20"/>
                <w:szCs w:val="20"/>
              </w:rPr>
              <w:t>happiness</w:t>
            </w:r>
            <w:proofErr w:type="spellEnd"/>
            <w:r>
              <w:rPr>
                <w:sz w:val="20"/>
                <w:szCs w:val="20"/>
              </w:rPr>
              <w:t>‘</w:t>
            </w:r>
            <w:r w:rsidRPr="00D81397">
              <w:rPr>
                <w:sz w:val="20"/>
                <w:szCs w:val="20"/>
              </w:rPr>
              <w:t xml:space="preserve">, </w:t>
            </w:r>
            <w:proofErr w:type="spellStart"/>
            <w:r w:rsidRPr="00D81397">
              <w:rPr>
                <w:sz w:val="20"/>
                <w:szCs w:val="20"/>
              </w:rPr>
              <w:t>which</w:t>
            </w:r>
            <w:proofErr w:type="spellEnd"/>
            <w:r w:rsidRPr="00D81397">
              <w:rPr>
                <w:sz w:val="20"/>
                <w:szCs w:val="20"/>
              </w:rPr>
              <w:t xml:space="preserve"> </w:t>
            </w:r>
            <w:proofErr w:type="spellStart"/>
            <w:r w:rsidRPr="00D81397">
              <w:rPr>
                <w:sz w:val="20"/>
                <w:szCs w:val="20"/>
              </w:rPr>
              <w:t>has</w:t>
            </w:r>
            <w:proofErr w:type="spellEnd"/>
            <w:r w:rsidRPr="00D81397">
              <w:rPr>
                <w:sz w:val="20"/>
                <w:szCs w:val="20"/>
              </w:rPr>
              <w:t xml:space="preserve"> </w:t>
            </w:r>
            <w:proofErr w:type="spellStart"/>
            <w:r w:rsidRPr="00D81397">
              <w:rPr>
                <w:sz w:val="20"/>
                <w:szCs w:val="20"/>
              </w:rPr>
              <w:t>been</w:t>
            </w:r>
            <w:proofErr w:type="spellEnd"/>
            <w:r w:rsidRPr="00D81397">
              <w:rPr>
                <w:sz w:val="20"/>
                <w:szCs w:val="20"/>
              </w:rPr>
              <w:t xml:space="preserve"> </w:t>
            </w:r>
            <w:proofErr w:type="spellStart"/>
            <w:r w:rsidRPr="00D81397">
              <w:rPr>
                <w:sz w:val="20"/>
                <w:szCs w:val="20"/>
              </w:rPr>
              <w:t>placed</w:t>
            </w:r>
            <w:proofErr w:type="spellEnd"/>
            <w:r w:rsidRPr="00D81397">
              <w:rPr>
                <w:sz w:val="20"/>
                <w:szCs w:val="20"/>
              </w:rPr>
              <w:t xml:space="preserve"> </w:t>
            </w:r>
            <w:proofErr w:type="spellStart"/>
            <w:r w:rsidRPr="00D81397">
              <w:rPr>
                <w:sz w:val="20"/>
                <w:szCs w:val="20"/>
              </w:rPr>
              <w:t>among</w:t>
            </w:r>
            <w:proofErr w:type="spellEnd"/>
            <w:r w:rsidRPr="00D81397">
              <w:rPr>
                <w:sz w:val="20"/>
                <w:szCs w:val="20"/>
              </w:rPr>
              <w:t xml:space="preserve"> the </w:t>
            </w:r>
            <w:proofErr w:type="spellStart"/>
            <w:r w:rsidRPr="00D81397">
              <w:rPr>
                <w:sz w:val="20"/>
                <w:szCs w:val="20"/>
              </w:rPr>
              <w:t>equal</w:t>
            </w:r>
            <w:proofErr w:type="spellEnd"/>
            <w:r w:rsidRPr="00D81397">
              <w:rPr>
                <w:sz w:val="20"/>
                <w:szCs w:val="20"/>
              </w:rPr>
              <w:t xml:space="preserve"> </w:t>
            </w:r>
            <w:proofErr w:type="spellStart"/>
            <w:r w:rsidRPr="00D81397">
              <w:rPr>
                <w:sz w:val="20"/>
                <w:szCs w:val="20"/>
              </w:rPr>
              <w:t>rights</w:t>
            </w:r>
            <w:proofErr w:type="spellEnd"/>
            <w:r w:rsidRPr="00D81397">
              <w:rPr>
                <w:sz w:val="20"/>
                <w:szCs w:val="20"/>
              </w:rPr>
              <w:t xml:space="preserve"> of all“</w:t>
            </w:r>
            <w:r w:rsidRPr="00D81397">
              <w:rPr>
                <w:sz w:val="20"/>
                <w:szCs w:val="20"/>
                <w:vertAlign w:val="superscript"/>
              </w:rPr>
              <w:footnoteReference w:id="1596"/>
            </w:r>
            <w:r w:rsidRPr="00D81397">
              <w:rPr>
                <w:sz w:val="20"/>
                <w:szCs w:val="20"/>
              </w:rPr>
              <w:t xml:space="preserve">). Dabei nahm er das Beispiel, </w:t>
            </w:r>
            <w:r>
              <w:rPr>
                <w:sz w:val="20"/>
                <w:szCs w:val="20"/>
              </w:rPr>
              <w:t>das</w:t>
            </w:r>
            <w:r w:rsidRPr="00D81397">
              <w:rPr>
                <w:sz w:val="20"/>
                <w:szCs w:val="20"/>
              </w:rPr>
              <w:t xml:space="preserve"> öffentliche Theater oder öffentliche Verkehrsmittel oder Räumlichkeiten wie Restaurants, die faktisch der Öffentlichkeit zugänglich sind, allen Menschen Zugang gewährt werden müss</w:t>
            </w:r>
            <w:r>
              <w:rPr>
                <w:sz w:val="20"/>
                <w:szCs w:val="20"/>
              </w:rPr>
              <w:t>ten</w:t>
            </w:r>
            <w:r w:rsidRPr="00D81397">
              <w:rPr>
                <w:sz w:val="20"/>
                <w:szCs w:val="20"/>
              </w:rPr>
              <w:t xml:space="preserve"> – unabhängig</w:t>
            </w:r>
            <w:r>
              <w:rPr>
                <w:sz w:val="20"/>
                <w:szCs w:val="20"/>
              </w:rPr>
              <w:t xml:space="preserve"> von</w:t>
            </w:r>
            <w:r w:rsidRPr="00D81397">
              <w:rPr>
                <w:sz w:val="20"/>
                <w:szCs w:val="20"/>
              </w:rPr>
              <w:t xml:space="preserve"> ihrer Rasse. Denn das Ziel dieser Einrichtungen sei das Streben nach Glück, was zu den gleichen Rechten aller gehöre.</w:t>
            </w:r>
            <w:r w:rsidRPr="00D81397">
              <w:rPr>
                <w:sz w:val="20"/>
                <w:szCs w:val="20"/>
                <w:vertAlign w:val="superscript"/>
              </w:rPr>
              <w:footnoteReference w:id="1597"/>
            </w:r>
            <w:r w:rsidRPr="00D81397">
              <w:rPr>
                <w:sz w:val="20"/>
                <w:szCs w:val="20"/>
              </w:rPr>
              <w:t xml:space="preserve"> Damit hänge zusammen, das verfassungsrechtliche Konzept der Staatsbürgerschaft zu stärken, indem allen die gleiche</w:t>
            </w:r>
            <w:r>
              <w:rPr>
                <w:sz w:val="20"/>
                <w:szCs w:val="20"/>
              </w:rPr>
              <w:t>n</w:t>
            </w:r>
            <w:r w:rsidRPr="00D81397">
              <w:rPr>
                <w:sz w:val="20"/>
                <w:szCs w:val="20"/>
              </w:rPr>
              <w:t xml:space="preserve"> Rechte und Verpflichtungen („</w:t>
            </w:r>
            <w:proofErr w:type="spellStart"/>
            <w:r w:rsidRPr="00D81397">
              <w:rPr>
                <w:sz w:val="20"/>
                <w:szCs w:val="20"/>
              </w:rPr>
              <w:t>rights</w:t>
            </w:r>
            <w:proofErr w:type="spellEnd"/>
            <w:r w:rsidRPr="00D81397">
              <w:rPr>
                <w:sz w:val="20"/>
                <w:szCs w:val="20"/>
              </w:rPr>
              <w:t xml:space="preserve"> and </w:t>
            </w:r>
            <w:proofErr w:type="spellStart"/>
            <w:r w:rsidRPr="00D81397">
              <w:rPr>
                <w:sz w:val="20"/>
                <w:szCs w:val="20"/>
              </w:rPr>
              <w:t>privileges</w:t>
            </w:r>
            <w:proofErr w:type="spellEnd"/>
            <w:r w:rsidRPr="00D81397">
              <w:rPr>
                <w:sz w:val="20"/>
                <w:szCs w:val="20"/>
              </w:rPr>
              <w:t>“</w:t>
            </w:r>
            <w:r w:rsidRPr="00D81397">
              <w:rPr>
                <w:sz w:val="20"/>
                <w:szCs w:val="20"/>
                <w:vertAlign w:val="superscript"/>
              </w:rPr>
              <w:footnoteReference w:id="1598"/>
            </w:r>
            <w:r w:rsidRPr="00D81397">
              <w:rPr>
                <w:sz w:val="20"/>
                <w:szCs w:val="20"/>
              </w:rPr>
              <w:t xml:space="preserve">) eröffnet seien – auch hier: unabhängig </w:t>
            </w:r>
            <w:r>
              <w:rPr>
                <w:sz w:val="20"/>
                <w:szCs w:val="20"/>
              </w:rPr>
              <w:t xml:space="preserve">von </w:t>
            </w:r>
            <w:r w:rsidRPr="00D81397">
              <w:rPr>
                <w:sz w:val="20"/>
                <w:szCs w:val="20"/>
              </w:rPr>
              <w:t>ihrer Rasse.</w:t>
            </w:r>
          </w:p>
          <w:p w14:paraId="16001852" w14:textId="072E8DE6" w:rsidR="0056095C" w:rsidRPr="00E50B51" w:rsidRDefault="0056095C" w:rsidP="00367133">
            <w:pPr>
              <w:jc w:val="both"/>
              <w:rPr>
                <w:sz w:val="20"/>
                <w:szCs w:val="20"/>
              </w:rPr>
            </w:pPr>
          </w:p>
        </w:tc>
      </w:tr>
      <w:tr w:rsidR="00074551" w:rsidRPr="00E50B51" w14:paraId="31DCAECC" w14:textId="77777777" w:rsidTr="00BE689F">
        <w:trPr>
          <w:cantSplit/>
          <w:trHeight w:val="3175"/>
        </w:trPr>
        <w:tc>
          <w:tcPr>
            <w:tcW w:w="293" w:type="pct"/>
          </w:tcPr>
          <w:p w14:paraId="6A77ECDF"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5C70C3E" w14:textId="77777777" w:rsidR="00074551" w:rsidRPr="00E50B51" w:rsidRDefault="00074551" w:rsidP="00367133">
            <w:pPr>
              <w:ind w:left="113" w:right="416"/>
              <w:jc w:val="both"/>
              <w:rPr>
                <w:sz w:val="20"/>
                <w:szCs w:val="20"/>
              </w:rPr>
            </w:pPr>
            <w:r w:rsidRPr="00584023">
              <w:rPr>
                <w:i/>
                <w:sz w:val="20"/>
                <w:szCs w:val="20"/>
              </w:rPr>
              <w:t>Blake v. McClung</w:t>
            </w:r>
          </w:p>
        </w:tc>
        <w:tc>
          <w:tcPr>
            <w:tcW w:w="197" w:type="pct"/>
            <w:textDirection w:val="tbRl"/>
            <w:vAlign w:val="center"/>
          </w:tcPr>
          <w:p w14:paraId="102D6936" w14:textId="77777777" w:rsidR="00074551" w:rsidRPr="00E50B51" w:rsidRDefault="00074551" w:rsidP="00367133">
            <w:pPr>
              <w:ind w:left="113" w:right="113"/>
              <w:jc w:val="both"/>
              <w:rPr>
                <w:sz w:val="20"/>
                <w:szCs w:val="20"/>
              </w:rPr>
            </w:pPr>
            <w:r w:rsidRPr="00E50B51">
              <w:rPr>
                <w:sz w:val="20"/>
                <w:szCs w:val="20"/>
                <w:lang w:val="en-US"/>
              </w:rPr>
              <w:t>172 U.S. 239</w:t>
            </w:r>
          </w:p>
        </w:tc>
        <w:tc>
          <w:tcPr>
            <w:tcW w:w="306" w:type="pct"/>
            <w:textDirection w:val="tbRl"/>
            <w:vAlign w:val="center"/>
          </w:tcPr>
          <w:p w14:paraId="392A096B" w14:textId="77777777" w:rsidR="00074551" w:rsidRPr="00E50B51" w:rsidRDefault="00074551" w:rsidP="00367133">
            <w:pPr>
              <w:ind w:left="113" w:right="113"/>
              <w:jc w:val="both"/>
              <w:rPr>
                <w:sz w:val="20"/>
                <w:szCs w:val="20"/>
              </w:rPr>
            </w:pPr>
            <w:r w:rsidRPr="00E50B51">
              <w:rPr>
                <w:sz w:val="20"/>
                <w:szCs w:val="20"/>
              </w:rPr>
              <w:t>12. Dezember 1898</w:t>
            </w:r>
          </w:p>
        </w:tc>
        <w:tc>
          <w:tcPr>
            <w:tcW w:w="401" w:type="pct"/>
          </w:tcPr>
          <w:p w14:paraId="1CB82EAE"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60E396C3" w14:textId="77777777" w:rsidR="00074551" w:rsidRPr="00E50B51" w:rsidRDefault="00074551" w:rsidP="00367133">
            <w:pPr>
              <w:jc w:val="both"/>
              <w:rPr>
                <w:sz w:val="20"/>
                <w:szCs w:val="20"/>
              </w:rPr>
            </w:pPr>
            <w:r w:rsidRPr="00E50B51">
              <w:rPr>
                <w:sz w:val="20"/>
                <w:szCs w:val="20"/>
              </w:rPr>
              <w:t>*</w:t>
            </w:r>
          </w:p>
        </w:tc>
        <w:tc>
          <w:tcPr>
            <w:tcW w:w="1822" w:type="pct"/>
          </w:tcPr>
          <w:p w14:paraId="161B909B" w14:textId="77777777" w:rsidR="00074551" w:rsidRPr="00317621" w:rsidRDefault="00074551" w:rsidP="00367133">
            <w:pPr>
              <w:jc w:val="both"/>
              <w:rPr>
                <w:sz w:val="20"/>
                <w:szCs w:val="20"/>
              </w:rPr>
            </w:pPr>
            <w:r w:rsidRPr="00317621">
              <w:rPr>
                <w:sz w:val="20"/>
                <w:szCs w:val="20"/>
              </w:rPr>
              <w:t xml:space="preserve">Der </w:t>
            </w:r>
            <w:r>
              <w:rPr>
                <w:sz w:val="20"/>
                <w:szCs w:val="20"/>
              </w:rPr>
              <w:t>U.S. Supreme Court</w:t>
            </w:r>
            <w:r w:rsidRPr="00317621">
              <w:rPr>
                <w:sz w:val="20"/>
                <w:szCs w:val="20"/>
              </w:rPr>
              <w:t xml:space="preserve"> erklärte, dass mit der </w:t>
            </w:r>
            <w:proofErr w:type="spellStart"/>
            <w:r w:rsidRPr="5B67C1D2">
              <w:rPr>
                <w:i/>
                <w:iCs/>
                <w:sz w:val="20"/>
                <w:szCs w:val="20"/>
              </w:rPr>
              <w:t>Privileges</w:t>
            </w:r>
            <w:proofErr w:type="spellEnd"/>
            <w:r w:rsidRPr="5B67C1D2">
              <w:rPr>
                <w:i/>
                <w:iCs/>
                <w:sz w:val="20"/>
                <w:szCs w:val="20"/>
              </w:rPr>
              <w:t xml:space="preserve"> and </w:t>
            </w:r>
            <w:proofErr w:type="spellStart"/>
            <w:r w:rsidRPr="5B67C1D2">
              <w:rPr>
                <w:i/>
                <w:iCs/>
                <w:sz w:val="20"/>
                <w:szCs w:val="20"/>
              </w:rPr>
              <w:t>Immunities</w:t>
            </w:r>
            <w:proofErr w:type="spellEnd"/>
            <w:r w:rsidRPr="5B67C1D2">
              <w:rPr>
                <w:i/>
                <w:iCs/>
                <w:sz w:val="20"/>
                <w:szCs w:val="20"/>
              </w:rPr>
              <w:t xml:space="preserve"> </w:t>
            </w:r>
            <w:proofErr w:type="spellStart"/>
            <w:r w:rsidRPr="5B67C1D2">
              <w:rPr>
                <w:i/>
                <w:iCs/>
                <w:sz w:val="20"/>
                <w:szCs w:val="20"/>
              </w:rPr>
              <w:t>Clause</w:t>
            </w:r>
            <w:proofErr w:type="spellEnd"/>
            <w:r w:rsidRPr="00317621">
              <w:rPr>
                <w:sz w:val="20"/>
                <w:szCs w:val="20"/>
              </w:rPr>
              <w:t xml:space="preserve"> in allen Bundesstaaten gleiche Bedingungen für ein Streben nach Glück zu sichern seien („it </w:t>
            </w:r>
            <w:proofErr w:type="spellStart"/>
            <w:r w:rsidRPr="00317621">
              <w:rPr>
                <w:sz w:val="20"/>
                <w:szCs w:val="20"/>
              </w:rPr>
              <w:t>insures</w:t>
            </w:r>
            <w:proofErr w:type="spellEnd"/>
            <w:r w:rsidRPr="00317621">
              <w:rPr>
                <w:sz w:val="20"/>
                <w:szCs w:val="20"/>
              </w:rPr>
              <w:t xml:space="preserve"> to </w:t>
            </w:r>
            <w:proofErr w:type="spellStart"/>
            <w:r w:rsidRPr="00317621">
              <w:rPr>
                <w:sz w:val="20"/>
                <w:szCs w:val="20"/>
              </w:rPr>
              <w:t>them</w:t>
            </w:r>
            <w:proofErr w:type="spellEnd"/>
            <w:r w:rsidRPr="00317621">
              <w:rPr>
                <w:sz w:val="20"/>
                <w:szCs w:val="20"/>
              </w:rPr>
              <w:t xml:space="preserve"> in </w:t>
            </w:r>
            <w:proofErr w:type="spellStart"/>
            <w:r w:rsidRPr="00317621">
              <w:rPr>
                <w:sz w:val="20"/>
                <w:szCs w:val="20"/>
              </w:rPr>
              <w:t>other</w:t>
            </w:r>
            <w:proofErr w:type="spellEnd"/>
            <w:r w:rsidRPr="00317621">
              <w:rPr>
                <w:sz w:val="20"/>
                <w:szCs w:val="20"/>
              </w:rPr>
              <w:t xml:space="preserve"> States the same </w:t>
            </w:r>
            <w:proofErr w:type="spellStart"/>
            <w:r w:rsidRPr="00317621">
              <w:rPr>
                <w:sz w:val="20"/>
                <w:szCs w:val="20"/>
              </w:rPr>
              <w:t>freedom</w:t>
            </w:r>
            <w:proofErr w:type="spellEnd"/>
            <w:r w:rsidRPr="00317621">
              <w:rPr>
                <w:sz w:val="20"/>
                <w:szCs w:val="20"/>
              </w:rPr>
              <w:t xml:space="preserve"> […] in the </w:t>
            </w:r>
            <w:proofErr w:type="spellStart"/>
            <w:r w:rsidRPr="00317621">
              <w:rPr>
                <w:sz w:val="20"/>
                <w:szCs w:val="20"/>
              </w:rPr>
              <w:t>pursuit</w:t>
            </w:r>
            <w:proofErr w:type="spellEnd"/>
            <w:r w:rsidRPr="00317621">
              <w:rPr>
                <w:sz w:val="20"/>
                <w:szCs w:val="20"/>
              </w:rPr>
              <w:t xml:space="preserve"> of </w:t>
            </w:r>
            <w:proofErr w:type="spellStart"/>
            <w:r w:rsidRPr="00317621">
              <w:rPr>
                <w:sz w:val="20"/>
                <w:szCs w:val="20"/>
              </w:rPr>
              <w:t>happiness</w:t>
            </w:r>
            <w:proofErr w:type="spellEnd"/>
            <w:r w:rsidRPr="00317621">
              <w:rPr>
                <w:sz w:val="20"/>
                <w:szCs w:val="20"/>
              </w:rPr>
              <w:t>“</w:t>
            </w:r>
            <w:r w:rsidRPr="00317621">
              <w:rPr>
                <w:sz w:val="20"/>
                <w:szCs w:val="20"/>
                <w:vertAlign w:val="superscript"/>
              </w:rPr>
              <w:footnoteReference w:id="1599"/>
            </w:r>
            <w:r w:rsidRPr="00317621">
              <w:rPr>
                <w:sz w:val="20"/>
                <w:szCs w:val="20"/>
              </w:rPr>
              <w:t xml:space="preserve">). Das Ziel der </w:t>
            </w:r>
            <w:proofErr w:type="spellStart"/>
            <w:r w:rsidRPr="5B67C1D2">
              <w:rPr>
                <w:i/>
                <w:iCs/>
                <w:sz w:val="20"/>
                <w:szCs w:val="20"/>
              </w:rPr>
              <w:t>Privileges</w:t>
            </w:r>
            <w:proofErr w:type="spellEnd"/>
            <w:r w:rsidRPr="5B67C1D2">
              <w:rPr>
                <w:i/>
                <w:iCs/>
                <w:sz w:val="20"/>
                <w:szCs w:val="20"/>
              </w:rPr>
              <w:t xml:space="preserve"> and </w:t>
            </w:r>
            <w:proofErr w:type="spellStart"/>
            <w:r w:rsidRPr="5B67C1D2">
              <w:rPr>
                <w:i/>
                <w:iCs/>
                <w:sz w:val="20"/>
                <w:szCs w:val="20"/>
              </w:rPr>
              <w:t>Immunities</w:t>
            </w:r>
            <w:proofErr w:type="spellEnd"/>
            <w:r w:rsidRPr="5B67C1D2">
              <w:rPr>
                <w:i/>
                <w:iCs/>
                <w:sz w:val="20"/>
                <w:szCs w:val="20"/>
              </w:rPr>
              <w:t xml:space="preserve"> </w:t>
            </w:r>
            <w:proofErr w:type="spellStart"/>
            <w:r w:rsidRPr="5B67C1D2">
              <w:rPr>
                <w:i/>
                <w:iCs/>
                <w:sz w:val="20"/>
                <w:szCs w:val="20"/>
              </w:rPr>
              <w:t>Clause</w:t>
            </w:r>
            <w:proofErr w:type="spellEnd"/>
            <w:r w:rsidRPr="00317621">
              <w:rPr>
                <w:sz w:val="20"/>
                <w:szCs w:val="20"/>
              </w:rPr>
              <w:t xml:space="preserve"> sei, Bürger eines Bundesstaats mit den Bürgern eines anderen Bundesstaats gleichzustellen. D.h. Vorteile herzustellen und von Behinderungen zu befreien, die aus einer unterschiedlichen bundesstaatlichen Staatsbürgerschaft erwachsen. M</w:t>
            </w:r>
            <w:r>
              <w:rPr>
                <w:sz w:val="20"/>
                <w:szCs w:val="20"/>
              </w:rPr>
              <w:t>it anderen Worten</w:t>
            </w:r>
            <w:r w:rsidRPr="00317621">
              <w:rPr>
                <w:sz w:val="20"/>
                <w:szCs w:val="20"/>
              </w:rPr>
              <w:t xml:space="preserve">: Andere Bundesstaaten können nicht durch Gesetzgebung bzgl. unterschiedlicher Staatsbürgerschaft diskriminieren. Damit sei bundesstaatübergreifend </w:t>
            </w:r>
            <w:r>
              <w:rPr>
                <w:sz w:val="20"/>
                <w:szCs w:val="20"/>
              </w:rPr>
              <w:t>z.B.</w:t>
            </w:r>
            <w:r w:rsidRPr="00317621">
              <w:rPr>
                <w:sz w:val="20"/>
                <w:szCs w:val="20"/>
              </w:rPr>
              <w:t xml:space="preserve"> die gleiche Freiheit beim Erwerb und der Nutzung von Eigentum und beim Streben nach Glück zu sichern. Letzteres wird also durch die </w:t>
            </w:r>
            <w:proofErr w:type="spellStart"/>
            <w:r w:rsidRPr="5B67C1D2">
              <w:rPr>
                <w:i/>
                <w:iCs/>
                <w:sz w:val="20"/>
                <w:szCs w:val="20"/>
              </w:rPr>
              <w:t>Privileges</w:t>
            </w:r>
            <w:proofErr w:type="spellEnd"/>
            <w:r w:rsidRPr="5B67C1D2">
              <w:rPr>
                <w:i/>
                <w:iCs/>
                <w:sz w:val="20"/>
                <w:szCs w:val="20"/>
              </w:rPr>
              <w:t xml:space="preserve"> and </w:t>
            </w:r>
            <w:proofErr w:type="spellStart"/>
            <w:r w:rsidRPr="5B67C1D2">
              <w:rPr>
                <w:i/>
                <w:iCs/>
                <w:sz w:val="20"/>
                <w:szCs w:val="20"/>
              </w:rPr>
              <w:t>Immunities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w:t>
            </w:r>
            <w:r w:rsidRPr="00317621">
              <w:rPr>
                <w:sz w:val="20"/>
                <w:szCs w:val="20"/>
              </w:rPr>
              <w:t>in allen Bundesstaaten geschützt – und muss dort vergleichbar vorliegen. Und erst dadurch w</w:t>
            </w:r>
            <w:r>
              <w:rPr>
                <w:sz w:val="20"/>
                <w:szCs w:val="20"/>
              </w:rPr>
              <w:t>ü</w:t>
            </w:r>
            <w:r w:rsidRPr="00317621">
              <w:rPr>
                <w:sz w:val="20"/>
                <w:szCs w:val="20"/>
              </w:rPr>
              <w:t>rden die Vereinigten Staaten zu einem Volk („</w:t>
            </w:r>
            <w:proofErr w:type="spellStart"/>
            <w:r w:rsidRPr="00317621">
              <w:rPr>
                <w:sz w:val="20"/>
                <w:szCs w:val="20"/>
              </w:rPr>
              <w:t>constitute</w:t>
            </w:r>
            <w:proofErr w:type="spellEnd"/>
            <w:r w:rsidRPr="00317621">
              <w:rPr>
                <w:sz w:val="20"/>
                <w:szCs w:val="20"/>
              </w:rPr>
              <w:t xml:space="preserve"> the </w:t>
            </w:r>
            <w:proofErr w:type="spellStart"/>
            <w:r w:rsidRPr="00317621">
              <w:rPr>
                <w:sz w:val="20"/>
                <w:szCs w:val="20"/>
              </w:rPr>
              <w:t>citizens</w:t>
            </w:r>
            <w:proofErr w:type="spellEnd"/>
            <w:r w:rsidRPr="00317621">
              <w:rPr>
                <w:sz w:val="20"/>
                <w:szCs w:val="20"/>
              </w:rPr>
              <w:t xml:space="preserve"> of the United States </w:t>
            </w:r>
            <w:proofErr w:type="spellStart"/>
            <w:r w:rsidRPr="00317621">
              <w:rPr>
                <w:sz w:val="20"/>
                <w:szCs w:val="20"/>
              </w:rPr>
              <w:t>one</w:t>
            </w:r>
            <w:proofErr w:type="spellEnd"/>
            <w:r w:rsidRPr="00317621">
              <w:rPr>
                <w:sz w:val="20"/>
                <w:szCs w:val="20"/>
              </w:rPr>
              <w:t xml:space="preserve"> </w:t>
            </w:r>
            <w:proofErr w:type="spellStart"/>
            <w:r w:rsidRPr="00317621">
              <w:rPr>
                <w:sz w:val="20"/>
                <w:szCs w:val="20"/>
              </w:rPr>
              <w:t>people</w:t>
            </w:r>
            <w:proofErr w:type="spellEnd"/>
            <w:r w:rsidRPr="00317621">
              <w:rPr>
                <w:sz w:val="20"/>
                <w:szCs w:val="20"/>
              </w:rPr>
              <w:t>“</w:t>
            </w:r>
            <w:r w:rsidRPr="00317621">
              <w:rPr>
                <w:sz w:val="20"/>
                <w:szCs w:val="20"/>
                <w:vertAlign w:val="superscript"/>
                <w:lang w:val="en-US"/>
              </w:rPr>
              <w:footnoteReference w:id="1600"/>
            </w:r>
            <w:r w:rsidRPr="00317621">
              <w:rPr>
                <w:sz w:val="20"/>
                <w:szCs w:val="20"/>
              </w:rPr>
              <w:t>).</w:t>
            </w:r>
          </w:p>
          <w:p w14:paraId="3A875503" w14:textId="6DA77F4C" w:rsidR="00074551" w:rsidRPr="00E50B51" w:rsidRDefault="00074551" w:rsidP="00367133">
            <w:pPr>
              <w:jc w:val="both"/>
              <w:rPr>
                <w:sz w:val="20"/>
                <w:szCs w:val="20"/>
              </w:rPr>
            </w:pPr>
            <w:r w:rsidRPr="00317621">
              <w:rPr>
                <w:sz w:val="20"/>
                <w:szCs w:val="20"/>
              </w:rPr>
              <w:t xml:space="preserve">Zugleich beantwortet der </w:t>
            </w:r>
            <w:r>
              <w:rPr>
                <w:sz w:val="20"/>
                <w:szCs w:val="20"/>
              </w:rPr>
              <w:t>U.S. Supreme Court</w:t>
            </w:r>
            <w:r w:rsidRPr="00317621">
              <w:rPr>
                <w:sz w:val="20"/>
                <w:szCs w:val="20"/>
              </w:rPr>
              <w:t xml:space="preserve"> die Frage, was die Vorrechte und Immunitäten der Bürger inhaltlich genau sind</w:t>
            </w:r>
            <w:r>
              <w:rPr>
                <w:sz w:val="20"/>
                <w:szCs w:val="20"/>
              </w:rPr>
              <w:t>.</w:t>
            </w:r>
            <w:r w:rsidRPr="00317621">
              <w:rPr>
                <w:sz w:val="20"/>
                <w:szCs w:val="20"/>
              </w:rPr>
              <w:t xml:space="preserve"> </w:t>
            </w:r>
            <w:r w:rsidR="00EB25BD" w:rsidRPr="00EB25BD">
              <w:rPr>
                <w:sz w:val="20"/>
                <w:szCs w:val="20"/>
              </w:rPr>
              <w:t xml:space="preserve">Damit seien nur solche Vorrechte und Immunitäten </w:t>
            </w:r>
            <w:r w:rsidR="00EB25BD">
              <w:rPr>
                <w:sz w:val="20"/>
                <w:szCs w:val="20"/>
              </w:rPr>
              <w:t>(</w:t>
            </w:r>
            <w:proofErr w:type="spellStart"/>
            <w:r w:rsidR="00EB25BD" w:rsidRPr="00EB25BD">
              <w:rPr>
                <w:i/>
                <w:iCs/>
                <w:sz w:val="20"/>
                <w:szCs w:val="20"/>
              </w:rPr>
              <w:t>privileges</w:t>
            </w:r>
            <w:proofErr w:type="spellEnd"/>
            <w:r w:rsidR="00EB25BD" w:rsidRPr="00EB25BD">
              <w:rPr>
                <w:i/>
                <w:iCs/>
                <w:sz w:val="20"/>
                <w:szCs w:val="20"/>
              </w:rPr>
              <w:t xml:space="preserve"> and </w:t>
            </w:r>
            <w:proofErr w:type="spellStart"/>
            <w:r w:rsidR="00EB25BD" w:rsidRPr="00EB25BD">
              <w:rPr>
                <w:i/>
                <w:iCs/>
                <w:sz w:val="20"/>
                <w:szCs w:val="20"/>
              </w:rPr>
              <w:t>immunities</w:t>
            </w:r>
            <w:proofErr w:type="spellEnd"/>
            <w:r w:rsidR="00EB25BD">
              <w:rPr>
                <w:sz w:val="20"/>
                <w:szCs w:val="20"/>
              </w:rPr>
              <w:t xml:space="preserve">) </w:t>
            </w:r>
            <w:r w:rsidR="00EB25BD" w:rsidRPr="00EB25BD">
              <w:rPr>
                <w:sz w:val="20"/>
                <w:szCs w:val="20"/>
              </w:rPr>
              <w:t>gemeint, die ihrem Wesen nach grundlegend seien</w:t>
            </w:r>
            <w:r w:rsidRPr="00317621">
              <w:rPr>
                <w:sz w:val="20"/>
                <w:szCs w:val="20"/>
              </w:rPr>
              <w:t>. Diese Rechte seien grundlegend, wenn sie typischerweise Bürgern aller freien Regierungen zust</w:t>
            </w:r>
            <w:r>
              <w:rPr>
                <w:sz w:val="20"/>
                <w:szCs w:val="20"/>
              </w:rPr>
              <w:t>ünden</w:t>
            </w:r>
            <w:r w:rsidRPr="00317621">
              <w:rPr>
                <w:sz w:val="20"/>
                <w:szCs w:val="20"/>
              </w:rPr>
              <w:t xml:space="preserve">, sie unabdingbar seien und sie typischerweise ab dann zu existieren </w:t>
            </w:r>
            <w:r>
              <w:rPr>
                <w:sz w:val="20"/>
                <w:szCs w:val="20"/>
              </w:rPr>
              <w:t>begännen</w:t>
            </w:r>
            <w:r w:rsidRPr="00317621">
              <w:rPr>
                <w:sz w:val="20"/>
                <w:szCs w:val="20"/>
              </w:rPr>
              <w:t>, wenn in einem Staat Freiheit, Unabhängigkeit und Souveränität best</w:t>
            </w:r>
            <w:r>
              <w:rPr>
                <w:sz w:val="20"/>
                <w:szCs w:val="20"/>
              </w:rPr>
              <w:t>ünden</w:t>
            </w:r>
            <w:r w:rsidRPr="00317621">
              <w:rPr>
                <w:sz w:val="20"/>
                <w:szCs w:val="20"/>
              </w:rPr>
              <w:t xml:space="preserve">. Dies seien sog. Grundprinzipien („fundamental </w:t>
            </w:r>
            <w:proofErr w:type="spellStart"/>
            <w:r w:rsidRPr="00317621">
              <w:rPr>
                <w:sz w:val="20"/>
                <w:szCs w:val="20"/>
              </w:rPr>
              <w:t>principles</w:t>
            </w:r>
            <w:proofErr w:type="spellEnd"/>
            <w:r w:rsidRPr="00317621">
              <w:rPr>
                <w:sz w:val="20"/>
                <w:szCs w:val="20"/>
              </w:rPr>
              <w:t>“</w:t>
            </w:r>
            <w:r w:rsidRPr="00317621">
              <w:rPr>
                <w:sz w:val="20"/>
                <w:szCs w:val="20"/>
                <w:vertAlign w:val="superscript"/>
              </w:rPr>
              <w:footnoteReference w:id="1601"/>
            </w:r>
            <w:r w:rsidRPr="00317621">
              <w:rPr>
                <w:sz w:val="20"/>
                <w:szCs w:val="20"/>
              </w:rPr>
              <w:t xml:space="preserve">). Zwar seien sie schwierig aufzuzählen. Aber sie ließen sich unter vier Rahmenrechten zusammenfassen: </w:t>
            </w:r>
            <w:r>
              <w:rPr>
                <w:sz w:val="20"/>
                <w:szCs w:val="20"/>
              </w:rPr>
              <w:t>S</w:t>
            </w:r>
            <w:r w:rsidRPr="00317621">
              <w:rPr>
                <w:sz w:val="20"/>
                <w:szCs w:val="20"/>
              </w:rPr>
              <w:t xml:space="preserve">ie stehen unter dem Schutz der Regierung; sie sichern den Genuss des Lebens und der Freiheit; </w:t>
            </w:r>
            <w:r>
              <w:rPr>
                <w:sz w:val="20"/>
                <w:szCs w:val="20"/>
              </w:rPr>
              <w:t>sie sichern</w:t>
            </w:r>
            <w:r w:rsidRPr="00317621">
              <w:rPr>
                <w:sz w:val="20"/>
                <w:szCs w:val="20"/>
              </w:rPr>
              <w:t xml:space="preserve"> das Recht, Eigentum zu erwerben und zu besitzen; </w:t>
            </w:r>
            <w:r>
              <w:rPr>
                <w:sz w:val="20"/>
                <w:szCs w:val="20"/>
              </w:rPr>
              <w:t>und sie ermöglichen es,</w:t>
            </w:r>
            <w:r w:rsidRPr="00317621">
              <w:rPr>
                <w:sz w:val="20"/>
                <w:szCs w:val="20"/>
              </w:rPr>
              <w:t xml:space="preserve"> Glück und Sicherheit zu erstreben und zu erlangen. Als Ausfluss </w:t>
            </w:r>
            <w:r>
              <w:rPr>
                <w:sz w:val="20"/>
                <w:szCs w:val="20"/>
              </w:rPr>
              <w:t>fielen</w:t>
            </w:r>
            <w:r w:rsidRPr="00317621">
              <w:rPr>
                <w:sz w:val="20"/>
                <w:szCs w:val="20"/>
              </w:rPr>
              <w:t xml:space="preserve"> darunter </w:t>
            </w:r>
            <w:r>
              <w:rPr>
                <w:sz w:val="20"/>
                <w:szCs w:val="20"/>
              </w:rPr>
              <w:t>z.B.</w:t>
            </w:r>
            <w:r w:rsidRPr="00317621">
              <w:rPr>
                <w:sz w:val="20"/>
                <w:szCs w:val="20"/>
              </w:rPr>
              <w:t xml:space="preserve"> </w:t>
            </w:r>
            <w:r>
              <w:rPr>
                <w:sz w:val="20"/>
                <w:szCs w:val="20"/>
              </w:rPr>
              <w:t xml:space="preserve">das </w:t>
            </w:r>
            <w:r w:rsidRPr="00317621">
              <w:rPr>
                <w:sz w:val="20"/>
                <w:szCs w:val="20"/>
              </w:rPr>
              <w:t>Recht der Freizügigkeit oder die Niederlassungsfreiheit in allen Bundesstaaten.</w:t>
            </w:r>
            <w:r w:rsidRPr="00317621">
              <w:rPr>
                <w:sz w:val="20"/>
                <w:szCs w:val="20"/>
                <w:vertAlign w:val="superscript"/>
              </w:rPr>
              <w:footnoteReference w:id="1602"/>
            </w:r>
            <w:r w:rsidRPr="00317621">
              <w:rPr>
                <w:sz w:val="20"/>
                <w:szCs w:val="20"/>
              </w:rPr>
              <w:t xml:space="preserve"> Jedoch </w:t>
            </w:r>
            <w:r>
              <w:rPr>
                <w:sz w:val="20"/>
                <w:szCs w:val="20"/>
              </w:rPr>
              <w:t>stünden</w:t>
            </w:r>
            <w:r w:rsidRPr="00317621">
              <w:rPr>
                <w:sz w:val="20"/>
                <w:szCs w:val="20"/>
              </w:rPr>
              <w:t xml:space="preserve"> diese vier Rahmenrechte unter de</w:t>
            </w:r>
            <w:r>
              <w:rPr>
                <w:sz w:val="20"/>
                <w:szCs w:val="20"/>
              </w:rPr>
              <w:t>n</w:t>
            </w:r>
            <w:r w:rsidRPr="00317621">
              <w:rPr>
                <w:sz w:val="20"/>
                <w:szCs w:val="20"/>
              </w:rPr>
              <w:t xml:space="preserve"> Beschränkung</w:t>
            </w:r>
            <w:r>
              <w:rPr>
                <w:sz w:val="20"/>
                <w:szCs w:val="20"/>
              </w:rPr>
              <w:t>en</w:t>
            </w:r>
            <w:r w:rsidRPr="00317621">
              <w:rPr>
                <w:sz w:val="20"/>
                <w:szCs w:val="20"/>
              </w:rPr>
              <w:t>, die die Regierung zum allgemeinen Wohl („</w:t>
            </w:r>
            <w:proofErr w:type="spellStart"/>
            <w:r w:rsidRPr="00317621">
              <w:rPr>
                <w:sz w:val="20"/>
                <w:szCs w:val="20"/>
              </w:rPr>
              <w:t>general</w:t>
            </w:r>
            <w:proofErr w:type="spellEnd"/>
            <w:r w:rsidRPr="00317621">
              <w:rPr>
                <w:sz w:val="20"/>
                <w:szCs w:val="20"/>
              </w:rPr>
              <w:t xml:space="preserve"> </w:t>
            </w:r>
            <w:proofErr w:type="spellStart"/>
            <w:r w:rsidRPr="00317621">
              <w:rPr>
                <w:sz w:val="20"/>
                <w:szCs w:val="20"/>
              </w:rPr>
              <w:t>good</w:t>
            </w:r>
            <w:proofErr w:type="spellEnd"/>
            <w:r w:rsidRPr="00317621">
              <w:rPr>
                <w:sz w:val="20"/>
                <w:szCs w:val="20"/>
              </w:rPr>
              <w:t xml:space="preserve"> of the </w:t>
            </w:r>
            <w:proofErr w:type="spellStart"/>
            <w:r w:rsidRPr="00317621">
              <w:rPr>
                <w:sz w:val="20"/>
                <w:szCs w:val="20"/>
              </w:rPr>
              <w:t>whole</w:t>
            </w:r>
            <w:proofErr w:type="spellEnd"/>
            <w:r w:rsidRPr="00317621">
              <w:rPr>
                <w:sz w:val="20"/>
                <w:szCs w:val="20"/>
              </w:rPr>
              <w:t>“</w:t>
            </w:r>
            <w:r w:rsidRPr="00317621">
              <w:rPr>
                <w:sz w:val="20"/>
                <w:szCs w:val="20"/>
                <w:vertAlign w:val="superscript"/>
              </w:rPr>
              <w:footnoteReference w:id="1603"/>
            </w:r>
            <w:r w:rsidRPr="00317621">
              <w:rPr>
                <w:sz w:val="20"/>
                <w:szCs w:val="20"/>
              </w:rPr>
              <w:t>) billigerweise vorschreibe.</w:t>
            </w:r>
            <w:r w:rsidRPr="00317621">
              <w:rPr>
                <w:sz w:val="20"/>
                <w:szCs w:val="20"/>
                <w:vertAlign w:val="superscript"/>
              </w:rPr>
              <w:footnoteReference w:id="1604"/>
            </w:r>
          </w:p>
          <w:p w14:paraId="74D53199" w14:textId="77777777" w:rsidR="00074551" w:rsidRPr="00E50B51" w:rsidRDefault="00074551" w:rsidP="00367133">
            <w:pPr>
              <w:jc w:val="both"/>
              <w:rPr>
                <w:sz w:val="20"/>
                <w:szCs w:val="20"/>
              </w:rPr>
            </w:pPr>
          </w:p>
        </w:tc>
      </w:tr>
      <w:tr w:rsidR="00074551" w:rsidRPr="00E50B51" w14:paraId="605903D9" w14:textId="77777777" w:rsidTr="00BE689F">
        <w:trPr>
          <w:cantSplit/>
          <w:trHeight w:val="3175"/>
        </w:trPr>
        <w:tc>
          <w:tcPr>
            <w:tcW w:w="293" w:type="pct"/>
          </w:tcPr>
          <w:p w14:paraId="7A2A9775"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F014B0E" w14:textId="77777777" w:rsidR="00074551" w:rsidRPr="00E50B51" w:rsidRDefault="00074551" w:rsidP="00367133">
            <w:pPr>
              <w:ind w:left="113" w:right="416"/>
              <w:jc w:val="both"/>
              <w:rPr>
                <w:sz w:val="20"/>
                <w:szCs w:val="20"/>
                <w:lang w:val="en-US"/>
              </w:rPr>
            </w:pPr>
            <w:r w:rsidRPr="00A15962">
              <w:rPr>
                <w:i/>
                <w:sz w:val="20"/>
                <w:szCs w:val="20"/>
                <w:lang w:val="en-US"/>
              </w:rPr>
              <w:t>Cotting v. Kansas City Stock Yards Co.</w:t>
            </w:r>
          </w:p>
        </w:tc>
        <w:tc>
          <w:tcPr>
            <w:tcW w:w="197" w:type="pct"/>
            <w:textDirection w:val="tbRl"/>
            <w:vAlign w:val="center"/>
          </w:tcPr>
          <w:p w14:paraId="7FA932F8" w14:textId="77777777" w:rsidR="00074551" w:rsidRPr="00E50B51" w:rsidRDefault="00074551" w:rsidP="00367133">
            <w:pPr>
              <w:ind w:left="113" w:right="113"/>
              <w:jc w:val="both"/>
              <w:rPr>
                <w:sz w:val="20"/>
                <w:szCs w:val="20"/>
                <w:lang w:val="en-US"/>
              </w:rPr>
            </w:pPr>
            <w:r w:rsidRPr="00E50B51">
              <w:rPr>
                <w:sz w:val="20"/>
                <w:szCs w:val="20"/>
                <w:lang w:val="en-US"/>
              </w:rPr>
              <w:t>183 U.S. 79</w:t>
            </w:r>
          </w:p>
        </w:tc>
        <w:tc>
          <w:tcPr>
            <w:tcW w:w="306" w:type="pct"/>
            <w:textDirection w:val="tbRl"/>
            <w:vAlign w:val="center"/>
          </w:tcPr>
          <w:p w14:paraId="191560F6" w14:textId="77777777" w:rsidR="00074551" w:rsidRPr="00E50B51" w:rsidRDefault="00074551" w:rsidP="00367133">
            <w:pPr>
              <w:ind w:left="113" w:right="113"/>
              <w:jc w:val="both"/>
              <w:rPr>
                <w:sz w:val="20"/>
                <w:szCs w:val="20"/>
              </w:rPr>
            </w:pPr>
            <w:r w:rsidRPr="00E50B51">
              <w:rPr>
                <w:sz w:val="20"/>
                <w:szCs w:val="20"/>
              </w:rPr>
              <w:t>25. November 1901</w:t>
            </w:r>
          </w:p>
        </w:tc>
        <w:tc>
          <w:tcPr>
            <w:tcW w:w="401" w:type="pct"/>
          </w:tcPr>
          <w:p w14:paraId="6435836C"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73FFC011" w14:textId="32B0BC21" w:rsidR="00074551" w:rsidRPr="00E50B51" w:rsidRDefault="00074551" w:rsidP="00367133">
            <w:pPr>
              <w:jc w:val="both"/>
              <w:rPr>
                <w:sz w:val="20"/>
                <w:szCs w:val="20"/>
              </w:rPr>
            </w:pPr>
            <w:r w:rsidRPr="00E50B51">
              <w:rPr>
                <w:sz w:val="20"/>
                <w:szCs w:val="20"/>
              </w:rPr>
              <w:t xml:space="preserve">Im Fall urteilte der </w:t>
            </w:r>
            <w:r>
              <w:rPr>
                <w:sz w:val="20"/>
                <w:szCs w:val="20"/>
              </w:rPr>
              <w:t>U.S. Supreme Court</w:t>
            </w:r>
            <w:r w:rsidRPr="00E50B51">
              <w:rPr>
                <w:sz w:val="20"/>
                <w:szCs w:val="20"/>
              </w:rPr>
              <w:t xml:space="preserve">, das </w:t>
            </w:r>
            <w:r w:rsidRPr="5B67C1D2">
              <w:rPr>
                <w:i/>
                <w:iCs/>
                <w:sz w:val="20"/>
                <w:szCs w:val="20"/>
              </w:rPr>
              <w:t>Statute of Kansas of March 3, 1897</w:t>
            </w:r>
            <w:r w:rsidRPr="5B67C1D2">
              <w:rPr>
                <w:rStyle w:val="Funotenzeichen"/>
                <w:rFonts w:eastAsiaTheme="majorEastAsia"/>
                <w:sz w:val="20"/>
                <w:szCs w:val="20"/>
              </w:rPr>
              <w:footnoteReference w:id="1605"/>
            </w:r>
            <w:r w:rsidRPr="00E50B51">
              <w:rPr>
                <w:sz w:val="20"/>
                <w:szCs w:val="20"/>
              </w:rPr>
              <w:t xml:space="preserve"> sei verfassungswidrig</w:t>
            </w:r>
            <w:r>
              <w:rPr>
                <w:sz w:val="20"/>
                <w:szCs w:val="20"/>
              </w:rPr>
              <w:t xml:space="preserve">, und </w:t>
            </w:r>
            <w:r w:rsidRPr="00E50B51">
              <w:rPr>
                <w:sz w:val="20"/>
                <w:szCs w:val="20"/>
              </w:rPr>
              <w:t>ordnete die Aufhebung der Urteile der Vorinstanzen an</w:t>
            </w:r>
            <w:r>
              <w:rPr>
                <w:sz w:val="20"/>
                <w:szCs w:val="20"/>
              </w:rPr>
              <w:t>. Zuletzt</w:t>
            </w:r>
            <w:r w:rsidRPr="00E50B51">
              <w:rPr>
                <w:sz w:val="20"/>
                <w:szCs w:val="20"/>
              </w:rPr>
              <w:t xml:space="preserve"> verwies </w:t>
            </w:r>
            <w:r>
              <w:rPr>
                <w:sz w:val="20"/>
                <w:szCs w:val="20"/>
              </w:rPr>
              <w:t xml:space="preserve">er </w:t>
            </w:r>
            <w:r w:rsidRPr="00E50B51">
              <w:rPr>
                <w:sz w:val="20"/>
                <w:szCs w:val="20"/>
              </w:rPr>
              <w:t>den Fall zur erneuten Verhandlung zurück. Die Aktionäre einer Gesellschaft klagten gegen Kansas City Stock Yards</w:t>
            </w:r>
            <w:r>
              <w:rPr>
                <w:sz w:val="20"/>
                <w:szCs w:val="20"/>
              </w:rPr>
              <w:t>, ein staatliches Unternehmen</w:t>
            </w:r>
            <w:r w:rsidRPr="00E50B51">
              <w:rPr>
                <w:sz w:val="20"/>
                <w:szCs w:val="20"/>
              </w:rPr>
              <w:t>, de</w:t>
            </w:r>
            <w:r>
              <w:rPr>
                <w:sz w:val="20"/>
                <w:szCs w:val="20"/>
              </w:rPr>
              <w:t>ss</w:t>
            </w:r>
            <w:r w:rsidRPr="00E50B51">
              <w:rPr>
                <w:sz w:val="20"/>
                <w:szCs w:val="20"/>
              </w:rPr>
              <w:t>en Führungskräfte und den Generalstaatsanwalt, um sich gegen das Gesetz von Kansas aus dem Jahr 1897 (1897 Kan. Sess. Laws 240</w:t>
            </w:r>
            <w:r>
              <w:rPr>
                <w:rStyle w:val="Funotenzeichen"/>
                <w:sz w:val="20"/>
                <w:szCs w:val="20"/>
              </w:rPr>
              <w:footnoteReference w:id="1606"/>
            </w:r>
            <w:r w:rsidRPr="00E50B51">
              <w:rPr>
                <w:sz w:val="20"/>
                <w:szCs w:val="20"/>
              </w:rPr>
              <w:t xml:space="preserve">) zu wehren, das Viehhandelsplätze regulierte. Die Vorinstanzen wiesen die Kläger noch ab. Der </w:t>
            </w:r>
            <w:r>
              <w:rPr>
                <w:sz w:val="20"/>
                <w:szCs w:val="20"/>
              </w:rPr>
              <w:t>U.S. Supreme Court</w:t>
            </w:r>
            <w:r w:rsidRPr="00E50B51">
              <w:rPr>
                <w:sz w:val="20"/>
                <w:szCs w:val="20"/>
              </w:rPr>
              <w:t xml:space="preserve"> befand das Gesetz für verfassungswidrig, da es ein Gesetz war, </w:t>
            </w:r>
            <w:r>
              <w:rPr>
                <w:sz w:val="20"/>
                <w:szCs w:val="20"/>
              </w:rPr>
              <w:t>welches</w:t>
            </w:r>
            <w:r w:rsidRPr="00E50B51">
              <w:rPr>
                <w:sz w:val="20"/>
                <w:szCs w:val="20"/>
              </w:rPr>
              <w:t xml:space="preserve"> Kansas City Stock Yards als staatliches Unternehmen </w:t>
            </w:r>
            <w:r>
              <w:rPr>
                <w:sz w:val="20"/>
                <w:szCs w:val="20"/>
              </w:rPr>
              <w:t>privilegierte</w:t>
            </w:r>
            <w:r w:rsidRPr="00E50B51">
              <w:rPr>
                <w:sz w:val="20"/>
                <w:szCs w:val="20"/>
              </w:rPr>
              <w:t>, nicht aber auf andere Unternehmen wie die Kläger</w:t>
            </w:r>
            <w:r>
              <w:rPr>
                <w:sz w:val="20"/>
                <w:szCs w:val="20"/>
              </w:rPr>
              <w:t xml:space="preserve"> anwendbar war</w:t>
            </w:r>
            <w:r w:rsidRPr="00E50B51">
              <w:rPr>
                <w:sz w:val="20"/>
                <w:szCs w:val="20"/>
              </w:rPr>
              <w:t>, die bis zu 50</w:t>
            </w:r>
            <w:r>
              <w:rPr>
                <w:sz w:val="20"/>
                <w:szCs w:val="20"/>
              </w:rPr>
              <w:t> </w:t>
            </w:r>
            <w:r w:rsidRPr="00E50B51">
              <w:rPr>
                <w:sz w:val="20"/>
                <w:szCs w:val="20"/>
              </w:rPr>
              <w:t xml:space="preserve">% Umsatzeinbußen hatten. Damit verweigere es den gleichen Schutz durch das Gesetz. Dieser Schutz kodifiziert sich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und bestimmt sich inhaltlich auch durch das Streben nach Glück.</w:t>
            </w:r>
            <w:r>
              <w:rPr>
                <w:rStyle w:val="Funotenzeichen"/>
                <w:sz w:val="20"/>
                <w:szCs w:val="20"/>
              </w:rPr>
              <w:footnoteReference w:id="1607"/>
            </w:r>
          </w:p>
          <w:p w14:paraId="3578335A" w14:textId="77777777" w:rsidR="00074551" w:rsidRDefault="00074551" w:rsidP="00367133">
            <w:pPr>
              <w:jc w:val="both"/>
              <w:rPr>
                <w:sz w:val="20"/>
                <w:szCs w:val="20"/>
              </w:rPr>
            </w:pPr>
          </w:p>
          <w:p w14:paraId="5F56E22E" w14:textId="77777777" w:rsidR="00074551" w:rsidRPr="00E50B51" w:rsidRDefault="00074551" w:rsidP="00367133">
            <w:pPr>
              <w:jc w:val="both"/>
              <w:rPr>
                <w:sz w:val="20"/>
                <w:szCs w:val="20"/>
              </w:rPr>
            </w:pPr>
          </w:p>
        </w:tc>
        <w:tc>
          <w:tcPr>
            <w:tcW w:w="1822" w:type="pct"/>
          </w:tcPr>
          <w:p w14:paraId="232FDA6D" w14:textId="1D1B0A6E" w:rsidR="00074551" w:rsidRPr="0041153C" w:rsidRDefault="00074551" w:rsidP="00367133">
            <w:pPr>
              <w:jc w:val="both"/>
              <w:rPr>
                <w:sz w:val="20"/>
                <w:szCs w:val="20"/>
              </w:rPr>
            </w:pPr>
            <w:r w:rsidRPr="0041153C">
              <w:rPr>
                <w:sz w:val="20"/>
                <w:szCs w:val="20"/>
                <w:lang w:val="en-US"/>
              </w:rPr>
              <w:t xml:space="preserve">In </w:t>
            </w:r>
            <w:r w:rsidRPr="5B67C1D2">
              <w:rPr>
                <w:i/>
                <w:iCs/>
                <w:sz w:val="20"/>
                <w:szCs w:val="20"/>
                <w:lang w:val="en-US"/>
              </w:rPr>
              <w:t>Cotting v. Kansas City Stock Yards Co.</w:t>
            </w:r>
            <w:r w:rsidRPr="0041153C">
              <w:rPr>
                <w:sz w:val="20"/>
                <w:szCs w:val="20"/>
                <w:vertAlign w:val="superscript"/>
                <w:lang w:val="en-US"/>
              </w:rPr>
              <w:footnoteReference w:id="1608"/>
            </w:r>
            <w:r w:rsidRPr="0041153C">
              <w:rPr>
                <w:sz w:val="20"/>
                <w:szCs w:val="20"/>
                <w:lang w:val="en-US"/>
              </w:rPr>
              <w:t xml:space="preserve"> </w:t>
            </w:r>
            <w:r w:rsidRPr="0041153C">
              <w:rPr>
                <w:sz w:val="20"/>
                <w:szCs w:val="20"/>
              </w:rPr>
              <w:t xml:space="preserve">erklärte der </w:t>
            </w:r>
            <w:r>
              <w:rPr>
                <w:sz w:val="20"/>
                <w:szCs w:val="20"/>
              </w:rPr>
              <w:t>U.S. Supreme Court</w:t>
            </w:r>
            <w:r w:rsidRPr="0041153C">
              <w:rPr>
                <w:sz w:val="20"/>
                <w:szCs w:val="20"/>
              </w:rPr>
              <w:t xml:space="preserve">, wie gewichtig der Gleichheitssatz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1153C">
              <w:rPr>
                <w:sz w:val="20"/>
                <w:szCs w:val="20"/>
              </w:rPr>
              <w:t xml:space="preserve"> sei, weil er auf dem Gleichheitssatz der </w:t>
            </w:r>
            <w:r w:rsidRPr="5B67C1D2">
              <w:rPr>
                <w:i/>
                <w:iCs/>
                <w:sz w:val="20"/>
                <w:szCs w:val="20"/>
              </w:rPr>
              <w:t>Declaration of Independence</w:t>
            </w:r>
            <w:r w:rsidRPr="0041153C">
              <w:rPr>
                <w:sz w:val="20"/>
                <w:szCs w:val="20"/>
              </w:rPr>
              <w:t xml:space="preserve"> beruhe, wonach auch hier ein gleiches Streben nach Glück zu ermöglichen sei.</w:t>
            </w:r>
            <w:r>
              <w:rPr>
                <w:sz w:val="20"/>
                <w:szCs w:val="20"/>
              </w:rPr>
              <w:t xml:space="preserve"> </w:t>
            </w:r>
            <w:r w:rsidRPr="0041153C">
              <w:rPr>
                <w:sz w:val="20"/>
                <w:szCs w:val="20"/>
              </w:rPr>
              <w:t xml:space="preserve">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41153C">
              <w:rPr>
                <w:sz w:val="20"/>
                <w:szCs w:val="20"/>
              </w:rPr>
              <w:t>setz</w:t>
            </w:r>
            <w:r>
              <w:rPr>
                <w:sz w:val="20"/>
                <w:szCs w:val="20"/>
              </w:rPr>
              <w:t>e</w:t>
            </w:r>
            <w:r w:rsidRPr="0041153C">
              <w:rPr>
                <w:sz w:val="20"/>
                <w:szCs w:val="20"/>
              </w:rPr>
              <w:t xml:space="preserve"> voraus, dass kein Staat einer Person innerhalb seiner Gerichtsbarkeit den gleichen Schutz durch die Gesetze verweigern dürfe. Hiervon abzuweichen, sei nur möglich, wenn die staatliche Maßnahme ermessensfehlerfrei und angemessen differenziere – </w:t>
            </w:r>
            <w:r>
              <w:rPr>
                <w:sz w:val="20"/>
                <w:szCs w:val="20"/>
              </w:rPr>
              <w:t>z.B.</w:t>
            </w:r>
            <w:r w:rsidRPr="0041153C">
              <w:rPr>
                <w:sz w:val="20"/>
                <w:szCs w:val="20"/>
              </w:rPr>
              <w:t xml:space="preserve"> sei dies typischerweise der Fall bei der verschiedenen Besteuerung von Vermögenswerten, Kirchen und Wohltätigkeitsorganisationen oder Produktkategorien. Bis wann eine staatliche Maßnahme differenziert und ab wann sie diskriminiert, lasse sich indes nicht anhand einer allgemeinen Formel bestimmen („</w:t>
            </w:r>
            <w:proofErr w:type="spellStart"/>
            <w:r w:rsidRPr="0041153C">
              <w:rPr>
                <w:sz w:val="20"/>
                <w:szCs w:val="20"/>
              </w:rPr>
              <w:t>impracticable</w:t>
            </w:r>
            <w:proofErr w:type="spellEnd"/>
            <w:r w:rsidRPr="0041153C">
              <w:rPr>
                <w:sz w:val="20"/>
                <w:szCs w:val="20"/>
              </w:rPr>
              <w:t xml:space="preserve"> […] to </w:t>
            </w:r>
            <w:proofErr w:type="spellStart"/>
            <w:r w:rsidRPr="0041153C">
              <w:rPr>
                <w:sz w:val="20"/>
                <w:szCs w:val="20"/>
              </w:rPr>
              <w:t>lay</w:t>
            </w:r>
            <w:proofErr w:type="spellEnd"/>
            <w:r w:rsidRPr="0041153C">
              <w:rPr>
                <w:sz w:val="20"/>
                <w:szCs w:val="20"/>
              </w:rPr>
              <w:t xml:space="preserve"> down </w:t>
            </w:r>
            <w:proofErr w:type="spellStart"/>
            <w:r w:rsidRPr="0041153C">
              <w:rPr>
                <w:sz w:val="20"/>
                <w:szCs w:val="20"/>
              </w:rPr>
              <w:t>any</w:t>
            </w:r>
            <w:proofErr w:type="spellEnd"/>
            <w:r w:rsidRPr="0041153C">
              <w:rPr>
                <w:sz w:val="20"/>
                <w:szCs w:val="20"/>
              </w:rPr>
              <w:t xml:space="preserve"> </w:t>
            </w:r>
            <w:proofErr w:type="spellStart"/>
            <w:r w:rsidRPr="0041153C">
              <w:rPr>
                <w:sz w:val="20"/>
                <w:szCs w:val="20"/>
              </w:rPr>
              <w:t>general</w:t>
            </w:r>
            <w:proofErr w:type="spellEnd"/>
            <w:r w:rsidRPr="0041153C">
              <w:rPr>
                <w:sz w:val="20"/>
                <w:szCs w:val="20"/>
              </w:rPr>
              <w:t xml:space="preserve"> </w:t>
            </w:r>
            <w:proofErr w:type="spellStart"/>
            <w:r w:rsidRPr="0041153C">
              <w:rPr>
                <w:sz w:val="20"/>
                <w:szCs w:val="20"/>
              </w:rPr>
              <w:t>rule</w:t>
            </w:r>
            <w:proofErr w:type="spellEnd"/>
            <w:r w:rsidRPr="0041153C">
              <w:rPr>
                <w:sz w:val="20"/>
                <w:szCs w:val="20"/>
              </w:rPr>
              <w:t xml:space="preserve"> </w:t>
            </w:r>
            <w:proofErr w:type="spellStart"/>
            <w:r w:rsidRPr="0041153C">
              <w:rPr>
                <w:sz w:val="20"/>
                <w:szCs w:val="20"/>
              </w:rPr>
              <w:t>or</w:t>
            </w:r>
            <w:proofErr w:type="spellEnd"/>
            <w:r w:rsidRPr="0041153C">
              <w:rPr>
                <w:sz w:val="20"/>
                <w:szCs w:val="20"/>
              </w:rPr>
              <w:t xml:space="preserve"> </w:t>
            </w:r>
            <w:proofErr w:type="spellStart"/>
            <w:r w:rsidRPr="0041153C">
              <w:rPr>
                <w:sz w:val="20"/>
                <w:szCs w:val="20"/>
              </w:rPr>
              <w:t>definition</w:t>
            </w:r>
            <w:proofErr w:type="spellEnd"/>
            <w:r w:rsidRPr="0041153C">
              <w:rPr>
                <w:sz w:val="20"/>
                <w:szCs w:val="20"/>
              </w:rPr>
              <w:t>“</w:t>
            </w:r>
            <w:r w:rsidRPr="0041153C">
              <w:rPr>
                <w:sz w:val="20"/>
                <w:szCs w:val="20"/>
                <w:vertAlign w:val="superscript"/>
              </w:rPr>
              <w:footnoteReference w:id="1609"/>
            </w:r>
            <w:r w:rsidRPr="0041153C">
              <w:rPr>
                <w:sz w:val="20"/>
                <w:szCs w:val="20"/>
              </w:rPr>
              <w:t xml:space="preserve">). Der </w:t>
            </w:r>
            <w:r>
              <w:rPr>
                <w:sz w:val="20"/>
                <w:szCs w:val="20"/>
              </w:rPr>
              <w:t>U.S. Supreme Court</w:t>
            </w:r>
            <w:r w:rsidRPr="0041153C">
              <w:rPr>
                <w:sz w:val="20"/>
                <w:szCs w:val="20"/>
              </w:rPr>
              <w:t xml:space="preserve"> versuchte dennoch, sich dieser wie folgt zu nähern: Eine willkürliche Auswahl diskriminiere immer, selbst wenn man sie Klassifikation nenne. Und wann etwas willkürlich sei, bestimme sich anhand eines Verstoßes gegen das gleiche Streben nach Glück als ein unveräußerliches Recht. Auch wenn dieses Recht selbst kein Gesetz sei, sondern sogar organisches Recht („</w:t>
            </w:r>
            <w:proofErr w:type="spellStart"/>
            <w:r w:rsidRPr="0041153C">
              <w:rPr>
                <w:sz w:val="20"/>
                <w:szCs w:val="20"/>
              </w:rPr>
              <w:t>organic</w:t>
            </w:r>
            <w:proofErr w:type="spellEnd"/>
            <w:r w:rsidRPr="0041153C">
              <w:rPr>
                <w:sz w:val="20"/>
                <w:szCs w:val="20"/>
              </w:rPr>
              <w:t xml:space="preserve"> </w:t>
            </w:r>
            <w:proofErr w:type="spellStart"/>
            <w:r w:rsidRPr="0041153C">
              <w:rPr>
                <w:sz w:val="20"/>
                <w:szCs w:val="20"/>
              </w:rPr>
              <w:t>law</w:t>
            </w:r>
            <w:proofErr w:type="spellEnd"/>
            <w:r w:rsidRPr="0041153C">
              <w:rPr>
                <w:sz w:val="20"/>
                <w:szCs w:val="20"/>
              </w:rPr>
              <w:t>“</w:t>
            </w:r>
            <w:r w:rsidRPr="0041153C">
              <w:rPr>
                <w:sz w:val="20"/>
                <w:szCs w:val="20"/>
                <w:vertAlign w:val="superscript"/>
              </w:rPr>
              <w:footnoteReference w:id="1610"/>
            </w:r>
            <w:r w:rsidRPr="0041153C">
              <w:rPr>
                <w:sz w:val="20"/>
                <w:szCs w:val="20"/>
              </w:rPr>
              <w:t xml:space="preserve">), und es typischerweise nur mit Verfassungsbestimmungen zusammenwirken müsse, so ließe es sich dennoch beschreiben: Die Verfassungsbestimmungen selbst seien nur Körper und Buchstabe; die </w:t>
            </w:r>
            <w:r w:rsidRPr="5B67C1D2">
              <w:rPr>
                <w:i/>
                <w:iCs/>
                <w:sz w:val="20"/>
                <w:szCs w:val="20"/>
              </w:rPr>
              <w:t>Declaration of Independence</w:t>
            </w:r>
            <w:r w:rsidRPr="0041153C">
              <w:rPr>
                <w:sz w:val="20"/>
                <w:szCs w:val="20"/>
              </w:rPr>
              <w:t xml:space="preserve"> – hier das Streben nach Glück – sei aber vom Körper der Geist und </w:t>
            </w:r>
            <w:proofErr w:type="gramStart"/>
            <w:r w:rsidRPr="0041153C">
              <w:rPr>
                <w:sz w:val="20"/>
                <w:szCs w:val="20"/>
              </w:rPr>
              <w:t>vom Buchstabe</w:t>
            </w:r>
            <w:proofErr w:type="gramEnd"/>
            <w:r w:rsidRPr="0041153C">
              <w:rPr>
                <w:sz w:val="20"/>
                <w:szCs w:val="20"/>
              </w:rPr>
              <w:t xml:space="preserve"> der Gedanke. Kurz gesagt: Die Buchstaben der Verfassungsbestimmungen seien im Geiste der </w:t>
            </w:r>
            <w:r w:rsidRPr="5B67C1D2">
              <w:rPr>
                <w:i/>
                <w:iCs/>
                <w:sz w:val="20"/>
                <w:szCs w:val="20"/>
              </w:rPr>
              <w:t>Declaration of Independence</w:t>
            </w:r>
            <w:r w:rsidRPr="0041153C">
              <w:rPr>
                <w:sz w:val="20"/>
                <w:szCs w:val="20"/>
              </w:rPr>
              <w:t xml:space="preserve"> zu verstehen („it </w:t>
            </w:r>
            <w:proofErr w:type="spellStart"/>
            <w:r w:rsidRPr="0041153C">
              <w:rPr>
                <w:sz w:val="20"/>
                <w:szCs w:val="20"/>
              </w:rPr>
              <w:t>is</w:t>
            </w:r>
            <w:proofErr w:type="spellEnd"/>
            <w:r w:rsidRPr="0041153C">
              <w:rPr>
                <w:sz w:val="20"/>
                <w:szCs w:val="20"/>
              </w:rPr>
              <w:t xml:space="preserve"> </w:t>
            </w:r>
            <w:proofErr w:type="spellStart"/>
            <w:r w:rsidRPr="0041153C">
              <w:rPr>
                <w:sz w:val="20"/>
                <w:szCs w:val="20"/>
              </w:rPr>
              <w:t>always</w:t>
            </w:r>
            <w:proofErr w:type="spellEnd"/>
            <w:r w:rsidRPr="0041153C">
              <w:rPr>
                <w:sz w:val="20"/>
                <w:szCs w:val="20"/>
              </w:rPr>
              <w:t xml:space="preserve"> safe to </w:t>
            </w:r>
            <w:proofErr w:type="spellStart"/>
            <w:r w:rsidRPr="0041153C">
              <w:rPr>
                <w:sz w:val="20"/>
                <w:szCs w:val="20"/>
              </w:rPr>
              <w:t>read</w:t>
            </w:r>
            <w:proofErr w:type="spellEnd"/>
            <w:r w:rsidRPr="0041153C">
              <w:rPr>
                <w:sz w:val="20"/>
                <w:szCs w:val="20"/>
              </w:rPr>
              <w:t xml:space="preserve"> the </w:t>
            </w:r>
            <w:proofErr w:type="spellStart"/>
            <w:r w:rsidRPr="0041153C">
              <w:rPr>
                <w:sz w:val="20"/>
                <w:szCs w:val="20"/>
              </w:rPr>
              <w:t>letter</w:t>
            </w:r>
            <w:proofErr w:type="spellEnd"/>
            <w:r w:rsidRPr="0041153C">
              <w:rPr>
                <w:sz w:val="20"/>
                <w:szCs w:val="20"/>
              </w:rPr>
              <w:t xml:space="preserve"> of the </w:t>
            </w:r>
            <w:proofErr w:type="spellStart"/>
            <w:r w:rsidRPr="0041153C">
              <w:rPr>
                <w:sz w:val="20"/>
                <w:szCs w:val="20"/>
              </w:rPr>
              <w:t>Constitution</w:t>
            </w:r>
            <w:proofErr w:type="spellEnd"/>
            <w:r w:rsidRPr="0041153C">
              <w:rPr>
                <w:sz w:val="20"/>
                <w:szCs w:val="20"/>
              </w:rPr>
              <w:t xml:space="preserve"> in the </w:t>
            </w:r>
            <w:proofErr w:type="spellStart"/>
            <w:r w:rsidRPr="0041153C">
              <w:rPr>
                <w:sz w:val="20"/>
                <w:szCs w:val="20"/>
              </w:rPr>
              <w:t>spirit</w:t>
            </w:r>
            <w:proofErr w:type="spellEnd"/>
            <w:r w:rsidRPr="0041153C">
              <w:rPr>
                <w:sz w:val="20"/>
                <w:szCs w:val="20"/>
              </w:rPr>
              <w:t xml:space="preserve"> of the Declaration of Independence.“</w:t>
            </w:r>
            <w:r w:rsidRPr="0041153C">
              <w:rPr>
                <w:sz w:val="20"/>
                <w:szCs w:val="20"/>
                <w:vertAlign w:val="superscript"/>
              </w:rPr>
              <w:footnoteReference w:id="1611"/>
            </w:r>
            <w:r w:rsidRPr="0041153C">
              <w:rPr>
                <w:sz w:val="20"/>
                <w:szCs w:val="20"/>
              </w:rPr>
              <w:t xml:space="preserve">). Und da die Gleichheit durch das Streben nach Glück in der </w:t>
            </w:r>
            <w:r w:rsidRPr="5B67C1D2">
              <w:rPr>
                <w:i/>
                <w:iCs/>
                <w:sz w:val="20"/>
                <w:szCs w:val="20"/>
              </w:rPr>
              <w:t>Declaration of Independence</w:t>
            </w:r>
            <w:r w:rsidRPr="0041153C">
              <w:rPr>
                <w:sz w:val="20"/>
                <w:szCs w:val="20"/>
              </w:rPr>
              <w:t xml:space="preserve"> mitgeregelt und damit Grundlage einer freien Regierung sei („</w:t>
            </w:r>
            <w:proofErr w:type="spellStart"/>
            <w:r w:rsidRPr="0041153C">
              <w:rPr>
                <w:sz w:val="20"/>
                <w:szCs w:val="20"/>
              </w:rPr>
              <w:t>foundation</w:t>
            </w:r>
            <w:proofErr w:type="spellEnd"/>
            <w:r w:rsidRPr="0041153C">
              <w:rPr>
                <w:sz w:val="20"/>
                <w:szCs w:val="20"/>
              </w:rPr>
              <w:t xml:space="preserve"> of </w:t>
            </w:r>
            <w:proofErr w:type="spellStart"/>
            <w:r w:rsidRPr="0041153C">
              <w:rPr>
                <w:sz w:val="20"/>
                <w:szCs w:val="20"/>
              </w:rPr>
              <w:t>free</w:t>
            </w:r>
            <w:proofErr w:type="spellEnd"/>
            <w:r w:rsidRPr="0041153C">
              <w:rPr>
                <w:sz w:val="20"/>
                <w:szCs w:val="20"/>
              </w:rPr>
              <w:t xml:space="preserve"> </w:t>
            </w:r>
            <w:proofErr w:type="spellStart"/>
            <w:r w:rsidRPr="0041153C">
              <w:rPr>
                <w:sz w:val="20"/>
                <w:szCs w:val="20"/>
              </w:rPr>
              <w:t>government</w:t>
            </w:r>
            <w:proofErr w:type="spellEnd"/>
            <w:r w:rsidRPr="0041153C">
              <w:rPr>
                <w:sz w:val="20"/>
                <w:szCs w:val="20"/>
              </w:rPr>
              <w:t>“</w:t>
            </w:r>
            <w:r w:rsidRPr="0041153C">
              <w:rPr>
                <w:sz w:val="20"/>
                <w:szCs w:val="20"/>
                <w:vertAlign w:val="superscript"/>
              </w:rPr>
              <w:footnoteReference w:id="1612"/>
            </w:r>
            <w:r w:rsidRPr="0041153C">
              <w:rPr>
                <w:sz w:val="20"/>
                <w:szCs w:val="20"/>
              </w:rPr>
              <w:t>), oblieg</w:t>
            </w:r>
            <w:r>
              <w:rPr>
                <w:sz w:val="20"/>
                <w:szCs w:val="20"/>
              </w:rPr>
              <w:t>e</w:t>
            </w:r>
            <w:r w:rsidRPr="0041153C">
              <w:rPr>
                <w:sz w:val="20"/>
                <w:szCs w:val="20"/>
              </w:rPr>
              <w:t xml:space="preserve"> den Gerichten die Pflicht („</w:t>
            </w:r>
            <w:proofErr w:type="spellStart"/>
            <w:r w:rsidRPr="0041153C">
              <w:rPr>
                <w:sz w:val="20"/>
                <w:szCs w:val="20"/>
              </w:rPr>
              <w:t>No</w:t>
            </w:r>
            <w:proofErr w:type="spellEnd"/>
            <w:r w:rsidRPr="0041153C">
              <w:rPr>
                <w:sz w:val="20"/>
                <w:szCs w:val="20"/>
              </w:rPr>
              <w:t xml:space="preserve"> </w:t>
            </w:r>
            <w:proofErr w:type="spellStart"/>
            <w:r w:rsidRPr="0041153C">
              <w:rPr>
                <w:sz w:val="20"/>
                <w:szCs w:val="20"/>
              </w:rPr>
              <w:t>duty</w:t>
            </w:r>
            <w:proofErr w:type="spellEnd"/>
            <w:r w:rsidRPr="0041153C">
              <w:rPr>
                <w:sz w:val="20"/>
                <w:szCs w:val="20"/>
              </w:rPr>
              <w:t xml:space="preserve"> </w:t>
            </w:r>
            <w:proofErr w:type="spellStart"/>
            <w:r w:rsidRPr="0041153C">
              <w:rPr>
                <w:sz w:val="20"/>
                <w:szCs w:val="20"/>
              </w:rPr>
              <w:t>rests</w:t>
            </w:r>
            <w:proofErr w:type="spellEnd"/>
            <w:r w:rsidRPr="0041153C">
              <w:rPr>
                <w:sz w:val="20"/>
                <w:szCs w:val="20"/>
              </w:rPr>
              <w:t xml:space="preserve"> </w:t>
            </w:r>
            <w:proofErr w:type="spellStart"/>
            <w:r w:rsidRPr="0041153C">
              <w:rPr>
                <w:sz w:val="20"/>
                <w:szCs w:val="20"/>
              </w:rPr>
              <w:t>more</w:t>
            </w:r>
            <w:proofErr w:type="spellEnd"/>
            <w:r w:rsidRPr="0041153C">
              <w:rPr>
                <w:sz w:val="20"/>
                <w:szCs w:val="20"/>
              </w:rPr>
              <w:t xml:space="preserve"> </w:t>
            </w:r>
            <w:proofErr w:type="spellStart"/>
            <w:r w:rsidRPr="0041153C">
              <w:rPr>
                <w:sz w:val="20"/>
                <w:szCs w:val="20"/>
              </w:rPr>
              <w:t>imperatively</w:t>
            </w:r>
            <w:proofErr w:type="spellEnd"/>
            <w:r w:rsidRPr="0041153C">
              <w:rPr>
                <w:sz w:val="20"/>
                <w:szCs w:val="20"/>
              </w:rPr>
              <w:t>“</w:t>
            </w:r>
            <w:r w:rsidRPr="0041153C">
              <w:rPr>
                <w:sz w:val="20"/>
                <w:szCs w:val="20"/>
                <w:vertAlign w:val="superscript"/>
              </w:rPr>
              <w:footnoteReference w:id="1613"/>
            </w:r>
            <w:r w:rsidRPr="0041153C">
              <w:rPr>
                <w:sz w:val="20"/>
                <w:szCs w:val="20"/>
              </w:rPr>
              <w:t>)</w:t>
            </w:r>
            <w:r>
              <w:rPr>
                <w:sz w:val="20"/>
                <w:szCs w:val="20"/>
              </w:rPr>
              <w:t>,</w:t>
            </w:r>
            <w:r w:rsidRPr="0041153C">
              <w:rPr>
                <w:sz w:val="20"/>
                <w:szCs w:val="20"/>
              </w:rPr>
              <w:t xml:space="preserve"> anhand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1153C">
              <w:rPr>
                <w:sz w:val="20"/>
                <w:szCs w:val="20"/>
              </w:rPr>
              <w:t xml:space="preserve"> diese Gleichheit zu sichern.</w:t>
            </w:r>
          </w:p>
          <w:p w14:paraId="7DDB47A8" w14:textId="77777777" w:rsidR="00074551" w:rsidRPr="00E50B51" w:rsidRDefault="00074551" w:rsidP="00367133">
            <w:pPr>
              <w:jc w:val="both"/>
              <w:rPr>
                <w:sz w:val="20"/>
                <w:szCs w:val="20"/>
              </w:rPr>
            </w:pPr>
          </w:p>
        </w:tc>
      </w:tr>
      <w:tr w:rsidR="00074551" w:rsidRPr="00E50B51" w14:paraId="769BF7A9" w14:textId="77777777" w:rsidTr="00BE689F">
        <w:trPr>
          <w:cantSplit/>
          <w:trHeight w:val="3175"/>
        </w:trPr>
        <w:tc>
          <w:tcPr>
            <w:tcW w:w="293" w:type="pct"/>
          </w:tcPr>
          <w:p w14:paraId="51F5736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059DD09" w14:textId="77777777" w:rsidR="00074551" w:rsidRPr="00E50B51" w:rsidRDefault="00074551" w:rsidP="00367133">
            <w:pPr>
              <w:ind w:left="113" w:right="416"/>
              <w:jc w:val="both"/>
              <w:rPr>
                <w:sz w:val="20"/>
                <w:szCs w:val="20"/>
              </w:rPr>
            </w:pPr>
            <w:r w:rsidRPr="00D83E4F">
              <w:rPr>
                <w:i/>
                <w:sz w:val="20"/>
                <w:szCs w:val="20"/>
              </w:rPr>
              <w:t>Doe v. Bolton</w:t>
            </w:r>
          </w:p>
        </w:tc>
        <w:tc>
          <w:tcPr>
            <w:tcW w:w="197" w:type="pct"/>
            <w:textDirection w:val="tbRl"/>
            <w:vAlign w:val="center"/>
          </w:tcPr>
          <w:p w14:paraId="22818434" w14:textId="77777777" w:rsidR="00074551" w:rsidRPr="00E50B51" w:rsidRDefault="00074551" w:rsidP="00367133">
            <w:pPr>
              <w:ind w:left="113" w:right="113"/>
              <w:jc w:val="both"/>
              <w:rPr>
                <w:sz w:val="20"/>
                <w:szCs w:val="20"/>
              </w:rPr>
            </w:pPr>
            <w:r w:rsidRPr="00E50B51">
              <w:rPr>
                <w:sz w:val="20"/>
                <w:szCs w:val="20"/>
                <w:lang w:val="en-US"/>
              </w:rPr>
              <w:t>410 U.S. 179</w:t>
            </w:r>
          </w:p>
        </w:tc>
        <w:tc>
          <w:tcPr>
            <w:tcW w:w="306" w:type="pct"/>
            <w:textDirection w:val="tbRl"/>
            <w:vAlign w:val="center"/>
          </w:tcPr>
          <w:p w14:paraId="5DB981E0" w14:textId="77777777" w:rsidR="00074551" w:rsidRPr="00E50B51" w:rsidRDefault="00074551" w:rsidP="00367133">
            <w:pPr>
              <w:ind w:left="113" w:right="113"/>
              <w:jc w:val="both"/>
              <w:rPr>
                <w:sz w:val="20"/>
                <w:szCs w:val="20"/>
              </w:rPr>
            </w:pPr>
            <w:r w:rsidRPr="00E50B51">
              <w:rPr>
                <w:sz w:val="20"/>
                <w:szCs w:val="20"/>
              </w:rPr>
              <w:t>22. Januar 1973</w:t>
            </w:r>
          </w:p>
        </w:tc>
        <w:tc>
          <w:tcPr>
            <w:tcW w:w="401" w:type="pct"/>
          </w:tcPr>
          <w:p w14:paraId="30B8570D" w14:textId="77777777" w:rsidR="00074551" w:rsidRPr="00E50B51" w:rsidRDefault="00074551" w:rsidP="00367133">
            <w:pPr>
              <w:jc w:val="center"/>
              <w:rPr>
                <w:sz w:val="20"/>
                <w:szCs w:val="20"/>
              </w:rPr>
            </w:pPr>
            <w:r w:rsidRPr="00E50B51">
              <w:rPr>
                <w:sz w:val="20"/>
                <w:szCs w:val="20"/>
              </w:rPr>
              <w:t>C</w:t>
            </w:r>
          </w:p>
        </w:tc>
        <w:tc>
          <w:tcPr>
            <w:tcW w:w="1594" w:type="pct"/>
          </w:tcPr>
          <w:p w14:paraId="2AF05E0C" w14:textId="77777777" w:rsidR="00074551" w:rsidRPr="00E50B51" w:rsidRDefault="00074551" w:rsidP="00367133">
            <w:pPr>
              <w:jc w:val="both"/>
              <w:rPr>
                <w:sz w:val="20"/>
                <w:szCs w:val="20"/>
              </w:rPr>
            </w:pPr>
            <w:r w:rsidRPr="00E50B51">
              <w:rPr>
                <w:sz w:val="20"/>
                <w:szCs w:val="20"/>
              </w:rPr>
              <w:t>*</w:t>
            </w:r>
          </w:p>
        </w:tc>
        <w:tc>
          <w:tcPr>
            <w:tcW w:w="1822" w:type="pct"/>
          </w:tcPr>
          <w:p w14:paraId="6254C168" w14:textId="1A2E94DC" w:rsidR="00074551" w:rsidRPr="0041153C" w:rsidRDefault="00074551" w:rsidP="00367133">
            <w:pPr>
              <w:jc w:val="both"/>
              <w:rPr>
                <w:sz w:val="20"/>
                <w:szCs w:val="20"/>
              </w:rPr>
            </w:pPr>
            <w:r w:rsidRPr="0041153C">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41153C">
              <w:rPr>
                <w:sz w:val="20"/>
                <w:szCs w:val="20"/>
              </w:rPr>
              <w:t xml:space="preserve"> erklärte zunächst die drei Sphären des allgemeinen Persönlichkeitsrechts, </w:t>
            </w:r>
            <w:r>
              <w:rPr>
                <w:sz w:val="20"/>
                <w:szCs w:val="20"/>
              </w:rPr>
              <w:t>welche</w:t>
            </w:r>
            <w:r w:rsidRPr="0041153C">
              <w:rPr>
                <w:sz w:val="20"/>
                <w:szCs w:val="20"/>
              </w:rPr>
              <w:t xml:space="preserve"> Bedingungen für ein Glücksstreben darstellen. Zur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5B67C1D2">
              <w:rPr>
                <w:i/>
                <w:iCs/>
                <w:sz w:val="20"/>
                <w:szCs w:val="20"/>
              </w:rPr>
              <w:t xml:space="preserve"> </w:t>
            </w:r>
            <w:r w:rsidRPr="0041153C">
              <w:rPr>
                <w:sz w:val="20"/>
                <w:szCs w:val="20"/>
              </w:rPr>
              <w:t xml:space="preserve">wird </w:t>
            </w:r>
            <w:r w:rsidRPr="5B67C1D2">
              <w:rPr>
                <w:i/>
                <w:iCs/>
                <w:sz w:val="20"/>
                <w:szCs w:val="20"/>
              </w:rPr>
              <w:t>Roe v. Wade</w:t>
            </w:r>
            <w:r>
              <w:rPr>
                <w:sz w:val="20"/>
                <w:szCs w:val="20"/>
              </w:rPr>
              <w:t>,</w:t>
            </w:r>
            <w:r w:rsidRPr="0041153C">
              <w:rPr>
                <w:sz w:val="20"/>
                <w:szCs w:val="20"/>
                <w:vertAlign w:val="superscript"/>
              </w:rPr>
              <w:footnoteReference w:id="1614"/>
            </w:r>
            <w:r w:rsidRPr="0041153C">
              <w:rPr>
                <w:sz w:val="20"/>
                <w:szCs w:val="20"/>
              </w:rPr>
              <w:t xml:space="preserve"> eine Entscheidung, die der </w:t>
            </w:r>
            <w:r>
              <w:rPr>
                <w:sz w:val="20"/>
                <w:szCs w:val="20"/>
              </w:rPr>
              <w:t>U.S. Supreme Court später</w:t>
            </w:r>
            <w:r w:rsidRPr="0041153C">
              <w:rPr>
                <w:sz w:val="20"/>
                <w:szCs w:val="20"/>
              </w:rPr>
              <w:t xml:space="preserve"> aufhob, zitiert. Danach sei das Recht abzutreiben zunächst kein absolutes Verfassungsrecht gewesen. Wobei diese Aussage auch im Lichte des medizinischen Fortschritts zu sehen sei, </w:t>
            </w:r>
            <w:r>
              <w:rPr>
                <w:sz w:val="20"/>
                <w:szCs w:val="20"/>
              </w:rPr>
              <w:t>da</w:t>
            </w:r>
            <w:r w:rsidRPr="0041153C">
              <w:rPr>
                <w:sz w:val="20"/>
                <w:szCs w:val="20"/>
              </w:rPr>
              <w:t xml:space="preserve"> Abtreibungen früher gefährlicher gewesen seien. Aufgrund des Fortschritts überwiege heute aber der Schutz der persönlichen und ehelichen Privatsphäre („</w:t>
            </w:r>
            <w:proofErr w:type="spellStart"/>
            <w:r w:rsidRPr="0041153C">
              <w:rPr>
                <w:sz w:val="20"/>
                <w:szCs w:val="20"/>
              </w:rPr>
              <w:t>undue</w:t>
            </w:r>
            <w:proofErr w:type="spellEnd"/>
            <w:r w:rsidRPr="0041153C">
              <w:rPr>
                <w:sz w:val="20"/>
                <w:szCs w:val="20"/>
              </w:rPr>
              <w:t xml:space="preserve"> </w:t>
            </w:r>
            <w:proofErr w:type="spellStart"/>
            <w:r w:rsidRPr="0041153C">
              <w:rPr>
                <w:sz w:val="20"/>
                <w:szCs w:val="20"/>
              </w:rPr>
              <w:t>restriction</w:t>
            </w:r>
            <w:proofErr w:type="spellEnd"/>
            <w:r w:rsidRPr="0041153C">
              <w:rPr>
                <w:sz w:val="20"/>
                <w:szCs w:val="20"/>
              </w:rPr>
              <w:t xml:space="preserve"> of a </w:t>
            </w:r>
            <w:proofErr w:type="spellStart"/>
            <w:r w:rsidRPr="0041153C">
              <w:rPr>
                <w:sz w:val="20"/>
                <w:szCs w:val="20"/>
              </w:rPr>
              <w:t>right</w:t>
            </w:r>
            <w:proofErr w:type="spellEnd"/>
            <w:r w:rsidRPr="0041153C">
              <w:rPr>
                <w:sz w:val="20"/>
                <w:szCs w:val="20"/>
              </w:rPr>
              <w:t xml:space="preserve"> to personal and </w:t>
            </w:r>
            <w:proofErr w:type="spellStart"/>
            <w:r w:rsidRPr="0041153C">
              <w:rPr>
                <w:sz w:val="20"/>
                <w:szCs w:val="20"/>
              </w:rPr>
              <w:t>marital</w:t>
            </w:r>
            <w:proofErr w:type="spellEnd"/>
            <w:r w:rsidRPr="0041153C">
              <w:rPr>
                <w:sz w:val="20"/>
                <w:szCs w:val="20"/>
              </w:rPr>
              <w:t xml:space="preserve"> </w:t>
            </w:r>
            <w:proofErr w:type="spellStart"/>
            <w:r w:rsidRPr="0041153C">
              <w:rPr>
                <w:sz w:val="20"/>
                <w:szCs w:val="20"/>
              </w:rPr>
              <w:t>privacy</w:t>
            </w:r>
            <w:proofErr w:type="spellEnd"/>
            <w:r w:rsidRPr="0041153C">
              <w:rPr>
                <w:sz w:val="20"/>
                <w:szCs w:val="20"/>
              </w:rPr>
              <w:t>“</w:t>
            </w:r>
            <w:r w:rsidRPr="0041153C">
              <w:rPr>
                <w:sz w:val="20"/>
                <w:szCs w:val="20"/>
                <w:vertAlign w:val="superscript"/>
              </w:rPr>
              <w:footnoteReference w:id="1615"/>
            </w:r>
            <w:r w:rsidRPr="0041153C">
              <w:rPr>
                <w:sz w:val="20"/>
                <w:szCs w:val="20"/>
              </w:rPr>
              <w:t xml:space="preserve">) – </w:t>
            </w:r>
            <w:r w:rsidR="00041E1A">
              <w:rPr>
                <w:sz w:val="20"/>
                <w:szCs w:val="20"/>
              </w:rPr>
              <w:t>gegenüber einer</w:t>
            </w:r>
            <w:r w:rsidRPr="0041153C">
              <w:rPr>
                <w:sz w:val="20"/>
                <w:szCs w:val="20"/>
              </w:rPr>
              <w:t xml:space="preserve"> unzulässige</w:t>
            </w:r>
            <w:r w:rsidR="00041E1A">
              <w:rPr>
                <w:sz w:val="20"/>
                <w:szCs w:val="20"/>
              </w:rPr>
              <w:t>n</w:t>
            </w:r>
            <w:r w:rsidRPr="0041153C">
              <w:rPr>
                <w:sz w:val="20"/>
                <w:szCs w:val="20"/>
              </w:rPr>
              <w:t xml:space="preserve"> Einschränkung. Dabei diene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41153C">
              <w:rPr>
                <w:sz w:val="20"/>
                <w:szCs w:val="20"/>
              </w:rPr>
              <w:t xml:space="preserve"> als weiterer, normativer Anknüpfungspunkt für die Privatsphäre und den Schutz der Frau bei Abtreibungen als Ausprägung des Gleichheitsrecht</w:t>
            </w:r>
            <w:r>
              <w:rPr>
                <w:sz w:val="20"/>
                <w:szCs w:val="20"/>
              </w:rPr>
              <w:t>s</w:t>
            </w:r>
            <w:r w:rsidRPr="0041153C">
              <w:rPr>
                <w:sz w:val="20"/>
                <w:szCs w:val="20"/>
              </w:rPr>
              <w:t>.</w:t>
            </w:r>
            <w:r w:rsidRPr="0041153C">
              <w:rPr>
                <w:sz w:val="20"/>
                <w:szCs w:val="20"/>
                <w:vertAlign w:val="superscript"/>
              </w:rPr>
              <w:footnoteReference w:id="1616"/>
            </w:r>
          </w:p>
          <w:p w14:paraId="688CA4D2" w14:textId="77777777" w:rsidR="00074551" w:rsidRPr="00E50B51" w:rsidRDefault="00074551" w:rsidP="00367133">
            <w:pPr>
              <w:jc w:val="both"/>
              <w:rPr>
                <w:sz w:val="20"/>
                <w:szCs w:val="20"/>
              </w:rPr>
            </w:pPr>
          </w:p>
        </w:tc>
      </w:tr>
      <w:tr w:rsidR="00074551" w:rsidRPr="00E50B51" w14:paraId="032E4D5D" w14:textId="77777777" w:rsidTr="00BE689F">
        <w:trPr>
          <w:cantSplit/>
          <w:trHeight w:val="3175"/>
        </w:trPr>
        <w:tc>
          <w:tcPr>
            <w:tcW w:w="293" w:type="pct"/>
          </w:tcPr>
          <w:p w14:paraId="5878F36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31E6433" w14:textId="77777777" w:rsidR="00074551" w:rsidRPr="00E50B51" w:rsidRDefault="00074551" w:rsidP="00367133">
            <w:pPr>
              <w:ind w:left="113" w:right="416"/>
              <w:jc w:val="both"/>
              <w:rPr>
                <w:sz w:val="20"/>
                <w:szCs w:val="20"/>
              </w:rPr>
            </w:pPr>
            <w:r w:rsidRPr="009572B5">
              <w:rPr>
                <w:i/>
                <w:sz w:val="20"/>
                <w:szCs w:val="20"/>
              </w:rPr>
              <w:t>Eisenstadt v. Baird</w:t>
            </w:r>
          </w:p>
        </w:tc>
        <w:tc>
          <w:tcPr>
            <w:tcW w:w="197" w:type="pct"/>
            <w:textDirection w:val="tbRl"/>
            <w:vAlign w:val="center"/>
          </w:tcPr>
          <w:p w14:paraId="2FF6D1B1" w14:textId="77777777" w:rsidR="00074551" w:rsidRPr="00E50B51" w:rsidRDefault="00074551" w:rsidP="00367133">
            <w:pPr>
              <w:ind w:left="113" w:right="113"/>
              <w:jc w:val="both"/>
              <w:rPr>
                <w:sz w:val="20"/>
                <w:szCs w:val="20"/>
              </w:rPr>
            </w:pPr>
            <w:r w:rsidRPr="00E50B51">
              <w:rPr>
                <w:sz w:val="20"/>
                <w:szCs w:val="20"/>
                <w:lang w:val="en-US"/>
              </w:rPr>
              <w:t>405 U.S. 438</w:t>
            </w:r>
          </w:p>
        </w:tc>
        <w:tc>
          <w:tcPr>
            <w:tcW w:w="306" w:type="pct"/>
            <w:textDirection w:val="tbRl"/>
            <w:vAlign w:val="center"/>
          </w:tcPr>
          <w:p w14:paraId="2AD752FC" w14:textId="77777777" w:rsidR="00074551" w:rsidRPr="00E50B51" w:rsidRDefault="00074551" w:rsidP="00367133">
            <w:pPr>
              <w:ind w:left="113" w:right="113"/>
              <w:jc w:val="both"/>
              <w:rPr>
                <w:sz w:val="20"/>
                <w:szCs w:val="20"/>
              </w:rPr>
            </w:pPr>
            <w:r w:rsidRPr="00E50B51">
              <w:rPr>
                <w:sz w:val="20"/>
                <w:szCs w:val="20"/>
              </w:rPr>
              <w:t>22. März 1972</w:t>
            </w:r>
          </w:p>
        </w:tc>
        <w:tc>
          <w:tcPr>
            <w:tcW w:w="401" w:type="pct"/>
          </w:tcPr>
          <w:p w14:paraId="219765AA" w14:textId="77777777" w:rsidR="00074551" w:rsidRPr="00E50B51" w:rsidRDefault="00074551" w:rsidP="00367133">
            <w:pPr>
              <w:jc w:val="center"/>
              <w:rPr>
                <w:sz w:val="20"/>
                <w:szCs w:val="20"/>
              </w:rPr>
            </w:pPr>
            <w:r w:rsidRPr="00E50B51">
              <w:rPr>
                <w:sz w:val="20"/>
                <w:szCs w:val="20"/>
              </w:rPr>
              <w:t>M</w:t>
            </w:r>
          </w:p>
        </w:tc>
        <w:tc>
          <w:tcPr>
            <w:tcW w:w="1594" w:type="pct"/>
          </w:tcPr>
          <w:p w14:paraId="4823F59C" w14:textId="77777777" w:rsidR="00074551" w:rsidRPr="00E50B51" w:rsidRDefault="00074551" w:rsidP="00367133">
            <w:pPr>
              <w:jc w:val="both"/>
              <w:rPr>
                <w:sz w:val="20"/>
                <w:szCs w:val="20"/>
              </w:rPr>
            </w:pPr>
            <w:r w:rsidRPr="00E50B51">
              <w:rPr>
                <w:sz w:val="20"/>
                <w:szCs w:val="20"/>
              </w:rPr>
              <w:t>*</w:t>
            </w:r>
          </w:p>
          <w:p w14:paraId="26924D1F" w14:textId="77777777" w:rsidR="00074551" w:rsidRPr="00E50B51" w:rsidRDefault="00074551" w:rsidP="00367133">
            <w:pPr>
              <w:jc w:val="both"/>
              <w:rPr>
                <w:sz w:val="20"/>
                <w:szCs w:val="20"/>
              </w:rPr>
            </w:pPr>
          </w:p>
        </w:tc>
        <w:tc>
          <w:tcPr>
            <w:tcW w:w="1822" w:type="pct"/>
          </w:tcPr>
          <w:p w14:paraId="44F53209" w14:textId="14F9A16F" w:rsidR="00074551" w:rsidRDefault="00074551" w:rsidP="00367133">
            <w:pPr>
              <w:jc w:val="both"/>
              <w:rPr>
                <w:sz w:val="20"/>
                <w:szCs w:val="20"/>
              </w:rPr>
            </w:pPr>
            <w:r w:rsidRPr="00B45592">
              <w:rPr>
                <w:sz w:val="20"/>
                <w:szCs w:val="20"/>
              </w:rPr>
              <w:t xml:space="preserve">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B45592">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214603">
              <w:rPr>
                <w:sz w:val="20"/>
                <w:szCs w:val="20"/>
              </w:rPr>
              <w:t xml:space="preserve"> regle, </w:t>
            </w:r>
            <w:r>
              <w:rPr>
                <w:sz w:val="20"/>
                <w:szCs w:val="20"/>
              </w:rPr>
              <w:t xml:space="preserve">dass </w:t>
            </w:r>
            <w:r w:rsidRPr="00214603">
              <w:rPr>
                <w:sz w:val="20"/>
                <w:szCs w:val="20"/>
              </w:rPr>
              <w:t xml:space="preserve">ein Gesetz, welches Personen in verschiedene Gruppen einteile, nur </w:t>
            </w:r>
            <w:r>
              <w:rPr>
                <w:sz w:val="20"/>
                <w:szCs w:val="20"/>
              </w:rPr>
              <w:t>anhand von</w:t>
            </w:r>
            <w:r w:rsidRPr="00214603">
              <w:rPr>
                <w:sz w:val="20"/>
                <w:szCs w:val="20"/>
              </w:rPr>
              <w:t xml:space="preserve"> Kriterien unterschiedlich behandeln dürfe, die auch mit dem jeweiligen Gesetzeszweck zusammenhingen. Eine unterschiedliche Behandlung </w:t>
            </w:r>
            <w:r>
              <w:rPr>
                <w:sz w:val="20"/>
                <w:szCs w:val="20"/>
              </w:rPr>
              <w:t>müsse</w:t>
            </w:r>
            <w:r w:rsidRPr="00214603">
              <w:rPr>
                <w:sz w:val="20"/>
                <w:szCs w:val="20"/>
              </w:rPr>
              <w:t xml:space="preserve"> ferner vernünftig und </w:t>
            </w:r>
            <w:r>
              <w:rPr>
                <w:sz w:val="20"/>
                <w:szCs w:val="20"/>
              </w:rPr>
              <w:t xml:space="preserve">dürfe </w:t>
            </w:r>
            <w:r w:rsidRPr="00214603">
              <w:rPr>
                <w:sz w:val="20"/>
                <w:szCs w:val="20"/>
              </w:rPr>
              <w:t xml:space="preserve">nicht willkürlich sein und </w:t>
            </w:r>
            <w:r>
              <w:rPr>
                <w:sz w:val="20"/>
                <w:szCs w:val="20"/>
              </w:rPr>
              <w:t>müsse</w:t>
            </w:r>
            <w:r w:rsidRPr="00214603">
              <w:rPr>
                <w:sz w:val="20"/>
                <w:szCs w:val="20"/>
              </w:rPr>
              <w:t xml:space="preserve"> auf einem sachlichen Grund beruhen; dieser Grund </w:t>
            </w:r>
            <w:r>
              <w:rPr>
                <w:sz w:val="20"/>
                <w:szCs w:val="20"/>
              </w:rPr>
              <w:t>müsse</w:t>
            </w:r>
            <w:r w:rsidRPr="00214603">
              <w:rPr>
                <w:sz w:val="20"/>
                <w:szCs w:val="20"/>
              </w:rPr>
              <w:t xml:space="preserve"> in Zusammenhang </w:t>
            </w:r>
            <w:r>
              <w:rPr>
                <w:sz w:val="20"/>
                <w:szCs w:val="20"/>
              </w:rPr>
              <w:t>mit dem</w:t>
            </w:r>
            <w:r w:rsidRPr="00214603">
              <w:rPr>
                <w:sz w:val="20"/>
                <w:szCs w:val="20"/>
              </w:rPr>
              <w:t xml:space="preserve"> Ziel des Gesetzes stehen. Im Grundsatz habe aber ein Gesetz erst</w:t>
            </w:r>
            <w:r>
              <w:rPr>
                <w:sz w:val="20"/>
                <w:szCs w:val="20"/>
              </w:rPr>
              <w:t xml:space="preserve"> ein</w:t>
            </w:r>
            <w:r w:rsidRPr="00214603">
              <w:rPr>
                <w:sz w:val="20"/>
                <w:szCs w:val="20"/>
              </w:rPr>
              <w:t>mal alle Personen gleich zu behandeln, soweit sie sich in einer vergleichbaren Lage bef</w:t>
            </w:r>
            <w:r>
              <w:rPr>
                <w:sz w:val="20"/>
                <w:szCs w:val="20"/>
              </w:rPr>
              <w:t>ä</w:t>
            </w:r>
            <w:r w:rsidRPr="00214603">
              <w:rPr>
                <w:sz w:val="20"/>
                <w:szCs w:val="20"/>
              </w:rPr>
              <w:t>nden.</w:t>
            </w:r>
            <w:r w:rsidRPr="00214603">
              <w:rPr>
                <w:sz w:val="20"/>
                <w:szCs w:val="20"/>
                <w:vertAlign w:val="superscript"/>
              </w:rPr>
              <w:footnoteReference w:id="1617"/>
            </w:r>
            <w:r w:rsidRPr="00214603">
              <w:rPr>
                <w:sz w:val="20"/>
                <w:szCs w:val="20"/>
              </w:rPr>
              <w:t xml:space="preserve"> Ausfluss dieses Gleichheitssatz</w:t>
            </w:r>
            <w:r>
              <w:rPr>
                <w:sz w:val="20"/>
                <w:szCs w:val="20"/>
              </w:rPr>
              <w:t>es</w:t>
            </w:r>
            <w:r w:rsidRPr="00214603">
              <w:rPr>
                <w:sz w:val="20"/>
                <w:szCs w:val="20"/>
              </w:rPr>
              <w:t xml:space="preserve"> sei eine Bedingung von Glück, nämlich: die Privatsphäre von zwei </w:t>
            </w:r>
            <w:r>
              <w:rPr>
                <w:sz w:val="20"/>
                <w:szCs w:val="20"/>
              </w:rPr>
              <w:t xml:space="preserve">sich </w:t>
            </w:r>
            <w:r w:rsidRPr="00214603">
              <w:rPr>
                <w:sz w:val="20"/>
                <w:szCs w:val="20"/>
              </w:rPr>
              <w:t>liebenden Menschen.</w:t>
            </w:r>
            <w:r w:rsidRPr="00214603">
              <w:rPr>
                <w:sz w:val="20"/>
                <w:szCs w:val="20"/>
                <w:vertAlign w:val="superscript"/>
              </w:rPr>
              <w:t xml:space="preserve"> </w:t>
            </w:r>
            <w:r w:rsidRPr="00214603">
              <w:rPr>
                <w:sz w:val="20"/>
                <w:szCs w:val="20"/>
                <w:vertAlign w:val="superscript"/>
                <w:lang w:val="en-US"/>
              </w:rPr>
              <w:footnoteReference w:id="1618"/>
            </w:r>
            <w:r w:rsidRPr="00214603">
              <w:rPr>
                <w:sz w:val="20"/>
                <w:szCs w:val="20"/>
              </w:rPr>
              <w:t xml:space="preserve"> Bei ihrem Schutz </w:t>
            </w:r>
            <w:r>
              <w:rPr>
                <w:sz w:val="20"/>
                <w:szCs w:val="20"/>
              </w:rPr>
              <w:t>könne</w:t>
            </w:r>
            <w:r w:rsidRPr="00214603">
              <w:rPr>
                <w:sz w:val="20"/>
                <w:szCs w:val="20"/>
              </w:rPr>
              <w:t xml:space="preserve"> es nicht darauf ankommen, ob sie verheiratet </w:t>
            </w:r>
            <w:r>
              <w:rPr>
                <w:sz w:val="20"/>
                <w:szCs w:val="20"/>
              </w:rPr>
              <w:t>seien</w:t>
            </w:r>
            <w:r w:rsidRPr="00214603">
              <w:rPr>
                <w:sz w:val="20"/>
                <w:szCs w:val="20"/>
              </w:rPr>
              <w:t xml:space="preserve"> oder nicht („</w:t>
            </w:r>
            <w:proofErr w:type="spellStart"/>
            <w:r>
              <w:rPr>
                <w:sz w:val="20"/>
                <w:szCs w:val="20"/>
              </w:rPr>
              <w:t>If</w:t>
            </w:r>
            <w:proofErr w:type="spellEnd"/>
            <w:r>
              <w:rPr>
                <w:sz w:val="20"/>
                <w:szCs w:val="20"/>
              </w:rPr>
              <w:t xml:space="preserve"> the </w:t>
            </w:r>
            <w:proofErr w:type="spellStart"/>
            <w:r w:rsidRPr="00214603">
              <w:rPr>
                <w:sz w:val="20"/>
                <w:szCs w:val="20"/>
              </w:rPr>
              <w:t>right</w:t>
            </w:r>
            <w:proofErr w:type="spellEnd"/>
            <w:r w:rsidRPr="00214603">
              <w:rPr>
                <w:sz w:val="20"/>
                <w:szCs w:val="20"/>
              </w:rPr>
              <w:t xml:space="preserve"> of </w:t>
            </w:r>
            <w:proofErr w:type="spellStart"/>
            <w:r w:rsidRPr="00214603">
              <w:rPr>
                <w:sz w:val="20"/>
                <w:szCs w:val="20"/>
              </w:rPr>
              <w:t>privacy</w:t>
            </w:r>
            <w:proofErr w:type="spellEnd"/>
            <w:r w:rsidRPr="00214603">
              <w:rPr>
                <w:sz w:val="20"/>
                <w:szCs w:val="20"/>
              </w:rPr>
              <w:t xml:space="preserve"> </w:t>
            </w:r>
            <w:proofErr w:type="spellStart"/>
            <w:r w:rsidRPr="00214603">
              <w:rPr>
                <w:sz w:val="20"/>
                <w:szCs w:val="20"/>
              </w:rPr>
              <w:t>means</w:t>
            </w:r>
            <w:proofErr w:type="spellEnd"/>
            <w:r w:rsidRPr="00214603">
              <w:rPr>
                <w:sz w:val="20"/>
                <w:szCs w:val="20"/>
              </w:rPr>
              <w:t xml:space="preserve"> </w:t>
            </w:r>
            <w:proofErr w:type="spellStart"/>
            <w:r w:rsidRPr="00214603">
              <w:rPr>
                <w:sz w:val="20"/>
                <w:szCs w:val="20"/>
              </w:rPr>
              <w:t>anything</w:t>
            </w:r>
            <w:proofErr w:type="spellEnd"/>
            <w:r w:rsidRPr="00214603">
              <w:rPr>
                <w:sz w:val="20"/>
                <w:szCs w:val="20"/>
              </w:rPr>
              <w:t xml:space="preserve">, it </w:t>
            </w:r>
            <w:proofErr w:type="spellStart"/>
            <w:r w:rsidRPr="00214603">
              <w:rPr>
                <w:sz w:val="20"/>
                <w:szCs w:val="20"/>
              </w:rPr>
              <w:t>is</w:t>
            </w:r>
            <w:proofErr w:type="spellEnd"/>
            <w:r w:rsidRPr="00214603">
              <w:rPr>
                <w:sz w:val="20"/>
                <w:szCs w:val="20"/>
              </w:rPr>
              <w:t xml:space="preserve"> the </w:t>
            </w:r>
            <w:proofErr w:type="spellStart"/>
            <w:r w:rsidRPr="00214603">
              <w:rPr>
                <w:sz w:val="20"/>
                <w:szCs w:val="20"/>
              </w:rPr>
              <w:t>right</w:t>
            </w:r>
            <w:proofErr w:type="spellEnd"/>
            <w:r w:rsidRPr="00214603">
              <w:rPr>
                <w:sz w:val="20"/>
                <w:szCs w:val="20"/>
              </w:rPr>
              <w:t xml:space="preserve"> of the </w:t>
            </w:r>
            <w:r w:rsidRPr="5B67C1D2">
              <w:rPr>
                <w:i/>
                <w:iCs/>
                <w:sz w:val="20"/>
                <w:szCs w:val="20"/>
              </w:rPr>
              <w:t>individual</w:t>
            </w:r>
            <w:r w:rsidRPr="00214603">
              <w:rPr>
                <w:sz w:val="20"/>
                <w:szCs w:val="20"/>
              </w:rPr>
              <w:t xml:space="preserve">, </w:t>
            </w:r>
            <w:proofErr w:type="spellStart"/>
            <w:r w:rsidRPr="00214603">
              <w:rPr>
                <w:sz w:val="20"/>
                <w:szCs w:val="20"/>
              </w:rPr>
              <w:t>married</w:t>
            </w:r>
            <w:proofErr w:type="spellEnd"/>
            <w:r w:rsidRPr="00214603">
              <w:rPr>
                <w:sz w:val="20"/>
                <w:szCs w:val="20"/>
              </w:rPr>
              <w:t xml:space="preserve"> </w:t>
            </w:r>
            <w:proofErr w:type="spellStart"/>
            <w:r w:rsidRPr="00214603">
              <w:rPr>
                <w:sz w:val="20"/>
                <w:szCs w:val="20"/>
              </w:rPr>
              <w:t>or</w:t>
            </w:r>
            <w:proofErr w:type="spellEnd"/>
            <w:r w:rsidRPr="00214603">
              <w:rPr>
                <w:sz w:val="20"/>
                <w:szCs w:val="20"/>
              </w:rPr>
              <w:t xml:space="preserve"> </w:t>
            </w:r>
            <w:proofErr w:type="spellStart"/>
            <w:r w:rsidRPr="00214603">
              <w:rPr>
                <w:sz w:val="20"/>
                <w:szCs w:val="20"/>
              </w:rPr>
              <w:t>single</w:t>
            </w:r>
            <w:proofErr w:type="spellEnd"/>
            <w:r w:rsidRPr="00214603">
              <w:rPr>
                <w:sz w:val="20"/>
                <w:szCs w:val="20"/>
              </w:rPr>
              <w:t>“</w:t>
            </w:r>
            <w:r w:rsidRPr="00214603">
              <w:rPr>
                <w:sz w:val="20"/>
                <w:szCs w:val="20"/>
                <w:vertAlign w:val="superscript"/>
                <w:lang w:val="en-US"/>
              </w:rPr>
              <w:footnoteReference w:id="1619"/>
            </w:r>
            <w:r w:rsidRPr="00214603">
              <w:rPr>
                <w:sz w:val="20"/>
                <w:szCs w:val="20"/>
              </w:rPr>
              <w:t>). Das erforder</w:t>
            </w:r>
            <w:r>
              <w:rPr>
                <w:sz w:val="20"/>
                <w:szCs w:val="20"/>
              </w:rPr>
              <w:t>e</w:t>
            </w:r>
            <w:r w:rsidRPr="00214603">
              <w:rPr>
                <w:sz w:val="20"/>
                <w:szCs w:val="20"/>
              </w:rPr>
              <w:t xml:space="preserve">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14603">
              <w:rPr>
                <w:sz w:val="20"/>
                <w:szCs w:val="20"/>
              </w:rPr>
              <w:t>.</w:t>
            </w:r>
            <w:r w:rsidRPr="00214603">
              <w:rPr>
                <w:sz w:val="20"/>
                <w:szCs w:val="20"/>
                <w:vertAlign w:val="superscript"/>
                <w:lang w:val="en-US"/>
              </w:rPr>
              <w:footnoteReference w:id="1620"/>
            </w:r>
          </w:p>
          <w:p w14:paraId="0D8D5CD0" w14:textId="77777777" w:rsidR="00074551" w:rsidRPr="00E50B51" w:rsidRDefault="00074551" w:rsidP="00367133">
            <w:pPr>
              <w:jc w:val="both"/>
              <w:rPr>
                <w:sz w:val="20"/>
                <w:szCs w:val="20"/>
              </w:rPr>
            </w:pPr>
          </w:p>
        </w:tc>
      </w:tr>
      <w:tr w:rsidR="00074551" w:rsidRPr="00E50B51" w14:paraId="4CCA63FC" w14:textId="77777777" w:rsidTr="00BE689F">
        <w:trPr>
          <w:cantSplit/>
          <w:trHeight w:val="3175"/>
        </w:trPr>
        <w:tc>
          <w:tcPr>
            <w:tcW w:w="293" w:type="pct"/>
          </w:tcPr>
          <w:p w14:paraId="225AAC4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B90AC58" w14:textId="77777777" w:rsidR="00074551" w:rsidRPr="00E50B51" w:rsidRDefault="00074551" w:rsidP="00367133">
            <w:pPr>
              <w:ind w:left="113" w:right="416"/>
              <w:jc w:val="both"/>
              <w:rPr>
                <w:sz w:val="20"/>
                <w:szCs w:val="20"/>
              </w:rPr>
            </w:pPr>
            <w:r w:rsidRPr="00B35CD0">
              <w:rPr>
                <w:i/>
                <w:sz w:val="20"/>
                <w:szCs w:val="20"/>
              </w:rPr>
              <w:t xml:space="preserve">Ex </w:t>
            </w:r>
            <w:proofErr w:type="spellStart"/>
            <w:r w:rsidRPr="00B35CD0">
              <w:rPr>
                <w:i/>
                <w:sz w:val="20"/>
                <w:szCs w:val="20"/>
              </w:rPr>
              <w:t>parte</w:t>
            </w:r>
            <w:proofErr w:type="spellEnd"/>
            <w:r w:rsidRPr="00B35CD0">
              <w:rPr>
                <w:i/>
                <w:sz w:val="20"/>
                <w:szCs w:val="20"/>
              </w:rPr>
              <w:t xml:space="preserve"> Milligan</w:t>
            </w:r>
          </w:p>
        </w:tc>
        <w:tc>
          <w:tcPr>
            <w:tcW w:w="197" w:type="pct"/>
            <w:textDirection w:val="tbRl"/>
            <w:vAlign w:val="center"/>
          </w:tcPr>
          <w:p w14:paraId="48305016" w14:textId="77777777" w:rsidR="00074551" w:rsidRPr="00E50B51" w:rsidRDefault="00074551" w:rsidP="00367133">
            <w:pPr>
              <w:ind w:left="113" w:right="113"/>
              <w:jc w:val="both"/>
              <w:rPr>
                <w:sz w:val="20"/>
                <w:szCs w:val="20"/>
              </w:rPr>
            </w:pPr>
            <w:r w:rsidRPr="00E50B51">
              <w:rPr>
                <w:sz w:val="20"/>
                <w:szCs w:val="20"/>
                <w:lang w:val="en-US"/>
              </w:rPr>
              <w:t>71 U.S. 2</w:t>
            </w:r>
          </w:p>
        </w:tc>
        <w:tc>
          <w:tcPr>
            <w:tcW w:w="306" w:type="pct"/>
            <w:textDirection w:val="tbRl"/>
            <w:vAlign w:val="center"/>
          </w:tcPr>
          <w:p w14:paraId="007D249A" w14:textId="77777777" w:rsidR="00074551" w:rsidRPr="00E50B51" w:rsidRDefault="00074551" w:rsidP="00367133">
            <w:pPr>
              <w:ind w:left="113" w:right="113"/>
              <w:jc w:val="both"/>
              <w:rPr>
                <w:sz w:val="20"/>
                <w:szCs w:val="20"/>
              </w:rPr>
            </w:pPr>
            <w:r w:rsidRPr="00E50B51">
              <w:rPr>
                <w:sz w:val="20"/>
                <w:szCs w:val="20"/>
              </w:rPr>
              <w:t>3. April 1866</w:t>
            </w:r>
          </w:p>
        </w:tc>
        <w:tc>
          <w:tcPr>
            <w:tcW w:w="401" w:type="pct"/>
          </w:tcPr>
          <w:p w14:paraId="5BF1DBCB" w14:textId="77777777" w:rsidR="00074551" w:rsidRPr="00E50B51" w:rsidRDefault="00074551" w:rsidP="00367133">
            <w:pPr>
              <w:jc w:val="center"/>
              <w:rPr>
                <w:sz w:val="20"/>
                <w:szCs w:val="20"/>
              </w:rPr>
            </w:pPr>
            <w:r w:rsidRPr="00E50B51">
              <w:rPr>
                <w:sz w:val="20"/>
                <w:szCs w:val="20"/>
              </w:rPr>
              <w:t>S</w:t>
            </w:r>
          </w:p>
        </w:tc>
        <w:tc>
          <w:tcPr>
            <w:tcW w:w="1594" w:type="pct"/>
          </w:tcPr>
          <w:p w14:paraId="6889EF42" w14:textId="77777777" w:rsidR="00074551" w:rsidRPr="00E50B51" w:rsidRDefault="00074551" w:rsidP="00367133">
            <w:pPr>
              <w:jc w:val="both"/>
              <w:rPr>
                <w:sz w:val="20"/>
                <w:szCs w:val="20"/>
              </w:rPr>
            </w:pPr>
            <w:r w:rsidRPr="00E50B51">
              <w:rPr>
                <w:sz w:val="20"/>
                <w:szCs w:val="20"/>
              </w:rPr>
              <w:t>*</w:t>
            </w:r>
          </w:p>
        </w:tc>
        <w:tc>
          <w:tcPr>
            <w:tcW w:w="1822" w:type="pct"/>
          </w:tcPr>
          <w:p w14:paraId="0EACAD97" w14:textId="77777777" w:rsidR="00074551" w:rsidRDefault="00074551" w:rsidP="00367133">
            <w:pPr>
              <w:jc w:val="both"/>
              <w:rPr>
                <w:sz w:val="20"/>
                <w:szCs w:val="20"/>
              </w:rPr>
            </w:pPr>
            <w:r w:rsidRPr="00CD6C6B">
              <w:rPr>
                <w:sz w:val="20"/>
                <w:szCs w:val="20"/>
              </w:rPr>
              <w:t xml:space="preserve">Die unteren Instanzen erkannten an und der </w:t>
            </w:r>
            <w:r>
              <w:rPr>
                <w:sz w:val="20"/>
                <w:szCs w:val="20"/>
              </w:rPr>
              <w:t>U.S. Supreme Court</w:t>
            </w:r>
            <w:r w:rsidRPr="00CD6C6B">
              <w:rPr>
                <w:sz w:val="20"/>
                <w:szCs w:val="20"/>
              </w:rPr>
              <w:t xml:space="preserve"> griff auf, dass das Kriegsrecht („</w:t>
            </w:r>
            <w:proofErr w:type="spellStart"/>
            <w:r w:rsidRPr="00CD6C6B">
              <w:rPr>
                <w:sz w:val="20"/>
                <w:szCs w:val="20"/>
              </w:rPr>
              <w:t>martial</w:t>
            </w:r>
            <w:proofErr w:type="spellEnd"/>
            <w:r w:rsidRPr="00CD6C6B">
              <w:rPr>
                <w:sz w:val="20"/>
                <w:szCs w:val="20"/>
              </w:rPr>
              <w:t xml:space="preserve"> </w:t>
            </w:r>
            <w:proofErr w:type="spellStart"/>
            <w:r w:rsidRPr="00CD6C6B">
              <w:rPr>
                <w:sz w:val="20"/>
                <w:szCs w:val="20"/>
              </w:rPr>
              <w:t>law</w:t>
            </w:r>
            <w:proofErr w:type="spellEnd"/>
            <w:r w:rsidRPr="00CD6C6B">
              <w:rPr>
                <w:sz w:val="20"/>
                <w:szCs w:val="20"/>
              </w:rPr>
              <w:t>“</w:t>
            </w:r>
            <w:r w:rsidRPr="00CD6C6B">
              <w:rPr>
                <w:sz w:val="20"/>
                <w:szCs w:val="20"/>
                <w:vertAlign w:val="superscript"/>
              </w:rPr>
              <w:footnoteReference w:id="1621"/>
            </w:r>
            <w:r w:rsidRPr="00CD6C6B">
              <w:rPr>
                <w:sz w:val="20"/>
                <w:szCs w:val="20"/>
              </w:rPr>
              <w:t>) und seine Anwendung, in Form von Prozessen vor Militärkommissionen, die Freiheit und das Streben nach Glück erheblich einschränk</w:t>
            </w:r>
            <w:r>
              <w:rPr>
                <w:sz w:val="20"/>
                <w:szCs w:val="20"/>
              </w:rPr>
              <w:t>ten</w:t>
            </w:r>
            <w:r w:rsidRPr="00CD6C6B">
              <w:rPr>
                <w:sz w:val="20"/>
                <w:szCs w:val="20"/>
              </w:rPr>
              <w:t>. Daher gibt das Streben nach Glück strenge Voraussetzungen vor („</w:t>
            </w:r>
            <w:proofErr w:type="spellStart"/>
            <w:r w:rsidRPr="00CD6C6B">
              <w:rPr>
                <w:sz w:val="20"/>
                <w:szCs w:val="20"/>
              </w:rPr>
              <w:t>martial</w:t>
            </w:r>
            <w:proofErr w:type="spellEnd"/>
            <w:r w:rsidRPr="00CD6C6B">
              <w:rPr>
                <w:sz w:val="20"/>
                <w:szCs w:val="20"/>
              </w:rPr>
              <w:t xml:space="preserve"> </w:t>
            </w:r>
            <w:proofErr w:type="spellStart"/>
            <w:r w:rsidRPr="00CD6C6B">
              <w:rPr>
                <w:sz w:val="20"/>
                <w:szCs w:val="20"/>
              </w:rPr>
              <w:t>law</w:t>
            </w:r>
            <w:proofErr w:type="spellEnd"/>
            <w:r w:rsidRPr="00CD6C6B">
              <w:rPr>
                <w:sz w:val="20"/>
                <w:szCs w:val="20"/>
              </w:rPr>
              <w:t xml:space="preserve"> […] </w:t>
            </w:r>
            <w:proofErr w:type="spellStart"/>
            <w:r w:rsidRPr="00CD6C6B">
              <w:rPr>
                <w:sz w:val="20"/>
                <w:szCs w:val="20"/>
              </w:rPr>
              <w:t>is</w:t>
            </w:r>
            <w:proofErr w:type="spellEnd"/>
            <w:r w:rsidRPr="00CD6C6B">
              <w:rPr>
                <w:sz w:val="20"/>
                <w:szCs w:val="20"/>
              </w:rPr>
              <w:t xml:space="preserve"> fatal to […] the </w:t>
            </w:r>
            <w:proofErr w:type="spellStart"/>
            <w:r w:rsidRPr="00CD6C6B">
              <w:rPr>
                <w:sz w:val="20"/>
                <w:szCs w:val="20"/>
              </w:rPr>
              <w:t>pursuit</w:t>
            </w:r>
            <w:proofErr w:type="spellEnd"/>
            <w:r w:rsidRPr="00CD6C6B">
              <w:rPr>
                <w:sz w:val="20"/>
                <w:szCs w:val="20"/>
              </w:rPr>
              <w:t xml:space="preserve"> of </w:t>
            </w:r>
            <w:proofErr w:type="spellStart"/>
            <w:r w:rsidRPr="00CD6C6B">
              <w:rPr>
                <w:sz w:val="20"/>
                <w:szCs w:val="20"/>
              </w:rPr>
              <w:t>happiness</w:t>
            </w:r>
            <w:proofErr w:type="spellEnd"/>
            <w:r w:rsidRPr="00CD6C6B">
              <w:rPr>
                <w:sz w:val="20"/>
                <w:szCs w:val="20"/>
              </w:rPr>
              <w:t xml:space="preserve">; but </w:t>
            </w:r>
            <w:proofErr w:type="spellStart"/>
            <w:r w:rsidRPr="00CD6C6B">
              <w:rPr>
                <w:sz w:val="20"/>
                <w:szCs w:val="20"/>
              </w:rPr>
              <w:t>we</w:t>
            </w:r>
            <w:proofErr w:type="spellEnd"/>
            <w:r w:rsidRPr="00CD6C6B">
              <w:rPr>
                <w:sz w:val="20"/>
                <w:szCs w:val="20"/>
              </w:rPr>
              <w:t xml:space="preserve"> </w:t>
            </w:r>
            <w:proofErr w:type="spellStart"/>
            <w:r w:rsidRPr="00CD6C6B">
              <w:rPr>
                <w:sz w:val="20"/>
                <w:szCs w:val="20"/>
              </w:rPr>
              <w:t>are</w:t>
            </w:r>
            <w:proofErr w:type="spellEnd"/>
            <w:r w:rsidRPr="00CD6C6B">
              <w:rPr>
                <w:sz w:val="20"/>
                <w:szCs w:val="20"/>
              </w:rPr>
              <w:t xml:space="preserve"> </w:t>
            </w:r>
            <w:proofErr w:type="spellStart"/>
            <w:r w:rsidRPr="00CD6C6B">
              <w:rPr>
                <w:sz w:val="20"/>
                <w:szCs w:val="20"/>
              </w:rPr>
              <w:t>only</w:t>
            </w:r>
            <w:proofErr w:type="spellEnd"/>
            <w:r w:rsidRPr="00CD6C6B">
              <w:rPr>
                <w:sz w:val="20"/>
                <w:szCs w:val="20"/>
              </w:rPr>
              <w:t xml:space="preserve"> </w:t>
            </w:r>
            <w:proofErr w:type="spellStart"/>
            <w:r w:rsidRPr="00CD6C6B">
              <w:rPr>
                <w:sz w:val="20"/>
                <w:szCs w:val="20"/>
              </w:rPr>
              <w:t>asking</w:t>
            </w:r>
            <w:proofErr w:type="spellEnd"/>
            <w:r w:rsidRPr="00CD6C6B">
              <w:rPr>
                <w:sz w:val="20"/>
                <w:szCs w:val="20"/>
              </w:rPr>
              <w:t xml:space="preserve"> for the </w:t>
            </w:r>
            <w:proofErr w:type="spellStart"/>
            <w:r w:rsidRPr="00CD6C6B">
              <w:rPr>
                <w:sz w:val="20"/>
                <w:szCs w:val="20"/>
              </w:rPr>
              <w:t>exercise</w:t>
            </w:r>
            <w:proofErr w:type="spellEnd"/>
            <w:r w:rsidRPr="00CD6C6B">
              <w:rPr>
                <w:sz w:val="20"/>
                <w:szCs w:val="20"/>
              </w:rPr>
              <w:t xml:space="preserve"> of </w:t>
            </w:r>
            <w:proofErr w:type="spellStart"/>
            <w:r w:rsidRPr="00CD6C6B">
              <w:rPr>
                <w:sz w:val="20"/>
                <w:szCs w:val="20"/>
              </w:rPr>
              <w:t>military</w:t>
            </w:r>
            <w:proofErr w:type="spellEnd"/>
            <w:r w:rsidRPr="00CD6C6B">
              <w:rPr>
                <w:sz w:val="20"/>
                <w:szCs w:val="20"/>
              </w:rPr>
              <w:t xml:space="preserve"> power, </w:t>
            </w:r>
            <w:proofErr w:type="spellStart"/>
            <w:r w:rsidRPr="00CD6C6B">
              <w:rPr>
                <w:sz w:val="20"/>
                <w:szCs w:val="20"/>
              </w:rPr>
              <w:t>when</w:t>
            </w:r>
            <w:proofErr w:type="spellEnd"/>
            <w:r w:rsidRPr="00CD6C6B">
              <w:rPr>
                <w:sz w:val="20"/>
                <w:szCs w:val="20"/>
              </w:rPr>
              <w:t xml:space="preserve"> </w:t>
            </w:r>
            <w:proofErr w:type="spellStart"/>
            <w:r w:rsidRPr="00CD6C6B">
              <w:rPr>
                <w:sz w:val="20"/>
                <w:szCs w:val="20"/>
              </w:rPr>
              <w:t>necessity</w:t>
            </w:r>
            <w:proofErr w:type="spellEnd"/>
            <w:r w:rsidRPr="00CD6C6B">
              <w:rPr>
                <w:sz w:val="20"/>
                <w:szCs w:val="20"/>
              </w:rPr>
              <w:t xml:space="preserve"> </w:t>
            </w:r>
            <w:proofErr w:type="spellStart"/>
            <w:r w:rsidRPr="00CD6C6B">
              <w:rPr>
                <w:sz w:val="20"/>
                <w:szCs w:val="20"/>
              </w:rPr>
              <w:t>demands</w:t>
            </w:r>
            <w:proofErr w:type="spellEnd"/>
            <w:r w:rsidRPr="00CD6C6B">
              <w:rPr>
                <w:sz w:val="20"/>
                <w:szCs w:val="20"/>
              </w:rPr>
              <w:t xml:space="preserve"> and </w:t>
            </w:r>
            <w:proofErr w:type="spellStart"/>
            <w:r w:rsidRPr="00CD6C6B">
              <w:rPr>
                <w:sz w:val="20"/>
                <w:szCs w:val="20"/>
              </w:rPr>
              <w:t>prudence</w:t>
            </w:r>
            <w:proofErr w:type="spellEnd"/>
            <w:r w:rsidRPr="00CD6C6B">
              <w:rPr>
                <w:sz w:val="20"/>
                <w:szCs w:val="20"/>
              </w:rPr>
              <w:t xml:space="preserve"> </w:t>
            </w:r>
            <w:proofErr w:type="spellStart"/>
            <w:r w:rsidRPr="00CD6C6B">
              <w:rPr>
                <w:sz w:val="20"/>
                <w:szCs w:val="20"/>
              </w:rPr>
              <w:t>dictates</w:t>
            </w:r>
            <w:proofErr w:type="spellEnd"/>
            <w:r w:rsidRPr="00CD6C6B">
              <w:rPr>
                <w:sz w:val="20"/>
                <w:szCs w:val="20"/>
              </w:rPr>
              <w:t>“</w:t>
            </w:r>
            <w:r w:rsidRPr="00CD6C6B">
              <w:rPr>
                <w:sz w:val="20"/>
                <w:szCs w:val="20"/>
                <w:vertAlign w:val="superscript"/>
              </w:rPr>
              <w:footnoteReference w:id="1622"/>
            </w:r>
            <w:r w:rsidRPr="00CD6C6B">
              <w:rPr>
                <w:sz w:val="20"/>
                <w:szCs w:val="20"/>
              </w:rPr>
              <w:t xml:space="preserve">), bis wann ein ordentliches Gericht noch zuständig ist und ab wann </w:t>
            </w:r>
            <w:r>
              <w:rPr>
                <w:sz w:val="20"/>
                <w:szCs w:val="20"/>
              </w:rPr>
              <w:t>z.B.</w:t>
            </w:r>
            <w:r w:rsidRPr="00CD6C6B">
              <w:rPr>
                <w:sz w:val="20"/>
                <w:szCs w:val="20"/>
              </w:rPr>
              <w:t xml:space="preserve"> durch das Kriegsrecht eine anderen Gerichtsfunktion einzurichten sei, wie eine Militärkommission. Dafür bestehen drei kumulative Voraussetzungen, die sich aufgrund des Missbrauchsrisikos als sehr eng verstehen: Erstens sei eine weitere Gerichtsfunktion nur einzurichten, wenn der bisherige Gerichtsapparat kein Sicherheitsempfinden stiften könne und nur ein weiteres Gericht die gesellschaftlichen Sicherheitsanforderungen erfülle („</w:t>
            </w:r>
            <w:proofErr w:type="spellStart"/>
            <w:r w:rsidRPr="00CD6C6B">
              <w:rPr>
                <w:sz w:val="20"/>
                <w:szCs w:val="20"/>
              </w:rPr>
              <w:t>safety</w:t>
            </w:r>
            <w:proofErr w:type="spellEnd"/>
            <w:r w:rsidRPr="00CD6C6B">
              <w:rPr>
                <w:sz w:val="20"/>
                <w:szCs w:val="20"/>
              </w:rPr>
              <w:t xml:space="preserve"> and </w:t>
            </w:r>
            <w:proofErr w:type="spellStart"/>
            <w:r w:rsidRPr="00CD6C6B">
              <w:rPr>
                <w:sz w:val="20"/>
                <w:szCs w:val="20"/>
              </w:rPr>
              <w:t>tranquillity</w:t>
            </w:r>
            <w:proofErr w:type="spellEnd"/>
            <w:r w:rsidRPr="00CD6C6B">
              <w:rPr>
                <w:sz w:val="20"/>
                <w:szCs w:val="20"/>
              </w:rPr>
              <w:t xml:space="preserve"> to the </w:t>
            </w:r>
            <w:proofErr w:type="spellStart"/>
            <w:r w:rsidRPr="00CD6C6B">
              <w:rPr>
                <w:sz w:val="20"/>
                <w:szCs w:val="20"/>
              </w:rPr>
              <w:t>country</w:t>
            </w:r>
            <w:proofErr w:type="spellEnd"/>
            <w:r w:rsidRPr="00CD6C6B">
              <w:rPr>
                <w:sz w:val="20"/>
                <w:szCs w:val="20"/>
              </w:rPr>
              <w:t>“</w:t>
            </w:r>
            <w:r w:rsidRPr="00CD6C6B">
              <w:rPr>
                <w:sz w:val="20"/>
                <w:szCs w:val="20"/>
                <w:vertAlign w:val="superscript"/>
              </w:rPr>
              <w:footnoteReference w:id="1623"/>
            </w:r>
            <w:r w:rsidRPr="00CD6C6B">
              <w:rPr>
                <w:sz w:val="20"/>
                <w:szCs w:val="20"/>
              </w:rPr>
              <w:t xml:space="preserve">). Zweitens: Zwar könne eine ordentliche Gerichtsbarkeit bestehen, aber wenn diese das Rechtsempfinden der Bürger nicht befrieden könne, müsse das Risiko abgewogen werden, dass Bürger selbst richten („an </w:t>
            </w:r>
            <w:proofErr w:type="spellStart"/>
            <w:r w:rsidRPr="00CD6C6B">
              <w:rPr>
                <w:sz w:val="20"/>
                <w:szCs w:val="20"/>
              </w:rPr>
              <w:t>outraged</w:t>
            </w:r>
            <w:proofErr w:type="spellEnd"/>
            <w:r w:rsidRPr="00CD6C6B">
              <w:rPr>
                <w:sz w:val="20"/>
                <w:szCs w:val="20"/>
              </w:rPr>
              <w:t xml:space="preserve"> </w:t>
            </w:r>
            <w:proofErr w:type="spellStart"/>
            <w:r w:rsidRPr="00CD6C6B">
              <w:rPr>
                <w:sz w:val="20"/>
                <w:szCs w:val="20"/>
              </w:rPr>
              <w:t>community</w:t>
            </w:r>
            <w:proofErr w:type="spellEnd"/>
            <w:r w:rsidRPr="00CD6C6B">
              <w:rPr>
                <w:sz w:val="20"/>
                <w:szCs w:val="20"/>
              </w:rPr>
              <w:t xml:space="preserve"> will </w:t>
            </w:r>
            <w:proofErr w:type="spellStart"/>
            <w:r w:rsidRPr="00CD6C6B">
              <w:rPr>
                <w:sz w:val="20"/>
                <w:szCs w:val="20"/>
              </w:rPr>
              <w:t>improvise</w:t>
            </w:r>
            <w:proofErr w:type="spellEnd"/>
            <w:r w:rsidRPr="00CD6C6B">
              <w:rPr>
                <w:sz w:val="20"/>
                <w:szCs w:val="20"/>
              </w:rPr>
              <w:t xml:space="preserve"> </w:t>
            </w:r>
            <w:proofErr w:type="spellStart"/>
            <w:r w:rsidRPr="00CD6C6B">
              <w:rPr>
                <w:sz w:val="20"/>
                <w:szCs w:val="20"/>
              </w:rPr>
              <w:t>some</w:t>
            </w:r>
            <w:proofErr w:type="spellEnd"/>
            <w:r w:rsidRPr="00CD6C6B">
              <w:rPr>
                <w:sz w:val="20"/>
                <w:szCs w:val="20"/>
              </w:rPr>
              <w:t xml:space="preserve"> </w:t>
            </w:r>
            <w:proofErr w:type="spellStart"/>
            <w:r w:rsidRPr="00CD6C6B">
              <w:rPr>
                <w:sz w:val="20"/>
                <w:szCs w:val="20"/>
              </w:rPr>
              <w:t>tribunal</w:t>
            </w:r>
            <w:proofErr w:type="spellEnd"/>
            <w:r w:rsidRPr="00CD6C6B">
              <w:rPr>
                <w:sz w:val="20"/>
                <w:szCs w:val="20"/>
              </w:rPr>
              <w:t>“</w:t>
            </w:r>
            <w:r w:rsidRPr="00CD6C6B">
              <w:rPr>
                <w:sz w:val="20"/>
                <w:szCs w:val="20"/>
                <w:vertAlign w:val="superscript"/>
              </w:rPr>
              <w:t xml:space="preserve"> </w:t>
            </w:r>
            <w:r w:rsidRPr="00CD6C6B">
              <w:rPr>
                <w:sz w:val="20"/>
                <w:szCs w:val="20"/>
                <w:vertAlign w:val="superscript"/>
              </w:rPr>
              <w:footnoteReference w:id="1624"/>
            </w:r>
            <w:r w:rsidRPr="00CD6C6B">
              <w:rPr>
                <w:sz w:val="20"/>
                <w:szCs w:val="20"/>
              </w:rPr>
              <w:t>). Und drittens: Eine spezifische Gerichtszuständigkeit dürfe für den Sachverhalt noch nicht bestehen („</w:t>
            </w:r>
            <w:proofErr w:type="spellStart"/>
            <w:r w:rsidRPr="00CD6C6B">
              <w:rPr>
                <w:sz w:val="20"/>
                <w:szCs w:val="20"/>
              </w:rPr>
              <w:t>tribunal</w:t>
            </w:r>
            <w:proofErr w:type="spellEnd"/>
            <w:r w:rsidRPr="00CD6C6B">
              <w:rPr>
                <w:sz w:val="20"/>
                <w:szCs w:val="20"/>
              </w:rPr>
              <w:t xml:space="preserve"> </w:t>
            </w:r>
            <w:proofErr w:type="spellStart"/>
            <w:r w:rsidRPr="00CD6C6B">
              <w:rPr>
                <w:sz w:val="20"/>
                <w:szCs w:val="20"/>
              </w:rPr>
              <w:t>wholly</w:t>
            </w:r>
            <w:proofErr w:type="spellEnd"/>
            <w:r w:rsidRPr="00CD6C6B">
              <w:rPr>
                <w:sz w:val="20"/>
                <w:szCs w:val="20"/>
              </w:rPr>
              <w:t xml:space="preserve"> </w:t>
            </w:r>
            <w:proofErr w:type="spellStart"/>
            <w:r w:rsidRPr="00CD6C6B">
              <w:rPr>
                <w:sz w:val="20"/>
                <w:szCs w:val="20"/>
              </w:rPr>
              <w:t>unregulated</w:t>
            </w:r>
            <w:proofErr w:type="spellEnd"/>
            <w:r w:rsidRPr="00CD6C6B">
              <w:rPr>
                <w:sz w:val="20"/>
                <w:szCs w:val="20"/>
              </w:rPr>
              <w:t xml:space="preserve"> and </w:t>
            </w:r>
            <w:proofErr w:type="spellStart"/>
            <w:r w:rsidRPr="00CD6C6B">
              <w:rPr>
                <w:sz w:val="20"/>
                <w:szCs w:val="20"/>
              </w:rPr>
              <w:t>which</w:t>
            </w:r>
            <w:proofErr w:type="spellEnd"/>
            <w:r w:rsidRPr="00CD6C6B">
              <w:rPr>
                <w:sz w:val="20"/>
                <w:szCs w:val="20"/>
              </w:rPr>
              <w:t xml:space="preserve"> </w:t>
            </w:r>
            <w:proofErr w:type="spellStart"/>
            <w:r w:rsidRPr="00CD6C6B">
              <w:rPr>
                <w:sz w:val="20"/>
                <w:szCs w:val="20"/>
              </w:rPr>
              <w:t>is</w:t>
            </w:r>
            <w:proofErr w:type="spellEnd"/>
            <w:r w:rsidRPr="00CD6C6B">
              <w:rPr>
                <w:sz w:val="20"/>
                <w:szCs w:val="20"/>
              </w:rPr>
              <w:t xml:space="preserve"> </w:t>
            </w:r>
            <w:proofErr w:type="spellStart"/>
            <w:r w:rsidRPr="00CD6C6B">
              <w:rPr>
                <w:sz w:val="20"/>
                <w:szCs w:val="20"/>
              </w:rPr>
              <w:t>responsible</w:t>
            </w:r>
            <w:proofErr w:type="spellEnd"/>
            <w:r w:rsidRPr="00CD6C6B">
              <w:rPr>
                <w:sz w:val="20"/>
                <w:szCs w:val="20"/>
              </w:rPr>
              <w:t xml:space="preserve"> to </w:t>
            </w:r>
            <w:proofErr w:type="spellStart"/>
            <w:r w:rsidRPr="00CD6C6B">
              <w:rPr>
                <w:sz w:val="20"/>
                <w:szCs w:val="20"/>
              </w:rPr>
              <w:t>no</w:t>
            </w:r>
            <w:proofErr w:type="spellEnd"/>
            <w:r w:rsidRPr="00CD6C6B">
              <w:rPr>
                <w:sz w:val="20"/>
                <w:szCs w:val="20"/>
              </w:rPr>
              <w:t xml:space="preserve"> </w:t>
            </w:r>
            <w:proofErr w:type="spellStart"/>
            <w:r w:rsidRPr="00CD6C6B">
              <w:rPr>
                <w:sz w:val="20"/>
                <w:szCs w:val="20"/>
              </w:rPr>
              <w:t>one</w:t>
            </w:r>
            <w:proofErr w:type="spellEnd"/>
            <w:r w:rsidRPr="00CD6C6B">
              <w:rPr>
                <w:sz w:val="20"/>
                <w:szCs w:val="20"/>
              </w:rPr>
              <w:t>“</w:t>
            </w:r>
            <w:r w:rsidRPr="00CD6C6B">
              <w:rPr>
                <w:sz w:val="20"/>
                <w:szCs w:val="20"/>
                <w:vertAlign w:val="superscript"/>
              </w:rPr>
              <w:footnoteReference w:id="1625"/>
            </w:r>
            <w:r w:rsidRPr="00CD6C6B">
              <w:rPr>
                <w:sz w:val="20"/>
                <w:szCs w:val="20"/>
              </w:rPr>
              <w:t>). Diese kumulativen Voraussetzungen bestätigen sich anhand der sich aus dem Streben nach Glück ergebenden enge</w:t>
            </w:r>
            <w:r>
              <w:rPr>
                <w:sz w:val="20"/>
                <w:szCs w:val="20"/>
              </w:rPr>
              <w:t>n</w:t>
            </w:r>
            <w:r w:rsidRPr="00CD6C6B">
              <w:rPr>
                <w:sz w:val="20"/>
                <w:szCs w:val="20"/>
              </w:rPr>
              <w:t xml:space="preserve"> Formel aus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CD6C6B">
              <w:rPr>
                <w:sz w:val="20"/>
                <w:szCs w:val="20"/>
              </w:rPr>
              <w:t xml:space="preserve">, um Kriegsrecht anzuwenden: Die </w:t>
            </w:r>
            <w:r>
              <w:rPr>
                <w:sz w:val="20"/>
                <w:szCs w:val="20"/>
              </w:rPr>
              <w:t>U.S.</w:t>
            </w:r>
            <w:r w:rsidRPr="00CD6C6B">
              <w:rPr>
                <w:sz w:val="20"/>
                <w:szCs w:val="20"/>
              </w:rPr>
              <w:t xml:space="preserve"> Verfassung gewähre im Frieden und auch im Krieg im Grundsatz den gleichen Schutz aller Menschen und das zu allen Zeiten sowie unter allen Umständen – eine Folge davon: der gleiche Zugang zu ordentlichen Gerichten.</w:t>
            </w:r>
            <w:r w:rsidRPr="00CD6C6B">
              <w:rPr>
                <w:sz w:val="20"/>
                <w:szCs w:val="20"/>
                <w:vertAlign w:val="superscript"/>
              </w:rPr>
              <w:footnoteReference w:id="1626"/>
            </w:r>
          </w:p>
          <w:p w14:paraId="118C41F1" w14:textId="77777777" w:rsidR="00074551" w:rsidRPr="00E50B51" w:rsidRDefault="00074551" w:rsidP="00367133">
            <w:pPr>
              <w:jc w:val="both"/>
              <w:rPr>
                <w:sz w:val="20"/>
                <w:szCs w:val="20"/>
              </w:rPr>
            </w:pPr>
          </w:p>
        </w:tc>
      </w:tr>
      <w:tr w:rsidR="00074551" w:rsidRPr="00E50B51" w14:paraId="67CA2E76" w14:textId="77777777" w:rsidTr="00BE689F">
        <w:trPr>
          <w:cantSplit/>
          <w:trHeight w:val="3175"/>
        </w:trPr>
        <w:tc>
          <w:tcPr>
            <w:tcW w:w="293" w:type="pct"/>
          </w:tcPr>
          <w:p w14:paraId="0B6AA58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55DAE06" w14:textId="77777777" w:rsidR="00074551" w:rsidRPr="00E50B51" w:rsidRDefault="00074551" w:rsidP="00367133">
            <w:pPr>
              <w:ind w:left="113" w:right="416"/>
              <w:jc w:val="both"/>
              <w:rPr>
                <w:sz w:val="20"/>
                <w:szCs w:val="20"/>
              </w:rPr>
            </w:pPr>
            <w:r w:rsidRPr="001F38CE">
              <w:rPr>
                <w:i/>
                <w:sz w:val="20"/>
                <w:szCs w:val="20"/>
              </w:rPr>
              <w:t xml:space="preserve">Fullilove v. </w:t>
            </w:r>
            <w:proofErr w:type="spellStart"/>
            <w:r w:rsidRPr="001F38CE">
              <w:rPr>
                <w:i/>
                <w:sz w:val="20"/>
                <w:szCs w:val="20"/>
              </w:rPr>
              <w:t>Klutznick</w:t>
            </w:r>
            <w:proofErr w:type="spellEnd"/>
          </w:p>
        </w:tc>
        <w:tc>
          <w:tcPr>
            <w:tcW w:w="197" w:type="pct"/>
            <w:textDirection w:val="tbRl"/>
            <w:vAlign w:val="center"/>
          </w:tcPr>
          <w:p w14:paraId="45E9DE91" w14:textId="77777777" w:rsidR="00074551" w:rsidRPr="00E50B51" w:rsidRDefault="00074551" w:rsidP="00367133">
            <w:pPr>
              <w:ind w:left="113" w:right="113"/>
              <w:jc w:val="both"/>
              <w:rPr>
                <w:sz w:val="20"/>
                <w:szCs w:val="20"/>
              </w:rPr>
            </w:pPr>
            <w:r w:rsidRPr="00E50B51">
              <w:rPr>
                <w:sz w:val="20"/>
                <w:szCs w:val="20"/>
                <w:lang w:val="en-US"/>
              </w:rPr>
              <w:t>448 U.S. 448</w:t>
            </w:r>
          </w:p>
        </w:tc>
        <w:tc>
          <w:tcPr>
            <w:tcW w:w="306" w:type="pct"/>
            <w:textDirection w:val="tbRl"/>
            <w:vAlign w:val="center"/>
          </w:tcPr>
          <w:p w14:paraId="380C37F8" w14:textId="77777777" w:rsidR="00074551" w:rsidRPr="00E50B51" w:rsidRDefault="00074551" w:rsidP="00367133">
            <w:pPr>
              <w:ind w:left="113" w:right="113"/>
              <w:jc w:val="both"/>
              <w:rPr>
                <w:sz w:val="20"/>
                <w:szCs w:val="20"/>
              </w:rPr>
            </w:pPr>
            <w:r w:rsidRPr="00E50B51">
              <w:rPr>
                <w:sz w:val="20"/>
                <w:szCs w:val="20"/>
              </w:rPr>
              <w:t>2. Juli 1980</w:t>
            </w:r>
          </w:p>
        </w:tc>
        <w:tc>
          <w:tcPr>
            <w:tcW w:w="401" w:type="pct"/>
          </w:tcPr>
          <w:p w14:paraId="47CBF006" w14:textId="77777777" w:rsidR="00074551" w:rsidRPr="00E50B51" w:rsidRDefault="00074551" w:rsidP="00367133">
            <w:pPr>
              <w:jc w:val="center"/>
              <w:rPr>
                <w:sz w:val="20"/>
                <w:szCs w:val="20"/>
              </w:rPr>
            </w:pPr>
            <w:r w:rsidRPr="00E50B51">
              <w:rPr>
                <w:sz w:val="20"/>
                <w:szCs w:val="20"/>
              </w:rPr>
              <w:t>D</w:t>
            </w:r>
          </w:p>
        </w:tc>
        <w:tc>
          <w:tcPr>
            <w:tcW w:w="1594" w:type="pct"/>
          </w:tcPr>
          <w:p w14:paraId="75C3E23B" w14:textId="77777777" w:rsidR="00074551" w:rsidRPr="00E50B51" w:rsidRDefault="00074551" w:rsidP="00367133">
            <w:pPr>
              <w:jc w:val="both"/>
              <w:rPr>
                <w:sz w:val="20"/>
                <w:szCs w:val="20"/>
              </w:rPr>
            </w:pPr>
            <w:r w:rsidRPr="00E50B51">
              <w:rPr>
                <w:sz w:val="20"/>
                <w:szCs w:val="20"/>
              </w:rPr>
              <w:t>*</w:t>
            </w:r>
          </w:p>
        </w:tc>
        <w:tc>
          <w:tcPr>
            <w:tcW w:w="1822" w:type="pct"/>
          </w:tcPr>
          <w:p w14:paraId="76CAD948" w14:textId="3D432BEB" w:rsidR="00074551" w:rsidRDefault="00074551" w:rsidP="00367133">
            <w:pPr>
              <w:jc w:val="both"/>
              <w:rPr>
                <w:sz w:val="20"/>
                <w:szCs w:val="20"/>
              </w:rPr>
            </w:pPr>
            <w:r w:rsidRPr="00060991">
              <w:rPr>
                <w:sz w:val="20"/>
                <w:szCs w:val="20"/>
              </w:rPr>
              <w:t xml:space="preserve">Der Dissens von Richter </w:t>
            </w:r>
            <w:r w:rsidRPr="5B67C1D2">
              <w:rPr>
                <w:i/>
                <w:iCs/>
                <w:sz w:val="20"/>
                <w:szCs w:val="20"/>
              </w:rPr>
              <w:t>Stevens</w:t>
            </w:r>
            <w:r w:rsidRPr="00060991">
              <w:rPr>
                <w:sz w:val="20"/>
                <w:szCs w:val="20"/>
              </w:rPr>
              <w:t xml:space="preserve"> besprach, dass der Souverän die Pflicht habe, unparteiisch zu regieren („</w:t>
            </w:r>
            <w:proofErr w:type="spellStart"/>
            <w:r w:rsidRPr="00060991">
              <w:rPr>
                <w:sz w:val="20"/>
                <w:szCs w:val="20"/>
              </w:rPr>
              <w:t>sovereign</w:t>
            </w:r>
            <w:proofErr w:type="spellEnd"/>
            <w:r w:rsidRPr="00060991">
              <w:rPr>
                <w:sz w:val="20"/>
                <w:szCs w:val="20"/>
              </w:rPr>
              <w:t xml:space="preserve"> </w:t>
            </w:r>
            <w:proofErr w:type="spellStart"/>
            <w:r w:rsidRPr="00060991">
              <w:rPr>
                <w:sz w:val="20"/>
                <w:szCs w:val="20"/>
              </w:rPr>
              <w:t>has</w:t>
            </w:r>
            <w:proofErr w:type="spellEnd"/>
            <w:r w:rsidRPr="00060991">
              <w:rPr>
                <w:sz w:val="20"/>
                <w:szCs w:val="20"/>
              </w:rPr>
              <w:t xml:space="preserve"> a fundamental </w:t>
            </w:r>
            <w:proofErr w:type="spellStart"/>
            <w:r w:rsidRPr="00060991">
              <w:rPr>
                <w:sz w:val="20"/>
                <w:szCs w:val="20"/>
              </w:rPr>
              <w:t>duty</w:t>
            </w:r>
            <w:proofErr w:type="spellEnd"/>
            <w:r w:rsidRPr="00060991">
              <w:rPr>
                <w:sz w:val="20"/>
                <w:szCs w:val="20"/>
              </w:rPr>
              <w:t xml:space="preserve"> to </w:t>
            </w:r>
            <w:proofErr w:type="spellStart"/>
            <w:r w:rsidRPr="00060991">
              <w:rPr>
                <w:sz w:val="20"/>
                <w:szCs w:val="20"/>
              </w:rPr>
              <w:t>govern</w:t>
            </w:r>
            <w:proofErr w:type="spellEnd"/>
            <w:r w:rsidRPr="00060991">
              <w:rPr>
                <w:sz w:val="20"/>
                <w:szCs w:val="20"/>
              </w:rPr>
              <w:t xml:space="preserve"> </w:t>
            </w:r>
            <w:proofErr w:type="spellStart"/>
            <w:r w:rsidRPr="00060991">
              <w:rPr>
                <w:sz w:val="20"/>
                <w:szCs w:val="20"/>
              </w:rPr>
              <w:t>impartially</w:t>
            </w:r>
            <w:proofErr w:type="spellEnd"/>
            <w:r w:rsidRPr="00060991">
              <w:rPr>
                <w:sz w:val="20"/>
                <w:szCs w:val="20"/>
              </w:rPr>
              <w:t>“</w:t>
            </w:r>
            <w:r w:rsidRPr="00060991">
              <w:rPr>
                <w:sz w:val="20"/>
                <w:szCs w:val="20"/>
                <w:vertAlign w:val="superscript"/>
              </w:rPr>
              <w:footnoteReference w:id="1627"/>
            </w:r>
            <w:r w:rsidRPr="00060991">
              <w:rPr>
                <w:sz w:val="20"/>
                <w:szCs w:val="20"/>
              </w:rPr>
              <w:t>), was sich ableite aus der „</w:t>
            </w:r>
            <w:proofErr w:type="spellStart"/>
            <w:r>
              <w:rPr>
                <w:sz w:val="20"/>
                <w:szCs w:val="20"/>
              </w:rPr>
              <w:t>e</w:t>
            </w:r>
            <w:r w:rsidRPr="00060991">
              <w:rPr>
                <w:sz w:val="20"/>
                <w:szCs w:val="20"/>
              </w:rPr>
              <w:t>qual</w:t>
            </w:r>
            <w:proofErr w:type="spellEnd"/>
            <w:r w:rsidRPr="00060991">
              <w:rPr>
                <w:sz w:val="20"/>
                <w:szCs w:val="20"/>
              </w:rPr>
              <w:t xml:space="preserve"> </w:t>
            </w:r>
            <w:proofErr w:type="spellStart"/>
            <w:r>
              <w:rPr>
                <w:sz w:val="20"/>
                <w:szCs w:val="20"/>
              </w:rPr>
              <w:t>j</w:t>
            </w:r>
            <w:r w:rsidRPr="00060991">
              <w:rPr>
                <w:sz w:val="20"/>
                <w:szCs w:val="20"/>
              </w:rPr>
              <w:t>ustice</w:t>
            </w:r>
            <w:proofErr w:type="spellEnd"/>
            <w:r w:rsidRPr="00060991">
              <w:rPr>
                <w:sz w:val="20"/>
                <w:szCs w:val="20"/>
              </w:rPr>
              <w:t>“</w:t>
            </w:r>
            <w:r w:rsidRPr="00060991">
              <w:rPr>
                <w:sz w:val="20"/>
                <w:szCs w:val="20"/>
                <w:vertAlign w:val="superscript"/>
              </w:rPr>
              <w:t xml:space="preserve"> </w:t>
            </w:r>
            <w:r w:rsidRPr="00060991">
              <w:rPr>
                <w:sz w:val="20"/>
                <w:szCs w:val="20"/>
                <w:vertAlign w:val="superscript"/>
              </w:rPr>
              <w:footnoteReference w:id="1628"/>
            </w:r>
            <w:r w:rsidRPr="00060991">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1B6693">
              <w:rPr>
                <w:sz w:val="20"/>
                <w:szCs w:val="20"/>
                <w:lang w:val="en-IE"/>
              </w:rPr>
              <w:t xml:space="preserve"> und der </w:t>
            </w:r>
            <w:r w:rsidRPr="5B67C1D2">
              <w:rPr>
                <w:i/>
                <w:iCs/>
                <w:sz w:val="20"/>
                <w:szCs w:val="20"/>
                <w:lang w:val="en-IE"/>
              </w:rPr>
              <w:t>Equal Protection Clause</w:t>
            </w:r>
            <w:r w:rsidRPr="001B6693">
              <w:rPr>
                <w:sz w:val="20"/>
                <w:szCs w:val="20"/>
                <w:lang w:val="en-IE"/>
              </w:rPr>
              <w:t xml:space="preserve"> </w:t>
            </w:r>
            <w:proofErr w:type="spellStart"/>
            <w:r w:rsidRPr="001B6693">
              <w:rPr>
                <w:sz w:val="20"/>
                <w:szCs w:val="20"/>
                <w:lang w:val="en-IE"/>
              </w:rPr>
              <w:t>gemäß</w:t>
            </w:r>
            <w:proofErr w:type="spellEnd"/>
            <w:r w:rsidRPr="001B6693">
              <w:rPr>
                <w:sz w:val="20"/>
                <w:szCs w:val="20"/>
                <w:lang w:val="en-IE"/>
              </w:rPr>
              <w:t xml:space="preserve"> </w:t>
            </w:r>
            <w:r w:rsidR="00023A37">
              <w:rPr>
                <w:sz w:val="20"/>
                <w:szCs w:val="20"/>
                <w:lang w:val="en-IE"/>
              </w:rPr>
              <w:t>U.S. Const. amend. XIV.</w:t>
            </w:r>
            <w:r w:rsidRPr="00060991">
              <w:rPr>
                <w:sz w:val="20"/>
                <w:szCs w:val="20"/>
                <w:vertAlign w:val="superscript"/>
              </w:rPr>
              <w:footnoteReference w:id="1629"/>
            </w:r>
            <w:r w:rsidRPr="00060991">
              <w:rPr>
                <w:sz w:val="20"/>
                <w:szCs w:val="20"/>
              </w:rPr>
              <w:t xml:space="preserve"> Aufgrund dieser Unparteilichkeit lehn</w:t>
            </w:r>
            <w:r>
              <w:rPr>
                <w:sz w:val="20"/>
                <w:szCs w:val="20"/>
              </w:rPr>
              <w:t>t</w:t>
            </w:r>
            <w:r w:rsidRPr="00060991">
              <w:rPr>
                <w:sz w:val="20"/>
                <w:szCs w:val="20"/>
              </w:rPr>
              <w:t xml:space="preserve">en die Vereinigten Staaten </w:t>
            </w:r>
            <w:r>
              <w:rPr>
                <w:sz w:val="20"/>
                <w:szCs w:val="20"/>
              </w:rPr>
              <w:t>z.B.</w:t>
            </w:r>
            <w:r w:rsidRPr="00060991">
              <w:rPr>
                <w:sz w:val="20"/>
                <w:szCs w:val="20"/>
              </w:rPr>
              <w:t xml:space="preserve"> Adelstitel ab.</w:t>
            </w:r>
            <w:r w:rsidRPr="00060991">
              <w:rPr>
                <w:sz w:val="20"/>
                <w:szCs w:val="20"/>
                <w:vertAlign w:val="superscript"/>
              </w:rPr>
              <w:footnoteReference w:id="1630"/>
            </w:r>
            <w:r w:rsidRPr="00060991">
              <w:rPr>
                <w:sz w:val="20"/>
                <w:szCs w:val="20"/>
              </w:rPr>
              <w:t xml:space="preserve"> Denn aufgrund der Geburt zu unterscheiden, sei kein legitimer Verfassungszweck</w:t>
            </w:r>
            <w:r>
              <w:rPr>
                <w:sz w:val="20"/>
                <w:szCs w:val="20"/>
              </w:rPr>
              <w:t>,</w:t>
            </w:r>
            <w:r w:rsidRPr="00060991">
              <w:rPr>
                <w:sz w:val="20"/>
                <w:szCs w:val="20"/>
              </w:rPr>
              <w:t xml:space="preserve"> </w:t>
            </w:r>
            <w:r>
              <w:rPr>
                <w:sz w:val="20"/>
                <w:szCs w:val="20"/>
              </w:rPr>
              <w:t>da</w:t>
            </w:r>
            <w:r w:rsidRPr="00060991">
              <w:rPr>
                <w:sz w:val="20"/>
                <w:szCs w:val="20"/>
              </w:rPr>
              <w:t xml:space="preserve"> eine solche Unterscheidung gegen den Gleichheitssatz („</w:t>
            </w:r>
            <w:proofErr w:type="spellStart"/>
            <w:r w:rsidRPr="00060991">
              <w:rPr>
                <w:sz w:val="20"/>
                <w:szCs w:val="20"/>
              </w:rPr>
              <w:t>doctrine</w:t>
            </w:r>
            <w:proofErr w:type="spellEnd"/>
            <w:r w:rsidRPr="00060991">
              <w:rPr>
                <w:sz w:val="20"/>
                <w:szCs w:val="20"/>
              </w:rPr>
              <w:t xml:space="preserve"> of </w:t>
            </w:r>
            <w:proofErr w:type="spellStart"/>
            <w:r w:rsidRPr="00060991">
              <w:rPr>
                <w:sz w:val="20"/>
                <w:szCs w:val="20"/>
              </w:rPr>
              <w:t>equality</w:t>
            </w:r>
            <w:proofErr w:type="spellEnd"/>
            <w:r w:rsidRPr="00060991">
              <w:rPr>
                <w:sz w:val="20"/>
                <w:szCs w:val="20"/>
              </w:rPr>
              <w:t>“</w:t>
            </w:r>
            <w:r w:rsidRPr="00060991">
              <w:rPr>
                <w:sz w:val="20"/>
                <w:szCs w:val="20"/>
                <w:vertAlign w:val="superscript"/>
              </w:rPr>
              <w:footnoteReference w:id="1631"/>
            </w:r>
            <w:r w:rsidRPr="00060991">
              <w:rPr>
                <w:sz w:val="20"/>
                <w:szCs w:val="20"/>
              </w:rPr>
              <w:t>)</w:t>
            </w:r>
            <w:r>
              <w:rPr>
                <w:sz w:val="20"/>
                <w:szCs w:val="20"/>
              </w:rPr>
              <w:t xml:space="preserve"> </w:t>
            </w:r>
            <w:r w:rsidRPr="00060991">
              <w:rPr>
                <w:sz w:val="20"/>
                <w:szCs w:val="20"/>
              </w:rPr>
              <w:t xml:space="preserve">verstoße. Doch woher stammt dieser? Seit der </w:t>
            </w:r>
            <w:r w:rsidRPr="5B67C1D2">
              <w:rPr>
                <w:i/>
                <w:iCs/>
                <w:sz w:val="20"/>
                <w:szCs w:val="20"/>
              </w:rPr>
              <w:t>Declaration of Independence</w:t>
            </w:r>
            <w:r w:rsidRPr="00060991">
              <w:rPr>
                <w:sz w:val="20"/>
                <w:szCs w:val="20"/>
              </w:rPr>
              <w:t xml:space="preserve"> sei eine Bundesregierung zur eigenen Legitimation darauf angewiesen, alle Bürger vor dem Gesetz als gleich geschaffen zu behandeln (</w:t>
            </w:r>
            <w:proofErr w:type="gramStart"/>
            <w:r w:rsidRPr="00060991">
              <w:rPr>
                <w:sz w:val="20"/>
                <w:szCs w:val="20"/>
              </w:rPr>
              <w:t>„</w:t>
            </w:r>
            <w:r>
              <w:rPr>
                <w:sz w:val="20"/>
                <w:szCs w:val="20"/>
              </w:rPr>
              <w:t>,</w:t>
            </w:r>
            <w:r w:rsidRPr="00060991">
              <w:rPr>
                <w:sz w:val="20"/>
                <w:szCs w:val="20"/>
              </w:rPr>
              <w:t>created</w:t>
            </w:r>
            <w:proofErr w:type="gramEnd"/>
            <w:r w:rsidRPr="00060991">
              <w:rPr>
                <w:sz w:val="20"/>
                <w:szCs w:val="20"/>
              </w:rPr>
              <w:t xml:space="preserve"> </w:t>
            </w:r>
            <w:proofErr w:type="spellStart"/>
            <w:r w:rsidRPr="00060991">
              <w:rPr>
                <w:sz w:val="20"/>
                <w:szCs w:val="20"/>
              </w:rPr>
              <w:t>equal</w:t>
            </w:r>
            <w:proofErr w:type="spellEnd"/>
            <w:r>
              <w:rPr>
                <w:sz w:val="20"/>
                <w:szCs w:val="20"/>
              </w:rPr>
              <w:t>‘</w:t>
            </w:r>
            <w:r w:rsidRPr="00060991">
              <w:rPr>
                <w:sz w:val="20"/>
                <w:szCs w:val="20"/>
              </w:rPr>
              <w:t xml:space="preserve"> in the </w:t>
            </w:r>
            <w:proofErr w:type="spellStart"/>
            <w:r w:rsidRPr="00060991">
              <w:rPr>
                <w:sz w:val="20"/>
                <w:szCs w:val="20"/>
              </w:rPr>
              <w:t>eyes</w:t>
            </w:r>
            <w:proofErr w:type="spellEnd"/>
            <w:r w:rsidRPr="00060991">
              <w:rPr>
                <w:sz w:val="20"/>
                <w:szCs w:val="20"/>
              </w:rPr>
              <w:t xml:space="preserve"> of the </w:t>
            </w:r>
            <w:proofErr w:type="spellStart"/>
            <w:r w:rsidRPr="00060991">
              <w:rPr>
                <w:sz w:val="20"/>
                <w:szCs w:val="20"/>
              </w:rPr>
              <w:t>law</w:t>
            </w:r>
            <w:proofErr w:type="spellEnd"/>
            <w:r w:rsidRPr="00060991">
              <w:rPr>
                <w:sz w:val="20"/>
                <w:szCs w:val="20"/>
              </w:rPr>
              <w:t>“</w:t>
            </w:r>
            <w:r w:rsidRPr="00060991">
              <w:rPr>
                <w:sz w:val="20"/>
                <w:szCs w:val="20"/>
                <w:vertAlign w:val="superscript"/>
              </w:rPr>
              <w:footnoteReference w:id="1632"/>
            </w:r>
            <w:r w:rsidRPr="00060991">
              <w:rPr>
                <w:sz w:val="20"/>
                <w:szCs w:val="20"/>
              </w:rPr>
              <w:t xml:space="preserve">). Denn in der </w:t>
            </w:r>
            <w:r w:rsidRPr="5B67C1D2">
              <w:rPr>
                <w:i/>
                <w:iCs/>
                <w:sz w:val="20"/>
                <w:szCs w:val="20"/>
              </w:rPr>
              <w:t>Declaration of Independence</w:t>
            </w:r>
            <w:r w:rsidRPr="00060991">
              <w:rPr>
                <w:sz w:val="20"/>
                <w:szCs w:val="20"/>
              </w:rPr>
              <w:t xml:space="preserve"> </w:t>
            </w:r>
            <w:proofErr w:type="spellStart"/>
            <w:r>
              <w:rPr>
                <w:sz w:val="20"/>
                <w:szCs w:val="20"/>
              </w:rPr>
              <w:t>para</w:t>
            </w:r>
            <w:proofErr w:type="spellEnd"/>
            <w:r w:rsidRPr="00060991">
              <w:rPr>
                <w:sz w:val="20"/>
                <w:szCs w:val="20"/>
              </w:rPr>
              <w:t xml:space="preserve">. 2 heißt es, dass alle Menschen gleich geschaffen </w:t>
            </w:r>
            <w:r>
              <w:rPr>
                <w:sz w:val="20"/>
                <w:szCs w:val="20"/>
              </w:rPr>
              <w:t>sind</w:t>
            </w:r>
            <w:r w:rsidRPr="00060991">
              <w:rPr>
                <w:sz w:val="20"/>
                <w:szCs w:val="20"/>
              </w:rPr>
              <w:t xml:space="preserve"> und sie unveräußerliche Rechte haben, darunter: das Streben nach Glück. Der Sinn und Zweck dieser Regelung, der sich in </w:t>
            </w:r>
            <w:r w:rsidR="00023A37">
              <w:rPr>
                <w:sz w:val="20"/>
                <w:szCs w:val="20"/>
              </w:rPr>
              <w:t xml:space="preserve">U.S. </w:t>
            </w:r>
            <w:proofErr w:type="spellStart"/>
            <w:r w:rsidR="00023A37">
              <w:rPr>
                <w:sz w:val="20"/>
                <w:szCs w:val="20"/>
              </w:rPr>
              <w:t>Const</w:t>
            </w:r>
            <w:proofErr w:type="spellEnd"/>
            <w:r w:rsidR="00023A37">
              <w:rPr>
                <w:sz w:val="20"/>
                <w:szCs w:val="20"/>
              </w:rPr>
              <w:t>. art. I, § 9, cl. 8</w:t>
            </w:r>
            <w:r w:rsidRPr="00060991">
              <w:rPr>
                <w:sz w:val="20"/>
                <w:szCs w:val="20"/>
              </w:rPr>
              <w:t xml:space="preserve"> verfestigte, sei, </w:t>
            </w:r>
            <w:r>
              <w:rPr>
                <w:sz w:val="20"/>
                <w:szCs w:val="20"/>
              </w:rPr>
              <w:t>die</w:t>
            </w:r>
            <w:r w:rsidRPr="00060991">
              <w:rPr>
                <w:sz w:val="20"/>
                <w:szCs w:val="20"/>
              </w:rPr>
              <w:t xml:space="preserve"> Bürger von Geburt an weder nach Vorrechten (</w:t>
            </w:r>
            <w:r>
              <w:rPr>
                <w:sz w:val="20"/>
                <w:szCs w:val="20"/>
              </w:rPr>
              <w:t>z.B.</w:t>
            </w:r>
            <w:r w:rsidRPr="00060991">
              <w:rPr>
                <w:sz w:val="20"/>
                <w:szCs w:val="20"/>
              </w:rPr>
              <w:t xml:space="preserve"> </w:t>
            </w:r>
            <w:r>
              <w:rPr>
                <w:sz w:val="20"/>
                <w:szCs w:val="20"/>
              </w:rPr>
              <w:t>einem</w:t>
            </w:r>
            <w:r w:rsidRPr="00060991">
              <w:rPr>
                <w:sz w:val="20"/>
                <w:szCs w:val="20"/>
              </w:rPr>
              <w:t xml:space="preserve"> Adelstitel) noch Unwürdigkeit (</w:t>
            </w:r>
            <w:r>
              <w:rPr>
                <w:sz w:val="20"/>
                <w:szCs w:val="20"/>
              </w:rPr>
              <w:t>z.B.</w:t>
            </w:r>
            <w:r w:rsidRPr="00060991">
              <w:rPr>
                <w:sz w:val="20"/>
                <w:szCs w:val="20"/>
              </w:rPr>
              <w:t xml:space="preserve"> keine</w:t>
            </w:r>
            <w:r>
              <w:rPr>
                <w:sz w:val="20"/>
                <w:szCs w:val="20"/>
              </w:rPr>
              <w:t>m</w:t>
            </w:r>
            <w:r w:rsidRPr="00060991">
              <w:rPr>
                <w:sz w:val="20"/>
                <w:szCs w:val="20"/>
              </w:rPr>
              <w:t xml:space="preserve"> Adelstitel) zu unterscheiden.</w:t>
            </w:r>
            <w:r w:rsidRPr="00060991">
              <w:rPr>
                <w:sz w:val="20"/>
                <w:szCs w:val="20"/>
                <w:vertAlign w:val="superscript"/>
              </w:rPr>
              <w:footnoteReference w:id="1633"/>
            </w:r>
            <w:r w:rsidRPr="00060991">
              <w:rPr>
                <w:sz w:val="20"/>
                <w:szCs w:val="20"/>
              </w:rPr>
              <w:t xml:space="preserve"> Dieser Hintergrund aus der </w:t>
            </w:r>
            <w:r w:rsidRPr="5B67C1D2">
              <w:rPr>
                <w:i/>
                <w:iCs/>
                <w:sz w:val="20"/>
                <w:szCs w:val="20"/>
              </w:rPr>
              <w:t>Declaration of Independence</w:t>
            </w:r>
            <w:r w:rsidRPr="00060991">
              <w:rPr>
                <w:sz w:val="20"/>
                <w:szCs w:val="20"/>
              </w:rPr>
              <w:t xml:space="preserve"> </w:t>
            </w:r>
            <w:proofErr w:type="spellStart"/>
            <w:r>
              <w:rPr>
                <w:sz w:val="20"/>
                <w:szCs w:val="20"/>
              </w:rPr>
              <w:t>para</w:t>
            </w:r>
            <w:proofErr w:type="spellEnd"/>
            <w:r w:rsidRPr="00060991">
              <w:rPr>
                <w:sz w:val="20"/>
                <w:szCs w:val="20"/>
              </w:rPr>
              <w:t>. 2 und dem gleichen Streben nach Glück liefere noch heute die Begründungskulisse für Verfassungsstreitigkeiten auf Grundlage des Gleichheitssatzes. Letzterer laute entsprechend: Wenn staatliche Maßnahmen Personen unterschiedlich behandeln, dann muss es einen sachlichen Grund dafür geben</w:t>
            </w:r>
            <w:r>
              <w:rPr>
                <w:sz w:val="20"/>
                <w:szCs w:val="20"/>
              </w:rPr>
              <w:t>.</w:t>
            </w:r>
            <w:r w:rsidRPr="00060991">
              <w:rPr>
                <w:sz w:val="20"/>
                <w:szCs w:val="20"/>
                <w:vertAlign w:val="superscript"/>
              </w:rPr>
              <w:footnoteReference w:id="1634"/>
            </w:r>
            <w:r w:rsidRPr="00060991">
              <w:rPr>
                <w:sz w:val="20"/>
                <w:szCs w:val="20"/>
              </w:rPr>
              <w:t xml:space="preserve"> </w:t>
            </w:r>
            <w:r>
              <w:rPr>
                <w:sz w:val="20"/>
                <w:szCs w:val="20"/>
              </w:rPr>
              <w:t>F</w:t>
            </w:r>
            <w:r w:rsidRPr="00060991">
              <w:rPr>
                <w:sz w:val="20"/>
                <w:szCs w:val="20"/>
              </w:rPr>
              <w:t>ür eine ungleiche Behandlung sei die Rasse grundsätzlich kein sachlicher Grund;</w:t>
            </w:r>
            <w:r w:rsidRPr="00060991">
              <w:rPr>
                <w:sz w:val="20"/>
                <w:szCs w:val="20"/>
                <w:vertAlign w:val="superscript"/>
              </w:rPr>
              <w:footnoteReference w:id="1635"/>
            </w:r>
            <w:r w:rsidRPr="00060991">
              <w:rPr>
                <w:sz w:val="20"/>
                <w:szCs w:val="20"/>
              </w:rPr>
              <w:t xml:space="preserve"> denn aufgrund der Rasse unterschiedlich zu behandeln, habe potenziell so erhebliche Schadensfolgen für die Gesamtgesellschaft,</w:t>
            </w:r>
            <w:r w:rsidRPr="00060991">
              <w:rPr>
                <w:sz w:val="20"/>
                <w:szCs w:val="20"/>
                <w:vertAlign w:val="superscript"/>
              </w:rPr>
              <w:footnoteReference w:id="1636"/>
            </w:r>
            <w:r w:rsidRPr="00060991">
              <w:rPr>
                <w:sz w:val="20"/>
                <w:szCs w:val="20"/>
              </w:rPr>
              <w:t xml:space="preserve"> dass ein Grund nicht nur sachlich, sondern auch eng bestimmt und an sich zweifellos sein müsse.</w:t>
            </w:r>
            <w:r w:rsidRPr="00060991">
              <w:rPr>
                <w:sz w:val="20"/>
                <w:szCs w:val="20"/>
                <w:vertAlign w:val="superscript"/>
              </w:rPr>
              <w:footnoteReference w:id="1637"/>
            </w:r>
            <w:r w:rsidRPr="00060991">
              <w:rPr>
                <w:sz w:val="20"/>
                <w:szCs w:val="20"/>
              </w:rPr>
              <w:t xml:space="preserve"> </w:t>
            </w:r>
            <w:r>
              <w:rPr>
                <w:sz w:val="20"/>
                <w:szCs w:val="20"/>
              </w:rPr>
              <w:t>Zum</w:t>
            </w:r>
            <w:r w:rsidRPr="00060991">
              <w:rPr>
                <w:sz w:val="20"/>
                <w:szCs w:val="20"/>
              </w:rPr>
              <w:t xml:space="preserve"> eine</w:t>
            </w:r>
            <w:r>
              <w:rPr>
                <w:sz w:val="20"/>
                <w:szCs w:val="20"/>
              </w:rPr>
              <w:t>n</w:t>
            </w:r>
            <w:r w:rsidRPr="00060991">
              <w:rPr>
                <w:sz w:val="20"/>
                <w:szCs w:val="20"/>
              </w:rPr>
              <w:t xml:space="preserve"> erkläre weder das Gesetz noch die Gesetzesbegründung, warum der Kongress die 10</w:t>
            </w:r>
            <w:r>
              <w:rPr>
                <w:sz w:val="20"/>
                <w:szCs w:val="20"/>
              </w:rPr>
              <w:t>-Prozent-</w:t>
            </w:r>
            <w:r w:rsidRPr="00060991">
              <w:rPr>
                <w:sz w:val="20"/>
                <w:szCs w:val="20"/>
              </w:rPr>
              <w:t>Definition gegenüber einer anderen Unterstützungsmaßnahme für von Minderheiten geführte Unternehmen bei Ausschreibungen bevorzugt habe.</w:t>
            </w:r>
            <w:r w:rsidRPr="00060991">
              <w:rPr>
                <w:sz w:val="20"/>
                <w:szCs w:val="20"/>
                <w:vertAlign w:val="superscript"/>
              </w:rPr>
              <w:footnoteReference w:id="1638"/>
            </w:r>
            <w:r w:rsidRPr="00060991">
              <w:rPr>
                <w:sz w:val="20"/>
                <w:szCs w:val="20"/>
              </w:rPr>
              <w:t xml:space="preserve"> </w:t>
            </w:r>
            <w:r w:rsidR="002F3C98">
              <w:rPr>
                <w:sz w:val="20"/>
                <w:szCs w:val="20"/>
              </w:rPr>
              <w:t>Zum anderen sei auch die</w:t>
            </w:r>
            <w:r w:rsidRPr="00060991">
              <w:rPr>
                <w:sz w:val="20"/>
                <w:szCs w:val="20"/>
              </w:rPr>
              <w:t xml:space="preserve"> genaue Bezifferung der 10</w:t>
            </w:r>
            <w:r>
              <w:rPr>
                <w:sz w:val="20"/>
                <w:szCs w:val="20"/>
              </w:rPr>
              <w:t>-Prozent</w:t>
            </w:r>
            <w:r w:rsidRPr="00060991">
              <w:rPr>
                <w:sz w:val="20"/>
                <w:szCs w:val="20"/>
              </w:rPr>
              <w:t>-Grenze nicht gerechtfertigt</w:t>
            </w:r>
            <w:r>
              <w:rPr>
                <w:sz w:val="20"/>
                <w:szCs w:val="20"/>
              </w:rPr>
              <w:t xml:space="preserve"> worden</w:t>
            </w:r>
            <w:r w:rsidRPr="00060991">
              <w:rPr>
                <w:sz w:val="20"/>
                <w:szCs w:val="20"/>
              </w:rPr>
              <w:t>.</w:t>
            </w:r>
            <w:r w:rsidRPr="00060991">
              <w:rPr>
                <w:sz w:val="20"/>
                <w:szCs w:val="20"/>
                <w:vertAlign w:val="superscript"/>
              </w:rPr>
              <w:footnoteReference w:id="1639"/>
            </w:r>
            <w:r w:rsidRPr="00060991">
              <w:rPr>
                <w:sz w:val="20"/>
                <w:szCs w:val="20"/>
              </w:rPr>
              <w:t xml:space="preserve"> Der Begründungsstrang war v</w:t>
            </w:r>
            <w:r>
              <w:rPr>
                <w:sz w:val="20"/>
                <w:szCs w:val="20"/>
              </w:rPr>
              <w:t>or allem,</w:t>
            </w:r>
            <w:r w:rsidRPr="00060991">
              <w:rPr>
                <w:sz w:val="20"/>
                <w:szCs w:val="20"/>
              </w:rPr>
              <w:t xml:space="preserve"> vergangene rassische Verletzungen wiedergutzumachen („</w:t>
            </w:r>
            <w:proofErr w:type="spellStart"/>
            <w:r w:rsidRPr="00060991">
              <w:rPr>
                <w:sz w:val="20"/>
                <w:szCs w:val="20"/>
              </w:rPr>
              <w:t>reparation</w:t>
            </w:r>
            <w:proofErr w:type="spellEnd"/>
            <w:r w:rsidRPr="00060991">
              <w:rPr>
                <w:sz w:val="20"/>
                <w:szCs w:val="20"/>
              </w:rPr>
              <w:t xml:space="preserve"> for </w:t>
            </w:r>
            <w:proofErr w:type="spellStart"/>
            <w:r w:rsidRPr="00060991">
              <w:rPr>
                <w:sz w:val="20"/>
                <w:szCs w:val="20"/>
              </w:rPr>
              <w:t>past</w:t>
            </w:r>
            <w:proofErr w:type="spellEnd"/>
            <w:r w:rsidRPr="00060991">
              <w:rPr>
                <w:sz w:val="20"/>
                <w:szCs w:val="20"/>
              </w:rPr>
              <w:t xml:space="preserve"> </w:t>
            </w:r>
            <w:proofErr w:type="spellStart"/>
            <w:r w:rsidRPr="00060991">
              <w:rPr>
                <w:sz w:val="20"/>
                <w:szCs w:val="20"/>
              </w:rPr>
              <w:t>injuries</w:t>
            </w:r>
            <w:proofErr w:type="spellEnd"/>
            <w:r w:rsidRPr="00060991">
              <w:rPr>
                <w:sz w:val="20"/>
                <w:szCs w:val="20"/>
              </w:rPr>
              <w:t>“</w:t>
            </w:r>
            <w:r w:rsidRPr="00060991">
              <w:rPr>
                <w:sz w:val="20"/>
                <w:szCs w:val="20"/>
                <w:vertAlign w:val="superscript"/>
              </w:rPr>
              <w:footnoteReference w:id="1640"/>
            </w:r>
            <w:r w:rsidRPr="00060991">
              <w:rPr>
                <w:sz w:val="20"/>
                <w:szCs w:val="20"/>
              </w:rPr>
              <w:t>). Aber dieser Gesetzesakt sei dafür ungeeignet, so der Dissens. Denn die Wiedergutmachung müsse immer an alle Verletzten geschehen, nicht nur an einige,</w:t>
            </w:r>
            <w:r w:rsidRPr="00060991">
              <w:rPr>
                <w:sz w:val="20"/>
                <w:szCs w:val="20"/>
                <w:vertAlign w:val="superscript"/>
              </w:rPr>
              <w:footnoteReference w:id="1641"/>
            </w:r>
            <w:r w:rsidRPr="00060991">
              <w:rPr>
                <w:sz w:val="20"/>
                <w:szCs w:val="20"/>
              </w:rPr>
              <w:t xml:space="preserve"> als sog. klassenübergreifende Wiedergutmachung („</w:t>
            </w:r>
            <w:proofErr w:type="spellStart"/>
            <w:r w:rsidRPr="00060991">
              <w:rPr>
                <w:sz w:val="20"/>
                <w:szCs w:val="20"/>
              </w:rPr>
              <w:t>classwide</w:t>
            </w:r>
            <w:proofErr w:type="spellEnd"/>
            <w:r w:rsidRPr="00060991">
              <w:rPr>
                <w:sz w:val="20"/>
                <w:szCs w:val="20"/>
              </w:rPr>
              <w:t xml:space="preserve"> </w:t>
            </w:r>
            <w:proofErr w:type="spellStart"/>
            <w:r w:rsidRPr="00060991">
              <w:rPr>
                <w:sz w:val="20"/>
                <w:szCs w:val="20"/>
              </w:rPr>
              <w:t>recovery</w:t>
            </w:r>
            <w:proofErr w:type="spellEnd"/>
            <w:r w:rsidRPr="00060991">
              <w:rPr>
                <w:sz w:val="20"/>
                <w:szCs w:val="20"/>
              </w:rPr>
              <w:t>“</w:t>
            </w:r>
            <w:r w:rsidRPr="00060991">
              <w:rPr>
                <w:sz w:val="20"/>
                <w:szCs w:val="20"/>
                <w:vertAlign w:val="superscript"/>
              </w:rPr>
              <w:footnoteReference w:id="1642"/>
            </w:r>
            <w:r w:rsidRPr="00060991">
              <w:rPr>
                <w:sz w:val="20"/>
                <w:szCs w:val="20"/>
              </w:rPr>
              <w:t>).</w:t>
            </w:r>
          </w:p>
          <w:p w14:paraId="5EFE95EB" w14:textId="77777777" w:rsidR="00074551" w:rsidRPr="00E50B51" w:rsidRDefault="00074551" w:rsidP="00367133">
            <w:pPr>
              <w:jc w:val="both"/>
              <w:rPr>
                <w:sz w:val="20"/>
                <w:szCs w:val="20"/>
              </w:rPr>
            </w:pPr>
          </w:p>
        </w:tc>
      </w:tr>
      <w:tr w:rsidR="00074551" w:rsidRPr="004F6665" w14:paraId="1E43C2AE" w14:textId="77777777" w:rsidTr="00BE689F">
        <w:trPr>
          <w:cantSplit/>
          <w:trHeight w:val="3175"/>
        </w:trPr>
        <w:tc>
          <w:tcPr>
            <w:tcW w:w="293" w:type="pct"/>
          </w:tcPr>
          <w:p w14:paraId="526559C1"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53128BE" w14:textId="77777777" w:rsidR="00074551" w:rsidRPr="00B45592" w:rsidRDefault="00074551" w:rsidP="00367133">
            <w:pPr>
              <w:ind w:left="113" w:right="416"/>
              <w:jc w:val="both"/>
              <w:rPr>
                <w:i/>
                <w:sz w:val="20"/>
                <w:szCs w:val="20"/>
                <w:lang w:val="en-US"/>
              </w:rPr>
            </w:pPr>
            <w:r w:rsidRPr="00B45592">
              <w:rPr>
                <w:i/>
                <w:sz w:val="20"/>
                <w:szCs w:val="20"/>
                <w:lang w:val="en-US"/>
              </w:rPr>
              <w:t>Gulf, C. &amp; S. F. R. Co. v. Ellis</w:t>
            </w:r>
          </w:p>
        </w:tc>
        <w:tc>
          <w:tcPr>
            <w:tcW w:w="197" w:type="pct"/>
            <w:textDirection w:val="tbRl"/>
            <w:vAlign w:val="center"/>
          </w:tcPr>
          <w:p w14:paraId="19F4BC85" w14:textId="77777777" w:rsidR="00074551" w:rsidRPr="00E50B51" w:rsidRDefault="00074551" w:rsidP="00367133">
            <w:pPr>
              <w:ind w:left="113" w:right="113"/>
              <w:jc w:val="both"/>
              <w:rPr>
                <w:sz w:val="20"/>
                <w:szCs w:val="20"/>
                <w:lang w:val="en-US"/>
              </w:rPr>
            </w:pPr>
            <w:r w:rsidRPr="00E50B51">
              <w:rPr>
                <w:sz w:val="20"/>
                <w:szCs w:val="20"/>
                <w:lang w:val="en-US"/>
              </w:rPr>
              <w:t>165 U.S. 150</w:t>
            </w:r>
          </w:p>
        </w:tc>
        <w:tc>
          <w:tcPr>
            <w:tcW w:w="306" w:type="pct"/>
            <w:textDirection w:val="tbRl"/>
            <w:vAlign w:val="center"/>
          </w:tcPr>
          <w:p w14:paraId="5CF0F655" w14:textId="77777777" w:rsidR="00074551" w:rsidRPr="00E50B51" w:rsidRDefault="00074551" w:rsidP="00367133">
            <w:pPr>
              <w:ind w:left="113" w:right="113"/>
              <w:jc w:val="both"/>
              <w:rPr>
                <w:sz w:val="20"/>
                <w:szCs w:val="20"/>
                <w:lang w:val="en-US"/>
              </w:rPr>
            </w:pPr>
            <w:r w:rsidRPr="00E50B51">
              <w:rPr>
                <w:sz w:val="20"/>
                <w:szCs w:val="20"/>
                <w:lang w:val="en-US"/>
              </w:rPr>
              <w:t xml:space="preserve">18. </w:t>
            </w:r>
            <w:proofErr w:type="spellStart"/>
            <w:r w:rsidRPr="00E50B51">
              <w:rPr>
                <w:sz w:val="20"/>
                <w:szCs w:val="20"/>
                <w:lang w:val="en-US"/>
              </w:rPr>
              <w:t>Januar</w:t>
            </w:r>
            <w:proofErr w:type="spellEnd"/>
            <w:r w:rsidRPr="00E50B51">
              <w:rPr>
                <w:sz w:val="20"/>
                <w:szCs w:val="20"/>
                <w:lang w:val="en-US"/>
              </w:rPr>
              <w:t xml:space="preserve"> 1897</w:t>
            </w:r>
          </w:p>
        </w:tc>
        <w:tc>
          <w:tcPr>
            <w:tcW w:w="401" w:type="pct"/>
          </w:tcPr>
          <w:p w14:paraId="232707AD"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2B5E47CC" w14:textId="462D19AD" w:rsidR="00074551" w:rsidRPr="00E50B51" w:rsidRDefault="00074551" w:rsidP="00367133">
            <w:pPr>
              <w:jc w:val="both"/>
              <w:rPr>
                <w:sz w:val="20"/>
                <w:szCs w:val="20"/>
              </w:rPr>
            </w:pPr>
            <w:r w:rsidRPr="00E50B51">
              <w:rPr>
                <w:sz w:val="20"/>
                <w:szCs w:val="20"/>
              </w:rPr>
              <w:t xml:space="preserve">Im Fall gewährten die unteren Instanzen einem Kläger 50 Dollar sowie 10 Dollar Anwaltsgebühren nach dem Tex. </w:t>
            </w:r>
            <w:proofErr w:type="spellStart"/>
            <w:r w:rsidRPr="00E50B51">
              <w:rPr>
                <w:sz w:val="20"/>
                <w:szCs w:val="20"/>
              </w:rPr>
              <w:t>Civ</w:t>
            </w:r>
            <w:proofErr w:type="spellEnd"/>
            <w:r w:rsidRPr="00E50B51">
              <w:rPr>
                <w:sz w:val="20"/>
                <w:szCs w:val="20"/>
              </w:rPr>
              <w:t xml:space="preserve">. Stat. Ann. </w:t>
            </w:r>
            <w:r>
              <w:rPr>
                <w:sz w:val="20"/>
                <w:szCs w:val="20"/>
              </w:rPr>
              <w:t>§</w:t>
            </w:r>
            <w:r w:rsidRPr="00E50B51">
              <w:rPr>
                <w:sz w:val="20"/>
                <w:szCs w:val="20"/>
              </w:rPr>
              <w:t xml:space="preserve"> 4566a, p. 768</w:t>
            </w:r>
            <w:r>
              <w:rPr>
                <w:sz w:val="20"/>
                <w:szCs w:val="20"/>
              </w:rPr>
              <w:t>.</w:t>
            </w:r>
            <w:r>
              <w:rPr>
                <w:rStyle w:val="Funotenzeichen"/>
                <w:sz w:val="20"/>
                <w:szCs w:val="20"/>
              </w:rPr>
              <w:footnoteReference w:id="1643"/>
            </w:r>
            <w:r w:rsidRPr="00E50B51">
              <w:rPr>
                <w:sz w:val="20"/>
                <w:szCs w:val="20"/>
              </w:rPr>
              <w:t xml:space="preserve"> Die 60 Dollar hatte eine Eisenbahngesellschaft als Beklagte zu zahlen, weil eine Eisenbahn ein Pferd des Klägers tödlich überfahren hatte. Der </w:t>
            </w:r>
            <w:r>
              <w:rPr>
                <w:sz w:val="20"/>
                <w:szCs w:val="20"/>
              </w:rPr>
              <w:t>U.S. Supreme Court</w:t>
            </w:r>
            <w:r w:rsidRPr="00E50B51">
              <w:rPr>
                <w:sz w:val="20"/>
                <w:szCs w:val="20"/>
              </w:rPr>
              <w:t xml:space="preserve"> hob die Verurteilung der Eisenbahngesellschaft hinsichtlich der 10 Dollar Anwaltsgebühr auf. Denn diese beruhe auf einem Gesetz zur Kostenverteilung (Tex. </w:t>
            </w:r>
            <w:proofErr w:type="spellStart"/>
            <w:r w:rsidRPr="00E50B51">
              <w:rPr>
                <w:sz w:val="20"/>
                <w:szCs w:val="20"/>
              </w:rPr>
              <w:t>Civ</w:t>
            </w:r>
            <w:proofErr w:type="spellEnd"/>
            <w:r w:rsidRPr="00E50B51">
              <w:rPr>
                <w:sz w:val="20"/>
                <w:szCs w:val="20"/>
              </w:rPr>
              <w:t xml:space="preserve">. Stat. Ann. </w:t>
            </w:r>
            <w:r>
              <w:rPr>
                <w:sz w:val="20"/>
                <w:szCs w:val="20"/>
              </w:rPr>
              <w:t>§</w:t>
            </w:r>
            <w:r w:rsidRPr="00E50B51">
              <w:rPr>
                <w:sz w:val="20"/>
                <w:szCs w:val="20"/>
              </w:rPr>
              <w:t xml:space="preserve"> 4566a, p. 768.), das nur zum Kostenersatz hinsichtlich der Anwaltsgebühr verpflichtet habe, weil die Beklagte eine Eisenbahngesellschaft sei – und wofür sie auch keinen Ausgleich erhalten habe. Deshalb verstoße das Gesetz gegen das Recht auf Gleichbehandlung</w:t>
            </w:r>
            <w:r>
              <w:rPr>
                <w:sz w:val="20"/>
                <w:szCs w:val="20"/>
              </w:rPr>
              <w:t xml:space="preserve">, die sog.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Pr>
                <w:sz w:val="20"/>
                <w:szCs w:val="20"/>
              </w:rPr>
              <w:t>,</w:t>
            </w:r>
            <w:r w:rsidRPr="00E50B51">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5B67C1D2">
              <w:rPr>
                <w:rStyle w:val="Funotenzeichen"/>
                <w:rFonts w:eastAsiaTheme="majorEastAsia"/>
                <w:sz w:val="20"/>
                <w:szCs w:val="20"/>
              </w:rPr>
              <w:footnoteReference w:id="1644"/>
            </w:r>
          </w:p>
          <w:p w14:paraId="5AF52FAE" w14:textId="77777777" w:rsidR="00074551" w:rsidRPr="00E50B51" w:rsidRDefault="00074551" w:rsidP="00367133">
            <w:pPr>
              <w:jc w:val="both"/>
              <w:rPr>
                <w:sz w:val="20"/>
                <w:szCs w:val="20"/>
                <w:lang w:val="en-US"/>
              </w:rPr>
            </w:pPr>
          </w:p>
        </w:tc>
        <w:tc>
          <w:tcPr>
            <w:tcW w:w="1822" w:type="pct"/>
          </w:tcPr>
          <w:p w14:paraId="0B33067F" w14:textId="444B2E73" w:rsidR="00074551" w:rsidRDefault="00074551" w:rsidP="00367133">
            <w:pPr>
              <w:jc w:val="both"/>
              <w:rPr>
                <w:sz w:val="20"/>
                <w:szCs w:val="20"/>
                <w:lang w:val="en-IE"/>
              </w:rPr>
            </w:pPr>
            <w:r w:rsidRPr="00131E19">
              <w:rPr>
                <w:sz w:val="20"/>
                <w:szCs w:val="20"/>
              </w:rPr>
              <w:t xml:space="preserve">Einen Prüfungsmaßstab bildete der </w:t>
            </w:r>
            <w:r>
              <w:rPr>
                <w:sz w:val="20"/>
                <w:szCs w:val="20"/>
              </w:rPr>
              <w:t>U.S. Supreme Court</w:t>
            </w:r>
            <w:r w:rsidRPr="00131E19">
              <w:rPr>
                <w:sz w:val="20"/>
                <w:szCs w:val="20"/>
              </w:rPr>
              <w:t xml:space="preserve"> anhand des Strebens nach Glück, einem Grundprinzip und Fundament des Rechtssystems der Vereinigten Staaten, das für jeden gleich zugänglich zu sein habe. Der Maßstab laute</w:t>
            </w:r>
            <w:r>
              <w:rPr>
                <w:sz w:val="20"/>
                <w:szCs w:val="20"/>
              </w:rPr>
              <w:t>te</w:t>
            </w:r>
            <w:r w:rsidRPr="00131E19">
              <w:rPr>
                <w:sz w:val="20"/>
                <w:szCs w:val="20"/>
              </w:rPr>
              <w:t xml:space="preserve">: Eine willkürliche Auswahl </w:t>
            </w:r>
            <w:r>
              <w:rPr>
                <w:sz w:val="20"/>
                <w:szCs w:val="20"/>
              </w:rPr>
              <w:t>könne</w:t>
            </w:r>
            <w:r w:rsidRPr="00131E19">
              <w:rPr>
                <w:sz w:val="20"/>
                <w:szCs w:val="20"/>
              </w:rPr>
              <w:t xml:space="preserve"> sich nicht als bloße Klassifikation rechtfertigen; dies untersage schon die Gleichbehandlung („</w:t>
            </w:r>
            <w:proofErr w:type="spellStart"/>
            <w:r w:rsidRPr="00131E19">
              <w:rPr>
                <w:sz w:val="20"/>
                <w:szCs w:val="20"/>
              </w:rPr>
              <w:t>equal</w:t>
            </w:r>
            <w:proofErr w:type="spellEnd"/>
            <w:r w:rsidRPr="00131E19">
              <w:rPr>
                <w:sz w:val="20"/>
                <w:szCs w:val="20"/>
              </w:rPr>
              <w:t xml:space="preserve"> </w:t>
            </w:r>
            <w:proofErr w:type="spellStart"/>
            <w:r w:rsidRPr="00131E19">
              <w:rPr>
                <w:sz w:val="20"/>
                <w:szCs w:val="20"/>
              </w:rPr>
              <w:t>protection</w:t>
            </w:r>
            <w:proofErr w:type="spellEnd"/>
            <w:r w:rsidRPr="00131E19">
              <w:rPr>
                <w:sz w:val="20"/>
                <w:szCs w:val="20"/>
              </w:rPr>
              <w:t xml:space="preserv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31E19">
              <w:rPr>
                <w:sz w:val="20"/>
                <w:szCs w:val="20"/>
              </w:rPr>
              <w:t xml:space="preserve"> Doch wie kam es zu diesem Maßstab? Der </w:t>
            </w:r>
            <w:r>
              <w:rPr>
                <w:sz w:val="20"/>
                <w:szCs w:val="20"/>
              </w:rPr>
              <w:t>U.S. Supreme Court</w:t>
            </w:r>
            <w:r w:rsidRPr="00131E19">
              <w:rPr>
                <w:sz w:val="20"/>
                <w:szCs w:val="20"/>
              </w:rPr>
              <w:t xml:space="preserve"> zitiert z.B</w:t>
            </w:r>
            <w:r>
              <w:rPr>
                <w:sz w:val="20"/>
                <w:szCs w:val="20"/>
              </w:rPr>
              <w:t>.</w:t>
            </w:r>
            <w:r w:rsidRPr="00131E19">
              <w:rPr>
                <w:sz w:val="20"/>
                <w:szCs w:val="20"/>
              </w:rPr>
              <w:t xml:space="preserve"> Richter </w:t>
            </w:r>
            <w:r w:rsidRPr="5B67C1D2">
              <w:rPr>
                <w:i/>
                <w:iCs/>
                <w:sz w:val="20"/>
                <w:szCs w:val="20"/>
              </w:rPr>
              <w:t>Matthews</w:t>
            </w:r>
            <w:r w:rsidRPr="00131E19">
              <w:rPr>
                <w:sz w:val="20"/>
                <w:szCs w:val="20"/>
              </w:rPr>
              <w:t xml:space="preserve"> aus </w:t>
            </w:r>
            <w:r w:rsidRPr="5B67C1D2">
              <w:rPr>
                <w:i/>
                <w:iCs/>
                <w:sz w:val="20"/>
                <w:szCs w:val="20"/>
              </w:rPr>
              <w:t>Yick Wo v. Hopkins</w:t>
            </w:r>
            <w:r w:rsidRPr="00131E19">
              <w:rPr>
                <w:sz w:val="20"/>
                <w:szCs w:val="20"/>
              </w:rPr>
              <w:t>.</w:t>
            </w:r>
            <w:r w:rsidRPr="00131E19">
              <w:rPr>
                <w:sz w:val="20"/>
                <w:szCs w:val="20"/>
                <w:vertAlign w:val="superscript"/>
              </w:rPr>
              <w:footnoteReference w:id="1645"/>
            </w:r>
            <w:r w:rsidRPr="00131E19">
              <w:rPr>
                <w:sz w:val="20"/>
                <w:szCs w:val="20"/>
              </w:rPr>
              <w:t xml:space="preserve"> </w:t>
            </w:r>
            <w:proofErr w:type="gramStart"/>
            <w:r w:rsidRPr="00131E19">
              <w:rPr>
                <w:sz w:val="20"/>
                <w:szCs w:val="20"/>
              </w:rPr>
              <w:t>Dort</w:t>
            </w:r>
            <w:proofErr w:type="gramEnd"/>
            <w:r w:rsidRPr="00131E19">
              <w:rPr>
                <w:sz w:val="20"/>
                <w:szCs w:val="20"/>
              </w:rPr>
              <w:t xml:space="preserve"> hieß es, die Natur und die theoretische Herkunft der Regierungsinstitutionen, worauf die Grundprinzipien der Vereinigten Staat beruh</w:t>
            </w:r>
            <w:r>
              <w:rPr>
                <w:sz w:val="20"/>
                <w:szCs w:val="20"/>
              </w:rPr>
              <w:t>t</w:t>
            </w:r>
            <w:r w:rsidRPr="00131E19">
              <w:rPr>
                <w:sz w:val="20"/>
                <w:szCs w:val="20"/>
              </w:rPr>
              <w:t xml:space="preserve">en, </w:t>
            </w:r>
            <w:r>
              <w:rPr>
                <w:sz w:val="20"/>
                <w:szCs w:val="20"/>
              </w:rPr>
              <w:t>ließen</w:t>
            </w:r>
            <w:r w:rsidRPr="00131E19">
              <w:rPr>
                <w:sz w:val="20"/>
                <w:szCs w:val="20"/>
              </w:rPr>
              <w:t xml:space="preserve"> keinen Raum für Willkür. Das zeige schon die </w:t>
            </w:r>
            <w:r w:rsidRPr="5B67C1D2">
              <w:rPr>
                <w:i/>
                <w:iCs/>
                <w:sz w:val="20"/>
                <w:szCs w:val="20"/>
              </w:rPr>
              <w:t>Declaration of Independence</w:t>
            </w:r>
            <w:r w:rsidRPr="00131E19">
              <w:rPr>
                <w:sz w:val="20"/>
                <w:szCs w:val="20"/>
              </w:rPr>
              <w:t xml:space="preserve"> als erste Regierungshandlung. Die erkläre das Fundament („</w:t>
            </w:r>
            <w:proofErr w:type="spellStart"/>
            <w:r w:rsidRPr="00131E19">
              <w:rPr>
                <w:sz w:val="20"/>
                <w:szCs w:val="20"/>
              </w:rPr>
              <w:t>foundation</w:t>
            </w:r>
            <w:proofErr w:type="spellEnd"/>
            <w:r w:rsidRPr="00131E19">
              <w:rPr>
                <w:sz w:val="20"/>
                <w:szCs w:val="20"/>
              </w:rPr>
              <w:t xml:space="preserve"> of </w:t>
            </w:r>
            <w:proofErr w:type="spellStart"/>
            <w:r w:rsidRPr="00131E19">
              <w:rPr>
                <w:sz w:val="20"/>
                <w:szCs w:val="20"/>
              </w:rPr>
              <w:t>government</w:t>
            </w:r>
            <w:proofErr w:type="spellEnd"/>
            <w:r w:rsidRPr="00131E19">
              <w:rPr>
                <w:sz w:val="20"/>
                <w:szCs w:val="20"/>
              </w:rPr>
              <w:t>“</w:t>
            </w:r>
            <w:r w:rsidRPr="00131E19">
              <w:rPr>
                <w:sz w:val="20"/>
                <w:szCs w:val="20"/>
                <w:vertAlign w:val="superscript"/>
              </w:rPr>
              <w:footnoteReference w:id="1646"/>
            </w:r>
            <w:r w:rsidRPr="00131E19">
              <w:rPr>
                <w:sz w:val="20"/>
                <w:szCs w:val="20"/>
              </w:rPr>
              <w:t>) und die Grundprinzipien („</w:t>
            </w:r>
            <w:proofErr w:type="spellStart"/>
            <w:r w:rsidRPr="00131E19">
              <w:rPr>
                <w:sz w:val="20"/>
                <w:szCs w:val="20"/>
              </w:rPr>
              <w:t>declaration</w:t>
            </w:r>
            <w:proofErr w:type="spellEnd"/>
            <w:r w:rsidRPr="00131E19">
              <w:rPr>
                <w:sz w:val="20"/>
                <w:szCs w:val="20"/>
              </w:rPr>
              <w:t xml:space="preserve"> of </w:t>
            </w:r>
            <w:proofErr w:type="spellStart"/>
            <w:r w:rsidRPr="00131E19">
              <w:rPr>
                <w:sz w:val="20"/>
                <w:szCs w:val="20"/>
              </w:rPr>
              <w:t>principles</w:t>
            </w:r>
            <w:proofErr w:type="spellEnd"/>
            <w:r w:rsidRPr="00131E19">
              <w:rPr>
                <w:sz w:val="20"/>
                <w:szCs w:val="20"/>
              </w:rPr>
              <w:t>“</w:t>
            </w:r>
            <w:r w:rsidRPr="00131E19">
              <w:rPr>
                <w:sz w:val="20"/>
                <w:szCs w:val="20"/>
                <w:vertAlign w:val="superscript"/>
              </w:rPr>
              <w:footnoteReference w:id="1647"/>
            </w:r>
            <w:r w:rsidRPr="00131E19">
              <w:rPr>
                <w:sz w:val="20"/>
                <w:szCs w:val="20"/>
              </w:rPr>
              <w:t>) der Vereinigten Staaten. Beides präge sich wie folgt aus: Alle Menschen seien gleich geschaffen, sie alle seien daher mit bestimmten unveräußerlichen Rechten ausgestattet, darunter das Streben nach Glück. Zwar unterscheide sich die Wirkung der Grundprinzipien („</w:t>
            </w:r>
            <w:proofErr w:type="spellStart"/>
            <w:r w:rsidRPr="00131E19">
              <w:rPr>
                <w:sz w:val="20"/>
                <w:szCs w:val="20"/>
              </w:rPr>
              <w:t>declaration</w:t>
            </w:r>
            <w:proofErr w:type="spellEnd"/>
            <w:r w:rsidRPr="00131E19">
              <w:rPr>
                <w:sz w:val="20"/>
                <w:szCs w:val="20"/>
              </w:rPr>
              <w:t xml:space="preserve"> of </w:t>
            </w:r>
            <w:proofErr w:type="spellStart"/>
            <w:r w:rsidRPr="00131E19">
              <w:rPr>
                <w:sz w:val="20"/>
                <w:szCs w:val="20"/>
              </w:rPr>
              <w:t>principles</w:t>
            </w:r>
            <w:proofErr w:type="spellEnd"/>
            <w:r w:rsidRPr="00131E19">
              <w:rPr>
                <w:sz w:val="20"/>
                <w:szCs w:val="20"/>
              </w:rPr>
              <w:t>“</w:t>
            </w:r>
            <w:r w:rsidRPr="00131E19">
              <w:rPr>
                <w:sz w:val="20"/>
                <w:szCs w:val="20"/>
                <w:vertAlign w:val="superscript"/>
              </w:rPr>
              <w:footnoteReference w:id="1648"/>
            </w:r>
            <w:r w:rsidRPr="00131E19">
              <w:rPr>
                <w:sz w:val="20"/>
                <w:szCs w:val="20"/>
              </w:rPr>
              <w:t>) von der Wirkung des organischen Rechts („</w:t>
            </w:r>
            <w:proofErr w:type="spellStart"/>
            <w:r w:rsidRPr="00131E19">
              <w:rPr>
                <w:sz w:val="20"/>
                <w:szCs w:val="20"/>
              </w:rPr>
              <w:t>organic</w:t>
            </w:r>
            <w:proofErr w:type="spellEnd"/>
            <w:r w:rsidRPr="00131E19">
              <w:rPr>
                <w:sz w:val="20"/>
                <w:szCs w:val="20"/>
              </w:rPr>
              <w:t xml:space="preserve"> </w:t>
            </w:r>
            <w:proofErr w:type="spellStart"/>
            <w:r w:rsidRPr="00131E19">
              <w:rPr>
                <w:sz w:val="20"/>
                <w:szCs w:val="20"/>
              </w:rPr>
              <w:t>law</w:t>
            </w:r>
            <w:proofErr w:type="spellEnd"/>
            <w:r w:rsidRPr="00131E19">
              <w:rPr>
                <w:sz w:val="20"/>
                <w:szCs w:val="20"/>
              </w:rPr>
              <w:t>“</w:t>
            </w:r>
            <w:r w:rsidRPr="00131E19">
              <w:rPr>
                <w:sz w:val="20"/>
                <w:szCs w:val="20"/>
                <w:vertAlign w:val="superscript"/>
              </w:rPr>
              <w:footnoteReference w:id="1649"/>
            </w:r>
            <w:r w:rsidRPr="00131E19">
              <w:rPr>
                <w:sz w:val="20"/>
                <w:szCs w:val="20"/>
              </w:rPr>
              <w:t>). Und Gerichte könn</w:t>
            </w:r>
            <w:r>
              <w:rPr>
                <w:sz w:val="20"/>
                <w:szCs w:val="20"/>
              </w:rPr>
              <w:t>t</w:t>
            </w:r>
            <w:r w:rsidRPr="00131E19">
              <w:rPr>
                <w:sz w:val="20"/>
                <w:szCs w:val="20"/>
              </w:rPr>
              <w:t>en die Grundprinzipien nicht alleinig ihrer Entscheidung über die Grenzen von Recht und Pflicht zugrunde</w:t>
            </w:r>
            <w:r>
              <w:rPr>
                <w:sz w:val="20"/>
                <w:szCs w:val="20"/>
              </w:rPr>
              <w:t xml:space="preserve"> </w:t>
            </w:r>
            <w:r w:rsidRPr="00131E19">
              <w:rPr>
                <w:sz w:val="20"/>
                <w:szCs w:val="20"/>
              </w:rPr>
              <w:t xml:space="preserve">legen. </w:t>
            </w:r>
            <w:proofErr w:type="spellStart"/>
            <w:r w:rsidRPr="00131E19">
              <w:rPr>
                <w:sz w:val="20"/>
                <w:szCs w:val="20"/>
                <w:lang w:val="en-US"/>
              </w:rPr>
              <w:t>Dafür</w:t>
            </w:r>
            <w:proofErr w:type="spellEnd"/>
            <w:r w:rsidRPr="00131E19">
              <w:rPr>
                <w:sz w:val="20"/>
                <w:szCs w:val="20"/>
                <w:lang w:val="en-US"/>
              </w:rPr>
              <w:t xml:space="preserve"> </w:t>
            </w:r>
            <w:proofErr w:type="spellStart"/>
            <w:r w:rsidRPr="00131E19">
              <w:rPr>
                <w:sz w:val="20"/>
                <w:szCs w:val="20"/>
                <w:lang w:val="en-US"/>
              </w:rPr>
              <w:t>bedürfe</w:t>
            </w:r>
            <w:proofErr w:type="spellEnd"/>
            <w:r w:rsidRPr="00131E19">
              <w:rPr>
                <w:sz w:val="20"/>
                <w:szCs w:val="20"/>
                <w:lang w:val="en-US"/>
              </w:rPr>
              <w:t xml:space="preserve"> es </w:t>
            </w:r>
            <w:proofErr w:type="spellStart"/>
            <w:r w:rsidRPr="00131E19">
              <w:rPr>
                <w:sz w:val="20"/>
                <w:szCs w:val="20"/>
                <w:lang w:val="en-US"/>
              </w:rPr>
              <w:t>organische</w:t>
            </w:r>
            <w:r>
              <w:rPr>
                <w:sz w:val="20"/>
                <w:szCs w:val="20"/>
                <w:lang w:val="en-US"/>
              </w:rPr>
              <w:t>r</w:t>
            </w:r>
            <w:proofErr w:type="spellEnd"/>
            <w:r w:rsidRPr="00131E19">
              <w:rPr>
                <w:sz w:val="20"/>
                <w:szCs w:val="20"/>
                <w:lang w:val="en-US"/>
              </w:rPr>
              <w:t xml:space="preserve"> Rechte („in all cases reference must be had to the organic </w:t>
            </w:r>
            <w:proofErr w:type="gramStart"/>
            <w:r w:rsidRPr="00131E19">
              <w:rPr>
                <w:sz w:val="20"/>
                <w:szCs w:val="20"/>
                <w:lang w:val="en-US"/>
              </w:rPr>
              <w:t>law“</w:t>
            </w:r>
            <w:proofErr w:type="gramEnd"/>
            <w:r w:rsidRPr="00131E19">
              <w:rPr>
                <w:sz w:val="20"/>
                <w:szCs w:val="20"/>
                <w:vertAlign w:val="superscript"/>
                <w:lang w:val="en-US"/>
              </w:rPr>
              <w:footnoteReference w:id="1650"/>
            </w:r>
            <w:r w:rsidRPr="00131E19">
              <w:rPr>
                <w:sz w:val="20"/>
                <w:szCs w:val="20"/>
                <w:lang w:val="en-US"/>
              </w:rPr>
              <w:t xml:space="preserve">). </w:t>
            </w:r>
            <w:r w:rsidRPr="00131E19">
              <w:rPr>
                <w:sz w:val="20"/>
                <w:szCs w:val="20"/>
              </w:rPr>
              <w:t xml:space="preserve">Doch organische Rechte wie die </w:t>
            </w:r>
            <w:r>
              <w:rPr>
                <w:sz w:val="20"/>
                <w:szCs w:val="20"/>
              </w:rPr>
              <w:t>U.S.</w:t>
            </w:r>
            <w:r w:rsidRPr="00131E19">
              <w:rPr>
                <w:sz w:val="20"/>
                <w:szCs w:val="20"/>
              </w:rPr>
              <w:t xml:space="preserve"> </w:t>
            </w:r>
            <w:proofErr w:type="spellStart"/>
            <w:r w:rsidRPr="00131E19">
              <w:rPr>
                <w:sz w:val="20"/>
                <w:szCs w:val="20"/>
              </w:rPr>
              <w:t>Const</w:t>
            </w:r>
            <w:proofErr w:type="spellEnd"/>
            <w:r w:rsidRPr="00131E19">
              <w:rPr>
                <w:sz w:val="20"/>
                <w:szCs w:val="20"/>
              </w:rPr>
              <w:t>. bilde</w:t>
            </w:r>
            <w:r>
              <w:rPr>
                <w:sz w:val="20"/>
                <w:szCs w:val="20"/>
              </w:rPr>
              <w:t>te</w:t>
            </w:r>
            <w:r w:rsidRPr="00131E19">
              <w:rPr>
                <w:sz w:val="20"/>
                <w:szCs w:val="20"/>
              </w:rPr>
              <w:t xml:space="preserve">n – metaphorisch gesprochen – nur den Körper und den Buchstaben. Die </w:t>
            </w:r>
            <w:r w:rsidRPr="5B67C1D2">
              <w:rPr>
                <w:i/>
                <w:iCs/>
                <w:sz w:val="20"/>
                <w:szCs w:val="20"/>
              </w:rPr>
              <w:t>Declaration of Independence</w:t>
            </w:r>
            <w:r w:rsidRPr="00131E19">
              <w:rPr>
                <w:sz w:val="20"/>
                <w:szCs w:val="20"/>
              </w:rPr>
              <w:t xml:space="preserve"> bilde</w:t>
            </w:r>
            <w:r>
              <w:rPr>
                <w:sz w:val="20"/>
                <w:szCs w:val="20"/>
              </w:rPr>
              <w:t xml:space="preserve"> aber</w:t>
            </w:r>
            <w:r w:rsidRPr="00131E19">
              <w:rPr>
                <w:sz w:val="20"/>
                <w:szCs w:val="20"/>
              </w:rPr>
              <w:t xml:space="preserve"> vom Körper den Geist und vom Buchstaben den Gedanken. Damit obliege den Gerichten keine </w:t>
            </w:r>
            <w:proofErr w:type="spellStart"/>
            <w:r w:rsidRPr="00131E19">
              <w:rPr>
                <w:sz w:val="20"/>
                <w:szCs w:val="20"/>
              </w:rPr>
              <w:t>zwingendere</w:t>
            </w:r>
            <w:proofErr w:type="spellEnd"/>
            <w:r w:rsidRPr="00131E19">
              <w:rPr>
                <w:sz w:val="20"/>
                <w:szCs w:val="20"/>
              </w:rPr>
              <w:t xml:space="preserve"> Aufgabe als </w:t>
            </w:r>
            <w:r>
              <w:rPr>
                <w:sz w:val="20"/>
                <w:szCs w:val="20"/>
              </w:rPr>
              <w:t xml:space="preserve">die, jene </w:t>
            </w:r>
            <w:r w:rsidRPr="00131E19">
              <w:rPr>
                <w:sz w:val="20"/>
                <w:szCs w:val="20"/>
              </w:rPr>
              <w:t>Grundprinzipien auch durchzusetzen („</w:t>
            </w:r>
            <w:proofErr w:type="spellStart"/>
            <w:r w:rsidRPr="00131E19">
              <w:rPr>
                <w:sz w:val="20"/>
                <w:szCs w:val="20"/>
              </w:rPr>
              <w:t>No</w:t>
            </w:r>
            <w:proofErr w:type="spellEnd"/>
            <w:r w:rsidRPr="00131E19">
              <w:rPr>
                <w:sz w:val="20"/>
                <w:szCs w:val="20"/>
              </w:rPr>
              <w:t xml:space="preserve"> </w:t>
            </w:r>
            <w:proofErr w:type="spellStart"/>
            <w:r w:rsidRPr="00131E19">
              <w:rPr>
                <w:sz w:val="20"/>
                <w:szCs w:val="20"/>
              </w:rPr>
              <w:t>duty</w:t>
            </w:r>
            <w:proofErr w:type="spellEnd"/>
            <w:r w:rsidRPr="00131E19">
              <w:rPr>
                <w:sz w:val="20"/>
                <w:szCs w:val="20"/>
              </w:rPr>
              <w:t xml:space="preserve"> </w:t>
            </w:r>
            <w:proofErr w:type="spellStart"/>
            <w:r w:rsidRPr="00131E19">
              <w:rPr>
                <w:sz w:val="20"/>
                <w:szCs w:val="20"/>
              </w:rPr>
              <w:t>rests</w:t>
            </w:r>
            <w:proofErr w:type="spellEnd"/>
            <w:r w:rsidRPr="00131E19">
              <w:rPr>
                <w:sz w:val="20"/>
                <w:szCs w:val="20"/>
              </w:rPr>
              <w:t xml:space="preserve"> </w:t>
            </w:r>
            <w:proofErr w:type="spellStart"/>
            <w:r w:rsidRPr="00131E19">
              <w:rPr>
                <w:sz w:val="20"/>
                <w:szCs w:val="20"/>
              </w:rPr>
              <w:t>more</w:t>
            </w:r>
            <w:proofErr w:type="spellEnd"/>
            <w:r w:rsidRPr="00131E19">
              <w:rPr>
                <w:sz w:val="20"/>
                <w:szCs w:val="20"/>
              </w:rPr>
              <w:t xml:space="preserve"> </w:t>
            </w:r>
            <w:proofErr w:type="spellStart"/>
            <w:r w:rsidRPr="00131E19">
              <w:rPr>
                <w:sz w:val="20"/>
                <w:szCs w:val="20"/>
              </w:rPr>
              <w:t>imperatively</w:t>
            </w:r>
            <w:proofErr w:type="spellEnd"/>
            <w:r w:rsidRPr="00131E19">
              <w:rPr>
                <w:sz w:val="20"/>
                <w:szCs w:val="20"/>
              </w:rPr>
              <w:t xml:space="preserve"> upon the </w:t>
            </w:r>
            <w:proofErr w:type="spellStart"/>
            <w:r w:rsidRPr="00131E19">
              <w:rPr>
                <w:sz w:val="20"/>
                <w:szCs w:val="20"/>
              </w:rPr>
              <w:t>courts</w:t>
            </w:r>
            <w:proofErr w:type="spellEnd"/>
            <w:r w:rsidRPr="00131E19">
              <w:rPr>
                <w:sz w:val="20"/>
                <w:szCs w:val="20"/>
              </w:rPr>
              <w:t xml:space="preserve"> </w:t>
            </w:r>
            <w:proofErr w:type="spellStart"/>
            <w:r w:rsidRPr="00131E19">
              <w:rPr>
                <w:sz w:val="20"/>
                <w:szCs w:val="20"/>
              </w:rPr>
              <w:t>than</w:t>
            </w:r>
            <w:proofErr w:type="spellEnd"/>
            <w:r w:rsidRPr="00131E19">
              <w:rPr>
                <w:sz w:val="20"/>
                <w:szCs w:val="20"/>
              </w:rPr>
              <w:t xml:space="preserve"> the </w:t>
            </w:r>
            <w:proofErr w:type="spellStart"/>
            <w:r w:rsidRPr="00131E19">
              <w:rPr>
                <w:sz w:val="20"/>
                <w:szCs w:val="20"/>
              </w:rPr>
              <w:t>enforcement</w:t>
            </w:r>
            <w:proofErr w:type="spellEnd"/>
            <w:r w:rsidRPr="00131E19">
              <w:rPr>
                <w:sz w:val="20"/>
                <w:szCs w:val="20"/>
              </w:rPr>
              <w:t xml:space="preserve"> of </w:t>
            </w:r>
            <w:proofErr w:type="spellStart"/>
            <w:r w:rsidRPr="00131E19">
              <w:rPr>
                <w:sz w:val="20"/>
                <w:szCs w:val="20"/>
              </w:rPr>
              <w:t>those</w:t>
            </w:r>
            <w:proofErr w:type="spellEnd"/>
            <w:r w:rsidRPr="00131E19">
              <w:rPr>
                <w:sz w:val="20"/>
                <w:szCs w:val="20"/>
              </w:rPr>
              <w:t xml:space="preserve"> </w:t>
            </w:r>
            <w:proofErr w:type="spellStart"/>
            <w:r w:rsidRPr="00131E19">
              <w:rPr>
                <w:sz w:val="20"/>
                <w:szCs w:val="20"/>
              </w:rPr>
              <w:t>constitutional</w:t>
            </w:r>
            <w:proofErr w:type="spellEnd"/>
            <w:r w:rsidRPr="00131E19">
              <w:rPr>
                <w:sz w:val="20"/>
                <w:szCs w:val="20"/>
              </w:rPr>
              <w:t xml:space="preserve"> </w:t>
            </w:r>
            <w:proofErr w:type="spellStart"/>
            <w:r w:rsidRPr="00131E19">
              <w:rPr>
                <w:sz w:val="20"/>
                <w:szCs w:val="20"/>
              </w:rPr>
              <w:t>provisions</w:t>
            </w:r>
            <w:proofErr w:type="spellEnd"/>
            <w:r w:rsidRPr="00131E19">
              <w:rPr>
                <w:sz w:val="20"/>
                <w:szCs w:val="20"/>
              </w:rPr>
              <w:t>“</w:t>
            </w:r>
            <w:r w:rsidRPr="00131E19">
              <w:rPr>
                <w:sz w:val="20"/>
                <w:szCs w:val="20"/>
                <w:vertAlign w:val="superscript"/>
              </w:rPr>
              <w:footnoteReference w:id="1651"/>
            </w:r>
            <w:r w:rsidRPr="00131E19">
              <w:rPr>
                <w:sz w:val="20"/>
                <w:szCs w:val="20"/>
              </w:rPr>
              <w:t>), die auch die Gleichheit der Rechte („</w:t>
            </w:r>
            <w:proofErr w:type="spellStart"/>
            <w:r w:rsidRPr="00131E19">
              <w:rPr>
                <w:sz w:val="20"/>
                <w:szCs w:val="20"/>
              </w:rPr>
              <w:t>equality</w:t>
            </w:r>
            <w:proofErr w:type="spellEnd"/>
            <w:r w:rsidRPr="00131E19">
              <w:rPr>
                <w:sz w:val="20"/>
                <w:szCs w:val="20"/>
              </w:rPr>
              <w:t xml:space="preserve"> of </w:t>
            </w:r>
            <w:proofErr w:type="spellStart"/>
            <w:r w:rsidRPr="00131E19">
              <w:rPr>
                <w:sz w:val="20"/>
                <w:szCs w:val="20"/>
              </w:rPr>
              <w:t>rights</w:t>
            </w:r>
            <w:proofErr w:type="spellEnd"/>
            <w:r w:rsidRPr="00131E19">
              <w:rPr>
                <w:sz w:val="20"/>
                <w:szCs w:val="20"/>
              </w:rPr>
              <w:t>“</w:t>
            </w:r>
            <w:r w:rsidRPr="00131E19">
              <w:rPr>
                <w:sz w:val="20"/>
                <w:szCs w:val="20"/>
                <w:vertAlign w:val="superscript"/>
              </w:rPr>
              <w:footnoteReference w:id="1652"/>
            </w:r>
            <w:r w:rsidRPr="00131E19">
              <w:rPr>
                <w:sz w:val="20"/>
                <w:szCs w:val="20"/>
              </w:rPr>
              <w:t>) sichern soll</w:t>
            </w:r>
            <w:r>
              <w:rPr>
                <w:sz w:val="20"/>
                <w:szCs w:val="20"/>
              </w:rPr>
              <w:t>t</w:t>
            </w:r>
            <w:r w:rsidRPr="00131E19">
              <w:rPr>
                <w:sz w:val="20"/>
                <w:szCs w:val="20"/>
              </w:rPr>
              <w:t xml:space="preserve">en wie das unveräußerliche Recht auf ein Streben nach Glück. </w:t>
            </w:r>
            <w:proofErr w:type="spellStart"/>
            <w:r w:rsidRPr="00B45592">
              <w:rPr>
                <w:sz w:val="20"/>
                <w:szCs w:val="20"/>
                <w:lang w:val="en-IE"/>
              </w:rPr>
              <w:t>Diese</w:t>
            </w:r>
            <w:proofErr w:type="spellEnd"/>
            <w:r w:rsidRPr="00B45592">
              <w:rPr>
                <w:sz w:val="20"/>
                <w:szCs w:val="20"/>
                <w:lang w:val="en-IE"/>
              </w:rPr>
              <w:t xml:space="preserve"> </w:t>
            </w:r>
            <w:proofErr w:type="spellStart"/>
            <w:r w:rsidRPr="00B45592">
              <w:rPr>
                <w:sz w:val="20"/>
                <w:szCs w:val="20"/>
                <w:lang w:val="en-IE"/>
              </w:rPr>
              <w:t>seien</w:t>
            </w:r>
            <w:proofErr w:type="spellEnd"/>
            <w:r w:rsidRPr="00B45592">
              <w:rPr>
                <w:sz w:val="20"/>
                <w:szCs w:val="20"/>
                <w:lang w:val="en-IE"/>
              </w:rPr>
              <w:t xml:space="preserve"> das Fundament </w:t>
            </w:r>
            <w:proofErr w:type="spellStart"/>
            <w:r w:rsidRPr="00B45592">
              <w:rPr>
                <w:sz w:val="20"/>
                <w:szCs w:val="20"/>
                <w:lang w:val="en-IE"/>
              </w:rPr>
              <w:t>einer</w:t>
            </w:r>
            <w:proofErr w:type="spellEnd"/>
            <w:r w:rsidRPr="00B45592">
              <w:rPr>
                <w:sz w:val="20"/>
                <w:szCs w:val="20"/>
                <w:lang w:val="en-IE"/>
              </w:rPr>
              <w:t xml:space="preserve"> </w:t>
            </w:r>
            <w:proofErr w:type="spellStart"/>
            <w:r w:rsidRPr="00B45592">
              <w:rPr>
                <w:sz w:val="20"/>
                <w:szCs w:val="20"/>
                <w:lang w:val="en-IE"/>
              </w:rPr>
              <w:t>freien</w:t>
            </w:r>
            <w:proofErr w:type="spellEnd"/>
            <w:r w:rsidRPr="00B45592">
              <w:rPr>
                <w:sz w:val="20"/>
                <w:szCs w:val="20"/>
                <w:lang w:val="en-IE"/>
              </w:rPr>
              <w:t xml:space="preserve"> </w:t>
            </w:r>
            <w:proofErr w:type="spellStart"/>
            <w:r w:rsidRPr="00B45592">
              <w:rPr>
                <w:sz w:val="20"/>
                <w:szCs w:val="20"/>
                <w:lang w:val="en-IE"/>
              </w:rPr>
              <w:t>Regierung</w:t>
            </w:r>
            <w:proofErr w:type="spellEnd"/>
            <w:r w:rsidRPr="00B45592">
              <w:rPr>
                <w:sz w:val="20"/>
                <w:szCs w:val="20"/>
                <w:lang w:val="en-IE"/>
              </w:rPr>
              <w:t xml:space="preserve"> („which is the foundation of free government“</w:t>
            </w:r>
            <w:r w:rsidRPr="00131E19">
              <w:rPr>
                <w:sz w:val="20"/>
                <w:szCs w:val="20"/>
                <w:vertAlign w:val="superscript"/>
              </w:rPr>
              <w:footnoteReference w:id="1653"/>
            </w:r>
            <w:r w:rsidRPr="00B45592">
              <w:rPr>
                <w:sz w:val="20"/>
                <w:szCs w:val="20"/>
                <w:lang w:val="en-IE"/>
              </w:rPr>
              <w:t>).</w:t>
            </w:r>
          </w:p>
          <w:p w14:paraId="3F8CF946" w14:textId="77777777" w:rsidR="00074551" w:rsidRPr="00E50B51" w:rsidRDefault="00074551" w:rsidP="00367133">
            <w:pPr>
              <w:jc w:val="both"/>
              <w:rPr>
                <w:sz w:val="20"/>
                <w:szCs w:val="20"/>
                <w:lang w:val="en-US"/>
              </w:rPr>
            </w:pPr>
          </w:p>
        </w:tc>
      </w:tr>
      <w:tr w:rsidR="00074551" w:rsidRPr="00E50B51" w14:paraId="23A3115A" w14:textId="77777777" w:rsidTr="00BE689F">
        <w:trPr>
          <w:cantSplit/>
          <w:trHeight w:val="3175"/>
        </w:trPr>
        <w:tc>
          <w:tcPr>
            <w:tcW w:w="293" w:type="pct"/>
          </w:tcPr>
          <w:p w14:paraId="2890554B"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424EE0B" w14:textId="77777777" w:rsidR="00074551" w:rsidRPr="00E50B51" w:rsidRDefault="00074551" w:rsidP="00367133">
            <w:pPr>
              <w:ind w:left="113" w:right="416"/>
              <w:jc w:val="both"/>
              <w:rPr>
                <w:sz w:val="20"/>
                <w:szCs w:val="20"/>
                <w:lang w:val="en-US"/>
              </w:rPr>
            </w:pPr>
            <w:r w:rsidRPr="009E57E1">
              <w:rPr>
                <w:i/>
                <w:sz w:val="20"/>
                <w:szCs w:val="20"/>
                <w:lang w:val="en-US"/>
              </w:rPr>
              <w:t>Lawrence v. Texas</w:t>
            </w:r>
          </w:p>
        </w:tc>
        <w:tc>
          <w:tcPr>
            <w:tcW w:w="197" w:type="pct"/>
            <w:textDirection w:val="tbRl"/>
            <w:vAlign w:val="center"/>
          </w:tcPr>
          <w:p w14:paraId="57CD06FE" w14:textId="77777777" w:rsidR="00074551" w:rsidRPr="00E50B51" w:rsidRDefault="00074551" w:rsidP="00367133">
            <w:pPr>
              <w:ind w:left="113" w:right="113"/>
              <w:jc w:val="both"/>
              <w:rPr>
                <w:sz w:val="20"/>
                <w:szCs w:val="20"/>
                <w:lang w:val="en-US"/>
              </w:rPr>
            </w:pPr>
            <w:r w:rsidRPr="00E50B51">
              <w:rPr>
                <w:sz w:val="20"/>
                <w:szCs w:val="20"/>
                <w:lang w:val="en-US"/>
              </w:rPr>
              <w:t>539 U.S. 558</w:t>
            </w:r>
          </w:p>
        </w:tc>
        <w:tc>
          <w:tcPr>
            <w:tcW w:w="306" w:type="pct"/>
            <w:textDirection w:val="tbRl"/>
            <w:vAlign w:val="center"/>
          </w:tcPr>
          <w:p w14:paraId="6F9226CC" w14:textId="77777777" w:rsidR="00074551" w:rsidRPr="00E50B51" w:rsidRDefault="00074551" w:rsidP="00367133">
            <w:pPr>
              <w:ind w:left="113" w:right="113"/>
              <w:jc w:val="both"/>
              <w:rPr>
                <w:sz w:val="20"/>
                <w:szCs w:val="20"/>
                <w:lang w:val="en-US"/>
              </w:rPr>
            </w:pPr>
            <w:r w:rsidRPr="00E50B51">
              <w:rPr>
                <w:sz w:val="20"/>
                <w:szCs w:val="20"/>
                <w:lang w:val="en-US"/>
              </w:rPr>
              <w:t>26. Juni 2003</w:t>
            </w:r>
          </w:p>
        </w:tc>
        <w:tc>
          <w:tcPr>
            <w:tcW w:w="401" w:type="pct"/>
          </w:tcPr>
          <w:p w14:paraId="54E748DC"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47E2F737" w14:textId="77777777" w:rsidR="00074551" w:rsidRPr="00E50B51" w:rsidRDefault="00074551" w:rsidP="00367133">
            <w:pPr>
              <w:jc w:val="both"/>
              <w:rPr>
                <w:sz w:val="20"/>
                <w:szCs w:val="20"/>
              </w:rPr>
            </w:pPr>
            <w:r w:rsidRPr="00E50B51">
              <w:rPr>
                <w:sz w:val="20"/>
                <w:szCs w:val="20"/>
              </w:rPr>
              <w:t>*</w:t>
            </w:r>
          </w:p>
          <w:p w14:paraId="6932C3E8" w14:textId="77777777" w:rsidR="00074551" w:rsidRPr="00E50B51" w:rsidRDefault="00074551" w:rsidP="00367133">
            <w:pPr>
              <w:jc w:val="both"/>
              <w:rPr>
                <w:sz w:val="20"/>
                <w:szCs w:val="20"/>
              </w:rPr>
            </w:pPr>
          </w:p>
        </w:tc>
        <w:tc>
          <w:tcPr>
            <w:tcW w:w="1822" w:type="pct"/>
          </w:tcPr>
          <w:p w14:paraId="5B928DB2" w14:textId="5B338057" w:rsidR="00074551" w:rsidRPr="00895EFF" w:rsidRDefault="00074551" w:rsidP="00367133">
            <w:pPr>
              <w:jc w:val="both"/>
              <w:rPr>
                <w:sz w:val="20"/>
                <w:szCs w:val="20"/>
                <w:lang w:val="en-US"/>
              </w:rPr>
            </w:pPr>
            <w:r w:rsidRPr="00144F8E">
              <w:rPr>
                <w:sz w:val="20"/>
                <w:szCs w:val="20"/>
              </w:rPr>
              <w:t>Zu den Bedingungen von Glück gehöre das dogmatische Verständ</w:t>
            </w:r>
            <w:r>
              <w:rPr>
                <w:sz w:val="20"/>
                <w:szCs w:val="20"/>
              </w:rPr>
              <w:t>n</w:t>
            </w:r>
            <w:r w:rsidRPr="00144F8E">
              <w:rPr>
                <w:sz w:val="20"/>
                <w:szCs w:val="20"/>
              </w:rPr>
              <w:t xml:space="preserve">is </w:t>
            </w:r>
            <w:r>
              <w:rPr>
                <w:sz w:val="20"/>
                <w:szCs w:val="20"/>
              </w:rPr>
              <w:t>von</w:t>
            </w:r>
            <w:r w:rsidRPr="00144F8E">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44F8E">
              <w:rPr>
                <w:sz w:val="20"/>
                <w:szCs w:val="20"/>
                <w:lang w:val="en-US"/>
              </w:rPr>
              <w:t xml:space="preserve">, so der Dissens („doctrine known as </w:t>
            </w:r>
            <w:r>
              <w:rPr>
                <w:sz w:val="20"/>
                <w:szCs w:val="20"/>
                <w:lang w:val="en-US"/>
              </w:rPr>
              <w:t>,</w:t>
            </w:r>
            <w:r w:rsidRPr="00144F8E">
              <w:rPr>
                <w:sz w:val="20"/>
                <w:szCs w:val="20"/>
                <w:lang w:val="en-US"/>
              </w:rPr>
              <w:t>substantive due process</w:t>
            </w:r>
            <w:r>
              <w:rPr>
                <w:sz w:val="20"/>
                <w:szCs w:val="20"/>
                <w:lang w:val="en-US"/>
              </w:rPr>
              <w:t>‘</w:t>
            </w:r>
            <w:r w:rsidRPr="00144F8E">
              <w:rPr>
                <w:sz w:val="20"/>
                <w:szCs w:val="20"/>
                <w:lang w:val="en-US"/>
              </w:rPr>
              <w:t xml:space="preserve"> hold that the Due Process Clause prohibits States from infringing </w:t>
            </w:r>
            <w:r w:rsidRPr="5B67C1D2">
              <w:rPr>
                <w:i/>
                <w:iCs/>
                <w:sz w:val="20"/>
                <w:szCs w:val="20"/>
                <w:lang w:val="en-US"/>
              </w:rPr>
              <w:t>fundamental</w:t>
            </w:r>
            <w:r w:rsidRPr="00144F8E">
              <w:rPr>
                <w:sz w:val="20"/>
                <w:szCs w:val="20"/>
                <w:lang w:val="en-US"/>
              </w:rPr>
              <w:t> liberty interests</w:t>
            </w:r>
            <w:r>
              <w:rPr>
                <w:sz w:val="20"/>
                <w:szCs w:val="20"/>
                <w:lang w:val="en-US"/>
              </w:rPr>
              <w:t>“;</w:t>
            </w:r>
            <w:r w:rsidRPr="00144F8E">
              <w:rPr>
                <w:sz w:val="20"/>
                <w:szCs w:val="20"/>
                <w:vertAlign w:val="superscript"/>
              </w:rPr>
              <w:footnoteReference w:id="1654"/>
            </w:r>
            <w:r w:rsidRPr="00144F8E">
              <w:rPr>
                <w:sz w:val="20"/>
                <w:szCs w:val="20"/>
                <w:lang w:val="en-US"/>
              </w:rPr>
              <w:t xml:space="preserve"> </w:t>
            </w:r>
            <w:r>
              <w:rPr>
                <w:sz w:val="20"/>
                <w:szCs w:val="20"/>
                <w:lang w:val="en-US"/>
              </w:rPr>
              <w:t>„</w:t>
            </w:r>
            <w:r w:rsidRPr="00144F8E">
              <w:rPr>
                <w:sz w:val="20"/>
                <w:szCs w:val="20"/>
                <w:lang w:val="en-US"/>
              </w:rPr>
              <w:t>those privileges long recognized at common law as essential to the orderly pursuit of happiness by free men“</w:t>
            </w:r>
            <w:r w:rsidRPr="00144F8E">
              <w:rPr>
                <w:sz w:val="20"/>
                <w:szCs w:val="20"/>
                <w:vertAlign w:val="superscript"/>
              </w:rPr>
              <w:footnoteReference w:id="1655"/>
            </w:r>
            <w:r w:rsidRPr="00144F8E">
              <w:rPr>
                <w:sz w:val="20"/>
                <w:szCs w:val="20"/>
                <w:lang w:val="en-US"/>
              </w:rPr>
              <w:t>).</w:t>
            </w:r>
            <w:r w:rsidR="00895EFF" w:rsidRPr="00895EFF">
              <w:rPr>
                <w:sz w:val="20"/>
                <w:szCs w:val="20"/>
              </w:rPr>
              <w:t>Zum Verständnis des Dissenses sind zunächst drei Aussagen der Mehrheitsmeinung des U.S. Supreme Court zum Verhältnis von Freiheit und Gleichbehandlung hervorzuheben:</w:t>
            </w:r>
            <w:r w:rsidR="00895EFF">
              <w:rPr>
                <w:sz w:val="20"/>
                <w:szCs w:val="20"/>
                <w:lang w:val="en-US"/>
              </w:rPr>
              <w:t xml:space="preserve"> </w:t>
            </w:r>
            <w:r w:rsidRPr="00144F8E">
              <w:rPr>
                <w:sz w:val="20"/>
                <w:szCs w:val="20"/>
              </w:rPr>
              <w:t xml:space="preserve">erstens: Erwachsene können eine persönliche Beziehung in ihrer Wohnung oder im Privatleben eingehen als Ausdruck der Würde als freier Mensch. Und das gelte auch, wenn die Erwachsenen eine intime Beziehung eingehen. Der Freiheitsschutz des Einzelnen bestehe. In einem Fall gebe er homosexuellen Menschen das Recht, die Entscheidung </w:t>
            </w:r>
            <w:r>
              <w:rPr>
                <w:sz w:val="20"/>
                <w:szCs w:val="20"/>
              </w:rPr>
              <w:t xml:space="preserve">für </w:t>
            </w:r>
            <w:r w:rsidRPr="00144F8E">
              <w:rPr>
                <w:sz w:val="20"/>
                <w:szCs w:val="20"/>
              </w:rPr>
              <w:t>eine intime Beziehung zu treffen.</w:t>
            </w:r>
            <w:r w:rsidRPr="00144F8E">
              <w:rPr>
                <w:sz w:val="20"/>
                <w:szCs w:val="20"/>
                <w:vertAlign w:val="superscript"/>
              </w:rPr>
              <w:footnoteReference w:id="1656"/>
            </w:r>
            <w:r w:rsidRPr="00144F8E">
              <w:rPr>
                <w:sz w:val="20"/>
                <w:szCs w:val="20"/>
              </w:rPr>
              <w:t xml:space="preserve"> Zweitens: Die Aufgabe des </w:t>
            </w:r>
            <w:r>
              <w:rPr>
                <w:sz w:val="20"/>
                <w:szCs w:val="20"/>
              </w:rPr>
              <w:t>U.S. Supreme Court</w:t>
            </w:r>
            <w:r w:rsidRPr="00144F8E">
              <w:rPr>
                <w:sz w:val="20"/>
                <w:szCs w:val="20"/>
              </w:rPr>
              <w:t xml:space="preserve"> sei, die Freiheit aller zu definieren und zu schützen, aber nicht einen Moralkodex vorzugeben.</w:t>
            </w:r>
            <w:r w:rsidRPr="00144F8E">
              <w:rPr>
                <w:sz w:val="20"/>
                <w:szCs w:val="20"/>
                <w:vertAlign w:val="superscript"/>
              </w:rPr>
              <w:footnoteReference w:id="1657"/>
            </w:r>
            <w:r w:rsidRPr="00144F8E">
              <w:rPr>
                <w:sz w:val="20"/>
                <w:szCs w:val="20"/>
              </w:rPr>
              <w:t xml:space="preserve"> Und drittens: Gleichbehandlung („</w:t>
            </w:r>
            <w:proofErr w:type="spellStart"/>
            <w:r w:rsidRPr="00144F8E">
              <w:rPr>
                <w:sz w:val="20"/>
                <w:szCs w:val="20"/>
              </w:rPr>
              <w:t>Equality</w:t>
            </w:r>
            <w:proofErr w:type="spellEnd"/>
            <w:r w:rsidRPr="00144F8E">
              <w:rPr>
                <w:sz w:val="20"/>
                <w:szCs w:val="20"/>
              </w:rPr>
              <w:t xml:space="preserve"> of </w:t>
            </w:r>
            <w:proofErr w:type="spellStart"/>
            <w:r w:rsidRPr="00144F8E">
              <w:rPr>
                <w:sz w:val="20"/>
                <w:szCs w:val="20"/>
              </w:rPr>
              <w:t>treatment</w:t>
            </w:r>
            <w:proofErr w:type="spellEnd"/>
            <w:r w:rsidRPr="00144F8E">
              <w:rPr>
                <w:sz w:val="20"/>
                <w:szCs w:val="20"/>
              </w:rPr>
              <w:t>“</w:t>
            </w:r>
            <w:r w:rsidRPr="00144F8E">
              <w:rPr>
                <w:sz w:val="20"/>
                <w:szCs w:val="20"/>
                <w:vertAlign w:val="superscript"/>
              </w:rPr>
              <w:footnoteReference w:id="1658"/>
            </w:r>
            <w:r w:rsidRPr="00144F8E">
              <w:rPr>
                <w:sz w:val="20"/>
                <w:szCs w:val="20"/>
              </w:rPr>
              <w:t>) und das Recht auf Achtung der materielle</w:t>
            </w:r>
            <w:r>
              <w:rPr>
                <w:sz w:val="20"/>
                <w:szCs w:val="20"/>
              </w:rPr>
              <w:t>n</w:t>
            </w:r>
            <w:r w:rsidRPr="00144F8E">
              <w:rPr>
                <w:sz w:val="20"/>
                <w:szCs w:val="20"/>
              </w:rPr>
              <w:t xml:space="preserve"> Freiheitsgarantie („</w:t>
            </w:r>
            <w:proofErr w:type="spellStart"/>
            <w:r w:rsidRPr="00144F8E">
              <w:rPr>
                <w:sz w:val="20"/>
                <w:szCs w:val="20"/>
              </w:rPr>
              <w:t>substantive</w:t>
            </w:r>
            <w:proofErr w:type="spellEnd"/>
            <w:r w:rsidRPr="00144F8E">
              <w:rPr>
                <w:sz w:val="20"/>
                <w:szCs w:val="20"/>
              </w:rPr>
              <w:t xml:space="preserve"> </w:t>
            </w:r>
            <w:proofErr w:type="spellStart"/>
            <w:r w:rsidRPr="00144F8E">
              <w:rPr>
                <w:sz w:val="20"/>
                <w:szCs w:val="20"/>
              </w:rPr>
              <w:t>guarantee</w:t>
            </w:r>
            <w:proofErr w:type="spellEnd"/>
            <w:r w:rsidRPr="00144F8E">
              <w:rPr>
                <w:sz w:val="20"/>
                <w:szCs w:val="20"/>
              </w:rPr>
              <w:t xml:space="preserve"> of </w:t>
            </w:r>
            <w:proofErr w:type="spellStart"/>
            <w:r w:rsidRPr="00144F8E">
              <w:rPr>
                <w:sz w:val="20"/>
                <w:szCs w:val="20"/>
              </w:rPr>
              <w:t>liberty</w:t>
            </w:r>
            <w:proofErr w:type="spellEnd"/>
            <w:r w:rsidRPr="00144F8E">
              <w:rPr>
                <w:sz w:val="20"/>
                <w:szCs w:val="20"/>
              </w:rPr>
              <w:t>“</w:t>
            </w:r>
            <w:r w:rsidRPr="00144F8E">
              <w:rPr>
                <w:sz w:val="20"/>
                <w:szCs w:val="20"/>
                <w:vertAlign w:val="superscript"/>
              </w:rPr>
              <w:footnoteReference w:id="1659"/>
            </w:r>
            <w:r w:rsidRPr="00144F8E">
              <w:rPr>
                <w:sz w:val="20"/>
                <w:szCs w:val="20"/>
              </w:rPr>
              <w:t xml:space="preserve">) seien eng verknüpft. D.h. wenn ein Gesetz gegen eine materielle Freiheitsgarantie verstieße, dann </w:t>
            </w:r>
            <w:r>
              <w:rPr>
                <w:sz w:val="20"/>
                <w:szCs w:val="20"/>
              </w:rPr>
              <w:t>könne</w:t>
            </w:r>
            <w:r w:rsidRPr="00144F8E">
              <w:rPr>
                <w:sz w:val="20"/>
                <w:szCs w:val="20"/>
              </w:rPr>
              <w:t xml:space="preserve"> es zugleich wegen der Gleichheit vor dem Gesetz nicht durchsetzbar sein. </w:t>
            </w:r>
            <w:r>
              <w:rPr>
                <w:sz w:val="20"/>
                <w:szCs w:val="20"/>
              </w:rPr>
              <w:t>Beispielsweise</w:t>
            </w:r>
            <w:r w:rsidRPr="00144F8E">
              <w:rPr>
                <w:sz w:val="20"/>
                <w:szCs w:val="20"/>
              </w:rPr>
              <w:t xml:space="preserve"> verstieße die Kriminalisierung homosexueller Praktiken nicht nur gegen die Freiheitsgarantie, sondern halte zugleich </w:t>
            </w:r>
            <w:r>
              <w:rPr>
                <w:sz w:val="20"/>
                <w:szCs w:val="20"/>
              </w:rPr>
              <w:t>zur Diskriminierung an</w:t>
            </w:r>
            <w:r w:rsidRPr="00144F8E">
              <w:rPr>
                <w:sz w:val="20"/>
                <w:szCs w:val="20"/>
              </w:rPr>
              <w:t>, was gegen den Gleichheitsgrundsatz verstoße, der wiederum eine Durchsetzung der Kriminalisierung hindere.</w:t>
            </w:r>
            <w:r w:rsidRPr="00144F8E">
              <w:rPr>
                <w:sz w:val="20"/>
                <w:szCs w:val="20"/>
                <w:vertAlign w:val="superscript"/>
              </w:rPr>
              <w:footnoteReference w:id="1660"/>
            </w:r>
          </w:p>
          <w:p w14:paraId="2052CD84" w14:textId="77777777" w:rsidR="00074551" w:rsidRPr="00E50B51" w:rsidRDefault="00074551" w:rsidP="00367133">
            <w:pPr>
              <w:jc w:val="both"/>
              <w:rPr>
                <w:sz w:val="20"/>
                <w:szCs w:val="20"/>
              </w:rPr>
            </w:pPr>
          </w:p>
        </w:tc>
      </w:tr>
      <w:tr w:rsidR="00074551" w:rsidRPr="00E50B51" w14:paraId="3F162544" w14:textId="77777777" w:rsidTr="00BE689F">
        <w:trPr>
          <w:cantSplit/>
          <w:trHeight w:val="3175"/>
        </w:trPr>
        <w:tc>
          <w:tcPr>
            <w:tcW w:w="293" w:type="pct"/>
          </w:tcPr>
          <w:p w14:paraId="41DD7FB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9795709" w14:textId="77777777" w:rsidR="00074551" w:rsidRPr="00E50B51" w:rsidRDefault="00074551" w:rsidP="00367133">
            <w:pPr>
              <w:ind w:left="113" w:right="416"/>
              <w:jc w:val="both"/>
              <w:rPr>
                <w:sz w:val="20"/>
                <w:szCs w:val="20"/>
              </w:rPr>
            </w:pPr>
            <w:r w:rsidRPr="009167A5">
              <w:rPr>
                <w:i/>
                <w:sz w:val="20"/>
                <w:szCs w:val="20"/>
              </w:rPr>
              <w:t>McGowan v. Maryland</w:t>
            </w:r>
          </w:p>
        </w:tc>
        <w:tc>
          <w:tcPr>
            <w:tcW w:w="197" w:type="pct"/>
            <w:textDirection w:val="tbRl"/>
            <w:vAlign w:val="center"/>
          </w:tcPr>
          <w:p w14:paraId="6F0CE004" w14:textId="77777777" w:rsidR="00074551" w:rsidRPr="00E50B51" w:rsidRDefault="00074551" w:rsidP="00367133">
            <w:pPr>
              <w:ind w:left="113" w:right="113"/>
              <w:jc w:val="both"/>
              <w:rPr>
                <w:sz w:val="20"/>
                <w:szCs w:val="20"/>
              </w:rPr>
            </w:pPr>
            <w:r w:rsidRPr="00E50B51">
              <w:rPr>
                <w:sz w:val="20"/>
                <w:szCs w:val="20"/>
                <w:lang w:val="en-US"/>
              </w:rPr>
              <w:t>366 U.S. 420</w:t>
            </w:r>
          </w:p>
        </w:tc>
        <w:tc>
          <w:tcPr>
            <w:tcW w:w="306" w:type="pct"/>
            <w:textDirection w:val="tbRl"/>
            <w:vAlign w:val="center"/>
          </w:tcPr>
          <w:p w14:paraId="5BFADAEF" w14:textId="77777777" w:rsidR="00074551" w:rsidRPr="00E50B51" w:rsidRDefault="00074551" w:rsidP="00367133">
            <w:pPr>
              <w:ind w:left="113" w:right="113"/>
              <w:jc w:val="both"/>
              <w:rPr>
                <w:sz w:val="20"/>
                <w:szCs w:val="20"/>
              </w:rPr>
            </w:pPr>
            <w:r w:rsidRPr="00E50B51">
              <w:rPr>
                <w:sz w:val="20"/>
                <w:szCs w:val="20"/>
              </w:rPr>
              <w:t>29. Mai 1961</w:t>
            </w:r>
          </w:p>
        </w:tc>
        <w:tc>
          <w:tcPr>
            <w:tcW w:w="401" w:type="pct"/>
          </w:tcPr>
          <w:p w14:paraId="41ADE8CD" w14:textId="77777777" w:rsidR="00074551" w:rsidRPr="00E50B51" w:rsidRDefault="00074551" w:rsidP="00367133">
            <w:pPr>
              <w:jc w:val="center"/>
              <w:rPr>
                <w:sz w:val="20"/>
                <w:szCs w:val="20"/>
              </w:rPr>
            </w:pPr>
            <w:r w:rsidRPr="00E50B51">
              <w:rPr>
                <w:sz w:val="20"/>
                <w:szCs w:val="20"/>
              </w:rPr>
              <w:t>M</w:t>
            </w:r>
          </w:p>
        </w:tc>
        <w:tc>
          <w:tcPr>
            <w:tcW w:w="1594" w:type="pct"/>
          </w:tcPr>
          <w:p w14:paraId="47C8E27B" w14:textId="77777777" w:rsidR="00074551" w:rsidRPr="00E50B51" w:rsidRDefault="00074551" w:rsidP="00367133">
            <w:pPr>
              <w:jc w:val="both"/>
              <w:rPr>
                <w:sz w:val="20"/>
                <w:szCs w:val="20"/>
              </w:rPr>
            </w:pPr>
            <w:r w:rsidRPr="00E50B51">
              <w:rPr>
                <w:sz w:val="20"/>
                <w:szCs w:val="20"/>
              </w:rPr>
              <w:t>*</w:t>
            </w:r>
          </w:p>
          <w:p w14:paraId="00A552A4" w14:textId="77777777" w:rsidR="00074551" w:rsidRPr="00E50B51" w:rsidRDefault="00074551" w:rsidP="00367133">
            <w:pPr>
              <w:jc w:val="both"/>
              <w:rPr>
                <w:sz w:val="20"/>
                <w:szCs w:val="20"/>
              </w:rPr>
            </w:pPr>
          </w:p>
        </w:tc>
        <w:tc>
          <w:tcPr>
            <w:tcW w:w="1822" w:type="pct"/>
          </w:tcPr>
          <w:p w14:paraId="3627C7C9" w14:textId="77777777" w:rsidR="00074551" w:rsidRDefault="00074551" w:rsidP="00367133">
            <w:pPr>
              <w:jc w:val="both"/>
              <w:rPr>
                <w:sz w:val="20"/>
                <w:szCs w:val="20"/>
              </w:rPr>
            </w:pPr>
            <w:r w:rsidRPr="00210F2F">
              <w:rPr>
                <w:sz w:val="20"/>
                <w:szCs w:val="20"/>
              </w:rPr>
              <w:t xml:space="preserve">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10F2F">
              <w:rPr>
                <w:sz w:val="20"/>
                <w:szCs w:val="20"/>
              </w:rPr>
              <w:t xml:space="preserve"> konkretisier</w:t>
            </w:r>
            <w:r w:rsidRPr="00626887">
              <w:rPr>
                <w:sz w:val="20"/>
                <w:szCs w:val="20"/>
              </w:rPr>
              <w:t>e</w:t>
            </w:r>
            <w:r w:rsidRPr="00210F2F">
              <w:rPr>
                <w:sz w:val="20"/>
                <w:szCs w:val="20"/>
              </w:rPr>
              <w:t xml:space="preserve"> die Bedingungen für ein Streben nach Glück wie folgt: Der Gesetzgeber habe die Befugnis, Gesetze zu erlassen, um Ordnung zu befördern und Wohlbefinden, Glück und Gesundheit des Volkes zu sichern</w:t>
            </w:r>
            <w:r w:rsidRPr="00626887">
              <w:rPr>
                <w:sz w:val="20"/>
                <w:szCs w:val="20"/>
              </w:rPr>
              <w:t xml:space="preserve"> („The </w:t>
            </w:r>
            <w:proofErr w:type="spellStart"/>
            <w:r w:rsidRPr="00626887">
              <w:rPr>
                <w:sz w:val="20"/>
                <w:szCs w:val="20"/>
              </w:rPr>
              <w:t>legislature</w:t>
            </w:r>
            <w:proofErr w:type="spellEnd"/>
            <w:r w:rsidRPr="00626887">
              <w:rPr>
                <w:sz w:val="20"/>
                <w:szCs w:val="20"/>
              </w:rPr>
              <w:t xml:space="preserve"> </w:t>
            </w:r>
            <w:proofErr w:type="spellStart"/>
            <w:r w:rsidRPr="00626887">
              <w:rPr>
                <w:sz w:val="20"/>
                <w:szCs w:val="20"/>
              </w:rPr>
              <w:t>having</w:t>
            </w:r>
            <w:proofErr w:type="spellEnd"/>
            <w:r w:rsidRPr="00626887">
              <w:rPr>
                <w:sz w:val="20"/>
                <w:szCs w:val="20"/>
              </w:rPr>
              <w:t xml:space="preserve"> […] power to </w:t>
            </w:r>
            <w:proofErr w:type="spellStart"/>
            <w:r w:rsidRPr="00626887">
              <w:rPr>
                <w:sz w:val="20"/>
                <w:szCs w:val="20"/>
              </w:rPr>
              <w:t>enact</w:t>
            </w:r>
            <w:proofErr w:type="spellEnd"/>
            <w:r w:rsidRPr="00626887">
              <w:rPr>
                <w:sz w:val="20"/>
                <w:szCs w:val="20"/>
              </w:rPr>
              <w:t xml:space="preserve"> </w:t>
            </w:r>
            <w:proofErr w:type="spellStart"/>
            <w:r w:rsidRPr="00626887">
              <w:rPr>
                <w:sz w:val="20"/>
                <w:szCs w:val="20"/>
              </w:rPr>
              <w:t>laws</w:t>
            </w:r>
            <w:proofErr w:type="spellEnd"/>
            <w:r w:rsidRPr="00626887">
              <w:rPr>
                <w:sz w:val="20"/>
                <w:szCs w:val="20"/>
              </w:rPr>
              <w:t xml:space="preserve"> to promote the </w:t>
            </w:r>
            <w:proofErr w:type="spellStart"/>
            <w:r w:rsidRPr="00626887">
              <w:rPr>
                <w:sz w:val="20"/>
                <w:szCs w:val="20"/>
              </w:rPr>
              <w:t>order</w:t>
            </w:r>
            <w:proofErr w:type="spellEnd"/>
            <w:r w:rsidRPr="00626887">
              <w:rPr>
                <w:sz w:val="20"/>
                <w:szCs w:val="20"/>
              </w:rPr>
              <w:t xml:space="preserve"> and to </w:t>
            </w:r>
            <w:proofErr w:type="spellStart"/>
            <w:r w:rsidRPr="00626887">
              <w:rPr>
                <w:sz w:val="20"/>
                <w:szCs w:val="20"/>
              </w:rPr>
              <w:t>secure</w:t>
            </w:r>
            <w:proofErr w:type="spellEnd"/>
            <w:r w:rsidRPr="00626887">
              <w:rPr>
                <w:sz w:val="20"/>
                <w:szCs w:val="20"/>
              </w:rPr>
              <w:t xml:space="preserve"> the […] </w:t>
            </w:r>
            <w:proofErr w:type="spellStart"/>
            <w:r w:rsidRPr="00626887">
              <w:rPr>
                <w:sz w:val="20"/>
                <w:szCs w:val="20"/>
              </w:rPr>
              <w:t>happiness</w:t>
            </w:r>
            <w:proofErr w:type="spellEnd"/>
            <w:r w:rsidRPr="00626887">
              <w:rPr>
                <w:sz w:val="20"/>
                <w:szCs w:val="20"/>
              </w:rPr>
              <w:t xml:space="preserve"> […] of the </w:t>
            </w:r>
            <w:proofErr w:type="spellStart"/>
            <w:r w:rsidRPr="00626887">
              <w:rPr>
                <w:sz w:val="20"/>
                <w:szCs w:val="20"/>
              </w:rPr>
              <w:t>people</w:t>
            </w:r>
            <w:proofErr w:type="spellEnd"/>
            <w:r w:rsidRPr="00626887">
              <w:rPr>
                <w:sz w:val="20"/>
                <w:szCs w:val="20"/>
              </w:rPr>
              <w:t>“</w:t>
            </w:r>
            <w:r w:rsidRPr="00626887">
              <w:rPr>
                <w:sz w:val="20"/>
                <w:szCs w:val="20"/>
                <w:vertAlign w:val="superscript"/>
              </w:rPr>
              <w:footnoteReference w:id="1661"/>
            </w:r>
            <w:r w:rsidRPr="00626887">
              <w:rPr>
                <w:sz w:val="20"/>
                <w:szCs w:val="20"/>
              </w:rPr>
              <w:t>).</w:t>
            </w:r>
            <w:r w:rsidRPr="00210F2F">
              <w:rPr>
                <w:sz w:val="20"/>
                <w:szCs w:val="20"/>
              </w:rPr>
              <w:t xml:space="preserve"> Aus diesem Förderungs- bzw. Sicherungsauftrag („</w:t>
            </w:r>
            <w:proofErr w:type="spellStart"/>
            <w:r w:rsidRPr="00210F2F">
              <w:rPr>
                <w:sz w:val="20"/>
                <w:szCs w:val="20"/>
              </w:rPr>
              <w:t>within</w:t>
            </w:r>
            <w:proofErr w:type="spellEnd"/>
            <w:r w:rsidRPr="00210F2F">
              <w:rPr>
                <w:sz w:val="20"/>
                <w:szCs w:val="20"/>
              </w:rPr>
              <w:t xml:space="preserve"> </w:t>
            </w:r>
            <w:proofErr w:type="spellStart"/>
            <w:r w:rsidRPr="00210F2F">
              <w:rPr>
                <w:sz w:val="20"/>
                <w:szCs w:val="20"/>
              </w:rPr>
              <w:t>its</w:t>
            </w:r>
            <w:proofErr w:type="spellEnd"/>
            <w:r w:rsidRPr="00210F2F">
              <w:rPr>
                <w:sz w:val="20"/>
                <w:szCs w:val="20"/>
              </w:rPr>
              <w:t xml:space="preserve"> </w:t>
            </w:r>
            <w:proofErr w:type="spellStart"/>
            <w:r w:rsidRPr="00210F2F">
              <w:rPr>
                <w:sz w:val="20"/>
                <w:szCs w:val="20"/>
              </w:rPr>
              <w:t>discretion</w:t>
            </w:r>
            <w:proofErr w:type="spellEnd"/>
            <w:r w:rsidRPr="00210F2F">
              <w:rPr>
                <w:sz w:val="20"/>
                <w:szCs w:val="20"/>
              </w:rPr>
              <w:t>“</w:t>
            </w:r>
            <w:r w:rsidRPr="00626887">
              <w:rPr>
                <w:sz w:val="20"/>
                <w:szCs w:val="20"/>
                <w:vertAlign w:val="superscript"/>
              </w:rPr>
              <w:footnoteReference w:id="1662"/>
            </w:r>
            <w:r w:rsidRPr="00210F2F">
              <w:rPr>
                <w:sz w:val="20"/>
                <w:szCs w:val="20"/>
              </w:rPr>
              <w:t>)</w:t>
            </w:r>
            <w:r w:rsidRPr="00626887">
              <w:rPr>
                <w:sz w:val="20"/>
                <w:szCs w:val="20"/>
              </w:rPr>
              <w:t xml:space="preserve"> </w:t>
            </w:r>
            <w:r w:rsidRPr="00210F2F">
              <w:rPr>
                <w:sz w:val="20"/>
                <w:szCs w:val="20"/>
              </w:rPr>
              <w:t>ergebe sich die Prärogative für den Gesetzgeber, alle Arbeit</w:t>
            </w:r>
            <w:r w:rsidRPr="00626887">
              <w:rPr>
                <w:sz w:val="20"/>
                <w:szCs w:val="20"/>
              </w:rPr>
              <w:t>shandlungen</w:t>
            </w:r>
            <w:r w:rsidRPr="00210F2F">
              <w:rPr>
                <w:sz w:val="20"/>
                <w:szCs w:val="20"/>
              </w:rPr>
              <w:t xml:space="preserve"> innerhalb seines Kompetenzbereichs zu untersagen</w:t>
            </w:r>
            <w:r w:rsidRPr="00626887">
              <w:rPr>
                <w:sz w:val="20"/>
                <w:szCs w:val="20"/>
              </w:rPr>
              <w:t xml:space="preserve"> – nur gleichermaßen müsse er dies tun.</w:t>
            </w:r>
            <w:r w:rsidRPr="00210F2F">
              <w:rPr>
                <w:sz w:val="20"/>
                <w:szCs w:val="20"/>
              </w:rPr>
              <w:t xml:space="preserve"> Ausnahme </w:t>
            </w:r>
            <w:r w:rsidRPr="00626887">
              <w:rPr>
                <w:sz w:val="20"/>
                <w:szCs w:val="20"/>
              </w:rPr>
              <w:t xml:space="preserve">davon könne er nur für </w:t>
            </w:r>
            <w:r w:rsidRPr="00210F2F">
              <w:rPr>
                <w:sz w:val="20"/>
                <w:szCs w:val="20"/>
              </w:rPr>
              <w:t>notwendige</w:t>
            </w:r>
            <w:r w:rsidRPr="00626887">
              <w:rPr>
                <w:sz w:val="20"/>
                <w:szCs w:val="20"/>
              </w:rPr>
              <w:t xml:space="preserve"> </w:t>
            </w:r>
            <w:r w:rsidRPr="00210F2F">
              <w:rPr>
                <w:sz w:val="20"/>
                <w:szCs w:val="20"/>
              </w:rPr>
              <w:t>Arbeit</w:t>
            </w:r>
            <w:r w:rsidRPr="00626887">
              <w:rPr>
                <w:sz w:val="20"/>
                <w:szCs w:val="20"/>
              </w:rPr>
              <w:t>en</w:t>
            </w:r>
            <w:r w:rsidRPr="00210F2F">
              <w:rPr>
                <w:sz w:val="20"/>
                <w:szCs w:val="20"/>
              </w:rPr>
              <w:t xml:space="preserve"> und </w:t>
            </w:r>
            <w:r>
              <w:rPr>
                <w:sz w:val="20"/>
                <w:szCs w:val="20"/>
              </w:rPr>
              <w:t>das</w:t>
            </w:r>
            <w:r w:rsidRPr="00210F2F">
              <w:rPr>
                <w:sz w:val="20"/>
                <w:szCs w:val="20"/>
              </w:rPr>
              <w:t xml:space="preserve"> Ehrenamt</w:t>
            </w:r>
            <w:r w:rsidRPr="00626887">
              <w:rPr>
                <w:sz w:val="20"/>
                <w:szCs w:val="20"/>
              </w:rPr>
              <w:t xml:space="preserve"> machen</w:t>
            </w:r>
            <w:r w:rsidRPr="00210F2F">
              <w:rPr>
                <w:sz w:val="20"/>
                <w:szCs w:val="20"/>
              </w:rPr>
              <w:t>.</w:t>
            </w:r>
            <w:r w:rsidRPr="00210F2F">
              <w:rPr>
                <w:sz w:val="20"/>
                <w:szCs w:val="20"/>
                <w:vertAlign w:val="superscript"/>
              </w:rPr>
              <w:footnoteReference w:id="1663"/>
            </w:r>
            <w:r w:rsidRPr="00210F2F">
              <w:rPr>
                <w:sz w:val="20"/>
                <w:szCs w:val="20"/>
              </w:rPr>
              <w:t xml:space="preserve"> Diesem Gleichheitsgebot als Bedingung für Glück entspr</w:t>
            </w:r>
            <w:r>
              <w:rPr>
                <w:sz w:val="20"/>
                <w:szCs w:val="20"/>
              </w:rPr>
              <w:t>äche</w:t>
            </w:r>
            <w:r w:rsidRPr="00210F2F">
              <w:rPr>
                <w:sz w:val="20"/>
                <w:szCs w:val="20"/>
              </w:rPr>
              <w:t xml:space="preserve"> </w:t>
            </w:r>
            <w:r>
              <w:rPr>
                <w:sz w:val="20"/>
                <w:szCs w:val="20"/>
              </w:rPr>
              <w:t>z.B.</w:t>
            </w:r>
            <w:r w:rsidRPr="00626887">
              <w:rPr>
                <w:sz w:val="20"/>
                <w:szCs w:val="20"/>
              </w:rPr>
              <w:t xml:space="preserve"> das </w:t>
            </w:r>
            <w:r w:rsidRPr="00210F2F">
              <w:rPr>
                <w:sz w:val="20"/>
                <w:szCs w:val="20"/>
              </w:rPr>
              <w:t>Sonntagsschließungsgesetz.</w:t>
            </w:r>
          </w:p>
          <w:p w14:paraId="61601BC4" w14:textId="77777777" w:rsidR="0056095C" w:rsidRPr="00E50B51" w:rsidRDefault="0056095C" w:rsidP="00367133">
            <w:pPr>
              <w:jc w:val="both"/>
              <w:rPr>
                <w:sz w:val="20"/>
                <w:szCs w:val="20"/>
              </w:rPr>
            </w:pPr>
          </w:p>
        </w:tc>
      </w:tr>
      <w:tr w:rsidR="00074551" w:rsidRPr="00E50B51" w14:paraId="5EB43F5F" w14:textId="77777777" w:rsidTr="00BE689F">
        <w:trPr>
          <w:cantSplit/>
          <w:trHeight w:val="3175"/>
        </w:trPr>
        <w:tc>
          <w:tcPr>
            <w:tcW w:w="293" w:type="pct"/>
          </w:tcPr>
          <w:p w14:paraId="4FA078B2"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A431A15" w14:textId="77777777" w:rsidR="00074551" w:rsidRPr="00E50B51" w:rsidRDefault="00074551" w:rsidP="00367133">
            <w:pPr>
              <w:ind w:left="113" w:right="113"/>
              <w:jc w:val="both"/>
              <w:rPr>
                <w:sz w:val="20"/>
                <w:szCs w:val="20"/>
                <w:lang w:val="en-US"/>
              </w:rPr>
            </w:pPr>
            <w:r w:rsidRPr="00A15962">
              <w:rPr>
                <w:i/>
                <w:sz w:val="20"/>
                <w:szCs w:val="20"/>
                <w:lang w:val="en-US"/>
              </w:rPr>
              <w:t>Mutual Loan Co. v. Martell</w:t>
            </w:r>
          </w:p>
        </w:tc>
        <w:tc>
          <w:tcPr>
            <w:tcW w:w="197" w:type="pct"/>
            <w:textDirection w:val="tbRl"/>
            <w:vAlign w:val="center"/>
          </w:tcPr>
          <w:p w14:paraId="5B4C742A" w14:textId="77777777" w:rsidR="00074551" w:rsidRPr="00E50B51" w:rsidRDefault="00074551" w:rsidP="00367133">
            <w:pPr>
              <w:ind w:left="113" w:right="113"/>
              <w:jc w:val="both"/>
              <w:rPr>
                <w:sz w:val="20"/>
                <w:szCs w:val="20"/>
              </w:rPr>
            </w:pPr>
            <w:r w:rsidRPr="00E50B51">
              <w:rPr>
                <w:sz w:val="20"/>
                <w:szCs w:val="20"/>
                <w:lang w:val="en-US"/>
              </w:rPr>
              <w:t>222 U.S. 225</w:t>
            </w:r>
          </w:p>
        </w:tc>
        <w:tc>
          <w:tcPr>
            <w:tcW w:w="306" w:type="pct"/>
            <w:textDirection w:val="tbRl"/>
            <w:vAlign w:val="center"/>
          </w:tcPr>
          <w:p w14:paraId="1F11559D" w14:textId="77777777" w:rsidR="00074551" w:rsidRPr="00E50B51" w:rsidRDefault="00074551" w:rsidP="00367133">
            <w:pPr>
              <w:ind w:left="113" w:right="113"/>
              <w:jc w:val="both"/>
              <w:rPr>
                <w:sz w:val="20"/>
                <w:szCs w:val="20"/>
              </w:rPr>
            </w:pPr>
            <w:r w:rsidRPr="00E50B51">
              <w:rPr>
                <w:sz w:val="20"/>
                <w:szCs w:val="20"/>
              </w:rPr>
              <w:t>11. Dezember 1911</w:t>
            </w:r>
          </w:p>
        </w:tc>
        <w:tc>
          <w:tcPr>
            <w:tcW w:w="401" w:type="pct"/>
          </w:tcPr>
          <w:p w14:paraId="770E2027" w14:textId="77777777" w:rsidR="00074551" w:rsidRPr="00E50B51" w:rsidRDefault="00074551" w:rsidP="00367133">
            <w:pPr>
              <w:jc w:val="center"/>
              <w:rPr>
                <w:sz w:val="20"/>
                <w:szCs w:val="20"/>
              </w:rPr>
            </w:pPr>
            <w:r w:rsidRPr="00E50B51">
              <w:rPr>
                <w:sz w:val="20"/>
                <w:szCs w:val="20"/>
              </w:rPr>
              <w:t>S</w:t>
            </w:r>
          </w:p>
        </w:tc>
        <w:tc>
          <w:tcPr>
            <w:tcW w:w="1594" w:type="pct"/>
          </w:tcPr>
          <w:p w14:paraId="73F47A3E" w14:textId="77777777" w:rsidR="00074551" w:rsidRPr="00E50B51" w:rsidRDefault="00074551" w:rsidP="00367133">
            <w:pPr>
              <w:jc w:val="both"/>
              <w:rPr>
                <w:sz w:val="20"/>
                <w:szCs w:val="20"/>
              </w:rPr>
            </w:pPr>
            <w:r w:rsidRPr="003E5B1E">
              <w:rPr>
                <w:sz w:val="20"/>
                <w:szCs w:val="20"/>
              </w:rPr>
              <w:t xml:space="preserve">Im Fall erklärte der </w:t>
            </w:r>
            <w:r>
              <w:rPr>
                <w:sz w:val="20"/>
                <w:szCs w:val="20"/>
              </w:rPr>
              <w:t>U.S. Supreme Court</w:t>
            </w:r>
            <w:r w:rsidRPr="003E5B1E">
              <w:rPr>
                <w:sz w:val="20"/>
                <w:szCs w:val="20"/>
              </w:rPr>
              <w:t xml:space="preserve"> eine Verordnung (</w:t>
            </w:r>
            <w:proofErr w:type="spellStart"/>
            <w:r w:rsidRPr="003E5B1E">
              <w:rPr>
                <w:sz w:val="20"/>
                <w:szCs w:val="20"/>
              </w:rPr>
              <w:t>Mass</w:t>
            </w:r>
            <w:proofErr w:type="spellEnd"/>
            <w:r w:rsidRPr="003E5B1E">
              <w:rPr>
                <w:sz w:val="20"/>
                <w:szCs w:val="20"/>
              </w:rPr>
              <w:t>. Gen. Laws</w:t>
            </w:r>
            <w:r>
              <w:rPr>
                <w:sz w:val="20"/>
                <w:szCs w:val="20"/>
              </w:rPr>
              <w:t xml:space="preserve"> </w:t>
            </w:r>
            <w:proofErr w:type="spellStart"/>
            <w:r w:rsidRPr="003E5B1E">
              <w:rPr>
                <w:sz w:val="20"/>
                <w:szCs w:val="20"/>
              </w:rPr>
              <w:t>ch</w:t>
            </w:r>
            <w:proofErr w:type="spellEnd"/>
            <w:r w:rsidRPr="003E5B1E">
              <w:rPr>
                <w:sz w:val="20"/>
                <w:szCs w:val="20"/>
              </w:rPr>
              <w:t>. 605, §</w:t>
            </w:r>
            <w:r>
              <w:rPr>
                <w:sz w:val="20"/>
                <w:szCs w:val="20"/>
              </w:rPr>
              <w:t>§ </w:t>
            </w:r>
            <w:r w:rsidRPr="003E5B1E">
              <w:rPr>
                <w:sz w:val="20"/>
                <w:szCs w:val="20"/>
              </w:rPr>
              <w:t>7, 8, 1908</w:t>
            </w:r>
            <w:r w:rsidRPr="003E5B1E">
              <w:rPr>
                <w:rStyle w:val="Funotenzeichen"/>
                <w:sz w:val="20"/>
                <w:szCs w:val="20"/>
              </w:rPr>
              <w:footnoteReference w:id="1664"/>
            </w:r>
            <w:r w:rsidRPr="003E5B1E">
              <w:rPr>
                <w:sz w:val="20"/>
                <w:szCs w:val="20"/>
              </w:rPr>
              <w:t xml:space="preserve">) für verfassungsgemäß. Damit bestätigte der </w:t>
            </w:r>
            <w:r>
              <w:rPr>
                <w:sz w:val="20"/>
                <w:szCs w:val="20"/>
              </w:rPr>
              <w:t>U.S. Supreme Court</w:t>
            </w:r>
            <w:r w:rsidRPr="003E5B1E">
              <w:rPr>
                <w:sz w:val="20"/>
                <w:szCs w:val="20"/>
              </w:rPr>
              <w:t xml:space="preserve"> die </w:t>
            </w:r>
            <w:proofErr w:type="spellStart"/>
            <w:r w:rsidRPr="003E5B1E">
              <w:rPr>
                <w:sz w:val="20"/>
                <w:szCs w:val="20"/>
              </w:rPr>
              <w:t>vorinstanziellen</w:t>
            </w:r>
            <w:proofErr w:type="spellEnd"/>
            <w:r w:rsidRPr="003E5B1E">
              <w:rPr>
                <w:sz w:val="20"/>
                <w:szCs w:val="20"/>
              </w:rPr>
              <w:t xml:space="preserve"> Urteile. Die </w:t>
            </w:r>
            <w:r>
              <w:rPr>
                <w:sz w:val="20"/>
                <w:szCs w:val="20"/>
              </w:rPr>
              <w:t xml:space="preserve">fragliche </w:t>
            </w:r>
            <w:r w:rsidRPr="003E5B1E">
              <w:rPr>
                <w:sz w:val="20"/>
                <w:szCs w:val="20"/>
              </w:rPr>
              <w:t xml:space="preserve">Verordnung entzog einer Kreditgesellschaft das Recht abgetretene, zukünftige Löhne von Angestellten gegenüber dem Arbeitgeber durchzusetzen. Damit sei das Recht auf einen ordnungsgemäßen Rechtsweg verletzt, so die Kläger. Zudem nähme die Verordnung bestimmte Kreditgesellschaften von diesem Durchsetzungshindernis aus, nämlich Institute, die unter der Bankenaufsicht </w:t>
            </w:r>
            <w:r>
              <w:rPr>
                <w:sz w:val="20"/>
                <w:szCs w:val="20"/>
              </w:rPr>
              <w:t>stünden</w:t>
            </w:r>
            <w:r w:rsidRPr="003E5B1E">
              <w:rPr>
                <w:sz w:val="20"/>
                <w:szCs w:val="20"/>
              </w:rPr>
              <w:t xml:space="preserve">. Daher sei das Recht auf Gleichbehandlung </w:t>
            </w:r>
            <w:r>
              <w:rPr>
                <w:sz w:val="20"/>
                <w:szCs w:val="20"/>
              </w:rPr>
              <w:t>unverhältnismäßig eingeschränkt</w:t>
            </w:r>
            <w:r w:rsidRPr="003E5B1E">
              <w:rPr>
                <w:sz w:val="20"/>
                <w:szCs w:val="20"/>
              </w:rPr>
              <w:t xml:space="preserve">. Der </w:t>
            </w:r>
            <w:r>
              <w:rPr>
                <w:sz w:val="20"/>
                <w:szCs w:val="20"/>
              </w:rPr>
              <w:t>U.S. Supreme Court</w:t>
            </w:r>
            <w:r w:rsidRPr="003E5B1E">
              <w:rPr>
                <w:sz w:val="20"/>
                <w:szCs w:val="20"/>
              </w:rPr>
              <w:t xml:space="preserve"> urteilte indes, die Polizeiverordnung sei weder willkürlich noch unangemessen und ziele nur darauf, einen legitimen öffentlichen Zweck zu erfüllen</w:t>
            </w:r>
            <w:r>
              <w:rPr>
                <w:sz w:val="20"/>
                <w:szCs w:val="20"/>
              </w:rPr>
              <w:t>:</w:t>
            </w:r>
            <w:r w:rsidRPr="003E5B1E">
              <w:rPr>
                <w:sz w:val="20"/>
                <w:szCs w:val="20"/>
              </w:rPr>
              <w:t xml:space="preserve"> </w:t>
            </w:r>
            <w:r>
              <w:rPr>
                <w:sz w:val="20"/>
                <w:szCs w:val="20"/>
              </w:rPr>
              <w:t>m</w:t>
            </w:r>
            <w:r w:rsidRPr="003E5B1E">
              <w:rPr>
                <w:sz w:val="20"/>
                <w:szCs w:val="20"/>
              </w:rPr>
              <w:t>issbräuchliche Verträge zu verhindern. Diese wären entstanden durch das zu weite Freiheitsverständnis gegenüber Kreditgesellschaften, was sich zulasten von Individuen ausgewirkt habe</w:t>
            </w:r>
            <w:r>
              <w:rPr>
                <w:sz w:val="20"/>
                <w:szCs w:val="20"/>
              </w:rPr>
              <w:t xml:space="preserve">, hier in </w:t>
            </w:r>
            <w:r w:rsidRPr="003E5B1E">
              <w:rPr>
                <w:sz w:val="20"/>
                <w:szCs w:val="20"/>
              </w:rPr>
              <w:t>abgetretene</w:t>
            </w:r>
            <w:r>
              <w:rPr>
                <w:sz w:val="20"/>
                <w:szCs w:val="20"/>
              </w:rPr>
              <w:t>n</w:t>
            </w:r>
            <w:r w:rsidRPr="003E5B1E">
              <w:rPr>
                <w:sz w:val="20"/>
                <w:szCs w:val="20"/>
              </w:rPr>
              <w:t>, zukünftige</w:t>
            </w:r>
            <w:r>
              <w:rPr>
                <w:sz w:val="20"/>
                <w:szCs w:val="20"/>
              </w:rPr>
              <w:t>n</w:t>
            </w:r>
            <w:r w:rsidRPr="003E5B1E">
              <w:rPr>
                <w:sz w:val="20"/>
                <w:szCs w:val="20"/>
              </w:rPr>
              <w:t xml:space="preserve"> Löhne</w:t>
            </w:r>
            <w:r>
              <w:rPr>
                <w:sz w:val="20"/>
                <w:szCs w:val="20"/>
              </w:rPr>
              <w:t>n</w:t>
            </w:r>
            <w:r w:rsidRPr="003E5B1E">
              <w:rPr>
                <w:sz w:val="20"/>
                <w:szCs w:val="20"/>
              </w:rPr>
              <w:t>.</w:t>
            </w:r>
            <w:r>
              <w:rPr>
                <w:rStyle w:val="Funotenzeichen"/>
                <w:sz w:val="20"/>
                <w:szCs w:val="20"/>
              </w:rPr>
              <w:footnoteReference w:id="1665"/>
            </w:r>
          </w:p>
          <w:p w14:paraId="050282F4" w14:textId="77777777" w:rsidR="00074551" w:rsidRPr="00E50B51" w:rsidRDefault="00074551" w:rsidP="00367133">
            <w:pPr>
              <w:jc w:val="both"/>
              <w:rPr>
                <w:sz w:val="20"/>
                <w:szCs w:val="20"/>
              </w:rPr>
            </w:pPr>
          </w:p>
        </w:tc>
        <w:tc>
          <w:tcPr>
            <w:tcW w:w="1822" w:type="pct"/>
          </w:tcPr>
          <w:p w14:paraId="4C6689CE" w14:textId="6EC49FF3" w:rsidR="00074551" w:rsidRDefault="00074551" w:rsidP="00367133">
            <w:pPr>
              <w:jc w:val="both"/>
              <w:rPr>
                <w:sz w:val="20"/>
                <w:szCs w:val="20"/>
              </w:rPr>
            </w:pPr>
            <w:r w:rsidRPr="003B7171">
              <w:rPr>
                <w:sz w:val="20"/>
                <w:szCs w:val="20"/>
              </w:rPr>
              <w:t xml:space="preserve">Der </w:t>
            </w:r>
            <w:r>
              <w:rPr>
                <w:sz w:val="20"/>
                <w:szCs w:val="20"/>
              </w:rPr>
              <w:t>U.S. Supreme Court</w:t>
            </w:r>
            <w:r w:rsidRPr="003B7171">
              <w:rPr>
                <w:sz w:val="20"/>
                <w:szCs w:val="20"/>
              </w:rPr>
              <w:t xml:space="preserve"> griff das Argument de</w:t>
            </w:r>
            <w:r>
              <w:rPr>
                <w:sz w:val="20"/>
                <w:szCs w:val="20"/>
              </w:rPr>
              <w:t>r</w:t>
            </w:r>
            <w:r w:rsidRPr="003B7171">
              <w:rPr>
                <w:sz w:val="20"/>
                <w:szCs w:val="20"/>
              </w:rPr>
              <w:t xml:space="preserve"> </w:t>
            </w:r>
            <w:r>
              <w:rPr>
                <w:sz w:val="20"/>
                <w:szCs w:val="20"/>
              </w:rPr>
              <w:t>unterlegenen</w:t>
            </w:r>
            <w:r w:rsidRPr="003B7171">
              <w:rPr>
                <w:sz w:val="20"/>
                <w:szCs w:val="20"/>
              </w:rPr>
              <w:t xml:space="preserve"> Kläger auf. Er entwickelte die Definition weiter, was der gleiche Schutz durch die Gesetze („</w:t>
            </w:r>
            <w:proofErr w:type="spellStart"/>
            <w:r w:rsidRPr="003B7171">
              <w:rPr>
                <w:sz w:val="20"/>
                <w:szCs w:val="20"/>
              </w:rPr>
              <w:t>equal</w:t>
            </w:r>
            <w:proofErr w:type="spellEnd"/>
            <w:r w:rsidRPr="003B7171">
              <w:rPr>
                <w:sz w:val="20"/>
                <w:szCs w:val="20"/>
              </w:rPr>
              <w:t xml:space="preserve"> </w:t>
            </w:r>
            <w:proofErr w:type="spellStart"/>
            <w:r w:rsidRPr="003B7171">
              <w:rPr>
                <w:sz w:val="20"/>
                <w:szCs w:val="20"/>
              </w:rPr>
              <w:t>protection</w:t>
            </w:r>
            <w:proofErr w:type="spellEnd"/>
            <w:r w:rsidRPr="003B7171">
              <w:rPr>
                <w:sz w:val="20"/>
                <w:szCs w:val="20"/>
              </w:rPr>
              <w:t xml:space="preserve"> of the </w:t>
            </w:r>
            <w:proofErr w:type="spellStart"/>
            <w:r w:rsidRPr="003B7171">
              <w:rPr>
                <w:sz w:val="20"/>
                <w:szCs w:val="20"/>
              </w:rPr>
              <w:t>laws</w:t>
            </w:r>
            <w:proofErr w:type="spellEnd"/>
            <w:r w:rsidRPr="003B7171">
              <w:rPr>
                <w:sz w:val="20"/>
                <w:szCs w:val="20"/>
              </w:rPr>
              <w:t>“</w:t>
            </w:r>
            <w:r w:rsidRPr="003B7171">
              <w:rPr>
                <w:sz w:val="20"/>
                <w:szCs w:val="20"/>
                <w:vertAlign w:val="superscript"/>
              </w:rPr>
              <w:footnoteReference w:id="1666"/>
            </w:r>
            <w:r w:rsidRPr="003B7171">
              <w:rPr>
                <w:sz w:val="20"/>
                <w:szCs w:val="20"/>
              </w:rPr>
              <w:t xml:space="preserve">) bedeute. </w:t>
            </w:r>
            <w:r>
              <w:rPr>
                <w:sz w:val="20"/>
                <w:szCs w:val="20"/>
              </w:rPr>
              <w:t>Und zwar, dass</w:t>
            </w:r>
            <w:r w:rsidRPr="003B7171">
              <w:rPr>
                <w:sz w:val="20"/>
                <w:szCs w:val="20"/>
              </w:rPr>
              <w:t xml:space="preserve"> </w:t>
            </w:r>
            <w:r>
              <w:rPr>
                <w:sz w:val="20"/>
                <w:szCs w:val="20"/>
              </w:rPr>
              <w:t>jeder</w:t>
            </w:r>
            <w:r w:rsidRPr="003B7171">
              <w:rPr>
                <w:sz w:val="20"/>
                <w:szCs w:val="20"/>
              </w:rPr>
              <w:t xml:space="preserve"> die gleiche Sicherheit und die gleichen Bedingungen für das Leben </w:t>
            </w:r>
            <w:r>
              <w:rPr>
                <w:sz w:val="20"/>
                <w:szCs w:val="20"/>
              </w:rPr>
              <w:t>habe</w:t>
            </w:r>
            <w:r w:rsidRPr="003B7171">
              <w:rPr>
                <w:sz w:val="20"/>
                <w:szCs w:val="20"/>
              </w:rPr>
              <w:t>, seiner Freiheit, seinem Eigentum und seinem Streben nach Glück folgen zu können. D.h. der Gesetzgeber ha</w:t>
            </w:r>
            <w:r>
              <w:rPr>
                <w:sz w:val="20"/>
                <w:szCs w:val="20"/>
              </w:rPr>
              <w:t>be</w:t>
            </w:r>
            <w:r w:rsidRPr="003B7171">
              <w:rPr>
                <w:sz w:val="20"/>
                <w:szCs w:val="20"/>
              </w:rPr>
              <w:t xml:space="preserve"> Bedingungen zu schaffen, die Glücksstreben sicher</w:t>
            </w:r>
            <w:r>
              <w:rPr>
                <w:sz w:val="20"/>
                <w:szCs w:val="20"/>
              </w:rPr>
              <w:t>te</w:t>
            </w:r>
            <w:r w:rsidRPr="003B7171">
              <w:rPr>
                <w:sz w:val="20"/>
                <w:szCs w:val="20"/>
              </w:rPr>
              <w:t>n. Konkret bedeutet das weiter: Jeder habe gleichen Zugang zu Gerichten, um seine Person und sein Eigentum zu schützen und gegen strafrechtlich relevantes Verhalten vorzugehen sowie Wiedergutmachung einzufordern und Verträge durchsetzen zu können. Zudem müsse der Staat bei gleichen Umständen auch gleichermaßen von Belastungen und Abgaben befreien.</w:t>
            </w:r>
            <w:r w:rsidRPr="003B7171">
              <w:rPr>
                <w:sz w:val="20"/>
                <w:szCs w:val="20"/>
                <w:vertAlign w:val="superscript"/>
              </w:rPr>
              <w:footnoteReference w:id="1667"/>
            </w:r>
            <w:r w:rsidRPr="003B7171">
              <w:rPr>
                <w:sz w:val="20"/>
                <w:szCs w:val="20"/>
              </w:rPr>
              <w:t xml:space="preserve"> Hierbei diskriminiere ein Befreiungstatbestand aus </w:t>
            </w:r>
            <w:proofErr w:type="spellStart"/>
            <w:r w:rsidRPr="003B7171">
              <w:rPr>
                <w:sz w:val="20"/>
                <w:szCs w:val="20"/>
              </w:rPr>
              <w:t>Mass</w:t>
            </w:r>
            <w:proofErr w:type="spellEnd"/>
            <w:r w:rsidRPr="003B7171">
              <w:rPr>
                <w:sz w:val="20"/>
                <w:szCs w:val="20"/>
              </w:rPr>
              <w:t xml:space="preserve">. Gen. Laws </w:t>
            </w:r>
            <w:proofErr w:type="spellStart"/>
            <w:r w:rsidRPr="003B7171">
              <w:rPr>
                <w:sz w:val="20"/>
                <w:szCs w:val="20"/>
              </w:rPr>
              <w:t>ch</w:t>
            </w:r>
            <w:proofErr w:type="spellEnd"/>
            <w:r w:rsidRPr="003B7171">
              <w:rPr>
                <w:sz w:val="20"/>
                <w:szCs w:val="20"/>
              </w:rPr>
              <w:t>. 605, §</w:t>
            </w:r>
            <w:r>
              <w:rPr>
                <w:sz w:val="20"/>
                <w:szCs w:val="20"/>
              </w:rPr>
              <w:t> </w:t>
            </w:r>
            <w:r w:rsidRPr="003B7171">
              <w:rPr>
                <w:sz w:val="20"/>
                <w:szCs w:val="20"/>
              </w:rPr>
              <w:t>6 (1908)</w:t>
            </w:r>
            <w:r w:rsidR="00895EFF">
              <w:rPr>
                <w:rStyle w:val="Funotenzeichen"/>
                <w:sz w:val="20"/>
                <w:szCs w:val="20"/>
              </w:rPr>
              <w:footnoteReference w:id="1668"/>
            </w:r>
            <w:r w:rsidRPr="5B67C1D2">
              <w:rPr>
                <w:i/>
                <w:iCs/>
                <w:sz w:val="20"/>
                <w:szCs w:val="20"/>
              </w:rPr>
              <w:t xml:space="preserve"> </w:t>
            </w:r>
            <w:r w:rsidRPr="003B7171">
              <w:rPr>
                <w:sz w:val="20"/>
                <w:szCs w:val="20"/>
              </w:rPr>
              <w:t>für bestimmte Gesellschaften gerade nicht. Denn nach Sachverhalten zu unterscheiden, liege zunächst erst einmal im gesetzgeberischen Ermessenspielraum („</w:t>
            </w:r>
            <w:proofErr w:type="spellStart"/>
            <w:r w:rsidRPr="003B7171">
              <w:rPr>
                <w:sz w:val="20"/>
                <w:szCs w:val="20"/>
              </w:rPr>
              <w:t>wide</w:t>
            </w:r>
            <w:proofErr w:type="spellEnd"/>
            <w:r w:rsidRPr="003B7171">
              <w:rPr>
                <w:sz w:val="20"/>
                <w:szCs w:val="20"/>
              </w:rPr>
              <w:t xml:space="preserve"> </w:t>
            </w:r>
            <w:proofErr w:type="spellStart"/>
            <w:r w:rsidRPr="003B7171">
              <w:rPr>
                <w:sz w:val="20"/>
                <w:szCs w:val="20"/>
              </w:rPr>
              <w:t>range</w:t>
            </w:r>
            <w:proofErr w:type="spellEnd"/>
            <w:r w:rsidRPr="003B7171">
              <w:rPr>
                <w:sz w:val="20"/>
                <w:szCs w:val="20"/>
              </w:rPr>
              <w:t xml:space="preserve"> of </w:t>
            </w:r>
            <w:proofErr w:type="spellStart"/>
            <w:r w:rsidRPr="003B7171">
              <w:rPr>
                <w:sz w:val="20"/>
                <w:szCs w:val="20"/>
              </w:rPr>
              <w:t>discretion</w:t>
            </w:r>
            <w:proofErr w:type="spellEnd"/>
            <w:r w:rsidRPr="003B7171">
              <w:rPr>
                <w:sz w:val="20"/>
                <w:szCs w:val="20"/>
              </w:rPr>
              <w:t>“</w:t>
            </w:r>
            <w:r w:rsidRPr="003B7171">
              <w:rPr>
                <w:sz w:val="20"/>
                <w:szCs w:val="20"/>
                <w:vertAlign w:val="superscript"/>
              </w:rPr>
              <w:footnoteReference w:id="1669"/>
            </w:r>
            <w:r w:rsidRPr="003B7171">
              <w:rPr>
                <w:sz w:val="20"/>
                <w:szCs w:val="20"/>
              </w:rPr>
              <w:t xml:space="preserve">). Und eine Unterscheidung bzw. Klassifizierung wie hier für bestimmte Gesellschaften müsse weder wissenschaftlich noch logisch sein. Sie </w:t>
            </w:r>
            <w:r>
              <w:rPr>
                <w:sz w:val="20"/>
                <w:szCs w:val="20"/>
              </w:rPr>
              <w:t>dürfe</w:t>
            </w:r>
            <w:r w:rsidRPr="003B7171">
              <w:rPr>
                <w:sz w:val="20"/>
                <w:szCs w:val="20"/>
              </w:rPr>
              <w:t xml:space="preserve"> nur nicht offensichtlich willkürlich sein und </w:t>
            </w:r>
            <w:r>
              <w:rPr>
                <w:sz w:val="20"/>
                <w:szCs w:val="20"/>
              </w:rPr>
              <w:t>müsse</w:t>
            </w:r>
            <w:r w:rsidRPr="003B7171">
              <w:rPr>
                <w:sz w:val="20"/>
                <w:szCs w:val="20"/>
              </w:rPr>
              <w:t xml:space="preserve"> sich innerhalb der Klasse einheitlich auswirken. Das </w:t>
            </w:r>
            <w:r>
              <w:rPr>
                <w:sz w:val="20"/>
                <w:szCs w:val="20"/>
              </w:rPr>
              <w:t xml:space="preserve">sei </w:t>
            </w:r>
            <w:r w:rsidRPr="003B7171">
              <w:rPr>
                <w:sz w:val="20"/>
                <w:szCs w:val="20"/>
              </w:rPr>
              <w:t>Gesetz entstand</w:t>
            </w:r>
            <w:r>
              <w:rPr>
                <w:sz w:val="20"/>
                <w:szCs w:val="20"/>
              </w:rPr>
              <w:t>en</w:t>
            </w:r>
            <w:r w:rsidRPr="003B7171">
              <w:rPr>
                <w:sz w:val="20"/>
                <w:szCs w:val="20"/>
              </w:rPr>
              <w:t>, weil bestimmte Kreditgesellschaften missbräuchlich gehandelt h</w:t>
            </w:r>
            <w:r>
              <w:rPr>
                <w:sz w:val="20"/>
                <w:szCs w:val="20"/>
              </w:rPr>
              <w:t>ä</w:t>
            </w:r>
            <w:r w:rsidRPr="003B7171">
              <w:rPr>
                <w:sz w:val="20"/>
                <w:szCs w:val="20"/>
              </w:rPr>
              <w:t xml:space="preserve">tten. Diese Missbrauchsgefahr existiere aber kaum bei Instituten, die unter der Bankenaufsicht </w:t>
            </w:r>
            <w:r>
              <w:rPr>
                <w:sz w:val="20"/>
                <w:szCs w:val="20"/>
              </w:rPr>
              <w:t>stünden</w:t>
            </w:r>
            <w:r w:rsidRPr="003B7171">
              <w:rPr>
                <w:sz w:val="20"/>
                <w:szCs w:val="20"/>
              </w:rPr>
              <w:t xml:space="preserve"> („</w:t>
            </w:r>
            <w:proofErr w:type="spellStart"/>
            <w:r w:rsidRPr="003B7171">
              <w:rPr>
                <w:sz w:val="20"/>
                <w:szCs w:val="20"/>
              </w:rPr>
              <w:t>supervision</w:t>
            </w:r>
            <w:proofErr w:type="spellEnd"/>
            <w:r w:rsidRPr="003B7171">
              <w:rPr>
                <w:sz w:val="20"/>
                <w:szCs w:val="20"/>
              </w:rPr>
              <w:t xml:space="preserve"> of </w:t>
            </w:r>
            <w:proofErr w:type="spellStart"/>
            <w:r w:rsidRPr="003B7171">
              <w:rPr>
                <w:sz w:val="20"/>
                <w:szCs w:val="20"/>
              </w:rPr>
              <w:t>bank</w:t>
            </w:r>
            <w:proofErr w:type="spellEnd"/>
            <w:r w:rsidRPr="003B7171">
              <w:rPr>
                <w:sz w:val="20"/>
                <w:szCs w:val="20"/>
              </w:rPr>
              <w:t xml:space="preserve"> </w:t>
            </w:r>
            <w:proofErr w:type="spellStart"/>
            <w:r w:rsidRPr="003B7171">
              <w:rPr>
                <w:sz w:val="20"/>
                <w:szCs w:val="20"/>
              </w:rPr>
              <w:t>commissioners</w:t>
            </w:r>
            <w:proofErr w:type="spellEnd"/>
            <w:r w:rsidRPr="003B7171">
              <w:rPr>
                <w:sz w:val="20"/>
                <w:szCs w:val="20"/>
              </w:rPr>
              <w:t>“</w:t>
            </w:r>
            <w:r w:rsidRPr="003B7171">
              <w:rPr>
                <w:sz w:val="20"/>
                <w:szCs w:val="20"/>
                <w:vertAlign w:val="superscript"/>
              </w:rPr>
              <w:footnoteReference w:id="1670"/>
            </w:r>
            <w:r w:rsidRPr="003B7171">
              <w:rPr>
                <w:sz w:val="20"/>
                <w:szCs w:val="20"/>
              </w:rPr>
              <w:t>). Daher befreie das Gesetz diese Institute.</w:t>
            </w:r>
            <w:r w:rsidRPr="003B7171">
              <w:rPr>
                <w:sz w:val="20"/>
                <w:szCs w:val="20"/>
                <w:vertAlign w:val="superscript"/>
              </w:rPr>
              <w:footnoteReference w:id="1671"/>
            </w:r>
            <w:r w:rsidRPr="003B7171">
              <w:rPr>
                <w:sz w:val="20"/>
                <w:szCs w:val="20"/>
              </w:rPr>
              <w:t xml:space="preserve"> </w:t>
            </w:r>
            <w:proofErr w:type="gramStart"/>
            <w:r w:rsidRPr="003B7171">
              <w:rPr>
                <w:sz w:val="20"/>
                <w:szCs w:val="20"/>
              </w:rPr>
              <w:t>Selbst</w:t>
            </w:r>
            <w:proofErr w:type="gramEnd"/>
            <w:r w:rsidRPr="003B7171">
              <w:rPr>
                <w:sz w:val="20"/>
                <w:szCs w:val="20"/>
              </w:rPr>
              <w:t xml:space="preserve"> wenn von diesen Instituten eine geringes Missbrauchsgefahr ausgehen soll</w:t>
            </w:r>
            <w:r>
              <w:rPr>
                <w:sz w:val="20"/>
                <w:szCs w:val="20"/>
              </w:rPr>
              <w:t>t</w:t>
            </w:r>
            <w:r w:rsidRPr="003B7171">
              <w:rPr>
                <w:sz w:val="20"/>
                <w:szCs w:val="20"/>
              </w:rPr>
              <w:t xml:space="preserve">e, dann </w:t>
            </w:r>
            <w:r>
              <w:rPr>
                <w:sz w:val="20"/>
                <w:szCs w:val="20"/>
              </w:rPr>
              <w:t>habe</w:t>
            </w:r>
            <w:r w:rsidRPr="003B7171">
              <w:rPr>
                <w:sz w:val="20"/>
                <w:szCs w:val="20"/>
              </w:rPr>
              <w:t xml:space="preserve"> der Gesetzgeber diese Gefahr jedenfalls angemessen im Rahmen seines Ermessensspielraum</w:t>
            </w:r>
            <w:r>
              <w:rPr>
                <w:sz w:val="20"/>
                <w:szCs w:val="20"/>
              </w:rPr>
              <w:t>s</w:t>
            </w:r>
            <w:r w:rsidRPr="003B7171">
              <w:rPr>
                <w:sz w:val="20"/>
                <w:szCs w:val="20"/>
              </w:rPr>
              <w:t xml:space="preserve"> abgewogen, ohne damit aber willkürlich zu handeln</w:t>
            </w:r>
            <w:r>
              <w:rPr>
                <w:sz w:val="20"/>
                <w:szCs w:val="20"/>
              </w:rPr>
              <w:t>. Damit habe er</w:t>
            </w:r>
            <w:r w:rsidRPr="003B7171">
              <w:rPr>
                <w:sz w:val="20"/>
                <w:szCs w:val="20"/>
              </w:rPr>
              <w:t xml:space="preserve"> auch nicht den gleichen Schutz durch Gesetze verhindert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B7171">
              <w:rPr>
                <w:sz w:val="20"/>
                <w:szCs w:val="20"/>
                <w:vertAlign w:val="superscript"/>
                <w:lang w:val="en-US"/>
              </w:rPr>
              <w:footnoteReference w:id="1672"/>
            </w:r>
            <w:r w:rsidRPr="003B7171">
              <w:rPr>
                <w:sz w:val="20"/>
                <w:szCs w:val="20"/>
              </w:rPr>
              <w:t xml:space="preserve"> – als eine Bedingung des Glücksstrebens.</w:t>
            </w:r>
          </w:p>
          <w:p w14:paraId="14C18266" w14:textId="77777777" w:rsidR="00074551" w:rsidRPr="00E50B51" w:rsidRDefault="00074551" w:rsidP="00367133">
            <w:pPr>
              <w:jc w:val="both"/>
              <w:rPr>
                <w:sz w:val="20"/>
                <w:szCs w:val="20"/>
              </w:rPr>
            </w:pPr>
          </w:p>
        </w:tc>
      </w:tr>
      <w:tr w:rsidR="00074551" w:rsidRPr="00E50B51" w14:paraId="5B79F027" w14:textId="77777777" w:rsidTr="00BE689F">
        <w:trPr>
          <w:cantSplit/>
          <w:trHeight w:val="3175"/>
        </w:trPr>
        <w:tc>
          <w:tcPr>
            <w:tcW w:w="293" w:type="pct"/>
          </w:tcPr>
          <w:p w14:paraId="43F001D1"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98294C0" w14:textId="77777777" w:rsidR="00074551" w:rsidRPr="00E50B51" w:rsidRDefault="00074551" w:rsidP="00367133">
            <w:pPr>
              <w:ind w:left="113" w:right="416"/>
              <w:jc w:val="both"/>
              <w:rPr>
                <w:sz w:val="20"/>
                <w:szCs w:val="20"/>
                <w:lang w:val="en-US"/>
              </w:rPr>
            </w:pPr>
            <w:r w:rsidRPr="00A15962">
              <w:rPr>
                <w:i/>
                <w:sz w:val="20"/>
                <w:szCs w:val="20"/>
              </w:rPr>
              <w:t>Neal v. Del.</w:t>
            </w:r>
          </w:p>
        </w:tc>
        <w:tc>
          <w:tcPr>
            <w:tcW w:w="197" w:type="pct"/>
            <w:textDirection w:val="tbRl"/>
            <w:vAlign w:val="center"/>
          </w:tcPr>
          <w:p w14:paraId="5191842F" w14:textId="77777777" w:rsidR="00074551" w:rsidRPr="00E50B51" w:rsidRDefault="00074551" w:rsidP="00367133">
            <w:pPr>
              <w:ind w:left="113" w:right="113"/>
              <w:jc w:val="both"/>
              <w:rPr>
                <w:sz w:val="20"/>
                <w:szCs w:val="20"/>
                <w:lang w:val="en-US"/>
              </w:rPr>
            </w:pPr>
            <w:r w:rsidRPr="00E50B51">
              <w:rPr>
                <w:sz w:val="20"/>
                <w:szCs w:val="20"/>
                <w:lang w:val="en-US"/>
              </w:rPr>
              <w:t>103 U.S. 370</w:t>
            </w:r>
          </w:p>
        </w:tc>
        <w:tc>
          <w:tcPr>
            <w:tcW w:w="306" w:type="pct"/>
            <w:textDirection w:val="tbRl"/>
            <w:vAlign w:val="center"/>
          </w:tcPr>
          <w:p w14:paraId="5688D145" w14:textId="77777777" w:rsidR="00074551" w:rsidRPr="00E50B51" w:rsidRDefault="00074551" w:rsidP="00367133">
            <w:pPr>
              <w:ind w:left="113" w:right="113"/>
              <w:jc w:val="both"/>
              <w:rPr>
                <w:sz w:val="20"/>
                <w:szCs w:val="20"/>
                <w:lang w:val="en-US"/>
              </w:rPr>
            </w:pPr>
            <w:r w:rsidRPr="00E50B51">
              <w:rPr>
                <w:sz w:val="20"/>
                <w:szCs w:val="20"/>
                <w:lang w:val="en-US"/>
              </w:rPr>
              <w:t>2. Mai 1881</w:t>
            </w:r>
          </w:p>
        </w:tc>
        <w:tc>
          <w:tcPr>
            <w:tcW w:w="401" w:type="pct"/>
          </w:tcPr>
          <w:p w14:paraId="59D127DF"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47F36DC1" w14:textId="65A9CC64" w:rsidR="00074551" w:rsidRPr="00E50B51" w:rsidRDefault="00074551" w:rsidP="00367133">
            <w:pPr>
              <w:jc w:val="both"/>
              <w:rPr>
                <w:sz w:val="20"/>
                <w:szCs w:val="20"/>
                <w:lang w:val="en-US"/>
              </w:rPr>
            </w:pPr>
            <w:r w:rsidRPr="00E50B51">
              <w:rPr>
                <w:sz w:val="20"/>
                <w:szCs w:val="20"/>
              </w:rPr>
              <w:t xml:space="preserve">Im Fall hob der </w:t>
            </w:r>
            <w:r>
              <w:rPr>
                <w:sz w:val="20"/>
                <w:szCs w:val="20"/>
              </w:rPr>
              <w:t>U.S. Supreme Court</w:t>
            </w:r>
            <w:r w:rsidRPr="00E50B51">
              <w:rPr>
                <w:sz w:val="20"/>
                <w:szCs w:val="20"/>
              </w:rPr>
              <w:t xml:space="preserve"> ein </w:t>
            </w:r>
            <w:proofErr w:type="spellStart"/>
            <w:r w:rsidRPr="00E50B51">
              <w:rPr>
                <w:sz w:val="20"/>
                <w:szCs w:val="20"/>
              </w:rPr>
              <w:t>unterinstanzielles</w:t>
            </w:r>
            <w:proofErr w:type="spellEnd"/>
            <w:r w:rsidRPr="00E50B51">
              <w:rPr>
                <w:sz w:val="20"/>
                <w:szCs w:val="20"/>
              </w:rPr>
              <w:t xml:space="preserve"> Urteil auf. Zunächst </w:t>
            </w:r>
            <w:r>
              <w:rPr>
                <w:sz w:val="20"/>
                <w:szCs w:val="20"/>
              </w:rPr>
              <w:t>war</w:t>
            </w:r>
            <w:r w:rsidRPr="00E50B51">
              <w:rPr>
                <w:sz w:val="20"/>
                <w:szCs w:val="20"/>
              </w:rPr>
              <w:t xml:space="preserve"> ein Schwarzer im Bundesstaat Delaware verurteilt</w:t>
            </w:r>
            <w:r>
              <w:rPr>
                <w:sz w:val="20"/>
                <w:szCs w:val="20"/>
              </w:rPr>
              <w:t xml:space="preserve"> worden</w:t>
            </w:r>
            <w:r w:rsidRPr="00E50B51">
              <w:rPr>
                <w:sz w:val="20"/>
                <w:szCs w:val="20"/>
              </w:rPr>
              <w:t xml:space="preserve">, obwohl er einen Antrag gestellt hatte, den Fall an ein höheres Gericht zu verweisen. Dieser wurde rechtswidrig abgelehnt. </w:t>
            </w:r>
            <w:r>
              <w:rPr>
                <w:sz w:val="20"/>
                <w:szCs w:val="20"/>
              </w:rPr>
              <w:t>Denn der Angeklagte</w:t>
            </w:r>
            <w:r w:rsidRPr="00E50B51">
              <w:rPr>
                <w:sz w:val="20"/>
                <w:szCs w:val="20"/>
              </w:rPr>
              <w:t xml:space="preserve"> </w:t>
            </w:r>
            <w:r>
              <w:rPr>
                <w:sz w:val="20"/>
                <w:szCs w:val="20"/>
              </w:rPr>
              <w:t>hatte</w:t>
            </w:r>
            <w:r w:rsidRPr="00E50B51">
              <w:rPr>
                <w:sz w:val="20"/>
                <w:szCs w:val="20"/>
              </w:rPr>
              <w:t xml:space="preserve"> den Antrag aufgrund von fehlenden </w:t>
            </w:r>
            <w:r>
              <w:rPr>
                <w:sz w:val="20"/>
                <w:szCs w:val="20"/>
              </w:rPr>
              <w:t>schwarzen</w:t>
            </w:r>
            <w:r w:rsidRPr="00E50B51">
              <w:rPr>
                <w:sz w:val="20"/>
                <w:szCs w:val="20"/>
              </w:rPr>
              <w:t xml:space="preserve"> Geschworene</w:t>
            </w:r>
            <w:r>
              <w:rPr>
                <w:sz w:val="20"/>
                <w:szCs w:val="20"/>
              </w:rPr>
              <w:t>n gestellt</w:t>
            </w:r>
            <w:r w:rsidRPr="00E50B51">
              <w:rPr>
                <w:sz w:val="20"/>
                <w:szCs w:val="20"/>
              </w:rPr>
              <w:t xml:space="preserve">. Zwar räumte Delaware </w:t>
            </w:r>
            <w:r w:rsidRPr="5B67C1D2">
              <w:rPr>
                <w:i/>
                <w:iCs/>
                <w:sz w:val="20"/>
                <w:szCs w:val="20"/>
              </w:rPr>
              <w:t xml:space="preserve">de </w:t>
            </w:r>
            <w:proofErr w:type="spellStart"/>
            <w:r w:rsidRPr="5B67C1D2">
              <w:rPr>
                <w:i/>
                <w:iCs/>
                <w:sz w:val="20"/>
                <w:szCs w:val="20"/>
              </w:rPr>
              <w:t>iure</w:t>
            </w:r>
            <w:proofErr w:type="spellEnd"/>
            <w:r w:rsidRPr="00E50B51">
              <w:rPr>
                <w:sz w:val="20"/>
                <w:szCs w:val="20"/>
              </w:rPr>
              <w:t xml:space="preserve"> Schwarzen das Recht ein, Geschworene zu sein. Aber </w:t>
            </w:r>
            <w:r w:rsidRPr="5B67C1D2">
              <w:rPr>
                <w:i/>
                <w:iCs/>
                <w:sz w:val="20"/>
                <w:szCs w:val="20"/>
              </w:rPr>
              <w:t>de facto</w:t>
            </w:r>
            <w:r w:rsidRPr="00E50B51">
              <w:rPr>
                <w:sz w:val="20"/>
                <w:szCs w:val="20"/>
              </w:rPr>
              <w:t xml:space="preserve"> gab es keine Schwarzen als Geschworene</w:t>
            </w:r>
            <w:r>
              <w:rPr>
                <w:sz w:val="20"/>
                <w:szCs w:val="20"/>
              </w:rPr>
              <w:t>, w</w:t>
            </w:r>
            <w:r w:rsidRPr="00E50B51">
              <w:rPr>
                <w:sz w:val="20"/>
                <w:szCs w:val="20"/>
              </w:rPr>
              <w:t xml:space="preserve">eshalb dem Antrag auf Verweisung stattzugeben gewesen wäre. Ein Verstoß gegen das Gleichbehandlungsgebot zulasten von Schwarzen habe daher vorgelegen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E50B51">
              <w:rPr>
                <w:sz w:val="20"/>
                <w:szCs w:val="20"/>
                <w:lang w:val="en-US"/>
              </w:rPr>
              <w:t xml:space="preserve"> und</w:t>
            </w:r>
            <w:r w:rsidR="004D6F76">
              <w:rPr>
                <w:sz w:val="20"/>
                <w:szCs w:val="20"/>
                <w:lang w:val="en-US"/>
              </w:rPr>
              <w:t xml:space="preserve"> </w:t>
            </w:r>
            <w:r w:rsidR="004D6F76" w:rsidRPr="004D6F76">
              <w:rPr>
                <w:sz w:val="20"/>
                <w:szCs w:val="20"/>
                <w:lang w:val="en-US"/>
              </w:rPr>
              <w:t>U.S. Const. amend. XIV, § 1</w:t>
            </w:r>
            <w:r>
              <w:rPr>
                <w:sz w:val="20"/>
                <w:szCs w:val="20"/>
                <w:lang w:val="en-US"/>
              </w:rPr>
              <w:t>: „</w:t>
            </w:r>
            <w:r w:rsidRPr="003B7171">
              <w:rPr>
                <w:sz w:val="20"/>
                <w:szCs w:val="20"/>
                <w:lang w:val="en-US"/>
              </w:rPr>
              <w:t xml:space="preserve">nor deny to any person within its jurisdiction the equal protection of the </w:t>
            </w:r>
            <w:proofErr w:type="gramStart"/>
            <w:r w:rsidRPr="003B7171">
              <w:rPr>
                <w:sz w:val="20"/>
                <w:szCs w:val="20"/>
                <w:lang w:val="en-US"/>
              </w:rPr>
              <w:t>laws</w:t>
            </w:r>
            <w:r>
              <w:rPr>
                <w:sz w:val="20"/>
                <w:szCs w:val="20"/>
                <w:lang w:val="en-US"/>
              </w:rPr>
              <w:t>.“</w:t>
            </w:r>
            <w:proofErr w:type="gramEnd"/>
            <w:r w:rsidRPr="003B7171">
              <w:rPr>
                <w:rStyle w:val="Funotenzeichen"/>
                <w:sz w:val="20"/>
                <w:szCs w:val="20"/>
                <w:lang w:val="en-US"/>
              </w:rPr>
              <w:footnoteReference w:id="1673"/>
            </w:r>
          </w:p>
          <w:p w14:paraId="60C6537D" w14:textId="77777777" w:rsidR="00074551" w:rsidRPr="00E50B51" w:rsidRDefault="00074551" w:rsidP="00367133">
            <w:pPr>
              <w:jc w:val="both"/>
              <w:rPr>
                <w:sz w:val="20"/>
                <w:szCs w:val="20"/>
                <w:lang w:val="en-US"/>
              </w:rPr>
            </w:pPr>
          </w:p>
        </w:tc>
        <w:tc>
          <w:tcPr>
            <w:tcW w:w="1822" w:type="pct"/>
          </w:tcPr>
          <w:p w14:paraId="337DBC1A" w14:textId="77777777" w:rsidR="00074551" w:rsidRDefault="00074551" w:rsidP="00367133">
            <w:pPr>
              <w:jc w:val="both"/>
              <w:rPr>
                <w:sz w:val="20"/>
                <w:szCs w:val="20"/>
              </w:rPr>
            </w:pPr>
            <w:r w:rsidRPr="003B7171">
              <w:rPr>
                <w:sz w:val="20"/>
                <w:szCs w:val="20"/>
              </w:rPr>
              <w:t xml:space="preserve">Der Dissens in </w:t>
            </w:r>
            <w:r w:rsidRPr="5B67C1D2">
              <w:rPr>
                <w:i/>
                <w:iCs/>
                <w:sz w:val="20"/>
                <w:szCs w:val="20"/>
              </w:rPr>
              <w:t>Neal v. Del.</w:t>
            </w:r>
            <w:r w:rsidRPr="003B7171">
              <w:rPr>
                <w:sz w:val="20"/>
                <w:szCs w:val="20"/>
                <w:vertAlign w:val="superscript"/>
              </w:rPr>
              <w:footnoteReference w:id="1674"/>
            </w:r>
            <w:r w:rsidRPr="003B7171">
              <w:rPr>
                <w:sz w:val="20"/>
                <w:szCs w:val="20"/>
              </w:rPr>
              <w:t xml:space="preserve"> besprach die verfahrensrechtliche Seite des Strebens nach Glück, d.h.: </w:t>
            </w:r>
            <w:r>
              <w:rPr>
                <w:sz w:val="20"/>
                <w:szCs w:val="20"/>
              </w:rPr>
              <w:t>g</w:t>
            </w:r>
            <w:r w:rsidRPr="003B7171">
              <w:rPr>
                <w:sz w:val="20"/>
                <w:szCs w:val="20"/>
              </w:rPr>
              <w:t>leicher Zugang zu Gerichten, gleiche Beweis- und Verfahrensregeln und damit die Sicherheit, dass Eigentum geschützt und Verträgen durchgesetzt werden.</w:t>
            </w:r>
          </w:p>
          <w:p w14:paraId="79A5F52D" w14:textId="77777777" w:rsidR="00074551" w:rsidRPr="003B7171" w:rsidRDefault="00074551" w:rsidP="00367133">
            <w:pPr>
              <w:jc w:val="both"/>
              <w:rPr>
                <w:sz w:val="20"/>
                <w:szCs w:val="20"/>
              </w:rPr>
            </w:pPr>
          </w:p>
          <w:p w14:paraId="6EBBC757" w14:textId="77777777" w:rsidR="00074551" w:rsidRDefault="00074551" w:rsidP="00367133">
            <w:pPr>
              <w:jc w:val="both"/>
              <w:rPr>
                <w:sz w:val="20"/>
                <w:szCs w:val="20"/>
              </w:rPr>
            </w:pPr>
            <w:r w:rsidRPr="003B7171">
              <w:rPr>
                <w:sz w:val="20"/>
                <w:szCs w:val="20"/>
              </w:rPr>
              <w:t>Der Dissens bestimmte auch anhand des Strebens nach Glück das Schutzniveau des Gleichbehandlungsgebots. Gleichbehandlung meine nicht, jedermann den Zugang zu allen Ämtern zu gewähren, wie es bei Schöffen der Fall sei. Sondern es mein</w:t>
            </w:r>
            <w:r>
              <w:rPr>
                <w:sz w:val="20"/>
                <w:szCs w:val="20"/>
              </w:rPr>
              <w:t>e</w:t>
            </w:r>
            <w:r w:rsidRPr="003B7171">
              <w:rPr>
                <w:sz w:val="20"/>
                <w:szCs w:val="20"/>
              </w:rPr>
              <w:t xml:space="preserve"> vor allem, dass jedermann Zugang zu Gerichten habe, dort den gleichen Beweis- und Verfahrensregeln unterliege, die dann die Sicherheit für die Person </w:t>
            </w:r>
            <w:r>
              <w:rPr>
                <w:sz w:val="20"/>
                <w:szCs w:val="20"/>
              </w:rPr>
              <w:t>schafften</w:t>
            </w:r>
            <w:r w:rsidRPr="003B7171">
              <w:rPr>
                <w:sz w:val="20"/>
                <w:szCs w:val="20"/>
              </w:rPr>
              <w:t xml:space="preserve">, </w:t>
            </w:r>
            <w:r>
              <w:rPr>
                <w:sz w:val="20"/>
                <w:szCs w:val="20"/>
              </w:rPr>
              <w:t xml:space="preserve">sowie </w:t>
            </w:r>
            <w:proofErr w:type="spellStart"/>
            <w:r w:rsidRPr="003B7171">
              <w:rPr>
                <w:sz w:val="20"/>
                <w:szCs w:val="20"/>
              </w:rPr>
              <w:t>dass</w:t>
            </w:r>
            <w:proofErr w:type="spellEnd"/>
            <w:r w:rsidRPr="003B7171">
              <w:rPr>
                <w:sz w:val="20"/>
                <w:szCs w:val="20"/>
              </w:rPr>
              <w:t xml:space="preserve"> Eigentum und die Durchsetzung von Verträgen geschützt </w:t>
            </w:r>
            <w:proofErr w:type="gramStart"/>
            <w:r w:rsidRPr="003B7171">
              <w:rPr>
                <w:sz w:val="20"/>
                <w:szCs w:val="20"/>
              </w:rPr>
              <w:t>sei</w:t>
            </w:r>
            <w:proofErr w:type="gramEnd"/>
            <w:r w:rsidRPr="003B7171">
              <w:rPr>
                <w:sz w:val="20"/>
                <w:szCs w:val="20"/>
              </w:rPr>
              <w:t>, welche die Grundvoraussetzungen für Freiheit und das Streben nach Glück schaff</w:t>
            </w:r>
            <w:r>
              <w:rPr>
                <w:sz w:val="20"/>
                <w:szCs w:val="20"/>
              </w:rPr>
              <w:t>t</w:t>
            </w:r>
            <w:r w:rsidRPr="003B7171">
              <w:rPr>
                <w:sz w:val="20"/>
                <w:szCs w:val="20"/>
              </w:rPr>
              <w:t>en („</w:t>
            </w:r>
            <w:proofErr w:type="spellStart"/>
            <w:r w:rsidRPr="003B7171">
              <w:rPr>
                <w:sz w:val="20"/>
                <w:szCs w:val="20"/>
              </w:rPr>
              <w:t>enjoyment</w:t>
            </w:r>
            <w:proofErr w:type="spellEnd"/>
            <w:r w:rsidRPr="003B7171">
              <w:rPr>
                <w:sz w:val="20"/>
                <w:szCs w:val="20"/>
              </w:rPr>
              <w:t xml:space="preserve"> of personal </w:t>
            </w:r>
            <w:proofErr w:type="spellStart"/>
            <w:r w:rsidRPr="003B7171">
              <w:rPr>
                <w:sz w:val="20"/>
                <w:szCs w:val="20"/>
              </w:rPr>
              <w:t>liberty</w:t>
            </w:r>
            <w:proofErr w:type="spellEnd"/>
            <w:r w:rsidRPr="003B7171">
              <w:rPr>
                <w:sz w:val="20"/>
                <w:szCs w:val="20"/>
              </w:rPr>
              <w:t xml:space="preserve">, and the </w:t>
            </w:r>
            <w:proofErr w:type="spellStart"/>
            <w:r w:rsidRPr="003B7171">
              <w:rPr>
                <w:sz w:val="20"/>
                <w:szCs w:val="20"/>
              </w:rPr>
              <w:t>pursuit</w:t>
            </w:r>
            <w:proofErr w:type="spellEnd"/>
            <w:r w:rsidRPr="003B7171">
              <w:rPr>
                <w:sz w:val="20"/>
                <w:szCs w:val="20"/>
              </w:rPr>
              <w:t xml:space="preserve"> of </w:t>
            </w:r>
            <w:proofErr w:type="spellStart"/>
            <w:r w:rsidRPr="003B7171">
              <w:rPr>
                <w:sz w:val="20"/>
                <w:szCs w:val="20"/>
              </w:rPr>
              <w:t>happiness</w:t>
            </w:r>
            <w:proofErr w:type="spellEnd"/>
            <w:r w:rsidRPr="003B7171">
              <w:rPr>
                <w:sz w:val="20"/>
                <w:szCs w:val="20"/>
              </w:rPr>
              <w:t>“</w:t>
            </w:r>
            <w:r w:rsidRPr="003B7171">
              <w:rPr>
                <w:sz w:val="20"/>
                <w:szCs w:val="20"/>
                <w:vertAlign w:val="superscript"/>
              </w:rPr>
              <w:footnoteReference w:id="1675"/>
            </w:r>
            <w:r w:rsidRPr="003B7171">
              <w:rPr>
                <w:sz w:val="20"/>
                <w:szCs w:val="20"/>
              </w:rPr>
              <w:t>).</w:t>
            </w:r>
          </w:p>
          <w:p w14:paraId="34DB4885" w14:textId="77777777" w:rsidR="00074551" w:rsidRPr="00E50B51" w:rsidRDefault="00074551" w:rsidP="00367133">
            <w:pPr>
              <w:jc w:val="both"/>
              <w:rPr>
                <w:sz w:val="20"/>
                <w:szCs w:val="20"/>
              </w:rPr>
            </w:pPr>
          </w:p>
        </w:tc>
      </w:tr>
      <w:tr w:rsidR="00074551" w:rsidRPr="00E50B51" w14:paraId="1B6C703E" w14:textId="77777777" w:rsidTr="00BE689F">
        <w:trPr>
          <w:cantSplit/>
          <w:trHeight w:val="3175"/>
        </w:trPr>
        <w:tc>
          <w:tcPr>
            <w:tcW w:w="293" w:type="pct"/>
          </w:tcPr>
          <w:p w14:paraId="6FFF0033"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24B7A448" w14:textId="77777777" w:rsidR="00074551" w:rsidRPr="00E50B51" w:rsidRDefault="00074551" w:rsidP="00367133">
            <w:pPr>
              <w:ind w:left="113" w:right="416"/>
              <w:jc w:val="both"/>
              <w:rPr>
                <w:sz w:val="20"/>
                <w:szCs w:val="20"/>
              </w:rPr>
            </w:pPr>
            <w:r w:rsidRPr="009167A5">
              <w:rPr>
                <w:i/>
                <w:sz w:val="20"/>
                <w:szCs w:val="20"/>
                <w:lang w:eastAsia="de-DE"/>
              </w:rPr>
              <w:t>Obergefell v. Hodges</w:t>
            </w:r>
          </w:p>
        </w:tc>
        <w:tc>
          <w:tcPr>
            <w:tcW w:w="197" w:type="pct"/>
            <w:textDirection w:val="tbRl"/>
            <w:vAlign w:val="center"/>
          </w:tcPr>
          <w:p w14:paraId="34262C75" w14:textId="77777777" w:rsidR="00074551" w:rsidRPr="00E50B51" w:rsidRDefault="00074551" w:rsidP="00367133">
            <w:pPr>
              <w:ind w:left="113" w:right="113"/>
              <w:jc w:val="both"/>
              <w:rPr>
                <w:sz w:val="20"/>
                <w:szCs w:val="20"/>
              </w:rPr>
            </w:pPr>
            <w:r w:rsidRPr="00E50B51">
              <w:rPr>
                <w:sz w:val="20"/>
                <w:szCs w:val="20"/>
                <w:lang w:val="en-US"/>
              </w:rPr>
              <w:t>576 U.S. 644</w:t>
            </w:r>
          </w:p>
        </w:tc>
        <w:tc>
          <w:tcPr>
            <w:tcW w:w="306" w:type="pct"/>
            <w:textDirection w:val="tbRl"/>
            <w:vAlign w:val="center"/>
          </w:tcPr>
          <w:p w14:paraId="3784573A" w14:textId="77777777" w:rsidR="00074551" w:rsidRPr="00E50B51" w:rsidRDefault="00074551" w:rsidP="00367133">
            <w:pPr>
              <w:ind w:left="113" w:right="113"/>
              <w:jc w:val="both"/>
              <w:rPr>
                <w:sz w:val="20"/>
                <w:szCs w:val="20"/>
              </w:rPr>
            </w:pPr>
            <w:r w:rsidRPr="00E50B51">
              <w:rPr>
                <w:sz w:val="20"/>
                <w:szCs w:val="20"/>
              </w:rPr>
              <w:t>26. Januar 2015</w:t>
            </w:r>
          </w:p>
        </w:tc>
        <w:tc>
          <w:tcPr>
            <w:tcW w:w="401" w:type="pct"/>
          </w:tcPr>
          <w:p w14:paraId="6B1313ED" w14:textId="77777777" w:rsidR="00074551" w:rsidRPr="00E50B51" w:rsidRDefault="00074551" w:rsidP="00367133">
            <w:pPr>
              <w:jc w:val="center"/>
              <w:rPr>
                <w:sz w:val="20"/>
                <w:szCs w:val="20"/>
              </w:rPr>
            </w:pPr>
            <w:r w:rsidRPr="00E50B51">
              <w:rPr>
                <w:sz w:val="20"/>
                <w:szCs w:val="20"/>
              </w:rPr>
              <w:t>M</w:t>
            </w:r>
          </w:p>
        </w:tc>
        <w:tc>
          <w:tcPr>
            <w:tcW w:w="1594" w:type="pct"/>
          </w:tcPr>
          <w:p w14:paraId="55F04C5B" w14:textId="77777777" w:rsidR="00074551" w:rsidRPr="00E50B51" w:rsidRDefault="00074551" w:rsidP="00367133">
            <w:pPr>
              <w:jc w:val="both"/>
              <w:rPr>
                <w:sz w:val="20"/>
                <w:szCs w:val="20"/>
              </w:rPr>
            </w:pPr>
            <w:r w:rsidRPr="00E50B51">
              <w:rPr>
                <w:sz w:val="20"/>
                <w:szCs w:val="20"/>
              </w:rPr>
              <w:t>*</w:t>
            </w:r>
          </w:p>
          <w:p w14:paraId="7EAE100D" w14:textId="77777777" w:rsidR="00074551" w:rsidRPr="00E50B51" w:rsidRDefault="00074551" w:rsidP="00367133">
            <w:pPr>
              <w:jc w:val="both"/>
              <w:rPr>
                <w:sz w:val="20"/>
                <w:szCs w:val="20"/>
              </w:rPr>
            </w:pPr>
          </w:p>
        </w:tc>
        <w:tc>
          <w:tcPr>
            <w:tcW w:w="1822" w:type="pct"/>
          </w:tcPr>
          <w:p w14:paraId="76AAD07C" w14:textId="25F1A2BF" w:rsidR="00074551" w:rsidRDefault="00074551" w:rsidP="00367133">
            <w:pPr>
              <w:jc w:val="both"/>
              <w:rPr>
                <w:sz w:val="20"/>
                <w:szCs w:val="20"/>
              </w:rPr>
            </w:pPr>
            <w:r w:rsidRPr="002A54BD">
              <w:rPr>
                <w:sz w:val="20"/>
                <w:szCs w:val="20"/>
              </w:rPr>
              <w:t xml:space="preserve">Die Ehefreiheit sei eines der lebenswichtigen Persönlichkeitsrechte. </w:t>
            </w:r>
            <w:r>
              <w:rPr>
                <w:sz w:val="20"/>
                <w:szCs w:val="20"/>
              </w:rPr>
              <w:t>Sie</w:t>
            </w:r>
            <w:r w:rsidRPr="002A54BD">
              <w:rPr>
                <w:sz w:val="20"/>
                <w:szCs w:val="20"/>
              </w:rPr>
              <w:t xml:space="preserve"> </w:t>
            </w:r>
            <w:r>
              <w:rPr>
                <w:sz w:val="20"/>
                <w:szCs w:val="20"/>
              </w:rPr>
              <w:t>sei</w:t>
            </w:r>
            <w:r w:rsidRPr="002A54BD">
              <w:rPr>
                <w:sz w:val="20"/>
                <w:szCs w:val="20"/>
              </w:rPr>
              <w:t xml:space="preserve"> für ein geordnetes Streben nach Glück von freien Menschen unerlässlich. Und </w:t>
            </w:r>
            <w:r>
              <w:rPr>
                <w:sz w:val="20"/>
                <w:szCs w:val="20"/>
              </w:rPr>
              <w:t xml:space="preserve">sowohl </w:t>
            </w:r>
            <w:r w:rsidRPr="002A54BD">
              <w:rPr>
                <w:sz w:val="20"/>
                <w:szCs w:val="20"/>
              </w:rPr>
              <w:t xml:space="preserve">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als auch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schütz</w:t>
            </w:r>
            <w:r>
              <w:rPr>
                <w:sz w:val="20"/>
                <w:szCs w:val="20"/>
              </w:rPr>
              <w:t>t</w:t>
            </w:r>
            <w:r w:rsidRPr="002A54BD">
              <w:rPr>
                <w:sz w:val="20"/>
                <w:szCs w:val="20"/>
              </w:rPr>
              <w:t xml:space="preserve">en sie. Doch wie errichtet sich dieses Schutzniveau anhand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als eine Bedingung für Glüc</w:t>
            </w:r>
            <w:r>
              <w:rPr>
                <w:sz w:val="20"/>
                <w:szCs w:val="20"/>
              </w:rPr>
              <w:t>k</w:t>
            </w:r>
            <w:r w:rsidRPr="002A54BD">
              <w:rPr>
                <w:sz w:val="20"/>
                <w:szCs w:val="20"/>
              </w:rPr>
              <w:t>sstreben („</w:t>
            </w:r>
            <w:proofErr w:type="spellStart"/>
            <w:r w:rsidRPr="002A54BD">
              <w:rPr>
                <w:sz w:val="20"/>
                <w:szCs w:val="20"/>
              </w:rPr>
              <w:t>rights</w:t>
            </w:r>
            <w:proofErr w:type="spellEnd"/>
            <w:r w:rsidRPr="002A54BD">
              <w:rPr>
                <w:sz w:val="20"/>
                <w:szCs w:val="20"/>
              </w:rPr>
              <w:t xml:space="preserve"> essential to the </w:t>
            </w:r>
            <w:proofErr w:type="spellStart"/>
            <w:r w:rsidRPr="002A54BD">
              <w:rPr>
                <w:sz w:val="20"/>
                <w:szCs w:val="20"/>
              </w:rPr>
              <w:t>orderly</w:t>
            </w:r>
            <w:proofErr w:type="spellEnd"/>
            <w:r w:rsidRPr="002A54BD">
              <w:rPr>
                <w:sz w:val="20"/>
                <w:szCs w:val="20"/>
              </w:rPr>
              <w:t xml:space="preserve"> </w:t>
            </w:r>
            <w:proofErr w:type="spellStart"/>
            <w:r w:rsidRPr="002A54BD">
              <w:rPr>
                <w:sz w:val="20"/>
                <w:szCs w:val="20"/>
              </w:rPr>
              <w:t>pursuit</w:t>
            </w:r>
            <w:proofErr w:type="spellEnd"/>
            <w:r w:rsidRPr="002A54BD">
              <w:rPr>
                <w:sz w:val="20"/>
                <w:szCs w:val="20"/>
              </w:rPr>
              <w:t xml:space="preserve"> of </w:t>
            </w:r>
            <w:proofErr w:type="spellStart"/>
            <w:r w:rsidRPr="002A54BD">
              <w:rPr>
                <w:sz w:val="20"/>
                <w:szCs w:val="20"/>
              </w:rPr>
              <w:t>happiness</w:t>
            </w:r>
            <w:proofErr w:type="spellEnd"/>
            <w:r w:rsidRPr="002A54BD">
              <w:rPr>
                <w:sz w:val="20"/>
                <w:szCs w:val="20"/>
              </w:rPr>
              <w:t>“</w:t>
            </w:r>
            <w:r w:rsidRPr="002A54BD">
              <w:rPr>
                <w:sz w:val="20"/>
                <w:szCs w:val="20"/>
                <w:vertAlign w:val="superscript"/>
              </w:rPr>
              <w:footnoteReference w:id="1676"/>
            </w:r>
            <w:r w:rsidRPr="002A54BD">
              <w:rPr>
                <w:sz w:val="20"/>
                <w:szCs w:val="20"/>
              </w:rPr>
              <w:t xml:space="preserve">)? Das zeigt der </w:t>
            </w:r>
            <w:r>
              <w:rPr>
                <w:sz w:val="20"/>
                <w:szCs w:val="20"/>
              </w:rPr>
              <w:t>U.S. Supreme Court</w:t>
            </w:r>
            <w:r w:rsidRPr="002A54BD">
              <w:rPr>
                <w:sz w:val="20"/>
                <w:szCs w:val="20"/>
              </w:rPr>
              <w:t xml:space="preserve"> in drei Herleitungsschritten. Erstens: Bei der Auslegung der Amendments könn</w:t>
            </w:r>
            <w:r>
              <w:rPr>
                <w:sz w:val="20"/>
                <w:szCs w:val="20"/>
              </w:rPr>
              <w:t>t</w:t>
            </w:r>
            <w:r w:rsidRPr="002A54BD">
              <w:rPr>
                <w:sz w:val="20"/>
                <w:szCs w:val="20"/>
              </w:rPr>
              <w:t>en neue gesellschaftliche Auffassungen oder Erkenntnis</w:t>
            </w:r>
            <w:r>
              <w:rPr>
                <w:sz w:val="20"/>
                <w:szCs w:val="20"/>
              </w:rPr>
              <w:t>se</w:t>
            </w:r>
            <w:r w:rsidRPr="002A54BD">
              <w:rPr>
                <w:sz w:val="20"/>
                <w:szCs w:val="20"/>
              </w:rPr>
              <w:t xml:space="preserve"> bisher unerkannte und ungerechtfertigte Ungleichheiten aufdecken, die innerhalb der grundlegendsten Institutionen der Vereinigten Staaten bestanden h</w:t>
            </w:r>
            <w:r>
              <w:rPr>
                <w:sz w:val="20"/>
                <w:szCs w:val="20"/>
              </w:rPr>
              <w:t>ä</w:t>
            </w:r>
            <w:r w:rsidRPr="002A54BD">
              <w:rPr>
                <w:sz w:val="20"/>
                <w:szCs w:val="20"/>
              </w:rPr>
              <w:t>tten</w:t>
            </w:r>
            <w:r>
              <w:rPr>
                <w:sz w:val="20"/>
                <w:szCs w:val="20"/>
              </w:rPr>
              <w:t xml:space="preserve"> und</w:t>
            </w:r>
            <w:r w:rsidRPr="002A54BD">
              <w:rPr>
                <w:sz w:val="20"/>
                <w:szCs w:val="20"/>
              </w:rPr>
              <w:t xml:space="preserve"> nur bis</w:t>
            </w:r>
            <w:r>
              <w:rPr>
                <w:sz w:val="20"/>
                <w:szCs w:val="20"/>
              </w:rPr>
              <w:t>her</w:t>
            </w:r>
            <w:r w:rsidRPr="002A54BD">
              <w:rPr>
                <w:sz w:val="20"/>
                <w:szCs w:val="20"/>
              </w:rPr>
              <w:t xml:space="preserve"> unbeanstandet </w:t>
            </w:r>
            <w:r>
              <w:rPr>
                <w:sz w:val="20"/>
                <w:szCs w:val="20"/>
              </w:rPr>
              <w:t>geblieben seien</w:t>
            </w:r>
            <w:r w:rsidRPr="002A54BD">
              <w:rPr>
                <w:sz w:val="20"/>
                <w:szCs w:val="20"/>
              </w:rPr>
              <w:t>.</w:t>
            </w:r>
            <w:r w:rsidRPr="002A54BD">
              <w:rPr>
                <w:sz w:val="20"/>
                <w:szCs w:val="20"/>
                <w:vertAlign w:val="superscript"/>
              </w:rPr>
              <w:footnoteReference w:id="1677"/>
            </w:r>
            <w:r w:rsidRPr="002A54BD">
              <w:rPr>
                <w:sz w:val="20"/>
                <w:szCs w:val="20"/>
              </w:rPr>
              <w:t xml:space="preserve"> Zweitens: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w:t>
            </w:r>
            <w:r>
              <w:rPr>
                <w:sz w:val="20"/>
                <w:szCs w:val="20"/>
              </w:rPr>
              <w:t>trage</w:t>
            </w:r>
            <w:r w:rsidRPr="002A54BD">
              <w:rPr>
                <w:sz w:val="20"/>
                <w:szCs w:val="20"/>
              </w:rPr>
              <w:t xml:space="preserve"> dazu bei, diese Ungleichheiten aufzudecken – und diese zu korrigieren, </w:t>
            </w:r>
            <w:r>
              <w:rPr>
                <w:sz w:val="20"/>
                <w:szCs w:val="20"/>
              </w:rPr>
              <w:t>z.B.</w:t>
            </w:r>
            <w:r w:rsidRPr="002A54BD">
              <w:rPr>
                <w:sz w:val="20"/>
                <w:szCs w:val="20"/>
              </w:rPr>
              <w:t xml:space="preserve"> in der Institution der Ehe; dafür verstärk</w:t>
            </w:r>
            <w:r>
              <w:rPr>
                <w:sz w:val="20"/>
                <w:szCs w:val="20"/>
              </w:rPr>
              <w:t>e</w:t>
            </w:r>
            <w:r w:rsidRPr="002A54BD">
              <w:rPr>
                <w:sz w:val="20"/>
                <w:szCs w:val="20"/>
              </w:rPr>
              <w:t xml:space="preserve">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auch die Freiheit und Gleichheit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2A54BD">
              <w:rPr>
                <w:sz w:val="20"/>
                <w:szCs w:val="20"/>
                <w:vertAlign w:val="superscript"/>
              </w:rPr>
              <w:footnoteReference w:id="1678"/>
            </w:r>
            <w:r w:rsidRPr="002A54BD">
              <w:rPr>
                <w:sz w:val="20"/>
                <w:szCs w:val="20"/>
              </w:rPr>
              <w:t xml:space="preserve"> Drittens: Das Recht gleichgeschlechtlicher Paare auf Eheschließung, das Teil der Freiheit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2A54BD">
              <w:rPr>
                <w:sz w:val="20"/>
                <w:szCs w:val="20"/>
              </w:rPr>
              <w:t xml:space="preserve"> sei, folge ferner aus dem in diesem Amendment enthaltenen gleichen Schutz durch die Gesetze („</w:t>
            </w:r>
            <w:proofErr w:type="spellStart"/>
            <w:r w:rsidRPr="002A54BD">
              <w:rPr>
                <w:sz w:val="20"/>
                <w:szCs w:val="20"/>
              </w:rPr>
              <w:t>equal</w:t>
            </w:r>
            <w:proofErr w:type="spellEnd"/>
            <w:r w:rsidRPr="002A54BD">
              <w:rPr>
                <w:sz w:val="20"/>
                <w:szCs w:val="20"/>
              </w:rPr>
              <w:t xml:space="preserve"> </w:t>
            </w:r>
            <w:proofErr w:type="spellStart"/>
            <w:r w:rsidRPr="002A54BD">
              <w:rPr>
                <w:sz w:val="20"/>
                <w:szCs w:val="20"/>
              </w:rPr>
              <w:t>protection</w:t>
            </w:r>
            <w:proofErr w:type="spellEnd"/>
            <w:r w:rsidRPr="002A54BD">
              <w:rPr>
                <w:sz w:val="20"/>
                <w:szCs w:val="20"/>
              </w:rPr>
              <w:t xml:space="preserve"> of the </w:t>
            </w:r>
            <w:proofErr w:type="spellStart"/>
            <w:r w:rsidRPr="002A54BD">
              <w:rPr>
                <w:sz w:val="20"/>
                <w:szCs w:val="20"/>
              </w:rPr>
              <w:t>laws</w:t>
            </w:r>
            <w:proofErr w:type="spellEnd"/>
            <w:r w:rsidRPr="002A54BD">
              <w:rPr>
                <w:sz w:val="20"/>
                <w:szCs w:val="20"/>
              </w:rPr>
              <w:t>“</w:t>
            </w:r>
            <w:r w:rsidRPr="002A54BD">
              <w:rPr>
                <w:sz w:val="20"/>
                <w:szCs w:val="20"/>
                <w:vertAlign w:val="superscript"/>
              </w:rPr>
              <w:footnoteReference w:id="1679"/>
            </w:r>
            <w:r w:rsidRPr="002A54BD">
              <w:rPr>
                <w:sz w:val="20"/>
                <w:szCs w:val="20"/>
              </w:rPr>
              <w:t>). Schließlich seien die Klausel über einen Freiheitsentzug nur durch ein rechtsstaatliches Verfahren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und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Protecion</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eng miteinander verwoben, auch wenn sie unabhängige Grundsätze festleg</w:t>
            </w:r>
            <w:r>
              <w:rPr>
                <w:sz w:val="20"/>
                <w:szCs w:val="20"/>
              </w:rPr>
              <w:t>t</w:t>
            </w:r>
            <w:r w:rsidRPr="002A54BD">
              <w:rPr>
                <w:sz w:val="20"/>
                <w:szCs w:val="20"/>
              </w:rPr>
              <w:t>en. Sie könn</w:t>
            </w:r>
            <w:r>
              <w:rPr>
                <w:sz w:val="20"/>
                <w:szCs w:val="20"/>
              </w:rPr>
              <w:t>t</w:t>
            </w:r>
            <w:r w:rsidRPr="002A54BD">
              <w:rPr>
                <w:sz w:val="20"/>
                <w:szCs w:val="20"/>
              </w:rPr>
              <w:t xml:space="preserve">en die Bedeutung und Reichweite des jeweils anderen mitbestimmen. Und sobald der </w:t>
            </w:r>
            <w:r>
              <w:rPr>
                <w:sz w:val="20"/>
                <w:szCs w:val="20"/>
              </w:rPr>
              <w:t>U.S. Supreme Court</w:t>
            </w:r>
            <w:r w:rsidRPr="002A54BD">
              <w:rPr>
                <w:sz w:val="20"/>
                <w:szCs w:val="20"/>
              </w:rPr>
              <w:t xml:space="preserve"> ein Recht definiere, wofür eine der beiden Klauseln den Schwerpunkt bilde, müss</w:t>
            </w:r>
            <w:r>
              <w:rPr>
                <w:sz w:val="20"/>
                <w:szCs w:val="20"/>
              </w:rPr>
              <w:t>t</w:t>
            </w:r>
            <w:r w:rsidRPr="002A54BD">
              <w:rPr>
                <w:sz w:val="20"/>
                <w:szCs w:val="20"/>
              </w:rPr>
              <w:t xml:space="preserve">en beide Klauseln gleichermaßen zusammenwirken, um die Definition zu rahmen, so der </w:t>
            </w:r>
            <w:r>
              <w:rPr>
                <w:sz w:val="20"/>
                <w:szCs w:val="20"/>
              </w:rPr>
              <w:t>U.S. Supreme Court</w:t>
            </w:r>
            <w:r w:rsidRPr="002A54BD">
              <w:rPr>
                <w:sz w:val="20"/>
                <w:szCs w:val="20"/>
              </w:rPr>
              <w:t xml:space="preserve">. Diese Interrelation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und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2A54BD">
              <w:rPr>
                <w:sz w:val="20"/>
                <w:szCs w:val="20"/>
              </w:rPr>
              <w:t xml:space="preserve"> fördere das Verständnis des Freiheitsbegriff</w:t>
            </w:r>
            <w:r>
              <w:rPr>
                <w:sz w:val="20"/>
                <w:szCs w:val="20"/>
              </w:rPr>
              <w:t>s</w:t>
            </w:r>
            <w:r w:rsidRPr="002A54BD">
              <w:rPr>
                <w:sz w:val="20"/>
                <w:szCs w:val="20"/>
              </w:rPr>
              <w:t>.</w:t>
            </w:r>
            <w:r w:rsidRPr="002A54BD">
              <w:rPr>
                <w:sz w:val="20"/>
                <w:szCs w:val="20"/>
                <w:vertAlign w:val="superscript"/>
              </w:rPr>
              <w:footnoteReference w:id="1680"/>
            </w:r>
          </w:p>
          <w:p w14:paraId="120D185D" w14:textId="77777777" w:rsidR="00074551" w:rsidRPr="00E50B51" w:rsidRDefault="00074551" w:rsidP="00367133">
            <w:pPr>
              <w:jc w:val="both"/>
              <w:rPr>
                <w:sz w:val="20"/>
                <w:szCs w:val="20"/>
              </w:rPr>
            </w:pPr>
          </w:p>
        </w:tc>
      </w:tr>
      <w:tr w:rsidR="00074551" w:rsidRPr="00E50B51" w14:paraId="340CEEF2" w14:textId="77777777" w:rsidTr="00BE689F">
        <w:trPr>
          <w:cantSplit/>
          <w:trHeight w:val="3175"/>
        </w:trPr>
        <w:tc>
          <w:tcPr>
            <w:tcW w:w="293" w:type="pct"/>
          </w:tcPr>
          <w:p w14:paraId="2A1AC6C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0497CDD" w14:textId="77777777" w:rsidR="00074551" w:rsidRPr="00B45592" w:rsidRDefault="00074551" w:rsidP="00367133">
            <w:pPr>
              <w:ind w:left="113" w:right="416"/>
              <w:jc w:val="both"/>
              <w:rPr>
                <w:i/>
                <w:sz w:val="20"/>
                <w:szCs w:val="20"/>
              </w:rPr>
            </w:pPr>
            <w:r w:rsidRPr="00A15962">
              <w:rPr>
                <w:i/>
                <w:sz w:val="20"/>
                <w:szCs w:val="20"/>
              </w:rPr>
              <w:t>Powell v. Pennsylvania</w:t>
            </w:r>
          </w:p>
        </w:tc>
        <w:tc>
          <w:tcPr>
            <w:tcW w:w="197" w:type="pct"/>
            <w:textDirection w:val="tbRl"/>
            <w:vAlign w:val="center"/>
          </w:tcPr>
          <w:p w14:paraId="7E4814AE" w14:textId="77777777" w:rsidR="00074551" w:rsidRPr="00E50B51" w:rsidRDefault="00074551" w:rsidP="00367133">
            <w:pPr>
              <w:ind w:left="113" w:right="113"/>
              <w:jc w:val="both"/>
              <w:rPr>
                <w:sz w:val="20"/>
                <w:szCs w:val="20"/>
              </w:rPr>
            </w:pPr>
            <w:r w:rsidRPr="00E50B51">
              <w:rPr>
                <w:sz w:val="20"/>
                <w:szCs w:val="20"/>
                <w:lang w:val="en-US"/>
              </w:rPr>
              <w:t>127 U.S. 678</w:t>
            </w:r>
          </w:p>
        </w:tc>
        <w:tc>
          <w:tcPr>
            <w:tcW w:w="306" w:type="pct"/>
            <w:textDirection w:val="tbRl"/>
            <w:vAlign w:val="center"/>
          </w:tcPr>
          <w:p w14:paraId="2E4E54B8" w14:textId="77777777" w:rsidR="00074551" w:rsidRPr="00E50B51" w:rsidRDefault="00074551" w:rsidP="00367133">
            <w:pPr>
              <w:ind w:left="113" w:right="113"/>
              <w:jc w:val="both"/>
              <w:rPr>
                <w:sz w:val="20"/>
                <w:szCs w:val="20"/>
              </w:rPr>
            </w:pPr>
            <w:r w:rsidRPr="00E50B51">
              <w:rPr>
                <w:sz w:val="20"/>
                <w:szCs w:val="20"/>
              </w:rPr>
              <w:t>9. April 1888</w:t>
            </w:r>
          </w:p>
        </w:tc>
        <w:tc>
          <w:tcPr>
            <w:tcW w:w="401" w:type="pct"/>
          </w:tcPr>
          <w:p w14:paraId="0E14D3EA" w14:textId="77777777" w:rsidR="00074551" w:rsidRDefault="00074551" w:rsidP="00367133">
            <w:pPr>
              <w:jc w:val="center"/>
              <w:rPr>
                <w:sz w:val="20"/>
                <w:szCs w:val="20"/>
              </w:rPr>
            </w:pPr>
            <w:r>
              <w:rPr>
                <w:sz w:val="20"/>
                <w:szCs w:val="20"/>
              </w:rPr>
              <w:t>D</w:t>
            </w:r>
          </w:p>
          <w:p w14:paraId="50126CE8" w14:textId="77777777" w:rsidR="00074551" w:rsidRPr="00E50B51" w:rsidRDefault="00074551" w:rsidP="00367133">
            <w:pPr>
              <w:jc w:val="center"/>
              <w:rPr>
                <w:sz w:val="20"/>
                <w:szCs w:val="20"/>
              </w:rPr>
            </w:pPr>
          </w:p>
        </w:tc>
        <w:tc>
          <w:tcPr>
            <w:tcW w:w="1594" w:type="pct"/>
          </w:tcPr>
          <w:p w14:paraId="6DE8E342" w14:textId="77777777" w:rsidR="00074551" w:rsidRPr="00E50B51" w:rsidRDefault="00074551" w:rsidP="00367133">
            <w:pPr>
              <w:jc w:val="both"/>
              <w:rPr>
                <w:sz w:val="20"/>
                <w:szCs w:val="20"/>
              </w:rPr>
            </w:pPr>
            <w:r w:rsidRPr="00E50B51">
              <w:rPr>
                <w:sz w:val="20"/>
                <w:szCs w:val="20"/>
              </w:rPr>
              <w:t>*</w:t>
            </w:r>
          </w:p>
        </w:tc>
        <w:tc>
          <w:tcPr>
            <w:tcW w:w="1822" w:type="pct"/>
          </w:tcPr>
          <w:p w14:paraId="1A635929" w14:textId="2BE7E6D8" w:rsidR="00074551" w:rsidRDefault="00074551" w:rsidP="00367133">
            <w:pPr>
              <w:jc w:val="both"/>
              <w:rPr>
                <w:sz w:val="20"/>
                <w:szCs w:val="20"/>
              </w:rPr>
            </w:pPr>
            <w:r w:rsidRPr="00452886">
              <w:rPr>
                <w:sz w:val="20"/>
                <w:szCs w:val="20"/>
              </w:rPr>
              <w:t xml:space="preserve">Der </w:t>
            </w:r>
            <w:r>
              <w:rPr>
                <w:sz w:val="20"/>
                <w:szCs w:val="20"/>
              </w:rPr>
              <w:t>U.S. Supreme Court</w:t>
            </w:r>
            <w:r w:rsidRPr="00452886">
              <w:rPr>
                <w:sz w:val="20"/>
                <w:szCs w:val="20"/>
              </w:rPr>
              <w:t xml:space="preserve"> erklärt im Urteil die Doktrin („</w:t>
            </w:r>
            <w:proofErr w:type="spellStart"/>
            <w:r w:rsidRPr="00452886">
              <w:rPr>
                <w:sz w:val="20"/>
                <w:szCs w:val="20"/>
              </w:rPr>
              <w:t>this</w:t>
            </w:r>
            <w:proofErr w:type="spellEnd"/>
            <w:r w:rsidRPr="00452886">
              <w:rPr>
                <w:sz w:val="20"/>
                <w:szCs w:val="20"/>
              </w:rPr>
              <w:t xml:space="preserve"> </w:t>
            </w:r>
            <w:proofErr w:type="spellStart"/>
            <w:r w:rsidRPr="00452886">
              <w:rPr>
                <w:sz w:val="20"/>
                <w:szCs w:val="20"/>
              </w:rPr>
              <w:t>doctrine</w:t>
            </w:r>
            <w:proofErr w:type="spellEnd"/>
            <w:r w:rsidRPr="00452886">
              <w:rPr>
                <w:sz w:val="20"/>
                <w:szCs w:val="20"/>
              </w:rPr>
              <w:t>“</w:t>
            </w:r>
            <w:r w:rsidRPr="00452886">
              <w:rPr>
                <w:sz w:val="20"/>
                <w:szCs w:val="20"/>
                <w:vertAlign w:val="superscript"/>
              </w:rPr>
              <w:footnoteReference w:id="1681"/>
            </w:r>
            <w:r w:rsidRPr="00452886">
              <w:rPr>
                <w:sz w:val="20"/>
                <w:szCs w:val="20"/>
              </w:rPr>
              <w:t>) des Rechts, nach Glück streben zu können („</w:t>
            </w:r>
            <w:proofErr w:type="spellStart"/>
            <w:r w:rsidRPr="00452886">
              <w:rPr>
                <w:sz w:val="20"/>
                <w:szCs w:val="20"/>
              </w:rPr>
              <w:t>right</w:t>
            </w:r>
            <w:proofErr w:type="spellEnd"/>
            <w:r w:rsidRPr="00452886">
              <w:rPr>
                <w:sz w:val="20"/>
                <w:szCs w:val="20"/>
              </w:rPr>
              <w:t xml:space="preserve"> to </w:t>
            </w:r>
            <w:proofErr w:type="spellStart"/>
            <w:r w:rsidRPr="00452886">
              <w:rPr>
                <w:sz w:val="20"/>
                <w:szCs w:val="20"/>
              </w:rPr>
              <w:t>pursue</w:t>
            </w:r>
            <w:proofErr w:type="spellEnd"/>
            <w:r w:rsidRPr="00452886">
              <w:rPr>
                <w:sz w:val="20"/>
                <w:szCs w:val="20"/>
              </w:rPr>
              <w:t xml:space="preserve"> </w:t>
            </w:r>
            <w:proofErr w:type="spellStart"/>
            <w:r w:rsidRPr="00452886">
              <w:rPr>
                <w:sz w:val="20"/>
                <w:szCs w:val="20"/>
              </w:rPr>
              <w:t>one</w:t>
            </w:r>
            <w:r>
              <w:rPr>
                <w:sz w:val="20"/>
                <w:szCs w:val="20"/>
              </w:rPr>
              <w:t>’</w:t>
            </w:r>
            <w:r w:rsidRPr="00452886">
              <w:rPr>
                <w:sz w:val="20"/>
                <w:szCs w:val="20"/>
              </w:rPr>
              <w:t>s</w:t>
            </w:r>
            <w:proofErr w:type="spellEnd"/>
            <w:r w:rsidRPr="00452886">
              <w:rPr>
                <w:sz w:val="20"/>
                <w:szCs w:val="20"/>
              </w:rPr>
              <w:t xml:space="preserve"> </w:t>
            </w:r>
            <w:proofErr w:type="spellStart"/>
            <w:r w:rsidRPr="00452886">
              <w:rPr>
                <w:sz w:val="20"/>
                <w:szCs w:val="20"/>
              </w:rPr>
              <w:t>happiness</w:t>
            </w:r>
            <w:proofErr w:type="spellEnd"/>
            <w:r w:rsidRPr="00452886">
              <w:rPr>
                <w:sz w:val="20"/>
                <w:szCs w:val="20"/>
              </w:rPr>
              <w:t>“</w:t>
            </w:r>
            <w:r w:rsidRPr="00452886">
              <w:rPr>
                <w:sz w:val="20"/>
                <w:szCs w:val="20"/>
                <w:vertAlign w:val="superscript"/>
              </w:rPr>
              <w:footnoteReference w:id="1682"/>
            </w:r>
            <w:r w:rsidRPr="00452886">
              <w:rPr>
                <w:sz w:val="20"/>
                <w:szCs w:val="20"/>
              </w:rPr>
              <w:t xml:space="preserve">). Ein Definitionsansatz für das Recht laute („essential </w:t>
            </w:r>
            <w:proofErr w:type="spellStart"/>
            <w:r w:rsidRPr="00452886">
              <w:rPr>
                <w:sz w:val="20"/>
                <w:szCs w:val="20"/>
              </w:rPr>
              <w:t>conditions</w:t>
            </w:r>
            <w:proofErr w:type="spellEnd"/>
            <w:r w:rsidRPr="00452886">
              <w:rPr>
                <w:sz w:val="20"/>
                <w:szCs w:val="20"/>
              </w:rPr>
              <w:t xml:space="preserve"> for the </w:t>
            </w:r>
            <w:proofErr w:type="spellStart"/>
            <w:r w:rsidRPr="00452886">
              <w:rPr>
                <w:sz w:val="20"/>
                <w:szCs w:val="20"/>
              </w:rPr>
              <w:t>pursuit</w:t>
            </w:r>
            <w:proofErr w:type="spellEnd"/>
            <w:r w:rsidRPr="00452886">
              <w:rPr>
                <w:sz w:val="20"/>
                <w:szCs w:val="20"/>
              </w:rPr>
              <w:t xml:space="preserve"> of </w:t>
            </w:r>
            <w:proofErr w:type="spellStart"/>
            <w:r w:rsidRPr="00452886">
              <w:rPr>
                <w:sz w:val="20"/>
                <w:szCs w:val="20"/>
              </w:rPr>
              <w:t>happiness</w:t>
            </w:r>
            <w:proofErr w:type="spellEnd"/>
            <w:r w:rsidRPr="00452886">
              <w:rPr>
                <w:sz w:val="20"/>
                <w:szCs w:val="20"/>
              </w:rPr>
              <w:t>“</w:t>
            </w:r>
            <w:r w:rsidRPr="00452886">
              <w:rPr>
                <w:sz w:val="20"/>
                <w:szCs w:val="20"/>
                <w:vertAlign w:val="superscript"/>
              </w:rPr>
              <w:footnoteReference w:id="1683"/>
            </w:r>
            <w:r w:rsidRPr="00452886">
              <w:rPr>
                <w:sz w:val="20"/>
                <w:szCs w:val="20"/>
              </w:rPr>
              <w:t>): Eine willkürliche Entziehung von Leben und Freiheit sowie die willkürliche Enteignung von Eigentum sei</w:t>
            </w:r>
            <w:r>
              <w:rPr>
                <w:sz w:val="20"/>
                <w:szCs w:val="20"/>
              </w:rPr>
              <w:t>en</w:t>
            </w:r>
            <w:r w:rsidRPr="00452886">
              <w:rPr>
                <w:sz w:val="20"/>
                <w:szCs w:val="20"/>
              </w:rPr>
              <w:t xml:space="preserve"> zu verhindern („to </w:t>
            </w:r>
            <w:proofErr w:type="spellStart"/>
            <w:r w:rsidRPr="00452886">
              <w:rPr>
                <w:sz w:val="20"/>
                <w:szCs w:val="20"/>
              </w:rPr>
              <w:t>prevent</w:t>
            </w:r>
            <w:proofErr w:type="spellEnd"/>
            <w:r w:rsidRPr="00452886">
              <w:rPr>
                <w:sz w:val="20"/>
                <w:szCs w:val="20"/>
              </w:rPr>
              <w:t xml:space="preserve"> the </w:t>
            </w:r>
            <w:proofErr w:type="spellStart"/>
            <w:r w:rsidRPr="00452886">
              <w:rPr>
                <w:sz w:val="20"/>
                <w:szCs w:val="20"/>
              </w:rPr>
              <w:t>arbitrary</w:t>
            </w:r>
            <w:proofErr w:type="spellEnd"/>
            <w:r w:rsidRPr="00452886">
              <w:rPr>
                <w:sz w:val="20"/>
                <w:szCs w:val="20"/>
              </w:rPr>
              <w:t xml:space="preserve"> </w:t>
            </w:r>
            <w:proofErr w:type="spellStart"/>
            <w:r w:rsidRPr="00452886">
              <w:rPr>
                <w:sz w:val="20"/>
                <w:szCs w:val="20"/>
              </w:rPr>
              <w:t>deprivation</w:t>
            </w:r>
            <w:proofErr w:type="spellEnd"/>
            <w:r w:rsidRPr="00452886">
              <w:rPr>
                <w:sz w:val="20"/>
                <w:szCs w:val="20"/>
              </w:rPr>
              <w:t xml:space="preserve"> of </w:t>
            </w:r>
            <w:proofErr w:type="spellStart"/>
            <w:r w:rsidRPr="00452886">
              <w:rPr>
                <w:sz w:val="20"/>
                <w:szCs w:val="20"/>
              </w:rPr>
              <w:t>life</w:t>
            </w:r>
            <w:proofErr w:type="spellEnd"/>
            <w:r w:rsidRPr="00452886">
              <w:rPr>
                <w:sz w:val="20"/>
                <w:szCs w:val="20"/>
              </w:rPr>
              <w:t xml:space="preserve"> and </w:t>
            </w:r>
            <w:proofErr w:type="spellStart"/>
            <w:r w:rsidRPr="00452886">
              <w:rPr>
                <w:sz w:val="20"/>
                <w:szCs w:val="20"/>
              </w:rPr>
              <w:t>liberty</w:t>
            </w:r>
            <w:proofErr w:type="spellEnd"/>
            <w:r w:rsidRPr="00452886">
              <w:rPr>
                <w:sz w:val="20"/>
                <w:szCs w:val="20"/>
              </w:rPr>
              <w:t xml:space="preserve">, and the </w:t>
            </w:r>
            <w:proofErr w:type="spellStart"/>
            <w:r w:rsidRPr="00452886">
              <w:rPr>
                <w:sz w:val="20"/>
                <w:szCs w:val="20"/>
              </w:rPr>
              <w:t>arbitrary</w:t>
            </w:r>
            <w:proofErr w:type="spellEnd"/>
            <w:r w:rsidRPr="00452886">
              <w:rPr>
                <w:sz w:val="20"/>
                <w:szCs w:val="20"/>
              </w:rPr>
              <w:t xml:space="preserve"> </w:t>
            </w:r>
            <w:proofErr w:type="spellStart"/>
            <w:r w:rsidRPr="00452886">
              <w:rPr>
                <w:sz w:val="20"/>
                <w:szCs w:val="20"/>
              </w:rPr>
              <w:t>spoliation</w:t>
            </w:r>
            <w:proofErr w:type="spellEnd"/>
            <w:r w:rsidRPr="00452886">
              <w:rPr>
                <w:sz w:val="20"/>
                <w:szCs w:val="20"/>
              </w:rPr>
              <w:t xml:space="preserve"> of </w:t>
            </w:r>
            <w:proofErr w:type="spellStart"/>
            <w:r w:rsidRPr="00452886">
              <w:rPr>
                <w:sz w:val="20"/>
                <w:szCs w:val="20"/>
              </w:rPr>
              <w:t>property</w:t>
            </w:r>
            <w:proofErr w:type="spellEnd"/>
            <w:r w:rsidRPr="00452886">
              <w:rPr>
                <w:sz w:val="20"/>
                <w:szCs w:val="20"/>
              </w:rPr>
              <w:t>“</w:t>
            </w:r>
            <w:r w:rsidRPr="00452886">
              <w:rPr>
                <w:sz w:val="20"/>
                <w:szCs w:val="20"/>
                <w:vertAlign w:val="superscript"/>
              </w:rPr>
              <w:footnoteReference w:id="1684"/>
            </w:r>
            <w:r w:rsidRPr="00452886">
              <w:rPr>
                <w:sz w:val="20"/>
                <w:szCs w:val="20"/>
              </w:rPr>
              <w:t xml:space="preserve">). Und nur ein rechtsstaatliches Verfahren könne Leben, Freiheit, Eigentum entziehen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52886">
              <w:rPr>
                <w:sz w:val="20"/>
                <w:szCs w:val="20"/>
                <w:vertAlign w:val="superscript"/>
              </w:rPr>
              <w:footnoteReference w:id="1685"/>
            </w:r>
            <w:r w:rsidRPr="00452886">
              <w:rPr>
                <w:sz w:val="20"/>
                <w:szCs w:val="20"/>
              </w:rPr>
              <w:t xml:space="preserve"> Dabei beschri</w:t>
            </w:r>
            <w:r>
              <w:rPr>
                <w:sz w:val="20"/>
                <w:szCs w:val="20"/>
              </w:rPr>
              <w:t>e</w:t>
            </w:r>
            <w:r w:rsidRPr="00452886">
              <w:rPr>
                <w:sz w:val="20"/>
                <w:szCs w:val="20"/>
              </w:rPr>
              <w:t xml:space="preserve">ben die Freiheit und das Leben verschiedene Schutzbereiche. Die Freiheit habe zwei Elemente in </w:t>
            </w:r>
            <w:r>
              <w:rPr>
                <w:sz w:val="20"/>
                <w:szCs w:val="20"/>
              </w:rPr>
              <w:t>ihrem</w:t>
            </w:r>
            <w:r w:rsidRPr="00452886">
              <w:rPr>
                <w:sz w:val="20"/>
                <w:szCs w:val="20"/>
              </w:rPr>
              <w:t xml:space="preserve"> Schutzbereich: Das negative, also </w:t>
            </w:r>
            <w:r>
              <w:rPr>
                <w:sz w:val="20"/>
                <w:szCs w:val="20"/>
              </w:rPr>
              <w:t>z.B.</w:t>
            </w:r>
            <w:r w:rsidRPr="00452886">
              <w:rPr>
                <w:sz w:val="20"/>
                <w:szCs w:val="20"/>
              </w:rPr>
              <w:t xml:space="preserve"> durch Freiheitsentzug vor körperlicher Einschränkung geschützt zu sein, und das positive („the </w:t>
            </w:r>
            <w:proofErr w:type="spellStart"/>
            <w:r w:rsidRPr="00452886">
              <w:rPr>
                <w:sz w:val="20"/>
                <w:szCs w:val="20"/>
              </w:rPr>
              <w:t>right</w:t>
            </w:r>
            <w:proofErr w:type="spellEnd"/>
            <w:r w:rsidRPr="00452886">
              <w:rPr>
                <w:sz w:val="20"/>
                <w:szCs w:val="20"/>
              </w:rPr>
              <w:t xml:space="preserve"> of man to </w:t>
            </w:r>
            <w:proofErr w:type="spellStart"/>
            <w:r w:rsidRPr="00452886">
              <w:rPr>
                <w:sz w:val="20"/>
                <w:szCs w:val="20"/>
              </w:rPr>
              <w:t>be</w:t>
            </w:r>
            <w:proofErr w:type="spellEnd"/>
            <w:r w:rsidRPr="00452886">
              <w:rPr>
                <w:sz w:val="20"/>
                <w:szCs w:val="20"/>
              </w:rPr>
              <w:t xml:space="preserve"> </w:t>
            </w:r>
            <w:proofErr w:type="spellStart"/>
            <w:r w:rsidRPr="00452886">
              <w:rPr>
                <w:sz w:val="20"/>
                <w:szCs w:val="20"/>
              </w:rPr>
              <w:t>free</w:t>
            </w:r>
            <w:proofErr w:type="spellEnd"/>
            <w:r w:rsidRPr="00452886">
              <w:rPr>
                <w:sz w:val="20"/>
                <w:szCs w:val="20"/>
              </w:rPr>
              <w:t xml:space="preserve"> in the </w:t>
            </w:r>
            <w:proofErr w:type="spellStart"/>
            <w:r w:rsidRPr="00452886">
              <w:rPr>
                <w:sz w:val="20"/>
                <w:szCs w:val="20"/>
              </w:rPr>
              <w:t>enjoyment</w:t>
            </w:r>
            <w:proofErr w:type="spellEnd"/>
            <w:r w:rsidRPr="00452886">
              <w:rPr>
                <w:sz w:val="20"/>
                <w:szCs w:val="20"/>
              </w:rPr>
              <w:t xml:space="preserve"> of the </w:t>
            </w:r>
            <w:proofErr w:type="spellStart"/>
            <w:r w:rsidRPr="00452886">
              <w:rPr>
                <w:sz w:val="20"/>
                <w:szCs w:val="20"/>
              </w:rPr>
              <w:t>faculties</w:t>
            </w:r>
            <w:proofErr w:type="spellEnd"/>
            <w:r w:rsidRPr="00452886">
              <w:rPr>
                <w:sz w:val="20"/>
                <w:szCs w:val="20"/>
              </w:rPr>
              <w:t>“</w:t>
            </w:r>
            <w:r w:rsidRPr="00452886">
              <w:rPr>
                <w:sz w:val="20"/>
                <w:szCs w:val="20"/>
                <w:vertAlign w:val="superscript"/>
              </w:rPr>
              <w:footnoteReference w:id="1686"/>
            </w:r>
            <w:r w:rsidRPr="00452886">
              <w:rPr>
                <w:sz w:val="20"/>
                <w:szCs w:val="20"/>
              </w:rPr>
              <w:t xml:space="preserve">): </w:t>
            </w:r>
            <w:r>
              <w:rPr>
                <w:sz w:val="20"/>
                <w:szCs w:val="20"/>
              </w:rPr>
              <w:t>z.B.</w:t>
            </w:r>
            <w:r w:rsidRPr="00452886">
              <w:rPr>
                <w:sz w:val="20"/>
                <w:szCs w:val="20"/>
              </w:rPr>
              <w:t xml:space="preserve"> die Freizügigkeit, die Handlungsfreiheiten, aber auch die Berufsausübungsfreiheit – </w:t>
            </w:r>
            <w:proofErr w:type="spellStart"/>
            <w:r>
              <w:rPr>
                <w:sz w:val="20"/>
                <w:szCs w:val="20"/>
              </w:rPr>
              <w:t>so weit</w:t>
            </w:r>
            <w:proofErr w:type="spellEnd"/>
            <w:r w:rsidRPr="00452886">
              <w:rPr>
                <w:sz w:val="20"/>
                <w:szCs w:val="20"/>
              </w:rPr>
              <w:t xml:space="preserve"> sie nicht die Rechte anderer verletz</w:t>
            </w:r>
            <w:r>
              <w:rPr>
                <w:sz w:val="20"/>
                <w:szCs w:val="20"/>
              </w:rPr>
              <w:t>t</w:t>
            </w:r>
            <w:r w:rsidRPr="00452886">
              <w:rPr>
                <w:sz w:val="20"/>
                <w:szCs w:val="20"/>
              </w:rPr>
              <w:t>en.</w:t>
            </w:r>
            <w:r w:rsidRPr="00452886">
              <w:rPr>
                <w:sz w:val="20"/>
                <w:szCs w:val="20"/>
                <w:vertAlign w:val="superscript"/>
              </w:rPr>
              <w:footnoteReference w:id="1687"/>
            </w:r>
            <w:r w:rsidRPr="00452886">
              <w:rPr>
                <w:sz w:val="20"/>
                <w:szCs w:val="20"/>
              </w:rPr>
              <w:t xml:space="preserve"> Mit dem Recht auf Leben </w:t>
            </w:r>
            <w:r>
              <w:rPr>
                <w:sz w:val="20"/>
                <w:szCs w:val="20"/>
              </w:rPr>
              <w:t>kämen</w:t>
            </w:r>
            <w:r w:rsidRPr="00452886">
              <w:rPr>
                <w:sz w:val="20"/>
                <w:szCs w:val="20"/>
              </w:rPr>
              <w:t xml:space="preserve"> in negativer Hinsicht jedem erstmal diese Freiheitselemente zu; und in positiver Hinsicht </w:t>
            </w:r>
            <w:r>
              <w:rPr>
                <w:sz w:val="20"/>
                <w:szCs w:val="20"/>
              </w:rPr>
              <w:t>könne</w:t>
            </w:r>
            <w:r w:rsidRPr="00452886">
              <w:rPr>
                <w:sz w:val="20"/>
                <w:szCs w:val="20"/>
              </w:rPr>
              <w:t xml:space="preserve"> dann jeder diese Freiheiten tatsächlich ausüben – </w:t>
            </w:r>
            <w:proofErr w:type="spellStart"/>
            <w:r>
              <w:rPr>
                <w:sz w:val="20"/>
                <w:szCs w:val="20"/>
              </w:rPr>
              <w:t>so weit</w:t>
            </w:r>
            <w:proofErr w:type="spellEnd"/>
            <w:r w:rsidRPr="00452886">
              <w:rPr>
                <w:sz w:val="20"/>
                <w:szCs w:val="20"/>
              </w:rPr>
              <w:t xml:space="preserve"> auch diese nicht die Rechte anderer unangemessen einschränk</w:t>
            </w:r>
            <w:r>
              <w:rPr>
                <w:sz w:val="20"/>
                <w:szCs w:val="20"/>
              </w:rPr>
              <w:t>t</w:t>
            </w:r>
            <w:r w:rsidRPr="00452886">
              <w:rPr>
                <w:sz w:val="20"/>
                <w:szCs w:val="20"/>
              </w:rPr>
              <w:t xml:space="preserve">en („not </w:t>
            </w:r>
            <w:proofErr w:type="spellStart"/>
            <w:r w:rsidRPr="00452886">
              <w:rPr>
                <w:sz w:val="20"/>
                <w:szCs w:val="20"/>
              </w:rPr>
              <w:t>inconsistent</w:t>
            </w:r>
            <w:proofErr w:type="spellEnd"/>
            <w:r w:rsidRPr="00452886">
              <w:rPr>
                <w:sz w:val="20"/>
                <w:szCs w:val="20"/>
              </w:rPr>
              <w:t xml:space="preserve"> </w:t>
            </w:r>
            <w:proofErr w:type="spellStart"/>
            <w:r w:rsidRPr="00452886">
              <w:rPr>
                <w:sz w:val="20"/>
                <w:szCs w:val="20"/>
              </w:rPr>
              <w:t>with</w:t>
            </w:r>
            <w:proofErr w:type="spellEnd"/>
            <w:r w:rsidRPr="00452886">
              <w:rPr>
                <w:sz w:val="20"/>
                <w:szCs w:val="20"/>
              </w:rPr>
              <w:t xml:space="preserve"> the </w:t>
            </w:r>
            <w:proofErr w:type="spellStart"/>
            <w:r w:rsidRPr="00452886">
              <w:rPr>
                <w:sz w:val="20"/>
                <w:szCs w:val="20"/>
              </w:rPr>
              <w:t>equal</w:t>
            </w:r>
            <w:proofErr w:type="spellEnd"/>
            <w:r w:rsidRPr="00452886">
              <w:rPr>
                <w:sz w:val="20"/>
                <w:szCs w:val="20"/>
              </w:rPr>
              <w:t xml:space="preserve"> </w:t>
            </w:r>
            <w:proofErr w:type="spellStart"/>
            <w:r w:rsidRPr="00452886">
              <w:rPr>
                <w:sz w:val="20"/>
                <w:szCs w:val="20"/>
              </w:rPr>
              <w:t>rights</w:t>
            </w:r>
            <w:proofErr w:type="spellEnd"/>
            <w:r w:rsidRPr="00452886">
              <w:rPr>
                <w:sz w:val="20"/>
                <w:szCs w:val="20"/>
              </w:rPr>
              <w:t xml:space="preserve"> of </w:t>
            </w:r>
            <w:proofErr w:type="spellStart"/>
            <w:r w:rsidRPr="00452886">
              <w:rPr>
                <w:sz w:val="20"/>
                <w:szCs w:val="20"/>
              </w:rPr>
              <w:t>others</w:t>
            </w:r>
            <w:proofErr w:type="spellEnd"/>
            <w:r w:rsidRPr="00452886">
              <w:rPr>
                <w:sz w:val="20"/>
                <w:szCs w:val="20"/>
              </w:rPr>
              <w:t>“</w:t>
            </w:r>
            <w:r w:rsidRPr="00452886">
              <w:rPr>
                <w:sz w:val="20"/>
                <w:szCs w:val="20"/>
                <w:vertAlign w:val="superscript"/>
              </w:rPr>
              <w:footnoteReference w:id="1688"/>
            </w:r>
            <w:r w:rsidRPr="00452886">
              <w:rPr>
                <w:sz w:val="20"/>
                <w:szCs w:val="20"/>
              </w:rPr>
              <w:t>). Dieses negative und positive Voraussetzungsverständnis ergebe sich aus dem Recht, mit Leben, Freiheit, Eigentum nach seinem Glück streben zu können</w:t>
            </w:r>
            <w:r>
              <w:rPr>
                <w:sz w:val="20"/>
                <w:szCs w:val="20"/>
              </w:rPr>
              <w:t>;</w:t>
            </w:r>
            <w:r w:rsidRPr="00452886">
              <w:rPr>
                <w:sz w:val="20"/>
                <w:szCs w:val="20"/>
              </w:rPr>
              <w:t xml:space="preserve"> </w:t>
            </w:r>
            <w:r>
              <w:rPr>
                <w:sz w:val="20"/>
                <w:szCs w:val="20"/>
              </w:rPr>
              <w:t>L</w:t>
            </w:r>
            <w:r w:rsidRPr="00452886">
              <w:rPr>
                <w:sz w:val="20"/>
                <w:szCs w:val="20"/>
              </w:rPr>
              <w:t xml:space="preserve">etzteres zähle zu </w:t>
            </w:r>
            <w:r>
              <w:rPr>
                <w:sz w:val="20"/>
                <w:szCs w:val="20"/>
              </w:rPr>
              <w:t xml:space="preserve">den </w:t>
            </w:r>
            <w:r w:rsidRPr="00452886">
              <w:rPr>
                <w:sz w:val="20"/>
                <w:szCs w:val="20"/>
              </w:rPr>
              <w:t xml:space="preserve">unveräußerlichen Rechten des Menschen („The </w:t>
            </w:r>
            <w:proofErr w:type="spellStart"/>
            <w:r w:rsidRPr="00452886">
              <w:rPr>
                <w:sz w:val="20"/>
                <w:szCs w:val="20"/>
              </w:rPr>
              <w:t>right</w:t>
            </w:r>
            <w:proofErr w:type="spellEnd"/>
            <w:r w:rsidRPr="00452886">
              <w:rPr>
                <w:sz w:val="20"/>
                <w:szCs w:val="20"/>
              </w:rPr>
              <w:t xml:space="preserve"> to </w:t>
            </w:r>
            <w:proofErr w:type="spellStart"/>
            <w:r w:rsidRPr="00452886">
              <w:rPr>
                <w:sz w:val="20"/>
                <w:szCs w:val="20"/>
              </w:rPr>
              <w:t>pursue</w:t>
            </w:r>
            <w:proofErr w:type="spellEnd"/>
            <w:r w:rsidRPr="00452886">
              <w:rPr>
                <w:sz w:val="20"/>
                <w:szCs w:val="20"/>
              </w:rPr>
              <w:t xml:space="preserve"> </w:t>
            </w:r>
            <w:proofErr w:type="spellStart"/>
            <w:r w:rsidRPr="00452886">
              <w:rPr>
                <w:sz w:val="20"/>
                <w:szCs w:val="20"/>
              </w:rPr>
              <w:t>one</w:t>
            </w:r>
            <w:r>
              <w:rPr>
                <w:sz w:val="20"/>
                <w:szCs w:val="20"/>
              </w:rPr>
              <w:t>’</w:t>
            </w:r>
            <w:r w:rsidRPr="00452886">
              <w:rPr>
                <w:sz w:val="20"/>
                <w:szCs w:val="20"/>
              </w:rPr>
              <w:t>s</w:t>
            </w:r>
            <w:proofErr w:type="spellEnd"/>
            <w:r w:rsidRPr="00452886">
              <w:rPr>
                <w:sz w:val="20"/>
                <w:szCs w:val="20"/>
              </w:rPr>
              <w:t xml:space="preserve"> </w:t>
            </w:r>
            <w:proofErr w:type="spellStart"/>
            <w:r w:rsidRPr="00452886">
              <w:rPr>
                <w:sz w:val="20"/>
                <w:szCs w:val="20"/>
              </w:rPr>
              <w:t>happiness</w:t>
            </w:r>
            <w:proofErr w:type="spellEnd"/>
            <w:r w:rsidRPr="00452886">
              <w:rPr>
                <w:sz w:val="20"/>
                <w:szCs w:val="20"/>
              </w:rPr>
              <w:t xml:space="preserve"> </w:t>
            </w:r>
            <w:proofErr w:type="spellStart"/>
            <w:r w:rsidRPr="00452886">
              <w:rPr>
                <w:sz w:val="20"/>
                <w:szCs w:val="20"/>
              </w:rPr>
              <w:t>is</w:t>
            </w:r>
            <w:proofErr w:type="spellEnd"/>
            <w:r w:rsidRPr="00452886">
              <w:rPr>
                <w:sz w:val="20"/>
                <w:szCs w:val="20"/>
              </w:rPr>
              <w:t xml:space="preserve"> </w:t>
            </w:r>
            <w:proofErr w:type="spellStart"/>
            <w:r w:rsidRPr="00452886">
              <w:rPr>
                <w:sz w:val="20"/>
                <w:szCs w:val="20"/>
              </w:rPr>
              <w:t>placed</w:t>
            </w:r>
            <w:proofErr w:type="spellEnd"/>
            <w:r w:rsidRPr="00452886">
              <w:rPr>
                <w:sz w:val="20"/>
                <w:szCs w:val="20"/>
              </w:rPr>
              <w:t xml:space="preserve"> to the Declaration of Independence </w:t>
            </w:r>
            <w:proofErr w:type="spellStart"/>
            <w:r w:rsidRPr="00452886">
              <w:rPr>
                <w:sz w:val="20"/>
                <w:szCs w:val="20"/>
              </w:rPr>
              <w:t>among</w:t>
            </w:r>
            <w:proofErr w:type="spellEnd"/>
            <w:r w:rsidRPr="00452886">
              <w:rPr>
                <w:sz w:val="20"/>
                <w:szCs w:val="20"/>
              </w:rPr>
              <w:t xml:space="preserve"> the </w:t>
            </w:r>
            <w:proofErr w:type="spellStart"/>
            <w:r w:rsidRPr="00452886">
              <w:rPr>
                <w:sz w:val="20"/>
                <w:szCs w:val="20"/>
              </w:rPr>
              <w:t>inalienable</w:t>
            </w:r>
            <w:proofErr w:type="spellEnd"/>
            <w:r w:rsidRPr="00452886">
              <w:rPr>
                <w:sz w:val="20"/>
                <w:szCs w:val="20"/>
              </w:rPr>
              <w:t xml:space="preserve"> </w:t>
            </w:r>
            <w:proofErr w:type="spellStart"/>
            <w:r w:rsidRPr="00452886">
              <w:rPr>
                <w:sz w:val="20"/>
                <w:szCs w:val="20"/>
              </w:rPr>
              <w:t>rights</w:t>
            </w:r>
            <w:proofErr w:type="spellEnd"/>
            <w:r w:rsidRPr="00452886">
              <w:rPr>
                <w:sz w:val="20"/>
                <w:szCs w:val="20"/>
              </w:rPr>
              <w:t xml:space="preserve"> of man“</w:t>
            </w:r>
            <w:r w:rsidRPr="00452886">
              <w:rPr>
                <w:sz w:val="20"/>
                <w:szCs w:val="20"/>
                <w:vertAlign w:val="superscript"/>
              </w:rPr>
              <w:footnoteReference w:id="1689"/>
            </w:r>
            <w:r w:rsidRPr="00452886">
              <w:rPr>
                <w:sz w:val="20"/>
                <w:szCs w:val="20"/>
              </w:rPr>
              <w:t>).</w:t>
            </w:r>
          </w:p>
          <w:p w14:paraId="706028DF" w14:textId="77777777" w:rsidR="00074551" w:rsidRPr="00E50B51" w:rsidRDefault="00074551" w:rsidP="00367133">
            <w:pPr>
              <w:jc w:val="both"/>
              <w:rPr>
                <w:sz w:val="20"/>
                <w:szCs w:val="20"/>
              </w:rPr>
            </w:pPr>
          </w:p>
        </w:tc>
      </w:tr>
      <w:tr w:rsidR="00074551" w:rsidRPr="00E50B51" w14:paraId="6886376E" w14:textId="77777777" w:rsidTr="00BE689F">
        <w:trPr>
          <w:cantSplit/>
          <w:trHeight w:val="3175"/>
        </w:trPr>
        <w:tc>
          <w:tcPr>
            <w:tcW w:w="293" w:type="pct"/>
          </w:tcPr>
          <w:p w14:paraId="6F377E0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EEA8A4A" w14:textId="77777777" w:rsidR="00074551" w:rsidRPr="00E50B51" w:rsidRDefault="00074551" w:rsidP="00367133">
            <w:pPr>
              <w:ind w:left="113" w:right="416"/>
              <w:jc w:val="both"/>
              <w:rPr>
                <w:sz w:val="20"/>
                <w:szCs w:val="20"/>
                <w:lang w:val="en-US"/>
              </w:rPr>
            </w:pPr>
            <w:r w:rsidRPr="00A15962">
              <w:rPr>
                <w:i/>
                <w:sz w:val="20"/>
                <w:szCs w:val="20"/>
                <w:lang w:val="en-US"/>
              </w:rPr>
              <w:t>Regents of Univ. of Cal. v. Bakke</w:t>
            </w:r>
          </w:p>
        </w:tc>
        <w:tc>
          <w:tcPr>
            <w:tcW w:w="197" w:type="pct"/>
            <w:textDirection w:val="tbRl"/>
            <w:vAlign w:val="center"/>
          </w:tcPr>
          <w:p w14:paraId="46C8181E" w14:textId="77777777" w:rsidR="00074551" w:rsidRPr="00E50B51" w:rsidRDefault="00074551" w:rsidP="00367133">
            <w:pPr>
              <w:ind w:left="113" w:right="113"/>
              <w:jc w:val="both"/>
              <w:rPr>
                <w:sz w:val="20"/>
                <w:szCs w:val="20"/>
                <w:lang w:val="en-US"/>
              </w:rPr>
            </w:pPr>
            <w:r w:rsidRPr="00E50B51">
              <w:rPr>
                <w:sz w:val="20"/>
                <w:szCs w:val="20"/>
                <w:lang w:val="en-US"/>
              </w:rPr>
              <w:t>438 U.S. 265</w:t>
            </w:r>
          </w:p>
        </w:tc>
        <w:tc>
          <w:tcPr>
            <w:tcW w:w="306" w:type="pct"/>
            <w:textDirection w:val="tbRl"/>
            <w:vAlign w:val="center"/>
          </w:tcPr>
          <w:p w14:paraId="05520B92" w14:textId="77777777" w:rsidR="00074551" w:rsidRPr="00E50B51" w:rsidRDefault="00074551" w:rsidP="00367133">
            <w:pPr>
              <w:ind w:left="113" w:right="113"/>
              <w:jc w:val="both"/>
              <w:rPr>
                <w:sz w:val="20"/>
                <w:szCs w:val="20"/>
                <w:lang w:val="en-US"/>
              </w:rPr>
            </w:pPr>
            <w:r w:rsidRPr="00E50B51">
              <w:rPr>
                <w:sz w:val="20"/>
                <w:szCs w:val="20"/>
                <w:lang w:val="en-US"/>
              </w:rPr>
              <w:t>28. Juni 1978</w:t>
            </w:r>
          </w:p>
        </w:tc>
        <w:tc>
          <w:tcPr>
            <w:tcW w:w="401" w:type="pct"/>
          </w:tcPr>
          <w:p w14:paraId="37929D42"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0EA7AFD1" w14:textId="77777777" w:rsidR="00074551" w:rsidRPr="00E50B51" w:rsidRDefault="00074551" w:rsidP="00367133">
            <w:pPr>
              <w:jc w:val="both"/>
              <w:rPr>
                <w:sz w:val="20"/>
                <w:szCs w:val="20"/>
              </w:rPr>
            </w:pPr>
            <w:r w:rsidRPr="00E50B51">
              <w:rPr>
                <w:sz w:val="20"/>
                <w:szCs w:val="20"/>
              </w:rPr>
              <w:t>*</w:t>
            </w:r>
          </w:p>
        </w:tc>
        <w:tc>
          <w:tcPr>
            <w:tcW w:w="1822" w:type="pct"/>
          </w:tcPr>
          <w:p w14:paraId="5210994D" w14:textId="77777777" w:rsidR="00074551" w:rsidRPr="00452886" w:rsidRDefault="00074551" w:rsidP="00367133">
            <w:pPr>
              <w:jc w:val="both"/>
              <w:rPr>
                <w:sz w:val="20"/>
                <w:szCs w:val="20"/>
              </w:rPr>
            </w:pPr>
            <w:r w:rsidRPr="00452886">
              <w:rPr>
                <w:sz w:val="20"/>
                <w:szCs w:val="20"/>
              </w:rPr>
              <w:t xml:space="preserve">Im Dissens in </w:t>
            </w:r>
            <w:proofErr w:type="spellStart"/>
            <w:r w:rsidRPr="5B67C1D2">
              <w:rPr>
                <w:i/>
                <w:iCs/>
                <w:sz w:val="20"/>
                <w:szCs w:val="20"/>
              </w:rPr>
              <w:t>Regents</w:t>
            </w:r>
            <w:proofErr w:type="spellEnd"/>
            <w:r w:rsidRPr="5B67C1D2">
              <w:rPr>
                <w:i/>
                <w:iCs/>
                <w:sz w:val="20"/>
                <w:szCs w:val="20"/>
              </w:rPr>
              <w:t xml:space="preserve"> of Univ. of Cal. v. Bakke</w:t>
            </w:r>
            <w:r w:rsidRPr="00452886">
              <w:rPr>
                <w:sz w:val="20"/>
                <w:szCs w:val="20"/>
              </w:rPr>
              <w:t xml:space="preserve"> erklärte der </w:t>
            </w:r>
            <w:r>
              <w:rPr>
                <w:sz w:val="20"/>
                <w:szCs w:val="20"/>
              </w:rPr>
              <w:t>U.S. Supreme Court</w:t>
            </w:r>
            <w:r w:rsidRPr="00452886">
              <w:rPr>
                <w:sz w:val="20"/>
                <w:szCs w:val="20"/>
              </w:rPr>
              <w:t>, dass der Grundsatz</w:t>
            </w:r>
            <w:r>
              <w:rPr>
                <w:sz w:val="20"/>
                <w:szCs w:val="20"/>
              </w:rPr>
              <w:t>,</w:t>
            </w:r>
            <w:r w:rsidRPr="00452886">
              <w:rPr>
                <w:sz w:val="20"/>
                <w:szCs w:val="20"/>
              </w:rPr>
              <w:t xml:space="preserve"> alle Menschen seien gleich, erstmals </w:t>
            </w:r>
            <w:r>
              <w:rPr>
                <w:sz w:val="20"/>
                <w:szCs w:val="20"/>
              </w:rPr>
              <w:t>von der</w:t>
            </w:r>
            <w:r w:rsidRPr="00452886">
              <w:rPr>
                <w:sz w:val="20"/>
                <w:szCs w:val="20"/>
              </w:rPr>
              <w:t xml:space="preserve"> </w:t>
            </w:r>
            <w:r w:rsidRPr="5B67C1D2">
              <w:rPr>
                <w:i/>
                <w:iCs/>
                <w:sz w:val="20"/>
                <w:szCs w:val="20"/>
              </w:rPr>
              <w:t>Declaration of Independence</w:t>
            </w:r>
            <w:r w:rsidRPr="00452886">
              <w:rPr>
                <w:sz w:val="20"/>
                <w:szCs w:val="20"/>
              </w:rPr>
              <w:t xml:space="preserve"> als Verfassungsdokument postuliert und als Voraussetzung für ein gleiches Streben nach Glück </w:t>
            </w:r>
            <w:r>
              <w:rPr>
                <w:sz w:val="20"/>
                <w:szCs w:val="20"/>
              </w:rPr>
              <w:t>niedergelegt worden sei</w:t>
            </w:r>
            <w:r w:rsidRPr="00452886">
              <w:rPr>
                <w:sz w:val="20"/>
                <w:szCs w:val="20"/>
              </w:rPr>
              <w:t>.</w:t>
            </w:r>
            <w:r w:rsidRPr="00452886">
              <w:rPr>
                <w:sz w:val="20"/>
                <w:szCs w:val="20"/>
                <w:vertAlign w:val="superscript"/>
              </w:rPr>
              <w:footnoteReference w:id="1690"/>
            </w:r>
            <w:r w:rsidRPr="00452886">
              <w:rPr>
                <w:sz w:val="20"/>
                <w:szCs w:val="20"/>
              </w:rPr>
              <w:t xml:space="preserve"> Der Dissens schilderte, dass der Gesetzgeber mit der </w:t>
            </w:r>
            <w:r w:rsidRPr="5B67C1D2">
              <w:rPr>
                <w:i/>
                <w:iCs/>
                <w:sz w:val="20"/>
                <w:szCs w:val="20"/>
              </w:rPr>
              <w:t>Declaration of Independence</w:t>
            </w:r>
            <w:r w:rsidRPr="00452886">
              <w:rPr>
                <w:sz w:val="20"/>
                <w:szCs w:val="20"/>
              </w:rPr>
              <w:t xml:space="preserve"> erstmals den Menschenrechtsgedanken anerkannte („</w:t>
            </w:r>
            <w:proofErr w:type="spellStart"/>
            <w:r w:rsidRPr="00452886">
              <w:rPr>
                <w:sz w:val="20"/>
                <w:szCs w:val="20"/>
              </w:rPr>
              <w:t>denial</w:t>
            </w:r>
            <w:proofErr w:type="spellEnd"/>
            <w:r w:rsidRPr="00452886">
              <w:rPr>
                <w:sz w:val="20"/>
                <w:szCs w:val="20"/>
              </w:rPr>
              <w:t xml:space="preserve"> of human </w:t>
            </w:r>
            <w:proofErr w:type="spellStart"/>
            <w:r w:rsidRPr="00452886">
              <w:rPr>
                <w:sz w:val="20"/>
                <w:szCs w:val="20"/>
              </w:rPr>
              <w:t>rights</w:t>
            </w:r>
            <w:proofErr w:type="spellEnd"/>
            <w:r w:rsidRPr="00452886">
              <w:rPr>
                <w:sz w:val="20"/>
                <w:szCs w:val="20"/>
              </w:rPr>
              <w:t xml:space="preserve"> was </w:t>
            </w:r>
            <w:proofErr w:type="spellStart"/>
            <w:r w:rsidRPr="00452886">
              <w:rPr>
                <w:sz w:val="20"/>
                <w:szCs w:val="20"/>
              </w:rPr>
              <w:t>etched</w:t>
            </w:r>
            <w:proofErr w:type="spellEnd"/>
            <w:r w:rsidRPr="00452886">
              <w:rPr>
                <w:sz w:val="20"/>
                <w:szCs w:val="20"/>
              </w:rPr>
              <w:t xml:space="preserve"> […] </w:t>
            </w:r>
            <w:r w:rsidRPr="00452886">
              <w:rPr>
                <w:sz w:val="20"/>
                <w:szCs w:val="20"/>
                <w:lang w:val="en-US"/>
              </w:rPr>
              <w:t xml:space="preserve">[w]hen the colonists determined to seek their independence“). Und </w:t>
            </w:r>
            <w:proofErr w:type="spellStart"/>
            <w:r w:rsidRPr="00452886">
              <w:rPr>
                <w:sz w:val="20"/>
                <w:szCs w:val="20"/>
                <w:lang w:val="en-US"/>
              </w:rPr>
              <w:t>zumindest</w:t>
            </w:r>
            <w:proofErr w:type="spellEnd"/>
            <w:r w:rsidRPr="00452886">
              <w:rPr>
                <w:sz w:val="20"/>
                <w:szCs w:val="20"/>
                <w:lang w:val="en-US"/>
              </w:rPr>
              <w:t xml:space="preserve"> der </w:t>
            </w:r>
            <w:proofErr w:type="spellStart"/>
            <w:r w:rsidRPr="00452886">
              <w:rPr>
                <w:sz w:val="20"/>
                <w:szCs w:val="20"/>
                <w:lang w:val="en-US"/>
              </w:rPr>
              <w:t>Wortlaut</w:t>
            </w:r>
            <w:proofErr w:type="spellEnd"/>
            <w:r w:rsidRPr="00452886">
              <w:rPr>
                <w:sz w:val="20"/>
                <w:szCs w:val="20"/>
                <w:lang w:val="en-US"/>
              </w:rPr>
              <w:t xml:space="preserve"> </w:t>
            </w:r>
            <w:proofErr w:type="spellStart"/>
            <w:r>
              <w:rPr>
                <w:sz w:val="20"/>
                <w:szCs w:val="20"/>
                <w:lang w:val="en-US"/>
              </w:rPr>
              <w:t>trage</w:t>
            </w:r>
            <w:proofErr w:type="spellEnd"/>
            <w:r w:rsidRPr="00452886">
              <w:rPr>
                <w:sz w:val="20"/>
                <w:szCs w:val="20"/>
                <w:lang w:val="en-US"/>
              </w:rPr>
              <w:t xml:space="preserve"> </w:t>
            </w:r>
            <w:proofErr w:type="spellStart"/>
            <w:r w:rsidRPr="00452886">
              <w:rPr>
                <w:sz w:val="20"/>
                <w:szCs w:val="20"/>
                <w:lang w:val="en-US"/>
              </w:rPr>
              <w:t>ein</w:t>
            </w:r>
            <w:proofErr w:type="spellEnd"/>
            <w:r w:rsidRPr="00452886">
              <w:rPr>
                <w:sz w:val="20"/>
                <w:szCs w:val="20"/>
                <w:lang w:val="en-US"/>
              </w:rPr>
              <w:t xml:space="preserve"> </w:t>
            </w:r>
            <w:proofErr w:type="spellStart"/>
            <w:r w:rsidRPr="00452886">
              <w:rPr>
                <w:sz w:val="20"/>
                <w:szCs w:val="20"/>
                <w:lang w:val="en-US"/>
              </w:rPr>
              <w:t>gleiches</w:t>
            </w:r>
            <w:proofErr w:type="spellEnd"/>
            <w:r w:rsidRPr="00452886">
              <w:rPr>
                <w:sz w:val="20"/>
                <w:szCs w:val="20"/>
                <w:lang w:val="en-US"/>
              </w:rPr>
              <w:t xml:space="preserve"> Recht </w:t>
            </w:r>
            <w:proofErr w:type="spellStart"/>
            <w:r w:rsidRPr="00452886">
              <w:rPr>
                <w:sz w:val="20"/>
                <w:szCs w:val="20"/>
                <w:lang w:val="en-US"/>
              </w:rPr>
              <w:t>aller</w:t>
            </w:r>
            <w:proofErr w:type="spellEnd"/>
            <w:r w:rsidRPr="00452886">
              <w:rPr>
                <w:sz w:val="20"/>
                <w:szCs w:val="20"/>
                <w:lang w:val="en-US"/>
              </w:rPr>
              <w:t xml:space="preserve"> – </w:t>
            </w:r>
            <w:proofErr w:type="spellStart"/>
            <w:r w:rsidRPr="00452886">
              <w:rPr>
                <w:sz w:val="20"/>
                <w:szCs w:val="20"/>
                <w:lang w:val="en-US"/>
              </w:rPr>
              <w:t>Sklaven</w:t>
            </w:r>
            <w:proofErr w:type="spellEnd"/>
            <w:r w:rsidRPr="00452886">
              <w:rPr>
                <w:sz w:val="20"/>
                <w:szCs w:val="20"/>
                <w:lang w:val="en-US"/>
              </w:rPr>
              <w:t xml:space="preserve"> und </w:t>
            </w:r>
            <w:proofErr w:type="spellStart"/>
            <w:r w:rsidRPr="00452886">
              <w:rPr>
                <w:sz w:val="20"/>
                <w:szCs w:val="20"/>
                <w:lang w:val="en-US"/>
              </w:rPr>
              <w:t>Nichtsklaven</w:t>
            </w:r>
            <w:proofErr w:type="spellEnd"/>
            <w:r w:rsidRPr="00452886">
              <w:rPr>
                <w:sz w:val="20"/>
                <w:szCs w:val="20"/>
                <w:lang w:val="en-US"/>
              </w:rPr>
              <w:t xml:space="preserve"> –</w:t>
            </w:r>
            <w:r>
              <w:rPr>
                <w:sz w:val="20"/>
                <w:szCs w:val="20"/>
                <w:lang w:val="en-US"/>
              </w:rPr>
              <w:t>,</w:t>
            </w:r>
            <w:r w:rsidRPr="00452886">
              <w:rPr>
                <w:sz w:val="20"/>
                <w:szCs w:val="20"/>
                <w:lang w:val="en-US"/>
              </w:rPr>
              <w:t xml:space="preserve"> </w:t>
            </w:r>
            <w:proofErr w:type="spellStart"/>
            <w:r w:rsidRPr="00452886">
              <w:rPr>
                <w:sz w:val="20"/>
                <w:szCs w:val="20"/>
                <w:lang w:val="en-US"/>
              </w:rPr>
              <w:t>nach</w:t>
            </w:r>
            <w:proofErr w:type="spellEnd"/>
            <w:r w:rsidRPr="00452886">
              <w:rPr>
                <w:sz w:val="20"/>
                <w:szCs w:val="20"/>
                <w:lang w:val="en-US"/>
              </w:rPr>
              <w:t xml:space="preserve"> Glück </w:t>
            </w:r>
            <w:proofErr w:type="spellStart"/>
            <w:r w:rsidRPr="00452886">
              <w:rPr>
                <w:sz w:val="20"/>
                <w:szCs w:val="20"/>
                <w:lang w:val="en-US"/>
              </w:rPr>
              <w:t>streben</w:t>
            </w:r>
            <w:proofErr w:type="spellEnd"/>
            <w:r w:rsidRPr="00452886">
              <w:rPr>
                <w:sz w:val="20"/>
                <w:szCs w:val="20"/>
                <w:lang w:val="en-US"/>
              </w:rPr>
              <w:t xml:space="preserve"> </w:t>
            </w:r>
            <w:proofErr w:type="spellStart"/>
            <w:r w:rsidRPr="00452886">
              <w:rPr>
                <w:sz w:val="20"/>
                <w:szCs w:val="20"/>
                <w:lang w:val="en-US"/>
              </w:rPr>
              <w:t>zu</w:t>
            </w:r>
            <w:proofErr w:type="spellEnd"/>
            <w:r w:rsidRPr="00452886">
              <w:rPr>
                <w:sz w:val="20"/>
                <w:szCs w:val="20"/>
                <w:lang w:val="en-US"/>
              </w:rPr>
              <w:t xml:space="preserve"> </w:t>
            </w:r>
            <w:proofErr w:type="spellStart"/>
            <w:r w:rsidRPr="00452886">
              <w:rPr>
                <w:sz w:val="20"/>
                <w:szCs w:val="20"/>
                <w:lang w:val="en-US"/>
              </w:rPr>
              <w:t>können</w:t>
            </w:r>
            <w:proofErr w:type="spellEnd"/>
            <w:r w:rsidRPr="00452886">
              <w:rPr>
                <w:sz w:val="20"/>
                <w:szCs w:val="20"/>
                <w:lang w:val="en-US"/>
              </w:rPr>
              <w:t xml:space="preserve"> („</w:t>
            </w:r>
            <w:proofErr w:type="gramStart"/>
            <w:r w:rsidRPr="00452886">
              <w:rPr>
                <w:sz w:val="20"/>
                <w:szCs w:val="20"/>
                <w:lang w:val="en-US"/>
              </w:rPr>
              <w:t xml:space="preserve">that </w:t>
            </w:r>
            <w:r>
              <w:rPr>
                <w:sz w:val="20"/>
                <w:szCs w:val="20"/>
                <w:lang w:val="en-US"/>
              </w:rPr>
              <w:t>,</w:t>
            </w:r>
            <w:r w:rsidRPr="00452886">
              <w:rPr>
                <w:sz w:val="20"/>
                <w:szCs w:val="20"/>
                <w:lang w:val="en-US"/>
              </w:rPr>
              <w:t>all</w:t>
            </w:r>
            <w:proofErr w:type="gramEnd"/>
            <w:r w:rsidRPr="00452886">
              <w:rPr>
                <w:sz w:val="20"/>
                <w:szCs w:val="20"/>
                <w:lang w:val="en-US"/>
              </w:rPr>
              <w:t xml:space="preserve"> men are created </w:t>
            </w:r>
            <w:proofErr w:type="gramStart"/>
            <w:r w:rsidRPr="00452886">
              <w:rPr>
                <w:sz w:val="20"/>
                <w:szCs w:val="20"/>
                <w:lang w:val="en-US"/>
              </w:rPr>
              <w:t>equal</w:t>
            </w:r>
            <w:r>
              <w:rPr>
                <w:sz w:val="20"/>
                <w:szCs w:val="20"/>
                <w:lang w:val="en-US"/>
              </w:rPr>
              <w:t>‘</w:t>
            </w:r>
            <w:r w:rsidRPr="00452886">
              <w:rPr>
                <w:sz w:val="20"/>
                <w:szCs w:val="20"/>
                <w:lang w:val="en-US"/>
              </w:rPr>
              <w:t xml:space="preserve"> and</w:t>
            </w:r>
            <w:proofErr w:type="gramEnd"/>
            <w:r w:rsidRPr="00452886">
              <w:rPr>
                <w:sz w:val="20"/>
                <w:szCs w:val="20"/>
                <w:lang w:val="en-US"/>
              </w:rPr>
              <w:t xml:space="preserve"> are </w:t>
            </w:r>
            <w:proofErr w:type="gramStart"/>
            <w:r w:rsidRPr="00452886">
              <w:rPr>
                <w:sz w:val="20"/>
                <w:szCs w:val="20"/>
                <w:lang w:val="en-US"/>
              </w:rPr>
              <w:t xml:space="preserve">endowed </w:t>
            </w:r>
            <w:r>
              <w:rPr>
                <w:sz w:val="20"/>
                <w:szCs w:val="20"/>
                <w:lang w:val="en-US"/>
              </w:rPr>
              <w:t>,</w:t>
            </w:r>
            <w:r w:rsidRPr="00452886">
              <w:rPr>
                <w:sz w:val="20"/>
                <w:szCs w:val="20"/>
                <w:lang w:val="en-US"/>
              </w:rPr>
              <w:t>with</w:t>
            </w:r>
            <w:proofErr w:type="gramEnd"/>
            <w:r w:rsidRPr="00452886">
              <w:rPr>
                <w:sz w:val="20"/>
                <w:szCs w:val="20"/>
                <w:lang w:val="en-US"/>
              </w:rPr>
              <w:t xml:space="preserve"> certain unalienable </w:t>
            </w:r>
            <w:proofErr w:type="gramStart"/>
            <w:r w:rsidRPr="00452886">
              <w:rPr>
                <w:sz w:val="20"/>
                <w:szCs w:val="20"/>
                <w:lang w:val="en-US"/>
              </w:rPr>
              <w:t>Rights,</w:t>
            </w:r>
            <w:r>
              <w:rPr>
                <w:sz w:val="20"/>
                <w:szCs w:val="20"/>
                <w:lang w:val="en-US"/>
              </w:rPr>
              <w:t>‘</w:t>
            </w:r>
            <w:proofErr w:type="gramEnd"/>
            <w:r w:rsidRPr="00452886">
              <w:rPr>
                <w:sz w:val="20"/>
                <w:szCs w:val="20"/>
                <w:lang w:val="en-US"/>
              </w:rPr>
              <w:t xml:space="preserve"> </w:t>
            </w:r>
            <w:proofErr w:type="gramStart"/>
            <w:r w:rsidRPr="00452886">
              <w:rPr>
                <w:sz w:val="20"/>
                <w:szCs w:val="20"/>
                <w:lang w:val="en-US"/>
              </w:rPr>
              <w:t xml:space="preserve">including </w:t>
            </w:r>
            <w:r>
              <w:rPr>
                <w:sz w:val="20"/>
                <w:szCs w:val="20"/>
                <w:lang w:val="en-US"/>
              </w:rPr>
              <w:t>,</w:t>
            </w:r>
            <w:proofErr w:type="gramEnd"/>
            <w:r w:rsidRPr="00452886">
              <w:rPr>
                <w:sz w:val="20"/>
                <w:szCs w:val="20"/>
                <w:lang w:val="en-US"/>
              </w:rPr>
              <w:t xml:space="preserve">[…] the pursuit of </w:t>
            </w:r>
            <w:proofErr w:type="gramStart"/>
            <w:r w:rsidRPr="00452886">
              <w:rPr>
                <w:sz w:val="20"/>
                <w:szCs w:val="20"/>
                <w:lang w:val="en-US"/>
              </w:rPr>
              <w:t>Happiness.</w:t>
            </w:r>
            <w:r w:rsidRPr="001B6693">
              <w:rPr>
                <w:sz w:val="20"/>
                <w:szCs w:val="20"/>
                <w:lang w:val="en-US"/>
              </w:rPr>
              <w:t>‘</w:t>
            </w:r>
            <w:proofErr w:type="gramEnd"/>
            <w:r w:rsidRPr="001B6693">
              <w:rPr>
                <w:sz w:val="20"/>
                <w:szCs w:val="20"/>
                <w:lang w:val="en-US"/>
              </w:rPr>
              <w:t>“</w:t>
            </w:r>
            <w:r w:rsidRPr="00452886">
              <w:rPr>
                <w:sz w:val="20"/>
                <w:szCs w:val="20"/>
                <w:vertAlign w:val="superscript"/>
              </w:rPr>
              <w:footnoteReference w:id="1691"/>
            </w:r>
            <w:r w:rsidRPr="00452886">
              <w:rPr>
                <w:sz w:val="20"/>
                <w:szCs w:val="20"/>
              </w:rPr>
              <w:t xml:space="preserve">). Auch wenn der Dissens andeutet, die </w:t>
            </w:r>
            <w:proofErr w:type="spellStart"/>
            <w:r w:rsidRPr="5B67C1D2">
              <w:rPr>
                <w:i/>
                <w:iCs/>
                <w:sz w:val="20"/>
                <w:szCs w:val="20"/>
              </w:rPr>
              <w:t>founding</w:t>
            </w:r>
            <w:proofErr w:type="spellEnd"/>
            <w:r w:rsidRPr="5B67C1D2">
              <w:rPr>
                <w:i/>
                <w:iCs/>
                <w:sz w:val="20"/>
                <w:szCs w:val="20"/>
              </w:rPr>
              <w:t xml:space="preserve"> </w:t>
            </w:r>
            <w:proofErr w:type="spellStart"/>
            <w:r w:rsidRPr="5B67C1D2">
              <w:rPr>
                <w:i/>
                <w:iCs/>
                <w:sz w:val="20"/>
                <w:szCs w:val="20"/>
              </w:rPr>
              <w:t>fathers</w:t>
            </w:r>
            <w:proofErr w:type="spellEnd"/>
            <w:r w:rsidRPr="5B67C1D2">
              <w:rPr>
                <w:i/>
                <w:iCs/>
                <w:sz w:val="20"/>
                <w:szCs w:val="20"/>
              </w:rPr>
              <w:t xml:space="preserve"> </w:t>
            </w:r>
            <w:r>
              <w:rPr>
                <w:sz w:val="20"/>
                <w:szCs w:val="20"/>
              </w:rPr>
              <w:t>hätten</w:t>
            </w:r>
            <w:r w:rsidRPr="00452886">
              <w:rPr>
                <w:sz w:val="20"/>
                <w:szCs w:val="20"/>
              </w:rPr>
              <w:t xml:space="preserve"> nur weiße Menschen</w:t>
            </w:r>
            <w:r>
              <w:rPr>
                <w:sz w:val="20"/>
                <w:szCs w:val="20"/>
              </w:rPr>
              <w:t xml:space="preserve"> gemeint</w:t>
            </w:r>
            <w:r w:rsidRPr="00452886">
              <w:rPr>
                <w:sz w:val="20"/>
                <w:szCs w:val="20"/>
              </w:rPr>
              <w:t xml:space="preserve">, so verkennt dies nicht nur den Wortlaut der </w:t>
            </w:r>
            <w:r>
              <w:rPr>
                <w:sz w:val="20"/>
                <w:szCs w:val="20"/>
              </w:rPr>
              <w:t>U.S.</w:t>
            </w:r>
            <w:r w:rsidRPr="00452886">
              <w:rPr>
                <w:sz w:val="20"/>
                <w:szCs w:val="20"/>
              </w:rPr>
              <w:t xml:space="preserve"> </w:t>
            </w:r>
            <w:proofErr w:type="spellStart"/>
            <w:r w:rsidRPr="00452886">
              <w:rPr>
                <w:sz w:val="20"/>
                <w:szCs w:val="20"/>
              </w:rPr>
              <w:t>Const</w:t>
            </w:r>
            <w:proofErr w:type="spellEnd"/>
            <w:r w:rsidRPr="00452886">
              <w:rPr>
                <w:sz w:val="20"/>
                <w:szCs w:val="20"/>
              </w:rPr>
              <w:t>., sondern auch die aktuelle Geschichtsforschung.</w:t>
            </w:r>
            <w:r w:rsidRPr="00452886">
              <w:rPr>
                <w:sz w:val="20"/>
                <w:szCs w:val="20"/>
                <w:vertAlign w:val="superscript"/>
              </w:rPr>
              <w:footnoteReference w:id="1692"/>
            </w:r>
          </w:p>
          <w:p w14:paraId="61D5F789" w14:textId="77777777" w:rsidR="00074551" w:rsidRPr="00E50B51" w:rsidRDefault="00074551" w:rsidP="00367133">
            <w:pPr>
              <w:jc w:val="both"/>
              <w:rPr>
                <w:sz w:val="20"/>
                <w:szCs w:val="20"/>
              </w:rPr>
            </w:pPr>
          </w:p>
        </w:tc>
      </w:tr>
      <w:tr w:rsidR="00074551" w:rsidRPr="00E50B51" w14:paraId="0B34C7CC" w14:textId="77777777" w:rsidTr="00BE689F">
        <w:trPr>
          <w:cantSplit/>
          <w:trHeight w:val="3175"/>
        </w:trPr>
        <w:tc>
          <w:tcPr>
            <w:tcW w:w="293" w:type="pct"/>
          </w:tcPr>
          <w:p w14:paraId="0009700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51C4438" w14:textId="77777777" w:rsidR="00074551" w:rsidRPr="00E50B51" w:rsidRDefault="00074551" w:rsidP="00367133">
            <w:pPr>
              <w:ind w:left="113" w:right="416"/>
              <w:jc w:val="both"/>
              <w:rPr>
                <w:sz w:val="20"/>
                <w:szCs w:val="20"/>
              </w:rPr>
            </w:pPr>
            <w:r w:rsidRPr="00A15962">
              <w:rPr>
                <w:i/>
                <w:sz w:val="20"/>
                <w:szCs w:val="20"/>
                <w:lang w:val="en-US"/>
              </w:rPr>
              <w:t>Yick Wo v. Hopkins</w:t>
            </w:r>
          </w:p>
        </w:tc>
        <w:tc>
          <w:tcPr>
            <w:tcW w:w="197" w:type="pct"/>
            <w:textDirection w:val="tbRl"/>
            <w:vAlign w:val="center"/>
          </w:tcPr>
          <w:p w14:paraId="2871D33E" w14:textId="77777777" w:rsidR="00074551" w:rsidRPr="00E50B51" w:rsidRDefault="00074551" w:rsidP="00367133">
            <w:pPr>
              <w:ind w:left="113" w:right="113"/>
              <w:jc w:val="both"/>
              <w:rPr>
                <w:sz w:val="20"/>
                <w:szCs w:val="20"/>
              </w:rPr>
            </w:pPr>
            <w:r w:rsidRPr="00E50B51">
              <w:rPr>
                <w:sz w:val="20"/>
                <w:szCs w:val="20"/>
                <w:lang w:val="en-US"/>
              </w:rPr>
              <w:t>118 U.S. 356</w:t>
            </w:r>
          </w:p>
        </w:tc>
        <w:tc>
          <w:tcPr>
            <w:tcW w:w="306" w:type="pct"/>
            <w:textDirection w:val="tbRl"/>
            <w:vAlign w:val="center"/>
          </w:tcPr>
          <w:p w14:paraId="31C1A9D1" w14:textId="77777777" w:rsidR="00074551" w:rsidRPr="00E50B51" w:rsidRDefault="00074551" w:rsidP="00367133">
            <w:pPr>
              <w:ind w:left="113" w:right="113"/>
              <w:jc w:val="both"/>
              <w:rPr>
                <w:sz w:val="20"/>
                <w:szCs w:val="20"/>
              </w:rPr>
            </w:pPr>
            <w:r w:rsidRPr="00E50B51">
              <w:rPr>
                <w:sz w:val="20"/>
                <w:szCs w:val="20"/>
              </w:rPr>
              <w:t>10. Mai 1886</w:t>
            </w:r>
          </w:p>
        </w:tc>
        <w:tc>
          <w:tcPr>
            <w:tcW w:w="401" w:type="pct"/>
          </w:tcPr>
          <w:p w14:paraId="6D9C7261" w14:textId="77777777" w:rsidR="00074551" w:rsidRPr="00E50B51" w:rsidRDefault="00074551" w:rsidP="00367133">
            <w:pPr>
              <w:jc w:val="center"/>
              <w:rPr>
                <w:sz w:val="20"/>
                <w:szCs w:val="20"/>
              </w:rPr>
            </w:pPr>
            <w:r w:rsidRPr="00E50B51">
              <w:rPr>
                <w:sz w:val="20"/>
                <w:szCs w:val="20"/>
              </w:rPr>
              <w:t>M</w:t>
            </w:r>
          </w:p>
        </w:tc>
        <w:tc>
          <w:tcPr>
            <w:tcW w:w="1594" w:type="pct"/>
          </w:tcPr>
          <w:p w14:paraId="25DCE552" w14:textId="73E0AE1C"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eine Verordnung für verfassungswidrig. Die Verordnung erlaubte Geldstrafen und nach Zahlungsverzug auch Haftstrafen, wenn chinesische Wäschereibetriebe Sicherheitsanforderungen nicht einhielten – wie </w:t>
            </w:r>
            <w:r>
              <w:rPr>
                <w:sz w:val="20"/>
                <w:szCs w:val="20"/>
              </w:rPr>
              <w:t>z.B.</w:t>
            </w:r>
            <w:r w:rsidRPr="00E50B51">
              <w:rPr>
                <w:sz w:val="20"/>
                <w:szCs w:val="20"/>
              </w:rPr>
              <w:t xml:space="preserve"> </w:t>
            </w:r>
            <w:proofErr w:type="gramStart"/>
            <w:r w:rsidRPr="00E50B51">
              <w:rPr>
                <w:sz w:val="20"/>
                <w:szCs w:val="20"/>
              </w:rPr>
              <w:t>zu geringer Abstand</w:t>
            </w:r>
            <w:proofErr w:type="gramEnd"/>
            <w:r w:rsidRPr="00E50B51">
              <w:rPr>
                <w:sz w:val="20"/>
                <w:szCs w:val="20"/>
              </w:rPr>
              <w:t xml:space="preserve"> zu benachbartem Eigentum, weil der gegen Brände vorbeuge. Aufgrund dieser Verordnung erließ die städtische Verwaltung gegen</w:t>
            </w:r>
            <w:r>
              <w:rPr>
                <w:sz w:val="20"/>
                <w:szCs w:val="20"/>
              </w:rPr>
              <w:t xml:space="preserve"> die</w:t>
            </w:r>
            <w:r w:rsidRPr="00E50B51">
              <w:rPr>
                <w:sz w:val="20"/>
                <w:szCs w:val="20"/>
              </w:rPr>
              <w:t xml:space="preserve"> Familie Yick eine Geld- und dann Haftstrafe, obwohl sie alle Sicherheitsanforderungen eingehalten hatte. Der </w:t>
            </w:r>
            <w:r>
              <w:rPr>
                <w:sz w:val="20"/>
                <w:szCs w:val="20"/>
              </w:rPr>
              <w:t>U.S. Supreme Court</w:t>
            </w:r>
            <w:r w:rsidRPr="00E50B51">
              <w:rPr>
                <w:sz w:val="20"/>
                <w:szCs w:val="20"/>
              </w:rPr>
              <w:t xml:space="preserve"> hob die Strafen auf und urteilte, es gebe keinen Grund für die Diskriminierung durch das Gesetz außer der Feindseligkeit gegenüber der Rasse und Nationalität, hier der chinesischen. Damit sei gegen den gleichen Schutz durch Gesetze verstoßen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p>
          <w:p w14:paraId="26563011" w14:textId="77777777" w:rsidR="00074551" w:rsidRPr="00E50B51" w:rsidRDefault="00074551" w:rsidP="00367133">
            <w:pPr>
              <w:jc w:val="both"/>
              <w:rPr>
                <w:sz w:val="20"/>
                <w:szCs w:val="20"/>
              </w:rPr>
            </w:pPr>
          </w:p>
        </w:tc>
        <w:tc>
          <w:tcPr>
            <w:tcW w:w="1822" w:type="pct"/>
          </w:tcPr>
          <w:p w14:paraId="537EB545" w14:textId="77777777" w:rsidR="00074551" w:rsidRPr="004D0008" w:rsidRDefault="00074551" w:rsidP="00367133">
            <w:pPr>
              <w:jc w:val="both"/>
              <w:rPr>
                <w:sz w:val="20"/>
                <w:szCs w:val="20"/>
              </w:rPr>
            </w:pPr>
            <w:r w:rsidRPr="004D0008">
              <w:rPr>
                <w:sz w:val="20"/>
                <w:szCs w:val="20"/>
              </w:rPr>
              <w:t xml:space="preserve">In </w:t>
            </w:r>
            <w:proofErr w:type="gramStart"/>
            <w:r w:rsidRPr="5B67C1D2">
              <w:rPr>
                <w:i/>
                <w:iCs/>
                <w:sz w:val="20"/>
                <w:szCs w:val="20"/>
              </w:rPr>
              <w:t>Yick</w:t>
            </w:r>
            <w:proofErr w:type="gramEnd"/>
            <w:r w:rsidRPr="5B67C1D2">
              <w:rPr>
                <w:i/>
                <w:iCs/>
                <w:sz w:val="20"/>
                <w:szCs w:val="20"/>
              </w:rPr>
              <w:t xml:space="preserve"> Wo v. Hopkins</w:t>
            </w:r>
            <w:r w:rsidRPr="004D0008">
              <w:rPr>
                <w:sz w:val="20"/>
                <w:szCs w:val="20"/>
              </w:rPr>
              <w:t xml:space="preserve"> </w:t>
            </w:r>
            <w:proofErr w:type="gramStart"/>
            <w:r w:rsidRPr="004D0008">
              <w:rPr>
                <w:sz w:val="20"/>
                <w:szCs w:val="20"/>
              </w:rPr>
              <w:t>erklärt</w:t>
            </w:r>
            <w:r>
              <w:rPr>
                <w:sz w:val="20"/>
                <w:szCs w:val="20"/>
              </w:rPr>
              <w:t>e</w:t>
            </w:r>
            <w:proofErr w:type="gramEnd"/>
            <w:r w:rsidRPr="004D0008">
              <w:rPr>
                <w:sz w:val="20"/>
                <w:szCs w:val="20"/>
              </w:rPr>
              <w:t xml:space="preserve"> der </w:t>
            </w:r>
            <w:r>
              <w:rPr>
                <w:sz w:val="20"/>
                <w:szCs w:val="20"/>
              </w:rPr>
              <w:t>U.S. Supreme Court</w:t>
            </w:r>
            <w:r w:rsidRPr="004D0008">
              <w:rPr>
                <w:sz w:val="20"/>
                <w:szCs w:val="20"/>
              </w:rPr>
              <w:t xml:space="preserve"> auch, dass der Staat Bedingungen für ein gleiches Streben nach Glück zu sichern habe. Dies geschehe vor allem durch die wirtschaftliche Seite des Glücks („</w:t>
            </w:r>
            <w:proofErr w:type="spellStart"/>
            <w:r w:rsidRPr="004D0008">
              <w:rPr>
                <w:sz w:val="20"/>
                <w:szCs w:val="20"/>
              </w:rPr>
              <w:t>pursuit</w:t>
            </w:r>
            <w:proofErr w:type="spellEnd"/>
            <w:r w:rsidRPr="004D0008">
              <w:rPr>
                <w:sz w:val="20"/>
                <w:szCs w:val="20"/>
              </w:rPr>
              <w:t xml:space="preserve"> of </w:t>
            </w:r>
            <w:proofErr w:type="spellStart"/>
            <w:r w:rsidRPr="004D0008">
              <w:rPr>
                <w:sz w:val="20"/>
                <w:szCs w:val="20"/>
              </w:rPr>
              <w:t>happiness</w:t>
            </w:r>
            <w:proofErr w:type="spellEnd"/>
            <w:r w:rsidRPr="004D0008">
              <w:rPr>
                <w:sz w:val="20"/>
                <w:szCs w:val="20"/>
              </w:rPr>
              <w:t xml:space="preserve">, </w:t>
            </w:r>
            <w:proofErr w:type="spellStart"/>
            <w:r w:rsidRPr="004D0008">
              <w:rPr>
                <w:sz w:val="20"/>
                <w:szCs w:val="20"/>
              </w:rPr>
              <w:t>considered</w:t>
            </w:r>
            <w:proofErr w:type="spellEnd"/>
            <w:r w:rsidRPr="004D0008">
              <w:rPr>
                <w:sz w:val="20"/>
                <w:szCs w:val="20"/>
              </w:rPr>
              <w:t xml:space="preserve"> as individual </w:t>
            </w:r>
            <w:proofErr w:type="spellStart"/>
            <w:r w:rsidRPr="004D0008">
              <w:rPr>
                <w:sz w:val="20"/>
                <w:szCs w:val="20"/>
              </w:rPr>
              <w:t>possessions</w:t>
            </w:r>
            <w:proofErr w:type="spellEnd"/>
            <w:r w:rsidRPr="004D0008">
              <w:rPr>
                <w:sz w:val="20"/>
                <w:szCs w:val="20"/>
              </w:rPr>
              <w:t>“</w:t>
            </w:r>
            <w:r w:rsidRPr="004D0008">
              <w:rPr>
                <w:sz w:val="20"/>
                <w:szCs w:val="20"/>
                <w:vertAlign w:val="superscript"/>
              </w:rPr>
              <w:footnoteReference w:id="1693"/>
            </w:r>
            <w:r w:rsidRPr="004D0008">
              <w:rPr>
                <w:sz w:val="20"/>
                <w:szCs w:val="20"/>
              </w:rPr>
              <w:t xml:space="preserve">) und unveräußerliche Grundrechte, die Maximen für das Glücksstreben </w:t>
            </w:r>
            <w:r>
              <w:rPr>
                <w:sz w:val="20"/>
                <w:szCs w:val="20"/>
              </w:rPr>
              <w:t xml:space="preserve">seien </w:t>
            </w:r>
            <w:r w:rsidRPr="004D0008">
              <w:rPr>
                <w:sz w:val="20"/>
                <w:szCs w:val="20"/>
              </w:rPr>
              <w:t>wie das Willkürverbot oder die Gleichheit vor dem Gesetz.</w:t>
            </w:r>
          </w:p>
          <w:p w14:paraId="3EFD01A4" w14:textId="278EABB3" w:rsidR="00074551" w:rsidRPr="00E50B51" w:rsidRDefault="00074551" w:rsidP="00367133">
            <w:pPr>
              <w:jc w:val="both"/>
              <w:rPr>
                <w:sz w:val="20"/>
                <w:szCs w:val="20"/>
              </w:rPr>
            </w:pPr>
            <w:r w:rsidRPr="004D0008">
              <w:rPr>
                <w:sz w:val="20"/>
                <w:szCs w:val="20"/>
              </w:rPr>
              <w:t xml:space="preserve">Der </w:t>
            </w:r>
            <w:r>
              <w:rPr>
                <w:sz w:val="20"/>
                <w:szCs w:val="20"/>
              </w:rPr>
              <w:t>U.S. Supreme Court</w:t>
            </w:r>
            <w:r w:rsidRPr="004D0008">
              <w:rPr>
                <w:sz w:val="20"/>
                <w:szCs w:val="20"/>
              </w:rPr>
              <w:t xml:space="preserve"> beschr</w:t>
            </w:r>
            <w:r>
              <w:rPr>
                <w:sz w:val="20"/>
                <w:szCs w:val="20"/>
              </w:rPr>
              <w:t>ieb</w:t>
            </w:r>
            <w:r w:rsidRPr="004D0008">
              <w:rPr>
                <w:sz w:val="20"/>
                <w:szCs w:val="20"/>
              </w:rPr>
              <w:t xml:space="preserve">, unter den gleichen Schutz durch Gesetze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D0008">
              <w:rPr>
                <w:sz w:val="20"/>
                <w:szCs w:val="20"/>
              </w:rPr>
              <w:t xml:space="preserve"> falle, dass alle Menschen gleichermaßen berechtigt seien, nach ihrem Glück streben zu können („all </w:t>
            </w:r>
            <w:proofErr w:type="spellStart"/>
            <w:r w:rsidRPr="004D0008">
              <w:rPr>
                <w:sz w:val="20"/>
                <w:szCs w:val="20"/>
              </w:rPr>
              <w:t>persons</w:t>
            </w:r>
            <w:proofErr w:type="spellEnd"/>
            <w:r w:rsidRPr="004D0008">
              <w:rPr>
                <w:sz w:val="20"/>
                <w:szCs w:val="20"/>
              </w:rPr>
              <w:t xml:space="preserve"> </w:t>
            </w:r>
            <w:proofErr w:type="spellStart"/>
            <w:r w:rsidRPr="004D0008">
              <w:rPr>
                <w:sz w:val="20"/>
                <w:szCs w:val="20"/>
              </w:rPr>
              <w:t>should</w:t>
            </w:r>
            <w:proofErr w:type="spellEnd"/>
            <w:r w:rsidRPr="004D0008">
              <w:rPr>
                <w:sz w:val="20"/>
                <w:szCs w:val="20"/>
              </w:rPr>
              <w:t xml:space="preserve"> </w:t>
            </w:r>
            <w:proofErr w:type="spellStart"/>
            <w:r w:rsidRPr="004D0008">
              <w:rPr>
                <w:sz w:val="20"/>
                <w:szCs w:val="20"/>
              </w:rPr>
              <w:t>be</w:t>
            </w:r>
            <w:proofErr w:type="spellEnd"/>
            <w:r w:rsidRPr="004D0008">
              <w:rPr>
                <w:sz w:val="20"/>
                <w:szCs w:val="20"/>
              </w:rPr>
              <w:t xml:space="preserve"> </w:t>
            </w:r>
            <w:proofErr w:type="spellStart"/>
            <w:r w:rsidRPr="004D0008">
              <w:rPr>
                <w:sz w:val="20"/>
                <w:szCs w:val="20"/>
              </w:rPr>
              <w:t>equally</w:t>
            </w:r>
            <w:proofErr w:type="spellEnd"/>
            <w:r w:rsidRPr="004D0008">
              <w:rPr>
                <w:sz w:val="20"/>
                <w:szCs w:val="20"/>
              </w:rPr>
              <w:t xml:space="preserve"> </w:t>
            </w:r>
            <w:proofErr w:type="spellStart"/>
            <w:r w:rsidRPr="004D0008">
              <w:rPr>
                <w:sz w:val="20"/>
                <w:szCs w:val="20"/>
              </w:rPr>
              <w:t>entitled</w:t>
            </w:r>
            <w:proofErr w:type="spellEnd"/>
            <w:r w:rsidRPr="004D0008">
              <w:rPr>
                <w:sz w:val="20"/>
                <w:szCs w:val="20"/>
              </w:rPr>
              <w:t xml:space="preserve"> to </w:t>
            </w:r>
            <w:proofErr w:type="spellStart"/>
            <w:r w:rsidRPr="004D0008">
              <w:rPr>
                <w:sz w:val="20"/>
                <w:szCs w:val="20"/>
              </w:rPr>
              <w:t>pursue</w:t>
            </w:r>
            <w:proofErr w:type="spellEnd"/>
            <w:r w:rsidRPr="004D0008">
              <w:rPr>
                <w:sz w:val="20"/>
                <w:szCs w:val="20"/>
              </w:rPr>
              <w:t xml:space="preserve"> </w:t>
            </w:r>
            <w:proofErr w:type="spellStart"/>
            <w:r w:rsidRPr="004D0008">
              <w:rPr>
                <w:sz w:val="20"/>
                <w:szCs w:val="20"/>
              </w:rPr>
              <w:t>their</w:t>
            </w:r>
            <w:proofErr w:type="spellEnd"/>
            <w:r w:rsidRPr="004D0008">
              <w:rPr>
                <w:sz w:val="20"/>
                <w:szCs w:val="20"/>
              </w:rPr>
              <w:t xml:space="preserve"> </w:t>
            </w:r>
            <w:proofErr w:type="spellStart"/>
            <w:r w:rsidRPr="004D0008">
              <w:rPr>
                <w:sz w:val="20"/>
                <w:szCs w:val="20"/>
              </w:rPr>
              <w:t>happiness</w:t>
            </w:r>
            <w:proofErr w:type="spellEnd"/>
            <w:r w:rsidRPr="004D0008">
              <w:rPr>
                <w:sz w:val="20"/>
                <w:szCs w:val="20"/>
              </w:rPr>
              <w:t>“</w:t>
            </w:r>
            <w:r w:rsidRPr="004D0008">
              <w:rPr>
                <w:sz w:val="20"/>
                <w:szCs w:val="20"/>
                <w:vertAlign w:val="superscript"/>
              </w:rPr>
              <w:footnoteReference w:id="1694"/>
            </w:r>
            <w:r w:rsidRPr="004D0008">
              <w:rPr>
                <w:sz w:val="20"/>
                <w:szCs w:val="20"/>
              </w:rPr>
              <w:t>). Im Rahmen dieses Gleichheitsgebots bestätigt</w:t>
            </w:r>
            <w:r>
              <w:rPr>
                <w:sz w:val="20"/>
                <w:szCs w:val="20"/>
              </w:rPr>
              <w:t>e</w:t>
            </w:r>
            <w:r w:rsidRPr="004D0008">
              <w:rPr>
                <w:sz w:val="20"/>
                <w:szCs w:val="20"/>
              </w:rPr>
              <w:t xml:space="preserve"> der </w:t>
            </w:r>
            <w:r>
              <w:rPr>
                <w:sz w:val="20"/>
                <w:szCs w:val="20"/>
              </w:rPr>
              <w:t>U.S. Supreme Court</w:t>
            </w:r>
            <w:r w:rsidRPr="004D0008">
              <w:rPr>
                <w:sz w:val="20"/>
                <w:szCs w:val="20"/>
              </w:rPr>
              <w:t xml:space="preserve"> dann, die wirtschaftliche Seite des Strebens nach Glück sei zu sichern („</w:t>
            </w:r>
            <w:proofErr w:type="spellStart"/>
            <w:r w:rsidRPr="004D0008">
              <w:rPr>
                <w:sz w:val="20"/>
                <w:szCs w:val="20"/>
              </w:rPr>
              <w:t>pursuit</w:t>
            </w:r>
            <w:proofErr w:type="spellEnd"/>
            <w:r w:rsidRPr="004D0008">
              <w:rPr>
                <w:sz w:val="20"/>
                <w:szCs w:val="20"/>
              </w:rPr>
              <w:t xml:space="preserve"> of </w:t>
            </w:r>
            <w:proofErr w:type="spellStart"/>
            <w:r w:rsidRPr="004D0008">
              <w:rPr>
                <w:sz w:val="20"/>
                <w:szCs w:val="20"/>
              </w:rPr>
              <w:t>happiness</w:t>
            </w:r>
            <w:proofErr w:type="spellEnd"/>
            <w:r w:rsidRPr="004D0008">
              <w:rPr>
                <w:sz w:val="20"/>
                <w:szCs w:val="20"/>
              </w:rPr>
              <w:t xml:space="preserve">, </w:t>
            </w:r>
            <w:proofErr w:type="spellStart"/>
            <w:r w:rsidRPr="004D0008">
              <w:rPr>
                <w:sz w:val="20"/>
                <w:szCs w:val="20"/>
              </w:rPr>
              <w:t>considered</w:t>
            </w:r>
            <w:proofErr w:type="spellEnd"/>
            <w:r w:rsidRPr="004D0008">
              <w:rPr>
                <w:sz w:val="20"/>
                <w:szCs w:val="20"/>
              </w:rPr>
              <w:t xml:space="preserve"> as individual </w:t>
            </w:r>
            <w:proofErr w:type="spellStart"/>
            <w:r w:rsidRPr="004D0008">
              <w:rPr>
                <w:sz w:val="20"/>
                <w:szCs w:val="20"/>
              </w:rPr>
              <w:t>possessions</w:t>
            </w:r>
            <w:proofErr w:type="spellEnd"/>
            <w:r w:rsidRPr="004D0008">
              <w:rPr>
                <w:sz w:val="20"/>
                <w:szCs w:val="20"/>
              </w:rPr>
              <w:t xml:space="preserve"> […] </w:t>
            </w:r>
            <w:proofErr w:type="spellStart"/>
            <w:r w:rsidRPr="004D0008">
              <w:rPr>
                <w:sz w:val="20"/>
                <w:szCs w:val="20"/>
              </w:rPr>
              <w:t>are</w:t>
            </w:r>
            <w:proofErr w:type="spellEnd"/>
            <w:r w:rsidRPr="004D0008">
              <w:rPr>
                <w:sz w:val="20"/>
                <w:szCs w:val="20"/>
              </w:rPr>
              <w:t xml:space="preserve"> </w:t>
            </w:r>
            <w:proofErr w:type="spellStart"/>
            <w:r w:rsidRPr="004D0008">
              <w:rPr>
                <w:sz w:val="20"/>
                <w:szCs w:val="20"/>
              </w:rPr>
              <w:t>secured</w:t>
            </w:r>
            <w:proofErr w:type="spellEnd"/>
            <w:r w:rsidRPr="004D0008">
              <w:rPr>
                <w:sz w:val="20"/>
                <w:szCs w:val="20"/>
              </w:rPr>
              <w:t>“</w:t>
            </w:r>
            <w:r w:rsidRPr="004D0008">
              <w:rPr>
                <w:sz w:val="20"/>
                <w:szCs w:val="20"/>
                <w:vertAlign w:val="superscript"/>
              </w:rPr>
              <w:footnoteReference w:id="1695"/>
            </w:r>
            <w:r w:rsidRPr="004D0008">
              <w:rPr>
                <w:sz w:val="20"/>
                <w:szCs w:val="20"/>
              </w:rPr>
              <w:t xml:space="preserve">). Dabei konkretisierte der </w:t>
            </w:r>
            <w:r>
              <w:rPr>
                <w:sz w:val="20"/>
                <w:szCs w:val="20"/>
              </w:rPr>
              <w:t>U.S. Supreme Court</w:t>
            </w:r>
            <w:r w:rsidRPr="004D0008">
              <w:rPr>
                <w:sz w:val="20"/>
                <w:szCs w:val="20"/>
              </w:rPr>
              <w:t xml:space="preserve">, das Streben nach Glück sei ein unveräußerliches Grundrecht („fundamental </w:t>
            </w:r>
            <w:proofErr w:type="spellStart"/>
            <w:r w:rsidRPr="004D0008">
              <w:rPr>
                <w:sz w:val="20"/>
                <w:szCs w:val="20"/>
              </w:rPr>
              <w:t>right</w:t>
            </w:r>
            <w:proofErr w:type="spellEnd"/>
            <w:r w:rsidRPr="004D0008">
              <w:rPr>
                <w:sz w:val="20"/>
                <w:szCs w:val="20"/>
              </w:rPr>
              <w:t>“</w:t>
            </w:r>
            <w:r w:rsidRPr="004D0008">
              <w:rPr>
                <w:sz w:val="20"/>
                <w:szCs w:val="20"/>
                <w:vertAlign w:val="superscript"/>
                <w:lang w:val="en-US"/>
              </w:rPr>
              <w:footnoteReference w:id="1696"/>
            </w:r>
            <w:r w:rsidRPr="004D0008">
              <w:rPr>
                <w:sz w:val="20"/>
                <w:szCs w:val="20"/>
              </w:rPr>
              <w:t xml:space="preserve">). </w:t>
            </w:r>
            <w:bookmarkStart w:id="67" w:name="_Hlk225512713"/>
            <w:r w:rsidRPr="004D0008">
              <w:rPr>
                <w:sz w:val="20"/>
                <w:szCs w:val="20"/>
                <w:lang w:val="en-US"/>
              </w:rPr>
              <w:t xml:space="preserve">Und </w:t>
            </w:r>
            <w:proofErr w:type="spellStart"/>
            <w:r w:rsidRPr="004D0008">
              <w:rPr>
                <w:sz w:val="20"/>
                <w:szCs w:val="20"/>
                <w:lang w:val="en-US"/>
              </w:rPr>
              <w:t>solche</w:t>
            </w:r>
            <w:proofErr w:type="spellEnd"/>
            <w:r w:rsidRPr="004D0008">
              <w:rPr>
                <w:sz w:val="20"/>
                <w:szCs w:val="20"/>
                <w:lang w:val="en-US"/>
              </w:rPr>
              <w:t xml:space="preserve"> </w:t>
            </w:r>
            <w:proofErr w:type="spellStart"/>
            <w:r w:rsidRPr="004D0008">
              <w:rPr>
                <w:sz w:val="20"/>
                <w:szCs w:val="20"/>
                <w:lang w:val="en-US"/>
              </w:rPr>
              <w:t>Grundrechte</w:t>
            </w:r>
            <w:proofErr w:type="spellEnd"/>
            <w:r w:rsidRPr="004D0008">
              <w:rPr>
                <w:sz w:val="20"/>
                <w:szCs w:val="20"/>
                <w:lang w:val="en-US"/>
              </w:rPr>
              <w:t xml:space="preserve"> </w:t>
            </w:r>
            <w:proofErr w:type="spellStart"/>
            <w:r>
              <w:rPr>
                <w:sz w:val="20"/>
                <w:szCs w:val="20"/>
                <w:lang w:val="en-US"/>
              </w:rPr>
              <w:t>würden</w:t>
            </w:r>
            <w:proofErr w:type="spellEnd"/>
            <w:r>
              <w:rPr>
                <w:sz w:val="20"/>
                <w:szCs w:val="20"/>
                <w:lang w:val="en-US"/>
              </w:rPr>
              <w:t xml:space="preserve"> </w:t>
            </w:r>
            <w:proofErr w:type="spellStart"/>
            <w:r>
              <w:rPr>
                <w:sz w:val="20"/>
                <w:szCs w:val="20"/>
                <w:lang w:val="en-US"/>
              </w:rPr>
              <w:t>durch</w:t>
            </w:r>
            <w:proofErr w:type="spellEnd"/>
            <w:r w:rsidRPr="004D0008">
              <w:rPr>
                <w:sz w:val="20"/>
                <w:szCs w:val="20"/>
                <w:lang w:val="en-US"/>
              </w:rPr>
              <w:t xml:space="preserve"> die </w:t>
            </w:r>
            <w:proofErr w:type="spellStart"/>
            <w:r w:rsidRPr="004D0008">
              <w:rPr>
                <w:sz w:val="20"/>
                <w:szCs w:val="20"/>
                <w:lang w:val="en-US"/>
              </w:rPr>
              <w:t>konstitutionellen</w:t>
            </w:r>
            <w:proofErr w:type="spellEnd"/>
            <w:r w:rsidRPr="004D0008">
              <w:rPr>
                <w:sz w:val="20"/>
                <w:szCs w:val="20"/>
                <w:lang w:val="en-US"/>
              </w:rPr>
              <w:t xml:space="preserve"> </w:t>
            </w:r>
            <w:proofErr w:type="spellStart"/>
            <w:r w:rsidRPr="004D0008">
              <w:rPr>
                <w:sz w:val="20"/>
                <w:szCs w:val="20"/>
                <w:lang w:val="en-US"/>
              </w:rPr>
              <w:t>Maximen</w:t>
            </w:r>
            <w:proofErr w:type="spellEnd"/>
            <w:r w:rsidRPr="004D0008">
              <w:rPr>
                <w:sz w:val="20"/>
                <w:szCs w:val="20"/>
                <w:lang w:val="en-US"/>
              </w:rPr>
              <w:t xml:space="preserve"> </w:t>
            </w:r>
            <w:bookmarkEnd w:id="67"/>
            <w:proofErr w:type="spellStart"/>
            <w:r>
              <w:rPr>
                <w:sz w:val="20"/>
                <w:szCs w:val="20"/>
                <w:lang w:val="en-US"/>
              </w:rPr>
              <w:t>gesichert</w:t>
            </w:r>
            <w:proofErr w:type="spellEnd"/>
            <w:r>
              <w:rPr>
                <w:sz w:val="20"/>
                <w:szCs w:val="20"/>
                <w:lang w:val="en-US"/>
              </w:rPr>
              <w:t xml:space="preserve"> </w:t>
            </w:r>
            <w:r w:rsidRPr="004D0008">
              <w:rPr>
                <w:sz w:val="20"/>
                <w:szCs w:val="20"/>
                <w:lang w:val="en-US"/>
              </w:rPr>
              <w:t>(„the fundamental rights to […] the pursuit of happiness […] are secured by those maxims of constitutional law “</w:t>
            </w:r>
            <w:r w:rsidRPr="004D0008">
              <w:rPr>
                <w:sz w:val="20"/>
                <w:szCs w:val="20"/>
                <w:vertAlign w:val="superscript"/>
                <w:lang w:val="en-US"/>
              </w:rPr>
              <w:footnoteReference w:id="1697"/>
            </w:r>
            <w:r w:rsidRPr="004D0008">
              <w:rPr>
                <w:sz w:val="20"/>
                <w:szCs w:val="20"/>
                <w:lang w:val="en-US"/>
              </w:rPr>
              <w:t xml:space="preserve">). </w:t>
            </w:r>
            <w:r w:rsidRPr="004D0008">
              <w:rPr>
                <w:sz w:val="20"/>
                <w:szCs w:val="20"/>
              </w:rPr>
              <w:t>Doch was sind diese konstitutionellen Maximen, die das Streben nach Glück sichern? Die Theorie und Historie der Regierungsinstitutionen beantwortet dies: Ausgangspunkt sei, dass kein Raum für Willkür („</w:t>
            </w:r>
            <w:proofErr w:type="spellStart"/>
            <w:r w:rsidRPr="004D0008">
              <w:rPr>
                <w:sz w:val="20"/>
                <w:szCs w:val="20"/>
              </w:rPr>
              <w:t>arbitrary</w:t>
            </w:r>
            <w:proofErr w:type="spellEnd"/>
            <w:r w:rsidRPr="004D0008">
              <w:rPr>
                <w:sz w:val="20"/>
                <w:szCs w:val="20"/>
              </w:rPr>
              <w:t xml:space="preserve"> power“</w:t>
            </w:r>
            <w:r w:rsidRPr="004D0008">
              <w:rPr>
                <w:sz w:val="20"/>
                <w:szCs w:val="20"/>
                <w:vertAlign w:val="superscript"/>
              </w:rPr>
              <w:footnoteReference w:id="1698"/>
            </w:r>
            <w:r w:rsidRPr="004D0008">
              <w:rPr>
                <w:sz w:val="20"/>
                <w:szCs w:val="20"/>
              </w:rPr>
              <w:t>)</w:t>
            </w:r>
            <w:r>
              <w:rPr>
                <w:sz w:val="20"/>
                <w:szCs w:val="20"/>
              </w:rPr>
              <w:t xml:space="preserve"> </w:t>
            </w:r>
            <w:r w:rsidRPr="004D0008">
              <w:rPr>
                <w:sz w:val="20"/>
                <w:szCs w:val="20"/>
              </w:rPr>
              <w:t>zuzulassen sei. Das wiederum heißt z.B</w:t>
            </w:r>
            <w:r>
              <w:rPr>
                <w:sz w:val="20"/>
                <w:szCs w:val="20"/>
              </w:rPr>
              <w:t>.</w:t>
            </w:r>
            <w:r w:rsidRPr="004D0008">
              <w:rPr>
                <w:sz w:val="20"/>
                <w:szCs w:val="20"/>
              </w:rPr>
              <w:t xml:space="preserve">: Die Regierung muss gleichen Schutz durch Gesetze gewähren. Von diesen konstitutionellen Maximen kann nur im Ausnahmefall abgewichen werden, </w:t>
            </w:r>
            <w:r>
              <w:rPr>
                <w:sz w:val="20"/>
                <w:szCs w:val="20"/>
              </w:rPr>
              <w:t>z.B.</w:t>
            </w:r>
            <w:r w:rsidRPr="004D0008">
              <w:rPr>
                <w:sz w:val="20"/>
                <w:szCs w:val="20"/>
              </w:rPr>
              <w:t xml:space="preserve"> mit Souveränitätserwägungen und mit der politischen Prärogative. Zur Souveränität urteil</w:t>
            </w:r>
            <w:r>
              <w:rPr>
                <w:sz w:val="20"/>
                <w:szCs w:val="20"/>
              </w:rPr>
              <w:t>t</w:t>
            </w:r>
            <w:r w:rsidRPr="004D0008">
              <w:rPr>
                <w:sz w:val="20"/>
                <w:szCs w:val="20"/>
              </w:rPr>
              <w:t xml:space="preserve">e der </w:t>
            </w:r>
            <w:r>
              <w:rPr>
                <w:sz w:val="20"/>
                <w:szCs w:val="20"/>
              </w:rPr>
              <w:t>U.S. Supreme Court</w:t>
            </w:r>
            <w:r w:rsidRPr="004D0008">
              <w:rPr>
                <w:sz w:val="20"/>
                <w:szCs w:val="20"/>
              </w:rPr>
              <w:t xml:space="preserve">, dass sie nicht wie andere Willkürvorhuten dem gleichen Schutz durch Gesetze unterworfen sei. Schließlich sei die Souveränität selbst Quelle des Gesetzes („source of </w:t>
            </w:r>
            <w:proofErr w:type="spellStart"/>
            <w:r w:rsidRPr="004D0008">
              <w:rPr>
                <w:sz w:val="20"/>
                <w:szCs w:val="20"/>
              </w:rPr>
              <w:t>law</w:t>
            </w:r>
            <w:proofErr w:type="spellEnd"/>
            <w:r w:rsidRPr="004D0008">
              <w:rPr>
                <w:sz w:val="20"/>
                <w:szCs w:val="20"/>
              </w:rPr>
              <w:t>“</w:t>
            </w:r>
            <w:r w:rsidRPr="004D0008">
              <w:rPr>
                <w:sz w:val="20"/>
                <w:szCs w:val="20"/>
                <w:vertAlign w:val="superscript"/>
              </w:rPr>
              <w:footnoteReference w:id="1699"/>
            </w:r>
            <w:r w:rsidRPr="004D0008">
              <w:rPr>
                <w:sz w:val="20"/>
                <w:szCs w:val="20"/>
              </w:rPr>
              <w:t>). Denn sie gehe vom Volk aus, bleibe aber zugleich bei ihm. D.h., das Volk delegiere zwar die Sicherung der Souveränität an Regierungsinstitutionen („</w:t>
            </w:r>
            <w:proofErr w:type="spellStart"/>
            <w:r w:rsidRPr="004D0008">
              <w:rPr>
                <w:sz w:val="20"/>
                <w:szCs w:val="20"/>
              </w:rPr>
              <w:t>delegated</w:t>
            </w:r>
            <w:proofErr w:type="spellEnd"/>
            <w:r w:rsidRPr="004D0008">
              <w:rPr>
                <w:sz w:val="20"/>
                <w:szCs w:val="20"/>
              </w:rPr>
              <w:t xml:space="preserve"> to the </w:t>
            </w:r>
            <w:proofErr w:type="spellStart"/>
            <w:r w:rsidRPr="004D0008">
              <w:rPr>
                <w:sz w:val="20"/>
                <w:szCs w:val="20"/>
              </w:rPr>
              <w:t>agencies</w:t>
            </w:r>
            <w:proofErr w:type="spellEnd"/>
            <w:r w:rsidRPr="004D0008">
              <w:rPr>
                <w:sz w:val="20"/>
                <w:szCs w:val="20"/>
              </w:rPr>
              <w:t xml:space="preserve"> of </w:t>
            </w:r>
            <w:proofErr w:type="spellStart"/>
            <w:r w:rsidRPr="004D0008">
              <w:rPr>
                <w:sz w:val="20"/>
                <w:szCs w:val="20"/>
              </w:rPr>
              <w:t>government</w:t>
            </w:r>
            <w:proofErr w:type="spellEnd"/>
            <w:r w:rsidRPr="004D0008">
              <w:rPr>
                <w:sz w:val="20"/>
                <w:szCs w:val="20"/>
              </w:rPr>
              <w:t>“</w:t>
            </w:r>
            <w:r w:rsidRPr="004D0008">
              <w:rPr>
                <w:sz w:val="20"/>
                <w:szCs w:val="20"/>
                <w:vertAlign w:val="superscript"/>
              </w:rPr>
              <w:footnoteReference w:id="1700"/>
            </w:r>
            <w:r w:rsidRPr="004D0008">
              <w:rPr>
                <w:sz w:val="20"/>
                <w:szCs w:val="20"/>
              </w:rPr>
              <w:t>). Aber die Regierungsinstitutionen soll</w:t>
            </w:r>
            <w:r>
              <w:rPr>
                <w:sz w:val="20"/>
                <w:szCs w:val="20"/>
              </w:rPr>
              <w:t>t</w:t>
            </w:r>
            <w:r w:rsidRPr="004D0008">
              <w:rPr>
                <w:sz w:val="20"/>
                <w:szCs w:val="20"/>
              </w:rPr>
              <w:t xml:space="preserve">en trotz Abtretung zuvorderst im Sinne des Volks handeln („for </w:t>
            </w:r>
            <w:proofErr w:type="spellStart"/>
            <w:r w:rsidRPr="004D0008">
              <w:rPr>
                <w:sz w:val="20"/>
                <w:szCs w:val="20"/>
              </w:rPr>
              <w:t>whom</w:t>
            </w:r>
            <w:proofErr w:type="spellEnd"/>
            <w:r w:rsidRPr="004D0008">
              <w:rPr>
                <w:sz w:val="20"/>
                <w:szCs w:val="20"/>
              </w:rPr>
              <w:t xml:space="preserve"> all </w:t>
            </w:r>
            <w:proofErr w:type="spellStart"/>
            <w:r w:rsidRPr="004D0008">
              <w:rPr>
                <w:sz w:val="20"/>
                <w:szCs w:val="20"/>
              </w:rPr>
              <w:t>government</w:t>
            </w:r>
            <w:proofErr w:type="spellEnd"/>
            <w:r w:rsidRPr="004D0008">
              <w:rPr>
                <w:sz w:val="20"/>
                <w:szCs w:val="20"/>
              </w:rPr>
              <w:t xml:space="preserve"> </w:t>
            </w:r>
            <w:proofErr w:type="spellStart"/>
            <w:r w:rsidRPr="004D0008">
              <w:rPr>
                <w:sz w:val="20"/>
                <w:szCs w:val="20"/>
              </w:rPr>
              <w:t>exists</w:t>
            </w:r>
            <w:proofErr w:type="spellEnd"/>
            <w:r w:rsidRPr="004D0008">
              <w:rPr>
                <w:sz w:val="20"/>
                <w:szCs w:val="20"/>
              </w:rPr>
              <w:t xml:space="preserve"> and </w:t>
            </w:r>
            <w:proofErr w:type="spellStart"/>
            <w:r w:rsidRPr="004D0008">
              <w:rPr>
                <w:sz w:val="20"/>
                <w:szCs w:val="20"/>
              </w:rPr>
              <w:t>acts</w:t>
            </w:r>
            <w:proofErr w:type="spellEnd"/>
            <w:r w:rsidRPr="004D0008">
              <w:rPr>
                <w:sz w:val="20"/>
                <w:szCs w:val="20"/>
              </w:rPr>
              <w:t>“</w:t>
            </w:r>
            <w:r w:rsidRPr="004D0008">
              <w:rPr>
                <w:sz w:val="20"/>
                <w:szCs w:val="20"/>
                <w:vertAlign w:val="superscript"/>
              </w:rPr>
              <w:footnoteReference w:id="1701"/>
            </w:r>
            <w:r w:rsidRPr="004D0008">
              <w:rPr>
                <w:sz w:val="20"/>
                <w:szCs w:val="20"/>
              </w:rPr>
              <w:t xml:space="preserve">). Gesetze und deren gleicher Schutz begrenze erst dieses Handeln der Regierungsinstitutionen, nicht schon die Souveränitätsabtretung. Und für politische Prärogativen </w:t>
            </w:r>
            <w:r>
              <w:rPr>
                <w:sz w:val="20"/>
                <w:szCs w:val="20"/>
              </w:rPr>
              <w:t>bedeute</w:t>
            </w:r>
            <w:r w:rsidRPr="004D0008">
              <w:rPr>
                <w:sz w:val="20"/>
                <w:szCs w:val="20"/>
              </w:rPr>
              <w:t xml:space="preserve"> </w:t>
            </w:r>
            <w:r>
              <w:rPr>
                <w:sz w:val="20"/>
                <w:szCs w:val="20"/>
              </w:rPr>
              <w:t>dies</w:t>
            </w:r>
            <w:r w:rsidRPr="004D0008">
              <w:rPr>
                <w:sz w:val="20"/>
                <w:szCs w:val="20"/>
              </w:rPr>
              <w:t xml:space="preserve">, dass der Staat mit seiner judikativen Kontrolle zurückgedrängt sei. </w:t>
            </w:r>
            <w:r>
              <w:rPr>
                <w:sz w:val="20"/>
                <w:szCs w:val="20"/>
              </w:rPr>
              <w:t>Diese Kontrolle meint</w:t>
            </w:r>
            <w:r w:rsidRPr="004D0008">
              <w:rPr>
                <w:sz w:val="20"/>
                <w:szCs w:val="20"/>
              </w:rPr>
              <w:t xml:space="preserve">, inwieweit das Regierungshandeln Gesetze einhalte – oder das Regierungshandeln verfassungsmäßig zu begrenzen sei. Doch bei politischer Prärogative </w:t>
            </w:r>
            <w:r>
              <w:rPr>
                <w:sz w:val="20"/>
                <w:szCs w:val="20"/>
              </w:rPr>
              <w:t>sei</w:t>
            </w:r>
            <w:r w:rsidRPr="004D0008">
              <w:rPr>
                <w:sz w:val="20"/>
                <w:szCs w:val="20"/>
              </w:rPr>
              <w:t xml:space="preserve"> es so, dass nur Meinungskampf und Wahlen das Handeln der </w:t>
            </w:r>
            <w:r w:rsidRPr="004D0008">
              <w:rPr>
                <w:sz w:val="20"/>
                <w:szCs w:val="20"/>
              </w:rPr>
              <w:lastRenderedPageBreak/>
              <w:t>Regierungsinstitutionen kontrollieren. Das sei erst anders, wenn ein Regierungshandeln in Form eines Gesetzes die fundamentalen Grundrechte wie das Recht auf ein Streben nach Glück berühre. D.h.</w:t>
            </w:r>
            <w:r>
              <w:rPr>
                <w:sz w:val="20"/>
                <w:szCs w:val="20"/>
              </w:rPr>
              <w:t>,</w:t>
            </w:r>
            <w:r w:rsidRPr="004D0008">
              <w:rPr>
                <w:sz w:val="20"/>
                <w:szCs w:val="20"/>
              </w:rPr>
              <w:t xml:space="preserve"> die Regierung </w:t>
            </w:r>
            <w:r>
              <w:rPr>
                <w:sz w:val="20"/>
                <w:szCs w:val="20"/>
              </w:rPr>
              <w:t>könne</w:t>
            </w:r>
            <w:r w:rsidRPr="004D0008">
              <w:rPr>
                <w:sz w:val="20"/>
                <w:szCs w:val="20"/>
              </w:rPr>
              <w:t xml:space="preserve"> sich nicht auf ihre Souveränität oder politische Prärogative berufen, wenn sie aufgrund von Gesetzen handele („</w:t>
            </w:r>
            <w:proofErr w:type="spellStart"/>
            <w:r w:rsidRPr="004D0008">
              <w:rPr>
                <w:sz w:val="20"/>
                <w:szCs w:val="20"/>
              </w:rPr>
              <w:t>reign</w:t>
            </w:r>
            <w:proofErr w:type="spellEnd"/>
            <w:r w:rsidRPr="004D0008">
              <w:rPr>
                <w:sz w:val="20"/>
                <w:szCs w:val="20"/>
              </w:rPr>
              <w:t xml:space="preserve"> of just and </w:t>
            </w:r>
            <w:proofErr w:type="spellStart"/>
            <w:r w:rsidRPr="004D0008">
              <w:rPr>
                <w:sz w:val="20"/>
                <w:szCs w:val="20"/>
              </w:rPr>
              <w:t>equal</w:t>
            </w:r>
            <w:proofErr w:type="spellEnd"/>
            <w:r w:rsidRPr="004D0008">
              <w:rPr>
                <w:sz w:val="20"/>
                <w:szCs w:val="20"/>
              </w:rPr>
              <w:t xml:space="preserve"> </w:t>
            </w:r>
            <w:proofErr w:type="spellStart"/>
            <w:r w:rsidRPr="004D0008">
              <w:rPr>
                <w:sz w:val="20"/>
                <w:szCs w:val="20"/>
              </w:rPr>
              <w:t>laws</w:t>
            </w:r>
            <w:proofErr w:type="spellEnd"/>
            <w:r w:rsidRPr="004D0008">
              <w:rPr>
                <w:sz w:val="20"/>
                <w:szCs w:val="20"/>
              </w:rPr>
              <w:t>“</w:t>
            </w:r>
            <w:r w:rsidRPr="004D0008">
              <w:rPr>
                <w:sz w:val="20"/>
                <w:szCs w:val="20"/>
                <w:vertAlign w:val="superscript"/>
              </w:rPr>
              <w:footnoteReference w:id="1702"/>
            </w:r>
            <w:r w:rsidRPr="004D0008">
              <w:rPr>
                <w:sz w:val="20"/>
                <w:szCs w:val="20"/>
              </w:rPr>
              <w:t xml:space="preserve">); </w:t>
            </w:r>
            <w:r>
              <w:rPr>
                <w:sz w:val="20"/>
                <w:szCs w:val="20"/>
              </w:rPr>
              <w:t>mit anderen Worten</w:t>
            </w:r>
            <w:r w:rsidRPr="004D0008">
              <w:rPr>
                <w:sz w:val="20"/>
                <w:szCs w:val="20"/>
              </w:rPr>
              <w:t xml:space="preserve">: </w:t>
            </w:r>
            <w:r>
              <w:rPr>
                <w:sz w:val="20"/>
                <w:szCs w:val="20"/>
              </w:rPr>
              <w:t>S</w:t>
            </w:r>
            <w:r w:rsidRPr="004D0008">
              <w:rPr>
                <w:sz w:val="20"/>
                <w:szCs w:val="20"/>
              </w:rPr>
              <w:t xml:space="preserve">ie </w:t>
            </w:r>
            <w:r>
              <w:rPr>
                <w:sz w:val="20"/>
                <w:szCs w:val="20"/>
              </w:rPr>
              <w:t>dürfe</w:t>
            </w:r>
            <w:r w:rsidRPr="004D0008">
              <w:rPr>
                <w:sz w:val="20"/>
                <w:szCs w:val="20"/>
              </w:rPr>
              <w:t xml:space="preserve"> nicht gesetzesfrei handeln („</w:t>
            </w:r>
            <w:proofErr w:type="spellStart"/>
            <w:r w:rsidRPr="004D0008">
              <w:rPr>
                <w:sz w:val="20"/>
                <w:szCs w:val="20"/>
              </w:rPr>
              <w:t>government</w:t>
            </w:r>
            <w:proofErr w:type="spellEnd"/>
            <w:r w:rsidRPr="004D0008">
              <w:rPr>
                <w:sz w:val="20"/>
                <w:szCs w:val="20"/>
              </w:rPr>
              <w:t xml:space="preserve"> of </w:t>
            </w:r>
            <w:proofErr w:type="spellStart"/>
            <w:r w:rsidRPr="004D0008">
              <w:rPr>
                <w:sz w:val="20"/>
                <w:szCs w:val="20"/>
              </w:rPr>
              <w:t>laws</w:t>
            </w:r>
            <w:proofErr w:type="spellEnd"/>
            <w:r w:rsidRPr="004D0008">
              <w:rPr>
                <w:sz w:val="20"/>
                <w:szCs w:val="20"/>
              </w:rPr>
              <w:t xml:space="preserve"> and not of </w:t>
            </w:r>
            <w:proofErr w:type="spellStart"/>
            <w:r w:rsidRPr="004D0008">
              <w:rPr>
                <w:sz w:val="20"/>
                <w:szCs w:val="20"/>
              </w:rPr>
              <w:t>men</w:t>
            </w:r>
            <w:proofErr w:type="spellEnd"/>
            <w:r w:rsidRPr="004D0008">
              <w:rPr>
                <w:sz w:val="20"/>
                <w:szCs w:val="20"/>
              </w:rPr>
              <w:t>“</w:t>
            </w:r>
            <w:r w:rsidRPr="004D0008">
              <w:rPr>
                <w:sz w:val="20"/>
                <w:szCs w:val="20"/>
                <w:vertAlign w:val="superscript"/>
              </w:rPr>
              <w:footnoteReference w:id="1703"/>
            </w:r>
            <w:r w:rsidRPr="004D0008">
              <w:rPr>
                <w:sz w:val="20"/>
                <w:szCs w:val="20"/>
              </w:rPr>
              <w:t xml:space="preserve">). Und in einer freiheitlichen Demokratie sei dies unabdingbar, da sonst die Lebensgrundlage („material </w:t>
            </w:r>
            <w:proofErr w:type="spellStart"/>
            <w:r w:rsidRPr="004D0008">
              <w:rPr>
                <w:sz w:val="20"/>
                <w:szCs w:val="20"/>
              </w:rPr>
              <w:t>right</w:t>
            </w:r>
            <w:proofErr w:type="spellEnd"/>
            <w:r w:rsidRPr="004D0008">
              <w:rPr>
                <w:sz w:val="20"/>
                <w:szCs w:val="20"/>
              </w:rPr>
              <w:t xml:space="preserve"> essential to the </w:t>
            </w:r>
            <w:proofErr w:type="spellStart"/>
            <w:r w:rsidRPr="004D0008">
              <w:rPr>
                <w:sz w:val="20"/>
                <w:szCs w:val="20"/>
              </w:rPr>
              <w:t>enjoyment</w:t>
            </w:r>
            <w:proofErr w:type="spellEnd"/>
            <w:r w:rsidRPr="004D0008">
              <w:rPr>
                <w:sz w:val="20"/>
                <w:szCs w:val="20"/>
              </w:rPr>
              <w:t xml:space="preserve"> of </w:t>
            </w:r>
            <w:proofErr w:type="spellStart"/>
            <w:r w:rsidRPr="004D0008">
              <w:rPr>
                <w:sz w:val="20"/>
                <w:szCs w:val="20"/>
              </w:rPr>
              <w:t>life</w:t>
            </w:r>
            <w:proofErr w:type="spellEnd"/>
            <w:r w:rsidRPr="004D0008">
              <w:rPr>
                <w:sz w:val="20"/>
                <w:szCs w:val="20"/>
              </w:rPr>
              <w:t>“</w:t>
            </w:r>
            <w:r w:rsidRPr="004D0008">
              <w:rPr>
                <w:sz w:val="20"/>
                <w:szCs w:val="20"/>
                <w:vertAlign w:val="superscript"/>
              </w:rPr>
              <w:t xml:space="preserve"> </w:t>
            </w:r>
            <w:r w:rsidRPr="004D0008">
              <w:rPr>
                <w:sz w:val="20"/>
                <w:szCs w:val="20"/>
                <w:vertAlign w:val="superscript"/>
              </w:rPr>
              <w:footnoteReference w:id="1704"/>
            </w:r>
            <w:r w:rsidRPr="004D0008">
              <w:rPr>
                <w:sz w:val="20"/>
                <w:szCs w:val="20"/>
              </w:rPr>
              <w:t>) willkürlich entzogen werden könne.</w:t>
            </w:r>
          </w:p>
        </w:tc>
      </w:tr>
      <w:tr w:rsidR="00074551" w:rsidRPr="00E7741E" w14:paraId="7D8C621C" w14:textId="77777777" w:rsidTr="00BE689F">
        <w:trPr>
          <w:cantSplit/>
          <w:trHeight w:val="3175"/>
        </w:trPr>
        <w:tc>
          <w:tcPr>
            <w:tcW w:w="293" w:type="pct"/>
          </w:tcPr>
          <w:p w14:paraId="02E1A113"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24ECFFB7" w14:textId="77777777" w:rsidR="00074551" w:rsidRPr="00E50B51" w:rsidRDefault="00074551" w:rsidP="00367133">
            <w:pPr>
              <w:ind w:left="113" w:right="416"/>
              <w:jc w:val="both"/>
              <w:rPr>
                <w:sz w:val="20"/>
                <w:szCs w:val="20"/>
                <w:lang w:val="en-US"/>
              </w:rPr>
            </w:pPr>
            <w:r w:rsidRPr="009167A5">
              <w:rPr>
                <w:i/>
                <w:sz w:val="20"/>
                <w:szCs w:val="20"/>
                <w:lang w:val="en-US" w:eastAsia="de-DE"/>
              </w:rPr>
              <w:t>Yu Cong Eng v. Trinidad</w:t>
            </w:r>
          </w:p>
        </w:tc>
        <w:tc>
          <w:tcPr>
            <w:tcW w:w="197" w:type="pct"/>
            <w:textDirection w:val="tbRl"/>
            <w:vAlign w:val="center"/>
          </w:tcPr>
          <w:p w14:paraId="331AD099" w14:textId="77777777" w:rsidR="00074551" w:rsidRPr="00E50B51" w:rsidRDefault="00074551" w:rsidP="00367133">
            <w:pPr>
              <w:ind w:left="113" w:right="113"/>
              <w:jc w:val="both"/>
              <w:rPr>
                <w:sz w:val="20"/>
                <w:szCs w:val="20"/>
              </w:rPr>
            </w:pPr>
            <w:r w:rsidRPr="00E50B51">
              <w:rPr>
                <w:sz w:val="20"/>
                <w:szCs w:val="20"/>
                <w:lang w:val="en-US"/>
              </w:rPr>
              <w:t>271 U.S. 500</w:t>
            </w:r>
          </w:p>
        </w:tc>
        <w:tc>
          <w:tcPr>
            <w:tcW w:w="306" w:type="pct"/>
            <w:textDirection w:val="tbRl"/>
            <w:vAlign w:val="center"/>
          </w:tcPr>
          <w:p w14:paraId="26C14225" w14:textId="77777777" w:rsidR="00074551" w:rsidRPr="00E50B51" w:rsidRDefault="00074551" w:rsidP="00367133">
            <w:pPr>
              <w:ind w:left="113" w:right="113"/>
              <w:jc w:val="both"/>
              <w:rPr>
                <w:sz w:val="20"/>
                <w:szCs w:val="20"/>
              </w:rPr>
            </w:pPr>
            <w:r w:rsidRPr="00E50B51">
              <w:rPr>
                <w:sz w:val="20"/>
                <w:szCs w:val="20"/>
              </w:rPr>
              <w:t>7. Juni 1926</w:t>
            </w:r>
          </w:p>
        </w:tc>
        <w:tc>
          <w:tcPr>
            <w:tcW w:w="401" w:type="pct"/>
          </w:tcPr>
          <w:p w14:paraId="5F1340A2"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00A373BA" w14:textId="77777777" w:rsidR="00074551" w:rsidRPr="00E50B51" w:rsidRDefault="00074551" w:rsidP="00367133">
            <w:pPr>
              <w:jc w:val="both"/>
              <w:rPr>
                <w:sz w:val="20"/>
                <w:szCs w:val="20"/>
              </w:rPr>
            </w:pPr>
            <w:r w:rsidRPr="00E50B51">
              <w:rPr>
                <w:sz w:val="20"/>
                <w:szCs w:val="20"/>
              </w:rPr>
              <w:t>*</w:t>
            </w:r>
          </w:p>
          <w:p w14:paraId="199B5720" w14:textId="77777777" w:rsidR="00074551" w:rsidRPr="00E50B51" w:rsidRDefault="00074551" w:rsidP="00367133">
            <w:pPr>
              <w:jc w:val="both"/>
              <w:rPr>
                <w:sz w:val="20"/>
                <w:szCs w:val="20"/>
                <w:lang w:val="en-US"/>
              </w:rPr>
            </w:pPr>
          </w:p>
        </w:tc>
        <w:tc>
          <w:tcPr>
            <w:tcW w:w="1822" w:type="pct"/>
          </w:tcPr>
          <w:p w14:paraId="776A3513" w14:textId="5032A58F" w:rsidR="00074551" w:rsidRPr="00E7741E" w:rsidRDefault="00074551" w:rsidP="00367133">
            <w:pPr>
              <w:jc w:val="both"/>
              <w:rPr>
                <w:sz w:val="20"/>
                <w:szCs w:val="20"/>
              </w:rPr>
            </w:pPr>
            <w:r w:rsidRPr="00E7741E">
              <w:rPr>
                <w:sz w:val="20"/>
                <w:szCs w:val="20"/>
              </w:rPr>
              <w:t xml:space="preserve">Der </w:t>
            </w:r>
            <w:r>
              <w:rPr>
                <w:sz w:val="20"/>
                <w:szCs w:val="20"/>
              </w:rPr>
              <w:t>U.S. Supreme Court</w:t>
            </w:r>
            <w:r w:rsidRPr="00E7741E">
              <w:rPr>
                <w:sz w:val="20"/>
                <w:szCs w:val="20"/>
              </w:rPr>
              <w:t xml:space="preserve"> erklärte den Grundsatz des gleichen Strebens nach Glück in zwei Passagen – auch im Zusammenhang mit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7741E">
              <w:rPr>
                <w:sz w:val="20"/>
                <w:szCs w:val="20"/>
              </w:rPr>
              <w:t xml:space="preserve">: Erstens schütze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7741E">
              <w:rPr>
                <w:sz w:val="20"/>
                <w:szCs w:val="20"/>
              </w:rPr>
              <w:t>, dass alle Menschen gleichermaßen berechtigt seien, ihr Glück zu suchen, wie auch Eigentum zu erwerben und zu nutzen („</w:t>
            </w:r>
            <w:proofErr w:type="spellStart"/>
            <w:r w:rsidRPr="00E7741E">
              <w:rPr>
                <w:sz w:val="20"/>
                <w:szCs w:val="20"/>
              </w:rPr>
              <w:t>that</w:t>
            </w:r>
            <w:proofErr w:type="spellEnd"/>
            <w:r w:rsidRPr="00E7741E">
              <w:rPr>
                <w:sz w:val="20"/>
                <w:szCs w:val="20"/>
              </w:rPr>
              <w:t xml:space="preserve"> all </w:t>
            </w:r>
            <w:proofErr w:type="spellStart"/>
            <w:r w:rsidRPr="00E7741E">
              <w:rPr>
                <w:sz w:val="20"/>
                <w:szCs w:val="20"/>
              </w:rPr>
              <w:t>persons</w:t>
            </w:r>
            <w:proofErr w:type="spellEnd"/>
            <w:r w:rsidRPr="00E7741E">
              <w:rPr>
                <w:sz w:val="20"/>
                <w:szCs w:val="20"/>
              </w:rPr>
              <w:t xml:space="preserve"> </w:t>
            </w:r>
            <w:proofErr w:type="spellStart"/>
            <w:r w:rsidRPr="00E7741E">
              <w:rPr>
                <w:sz w:val="20"/>
                <w:szCs w:val="20"/>
              </w:rPr>
              <w:t>should</w:t>
            </w:r>
            <w:proofErr w:type="spellEnd"/>
            <w:r w:rsidRPr="00E7741E">
              <w:rPr>
                <w:sz w:val="20"/>
                <w:szCs w:val="20"/>
              </w:rPr>
              <w:t xml:space="preserve"> </w:t>
            </w:r>
            <w:proofErr w:type="spellStart"/>
            <w:r w:rsidRPr="00E7741E">
              <w:rPr>
                <w:sz w:val="20"/>
                <w:szCs w:val="20"/>
              </w:rPr>
              <w:t>be</w:t>
            </w:r>
            <w:proofErr w:type="spellEnd"/>
            <w:r w:rsidRPr="00E7741E">
              <w:rPr>
                <w:sz w:val="20"/>
                <w:szCs w:val="20"/>
              </w:rPr>
              <w:t xml:space="preserve"> </w:t>
            </w:r>
            <w:proofErr w:type="spellStart"/>
            <w:r w:rsidRPr="00E7741E">
              <w:rPr>
                <w:sz w:val="20"/>
                <w:szCs w:val="20"/>
              </w:rPr>
              <w:t>equally</w:t>
            </w:r>
            <w:proofErr w:type="spellEnd"/>
            <w:r w:rsidRPr="00E7741E">
              <w:rPr>
                <w:sz w:val="20"/>
                <w:szCs w:val="20"/>
              </w:rPr>
              <w:t xml:space="preserve"> </w:t>
            </w:r>
            <w:proofErr w:type="spellStart"/>
            <w:r w:rsidRPr="00E7741E">
              <w:rPr>
                <w:sz w:val="20"/>
                <w:szCs w:val="20"/>
              </w:rPr>
              <w:t>entitled</w:t>
            </w:r>
            <w:proofErr w:type="spellEnd"/>
            <w:r w:rsidRPr="00E7741E">
              <w:rPr>
                <w:sz w:val="20"/>
                <w:szCs w:val="20"/>
              </w:rPr>
              <w:t xml:space="preserve"> to </w:t>
            </w:r>
            <w:proofErr w:type="spellStart"/>
            <w:r w:rsidRPr="00E7741E">
              <w:rPr>
                <w:sz w:val="20"/>
                <w:szCs w:val="20"/>
              </w:rPr>
              <w:t>pursue</w:t>
            </w:r>
            <w:proofErr w:type="spellEnd"/>
            <w:r w:rsidRPr="00E7741E">
              <w:rPr>
                <w:sz w:val="20"/>
                <w:szCs w:val="20"/>
              </w:rPr>
              <w:t xml:space="preserve"> </w:t>
            </w:r>
            <w:proofErr w:type="spellStart"/>
            <w:r w:rsidRPr="00E7741E">
              <w:rPr>
                <w:sz w:val="20"/>
                <w:szCs w:val="20"/>
              </w:rPr>
              <w:t>their</w:t>
            </w:r>
            <w:proofErr w:type="spellEnd"/>
            <w:r w:rsidRPr="00E7741E">
              <w:rPr>
                <w:sz w:val="20"/>
                <w:szCs w:val="20"/>
              </w:rPr>
              <w:t xml:space="preserve"> </w:t>
            </w:r>
            <w:proofErr w:type="spellStart"/>
            <w:r w:rsidRPr="00E7741E">
              <w:rPr>
                <w:sz w:val="20"/>
                <w:szCs w:val="20"/>
              </w:rPr>
              <w:t>happiness</w:t>
            </w:r>
            <w:proofErr w:type="spellEnd"/>
            <w:r w:rsidRPr="00E7741E">
              <w:rPr>
                <w:sz w:val="20"/>
                <w:szCs w:val="20"/>
              </w:rPr>
              <w:t xml:space="preserve"> and </w:t>
            </w:r>
            <w:proofErr w:type="spellStart"/>
            <w:r w:rsidRPr="00E7741E">
              <w:rPr>
                <w:sz w:val="20"/>
                <w:szCs w:val="20"/>
              </w:rPr>
              <w:t>acquire</w:t>
            </w:r>
            <w:proofErr w:type="spellEnd"/>
            <w:r w:rsidRPr="00E7741E">
              <w:rPr>
                <w:sz w:val="20"/>
                <w:szCs w:val="20"/>
              </w:rPr>
              <w:t xml:space="preserve"> and </w:t>
            </w:r>
            <w:proofErr w:type="spellStart"/>
            <w:r w:rsidRPr="00E7741E">
              <w:rPr>
                <w:sz w:val="20"/>
                <w:szCs w:val="20"/>
              </w:rPr>
              <w:t>enjoy</w:t>
            </w:r>
            <w:proofErr w:type="spellEnd"/>
            <w:r w:rsidRPr="00E7741E">
              <w:rPr>
                <w:sz w:val="20"/>
                <w:szCs w:val="20"/>
              </w:rPr>
              <w:t xml:space="preserve"> </w:t>
            </w:r>
            <w:proofErr w:type="spellStart"/>
            <w:r w:rsidRPr="00E7741E">
              <w:rPr>
                <w:sz w:val="20"/>
                <w:szCs w:val="20"/>
              </w:rPr>
              <w:t>property</w:t>
            </w:r>
            <w:proofErr w:type="spellEnd"/>
            <w:r w:rsidRPr="00E7741E">
              <w:rPr>
                <w:sz w:val="20"/>
                <w:szCs w:val="20"/>
              </w:rPr>
              <w:t>“</w:t>
            </w:r>
            <w:r w:rsidRPr="00E7741E">
              <w:rPr>
                <w:sz w:val="20"/>
                <w:szCs w:val="20"/>
                <w:vertAlign w:val="superscript"/>
              </w:rPr>
              <w:footnoteReference w:id="1705"/>
            </w:r>
            <w:r w:rsidRPr="00E7741E">
              <w:rPr>
                <w:sz w:val="20"/>
                <w:szCs w:val="20"/>
              </w:rPr>
              <w:t xml:space="preserve">). Und zweitens sei das Recht auf ein gleiches Streben nach Glück ein von der Regierung nicht bzw. kaum zu derogierendes Recht. Das </w:t>
            </w:r>
            <w:r>
              <w:rPr>
                <w:sz w:val="20"/>
                <w:szCs w:val="20"/>
              </w:rPr>
              <w:t>ergebe</w:t>
            </w:r>
            <w:r w:rsidRPr="00E7741E">
              <w:rPr>
                <w:sz w:val="20"/>
                <w:szCs w:val="20"/>
              </w:rPr>
              <w:t xml:space="preserve"> sich aus dem Wesen und der Theorie der Regierungsinstitutionen, ihrer Entwicklung und den Grundsätzen, auf denen sie beruh</w:t>
            </w:r>
            <w:r>
              <w:rPr>
                <w:sz w:val="20"/>
                <w:szCs w:val="20"/>
              </w:rPr>
              <w:t>t</w:t>
            </w:r>
            <w:r w:rsidRPr="00E7741E">
              <w:rPr>
                <w:sz w:val="20"/>
                <w:szCs w:val="20"/>
              </w:rPr>
              <w:t xml:space="preserve">en. Das Ergebnis: Für willkürliche staatliche Einschränkung sei kein Raum. Denn die Grundrechte („fundamental </w:t>
            </w:r>
            <w:proofErr w:type="spellStart"/>
            <w:r w:rsidRPr="00E7741E">
              <w:rPr>
                <w:sz w:val="20"/>
                <w:szCs w:val="20"/>
              </w:rPr>
              <w:t>rights</w:t>
            </w:r>
            <w:proofErr w:type="spellEnd"/>
            <w:r w:rsidRPr="00E7741E">
              <w:rPr>
                <w:sz w:val="20"/>
                <w:szCs w:val="20"/>
              </w:rPr>
              <w:t>“</w:t>
            </w:r>
            <w:r w:rsidRPr="00E7741E">
              <w:rPr>
                <w:sz w:val="20"/>
                <w:szCs w:val="20"/>
                <w:vertAlign w:val="superscript"/>
              </w:rPr>
              <w:footnoteReference w:id="1706"/>
            </w:r>
            <w:r w:rsidRPr="00E7741E">
              <w:rPr>
                <w:sz w:val="20"/>
                <w:szCs w:val="20"/>
              </w:rPr>
              <w:t xml:space="preserve">) auf Leben, Freiheit und das Streben nach Glück, die dem Individuum </w:t>
            </w:r>
            <w:r>
              <w:rPr>
                <w:sz w:val="20"/>
                <w:szCs w:val="20"/>
              </w:rPr>
              <w:t>zukämen</w:t>
            </w:r>
            <w:r w:rsidRPr="00E7741E">
              <w:rPr>
                <w:sz w:val="20"/>
                <w:szCs w:val="20"/>
              </w:rPr>
              <w:t>, w</w:t>
            </w:r>
            <w:r>
              <w:rPr>
                <w:sz w:val="20"/>
                <w:szCs w:val="20"/>
              </w:rPr>
              <w:t>ü</w:t>
            </w:r>
            <w:r w:rsidRPr="00E7741E">
              <w:rPr>
                <w:sz w:val="20"/>
                <w:szCs w:val="20"/>
              </w:rPr>
              <w:t>rden durch jene Maximen des Verfassungsrechts gesichert, die die Gleichheit vor dem Gesetz regel</w:t>
            </w:r>
            <w:r>
              <w:rPr>
                <w:sz w:val="20"/>
                <w:szCs w:val="20"/>
              </w:rPr>
              <w:t>te</w:t>
            </w:r>
            <w:r w:rsidRPr="00E7741E">
              <w:rPr>
                <w:sz w:val="20"/>
                <w:szCs w:val="20"/>
              </w:rPr>
              <w:t xml:space="preserve">n („just and </w:t>
            </w:r>
            <w:proofErr w:type="spellStart"/>
            <w:r w:rsidRPr="00E7741E">
              <w:rPr>
                <w:sz w:val="20"/>
                <w:szCs w:val="20"/>
              </w:rPr>
              <w:t>equal</w:t>
            </w:r>
            <w:proofErr w:type="spellEnd"/>
            <w:r w:rsidRPr="00E7741E">
              <w:rPr>
                <w:sz w:val="20"/>
                <w:szCs w:val="20"/>
              </w:rPr>
              <w:t xml:space="preserve"> </w:t>
            </w:r>
            <w:proofErr w:type="spellStart"/>
            <w:r w:rsidRPr="00E7741E">
              <w:rPr>
                <w:sz w:val="20"/>
                <w:szCs w:val="20"/>
              </w:rPr>
              <w:t>laws</w:t>
            </w:r>
            <w:proofErr w:type="spellEnd"/>
            <w:r w:rsidRPr="00E7741E">
              <w:rPr>
                <w:sz w:val="20"/>
                <w:szCs w:val="20"/>
              </w:rPr>
              <w:t>“</w:t>
            </w:r>
            <w:r w:rsidRPr="00E7741E">
              <w:rPr>
                <w:sz w:val="20"/>
                <w:szCs w:val="20"/>
                <w:vertAlign w:val="superscript"/>
              </w:rPr>
              <w:t xml:space="preserve"> </w:t>
            </w:r>
            <w:r w:rsidRPr="00E7741E">
              <w:rPr>
                <w:sz w:val="20"/>
                <w:szCs w:val="20"/>
                <w:vertAlign w:val="superscript"/>
              </w:rPr>
              <w:footnoteReference w:id="1707"/>
            </w:r>
            <w:r w:rsidRPr="00E7741E">
              <w:rPr>
                <w:sz w:val="20"/>
                <w:szCs w:val="20"/>
              </w:rPr>
              <w:t xml:space="preserve">) – gemeint ist </w:t>
            </w:r>
            <w:r>
              <w:rPr>
                <w:sz w:val="20"/>
                <w:szCs w:val="20"/>
              </w:rPr>
              <w:t>u.a.</w:t>
            </w:r>
            <w:r w:rsidRPr="00E7741E">
              <w:rPr>
                <w:sz w:val="20"/>
                <w:szCs w:val="20"/>
              </w:rPr>
              <w:t xml:space="preserve">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7741E">
              <w:rPr>
                <w:sz w:val="20"/>
                <w:szCs w:val="20"/>
              </w:rPr>
              <w:t xml:space="preserve"> und </w:t>
            </w:r>
            <w:r>
              <w:rPr>
                <w:sz w:val="20"/>
                <w:szCs w:val="20"/>
              </w:rPr>
              <w:t xml:space="preserve">das </w:t>
            </w:r>
            <w:r w:rsidRPr="00E7741E">
              <w:rPr>
                <w:sz w:val="20"/>
                <w:szCs w:val="20"/>
              </w:rPr>
              <w:t>Leben sowie dessen Ausdruck, gesichert mit der Freiheit und dem Streben nach Glück (“</w:t>
            </w:r>
            <w:proofErr w:type="spellStart"/>
            <w:r w:rsidRPr="00E7741E">
              <w:rPr>
                <w:sz w:val="20"/>
                <w:szCs w:val="20"/>
              </w:rPr>
              <w:t>life</w:t>
            </w:r>
            <w:proofErr w:type="spellEnd"/>
            <w:r w:rsidRPr="00E7741E">
              <w:rPr>
                <w:sz w:val="20"/>
                <w:szCs w:val="20"/>
              </w:rPr>
              <w:t xml:space="preserve">, </w:t>
            </w:r>
            <w:proofErr w:type="spellStart"/>
            <w:r w:rsidRPr="00E7741E">
              <w:rPr>
                <w:sz w:val="20"/>
                <w:szCs w:val="20"/>
              </w:rPr>
              <w:t>or</w:t>
            </w:r>
            <w:proofErr w:type="spellEnd"/>
            <w:r w:rsidRPr="00E7741E">
              <w:rPr>
                <w:sz w:val="20"/>
                <w:szCs w:val="20"/>
              </w:rPr>
              <w:t xml:space="preserve"> the </w:t>
            </w:r>
            <w:proofErr w:type="spellStart"/>
            <w:r w:rsidRPr="00E7741E">
              <w:rPr>
                <w:sz w:val="20"/>
                <w:szCs w:val="20"/>
              </w:rPr>
              <w:t>means</w:t>
            </w:r>
            <w:proofErr w:type="spellEnd"/>
            <w:r w:rsidRPr="00E7741E">
              <w:rPr>
                <w:sz w:val="20"/>
                <w:szCs w:val="20"/>
              </w:rPr>
              <w:t xml:space="preserve"> of </w:t>
            </w:r>
            <w:proofErr w:type="spellStart"/>
            <w:r w:rsidRPr="00E7741E">
              <w:rPr>
                <w:sz w:val="20"/>
                <w:szCs w:val="20"/>
              </w:rPr>
              <w:t>living</w:t>
            </w:r>
            <w:proofErr w:type="spellEnd"/>
            <w:r w:rsidRPr="00E7741E">
              <w:rPr>
                <w:sz w:val="20"/>
                <w:szCs w:val="20"/>
              </w:rPr>
              <w:t xml:space="preserve">, </w:t>
            </w:r>
            <w:proofErr w:type="spellStart"/>
            <w:r w:rsidRPr="00E7741E">
              <w:rPr>
                <w:sz w:val="20"/>
                <w:szCs w:val="20"/>
              </w:rPr>
              <w:t>or</w:t>
            </w:r>
            <w:proofErr w:type="spellEnd"/>
            <w:r w:rsidRPr="00E7741E">
              <w:rPr>
                <w:sz w:val="20"/>
                <w:szCs w:val="20"/>
              </w:rPr>
              <w:t xml:space="preserve"> </w:t>
            </w:r>
            <w:proofErr w:type="spellStart"/>
            <w:r w:rsidRPr="00E7741E">
              <w:rPr>
                <w:sz w:val="20"/>
                <w:szCs w:val="20"/>
              </w:rPr>
              <w:t>any</w:t>
            </w:r>
            <w:proofErr w:type="spellEnd"/>
            <w:r w:rsidRPr="00E7741E">
              <w:rPr>
                <w:sz w:val="20"/>
                <w:szCs w:val="20"/>
              </w:rPr>
              <w:t xml:space="preserve"> material </w:t>
            </w:r>
            <w:proofErr w:type="spellStart"/>
            <w:r w:rsidRPr="00E7741E">
              <w:rPr>
                <w:sz w:val="20"/>
                <w:szCs w:val="20"/>
              </w:rPr>
              <w:t>right</w:t>
            </w:r>
            <w:proofErr w:type="spellEnd"/>
            <w:r w:rsidRPr="00E7741E">
              <w:rPr>
                <w:sz w:val="20"/>
                <w:szCs w:val="20"/>
              </w:rPr>
              <w:t xml:space="preserve"> essential to the </w:t>
            </w:r>
            <w:proofErr w:type="spellStart"/>
            <w:r w:rsidRPr="00E7741E">
              <w:rPr>
                <w:sz w:val="20"/>
                <w:szCs w:val="20"/>
              </w:rPr>
              <w:t>enjoyment</w:t>
            </w:r>
            <w:proofErr w:type="spellEnd"/>
            <w:r w:rsidRPr="00E7741E">
              <w:rPr>
                <w:sz w:val="20"/>
                <w:szCs w:val="20"/>
              </w:rPr>
              <w:t xml:space="preserve"> of </w:t>
            </w:r>
            <w:proofErr w:type="spellStart"/>
            <w:r w:rsidRPr="00E7741E">
              <w:rPr>
                <w:sz w:val="20"/>
                <w:szCs w:val="20"/>
              </w:rPr>
              <w:t>life</w:t>
            </w:r>
            <w:proofErr w:type="spellEnd"/>
            <w:r w:rsidRPr="00E7741E">
              <w:rPr>
                <w:sz w:val="20"/>
                <w:szCs w:val="20"/>
              </w:rPr>
              <w:t>”</w:t>
            </w:r>
            <w:r w:rsidRPr="00E7741E">
              <w:rPr>
                <w:sz w:val="20"/>
                <w:szCs w:val="20"/>
                <w:vertAlign w:val="superscript"/>
              </w:rPr>
              <w:footnoteReference w:id="1708"/>
            </w:r>
            <w:r w:rsidRPr="00E7741E">
              <w:rPr>
                <w:sz w:val="20"/>
                <w:szCs w:val="20"/>
              </w:rPr>
              <w:t>). Und diese Rechtsgüter könn</w:t>
            </w:r>
            <w:r>
              <w:rPr>
                <w:sz w:val="20"/>
                <w:szCs w:val="20"/>
              </w:rPr>
              <w:t>t</w:t>
            </w:r>
            <w:r w:rsidRPr="00E7741E">
              <w:rPr>
                <w:sz w:val="20"/>
                <w:szCs w:val="20"/>
              </w:rPr>
              <w:t xml:space="preserve">en eben nicht vom Willen oder der Willkür eines anderen abhängen. Denn sonst bestehe ein der Sklaverei vergleichbarer Zustand, so die Argumentation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E7741E">
              <w:rPr>
                <w:sz w:val="20"/>
                <w:szCs w:val="20"/>
              </w:rPr>
              <w:t>.</w:t>
            </w:r>
            <w:r w:rsidRPr="00E7741E">
              <w:rPr>
                <w:sz w:val="20"/>
                <w:szCs w:val="20"/>
                <w:vertAlign w:val="superscript"/>
              </w:rPr>
              <w:footnoteReference w:id="1709"/>
            </w:r>
          </w:p>
          <w:p w14:paraId="40830610" w14:textId="77777777" w:rsidR="00074551" w:rsidRPr="00E50B51" w:rsidRDefault="00074551" w:rsidP="00367133">
            <w:pPr>
              <w:jc w:val="both"/>
              <w:rPr>
                <w:sz w:val="20"/>
                <w:szCs w:val="20"/>
              </w:rPr>
            </w:pPr>
          </w:p>
        </w:tc>
      </w:tr>
      <w:tr w:rsidR="00074551" w:rsidRPr="00E7741E" w14:paraId="32136FF5" w14:textId="77777777" w:rsidTr="00BE689F">
        <w:trPr>
          <w:cantSplit/>
          <w:trHeight w:val="3175"/>
        </w:trPr>
        <w:tc>
          <w:tcPr>
            <w:tcW w:w="293" w:type="pct"/>
          </w:tcPr>
          <w:p w14:paraId="0D9CC54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2483CD5" w14:textId="77777777" w:rsidR="00074551" w:rsidRPr="00E50B51" w:rsidRDefault="00074551" w:rsidP="00367133">
            <w:pPr>
              <w:ind w:left="113" w:right="416"/>
              <w:jc w:val="both"/>
              <w:rPr>
                <w:sz w:val="20"/>
                <w:szCs w:val="20"/>
                <w:lang w:val="en-US" w:eastAsia="de-DE"/>
              </w:rPr>
            </w:pPr>
            <w:r w:rsidRPr="00A15962">
              <w:rPr>
                <w:i/>
                <w:sz w:val="20"/>
                <w:szCs w:val="20"/>
              </w:rPr>
              <w:t>United States v. Wheeler</w:t>
            </w:r>
          </w:p>
        </w:tc>
        <w:tc>
          <w:tcPr>
            <w:tcW w:w="197" w:type="pct"/>
            <w:textDirection w:val="tbRl"/>
            <w:vAlign w:val="center"/>
          </w:tcPr>
          <w:p w14:paraId="385298A3" w14:textId="77777777" w:rsidR="00074551" w:rsidRPr="00E50B51" w:rsidRDefault="00074551" w:rsidP="00367133">
            <w:pPr>
              <w:ind w:left="113" w:right="113"/>
              <w:jc w:val="both"/>
              <w:rPr>
                <w:sz w:val="20"/>
                <w:szCs w:val="20"/>
                <w:lang w:val="en-US"/>
              </w:rPr>
            </w:pPr>
            <w:r w:rsidRPr="00E50B51">
              <w:rPr>
                <w:sz w:val="20"/>
                <w:szCs w:val="20"/>
                <w:lang w:val="en-US"/>
              </w:rPr>
              <w:t>254 U.S. 281</w:t>
            </w:r>
          </w:p>
        </w:tc>
        <w:tc>
          <w:tcPr>
            <w:tcW w:w="306" w:type="pct"/>
            <w:textDirection w:val="tbRl"/>
            <w:vAlign w:val="center"/>
          </w:tcPr>
          <w:p w14:paraId="53B67636" w14:textId="77777777" w:rsidR="00074551" w:rsidRPr="00E50B51" w:rsidRDefault="00074551" w:rsidP="00367133">
            <w:pPr>
              <w:ind w:left="113" w:right="113"/>
              <w:jc w:val="both"/>
              <w:rPr>
                <w:sz w:val="20"/>
                <w:szCs w:val="20"/>
              </w:rPr>
            </w:pPr>
            <w:r w:rsidRPr="00E50B51">
              <w:rPr>
                <w:sz w:val="20"/>
                <w:szCs w:val="20"/>
              </w:rPr>
              <w:t>13. Dezember 1920</w:t>
            </w:r>
          </w:p>
        </w:tc>
        <w:tc>
          <w:tcPr>
            <w:tcW w:w="401" w:type="pct"/>
          </w:tcPr>
          <w:p w14:paraId="19E1DD05" w14:textId="77777777" w:rsidR="00074551" w:rsidRPr="00E50B51" w:rsidRDefault="00074551" w:rsidP="00367133">
            <w:pPr>
              <w:jc w:val="center"/>
              <w:rPr>
                <w:sz w:val="20"/>
                <w:szCs w:val="20"/>
                <w:lang w:val="en-US"/>
              </w:rPr>
            </w:pPr>
            <w:r w:rsidRPr="00E50B51">
              <w:rPr>
                <w:iCs/>
                <w:sz w:val="20"/>
                <w:szCs w:val="20"/>
              </w:rPr>
              <w:t>S/M</w:t>
            </w:r>
          </w:p>
        </w:tc>
        <w:tc>
          <w:tcPr>
            <w:tcW w:w="1594" w:type="pct"/>
          </w:tcPr>
          <w:p w14:paraId="08E8D5C5" w14:textId="77777777" w:rsidR="00074551" w:rsidRPr="00E50B51" w:rsidRDefault="00074551" w:rsidP="00367133">
            <w:pPr>
              <w:jc w:val="both"/>
              <w:rPr>
                <w:sz w:val="20"/>
                <w:szCs w:val="20"/>
              </w:rPr>
            </w:pPr>
            <w:r>
              <w:rPr>
                <w:sz w:val="20"/>
                <w:szCs w:val="20"/>
              </w:rPr>
              <w:t>*</w:t>
            </w:r>
          </w:p>
        </w:tc>
        <w:tc>
          <w:tcPr>
            <w:tcW w:w="1822" w:type="pct"/>
          </w:tcPr>
          <w:p w14:paraId="675DAEF2" w14:textId="77777777" w:rsidR="00074551" w:rsidRPr="00B210C5" w:rsidRDefault="00074551" w:rsidP="00367133">
            <w:pPr>
              <w:jc w:val="both"/>
              <w:rPr>
                <w:sz w:val="20"/>
                <w:szCs w:val="20"/>
              </w:rPr>
            </w:pPr>
            <w:r w:rsidRPr="00B210C5">
              <w:rPr>
                <w:sz w:val="20"/>
                <w:szCs w:val="20"/>
              </w:rPr>
              <w:t xml:space="preserve">In </w:t>
            </w:r>
            <w:r w:rsidRPr="00A15962">
              <w:rPr>
                <w:i/>
                <w:sz w:val="20"/>
                <w:szCs w:val="20"/>
              </w:rPr>
              <w:t>United States v. Wheeler</w:t>
            </w:r>
            <w:r w:rsidRPr="00B210C5">
              <w:rPr>
                <w:sz w:val="20"/>
                <w:szCs w:val="20"/>
              </w:rPr>
              <w:t xml:space="preserve"> erklärt der </w:t>
            </w:r>
            <w:r>
              <w:rPr>
                <w:sz w:val="20"/>
                <w:szCs w:val="20"/>
              </w:rPr>
              <w:t>U.S. Supreme Court</w:t>
            </w:r>
            <w:r w:rsidRPr="00B210C5">
              <w:rPr>
                <w:sz w:val="20"/>
                <w:szCs w:val="20"/>
              </w:rPr>
              <w:t xml:space="preserve"> die Rechte, die gleiche Bedingungen für ein Glücksstreben sichern. Zudem erklärt er, dass Bundesstaaten die Vorrechte und Immunitäten gegenüber anderen Bundesstaaten so auszurichten</w:t>
            </w:r>
            <w:r>
              <w:rPr>
                <w:sz w:val="20"/>
                <w:szCs w:val="20"/>
              </w:rPr>
              <w:t xml:space="preserve"> hätten</w:t>
            </w:r>
            <w:r w:rsidRPr="00B210C5">
              <w:rPr>
                <w:sz w:val="20"/>
                <w:szCs w:val="20"/>
              </w:rPr>
              <w:t>, dass sie diese gleichen Bedingungen für ein Streben nach Glück ermöglich</w:t>
            </w:r>
            <w:r>
              <w:rPr>
                <w:sz w:val="20"/>
                <w:szCs w:val="20"/>
              </w:rPr>
              <w:t>t</w:t>
            </w:r>
            <w:r w:rsidRPr="00B210C5">
              <w:rPr>
                <w:sz w:val="20"/>
                <w:szCs w:val="20"/>
              </w:rPr>
              <w:t>en.</w:t>
            </w:r>
          </w:p>
          <w:p w14:paraId="100D6597" w14:textId="06A56F72" w:rsidR="00074551" w:rsidRPr="00B210C5" w:rsidRDefault="00074551" w:rsidP="00367133">
            <w:pPr>
              <w:jc w:val="both"/>
              <w:rPr>
                <w:sz w:val="20"/>
                <w:szCs w:val="20"/>
              </w:rPr>
            </w:pPr>
            <w:r w:rsidRPr="00B210C5">
              <w:rPr>
                <w:sz w:val="20"/>
                <w:szCs w:val="20"/>
              </w:rPr>
              <w:t xml:space="preserve">Die </w:t>
            </w:r>
            <w:r>
              <w:rPr>
                <w:sz w:val="20"/>
                <w:szCs w:val="20"/>
              </w:rPr>
              <w:t>U.S.</w:t>
            </w:r>
            <w:r w:rsidRPr="00B210C5">
              <w:rPr>
                <w:sz w:val="20"/>
                <w:szCs w:val="20"/>
              </w:rPr>
              <w:t xml:space="preserve"> </w:t>
            </w:r>
            <w:proofErr w:type="spellStart"/>
            <w:r w:rsidRPr="00B210C5">
              <w:rPr>
                <w:sz w:val="20"/>
                <w:szCs w:val="20"/>
              </w:rPr>
              <w:t>Const</w:t>
            </w:r>
            <w:proofErr w:type="spellEnd"/>
            <w:r w:rsidRPr="00B210C5">
              <w:rPr>
                <w:sz w:val="20"/>
                <w:szCs w:val="20"/>
              </w:rPr>
              <w:t>. beschränke die Bundesstaaten nur zurückhaltend. Drei dieser Beschränkungen laute</w:t>
            </w:r>
            <w:r>
              <w:rPr>
                <w:sz w:val="20"/>
                <w:szCs w:val="20"/>
              </w:rPr>
              <w:t>te</w:t>
            </w:r>
            <w:r w:rsidRPr="00B210C5">
              <w:rPr>
                <w:sz w:val="20"/>
                <w:szCs w:val="20"/>
              </w:rPr>
              <w:t xml:space="preserve">n: Das Verbot, mit Gesetzen Rechtsfolgen für abgeschlossene Sachverhalte zu regeln („ex </w:t>
            </w:r>
            <w:proofErr w:type="spellStart"/>
            <w:r w:rsidRPr="00B210C5">
              <w:rPr>
                <w:sz w:val="20"/>
                <w:szCs w:val="20"/>
              </w:rPr>
              <w:t>post</w:t>
            </w:r>
            <w:proofErr w:type="spellEnd"/>
            <w:r w:rsidRPr="00B210C5">
              <w:rPr>
                <w:sz w:val="20"/>
                <w:szCs w:val="20"/>
              </w:rPr>
              <w:t xml:space="preserve"> facto </w:t>
            </w:r>
            <w:proofErr w:type="spellStart"/>
            <w:r w:rsidRPr="00B210C5">
              <w:rPr>
                <w:sz w:val="20"/>
                <w:szCs w:val="20"/>
              </w:rPr>
              <w:t>laws</w:t>
            </w:r>
            <w:proofErr w:type="spellEnd"/>
            <w:r w:rsidRPr="00B210C5">
              <w:rPr>
                <w:sz w:val="20"/>
                <w:szCs w:val="20"/>
              </w:rPr>
              <w:t>“</w:t>
            </w:r>
            <w:r w:rsidRPr="00B210C5">
              <w:rPr>
                <w:sz w:val="20"/>
                <w:szCs w:val="20"/>
                <w:vertAlign w:val="superscript"/>
              </w:rPr>
              <w:footnoteReference w:id="1710"/>
            </w:r>
            <w:r w:rsidRPr="00B210C5">
              <w:rPr>
                <w:sz w:val="20"/>
                <w:szCs w:val="20"/>
              </w:rPr>
              <w:t>); das Verbot, strafrechtliche Verurteilungen durch die Legislative zu gestatten („</w:t>
            </w:r>
            <w:proofErr w:type="spellStart"/>
            <w:r w:rsidRPr="00B210C5">
              <w:rPr>
                <w:sz w:val="20"/>
                <w:szCs w:val="20"/>
              </w:rPr>
              <w:t>bills</w:t>
            </w:r>
            <w:proofErr w:type="spellEnd"/>
            <w:r w:rsidRPr="00B210C5">
              <w:rPr>
                <w:sz w:val="20"/>
                <w:szCs w:val="20"/>
              </w:rPr>
              <w:t xml:space="preserve"> of </w:t>
            </w:r>
            <w:proofErr w:type="spellStart"/>
            <w:r w:rsidRPr="00B210C5">
              <w:rPr>
                <w:sz w:val="20"/>
                <w:szCs w:val="20"/>
              </w:rPr>
              <w:t>attainder</w:t>
            </w:r>
            <w:proofErr w:type="spellEnd"/>
            <w:r w:rsidRPr="00B210C5">
              <w:rPr>
                <w:sz w:val="20"/>
                <w:szCs w:val="20"/>
              </w:rPr>
              <w:t>“</w:t>
            </w:r>
            <w:r w:rsidRPr="00B210C5">
              <w:rPr>
                <w:sz w:val="20"/>
                <w:szCs w:val="20"/>
                <w:vertAlign w:val="superscript"/>
              </w:rPr>
              <w:footnoteReference w:id="1711"/>
            </w:r>
            <w:r w:rsidRPr="00B210C5">
              <w:rPr>
                <w:sz w:val="20"/>
                <w:szCs w:val="20"/>
              </w:rPr>
              <w:t xml:space="preserve">); </w:t>
            </w:r>
            <w:r>
              <w:rPr>
                <w:sz w:val="20"/>
                <w:szCs w:val="20"/>
              </w:rPr>
              <w:t xml:space="preserve">sowie </w:t>
            </w:r>
            <w:r w:rsidRPr="00B210C5">
              <w:rPr>
                <w:sz w:val="20"/>
                <w:szCs w:val="20"/>
              </w:rPr>
              <w:t>das Verbot</w:t>
            </w:r>
            <w:r>
              <w:rPr>
                <w:sz w:val="20"/>
                <w:szCs w:val="20"/>
              </w:rPr>
              <w:t>, mit</w:t>
            </w:r>
            <w:r w:rsidRPr="00B210C5">
              <w:rPr>
                <w:sz w:val="20"/>
                <w:szCs w:val="20"/>
              </w:rPr>
              <w:t xml:space="preserve"> Gesetzen in vertragliche Verpflichtungen nachträglich einzugreifen („</w:t>
            </w:r>
            <w:proofErr w:type="spellStart"/>
            <w:r w:rsidRPr="00B210C5">
              <w:rPr>
                <w:sz w:val="20"/>
                <w:szCs w:val="20"/>
              </w:rPr>
              <w:t>laws</w:t>
            </w:r>
            <w:proofErr w:type="spellEnd"/>
            <w:r w:rsidRPr="00B210C5">
              <w:rPr>
                <w:sz w:val="20"/>
                <w:szCs w:val="20"/>
              </w:rPr>
              <w:t xml:space="preserve"> </w:t>
            </w:r>
            <w:proofErr w:type="spellStart"/>
            <w:r w:rsidRPr="00B210C5">
              <w:rPr>
                <w:sz w:val="20"/>
                <w:szCs w:val="20"/>
              </w:rPr>
              <w:t>impairing</w:t>
            </w:r>
            <w:proofErr w:type="spellEnd"/>
            <w:r w:rsidRPr="00B210C5">
              <w:rPr>
                <w:sz w:val="20"/>
                <w:szCs w:val="20"/>
              </w:rPr>
              <w:t xml:space="preserve"> the </w:t>
            </w:r>
            <w:proofErr w:type="spellStart"/>
            <w:r w:rsidRPr="00B210C5">
              <w:rPr>
                <w:sz w:val="20"/>
                <w:szCs w:val="20"/>
              </w:rPr>
              <w:t>obligation</w:t>
            </w:r>
            <w:proofErr w:type="spellEnd"/>
            <w:r w:rsidRPr="00B210C5">
              <w:rPr>
                <w:sz w:val="20"/>
                <w:szCs w:val="20"/>
              </w:rPr>
              <w:t xml:space="preserve"> of </w:t>
            </w:r>
            <w:proofErr w:type="spellStart"/>
            <w:r w:rsidRPr="00B210C5">
              <w:rPr>
                <w:sz w:val="20"/>
                <w:szCs w:val="20"/>
              </w:rPr>
              <w:t>contracts</w:t>
            </w:r>
            <w:proofErr w:type="spellEnd"/>
            <w:r w:rsidRPr="00B210C5">
              <w:rPr>
                <w:sz w:val="20"/>
                <w:szCs w:val="20"/>
              </w:rPr>
              <w:t>“</w:t>
            </w:r>
            <w:r w:rsidRPr="00B210C5">
              <w:rPr>
                <w:sz w:val="20"/>
                <w:szCs w:val="20"/>
                <w:vertAlign w:val="superscript"/>
              </w:rPr>
              <w:footnoteReference w:id="1712"/>
            </w:r>
            <w:r w:rsidRPr="00B210C5">
              <w:rPr>
                <w:sz w:val="20"/>
                <w:szCs w:val="20"/>
              </w:rPr>
              <w:t xml:space="preserve">). Unter Beachtung dieser nationalen Beschränkungen liege die Kompetenz für sog. Vorrechte und Immunitäten bei den Bundesstaaten. Bei den Vorrechten und Immunitäten </w:t>
            </w:r>
            <w:r>
              <w:rPr>
                <w:sz w:val="20"/>
                <w:szCs w:val="20"/>
              </w:rPr>
              <w:t>gebe</w:t>
            </w:r>
            <w:r w:rsidRPr="00B210C5">
              <w:rPr>
                <w:sz w:val="20"/>
                <w:szCs w:val="20"/>
              </w:rPr>
              <w:t xml:space="preserve"> es aber dennoch weitere, generelle Doktrinen, die ein Bundesstaat zu beachten habe, um seine Kompetenz dann auch auszuüben („</w:t>
            </w:r>
            <w:proofErr w:type="spellStart"/>
            <w:r w:rsidRPr="00B210C5">
              <w:rPr>
                <w:sz w:val="20"/>
                <w:szCs w:val="20"/>
              </w:rPr>
              <w:t>headings</w:t>
            </w:r>
            <w:proofErr w:type="spellEnd"/>
            <w:r w:rsidRPr="00B210C5">
              <w:rPr>
                <w:sz w:val="20"/>
                <w:szCs w:val="20"/>
              </w:rPr>
              <w:t xml:space="preserve"> </w:t>
            </w:r>
            <w:proofErr w:type="spellStart"/>
            <w:r w:rsidRPr="00B210C5">
              <w:rPr>
                <w:sz w:val="20"/>
                <w:szCs w:val="20"/>
              </w:rPr>
              <w:t>doctrines</w:t>
            </w:r>
            <w:proofErr w:type="spellEnd"/>
            <w:r w:rsidRPr="00B210C5">
              <w:rPr>
                <w:sz w:val="20"/>
                <w:szCs w:val="20"/>
              </w:rPr>
              <w:t xml:space="preserve"> </w:t>
            </w:r>
            <w:proofErr w:type="spellStart"/>
            <w:r w:rsidRPr="00B210C5">
              <w:rPr>
                <w:sz w:val="20"/>
                <w:szCs w:val="20"/>
              </w:rPr>
              <w:t>which</w:t>
            </w:r>
            <w:proofErr w:type="spellEnd"/>
            <w:r w:rsidRPr="00B210C5">
              <w:rPr>
                <w:sz w:val="20"/>
                <w:szCs w:val="20"/>
              </w:rPr>
              <w:t xml:space="preserve"> </w:t>
            </w:r>
            <w:proofErr w:type="spellStart"/>
            <w:r w:rsidRPr="00B210C5">
              <w:rPr>
                <w:sz w:val="20"/>
                <w:szCs w:val="20"/>
              </w:rPr>
              <w:t>are</w:t>
            </w:r>
            <w:proofErr w:type="spellEnd"/>
            <w:r w:rsidRPr="00B210C5">
              <w:rPr>
                <w:sz w:val="20"/>
                <w:szCs w:val="20"/>
              </w:rPr>
              <w:t xml:space="preserve"> </w:t>
            </w:r>
            <w:proofErr w:type="spellStart"/>
            <w:r w:rsidRPr="00B210C5">
              <w:rPr>
                <w:sz w:val="20"/>
                <w:szCs w:val="20"/>
              </w:rPr>
              <w:t>applicable</w:t>
            </w:r>
            <w:proofErr w:type="spellEnd"/>
            <w:r w:rsidRPr="00B210C5">
              <w:rPr>
                <w:sz w:val="20"/>
                <w:szCs w:val="20"/>
              </w:rPr>
              <w:t xml:space="preserve"> to all the </w:t>
            </w:r>
            <w:proofErr w:type="spellStart"/>
            <w:r w:rsidRPr="00B210C5">
              <w:rPr>
                <w:sz w:val="20"/>
                <w:szCs w:val="20"/>
              </w:rPr>
              <w:t>contentions</w:t>
            </w:r>
            <w:proofErr w:type="spellEnd"/>
            <w:r w:rsidRPr="00B210C5">
              <w:rPr>
                <w:sz w:val="20"/>
                <w:szCs w:val="20"/>
              </w:rPr>
              <w:t>“</w:t>
            </w:r>
            <w:r w:rsidRPr="00B210C5">
              <w:rPr>
                <w:sz w:val="20"/>
                <w:szCs w:val="20"/>
                <w:vertAlign w:val="superscript"/>
              </w:rPr>
              <w:footnoteReference w:id="1713"/>
            </w:r>
            <w:r w:rsidRPr="00B210C5">
              <w:rPr>
                <w:sz w:val="20"/>
                <w:szCs w:val="20"/>
              </w:rPr>
              <w:t xml:space="preserve">). Eine davon laute: Bundesstaaten müssen die Gleichstellung der Bürger sichern. Das richte sich aus nach </w:t>
            </w:r>
            <w:r w:rsidR="00023A37">
              <w:rPr>
                <w:sz w:val="20"/>
                <w:szCs w:val="20"/>
              </w:rPr>
              <w:t xml:space="preserve">U.S. </w:t>
            </w:r>
            <w:proofErr w:type="spellStart"/>
            <w:r w:rsidR="00023A37">
              <w:rPr>
                <w:sz w:val="20"/>
                <w:szCs w:val="20"/>
              </w:rPr>
              <w:t>Const</w:t>
            </w:r>
            <w:proofErr w:type="spellEnd"/>
            <w:r w:rsidR="00023A37">
              <w:rPr>
                <w:sz w:val="20"/>
                <w:szCs w:val="20"/>
              </w:rPr>
              <w:t>. art. IV, § 2</w:t>
            </w:r>
            <w:r w:rsidRPr="00B210C5">
              <w:rPr>
                <w:sz w:val="20"/>
                <w:szCs w:val="20"/>
              </w:rPr>
              <w:t>, der den f</w:t>
            </w:r>
            <w:r>
              <w:rPr>
                <w:sz w:val="20"/>
                <w:szCs w:val="20"/>
              </w:rPr>
              <w:t>r</w:t>
            </w:r>
            <w:r w:rsidRPr="00B210C5">
              <w:rPr>
                <w:sz w:val="20"/>
                <w:szCs w:val="20"/>
              </w:rPr>
              <w:t xml:space="preserve">üheren </w:t>
            </w:r>
            <w:r>
              <w:rPr>
                <w:sz w:val="20"/>
                <w:szCs w:val="20"/>
              </w:rPr>
              <w:t>Art. </w:t>
            </w:r>
            <w:r w:rsidRPr="00B210C5">
              <w:rPr>
                <w:sz w:val="20"/>
                <w:szCs w:val="20"/>
              </w:rPr>
              <w:t>IV der</w:t>
            </w:r>
            <w:r w:rsidR="00905D42">
              <w:rPr>
                <w:sz w:val="20"/>
                <w:szCs w:val="20"/>
              </w:rPr>
              <w:t xml:space="preserve"> </w:t>
            </w:r>
            <w:proofErr w:type="spellStart"/>
            <w:r w:rsidR="00905D42" w:rsidRPr="00905D42">
              <w:rPr>
                <w:sz w:val="20"/>
                <w:szCs w:val="20"/>
              </w:rPr>
              <w:t>Articles</w:t>
            </w:r>
            <w:proofErr w:type="spellEnd"/>
            <w:r w:rsidR="00905D42" w:rsidRPr="00905D42">
              <w:rPr>
                <w:sz w:val="20"/>
                <w:szCs w:val="20"/>
              </w:rPr>
              <w:t xml:space="preserve"> of </w:t>
            </w:r>
            <w:proofErr w:type="spellStart"/>
            <w:r w:rsidR="00905D42" w:rsidRPr="00905D42">
              <w:rPr>
                <w:sz w:val="20"/>
                <w:szCs w:val="20"/>
              </w:rPr>
              <w:t>Confederation</w:t>
            </w:r>
            <w:proofErr w:type="spellEnd"/>
            <w:r w:rsidRPr="00B210C5">
              <w:rPr>
                <w:sz w:val="20"/>
                <w:szCs w:val="20"/>
              </w:rPr>
              <w:t xml:space="preserve"> </w:t>
            </w:r>
            <w:r w:rsidR="00905D42">
              <w:rPr>
                <w:sz w:val="20"/>
                <w:szCs w:val="20"/>
              </w:rPr>
              <w:t>(</w:t>
            </w:r>
            <w:proofErr w:type="spellStart"/>
            <w:r w:rsidRPr="00B210C5">
              <w:rPr>
                <w:sz w:val="20"/>
                <w:szCs w:val="20"/>
              </w:rPr>
              <w:t>AoC</w:t>
            </w:r>
            <w:proofErr w:type="spellEnd"/>
            <w:r w:rsidR="00905D42">
              <w:rPr>
                <w:sz w:val="20"/>
                <w:szCs w:val="20"/>
              </w:rPr>
              <w:t>)</w:t>
            </w:r>
            <w:r w:rsidRPr="00B210C5">
              <w:rPr>
                <w:sz w:val="20"/>
                <w:szCs w:val="20"/>
              </w:rPr>
              <w:t xml:space="preserve"> überregele und verstetige; diese Verbindung habe der </w:t>
            </w:r>
            <w:r>
              <w:rPr>
                <w:sz w:val="20"/>
                <w:szCs w:val="20"/>
              </w:rPr>
              <w:t>U.S. Supreme Court</w:t>
            </w:r>
            <w:r w:rsidRPr="00B210C5">
              <w:rPr>
                <w:sz w:val="20"/>
                <w:szCs w:val="20"/>
              </w:rPr>
              <w:t xml:space="preserve"> in </w:t>
            </w:r>
            <w:r w:rsidRPr="5B67C1D2">
              <w:rPr>
                <w:i/>
                <w:iCs/>
                <w:sz w:val="20"/>
                <w:szCs w:val="20"/>
              </w:rPr>
              <w:t>Paul v. Virginia</w:t>
            </w:r>
            <w:r w:rsidRPr="00B210C5">
              <w:rPr>
                <w:sz w:val="20"/>
                <w:szCs w:val="20"/>
              </w:rPr>
              <w:t xml:space="preserve"> ausgeurteilt.</w:t>
            </w:r>
            <w:r w:rsidRPr="00B210C5">
              <w:rPr>
                <w:sz w:val="20"/>
                <w:szCs w:val="20"/>
                <w:vertAlign w:val="superscript"/>
              </w:rPr>
              <w:footnoteReference w:id="1714"/>
            </w:r>
            <w:r w:rsidRPr="00B210C5">
              <w:rPr>
                <w:sz w:val="20"/>
                <w:szCs w:val="20"/>
              </w:rPr>
              <w:t xml:space="preserve"> </w:t>
            </w:r>
            <w:r w:rsidRPr="00B45592">
              <w:rPr>
                <w:sz w:val="20"/>
                <w:szCs w:val="20"/>
              </w:rPr>
              <w:t xml:space="preserve">Doch was umfasst die Gleichstellung? </w:t>
            </w:r>
            <w:r w:rsidRPr="001B6693">
              <w:rPr>
                <w:sz w:val="20"/>
                <w:szCs w:val="20"/>
              </w:rPr>
              <w:t xml:space="preserve">Sie umfasse, dass die gleichen Bedingungen geschaffen würden, um nach Glück streben zu können („it </w:t>
            </w:r>
            <w:proofErr w:type="spellStart"/>
            <w:r w:rsidRPr="001B6693">
              <w:rPr>
                <w:sz w:val="20"/>
                <w:szCs w:val="20"/>
              </w:rPr>
              <w:t>insures</w:t>
            </w:r>
            <w:proofErr w:type="spellEnd"/>
            <w:r w:rsidRPr="001B6693">
              <w:rPr>
                <w:sz w:val="20"/>
                <w:szCs w:val="20"/>
              </w:rPr>
              <w:t xml:space="preserve"> to </w:t>
            </w:r>
            <w:proofErr w:type="spellStart"/>
            <w:r w:rsidRPr="001B6693">
              <w:rPr>
                <w:sz w:val="20"/>
                <w:szCs w:val="20"/>
              </w:rPr>
              <w:t>them</w:t>
            </w:r>
            <w:proofErr w:type="spellEnd"/>
            <w:r w:rsidRPr="001B6693">
              <w:rPr>
                <w:sz w:val="20"/>
                <w:szCs w:val="20"/>
              </w:rPr>
              <w:t xml:space="preserve"> in </w:t>
            </w:r>
            <w:proofErr w:type="spellStart"/>
            <w:r w:rsidRPr="001B6693">
              <w:rPr>
                <w:sz w:val="20"/>
                <w:szCs w:val="20"/>
              </w:rPr>
              <w:t>other</w:t>
            </w:r>
            <w:proofErr w:type="spellEnd"/>
            <w:r w:rsidRPr="001B6693">
              <w:rPr>
                <w:sz w:val="20"/>
                <w:szCs w:val="20"/>
              </w:rPr>
              <w:t xml:space="preserve"> States the same </w:t>
            </w:r>
            <w:proofErr w:type="spellStart"/>
            <w:r w:rsidRPr="001B6693">
              <w:rPr>
                <w:sz w:val="20"/>
                <w:szCs w:val="20"/>
              </w:rPr>
              <w:t>freedom</w:t>
            </w:r>
            <w:proofErr w:type="spellEnd"/>
            <w:r w:rsidRPr="001B6693">
              <w:rPr>
                <w:sz w:val="20"/>
                <w:szCs w:val="20"/>
              </w:rPr>
              <w:t xml:space="preserve"> </w:t>
            </w:r>
            <w:proofErr w:type="spellStart"/>
            <w:r w:rsidRPr="001B6693">
              <w:rPr>
                <w:sz w:val="20"/>
                <w:szCs w:val="20"/>
              </w:rPr>
              <w:t>possessed</w:t>
            </w:r>
            <w:proofErr w:type="spellEnd"/>
            <w:r w:rsidRPr="001B6693">
              <w:rPr>
                <w:sz w:val="20"/>
                <w:szCs w:val="20"/>
              </w:rPr>
              <w:t xml:space="preserve"> by the </w:t>
            </w:r>
            <w:proofErr w:type="spellStart"/>
            <w:r w:rsidRPr="001B6693">
              <w:rPr>
                <w:sz w:val="20"/>
                <w:szCs w:val="20"/>
              </w:rPr>
              <w:t>citizens</w:t>
            </w:r>
            <w:proofErr w:type="spellEnd"/>
            <w:r w:rsidRPr="001B6693">
              <w:rPr>
                <w:sz w:val="20"/>
                <w:szCs w:val="20"/>
              </w:rPr>
              <w:t xml:space="preserve"> of </w:t>
            </w:r>
            <w:proofErr w:type="spellStart"/>
            <w:r w:rsidRPr="001B6693">
              <w:rPr>
                <w:sz w:val="20"/>
                <w:szCs w:val="20"/>
              </w:rPr>
              <w:t>those</w:t>
            </w:r>
            <w:proofErr w:type="spellEnd"/>
            <w:r w:rsidRPr="001B6693">
              <w:rPr>
                <w:sz w:val="20"/>
                <w:szCs w:val="20"/>
              </w:rPr>
              <w:t xml:space="preserve"> States in the </w:t>
            </w:r>
            <w:proofErr w:type="spellStart"/>
            <w:r w:rsidRPr="001B6693">
              <w:rPr>
                <w:sz w:val="20"/>
                <w:szCs w:val="20"/>
              </w:rPr>
              <w:t>acquisition</w:t>
            </w:r>
            <w:proofErr w:type="spellEnd"/>
            <w:r w:rsidRPr="001B6693">
              <w:rPr>
                <w:sz w:val="20"/>
                <w:szCs w:val="20"/>
              </w:rPr>
              <w:t xml:space="preserve"> and </w:t>
            </w:r>
            <w:proofErr w:type="spellStart"/>
            <w:r w:rsidRPr="001B6693">
              <w:rPr>
                <w:sz w:val="20"/>
                <w:szCs w:val="20"/>
              </w:rPr>
              <w:t>enjoyment</w:t>
            </w:r>
            <w:proofErr w:type="spellEnd"/>
            <w:r w:rsidRPr="001B6693">
              <w:rPr>
                <w:sz w:val="20"/>
                <w:szCs w:val="20"/>
              </w:rPr>
              <w:t xml:space="preserve"> of </w:t>
            </w:r>
            <w:proofErr w:type="spellStart"/>
            <w:r w:rsidRPr="001B6693">
              <w:rPr>
                <w:sz w:val="20"/>
                <w:szCs w:val="20"/>
              </w:rPr>
              <w:t>property</w:t>
            </w:r>
            <w:proofErr w:type="spellEnd"/>
            <w:r w:rsidRPr="001B6693">
              <w:rPr>
                <w:sz w:val="20"/>
                <w:szCs w:val="20"/>
              </w:rPr>
              <w:t xml:space="preserve"> and in the </w:t>
            </w:r>
            <w:proofErr w:type="spellStart"/>
            <w:r w:rsidRPr="001B6693">
              <w:rPr>
                <w:sz w:val="20"/>
                <w:szCs w:val="20"/>
              </w:rPr>
              <w:t>pursuit</w:t>
            </w:r>
            <w:proofErr w:type="spellEnd"/>
            <w:r w:rsidRPr="001B6693">
              <w:rPr>
                <w:sz w:val="20"/>
                <w:szCs w:val="20"/>
              </w:rPr>
              <w:t xml:space="preserve"> of </w:t>
            </w:r>
            <w:proofErr w:type="spellStart"/>
            <w:r w:rsidRPr="001B6693">
              <w:rPr>
                <w:sz w:val="20"/>
                <w:szCs w:val="20"/>
              </w:rPr>
              <w:t>happiness</w:t>
            </w:r>
            <w:proofErr w:type="spellEnd"/>
            <w:r w:rsidRPr="001B6693">
              <w:rPr>
                <w:sz w:val="20"/>
                <w:szCs w:val="20"/>
              </w:rPr>
              <w:t>“</w:t>
            </w:r>
            <w:r w:rsidRPr="00B210C5">
              <w:rPr>
                <w:sz w:val="20"/>
                <w:szCs w:val="20"/>
                <w:vertAlign w:val="superscript"/>
                <w:lang w:val="en-US"/>
              </w:rPr>
              <w:footnoteReference w:id="1715"/>
            </w:r>
            <w:r w:rsidRPr="001B6693">
              <w:rPr>
                <w:sz w:val="20"/>
                <w:szCs w:val="20"/>
              </w:rPr>
              <w:t xml:space="preserve">). </w:t>
            </w:r>
            <w:r w:rsidRPr="00B210C5">
              <w:rPr>
                <w:sz w:val="20"/>
                <w:szCs w:val="20"/>
              </w:rPr>
              <w:t xml:space="preserve">Dabei korrelieren sechs Rechte mit diesen gleichen Bedingungen für ein Glücksstreben, die sich wie folgt systematisieren lassen: </w:t>
            </w:r>
          </w:p>
          <w:p w14:paraId="6CFF0601" w14:textId="77777777" w:rsidR="00074551" w:rsidRPr="00B210C5" w:rsidRDefault="00074551" w:rsidP="00367133">
            <w:pPr>
              <w:jc w:val="both"/>
              <w:rPr>
                <w:sz w:val="20"/>
                <w:szCs w:val="20"/>
              </w:rPr>
            </w:pPr>
            <w:r w:rsidRPr="00B210C5">
              <w:rPr>
                <w:sz w:val="20"/>
                <w:szCs w:val="20"/>
              </w:rPr>
              <w:t xml:space="preserve">Erstens, das Prinzip der Gleichstellung („same </w:t>
            </w:r>
            <w:proofErr w:type="spellStart"/>
            <w:r w:rsidRPr="00B210C5">
              <w:rPr>
                <w:sz w:val="20"/>
                <w:szCs w:val="20"/>
              </w:rPr>
              <w:t>footing</w:t>
            </w:r>
            <w:proofErr w:type="spellEnd"/>
            <w:r w:rsidRPr="00B210C5">
              <w:rPr>
                <w:sz w:val="20"/>
                <w:szCs w:val="20"/>
              </w:rPr>
              <w:t xml:space="preserve"> </w:t>
            </w:r>
            <w:proofErr w:type="spellStart"/>
            <w:r w:rsidRPr="00B210C5">
              <w:rPr>
                <w:sz w:val="20"/>
                <w:szCs w:val="20"/>
              </w:rPr>
              <w:t>with</w:t>
            </w:r>
            <w:proofErr w:type="spellEnd"/>
            <w:r w:rsidRPr="00B210C5">
              <w:rPr>
                <w:sz w:val="20"/>
                <w:szCs w:val="20"/>
              </w:rPr>
              <w:t xml:space="preserve"> </w:t>
            </w:r>
            <w:proofErr w:type="spellStart"/>
            <w:r w:rsidRPr="00B210C5">
              <w:rPr>
                <w:sz w:val="20"/>
                <w:szCs w:val="20"/>
              </w:rPr>
              <w:t>citizens</w:t>
            </w:r>
            <w:proofErr w:type="spellEnd"/>
            <w:r w:rsidRPr="00B210C5">
              <w:rPr>
                <w:sz w:val="20"/>
                <w:szCs w:val="20"/>
              </w:rPr>
              <w:t>“</w:t>
            </w:r>
            <w:r w:rsidRPr="00B210C5">
              <w:rPr>
                <w:sz w:val="20"/>
                <w:szCs w:val="20"/>
                <w:vertAlign w:val="superscript"/>
              </w:rPr>
              <w:footnoteReference w:id="1716"/>
            </w:r>
            <w:r w:rsidRPr="00B210C5">
              <w:rPr>
                <w:sz w:val="20"/>
                <w:szCs w:val="20"/>
              </w:rPr>
              <w:t>); d.h., Bürger jedes Bundesstaates sind den Bürgern der anderen Bundesstaaten gleichzustellen, insbesondere hinsichtlich der Vorrechte, die sich aus der Staatsbürgerschaft ergeben. Zweitens, die Aufhebung von Diskriminierungen („</w:t>
            </w:r>
            <w:proofErr w:type="spellStart"/>
            <w:r w:rsidRPr="00B210C5">
              <w:rPr>
                <w:sz w:val="20"/>
                <w:szCs w:val="20"/>
              </w:rPr>
              <w:t>relieves</w:t>
            </w:r>
            <w:proofErr w:type="spellEnd"/>
            <w:r w:rsidRPr="00B210C5">
              <w:rPr>
                <w:sz w:val="20"/>
                <w:szCs w:val="20"/>
              </w:rPr>
              <w:t xml:space="preserve"> </w:t>
            </w:r>
            <w:proofErr w:type="spellStart"/>
            <w:r w:rsidRPr="00B210C5">
              <w:rPr>
                <w:sz w:val="20"/>
                <w:szCs w:val="20"/>
              </w:rPr>
              <w:t>them</w:t>
            </w:r>
            <w:proofErr w:type="spellEnd"/>
            <w:r w:rsidRPr="00B210C5">
              <w:rPr>
                <w:sz w:val="20"/>
                <w:szCs w:val="20"/>
              </w:rPr>
              <w:t xml:space="preserve"> </w:t>
            </w:r>
            <w:proofErr w:type="spellStart"/>
            <w:r w:rsidRPr="00B210C5">
              <w:rPr>
                <w:sz w:val="20"/>
                <w:szCs w:val="20"/>
              </w:rPr>
              <w:t>from</w:t>
            </w:r>
            <w:proofErr w:type="spellEnd"/>
            <w:r w:rsidRPr="00B210C5">
              <w:rPr>
                <w:sz w:val="20"/>
                <w:szCs w:val="20"/>
              </w:rPr>
              <w:t xml:space="preserve"> the </w:t>
            </w:r>
            <w:proofErr w:type="spellStart"/>
            <w:r w:rsidRPr="00B210C5">
              <w:rPr>
                <w:sz w:val="20"/>
                <w:szCs w:val="20"/>
              </w:rPr>
              <w:t>disabilities</w:t>
            </w:r>
            <w:proofErr w:type="spellEnd"/>
            <w:r w:rsidRPr="00B210C5">
              <w:rPr>
                <w:sz w:val="20"/>
                <w:szCs w:val="20"/>
              </w:rPr>
              <w:t>“</w:t>
            </w:r>
            <w:r w:rsidRPr="00B210C5">
              <w:rPr>
                <w:sz w:val="20"/>
                <w:szCs w:val="20"/>
                <w:vertAlign w:val="superscript"/>
              </w:rPr>
              <w:t xml:space="preserve"> </w:t>
            </w:r>
            <w:r w:rsidRPr="00B210C5">
              <w:rPr>
                <w:sz w:val="20"/>
                <w:szCs w:val="20"/>
                <w:vertAlign w:val="superscript"/>
              </w:rPr>
              <w:footnoteReference w:id="1717"/>
            </w:r>
            <w:r w:rsidRPr="00B210C5">
              <w:rPr>
                <w:sz w:val="20"/>
                <w:szCs w:val="20"/>
              </w:rPr>
              <w:t>); d.h., rechtliche Nachteile aufzuheben, denen Bürger in anderen Bundesstaaten unterliegen können. Drittens, das Verbot von Diskriminierung durch Gesetzgebung („</w:t>
            </w:r>
            <w:proofErr w:type="spellStart"/>
            <w:r w:rsidRPr="00B210C5">
              <w:rPr>
                <w:sz w:val="20"/>
                <w:szCs w:val="20"/>
              </w:rPr>
              <w:t>inhibits</w:t>
            </w:r>
            <w:proofErr w:type="spellEnd"/>
            <w:r w:rsidRPr="00B210C5">
              <w:rPr>
                <w:sz w:val="20"/>
                <w:szCs w:val="20"/>
              </w:rPr>
              <w:t xml:space="preserve"> </w:t>
            </w:r>
            <w:proofErr w:type="spellStart"/>
            <w:r w:rsidRPr="00B210C5">
              <w:rPr>
                <w:sz w:val="20"/>
                <w:szCs w:val="20"/>
              </w:rPr>
              <w:t>discriminating</w:t>
            </w:r>
            <w:proofErr w:type="spellEnd"/>
            <w:r w:rsidRPr="00B210C5">
              <w:rPr>
                <w:sz w:val="20"/>
                <w:szCs w:val="20"/>
              </w:rPr>
              <w:t xml:space="preserve"> </w:t>
            </w:r>
            <w:proofErr w:type="spellStart"/>
            <w:r w:rsidRPr="00B210C5">
              <w:rPr>
                <w:sz w:val="20"/>
                <w:szCs w:val="20"/>
              </w:rPr>
              <w:t>legislation</w:t>
            </w:r>
            <w:proofErr w:type="spellEnd"/>
            <w:r w:rsidRPr="00B210C5">
              <w:rPr>
                <w:sz w:val="20"/>
                <w:szCs w:val="20"/>
              </w:rPr>
              <w:t>“</w:t>
            </w:r>
            <w:r w:rsidRPr="00B210C5">
              <w:rPr>
                <w:sz w:val="20"/>
                <w:szCs w:val="20"/>
                <w:vertAlign w:val="superscript"/>
              </w:rPr>
              <w:t xml:space="preserve"> </w:t>
            </w:r>
            <w:r w:rsidRPr="00B210C5">
              <w:rPr>
                <w:sz w:val="20"/>
                <w:szCs w:val="20"/>
                <w:vertAlign w:val="superscript"/>
              </w:rPr>
              <w:footnoteReference w:id="1718"/>
            </w:r>
            <w:r w:rsidRPr="00B210C5">
              <w:rPr>
                <w:sz w:val="20"/>
                <w:szCs w:val="20"/>
              </w:rPr>
              <w:t>); d.h. das Verbot für Bundesstaaten</w:t>
            </w:r>
            <w:r>
              <w:rPr>
                <w:sz w:val="20"/>
                <w:szCs w:val="20"/>
              </w:rPr>
              <w:t>,</w:t>
            </w:r>
            <w:r w:rsidRPr="00B210C5">
              <w:rPr>
                <w:sz w:val="20"/>
                <w:szCs w:val="20"/>
              </w:rPr>
              <w:t xml:space="preserve"> Bürger anderer Bundesstaaten durch Gesetzgebung zu diskriminieren. Viertens, die Gleichheit vor dem Gesetz („</w:t>
            </w:r>
            <w:proofErr w:type="spellStart"/>
            <w:r w:rsidRPr="00B210C5">
              <w:rPr>
                <w:sz w:val="20"/>
                <w:szCs w:val="20"/>
              </w:rPr>
              <w:t>equal</w:t>
            </w:r>
            <w:proofErr w:type="spellEnd"/>
            <w:r w:rsidRPr="00B210C5">
              <w:rPr>
                <w:sz w:val="20"/>
                <w:szCs w:val="20"/>
              </w:rPr>
              <w:t xml:space="preserve"> </w:t>
            </w:r>
            <w:proofErr w:type="spellStart"/>
            <w:r w:rsidRPr="00B210C5">
              <w:rPr>
                <w:sz w:val="20"/>
                <w:szCs w:val="20"/>
              </w:rPr>
              <w:t>protection</w:t>
            </w:r>
            <w:proofErr w:type="spellEnd"/>
            <w:r w:rsidRPr="00B210C5">
              <w:rPr>
                <w:sz w:val="20"/>
                <w:szCs w:val="20"/>
              </w:rPr>
              <w:t xml:space="preserve"> of </w:t>
            </w:r>
            <w:proofErr w:type="spellStart"/>
            <w:r w:rsidRPr="00B210C5">
              <w:rPr>
                <w:sz w:val="20"/>
                <w:szCs w:val="20"/>
              </w:rPr>
              <w:t>their</w:t>
            </w:r>
            <w:proofErr w:type="spellEnd"/>
            <w:r w:rsidRPr="00B210C5">
              <w:rPr>
                <w:sz w:val="20"/>
                <w:szCs w:val="20"/>
              </w:rPr>
              <w:t xml:space="preserve"> </w:t>
            </w:r>
            <w:proofErr w:type="spellStart"/>
            <w:r w:rsidRPr="00B210C5">
              <w:rPr>
                <w:sz w:val="20"/>
                <w:szCs w:val="20"/>
              </w:rPr>
              <w:t>laws</w:t>
            </w:r>
            <w:proofErr w:type="spellEnd"/>
            <w:r w:rsidRPr="00B210C5">
              <w:rPr>
                <w:sz w:val="20"/>
                <w:szCs w:val="20"/>
              </w:rPr>
              <w:t>“</w:t>
            </w:r>
            <w:r w:rsidRPr="00B210C5">
              <w:rPr>
                <w:sz w:val="20"/>
                <w:szCs w:val="20"/>
                <w:vertAlign w:val="superscript"/>
              </w:rPr>
              <w:t xml:space="preserve"> </w:t>
            </w:r>
            <w:r w:rsidRPr="00B210C5">
              <w:rPr>
                <w:sz w:val="20"/>
                <w:szCs w:val="20"/>
                <w:vertAlign w:val="superscript"/>
              </w:rPr>
              <w:footnoteReference w:id="1719"/>
            </w:r>
            <w:r w:rsidRPr="00B210C5">
              <w:rPr>
                <w:sz w:val="20"/>
                <w:szCs w:val="20"/>
              </w:rPr>
              <w:t xml:space="preserve">); </w:t>
            </w:r>
            <w:r>
              <w:rPr>
                <w:sz w:val="20"/>
                <w:szCs w:val="20"/>
              </w:rPr>
              <w:t>diese</w:t>
            </w:r>
            <w:r w:rsidRPr="00B210C5">
              <w:rPr>
                <w:sz w:val="20"/>
                <w:szCs w:val="20"/>
              </w:rPr>
              <w:t xml:space="preserve"> sichert Bürgern aus einem Bundesstaat in anderen Bundesstaaten den gleichen Schutz durch die dortigen Gesetze zu, </w:t>
            </w:r>
            <w:r>
              <w:rPr>
                <w:sz w:val="20"/>
                <w:szCs w:val="20"/>
              </w:rPr>
              <w:t>z.B.</w:t>
            </w:r>
            <w:r w:rsidRPr="00B210C5">
              <w:rPr>
                <w:sz w:val="20"/>
                <w:szCs w:val="20"/>
              </w:rPr>
              <w:t xml:space="preserve"> im </w:t>
            </w:r>
            <w:r w:rsidRPr="00B210C5">
              <w:rPr>
                <w:sz w:val="20"/>
                <w:szCs w:val="20"/>
              </w:rPr>
              <w:lastRenderedPageBreak/>
              <w:t>Rahmen eines Gerichtsverfahrens. Fünftens, Gewährleistung der Freizügigkeit („</w:t>
            </w:r>
            <w:proofErr w:type="spellStart"/>
            <w:r w:rsidRPr="00B210C5">
              <w:rPr>
                <w:sz w:val="20"/>
                <w:szCs w:val="20"/>
              </w:rPr>
              <w:t>right</w:t>
            </w:r>
            <w:proofErr w:type="spellEnd"/>
            <w:r w:rsidRPr="00B210C5">
              <w:rPr>
                <w:sz w:val="20"/>
                <w:szCs w:val="20"/>
              </w:rPr>
              <w:t xml:space="preserve"> of </w:t>
            </w:r>
            <w:proofErr w:type="spellStart"/>
            <w:r w:rsidRPr="00B210C5">
              <w:rPr>
                <w:sz w:val="20"/>
                <w:szCs w:val="20"/>
              </w:rPr>
              <w:t>free</w:t>
            </w:r>
            <w:proofErr w:type="spellEnd"/>
            <w:r w:rsidRPr="00B210C5">
              <w:rPr>
                <w:sz w:val="20"/>
                <w:szCs w:val="20"/>
              </w:rPr>
              <w:t xml:space="preserve"> </w:t>
            </w:r>
            <w:proofErr w:type="spellStart"/>
            <w:r w:rsidRPr="00B210C5">
              <w:rPr>
                <w:sz w:val="20"/>
                <w:szCs w:val="20"/>
              </w:rPr>
              <w:t>ingress</w:t>
            </w:r>
            <w:proofErr w:type="spellEnd"/>
            <w:r w:rsidRPr="00B210C5">
              <w:rPr>
                <w:sz w:val="20"/>
                <w:szCs w:val="20"/>
              </w:rPr>
              <w:t xml:space="preserve"> </w:t>
            </w:r>
            <w:proofErr w:type="spellStart"/>
            <w:r w:rsidRPr="00B210C5">
              <w:rPr>
                <w:sz w:val="20"/>
                <w:szCs w:val="20"/>
              </w:rPr>
              <w:t>into</w:t>
            </w:r>
            <w:proofErr w:type="spellEnd"/>
            <w:r w:rsidRPr="00B210C5">
              <w:rPr>
                <w:sz w:val="20"/>
                <w:szCs w:val="20"/>
              </w:rPr>
              <w:t xml:space="preserve"> </w:t>
            </w:r>
            <w:proofErr w:type="spellStart"/>
            <w:r w:rsidRPr="00B210C5">
              <w:rPr>
                <w:sz w:val="20"/>
                <w:szCs w:val="20"/>
              </w:rPr>
              <w:t>other</w:t>
            </w:r>
            <w:proofErr w:type="spellEnd"/>
            <w:r w:rsidRPr="00B210C5">
              <w:rPr>
                <w:sz w:val="20"/>
                <w:szCs w:val="20"/>
              </w:rPr>
              <w:t xml:space="preserve"> States, and </w:t>
            </w:r>
            <w:proofErr w:type="spellStart"/>
            <w:r w:rsidRPr="00B210C5">
              <w:rPr>
                <w:sz w:val="20"/>
                <w:szCs w:val="20"/>
              </w:rPr>
              <w:t>egress</w:t>
            </w:r>
            <w:proofErr w:type="spellEnd"/>
            <w:r w:rsidRPr="00B210C5">
              <w:rPr>
                <w:sz w:val="20"/>
                <w:szCs w:val="20"/>
              </w:rPr>
              <w:t xml:space="preserve"> </w:t>
            </w:r>
            <w:proofErr w:type="spellStart"/>
            <w:r w:rsidRPr="00B210C5">
              <w:rPr>
                <w:sz w:val="20"/>
                <w:szCs w:val="20"/>
              </w:rPr>
              <w:t>from</w:t>
            </w:r>
            <w:proofErr w:type="spellEnd"/>
            <w:r w:rsidRPr="00B210C5">
              <w:rPr>
                <w:sz w:val="20"/>
                <w:szCs w:val="20"/>
              </w:rPr>
              <w:t xml:space="preserve"> </w:t>
            </w:r>
            <w:proofErr w:type="spellStart"/>
            <w:r w:rsidRPr="00B210C5">
              <w:rPr>
                <w:sz w:val="20"/>
                <w:szCs w:val="20"/>
              </w:rPr>
              <w:t>them</w:t>
            </w:r>
            <w:proofErr w:type="spellEnd"/>
            <w:r w:rsidRPr="00B210C5">
              <w:rPr>
                <w:sz w:val="20"/>
                <w:szCs w:val="20"/>
              </w:rPr>
              <w:t>“</w:t>
            </w:r>
            <w:r w:rsidRPr="00B210C5">
              <w:rPr>
                <w:sz w:val="20"/>
                <w:szCs w:val="20"/>
                <w:vertAlign w:val="superscript"/>
              </w:rPr>
              <w:t xml:space="preserve"> </w:t>
            </w:r>
            <w:r w:rsidRPr="00B210C5">
              <w:rPr>
                <w:sz w:val="20"/>
                <w:szCs w:val="20"/>
                <w:vertAlign w:val="superscript"/>
              </w:rPr>
              <w:footnoteReference w:id="1720"/>
            </w:r>
            <w:r w:rsidRPr="00B210C5">
              <w:rPr>
                <w:sz w:val="20"/>
                <w:szCs w:val="20"/>
              </w:rPr>
              <w:t xml:space="preserve">); d.h., das Recht auf freien Zugang zu anderen Bundesstaaten sowie das Recht, diese auch verlassen zu können. Sechstens, die Sicherung von Freiheiten und Eigentumsrechten („the same </w:t>
            </w:r>
            <w:proofErr w:type="spellStart"/>
            <w:r w:rsidRPr="00B210C5">
              <w:rPr>
                <w:sz w:val="20"/>
                <w:szCs w:val="20"/>
              </w:rPr>
              <w:t>freedom</w:t>
            </w:r>
            <w:proofErr w:type="spellEnd"/>
            <w:r w:rsidRPr="00B210C5">
              <w:rPr>
                <w:sz w:val="20"/>
                <w:szCs w:val="20"/>
              </w:rPr>
              <w:t xml:space="preserve"> </w:t>
            </w:r>
            <w:proofErr w:type="spellStart"/>
            <w:r w:rsidRPr="00B210C5">
              <w:rPr>
                <w:sz w:val="20"/>
                <w:szCs w:val="20"/>
              </w:rPr>
              <w:t>possessed</w:t>
            </w:r>
            <w:proofErr w:type="spellEnd"/>
            <w:r w:rsidRPr="00B210C5">
              <w:rPr>
                <w:sz w:val="20"/>
                <w:szCs w:val="20"/>
              </w:rPr>
              <w:t>“</w:t>
            </w:r>
            <w:r w:rsidRPr="00B210C5">
              <w:rPr>
                <w:sz w:val="20"/>
                <w:szCs w:val="20"/>
                <w:vertAlign w:val="superscript"/>
              </w:rPr>
              <w:footnoteReference w:id="1721"/>
            </w:r>
            <w:r w:rsidRPr="00B210C5">
              <w:rPr>
                <w:sz w:val="20"/>
                <w:szCs w:val="20"/>
              </w:rPr>
              <w:t xml:space="preserve">); d.h., dass Bürger in anderen Bundesstaaten dieselben Freiheiten genießen, wie sie die Bürger dieser Bundesstaaten haben; dies beinhalte das Recht auf Erwerb, Besitz und Gebrauch von Eigentum sowie das Recht, dem persönlichen Glück nachzustreben. </w:t>
            </w:r>
          </w:p>
          <w:p w14:paraId="0E963E64" w14:textId="77777777" w:rsidR="00074551" w:rsidRPr="00B210C5" w:rsidRDefault="00074551" w:rsidP="00367133">
            <w:pPr>
              <w:jc w:val="both"/>
              <w:rPr>
                <w:sz w:val="20"/>
                <w:szCs w:val="20"/>
              </w:rPr>
            </w:pPr>
            <w:r w:rsidRPr="00B210C5">
              <w:rPr>
                <w:sz w:val="20"/>
                <w:szCs w:val="20"/>
              </w:rPr>
              <w:t xml:space="preserve">Neben diesen korrelierenden Rechten präge das Streben nach Glück, wie die Vorrechte und Immunitäten der Bürger in den verschiedenen Bundesstaaten auszulegen </w:t>
            </w:r>
            <w:r>
              <w:rPr>
                <w:sz w:val="20"/>
                <w:szCs w:val="20"/>
              </w:rPr>
              <w:t>seien</w:t>
            </w:r>
            <w:r w:rsidRPr="00B210C5">
              <w:rPr>
                <w:sz w:val="20"/>
                <w:szCs w:val="20"/>
              </w:rPr>
              <w:t xml:space="preserve">. Das </w:t>
            </w:r>
            <w:r>
              <w:rPr>
                <w:sz w:val="20"/>
                <w:szCs w:val="20"/>
              </w:rPr>
              <w:t>bedeutet</w:t>
            </w:r>
            <w:r w:rsidRPr="00B210C5">
              <w:rPr>
                <w:sz w:val="20"/>
                <w:szCs w:val="20"/>
              </w:rPr>
              <w:t>, die gleichen Vorrechte und Immunitäten in den Bundesstaaten begrenzen sich auf fundamentale Rechte, die Bürgern in jedem Bundesstaat zustehen („</w:t>
            </w:r>
            <w:proofErr w:type="spellStart"/>
            <w:r w:rsidRPr="00B210C5">
              <w:rPr>
                <w:sz w:val="20"/>
                <w:szCs w:val="20"/>
              </w:rPr>
              <w:t>privileges</w:t>
            </w:r>
            <w:proofErr w:type="spellEnd"/>
            <w:r w:rsidRPr="00B210C5">
              <w:rPr>
                <w:sz w:val="20"/>
                <w:szCs w:val="20"/>
              </w:rPr>
              <w:t xml:space="preserve"> and </w:t>
            </w:r>
            <w:proofErr w:type="spellStart"/>
            <w:r w:rsidRPr="00B210C5">
              <w:rPr>
                <w:sz w:val="20"/>
                <w:szCs w:val="20"/>
              </w:rPr>
              <w:t>immunities</w:t>
            </w:r>
            <w:proofErr w:type="spellEnd"/>
            <w:r w:rsidRPr="00B210C5">
              <w:rPr>
                <w:sz w:val="20"/>
                <w:szCs w:val="20"/>
              </w:rPr>
              <w:t xml:space="preserve"> </w:t>
            </w:r>
            <w:proofErr w:type="spellStart"/>
            <w:r w:rsidRPr="00B210C5">
              <w:rPr>
                <w:sz w:val="20"/>
                <w:szCs w:val="20"/>
              </w:rPr>
              <w:t>which</w:t>
            </w:r>
            <w:proofErr w:type="spellEnd"/>
            <w:r w:rsidRPr="00B210C5">
              <w:rPr>
                <w:sz w:val="20"/>
                <w:szCs w:val="20"/>
              </w:rPr>
              <w:t xml:space="preserve"> </w:t>
            </w:r>
            <w:proofErr w:type="spellStart"/>
            <w:r w:rsidRPr="00B210C5">
              <w:rPr>
                <w:sz w:val="20"/>
                <w:szCs w:val="20"/>
              </w:rPr>
              <w:t>are</w:t>
            </w:r>
            <w:proofErr w:type="spellEnd"/>
            <w:r w:rsidRPr="00B210C5">
              <w:rPr>
                <w:sz w:val="20"/>
                <w:szCs w:val="20"/>
              </w:rPr>
              <w:t xml:space="preserve"> fundamental“</w:t>
            </w:r>
            <w:r w:rsidRPr="00B210C5">
              <w:rPr>
                <w:sz w:val="20"/>
                <w:szCs w:val="20"/>
                <w:vertAlign w:val="superscript"/>
              </w:rPr>
              <w:t xml:space="preserve"> </w:t>
            </w:r>
            <w:r w:rsidRPr="00B210C5">
              <w:rPr>
                <w:sz w:val="20"/>
                <w:szCs w:val="20"/>
                <w:vertAlign w:val="superscript"/>
              </w:rPr>
              <w:footnoteReference w:id="1722"/>
            </w:r>
            <w:r w:rsidRPr="00B210C5">
              <w:rPr>
                <w:sz w:val="20"/>
                <w:szCs w:val="20"/>
              </w:rPr>
              <w:t xml:space="preserve">). Doch was </w:t>
            </w:r>
            <w:r>
              <w:rPr>
                <w:sz w:val="20"/>
                <w:szCs w:val="20"/>
              </w:rPr>
              <w:t>sind</w:t>
            </w:r>
            <w:r w:rsidRPr="00B210C5">
              <w:rPr>
                <w:sz w:val="20"/>
                <w:szCs w:val="20"/>
              </w:rPr>
              <w:t xml:space="preserve"> fundamentale Rechte? Die Herleitung folgt auch den Bedingungen für Glücksstreben: Die </w:t>
            </w:r>
            <w:r>
              <w:rPr>
                <w:sz w:val="20"/>
                <w:szCs w:val="20"/>
              </w:rPr>
              <w:t>Vorrechte</w:t>
            </w:r>
            <w:r w:rsidRPr="00B210C5">
              <w:rPr>
                <w:sz w:val="20"/>
                <w:szCs w:val="20"/>
              </w:rPr>
              <w:t xml:space="preserve"> und Immunitäten beschränken sich auf jene grundlegenden Rechte, die Bürgern freier Staaten als Notwendigkeit stets zuzustehen haben. Diese Rechte </w:t>
            </w:r>
            <w:r>
              <w:rPr>
                <w:sz w:val="20"/>
                <w:szCs w:val="20"/>
              </w:rPr>
              <w:t>sind</w:t>
            </w:r>
            <w:r w:rsidRPr="00B210C5">
              <w:rPr>
                <w:sz w:val="20"/>
                <w:szCs w:val="20"/>
              </w:rPr>
              <w:t xml:space="preserve"> in der Historie der Vereinigten Staaten </w:t>
            </w:r>
            <w:r>
              <w:rPr>
                <w:sz w:val="20"/>
                <w:szCs w:val="20"/>
              </w:rPr>
              <w:t xml:space="preserve">verwurzelt </w:t>
            </w:r>
            <w:r w:rsidRPr="00B210C5">
              <w:rPr>
                <w:sz w:val="20"/>
                <w:szCs w:val="20"/>
              </w:rPr>
              <w:t xml:space="preserve">und bilden den überwiegenden Anteil der Bürgerrechte. Die Historie deutet darauf, dass grundlegende Rechte bestehen, seitdem Bundesstaaten freie, unabhängige und souveräne Entitäten sind – also seit der </w:t>
            </w:r>
            <w:r w:rsidRPr="5B67C1D2">
              <w:rPr>
                <w:i/>
                <w:iCs/>
                <w:sz w:val="20"/>
                <w:szCs w:val="20"/>
              </w:rPr>
              <w:t>Declaration of Independence</w:t>
            </w:r>
            <w:r w:rsidRPr="00B210C5">
              <w:rPr>
                <w:sz w:val="20"/>
                <w:szCs w:val="20"/>
              </w:rPr>
              <w:t xml:space="preserve">. Als Bürgerrecht bestimmen sich diese fundamentalen Rechte anhand </w:t>
            </w:r>
            <w:r>
              <w:rPr>
                <w:sz w:val="20"/>
                <w:szCs w:val="20"/>
              </w:rPr>
              <w:t>von drei</w:t>
            </w:r>
            <w:r w:rsidRPr="00B210C5">
              <w:rPr>
                <w:sz w:val="20"/>
                <w:szCs w:val="20"/>
              </w:rPr>
              <w:t xml:space="preserve"> Überlegungen: Erstens komme dem Staat eine Schutzfunktion zu, über die fundamentalen Rechte zu wachen („</w:t>
            </w:r>
            <w:proofErr w:type="spellStart"/>
            <w:r w:rsidRPr="00B210C5">
              <w:rPr>
                <w:sz w:val="20"/>
                <w:szCs w:val="20"/>
              </w:rPr>
              <w:t>protection</w:t>
            </w:r>
            <w:proofErr w:type="spellEnd"/>
            <w:r w:rsidRPr="00B210C5">
              <w:rPr>
                <w:sz w:val="20"/>
                <w:szCs w:val="20"/>
              </w:rPr>
              <w:t xml:space="preserve"> by the </w:t>
            </w:r>
            <w:proofErr w:type="spellStart"/>
            <w:r w:rsidRPr="00B210C5">
              <w:rPr>
                <w:sz w:val="20"/>
                <w:szCs w:val="20"/>
              </w:rPr>
              <w:t>government</w:t>
            </w:r>
            <w:proofErr w:type="spellEnd"/>
            <w:r w:rsidRPr="00B210C5">
              <w:rPr>
                <w:sz w:val="20"/>
                <w:szCs w:val="20"/>
              </w:rPr>
              <w:t>“</w:t>
            </w:r>
            <w:r w:rsidRPr="00B210C5">
              <w:rPr>
                <w:sz w:val="20"/>
                <w:szCs w:val="20"/>
                <w:vertAlign w:val="superscript"/>
              </w:rPr>
              <w:t xml:space="preserve"> </w:t>
            </w:r>
            <w:r w:rsidRPr="00B210C5">
              <w:rPr>
                <w:sz w:val="20"/>
                <w:szCs w:val="20"/>
                <w:vertAlign w:val="superscript"/>
              </w:rPr>
              <w:footnoteReference w:id="1723"/>
            </w:r>
            <w:r w:rsidRPr="00B210C5">
              <w:rPr>
                <w:sz w:val="20"/>
                <w:szCs w:val="20"/>
              </w:rPr>
              <w:t xml:space="preserve">). Zweitens beinhalte die Schutzfunktion in </w:t>
            </w:r>
            <w:r>
              <w:rPr>
                <w:sz w:val="20"/>
                <w:szCs w:val="20"/>
              </w:rPr>
              <w:t>ihrem</w:t>
            </w:r>
            <w:r w:rsidRPr="00B210C5">
              <w:rPr>
                <w:sz w:val="20"/>
                <w:szCs w:val="20"/>
              </w:rPr>
              <w:t xml:space="preserve"> Kerngehalt, dass Bürger ohne staatliche Einschränkungen Eigentum erwerben und besitzen können. Und drittens komme dem Bundesstaat als Folge des Schutzes über den Eigentumserwerb eine Verpflichtung zu, nämlich: </w:t>
            </w:r>
            <w:r>
              <w:rPr>
                <w:sz w:val="20"/>
                <w:szCs w:val="20"/>
              </w:rPr>
              <w:t>d</w:t>
            </w:r>
            <w:r w:rsidRPr="00B210C5">
              <w:rPr>
                <w:sz w:val="20"/>
                <w:szCs w:val="20"/>
              </w:rPr>
              <w:t>as Recht zu ermöglichen, dass Bürger nach Glück streben und Sicherheit erfahren können. Diese Grundrechte könn</w:t>
            </w:r>
            <w:r>
              <w:rPr>
                <w:sz w:val="20"/>
                <w:szCs w:val="20"/>
              </w:rPr>
              <w:t>t</w:t>
            </w:r>
            <w:r w:rsidRPr="00B210C5">
              <w:rPr>
                <w:sz w:val="20"/>
                <w:szCs w:val="20"/>
              </w:rPr>
              <w:t>en staatliche Maßnahmen zwar einschränken, aber einzig zum Wohl der Allgemeinheit („</w:t>
            </w:r>
            <w:proofErr w:type="spellStart"/>
            <w:r w:rsidRPr="00B210C5">
              <w:rPr>
                <w:sz w:val="20"/>
                <w:szCs w:val="20"/>
              </w:rPr>
              <w:t>general</w:t>
            </w:r>
            <w:proofErr w:type="spellEnd"/>
            <w:r w:rsidRPr="00B210C5">
              <w:rPr>
                <w:sz w:val="20"/>
                <w:szCs w:val="20"/>
              </w:rPr>
              <w:t xml:space="preserve"> </w:t>
            </w:r>
            <w:proofErr w:type="spellStart"/>
            <w:r w:rsidRPr="00B210C5">
              <w:rPr>
                <w:sz w:val="20"/>
                <w:szCs w:val="20"/>
              </w:rPr>
              <w:t>good</w:t>
            </w:r>
            <w:proofErr w:type="spellEnd"/>
            <w:r w:rsidRPr="00B210C5">
              <w:rPr>
                <w:sz w:val="20"/>
                <w:szCs w:val="20"/>
              </w:rPr>
              <w:t xml:space="preserve"> of the </w:t>
            </w:r>
            <w:proofErr w:type="spellStart"/>
            <w:r w:rsidRPr="00B210C5">
              <w:rPr>
                <w:sz w:val="20"/>
                <w:szCs w:val="20"/>
              </w:rPr>
              <w:t>whole</w:t>
            </w:r>
            <w:proofErr w:type="spellEnd"/>
            <w:r w:rsidRPr="00B210C5">
              <w:rPr>
                <w:sz w:val="20"/>
                <w:szCs w:val="20"/>
              </w:rPr>
              <w:t>“</w:t>
            </w:r>
            <w:r w:rsidRPr="00B210C5">
              <w:rPr>
                <w:sz w:val="20"/>
                <w:szCs w:val="20"/>
                <w:vertAlign w:val="superscript"/>
              </w:rPr>
              <w:footnoteReference w:id="1724"/>
            </w:r>
            <w:r w:rsidRPr="00B210C5">
              <w:rPr>
                <w:sz w:val="20"/>
                <w:szCs w:val="20"/>
              </w:rPr>
              <w:t>). Diese Einschränkung bringt die individuellen Freiheiten für Glücksstreben mit dem Wohl der Allgemeinheit in Einklang.</w:t>
            </w:r>
          </w:p>
          <w:p w14:paraId="34E436B4" w14:textId="77777777" w:rsidR="00074551" w:rsidRPr="00E7741E" w:rsidRDefault="00074551" w:rsidP="00367133">
            <w:pPr>
              <w:jc w:val="both"/>
              <w:rPr>
                <w:sz w:val="20"/>
                <w:szCs w:val="20"/>
              </w:rPr>
            </w:pPr>
          </w:p>
        </w:tc>
      </w:tr>
      <w:tr w:rsidR="00074551" w:rsidRPr="005E3B68" w14:paraId="08ED3B7D" w14:textId="77777777" w:rsidTr="00BE689F">
        <w:trPr>
          <w:cantSplit/>
          <w:trHeight w:val="3175"/>
        </w:trPr>
        <w:tc>
          <w:tcPr>
            <w:tcW w:w="293" w:type="pct"/>
          </w:tcPr>
          <w:p w14:paraId="2EBAD84E"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5108FB0E" w14:textId="77777777" w:rsidR="00074551" w:rsidRPr="00B45592" w:rsidRDefault="00074551" w:rsidP="00367133">
            <w:pPr>
              <w:ind w:left="113" w:right="416"/>
              <w:jc w:val="both"/>
              <w:rPr>
                <w:i/>
                <w:sz w:val="20"/>
                <w:szCs w:val="20"/>
                <w:lang w:val="en-US" w:eastAsia="de-DE"/>
              </w:rPr>
            </w:pPr>
            <w:r w:rsidRPr="00B45592">
              <w:rPr>
                <w:i/>
                <w:sz w:val="20"/>
                <w:szCs w:val="20"/>
                <w:lang w:val="en-US"/>
              </w:rPr>
              <w:t>Buck v. Bell</w:t>
            </w:r>
          </w:p>
        </w:tc>
        <w:tc>
          <w:tcPr>
            <w:tcW w:w="197" w:type="pct"/>
            <w:textDirection w:val="tbRl"/>
            <w:vAlign w:val="center"/>
          </w:tcPr>
          <w:p w14:paraId="6094364E" w14:textId="77777777" w:rsidR="00074551" w:rsidRPr="00E50B51" w:rsidRDefault="00074551" w:rsidP="00367133">
            <w:pPr>
              <w:ind w:left="113" w:right="113"/>
              <w:jc w:val="both"/>
              <w:rPr>
                <w:sz w:val="20"/>
                <w:szCs w:val="20"/>
                <w:lang w:val="en-US"/>
              </w:rPr>
            </w:pPr>
            <w:r w:rsidRPr="00BE3728">
              <w:rPr>
                <w:sz w:val="20"/>
                <w:szCs w:val="20"/>
              </w:rPr>
              <w:t>274 U.S. 200</w:t>
            </w:r>
          </w:p>
        </w:tc>
        <w:tc>
          <w:tcPr>
            <w:tcW w:w="306" w:type="pct"/>
            <w:textDirection w:val="tbRl"/>
            <w:vAlign w:val="center"/>
          </w:tcPr>
          <w:p w14:paraId="30F42F98" w14:textId="77777777" w:rsidR="00074551" w:rsidRPr="00E50B51" w:rsidRDefault="00074551" w:rsidP="00367133">
            <w:pPr>
              <w:ind w:left="113" w:right="113"/>
              <w:jc w:val="both"/>
              <w:rPr>
                <w:sz w:val="20"/>
                <w:szCs w:val="20"/>
              </w:rPr>
            </w:pPr>
            <w:r w:rsidRPr="00BE3728">
              <w:rPr>
                <w:sz w:val="20"/>
                <w:szCs w:val="20"/>
              </w:rPr>
              <w:t>02. Mai 1927</w:t>
            </w:r>
          </w:p>
        </w:tc>
        <w:tc>
          <w:tcPr>
            <w:tcW w:w="401" w:type="pct"/>
          </w:tcPr>
          <w:p w14:paraId="22D2AB38" w14:textId="77777777" w:rsidR="00074551" w:rsidRPr="00E50B51" w:rsidRDefault="00074551" w:rsidP="00367133">
            <w:pPr>
              <w:jc w:val="center"/>
              <w:rPr>
                <w:sz w:val="20"/>
                <w:szCs w:val="20"/>
                <w:lang w:val="en-US"/>
              </w:rPr>
            </w:pPr>
            <w:r w:rsidRPr="00BE3728">
              <w:rPr>
                <w:sz w:val="20"/>
                <w:szCs w:val="20"/>
                <w:lang w:val="en-US"/>
              </w:rPr>
              <w:t>S</w:t>
            </w:r>
          </w:p>
        </w:tc>
        <w:tc>
          <w:tcPr>
            <w:tcW w:w="1594" w:type="pct"/>
          </w:tcPr>
          <w:p w14:paraId="06FF4463" w14:textId="0410CB4F"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bestätigte das Urteil des </w:t>
            </w:r>
            <w:r w:rsidRPr="00B45592">
              <w:rPr>
                <w:i/>
                <w:sz w:val="20"/>
                <w:szCs w:val="20"/>
              </w:rPr>
              <w:t>Supreme Court of Virginia</w:t>
            </w:r>
            <w:r w:rsidRPr="00BE3728">
              <w:rPr>
                <w:sz w:val="20"/>
                <w:szCs w:val="20"/>
              </w:rPr>
              <w:t xml:space="preserve">, </w:t>
            </w:r>
            <w:proofErr w:type="gramStart"/>
            <w:r w:rsidRPr="00BE3728">
              <w:rPr>
                <w:sz w:val="20"/>
                <w:szCs w:val="20"/>
              </w:rPr>
              <w:t>das</w:t>
            </w:r>
            <w:proofErr w:type="gramEnd"/>
            <w:r w:rsidRPr="00BE3728">
              <w:rPr>
                <w:sz w:val="20"/>
                <w:szCs w:val="20"/>
              </w:rPr>
              <w:t xml:space="preserve"> eine Sterilisation des Klägers, eines Häftlings, anordnete. Der Beklagte, der Leiter einer Haftanstalt, hatte zuvor die Sterilisation des Klägers beantragt. Nach einer Anhörung ordnete die erste Instanz die Sterilisation des Klägers an. Der bundesstaatliche </w:t>
            </w:r>
            <w:r w:rsidRPr="00B45592">
              <w:rPr>
                <w:i/>
                <w:sz w:val="20"/>
                <w:szCs w:val="20"/>
              </w:rPr>
              <w:t>Supreme Court</w:t>
            </w:r>
            <w:r w:rsidRPr="00BE3728">
              <w:rPr>
                <w:sz w:val="20"/>
                <w:szCs w:val="20"/>
              </w:rPr>
              <w:t xml:space="preserve"> bestätigte die Anordnung der Sterilisation, und der Kläger ersuchte Überprüfung. Der </w:t>
            </w:r>
            <w:r>
              <w:rPr>
                <w:sz w:val="20"/>
                <w:szCs w:val="20"/>
              </w:rPr>
              <w:t>U.S. Supreme Court</w:t>
            </w:r>
            <w:r w:rsidRPr="00BE3728">
              <w:rPr>
                <w:sz w:val="20"/>
                <w:szCs w:val="20"/>
              </w:rPr>
              <w:t xml:space="preserve"> entschied, dass das gesetzliche Anhörungsverfahren den Anforderungen an ein rechtsstaatliches Verfahren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genüge. Die Tatsache, dass das Verfahren zur Sterilisationsanordnung nur auf Häftlinge und nicht auf die allgemeine Öffentlichkeit angewendet wurde, entz</w:t>
            </w:r>
            <w:r>
              <w:rPr>
                <w:sz w:val="20"/>
                <w:szCs w:val="20"/>
              </w:rPr>
              <w:t>iehe</w:t>
            </w:r>
            <w:r w:rsidRPr="00BE3728">
              <w:rPr>
                <w:sz w:val="20"/>
                <w:szCs w:val="20"/>
              </w:rPr>
              <w:t xml:space="preserve"> den Häftlingen auch nicht den gleichen Schutz. Die Unterscheidung sei nicht </w:t>
            </w:r>
            <w:r w:rsidRPr="00B45592">
              <w:rPr>
                <w:sz w:val="20"/>
                <w:szCs w:val="20"/>
              </w:rPr>
              <w:t>willkürlich.</w:t>
            </w:r>
          </w:p>
        </w:tc>
        <w:tc>
          <w:tcPr>
            <w:tcW w:w="1822" w:type="pct"/>
          </w:tcPr>
          <w:p w14:paraId="09EF308E"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schreibt zu den Anforderungen an das Gesetz</w:t>
            </w:r>
            <w:r>
              <w:rPr>
                <w:sz w:val="20"/>
                <w:szCs w:val="20"/>
              </w:rPr>
              <w:t>:</w:t>
            </w:r>
            <w:r w:rsidRPr="00BE3728">
              <w:rPr>
                <w:sz w:val="20"/>
                <w:szCs w:val="20"/>
              </w:rPr>
              <w:t xml:space="preserve"> Dieses erfülle seine Aufgabe, wenn es seine Grundsätze auf alle gleich anwendbar mache. Es strebe danach</w:t>
            </w:r>
            <w:r>
              <w:rPr>
                <w:sz w:val="20"/>
                <w:szCs w:val="20"/>
              </w:rPr>
              <w:t>,</w:t>
            </w:r>
            <w:r w:rsidRPr="00BE3728">
              <w:rPr>
                <w:sz w:val="20"/>
                <w:szCs w:val="20"/>
              </w:rPr>
              <w:t xml:space="preserve"> in seinem Anwendungsbereich </w:t>
            </w:r>
            <w:r>
              <w:rPr>
                <w:sz w:val="20"/>
                <w:szCs w:val="20"/>
              </w:rPr>
              <w:t>alle Personen</w:t>
            </w:r>
            <w:r w:rsidRPr="00BE3728">
              <w:rPr>
                <w:sz w:val="20"/>
                <w:szCs w:val="20"/>
              </w:rPr>
              <w:t xml:space="preserve"> in einer ähnlichen Situation einzubeziehen.</w:t>
            </w:r>
            <w:r w:rsidRPr="00BE3728">
              <w:rPr>
                <w:rStyle w:val="Funotenzeichen"/>
                <w:sz w:val="20"/>
                <w:szCs w:val="20"/>
              </w:rPr>
              <w:footnoteReference w:id="1725"/>
            </w:r>
          </w:p>
          <w:p w14:paraId="38267FF8" w14:textId="77777777" w:rsidR="00074551" w:rsidRPr="00BE3728" w:rsidRDefault="00074551" w:rsidP="00367133">
            <w:pPr>
              <w:jc w:val="both"/>
              <w:rPr>
                <w:sz w:val="20"/>
                <w:szCs w:val="20"/>
              </w:rPr>
            </w:pPr>
          </w:p>
          <w:p w14:paraId="38081267"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 im Syllabus, dass Bundesstaaten als verfassungsrechtliche Grenze („</w:t>
            </w:r>
            <w:proofErr w:type="spellStart"/>
            <w:r w:rsidRPr="00BE3728">
              <w:rPr>
                <w:sz w:val="20"/>
                <w:szCs w:val="20"/>
              </w:rPr>
              <w:t>constitutional</w:t>
            </w:r>
            <w:proofErr w:type="spellEnd"/>
            <w:r w:rsidRPr="00BE3728">
              <w:rPr>
                <w:sz w:val="20"/>
                <w:szCs w:val="20"/>
              </w:rPr>
              <w:t xml:space="preserve"> </w:t>
            </w:r>
            <w:proofErr w:type="spellStart"/>
            <w:r w:rsidRPr="00BE3728">
              <w:rPr>
                <w:sz w:val="20"/>
                <w:szCs w:val="20"/>
              </w:rPr>
              <w:t>limitation</w:t>
            </w:r>
            <w:proofErr w:type="spellEnd"/>
            <w:r w:rsidRPr="00BE3728">
              <w:rPr>
                <w:sz w:val="20"/>
                <w:szCs w:val="20"/>
              </w:rPr>
              <w:t>“</w:t>
            </w:r>
            <w:r w:rsidRPr="00BE3728">
              <w:rPr>
                <w:rStyle w:val="Funotenzeichen"/>
                <w:sz w:val="20"/>
                <w:szCs w:val="20"/>
              </w:rPr>
              <w:footnoteReference w:id="1726"/>
            </w:r>
            <w:r w:rsidRPr="00BE3728">
              <w:rPr>
                <w:sz w:val="20"/>
                <w:szCs w:val="20"/>
              </w:rPr>
              <w:t>) ein rechtsstaatliches Verfahren beachten müssen, wenn sie ihre Polizeihoheit ausüben. Dabei übt der Bundesstaat die Polizeihoheit hier in Form des Sterilisationsgesetz</w:t>
            </w:r>
            <w:r>
              <w:rPr>
                <w:sz w:val="20"/>
                <w:szCs w:val="20"/>
              </w:rPr>
              <w:t>e</w:t>
            </w:r>
            <w:r w:rsidRPr="00BE3728">
              <w:rPr>
                <w:sz w:val="20"/>
                <w:szCs w:val="20"/>
              </w:rPr>
              <w:t xml:space="preserve">s aus, das damit das rechtsstaatliche Verfahren achten muss. Konkret meint das rechtsstaatliche Verfahren, </w:t>
            </w:r>
            <w:r>
              <w:rPr>
                <w:sz w:val="20"/>
                <w:szCs w:val="20"/>
              </w:rPr>
              <w:t>das</w:t>
            </w:r>
            <w:r w:rsidRPr="00BE3728">
              <w:rPr>
                <w:sz w:val="20"/>
                <w:szCs w:val="20"/>
              </w:rPr>
              <w:t xml:space="preserve"> das Sterilisationsgesetz sowohl mit der Freiheit als auch mit Glück abzuwägen sei. Beides kumuliert sich in der Frage: Was </w:t>
            </w:r>
            <w:r>
              <w:rPr>
                <w:sz w:val="20"/>
                <w:szCs w:val="20"/>
              </w:rPr>
              <w:t xml:space="preserve">ist </w:t>
            </w:r>
            <w:r w:rsidRPr="00BE3728">
              <w:rPr>
                <w:sz w:val="20"/>
                <w:szCs w:val="20"/>
              </w:rPr>
              <w:t>das Beste für den Betroffenen auf der einen Seite und für die Gesellschaft auf der anderen Seite („</w:t>
            </w:r>
            <w:proofErr w:type="spellStart"/>
            <w:r w:rsidRPr="00BE3728">
              <w:rPr>
                <w:sz w:val="20"/>
                <w:szCs w:val="20"/>
              </w:rPr>
              <w:t>what</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w:t>
            </w:r>
            <w:proofErr w:type="spellStart"/>
            <w:r w:rsidRPr="00BE3728">
              <w:rPr>
                <w:sz w:val="20"/>
                <w:szCs w:val="20"/>
              </w:rPr>
              <w:t>best</w:t>
            </w:r>
            <w:proofErr w:type="spellEnd"/>
            <w:r w:rsidRPr="00BE3728">
              <w:rPr>
                <w:sz w:val="20"/>
                <w:szCs w:val="20"/>
              </w:rPr>
              <w:t xml:space="preserve"> for </w:t>
            </w:r>
            <w:proofErr w:type="spellStart"/>
            <w:r w:rsidRPr="00BE3728">
              <w:rPr>
                <w:sz w:val="20"/>
                <w:szCs w:val="20"/>
              </w:rPr>
              <w:t>appellant</w:t>
            </w:r>
            <w:proofErr w:type="spellEnd"/>
            <w:r w:rsidRPr="00BE3728">
              <w:rPr>
                <w:sz w:val="20"/>
                <w:szCs w:val="20"/>
              </w:rPr>
              <w:t xml:space="preserve"> and for </w:t>
            </w:r>
            <w:proofErr w:type="spellStart"/>
            <w:r w:rsidRPr="00BE3728">
              <w:rPr>
                <w:sz w:val="20"/>
                <w:szCs w:val="20"/>
              </w:rPr>
              <w:t>society</w:t>
            </w:r>
            <w:proofErr w:type="spellEnd"/>
            <w:r w:rsidRPr="00BE3728">
              <w:rPr>
                <w:sz w:val="20"/>
                <w:szCs w:val="20"/>
              </w:rPr>
              <w:t>“</w:t>
            </w:r>
            <w:r w:rsidRPr="00BE3728">
              <w:rPr>
                <w:rStyle w:val="Funotenzeichen"/>
                <w:sz w:val="20"/>
                <w:szCs w:val="20"/>
              </w:rPr>
              <w:footnoteReference w:id="1727"/>
            </w:r>
            <w:r w:rsidRPr="00BE3728">
              <w:rPr>
                <w:sz w:val="20"/>
                <w:szCs w:val="20"/>
              </w:rPr>
              <w:t>)</w:t>
            </w:r>
            <w:r>
              <w:rPr>
                <w:sz w:val="20"/>
                <w:szCs w:val="20"/>
              </w:rPr>
              <w:t>?</w:t>
            </w:r>
            <w:r w:rsidRPr="00BE3728">
              <w:rPr>
                <w:sz w:val="20"/>
                <w:szCs w:val="20"/>
              </w:rPr>
              <w:t xml:space="preserve"> Die Antwort hier: Eine Sterilisationsoperation sei nur dann rechtswidrig, wenn sie gegen den Willen – die Freiheit – oder gegen das Interesse – das Glück – des Patienten durchgeführt würde. Hier aber war der Patient entmündigt. Daher konnte die Entscheidung im Rahmen eines rechtsstaatlichen Verfahrens von einem anderen getroffen werden.</w:t>
            </w:r>
            <w:r w:rsidRPr="00BE3728">
              <w:rPr>
                <w:rStyle w:val="Funotenzeichen"/>
                <w:sz w:val="20"/>
                <w:szCs w:val="20"/>
              </w:rPr>
              <w:footnoteReference w:id="1728"/>
            </w:r>
            <w:r w:rsidRPr="00BE3728">
              <w:rPr>
                <w:sz w:val="20"/>
                <w:szCs w:val="20"/>
              </w:rPr>
              <w:t xml:space="preserve"> Weder das Glück noch die Freiheit des Betroffenen seien damit erheblich berührt.</w:t>
            </w:r>
          </w:p>
          <w:p w14:paraId="28B6D3EF" w14:textId="77777777" w:rsidR="00074551" w:rsidRPr="00E50B51" w:rsidRDefault="00074551" w:rsidP="00367133">
            <w:pPr>
              <w:jc w:val="both"/>
              <w:rPr>
                <w:sz w:val="20"/>
                <w:szCs w:val="20"/>
              </w:rPr>
            </w:pPr>
          </w:p>
        </w:tc>
      </w:tr>
      <w:tr w:rsidR="00074551" w:rsidRPr="005E3B68" w14:paraId="7149DDDC" w14:textId="77777777" w:rsidTr="00BE689F">
        <w:trPr>
          <w:cantSplit/>
          <w:trHeight w:val="3175"/>
        </w:trPr>
        <w:tc>
          <w:tcPr>
            <w:tcW w:w="293" w:type="pct"/>
          </w:tcPr>
          <w:p w14:paraId="100FDEB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BDFBDB7" w14:textId="77777777" w:rsidR="00074551" w:rsidRPr="00B45592" w:rsidRDefault="00074551" w:rsidP="00367133">
            <w:pPr>
              <w:ind w:left="113" w:right="416"/>
              <w:jc w:val="both"/>
              <w:rPr>
                <w:i/>
                <w:sz w:val="20"/>
                <w:szCs w:val="20"/>
                <w:lang w:val="en-US" w:eastAsia="de-DE"/>
              </w:rPr>
            </w:pPr>
            <w:r w:rsidRPr="00B45592">
              <w:rPr>
                <w:i/>
                <w:sz w:val="20"/>
                <w:szCs w:val="20"/>
                <w:lang w:val="en-US"/>
              </w:rPr>
              <w:t>Students for Fair Admissions, Inc. v. President &amp; Fellows of Harv. Coll.</w:t>
            </w:r>
          </w:p>
        </w:tc>
        <w:tc>
          <w:tcPr>
            <w:tcW w:w="197" w:type="pct"/>
            <w:textDirection w:val="tbRl"/>
            <w:vAlign w:val="center"/>
          </w:tcPr>
          <w:p w14:paraId="617DE7E6" w14:textId="77777777" w:rsidR="00074551" w:rsidRPr="00E50B51" w:rsidRDefault="00074551" w:rsidP="00367133">
            <w:pPr>
              <w:ind w:left="113" w:right="113"/>
              <w:jc w:val="both"/>
              <w:rPr>
                <w:sz w:val="20"/>
                <w:szCs w:val="20"/>
                <w:lang w:val="en-US"/>
              </w:rPr>
            </w:pPr>
            <w:r w:rsidRPr="00BE3728">
              <w:rPr>
                <w:sz w:val="20"/>
                <w:szCs w:val="20"/>
              </w:rPr>
              <w:t>600 U.S. 181</w:t>
            </w:r>
          </w:p>
        </w:tc>
        <w:tc>
          <w:tcPr>
            <w:tcW w:w="306" w:type="pct"/>
            <w:textDirection w:val="tbRl"/>
            <w:vAlign w:val="center"/>
          </w:tcPr>
          <w:p w14:paraId="36365B44" w14:textId="77777777" w:rsidR="00074551" w:rsidRPr="00E50B51" w:rsidRDefault="00074551" w:rsidP="00367133">
            <w:pPr>
              <w:ind w:left="113" w:right="113"/>
              <w:jc w:val="both"/>
              <w:rPr>
                <w:sz w:val="20"/>
                <w:szCs w:val="20"/>
              </w:rPr>
            </w:pPr>
            <w:r w:rsidRPr="00BE3728">
              <w:rPr>
                <w:sz w:val="20"/>
                <w:szCs w:val="20"/>
              </w:rPr>
              <w:t>29. Juni 2023</w:t>
            </w:r>
          </w:p>
        </w:tc>
        <w:tc>
          <w:tcPr>
            <w:tcW w:w="401" w:type="pct"/>
          </w:tcPr>
          <w:p w14:paraId="5E580B14" w14:textId="77777777" w:rsidR="00074551" w:rsidRPr="00E50B51" w:rsidRDefault="00074551" w:rsidP="00367133">
            <w:pPr>
              <w:jc w:val="center"/>
              <w:rPr>
                <w:sz w:val="20"/>
                <w:szCs w:val="20"/>
                <w:lang w:val="en-US"/>
              </w:rPr>
            </w:pPr>
            <w:r w:rsidRPr="00BE3728">
              <w:rPr>
                <w:sz w:val="20"/>
                <w:szCs w:val="20"/>
                <w:lang w:val="en-US"/>
              </w:rPr>
              <w:t>C</w:t>
            </w:r>
          </w:p>
        </w:tc>
        <w:tc>
          <w:tcPr>
            <w:tcW w:w="1594" w:type="pct"/>
          </w:tcPr>
          <w:p w14:paraId="72ADF420" w14:textId="22367080" w:rsidR="00074551" w:rsidRPr="00E50B51" w:rsidRDefault="00074551" w:rsidP="00367133">
            <w:pPr>
              <w:jc w:val="both"/>
              <w:rPr>
                <w:sz w:val="20"/>
                <w:szCs w:val="20"/>
              </w:rPr>
            </w:pPr>
            <w:r w:rsidRPr="00BE3728">
              <w:rPr>
                <w:sz w:val="20"/>
                <w:szCs w:val="20"/>
              </w:rPr>
              <w:t xml:space="preserve">Im Fall entscheid der </w:t>
            </w:r>
            <w:r>
              <w:rPr>
                <w:sz w:val="20"/>
                <w:szCs w:val="20"/>
              </w:rPr>
              <w:t>U.S. Supreme Court</w:t>
            </w:r>
            <w:r w:rsidRPr="00BE3728">
              <w:rPr>
                <w:sz w:val="20"/>
                <w:szCs w:val="20"/>
              </w:rPr>
              <w:t xml:space="preserve">, die Organisation </w:t>
            </w:r>
            <w:proofErr w:type="spellStart"/>
            <w:r w:rsidRPr="5B67C1D2">
              <w:rPr>
                <w:i/>
                <w:iCs/>
                <w:sz w:val="20"/>
                <w:szCs w:val="20"/>
              </w:rPr>
              <w:t>Students</w:t>
            </w:r>
            <w:proofErr w:type="spellEnd"/>
            <w:r w:rsidRPr="5B67C1D2">
              <w:rPr>
                <w:i/>
                <w:iCs/>
                <w:sz w:val="20"/>
                <w:szCs w:val="20"/>
              </w:rPr>
              <w:t xml:space="preserve"> for Fair </w:t>
            </w:r>
            <w:proofErr w:type="spellStart"/>
            <w:r w:rsidRPr="5B67C1D2">
              <w:rPr>
                <w:i/>
                <w:iCs/>
                <w:sz w:val="20"/>
                <w:szCs w:val="20"/>
              </w:rPr>
              <w:t>Admissions</w:t>
            </w:r>
            <w:proofErr w:type="spellEnd"/>
            <w:r w:rsidRPr="00BE3728">
              <w:rPr>
                <w:sz w:val="20"/>
                <w:szCs w:val="20"/>
              </w:rPr>
              <w:t xml:space="preserve"> </w:t>
            </w:r>
            <w:r>
              <w:rPr>
                <w:sz w:val="20"/>
                <w:szCs w:val="20"/>
              </w:rPr>
              <w:t>sei</w:t>
            </w:r>
            <w:r w:rsidRPr="00BE3728">
              <w:rPr>
                <w:sz w:val="20"/>
                <w:szCs w:val="20"/>
              </w:rPr>
              <w:t xml:space="preserve"> klagebefugt. Sie </w:t>
            </w:r>
            <w:r>
              <w:rPr>
                <w:sz w:val="20"/>
                <w:szCs w:val="20"/>
              </w:rPr>
              <w:t>hatte</w:t>
            </w:r>
            <w:r w:rsidRPr="00BE3728">
              <w:rPr>
                <w:sz w:val="20"/>
                <w:szCs w:val="20"/>
              </w:rPr>
              <w:t xml:space="preserve"> sich gegen Zulassungsprogramme zweier Universitäten</w:t>
            </w:r>
            <w:r>
              <w:rPr>
                <w:sz w:val="20"/>
                <w:szCs w:val="20"/>
              </w:rPr>
              <w:t xml:space="preserve"> gewandt</w:t>
            </w:r>
            <w:r w:rsidRPr="00BE3728">
              <w:rPr>
                <w:sz w:val="20"/>
                <w:szCs w:val="20"/>
              </w:rPr>
              <w:t>, die Rasse als ein Auswahlkriterium einsetz</w:t>
            </w:r>
            <w:r>
              <w:rPr>
                <w:sz w:val="20"/>
                <w:szCs w:val="20"/>
              </w:rPr>
              <w:t>t</w:t>
            </w:r>
            <w:r w:rsidRPr="00BE3728">
              <w:rPr>
                <w:sz w:val="20"/>
                <w:szCs w:val="20"/>
              </w:rPr>
              <w:t xml:space="preserve">en. Die Organisation </w:t>
            </w:r>
            <w:r>
              <w:rPr>
                <w:sz w:val="20"/>
                <w:szCs w:val="20"/>
              </w:rPr>
              <w:t>sei</w:t>
            </w:r>
            <w:r w:rsidRPr="00BE3728">
              <w:rPr>
                <w:sz w:val="20"/>
                <w:szCs w:val="20"/>
              </w:rPr>
              <w:t xml:space="preserve"> klagebefugt, weil sie die Voraussetzungen nach </w:t>
            </w:r>
            <w:r w:rsidR="00023A37">
              <w:rPr>
                <w:sz w:val="20"/>
                <w:szCs w:val="20"/>
              </w:rPr>
              <w:t xml:space="preserve">U.S. </w:t>
            </w:r>
            <w:proofErr w:type="spellStart"/>
            <w:r w:rsidR="00023A37">
              <w:rPr>
                <w:sz w:val="20"/>
                <w:szCs w:val="20"/>
              </w:rPr>
              <w:t>Const</w:t>
            </w:r>
            <w:proofErr w:type="spellEnd"/>
            <w:r w:rsidR="00023A37">
              <w:rPr>
                <w:sz w:val="20"/>
                <w:szCs w:val="20"/>
              </w:rPr>
              <w:t>. art. III</w:t>
            </w:r>
            <w:r w:rsidRPr="00BE3728">
              <w:rPr>
                <w:sz w:val="20"/>
                <w:szCs w:val="20"/>
              </w:rPr>
              <w:t xml:space="preserve"> erfülle. Der setz</w:t>
            </w:r>
            <w:r>
              <w:rPr>
                <w:sz w:val="20"/>
                <w:szCs w:val="20"/>
              </w:rPr>
              <w:t>e</w:t>
            </w:r>
            <w:r w:rsidRPr="00BE3728">
              <w:rPr>
                <w:sz w:val="20"/>
                <w:szCs w:val="20"/>
              </w:rPr>
              <w:t xml:space="preserve"> voraus, dass die Organisation Betroffene vertreten müsse und in guten Glauben handle („</w:t>
            </w:r>
            <w:proofErr w:type="spellStart"/>
            <w:r w:rsidRPr="00BE3728">
              <w:rPr>
                <w:sz w:val="20"/>
                <w:szCs w:val="20"/>
              </w:rPr>
              <w:t>good</w:t>
            </w:r>
            <w:proofErr w:type="spellEnd"/>
            <w:r w:rsidRPr="00BE3728">
              <w:rPr>
                <w:sz w:val="20"/>
                <w:szCs w:val="20"/>
              </w:rPr>
              <w:t xml:space="preserve"> </w:t>
            </w:r>
            <w:proofErr w:type="spellStart"/>
            <w:r w:rsidRPr="00BE3728">
              <w:rPr>
                <w:sz w:val="20"/>
                <w:szCs w:val="20"/>
              </w:rPr>
              <w:t>faith</w:t>
            </w:r>
            <w:proofErr w:type="spellEnd"/>
            <w:r w:rsidRPr="00BE3728">
              <w:rPr>
                <w:sz w:val="20"/>
                <w:szCs w:val="20"/>
              </w:rPr>
              <w:t>“</w:t>
            </w:r>
            <w:r w:rsidRPr="00BE3728">
              <w:rPr>
                <w:rStyle w:val="Funotenzeichen"/>
                <w:sz w:val="20"/>
                <w:szCs w:val="20"/>
              </w:rPr>
              <w:footnoteReference w:id="1729"/>
            </w:r>
            <w:r w:rsidRPr="00BE3728">
              <w:rPr>
                <w:sz w:val="20"/>
                <w:szCs w:val="20"/>
              </w:rPr>
              <w:t xml:space="preserve">). Beides erfülle die Organisation, so der </w:t>
            </w:r>
            <w:r>
              <w:rPr>
                <w:sz w:val="20"/>
                <w:szCs w:val="20"/>
              </w:rPr>
              <w:t>U.S. Supreme Court</w:t>
            </w:r>
            <w:r w:rsidRPr="00BE3728">
              <w:rPr>
                <w:sz w:val="20"/>
                <w:szCs w:val="20"/>
              </w:rPr>
              <w:t>. Und in der Sache st</w:t>
            </w:r>
            <w:r>
              <w:rPr>
                <w:sz w:val="20"/>
                <w:szCs w:val="20"/>
              </w:rPr>
              <w:t>ü</w:t>
            </w:r>
            <w:r w:rsidRPr="00BE3728">
              <w:rPr>
                <w:sz w:val="20"/>
                <w:szCs w:val="20"/>
              </w:rPr>
              <w:t xml:space="preserve">nden die Programme der Universitäten nicht im Einklang mit den Garantien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BE3728">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Denn sie h</w:t>
            </w:r>
            <w:r>
              <w:rPr>
                <w:sz w:val="20"/>
                <w:szCs w:val="20"/>
              </w:rPr>
              <w:t>ä</w:t>
            </w:r>
            <w:r w:rsidRPr="00BE3728">
              <w:rPr>
                <w:sz w:val="20"/>
                <w:szCs w:val="20"/>
              </w:rPr>
              <w:t>tten weder hinreichend definierte noch messbare Ziele, die den Einsatz von Rasse rechtfertigten. Zudem förderten sie mit dem Begriff der Rasse gerade rassistische Stereotypen.</w:t>
            </w:r>
            <w:r w:rsidRPr="00BE3728">
              <w:rPr>
                <w:rStyle w:val="Funotenzeichen"/>
                <w:sz w:val="20"/>
                <w:szCs w:val="20"/>
              </w:rPr>
              <w:footnoteReference w:id="1730"/>
            </w:r>
          </w:p>
        </w:tc>
        <w:tc>
          <w:tcPr>
            <w:tcW w:w="1822" w:type="pct"/>
          </w:tcPr>
          <w:p w14:paraId="167B651E" w14:textId="77777777" w:rsidR="00074551" w:rsidRPr="00B45592" w:rsidRDefault="00074551" w:rsidP="00367133">
            <w:pPr>
              <w:jc w:val="both"/>
              <w:rPr>
                <w:i/>
                <w:sz w:val="20"/>
                <w:szCs w:val="20"/>
              </w:rPr>
            </w:pPr>
            <w:r w:rsidRPr="00B45592">
              <w:rPr>
                <w:i/>
                <w:sz w:val="20"/>
                <w:szCs w:val="20"/>
              </w:rPr>
              <w:t xml:space="preserve">LexisNexis-Klassifikation: Constitutional Law ›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 National Origin &amp; </w:t>
            </w:r>
            <w:proofErr w:type="spellStart"/>
            <w:r w:rsidRPr="00B45592">
              <w:rPr>
                <w:i/>
                <w:sz w:val="20"/>
                <w:szCs w:val="20"/>
              </w:rPr>
              <w:t>Race</w:t>
            </w:r>
            <w:proofErr w:type="spellEnd"/>
          </w:p>
          <w:p w14:paraId="16E2DC2F" w14:textId="77777777" w:rsidR="00074551" w:rsidRPr="00B45592" w:rsidRDefault="00074551" w:rsidP="00367133">
            <w:pPr>
              <w:jc w:val="both"/>
              <w:rPr>
                <w:sz w:val="20"/>
                <w:szCs w:val="20"/>
              </w:rPr>
            </w:pPr>
          </w:p>
          <w:p w14:paraId="1825B7F7" w14:textId="77777777" w:rsidR="00074551" w:rsidRDefault="00074551" w:rsidP="00367133">
            <w:pPr>
              <w:jc w:val="both"/>
              <w:rPr>
                <w:sz w:val="20"/>
                <w:szCs w:val="20"/>
              </w:rPr>
            </w:pPr>
            <w:r w:rsidRPr="00BE3728">
              <w:rPr>
                <w:sz w:val="20"/>
                <w:szCs w:val="20"/>
              </w:rPr>
              <w:t>Eine staatliche Maßnahme kann eine rassisch bedingte Verletzung wiedergutmachen. Indes müssen solche Abhilfen auch dazu dienen, ein farbenblindes staatliches Handeln zu fördern und nicht das Rassenbewusstsein in anderer Form zu verewigen.</w:t>
            </w:r>
          </w:p>
          <w:p w14:paraId="7A0F3DBE" w14:textId="77777777" w:rsidR="00074551" w:rsidRDefault="00074551" w:rsidP="00367133">
            <w:pPr>
              <w:jc w:val="both"/>
              <w:rPr>
                <w:sz w:val="20"/>
                <w:szCs w:val="20"/>
              </w:rPr>
            </w:pPr>
          </w:p>
          <w:p w14:paraId="35C09903" w14:textId="6FBFC2BE" w:rsidR="00074551" w:rsidRDefault="00074551" w:rsidP="00367133">
            <w:pPr>
              <w:jc w:val="both"/>
              <w:rPr>
                <w:sz w:val="20"/>
                <w:szCs w:val="20"/>
              </w:rPr>
            </w:pPr>
            <w:r w:rsidRPr="00BE3728">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erklärte, die farbenblinde</w:t>
            </w:r>
            <w:r>
              <w:rPr>
                <w:sz w:val="20"/>
                <w:szCs w:val="20"/>
              </w:rPr>
              <w:t xml:space="preserve">, also </w:t>
            </w:r>
            <w:proofErr w:type="gramStart"/>
            <w:r>
              <w:rPr>
                <w:sz w:val="20"/>
                <w:szCs w:val="20"/>
              </w:rPr>
              <w:t>nicht diskriminierende</w:t>
            </w:r>
            <w:proofErr w:type="gramEnd"/>
            <w:r>
              <w:rPr>
                <w:sz w:val="20"/>
                <w:szCs w:val="20"/>
              </w:rPr>
              <w:t>,</w:t>
            </w:r>
            <w:r w:rsidRPr="00BE3728">
              <w:rPr>
                <w:sz w:val="20"/>
                <w:szCs w:val="20"/>
              </w:rPr>
              <w:t xml:space="preserve"> Auffassung </w:t>
            </w:r>
            <w:r>
              <w:rPr>
                <w:sz w:val="20"/>
                <w:szCs w:val="20"/>
              </w:rPr>
              <w:t>von</w:t>
            </w:r>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werde</w:t>
            </w:r>
            <w:r w:rsidRPr="00BE3728">
              <w:rPr>
                <w:sz w:val="20"/>
                <w:szCs w:val="20"/>
              </w:rPr>
              <w:t xml:space="preserve"> zunehmend </w:t>
            </w:r>
            <w:r>
              <w:rPr>
                <w:sz w:val="20"/>
                <w:szCs w:val="20"/>
              </w:rPr>
              <w:t xml:space="preserve">ergänzt durch </w:t>
            </w:r>
            <w:r w:rsidRPr="00BE3728">
              <w:rPr>
                <w:sz w:val="20"/>
                <w:szCs w:val="20"/>
              </w:rPr>
              <w:t>eine Antisubordinations</w:t>
            </w:r>
            <w:r>
              <w:rPr>
                <w:sz w:val="20"/>
                <w:szCs w:val="20"/>
              </w:rPr>
              <w:t>-A</w:t>
            </w:r>
            <w:r w:rsidRPr="00BE3728">
              <w:rPr>
                <w:sz w:val="20"/>
                <w:szCs w:val="20"/>
              </w:rPr>
              <w:t>uffassung</w:t>
            </w:r>
            <w:r>
              <w:rPr>
                <w:sz w:val="20"/>
                <w:szCs w:val="20"/>
              </w:rPr>
              <w:t>, d.h. dem Streben nach einer aktiven Wiedergutmachung bestehender Ungleichheiten.</w:t>
            </w:r>
            <w:r w:rsidRPr="00BE3728">
              <w:rPr>
                <w:sz w:val="20"/>
                <w:szCs w:val="20"/>
              </w:rPr>
              <w:t xml:space="preserve"> Doch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verbiete nur Gesetze, die Rassen schade</w:t>
            </w:r>
            <w:r>
              <w:rPr>
                <w:sz w:val="20"/>
                <w:szCs w:val="20"/>
              </w:rPr>
              <w:t>te</w:t>
            </w:r>
            <w:r w:rsidRPr="00BE3728">
              <w:rPr>
                <w:sz w:val="20"/>
                <w:szCs w:val="20"/>
              </w:rPr>
              <w:t xml:space="preserve">n (die sog. farbenblinde Auffassung). Das Amendment regle nicht, </w:t>
            </w:r>
            <w:r>
              <w:rPr>
                <w:sz w:val="20"/>
                <w:szCs w:val="20"/>
              </w:rPr>
              <w:t xml:space="preserve">dass </w:t>
            </w:r>
            <w:r w:rsidRPr="00BE3728">
              <w:rPr>
                <w:sz w:val="20"/>
                <w:szCs w:val="20"/>
              </w:rPr>
              <w:t xml:space="preserve">jedem Benachteiligtem positiv </w:t>
            </w:r>
            <w:r>
              <w:rPr>
                <w:sz w:val="20"/>
                <w:szCs w:val="20"/>
              </w:rPr>
              <w:t>geholfen werden solle</w:t>
            </w:r>
            <w:r w:rsidRPr="00BE3728">
              <w:rPr>
                <w:sz w:val="20"/>
                <w:szCs w:val="20"/>
              </w:rPr>
              <w:t xml:space="preserve">. Das sei indes ohnehin unerheblich, denn die ständige Rechtsprechung gestatte mit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Pr>
                <w:sz w:val="20"/>
                <w:szCs w:val="20"/>
              </w:rPr>
              <w:t>,</w:t>
            </w:r>
            <w:r w:rsidRPr="00BE3728">
              <w:rPr>
                <w:sz w:val="20"/>
                <w:szCs w:val="20"/>
              </w:rPr>
              <w:t xml:space="preserve"> den Rassebegriff bereits jetzt so zu verwenden, dass beide Ziele erreichbar seien. Dafür bedürfe es der farbenblinden Auffassung – nicht auch </w:t>
            </w:r>
            <w:r>
              <w:rPr>
                <w:sz w:val="20"/>
                <w:szCs w:val="20"/>
              </w:rPr>
              <w:t>der</w:t>
            </w:r>
            <w:r w:rsidRPr="00BE3728">
              <w:rPr>
                <w:sz w:val="20"/>
                <w:szCs w:val="20"/>
              </w:rPr>
              <w:t xml:space="preserve"> Antisubordinations-Auffassung.</w:t>
            </w:r>
            <w:r w:rsidRPr="00BE3728">
              <w:rPr>
                <w:rStyle w:val="Funotenzeichen"/>
                <w:sz w:val="20"/>
                <w:szCs w:val="20"/>
              </w:rPr>
              <w:footnoteReference w:id="1731"/>
            </w:r>
            <w:r w:rsidRPr="00BE3728">
              <w:rPr>
                <w:sz w:val="20"/>
                <w:szCs w:val="20"/>
              </w:rPr>
              <w:t xml:space="preserve"> Hierzu erklärte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w:t>
            </w:r>
            <w:r>
              <w:rPr>
                <w:sz w:val="20"/>
                <w:szCs w:val="20"/>
              </w:rPr>
              <w:t>die</w:t>
            </w:r>
            <w:r w:rsidRPr="00BE3728">
              <w:rPr>
                <w:sz w:val="20"/>
                <w:szCs w:val="20"/>
              </w:rPr>
              <w:t xml:space="preserve"> Rechtsprechungen</w:t>
            </w:r>
            <w:r>
              <w:rPr>
                <w:sz w:val="20"/>
                <w:szCs w:val="20"/>
              </w:rPr>
              <w:t xml:space="preserve"> des U.S. Supreme Court</w:t>
            </w:r>
            <w:r w:rsidRPr="00BE3728">
              <w:rPr>
                <w:sz w:val="20"/>
                <w:szCs w:val="20"/>
              </w:rPr>
              <w:t xml:space="preserve">, </w:t>
            </w:r>
            <w:r>
              <w:rPr>
                <w:sz w:val="20"/>
                <w:szCs w:val="20"/>
              </w:rPr>
              <w:t>u.a.</w:t>
            </w:r>
            <w:r w:rsidRPr="00BE3728">
              <w:rPr>
                <w:sz w:val="20"/>
                <w:szCs w:val="20"/>
              </w:rPr>
              <w:t xml:space="preserve"> zum </w:t>
            </w:r>
            <w:proofErr w:type="spellStart"/>
            <w:r w:rsidRPr="5B67C1D2">
              <w:rPr>
                <w:i/>
                <w:iCs/>
                <w:sz w:val="20"/>
                <w:szCs w:val="20"/>
              </w:rPr>
              <w:t>Freedmen’s</w:t>
            </w:r>
            <w:proofErr w:type="spellEnd"/>
            <w:r w:rsidRPr="5B67C1D2">
              <w:rPr>
                <w:i/>
                <w:iCs/>
                <w:sz w:val="20"/>
                <w:szCs w:val="20"/>
              </w:rPr>
              <w:t xml:space="preserve"> Bureau Act</w:t>
            </w:r>
            <w:r w:rsidRPr="00BE3728">
              <w:rPr>
                <w:sz w:val="20"/>
                <w:szCs w:val="20"/>
              </w:rPr>
              <w:t xml:space="preserve"> von 1865. Das Gesetz stellte Unterkünfte für sog. befreite Sklave</w:t>
            </w:r>
            <w:r>
              <w:rPr>
                <w:sz w:val="20"/>
                <w:szCs w:val="20"/>
              </w:rPr>
              <w:t>n bereit</w:t>
            </w:r>
            <w:r w:rsidRPr="00BE3728">
              <w:rPr>
                <w:sz w:val="20"/>
                <w:szCs w:val="20"/>
              </w:rPr>
              <w:t>. Aber da nicht alle Schwarzen in den Vereinigten Staaten ehemalige Sklaven waren, war der Begriff befreiter Sklave zu eng,</w:t>
            </w:r>
            <w:r>
              <w:rPr>
                <w:sz w:val="20"/>
                <w:szCs w:val="20"/>
              </w:rPr>
              <w:t xml:space="preserve"> um</w:t>
            </w:r>
            <w:r w:rsidRPr="00BE3728">
              <w:rPr>
                <w:sz w:val="20"/>
                <w:szCs w:val="20"/>
              </w:rPr>
              <w:t xml:space="preserve"> benachteiligte Rassen zu fassen. Das Gesetz müsse zwar befreite Sklaven schützen, aber auch andere – wie </w:t>
            </w:r>
            <w:r>
              <w:rPr>
                <w:sz w:val="20"/>
                <w:szCs w:val="20"/>
              </w:rPr>
              <w:t>z.B.</w:t>
            </w:r>
            <w:r w:rsidRPr="00BE3728">
              <w:rPr>
                <w:sz w:val="20"/>
                <w:szCs w:val="20"/>
              </w:rPr>
              <w:t xml:space="preserve"> weiße Flüchtlinge. Dabei lehnte der </w:t>
            </w:r>
            <w:r>
              <w:rPr>
                <w:sz w:val="20"/>
                <w:szCs w:val="20"/>
              </w:rPr>
              <w:t>U.S. Supreme Court</w:t>
            </w:r>
            <w:r w:rsidRPr="00BE3728">
              <w:rPr>
                <w:sz w:val="20"/>
                <w:szCs w:val="20"/>
              </w:rPr>
              <w:t xml:space="preserve"> die Antisubordination ab. Denn Gleichheit bedeute nicht, dass </w:t>
            </w:r>
            <w:r>
              <w:rPr>
                <w:sz w:val="20"/>
                <w:szCs w:val="20"/>
              </w:rPr>
              <w:t>a</w:t>
            </w:r>
            <w:r w:rsidRPr="00BE3728">
              <w:rPr>
                <w:sz w:val="20"/>
                <w:szCs w:val="20"/>
              </w:rPr>
              <w:t>lle gleich groß sein sollten – also eine positive Hilfe zu leisten. Gleichheit bedeute vor allem, dass jede Rasse gleiche Rechte vor dem Gesetz genießen</w:t>
            </w:r>
            <w:r>
              <w:rPr>
                <w:sz w:val="20"/>
                <w:szCs w:val="20"/>
              </w:rPr>
              <w:t xml:space="preserve"> müsse</w:t>
            </w:r>
            <w:r w:rsidRPr="00BE3728">
              <w:rPr>
                <w:sz w:val="20"/>
                <w:szCs w:val="20"/>
              </w:rPr>
              <w:t>. Und das heißt im Ergebnis: Jeder muss das Recht haben, auf seine eigene Weise Leben, Freiheit und Glück verfolgen zu können („</w:t>
            </w:r>
            <w:proofErr w:type="spellStart"/>
            <w:r w:rsidRPr="00BE3728">
              <w:rPr>
                <w:sz w:val="20"/>
                <w:szCs w:val="20"/>
              </w:rPr>
              <w:t>freedmen</w:t>
            </w:r>
            <w:proofErr w:type="spellEnd"/>
            <w:r w:rsidRPr="00BE3728">
              <w:rPr>
                <w:sz w:val="20"/>
                <w:szCs w:val="20"/>
              </w:rPr>
              <w:t xml:space="preserve"> </w:t>
            </w:r>
            <w:proofErr w:type="spellStart"/>
            <w:proofErr w:type="gramStart"/>
            <w:r w:rsidRPr="00BE3728">
              <w:rPr>
                <w:sz w:val="20"/>
                <w:szCs w:val="20"/>
              </w:rPr>
              <w:t>enjoy</w:t>
            </w:r>
            <w:proofErr w:type="spellEnd"/>
            <w:r w:rsidRPr="00BE3728">
              <w:rPr>
                <w:sz w:val="20"/>
                <w:szCs w:val="20"/>
              </w:rPr>
              <w:t xml:space="preserve"> </w:t>
            </w:r>
            <w:r>
              <w:rPr>
                <w:sz w:val="20"/>
                <w:szCs w:val="20"/>
              </w:rPr>
              <w:t>,</w:t>
            </w:r>
            <w:proofErr w:type="spellStart"/>
            <w:r w:rsidRPr="00BE3728">
              <w:rPr>
                <w:sz w:val="20"/>
                <w:szCs w:val="20"/>
              </w:rPr>
              <w:t>equal</w:t>
            </w:r>
            <w:proofErr w:type="spellEnd"/>
            <w:proofErr w:type="gramEnd"/>
            <w:r w:rsidRPr="00BE3728">
              <w:rPr>
                <w:sz w:val="20"/>
                <w:szCs w:val="20"/>
              </w:rPr>
              <w:t xml:space="preserve"> </w:t>
            </w:r>
            <w:proofErr w:type="spellStart"/>
            <w:r w:rsidRPr="00BE3728">
              <w:rPr>
                <w:sz w:val="20"/>
                <w:szCs w:val="20"/>
              </w:rPr>
              <w:t>rights</w:t>
            </w:r>
            <w:proofErr w:type="spellEnd"/>
            <w:r w:rsidRPr="00BE3728">
              <w:rPr>
                <w:sz w:val="20"/>
                <w:szCs w:val="20"/>
              </w:rPr>
              <w:t xml:space="preserve"> </w:t>
            </w:r>
            <w:proofErr w:type="spellStart"/>
            <w:r w:rsidRPr="00BE3728">
              <w:rPr>
                <w:sz w:val="20"/>
                <w:szCs w:val="20"/>
              </w:rPr>
              <w:t>before</w:t>
            </w:r>
            <w:proofErr w:type="spellEnd"/>
            <w:r w:rsidRPr="00BE3728">
              <w:rPr>
                <w:sz w:val="20"/>
                <w:szCs w:val="20"/>
              </w:rPr>
              <w:t xml:space="preserve"> the </w:t>
            </w:r>
            <w:proofErr w:type="spellStart"/>
            <w:r w:rsidRPr="00BE3728">
              <w:rPr>
                <w:sz w:val="20"/>
                <w:szCs w:val="20"/>
              </w:rPr>
              <w:t>law</w:t>
            </w:r>
            <w:proofErr w:type="spellEnd"/>
            <w:r>
              <w:rPr>
                <w:sz w:val="20"/>
                <w:szCs w:val="20"/>
              </w:rPr>
              <w:t>‘</w:t>
            </w:r>
            <w:r w:rsidRPr="00BE3728">
              <w:rPr>
                <w:sz w:val="20"/>
                <w:szCs w:val="20"/>
              </w:rPr>
              <w:t xml:space="preserve"> such </w:t>
            </w:r>
            <w:proofErr w:type="spellStart"/>
            <w:proofErr w:type="gramStart"/>
            <w:r w:rsidRPr="00BE3728">
              <w:rPr>
                <w:sz w:val="20"/>
                <w:szCs w:val="20"/>
              </w:rPr>
              <w:t>that</w:t>
            </w:r>
            <w:proofErr w:type="spellEnd"/>
            <w:r w:rsidRPr="00BE3728">
              <w:rPr>
                <w:sz w:val="20"/>
                <w:szCs w:val="20"/>
              </w:rPr>
              <w:t xml:space="preserve"> </w:t>
            </w:r>
            <w:r>
              <w:rPr>
                <w:sz w:val="20"/>
                <w:szCs w:val="20"/>
              </w:rPr>
              <w:t>,</w:t>
            </w:r>
            <w:proofErr w:type="spellStart"/>
            <w:r w:rsidRPr="00BE3728">
              <w:rPr>
                <w:sz w:val="20"/>
                <w:szCs w:val="20"/>
              </w:rPr>
              <w:t>each</w:t>
            </w:r>
            <w:proofErr w:type="spellEnd"/>
            <w:proofErr w:type="gramEnd"/>
            <w:r w:rsidRPr="00BE3728">
              <w:rPr>
                <w:sz w:val="20"/>
                <w:szCs w:val="20"/>
              </w:rPr>
              <w:t xml:space="preserve"> man </w:t>
            </w:r>
            <w:proofErr w:type="spellStart"/>
            <w:r w:rsidRPr="00BE3728">
              <w:rPr>
                <w:sz w:val="20"/>
                <w:szCs w:val="20"/>
              </w:rPr>
              <w:t>shall</w:t>
            </w:r>
            <w:proofErr w:type="spellEnd"/>
            <w:r w:rsidRPr="00BE3728">
              <w:rPr>
                <w:sz w:val="20"/>
                <w:szCs w:val="20"/>
              </w:rPr>
              <w:t xml:space="preserve"> </w:t>
            </w:r>
            <w:proofErr w:type="spellStart"/>
            <w:r w:rsidRPr="00BE3728">
              <w:rPr>
                <w:sz w:val="20"/>
                <w:szCs w:val="20"/>
              </w:rPr>
              <w:t>have</w:t>
            </w:r>
            <w:proofErr w:type="spellEnd"/>
            <w:r w:rsidRPr="00BE3728">
              <w:rPr>
                <w:sz w:val="20"/>
                <w:szCs w:val="20"/>
              </w:rPr>
              <w:t xml:space="preserve"> the </w:t>
            </w:r>
            <w:proofErr w:type="spellStart"/>
            <w:r w:rsidRPr="00BE3728">
              <w:rPr>
                <w:sz w:val="20"/>
                <w:szCs w:val="20"/>
              </w:rPr>
              <w:t>right</w:t>
            </w:r>
            <w:proofErr w:type="spellEnd"/>
            <w:r w:rsidRPr="00BE3728">
              <w:rPr>
                <w:sz w:val="20"/>
                <w:szCs w:val="20"/>
              </w:rPr>
              <w:t xml:space="preserve"> to </w:t>
            </w:r>
            <w:proofErr w:type="spellStart"/>
            <w:r w:rsidRPr="00BE3728">
              <w:rPr>
                <w:sz w:val="20"/>
                <w:szCs w:val="20"/>
              </w:rPr>
              <w:t>pursue</w:t>
            </w:r>
            <w:proofErr w:type="spellEnd"/>
            <w:r w:rsidRPr="00BE3728">
              <w:rPr>
                <w:sz w:val="20"/>
                <w:szCs w:val="20"/>
              </w:rPr>
              <w:t xml:space="preserve"> in </w:t>
            </w:r>
            <w:proofErr w:type="spellStart"/>
            <w:r w:rsidRPr="00BE3728">
              <w:rPr>
                <w:sz w:val="20"/>
                <w:szCs w:val="20"/>
              </w:rPr>
              <w:t>his</w:t>
            </w:r>
            <w:proofErr w:type="spellEnd"/>
            <w:r w:rsidRPr="00BE3728">
              <w:rPr>
                <w:sz w:val="20"/>
                <w:szCs w:val="20"/>
              </w:rPr>
              <w:t xml:space="preserve"> own </w:t>
            </w:r>
            <w:proofErr w:type="spellStart"/>
            <w:r w:rsidRPr="00BE3728">
              <w:rPr>
                <w:sz w:val="20"/>
                <w:szCs w:val="20"/>
              </w:rPr>
              <w:t>way</w:t>
            </w:r>
            <w:proofErr w:type="spellEnd"/>
            <w:r w:rsidRPr="00BE3728">
              <w:rPr>
                <w:sz w:val="20"/>
                <w:szCs w:val="20"/>
              </w:rPr>
              <w:t xml:space="preserve"> </w:t>
            </w:r>
            <w:proofErr w:type="spellStart"/>
            <w:r w:rsidRPr="00BE3728">
              <w:rPr>
                <w:sz w:val="20"/>
                <w:szCs w:val="20"/>
              </w:rPr>
              <w:t>life</w:t>
            </w:r>
            <w:proofErr w:type="spellEnd"/>
            <w:r w:rsidRPr="00BE3728">
              <w:rPr>
                <w:sz w:val="20"/>
                <w:szCs w:val="20"/>
              </w:rPr>
              <w:t xml:space="preserve">, </w:t>
            </w:r>
            <w:proofErr w:type="spellStart"/>
            <w:r w:rsidRPr="00BE3728">
              <w:rPr>
                <w:sz w:val="20"/>
                <w:szCs w:val="20"/>
              </w:rPr>
              <w:t>liberty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w:t>
            </w:r>
            <w:r>
              <w:rPr>
                <w:sz w:val="20"/>
                <w:szCs w:val="20"/>
              </w:rPr>
              <w:t>‘</w:t>
            </w:r>
            <w:r w:rsidRPr="00BE3728">
              <w:rPr>
                <w:sz w:val="20"/>
                <w:szCs w:val="20"/>
              </w:rPr>
              <w:t>“).</w:t>
            </w:r>
            <w:r w:rsidRPr="00BE3728">
              <w:rPr>
                <w:rStyle w:val="Funotenzeichen"/>
                <w:sz w:val="20"/>
                <w:szCs w:val="20"/>
              </w:rPr>
              <w:footnoteReference w:id="1732"/>
            </w:r>
            <w:r w:rsidRPr="00BE3728">
              <w:rPr>
                <w:sz w:val="20"/>
                <w:szCs w:val="20"/>
              </w:rPr>
              <w:t xml:space="preserve"> Diese Bedingungen </w:t>
            </w:r>
            <w:r>
              <w:rPr>
                <w:sz w:val="20"/>
                <w:szCs w:val="20"/>
              </w:rPr>
              <w:t>müsse</w:t>
            </w:r>
            <w:r w:rsidRPr="00BE3728">
              <w:rPr>
                <w:sz w:val="20"/>
                <w:szCs w:val="20"/>
              </w:rPr>
              <w:t xml:space="preserve"> der Staat schaffen, nicht mehr. Es sei daher im Gesetz nach der Rasse zu klassifizieren – und nicht auf der Grundlage des früheren Zustands der Leibeigenschaft, hier der befreiten Sklaven. Zwar </w:t>
            </w:r>
            <w:r>
              <w:rPr>
                <w:sz w:val="20"/>
                <w:szCs w:val="20"/>
              </w:rPr>
              <w:t>könne</w:t>
            </w:r>
            <w:r w:rsidRPr="00BE3728">
              <w:rPr>
                <w:sz w:val="20"/>
                <w:szCs w:val="20"/>
              </w:rPr>
              <w:t xml:space="preserve"> die Regierung eine rassisch bedingte Verletzung der Vergangenheit beheben – allerdings </w:t>
            </w:r>
            <w:r>
              <w:rPr>
                <w:sz w:val="20"/>
                <w:szCs w:val="20"/>
              </w:rPr>
              <w:t>müsse</w:t>
            </w:r>
            <w:r w:rsidRPr="00BE3728">
              <w:rPr>
                <w:sz w:val="20"/>
                <w:szCs w:val="20"/>
              </w:rPr>
              <w:t xml:space="preserve"> diese Abhilfe auch dazu dienen, künftige farbenblinde staatliche Maßnahme</w:t>
            </w:r>
            <w:r>
              <w:rPr>
                <w:sz w:val="20"/>
                <w:szCs w:val="20"/>
              </w:rPr>
              <w:t>n</w:t>
            </w:r>
            <w:r w:rsidRPr="00BE3728">
              <w:rPr>
                <w:sz w:val="20"/>
                <w:szCs w:val="20"/>
              </w:rPr>
              <w:t xml:space="preserve"> zu fördern und eben kein weiteres Rassenbewusstsein zu verewigen.</w:t>
            </w:r>
            <w:r w:rsidRPr="00BE3728">
              <w:rPr>
                <w:rStyle w:val="Funotenzeichen"/>
                <w:sz w:val="20"/>
                <w:szCs w:val="20"/>
              </w:rPr>
              <w:footnoteReference w:id="1733"/>
            </w:r>
          </w:p>
          <w:p w14:paraId="38BACCA6" w14:textId="77777777" w:rsidR="00074551" w:rsidRPr="00E50B51" w:rsidRDefault="00074551" w:rsidP="00367133">
            <w:pPr>
              <w:jc w:val="both"/>
              <w:rPr>
                <w:sz w:val="20"/>
                <w:szCs w:val="20"/>
              </w:rPr>
            </w:pPr>
          </w:p>
        </w:tc>
      </w:tr>
      <w:tr w:rsidR="00074551" w:rsidRPr="005E3B68" w14:paraId="1CA63542" w14:textId="77777777" w:rsidTr="00BE689F">
        <w:trPr>
          <w:cantSplit/>
          <w:trHeight w:val="3175"/>
        </w:trPr>
        <w:tc>
          <w:tcPr>
            <w:tcW w:w="293" w:type="pct"/>
          </w:tcPr>
          <w:p w14:paraId="39D12DCB"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28D69BBD" w14:textId="77777777" w:rsidR="00074551" w:rsidRPr="00B45592" w:rsidRDefault="00074551" w:rsidP="00367133">
            <w:pPr>
              <w:ind w:left="113" w:right="416"/>
              <w:jc w:val="both"/>
              <w:rPr>
                <w:i/>
                <w:sz w:val="20"/>
                <w:szCs w:val="20"/>
                <w:lang w:val="en-US" w:eastAsia="de-DE"/>
              </w:rPr>
            </w:pPr>
            <w:r w:rsidRPr="00B45592">
              <w:rPr>
                <w:i/>
                <w:sz w:val="20"/>
                <w:szCs w:val="20"/>
              </w:rPr>
              <w:t>Thomas v. Gay</w:t>
            </w:r>
          </w:p>
        </w:tc>
        <w:tc>
          <w:tcPr>
            <w:tcW w:w="197" w:type="pct"/>
            <w:textDirection w:val="tbRl"/>
            <w:vAlign w:val="center"/>
          </w:tcPr>
          <w:p w14:paraId="4C217714" w14:textId="77777777" w:rsidR="00074551" w:rsidRPr="00E50B51" w:rsidRDefault="00074551" w:rsidP="00367133">
            <w:pPr>
              <w:ind w:left="113" w:right="113"/>
              <w:jc w:val="both"/>
              <w:rPr>
                <w:sz w:val="20"/>
                <w:szCs w:val="20"/>
                <w:lang w:val="en-US"/>
              </w:rPr>
            </w:pPr>
            <w:r w:rsidRPr="00BE3728">
              <w:rPr>
                <w:sz w:val="20"/>
                <w:szCs w:val="20"/>
              </w:rPr>
              <w:t>169 U.S. 264</w:t>
            </w:r>
          </w:p>
        </w:tc>
        <w:tc>
          <w:tcPr>
            <w:tcW w:w="306" w:type="pct"/>
            <w:textDirection w:val="tbRl"/>
            <w:vAlign w:val="center"/>
          </w:tcPr>
          <w:p w14:paraId="3AE216CD" w14:textId="77777777" w:rsidR="00074551" w:rsidRPr="00E50B51" w:rsidRDefault="00074551" w:rsidP="00367133">
            <w:pPr>
              <w:ind w:left="113" w:right="113"/>
              <w:jc w:val="both"/>
              <w:rPr>
                <w:sz w:val="20"/>
                <w:szCs w:val="20"/>
              </w:rPr>
            </w:pPr>
            <w:r w:rsidRPr="00BE3728">
              <w:rPr>
                <w:sz w:val="20"/>
                <w:szCs w:val="20"/>
              </w:rPr>
              <w:t>21. Februar 1898</w:t>
            </w:r>
          </w:p>
        </w:tc>
        <w:tc>
          <w:tcPr>
            <w:tcW w:w="401" w:type="pct"/>
          </w:tcPr>
          <w:p w14:paraId="0E919CD4" w14:textId="77777777" w:rsidR="00074551" w:rsidRPr="00E50B51" w:rsidRDefault="00074551" w:rsidP="00367133">
            <w:pPr>
              <w:jc w:val="center"/>
              <w:rPr>
                <w:sz w:val="20"/>
                <w:szCs w:val="20"/>
                <w:lang w:val="en-US"/>
              </w:rPr>
            </w:pPr>
            <w:r w:rsidRPr="00BE3728">
              <w:rPr>
                <w:sz w:val="20"/>
                <w:szCs w:val="20"/>
                <w:lang w:val="en-US"/>
              </w:rPr>
              <w:t>M</w:t>
            </w:r>
          </w:p>
        </w:tc>
        <w:tc>
          <w:tcPr>
            <w:tcW w:w="1594" w:type="pct"/>
          </w:tcPr>
          <w:p w14:paraId="033A2924"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setzte das Urteil der Vorinstanz außer Kraft. Die Pächter hatten gegen den Bundesstaat</w:t>
            </w:r>
            <w:r>
              <w:rPr>
                <w:sz w:val="20"/>
                <w:szCs w:val="20"/>
              </w:rPr>
              <w:t xml:space="preserve"> Oklahoma</w:t>
            </w:r>
            <w:r w:rsidRPr="00BE3728">
              <w:rPr>
                <w:sz w:val="20"/>
                <w:szCs w:val="20"/>
              </w:rPr>
              <w:t xml:space="preserve"> geklagt. Sie begehrten, von der Besteuerung ihres Eigentums befreit zu werden. Die Pächter waren im Bundesstaat nicht ansässig, hatten Viehherden auf Indianerreservaten und argumentierten, der Bundesstaat dürfe ihre Weideaktivitäten nicht besteuern. Denn die ausschließliche Zuständigkeit für Angelegenheiten der Indianer liege beim Bund, also nicht bei den Bundesstaaten. Der </w:t>
            </w:r>
            <w:r>
              <w:rPr>
                <w:sz w:val="20"/>
                <w:szCs w:val="20"/>
              </w:rPr>
              <w:t>U.S. Supreme Court</w:t>
            </w:r>
            <w:r w:rsidRPr="00BE3728">
              <w:rPr>
                <w:sz w:val="20"/>
                <w:szCs w:val="20"/>
              </w:rPr>
              <w:t xml:space="preserve"> befand jedoch, dass die Steuern auf das Vieh der Pächter erhoben wurde – und nicht auf andere</w:t>
            </w:r>
            <w:r>
              <w:rPr>
                <w:sz w:val="20"/>
                <w:szCs w:val="20"/>
              </w:rPr>
              <w:t>s</w:t>
            </w:r>
            <w:r w:rsidRPr="00BE3728">
              <w:rPr>
                <w:sz w:val="20"/>
                <w:szCs w:val="20"/>
              </w:rPr>
              <w:t xml:space="preserve"> wie ihre Weide oder die Pachtverträge. Dafür liege die Kompetenz beim Bundesstaat. Zudem wirke sich die Besteuerung allenfalls indirekt auf den zwischenstaatlichen Handel aus</w:t>
            </w:r>
            <w:r>
              <w:rPr>
                <w:sz w:val="20"/>
                <w:szCs w:val="20"/>
              </w:rPr>
              <w:t>, w</w:t>
            </w:r>
            <w:r w:rsidRPr="00BE3728">
              <w:rPr>
                <w:sz w:val="20"/>
                <w:szCs w:val="20"/>
              </w:rPr>
              <w:t>eshalb der Bund hier nicht regeln müsse.</w:t>
            </w:r>
            <w:r w:rsidRPr="00BE3728">
              <w:rPr>
                <w:rStyle w:val="Funotenzeichen"/>
                <w:sz w:val="20"/>
                <w:szCs w:val="20"/>
              </w:rPr>
              <w:footnoteReference w:id="1734"/>
            </w:r>
          </w:p>
        </w:tc>
        <w:tc>
          <w:tcPr>
            <w:tcW w:w="1822" w:type="pct"/>
          </w:tcPr>
          <w:p w14:paraId="6948FF6D" w14:textId="77777777" w:rsidR="00074551" w:rsidRPr="00B45592" w:rsidRDefault="00074551" w:rsidP="00367133">
            <w:pPr>
              <w:jc w:val="both"/>
              <w:rPr>
                <w:i/>
                <w:sz w:val="20"/>
                <w:szCs w:val="20"/>
              </w:rPr>
            </w:pPr>
            <w:r w:rsidRPr="00B45592">
              <w:rPr>
                <w:i/>
                <w:sz w:val="20"/>
                <w:szCs w:val="20"/>
              </w:rPr>
              <w:t xml:space="preserve">LexisNexis-Klassifikation: Constitutional Law ›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 Nature &amp; Scope of </w:t>
            </w:r>
            <w:proofErr w:type="spellStart"/>
            <w:r w:rsidRPr="00B45592">
              <w:rPr>
                <w:i/>
                <w:sz w:val="20"/>
                <w:szCs w:val="20"/>
              </w:rPr>
              <w:t>Protection</w:t>
            </w:r>
            <w:proofErr w:type="spellEnd"/>
          </w:p>
          <w:p w14:paraId="307BDF07" w14:textId="77777777" w:rsidR="00074551" w:rsidRPr="00B45592" w:rsidRDefault="00074551" w:rsidP="00367133">
            <w:pPr>
              <w:jc w:val="both"/>
              <w:rPr>
                <w:sz w:val="20"/>
                <w:szCs w:val="20"/>
              </w:rPr>
            </w:pPr>
          </w:p>
          <w:p w14:paraId="1B27E5A3" w14:textId="77777777" w:rsidR="00074551" w:rsidRDefault="00074551" w:rsidP="00367133">
            <w:pPr>
              <w:jc w:val="both"/>
              <w:rPr>
                <w:sz w:val="20"/>
                <w:szCs w:val="20"/>
              </w:rPr>
            </w:pPr>
            <w:r w:rsidRPr="00BE3728">
              <w:rPr>
                <w:sz w:val="20"/>
                <w:szCs w:val="20"/>
              </w:rPr>
              <w:t>Steuern werden nicht dadurch verfassungswidrig, dass die Vorteile aus ihnen ungleich verteilt sind.</w:t>
            </w:r>
            <w:r w:rsidRPr="00BE3728">
              <w:rPr>
                <w:rStyle w:val="Funotenzeichen"/>
                <w:sz w:val="20"/>
                <w:szCs w:val="20"/>
              </w:rPr>
              <w:footnoteReference w:id="1735"/>
            </w:r>
          </w:p>
          <w:p w14:paraId="64A16CBD" w14:textId="77777777" w:rsidR="00074551" w:rsidRDefault="00074551" w:rsidP="00367133">
            <w:pPr>
              <w:jc w:val="both"/>
              <w:rPr>
                <w:sz w:val="20"/>
                <w:szCs w:val="20"/>
              </w:rPr>
            </w:pPr>
          </w:p>
          <w:p w14:paraId="1FD5764A" w14:textId="77777777" w:rsidR="00074551" w:rsidRDefault="00074551" w:rsidP="00367133">
            <w:pPr>
              <w:jc w:val="both"/>
              <w:rPr>
                <w:sz w:val="20"/>
                <w:szCs w:val="20"/>
              </w:rPr>
            </w:pPr>
            <w:r w:rsidRPr="00BE3728">
              <w:rPr>
                <w:sz w:val="20"/>
                <w:szCs w:val="20"/>
              </w:rPr>
              <w:t xml:space="preserve">Dafür zitiert der </w:t>
            </w:r>
            <w:r>
              <w:rPr>
                <w:sz w:val="20"/>
                <w:szCs w:val="20"/>
              </w:rPr>
              <w:t>U.S. Supreme Court</w:t>
            </w:r>
            <w:r w:rsidRPr="00BE3728">
              <w:rPr>
                <w:sz w:val="20"/>
                <w:szCs w:val="20"/>
              </w:rPr>
              <w:t xml:space="preserve"> die Rechtsprechung zu </w:t>
            </w:r>
            <w:r w:rsidRPr="5B67C1D2">
              <w:rPr>
                <w:i/>
                <w:iCs/>
                <w:sz w:val="20"/>
                <w:szCs w:val="20"/>
              </w:rPr>
              <w:t xml:space="preserve">Kelly v. </w:t>
            </w:r>
            <w:proofErr w:type="spellStart"/>
            <w:r w:rsidRPr="5B67C1D2">
              <w:rPr>
                <w:i/>
                <w:iCs/>
                <w:sz w:val="20"/>
                <w:szCs w:val="20"/>
              </w:rPr>
              <w:t>Pittsburg</w:t>
            </w:r>
            <w:proofErr w:type="spellEnd"/>
            <w:r w:rsidRPr="00BE3728">
              <w:rPr>
                <w:rStyle w:val="Funotenzeichen"/>
                <w:sz w:val="20"/>
                <w:szCs w:val="20"/>
              </w:rPr>
              <w:footnoteReference w:id="1736"/>
            </w:r>
            <w:r w:rsidRPr="5B67C1D2">
              <w:rPr>
                <w:i/>
                <w:iCs/>
                <w:sz w:val="20"/>
                <w:szCs w:val="20"/>
              </w:rPr>
              <w:t xml:space="preserve"> </w:t>
            </w:r>
            <w:r w:rsidRPr="00BE3728">
              <w:rPr>
                <w:sz w:val="20"/>
                <w:szCs w:val="20"/>
              </w:rPr>
              <w:t xml:space="preserve">und urteilt, dass der Kläger aus Steuern unterschiedlichen Nutzen ziehe, </w:t>
            </w:r>
            <w:r>
              <w:rPr>
                <w:sz w:val="20"/>
                <w:szCs w:val="20"/>
              </w:rPr>
              <w:t>z.B.</w:t>
            </w:r>
            <w:r w:rsidRPr="00BE3728">
              <w:rPr>
                <w:sz w:val="20"/>
                <w:szCs w:val="20"/>
              </w:rPr>
              <w:t xml:space="preserve"> besteh</w:t>
            </w:r>
            <w:r>
              <w:rPr>
                <w:sz w:val="20"/>
                <w:szCs w:val="20"/>
              </w:rPr>
              <w:t>e</w:t>
            </w:r>
            <w:r w:rsidRPr="00BE3728">
              <w:rPr>
                <w:sz w:val="20"/>
                <w:szCs w:val="20"/>
              </w:rPr>
              <w:t xml:space="preserve"> ein Gefälle bei Steuervorteilen zwischen Bürgern in</w:t>
            </w:r>
            <w:r>
              <w:rPr>
                <w:sz w:val="20"/>
                <w:szCs w:val="20"/>
              </w:rPr>
              <w:t>ner-</w:t>
            </w:r>
            <w:r w:rsidRPr="00BE3728">
              <w:rPr>
                <w:sz w:val="20"/>
                <w:szCs w:val="20"/>
              </w:rPr>
              <w:t xml:space="preserve"> und außerhalb des Stadtkerns. Die Steuerhöhe könne sich sogar unverhältnismäßig zu den Vorteilen verhalten. Aber der </w:t>
            </w:r>
            <w:r>
              <w:rPr>
                <w:sz w:val="20"/>
                <w:szCs w:val="20"/>
              </w:rPr>
              <w:t>U.S. Supreme Court</w:t>
            </w:r>
            <w:r w:rsidRPr="00BE3728">
              <w:rPr>
                <w:sz w:val="20"/>
                <w:szCs w:val="20"/>
              </w:rPr>
              <w:t xml:space="preserve"> </w:t>
            </w:r>
            <w:r>
              <w:rPr>
                <w:sz w:val="20"/>
                <w:szCs w:val="20"/>
              </w:rPr>
              <w:t>vermöge</w:t>
            </w:r>
            <w:r w:rsidRPr="00BE3728">
              <w:rPr>
                <w:sz w:val="20"/>
                <w:szCs w:val="20"/>
              </w:rPr>
              <w:t xml:space="preserve"> nicht, diejenige Steuerlast festzulegen, die der Einzelne in einer Zivilgemeinschaft beitragen solle, damit absolute Gleichheit zwischen Steuerlast und -vorteil gewährleistet werde. Wie rechtfertigt der </w:t>
            </w:r>
            <w:r>
              <w:rPr>
                <w:sz w:val="20"/>
                <w:szCs w:val="20"/>
              </w:rPr>
              <w:t>U.S. Supreme Court</w:t>
            </w:r>
            <w:r w:rsidRPr="00BE3728">
              <w:rPr>
                <w:sz w:val="20"/>
                <w:szCs w:val="20"/>
              </w:rPr>
              <w:t xml:space="preserve"> dies? Er rechtfertigt dies damit, dass </w:t>
            </w:r>
            <w:r>
              <w:rPr>
                <w:sz w:val="20"/>
                <w:szCs w:val="20"/>
              </w:rPr>
              <w:t>z.B.</w:t>
            </w:r>
            <w:r w:rsidRPr="00BE3728">
              <w:rPr>
                <w:sz w:val="20"/>
                <w:szCs w:val="20"/>
              </w:rPr>
              <w:t xml:space="preserve"> der Kläger mit den Steuern dazu beitrage, dass Schulen die Kinder der Gemeinschaft erziehen könn</w:t>
            </w:r>
            <w:r>
              <w:rPr>
                <w:sz w:val="20"/>
                <w:szCs w:val="20"/>
              </w:rPr>
              <w:t>t</w:t>
            </w:r>
            <w:r w:rsidRPr="00BE3728">
              <w:rPr>
                <w:sz w:val="20"/>
                <w:szCs w:val="20"/>
              </w:rPr>
              <w:t>en, und vom Bildungsgrad der Mitbürger mittelbar das Glück und der Wohlstand abh</w:t>
            </w:r>
            <w:r>
              <w:rPr>
                <w:sz w:val="20"/>
                <w:szCs w:val="20"/>
              </w:rPr>
              <w:t>ingen</w:t>
            </w:r>
            <w:r w:rsidRPr="00BE3728">
              <w:rPr>
                <w:sz w:val="20"/>
                <w:szCs w:val="20"/>
              </w:rPr>
              <w:t xml:space="preserve"> („</w:t>
            </w:r>
            <w:proofErr w:type="spellStart"/>
            <w:r w:rsidRPr="00BE3728">
              <w:rPr>
                <w:sz w:val="20"/>
                <w:szCs w:val="20"/>
              </w:rPr>
              <w:t>deeply</w:t>
            </w:r>
            <w:proofErr w:type="spellEnd"/>
            <w:r w:rsidRPr="00BE3728">
              <w:rPr>
                <w:sz w:val="20"/>
                <w:szCs w:val="20"/>
              </w:rPr>
              <w:t xml:space="preserve"> </w:t>
            </w:r>
            <w:proofErr w:type="spellStart"/>
            <w:r w:rsidRPr="00BE3728">
              <w:rPr>
                <w:sz w:val="20"/>
                <w:szCs w:val="20"/>
              </w:rPr>
              <w:t>interested</w:t>
            </w:r>
            <w:proofErr w:type="spellEnd"/>
            <w:r w:rsidRPr="00BE3728">
              <w:rPr>
                <w:sz w:val="20"/>
                <w:szCs w:val="20"/>
              </w:rPr>
              <w:t xml:space="preserve"> in the </w:t>
            </w:r>
            <w:proofErr w:type="spellStart"/>
            <w:r w:rsidRPr="00BE3728">
              <w:rPr>
                <w:sz w:val="20"/>
                <w:szCs w:val="20"/>
              </w:rPr>
              <w:t>education</w:t>
            </w:r>
            <w:proofErr w:type="spellEnd"/>
            <w:r w:rsidRPr="00BE3728">
              <w:rPr>
                <w:sz w:val="20"/>
                <w:szCs w:val="20"/>
              </w:rPr>
              <w:t xml:space="preserve"> of the </w:t>
            </w:r>
            <w:proofErr w:type="spellStart"/>
            <w:r w:rsidRPr="00BE3728">
              <w:rPr>
                <w:sz w:val="20"/>
                <w:szCs w:val="20"/>
              </w:rPr>
              <w:t>children</w:t>
            </w:r>
            <w:proofErr w:type="spellEnd"/>
            <w:r w:rsidRPr="00BE3728">
              <w:rPr>
                <w:sz w:val="20"/>
                <w:szCs w:val="20"/>
              </w:rPr>
              <w:t xml:space="preserve"> […], </w:t>
            </w:r>
            <w:proofErr w:type="spellStart"/>
            <w:r w:rsidRPr="00BE3728">
              <w:rPr>
                <w:sz w:val="20"/>
                <w:szCs w:val="20"/>
              </w:rPr>
              <w:t>because</w:t>
            </w:r>
            <w:proofErr w:type="spellEnd"/>
            <w:r w:rsidRPr="00BE3728">
              <w:rPr>
                <w:sz w:val="20"/>
                <w:szCs w:val="20"/>
              </w:rPr>
              <w:t xml:space="preserve"> […] </w:t>
            </w:r>
            <w:proofErr w:type="spellStart"/>
            <w:r w:rsidRPr="00BE3728">
              <w:rPr>
                <w:sz w:val="20"/>
                <w:szCs w:val="20"/>
              </w:rPr>
              <w:t>his</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w:t>
            </w:r>
            <w:proofErr w:type="spellStart"/>
            <w:r w:rsidRPr="00BE3728">
              <w:rPr>
                <w:sz w:val="20"/>
                <w:szCs w:val="20"/>
              </w:rPr>
              <w:t>prosperity</w:t>
            </w:r>
            <w:proofErr w:type="spellEnd"/>
            <w:r w:rsidRPr="00BE3728">
              <w:rPr>
                <w:sz w:val="20"/>
                <w:szCs w:val="20"/>
              </w:rPr>
              <w:t xml:space="preserve">, </w:t>
            </w:r>
            <w:proofErr w:type="spellStart"/>
            <w:r w:rsidRPr="00BE3728">
              <w:rPr>
                <w:sz w:val="20"/>
                <w:szCs w:val="20"/>
              </w:rPr>
              <w:t>are</w:t>
            </w:r>
            <w:proofErr w:type="spellEnd"/>
            <w:r w:rsidRPr="00BE3728">
              <w:rPr>
                <w:sz w:val="20"/>
                <w:szCs w:val="20"/>
              </w:rPr>
              <w:t xml:space="preserve"> </w:t>
            </w:r>
            <w:proofErr w:type="spellStart"/>
            <w:r w:rsidRPr="00BE3728">
              <w:rPr>
                <w:sz w:val="20"/>
                <w:szCs w:val="20"/>
              </w:rPr>
              <w:t>largely</w:t>
            </w:r>
            <w:proofErr w:type="spellEnd"/>
            <w:r w:rsidRPr="00BE3728">
              <w:rPr>
                <w:sz w:val="20"/>
                <w:szCs w:val="20"/>
              </w:rPr>
              <w:t xml:space="preserve"> </w:t>
            </w:r>
            <w:proofErr w:type="spellStart"/>
            <w:r w:rsidRPr="00BE3728">
              <w:rPr>
                <w:sz w:val="20"/>
                <w:szCs w:val="20"/>
              </w:rPr>
              <w:t>dependent</w:t>
            </w:r>
            <w:proofErr w:type="spellEnd"/>
            <w:r w:rsidRPr="00BE3728">
              <w:rPr>
                <w:sz w:val="20"/>
                <w:szCs w:val="20"/>
              </w:rPr>
              <w:t xml:space="preserve"> upon the </w:t>
            </w:r>
            <w:proofErr w:type="spellStart"/>
            <w:r w:rsidRPr="00BE3728">
              <w:rPr>
                <w:sz w:val="20"/>
                <w:szCs w:val="20"/>
              </w:rPr>
              <w:t>intelligence</w:t>
            </w:r>
            <w:proofErr w:type="spellEnd"/>
            <w:r w:rsidRPr="00BE3728">
              <w:rPr>
                <w:sz w:val="20"/>
                <w:szCs w:val="20"/>
              </w:rPr>
              <w:t xml:space="preserve"> and </w:t>
            </w:r>
            <w:proofErr w:type="spellStart"/>
            <w:r w:rsidRPr="00BE3728">
              <w:rPr>
                <w:sz w:val="20"/>
                <w:szCs w:val="20"/>
              </w:rPr>
              <w:t>moral</w:t>
            </w:r>
            <w:proofErr w:type="spellEnd"/>
            <w:r w:rsidRPr="00BE3728">
              <w:rPr>
                <w:sz w:val="20"/>
                <w:szCs w:val="20"/>
              </w:rPr>
              <w:t xml:space="preserve"> </w:t>
            </w:r>
            <w:proofErr w:type="spellStart"/>
            <w:r w:rsidRPr="00BE3728">
              <w:rPr>
                <w:sz w:val="20"/>
                <w:szCs w:val="20"/>
              </w:rPr>
              <w:t>tranining</w:t>
            </w:r>
            <w:proofErr w:type="spellEnd"/>
            <w:r w:rsidRPr="00BE3728">
              <w:rPr>
                <w:sz w:val="20"/>
                <w:szCs w:val="20"/>
              </w:rPr>
              <w:t xml:space="preserve"> </w:t>
            </w:r>
            <w:proofErr w:type="spellStart"/>
            <w:r w:rsidRPr="00BE3728">
              <w:rPr>
                <w:sz w:val="20"/>
                <w:szCs w:val="20"/>
              </w:rPr>
              <w:t>which</w:t>
            </w:r>
            <w:proofErr w:type="spellEnd"/>
            <w:r w:rsidRPr="00BE3728">
              <w:rPr>
                <w:sz w:val="20"/>
                <w:szCs w:val="20"/>
              </w:rPr>
              <w:t xml:space="preserve"> it </w:t>
            </w:r>
            <w:proofErr w:type="spellStart"/>
            <w:r w:rsidRPr="00BE3728">
              <w:rPr>
                <w:sz w:val="20"/>
                <w:szCs w:val="20"/>
              </w:rPr>
              <w:t>is</w:t>
            </w:r>
            <w:proofErr w:type="spellEnd"/>
            <w:r w:rsidRPr="00BE3728">
              <w:rPr>
                <w:sz w:val="20"/>
                <w:szCs w:val="20"/>
              </w:rPr>
              <w:t xml:space="preserve"> the </w:t>
            </w:r>
            <w:proofErr w:type="spellStart"/>
            <w:r w:rsidRPr="00BE3728">
              <w:rPr>
                <w:sz w:val="20"/>
                <w:szCs w:val="20"/>
              </w:rPr>
              <w:t>object</w:t>
            </w:r>
            <w:proofErr w:type="spellEnd"/>
            <w:r w:rsidRPr="00BE3728">
              <w:rPr>
                <w:sz w:val="20"/>
                <w:szCs w:val="20"/>
              </w:rPr>
              <w:t xml:space="preserve"> of </w:t>
            </w:r>
            <w:proofErr w:type="spellStart"/>
            <w:r w:rsidRPr="00BE3728">
              <w:rPr>
                <w:sz w:val="20"/>
                <w:szCs w:val="20"/>
              </w:rPr>
              <w:t>public</w:t>
            </w:r>
            <w:proofErr w:type="spellEnd"/>
            <w:r w:rsidRPr="00BE3728">
              <w:rPr>
                <w:sz w:val="20"/>
                <w:szCs w:val="20"/>
              </w:rPr>
              <w:t xml:space="preserve"> </w:t>
            </w:r>
            <w:proofErr w:type="spellStart"/>
            <w:r w:rsidRPr="00BE3728">
              <w:rPr>
                <w:sz w:val="20"/>
                <w:szCs w:val="20"/>
              </w:rPr>
              <w:t>schools</w:t>
            </w:r>
            <w:proofErr w:type="spellEnd"/>
            <w:r w:rsidRPr="00BE3728">
              <w:rPr>
                <w:sz w:val="20"/>
                <w:szCs w:val="20"/>
              </w:rPr>
              <w:t>“</w:t>
            </w:r>
            <w:r w:rsidRPr="00BE3728">
              <w:rPr>
                <w:rStyle w:val="Funotenzeichen"/>
                <w:sz w:val="20"/>
                <w:szCs w:val="20"/>
              </w:rPr>
              <w:footnoteReference w:id="1737"/>
            </w:r>
            <w:r w:rsidRPr="00BE3728">
              <w:rPr>
                <w:sz w:val="20"/>
                <w:szCs w:val="20"/>
              </w:rPr>
              <w:t xml:space="preserve">). Glück rechtfertigt damit unterschiedliche Steuerlasten und -vorteile. </w:t>
            </w:r>
          </w:p>
          <w:p w14:paraId="5B27B060" w14:textId="77777777" w:rsidR="00074551" w:rsidRPr="00E50B51" w:rsidRDefault="00074551" w:rsidP="00367133">
            <w:pPr>
              <w:jc w:val="both"/>
              <w:rPr>
                <w:sz w:val="20"/>
                <w:szCs w:val="20"/>
              </w:rPr>
            </w:pPr>
          </w:p>
        </w:tc>
      </w:tr>
      <w:tr w:rsidR="00074551" w:rsidRPr="005E3B68" w14:paraId="0C6CBA32" w14:textId="77777777" w:rsidTr="00BE689F">
        <w:trPr>
          <w:cantSplit/>
          <w:trHeight w:val="3175"/>
        </w:trPr>
        <w:tc>
          <w:tcPr>
            <w:tcW w:w="293" w:type="pct"/>
          </w:tcPr>
          <w:p w14:paraId="2F55EB69"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0E34EB19" w14:textId="77777777" w:rsidR="00074551" w:rsidRPr="00B45592" w:rsidRDefault="00074551" w:rsidP="00367133">
            <w:pPr>
              <w:ind w:left="113" w:right="416"/>
              <w:jc w:val="both"/>
              <w:rPr>
                <w:i/>
                <w:sz w:val="20"/>
                <w:szCs w:val="20"/>
                <w:lang w:val="en-US" w:eastAsia="de-DE"/>
              </w:rPr>
            </w:pPr>
            <w:r w:rsidRPr="00B45592">
              <w:rPr>
                <w:i/>
                <w:sz w:val="20"/>
                <w:szCs w:val="20"/>
                <w:lang w:val="en-US"/>
              </w:rPr>
              <w:t>Louis K. Liggett Co. v. Lee</w:t>
            </w:r>
          </w:p>
        </w:tc>
        <w:tc>
          <w:tcPr>
            <w:tcW w:w="197" w:type="pct"/>
            <w:textDirection w:val="tbRl"/>
            <w:vAlign w:val="center"/>
          </w:tcPr>
          <w:p w14:paraId="1F2BCA4B" w14:textId="77777777" w:rsidR="00074551" w:rsidRPr="00E50B51" w:rsidRDefault="00074551" w:rsidP="00367133">
            <w:pPr>
              <w:ind w:left="113" w:right="113"/>
              <w:jc w:val="both"/>
              <w:rPr>
                <w:sz w:val="20"/>
                <w:szCs w:val="20"/>
                <w:lang w:val="en-US"/>
              </w:rPr>
            </w:pPr>
            <w:r w:rsidRPr="00BE3728">
              <w:rPr>
                <w:sz w:val="20"/>
                <w:szCs w:val="20"/>
              </w:rPr>
              <w:t>288 U.S. 517</w:t>
            </w:r>
          </w:p>
        </w:tc>
        <w:tc>
          <w:tcPr>
            <w:tcW w:w="306" w:type="pct"/>
            <w:textDirection w:val="tbRl"/>
            <w:vAlign w:val="center"/>
          </w:tcPr>
          <w:p w14:paraId="6DFC592A" w14:textId="77777777" w:rsidR="00074551" w:rsidRPr="00E50B51" w:rsidRDefault="00074551" w:rsidP="00367133">
            <w:pPr>
              <w:ind w:left="113" w:right="113"/>
              <w:jc w:val="both"/>
              <w:rPr>
                <w:sz w:val="20"/>
                <w:szCs w:val="20"/>
              </w:rPr>
            </w:pPr>
            <w:r w:rsidRPr="00BE3728">
              <w:rPr>
                <w:sz w:val="20"/>
                <w:szCs w:val="20"/>
              </w:rPr>
              <w:t>13. März 1933</w:t>
            </w:r>
          </w:p>
        </w:tc>
        <w:tc>
          <w:tcPr>
            <w:tcW w:w="401" w:type="pct"/>
          </w:tcPr>
          <w:p w14:paraId="04F589C3" w14:textId="77777777" w:rsidR="00074551" w:rsidRPr="00E50B51" w:rsidRDefault="00074551" w:rsidP="00367133">
            <w:pPr>
              <w:jc w:val="center"/>
              <w:rPr>
                <w:sz w:val="20"/>
                <w:szCs w:val="20"/>
                <w:lang w:val="en-US"/>
              </w:rPr>
            </w:pPr>
            <w:r w:rsidRPr="00BE3728">
              <w:rPr>
                <w:sz w:val="20"/>
                <w:szCs w:val="20"/>
                <w:lang w:val="en-US"/>
              </w:rPr>
              <w:t>D</w:t>
            </w:r>
          </w:p>
        </w:tc>
        <w:tc>
          <w:tcPr>
            <w:tcW w:w="1594" w:type="pct"/>
          </w:tcPr>
          <w:p w14:paraId="5AB2A7B9" w14:textId="1A98DCC0"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ein Urteil auf. Eine Handelskette hatte gegen ein Steuergesetz</w:t>
            </w:r>
            <w:r w:rsidRPr="00BE3728">
              <w:rPr>
                <w:rStyle w:val="Funotenzeichen"/>
                <w:sz w:val="20"/>
                <w:szCs w:val="20"/>
              </w:rPr>
              <w:footnoteReference w:id="1738"/>
            </w:r>
            <w:r w:rsidRPr="00BE3728">
              <w:rPr>
                <w:sz w:val="20"/>
                <w:szCs w:val="20"/>
              </w:rPr>
              <w:t xml:space="preserve"> von Florida geklagt. Das sah höhere Steuern für Handelsketten in mehreren Bezirken vor. Der </w:t>
            </w:r>
            <w:r>
              <w:rPr>
                <w:sz w:val="20"/>
                <w:szCs w:val="20"/>
              </w:rPr>
              <w:t>U.S. Supreme Court</w:t>
            </w:r>
            <w:r w:rsidRPr="00BE3728">
              <w:rPr>
                <w:sz w:val="20"/>
                <w:szCs w:val="20"/>
              </w:rPr>
              <w:t xml:space="preserve"> befand, diese Regelung sei willkürlich. Sie verstoße gegen die Gleichbehandlungsklausel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 also </w:t>
            </w:r>
            <w:r>
              <w:rPr>
                <w:sz w:val="20"/>
                <w:szCs w:val="20"/>
              </w:rPr>
              <w:t xml:space="preserve">gegen die Gleichbehandlung von </w:t>
            </w:r>
            <w:r w:rsidRPr="00BE3728">
              <w:rPr>
                <w:sz w:val="20"/>
                <w:szCs w:val="20"/>
              </w:rPr>
              <w:t xml:space="preserve">Handelsketten </w:t>
            </w:r>
            <w:r>
              <w:rPr>
                <w:sz w:val="20"/>
                <w:szCs w:val="20"/>
              </w:rPr>
              <w:t>und</w:t>
            </w:r>
            <w:r w:rsidRPr="00BE3728">
              <w:rPr>
                <w:sz w:val="20"/>
                <w:szCs w:val="20"/>
              </w:rPr>
              <w:t xml:space="preserve"> anderen Geschäften. Allerdings stellte der </w:t>
            </w:r>
            <w:r>
              <w:rPr>
                <w:sz w:val="20"/>
                <w:szCs w:val="20"/>
              </w:rPr>
              <w:t>U.S. Supreme Court</w:t>
            </w:r>
            <w:r w:rsidRPr="00BE3728">
              <w:rPr>
                <w:sz w:val="20"/>
                <w:szCs w:val="20"/>
              </w:rPr>
              <w:t xml:space="preserve"> ebenso fest, dass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es dem Bundesstaat nicht grundsätzlich verbiete, unterschiedliche Steuern für verschiedene Berufe oder Produkte festzulegen. Zum Beispiel </w:t>
            </w:r>
            <w:r>
              <w:rPr>
                <w:sz w:val="20"/>
                <w:szCs w:val="20"/>
              </w:rPr>
              <w:t>sei</w:t>
            </w:r>
            <w:r w:rsidRPr="00BE3728">
              <w:rPr>
                <w:sz w:val="20"/>
                <w:szCs w:val="20"/>
              </w:rPr>
              <w:t xml:space="preserve"> die Ausnahme von Tankstellen, die ausschließlich Benzin verkauften, nicht verfassungswidrig.</w:t>
            </w:r>
            <w:r w:rsidRPr="00BE3728">
              <w:rPr>
                <w:rStyle w:val="Funotenzeichen"/>
                <w:sz w:val="20"/>
                <w:szCs w:val="20"/>
              </w:rPr>
              <w:footnoteReference w:id="1739"/>
            </w:r>
          </w:p>
        </w:tc>
        <w:tc>
          <w:tcPr>
            <w:tcW w:w="1822" w:type="pct"/>
          </w:tcPr>
          <w:p w14:paraId="12D952A8" w14:textId="77777777" w:rsidR="00074551" w:rsidRPr="00B45592" w:rsidRDefault="00074551" w:rsidP="00367133">
            <w:pPr>
              <w:jc w:val="both"/>
              <w:rPr>
                <w:i/>
                <w:sz w:val="20"/>
                <w:szCs w:val="20"/>
              </w:rPr>
            </w:pPr>
            <w:r w:rsidRPr="00B45592">
              <w:rPr>
                <w:i/>
                <w:sz w:val="20"/>
                <w:szCs w:val="20"/>
              </w:rPr>
              <w:t xml:space="preserve">LexisNexis-Klassifikation: Constitutional Law ›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 Nature &amp; Scope of </w:t>
            </w:r>
            <w:proofErr w:type="spellStart"/>
            <w:r w:rsidRPr="00B45592">
              <w:rPr>
                <w:i/>
                <w:sz w:val="20"/>
                <w:szCs w:val="20"/>
              </w:rPr>
              <w:t>Protection</w:t>
            </w:r>
            <w:proofErr w:type="spellEnd"/>
          </w:p>
          <w:p w14:paraId="3644A078" w14:textId="77777777" w:rsidR="00074551" w:rsidRPr="00B45592" w:rsidRDefault="00074551" w:rsidP="00367133">
            <w:pPr>
              <w:jc w:val="both"/>
              <w:rPr>
                <w:sz w:val="20"/>
                <w:szCs w:val="20"/>
              </w:rPr>
            </w:pPr>
          </w:p>
          <w:p w14:paraId="01CCE03B" w14:textId="028D083C" w:rsidR="00074551" w:rsidRDefault="00074551" w:rsidP="00367133">
            <w:pPr>
              <w:jc w:val="both"/>
              <w:rPr>
                <w:sz w:val="20"/>
                <w:szCs w:val="20"/>
              </w:rPr>
            </w:pPr>
            <w:r w:rsidRPr="00BE3728">
              <w:rPr>
                <w:sz w:val="20"/>
                <w:szCs w:val="20"/>
              </w:rPr>
              <w:t xml:space="preserve">Unternehmen </w:t>
            </w:r>
            <w:r>
              <w:rPr>
                <w:sz w:val="20"/>
                <w:szCs w:val="20"/>
              </w:rPr>
              <w:t xml:space="preserve">ebenso </w:t>
            </w:r>
            <w:r w:rsidRPr="00BE3728">
              <w:rPr>
                <w:sz w:val="20"/>
                <w:szCs w:val="20"/>
              </w:rPr>
              <w:t xml:space="preserve">wie natürliche Personen haben einen Anspruch auf den gleichen Schutz durch die Gesetze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rStyle w:val="Funotenzeichen"/>
                <w:sz w:val="20"/>
                <w:szCs w:val="20"/>
              </w:rPr>
              <w:footnoteReference w:id="1740"/>
            </w:r>
            <w:r w:rsidRPr="00BE3728">
              <w:rPr>
                <w:sz w:val="20"/>
                <w:szCs w:val="20"/>
              </w:rPr>
              <w:t xml:space="preserve"> Eine ungleiche Behandlung und willkürliche Diskriminierung zwischen Unternehmen und natürlichen Personen oder zwischen verschiedenen Unternehmen kann </w:t>
            </w:r>
            <w:r>
              <w:rPr>
                <w:sz w:val="20"/>
                <w:szCs w:val="20"/>
              </w:rPr>
              <w:t>nicht durch die</w:t>
            </w:r>
            <w:r w:rsidRPr="00BE3728">
              <w:rPr>
                <w:sz w:val="20"/>
                <w:szCs w:val="20"/>
              </w:rPr>
              <w:t xml:space="preserve"> Analogie </w:t>
            </w:r>
            <w:r>
              <w:rPr>
                <w:sz w:val="20"/>
                <w:szCs w:val="20"/>
              </w:rPr>
              <w:t>ge</w:t>
            </w:r>
            <w:r w:rsidRPr="00BE3728">
              <w:rPr>
                <w:sz w:val="20"/>
                <w:szCs w:val="20"/>
              </w:rPr>
              <w:t>rechtfertig</w:t>
            </w:r>
            <w:r>
              <w:rPr>
                <w:sz w:val="20"/>
                <w:szCs w:val="20"/>
              </w:rPr>
              <w:t>t werden</w:t>
            </w:r>
            <w:r w:rsidRPr="00BE3728">
              <w:rPr>
                <w:sz w:val="20"/>
                <w:szCs w:val="20"/>
              </w:rPr>
              <w:t xml:space="preserve">, eine anders gelagerte Klassifizierung mit einem anderen Zweck sei </w:t>
            </w:r>
            <w:r>
              <w:rPr>
                <w:sz w:val="20"/>
                <w:szCs w:val="20"/>
              </w:rPr>
              <w:t xml:space="preserve">schließlich </w:t>
            </w:r>
            <w:r w:rsidRPr="00BE3728">
              <w:rPr>
                <w:sz w:val="20"/>
                <w:szCs w:val="20"/>
              </w:rPr>
              <w:t xml:space="preserve">verfassungskonform. Zumal hier </w:t>
            </w:r>
            <w:r>
              <w:rPr>
                <w:sz w:val="20"/>
                <w:szCs w:val="20"/>
              </w:rPr>
              <w:t>§ </w:t>
            </w:r>
            <w:r w:rsidRPr="00BE3728">
              <w:rPr>
                <w:sz w:val="20"/>
                <w:szCs w:val="20"/>
              </w:rPr>
              <w:t>5 des Gesetzes willkürlich die Steuer</w:t>
            </w:r>
            <w:r>
              <w:rPr>
                <w:sz w:val="20"/>
                <w:szCs w:val="20"/>
              </w:rPr>
              <w:t>n</w:t>
            </w:r>
            <w:r w:rsidRPr="00BE3728">
              <w:rPr>
                <w:sz w:val="20"/>
                <w:szCs w:val="20"/>
              </w:rPr>
              <w:t xml:space="preserve"> in dem Fall erhöht</w:t>
            </w:r>
            <w:r>
              <w:rPr>
                <w:sz w:val="20"/>
                <w:szCs w:val="20"/>
              </w:rPr>
              <w:t>e</w:t>
            </w:r>
            <w:r w:rsidRPr="00BE3728">
              <w:rPr>
                <w:sz w:val="20"/>
                <w:szCs w:val="20"/>
              </w:rPr>
              <w:t>, wenn sich Geschäfte in mehr als einem Bezirk bef</w:t>
            </w:r>
            <w:r>
              <w:rPr>
                <w:sz w:val="20"/>
                <w:szCs w:val="20"/>
              </w:rPr>
              <w:t>a</w:t>
            </w:r>
            <w:r w:rsidRPr="00BE3728">
              <w:rPr>
                <w:sz w:val="20"/>
                <w:szCs w:val="20"/>
              </w:rPr>
              <w:t>nden.</w:t>
            </w:r>
            <w:r w:rsidRPr="00BE3728">
              <w:rPr>
                <w:rStyle w:val="Funotenzeichen"/>
                <w:sz w:val="20"/>
                <w:szCs w:val="20"/>
              </w:rPr>
              <w:footnoteReference w:id="1741"/>
            </w:r>
          </w:p>
          <w:p w14:paraId="2BC2F999" w14:textId="77777777" w:rsidR="00074551" w:rsidRDefault="00074551" w:rsidP="00367133">
            <w:pPr>
              <w:jc w:val="both"/>
              <w:rPr>
                <w:sz w:val="20"/>
                <w:szCs w:val="20"/>
              </w:rPr>
            </w:pPr>
          </w:p>
          <w:p w14:paraId="71EE24F8" w14:textId="77777777" w:rsidR="00074551" w:rsidRDefault="00074551" w:rsidP="00367133">
            <w:pPr>
              <w:jc w:val="both"/>
              <w:rPr>
                <w:sz w:val="20"/>
                <w:szCs w:val="20"/>
              </w:rPr>
            </w:pPr>
            <w:r w:rsidRPr="00BE3728">
              <w:rPr>
                <w:sz w:val="20"/>
                <w:szCs w:val="20"/>
              </w:rPr>
              <w:t xml:space="preserve">Die abweichende Meinung hält das Gesetz indes für verfassungskonform. Denn das Ziel des Gesetzes schütze Einzelhandelsgeschäfte vor der Konkurrenz der Handelsketten, indem es </w:t>
            </w:r>
            <w:r>
              <w:rPr>
                <w:sz w:val="20"/>
                <w:szCs w:val="20"/>
              </w:rPr>
              <w:t>L</w:t>
            </w:r>
            <w:r w:rsidRPr="00BE3728">
              <w:rPr>
                <w:sz w:val="20"/>
                <w:szCs w:val="20"/>
              </w:rPr>
              <w:t>etzteren finanzielle Lasten auferlege.</w:t>
            </w:r>
            <w:r w:rsidRPr="00BE3728">
              <w:rPr>
                <w:rStyle w:val="Funotenzeichen"/>
                <w:sz w:val="20"/>
                <w:szCs w:val="20"/>
              </w:rPr>
              <w:footnoteReference w:id="1742"/>
            </w:r>
            <w:r w:rsidRPr="00BE3728">
              <w:rPr>
                <w:sz w:val="20"/>
                <w:szCs w:val="20"/>
              </w:rPr>
              <w:t xml:space="preserve"> Das Privileg, Handel zu betreiben, </w:t>
            </w:r>
            <w:r>
              <w:rPr>
                <w:sz w:val="20"/>
                <w:szCs w:val="20"/>
              </w:rPr>
              <w:t>könne</w:t>
            </w:r>
            <w:r w:rsidRPr="00BE3728">
              <w:rPr>
                <w:sz w:val="20"/>
                <w:szCs w:val="20"/>
              </w:rPr>
              <w:t xml:space="preserve"> der Staat nach eigenem Ermessen gewähren oder verweigern – </w:t>
            </w:r>
            <w:proofErr w:type="spellStart"/>
            <w:r>
              <w:rPr>
                <w:sz w:val="20"/>
                <w:szCs w:val="20"/>
              </w:rPr>
              <w:t>so weit</w:t>
            </w:r>
            <w:proofErr w:type="spellEnd"/>
            <w:r w:rsidRPr="00BE3728">
              <w:rPr>
                <w:sz w:val="20"/>
                <w:szCs w:val="20"/>
              </w:rPr>
              <w:t xml:space="preserve"> er dafür einen sachlichen Grund beibringe.</w:t>
            </w:r>
            <w:r w:rsidRPr="00BE3728">
              <w:rPr>
                <w:rStyle w:val="Funotenzeichen"/>
                <w:sz w:val="20"/>
                <w:szCs w:val="20"/>
              </w:rPr>
              <w:footnoteReference w:id="1743"/>
            </w:r>
            <w:r w:rsidRPr="00BE3728">
              <w:rPr>
                <w:sz w:val="20"/>
                <w:szCs w:val="20"/>
              </w:rPr>
              <w:t xml:space="preserve"> Die Herleitung für den sachliche</w:t>
            </w:r>
            <w:r>
              <w:rPr>
                <w:sz w:val="20"/>
                <w:szCs w:val="20"/>
              </w:rPr>
              <w:t>n</w:t>
            </w:r>
            <w:r w:rsidRPr="00BE3728">
              <w:rPr>
                <w:sz w:val="20"/>
                <w:szCs w:val="20"/>
              </w:rPr>
              <w:t xml:space="preserve"> Grund der Steuer laute: Die Amerikaner haben das allgemeine Recht, soziale und wirtschaftliche Einrichtungen zu erhalten, zu schaffen oder zu beenden </w:t>
            </w:r>
            <w:r w:rsidRPr="00B45592">
              <w:rPr>
                <w:sz w:val="20"/>
                <w:szCs w:val="20"/>
              </w:rPr>
              <w:t xml:space="preserve">(„the </w:t>
            </w:r>
            <w:proofErr w:type="spellStart"/>
            <w:r w:rsidRPr="00B45592">
              <w:rPr>
                <w:sz w:val="20"/>
                <w:szCs w:val="20"/>
              </w:rPr>
              <w:t>broader</w:t>
            </w:r>
            <w:proofErr w:type="spellEnd"/>
            <w:r w:rsidRPr="00B45592">
              <w:rPr>
                <w:sz w:val="20"/>
                <w:szCs w:val="20"/>
              </w:rPr>
              <w:t xml:space="preserve"> </w:t>
            </w:r>
            <w:proofErr w:type="spellStart"/>
            <w:r w:rsidRPr="00B45592">
              <w:rPr>
                <w:sz w:val="20"/>
                <w:szCs w:val="20"/>
              </w:rPr>
              <w:t>right</w:t>
            </w:r>
            <w:proofErr w:type="spellEnd"/>
            <w:r w:rsidRPr="00B45592">
              <w:rPr>
                <w:sz w:val="20"/>
                <w:szCs w:val="20"/>
              </w:rPr>
              <w:t xml:space="preserve"> of Americans to </w:t>
            </w:r>
            <w:proofErr w:type="spellStart"/>
            <w:r w:rsidRPr="00B45592">
              <w:rPr>
                <w:sz w:val="20"/>
                <w:szCs w:val="20"/>
              </w:rPr>
              <w:t>preserve</w:t>
            </w:r>
            <w:proofErr w:type="spellEnd"/>
            <w:r w:rsidRPr="00B45592">
              <w:rPr>
                <w:sz w:val="20"/>
                <w:szCs w:val="20"/>
              </w:rPr>
              <w:t xml:space="preserve">, and to </w:t>
            </w:r>
            <w:proofErr w:type="spellStart"/>
            <w:r w:rsidRPr="00B45592">
              <w:rPr>
                <w:sz w:val="20"/>
                <w:szCs w:val="20"/>
              </w:rPr>
              <w:t>establish</w:t>
            </w:r>
            <w:proofErr w:type="spellEnd"/>
            <w:r w:rsidRPr="00B45592">
              <w:rPr>
                <w:sz w:val="20"/>
                <w:szCs w:val="20"/>
              </w:rPr>
              <w:t xml:space="preserve"> </w:t>
            </w:r>
            <w:proofErr w:type="spellStart"/>
            <w:r w:rsidRPr="00B45592">
              <w:rPr>
                <w:sz w:val="20"/>
                <w:szCs w:val="20"/>
              </w:rPr>
              <w:t>from</w:t>
            </w:r>
            <w:proofErr w:type="spellEnd"/>
            <w:r w:rsidRPr="00B45592">
              <w:rPr>
                <w:sz w:val="20"/>
                <w:szCs w:val="20"/>
              </w:rPr>
              <w:t xml:space="preserve"> time to time, such </w:t>
            </w:r>
            <w:proofErr w:type="spellStart"/>
            <w:r w:rsidRPr="00B45592">
              <w:rPr>
                <w:sz w:val="20"/>
                <w:szCs w:val="20"/>
              </w:rPr>
              <w:t>institutions</w:t>
            </w:r>
            <w:proofErr w:type="spellEnd"/>
            <w:r w:rsidRPr="00B45592">
              <w:rPr>
                <w:sz w:val="20"/>
                <w:szCs w:val="20"/>
              </w:rPr>
              <w:t xml:space="preserve">, social and </w:t>
            </w:r>
            <w:proofErr w:type="spellStart"/>
            <w:r w:rsidRPr="00B45592">
              <w:rPr>
                <w:sz w:val="20"/>
                <w:szCs w:val="20"/>
              </w:rPr>
              <w:t>economic</w:t>
            </w:r>
            <w:proofErr w:type="spellEnd"/>
            <w:r w:rsidRPr="00B45592">
              <w:rPr>
                <w:sz w:val="20"/>
                <w:szCs w:val="20"/>
              </w:rPr>
              <w:t xml:space="preserve">, as </w:t>
            </w:r>
            <w:proofErr w:type="spellStart"/>
            <w:r w:rsidRPr="00B45592">
              <w:rPr>
                <w:sz w:val="20"/>
                <w:szCs w:val="20"/>
              </w:rPr>
              <w:t>seem</w:t>
            </w:r>
            <w:proofErr w:type="spellEnd"/>
            <w:r w:rsidRPr="00B45592">
              <w:rPr>
                <w:sz w:val="20"/>
                <w:szCs w:val="20"/>
              </w:rPr>
              <w:t xml:space="preserve"> to </w:t>
            </w:r>
            <w:proofErr w:type="spellStart"/>
            <w:r w:rsidRPr="00B45592">
              <w:rPr>
                <w:sz w:val="20"/>
                <w:szCs w:val="20"/>
              </w:rPr>
              <w:t>them</w:t>
            </w:r>
            <w:proofErr w:type="spellEnd"/>
            <w:r w:rsidRPr="00B45592">
              <w:rPr>
                <w:sz w:val="20"/>
                <w:szCs w:val="20"/>
              </w:rPr>
              <w:t xml:space="preserve"> </w:t>
            </w:r>
            <w:proofErr w:type="spellStart"/>
            <w:r w:rsidRPr="00B45592">
              <w:rPr>
                <w:sz w:val="20"/>
                <w:szCs w:val="20"/>
              </w:rPr>
              <w:t>desirable</w:t>
            </w:r>
            <w:proofErr w:type="spellEnd"/>
            <w:r w:rsidRPr="00B45592">
              <w:rPr>
                <w:sz w:val="20"/>
                <w:szCs w:val="20"/>
              </w:rPr>
              <w:t xml:space="preserve">; and, </w:t>
            </w:r>
            <w:proofErr w:type="spellStart"/>
            <w:r w:rsidRPr="00B45592">
              <w:rPr>
                <w:sz w:val="20"/>
                <w:szCs w:val="20"/>
              </w:rPr>
              <w:t>likewise</w:t>
            </w:r>
            <w:proofErr w:type="spellEnd"/>
            <w:r w:rsidRPr="00B45592">
              <w:rPr>
                <w:sz w:val="20"/>
                <w:szCs w:val="20"/>
              </w:rPr>
              <w:t xml:space="preserve">, to end </w:t>
            </w:r>
            <w:proofErr w:type="spellStart"/>
            <w:r w:rsidRPr="00B45592">
              <w:rPr>
                <w:sz w:val="20"/>
                <w:szCs w:val="20"/>
              </w:rPr>
              <w:t>those</w:t>
            </w:r>
            <w:proofErr w:type="spellEnd"/>
            <w:r w:rsidRPr="00B45592">
              <w:rPr>
                <w:sz w:val="20"/>
                <w:szCs w:val="20"/>
              </w:rPr>
              <w:t xml:space="preserve"> </w:t>
            </w:r>
            <w:proofErr w:type="spellStart"/>
            <w:r w:rsidRPr="00B45592">
              <w:rPr>
                <w:sz w:val="20"/>
                <w:szCs w:val="20"/>
              </w:rPr>
              <w:t>which</w:t>
            </w:r>
            <w:proofErr w:type="spellEnd"/>
            <w:r w:rsidRPr="00B45592">
              <w:rPr>
                <w:sz w:val="20"/>
                <w:szCs w:val="20"/>
              </w:rPr>
              <w:t xml:space="preserve"> </w:t>
            </w:r>
            <w:proofErr w:type="spellStart"/>
            <w:r w:rsidRPr="00B45592">
              <w:rPr>
                <w:sz w:val="20"/>
                <w:szCs w:val="20"/>
              </w:rPr>
              <w:t>they</w:t>
            </w:r>
            <w:proofErr w:type="spellEnd"/>
            <w:r w:rsidRPr="00B45592">
              <w:rPr>
                <w:sz w:val="20"/>
                <w:szCs w:val="20"/>
              </w:rPr>
              <w:t xml:space="preserve"> </w:t>
            </w:r>
            <w:proofErr w:type="spellStart"/>
            <w:r w:rsidRPr="00B45592">
              <w:rPr>
                <w:sz w:val="20"/>
                <w:szCs w:val="20"/>
              </w:rPr>
              <w:t>deem</w:t>
            </w:r>
            <w:proofErr w:type="spellEnd"/>
            <w:r w:rsidRPr="00B45592">
              <w:rPr>
                <w:sz w:val="20"/>
                <w:szCs w:val="20"/>
              </w:rPr>
              <w:t xml:space="preserve"> </w:t>
            </w:r>
            <w:proofErr w:type="spellStart"/>
            <w:r w:rsidRPr="00B45592">
              <w:rPr>
                <w:sz w:val="20"/>
                <w:szCs w:val="20"/>
              </w:rPr>
              <w:t>undesirable</w:t>
            </w:r>
            <w:proofErr w:type="spellEnd"/>
            <w:r w:rsidRPr="00B45592">
              <w:rPr>
                <w:sz w:val="20"/>
                <w:szCs w:val="20"/>
              </w:rPr>
              <w:t>“</w:t>
            </w:r>
            <w:r w:rsidRPr="00BE3728">
              <w:rPr>
                <w:rStyle w:val="Funotenzeichen"/>
                <w:sz w:val="20"/>
                <w:szCs w:val="20"/>
                <w:lang w:val="en-US"/>
              </w:rPr>
              <w:footnoteReference w:id="1744"/>
            </w:r>
            <w:r w:rsidRPr="00BE3728">
              <w:rPr>
                <w:sz w:val="20"/>
                <w:szCs w:val="20"/>
              </w:rPr>
              <w:t xml:space="preserve">). </w:t>
            </w:r>
            <w:r w:rsidRPr="00B45592">
              <w:rPr>
                <w:sz w:val="20"/>
                <w:szCs w:val="20"/>
              </w:rPr>
              <w:t xml:space="preserve">Und woher rührt dieses allgemeine Recht? </w:t>
            </w:r>
            <w:r w:rsidRPr="00BE3728">
              <w:rPr>
                <w:sz w:val="20"/>
                <w:szCs w:val="20"/>
              </w:rPr>
              <w:t>Im Fall rühr</w:t>
            </w:r>
            <w:r>
              <w:rPr>
                <w:sz w:val="20"/>
                <w:szCs w:val="20"/>
              </w:rPr>
              <w:t>e</w:t>
            </w:r>
            <w:r w:rsidRPr="00BE3728">
              <w:rPr>
                <w:sz w:val="20"/>
                <w:szCs w:val="20"/>
              </w:rPr>
              <w:t xml:space="preserve"> es daher, </w:t>
            </w:r>
            <w:r>
              <w:rPr>
                <w:sz w:val="20"/>
                <w:szCs w:val="20"/>
              </w:rPr>
              <w:t>das</w:t>
            </w:r>
            <w:r w:rsidRPr="00BE3728">
              <w:rPr>
                <w:sz w:val="20"/>
                <w:szCs w:val="20"/>
              </w:rPr>
              <w:t xml:space="preserve"> Unternehmen ab einer bestimmten Größe individuelle Initiativen lähm</w:t>
            </w:r>
            <w:r>
              <w:rPr>
                <w:sz w:val="20"/>
                <w:szCs w:val="20"/>
              </w:rPr>
              <w:t>t</w:t>
            </w:r>
            <w:r w:rsidRPr="00BE3728">
              <w:rPr>
                <w:sz w:val="20"/>
                <w:szCs w:val="20"/>
              </w:rPr>
              <w:t>en, die schöpferische Kraft beeinträchtig</w:t>
            </w:r>
            <w:r>
              <w:rPr>
                <w:sz w:val="20"/>
                <w:szCs w:val="20"/>
              </w:rPr>
              <w:t>t</w:t>
            </w:r>
            <w:r w:rsidRPr="00BE3728">
              <w:rPr>
                <w:sz w:val="20"/>
                <w:szCs w:val="20"/>
              </w:rPr>
              <w:t xml:space="preserve">en und </w:t>
            </w:r>
            <w:r>
              <w:rPr>
                <w:sz w:val="20"/>
                <w:szCs w:val="20"/>
              </w:rPr>
              <w:t>dadurch</w:t>
            </w:r>
            <w:r w:rsidRPr="00BE3728">
              <w:rPr>
                <w:sz w:val="20"/>
                <w:szCs w:val="20"/>
              </w:rPr>
              <w:t xml:space="preserve"> das menschliche Glück minder</w:t>
            </w:r>
            <w:r>
              <w:rPr>
                <w:sz w:val="20"/>
                <w:szCs w:val="20"/>
              </w:rPr>
              <w:t>te</w:t>
            </w:r>
            <w:r w:rsidRPr="00BE3728">
              <w:rPr>
                <w:sz w:val="20"/>
                <w:szCs w:val="20"/>
              </w:rPr>
              <w:t xml:space="preserve">n („and human </w:t>
            </w:r>
            <w:proofErr w:type="spellStart"/>
            <w:r w:rsidRPr="00BE3728">
              <w:rPr>
                <w:sz w:val="20"/>
                <w:szCs w:val="20"/>
              </w:rPr>
              <w:t>happiness</w:t>
            </w:r>
            <w:proofErr w:type="spellEnd"/>
            <w:r w:rsidRPr="00BE3728">
              <w:rPr>
                <w:sz w:val="20"/>
                <w:szCs w:val="20"/>
              </w:rPr>
              <w:t xml:space="preserve"> </w:t>
            </w:r>
            <w:proofErr w:type="spellStart"/>
            <w:r w:rsidRPr="00BE3728">
              <w:rPr>
                <w:sz w:val="20"/>
                <w:szCs w:val="20"/>
              </w:rPr>
              <w:t>lessened</w:t>
            </w:r>
            <w:proofErr w:type="spellEnd"/>
            <w:r w:rsidRPr="00BE3728">
              <w:rPr>
                <w:sz w:val="20"/>
                <w:szCs w:val="20"/>
              </w:rPr>
              <w:t>“</w:t>
            </w:r>
            <w:r w:rsidRPr="00BE3728">
              <w:rPr>
                <w:rStyle w:val="Funotenzeichen"/>
                <w:sz w:val="20"/>
                <w:szCs w:val="20"/>
              </w:rPr>
              <w:footnoteReference w:id="1745"/>
            </w:r>
            <w:r w:rsidRPr="00BE3728">
              <w:rPr>
                <w:sz w:val="20"/>
                <w:szCs w:val="20"/>
              </w:rPr>
              <w:t>). Daher sei das Gesetz verfassungskonform.</w:t>
            </w:r>
          </w:p>
          <w:p w14:paraId="580D2C63" w14:textId="77777777" w:rsidR="00074551" w:rsidRPr="00E50B51" w:rsidRDefault="00074551" w:rsidP="00367133">
            <w:pPr>
              <w:jc w:val="both"/>
              <w:rPr>
                <w:sz w:val="20"/>
                <w:szCs w:val="20"/>
              </w:rPr>
            </w:pPr>
          </w:p>
        </w:tc>
      </w:tr>
      <w:tr w:rsidR="00074551" w:rsidRPr="005E3B68" w14:paraId="622F915F" w14:textId="77777777" w:rsidTr="00BE689F">
        <w:trPr>
          <w:cantSplit/>
          <w:trHeight w:val="3175"/>
        </w:trPr>
        <w:tc>
          <w:tcPr>
            <w:tcW w:w="293" w:type="pct"/>
          </w:tcPr>
          <w:p w14:paraId="422FB6AD"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3B7FF2A0" w14:textId="77777777" w:rsidR="00074551" w:rsidRPr="00E50B51" w:rsidRDefault="00074551" w:rsidP="00367133">
            <w:pPr>
              <w:ind w:left="113" w:right="416"/>
              <w:jc w:val="both"/>
              <w:rPr>
                <w:sz w:val="20"/>
                <w:szCs w:val="20"/>
                <w:lang w:val="en-US" w:eastAsia="de-DE"/>
              </w:rPr>
            </w:pPr>
            <w:r w:rsidRPr="009E57E1">
              <w:rPr>
                <w:i/>
                <w:sz w:val="20"/>
                <w:szCs w:val="20"/>
                <w:lang w:val="en-US"/>
              </w:rPr>
              <w:t xml:space="preserve">Parents Involved in </w:t>
            </w:r>
            <w:proofErr w:type="spellStart"/>
            <w:r w:rsidRPr="009E57E1">
              <w:rPr>
                <w:i/>
                <w:sz w:val="20"/>
                <w:szCs w:val="20"/>
                <w:lang w:val="en-US"/>
              </w:rPr>
              <w:t>Cmty</w:t>
            </w:r>
            <w:proofErr w:type="spellEnd"/>
            <w:r w:rsidRPr="009E57E1">
              <w:rPr>
                <w:i/>
                <w:sz w:val="20"/>
                <w:szCs w:val="20"/>
                <w:lang w:val="en-US"/>
              </w:rPr>
              <w:t>. Sch. v. Seattle Sch. Dist. No. 1</w:t>
            </w:r>
          </w:p>
        </w:tc>
        <w:tc>
          <w:tcPr>
            <w:tcW w:w="197" w:type="pct"/>
            <w:textDirection w:val="tbRl"/>
            <w:vAlign w:val="center"/>
          </w:tcPr>
          <w:p w14:paraId="368BAD8E" w14:textId="77777777" w:rsidR="00074551" w:rsidRPr="00E50B51" w:rsidRDefault="00074551" w:rsidP="00367133">
            <w:pPr>
              <w:ind w:left="113" w:right="113"/>
              <w:jc w:val="both"/>
              <w:rPr>
                <w:sz w:val="20"/>
                <w:szCs w:val="20"/>
                <w:lang w:val="en-US"/>
              </w:rPr>
            </w:pPr>
            <w:r w:rsidRPr="00BE3728">
              <w:rPr>
                <w:sz w:val="20"/>
                <w:szCs w:val="20"/>
              </w:rPr>
              <w:t>551 U.S. 701</w:t>
            </w:r>
          </w:p>
        </w:tc>
        <w:tc>
          <w:tcPr>
            <w:tcW w:w="306" w:type="pct"/>
            <w:textDirection w:val="tbRl"/>
            <w:vAlign w:val="center"/>
          </w:tcPr>
          <w:p w14:paraId="278DFABA" w14:textId="77777777" w:rsidR="00074551" w:rsidRPr="00E50B51" w:rsidRDefault="00074551" w:rsidP="00367133">
            <w:pPr>
              <w:ind w:left="113" w:right="113"/>
              <w:jc w:val="both"/>
              <w:rPr>
                <w:sz w:val="20"/>
                <w:szCs w:val="20"/>
              </w:rPr>
            </w:pPr>
            <w:r w:rsidRPr="00BE3728">
              <w:rPr>
                <w:sz w:val="20"/>
                <w:szCs w:val="20"/>
              </w:rPr>
              <w:t>28. Juni 2007</w:t>
            </w:r>
          </w:p>
        </w:tc>
        <w:tc>
          <w:tcPr>
            <w:tcW w:w="401" w:type="pct"/>
          </w:tcPr>
          <w:p w14:paraId="0CD878C1" w14:textId="77777777" w:rsidR="00074551" w:rsidRPr="00E50B51" w:rsidRDefault="00074551" w:rsidP="00367133">
            <w:pPr>
              <w:jc w:val="center"/>
              <w:rPr>
                <w:sz w:val="20"/>
                <w:szCs w:val="20"/>
                <w:lang w:val="en-US"/>
              </w:rPr>
            </w:pPr>
            <w:r w:rsidRPr="00BE3728">
              <w:rPr>
                <w:sz w:val="20"/>
                <w:szCs w:val="20"/>
                <w:lang w:val="en-US"/>
              </w:rPr>
              <w:t>C</w:t>
            </w:r>
          </w:p>
        </w:tc>
        <w:tc>
          <w:tcPr>
            <w:tcW w:w="1594" w:type="pct"/>
          </w:tcPr>
          <w:p w14:paraId="679D4D04"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hob die </w:t>
            </w:r>
            <w:proofErr w:type="spellStart"/>
            <w:r w:rsidRPr="00BE3728">
              <w:rPr>
                <w:sz w:val="20"/>
                <w:szCs w:val="20"/>
              </w:rPr>
              <w:t>vorinstanziellen</w:t>
            </w:r>
            <w:proofErr w:type="spellEnd"/>
            <w:r w:rsidRPr="00BE3728">
              <w:rPr>
                <w:sz w:val="20"/>
                <w:szCs w:val="20"/>
              </w:rPr>
              <w:t xml:space="preserve"> Urteile auf. Diese </w:t>
            </w:r>
            <w:r>
              <w:rPr>
                <w:sz w:val="20"/>
                <w:szCs w:val="20"/>
              </w:rPr>
              <w:t>hatten</w:t>
            </w:r>
            <w:r w:rsidRPr="00BE3728">
              <w:rPr>
                <w:sz w:val="20"/>
                <w:szCs w:val="20"/>
              </w:rPr>
              <w:t xml:space="preserve"> Zuweisungspläne der Schulbezirke</w:t>
            </w:r>
            <w:r>
              <w:rPr>
                <w:sz w:val="20"/>
                <w:szCs w:val="20"/>
              </w:rPr>
              <w:t xml:space="preserve"> bestätigt</w:t>
            </w:r>
            <w:r w:rsidRPr="00BE3728">
              <w:rPr>
                <w:sz w:val="20"/>
                <w:szCs w:val="20"/>
              </w:rPr>
              <w:t>, die auf Rassekriterien beruh</w:t>
            </w:r>
            <w:r>
              <w:rPr>
                <w:sz w:val="20"/>
                <w:szCs w:val="20"/>
              </w:rPr>
              <w:t>t</w:t>
            </w:r>
            <w:r w:rsidRPr="00BE3728">
              <w:rPr>
                <w:sz w:val="20"/>
                <w:szCs w:val="20"/>
              </w:rPr>
              <w:t xml:space="preserve">en. Der </w:t>
            </w:r>
            <w:r>
              <w:rPr>
                <w:sz w:val="20"/>
                <w:szCs w:val="20"/>
              </w:rPr>
              <w:t>U.S. Supreme Court</w:t>
            </w:r>
            <w:r w:rsidRPr="00BE3728">
              <w:rPr>
                <w:sz w:val="20"/>
                <w:szCs w:val="20"/>
              </w:rPr>
              <w:t xml:space="preserve"> erklärte die Zuweisungspläne für verfassungswidrig. Zunächst reichten in getrennten Fällen eine Elternvereinigung und ein Elternteil eines Schülers Klagen gegen ihre Schulbezirke ein. Sie fochten eine rassische Klassifikation an. Beide Schulbezirke planten, nachdem sie bei Zuweisungen den Wohnort berücksichtig</w:t>
            </w:r>
            <w:r>
              <w:rPr>
                <w:sz w:val="20"/>
                <w:szCs w:val="20"/>
              </w:rPr>
              <w:t>t hatt</w:t>
            </w:r>
            <w:r w:rsidRPr="00BE3728">
              <w:rPr>
                <w:sz w:val="20"/>
                <w:szCs w:val="20"/>
              </w:rPr>
              <w:t xml:space="preserve">en, die weiteren, noch verfügbaren Plätze nach der Rasse zu vergeben. Das Ziel sei, eine rassische Ausgewogenheit in den Schulen zu gewährleisten. Der </w:t>
            </w:r>
            <w:r>
              <w:rPr>
                <w:sz w:val="20"/>
                <w:szCs w:val="20"/>
              </w:rPr>
              <w:t>U.S. Supreme Court</w:t>
            </w:r>
            <w:r w:rsidRPr="00BE3728">
              <w:rPr>
                <w:sz w:val="20"/>
                <w:szCs w:val="20"/>
              </w:rPr>
              <w:t xml:space="preserve"> urteilte, dass die Bezirke damit den Schülern den gleichen Schutz verweigerten. Auf der anderen Seite konnten die Bezirke kein zwingendes Interesse an rassischer Vielfalt nachweisen. Denn ihre Pläne stützten sich auf eine rassische Klassifikation in einer kaum individualisierten, pauschalen Weise. Ein rassisches Ungleichgewicht in den Schulen sei an sich auch nicht verfassungswidrig. Weiterhin deutete die minimale Wirkung der Klassifizierungen auf die Zuweisungen darauf hin, dass andere Mittel effektiver für das Ziele der Vielfalt sein könnten. Rassische Klassifikationen sei</w:t>
            </w:r>
            <w:r>
              <w:rPr>
                <w:sz w:val="20"/>
                <w:szCs w:val="20"/>
              </w:rPr>
              <w:t>en</w:t>
            </w:r>
            <w:r w:rsidRPr="00BE3728">
              <w:rPr>
                <w:sz w:val="20"/>
                <w:szCs w:val="20"/>
              </w:rPr>
              <w:t xml:space="preserve"> damit nicht erforderlich.</w:t>
            </w:r>
            <w:r w:rsidRPr="00BE3728">
              <w:rPr>
                <w:rStyle w:val="Funotenzeichen"/>
                <w:sz w:val="20"/>
                <w:szCs w:val="20"/>
              </w:rPr>
              <w:footnoteReference w:id="1746"/>
            </w:r>
          </w:p>
        </w:tc>
        <w:tc>
          <w:tcPr>
            <w:tcW w:w="1822" w:type="pct"/>
          </w:tcPr>
          <w:p w14:paraId="18A0888B" w14:textId="77777777" w:rsidR="00074551" w:rsidRPr="00B45592" w:rsidRDefault="00074551" w:rsidP="00367133">
            <w:pPr>
              <w:jc w:val="both"/>
              <w:rPr>
                <w:i/>
                <w:sz w:val="20"/>
                <w:szCs w:val="20"/>
              </w:rPr>
            </w:pPr>
            <w:r w:rsidRPr="00B45592">
              <w:rPr>
                <w:i/>
                <w:sz w:val="20"/>
                <w:szCs w:val="20"/>
              </w:rPr>
              <w:t xml:space="preserve">LexisNexis-Klassifikation: Constitutional Law ›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 National Origin &amp; </w:t>
            </w:r>
            <w:proofErr w:type="spellStart"/>
            <w:r w:rsidRPr="00B45592">
              <w:rPr>
                <w:i/>
                <w:sz w:val="20"/>
                <w:szCs w:val="20"/>
              </w:rPr>
              <w:t>Race</w:t>
            </w:r>
            <w:proofErr w:type="spellEnd"/>
          </w:p>
          <w:p w14:paraId="61A2FA29" w14:textId="77777777" w:rsidR="00074551" w:rsidRPr="00B45592" w:rsidRDefault="00074551" w:rsidP="00367133">
            <w:pPr>
              <w:jc w:val="both"/>
              <w:rPr>
                <w:sz w:val="20"/>
                <w:szCs w:val="20"/>
              </w:rPr>
            </w:pPr>
          </w:p>
          <w:p w14:paraId="4463E38A"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erkennt bei der öffentlichen Bildung den Einsatz von Rassenklassifikationen </w:t>
            </w:r>
            <w:r>
              <w:rPr>
                <w:sz w:val="20"/>
                <w:szCs w:val="20"/>
              </w:rPr>
              <w:t xml:space="preserve">grundsätzlich </w:t>
            </w:r>
            <w:r w:rsidRPr="00BE3728">
              <w:rPr>
                <w:sz w:val="20"/>
                <w:szCs w:val="20"/>
              </w:rPr>
              <w:t>an. Dies diene vor allem zwingenden Interessen. Ein zwingendes Interesse bestehe darin, die Auswirkungen vergangener absichtlicher Diskriminierung zu beheben.</w:t>
            </w:r>
          </w:p>
          <w:p w14:paraId="471D0D82" w14:textId="77777777" w:rsidR="00074551" w:rsidRDefault="00074551" w:rsidP="00367133">
            <w:pPr>
              <w:jc w:val="both"/>
              <w:rPr>
                <w:sz w:val="20"/>
                <w:szCs w:val="20"/>
              </w:rPr>
            </w:pPr>
          </w:p>
          <w:p w14:paraId="409C0F0A" w14:textId="77777777" w:rsidR="00074551" w:rsidRPr="00BE3728" w:rsidRDefault="00074551" w:rsidP="00367133">
            <w:pPr>
              <w:jc w:val="both"/>
              <w:rPr>
                <w:sz w:val="20"/>
                <w:szCs w:val="20"/>
              </w:rPr>
            </w:pPr>
            <w:r w:rsidRPr="00BE3728">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 xml:space="preserve"> </w:t>
            </w:r>
            <w:r w:rsidRPr="00BE3728">
              <w:rPr>
                <w:sz w:val="20"/>
                <w:szCs w:val="20"/>
              </w:rPr>
              <w:t xml:space="preserve">erklärt das Prinzip der Selbstverwaltung – und wie es sich an Glück als Rechtsprinzip koppelt. Das Prinzip laute: Jeder Bundesstaat unter den Grundrechten und Freiheiten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solle selbst bestimmen, wie er die Polizeigewalt ausübe.</w:t>
            </w:r>
            <w:r w:rsidRPr="00BE3728">
              <w:rPr>
                <w:rStyle w:val="Funotenzeichen"/>
                <w:sz w:val="20"/>
                <w:szCs w:val="20"/>
              </w:rPr>
              <w:footnoteReference w:id="1747"/>
            </w:r>
            <w:r w:rsidRPr="00BE3728">
              <w:rPr>
                <w:sz w:val="20"/>
                <w:szCs w:val="20"/>
              </w:rPr>
              <w:t xml:space="preserve"> Denn die Selbstverwaltung in kommunalen Angelegenheiten sei wesentlich für den Frieden und das Glück eines jeden Ortes – und für die Stabilität des föderalen Systems („Local </w:t>
            </w:r>
            <w:proofErr w:type="spellStart"/>
            <w:r w:rsidRPr="00BE3728">
              <w:rPr>
                <w:sz w:val="20"/>
                <w:szCs w:val="20"/>
              </w:rPr>
              <w:t>self</w:t>
            </w:r>
            <w:proofErr w:type="spellEnd"/>
            <w:r w:rsidRPr="00BE3728">
              <w:rPr>
                <w:sz w:val="20"/>
                <w:szCs w:val="20"/>
              </w:rPr>
              <w:t xml:space="preserve">-government in </w:t>
            </w:r>
            <w:proofErr w:type="spellStart"/>
            <w:r w:rsidRPr="00BE3728">
              <w:rPr>
                <w:sz w:val="20"/>
                <w:szCs w:val="20"/>
              </w:rPr>
              <w:t>local</w:t>
            </w:r>
            <w:proofErr w:type="spellEnd"/>
            <w:r w:rsidRPr="00BE3728">
              <w:rPr>
                <w:sz w:val="20"/>
                <w:szCs w:val="20"/>
              </w:rPr>
              <w:t xml:space="preserve"> </w:t>
            </w:r>
            <w:proofErr w:type="spellStart"/>
            <w:r w:rsidRPr="00BE3728">
              <w:rPr>
                <w:sz w:val="20"/>
                <w:szCs w:val="20"/>
              </w:rPr>
              <w:t>affairs</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essential to the </w:t>
            </w:r>
            <w:proofErr w:type="spellStart"/>
            <w:r w:rsidRPr="00BE3728">
              <w:rPr>
                <w:sz w:val="20"/>
                <w:szCs w:val="20"/>
              </w:rPr>
              <w:t>peace</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each</w:t>
            </w:r>
            <w:proofErr w:type="spellEnd"/>
            <w:r w:rsidRPr="00BE3728">
              <w:rPr>
                <w:sz w:val="20"/>
                <w:szCs w:val="20"/>
              </w:rPr>
              <w:t xml:space="preserve"> </w:t>
            </w:r>
            <w:proofErr w:type="spellStart"/>
            <w:r w:rsidRPr="00BE3728">
              <w:rPr>
                <w:sz w:val="20"/>
                <w:szCs w:val="20"/>
              </w:rPr>
              <w:t>locality</w:t>
            </w:r>
            <w:proofErr w:type="spellEnd"/>
            <w:r w:rsidRPr="00BE3728">
              <w:rPr>
                <w:sz w:val="20"/>
                <w:szCs w:val="20"/>
              </w:rPr>
              <w:t xml:space="preserve"> and to the </w:t>
            </w:r>
            <w:proofErr w:type="spellStart"/>
            <w:r w:rsidRPr="00BE3728">
              <w:rPr>
                <w:sz w:val="20"/>
                <w:szCs w:val="20"/>
              </w:rPr>
              <w:t>strength</w:t>
            </w:r>
            <w:proofErr w:type="spellEnd"/>
            <w:r w:rsidRPr="00BE3728">
              <w:rPr>
                <w:sz w:val="20"/>
                <w:szCs w:val="20"/>
              </w:rPr>
              <w:t xml:space="preserve"> and </w:t>
            </w:r>
            <w:proofErr w:type="spellStart"/>
            <w:r w:rsidRPr="00BE3728">
              <w:rPr>
                <w:sz w:val="20"/>
                <w:szCs w:val="20"/>
              </w:rPr>
              <w:t>stability</w:t>
            </w:r>
            <w:proofErr w:type="spellEnd"/>
            <w:r w:rsidRPr="00BE3728">
              <w:rPr>
                <w:sz w:val="20"/>
                <w:szCs w:val="20"/>
              </w:rPr>
              <w:t xml:space="preserve"> of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whole</w:t>
            </w:r>
            <w:proofErr w:type="spellEnd"/>
            <w:r w:rsidRPr="00BE3728">
              <w:rPr>
                <w:sz w:val="20"/>
                <w:szCs w:val="20"/>
              </w:rPr>
              <w:t xml:space="preserve"> </w:t>
            </w:r>
            <w:proofErr w:type="spellStart"/>
            <w:r w:rsidRPr="00BE3728">
              <w:rPr>
                <w:sz w:val="20"/>
                <w:szCs w:val="20"/>
              </w:rPr>
              <w:t>federal</w:t>
            </w:r>
            <w:proofErr w:type="spellEnd"/>
            <w:r w:rsidRPr="00BE3728">
              <w:rPr>
                <w:sz w:val="20"/>
                <w:szCs w:val="20"/>
              </w:rPr>
              <w:t xml:space="preserve"> </w:t>
            </w:r>
            <w:proofErr w:type="spellStart"/>
            <w:r w:rsidRPr="00BE3728">
              <w:rPr>
                <w:sz w:val="20"/>
                <w:szCs w:val="20"/>
              </w:rPr>
              <w:t>system</w:t>
            </w:r>
            <w:proofErr w:type="spellEnd"/>
            <w:r w:rsidRPr="00BE3728">
              <w:rPr>
                <w:sz w:val="20"/>
                <w:szCs w:val="20"/>
              </w:rPr>
              <w:t>“</w:t>
            </w:r>
            <w:r w:rsidRPr="00BE3728">
              <w:rPr>
                <w:rStyle w:val="Funotenzeichen"/>
                <w:sz w:val="20"/>
                <w:szCs w:val="20"/>
              </w:rPr>
              <w:footnoteReference w:id="1748"/>
            </w:r>
            <w:r w:rsidRPr="00BE3728">
              <w:rPr>
                <w:sz w:val="20"/>
                <w:szCs w:val="20"/>
              </w:rPr>
              <w:t>).</w:t>
            </w:r>
          </w:p>
          <w:p w14:paraId="3DF9D22B" w14:textId="77777777" w:rsidR="00074551" w:rsidRPr="00BE3728" w:rsidRDefault="00074551" w:rsidP="00367133">
            <w:pPr>
              <w:jc w:val="both"/>
              <w:rPr>
                <w:sz w:val="20"/>
                <w:szCs w:val="20"/>
              </w:rPr>
            </w:pPr>
          </w:p>
          <w:p w14:paraId="340085CD" w14:textId="77777777" w:rsidR="00074551" w:rsidRDefault="00074551" w:rsidP="00367133">
            <w:pPr>
              <w:jc w:val="both"/>
              <w:rPr>
                <w:sz w:val="20"/>
                <w:szCs w:val="20"/>
              </w:rPr>
            </w:pPr>
            <w:r w:rsidRPr="00BE3728">
              <w:rPr>
                <w:sz w:val="20"/>
                <w:szCs w:val="20"/>
              </w:rPr>
              <w:t xml:space="preserve">Und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warf eine zweite Frage auf: Woran erkenn</w:t>
            </w:r>
            <w:r>
              <w:rPr>
                <w:sz w:val="20"/>
                <w:szCs w:val="20"/>
              </w:rPr>
              <w:t>e</w:t>
            </w:r>
            <w:r w:rsidRPr="00BE3728">
              <w:rPr>
                <w:sz w:val="20"/>
                <w:szCs w:val="20"/>
              </w:rPr>
              <w:t xml:space="preserve"> man</w:t>
            </w:r>
            <w:r>
              <w:rPr>
                <w:sz w:val="20"/>
                <w:szCs w:val="20"/>
              </w:rPr>
              <w:t xml:space="preserve"> dann</w:t>
            </w:r>
            <w:r w:rsidRPr="00BE3728">
              <w:rPr>
                <w:sz w:val="20"/>
                <w:szCs w:val="20"/>
              </w:rPr>
              <w:t xml:space="preserve">, dass eine rassische Klassifizierung unverhältnismäßig sei? Die Antwort: Wenn eine staatliche Maßnahme nicht im guten Glauben darauf abziele, die Gleichheit für Kinder herzustellen, unabhängig von Rasse oder Hautfarbe. Das </w:t>
            </w:r>
            <w:r>
              <w:rPr>
                <w:sz w:val="20"/>
                <w:szCs w:val="20"/>
              </w:rPr>
              <w:t>bedeutet</w:t>
            </w:r>
            <w:r w:rsidRPr="00BE3728">
              <w:rPr>
                <w:sz w:val="20"/>
                <w:szCs w:val="20"/>
              </w:rPr>
              <w:t xml:space="preserve">, zuvorderst </w:t>
            </w:r>
            <w:r>
              <w:rPr>
                <w:sz w:val="20"/>
                <w:szCs w:val="20"/>
              </w:rPr>
              <w:t xml:space="preserve">seien </w:t>
            </w:r>
            <w:r w:rsidRPr="00BE3728">
              <w:rPr>
                <w:sz w:val="20"/>
                <w:szCs w:val="20"/>
              </w:rPr>
              <w:t>das Glück, de</w:t>
            </w:r>
            <w:r>
              <w:rPr>
                <w:sz w:val="20"/>
                <w:szCs w:val="20"/>
              </w:rPr>
              <w:t>r</w:t>
            </w:r>
            <w:r w:rsidRPr="00BE3728">
              <w:rPr>
                <w:sz w:val="20"/>
                <w:szCs w:val="20"/>
              </w:rPr>
              <w:t xml:space="preserve"> Fortschritt und das Wohlergehen dieser Kinder zu fördern, auch wenn dies in einer getrennten Schule stattfinde („</w:t>
            </w:r>
            <w:r>
              <w:rPr>
                <w:sz w:val="20"/>
                <w:szCs w:val="20"/>
              </w:rPr>
              <w:t xml:space="preserve">the </w:t>
            </w:r>
            <w:proofErr w:type="spellStart"/>
            <w:r w:rsidRPr="00BE3728">
              <w:rPr>
                <w:sz w:val="20"/>
                <w:szCs w:val="20"/>
              </w:rPr>
              <w:t>happiness</w:t>
            </w:r>
            <w:proofErr w:type="spellEnd"/>
            <w:r w:rsidRPr="00BE3728">
              <w:rPr>
                <w:sz w:val="20"/>
                <w:szCs w:val="20"/>
              </w:rPr>
              <w:t xml:space="preserve">, the </w:t>
            </w:r>
            <w:proofErr w:type="spellStart"/>
            <w:r w:rsidRPr="00BE3728">
              <w:rPr>
                <w:sz w:val="20"/>
                <w:szCs w:val="20"/>
              </w:rPr>
              <w:t>progress</w:t>
            </w:r>
            <w:proofErr w:type="spellEnd"/>
            <w:r w:rsidRPr="00BE3728">
              <w:rPr>
                <w:sz w:val="20"/>
                <w:szCs w:val="20"/>
              </w:rPr>
              <w:t xml:space="preserve"> and the </w:t>
            </w:r>
            <w:proofErr w:type="spellStart"/>
            <w:r w:rsidRPr="00BE3728">
              <w:rPr>
                <w:sz w:val="20"/>
                <w:szCs w:val="20"/>
              </w:rPr>
              <w:t>welfare</w:t>
            </w:r>
            <w:proofErr w:type="spellEnd"/>
            <w:r w:rsidRPr="00BE3728">
              <w:rPr>
                <w:sz w:val="20"/>
                <w:szCs w:val="20"/>
              </w:rPr>
              <w:t xml:space="preserve"> of </w:t>
            </w:r>
            <w:proofErr w:type="spellStart"/>
            <w:r w:rsidRPr="00BE3728">
              <w:rPr>
                <w:sz w:val="20"/>
                <w:szCs w:val="20"/>
              </w:rPr>
              <w:t>these</w:t>
            </w:r>
            <w:proofErr w:type="spellEnd"/>
            <w:r w:rsidRPr="00BE3728">
              <w:rPr>
                <w:sz w:val="20"/>
                <w:szCs w:val="20"/>
              </w:rPr>
              <w:t xml:space="preserve"> </w:t>
            </w:r>
            <w:proofErr w:type="spellStart"/>
            <w:r w:rsidRPr="00BE3728">
              <w:rPr>
                <w:sz w:val="20"/>
                <w:szCs w:val="20"/>
              </w:rPr>
              <w:t>children</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w:t>
            </w:r>
            <w:proofErr w:type="spellStart"/>
            <w:r w:rsidRPr="00BE3728">
              <w:rPr>
                <w:sz w:val="20"/>
                <w:szCs w:val="20"/>
              </w:rPr>
              <w:t>best</w:t>
            </w:r>
            <w:proofErr w:type="spellEnd"/>
            <w:r w:rsidRPr="00BE3728">
              <w:rPr>
                <w:sz w:val="20"/>
                <w:szCs w:val="20"/>
              </w:rPr>
              <w:t xml:space="preserve"> </w:t>
            </w:r>
            <w:proofErr w:type="spellStart"/>
            <w:r w:rsidRPr="00BE3728">
              <w:rPr>
                <w:sz w:val="20"/>
                <w:szCs w:val="20"/>
              </w:rPr>
              <w:t>promoted</w:t>
            </w:r>
            <w:proofErr w:type="spellEnd"/>
            <w:r w:rsidRPr="00BE3728">
              <w:rPr>
                <w:sz w:val="20"/>
                <w:szCs w:val="20"/>
              </w:rPr>
              <w:t>“</w:t>
            </w:r>
            <w:r w:rsidRPr="00BE3728">
              <w:rPr>
                <w:rStyle w:val="Funotenzeichen"/>
                <w:sz w:val="20"/>
                <w:szCs w:val="20"/>
              </w:rPr>
              <w:footnoteReference w:id="1749"/>
            </w:r>
            <w:r w:rsidRPr="00BE3728">
              <w:rPr>
                <w:sz w:val="20"/>
                <w:szCs w:val="20"/>
              </w:rPr>
              <w:t>).</w:t>
            </w:r>
          </w:p>
          <w:p w14:paraId="1319DC92" w14:textId="77777777" w:rsidR="00074551" w:rsidRPr="00E50B51" w:rsidRDefault="00074551" w:rsidP="00367133">
            <w:pPr>
              <w:jc w:val="both"/>
              <w:rPr>
                <w:sz w:val="20"/>
                <w:szCs w:val="20"/>
              </w:rPr>
            </w:pPr>
          </w:p>
        </w:tc>
      </w:tr>
      <w:tr w:rsidR="00074551" w:rsidRPr="005E3B68" w14:paraId="362CE852" w14:textId="77777777" w:rsidTr="00BE689F">
        <w:trPr>
          <w:cantSplit/>
          <w:trHeight w:val="3175"/>
        </w:trPr>
        <w:tc>
          <w:tcPr>
            <w:tcW w:w="293" w:type="pct"/>
          </w:tcPr>
          <w:p w14:paraId="55E8DC87"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6160F9E9" w14:textId="77777777" w:rsidR="00074551" w:rsidRPr="00BE3728"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60605BCD" w14:textId="77777777" w:rsidR="00074551" w:rsidRPr="00BE3728" w:rsidRDefault="00074551" w:rsidP="00367133">
            <w:pPr>
              <w:ind w:left="113" w:right="416"/>
              <w:jc w:val="both"/>
              <w:rPr>
                <w:sz w:val="20"/>
                <w:szCs w:val="20"/>
                <w:lang w:val="en-US"/>
              </w:rPr>
            </w:pPr>
            <w:r w:rsidRPr="00A15962">
              <w:rPr>
                <w:i/>
                <w:sz w:val="20"/>
                <w:szCs w:val="20"/>
              </w:rPr>
              <w:t>Barbier v. Connolly</w:t>
            </w:r>
          </w:p>
        </w:tc>
        <w:tc>
          <w:tcPr>
            <w:tcW w:w="197" w:type="pct"/>
            <w:textDirection w:val="tbRl"/>
            <w:vAlign w:val="center"/>
          </w:tcPr>
          <w:p w14:paraId="6BAEA07C" w14:textId="77777777" w:rsidR="00074551" w:rsidRPr="00BE3728" w:rsidRDefault="00074551" w:rsidP="00367133">
            <w:pPr>
              <w:ind w:left="113" w:right="113"/>
              <w:jc w:val="both"/>
              <w:rPr>
                <w:sz w:val="20"/>
                <w:szCs w:val="20"/>
              </w:rPr>
            </w:pPr>
            <w:r w:rsidRPr="00257307">
              <w:rPr>
                <w:sz w:val="20"/>
                <w:szCs w:val="20"/>
              </w:rPr>
              <w:t>113 U.S. 27</w:t>
            </w:r>
          </w:p>
        </w:tc>
        <w:tc>
          <w:tcPr>
            <w:tcW w:w="306" w:type="pct"/>
            <w:textDirection w:val="tbRl"/>
            <w:vAlign w:val="center"/>
          </w:tcPr>
          <w:p w14:paraId="254FAD29" w14:textId="77777777" w:rsidR="00074551" w:rsidRPr="00BE3728" w:rsidRDefault="00074551" w:rsidP="00367133">
            <w:pPr>
              <w:ind w:left="113" w:right="113"/>
              <w:jc w:val="both"/>
              <w:rPr>
                <w:sz w:val="20"/>
                <w:szCs w:val="20"/>
              </w:rPr>
            </w:pPr>
            <w:r>
              <w:rPr>
                <w:sz w:val="20"/>
                <w:szCs w:val="20"/>
                <w:lang w:val="en-US"/>
              </w:rPr>
              <w:t xml:space="preserve">5. </w:t>
            </w:r>
            <w:proofErr w:type="spellStart"/>
            <w:r>
              <w:rPr>
                <w:sz w:val="20"/>
                <w:szCs w:val="20"/>
                <w:lang w:val="en-US"/>
              </w:rPr>
              <w:t>Januar</w:t>
            </w:r>
            <w:proofErr w:type="spellEnd"/>
            <w:r>
              <w:rPr>
                <w:sz w:val="20"/>
                <w:szCs w:val="20"/>
                <w:lang w:val="en-US"/>
              </w:rPr>
              <w:t xml:space="preserve"> 1885</w:t>
            </w:r>
          </w:p>
        </w:tc>
        <w:tc>
          <w:tcPr>
            <w:tcW w:w="401" w:type="pct"/>
          </w:tcPr>
          <w:p w14:paraId="7CB2B7F6" w14:textId="77777777" w:rsidR="00074551" w:rsidRPr="00BE3728" w:rsidRDefault="00074551" w:rsidP="00367133">
            <w:pPr>
              <w:jc w:val="center"/>
              <w:rPr>
                <w:sz w:val="20"/>
                <w:szCs w:val="20"/>
                <w:lang w:val="en-US"/>
              </w:rPr>
            </w:pPr>
            <w:r>
              <w:rPr>
                <w:sz w:val="20"/>
                <w:szCs w:val="20"/>
                <w:lang w:val="en-US"/>
              </w:rPr>
              <w:t>M</w:t>
            </w:r>
          </w:p>
        </w:tc>
        <w:tc>
          <w:tcPr>
            <w:tcW w:w="1594" w:type="pct"/>
          </w:tcPr>
          <w:p w14:paraId="6F484FCD" w14:textId="612A6F00" w:rsidR="00074551" w:rsidRPr="00BE3728" w:rsidRDefault="00074551" w:rsidP="00367133">
            <w:pPr>
              <w:jc w:val="both"/>
              <w:rPr>
                <w:sz w:val="20"/>
                <w:szCs w:val="20"/>
              </w:rPr>
            </w:pPr>
            <w:r w:rsidRPr="000B433D">
              <w:rPr>
                <w:sz w:val="20"/>
                <w:szCs w:val="20"/>
              </w:rPr>
              <w:t xml:space="preserve">Der </w:t>
            </w:r>
            <w:r>
              <w:rPr>
                <w:sz w:val="20"/>
                <w:szCs w:val="20"/>
              </w:rPr>
              <w:t>U.S. Supreme Court</w:t>
            </w:r>
            <w:r w:rsidRPr="000B433D">
              <w:rPr>
                <w:sz w:val="20"/>
                <w:szCs w:val="20"/>
              </w:rPr>
              <w:t xml:space="preserve"> bestätigte die </w:t>
            </w:r>
            <w:proofErr w:type="spellStart"/>
            <w:r>
              <w:rPr>
                <w:sz w:val="20"/>
                <w:szCs w:val="20"/>
              </w:rPr>
              <w:t>vor</w:t>
            </w:r>
            <w:r w:rsidRPr="000B433D">
              <w:rPr>
                <w:sz w:val="20"/>
                <w:szCs w:val="20"/>
              </w:rPr>
              <w:t>instanzielle</w:t>
            </w:r>
            <w:proofErr w:type="spellEnd"/>
            <w:r w:rsidRPr="000B433D">
              <w:rPr>
                <w:sz w:val="20"/>
                <w:szCs w:val="20"/>
              </w:rPr>
              <w:t xml:space="preserve"> Entscheidung.</w:t>
            </w:r>
            <w:r>
              <w:rPr>
                <w:sz w:val="20"/>
                <w:szCs w:val="20"/>
              </w:rPr>
              <w:t xml:space="preserve"> Ein Häftling hatte gegen</w:t>
            </w:r>
            <w:r w:rsidRPr="000B433D">
              <w:rPr>
                <w:sz w:val="20"/>
                <w:szCs w:val="20"/>
              </w:rPr>
              <w:t xml:space="preserve"> die </w:t>
            </w:r>
            <w:r>
              <w:rPr>
                <w:sz w:val="20"/>
                <w:szCs w:val="20"/>
              </w:rPr>
              <w:t xml:space="preserve">Stadt </w:t>
            </w:r>
            <w:r w:rsidRPr="000B433D">
              <w:rPr>
                <w:sz w:val="20"/>
                <w:szCs w:val="20"/>
              </w:rPr>
              <w:t>San Francisco</w:t>
            </w:r>
            <w:r>
              <w:rPr>
                <w:sz w:val="20"/>
                <w:szCs w:val="20"/>
              </w:rPr>
              <w:t xml:space="preserve"> geklagt. </w:t>
            </w:r>
            <w:r w:rsidRPr="00B45592">
              <w:rPr>
                <w:sz w:val="20"/>
                <w:szCs w:val="20"/>
              </w:rPr>
              <w:t xml:space="preserve">Er beantragte die Überprüfung eines Urteils des </w:t>
            </w:r>
            <w:r w:rsidRPr="5B67C1D2">
              <w:rPr>
                <w:i/>
                <w:iCs/>
                <w:sz w:val="20"/>
                <w:szCs w:val="20"/>
              </w:rPr>
              <w:t>Superior Court of the City and County of San Francisco</w:t>
            </w:r>
            <w:r w:rsidRPr="00B45592">
              <w:rPr>
                <w:sz w:val="20"/>
                <w:szCs w:val="20"/>
              </w:rPr>
              <w:t xml:space="preserve">. </w:t>
            </w:r>
            <w:r>
              <w:rPr>
                <w:sz w:val="20"/>
                <w:szCs w:val="20"/>
              </w:rPr>
              <w:t>Dieser</w:t>
            </w:r>
            <w:r w:rsidRPr="000B433D">
              <w:rPr>
                <w:sz w:val="20"/>
                <w:szCs w:val="20"/>
              </w:rPr>
              <w:t xml:space="preserve"> </w:t>
            </w:r>
            <w:r>
              <w:rPr>
                <w:sz w:val="20"/>
                <w:szCs w:val="20"/>
              </w:rPr>
              <w:t xml:space="preserve">hatte </w:t>
            </w:r>
            <w:r w:rsidRPr="000B433D">
              <w:rPr>
                <w:sz w:val="20"/>
                <w:szCs w:val="20"/>
              </w:rPr>
              <w:t>sein Habeas-Corpus</w:t>
            </w:r>
            <w:r>
              <w:rPr>
                <w:sz w:val="20"/>
                <w:szCs w:val="20"/>
              </w:rPr>
              <w:t>-Begehren abgelehnt</w:t>
            </w:r>
            <w:r w:rsidRPr="000B433D">
              <w:rPr>
                <w:sz w:val="20"/>
                <w:szCs w:val="20"/>
              </w:rPr>
              <w:t xml:space="preserve">. </w:t>
            </w:r>
            <w:r>
              <w:rPr>
                <w:sz w:val="20"/>
                <w:szCs w:val="20"/>
              </w:rPr>
              <w:t>Ursächlich wurde der</w:t>
            </w:r>
            <w:r w:rsidRPr="000B433D">
              <w:rPr>
                <w:sz w:val="20"/>
                <w:szCs w:val="20"/>
              </w:rPr>
              <w:t xml:space="preserve"> Häftling wegen des Verstoßes gegen eine Verordnung</w:t>
            </w:r>
            <w:r>
              <w:rPr>
                <w:rStyle w:val="Funotenzeichen"/>
                <w:sz w:val="20"/>
                <w:szCs w:val="20"/>
              </w:rPr>
              <w:footnoteReference w:id="1750"/>
            </w:r>
            <w:r w:rsidRPr="000B433D">
              <w:rPr>
                <w:sz w:val="20"/>
                <w:szCs w:val="20"/>
              </w:rPr>
              <w:t xml:space="preserve"> verurteilt, die die Betriebszeiten öffentlicher Wäschereien beschränkte. Die Verordnung untersag</w:t>
            </w:r>
            <w:r>
              <w:rPr>
                <w:sz w:val="20"/>
                <w:szCs w:val="20"/>
              </w:rPr>
              <w:t>t</w:t>
            </w:r>
            <w:r w:rsidRPr="000B433D">
              <w:rPr>
                <w:sz w:val="20"/>
                <w:szCs w:val="20"/>
              </w:rPr>
              <w:t xml:space="preserve">e </w:t>
            </w:r>
            <w:r>
              <w:rPr>
                <w:sz w:val="20"/>
                <w:szCs w:val="20"/>
              </w:rPr>
              <w:t xml:space="preserve">grundsätzlich </w:t>
            </w:r>
            <w:r w:rsidRPr="000B433D">
              <w:rPr>
                <w:sz w:val="20"/>
                <w:szCs w:val="20"/>
              </w:rPr>
              <w:t>das Waschen und Bügeln von Kleidung in öffentlichen Wäschereien zwischen 22 Uhr und 6 Uhr morgens</w:t>
            </w:r>
            <w:r>
              <w:rPr>
                <w:sz w:val="20"/>
                <w:szCs w:val="20"/>
              </w:rPr>
              <w:t xml:space="preserve">, außer es lagen </w:t>
            </w:r>
            <w:r w:rsidRPr="000B433D">
              <w:rPr>
                <w:sz w:val="20"/>
                <w:szCs w:val="20"/>
              </w:rPr>
              <w:t>Feuer- und Gesundheitszertifikate</w:t>
            </w:r>
            <w:r>
              <w:rPr>
                <w:sz w:val="20"/>
                <w:szCs w:val="20"/>
              </w:rPr>
              <w:t xml:space="preserve"> vor</w:t>
            </w:r>
            <w:r w:rsidRPr="000B433D">
              <w:rPr>
                <w:sz w:val="20"/>
                <w:szCs w:val="20"/>
              </w:rPr>
              <w:t xml:space="preserve">. </w:t>
            </w:r>
            <w:r>
              <w:rPr>
                <w:sz w:val="20"/>
                <w:szCs w:val="20"/>
              </w:rPr>
              <w:t>Der Kläger</w:t>
            </w:r>
            <w:r w:rsidRPr="000B433D">
              <w:rPr>
                <w:sz w:val="20"/>
                <w:szCs w:val="20"/>
              </w:rPr>
              <w:t xml:space="preserve"> </w:t>
            </w:r>
            <w:r>
              <w:rPr>
                <w:sz w:val="20"/>
                <w:szCs w:val="20"/>
              </w:rPr>
              <w:t>meinte nun</w:t>
            </w:r>
            <w:r w:rsidRPr="000B433D">
              <w:rPr>
                <w:sz w:val="20"/>
                <w:szCs w:val="20"/>
              </w:rPr>
              <w:t xml:space="preserve">, die Verordnung verletze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Denn </w:t>
            </w:r>
            <w:r w:rsidRPr="000B433D">
              <w:rPr>
                <w:sz w:val="20"/>
                <w:szCs w:val="20"/>
              </w:rPr>
              <w:t xml:space="preserve">sie </w:t>
            </w:r>
            <w:r>
              <w:rPr>
                <w:sz w:val="20"/>
                <w:szCs w:val="20"/>
              </w:rPr>
              <w:t>diskriminiere</w:t>
            </w:r>
            <w:r w:rsidRPr="000B433D">
              <w:rPr>
                <w:sz w:val="20"/>
                <w:szCs w:val="20"/>
              </w:rPr>
              <w:t xml:space="preserve"> Wäschearbeiter </w:t>
            </w:r>
            <w:r>
              <w:rPr>
                <w:sz w:val="20"/>
                <w:szCs w:val="20"/>
              </w:rPr>
              <w:t xml:space="preserve">gegenüber </w:t>
            </w:r>
            <w:r w:rsidRPr="000B433D">
              <w:rPr>
                <w:sz w:val="20"/>
                <w:szCs w:val="20"/>
              </w:rPr>
              <w:t>anderen Arbeite</w:t>
            </w:r>
            <w:r>
              <w:rPr>
                <w:sz w:val="20"/>
                <w:szCs w:val="20"/>
              </w:rPr>
              <w:t xml:space="preserve">rn, </w:t>
            </w:r>
            <w:r w:rsidRPr="000B433D">
              <w:rPr>
                <w:sz w:val="20"/>
                <w:szCs w:val="20"/>
              </w:rPr>
              <w:t>das Recht auf Arbeit</w:t>
            </w:r>
            <w:r>
              <w:rPr>
                <w:sz w:val="20"/>
                <w:szCs w:val="20"/>
              </w:rPr>
              <w:t xml:space="preserve"> sei genommen sowie </w:t>
            </w:r>
            <w:r w:rsidRPr="000B433D">
              <w:rPr>
                <w:sz w:val="20"/>
                <w:szCs w:val="20"/>
              </w:rPr>
              <w:t>Eigentum entz</w:t>
            </w:r>
            <w:r>
              <w:rPr>
                <w:sz w:val="20"/>
                <w:szCs w:val="20"/>
              </w:rPr>
              <w:t>ogen; zudem sei die Verordnung auch unangemessen</w:t>
            </w:r>
            <w:r w:rsidRPr="000B433D">
              <w:rPr>
                <w:sz w:val="20"/>
                <w:szCs w:val="20"/>
              </w:rPr>
              <w:t xml:space="preserve">. </w:t>
            </w:r>
            <w:r>
              <w:rPr>
                <w:sz w:val="20"/>
                <w:szCs w:val="20"/>
              </w:rPr>
              <w:t xml:space="preserve">Doch der U.S. Supreme Court </w:t>
            </w:r>
            <w:r w:rsidRPr="000B433D">
              <w:rPr>
                <w:sz w:val="20"/>
                <w:szCs w:val="20"/>
              </w:rPr>
              <w:t>entschied, dass die Verordnung nicht diskriminiere</w:t>
            </w:r>
            <w:r>
              <w:rPr>
                <w:sz w:val="20"/>
                <w:szCs w:val="20"/>
              </w:rPr>
              <w:t xml:space="preserve">. Denn </w:t>
            </w:r>
            <w:r w:rsidRPr="000B433D">
              <w:rPr>
                <w:sz w:val="20"/>
                <w:szCs w:val="20"/>
              </w:rPr>
              <w:t xml:space="preserve">sie </w:t>
            </w:r>
            <w:r>
              <w:rPr>
                <w:sz w:val="20"/>
                <w:szCs w:val="20"/>
              </w:rPr>
              <w:t xml:space="preserve">gelte </w:t>
            </w:r>
            <w:r w:rsidRPr="000B433D">
              <w:rPr>
                <w:sz w:val="20"/>
                <w:szCs w:val="20"/>
              </w:rPr>
              <w:t xml:space="preserve">für alle Personen im Wäschegeschäft gleichermaßen. </w:t>
            </w:r>
            <w:r>
              <w:rPr>
                <w:sz w:val="20"/>
                <w:szCs w:val="20"/>
              </w:rPr>
              <w:t>O</w:t>
            </w:r>
            <w:r w:rsidRPr="000B433D">
              <w:rPr>
                <w:sz w:val="20"/>
                <w:szCs w:val="20"/>
              </w:rPr>
              <w:t xml:space="preserve">bwohl die Verordnung die Arbeitsmöglichkeit des </w:t>
            </w:r>
            <w:r>
              <w:rPr>
                <w:sz w:val="20"/>
                <w:szCs w:val="20"/>
              </w:rPr>
              <w:t xml:space="preserve">Klägers </w:t>
            </w:r>
            <w:r w:rsidRPr="000B433D">
              <w:rPr>
                <w:sz w:val="20"/>
                <w:szCs w:val="20"/>
              </w:rPr>
              <w:t xml:space="preserve">über Nacht einschränke, verletze sie nicht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B433D">
              <w:rPr>
                <w:sz w:val="20"/>
                <w:szCs w:val="20"/>
              </w:rPr>
              <w:t xml:space="preserve"> </w:t>
            </w:r>
            <w:r>
              <w:rPr>
                <w:sz w:val="20"/>
                <w:szCs w:val="20"/>
              </w:rPr>
              <w:t>Denn sie fördere</w:t>
            </w:r>
            <w:r w:rsidRPr="000B433D">
              <w:rPr>
                <w:sz w:val="20"/>
                <w:szCs w:val="20"/>
              </w:rPr>
              <w:t xml:space="preserve"> das</w:t>
            </w:r>
            <w:r>
              <w:rPr>
                <w:sz w:val="20"/>
                <w:szCs w:val="20"/>
              </w:rPr>
              <w:t xml:space="preserve"> Allgemeinwohl, hier u.a. den Brandschutz. Zudem falle die</w:t>
            </w:r>
            <w:r w:rsidRPr="000B433D">
              <w:rPr>
                <w:sz w:val="20"/>
                <w:szCs w:val="20"/>
              </w:rPr>
              <w:t xml:space="preserve"> Verordnung </w:t>
            </w:r>
            <w:r>
              <w:rPr>
                <w:sz w:val="20"/>
                <w:szCs w:val="20"/>
              </w:rPr>
              <w:t xml:space="preserve">unter die </w:t>
            </w:r>
            <w:r w:rsidRPr="000B433D">
              <w:rPr>
                <w:sz w:val="20"/>
                <w:szCs w:val="20"/>
              </w:rPr>
              <w:t>Polizeigewalt der Stadt</w:t>
            </w:r>
            <w:r>
              <w:rPr>
                <w:sz w:val="20"/>
                <w:szCs w:val="20"/>
              </w:rPr>
              <w:t>, sie sei daher auch nicht unangemessen.</w:t>
            </w:r>
          </w:p>
        </w:tc>
        <w:tc>
          <w:tcPr>
            <w:tcW w:w="1822" w:type="pct"/>
          </w:tcPr>
          <w:p w14:paraId="442A59D8"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&gt; Nature &amp; Scope of </w:t>
            </w:r>
            <w:proofErr w:type="spellStart"/>
            <w:r w:rsidRPr="00B45592">
              <w:rPr>
                <w:i/>
                <w:sz w:val="20"/>
                <w:szCs w:val="20"/>
              </w:rPr>
              <w:t>Protection</w:t>
            </w:r>
            <w:proofErr w:type="spellEnd"/>
          </w:p>
          <w:p w14:paraId="27C57C60" w14:textId="77777777" w:rsidR="00074551" w:rsidRPr="00B45592" w:rsidRDefault="00074551" w:rsidP="00367133">
            <w:pPr>
              <w:rPr>
                <w:sz w:val="20"/>
                <w:szCs w:val="20"/>
              </w:rPr>
            </w:pPr>
          </w:p>
          <w:p w14:paraId="5E413E99" w14:textId="4993A046" w:rsidR="00074551" w:rsidRDefault="00074551" w:rsidP="00367133">
            <w:pPr>
              <w:jc w:val="both"/>
              <w:rPr>
                <w:sz w:val="20"/>
                <w:szCs w:val="20"/>
              </w:rPr>
            </w:pPr>
            <w:r w:rsidRPr="0073060B">
              <w:rPr>
                <w:sz w:val="20"/>
                <w:szCs w:val="20"/>
              </w:rPr>
              <w:t>Die folgende Gesetzgebung diskriminiere nicht: Eine Verordnung untersag</w:t>
            </w:r>
            <w:r>
              <w:rPr>
                <w:sz w:val="20"/>
                <w:szCs w:val="20"/>
              </w:rPr>
              <w:t>t</w:t>
            </w:r>
            <w:r w:rsidRPr="0073060B">
              <w:rPr>
                <w:sz w:val="20"/>
                <w:szCs w:val="20"/>
              </w:rPr>
              <w:t>e grundsätzlich das Waschen und Bügeln von Kleidung in öffentlichen Wäschereien zwischen 22 Uhr und 6 Uhr morgens; außer es lägen Feuer- und Gesundheitszertifikate</w:t>
            </w:r>
            <w:r w:rsidRPr="0018316F">
              <w:rPr>
                <w:sz w:val="20"/>
                <w:szCs w:val="20"/>
              </w:rPr>
              <w:t xml:space="preserve"> vor</w:t>
            </w:r>
            <w:r w:rsidRPr="0073060B">
              <w:rPr>
                <w:sz w:val="20"/>
                <w:szCs w:val="20"/>
              </w:rPr>
              <w:t xml:space="preserve">. Denn alle Personen, die im selben Geschäftszweig </w:t>
            </w:r>
            <w:r w:rsidRPr="0018316F">
              <w:rPr>
                <w:sz w:val="20"/>
                <w:szCs w:val="20"/>
              </w:rPr>
              <w:t xml:space="preserve">tätig </w:t>
            </w:r>
            <w:r>
              <w:rPr>
                <w:sz w:val="20"/>
                <w:szCs w:val="20"/>
              </w:rPr>
              <w:t>waren</w:t>
            </w:r>
            <w:r w:rsidRPr="0018316F">
              <w:rPr>
                <w:sz w:val="20"/>
                <w:szCs w:val="20"/>
              </w:rPr>
              <w:t xml:space="preserve">, </w:t>
            </w:r>
            <w:r w:rsidRPr="0073060B">
              <w:rPr>
                <w:sz w:val="20"/>
                <w:szCs w:val="20"/>
              </w:rPr>
              <w:t>w</w:t>
            </w:r>
            <w:r>
              <w:rPr>
                <w:sz w:val="20"/>
                <w:szCs w:val="20"/>
              </w:rPr>
              <w:t>u</w:t>
            </w:r>
            <w:r w:rsidRPr="0073060B">
              <w:rPr>
                <w:sz w:val="20"/>
                <w:szCs w:val="20"/>
              </w:rPr>
              <w:t xml:space="preserve">rden </w:t>
            </w:r>
            <w:r w:rsidRPr="0018316F">
              <w:rPr>
                <w:sz w:val="20"/>
                <w:szCs w:val="20"/>
              </w:rPr>
              <w:t>mit dieser Gesetzgebung gleichbehandelt</w:t>
            </w:r>
            <w:r w:rsidRPr="0073060B">
              <w:rPr>
                <w:sz w:val="20"/>
                <w:szCs w:val="20"/>
              </w:rPr>
              <w:t xml:space="preserve">. </w:t>
            </w:r>
            <w:r w:rsidRPr="0018316F">
              <w:rPr>
                <w:sz w:val="20"/>
                <w:szCs w:val="20"/>
              </w:rPr>
              <w:t>Personen eines Geschäftszweigs</w:t>
            </w:r>
            <w:r w:rsidRPr="0073060B">
              <w:rPr>
                <w:sz w:val="20"/>
                <w:szCs w:val="20"/>
              </w:rPr>
              <w:t xml:space="preserve"> unterl</w:t>
            </w:r>
            <w:r>
              <w:rPr>
                <w:sz w:val="20"/>
                <w:szCs w:val="20"/>
              </w:rPr>
              <w:t>a</w:t>
            </w:r>
            <w:r w:rsidRPr="0073060B">
              <w:rPr>
                <w:sz w:val="20"/>
                <w:szCs w:val="20"/>
              </w:rPr>
              <w:t>gen denselben Einschränkungen und ha</w:t>
            </w:r>
            <w:r>
              <w:rPr>
                <w:sz w:val="20"/>
                <w:szCs w:val="20"/>
              </w:rPr>
              <w:t>tt</w:t>
            </w:r>
            <w:r w:rsidRPr="0073060B">
              <w:rPr>
                <w:sz w:val="20"/>
                <w:szCs w:val="20"/>
              </w:rPr>
              <w:t xml:space="preserve">en Anspruch auf dieselben Vorrechte.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73060B">
              <w:rPr>
                <w:sz w:val="20"/>
                <w:szCs w:val="20"/>
              </w:rPr>
              <w:t xml:space="preserve"> erklärt</w:t>
            </w:r>
            <w:r>
              <w:rPr>
                <w:sz w:val="20"/>
                <w:szCs w:val="20"/>
              </w:rPr>
              <w:t>e</w:t>
            </w:r>
            <w:r w:rsidRPr="0018316F">
              <w:rPr>
                <w:sz w:val="20"/>
                <w:szCs w:val="20"/>
              </w:rPr>
              <w:t xml:space="preserve"> dann</w:t>
            </w:r>
            <w:r w:rsidRPr="0073060B">
              <w:rPr>
                <w:sz w:val="20"/>
                <w:szCs w:val="20"/>
              </w:rPr>
              <w:t>, wann Diskriminierung vorl</w:t>
            </w:r>
            <w:r w:rsidRPr="0018316F">
              <w:rPr>
                <w:sz w:val="20"/>
                <w:szCs w:val="20"/>
              </w:rPr>
              <w:t>iegen könne</w:t>
            </w:r>
            <w:r w:rsidRPr="0073060B">
              <w:rPr>
                <w:sz w:val="20"/>
                <w:szCs w:val="20"/>
              </w:rPr>
              <w:t xml:space="preserve"> – und zwar anhand des Regelungsgehalts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73060B">
              <w:rPr>
                <w:sz w:val="20"/>
                <w:szCs w:val="20"/>
              </w:rPr>
              <w:t xml:space="preserve"> Sein Wortlaut setz</w:t>
            </w:r>
            <w:r>
              <w:rPr>
                <w:sz w:val="20"/>
                <w:szCs w:val="20"/>
              </w:rPr>
              <w:t>e</w:t>
            </w:r>
            <w:r w:rsidRPr="0073060B">
              <w:rPr>
                <w:sz w:val="20"/>
                <w:szCs w:val="20"/>
              </w:rPr>
              <w:t xml:space="preserve"> zunächst nur voraus: Keine staatliche Maßnahme dürfe einer Person das Leben, die Freiheit oder das Eigentum ohne ein rechtsstaatliches Verfahren entziehen oder einer Person innerhalb seiner Zuständigkeit den gleichen Schutz der Gesetze verweigern.</w:t>
            </w:r>
            <w:r w:rsidRPr="0073060B">
              <w:rPr>
                <w:sz w:val="20"/>
                <w:szCs w:val="20"/>
                <w:vertAlign w:val="superscript"/>
              </w:rPr>
              <w:footnoteReference w:id="1751"/>
            </w:r>
            <w:r w:rsidRPr="0073060B">
              <w:rPr>
                <w:sz w:val="20"/>
                <w:szCs w:val="20"/>
              </w:rPr>
              <w:t xml:space="preserve"> Aber der Regelungsgehalt ende dort nicht. Denn </w:t>
            </w:r>
            <w:r>
              <w:rPr>
                <w:sz w:val="20"/>
                <w:szCs w:val="20"/>
              </w:rPr>
              <w:t>dieser</w:t>
            </w:r>
            <w:r w:rsidRPr="0073060B">
              <w:rPr>
                <w:sz w:val="20"/>
                <w:szCs w:val="20"/>
              </w:rPr>
              <w:t xml:space="preserve"> beabsichtige nicht nur, dass staatliche Maßnahmen Leben, Freiheit oder Eigentum nicht willkürlich entziehen sollten. Sondern er beabsichtige auch, unter gleichen Umständen allen den gleichen Schutz und die gleiche Sicherheit bei der Ausübung ihrer persönlichen und bürgerlichen Rechte zu gewähren. Doch woher stammt dieser Regelungsgehalt? Aus dem unveräußerlichen Recht, dass alle Menschen gleichermaßen das Recht haben sollten, nach Glück streben zu können („The </w:t>
            </w:r>
            <w:proofErr w:type="spellStart"/>
            <w:r w:rsidRPr="0073060B">
              <w:rPr>
                <w:sz w:val="20"/>
                <w:szCs w:val="20"/>
              </w:rPr>
              <w:t>Fourteenth</w:t>
            </w:r>
            <w:proofErr w:type="spellEnd"/>
            <w:r w:rsidRPr="0073060B">
              <w:rPr>
                <w:sz w:val="20"/>
                <w:szCs w:val="20"/>
              </w:rPr>
              <w:t xml:space="preserve"> Amendment […] </w:t>
            </w:r>
            <w:proofErr w:type="spellStart"/>
            <w:r w:rsidRPr="0073060B">
              <w:rPr>
                <w:sz w:val="20"/>
                <w:szCs w:val="20"/>
              </w:rPr>
              <w:t>undoubtedly</w:t>
            </w:r>
            <w:proofErr w:type="spellEnd"/>
            <w:r w:rsidRPr="0073060B">
              <w:rPr>
                <w:sz w:val="20"/>
                <w:szCs w:val="20"/>
              </w:rPr>
              <w:t xml:space="preserve"> </w:t>
            </w:r>
            <w:proofErr w:type="spellStart"/>
            <w:r w:rsidRPr="0073060B">
              <w:rPr>
                <w:sz w:val="20"/>
                <w:szCs w:val="20"/>
              </w:rPr>
              <w:t>intended</w:t>
            </w:r>
            <w:proofErr w:type="spellEnd"/>
            <w:r w:rsidRPr="0073060B">
              <w:rPr>
                <w:sz w:val="20"/>
                <w:szCs w:val="20"/>
              </w:rPr>
              <w:t xml:space="preserve"> not </w:t>
            </w:r>
            <w:proofErr w:type="spellStart"/>
            <w:r w:rsidRPr="0073060B">
              <w:rPr>
                <w:sz w:val="20"/>
                <w:szCs w:val="20"/>
              </w:rPr>
              <w:t>only</w:t>
            </w:r>
            <w:proofErr w:type="spellEnd"/>
            <w:r w:rsidRPr="0073060B">
              <w:rPr>
                <w:sz w:val="20"/>
                <w:szCs w:val="20"/>
              </w:rPr>
              <w:t xml:space="preserve"> </w:t>
            </w:r>
            <w:proofErr w:type="spellStart"/>
            <w:r w:rsidRPr="0073060B">
              <w:rPr>
                <w:sz w:val="20"/>
                <w:szCs w:val="20"/>
              </w:rPr>
              <w:t>that</w:t>
            </w:r>
            <w:proofErr w:type="spellEnd"/>
            <w:r w:rsidRPr="0073060B">
              <w:rPr>
                <w:sz w:val="20"/>
                <w:szCs w:val="20"/>
              </w:rPr>
              <w:t xml:space="preserve"> </w:t>
            </w:r>
            <w:proofErr w:type="spellStart"/>
            <w:r w:rsidRPr="0073060B">
              <w:rPr>
                <w:sz w:val="20"/>
                <w:szCs w:val="20"/>
              </w:rPr>
              <w:t>there</w:t>
            </w:r>
            <w:proofErr w:type="spellEnd"/>
            <w:r w:rsidRPr="0073060B">
              <w:rPr>
                <w:sz w:val="20"/>
                <w:szCs w:val="20"/>
              </w:rPr>
              <w:t xml:space="preserve"> </w:t>
            </w:r>
            <w:proofErr w:type="spellStart"/>
            <w:r w:rsidRPr="0073060B">
              <w:rPr>
                <w:sz w:val="20"/>
                <w:szCs w:val="20"/>
              </w:rPr>
              <w:t>should</w:t>
            </w:r>
            <w:proofErr w:type="spellEnd"/>
            <w:r w:rsidRPr="0073060B">
              <w:rPr>
                <w:sz w:val="20"/>
                <w:szCs w:val="20"/>
              </w:rPr>
              <w:t xml:space="preserve"> </w:t>
            </w:r>
            <w:proofErr w:type="spellStart"/>
            <w:r w:rsidRPr="0073060B">
              <w:rPr>
                <w:sz w:val="20"/>
                <w:szCs w:val="20"/>
              </w:rPr>
              <w:t>be</w:t>
            </w:r>
            <w:proofErr w:type="spellEnd"/>
            <w:r w:rsidRPr="0073060B">
              <w:rPr>
                <w:sz w:val="20"/>
                <w:szCs w:val="20"/>
              </w:rPr>
              <w:t xml:space="preserve"> </w:t>
            </w:r>
            <w:proofErr w:type="spellStart"/>
            <w:r w:rsidRPr="0073060B">
              <w:rPr>
                <w:sz w:val="20"/>
                <w:szCs w:val="20"/>
              </w:rPr>
              <w:t>no</w:t>
            </w:r>
            <w:proofErr w:type="spellEnd"/>
            <w:r w:rsidRPr="0073060B">
              <w:rPr>
                <w:sz w:val="20"/>
                <w:szCs w:val="20"/>
              </w:rPr>
              <w:t xml:space="preserve"> </w:t>
            </w:r>
            <w:proofErr w:type="spellStart"/>
            <w:r w:rsidRPr="0073060B">
              <w:rPr>
                <w:sz w:val="20"/>
                <w:szCs w:val="20"/>
              </w:rPr>
              <w:t>arbitrate</w:t>
            </w:r>
            <w:proofErr w:type="spellEnd"/>
            <w:r w:rsidRPr="0073060B">
              <w:rPr>
                <w:sz w:val="20"/>
                <w:szCs w:val="20"/>
              </w:rPr>
              <w:t xml:space="preserve"> </w:t>
            </w:r>
            <w:proofErr w:type="spellStart"/>
            <w:r w:rsidRPr="0073060B">
              <w:rPr>
                <w:sz w:val="20"/>
                <w:szCs w:val="20"/>
              </w:rPr>
              <w:t>deprivation</w:t>
            </w:r>
            <w:proofErr w:type="spellEnd"/>
            <w:r w:rsidRPr="0073060B">
              <w:rPr>
                <w:sz w:val="20"/>
                <w:szCs w:val="20"/>
              </w:rPr>
              <w:t xml:space="preserve"> of </w:t>
            </w:r>
            <w:proofErr w:type="spellStart"/>
            <w:r w:rsidRPr="0073060B">
              <w:rPr>
                <w:sz w:val="20"/>
                <w:szCs w:val="20"/>
              </w:rPr>
              <w:t>life</w:t>
            </w:r>
            <w:proofErr w:type="spellEnd"/>
            <w:r w:rsidRPr="0073060B">
              <w:rPr>
                <w:sz w:val="20"/>
                <w:szCs w:val="20"/>
              </w:rPr>
              <w:t xml:space="preserve"> </w:t>
            </w:r>
            <w:proofErr w:type="spellStart"/>
            <w:r w:rsidRPr="0073060B">
              <w:rPr>
                <w:sz w:val="20"/>
                <w:szCs w:val="20"/>
              </w:rPr>
              <w:t>or</w:t>
            </w:r>
            <w:proofErr w:type="spellEnd"/>
            <w:r w:rsidRPr="0073060B">
              <w:rPr>
                <w:sz w:val="20"/>
                <w:szCs w:val="20"/>
              </w:rPr>
              <w:t xml:space="preserve"> </w:t>
            </w:r>
            <w:proofErr w:type="spellStart"/>
            <w:r w:rsidRPr="0073060B">
              <w:rPr>
                <w:sz w:val="20"/>
                <w:szCs w:val="20"/>
              </w:rPr>
              <w:t>liberty</w:t>
            </w:r>
            <w:proofErr w:type="spellEnd"/>
            <w:r w:rsidRPr="0073060B">
              <w:rPr>
                <w:sz w:val="20"/>
                <w:szCs w:val="20"/>
              </w:rPr>
              <w:t xml:space="preserve">, </w:t>
            </w:r>
            <w:proofErr w:type="spellStart"/>
            <w:r w:rsidRPr="0073060B">
              <w:rPr>
                <w:sz w:val="20"/>
                <w:szCs w:val="20"/>
              </w:rPr>
              <w:t>or</w:t>
            </w:r>
            <w:proofErr w:type="spellEnd"/>
            <w:r w:rsidRPr="0073060B">
              <w:rPr>
                <w:sz w:val="20"/>
                <w:szCs w:val="20"/>
              </w:rPr>
              <w:t xml:space="preserve"> </w:t>
            </w:r>
            <w:proofErr w:type="spellStart"/>
            <w:r w:rsidRPr="0073060B">
              <w:rPr>
                <w:sz w:val="20"/>
                <w:szCs w:val="20"/>
              </w:rPr>
              <w:t>arbitrary</w:t>
            </w:r>
            <w:proofErr w:type="spellEnd"/>
            <w:r w:rsidRPr="0073060B">
              <w:rPr>
                <w:sz w:val="20"/>
                <w:szCs w:val="20"/>
              </w:rPr>
              <w:t xml:space="preserve"> </w:t>
            </w:r>
            <w:proofErr w:type="spellStart"/>
            <w:r w:rsidRPr="0073060B">
              <w:rPr>
                <w:sz w:val="20"/>
                <w:szCs w:val="20"/>
              </w:rPr>
              <w:t>spoliation</w:t>
            </w:r>
            <w:proofErr w:type="spellEnd"/>
            <w:r w:rsidRPr="0073060B">
              <w:rPr>
                <w:sz w:val="20"/>
                <w:szCs w:val="20"/>
              </w:rPr>
              <w:t xml:space="preserve"> of </w:t>
            </w:r>
            <w:proofErr w:type="spellStart"/>
            <w:r w:rsidRPr="0073060B">
              <w:rPr>
                <w:sz w:val="20"/>
                <w:szCs w:val="20"/>
              </w:rPr>
              <w:t>property</w:t>
            </w:r>
            <w:proofErr w:type="spellEnd"/>
            <w:r w:rsidRPr="0073060B">
              <w:rPr>
                <w:sz w:val="20"/>
                <w:szCs w:val="20"/>
              </w:rPr>
              <w:t xml:space="preserve">, but […] </w:t>
            </w:r>
            <w:proofErr w:type="spellStart"/>
            <w:r w:rsidRPr="0073060B">
              <w:rPr>
                <w:sz w:val="20"/>
                <w:szCs w:val="20"/>
              </w:rPr>
              <w:t>that</w:t>
            </w:r>
            <w:proofErr w:type="spellEnd"/>
            <w:r w:rsidRPr="0073060B">
              <w:rPr>
                <w:sz w:val="20"/>
                <w:szCs w:val="20"/>
              </w:rPr>
              <w:t xml:space="preserve"> all </w:t>
            </w:r>
            <w:proofErr w:type="spellStart"/>
            <w:r w:rsidRPr="0073060B">
              <w:rPr>
                <w:sz w:val="20"/>
                <w:szCs w:val="20"/>
              </w:rPr>
              <w:t>persons</w:t>
            </w:r>
            <w:proofErr w:type="spellEnd"/>
            <w:r w:rsidRPr="0073060B">
              <w:rPr>
                <w:sz w:val="20"/>
                <w:szCs w:val="20"/>
              </w:rPr>
              <w:t xml:space="preserve"> </w:t>
            </w:r>
            <w:proofErr w:type="spellStart"/>
            <w:r w:rsidRPr="0073060B">
              <w:rPr>
                <w:sz w:val="20"/>
                <w:szCs w:val="20"/>
              </w:rPr>
              <w:t>should</w:t>
            </w:r>
            <w:proofErr w:type="spellEnd"/>
            <w:r w:rsidRPr="0073060B">
              <w:rPr>
                <w:sz w:val="20"/>
                <w:szCs w:val="20"/>
              </w:rPr>
              <w:t xml:space="preserve"> </w:t>
            </w:r>
            <w:proofErr w:type="spellStart"/>
            <w:r w:rsidRPr="0073060B">
              <w:rPr>
                <w:sz w:val="20"/>
                <w:szCs w:val="20"/>
              </w:rPr>
              <w:t>be</w:t>
            </w:r>
            <w:proofErr w:type="spellEnd"/>
            <w:r w:rsidRPr="0073060B">
              <w:rPr>
                <w:sz w:val="20"/>
                <w:szCs w:val="20"/>
              </w:rPr>
              <w:t xml:space="preserve"> </w:t>
            </w:r>
            <w:proofErr w:type="spellStart"/>
            <w:r w:rsidRPr="0073060B">
              <w:rPr>
                <w:sz w:val="20"/>
                <w:szCs w:val="20"/>
              </w:rPr>
              <w:t>equally</w:t>
            </w:r>
            <w:proofErr w:type="spellEnd"/>
            <w:r w:rsidRPr="0073060B">
              <w:rPr>
                <w:sz w:val="20"/>
                <w:szCs w:val="20"/>
              </w:rPr>
              <w:t xml:space="preserve"> </w:t>
            </w:r>
            <w:proofErr w:type="spellStart"/>
            <w:r w:rsidRPr="0073060B">
              <w:rPr>
                <w:sz w:val="20"/>
                <w:szCs w:val="20"/>
              </w:rPr>
              <w:t>entitled</w:t>
            </w:r>
            <w:proofErr w:type="spellEnd"/>
            <w:r w:rsidRPr="0073060B">
              <w:rPr>
                <w:sz w:val="20"/>
                <w:szCs w:val="20"/>
              </w:rPr>
              <w:t xml:space="preserve"> to </w:t>
            </w:r>
            <w:proofErr w:type="spellStart"/>
            <w:r w:rsidRPr="0073060B">
              <w:rPr>
                <w:sz w:val="20"/>
                <w:szCs w:val="20"/>
              </w:rPr>
              <w:t>pursue</w:t>
            </w:r>
            <w:proofErr w:type="spellEnd"/>
            <w:r w:rsidRPr="0073060B">
              <w:rPr>
                <w:sz w:val="20"/>
                <w:szCs w:val="20"/>
              </w:rPr>
              <w:t xml:space="preserve"> </w:t>
            </w:r>
            <w:proofErr w:type="spellStart"/>
            <w:r w:rsidRPr="0073060B">
              <w:rPr>
                <w:sz w:val="20"/>
                <w:szCs w:val="20"/>
              </w:rPr>
              <w:t>their</w:t>
            </w:r>
            <w:proofErr w:type="spellEnd"/>
            <w:r w:rsidRPr="0073060B">
              <w:rPr>
                <w:sz w:val="20"/>
                <w:szCs w:val="20"/>
              </w:rPr>
              <w:t xml:space="preserve"> </w:t>
            </w:r>
            <w:proofErr w:type="spellStart"/>
            <w:r w:rsidRPr="0073060B">
              <w:rPr>
                <w:sz w:val="20"/>
                <w:szCs w:val="20"/>
              </w:rPr>
              <w:t>happiness</w:t>
            </w:r>
            <w:proofErr w:type="spellEnd"/>
            <w:r w:rsidRPr="0073060B">
              <w:rPr>
                <w:sz w:val="20"/>
                <w:szCs w:val="20"/>
              </w:rPr>
              <w:t>“</w:t>
            </w:r>
            <w:r w:rsidRPr="0073060B">
              <w:rPr>
                <w:sz w:val="20"/>
                <w:szCs w:val="20"/>
                <w:vertAlign w:val="superscript"/>
              </w:rPr>
              <w:footnoteReference w:id="1752"/>
            </w:r>
            <w:r w:rsidRPr="0073060B">
              <w:rPr>
                <w:sz w:val="20"/>
                <w:szCs w:val="20"/>
              </w:rPr>
              <w:t>). Und was impliziert dies noch? Eigentum zu erwerben und nutzen zu können, denselben Zugang zu Gerichten zu haben, um diese Rechte – wie das gleiche Glücksstreben –</w:t>
            </w:r>
            <w:r w:rsidRPr="0018316F">
              <w:rPr>
                <w:sz w:val="20"/>
                <w:szCs w:val="20"/>
              </w:rPr>
              <w:t xml:space="preserve"> </w:t>
            </w:r>
            <w:r w:rsidRPr="0073060B">
              <w:rPr>
                <w:sz w:val="20"/>
                <w:szCs w:val="20"/>
              </w:rPr>
              <w:t xml:space="preserve">schützen zu können und damit </w:t>
            </w:r>
            <w:r>
              <w:rPr>
                <w:sz w:val="20"/>
                <w:szCs w:val="20"/>
              </w:rPr>
              <w:t>z.B.</w:t>
            </w:r>
            <w:r w:rsidRPr="0073060B">
              <w:rPr>
                <w:sz w:val="20"/>
                <w:szCs w:val="20"/>
              </w:rPr>
              <w:t xml:space="preserve"> Verträge durchzusetzen. Und </w:t>
            </w:r>
            <w:r>
              <w:rPr>
                <w:sz w:val="20"/>
                <w:szCs w:val="20"/>
              </w:rPr>
              <w:t xml:space="preserve">es </w:t>
            </w:r>
            <w:r w:rsidRPr="0073060B">
              <w:rPr>
                <w:sz w:val="20"/>
                <w:szCs w:val="20"/>
              </w:rPr>
              <w:t>dürfe</w:t>
            </w:r>
            <w:r w:rsidRPr="0018316F">
              <w:rPr>
                <w:sz w:val="20"/>
                <w:szCs w:val="20"/>
              </w:rPr>
              <w:t xml:space="preserve"> nur</w:t>
            </w:r>
            <w:r w:rsidRPr="0073060B">
              <w:rPr>
                <w:sz w:val="20"/>
                <w:szCs w:val="20"/>
              </w:rPr>
              <w:t xml:space="preserve"> Hindernisse für den Ausdruck der Persönlichkeit geben, die unter</w:t>
            </w:r>
            <w:r w:rsidRPr="0018316F">
              <w:rPr>
                <w:sz w:val="20"/>
                <w:szCs w:val="20"/>
              </w:rPr>
              <w:t xml:space="preserve"> vergleichbaren</w:t>
            </w:r>
            <w:r w:rsidRPr="0073060B">
              <w:rPr>
                <w:sz w:val="20"/>
                <w:szCs w:val="20"/>
              </w:rPr>
              <w:t xml:space="preserve"> Umständen </w:t>
            </w:r>
            <w:r w:rsidRPr="0018316F">
              <w:rPr>
                <w:sz w:val="20"/>
                <w:szCs w:val="20"/>
              </w:rPr>
              <w:t xml:space="preserve">auch </w:t>
            </w:r>
            <w:r w:rsidRPr="0073060B">
              <w:rPr>
                <w:sz w:val="20"/>
                <w:szCs w:val="20"/>
              </w:rPr>
              <w:t>für andere g</w:t>
            </w:r>
            <w:r>
              <w:rPr>
                <w:sz w:val="20"/>
                <w:szCs w:val="20"/>
              </w:rPr>
              <w:t>ä</w:t>
            </w:r>
            <w:r w:rsidRPr="0073060B">
              <w:rPr>
                <w:sz w:val="20"/>
                <w:szCs w:val="20"/>
              </w:rPr>
              <w:t>lten. Zudem solle keine Person größere Lasten tragen als andere in vergleichbaren Berufen. Und zuletzt: Es solle niemand anders bestraft werden für das gleiche Vergehen oder Verbrechen.</w:t>
            </w:r>
            <w:r w:rsidRPr="0073060B">
              <w:rPr>
                <w:sz w:val="20"/>
                <w:szCs w:val="20"/>
                <w:vertAlign w:val="superscript"/>
              </w:rPr>
              <w:footnoteReference w:id="1753"/>
            </w:r>
          </w:p>
          <w:p w14:paraId="080B579D" w14:textId="77777777" w:rsidR="00074551" w:rsidRPr="00891183" w:rsidRDefault="00074551" w:rsidP="00367133">
            <w:pPr>
              <w:jc w:val="both"/>
              <w:rPr>
                <w:sz w:val="20"/>
                <w:szCs w:val="20"/>
              </w:rPr>
            </w:pPr>
          </w:p>
        </w:tc>
      </w:tr>
      <w:tr w:rsidR="00074551" w:rsidRPr="005E3B68" w14:paraId="1C5170C1" w14:textId="77777777" w:rsidTr="00BE689F">
        <w:trPr>
          <w:cantSplit/>
          <w:trHeight w:val="3175"/>
        </w:trPr>
        <w:tc>
          <w:tcPr>
            <w:tcW w:w="293" w:type="pct"/>
          </w:tcPr>
          <w:p w14:paraId="73D953CC"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7370BA48"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46A7620E" w14:textId="77777777" w:rsidR="00074551" w:rsidRPr="00B45592" w:rsidRDefault="00074551" w:rsidP="00367133">
            <w:pPr>
              <w:ind w:left="113" w:right="416"/>
              <w:jc w:val="both"/>
              <w:rPr>
                <w:i/>
                <w:sz w:val="20"/>
                <w:szCs w:val="20"/>
                <w:lang w:val="en-US"/>
              </w:rPr>
            </w:pPr>
            <w:r w:rsidRPr="00B45592">
              <w:rPr>
                <w:i/>
                <w:sz w:val="20"/>
                <w:szCs w:val="20"/>
                <w:lang w:val="en-US"/>
              </w:rPr>
              <w:t>Connolly v. Union Sewer Pipe Co.</w:t>
            </w:r>
          </w:p>
        </w:tc>
        <w:tc>
          <w:tcPr>
            <w:tcW w:w="197" w:type="pct"/>
            <w:textDirection w:val="tbRl"/>
            <w:vAlign w:val="center"/>
          </w:tcPr>
          <w:p w14:paraId="1E697D58" w14:textId="77777777" w:rsidR="00074551" w:rsidRPr="00257307" w:rsidRDefault="00074551" w:rsidP="00367133">
            <w:pPr>
              <w:ind w:left="113" w:right="113"/>
              <w:jc w:val="both"/>
              <w:rPr>
                <w:sz w:val="20"/>
                <w:szCs w:val="20"/>
              </w:rPr>
            </w:pPr>
            <w:r w:rsidRPr="00257307">
              <w:rPr>
                <w:sz w:val="20"/>
                <w:szCs w:val="20"/>
              </w:rPr>
              <w:t>184 U.S. 540</w:t>
            </w:r>
          </w:p>
        </w:tc>
        <w:tc>
          <w:tcPr>
            <w:tcW w:w="306" w:type="pct"/>
            <w:textDirection w:val="tbRl"/>
            <w:vAlign w:val="center"/>
          </w:tcPr>
          <w:p w14:paraId="4FFA4CAB" w14:textId="77777777" w:rsidR="00074551" w:rsidRDefault="00074551" w:rsidP="00367133">
            <w:pPr>
              <w:ind w:left="113" w:right="113"/>
              <w:jc w:val="both"/>
              <w:rPr>
                <w:sz w:val="20"/>
                <w:szCs w:val="20"/>
                <w:lang w:val="en-US"/>
              </w:rPr>
            </w:pPr>
            <w:r>
              <w:rPr>
                <w:sz w:val="20"/>
                <w:szCs w:val="20"/>
                <w:lang w:val="en-US"/>
              </w:rPr>
              <w:t>10. März 1920</w:t>
            </w:r>
          </w:p>
        </w:tc>
        <w:tc>
          <w:tcPr>
            <w:tcW w:w="401" w:type="pct"/>
          </w:tcPr>
          <w:p w14:paraId="505C22B2" w14:textId="77777777" w:rsidR="00074551" w:rsidRDefault="00074551" w:rsidP="00367133">
            <w:pPr>
              <w:jc w:val="center"/>
              <w:rPr>
                <w:sz w:val="20"/>
                <w:szCs w:val="20"/>
                <w:lang w:val="en-US"/>
              </w:rPr>
            </w:pPr>
            <w:r>
              <w:rPr>
                <w:sz w:val="20"/>
                <w:szCs w:val="20"/>
                <w:lang w:val="en-US"/>
              </w:rPr>
              <w:t>M</w:t>
            </w:r>
          </w:p>
        </w:tc>
        <w:tc>
          <w:tcPr>
            <w:tcW w:w="1594" w:type="pct"/>
          </w:tcPr>
          <w:p w14:paraId="79ABFA0D" w14:textId="2303BFE5" w:rsidR="00074551" w:rsidRPr="005A6B57" w:rsidRDefault="00074551" w:rsidP="00367133">
            <w:pPr>
              <w:rPr>
                <w:sz w:val="20"/>
                <w:szCs w:val="20"/>
              </w:rPr>
            </w:pPr>
            <w:r w:rsidRPr="0098549D">
              <w:rPr>
                <w:sz w:val="20"/>
                <w:szCs w:val="20"/>
              </w:rPr>
              <w:t xml:space="preserve">Der </w:t>
            </w:r>
            <w:r>
              <w:rPr>
                <w:sz w:val="20"/>
                <w:szCs w:val="20"/>
              </w:rPr>
              <w:t>U.S. Supreme Court</w:t>
            </w:r>
            <w:r w:rsidRPr="0098549D">
              <w:rPr>
                <w:sz w:val="20"/>
                <w:szCs w:val="20"/>
              </w:rPr>
              <w:t xml:space="preserve"> </w:t>
            </w:r>
            <w:r w:rsidRPr="008E0FCB">
              <w:rPr>
                <w:sz w:val="20"/>
                <w:szCs w:val="20"/>
              </w:rPr>
              <w:t xml:space="preserve">bestätigte </w:t>
            </w:r>
            <w:r>
              <w:rPr>
                <w:sz w:val="20"/>
                <w:szCs w:val="20"/>
              </w:rPr>
              <w:t xml:space="preserve">ein </w:t>
            </w:r>
            <w:proofErr w:type="spellStart"/>
            <w:r>
              <w:rPr>
                <w:sz w:val="20"/>
                <w:szCs w:val="20"/>
              </w:rPr>
              <w:t>unterinstanzielles</w:t>
            </w:r>
            <w:proofErr w:type="spellEnd"/>
            <w:r>
              <w:rPr>
                <w:sz w:val="20"/>
                <w:szCs w:val="20"/>
              </w:rPr>
              <w:t xml:space="preserve"> </w:t>
            </w:r>
            <w:r w:rsidRPr="008E0FCB">
              <w:rPr>
                <w:sz w:val="20"/>
                <w:szCs w:val="20"/>
              </w:rPr>
              <w:t xml:space="preserve">Urteil zugunsten </w:t>
            </w:r>
            <w:r>
              <w:rPr>
                <w:sz w:val="20"/>
                <w:szCs w:val="20"/>
              </w:rPr>
              <w:t>eines</w:t>
            </w:r>
            <w:r w:rsidRPr="008E0FCB">
              <w:rPr>
                <w:sz w:val="20"/>
                <w:szCs w:val="20"/>
              </w:rPr>
              <w:t xml:space="preserve"> Verkäufers, da die </w:t>
            </w:r>
            <w:r>
              <w:rPr>
                <w:sz w:val="20"/>
                <w:szCs w:val="20"/>
              </w:rPr>
              <w:t xml:space="preserve">beklagten </w:t>
            </w:r>
            <w:r w:rsidRPr="008E0FCB">
              <w:rPr>
                <w:sz w:val="20"/>
                <w:szCs w:val="20"/>
              </w:rPr>
              <w:t>Käufer zur Zahlung für</w:t>
            </w:r>
            <w:r>
              <w:rPr>
                <w:sz w:val="20"/>
                <w:szCs w:val="20"/>
              </w:rPr>
              <w:t xml:space="preserve"> </w:t>
            </w:r>
            <w:r w:rsidRPr="008E0FCB">
              <w:rPr>
                <w:sz w:val="20"/>
                <w:szCs w:val="20"/>
              </w:rPr>
              <w:t>Waren verpflichtet waren und keine Gegenansprüche geltend machen konnten.</w:t>
            </w:r>
            <w:r w:rsidRPr="0098549D">
              <w:rPr>
                <w:sz w:val="20"/>
                <w:szCs w:val="20"/>
              </w:rPr>
              <w:t xml:space="preserve"> </w:t>
            </w:r>
            <w:r w:rsidRPr="005A6B57">
              <w:rPr>
                <w:sz w:val="20"/>
                <w:szCs w:val="20"/>
              </w:rPr>
              <w:t xml:space="preserve">Zunächst </w:t>
            </w:r>
            <w:r>
              <w:rPr>
                <w:sz w:val="20"/>
                <w:szCs w:val="20"/>
              </w:rPr>
              <w:t>hatte</w:t>
            </w:r>
            <w:r w:rsidRPr="005A6B57">
              <w:rPr>
                <w:sz w:val="20"/>
                <w:szCs w:val="20"/>
              </w:rPr>
              <w:t xml:space="preserve"> ein Unternehmer gegen einen Schuldschein und auf Rechnung</w:t>
            </w:r>
            <w:r>
              <w:rPr>
                <w:sz w:val="20"/>
                <w:szCs w:val="20"/>
              </w:rPr>
              <w:t xml:space="preserve"> </w:t>
            </w:r>
            <w:r w:rsidRPr="005A6B57">
              <w:rPr>
                <w:sz w:val="20"/>
                <w:szCs w:val="20"/>
              </w:rPr>
              <w:t xml:space="preserve">Rohre </w:t>
            </w:r>
            <w:r>
              <w:rPr>
                <w:sz w:val="20"/>
                <w:szCs w:val="20"/>
              </w:rPr>
              <w:t>verkauft</w:t>
            </w:r>
            <w:r w:rsidRPr="005A6B57">
              <w:rPr>
                <w:sz w:val="20"/>
                <w:szCs w:val="20"/>
              </w:rPr>
              <w:t xml:space="preserve">. </w:t>
            </w:r>
            <w:r>
              <w:rPr>
                <w:sz w:val="20"/>
                <w:szCs w:val="20"/>
              </w:rPr>
              <w:t>Die Käufer zahlten nicht und</w:t>
            </w:r>
            <w:r w:rsidRPr="005A6B57">
              <w:rPr>
                <w:sz w:val="20"/>
                <w:szCs w:val="20"/>
              </w:rPr>
              <w:t xml:space="preserve"> </w:t>
            </w:r>
            <w:r>
              <w:rPr>
                <w:sz w:val="20"/>
                <w:szCs w:val="20"/>
              </w:rPr>
              <w:t xml:space="preserve">der Unternehmer </w:t>
            </w:r>
            <w:r w:rsidRPr="005A6B57">
              <w:rPr>
                <w:sz w:val="20"/>
                <w:szCs w:val="20"/>
              </w:rPr>
              <w:t xml:space="preserve">klagte auf Zahlung. Das erstinstanzliche Gericht </w:t>
            </w:r>
            <w:r>
              <w:rPr>
                <w:sz w:val="20"/>
                <w:szCs w:val="20"/>
              </w:rPr>
              <w:t>urteilte</w:t>
            </w:r>
            <w:r w:rsidRPr="005A6B57">
              <w:rPr>
                <w:sz w:val="20"/>
                <w:szCs w:val="20"/>
              </w:rPr>
              <w:t xml:space="preserve"> zugunsten des Verkäufers. Die Käufer beantragten </w:t>
            </w:r>
            <w:r>
              <w:rPr>
                <w:sz w:val="20"/>
                <w:szCs w:val="20"/>
              </w:rPr>
              <w:t xml:space="preserve">wiederum </w:t>
            </w:r>
            <w:r w:rsidRPr="005A6B57">
              <w:rPr>
                <w:sz w:val="20"/>
                <w:szCs w:val="20"/>
              </w:rPr>
              <w:t>eine</w:t>
            </w:r>
            <w:r>
              <w:rPr>
                <w:sz w:val="20"/>
                <w:szCs w:val="20"/>
              </w:rPr>
              <w:t xml:space="preserve"> Überprüfung, einen sog.</w:t>
            </w:r>
            <w:r w:rsidRPr="005A6B57">
              <w:rPr>
                <w:sz w:val="20"/>
                <w:szCs w:val="20"/>
              </w:rPr>
              <w:t xml:space="preserve"> </w:t>
            </w:r>
            <w:proofErr w:type="spellStart"/>
            <w:r w:rsidRPr="5B67C1D2">
              <w:rPr>
                <w:i/>
                <w:iCs/>
                <w:sz w:val="20"/>
                <w:szCs w:val="20"/>
              </w:rPr>
              <w:t>writ</w:t>
            </w:r>
            <w:proofErr w:type="spellEnd"/>
            <w:r w:rsidRPr="5B67C1D2">
              <w:rPr>
                <w:i/>
                <w:iCs/>
                <w:sz w:val="20"/>
                <w:szCs w:val="20"/>
              </w:rPr>
              <w:t xml:space="preserve"> of </w:t>
            </w:r>
            <w:proofErr w:type="spellStart"/>
            <w:r w:rsidRPr="5B67C1D2">
              <w:rPr>
                <w:i/>
                <w:iCs/>
                <w:sz w:val="20"/>
                <w:szCs w:val="20"/>
              </w:rPr>
              <w:t>error</w:t>
            </w:r>
            <w:proofErr w:type="spellEnd"/>
            <w:r>
              <w:rPr>
                <w:rStyle w:val="Funotenzeichen"/>
                <w:sz w:val="20"/>
                <w:szCs w:val="20"/>
              </w:rPr>
              <w:footnoteReference w:id="1754"/>
            </w:r>
            <w:r>
              <w:rPr>
                <w:sz w:val="20"/>
                <w:szCs w:val="20"/>
              </w:rPr>
              <w:t>. Sie</w:t>
            </w:r>
            <w:r w:rsidRPr="005A6B57">
              <w:rPr>
                <w:sz w:val="20"/>
                <w:szCs w:val="20"/>
              </w:rPr>
              <w:t xml:space="preserve"> </w:t>
            </w:r>
            <w:r>
              <w:rPr>
                <w:sz w:val="20"/>
                <w:szCs w:val="20"/>
              </w:rPr>
              <w:t>meinten</w:t>
            </w:r>
            <w:r w:rsidRPr="005A6B57">
              <w:rPr>
                <w:sz w:val="20"/>
                <w:szCs w:val="20"/>
              </w:rPr>
              <w:t xml:space="preserve">, Verstöße gegen das </w:t>
            </w:r>
            <w:r w:rsidRPr="5B67C1D2">
              <w:rPr>
                <w:i/>
                <w:iCs/>
                <w:sz w:val="20"/>
                <w:szCs w:val="20"/>
              </w:rPr>
              <w:t>Common Law</w:t>
            </w:r>
            <w:r w:rsidRPr="005A6B57">
              <w:rPr>
                <w:sz w:val="20"/>
                <w:szCs w:val="20"/>
              </w:rPr>
              <w:t xml:space="preserve"> sowie</w:t>
            </w:r>
            <w:r>
              <w:rPr>
                <w:sz w:val="20"/>
                <w:szCs w:val="20"/>
              </w:rPr>
              <w:t xml:space="preserve"> gegen</w:t>
            </w:r>
            <w:r w:rsidRPr="005A6B57">
              <w:rPr>
                <w:sz w:val="20"/>
                <w:szCs w:val="20"/>
              </w:rPr>
              <w:t xml:space="preserve"> Illinois</w:t>
            </w:r>
            <w:r>
              <w:rPr>
                <w:sz w:val="20"/>
                <w:szCs w:val="20"/>
              </w:rPr>
              <w:t>’</w:t>
            </w:r>
            <w:r w:rsidRPr="005A6B57">
              <w:rPr>
                <w:sz w:val="20"/>
                <w:szCs w:val="20"/>
              </w:rPr>
              <w:t xml:space="preserve"> Antitrust-Gesetz</w:t>
            </w:r>
            <w:r>
              <w:rPr>
                <w:sz w:val="20"/>
                <w:szCs w:val="20"/>
              </w:rPr>
              <w:t xml:space="preserve"> (</w:t>
            </w:r>
            <w:r w:rsidRPr="005A6B57">
              <w:rPr>
                <w:sz w:val="20"/>
                <w:szCs w:val="20"/>
              </w:rPr>
              <w:t xml:space="preserve">Ill. Rev. Stat. </w:t>
            </w:r>
            <w:proofErr w:type="spellStart"/>
            <w:r w:rsidRPr="005A6B57">
              <w:rPr>
                <w:sz w:val="20"/>
                <w:szCs w:val="20"/>
              </w:rPr>
              <w:t>ch</w:t>
            </w:r>
            <w:proofErr w:type="spellEnd"/>
            <w:r w:rsidRPr="005A6B57">
              <w:rPr>
                <w:sz w:val="20"/>
                <w:szCs w:val="20"/>
              </w:rPr>
              <w:t xml:space="preserve">. 38, </w:t>
            </w:r>
            <w:proofErr w:type="spellStart"/>
            <w:r w:rsidRPr="005A6B57">
              <w:rPr>
                <w:sz w:val="20"/>
                <w:szCs w:val="20"/>
              </w:rPr>
              <w:t>para</w:t>
            </w:r>
            <w:proofErr w:type="spellEnd"/>
            <w:r w:rsidRPr="005A6B57">
              <w:rPr>
                <w:sz w:val="20"/>
                <w:szCs w:val="20"/>
              </w:rPr>
              <w:t xml:space="preserve">. 618 </w:t>
            </w:r>
            <w:r>
              <w:rPr>
                <w:sz w:val="20"/>
                <w:szCs w:val="20"/>
              </w:rPr>
              <w:t>[</w:t>
            </w:r>
            <w:proofErr w:type="spellStart"/>
            <w:r w:rsidRPr="005A6B57">
              <w:rPr>
                <w:sz w:val="20"/>
                <w:szCs w:val="20"/>
              </w:rPr>
              <w:t>Hurd</w:t>
            </w:r>
            <w:r>
              <w:rPr>
                <w:sz w:val="20"/>
                <w:szCs w:val="20"/>
              </w:rPr>
              <w:t>’</w:t>
            </w:r>
            <w:r w:rsidRPr="005A6B57">
              <w:rPr>
                <w:sz w:val="20"/>
                <w:szCs w:val="20"/>
              </w:rPr>
              <w:t>s</w:t>
            </w:r>
            <w:proofErr w:type="spellEnd"/>
            <w:r w:rsidRPr="005A6B57">
              <w:rPr>
                <w:sz w:val="20"/>
                <w:szCs w:val="20"/>
              </w:rPr>
              <w:t xml:space="preserve"> 1899</w:t>
            </w:r>
            <w:r>
              <w:rPr>
                <w:sz w:val="20"/>
                <w:szCs w:val="20"/>
              </w:rPr>
              <w:t>]</w:t>
            </w:r>
            <w:r>
              <w:rPr>
                <w:rStyle w:val="Funotenzeichen"/>
                <w:sz w:val="20"/>
                <w:szCs w:val="20"/>
              </w:rPr>
              <w:footnoteReference w:id="1755"/>
            </w:r>
            <w:r>
              <w:rPr>
                <w:sz w:val="20"/>
                <w:szCs w:val="20"/>
              </w:rPr>
              <w:t>) würden ihre Zahlungspflicht hemmen</w:t>
            </w:r>
            <w:r w:rsidRPr="005A6B57">
              <w:rPr>
                <w:sz w:val="20"/>
                <w:szCs w:val="20"/>
              </w:rPr>
              <w:t xml:space="preserve">. Der </w:t>
            </w:r>
            <w:r>
              <w:rPr>
                <w:sz w:val="20"/>
                <w:szCs w:val="20"/>
              </w:rPr>
              <w:t>U.S. Supreme Court</w:t>
            </w:r>
            <w:r w:rsidRPr="005A6B57">
              <w:rPr>
                <w:sz w:val="20"/>
                <w:szCs w:val="20"/>
              </w:rPr>
              <w:t xml:space="preserve"> entschied, </w:t>
            </w:r>
            <w:r>
              <w:rPr>
                <w:sz w:val="20"/>
                <w:szCs w:val="20"/>
              </w:rPr>
              <w:t>zwar sei der</w:t>
            </w:r>
            <w:r w:rsidRPr="005A6B57">
              <w:rPr>
                <w:sz w:val="20"/>
                <w:szCs w:val="20"/>
              </w:rPr>
              <w:t xml:space="preserve"> </w:t>
            </w:r>
            <w:proofErr w:type="spellStart"/>
            <w:r w:rsidRPr="5B67C1D2">
              <w:rPr>
                <w:i/>
                <w:iCs/>
                <w:sz w:val="20"/>
                <w:szCs w:val="20"/>
              </w:rPr>
              <w:t>writ</w:t>
            </w:r>
            <w:proofErr w:type="spellEnd"/>
            <w:r w:rsidRPr="5B67C1D2">
              <w:rPr>
                <w:i/>
                <w:iCs/>
                <w:sz w:val="20"/>
                <w:szCs w:val="20"/>
              </w:rPr>
              <w:t xml:space="preserve"> of </w:t>
            </w:r>
            <w:proofErr w:type="spellStart"/>
            <w:r w:rsidRPr="5B67C1D2">
              <w:rPr>
                <w:i/>
                <w:iCs/>
                <w:sz w:val="20"/>
                <w:szCs w:val="20"/>
              </w:rPr>
              <w:t>error</w:t>
            </w:r>
            <w:proofErr w:type="spellEnd"/>
            <w:r>
              <w:rPr>
                <w:rStyle w:val="Funotenzeichen"/>
                <w:sz w:val="20"/>
                <w:szCs w:val="20"/>
              </w:rPr>
              <w:footnoteReference w:id="1756"/>
            </w:r>
            <w:r w:rsidRPr="005A6B57">
              <w:rPr>
                <w:sz w:val="20"/>
                <w:szCs w:val="20"/>
              </w:rPr>
              <w:t xml:space="preserve"> zulässig, da der Verkäufer die Verfassungsmäßigkeit </w:t>
            </w:r>
            <w:r>
              <w:rPr>
                <w:sz w:val="20"/>
                <w:szCs w:val="20"/>
              </w:rPr>
              <w:t>von</w:t>
            </w:r>
            <w:r w:rsidRPr="005A6B57">
              <w:rPr>
                <w:sz w:val="20"/>
                <w:szCs w:val="20"/>
              </w:rPr>
              <w:t xml:space="preserve"> Illinois</w:t>
            </w:r>
            <w:r>
              <w:rPr>
                <w:sz w:val="20"/>
                <w:szCs w:val="20"/>
              </w:rPr>
              <w:t>’</w:t>
            </w:r>
            <w:r w:rsidRPr="005A6B57">
              <w:rPr>
                <w:sz w:val="20"/>
                <w:szCs w:val="20"/>
              </w:rPr>
              <w:t xml:space="preserve"> Antitrust-Gesetz</w:t>
            </w:r>
            <w:r>
              <w:rPr>
                <w:sz w:val="20"/>
                <w:szCs w:val="20"/>
              </w:rPr>
              <w:t xml:space="preserve"> selbst </w:t>
            </w:r>
            <w:r w:rsidRPr="005A6B57">
              <w:rPr>
                <w:sz w:val="20"/>
                <w:szCs w:val="20"/>
              </w:rPr>
              <w:t xml:space="preserve">angefochten hatte. </w:t>
            </w:r>
            <w:r>
              <w:rPr>
                <w:sz w:val="20"/>
                <w:szCs w:val="20"/>
              </w:rPr>
              <w:t>Aber in der Sache sei er unbegründet. Denn d</w:t>
            </w:r>
            <w:r w:rsidRPr="005A6B57">
              <w:rPr>
                <w:sz w:val="20"/>
                <w:szCs w:val="20"/>
              </w:rPr>
              <w:t xml:space="preserve">ie Käufer </w:t>
            </w:r>
            <w:r>
              <w:rPr>
                <w:sz w:val="20"/>
                <w:szCs w:val="20"/>
              </w:rPr>
              <w:t>hatten</w:t>
            </w:r>
            <w:r w:rsidRPr="005A6B57">
              <w:rPr>
                <w:sz w:val="20"/>
                <w:szCs w:val="20"/>
              </w:rPr>
              <w:t xml:space="preserve"> </w:t>
            </w:r>
            <w:r>
              <w:rPr>
                <w:sz w:val="20"/>
                <w:szCs w:val="20"/>
              </w:rPr>
              <w:t xml:space="preserve">die </w:t>
            </w:r>
            <w:r w:rsidRPr="005A6B57">
              <w:rPr>
                <w:sz w:val="20"/>
                <w:szCs w:val="20"/>
              </w:rPr>
              <w:t>Waren</w:t>
            </w:r>
            <w:r>
              <w:rPr>
                <w:sz w:val="20"/>
                <w:szCs w:val="20"/>
              </w:rPr>
              <w:t xml:space="preserve"> in gutem Glauben erworben</w:t>
            </w:r>
            <w:r w:rsidRPr="005A6B57">
              <w:rPr>
                <w:sz w:val="20"/>
                <w:szCs w:val="20"/>
              </w:rPr>
              <w:t xml:space="preserve"> und ihr Kaufvertrag war </w:t>
            </w:r>
            <w:r>
              <w:rPr>
                <w:sz w:val="20"/>
                <w:szCs w:val="20"/>
              </w:rPr>
              <w:t xml:space="preserve">wirksam; das sei </w:t>
            </w:r>
            <w:r w:rsidRPr="005A6B57">
              <w:rPr>
                <w:sz w:val="20"/>
                <w:szCs w:val="20"/>
              </w:rPr>
              <w:t xml:space="preserve">unabhängig von Verstößen des Verkäufers gegen das </w:t>
            </w:r>
            <w:r w:rsidRPr="5B67C1D2">
              <w:rPr>
                <w:i/>
                <w:iCs/>
                <w:sz w:val="20"/>
                <w:szCs w:val="20"/>
              </w:rPr>
              <w:t>Common Law</w:t>
            </w:r>
            <w:r w:rsidRPr="005A6B57">
              <w:rPr>
                <w:sz w:val="20"/>
                <w:szCs w:val="20"/>
              </w:rPr>
              <w:t xml:space="preserve"> oder den</w:t>
            </w:r>
            <w:r>
              <w:rPr>
                <w:sz w:val="20"/>
                <w:szCs w:val="20"/>
              </w:rPr>
              <w:t xml:space="preserve"> – nach dem U.S. Supreme Court einschlägigen</w:t>
            </w:r>
            <w:r w:rsidRPr="005A6B57">
              <w:rPr>
                <w:sz w:val="20"/>
                <w:szCs w:val="20"/>
              </w:rPr>
              <w:t xml:space="preserve"> </w:t>
            </w:r>
            <w:r>
              <w:rPr>
                <w:sz w:val="20"/>
                <w:szCs w:val="20"/>
              </w:rPr>
              <w:t>– </w:t>
            </w:r>
            <w:r w:rsidRPr="5B67C1D2">
              <w:rPr>
                <w:i/>
                <w:iCs/>
                <w:sz w:val="20"/>
                <w:szCs w:val="20"/>
              </w:rPr>
              <w:t>Sherman Anti-Trust Act</w:t>
            </w:r>
            <w:r w:rsidRPr="005A6B57">
              <w:rPr>
                <w:sz w:val="20"/>
                <w:szCs w:val="20"/>
              </w:rPr>
              <w:t>, 26 Stat. 209 (1890)</w:t>
            </w:r>
            <w:r>
              <w:rPr>
                <w:rStyle w:val="Funotenzeichen"/>
                <w:sz w:val="20"/>
                <w:szCs w:val="20"/>
              </w:rPr>
              <w:footnoteReference w:id="1757"/>
            </w:r>
            <w:r>
              <w:rPr>
                <w:sz w:val="20"/>
                <w:szCs w:val="20"/>
              </w:rPr>
              <w:t xml:space="preserve"> der Fall</w:t>
            </w:r>
            <w:r w:rsidRPr="005A6B57">
              <w:rPr>
                <w:sz w:val="20"/>
                <w:szCs w:val="20"/>
              </w:rPr>
              <w:t xml:space="preserve">. Daher mussten die Käufer zahlen. </w:t>
            </w:r>
            <w:r>
              <w:rPr>
                <w:sz w:val="20"/>
                <w:szCs w:val="20"/>
              </w:rPr>
              <w:t xml:space="preserve">Und die Käufer hatten auch keine Gegenforderung auf Schadensersatz. Diese wollten sie auf </w:t>
            </w:r>
            <w:r w:rsidRPr="005A6B57">
              <w:rPr>
                <w:sz w:val="20"/>
                <w:szCs w:val="20"/>
              </w:rPr>
              <w:t xml:space="preserve">Ill. Rev. Stat. </w:t>
            </w:r>
            <w:proofErr w:type="spellStart"/>
            <w:r w:rsidRPr="005A6B57">
              <w:rPr>
                <w:sz w:val="20"/>
                <w:szCs w:val="20"/>
              </w:rPr>
              <w:t>ch</w:t>
            </w:r>
            <w:proofErr w:type="spellEnd"/>
            <w:r w:rsidRPr="005A6B57">
              <w:rPr>
                <w:sz w:val="20"/>
                <w:szCs w:val="20"/>
              </w:rPr>
              <w:t xml:space="preserve">. 38, </w:t>
            </w:r>
            <w:proofErr w:type="spellStart"/>
            <w:r w:rsidRPr="005A6B57">
              <w:rPr>
                <w:sz w:val="20"/>
                <w:szCs w:val="20"/>
              </w:rPr>
              <w:t>para</w:t>
            </w:r>
            <w:proofErr w:type="spellEnd"/>
            <w:r w:rsidRPr="005A6B57">
              <w:rPr>
                <w:sz w:val="20"/>
                <w:szCs w:val="20"/>
              </w:rPr>
              <w:t>. 618 (</w:t>
            </w:r>
            <w:proofErr w:type="spellStart"/>
            <w:r w:rsidRPr="005A6B57">
              <w:rPr>
                <w:sz w:val="20"/>
                <w:szCs w:val="20"/>
              </w:rPr>
              <w:t>Hurd</w:t>
            </w:r>
            <w:r>
              <w:rPr>
                <w:sz w:val="20"/>
                <w:szCs w:val="20"/>
              </w:rPr>
              <w:t>’</w:t>
            </w:r>
            <w:r w:rsidRPr="005A6B57">
              <w:rPr>
                <w:sz w:val="20"/>
                <w:szCs w:val="20"/>
              </w:rPr>
              <w:t>s</w:t>
            </w:r>
            <w:proofErr w:type="spellEnd"/>
            <w:r w:rsidRPr="005A6B57">
              <w:rPr>
                <w:sz w:val="20"/>
                <w:szCs w:val="20"/>
              </w:rPr>
              <w:t xml:space="preserve"> 1899)</w:t>
            </w:r>
            <w:r>
              <w:rPr>
                <w:sz w:val="20"/>
                <w:szCs w:val="20"/>
              </w:rPr>
              <w:t xml:space="preserve"> gründen. Dieses Gesetz</w:t>
            </w:r>
            <w:r w:rsidRPr="005A6B57">
              <w:rPr>
                <w:sz w:val="20"/>
                <w:szCs w:val="20"/>
              </w:rPr>
              <w:t xml:space="preserve"> verletze </w:t>
            </w:r>
            <w:r>
              <w:rPr>
                <w:sz w:val="20"/>
                <w:szCs w:val="20"/>
              </w:rPr>
              <w:t xml:space="preserve">aber </w:t>
            </w:r>
            <w:r w:rsidRPr="005A6B57">
              <w:rPr>
                <w:sz w:val="20"/>
                <w:szCs w:val="20"/>
              </w:rPr>
              <w:t>d</w:t>
            </w:r>
            <w:r>
              <w:rPr>
                <w:sz w:val="20"/>
                <w:szCs w:val="20"/>
              </w:rPr>
              <w:t>en</w:t>
            </w:r>
            <w:r w:rsidRPr="005A6B57">
              <w:rPr>
                <w:sz w:val="20"/>
                <w:szCs w:val="20"/>
              </w:rPr>
              <w:t xml:space="preserve"> Gleich</w:t>
            </w:r>
            <w:r>
              <w:rPr>
                <w:sz w:val="20"/>
                <w:szCs w:val="20"/>
              </w:rPr>
              <w:t>heitssatz</w:t>
            </w:r>
            <w:r w:rsidRPr="005A6B57">
              <w:rPr>
                <w:sz w:val="20"/>
                <w:szCs w:val="20"/>
              </w:rPr>
              <w:t xml:space="preserve"> </w:t>
            </w:r>
            <w:r>
              <w:rPr>
                <w:sz w:val="20"/>
                <w:szCs w:val="20"/>
              </w:rPr>
              <w:t>von</w:t>
            </w:r>
            <w:r w:rsidRPr="005A6B57">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da es zwar</w:t>
            </w:r>
            <w:r w:rsidRPr="005A6B57">
              <w:rPr>
                <w:sz w:val="20"/>
                <w:szCs w:val="20"/>
              </w:rPr>
              <w:t xml:space="preserve"> </w:t>
            </w:r>
            <w:r>
              <w:rPr>
                <w:sz w:val="20"/>
                <w:szCs w:val="20"/>
              </w:rPr>
              <w:t>den</w:t>
            </w:r>
            <w:r w:rsidRPr="005A6B57">
              <w:rPr>
                <w:sz w:val="20"/>
                <w:szCs w:val="20"/>
              </w:rPr>
              <w:t xml:space="preserve"> </w:t>
            </w:r>
            <w:r>
              <w:rPr>
                <w:sz w:val="20"/>
                <w:szCs w:val="20"/>
              </w:rPr>
              <w:t xml:space="preserve">Handel </w:t>
            </w:r>
            <w:r w:rsidRPr="005A6B57">
              <w:rPr>
                <w:sz w:val="20"/>
                <w:szCs w:val="20"/>
              </w:rPr>
              <w:t>für landwirtschaftliche Gewerbe</w:t>
            </w:r>
            <w:r>
              <w:rPr>
                <w:sz w:val="20"/>
                <w:szCs w:val="20"/>
              </w:rPr>
              <w:t xml:space="preserve"> beschränke</w:t>
            </w:r>
            <w:r w:rsidRPr="005A6B57">
              <w:rPr>
                <w:sz w:val="20"/>
                <w:szCs w:val="20"/>
              </w:rPr>
              <w:t xml:space="preserve">, aber für andere Gewerbe </w:t>
            </w:r>
            <w:r>
              <w:rPr>
                <w:sz w:val="20"/>
                <w:szCs w:val="20"/>
              </w:rPr>
              <w:t xml:space="preserve">in diesem Bereich </w:t>
            </w:r>
            <w:r w:rsidRPr="005A6B57">
              <w:rPr>
                <w:sz w:val="20"/>
                <w:szCs w:val="20"/>
              </w:rPr>
              <w:t xml:space="preserve">kriminalisiere. </w:t>
            </w:r>
          </w:p>
          <w:p w14:paraId="55A4BA6F" w14:textId="77777777" w:rsidR="00074551" w:rsidRPr="000B433D" w:rsidRDefault="00074551" w:rsidP="00367133">
            <w:pPr>
              <w:jc w:val="both"/>
              <w:rPr>
                <w:sz w:val="20"/>
                <w:szCs w:val="20"/>
              </w:rPr>
            </w:pPr>
          </w:p>
        </w:tc>
        <w:tc>
          <w:tcPr>
            <w:tcW w:w="1822" w:type="pct"/>
          </w:tcPr>
          <w:p w14:paraId="2B911BF4"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Nature &amp; Scope of </w:t>
            </w:r>
            <w:proofErr w:type="spellStart"/>
            <w:r w:rsidRPr="00B45592">
              <w:rPr>
                <w:i/>
                <w:sz w:val="20"/>
                <w:szCs w:val="20"/>
              </w:rPr>
              <w:t>Protection</w:t>
            </w:r>
            <w:proofErr w:type="spellEnd"/>
          </w:p>
          <w:p w14:paraId="78EA1B21" w14:textId="77777777" w:rsidR="00074551" w:rsidRPr="00B45592" w:rsidRDefault="00074551" w:rsidP="00367133">
            <w:pPr>
              <w:rPr>
                <w:b/>
                <w:bCs/>
                <w:sz w:val="20"/>
                <w:szCs w:val="20"/>
              </w:rPr>
            </w:pPr>
          </w:p>
          <w:p w14:paraId="481FC9BB" w14:textId="0A92EE9B" w:rsidR="00074551" w:rsidRDefault="00074551" w:rsidP="00367133">
            <w:pPr>
              <w:rPr>
                <w:sz w:val="20"/>
                <w:szCs w:val="20"/>
              </w:rPr>
            </w:pPr>
            <w:r w:rsidRPr="00106BBD">
              <w:rPr>
                <w:sz w:val="20"/>
                <w:szCs w:val="20"/>
              </w:rPr>
              <w:t>Den beklagten Käufern stehe keine Gegenforderung aufgrund des Antitrust-Gesetzes</w:t>
            </w:r>
            <w:r>
              <w:rPr>
                <w:sz w:val="20"/>
                <w:szCs w:val="20"/>
              </w:rPr>
              <w:t xml:space="preserve"> von </w:t>
            </w:r>
            <w:r w:rsidRPr="00106BBD">
              <w:rPr>
                <w:sz w:val="20"/>
                <w:szCs w:val="20"/>
              </w:rPr>
              <w:t xml:space="preserve">Illinois (Ill. Rev. Stat. </w:t>
            </w:r>
            <w:proofErr w:type="spellStart"/>
            <w:r w:rsidRPr="00106BBD">
              <w:rPr>
                <w:sz w:val="20"/>
                <w:szCs w:val="20"/>
              </w:rPr>
              <w:t>ch</w:t>
            </w:r>
            <w:proofErr w:type="spellEnd"/>
            <w:r w:rsidRPr="00106BBD">
              <w:rPr>
                <w:sz w:val="20"/>
                <w:szCs w:val="20"/>
              </w:rPr>
              <w:t xml:space="preserve">. 38, </w:t>
            </w:r>
            <w:proofErr w:type="spellStart"/>
            <w:r w:rsidRPr="00106BBD">
              <w:rPr>
                <w:sz w:val="20"/>
                <w:szCs w:val="20"/>
              </w:rPr>
              <w:t>para</w:t>
            </w:r>
            <w:proofErr w:type="spellEnd"/>
            <w:r w:rsidRPr="00106BBD">
              <w:rPr>
                <w:sz w:val="20"/>
                <w:szCs w:val="20"/>
              </w:rPr>
              <w:t xml:space="preserve">. 618 </w:t>
            </w:r>
            <w:r>
              <w:rPr>
                <w:sz w:val="20"/>
                <w:szCs w:val="20"/>
              </w:rPr>
              <w:t>[</w:t>
            </w:r>
            <w:proofErr w:type="spellStart"/>
            <w:r w:rsidRPr="00106BBD">
              <w:rPr>
                <w:sz w:val="20"/>
                <w:szCs w:val="20"/>
              </w:rPr>
              <w:t>Hurd</w:t>
            </w:r>
            <w:r>
              <w:rPr>
                <w:sz w:val="20"/>
                <w:szCs w:val="20"/>
              </w:rPr>
              <w:t>’</w:t>
            </w:r>
            <w:r w:rsidRPr="00106BBD">
              <w:rPr>
                <w:sz w:val="20"/>
                <w:szCs w:val="20"/>
              </w:rPr>
              <w:t>s</w:t>
            </w:r>
            <w:proofErr w:type="spellEnd"/>
            <w:r w:rsidRPr="00106BBD">
              <w:rPr>
                <w:sz w:val="20"/>
                <w:szCs w:val="20"/>
              </w:rPr>
              <w:t xml:space="preserve"> 1899</w:t>
            </w:r>
            <w:r>
              <w:rPr>
                <w:sz w:val="20"/>
                <w:szCs w:val="20"/>
              </w:rPr>
              <w:t>]</w:t>
            </w:r>
            <w:r w:rsidRPr="00106BBD">
              <w:rPr>
                <w:sz w:val="20"/>
                <w:szCs w:val="20"/>
              </w:rPr>
              <w:t>) zu. Denn das Gesetz bestrafe ein bestimmtes Verhalten von Händlern und Verkäufern von Waren – </w:t>
            </w:r>
            <w:r>
              <w:rPr>
                <w:sz w:val="20"/>
                <w:szCs w:val="20"/>
              </w:rPr>
              <w:t>z.B.</w:t>
            </w:r>
            <w:r w:rsidRPr="00106BBD">
              <w:rPr>
                <w:sz w:val="20"/>
                <w:szCs w:val="20"/>
              </w:rPr>
              <w:t xml:space="preserve"> Zusammenschlüsse –, es erlaube aber Landwirten und Viehzüchtern dasselbe Verhalten. Und dass, obwohl alle im inländischen Handel tätig sind. Diese Regelung verstoße gegen den Gleichheitssatz, daher begründe sie auch keine Gegenforderung, so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106BBD">
              <w:rPr>
                <w:sz w:val="20"/>
                <w:szCs w:val="20"/>
              </w:rPr>
              <w:t>.</w:t>
            </w:r>
            <w:r>
              <w:rPr>
                <w:sz w:val="20"/>
                <w:szCs w:val="20"/>
              </w:rPr>
              <w:t xml:space="preserve"> W</w:t>
            </w:r>
            <w:r w:rsidRPr="00106BBD">
              <w:rPr>
                <w:sz w:val="20"/>
                <w:szCs w:val="20"/>
              </w:rPr>
              <w:t>ie leitet der Gleichheitssatz sich her?</w:t>
            </w:r>
            <w:r w:rsidRPr="00106BBD">
              <w:rPr>
                <w:sz w:val="20"/>
                <w:szCs w:val="20"/>
                <w:vertAlign w:val="superscript"/>
              </w:rPr>
              <w:footnoteReference w:id="1758"/>
            </w:r>
            <w:r w:rsidRPr="00106BBD">
              <w:rPr>
                <w:sz w:val="20"/>
                <w:szCs w:val="20"/>
              </w:rPr>
              <w:t xml:space="preserve"> Er findet sich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06BBD">
              <w:rPr>
                <w:sz w:val="20"/>
                <w:szCs w:val="20"/>
              </w:rPr>
              <w:t xml:space="preserve"> </w:t>
            </w:r>
            <w:r>
              <w:rPr>
                <w:sz w:val="20"/>
                <w:szCs w:val="20"/>
              </w:rPr>
              <w:t>Dieses Amendment</w:t>
            </w:r>
            <w:r w:rsidRPr="00106BBD">
              <w:rPr>
                <w:sz w:val="20"/>
                <w:szCs w:val="20"/>
              </w:rPr>
              <w:t xml:space="preserve"> besagt im Wortlaut, dass kein Staat einer Person das Leben, die Freiheit oder das Eigentum ohne rechtsstaatliches Verfahren entziehen (1. </w:t>
            </w:r>
            <w:proofErr w:type="spellStart"/>
            <w:r w:rsidRPr="00106BBD">
              <w:rPr>
                <w:sz w:val="20"/>
                <w:szCs w:val="20"/>
              </w:rPr>
              <w:t>Hs</w:t>
            </w:r>
            <w:proofErr w:type="spellEnd"/>
            <w:r w:rsidRPr="00106BBD">
              <w:rPr>
                <w:sz w:val="20"/>
                <w:szCs w:val="20"/>
              </w:rPr>
              <w:t xml:space="preserve">.) oder einer Person den gleichen Schutz durch die Gesetze verweigern darf (2. </w:t>
            </w:r>
            <w:proofErr w:type="spellStart"/>
            <w:r w:rsidRPr="00106BBD">
              <w:rPr>
                <w:sz w:val="20"/>
                <w:szCs w:val="20"/>
              </w:rPr>
              <w:t>Hs</w:t>
            </w:r>
            <w:proofErr w:type="spellEnd"/>
            <w:r w:rsidRPr="00106BBD">
              <w:rPr>
                <w:sz w:val="20"/>
                <w:szCs w:val="20"/>
              </w:rPr>
              <w:t xml:space="preserve">.). Das Amendment ziele mit genanntem Wortlaut in negativer Hinsicht darauf, dass staatliche Maßnahmen Leben oder Freiheit nicht willkürlich entziehen sowie Eigentum nicht willkürlich enteignen. In positiver Hinsicht ziele das Amendment darauf, dass alle Menschen unter gleichen Umständen den gleichen Schutz und die gleiche Sicherheit bei der Ausübung ihrer persönlichen Rechte und Bürgerrechte erhalten. Doch wie kommt es zum Verständnis des Lebens, der Freiheit und des Eigentums in positiver und in negativer Hinsicht? </w:t>
            </w:r>
            <w:r>
              <w:rPr>
                <w:sz w:val="20"/>
                <w:szCs w:val="20"/>
              </w:rPr>
              <w:t>Dadurch, dass</w:t>
            </w:r>
            <w:r w:rsidRPr="00106BBD">
              <w:rPr>
                <w:sz w:val="20"/>
                <w:szCs w:val="20"/>
              </w:rPr>
              <w:t xml:space="preserve"> alle Menschen schon nach der </w:t>
            </w:r>
            <w:r w:rsidRPr="5B67C1D2">
              <w:rPr>
                <w:i/>
                <w:iCs/>
                <w:sz w:val="20"/>
                <w:szCs w:val="20"/>
              </w:rPr>
              <w:t>Declaration of Independence</w:t>
            </w:r>
            <w:r w:rsidRPr="00106BBD">
              <w:rPr>
                <w:sz w:val="20"/>
                <w:szCs w:val="20"/>
              </w:rPr>
              <w:t xml:space="preserve"> das gleiche Recht haben sollen, nach ihrem Glück zu streben und Eigentum zu erwerben und zu nutzen</w:t>
            </w:r>
            <w:r>
              <w:rPr>
                <w:sz w:val="20"/>
                <w:szCs w:val="20"/>
              </w:rPr>
              <w:t>. A</w:t>
            </w:r>
            <w:r w:rsidRPr="00106BBD">
              <w:rPr>
                <w:sz w:val="20"/>
                <w:szCs w:val="20"/>
              </w:rPr>
              <w:t>ls Folge sollen sie den gleichen Zugang zu den Gerichten haben, um ihre Person und ihr Eigentum zu schützen, Wiedergutmachung zu beanspruchen und Verträge durchzusetzen; zugleich sollen keine Hindernisse und Lasten für die Berufsausübung bestehen, außer sie g</w:t>
            </w:r>
            <w:r>
              <w:rPr>
                <w:sz w:val="20"/>
                <w:szCs w:val="20"/>
              </w:rPr>
              <w:t>e</w:t>
            </w:r>
            <w:r w:rsidRPr="00106BBD">
              <w:rPr>
                <w:sz w:val="20"/>
                <w:szCs w:val="20"/>
              </w:rPr>
              <w:t xml:space="preserve">lten auch für andere in gleicher Tätigkeit; </w:t>
            </w:r>
            <w:r>
              <w:rPr>
                <w:sz w:val="20"/>
                <w:szCs w:val="20"/>
              </w:rPr>
              <w:t xml:space="preserve">und </w:t>
            </w:r>
            <w:r w:rsidRPr="00106BBD">
              <w:rPr>
                <w:sz w:val="20"/>
                <w:szCs w:val="20"/>
              </w:rPr>
              <w:t>schließlich darf in der Strafverfolgung keine andere oder höhere Strafe gegen eine Person verhängt werden als die, die für alle für die gleichen Straftaten vorgeschrieben ist.</w:t>
            </w:r>
            <w:r w:rsidRPr="00106BBD">
              <w:rPr>
                <w:sz w:val="20"/>
                <w:szCs w:val="20"/>
                <w:vertAlign w:val="superscript"/>
              </w:rPr>
              <w:footnoteReference w:id="1759"/>
            </w:r>
          </w:p>
          <w:p w14:paraId="068AF7CF" w14:textId="77777777" w:rsidR="00074551" w:rsidRPr="00AB127A" w:rsidRDefault="00074551" w:rsidP="00367133">
            <w:pPr>
              <w:rPr>
                <w:b/>
                <w:bCs/>
                <w:sz w:val="20"/>
                <w:szCs w:val="20"/>
              </w:rPr>
            </w:pPr>
          </w:p>
        </w:tc>
      </w:tr>
      <w:tr w:rsidR="00074551" w:rsidRPr="005E3B68" w14:paraId="42274EDA" w14:textId="77777777" w:rsidTr="00BE689F">
        <w:trPr>
          <w:cantSplit/>
          <w:trHeight w:val="3175"/>
        </w:trPr>
        <w:tc>
          <w:tcPr>
            <w:tcW w:w="293" w:type="pct"/>
          </w:tcPr>
          <w:p w14:paraId="7B5F6A8F"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1687F6F9" w14:textId="77777777" w:rsidR="00074551" w:rsidRDefault="00074551" w:rsidP="00367133">
            <w:pPr>
              <w:ind w:right="416"/>
              <w:jc w:val="center"/>
              <w:rPr>
                <w:sz w:val="20"/>
                <w:szCs w:val="20"/>
                <w:lang w:val="en-US"/>
              </w:rPr>
            </w:pPr>
            <w:r>
              <w:rPr>
                <w:sz w:val="20"/>
                <w:szCs w:val="20"/>
                <w:lang w:val="en-US"/>
              </w:rPr>
              <w:t>H</w:t>
            </w:r>
          </w:p>
        </w:tc>
        <w:tc>
          <w:tcPr>
            <w:tcW w:w="387" w:type="pct"/>
            <w:textDirection w:val="tbRl"/>
            <w:vAlign w:val="center"/>
          </w:tcPr>
          <w:p w14:paraId="791A6E11" w14:textId="77777777" w:rsidR="00074551" w:rsidRPr="00257307" w:rsidRDefault="00074551" w:rsidP="00367133">
            <w:pPr>
              <w:ind w:left="113" w:right="416"/>
              <w:jc w:val="both"/>
              <w:rPr>
                <w:sz w:val="20"/>
                <w:szCs w:val="20"/>
                <w:lang w:val="en-US"/>
              </w:rPr>
            </w:pPr>
            <w:r w:rsidRPr="00B35CD0">
              <w:rPr>
                <w:i/>
                <w:sz w:val="20"/>
                <w:szCs w:val="20"/>
              </w:rPr>
              <w:t>Truax v. Corrigan</w:t>
            </w:r>
          </w:p>
        </w:tc>
        <w:tc>
          <w:tcPr>
            <w:tcW w:w="197" w:type="pct"/>
            <w:textDirection w:val="tbRl"/>
            <w:vAlign w:val="center"/>
          </w:tcPr>
          <w:p w14:paraId="05FD8A8D" w14:textId="77777777" w:rsidR="00074551" w:rsidRPr="00257307" w:rsidRDefault="00074551" w:rsidP="00367133">
            <w:pPr>
              <w:ind w:left="113" w:right="113"/>
              <w:jc w:val="both"/>
              <w:rPr>
                <w:sz w:val="20"/>
                <w:szCs w:val="20"/>
              </w:rPr>
            </w:pPr>
            <w:r w:rsidRPr="00257307">
              <w:rPr>
                <w:sz w:val="20"/>
                <w:szCs w:val="20"/>
              </w:rPr>
              <w:t>257 U.S. 312</w:t>
            </w:r>
          </w:p>
        </w:tc>
        <w:tc>
          <w:tcPr>
            <w:tcW w:w="306" w:type="pct"/>
            <w:textDirection w:val="tbRl"/>
            <w:vAlign w:val="center"/>
          </w:tcPr>
          <w:p w14:paraId="6AB8E6D0" w14:textId="77777777" w:rsidR="00074551" w:rsidRDefault="00074551" w:rsidP="00367133">
            <w:pPr>
              <w:ind w:left="113" w:right="113"/>
              <w:jc w:val="both"/>
              <w:rPr>
                <w:sz w:val="20"/>
                <w:szCs w:val="20"/>
                <w:lang w:val="en-US"/>
              </w:rPr>
            </w:pPr>
            <w:r>
              <w:rPr>
                <w:sz w:val="20"/>
                <w:szCs w:val="20"/>
                <w:lang w:val="en-US"/>
              </w:rPr>
              <w:t>19. Dezember 1921</w:t>
            </w:r>
          </w:p>
        </w:tc>
        <w:tc>
          <w:tcPr>
            <w:tcW w:w="401" w:type="pct"/>
          </w:tcPr>
          <w:p w14:paraId="527B9E1E" w14:textId="77777777" w:rsidR="00074551" w:rsidRDefault="00074551" w:rsidP="00367133">
            <w:pPr>
              <w:jc w:val="center"/>
              <w:rPr>
                <w:sz w:val="20"/>
                <w:szCs w:val="20"/>
                <w:lang w:val="en-US"/>
              </w:rPr>
            </w:pPr>
            <w:r>
              <w:rPr>
                <w:sz w:val="20"/>
                <w:szCs w:val="20"/>
                <w:lang w:val="en-US"/>
              </w:rPr>
              <w:t>M</w:t>
            </w:r>
          </w:p>
        </w:tc>
        <w:tc>
          <w:tcPr>
            <w:tcW w:w="1594" w:type="pct"/>
          </w:tcPr>
          <w:p w14:paraId="6B6DB598" w14:textId="77777777" w:rsidR="00074551" w:rsidRPr="0098549D" w:rsidRDefault="00074551" w:rsidP="00367133">
            <w:pPr>
              <w:rPr>
                <w:sz w:val="20"/>
                <w:szCs w:val="20"/>
              </w:rPr>
            </w:pPr>
            <w:r>
              <w:rPr>
                <w:sz w:val="20"/>
                <w:szCs w:val="20"/>
              </w:rPr>
              <w:t>*</w:t>
            </w:r>
          </w:p>
        </w:tc>
        <w:tc>
          <w:tcPr>
            <w:tcW w:w="1822" w:type="pct"/>
          </w:tcPr>
          <w:p w14:paraId="6ADC7A1C"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Equal</w:t>
            </w:r>
            <w:proofErr w:type="spellEnd"/>
            <w:r w:rsidRPr="00B45592">
              <w:rPr>
                <w:i/>
                <w:sz w:val="20"/>
                <w:szCs w:val="20"/>
              </w:rPr>
              <w:t xml:space="preserve"> </w:t>
            </w:r>
            <w:proofErr w:type="spellStart"/>
            <w:r w:rsidRPr="00B45592">
              <w:rPr>
                <w:i/>
                <w:sz w:val="20"/>
                <w:szCs w:val="20"/>
              </w:rPr>
              <w:t>Protection</w:t>
            </w:r>
            <w:proofErr w:type="spellEnd"/>
            <w:r w:rsidRPr="00B45592">
              <w:rPr>
                <w:i/>
                <w:sz w:val="20"/>
                <w:szCs w:val="20"/>
              </w:rPr>
              <w:t xml:space="preserve">, Nature &amp; Scope of </w:t>
            </w:r>
            <w:proofErr w:type="spellStart"/>
            <w:r w:rsidRPr="00B45592">
              <w:rPr>
                <w:i/>
                <w:sz w:val="20"/>
                <w:szCs w:val="20"/>
              </w:rPr>
              <w:t>Protection</w:t>
            </w:r>
            <w:proofErr w:type="spellEnd"/>
          </w:p>
          <w:p w14:paraId="2745619C" w14:textId="77777777" w:rsidR="00074551" w:rsidRPr="00B45592" w:rsidRDefault="00074551" w:rsidP="00367133">
            <w:pPr>
              <w:rPr>
                <w:b/>
                <w:bCs/>
                <w:sz w:val="20"/>
                <w:szCs w:val="20"/>
              </w:rPr>
            </w:pPr>
          </w:p>
          <w:p w14:paraId="2BBE64A1" w14:textId="6BD117BD" w:rsidR="00074551" w:rsidRPr="000026D9" w:rsidRDefault="00074551" w:rsidP="00367133">
            <w:pPr>
              <w:rPr>
                <w:sz w:val="20"/>
                <w:szCs w:val="20"/>
              </w:rPr>
            </w:pPr>
            <w:r w:rsidRPr="00DC0791">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DC0791">
              <w:rPr>
                <w:sz w:val="20"/>
                <w:szCs w:val="20"/>
              </w:rPr>
              <w:t xml:space="preserve"> erklärt, dass der gleiche Schutz vor Gerichten keinen einstweiligen Rechtsschutz verwehren </w:t>
            </w:r>
            <w:r>
              <w:rPr>
                <w:sz w:val="20"/>
                <w:szCs w:val="20"/>
              </w:rPr>
              <w:t>könne</w:t>
            </w:r>
            <w:r w:rsidRPr="00DC0791">
              <w:rPr>
                <w:sz w:val="20"/>
                <w:szCs w:val="20"/>
              </w:rPr>
              <w:t xml:space="preserve">, gerade wenn ein mögliches strafbares Verhalten vorliege. Denn die positive Seite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DC0791">
              <w:rPr>
                <w:sz w:val="20"/>
                <w:szCs w:val="20"/>
              </w:rPr>
              <w:t xml:space="preserve"> sei betroffen</w:t>
            </w:r>
            <w:r>
              <w:rPr>
                <w:sz w:val="20"/>
                <w:szCs w:val="20"/>
              </w:rPr>
              <w:t>;</w:t>
            </w:r>
            <w:r w:rsidRPr="00DC0791">
              <w:rPr>
                <w:sz w:val="20"/>
                <w:szCs w:val="20"/>
              </w:rPr>
              <w:t xml:space="preserve"> die</w:t>
            </w:r>
            <w:r>
              <w:rPr>
                <w:sz w:val="20"/>
                <w:szCs w:val="20"/>
              </w:rPr>
              <w:t>se</w:t>
            </w:r>
            <w:r w:rsidRPr="00DC0791">
              <w:rPr>
                <w:sz w:val="20"/>
                <w:szCs w:val="20"/>
              </w:rPr>
              <w:t xml:space="preserve"> drücke sich </w:t>
            </w:r>
            <w:r>
              <w:rPr>
                <w:sz w:val="20"/>
                <w:szCs w:val="20"/>
              </w:rPr>
              <w:t>u.a.</w:t>
            </w:r>
            <w:r w:rsidRPr="00DC0791">
              <w:rPr>
                <w:sz w:val="20"/>
                <w:szCs w:val="20"/>
              </w:rPr>
              <w:t xml:space="preserve"> im Streben nach Glück aus. Im Fall erklärte der </w:t>
            </w:r>
            <w:r>
              <w:rPr>
                <w:sz w:val="20"/>
                <w:szCs w:val="20"/>
              </w:rPr>
              <w:t>U.S. Supreme Court</w:t>
            </w:r>
            <w:r w:rsidRPr="00DC0791">
              <w:rPr>
                <w:sz w:val="20"/>
                <w:szCs w:val="20"/>
              </w:rPr>
              <w:t xml:space="preserve"> das Gesetz Ariz. Rev. Stat. </w:t>
            </w:r>
            <w:r>
              <w:rPr>
                <w:sz w:val="20"/>
                <w:szCs w:val="20"/>
              </w:rPr>
              <w:t>§ </w:t>
            </w:r>
            <w:r w:rsidRPr="00DC0791">
              <w:rPr>
                <w:sz w:val="20"/>
                <w:szCs w:val="20"/>
              </w:rPr>
              <w:t>1464 (1913)</w:t>
            </w:r>
            <w:r w:rsidRPr="00DC0791">
              <w:rPr>
                <w:sz w:val="20"/>
                <w:szCs w:val="20"/>
                <w:vertAlign w:val="superscript"/>
              </w:rPr>
              <w:footnoteReference w:id="1760"/>
            </w:r>
            <w:r w:rsidRPr="00DC0791">
              <w:rPr>
                <w:sz w:val="20"/>
                <w:szCs w:val="20"/>
              </w:rPr>
              <w:t xml:space="preserve"> für verfassungswidrig. Dieses sichere zwar das Streikrecht von Arbeitnehmern. Aber es nehme Arbeitnehmer von einstweiligen Verfügungen aus, obwohl ein eigentlich zu pönalisierende</w:t>
            </w:r>
            <w:r>
              <w:rPr>
                <w:sz w:val="20"/>
                <w:szCs w:val="20"/>
              </w:rPr>
              <w:t>s</w:t>
            </w:r>
            <w:r w:rsidRPr="00DC0791">
              <w:rPr>
                <w:sz w:val="20"/>
                <w:szCs w:val="20"/>
              </w:rPr>
              <w:t xml:space="preserve"> Verhalten vorl</w:t>
            </w:r>
            <w:r>
              <w:rPr>
                <w:sz w:val="20"/>
                <w:szCs w:val="20"/>
              </w:rPr>
              <w:t>iege. Beispiele von</w:t>
            </w:r>
            <w:r w:rsidRPr="00DC0791">
              <w:rPr>
                <w:sz w:val="20"/>
                <w:szCs w:val="20"/>
              </w:rPr>
              <w:t xml:space="preserve"> konkret zu pönalis</w:t>
            </w:r>
            <w:r>
              <w:rPr>
                <w:sz w:val="20"/>
                <w:szCs w:val="20"/>
              </w:rPr>
              <w:t>i</w:t>
            </w:r>
            <w:r w:rsidRPr="00DC0791">
              <w:rPr>
                <w:sz w:val="20"/>
                <w:szCs w:val="20"/>
              </w:rPr>
              <w:t>erende</w:t>
            </w:r>
            <w:r>
              <w:rPr>
                <w:sz w:val="20"/>
                <w:szCs w:val="20"/>
              </w:rPr>
              <w:t>n</w:t>
            </w:r>
            <w:r w:rsidRPr="00DC0791">
              <w:rPr>
                <w:sz w:val="20"/>
                <w:szCs w:val="20"/>
              </w:rPr>
              <w:t xml:space="preserve"> Tathandlungen, von denen Arbeitnehmer ausgenommen waren, lauteten: Streikposten aufzustellen, den Bürgersteig vor einem Geschäft zu patrouillieren sowie beleidigende und verleumderische Flugblätter zu verteilen, die sich gegen einen Restauranteigentümer und dessen Kunden richte</w:t>
            </w:r>
            <w:r>
              <w:rPr>
                <w:sz w:val="20"/>
                <w:szCs w:val="20"/>
              </w:rPr>
              <w:t>te</w:t>
            </w:r>
            <w:r w:rsidRPr="00DC0791">
              <w:rPr>
                <w:sz w:val="20"/>
                <w:szCs w:val="20"/>
              </w:rPr>
              <w:t>n und die beabsichtigten, das Geschäft dieses Restaurants zu schädigen</w:t>
            </w:r>
            <w:r>
              <w:rPr>
                <w:sz w:val="20"/>
                <w:szCs w:val="20"/>
              </w:rPr>
              <w:t>,</w:t>
            </w:r>
            <w:r w:rsidRPr="00DC0791">
              <w:rPr>
                <w:sz w:val="20"/>
                <w:szCs w:val="20"/>
              </w:rPr>
              <w:t xml:space="preserve"> und sogar den Tatbestand einer Beleidigung erfüllten – dessen Rechtsfolge eine Geld- oder sogar Gefängnisstrafe sei. Aber für Arbeitnehmer gab es</w:t>
            </w:r>
            <w:r>
              <w:rPr>
                <w:sz w:val="20"/>
                <w:szCs w:val="20"/>
              </w:rPr>
              <w:t xml:space="preserve"> die</w:t>
            </w:r>
            <w:r w:rsidRPr="00DC0791">
              <w:rPr>
                <w:sz w:val="20"/>
                <w:szCs w:val="20"/>
              </w:rPr>
              <w:t xml:space="preserve"> </w:t>
            </w:r>
            <w:r>
              <w:rPr>
                <w:sz w:val="20"/>
                <w:szCs w:val="20"/>
              </w:rPr>
              <w:t>erwähnte</w:t>
            </w:r>
            <w:r w:rsidRPr="00DC0791">
              <w:rPr>
                <w:sz w:val="20"/>
                <w:szCs w:val="20"/>
              </w:rPr>
              <w:t xml:space="preserve"> gesetzliche Ausnahme von einstweiligen Verfügungen. Damit wäre den Restauranteigentümern als Arbeitgeber Rechtsschutz verwehrt, </w:t>
            </w:r>
            <w:r>
              <w:rPr>
                <w:sz w:val="20"/>
                <w:szCs w:val="20"/>
              </w:rPr>
              <w:t>nämlich</w:t>
            </w:r>
            <w:r w:rsidRPr="00DC0791">
              <w:rPr>
                <w:sz w:val="20"/>
                <w:szCs w:val="20"/>
              </w:rPr>
              <w:t xml:space="preserve"> eine einstweilige Verfügung auf Unterlassung der zu pönalis</w:t>
            </w:r>
            <w:r>
              <w:rPr>
                <w:sz w:val="20"/>
                <w:szCs w:val="20"/>
              </w:rPr>
              <w:t>i</w:t>
            </w:r>
            <w:r w:rsidRPr="00DC0791">
              <w:rPr>
                <w:sz w:val="20"/>
                <w:szCs w:val="20"/>
              </w:rPr>
              <w:t>erende</w:t>
            </w:r>
            <w:r>
              <w:rPr>
                <w:sz w:val="20"/>
                <w:szCs w:val="20"/>
              </w:rPr>
              <w:t>n</w:t>
            </w:r>
            <w:r w:rsidRPr="00DC0791">
              <w:rPr>
                <w:sz w:val="20"/>
                <w:szCs w:val="20"/>
              </w:rPr>
              <w:t xml:space="preserve"> Tathandlungen. Und damit könnten die Urheber der Tathandlungen einer unmittelbaren Bestrafung in Form der einstweilige</w:t>
            </w:r>
            <w:r>
              <w:rPr>
                <w:sz w:val="20"/>
                <w:szCs w:val="20"/>
              </w:rPr>
              <w:t>n</w:t>
            </w:r>
            <w:r w:rsidRPr="00DC0791">
              <w:rPr>
                <w:sz w:val="20"/>
                <w:szCs w:val="20"/>
              </w:rPr>
              <w:t xml:space="preserve"> Verfügung entgehen. Dies würde eine unhaltbare Strafbarkeitslücke schaffen („</w:t>
            </w:r>
            <w:proofErr w:type="spellStart"/>
            <w:r w:rsidRPr="00DC0791">
              <w:rPr>
                <w:sz w:val="20"/>
                <w:szCs w:val="20"/>
              </w:rPr>
              <w:t>escape</w:t>
            </w:r>
            <w:proofErr w:type="spellEnd"/>
            <w:r w:rsidRPr="00DC0791">
              <w:rPr>
                <w:sz w:val="20"/>
                <w:szCs w:val="20"/>
              </w:rPr>
              <w:t xml:space="preserve"> </w:t>
            </w:r>
            <w:proofErr w:type="spellStart"/>
            <w:r w:rsidRPr="00DC0791">
              <w:rPr>
                <w:sz w:val="20"/>
                <w:szCs w:val="20"/>
              </w:rPr>
              <w:t>punishment</w:t>
            </w:r>
            <w:proofErr w:type="spellEnd"/>
            <w:r w:rsidRPr="00DC0791">
              <w:rPr>
                <w:sz w:val="20"/>
                <w:szCs w:val="20"/>
              </w:rPr>
              <w:t>“</w:t>
            </w:r>
            <w:r w:rsidRPr="00DC0791">
              <w:rPr>
                <w:sz w:val="20"/>
                <w:szCs w:val="20"/>
                <w:vertAlign w:val="superscript"/>
              </w:rPr>
              <w:footnoteReference w:id="1761"/>
            </w:r>
            <w:r w:rsidRPr="00DC0791">
              <w:rPr>
                <w:sz w:val="20"/>
                <w:szCs w:val="20"/>
              </w:rPr>
              <w:t>). Das Gesetz</w:t>
            </w:r>
            <w:r>
              <w:rPr>
                <w:sz w:val="20"/>
                <w:szCs w:val="20"/>
              </w:rPr>
              <w:t xml:space="preserve"> </w:t>
            </w:r>
            <w:r w:rsidRPr="00DC0791">
              <w:rPr>
                <w:sz w:val="20"/>
                <w:szCs w:val="20"/>
              </w:rPr>
              <w:t xml:space="preserve">widerspreche auch dem Gleichheitssatz, so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DC0791">
              <w:rPr>
                <w:sz w:val="20"/>
                <w:szCs w:val="20"/>
              </w:rPr>
              <w:t>. Denn den Restauranteigentümern bzw. Arbeitgebern sei der gleiche Schutz durch Gesetze verweigert („</w:t>
            </w:r>
            <w:proofErr w:type="spellStart"/>
            <w:r w:rsidRPr="00DC0791">
              <w:rPr>
                <w:sz w:val="20"/>
                <w:szCs w:val="20"/>
              </w:rPr>
              <w:t>take</w:t>
            </w:r>
            <w:proofErr w:type="spellEnd"/>
            <w:r w:rsidRPr="00DC0791">
              <w:rPr>
                <w:sz w:val="20"/>
                <w:szCs w:val="20"/>
              </w:rPr>
              <w:t xml:space="preserve"> </w:t>
            </w:r>
            <w:proofErr w:type="spellStart"/>
            <w:r w:rsidRPr="00DC0791">
              <w:rPr>
                <w:sz w:val="20"/>
                <w:szCs w:val="20"/>
              </w:rPr>
              <w:t>away</w:t>
            </w:r>
            <w:proofErr w:type="spellEnd"/>
            <w:r w:rsidRPr="00DC0791">
              <w:rPr>
                <w:sz w:val="20"/>
                <w:szCs w:val="20"/>
              </w:rPr>
              <w:t xml:space="preserve"> </w:t>
            </w:r>
            <w:proofErr w:type="spellStart"/>
            <w:r w:rsidRPr="00DC0791">
              <w:rPr>
                <w:sz w:val="20"/>
                <w:szCs w:val="20"/>
              </w:rPr>
              <w:t>from</w:t>
            </w:r>
            <w:proofErr w:type="spellEnd"/>
            <w:r w:rsidRPr="00DC0791">
              <w:rPr>
                <w:sz w:val="20"/>
                <w:szCs w:val="20"/>
              </w:rPr>
              <w:t xml:space="preserve"> </w:t>
            </w:r>
            <w:proofErr w:type="spellStart"/>
            <w:r w:rsidRPr="00DC0791">
              <w:rPr>
                <w:sz w:val="20"/>
                <w:szCs w:val="20"/>
              </w:rPr>
              <w:t>its</w:t>
            </w:r>
            <w:proofErr w:type="spellEnd"/>
            <w:r w:rsidRPr="00DC0791">
              <w:rPr>
                <w:sz w:val="20"/>
                <w:szCs w:val="20"/>
              </w:rPr>
              <w:t xml:space="preserve"> </w:t>
            </w:r>
            <w:proofErr w:type="spellStart"/>
            <w:r w:rsidRPr="00DC0791">
              <w:rPr>
                <w:sz w:val="20"/>
                <w:szCs w:val="20"/>
              </w:rPr>
              <w:t>courts</w:t>
            </w:r>
            <w:proofErr w:type="spellEnd"/>
            <w:r w:rsidRPr="00DC0791">
              <w:rPr>
                <w:sz w:val="20"/>
                <w:szCs w:val="20"/>
              </w:rPr>
              <w:t xml:space="preserve"> all </w:t>
            </w:r>
            <w:proofErr w:type="spellStart"/>
            <w:r w:rsidRPr="00DC0791">
              <w:rPr>
                <w:sz w:val="20"/>
                <w:szCs w:val="20"/>
              </w:rPr>
              <w:t>equity</w:t>
            </w:r>
            <w:proofErr w:type="spellEnd"/>
            <w:r w:rsidRPr="00DC0791">
              <w:rPr>
                <w:sz w:val="20"/>
                <w:szCs w:val="20"/>
              </w:rPr>
              <w:t xml:space="preserve"> </w:t>
            </w:r>
            <w:proofErr w:type="spellStart"/>
            <w:r w:rsidRPr="00DC0791">
              <w:rPr>
                <w:sz w:val="20"/>
                <w:szCs w:val="20"/>
              </w:rPr>
              <w:t>jurisdiction</w:t>
            </w:r>
            <w:proofErr w:type="spellEnd"/>
            <w:r w:rsidRPr="00DC0791">
              <w:rPr>
                <w:sz w:val="20"/>
                <w:szCs w:val="20"/>
              </w:rPr>
              <w:t>“</w:t>
            </w:r>
            <w:r w:rsidRPr="00DC0791">
              <w:rPr>
                <w:sz w:val="20"/>
                <w:szCs w:val="20"/>
                <w:vertAlign w:val="superscript"/>
              </w:rPr>
              <w:footnoteReference w:id="1762"/>
            </w:r>
            <w:r w:rsidRPr="00DC0791">
              <w:rPr>
                <w:sz w:val="20"/>
                <w:szCs w:val="20"/>
              </w:rPr>
              <w:t>)</w:t>
            </w:r>
            <w:r>
              <w:rPr>
                <w:sz w:val="20"/>
                <w:szCs w:val="20"/>
              </w:rPr>
              <w:t>, w</w:t>
            </w:r>
            <w:r w:rsidRPr="00DC0791">
              <w:rPr>
                <w:sz w:val="20"/>
                <w:szCs w:val="20"/>
              </w:rPr>
              <w:t xml:space="preserve">eil einem anderen betroffenen Eigentümer unter gleichen Umständen und in derselben bundesstaatlichen Zuständigkeit eine einstweilige Verfügung gewährt würde. </w:t>
            </w:r>
            <w:r>
              <w:rPr>
                <w:sz w:val="20"/>
                <w:szCs w:val="20"/>
              </w:rPr>
              <w:t>Den</w:t>
            </w:r>
            <w:r w:rsidRPr="00DC0791">
              <w:rPr>
                <w:sz w:val="20"/>
                <w:szCs w:val="20"/>
              </w:rPr>
              <w:t xml:space="preserve"> dogmatische</w:t>
            </w:r>
            <w:r>
              <w:rPr>
                <w:sz w:val="20"/>
                <w:szCs w:val="20"/>
              </w:rPr>
              <w:t>n</w:t>
            </w:r>
            <w:r w:rsidRPr="00DC0791">
              <w:rPr>
                <w:sz w:val="20"/>
                <w:szCs w:val="20"/>
              </w:rPr>
              <w:t xml:space="preserve"> Hintergrund dieser Schlussfolgerung</w:t>
            </w:r>
            <w:r>
              <w:rPr>
                <w:sz w:val="20"/>
                <w:szCs w:val="20"/>
              </w:rPr>
              <w:t xml:space="preserve"> bildet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DC0791">
              <w:rPr>
                <w:sz w:val="20"/>
                <w:szCs w:val="20"/>
              </w:rPr>
              <w:t xml:space="preserve"> Dieses soll nicht nur – in negativer Hinsicht – sicherstellen, dass es keine willkürliche Entziehung von Leben, Freiheit oder Eigentum </w:t>
            </w:r>
            <w:r>
              <w:rPr>
                <w:sz w:val="20"/>
                <w:szCs w:val="20"/>
              </w:rPr>
              <w:t>gibt</w:t>
            </w:r>
            <w:r w:rsidRPr="00DC0791">
              <w:rPr>
                <w:sz w:val="20"/>
                <w:szCs w:val="20"/>
              </w:rPr>
              <w:t>. Es verlang</w:t>
            </w:r>
            <w:r>
              <w:rPr>
                <w:sz w:val="20"/>
                <w:szCs w:val="20"/>
              </w:rPr>
              <w:t>t</w:t>
            </w:r>
            <w:r w:rsidRPr="00DC0791">
              <w:rPr>
                <w:sz w:val="20"/>
                <w:szCs w:val="20"/>
              </w:rPr>
              <w:t xml:space="preserve"> auch – in positiver Hinsicht – gleichen Schutz und gleiche Sicherheit, um persönliche und bürgerliche Rechte auszuüben. D.h.: Jeder soll die gleichen Rechte haben, nach Glück streben zu können und Eigentum zu erwerben sowie dieses nutzen zu können. Alle Menschen sollen gleichberechtigt Zugang zu den Gerichten haben, um ebenjene Rechte wie Eigentum zu schützen oder Wi</w:t>
            </w:r>
            <w:r>
              <w:rPr>
                <w:sz w:val="20"/>
                <w:szCs w:val="20"/>
              </w:rPr>
              <w:t>e</w:t>
            </w:r>
            <w:r w:rsidRPr="00DC0791">
              <w:rPr>
                <w:sz w:val="20"/>
                <w:szCs w:val="20"/>
              </w:rPr>
              <w:t xml:space="preserve">dergutmachung zu </w:t>
            </w:r>
            <w:r w:rsidRPr="00DC0791">
              <w:rPr>
                <w:sz w:val="20"/>
                <w:szCs w:val="20"/>
              </w:rPr>
              <w:lastRenderedPageBreak/>
              <w:t>erhalten und Verträge durchsetzen zu können. Es dürfen hierbei keine Hindernisse auferlegt werden, außer sie gelten unter gleichen Umständen</w:t>
            </w:r>
            <w:r>
              <w:rPr>
                <w:sz w:val="20"/>
                <w:szCs w:val="20"/>
              </w:rPr>
              <w:t xml:space="preserve"> </w:t>
            </w:r>
            <w:r w:rsidRPr="00DC0791">
              <w:rPr>
                <w:sz w:val="20"/>
                <w:szCs w:val="20"/>
              </w:rPr>
              <w:t>auch für andere. Und zuletzt: Strafen müssen für alle bei gleichen Vergehen und Verbrechen gleich sein.</w:t>
            </w:r>
            <w:r w:rsidRPr="00DC0791">
              <w:rPr>
                <w:sz w:val="20"/>
                <w:szCs w:val="20"/>
                <w:vertAlign w:val="superscript"/>
              </w:rPr>
              <w:footnoteReference w:id="1763"/>
            </w:r>
            <w:r w:rsidRPr="00DC0791">
              <w:rPr>
                <w:sz w:val="20"/>
                <w:szCs w:val="20"/>
              </w:rPr>
              <w:t xml:space="preserve"> Nach dieser Schutzrichtung ist hier die positive Seite den Restauranteigentümern bzw. Arbeitgebern genommen, weshalb das Gesetz verfassungswidrig sei.</w:t>
            </w:r>
          </w:p>
        </w:tc>
      </w:tr>
      <w:tr w:rsidR="00074551" w:rsidRPr="00E50B51" w14:paraId="32DE99BB" w14:textId="77777777" w:rsidTr="00203768">
        <w:trPr>
          <w:cantSplit/>
          <w:trHeight w:val="3175"/>
        </w:trPr>
        <w:tc>
          <w:tcPr>
            <w:tcW w:w="293" w:type="pct"/>
            <w:shd w:val="clear" w:color="auto" w:fill="E7E6E6" w:themeFill="background2"/>
          </w:tcPr>
          <w:p w14:paraId="7908DD47"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641DF60F" w14:textId="77777777" w:rsidR="00074551" w:rsidRPr="00E50B51" w:rsidRDefault="00074551" w:rsidP="00367133">
            <w:pPr>
              <w:ind w:left="113" w:right="416"/>
              <w:jc w:val="both"/>
              <w:rPr>
                <w:sz w:val="20"/>
                <w:szCs w:val="20"/>
                <w:lang w:val="en-US"/>
              </w:rPr>
            </w:pPr>
            <w:r w:rsidRPr="00E50B51">
              <w:rPr>
                <w:sz w:val="20"/>
                <w:szCs w:val="20"/>
              </w:rPr>
              <w:t>Rechtsstaatliche Seite</w:t>
            </w:r>
          </w:p>
        </w:tc>
        <w:tc>
          <w:tcPr>
            <w:tcW w:w="197" w:type="pct"/>
            <w:shd w:val="clear" w:color="auto" w:fill="E7E6E6" w:themeFill="background2"/>
            <w:textDirection w:val="tbRl"/>
            <w:vAlign w:val="center"/>
          </w:tcPr>
          <w:p w14:paraId="6C7594A8" w14:textId="77777777" w:rsidR="00074551" w:rsidRPr="00E50B51" w:rsidRDefault="00074551" w:rsidP="00367133">
            <w:pPr>
              <w:ind w:left="113" w:right="113"/>
              <w:jc w:val="both"/>
              <w:rPr>
                <w:sz w:val="20"/>
                <w:szCs w:val="20"/>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75D4F0DB" w14:textId="77777777" w:rsidR="00074551" w:rsidRPr="00E50B51" w:rsidRDefault="00074551" w:rsidP="00367133">
            <w:pPr>
              <w:ind w:left="113" w:right="113"/>
              <w:jc w:val="both"/>
              <w:rPr>
                <w:sz w:val="20"/>
                <w:szCs w:val="20"/>
                <w:lang w:val="en-US"/>
              </w:rPr>
            </w:pPr>
            <w:r w:rsidRPr="00E50B51">
              <w:rPr>
                <w:sz w:val="20"/>
                <w:szCs w:val="20"/>
                <w:lang w:val="en-US"/>
              </w:rPr>
              <w:t>National Origin and Race</w:t>
            </w:r>
          </w:p>
        </w:tc>
        <w:tc>
          <w:tcPr>
            <w:tcW w:w="401" w:type="pct"/>
            <w:shd w:val="clear" w:color="auto" w:fill="E7E6E6" w:themeFill="background2"/>
          </w:tcPr>
          <w:p w14:paraId="0528FD1F"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10832F9C" w14:textId="77777777" w:rsidR="00074551" w:rsidRPr="00E50B51" w:rsidRDefault="00074551" w:rsidP="00367133">
            <w:pPr>
              <w:jc w:val="both"/>
              <w:rPr>
                <w:sz w:val="20"/>
                <w:szCs w:val="20"/>
                <w:lang w:val="en-US"/>
              </w:rPr>
            </w:pPr>
          </w:p>
        </w:tc>
        <w:tc>
          <w:tcPr>
            <w:tcW w:w="1822" w:type="pct"/>
            <w:shd w:val="clear" w:color="auto" w:fill="E7E6E6" w:themeFill="background2"/>
          </w:tcPr>
          <w:p w14:paraId="13C620A2" w14:textId="7F8D1309"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7AB66B1C" w14:textId="77777777" w:rsidTr="00BE689F">
        <w:trPr>
          <w:cantSplit/>
          <w:trHeight w:val="3175"/>
        </w:trPr>
        <w:tc>
          <w:tcPr>
            <w:tcW w:w="293" w:type="pct"/>
          </w:tcPr>
          <w:p w14:paraId="20BC5B3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5046DB3" w14:textId="77777777" w:rsidR="00074551" w:rsidRPr="00B45592" w:rsidRDefault="00074551" w:rsidP="00367133">
            <w:pPr>
              <w:ind w:left="113" w:right="416"/>
              <w:jc w:val="both"/>
              <w:rPr>
                <w:i/>
                <w:sz w:val="20"/>
                <w:szCs w:val="20"/>
              </w:rPr>
            </w:pPr>
            <w:proofErr w:type="spellStart"/>
            <w:r w:rsidRPr="00B45592">
              <w:rPr>
                <w:i/>
                <w:sz w:val="20"/>
                <w:szCs w:val="20"/>
                <w:lang w:val="en-US"/>
              </w:rPr>
              <w:t>Adarand</w:t>
            </w:r>
            <w:proofErr w:type="spellEnd"/>
            <w:r w:rsidRPr="00B45592">
              <w:rPr>
                <w:i/>
                <w:sz w:val="20"/>
                <w:szCs w:val="20"/>
                <w:lang w:val="en-US"/>
              </w:rPr>
              <w:t xml:space="preserve"> Constructors v. Pena</w:t>
            </w:r>
          </w:p>
        </w:tc>
        <w:tc>
          <w:tcPr>
            <w:tcW w:w="197" w:type="pct"/>
            <w:textDirection w:val="tbRl"/>
            <w:vAlign w:val="center"/>
          </w:tcPr>
          <w:p w14:paraId="45F15D9E" w14:textId="77777777" w:rsidR="00074551" w:rsidRPr="00E50B51" w:rsidRDefault="00074551" w:rsidP="00367133">
            <w:pPr>
              <w:ind w:left="113" w:right="113"/>
              <w:jc w:val="both"/>
              <w:rPr>
                <w:sz w:val="20"/>
                <w:szCs w:val="20"/>
              </w:rPr>
            </w:pPr>
            <w:r w:rsidRPr="00E50B51">
              <w:rPr>
                <w:sz w:val="20"/>
                <w:szCs w:val="20"/>
                <w:lang w:val="en-US"/>
              </w:rPr>
              <w:t>515 U.S. 200</w:t>
            </w:r>
          </w:p>
        </w:tc>
        <w:tc>
          <w:tcPr>
            <w:tcW w:w="306" w:type="pct"/>
            <w:textDirection w:val="tbRl"/>
            <w:vAlign w:val="center"/>
          </w:tcPr>
          <w:p w14:paraId="57A15E53" w14:textId="77777777" w:rsidR="00074551" w:rsidRPr="00E50B51" w:rsidRDefault="00074551" w:rsidP="00367133">
            <w:pPr>
              <w:ind w:left="113" w:right="113"/>
              <w:jc w:val="both"/>
              <w:rPr>
                <w:sz w:val="20"/>
                <w:szCs w:val="20"/>
              </w:rPr>
            </w:pPr>
            <w:r w:rsidRPr="00E50B51">
              <w:rPr>
                <w:sz w:val="20"/>
                <w:szCs w:val="20"/>
              </w:rPr>
              <w:t>12. Juni 1995</w:t>
            </w:r>
          </w:p>
        </w:tc>
        <w:tc>
          <w:tcPr>
            <w:tcW w:w="401" w:type="pct"/>
          </w:tcPr>
          <w:p w14:paraId="64AC6D84" w14:textId="77777777" w:rsidR="00074551" w:rsidRPr="00E50B51" w:rsidRDefault="00074551" w:rsidP="00367133">
            <w:pPr>
              <w:jc w:val="center"/>
              <w:rPr>
                <w:sz w:val="20"/>
                <w:szCs w:val="20"/>
              </w:rPr>
            </w:pPr>
            <w:r w:rsidRPr="00E50B51">
              <w:rPr>
                <w:sz w:val="20"/>
                <w:szCs w:val="20"/>
                <w:lang w:val="en-US"/>
              </w:rPr>
              <w:t>C</w:t>
            </w:r>
          </w:p>
        </w:tc>
        <w:tc>
          <w:tcPr>
            <w:tcW w:w="1594" w:type="pct"/>
          </w:tcPr>
          <w:p w14:paraId="45F25937" w14:textId="6EC9CC23" w:rsidR="00074551" w:rsidRPr="00E50B51" w:rsidRDefault="00074551" w:rsidP="00367133">
            <w:pPr>
              <w:jc w:val="both"/>
              <w:rPr>
                <w:sz w:val="20"/>
                <w:szCs w:val="20"/>
              </w:rPr>
            </w:pPr>
            <w:r w:rsidRPr="00E50B51">
              <w:rPr>
                <w:sz w:val="20"/>
                <w:szCs w:val="20"/>
              </w:rPr>
              <w:t>Im Fall wurde dem günstigsten Bieter für einen Bundesauftrag</w:t>
            </w:r>
            <w:r>
              <w:rPr>
                <w:sz w:val="20"/>
                <w:szCs w:val="20"/>
              </w:rPr>
              <w:t xml:space="preserve"> ebenjener </w:t>
            </w:r>
            <w:r w:rsidRPr="00E50B51">
              <w:rPr>
                <w:sz w:val="20"/>
                <w:szCs w:val="20"/>
              </w:rPr>
              <w:t xml:space="preserve">verweigert, weil nach Bundesgesetz (Federal </w:t>
            </w:r>
            <w:r>
              <w:rPr>
                <w:sz w:val="20"/>
                <w:szCs w:val="20"/>
              </w:rPr>
              <w:t>L</w:t>
            </w:r>
            <w:r w:rsidRPr="00E50B51">
              <w:rPr>
                <w:sz w:val="20"/>
                <w:szCs w:val="20"/>
              </w:rPr>
              <w:t xml:space="preserve">aw </w:t>
            </w:r>
            <w:r>
              <w:rPr>
                <w:sz w:val="20"/>
                <w:szCs w:val="20"/>
              </w:rPr>
              <w:t>–</w:t>
            </w:r>
            <w:r w:rsidRPr="00E50B51">
              <w:rPr>
                <w:sz w:val="20"/>
                <w:szCs w:val="20"/>
              </w:rPr>
              <w:t xml:space="preserve"> 15 U.S.C.S. </w:t>
            </w:r>
            <w:r>
              <w:rPr>
                <w:sz w:val="20"/>
                <w:szCs w:val="20"/>
              </w:rPr>
              <w:t>§ </w:t>
            </w:r>
            <w:r w:rsidRPr="00E50B51">
              <w:rPr>
                <w:sz w:val="20"/>
                <w:szCs w:val="20"/>
              </w:rPr>
              <w:t>687</w:t>
            </w:r>
            <w:r>
              <w:rPr>
                <w:sz w:val="20"/>
                <w:szCs w:val="20"/>
              </w:rPr>
              <w:t>[</w:t>
            </w:r>
            <w:r w:rsidRPr="00E50B51">
              <w:rPr>
                <w:sz w:val="20"/>
                <w:szCs w:val="20"/>
              </w:rPr>
              <w:t>d</w:t>
            </w:r>
            <w:r>
              <w:rPr>
                <w:sz w:val="20"/>
                <w:szCs w:val="20"/>
              </w:rPr>
              <w:t>][</w:t>
            </w:r>
            <w:r w:rsidRPr="00E50B51">
              <w:rPr>
                <w:sz w:val="20"/>
                <w:szCs w:val="20"/>
              </w:rPr>
              <w:t>2</w:t>
            </w:r>
            <w:r>
              <w:rPr>
                <w:sz w:val="20"/>
                <w:szCs w:val="20"/>
              </w:rPr>
              <w:t>]</w:t>
            </w:r>
            <w:r w:rsidRPr="00E50B51">
              <w:rPr>
                <w:sz w:val="20"/>
                <w:szCs w:val="20"/>
              </w:rPr>
              <w:t xml:space="preserve"> &amp; </w:t>
            </w:r>
            <w:r>
              <w:rPr>
                <w:sz w:val="20"/>
                <w:szCs w:val="20"/>
              </w:rPr>
              <w:t>[</w:t>
            </w:r>
            <w:r w:rsidRPr="00E50B51">
              <w:rPr>
                <w:sz w:val="20"/>
                <w:szCs w:val="20"/>
              </w:rPr>
              <w:t>3</w:t>
            </w:r>
            <w:r>
              <w:rPr>
                <w:sz w:val="20"/>
                <w:szCs w:val="20"/>
              </w:rPr>
              <w:t>]</w:t>
            </w:r>
            <w:r w:rsidRPr="00D73678">
              <w:rPr>
                <w:rStyle w:val="Funotenzeichen"/>
                <w:sz w:val="20"/>
                <w:szCs w:val="20"/>
              </w:rPr>
              <w:footnoteReference w:id="1764"/>
            </w:r>
            <w:r w:rsidRPr="00D73678">
              <w:rPr>
                <w:sz w:val="20"/>
                <w:szCs w:val="20"/>
              </w:rPr>
              <w:t>)</w:t>
            </w:r>
            <w:r w:rsidRPr="00E50B51">
              <w:rPr>
                <w:sz w:val="20"/>
                <w:szCs w:val="20"/>
              </w:rPr>
              <w:t xml:space="preserve"> Unternehmen, die einem Minderheiteneigner gehören, zu bevorzugen sind. Der </w:t>
            </w:r>
            <w:r>
              <w:rPr>
                <w:sz w:val="20"/>
                <w:szCs w:val="20"/>
              </w:rPr>
              <w:t>U.S. Supreme Court</w:t>
            </w:r>
            <w:r w:rsidRPr="00E50B51">
              <w:rPr>
                <w:sz w:val="20"/>
                <w:szCs w:val="20"/>
              </w:rPr>
              <w:t xml:space="preserve"> erklärte das Gesetz und seine Vergabepraxis für verfassungswidrig, und </w:t>
            </w:r>
            <w:r>
              <w:rPr>
                <w:sz w:val="20"/>
                <w:szCs w:val="20"/>
              </w:rPr>
              <w:t xml:space="preserve">hob </w:t>
            </w:r>
            <w:r w:rsidRPr="00E50B51">
              <w:rPr>
                <w:sz w:val="20"/>
                <w:szCs w:val="20"/>
              </w:rPr>
              <w:t xml:space="preserve">die darauf fußenden </w:t>
            </w:r>
            <w:proofErr w:type="spellStart"/>
            <w:r w:rsidRPr="00E50B51">
              <w:rPr>
                <w:sz w:val="20"/>
                <w:szCs w:val="20"/>
              </w:rPr>
              <w:t>unterinstanziellen</w:t>
            </w:r>
            <w:proofErr w:type="spellEnd"/>
            <w:r w:rsidRPr="00E50B51">
              <w:rPr>
                <w:sz w:val="20"/>
                <w:szCs w:val="20"/>
              </w:rPr>
              <w:t xml:space="preserve"> Entscheidungen</w:t>
            </w:r>
            <w:r>
              <w:rPr>
                <w:sz w:val="20"/>
                <w:szCs w:val="20"/>
              </w:rPr>
              <w:t xml:space="preserve"> auf</w:t>
            </w:r>
            <w:r w:rsidRPr="00E50B51">
              <w:rPr>
                <w:sz w:val="20"/>
                <w:szCs w:val="20"/>
              </w:rPr>
              <w:t xml:space="preserve">. </w:t>
            </w:r>
            <w:r>
              <w:rPr>
                <w:sz w:val="20"/>
                <w:szCs w:val="20"/>
              </w:rPr>
              <w:t>Als Begründung</w:t>
            </w:r>
            <w:r w:rsidRPr="00E50B51">
              <w:rPr>
                <w:sz w:val="20"/>
                <w:szCs w:val="20"/>
              </w:rPr>
              <w:t xml:space="preserve"> besprach e</w:t>
            </w:r>
            <w:r>
              <w:rPr>
                <w:sz w:val="20"/>
                <w:szCs w:val="20"/>
              </w:rPr>
              <w:t>r</w:t>
            </w:r>
            <w:r w:rsidRPr="00E50B51">
              <w:rPr>
                <w:sz w:val="20"/>
                <w:szCs w:val="20"/>
              </w:rPr>
              <w:t xml:space="preserve"> zwei Argumente. Erstens: Der Kläger habe nur geltend machen müssen, aufgrund diskriminierender Klassifikation nicht </w:t>
            </w:r>
            <w:r>
              <w:rPr>
                <w:sz w:val="20"/>
                <w:szCs w:val="20"/>
              </w:rPr>
              <w:t xml:space="preserve">mehr </w:t>
            </w:r>
            <w:r w:rsidRPr="00E50B51">
              <w:rPr>
                <w:sz w:val="20"/>
                <w:szCs w:val="20"/>
              </w:rPr>
              <w:t xml:space="preserve">gleichberechtigt am Wettbewerb teilnehmen zu können. Nicht jedoch hätte der Kläger behaupten müssen, dass er ohne die diskriminierende Einstufung </w:t>
            </w:r>
            <w:r>
              <w:rPr>
                <w:sz w:val="20"/>
                <w:szCs w:val="20"/>
              </w:rPr>
              <w:t>den Auftrag gewonnen hätte</w:t>
            </w:r>
            <w:r w:rsidRPr="00E50B51">
              <w:rPr>
                <w:sz w:val="20"/>
                <w:szCs w:val="20"/>
              </w:rPr>
              <w:t xml:space="preserve">. Zweitens: </w:t>
            </w:r>
            <w:r>
              <w:rPr>
                <w:sz w:val="20"/>
                <w:szCs w:val="20"/>
              </w:rPr>
              <w:t>B</w:t>
            </w:r>
            <w:r w:rsidRPr="00E50B51">
              <w:rPr>
                <w:sz w:val="20"/>
                <w:szCs w:val="20"/>
              </w:rPr>
              <w:t xml:space="preserve">ei Ansprüchen auf gleichen Schutz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00E50B51">
              <w:rPr>
                <w:sz w:val="20"/>
                <w:szCs w:val="20"/>
              </w:rPr>
              <w:t xml:space="preserve"> werden beide Ansprüche auf Gleichheitsschutz identisch geprüft, nämlich unter strengster Prüfung („</w:t>
            </w:r>
            <w:proofErr w:type="spellStart"/>
            <w:r w:rsidRPr="00E50B51">
              <w:rPr>
                <w:sz w:val="20"/>
                <w:szCs w:val="20"/>
              </w:rPr>
              <w:t>strict</w:t>
            </w:r>
            <w:proofErr w:type="spellEnd"/>
            <w:r w:rsidRPr="00E50B51">
              <w:rPr>
                <w:sz w:val="20"/>
                <w:szCs w:val="20"/>
              </w:rPr>
              <w:t xml:space="preserve"> </w:t>
            </w:r>
            <w:proofErr w:type="spellStart"/>
            <w:r w:rsidRPr="00E50B51">
              <w:rPr>
                <w:sz w:val="20"/>
                <w:szCs w:val="20"/>
              </w:rPr>
              <w:t>scrutiny</w:t>
            </w:r>
            <w:proofErr w:type="spellEnd"/>
            <w:r w:rsidRPr="00E50B51">
              <w:rPr>
                <w:sz w:val="20"/>
                <w:szCs w:val="20"/>
              </w:rPr>
              <w:t>“</w:t>
            </w:r>
            <w:r>
              <w:rPr>
                <w:sz w:val="20"/>
                <w:szCs w:val="20"/>
              </w:rPr>
              <w:t>,</w:t>
            </w:r>
            <w:r w:rsidRPr="5B67C1D2">
              <w:rPr>
                <w:rStyle w:val="Funotenzeichen"/>
                <w:rFonts w:eastAsiaTheme="majorEastAsia"/>
                <w:sz w:val="20"/>
                <w:szCs w:val="20"/>
              </w:rPr>
              <w:footnoteReference w:id="1765"/>
            </w:r>
            <w:r w:rsidRPr="00E50B51">
              <w:rPr>
                <w:sz w:val="20"/>
                <w:szCs w:val="20"/>
              </w:rPr>
              <w:t xml:space="preserve"> anders: „intermediate </w:t>
            </w:r>
            <w:proofErr w:type="spellStart"/>
            <w:r w:rsidRPr="00E50B51">
              <w:rPr>
                <w:sz w:val="20"/>
                <w:szCs w:val="20"/>
              </w:rPr>
              <w:t>scrutiny</w:t>
            </w:r>
            <w:proofErr w:type="spellEnd"/>
            <w:r w:rsidRPr="00E50B51">
              <w:rPr>
                <w:sz w:val="20"/>
                <w:szCs w:val="20"/>
              </w:rPr>
              <w:t>“</w:t>
            </w:r>
            <w:r w:rsidRPr="5B67C1D2">
              <w:rPr>
                <w:rStyle w:val="Funotenzeichen"/>
                <w:rFonts w:eastAsiaTheme="majorEastAsia"/>
                <w:sz w:val="20"/>
                <w:szCs w:val="20"/>
              </w:rPr>
              <w:footnoteReference w:id="1766"/>
            </w:r>
            <w:r w:rsidRPr="00E50B51">
              <w:rPr>
                <w:sz w:val="20"/>
                <w:szCs w:val="20"/>
              </w:rPr>
              <w:t>). D.h. staatliche Rassenklassifizierungen müss</w:t>
            </w:r>
            <w:r>
              <w:rPr>
                <w:sz w:val="20"/>
                <w:szCs w:val="20"/>
              </w:rPr>
              <w:t>ten</w:t>
            </w:r>
            <w:r w:rsidRPr="00E50B51">
              <w:rPr>
                <w:sz w:val="20"/>
                <w:szCs w:val="20"/>
              </w:rPr>
              <w:t xml:space="preserve"> einem zwingenden staatlichen Interesse dienen und auf dieses</w:t>
            </w:r>
            <w:r>
              <w:rPr>
                <w:sz w:val="20"/>
                <w:szCs w:val="20"/>
              </w:rPr>
              <w:t xml:space="preserve"> hin</w:t>
            </w:r>
            <w:r w:rsidRPr="00E50B51">
              <w:rPr>
                <w:sz w:val="20"/>
                <w:szCs w:val="20"/>
              </w:rPr>
              <w:t xml:space="preserve"> bestimm</w:t>
            </w:r>
            <w:r>
              <w:rPr>
                <w:sz w:val="20"/>
                <w:szCs w:val="20"/>
              </w:rPr>
              <w:t>t sein</w:t>
            </w:r>
            <w:r w:rsidRPr="00E50B51">
              <w:rPr>
                <w:sz w:val="20"/>
                <w:szCs w:val="20"/>
              </w:rPr>
              <w:t xml:space="preserve"> („</w:t>
            </w:r>
            <w:proofErr w:type="spellStart"/>
            <w:r w:rsidRPr="00E50B51">
              <w:rPr>
                <w:sz w:val="20"/>
                <w:szCs w:val="20"/>
              </w:rPr>
              <w:t>must</w:t>
            </w:r>
            <w:proofErr w:type="spellEnd"/>
            <w:r w:rsidRPr="00E50B51">
              <w:rPr>
                <w:sz w:val="20"/>
                <w:szCs w:val="20"/>
              </w:rPr>
              <w:t xml:space="preserve"> </w:t>
            </w:r>
            <w:proofErr w:type="spellStart"/>
            <w:r w:rsidRPr="00E50B51">
              <w:rPr>
                <w:sz w:val="20"/>
                <w:szCs w:val="20"/>
              </w:rPr>
              <w:t>serve</w:t>
            </w:r>
            <w:proofErr w:type="spellEnd"/>
            <w:r w:rsidRPr="00E50B51">
              <w:rPr>
                <w:sz w:val="20"/>
                <w:szCs w:val="20"/>
              </w:rPr>
              <w:t xml:space="preserve"> a </w:t>
            </w:r>
            <w:proofErr w:type="spellStart"/>
            <w:r w:rsidRPr="00E50B51">
              <w:rPr>
                <w:sz w:val="20"/>
                <w:szCs w:val="20"/>
              </w:rPr>
              <w:t>compelling</w:t>
            </w:r>
            <w:proofErr w:type="spellEnd"/>
            <w:r w:rsidRPr="00E50B51">
              <w:rPr>
                <w:sz w:val="20"/>
                <w:szCs w:val="20"/>
              </w:rPr>
              <w:t xml:space="preserve"> </w:t>
            </w:r>
            <w:proofErr w:type="spellStart"/>
            <w:r w:rsidRPr="00E50B51">
              <w:rPr>
                <w:sz w:val="20"/>
                <w:szCs w:val="20"/>
              </w:rPr>
              <w:t>governmental</w:t>
            </w:r>
            <w:proofErr w:type="spellEnd"/>
            <w:r w:rsidRPr="00E50B51">
              <w:rPr>
                <w:sz w:val="20"/>
                <w:szCs w:val="20"/>
              </w:rPr>
              <w:t xml:space="preserve"> </w:t>
            </w:r>
            <w:proofErr w:type="spellStart"/>
            <w:r w:rsidRPr="00E50B51">
              <w:rPr>
                <w:sz w:val="20"/>
                <w:szCs w:val="20"/>
              </w:rPr>
              <w:t>interest</w:t>
            </w:r>
            <w:proofErr w:type="spellEnd"/>
            <w:r w:rsidRPr="00E50B51">
              <w:rPr>
                <w:sz w:val="20"/>
                <w:szCs w:val="20"/>
              </w:rPr>
              <w:t xml:space="preserve"> and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narrowly</w:t>
            </w:r>
            <w:proofErr w:type="spellEnd"/>
            <w:r w:rsidRPr="00E50B51">
              <w:rPr>
                <w:sz w:val="20"/>
                <w:szCs w:val="20"/>
              </w:rPr>
              <w:t xml:space="preserve"> </w:t>
            </w:r>
            <w:proofErr w:type="spellStart"/>
            <w:r w:rsidRPr="00E50B51">
              <w:rPr>
                <w:sz w:val="20"/>
                <w:szCs w:val="20"/>
              </w:rPr>
              <w:t>tailored</w:t>
            </w:r>
            <w:proofErr w:type="spellEnd"/>
            <w:r w:rsidRPr="00E50B51">
              <w:rPr>
                <w:sz w:val="20"/>
                <w:szCs w:val="20"/>
              </w:rPr>
              <w:t xml:space="preserve"> to </w:t>
            </w:r>
            <w:proofErr w:type="spellStart"/>
            <w:r w:rsidRPr="00E50B51">
              <w:rPr>
                <w:sz w:val="20"/>
                <w:szCs w:val="20"/>
              </w:rPr>
              <w:t>further</w:t>
            </w:r>
            <w:proofErr w:type="spellEnd"/>
            <w:r w:rsidRPr="00E50B51">
              <w:rPr>
                <w:sz w:val="20"/>
                <w:szCs w:val="20"/>
              </w:rPr>
              <w:t xml:space="preserve"> </w:t>
            </w:r>
            <w:proofErr w:type="spellStart"/>
            <w:r w:rsidRPr="00E50B51">
              <w:rPr>
                <w:sz w:val="20"/>
                <w:szCs w:val="20"/>
              </w:rPr>
              <w:t>that</w:t>
            </w:r>
            <w:proofErr w:type="spellEnd"/>
            <w:r w:rsidRPr="00E50B51">
              <w:rPr>
                <w:sz w:val="20"/>
                <w:szCs w:val="20"/>
              </w:rPr>
              <w:t xml:space="preserve"> </w:t>
            </w:r>
            <w:proofErr w:type="spellStart"/>
            <w:r w:rsidRPr="00E50B51">
              <w:rPr>
                <w:sz w:val="20"/>
                <w:szCs w:val="20"/>
              </w:rPr>
              <w:t>interest</w:t>
            </w:r>
            <w:proofErr w:type="spellEnd"/>
            <w:r w:rsidRPr="00E50B51">
              <w:rPr>
                <w:sz w:val="20"/>
                <w:szCs w:val="20"/>
              </w:rPr>
              <w:t>“</w:t>
            </w:r>
            <w:r w:rsidRPr="5B67C1D2">
              <w:rPr>
                <w:rStyle w:val="Funotenzeichen"/>
                <w:rFonts w:eastAsiaTheme="majorEastAsia"/>
                <w:sz w:val="20"/>
                <w:szCs w:val="20"/>
              </w:rPr>
              <w:footnoteReference w:id="1767"/>
            </w:r>
            <w:r w:rsidRPr="00E50B51">
              <w:rPr>
                <w:sz w:val="20"/>
                <w:szCs w:val="20"/>
              </w:rPr>
              <w:t>).</w:t>
            </w:r>
          </w:p>
          <w:p w14:paraId="7D555AE9" w14:textId="77777777" w:rsidR="00074551" w:rsidRPr="00E50B51" w:rsidRDefault="00074551" w:rsidP="00367133">
            <w:pPr>
              <w:jc w:val="both"/>
              <w:rPr>
                <w:sz w:val="20"/>
                <w:szCs w:val="20"/>
              </w:rPr>
            </w:pPr>
          </w:p>
        </w:tc>
        <w:tc>
          <w:tcPr>
            <w:tcW w:w="1822" w:type="pct"/>
          </w:tcPr>
          <w:p w14:paraId="4E8D84DF" w14:textId="77777777" w:rsidR="00074551" w:rsidRPr="002D6A3E" w:rsidRDefault="00074551" w:rsidP="00367133">
            <w:pPr>
              <w:jc w:val="both"/>
              <w:rPr>
                <w:sz w:val="20"/>
                <w:szCs w:val="20"/>
              </w:rPr>
            </w:pPr>
            <w:r w:rsidRPr="002D6A3E">
              <w:rPr>
                <w:sz w:val="20"/>
                <w:szCs w:val="20"/>
                <w:lang w:val="en-US"/>
              </w:rPr>
              <w:t xml:space="preserve">In der </w:t>
            </w:r>
            <w:r w:rsidRPr="5B67C1D2">
              <w:rPr>
                <w:i/>
                <w:iCs/>
                <w:sz w:val="20"/>
                <w:szCs w:val="20"/>
                <w:lang w:val="en-US"/>
              </w:rPr>
              <w:t>concurring opinion</w:t>
            </w:r>
            <w:r w:rsidRPr="002D6A3E">
              <w:rPr>
                <w:sz w:val="20"/>
                <w:szCs w:val="20"/>
                <w:lang w:val="en-US"/>
              </w:rPr>
              <w:t xml:space="preserve"> </w:t>
            </w:r>
            <w:proofErr w:type="spellStart"/>
            <w:r w:rsidRPr="002D6A3E">
              <w:rPr>
                <w:sz w:val="20"/>
                <w:szCs w:val="20"/>
                <w:lang w:val="en-US"/>
              </w:rPr>
              <w:t>erläutert</w:t>
            </w:r>
            <w:proofErr w:type="spellEnd"/>
            <w:r w:rsidRPr="002D6A3E">
              <w:rPr>
                <w:sz w:val="20"/>
                <w:szCs w:val="20"/>
                <w:lang w:val="en-US"/>
              </w:rPr>
              <w:t xml:space="preserve"> Richter </w:t>
            </w:r>
            <w:r w:rsidRPr="5B67C1D2">
              <w:rPr>
                <w:i/>
                <w:iCs/>
                <w:sz w:val="20"/>
                <w:szCs w:val="20"/>
                <w:lang w:val="en-US"/>
              </w:rPr>
              <w:t>Thomas</w:t>
            </w:r>
            <w:r w:rsidRPr="002D6A3E">
              <w:rPr>
                <w:sz w:val="20"/>
                <w:szCs w:val="20"/>
                <w:lang w:val="en-US"/>
              </w:rPr>
              <w:t xml:space="preserve">, </w:t>
            </w:r>
            <w:proofErr w:type="spellStart"/>
            <w:r w:rsidRPr="002D6A3E">
              <w:rPr>
                <w:sz w:val="20"/>
                <w:szCs w:val="20"/>
                <w:lang w:val="en-US"/>
              </w:rPr>
              <w:t>dass</w:t>
            </w:r>
            <w:proofErr w:type="spellEnd"/>
            <w:r w:rsidRPr="002D6A3E">
              <w:rPr>
                <w:sz w:val="20"/>
                <w:szCs w:val="20"/>
                <w:lang w:val="en-US"/>
              </w:rPr>
              <w:t xml:space="preserve"> der </w:t>
            </w:r>
            <w:proofErr w:type="spellStart"/>
            <w:r w:rsidRPr="002D6A3E">
              <w:rPr>
                <w:sz w:val="20"/>
                <w:szCs w:val="20"/>
                <w:lang w:val="en-US"/>
              </w:rPr>
              <w:t>Gleichheitssatz</w:t>
            </w:r>
            <w:proofErr w:type="spellEnd"/>
            <w:r w:rsidRPr="002D6A3E">
              <w:rPr>
                <w:sz w:val="20"/>
                <w:szCs w:val="20"/>
                <w:lang w:val="en-US"/>
              </w:rPr>
              <w:t xml:space="preserve"> („principle of inherent equality that underlies and infuses our </w:t>
            </w:r>
            <w:proofErr w:type="gramStart"/>
            <w:r w:rsidRPr="002D6A3E">
              <w:rPr>
                <w:sz w:val="20"/>
                <w:szCs w:val="20"/>
                <w:lang w:val="en-US"/>
              </w:rPr>
              <w:t>Constitution“</w:t>
            </w:r>
            <w:proofErr w:type="gramEnd"/>
            <w:r w:rsidRPr="002D6A3E">
              <w:rPr>
                <w:sz w:val="20"/>
                <w:szCs w:val="20"/>
                <w:vertAlign w:val="superscript"/>
              </w:rPr>
              <w:footnoteReference w:id="1768"/>
            </w:r>
            <w:r w:rsidRPr="002D6A3E">
              <w:rPr>
                <w:sz w:val="20"/>
                <w:szCs w:val="20"/>
                <w:lang w:val="en-US"/>
              </w:rPr>
              <w:t xml:space="preserve">) </w:t>
            </w:r>
            <w:proofErr w:type="spellStart"/>
            <w:r w:rsidRPr="002D6A3E">
              <w:rPr>
                <w:sz w:val="20"/>
                <w:szCs w:val="20"/>
                <w:lang w:val="en-US"/>
              </w:rPr>
              <w:t>auch</w:t>
            </w:r>
            <w:proofErr w:type="spellEnd"/>
            <w:r w:rsidRPr="002D6A3E">
              <w:rPr>
                <w:sz w:val="20"/>
                <w:szCs w:val="20"/>
                <w:lang w:val="en-US"/>
              </w:rPr>
              <w:t xml:space="preserve"> auf dem </w:t>
            </w:r>
            <w:proofErr w:type="spellStart"/>
            <w:r w:rsidRPr="002D6A3E">
              <w:rPr>
                <w:sz w:val="20"/>
                <w:szCs w:val="20"/>
                <w:lang w:val="en-US"/>
              </w:rPr>
              <w:t>gleichen</w:t>
            </w:r>
            <w:proofErr w:type="spellEnd"/>
            <w:r w:rsidRPr="002D6A3E">
              <w:rPr>
                <w:sz w:val="20"/>
                <w:szCs w:val="20"/>
                <w:lang w:val="en-US"/>
              </w:rPr>
              <w:t xml:space="preserve"> Recht </w:t>
            </w:r>
            <w:proofErr w:type="spellStart"/>
            <w:r w:rsidRPr="002D6A3E">
              <w:rPr>
                <w:sz w:val="20"/>
                <w:szCs w:val="20"/>
                <w:lang w:val="en-US"/>
              </w:rPr>
              <w:t>nach</w:t>
            </w:r>
            <w:proofErr w:type="spellEnd"/>
            <w:r w:rsidRPr="002D6A3E">
              <w:rPr>
                <w:sz w:val="20"/>
                <w:szCs w:val="20"/>
                <w:lang w:val="en-US"/>
              </w:rPr>
              <w:t xml:space="preserve"> </w:t>
            </w:r>
            <w:proofErr w:type="spellStart"/>
            <w:r w:rsidRPr="002D6A3E">
              <w:rPr>
                <w:sz w:val="20"/>
                <w:szCs w:val="20"/>
                <w:lang w:val="en-US"/>
              </w:rPr>
              <w:t>Glücksstreben</w:t>
            </w:r>
            <w:proofErr w:type="spellEnd"/>
            <w:r w:rsidRPr="002D6A3E">
              <w:rPr>
                <w:sz w:val="20"/>
                <w:szCs w:val="20"/>
                <w:lang w:val="en-US"/>
              </w:rPr>
              <w:t xml:space="preserve"> </w:t>
            </w:r>
            <w:proofErr w:type="spellStart"/>
            <w:r w:rsidRPr="002D6A3E">
              <w:rPr>
                <w:sz w:val="20"/>
                <w:szCs w:val="20"/>
                <w:lang w:val="en-US"/>
              </w:rPr>
              <w:t>beruhe</w:t>
            </w:r>
            <w:proofErr w:type="spellEnd"/>
            <w:r w:rsidRPr="002D6A3E">
              <w:rPr>
                <w:sz w:val="20"/>
                <w:szCs w:val="20"/>
                <w:lang w:val="en-US"/>
              </w:rPr>
              <w:t xml:space="preserve"> („all men are created equal, that they are endowed by their Creator with certain unalienable Rights, that among these are […] the pursuit of </w:t>
            </w:r>
            <w:proofErr w:type="gramStart"/>
            <w:r w:rsidRPr="002D6A3E">
              <w:rPr>
                <w:sz w:val="20"/>
                <w:szCs w:val="20"/>
                <w:lang w:val="en-US"/>
              </w:rPr>
              <w:t>Happiness“</w:t>
            </w:r>
            <w:proofErr w:type="gramEnd"/>
            <w:r w:rsidRPr="002D6A3E">
              <w:rPr>
                <w:sz w:val="20"/>
                <w:szCs w:val="20"/>
                <w:vertAlign w:val="superscript"/>
                <w:lang w:val="en-US"/>
              </w:rPr>
              <w:footnoteReference w:id="1769"/>
            </w:r>
            <w:r w:rsidRPr="002D6A3E">
              <w:rPr>
                <w:sz w:val="20"/>
                <w:szCs w:val="20"/>
                <w:lang w:val="en-US"/>
              </w:rPr>
              <w:t xml:space="preserve">). </w:t>
            </w:r>
            <w:r w:rsidRPr="002D6A3E">
              <w:rPr>
                <w:sz w:val="20"/>
                <w:szCs w:val="20"/>
              </w:rPr>
              <w:t xml:space="preserve">Zwar gebe es keine doktrinäre Definition einer gegen den Gleichheitssatz verstoßenden gesetzgeberischen Klassifikation („legislative </w:t>
            </w:r>
            <w:proofErr w:type="spellStart"/>
            <w:r w:rsidRPr="002D6A3E">
              <w:rPr>
                <w:sz w:val="20"/>
                <w:szCs w:val="20"/>
              </w:rPr>
              <w:t>classification</w:t>
            </w:r>
            <w:proofErr w:type="spellEnd"/>
            <w:r w:rsidRPr="002D6A3E">
              <w:rPr>
                <w:sz w:val="20"/>
                <w:szCs w:val="20"/>
              </w:rPr>
              <w:t xml:space="preserve"> </w:t>
            </w:r>
            <w:proofErr w:type="spellStart"/>
            <w:r w:rsidRPr="002D6A3E">
              <w:rPr>
                <w:sz w:val="20"/>
                <w:szCs w:val="20"/>
              </w:rPr>
              <w:t>is</w:t>
            </w:r>
            <w:proofErr w:type="spellEnd"/>
            <w:r w:rsidRPr="002D6A3E">
              <w:rPr>
                <w:sz w:val="20"/>
                <w:szCs w:val="20"/>
              </w:rPr>
              <w:t xml:space="preserve"> […] of </w:t>
            </w:r>
            <w:proofErr w:type="spellStart"/>
            <w:r w:rsidRPr="002D6A3E">
              <w:rPr>
                <w:sz w:val="20"/>
                <w:szCs w:val="20"/>
              </w:rPr>
              <w:t>no</w:t>
            </w:r>
            <w:proofErr w:type="spellEnd"/>
            <w:r w:rsidRPr="002D6A3E">
              <w:rPr>
                <w:sz w:val="20"/>
                <w:szCs w:val="20"/>
              </w:rPr>
              <w:t xml:space="preserve"> </w:t>
            </w:r>
            <w:proofErr w:type="spellStart"/>
            <w:r w:rsidRPr="002D6A3E">
              <w:rPr>
                <w:sz w:val="20"/>
                <w:szCs w:val="20"/>
              </w:rPr>
              <w:t>doctrinaire</w:t>
            </w:r>
            <w:proofErr w:type="spellEnd"/>
            <w:r w:rsidRPr="002D6A3E">
              <w:rPr>
                <w:sz w:val="20"/>
                <w:szCs w:val="20"/>
              </w:rPr>
              <w:t xml:space="preserve"> </w:t>
            </w:r>
            <w:proofErr w:type="spellStart"/>
            <w:r w:rsidRPr="002D6A3E">
              <w:rPr>
                <w:sz w:val="20"/>
                <w:szCs w:val="20"/>
              </w:rPr>
              <w:t>definition</w:t>
            </w:r>
            <w:proofErr w:type="spellEnd"/>
            <w:r w:rsidRPr="002D6A3E">
              <w:rPr>
                <w:sz w:val="20"/>
                <w:szCs w:val="20"/>
              </w:rPr>
              <w:t>“</w:t>
            </w:r>
            <w:r w:rsidRPr="002D6A3E">
              <w:rPr>
                <w:sz w:val="20"/>
                <w:szCs w:val="20"/>
                <w:vertAlign w:val="superscript"/>
              </w:rPr>
              <w:footnoteReference w:id="1770"/>
            </w:r>
            <w:r w:rsidRPr="002D6A3E">
              <w:rPr>
                <w:sz w:val="20"/>
                <w:szCs w:val="20"/>
              </w:rPr>
              <w:t xml:space="preserve">). Aber der Definition könne sich der </w:t>
            </w:r>
            <w:r>
              <w:rPr>
                <w:sz w:val="20"/>
                <w:szCs w:val="20"/>
              </w:rPr>
              <w:t>U.S. Supreme Court</w:t>
            </w:r>
            <w:r w:rsidRPr="002D6A3E">
              <w:rPr>
                <w:sz w:val="20"/>
                <w:szCs w:val="20"/>
              </w:rPr>
              <w:t xml:space="preserve"> nähern: Die Regierung dürfe aufgrund der Rasse nicht unterscheiden bzw. klassifizieren; ob die Rassenklassifizierungen eine Rasse unterdrücke oder eine vermeintliche Benachteiligung korrigiere, sei unerheblich.</w:t>
            </w:r>
            <w:r w:rsidRPr="002D6A3E">
              <w:rPr>
                <w:sz w:val="20"/>
                <w:szCs w:val="20"/>
                <w:vertAlign w:val="superscript"/>
              </w:rPr>
              <w:footnoteReference w:id="1771"/>
            </w:r>
            <w:r w:rsidRPr="002D6A3E">
              <w:rPr>
                <w:sz w:val="20"/>
                <w:szCs w:val="20"/>
              </w:rPr>
              <w:t xml:space="preserve"> Der Grund dafür sei historisch. Denn Klassifizierungen </w:t>
            </w:r>
            <w:r>
              <w:rPr>
                <w:sz w:val="20"/>
                <w:szCs w:val="20"/>
              </w:rPr>
              <w:t>hätten</w:t>
            </w:r>
            <w:r w:rsidRPr="002D6A3E">
              <w:rPr>
                <w:sz w:val="20"/>
                <w:szCs w:val="20"/>
              </w:rPr>
              <w:t xml:space="preserve"> eine zerstörerische Wirkung auf den Einzelnen und die Gesellschaft, wie an der Segregation zu sehen </w:t>
            </w:r>
            <w:r>
              <w:rPr>
                <w:sz w:val="20"/>
                <w:szCs w:val="20"/>
              </w:rPr>
              <w:t>gewesen sei</w:t>
            </w:r>
            <w:r w:rsidRPr="002D6A3E">
              <w:rPr>
                <w:sz w:val="20"/>
                <w:szCs w:val="20"/>
              </w:rPr>
              <w:t>. Sie sei</w:t>
            </w:r>
            <w:r>
              <w:rPr>
                <w:sz w:val="20"/>
                <w:szCs w:val="20"/>
              </w:rPr>
              <w:t>en</w:t>
            </w:r>
            <w:r w:rsidRPr="002D6A3E">
              <w:rPr>
                <w:sz w:val="20"/>
                <w:szCs w:val="20"/>
              </w:rPr>
              <w:t xml:space="preserve"> daher zu verhindern. Dazu komme, </w:t>
            </w:r>
            <w:r>
              <w:rPr>
                <w:sz w:val="20"/>
                <w:szCs w:val="20"/>
              </w:rPr>
              <w:t xml:space="preserve">dass </w:t>
            </w:r>
            <w:r w:rsidRPr="002D6A3E">
              <w:rPr>
                <w:sz w:val="20"/>
                <w:szCs w:val="20"/>
              </w:rPr>
              <w:t>eine positive Diskriminierung („</w:t>
            </w:r>
            <w:proofErr w:type="spellStart"/>
            <w:r w:rsidRPr="002D6A3E">
              <w:rPr>
                <w:sz w:val="20"/>
                <w:szCs w:val="20"/>
              </w:rPr>
              <w:t>benign</w:t>
            </w:r>
            <w:proofErr w:type="spellEnd"/>
            <w:r w:rsidRPr="002D6A3E">
              <w:rPr>
                <w:sz w:val="20"/>
                <w:szCs w:val="20"/>
              </w:rPr>
              <w:t xml:space="preserve"> </w:t>
            </w:r>
            <w:proofErr w:type="spellStart"/>
            <w:r w:rsidRPr="002D6A3E">
              <w:rPr>
                <w:sz w:val="20"/>
                <w:szCs w:val="20"/>
              </w:rPr>
              <w:t>discrimination</w:t>
            </w:r>
            <w:proofErr w:type="spellEnd"/>
            <w:r w:rsidRPr="002D6A3E">
              <w:rPr>
                <w:sz w:val="20"/>
                <w:szCs w:val="20"/>
              </w:rPr>
              <w:t>“</w:t>
            </w:r>
            <w:r w:rsidRPr="002D6A3E">
              <w:rPr>
                <w:sz w:val="20"/>
                <w:szCs w:val="20"/>
                <w:vertAlign w:val="superscript"/>
              </w:rPr>
              <w:footnoteReference w:id="1772"/>
            </w:r>
            <w:r w:rsidRPr="002D6A3E">
              <w:rPr>
                <w:sz w:val="20"/>
                <w:szCs w:val="20"/>
              </w:rPr>
              <w:t>) den Bevorzugten letztendlich nichts anderes als ein Minderwertigkeitsabzeichen („</w:t>
            </w:r>
            <w:proofErr w:type="spellStart"/>
            <w:r w:rsidRPr="002D6A3E">
              <w:rPr>
                <w:sz w:val="20"/>
                <w:szCs w:val="20"/>
              </w:rPr>
              <w:t>badge</w:t>
            </w:r>
            <w:proofErr w:type="spellEnd"/>
            <w:r w:rsidRPr="002D6A3E">
              <w:rPr>
                <w:sz w:val="20"/>
                <w:szCs w:val="20"/>
              </w:rPr>
              <w:t xml:space="preserve"> of </w:t>
            </w:r>
            <w:proofErr w:type="spellStart"/>
            <w:r w:rsidRPr="002D6A3E">
              <w:rPr>
                <w:sz w:val="20"/>
                <w:szCs w:val="20"/>
              </w:rPr>
              <w:t>inferiority</w:t>
            </w:r>
            <w:proofErr w:type="spellEnd"/>
            <w:r w:rsidRPr="002D6A3E">
              <w:rPr>
                <w:sz w:val="20"/>
                <w:szCs w:val="20"/>
              </w:rPr>
              <w:t>“</w:t>
            </w:r>
            <w:r w:rsidRPr="002D6A3E">
              <w:rPr>
                <w:sz w:val="20"/>
                <w:szCs w:val="20"/>
                <w:vertAlign w:val="superscript"/>
              </w:rPr>
              <w:footnoteReference w:id="1773"/>
            </w:r>
            <w:r w:rsidRPr="002D6A3E">
              <w:rPr>
                <w:sz w:val="20"/>
                <w:szCs w:val="20"/>
              </w:rPr>
              <w:t>)</w:t>
            </w:r>
            <w:r>
              <w:rPr>
                <w:sz w:val="20"/>
                <w:szCs w:val="20"/>
              </w:rPr>
              <w:t xml:space="preserve"> </w:t>
            </w:r>
            <w:r w:rsidRPr="002D6A3E">
              <w:rPr>
                <w:sz w:val="20"/>
                <w:szCs w:val="20"/>
              </w:rPr>
              <w:t xml:space="preserve">verleihe, sie laufe also </w:t>
            </w:r>
            <w:r w:rsidRPr="5B67C1D2">
              <w:rPr>
                <w:i/>
                <w:iCs/>
                <w:sz w:val="20"/>
                <w:szCs w:val="20"/>
              </w:rPr>
              <w:t>de facto</w:t>
            </w:r>
            <w:r w:rsidRPr="002D6A3E">
              <w:rPr>
                <w:sz w:val="20"/>
                <w:szCs w:val="20"/>
              </w:rPr>
              <w:t xml:space="preserve"> dem gleichen Streben nach Glück zuwider.</w:t>
            </w:r>
          </w:p>
          <w:p w14:paraId="262F2BF7" w14:textId="77777777" w:rsidR="00074551" w:rsidRPr="00E50B51" w:rsidRDefault="00074551" w:rsidP="00367133">
            <w:pPr>
              <w:jc w:val="both"/>
              <w:rPr>
                <w:sz w:val="20"/>
                <w:szCs w:val="20"/>
              </w:rPr>
            </w:pPr>
          </w:p>
        </w:tc>
      </w:tr>
      <w:tr w:rsidR="00074551" w:rsidRPr="00E50B51" w14:paraId="47071401" w14:textId="77777777" w:rsidTr="00BE689F">
        <w:trPr>
          <w:cantSplit/>
          <w:trHeight w:val="3175"/>
        </w:trPr>
        <w:tc>
          <w:tcPr>
            <w:tcW w:w="293" w:type="pct"/>
          </w:tcPr>
          <w:p w14:paraId="4337FCD8"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5EBC50E" w14:textId="77777777" w:rsidR="00074551" w:rsidRPr="00B45592" w:rsidRDefault="00074551" w:rsidP="00367133">
            <w:pPr>
              <w:ind w:left="113" w:right="416"/>
              <w:jc w:val="both"/>
              <w:rPr>
                <w:i/>
                <w:sz w:val="20"/>
                <w:szCs w:val="20"/>
                <w:lang w:val="en-US"/>
              </w:rPr>
            </w:pPr>
            <w:r w:rsidRPr="00B45592">
              <w:rPr>
                <w:i/>
                <w:sz w:val="20"/>
                <w:szCs w:val="20"/>
              </w:rPr>
              <w:t>Loving v. Virginia</w:t>
            </w:r>
          </w:p>
        </w:tc>
        <w:tc>
          <w:tcPr>
            <w:tcW w:w="197" w:type="pct"/>
            <w:textDirection w:val="tbRl"/>
            <w:vAlign w:val="center"/>
          </w:tcPr>
          <w:p w14:paraId="50F39B14" w14:textId="77777777" w:rsidR="00074551" w:rsidRPr="00E50B51" w:rsidRDefault="00074551" w:rsidP="00367133">
            <w:pPr>
              <w:ind w:left="113" w:right="113"/>
              <w:jc w:val="both"/>
              <w:rPr>
                <w:sz w:val="20"/>
                <w:szCs w:val="20"/>
                <w:lang w:val="en-US"/>
              </w:rPr>
            </w:pPr>
            <w:r w:rsidRPr="00E50B51">
              <w:rPr>
                <w:sz w:val="20"/>
                <w:szCs w:val="20"/>
                <w:lang w:val="en-US"/>
              </w:rPr>
              <w:t>388 U.S. 1</w:t>
            </w:r>
          </w:p>
        </w:tc>
        <w:tc>
          <w:tcPr>
            <w:tcW w:w="306" w:type="pct"/>
            <w:textDirection w:val="tbRl"/>
            <w:vAlign w:val="center"/>
          </w:tcPr>
          <w:p w14:paraId="2C9124CF" w14:textId="77777777" w:rsidR="00074551" w:rsidRPr="00E50B51" w:rsidRDefault="00074551" w:rsidP="00367133">
            <w:pPr>
              <w:ind w:left="113" w:right="113"/>
              <w:jc w:val="both"/>
              <w:rPr>
                <w:sz w:val="20"/>
                <w:szCs w:val="20"/>
                <w:lang w:val="en-US"/>
              </w:rPr>
            </w:pPr>
            <w:r w:rsidRPr="00E50B51">
              <w:rPr>
                <w:sz w:val="20"/>
                <w:szCs w:val="20"/>
                <w:lang w:val="en-US"/>
              </w:rPr>
              <w:t>12. Juni 1967</w:t>
            </w:r>
          </w:p>
        </w:tc>
        <w:tc>
          <w:tcPr>
            <w:tcW w:w="401" w:type="pct"/>
          </w:tcPr>
          <w:p w14:paraId="573DEB2B"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7D73C5E1" w14:textId="77777777" w:rsidR="00074551" w:rsidRPr="00E50B51" w:rsidRDefault="00074551" w:rsidP="00367133">
            <w:pPr>
              <w:jc w:val="both"/>
              <w:rPr>
                <w:sz w:val="20"/>
                <w:szCs w:val="20"/>
              </w:rPr>
            </w:pPr>
            <w:r w:rsidRPr="00E50B51">
              <w:rPr>
                <w:sz w:val="20"/>
                <w:szCs w:val="20"/>
              </w:rPr>
              <w:t>*</w:t>
            </w:r>
          </w:p>
        </w:tc>
        <w:tc>
          <w:tcPr>
            <w:tcW w:w="1822" w:type="pct"/>
          </w:tcPr>
          <w:p w14:paraId="5D7B5334" w14:textId="77777777" w:rsidR="00074551" w:rsidRDefault="00074551" w:rsidP="00367133">
            <w:pPr>
              <w:jc w:val="both"/>
              <w:rPr>
                <w:sz w:val="20"/>
                <w:szCs w:val="20"/>
              </w:rPr>
            </w:pPr>
            <w:r w:rsidRPr="008D522C">
              <w:rPr>
                <w:sz w:val="20"/>
                <w:szCs w:val="20"/>
              </w:rPr>
              <w:t xml:space="preserve">In </w:t>
            </w:r>
            <w:r w:rsidRPr="5B67C1D2">
              <w:rPr>
                <w:i/>
                <w:iCs/>
                <w:sz w:val="20"/>
                <w:szCs w:val="20"/>
              </w:rPr>
              <w:t>Loving v. Virginia</w:t>
            </w:r>
            <w:r w:rsidRPr="008D522C">
              <w:rPr>
                <w:sz w:val="20"/>
                <w:szCs w:val="20"/>
              </w:rPr>
              <w:t xml:space="preserve"> erklärt der </w:t>
            </w:r>
            <w:r>
              <w:rPr>
                <w:sz w:val="20"/>
                <w:szCs w:val="20"/>
              </w:rPr>
              <w:t>U.S. Supreme Court</w:t>
            </w:r>
            <w:r w:rsidRPr="008D522C">
              <w:rPr>
                <w:sz w:val="20"/>
                <w:szCs w:val="20"/>
              </w:rPr>
              <w:t xml:space="preserve">, wenn Rechte überlebensnotwendig für ein Glücksstreben seien („vital personal </w:t>
            </w:r>
            <w:proofErr w:type="spellStart"/>
            <w:r w:rsidRPr="008D522C">
              <w:rPr>
                <w:sz w:val="20"/>
                <w:szCs w:val="20"/>
              </w:rPr>
              <w:t>rights</w:t>
            </w:r>
            <w:proofErr w:type="spellEnd"/>
            <w:r w:rsidRPr="008D522C">
              <w:rPr>
                <w:sz w:val="20"/>
                <w:szCs w:val="20"/>
              </w:rPr>
              <w:t xml:space="preserve"> essential to the </w:t>
            </w:r>
            <w:proofErr w:type="spellStart"/>
            <w:r w:rsidRPr="008D522C">
              <w:rPr>
                <w:sz w:val="20"/>
                <w:szCs w:val="20"/>
              </w:rPr>
              <w:t>orderly</w:t>
            </w:r>
            <w:proofErr w:type="spellEnd"/>
            <w:r w:rsidRPr="008D522C">
              <w:rPr>
                <w:sz w:val="20"/>
                <w:szCs w:val="20"/>
              </w:rPr>
              <w:t xml:space="preserve"> </w:t>
            </w:r>
            <w:proofErr w:type="spellStart"/>
            <w:r w:rsidRPr="008D522C">
              <w:rPr>
                <w:sz w:val="20"/>
                <w:szCs w:val="20"/>
              </w:rPr>
              <w:t>pursuit</w:t>
            </w:r>
            <w:proofErr w:type="spellEnd"/>
            <w:r w:rsidRPr="008D522C">
              <w:rPr>
                <w:sz w:val="20"/>
                <w:szCs w:val="20"/>
              </w:rPr>
              <w:t xml:space="preserve"> of </w:t>
            </w:r>
            <w:proofErr w:type="spellStart"/>
            <w:r w:rsidRPr="008D522C">
              <w:rPr>
                <w:sz w:val="20"/>
                <w:szCs w:val="20"/>
              </w:rPr>
              <w:t>happiness</w:t>
            </w:r>
            <w:proofErr w:type="spellEnd"/>
            <w:r w:rsidRPr="008D522C">
              <w:rPr>
                <w:sz w:val="20"/>
                <w:szCs w:val="20"/>
              </w:rPr>
              <w:t>“</w:t>
            </w:r>
            <w:r w:rsidRPr="008D522C">
              <w:rPr>
                <w:sz w:val="20"/>
                <w:szCs w:val="20"/>
                <w:vertAlign w:val="superscript"/>
              </w:rPr>
              <w:footnoteReference w:id="1774"/>
            </w:r>
            <w:r w:rsidRPr="008D522C">
              <w:rPr>
                <w:sz w:val="20"/>
                <w:szCs w:val="20"/>
              </w:rPr>
              <w:t xml:space="preserve">), dann </w:t>
            </w:r>
            <w:r>
              <w:rPr>
                <w:sz w:val="20"/>
                <w:szCs w:val="20"/>
              </w:rPr>
              <w:t>könne</w:t>
            </w:r>
            <w:r w:rsidRPr="008D522C">
              <w:rPr>
                <w:sz w:val="20"/>
                <w:szCs w:val="20"/>
              </w:rPr>
              <w:t xml:space="preserve"> der Staat sie grundsätzlich nicht einschränken („</w:t>
            </w:r>
            <w:proofErr w:type="spellStart"/>
            <w:r w:rsidRPr="008D522C">
              <w:rPr>
                <w:sz w:val="20"/>
                <w:szCs w:val="20"/>
              </w:rPr>
              <w:t>resides</w:t>
            </w:r>
            <w:proofErr w:type="spellEnd"/>
            <w:r w:rsidRPr="008D522C">
              <w:rPr>
                <w:sz w:val="20"/>
                <w:szCs w:val="20"/>
              </w:rPr>
              <w:t xml:space="preserve"> </w:t>
            </w:r>
            <w:proofErr w:type="spellStart"/>
            <w:r w:rsidRPr="008D522C">
              <w:rPr>
                <w:sz w:val="20"/>
                <w:szCs w:val="20"/>
              </w:rPr>
              <w:t>with</w:t>
            </w:r>
            <w:proofErr w:type="spellEnd"/>
            <w:r w:rsidRPr="008D522C">
              <w:rPr>
                <w:sz w:val="20"/>
                <w:szCs w:val="20"/>
              </w:rPr>
              <w:t xml:space="preserve"> the individual and </w:t>
            </w:r>
            <w:proofErr w:type="spellStart"/>
            <w:r w:rsidRPr="008D522C">
              <w:rPr>
                <w:sz w:val="20"/>
                <w:szCs w:val="20"/>
              </w:rPr>
              <w:t>cannot</w:t>
            </w:r>
            <w:proofErr w:type="spellEnd"/>
            <w:r w:rsidRPr="008D522C">
              <w:rPr>
                <w:sz w:val="20"/>
                <w:szCs w:val="20"/>
              </w:rPr>
              <w:t xml:space="preserve"> </w:t>
            </w:r>
            <w:proofErr w:type="spellStart"/>
            <w:r w:rsidRPr="008D522C">
              <w:rPr>
                <w:sz w:val="20"/>
                <w:szCs w:val="20"/>
              </w:rPr>
              <w:t>be</w:t>
            </w:r>
            <w:proofErr w:type="spellEnd"/>
            <w:r w:rsidRPr="008D522C">
              <w:rPr>
                <w:sz w:val="20"/>
                <w:szCs w:val="20"/>
              </w:rPr>
              <w:t xml:space="preserve"> </w:t>
            </w:r>
            <w:proofErr w:type="spellStart"/>
            <w:r w:rsidRPr="008D522C">
              <w:rPr>
                <w:sz w:val="20"/>
                <w:szCs w:val="20"/>
              </w:rPr>
              <w:t>infringed</w:t>
            </w:r>
            <w:proofErr w:type="spellEnd"/>
            <w:r w:rsidRPr="008D522C">
              <w:rPr>
                <w:sz w:val="20"/>
                <w:szCs w:val="20"/>
              </w:rPr>
              <w:t xml:space="preserve"> by the State“</w:t>
            </w:r>
            <w:r w:rsidRPr="008D522C">
              <w:rPr>
                <w:sz w:val="20"/>
                <w:szCs w:val="20"/>
                <w:vertAlign w:val="superscript"/>
                <w:lang w:val="en-US"/>
              </w:rPr>
              <w:footnoteReference w:id="1775"/>
            </w:r>
            <w:r w:rsidRPr="008D522C">
              <w:rPr>
                <w:sz w:val="20"/>
                <w:szCs w:val="20"/>
              </w:rPr>
              <w:t>), allenfalls durch andere, überragend wichtige Staatsziele („</w:t>
            </w:r>
            <w:proofErr w:type="spellStart"/>
            <w:r w:rsidRPr="008D522C">
              <w:rPr>
                <w:sz w:val="20"/>
                <w:szCs w:val="20"/>
              </w:rPr>
              <w:t>permissible</w:t>
            </w:r>
            <w:proofErr w:type="spellEnd"/>
            <w:r w:rsidRPr="008D522C">
              <w:rPr>
                <w:sz w:val="20"/>
                <w:szCs w:val="20"/>
              </w:rPr>
              <w:t xml:space="preserve"> </w:t>
            </w:r>
            <w:proofErr w:type="spellStart"/>
            <w:r w:rsidRPr="008D522C">
              <w:rPr>
                <w:sz w:val="20"/>
                <w:szCs w:val="20"/>
              </w:rPr>
              <w:t>state</w:t>
            </w:r>
            <w:proofErr w:type="spellEnd"/>
            <w:r w:rsidRPr="008D522C">
              <w:rPr>
                <w:sz w:val="20"/>
                <w:szCs w:val="20"/>
              </w:rPr>
              <w:t xml:space="preserve"> </w:t>
            </w:r>
            <w:proofErr w:type="spellStart"/>
            <w:r w:rsidRPr="008D522C">
              <w:rPr>
                <w:sz w:val="20"/>
                <w:szCs w:val="20"/>
              </w:rPr>
              <w:t>objective</w:t>
            </w:r>
            <w:proofErr w:type="spellEnd"/>
            <w:r w:rsidRPr="008D522C">
              <w:rPr>
                <w:sz w:val="20"/>
                <w:szCs w:val="20"/>
              </w:rPr>
              <w:t xml:space="preserve">, </w:t>
            </w:r>
            <w:proofErr w:type="spellStart"/>
            <w:r w:rsidRPr="008D522C">
              <w:rPr>
                <w:sz w:val="20"/>
                <w:szCs w:val="20"/>
              </w:rPr>
              <w:t>independent</w:t>
            </w:r>
            <w:proofErr w:type="spellEnd"/>
            <w:r w:rsidRPr="008D522C">
              <w:rPr>
                <w:sz w:val="20"/>
                <w:szCs w:val="20"/>
              </w:rPr>
              <w:t xml:space="preserve"> of the </w:t>
            </w:r>
            <w:proofErr w:type="spellStart"/>
            <w:r w:rsidRPr="008D522C">
              <w:rPr>
                <w:sz w:val="20"/>
                <w:szCs w:val="20"/>
              </w:rPr>
              <w:t>racial</w:t>
            </w:r>
            <w:proofErr w:type="spellEnd"/>
            <w:r w:rsidRPr="008D522C">
              <w:rPr>
                <w:sz w:val="20"/>
                <w:szCs w:val="20"/>
              </w:rPr>
              <w:t xml:space="preserve"> </w:t>
            </w:r>
            <w:proofErr w:type="spellStart"/>
            <w:r w:rsidRPr="008D522C">
              <w:rPr>
                <w:sz w:val="20"/>
                <w:szCs w:val="20"/>
              </w:rPr>
              <w:t>discrimination</w:t>
            </w:r>
            <w:proofErr w:type="spellEnd"/>
            <w:r w:rsidRPr="008D522C">
              <w:rPr>
                <w:sz w:val="20"/>
                <w:szCs w:val="20"/>
              </w:rPr>
              <w:t>“</w:t>
            </w:r>
            <w:r w:rsidRPr="008D522C">
              <w:rPr>
                <w:sz w:val="20"/>
                <w:szCs w:val="20"/>
                <w:vertAlign w:val="superscript"/>
              </w:rPr>
              <w:footnoteReference w:id="1776"/>
            </w:r>
            <w:r w:rsidRPr="008D522C">
              <w:rPr>
                <w:sz w:val="20"/>
                <w:szCs w:val="20"/>
              </w:rPr>
              <w:t>).</w:t>
            </w:r>
          </w:p>
          <w:p w14:paraId="5F33E581" w14:textId="77777777" w:rsidR="00074551" w:rsidRPr="008D522C" w:rsidRDefault="00074551" w:rsidP="00367133">
            <w:pPr>
              <w:jc w:val="both"/>
              <w:rPr>
                <w:sz w:val="20"/>
                <w:szCs w:val="20"/>
              </w:rPr>
            </w:pPr>
          </w:p>
          <w:p w14:paraId="64F86A1E" w14:textId="49FB839A" w:rsidR="00074551" w:rsidRDefault="00074551" w:rsidP="00367133">
            <w:pPr>
              <w:rPr>
                <w:sz w:val="20"/>
                <w:szCs w:val="20"/>
              </w:rPr>
            </w:pPr>
            <w:r w:rsidRPr="008D522C">
              <w:rPr>
                <w:sz w:val="20"/>
                <w:szCs w:val="20"/>
              </w:rPr>
              <w:t xml:space="preserve">Zum </w:t>
            </w:r>
            <w:proofErr w:type="spellStart"/>
            <w:r w:rsidRPr="5B67C1D2">
              <w:rPr>
                <w:i/>
                <w:iCs/>
                <w:sz w:val="20"/>
                <w:szCs w:val="20"/>
              </w:rPr>
              <w:t>pursuit</w:t>
            </w:r>
            <w:proofErr w:type="spellEnd"/>
            <w:r w:rsidRPr="5B67C1D2">
              <w:rPr>
                <w:i/>
                <w:iCs/>
                <w:sz w:val="20"/>
                <w:szCs w:val="20"/>
              </w:rPr>
              <w:t xml:space="preserve"> of Happiness</w:t>
            </w:r>
            <w:r w:rsidRPr="008D522C">
              <w:rPr>
                <w:sz w:val="20"/>
                <w:szCs w:val="20"/>
              </w:rPr>
              <w:t xml:space="preserve"> heißt es, die Freiheit</w:t>
            </w:r>
            <w:r>
              <w:rPr>
                <w:sz w:val="20"/>
                <w:szCs w:val="20"/>
              </w:rPr>
              <w:t>,</w:t>
            </w:r>
            <w:r w:rsidRPr="008D522C">
              <w:rPr>
                <w:sz w:val="20"/>
                <w:szCs w:val="20"/>
              </w:rPr>
              <w:t xml:space="preserve"> eine Ehe einzugehen, sei eines der wichtigsten persönlichen Rechte, die für das geordnete Streben freier Menschen nach Glück unerlässlich seien („vital personal </w:t>
            </w:r>
            <w:proofErr w:type="spellStart"/>
            <w:r w:rsidRPr="008D522C">
              <w:rPr>
                <w:sz w:val="20"/>
                <w:szCs w:val="20"/>
              </w:rPr>
              <w:t>rights</w:t>
            </w:r>
            <w:proofErr w:type="spellEnd"/>
            <w:r w:rsidRPr="008D522C">
              <w:rPr>
                <w:sz w:val="20"/>
                <w:szCs w:val="20"/>
              </w:rPr>
              <w:t xml:space="preserve"> essential to the </w:t>
            </w:r>
            <w:proofErr w:type="spellStart"/>
            <w:r w:rsidRPr="008D522C">
              <w:rPr>
                <w:sz w:val="20"/>
                <w:szCs w:val="20"/>
              </w:rPr>
              <w:t>orderly</w:t>
            </w:r>
            <w:proofErr w:type="spellEnd"/>
            <w:r w:rsidRPr="008D522C">
              <w:rPr>
                <w:sz w:val="20"/>
                <w:szCs w:val="20"/>
              </w:rPr>
              <w:t xml:space="preserve"> </w:t>
            </w:r>
            <w:proofErr w:type="spellStart"/>
            <w:r w:rsidRPr="008D522C">
              <w:rPr>
                <w:sz w:val="20"/>
                <w:szCs w:val="20"/>
              </w:rPr>
              <w:t>pursuit</w:t>
            </w:r>
            <w:proofErr w:type="spellEnd"/>
            <w:r w:rsidRPr="008D522C">
              <w:rPr>
                <w:sz w:val="20"/>
                <w:szCs w:val="20"/>
              </w:rPr>
              <w:t xml:space="preserve"> of </w:t>
            </w:r>
            <w:proofErr w:type="spellStart"/>
            <w:r w:rsidRPr="008D522C">
              <w:rPr>
                <w:sz w:val="20"/>
                <w:szCs w:val="20"/>
              </w:rPr>
              <w:t>happiness</w:t>
            </w:r>
            <w:proofErr w:type="spellEnd"/>
            <w:r w:rsidRPr="008D522C">
              <w:rPr>
                <w:sz w:val="20"/>
                <w:szCs w:val="20"/>
              </w:rPr>
              <w:t xml:space="preserve"> by </w:t>
            </w:r>
            <w:proofErr w:type="spellStart"/>
            <w:r w:rsidRPr="008D522C">
              <w:rPr>
                <w:sz w:val="20"/>
                <w:szCs w:val="20"/>
              </w:rPr>
              <w:t>free</w:t>
            </w:r>
            <w:proofErr w:type="spellEnd"/>
            <w:r w:rsidRPr="008D522C">
              <w:rPr>
                <w:sz w:val="20"/>
                <w:szCs w:val="20"/>
              </w:rPr>
              <w:t xml:space="preserve"> </w:t>
            </w:r>
            <w:proofErr w:type="spellStart"/>
            <w:r w:rsidRPr="008D522C">
              <w:rPr>
                <w:sz w:val="20"/>
                <w:szCs w:val="20"/>
              </w:rPr>
              <w:t>men</w:t>
            </w:r>
            <w:proofErr w:type="spellEnd"/>
            <w:r w:rsidRPr="008D522C">
              <w:rPr>
                <w:sz w:val="20"/>
                <w:szCs w:val="20"/>
              </w:rPr>
              <w:t>“</w:t>
            </w:r>
            <w:r w:rsidRPr="008D522C">
              <w:rPr>
                <w:sz w:val="20"/>
                <w:szCs w:val="20"/>
                <w:vertAlign w:val="superscript"/>
              </w:rPr>
              <w:footnoteReference w:id="1777"/>
            </w:r>
            <w:r w:rsidRPr="008D522C">
              <w:rPr>
                <w:sz w:val="20"/>
                <w:szCs w:val="20"/>
              </w:rPr>
              <w:t xml:space="preserve">). Aber kann rassische Klassifikation diese Ehefreiheit einschränken, die doch für das Streben nach Glück unabdingbar </w:t>
            </w:r>
            <w:r>
              <w:rPr>
                <w:sz w:val="20"/>
                <w:szCs w:val="20"/>
              </w:rPr>
              <w:t>ist?</w:t>
            </w:r>
            <w:r w:rsidRPr="008D522C">
              <w:rPr>
                <w:sz w:val="20"/>
                <w:szCs w:val="20"/>
              </w:rPr>
              <w:t xml:space="preserve"> </w:t>
            </w:r>
            <w:r>
              <w:rPr>
                <w:sz w:val="20"/>
                <w:szCs w:val="20"/>
              </w:rPr>
              <w:t>M</w:t>
            </w:r>
            <w:r w:rsidRPr="008D522C">
              <w:rPr>
                <w:sz w:val="20"/>
                <w:szCs w:val="20"/>
              </w:rPr>
              <w:t>it der Antwort würde sich zugleich erklären, wie stark das Streben nach Glück und seine Ausprägungen wirken</w:t>
            </w:r>
            <w:r>
              <w:rPr>
                <w:sz w:val="20"/>
                <w:szCs w:val="20"/>
              </w:rPr>
              <w:t>.</w:t>
            </w:r>
            <w:r w:rsidRPr="008D522C">
              <w:rPr>
                <w:sz w:val="20"/>
                <w:szCs w:val="20"/>
              </w:rPr>
              <w:t xml:space="preserve"> Der </w:t>
            </w:r>
            <w:r>
              <w:rPr>
                <w:sz w:val="20"/>
                <w:szCs w:val="20"/>
              </w:rPr>
              <w:t>U.S. Supreme Court</w:t>
            </w:r>
            <w:r w:rsidRPr="008D522C">
              <w:rPr>
                <w:sz w:val="20"/>
                <w:szCs w:val="20"/>
              </w:rPr>
              <w:t xml:space="preserve"> </w:t>
            </w:r>
            <w:r>
              <w:rPr>
                <w:sz w:val="20"/>
                <w:szCs w:val="20"/>
              </w:rPr>
              <w:t>erläutert</w:t>
            </w:r>
            <w:r w:rsidRPr="008D522C">
              <w:rPr>
                <w:sz w:val="20"/>
                <w:szCs w:val="20"/>
              </w:rPr>
              <w:t xml:space="preserve"> die rassische Klassifikation und </w:t>
            </w:r>
            <w:r>
              <w:rPr>
                <w:sz w:val="20"/>
                <w:szCs w:val="20"/>
              </w:rPr>
              <w:t>ihre</w:t>
            </w:r>
            <w:r w:rsidRPr="008D522C">
              <w:rPr>
                <w:sz w:val="20"/>
                <w:szCs w:val="20"/>
              </w:rPr>
              <w:t xml:space="preserve"> Verfassungswidrigkeit </w:t>
            </w:r>
            <w:r>
              <w:rPr>
                <w:sz w:val="20"/>
                <w:szCs w:val="20"/>
              </w:rPr>
              <w:t>folgendermaßen</w:t>
            </w:r>
            <w:r w:rsidRPr="008D522C">
              <w:rPr>
                <w:sz w:val="20"/>
                <w:szCs w:val="20"/>
              </w:rPr>
              <w:t xml:space="preserve">: Bürger aufgrund ihrer Rasse zu unterscheiden, widerspreche der Gleichheitsdoktrin, die der </w:t>
            </w:r>
            <w:r>
              <w:rPr>
                <w:sz w:val="20"/>
                <w:szCs w:val="20"/>
              </w:rPr>
              <w:t>U.S. Supreme Court</w:t>
            </w:r>
            <w:r w:rsidRPr="008D522C">
              <w:rPr>
                <w:sz w:val="20"/>
                <w:szCs w:val="20"/>
              </w:rPr>
              <w:t xml:space="preserve"> aus </w:t>
            </w:r>
            <w:r w:rsidRPr="5B67C1D2">
              <w:rPr>
                <w:i/>
                <w:iCs/>
                <w:sz w:val="20"/>
                <w:szCs w:val="20"/>
              </w:rPr>
              <w:t>Hirabayashi v. United States</w:t>
            </w:r>
            <w:r>
              <w:rPr>
                <w:sz w:val="20"/>
                <w:szCs w:val="20"/>
              </w:rPr>
              <w:t>,</w:t>
            </w:r>
            <w:r w:rsidRPr="008D522C">
              <w:rPr>
                <w:sz w:val="20"/>
                <w:szCs w:val="20"/>
                <w:vertAlign w:val="superscript"/>
              </w:rPr>
              <w:footnoteReference w:id="1778"/>
            </w:r>
            <w:r w:rsidRPr="008D522C">
              <w:rPr>
                <w:sz w:val="20"/>
                <w:szCs w:val="20"/>
              </w:rPr>
              <w:t xml:space="preserve"> respektive aus </w:t>
            </w:r>
            <w:r w:rsidRPr="5B67C1D2">
              <w:rPr>
                <w:i/>
                <w:iCs/>
                <w:sz w:val="20"/>
                <w:szCs w:val="20"/>
              </w:rPr>
              <w:t>Yick Wo v. Hopkins</w:t>
            </w:r>
            <w:r w:rsidRPr="008D522C">
              <w:rPr>
                <w:sz w:val="20"/>
                <w:szCs w:val="20"/>
                <w:vertAlign w:val="superscript"/>
              </w:rPr>
              <w:footnoteReference w:id="1779"/>
            </w:r>
            <w:r w:rsidRPr="008D522C">
              <w:rPr>
                <w:sz w:val="20"/>
                <w:szCs w:val="20"/>
              </w:rPr>
              <w:t xml:space="preserve"> herleite</w:t>
            </w:r>
            <w:r>
              <w:rPr>
                <w:sz w:val="20"/>
                <w:szCs w:val="20"/>
              </w:rPr>
              <w:t>t</w:t>
            </w:r>
            <w:r w:rsidRPr="008D522C">
              <w:rPr>
                <w:sz w:val="20"/>
                <w:szCs w:val="20"/>
              </w:rPr>
              <w:t>, und die als einen Herleitungsstrang beinhalte, dass alle Menschen gleichermaßen berechtigt sein soll</w:t>
            </w:r>
            <w:r>
              <w:rPr>
                <w:sz w:val="20"/>
                <w:szCs w:val="20"/>
              </w:rPr>
              <w:t>t</w:t>
            </w:r>
            <w:r w:rsidRPr="008D522C">
              <w:rPr>
                <w:sz w:val="20"/>
                <w:szCs w:val="20"/>
              </w:rPr>
              <w:t>en, ihr Glück zu suchen („</w:t>
            </w:r>
            <w:proofErr w:type="spellStart"/>
            <w:r w:rsidRPr="008D522C">
              <w:rPr>
                <w:sz w:val="20"/>
                <w:szCs w:val="20"/>
              </w:rPr>
              <w:t>that</w:t>
            </w:r>
            <w:proofErr w:type="spellEnd"/>
            <w:r w:rsidRPr="008D522C">
              <w:rPr>
                <w:sz w:val="20"/>
                <w:szCs w:val="20"/>
              </w:rPr>
              <w:t xml:space="preserve"> all </w:t>
            </w:r>
            <w:proofErr w:type="spellStart"/>
            <w:r w:rsidRPr="008D522C">
              <w:rPr>
                <w:sz w:val="20"/>
                <w:szCs w:val="20"/>
              </w:rPr>
              <w:t>persons</w:t>
            </w:r>
            <w:proofErr w:type="spellEnd"/>
            <w:r w:rsidRPr="008D522C">
              <w:rPr>
                <w:sz w:val="20"/>
                <w:szCs w:val="20"/>
              </w:rPr>
              <w:t xml:space="preserve"> </w:t>
            </w:r>
            <w:proofErr w:type="spellStart"/>
            <w:r w:rsidRPr="008D522C">
              <w:rPr>
                <w:sz w:val="20"/>
                <w:szCs w:val="20"/>
              </w:rPr>
              <w:t>should</w:t>
            </w:r>
            <w:proofErr w:type="spellEnd"/>
            <w:r w:rsidRPr="008D522C">
              <w:rPr>
                <w:sz w:val="20"/>
                <w:szCs w:val="20"/>
              </w:rPr>
              <w:t xml:space="preserve"> </w:t>
            </w:r>
            <w:proofErr w:type="spellStart"/>
            <w:r w:rsidRPr="008D522C">
              <w:rPr>
                <w:sz w:val="20"/>
                <w:szCs w:val="20"/>
              </w:rPr>
              <w:t>be</w:t>
            </w:r>
            <w:proofErr w:type="spellEnd"/>
            <w:r w:rsidRPr="008D522C">
              <w:rPr>
                <w:sz w:val="20"/>
                <w:szCs w:val="20"/>
              </w:rPr>
              <w:t xml:space="preserve"> </w:t>
            </w:r>
            <w:proofErr w:type="spellStart"/>
            <w:r w:rsidRPr="008D522C">
              <w:rPr>
                <w:sz w:val="20"/>
                <w:szCs w:val="20"/>
              </w:rPr>
              <w:t>equally</w:t>
            </w:r>
            <w:proofErr w:type="spellEnd"/>
            <w:r w:rsidRPr="008D522C">
              <w:rPr>
                <w:sz w:val="20"/>
                <w:szCs w:val="20"/>
              </w:rPr>
              <w:t xml:space="preserve"> </w:t>
            </w:r>
            <w:proofErr w:type="spellStart"/>
            <w:r w:rsidRPr="008D522C">
              <w:rPr>
                <w:sz w:val="20"/>
                <w:szCs w:val="20"/>
              </w:rPr>
              <w:t>entitled</w:t>
            </w:r>
            <w:proofErr w:type="spellEnd"/>
            <w:r w:rsidRPr="008D522C">
              <w:rPr>
                <w:sz w:val="20"/>
                <w:szCs w:val="20"/>
              </w:rPr>
              <w:t xml:space="preserve"> to </w:t>
            </w:r>
            <w:proofErr w:type="spellStart"/>
            <w:r w:rsidRPr="008D522C">
              <w:rPr>
                <w:sz w:val="20"/>
                <w:szCs w:val="20"/>
              </w:rPr>
              <w:t>pursue</w:t>
            </w:r>
            <w:proofErr w:type="spellEnd"/>
            <w:r w:rsidRPr="008D522C">
              <w:rPr>
                <w:sz w:val="20"/>
                <w:szCs w:val="20"/>
              </w:rPr>
              <w:t xml:space="preserve"> </w:t>
            </w:r>
            <w:proofErr w:type="spellStart"/>
            <w:r w:rsidRPr="008D522C">
              <w:rPr>
                <w:sz w:val="20"/>
                <w:szCs w:val="20"/>
              </w:rPr>
              <w:t>their</w:t>
            </w:r>
            <w:proofErr w:type="spellEnd"/>
            <w:r w:rsidRPr="008D522C">
              <w:rPr>
                <w:sz w:val="20"/>
                <w:szCs w:val="20"/>
              </w:rPr>
              <w:t xml:space="preserve"> </w:t>
            </w:r>
            <w:proofErr w:type="spellStart"/>
            <w:r w:rsidRPr="008D522C">
              <w:rPr>
                <w:sz w:val="20"/>
                <w:szCs w:val="20"/>
              </w:rPr>
              <w:t>happiness</w:t>
            </w:r>
            <w:proofErr w:type="spellEnd"/>
            <w:r w:rsidRPr="008D522C">
              <w:rPr>
                <w:sz w:val="20"/>
                <w:szCs w:val="20"/>
              </w:rPr>
              <w:t xml:space="preserve"> and </w:t>
            </w:r>
            <w:proofErr w:type="spellStart"/>
            <w:r w:rsidRPr="008D522C">
              <w:rPr>
                <w:sz w:val="20"/>
                <w:szCs w:val="20"/>
              </w:rPr>
              <w:t>acquire</w:t>
            </w:r>
            <w:proofErr w:type="spellEnd"/>
            <w:r w:rsidRPr="008D522C">
              <w:rPr>
                <w:sz w:val="20"/>
                <w:szCs w:val="20"/>
              </w:rPr>
              <w:t xml:space="preserve"> and </w:t>
            </w:r>
            <w:proofErr w:type="spellStart"/>
            <w:r w:rsidRPr="008D522C">
              <w:rPr>
                <w:sz w:val="20"/>
                <w:szCs w:val="20"/>
              </w:rPr>
              <w:t>enjoy</w:t>
            </w:r>
            <w:proofErr w:type="spellEnd"/>
            <w:r w:rsidRPr="008D522C">
              <w:rPr>
                <w:sz w:val="20"/>
                <w:szCs w:val="20"/>
              </w:rPr>
              <w:t xml:space="preserve"> </w:t>
            </w:r>
            <w:proofErr w:type="spellStart"/>
            <w:r w:rsidRPr="008D522C">
              <w:rPr>
                <w:sz w:val="20"/>
                <w:szCs w:val="20"/>
              </w:rPr>
              <w:t>property</w:t>
            </w:r>
            <w:proofErr w:type="spellEnd"/>
            <w:r w:rsidRPr="008D522C">
              <w:rPr>
                <w:sz w:val="20"/>
                <w:szCs w:val="20"/>
              </w:rPr>
              <w:t>“</w:t>
            </w:r>
            <w:r w:rsidRPr="008D522C">
              <w:rPr>
                <w:sz w:val="20"/>
                <w:szCs w:val="20"/>
                <w:vertAlign w:val="superscript"/>
              </w:rPr>
              <w:footnoteReference w:id="1780"/>
            </w:r>
            <w:r w:rsidRPr="008D522C">
              <w:rPr>
                <w:sz w:val="20"/>
                <w:szCs w:val="20"/>
              </w:rPr>
              <w:t xml:space="preserve">). Rassische Klassifikation wäre nur unter der </w:t>
            </w:r>
            <w:proofErr w:type="spellStart"/>
            <w:r w:rsidRPr="008D522C">
              <w:rPr>
                <w:sz w:val="20"/>
                <w:szCs w:val="20"/>
              </w:rPr>
              <w:t>strengstmöglichen</w:t>
            </w:r>
            <w:proofErr w:type="spellEnd"/>
            <w:r w:rsidRPr="008D522C">
              <w:rPr>
                <w:sz w:val="20"/>
                <w:szCs w:val="20"/>
              </w:rPr>
              <w:t xml:space="preserve"> Rechtfertigung denkbar („</w:t>
            </w:r>
            <w:proofErr w:type="spellStart"/>
            <w:r w:rsidRPr="008D522C">
              <w:rPr>
                <w:sz w:val="20"/>
                <w:szCs w:val="20"/>
              </w:rPr>
              <w:t>most</w:t>
            </w:r>
            <w:proofErr w:type="spellEnd"/>
            <w:r w:rsidRPr="008D522C">
              <w:rPr>
                <w:sz w:val="20"/>
                <w:szCs w:val="20"/>
              </w:rPr>
              <w:t xml:space="preserve"> rigid </w:t>
            </w:r>
            <w:proofErr w:type="spellStart"/>
            <w:r w:rsidRPr="008D522C">
              <w:rPr>
                <w:sz w:val="20"/>
                <w:szCs w:val="20"/>
              </w:rPr>
              <w:t>scrutiny</w:t>
            </w:r>
            <w:proofErr w:type="spellEnd"/>
            <w:r w:rsidRPr="008D522C">
              <w:rPr>
                <w:sz w:val="20"/>
                <w:szCs w:val="20"/>
              </w:rPr>
              <w:t>“</w:t>
            </w:r>
            <w:r w:rsidRPr="008D522C">
              <w:rPr>
                <w:sz w:val="20"/>
                <w:szCs w:val="20"/>
                <w:vertAlign w:val="superscript"/>
              </w:rPr>
              <w:footnoteReference w:id="1781"/>
            </w:r>
            <w:r w:rsidRPr="008D522C">
              <w:rPr>
                <w:sz w:val="20"/>
                <w:szCs w:val="20"/>
              </w:rPr>
              <w:t xml:space="preserve">), nämlich einem legitimen Staatsziel, </w:t>
            </w:r>
            <w:r>
              <w:rPr>
                <w:sz w:val="20"/>
                <w:szCs w:val="20"/>
              </w:rPr>
              <w:t>d</w:t>
            </w:r>
            <w:r w:rsidRPr="008D522C">
              <w:rPr>
                <w:sz w:val="20"/>
                <w:szCs w:val="20"/>
              </w:rPr>
              <w:t xml:space="preserve">as auch unabhängig von rassischer Diskriminierung wirke, weil </w:t>
            </w:r>
            <w:r>
              <w:rPr>
                <w:sz w:val="20"/>
                <w:szCs w:val="20"/>
              </w:rPr>
              <w:t>L</w:t>
            </w:r>
            <w:r w:rsidRPr="008D522C">
              <w:rPr>
                <w:sz w:val="20"/>
                <w:szCs w:val="20"/>
              </w:rPr>
              <w:t>etzteres eigentlich</w:t>
            </w:r>
            <w:r>
              <w:rPr>
                <w:sz w:val="20"/>
                <w:szCs w:val="20"/>
              </w:rPr>
              <w:t xml:space="preserve"> durch</w:t>
            </w:r>
            <w:r w:rsidRPr="008D522C">
              <w:rPr>
                <w:sz w:val="20"/>
                <w:szCs w:val="20"/>
              </w:rPr>
              <w:t xml:space="preserve"> </w:t>
            </w:r>
            <w:proofErr w:type="spellStart"/>
            <w:r>
              <w:rPr>
                <w:sz w:val="20"/>
                <w:szCs w:val="20"/>
              </w:rPr>
              <w:t>Amd</w:t>
            </w:r>
            <w:proofErr w:type="spellEnd"/>
            <w:r>
              <w:rPr>
                <w:sz w:val="20"/>
                <w:szCs w:val="20"/>
              </w:rPr>
              <w:t>. </w:t>
            </w:r>
            <w:r w:rsidRPr="008D522C">
              <w:rPr>
                <w:sz w:val="20"/>
                <w:szCs w:val="20"/>
              </w:rPr>
              <w:t>XIV untersag</w:t>
            </w:r>
            <w:r>
              <w:rPr>
                <w:sz w:val="20"/>
                <w:szCs w:val="20"/>
              </w:rPr>
              <w:t>t werde</w:t>
            </w:r>
            <w:r w:rsidRPr="008D522C">
              <w:rPr>
                <w:sz w:val="20"/>
                <w:szCs w:val="20"/>
              </w:rPr>
              <w:t>. Ein solch</w:t>
            </w:r>
            <w:r>
              <w:rPr>
                <w:sz w:val="20"/>
                <w:szCs w:val="20"/>
              </w:rPr>
              <w:t>es</w:t>
            </w:r>
            <w:r w:rsidRPr="008D522C">
              <w:rPr>
                <w:sz w:val="20"/>
                <w:szCs w:val="20"/>
              </w:rPr>
              <w:t xml:space="preserve"> legitimes Ziel existiere bisher nicht.</w:t>
            </w:r>
            <w:r w:rsidRPr="008D522C">
              <w:rPr>
                <w:sz w:val="20"/>
                <w:szCs w:val="20"/>
                <w:vertAlign w:val="superscript"/>
              </w:rPr>
              <w:footnoteReference w:id="1782"/>
            </w:r>
            <w:r w:rsidRPr="008D522C">
              <w:rPr>
                <w:sz w:val="20"/>
                <w:szCs w:val="20"/>
              </w:rPr>
              <w:t xml:space="preserve"> Denn wenn eine staatliche Maßnahme nach Rasse</w:t>
            </w:r>
            <w:r>
              <w:rPr>
                <w:sz w:val="20"/>
                <w:szCs w:val="20"/>
              </w:rPr>
              <w:t>n</w:t>
            </w:r>
            <w:r w:rsidRPr="008D522C">
              <w:rPr>
                <w:sz w:val="20"/>
                <w:szCs w:val="20"/>
              </w:rPr>
              <w:t xml:space="preserve"> klassifiziere, dann diskriminiere dies. Zum Beispiel verbiete ein Gesetz</w:t>
            </w:r>
            <w:r w:rsidRPr="008D522C">
              <w:rPr>
                <w:sz w:val="20"/>
                <w:szCs w:val="20"/>
                <w:vertAlign w:val="superscript"/>
              </w:rPr>
              <w:footnoteReference w:id="1783"/>
            </w:r>
            <w:r w:rsidRPr="008D522C">
              <w:rPr>
                <w:sz w:val="20"/>
                <w:szCs w:val="20"/>
              </w:rPr>
              <w:t xml:space="preserve"> Ehen verschiedener Rassen, an denen eine weiße Person beteiligt sei. Die vermeintliche Rechtfertigung</w:t>
            </w:r>
            <w:r>
              <w:rPr>
                <w:sz w:val="20"/>
                <w:szCs w:val="20"/>
              </w:rPr>
              <w:t>,</w:t>
            </w:r>
            <w:r w:rsidRPr="008D522C">
              <w:rPr>
                <w:sz w:val="20"/>
                <w:szCs w:val="20"/>
              </w:rPr>
              <w:t xml:space="preserve"> also das Staatsziel</w:t>
            </w:r>
            <w:r>
              <w:rPr>
                <w:sz w:val="20"/>
                <w:szCs w:val="20"/>
              </w:rPr>
              <w:t>,</w:t>
            </w:r>
            <w:r w:rsidRPr="008D522C">
              <w:rPr>
                <w:sz w:val="20"/>
                <w:szCs w:val="20"/>
              </w:rPr>
              <w:t xml:space="preserve"> könne hier aber nur lauten: </w:t>
            </w:r>
            <w:r>
              <w:rPr>
                <w:sz w:val="20"/>
                <w:szCs w:val="20"/>
              </w:rPr>
              <w:t>d</w:t>
            </w:r>
            <w:r w:rsidRPr="008D522C">
              <w:rPr>
                <w:sz w:val="20"/>
                <w:szCs w:val="20"/>
              </w:rPr>
              <w:t xml:space="preserve">ie weiße Vorherrschaft aufrechtzuerhalten („to </w:t>
            </w:r>
            <w:proofErr w:type="spellStart"/>
            <w:r w:rsidRPr="008D522C">
              <w:rPr>
                <w:sz w:val="20"/>
                <w:szCs w:val="20"/>
              </w:rPr>
              <w:t>maintain</w:t>
            </w:r>
            <w:proofErr w:type="spellEnd"/>
            <w:r w:rsidRPr="008D522C">
              <w:rPr>
                <w:sz w:val="20"/>
                <w:szCs w:val="20"/>
              </w:rPr>
              <w:t xml:space="preserve"> White Supremacy“</w:t>
            </w:r>
            <w:r w:rsidRPr="008D522C">
              <w:rPr>
                <w:sz w:val="20"/>
                <w:szCs w:val="20"/>
                <w:vertAlign w:val="superscript"/>
              </w:rPr>
              <w:footnoteReference w:id="1784"/>
            </w:r>
            <w:r w:rsidRPr="008D522C">
              <w:rPr>
                <w:sz w:val="20"/>
                <w:szCs w:val="20"/>
              </w:rPr>
              <w:t xml:space="preserve">). Rechte von Bürgern aufgrund ihrer Rasse einzuschränken, sei also an sich verfassungswidrig und ein legitimes Staatsziel ohne rassische Diskriminierung als Ausnahme bestehe </w:t>
            </w:r>
            <w:r>
              <w:rPr>
                <w:sz w:val="20"/>
                <w:szCs w:val="20"/>
              </w:rPr>
              <w:t>bislang</w:t>
            </w:r>
            <w:r w:rsidRPr="008D522C">
              <w:rPr>
                <w:sz w:val="20"/>
                <w:szCs w:val="20"/>
              </w:rPr>
              <w:t xml:space="preserve"> nicht. Mit dem obigen Gesetz sei vielmehr der zentrale Regelungsgehalt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8D522C">
              <w:rPr>
                <w:sz w:val="20"/>
                <w:szCs w:val="20"/>
              </w:rPr>
              <w:t xml:space="preserve"> gem.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D522C">
              <w:rPr>
                <w:sz w:val="20"/>
                <w:szCs w:val="20"/>
              </w:rPr>
              <w:t xml:space="preserve"> </w:t>
            </w:r>
            <w:r>
              <w:rPr>
                <w:sz w:val="20"/>
                <w:szCs w:val="20"/>
              </w:rPr>
              <w:t xml:space="preserve">verletzt. </w:t>
            </w:r>
            <w:r w:rsidRPr="008D522C">
              <w:rPr>
                <w:sz w:val="20"/>
                <w:szCs w:val="20"/>
              </w:rPr>
              <w:t xml:space="preserve">Dazu komme, </w:t>
            </w:r>
            <w:r>
              <w:rPr>
                <w:sz w:val="20"/>
                <w:szCs w:val="20"/>
              </w:rPr>
              <w:t xml:space="preserve">dass </w:t>
            </w:r>
            <w:r w:rsidRPr="008D522C">
              <w:rPr>
                <w:sz w:val="20"/>
                <w:szCs w:val="20"/>
              </w:rPr>
              <w:t>die Heirat existenziell für den Fortbestand</w:t>
            </w:r>
            <w:r>
              <w:rPr>
                <w:sz w:val="20"/>
                <w:szCs w:val="20"/>
              </w:rPr>
              <w:t xml:space="preserve"> </w:t>
            </w:r>
            <w:r w:rsidRPr="008D522C">
              <w:rPr>
                <w:sz w:val="20"/>
                <w:szCs w:val="20"/>
              </w:rPr>
              <w:t xml:space="preserve">sei, so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w:t>
            </w:r>
            <w:r w:rsidRPr="5B67C1D2">
              <w:rPr>
                <w:i/>
                <w:iCs/>
                <w:sz w:val="20"/>
                <w:szCs w:val="20"/>
                <w:vertAlign w:val="superscript"/>
              </w:rPr>
              <w:footnoteReference w:id="1785"/>
            </w:r>
            <w:r w:rsidRPr="008D522C">
              <w:rPr>
                <w:sz w:val="20"/>
                <w:szCs w:val="20"/>
              </w:rPr>
              <w:t xml:space="preserve"> Nach dem </w:t>
            </w:r>
            <w:proofErr w:type="spellStart"/>
            <w:r w:rsidRPr="5B67C1D2">
              <w:rPr>
                <w:i/>
                <w:iCs/>
                <w:sz w:val="20"/>
                <w:szCs w:val="20"/>
              </w:rPr>
              <w:t>pursuit</w:t>
            </w:r>
            <w:proofErr w:type="spellEnd"/>
            <w:r w:rsidRPr="5B67C1D2">
              <w:rPr>
                <w:i/>
                <w:iCs/>
                <w:sz w:val="20"/>
                <w:szCs w:val="20"/>
              </w:rPr>
              <w:t xml:space="preserve"> of Happiness</w:t>
            </w:r>
            <w:r w:rsidRPr="008D522C">
              <w:rPr>
                <w:sz w:val="20"/>
                <w:szCs w:val="20"/>
              </w:rPr>
              <w:t xml:space="preserve"> der </w:t>
            </w:r>
            <w:r w:rsidRPr="5B67C1D2">
              <w:rPr>
                <w:i/>
                <w:iCs/>
                <w:sz w:val="20"/>
                <w:szCs w:val="20"/>
              </w:rPr>
              <w:t>Declaration of Independence</w:t>
            </w:r>
            <w:r w:rsidRPr="008D522C">
              <w:rPr>
                <w:sz w:val="20"/>
                <w:szCs w:val="20"/>
              </w:rPr>
              <w:t xml:space="preserve"> liege beim Einzelnen die Freiheit, eine Person einer anderen Rasse zu heiraten oder </w:t>
            </w:r>
            <w:r w:rsidRPr="008D522C">
              <w:rPr>
                <w:sz w:val="20"/>
                <w:szCs w:val="20"/>
              </w:rPr>
              <w:lastRenderedPageBreak/>
              <w:t>nicht. Und diese Freiheit könne der Staat nicht antasten („</w:t>
            </w:r>
            <w:proofErr w:type="spellStart"/>
            <w:r w:rsidRPr="008D522C">
              <w:rPr>
                <w:sz w:val="20"/>
                <w:szCs w:val="20"/>
              </w:rPr>
              <w:t>cannot</w:t>
            </w:r>
            <w:proofErr w:type="spellEnd"/>
            <w:r w:rsidRPr="008D522C">
              <w:rPr>
                <w:sz w:val="20"/>
                <w:szCs w:val="20"/>
              </w:rPr>
              <w:t xml:space="preserve"> </w:t>
            </w:r>
            <w:proofErr w:type="spellStart"/>
            <w:r w:rsidRPr="008D522C">
              <w:rPr>
                <w:sz w:val="20"/>
                <w:szCs w:val="20"/>
              </w:rPr>
              <w:t>be</w:t>
            </w:r>
            <w:proofErr w:type="spellEnd"/>
            <w:r w:rsidRPr="008D522C">
              <w:rPr>
                <w:sz w:val="20"/>
                <w:szCs w:val="20"/>
              </w:rPr>
              <w:t xml:space="preserve"> </w:t>
            </w:r>
            <w:proofErr w:type="spellStart"/>
            <w:r w:rsidRPr="008D522C">
              <w:rPr>
                <w:sz w:val="20"/>
                <w:szCs w:val="20"/>
              </w:rPr>
              <w:t>infringed</w:t>
            </w:r>
            <w:proofErr w:type="spellEnd"/>
            <w:r w:rsidRPr="008D522C">
              <w:rPr>
                <w:sz w:val="20"/>
                <w:szCs w:val="20"/>
              </w:rPr>
              <w:t xml:space="preserve"> by the State“</w:t>
            </w:r>
            <w:r w:rsidRPr="008D522C">
              <w:rPr>
                <w:sz w:val="20"/>
                <w:szCs w:val="20"/>
                <w:vertAlign w:val="superscript"/>
              </w:rPr>
              <w:footnoteReference w:id="1786"/>
            </w:r>
            <w:r w:rsidRPr="008D522C">
              <w:rPr>
                <w:sz w:val="20"/>
                <w:szCs w:val="20"/>
              </w:rPr>
              <w:t xml:space="preserve">). </w:t>
            </w:r>
          </w:p>
          <w:p w14:paraId="290BDC17" w14:textId="77777777" w:rsidR="00074551" w:rsidRPr="00E50B51" w:rsidRDefault="00074551" w:rsidP="00367133">
            <w:pPr>
              <w:rPr>
                <w:sz w:val="20"/>
                <w:szCs w:val="20"/>
              </w:rPr>
            </w:pPr>
          </w:p>
        </w:tc>
      </w:tr>
      <w:tr w:rsidR="00074551" w:rsidRPr="00E50B51" w14:paraId="7EBFDF60" w14:textId="77777777" w:rsidTr="00BE689F">
        <w:trPr>
          <w:cantSplit/>
          <w:trHeight w:val="3175"/>
        </w:trPr>
        <w:tc>
          <w:tcPr>
            <w:tcW w:w="293" w:type="pct"/>
          </w:tcPr>
          <w:p w14:paraId="7597464C"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770CCF1" w14:textId="77777777" w:rsidR="00074551" w:rsidRPr="00E50B51" w:rsidRDefault="00074551" w:rsidP="00367133">
            <w:pPr>
              <w:ind w:left="113" w:right="416"/>
              <w:jc w:val="both"/>
              <w:rPr>
                <w:sz w:val="20"/>
                <w:szCs w:val="20"/>
              </w:rPr>
            </w:pPr>
            <w:r w:rsidRPr="00A15962">
              <w:rPr>
                <w:i/>
                <w:sz w:val="20"/>
                <w:szCs w:val="20"/>
                <w:lang w:val="en-US"/>
              </w:rPr>
              <w:t>Yick Wo v. Hopkins</w:t>
            </w:r>
          </w:p>
        </w:tc>
        <w:tc>
          <w:tcPr>
            <w:tcW w:w="197" w:type="pct"/>
            <w:textDirection w:val="tbRl"/>
            <w:vAlign w:val="center"/>
          </w:tcPr>
          <w:p w14:paraId="4D7312A4" w14:textId="77777777" w:rsidR="00074551" w:rsidRPr="00E50B51" w:rsidRDefault="00074551" w:rsidP="00367133">
            <w:pPr>
              <w:ind w:left="113" w:right="113"/>
              <w:jc w:val="both"/>
              <w:rPr>
                <w:sz w:val="20"/>
                <w:szCs w:val="20"/>
              </w:rPr>
            </w:pPr>
            <w:r w:rsidRPr="00E50B51">
              <w:rPr>
                <w:sz w:val="20"/>
                <w:szCs w:val="20"/>
                <w:lang w:val="en-US"/>
              </w:rPr>
              <w:t>118 U.S. 356</w:t>
            </w:r>
          </w:p>
        </w:tc>
        <w:tc>
          <w:tcPr>
            <w:tcW w:w="306" w:type="pct"/>
            <w:textDirection w:val="tbRl"/>
            <w:vAlign w:val="center"/>
          </w:tcPr>
          <w:p w14:paraId="529EF64B" w14:textId="77777777" w:rsidR="00074551" w:rsidRPr="00E50B51" w:rsidRDefault="00074551" w:rsidP="00367133">
            <w:pPr>
              <w:ind w:left="113" w:right="113"/>
              <w:jc w:val="both"/>
              <w:rPr>
                <w:sz w:val="20"/>
                <w:szCs w:val="20"/>
              </w:rPr>
            </w:pPr>
            <w:r w:rsidRPr="00E50B51">
              <w:rPr>
                <w:sz w:val="20"/>
                <w:szCs w:val="20"/>
              </w:rPr>
              <w:t>10. Mai 1886</w:t>
            </w:r>
          </w:p>
        </w:tc>
        <w:tc>
          <w:tcPr>
            <w:tcW w:w="401" w:type="pct"/>
          </w:tcPr>
          <w:p w14:paraId="375B777C" w14:textId="77777777" w:rsidR="00074551" w:rsidRPr="00E50B51" w:rsidRDefault="00074551" w:rsidP="00367133">
            <w:pPr>
              <w:jc w:val="center"/>
              <w:rPr>
                <w:sz w:val="20"/>
                <w:szCs w:val="20"/>
              </w:rPr>
            </w:pPr>
            <w:r w:rsidRPr="00E50B51">
              <w:rPr>
                <w:sz w:val="20"/>
                <w:szCs w:val="20"/>
              </w:rPr>
              <w:t>M</w:t>
            </w:r>
          </w:p>
        </w:tc>
        <w:tc>
          <w:tcPr>
            <w:tcW w:w="1594" w:type="pct"/>
          </w:tcPr>
          <w:p w14:paraId="4B039A86" w14:textId="77777777" w:rsidR="00074551" w:rsidRPr="00E50B51" w:rsidRDefault="00074551" w:rsidP="00367133">
            <w:pPr>
              <w:jc w:val="both"/>
              <w:rPr>
                <w:sz w:val="20"/>
                <w:szCs w:val="20"/>
              </w:rPr>
            </w:pPr>
            <w:r w:rsidRPr="00E50B51">
              <w:rPr>
                <w:sz w:val="20"/>
                <w:szCs w:val="20"/>
              </w:rPr>
              <w:t>*</w:t>
            </w:r>
          </w:p>
          <w:p w14:paraId="644BF5A6" w14:textId="77777777" w:rsidR="00074551" w:rsidRPr="00E50B51" w:rsidRDefault="00074551" w:rsidP="00367133">
            <w:pPr>
              <w:jc w:val="both"/>
              <w:rPr>
                <w:sz w:val="20"/>
                <w:szCs w:val="20"/>
              </w:rPr>
            </w:pPr>
          </w:p>
        </w:tc>
        <w:tc>
          <w:tcPr>
            <w:tcW w:w="1822" w:type="pct"/>
          </w:tcPr>
          <w:p w14:paraId="511BBB85" w14:textId="77777777" w:rsidR="00074551" w:rsidRPr="00E50B51" w:rsidRDefault="00074551" w:rsidP="00367133">
            <w:pPr>
              <w:jc w:val="both"/>
              <w:rPr>
                <w:sz w:val="20"/>
                <w:szCs w:val="20"/>
              </w:rPr>
            </w:pPr>
            <w:r w:rsidRPr="00E50B51">
              <w:rPr>
                <w:sz w:val="20"/>
                <w:szCs w:val="20"/>
              </w:rPr>
              <w:t>De</w:t>
            </w:r>
            <w:r>
              <w:rPr>
                <w:sz w:val="20"/>
                <w:szCs w:val="20"/>
              </w:rPr>
              <w:t>n</w:t>
            </w:r>
            <w:r w:rsidRPr="00E50B51">
              <w:rPr>
                <w:sz w:val="20"/>
                <w:szCs w:val="20"/>
              </w:rPr>
              <w:t xml:space="preserve"> Maßstab des Verfassungswidrigkeit </w:t>
            </w:r>
            <w:r>
              <w:rPr>
                <w:sz w:val="20"/>
                <w:szCs w:val="20"/>
              </w:rPr>
              <w:t xml:space="preserve">errichtet </w:t>
            </w:r>
            <w:r w:rsidRPr="00E50B51">
              <w:rPr>
                <w:sz w:val="20"/>
                <w:szCs w:val="20"/>
              </w:rPr>
              <w:t xml:space="preserve">der </w:t>
            </w:r>
            <w:r>
              <w:rPr>
                <w:sz w:val="20"/>
                <w:szCs w:val="20"/>
              </w:rPr>
              <w:t>U.S. Supreme Court</w:t>
            </w:r>
            <w:r w:rsidRPr="00E50B51">
              <w:rPr>
                <w:sz w:val="20"/>
                <w:szCs w:val="20"/>
              </w:rPr>
              <w:t xml:space="preserve"> auch anhand des gleichen Strebens auf Glück. Der Maßstab lautet: </w:t>
            </w:r>
            <w:proofErr w:type="spellStart"/>
            <w:r>
              <w:rPr>
                <w:sz w:val="20"/>
                <w:szCs w:val="20"/>
              </w:rPr>
              <w:t>Amd</w:t>
            </w:r>
            <w:proofErr w:type="spellEnd"/>
            <w:r>
              <w:rPr>
                <w:sz w:val="20"/>
                <w:szCs w:val="20"/>
              </w:rPr>
              <w:t>. </w:t>
            </w:r>
            <w:r w:rsidRPr="00E50B51">
              <w:rPr>
                <w:sz w:val="20"/>
                <w:szCs w:val="20"/>
              </w:rPr>
              <w:t>XIV schützt vom Wortlaut</w:t>
            </w:r>
            <w:r>
              <w:rPr>
                <w:sz w:val="20"/>
                <w:szCs w:val="20"/>
              </w:rPr>
              <w:t xml:space="preserve"> her</w:t>
            </w:r>
            <w:r w:rsidRPr="00E50B51">
              <w:rPr>
                <w:sz w:val="20"/>
                <w:szCs w:val="20"/>
              </w:rPr>
              <w:t xml:space="preserve"> </w:t>
            </w:r>
            <w:r>
              <w:rPr>
                <w:sz w:val="20"/>
                <w:szCs w:val="20"/>
              </w:rPr>
              <w:t>vor dem</w:t>
            </w:r>
            <w:r w:rsidRPr="00E50B51">
              <w:rPr>
                <w:sz w:val="20"/>
                <w:szCs w:val="20"/>
              </w:rPr>
              <w:t xml:space="preserve"> willkürlichen Entzug des Lebens</w:t>
            </w:r>
            <w:r>
              <w:rPr>
                <w:sz w:val="20"/>
                <w:szCs w:val="20"/>
              </w:rPr>
              <w:t>,</w:t>
            </w:r>
            <w:r w:rsidRPr="00E50B51">
              <w:rPr>
                <w:sz w:val="20"/>
                <w:szCs w:val="20"/>
              </w:rPr>
              <w:t xml:space="preserve"> der Freiheit und des Eigentums. Aber es regelt auch, dass </w:t>
            </w:r>
            <w:r>
              <w:rPr>
                <w:sz w:val="20"/>
                <w:szCs w:val="20"/>
              </w:rPr>
              <w:t>u.a.</w:t>
            </w:r>
            <w:r w:rsidRPr="00E50B51">
              <w:rPr>
                <w:sz w:val="20"/>
                <w:szCs w:val="20"/>
              </w:rPr>
              <w:t xml:space="preserve"> alle Personen gleich</w:t>
            </w:r>
            <w:r>
              <w:rPr>
                <w:sz w:val="20"/>
                <w:szCs w:val="20"/>
              </w:rPr>
              <w:t>ermaßen</w:t>
            </w:r>
            <w:r w:rsidRPr="00E50B51">
              <w:rPr>
                <w:sz w:val="20"/>
                <w:szCs w:val="20"/>
              </w:rPr>
              <w:t xml:space="preserve"> berechtigt sind, ihr Glück zu verfolgen („</w:t>
            </w:r>
            <w:proofErr w:type="spellStart"/>
            <w:r w:rsidRPr="00E50B51">
              <w:rPr>
                <w:sz w:val="20"/>
                <w:szCs w:val="20"/>
              </w:rPr>
              <w:t>that</w:t>
            </w:r>
            <w:proofErr w:type="spellEnd"/>
            <w:r w:rsidRPr="00E50B51">
              <w:rPr>
                <w:sz w:val="20"/>
                <w:szCs w:val="20"/>
              </w:rPr>
              <w:t xml:space="preserve"> all </w:t>
            </w:r>
            <w:proofErr w:type="spellStart"/>
            <w:r w:rsidRPr="00E50B51">
              <w:rPr>
                <w:sz w:val="20"/>
                <w:szCs w:val="20"/>
              </w:rPr>
              <w:t>persons</w:t>
            </w:r>
            <w:proofErr w:type="spellEnd"/>
            <w:r w:rsidRPr="00E50B51">
              <w:rPr>
                <w:sz w:val="20"/>
                <w:szCs w:val="20"/>
              </w:rPr>
              <w:t xml:space="preserve"> </w:t>
            </w:r>
            <w:proofErr w:type="spellStart"/>
            <w:r w:rsidRPr="00E50B51">
              <w:rPr>
                <w:sz w:val="20"/>
                <w:szCs w:val="20"/>
              </w:rPr>
              <w:t>should</w:t>
            </w:r>
            <w:proofErr w:type="spellEnd"/>
            <w:r w:rsidRPr="00E50B51">
              <w:rPr>
                <w:sz w:val="20"/>
                <w:szCs w:val="20"/>
              </w:rPr>
              <w:t xml:space="preserve"> </w:t>
            </w:r>
            <w:proofErr w:type="spellStart"/>
            <w:r w:rsidRPr="00E50B51">
              <w:rPr>
                <w:sz w:val="20"/>
                <w:szCs w:val="20"/>
              </w:rPr>
              <w:t>be</w:t>
            </w:r>
            <w:proofErr w:type="spellEnd"/>
            <w:r w:rsidRPr="00E50B51">
              <w:rPr>
                <w:sz w:val="20"/>
                <w:szCs w:val="20"/>
              </w:rPr>
              <w:t xml:space="preserve"> </w:t>
            </w:r>
            <w:proofErr w:type="spellStart"/>
            <w:r w:rsidRPr="00E50B51">
              <w:rPr>
                <w:sz w:val="20"/>
                <w:szCs w:val="20"/>
              </w:rPr>
              <w:t>equally</w:t>
            </w:r>
            <w:proofErr w:type="spellEnd"/>
            <w:r w:rsidRPr="00E50B51">
              <w:rPr>
                <w:sz w:val="20"/>
                <w:szCs w:val="20"/>
              </w:rPr>
              <w:t xml:space="preserve"> </w:t>
            </w:r>
            <w:proofErr w:type="spellStart"/>
            <w:r w:rsidRPr="00E50B51">
              <w:rPr>
                <w:sz w:val="20"/>
                <w:szCs w:val="20"/>
              </w:rPr>
              <w:t>entitled</w:t>
            </w:r>
            <w:proofErr w:type="spellEnd"/>
            <w:r w:rsidRPr="00E50B51">
              <w:rPr>
                <w:sz w:val="20"/>
                <w:szCs w:val="20"/>
              </w:rPr>
              <w:t xml:space="preserve"> to </w:t>
            </w:r>
            <w:proofErr w:type="spellStart"/>
            <w:r w:rsidRPr="00E50B51">
              <w:rPr>
                <w:sz w:val="20"/>
                <w:szCs w:val="20"/>
              </w:rPr>
              <w:t>pursue</w:t>
            </w:r>
            <w:proofErr w:type="spellEnd"/>
            <w:r w:rsidRPr="00E50B51">
              <w:rPr>
                <w:sz w:val="20"/>
                <w:szCs w:val="20"/>
              </w:rPr>
              <w:t xml:space="preserve"> </w:t>
            </w:r>
            <w:proofErr w:type="spellStart"/>
            <w:r w:rsidRPr="00E50B51">
              <w:rPr>
                <w:sz w:val="20"/>
                <w:szCs w:val="20"/>
              </w:rPr>
              <w:t>their</w:t>
            </w:r>
            <w:proofErr w:type="spellEnd"/>
            <w:r w:rsidRPr="00E50B51">
              <w:rPr>
                <w:sz w:val="20"/>
                <w:szCs w:val="20"/>
              </w:rPr>
              <w:t xml:space="preserve"> </w:t>
            </w:r>
            <w:proofErr w:type="spellStart"/>
            <w:r w:rsidRPr="00E50B51">
              <w:rPr>
                <w:sz w:val="20"/>
                <w:szCs w:val="20"/>
              </w:rPr>
              <w:t>happiness</w:t>
            </w:r>
            <w:proofErr w:type="spellEnd"/>
            <w:r w:rsidRPr="00E50B51">
              <w:rPr>
                <w:sz w:val="20"/>
                <w:szCs w:val="20"/>
              </w:rPr>
              <w:t>“</w:t>
            </w:r>
            <w:r>
              <w:rPr>
                <w:rStyle w:val="Funotenzeichen"/>
                <w:sz w:val="20"/>
                <w:szCs w:val="20"/>
              </w:rPr>
              <w:footnoteReference w:id="1787"/>
            </w:r>
            <w:r w:rsidRPr="00E50B51">
              <w:rPr>
                <w:sz w:val="20"/>
                <w:szCs w:val="20"/>
              </w:rPr>
              <w:t xml:space="preserve">). Und diese Bestimmungen gelten für alle Personen im Hoheitsgebiet des Staates ohne Rücksicht auf Rasse, Hautfarbe oder Staatsangehörigkeit („These </w:t>
            </w:r>
            <w:proofErr w:type="spellStart"/>
            <w:r w:rsidRPr="00E50B51">
              <w:rPr>
                <w:sz w:val="20"/>
                <w:szCs w:val="20"/>
              </w:rPr>
              <w:t>provisions</w:t>
            </w:r>
            <w:proofErr w:type="spellEnd"/>
            <w:r w:rsidRPr="00E50B51">
              <w:rPr>
                <w:sz w:val="20"/>
                <w:szCs w:val="20"/>
              </w:rPr>
              <w:t xml:space="preserve"> </w:t>
            </w:r>
            <w:proofErr w:type="spellStart"/>
            <w:r w:rsidRPr="00E50B51">
              <w:rPr>
                <w:sz w:val="20"/>
                <w:szCs w:val="20"/>
              </w:rPr>
              <w:t>are</w:t>
            </w:r>
            <w:proofErr w:type="spellEnd"/>
            <w:r w:rsidRPr="00E50B51">
              <w:rPr>
                <w:sz w:val="20"/>
                <w:szCs w:val="20"/>
              </w:rPr>
              <w:t xml:space="preserve"> universal in </w:t>
            </w:r>
            <w:proofErr w:type="spellStart"/>
            <w:r w:rsidRPr="00E50B51">
              <w:rPr>
                <w:sz w:val="20"/>
                <w:szCs w:val="20"/>
              </w:rPr>
              <w:t>their</w:t>
            </w:r>
            <w:proofErr w:type="spellEnd"/>
            <w:r w:rsidRPr="00E50B51">
              <w:rPr>
                <w:sz w:val="20"/>
                <w:szCs w:val="20"/>
              </w:rPr>
              <w:t xml:space="preserve"> </w:t>
            </w:r>
            <w:proofErr w:type="spellStart"/>
            <w:r w:rsidRPr="00E50B51">
              <w:rPr>
                <w:sz w:val="20"/>
                <w:szCs w:val="20"/>
              </w:rPr>
              <w:t>application</w:t>
            </w:r>
            <w:proofErr w:type="spellEnd"/>
            <w:r w:rsidRPr="00E50B51">
              <w:rPr>
                <w:sz w:val="20"/>
                <w:szCs w:val="20"/>
              </w:rPr>
              <w:t xml:space="preserve">, to all </w:t>
            </w:r>
            <w:proofErr w:type="spellStart"/>
            <w:r w:rsidRPr="00E50B51">
              <w:rPr>
                <w:sz w:val="20"/>
                <w:szCs w:val="20"/>
              </w:rPr>
              <w:t>persons</w:t>
            </w:r>
            <w:proofErr w:type="spellEnd"/>
            <w:r w:rsidRPr="00E50B51">
              <w:rPr>
                <w:sz w:val="20"/>
                <w:szCs w:val="20"/>
              </w:rPr>
              <w:t xml:space="preserve"> </w:t>
            </w:r>
            <w:proofErr w:type="spellStart"/>
            <w:r w:rsidRPr="00E50B51">
              <w:rPr>
                <w:sz w:val="20"/>
                <w:szCs w:val="20"/>
              </w:rPr>
              <w:t>within</w:t>
            </w:r>
            <w:proofErr w:type="spellEnd"/>
            <w:r w:rsidRPr="00E50B51">
              <w:rPr>
                <w:sz w:val="20"/>
                <w:szCs w:val="20"/>
              </w:rPr>
              <w:t xml:space="preserve"> the territorial </w:t>
            </w:r>
            <w:proofErr w:type="spellStart"/>
            <w:r w:rsidRPr="00E50B51">
              <w:rPr>
                <w:sz w:val="20"/>
                <w:szCs w:val="20"/>
              </w:rPr>
              <w:t>jurisdiction</w:t>
            </w:r>
            <w:proofErr w:type="spellEnd"/>
            <w:r w:rsidRPr="00E50B51">
              <w:rPr>
                <w:sz w:val="20"/>
                <w:szCs w:val="20"/>
              </w:rPr>
              <w:t xml:space="preserve">, </w:t>
            </w:r>
            <w:proofErr w:type="spellStart"/>
            <w:r w:rsidRPr="00E50B51">
              <w:rPr>
                <w:sz w:val="20"/>
                <w:szCs w:val="20"/>
              </w:rPr>
              <w:t>without</w:t>
            </w:r>
            <w:proofErr w:type="spellEnd"/>
            <w:r w:rsidRPr="00E50B51">
              <w:rPr>
                <w:sz w:val="20"/>
                <w:szCs w:val="20"/>
              </w:rPr>
              <w:t xml:space="preserve"> </w:t>
            </w:r>
            <w:proofErr w:type="spellStart"/>
            <w:r w:rsidRPr="00E50B51">
              <w:rPr>
                <w:sz w:val="20"/>
                <w:szCs w:val="20"/>
              </w:rPr>
              <w:t>regard</w:t>
            </w:r>
            <w:proofErr w:type="spellEnd"/>
            <w:r w:rsidRPr="00E50B51">
              <w:rPr>
                <w:sz w:val="20"/>
                <w:szCs w:val="20"/>
              </w:rPr>
              <w:t xml:space="preserve"> to </w:t>
            </w:r>
            <w:proofErr w:type="spellStart"/>
            <w:r w:rsidRPr="00E50B51">
              <w:rPr>
                <w:sz w:val="20"/>
                <w:szCs w:val="20"/>
              </w:rPr>
              <w:t>any</w:t>
            </w:r>
            <w:proofErr w:type="spellEnd"/>
            <w:r w:rsidRPr="00E50B51">
              <w:rPr>
                <w:sz w:val="20"/>
                <w:szCs w:val="20"/>
              </w:rPr>
              <w:t xml:space="preserve"> </w:t>
            </w:r>
            <w:proofErr w:type="spellStart"/>
            <w:r w:rsidRPr="00E50B51">
              <w:rPr>
                <w:sz w:val="20"/>
                <w:szCs w:val="20"/>
              </w:rPr>
              <w:t>differences</w:t>
            </w:r>
            <w:proofErr w:type="spellEnd"/>
            <w:r w:rsidRPr="00E50B51">
              <w:rPr>
                <w:sz w:val="20"/>
                <w:szCs w:val="20"/>
              </w:rPr>
              <w:t xml:space="preserve"> of </w:t>
            </w:r>
            <w:proofErr w:type="spellStart"/>
            <w:r w:rsidRPr="00E50B51">
              <w:rPr>
                <w:sz w:val="20"/>
                <w:szCs w:val="20"/>
              </w:rPr>
              <w:t>race</w:t>
            </w:r>
            <w:proofErr w:type="spellEnd"/>
            <w:r w:rsidRPr="00E50B51">
              <w:rPr>
                <w:sz w:val="20"/>
                <w:szCs w:val="20"/>
              </w:rPr>
              <w:t xml:space="preserve">, of </w:t>
            </w:r>
            <w:proofErr w:type="spellStart"/>
            <w:r w:rsidRPr="00E50B51">
              <w:rPr>
                <w:sz w:val="20"/>
                <w:szCs w:val="20"/>
              </w:rPr>
              <w:t>color</w:t>
            </w:r>
            <w:proofErr w:type="spellEnd"/>
            <w:r w:rsidRPr="00E50B51">
              <w:rPr>
                <w:sz w:val="20"/>
                <w:szCs w:val="20"/>
              </w:rPr>
              <w:t xml:space="preserve">, </w:t>
            </w:r>
            <w:proofErr w:type="spellStart"/>
            <w:r w:rsidRPr="00E50B51">
              <w:rPr>
                <w:sz w:val="20"/>
                <w:szCs w:val="20"/>
              </w:rPr>
              <w:t>or</w:t>
            </w:r>
            <w:proofErr w:type="spellEnd"/>
            <w:r w:rsidRPr="00E50B51">
              <w:rPr>
                <w:sz w:val="20"/>
                <w:szCs w:val="20"/>
              </w:rPr>
              <w:t xml:space="preserve"> of </w:t>
            </w:r>
            <w:proofErr w:type="spellStart"/>
            <w:r w:rsidRPr="00E50B51">
              <w:rPr>
                <w:sz w:val="20"/>
                <w:szCs w:val="20"/>
              </w:rPr>
              <w:t>nationality</w:t>
            </w:r>
            <w:proofErr w:type="spellEnd"/>
            <w:r w:rsidRPr="00E50B51">
              <w:rPr>
                <w:sz w:val="20"/>
                <w:szCs w:val="20"/>
              </w:rPr>
              <w:t>“</w:t>
            </w:r>
            <w:r w:rsidRPr="5B67C1D2">
              <w:rPr>
                <w:rStyle w:val="Funotenzeichen"/>
                <w:rFonts w:eastAsiaTheme="majorEastAsia"/>
                <w:sz w:val="20"/>
                <w:szCs w:val="20"/>
              </w:rPr>
              <w:footnoteReference w:id="1788"/>
            </w:r>
            <w:r w:rsidRPr="00E50B51">
              <w:rPr>
                <w:sz w:val="20"/>
                <w:szCs w:val="20"/>
              </w:rPr>
              <w:t>)</w:t>
            </w:r>
            <w:r>
              <w:rPr>
                <w:sz w:val="20"/>
                <w:szCs w:val="20"/>
              </w:rPr>
              <w:t>.</w:t>
            </w:r>
          </w:p>
          <w:p w14:paraId="2FF5AB78" w14:textId="77777777" w:rsidR="00074551" w:rsidRPr="00E50B51" w:rsidRDefault="00074551" w:rsidP="00367133">
            <w:pPr>
              <w:jc w:val="both"/>
              <w:rPr>
                <w:sz w:val="20"/>
                <w:szCs w:val="20"/>
              </w:rPr>
            </w:pPr>
          </w:p>
        </w:tc>
      </w:tr>
      <w:tr w:rsidR="00074551" w:rsidRPr="00E50B51" w14:paraId="04CBD236" w14:textId="77777777" w:rsidTr="00203768">
        <w:trPr>
          <w:cantSplit/>
          <w:trHeight w:val="3175"/>
        </w:trPr>
        <w:tc>
          <w:tcPr>
            <w:tcW w:w="293" w:type="pct"/>
            <w:shd w:val="clear" w:color="auto" w:fill="E7E6E6" w:themeFill="background2"/>
          </w:tcPr>
          <w:p w14:paraId="21E95C57" w14:textId="77777777" w:rsidR="00074551" w:rsidRDefault="00074551" w:rsidP="00367133">
            <w:pPr>
              <w:ind w:right="416"/>
              <w:jc w:val="center"/>
              <w:rPr>
                <w:sz w:val="20"/>
                <w:szCs w:val="20"/>
              </w:rPr>
            </w:pPr>
            <w:proofErr w:type="spellStart"/>
            <w:r w:rsidRPr="00E50B51">
              <w:rPr>
                <w:sz w:val="20"/>
                <w:szCs w:val="20"/>
              </w:rPr>
              <w:t>poH</w:t>
            </w:r>
            <w:proofErr w:type="spellEnd"/>
          </w:p>
          <w:p w14:paraId="10882FD4"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539F90A9"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2B7D8986" w14:textId="77777777" w:rsidR="00074551" w:rsidRPr="00E50B51" w:rsidRDefault="00074551" w:rsidP="00367133">
            <w:pPr>
              <w:ind w:left="113" w:right="113"/>
              <w:jc w:val="both"/>
              <w:rPr>
                <w:sz w:val="20"/>
                <w:szCs w:val="20"/>
                <w:lang w:val="en-US"/>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0A11A343" w14:textId="77777777" w:rsidR="00074551" w:rsidRPr="00E50B51" w:rsidRDefault="00074551" w:rsidP="00367133">
            <w:pPr>
              <w:ind w:left="113" w:right="113"/>
              <w:jc w:val="both"/>
              <w:rPr>
                <w:sz w:val="20"/>
                <w:szCs w:val="20"/>
                <w:lang w:val="en-US"/>
              </w:rPr>
            </w:pPr>
            <w:proofErr w:type="spellStart"/>
            <w:r w:rsidRPr="00E50B51">
              <w:rPr>
                <w:sz w:val="20"/>
                <w:szCs w:val="20"/>
                <w:lang w:val="en-US"/>
              </w:rPr>
              <w:t>Judical</w:t>
            </w:r>
            <w:proofErr w:type="spellEnd"/>
            <w:r w:rsidRPr="00E50B51">
              <w:rPr>
                <w:sz w:val="20"/>
                <w:szCs w:val="20"/>
                <w:lang w:val="en-US"/>
              </w:rPr>
              <w:t xml:space="preserve"> Review</w:t>
            </w:r>
          </w:p>
        </w:tc>
        <w:tc>
          <w:tcPr>
            <w:tcW w:w="401" w:type="pct"/>
            <w:shd w:val="clear" w:color="auto" w:fill="E7E6E6" w:themeFill="background2"/>
          </w:tcPr>
          <w:p w14:paraId="61B1030D"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5ECEEF06" w14:textId="77777777" w:rsidR="00074551" w:rsidRPr="00E50B51" w:rsidRDefault="00074551" w:rsidP="00367133">
            <w:pPr>
              <w:jc w:val="both"/>
              <w:rPr>
                <w:sz w:val="20"/>
                <w:szCs w:val="20"/>
                <w:lang w:val="en-US"/>
              </w:rPr>
            </w:pPr>
          </w:p>
        </w:tc>
        <w:tc>
          <w:tcPr>
            <w:tcW w:w="1822" w:type="pct"/>
            <w:shd w:val="clear" w:color="auto" w:fill="E7E6E6" w:themeFill="background2"/>
          </w:tcPr>
          <w:p w14:paraId="43B4A933" w14:textId="62202AF7"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02FE839E" w14:textId="77777777" w:rsidTr="00BE689F">
        <w:trPr>
          <w:cantSplit/>
          <w:trHeight w:val="3175"/>
        </w:trPr>
        <w:tc>
          <w:tcPr>
            <w:tcW w:w="293" w:type="pct"/>
          </w:tcPr>
          <w:p w14:paraId="1A4C1C7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4EBBEB7" w14:textId="77777777" w:rsidR="00074551" w:rsidRPr="00E50B51" w:rsidRDefault="00074551" w:rsidP="00367133">
            <w:pPr>
              <w:ind w:left="113" w:right="416"/>
              <w:jc w:val="both"/>
              <w:rPr>
                <w:sz w:val="20"/>
                <w:szCs w:val="20"/>
                <w:lang w:val="en-US"/>
              </w:rPr>
            </w:pPr>
            <w:r w:rsidRPr="001F38CE">
              <w:rPr>
                <w:i/>
                <w:sz w:val="20"/>
                <w:szCs w:val="20"/>
              </w:rPr>
              <w:t xml:space="preserve">Fullilove v. </w:t>
            </w:r>
            <w:proofErr w:type="spellStart"/>
            <w:r w:rsidRPr="001F38CE">
              <w:rPr>
                <w:i/>
                <w:sz w:val="20"/>
                <w:szCs w:val="20"/>
              </w:rPr>
              <w:t>Klutznick</w:t>
            </w:r>
            <w:proofErr w:type="spellEnd"/>
          </w:p>
        </w:tc>
        <w:tc>
          <w:tcPr>
            <w:tcW w:w="197" w:type="pct"/>
            <w:textDirection w:val="tbRl"/>
            <w:vAlign w:val="center"/>
          </w:tcPr>
          <w:p w14:paraId="13005E01" w14:textId="77777777" w:rsidR="00074551" w:rsidRPr="00E50B51" w:rsidRDefault="00074551" w:rsidP="00367133">
            <w:pPr>
              <w:ind w:left="113" w:right="113"/>
              <w:jc w:val="both"/>
              <w:rPr>
                <w:sz w:val="20"/>
                <w:szCs w:val="20"/>
              </w:rPr>
            </w:pPr>
            <w:r w:rsidRPr="00E50B51">
              <w:rPr>
                <w:sz w:val="20"/>
                <w:szCs w:val="20"/>
                <w:lang w:val="en-US"/>
              </w:rPr>
              <w:t>448 U.S. 448</w:t>
            </w:r>
          </w:p>
        </w:tc>
        <w:tc>
          <w:tcPr>
            <w:tcW w:w="306" w:type="pct"/>
            <w:textDirection w:val="tbRl"/>
            <w:vAlign w:val="center"/>
          </w:tcPr>
          <w:p w14:paraId="10231905" w14:textId="77777777" w:rsidR="00074551" w:rsidRPr="00E50B51" w:rsidRDefault="00074551" w:rsidP="00367133">
            <w:pPr>
              <w:ind w:left="113" w:right="113"/>
              <w:jc w:val="both"/>
              <w:rPr>
                <w:sz w:val="20"/>
                <w:szCs w:val="20"/>
                <w:lang w:val="en-US"/>
              </w:rPr>
            </w:pPr>
            <w:r w:rsidRPr="00E50B51">
              <w:rPr>
                <w:sz w:val="20"/>
                <w:szCs w:val="20"/>
              </w:rPr>
              <w:t>2. Juli 1980</w:t>
            </w:r>
          </w:p>
        </w:tc>
        <w:tc>
          <w:tcPr>
            <w:tcW w:w="401" w:type="pct"/>
          </w:tcPr>
          <w:p w14:paraId="2D838153" w14:textId="77777777" w:rsidR="00074551" w:rsidRPr="00E50B51" w:rsidRDefault="00074551" w:rsidP="00367133">
            <w:pPr>
              <w:jc w:val="center"/>
              <w:rPr>
                <w:sz w:val="20"/>
                <w:szCs w:val="20"/>
                <w:lang w:val="en-US"/>
              </w:rPr>
            </w:pPr>
            <w:r w:rsidRPr="00E50B51">
              <w:rPr>
                <w:sz w:val="20"/>
                <w:szCs w:val="20"/>
              </w:rPr>
              <w:t>D</w:t>
            </w:r>
          </w:p>
        </w:tc>
        <w:tc>
          <w:tcPr>
            <w:tcW w:w="1594" w:type="pct"/>
          </w:tcPr>
          <w:p w14:paraId="290522F2"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451A76EE" w14:textId="77777777" w:rsidR="00074551" w:rsidRDefault="00074551" w:rsidP="00367133">
            <w:pPr>
              <w:jc w:val="both"/>
              <w:rPr>
                <w:sz w:val="20"/>
                <w:szCs w:val="20"/>
              </w:rPr>
            </w:pPr>
            <w:r w:rsidRPr="00EB68C2">
              <w:rPr>
                <w:sz w:val="20"/>
                <w:szCs w:val="20"/>
              </w:rPr>
              <w:t xml:space="preserve">Zum </w:t>
            </w:r>
            <w:proofErr w:type="spellStart"/>
            <w:r w:rsidRPr="5B67C1D2">
              <w:rPr>
                <w:i/>
                <w:iCs/>
                <w:sz w:val="20"/>
                <w:szCs w:val="20"/>
              </w:rPr>
              <w:t>Judicial</w:t>
            </w:r>
            <w:proofErr w:type="spellEnd"/>
            <w:r w:rsidRPr="5B67C1D2">
              <w:rPr>
                <w:i/>
                <w:iCs/>
                <w:sz w:val="20"/>
                <w:szCs w:val="20"/>
              </w:rPr>
              <w:t xml:space="preserve"> Review</w:t>
            </w:r>
            <w:r w:rsidRPr="00EB68C2">
              <w:rPr>
                <w:sz w:val="20"/>
                <w:szCs w:val="20"/>
              </w:rPr>
              <w:t xml:space="preserve"> urteilte der </w:t>
            </w:r>
            <w:r>
              <w:rPr>
                <w:sz w:val="20"/>
                <w:szCs w:val="20"/>
              </w:rPr>
              <w:t>U.S. Supreme Court</w:t>
            </w:r>
            <w:r w:rsidRPr="00EB68C2">
              <w:rPr>
                <w:sz w:val="20"/>
                <w:szCs w:val="20"/>
              </w:rPr>
              <w:t>, jede auf rassische</w:t>
            </w:r>
            <w:r w:rsidRPr="00F80A3C">
              <w:rPr>
                <w:sz w:val="20"/>
                <w:szCs w:val="20"/>
              </w:rPr>
              <w:t>n</w:t>
            </w:r>
            <w:r w:rsidRPr="00EB68C2">
              <w:rPr>
                <w:sz w:val="20"/>
                <w:szCs w:val="20"/>
              </w:rPr>
              <w:t xml:space="preserve"> oder ethnischen Kriterien beruhende Bevorzugung bzw. Klassifikation steh</w:t>
            </w:r>
            <w:r>
              <w:rPr>
                <w:sz w:val="20"/>
                <w:szCs w:val="20"/>
              </w:rPr>
              <w:t>e</w:t>
            </w:r>
            <w:r w:rsidRPr="00EB68C2">
              <w:rPr>
                <w:sz w:val="20"/>
                <w:szCs w:val="20"/>
              </w:rPr>
              <w:t xml:space="preserve"> unter strengstem Prüfungsmaßstab („a </w:t>
            </w:r>
            <w:proofErr w:type="spellStart"/>
            <w:r w:rsidRPr="00EB68C2">
              <w:rPr>
                <w:sz w:val="20"/>
                <w:szCs w:val="20"/>
              </w:rPr>
              <w:t>most</w:t>
            </w:r>
            <w:proofErr w:type="spellEnd"/>
            <w:r w:rsidRPr="00EB68C2">
              <w:rPr>
                <w:sz w:val="20"/>
                <w:szCs w:val="20"/>
              </w:rPr>
              <w:t xml:space="preserve"> </w:t>
            </w:r>
            <w:proofErr w:type="spellStart"/>
            <w:r w:rsidRPr="00EB68C2">
              <w:rPr>
                <w:sz w:val="20"/>
                <w:szCs w:val="20"/>
              </w:rPr>
              <w:t>searching</w:t>
            </w:r>
            <w:proofErr w:type="spellEnd"/>
            <w:r w:rsidRPr="00EB68C2">
              <w:rPr>
                <w:sz w:val="20"/>
                <w:szCs w:val="20"/>
              </w:rPr>
              <w:t xml:space="preserve"> </w:t>
            </w:r>
            <w:proofErr w:type="spellStart"/>
            <w:r w:rsidRPr="00EB68C2">
              <w:rPr>
                <w:sz w:val="20"/>
                <w:szCs w:val="20"/>
              </w:rPr>
              <w:t>examination</w:t>
            </w:r>
            <w:proofErr w:type="spellEnd"/>
            <w:r w:rsidRPr="00EB68C2">
              <w:rPr>
                <w:sz w:val="20"/>
                <w:szCs w:val="20"/>
              </w:rPr>
              <w:t>“</w:t>
            </w:r>
            <w:r w:rsidRPr="00EB68C2">
              <w:rPr>
                <w:sz w:val="20"/>
                <w:szCs w:val="20"/>
                <w:vertAlign w:val="superscript"/>
              </w:rPr>
              <w:footnoteReference w:id="1789"/>
            </w:r>
            <w:r w:rsidRPr="00EB68C2">
              <w:rPr>
                <w:sz w:val="20"/>
                <w:szCs w:val="20"/>
              </w:rPr>
              <w:t>). Damit sei sichergestellt, dass die Diskriminierung nicht gegen die verfassungsrechtlichen Garantien verstoße. Der Dissens wiederhol</w:t>
            </w:r>
            <w:r>
              <w:rPr>
                <w:sz w:val="20"/>
                <w:szCs w:val="20"/>
              </w:rPr>
              <w:t>t</w:t>
            </w:r>
            <w:r w:rsidRPr="00EB68C2">
              <w:rPr>
                <w:sz w:val="20"/>
                <w:szCs w:val="20"/>
              </w:rPr>
              <w:t xml:space="preserve"> diesen Prüfungsmaßstab: Die Gründe für eine solche Klassifikation müssten hinreichend bestimmt und zweifelsfrei legitim sein. Doch woher kommt dieser erhöhte Prüfmaßstab? Daher, dass grundsätzlich eine Diskriminierung aufgrund der Geburt kein legitimer Staatszweck („</w:t>
            </w:r>
            <w:proofErr w:type="spellStart"/>
            <w:r w:rsidRPr="00EB68C2">
              <w:rPr>
                <w:sz w:val="20"/>
                <w:szCs w:val="20"/>
              </w:rPr>
              <w:t>legitimate</w:t>
            </w:r>
            <w:proofErr w:type="spellEnd"/>
            <w:r w:rsidRPr="00EB68C2">
              <w:rPr>
                <w:sz w:val="20"/>
                <w:szCs w:val="20"/>
              </w:rPr>
              <w:t xml:space="preserve"> </w:t>
            </w:r>
            <w:proofErr w:type="spellStart"/>
            <w:r w:rsidRPr="00EB68C2">
              <w:rPr>
                <w:sz w:val="20"/>
                <w:szCs w:val="20"/>
              </w:rPr>
              <w:t>purpose</w:t>
            </w:r>
            <w:proofErr w:type="spellEnd"/>
            <w:r w:rsidRPr="00EB68C2">
              <w:rPr>
                <w:sz w:val="20"/>
                <w:szCs w:val="20"/>
              </w:rPr>
              <w:t>“</w:t>
            </w:r>
            <w:r w:rsidRPr="00EB68C2">
              <w:rPr>
                <w:sz w:val="20"/>
                <w:szCs w:val="20"/>
                <w:vertAlign w:val="superscript"/>
              </w:rPr>
              <w:footnoteReference w:id="1790"/>
            </w:r>
            <w:r w:rsidRPr="00EB68C2">
              <w:rPr>
                <w:sz w:val="20"/>
                <w:szCs w:val="20"/>
              </w:rPr>
              <w:t>) sei. Denn die Vereinigten Staaten gründe</w:t>
            </w:r>
            <w:r>
              <w:rPr>
                <w:sz w:val="20"/>
                <w:szCs w:val="20"/>
              </w:rPr>
              <w:t>te</w:t>
            </w:r>
            <w:r w:rsidRPr="00EB68C2">
              <w:rPr>
                <w:sz w:val="20"/>
                <w:szCs w:val="20"/>
              </w:rPr>
              <w:t>n auf der Doktrin der Gleichheit („</w:t>
            </w:r>
            <w:proofErr w:type="spellStart"/>
            <w:r w:rsidRPr="00EB68C2">
              <w:rPr>
                <w:sz w:val="20"/>
                <w:szCs w:val="20"/>
              </w:rPr>
              <w:t>doctrine</w:t>
            </w:r>
            <w:proofErr w:type="spellEnd"/>
            <w:r w:rsidRPr="00EB68C2">
              <w:rPr>
                <w:sz w:val="20"/>
                <w:szCs w:val="20"/>
              </w:rPr>
              <w:t xml:space="preserve"> of </w:t>
            </w:r>
            <w:proofErr w:type="spellStart"/>
            <w:r w:rsidRPr="00EB68C2">
              <w:rPr>
                <w:sz w:val="20"/>
                <w:szCs w:val="20"/>
              </w:rPr>
              <w:t>equality</w:t>
            </w:r>
            <w:proofErr w:type="spellEnd"/>
            <w:r w:rsidRPr="00EB68C2">
              <w:rPr>
                <w:sz w:val="20"/>
                <w:szCs w:val="20"/>
              </w:rPr>
              <w:t>“</w:t>
            </w:r>
            <w:r w:rsidRPr="00EB68C2">
              <w:rPr>
                <w:sz w:val="20"/>
                <w:szCs w:val="20"/>
                <w:vertAlign w:val="superscript"/>
              </w:rPr>
              <w:footnoteReference w:id="1791"/>
            </w:r>
            <w:r w:rsidRPr="00EB68C2">
              <w:rPr>
                <w:sz w:val="20"/>
                <w:szCs w:val="20"/>
              </w:rPr>
              <w:t>). Danach müss</w:t>
            </w:r>
            <w:r>
              <w:rPr>
                <w:sz w:val="20"/>
                <w:szCs w:val="20"/>
              </w:rPr>
              <w:t>t</w:t>
            </w:r>
            <w:r w:rsidRPr="00EB68C2">
              <w:rPr>
                <w:sz w:val="20"/>
                <w:szCs w:val="20"/>
              </w:rPr>
              <w:t xml:space="preserve">en alle Bürger als gleich geschaffen vor dem Gesetz behandelt werden. Dies leite sich aus dem Gleichheitssatz der </w:t>
            </w:r>
            <w:r w:rsidRPr="5B67C1D2">
              <w:rPr>
                <w:i/>
                <w:iCs/>
                <w:sz w:val="20"/>
                <w:szCs w:val="20"/>
              </w:rPr>
              <w:t>Declaration of Independence</w:t>
            </w:r>
            <w:r w:rsidRPr="00EB68C2">
              <w:rPr>
                <w:sz w:val="20"/>
                <w:szCs w:val="20"/>
              </w:rPr>
              <w:t xml:space="preserve"> („all </w:t>
            </w:r>
            <w:proofErr w:type="spellStart"/>
            <w:r w:rsidRPr="00EB68C2">
              <w:rPr>
                <w:sz w:val="20"/>
                <w:szCs w:val="20"/>
              </w:rPr>
              <w:t>men</w:t>
            </w:r>
            <w:proofErr w:type="spellEnd"/>
            <w:r w:rsidRPr="00EB68C2">
              <w:rPr>
                <w:sz w:val="20"/>
                <w:szCs w:val="20"/>
              </w:rPr>
              <w:t xml:space="preserve"> </w:t>
            </w:r>
            <w:proofErr w:type="spellStart"/>
            <w:r w:rsidRPr="00EB68C2">
              <w:rPr>
                <w:sz w:val="20"/>
                <w:szCs w:val="20"/>
              </w:rPr>
              <w:t>are</w:t>
            </w:r>
            <w:proofErr w:type="spellEnd"/>
            <w:r w:rsidRPr="00EB68C2">
              <w:rPr>
                <w:sz w:val="20"/>
                <w:szCs w:val="20"/>
              </w:rPr>
              <w:t xml:space="preserve"> created </w:t>
            </w:r>
            <w:proofErr w:type="spellStart"/>
            <w:r w:rsidRPr="00EB68C2">
              <w:rPr>
                <w:sz w:val="20"/>
                <w:szCs w:val="20"/>
              </w:rPr>
              <w:t>equal</w:t>
            </w:r>
            <w:proofErr w:type="spellEnd"/>
            <w:r w:rsidRPr="00EB68C2">
              <w:rPr>
                <w:sz w:val="20"/>
                <w:szCs w:val="20"/>
              </w:rPr>
              <w:t>“</w:t>
            </w:r>
            <w:r w:rsidRPr="00EB68C2">
              <w:rPr>
                <w:sz w:val="20"/>
                <w:szCs w:val="20"/>
                <w:vertAlign w:val="superscript"/>
              </w:rPr>
              <w:footnoteReference w:id="1792"/>
            </w:r>
            <w:r w:rsidRPr="00EB68C2">
              <w:rPr>
                <w:sz w:val="20"/>
                <w:szCs w:val="20"/>
              </w:rPr>
              <w:t xml:space="preserve">) </w:t>
            </w:r>
            <w:r>
              <w:rPr>
                <w:sz w:val="20"/>
                <w:szCs w:val="20"/>
              </w:rPr>
              <w:t>ab sowie</w:t>
            </w:r>
            <w:r w:rsidRPr="00EB68C2">
              <w:rPr>
                <w:sz w:val="20"/>
                <w:szCs w:val="20"/>
              </w:rPr>
              <w:t xml:space="preserve"> aus den unveräußerlichen Rechte</w:t>
            </w:r>
            <w:r>
              <w:rPr>
                <w:sz w:val="20"/>
                <w:szCs w:val="20"/>
              </w:rPr>
              <w:t>n</w:t>
            </w:r>
            <w:r w:rsidRPr="00EB68C2">
              <w:rPr>
                <w:sz w:val="20"/>
                <w:szCs w:val="20"/>
              </w:rPr>
              <w:t xml:space="preserve"> wie dem Streben nach Glück, das allen gleichermaßen zur Verfügung stehe.</w:t>
            </w:r>
          </w:p>
          <w:p w14:paraId="23515A36" w14:textId="77777777" w:rsidR="00074551" w:rsidRPr="00E50B51" w:rsidRDefault="00074551" w:rsidP="00367133">
            <w:pPr>
              <w:jc w:val="both"/>
              <w:rPr>
                <w:sz w:val="20"/>
                <w:szCs w:val="20"/>
              </w:rPr>
            </w:pPr>
          </w:p>
        </w:tc>
      </w:tr>
      <w:tr w:rsidR="00074551" w:rsidRPr="00E50B51" w14:paraId="213253B0" w14:textId="77777777" w:rsidTr="00BE689F">
        <w:trPr>
          <w:cantSplit/>
          <w:trHeight w:val="3175"/>
        </w:trPr>
        <w:tc>
          <w:tcPr>
            <w:tcW w:w="293" w:type="pct"/>
          </w:tcPr>
          <w:p w14:paraId="790BE823"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8D57935" w14:textId="77777777" w:rsidR="00074551" w:rsidRPr="00B45592" w:rsidRDefault="00074551" w:rsidP="00367133">
            <w:pPr>
              <w:ind w:left="113" w:right="416"/>
              <w:jc w:val="both"/>
              <w:rPr>
                <w:i/>
                <w:sz w:val="20"/>
                <w:szCs w:val="20"/>
                <w:lang w:val="en-US"/>
              </w:rPr>
            </w:pPr>
            <w:r w:rsidRPr="00B45592">
              <w:rPr>
                <w:i/>
                <w:sz w:val="20"/>
                <w:szCs w:val="20"/>
                <w:lang w:val="en-US"/>
              </w:rPr>
              <w:t>Massachusetts Bd. of Retirement v. Murgia</w:t>
            </w:r>
          </w:p>
        </w:tc>
        <w:tc>
          <w:tcPr>
            <w:tcW w:w="197" w:type="pct"/>
            <w:textDirection w:val="tbRl"/>
            <w:vAlign w:val="center"/>
          </w:tcPr>
          <w:p w14:paraId="1097C5A4" w14:textId="77777777" w:rsidR="00074551" w:rsidRPr="00E50B51" w:rsidRDefault="00074551" w:rsidP="00367133">
            <w:pPr>
              <w:ind w:left="113" w:right="113"/>
              <w:jc w:val="both"/>
              <w:rPr>
                <w:sz w:val="20"/>
                <w:szCs w:val="20"/>
              </w:rPr>
            </w:pPr>
            <w:r w:rsidRPr="00E50B51">
              <w:rPr>
                <w:sz w:val="20"/>
                <w:szCs w:val="20"/>
                <w:lang w:val="en-US"/>
              </w:rPr>
              <w:t>427 U.S. 307</w:t>
            </w:r>
          </w:p>
        </w:tc>
        <w:tc>
          <w:tcPr>
            <w:tcW w:w="306" w:type="pct"/>
            <w:textDirection w:val="tbRl"/>
            <w:vAlign w:val="center"/>
          </w:tcPr>
          <w:p w14:paraId="2985E0D2" w14:textId="77777777" w:rsidR="00074551" w:rsidRPr="00E50B51" w:rsidRDefault="00074551" w:rsidP="00367133">
            <w:pPr>
              <w:ind w:left="113" w:right="113"/>
              <w:jc w:val="both"/>
              <w:rPr>
                <w:sz w:val="20"/>
                <w:szCs w:val="20"/>
              </w:rPr>
            </w:pPr>
            <w:r w:rsidRPr="00E50B51">
              <w:rPr>
                <w:sz w:val="20"/>
                <w:szCs w:val="20"/>
              </w:rPr>
              <w:t>25. Juni 1976</w:t>
            </w:r>
          </w:p>
        </w:tc>
        <w:tc>
          <w:tcPr>
            <w:tcW w:w="401" w:type="pct"/>
          </w:tcPr>
          <w:p w14:paraId="100EB3A1" w14:textId="77777777" w:rsidR="00074551" w:rsidRPr="00E50B51" w:rsidRDefault="00074551" w:rsidP="00367133">
            <w:pPr>
              <w:jc w:val="center"/>
              <w:rPr>
                <w:sz w:val="20"/>
                <w:szCs w:val="20"/>
              </w:rPr>
            </w:pPr>
            <w:r w:rsidRPr="00E50B51">
              <w:rPr>
                <w:sz w:val="20"/>
                <w:szCs w:val="20"/>
              </w:rPr>
              <w:t>D</w:t>
            </w:r>
          </w:p>
        </w:tc>
        <w:tc>
          <w:tcPr>
            <w:tcW w:w="1594" w:type="pct"/>
          </w:tcPr>
          <w:p w14:paraId="1F0DEB13" w14:textId="77777777" w:rsidR="00074551" w:rsidRPr="00E50B51" w:rsidRDefault="00074551" w:rsidP="00367133">
            <w:pPr>
              <w:jc w:val="both"/>
              <w:rPr>
                <w:sz w:val="20"/>
                <w:szCs w:val="20"/>
              </w:rPr>
            </w:pPr>
            <w:r w:rsidRPr="00E50B51">
              <w:rPr>
                <w:sz w:val="20"/>
                <w:szCs w:val="20"/>
              </w:rPr>
              <w:t>Im Fall klagte ein Polizeibeamter gegen den Rentenausschuss, da dieser aufgrund eines Gesetz</w:t>
            </w:r>
            <w:r>
              <w:rPr>
                <w:sz w:val="20"/>
                <w:szCs w:val="20"/>
              </w:rPr>
              <w:t>es</w:t>
            </w:r>
            <w:r w:rsidRPr="00E50B51">
              <w:rPr>
                <w:sz w:val="20"/>
                <w:szCs w:val="20"/>
              </w:rPr>
              <w:t xml:space="preserve"> (</w:t>
            </w:r>
            <w:proofErr w:type="spellStart"/>
            <w:r w:rsidRPr="00E50B51">
              <w:rPr>
                <w:sz w:val="20"/>
                <w:szCs w:val="20"/>
              </w:rPr>
              <w:t>Mass</w:t>
            </w:r>
            <w:proofErr w:type="spellEnd"/>
            <w:r w:rsidRPr="00E50B51">
              <w:rPr>
                <w:sz w:val="20"/>
                <w:szCs w:val="20"/>
              </w:rPr>
              <w:t xml:space="preserve">. Gen. Laws Ann. </w:t>
            </w:r>
            <w:proofErr w:type="spellStart"/>
            <w:r w:rsidRPr="00E50B51">
              <w:rPr>
                <w:sz w:val="20"/>
                <w:szCs w:val="20"/>
              </w:rPr>
              <w:t>ch</w:t>
            </w:r>
            <w:proofErr w:type="spellEnd"/>
            <w:r w:rsidRPr="00E50B51">
              <w:rPr>
                <w:sz w:val="20"/>
                <w:szCs w:val="20"/>
              </w:rPr>
              <w:t xml:space="preserve">. 32, </w:t>
            </w:r>
            <w:r>
              <w:rPr>
                <w:sz w:val="20"/>
                <w:szCs w:val="20"/>
              </w:rPr>
              <w:t>§ </w:t>
            </w:r>
            <w:r w:rsidRPr="00E50B51">
              <w:rPr>
                <w:sz w:val="20"/>
                <w:szCs w:val="20"/>
              </w:rPr>
              <w:t>26</w:t>
            </w:r>
            <w:r>
              <w:rPr>
                <w:sz w:val="20"/>
                <w:szCs w:val="20"/>
              </w:rPr>
              <w:t>[</w:t>
            </w:r>
            <w:r w:rsidRPr="00E50B51">
              <w:rPr>
                <w:sz w:val="20"/>
                <w:szCs w:val="20"/>
              </w:rPr>
              <w:t>3</w:t>
            </w:r>
            <w:r>
              <w:rPr>
                <w:sz w:val="20"/>
                <w:szCs w:val="20"/>
              </w:rPr>
              <w:t>][</w:t>
            </w:r>
            <w:r w:rsidRPr="00E50B51">
              <w:rPr>
                <w:sz w:val="20"/>
                <w:szCs w:val="20"/>
              </w:rPr>
              <w:t>a</w:t>
            </w:r>
            <w:r>
              <w:rPr>
                <w:sz w:val="20"/>
                <w:szCs w:val="20"/>
              </w:rPr>
              <w:t>]</w:t>
            </w:r>
            <w:r>
              <w:rPr>
                <w:rStyle w:val="Funotenzeichen"/>
                <w:sz w:val="20"/>
                <w:szCs w:val="20"/>
              </w:rPr>
              <w:footnoteReference w:id="1793"/>
            </w:r>
            <w:r w:rsidRPr="00E50B51">
              <w:rPr>
                <w:sz w:val="20"/>
                <w:szCs w:val="20"/>
              </w:rPr>
              <w:t xml:space="preserve">) seine Pensionierung im Alter von 50 Jahren </w:t>
            </w:r>
            <w:r>
              <w:rPr>
                <w:sz w:val="20"/>
                <w:szCs w:val="20"/>
              </w:rPr>
              <w:t>eingeleitet hatte</w:t>
            </w:r>
            <w:r w:rsidRPr="00E50B51">
              <w:rPr>
                <w:sz w:val="20"/>
                <w:szCs w:val="20"/>
              </w:rPr>
              <w:t xml:space="preserve">. Der </w:t>
            </w:r>
            <w:r>
              <w:rPr>
                <w:sz w:val="20"/>
                <w:szCs w:val="20"/>
              </w:rPr>
              <w:t>U.S. Supreme Court</w:t>
            </w:r>
            <w:r w:rsidRPr="00E50B51">
              <w:rPr>
                <w:sz w:val="20"/>
                <w:szCs w:val="20"/>
              </w:rPr>
              <w:t xml:space="preserve"> erklärte das Gesetz für verfassungsgemäß. Er entschied, dass ein sachlicher Grund („</w:t>
            </w:r>
            <w:proofErr w:type="spellStart"/>
            <w:r w:rsidRPr="00E50B51">
              <w:rPr>
                <w:sz w:val="20"/>
                <w:szCs w:val="20"/>
              </w:rPr>
              <w:t>legitimate</w:t>
            </w:r>
            <w:proofErr w:type="spellEnd"/>
            <w:r w:rsidRPr="00E50B51">
              <w:rPr>
                <w:sz w:val="20"/>
                <w:szCs w:val="20"/>
              </w:rPr>
              <w:t xml:space="preserve"> </w:t>
            </w:r>
            <w:proofErr w:type="spellStart"/>
            <w:r w:rsidRPr="00E50B51">
              <w:rPr>
                <w:sz w:val="20"/>
                <w:szCs w:val="20"/>
              </w:rPr>
              <w:t>governmental</w:t>
            </w:r>
            <w:proofErr w:type="spellEnd"/>
            <w:r w:rsidRPr="00E50B51">
              <w:rPr>
                <w:sz w:val="20"/>
                <w:szCs w:val="20"/>
              </w:rPr>
              <w:t xml:space="preserve"> </w:t>
            </w:r>
            <w:proofErr w:type="spellStart"/>
            <w:r w:rsidRPr="00E50B51">
              <w:rPr>
                <w:sz w:val="20"/>
                <w:szCs w:val="20"/>
              </w:rPr>
              <w:t>interest</w:t>
            </w:r>
            <w:proofErr w:type="spellEnd"/>
            <w:r w:rsidRPr="00E50B51">
              <w:rPr>
                <w:sz w:val="20"/>
                <w:szCs w:val="20"/>
              </w:rPr>
              <w:t>“</w:t>
            </w:r>
            <w:r>
              <w:rPr>
                <w:rStyle w:val="Funotenzeichen"/>
                <w:sz w:val="20"/>
                <w:szCs w:val="20"/>
              </w:rPr>
              <w:footnoteReference w:id="1794"/>
            </w:r>
            <w:r w:rsidRPr="00E50B51">
              <w:rPr>
                <w:sz w:val="20"/>
                <w:szCs w:val="20"/>
              </w:rPr>
              <w:t>), kein qualifizierter sachlicher Grund („</w:t>
            </w:r>
            <w:proofErr w:type="spellStart"/>
            <w:r w:rsidRPr="00E50B51">
              <w:rPr>
                <w:sz w:val="20"/>
                <w:szCs w:val="20"/>
              </w:rPr>
              <w:t>strict</w:t>
            </w:r>
            <w:proofErr w:type="spellEnd"/>
            <w:r w:rsidRPr="00E50B51">
              <w:rPr>
                <w:sz w:val="20"/>
                <w:szCs w:val="20"/>
              </w:rPr>
              <w:t xml:space="preserve"> </w:t>
            </w:r>
            <w:proofErr w:type="spellStart"/>
            <w:r w:rsidRPr="00E50B51">
              <w:rPr>
                <w:sz w:val="20"/>
                <w:szCs w:val="20"/>
              </w:rPr>
              <w:t>scrutiny</w:t>
            </w:r>
            <w:proofErr w:type="spellEnd"/>
            <w:r w:rsidRPr="00E50B51">
              <w:rPr>
                <w:sz w:val="20"/>
                <w:szCs w:val="20"/>
              </w:rPr>
              <w:t>“</w:t>
            </w:r>
            <w:r>
              <w:rPr>
                <w:rStyle w:val="Funotenzeichen"/>
                <w:sz w:val="20"/>
                <w:szCs w:val="20"/>
              </w:rPr>
              <w:footnoteReference w:id="1795"/>
            </w:r>
            <w:r w:rsidRPr="00E50B51">
              <w:rPr>
                <w:sz w:val="20"/>
                <w:szCs w:val="20"/>
              </w:rPr>
              <w:t xml:space="preserve">) reiche, um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hier zulasten des Polizisten einzuschränken. Es sein kein Grundrecht zum Nachteil einer ganzen Gruppe betroffen. Denn eine Gruppe bestehe schon </w:t>
            </w:r>
            <w:r>
              <w:rPr>
                <w:sz w:val="20"/>
                <w:szCs w:val="20"/>
              </w:rPr>
              <w:t xml:space="preserve">deshalb </w:t>
            </w:r>
            <w:r w:rsidRPr="00E50B51">
              <w:rPr>
                <w:sz w:val="20"/>
                <w:szCs w:val="20"/>
              </w:rPr>
              <w:t xml:space="preserve">nicht, weil schlicht ein für eine Gruppe konstituierendes Recht auf Beschäftigung durch den Staat fehle. Vielmehr diene das Gesetz </w:t>
            </w:r>
            <w:r>
              <w:rPr>
                <w:sz w:val="20"/>
                <w:szCs w:val="20"/>
              </w:rPr>
              <w:t xml:space="preserve">einem </w:t>
            </w:r>
            <w:r w:rsidRPr="00E50B51">
              <w:rPr>
                <w:sz w:val="20"/>
                <w:szCs w:val="20"/>
              </w:rPr>
              <w:t>legitime</w:t>
            </w:r>
            <w:r>
              <w:rPr>
                <w:sz w:val="20"/>
                <w:szCs w:val="20"/>
              </w:rPr>
              <w:t>n</w:t>
            </w:r>
            <w:r w:rsidRPr="00E50B51">
              <w:rPr>
                <w:sz w:val="20"/>
                <w:szCs w:val="20"/>
              </w:rPr>
              <w:t xml:space="preserve"> Interesse des Staates: Nämlich die körperliche Einsatzbereitschaft seiner Polizeibeamten zu gewährleisten.</w:t>
            </w:r>
            <w:r>
              <w:rPr>
                <w:rStyle w:val="Funotenzeichen"/>
                <w:sz w:val="20"/>
                <w:szCs w:val="20"/>
              </w:rPr>
              <w:t xml:space="preserve"> </w:t>
            </w:r>
            <w:r>
              <w:rPr>
                <w:rStyle w:val="Funotenzeichen"/>
                <w:sz w:val="20"/>
                <w:szCs w:val="20"/>
              </w:rPr>
              <w:footnoteReference w:id="1796"/>
            </w:r>
          </w:p>
          <w:p w14:paraId="74000B98" w14:textId="77777777" w:rsidR="00074551" w:rsidRPr="00E50B51" w:rsidRDefault="00074551" w:rsidP="00367133">
            <w:pPr>
              <w:jc w:val="both"/>
              <w:rPr>
                <w:sz w:val="20"/>
                <w:szCs w:val="20"/>
              </w:rPr>
            </w:pPr>
          </w:p>
        </w:tc>
        <w:tc>
          <w:tcPr>
            <w:tcW w:w="1822" w:type="pct"/>
          </w:tcPr>
          <w:p w14:paraId="40C9C24D" w14:textId="77777777" w:rsidR="00074551" w:rsidRDefault="00074551" w:rsidP="00367133">
            <w:pPr>
              <w:jc w:val="both"/>
              <w:rPr>
                <w:sz w:val="20"/>
                <w:szCs w:val="20"/>
              </w:rPr>
            </w:pPr>
            <w:r w:rsidRPr="00D10D17">
              <w:rPr>
                <w:sz w:val="20"/>
                <w:szCs w:val="20"/>
              </w:rPr>
              <w:t xml:space="preserve">Der Dissens vertrat, dass der </w:t>
            </w:r>
            <w:r>
              <w:rPr>
                <w:sz w:val="20"/>
                <w:szCs w:val="20"/>
              </w:rPr>
              <w:t>U.S. Supreme Court</w:t>
            </w:r>
            <w:r w:rsidRPr="00D10D17">
              <w:rPr>
                <w:sz w:val="20"/>
                <w:szCs w:val="20"/>
              </w:rPr>
              <w:t xml:space="preserve"> einen qualifizierten sachlichen Grund statt einem </w:t>
            </w:r>
            <w:r>
              <w:rPr>
                <w:sz w:val="20"/>
                <w:szCs w:val="20"/>
              </w:rPr>
              <w:t xml:space="preserve">einfachen </w:t>
            </w:r>
            <w:r w:rsidRPr="00D10D17">
              <w:rPr>
                <w:sz w:val="20"/>
                <w:szCs w:val="20"/>
              </w:rPr>
              <w:t>sachlichen Grund hätte prüfen müssen, weil das unveräußerliche Recht auf ein Streben nach Glück betroffen</w:t>
            </w:r>
            <w:r>
              <w:rPr>
                <w:sz w:val="20"/>
                <w:szCs w:val="20"/>
              </w:rPr>
              <w:t xml:space="preserve"> sei.</w:t>
            </w:r>
            <w:r w:rsidRPr="00D10D17">
              <w:rPr>
                <w:sz w:val="20"/>
                <w:szCs w:val="20"/>
              </w:rPr>
              <w:t xml:space="preserve"> </w:t>
            </w:r>
            <w:r>
              <w:rPr>
                <w:sz w:val="20"/>
                <w:szCs w:val="20"/>
              </w:rPr>
              <w:t>W</w:t>
            </w:r>
            <w:r w:rsidRPr="00D10D17">
              <w:rPr>
                <w:sz w:val="20"/>
                <w:szCs w:val="20"/>
              </w:rPr>
              <w:t>ie kam der Dissens zu diese</w:t>
            </w:r>
            <w:r>
              <w:rPr>
                <w:sz w:val="20"/>
                <w:szCs w:val="20"/>
              </w:rPr>
              <w:t>r Einschätzung</w:t>
            </w:r>
            <w:r w:rsidRPr="00D10D17">
              <w:rPr>
                <w:sz w:val="20"/>
                <w:szCs w:val="20"/>
              </w:rPr>
              <w:t xml:space="preserve">? Zunächst sei der Maßstab des </w:t>
            </w:r>
            <w:r>
              <w:rPr>
                <w:sz w:val="20"/>
                <w:szCs w:val="20"/>
              </w:rPr>
              <w:t>U.S. Supreme Court</w:t>
            </w:r>
            <w:r w:rsidRPr="00D10D17">
              <w:rPr>
                <w:sz w:val="20"/>
                <w:szCs w:val="20"/>
              </w:rPr>
              <w:t xml:space="preserve"> verfehlt. Dies sei der sog. „rigid </w:t>
            </w:r>
            <w:proofErr w:type="spellStart"/>
            <w:r w:rsidRPr="00D10D17">
              <w:rPr>
                <w:sz w:val="20"/>
                <w:szCs w:val="20"/>
              </w:rPr>
              <w:t>two</w:t>
            </w:r>
            <w:proofErr w:type="spellEnd"/>
            <w:r w:rsidRPr="00D10D17">
              <w:rPr>
                <w:sz w:val="20"/>
                <w:szCs w:val="20"/>
              </w:rPr>
              <w:t xml:space="preserve">-tier </w:t>
            </w:r>
            <w:proofErr w:type="spellStart"/>
            <w:r w:rsidRPr="00D10D17">
              <w:rPr>
                <w:sz w:val="20"/>
                <w:szCs w:val="20"/>
              </w:rPr>
              <w:t>test</w:t>
            </w:r>
            <w:proofErr w:type="spellEnd"/>
            <w:r w:rsidRPr="00D10D17">
              <w:rPr>
                <w:sz w:val="20"/>
                <w:szCs w:val="20"/>
              </w:rPr>
              <w:t>“,</w:t>
            </w:r>
            <w:r w:rsidRPr="00D10D17">
              <w:rPr>
                <w:sz w:val="20"/>
                <w:szCs w:val="20"/>
                <w:vertAlign w:val="superscript"/>
              </w:rPr>
              <w:t xml:space="preserve"> </w:t>
            </w:r>
            <w:r w:rsidRPr="00D10D17">
              <w:rPr>
                <w:sz w:val="20"/>
                <w:szCs w:val="20"/>
                <w:vertAlign w:val="superscript"/>
              </w:rPr>
              <w:footnoteReference w:id="1797"/>
            </w:r>
            <w:r w:rsidRPr="00D10D17">
              <w:rPr>
                <w:sz w:val="20"/>
                <w:szCs w:val="20"/>
              </w:rPr>
              <w:t xml:space="preserve"> dafür reiche entweder ein „</w:t>
            </w:r>
            <w:proofErr w:type="spellStart"/>
            <w:r w:rsidRPr="00D10D17">
              <w:rPr>
                <w:sz w:val="20"/>
                <w:szCs w:val="20"/>
              </w:rPr>
              <w:t>legitimate</w:t>
            </w:r>
            <w:proofErr w:type="spellEnd"/>
            <w:r w:rsidRPr="00D10D17">
              <w:rPr>
                <w:sz w:val="20"/>
                <w:szCs w:val="20"/>
              </w:rPr>
              <w:t xml:space="preserve"> </w:t>
            </w:r>
            <w:proofErr w:type="spellStart"/>
            <w:r w:rsidRPr="00D10D17">
              <w:rPr>
                <w:sz w:val="20"/>
                <w:szCs w:val="20"/>
              </w:rPr>
              <w:t>governmental</w:t>
            </w:r>
            <w:proofErr w:type="spellEnd"/>
            <w:r w:rsidRPr="00D10D17">
              <w:rPr>
                <w:sz w:val="20"/>
                <w:szCs w:val="20"/>
              </w:rPr>
              <w:t xml:space="preserve"> </w:t>
            </w:r>
            <w:proofErr w:type="spellStart"/>
            <w:r w:rsidRPr="00D10D17">
              <w:rPr>
                <w:sz w:val="20"/>
                <w:szCs w:val="20"/>
              </w:rPr>
              <w:t>interest</w:t>
            </w:r>
            <w:proofErr w:type="spellEnd"/>
            <w:r w:rsidRPr="00D10D17">
              <w:rPr>
                <w:sz w:val="20"/>
                <w:szCs w:val="20"/>
              </w:rPr>
              <w:t>“</w:t>
            </w:r>
            <w:r w:rsidRPr="00D10D17">
              <w:rPr>
                <w:sz w:val="20"/>
                <w:szCs w:val="20"/>
                <w:vertAlign w:val="superscript"/>
              </w:rPr>
              <w:footnoteReference w:id="1798"/>
            </w:r>
            <w:r w:rsidRPr="00D10D17">
              <w:rPr>
                <w:sz w:val="20"/>
                <w:szCs w:val="20"/>
              </w:rPr>
              <w:t xml:space="preserve"> oder „</w:t>
            </w:r>
            <w:proofErr w:type="spellStart"/>
            <w:r w:rsidRPr="00D10D17">
              <w:rPr>
                <w:sz w:val="20"/>
                <w:szCs w:val="20"/>
              </w:rPr>
              <w:t>strict</w:t>
            </w:r>
            <w:proofErr w:type="spellEnd"/>
            <w:r w:rsidRPr="00D10D17">
              <w:rPr>
                <w:sz w:val="20"/>
                <w:szCs w:val="20"/>
              </w:rPr>
              <w:t xml:space="preserve"> </w:t>
            </w:r>
            <w:proofErr w:type="spellStart"/>
            <w:r w:rsidRPr="00D10D17">
              <w:rPr>
                <w:sz w:val="20"/>
                <w:szCs w:val="20"/>
              </w:rPr>
              <w:t>scrutiny</w:t>
            </w:r>
            <w:proofErr w:type="spellEnd"/>
            <w:r w:rsidRPr="00D10D17">
              <w:rPr>
                <w:sz w:val="20"/>
                <w:szCs w:val="20"/>
              </w:rPr>
              <w:t>“</w:t>
            </w:r>
            <w:r w:rsidRPr="00D10D17">
              <w:rPr>
                <w:sz w:val="20"/>
                <w:szCs w:val="20"/>
                <w:vertAlign w:val="superscript"/>
              </w:rPr>
              <w:t xml:space="preserve"> </w:t>
            </w:r>
            <w:r w:rsidRPr="00D10D17">
              <w:rPr>
                <w:sz w:val="20"/>
                <w:szCs w:val="20"/>
                <w:vertAlign w:val="superscript"/>
              </w:rPr>
              <w:footnoteReference w:id="1799"/>
            </w:r>
            <w:r>
              <w:rPr>
                <w:sz w:val="20"/>
                <w:szCs w:val="20"/>
              </w:rPr>
              <w:t xml:space="preserve"> </w:t>
            </w:r>
            <w:r w:rsidRPr="00D10D17">
              <w:rPr>
                <w:sz w:val="20"/>
                <w:szCs w:val="20"/>
              </w:rPr>
              <w:t>aus. Doch die Abwägung anhand dreier Faktoren wäre einzelfallgerechter gewesen. Diese lauten: Die Bedeutung der verweigerten staatlichen Leistungen festzustellen, hier die Fortführung des Polizeidienstes; die betroffene Vergleichsgruppe zumindest herauszustellen, hier Jüngere und Ältere; und erst dann das staatliche Interesse qualifiziert darzulegen.</w:t>
            </w:r>
            <w:r w:rsidRPr="00D10D17">
              <w:rPr>
                <w:sz w:val="20"/>
                <w:szCs w:val="20"/>
                <w:vertAlign w:val="superscript"/>
              </w:rPr>
              <w:footnoteReference w:id="1800"/>
            </w:r>
            <w:r w:rsidRPr="00D10D17">
              <w:rPr>
                <w:sz w:val="20"/>
                <w:szCs w:val="20"/>
              </w:rPr>
              <w:t xml:space="preserve"> Im Fall sei der erste Faktor, die Berufsausübungsfreiheit, verweigert – als eine staatliche Leistung. Diese sei aber ein fundamentales Recht</w:t>
            </w:r>
            <w:r>
              <w:rPr>
                <w:sz w:val="20"/>
                <w:szCs w:val="20"/>
              </w:rPr>
              <w:t>,</w:t>
            </w:r>
            <w:r w:rsidRPr="00D10D17">
              <w:rPr>
                <w:sz w:val="20"/>
                <w:szCs w:val="20"/>
                <w:vertAlign w:val="superscript"/>
              </w:rPr>
              <w:footnoteReference w:id="1801"/>
            </w:r>
            <w:r w:rsidRPr="00D10D17">
              <w:rPr>
                <w:sz w:val="20"/>
                <w:szCs w:val="20"/>
              </w:rPr>
              <w:t xml:space="preserve"> </w:t>
            </w:r>
            <w:r>
              <w:rPr>
                <w:sz w:val="20"/>
                <w:szCs w:val="20"/>
              </w:rPr>
              <w:t>d</w:t>
            </w:r>
            <w:r w:rsidRPr="00D10D17">
              <w:rPr>
                <w:sz w:val="20"/>
                <w:szCs w:val="20"/>
              </w:rPr>
              <w:t>enn sie sei Teil des unveräußerlichen Rechts auf ein Streben nach Glück.</w:t>
            </w:r>
            <w:r w:rsidRPr="00D10D17">
              <w:rPr>
                <w:sz w:val="20"/>
                <w:szCs w:val="20"/>
                <w:vertAlign w:val="superscript"/>
              </w:rPr>
              <w:footnoteReference w:id="1802"/>
            </w:r>
            <w:r w:rsidRPr="00D10D17">
              <w:rPr>
                <w:sz w:val="20"/>
                <w:szCs w:val="20"/>
              </w:rPr>
              <w:t xml:space="preserve">Anhand der Einschränkung der Berufsausübungsfreiheit </w:t>
            </w:r>
            <w:r>
              <w:rPr>
                <w:sz w:val="20"/>
                <w:szCs w:val="20"/>
              </w:rPr>
              <w:t>habe</w:t>
            </w:r>
            <w:r w:rsidRPr="00D10D17">
              <w:rPr>
                <w:sz w:val="20"/>
                <w:szCs w:val="20"/>
              </w:rPr>
              <w:t xml:space="preserve"> der </w:t>
            </w:r>
            <w:r>
              <w:rPr>
                <w:sz w:val="20"/>
                <w:szCs w:val="20"/>
              </w:rPr>
              <w:t>U.S. Supreme Court</w:t>
            </w:r>
            <w:r w:rsidRPr="00D10D17">
              <w:rPr>
                <w:sz w:val="20"/>
                <w:szCs w:val="20"/>
              </w:rPr>
              <w:t xml:space="preserve"> zahlreiche Gesetze für verfassungswidrig</w:t>
            </w:r>
            <w:r>
              <w:rPr>
                <w:sz w:val="20"/>
                <w:szCs w:val="20"/>
              </w:rPr>
              <w:t xml:space="preserve"> erklärt</w:t>
            </w:r>
            <w:r w:rsidRPr="00D10D17">
              <w:rPr>
                <w:sz w:val="20"/>
                <w:szCs w:val="20"/>
              </w:rPr>
              <w:t>.</w:t>
            </w:r>
            <w:r w:rsidRPr="00D10D17">
              <w:rPr>
                <w:sz w:val="20"/>
                <w:szCs w:val="20"/>
                <w:vertAlign w:val="superscript"/>
              </w:rPr>
              <w:footnoteReference w:id="1803"/>
            </w:r>
            <w:r w:rsidRPr="00D10D17">
              <w:rPr>
                <w:sz w:val="20"/>
                <w:szCs w:val="20"/>
              </w:rPr>
              <w:t xml:space="preserve"> Zwar bestehe hier kein Recht des Polizisten, für den Staat zu arbeiten. Aber dennoch sei im Fall die Berufsausübungsfreiheit verwehrt worden, also das Recht</w:t>
            </w:r>
            <w:r>
              <w:rPr>
                <w:sz w:val="20"/>
                <w:szCs w:val="20"/>
              </w:rPr>
              <w:t>,</w:t>
            </w:r>
            <w:r w:rsidRPr="00D10D17">
              <w:rPr>
                <w:sz w:val="20"/>
                <w:szCs w:val="20"/>
              </w:rPr>
              <w:t xml:space="preserve"> den Lebensunterhalt zu verdienen. Ein aus der Verfassung abgeleiteter Dreischritt hätte für diese erhebliche Einschränkung dargelegt werden müssen.</w:t>
            </w:r>
            <w:r w:rsidRPr="00D10D17">
              <w:rPr>
                <w:sz w:val="20"/>
                <w:szCs w:val="20"/>
                <w:vertAlign w:val="superscript"/>
              </w:rPr>
              <w:footnoteReference w:id="1804"/>
            </w:r>
          </w:p>
          <w:p w14:paraId="172FD606" w14:textId="77777777" w:rsidR="00074551" w:rsidRPr="00E50B51" w:rsidRDefault="00074551" w:rsidP="00367133">
            <w:pPr>
              <w:jc w:val="both"/>
              <w:rPr>
                <w:sz w:val="20"/>
                <w:szCs w:val="20"/>
              </w:rPr>
            </w:pPr>
          </w:p>
        </w:tc>
      </w:tr>
      <w:tr w:rsidR="00074551" w:rsidRPr="00E50B51" w14:paraId="44B10992" w14:textId="77777777" w:rsidTr="00BE689F">
        <w:trPr>
          <w:cantSplit/>
          <w:trHeight w:val="3175"/>
        </w:trPr>
        <w:tc>
          <w:tcPr>
            <w:tcW w:w="293" w:type="pct"/>
          </w:tcPr>
          <w:p w14:paraId="22C1408F"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AD67B93" w14:textId="77777777" w:rsidR="00074551" w:rsidRPr="00E50B51" w:rsidRDefault="00074551" w:rsidP="00367133">
            <w:pPr>
              <w:ind w:left="113" w:right="416"/>
              <w:jc w:val="both"/>
              <w:rPr>
                <w:sz w:val="20"/>
                <w:szCs w:val="20"/>
                <w:lang w:val="en-US"/>
              </w:rPr>
            </w:pPr>
            <w:r w:rsidRPr="00A15962">
              <w:rPr>
                <w:i/>
                <w:sz w:val="20"/>
                <w:szCs w:val="20"/>
              </w:rPr>
              <w:t>Mathews v. Lucas</w:t>
            </w:r>
          </w:p>
        </w:tc>
        <w:tc>
          <w:tcPr>
            <w:tcW w:w="197" w:type="pct"/>
            <w:textDirection w:val="tbRl"/>
            <w:vAlign w:val="center"/>
          </w:tcPr>
          <w:p w14:paraId="414F9723" w14:textId="77777777" w:rsidR="00074551" w:rsidRPr="00E50B51" w:rsidRDefault="00074551" w:rsidP="00367133">
            <w:pPr>
              <w:ind w:left="113" w:right="113"/>
              <w:jc w:val="both"/>
              <w:rPr>
                <w:sz w:val="20"/>
                <w:szCs w:val="20"/>
                <w:lang w:val="en-US"/>
              </w:rPr>
            </w:pPr>
            <w:r w:rsidRPr="00E50B51">
              <w:rPr>
                <w:sz w:val="20"/>
                <w:szCs w:val="20"/>
                <w:lang w:val="en-US"/>
              </w:rPr>
              <w:t>427 U.S. 495</w:t>
            </w:r>
          </w:p>
        </w:tc>
        <w:tc>
          <w:tcPr>
            <w:tcW w:w="306" w:type="pct"/>
            <w:textDirection w:val="tbRl"/>
            <w:vAlign w:val="center"/>
          </w:tcPr>
          <w:p w14:paraId="2565E060" w14:textId="77777777" w:rsidR="00074551" w:rsidRPr="00E50B51" w:rsidRDefault="00074551" w:rsidP="00367133">
            <w:pPr>
              <w:ind w:left="113" w:right="113"/>
              <w:jc w:val="both"/>
              <w:rPr>
                <w:sz w:val="20"/>
                <w:szCs w:val="20"/>
                <w:lang w:val="en-US"/>
              </w:rPr>
            </w:pPr>
            <w:r w:rsidRPr="00E50B51">
              <w:rPr>
                <w:sz w:val="20"/>
                <w:szCs w:val="20"/>
                <w:lang w:val="en-US"/>
              </w:rPr>
              <w:t>29. Juni 1976</w:t>
            </w:r>
          </w:p>
        </w:tc>
        <w:tc>
          <w:tcPr>
            <w:tcW w:w="401" w:type="pct"/>
          </w:tcPr>
          <w:p w14:paraId="505D815D"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2E38B95C" w14:textId="77777777" w:rsidR="00074551" w:rsidRPr="00E50B51" w:rsidRDefault="00074551" w:rsidP="00367133">
            <w:pPr>
              <w:jc w:val="both"/>
              <w:rPr>
                <w:sz w:val="20"/>
                <w:szCs w:val="20"/>
              </w:rPr>
            </w:pPr>
            <w:proofErr w:type="spellStart"/>
            <w:r w:rsidRPr="00B45592">
              <w:rPr>
                <w:sz w:val="20"/>
                <w:szCs w:val="20"/>
                <w:lang w:val="en-IE"/>
              </w:rPr>
              <w:t>Im</w:t>
            </w:r>
            <w:proofErr w:type="spellEnd"/>
            <w:r w:rsidRPr="00B45592">
              <w:rPr>
                <w:sz w:val="20"/>
                <w:szCs w:val="20"/>
                <w:lang w:val="en-IE"/>
              </w:rPr>
              <w:t xml:space="preserve"> Fall hob der U.S. Supreme Court </w:t>
            </w:r>
            <w:proofErr w:type="spellStart"/>
            <w:r w:rsidRPr="00B45592">
              <w:rPr>
                <w:sz w:val="20"/>
                <w:szCs w:val="20"/>
                <w:lang w:val="en-IE"/>
              </w:rPr>
              <w:t>ein</w:t>
            </w:r>
            <w:proofErr w:type="spellEnd"/>
            <w:r w:rsidRPr="00B45592">
              <w:rPr>
                <w:sz w:val="20"/>
                <w:szCs w:val="20"/>
                <w:lang w:val="en-IE"/>
              </w:rPr>
              <w:t xml:space="preserve"> </w:t>
            </w:r>
            <w:proofErr w:type="spellStart"/>
            <w:r w:rsidRPr="00B45592">
              <w:rPr>
                <w:sz w:val="20"/>
                <w:szCs w:val="20"/>
                <w:lang w:val="en-IE"/>
              </w:rPr>
              <w:t>Urteil</w:t>
            </w:r>
            <w:proofErr w:type="spellEnd"/>
            <w:r w:rsidRPr="00B45592">
              <w:rPr>
                <w:sz w:val="20"/>
                <w:szCs w:val="20"/>
                <w:lang w:val="en-IE"/>
              </w:rPr>
              <w:t xml:space="preserve"> des </w:t>
            </w:r>
            <w:r w:rsidRPr="5B67C1D2">
              <w:rPr>
                <w:i/>
                <w:iCs/>
                <w:sz w:val="20"/>
                <w:szCs w:val="20"/>
                <w:lang w:val="en-IE"/>
              </w:rPr>
              <w:t xml:space="preserve">Court of Appeals for the District of Rhode Island </w:t>
            </w:r>
            <w:r w:rsidRPr="00B45592">
              <w:rPr>
                <w:sz w:val="20"/>
                <w:szCs w:val="20"/>
                <w:lang w:val="en-IE"/>
              </w:rPr>
              <w:t xml:space="preserve">auf. </w:t>
            </w:r>
            <w:r>
              <w:rPr>
                <w:sz w:val="20"/>
                <w:szCs w:val="20"/>
              </w:rPr>
              <w:t>Das hatte noch entschieden</w:t>
            </w:r>
            <w:r w:rsidRPr="00E50B51">
              <w:rPr>
                <w:sz w:val="20"/>
                <w:szCs w:val="20"/>
              </w:rPr>
              <w:t>, dass es verfassungswidrig sei, bei Ansprüchen auf Hinterbliebenenrenten nach dem Sozialversicherungsgesetz zwischen ehelichen und unehelichen Kindern</w:t>
            </w:r>
            <w:r>
              <w:rPr>
                <w:sz w:val="20"/>
                <w:szCs w:val="20"/>
              </w:rPr>
              <w:t xml:space="preserve"> </w:t>
            </w:r>
            <w:r w:rsidRPr="00E50B51">
              <w:rPr>
                <w:sz w:val="20"/>
                <w:szCs w:val="20"/>
              </w:rPr>
              <w:t>zu unterscheiden.</w:t>
            </w:r>
            <w:r>
              <w:rPr>
                <w:sz w:val="20"/>
                <w:szCs w:val="20"/>
              </w:rPr>
              <w:t xml:space="preserve"> </w:t>
            </w:r>
            <w:r w:rsidRPr="00E50B51">
              <w:rPr>
                <w:sz w:val="20"/>
                <w:szCs w:val="20"/>
              </w:rPr>
              <w:t xml:space="preserve">Der </w:t>
            </w:r>
            <w:r>
              <w:rPr>
                <w:sz w:val="20"/>
                <w:szCs w:val="20"/>
              </w:rPr>
              <w:t>U.S. Supreme Court</w:t>
            </w:r>
            <w:r w:rsidRPr="00E50B51">
              <w:rPr>
                <w:sz w:val="20"/>
                <w:szCs w:val="20"/>
              </w:rPr>
              <w:t xml:space="preserve"> urteilte indes, die Unterscheidung zwischen ehelichen und unehelichen Kindern </w:t>
            </w:r>
            <w:r>
              <w:rPr>
                <w:sz w:val="20"/>
                <w:szCs w:val="20"/>
              </w:rPr>
              <w:t>stünde</w:t>
            </w:r>
            <w:r w:rsidRPr="00E50B51">
              <w:rPr>
                <w:sz w:val="20"/>
                <w:szCs w:val="20"/>
              </w:rPr>
              <w:t xml:space="preserve"> in einem angemessenen Zusammenhang („</w:t>
            </w:r>
            <w:proofErr w:type="spellStart"/>
            <w:r w:rsidRPr="00E50B51">
              <w:rPr>
                <w:sz w:val="20"/>
                <w:szCs w:val="20"/>
              </w:rPr>
              <w:t>reasonably</w:t>
            </w:r>
            <w:proofErr w:type="spellEnd"/>
            <w:r w:rsidRPr="00E50B51">
              <w:rPr>
                <w:sz w:val="20"/>
                <w:szCs w:val="20"/>
              </w:rPr>
              <w:t xml:space="preserve"> </w:t>
            </w:r>
            <w:proofErr w:type="spellStart"/>
            <w:r w:rsidRPr="00E50B51">
              <w:rPr>
                <w:sz w:val="20"/>
                <w:szCs w:val="20"/>
              </w:rPr>
              <w:t>related</w:t>
            </w:r>
            <w:proofErr w:type="spellEnd"/>
            <w:r w:rsidRPr="00E50B51">
              <w:rPr>
                <w:sz w:val="20"/>
                <w:szCs w:val="20"/>
              </w:rPr>
              <w:t>“</w:t>
            </w:r>
            <w:r>
              <w:rPr>
                <w:rStyle w:val="Funotenzeichen"/>
                <w:sz w:val="20"/>
                <w:szCs w:val="20"/>
              </w:rPr>
              <w:footnoteReference w:id="1805"/>
            </w:r>
            <w:r w:rsidRPr="00E50B51">
              <w:rPr>
                <w:sz w:val="20"/>
                <w:szCs w:val="20"/>
              </w:rPr>
              <w:t xml:space="preserve">) mit der Wahrscheinlichkeit der Abhängigkeit zum Zeitpunkt des Todes des Ernährers. Sie </w:t>
            </w:r>
            <w:r>
              <w:rPr>
                <w:sz w:val="20"/>
                <w:szCs w:val="20"/>
              </w:rPr>
              <w:t>sei</w:t>
            </w:r>
            <w:r w:rsidRPr="00E50B51">
              <w:rPr>
                <w:sz w:val="20"/>
                <w:szCs w:val="20"/>
              </w:rPr>
              <w:t xml:space="preserve"> daher nicht unzulässig diskriminierend.</w:t>
            </w:r>
            <w:r>
              <w:rPr>
                <w:rStyle w:val="Funotenzeichen"/>
                <w:sz w:val="20"/>
                <w:szCs w:val="20"/>
              </w:rPr>
              <w:footnoteReference w:id="1806"/>
            </w:r>
          </w:p>
          <w:p w14:paraId="512BB977" w14:textId="77777777" w:rsidR="00074551" w:rsidRPr="00E50B51" w:rsidRDefault="00074551" w:rsidP="00367133">
            <w:pPr>
              <w:jc w:val="both"/>
              <w:rPr>
                <w:sz w:val="20"/>
                <w:szCs w:val="20"/>
              </w:rPr>
            </w:pPr>
          </w:p>
        </w:tc>
        <w:tc>
          <w:tcPr>
            <w:tcW w:w="1822" w:type="pct"/>
          </w:tcPr>
          <w:p w14:paraId="1576E92B" w14:textId="7D62C60B" w:rsidR="00074551" w:rsidRDefault="00074551" w:rsidP="00367133">
            <w:pPr>
              <w:jc w:val="both"/>
              <w:rPr>
                <w:sz w:val="20"/>
                <w:szCs w:val="20"/>
              </w:rPr>
            </w:pPr>
            <w:r w:rsidRPr="00F82534">
              <w:rPr>
                <w:sz w:val="20"/>
                <w:szCs w:val="20"/>
              </w:rPr>
              <w:t>Um im Rahmen des „</w:t>
            </w:r>
            <w:proofErr w:type="spellStart"/>
            <w:r w:rsidRPr="00F82534">
              <w:rPr>
                <w:sz w:val="20"/>
                <w:szCs w:val="20"/>
              </w:rPr>
              <w:t>judicial</w:t>
            </w:r>
            <w:proofErr w:type="spellEnd"/>
            <w:r w:rsidRPr="00F82534">
              <w:rPr>
                <w:sz w:val="20"/>
                <w:szCs w:val="20"/>
              </w:rPr>
              <w:t xml:space="preserve"> review“</w:t>
            </w:r>
            <w:r w:rsidRPr="00F82534">
              <w:rPr>
                <w:sz w:val="20"/>
                <w:szCs w:val="20"/>
                <w:vertAlign w:val="superscript"/>
              </w:rPr>
              <w:footnoteReference w:id="1807"/>
            </w:r>
            <w:r w:rsidRPr="00F82534">
              <w:rPr>
                <w:sz w:val="20"/>
                <w:szCs w:val="20"/>
              </w:rPr>
              <w:t xml:space="preserve"> zu prüfen, wie weit Gesetze Personen unterscheiden dürfen, entwarf der </w:t>
            </w:r>
            <w:r>
              <w:rPr>
                <w:sz w:val="20"/>
                <w:szCs w:val="20"/>
              </w:rPr>
              <w:t>U.S. Supreme Court</w:t>
            </w:r>
            <w:r w:rsidRPr="00F82534">
              <w:rPr>
                <w:sz w:val="20"/>
                <w:szCs w:val="20"/>
              </w:rPr>
              <w:t xml:space="preserve"> einen Maßstab. Der laute</w:t>
            </w:r>
            <w:r>
              <w:rPr>
                <w:sz w:val="20"/>
                <w:szCs w:val="20"/>
              </w:rPr>
              <w:t>te</w:t>
            </w:r>
            <w:r w:rsidRPr="00F82534">
              <w:rPr>
                <w:sz w:val="20"/>
                <w:szCs w:val="20"/>
              </w:rPr>
              <w:t>: Gesetzliche Klassifikation</w:t>
            </w:r>
            <w:r>
              <w:rPr>
                <w:sz w:val="20"/>
                <w:szCs w:val="20"/>
              </w:rPr>
              <w:t>en</w:t>
            </w:r>
            <w:r w:rsidRPr="00F82534" w:rsidDel="009A5BB6">
              <w:rPr>
                <w:sz w:val="20"/>
                <w:szCs w:val="20"/>
              </w:rPr>
              <w:t xml:space="preserve"> </w:t>
            </w:r>
            <w:r>
              <w:rPr>
                <w:sz w:val="20"/>
                <w:szCs w:val="20"/>
              </w:rPr>
              <w:t>seien</w:t>
            </w:r>
            <w:r w:rsidRPr="00F82534">
              <w:rPr>
                <w:sz w:val="20"/>
                <w:szCs w:val="20"/>
              </w:rPr>
              <w:t xml:space="preserve"> nicht per se verfassungswidrig; es komme auf den Charakter der Diskriminierung und das Verhältnis der Diskriminierung zu </w:t>
            </w:r>
            <w:r>
              <w:rPr>
                <w:sz w:val="20"/>
                <w:szCs w:val="20"/>
              </w:rPr>
              <w:t>ihren</w:t>
            </w:r>
            <w:r w:rsidRPr="00F82534">
              <w:rPr>
                <w:sz w:val="20"/>
                <w:szCs w:val="20"/>
              </w:rPr>
              <w:t xml:space="preserve"> möglicherweise legitimen Zielen an; die Prüfung sei daher eine doppelte: Welches legitime staatliche Interesse fördere die Klassifikation? Und welche Grundrechte gefährde die Klassifikation?</w:t>
            </w:r>
            <w:r w:rsidRPr="00F82534">
              <w:rPr>
                <w:sz w:val="20"/>
                <w:szCs w:val="20"/>
                <w:vertAlign w:val="superscript"/>
              </w:rPr>
              <w:footnoteReference w:id="1808"/>
            </w:r>
            <w:r w:rsidRPr="00F82534">
              <w:rPr>
                <w:sz w:val="20"/>
                <w:szCs w:val="20"/>
              </w:rPr>
              <w:t xml:space="preserve"> Der Dissens äußerte sich zur ersten Frage: Eine Diskriminierung zwischen </w:t>
            </w:r>
            <w:proofErr w:type="spellStart"/>
            <w:r w:rsidRPr="00F82534">
              <w:rPr>
                <w:sz w:val="20"/>
                <w:szCs w:val="20"/>
              </w:rPr>
              <w:t>un</w:t>
            </w:r>
            <w:proofErr w:type="spellEnd"/>
            <w:r w:rsidRPr="00F82534">
              <w:rPr>
                <w:sz w:val="20"/>
                <w:szCs w:val="20"/>
              </w:rPr>
              <w:t>- und ehelichen Kindern entspreche bereits keinem legitimen Ziel („</w:t>
            </w:r>
            <w:proofErr w:type="spellStart"/>
            <w:r w:rsidRPr="00F82534">
              <w:rPr>
                <w:sz w:val="20"/>
                <w:szCs w:val="20"/>
              </w:rPr>
              <w:t>legitimate</w:t>
            </w:r>
            <w:proofErr w:type="spellEnd"/>
            <w:r w:rsidRPr="00F82534">
              <w:rPr>
                <w:sz w:val="20"/>
                <w:szCs w:val="20"/>
              </w:rPr>
              <w:t xml:space="preserve"> </w:t>
            </w:r>
            <w:proofErr w:type="spellStart"/>
            <w:r w:rsidRPr="00F82534">
              <w:rPr>
                <w:sz w:val="20"/>
                <w:szCs w:val="20"/>
              </w:rPr>
              <w:t>purpose</w:t>
            </w:r>
            <w:proofErr w:type="spellEnd"/>
            <w:r w:rsidRPr="00F82534">
              <w:rPr>
                <w:sz w:val="20"/>
                <w:szCs w:val="20"/>
              </w:rPr>
              <w:t>“</w:t>
            </w:r>
            <w:r w:rsidRPr="00F82534">
              <w:rPr>
                <w:sz w:val="20"/>
                <w:szCs w:val="20"/>
                <w:vertAlign w:val="superscript"/>
              </w:rPr>
              <w:footnoteReference w:id="1809"/>
            </w:r>
            <w:r w:rsidRPr="00F82534">
              <w:rPr>
                <w:sz w:val="20"/>
                <w:szCs w:val="20"/>
              </w:rPr>
              <w:t>), um Hinterbliebenenrente zu erhalten. Denn eine Unterscheidung dafür anhand von Verwandtschaftsgraden verstoße gegen den Gleichheitsgrundsatz („</w:t>
            </w:r>
            <w:proofErr w:type="spellStart"/>
            <w:r w:rsidRPr="00F82534">
              <w:rPr>
                <w:sz w:val="20"/>
                <w:szCs w:val="20"/>
              </w:rPr>
              <w:t>doctrine</w:t>
            </w:r>
            <w:proofErr w:type="spellEnd"/>
            <w:r w:rsidRPr="00F82534">
              <w:rPr>
                <w:sz w:val="20"/>
                <w:szCs w:val="20"/>
              </w:rPr>
              <w:t xml:space="preserve"> of </w:t>
            </w:r>
            <w:proofErr w:type="spellStart"/>
            <w:r w:rsidRPr="00F82534">
              <w:rPr>
                <w:sz w:val="20"/>
                <w:szCs w:val="20"/>
              </w:rPr>
              <w:t>equality</w:t>
            </w:r>
            <w:proofErr w:type="spellEnd"/>
            <w:r w:rsidRPr="00F82534">
              <w:rPr>
                <w:sz w:val="20"/>
                <w:szCs w:val="20"/>
              </w:rPr>
              <w:t>“</w:t>
            </w:r>
            <w:r w:rsidRPr="00F82534">
              <w:rPr>
                <w:sz w:val="20"/>
                <w:szCs w:val="20"/>
                <w:vertAlign w:val="superscript"/>
              </w:rPr>
              <w:footnoteReference w:id="1810"/>
            </w:r>
            <w:r w:rsidRPr="00F82534">
              <w:rPr>
                <w:sz w:val="20"/>
                <w:szCs w:val="20"/>
              </w:rPr>
              <w:t>), abgeleitet aus dem Grundsatz</w:t>
            </w:r>
            <w:r>
              <w:rPr>
                <w:sz w:val="20"/>
                <w:szCs w:val="20"/>
              </w:rPr>
              <w:t>,</w:t>
            </w:r>
            <w:r w:rsidRPr="00F82534">
              <w:rPr>
                <w:sz w:val="20"/>
                <w:szCs w:val="20"/>
              </w:rPr>
              <w:t xml:space="preserve"> gleich vor dem Gesetz zu sein (</w:t>
            </w:r>
            <w:proofErr w:type="gramStart"/>
            <w:r w:rsidRPr="00F82534">
              <w:rPr>
                <w:sz w:val="20"/>
                <w:szCs w:val="20"/>
              </w:rPr>
              <w:t>„</w:t>
            </w:r>
            <w:r>
              <w:rPr>
                <w:sz w:val="20"/>
                <w:szCs w:val="20"/>
              </w:rPr>
              <w:t>,</w:t>
            </w:r>
            <w:r w:rsidRPr="00F82534">
              <w:rPr>
                <w:sz w:val="20"/>
                <w:szCs w:val="20"/>
              </w:rPr>
              <w:t>created</w:t>
            </w:r>
            <w:proofErr w:type="gramEnd"/>
            <w:r w:rsidRPr="00F82534">
              <w:rPr>
                <w:sz w:val="20"/>
                <w:szCs w:val="20"/>
              </w:rPr>
              <w:t xml:space="preserve"> </w:t>
            </w:r>
            <w:proofErr w:type="spellStart"/>
            <w:r w:rsidRPr="00F82534">
              <w:rPr>
                <w:sz w:val="20"/>
                <w:szCs w:val="20"/>
              </w:rPr>
              <w:t>equal</w:t>
            </w:r>
            <w:proofErr w:type="spellEnd"/>
            <w:r>
              <w:rPr>
                <w:sz w:val="20"/>
                <w:szCs w:val="20"/>
              </w:rPr>
              <w:t>‘</w:t>
            </w:r>
            <w:r w:rsidRPr="00F82534">
              <w:rPr>
                <w:sz w:val="20"/>
                <w:szCs w:val="20"/>
              </w:rPr>
              <w:t xml:space="preserve"> in the </w:t>
            </w:r>
            <w:proofErr w:type="spellStart"/>
            <w:r w:rsidRPr="00F82534">
              <w:rPr>
                <w:sz w:val="20"/>
                <w:szCs w:val="20"/>
              </w:rPr>
              <w:t>eyes</w:t>
            </w:r>
            <w:proofErr w:type="spellEnd"/>
            <w:r w:rsidRPr="00F82534">
              <w:rPr>
                <w:sz w:val="20"/>
                <w:szCs w:val="20"/>
              </w:rPr>
              <w:t xml:space="preserve"> of </w:t>
            </w:r>
            <w:r>
              <w:rPr>
                <w:sz w:val="20"/>
                <w:szCs w:val="20"/>
              </w:rPr>
              <w:t>t</w:t>
            </w:r>
            <w:r w:rsidRPr="00F82534">
              <w:rPr>
                <w:sz w:val="20"/>
                <w:szCs w:val="20"/>
              </w:rPr>
              <w:t xml:space="preserve">he </w:t>
            </w:r>
            <w:proofErr w:type="spellStart"/>
            <w:r w:rsidRPr="00F82534">
              <w:rPr>
                <w:sz w:val="20"/>
                <w:szCs w:val="20"/>
              </w:rPr>
              <w:t>law</w:t>
            </w:r>
            <w:proofErr w:type="spellEnd"/>
            <w:r w:rsidRPr="00F82534">
              <w:rPr>
                <w:sz w:val="20"/>
                <w:szCs w:val="20"/>
              </w:rPr>
              <w:t>“</w:t>
            </w:r>
            <w:r w:rsidRPr="00F82534">
              <w:rPr>
                <w:sz w:val="20"/>
                <w:szCs w:val="20"/>
                <w:vertAlign w:val="superscript"/>
              </w:rPr>
              <w:t xml:space="preserve"> </w:t>
            </w:r>
            <w:r w:rsidRPr="00F82534">
              <w:rPr>
                <w:sz w:val="20"/>
                <w:szCs w:val="20"/>
                <w:vertAlign w:val="superscript"/>
              </w:rPr>
              <w:footnoteReference w:id="1811"/>
            </w:r>
            <w:r w:rsidRPr="00F82534">
              <w:rPr>
                <w:sz w:val="20"/>
                <w:szCs w:val="20"/>
              </w:rPr>
              <w:t>), der sich wi</w:t>
            </w:r>
            <w:r>
              <w:rPr>
                <w:sz w:val="20"/>
                <w:szCs w:val="20"/>
              </w:rPr>
              <w:t>e</w:t>
            </w:r>
            <w:r w:rsidRPr="00F82534">
              <w:rPr>
                <w:sz w:val="20"/>
                <w:szCs w:val="20"/>
              </w:rPr>
              <w:t xml:space="preserve">derum aus dem gleichen Streben nach Glück und </w:t>
            </w:r>
            <w:r w:rsidR="00023A37">
              <w:rPr>
                <w:sz w:val="20"/>
                <w:szCs w:val="20"/>
              </w:rPr>
              <w:t xml:space="preserve">U.S. </w:t>
            </w:r>
            <w:proofErr w:type="spellStart"/>
            <w:r w:rsidR="00023A37">
              <w:rPr>
                <w:sz w:val="20"/>
                <w:szCs w:val="20"/>
              </w:rPr>
              <w:t>Const</w:t>
            </w:r>
            <w:proofErr w:type="spellEnd"/>
            <w:r w:rsidR="00023A37">
              <w:rPr>
                <w:sz w:val="20"/>
                <w:szCs w:val="20"/>
              </w:rPr>
              <w:t>. art. I, § 9, cl. 8</w:t>
            </w:r>
            <w:r w:rsidRPr="00F82534">
              <w:rPr>
                <w:sz w:val="20"/>
                <w:szCs w:val="20"/>
              </w:rPr>
              <w:t xml:space="preserve"> (Verbot von Adelstiteln) ergebe.</w:t>
            </w:r>
            <w:r w:rsidRPr="00F82534">
              <w:rPr>
                <w:sz w:val="20"/>
                <w:szCs w:val="20"/>
                <w:vertAlign w:val="superscript"/>
              </w:rPr>
              <w:footnoteReference w:id="1812"/>
            </w:r>
            <w:r w:rsidRPr="00F82534">
              <w:rPr>
                <w:sz w:val="20"/>
                <w:szCs w:val="20"/>
              </w:rPr>
              <w:t xml:space="preserve"> Da das Gesetz auch das Streben nach Glück berühre, hätte dem Fall besondere Prüfungsdichte zukommen müssen („</w:t>
            </w:r>
            <w:proofErr w:type="spellStart"/>
            <w:r w:rsidRPr="00F82534">
              <w:rPr>
                <w:sz w:val="20"/>
                <w:szCs w:val="20"/>
              </w:rPr>
              <w:t>especially</w:t>
            </w:r>
            <w:proofErr w:type="spellEnd"/>
            <w:r w:rsidRPr="00F82534">
              <w:rPr>
                <w:sz w:val="20"/>
                <w:szCs w:val="20"/>
              </w:rPr>
              <w:t xml:space="preserve"> vigilant in </w:t>
            </w:r>
            <w:proofErr w:type="spellStart"/>
            <w:r w:rsidRPr="00F82534">
              <w:rPr>
                <w:sz w:val="20"/>
                <w:szCs w:val="20"/>
              </w:rPr>
              <w:t>examining</w:t>
            </w:r>
            <w:proofErr w:type="spellEnd"/>
            <w:r w:rsidRPr="00F82534">
              <w:rPr>
                <w:sz w:val="20"/>
                <w:szCs w:val="20"/>
              </w:rPr>
              <w:t xml:space="preserve"> </w:t>
            </w:r>
            <w:proofErr w:type="spellStart"/>
            <w:r w:rsidRPr="00F82534">
              <w:rPr>
                <w:sz w:val="20"/>
                <w:szCs w:val="20"/>
              </w:rPr>
              <w:t>any</w:t>
            </w:r>
            <w:proofErr w:type="spellEnd"/>
            <w:r w:rsidRPr="00F82534">
              <w:rPr>
                <w:sz w:val="20"/>
                <w:szCs w:val="20"/>
              </w:rPr>
              <w:t xml:space="preserve"> </w:t>
            </w:r>
            <w:proofErr w:type="spellStart"/>
            <w:r w:rsidRPr="00F82534">
              <w:rPr>
                <w:sz w:val="20"/>
                <w:szCs w:val="20"/>
              </w:rPr>
              <w:t>classification</w:t>
            </w:r>
            <w:proofErr w:type="spellEnd"/>
            <w:r w:rsidRPr="00F82534">
              <w:rPr>
                <w:sz w:val="20"/>
                <w:szCs w:val="20"/>
              </w:rPr>
              <w:t>“</w:t>
            </w:r>
            <w:r w:rsidRPr="00F82534">
              <w:rPr>
                <w:sz w:val="20"/>
                <w:szCs w:val="20"/>
                <w:vertAlign w:val="superscript"/>
              </w:rPr>
              <w:footnoteReference w:id="1813"/>
            </w:r>
            <w:r w:rsidRPr="00F82534">
              <w:rPr>
                <w:sz w:val="20"/>
                <w:szCs w:val="20"/>
              </w:rPr>
              <w:t xml:space="preserve">). Das Gericht hätte bei seiner Prüfung </w:t>
            </w:r>
            <w:r>
              <w:rPr>
                <w:sz w:val="20"/>
                <w:szCs w:val="20"/>
              </w:rPr>
              <w:t>z.B.</w:t>
            </w:r>
            <w:r w:rsidRPr="00F82534">
              <w:rPr>
                <w:sz w:val="20"/>
                <w:szCs w:val="20"/>
              </w:rPr>
              <w:t xml:space="preserve"> darauf achten sollen, dass uneheliche Kinder bereits eine sozial benachteiligte Gruppe darstellen. Zwar dränge sich eine derartige Diskriminierung stets auf und zeige sich als Klassifikation, die vermeintlich hinreichend sei, </w:t>
            </w:r>
            <w:r>
              <w:rPr>
                <w:sz w:val="20"/>
                <w:szCs w:val="20"/>
              </w:rPr>
              <w:t>z.B.</w:t>
            </w:r>
            <w:r w:rsidRPr="00F82534">
              <w:rPr>
                <w:sz w:val="20"/>
                <w:szCs w:val="20"/>
              </w:rPr>
              <w:t xml:space="preserve"> die Klassifikation</w:t>
            </w:r>
            <w:r>
              <w:rPr>
                <w:sz w:val="20"/>
                <w:szCs w:val="20"/>
              </w:rPr>
              <w:t>en</w:t>
            </w:r>
            <w:r w:rsidRPr="00F82534">
              <w:rPr>
                <w:sz w:val="20"/>
                <w:szCs w:val="20"/>
              </w:rPr>
              <w:t xml:space="preserve"> Mann</w:t>
            </w:r>
            <w:r>
              <w:rPr>
                <w:sz w:val="20"/>
                <w:szCs w:val="20"/>
              </w:rPr>
              <w:t> </w:t>
            </w:r>
            <w:r w:rsidRPr="00F82534">
              <w:rPr>
                <w:sz w:val="20"/>
                <w:szCs w:val="20"/>
              </w:rPr>
              <w:t>– Frau, Ausländer</w:t>
            </w:r>
            <w:r>
              <w:rPr>
                <w:sz w:val="20"/>
                <w:szCs w:val="20"/>
              </w:rPr>
              <w:t> </w:t>
            </w:r>
            <w:r w:rsidRPr="00F82534">
              <w:rPr>
                <w:sz w:val="20"/>
                <w:szCs w:val="20"/>
              </w:rPr>
              <w:t>– Inländer, eheliches Kind</w:t>
            </w:r>
            <w:r>
              <w:rPr>
                <w:sz w:val="20"/>
                <w:szCs w:val="20"/>
              </w:rPr>
              <w:t> </w:t>
            </w:r>
            <w:r w:rsidRPr="00F82534">
              <w:rPr>
                <w:sz w:val="20"/>
                <w:szCs w:val="20"/>
              </w:rPr>
              <w:t xml:space="preserve">– uneheliches Kind. Doch dabei stehe eine solche, stereotypische Unterscheidung i.d.R. in keiner rationalen Beziehung zu einem legitimen Zweck, hier </w:t>
            </w:r>
            <w:r>
              <w:rPr>
                <w:sz w:val="20"/>
                <w:szCs w:val="20"/>
              </w:rPr>
              <w:t>z.B.</w:t>
            </w:r>
            <w:r w:rsidRPr="00F82534">
              <w:rPr>
                <w:sz w:val="20"/>
                <w:szCs w:val="20"/>
              </w:rPr>
              <w:t xml:space="preserve"> der Zweck</w:t>
            </w:r>
            <w:r>
              <w:rPr>
                <w:sz w:val="20"/>
                <w:szCs w:val="20"/>
              </w:rPr>
              <w:t>,</w:t>
            </w:r>
            <w:r w:rsidRPr="00F82534">
              <w:rPr>
                <w:sz w:val="20"/>
                <w:szCs w:val="20"/>
              </w:rPr>
              <w:t xml:space="preserve"> den Abhängigkeitsgrad des Kindes zu bestimmen. Es handle sich nur um vorurteilsgetragene Diskriminierung. Der </w:t>
            </w:r>
            <w:r>
              <w:rPr>
                <w:sz w:val="20"/>
                <w:szCs w:val="20"/>
              </w:rPr>
              <w:t>U.S. Supreme Court</w:t>
            </w:r>
            <w:r w:rsidRPr="00F82534">
              <w:rPr>
                <w:sz w:val="20"/>
                <w:szCs w:val="20"/>
              </w:rPr>
              <w:t xml:space="preserve"> hätte vielmehr der Verwaltung aufgeben müssen, von Einzelfall zu Einzelfall anhand des tatsächlichen Abhängigkeitsgrad des Kindes zu unterscheiden</w:t>
            </w:r>
            <w:r>
              <w:rPr>
                <w:sz w:val="20"/>
                <w:szCs w:val="20"/>
              </w:rPr>
              <w:t> </w:t>
            </w:r>
            <w:r w:rsidRPr="00F82534">
              <w:rPr>
                <w:sz w:val="20"/>
                <w:szCs w:val="20"/>
              </w:rPr>
              <w:t>– und die Abhängigkeit hätte nicht anhand eines sekundäre</w:t>
            </w:r>
            <w:r>
              <w:rPr>
                <w:sz w:val="20"/>
                <w:szCs w:val="20"/>
              </w:rPr>
              <w:t>n</w:t>
            </w:r>
            <w:r w:rsidRPr="00F82534">
              <w:rPr>
                <w:sz w:val="20"/>
                <w:szCs w:val="20"/>
              </w:rPr>
              <w:t xml:space="preserve"> Kriteriums (eheliches Kind – uneheliches Kind) bemessen werden dürfen.</w:t>
            </w:r>
            <w:r w:rsidRPr="00F82534">
              <w:rPr>
                <w:sz w:val="20"/>
                <w:szCs w:val="20"/>
                <w:vertAlign w:val="superscript"/>
              </w:rPr>
              <w:footnoteReference w:id="1814"/>
            </w:r>
            <w:r w:rsidRPr="00F82534">
              <w:rPr>
                <w:sz w:val="20"/>
                <w:szCs w:val="20"/>
              </w:rPr>
              <w:t xml:space="preserve"> Damit kann ein Streben nach Glück einen Prüfungsmaßstab prägen.</w:t>
            </w:r>
          </w:p>
          <w:p w14:paraId="0DDBCF6C" w14:textId="77777777" w:rsidR="00074551" w:rsidRPr="00E50B51" w:rsidRDefault="00074551" w:rsidP="00367133">
            <w:pPr>
              <w:jc w:val="both"/>
              <w:rPr>
                <w:sz w:val="20"/>
                <w:szCs w:val="20"/>
              </w:rPr>
            </w:pPr>
          </w:p>
        </w:tc>
      </w:tr>
      <w:tr w:rsidR="00074551" w:rsidRPr="00E50B51" w14:paraId="69B49986" w14:textId="77777777" w:rsidTr="00BE689F">
        <w:trPr>
          <w:cantSplit/>
          <w:trHeight w:val="3175"/>
        </w:trPr>
        <w:tc>
          <w:tcPr>
            <w:tcW w:w="293" w:type="pct"/>
          </w:tcPr>
          <w:p w14:paraId="56C90DB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A20F47B" w14:textId="77777777" w:rsidR="00074551" w:rsidRPr="00E50B51" w:rsidRDefault="00074551" w:rsidP="00367133">
            <w:pPr>
              <w:ind w:left="113" w:right="416"/>
              <w:jc w:val="both"/>
              <w:rPr>
                <w:sz w:val="20"/>
                <w:szCs w:val="20"/>
                <w:lang w:val="en-US"/>
              </w:rPr>
            </w:pPr>
            <w:r w:rsidRPr="00A15962">
              <w:rPr>
                <w:i/>
                <w:sz w:val="20"/>
                <w:szCs w:val="20"/>
                <w:lang w:val="en-US"/>
              </w:rPr>
              <w:t>Regents of Univ. of Cal. v. Bakke</w:t>
            </w:r>
          </w:p>
        </w:tc>
        <w:tc>
          <w:tcPr>
            <w:tcW w:w="197" w:type="pct"/>
            <w:textDirection w:val="tbRl"/>
            <w:vAlign w:val="center"/>
          </w:tcPr>
          <w:p w14:paraId="5D50174E" w14:textId="77777777" w:rsidR="00074551" w:rsidRPr="00E50B51" w:rsidRDefault="00074551" w:rsidP="00367133">
            <w:pPr>
              <w:ind w:left="113" w:right="113"/>
              <w:jc w:val="both"/>
              <w:rPr>
                <w:sz w:val="20"/>
                <w:szCs w:val="20"/>
              </w:rPr>
            </w:pPr>
            <w:r w:rsidRPr="00E50B51">
              <w:rPr>
                <w:sz w:val="20"/>
                <w:szCs w:val="20"/>
                <w:lang w:val="en-US"/>
              </w:rPr>
              <w:t>438 U.S. 265</w:t>
            </w:r>
          </w:p>
        </w:tc>
        <w:tc>
          <w:tcPr>
            <w:tcW w:w="306" w:type="pct"/>
            <w:textDirection w:val="tbRl"/>
            <w:vAlign w:val="center"/>
          </w:tcPr>
          <w:p w14:paraId="649AF881" w14:textId="77777777" w:rsidR="00074551" w:rsidRPr="00E50B51" w:rsidRDefault="00074551" w:rsidP="00367133">
            <w:pPr>
              <w:ind w:left="113" w:right="113"/>
              <w:jc w:val="both"/>
              <w:rPr>
                <w:sz w:val="20"/>
                <w:szCs w:val="20"/>
                <w:lang w:val="en-US"/>
              </w:rPr>
            </w:pPr>
            <w:r w:rsidRPr="00E50B51">
              <w:rPr>
                <w:sz w:val="20"/>
                <w:szCs w:val="20"/>
                <w:lang w:val="en-US"/>
              </w:rPr>
              <w:t>28. Juni 1978</w:t>
            </w:r>
          </w:p>
        </w:tc>
        <w:tc>
          <w:tcPr>
            <w:tcW w:w="401" w:type="pct"/>
          </w:tcPr>
          <w:p w14:paraId="283C5FA8" w14:textId="77777777" w:rsidR="00074551" w:rsidRPr="00E50B51" w:rsidRDefault="00074551" w:rsidP="00367133">
            <w:pPr>
              <w:jc w:val="center"/>
              <w:rPr>
                <w:sz w:val="20"/>
                <w:szCs w:val="20"/>
                <w:lang w:val="en-US"/>
              </w:rPr>
            </w:pPr>
            <w:r w:rsidRPr="00E50B51">
              <w:rPr>
                <w:sz w:val="20"/>
                <w:szCs w:val="20"/>
                <w:lang w:val="en-US"/>
              </w:rPr>
              <w:t>D</w:t>
            </w:r>
          </w:p>
        </w:tc>
        <w:tc>
          <w:tcPr>
            <w:tcW w:w="1594" w:type="pct"/>
          </w:tcPr>
          <w:p w14:paraId="2F2E6E00"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233EB1CB" w14:textId="77777777" w:rsidR="00074551" w:rsidRDefault="00074551" w:rsidP="00367133">
            <w:pPr>
              <w:jc w:val="both"/>
              <w:rPr>
                <w:sz w:val="20"/>
                <w:szCs w:val="20"/>
                <w:vertAlign w:val="superscript"/>
              </w:rPr>
            </w:pPr>
            <w:r w:rsidRPr="0053280E">
              <w:rPr>
                <w:sz w:val="20"/>
                <w:szCs w:val="20"/>
              </w:rPr>
              <w:t xml:space="preserve">Die sich auch aus dem gleichen Streben nach Glück ergebende Gleichheitsdoktrin führt </w:t>
            </w:r>
            <w:r>
              <w:rPr>
                <w:sz w:val="20"/>
                <w:szCs w:val="20"/>
              </w:rPr>
              <w:t xml:space="preserve">laut Dissens </w:t>
            </w:r>
            <w:r w:rsidRPr="0053280E">
              <w:rPr>
                <w:sz w:val="20"/>
                <w:szCs w:val="20"/>
              </w:rPr>
              <w:t>zu einem veränderten Prüfungsmaßstab des „</w:t>
            </w:r>
            <w:proofErr w:type="spellStart"/>
            <w:r w:rsidRPr="0053280E">
              <w:rPr>
                <w:sz w:val="20"/>
                <w:szCs w:val="20"/>
              </w:rPr>
              <w:t>judicial</w:t>
            </w:r>
            <w:proofErr w:type="spellEnd"/>
            <w:r w:rsidRPr="0053280E">
              <w:rPr>
                <w:sz w:val="20"/>
                <w:szCs w:val="20"/>
              </w:rPr>
              <w:t xml:space="preserve"> review“</w:t>
            </w:r>
            <w:r>
              <w:rPr>
                <w:sz w:val="20"/>
                <w:szCs w:val="20"/>
              </w:rPr>
              <w:t>,</w:t>
            </w:r>
            <w:r w:rsidRPr="0053280E">
              <w:rPr>
                <w:sz w:val="20"/>
                <w:szCs w:val="20"/>
                <w:vertAlign w:val="superscript"/>
              </w:rPr>
              <w:footnoteReference w:id="1815"/>
            </w:r>
            <w:r w:rsidRPr="0053280E">
              <w:rPr>
                <w:sz w:val="20"/>
                <w:szCs w:val="20"/>
              </w:rPr>
              <w:t xml:space="preserve"> nämlich dem folgenden: Eine Unterscheidung zwischen Bürgern allein aufgrund ihrer Abstammung verstoße gegen die Doktrin der Gleichheit, die den Institutionen eines freien Volkes zugrunde liege.</w:t>
            </w:r>
            <w:r w:rsidRPr="0053280E">
              <w:rPr>
                <w:sz w:val="20"/>
                <w:szCs w:val="20"/>
                <w:vertAlign w:val="superscript"/>
              </w:rPr>
              <w:footnoteReference w:id="1816"/>
            </w:r>
            <w:r w:rsidRPr="0053280E">
              <w:rPr>
                <w:sz w:val="20"/>
                <w:szCs w:val="20"/>
              </w:rPr>
              <w:t xml:space="preserve"> Wenn daher staatliche Maßnahmen </w:t>
            </w:r>
            <w:r>
              <w:rPr>
                <w:sz w:val="20"/>
                <w:szCs w:val="20"/>
              </w:rPr>
              <w:t>z.B.</w:t>
            </w:r>
            <w:r w:rsidRPr="0053280E">
              <w:rPr>
                <w:sz w:val="20"/>
                <w:szCs w:val="20"/>
              </w:rPr>
              <w:t xml:space="preserve"> Bürgerrechte einzelner Rassengruppe einschränk</w:t>
            </w:r>
            <w:r>
              <w:rPr>
                <w:sz w:val="20"/>
                <w:szCs w:val="20"/>
              </w:rPr>
              <w:t>t</w:t>
            </w:r>
            <w:r w:rsidRPr="0053280E">
              <w:rPr>
                <w:sz w:val="20"/>
                <w:szCs w:val="20"/>
              </w:rPr>
              <w:t>en, dann ständen sie stets in Zweifel. Diese staatlichen Maßnahmen seien zwar nicht per se verfassungswidrig. Aber Gerichte müss</w:t>
            </w:r>
            <w:r>
              <w:rPr>
                <w:sz w:val="20"/>
                <w:szCs w:val="20"/>
              </w:rPr>
              <w:t>t</w:t>
            </w:r>
            <w:r w:rsidRPr="0053280E">
              <w:rPr>
                <w:sz w:val="20"/>
                <w:szCs w:val="20"/>
              </w:rPr>
              <w:t xml:space="preserve">en sie der </w:t>
            </w:r>
            <w:proofErr w:type="spellStart"/>
            <w:r w:rsidRPr="0053280E">
              <w:rPr>
                <w:sz w:val="20"/>
                <w:szCs w:val="20"/>
              </w:rPr>
              <w:t>strengstmöglichen</w:t>
            </w:r>
            <w:proofErr w:type="spellEnd"/>
            <w:r w:rsidRPr="0053280E">
              <w:rPr>
                <w:sz w:val="20"/>
                <w:szCs w:val="20"/>
              </w:rPr>
              <w:t xml:space="preserve"> Prüfung unterziehen („</w:t>
            </w:r>
            <w:proofErr w:type="spellStart"/>
            <w:r w:rsidRPr="0053280E">
              <w:rPr>
                <w:sz w:val="20"/>
                <w:szCs w:val="20"/>
              </w:rPr>
              <w:t>most</w:t>
            </w:r>
            <w:proofErr w:type="spellEnd"/>
            <w:r w:rsidRPr="0053280E">
              <w:rPr>
                <w:sz w:val="20"/>
                <w:szCs w:val="20"/>
              </w:rPr>
              <w:t xml:space="preserve"> rigid </w:t>
            </w:r>
            <w:proofErr w:type="spellStart"/>
            <w:r w:rsidRPr="0053280E">
              <w:rPr>
                <w:sz w:val="20"/>
                <w:szCs w:val="20"/>
              </w:rPr>
              <w:t>scrutiny</w:t>
            </w:r>
            <w:proofErr w:type="spellEnd"/>
            <w:r w:rsidRPr="0053280E">
              <w:rPr>
                <w:sz w:val="20"/>
                <w:szCs w:val="20"/>
              </w:rPr>
              <w:t>“</w:t>
            </w:r>
            <w:r w:rsidRPr="0053280E">
              <w:rPr>
                <w:sz w:val="20"/>
                <w:szCs w:val="20"/>
                <w:vertAlign w:val="superscript"/>
              </w:rPr>
              <w:footnoteReference w:id="1817"/>
            </w:r>
            <w:r w:rsidRPr="0053280E">
              <w:rPr>
                <w:sz w:val="20"/>
                <w:szCs w:val="20"/>
              </w:rPr>
              <w:t>). Rasse- und ethnische Unterscheidungen bedürf</w:t>
            </w:r>
            <w:r>
              <w:rPr>
                <w:sz w:val="20"/>
                <w:szCs w:val="20"/>
              </w:rPr>
              <w:t>t</w:t>
            </w:r>
            <w:r w:rsidRPr="0053280E">
              <w:rPr>
                <w:sz w:val="20"/>
                <w:szCs w:val="20"/>
              </w:rPr>
              <w:t>en also der genauesten gerichtlichen Prüfung („</w:t>
            </w:r>
            <w:proofErr w:type="spellStart"/>
            <w:r w:rsidRPr="0053280E">
              <w:rPr>
                <w:sz w:val="20"/>
                <w:szCs w:val="20"/>
              </w:rPr>
              <w:t>most</w:t>
            </w:r>
            <w:proofErr w:type="spellEnd"/>
            <w:r w:rsidRPr="0053280E">
              <w:rPr>
                <w:sz w:val="20"/>
                <w:szCs w:val="20"/>
              </w:rPr>
              <w:t xml:space="preserve"> </w:t>
            </w:r>
            <w:proofErr w:type="spellStart"/>
            <w:r w:rsidRPr="0053280E">
              <w:rPr>
                <w:sz w:val="20"/>
                <w:szCs w:val="20"/>
              </w:rPr>
              <w:t>exacting</w:t>
            </w:r>
            <w:proofErr w:type="spellEnd"/>
            <w:r w:rsidRPr="0053280E">
              <w:rPr>
                <w:sz w:val="20"/>
                <w:szCs w:val="20"/>
              </w:rPr>
              <w:t xml:space="preserve"> </w:t>
            </w:r>
            <w:proofErr w:type="spellStart"/>
            <w:r w:rsidRPr="0053280E">
              <w:rPr>
                <w:sz w:val="20"/>
                <w:szCs w:val="20"/>
              </w:rPr>
              <w:t>judicial</w:t>
            </w:r>
            <w:proofErr w:type="spellEnd"/>
            <w:r w:rsidRPr="0053280E">
              <w:rPr>
                <w:sz w:val="20"/>
                <w:szCs w:val="20"/>
              </w:rPr>
              <w:t xml:space="preserve"> </w:t>
            </w:r>
            <w:proofErr w:type="spellStart"/>
            <w:r w:rsidRPr="0053280E">
              <w:rPr>
                <w:sz w:val="20"/>
                <w:szCs w:val="20"/>
              </w:rPr>
              <w:t>examination</w:t>
            </w:r>
            <w:proofErr w:type="spellEnd"/>
            <w:r w:rsidRPr="0053280E">
              <w:rPr>
                <w:sz w:val="20"/>
                <w:szCs w:val="20"/>
              </w:rPr>
              <w:t>.“</w:t>
            </w:r>
            <w:r w:rsidRPr="0053280E">
              <w:rPr>
                <w:sz w:val="20"/>
                <w:szCs w:val="20"/>
                <w:vertAlign w:val="superscript"/>
              </w:rPr>
              <w:footnoteReference w:id="1818"/>
            </w:r>
            <w:r w:rsidRPr="0053280E">
              <w:rPr>
                <w:sz w:val="20"/>
                <w:szCs w:val="20"/>
              </w:rPr>
              <w:t xml:space="preserve">). Der Dissens äußert sich zwar nur vorsichtig zum </w:t>
            </w:r>
            <w:proofErr w:type="spellStart"/>
            <w:r w:rsidRPr="5B67C1D2">
              <w:rPr>
                <w:i/>
                <w:iCs/>
                <w:sz w:val="20"/>
                <w:szCs w:val="20"/>
              </w:rPr>
              <w:t>pursuit</w:t>
            </w:r>
            <w:proofErr w:type="spellEnd"/>
            <w:r w:rsidRPr="5B67C1D2">
              <w:rPr>
                <w:i/>
                <w:iCs/>
                <w:sz w:val="20"/>
                <w:szCs w:val="20"/>
              </w:rPr>
              <w:t xml:space="preserve"> of Happiness</w:t>
            </w:r>
            <w:r w:rsidRPr="0053280E">
              <w:rPr>
                <w:sz w:val="20"/>
                <w:szCs w:val="20"/>
              </w:rPr>
              <w:t xml:space="preserve">. Aber dennoch lässt sich bereits daraus schließen, </w:t>
            </w:r>
            <w:r>
              <w:rPr>
                <w:sz w:val="20"/>
                <w:szCs w:val="20"/>
              </w:rPr>
              <w:t>dass dieser</w:t>
            </w:r>
            <w:r w:rsidRPr="0053280E">
              <w:rPr>
                <w:sz w:val="20"/>
                <w:szCs w:val="20"/>
              </w:rPr>
              <w:t xml:space="preserve"> den amerikanischen Institutionen zugrunde</w:t>
            </w:r>
            <w:r>
              <w:rPr>
                <w:sz w:val="20"/>
                <w:szCs w:val="20"/>
              </w:rPr>
              <w:t xml:space="preserve"> </w:t>
            </w:r>
            <w:r w:rsidRPr="0053280E">
              <w:rPr>
                <w:sz w:val="20"/>
                <w:szCs w:val="20"/>
              </w:rPr>
              <w:t>lieg</w:t>
            </w:r>
            <w:r>
              <w:rPr>
                <w:sz w:val="20"/>
                <w:szCs w:val="20"/>
              </w:rPr>
              <w:t>e</w:t>
            </w:r>
            <w:r w:rsidRPr="0053280E">
              <w:rPr>
                <w:sz w:val="20"/>
                <w:szCs w:val="20"/>
              </w:rPr>
              <w:t xml:space="preserve"> („</w:t>
            </w:r>
            <w:proofErr w:type="spellStart"/>
            <w:r w:rsidRPr="0053280E">
              <w:rPr>
                <w:sz w:val="20"/>
                <w:szCs w:val="20"/>
              </w:rPr>
              <w:t>first</w:t>
            </w:r>
            <w:proofErr w:type="spellEnd"/>
            <w:r w:rsidRPr="0053280E">
              <w:rPr>
                <w:sz w:val="20"/>
                <w:szCs w:val="20"/>
              </w:rPr>
              <w:t xml:space="preserve"> </w:t>
            </w:r>
            <w:proofErr w:type="spellStart"/>
            <w:r w:rsidRPr="0053280E">
              <w:rPr>
                <w:sz w:val="20"/>
                <w:szCs w:val="20"/>
              </w:rPr>
              <w:t>attempts</w:t>
            </w:r>
            <w:proofErr w:type="spellEnd"/>
            <w:r w:rsidRPr="0053280E">
              <w:rPr>
                <w:sz w:val="20"/>
                <w:szCs w:val="20"/>
              </w:rPr>
              <w:t xml:space="preserve"> at </w:t>
            </w:r>
            <w:proofErr w:type="spellStart"/>
            <w:r w:rsidRPr="0053280E">
              <w:rPr>
                <w:sz w:val="20"/>
                <w:szCs w:val="20"/>
              </w:rPr>
              <w:t>establishing</w:t>
            </w:r>
            <w:proofErr w:type="spellEnd"/>
            <w:r w:rsidRPr="0053280E">
              <w:rPr>
                <w:sz w:val="20"/>
                <w:szCs w:val="20"/>
              </w:rPr>
              <w:t xml:space="preserve"> </w:t>
            </w:r>
            <w:proofErr w:type="spellStart"/>
            <w:r w:rsidRPr="0053280E">
              <w:rPr>
                <w:sz w:val="20"/>
                <w:szCs w:val="20"/>
              </w:rPr>
              <w:t>self</w:t>
            </w:r>
            <w:proofErr w:type="spellEnd"/>
            <w:r w:rsidRPr="0053280E">
              <w:rPr>
                <w:sz w:val="20"/>
                <w:szCs w:val="20"/>
              </w:rPr>
              <w:t>-government“</w:t>
            </w:r>
            <w:r w:rsidRPr="0053280E">
              <w:rPr>
                <w:sz w:val="20"/>
                <w:szCs w:val="20"/>
                <w:vertAlign w:val="superscript"/>
              </w:rPr>
              <w:footnoteReference w:id="1819"/>
            </w:r>
            <w:r w:rsidRPr="0053280E">
              <w:rPr>
                <w:sz w:val="20"/>
                <w:szCs w:val="20"/>
              </w:rPr>
              <w:t xml:space="preserve">). Und die selbstverständlichen Wahrheiten („all </w:t>
            </w:r>
            <w:proofErr w:type="spellStart"/>
            <w:r w:rsidRPr="0053280E">
              <w:rPr>
                <w:sz w:val="20"/>
                <w:szCs w:val="20"/>
              </w:rPr>
              <w:t>men</w:t>
            </w:r>
            <w:proofErr w:type="spellEnd"/>
            <w:r w:rsidRPr="0053280E">
              <w:rPr>
                <w:sz w:val="20"/>
                <w:szCs w:val="20"/>
              </w:rPr>
              <w:t xml:space="preserve"> </w:t>
            </w:r>
            <w:proofErr w:type="spellStart"/>
            <w:r w:rsidRPr="0053280E">
              <w:rPr>
                <w:sz w:val="20"/>
                <w:szCs w:val="20"/>
              </w:rPr>
              <w:t>are</w:t>
            </w:r>
            <w:proofErr w:type="spellEnd"/>
            <w:r w:rsidRPr="0053280E">
              <w:rPr>
                <w:sz w:val="20"/>
                <w:szCs w:val="20"/>
              </w:rPr>
              <w:t xml:space="preserve"> created </w:t>
            </w:r>
            <w:proofErr w:type="spellStart"/>
            <w:r w:rsidRPr="0053280E">
              <w:rPr>
                <w:sz w:val="20"/>
                <w:szCs w:val="20"/>
              </w:rPr>
              <w:t>equal</w:t>
            </w:r>
            <w:proofErr w:type="spellEnd"/>
            <w:r w:rsidRPr="0053280E">
              <w:rPr>
                <w:sz w:val="20"/>
                <w:szCs w:val="20"/>
              </w:rPr>
              <w:t>“</w:t>
            </w:r>
            <w:r w:rsidRPr="0053280E">
              <w:rPr>
                <w:sz w:val="20"/>
                <w:szCs w:val="20"/>
                <w:vertAlign w:val="superscript"/>
              </w:rPr>
              <w:footnoteReference w:id="1820"/>
            </w:r>
            <w:r w:rsidRPr="0053280E">
              <w:rPr>
                <w:sz w:val="20"/>
                <w:szCs w:val="20"/>
              </w:rPr>
              <w:t xml:space="preserve">) und die unveräußerlichen Rechte („Life, Liberty and the </w:t>
            </w:r>
            <w:proofErr w:type="spellStart"/>
            <w:r w:rsidRPr="0053280E">
              <w:rPr>
                <w:sz w:val="20"/>
                <w:szCs w:val="20"/>
              </w:rPr>
              <w:t>pursuit</w:t>
            </w:r>
            <w:proofErr w:type="spellEnd"/>
            <w:r w:rsidRPr="0053280E">
              <w:rPr>
                <w:sz w:val="20"/>
                <w:szCs w:val="20"/>
              </w:rPr>
              <w:t xml:space="preserve"> of Happiness“</w:t>
            </w:r>
            <w:r w:rsidRPr="0053280E">
              <w:rPr>
                <w:sz w:val="20"/>
                <w:szCs w:val="20"/>
                <w:vertAlign w:val="superscript"/>
              </w:rPr>
              <w:footnoteReference w:id="1821"/>
            </w:r>
            <w:r w:rsidRPr="0053280E">
              <w:rPr>
                <w:sz w:val="20"/>
                <w:szCs w:val="20"/>
              </w:rPr>
              <w:t>) begründe</w:t>
            </w:r>
            <w:r>
              <w:rPr>
                <w:sz w:val="20"/>
                <w:szCs w:val="20"/>
              </w:rPr>
              <w:t>te</w:t>
            </w:r>
            <w:r w:rsidRPr="0053280E">
              <w:rPr>
                <w:sz w:val="20"/>
                <w:szCs w:val="20"/>
              </w:rPr>
              <w:t>n gemeinsam die ersten Menschenrechte („</w:t>
            </w:r>
            <w:proofErr w:type="spellStart"/>
            <w:r w:rsidRPr="0053280E">
              <w:rPr>
                <w:sz w:val="20"/>
                <w:szCs w:val="20"/>
              </w:rPr>
              <w:t>denial</w:t>
            </w:r>
            <w:proofErr w:type="spellEnd"/>
            <w:r w:rsidRPr="0053280E">
              <w:rPr>
                <w:sz w:val="20"/>
                <w:szCs w:val="20"/>
              </w:rPr>
              <w:t xml:space="preserve"> of human </w:t>
            </w:r>
            <w:proofErr w:type="spellStart"/>
            <w:r w:rsidRPr="0053280E">
              <w:rPr>
                <w:sz w:val="20"/>
                <w:szCs w:val="20"/>
              </w:rPr>
              <w:t>rights</w:t>
            </w:r>
            <w:proofErr w:type="spellEnd"/>
            <w:r w:rsidRPr="0053280E">
              <w:rPr>
                <w:sz w:val="20"/>
                <w:szCs w:val="20"/>
              </w:rPr>
              <w:t xml:space="preserve"> was </w:t>
            </w:r>
            <w:proofErr w:type="spellStart"/>
            <w:r w:rsidRPr="0053280E">
              <w:rPr>
                <w:sz w:val="20"/>
                <w:szCs w:val="20"/>
              </w:rPr>
              <w:t>etched</w:t>
            </w:r>
            <w:proofErr w:type="spellEnd"/>
            <w:r w:rsidRPr="0053280E">
              <w:rPr>
                <w:sz w:val="20"/>
                <w:szCs w:val="20"/>
              </w:rPr>
              <w:t>“</w:t>
            </w:r>
            <w:r w:rsidRPr="0053280E">
              <w:rPr>
                <w:sz w:val="20"/>
                <w:szCs w:val="20"/>
                <w:vertAlign w:val="superscript"/>
              </w:rPr>
              <w:t xml:space="preserve"> </w:t>
            </w:r>
            <w:r w:rsidRPr="0053280E">
              <w:rPr>
                <w:sz w:val="20"/>
                <w:szCs w:val="20"/>
                <w:vertAlign w:val="superscript"/>
              </w:rPr>
              <w:footnoteReference w:id="1822"/>
            </w:r>
            <w:r w:rsidRPr="0053280E">
              <w:rPr>
                <w:sz w:val="20"/>
                <w:szCs w:val="20"/>
              </w:rPr>
              <w:t>). Und wenn diese durch eine staatliche Maßnahme einschränkt w</w:t>
            </w:r>
            <w:r>
              <w:rPr>
                <w:sz w:val="20"/>
                <w:szCs w:val="20"/>
              </w:rPr>
              <w:t>ü</w:t>
            </w:r>
            <w:r w:rsidRPr="0053280E">
              <w:rPr>
                <w:sz w:val="20"/>
                <w:szCs w:val="20"/>
              </w:rPr>
              <w:t>rden, dann verlange diese Einsch</w:t>
            </w:r>
            <w:r>
              <w:rPr>
                <w:sz w:val="20"/>
                <w:szCs w:val="20"/>
              </w:rPr>
              <w:t>r</w:t>
            </w:r>
            <w:r w:rsidRPr="0053280E">
              <w:rPr>
                <w:sz w:val="20"/>
                <w:szCs w:val="20"/>
              </w:rPr>
              <w:t xml:space="preserve">änkung den </w:t>
            </w:r>
            <w:proofErr w:type="spellStart"/>
            <w:r w:rsidRPr="0053280E">
              <w:rPr>
                <w:sz w:val="20"/>
                <w:szCs w:val="20"/>
              </w:rPr>
              <w:t>strengstmöglichen</w:t>
            </w:r>
            <w:proofErr w:type="spellEnd"/>
            <w:r w:rsidRPr="0053280E">
              <w:rPr>
                <w:sz w:val="20"/>
                <w:szCs w:val="20"/>
              </w:rPr>
              <w:t xml:space="preserve"> Prüfungsmaßstab.</w:t>
            </w:r>
            <w:r w:rsidRPr="0053280E">
              <w:rPr>
                <w:sz w:val="20"/>
                <w:szCs w:val="20"/>
                <w:vertAlign w:val="superscript"/>
              </w:rPr>
              <w:t xml:space="preserve"> </w:t>
            </w:r>
            <w:r w:rsidRPr="0053280E">
              <w:rPr>
                <w:sz w:val="20"/>
                <w:szCs w:val="20"/>
                <w:vertAlign w:val="superscript"/>
              </w:rPr>
              <w:footnoteReference w:id="1823"/>
            </w:r>
          </w:p>
          <w:p w14:paraId="373790A3" w14:textId="77777777" w:rsidR="00074551" w:rsidRPr="00E50B51" w:rsidRDefault="00074551" w:rsidP="00367133">
            <w:pPr>
              <w:jc w:val="both"/>
              <w:rPr>
                <w:sz w:val="20"/>
                <w:szCs w:val="20"/>
              </w:rPr>
            </w:pPr>
          </w:p>
        </w:tc>
      </w:tr>
      <w:tr w:rsidR="00074551" w:rsidRPr="00E50B51" w14:paraId="630602C8" w14:textId="77777777" w:rsidTr="00BE689F">
        <w:trPr>
          <w:cantSplit/>
          <w:trHeight w:val="3175"/>
        </w:trPr>
        <w:tc>
          <w:tcPr>
            <w:tcW w:w="293" w:type="pct"/>
          </w:tcPr>
          <w:p w14:paraId="5072A17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8AA2342" w14:textId="77777777" w:rsidR="00074551" w:rsidRPr="00E50B51" w:rsidRDefault="00074551" w:rsidP="00367133">
            <w:pPr>
              <w:ind w:left="113" w:right="416"/>
              <w:jc w:val="both"/>
              <w:rPr>
                <w:sz w:val="20"/>
                <w:szCs w:val="20"/>
                <w:lang w:val="en-US"/>
              </w:rPr>
            </w:pPr>
            <w:r w:rsidRPr="009167A5">
              <w:rPr>
                <w:i/>
                <w:sz w:val="20"/>
                <w:szCs w:val="20"/>
              </w:rPr>
              <w:t xml:space="preserve">Washington v. </w:t>
            </w:r>
            <w:proofErr w:type="spellStart"/>
            <w:r w:rsidRPr="009167A5">
              <w:rPr>
                <w:i/>
                <w:sz w:val="20"/>
                <w:szCs w:val="20"/>
              </w:rPr>
              <w:t>Glucksberg</w:t>
            </w:r>
            <w:proofErr w:type="spellEnd"/>
          </w:p>
        </w:tc>
        <w:tc>
          <w:tcPr>
            <w:tcW w:w="197" w:type="pct"/>
            <w:textDirection w:val="tbRl"/>
            <w:vAlign w:val="center"/>
          </w:tcPr>
          <w:p w14:paraId="12177591" w14:textId="77777777" w:rsidR="00074551" w:rsidRPr="00E50B51" w:rsidRDefault="00074551" w:rsidP="00367133">
            <w:pPr>
              <w:ind w:left="113" w:right="113"/>
              <w:jc w:val="both"/>
              <w:rPr>
                <w:sz w:val="20"/>
                <w:szCs w:val="20"/>
                <w:lang w:val="en-US"/>
              </w:rPr>
            </w:pPr>
            <w:r w:rsidRPr="00E50B51">
              <w:rPr>
                <w:sz w:val="20"/>
                <w:szCs w:val="20"/>
                <w:lang w:val="en-US"/>
              </w:rPr>
              <w:t>521 U.S. 702</w:t>
            </w:r>
          </w:p>
        </w:tc>
        <w:tc>
          <w:tcPr>
            <w:tcW w:w="306" w:type="pct"/>
            <w:textDirection w:val="tbRl"/>
            <w:vAlign w:val="center"/>
          </w:tcPr>
          <w:p w14:paraId="2906064E" w14:textId="77777777" w:rsidR="00074551" w:rsidRPr="00E50B51" w:rsidRDefault="00074551" w:rsidP="00367133">
            <w:pPr>
              <w:ind w:left="113" w:right="113"/>
              <w:jc w:val="both"/>
              <w:rPr>
                <w:sz w:val="20"/>
                <w:szCs w:val="20"/>
                <w:lang w:val="en-US"/>
              </w:rPr>
            </w:pPr>
            <w:r w:rsidRPr="00E50B51">
              <w:rPr>
                <w:sz w:val="20"/>
                <w:szCs w:val="20"/>
              </w:rPr>
              <w:t>26. Juni 1997</w:t>
            </w:r>
          </w:p>
        </w:tc>
        <w:tc>
          <w:tcPr>
            <w:tcW w:w="401" w:type="pct"/>
          </w:tcPr>
          <w:p w14:paraId="672CB4E0" w14:textId="77777777" w:rsidR="00074551" w:rsidRPr="00E50B51" w:rsidRDefault="00074551" w:rsidP="00367133">
            <w:pPr>
              <w:jc w:val="center"/>
              <w:rPr>
                <w:sz w:val="20"/>
                <w:szCs w:val="20"/>
              </w:rPr>
            </w:pPr>
            <w:r w:rsidRPr="00E50B51">
              <w:rPr>
                <w:sz w:val="20"/>
                <w:szCs w:val="20"/>
              </w:rPr>
              <w:t>C</w:t>
            </w:r>
          </w:p>
        </w:tc>
        <w:tc>
          <w:tcPr>
            <w:tcW w:w="1594" w:type="pct"/>
          </w:tcPr>
          <w:p w14:paraId="3923EDB6" w14:textId="77777777" w:rsidR="00074551" w:rsidRPr="00E50B51" w:rsidRDefault="00074551" w:rsidP="00367133">
            <w:pPr>
              <w:jc w:val="both"/>
              <w:rPr>
                <w:sz w:val="20"/>
                <w:szCs w:val="20"/>
              </w:rPr>
            </w:pPr>
            <w:r w:rsidRPr="00E50B51">
              <w:rPr>
                <w:sz w:val="20"/>
                <w:szCs w:val="20"/>
              </w:rPr>
              <w:t>*</w:t>
            </w:r>
          </w:p>
          <w:p w14:paraId="32632E05" w14:textId="77777777" w:rsidR="00074551" w:rsidRPr="00E50B51" w:rsidRDefault="00074551" w:rsidP="00367133">
            <w:pPr>
              <w:jc w:val="both"/>
              <w:rPr>
                <w:sz w:val="20"/>
                <w:szCs w:val="20"/>
              </w:rPr>
            </w:pPr>
          </w:p>
        </w:tc>
        <w:tc>
          <w:tcPr>
            <w:tcW w:w="1822" w:type="pct"/>
          </w:tcPr>
          <w:p w14:paraId="21E9338F" w14:textId="4D9FDB53" w:rsidR="00074551" w:rsidRPr="0053280E" w:rsidRDefault="00074551" w:rsidP="00367133">
            <w:pPr>
              <w:jc w:val="both"/>
              <w:rPr>
                <w:sz w:val="20"/>
                <w:szCs w:val="20"/>
              </w:rPr>
            </w:pPr>
            <w:r w:rsidRPr="0053280E">
              <w:rPr>
                <w:sz w:val="20"/>
                <w:szCs w:val="20"/>
              </w:rPr>
              <w:t xml:space="preserve">Zum </w:t>
            </w:r>
            <w:proofErr w:type="spellStart"/>
            <w:r w:rsidRPr="5B67C1D2">
              <w:rPr>
                <w:i/>
                <w:iCs/>
                <w:sz w:val="20"/>
                <w:szCs w:val="20"/>
              </w:rPr>
              <w:t>judicial</w:t>
            </w:r>
            <w:proofErr w:type="spellEnd"/>
            <w:r w:rsidRPr="5B67C1D2">
              <w:rPr>
                <w:i/>
                <w:iCs/>
                <w:sz w:val="20"/>
                <w:szCs w:val="20"/>
              </w:rPr>
              <w:t xml:space="preserve"> review</w:t>
            </w:r>
            <w:r w:rsidRPr="0053280E">
              <w:rPr>
                <w:sz w:val="20"/>
                <w:szCs w:val="20"/>
              </w:rPr>
              <w:t xml:space="preserve"> schrieb der </w:t>
            </w:r>
            <w:r>
              <w:rPr>
                <w:sz w:val="20"/>
                <w:szCs w:val="20"/>
              </w:rPr>
              <w:t>U.S. Supreme Court</w:t>
            </w:r>
            <w:r w:rsidRPr="0053280E">
              <w:rPr>
                <w:sz w:val="20"/>
                <w:szCs w:val="20"/>
              </w:rPr>
              <w:t xml:space="preserve"> in einem weiteren Fall: Wenn ein Freiheitsinteresse („</w:t>
            </w:r>
            <w:proofErr w:type="spellStart"/>
            <w:r w:rsidRPr="0053280E">
              <w:rPr>
                <w:sz w:val="20"/>
                <w:szCs w:val="20"/>
              </w:rPr>
              <w:t>liberty</w:t>
            </w:r>
            <w:proofErr w:type="spellEnd"/>
            <w:r w:rsidRPr="0053280E">
              <w:rPr>
                <w:sz w:val="20"/>
                <w:szCs w:val="20"/>
              </w:rPr>
              <w:t xml:space="preserve"> </w:t>
            </w:r>
            <w:proofErr w:type="spellStart"/>
            <w:r w:rsidRPr="0053280E">
              <w:rPr>
                <w:sz w:val="20"/>
                <w:szCs w:val="20"/>
              </w:rPr>
              <w:t>interest</w:t>
            </w:r>
            <w:proofErr w:type="spellEnd"/>
            <w:r w:rsidRPr="0053280E">
              <w:rPr>
                <w:sz w:val="20"/>
                <w:szCs w:val="20"/>
              </w:rPr>
              <w:t>“</w:t>
            </w:r>
            <w:r w:rsidRPr="0053280E">
              <w:rPr>
                <w:sz w:val="20"/>
                <w:szCs w:val="20"/>
                <w:vertAlign w:val="superscript"/>
              </w:rPr>
              <w:footnoteReference w:id="1824"/>
            </w:r>
            <w:r w:rsidRPr="0053280E">
              <w:rPr>
                <w:sz w:val="20"/>
                <w:szCs w:val="20"/>
              </w:rPr>
              <w:t>) seit zweihundert Jahren im allgemeinen Einvernehmen praktiziert w</w:t>
            </w:r>
            <w:r>
              <w:rPr>
                <w:sz w:val="20"/>
                <w:szCs w:val="20"/>
              </w:rPr>
              <w:t>e</w:t>
            </w:r>
            <w:r w:rsidRPr="0053280E">
              <w:rPr>
                <w:sz w:val="20"/>
                <w:szCs w:val="20"/>
              </w:rPr>
              <w:t>rd</w:t>
            </w:r>
            <w:r>
              <w:rPr>
                <w:sz w:val="20"/>
                <w:szCs w:val="20"/>
              </w:rPr>
              <w:t>e</w:t>
            </w:r>
            <w:r w:rsidRPr="0053280E">
              <w:rPr>
                <w:sz w:val="20"/>
                <w:szCs w:val="20"/>
              </w:rPr>
              <w:t xml:space="preserve">, </w:t>
            </w:r>
            <w:r>
              <w:rPr>
                <w:sz w:val="20"/>
                <w:szCs w:val="20"/>
              </w:rPr>
              <w:t>bedürfe</w:t>
            </w:r>
            <w:r w:rsidRPr="0053280E">
              <w:rPr>
                <w:sz w:val="20"/>
                <w:szCs w:val="20"/>
              </w:rPr>
              <w:t xml:space="preserve"> es eines starken Arguments („strong </w:t>
            </w:r>
            <w:proofErr w:type="spellStart"/>
            <w:r w:rsidRPr="0053280E">
              <w:rPr>
                <w:sz w:val="20"/>
                <w:szCs w:val="20"/>
              </w:rPr>
              <w:t>case</w:t>
            </w:r>
            <w:proofErr w:type="spellEnd"/>
            <w:r w:rsidRPr="0053280E">
              <w:rPr>
                <w:sz w:val="20"/>
                <w:szCs w:val="20"/>
              </w:rPr>
              <w:t> “</w:t>
            </w:r>
            <w:r w:rsidRPr="0053280E">
              <w:rPr>
                <w:sz w:val="20"/>
                <w:szCs w:val="20"/>
                <w:vertAlign w:val="superscript"/>
              </w:rPr>
              <w:footnoteReference w:id="1825"/>
            </w:r>
            <w:r w:rsidRPr="0053280E">
              <w:rPr>
                <w:sz w:val="20"/>
                <w:szCs w:val="20"/>
              </w:rPr>
              <w:t>),</w:t>
            </w:r>
            <w:r>
              <w:rPr>
                <w:sz w:val="20"/>
                <w:szCs w:val="20"/>
              </w:rPr>
              <w:t xml:space="preserve"> um</w:t>
            </w:r>
            <w:r w:rsidRPr="0053280E">
              <w:rPr>
                <w:sz w:val="20"/>
                <w:szCs w:val="20"/>
              </w:rPr>
              <w:t xml:space="preserve"> das das Freiheitsinteresse schützende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53280E">
              <w:rPr>
                <w:sz w:val="20"/>
                <w:szCs w:val="20"/>
              </w:rPr>
              <w:t xml:space="preserve"> einzuschränken.</w:t>
            </w:r>
            <w:r w:rsidRPr="0053280E">
              <w:rPr>
                <w:sz w:val="20"/>
                <w:szCs w:val="20"/>
                <w:vertAlign w:val="superscript"/>
              </w:rPr>
              <w:footnoteReference w:id="1826"/>
            </w:r>
            <w:r w:rsidRPr="0053280E">
              <w:rPr>
                <w:sz w:val="20"/>
                <w:szCs w:val="20"/>
              </w:rPr>
              <w:t xml:space="preserve"> Doch woher kommt diese erhöhte Anforderung an die Einschränkung? Aus der allgemeinen Handlungsfreiheit („personal </w:t>
            </w:r>
            <w:proofErr w:type="spellStart"/>
            <w:r w:rsidRPr="0053280E">
              <w:rPr>
                <w:sz w:val="20"/>
                <w:szCs w:val="20"/>
              </w:rPr>
              <w:t>activities</w:t>
            </w:r>
            <w:proofErr w:type="spellEnd"/>
            <w:r w:rsidRPr="0053280E">
              <w:rPr>
                <w:sz w:val="20"/>
                <w:szCs w:val="20"/>
              </w:rPr>
              <w:t xml:space="preserve"> and </w:t>
            </w:r>
            <w:proofErr w:type="spellStart"/>
            <w:r w:rsidRPr="0053280E">
              <w:rPr>
                <w:sz w:val="20"/>
                <w:szCs w:val="20"/>
              </w:rPr>
              <w:t>decisions</w:t>
            </w:r>
            <w:proofErr w:type="spellEnd"/>
            <w:r w:rsidRPr="0053280E">
              <w:rPr>
                <w:sz w:val="20"/>
                <w:szCs w:val="20"/>
              </w:rPr>
              <w:t>“</w:t>
            </w:r>
            <w:r w:rsidRPr="0053280E">
              <w:rPr>
                <w:sz w:val="20"/>
                <w:szCs w:val="20"/>
                <w:vertAlign w:val="superscript"/>
              </w:rPr>
              <w:footnoteReference w:id="1827"/>
            </w:r>
            <w:r w:rsidRPr="0053280E">
              <w:rPr>
                <w:sz w:val="20"/>
                <w:szCs w:val="20"/>
              </w:rPr>
              <w:t>). Die</w:t>
            </w:r>
            <w:r>
              <w:rPr>
                <w:sz w:val="20"/>
                <w:szCs w:val="20"/>
              </w:rPr>
              <w:t>se</w:t>
            </w:r>
            <w:r w:rsidRPr="0053280E">
              <w:rPr>
                <w:sz w:val="20"/>
                <w:szCs w:val="20"/>
              </w:rPr>
              <w:t xml:space="preserve"> sei tief in der Geschichte und </w:t>
            </w:r>
            <w:r>
              <w:rPr>
                <w:sz w:val="20"/>
                <w:szCs w:val="20"/>
              </w:rPr>
              <w:t xml:space="preserve">den </w:t>
            </w:r>
            <w:r w:rsidRPr="0053280E">
              <w:rPr>
                <w:sz w:val="20"/>
                <w:szCs w:val="20"/>
              </w:rPr>
              <w:t xml:space="preserve">Traditionen der Vereinigten Staaten verwurzelt und grundlegend für das Konzept der verfassungsmäßig verankerten Freiheit. Denn sie gehöre zu den sog. lebenswichtigen persönlichen Rechten, die für ein geordnetes Streben nach Glück unerlässlich sind („vital personal </w:t>
            </w:r>
            <w:proofErr w:type="spellStart"/>
            <w:r w:rsidRPr="0053280E">
              <w:rPr>
                <w:sz w:val="20"/>
                <w:szCs w:val="20"/>
              </w:rPr>
              <w:t>rights</w:t>
            </w:r>
            <w:proofErr w:type="spellEnd"/>
            <w:r w:rsidRPr="0053280E">
              <w:rPr>
                <w:sz w:val="20"/>
                <w:szCs w:val="20"/>
              </w:rPr>
              <w:t xml:space="preserve"> essential to the </w:t>
            </w:r>
            <w:proofErr w:type="spellStart"/>
            <w:r w:rsidRPr="0053280E">
              <w:rPr>
                <w:sz w:val="20"/>
                <w:szCs w:val="20"/>
              </w:rPr>
              <w:t>orderly</w:t>
            </w:r>
            <w:proofErr w:type="spellEnd"/>
            <w:r w:rsidRPr="0053280E">
              <w:rPr>
                <w:sz w:val="20"/>
                <w:szCs w:val="20"/>
              </w:rPr>
              <w:t xml:space="preserve"> </w:t>
            </w:r>
            <w:proofErr w:type="spellStart"/>
            <w:r w:rsidRPr="0053280E">
              <w:rPr>
                <w:sz w:val="20"/>
                <w:szCs w:val="20"/>
              </w:rPr>
              <w:t>pursuit</w:t>
            </w:r>
            <w:proofErr w:type="spellEnd"/>
            <w:r w:rsidRPr="0053280E">
              <w:rPr>
                <w:sz w:val="20"/>
                <w:szCs w:val="20"/>
              </w:rPr>
              <w:t xml:space="preserve"> of </w:t>
            </w:r>
            <w:proofErr w:type="spellStart"/>
            <w:r w:rsidRPr="0053280E">
              <w:rPr>
                <w:sz w:val="20"/>
                <w:szCs w:val="20"/>
              </w:rPr>
              <w:t>happiness</w:t>
            </w:r>
            <w:proofErr w:type="spellEnd"/>
            <w:r w:rsidRPr="0053280E">
              <w:rPr>
                <w:sz w:val="20"/>
                <w:szCs w:val="20"/>
              </w:rPr>
              <w:t>“</w:t>
            </w:r>
            <w:r w:rsidRPr="0053280E">
              <w:rPr>
                <w:sz w:val="20"/>
                <w:szCs w:val="20"/>
                <w:vertAlign w:val="superscript"/>
              </w:rPr>
              <w:footnoteReference w:id="1828"/>
            </w:r>
            <w:r w:rsidRPr="0053280E">
              <w:rPr>
                <w:sz w:val="20"/>
                <w:szCs w:val="20"/>
              </w:rPr>
              <w:t xml:space="preserve">). Gemeint seien damit jene Vorrechte, die seit langem nach dem Gewohnheitsrecht als wesentlich für das geordnete Streben nach Glück durch freie Menschen anerkannt </w:t>
            </w:r>
            <w:r>
              <w:rPr>
                <w:sz w:val="20"/>
                <w:szCs w:val="20"/>
              </w:rPr>
              <w:t>seien</w:t>
            </w:r>
            <w:r w:rsidRPr="0053280E">
              <w:rPr>
                <w:sz w:val="20"/>
                <w:szCs w:val="20"/>
              </w:rPr>
              <w:t xml:space="preserve"> („</w:t>
            </w:r>
            <w:proofErr w:type="spellStart"/>
            <w:r w:rsidRPr="0053280E">
              <w:rPr>
                <w:sz w:val="20"/>
                <w:szCs w:val="20"/>
              </w:rPr>
              <w:t>those</w:t>
            </w:r>
            <w:proofErr w:type="spellEnd"/>
            <w:r w:rsidRPr="0053280E">
              <w:rPr>
                <w:sz w:val="20"/>
                <w:szCs w:val="20"/>
              </w:rPr>
              <w:t xml:space="preserve"> </w:t>
            </w:r>
            <w:proofErr w:type="spellStart"/>
            <w:r w:rsidRPr="0053280E">
              <w:rPr>
                <w:sz w:val="20"/>
                <w:szCs w:val="20"/>
              </w:rPr>
              <w:t>privileges</w:t>
            </w:r>
            <w:proofErr w:type="spellEnd"/>
            <w:r w:rsidRPr="0053280E">
              <w:rPr>
                <w:sz w:val="20"/>
                <w:szCs w:val="20"/>
              </w:rPr>
              <w:t xml:space="preserve"> </w:t>
            </w:r>
            <w:proofErr w:type="spellStart"/>
            <w:r w:rsidRPr="0053280E">
              <w:rPr>
                <w:sz w:val="20"/>
                <w:szCs w:val="20"/>
              </w:rPr>
              <w:t>long</w:t>
            </w:r>
            <w:proofErr w:type="spellEnd"/>
            <w:r w:rsidRPr="0053280E">
              <w:rPr>
                <w:sz w:val="20"/>
                <w:szCs w:val="20"/>
              </w:rPr>
              <w:t xml:space="preserve"> </w:t>
            </w:r>
            <w:proofErr w:type="spellStart"/>
            <w:r w:rsidRPr="0053280E">
              <w:rPr>
                <w:sz w:val="20"/>
                <w:szCs w:val="20"/>
              </w:rPr>
              <w:t>recognized</w:t>
            </w:r>
            <w:proofErr w:type="spellEnd"/>
            <w:r w:rsidRPr="0053280E">
              <w:rPr>
                <w:sz w:val="20"/>
                <w:szCs w:val="20"/>
              </w:rPr>
              <w:t xml:space="preserve"> at </w:t>
            </w:r>
            <w:proofErr w:type="spellStart"/>
            <w:r w:rsidRPr="0053280E">
              <w:rPr>
                <w:sz w:val="20"/>
                <w:szCs w:val="20"/>
              </w:rPr>
              <w:t>common</w:t>
            </w:r>
            <w:proofErr w:type="spellEnd"/>
            <w:r w:rsidRPr="0053280E">
              <w:rPr>
                <w:sz w:val="20"/>
                <w:szCs w:val="20"/>
              </w:rPr>
              <w:t xml:space="preserve"> </w:t>
            </w:r>
            <w:proofErr w:type="spellStart"/>
            <w:r w:rsidRPr="0053280E">
              <w:rPr>
                <w:sz w:val="20"/>
                <w:szCs w:val="20"/>
              </w:rPr>
              <w:t>law</w:t>
            </w:r>
            <w:proofErr w:type="spellEnd"/>
            <w:r w:rsidRPr="0053280E">
              <w:rPr>
                <w:sz w:val="20"/>
                <w:szCs w:val="20"/>
              </w:rPr>
              <w:t xml:space="preserve"> as essential to the </w:t>
            </w:r>
            <w:proofErr w:type="spellStart"/>
            <w:r w:rsidRPr="0053280E">
              <w:rPr>
                <w:sz w:val="20"/>
                <w:szCs w:val="20"/>
              </w:rPr>
              <w:t>orderly</w:t>
            </w:r>
            <w:proofErr w:type="spellEnd"/>
            <w:r w:rsidRPr="0053280E">
              <w:rPr>
                <w:sz w:val="20"/>
                <w:szCs w:val="20"/>
              </w:rPr>
              <w:t xml:space="preserve"> </w:t>
            </w:r>
            <w:proofErr w:type="spellStart"/>
            <w:r w:rsidRPr="0053280E">
              <w:rPr>
                <w:sz w:val="20"/>
                <w:szCs w:val="20"/>
              </w:rPr>
              <w:t>pursuit</w:t>
            </w:r>
            <w:proofErr w:type="spellEnd"/>
            <w:r w:rsidRPr="0053280E">
              <w:rPr>
                <w:sz w:val="20"/>
                <w:szCs w:val="20"/>
              </w:rPr>
              <w:t xml:space="preserve"> of </w:t>
            </w:r>
            <w:proofErr w:type="spellStart"/>
            <w:r w:rsidRPr="0053280E">
              <w:rPr>
                <w:sz w:val="20"/>
                <w:szCs w:val="20"/>
              </w:rPr>
              <w:t>happiness</w:t>
            </w:r>
            <w:proofErr w:type="spellEnd"/>
            <w:r w:rsidRPr="0053280E">
              <w:rPr>
                <w:sz w:val="20"/>
                <w:szCs w:val="20"/>
              </w:rPr>
              <w:t xml:space="preserve"> by </w:t>
            </w:r>
            <w:proofErr w:type="spellStart"/>
            <w:r w:rsidRPr="0053280E">
              <w:rPr>
                <w:sz w:val="20"/>
                <w:szCs w:val="20"/>
              </w:rPr>
              <w:t>free</w:t>
            </w:r>
            <w:proofErr w:type="spellEnd"/>
            <w:r w:rsidRPr="0053280E">
              <w:rPr>
                <w:sz w:val="20"/>
                <w:szCs w:val="20"/>
              </w:rPr>
              <w:t xml:space="preserve"> </w:t>
            </w:r>
            <w:proofErr w:type="spellStart"/>
            <w:r w:rsidRPr="0053280E">
              <w:rPr>
                <w:sz w:val="20"/>
                <w:szCs w:val="20"/>
              </w:rPr>
              <w:t>men</w:t>
            </w:r>
            <w:proofErr w:type="spellEnd"/>
            <w:r w:rsidRPr="0053280E">
              <w:rPr>
                <w:sz w:val="20"/>
                <w:szCs w:val="20"/>
              </w:rPr>
              <w:t>“</w:t>
            </w:r>
            <w:r w:rsidRPr="0053280E">
              <w:rPr>
                <w:sz w:val="20"/>
                <w:szCs w:val="20"/>
                <w:vertAlign w:val="superscript"/>
              </w:rPr>
              <w:footnoteReference w:id="1829"/>
            </w:r>
            <w:r w:rsidRPr="0053280E">
              <w:rPr>
                <w:sz w:val="20"/>
                <w:szCs w:val="20"/>
              </w:rPr>
              <w:t>).</w:t>
            </w:r>
          </w:p>
          <w:p w14:paraId="0A6BC234" w14:textId="77777777" w:rsidR="00074551" w:rsidRPr="00E50B51" w:rsidRDefault="00074551" w:rsidP="00367133">
            <w:pPr>
              <w:jc w:val="both"/>
              <w:rPr>
                <w:sz w:val="20"/>
                <w:szCs w:val="20"/>
              </w:rPr>
            </w:pPr>
          </w:p>
        </w:tc>
      </w:tr>
      <w:tr w:rsidR="00074551" w:rsidRPr="00E50B51" w14:paraId="2B70B410" w14:textId="77777777" w:rsidTr="00BE689F">
        <w:trPr>
          <w:cantSplit/>
          <w:trHeight w:val="3175"/>
        </w:trPr>
        <w:tc>
          <w:tcPr>
            <w:tcW w:w="293" w:type="pct"/>
          </w:tcPr>
          <w:p w14:paraId="78A58DD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23F737C" w14:textId="77777777" w:rsidR="00074551" w:rsidRPr="00E50B51" w:rsidRDefault="00074551" w:rsidP="00367133">
            <w:pPr>
              <w:ind w:left="113" w:right="416"/>
              <w:jc w:val="both"/>
              <w:rPr>
                <w:sz w:val="20"/>
                <w:szCs w:val="20"/>
              </w:rPr>
            </w:pPr>
            <w:r w:rsidRPr="00B35CD0">
              <w:rPr>
                <w:i/>
                <w:sz w:val="20"/>
                <w:szCs w:val="20"/>
              </w:rPr>
              <w:t xml:space="preserve">Zablocki v. </w:t>
            </w:r>
            <w:proofErr w:type="spellStart"/>
            <w:r w:rsidRPr="00B35CD0">
              <w:rPr>
                <w:i/>
                <w:sz w:val="20"/>
                <w:szCs w:val="20"/>
              </w:rPr>
              <w:t>Redhail</w:t>
            </w:r>
            <w:proofErr w:type="spellEnd"/>
          </w:p>
        </w:tc>
        <w:tc>
          <w:tcPr>
            <w:tcW w:w="197" w:type="pct"/>
            <w:textDirection w:val="tbRl"/>
            <w:vAlign w:val="center"/>
          </w:tcPr>
          <w:p w14:paraId="573E119F" w14:textId="77777777" w:rsidR="00074551" w:rsidRPr="00E50B51" w:rsidRDefault="00074551" w:rsidP="00367133">
            <w:pPr>
              <w:ind w:left="113" w:right="113"/>
              <w:jc w:val="both"/>
              <w:rPr>
                <w:sz w:val="20"/>
                <w:szCs w:val="20"/>
              </w:rPr>
            </w:pPr>
            <w:r w:rsidRPr="00E50B51">
              <w:rPr>
                <w:sz w:val="20"/>
                <w:szCs w:val="20"/>
                <w:lang w:val="en-US"/>
              </w:rPr>
              <w:t>434 U.S. 374</w:t>
            </w:r>
          </w:p>
        </w:tc>
        <w:tc>
          <w:tcPr>
            <w:tcW w:w="306" w:type="pct"/>
            <w:textDirection w:val="tbRl"/>
            <w:vAlign w:val="center"/>
          </w:tcPr>
          <w:p w14:paraId="0336D5BD" w14:textId="77777777" w:rsidR="00074551" w:rsidRPr="00E50B51" w:rsidRDefault="00074551" w:rsidP="00367133">
            <w:pPr>
              <w:ind w:left="113" w:right="113"/>
              <w:jc w:val="both"/>
              <w:rPr>
                <w:sz w:val="20"/>
                <w:szCs w:val="20"/>
              </w:rPr>
            </w:pPr>
            <w:r w:rsidRPr="00E50B51">
              <w:rPr>
                <w:sz w:val="20"/>
                <w:szCs w:val="20"/>
              </w:rPr>
              <w:t>18. Januar 1978</w:t>
            </w:r>
          </w:p>
        </w:tc>
        <w:tc>
          <w:tcPr>
            <w:tcW w:w="401" w:type="pct"/>
          </w:tcPr>
          <w:p w14:paraId="69B25706" w14:textId="77777777" w:rsidR="00074551" w:rsidRPr="00E50B51" w:rsidRDefault="00074551" w:rsidP="00367133">
            <w:pPr>
              <w:jc w:val="center"/>
              <w:rPr>
                <w:sz w:val="20"/>
                <w:szCs w:val="20"/>
              </w:rPr>
            </w:pPr>
            <w:r w:rsidRPr="00E50B51">
              <w:rPr>
                <w:sz w:val="20"/>
                <w:szCs w:val="20"/>
              </w:rPr>
              <w:t>M/C</w:t>
            </w:r>
          </w:p>
        </w:tc>
        <w:tc>
          <w:tcPr>
            <w:tcW w:w="1594" w:type="pct"/>
          </w:tcPr>
          <w:p w14:paraId="79C17731" w14:textId="77777777" w:rsidR="00074551" w:rsidRPr="00E50B51" w:rsidRDefault="00074551" w:rsidP="00367133">
            <w:pPr>
              <w:jc w:val="both"/>
              <w:rPr>
                <w:sz w:val="20"/>
                <w:szCs w:val="20"/>
              </w:rPr>
            </w:pPr>
            <w:r w:rsidRPr="00E50B51">
              <w:rPr>
                <w:sz w:val="20"/>
                <w:szCs w:val="20"/>
              </w:rPr>
              <w:t>*</w:t>
            </w:r>
          </w:p>
        </w:tc>
        <w:tc>
          <w:tcPr>
            <w:tcW w:w="1822" w:type="pct"/>
          </w:tcPr>
          <w:p w14:paraId="3791F727" w14:textId="77777777" w:rsidR="00074551" w:rsidRDefault="00074551" w:rsidP="00367133">
            <w:pPr>
              <w:jc w:val="both"/>
              <w:rPr>
                <w:sz w:val="20"/>
                <w:szCs w:val="20"/>
              </w:rPr>
            </w:pPr>
            <w:r w:rsidRPr="004A434C">
              <w:rPr>
                <w:sz w:val="20"/>
                <w:szCs w:val="20"/>
              </w:rPr>
              <w:t xml:space="preserve">Der </w:t>
            </w:r>
            <w:r>
              <w:rPr>
                <w:sz w:val="20"/>
                <w:szCs w:val="20"/>
              </w:rPr>
              <w:t>U.S. Supreme Court</w:t>
            </w:r>
            <w:r w:rsidRPr="004A434C">
              <w:rPr>
                <w:sz w:val="20"/>
                <w:szCs w:val="20"/>
              </w:rPr>
              <w:t xml:space="preserve"> er</w:t>
            </w:r>
            <w:r w:rsidR="005B606F">
              <w:rPr>
                <w:sz w:val="20"/>
                <w:szCs w:val="20"/>
              </w:rPr>
              <w:t>höht</w:t>
            </w:r>
            <w:r w:rsidRPr="004A434C">
              <w:rPr>
                <w:sz w:val="20"/>
                <w:szCs w:val="20"/>
              </w:rPr>
              <w:t xml:space="preserve"> abermals </w:t>
            </w:r>
            <w:r>
              <w:rPr>
                <w:sz w:val="20"/>
                <w:szCs w:val="20"/>
              </w:rPr>
              <w:t>den</w:t>
            </w:r>
            <w:r w:rsidRPr="004A434C">
              <w:rPr>
                <w:sz w:val="20"/>
                <w:szCs w:val="20"/>
              </w:rPr>
              <w:t xml:space="preserve"> Prüfmaßstab für Gesetze, die das Streben nach Glück betreffen. Zum </w:t>
            </w:r>
            <w:proofErr w:type="spellStart"/>
            <w:r w:rsidRPr="5B67C1D2">
              <w:rPr>
                <w:i/>
                <w:iCs/>
                <w:sz w:val="20"/>
                <w:szCs w:val="20"/>
              </w:rPr>
              <w:t>judicial</w:t>
            </w:r>
            <w:proofErr w:type="spellEnd"/>
            <w:r w:rsidRPr="5B67C1D2">
              <w:rPr>
                <w:i/>
                <w:iCs/>
                <w:sz w:val="20"/>
                <w:szCs w:val="20"/>
              </w:rPr>
              <w:t xml:space="preserve"> review</w:t>
            </w:r>
            <w:r w:rsidRPr="004A434C">
              <w:rPr>
                <w:sz w:val="20"/>
                <w:szCs w:val="20"/>
              </w:rPr>
              <w:t xml:space="preserve"> heißt es: Wenn eine Klassifizierung durch Gesetz erheblich in die Ausübung eines Grundrechts („fundamental </w:t>
            </w:r>
            <w:proofErr w:type="spellStart"/>
            <w:r w:rsidRPr="004A434C">
              <w:rPr>
                <w:sz w:val="20"/>
                <w:szCs w:val="20"/>
              </w:rPr>
              <w:t>right</w:t>
            </w:r>
            <w:proofErr w:type="spellEnd"/>
            <w:r w:rsidRPr="004A434C">
              <w:rPr>
                <w:sz w:val="20"/>
                <w:szCs w:val="20"/>
              </w:rPr>
              <w:t>“</w:t>
            </w:r>
            <w:r w:rsidRPr="004A434C">
              <w:rPr>
                <w:sz w:val="20"/>
                <w:szCs w:val="20"/>
                <w:vertAlign w:val="superscript"/>
              </w:rPr>
              <w:footnoteReference w:id="1830"/>
            </w:r>
            <w:r w:rsidRPr="004A434C">
              <w:rPr>
                <w:sz w:val="20"/>
                <w:szCs w:val="20"/>
              </w:rPr>
              <w:t xml:space="preserve">) eingreife, dann </w:t>
            </w:r>
            <w:r>
              <w:rPr>
                <w:sz w:val="20"/>
                <w:szCs w:val="20"/>
              </w:rPr>
              <w:t>könne</w:t>
            </w:r>
            <w:r w:rsidRPr="004A434C">
              <w:rPr>
                <w:sz w:val="20"/>
                <w:szCs w:val="20"/>
              </w:rPr>
              <w:t xml:space="preserve"> sie nicht aufrechterhalten werden. Es sei denn, ein hinreichend wichtiges staatliches Interesse („</w:t>
            </w:r>
            <w:proofErr w:type="spellStart"/>
            <w:r w:rsidRPr="004A434C">
              <w:rPr>
                <w:sz w:val="20"/>
                <w:szCs w:val="20"/>
              </w:rPr>
              <w:t>sufficiently</w:t>
            </w:r>
            <w:proofErr w:type="spellEnd"/>
            <w:r w:rsidRPr="004A434C">
              <w:rPr>
                <w:sz w:val="20"/>
                <w:szCs w:val="20"/>
              </w:rPr>
              <w:t xml:space="preserve"> important </w:t>
            </w:r>
            <w:proofErr w:type="spellStart"/>
            <w:r w:rsidRPr="004A434C">
              <w:rPr>
                <w:sz w:val="20"/>
                <w:szCs w:val="20"/>
              </w:rPr>
              <w:t>state</w:t>
            </w:r>
            <w:proofErr w:type="spellEnd"/>
            <w:r w:rsidRPr="004A434C">
              <w:rPr>
                <w:sz w:val="20"/>
                <w:szCs w:val="20"/>
              </w:rPr>
              <w:t xml:space="preserve"> </w:t>
            </w:r>
            <w:proofErr w:type="spellStart"/>
            <w:r w:rsidRPr="004A434C">
              <w:rPr>
                <w:sz w:val="20"/>
                <w:szCs w:val="20"/>
              </w:rPr>
              <w:t>interests</w:t>
            </w:r>
            <w:proofErr w:type="spellEnd"/>
            <w:r w:rsidRPr="004A434C">
              <w:rPr>
                <w:sz w:val="20"/>
                <w:szCs w:val="20"/>
              </w:rPr>
              <w:t>“</w:t>
            </w:r>
            <w:r w:rsidRPr="004A434C">
              <w:rPr>
                <w:sz w:val="20"/>
                <w:szCs w:val="20"/>
                <w:vertAlign w:val="superscript"/>
              </w:rPr>
              <w:t xml:space="preserve"> </w:t>
            </w:r>
            <w:r w:rsidRPr="004A434C">
              <w:rPr>
                <w:sz w:val="20"/>
                <w:szCs w:val="20"/>
                <w:vertAlign w:val="superscript"/>
              </w:rPr>
              <w:footnoteReference w:id="1831"/>
            </w:r>
            <w:r w:rsidRPr="004A434C">
              <w:rPr>
                <w:sz w:val="20"/>
                <w:szCs w:val="20"/>
              </w:rPr>
              <w:t xml:space="preserve">) stütze die Klassifizierung und </w:t>
            </w:r>
            <w:r>
              <w:rPr>
                <w:sz w:val="20"/>
                <w:szCs w:val="20"/>
              </w:rPr>
              <w:t>sei</w:t>
            </w:r>
            <w:r w:rsidRPr="004A434C">
              <w:rPr>
                <w:sz w:val="20"/>
                <w:szCs w:val="20"/>
              </w:rPr>
              <w:t xml:space="preserve"> genau darauf zugeschnitten, nur dieses Interesse zu verwirklichen („</w:t>
            </w:r>
            <w:proofErr w:type="spellStart"/>
            <w:r w:rsidRPr="004A434C">
              <w:rPr>
                <w:sz w:val="20"/>
                <w:szCs w:val="20"/>
              </w:rPr>
              <w:t>closely</w:t>
            </w:r>
            <w:proofErr w:type="spellEnd"/>
            <w:r w:rsidRPr="004A434C">
              <w:rPr>
                <w:sz w:val="20"/>
                <w:szCs w:val="20"/>
              </w:rPr>
              <w:t xml:space="preserve"> </w:t>
            </w:r>
            <w:proofErr w:type="spellStart"/>
            <w:r w:rsidRPr="004A434C">
              <w:rPr>
                <w:sz w:val="20"/>
                <w:szCs w:val="20"/>
              </w:rPr>
              <w:t>tailored</w:t>
            </w:r>
            <w:proofErr w:type="spellEnd"/>
            <w:r w:rsidRPr="004A434C">
              <w:rPr>
                <w:sz w:val="20"/>
                <w:szCs w:val="20"/>
              </w:rPr>
              <w:t xml:space="preserve"> to </w:t>
            </w:r>
            <w:proofErr w:type="spellStart"/>
            <w:r w:rsidRPr="004A434C">
              <w:rPr>
                <w:sz w:val="20"/>
                <w:szCs w:val="20"/>
              </w:rPr>
              <w:t>effectuate</w:t>
            </w:r>
            <w:proofErr w:type="spellEnd"/>
            <w:r w:rsidRPr="004A434C">
              <w:rPr>
                <w:sz w:val="20"/>
                <w:szCs w:val="20"/>
              </w:rPr>
              <w:t xml:space="preserve"> </w:t>
            </w:r>
            <w:proofErr w:type="spellStart"/>
            <w:r w:rsidRPr="004A434C">
              <w:rPr>
                <w:sz w:val="20"/>
                <w:szCs w:val="20"/>
              </w:rPr>
              <w:t>only</w:t>
            </w:r>
            <w:proofErr w:type="spellEnd"/>
            <w:r w:rsidRPr="004A434C">
              <w:rPr>
                <w:sz w:val="20"/>
                <w:szCs w:val="20"/>
              </w:rPr>
              <w:t xml:space="preserve"> </w:t>
            </w:r>
            <w:proofErr w:type="spellStart"/>
            <w:r w:rsidRPr="004A434C">
              <w:rPr>
                <w:sz w:val="20"/>
                <w:szCs w:val="20"/>
              </w:rPr>
              <w:t>those</w:t>
            </w:r>
            <w:proofErr w:type="spellEnd"/>
            <w:r w:rsidRPr="004A434C">
              <w:rPr>
                <w:sz w:val="20"/>
                <w:szCs w:val="20"/>
              </w:rPr>
              <w:t xml:space="preserve"> </w:t>
            </w:r>
            <w:proofErr w:type="spellStart"/>
            <w:r w:rsidRPr="004A434C">
              <w:rPr>
                <w:sz w:val="20"/>
                <w:szCs w:val="20"/>
              </w:rPr>
              <w:t>interests</w:t>
            </w:r>
            <w:proofErr w:type="spellEnd"/>
            <w:r w:rsidRPr="004A434C">
              <w:rPr>
                <w:sz w:val="20"/>
                <w:szCs w:val="20"/>
              </w:rPr>
              <w:t>“</w:t>
            </w:r>
            <w:r w:rsidRPr="004A434C">
              <w:rPr>
                <w:sz w:val="20"/>
                <w:szCs w:val="20"/>
                <w:vertAlign w:val="superscript"/>
              </w:rPr>
              <w:footnoteReference w:id="1832"/>
            </w:r>
            <w:r w:rsidRPr="004A434C">
              <w:rPr>
                <w:sz w:val="20"/>
                <w:szCs w:val="20"/>
              </w:rPr>
              <w:t>). Dieser Prüfmaß</w:t>
            </w:r>
            <w:r>
              <w:rPr>
                <w:sz w:val="20"/>
                <w:szCs w:val="20"/>
              </w:rPr>
              <w:t>s</w:t>
            </w:r>
            <w:r w:rsidRPr="004A434C">
              <w:rPr>
                <w:sz w:val="20"/>
                <w:szCs w:val="20"/>
              </w:rPr>
              <w:t xml:space="preserve">tab </w:t>
            </w:r>
            <w:r>
              <w:rPr>
                <w:sz w:val="20"/>
                <w:szCs w:val="20"/>
              </w:rPr>
              <w:t>ergebe</w:t>
            </w:r>
            <w:r w:rsidRPr="004A434C">
              <w:rPr>
                <w:sz w:val="20"/>
                <w:szCs w:val="20"/>
              </w:rPr>
              <w:t xml:space="preserve"> sich aus dem Beispiel der Ehefreiheit. Die</w:t>
            </w:r>
            <w:r>
              <w:rPr>
                <w:sz w:val="20"/>
                <w:szCs w:val="20"/>
              </w:rPr>
              <w:t>se</w:t>
            </w:r>
            <w:r w:rsidRPr="004A434C">
              <w:rPr>
                <w:sz w:val="20"/>
                <w:szCs w:val="20"/>
              </w:rPr>
              <w:t xml:space="preserve"> sei ein Grundrecht („fundamental </w:t>
            </w:r>
            <w:proofErr w:type="spellStart"/>
            <w:r w:rsidRPr="004A434C">
              <w:rPr>
                <w:sz w:val="20"/>
                <w:szCs w:val="20"/>
              </w:rPr>
              <w:t>right</w:t>
            </w:r>
            <w:proofErr w:type="spellEnd"/>
            <w:r w:rsidRPr="004A434C">
              <w:rPr>
                <w:sz w:val="20"/>
                <w:szCs w:val="20"/>
              </w:rPr>
              <w:t>“</w:t>
            </w:r>
            <w:r w:rsidRPr="004A434C">
              <w:rPr>
                <w:sz w:val="20"/>
                <w:szCs w:val="20"/>
                <w:vertAlign w:val="superscript"/>
              </w:rPr>
              <w:footnoteReference w:id="1833"/>
            </w:r>
            <w:r w:rsidRPr="004A434C">
              <w:rPr>
                <w:sz w:val="20"/>
                <w:szCs w:val="20"/>
              </w:rPr>
              <w:t>;„</w:t>
            </w:r>
            <w:proofErr w:type="spellStart"/>
            <w:r w:rsidRPr="004A434C">
              <w:rPr>
                <w:sz w:val="20"/>
                <w:szCs w:val="20"/>
              </w:rPr>
              <w:t>basic</w:t>
            </w:r>
            <w:proofErr w:type="spellEnd"/>
            <w:r w:rsidRPr="004A434C">
              <w:rPr>
                <w:sz w:val="20"/>
                <w:szCs w:val="20"/>
              </w:rPr>
              <w:t xml:space="preserve"> </w:t>
            </w:r>
            <w:proofErr w:type="spellStart"/>
            <w:r w:rsidRPr="004A434C">
              <w:rPr>
                <w:sz w:val="20"/>
                <w:szCs w:val="20"/>
              </w:rPr>
              <w:t>civil</w:t>
            </w:r>
            <w:proofErr w:type="spellEnd"/>
            <w:r w:rsidRPr="004A434C">
              <w:rPr>
                <w:sz w:val="20"/>
                <w:szCs w:val="20"/>
              </w:rPr>
              <w:t xml:space="preserve"> </w:t>
            </w:r>
            <w:proofErr w:type="spellStart"/>
            <w:r w:rsidRPr="004A434C">
              <w:rPr>
                <w:sz w:val="20"/>
                <w:szCs w:val="20"/>
              </w:rPr>
              <w:t>rights</w:t>
            </w:r>
            <w:proofErr w:type="spellEnd"/>
            <w:r w:rsidRPr="004A434C">
              <w:rPr>
                <w:sz w:val="20"/>
                <w:szCs w:val="20"/>
              </w:rPr>
              <w:t xml:space="preserve"> of man</w:t>
            </w:r>
            <w:r>
              <w:rPr>
                <w:sz w:val="20"/>
                <w:szCs w:val="20"/>
              </w:rPr>
              <w:t>‘</w:t>
            </w:r>
            <w:r w:rsidRPr="004A434C">
              <w:rPr>
                <w:sz w:val="20"/>
                <w:szCs w:val="20"/>
              </w:rPr>
              <w:t>, fundamental“</w:t>
            </w:r>
            <w:r w:rsidRPr="004A434C">
              <w:rPr>
                <w:sz w:val="20"/>
                <w:szCs w:val="20"/>
                <w:vertAlign w:val="superscript"/>
              </w:rPr>
              <w:footnoteReference w:id="1834"/>
            </w:r>
            <w:r w:rsidRPr="004A434C">
              <w:rPr>
                <w:sz w:val="20"/>
                <w:szCs w:val="20"/>
              </w:rPr>
              <w:t xml:space="preserve">). Und sie </w:t>
            </w:r>
            <w:r>
              <w:rPr>
                <w:sz w:val="20"/>
                <w:szCs w:val="20"/>
              </w:rPr>
              <w:t xml:space="preserve">sei </w:t>
            </w:r>
            <w:r w:rsidRPr="004A434C">
              <w:rPr>
                <w:sz w:val="20"/>
                <w:szCs w:val="20"/>
              </w:rPr>
              <w:t xml:space="preserve">wesentlich für das geordnete Streben freier Menschen nach Glück („essential to the </w:t>
            </w:r>
            <w:proofErr w:type="spellStart"/>
            <w:r w:rsidRPr="004A434C">
              <w:rPr>
                <w:sz w:val="20"/>
                <w:szCs w:val="20"/>
              </w:rPr>
              <w:t>orderly</w:t>
            </w:r>
            <w:proofErr w:type="spellEnd"/>
            <w:r w:rsidRPr="004A434C">
              <w:rPr>
                <w:sz w:val="20"/>
                <w:szCs w:val="20"/>
              </w:rPr>
              <w:t xml:space="preserve"> </w:t>
            </w:r>
            <w:proofErr w:type="spellStart"/>
            <w:r w:rsidRPr="004A434C">
              <w:rPr>
                <w:sz w:val="20"/>
                <w:szCs w:val="20"/>
              </w:rPr>
              <w:t>pursuit</w:t>
            </w:r>
            <w:proofErr w:type="spellEnd"/>
            <w:r w:rsidRPr="004A434C">
              <w:rPr>
                <w:sz w:val="20"/>
                <w:szCs w:val="20"/>
              </w:rPr>
              <w:t xml:space="preserve"> of </w:t>
            </w:r>
            <w:proofErr w:type="spellStart"/>
            <w:r w:rsidRPr="004A434C">
              <w:rPr>
                <w:sz w:val="20"/>
                <w:szCs w:val="20"/>
              </w:rPr>
              <w:t>happiness</w:t>
            </w:r>
            <w:proofErr w:type="spellEnd"/>
            <w:r w:rsidRPr="004A434C">
              <w:rPr>
                <w:sz w:val="20"/>
                <w:szCs w:val="20"/>
              </w:rPr>
              <w:t xml:space="preserve"> by </w:t>
            </w:r>
            <w:proofErr w:type="spellStart"/>
            <w:r w:rsidRPr="004A434C">
              <w:rPr>
                <w:sz w:val="20"/>
                <w:szCs w:val="20"/>
              </w:rPr>
              <w:t>free</w:t>
            </w:r>
            <w:proofErr w:type="spellEnd"/>
            <w:r w:rsidRPr="004A434C">
              <w:rPr>
                <w:sz w:val="20"/>
                <w:szCs w:val="20"/>
              </w:rPr>
              <w:t xml:space="preserve"> </w:t>
            </w:r>
            <w:proofErr w:type="spellStart"/>
            <w:r w:rsidRPr="004A434C">
              <w:rPr>
                <w:sz w:val="20"/>
                <w:szCs w:val="20"/>
              </w:rPr>
              <w:t>men</w:t>
            </w:r>
            <w:proofErr w:type="spellEnd"/>
            <w:r w:rsidRPr="004A434C">
              <w:rPr>
                <w:sz w:val="20"/>
                <w:szCs w:val="20"/>
              </w:rPr>
              <w:t>“</w:t>
            </w:r>
            <w:r w:rsidRPr="004A434C">
              <w:rPr>
                <w:sz w:val="20"/>
                <w:szCs w:val="20"/>
                <w:vertAlign w:val="superscript"/>
              </w:rPr>
              <w:footnoteReference w:id="1835"/>
            </w:r>
            <w:r w:rsidRPr="004A434C">
              <w:rPr>
                <w:sz w:val="20"/>
                <w:szCs w:val="20"/>
              </w:rPr>
              <w:t>).</w:t>
            </w:r>
          </w:p>
          <w:p w14:paraId="0E0686DE" w14:textId="06162C35" w:rsidR="0056095C" w:rsidRPr="00E50B51" w:rsidRDefault="0056095C" w:rsidP="00367133">
            <w:pPr>
              <w:jc w:val="both"/>
              <w:rPr>
                <w:sz w:val="20"/>
                <w:szCs w:val="20"/>
              </w:rPr>
            </w:pPr>
          </w:p>
        </w:tc>
      </w:tr>
      <w:tr w:rsidR="00074551" w:rsidRPr="00E50B51" w14:paraId="718A8E6C" w14:textId="77777777" w:rsidTr="00BE689F">
        <w:trPr>
          <w:cantSplit/>
          <w:trHeight w:val="3175"/>
        </w:trPr>
        <w:tc>
          <w:tcPr>
            <w:tcW w:w="293" w:type="pct"/>
          </w:tcPr>
          <w:p w14:paraId="1DB8933F"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4CF58BA9" w14:textId="77777777" w:rsidR="00074551" w:rsidRPr="00E50B51" w:rsidRDefault="00074551" w:rsidP="00367133">
            <w:pPr>
              <w:ind w:right="416"/>
              <w:jc w:val="center"/>
              <w:rPr>
                <w:sz w:val="20"/>
                <w:szCs w:val="20"/>
              </w:rPr>
            </w:pPr>
            <w:r>
              <w:rPr>
                <w:sz w:val="20"/>
                <w:szCs w:val="20"/>
                <w:lang w:val="en-US"/>
              </w:rPr>
              <w:t>H</w:t>
            </w:r>
          </w:p>
        </w:tc>
        <w:tc>
          <w:tcPr>
            <w:tcW w:w="387" w:type="pct"/>
            <w:textDirection w:val="tbRl"/>
            <w:vAlign w:val="center"/>
          </w:tcPr>
          <w:p w14:paraId="02FBBFF2" w14:textId="77777777" w:rsidR="00074551" w:rsidRPr="00B45592" w:rsidRDefault="00074551" w:rsidP="00367133">
            <w:pPr>
              <w:ind w:left="113" w:right="416"/>
              <w:jc w:val="both"/>
              <w:rPr>
                <w:i/>
                <w:sz w:val="20"/>
                <w:szCs w:val="20"/>
              </w:rPr>
            </w:pPr>
            <w:r w:rsidRPr="00B45592">
              <w:rPr>
                <w:i/>
                <w:sz w:val="20"/>
                <w:szCs w:val="20"/>
              </w:rPr>
              <w:t>Heckler v. Chaney</w:t>
            </w:r>
          </w:p>
        </w:tc>
        <w:tc>
          <w:tcPr>
            <w:tcW w:w="197" w:type="pct"/>
            <w:textDirection w:val="tbRl"/>
            <w:vAlign w:val="center"/>
          </w:tcPr>
          <w:p w14:paraId="0EFF4976" w14:textId="77777777" w:rsidR="00074551" w:rsidRPr="00E50B51" w:rsidRDefault="00074551" w:rsidP="00367133">
            <w:pPr>
              <w:ind w:left="113" w:right="113"/>
              <w:jc w:val="both"/>
              <w:rPr>
                <w:sz w:val="20"/>
                <w:szCs w:val="20"/>
                <w:lang w:val="en-US"/>
              </w:rPr>
            </w:pPr>
            <w:r w:rsidRPr="005D0846">
              <w:rPr>
                <w:sz w:val="20"/>
                <w:szCs w:val="20"/>
              </w:rPr>
              <w:t>470 U.S. 821</w:t>
            </w:r>
          </w:p>
        </w:tc>
        <w:tc>
          <w:tcPr>
            <w:tcW w:w="306" w:type="pct"/>
            <w:textDirection w:val="tbRl"/>
            <w:vAlign w:val="center"/>
          </w:tcPr>
          <w:p w14:paraId="72B1DD3A" w14:textId="77777777" w:rsidR="00074551" w:rsidRPr="00E50B51" w:rsidRDefault="00074551" w:rsidP="00367133">
            <w:pPr>
              <w:ind w:left="113" w:right="113"/>
              <w:jc w:val="both"/>
              <w:rPr>
                <w:sz w:val="20"/>
                <w:szCs w:val="20"/>
              </w:rPr>
            </w:pPr>
            <w:r>
              <w:rPr>
                <w:sz w:val="20"/>
                <w:szCs w:val="20"/>
              </w:rPr>
              <w:t>20. März 1985</w:t>
            </w:r>
          </w:p>
        </w:tc>
        <w:tc>
          <w:tcPr>
            <w:tcW w:w="401" w:type="pct"/>
          </w:tcPr>
          <w:p w14:paraId="2C80F51B" w14:textId="77777777" w:rsidR="00074551" w:rsidRPr="00E50B51" w:rsidRDefault="00074551" w:rsidP="00367133">
            <w:pPr>
              <w:jc w:val="center"/>
              <w:rPr>
                <w:sz w:val="20"/>
                <w:szCs w:val="20"/>
              </w:rPr>
            </w:pPr>
            <w:r>
              <w:rPr>
                <w:sz w:val="20"/>
                <w:szCs w:val="20"/>
                <w:lang w:val="en-US"/>
              </w:rPr>
              <w:t>C</w:t>
            </w:r>
          </w:p>
        </w:tc>
        <w:tc>
          <w:tcPr>
            <w:tcW w:w="1594" w:type="pct"/>
          </w:tcPr>
          <w:p w14:paraId="6A47CA06" w14:textId="0100D461" w:rsidR="00074551" w:rsidRDefault="00074551" w:rsidP="00367133">
            <w:pPr>
              <w:jc w:val="both"/>
              <w:rPr>
                <w:sz w:val="20"/>
                <w:szCs w:val="20"/>
              </w:rPr>
            </w:pPr>
            <w:r w:rsidRPr="007D0262">
              <w:rPr>
                <w:sz w:val="20"/>
                <w:szCs w:val="20"/>
              </w:rPr>
              <w:t xml:space="preserve">Der </w:t>
            </w:r>
            <w:r>
              <w:rPr>
                <w:sz w:val="20"/>
                <w:szCs w:val="20"/>
              </w:rPr>
              <w:t>U.S. Supreme Court</w:t>
            </w:r>
            <w:r w:rsidRPr="007D0262">
              <w:rPr>
                <w:sz w:val="20"/>
                <w:szCs w:val="20"/>
              </w:rPr>
              <w:t xml:space="preserve"> entschied, dass die </w:t>
            </w:r>
            <w:r>
              <w:rPr>
                <w:sz w:val="20"/>
                <w:szCs w:val="20"/>
              </w:rPr>
              <w:t>folgende Praxis</w:t>
            </w:r>
            <w:r w:rsidRPr="007D0262">
              <w:rPr>
                <w:sz w:val="20"/>
                <w:szCs w:val="20"/>
              </w:rPr>
              <w:t xml:space="preserve"> der </w:t>
            </w:r>
            <w:r>
              <w:rPr>
                <w:sz w:val="20"/>
                <w:szCs w:val="20"/>
              </w:rPr>
              <w:t xml:space="preserve">Lebens- und Arzneimittelbehörde </w:t>
            </w:r>
            <w:r w:rsidRPr="007D0262">
              <w:rPr>
                <w:sz w:val="20"/>
                <w:szCs w:val="20"/>
              </w:rPr>
              <w:t>FDA</w:t>
            </w:r>
            <w:r>
              <w:rPr>
                <w:sz w:val="20"/>
                <w:szCs w:val="20"/>
              </w:rPr>
              <w:t xml:space="preserve"> </w:t>
            </w:r>
            <w:r w:rsidRPr="007D0262">
              <w:rPr>
                <w:sz w:val="20"/>
                <w:szCs w:val="20"/>
              </w:rPr>
              <w:t xml:space="preserve">gerichtlich </w:t>
            </w:r>
            <w:r>
              <w:rPr>
                <w:sz w:val="20"/>
                <w:szCs w:val="20"/>
              </w:rPr>
              <w:t xml:space="preserve">nicht </w:t>
            </w:r>
            <w:r w:rsidRPr="007D0262">
              <w:rPr>
                <w:sz w:val="20"/>
                <w:szCs w:val="20"/>
              </w:rPr>
              <w:t>überprüfbar</w:t>
            </w:r>
            <w:r>
              <w:rPr>
                <w:sz w:val="20"/>
                <w:szCs w:val="20"/>
              </w:rPr>
              <w:t xml:space="preserve"> sei: nämlich, dass die FDA keine</w:t>
            </w:r>
            <w:r w:rsidRPr="007D0262">
              <w:rPr>
                <w:sz w:val="20"/>
                <w:szCs w:val="20"/>
              </w:rPr>
              <w:t xml:space="preserve"> Durchsetzungsmaßnahmen</w:t>
            </w:r>
            <w:r>
              <w:rPr>
                <w:sz w:val="20"/>
                <w:szCs w:val="20"/>
              </w:rPr>
              <w:t xml:space="preserve"> </w:t>
            </w:r>
            <w:r w:rsidRPr="007D0262">
              <w:rPr>
                <w:sz w:val="20"/>
                <w:szCs w:val="20"/>
              </w:rPr>
              <w:t>hinsichtlich der Verwendung von Medikamenten bei Hinrichtungen</w:t>
            </w:r>
            <w:r>
              <w:rPr>
                <w:sz w:val="20"/>
                <w:szCs w:val="20"/>
              </w:rPr>
              <w:t xml:space="preserve"> unternahm</w:t>
            </w:r>
            <w:r w:rsidRPr="007D0262">
              <w:rPr>
                <w:sz w:val="20"/>
                <w:szCs w:val="20"/>
              </w:rPr>
              <w:t>.</w:t>
            </w:r>
            <w:r>
              <w:rPr>
                <w:sz w:val="20"/>
                <w:szCs w:val="20"/>
              </w:rPr>
              <w:t xml:space="preserve"> Die </w:t>
            </w:r>
            <w:r w:rsidRPr="007D0262">
              <w:rPr>
                <w:sz w:val="20"/>
                <w:szCs w:val="20"/>
              </w:rPr>
              <w:t xml:space="preserve">Kläger </w:t>
            </w:r>
            <w:r>
              <w:rPr>
                <w:sz w:val="20"/>
                <w:szCs w:val="20"/>
              </w:rPr>
              <w:t xml:space="preserve">waren </w:t>
            </w:r>
            <w:r w:rsidRPr="007D0262">
              <w:rPr>
                <w:sz w:val="20"/>
                <w:szCs w:val="20"/>
              </w:rPr>
              <w:t xml:space="preserve">Insassen, die zum Tode verurteilt </w:t>
            </w:r>
            <w:r>
              <w:rPr>
                <w:sz w:val="20"/>
                <w:szCs w:val="20"/>
              </w:rPr>
              <w:t>worden waren</w:t>
            </w:r>
            <w:r w:rsidRPr="007D0262">
              <w:rPr>
                <w:sz w:val="20"/>
                <w:szCs w:val="20"/>
              </w:rPr>
              <w:t xml:space="preserve">. </w:t>
            </w:r>
            <w:r w:rsidRPr="00B45592">
              <w:rPr>
                <w:sz w:val="20"/>
                <w:szCs w:val="20"/>
                <w:lang w:val="en-IE"/>
              </w:rPr>
              <w:t xml:space="preserve">Der </w:t>
            </w:r>
            <w:proofErr w:type="spellStart"/>
            <w:r w:rsidRPr="00B45592">
              <w:rPr>
                <w:sz w:val="20"/>
                <w:szCs w:val="20"/>
                <w:lang w:val="en-IE"/>
              </w:rPr>
              <w:t>Beklagte</w:t>
            </w:r>
            <w:proofErr w:type="spellEnd"/>
            <w:r w:rsidRPr="00B45592">
              <w:rPr>
                <w:sz w:val="20"/>
                <w:szCs w:val="20"/>
                <w:lang w:val="en-IE"/>
              </w:rPr>
              <w:t xml:space="preserve"> war </w:t>
            </w:r>
            <w:r w:rsidRPr="00525E39">
              <w:rPr>
                <w:sz w:val="20"/>
                <w:szCs w:val="20"/>
                <w:lang w:val="en-IE"/>
              </w:rPr>
              <w:t xml:space="preserve">der </w:t>
            </w:r>
            <w:r w:rsidRPr="5B67C1D2">
              <w:rPr>
                <w:i/>
                <w:iCs/>
                <w:sz w:val="20"/>
                <w:szCs w:val="20"/>
                <w:lang w:val="en-IE"/>
              </w:rPr>
              <w:t>Secretary of Health and Human Services</w:t>
            </w:r>
            <w:r w:rsidRPr="00B45592">
              <w:rPr>
                <w:sz w:val="20"/>
                <w:szCs w:val="20"/>
                <w:lang w:val="en-IE"/>
              </w:rPr>
              <w:t xml:space="preserve">. </w:t>
            </w:r>
            <w:r w:rsidRPr="007D0262">
              <w:rPr>
                <w:sz w:val="20"/>
                <w:szCs w:val="20"/>
              </w:rPr>
              <w:t>Die Insassen forderten die FDA auf, Durchsetzungsmaßnahmen gegen den Einsatz von Medikamenten bei Hinrichtungen zu ergreifen</w:t>
            </w:r>
            <w:r>
              <w:rPr>
                <w:sz w:val="20"/>
                <w:szCs w:val="20"/>
              </w:rPr>
              <w:t>. Denn dies würde</w:t>
            </w:r>
            <w:r w:rsidRPr="007D0262">
              <w:rPr>
                <w:sz w:val="20"/>
                <w:szCs w:val="20"/>
              </w:rPr>
              <w:t xml:space="preserve"> gegen d</w:t>
            </w:r>
            <w:r>
              <w:rPr>
                <w:sz w:val="20"/>
                <w:szCs w:val="20"/>
              </w:rPr>
              <w:t>en</w:t>
            </w:r>
            <w:r w:rsidRPr="007D0262">
              <w:rPr>
                <w:sz w:val="20"/>
                <w:szCs w:val="20"/>
              </w:rPr>
              <w:t xml:space="preserve"> </w:t>
            </w:r>
            <w:r w:rsidRPr="5B67C1D2">
              <w:rPr>
                <w:i/>
                <w:iCs/>
                <w:sz w:val="20"/>
                <w:szCs w:val="20"/>
              </w:rPr>
              <w:t xml:space="preserve">Federal Food, Drug, and Cosmetic Act </w:t>
            </w:r>
            <w:r w:rsidRPr="007D0262">
              <w:rPr>
                <w:sz w:val="20"/>
                <w:szCs w:val="20"/>
              </w:rPr>
              <w:t xml:space="preserve">(FDCA), 21 U.S.C.S. </w:t>
            </w:r>
            <w:r>
              <w:rPr>
                <w:sz w:val="20"/>
                <w:szCs w:val="20"/>
              </w:rPr>
              <w:t>§ </w:t>
            </w:r>
            <w:r w:rsidRPr="007D0262">
              <w:rPr>
                <w:sz w:val="20"/>
                <w:szCs w:val="20"/>
              </w:rPr>
              <w:t>301 ff.</w:t>
            </w:r>
            <w:r>
              <w:rPr>
                <w:sz w:val="20"/>
                <w:szCs w:val="20"/>
              </w:rPr>
              <w:t>,</w:t>
            </w:r>
            <w:r w:rsidRPr="007D0262">
              <w:rPr>
                <w:sz w:val="20"/>
                <w:szCs w:val="20"/>
              </w:rPr>
              <w:t xml:space="preserve"> verstoßen. Die FDA lehnte dies ab. Daraufhin klagten die Insassen nach dem </w:t>
            </w:r>
            <w:r w:rsidRPr="5B67C1D2">
              <w:rPr>
                <w:i/>
                <w:iCs/>
                <w:sz w:val="20"/>
                <w:szCs w:val="20"/>
              </w:rPr>
              <w:t xml:space="preserve">Administrative </w:t>
            </w:r>
            <w:proofErr w:type="spellStart"/>
            <w:r w:rsidRPr="5B67C1D2">
              <w:rPr>
                <w:i/>
                <w:iCs/>
                <w:sz w:val="20"/>
                <w:szCs w:val="20"/>
              </w:rPr>
              <w:t>Procedure</w:t>
            </w:r>
            <w:proofErr w:type="spellEnd"/>
            <w:r w:rsidRPr="5B67C1D2">
              <w:rPr>
                <w:i/>
                <w:iCs/>
                <w:sz w:val="20"/>
                <w:szCs w:val="20"/>
              </w:rPr>
              <w:t xml:space="preserve"> Act </w:t>
            </w:r>
            <w:r w:rsidRPr="007D0262">
              <w:rPr>
                <w:sz w:val="20"/>
                <w:szCs w:val="20"/>
              </w:rPr>
              <w:t>(APA), 5 U.S.C.S. §</w:t>
            </w:r>
            <w:r>
              <w:rPr>
                <w:sz w:val="20"/>
                <w:szCs w:val="20"/>
              </w:rPr>
              <w:t>§ </w:t>
            </w:r>
            <w:r w:rsidRPr="007D0262">
              <w:rPr>
                <w:sz w:val="20"/>
                <w:szCs w:val="20"/>
              </w:rPr>
              <w:t>701</w:t>
            </w:r>
            <w:r>
              <w:rPr>
                <w:sz w:val="20"/>
                <w:szCs w:val="20"/>
              </w:rPr>
              <w:t>–</w:t>
            </w:r>
            <w:r w:rsidRPr="007D0262">
              <w:rPr>
                <w:sz w:val="20"/>
                <w:szCs w:val="20"/>
              </w:rPr>
              <w:t>706</w:t>
            </w:r>
            <w:r>
              <w:rPr>
                <w:sz w:val="20"/>
                <w:szCs w:val="20"/>
              </w:rPr>
              <w:t>,</w:t>
            </w:r>
            <w:r>
              <w:rPr>
                <w:rStyle w:val="Funotenzeichen"/>
                <w:sz w:val="20"/>
                <w:szCs w:val="20"/>
              </w:rPr>
              <w:footnoteReference w:id="1836"/>
            </w:r>
            <w:r w:rsidRPr="007D0262">
              <w:rPr>
                <w:sz w:val="20"/>
                <w:szCs w:val="20"/>
              </w:rPr>
              <w:t xml:space="preserve"> gegen den </w:t>
            </w:r>
            <w:proofErr w:type="spellStart"/>
            <w:r w:rsidRPr="5B67C1D2">
              <w:rPr>
                <w:i/>
                <w:iCs/>
                <w:sz w:val="20"/>
                <w:szCs w:val="20"/>
              </w:rPr>
              <w:t>Secretary</w:t>
            </w:r>
            <w:proofErr w:type="spellEnd"/>
            <w:r w:rsidRPr="007D0262">
              <w:rPr>
                <w:sz w:val="20"/>
                <w:szCs w:val="20"/>
              </w:rPr>
              <w:t xml:space="preserve"> beim Bezirksgericht. Das Bezirksgericht entschied zugunsten des </w:t>
            </w:r>
            <w:proofErr w:type="spellStart"/>
            <w:r w:rsidRPr="5B67C1D2">
              <w:rPr>
                <w:i/>
                <w:iCs/>
                <w:sz w:val="20"/>
                <w:szCs w:val="20"/>
              </w:rPr>
              <w:t>Secretary</w:t>
            </w:r>
            <w:proofErr w:type="spellEnd"/>
            <w:r w:rsidRPr="007D0262">
              <w:rPr>
                <w:sz w:val="20"/>
                <w:szCs w:val="20"/>
              </w:rPr>
              <w:t xml:space="preserve">. Das Berufungsgericht revidierte diese Entscheidung, hielt die Weigerung der FDA für überprüfbar und </w:t>
            </w:r>
            <w:r>
              <w:rPr>
                <w:sz w:val="20"/>
                <w:szCs w:val="20"/>
              </w:rPr>
              <w:t xml:space="preserve">sah </w:t>
            </w:r>
            <w:r w:rsidRPr="007D0262">
              <w:rPr>
                <w:sz w:val="20"/>
                <w:szCs w:val="20"/>
              </w:rPr>
              <w:t>eine Ermessensüberschreitung</w:t>
            </w:r>
            <w:r>
              <w:rPr>
                <w:sz w:val="20"/>
                <w:szCs w:val="20"/>
              </w:rPr>
              <w:t>. Es</w:t>
            </w:r>
            <w:r w:rsidRPr="007D0262">
              <w:rPr>
                <w:sz w:val="20"/>
                <w:szCs w:val="20"/>
              </w:rPr>
              <w:t xml:space="preserve"> wies die FDA</w:t>
            </w:r>
            <w:r>
              <w:rPr>
                <w:sz w:val="20"/>
                <w:szCs w:val="20"/>
              </w:rPr>
              <w:t xml:space="preserve"> zugleich</w:t>
            </w:r>
            <w:r w:rsidRPr="007D0262">
              <w:rPr>
                <w:sz w:val="20"/>
                <w:szCs w:val="20"/>
              </w:rPr>
              <w:t xml:space="preserve"> an, ihre gesetzliche Aufgabe zu erfüllen</w:t>
            </w:r>
            <w:r>
              <w:rPr>
                <w:sz w:val="20"/>
                <w:szCs w:val="20"/>
              </w:rPr>
              <w:t xml:space="preserve">, namentlich die Durchsetzung. </w:t>
            </w:r>
            <w:r w:rsidRPr="007D0262">
              <w:rPr>
                <w:sz w:val="20"/>
                <w:szCs w:val="20"/>
              </w:rPr>
              <w:t xml:space="preserve">Der </w:t>
            </w:r>
            <w:r>
              <w:rPr>
                <w:sz w:val="20"/>
                <w:szCs w:val="20"/>
              </w:rPr>
              <w:t>U.S. Supreme Court</w:t>
            </w:r>
            <w:r w:rsidRPr="007D0262">
              <w:rPr>
                <w:sz w:val="20"/>
                <w:szCs w:val="20"/>
              </w:rPr>
              <w:t xml:space="preserve"> hob die Entscheidung des Berufungsgerichts auf</w:t>
            </w:r>
            <w:r>
              <w:rPr>
                <w:sz w:val="20"/>
                <w:szCs w:val="20"/>
              </w:rPr>
              <w:t xml:space="preserve">. Er </w:t>
            </w:r>
            <w:r w:rsidRPr="007D0262">
              <w:rPr>
                <w:sz w:val="20"/>
                <w:szCs w:val="20"/>
              </w:rPr>
              <w:t xml:space="preserve">stellte fest, dass Entscheidungen einer Behörde, keine Durchsetzungsmaßnahmen zu ergreifen, nach </w:t>
            </w:r>
            <w:r>
              <w:rPr>
                <w:sz w:val="20"/>
                <w:szCs w:val="20"/>
              </w:rPr>
              <w:t>§ </w:t>
            </w:r>
            <w:r w:rsidRPr="007D0262">
              <w:rPr>
                <w:sz w:val="20"/>
                <w:szCs w:val="20"/>
              </w:rPr>
              <w:t>701(a)(2) APA</w:t>
            </w:r>
            <w:r>
              <w:rPr>
                <w:rStyle w:val="Funotenzeichen"/>
                <w:sz w:val="20"/>
                <w:szCs w:val="20"/>
              </w:rPr>
              <w:footnoteReference w:id="1837"/>
            </w:r>
            <w:r w:rsidRPr="007D0262">
              <w:rPr>
                <w:sz w:val="20"/>
                <w:szCs w:val="20"/>
              </w:rPr>
              <w:t xml:space="preserve"> grundsätzlich der gerichtlichen Überprüfung entzogen </w:t>
            </w:r>
            <w:r>
              <w:rPr>
                <w:sz w:val="20"/>
                <w:szCs w:val="20"/>
              </w:rPr>
              <w:t>seien</w:t>
            </w:r>
            <w:r w:rsidRPr="007D0262">
              <w:rPr>
                <w:sz w:val="20"/>
                <w:szCs w:val="20"/>
              </w:rPr>
              <w:t xml:space="preserve">. </w:t>
            </w:r>
            <w:r>
              <w:rPr>
                <w:sz w:val="20"/>
                <w:szCs w:val="20"/>
              </w:rPr>
              <w:t>Zudem überwänden d</w:t>
            </w:r>
            <w:r w:rsidRPr="007D0262">
              <w:rPr>
                <w:sz w:val="20"/>
                <w:szCs w:val="20"/>
              </w:rPr>
              <w:t>ie Ermessens</w:t>
            </w:r>
            <w:r>
              <w:rPr>
                <w:sz w:val="20"/>
                <w:szCs w:val="20"/>
              </w:rPr>
              <w:t>ausübungs</w:t>
            </w:r>
            <w:r w:rsidRPr="007D0262">
              <w:rPr>
                <w:sz w:val="20"/>
                <w:szCs w:val="20"/>
              </w:rPr>
              <w:t xml:space="preserve">vorschriften des FDCA </w:t>
            </w:r>
            <w:r>
              <w:rPr>
                <w:sz w:val="20"/>
                <w:szCs w:val="20"/>
              </w:rPr>
              <w:t xml:space="preserve">nicht </w:t>
            </w:r>
            <w:r w:rsidRPr="007D0262">
              <w:rPr>
                <w:sz w:val="20"/>
                <w:szCs w:val="20"/>
              </w:rPr>
              <w:t xml:space="preserve">die Vermutung </w:t>
            </w:r>
            <w:r>
              <w:rPr>
                <w:sz w:val="20"/>
                <w:szCs w:val="20"/>
              </w:rPr>
              <w:t xml:space="preserve">einer </w:t>
            </w:r>
            <w:r w:rsidRPr="007D0262">
              <w:rPr>
                <w:sz w:val="20"/>
                <w:szCs w:val="20"/>
              </w:rPr>
              <w:t xml:space="preserve">Nichtüberprüfbarkeit </w:t>
            </w:r>
            <w:r>
              <w:rPr>
                <w:sz w:val="20"/>
                <w:szCs w:val="20"/>
              </w:rPr>
              <w:t>– und müssten es auch nicht. Denn Nichtüberprüfbarkeit liege vor.</w:t>
            </w:r>
            <w:r>
              <w:rPr>
                <w:rStyle w:val="Funotenzeichen"/>
                <w:sz w:val="20"/>
                <w:szCs w:val="20"/>
              </w:rPr>
              <w:footnoteReference w:id="1838"/>
            </w:r>
          </w:p>
          <w:p w14:paraId="5F1E3161" w14:textId="77777777" w:rsidR="00074551" w:rsidRPr="00E50B51" w:rsidRDefault="00074551" w:rsidP="00367133">
            <w:pPr>
              <w:jc w:val="both"/>
              <w:rPr>
                <w:sz w:val="20"/>
                <w:szCs w:val="20"/>
              </w:rPr>
            </w:pPr>
          </w:p>
        </w:tc>
        <w:tc>
          <w:tcPr>
            <w:tcW w:w="1822" w:type="pct"/>
          </w:tcPr>
          <w:p w14:paraId="245930FA" w14:textId="77777777" w:rsidR="00074551" w:rsidRPr="00B45592" w:rsidRDefault="00074551" w:rsidP="00367133">
            <w:pPr>
              <w:rPr>
                <w:i/>
                <w:sz w:val="20"/>
                <w:szCs w:val="20"/>
              </w:rPr>
            </w:pPr>
            <w:r w:rsidRPr="00B45592">
              <w:rPr>
                <w:i/>
                <w:sz w:val="20"/>
                <w:szCs w:val="20"/>
              </w:rPr>
              <w:t xml:space="preserve">LexisNexis-Klassifikation: </w:t>
            </w:r>
            <w:proofErr w:type="spellStart"/>
            <w:r w:rsidRPr="00B45592">
              <w:rPr>
                <w:i/>
                <w:sz w:val="20"/>
                <w:szCs w:val="20"/>
              </w:rPr>
              <w:t>Judicial</w:t>
            </w:r>
            <w:proofErr w:type="spellEnd"/>
            <w:r w:rsidRPr="00B45592">
              <w:rPr>
                <w:i/>
                <w:sz w:val="20"/>
                <w:szCs w:val="20"/>
              </w:rPr>
              <w:t xml:space="preserve"> Review, </w:t>
            </w:r>
            <w:proofErr w:type="spellStart"/>
            <w:r w:rsidRPr="00B45592">
              <w:rPr>
                <w:i/>
                <w:sz w:val="20"/>
                <w:szCs w:val="20"/>
              </w:rPr>
              <w:t>Reviewability</w:t>
            </w:r>
            <w:proofErr w:type="spellEnd"/>
          </w:p>
          <w:p w14:paraId="0CB8BF64" w14:textId="77777777" w:rsidR="00074551" w:rsidRDefault="00074551" w:rsidP="00367133">
            <w:pPr>
              <w:rPr>
                <w:b/>
                <w:bCs/>
                <w:sz w:val="20"/>
                <w:szCs w:val="20"/>
              </w:rPr>
            </w:pPr>
          </w:p>
          <w:p w14:paraId="26930744" w14:textId="77777777" w:rsidR="00074551" w:rsidRPr="004A434C" w:rsidRDefault="00074551" w:rsidP="00367133">
            <w:pPr>
              <w:jc w:val="both"/>
              <w:rPr>
                <w:sz w:val="20"/>
                <w:szCs w:val="20"/>
              </w:rPr>
            </w:pPr>
            <w:r w:rsidRPr="002957FD">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2957FD">
              <w:rPr>
                <w:sz w:val="20"/>
                <w:szCs w:val="20"/>
              </w:rPr>
              <w:t xml:space="preserve"> tritt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2957FD">
              <w:rPr>
                <w:sz w:val="20"/>
                <w:szCs w:val="20"/>
              </w:rPr>
              <w:t xml:space="preserve"> entgegen, und zwar mit folgendem Begründungsstrang: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2957FD">
              <w:rPr>
                <w:sz w:val="20"/>
                <w:szCs w:val="20"/>
              </w:rPr>
              <w:t xml:space="preserve"> urteilt, eine behördlichen Unterlassung sei nur bedingt zu überprüfen;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2957FD">
              <w:rPr>
                <w:sz w:val="20"/>
                <w:szCs w:val="20"/>
              </w:rPr>
              <w:t xml:space="preserve"> meint, dies widerlege die ständigen Rechtsprechungen, </w:t>
            </w:r>
            <w:r>
              <w:rPr>
                <w:sz w:val="20"/>
                <w:szCs w:val="20"/>
              </w:rPr>
              <w:t>z.B.</w:t>
            </w:r>
            <w:r w:rsidRPr="002957FD">
              <w:rPr>
                <w:sz w:val="20"/>
                <w:szCs w:val="20"/>
              </w:rPr>
              <w:t xml:space="preserve"> der untere</w:t>
            </w:r>
            <w:r>
              <w:rPr>
                <w:sz w:val="20"/>
                <w:szCs w:val="20"/>
              </w:rPr>
              <w:t>n</w:t>
            </w:r>
            <w:r w:rsidRPr="002957FD">
              <w:rPr>
                <w:sz w:val="20"/>
                <w:szCs w:val="20"/>
              </w:rPr>
              <w:t xml:space="preserve"> Gerichte.</w:t>
            </w:r>
            <w:r w:rsidRPr="002957FD">
              <w:rPr>
                <w:sz w:val="20"/>
                <w:szCs w:val="20"/>
                <w:vertAlign w:val="superscript"/>
              </w:rPr>
              <w:footnoteReference w:id="1839"/>
            </w:r>
            <w:r w:rsidRPr="002957FD">
              <w:rPr>
                <w:sz w:val="20"/>
                <w:szCs w:val="20"/>
              </w:rPr>
              <w:t xml:space="preserve"> Die bejahten behördliche Unterlassungen auch gerichtlich zu überprüfen: Zum Beispiel bei der unterlassenen, behördlichen Durchsetzungsmaßnahme der FDA, die sich gegen den Einsatz von Hinrichtungsmedikamenten richten sollte. Die</w:t>
            </w:r>
            <w:r>
              <w:rPr>
                <w:sz w:val="20"/>
                <w:szCs w:val="20"/>
              </w:rPr>
              <w:t>se</w:t>
            </w:r>
            <w:r w:rsidRPr="002957FD">
              <w:rPr>
                <w:sz w:val="20"/>
                <w:szCs w:val="20"/>
              </w:rPr>
              <w:t xml:space="preserve"> sei zu überprüfen. Denn es sei unhaltbar</w:t>
            </w:r>
            <w:r>
              <w:rPr>
                <w:sz w:val="20"/>
                <w:szCs w:val="20"/>
              </w:rPr>
              <w:t>,</w:t>
            </w:r>
            <w:r w:rsidRPr="002957FD">
              <w:rPr>
                <w:sz w:val="20"/>
                <w:szCs w:val="20"/>
              </w:rPr>
              <w:t xml:space="preserve"> bei der gerichtlichen Überprüfung zwischen positiven Zwangsmaßnahmen einer Behörde und negativen behördlichen Unterlassungen eine Grenze zu ziehen. Das Hauptziel von Verwaltungsbehörden wie </w:t>
            </w:r>
            <w:r>
              <w:rPr>
                <w:sz w:val="20"/>
                <w:szCs w:val="20"/>
              </w:rPr>
              <w:t>z.B.</w:t>
            </w:r>
            <w:r w:rsidRPr="002957FD">
              <w:rPr>
                <w:sz w:val="20"/>
                <w:szCs w:val="20"/>
              </w:rPr>
              <w:t xml:space="preserve"> der FDA sei es, dass eine behördliche Unterlassung ebenso verheerende Auswirkungen haben könne wie zwingendes staatliches Handeln, und zwar auf das Leben, die Freiheit und das Streben nach Glück („</w:t>
            </w:r>
            <w:proofErr w:type="spellStart"/>
            <w:r w:rsidRPr="002957FD">
              <w:rPr>
                <w:sz w:val="20"/>
                <w:szCs w:val="20"/>
              </w:rPr>
              <w:t>refusal</w:t>
            </w:r>
            <w:proofErr w:type="spellEnd"/>
            <w:r w:rsidRPr="002957FD">
              <w:rPr>
                <w:sz w:val="20"/>
                <w:szCs w:val="20"/>
              </w:rPr>
              <w:t xml:space="preserve"> to </w:t>
            </w:r>
            <w:proofErr w:type="spellStart"/>
            <w:r w:rsidRPr="002957FD">
              <w:rPr>
                <w:sz w:val="20"/>
                <w:szCs w:val="20"/>
              </w:rPr>
              <w:t>act</w:t>
            </w:r>
            <w:proofErr w:type="spellEnd"/>
            <w:r w:rsidRPr="002957FD">
              <w:rPr>
                <w:sz w:val="20"/>
                <w:szCs w:val="20"/>
              </w:rPr>
              <w:t xml:space="preserve"> </w:t>
            </w:r>
            <w:proofErr w:type="spellStart"/>
            <w:r w:rsidRPr="002957FD">
              <w:rPr>
                <w:sz w:val="20"/>
                <w:szCs w:val="20"/>
              </w:rPr>
              <w:t>could</w:t>
            </w:r>
            <w:proofErr w:type="spellEnd"/>
            <w:r w:rsidRPr="002957FD">
              <w:rPr>
                <w:sz w:val="20"/>
                <w:szCs w:val="20"/>
              </w:rPr>
              <w:t xml:space="preserve"> </w:t>
            </w:r>
            <w:proofErr w:type="spellStart"/>
            <w:r w:rsidRPr="002957FD">
              <w:rPr>
                <w:sz w:val="20"/>
                <w:szCs w:val="20"/>
              </w:rPr>
              <w:t>have</w:t>
            </w:r>
            <w:proofErr w:type="spellEnd"/>
            <w:r w:rsidRPr="002957FD">
              <w:rPr>
                <w:sz w:val="20"/>
                <w:szCs w:val="20"/>
              </w:rPr>
              <w:t xml:space="preserve"> just as </w:t>
            </w:r>
            <w:proofErr w:type="spellStart"/>
            <w:r w:rsidRPr="002957FD">
              <w:rPr>
                <w:sz w:val="20"/>
                <w:szCs w:val="20"/>
              </w:rPr>
              <w:t>devastating</w:t>
            </w:r>
            <w:proofErr w:type="spellEnd"/>
            <w:r w:rsidRPr="002957FD">
              <w:rPr>
                <w:sz w:val="20"/>
                <w:szCs w:val="20"/>
              </w:rPr>
              <w:t xml:space="preserve"> an </w:t>
            </w:r>
            <w:proofErr w:type="spellStart"/>
            <w:r w:rsidRPr="002957FD">
              <w:rPr>
                <w:sz w:val="20"/>
                <w:szCs w:val="20"/>
              </w:rPr>
              <w:t>effect</w:t>
            </w:r>
            <w:proofErr w:type="spellEnd"/>
            <w:r w:rsidRPr="002957FD">
              <w:rPr>
                <w:sz w:val="20"/>
                <w:szCs w:val="20"/>
              </w:rPr>
              <w:t xml:space="preserve"> upon […] the </w:t>
            </w:r>
            <w:proofErr w:type="spellStart"/>
            <w:r w:rsidRPr="002957FD">
              <w:rPr>
                <w:sz w:val="20"/>
                <w:szCs w:val="20"/>
              </w:rPr>
              <w:t>pursuit</w:t>
            </w:r>
            <w:proofErr w:type="spellEnd"/>
            <w:r w:rsidRPr="002957FD">
              <w:rPr>
                <w:sz w:val="20"/>
                <w:szCs w:val="20"/>
              </w:rPr>
              <w:t xml:space="preserve"> of </w:t>
            </w:r>
            <w:proofErr w:type="spellStart"/>
            <w:r w:rsidRPr="002957FD">
              <w:rPr>
                <w:sz w:val="20"/>
                <w:szCs w:val="20"/>
              </w:rPr>
              <w:t>happiness</w:t>
            </w:r>
            <w:proofErr w:type="spellEnd"/>
            <w:r w:rsidRPr="002957FD">
              <w:rPr>
                <w:sz w:val="20"/>
                <w:szCs w:val="20"/>
              </w:rPr>
              <w:t>“</w:t>
            </w:r>
            <w:r w:rsidRPr="002957FD">
              <w:rPr>
                <w:sz w:val="20"/>
                <w:szCs w:val="20"/>
                <w:vertAlign w:val="superscript"/>
              </w:rPr>
              <w:footnoteReference w:id="1840"/>
            </w:r>
            <w:r w:rsidRPr="002957FD">
              <w:rPr>
                <w:sz w:val="20"/>
                <w:szCs w:val="20"/>
              </w:rPr>
              <w:t xml:space="preserve">). Zwischen negativen und positiven Anordnungen als Maßstab zu unterscheiden, um behördliche Maßnahmen zu überprüfen, diene auch keinem nützlichen Verfassungszweck, so der </w:t>
            </w:r>
            <w:r>
              <w:rPr>
                <w:sz w:val="20"/>
                <w:szCs w:val="20"/>
              </w:rPr>
              <w:t>U.S. Supreme Court</w:t>
            </w:r>
            <w:r w:rsidRPr="002957FD">
              <w:rPr>
                <w:sz w:val="20"/>
                <w:szCs w:val="20"/>
              </w:rPr>
              <w:t xml:space="preserve"> auch in </w:t>
            </w:r>
            <w:r w:rsidRPr="5B67C1D2">
              <w:rPr>
                <w:i/>
                <w:iCs/>
                <w:sz w:val="20"/>
                <w:szCs w:val="20"/>
              </w:rPr>
              <w:t xml:space="preserve">Rochester </w:t>
            </w:r>
            <w:proofErr w:type="spellStart"/>
            <w:r w:rsidRPr="5B67C1D2">
              <w:rPr>
                <w:i/>
                <w:iCs/>
                <w:sz w:val="20"/>
                <w:szCs w:val="20"/>
              </w:rPr>
              <w:t>Telephone</w:t>
            </w:r>
            <w:proofErr w:type="spellEnd"/>
            <w:r w:rsidRPr="5B67C1D2">
              <w:rPr>
                <w:i/>
                <w:iCs/>
                <w:sz w:val="20"/>
                <w:szCs w:val="20"/>
              </w:rPr>
              <w:t xml:space="preserve"> Corp. v. United States</w:t>
            </w:r>
            <w:r w:rsidRPr="002957FD">
              <w:rPr>
                <w:sz w:val="20"/>
                <w:szCs w:val="20"/>
              </w:rPr>
              <w:t>.</w:t>
            </w:r>
            <w:r w:rsidRPr="002957FD">
              <w:rPr>
                <w:sz w:val="20"/>
                <w:szCs w:val="20"/>
                <w:vertAlign w:val="superscript"/>
              </w:rPr>
              <w:footnoteReference w:id="1841"/>
            </w:r>
          </w:p>
        </w:tc>
      </w:tr>
      <w:tr w:rsidR="00074551" w:rsidRPr="00E50B51" w14:paraId="4FB4D51C" w14:textId="77777777" w:rsidTr="00203768">
        <w:trPr>
          <w:cantSplit/>
          <w:trHeight w:val="3175"/>
        </w:trPr>
        <w:tc>
          <w:tcPr>
            <w:tcW w:w="293" w:type="pct"/>
            <w:shd w:val="clear" w:color="auto" w:fill="E7E6E6" w:themeFill="background2"/>
          </w:tcPr>
          <w:p w14:paraId="6B86B37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299F4A79"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5EF8DBFF" w14:textId="77777777" w:rsidR="00074551" w:rsidRPr="00E50B51" w:rsidRDefault="00074551" w:rsidP="00367133">
            <w:pPr>
              <w:ind w:left="113" w:right="113"/>
              <w:jc w:val="both"/>
              <w:rPr>
                <w:sz w:val="20"/>
                <w:szCs w:val="20"/>
                <w:lang w:val="en-US"/>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0C1CAFE3" w14:textId="77777777" w:rsidR="00074551" w:rsidRPr="00E50B51" w:rsidRDefault="00074551" w:rsidP="00367133">
            <w:pPr>
              <w:ind w:left="113" w:right="113"/>
              <w:jc w:val="both"/>
              <w:rPr>
                <w:sz w:val="20"/>
                <w:szCs w:val="20"/>
                <w:lang w:val="en-US"/>
              </w:rPr>
            </w:pPr>
            <w:r w:rsidRPr="00E50B51">
              <w:rPr>
                <w:sz w:val="20"/>
                <w:szCs w:val="20"/>
                <w:lang w:val="en-US"/>
              </w:rPr>
              <w:t>Full &amp; Equal Benefit</w:t>
            </w:r>
          </w:p>
        </w:tc>
        <w:tc>
          <w:tcPr>
            <w:tcW w:w="401" w:type="pct"/>
            <w:shd w:val="clear" w:color="auto" w:fill="E7E6E6" w:themeFill="background2"/>
          </w:tcPr>
          <w:p w14:paraId="439460AB"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E4D6BB8" w14:textId="77777777" w:rsidR="00074551" w:rsidRPr="00E50B51" w:rsidRDefault="00074551" w:rsidP="00367133">
            <w:pPr>
              <w:jc w:val="both"/>
              <w:rPr>
                <w:sz w:val="20"/>
                <w:szCs w:val="20"/>
                <w:lang w:val="en-US"/>
              </w:rPr>
            </w:pPr>
          </w:p>
        </w:tc>
        <w:tc>
          <w:tcPr>
            <w:tcW w:w="1822" w:type="pct"/>
            <w:shd w:val="clear" w:color="auto" w:fill="E7E6E6" w:themeFill="background2"/>
          </w:tcPr>
          <w:p w14:paraId="6B2A4563" w14:textId="071D38C0"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6B488101" w14:textId="77777777" w:rsidTr="00BE689F">
        <w:trPr>
          <w:cantSplit/>
          <w:trHeight w:val="3175"/>
        </w:trPr>
        <w:tc>
          <w:tcPr>
            <w:tcW w:w="293" w:type="pct"/>
          </w:tcPr>
          <w:p w14:paraId="67606D75"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9541CFC" w14:textId="77777777" w:rsidR="00074551" w:rsidRPr="00E50B51" w:rsidRDefault="00074551" w:rsidP="00367133">
            <w:pPr>
              <w:ind w:left="113" w:right="416"/>
              <w:jc w:val="both"/>
              <w:rPr>
                <w:sz w:val="20"/>
                <w:szCs w:val="20"/>
                <w:lang w:val="en-US"/>
              </w:rPr>
            </w:pPr>
            <w:r w:rsidRPr="00A15962">
              <w:rPr>
                <w:i/>
                <w:sz w:val="20"/>
                <w:szCs w:val="20"/>
                <w:lang w:val="en-US"/>
              </w:rPr>
              <w:t>Yick Wo v. Hopkins</w:t>
            </w:r>
          </w:p>
        </w:tc>
        <w:tc>
          <w:tcPr>
            <w:tcW w:w="197" w:type="pct"/>
            <w:textDirection w:val="tbRl"/>
            <w:vAlign w:val="center"/>
          </w:tcPr>
          <w:p w14:paraId="2AE8D693" w14:textId="77777777" w:rsidR="00074551" w:rsidRPr="00E50B51" w:rsidRDefault="00074551" w:rsidP="00367133">
            <w:pPr>
              <w:ind w:left="113" w:right="113"/>
              <w:jc w:val="both"/>
              <w:rPr>
                <w:sz w:val="20"/>
                <w:szCs w:val="20"/>
              </w:rPr>
            </w:pPr>
            <w:r w:rsidRPr="00E50B51">
              <w:rPr>
                <w:sz w:val="20"/>
                <w:szCs w:val="20"/>
                <w:lang w:val="en-US"/>
              </w:rPr>
              <w:t>118 U.S. 356</w:t>
            </w:r>
          </w:p>
        </w:tc>
        <w:tc>
          <w:tcPr>
            <w:tcW w:w="306" w:type="pct"/>
            <w:textDirection w:val="tbRl"/>
            <w:vAlign w:val="center"/>
          </w:tcPr>
          <w:p w14:paraId="417C95F3" w14:textId="77777777" w:rsidR="00074551" w:rsidRPr="00E50B51" w:rsidRDefault="00074551" w:rsidP="00367133">
            <w:pPr>
              <w:ind w:left="113" w:right="113"/>
              <w:jc w:val="both"/>
              <w:rPr>
                <w:sz w:val="20"/>
                <w:szCs w:val="20"/>
                <w:lang w:val="en-US"/>
              </w:rPr>
            </w:pPr>
            <w:r w:rsidRPr="00E50B51">
              <w:rPr>
                <w:sz w:val="20"/>
                <w:szCs w:val="20"/>
              </w:rPr>
              <w:t>10. Mai 1886</w:t>
            </w:r>
          </w:p>
        </w:tc>
        <w:tc>
          <w:tcPr>
            <w:tcW w:w="401" w:type="pct"/>
          </w:tcPr>
          <w:p w14:paraId="63916F3B" w14:textId="77777777" w:rsidR="00074551" w:rsidRPr="00E50B51" w:rsidRDefault="00074551" w:rsidP="00367133">
            <w:pPr>
              <w:jc w:val="center"/>
              <w:rPr>
                <w:sz w:val="20"/>
                <w:szCs w:val="20"/>
                <w:lang w:val="en-US"/>
              </w:rPr>
            </w:pPr>
            <w:r w:rsidRPr="00E50B51">
              <w:rPr>
                <w:sz w:val="20"/>
                <w:szCs w:val="20"/>
              </w:rPr>
              <w:t>M</w:t>
            </w:r>
          </w:p>
        </w:tc>
        <w:tc>
          <w:tcPr>
            <w:tcW w:w="1594" w:type="pct"/>
          </w:tcPr>
          <w:p w14:paraId="5D65101C"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0927EEAC" w14:textId="0F31080C" w:rsidR="00074551" w:rsidRDefault="00074551" w:rsidP="00367133">
            <w:pPr>
              <w:jc w:val="both"/>
              <w:rPr>
                <w:sz w:val="20"/>
                <w:szCs w:val="20"/>
              </w:rPr>
            </w:pPr>
            <w:r w:rsidRPr="00FF5603">
              <w:rPr>
                <w:sz w:val="20"/>
                <w:szCs w:val="20"/>
              </w:rPr>
              <w:t xml:space="preserve">Zum „Full and </w:t>
            </w:r>
            <w:proofErr w:type="spellStart"/>
            <w:r w:rsidRPr="00FF5603">
              <w:rPr>
                <w:sz w:val="20"/>
                <w:szCs w:val="20"/>
              </w:rPr>
              <w:t>Equal</w:t>
            </w:r>
            <w:proofErr w:type="spellEnd"/>
            <w:r w:rsidRPr="00FF5603">
              <w:rPr>
                <w:sz w:val="20"/>
                <w:szCs w:val="20"/>
              </w:rPr>
              <w:t xml:space="preserve"> Benefit“</w:t>
            </w:r>
            <w:r>
              <w:rPr>
                <w:sz w:val="20"/>
                <w:szCs w:val="20"/>
              </w:rPr>
              <w:t>-</w:t>
            </w:r>
            <w:r w:rsidRPr="00FF5603">
              <w:rPr>
                <w:sz w:val="20"/>
                <w:szCs w:val="20"/>
              </w:rPr>
              <w:t>Grundsatz,</w:t>
            </w:r>
            <w:r w:rsidRPr="00FF5603">
              <w:rPr>
                <w:sz w:val="20"/>
                <w:szCs w:val="20"/>
                <w:vertAlign w:val="superscript"/>
              </w:rPr>
              <w:t xml:space="preserve"> </w:t>
            </w:r>
            <w:r w:rsidRPr="00FF5603">
              <w:rPr>
                <w:sz w:val="20"/>
                <w:szCs w:val="20"/>
                <w:vertAlign w:val="superscript"/>
              </w:rPr>
              <w:footnoteReference w:id="1842"/>
            </w:r>
            <w:r w:rsidRPr="00FF5603">
              <w:rPr>
                <w:sz w:val="20"/>
                <w:szCs w:val="20"/>
              </w:rPr>
              <w:t xml:space="preserve"> zur Gleichberechtigungsklausel als Teilrecht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FF5603">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w:t>
            </w:r>
            <w:r w:rsidRPr="00FF5603">
              <w:rPr>
                <w:sz w:val="20"/>
                <w:szCs w:val="20"/>
              </w:rPr>
              <w:t xml:space="preserve"> bestätigte der </w:t>
            </w:r>
            <w:r>
              <w:rPr>
                <w:sz w:val="20"/>
                <w:szCs w:val="20"/>
              </w:rPr>
              <w:t>U.S. Supreme Court</w:t>
            </w:r>
            <w:r w:rsidRPr="00FF5603">
              <w:rPr>
                <w:sz w:val="20"/>
                <w:szCs w:val="20"/>
              </w:rPr>
              <w:t xml:space="preserve"> ein Gesetz (U.S. Rev. Stat. </w:t>
            </w:r>
            <w:r>
              <w:rPr>
                <w:sz w:val="20"/>
                <w:szCs w:val="20"/>
              </w:rPr>
              <w:t>§ </w:t>
            </w:r>
            <w:r w:rsidRPr="00FF5603">
              <w:rPr>
                <w:sz w:val="20"/>
                <w:szCs w:val="20"/>
              </w:rPr>
              <w:t>1977</w:t>
            </w:r>
            <w:r w:rsidRPr="00FF5603">
              <w:rPr>
                <w:sz w:val="20"/>
                <w:szCs w:val="20"/>
                <w:vertAlign w:val="superscript"/>
              </w:rPr>
              <w:footnoteReference w:id="1843"/>
            </w:r>
            <w:r w:rsidRPr="00FF5603">
              <w:rPr>
                <w:sz w:val="20"/>
                <w:szCs w:val="20"/>
              </w:rPr>
              <w:t>), indem er die Gleichberechtigungsklausel und das gleiche Recht auf ein Streben nach Glück weiter konkretisier</w:t>
            </w:r>
            <w:r>
              <w:rPr>
                <w:sz w:val="20"/>
                <w:szCs w:val="20"/>
              </w:rPr>
              <w:t>t</w:t>
            </w:r>
            <w:r w:rsidRPr="00FF5603">
              <w:rPr>
                <w:sz w:val="20"/>
                <w:szCs w:val="20"/>
              </w:rPr>
              <w:t>e („</w:t>
            </w:r>
            <w:proofErr w:type="spellStart"/>
            <w:r w:rsidRPr="00FF5603">
              <w:rPr>
                <w:sz w:val="20"/>
                <w:szCs w:val="20"/>
              </w:rPr>
              <w:t>equally</w:t>
            </w:r>
            <w:proofErr w:type="spellEnd"/>
            <w:r w:rsidRPr="00FF5603">
              <w:rPr>
                <w:sz w:val="20"/>
                <w:szCs w:val="20"/>
              </w:rPr>
              <w:t xml:space="preserve"> </w:t>
            </w:r>
            <w:proofErr w:type="spellStart"/>
            <w:r w:rsidRPr="00FF5603">
              <w:rPr>
                <w:sz w:val="20"/>
                <w:szCs w:val="20"/>
              </w:rPr>
              <w:t>entitled</w:t>
            </w:r>
            <w:proofErr w:type="spellEnd"/>
            <w:r w:rsidRPr="00FF5603">
              <w:rPr>
                <w:sz w:val="20"/>
                <w:szCs w:val="20"/>
              </w:rPr>
              <w:t xml:space="preserve"> to </w:t>
            </w:r>
            <w:proofErr w:type="spellStart"/>
            <w:r w:rsidRPr="00FF5603">
              <w:rPr>
                <w:sz w:val="20"/>
                <w:szCs w:val="20"/>
              </w:rPr>
              <w:t>pursue</w:t>
            </w:r>
            <w:proofErr w:type="spellEnd"/>
            <w:r w:rsidRPr="00FF5603">
              <w:rPr>
                <w:sz w:val="20"/>
                <w:szCs w:val="20"/>
              </w:rPr>
              <w:t xml:space="preserve"> </w:t>
            </w:r>
            <w:proofErr w:type="spellStart"/>
            <w:r w:rsidRPr="00FF5603">
              <w:rPr>
                <w:sz w:val="20"/>
                <w:szCs w:val="20"/>
              </w:rPr>
              <w:t>their</w:t>
            </w:r>
            <w:proofErr w:type="spellEnd"/>
            <w:r w:rsidRPr="00FF5603">
              <w:rPr>
                <w:sz w:val="20"/>
                <w:szCs w:val="20"/>
              </w:rPr>
              <w:t xml:space="preserve"> </w:t>
            </w:r>
            <w:proofErr w:type="spellStart"/>
            <w:r w:rsidRPr="00FF5603">
              <w:rPr>
                <w:sz w:val="20"/>
                <w:szCs w:val="20"/>
              </w:rPr>
              <w:t>happiness</w:t>
            </w:r>
            <w:proofErr w:type="spellEnd"/>
            <w:r w:rsidRPr="00FF5603">
              <w:rPr>
                <w:sz w:val="20"/>
                <w:szCs w:val="20"/>
              </w:rPr>
              <w:t>“</w:t>
            </w:r>
            <w:r w:rsidRPr="00FF5603">
              <w:rPr>
                <w:sz w:val="20"/>
                <w:szCs w:val="20"/>
                <w:vertAlign w:val="superscript"/>
              </w:rPr>
              <w:footnoteReference w:id="1844"/>
            </w:r>
            <w:r w:rsidRPr="00FF5603">
              <w:rPr>
                <w:sz w:val="20"/>
                <w:szCs w:val="20"/>
              </w:rPr>
              <w:t xml:space="preserve">). Danach hieß es, alle Personen, die der Gerichtsbarkeit der Vereinigten Staaten </w:t>
            </w:r>
            <w:r>
              <w:rPr>
                <w:sz w:val="20"/>
                <w:szCs w:val="20"/>
              </w:rPr>
              <w:t>unterstünden</w:t>
            </w:r>
            <w:r w:rsidRPr="00FF5603">
              <w:rPr>
                <w:sz w:val="20"/>
                <w:szCs w:val="20"/>
              </w:rPr>
              <w:t xml:space="preserve">, </w:t>
            </w:r>
            <w:r>
              <w:rPr>
                <w:sz w:val="20"/>
                <w:szCs w:val="20"/>
              </w:rPr>
              <w:t>hätten</w:t>
            </w:r>
            <w:r w:rsidRPr="00FF5603">
              <w:rPr>
                <w:sz w:val="20"/>
                <w:szCs w:val="20"/>
              </w:rPr>
              <w:t xml:space="preserve"> unabhängig</w:t>
            </w:r>
            <w:r>
              <w:rPr>
                <w:sz w:val="20"/>
                <w:szCs w:val="20"/>
              </w:rPr>
              <w:t xml:space="preserve"> von</w:t>
            </w:r>
            <w:r w:rsidRPr="00FF5603">
              <w:rPr>
                <w:sz w:val="20"/>
                <w:szCs w:val="20"/>
              </w:rPr>
              <w:t xml:space="preserve"> ihrer Hautfarbe in jedem Bundesstaat das gleiche Recht, Verträge zu schließen und durchzusetzen, zu klagen, als Partei aufzutreten, Beweis</w:t>
            </w:r>
            <w:r>
              <w:rPr>
                <w:sz w:val="20"/>
                <w:szCs w:val="20"/>
              </w:rPr>
              <w:t>e</w:t>
            </w:r>
            <w:r w:rsidRPr="00FF5603">
              <w:rPr>
                <w:sz w:val="20"/>
                <w:szCs w:val="20"/>
              </w:rPr>
              <w:t xml:space="preserve"> zu erbringen </w:t>
            </w:r>
            <w:r>
              <w:rPr>
                <w:sz w:val="20"/>
                <w:szCs w:val="20"/>
              </w:rPr>
              <w:t>sowie</w:t>
            </w:r>
            <w:r w:rsidRPr="00FF5603">
              <w:rPr>
                <w:sz w:val="20"/>
                <w:szCs w:val="20"/>
              </w:rPr>
              <w:t xml:space="preserve"> gleich vor den Gesetzen und für die Verfahren zu sein und damit Sicherheit zu erfahren und ihre Eigentumsmöglichkeiten nutzen zu können. Und sie unterl</w:t>
            </w:r>
            <w:r>
              <w:rPr>
                <w:sz w:val="20"/>
                <w:szCs w:val="20"/>
              </w:rPr>
              <w:t>ä</w:t>
            </w:r>
            <w:r w:rsidRPr="00FF5603">
              <w:rPr>
                <w:sz w:val="20"/>
                <w:szCs w:val="20"/>
              </w:rPr>
              <w:t xml:space="preserve">gen auch den gleichen Strafen, Bußgeldern, Steuern, Lizenzen und Abgaben (vgl. U.S. Rev. Stat. </w:t>
            </w:r>
            <w:r>
              <w:rPr>
                <w:sz w:val="20"/>
                <w:szCs w:val="20"/>
              </w:rPr>
              <w:t>§ </w:t>
            </w:r>
            <w:r w:rsidRPr="00FF5603">
              <w:rPr>
                <w:sz w:val="20"/>
                <w:szCs w:val="20"/>
              </w:rPr>
              <w:t>1977). Dieses Recht konkretisier</w:t>
            </w:r>
            <w:r>
              <w:rPr>
                <w:sz w:val="20"/>
                <w:szCs w:val="20"/>
              </w:rPr>
              <w:t>e</w:t>
            </w:r>
            <w:r w:rsidRPr="00FF5603">
              <w:rPr>
                <w:sz w:val="20"/>
                <w:szCs w:val="20"/>
              </w:rPr>
              <w:t xml:space="preserve"> einfachgesetzlich das Grundrecht auf ein gleiches Streben nach Glück</w:t>
            </w:r>
            <w:r>
              <w:rPr>
                <w:sz w:val="20"/>
                <w:szCs w:val="20"/>
              </w:rPr>
              <w:t xml:space="preserve">, das </w:t>
            </w:r>
            <w:r w:rsidRPr="00FF5603">
              <w:rPr>
                <w:sz w:val="20"/>
                <w:szCs w:val="20"/>
              </w:rPr>
              <w:t>den Ursprung für gleiche Gesetz schaffe („</w:t>
            </w:r>
            <w:proofErr w:type="spellStart"/>
            <w:r w:rsidRPr="00FF5603">
              <w:rPr>
                <w:sz w:val="20"/>
                <w:szCs w:val="20"/>
              </w:rPr>
              <w:t>protection</w:t>
            </w:r>
            <w:proofErr w:type="spellEnd"/>
            <w:r w:rsidRPr="00FF5603">
              <w:rPr>
                <w:sz w:val="20"/>
                <w:szCs w:val="20"/>
              </w:rPr>
              <w:t xml:space="preserve"> of </w:t>
            </w:r>
            <w:proofErr w:type="spellStart"/>
            <w:r w:rsidRPr="00FF5603">
              <w:rPr>
                <w:sz w:val="20"/>
                <w:szCs w:val="20"/>
              </w:rPr>
              <w:t>equal</w:t>
            </w:r>
            <w:proofErr w:type="spellEnd"/>
            <w:r w:rsidRPr="00FF5603">
              <w:rPr>
                <w:sz w:val="20"/>
                <w:szCs w:val="20"/>
              </w:rPr>
              <w:t xml:space="preserve"> </w:t>
            </w:r>
            <w:proofErr w:type="spellStart"/>
            <w:r w:rsidRPr="00FF5603">
              <w:rPr>
                <w:sz w:val="20"/>
                <w:szCs w:val="20"/>
              </w:rPr>
              <w:t>laws</w:t>
            </w:r>
            <w:proofErr w:type="spellEnd"/>
            <w:r w:rsidRPr="00FF5603">
              <w:rPr>
                <w:sz w:val="20"/>
                <w:szCs w:val="20"/>
              </w:rPr>
              <w:t>“</w:t>
            </w:r>
            <w:r w:rsidRPr="00FF5603">
              <w:rPr>
                <w:sz w:val="20"/>
                <w:szCs w:val="20"/>
                <w:vertAlign w:val="superscript"/>
              </w:rPr>
              <w:footnoteReference w:id="1845"/>
            </w:r>
            <w:r w:rsidRPr="00FF5603">
              <w:rPr>
                <w:sz w:val="20"/>
                <w:szCs w:val="20"/>
              </w:rPr>
              <w:t>).</w:t>
            </w:r>
          </w:p>
          <w:p w14:paraId="5BFBF08F" w14:textId="77777777" w:rsidR="00074551" w:rsidRPr="00E50B51" w:rsidRDefault="00074551" w:rsidP="00367133">
            <w:pPr>
              <w:jc w:val="both"/>
              <w:rPr>
                <w:sz w:val="20"/>
                <w:szCs w:val="20"/>
              </w:rPr>
            </w:pPr>
          </w:p>
        </w:tc>
      </w:tr>
      <w:tr w:rsidR="00074551" w:rsidRPr="00E50B51" w14:paraId="56A1B3C0" w14:textId="77777777" w:rsidTr="00203768">
        <w:trPr>
          <w:cantSplit/>
          <w:trHeight w:val="3175"/>
        </w:trPr>
        <w:tc>
          <w:tcPr>
            <w:tcW w:w="293" w:type="pct"/>
            <w:shd w:val="clear" w:color="auto" w:fill="E7E6E6" w:themeFill="background2"/>
          </w:tcPr>
          <w:p w14:paraId="5789E22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5FB59D1A"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5558CB5B" w14:textId="77777777" w:rsidR="00074551" w:rsidRPr="00E50B51" w:rsidRDefault="00074551" w:rsidP="00367133">
            <w:pPr>
              <w:ind w:left="113" w:right="113"/>
              <w:jc w:val="both"/>
              <w:rPr>
                <w:sz w:val="20"/>
                <w:szCs w:val="20"/>
                <w:lang w:val="en-US"/>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4A7E44E4" w14:textId="77777777" w:rsidR="00074551" w:rsidRPr="00E50B51" w:rsidRDefault="00074551" w:rsidP="00367133">
            <w:pPr>
              <w:ind w:left="113" w:right="113"/>
              <w:jc w:val="both"/>
              <w:rPr>
                <w:sz w:val="20"/>
                <w:szCs w:val="20"/>
                <w:lang w:val="en-US"/>
              </w:rPr>
            </w:pPr>
            <w:r w:rsidRPr="00E50B51">
              <w:rPr>
                <w:sz w:val="20"/>
                <w:szCs w:val="20"/>
                <w:lang w:val="en-US"/>
              </w:rPr>
              <w:t>Age</w:t>
            </w:r>
          </w:p>
        </w:tc>
        <w:tc>
          <w:tcPr>
            <w:tcW w:w="401" w:type="pct"/>
            <w:shd w:val="clear" w:color="auto" w:fill="E7E6E6" w:themeFill="background2"/>
          </w:tcPr>
          <w:p w14:paraId="6925A8B5"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64C60556" w14:textId="77777777" w:rsidR="00074551" w:rsidRPr="00E50B51" w:rsidRDefault="00074551" w:rsidP="00367133">
            <w:pPr>
              <w:jc w:val="both"/>
              <w:rPr>
                <w:sz w:val="20"/>
                <w:szCs w:val="20"/>
                <w:lang w:val="en-US"/>
              </w:rPr>
            </w:pPr>
          </w:p>
        </w:tc>
        <w:tc>
          <w:tcPr>
            <w:tcW w:w="1822" w:type="pct"/>
            <w:shd w:val="clear" w:color="auto" w:fill="E7E6E6" w:themeFill="background2"/>
          </w:tcPr>
          <w:p w14:paraId="1BC7AF6D" w14:textId="0716CA43"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3114382F" w14:textId="77777777" w:rsidTr="00BE689F">
        <w:trPr>
          <w:cantSplit/>
          <w:trHeight w:val="3175"/>
        </w:trPr>
        <w:tc>
          <w:tcPr>
            <w:tcW w:w="293" w:type="pct"/>
          </w:tcPr>
          <w:p w14:paraId="1479ADB6"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B09D43E" w14:textId="77777777" w:rsidR="00074551" w:rsidRPr="00B45592" w:rsidRDefault="00074551" w:rsidP="00367133">
            <w:pPr>
              <w:ind w:left="113" w:right="416"/>
              <w:jc w:val="both"/>
              <w:rPr>
                <w:i/>
                <w:sz w:val="20"/>
                <w:szCs w:val="20"/>
                <w:lang w:val="en-US"/>
              </w:rPr>
            </w:pPr>
            <w:r w:rsidRPr="00B45592">
              <w:rPr>
                <w:i/>
                <w:sz w:val="20"/>
                <w:szCs w:val="20"/>
                <w:lang w:val="en-US"/>
              </w:rPr>
              <w:t>Massachusetts Bd. of Retirement v. Murgia</w:t>
            </w:r>
          </w:p>
        </w:tc>
        <w:tc>
          <w:tcPr>
            <w:tcW w:w="197" w:type="pct"/>
            <w:textDirection w:val="tbRl"/>
            <w:vAlign w:val="center"/>
          </w:tcPr>
          <w:p w14:paraId="6320200B" w14:textId="77777777" w:rsidR="00074551" w:rsidRPr="00E50B51" w:rsidRDefault="00074551" w:rsidP="00367133">
            <w:pPr>
              <w:ind w:left="113" w:right="113"/>
              <w:jc w:val="both"/>
              <w:rPr>
                <w:sz w:val="20"/>
                <w:szCs w:val="20"/>
              </w:rPr>
            </w:pPr>
            <w:r w:rsidRPr="00E50B51">
              <w:rPr>
                <w:sz w:val="20"/>
                <w:szCs w:val="20"/>
                <w:lang w:val="en-US"/>
              </w:rPr>
              <w:t>427 U.S. 307</w:t>
            </w:r>
          </w:p>
        </w:tc>
        <w:tc>
          <w:tcPr>
            <w:tcW w:w="306" w:type="pct"/>
            <w:textDirection w:val="tbRl"/>
            <w:vAlign w:val="center"/>
          </w:tcPr>
          <w:p w14:paraId="627A37CF" w14:textId="77777777" w:rsidR="00074551" w:rsidRPr="00E50B51" w:rsidRDefault="00074551" w:rsidP="00367133">
            <w:pPr>
              <w:ind w:left="113" w:right="113"/>
              <w:jc w:val="both"/>
              <w:rPr>
                <w:sz w:val="20"/>
                <w:szCs w:val="20"/>
                <w:lang w:val="en-US"/>
              </w:rPr>
            </w:pPr>
            <w:r w:rsidRPr="00E50B51">
              <w:rPr>
                <w:sz w:val="20"/>
                <w:szCs w:val="20"/>
              </w:rPr>
              <w:t>25. Juni 1976</w:t>
            </w:r>
          </w:p>
        </w:tc>
        <w:tc>
          <w:tcPr>
            <w:tcW w:w="401" w:type="pct"/>
          </w:tcPr>
          <w:p w14:paraId="05BBFD09" w14:textId="77777777" w:rsidR="00074551" w:rsidRPr="00E50B51" w:rsidRDefault="00074551" w:rsidP="00367133">
            <w:pPr>
              <w:jc w:val="center"/>
              <w:rPr>
                <w:sz w:val="20"/>
                <w:szCs w:val="20"/>
                <w:lang w:val="en-US"/>
              </w:rPr>
            </w:pPr>
            <w:r w:rsidRPr="00E50B51">
              <w:rPr>
                <w:sz w:val="20"/>
                <w:szCs w:val="20"/>
              </w:rPr>
              <w:t>D</w:t>
            </w:r>
          </w:p>
        </w:tc>
        <w:tc>
          <w:tcPr>
            <w:tcW w:w="1594" w:type="pct"/>
          </w:tcPr>
          <w:p w14:paraId="17E6E6EA"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66114DB2" w14:textId="77777777" w:rsidR="00074551" w:rsidRDefault="00074551" w:rsidP="00367133">
            <w:pPr>
              <w:jc w:val="both"/>
              <w:rPr>
                <w:sz w:val="20"/>
                <w:szCs w:val="20"/>
              </w:rPr>
            </w:pPr>
            <w:r w:rsidRPr="003D4BC0">
              <w:rPr>
                <w:sz w:val="20"/>
                <w:szCs w:val="20"/>
              </w:rPr>
              <w:t xml:space="preserve">Das dem Fall </w:t>
            </w:r>
            <w:r>
              <w:rPr>
                <w:sz w:val="20"/>
                <w:szCs w:val="20"/>
              </w:rPr>
              <w:t>zugrunde liegende</w:t>
            </w:r>
            <w:r w:rsidRPr="003D4BC0">
              <w:rPr>
                <w:sz w:val="20"/>
                <w:szCs w:val="20"/>
              </w:rPr>
              <w:t xml:space="preserve"> Gesetz (</w:t>
            </w:r>
            <w:proofErr w:type="spellStart"/>
            <w:r w:rsidRPr="003D4BC0">
              <w:rPr>
                <w:sz w:val="20"/>
                <w:szCs w:val="20"/>
              </w:rPr>
              <w:t>Mass</w:t>
            </w:r>
            <w:proofErr w:type="spellEnd"/>
            <w:r w:rsidRPr="003D4BC0">
              <w:rPr>
                <w:sz w:val="20"/>
                <w:szCs w:val="20"/>
              </w:rPr>
              <w:t xml:space="preserve">. Gen. Laws Ann. </w:t>
            </w:r>
            <w:proofErr w:type="spellStart"/>
            <w:r w:rsidRPr="003D4BC0">
              <w:rPr>
                <w:sz w:val="20"/>
                <w:szCs w:val="20"/>
              </w:rPr>
              <w:t>ch</w:t>
            </w:r>
            <w:proofErr w:type="spellEnd"/>
            <w:r w:rsidRPr="003D4BC0">
              <w:rPr>
                <w:sz w:val="20"/>
                <w:szCs w:val="20"/>
              </w:rPr>
              <w:t xml:space="preserve">. 32, </w:t>
            </w:r>
            <w:r>
              <w:rPr>
                <w:sz w:val="20"/>
                <w:szCs w:val="20"/>
              </w:rPr>
              <w:t>§ </w:t>
            </w:r>
            <w:r w:rsidRPr="003D4BC0">
              <w:rPr>
                <w:sz w:val="20"/>
                <w:szCs w:val="20"/>
              </w:rPr>
              <w:t>26(3)(a), 1966)</w:t>
            </w:r>
            <w:r w:rsidRPr="003D4BC0">
              <w:rPr>
                <w:sz w:val="20"/>
                <w:szCs w:val="20"/>
                <w:vertAlign w:val="superscript"/>
              </w:rPr>
              <w:footnoteReference w:id="1846"/>
            </w:r>
            <w:r w:rsidRPr="003D4BC0">
              <w:rPr>
                <w:sz w:val="20"/>
                <w:szCs w:val="20"/>
              </w:rPr>
              <w:t xml:space="preserve"> setzt</w:t>
            </w:r>
            <w:r>
              <w:rPr>
                <w:sz w:val="20"/>
                <w:szCs w:val="20"/>
              </w:rPr>
              <w:t>e</w:t>
            </w:r>
            <w:r w:rsidRPr="003D4BC0">
              <w:rPr>
                <w:sz w:val="20"/>
                <w:szCs w:val="20"/>
              </w:rPr>
              <w:t xml:space="preserve"> voraus, dass ein Polizeibeamter mit Vollendung des 50</w:t>
            </w:r>
            <w:r>
              <w:rPr>
                <w:sz w:val="20"/>
                <w:szCs w:val="20"/>
              </w:rPr>
              <w:t>.</w:t>
            </w:r>
            <w:r w:rsidRPr="003D4BC0">
              <w:rPr>
                <w:sz w:val="20"/>
                <w:szCs w:val="20"/>
              </w:rPr>
              <w:t xml:space="preserve"> </w:t>
            </w:r>
            <w:r>
              <w:rPr>
                <w:sz w:val="20"/>
                <w:szCs w:val="20"/>
              </w:rPr>
              <w:t>Lebensj</w:t>
            </w:r>
            <w:r w:rsidRPr="003D4BC0">
              <w:rPr>
                <w:sz w:val="20"/>
                <w:szCs w:val="20"/>
              </w:rPr>
              <w:t xml:space="preserve">ahres in Rente gehen </w:t>
            </w:r>
            <w:r>
              <w:rPr>
                <w:sz w:val="20"/>
                <w:szCs w:val="20"/>
              </w:rPr>
              <w:t>musste</w:t>
            </w:r>
            <w:r w:rsidRPr="003D4BC0">
              <w:rPr>
                <w:sz w:val="20"/>
                <w:szCs w:val="20"/>
              </w:rPr>
              <w:t xml:space="preserve">. Nach dem Dissens sei mit der Altersdiskriminierung auch die Berufsausübungsfreiheit betroffen („the </w:t>
            </w:r>
            <w:proofErr w:type="spellStart"/>
            <w:r w:rsidRPr="003D4BC0">
              <w:rPr>
                <w:sz w:val="20"/>
                <w:szCs w:val="20"/>
              </w:rPr>
              <w:t>right</w:t>
            </w:r>
            <w:proofErr w:type="spellEnd"/>
            <w:r w:rsidRPr="003D4BC0">
              <w:rPr>
                <w:sz w:val="20"/>
                <w:szCs w:val="20"/>
              </w:rPr>
              <w:t xml:space="preserve"> of the individual to </w:t>
            </w:r>
            <w:proofErr w:type="spellStart"/>
            <w:r w:rsidRPr="003D4BC0">
              <w:rPr>
                <w:sz w:val="20"/>
                <w:szCs w:val="20"/>
              </w:rPr>
              <w:t>engage</w:t>
            </w:r>
            <w:proofErr w:type="spellEnd"/>
            <w:r w:rsidRPr="003D4BC0">
              <w:rPr>
                <w:sz w:val="20"/>
                <w:szCs w:val="20"/>
              </w:rPr>
              <w:t xml:space="preserve"> in </w:t>
            </w:r>
            <w:proofErr w:type="spellStart"/>
            <w:r w:rsidRPr="003D4BC0">
              <w:rPr>
                <w:sz w:val="20"/>
                <w:szCs w:val="20"/>
              </w:rPr>
              <w:t>any</w:t>
            </w:r>
            <w:proofErr w:type="spellEnd"/>
            <w:r w:rsidRPr="003D4BC0">
              <w:rPr>
                <w:sz w:val="20"/>
                <w:szCs w:val="20"/>
              </w:rPr>
              <w:t xml:space="preserve"> of the </w:t>
            </w:r>
            <w:proofErr w:type="spellStart"/>
            <w:r w:rsidRPr="003D4BC0">
              <w:rPr>
                <w:sz w:val="20"/>
                <w:szCs w:val="20"/>
              </w:rPr>
              <w:t>common</w:t>
            </w:r>
            <w:proofErr w:type="spellEnd"/>
            <w:r w:rsidRPr="003D4BC0">
              <w:rPr>
                <w:sz w:val="20"/>
                <w:szCs w:val="20"/>
              </w:rPr>
              <w:t xml:space="preserve"> </w:t>
            </w:r>
            <w:proofErr w:type="spellStart"/>
            <w:r w:rsidRPr="003D4BC0">
              <w:rPr>
                <w:sz w:val="20"/>
                <w:szCs w:val="20"/>
              </w:rPr>
              <w:t>occupations</w:t>
            </w:r>
            <w:proofErr w:type="spellEnd"/>
            <w:r w:rsidRPr="003D4BC0">
              <w:rPr>
                <w:sz w:val="20"/>
                <w:szCs w:val="20"/>
              </w:rPr>
              <w:t xml:space="preserve"> of </w:t>
            </w:r>
            <w:proofErr w:type="spellStart"/>
            <w:r w:rsidRPr="003D4BC0">
              <w:rPr>
                <w:sz w:val="20"/>
                <w:szCs w:val="20"/>
              </w:rPr>
              <w:t>life</w:t>
            </w:r>
            <w:proofErr w:type="spellEnd"/>
            <w:r w:rsidRPr="003D4BC0">
              <w:rPr>
                <w:sz w:val="20"/>
                <w:szCs w:val="20"/>
              </w:rPr>
              <w:t>“</w:t>
            </w:r>
            <w:r w:rsidRPr="003D4BC0">
              <w:rPr>
                <w:sz w:val="20"/>
                <w:szCs w:val="20"/>
                <w:vertAlign w:val="superscript"/>
              </w:rPr>
              <w:footnoteReference w:id="1847"/>
            </w:r>
            <w:r w:rsidRPr="003D4BC0">
              <w:rPr>
                <w:sz w:val="20"/>
                <w:szCs w:val="20"/>
              </w:rPr>
              <w:t xml:space="preserve">). Die Berufsausübungsfreiheit falle unter die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D4BC0">
              <w:rPr>
                <w:sz w:val="20"/>
                <w:szCs w:val="20"/>
              </w:rPr>
              <w:t xml:space="preserve"> garantierte Freiheit.</w:t>
            </w:r>
            <w:r w:rsidRPr="003D4BC0">
              <w:rPr>
                <w:sz w:val="20"/>
                <w:szCs w:val="20"/>
                <w:vertAlign w:val="superscript"/>
              </w:rPr>
              <w:footnoteReference w:id="1848"/>
            </w:r>
            <w:r w:rsidRPr="003D4BC0">
              <w:rPr>
                <w:sz w:val="20"/>
                <w:szCs w:val="20"/>
              </w:rPr>
              <w:t xml:space="preserve"> Sie, respektive der Freiheitsbegriff, sei aber ein unveräußerliches Recht. </w:t>
            </w:r>
            <w:r w:rsidRPr="004F6665">
              <w:rPr>
                <w:sz w:val="20"/>
                <w:szCs w:val="20"/>
                <w:lang w:val="en-IE"/>
              </w:rPr>
              <w:t xml:space="preserve">Denn dieses </w:t>
            </w:r>
            <w:proofErr w:type="spellStart"/>
            <w:r w:rsidRPr="004F6665">
              <w:rPr>
                <w:sz w:val="20"/>
                <w:szCs w:val="20"/>
                <w:lang w:val="en-IE"/>
              </w:rPr>
              <w:t>leite</w:t>
            </w:r>
            <w:proofErr w:type="spellEnd"/>
            <w:r w:rsidRPr="004F6665">
              <w:rPr>
                <w:sz w:val="20"/>
                <w:szCs w:val="20"/>
                <w:lang w:val="en-IE"/>
              </w:rPr>
              <w:t xml:space="preserve"> </w:t>
            </w:r>
            <w:proofErr w:type="spellStart"/>
            <w:r w:rsidRPr="004F6665">
              <w:rPr>
                <w:sz w:val="20"/>
                <w:szCs w:val="20"/>
                <w:lang w:val="en-IE"/>
              </w:rPr>
              <w:t>sich</w:t>
            </w:r>
            <w:proofErr w:type="spellEnd"/>
            <w:r w:rsidRPr="004F6665">
              <w:rPr>
                <w:sz w:val="20"/>
                <w:szCs w:val="20"/>
                <w:lang w:val="en-IE"/>
              </w:rPr>
              <w:t xml:space="preserve"> </w:t>
            </w:r>
            <w:proofErr w:type="spellStart"/>
            <w:r w:rsidRPr="004F6665">
              <w:rPr>
                <w:sz w:val="20"/>
                <w:szCs w:val="20"/>
                <w:lang w:val="en-IE"/>
              </w:rPr>
              <w:t>vor</w:t>
            </w:r>
            <w:proofErr w:type="spellEnd"/>
            <w:r w:rsidRPr="004F6665">
              <w:rPr>
                <w:sz w:val="20"/>
                <w:szCs w:val="20"/>
                <w:lang w:val="en-IE"/>
              </w:rPr>
              <w:t xml:space="preserve"> </w:t>
            </w:r>
            <w:proofErr w:type="spellStart"/>
            <w:r w:rsidRPr="004F6665">
              <w:rPr>
                <w:sz w:val="20"/>
                <w:szCs w:val="20"/>
                <w:lang w:val="en-IE"/>
              </w:rPr>
              <w:t>allem</w:t>
            </w:r>
            <w:proofErr w:type="spellEnd"/>
            <w:r w:rsidRPr="004F6665">
              <w:rPr>
                <w:sz w:val="20"/>
                <w:szCs w:val="20"/>
                <w:lang w:val="en-IE"/>
              </w:rPr>
              <w:t xml:space="preserve"> </w:t>
            </w:r>
            <w:proofErr w:type="spellStart"/>
            <w:r w:rsidRPr="004F6665">
              <w:rPr>
                <w:sz w:val="20"/>
                <w:szCs w:val="20"/>
                <w:lang w:val="en-IE"/>
              </w:rPr>
              <w:t>aus</w:t>
            </w:r>
            <w:proofErr w:type="spellEnd"/>
            <w:r w:rsidRPr="004F6665">
              <w:rPr>
                <w:sz w:val="20"/>
                <w:szCs w:val="20"/>
                <w:lang w:val="en-IE"/>
              </w:rPr>
              <w:t xml:space="preserve"> </w:t>
            </w:r>
            <w:proofErr w:type="spellStart"/>
            <w:r w:rsidRPr="004F6665">
              <w:rPr>
                <w:sz w:val="20"/>
                <w:szCs w:val="20"/>
                <w:lang w:val="en-IE"/>
              </w:rPr>
              <w:t>dem</w:t>
            </w:r>
            <w:proofErr w:type="spellEnd"/>
            <w:r w:rsidRPr="004F6665">
              <w:rPr>
                <w:sz w:val="20"/>
                <w:szCs w:val="20"/>
                <w:lang w:val="en-IE"/>
              </w:rPr>
              <w:t xml:space="preserve"> </w:t>
            </w:r>
            <w:proofErr w:type="spellStart"/>
            <w:r w:rsidRPr="004F6665">
              <w:rPr>
                <w:sz w:val="20"/>
                <w:szCs w:val="20"/>
                <w:lang w:val="en-IE"/>
              </w:rPr>
              <w:t>Wortlaut</w:t>
            </w:r>
            <w:proofErr w:type="spellEnd"/>
            <w:r w:rsidRPr="004F6665">
              <w:rPr>
                <w:sz w:val="20"/>
                <w:szCs w:val="20"/>
                <w:lang w:val="en-IE"/>
              </w:rPr>
              <w:t xml:space="preserve"> des </w:t>
            </w:r>
            <w:r w:rsidRPr="5B67C1D2">
              <w:rPr>
                <w:i/>
                <w:iCs/>
                <w:sz w:val="20"/>
                <w:szCs w:val="20"/>
                <w:lang w:val="en-IE"/>
              </w:rPr>
              <w:t>pursuit of Happiness</w:t>
            </w:r>
            <w:r w:rsidRPr="004F6665">
              <w:rPr>
                <w:sz w:val="20"/>
                <w:szCs w:val="20"/>
                <w:lang w:val="en-IE"/>
              </w:rPr>
              <w:t xml:space="preserve"> in der </w:t>
            </w:r>
            <w:r w:rsidRPr="5B67C1D2">
              <w:rPr>
                <w:i/>
                <w:iCs/>
                <w:sz w:val="20"/>
                <w:szCs w:val="20"/>
                <w:lang w:val="en-IE"/>
              </w:rPr>
              <w:t>Declaration of Independence</w:t>
            </w:r>
            <w:r w:rsidRPr="004F6665">
              <w:rPr>
                <w:sz w:val="20"/>
                <w:szCs w:val="20"/>
                <w:lang w:val="en-IE"/>
              </w:rPr>
              <w:t xml:space="preserve"> ab („this right is an inalienable right; it was formulated as such under the phrase ,pursuit of happiness‘“</w:t>
            </w:r>
            <w:r w:rsidRPr="003D4BC0">
              <w:rPr>
                <w:sz w:val="20"/>
                <w:szCs w:val="20"/>
                <w:vertAlign w:val="superscript"/>
                <w:lang w:val="en-US"/>
              </w:rPr>
              <w:footnoteReference w:id="1849"/>
            </w:r>
            <w:r w:rsidRPr="004F6665">
              <w:rPr>
                <w:sz w:val="20"/>
                <w:szCs w:val="20"/>
                <w:lang w:val="en-IE"/>
              </w:rPr>
              <w:t xml:space="preserve">). </w:t>
            </w:r>
            <w:r w:rsidR="00472EF5" w:rsidRPr="00472EF5">
              <w:rPr>
                <w:sz w:val="20"/>
                <w:szCs w:val="20"/>
              </w:rPr>
              <w:t>Womit Gerichte eine Altersdiskriminierung im Zusammenhang mit diesem unveräußerlichen Recht nach Auffassung des Dissenses einer eingehenderen, einzelfallbezogenen Prüfung zu unterziehen gehabt hätten, die</w:t>
            </w:r>
            <w:r w:rsidR="00472EF5">
              <w:rPr>
                <w:sz w:val="20"/>
                <w:szCs w:val="20"/>
              </w:rPr>
              <w:t xml:space="preserve"> über die</w:t>
            </w:r>
            <w:r w:rsidR="00472EF5" w:rsidRPr="00472EF5">
              <w:rPr>
                <w:sz w:val="20"/>
                <w:szCs w:val="20"/>
              </w:rPr>
              <w:t xml:space="preserve"> starren Alternative zwischen bloßer Rationalitätsprüfung und strengem Maßstab („</w:t>
            </w:r>
            <w:proofErr w:type="spellStart"/>
            <w:r w:rsidR="00472EF5" w:rsidRPr="00472EF5">
              <w:rPr>
                <w:sz w:val="20"/>
                <w:szCs w:val="20"/>
              </w:rPr>
              <w:t>strict</w:t>
            </w:r>
            <w:proofErr w:type="spellEnd"/>
            <w:r w:rsidR="00472EF5" w:rsidRPr="00472EF5">
              <w:rPr>
                <w:sz w:val="20"/>
                <w:szCs w:val="20"/>
              </w:rPr>
              <w:t xml:space="preserve"> </w:t>
            </w:r>
            <w:proofErr w:type="spellStart"/>
            <w:r w:rsidR="00472EF5" w:rsidRPr="00472EF5">
              <w:rPr>
                <w:sz w:val="20"/>
                <w:szCs w:val="20"/>
              </w:rPr>
              <w:t>scrutiny</w:t>
            </w:r>
            <w:proofErr w:type="spellEnd"/>
            <w:r w:rsidR="00472EF5" w:rsidRPr="00472EF5">
              <w:rPr>
                <w:sz w:val="20"/>
                <w:szCs w:val="20"/>
              </w:rPr>
              <w:t>“</w:t>
            </w:r>
            <w:r w:rsidR="00472EF5" w:rsidRPr="003D4BC0">
              <w:rPr>
                <w:sz w:val="20"/>
                <w:szCs w:val="20"/>
                <w:vertAlign w:val="superscript"/>
              </w:rPr>
              <w:t xml:space="preserve"> </w:t>
            </w:r>
            <w:r w:rsidR="00472EF5" w:rsidRPr="003D4BC0">
              <w:rPr>
                <w:sz w:val="20"/>
                <w:szCs w:val="20"/>
                <w:vertAlign w:val="superscript"/>
              </w:rPr>
              <w:footnoteReference w:id="1850"/>
            </w:r>
            <w:r w:rsidR="00472EF5" w:rsidRPr="00472EF5">
              <w:rPr>
                <w:sz w:val="20"/>
                <w:szCs w:val="20"/>
              </w:rPr>
              <w:t>)</w:t>
            </w:r>
            <w:r w:rsidR="00472EF5">
              <w:rPr>
                <w:sz w:val="20"/>
                <w:szCs w:val="20"/>
              </w:rPr>
              <w:t xml:space="preserve"> hinausgehe, letzteren also mitumfasse</w:t>
            </w:r>
            <w:r w:rsidR="00472EF5" w:rsidRPr="00472EF5">
              <w:rPr>
                <w:sz w:val="20"/>
                <w:szCs w:val="20"/>
              </w:rPr>
              <w:t>.</w:t>
            </w:r>
            <w:r w:rsidR="00472EF5">
              <w:rPr>
                <w:sz w:val="20"/>
                <w:szCs w:val="20"/>
              </w:rPr>
              <w:t xml:space="preserve"> </w:t>
            </w:r>
            <w:r w:rsidRPr="003D4BC0">
              <w:rPr>
                <w:sz w:val="20"/>
                <w:szCs w:val="20"/>
              </w:rPr>
              <w:t>Und das gelte insbesondere, da mit älteren Personen eine vulnerable Gruppe betroffen sei („</w:t>
            </w:r>
            <w:proofErr w:type="spellStart"/>
            <w:r w:rsidRPr="003D4BC0">
              <w:rPr>
                <w:sz w:val="20"/>
                <w:szCs w:val="20"/>
              </w:rPr>
              <w:t>significant</w:t>
            </w:r>
            <w:proofErr w:type="spellEnd"/>
            <w:r w:rsidRPr="003D4BC0">
              <w:rPr>
                <w:sz w:val="20"/>
                <w:szCs w:val="20"/>
              </w:rPr>
              <w:t xml:space="preserve"> </w:t>
            </w:r>
            <w:proofErr w:type="spellStart"/>
            <w:r w:rsidRPr="003D4BC0">
              <w:rPr>
                <w:sz w:val="20"/>
                <w:szCs w:val="20"/>
              </w:rPr>
              <w:t>deprivation</w:t>
            </w:r>
            <w:proofErr w:type="spellEnd"/>
            <w:r w:rsidRPr="003D4BC0">
              <w:rPr>
                <w:sz w:val="20"/>
                <w:szCs w:val="20"/>
              </w:rPr>
              <w:t xml:space="preserve">, it </w:t>
            </w:r>
            <w:proofErr w:type="spellStart"/>
            <w:r w:rsidRPr="003D4BC0">
              <w:rPr>
                <w:sz w:val="20"/>
                <w:szCs w:val="20"/>
              </w:rPr>
              <w:t>is</w:t>
            </w:r>
            <w:proofErr w:type="spellEnd"/>
            <w:r w:rsidRPr="003D4BC0">
              <w:rPr>
                <w:sz w:val="20"/>
                <w:szCs w:val="20"/>
              </w:rPr>
              <w:t xml:space="preserve"> </w:t>
            </w:r>
            <w:proofErr w:type="spellStart"/>
            <w:r w:rsidRPr="003D4BC0">
              <w:rPr>
                <w:sz w:val="20"/>
                <w:szCs w:val="20"/>
              </w:rPr>
              <w:t>particularly</w:t>
            </w:r>
            <w:proofErr w:type="spellEnd"/>
            <w:r w:rsidRPr="003D4BC0">
              <w:rPr>
                <w:sz w:val="20"/>
                <w:szCs w:val="20"/>
              </w:rPr>
              <w:t xml:space="preserve"> </w:t>
            </w:r>
            <w:proofErr w:type="spellStart"/>
            <w:r w:rsidRPr="003D4BC0">
              <w:rPr>
                <w:sz w:val="20"/>
                <w:szCs w:val="20"/>
              </w:rPr>
              <w:t>burdensome</w:t>
            </w:r>
            <w:proofErr w:type="spellEnd"/>
            <w:r w:rsidRPr="003D4BC0">
              <w:rPr>
                <w:sz w:val="20"/>
                <w:szCs w:val="20"/>
              </w:rPr>
              <w:t xml:space="preserve"> </w:t>
            </w:r>
            <w:proofErr w:type="spellStart"/>
            <w:r w:rsidRPr="003D4BC0">
              <w:rPr>
                <w:sz w:val="20"/>
                <w:szCs w:val="20"/>
              </w:rPr>
              <w:t>when</w:t>
            </w:r>
            <w:proofErr w:type="spellEnd"/>
            <w:r w:rsidRPr="003D4BC0">
              <w:rPr>
                <w:sz w:val="20"/>
                <w:szCs w:val="20"/>
              </w:rPr>
              <w:t xml:space="preserve"> the </w:t>
            </w:r>
            <w:proofErr w:type="spellStart"/>
            <w:r w:rsidRPr="003D4BC0">
              <w:rPr>
                <w:sz w:val="20"/>
                <w:szCs w:val="20"/>
              </w:rPr>
              <w:t>person</w:t>
            </w:r>
            <w:proofErr w:type="spellEnd"/>
            <w:r w:rsidRPr="003D4BC0">
              <w:rPr>
                <w:sz w:val="20"/>
                <w:szCs w:val="20"/>
              </w:rPr>
              <w:t xml:space="preserve"> </w:t>
            </w:r>
            <w:proofErr w:type="spellStart"/>
            <w:r w:rsidRPr="003D4BC0">
              <w:rPr>
                <w:sz w:val="20"/>
                <w:szCs w:val="20"/>
              </w:rPr>
              <w:t>deprived</w:t>
            </w:r>
            <w:proofErr w:type="spellEnd"/>
            <w:r w:rsidRPr="003D4BC0">
              <w:rPr>
                <w:sz w:val="20"/>
                <w:szCs w:val="20"/>
              </w:rPr>
              <w:t xml:space="preserve"> </w:t>
            </w:r>
            <w:proofErr w:type="spellStart"/>
            <w:r w:rsidRPr="003D4BC0">
              <w:rPr>
                <w:sz w:val="20"/>
                <w:szCs w:val="20"/>
              </w:rPr>
              <w:t>is</w:t>
            </w:r>
            <w:proofErr w:type="spellEnd"/>
            <w:r w:rsidRPr="003D4BC0">
              <w:rPr>
                <w:sz w:val="20"/>
                <w:szCs w:val="20"/>
              </w:rPr>
              <w:t xml:space="preserve"> an </w:t>
            </w:r>
            <w:proofErr w:type="spellStart"/>
            <w:r w:rsidRPr="003D4BC0">
              <w:rPr>
                <w:sz w:val="20"/>
                <w:szCs w:val="20"/>
              </w:rPr>
              <w:t>older</w:t>
            </w:r>
            <w:proofErr w:type="spellEnd"/>
            <w:r w:rsidRPr="003D4BC0">
              <w:rPr>
                <w:sz w:val="20"/>
                <w:szCs w:val="20"/>
              </w:rPr>
              <w:t xml:space="preserve"> </w:t>
            </w:r>
            <w:proofErr w:type="spellStart"/>
            <w:r w:rsidRPr="003D4BC0">
              <w:rPr>
                <w:sz w:val="20"/>
                <w:szCs w:val="20"/>
              </w:rPr>
              <w:t>citizen</w:t>
            </w:r>
            <w:proofErr w:type="spellEnd"/>
            <w:r w:rsidRPr="003D4BC0">
              <w:rPr>
                <w:sz w:val="20"/>
                <w:szCs w:val="20"/>
              </w:rPr>
              <w:t>“</w:t>
            </w:r>
            <w:r w:rsidRPr="003D4BC0">
              <w:rPr>
                <w:sz w:val="20"/>
                <w:szCs w:val="20"/>
                <w:vertAlign w:val="superscript"/>
              </w:rPr>
              <w:t xml:space="preserve"> </w:t>
            </w:r>
            <w:r w:rsidRPr="003D4BC0">
              <w:rPr>
                <w:sz w:val="20"/>
                <w:szCs w:val="20"/>
                <w:vertAlign w:val="superscript"/>
              </w:rPr>
              <w:footnoteReference w:id="1851"/>
            </w:r>
            <w:r w:rsidRPr="003D4BC0">
              <w:rPr>
                <w:sz w:val="20"/>
                <w:szCs w:val="20"/>
              </w:rPr>
              <w:t>). Dieser Prüfungsmaßstab ergebe sich daher auch insbesond</w:t>
            </w:r>
            <w:r>
              <w:rPr>
                <w:sz w:val="20"/>
                <w:szCs w:val="20"/>
              </w:rPr>
              <w:t>e</w:t>
            </w:r>
            <w:r w:rsidRPr="003D4BC0">
              <w:rPr>
                <w:sz w:val="20"/>
                <w:szCs w:val="20"/>
              </w:rPr>
              <w:t>re aus der Altersdiskriminierung. Aber warum? Der Dissens antwortete: Weil ältere Menschen nicht ohne weiteres eine andere Beschäftigung finden</w:t>
            </w:r>
            <w:r>
              <w:rPr>
                <w:sz w:val="20"/>
                <w:szCs w:val="20"/>
              </w:rPr>
              <w:t xml:space="preserve"> könnten u</w:t>
            </w:r>
            <w:r w:rsidRPr="003D4BC0">
              <w:rPr>
                <w:sz w:val="20"/>
                <w:szCs w:val="20"/>
              </w:rPr>
              <w:t>nd die Arbeitslosigkeit nicht nur wirtschaftlich einschränkend sei, sondern auch emotional und körperlich belastend. Der unfreiwillig in den Ruhestand versetzte Mensch habe zudem seinen Status in der Gemeinschaft und eine sinnvolle Tätigkeit verloren und Angst</w:t>
            </w:r>
            <w:r>
              <w:rPr>
                <w:sz w:val="20"/>
                <w:szCs w:val="20"/>
              </w:rPr>
              <w:t xml:space="preserve"> </w:t>
            </w:r>
            <w:r w:rsidRPr="003D4BC0">
              <w:rPr>
                <w:sz w:val="20"/>
                <w:szCs w:val="20"/>
              </w:rPr>
              <w:t>entwickelt, nunmehr von anderen abzuhängen und sich durch die erzwungene Isolation einsam zu fühlen. Weshalb der Betroffene anfällig für körperliche und seelische Beschwerden sei als unmittelbare Folge des erzwungenen Nichtstuns.</w:t>
            </w:r>
            <w:r w:rsidRPr="003D4BC0">
              <w:rPr>
                <w:sz w:val="20"/>
                <w:szCs w:val="20"/>
                <w:vertAlign w:val="superscript"/>
              </w:rPr>
              <w:footnoteReference w:id="1852"/>
            </w:r>
            <w:r w:rsidRPr="003D4BC0">
              <w:rPr>
                <w:sz w:val="20"/>
                <w:szCs w:val="20"/>
              </w:rPr>
              <w:t xml:space="preserve"> </w:t>
            </w:r>
            <w:r>
              <w:rPr>
                <w:sz w:val="20"/>
                <w:szCs w:val="20"/>
              </w:rPr>
              <w:t xml:space="preserve">Aufgrund dieser schwerwiegenden Folgen hätte die Altersdiskriminierung </w:t>
            </w:r>
            <w:r w:rsidR="004174BC">
              <w:rPr>
                <w:sz w:val="20"/>
                <w:szCs w:val="20"/>
              </w:rPr>
              <w:t xml:space="preserve">noch </w:t>
            </w:r>
            <w:r>
              <w:rPr>
                <w:sz w:val="20"/>
                <w:szCs w:val="20"/>
              </w:rPr>
              <w:t xml:space="preserve">strenger geprüft </w:t>
            </w:r>
            <w:r w:rsidRPr="003D4BC0">
              <w:rPr>
                <w:sz w:val="20"/>
                <w:szCs w:val="20"/>
              </w:rPr>
              <w:t>(</w:t>
            </w:r>
            <w:r w:rsidR="00472EF5">
              <w:rPr>
                <w:sz w:val="20"/>
                <w:szCs w:val="20"/>
              </w:rPr>
              <w:t xml:space="preserve">als </w:t>
            </w:r>
            <w:r w:rsidRPr="003D4BC0">
              <w:rPr>
                <w:sz w:val="20"/>
                <w:szCs w:val="20"/>
              </w:rPr>
              <w:t>„</w:t>
            </w:r>
            <w:proofErr w:type="spellStart"/>
            <w:r w:rsidRPr="003D4BC0">
              <w:rPr>
                <w:sz w:val="20"/>
                <w:szCs w:val="20"/>
              </w:rPr>
              <w:t>strict</w:t>
            </w:r>
            <w:proofErr w:type="spellEnd"/>
            <w:r w:rsidRPr="003D4BC0">
              <w:rPr>
                <w:sz w:val="20"/>
                <w:szCs w:val="20"/>
              </w:rPr>
              <w:t xml:space="preserve"> </w:t>
            </w:r>
            <w:proofErr w:type="spellStart"/>
            <w:r w:rsidRPr="003D4BC0">
              <w:rPr>
                <w:sz w:val="20"/>
                <w:szCs w:val="20"/>
              </w:rPr>
              <w:t>scrutiny</w:t>
            </w:r>
            <w:proofErr w:type="spellEnd"/>
            <w:r w:rsidRPr="003D4BC0">
              <w:rPr>
                <w:sz w:val="20"/>
                <w:szCs w:val="20"/>
              </w:rPr>
              <w:t>“</w:t>
            </w:r>
            <w:r w:rsidRPr="003D4BC0">
              <w:rPr>
                <w:sz w:val="20"/>
                <w:szCs w:val="20"/>
                <w:vertAlign w:val="superscript"/>
              </w:rPr>
              <w:footnoteReference w:id="1853"/>
            </w:r>
            <w:r w:rsidRPr="003D4BC0">
              <w:rPr>
                <w:sz w:val="20"/>
                <w:szCs w:val="20"/>
              </w:rPr>
              <w:t xml:space="preserve">) </w:t>
            </w:r>
            <w:r>
              <w:rPr>
                <w:sz w:val="20"/>
                <w:szCs w:val="20"/>
              </w:rPr>
              <w:t>werden</w:t>
            </w:r>
            <w:r w:rsidRPr="003D4BC0">
              <w:rPr>
                <w:sz w:val="20"/>
                <w:szCs w:val="20"/>
              </w:rPr>
              <w:t xml:space="preserve"> müssen</w:t>
            </w:r>
            <w:r w:rsidR="004174BC">
              <w:rPr>
                <w:sz w:val="20"/>
                <w:szCs w:val="20"/>
              </w:rPr>
              <w:t>,</w:t>
            </w:r>
            <w:r w:rsidR="00472EF5">
              <w:rPr>
                <w:sz w:val="20"/>
                <w:szCs w:val="20"/>
              </w:rPr>
              <w:t xml:space="preserve"> </w:t>
            </w:r>
            <w:r w:rsidR="00472EF5" w:rsidRPr="00472EF5">
              <w:rPr>
                <w:sz w:val="20"/>
                <w:szCs w:val="20"/>
              </w:rPr>
              <w:t>wobei der Staat ein hinreichend gewichtiges Interesse und eine hinreichend eng darauf zugeschnittene Regelung nachweisen müsse</w:t>
            </w:r>
            <w:r w:rsidR="00472EF5">
              <w:rPr>
                <w:sz w:val="20"/>
                <w:szCs w:val="20"/>
              </w:rPr>
              <w:t>.</w:t>
            </w:r>
          </w:p>
          <w:p w14:paraId="67A49C7C" w14:textId="2CF4C276" w:rsidR="0056095C" w:rsidRPr="00472EF5" w:rsidRDefault="0056095C" w:rsidP="00367133">
            <w:pPr>
              <w:jc w:val="both"/>
              <w:rPr>
                <w:sz w:val="20"/>
                <w:szCs w:val="20"/>
              </w:rPr>
            </w:pPr>
          </w:p>
        </w:tc>
      </w:tr>
      <w:tr w:rsidR="00074551" w:rsidRPr="00E50B51" w14:paraId="3C739A07" w14:textId="77777777" w:rsidTr="00203768">
        <w:trPr>
          <w:cantSplit/>
          <w:trHeight w:val="3175"/>
        </w:trPr>
        <w:tc>
          <w:tcPr>
            <w:tcW w:w="293" w:type="pct"/>
            <w:shd w:val="clear" w:color="auto" w:fill="E7E6E6" w:themeFill="background2"/>
          </w:tcPr>
          <w:p w14:paraId="6FBC3591"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225FFB5B"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573A9950" w14:textId="77777777" w:rsidR="00074551" w:rsidRPr="00E50B51" w:rsidRDefault="00074551" w:rsidP="00367133">
            <w:pPr>
              <w:ind w:left="113" w:right="113"/>
              <w:jc w:val="both"/>
              <w:rPr>
                <w:sz w:val="20"/>
                <w:szCs w:val="20"/>
                <w:lang w:val="en-US"/>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7E18884C" w14:textId="77777777" w:rsidR="00074551" w:rsidRPr="00E50B51" w:rsidRDefault="00074551" w:rsidP="00367133">
            <w:pPr>
              <w:ind w:left="113" w:right="113"/>
              <w:jc w:val="both"/>
              <w:rPr>
                <w:sz w:val="20"/>
                <w:szCs w:val="20"/>
                <w:lang w:val="en-US"/>
              </w:rPr>
            </w:pPr>
            <w:r w:rsidRPr="00E50B51">
              <w:rPr>
                <w:sz w:val="20"/>
                <w:szCs w:val="20"/>
                <w:lang w:val="en-US"/>
              </w:rPr>
              <w:t>Gender and Sex</w:t>
            </w:r>
          </w:p>
        </w:tc>
        <w:tc>
          <w:tcPr>
            <w:tcW w:w="401" w:type="pct"/>
            <w:shd w:val="clear" w:color="auto" w:fill="E7E6E6" w:themeFill="background2"/>
          </w:tcPr>
          <w:p w14:paraId="0E31BD94"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54294E2" w14:textId="77777777" w:rsidR="00074551" w:rsidRPr="00E50B51" w:rsidRDefault="00074551" w:rsidP="00367133">
            <w:pPr>
              <w:jc w:val="both"/>
              <w:rPr>
                <w:sz w:val="20"/>
                <w:szCs w:val="20"/>
                <w:lang w:val="en-US"/>
              </w:rPr>
            </w:pPr>
          </w:p>
        </w:tc>
        <w:tc>
          <w:tcPr>
            <w:tcW w:w="1822" w:type="pct"/>
            <w:shd w:val="clear" w:color="auto" w:fill="E7E6E6" w:themeFill="background2"/>
          </w:tcPr>
          <w:p w14:paraId="06566BD6" w14:textId="105A1BC6"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22EB84F9" w14:textId="77777777" w:rsidTr="00BE689F">
        <w:trPr>
          <w:cantSplit/>
          <w:trHeight w:val="3175"/>
        </w:trPr>
        <w:tc>
          <w:tcPr>
            <w:tcW w:w="293" w:type="pct"/>
          </w:tcPr>
          <w:p w14:paraId="39E8DB9B" w14:textId="77777777" w:rsidR="00074551" w:rsidRPr="00E50B51" w:rsidRDefault="00074551" w:rsidP="00367133">
            <w:pPr>
              <w:ind w:right="416"/>
              <w:jc w:val="center"/>
              <w:rPr>
                <w:sz w:val="20"/>
                <w:szCs w:val="20"/>
                <w:lang w:eastAsia="de-DE"/>
              </w:rPr>
            </w:pPr>
            <w:proofErr w:type="spellStart"/>
            <w:r w:rsidRPr="00E50B51">
              <w:rPr>
                <w:sz w:val="20"/>
                <w:szCs w:val="20"/>
              </w:rPr>
              <w:lastRenderedPageBreak/>
              <w:t>poH</w:t>
            </w:r>
            <w:proofErr w:type="spellEnd"/>
          </w:p>
        </w:tc>
        <w:tc>
          <w:tcPr>
            <w:tcW w:w="387" w:type="pct"/>
            <w:textDirection w:val="tbRl"/>
            <w:vAlign w:val="center"/>
          </w:tcPr>
          <w:p w14:paraId="353D93B7" w14:textId="77777777" w:rsidR="00074551" w:rsidRPr="00E50B51" w:rsidRDefault="00074551" w:rsidP="00367133">
            <w:pPr>
              <w:ind w:left="113" w:right="416"/>
              <w:jc w:val="both"/>
              <w:rPr>
                <w:sz w:val="20"/>
                <w:szCs w:val="20"/>
                <w:lang w:val="en-US"/>
              </w:rPr>
            </w:pPr>
            <w:r w:rsidRPr="009167A5">
              <w:rPr>
                <w:i/>
                <w:sz w:val="20"/>
                <w:szCs w:val="20"/>
                <w:lang w:eastAsia="de-DE"/>
              </w:rPr>
              <w:t>Obergefell v. Hodges</w:t>
            </w:r>
          </w:p>
        </w:tc>
        <w:tc>
          <w:tcPr>
            <w:tcW w:w="197" w:type="pct"/>
            <w:textDirection w:val="tbRl"/>
            <w:vAlign w:val="center"/>
          </w:tcPr>
          <w:p w14:paraId="1658951F" w14:textId="77777777" w:rsidR="00074551" w:rsidRPr="00E50B51" w:rsidRDefault="00074551" w:rsidP="00367133">
            <w:pPr>
              <w:ind w:left="113" w:right="113"/>
              <w:jc w:val="both"/>
              <w:rPr>
                <w:sz w:val="20"/>
                <w:szCs w:val="20"/>
              </w:rPr>
            </w:pPr>
            <w:r w:rsidRPr="00E50B51">
              <w:rPr>
                <w:sz w:val="20"/>
                <w:szCs w:val="20"/>
                <w:lang w:val="en-US"/>
              </w:rPr>
              <w:t>576 U.S. 644</w:t>
            </w:r>
          </w:p>
        </w:tc>
        <w:tc>
          <w:tcPr>
            <w:tcW w:w="306" w:type="pct"/>
            <w:textDirection w:val="tbRl"/>
            <w:vAlign w:val="center"/>
          </w:tcPr>
          <w:p w14:paraId="5F5D7E3B" w14:textId="77777777" w:rsidR="00074551" w:rsidRPr="00E50B51" w:rsidRDefault="00074551" w:rsidP="00367133">
            <w:pPr>
              <w:ind w:left="113" w:right="113"/>
              <w:jc w:val="both"/>
              <w:rPr>
                <w:sz w:val="20"/>
                <w:szCs w:val="20"/>
              </w:rPr>
            </w:pPr>
            <w:r w:rsidRPr="00E50B51">
              <w:rPr>
                <w:sz w:val="20"/>
                <w:szCs w:val="20"/>
              </w:rPr>
              <w:t>26. Januar 2015</w:t>
            </w:r>
          </w:p>
        </w:tc>
        <w:tc>
          <w:tcPr>
            <w:tcW w:w="401" w:type="pct"/>
          </w:tcPr>
          <w:p w14:paraId="20C09193" w14:textId="77777777" w:rsidR="00074551" w:rsidRPr="00E50B51" w:rsidRDefault="00074551" w:rsidP="00367133">
            <w:pPr>
              <w:jc w:val="center"/>
              <w:rPr>
                <w:sz w:val="20"/>
                <w:szCs w:val="20"/>
              </w:rPr>
            </w:pPr>
            <w:r w:rsidRPr="00E50B51">
              <w:rPr>
                <w:sz w:val="20"/>
                <w:szCs w:val="20"/>
              </w:rPr>
              <w:t>M</w:t>
            </w:r>
          </w:p>
        </w:tc>
        <w:tc>
          <w:tcPr>
            <w:tcW w:w="1594" w:type="pct"/>
          </w:tcPr>
          <w:p w14:paraId="169D7CB6" w14:textId="77777777" w:rsidR="00074551" w:rsidRPr="00E50B51" w:rsidRDefault="00074551" w:rsidP="00367133">
            <w:pPr>
              <w:jc w:val="both"/>
              <w:rPr>
                <w:sz w:val="20"/>
                <w:szCs w:val="20"/>
              </w:rPr>
            </w:pPr>
            <w:r w:rsidRPr="00E50B51">
              <w:rPr>
                <w:sz w:val="20"/>
                <w:szCs w:val="20"/>
              </w:rPr>
              <w:t>*</w:t>
            </w:r>
          </w:p>
          <w:p w14:paraId="32C61075" w14:textId="77777777" w:rsidR="00074551" w:rsidRPr="00E50B51" w:rsidRDefault="00074551" w:rsidP="00367133">
            <w:pPr>
              <w:jc w:val="both"/>
              <w:rPr>
                <w:sz w:val="20"/>
                <w:szCs w:val="20"/>
              </w:rPr>
            </w:pPr>
          </w:p>
        </w:tc>
        <w:tc>
          <w:tcPr>
            <w:tcW w:w="1822" w:type="pct"/>
          </w:tcPr>
          <w:p w14:paraId="73723723" w14:textId="38C1E35A" w:rsidR="00074551" w:rsidRDefault="00074551" w:rsidP="00367133">
            <w:pPr>
              <w:jc w:val="both"/>
              <w:rPr>
                <w:sz w:val="20"/>
                <w:szCs w:val="20"/>
              </w:rPr>
            </w:pPr>
            <w:r w:rsidRPr="00EE0BEB">
              <w:rPr>
                <w:sz w:val="20"/>
                <w:szCs w:val="20"/>
              </w:rPr>
              <w:t xml:space="preserve">Im Fall zur Schaffung des Rechts gleichgeschlechtlicher Paare auf Eheschließung, das Teil der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E0BEB">
              <w:rPr>
                <w:sz w:val="20"/>
                <w:szCs w:val="20"/>
              </w:rPr>
              <w:t xml:space="preserve"> versprochenen Freiheit sei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leite sich dieses auch ab aus dem in diesem Amendment enthaltenen gleichen Schutz durch die Gesetze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xml:space="preserv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xml:space="preserve"> und die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xml:space="preserve"> erklären und begrenzen einander – im Fall und auch grundsätzlich. </w:t>
            </w:r>
            <w:proofErr w:type="spellStart"/>
            <w:r w:rsidRPr="00EE0BEB">
              <w:rPr>
                <w:sz w:val="20"/>
                <w:szCs w:val="20"/>
                <w:lang w:val="en-US"/>
              </w:rPr>
              <w:t>Gemeinsam</w:t>
            </w:r>
            <w:proofErr w:type="spellEnd"/>
            <w:r w:rsidRPr="00EE0BEB">
              <w:rPr>
                <w:sz w:val="20"/>
                <w:szCs w:val="20"/>
                <w:lang w:val="en-US"/>
              </w:rPr>
              <w:t xml:space="preserve"> </w:t>
            </w:r>
            <w:proofErr w:type="spellStart"/>
            <w:r w:rsidRPr="00EE0BEB">
              <w:rPr>
                <w:sz w:val="20"/>
                <w:szCs w:val="20"/>
                <w:lang w:val="en-US"/>
              </w:rPr>
              <w:t>sichern</w:t>
            </w:r>
            <w:proofErr w:type="spellEnd"/>
            <w:r w:rsidRPr="00EE0BEB">
              <w:rPr>
                <w:sz w:val="20"/>
                <w:szCs w:val="20"/>
                <w:lang w:val="en-US"/>
              </w:rPr>
              <w:t xml:space="preserve"> </w:t>
            </w:r>
            <w:proofErr w:type="spellStart"/>
            <w:r w:rsidRPr="00EE0BEB">
              <w:rPr>
                <w:sz w:val="20"/>
                <w:szCs w:val="20"/>
                <w:lang w:val="en-US"/>
              </w:rPr>
              <w:t>sie</w:t>
            </w:r>
            <w:proofErr w:type="spellEnd"/>
            <w:r w:rsidRPr="00EE0BEB">
              <w:rPr>
                <w:sz w:val="20"/>
                <w:szCs w:val="20"/>
                <w:lang w:val="en-US"/>
              </w:rPr>
              <w:t xml:space="preserve"> Freiheit („interrelation of the two principles furthers our understanding of what freedom is and must </w:t>
            </w:r>
            <w:proofErr w:type="gramStart"/>
            <w:r w:rsidRPr="00EE0BEB">
              <w:rPr>
                <w:sz w:val="20"/>
                <w:szCs w:val="20"/>
                <w:lang w:val="en-US"/>
              </w:rPr>
              <w:t>become“</w:t>
            </w:r>
            <w:proofErr w:type="gramEnd"/>
            <w:r w:rsidRPr="00EE0BEB">
              <w:rPr>
                <w:sz w:val="20"/>
                <w:szCs w:val="20"/>
                <w:vertAlign w:val="superscript"/>
                <w:lang w:val="en-US"/>
              </w:rPr>
              <w:footnoteReference w:id="1854"/>
            </w:r>
            <w:r w:rsidRPr="00EE0BEB">
              <w:rPr>
                <w:sz w:val="20"/>
                <w:szCs w:val="20"/>
                <w:lang w:val="en-US"/>
              </w:rPr>
              <w:t xml:space="preserve">). </w:t>
            </w:r>
            <w:r w:rsidRPr="00EE0BEB">
              <w:rPr>
                <w:sz w:val="20"/>
                <w:szCs w:val="20"/>
              </w:rPr>
              <w:t>Ein Beispiel sind staatliche Maßnahmen, die Paaren unterschiedlicher Rasse unterschiedlich behandeln (</w:t>
            </w:r>
            <w:r w:rsidR="00472EF5" w:rsidRPr="00EE0BEB">
              <w:rPr>
                <w:sz w:val="20"/>
                <w:szCs w:val="20"/>
              </w:rPr>
              <w:t>„</w:t>
            </w:r>
            <w:proofErr w:type="spellStart"/>
            <w:r w:rsidRPr="00EE0BEB">
              <w:rPr>
                <w:sz w:val="20"/>
                <w:szCs w:val="20"/>
              </w:rPr>
              <w:t>unequal</w:t>
            </w:r>
            <w:proofErr w:type="spellEnd"/>
            <w:r w:rsidRPr="00EE0BEB">
              <w:rPr>
                <w:sz w:val="20"/>
                <w:szCs w:val="20"/>
              </w:rPr>
              <w:t xml:space="preserve"> </w:t>
            </w:r>
            <w:proofErr w:type="spellStart"/>
            <w:r w:rsidRPr="00EE0BEB">
              <w:rPr>
                <w:sz w:val="20"/>
                <w:szCs w:val="20"/>
              </w:rPr>
              <w:t>treatment</w:t>
            </w:r>
            <w:proofErr w:type="spellEnd"/>
            <w:r w:rsidRPr="00EE0BEB">
              <w:rPr>
                <w:sz w:val="20"/>
                <w:szCs w:val="20"/>
              </w:rPr>
              <w:t xml:space="preserve"> of </w:t>
            </w:r>
            <w:proofErr w:type="spellStart"/>
            <w:r w:rsidRPr="00EE0BEB">
              <w:rPr>
                <w:sz w:val="20"/>
                <w:szCs w:val="20"/>
              </w:rPr>
              <w:t>interracial</w:t>
            </w:r>
            <w:proofErr w:type="spellEnd"/>
            <w:r w:rsidRPr="00EE0BEB">
              <w:rPr>
                <w:sz w:val="20"/>
                <w:szCs w:val="20"/>
              </w:rPr>
              <w:t xml:space="preserve"> </w:t>
            </w:r>
            <w:proofErr w:type="spellStart"/>
            <w:r w:rsidRPr="00EE0BEB">
              <w:rPr>
                <w:sz w:val="20"/>
                <w:szCs w:val="20"/>
              </w:rPr>
              <w:t>couples</w:t>
            </w:r>
            <w:proofErr w:type="spellEnd"/>
            <w:r w:rsidRPr="00EE0BEB">
              <w:rPr>
                <w:sz w:val="20"/>
                <w:szCs w:val="20"/>
              </w:rPr>
              <w:t>”</w:t>
            </w:r>
            <w:r w:rsidRPr="00EE0BEB">
              <w:rPr>
                <w:sz w:val="20"/>
                <w:szCs w:val="20"/>
                <w:vertAlign w:val="superscript"/>
              </w:rPr>
              <w:footnoteReference w:id="1855"/>
            </w:r>
            <w:r w:rsidRPr="00EE0BEB">
              <w:rPr>
                <w:sz w:val="20"/>
                <w:szCs w:val="20"/>
              </w:rPr>
              <w:t>): Eine Freiheit (</w:t>
            </w:r>
            <w:r>
              <w:rPr>
                <w:sz w:val="20"/>
                <w:szCs w:val="20"/>
              </w:rPr>
              <w:t>z.B.</w:t>
            </w:r>
            <w:r w:rsidRPr="00EE0BEB">
              <w:rPr>
                <w:sz w:val="20"/>
                <w:szCs w:val="20"/>
              </w:rPr>
              <w:t xml:space="preserve"> Ehefreiheit) einzuschränken allein aufgrund von Geschlechts- und Rassenzugehörigkeit verstoße zugleich gegen den zentralen Inhalt der Gleichheitsklausel.</w:t>
            </w:r>
            <w:r w:rsidRPr="00EE0BEB">
              <w:rPr>
                <w:sz w:val="20"/>
                <w:szCs w:val="20"/>
                <w:vertAlign w:val="superscript"/>
              </w:rPr>
              <w:footnoteReference w:id="1856"/>
            </w:r>
            <w:r w:rsidRPr="00EE0BEB">
              <w:rPr>
                <w:sz w:val="20"/>
                <w:szCs w:val="20"/>
              </w:rPr>
              <w:t xml:space="preserve"> Diese Verbindung beider Klauseln ergibt sich aus diesem Fall – also der Ungültigkeit des Eheverbots zwischen Geschlechtern – , aber vor allem auch historisch aus </w:t>
            </w:r>
            <w:r w:rsidRPr="5B67C1D2">
              <w:rPr>
                <w:i/>
                <w:iCs/>
                <w:sz w:val="20"/>
                <w:szCs w:val="20"/>
              </w:rPr>
              <w:t>Loving v. Virginia</w:t>
            </w:r>
            <w:r w:rsidRPr="00EE0BEB">
              <w:rPr>
                <w:sz w:val="20"/>
                <w:szCs w:val="20"/>
              </w:rPr>
              <w:t xml:space="preserve"> (Ungültigkeit des Eheverbots zwischen Rassen)</w:t>
            </w:r>
            <w:r w:rsidRPr="00EE0BEB">
              <w:rPr>
                <w:sz w:val="20"/>
                <w:szCs w:val="20"/>
                <w:vertAlign w:val="superscript"/>
              </w:rPr>
              <w:footnoteReference w:id="1857"/>
            </w:r>
            <w:r w:rsidRPr="00EE0BEB">
              <w:rPr>
                <w:sz w:val="20"/>
                <w:szCs w:val="20"/>
              </w:rPr>
              <w:t xml:space="preserve"> und </w:t>
            </w:r>
            <w:r w:rsidRPr="5B67C1D2">
              <w:rPr>
                <w:i/>
                <w:iCs/>
                <w:sz w:val="20"/>
                <w:szCs w:val="20"/>
              </w:rPr>
              <w:t xml:space="preserve">Zablocki v. </w:t>
            </w:r>
            <w:proofErr w:type="spellStart"/>
            <w:r w:rsidRPr="5B67C1D2">
              <w:rPr>
                <w:i/>
                <w:iCs/>
                <w:sz w:val="20"/>
                <w:szCs w:val="20"/>
              </w:rPr>
              <w:t>Redhail</w:t>
            </w:r>
            <w:proofErr w:type="spellEnd"/>
            <w:r w:rsidRPr="00B45592">
              <w:rPr>
                <w:sz w:val="16"/>
                <w:szCs w:val="16"/>
              </w:rPr>
              <w:t xml:space="preserve"> </w:t>
            </w:r>
            <w:r w:rsidRPr="00EE0BEB">
              <w:rPr>
                <w:sz w:val="20"/>
                <w:szCs w:val="20"/>
              </w:rPr>
              <w:t>(Ungültigkeit von Eheverbot bei Zahlungsverzug).</w:t>
            </w:r>
            <w:r w:rsidRPr="00EE0BEB">
              <w:rPr>
                <w:sz w:val="20"/>
                <w:szCs w:val="20"/>
                <w:vertAlign w:val="superscript"/>
              </w:rPr>
              <w:footnoteReference w:id="1858"/>
            </w:r>
            <w:r w:rsidRPr="00EE0BEB">
              <w:rPr>
                <w:sz w:val="20"/>
                <w:szCs w:val="20"/>
              </w:rPr>
              <w:t xml:space="preserve"> In allen Fällen machte die </w:t>
            </w:r>
            <w:proofErr w:type="spellStart"/>
            <w:r w:rsidRPr="00EE0BEB">
              <w:rPr>
                <w:sz w:val="20"/>
                <w:szCs w:val="20"/>
              </w:rPr>
              <w:t>Fundamentalität</w:t>
            </w:r>
            <w:proofErr w:type="spellEnd"/>
            <w:r w:rsidRPr="00EE0BEB">
              <w:rPr>
                <w:sz w:val="20"/>
                <w:szCs w:val="20"/>
              </w:rPr>
              <w:t xml:space="preserve"> des Rechts auf Ehefreiheit („fundamental </w:t>
            </w:r>
            <w:proofErr w:type="spellStart"/>
            <w:r w:rsidRPr="00EE0BEB">
              <w:rPr>
                <w:sz w:val="20"/>
                <w:szCs w:val="20"/>
              </w:rPr>
              <w:t>importance</w:t>
            </w:r>
            <w:proofErr w:type="spellEnd"/>
            <w:r w:rsidRPr="00EE0BEB">
              <w:rPr>
                <w:sz w:val="20"/>
                <w:szCs w:val="20"/>
              </w:rPr>
              <w:t>“</w:t>
            </w:r>
            <w:r w:rsidRPr="00EE0BEB">
              <w:rPr>
                <w:sz w:val="20"/>
                <w:szCs w:val="20"/>
                <w:vertAlign w:val="superscript"/>
              </w:rPr>
              <w:footnoteReference w:id="1859"/>
            </w:r>
            <w:r w:rsidRPr="00EE0BEB">
              <w:rPr>
                <w:sz w:val="20"/>
                <w:szCs w:val="20"/>
              </w:rPr>
              <w:t>) das jeweilige Gesetz, das Freiheit beschränkte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xml:space="preserve">), unvereinbar mit der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xml:space="preserve">. Die Prüfung von </w:t>
            </w:r>
            <w:r w:rsidRPr="5B67C1D2">
              <w:rPr>
                <w:i/>
                <w:iCs/>
                <w:sz w:val="20"/>
                <w:szCs w:val="20"/>
              </w:rPr>
              <w:t xml:space="preserve">Due </w:t>
            </w:r>
            <w:proofErr w:type="spellStart"/>
            <w:r w:rsidRPr="5B67C1D2">
              <w:rPr>
                <w:i/>
                <w:iCs/>
                <w:sz w:val="20"/>
                <w:szCs w:val="20"/>
              </w:rPr>
              <w:t>Process</w:t>
            </w:r>
            <w:proofErr w:type="spellEnd"/>
            <w:r w:rsidRPr="00EE0BEB">
              <w:rPr>
                <w:sz w:val="20"/>
                <w:szCs w:val="20"/>
              </w:rPr>
              <w:t xml:space="preserve"> und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00EE0BEB">
              <w:rPr>
                <w:sz w:val="20"/>
                <w:szCs w:val="20"/>
              </w:rPr>
              <w:t xml:space="preserve"> ergab sich, weil also ein fundamentales Recht betroffen war. Die </w:t>
            </w:r>
            <w:proofErr w:type="spellStart"/>
            <w:r w:rsidRPr="00EE0BEB">
              <w:rPr>
                <w:sz w:val="20"/>
                <w:szCs w:val="20"/>
              </w:rPr>
              <w:t>Fundamentalität</w:t>
            </w:r>
            <w:proofErr w:type="spellEnd"/>
            <w:r w:rsidRPr="00EE0BEB">
              <w:rPr>
                <w:sz w:val="20"/>
                <w:szCs w:val="20"/>
              </w:rPr>
              <w:t xml:space="preserve"> eines Rechts bestimmt sich wiederum danach, ob es wesentlich für das Glücksstreben sei („essential to the </w:t>
            </w:r>
            <w:proofErr w:type="spellStart"/>
            <w:r w:rsidRPr="00EE0BEB">
              <w:rPr>
                <w:sz w:val="20"/>
                <w:szCs w:val="20"/>
              </w:rPr>
              <w:t>orderly</w:t>
            </w:r>
            <w:proofErr w:type="spellEnd"/>
            <w:r w:rsidRPr="00EE0BEB">
              <w:rPr>
                <w:sz w:val="20"/>
                <w:szCs w:val="20"/>
              </w:rPr>
              <w:t xml:space="preserve"> </w:t>
            </w:r>
            <w:proofErr w:type="spellStart"/>
            <w:r w:rsidRPr="00EE0BEB">
              <w:rPr>
                <w:sz w:val="20"/>
                <w:szCs w:val="20"/>
              </w:rPr>
              <w:t>pursuit</w:t>
            </w:r>
            <w:proofErr w:type="spellEnd"/>
            <w:r w:rsidRPr="00EE0BEB">
              <w:rPr>
                <w:sz w:val="20"/>
                <w:szCs w:val="20"/>
              </w:rPr>
              <w:t xml:space="preserve"> of </w:t>
            </w:r>
            <w:proofErr w:type="spellStart"/>
            <w:r w:rsidRPr="00EE0BEB">
              <w:rPr>
                <w:sz w:val="20"/>
                <w:szCs w:val="20"/>
              </w:rPr>
              <w:t>happiness</w:t>
            </w:r>
            <w:proofErr w:type="spellEnd"/>
            <w:r w:rsidRPr="00EE0BEB">
              <w:rPr>
                <w:sz w:val="20"/>
                <w:szCs w:val="20"/>
              </w:rPr>
              <w:t xml:space="preserve"> by </w:t>
            </w:r>
            <w:proofErr w:type="spellStart"/>
            <w:r w:rsidRPr="00EE0BEB">
              <w:rPr>
                <w:sz w:val="20"/>
                <w:szCs w:val="20"/>
              </w:rPr>
              <w:t>free</w:t>
            </w:r>
            <w:proofErr w:type="spellEnd"/>
            <w:r w:rsidRPr="00EE0BEB">
              <w:rPr>
                <w:sz w:val="20"/>
                <w:szCs w:val="20"/>
              </w:rPr>
              <w:t xml:space="preserve"> </w:t>
            </w:r>
            <w:proofErr w:type="spellStart"/>
            <w:r w:rsidRPr="00EE0BEB">
              <w:rPr>
                <w:sz w:val="20"/>
                <w:szCs w:val="20"/>
              </w:rPr>
              <w:t>men</w:t>
            </w:r>
            <w:proofErr w:type="spellEnd"/>
            <w:r w:rsidRPr="00EE0BEB">
              <w:rPr>
                <w:sz w:val="20"/>
                <w:szCs w:val="20"/>
              </w:rPr>
              <w:t>.“</w:t>
            </w:r>
            <w:r w:rsidRPr="00EE0BEB">
              <w:rPr>
                <w:sz w:val="20"/>
                <w:szCs w:val="20"/>
                <w:vertAlign w:val="superscript"/>
              </w:rPr>
              <w:footnoteReference w:id="1860"/>
            </w:r>
            <w:r w:rsidRPr="00EE0BEB">
              <w:rPr>
                <w:sz w:val="20"/>
                <w:szCs w:val="20"/>
              </w:rPr>
              <w:t xml:space="preserve">). Eine Argumentation, die alle drei Urteile führen. Damit </w:t>
            </w:r>
            <w:r>
              <w:rPr>
                <w:sz w:val="20"/>
                <w:szCs w:val="20"/>
              </w:rPr>
              <w:t>sorgt</w:t>
            </w:r>
            <w:r w:rsidRPr="00EE0BEB">
              <w:rPr>
                <w:sz w:val="20"/>
                <w:szCs w:val="20"/>
              </w:rPr>
              <w:t xml:space="preserve"> ein für das Glücksstreben wesentliche</w:t>
            </w:r>
            <w:r>
              <w:rPr>
                <w:sz w:val="20"/>
                <w:szCs w:val="20"/>
              </w:rPr>
              <w:t>s</w:t>
            </w:r>
            <w:r w:rsidRPr="00EE0BEB">
              <w:rPr>
                <w:sz w:val="20"/>
                <w:szCs w:val="20"/>
              </w:rPr>
              <w:t xml:space="preserve"> Recht</w:t>
            </w:r>
            <w:r>
              <w:rPr>
                <w:sz w:val="20"/>
                <w:szCs w:val="20"/>
              </w:rPr>
              <w:t xml:space="preserve"> dafür</w:t>
            </w:r>
            <w:r w:rsidRPr="00EE0BEB">
              <w:rPr>
                <w:sz w:val="20"/>
                <w:szCs w:val="20"/>
              </w:rPr>
              <w:t xml:space="preserve">, dass es notwendig ist, sowohl </w:t>
            </w:r>
            <w:r w:rsidRPr="5B67C1D2">
              <w:rPr>
                <w:i/>
                <w:iCs/>
                <w:sz w:val="20"/>
                <w:szCs w:val="20"/>
              </w:rPr>
              <w:t xml:space="preserve">Due </w:t>
            </w:r>
            <w:proofErr w:type="spellStart"/>
            <w:r w:rsidRPr="5B67C1D2">
              <w:rPr>
                <w:i/>
                <w:iCs/>
                <w:sz w:val="20"/>
                <w:szCs w:val="20"/>
              </w:rPr>
              <w:t>Process</w:t>
            </w:r>
            <w:proofErr w:type="spellEnd"/>
            <w:r w:rsidRPr="00EE0BEB">
              <w:rPr>
                <w:sz w:val="20"/>
                <w:szCs w:val="20"/>
              </w:rPr>
              <w:t xml:space="preserve"> als auch </w:t>
            </w:r>
            <w:proofErr w:type="spellStart"/>
            <w:r w:rsidRPr="5B67C1D2">
              <w:rPr>
                <w:i/>
                <w:iCs/>
                <w:sz w:val="20"/>
                <w:szCs w:val="20"/>
              </w:rPr>
              <w:t>Equal</w:t>
            </w:r>
            <w:proofErr w:type="spellEnd"/>
            <w:r w:rsidRPr="5B67C1D2">
              <w:rPr>
                <w:i/>
                <w:iCs/>
                <w:sz w:val="20"/>
                <w:szCs w:val="20"/>
              </w:rPr>
              <w:t xml:space="preserve"> </w:t>
            </w:r>
            <w:proofErr w:type="spellStart"/>
            <w:r w:rsidRPr="5B67C1D2">
              <w:rPr>
                <w:i/>
                <w:iCs/>
                <w:sz w:val="20"/>
                <w:szCs w:val="20"/>
              </w:rPr>
              <w:t>Protection</w:t>
            </w:r>
            <w:proofErr w:type="spellEnd"/>
            <w:r w:rsidRPr="5B67C1D2">
              <w:rPr>
                <w:i/>
                <w:iCs/>
                <w:sz w:val="20"/>
                <w:szCs w:val="20"/>
              </w:rPr>
              <w:t xml:space="preserve"> </w:t>
            </w:r>
            <w:proofErr w:type="spellStart"/>
            <w:r w:rsidRPr="5B67C1D2">
              <w:rPr>
                <w:i/>
                <w:iCs/>
                <w:sz w:val="20"/>
                <w:szCs w:val="20"/>
              </w:rPr>
              <w:t>Clause</w:t>
            </w:r>
            <w:proofErr w:type="spellEnd"/>
            <w:r w:rsidRPr="00EE0BEB">
              <w:rPr>
                <w:sz w:val="20"/>
                <w:szCs w:val="20"/>
              </w:rPr>
              <w:t xml:space="preserve"> zu prüfen.</w:t>
            </w:r>
            <w:r w:rsidRPr="00EE0BEB">
              <w:rPr>
                <w:sz w:val="20"/>
                <w:szCs w:val="20"/>
                <w:vertAlign w:val="superscript"/>
              </w:rPr>
              <w:footnoteReference w:id="1861"/>
            </w:r>
          </w:p>
          <w:p w14:paraId="7FBA235C" w14:textId="77777777" w:rsidR="00074551" w:rsidRPr="00E50B51" w:rsidRDefault="00074551" w:rsidP="00367133">
            <w:pPr>
              <w:jc w:val="both"/>
              <w:rPr>
                <w:sz w:val="20"/>
                <w:szCs w:val="20"/>
              </w:rPr>
            </w:pPr>
          </w:p>
        </w:tc>
      </w:tr>
      <w:tr w:rsidR="00074551" w:rsidRPr="00E50B51" w14:paraId="00696653" w14:textId="77777777" w:rsidTr="00203768">
        <w:trPr>
          <w:cantSplit/>
          <w:trHeight w:val="3175"/>
        </w:trPr>
        <w:tc>
          <w:tcPr>
            <w:tcW w:w="293" w:type="pct"/>
            <w:shd w:val="clear" w:color="auto" w:fill="E7E6E6" w:themeFill="background2"/>
          </w:tcPr>
          <w:p w14:paraId="4059045F"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32098807"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32B45461" w14:textId="77777777" w:rsidR="00074551" w:rsidRPr="00E50B51" w:rsidRDefault="00074551" w:rsidP="00367133">
            <w:pPr>
              <w:ind w:left="113" w:right="113"/>
              <w:jc w:val="both"/>
              <w:rPr>
                <w:sz w:val="20"/>
                <w:szCs w:val="20"/>
                <w:lang w:val="en-US"/>
              </w:rPr>
            </w:pPr>
            <w:proofErr w:type="spellStart"/>
            <w:r w:rsidRPr="00E50B51">
              <w:rPr>
                <w:sz w:val="20"/>
                <w:szCs w:val="20"/>
              </w:rPr>
              <w:t>Equal</w:t>
            </w:r>
            <w:proofErr w:type="spellEnd"/>
            <w:r w:rsidRPr="00E50B51">
              <w:rPr>
                <w:sz w:val="20"/>
                <w:szCs w:val="20"/>
              </w:rPr>
              <w:t xml:space="preserve"> </w:t>
            </w:r>
            <w:proofErr w:type="spellStart"/>
            <w:r w:rsidRPr="00E50B51">
              <w:rPr>
                <w:sz w:val="20"/>
                <w:szCs w:val="20"/>
              </w:rPr>
              <w:t>Protection</w:t>
            </w:r>
            <w:proofErr w:type="spellEnd"/>
          </w:p>
        </w:tc>
        <w:tc>
          <w:tcPr>
            <w:tcW w:w="306" w:type="pct"/>
            <w:shd w:val="clear" w:color="auto" w:fill="E7E6E6" w:themeFill="background2"/>
            <w:textDirection w:val="tbRl"/>
            <w:vAlign w:val="center"/>
          </w:tcPr>
          <w:p w14:paraId="4B15CCED" w14:textId="77777777" w:rsidR="00074551" w:rsidRPr="00E50B51" w:rsidRDefault="00074551" w:rsidP="00367133">
            <w:pPr>
              <w:ind w:left="113" w:right="113"/>
              <w:jc w:val="both"/>
              <w:rPr>
                <w:sz w:val="20"/>
                <w:szCs w:val="20"/>
                <w:lang w:val="en-US"/>
              </w:rPr>
            </w:pPr>
            <w:r w:rsidRPr="00E50B51">
              <w:rPr>
                <w:sz w:val="20"/>
                <w:szCs w:val="20"/>
                <w:lang w:val="en-US"/>
              </w:rPr>
              <w:t>Disability</w:t>
            </w:r>
          </w:p>
        </w:tc>
        <w:tc>
          <w:tcPr>
            <w:tcW w:w="401" w:type="pct"/>
            <w:shd w:val="clear" w:color="auto" w:fill="E7E6E6" w:themeFill="background2"/>
          </w:tcPr>
          <w:p w14:paraId="1E638913"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6B8E63BC" w14:textId="77777777" w:rsidR="00074551" w:rsidRPr="00E50B51" w:rsidRDefault="00074551" w:rsidP="00367133">
            <w:pPr>
              <w:jc w:val="both"/>
              <w:rPr>
                <w:sz w:val="20"/>
                <w:szCs w:val="20"/>
                <w:lang w:val="en-US"/>
              </w:rPr>
            </w:pPr>
          </w:p>
        </w:tc>
        <w:tc>
          <w:tcPr>
            <w:tcW w:w="1822" w:type="pct"/>
            <w:shd w:val="clear" w:color="auto" w:fill="E7E6E6" w:themeFill="background2"/>
          </w:tcPr>
          <w:p w14:paraId="50950839" w14:textId="6BE82D94"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44EAB63B" w14:textId="77777777" w:rsidTr="00BE689F">
        <w:trPr>
          <w:cantSplit/>
          <w:trHeight w:val="3175"/>
        </w:trPr>
        <w:tc>
          <w:tcPr>
            <w:tcW w:w="293" w:type="pct"/>
          </w:tcPr>
          <w:p w14:paraId="66873C0B"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D174D2F" w14:textId="77777777" w:rsidR="00074551" w:rsidRPr="00B45592" w:rsidRDefault="00074551" w:rsidP="00367133">
            <w:pPr>
              <w:ind w:left="113" w:right="416"/>
              <w:jc w:val="both"/>
              <w:rPr>
                <w:i/>
                <w:sz w:val="20"/>
                <w:szCs w:val="20"/>
                <w:lang w:val="en-US"/>
              </w:rPr>
            </w:pPr>
            <w:r w:rsidRPr="00B45592">
              <w:rPr>
                <w:i/>
                <w:sz w:val="20"/>
                <w:szCs w:val="20"/>
                <w:lang w:val="en-US"/>
              </w:rPr>
              <w:t xml:space="preserve">Cruzan v. Dir., Mo. </w:t>
            </w:r>
            <w:proofErr w:type="spellStart"/>
            <w:r w:rsidRPr="00B45592">
              <w:rPr>
                <w:i/>
                <w:sz w:val="20"/>
                <w:szCs w:val="20"/>
                <w:lang w:val="en-US"/>
              </w:rPr>
              <w:t>Dep’t</w:t>
            </w:r>
            <w:proofErr w:type="spellEnd"/>
            <w:r w:rsidRPr="00B45592">
              <w:rPr>
                <w:i/>
                <w:sz w:val="20"/>
                <w:szCs w:val="20"/>
                <w:lang w:val="en-US"/>
              </w:rPr>
              <w:t xml:space="preserve"> of Health</w:t>
            </w:r>
          </w:p>
        </w:tc>
        <w:tc>
          <w:tcPr>
            <w:tcW w:w="197" w:type="pct"/>
            <w:textDirection w:val="tbRl"/>
            <w:vAlign w:val="center"/>
          </w:tcPr>
          <w:p w14:paraId="31F8EE79" w14:textId="77777777" w:rsidR="00074551" w:rsidRPr="00E50B51" w:rsidRDefault="00074551" w:rsidP="00367133">
            <w:pPr>
              <w:ind w:left="113" w:right="113"/>
              <w:jc w:val="both"/>
              <w:rPr>
                <w:sz w:val="20"/>
                <w:szCs w:val="20"/>
              </w:rPr>
            </w:pPr>
            <w:r w:rsidRPr="00E50B51">
              <w:rPr>
                <w:sz w:val="20"/>
                <w:szCs w:val="20"/>
                <w:lang w:val="en-US"/>
              </w:rPr>
              <w:t>497 U.S. 261</w:t>
            </w:r>
          </w:p>
        </w:tc>
        <w:tc>
          <w:tcPr>
            <w:tcW w:w="306" w:type="pct"/>
            <w:textDirection w:val="tbRl"/>
            <w:vAlign w:val="center"/>
          </w:tcPr>
          <w:p w14:paraId="35E16F19" w14:textId="77777777" w:rsidR="00074551" w:rsidRPr="00E50B51" w:rsidRDefault="00074551" w:rsidP="00367133">
            <w:pPr>
              <w:ind w:left="113" w:right="113"/>
              <w:jc w:val="both"/>
              <w:rPr>
                <w:sz w:val="20"/>
                <w:szCs w:val="20"/>
                <w:lang w:val="en-US"/>
              </w:rPr>
            </w:pPr>
            <w:r w:rsidRPr="00E50B51">
              <w:rPr>
                <w:sz w:val="20"/>
                <w:szCs w:val="20"/>
              </w:rPr>
              <w:t>25. Juni 1990</w:t>
            </w:r>
          </w:p>
        </w:tc>
        <w:tc>
          <w:tcPr>
            <w:tcW w:w="401" w:type="pct"/>
          </w:tcPr>
          <w:p w14:paraId="246FF570" w14:textId="77777777" w:rsidR="00074551" w:rsidRPr="00E50B51" w:rsidRDefault="00074551" w:rsidP="00367133">
            <w:pPr>
              <w:jc w:val="center"/>
              <w:rPr>
                <w:sz w:val="20"/>
                <w:szCs w:val="20"/>
                <w:lang w:val="en-US"/>
              </w:rPr>
            </w:pPr>
            <w:r w:rsidRPr="00E50B51">
              <w:rPr>
                <w:sz w:val="20"/>
                <w:szCs w:val="20"/>
              </w:rPr>
              <w:t>D</w:t>
            </w:r>
          </w:p>
        </w:tc>
        <w:tc>
          <w:tcPr>
            <w:tcW w:w="1594" w:type="pct"/>
          </w:tcPr>
          <w:p w14:paraId="76279DFB"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68E48D48" w14:textId="6D7CBB9F" w:rsidR="00074551" w:rsidRDefault="00074551" w:rsidP="00367133">
            <w:pPr>
              <w:jc w:val="both"/>
              <w:rPr>
                <w:sz w:val="20"/>
                <w:szCs w:val="20"/>
              </w:rPr>
            </w:pPr>
            <w:r w:rsidRPr="00765874">
              <w:rPr>
                <w:sz w:val="20"/>
                <w:szCs w:val="20"/>
                <w:lang w:val="en-US"/>
              </w:rPr>
              <w:t xml:space="preserve">Die </w:t>
            </w:r>
            <w:r w:rsidRPr="5B67C1D2">
              <w:rPr>
                <w:i/>
                <w:iCs/>
                <w:sz w:val="20"/>
                <w:szCs w:val="20"/>
                <w:lang w:val="en-US"/>
              </w:rPr>
              <w:t>Due Process Clause</w:t>
            </w:r>
            <w:r w:rsidRPr="00765874">
              <w:rPr>
                <w:sz w:val="20"/>
                <w:szCs w:val="20"/>
                <w:lang w:val="en-US"/>
              </w:rPr>
              <w:t xml:space="preserve"> in </w:t>
            </w:r>
            <w:r w:rsidR="00023A37">
              <w:rPr>
                <w:sz w:val="20"/>
                <w:szCs w:val="20"/>
                <w:lang w:val="en-US"/>
              </w:rPr>
              <w:t xml:space="preserve">U.S. Const. </w:t>
            </w:r>
            <w:proofErr w:type="gramStart"/>
            <w:r w:rsidR="00023A37">
              <w:rPr>
                <w:sz w:val="20"/>
                <w:szCs w:val="20"/>
                <w:lang w:val="en-US"/>
              </w:rPr>
              <w:t>amend</w:t>
            </w:r>
            <w:proofErr w:type="gramEnd"/>
            <w:r w:rsidR="00023A37">
              <w:rPr>
                <w:sz w:val="20"/>
                <w:szCs w:val="20"/>
                <w:lang w:val="en-US"/>
              </w:rPr>
              <w:t>. XIV</w:t>
            </w:r>
            <w:r w:rsidRPr="00765874">
              <w:rPr>
                <w:sz w:val="20"/>
                <w:szCs w:val="20"/>
              </w:rPr>
              <w:t xml:space="preserve"> schützt </w:t>
            </w:r>
            <w:r>
              <w:rPr>
                <w:sz w:val="20"/>
                <w:szCs w:val="20"/>
              </w:rPr>
              <w:t xml:space="preserve">sowohl </w:t>
            </w:r>
            <w:r w:rsidRPr="00765874">
              <w:rPr>
                <w:sz w:val="20"/>
                <w:szCs w:val="20"/>
              </w:rPr>
              <w:t>das Interesse am Leben als auch das Interesse daran, lebenserhaltende medizinische Behandlung ablehnen zu können. Um festzustellen</w:t>
            </w:r>
            <w:r>
              <w:rPr>
                <w:sz w:val="20"/>
                <w:szCs w:val="20"/>
              </w:rPr>
              <w:t xml:space="preserve">, </w:t>
            </w:r>
            <w:r w:rsidRPr="00765874">
              <w:rPr>
                <w:sz w:val="20"/>
                <w:szCs w:val="20"/>
              </w:rPr>
              <w:t>welches von den beiden Interessen überwiegt, sei darauf zu achten, dass nicht alle geschäftsunfähigen bzw. behinderten Person Angehörige haben, die als Stellvertreter handeln können. Und selbst wenn geschäftsunfähige bzw. behinderte Person</w:t>
            </w:r>
            <w:r>
              <w:rPr>
                <w:sz w:val="20"/>
                <w:szCs w:val="20"/>
              </w:rPr>
              <w:t>en</w:t>
            </w:r>
            <w:r w:rsidRPr="00765874">
              <w:rPr>
                <w:sz w:val="20"/>
                <w:szCs w:val="20"/>
              </w:rPr>
              <w:t xml:space="preserve"> Angehörige als Stellvertreter haben, dann müssen diese nicht zwangsläufig im Willen der betroffenen Person handeln.</w:t>
            </w:r>
            <w:r w:rsidRPr="00765874">
              <w:rPr>
                <w:sz w:val="20"/>
                <w:szCs w:val="20"/>
                <w:vertAlign w:val="superscript"/>
              </w:rPr>
              <w:footnoteReference w:id="1862"/>
            </w:r>
            <w:r w:rsidRPr="00765874">
              <w:rPr>
                <w:sz w:val="20"/>
                <w:szCs w:val="20"/>
              </w:rPr>
              <w:t xml:space="preserve"> Daher habe der Staat einerseits das Recht</w:t>
            </w:r>
            <w:r>
              <w:rPr>
                <w:sz w:val="20"/>
                <w:szCs w:val="20"/>
              </w:rPr>
              <w:t>,</w:t>
            </w:r>
            <w:r w:rsidRPr="00765874">
              <w:rPr>
                <w:sz w:val="20"/>
                <w:szCs w:val="20"/>
              </w:rPr>
              <w:t xml:space="preserve"> gegen Missbrauch zu schützen. Andererseits habe ein Staat die Pflicht, ein nichtkontradiktorisches gerichtliches Verfahren einzurichten, um den Willen der geschäftsunfähigen bzw. behinderten Person festzustellen.</w:t>
            </w:r>
            <w:r w:rsidRPr="00765874">
              <w:rPr>
                <w:sz w:val="20"/>
                <w:szCs w:val="20"/>
                <w:vertAlign w:val="superscript"/>
              </w:rPr>
              <w:footnoteReference w:id="1863"/>
            </w:r>
            <w:r w:rsidRPr="00765874">
              <w:rPr>
                <w:sz w:val="20"/>
                <w:szCs w:val="20"/>
              </w:rPr>
              <w:t xml:space="preserve"> Doch woher kommen diese Vorgaben? Nach dem Dissens ergeben </w:t>
            </w:r>
            <w:r>
              <w:rPr>
                <w:sz w:val="20"/>
                <w:szCs w:val="20"/>
              </w:rPr>
              <w:t xml:space="preserve">sie </w:t>
            </w:r>
            <w:r w:rsidRPr="00765874">
              <w:rPr>
                <w:sz w:val="20"/>
                <w:szCs w:val="20"/>
              </w:rPr>
              <w:t>sich daraus, dass der Staat das Interesse am Leben mit der Freiheit bzw. dem Recht auf ein Streben nach Glück abzuwägen hat („</w:t>
            </w:r>
            <w:proofErr w:type="spellStart"/>
            <w:r w:rsidRPr="00765874">
              <w:rPr>
                <w:sz w:val="20"/>
                <w:szCs w:val="20"/>
              </w:rPr>
              <w:t>right</w:t>
            </w:r>
            <w:proofErr w:type="spellEnd"/>
            <w:r w:rsidRPr="00765874">
              <w:rPr>
                <w:sz w:val="20"/>
                <w:szCs w:val="20"/>
              </w:rPr>
              <w:t xml:space="preserve"> to the </w:t>
            </w:r>
            <w:r>
              <w:rPr>
                <w:sz w:val="20"/>
                <w:szCs w:val="20"/>
              </w:rPr>
              <w:t>‘</w:t>
            </w:r>
            <w:proofErr w:type="spellStart"/>
            <w:r w:rsidRPr="00765874">
              <w:rPr>
                <w:sz w:val="20"/>
                <w:szCs w:val="20"/>
              </w:rPr>
              <w:t>Pursuit</w:t>
            </w:r>
            <w:proofErr w:type="spellEnd"/>
            <w:r w:rsidRPr="00765874">
              <w:rPr>
                <w:sz w:val="20"/>
                <w:szCs w:val="20"/>
              </w:rPr>
              <w:t xml:space="preserve"> of </w:t>
            </w:r>
            <w:proofErr w:type="gramStart"/>
            <w:r w:rsidRPr="00765874">
              <w:rPr>
                <w:sz w:val="20"/>
                <w:szCs w:val="20"/>
              </w:rPr>
              <w:t>Happiness.</w:t>
            </w:r>
            <w:r>
              <w:rPr>
                <w:sz w:val="20"/>
                <w:szCs w:val="20"/>
              </w:rPr>
              <w:t>’</w:t>
            </w:r>
            <w:proofErr w:type="gramEnd"/>
            <w:r w:rsidRPr="00765874">
              <w:rPr>
                <w:sz w:val="20"/>
                <w:szCs w:val="20"/>
              </w:rPr>
              <w:t>“</w:t>
            </w:r>
            <w:r w:rsidRPr="00765874">
              <w:rPr>
                <w:sz w:val="20"/>
                <w:szCs w:val="20"/>
                <w:vertAlign w:val="superscript"/>
              </w:rPr>
              <w:t xml:space="preserve"> </w:t>
            </w:r>
            <w:r w:rsidRPr="00765874">
              <w:rPr>
                <w:sz w:val="20"/>
                <w:szCs w:val="20"/>
                <w:vertAlign w:val="superscript"/>
              </w:rPr>
              <w:footnoteReference w:id="1864"/>
            </w:r>
            <w:r w:rsidRPr="00765874">
              <w:rPr>
                <w:sz w:val="20"/>
                <w:szCs w:val="20"/>
              </w:rPr>
              <w:t xml:space="preserve">), was sich schon aus der </w:t>
            </w:r>
            <w:r w:rsidRPr="5B67C1D2">
              <w:rPr>
                <w:i/>
                <w:iCs/>
                <w:sz w:val="20"/>
                <w:szCs w:val="20"/>
              </w:rPr>
              <w:t>Declaration of Independence</w:t>
            </w:r>
            <w:r w:rsidRPr="00765874">
              <w:rPr>
                <w:sz w:val="20"/>
                <w:szCs w:val="20"/>
              </w:rPr>
              <w:t xml:space="preserve"> ergebe. Bei dieser Abwägung sei darauf zu achten, dass der Begriff des Lebens im heuten Verfassungskontext anders verstanden und </w:t>
            </w:r>
            <w:proofErr w:type="gramStart"/>
            <w:r w:rsidRPr="00765874">
              <w:rPr>
                <w:sz w:val="20"/>
                <w:szCs w:val="20"/>
              </w:rPr>
              <w:t xml:space="preserve">gewichtet werden </w:t>
            </w:r>
            <w:r>
              <w:rPr>
                <w:sz w:val="20"/>
                <w:szCs w:val="20"/>
              </w:rPr>
              <w:t>müsse</w:t>
            </w:r>
            <w:proofErr w:type="gramEnd"/>
            <w:r w:rsidRPr="00765874">
              <w:rPr>
                <w:sz w:val="20"/>
                <w:szCs w:val="20"/>
              </w:rPr>
              <w:t xml:space="preserve"> als es noch die </w:t>
            </w:r>
            <w:r w:rsidRPr="5B67C1D2">
              <w:rPr>
                <w:i/>
                <w:iCs/>
                <w:sz w:val="20"/>
                <w:szCs w:val="20"/>
              </w:rPr>
              <w:t>Declaration of Independence</w:t>
            </w:r>
            <w:r w:rsidRPr="00765874">
              <w:rPr>
                <w:sz w:val="20"/>
                <w:szCs w:val="20"/>
              </w:rPr>
              <w:t xml:space="preserve"> vorgab. Denn der medizinische Fortschritt könne heute das Leben mit erheblichen Qualitätseinschnitten verlängern.</w:t>
            </w:r>
            <w:r w:rsidRPr="00765874">
              <w:rPr>
                <w:sz w:val="20"/>
                <w:szCs w:val="20"/>
                <w:vertAlign w:val="superscript"/>
              </w:rPr>
              <w:footnoteReference w:id="1865"/>
            </w:r>
            <w:r w:rsidRPr="00765874">
              <w:rPr>
                <w:sz w:val="20"/>
                <w:szCs w:val="20"/>
              </w:rPr>
              <w:t xml:space="preserve"> Zudem sei darauf zu achten, dass die Verfassung das Persönlichkeitsrecht immer voraussetze und</w:t>
            </w:r>
            <w:r>
              <w:rPr>
                <w:sz w:val="20"/>
                <w:szCs w:val="20"/>
              </w:rPr>
              <w:t xml:space="preserve"> ihm</w:t>
            </w:r>
            <w:r w:rsidRPr="00765874">
              <w:rPr>
                <w:sz w:val="20"/>
                <w:szCs w:val="20"/>
              </w:rPr>
              <w:t xml:space="preserve"> grundsätzlich Vorrang einräume („</w:t>
            </w:r>
            <w:proofErr w:type="spellStart"/>
            <w:r w:rsidRPr="00765874">
              <w:rPr>
                <w:sz w:val="20"/>
                <w:szCs w:val="20"/>
              </w:rPr>
              <w:t>Constitution</w:t>
            </w:r>
            <w:proofErr w:type="spellEnd"/>
            <w:r w:rsidRPr="00765874">
              <w:rPr>
                <w:sz w:val="20"/>
                <w:szCs w:val="20"/>
              </w:rPr>
              <w:t xml:space="preserve"> </w:t>
            </w:r>
            <w:proofErr w:type="spellStart"/>
            <w:r w:rsidRPr="00765874">
              <w:rPr>
                <w:sz w:val="20"/>
                <w:szCs w:val="20"/>
              </w:rPr>
              <w:t>presupposes</w:t>
            </w:r>
            <w:proofErr w:type="spellEnd"/>
            <w:r w:rsidRPr="00765874">
              <w:rPr>
                <w:sz w:val="20"/>
                <w:szCs w:val="20"/>
              </w:rPr>
              <w:t xml:space="preserve"> a </w:t>
            </w:r>
            <w:proofErr w:type="spellStart"/>
            <w:r w:rsidRPr="00765874">
              <w:rPr>
                <w:sz w:val="20"/>
                <w:szCs w:val="20"/>
              </w:rPr>
              <w:t>respect</w:t>
            </w:r>
            <w:proofErr w:type="spellEnd"/>
            <w:r w:rsidRPr="00765874">
              <w:rPr>
                <w:sz w:val="20"/>
                <w:szCs w:val="20"/>
              </w:rPr>
              <w:t xml:space="preserve"> for the </w:t>
            </w:r>
            <w:proofErr w:type="spellStart"/>
            <w:r w:rsidRPr="00765874">
              <w:rPr>
                <w:sz w:val="20"/>
                <w:szCs w:val="20"/>
              </w:rPr>
              <w:t>personhood</w:t>
            </w:r>
            <w:proofErr w:type="spellEnd"/>
            <w:r w:rsidRPr="00765874">
              <w:rPr>
                <w:sz w:val="20"/>
                <w:szCs w:val="20"/>
              </w:rPr>
              <w:t xml:space="preserve"> of </w:t>
            </w:r>
            <w:proofErr w:type="spellStart"/>
            <w:r w:rsidRPr="00765874">
              <w:rPr>
                <w:sz w:val="20"/>
                <w:szCs w:val="20"/>
              </w:rPr>
              <w:t>every</w:t>
            </w:r>
            <w:proofErr w:type="spellEnd"/>
            <w:r w:rsidRPr="00765874">
              <w:rPr>
                <w:sz w:val="20"/>
                <w:szCs w:val="20"/>
              </w:rPr>
              <w:t xml:space="preserve"> individual“</w:t>
            </w:r>
            <w:r w:rsidRPr="00765874">
              <w:rPr>
                <w:sz w:val="20"/>
                <w:szCs w:val="20"/>
                <w:vertAlign w:val="superscript"/>
              </w:rPr>
              <w:footnoteReference w:id="1866"/>
            </w:r>
            <w:r w:rsidRPr="00765874">
              <w:rPr>
                <w:sz w:val="20"/>
                <w:szCs w:val="20"/>
              </w:rPr>
              <w:t>), da es dem Staatswesen zugrunde lieg</w:t>
            </w:r>
            <w:r>
              <w:rPr>
                <w:sz w:val="20"/>
                <w:szCs w:val="20"/>
              </w:rPr>
              <w:t>e</w:t>
            </w:r>
            <w:r w:rsidRPr="00765874">
              <w:rPr>
                <w:sz w:val="20"/>
                <w:szCs w:val="20"/>
              </w:rPr>
              <w:t xml:space="preserve"> („</w:t>
            </w:r>
            <w:proofErr w:type="spellStart"/>
            <w:r w:rsidRPr="00765874">
              <w:rPr>
                <w:sz w:val="20"/>
                <w:szCs w:val="20"/>
              </w:rPr>
              <w:t>foundation</w:t>
            </w:r>
            <w:proofErr w:type="spellEnd"/>
            <w:r w:rsidRPr="00765874">
              <w:rPr>
                <w:sz w:val="20"/>
                <w:szCs w:val="20"/>
              </w:rPr>
              <w:t xml:space="preserve"> of all </w:t>
            </w:r>
            <w:proofErr w:type="spellStart"/>
            <w:r w:rsidRPr="00765874">
              <w:rPr>
                <w:sz w:val="20"/>
                <w:szCs w:val="20"/>
              </w:rPr>
              <w:t>legitimate</w:t>
            </w:r>
            <w:proofErr w:type="spellEnd"/>
            <w:r w:rsidRPr="00765874">
              <w:rPr>
                <w:sz w:val="20"/>
                <w:szCs w:val="20"/>
              </w:rPr>
              <w:t xml:space="preserve"> </w:t>
            </w:r>
            <w:proofErr w:type="spellStart"/>
            <w:r w:rsidRPr="00765874">
              <w:rPr>
                <w:sz w:val="20"/>
                <w:szCs w:val="20"/>
              </w:rPr>
              <w:t>government</w:t>
            </w:r>
            <w:proofErr w:type="spellEnd"/>
            <w:r w:rsidRPr="00765874">
              <w:rPr>
                <w:sz w:val="20"/>
                <w:szCs w:val="20"/>
              </w:rPr>
              <w:t>“</w:t>
            </w:r>
            <w:r w:rsidRPr="00765874">
              <w:rPr>
                <w:sz w:val="20"/>
                <w:szCs w:val="20"/>
                <w:vertAlign w:val="superscript"/>
              </w:rPr>
              <w:t xml:space="preserve"> </w:t>
            </w:r>
            <w:r w:rsidRPr="00765874">
              <w:rPr>
                <w:sz w:val="20"/>
                <w:szCs w:val="20"/>
                <w:vertAlign w:val="superscript"/>
              </w:rPr>
              <w:footnoteReference w:id="1867"/>
            </w:r>
            <w:r w:rsidRPr="00765874">
              <w:rPr>
                <w:sz w:val="20"/>
                <w:szCs w:val="20"/>
              </w:rPr>
              <w:t xml:space="preserve">). </w:t>
            </w:r>
            <w:r>
              <w:rPr>
                <w:sz w:val="20"/>
                <w:szCs w:val="20"/>
              </w:rPr>
              <w:t>Woraus ergibt sich</w:t>
            </w:r>
            <w:r w:rsidRPr="00765874">
              <w:rPr>
                <w:sz w:val="20"/>
                <w:szCs w:val="20"/>
              </w:rPr>
              <w:t xml:space="preserve"> dieser Vorrang? Der Staat legitimiere sich nur, wenn er die Grundsätze für eine Regierung in Form von Freiheit bzw. dem Streben nach Glück sichere („all </w:t>
            </w:r>
            <w:proofErr w:type="spellStart"/>
            <w:r w:rsidRPr="00765874">
              <w:rPr>
                <w:sz w:val="20"/>
                <w:szCs w:val="20"/>
              </w:rPr>
              <w:t>legitimate</w:t>
            </w:r>
            <w:proofErr w:type="spellEnd"/>
            <w:r w:rsidRPr="00765874">
              <w:rPr>
                <w:sz w:val="20"/>
                <w:szCs w:val="20"/>
              </w:rPr>
              <w:t xml:space="preserve"> </w:t>
            </w:r>
            <w:proofErr w:type="spellStart"/>
            <w:r w:rsidRPr="00765874">
              <w:rPr>
                <w:sz w:val="20"/>
                <w:szCs w:val="20"/>
              </w:rPr>
              <w:t>governments</w:t>
            </w:r>
            <w:proofErr w:type="spellEnd"/>
            <w:r w:rsidRPr="00765874">
              <w:rPr>
                <w:sz w:val="20"/>
                <w:szCs w:val="20"/>
              </w:rPr>
              <w:t xml:space="preserve"> </w:t>
            </w:r>
            <w:proofErr w:type="spellStart"/>
            <w:r w:rsidRPr="00765874">
              <w:rPr>
                <w:sz w:val="20"/>
                <w:szCs w:val="20"/>
              </w:rPr>
              <w:t>must</w:t>
            </w:r>
            <w:proofErr w:type="spellEnd"/>
            <w:r w:rsidRPr="00765874">
              <w:rPr>
                <w:sz w:val="20"/>
                <w:szCs w:val="20"/>
              </w:rPr>
              <w:t xml:space="preserve"> </w:t>
            </w:r>
            <w:proofErr w:type="spellStart"/>
            <w:r w:rsidRPr="00765874">
              <w:rPr>
                <w:sz w:val="20"/>
                <w:szCs w:val="20"/>
              </w:rPr>
              <w:t>secure</w:t>
            </w:r>
            <w:proofErr w:type="spellEnd"/>
            <w:r w:rsidRPr="00765874">
              <w:rPr>
                <w:sz w:val="20"/>
                <w:szCs w:val="20"/>
              </w:rPr>
              <w:t xml:space="preserve"> the </w:t>
            </w:r>
            <w:proofErr w:type="spellStart"/>
            <w:r w:rsidRPr="00765874">
              <w:rPr>
                <w:sz w:val="20"/>
                <w:szCs w:val="20"/>
              </w:rPr>
              <w:t>equal</w:t>
            </w:r>
            <w:proofErr w:type="spellEnd"/>
            <w:r w:rsidRPr="00765874">
              <w:rPr>
                <w:sz w:val="20"/>
                <w:szCs w:val="20"/>
              </w:rPr>
              <w:t xml:space="preserve"> </w:t>
            </w:r>
            <w:proofErr w:type="spellStart"/>
            <w:r w:rsidRPr="00765874">
              <w:rPr>
                <w:sz w:val="20"/>
                <w:szCs w:val="20"/>
              </w:rPr>
              <w:t>right</w:t>
            </w:r>
            <w:proofErr w:type="spellEnd"/>
            <w:r w:rsidRPr="00765874">
              <w:rPr>
                <w:sz w:val="20"/>
                <w:szCs w:val="20"/>
              </w:rPr>
              <w:t xml:space="preserve"> of </w:t>
            </w:r>
            <w:proofErr w:type="spellStart"/>
            <w:r w:rsidRPr="00765874">
              <w:rPr>
                <w:sz w:val="20"/>
                <w:szCs w:val="20"/>
              </w:rPr>
              <w:t>every</w:t>
            </w:r>
            <w:proofErr w:type="spellEnd"/>
            <w:r w:rsidRPr="00765874">
              <w:rPr>
                <w:sz w:val="20"/>
                <w:szCs w:val="20"/>
              </w:rPr>
              <w:t xml:space="preserve"> </w:t>
            </w:r>
            <w:proofErr w:type="spellStart"/>
            <w:r w:rsidRPr="00765874">
              <w:rPr>
                <w:sz w:val="20"/>
                <w:szCs w:val="20"/>
              </w:rPr>
              <w:t>person</w:t>
            </w:r>
            <w:proofErr w:type="spellEnd"/>
            <w:r w:rsidRPr="00765874">
              <w:rPr>
                <w:sz w:val="20"/>
                <w:szCs w:val="20"/>
              </w:rPr>
              <w:t xml:space="preserve"> to ‚Life, Liberty, and the </w:t>
            </w:r>
            <w:proofErr w:type="spellStart"/>
            <w:r w:rsidRPr="00765874">
              <w:rPr>
                <w:sz w:val="20"/>
                <w:szCs w:val="20"/>
              </w:rPr>
              <w:t>pursuit</w:t>
            </w:r>
            <w:proofErr w:type="spellEnd"/>
            <w:r w:rsidRPr="00765874">
              <w:rPr>
                <w:sz w:val="20"/>
                <w:szCs w:val="20"/>
              </w:rPr>
              <w:t xml:space="preserve"> of Happiness</w:t>
            </w:r>
            <w:r>
              <w:rPr>
                <w:sz w:val="20"/>
                <w:szCs w:val="20"/>
              </w:rPr>
              <w:t>‘</w:t>
            </w:r>
            <w:r w:rsidRPr="00765874">
              <w:rPr>
                <w:sz w:val="20"/>
                <w:szCs w:val="20"/>
              </w:rPr>
              <w:t>“</w:t>
            </w:r>
            <w:r w:rsidRPr="00765874">
              <w:rPr>
                <w:sz w:val="20"/>
                <w:szCs w:val="20"/>
                <w:vertAlign w:val="superscript"/>
              </w:rPr>
              <w:footnoteReference w:id="1868"/>
            </w:r>
            <w:r w:rsidRPr="00765874">
              <w:rPr>
                <w:sz w:val="20"/>
                <w:szCs w:val="20"/>
              </w:rPr>
              <w:t xml:space="preserve">), und ein Nichtvorrang der Achtung der Persönlichkeit sei damit inkonsistent („to </w:t>
            </w:r>
            <w:proofErr w:type="spellStart"/>
            <w:r w:rsidRPr="00765874">
              <w:rPr>
                <w:sz w:val="20"/>
                <w:szCs w:val="20"/>
              </w:rPr>
              <w:t>deny</w:t>
            </w:r>
            <w:proofErr w:type="spellEnd"/>
            <w:r w:rsidRPr="00765874">
              <w:rPr>
                <w:sz w:val="20"/>
                <w:szCs w:val="20"/>
              </w:rPr>
              <w:t xml:space="preserve"> the </w:t>
            </w:r>
            <w:proofErr w:type="spellStart"/>
            <w:r w:rsidRPr="00765874">
              <w:rPr>
                <w:sz w:val="20"/>
                <w:szCs w:val="20"/>
              </w:rPr>
              <w:t>personhood</w:t>
            </w:r>
            <w:proofErr w:type="spellEnd"/>
            <w:r w:rsidRPr="00765874">
              <w:rPr>
                <w:sz w:val="20"/>
                <w:szCs w:val="20"/>
              </w:rPr>
              <w:t xml:space="preserve"> […] </w:t>
            </w:r>
            <w:proofErr w:type="spellStart"/>
            <w:r w:rsidRPr="00765874">
              <w:rPr>
                <w:sz w:val="20"/>
                <w:szCs w:val="20"/>
              </w:rPr>
              <w:t>is</w:t>
            </w:r>
            <w:proofErr w:type="spellEnd"/>
            <w:r w:rsidRPr="00765874">
              <w:rPr>
                <w:sz w:val="20"/>
                <w:szCs w:val="20"/>
              </w:rPr>
              <w:t xml:space="preserve"> </w:t>
            </w:r>
            <w:proofErr w:type="spellStart"/>
            <w:r w:rsidRPr="00765874">
              <w:rPr>
                <w:sz w:val="20"/>
                <w:szCs w:val="20"/>
              </w:rPr>
              <w:t>radically</w:t>
            </w:r>
            <w:proofErr w:type="spellEnd"/>
            <w:r w:rsidRPr="00765874">
              <w:rPr>
                <w:sz w:val="20"/>
                <w:szCs w:val="20"/>
              </w:rPr>
              <w:t xml:space="preserve"> </w:t>
            </w:r>
            <w:proofErr w:type="spellStart"/>
            <w:r w:rsidRPr="00765874">
              <w:rPr>
                <w:sz w:val="20"/>
                <w:szCs w:val="20"/>
              </w:rPr>
              <w:t>inconsistent</w:t>
            </w:r>
            <w:proofErr w:type="spellEnd"/>
            <w:r w:rsidRPr="00765874">
              <w:rPr>
                <w:sz w:val="20"/>
                <w:szCs w:val="20"/>
              </w:rPr>
              <w:t xml:space="preserve"> </w:t>
            </w:r>
            <w:proofErr w:type="spellStart"/>
            <w:r w:rsidRPr="00765874">
              <w:rPr>
                <w:sz w:val="20"/>
                <w:szCs w:val="20"/>
              </w:rPr>
              <w:t>with</w:t>
            </w:r>
            <w:proofErr w:type="spellEnd"/>
            <w:r w:rsidRPr="00765874">
              <w:rPr>
                <w:sz w:val="20"/>
                <w:szCs w:val="20"/>
              </w:rPr>
              <w:t xml:space="preserve"> the </w:t>
            </w:r>
            <w:proofErr w:type="spellStart"/>
            <w:r w:rsidRPr="00765874">
              <w:rPr>
                <w:sz w:val="20"/>
                <w:szCs w:val="20"/>
              </w:rPr>
              <w:t>foundation</w:t>
            </w:r>
            <w:proofErr w:type="spellEnd"/>
            <w:r w:rsidRPr="00765874">
              <w:rPr>
                <w:sz w:val="20"/>
                <w:szCs w:val="20"/>
              </w:rPr>
              <w:t xml:space="preserve"> of all </w:t>
            </w:r>
            <w:proofErr w:type="spellStart"/>
            <w:r w:rsidRPr="00765874">
              <w:rPr>
                <w:sz w:val="20"/>
                <w:szCs w:val="20"/>
              </w:rPr>
              <w:t>legitimate</w:t>
            </w:r>
            <w:proofErr w:type="spellEnd"/>
            <w:r w:rsidRPr="00765874">
              <w:rPr>
                <w:sz w:val="20"/>
                <w:szCs w:val="20"/>
              </w:rPr>
              <w:t xml:space="preserve"> </w:t>
            </w:r>
            <w:proofErr w:type="spellStart"/>
            <w:r w:rsidRPr="00765874">
              <w:rPr>
                <w:sz w:val="20"/>
                <w:szCs w:val="20"/>
              </w:rPr>
              <w:t>government</w:t>
            </w:r>
            <w:proofErr w:type="spellEnd"/>
            <w:r w:rsidRPr="00765874">
              <w:rPr>
                <w:sz w:val="20"/>
                <w:szCs w:val="20"/>
              </w:rPr>
              <w:t>“</w:t>
            </w:r>
            <w:r w:rsidRPr="00765874">
              <w:rPr>
                <w:sz w:val="20"/>
                <w:szCs w:val="20"/>
                <w:vertAlign w:val="superscript"/>
              </w:rPr>
              <w:footnoteReference w:id="1869"/>
            </w:r>
            <w:r w:rsidRPr="00765874">
              <w:rPr>
                <w:sz w:val="20"/>
                <w:szCs w:val="20"/>
              </w:rPr>
              <w:t>).</w:t>
            </w:r>
          </w:p>
          <w:p w14:paraId="230D00F7" w14:textId="77777777" w:rsidR="00074551" w:rsidRPr="00765874" w:rsidRDefault="00074551" w:rsidP="00367133">
            <w:pPr>
              <w:jc w:val="both"/>
              <w:rPr>
                <w:sz w:val="20"/>
                <w:szCs w:val="20"/>
              </w:rPr>
            </w:pPr>
          </w:p>
        </w:tc>
      </w:tr>
      <w:tr w:rsidR="00074551" w:rsidRPr="00E50B51" w14:paraId="7FE8F9A7" w14:textId="77777777" w:rsidTr="00BE689F">
        <w:trPr>
          <w:cantSplit/>
          <w:trHeight w:val="3175"/>
        </w:trPr>
        <w:tc>
          <w:tcPr>
            <w:tcW w:w="293" w:type="pct"/>
            <w:shd w:val="clear" w:color="auto" w:fill="E7E6E6" w:themeFill="background2"/>
          </w:tcPr>
          <w:p w14:paraId="7B5DDF9B" w14:textId="77777777" w:rsidR="00074551" w:rsidRPr="00E50B51" w:rsidRDefault="00074551" w:rsidP="00367133">
            <w:pPr>
              <w:ind w:right="416"/>
              <w:jc w:val="center"/>
              <w:rPr>
                <w:i/>
                <w:iCs/>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5B5825E8" w14:textId="77777777" w:rsidR="00074551" w:rsidRPr="00E50B51" w:rsidRDefault="00074551" w:rsidP="00367133">
            <w:pPr>
              <w:ind w:left="113" w:right="416"/>
              <w:jc w:val="both"/>
              <w:rPr>
                <w:sz w:val="20"/>
                <w:szCs w:val="20"/>
                <w:lang w:val="en-US"/>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5FB324FF" w14:textId="77777777" w:rsidR="00074551" w:rsidRPr="00E50B51" w:rsidRDefault="00074551" w:rsidP="00367133">
            <w:pPr>
              <w:ind w:left="113" w:right="113"/>
              <w:jc w:val="both"/>
              <w:rPr>
                <w:iCs/>
                <w:sz w:val="20"/>
                <w:szCs w:val="20"/>
                <w:lang w:val="en-US"/>
              </w:rPr>
            </w:pPr>
            <w:r w:rsidRPr="00E50B51">
              <w:rPr>
                <w:iCs/>
                <w:sz w:val="20"/>
                <w:szCs w:val="20"/>
                <w:lang w:val="en-US"/>
              </w:rPr>
              <w:t>Case or Controversy Clause</w:t>
            </w:r>
          </w:p>
          <w:p w14:paraId="769F442B"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57071749" w14:textId="77777777" w:rsidR="00074551" w:rsidRPr="00E50B51" w:rsidRDefault="00074551" w:rsidP="00367133">
            <w:pPr>
              <w:ind w:left="113" w:right="113"/>
              <w:jc w:val="both"/>
              <w:rPr>
                <w:iCs/>
                <w:sz w:val="20"/>
                <w:szCs w:val="20"/>
              </w:rPr>
            </w:pPr>
            <w:r w:rsidRPr="00E50B51">
              <w:rPr>
                <w:iCs/>
                <w:sz w:val="20"/>
                <w:szCs w:val="20"/>
              </w:rPr>
              <w:t>Scope</w:t>
            </w:r>
          </w:p>
          <w:p w14:paraId="46153A7D" w14:textId="77777777" w:rsidR="00074551" w:rsidRPr="00E50B51" w:rsidRDefault="00074551" w:rsidP="00367133">
            <w:pPr>
              <w:ind w:left="113" w:right="113"/>
              <w:jc w:val="both"/>
              <w:rPr>
                <w:iCs/>
                <w:sz w:val="20"/>
                <w:szCs w:val="20"/>
              </w:rPr>
            </w:pPr>
          </w:p>
        </w:tc>
        <w:tc>
          <w:tcPr>
            <w:tcW w:w="401" w:type="pct"/>
            <w:shd w:val="clear" w:color="auto" w:fill="E7E6E6" w:themeFill="background2"/>
            <w:textDirection w:val="tbRl"/>
          </w:tcPr>
          <w:p w14:paraId="3771A7A0" w14:textId="77777777" w:rsidR="00074551" w:rsidRDefault="00074551" w:rsidP="00367133">
            <w:pPr>
              <w:ind w:left="113" w:right="416"/>
              <w:rPr>
                <w:iCs/>
                <w:sz w:val="20"/>
                <w:szCs w:val="20"/>
              </w:rPr>
            </w:pPr>
          </w:p>
          <w:p w14:paraId="1E387347" w14:textId="77777777" w:rsidR="00074551" w:rsidRPr="00E50B51" w:rsidRDefault="00074551" w:rsidP="00367133">
            <w:pPr>
              <w:ind w:left="113" w:right="416"/>
              <w:rPr>
                <w:iCs/>
                <w:sz w:val="20"/>
                <w:szCs w:val="20"/>
              </w:rPr>
            </w:pPr>
            <w:proofErr w:type="spellStart"/>
            <w:r w:rsidRPr="00E50B51">
              <w:rPr>
                <w:iCs/>
                <w:sz w:val="20"/>
                <w:szCs w:val="20"/>
              </w:rPr>
              <w:t>Congressional</w:t>
            </w:r>
            <w:proofErr w:type="spellEnd"/>
            <w:r w:rsidRPr="00E50B51">
              <w:rPr>
                <w:iCs/>
                <w:sz w:val="20"/>
                <w:szCs w:val="20"/>
              </w:rPr>
              <w:t xml:space="preserve"> </w:t>
            </w:r>
            <w:proofErr w:type="spellStart"/>
            <w:r w:rsidRPr="00E50B51">
              <w:rPr>
                <w:iCs/>
                <w:sz w:val="20"/>
                <w:szCs w:val="20"/>
              </w:rPr>
              <w:t>Duties</w:t>
            </w:r>
            <w:proofErr w:type="spellEnd"/>
            <w:r w:rsidRPr="00E50B51">
              <w:rPr>
                <w:iCs/>
                <w:sz w:val="20"/>
                <w:szCs w:val="20"/>
              </w:rPr>
              <w:t xml:space="preserve"> &amp; Powers</w:t>
            </w:r>
          </w:p>
          <w:p w14:paraId="76AB2F93" w14:textId="77777777" w:rsidR="00074551" w:rsidRPr="00E50B51" w:rsidRDefault="00074551" w:rsidP="00367133">
            <w:pPr>
              <w:ind w:left="113" w:right="113"/>
              <w:jc w:val="center"/>
              <w:rPr>
                <w:sz w:val="20"/>
                <w:szCs w:val="20"/>
              </w:rPr>
            </w:pPr>
          </w:p>
        </w:tc>
        <w:tc>
          <w:tcPr>
            <w:tcW w:w="1594" w:type="pct"/>
            <w:shd w:val="clear" w:color="auto" w:fill="E7E6E6" w:themeFill="background2"/>
          </w:tcPr>
          <w:p w14:paraId="204D10DE" w14:textId="77777777" w:rsidR="00074551" w:rsidRPr="00E50B51" w:rsidRDefault="00074551" w:rsidP="00367133">
            <w:pPr>
              <w:jc w:val="both"/>
              <w:rPr>
                <w:sz w:val="20"/>
                <w:szCs w:val="20"/>
              </w:rPr>
            </w:pPr>
          </w:p>
        </w:tc>
        <w:tc>
          <w:tcPr>
            <w:tcW w:w="1822" w:type="pct"/>
            <w:shd w:val="clear" w:color="auto" w:fill="E7E6E6" w:themeFill="background2"/>
          </w:tcPr>
          <w:p w14:paraId="478CCEDE" w14:textId="45297EE0" w:rsidR="00074551" w:rsidRPr="00E50B51" w:rsidRDefault="00203768" w:rsidP="00367133">
            <w:pPr>
              <w:jc w:val="both"/>
              <w:rPr>
                <w:sz w:val="20"/>
                <w:szCs w:val="20"/>
              </w:rPr>
            </w:pPr>
            <w:r w:rsidRPr="00A15DB3">
              <w:rPr>
                <w:i/>
                <w:iCs/>
                <w:sz w:val="16"/>
                <w:szCs w:val="16"/>
              </w:rPr>
              <w:t>Thematische Gliederung der nachfolgenden Entscheidungen ↓</w:t>
            </w:r>
          </w:p>
        </w:tc>
      </w:tr>
      <w:tr w:rsidR="00074551" w:rsidRPr="00E50B51" w14:paraId="1D74B771" w14:textId="77777777" w:rsidTr="00BE689F">
        <w:trPr>
          <w:cantSplit/>
          <w:trHeight w:val="3175"/>
        </w:trPr>
        <w:tc>
          <w:tcPr>
            <w:tcW w:w="293" w:type="pct"/>
          </w:tcPr>
          <w:p w14:paraId="27BE8829"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37A568C" w14:textId="77777777" w:rsidR="00074551" w:rsidRPr="00B45592" w:rsidRDefault="00074551" w:rsidP="00367133">
            <w:pPr>
              <w:ind w:left="113" w:right="416"/>
              <w:jc w:val="both"/>
              <w:rPr>
                <w:i/>
                <w:sz w:val="20"/>
                <w:szCs w:val="20"/>
                <w:lang w:val="en-US"/>
              </w:rPr>
            </w:pPr>
            <w:r w:rsidRPr="00B45592">
              <w:rPr>
                <w:i/>
                <w:sz w:val="20"/>
                <w:szCs w:val="20"/>
                <w:lang w:val="en-US"/>
              </w:rPr>
              <w:t xml:space="preserve">American Communications </w:t>
            </w:r>
            <w:proofErr w:type="spellStart"/>
            <w:r w:rsidRPr="00B45592">
              <w:rPr>
                <w:i/>
                <w:sz w:val="20"/>
                <w:szCs w:val="20"/>
                <w:lang w:val="en-US"/>
              </w:rPr>
              <w:t>Ass’n</w:t>
            </w:r>
            <w:proofErr w:type="spellEnd"/>
            <w:r w:rsidRPr="00B45592">
              <w:rPr>
                <w:i/>
                <w:sz w:val="20"/>
                <w:szCs w:val="20"/>
                <w:lang w:val="en-US"/>
              </w:rPr>
              <w:t xml:space="preserve"> v. Douds</w:t>
            </w:r>
          </w:p>
        </w:tc>
        <w:tc>
          <w:tcPr>
            <w:tcW w:w="197" w:type="pct"/>
            <w:textDirection w:val="tbRl"/>
            <w:vAlign w:val="center"/>
          </w:tcPr>
          <w:p w14:paraId="175727E8" w14:textId="77777777" w:rsidR="00074551" w:rsidRPr="00E50B51" w:rsidRDefault="00074551" w:rsidP="00367133">
            <w:pPr>
              <w:ind w:left="113" w:right="113"/>
              <w:jc w:val="both"/>
              <w:rPr>
                <w:iCs/>
                <w:sz w:val="20"/>
                <w:szCs w:val="20"/>
                <w:lang w:val="en-US"/>
              </w:rPr>
            </w:pPr>
            <w:r w:rsidRPr="00E50B51">
              <w:rPr>
                <w:sz w:val="20"/>
                <w:szCs w:val="20"/>
                <w:lang w:val="en-US"/>
              </w:rPr>
              <w:t>339 U.S. 382</w:t>
            </w:r>
          </w:p>
        </w:tc>
        <w:tc>
          <w:tcPr>
            <w:tcW w:w="306" w:type="pct"/>
            <w:textDirection w:val="tbRl"/>
            <w:vAlign w:val="center"/>
          </w:tcPr>
          <w:p w14:paraId="05A2AA1B" w14:textId="77777777" w:rsidR="00074551" w:rsidRPr="00E50B51" w:rsidRDefault="00074551" w:rsidP="00367133">
            <w:pPr>
              <w:ind w:left="113" w:right="113"/>
              <w:jc w:val="both"/>
              <w:rPr>
                <w:sz w:val="20"/>
                <w:szCs w:val="20"/>
              </w:rPr>
            </w:pPr>
            <w:r w:rsidRPr="00E50B51">
              <w:rPr>
                <w:sz w:val="20"/>
                <w:szCs w:val="20"/>
                <w:lang w:val="en-US"/>
              </w:rPr>
              <w:t>8. Mai 1950</w:t>
            </w:r>
          </w:p>
        </w:tc>
        <w:tc>
          <w:tcPr>
            <w:tcW w:w="401" w:type="pct"/>
          </w:tcPr>
          <w:p w14:paraId="4C647179"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44621A7B" w14:textId="77777777" w:rsidR="00074551" w:rsidRPr="00E50B51" w:rsidRDefault="00074551" w:rsidP="00367133">
            <w:pPr>
              <w:jc w:val="both"/>
              <w:rPr>
                <w:sz w:val="20"/>
                <w:szCs w:val="20"/>
              </w:rPr>
            </w:pPr>
            <w:r w:rsidRPr="00E50B51">
              <w:rPr>
                <w:sz w:val="20"/>
                <w:szCs w:val="20"/>
              </w:rPr>
              <w:t>*</w:t>
            </w:r>
          </w:p>
        </w:tc>
        <w:tc>
          <w:tcPr>
            <w:tcW w:w="1822" w:type="pct"/>
          </w:tcPr>
          <w:p w14:paraId="029EAD44" w14:textId="6142F7DE" w:rsidR="00074551" w:rsidRDefault="00074551" w:rsidP="00367133">
            <w:pPr>
              <w:jc w:val="both"/>
              <w:rPr>
                <w:sz w:val="20"/>
                <w:szCs w:val="20"/>
              </w:rPr>
            </w:pPr>
            <w:r w:rsidRPr="00BE6C63">
              <w:rPr>
                <w:sz w:val="20"/>
                <w:szCs w:val="20"/>
              </w:rPr>
              <w:t xml:space="preserve">Der </w:t>
            </w:r>
            <w:r>
              <w:rPr>
                <w:sz w:val="20"/>
                <w:szCs w:val="20"/>
              </w:rPr>
              <w:t>U.S. Supreme Court</w:t>
            </w:r>
            <w:r w:rsidRPr="00BE6C63">
              <w:rPr>
                <w:sz w:val="20"/>
                <w:szCs w:val="20"/>
              </w:rPr>
              <w:t xml:space="preserve"> sei befugt und verpflichtet, ein Gesetz so auszulegen, dass die Gefahr der Verfassungswidrigkeit vermieden </w:t>
            </w:r>
            <w:r>
              <w:rPr>
                <w:sz w:val="20"/>
                <w:szCs w:val="20"/>
              </w:rPr>
              <w:t>werde</w:t>
            </w:r>
            <w:r w:rsidRPr="00BE6C63">
              <w:rPr>
                <w:sz w:val="20"/>
                <w:szCs w:val="20"/>
              </w:rPr>
              <w:t>, soweit dies im Einklang mit dem Ziel des Gesetzgebers stehe.</w:t>
            </w:r>
            <w:r w:rsidRPr="00BE6C63">
              <w:rPr>
                <w:sz w:val="20"/>
                <w:szCs w:val="20"/>
                <w:vertAlign w:val="superscript"/>
              </w:rPr>
              <w:footnoteReference w:id="1870"/>
            </w:r>
            <w:r w:rsidRPr="00BE6C63">
              <w:rPr>
                <w:sz w:val="20"/>
                <w:szCs w:val="20"/>
              </w:rPr>
              <w:t xml:space="preserve"> </w:t>
            </w:r>
            <w:proofErr w:type="gramStart"/>
            <w:r w:rsidRPr="00BE6C63">
              <w:rPr>
                <w:sz w:val="20"/>
                <w:szCs w:val="20"/>
              </w:rPr>
              <w:t>Hier</w:t>
            </w:r>
            <w:proofErr w:type="gramEnd"/>
            <w:r w:rsidRPr="00BE6C63">
              <w:rPr>
                <w:sz w:val="20"/>
                <w:szCs w:val="20"/>
              </w:rPr>
              <w:t xml:space="preserve"> legte der </w:t>
            </w:r>
            <w:r>
              <w:rPr>
                <w:sz w:val="20"/>
                <w:szCs w:val="20"/>
              </w:rPr>
              <w:t>U.S. Supreme Court</w:t>
            </w:r>
            <w:r w:rsidRPr="00BE6C63">
              <w:rPr>
                <w:sz w:val="20"/>
                <w:szCs w:val="20"/>
              </w:rPr>
              <w:t xml:space="preserve"> den antikommunistischen Eid nach </w:t>
            </w:r>
            <w:r>
              <w:rPr>
                <w:sz w:val="20"/>
                <w:szCs w:val="20"/>
              </w:rPr>
              <w:t>§ </w:t>
            </w:r>
            <w:r w:rsidRPr="00BE6C63">
              <w:rPr>
                <w:sz w:val="20"/>
                <w:szCs w:val="20"/>
              </w:rPr>
              <w:t>9(h)</w:t>
            </w:r>
            <w:r w:rsidRPr="00BE6C63">
              <w:rPr>
                <w:sz w:val="20"/>
                <w:szCs w:val="20"/>
                <w:vertAlign w:val="superscript"/>
              </w:rPr>
              <w:footnoteReference w:id="1871"/>
            </w:r>
            <w:r w:rsidRPr="00BE6C63">
              <w:rPr>
                <w:sz w:val="20"/>
                <w:szCs w:val="20"/>
              </w:rPr>
              <w:t xml:space="preserve"> </w:t>
            </w:r>
            <w:r>
              <w:rPr>
                <w:sz w:val="20"/>
                <w:szCs w:val="20"/>
              </w:rPr>
              <w:t xml:space="preserve">als </w:t>
            </w:r>
            <w:r w:rsidRPr="00BE6C63">
              <w:rPr>
                <w:sz w:val="20"/>
                <w:szCs w:val="20"/>
              </w:rPr>
              <w:t xml:space="preserve">verfassungskonform aus; der </w:t>
            </w:r>
            <w:proofErr w:type="gramStart"/>
            <w:r w:rsidRPr="00BE6C63">
              <w:rPr>
                <w:sz w:val="20"/>
                <w:szCs w:val="20"/>
              </w:rPr>
              <w:t>Paragraph</w:t>
            </w:r>
            <w:proofErr w:type="gramEnd"/>
            <w:r w:rsidRPr="00BE6C63">
              <w:rPr>
                <w:sz w:val="20"/>
                <w:szCs w:val="20"/>
              </w:rPr>
              <w:t xml:space="preserve"> gewährleiste den zwischenstaatlichen Handel, obgleich er die Gewissensfreiheit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w:t>
            </w:r>
            <w:r w:rsidRPr="00BE6C63">
              <w:rPr>
                <w:sz w:val="20"/>
                <w:szCs w:val="20"/>
              </w:rPr>
              <w:t xml:space="preserve"> einschränke, und zwar gerade noch an der Grenze der Verfassungswidrigkeit. Denn Sinn und Zweck des Gesetzes sei es, die Wahrscheinlichkeit für kommunistische Umsturzbegehren zu reduzieren, zugleich solle das Gesetz damit den zwischenstaatlichen Handel fördern („</w:t>
            </w:r>
            <w:proofErr w:type="spellStart"/>
            <w:r w:rsidRPr="00BE6C63">
              <w:rPr>
                <w:sz w:val="20"/>
                <w:szCs w:val="20"/>
              </w:rPr>
              <w:t>supports</w:t>
            </w:r>
            <w:proofErr w:type="spellEnd"/>
            <w:r w:rsidRPr="00BE6C63">
              <w:rPr>
                <w:sz w:val="20"/>
                <w:szCs w:val="20"/>
              </w:rPr>
              <w:t xml:space="preserve"> </w:t>
            </w:r>
            <w:proofErr w:type="spellStart"/>
            <w:r w:rsidRPr="00BE6C63">
              <w:rPr>
                <w:sz w:val="20"/>
                <w:szCs w:val="20"/>
              </w:rPr>
              <w:t>any</w:t>
            </w:r>
            <w:proofErr w:type="spellEnd"/>
            <w:r w:rsidRPr="00BE6C63">
              <w:rPr>
                <w:sz w:val="20"/>
                <w:szCs w:val="20"/>
              </w:rPr>
              <w:t xml:space="preserve"> </w:t>
            </w:r>
            <w:proofErr w:type="spellStart"/>
            <w:r w:rsidRPr="00BE6C63">
              <w:rPr>
                <w:sz w:val="20"/>
                <w:szCs w:val="20"/>
              </w:rPr>
              <w:t>organization</w:t>
            </w:r>
            <w:proofErr w:type="spellEnd"/>
            <w:r w:rsidRPr="00BE6C63">
              <w:rPr>
                <w:sz w:val="20"/>
                <w:szCs w:val="20"/>
              </w:rPr>
              <w:t xml:space="preserve"> </w:t>
            </w:r>
            <w:proofErr w:type="spellStart"/>
            <w:r w:rsidRPr="00BE6C63">
              <w:rPr>
                <w:sz w:val="20"/>
                <w:szCs w:val="20"/>
              </w:rPr>
              <w:t>that</w:t>
            </w:r>
            <w:proofErr w:type="spellEnd"/>
            <w:r w:rsidRPr="00BE6C63">
              <w:rPr>
                <w:sz w:val="20"/>
                <w:szCs w:val="20"/>
              </w:rPr>
              <w:t xml:space="preserve"> </w:t>
            </w:r>
            <w:proofErr w:type="spellStart"/>
            <w:r w:rsidRPr="00BE6C63">
              <w:rPr>
                <w:sz w:val="20"/>
                <w:szCs w:val="20"/>
              </w:rPr>
              <w:t>believes</w:t>
            </w:r>
            <w:proofErr w:type="spellEnd"/>
            <w:r w:rsidRPr="00BE6C63">
              <w:rPr>
                <w:sz w:val="20"/>
                <w:szCs w:val="20"/>
              </w:rPr>
              <w:t xml:space="preserve"> in </w:t>
            </w:r>
            <w:proofErr w:type="spellStart"/>
            <w:r w:rsidRPr="00BE6C63">
              <w:rPr>
                <w:sz w:val="20"/>
                <w:szCs w:val="20"/>
              </w:rPr>
              <w:t>or</w:t>
            </w:r>
            <w:proofErr w:type="spellEnd"/>
            <w:r w:rsidRPr="00BE6C63">
              <w:rPr>
                <w:sz w:val="20"/>
                <w:szCs w:val="20"/>
              </w:rPr>
              <w:t xml:space="preserve"> </w:t>
            </w:r>
            <w:proofErr w:type="spellStart"/>
            <w:r w:rsidRPr="00BE6C63">
              <w:rPr>
                <w:sz w:val="20"/>
                <w:szCs w:val="20"/>
              </w:rPr>
              <w:t>teaches</w:t>
            </w:r>
            <w:proofErr w:type="spellEnd"/>
            <w:r w:rsidRPr="00BE6C63">
              <w:rPr>
                <w:sz w:val="20"/>
                <w:szCs w:val="20"/>
              </w:rPr>
              <w:t xml:space="preserve">, the </w:t>
            </w:r>
            <w:proofErr w:type="spellStart"/>
            <w:r w:rsidRPr="00BE6C63">
              <w:rPr>
                <w:sz w:val="20"/>
                <w:szCs w:val="20"/>
              </w:rPr>
              <w:t>overthrow</w:t>
            </w:r>
            <w:proofErr w:type="spellEnd"/>
            <w:r w:rsidRPr="00BE6C63">
              <w:rPr>
                <w:sz w:val="20"/>
                <w:szCs w:val="20"/>
              </w:rPr>
              <w:t xml:space="preserve"> of the United States Government by force </w:t>
            </w:r>
            <w:proofErr w:type="spellStart"/>
            <w:r w:rsidRPr="00BE6C63">
              <w:rPr>
                <w:sz w:val="20"/>
                <w:szCs w:val="20"/>
              </w:rPr>
              <w:t>or</w:t>
            </w:r>
            <w:proofErr w:type="spellEnd"/>
            <w:r w:rsidRPr="00BE6C63">
              <w:rPr>
                <w:sz w:val="20"/>
                <w:szCs w:val="20"/>
              </w:rPr>
              <w:t xml:space="preserve"> by </w:t>
            </w:r>
            <w:proofErr w:type="spellStart"/>
            <w:r w:rsidRPr="00BE6C63">
              <w:rPr>
                <w:sz w:val="20"/>
                <w:szCs w:val="20"/>
              </w:rPr>
              <w:t>any</w:t>
            </w:r>
            <w:proofErr w:type="spellEnd"/>
            <w:r w:rsidRPr="00BE6C63">
              <w:rPr>
                <w:sz w:val="20"/>
                <w:szCs w:val="20"/>
              </w:rPr>
              <w:t xml:space="preserve"> illegal </w:t>
            </w:r>
            <w:proofErr w:type="spellStart"/>
            <w:r w:rsidRPr="00BE6C63">
              <w:rPr>
                <w:sz w:val="20"/>
                <w:szCs w:val="20"/>
              </w:rPr>
              <w:t>or</w:t>
            </w:r>
            <w:proofErr w:type="spellEnd"/>
            <w:r w:rsidRPr="00BE6C63">
              <w:rPr>
                <w:sz w:val="20"/>
                <w:szCs w:val="20"/>
              </w:rPr>
              <w:t xml:space="preserve"> </w:t>
            </w:r>
            <w:proofErr w:type="spellStart"/>
            <w:r w:rsidRPr="00BE6C63">
              <w:rPr>
                <w:sz w:val="20"/>
                <w:szCs w:val="20"/>
              </w:rPr>
              <w:t>unconstitutional</w:t>
            </w:r>
            <w:proofErr w:type="spellEnd"/>
            <w:r w:rsidRPr="00BE6C63">
              <w:rPr>
                <w:sz w:val="20"/>
                <w:szCs w:val="20"/>
              </w:rPr>
              <w:t xml:space="preserve"> </w:t>
            </w:r>
            <w:proofErr w:type="spellStart"/>
            <w:r w:rsidRPr="00BE6C63">
              <w:rPr>
                <w:sz w:val="20"/>
                <w:szCs w:val="20"/>
              </w:rPr>
              <w:t>methods</w:t>
            </w:r>
            <w:proofErr w:type="spellEnd"/>
            <w:r w:rsidRPr="00BE6C63">
              <w:rPr>
                <w:sz w:val="20"/>
                <w:szCs w:val="20"/>
              </w:rPr>
              <w:t>“</w:t>
            </w:r>
            <w:r w:rsidRPr="00BE6C63">
              <w:rPr>
                <w:sz w:val="20"/>
                <w:szCs w:val="20"/>
                <w:vertAlign w:val="superscript"/>
              </w:rPr>
              <w:footnoteReference w:id="1872"/>
            </w:r>
            <w:r w:rsidRPr="00BE6C63">
              <w:rPr>
                <w:sz w:val="20"/>
                <w:szCs w:val="20"/>
              </w:rPr>
              <w:t xml:space="preserve">). Der Dissens verwies </w:t>
            </w:r>
            <w:r>
              <w:rPr>
                <w:sz w:val="20"/>
                <w:szCs w:val="20"/>
              </w:rPr>
              <w:t xml:space="preserve">hingegen </w:t>
            </w:r>
            <w:r w:rsidRPr="00BE6C63">
              <w:rPr>
                <w:sz w:val="20"/>
                <w:szCs w:val="20"/>
              </w:rPr>
              <w:t xml:space="preserve">darauf, dass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BE6C63">
              <w:rPr>
                <w:sz w:val="20"/>
                <w:szCs w:val="20"/>
              </w:rPr>
              <w:t xml:space="preserve"> das Recht auf Widerstand als Umsturzmöglichkeit verkannt </w:t>
            </w:r>
            <w:r>
              <w:rPr>
                <w:sz w:val="20"/>
                <w:szCs w:val="20"/>
              </w:rPr>
              <w:t>habe</w:t>
            </w:r>
            <w:r w:rsidRPr="00BE6C63">
              <w:rPr>
                <w:sz w:val="20"/>
                <w:szCs w:val="20"/>
              </w:rPr>
              <w:t xml:space="preserve"> („the </w:t>
            </w:r>
            <w:proofErr w:type="spellStart"/>
            <w:r w:rsidRPr="00BE6C63">
              <w:rPr>
                <w:sz w:val="20"/>
                <w:szCs w:val="20"/>
              </w:rPr>
              <w:t>right</w:t>
            </w:r>
            <w:proofErr w:type="spellEnd"/>
            <w:r w:rsidRPr="00BE6C63">
              <w:rPr>
                <w:sz w:val="20"/>
                <w:szCs w:val="20"/>
              </w:rPr>
              <w:t xml:space="preserve"> of the </w:t>
            </w:r>
            <w:proofErr w:type="spellStart"/>
            <w:r w:rsidRPr="00BE6C63">
              <w:rPr>
                <w:sz w:val="20"/>
                <w:szCs w:val="20"/>
              </w:rPr>
              <w:t>people</w:t>
            </w:r>
            <w:proofErr w:type="spellEnd"/>
            <w:r w:rsidRPr="00BE6C63">
              <w:rPr>
                <w:sz w:val="20"/>
                <w:szCs w:val="20"/>
              </w:rPr>
              <w:t xml:space="preserve"> to alter </w:t>
            </w:r>
            <w:proofErr w:type="spellStart"/>
            <w:r w:rsidRPr="00BE6C63">
              <w:rPr>
                <w:sz w:val="20"/>
                <w:szCs w:val="20"/>
              </w:rPr>
              <w:t>or</w:t>
            </w:r>
            <w:proofErr w:type="spellEnd"/>
            <w:r w:rsidRPr="00BE6C63">
              <w:rPr>
                <w:sz w:val="20"/>
                <w:szCs w:val="20"/>
              </w:rPr>
              <w:t xml:space="preserve"> </w:t>
            </w:r>
            <w:proofErr w:type="spellStart"/>
            <w:r w:rsidRPr="00BE6C63">
              <w:rPr>
                <w:sz w:val="20"/>
                <w:szCs w:val="20"/>
              </w:rPr>
              <w:t>abolish</w:t>
            </w:r>
            <w:proofErr w:type="spellEnd"/>
            <w:r w:rsidRPr="00BE6C63">
              <w:rPr>
                <w:sz w:val="20"/>
                <w:szCs w:val="20"/>
              </w:rPr>
              <w:t xml:space="preserve"> it“</w:t>
            </w:r>
            <w:r w:rsidRPr="00BE6C63">
              <w:rPr>
                <w:sz w:val="20"/>
                <w:szCs w:val="20"/>
                <w:vertAlign w:val="superscript"/>
              </w:rPr>
              <w:footnoteReference w:id="1873"/>
            </w:r>
            <w:r w:rsidRPr="00BE6C63">
              <w:rPr>
                <w:sz w:val="20"/>
                <w:szCs w:val="20"/>
              </w:rPr>
              <w:t xml:space="preserve">). Denn bereits nach der </w:t>
            </w:r>
            <w:r w:rsidRPr="5B67C1D2">
              <w:rPr>
                <w:i/>
                <w:iCs/>
                <w:sz w:val="20"/>
                <w:szCs w:val="20"/>
              </w:rPr>
              <w:t>Declaration of Independence</w:t>
            </w:r>
            <w:r w:rsidRPr="00BE6C63">
              <w:rPr>
                <w:sz w:val="20"/>
                <w:szCs w:val="20"/>
              </w:rPr>
              <w:t xml:space="preserve"> sei anerkannt, dass sobald eine Regierung die unveräußerlichen Rechte nicht mehr sichere, wie die Bedingungen auf Glücksstreben, das Recht auf Widerstand eröffnet sei („</w:t>
            </w:r>
            <w:proofErr w:type="spellStart"/>
            <w:r w:rsidRPr="00BE6C63">
              <w:rPr>
                <w:sz w:val="20"/>
                <w:szCs w:val="20"/>
              </w:rPr>
              <w:t>Whenever</w:t>
            </w:r>
            <w:proofErr w:type="spellEnd"/>
            <w:r w:rsidRPr="00BE6C63">
              <w:rPr>
                <w:sz w:val="20"/>
                <w:szCs w:val="20"/>
              </w:rPr>
              <w:t xml:space="preserve"> </w:t>
            </w:r>
            <w:proofErr w:type="spellStart"/>
            <w:r w:rsidRPr="00BE6C63">
              <w:rPr>
                <w:sz w:val="20"/>
                <w:szCs w:val="20"/>
              </w:rPr>
              <w:t>any</w:t>
            </w:r>
            <w:proofErr w:type="spellEnd"/>
            <w:r w:rsidRPr="00BE6C63">
              <w:rPr>
                <w:sz w:val="20"/>
                <w:szCs w:val="20"/>
              </w:rPr>
              <w:t xml:space="preserve"> </w:t>
            </w:r>
            <w:proofErr w:type="spellStart"/>
            <w:r w:rsidRPr="00BE6C63">
              <w:rPr>
                <w:sz w:val="20"/>
                <w:szCs w:val="20"/>
              </w:rPr>
              <w:t>government</w:t>
            </w:r>
            <w:proofErr w:type="spellEnd"/>
            <w:r w:rsidRPr="00BE6C63">
              <w:rPr>
                <w:sz w:val="20"/>
                <w:szCs w:val="20"/>
              </w:rPr>
              <w:t xml:space="preserve"> </w:t>
            </w:r>
            <w:proofErr w:type="spellStart"/>
            <w:r w:rsidRPr="00BE6C63">
              <w:rPr>
                <w:sz w:val="20"/>
                <w:szCs w:val="20"/>
              </w:rPr>
              <w:t>becomes</w:t>
            </w:r>
            <w:proofErr w:type="spellEnd"/>
            <w:r w:rsidRPr="00BE6C63">
              <w:rPr>
                <w:sz w:val="20"/>
                <w:szCs w:val="20"/>
              </w:rPr>
              <w:t xml:space="preserve"> </w:t>
            </w:r>
            <w:proofErr w:type="spellStart"/>
            <w:r w:rsidRPr="00BE6C63">
              <w:rPr>
                <w:sz w:val="20"/>
                <w:szCs w:val="20"/>
              </w:rPr>
              <w:t>destructive</w:t>
            </w:r>
            <w:proofErr w:type="spellEnd"/>
            <w:r w:rsidRPr="00BE6C63">
              <w:rPr>
                <w:sz w:val="20"/>
                <w:szCs w:val="20"/>
              </w:rPr>
              <w:t xml:space="preserve"> of </w:t>
            </w:r>
            <w:proofErr w:type="spellStart"/>
            <w:r w:rsidRPr="00BE6C63">
              <w:rPr>
                <w:sz w:val="20"/>
                <w:szCs w:val="20"/>
              </w:rPr>
              <w:t>these</w:t>
            </w:r>
            <w:proofErr w:type="spellEnd"/>
            <w:r w:rsidRPr="00BE6C63">
              <w:rPr>
                <w:sz w:val="20"/>
                <w:szCs w:val="20"/>
              </w:rPr>
              <w:t xml:space="preserve"> </w:t>
            </w:r>
            <w:proofErr w:type="spellStart"/>
            <w:r w:rsidRPr="00BE6C63">
              <w:rPr>
                <w:sz w:val="20"/>
                <w:szCs w:val="20"/>
              </w:rPr>
              <w:t>ends</w:t>
            </w:r>
            <w:proofErr w:type="spellEnd"/>
            <w:r w:rsidRPr="00BE6C63">
              <w:rPr>
                <w:sz w:val="20"/>
                <w:szCs w:val="20"/>
              </w:rPr>
              <w:t xml:space="preserve"> [</w:t>
            </w:r>
            <w:proofErr w:type="spellStart"/>
            <w:r w:rsidRPr="00BE6C63">
              <w:rPr>
                <w:sz w:val="20"/>
                <w:szCs w:val="20"/>
              </w:rPr>
              <w:t>life</w:t>
            </w:r>
            <w:proofErr w:type="spellEnd"/>
            <w:r w:rsidRPr="00BE6C63">
              <w:rPr>
                <w:sz w:val="20"/>
                <w:szCs w:val="20"/>
              </w:rPr>
              <w:t xml:space="preserve">, </w:t>
            </w:r>
            <w:proofErr w:type="spellStart"/>
            <w:r w:rsidRPr="00BE6C63">
              <w:rPr>
                <w:sz w:val="20"/>
                <w:szCs w:val="20"/>
              </w:rPr>
              <w:t>liberty</w:t>
            </w:r>
            <w:proofErr w:type="spellEnd"/>
            <w:r w:rsidRPr="00BE6C63">
              <w:rPr>
                <w:sz w:val="20"/>
                <w:szCs w:val="20"/>
              </w:rPr>
              <w:t xml:space="preserve"> and the </w:t>
            </w:r>
            <w:proofErr w:type="spellStart"/>
            <w:r w:rsidRPr="00BE6C63">
              <w:rPr>
                <w:sz w:val="20"/>
                <w:szCs w:val="20"/>
              </w:rPr>
              <w:t>pursuit</w:t>
            </w:r>
            <w:proofErr w:type="spellEnd"/>
            <w:r w:rsidRPr="00BE6C63">
              <w:rPr>
                <w:sz w:val="20"/>
                <w:szCs w:val="20"/>
              </w:rPr>
              <w:t xml:space="preserve"> of </w:t>
            </w:r>
            <w:proofErr w:type="spellStart"/>
            <w:r w:rsidRPr="00BE6C63">
              <w:rPr>
                <w:sz w:val="20"/>
                <w:szCs w:val="20"/>
              </w:rPr>
              <w:t>happiness</w:t>
            </w:r>
            <w:proofErr w:type="spellEnd"/>
            <w:r w:rsidRPr="00BE6C63">
              <w:rPr>
                <w:sz w:val="20"/>
                <w:szCs w:val="20"/>
              </w:rPr>
              <w:t xml:space="preserve">] it </w:t>
            </w:r>
            <w:proofErr w:type="spellStart"/>
            <w:r w:rsidRPr="00BE6C63">
              <w:rPr>
                <w:sz w:val="20"/>
                <w:szCs w:val="20"/>
              </w:rPr>
              <w:t>is</w:t>
            </w:r>
            <w:proofErr w:type="spellEnd"/>
            <w:r w:rsidRPr="00BE6C63">
              <w:rPr>
                <w:sz w:val="20"/>
                <w:szCs w:val="20"/>
              </w:rPr>
              <w:t xml:space="preserve"> the </w:t>
            </w:r>
            <w:proofErr w:type="spellStart"/>
            <w:r w:rsidRPr="00BE6C63">
              <w:rPr>
                <w:sz w:val="20"/>
                <w:szCs w:val="20"/>
              </w:rPr>
              <w:t>right</w:t>
            </w:r>
            <w:proofErr w:type="spellEnd"/>
            <w:r w:rsidRPr="00BE6C63">
              <w:rPr>
                <w:sz w:val="20"/>
                <w:szCs w:val="20"/>
              </w:rPr>
              <w:t xml:space="preserve"> of the </w:t>
            </w:r>
            <w:proofErr w:type="spellStart"/>
            <w:r w:rsidRPr="00BE6C63">
              <w:rPr>
                <w:sz w:val="20"/>
                <w:szCs w:val="20"/>
              </w:rPr>
              <w:t>people</w:t>
            </w:r>
            <w:proofErr w:type="spellEnd"/>
            <w:r w:rsidRPr="00BE6C63">
              <w:rPr>
                <w:sz w:val="20"/>
                <w:szCs w:val="20"/>
              </w:rPr>
              <w:t xml:space="preserve"> to alter </w:t>
            </w:r>
            <w:proofErr w:type="spellStart"/>
            <w:r w:rsidRPr="00BE6C63">
              <w:rPr>
                <w:sz w:val="20"/>
                <w:szCs w:val="20"/>
              </w:rPr>
              <w:t>or</w:t>
            </w:r>
            <w:proofErr w:type="spellEnd"/>
            <w:r w:rsidRPr="00BE6C63">
              <w:rPr>
                <w:sz w:val="20"/>
                <w:szCs w:val="20"/>
              </w:rPr>
              <w:t xml:space="preserve"> </w:t>
            </w:r>
            <w:proofErr w:type="spellStart"/>
            <w:r w:rsidRPr="00BE6C63">
              <w:rPr>
                <w:sz w:val="20"/>
                <w:szCs w:val="20"/>
              </w:rPr>
              <w:t>abolish</w:t>
            </w:r>
            <w:proofErr w:type="spellEnd"/>
            <w:r w:rsidRPr="00BE6C63">
              <w:rPr>
                <w:sz w:val="20"/>
                <w:szCs w:val="20"/>
              </w:rPr>
              <w:t xml:space="preserve"> it, and to </w:t>
            </w:r>
            <w:proofErr w:type="spellStart"/>
            <w:r w:rsidRPr="00BE6C63">
              <w:rPr>
                <w:sz w:val="20"/>
                <w:szCs w:val="20"/>
              </w:rPr>
              <w:t>institute</w:t>
            </w:r>
            <w:proofErr w:type="spellEnd"/>
            <w:r w:rsidRPr="00BE6C63">
              <w:rPr>
                <w:sz w:val="20"/>
                <w:szCs w:val="20"/>
              </w:rPr>
              <w:t xml:space="preserve"> a </w:t>
            </w:r>
            <w:proofErr w:type="spellStart"/>
            <w:r w:rsidRPr="00BE6C63">
              <w:rPr>
                <w:sz w:val="20"/>
                <w:szCs w:val="20"/>
              </w:rPr>
              <w:t>new</w:t>
            </w:r>
            <w:proofErr w:type="spellEnd"/>
            <w:r w:rsidRPr="00BE6C63">
              <w:rPr>
                <w:sz w:val="20"/>
                <w:szCs w:val="20"/>
              </w:rPr>
              <w:t xml:space="preserve"> </w:t>
            </w:r>
            <w:proofErr w:type="spellStart"/>
            <w:r w:rsidRPr="00BE6C63">
              <w:rPr>
                <w:sz w:val="20"/>
                <w:szCs w:val="20"/>
              </w:rPr>
              <w:t>government</w:t>
            </w:r>
            <w:proofErr w:type="spellEnd"/>
            <w:r w:rsidRPr="00BE6C63">
              <w:rPr>
                <w:sz w:val="20"/>
                <w:szCs w:val="20"/>
              </w:rPr>
              <w:t>“</w:t>
            </w:r>
            <w:r w:rsidRPr="00BE6C63">
              <w:rPr>
                <w:sz w:val="20"/>
                <w:szCs w:val="20"/>
                <w:vertAlign w:val="superscript"/>
              </w:rPr>
              <w:footnoteReference w:id="1874"/>
            </w:r>
            <w:r w:rsidRPr="00BE6C63">
              <w:rPr>
                <w:sz w:val="20"/>
                <w:szCs w:val="20"/>
              </w:rPr>
              <w:t>). Zu diesen Bedingungen gehöre auch die Gewissensfreiheit („</w:t>
            </w:r>
            <w:proofErr w:type="spellStart"/>
            <w:r w:rsidRPr="00BE6C63">
              <w:rPr>
                <w:sz w:val="20"/>
                <w:szCs w:val="20"/>
              </w:rPr>
              <w:t>proclaimed</w:t>
            </w:r>
            <w:proofErr w:type="spellEnd"/>
            <w:r w:rsidRPr="00BE6C63">
              <w:rPr>
                <w:sz w:val="20"/>
                <w:szCs w:val="20"/>
              </w:rPr>
              <w:t xml:space="preserve"> </w:t>
            </w:r>
            <w:proofErr w:type="spellStart"/>
            <w:r w:rsidRPr="00BE6C63">
              <w:rPr>
                <w:sz w:val="20"/>
                <w:szCs w:val="20"/>
              </w:rPr>
              <w:t>these</w:t>
            </w:r>
            <w:proofErr w:type="spellEnd"/>
            <w:r w:rsidRPr="00BE6C63">
              <w:rPr>
                <w:sz w:val="20"/>
                <w:szCs w:val="20"/>
              </w:rPr>
              <w:t xml:space="preserve"> beliefs in the </w:t>
            </w:r>
            <w:proofErr w:type="spellStart"/>
            <w:r w:rsidRPr="00BE6C63">
              <w:rPr>
                <w:sz w:val="20"/>
                <w:szCs w:val="20"/>
              </w:rPr>
              <w:t>document</w:t>
            </w:r>
            <w:proofErr w:type="spellEnd"/>
            <w:r w:rsidRPr="00BE6C63">
              <w:rPr>
                <w:sz w:val="20"/>
                <w:szCs w:val="20"/>
              </w:rPr>
              <w:t xml:space="preserve"> </w:t>
            </w:r>
            <w:proofErr w:type="spellStart"/>
            <w:r w:rsidRPr="00BE6C63">
              <w:rPr>
                <w:sz w:val="20"/>
                <w:szCs w:val="20"/>
              </w:rPr>
              <w:t>basic</w:t>
            </w:r>
            <w:proofErr w:type="spellEnd"/>
            <w:r w:rsidRPr="00BE6C63">
              <w:rPr>
                <w:sz w:val="20"/>
                <w:szCs w:val="20"/>
              </w:rPr>
              <w:t xml:space="preserve"> to </w:t>
            </w:r>
            <w:proofErr w:type="spellStart"/>
            <w:r w:rsidRPr="00BE6C63">
              <w:rPr>
                <w:sz w:val="20"/>
                <w:szCs w:val="20"/>
              </w:rPr>
              <w:t>our</w:t>
            </w:r>
            <w:proofErr w:type="spellEnd"/>
            <w:r w:rsidRPr="00BE6C63">
              <w:rPr>
                <w:sz w:val="20"/>
                <w:szCs w:val="20"/>
              </w:rPr>
              <w:t xml:space="preserve"> </w:t>
            </w:r>
            <w:proofErr w:type="spellStart"/>
            <w:r w:rsidRPr="00BE6C63">
              <w:rPr>
                <w:sz w:val="20"/>
                <w:szCs w:val="20"/>
              </w:rPr>
              <w:t>freedom</w:t>
            </w:r>
            <w:proofErr w:type="spellEnd"/>
            <w:r w:rsidRPr="00BE6C63">
              <w:rPr>
                <w:sz w:val="20"/>
                <w:szCs w:val="20"/>
              </w:rPr>
              <w:t>“</w:t>
            </w:r>
            <w:r w:rsidRPr="00BE6C63">
              <w:rPr>
                <w:sz w:val="20"/>
                <w:szCs w:val="20"/>
                <w:vertAlign w:val="superscript"/>
              </w:rPr>
              <w:footnoteReference w:id="1875"/>
            </w:r>
            <w:r w:rsidRPr="00BE6C63">
              <w:rPr>
                <w:sz w:val="20"/>
                <w:szCs w:val="20"/>
              </w:rPr>
              <w:t>). Es sei ein Vorrecht, anders zu denken. Dieses Vorrecht habe dazu geführt, dass Amerika sich zu einem freien Staat entwickelt</w:t>
            </w:r>
            <w:r>
              <w:rPr>
                <w:sz w:val="20"/>
                <w:szCs w:val="20"/>
              </w:rPr>
              <w:t xml:space="preserve"> habe</w:t>
            </w:r>
            <w:r w:rsidRPr="00BE6C63">
              <w:rPr>
                <w:sz w:val="20"/>
                <w:szCs w:val="20"/>
              </w:rPr>
              <w:t xml:space="preserve">, weil es damit Widerstand gegen die Krone leistete. Die Möglichkeit auf Widerstand, im Urteil als Umsturz negativ konnotiert, sei deshalb keine kommunistische Doktrin. Sondern </w:t>
            </w:r>
            <w:r>
              <w:rPr>
                <w:sz w:val="20"/>
                <w:szCs w:val="20"/>
              </w:rPr>
              <w:t>sie</w:t>
            </w:r>
            <w:r w:rsidRPr="00BE6C63">
              <w:rPr>
                <w:sz w:val="20"/>
                <w:szCs w:val="20"/>
              </w:rPr>
              <w:t xml:space="preserve"> sei ein amerikanischer Gründungssatz. Und der beruhe darauf, dass die Regierung die unveräußerlichen Rechte zu sichern habe. Dies </w:t>
            </w:r>
            <w:r>
              <w:rPr>
                <w:sz w:val="20"/>
                <w:szCs w:val="20"/>
              </w:rPr>
              <w:t>habe</w:t>
            </w:r>
            <w:r w:rsidRPr="00BE6C63">
              <w:rPr>
                <w:sz w:val="20"/>
                <w:szCs w:val="20"/>
              </w:rPr>
              <w:t xml:space="preserve"> der </w:t>
            </w:r>
            <w:r>
              <w:rPr>
                <w:sz w:val="20"/>
                <w:szCs w:val="20"/>
              </w:rPr>
              <w:t>U.S. Supreme Court</w:t>
            </w:r>
            <w:r w:rsidRPr="00BE6C63">
              <w:rPr>
                <w:sz w:val="20"/>
                <w:szCs w:val="20"/>
              </w:rPr>
              <w:t xml:space="preserve"> in seiner Auslegung </w:t>
            </w:r>
            <w:r>
              <w:rPr>
                <w:sz w:val="20"/>
                <w:szCs w:val="20"/>
              </w:rPr>
              <w:t>von</w:t>
            </w:r>
            <w:r w:rsidRPr="00BE6C63">
              <w:rPr>
                <w:sz w:val="20"/>
                <w:szCs w:val="20"/>
              </w:rPr>
              <w:t xml:space="preserve"> </w:t>
            </w:r>
            <w:r>
              <w:rPr>
                <w:sz w:val="20"/>
                <w:szCs w:val="20"/>
              </w:rPr>
              <w:t>§ </w:t>
            </w:r>
            <w:r w:rsidRPr="00BE6C63">
              <w:rPr>
                <w:sz w:val="20"/>
                <w:szCs w:val="20"/>
              </w:rPr>
              <w:t>9 (h)</w:t>
            </w:r>
            <w:r>
              <w:rPr>
                <w:sz w:val="20"/>
                <w:szCs w:val="20"/>
              </w:rPr>
              <w:t xml:space="preserve"> als </w:t>
            </w:r>
            <w:r w:rsidRPr="00BE6C63">
              <w:rPr>
                <w:sz w:val="20"/>
                <w:szCs w:val="20"/>
              </w:rPr>
              <w:t>verfassungskonform</w:t>
            </w:r>
            <w:r>
              <w:rPr>
                <w:sz w:val="20"/>
                <w:szCs w:val="20"/>
              </w:rPr>
              <w:t xml:space="preserve"> verkannt</w:t>
            </w:r>
            <w:r w:rsidRPr="00BE6C63">
              <w:rPr>
                <w:sz w:val="20"/>
                <w:szCs w:val="20"/>
              </w:rPr>
              <w:t>.</w:t>
            </w:r>
            <w:r w:rsidRPr="00BE6C63">
              <w:rPr>
                <w:sz w:val="20"/>
                <w:szCs w:val="20"/>
                <w:vertAlign w:val="superscript"/>
              </w:rPr>
              <w:footnoteReference w:id="1876"/>
            </w:r>
          </w:p>
          <w:p w14:paraId="1C69AF3F" w14:textId="77777777" w:rsidR="00074551" w:rsidRPr="00E50B51" w:rsidRDefault="00074551" w:rsidP="00367133">
            <w:pPr>
              <w:jc w:val="both"/>
              <w:rPr>
                <w:sz w:val="20"/>
                <w:szCs w:val="20"/>
              </w:rPr>
            </w:pPr>
          </w:p>
        </w:tc>
      </w:tr>
      <w:tr w:rsidR="00074551" w:rsidRPr="00E50B51" w14:paraId="53FD757E" w14:textId="77777777" w:rsidTr="00BE689F">
        <w:trPr>
          <w:cantSplit/>
          <w:trHeight w:val="3175"/>
        </w:trPr>
        <w:tc>
          <w:tcPr>
            <w:tcW w:w="293" w:type="pct"/>
          </w:tcPr>
          <w:p w14:paraId="21AE335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2F41015" w14:textId="77777777" w:rsidR="00074551" w:rsidRPr="00E50B51" w:rsidRDefault="00074551" w:rsidP="00367133">
            <w:pPr>
              <w:ind w:left="113" w:right="416"/>
              <w:jc w:val="both"/>
              <w:rPr>
                <w:sz w:val="20"/>
                <w:szCs w:val="20"/>
                <w:lang w:val="en-US"/>
              </w:rPr>
            </w:pPr>
            <w:r w:rsidRPr="00A15962">
              <w:rPr>
                <w:i/>
                <w:sz w:val="20"/>
                <w:szCs w:val="20"/>
                <w:lang w:val="en-US"/>
              </w:rPr>
              <w:t>Cotting v. Kansas City Stock Yards Co.</w:t>
            </w:r>
          </w:p>
        </w:tc>
        <w:tc>
          <w:tcPr>
            <w:tcW w:w="197" w:type="pct"/>
            <w:textDirection w:val="tbRl"/>
            <w:vAlign w:val="center"/>
          </w:tcPr>
          <w:p w14:paraId="5819C50D" w14:textId="77777777" w:rsidR="00074551" w:rsidRPr="00E50B51" w:rsidRDefault="00074551" w:rsidP="00367133">
            <w:pPr>
              <w:ind w:left="113" w:right="113"/>
              <w:jc w:val="both"/>
              <w:rPr>
                <w:iCs/>
                <w:sz w:val="20"/>
                <w:szCs w:val="20"/>
              </w:rPr>
            </w:pPr>
            <w:r w:rsidRPr="00E50B51">
              <w:rPr>
                <w:sz w:val="20"/>
                <w:szCs w:val="20"/>
                <w:lang w:val="en-US"/>
              </w:rPr>
              <w:t>183 U.S. 79</w:t>
            </w:r>
          </w:p>
        </w:tc>
        <w:tc>
          <w:tcPr>
            <w:tcW w:w="306" w:type="pct"/>
            <w:textDirection w:val="tbRl"/>
            <w:vAlign w:val="center"/>
          </w:tcPr>
          <w:p w14:paraId="6FA9723D" w14:textId="77777777" w:rsidR="00074551" w:rsidRPr="00E50B51" w:rsidRDefault="00074551" w:rsidP="00367133">
            <w:pPr>
              <w:ind w:left="113" w:right="113"/>
              <w:jc w:val="both"/>
              <w:rPr>
                <w:sz w:val="20"/>
                <w:szCs w:val="20"/>
                <w:lang w:val="en-US"/>
              </w:rPr>
            </w:pPr>
            <w:r w:rsidRPr="00E50B51">
              <w:rPr>
                <w:sz w:val="20"/>
                <w:szCs w:val="20"/>
              </w:rPr>
              <w:t>25. November 1901</w:t>
            </w:r>
          </w:p>
        </w:tc>
        <w:tc>
          <w:tcPr>
            <w:tcW w:w="401" w:type="pct"/>
          </w:tcPr>
          <w:p w14:paraId="52908B4A" w14:textId="77777777" w:rsidR="00074551" w:rsidRPr="00E50B51" w:rsidRDefault="00074551" w:rsidP="00367133">
            <w:pPr>
              <w:jc w:val="center"/>
              <w:rPr>
                <w:sz w:val="20"/>
                <w:szCs w:val="20"/>
                <w:lang w:val="en-US"/>
              </w:rPr>
            </w:pPr>
            <w:r w:rsidRPr="00E50B51">
              <w:rPr>
                <w:sz w:val="20"/>
                <w:szCs w:val="20"/>
                <w:lang w:val="en-US"/>
              </w:rPr>
              <w:t>M</w:t>
            </w:r>
          </w:p>
        </w:tc>
        <w:tc>
          <w:tcPr>
            <w:tcW w:w="1594" w:type="pct"/>
          </w:tcPr>
          <w:p w14:paraId="0E3C7CC3"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418B0760" w14:textId="38B9598B" w:rsidR="00074551" w:rsidRDefault="00074551" w:rsidP="00367133">
            <w:pPr>
              <w:jc w:val="both"/>
              <w:rPr>
                <w:sz w:val="20"/>
                <w:szCs w:val="20"/>
              </w:rPr>
            </w:pPr>
            <w:r w:rsidRPr="003404A9">
              <w:rPr>
                <w:sz w:val="20"/>
                <w:szCs w:val="20"/>
              </w:rPr>
              <w:t>Es fällt grundsätzlich nicht unter die legislative Kontrollbefugnis, wirtschaftliche Aspekte eines Gesetzes zu prüfen. Die Folge: Bürger soll</w:t>
            </w:r>
            <w:r>
              <w:rPr>
                <w:sz w:val="20"/>
                <w:szCs w:val="20"/>
              </w:rPr>
              <w:t>t</w:t>
            </w:r>
            <w:r w:rsidRPr="003404A9">
              <w:rPr>
                <w:sz w:val="20"/>
                <w:szCs w:val="20"/>
              </w:rPr>
              <w:t>en frei wirtschaften können bis zur rechtlichen Grenze der Verfassung („</w:t>
            </w:r>
            <w:proofErr w:type="spellStart"/>
            <w:r w:rsidRPr="003404A9">
              <w:rPr>
                <w:sz w:val="20"/>
                <w:szCs w:val="20"/>
              </w:rPr>
              <w:t>beyond</w:t>
            </w:r>
            <w:proofErr w:type="spellEnd"/>
            <w:r w:rsidRPr="003404A9">
              <w:rPr>
                <w:sz w:val="20"/>
                <w:szCs w:val="20"/>
              </w:rPr>
              <w:t xml:space="preserve"> </w:t>
            </w:r>
            <w:proofErr w:type="spellStart"/>
            <w:r w:rsidRPr="003404A9">
              <w:rPr>
                <w:sz w:val="20"/>
                <w:szCs w:val="20"/>
              </w:rPr>
              <w:t>that</w:t>
            </w:r>
            <w:proofErr w:type="spellEnd"/>
            <w:r w:rsidRPr="003404A9">
              <w:rPr>
                <w:sz w:val="20"/>
                <w:szCs w:val="20"/>
              </w:rPr>
              <w:t xml:space="preserve"> he </w:t>
            </w:r>
            <w:proofErr w:type="spellStart"/>
            <w:r w:rsidRPr="003404A9">
              <w:rPr>
                <w:sz w:val="20"/>
                <w:szCs w:val="20"/>
              </w:rPr>
              <w:t>may</w:t>
            </w:r>
            <w:proofErr w:type="spellEnd"/>
            <w:r w:rsidRPr="003404A9">
              <w:rPr>
                <w:sz w:val="20"/>
                <w:szCs w:val="20"/>
              </w:rPr>
              <w:t xml:space="preserve"> not go“</w:t>
            </w:r>
            <w:r w:rsidRPr="003404A9">
              <w:rPr>
                <w:sz w:val="20"/>
                <w:szCs w:val="20"/>
                <w:vertAlign w:val="superscript"/>
              </w:rPr>
              <w:footnoteReference w:id="1877"/>
            </w:r>
            <w:r w:rsidRPr="003404A9">
              <w:rPr>
                <w:sz w:val="20"/>
                <w:szCs w:val="20"/>
              </w:rPr>
              <w:t xml:space="preserve">). Die Qualität des Wirtschaftens zu beurteilen, </w:t>
            </w:r>
            <w:r>
              <w:rPr>
                <w:sz w:val="20"/>
                <w:szCs w:val="20"/>
              </w:rPr>
              <w:t>falle</w:t>
            </w:r>
            <w:r w:rsidRPr="003404A9">
              <w:rPr>
                <w:sz w:val="20"/>
                <w:szCs w:val="20"/>
              </w:rPr>
              <w:t xml:space="preserve"> also nicht in die genuine Zuständigkeit des Gerichts („not for the </w:t>
            </w:r>
            <w:proofErr w:type="spellStart"/>
            <w:r w:rsidRPr="003404A9">
              <w:rPr>
                <w:sz w:val="20"/>
                <w:szCs w:val="20"/>
              </w:rPr>
              <w:t>courts</w:t>
            </w:r>
            <w:proofErr w:type="spellEnd"/>
            <w:r w:rsidRPr="003404A9">
              <w:rPr>
                <w:sz w:val="20"/>
                <w:szCs w:val="20"/>
              </w:rPr>
              <w:t xml:space="preserve"> to </w:t>
            </w:r>
            <w:proofErr w:type="spellStart"/>
            <w:r w:rsidRPr="003404A9">
              <w:rPr>
                <w:sz w:val="20"/>
                <w:szCs w:val="20"/>
              </w:rPr>
              <w:t>determine</w:t>
            </w:r>
            <w:proofErr w:type="spellEnd"/>
            <w:r w:rsidRPr="003404A9">
              <w:rPr>
                <w:sz w:val="20"/>
                <w:szCs w:val="20"/>
              </w:rPr>
              <w:t>.“</w:t>
            </w:r>
            <w:r w:rsidRPr="003404A9">
              <w:rPr>
                <w:sz w:val="20"/>
                <w:szCs w:val="20"/>
                <w:vertAlign w:val="superscript"/>
              </w:rPr>
              <w:footnoteReference w:id="1878"/>
            </w:r>
            <w:r w:rsidRPr="003404A9">
              <w:rPr>
                <w:sz w:val="20"/>
                <w:szCs w:val="20"/>
              </w:rPr>
              <w:t xml:space="preserve">). Das gerichtliche Prüfungsrecht </w:t>
            </w:r>
            <w:r>
              <w:rPr>
                <w:sz w:val="20"/>
                <w:szCs w:val="20"/>
              </w:rPr>
              <w:t>sei</w:t>
            </w:r>
            <w:r w:rsidRPr="003404A9">
              <w:rPr>
                <w:sz w:val="20"/>
                <w:szCs w:val="20"/>
              </w:rPr>
              <w:t xml:space="preserve"> also rein rechtlich</w:t>
            </w:r>
            <w:r>
              <w:rPr>
                <w:sz w:val="20"/>
                <w:szCs w:val="20"/>
              </w:rPr>
              <w:t xml:space="preserve"> begrenzt</w:t>
            </w:r>
            <w:r w:rsidRPr="003404A9">
              <w:rPr>
                <w:sz w:val="20"/>
                <w:szCs w:val="20"/>
              </w:rPr>
              <w:t xml:space="preserve"> („</w:t>
            </w:r>
            <w:proofErr w:type="spellStart"/>
            <w:r w:rsidRPr="003404A9">
              <w:rPr>
                <w:sz w:val="20"/>
                <w:szCs w:val="20"/>
              </w:rPr>
              <w:t>limits</w:t>
            </w:r>
            <w:proofErr w:type="spellEnd"/>
            <w:r w:rsidRPr="003404A9">
              <w:rPr>
                <w:sz w:val="20"/>
                <w:szCs w:val="20"/>
              </w:rPr>
              <w:t xml:space="preserve"> of </w:t>
            </w:r>
            <w:proofErr w:type="spellStart"/>
            <w:r w:rsidRPr="003404A9">
              <w:rPr>
                <w:sz w:val="20"/>
                <w:szCs w:val="20"/>
              </w:rPr>
              <w:t>inquiry</w:t>
            </w:r>
            <w:proofErr w:type="spellEnd"/>
            <w:r w:rsidRPr="003404A9">
              <w:rPr>
                <w:sz w:val="20"/>
                <w:szCs w:val="20"/>
              </w:rPr>
              <w:t xml:space="preserve"> </w:t>
            </w:r>
            <w:proofErr w:type="spellStart"/>
            <w:r w:rsidRPr="003404A9">
              <w:rPr>
                <w:sz w:val="20"/>
                <w:szCs w:val="20"/>
              </w:rPr>
              <w:t>are</w:t>
            </w:r>
            <w:proofErr w:type="spellEnd"/>
            <w:r w:rsidRPr="003404A9">
              <w:rPr>
                <w:sz w:val="20"/>
                <w:szCs w:val="20"/>
              </w:rPr>
              <w:t xml:space="preserve"> </w:t>
            </w:r>
            <w:proofErr w:type="spellStart"/>
            <w:r w:rsidRPr="003404A9">
              <w:rPr>
                <w:sz w:val="20"/>
                <w:szCs w:val="20"/>
              </w:rPr>
              <w:t>purely</w:t>
            </w:r>
            <w:proofErr w:type="spellEnd"/>
            <w:r w:rsidRPr="003404A9">
              <w:rPr>
                <w:sz w:val="20"/>
                <w:szCs w:val="20"/>
              </w:rPr>
              <w:t xml:space="preserve"> </w:t>
            </w:r>
            <w:proofErr w:type="spellStart"/>
            <w:r w:rsidRPr="003404A9">
              <w:rPr>
                <w:sz w:val="20"/>
                <w:szCs w:val="20"/>
              </w:rPr>
              <w:t>judicial</w:t>
            </w:r>
            <w:proofErr w:type="spellEnd"/>
            <w:r w:rsidRPr="003404A9">
              <w:rPr>
                <w:sz w:val="20"/>
                <w:szCs w:val="20"/>
              </w:rPr>
              <w:t>“</w:t>
            </w:r>
            <w:r w:rsidRPr="003404A9">
              <w:rPr>
                <w:sz w:val="20"/>
                <w:szCs w:val="20"/>
                <w:vertAlign w:val="superscript"/>
              </w:rPr>
              <w:footnoteReference w:id="1879"/>
            </w:r>
            <w:r w:rsidRPr="003404A9">
              <w:rPr>
                <w:sz w:val="20"/>
                <w:szCs w:val="20"/>
              </w:rPr>
              <w:t xml:space="preserve">). Doch </w:t>
            </w:r>
            <w:r>
              <w:rPr>
                <w:sz w:val="20"/>
                <w:szCs w:val="20"/>
              </w:rPr>
              <w:t>woraus</w:t>
            </w:r>
            <w:r w:rsidRPr="003404A9">
              <w:rPr>
                <w:sz w:val="20"/>
                <w:szCs w:val="20"/>
              </w:rPr>
              <w:t xml:space="preserve"> ergibt sich dieser zurückhaltende Prüfungsmaßstab in wirtschaftlicher Hinsicht, der auch für den </w:t>
            </w:r>
            <w:r>
              <w:rPr>
                <w:sz w:val="20"/>
                <w:szCs w:val="20"/>
              </w:rPr>
              <w:t>U.S. Supreme Court</w:t>
            </w:r>
            <w:r w:rsidRPr="003404A9">
              <w:rPr>
                <w:sz w:val="20"/>
                <w:szCs w:val="20"/>
              </w:rPr>
              <w:t xml:space="preserve"> gilt? </w:t>
            </w:r>
            <w:r>
              <w:rPr>
                <w:sz w:val="20"/>
                <w:szCs w:val="20"/>
              </w:rPr>
              <w:t>Er</w:t>
            </w:r>
            <w:r w:rsidRPr="003404A9">
              <w:rPr>
                <w:sz w:val="20"/>
                <w:szCs w:val="20"/>
              </w:rPr>
              <w:t xml:space="preserve"> ergibt sich aus dem weiten Schutzbereich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404A9">
              <w:rPr>
                <w:sz w:val="20"/>
                <w:szCs w:val="20"/>
              </w:rPr>
              <w:t xml:space="preserve"> („</w:t>
            </w:r>
            <w:proofErr w:type="spellStart"/>
            <w:r w:rsidRPr="003404A9">
              <w:rPr>
                <w:sz w:val="20"/>
                <w:szCs w:val="20"/>
              </w:rPr>
              <w:t>scope</w:t>
            </w:r>
            <w:proofErr w:type="spellEnd"/>
            <w:r w:rsidRPr="003404A9">
              <w:rPr>
                <w:sz w:val="20"/>
                <w:szCs w:val="20"/>
              </w:rPr>
              <w:t xml:space="preserve"> of </w:t>
            </w:r>
            <w:proofErr w:type="spellStart"/>
            <w:r w:rsidRPr="003404A9">
              <w:rPr>
                <w:sz w:val="20"/>
                <w:szCs w:val="20"/>
              </w:rPr>
              <w:t>this</w:t>
            </w:r>
            <w:proofErr w:type="spellEnd"/>
            <w:r w:rsidRPr="003404A9">
              <w:rPr>
                <w:sz w:val="20"/>
                <w:szCs w:val="20"/>
              </w:rPr>
              <w:t xml:space="preserve"> </w:t>
            </w:r>
            <w:proofErr w:type="spellStart"/>
            <w:r w:rsidRPr="003404A9">
              <w:rPr>
                <w:sz w:val="20"/>
                <w:szCs w:val="20"/>
              </w:rPr>
              <w:t>prohibition</w:t>
            </w:r>
            <w:proofErr w:type="spellEnd"/>
            <w:r w:rsidRPr="003404A9">
              <w:rPr>
                <w:sz w:val="20"/>
                <w:szCs w:val="20"/>
              </w:rPr>
              <w:t>“</w:t>
            </w:r>
            <w:r w:rsidRPr="003404A9">
              <w:rPr>
                <w:sz w:val="20"/>
                <w:szCs w:val="20"/>
                <w:vertAlign w:val="superscript"/>
              </w:rPr>
              <w:footnoteReference w:id="1880"/>
            </w:r>
            <w:r w:rsidRPr="003404A9">
              <w:rPr>
                <w:sz w:val="20"/>
                <w:szCs w:val="20"/>
              </w:rPr>
              <w:t>). Der Schutzbereich bestimmt sich vor allem in dreierlei Hinsicht: Kein Entzug von Leben, Freiheit, Eigentum ohne rechtsstaatliches Verfahren; gleicher Schutz durch die Gesetze – und Gleichheit vor dem Gesetz; als Folge davon: gleiche Bedingungen, um nach Glück streben zu können („</w:t>
            </w:r>
            <w:proofErr w:type="spellStart"/>
            <w:r w:rsidRPr="003404A9">
              <w:rPr>
                <w:sz w:val="20"/>
                <w:szCs w:val="20"/>
              </w:rPr>
              <w:t>That</w:t>
            </w:r>
            <w:proofErr w:type="spellEnd"/>
            <w:r w:rsidRPr="003404A9">
              <w:rPr>
                <w:sz w:val="20"/>
                <w:szCs w:val="20"/>
              </w:rPr>
              <w:t xml:space="preserve"> all </w:t>
            </w:r>
            <w:proofErr w:type="spellStart"/>
            <w:r w:rsidRPr="003404A9">
              <w:rPr>
                <w:sz w:val="20"/>
                <w:szCs w:val="20"/>
              </w:rPr>
              <w:t>persons</w:t>
            </w:r>
            <w:proofErr w:type="spellEnd"/>
            <w:r w:rsidRPr="003404A9">
              <w:rPr>
                <w:sz w:val="20"/>
                <w:szCs w:val="20"/>
              </w:rPr>
              <w:t xml:space="preserve"> </w:t>
            </w:r>
            <w:proofErr w:type="spellStart"/>
            <w:r w:rsidRPr="003404A9">
              <w:rPr>
                <w:sz w:val="20"/>
                <w:szCs w:val="20"/>
              </w:rPr>
              <w:t>should</w:t>
            </w:r>
            <w:proofErr w:type="spellEnd"/>
            <w:r w:rsidRPr="003404A9">
              <w:rPr>
                <w:sz w:val="20"/>
                <w:szCs w:val="20"/>
              </w:rPr>
              <w:t xml:space="preserve"> </w:t>
            </w:r>
            <w:proofErr w:type="spellStart"/>
            <w:r w:rsidRPr="003404A9">
              <w:rPr>
                <w:sz w:val="20"/>
                <w:szCs w:val="20"/>
              </w:rPr>
              <w:t>be</w:t>
            </w:r>
            <w:proofErr w:type="spellEnd"/>
            <w:r w:rsidRPr="003404A9">
              <w:rPr>
                <w:sz w:val="20"/>
                <w:szCs w:val="20"/>
              </w:rPr>
              <w:t xml:space="preserve"> </w:t>
            </w:r>
            <w:proofErr w:type="spellStart"/>
            <w:r w:rsidRPr="003404A9">
              <w:rPr>
                <w:sz w:val="20"/>
                <w:szCs w:val="20"/>
              </w:rPr>
              <w:t>equally</w:t>
            </w:r>
            <w:proofErr w:type="spellEnd"/>
            <w:r w:rsidRPr="003404A9">
              <w:rPr>
                <w:sz w:val="20"/>
                <w:szCs w:val="20"/>
              </w:rPr>
              <w:t xml:space="preserve"> </w:t>
            </w:r>
            <w:proofErr w:type="spellStart"/>
            <w:r w:rsidRPr="003404A9">
              <w:rPr>
                <w:sz w:val="20"/>
                <w:szCs w:val="20"/>
              </w:rPr>
              <w:t>entitled</w:t>
            </w:r>
            <w:proofErr w:type="spellEnd"/>
            <w:r w:rsidRPr="003404A9">
              <w:rPr>
                <w:sz w:val="20"/>
                <w:szCs w:val="20"/>
              </w:rPr>
              <w:t xml:space="preserve"> to </w:t>
            </w:r>
            <w:proofErr w:type="spellStart"/>
            <w:r w:rsidRPr="003404A9">
              <w:rPr>
                <w:sz w:val="20"/>
                <w:szCs w:val="20"/>
              </w:rPr>
              <w:t>pursue</w:t>
            </w:r>
            <w:proofErr w:type="spellEnd"/>
            <w:r w:rsidRPr="003404A9">
              <w:rPr>
                <w:sz w:val="20"/>
                <w:szCs w:val="20"/>
              </w:rPr>
              <w:t xml:space="preserve"> </w:t>
            </w:r>
            <w:proofErr w:type="spellStart"/>
            <w:r w:rsidRPr="003404A9">
              <w:rPr>
                <w:sz w:val="20"/>
                <w:szCs w:val="20"/>
              </w:rPr>
              <w:t>their</w:t>
            </w:r>
            <w:proofErr w:type="spellEnd"/>
            <w:r w:rsidRPr="003404A9">
              <w:rPr>
                <w:sz w:val="20"/>
                <w:szCs w:val="20"/>
              </w:rPr>
              <w:t xml:space="preserve"> </w:t>
            </w:r>
            <w:proofErr w:type="spellStart"/>
            <w:r w:rsidRPr="003404A9">
              <w:rPr>
                <w:sz w:val="20"/>
                <w:szCs w:val="20"/>
              </w:rPr>
              <w:t>happiness</w:t>
            </w:r>
            <w:proofErr w:type="spellEnd"/>
            <w:r w:rsidRPr="003404A9">
              <w:rPr>
                <w:sz w:val="20"/>
                <w:szCs w:val="20"/>
              </w:rPr>
              <w:t xml:space="preserve"> and </w:t>
            </w:r>
            <w:proofErr w:type="spellStart"/>
            <w:r w:rsidRPr="003404A9">
              <w:rPr>
                <w:sz w:val="20"/>
                <w:szCs w:val="20"/>
              </w:rPr>
              <w:t>acquire</w:t>
            </w:r>
            <w:proofErr w:type="spellEnd"/>
            <w:r w:rsidRPr="003404A9">
              <w:rPr>
                <w:sz w:val="20"/>
                <w:szCs w:val="20"/>
              </w:rPr>
              <w:t xml:space="preserve"> and </w:t>
            </w:r>
            <w:proofErr w:type="spellStart"/>
            <w:r w:rsidRPr="003404A9">
              <w:rPr>
                <w:sz w:val="20"/>
                <w:szCs w:val="20"/>
              </w:rPr>
              <w:t>enjoy</w:t>
            </w:r>
            <w:proofErr w:type="spellEnd"/>
            <w:r w:rsidRPr="003404A9">
              <w:rPr>
                <w:sz w:val="20"/>
                <w:szCs w:val="20"/>
              </w:rPr>
              <w:t xml:space="preserve"> </w:t>
            </w:r>
            <w:proofErr w:type="spellStart"/>
            <w:r w:rsidRPr="003404A9">
              <w:rPr>
                <w:sz w:val="20"/>
                <w:szCs w:val="20"/>
              </w:rPr>
              <w:t>property</w:t>
            </w:r>
            <w:proofErr w:type="spellEnd"/>
            <w:r w:rsidRPr="003404A9">
              <w:rPr>
                <w:sz w:val="20"/>
                <w:szCs w:val="20"/>
              </w:rPr>
              <w:t>.“</w:t>
            </w:r>
            <w:r w:rsidRPr="003404A9">
              <w:rPr>
                <w:sz w:val="20"/>
                <w:szCs w:val="20"/>
                <w:vertAlign w:val="superscript"/>
              </w:rPr>
              <w:footnoteReference w:id="1881"/>
            </w:r>
            <w:r w:rsidRPr="003404A9">
              <w:rPr>
                <w:sz w:val="20"/>
                <w:szCs w:val="20"/>
              </w:rPr>
              <w:t>). Damit drängen Bedingung</w:t>
            </w:r>
            <w:r>
              <w:rPr>
                <w:sz w:val="20"/>
                <w:szCs w:val="20"/>
              </w:rPr>
              <w:t>en</w:t>
            </w:r>
            <w:r w:rsidRPr="003404A9">
              <w:rPr>
                <w:sz w:val="20"/>
                <w:szCs w:val="20"/>
              </w:rPr>
              <w:t xml:space="preserve"> für Glücksstreben den Prüfungsmaßstab der Gerichte in wirtschaftlicher Hinsicht zurück.</w:t>
            </w:r>
          </w:p>
          <w:p w14:paraId="0DA6D31B" w14:textId="77777777" w:rsidR="00074551" w:rsidRPr="00E50B51" w:rsidRDefault="00074551" w:rsidP="00367133">
            <w:pPr>
              <w:jc w:val="both"/>
              <w:rPr>
                <w:sz w:val="20"/>
                <w:szCs w:val="20"/>
              </w:rPr>
            </w:pPr>
          </w:p>
        </w:tc>
      </w:tr>
      <w:tr w:rsidR="00074551" w:rsidRPr="00E50B51" w14:paraId="71C2C2D3" w14:textId="77777777" w:rsidTr="00BE689F">
        <w:trPr>
          <w:cantSplit/>
          <w:trHeight w:val="3175"/>
        </w:trPr>
        <w:tc>
          <w:tcPr>
            <w:tcW w:w="293" w:type="pct"/>
          </w:tcPr>
          <w:p w14:paraId="3D9155F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B9AB900" w14:textId="77777777" w:rsidR="00074551" w:rsidRPr="00E50B51" w:rsidRDefault="00074551" w:rsidP="00367133">
            <w:pPr>
              <w:ind w:left="113" w:right="416"/>
              <w:jc w:val="both"/>
              <w:rPr>
                <w:sz w:val="20"/>
                <w:szCs w:val="20"/>
                <w:lang w:val="en-US"/>
              </w:rPr>
            </w:pPr>
            <w:r w:rsidRPr="00D83E4F">
              <w:rPr>
                <w:i/>
                <w:sz w:val="20"/>
                <w:szCs w:val="20"/>
              </w:rPr>
              <w:t>Doe v. Bolton</w:t>
            </w:r>
          </w:p>
        </w:tc>
        <w:tc>
          <w:tcPr>
            <w:tcW w:w="197" w:type="pct"/>
            <w:textDirection w:val="tbRl"/>
            <w:vAlign w:val="center"/>
          </w:tcPr>
          <w:p w14:paraId="49B7DC30" w14:textId="77777777" w:rsidR="00074551" w:rsidRPr="00E50B51" w:rsidRDefault="00074551" w:rsidP="00367133">
            <w:pPr>
              <w:ind w:left="113" w:right="113"/>
              <w:jc w:val="both"/>
              <w:rPr>
                <w:iCs/>
                <w:sz w:val="20"/>
                <w:szCs w:val="20"/>
                <w:lang w:val="en-US"/>
              </w:rPr>
            </w:pPr>
            <w:r w:rsidRPr="00E50B51">
              <w:rPr>
                <w:sz w:val="20"/>
                <w:szCs w:val="20"/>
                <w:lang w:val="en-US"/>
              </w:rPr>
              <w:t>410 U.S. 179</w:t>
            </w:r>
          </w:p>
        </w:tc>
        <w:tc>
          <w:tcPr>
            <w:tcW w:w="306" w:type="pct"/>
            <w:textDirection w:val="tbRl"/>
            <w:vAlign w:val="center"/>
          </w:tcPr>
          <w:p w14:paraId="2D86F734" w14:textId="77777777" w:rsidR="00074551" w:rsidRPr="00E50B51" w:rsidRDefault="00074551" w:rsidP="00367133">
            <w:pPr>
              <w:ind w:left="113" w:right="113"/>
              <w:jc w:val="both"/>
              <w:rPr>
                <w:sz w:val="20"/>
                <w:szCs w:val="20"/>
                <w:lang w:val="en-US"/>
              </w:rPr>
            </w:pPr>
            <w:r w:rsidRPr="00E50B51">
              <w:rPr>
                <w:sz w:val="20"/>
                <w:szCs w:val="20"/>
              </w:rPr>
              <w:t>22. Januar 1973</w:t>
            </w:r>
          </w:p>
        </w:tc>
        <w:tc>
          <w:tcPr>
            <w:tcW w:w="401" w:type="pct"/>
          </w:tcPr>
          <w:p w14:paraId="2DC65098" w14:textId="77777777" w:rsidR="00074551" w:rsidRPr="00E50B51" w:rsidRDefault="00074551" w:rsidP="00367133">
            <w:pPr>
              <w:jc w:val="center"/>
              <w:rPr>
                <w:sz w:val="20"/>
                <w:szCs w:val="20"/>
              </w:rPr>
            </w:pPr>
            <w:r w:rsidRPr="00E50B51">
              <w:rPr>
                <w:sz w:val="20"/>
                <w:szCs w:val="20"/>
              </w:rPr>
              <w:t>C</w:t>
            </w:r>
          </w:p>
        </w:tc>
        <w:tc>
          <w:tcPr>
            <w:tcW w:w="1594" w:type="pct"/>
          </w:tcPr>
          <w:p w14:paraId="462550DD" w14:textId="77777777" w:rsidR="00074551" w:rsidRDefault="00074551" w:rsidP="00367133">
            <w:pPr>
              <w:jc w:val="both"/>
              <w:rPr>
                <w:sz w:val="20"/>
                <w:szCs w:val="20"/>
              </w:rPr>
            </w:pPr>
            <w:r w:rsidRPr="00E50B51">
              <w:rPr>
                <w:sz w:val="20"/>
                <w:szCs w:val="20"/>
              </w:rPr>
              <w:t>*</w:t>
            </w:r>
          </w:p>
          <w:p w14:paraId="2C0EB4BB" w14:textId="204AB2CA" w:rsidR="003B0994" w:rsidRPr="00E50B51" w:rsidRDefault="003B0994" w:rsidP="003B0994">
            <w:pPr>
              <w:jc w:val="both"/>
              <w:rPr>
                <w:sz w:val="20"/>
                <w:szCs w:val="20"/>
              </w:rPr>
            </w:pPr>
          </w:p>
        </w:tc>
        <w:tc>
          <w:tcPr>
            <w:tcW w:w="1822" w:type="pct"/>
          </w:tcPr>
          <w:p w14:paraId="09C4F61D" w14:textId="16345D85" w:rsidR="003B0994" w:rsidRDefault="00074551" w:rsidP="00367133">
            <w:pPr>
              <w:jc w:val="both"/>
              <w:rPr>
                <w:sz w:val="20"/>
                <w:szCs w:val="20"/>
              </w:rPr>
            </w:pPr>
            <w:r w:rsidRPr="003404A9">
              <w:rPr>
                <w:sz w:val="20"/>
                <w:szCs w:val="20"/>
              </w:rPr>
              <w:t xml:space="preserve">Der </w:t>
            </w:r>
            <w:r>
              <w:rPr>
                <w:sz w:val="20"/>
                <w:szCs w:val="20"/>
              </w:rPr>
              <w:t>U.S. Supreme Court</w:t>
            </w:r>
            <w:r w:rsidRPr="003404A9">
              <w:rPr>
                <w:sz w:val="20"/>
                <w:szCs w:val="20"/>
              </w:rPr>
              <w:t xml:space="preserve"> urteilte zur Klagebefugnis („</w:t>
            </w:r>
            <w:proofErr w:type="spellStart"/>
            <w:r w:rsidRPr="003404A9">
              <w:rPr>
                <w:sz w:val="20"/>
                <w:szCs w:val="20"/>
              </w:rPr>
              <w:t>theoretically</w:t>
            </w:r>
            <w:proofErr w:type="spellEnd"/>
            <w:r w:rsidRPr="003404A9">
              <w:rPr>
                <w:sz w:val="20"/>
                <w:szCs w:val="20"/>
              </w:rPr>
              <w:t xml:space="preserve"> </w:t>
            </w:r>
            <w:proofErr w:type="spellStart"/>
            <w:r w:rsidRPr="003404A9">
              <w:rPr>
                <w:sz w:val="20"/>
                <w:szCs w:val="20"/>
              </w:rPr>
              <w:t>possessed</w:t>
            </w:r>
            <w:proofErr w:type="spellEnd"/>
            <w:r w:rsidRPr="003404A9">
              <w:rPr>
                <w:sz w:val="20"/>
                <w:szCs w:val="20"/>
              </w:rPr>
              <w:t xml:space="preserve"> of </w:t>
            </w:r>
            <w:proofErr w:type="spellStart"/>
            <w:r w:rsidRPr="003404A9">
              <w:rPr>
                <w:sz w:val="20"/>
                <w:szCs w:val="20"/>
              </w:rPr>
              <w:t>standing</w:t>
            </w:r>
            <w:proofErr w:type="spellEnd"/>
            <w:r w:rsidRPr="003404A9">
              <w:rPr>
                <w:sz w:val="20"/>
                <w:szCs w:val="20"/>
              </w:rPr>
              <w:t>“</w:t>
            </w:r>
            <w:r w:rsidRPr="003404A9">
              <w:rPr>
                <w:sz w:val="20"/>
                <w:szCs w:val="20"/>
                <w:vertAlign w:val="superscript"/>
              </w:rPr>
              <w:footnoteReference w:id="1882"/>
            </w:r>
            <w:r w:rsidRPr="003404A9">
              <w:rPr>
                <w:sz w:val="20"/>
                <w:szCs w:val="20"/>
              </w:rPr>
              <w:t>): Wenn ein Kläger eine hinreichend konkrete, unmittelbare Gefahr geltend mache, dann sollten Gerichte für die Klagebefugnis nicht auch noch verlangen, dass ein</w:t>
            </w:r>
            <w:r w:rsidR="00AC647A">
              <w:rPr>
                <w:sz w:val="20"/>
                <w:szCs w:val="20"/>
              </w:rPr>
              <w:t>e</w:t>
            </w:r>
            <w:r w:rsidRPr="003404A9">
              <w:rPr>
                <w:sz w:val="20"/>
                <w:szCs w:val="20"/>
              </w:rPr>
              <w:t xml:space="preserve"> </w:t>
            </w:r>
            <w:r w:rsidR="00AC647A" w:rsidRPr="00AC647A">
              <w:rPr>
                <w:sz w:val="20"/>
                <w:szCs w:val="20"/>
              </w:rPr>
              <w:t>strafrechtliche Verfolgung</w:t>
            </w:r>
            <w:r w:rsidR="00AC647A">
              <w:rPr>
                <w:sz w:val="20"/>
                <w:szCs w:val="20"/>
              </w:rPr>
              <w:t xml:space="preserve"> </w:t>
            </w:r>
            <w:r w:rsidRPr="003404A9">
              <w:rPr>
                <w:sz w:val="20"/>
                <w:szCs w:val="20"/>
              </w:rPr>
              <w:t xml:space="preserve">abzuwarten sei – als einen notwendigen Zwischenschritt, um sein Recht verfolgen zu können. </w:t>
            </w:r>
            <w:r w:rsidR="000461D0">
              <w:rPr>
                <w:sz w:val="20"/>
                <w:szCs w:val="20"/>
              </w:rPr>
              <w:t xml:space="preserve">Um diesen Gedanken zu unterstreichen, verweist </w:t>
            </w:r>
            <w:r w:rsidR="000461D0" w:rsidRPr="003B0994">
              <w:rPr>
                <w:sz w:val="20"/>
                <w:szCs w:val="20"/>
              </w:rPr>
              <w:t xml:space="preserve">der U.S. Supreme Court in </w:t>
            </w:r>
            <w:r w:rsidR="000461D0" w:rsidRPr="003B0994">
              <w:rPr>
                <w:i/>
                <w:iCs/>
                <w:sz w:val="20"/>
                <w:szCs w:val="20"/>
              </w:rPr>
              <w:t>Doe</w:t>
            </w:r>
            <w:r w:rsidR="000461D0" w:rsidRPr="003B0994">
              <w:rPr>
                <w:sz w:val="20"/>
                <w:szCs w:val="20"/>
              </w:rPr>
              <w:t xml:space="preserve"> </w:t>
            </w:r>
            <w:r w:rsidR="000461D0">
              <w:rPr>
                <w:sz w:val="20"/>
                <w:szCs w:val="20"/>
              </w:rPr>
              <w:t xml:space="preserve">auf </w:t>
            </w:r>
            <w:r w:rsidR="000461D0" w:rsidRPr="003B0994">
              <w:rPr>
                <w:i/>
                <w:iCs/>
                <w:sz w:val="20"/>
                <w:szCs w:val="20"/>
              </w:rPr>
              <w:t>Epperson v. Arkansas</w:t>
            </w:r>
            <w:r w:rsidR="000461D0">
              <w:rPr>
                <w:sz w:val="20"/>
                <w:szCs w:val="20"/>
              </w:rPr>
              <w:t xml:space="preserve"> und</w:t>
            </w:r>
            <w:r w:rsidR="000461D0" w:rsidRPr="003B0994">
              <w:rPr>
                <w:sz w:val="20"/>
                <w:szCs w:val="20"/>
              </w:rPr>
              <w:t xml:space="preserve"> </w:t>
            </w:r>
            <w:r w:rsidR="000461D0" w:rsidRPr="003B0994">
              <w:rPr>
                <w:i/>
                <w:iCs/>
                <w:sz w:val="20"/>
                <w:szCs w:val="20"/>
              </w:rPr>
              <w:t>Griswold v. Connecticut.</w:t>
            </w:r>
          </w:p>
          <w:p w14:paraId="168EEF2C" w14:textId="77777777" w:rsidR="003B0994" w:rsidRDefault="003B0994" w:rsidP="00367133">
            <w:pPr>
              <w:jc w:val="both"/>
              <w:rPr>
                <w:sz w:val="20"/>
                <w:szCs w:val="20"/>
              </w:rPr>
            </w:pPr>
          </w:p>
          <w:p w14:paraId="4B3837C9" w14:textId="49B16426" w:rsidR="00074551" w:rsidRDefault="0025542D" w:rsidP="00367133">
            <w:pPr>
              <w:jc w:val="both"/>
              <w:rPr>
                <w:sz w:val="20"/>
                <w:szCs w:val="20"/>
              </w:rPr>
            </w:pPr>
            <w:r w:rsidRPr="000461D0">
              <w:rPr>
                <w:sz w:val="20"/>
                <w:szCs w:val="20"/>
              </w:rPr>
              <w:t xml:space="preserve">In </w:t>
            </w:r>
            <w:r w:rsidRPr="000461D0">
              <w:rPr>
                <w:i/>
                <w:iCs/>
                <w:sz w:val="20"/>
                <w:szCs w:val="20"/>
              </w:rPr>
              <w:t>Epperson v. Arkansas</w:t>
            </w:r>
            <w:r w:rsidRPr="000461D0">
              <w:rPr>
                <w:sz w:val="20"/>
                <w:szCs w:val="20"/>
              </w:rPr>
              <w:t xml:space="preserve"> habe der U.S. Supreme Court einer Lehrerin die Klagebefugnis zuerkannt, um ein bundesstaatliches Anti-Evolutionsgesetz anzufechten, obwohl sie noch nicht strafrechtlich verfolgt worden war.</w:t>
            </w:r>
            <w:r w:rsidRPr="003404A9">
              <w:rPr>
                <w:sz w:val="20"/>
                <w:szCs w:val="20"/>
                <w:vertAlign w:val="superscript"/>
              </w:rPr>
              <w:t xml:space="preserve"> </w:t>
            </w:r>
            <w:r w:rsidRPr="003404A9">
              <w:rPr>
                <w:sz w:val="20"/>
                <w:szCs w:val="20"/>
                <w:vertAlign w:val="superscript"/>
              </w:rPr>
              <w:footnoteReference w:id="1883"/>
            </w:r>
            <w:r>
              <w:rPr>
                <w:sz w:val="20"/>
                <w:szCs w:val="20"/>
                <w:vertAlign w:val="superscript"/>
              </w:rPr>
              <w:t xml:space="preserve"> </w:t>
            </w:r>
            <w:r>
              <w:rPr>
                <w:sz w:val="20"/>
                <w:szCs w:val="20"/>
              </w:rPr>
              <w:t>An dieser Stelle</w:t>
            </w:r>
            <w:r w:rsidRPr="000461D0">
              <w:rPr>
                <w:sz w:val="20"/>
                <w:szCs w:val="20"/>
              </w:rPr>
              <w:t xml:space="preserve"> </w:t>
            </w:r>
            <w:r>
              <w:rPr>
                <w:sz w:val="20"/>
                <w:szCs w:val="20"/>
              </w:rPr>
              <w:t>e</w:t>
            </w:r>
            <w:r w:rsidRPr="000461D0">
              <w:rPr>
                <w:sz w:val="20"/>
                <w:szCs w:val="20"/>
              </w:rPr>
              <w:t xml:space="preserve">rgänzend verweist der U.S. Supreme Court in </w:t>
            </w:r>
            <w:r w:rsidRPr="0025542D">
              <w:rPr>
                <w:i/>
                <w:iCs/>
                <w:sz w:val="20"/>
                <w:szCs w:val="20"/>
              </w:rPr>
              <w:t>Doe</w:t>
            </w:r>
            <w:r w:rsidRPr="000461D0">
              <w:rPr>
                <w:sz w:val="20"/>
                <w:szCs w:val="20"/>
              </w:rPr>
              <w:t xml:space="preserve"> auf </w:t>
            </w:r>
            <w:r w:rsidRPr="0025542D">
              <w:rPr>
                <w:i/>
                <w:iCs/>
                <w:sz w:val="20"/>
                <w:szCs w:val="20"/>
              </w:rPr>
              <w:t>Griswold v. Connecticut</w:t>
            </w:r>
            <w:r w:rsidRPr="000461D0">
              <w:rPr>
                <w:sz w:val="20"/>
                <w:szCs w:val="20"/>
              </w:rPr>
              <w:t xml:space="preserve">. In </w:t>
            </w:r>
            <w:r w:rsidRPr="0025542D">
              <w:rPr>
                <w:i/>
                <w:iCs/>
                <w:sz w:val="20"/>
                <w:szCs w:val="20"/>
              </w:rPr>
              <w:t>Griswold</w:t>
            </w:r>
            <w:r w:rsidRPr="000461D0">
              <w:rPr>
                <w:sz w:val="20"/>
                <w:szCs w:val="20"/>
              </w:rPr>
              <w:t xml:space="preserve"> wird der Schutz der Privatsphäre zugleich in einen weitergehenden Freiheitszusammenhang gestellt, den die </w:t>
            </w:r>
            <w:proofErr w:type="spellStart"/>
            <w:r w:rsidRPr="0025542D">
              <w:rPr>
                <w:i/>
                <w:iCs/>
                <w:sz w:val="20"/>
                <w:szCs w:val="20"/>
              </w:rPr>
              <w:t>concurring</w:t>
            </w:r>
            <w:proofErr w:type="spellEnd"/>
            <w:r w:rsidRPr="0025542D">
              <w:rPr>
                <w:i/>
                <w:iCs/>
                <w:sz w:val="20"/>
                <w:szCs w:val="20"/>
              </w:rPr>
              <w:t xml:space="preserve"> </w:t>
            </w:r>
            <w:proofErr w:type="spellStart"/>
            <w:r w:rsidRPr="0025542D">
              <w:rPr>
                <w:i/>
                <w:iCs/>
                <w:sz w:val="20"/>
                <w:szCs w:val="20"/>
              </w:rPr>
              <w:t>opinion</w:t>
            </w:r>
            <w:proofErr w:type="spellEnd"/>
            <w:r w:rsidRPr="000461D0">
              <w:rPr>
                <w:sz w:val="20"/>
                <w:szCs w:val="20"/>
              </w:rPr>
              <w:t xml:space="preserve"> auch mit dem Streben nach Glück verbindet. Dieser materiellrechtliche Gedanke ist </w:t>
            </w:r>
            <w:r>
              <w:rPr>
                <w:sz w:val="20"/>
                <w:szCs w:val="20"/>
              </w:rPr>
              <w:t xml:space="preserve">zwar </w:t>
            </w:r>
            <w:r w:rsidRPr="000461D0">
              <w:rPr>
                <w:sz w:val="20"/>
                <w:szCs w:val="20"/>
              </w:rPr>
              <w:t xml:space="preserve">von der prozessualen Begründung der Klagebefugnis </w:t>
            </w:r>
            <w:r w:rsidR="00AC647A">
              <w:rPr>
                <w:sz w:val="20"/>
                <w:szCs w:val="20"/>
              </w:rPr>
              <w:t>dogmatisch</w:t>
            </w:r>
            <w:r>
              <w:rPr>
                <w:sz w:val="20"/>
                <w:szCs w:val="20"/>
              </w:rPr>
              <w:t xml:space="preserve"> </w:t>
            </w:r>
            <w:r w:rsidRPr="000461D0">
              <w:rPr>
                <w:sz w:val="20"/>
                <w:szCs w:val="20"/>
              </w:rPr>
              <w:t xml:space="preserve">zu unterscheiden. </w:t>
            </w:r>
            <w:r w:rsidR="00AC647A">
              <w:rPr>
                <w:sz w:val="20"/>
                <w:szCs w:val="20"/>
              </w:rPr>
              <w:t>Zugleich greift</w:t>
            </w:r>
            <w:r w:rsidRPr="000461D0">
              <w:rPr>
                <w:sz w:val="20"/>
                <w:szCs w:val="20"/>
              </w:rPr>
              <w:t xml:space="preserve"> Richter Douglas </w:t>
            </w:r>
            <w:r w:rsidR="00AC647A">
              <w:rPr>
                <w:sz w:val="20"/>
                <w:szCs w:val="20"/>
              </w:rPr>
              <w:t xml:space="preserve">in </w:t>
            </w:r>
            <w:r w:rsidR="00AC647A" w:rsidRPr="0025542D">
              <w:rPr>
                <w:i/>
                <w:iCs/>
                <w:sz w:val="20"/>
                <w:szCs w:val="20"/>
              </w:rPr>
              <w:t>Doe</w:t>
            </w:r>
            <w:r w:rsidR="00AC647A" w:rsidRPr="000461D0">
              <w:rPr>
                <w:sz w:val="20"/>
                <w:szCs w:val="20"/>
              </w:rPr>
              <w:t xml:space="preserve"> </w:t>
            </w:r>
            <w:r w:rsidR="00AC647A">
              <w:rPr>
                <w:sz w:val="20"/>
                <w:szCs w:val="20"/>
              </w:rPr>
              <w:t xml:space="preserve">selbst </w:t>
            </w:r>
            <w:r w:rsidRPr="000461D0">
              <w:rPr>
                <w:sz w:val="20"/>
                <w:szCs w:val="20"/>
              </w:rPr>
              <w:t xml:space="preserve">diesen Freiheitsgedanken in seiner </w:t>
            </w:r>
            <w:proofErr w:type="spellStart"/>
            <w:r w:rsidRPr="0025542D">
              <w:rPr>
                <w:i/>
                <w:iCs/>
                <w:sz w:val="20"/>
                <w:szCs w:val="20"/>
              </w:rPr>
              <w:t>concurring</w:t>
            </w:r>
            <w:proofErr w:type="spellEnd"/>
            <w:r w:rsidRPr="0025542D">
              <w:rPr>
                <w:i/>
                <w:iCs/>
                <w:sz w:val="20"/>
                <w:szCs w:val="20"/>
              </w:rPr>
              <w:t xml:space="preserve"> </w:t>
            </w:r>
            <w:proofErr w:type="spellStart"/>
            <w:r w:rsidRPr="0025542D">
              <w:rPr>
                <w:i/>
                <w:iCs/>
                <w:sz w:val="20"/>
                <w:szCs w:val="20"/>
              </w:rPr>
              <w:t>opinion</w:t>
            </w:r>
            <w:proofErr w:type="spellEnd"/>
            <w:r w:rsidRPr="000461D0">
              <w:rPr>
                <w:sz w:val="20"/>
                <w:szCs w:val="20"/>
              </w:rPr>
              <w:t xml:space="preserve"> ausdrücklich auf. Anhand dieses Gedankens der Weitung von Schutzbereichen erklärt er das Recht auf Privatsphäre („</w:t>
            </w:r>
            <w:proofErr w:type="spellStart"/>
            <w:r w:rsidRPr="000461D0">
              <w:rPr>
                <w:sz w:val="20"/>
                <w:szCs w:val="20"/>
              </w:rPr>
              <w:t>right</w:t>
            </w:r>
            <w:proofErr w:type="spellEnd"/>
            <w:r w:rsidRPr="000461D0">
              <w:rPr>
                <w:sz w:val="20"/>
                <w:szCs w:val="20"/>
              </w:rPr>
              <w:t xml:space="preserve"> of </w:t>
            </w:r>
            <w:proofErr w:type="spellStart"/>
            <w:r w:rsidRPr="000461D0">
              <w:rPr>
                <w:sz w:val="20"/>
                <w:szCs w:val="20"/>
              </w:rPr>
              <w:t>privacy</w:t>
            </w:r>
            <w:proofErr w:type="spellEnd"/>
            <w:r w:rsidRPr="000461D0">
              <w:rPr>
                <w:sz w:val="20"/>
                <w:szCs w:val="20"/>
              </w:rPr>
              <w:t>“</w:t>
            </w:r>
            <w:r w:rsidRPr="003404A9">
              <w:rPr>
                <w:sz w:val="20"/>
                <w:szCs w:val="20"/>
                <w:vertAlign w:val="superscript"/>
              </w:rPr>
              <w:t xml:space="preserve"> </w:t>
            </w:r>
            <w:r w:rsidRPr="003404A9">
              <w:rPr>
                <w:sz w:val="20"/>
                <w:szCs w:val="20"/>
                <w:vertAlign w:val="superscript"/>
              </w:rPr>
              <w:footnoteReference w:id="1884"/>
            </w:r>
            <w:r w:rsidRPr="000461D0">
              <w:rPr>
                <w:sz w:val="20"/>
                <w:szCs w:val="20"/>
              </w:rPr>
              <w:t>) als weit und damit betroffen. Der freiheitsrechtliche Hintergrund der Entscheidung lässt sich damit auch über die Bedingungen für ein Streben nach Glück erklären: Die beinhalten, dass Freiheit nicht nur als Abwesenheit einer Freiheitsentziehung bzw. -beschränkung verstanden wird, sondern als Bündel an Rechten, die es dem Individuum ermöglichen, ein selbstbestimmtes Leben zu führen.</w:t>
            </w:r>
            <w:r w:rsidRPr="003404A9">
              <w:rPr>
                <w:sz w:val="20"/>
                <w:szCs w:val="20"/>
                <w:vertAlign w:val="superscript"/>
              </w:rPr>
              <w:t xml:space="preserve"> </w:t>
            </w:r>
            <w:r w:rsidRPr="003404A9">
              <w:rPr>
                <w:sz w:val="20"/>
                <w:szCs w:val="20"/>
                <w:vertAlign w:val="superscript"/>
              </w:rPr>
              <w:footnoteReference w:id="1885"/>
            </w:r>
            <w:r>
              <w:rPr>
                <w:sz w:val="20"/>
                <w:szCs w:val="20"/>
                <w:vertAlign w:val="superscript"/>
              </w:rPr>
              <w:t xml:space="preserve"> </w:t>
            </w:r>
            <w:r w:rsidR="00074551" w:rsidRPr="003404A9">
              <w:rPr>
                <w:sz w:val="20"/>
                <w:szCs w:val="20"/>
              </w:rPr>
              <w:t xml:space="preserve">Freiheit wird </w:t>
            </w:r>
            <w:r w:rsidR="000461D0">
              <w:rPr>
                <w:sz w:val="20"/>
                <w:szCs w:val="20"/>
              </w:rPr>
              <w:t xml:space="preserve">hiernach </w:t>
            </w:r>
            <w:r w:rsidR="00074551" w:rsidRPr="003404A9">
              <w:rPr>
                <w:sz w:val="20"/>
                <w:szCs w:val="20"/>
              </w:rPr>
              <w:t>also als ein fundamentales Element für das Streben nach Glück betrachtet, wobei Glück nicht nur verstanden wird als subjektives Wohlbefinden, sondern auch als Teilhabe an der Gemeinschaft und als Möglichkeit zur Entfaltung der Persönlichkeit im Einklang mit den eigenen Überzeugungen und Werten.</w:t>
            </w:r>
            <w:r w:rsidR="00074551" w:rsidRPr="003404A9">
              <w:rPr>
                <w:sz w:val="20"/>
                <w:szCs w:val="20"/>
                <w:vertAlign w:val="superscript"/>
              </w:rPr>
              <w:footnoteReference w:id="1886"/>
            </w:r>
            <w:r w:rsidR="00074551" w:rsidRPr="003404A9">
              <w:rPr>
                <w:sz w:val="20"/>
                <w:szCs w:val="20"/>
              </w:rPr>
              <w:t xml:space="preserve"> </w:t>
            </w:r>
          </w:p>
          <w:p w14:paraId="46C0E94B" w14:textId="77777777" w:rsidR="00074551" w:rsidRPr="00E50B51" w:rsidRDefault="00074551" w:rsidP="00367133">
            <w:pPr>
              <w:jc w:val="both"/>
              <w:rPr>
                <w:sz w:val="20"/>
                <w:szCs w:val="20"/>
              </w:rPr>
            </w:pPr>
          </w:p>
        </w:tc>
      </w:tr>
      <w:tr w:rsidR="00074551" w:rsidRPr="00E50B51" w14:paraId="00991E36" w14:textId="77777777" w:rsidTr="00BE689F">
        <w:trPr>
          <w:cantSplit/>
          <w:trHeight w:val="3175"/>
        </w:trPr>
        <w:tc>
          <w:tcPr>
            <w:tcW w:w="293" w:type="pct"/>
          </w:tcPr>
          <w:p w14:paraId="57B91E0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3C1B24E" w14:textId="77777777" w:rsidR="00074551" w:rsidRPr="00E50B51" w:rsidRDefault="00074551" w:rsidP="00367133">
            <w:pPr>
              <w:ind w:left="113" w:right="416"/>
              <w:jc w:val="both"/>
              <w:rPr>
                <w:sz w:val="20"/>
                <w:szCs w:val="20"/>
              </w:rPr>
            </w:pPr>
            <w:r w:rsidRPr="001F38CE">
              <w:rPr>
                <w:i/>
                <w:sz w:val="20"/>
                <w:szCs w:val="20"/>
              </w:rPr>
              <w:t xml:space="preserve">Fullilove v. </w:t>
            </w:r>
            <w:proofErr w:type="spellStart"/>
            <w:r w:rsidRPr="001F38CE">
              <w:rPr>
                <w:i/>
                <w:sz w:val="20"/>
                <w:szCs w:val="20"/>
              </w:rPr>
              <w:t>Klutznick</w:t>
            </w:r>
            <w:proofErr w:type="spellEnd"/>
          </w:p>
        </w:tc>
        <w:tc>
          <w:tcPr>
            <w:tcW w:w="197" w:type="pct"/>
            <w:textDirection w:val="tbRl"/>
            <w:vAlign w:val="center"/>
          </w:tcPr>
          <w:p w14:paraId="68E24A47" w14:textId="77777777" w:rsidR="00074551" w:rsidRPr="00E50B51" w:rsidRDefault="00074551" w:rsidP="00367133">
            <w:pPr>
              <w:ind w:left="113" w:right="113"/>
              <w:jc w:val="both"/>
              <w:rPr>
                <w:iCs/>
                <w:sz w:val="20"/>
                <w:szCs w:val="20"/>
              </w:rPr>
            </w:pPr>
            <w:r w:rsidRPr="00E50B51">
              <w:rPr>
                <w:sz w:val="20"/>
                <w:szCs w:val="20"/>
                <w:lang w:val="en-US"/>
              </w:rPr>
              <w:t>448 U.S. 448</w:t>
            </w:r>
          </w:p>
        </w:tc>
        <w:tc>
          <w:tcPr>
            <w:tcW w:w="306" w:type="pct"/>
            <w:textDirection w:val="tbRl"/>
            <w:vAlign w:val="center"/>
          </w:tcPr>
          <w:p w14:paraId="4C486DDE" w14:textId="77777777" w:rsidR="00074551" w:rsidRPr="00E50B51" w:rsidRDefault="00074551" w:rsidP="00367133">
            <w:pPr>
              <w:ind w:left="113" w:right="113"/>
              <w:jc w:val="both"/>
              <w:rPr>
                <w:sz w:val="20"/>
                <w:szCs w:val="20"/>
              </w:rPr>
            </w:pPr>
            <w:r w:rsidRPr="00E50B51">
              <w:rPr>
                <w:sz w:val="20"/>
                <w:szCs w:val="20"/>
              </w:rPr>
              <w:t>2. Juli 1980</w:t>
            </w:r>
          </w:p>
        </w:tc>
        <w:tc>
          <w:tcPr>
            <w:tcW w:w="401" w:type="pct"/>
          </w:tcPr>
          <w:p w14:paraId="11ABC2F4" w14:textId="77777777" w:rsidR="00074551" w:rsidRPr="00E50B51" w:rsidRDefault="00074551" w:rsidP="00367133">
            <w:pPr>
              <w:jc w:val="center"/>
              <w:rPr>
                <w:sz w:val="20"/>
                <w:szCs w:val="20"/>
              </w:rPr>
            </w:pPr>
            <w:r w:rsidRPr="00E50B51">
              <w:rPr>
                <w:sz w:val="20"/>
                <w:szCs w:val="20"/>
              </w:rPr>
              <w:t>D</w:t>
            </w:r>
          </w:p>
        </w:tc>
        <w:tc>
          <w:tcPr>
            <w:tcW w:w="1594" w:type="pct"/>
          </w:tcPr>
          <w:p w14:paraId="0562D44D" w14:textId="77777777" w:rsidR="00074551" w:rsidRPr="00E50B51" w:rsidRDefault="00074551" w:rsidP="00367133">
            <w:pPr>
              <w:jc w:val="both"/>
              <w:rPr>
                <w:sz w:val="20"/>
                <w:szCs w:val="20"/>
              </w:rPr>
            </w:pPr>
            <w:r w:rsidRPr="00E50B51">
              <w:rPr>
                <w:sz w:val="20"/>
                <w:szCs w:val="20"/>
              </w:rPr>
              <w:t>*</w:t>
            </w:r>
          </w:p>
        </w:tc>
        <w:tc>
          <w:tcPr>
            <w:tcW w:w="1822" w:type="pct"/>
          </w:tcPr>
          <w:p w14:paraId="3B77304A" w14:textId="77777777" w:rsidR="00074551" w:rsidRDefault="00074551" w:rsidP="00367133">
            <w:pPr>
              <w:jc w:val="both"/>
              <w:rPr>
                <w:sz w:val="20"/>
                <w:szCs w:val="20"/>
              </w:rPr>
            </w:pPr>
            <w:r w:rsidRPr="003404A9">
              <w:rPr>
                <w:sz w:val="20"/>
                <w:szCs w:val="20"/>
              </w:rPr>
              <w:t xml:space="preserve">Wenn der </w:t>
            </w:r>
            <w:r>
              <w:rPr>
                <w:sz w:val="20"/>
                <w:szCs w:val="20"/>
              </w:rPr>
              <w:t>U.S. Supreme Court</w:t>
            </w:r>
            <w:r w:rsidRPr="003404A9">
              <w:rPr>
                <w:sz w:val="20"/>
                <w:szCs w:val="20"/>
              </w:rPr>
              <w:t xml:space="preserve"> über die Verfassungsmäßigkeit eines Gesetzes des Kongresses entscheidet, dann übt er die weitestmögliche Kompetenz der Judikative aus.</w:t>
            </w:r>
            <w:r w:rsidRPr="003404A9">
              <w:rPr>
                <w:sz w:val="20"/>
                <w:szCs w:val="20"/>
                <w:vertAlign w:val="superscript"/>
              </w:rPr>
              <w:footnoteReference w:id="1887"/>
            </w:r>
            <w:r w:rsidRPr="003404A9">
              <w:rPr>
                <w:sz w:val="20"/>
                <w:szCs w:val="20"/>
              </w:rPr>
              <w:t xml:space="preserve"> Der Dissens schreibt, eine unterschi</w:t>
            </w:r>
            <w:r>
              <w:rPr>
                <w:sz w:val="20"/>
                <w:szCs w:val="20"/>
              </w:rPr>
              <w:t>e</w:t>
            </w:r>
            <w:r w:rsidRPr="003404A9">
              <w:rPr>
                <w:sz w:val="20"/>
                <w:szCs w:val="20"/>
              </w:rPr>
              <w:t>dliche Behandlung aufgrund der Abstammung widerspreche dem Gleichheitsgrundsatz („</w:t>
            </w:r>
            <w:proofErr w:type="spellStart"/>
            <w:r w:rsidRPr="003404A9">
              <w:rPr>
                <w:sz w:val="20"/>
                <w:szCs w:val="20"/>
              </w:rPr>
              <w:t>doctrine</w:t>
            </w:r>
            <w:proofErr w:type="spellEnd"/>
            <w:r w:rsidRPr="003404A9">
              <w:rPr>
                <w:sz w:val="20"/>
                <w:szCs w:val="20"/>
              </w:rPr>
              <w:t xml:space="preserve"> of </w:t>
            </w:r>
            <w:proofErr w:type="spellStart"/>
            <w:r w:rsidRPr="003404A9">
              <w:rPr>
                <w:sz w:val="20"/>
                <w:szCs w:val="20"/>
              </w:rPr>
              <w:t>equality</w:t>
            </w:r>
            <w:proofErr w:type="spellEnd"/>
            <w:r w:rsidRPr="003404A9">
              <w:rPr>
                <w:sz w:val="20"/>
                <w:szCs w:val="20"/>
              </w:rPr>
              <w:t>“</w:t>
            </w:r>
            <w:r w:rsidRPr="003404A9">
              <w:rPr>
                <w:sz w:val="20"/>
                <w:szCs w:val="20"/>
                <w:vertAlign w:val="superscript"/>
              </w:rPr>
              <w:footnoteReference w:id="1888"/>
            </w:r>
            <w:r w:rsidRPr="003404A9">
              <w:rPr>
                <w:sz w:val="20"/>
                <w:szCs w:val="20"/>
              </w:rPr>
              <w:t xml:space="preserve">), wodurch der </w:t>
            </w:r>
            <w:r>
              <w:rPr>
                <w:sz w:val="20"/>
                <w:szCs w:val="20"/>
              </w:rPr>
              <w:t>U.S. Supreme Court</w:t>
            </w:r>
            <w:r w:rsidRPr="003404A9">
              <w:rPr>
                <w:sz w:val="20"/>
                <w:szCs w:val="20"/>
              </w:rPr>
              <w:t xml:space="preserve"> Gesetze für verfassungswidrig erklären </w:t>
            </w:r>
            <w:r>
              <w:rPr>
                <w:sz w:val="20"/>
                <w:szCs w:val="20"/>
              </w:rPr>
              <w:t>könne</w:t>
            </w:r>
            <w:r w:rsidRPr="003404A9">
              <w:rPr>
                <w:sz w:val="20"/>
                <w:szCs w:val="20"/>
              </w:rPr>
              <w:t xml:space="preserve"> („</w:t>
            </w:r>
            <w:proofErr w:type="spellStart"/>
            <w:r w:rsidRPr="003404A9">
              <w:rPr>
                <w:sz w:val="20"/>
                <w:szCs w:val="20"/>
              </w:rPr>
              <w:t>Distinctions</w:t>
            </w:r>
            <w:proofErr w:type="spellEnd"/>
            <w:r w:rsidRPr="003404A9">
              <w:rPr>
                <w:sz w:val="20"/>
                <w:szCs w:val="20"/>
              </w:rPr>
              <w:t xml:space="preserve"> </w:t>
            </w:r>
            <w:proofErr w:type="spellStart"/>
            <w:r w:rsidRPr="003404A9">
              <w:rPr>
                <w:sz w:val="20"/>
                <w:szCs w:val="20"/>
              </w:rPr>
              <w:t>between</w:t>
            </w:r>
            <w:proofErr w:type="spellEnd"/>
            <w:r w:rsidRPr="003404A9">
              <w:rPr>
                <w:sz w:val="20"/>
                <w:szCs w:val="20"/>
              </w:rPr>
              <w:t xml:space="preserve"> </w:t>
            </w:r>
            <w:proofErr w:type="spellStart"/>
            <w:r w:rsidRPr="003404A9">
              <w:rPr>
                <w:sz w:val="20"/>
                <w:szCs w:val="20"/>
              </w:rPr>
              <w:t>citizens</w:t>
            </w:r>
            <w:proofErr w:type="spellEnd"/>
            <w:r w:rsidRPr="003404A9">
              <w:rPr>
                <w:sz w:val="20"/>
                <w:szCs w:val="20"/>
              </w:rPr>
              <w:t xml:space="preserve"> </w:t>
            </w:r>
            <w:proofErr w:type="spellStart"/>
            <w:r w:rsidRPr="003404A9">
              <w:rPr>
                <w:sz w:val="20"/>
                <w:szCs w:val="20"/>
              </w:rPr>
              <w:t>solely</w:t>
            </w:r>
            <w:proofErr w:type="spellEnd"/>
            <w:r w:rsidRPr="003404A9">
              <w:rPr>
                <w:sz w:val="20"/>
                <w:szCs w:val="20"/>
              </w:rPr>
              <w:t xml:space="preserve"> </w:t>
            </w:r>
            <w:proofErr w:type="spellStart"/>
            <w:r w:rsidRPr="003404A9">
              <w:rPr>
                <w:sz w:val="20"/>
                <w:szCs w:val="20"/>
              </w:rPr>
              <w:t>because</w:t>
            </w:r>
            <w:proofErr w:type="spellEnd"/>
            <w:r w:rsidRPr="003404A9">
              <w:rPr>
                <w:sz w:val="20"/>
                <w:szCs w:val="20"/>
              </w:rPr>
              <w:t xml:space="preserve"> of </w:t>
            </w:r>
            <w:proofErr w:type="spellStart"/>
            <w:r w:rsidRPr="003404A9">
              <w:rPr>
                <w:sz w:val="20"/>
                <w:szCs w:val="20"/>
              </w:rPr>
              <w:t>their</w:t>
            </w:r>
            <w:proofErr w:type="spellEnd"/>
            <w:r w:rsidRPr="003404A9">
              <w:rPr>
                <w:sz w:val="20"/>
                <w:szCs w:val="20"/>
              </w:rPr>
              <w:t xml:space="preserve"> </w:t>
            </w:r>
            <w:proofErr w:type="spellStart"/>
            <w:r w:rsidRPr="003404A9">
              <w:rPr>
                <w:sz w:val="20"/>
                <w:szCs w:val="20"/>
              </w:rPr>
              <w:t>ancestry</w:t>
            </w:r>
            <w:proofErr w:type="spellEnd"/>
            <w:r w:rsidRPr="003404A9">
              <w:rPr>
                <w:sz w:val="20"/>
                <w:szCs w:val="20"/>
              </w:rPr>
              <w:t xml:space="preserve"> </w:t>
            </w:r>
            <w:proofErr w:type="spellStart"/>
            <w:r w:rsidRPr="003404A9">
              <w:rPr>
                <w:sz w:val="20"/>
                <w:szCs w:val="20"/>
              </w:rPr>
              <w:t>are</w:t>
            </w:r>
            <w:proofErr w:type="spellEnd"/>
            <w:r w:rsidRPr="003404A9">
              <w:rPr>
                <w:sz w:val="20"/>
                <w:szCs w:val="20"/>
              </w:rPr>
              <w:t xml:space="preserve"> by </w:t>
            </w:r>
            <w:proofErr w:type="spellStart"/>
            <w:r w:rsidRPr="003404A9">
              <w:rPr>
                <w:sz w:val="20"/>
                <w:szCs w:val="20"/>
              </w:rPr>
              <w:t>their</w:t>
            </w:r>
            <w:proofErr w:type="spellEnd"/>
            <w:r w:rsidRPr="003404A9">
              <w:rPr>
                <w:sz w:val="20"/>
                <w:szCs w:val="20"/>
              </w:rPr>
              <w:t xml:space="preserve"> </w:t>
            </w:r>
            <w:proofErr w:type="spellStart"/>
            <w:r w:rsidRPr="003404A9">
              <w:rPr>
                <w:sz w:val="20"/>
                <w:szCs w:val="20"/>
              </w:rPr>
              <w:t>very</w:t>
            </w:r>
            <w:proofErr w:type="spellEnd"/>
            <w:r w:rsidRPr="003404A9">
              <w:rPr>
                <w:sz w:val="20"/>
                <w:szCs w:val="20"/>
              </w:rPr>
              <w:t xml:space="preserve"> </w:t>
            </w:r>
            <w:proofErr w:type="spellStart"/>
            <w:r w:rsidRPr="003404A9">
              <w:rPr>
                <w:sz w:val="20"/>
                <w:szCs w:val="20"/>
              </w:rPr>
              <w:t>nature</w:t>
            </w:r>
            <w:proofErr w:type="spellEnd"/>
            <w:r w:rsidRPr="003404A9">
              <w:rPr>
                <w:sz w:val="20"/>
                <w:szCs w:val="20"/>
              </w:rPr>
              <w:t xml:space="preserve"> </w:t>
            </w:r>
            <w:proofErr w:type="spellStart"/>
            <w:r w:rsidRPr="003404A9">
              <w:rPr>
                <w:sz w:val="20"/>
                <w:szCs w:val="20"/>
              </w:rPr>
              <w:t>odious</w:t>
            </w:r>
            <w:proofErr w:type="spellEnd"/>
            <w:r w:rsidRPr="003404A9">
              <w:rPr>
                <w:sz w:val="20"/>
                <w:szCs w:val="20"/>
              </w:rPr>
              <w:t xml:space="preserve"> to a </w:t>
            </w:r>
            <w:proofErr w:type="spellStart"/>
            <w:r w:rsidRPr="003404A9">
              <w:rPr>
                <w:sz w:val="20"/>
                <w:szCs w:val="20"/>
              </w:rPr>
              <w:t>free</w:t>
            </w:r>
            <w:proofErr w:type="spellEnd"/>
            <w:r w:rsidRPr="003404A9">
              <w:rPr>
                <w:sz w:val="20"/>
                <w:szCs w:val="20"/>
              </w:rPr>
              <w:t xml:space="preserve"> </w:t>
            </w:r>
            <w:proofErr w:type="spellStart"/>
            <w:r w:rsidRPr="003404A9">
              <w:rPr>
                <w:sz w:val="20"/>
                <w:szCs w:val="20"/>
              </w:rPr>
              <w:t>people</w:t>
            </w:r>
            <w:proofErr w:type="spellEnd"/>
            <w:r w:rsidRPr="003404A9">
              <w:rPr>
                <w:sz w:val="20"/>
                <w:szCs w:val="20"/>
              </w:rPr>
              <w:t>“</w:t>
            </w:r>
            <w:r w:rsidRPr="003404A9">
              <w:rPr>
                <w:sz w:val="20"/>
                <w:szCs w:val="20"/>
                <w:vertAlign w:val="superscript"/>
              </w:rPr>
              <w:footnoteReference w:id="1889"/>
            </w:r>
            <w:r w:rsidRPr="003404A9">
              <w:rPr>
                <w:sz w:val="20"/>
                <w:szCs w:val="20"/>
              </w:rPr>
              <w:t>). Denn alle Menschen seien gleich geschaffen, weil sie unveräußerliche Rechte wie das gleiche Streben nach Glück inhärier</w:t>
            </w:r>
            <w:r>
              <w:rPr>
                <w:sz w:val="20"/>
                <w:szCs w:val="20"/>
              </w:rPr>
              <w:t>t</w:t>
            </w:r>
            <w:r w:rsidRPr="003404A9">
              <w:rPr>
                <w:sz w:val="20"/>
                <w:szCs w:val="20"/>
              </w:rPr>
              <w:t xml:space="preserve">en. </w:t>
            </w:r>
            <w:r>
              <w:rPr>
                <w:sz w:val="20"/>
                <w:szCs w:val="20"/>
              </w:rPr>
              <w:t>Dadurch sei es</w:t>
            </w:r>
            <w:r w:rsidRPr="003404A9">
              <w:rPr>
                <w:sz w:val="20"/>
                <w:szCs w:val="20"/>
              </w:rPr>
              <w:t xml:space="preserve"> staatlichen Maßnahmen grundsätzlich</w:t>
            </w:r>
            <w:r>
              <w:rPr>
                <w:sz w:val="20"/>
                <w:szCs w:val="20"/>
              </w:rPr>
              <w:t xml:space="preserve"> untersagt</w:t>
            </w:r>
            <w:r w:rsidRPr="003404A9">
              <w:rPr>
                <w:sz w:val="20"/>
                <w:szCs w:val="20"/>
              </w:rPr>
              <w:t>, aufgrund von Abstammung ungleich zu behandeln („</w:t>
            </w:r>
            <w:proofErr w:type="spellStart"/>
            <w:r w:rsidRPr="003404A9">
              <w:rPr>
                <w:sz w:val="20"/>
                <w:szCs w:val="20"/>
              </w:rPr>
              <w:t>its</w:t>
            </w:r>
            <w:proofErr w:type="spellEnd"/>
            <w:r w:rsidRPr="003404A9">
              <w:rPr>
                <w:sz w:val="20"/>
                <w:szCs w:val="20"/>
              </w:rPr>
              <w:t xml:space="preserve"> </w:t>
            </w:r>
            <w:proofErr w:type="spellStart"/>
            <w:r w:rsidRPr="003404A9">
              <w:rPr>
                <w:sz w:val="20"/>
                <w:szCs w:val="20"/>
              </w:rPr>
              <w:t>citizens</w:t>
            </w:r>
            <w:proofErr w:type="spellEnd"/>
            <w:r w:rsidRPr="003404A9">
              <w:rPr>
                <w:sz w:val="20"/>
                <w:szCs w:val="20"/>
              </w:rPr>
              <w:t xml:space="preserve"> as </w:t>
            </w:r>
            <w:proofErr w:type="spellStart"/>
            <w:r w:rsidRPr="003404A9">
              <w:rPr>
                <w:sz w:val="20"/>
                <w:szCs w:val="20"/>
              </w:rPr>
              <w:t>having</w:t>
            </w:r>
            <w:proofErr w:type="spellEnd"/>
            <w:r w:rsidRPr="003404A9">
              <w:rPr>
                <w:sz w:val="20"/>
                <w:szCs w:val="20"/>
              </w:rPr>
              <w:t xml:space="preserve"> </w:t>
            </w:r>
            <w:proofErr w:type="spellStart"/>
            <w:proofErr w:type="gramStart"/>
            <w:r w:rsidRPr="003404A9">
              <w:rPr>
                <w:sz w:val="20"/>
                <w:szCs w:val="20"/>
              </w:rPr>
              <w:t>been</w:t>
            </w:r>
            <w:proofErr w:type="spellEnd"/>
            <w:r w:rsidRPr="003404A9">
              <w:rPr>
                <w:sz w:val="20"/>
                <w:szCs w:val="20"/>
              </w:rPr>
              <w:t xml:space="preserve"> </w:t>
            </w:r>
            <w:r>
              <w:rPr>
                <w:sz w:val="20"/>
                <w:szCs w:val="20"/>
              </w:rPr>
              <w:t>,</w:t>
            </w:r>
            <w:r w:rsidRPr="003404A9">
              <w:rPr>
                <w:sz w:val="20"/>
                <w:szCs w:val="20"/>
              </w:rPr>
              <w:t>created</w:t>
            </w:r>
            <w:proofErr w:type="gramEnd"/>
            <w:r w:rsidRPr="003404A9">
              <w:rPr>
                <w:sz w:val="20"/>
                <w:szCs w:val="20"/>
              </w:rPr>
              <w:t xml:space="preserve"> </w:t>
            </w:r>
            <w:proofErr w:type="spellStart"/>
            <w:r w:rsidRPr="003404A9">
              <w:rPr>
                <w:sz w:val="20"/>
                <w:szCs w:val="20"/>
              </w:rPr>
              <w:t>equal</w:t>
            </w:r>
            <w:proofErr w:type="spellEnd"/>
            <w:r>
              <w:rPr>
                <w:sz w:val="20"/>
                <w:szCs w:val="20"/>
              </w:rPr>
              <w:t>‘</w:t>
            </w:r>
            <w:r w:rsidRPr="003404A9">
              <w:rPr>
                <w:sz w:val="20"/>
                <w:szCs w:val="20"/>
              </w:rPr>
              <w:t xml:space="preserve"> in the </w:t>
            </w:r>
            <w:proofErr w:type="spellStart"/>
            <w:r w:rsidRPr="003404A9">
              <w:rPr>
                <w:sz w:val="20"/>
                <w:szCs w:val="20"/>
              </w:rPr>
              <w:t>eyes</w:t>
            </w:r>
            <w:proofErr w:type="spellEnd"/>
            <w:r w:rsidRPr="003404A9">
              <w:rPr>
                <w:sz w:val="20"/>
                <w:szCs w:val="20"/>
              </w:rPr>
              <w:t xml:space="preserve"> of the </w:t>
            </w:r>
            <w:proofErr w:type="spellStart"/>
            <w:r w:rsidRPr="003404A9">
              <w:rPr>
                <w:sz w:val="20"/>
                <w:szCs w:val="20"/>
              </w:rPr>
              <w:t>law</w:t>
            </w:r>
            <w:proofErr w:type="spellEnd"/>
            <w:r w:rsidRPr="003404A9">
              <w:rPr>
                <w:sz w:val="20"/>
                <w:szCs w:val="20"/>
              </w:rPr>
              <w:t xml:space="preserve">. </w:t>
            </w:r>
            <w:r w:rsidRPr="003404A9">
              <w:rPr>
                <w:sz w:val="20"/>
                <w:szCs w:val="20"/>
                <w:lang w:val="en-US"/>
              </w:rPr>
              <w:t xml:space="preserve">The Declaration of Independence states: We hold these truths to be self-evident, that all men […] are endowed by their Creator with certain unalienable Rights, that among these are […] the pursuit of </w:t>
            </w:r>
            <w:proofErr w:type="gramStart"/>
            <w:r w:rsidRPr="003404A9">
              <w:rPr>
                <w:sz w:val="20"/>
                <w:szCs w:val="20"/>
                <w:lang w:val="en-US"/>
              </w:rPr>
              <w:t>Happiness“</w:t>
            </w:r>
            <w:proofErr w:type="gramEnd"/>
            <w:r w:rsidRPr="003404A9">
              <w:rPr>
                <w:sz w:val="20"/>
                <w:szCs w:val="20"/>
                <w:vertAlign w:val="superscript"/>
                <w:lang w:val="en-US"/>
              </w:rPr>
              <w:footnoteReference w:id="1890"/>
            </w:r>
            <w:r w:rsidRPr="00B45592">
              <w:rPr>
                <w:sz w:val="20"/>
                <w:szCs w:val="20"/>
                <w:lang w:val="en-IE"/>
              </w:rPr>
              <w:t xml:space="preserve">). </w:t>
            </w:r>
            <w:r w:rsidRPr="003404A9">
              <w:rPr>
                <w:sz w:val="20"/>
                <w:szCs w:val="20"/>
              </w:rPr>
              <w:t xml:space="preserve">Aus diesem rechtshistorischen Rahmen des gleichen Zugangs zu den unveräußerlichen Rechten folge die Herleitung, bis wann eine Ungleichbehandlung die Grenze der Verfassung </w:t>
            </w:r>
            <w:r>
              <w:rPr>
                <w:sz w:val="20"/>
                <w:szCs w:val="20"/>
              </w:rPr>
              <w:t>einhalte</w:t>
            </w:r>
            <w:r w:rsidRPr="003404A9">
              <w:rPr>
                <w:sz w:val="20"/>
                <w:szCs w:val="20"/>
              </w:rPr>
              <w:t>: Im Grundsatz habe der Souverän habe die Pflicht, unparteiisch bzw. neutral zu regieren („</w:t>
            </w:r>
            <w:proofErr w:type="spellStart"/>
            <w:r w:rsidRPr="003404A9">
              <w:rPr>
                <w:sz w:val="20"/>
                <w:szCs w:val="20"/>
              </w:rPr>
              <w:t>sovereign</w:t>
            </w:r>
            <w:proofErr w:type="spellEnd"/>
            <w:r w:rsidRPr="003404A9">
              <w:rPr>
                <w:sz w:val="20"/>
                <w:szCs w:val="20"/>
              </w:rPr>
              <w:t xml:space="preserve"> </w:t>
            </w:r>
            <w:proofErr w:type="spellStart"/>
            <w:r w:rsidRPr="003404A9">
              <w:rPr>
                <w:sz w:val="20"/>
                <w:szCs w:val="20"/>
              </w:rPr>
              <w:t>has</w:t>
            </w:r>
            <w:proofErr w:type="spellEnd"/>
            <w:r w:rsidRPr="003404A9">
              <w:rPr>
                <w:sz w:val="20"/>
                <w:szCs w:val="20"/>
              </w:rPr>
              <w:t xml:space="preserve"> a fundamental </w:t>
            </w:r>
            <w:proofErr w:type="spellStart"/>
            <w:r w:rsidRPr="003404A9">
              <w:rPr>
                <w:sz w:val="20"/>
                <w:szCs w:val="20"/>
              </w:rPr>
              <w:t>duty</w:t>
            </w:r>
            <w:proofErr w:type="spellEnd"/>
            <w:r w:rsidRPr="003404A9">
              <w:rPr>
                <w:sz w:val="20"/>
                <w:szCs w:val="20"/>
              </w:rPr>
              <w:t xml:space="preserve"> to </w:t>
            </w:r>
            <w:proofErr w:type="spellStart"/>
            <w:r w:rsidRPr="003404A9">
              <w:rPr>
                <w:sz w:val="20"/>
                <w:szCs w:val="20"/>
              </w:rPr>
              <w:t>govern</w:t>
            </w:r>
            <w:proofErr w:type="spellEnd"/>
            <w:r w:rsidRPr="003404A9">
              <w:rPr>
                <w:sz w:val="20"/>
                <w:szCs w:val="20"/>
              </w:rPr>
              <w:t xml:space="preserve"> </w:t>
            </w:r>
            <w:proofErr w:type="spellStart"/>
            <w:r w:rsidRPr="003404A9">
              <w:rPr>
                <w:sz w:val="20"/>
                <w:szCs w:val="20"/>
              </w:rPr>
              <w:t>impartially</w:t>
            </w:r>
            <w:proofErr w:type="spellEnd"/>
            <w:r w:rsidRPr="003404A9">
              <w:rPr>
                <w:sz w:val="20"/>
                <w:szCs w:val="20"/>
              </w:rPr>
              <w:t>“</w:t>
            </w:r>
            <w:r w:rsidRPr="003404A9">
              <w:rPr>
                <w:sz w:val="20"/>
                <w:szCs w:val="20"/>
                <w:vertAlign w:val="superscript"/>
              </w:rPr>
              <w:footnoteReference w:id="1891"/>
            </w:r>
            <w:r w:rsidRPr="003404A9">
              <w:rPr>
                <w:sz w:val="20"/>
                <w:szCs w:val="20"/>
              </w:rPr>
              <w:t xml:space="preserve">). Für eine unterschiedliche Behandlung </w:t>
            </w:r>
            <w:r>
              <w:rPr>
                <w:sz w:val="20"/>
                <w:szCs w:val="20"/>
              </w:rPr>
              <w:t>müsse</w:t>
            </w:r>
            <w:r w:rsidRPr="003404A9">
              <w:rPr>
                <w:sz w:val="20"/>
                <w:szCs w:val="20"/>
              </w:rPr>
              <w:t xml:space="preserve"> es einen sachlichen Grund geben („</w:t>
            </w:r>
            <w:proofErr w:type="spellStart"/>
            <w:r w:rsidRPr="003404A9">
              <w:rPr>
                <w:sz w:val="20"/>
                <w:szCs w:val="20"/>
              </w:rPr>
              <w:t>there</w:t>
            </w:r>
            <w:proofErr w:type="spellEnd"/>
            <w:r w:rsidRPr="003404A9">
              <w:rPr>
                <w:sz w:val="20"/>
                <w:szCs w:val="20"/>
              </w:rPr>
              <w:t xml:space="preserve"> </w:t>
            </w:r>
            <w:proofErr w:type="spellStart"/>
            <w:r w:rsidRPr="003404A9">
              <w:rPr>
                <w:sz w:val="20"/>
                <w:szCs w:val="20"/>
              </w:rPr>
              <w:t>must</w:t>
            </w:r>
            <w:proofErr w:type="spellEnd"/>
            <w:r w:rsidRPr="003404A9">
              <w:rPr>
                <w:sz w:val="20"/>
                <w:szCs w:val="20"/>
              </w:rPr>
              <w:t xml:space="preserve"> </w:t>
            </w:r>
            <w:proofErr w:type="spellStart"/>
            <w:r w:rsidRPr="003404A9">
              <w:rPr>
                <w:sz w:val="20"/>
                <w:szCs w:val="20"/>
              </w:rPr>
              <w:t>be</w:t>
            </w:r>
            <w:proofErr w:type="spellEnd"/>
            <w:r w:rsidRPr="003404A9">
              <w:rPr>
                <w:sz w:val="20"/>
                <w:szCs w:val="20"/>
              </w:rPr>
              <w:t xml:space="preserve"> a </w:t>
            </w:r>
            <w:proofErr w:type="spellStart"/>
            <w:r w:rsidRPr="003404A9">
              <w:rPr>
                <w:sz w:val="20"/>
                <w:szCs w:val="20"/>
              </w:rPr>
              <w:t>reason</w:t>
            </w:r>
            <w:proofErr w:type="spellEnd"/>
            <w:r w:rsidRPr="003404A9">
              <w:rPr>
                <w:sz w:val="20"/>
                <w:szCs w:val="20"/>
              </w:rPr>
              <w:t xml:space="preserve"> for the </w:t>
            </w:r>
            <w:proofErr w:type="spellStart"/>
            <w:r w:rsidRPr="003404A9">
              <w:rPr>
                <w:sz w:val="20"/>
                <w:szCs w:val="20"/>
              </w:rPr>
              <w:t>difference</w:t>
            </w:r>
            <w:proofErr w:type="spellEnd"/>
            <w:r w:rsidRPr="003404A9">
              <w:rPr>
                <w:sz w:val="20"/>
                <w:szCs w:val="20"/>
              </w:rPr>
              <w:t>“</w:t>
            </w:r>
            <w:r w:rsidRPr="003404A9">
              <w:rPr>
                <w:sz w:val="20"/>
                <w:szCs w:val="20"/>
                <w:vertAlign w:val="superscript"/>
              </w:rPr>
              <w:footnoteReference w:id="1892"/>
            </w:r>
            <w:r w:rsidRPr="003404A9">
              <w:rPr>
                <w:sz w:val="20"/>
                <w:szCs w:val="20"/>
              </w:rPr>
              <w:t xml:space="preserve">). </w:t>
            </w:r>
            <w:r>
              <w:rPr>
                <w:sz w:val="20"/>
                <w:szCs w:val="20"/>
              </w:rPr>
              <w:t>Dabei böten</w:t>
            </w:r>
            <w:r w:rsidRPr="003404A9">
              <w:rPr>
                <w:sz w:val="20"/>
                <w:szCs w:val="20"/>
              </w:rPr>
              <w:t xml:space="preserve"> rassische Merkmale grundsätzlich keinen sachlichen Grund für eine </w:t>
            </w:r>
            <w:r>
              <w:rPr>
                <w:sz w:val="20"/>
                <w:szCs w:val="20"/>
              </w:rPr>
              <w:t>un</w:t>
            </w:r>
            <w:r w:rsidRPr="003404A9">
              <w:rPr>
                <w:sz w:val="20"/>
                <w:szCs w:val="20"/>
              </w:rPr>
              <w:t>gleiche Behandlung („</w:t>
            </w:r>
            <w:proofErr w:type="spellStart"/>
            <w:r w:rsidRPr="003404A9">
              <w:rPr>
                <w:sz w:val="20"/>
                <w:szCs w:val="20"/>
              </w:rPr>
              <w:t>racial</w:t>
            </w:r>
            <w:proofErr w:type="spellEnd"/>
            <w:r w:rsidRPr="003404A9">
              <w:rPr>
                <w:sz w:val="20"/>
                <w:szCs w:val="20"/>
              </w:rPr>
              <w:t xml:space="preserve"> </w:t>
            </w:r>
            <w:proofErr w:type="spellStart"/>
            <w:r w:rsidRPr="003404A9">
              <w:rPr>
                <w:sz w:val="20"/>
                <w:szCs w:val="20"/>
              </w:rPr>
              <w:t>characteristics</w:t>
            </w:r>
            <w:proofErr w:type="spellEnd"/>
            <w:r w:rsidRPr="003404A9">
              <w:rPr>
                <w:sz w:val="20"/>
                <w:szCs w:val="20"/>
              </w:rPr>
              <w:t xml:space="preserve"> so </w:t>
            </w:r>
            <w:proofErr w:type="spellStart"/>
            <w:r w:rsidRPr="003404A9">
              <w:rPr>
                <w:sz w:val="20"/>
                <w:szCs w:val="20"/>
              </w:rPr>
              <w:t>seldom</w:t>
            </w:r>
            <w:proofErr w:type="spellEnd"/>
            <w:r w:rsidRPr="003404A9">
              <w:rPr>
                <w:sz w:val="20"/>
                <w:szCs w:val="20"/>
              </w:rPr>
              <w:t xml:space="preserve"> </w:t>
            </w:r>
            <w:proofErr w:type="spellStart"/>
            <w:r w:rsidRPr="003404A9">
              <w:rPr>
                <w:sz w:val="20"/>
                <w:szCs w:val="20"/>
              </w:rPr>
              <w:t>provide</w:t>
            </w:r>
            <w:proofErr w:type="spellEnd"/>
            <w:r w:rsidRPr="003404A9">
              <w:rPr>
                <w:sz w:val="20"/>
                <w:szCs w:val="20"/>
              </w:rPr>
              <w:t xml:space="preserve"> a relevant </w:t>
            </w:r>
            <w:proofErr w:type="spellStart"/>
            <w:r w:rsidRPr="003404A9">
              <w:rPr>
                <w:sz w:val="20"/>
                <w:szCs w:val="20"/>
              </w:rPr>
              <w:t>basis</w:t>
            </w:r>
            <w:proofErr w:type="spellEnd"/>
            <w:r w:rsidRPr="003404A9">
              <w:rPr>
                <w:sz w:val="20"/>
                <w:szCs w:val="20"/>
              </w:rPr>
              <w:t xml:space="preserve"> for disparate </w:t>
            </w:r>
            <w:proofErr w:type="spellStart"/>
            <w:r w:rsidRPr="003404A9">
              <w:rPr>
                <w:sz w:val="20"/>
                <w:szCs w:val="20"/>
              </w:rPr>
              <w:t>treatment</w:t>
            </w:r>
            <w:proofErr w:type="spellEnd"/>
            <w:r w:rsidRPr="003404A9">
              <w:rPr>
                <w:sz w:val="20"/>
                <w:szCs w:val="20"/>
              </w:rPr>
              <w:t>“</w:t>
            </w:r>
            <w:r w:rsidRPr="003404A9">
              <w:rPr>
                <w:sz w:val="20"/>
                <w:szCs w:val="20"/>
                <w:vertAlign w:val="superscript"/>
              </w:rPr>
              <w:footnoteReference w:id="1893"/>
            </w:r>
            <w:r w:rsidRPr="003404A9">
              <w:rPr>
                <w:sz w:val="20"/>
                <w:szCs w:val="20"/>
              </w:rPr>
              <w:t>). Denn der potenzielle Schaden sei gesamtgesellschaftlich zu erheblich („</w:t>
            </w:r>
            <w:proofErr w:type="spellStart"/>
            <w:r w:rsidRPr="003404A9">
              <w:rPr>
                <w:sz w:val="20"/>
                <w:szCs w:val="20"/>
              </w:rPr>
              <w:t>harmful</w:t>
            </w:r>
            <w:proofErr w:type="spellEnd"/>
            <w:r w:rsidRPr="003404A9">
              <w:rPr>
                <w:sz w:val="20"/>
                <w:szCs w:val="20"/>
              </w:rPr>
              <w:t xml:space="preserve"> to the </w:t>
            </w:r>
            <w:proofErr w:type="spellStart"/>
            <w:r w:rsidRPr="003404A9">
              <w:rPr>
                <w:sz w:val="20"/>
                <w:szCs w:val="20"/>
              </w:rPr>
              <w:t>entire</w:t>
            </w:r>
            <w:proofErr w:type="spellEnd"/>
            <w:r w:rsidRPr="003404A9">
              <w:rPr>
                <w:sz w:val="20"/>
                <w:szCs w:val="20"/>
              </w:rPr>
              <w:t xml:space="preserve"> </w:t>
            </w:r>
            <w:proofErr w:type="spellStart"/>
            <w:r w:rsidRPr="003404A9">
              <w:rPr>
                <w:sz w:val="20"/>
                <w:szCs w:val="20"/>
              </w:rPr>
              <w:t>body</w:t>
            </w:r>
            <w:proofErr w:type="spellEnd"/>
            <w:r w:rsidRPr="003404A9">
              <w:rPr>
                <w:sz w:val="20"/>
                <w:szCs w:val="20"/>
              </w:rPr>
              <w:t xml:space="preserve"> </w:t>
            </w:r>
            <w:proofErr w:type="spellStart"/>
            <w:r w:rsidRPr="003404A9">
              <w:rPr>
                <w:sz w:val="20"/>
                <w:szCs w:val="20"/>
              </w:rPr>
              <w:t>politic</w:t>
            </w:r>
            <w:proofErr w:type="spellEnd"/>
            <w:r w:rsidRPr="003404A9">
              <w:rPr>
                <w:sz w:val="20"/>
                <w:szCs w:val="20"/>
              </w:rPr>
              <w:t>“</w:t>
            </w:r>
            <w:r w:rsidRPr="003404A9">
              <w:rPr>
                <w:sz w:val="20"/>
                <w:szCs w:val="20"/>
                <w:vertAlign w:val="superscript"/>
              </w:rPr>
              <w:footnoteReference w:id="1894"/>
            </w:r>
            <w:r w:rsidRPr="003404A9">
              <w:rPr>
                <w:sz w:val="20"/>
                <w:szCs w:val="20"/>
              </w:rPr>
              <w:t>). Die Gründe für eine solche Ungleichbehandlung könn</w:t>
            </w:r>
            <w:r>
              <w:rPr>
                <w:sz w:val="20"/>
                <w:szCs w:val="20"/>
              </w:rPr>
              <w:t>t</w:t>
            </w:r>
            <w:r w:rsidRPr="003404A9">
              <w:rPr>
                <w:sz w:val="20"/>
                <w:szCs w:val="20"/>
              </w:rPr>
              <w:t>en allenfalls eng gefasst und müss</w:t>
            </w:r>
            <w:r>
              <w:rPr>
                <w:sz w:val="20"/>
                <w:szCs w:val="20"/>
              </w:rPr>
              <w:t>t</w:t>
            </w:r>
            <w:r w:rsidRPr="003404A9">
              <w:rPr>
                <w:sz w:val="20"/>
                <w:szCs w:val="20"/>
              </w:rPr>
              <w:t xml:space="preserve">en hinreichend bestimmt sein, aber </w:t>
            </w:r>
            <w:r>
              <w:rPr>
                <w:sz w:val="20"/>
                <w:szCs w:val="20"/>
              </w:rPr>
              <w:t xml:space="preserve">sie </w:t>
            </w:r>
            <w:r w:rsidRPr="003404A9">
              <w:rPr>
                <w:sz w:val="20"/>
                <w:szCs w:val="20"/>
              </w:rPr>
              <w:t>müss</w:t>
            </w:r>
            <w:r>
              <w:rPr>
                <w:sz w:val="20"/>
                <w:szCs w:val="20"/>
              </w:rPr>
              <w:t>t</w:t>
            </w:r>
            <w:r w:rsidRPr="003404A9">
              <w:rPr>
                <w:sz w:val="20"/>
                <w:szCs w:val="20"/>
              </w:rPr>
              <w:t>en auch zweifellose Legitimität ausstrahlen („</w:t>
            </w:r>
            <w:proofErr w:type="spellStart"/>
            <w:r w:rsidRPr="003404A9">
              <w:rPr>
                <w:sz w:val="20"/>
                <w:szCs w:val="20"/>
              </w:rPr>
              <w:t>classification</w:t>
            </w:r>
            <w:proofErr w:type="spellEnd"/>
            <w:r w:rsidRPr="003404A9">
              <w:rPr>
                <w:sz w:val="20"/>
                <w:szCs w:val="20"/>
              </w:rPr>
              <w:t xml:space="preserve"> </w:t>
            </w:r>
            <w:proofErr w:type="spellStart"/>
            <w:r w:rsidRPr="003404A9">
              <w:rPr>
                <w:sz w:val="20"/>
                <w:szCs w:val="20"/>
              </w:rPr>
              <w:t>be</w:t>
            </w:r>
            <w:proofErr w:type="spellEnd"/>
            <w:r w:rsidRPr="003404A9">
              <w:rPr>
                <w:sz w:val="20"/>
                <w:szCs w:val="20"/>
              </w:rPr>
              <w:t xml:space="preserve"> </w:t>
            </w:r>
            <w:proofErr w:type="spellStart"/>
            <w:r w:rsidRPr="003404A9">
              <w:rPr>
                <w:sz w:val="20"/>
                <w:szCs w:val="20"/>
              </w:rPr>
              <w:t>clearly</w:t>
            </w:r>
            <w:proofErr w:type="spellEnd"/>
            <w:r w:rsidRPr="003404A9">
              <w:rPr>
                <w:sz w:val="20"/>
                <w:szCs w:val="20"/>
              </w:rPr>
              <w:t xml:space="preserve"> </w:t>
            </w:r>
            <w:proofErr w:type="spellStart"/>
            <w:r w:rsidRPr="003404A9">
              <w:rPr>
                <w:sz w:val="20"/>
                <w:szCs w:val="20"/>
              </w:rPr>
              <w:t>identified</w:t>
            </w:r>
            <w:proofErr w:type="spellEnd"/>
            <w:r w:rsidRPr="003404A9">
              <w:rPr>
                <w:sz w:val="20"/>
                <w:szCs w:val="20"/>
              </w:rPr>
              <w:t xml:space="preserve"> and </w:t>
            </w:r>
            <w:proofErr w:type="spellStart"/>
            <w:r w:rsidRPr="003404A9">
              <w:rPr>
                <w:sz w:val="20"/>
                <w:szCs w:val="20"/>
              </w:rPr>
              <w:t>unquestionably</w:t>
            </w:r>
            <w:proofErr w:type="spellEnd"/>
            <w:r w:rsidRPr="003404A9">
              <w:rPr>
                <w:sz w:val="20"/>
                <w:szCs w:val="20"/>
              </w:rPr>
              <w:t xml:space="preserve"> </w:t>
            </w:r>
            <w:proofErr w:type="spellStart"/>
            <w:r w:rsidRPr="003404A9">
              <w:rPr>
                <w:sz w:val="20"/>
                <w:szCs w:val="20"/>
              </w:rPr>
              <w:t>legitimate</w:t>
            </w:r>
            <w:proofErr w:type="spellEnd"/>
            <w:r w:rsidRPr="003404A9">
              <w:rPr>
                <w:sz w:val="20"/>
                <w:szCs w:val="20"/>
              </w:rPr>
              <w:t>“</w:t>
            </w:r>
            <w:r w:rsidRPr="003404A9">
              <w:rPr>
                <w:sz w:val="20"/>
                <w:szCs w:val="20"/>
                <w:vertAlign w:val="superscript"/>
              </w:rPr>
              <w:footnoteReference w:id="1895"/>
            </w:r>
            <w:r w:rsidRPr="00B45592">
              <w:rPr>
                <w:sz w:val="20"/>
                <w:szCs w:val="20"/>
              </w:rPr>
              <w:t>); ein solcher Fall sei bisher in der Rechtsprechung nicht erwähnt worden.</w:t>
            </w:r>
          </w:p>
          <w:p w14:paraId="66846810" w14:textId="77777777" w:rsidR="00074551" w:rsidRPr="003404A9" w:rsidRDefault="00074551" w:rsidP="00367133">
            <w:pPr>
              <w:jc w:val="both"/>
              <w:rPr>
                <w:sz w:val="20"/>
                <w:szCs w:val="20"/>
              </w:rPr>
            </w:pPr>
          </w:p>
        </w:tc>
      </w:tr>
      <w:tr w:rsidR="00074551" w:rsidRPr="002E1085" w14:paraId="33AF4DAF" w14:textId="77777777" w:rsidTr="00BE689F">
        <w:trPr>
          <w:cantSplit/>
          <w:trHeight w:val="3175"/>
        </w:trPr>
        <w:tc>
          <w:tcPr>
            <w:tcW w:w="293" w:type="pct"/>
          </w:tcPr>
          <w:p w14:paraId="0D289C6B"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A055B15" w14:textId="77777777" w:rsidR="00074551" w:rsidRPr="00B45592" w:rsidRDefault="00074551" w:rsidP="00367133">
            <w:pPr>
              <w:ind w:left="113" w:right="113"/>
              <w:jc w:val="both"/>
              <w:rPr>
                <w:i/>
                <w:sz w:val="20"/>
                <w:szCs w:val="20"/>
                <w:lang w:val="en-US"/>
              </w:rPr>
            </w:pPr>
            <w:r w:rsidRPr="00B45592">
              <w:rPr>
                <w:i/>
                <w:sz w:val="20"/>
                <w:szCs w:val="20"/>
                <w:lang w:val="en-US"/>
              </w:rPr>
              <w:t>Massachusetts Bd. of Retirement v. Murgia</w:t>
            </w:r>
          </w:p>
        </w:tc>
        <w:tc>
          <w:tcPr>
            <w:tcW w:w="197" w:type="pct"/>
            <w:textDirection w:val="tbRl"/>
            <w:vAlign w:val="center"/>
          </w:tcPr>
          <w:p w14:paraId="6A843265" w14:textId="77777777" w:rsidR="00074551" w:rsidRPr="00E50B51" w:rsidRDefault="00074551" w:rsidP="00367133">
            <w:pPr>
              <w:ind w:left="113" w:right="113"/>
              <w:jc w:val="both"/>
              <w:rPr>
                <w:iCs/>
                <w:sz w:val="20"/>
                <w:szCs w:val="20"/>
                <w:lang w:val="en-US"/>
              </w:rPr>
            </w:pPr>
            <w:r w:rsidRPr="00E50B51">
              <w:rPr>
                <w:sz w:val="20"/>
                <w:szCs w:val="20"/>
                <w:lang w:val="en-US"/>
              </w:rPr>
              <w:t>427 U.S. 307</w:t>
            </w:r>
          </w:p>
        </w:tc>
        <w:tc>
          <w:tcPr>
            <w:tcW w:w="306" w:type="pct"/>
            <w:textDirection w:val="tbRl"/>
            <w:vAlign w:val="center"/>
          </w:tcPr>
          <w:p w14:paraId="6C8E354A" w14:textId="77777777" w:rsidR="00074551" w:rsidRPr="00E50B51" w:rsidRDefault="00074551" w:rsidP="00367133">
            <w:pPr>
              <w:ind w:left="113" w:right="113"/>
              <w:jc w:val="both"/>
              <w:rPr>
                <w:sz w:val="20"/>
                <w:szCs w:val="20"/>
                <w:lang w:val="en-US"/>
              </w:rPr>
            </w:pPr>
            <w:r w:rsidRPr="00E50B51">
              <w:rPr>
                <w:sz w:val="20"/>
                <w:szCs w:val="20"/>
              </w:rPr>
              <w:t>25. Juni 1976</w:t>
            </w:r>
          </w:p>
        </w:tc>
        <w:tc>
          <w:tcPr>
            <w:tcW w:w="401" w:type="pct"/>
          </w:tcPr>
          <w:p w14:paraId="269F479A" w14:textId="274A323B" w:rsidR="00074551" w:rsidRPr="00E50B51" w:rsidRDefault="00074551" w:rsidP="00367133">
            <w:pPr>
              <w:jc w:val="center"/>
              <w:rPr>
                <w:sz w:val="20"/>
                <w:szCs w:val="20"/>
                <w:lang w:val="en-US"/>
              </w:rPr>
            </w:pPr>
            <w:r w:rsidRPr="00E50B51">
              <w:rPr>
                <w:sz w:val="20"/>
                <w:szCs w:val="20"/>
              </w:rPr>
              <w:t>D</w:t>
            </w:r>
            <w:r w:rsidR="00AC647A">
              <w:rPr>
                <w:rStyle w:val="Funotenzeichen"/>
                <w:sz w:val="20"/>
                <w:szCs w:val="20"/>
              </w:rPr>
              <w:footnoteReference w:id="1896"/>
            </w:r>
          </w:p>
        </w:tc>
        <w:tc>
          <w:tcPr>
            <w:tcW w:w="1594" w:type="pct"/>
          </w:tcPr>
          <w:p w14:paraId="478AB231"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2EE2D413" w14:textId="77777777" w:rsidR="00074551" w:rsidRDefault="00074551" w:rsidP="00367133">
            <w:pPr>
              <w:jc w:val="both"/>
              <w:rPr>
                <w:sz w:val="20"/>
                <w:szCs w:val="20"/>
                <w:lang w:val="en-IE"/>
              </w:rPr>
            </w:pPr>
            <w:r w:rsidRPr="00555A20">
              <w:rPr>
                <w:sz w:val="20"/>
                <w:szCs w:val="20"/>
              </w:rPr>
              <w:t xml:space="preserve">Der „rational-basis </w:t>
            </w:r>
            <w:proofErr w:type="spellStart"/>
            <w:r w:rsidRPr="00555A20">
              <w:rPr>
                <w:sz w:val="20"/>
                <w:szCs w:val="20"/>
              </w:rPr>
              <w:t>standard</w:t>
            </w:r>
            <w:proofErr w:type="spellEnd"/>
            <w:r w:rsidRPr="00555A20">
              <w:rPr>
                <w:sz w:val="20"/>
                <w:szCs w:val="20"/>
              </w:rPr>
              <w:t>“</w:t>
            </w:r>
            <w:r w:rsidRPr="00555A20">
              <w:rPr>
                <w:sz w:val="20"/>
                <w:szCs w:val="20"/>
                <w:vertAlign w:val="superscript"/>
              </w:rPr>
              <w:footnoteReference w:id="1897"/>
            </w:r>
            <w:r w:rsidRPr="00555A20">
              <w:rPr>
                <w:sz w:val="20"/>
                <w:szCs w:val="20"/>
              </w:rPr>
              <w:t xml:space="preserve"> </w:t>
            </w:r>
            <w:r>
              <w:rPr>
                <w:sz w:val="20"/>
                <w:szCs w:val="20"/>
              </w:rPr>
              <w:t>ist</w:t>
            </w:r>
            <w:r w:rsidRPr="00555A20">
              <w:rPr>
                <w:sz w:val="20"/>
                <w:szCs w:val="20"/>
              </w:rPr>
              <w:t xml:space="preserve"> ein lockere</w:t>
            </w:r>
            <w:r>
              <w:rPr>
                <w:sz w:val="20"/>
                <w:szCs w:val="20"/>
              </w:rPr>
              <w:t>r</w:t>
            </w:r>
            <w:r w:rsidRPr="00555A20">
              <w:rPr>
                <w:sz w:val="20"/>
                <w:szCs w:val="20"/>
              </w:rPr>
              <w:t xml:space="preserve"> Standard. </w:t>
            </w:r>
            <w:r>
              <w:rPr>
                <w:sz w:val="20"/>
                <w:szCs w:val="20"/>
              </w:rPr>
              <w:t>E</w:t>
            </w:r>
            <w:r w:rsidRPr="00555A20">
              <w:rPr>
                <w:sz w:val="20"/>
                <w:szCs w:val="20"/>
              </w:rPr>
              <w:t xml:space="preserve">r meint: Eine Linie zu ziehen, inwieweit Gesetze ungleich behandeln bzw. klassifizieren, sei zuvorderst die Aufgabe des Gesetzgebers. Es sei weder möglich noch notwendig, in Vollkommenheit zu klassifizieren. Eine Fehlertoleranz erachtet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555A20">
              <w:rPr>
                <w:sz w:val="20"/>
                <w:szCs w:val="20"/>
              </w:rPr>
              <w:t xml:space="preserve"> für verfassungskonform. Doch der Dissens stimmt mit diesem lockeren Standard nicht überein. Denn wenn ein fundamentales Recht wie </w:t>
            </w:r>
            <w:r>
              <w:rPr>
                <w:sz w:val="20"/>
                <w:szCs w:val="20"/>
              </w:rPr>
              <w:t>z.B.</w:t>
            </w:r>
            <w:r w:rsidRPr="00555A20">
              <w:rPr>
                <w:sz w:val="20"/>
                <w:szCs w:val="20"/>
              </w:rPr>
              <w:t xml:space="preserve"> die Berufsausübung betroffen sei – mit einer ausnahmslosen Altersgrenze für den Renteneintritt von Polizisten,</w:t>
            </w:r>
            <w:r w:rsidRPr="00555A20">
              <w:rPr>
                <w:sz w:val="20"/>
                <w:szCs w:val="20"/>
                <w:vertAlign w:val="superscript"/>
              </w:rPr>
              <w:footnoteReference w:id="1898"/>
            </w:r>
            <w:r w:rsidRPr="00555A20">
              <w:rPr>
                <w:sz w:val="20"/>
                <w:szCs w:val="20"/>
              </w:rPr>
              <w:t xml:space="preserve"> dann sei dieses Teil des unveräußerlichen Rechts auf ein Streben nach Glück.</w:t>
            </w:r>
            <w:r w:rsidRPr="00555A20">
              <w:rPr>
                <w:sz w:val="20"/>
                <w:szCs w:val="20"/>
                <w:vertAlign w:val="superscript"/>
              </w:rPr>
              <w:footnoteReference w:id="1899"/>
            </w:r>
            <w:r w:rsidRPr="00555A20">
              <w:rPr>
                <w:sz w:val="20"/>
                <w:szCs w:val="20"/>
                <w:lang w:val="en-US"/>
              </w:rPr>
              <w:t xml:space="preserve">Der Dissens und der </w:t>
            </w:r>
            <w:r>
              <w:rPr>
                <w:sz w:val="20"/>
                <w:szCs w:val="20"/>
                <w:lang w:val="en-US"/>
              </w:rPr>
              <w:t>U.S. Supreme Court</w:t>
            </w:r>
            <w:r w:rsidRPr="00555A20">
              <w:rPr>
                <w:sz w:val="20"/>
                <w:szCs w:val="20"/>
                <w:lang w:val="en-US"/>
              </w:rPr>
              <w:t xml:space="preserve"> in </w:t>
            </w:r>
            <w:proofErr w:type="spellStart"/>
            <w:r w:rsidRPr="00555A20">
              <w:rPr>
                <w:sz w:val="20"/>
                <w:szCs w:val="20"/>
                <w:lang w:val="en-US"/>
              </w:rPr>
              <w:t>anderen</w:t>
            </w:r>
            <w:proofErr w:type="spellEnd"/>
            <w:r w:rsidRPr="00555A20">
              <w:rPr>
                <w:sz w:val="20"/>
                <w:szCs w:val="20"/>
                <w:lang w:val="en-US"/>
              </w:rPr>
              <w:t xml:space="preserve"> </w:t>
            </w:r>
            <w:proofErr w:type="spellStart"/>
            <w:r w:rsidRPr="00555A20">
              <w:rPr>
                <w:sz w:val="20"/>
                <w:szCs w:val="20"/>
                <w:lang w:val="en-US"/>
              </w:rPr>
              <w:t>Urteilen</w:t>
            </w:r>
            <w:proofErr w:type="spellEnd"/>
            <w:r w:rsidRPr="00555A20">
              <w:rPr>
                <w:sz w:val="20"/>
                <w:szCs w:val="20"/>
                <w:lang w:val="en-US"/>
              </w:rPr>
              <w:t xml:space="preserve"> </w:t>
            </w:r>
            <w:proofErr w:type="spellStart"/>
            <w:r w:rsidRPr="00555A20">
              <w:rPr>
                <w:sz w:val="20"/>
                <w:szCs w:val="20"/>
                <w:lang w:val="en-US"/>
              </w:rPr>
              <w:t>hatten</w:t>
            </w:r>
            <w:proofErr w:type="spellEnd"/>
            <w:r w:rsidRPr="00555A20">
              <w:rPr>
                <w:sz w:val="20"/>
                <w:szCs w:val="20"/>
                <w:lang w:val="en-US"/>
              </w:rPr>
              <w:t xml:space="preserve"> </w:t>
            </w:r>
            <w:proofErr w:type="spellStart"/>
            <w:r w:rsidRPr="00555A20">
              <w:rPr>
                <w:sz w:val="20"/>
                <w:szCs w:val="20"/>
                <w:lang w:val="en-US"/>
              </w:rPr>
              <w:t>aber</w:t>
            </w:r>
            <w:proofErr w:type="spellEnd"/>
            <w:r w:rsidRPr="00555A20">
              <w:rPr>
                <w:sz w:val="20"/>
                <w:szCs w:val="20"/>
                <w:lang w:val="en-US"/>
              </w:rPr>
              <w:t xml:space="preserve"> </w:t>
            </w:r>
            <w:proofErr w:type="spellStart"/>
            <w:r w:rsidRPr="00555A20">
              <w:rPr>
                <w:sz w:val="20"/>
                <w:szCs w:val="20"/>
                <w:lang w:val="en-US"/>
              </w:rPr>
              <w:t>zur</w:t>
            </w:r>
            <w:proofErr w:type="spellEnd"/>
            <w:r w:rsidRPr="00555A20">
              <w:rPr>
                <w:sz w:val="20"/>
                <w:szCs w:val="20"/>
                <w:lang w:val="en-US"/>
              </w:rPr>
              <w:t xml:space="preserve"> </w:t>
            </w:r>
            <w:proofErr w:type="spellStart"/>
            <w:r w:rsidRPr="00555A20">
              <w:rPr>
                <w:sz w:val="20"/>
                <w:szCs w:val="20"/>
                <w:lang w:val="en-US"/>
              </w:rPr>
              <w:t>Berufsausübungsfreiheit</w:t>
            </w:r>
            <w:proofErr w:type="spellEnd"/>
            <w:r w:rsidRPr="00555A20">
              <w:rPr>
                <w:sz w:val="20"/>
                <w:szCs w:val="20"/>
                <w:lang w:val="en-US"/>
              </w:rPr>
              <w:t xml:space="preserve"> </w:t>
            </w:r>
            <w:proofErr w:type="spellStart"/>
            <w:r w:rsidRPr="00555A20">
              <w:rPr>
                <w:sz w:val="20"/>
                <w:szCs w:val="20"/>
                <w:lang w:val="en-US"/>
              </w:rPr>
              <w:t>geurteilt</w:t>
            </w:r>
            <w:proofErr w:type="spellEnd"/>
            <w:r w:rsidRPr="00555A20">
              <w:rPr>
                <w:sz w:val="20"/>
                <w:szCs w:val="20"/>
                <w:lang w:val="en-US"/>
              </w:rPr>
              <w:t xml:space="preserve">: „this right is an inalienable right; it was formulated as such under the phrase </w:t>
            </w:r>
            <w:r>
              <w:rPr>
                <w:sz w:val="20"/>
                <w:szCs w:val="20"/>
                <w:lang w:val="en-US"/>
              </w:rPr>
              <w:t>,</w:t>
            </w:r>
            <w:r w:rsidRPr="00555A20">
              <w:rPr>
                <w:sz w:val="20"/>
                <w:szCs w:val="20"/>
                <w:lang w:val="en-US"/>
              </w:rPr>
              <w:t>pursuit of happiness</w:t>
            </w:r>
            <w:r>
              <w:rPr>
                <w:sz w:val="20"/>
                <w:szCs w:val="20"/>
                <w:lang w:val="en-US"/>
              </w:rPr>
              <w:t>‘</w:t>
            </w:r>
            <w:r w:rsidRPr="00555A20">
              <w:rPr>
                <w:sz w:val="20"/>
                <w:szCs w:val="20"/>
                <w:lang w:val="en-US"/>
              </w:rPr>
              <w:t xml:space="preserve"> in the Declaration of Independence“</w:t>
            </w:r>
            <w:r>
              <w:rPr>
                <w:sz w:val="20"/>
                <w:szCs w:val="20"/>
                <w:lang w:val="en-US"/>
              </w:rPr>
              <w:t>.</w:t>
            </w:r>
            <w:r w:rsidRPr="00555A20">
              <w:rPr>
                <w:sz w:val="20"/>
                <w:szCs w:val="20"/>
                <w:vertAlign w:val="superscript"/>
              </w:rPr>
              <w:footnoteReference w:id="1900"/>
            </w:r>
            <w:r w:rsidRPr="00555A20">
              <w:rPr>
                <w:sz w:val="20"/>
                <w:szCs w:val="20"/>
                <w:lang w:val="en-US"/>
              </w:rPr>
              <w:t xml:space="preserve"> </w:t>
            </w:r>
            <w:r w:rsidRPr="00555A20">
              <w:rPr>
                <w:sz w:val="20"/>
                <w:szCs w:val="20"/>
              </w:rPr>
              <w:t xml:space="preserve">Und anhand der Einschränkung der Berufsausübungsfreiheit erklärte der </w:t>
            </w:r>
            <w:r>
              <w:rPr>
                <w:sz w:val="20"/>
                <w:szCs w:val="20"/>
              </w:rPr>
              <w:t>U.S. Supreme Court</w:t>
            </w:r>
            <w:r w:rsidRPr="00555A20">
              <w:rPr>
                <w:sz w:val="20"/>
                <w:szCs w:val="20"/>
              </w:rPr>
              <w:t xml:space="preserve"> zahlreiche Gesetze für verfassungswidrig.</w:t>
            </w:r>
            <w:r w:rsidRPr="00555A20">
              <w:rPr>
                <w:sz w:val="20"/>
                <w:szCs w:val="20"/>
                <w:vertAlign w:val="superscript"/>
              </w:rPr>
              <w:footnoteReference w:id="1901"/>
            </w:r>
            <w:r w:rsidRPr="00555A20">
              <w:rPr>
                <w:sz w:val="20"/>
                <w:szCs w:val="20"/>
              </w:rPr>
              <w:t xml:space="preserve"> </w:t>
            </w:r>
            <w:r w:rsidRPr="00555A20">
              <w:rPr>
                <w:sz w:val="20"/>
                <w:szCs w:val="20"/>
                <w:lang w:val="en-US"/>
              </w:rPr>
              <w:t xml:space="preserve">Wenn </w:t>
            </w:r>
            <w:proofErr w:type="spellStart"/>
            <w:r w:rsidRPr="00555A20">
              <w:rPr>
                <w:sz w:val="20"/>
                <w:szCs w:val="20"/>
                <w:lang w:val="en-US"/>
              </w:rPr>
              <w:t>sie</w:t>
            </w:r>
            <w:proofErr w:type="spellEnd"/>
            <w:r w:rsidRPr="00555A20">
              <w:rPr>
                <w:sz w:val="20"/>
                <w:szCs w:val="20"/>
                <w:lang w:val="en-US"/>
              </w:rPr>
              <w:t xml:space="preserve"> </w:t>
            </w:r>
            <w:proofErr w:type="spellStart"/>
            <w:r w:rsidRPr="00555A20">
              <w:rPr>
                <w:sz w:val="20"/>
                <w:szCs w:val="20"/>
                <w:lang w:val="en-US"/>
              </w:rPr>
              <w:t>eingeschränkt</w:t>
            </w:r>
            <w:proofErr w:type="spellEnd"/>
            <w:r w:rsidRPr="00555A20">
              <w:rPr>
                <w:sz w:val="20"/>
                <w:szCs w:val="20"/>
                <w:lang w:val="en-US"/>
              </w:rPr>
              <w:t xml:space="preserve"> </w:t>
            </w:r>
            <w:proofErr w:type="spellStart"/>
            <w:r w:rsidRPr="00555A20">
              <w:rPr>
                <w:sz w:val="20"/>
                <w:szCs w:val="20"/>
                <w:lang w:val="en-US"/>
              </w:rPr>
              <w:t>wird</w:t>
            </w:r>
            <w:proofErr w:type="spellEnd"/>
            <w:r w:rsidRPr="00555A20">
              <w:rPr>
                <w:sz w:val="20"/>
                <w:szCs w:val="20"/>
                <w:lang w:val="en-US"/>
              </w:rPr>
              <w:t xml:space="preserve">, </w:t>
            </w:r>
            <w:proofErr w:type="spellStart"/>
            <w:r w:rsidRPr="00555A20">
              <w:rPr>
                <w:sz w:val="20"/>
                <w:szCs w:val="20"/>
                <w:lang w:val="en-US"/>
              </w:rPr>
              <w:t>müsse</w:t>
            </w:r>
            <w:proofErr w:type="spellEnd"/>
            <w:r w:rsidRPr="00555A20">
              <w:rPr>
                <w:sz w:val="20"/>
                <w:szCs w:val="20"/>
                <w:lang w:val="en-US"/>
              </w:rPr>
              <w:t xml:space="preserve"> </w:t>
            </w:r>
            <w:proofErr w:type="spellStart"/>
            <w:r w:rsidRPr="00555A20">
              <w:rPr>
                <w:sz w:val="20"/>
                <w:szCs w:val="20"/>
                <w:lang w:val="en-US"/>
              </w:rPr>
              <w:t>ein</w:t>
            </w:r>
            <w:proofErr w:type="spellEnd"/>
            <w:r w:rsidRPr="00555A20">
              <w:rPr>
                <w:sz w:val="20"/>
                <w:szCs w:val="20"/>
                <w:lang w:val="en-US"/>
              </w:rPr>
              <w:t xml:space="preserve"> </w:t>
            </w:r>
            <w:proofErr w:type="spellStart"/>
            <w:r w:rsidRPr="00555A20">
              <w:rPr>
                <w:sz w:val="20"/>
                <w:szCs w:val="20"/>
                <w:lang w:val="en-US"/>
              </w:rPr>
              <w:t>enger</w:t>
            </w:r>
            <w:proofErr w:type="spellEnd"/>
            <w:r w:rsidRPr="00555A20">
              <w:rPr>
                <w:sz w:val="20"/>
                <w:szCs w:val="20"/>
                <w:lang w:val="en-US"/>
              </w:rPr>
              <w:t xml:space="preserve"> </w:t>
            </w:r>
            <w:proofErr w:type="spellStart"/>
            <w:r w:rsidRPr="00555A20">
              <w:rPr>
                <w:sz w:val="20"/>
                <w:szCs w:val="20"/>
                <w:lang w:val="en-US"/>
              </w:rPr>
              <w:t>Prüfungsmaßstab</w:t>
            </w:r>
            <w:proofErr w:type="spellEnd"/>
            <w:r w:rsidRPr="00555A20">
              <w:rPr>
                <w:sz w:val="20"/>
                <w:szCs w:val="20"/>
                <w:lang w:val="en-US"/>
              </w:rPr>
              <w:t xml:space="preserve"> </w:t>
            </w:r>
            <w:proofErr w:type="spellStart"/>
            <w:r w:rsidRPr="00555A20">
              <w:rPr>
                <w:sz w:val="20"/>
                <w:szCs w:val="20"/>
                <w:lang w:val="en-US"/>
              </w:rPr>
              <w:t>angelegt</w:t>
            </w:r>
            <w:proofErr w:type="spellEnd"/>
            <w:r w:rsidRPr="00555A20">
              <w:rPr>
                <w:sz w:val="20"/>
                <w:szCs w:val="20"/>
                <w:lang w:val="en-US"/>
              </w:rPr>
              <w:t xml:space="preserve"> </w:t>
            </w:r>
            <w:proofErr w:type="spellStart"/>
            <w:r w:rsidRPr="00555A20">
              <w:rPr>
                <w:sz w:val="20"/>
                <w:szCs w:val="20"/>
                <w:lang w:val="en-US"/>
              </w:rPr>
              <w:t>werden</w:t>
            </w:r>
            <w:proofErr w:type="spellEnd"/>
            <w:r w:rsidRPr="00555A20">
              <w:rPr>
                <w:sz w:val="20"/>
                <w:szCs w:val="20"/>
                <w:lang w:val="en-US"/>
              </w:rPr>
              <w:t xml:space="preserve">, </w:t>
            </w:r>
            <w:proofErr w:type="spellStart"/>
            <w:r w:rsidRPr="00555A20">
              <w:rPr>
                <w:sz w:val="20"/>
                <w:szCs w:val="20"/>
                <w:lang w:val="en-US"/>
              </w:rPr>
              <w:t>kein</w:t>
            </w:r>
            <w:proofErr w:type="spellEnd"/>
            <w:r w:rsidRPr="00555A20">
              <w:rPr>
                <w:sz w:val="20"/>
                <w:szCs w:val="20"/>
                <w:lang w:val="en-US"/>
              </w:rPr>
              <w:t xml:space="preserve"> </w:t>
            </w:r>
            <w:proofErr w:type="spellStart"/>
            <w:r w:rsidRPr="00555A20">
              <w:rPr>
                <w:sz w:val="20"/>
                <w:szCs w:val="20"/>
                <w:lang w:val="en-US"/>
              </w:rPr>
              <w:t>lockerer</w:t>
            </w:r>
            <w:proofErr w:type="spellEnd"/>
            <w:r w:rsidRPr="00555A20">
              <w:rPr>
                <w:sz w:val="20"/>
                <w:szCs w:val="20"/>
                <w:lang w:val="en-US"/>
              </w:rPr>
              <w:t xml:space="preserve"> Standard („we have always carefully looked at the reasons asserted for depriving a government employee of his job“</w:t>
            </w:r>
            <w:r w:rsidRPr="00555A20">
              <w:rPr>
                <w:sz w:val="20"/>
                <w:szCs w:val="20"/>
                <w:vertAlign w:val="superscript"/>
                <w:lang w:val="en-US"/>
              </w:rPr>
              <w:footnoteReference w:id="1902"/>
            </w:r>
            <w:r w:rsidRPr="00B45592">
              <w:rPr>
                <w:sz w:val="20"/>
                <w:szCs w:val="20"/>
                <w:lang w:val="en-IE"/>
              </w:rPr>
              <w:t>).</w:t>
            </w:r>
          </w:p>
          <w:p w14:paraId="4EEEA150" w14:textId="77777777" w:rsidR="00074551" w:rsidRPr="00E50B51" w:rsidRDefault="00074551" w:rsidP="00367133">
            <w:pPr>
              <w:jc w:val="both"/>
              <w:rPr>
                <w:sz w:val="20"/>
                <w:szCs w:val="20"/>
                <w:lang w:val="en-US"/>
              </w:rPr>
            </w:pPr>
          </w:p>
        </w:tc>
      </w:tr>
      <w:tr w:rsidR="00074551" w:rsidRPr="00E50B51" w14:paraId="5B7808E1" w14:textId="77777777" w:rsidTr="00BE689F">
        <w:trPr>
          <w:cantSplit/>
          <w:trHeight w:val="3175"/>
        </w:trPr>
        <w:tc>
          <w:tcPr>
            <w:tcW w:w="293" w:type="pct"/>
          </w:tcPr>
          <w:p w14:paraId="6744015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6F3A352" w14:textId="77777777" w:rsidR="00074551" w:rsidRPr="00E50B51" w:rsidRDefault="00074551" w:rsidP="00367133">
            <w:pPr>
              <w:ind w:left="113" w:right="416"/>
              <w:jc w:val="both"/>
              <w:rPr>
                <w:sz w:val="20"/>
                <w:szCs w:val="20"/>
                <w:lang w:val="en-US"/>
              </w:rPr>
            </w:pPr>
            <w:r w:rsidRPr="00584023">
              <w:rPr>
                <w:i/>
                <w:sz w:val="20"/>
                <w:szCs w:val="20"/>
              </w:rPr>
              <w:t>Mugler v. Kansas</w:t>
            </w:r>
          </w:p>
        </w:tc>
        <w:tc>
          <w:tcPr>
            <w:tcW w:w="197" w:type="pct"/>
            <w:textDirection w:val="tbRl"/>
            <w:vAlign w:val="center"/>
          </w:tcPr>
          <w:p w14:paraId="3BCD5648" w14:textId="77777777" w:rsidR="00074551" w:rsidRPr="00E50B51" w:rsidRDefault="00074551" w:rsidP="00367133">
            <w:pPr>
              <w:ind w:left="113" w:right="113"/>
              <w:jc w:val="both"/>
              <w:rPr>
                <w:iCs/>
                <w:sz w:val="20"/>
                <w:szCs w:val="20"/>
                <w:lang w:val="en-US"/>
              </w:rPr>
            </w:pPr>
            <w:r w:rsidRPr="00E50B51">
              <w:rPr>
                <w:sz w:val="20"/>
                <w:szCs w:val="20"/>
                <w:lang w:val="en-US"/>
              </w:rPr>
              <w:t>123 U.S. 623</w:t>
            </w:r>
          </w:p>
        </w:tc>
        <w:tc>
          <w:tcPr>
            <w:tcW w:w="306" w:type="pct"/>
            <w:textDirection w:val="tbRl"/>
            <w:vAlign w:val="center"/>
          </w:tcPr>
          <w:p w14:paraId="4F73EBA9" w14:textId="77777777" w:rsidR="00074551" w:rsidRPr="00E50B51" w:rsidRDefault="00074551" w:rsidP="00367133">
            <w:pPr>
              <w:ind w:left="113" w:right="113"/>
              <w:jc w:val="both"/>
              <w:rPr>
                <w:sz w:val="20"/>
                <w:szCs w:val="20"/>
                <w:lang w:val="en-US"/>
              </w:rPr>
            </w:pPr>
            <w:r w:rsidRPr="00E50B51">
              <w:rPr>
                <w:sz w:val="20"/>
                <w:szCs w:val="20"/>
              </w:rPr>
              <w:t>5. Dezember 1887</w:t>
            </w:r>
          </w:p>
        </w:tc>
        <w:tc>
          <w:tcPr>
            <w:tcW w:w="401" w:type="pct"/>
          </w:tcPr>
          <w:p w14:paraId="2D2494A1" w14:textId="77777777" w:rsidR="00074551" w:rsidRPr="00E50B51" w:rsidRDefault="00074551" w:rsidP="00367133">
            <w:pPr>
              <w:jc w:val="center"/>
              <w:rPr>
                <w:sz w:val="20"/>
                <w:szCs w:val="20"/>
                <w:lang w:val="en-US"/>
              </w:rPr>
            </w:pPr>
            <w:r w:rsidRPr="00E50B51">
              <w:rPr>
                <w:sz w:val="20"/>
                <w:szCs w:val="20"/>
              </w:rPr>
              <w:t>S</w:t>
            </w:r>
          </w:p>
        </w:tc>
        <w:tc>
          <w:tcPr>
            <w:tcW w:w="1594" w:type="pct"/>
          </w:tcPr>
          <w:p w14:paraId="6F669CFB"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4EA147BD" w14:textId="77777777" w:rsidR="00074551" w:rsidRDefault="00074551" w:rsidP="00367133">
            <w:pPr>
              <w:rPr>
                <w:sz w:val="20"/>
                <w:szCs w:val="20"/>
              </w:rPr>
            </w:pPr>
            <w:r w:rsidRPr="00AB4828">
              <w:rPr>
                <w:sz w:val="20"/>
                <w:szCs w:val="20"/>
              </w:rPr>
              <w:t xml:space="preserve">Der </w:t>
            </w:r>
            <w:r>
              <w:rPr>
                <w:sz w:val="20"/>
                <w:szCs w:val="20"/>
              </w:rPr>
              <w:t>U.S. Supreme Court</w:t>
            </w:r>
            <w:r w:rsidRPr="00AB4828">
              <w:rPr>
                <w:sz w:val="20"/>
                <w:szCs w:val="20"/>
              </w:rPr>
              <w:t xml:space="preserve"> erklärte, dass zunächst einmal die Verfassungsmäßigkeit eines Gesetzes vermutet wird. Aber wenn ein Gericht über diese Verfassungsmäßigkeit konkret zu entscheiden hat, dann ist nicht diese Vermutung zugunsten des Gesetzgebers der Primat, sondern die </w:t>
            </w:r>
            <w:r>
              <w:rPr>
                <w:sz w:val="20"/>
                <w:szCs w:val="20"/>
              </w:rPr>
              <w:t>U.S.</w:t>
            </w:r>
            <w:r w:rsidRPr="00AB4828">
              <w:rPr>
                <w:sz w:val="20"/>
                <w:szCs w:val="20"/>
              </w:rPr>
              <w:t xml:space="preserve"> </w:t>
            </w:r>
            <w:proofErr w:type="spellStart"/>
            <w:r w:rsidRPr="00AB4828">
              <w:rPr>
                <w:sz w:val="20"/>
                <w:szCs w:val="20"/>
              </w:rPr>
              <w:t>Const</w:t>
            </w:r>
            <w:proofErr w:type="spellEnd"/>
            <w:r w:rsidRPr="00AB4828">
              <w:rPr>
                <w:sz w:val="20"/>
                <w:szCs w:val="20"/>
              </w:rPr>
              <w:t xml:space="preserve">. Daher sei für die verfassungsgerichtliche Verantwortung zuvorderst festzustellen, ob ein Gesetz im Einzelfall die Verfassungsgrenzen überschreite. Um die Elemente dieser Verfassungsgrenzen genau zu tarieren, erklärt der </w:t>
            </w:r>
            <w:r>
              <w:rPr>
                <w:sz w:val="20"/>
                <w:szCs w:val="20"/>
              </w:rPr>
              <w:t>U.S. Supreme Court</w:t>
            </w:r>
            <w:r w:rsidRPr="00AB4828">
              <w:rPr>
                <w:sz w:val="20"/>
                <w:szCs w:val="20"/>
              </w:rPr>
              <w:t>, dass der Bürger eine Doppelrolle habe: als Individu</w:t>
            </w:r>
            <w:r>
              <w:rPr>
                <w:sz w:val="20"/>
                <w:szCs w:val="20"/>
              </w:rPr>
              <w:t>um</w:t>
            </w:r>
            <w:r w:rsidRPr="00AB4828">
              <w:rPr>
                <w:sz w:val="20"/>
                <w:szCs w:val="20"/>
              </w:rPr>
              <w:t xml:space="preserve"> und als Teil der Gesellschaft. Als Individuum </w:t>
            </w:r>
            <w:r>
              <w:rPr>
                <w:sz w:val="20"/>
                <w:szCs w:val="20"/>
              </w:rPr>
              <w:t>kämen</w:t>
            </w:r>
            <w:r w:rsidRPr="00AB4828">
              <w:rPr>
                <w:sz w:val="20"/>
                <w:szCs w:val="20"/>
              </w:rPr>
              <w:t xml:space="preserve"> ihm indes Rechte zu, die er nicht an die Gesellschaft abtreten könne</w:t>
            </w:r>
            <w:r>
              <w:rPr>
                <w:sz w:val="20"/>
                <w:szCs w:val="20"/>
              </w:rPr>
              <w:t>,</w:t>
            </w:r>
            <w:r w:rsidRPr="00AB4828">
              <w:rPr>
                <w:sz w:val="20"/>
                <w:szCs w:val="20"/>
              </w:rPr>
              <w:t xml:space="preserve"> die Gesetze</w:t>
            </w:r>
            <w:r>
              <w:rPr>
                <w:sz w:val="20"/>
                <w:szCs w:val="20"/>
              </w:rPr>
              <w:t xml:space="preserve"> ihm</w:t>
            </w:r>
            <w:r w:rsidRPr="00AB4828">
              <w:rPr>
                <w:sz w:val="20"/>
                <w:szCs w:val="20"/>
              </w:rPr>
              <w:t xml:space="preserve"> auch nicht nehmen könn</w:t>
            </w:r>
            <w:r>
              <w:rPr>
                <w:sz w:val="20"/>
                <w:szCs w:val="20"/>
              </w:rPr>
              <w:t>t</w:t>
            </w:r>
            <w:r w:rsidRPr="00AB4828">
              <w:rPr>
                <w:sz w:val="20"/>
                <w:szCs w:val="20"/>
              </w:rPr>
              <w:t>en („</w:t>
            </w:r>
            <w:proofErr w:type="spellStart"/>
            <w:r w:rsidRPr="00AB4828">
              <w:rPr>
                <w:sz w:val="20"/>
                <w:szCs w:val="20"/>
              </w:rPr>
              <w:t>which</w:t>
            </w:r>
            <w:proofErr w:type="spellEnd"/>
            <w:r w:rsidRPr="00AB4828">
              <w:rPr>
                <w:sz w:val="20"/>
                <w:szCs w:val="20"/>
              </w:rPr>
              <w:t xml:space="preserve"> the </w:t>
            </w:r>
            <w:proofErr w:type="spellStart"/>
            <w:r w:rsidRPr="00AB4828">
              <w:rPr>
                <w:sz w:val="20"/>
                <w:szCs w:val="20"/>
              </w:rPr>
              <w:t>law</w:t>
            </w:r>
            <w:proofErr w:type="spellEnd"/>
            <w:r w:rsidRPr="00AB4828">
              <w:rPr>
                <w:sz w:val="20"/>
                <w:szCs w:val="20"/>
              </w:rPr>
              <w:t xml:space="preserve"> </w:t>
            </w:r>
            <w:proofErr w:type="spellStart"/>
            <w:r w:rsidRPr="00AB4828">
              <w:rPr>
                <w:sz w:val="20"/>
                <w:szCs w:val="20"/>
              </w:rPr>
              <w:t>cannot</w:t>
            </w:r>
            <w:proofErr w:type="spellEnd"/>
            <w:r w:rsidRPr="00AB4828">
              <w:rPr>
                <w:sz w:val="20"/>
                <w:szCs w:val="20"/>
              </w:rPr>
              <w:t xml:space="preserve"> </w:t>
            </w:r>
            <w:proofErr w:type="spellStart"/>
            <w:r w:rsidRPr="00AB4828">
              <w:rPr>
                <w:sz w:val="20"/>
                <w:szCs w:val="20"/>
              </w:rPr>
              <w:t>take</w:t>
            </w:r>
            <w:proofErr w:type="spellEnd"/>
            <w:r w:rsidRPr="00AB4828">
              <w:rPr>
                <w:sz w:val="20"/>
                <w:szCs w:val="20"/>
              </w:rPr>
              <w:t xml:space="preserve"> </w:t>
            </w:r>
            <w:proofErr w:type="spellStart"/>
            <w:r w:rsidRPr="00AB4828">
              <w:rPr>
                <w:sz w:val="20"/>
                <w:szCs w:val="20"/>
              </w:rPr>
              <w:t>away</w:t>
            </w:r>
            <w:proofErr w:type="spellEnd"/>
            <w:r w:rsidRPr="00AB4828">
              <w:rPr>
                <w:sz w:val="20"/>
                <w:szCs w:val="20"/>
              </w:rPr>
              <w:t>“</w:t>
            </w:r>
            <w:r w:rsidRPr="00AB4828">
              <w:rPr>
                <w:sz w:val="20"/>
                <w:szCs w:val="20"/>
                <w:vertAlign w:val="superscript"/>
              </w:rPr>
              <w:footnoteReference w:id="1903"/>
            </w:r>
            <w:r w:rsidRPr="00AB4828">
              <w:rPr>
                <w:sz w:val="20"/>
                <w:szCs w:val="20"/>
              </w:rPr>
              <w:t xml:space="preserve">) und die sich verfassungsrechtlich schlicht nicht einschränken </w:t>
            </w:r>
            <w:r>
              <w:rPr>
                <w:sz w:val="20"/>
                <w:szCs w:val="20"/>
              </w:rPr>
              <w:t>ließen</w:t>
            </w:r>
            <w:r w:rsidRPr="00AB4828">
              <w:rPr>
                <w:sz w:val="20"/>
                <w:szCs w:val="20"/>
              </w:rPr>
              <w:t>. Das seien natürliche Rechte. Die</w:t>
            </w:r>
            <w:r>
              <w:rPr>
                <w:sz w:val="20"/>
                <w:szCs w:val="20"/>
              </w:rPr>
              <w:t>se</w:t>
            </w:r>
            <w:r w:rsidRPr="00AB4828">
              <w:rPr>
                <w:sz w:val="20"/>
                <w:szCs w:val="20"/>
              </w:rPr>
              <w:t xml:space="preserve"> </w:t>
            </w:r>
            <w:r>
              <w:rPr>
                <w:sz w:val="20"/>
                <w:szCs w:val="20"/>
              </w:rPr>
              <w:t>seien</w:t>
            </w:r>
            <w:r w:rsidRPr="00AB4828">
              <w:rPr>
                <w:sz w:val="20"/>
                <w:szCs w:val="20"/>
              </w:rPr>
              <w:t xml:space="preserve"> nicht der Gesellschaft, sondern </w:t>
            </w:r>
            <w:r>
              <w:rPr>
                <w:sz w:val="20"/>
                <w:szCs w:val="20"/>
              </w:rPr>
              <w:t>Einzelpersonen</w:t>
            </w:r>
            <w:r w:rsidRPr="00AB4828">
              <w:rPr>
                <w:sz w:val="20"/>
                <w:szCs w:val="20"/>
              </w:rPr>
              <w:t xml:space="preserve"> vorbehalten</w:t>
            </w:r>
            <w:r w:rsidRPr="00B45592">
              <w:rPr>
                <w:sz w:val="20"/>
                <w:szCs w:val="20"/>
              </w:rPr>
              <w:t xml:space="preserve">, denn sie seien für ein individuelles Streben nach Glück notwendig (“he </w:t>
            </w:r>
            <w:proofErr w:type="spellStart"/>
            <w:r w:rsidRPr="00B45592">
              <w:rPr>
                <w:sz w:val="20"/>
                <w:szCs w:val="20"/>
              </w:rPr>
              <w:t>has</w:t>
            </w:r>
            <w:proofErr w:type="spellEnd"/>
            <w:r w:rsidRPr="00B45592">
              <w:rPr>
                <w:sz w:val="20"/>
                <w:szCs w:val="20"/>
              </w:rPr>
              <w:t xml:space="preserve"> </w:t>
            </w:r>
            <w:proofErr w:type="spellStart"/>
            <w:r w:rsidRPr="00B45592">
              <w:rPr>
                <w:sz w:val="20"/>
                <w:szCs w:val="20"/>
              </w:rPr>
              <w:t>certain</w:t>
            </w:r>
            <w:proofErr w:type="spellEnd"/>
            <w:r w:rsidRPr="00B45592">
              <w:rPr>
                <w:sz w:val="20"/>
                <w:szCs w:val="20"/>
              </w:rPr>
              <w:t xml:space="preserve"> </w:t>
            </w:r>
            <w:proofErr w:type="spellStart"/>
            <w:r w:rsidRPr="00B45592">
              <w:rPr>
                <w:sz w:val="20"/>
                <w:szCs w:val="20"/>
              </w:rPr>
              <w:t>natural</w:t>
            </w:r>
            <w:proofErr w:type="spellEnd"/>
            <w:r w:rsidRPr="00B45592">
              <w:rPr>
                <w:sz w:val="20"/>
                <w:szCs w:val="20"/>
              </w:rPr>
              <w:t xml:space="preserve"> </w:t>
            </w:r>
            <w:proofErr w:type="spellStart"/>
            <w:r w:rsidRPr="00B45592">
              <w:rPr>
                <w:sz w:val="20"/>
                <w:szCs w:val="20"/>
              </w:rPr>
              <w:t>rights</w:t>
            </w:r>
            <w:proofErr w:type="spellEnd"/>
            <w:r w:rsidRPr="00B45592">
              <w:rPr>
                <w:sz w:val="20"/>
                <w:szCs w:val="20"/>
              </w:rPr>
              <w:t xml:space="preserve"> not </w:t>
            </w:r>
            <w:proofErr w:type="spellStart"/>
            <w:r w:rsidRPr="00B45592">
              <w:rPr>
                <w:sz w:val="20"/>
                <w:szCs w:val="20"/>
              </w:rPr>
              <w:t>surrendered</w:t>
            </w:r>
            <w:proofErr w:type="spellEnd"/>
            <w:r w:rsidRPr="00B45592">
              <w:rPr>
                <w:sz w:val="20"/>
                <w:szCs w:val="20"/>
              </w:rPr>
              <w:t xml:space="preserve"> to </w:t>
            </w:r>
            <w:proofErr w:type="spellStart"/>
            <w:r w:rsidRPr="00B45592">
              <w:rPr>
                <w:sz w:val="20"/>
                <w:szCs w:val="20"/>
              </w:rPr>
              <w:t>society</w:t>
            </w:r>
            <w:proofErr w:type="spellEnd"/>
            <w:r w:rsidRPr="00B45592">
              <w:rPr>
                <w:sz w:val="20"/>
                <w:szCs w:val="20"/>
              </w:rPr>
              <w:t xml:space="preserve">, but </w:t>
            </w:r>
            <w:proofErr w:type="spellStart"/>
            <w:r w:rsidRPr="00B45592">
              <w:rPr>
                <w:sz w:val="20"/>
                <w:szCs w:val="20"/>
              </w:rPr>
              <w:t>reserved</w:t>
            </w:r>
            <w:proofErr w:type="spellEnd"/>
            <w:r w:rsidRPr="00B45592">
              <w:rPr>
                <w:sz w:val="20"/>
                <w:szCs w:val="20"/>
              </w:rPr>
              <w:t xml:space="preserve"> to </w:t>
            </w:r>
            <w:proofErr w:type="spellStart"/>
            <w:r w:rsidRPr="00B45592">
              <w:rPr>
                <w:sz w:val="20"/>
                <w:szCs w:val="20"/>
              </w:rPr>
              <w:t>himself</w:t>
            </w:r>
            <w:proofErr w:type="spellEnd"/>
            <w:r w:rsidRPr="00B45592">
              <w:rPr>
                <w:sz w:val="20"/>
                <w:szCs w:val="20"/>
              </w:rPr>
              <w:t xml:space="preserve"> and </w:t>
            </w:r>
            <w:proofErr w:type="spellStart"/>
            <w:r w:rsidRPr="00B45592">
              <w:rPr>
                <w:sz w:val="20"/>
                <w:szCs w:val="20"/>
              </w:rPr>
              <w:t>necessary</w:t>
            </w:r>
            <w:proofErr w:type="spellEnd"/>
            <w:r w:rsidRPr="00B45592">
              <w:rPr>
                <w:sz w:val="20"/>
                <w:szCs w:val="20"/>
              </w:rPr>
              <w:t xml:space="preserve"> to </w:t>
            </w:r>
            <w:proofErr w:type="spellStart"/>
            <w:r w:rsidRPr="00B45592">
              <w:rPr>
                <w:sz w:val="20"/>
                <w:szCs w:val="20"/>
              </w:rPr>
              <w:t>his</w:t>
            </w:r>
            <w:proofErr w:type="spellEnd"/>
            <w:r w:rsidRPr="00B45592">
              <w:rPr>
                <w:sz w:val="20"/>
                <w:szCs w:val="20"/>
              </w:rPr>
              <w:t xml:space="preserve">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B45592">
              <w:rPr>
                <w:sz w:val="20"/>
                <w:szCs w:val="20"/>
              </w:rPr>
              <w:t>“</w:t>
            </w:r>
            <w:r w:rsidRPr="00B45592">
              <w:rPr>
                <w:sz w:val="20"/>
                <w:szCs w:val="20"/>
                <w:vertAlign w:val="superscript"/>
              </w:rPr>
              <w:t xml:space="preserve"> </w:t>
            </w:r>
            <w:r w:rsidRPr="00AB4828">
              <w:rPr>
                <w:sz w:val="20"/>
                <w:szCs w:val="20"/>
                <w:vertAlign w:val="superscript"/>
              </w:rPr>
              <w:footnoteReference w:id="1904"/>
            </w:r>
            <w:r w:rsidRPr="00B45592">
              <w:rPr>
                <w:sz w:val="20"/>
                <w:szCs w:val="20"/>
              </w:rPr>
              <w:t xml:space="preserve">). </w:t>
            </w:r>
            <w:r w:rsidRPr="00AB4828">
              <w:rPr>
                <w:sz w:val="20"/>
                <w:szCs w:val="20"/>
              </w:rPr>
              <w:t xml:space="preserve">Darunter falle </w:t>
            </w:r>
            <w:r>
              <w:rPr>
                <w:sz w:val="20"/>
                <w:szCs w:val="20"/>
              </w:rPr>
              <w:t>z.B.</w:t>
            </w:r>
            <w:r w:rsidRPr="00AB4828">
              <w:rPr>
                <w:sz w:val="20"/>
                <w:szCs w:val="20"/>
              </w:rPr>
              <w:t xml:space="preserve"> das Recht, Nahrungsmittel, Getränke oder Kleidung herzustellen. Dieses Recht sei eine Teilmenge </w:t>
            </w:r>
            <w:r>
              <w:rPr>
                <w:sz w:val="20"/>
                <w:szCs w:val="20"/>
              </w:rPr>
              <w:t>der</w:t>
            </w:r>
            <w:r w:rsidRPr="00AB4828">
              <w:rPr>
                <w:sz w:val="20"/>
                <w:szCs w:val="20"/>
              </w:rPr>
              <w:t xml:space="preserve"> vorbehaltenen und natürlichen Rechte. Doch die Verfassungsgrenze hierfür beginne </w:t>
            </w:r>
            <w:r>
              <w:rPr>
                <w:sz w:val="20"/>
                <w:szCs w:val="20"/>
              </w:rPr>
              <w:t>z.B. dort</w:t>
            </w:r>
            <w:r w:rsidRPr="00AB4828">
              <w:rPr>
                <w:sz w:val="20"/>
                <w:szCs w:val="20"/>
              </w:rPr>
              <w:t>, wo die Herstellung das Leben oder das Eigentum anderer gefährde.</w:t>
            </w:r>
            <w:r w:rsidRPr="00AB4828">
              <w:rPr>
                <w:sz w:val="20"/>
                <w:szCs w:val="20"/>
                <w:vertAlign w:val="superscript"/>
              </w:rPr>
              <w:footnoteReference w:id="1905"/>
            </w:r>
          </w:p>
          <w:p w14:paraId="1C49EF8F" w14:textId="77777777" w:rsidR="00074551" w:rsidRPr="00E50B51" w:rsidRDefault="00074551" w:rsidP="00367133">
            <w:pPr>
              <w:rPr>
                <w:sz w:val="20"/>
                <w:szCs w:val="20"/>
              </w:rPr>
            </w:pPr>
          </w:p>
        </w:tc>
      </w:tr>
      <w:tr w:rsidR="00074551" w:rsidRPr="00E50B51" w14:paraId="52AD83C8" w14:textId="77777777" w:rsidTr="00BE689F">
        <w:trPr>
          <w:cantSplit/>
          <w:trHeight w:val="3175"/>
        </w:trPr>
        <w:tc>
          <w:tcPr>
            <w:tcW w:w="293" w:type="pct"/>
          </w:tcPr>
          <w:p w14:paraId="26F987F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DE1DB9B" w14:textId="77777777" w:rsidR="00074551" w:rsidRPr="00E50B51" w:rsidRDefault="00074551" w:rsidP="00367133">
            <w:pPr>
              <w:ind w:left="113" w:right="416"/>
              <w:jc w:val="both"/>
              <w:rPr>
                <w:sz w:val="20"/>
                <w:szCs w:val="20"/>
                <w:lang w:val="en-US"/>
              </w:rPr>
            </w:pPr>
            <w:r w:rsidRPr="00A15962">
              <w:rPr>
                <w:i/>
                <w:sz w:val="20"/>
                <w:szCs w:val="20"/>
                <w:lang w:val="en-US"/>
              </w:rPr>
              <w:t>Mutual Loan Co. v. Martell</w:t>
            </w:r>
          </w:p>
        </w:tc>
        <w:tc>
          <w:tcPr>
            <w:tcW w:w="197" w:type="pct"/>
            <w:textDirection w:val="tbRl"/>
            <w:vAlign w:val="center"/>
          </w:tcPr>
          <w:p w14:paraId="6CB2B115" w14:textId="77777777" w:rsidR="00074551" w:rsidRPr="00E50B51" w:rsidRDefault="00074551" w:rsidP="00367133">
            <w:pPr>
              <w:ind w:left="113" w:right="113"/>
              <w:jc w:val="both"/>
              <w:rPr>
                <w:iCs/>
                <w:sz w:val="20"/>
                <w:szCs w:val="20"/>
              </w:rPr>
            </w:pPr>
            <w:r w:rsidRPr="00E50B51">
              <w:rPr>
                <w:sz w:val="20"/>
                <w:szCs w:val="20"/>
                <w:lang w:val="en-US"/>
              </w:rPr>
              <w:t>222 U.S. 225</w:t>
            </w:r>
          </w:p>
        </w:tc>
        <w:tc>
          <w:tcPr>
            <w:tcW w:w="306" w:type="pct"/>
            <w:textDirection w:val="tbRl"/>
            <w:vAlign w:val="center"/>
          </w:tcPr>
          <w:p w14:paraId="1E40626D" w14:textId="77777777" w:rsidR="00074551" w:rsidRPr="00E50B51" w:rsidRDefault="00074551" w:rsidP="00367133">
            <w:pPr>
              <w:ind w:left="113" w:right="113"/>
              <w:jc w:val="both"/>
              <w:rPr>
                <w:sz w:val="20"/>
                <w:szCs w:val="20"/>
                <w:lang w:val="en-US"/>
              </w:rPr>
            </w:pPr>
            <w:r w:rsidRPr="00E50B51">
              <w:rPr>
                <w:sz w:val="20"/>
                <w:szCs w:val="20"/>
              </w:rPr>
              <w:t>11. Dezember 1911</w:t>
            </w:r>
          </w:p>
        </w:tc>
        <w:tc>
          <w:tcPr>
            <w:tcW w:w="401" w:type="pct"/>
          </w:tcPr>
          <w:p w14:paraId="270CA360" w14:textId="77777777" w:rsidR="00074551" w:rsidRPr="00E50B51" w:rsidRDefault="00074551" w:rsidP="00367133">
            <w:pPr>
              <w:jc w:val="center"/>
              <w:rPr>
                <w:sz w:val="20"/>
                <w:szCs w:val="20"/>
                <w:lang w:val="en-US"/>
              </w:rPr>
            </w:pPr>
            <w:r w:rsidRPr="00E50B51">
              <w:rPr>
                <w:sz w:val="20"/>
                <w:szCs w:val="20"/>
              </w:rPr>
              <w:t>S</w:t>
            </w:r>
          </w:p>
        </w:tc>
        <w:tc>
          <w:tcPr>
            <w:tcW w:w="1594" w:type="pct"/>
          </w:tcPr>
          <w:p w14:paraId="54E46C6E" w14:textId="77777777" w:rsidR="00074551" w:rsidRDefault="00074551" w:rsidP="00367133">
            <w:pPr>
              <w:jc w:val="both"/>
              <w:rPr>
                <w:sz w:val="20"/>
                <w:szCs w:val="20"/>
                <w:lang w:val="en-US"/>
              </w:rPr>
            </w:pPr>
            <w:r w:rsidRPr="00E50B51">
              <w:rPr>
                <w:sz w:val="20"/>
                <w:szCs w:val="20"/>
                <w:lang w:val="en-US"/>
              </w:rPr>
              <w:t>*</w:t>
            </w:r>
          </w:p>
          <w:p w14:paraId="2AE4610F" w14:textId="543B1919" w:rsidR="002F5233" w:rsidRPr="00E50B51" w:rsidRDefault="002F5233" w:rsidP="00367133">
            <w:pPr>
              <w:jc w:val="both"/>
              <w:rPr>
                <w:sz w:val="20"/>
                <w:szCs w:val="20"/>
                <w:lang w:val="en-US"/>
              </w:rPr>
            </w:pPr>
          </w:p>
        </w:tc>
        <w:tc>
          <w:tcPr>
            <w:tcW w:w="1822" w:type="pct"/>
          </w:tcPr>
          <w:p w14:paraId="166C455B" w14:textId="6AA08A5C" w:rsidR="00A077A1" w:rsidRPr="00A077A1" w:rsidRDefault="00A077A1" w:rsidP="00367133">
            <w:pPr>
              <w:jc w:val="both"/>
              <w:rPr>
                <w:sz w:val="20"/>
                <w:szCs w:val="20"/>
              </w:rPr>
            </w:pPr>
            <w:r w:rsidRPr="00A077A1">
              <w:rPr>
                <w:sz w:val="20"/>
                <w:szCs w:val="20"/>
              </w:rPr>
              <w:t xml:space="preserve">Der U.S. Supreme Court kann Gesetze nicht anhand theoretischer Maßstäbe überprüfen, so selbsterklärend im </w:t>
            </w:r>
            <w:r w:rsidRPr="00A077A1">
              <w:rPr>
                <w:i/>
                <w:iCs/>
                <w:sz w:val="20"/>
                <w:szCs w:val="20"/>
              </w:rPr>
              <w:t>Syllabus</w:t>
            </w:r>
            <w:r w:rsidRPr="00A077A1">
              <w:rPr>
                <w:sz w:val="20"/>
                <w:szCs w:val="20"/>
              </w:rPr>
              <w:t>. Er muss die Gesetze immer an den konkreten Bedingungen beurteilen, die zu ihrem Erlass Anlass gegeben haben. Mit diesem Leitsatz im Sinn lässt sich einerseits der Vortrag der Klägerseite einordnen. Diese verstand unter gleichem Schutz durch die Gesetze die gleiche Sicherheit für jeden, unter gleichen Bedingungen u.a. nach Glück streben zu können. Andererseits beurteilt der U.S. Supreme Court die konkreten Umstände, die zum Erlass des Gesetzes Anlass gegeben hatten.</w:t>
            </w:r>
            <w:r w:rsidRPr="00A077A1">
              <w:rPr>
                <w:sz w:val="20"/>
                <w:szCs w:val="20"/>
                <w:vertAlign w:val="superscript"/>
              </w:rPr>
              <w:t xml:space="preserve"> </w:t>
            </w:r>
            <w:r w:rsidRPr="00A077A1">
              <w:rPr>
                <w:sz w:val="20"/>
                <w:szCs w:val="20"/>
              </w:rPr>
              <w:t>Die Klägerseite machte insoweit geltend, ob es missbräuchlich sei, die Durchsetzung des Darlehens, d.h. des Zinssatzes, abhängig zu machen von der Art der Sicherheit, d.h. der Pfändung des künftigen Arbeitslohns.</w:t>
            </w:r>
            <w:r w:rsidRPr="00A077A1">
              <w:rPr>
                <w:sz w:val="20"/>
                <w:szCs w:val="20"/>
                <w:vertAlign w:val="superscript"/>
              </w:rPr>
              <w:footnoteReference w:id="1906"/>
            </w:r>
          </w:p>
        </w:tc>
      </w:tr>
      <w:tr w:rsidR="00074551" w:rsidRPr="00E50B51" w14:paraId="6B9659CC" w14:textId="77777777" w:rsidTr="00BE689F">
        <w:trPr>
          <w:cantSplit/>
          <w:trHeight w:val="3175"/>
        </w:trPr>
        <w:tc>
          <w:tcPr>
            <w:tcW w:w="293" w:type="pct"/>
          </w:tcPr>
          <w:p w14:paraId="65A573AF"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753ED39" w14:textId="77777777" w:rsidR="00074551" w:rsidRPr="00E50B51" w:rsidRDefault="00074551" w:rsidP="00367133">
            <w:pPr>
              <w:ind w:left="113" w:right="416"/>
              <w:jc w:val="both"/>
              <w:rPr>
                <w:sz w:val="20"/>
                <w:szCs w:val="20"/>
              </w:rPr>
            </w:pPr>
            <w:r w:rsidRPr="00A15962">
              <w:rPr>
                <w:i/>
                <w:sz w:val="20"/>
                <w:szCs w:val="20"/>
              </w:rPr>
              <w:t>Powell v. Pennsylvania</w:t>
            </w:r>
          </w:p>
        </w:tc>
        <w:tc>
          <w:tcPr>
            <w:tcW w:w="197" w:type="pct"/>
            <w:textDirection w:val="tbRl"/>
            <w:vAlign w:val="center"/>
          </w:tcPr>
          <w:p w14:paraId="09C065B9" w14:textId="77777777" w:rsidR="00074551" w:rsidRPr="00E50B51" w:rsidRDefault="00074551" w:rsidP="00367133">
            <w:pPr>
              <w:ind w:left="113" w:right="113"/>
              <w:jc w:val="both"/>
              <w:rPr>
                <w:iCs/>
                <w:sz w:val="20"/>
                <w:szCs w:val="20"/>
              </w:rPr>
            </w:pPr>
            <w:r w:rsidRPr="00E50B51">
              <w:rPr>
                <w:sz w:val="20"/>
                <w:szCs w:val="20"/>
                <w:lang w:val="en-US"/>
              </w:rPr>
              <w:t>127 U.S. 678</w:t>
            </w:r>
          </w:p>
        </w:tc>
        <w:tc>
          <w:tcPr>
            <w:tcW w:w="306" w:type="pct"/>
            <w:textDirection w:val="tbRl"/>
            <w:vAlign w:val="center"/>
          </w:tcPr>
          <w:p w14:paraId="350B1EA8" w14:textId="77777777" w:rsidR="00074551" w:rsidRPr="00E50B51" w:rsidRDefault="00074551" w:rsidP="00367133">
            <w:pPr>
              <w:ind w:left="113" w:right="113"/>
              <w:jc w:val="both"/>
              <w:rPr>
                <w:sz w:val="20"/>
                <w:szCs w:val="20"/>
                <w:lang w:val="en-US"/>
              </w:rPr>
            </w:pPr>
            <w:r w:rsidRPr="00E50B51">
              <w:rPr>
                <w:sz w:val="20"/>
                <w:szCs w:val="20"/>
              </w:rPr>
              <w:t>9. April 1888</w:t>
            </w:r>
          </w:p>
        </w:tc>
        <w:tc>
          <w:tcPr>
            <w:tcW w:w="401" w:type="pct"/>
          </w:tcPr>
          <w:p w14:paraId="06A3F292" w14:textId="77777777" w:rsidR="00074551" w:rsidRPr="00E50B51" w:rsidRDefault="00074551" w:rsidP="00367133">
            <w:pPr>
              <w:jc w:val="center"/>
              <w:rPr>
                <w:sz w:val="20"/>
                <w:szCs w:val="20"/>
                <w:lang w:val="en-US"/>
              </w:rPr>
            </w:pPr>
            <w:r w:rsidRPr="00E50B51">
              <w:rPr>
                <w:sz w:val="20"/>
                <w:szCs w:val="20"/>
              </w:rPr>
              <w:t>D</w:t>
            </w:r>
          </w:p>
        </w:tc>
        <w:tc>
          <w:tcPr>
            <w:tcW w:w="1594" w:type="pct"/>
          </w:tcPr>
          <w:p w14:paraId="5A9D6EDA"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64B29AA7" w14:textId="7EAC146A" w:rsidR="00074551" w:rsidRPr="0032449E" w:rsidRDefault="00074551" w:rsidP="00367133">
            <w:pPr>
              <w:jc w:val="both"/>
              <w:rPr>
                <w:sz w:val="20"/>
                <w:szCs w:val="20"/>
              </w:rPr>
            </w:pPr>
            <w:r w:rsidRPr="0032449E">
              <w:rPr>
                <w:sz w:val="20"/>
                <w:szCs w:val="20"/>
              </w:rPr>
              <w:t xml:space="preserve">Es wird </w:t>
            </w:r>
            <w:r>
              <w:rPr>
                <w:sz w:val="20"/>
                <w:szCs w:val="20"/>
              </w:rPr>
              <w:t xml:space="preserve">so lange </w:t>
            </w:r>
            <w:r w:rsidRPr="0032449E">
              <w:rPr>
                <w:sz w:val="20"/>
                <w:szCs w:val="20"/>
              </w:rPr>
              <w:t>vermutet, ein Gesetz sei verfassungskonform, bis das Gegenteil bewiesen ist. Diese Vermutung ergibt sich daraus, dass eine der drei Gewalten nie ohne Folgerisiken in eine andere eingreifen könne, denn die Stabilität der institutionellen Strukturen der Vereinigten Staaten beruhe auf Zurückhaltung.</w:t>
            </w:r>
            <w:r w:rsidRPr="0032449E">
              <w:rPr>
                <w:sz w:val="20"/>
                <w:szCs w:val="20"/>
                <w:vertAlign w:val="superscript"/>
              </w:rPr>
              <w:footnoteReference w:id="1907"/>
            </w:r>
            <w:r w:rsidRPr="0032449E">
              <w:rPr>
                <w:sz w:val="20"/>
                <w:szCs w:val="20"/>
              </w:rPr>
              <w:t xml:space="preserve"> Der Dissens argumentiert indes, dass sich Legislative und Exekutive nicht nur untereinander zurückzuhalten müss</w:t>
            </w:r>
            <w:r>
              <w:rPr>
                <w:sz w:val="20"/>
                <w:szCs w:val="20"/>
              </w:rPr>
              <w:t>t</w:t>
            </w:r>
            <w:r w:rsidRPr="0032449E">
              <w:rPr>
                <w:sz w:val="20"/>
                <w:szCs w:val="20"/>
              </w:rPr>
              <w:t xml:space="preserve">en, sondern auch gegenüber den Bürgern. Denn das Streben nach Glück begründe </w:t>
            </w:r>
            <w:r>
              <w:rPr>
                <w:sz w:val="20"/>
                <w:szCs w:val="20"/>
              </w:rPr>
              <w:t>z.B.</w:t>
            </w:r>
            <w:r w:rsidRPr="0032449E">
              <w:rPr>
                <w:sz w:val="20"/>
                <w:szCs w:val="20"/>
              </w:rPr>
              <w:t xml:space="preserve"> die Freiheit in wirtschaftlicher Hinsicht,</w:t>
            </w:r>
            <w:r>
              <w:rPr>
                <w:sz w:val="20"/>
                <w:szCs w:val="20"/>
              </w:rPr>
              <w:t xml:space="preserve"> welche durch</w:t>
            </w:r>
            <w:r w:rsidRPr="0032449E">
              <w:rPr>
                <w:sz w:val="20"/>
                <w:szCs w:val="20"/>
              </w:rPr>
              <w:t xml:space="preserve"> die Gesetzgebung ein</w:t>
            </w:r>
            <w:r>
              <w:rPr>
                <w:sz w:val="20"/>
                <w:szCs w:val="20"/>
              </w:rPr>
              <w:t>ge</w:t>
            </w:r>
            <w:r w:rsidRPr="0032449E">
              <w:rPr>
                <w:sz w:val="20"/>
                <w:szCs w:val="20"/>
              </w:rPr>
              <w:t>grenzt</w:t>
            </w:r>
            <w:r>
              <w:rPr>
                <w:sz w:val="20"/>
                <w:szCs w:val="20"/>
              </w:rPr>
              <w:t xml:space="preserve"> werde</w:t>
            </w:r>
            <w:r w:rsidRPr="0032449E">
              <w:rPr>
                <w:sz w:val="20"/>
                <w:szCs w:val="20"/>
              </w:rPr>
              <w:t xml:space="preserve"> („</w:t>
            </w:r>
            <w:proofErr w:type="spellStart"/>
            <w:r w:rsidRPr="0032449E">
              <w:rPr>
                <w:sz w:val="20"/>
                <w:szCs w:val="20"/>
              </w:rPr>
              <w:t>secure</w:t>
            </w:r>
            <w:proofErr w:type="spellEnd"/>
            <w:r w:rsidRPr="0032449E">
              <w:rPr>
                <w:sz w:val="20"/>
                <w:szCs w:val="20"/>
              </w:rPr>
              <w:t xml:space="preserve"> to </w:t>
            </w:r>
            <w:proofErr w:type="spellStart"/>
            <w:r w:rsidRPr="0032449E">
              <w:rPr>
                <w:sz w:val="20"/>
                <w:szCs w:val="20"/>
              </w:rPr>
              <w:t>every</w:t>
            </w:r>
            <w:proofErr w:type="spellEnd"/>
            <w:r w:rsidRPr="0032449E">
              <w:rPr>
                <w:sz w:val="20"/>
                <w:szCs w:val="20"/>
              </w:rPr>
              <w:t xml:space="preserve"> </w:t>
            </w:r>
            <w:proofErr w:type="spellStart"/>
            <w:r w:rsidRPr="0032449E">
              <w:rPr>
                <w:sz w:val="20"/>
                <w:szCs w:val="20"/>
              </w:rPr>
              <w:t>person</w:t>
            </w:r>
            <w:proofErr w:type="spellEnd"/>
            <w:r w:rsidRPr="0032449E">
              <w:rPr>
                <w:sz w:val="20"/>
                <w:szCs w:val="20"/>
              </w:rPr>
              <w:t xml:space="preserve"> the essential </w:t>
            </w:r>
            <w:proofErr w:type="spellStart"/>
            <w:r w:rsidRPr="0032449E">
              <w:rPr>
                <w:sz w:val="20"/>
                <w:szCs w:val="20"/>
              </w:rPr>
              <w:t>conditions</w:t>
            </w:r>
            <w:proofErr w:type="spellEnd"/>
            <w:r w:rsidRPr="0032449E">
              <w:rPr>
                <w:sz w:val="20"/>
                <w:szCs w:val="20"/>
              </w:rPr>
              <w:t xml:space="preserve"> for the </w:t>
            </w:r>
            <w:proofErr w:type="spellStart"/>
            <w:r w:rsidRPr="0032449E">
              <w:rPr>
                <w:sz w:val="20"/>
                <w:szCs w:val="20"/>
              </w:rPr>
              <w:t>pursuit</w:t>
            </w:r>
            <w:proofErr w:type="spellEnd"/>
            <w:r w:rsidRPr="0032449E">
              <w:rPr>
                <w:sz w:val="20"/>
                <w:szCs w:val="20"/>
              </w:rPr>
              <w:t xml:space="preserve"> of </w:t>
            </w:r>
            <w:proofErr w:type="spellStart"/>
            <w:r w:rsidRPr="0032449E">
              <w:rPr>
                <w:sz w:val="20"/>
                <w:szCs w:val="20"/>
              </w:rPr>
              <w:t>happiness</w:t>
            </w:r>
            <w:proofErr w:type="spellEnd"/>
            <w:r w:rsidRPr="0032449E">
              <w:rPr>
                <w:sz w:val="20"/>
                <w:szCs w:val="20"/>
              </w:rPr>
              <w:t xml:space="preserve">, and </w:t>
            </w:r>
            <w:proofErr w:type="spellStart"/>
            <w:r w:rsidRPr="0032449E">
              <w:rPr>
                <w:sz w:val="20"/>
                <w:szCs w:val="20"/>
              </w:rPr>
              <w:t>is</w:t>
            </w:r>
            <w:proofErr w:type="spellEnd"/>
            <w:r w:rsidRPr="0032449E">
              <w:rPr>
                <w:sz w:val="20"/>
                <w:szCs w:val="20"/>
              </w:rPr>
              <w:t xml:space="preserve"> </w:t>
            </w:r>
            <w:proofErr w:type="spellStart"/>
            <w:r w:rsidRPr="0032449E">
              <w:rPr>
                <w:sz w:val="20"/>
                <w:szCs w:val="20"/>
              </w:rPr>
              <w:t>therefore</w:t>
            </w:r>
            <w:proofErr w:type="spellEnd"/>
            <w:r w:rsidRPr="0032449E">
              <w:rPr>
                <w:sz w:val="20"/>
                <w:szCs w:val="20"/>
              </w:rPr>
              <w:t xml:space="preserve"> not to </w:t>
            </w:r>
            <w:proofErr w:type="spellStart"/>
            <w:r w:rsidRPr="0032449E">
              <w:rPr>
                <w:sz w:val="20"/>
                <w:szCs w:val="20"/>
              </w:rPr>
              <w:t>be</w:t>
            </w:r>
            <w:proofErr w:type="spellEnd"/>
            <w:r w:rsidRPr="0032449E">
              <w:rPr>
                <w:sz w:val="20"/>
                <w:szCs w:val="20"/>
              </w:rPr>
              <w:t xml:space="preserve"> </w:t>
            </w:r>
            <w:proofErr w:type="spellStart"/>
            <w:r w:rsidRPr="0032449E">
              <w:rPr>
                <w:sz w:val="20"/>
                <w:szCs w:val="20"/>
              </w:rPr>
              <w:t>construed</w:t>
            </w:r>
            <w:proofErr w:type="spellEnd"/>
            <w:r w:rsidRPr="0032449E">
              <w:rPr>
                <w:sz w:val="20"/>
                <w:szCs w:val="20"/>
              </w:rPr>
              <w:t xml:space="preserve"> in a </w:t>
            </w:r>
            <w:proofErr w:type="spellStart"/>
            <w:r w:rsidRPr="0032449E">
              <w:rPr>
                <w:sz w:val="20"/>
                <w:szCs w:val="20"/>
              </w:rPr>
              <w:t>narrow</w:t>
            </w:r>
            <w:proofErr w:type="spellEnd"/>
            <w:r w:rsidRPr="0032449E">
              <w:rPr>
                <w:sz w:val="20"/>
                <w:szCs w:val="20"/>
              </w:rPr>
              <w:t xml:space="preserve"> </w:t>
            </w:r>
            <w:proofErr w:type="spellStart"/>
            <w:r w:rsidRPr="0032449E">
              <w:rPr>
                <w:sz w:val="20"/>
                <w:szCs w:val="20"/>
              </w:rPr>
              <w:t>or</w:t>
            </w:r>
            <w:proofErr w:type="spellEnd"/>
            <w:r w:rsidRPr="0032449E">
              <w:rPr>
                <w:sz w:val="20"/>
                <w:szCs w:val="20"/>
              </w:rPr>
              <w:t xml:space="preserve"> </w:t>
            </w:r>
            <w:proofErr w:type="spellStart"/>
            <w:r w:rsidRPr="0032449E">
              <w:rPr>
                <w:sz w:val="20"/>
                <w:szCs w:val="20"/>
              </w:rPr>
              <w:t>restricted</w:t>
            </w:r>
            <w:proofErr w:type="spellEnd"/>
            <w:r w:rsidRPr="0032449E">
              <w:rPr>
                <w:sz w:val="20"/>
                <w:szCs w:val="20"/>
              </w:rPr>
              <w:t xml:space="preserve"> sense“</w:t>
            </w:r>
            <w:r w:rsidRPr="0032449E">
              <w:rPr>
                <w:sz w:val="20"/>
                <w:szCs w:val="20"/>
                <w:vertAlign w:val="superscript"/>
              </w:rPr>
              <w:footnoteReference w:id="1908"/>
            </w:r>
            <w:r w:rsidRPr="0032449E">
              <w:rPr>
                <w:sz w:val="20"/>
                <w:szCs w:val="20"/>
              </w:rPr>
              <w:t>)</w:t>
            </w:r>
            <w:r>
              <w:rPr>
                <w:sz w:val="20"/>
                <w:szCs w:val="20"/>
              </w:rPr>
              <w:t>. Beispielsweise</w:t>
            </w:r>
            <w:r w:rsidRPr="0032449E">
              <w:rPr>
                <w:sz w:val="20"/>
                <w:szCs w:val="20"/>
              </w:rPr>
              <w:t xml:space="preserve"> grenzt sie ein, </w:t>
            </w:r>
            <w:r>
              <w:rPr>
                <w:sz w:val="20"/>
                <w:szCs w:val="20"/>
              </w:rPr>
              <w:t>indem sie</w:t>
            </w:r>
            <w:r w:rsidRPr="0032449E">
              <w:rPr>
                <w:sz w:val="20"/>
                <w:szCs w:val="20"/>
              </w:rPr>
              <w:t xml:space="preserve"> die Produktion und de</w:t>
            </w:r>
            <w:r>
              <w:rPr>
                <w:sz w:val="20"/>
                <w:szCs w:val="20"/>
              </w:rPr>
              <w:t>n</w:t>
            </w:r>
            <w:r w:rsidRPr="0032449E">
              <w:rPr>
                <w:sz w:val="20"/>
                <w:szCs w:val="20"/>
              </w:rPr>
              <w:t xml:space="preserve"> Verkauf von </w:t>
            </w:r>
            <w:proofErr w:type="spellStart"/>
            <w:r w:rsidRPr="0032449E">
              <w:rPr>
                <w:sz w:val="20"/>
                <w:szCs w:val="20"/>
              </w:rPr>
              <w:t>Oleomargarinebutter</w:t>
            </w:r>
            <w:proofErr w:type="spellEnd"/>
            <w:r w:rsidRPr="0032449E">
              <w:rPr>
                <w:sz w:val="20"/>
                <w:szCs w:val="20"/>
              </w:rPr>
              <w:t xml:space="preserve"> </w:t>
            </w:r>
            <w:r>
              <w:rPr>
                <w:sz w:val="20"/>
                <w:szCs w:val="20"/>
              </w:rPr>
              <w:t>regelt</w:t>
            </w:r>
            <w:r w:rsidRPr="0032449E">
              <w:rPr>
                <w:sz w:val="20"/>
                <w:szCs w:val="20"/>
              </w:rPr>
              <w:t xml:space="preserve">. </w:t>
            </w:r>
            <w:r>
              <w:rPr>
                <w:sz w:val="20"/>
                <w:szCs w:val="20"/>
              </w:rPr>
              <w:t>Schließlich sei</w:t>
            </w:r>
            <w:r w:rsidRPr="0032449E">
              <w:rPr>
                <w:sz w:val="20"/>
                <w:szCs w:val="20"/>
              </w:rPr>
              <w:t xml:space="preserve"> das Recht, ein Nahrungsmittel zu produzieren und zu verkaufen, grundlegend, um überhaupt nach Glück streben zu können. Eine solches Verbot wäre zudem ein Entzug der Lebensgrundlage – und des Eigentums ohne Wiedergutmachung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32449E">
              <w:rPr>
                <w:sz w:val="20"/>
                <w:szCs w:val="20"/>
                <w:vertAlign w:val="superscript"/>
              </w:rPr>
              <w:footnoteReference w:id="1909"/>
            </w:r>
          </w:p>
          <w:p w14:paraId="32E3E35E" w14:textId="77777777" w:rsidR="00074551" w:rsidRPr="00E50B51" w:rsidRDefault="00074551" w:rsidP="00367133">
            <w:pPr>
              <w:jc w:val="both"/>
              <w:rPr>
                <w:sz w:val="20"/>
                <w:szCs w:val="20"/>
              </w:rPr>
            </w:pPr>
          </w:p>
        </w:tc>
      </w:tr>
      <w:tr w:rsidR="00074551" w:rsidRPr="00663397" w14:paraId="16EEC82A" w14:textId="77777777" w:rsidTr="00BE689F">
        <w:trPr>
          <w:cantSplit/>
          <w:trHeight w:val="3175"/>
        </w:trPr>
        <w:tc>
          <w:tcPr>
            <w:tcW w:w="293" w:type="pct"/>
          </w:tcPr>
          <w:p w14:paraId="01FFE05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04E65C3" w14:textId="77777777" w:rsidR="00074551" w:rsidRPr="00E50B51" w:rsidRDefault="00074551" w:rsidP="00367133">
            <w:pPr>
              <w:ind w:left="113" w:right="416"/>
              <w:jc w:val="both"/>
              <w:rPr>
                <w:sz w:val="20"/>
                <w:szCs w:val="20"/>
              </w:rPr>
            </w:pPr>
            <w:r w:rsidRPr="007360B0">
              <w:rPr>
                <w:i/>
                <w:sz w:val="20"/>
                <w:szCs w:val="20"/>
              </w:rPr>
              <w:t>Taylor v. Beckham</w:t>
            </w:r>
          </w:p>
        </w:tc>
        <w:tc>
          <w:tcPr>
            <w:tcW w:w="197" w:type="pct"/>
            <w:textDirection w:val="tbRl"/>
            <w:vAlign w:val="center"/>
          </w:tcPr>
          <w:p w14:paraId="6AA2C2DB" w14:textId="77777777" w:rsidR="00074551" w:rsidRPr="00E50B51" w:rsidRDefault="00074551" w:rsidP="00367133">
            <w:pPr>
              <w:ind w:left="113" w:right="113"/>
              <w:jc w:val="both"/>
              <w:rPr>
                <w:iCs/>
                <w:sz w:val="20"/>
                <w:szCs w:val="20"/>
              </w:rPr>
            </w:pPr>
            <w:r w:rsidRPr="00E50B51">
              <w:rPr>
                <w:sz w:val="20"/>
                <w:szCs w:val="20"/>
                <w:lang w:val="en-US"/>
              </w:rPr>
              <w:t>178 U.S. 548</w:t>
            </w:r>
          </w:p>
        </w:tc>
        <w:tc>
          <w:tcPr>
            <w:tcW w:w="306" w:type="pct"/>
            <w:textDirection w:val="tbRl"/>
            <w:vAlign w:val="center"/>
          </w:tcPr>
          <w:p w14:paraId="011A3450" w14:textId="77777777" w:rsidR="00074551" w:rsidRPr="00E50B51" w:rsidRDefault="00074551" w:rsidP="00367133">
            <w:pPr>
              <w:ind w:left="113" w:right="113"/>
              <w:jc w:val="both"/>
              <w:rPr>
                <w:sz w:val="20"/>
                <w:szCs w:val="20"/>
                <w:lang w:val="en-US"/>
              </w:rPr>
            </w:pPr>
            <w:r w:rsidRPr="00E50B51">
              <w:rPr>
                <w:sz w:val="20"/>
                <w:szCs w:val="20"/>
              </w:rPr>
              <w:t>21. Mai 19</w:t>
            </w:r>
            <w:r>
              <w:rPr>
                <w:sz w:val="20"/>
                <w:szCs w:val="20"/>
              </w:rPr>
              <w:t>00</w:t>
            </w:r>
          </w:p>
        </w:tc>
        <w:tc>
          <w:tcPr>
            <w:tcW w:w="401" w:type="pct"/>
          </w:tcPr>
          <w:p w14:paraId="655591FD" w14:textId="77777777" w:rsidR="00074551" w:rsidRPr="00E50B51" w:rsidRDefault="00074551" w:rsidP="00367133">
            <w:pPr>
              <w:jc w:val="center"/>
              <w:rPr>
                <w:sz w:val="20"/>
                <w:szCs w:val="20"/>
                <w:lang w:val="en-US"/>
              </w:rPr>
            </w:pPr>
            <w:r w:rsidRPr="00E50B51">
              <w:rPr>
                <w:iCs/>
                <w:sz w:val="20"/>
                <w:szCs w:val="20"/>
              </w:rPr>
              <w:t>R</w:t>
            </w:r>
          </w:p>
        </w:tc>
        <w:tc>
          <w:tcPr>
            <w:tcW w:w="1594" w:type="pct"/>
          </w:tcPr>
          <w:p w14:paraId="1ECE8835"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744C0A67" w14:textId="77777777" w:rsidR="00074551" w:rsidRDefault="00074551" w:rsidP="00367133">
            <w:pPr>
              <w:jc w:val="both"/>
              <w:rPr>
                <w:sz w:val="20"/>
                <w:szCs w:val="20"/>
              </w:rPr>
            </w:pPr>
            <w:r w:rsidRPr="00663397">
              <w:rPr>
                <w:sz w:val="20"/>
                <w:szCs w:val="20"/>
              </w:rPr>
              <w:t>Soweit ein Bundesstaat Teil der Vereinigten Staaten ist und sich in dem Rahmen bewegt, dass seine drei Gewalten friedlich, fair</w:t>
            </w:r>
            <w:r>
              <w:rPr>
                <w:sz w:val="20"/>
                <w:szCs w:val="20"/>
              </w:rPr>
              <w:t xml:space="preserve"> und</w:t>
            </w:r>
            <w:r w:rsidRPr="00663397">
              <w:rPr>
                <w:sz w:val="20"/>
                <w:szCs w:val="20"/>
              </w:rPr>
              <w:t xml:space="preserve"> entsprechend den vorgegebenen Gesetzen handeln, und der Bundesstaat die sog. Grundgesetze („fundamental </w:t>
            </w:r>
            <w:proofErr w:type="spellStart"/>
            <w:r w:rsidRPr="00663397">
              <w:rPr>
                <w:sz w:val="20"/>
                <w:szCs w:val="20"/>
              </w:rPr>
              <w:t>law</w:t>
            </w:r>
            <w:proofErr w:type="spellEnd"/>
            <w:r w:rsidRPr="00663397">
              <w:rPr>
                <w:sz w:val="20"/>
                <w:szCs w:val="20"/>
              </w:rPr>
              <w:t>“</w:t>
            </w:r>
            <w:r w:rsidRPr="00663397">
              <w:rPr>
                <w:sz w:val="20"/>
                <w:szCs w:val="20"/>
                <w:vertAlign w:val="superscript"/>
              </w:rPr>
              <w:footnoteReference w:id="1910"/>
            </w:r>
            <w:r w:rsidRPr="00663397">
              <w:rPr>
                <w:sz w:val="20"/>
                <w:szCs w:val="20"/>
              </w:rPr>
              <w:t>) achte</w:t>
            </w:r>
            <w:r>
              <w:rPr>
                <w:sz w:val="20"/>
                <w:szCs w:val="20"/>
              </w:rPr>
              <w:t>t</w:t>
            </w:r>
            <w:r w:rsidRPr="00663397">
              <w:rPr>
                <w:sz w:val="20"/>
                <w:szCs w:val="20"/>
              </w:rPr>
              <w:t xml:space="preserve">, dann kann er auch </w:t>
            </w:r>
            <w:r>
              <w:rPr>
                <w:sz w:val="20"/>
                <w:szCs w:val="20"/>
              </w:rPr>
              <w:t>selbst</w:t>
            </w:r>
            <w:r w:rsidRPr="00663397">
              <w:rPr>
                <w:sz w:val="20"/>
                <w:szCs w:val="20"/>
              </w:rPr>
              <w:t xml:space="preserve"> entscheiden, </w:t>
            </w:r>
            <w:r>
              <w:rPr>
                <w:sz w:val="20"/>
                <w:szCs w:val="20"/>
              </w:rPr>
              <w:t>etwa</w:t>
            </w:r>
            <w:r w:rsidRPr="00663397">
              <w:rPr>
                <w:sz w:val="20"/>
                <w:szCs w:val="20"/>
              </w:rPr>
              <w:t xml:space="preserve"> ob seine Verordnungen verbindlich sein sollen oder nicht. Wenn er sich also in genanntem Rahmen halte, dann könne eine Entscheidung keinen Verstoß gegen die </w:t>
            </w:r>
            <w:r>
              <w:rPr>
                <w:sz w:val="20"/>
                <w:szCs w:val="20"/>
              </w:rPr>
              <w:t>U.S.</w:t>
            </w:r>
            <w:r w:rsidRPr="00663397">
              <w:rPr>
                <w:sz w:val="20"/>
                <w:szCs w:val="20"/>
              </w:rPr>
              <w:t xml:space="preserve"> </w:t>
            </w:r>
            <w:proofErr w:type="spellStart"/>
            <w:r w:rsidRPr="00663397">
              <w:rPr>
                <w:sz w:val="20"/>
                <w:szCs w:val="20"/>
              </w:rPr>
              <w:t>Const</w:t>
            </w:r>
            <w:proofErr w:type="spellEnd"/>
            <w:r w:rsidRPr="00663397">
              <w:rPr>
                <w:sz w:val="20"/>
                <w:szCs w:val="20"/>
              </w:rPr>
              <w:t xml:space="preserve">. begründen. </w:t>
            </w:r>
            <w:r>
              <w:rPr>
                <w:sz w:val="20"/>
                <w:szCs w:val="20"/>
              </w:rPr>
              <w:t>Die Entscheidung</w:t>
            </w:r>
            <w:r w:rsidRPr="00663397">
              <w:rPr>
                <w:sz w:val="20"/>
                <w:szCs w:val="20"/>
              </w:rPr>
              <w:t xml:space="preserve"> eröffne dann schon keine bundesrechtliche Fragestellung („</w:t>
            </w:r>
            <w:proofErr w:type="spellStart"/>
            <w:r w:rsidRPr="00663397">
              <w:rPr>
                <w:sz w:val="20"/>
                <w:szCs w:val="20"/>
              </w:rPr>
              <w:t>no</w:t>
            </w:r>
            <w:proofErr w:type="spellEnd"/>
            <w:r w:rsidRPr="00663397">
              <w:rPr>
                <w:sz w:val="20"/>
                <w:szCs w:val="20"/>
              </w:rPr>
              <w:t xml:space="preserve"> </w:t>
            </w:r>
            <w:proofErr w:type="spellStart"/>
            <w:r w:rsidRPr="00663397">
              <w:rPr>
                <w:sz w:val="20"/>
                <w:szCs w:val="20"/>
              </w:rPr>
              <w:t>federal</w:t>
            </w:r>
            <w:proofErr w:type="spellEnd"/>
            <w:r w:rsidRPr="00663397">
              <w:rPr>
                <w:sz w:val="20"/>
                <w:szCs w:val="20"/>
              </w:rPr>
              <w:t xml:space="preserve"> </w:t>
            </w:r>
            <w:proofErr w:type="spellStart"/>
            <w:r w:rsidRPr="00663397">
              <w:rPr>
                <w:sz w:val="20"/>
                <w:szCs w:val="20"/>
              </w:rPr>
              <w:t>question</w:t>
            </w:r>
            <w:proofErr w:type="spellEnd"/>
            <w:r w:rsidRPr="00663397">
              <w:rPr>
                <w:sz w:val="20"/>
                <w:szCs w:val="20"/>
              </w:rPr>
              <w:t>“</w:t>
            </w:r>
            <w:r w:rsidRPr="00663397">
              <w:rPr>
                <w:sz w:val="20"/>
                <w:szCs w:val="20"/>
                <w:vertAlign w:val="superscript"/>
              </w:rPr>
              <w:footnoteReference w:id="1911"/>
            </w:r>
            <w:r w:rsidRPr="00663397">
              <w:rPr>
                <w:sz w:val="20"/>
                <w:szCs w:val="20"/>
              </w:rPr>
              <w:t xml:space="preserve">), die der Zuständigkeit des </w:t>
            </w:r>
            <w:r>
              <w:rPr>
                <w:sz w:val="20"/>
                <w:szCs w:val="20"/>
              </w:rPr>
              <w:t>U.S. Supreme Court</w:t>
            </w:r>
            <w:r w:rsidRPr="00663397">
              <w:rPr>
                <w:sz w:val="20"/>
                <w:szCs w:val="20"/>
              </w:rPr>
              <w:t xml:space="preserve"> unterfallen könne. Zu diesem Zuständigkeitsmaßstab sei der Verweis auf die Grundgesetze entscheidend. Doch die Verteidigung hält diesen Maßstab für verfehlt: Wenn ein Grundrecht, nämlich </w:t>
            </w:r>
            <w:r>
              <w:rPr>
                <w:sz w:val="20"/>
                <w:szCs w:val="20"/>
              </w:rPr>
              <w:t>z.B.</w:t>
            </w:r>
            <w:r w:rsidRPr="00663397">
              <w:rPr>
                <w:sz w:val="20"/>
                <w:szCs w:val="20"/>
              </w:rPr>
              <w:t xml:space="preserve"> die Berufsausübungsfreiheit entzogen worden sei, die sich indes in den Bedingungen für Glücksstreben verankere („</w:t>
            </w:r>
            <w:proofErr w:type="spellStart"/>
            <w:r w:rsidRPr="00663397">
              <w:rPr>
                <w:sz w:val="20"/>
                <w:szCs w:val="20"/>
              </w:rPr>
              <w:t>pursuit</w:t>
            </w:r>
            <w:proofErr w:type="spellEnd"/>
            <w:r w:rsidRPr="00663397">
              <w:rPr>
                <w:sz w:val="20"/>
                <w:szCs w:val="20"/>
              </w:rPr>
              <w:t xml:space="preserve"> of </w:t>
            </w:r>
            <w:proofErr w:type="spellStart"/>
            <w:r w:rsidRPr="00663397">
              <w:rPr>
                <w:sz w:val="20"/>
                <w:szCs w:val="20"/>
              </w:rPr>
              <w:t>happiness</w:t>
            </w:r>
            <w:proofErr w:type="spellEnd"/>
            <w:r w:rsidRPr="00663397">
              <w:rPr>
                <w:sz w:val="20"/>
                <w:szCs w:val="20"/>
              </w:rPr>
              <w:t xml:space="preserve">, </w:t>
            </w:r>
            <w:proofErr w:type="spellStart"/>
            <w:r w:rsidRPr="00663397">
              <w:rPr>
                <w:sz w:val="20"/>
                <w:szCs w:val="20"/>
              </w:rPr>
              <w:t>including</w:t>
            </w:r>
            <w:proofErr w:type="spellEnd"/>
            <w:r w:rsidRPr="00663397">
              <w:rPr>
                <w:sz w:val="20"/>
                <w:szCs w:val="20"/>
              </w:rPr>
              <w:t xml:space="preserve"> </w:t>
            </w:r>
            <w:proofErr w:type="spellStart"/>
            <w:r w:rsidRPr="00663397">
              <w:rPr>
                <w:sz w:val="20"/>
                <w:szCs w:val="20"/>
              </w:rPr>
              <w:t>therein</w:t>
            </w:r>
            <w:proofErr w:type="spellEnd"/>
            <w:r w:rsidRPr="00663397">
              <w:rPr>
                <w:sz w:val="20"/>
                <w:szCs w:val="20"/>
              </w:rPr>
              <w:t xml:space="preserve"> the </w:t>
            </w:r>
            <w:proofErr w:type="spellStart"/>
            <w:r w:rsidRPr="00663397">
              <w:rPr>
                <w:sz w:val="20"/>
                <w:szCs w:val="20"/>
              </w:rPr>
              <w:t>enjoyment</w:t>
            </w:r>
            <w:proofErr w:type="spellEnd"/>
            <w:r w:rsidRPr="00663397">
              <w:rPr>
                <w:sz w:val="20"/>
                <w:szCs w:val="20"/>
              </w:rPr>
              <w:t xml:space="preserve"> of </w:t>
            </w:r>
            <w:proofErr w:type="spellStart"/>
            <w:r w:rsidRPr="00663397">
              <w:rPr>
                <w:sz w:val="20"/>
                <w:szCs w:val="20"/>
              </w:rPr>
              <w:t>honors</w:t>
            </w:r>
            <w:proofErr w:type="spellEnd"/>
            <w:r w:rsidRPr="00663397">
              <w:rPr>
                <w:sz w:val="20"/>
                <w:szCs w:val="20"/>
              </w:rPr>
              <w:t xml:space="preserve"> and the </w:t>
            </w:r>
            <w:proofErr w:type="spellStart"/>
            <w:r w:rsidRPr="00663397">
              <w:rPr>
                <w:sz w:val="20"/>
                <w:szCs w:val="20"/>
              </w:rPr>
              <w:t>occupation</w:t>
            </w:r>
            <w:proofErr w:type="spellEnd"/>
            <w:r w:rsidRPr="00663397">
              <w:rPr>
                <w:sz w:val="20"/>
                <w:szCs w:val="20"/>
              </w:rPr>
              <w:t xml:space="preserve"> of </w:t>
            </w:r>
            <w:proofErr w:type="spellStart"/>
            <w:r w:rsidRPr="00663397">
              <w:rPr>
                <w:sz w:val="20"/>
                <w:szCs w:val="20"/>
              </w:rPr>
              <w:t>positions</w:t>
            </w:r>
            <w:proofErr w:type="spellEnd"/>
            <w:r w:rsidRPr="00663397">
              <w:rPr>
                <w:sz w:val="20"/>
                <w:szCs w:val="20"/>
              </w:rPr>
              <w:t xml:space="preserve"> of </w:t>
            </w:r>
            <w:proofErr w:type="spellStart"/>
            <w:r w:rsidRPr="00663397">
              <w:rPr>
                <w:sz w:val="20"/>
                <w:szCs w:val="20"/>
              </w:rPr>
              <w:t>public</w:t>
            </w:r>
            <w:proofErr w:type="spellEnd"/>
            <w:r w:rsidRPr="00663397">
              <w:rPr>
                <w:sz w:val="20"/>
                <w:szCs w:val="20"/>
              </w:rPr>
              <w:t xml:space="preserve"> </w:t>
            </w:r>
            <w:proofErr w:type="spellStart"/>
            <w:r w:rsidRPr="00663397">
              <w:rPr>
                <w:sz w:val="20"/>
                <w:szCs w:val="20"/>
              </w:rPr>
              <w:t>trust</w:t>
            </w:r>
            <w:proofErr w:type="spellEnd"/>
            <w:r w:rsidRPr="00663397">
              <w:rPr>
                <w:sz w:val="20"/>
                <w:szCs w:val="20"/>
              </w:rPr>
              <w:t xml:space="preserve"> and </w:t>
            </w:r>
            <w:proofErr w:type="spellStart"/>
            <w:r w:rsidRPr="00663397">
              <w:rPr>
                <w:sz w:val="20"/>
                <w:szCs w:val="20"/>
              </w:rPr>
              <w:t>emolument</w:t>
            </w:r>
            <w:proofErr w:type="spellEnd"/>
            <w:r w:rsidRPr="00663397">
              <w:rPr>
                <w:sz w:val="20"/>
                <w:szCs w:val="20"/>
              </w:rPr>
              <w:t>“</w:t>
            </w:r>
            <w:r w:rsidRPr="00663397">
              <w:rPr>
                <w:sz w:val="20"/>
                <w:szCs w:val="20"/>
                <w:vertAlign w:val="superscript"/>
              </w:rPr>
              <w:footnoteReference w:id="1912"/>
            </w:r>
            <w:r w:rsidRPr="00663397">
              <w:rPr>
                <w:sz w:val="20"/>
                <w:szCs w:val="20"/>
              </w:rPr>
              <w:t xml:space="preserve">), dann komme gerade daher dem </w:t>
            </w:r>
            <w:r>
              <w:rPr>
                <w:sz w:val="20"/>
                <w:szCs w:val="20"/>
              </w:rPr>
              <w:t>U.S. Supreme Court</w:t>
            </w:r>
            <w:r w:rsidRPr="00663397">
              <w:rPr>
                <w:sz w:val="20"/>
                <w:szCs w:val="20"/>
              </w:rPr>
              <w:t xml:space="preserve"> in jedem Fall eine Überprüfungspflicht zu („the </w:t>
            </w:r>
            <w:proofErr w:type="spellStart"/>
            <w:r w:rsidRPr="00663397">
              <w:rPr>
                <w:sz w:val="20"/>
                <w:szCs w:val="20"/>
              </w:rPr>
              <w:t>exercise</w:t>
            </w:r>
            <w:proofErr w:type="spellEnd"/>
            <w:r w:rsidRPr="00663397">
              <w:rPr>
                <w:sz w:val="20"/>
                <w:szCs w:val="20"/>
              </w:rPr>
              <w:t xml:space="preserve"> of absolute and </w:t>
            </w:r>
            <w:proofErr w:type="spellStart"/>
            <w:r w:rsidRPr="00663397">
              <w:rPr>
                <w:sz w:val="20"/>
                <w:szCs w:val="20"/>
              </w:rPr>
              <w:t>arbitrary</w:t>
            </w:r>
            <w:proofErr w:type="spellEnd"/>
            <w:r w:rsidRPr="00663397">
              <w:rPr>
                <w:sz w:val="20"/>
                <w:szCs w:val="20"/>
              </w:rPr>
              <w:t xml:space="preserve"> power by the State </w:t>
            </w:r>
            <w:proofErr w:type="spellStart"/>
            <w:r w:rsidRPr="00663397">
              <w:rPr>
                <w:sz w:val="20"/>
                <w:szCs w:val="20"/>
              </w:rPr>
              <w:t>or</w:t>
            </w:r>
            <w:proofErr w:type="spellEnd"/>
            <w:r w:rsidRPr="00663397">
              <w:rPr>
                <w:sz w:val="20"/>
                <w:szCs w:val="20"/>
              </w:rPr>
              <w:t xml:space="preserve"> </w:t>
            </w:r>
            <w:proofErr w:type="spellStart"/>
            <w:r w:rsidRPr="00663397">
              <w:rPr>
                <w:sz w:val="20"/>
                <w:szCs w:val="20"/>
              </w:rPr>
              <w:t>any</w:t>
            </w:r>
            <w:proofErr w:type="spellEnd"/>
            <w:r w:rsidRPr="00663397">
              <w:rPr>
                <w:sz w:val="20"/>
                <w:szCs w:val="20"/>
              </w:rPr>
              <w:t xml:space="preserve"> </w:t>
            </w:r>
            <w:proofErr w:type="spellStart"/>
            <w:r w:rsidRPr="00663397">
              <w:rPr>
                <w:sz w:val="20"/>
                <w:szCs w:val="20"/>
              </w:rPr>
              <w:t>department</w:t>
            </w:r>
            <w:proofErr w:type="spellEnd"/>
            <w:r w:rsidRPr="00663397">
              <w:rPr>
                <w:sz w:val="20"/>
                <w:szCs w:val="20"/>
              </w:rPr>
              <w:t xml:space="preserve"> </w:t>
            </w:r>
            <w:proofErr w:type="spellStart"/>
            <w:r w:rsidRPr="00663397">
              <w:rPr>
                <w:sz w:val="20"/>
                <w:szCs w:val="20"/>
              </w:rPr>
              <w:t>thereof</w:t>
            </w:r>
            <w:proofErr w:type="spellEnd"/>
            <w:r w:rsidRPr="00663397">
              <w:rPr>
                <w:sz w:val="20"/>
                <w:szCs w:val="20"/>
              </w:rPr>
              <w:t xml:space="preserve"> […] </w:t>
            </w:r>
            <w:proofErr w:type="spellStart"/>
            <w:r w:rsidRPr="00663397">
              <w:rPr>
                <w:sz w:val="20"/>
                <w:szCs w:val="20"/>
              </w:rPr>
              <w:t>is</w:t>
            </w:r>
            <w:proofErr w:type="spellEnd"/>
            <w:r w:rsidRPr="00663397">
              <w:rPr>
                <w:sz w:val="20"/>
                <w:szCs w:val="20"/>
              </w:rPr>
              <w:t xml:space="preserve"> </w:t>
            </w:r>
            <w:proofErr w:type="spellStart"/>
            <w:r w:rsidRPr="00663397">
              <w:rPr>
                <w:sz w:val="20"/>
                <w:szCs w:val="20"/>
              </w:rPr>
              <w:t>forbidden</w:t>
            </w:r>
            <w:proofErr w:type="spellEnd"/>
            <w:r w:rsidRPr="00663397">
              <w:rPr>
                <w:sz w:val="20"/>
                <w:szCs w:val="20"/>
              </w:rPr>
              <w:t>“</w:t>
            </w:r>
            <w:r w:rsidRPr="00663397">
              <w:rPr>
                <w:sz w:val="20"/>
                <w:szCs w:val="20"/>
                <w:vertAlign w:val="superscript"/>
                <w:lang w:val="en-US"/>
              </w:rPr>
              <w:footnoteReference w:id="1913"/>
            </w:r>
            <w:r w:rsidRPr="00663397">
              <w:rPr>
                <w:sz w:val="20"/>
                <w:szCs w:val="20"/>
              </w:rPr>
              <w:t>).</w:t>
            </w:r>
          </w:p>
          <w:p w14:paraId="2438179E" w14:textId="77777777" w:rsidR="00074551" w:rsidRPr="00663397" w:rsidRDefault="00074551" w:rsidP="00367133">
            <w:pPr>
              <w:jc w:val="both"/>
              <w:rPr>
                <w:sz w:val="20"/>
                <w:szCs w:val="20"/>
              </w:rPr>
            </w:pPr>
          </w:p>
        </w:tc>
      </w:tr>
      <w:tr w:rsidR="00074551" w:rsidRPr="00E50B51" w14:paraId="2AC8FEB8" w14:textId="77777777" w:rsidTr="00203768">
        <w:trPr>
          <w:cantSplit/>
          <w:trHeight w:val="3175"/>
        </w:trPr>
        <w:tc>
          <w:tcPr>
            <w:tcW w:w="293" w:type="pct"/>
            <w:shd w:val="clear" w:color="auto" w:fill="E7E6E6" w:themeFill="background2"/>
          </w:tcPr>
          <w:p w14:paraId="6181BCD6"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493645D1" w14:textId="77777777" w:rsidR="00074551" w:rsidRPr="00E50B51" w:rsidRDefault="00074551" w:rsidP="00367133">
            <w:pPr>
              <w:ind w:left="113" w:right="416"/>
              <w:jc w:val="both"/>
              <w:rPr>
                <w:sz w:val="20"/>
                <w:szCs w:val="20"/>
                <w:lang w:val="en-US"/>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4221483B" w14:textId="77777777" w:rsidR="00074551" w:rsidRPr="00B45592" w:rsidRDefault="00074551" w:rsidP="00367133">
            <w:pPr>
              <w:ind w:left="113" w:right="113"/>
              <w:jc w:val="both"/>
              <w:rPr>
                <w:iCs/>
                <w:sz w:val="20"/>
                <w:szCs w:val="20"/>
              </w:rPr>
            </w:pPr>
            <w:r w:rsidRPr="00B45592">
              <w:rPr>
                <w:iCs/>
                <w:sz w:val="20"/>
                <w:szCs w:val="20"/>
              </w:rPr>
              <w:t xml:space="preserve">Case </w:t>
            </w:r>
            <w:proofErr w:type="spellStart"/>
            <w:r w:rsidRPr="00B45592">
              <w:rPr>
                <w:iCs/>
                <w:sz w:val="20"/>
                <w:szCs w:val="20"/>
              </w:rPr>
              <w:t>or</w:t>
            </w:r>
            <w:proofErr w:type="spellEnd"/>
            <w:r w:rsidRPr="00B45592">
              <w:rPr>
                <w:iCs/>
                <w:sz w:val="20"/>
                <w:szCs w:val="20"/>
              </w:rPr>
              <w:t xml:space="preserve"> </w:t>
            </w:r>
            <w:proofErr w:type="spellStart"/>
            <w:r w:rsidRPr="00B45592">
              <w:rPr>
                <w:iCs/>
                <w:sz w:val="20"/>
                <w:szCs w:val="20"/>
              </w:rPr>
              <w:t>Controversy</w:t>
            </w:r>
            <w:proofErr w:type="spellEnd"/>
          </w:p>
          <w:p w14:paraId="11DCC917" w14:textId="77777777" w:rsidR="00074551" w:rsidRPr="0065711D" w:rsidRDefault="00074551" w:rsidP="00367133">
            <w:pPr>
              <w:ind w:left="113" w:right="113"/>
              <w:jc w:val="both"/>
              <w:rPr>
                <w:iCs/>
                <w:sz w:val="20"/>
                <w:szCs w:val="20"/>
                <w:lang w:val="en-US"/>
              </w:rPr>
            </w:pPr>
          </w:p>
        </w:tc>
        <w:tc>
          <w:tcPr>
            <w:tcW w:w="306" w:type="pct"/>
            <w:shd w:val="clear" w:color="auto" w:fill="E7E6E6" w:themeFill="background2"/>
            <w:textDirection w:val="tbRl"/>
            <w:vAlign w:val="center"/>
          </w:tcPr>
          <w:p w14:paraId="5E1B4009" w14:textId="77777777" w:rsidR="00074551" w:rsidRPr="00B45592" w:rsidRDefault="00074551" w:rsidP="00367133">
            <w:pPr>
              <w:ind w:left="113" w:right="113"/>
              <w:jc w:val="both"/>
              <w:rPr>
                <w:iCs/>
                <w:sz w:val="20"/>
                <w:szCs w:val="20"/>
              </w:rPr>
            </w:pPr>
            <w:proofErr w:type="spellStart"/>
            <w:r w:rsidRPr="00B45592">
              <w:rPr>
                <w:iCs/>
                <w:sz w:val="20"/>
                <w:szCs w:val="20"/>
              </w:rPr>
              <w:t>Judiciary</w:t>
            </w:r>
            <w:proofErr w:type="spellEnd"/>
          </w:p>
          <w:p w14:paraId="56747A73" w14:textId="77777777" w:rsidR="00074551" w:rsidRPr="0065711D" w:rsidRDefault="00074551" w:rsidP="00367133">
            <w:pPr>
              <w:ind w:left="113" w:right="113"/>
              <w:jc w:val="both"/>
              <w:rPr>
                <w:iCs/>
                <w:sz w:val="20"/>
                <w:szCs w:val="20"/>
                <w:lang w:val="en-US"/>
              </w:rPr>
            </w:pPr>
          </w:p>
        </w:tc>
        <w:tc>
          <w:tcPr>
            <w:tcW w:w="401" w:type="pct"/>
            <w:shd w:val="clear" w:color="auto" w:fill="E7E6E6" w:themeFill="background2"/>
          </w:tcPr>
          <w:p w14:paraId="4D8A7E2B"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55172324" w14:textId="77777777" w:rsidR="00074551" w:rsidRPr="00E50B51" w:rsidRDefault="00074551" w:rsidP="00367133">
            <w:pPr>
              <w:jc w:val="both"/>
              <w:rPr>
                <w:sz w:val="20"/>
                <w:szCs w:val="20"/>
                <w:lang w:val="en-US"/>
              </w:rPr>
            </w:pPr>
          </w:p>
        </w:tc>
        <w:tc>
          <w:tcPr>
            <w:tcW w:w="1822" w:type="pct"/>
            <w:shd w:val="clear" w:color="auto" w:fill="E7E6E6" w:themeFill="background2"/>
          </w:tcPr>
          <w:p w14:paraId="73AC0F04" w14:textId="63F537CE"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9A359F" w14:paraId="3615DAFC" w14:textId="77777777" w:rsidTr="00BE689F">
        <w:trPr>
          <w:cantSplit/>
          <w:trHeight w:val="3175"/>
        </w:trPr>
        <w:tc>
          <w:tcPr>
            <w:tcW w:w="293" w:type="pct"/>
          </w:tcPr>
          <w:p w14:paraId="7BE0B2D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63974FC" w14:textId="77777777" w:rsidR="00074551" w:rsidRPr="00E50B51" w:rsidRDefault="00074551" w:rsidP="00367133">
            <w:pPr>
              <w:ind w:left="113" w:right="416"/>
              <w:jc w:val="both"/>
              <w:rPr>
                <w:sz w:val="20"/>
                <w:szCs w:val="20"/>
                <w:lang w:val="en-US"/>
              </w:rPr>
            </w:pPr>
            <w:r w:rsidRPr="00A15962">
              <w:rPr>
                <w:i/>
                <w:sz w:val="20"/>
                <w:szCs w:val="20"/>
              </w:rPr>
              <w:t>Bell v. Maryland</w:t>
            </w:r>
          </w:p>
        </w:tc>
        <w:tc>
          <w:tcPr>
            <w:tcW w:w="197" w:type="pct"/>
            <w:textDirection w:val="tbRl"/>
            <w:vAlign w:val="center"/>
          </w:tcPr>
          <w:p w14:paraId="1549DF0F" w14:textId="77777777" w:rsidR="00074551" w:rsidRPr="00E50B51" w:rsidRDefault="00074551" w:rsidP="00367133">
            <w:pPr>
              <w:ind w:left="113" w:right="113"/>
              <w:jc w:val="both"/>
              <w:rPr>
                <w:iCs/>
                <w:sz w:val="20"/>
                <w:szCs w:val="20"/>
                <w:lang w:val="en-US"/>
              </w:rPr>
            </w:pPr>
            <w:r w:rsidRPr="00E50B51">
              <w:rPr>
                <w:sz w:val="20"/>
                <w:szCs w:val="20"/>
                <w:lang w:val="en-US"/>
              </w:rPr>
              <w:t>378 U.S. 226</w:t>
            </w:r>
          </w:p>
        </w:tc>
        <w:tc>
          <w:tcPr>
            <w:tcW w:w="306" w:type="pct"/>
            <w:textDirection w:val="tbRl"/>
            <w:vAlign w:val="center"/>
          </w:tcPr>
          <w:p w14:paraId="4DFF117F" w14:textId="77777777" w:rsidR="00074551" w:rsidRPr="00E50B51" w:rsidRDefault="00074551" w:rsidP="00367133">
            <w:pPr>
              <w:ind w:left="113" w:right="113"/>
              <w:jc w:val="both"/>
              <w:rPr>
                <w:sz w:val="20"/>
                <w:szCs w:val="20"/>
              </w:rPr>
            </w:pPr>
            <w:r w:rsidRPr="00E50B51">
              <w:rPr>
                <w:sz w:val="20"/>
                <w:szCs w:val="20"/>
              </w:rPr>
              <w:t>22. Juni 1964</w:t>
            </w:r>
          </w:p>
        </w:tc>
        <w:tc>
          <w:tcPr>
            <w:tcW w:w="401" w:type="pct"/>
          </w:tcPr>
          <w:p w14:paraId="4D4F272D" w14:textId="77777777" w:rsidR="00074551" w:rsidRPr="00E50B51" w:rsidRDefault="00074551" w:rsidP="00367133">
            <w:pPr>
              <w:jc w:val="center"/>
              <w:rPr>
                <w:sz w:val="20"/>
                <w:szCs w:val="20"/>
                <w:lang w:val="en-US"/>
              </w:rPr>
            </w:pPr>
            <w:r w:rsidRPr="00E50B51">
              <w:rPr>
                <w:sz w:val="20"/>
                <w:szCs w:val="20"/>
              </w:rPr>
              <w:t>C</w:t>
            </w:r>
          </w:p>
        </w:tc>
        <w:tc>
          <w:tcPr>
            <w:tcW w:w="1594" w:type="pct"/>
          </w:tcPr>
          <w:p w14:paraId="709ED4B8"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18537BDA" w14:textId="2B7E7C48" w:rsidR="00074551" w:rsidRDefault="00074551" w:rsidP="00367133">
            <w:pPr>
              <w:jc w:val="both"/>
              <w:rPr>
                <w:sz w:val="20"/>
                <w:szCs w:val="20"/>
              </w:rPr>
            </w:pPr>
            <w:r w:rsidRPr="00112643">
              <w:rPr>
                <w:sz w:val="20"/>
                <w:szCs w:val="20"/>
              </w:rPr>
              <w:t xml:space="preserve">Bei Fragen des bundesstaatlichen Rechts übe der </w:t>
            </w:r>
            <w:r>
              <w:rPr>
                <w:sz w:val="20"/>
                <w:szCs w:val="20"/>
              </w:rPr>
              <w:t>U.S. Supreme Court</w:t>
            </w:r>
            <w:r w:rsidRPr="00112643">
              <w:rPr>
                <w:sz w:val="20"/>
                <w:szCs w:val="20"/>
              </w:rPr>
              <w:t xml:space="preserve"> gegenüber Gerichten der Bundesstaaten Zurückhaltung aus, gemäß seiner ständigen Rechtsprechung. Denn der </w:t>
            </w:r>
            <w:r>
              <w:rPr>
                <w:sz w:val="20"/>
                <w:szCs w:val="20"/>
              </w:rPr>
              <w:t>U.S. Supreme Court</w:t>
            </w:r>
            <w:r w:rsidRPr="00112643">
              <w:rPr>
                <w:sz w:val="20"/>
                <w:szCs w:val="20"/>
              </w:rPr>
              <w:t xml:space="preserve"> gibt sich selbst vor, grundsätzlich nicht zu Fragen der bundesstaatlichen Verfassungen zu entscheiden.</w:t>
            </w:r>
            <w:r w:rsidRPr="00112643">
              <w:rPr>
                <w:sz w:val="20"/>
                <w:szCs w:val="20"/>
                <w:vertAlign w:val="superscript"/>
              </w:rPr>
              <w:footnoteReference w:id="1914"/>
            </w:r>
            <w:r w:rsidRPr="00112643">
              <w:rPr>
                <w:sz w:val="20"/>
                <w:szCs w:val="20"/>
              </w:rPr>
              <w:t xml:space="preserve"> Nur wenn sich eine Frage des bundesstaatlichen Rechts mit grundlegender Bedeutung stelle („</w:t>
            </w:r>
            <w:proofErr w:type="spellStart"/>
            <w:r w:rsidRPr="00112643">
              <w:rPr>
                <w:sz w:val="20"/>
                <w:szCs w:val="20"/>
              </w:rPr>
              <w:t>supervening</w:t>
            </w:r>
            <w:proofErr w:type="spellEnd"/>
            <w:r w:rsidRPr="00112643">
              <w:rPr>
                <w:sz w:val="20"/>
                <w:szCs w:val="20"/>
              </w:rPr>
              <w:t xml:space="preserve"> </w:t>
            </w:r>
            <w:proofErr w:type="spellStart"/>
            <w:r w:rsidRPr="00112643">
              <w:rPr>
                <w:sz w:val="20"/>
                <w:szCs w:val="20"/>
              </w:rPr>
              <w:t>event</w:t>
            </w:r>
            <w:proofErr w:type="spellEnd"/>
            <w:r w:rsidRPr="00112643">
              <w:rPr>
                <w:sz w:val="20"/>
                <w:szCs w:val="20"/>
              </w:rPr>
              <w:t xml:space="preserve"> </w:t>
            </w:r>
            <w:proofErr w:type="spellStart"/>
            <w:r w:rsidRPr="00112643">
              <w:rPr>
                <w:sz w:val="20"/>
                <w:szCs w:val="20"/>
              </w:rPr>
              <w:t>raises</w:t>
            </w:r>
            <w:proofErr w:type="spellEnd"/>
            <w:r w:rsidRPr="00112643">
              <w:rPr>
                <w:sz w:val="20"/>
                <w:szCs w:val="20"/>
              </w:rPr>
              <w:t xml:space="preserve"> a </w:t>
            </w:r>
            <w:proofErr w:type="spellStart"/>
            <w:r w:rsidRPr="00112643">
              <w:rPr>
                <w:sz w:val="20"/>
                <w:szCs w:val="20"/>
              </w:rPr>
              <w:t>question</w:t>
            </w:r>
            <w:proofErr w:type="spellEnd"/>
            <w:r w:rsidRPr="00112643">
              <w:rPr>
                <w:sz w:val="20"/>
                <w:szCs w:val="20"/>
              </w:rPr>
              <w:t xml:space="preserve"> of </w:t>
            </w:r>
            <w:proofErr w:type="spellStart"/>
            <w:r w:rsidRPr="00112643">
              <w:rPr>
                <w:sz w:val="20"/>
                <w:szCs w:val="20"/>
              </w:rPr>
              <w:t>state</w:t>
            </w:r>
            <w:proofErr w:type="spellEnd"/>
            <w:r w:rsidRPr="00112643">
              <w:rPr>
                <w:sz w:val="20"/>
                <w:szCs w:val="20"/>
              </w:rPr>
              <w:t xml:space="preserve"> </w:t>
            </w:r>
            <w:proofErr w:type="spellStart"/>
            <w:r w:rsidRPr="00112643">
              <w:rPr>
                <w:sz w:val="20"/>
                <w:szCs w:val="20"/>
              </w:rPr>
              <w:t>law</w:t>
            </w:r>
            <w:proofErr w:type="spellEnd"/>
            <w:r w:rsidRPr="00112643">
              <w:rPr>
                <w:sz w:val="20"/>
                <w:szCs w:val="20"/>
              </w:rPr>
              <w:t>“</w:t>
            </w:r>
            <w:r w:rsidRPr="00112643">
              <w:rPr>
                <w:sz w:val="20"/>
                <w:szCs w:val="20"/>
                <w:vertAlign w:val="superscript"/>
              </w:rPr>
              <w:footnoteReference w:id="1915"/>
            </w:r>
            <w:r w:rsidRPr="00112643">
              <w:rPr>
                <w:sz w:val="20"/>
                <w:szCs w:val="20"/>
              </w:rPr>
              <w:t xml:space="preserve">), dann </w:t>
            </w:r>
            <w:r>
              <w:rPr>
                <w:sz w:val="20"/>
                <w:szCs w:val="20"/>
              </w:rPr>
              <w:t>dürfe</w:t>
            </w:r>
            <w:r w:rsidRPr="00112643">
              <w:rPr>
                <w:sz w:val="20"/>
                <w:szCs w:val="20"/>
              </w:rPr>
              <w:t xml:space="preserve"> der </w:t>
            </w:r>
            <w:r>
              <w:rPr>
                <w:sz w:val="20"/>
                <w:szCs w:val="20"/>
              </w:rPr>
              <w:t>U.S. Supreme Court</w:t>
            </w:r>
            <w:r w:rsidRPr="00112643">
              <w:rPr>
                <w:sz w:val="20"/>
                <w:szCs w:val="20"/>
              </w:rPr>
              <w:t xml:space="preserve"> entscheiden – aber unter Achtung der Besonderheiten des Bundesstaats. Das mein</w:t>
            </w:r>
            <w:r>
              <w:rPr>
                <w:sz w:val="20"/>
                <w:szCs w:val="20"/>
              </w:rPr>
              <w:t>e</w:t>
            </w:r>
            <w:r w:rsidRPr="00112643">
              <w:rPr>
                <w:sz w:val="20"/>
                <w:szCs w:val="20"/>
              </w:rPr>
              <w:t xml:space="preserve"> aber nicht, dass der </w:t>
            </w:r>
            <w:r>
              <w:rPr>
                <w:sz w:val="20"/>
                <w:szCs w:val="20"/>
              </w:rPr>
              <w:t>U.S. Supreme Court</w:t>
            </w:r>
            <w:r w:rsidRPr="00112643">
              <w:rPr>
                <w:sz w:val="20"/>
                <w:szCs w:val="20"/>
              </w:rPr>
              <w:t xml:space="preserve"> selbst entscheide, sondern dass er das</w:t>
            </w:r>
            <w:r>
              <w:rPr>
                <w:sz w:val="20"/>
                <w:szCs w:val="20"/>
              </w:rPr>
              <w:t xml:space="preserve"> das</w:t>
            </w:r>
            <w:r w:rsidRPr="00112643">
              <w:rPr>
                <w:sz w:val="20"/>
                <w:szCs w:val="20"/>
              </w:rPr>
              <w:t xml:space="preserve"> Bundesrecht betreffende Urteil aufhebe – und die Sache an das Gericht des Bundesstaates zurückverweise.</w:t>
            </w:r>
            <w:r w:rsidRPr="00112643">
              <w:rPr>
                <w:sz w:val="20"/>
                <w:szCs w:val="20"/>
                <w:vertAlign w:val="superscript"/>
              </w:rPr>
              <w:footnoteReference w:id="1916"/>
            </w:r>
            <w:r w:rsidRPr="00112643">
              <w:rPr>
                <w:sz w:val="20"/>
                <w:szCs w:val="20"/>
              </w:rPr>
              <w:t xml:space="preserve"> Nach der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112643">
              <w:rPr>
                <w:sz w:val="20"/>
                <w:szCs w:val="20"/>
              </w:rPr>
              <w:t xml:space="preserve"> entsteht diese grundlegende Bedeutung</w:t>
            </w:r>
            <w:r>
              <w:rPr>
                <w:sz w:val="20"/>
                <w:szCs w:val="20"/>
              </w:rPr>
              <w:t xml:space="preserve"> von Rechtsfragen</w:t>
            </w:r>
            <w:r w:rsidRPr="00112643">
              <w:rPr>
                <w:sz w:val="20"/>
                <w:szCs w:val="20"/>
              </w:rPr>
              <w:t xml:space="preserve">, wenn unveräußerliche Rechte betroffen sind, wie das Streben nach Glück. Das drücke sich </w:t>
            </w:r>
            <w:r>
              <w:rPr>
                <w:sz w:val="20"/>
                <w:szCs w:val="20"/>
              </w:rPr>
              <w:t>z.B.</w:t>
            </w:r>
            <w:r w:rsidRPr="00112643">
              <w:rPr>
                <w:sz w:val="20"/>
                <w:szCs w:val="20"/>
              </w:rPr>
              <w:t xml:space="preserve"> in der Gleichheit von Bürgern aus („</w:t>
            </w:r>
            <w:proofErr w:type="spellStart"/>
            <w:r w:rsidRPr="00112643">
              <w:rPr>
                <w:sz w:val="20"/>
                <w:szCs w:val="20"/>
              </w:rPr>
              <w:t>inconsistency</w:t>
            </w:r>
            <w:proofErr w:type="spellEnd"/>
            <w:r w:rsidRPr="00112643">
              <w:rPr>
                <w:sz w:val="20"/>
                <w:szCs w:val="20"/>
              </w:rPr>
              <w:t xml:space="preserve"> </w:t>
            </w:r>
            <w:proofErr w:type="spellStart"/>
            <w:r w:rsidRPr="00112643">
              <w:rPr>
                <w:sz w:val="20"/>
                <w:szCs w:val="20"/>
              </w:rPr>
              <w:t>reflected</w:t>
            </w:r>
            <w:proofErr w:type="spellEnd"/>
            <w:r w:rsidRPr="00112643">
              <w:rPr>
                <w:sz w:val="20"/>
                <w:szCs w:val="20"/>
              </w:rPr>
              <w:t xml:space="preserve"> a fundamental </w:t>
            </w:r>
            <w:proofErr w:type="spellStart"/>
            <w:r w:rsidRPr="00112643">
              <w:rPr>
                <w:sz w:val="20"/>
                <w:szCs w:val="20"/>
              </w:rPr>
              <w:t>departure</w:t>
            </w:r>
            <w:proofErr w:type="spellEnd"/>
            <w:r w:rsidRPr="00112643">
              <w:rPr>
                <w:sz w:val="20"/>
                <w:szCs w:val="20"/>
              </w:rPr>
              <w:t xml:space="preserve"> </w:t>
            </w:r>
            <w:proofErr w:type="spellStart"/>
            <w:r w:rsidRPr="00112643">
              <w:rPr>
                <w:sz w:val="20"/>
                <w:szCs w:val="20"/>
              </w:rPr>
              <w:t>from</w:t>
            </w:r>
            <w:proofErr w:type="spellEnd"/>
            <w:r w:rsidRPr="00112643">
              <w:rPr>
                <w:sz w:val="20"/>
                <w:szCs w:val="20"/>
              </w:rPr>
              <w:t xml:space="preserve"> the American </w:t>
            </w:r>
            <w:proofErr w:type="spellStart"/>
            <w:r w:rsidRPr="00112643">
              <w:rPr>
                <w:sz w:val="20"/>
                <w:szCs w:val="20"/>
              </w:rPr>
              <w:t>creed</w:t>
            </w:r>
            <w:proofErr w:type="spellEnd"/>
            <w:r w:rsidRPr="00112643">
              <w:rPr>
                <w:sz w:val="20"/>
                <w:szCs w:val="20"/>
              </w:rPr>
              <w:t>“</w:t>
            </w:r>
            <w:r w:rsidRPr="00112643">
              <w:rPr>
                <w:sz w:val="20"/>
                <w:szCs w:val="20"/>
                <w:vertAlign w:val="superscript"/>
              </w:rPr>
              <w:footnoteReference w:id="1917"/>
            </w:r>
            <w:r w:rsidRPr="00112643">
              <w:rPr>
                <w:sz w:val="20"/>
                <w:szCs w:val="20"/>
              </w:rPr>
              <w:t xml:space="preserve">). Diesen Gleichheitssatz konkretisiere der Gesetzgeber zwar in den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 XIV und XV.</w:t>
            </w:r>
            <w:r w:rsidRPr="00112643">
              <w:rPr>
                <w:sz w:val="20"/>
                <w:szCs w:val="20"/>
              </w:rPr>
              <w:t xml:space="preserve"> Aber diese Verfassungsänderungen </w:t>
            </w:r>
            <w:r>
              <w:rPr>
                <w:sz w:val="20"/>
                <w:szCs w:val="20"/>
              </w:rPr>
              <w:t>seien</w:t>
            </w:r>
            <w:r w:rsidRPr="00112643">
              <w:rPr>
                <w:sz w:val="20"/>
                <w:szCs w:val="20"/>
              </w:rPr>
              <w:t xml:space="preserve"> überhaupt nötig</w:t>
            </w:r>
            <w:r>
              <w:rPr>
                <w:sz w:val="20"/>
                <w:szCs w:val="20"/>
              </w:rPr>
              <w:t xml:space="preserve"> gewesen</w:t>
            </w:r>
            <w:r w:rsidRPr="00112643">
              <w:rPr>
                <w:sz w:val="20"/>
                <w:szCs w:val="20"/>
              </w:rPr>
              <w:t xml:space="preserve">, weil sich die </w:t>
            </w:r>
            <w:r>
              <w:rPr>
                <w:sz w:val="20"/>
                <w:szCs w:val="20"/>
              </w:rPr>
              <w:t>U.S.</w:t>
            </w:r>
            <w:r w:rsidRPr="00112643">
              <w:rPr>
                <w:sz w:val="20"/>
                <w:szCs w:val="20"/>
              </w:rPr>
              <w:t xml:space="preserve"> </w:t>
            </w:r>
            <w:proofErr w:type="spellStart"/>
            <w:r w:rsidRPr="00112643">
              <w:rPr>
                <w:sz w:val="20"/>
                <w:szCs w:val="20"/>
              </w:rPr>
              <w:t>Const</w:t>
            </w:r>
            <w:proofErr w:type="spellEnd"/>
            <w:r w:rsidRPr="00112643">
              <w:rPr>
                <w:sz w:val="20"/>
                <w:szCs w:val="20"/>
              </w:rPr>
              <w:t xml:space="preserve">. zu weit vom Verfassungsideal der unveräußerlichen Rechte entfernt </w:t>
            </w:r>
            <w:r>
              <w:rPr>
                <w:sz w:val="20"/>
                <w:szCs w:val="20"/>
              </w:rPr>
              <w:t>hätte</w:t>
            </w:r>
            <w:r w:rsidRPr="00112643">
              <w:rPr>
                <w:sz w:val="20"/>
                <w:szCs w:val="20"/>
              </w:rPr>
              <w:t>, sodass Freiheit und Gleichheit Korrekturen bedurften („</w:t>
            </w:r>
            <w:proofErr w:type="spellStart"/>
            <w:r w:rsidRPr="00112643">
              <w:rPr>
                <w:sz w:val="20"/>
                <w:szCs w:val="20"/>
              </w:rPr>
              <w:t>freedom</w:t>
            </w:r>
            <w:proofErr w:type="spellEnd"/>
            <w:r w:rsidRPr="00112643">
              <w:rPr>
                <w:sz w:val="20"/>
                <w:szCs w:val="20"/>
              </w:rPr>
              <w:t xml:space="preserve"> and </w:t>
            </w:r>
            <w:proofErr w:type="spellStart"/>
            <w:r w:rsidRPr="00112643">
              <w:rPr>
                <w:sz w:val="20"/>
                <w:szCs w:val="20"/>
              </w:rPr>
              <w:t>equality</w:t>
            </w:r>
            <w:proofErr w:type="spellEnd"/>
            <w:r w:rsidRPr="00112643">
              <w:rPr>
                <w:sz w:val="20"/>
                <w:szCs w:val="20"/>
              </w:rPr>
              <w:t xml:space="preserve"> </w:t>
            </w:r>
            <w:proofErr w:type="spellStart"/>
            <w:r w:rsidRPr="00112643">
              <w:rPr>
                <w:sz w:val="20"/>
                <w:szCs w:val="20"/>
              </w:rPr>
              <w:t>were</w:t>
            </w:r>
            <w:proofErr w:type="spellEnd"/>
            <w:r w:rsidRPr="00112643">
              <w:rPr>
                <w:sz w:val="20"/>
                <w:szCs w:val="20"/>
              </w:rPr>
              <w:t xml:space="preserve"> </w:t>
            </w:r>
            <w:proofErr w:type="spellStart"/>
            <w:r w:rsidRPr="00112643">
              <w:rPr>
                <w:sz w:val="20"/>
                <w:szCs w:val="20"/>
              </w:rPr>
              <w:t>guaranteed</w:t>
            </w:r>
            <w:proofErr w:type="spellEnd"/>
            <w:r w:rsidRPr="00112643">
              <w:rPr>
                <w:sz w:val="20"/>
                <w:szCs w:val="20"/>
              </w:rPr>
              <w:t xml:space="preserve"> </w:t>
            </w:r>
            <w:proofErr w:type="spellStart"/>
            <w:r w:rsidRPr="00112643">
              <w:rPr>
                <w:sz w:val="20"/>
                <w:szCs w:val="20"/>
              </w:rPr>
              <w:t>expressly</w:t>
            </w:r>
            <w:proofErr w:type="spellEnd"/>
            <w:r w:rsidRPr="00112643">
              <w:rPr>
                <w:sz w:val="20"/>
                <w:szCs w:val="20"/>
              </w:rPr>
              <w:t>“</w:t>
            </w:r>
            <w:r w:rsidRPr="00112643">
              <w:rPr>
                <w:sz w:val="20"/>
                <w:szCs w:val="20"/>
                <w:vertAlign w:val="superscript"/>
              </w:rPr>
              <w:footnoteReference w:id="1918"/>
            </w:r>
            <w:r w:rsidRPr="00112643">
              <w:rPr>
                <w:sz w:val="20"/>
                <w:szCs w:val="20"/>
              </w:rPr>
              <w:t xml:space="preserve">). Dennoch </w:t>
            </w:r>
            <w:r>
              <w:rPr>
                <w:sz w:val="20"/>
                <w:szCs w:val="20"/>
              </w:rPr>
              <w:t>hätten</w:t>
            </w:r>
            <w:r w:rsidRPr="00112643">
              <w:rPr>
                <w:sz w:val="20"/>
                <w:szCs w:val="20"/>
              </w:rPr>
              <w:t xml:space="preserve"> die Amendments die unveräußerlichen Rechte nicht in ihre Rechtsfolgen auf</w:t>
            </w:r>
            <w:r>
              <w:rPr>
                <w:sz w:val="20"/>
                <w:szCs w:val="20"/>
              </w:rPr>
              <w:t>genommen</w:t>
            </w:r>
            <w:r w:rsidRPr="00112643">
              <w:rPr>
                <w:sz w:val="20"/>
                <w:szCs w:val="20"/>
              </w:rPr>
              <w:t xml:space="preserve"> („Amendments </w:t>
            </w:r>
            <w:proofErr w:type="spellStart"/>
            <w:r w:rsidRPr="00112643">
              <w:rPr>
                <w:sz w:val="20"/>
                <w:szCs w:val="20"/>
              </w:rPr>
              <w:t>must</w:t>
            </w:r>
            <w:proofErr w:type="spellEnd"/>
            <w:r w:rsidRPr="00112643">
              <w:rPr>
                <w:sz w:val="20"/>
                <w:szCs w:val="20"/>
              </w:rPr>
              <w:t xml:space="preserve"> </w:t>
            </w:r>
            <w:proofErr w:type="spellStart"/>
            <w:r w:rsidRPr="00112643">
              <w:rPr>
                <w:sz w:val="20"/>
                <w:szCs w:val="20"/>
              </w:rPr>
              <w:t>be</w:t>
            </w:r>
            <w:proofErr w:type="spellEnd"/>
            <w:r w:rsidRPr="00112643">
              <w:rPr>
                <w:sz w:val="20"/>
                <w:szCs w:val="20"/>
              </w:rPr>
              <w:t xml:space="preserve"> </w:t>
            </w:r>
            <w:proofErr w:type="spellStart"/>
            <w:r w:rsidRPr="00112643">
              <w:rPr>
                <w:sz w:val="20"/>
                <w:szCs w:val="20"/>
              </w:rPr>
              <w:t>read</w:t>
            </w:r>
            <w:proofErr w:type="spellEnd"/>
            <w:r w:rsidRPr="00112643">
              <w:rPr>
                <w:sz w:val="20"/>
                <w:szCs w:val="20"/>
              </w:rPr>
              <w:t xml:space="preserve"> not as legislative </w:t>
            </w:r>
            <w:proofErr w:type="spellStart"/>
            <w:r w:rsidRPr="00112643">
              <w:rPr>
                <w:sz w:val="20"/>
                <w:szCs w:val="20"/>
              </w:rPr>
              <w:t>codes</w:t>
            </w:r>
            <w:proofErr w:type="spellEnd"/>
            <w:r w:rsidRPr="00112643">
              <w:rPr>
                <w:sz w:val="20"/>
                <w:szCs w:val="20"/>
              </w:rPr>
              <w:t>“</w:t>
            </w:r>
            <w:r w:rsidRPr="00112643">
              <w:rPr>
                <w:sz w:val="20"/>
                <w:szCs w:val="20"/>
                <w:vertAlign w:val="superscript"/>
              </w:rPr>
              <w:footnoteReference w:id="1919"/>
            </w:r>
            <w:r w:rsidRPr="00112643">
              <w:rPr>
                <w:sz w:val="20"/>
                <w:szCs w:val="20"/>
              </w:rPr>
              <w:t>). Denn die Amendments konkretisier</w:t>
            </w:r>
            <w:r>
              <w:rPr>
                <w:sz w:val="20"/>
                <w:szCs w:val="20"/>
              </w:rPr>
              <w:t>t</w:t>
            </w:r>
            <w:r w:rsidRPr="00112643">
              <w:rPr>
                <w:sz w:val="20"/>
                <w:szCs w:val="20"/>
              </w:rPr>
              <w:t xml:space="preserve">en die Staatsziele der unveräußerlichen Rechte, nach welchen die </w:t>
            </w:r>
            <w:r>
              <w:rPr>
                <w:sz w:val="20"/>
                <w:szCs w:val="20"/>
              </w:rPr>
              <w:t>U.S.</w:t>
            </w:r>
            <w:r w:rsidRPr="00112643">
              <w:rPr>
                <w:sz w:val="20"/>
                <w:szCs w:val="20"/>
              </w:rPr>
              <w:t xml:space="preserve"> </w:t>
            </w:r>
            <w:proofErr w:type="spellStart"/>
            <w:r w:rsidRPr="00112643">
              <w:rPr>
                <w:sz w:val="20"/>
                <w:szCs w:val="20"/>
              </w:rPr>
              <w:t>Const</w:t>
            </w:r>
            <w:proofErr w:type="spellEnd"/>
            <w:r w:rsidRPr="00112643">
              <w:rPr>
                <w:sz w:val="20"/>
                <w:szCs w:val="20"/>
              </w:rPr>
              <w:t>. weiter als fortbestehendes Instrument streben soll</w:t>
            </w:r>
            <w:r>
              <w:rPr>
                <w:sz w:val="20"/>
                <w:szCs w:val="20"/>
              </w:rPr>
              <w:t>e</w:t>
            </w:r>
            <w:r w:rsidRPr="00112643">
              <w:rPr>
                <w:sz w:val="20"/>
                <w:szCs w:val="20"/>
              </w:rPr>
              <w:t xml:space="preserve"> („</w:t>
            </w:r>
            <w:proofErr w:type="spellStart"/>
            <w:r w:rsidRPr="00112643">
              <w:rPr>
                <w:sz w:val="20"/>
                <w:szCs w:val="20"/>
              </w:rPr>
              <w:t>revelation</w:t>
            </w:r>
            <w:proofErr w:type="spellEnd"/>
            <w:r w:rsidRPr="00112643">
              <w:rPr>
                <w:sz w:val="20"/>
                <w:szCs w:val="20"/>
              </w:rPr>
              <w:t xml:space="preserve"> of the </w:t>
            </w:r>
            <w:proofErr w:type="spellStart"/>
            <w:r w:rsidRPr="00112643">
              <w:rPr>
                <w:sz w:val="20"/>
                <w:szCs w:val="20"/>
              </w:rPr>
              <w:t>great</w:t>
            </w:r>
            <w:proofErr w:type="spellEnd"/>
            <w:r w:rsidRPr="00112643">
              <w:rPr>
                <w:sz w:val="20"/>
                <w:szCs w:val="20"/>
              </w:rPr>
              <w:t xml:space="preserve"> </w:t>
            </w:r>
            <w:proofErr w:type="spellStart"/>
            <w:r w:rsidRPr="00112643">
              <w:rPr>
                <w:sz w:val="20"/>
                <w:szCs w:val="20"/>
              </w:rPr>
              <w:t>purposes</w:t>
            </w:r>
            <w:proofErr w:type="spellEnd"/>
            <w:r w:rsidRPr="00112643">
              <w:rPr>
                <w:sz w:val="20"/>
                <w:szCs w:val="20"/>
              </w:rPr>
              <w:t xml:space="preserve"> </w:t>
            </w:r>
            <w:proofErr w:type="spellStart"/>
            <w:r w:rsidRPr="00112643">
              <w:rPr>
                <w:sz w:val="20"/>
                <w:szCs w:val="20"/>
              </w:rPr>
              <w:t>which</w:t>
            </w:r>
            <w:proofErr w:type="spellEnd"/>
            <w:r w:rsidRPr="00112643">
              <w:rPr>
                <w:sz w:val="20"/>
                <w:szCs w:val="20"/>
              </w:rPr>
              <w:t xml:space="preserve"> </w:t>
            </w:r>
            <w:proofErr w:type="spellStart"/>
            <w:r w:rsidRPr="00112643">
              <w:rPr>
                <w:sz w:val="20"/>
                <w:szCs w:val="20"/>
              </w:rPr>
              <w:t>were</w:t>
            </w:r>
            <w:proofErr w:type="spellEnd"/>
            <w:r w:rsidRPr="00112643">
              <w:rPr>
                <w:sz w:val="20"/>
                <w:szCs w:val="20"/>
              </w:rPr>
              <w:t xml:space="preserve"> </w:t>
            </w:r>
            <w:proofErr w:type="spellStart"/>
            <w:r w:rsidRPr="00112643">
              <w:rPr>
                <w:sz w:val="20"/>
                <w:szCs w:val="20"/>
              </w:rPr>
              <w:t>intended</w:t>
            </w:r>
            <w:proofErr w:type="spellEnd"/>
            <w:r w:rsidRPr="00112643">
              <w:rPr>
                <w:sz w:val="20"/>
                <w:szCs w:val="20"/>
              </w:rPr>
              <w:t xml:space="preserve"> to </w:t>
            </w:r>
            <w:proofErr w:type="spellStart"/>
            <w:r w:rsidRPr="00112643">
              <w:rPr>
                <w:sz w:val="20"/>
                <w:szCs w:val="20"/>
              </w:rPr>
              <w:t>be</w:t>
            </w:r>
            <w:proofErr w:type="spellEnd"/>
            <w:r w:rsidRPr="00112643">
              <w:rPr>
                <w:sz w:val="20"/>
                <w:szCs w:val="20"/>
              </w:rPr>
              <w:t xml:space="preserve"> </w:t>
            </w:r>
            <w:proofErr w:type="spellStart"/>
            <w:r w:rsidRPr="00112643">
              <w:rPr>
                <w:sz w:val="20"/>
                <w:szCs w:val="20"/>
              </w:rPr>
              <w:t>achieved</w:t>
            </w:r>
            <w:proofErr w:type="spellEnd"/>
            <w:r w:rsidRPr="00112643">
              <w:rPr>
                <w:sz w:val="20"/>
                <w:szCs w:val="20"/>
              </w:rPr>
              <w:t xml:space="preserve"> by the </w:t>
            </w:r>
            <w:proofErr w:type="spellStart"/>
            <w:r w:rsidRPr="00112643">
              <w:rPr>
                <w:sz w:val="20"/>
                <w:szCs w:val="20"/>
              </w:rPr>
              <w:t>Constitution</w:t>
            </w:r>
            <w:proofErr w:type="spellEnd"/>
            <w:r w:rsidRPr="00112643">
              <w:rPr>
                <w:sz w:val="20"/>
                <w:szCs w:val="20"/>
              </w:rPr>
              <w:t xml:space="preserve"> as a </w:t>
            </w:r>
            <w:proofErr w:type="spellStart"/>
            <w:r w:rsidRPr="00112643">
              <w:rPr>
                <w:sz w:val="20"/>
                <w:szCs w:val="20"/>
              </w:rPr>
              <w:t>continuing</w:t>
            </w:r>
            <w:proofErr w:type="spellEnd"/>
            <w:r w:rsidRPr="00112643">
              <w:rPr>
                <w:sz w:val="20"/>
                <w:szCs w:val="20"/>
              </w:rPr>
              <w:t xml:space="preserve"> </w:t>
            </w:r>
            <w:proofErr w:type="spellStart"/>
            <w:r w:rsidRPr="00112643">
              <w:rPr>
                <w:sz w:val="20"/>
                <w:szCs w:val="20"/>
              </w:rPr>
              <w:t>instrument</w:t>
            </w:r>
            <w:proofErr w:type="spellEnd"/>
            <w:r w:rsidRPr="00112643">
              <w:rPr>
                <w:sz w:val="20"/>
                <w:szCs w:val="20"/>
              </w:rPr>
              <w:t xml:space="preserve"> of </w:t>
            </w:r>
            <w:proofErr w:type="spellStart"/>
            <w:r w:rsidRPr="00112643">
              <w:rPr>
                <w:sz w:val="20"/>
                <w:szCs w:val="20"/>
              </w:rPr>
              <w:t>government</w:t>
            </w:r>
            <w:proofErr w:type="spellEnd"/>
            <w:r w:rsidRPr="00112643">
              <w:rPr>
                <w:sz w:val="20"/>
                <w:szCs w:val="20"/>
              </w:rPr>
              <w:t>“</w:t>
            </w:r>
            <w:r w:rsidRPr="00112643">
              <w:rPr>
                <w:sz w:val="20"/>
                <w:szCs w:val="20"/>
                <w:vertAlign w:val="superscript"/>
              </w:rPr>
              <w:footnoteReference w:id="1920"/>
            </w:r>
            <w:r w:rsidRPr="00112643">
              <w:rPr>
                <w:sz w:val="20"/>
                <w:szCs w:val="20"/>
              </w:rPr>
              <w:t xml:space="preserve">). </w:t>
            </w:r>
            <w:r w:rsidR="008F0975" w:rsidRPr="008F0975">
              <w:rPr>
                <w:sz w:val="20"/>
                <w:szCs w:val="20"/>
              </w:rPr>
              <w:t xml:space="preserve">Daraus ergebe sich am Beispiel der </w:t>
            </w:r>
            <w:proofErr w:type="spellStart"/>
            <w:r w:rsidR="008F0975" w:rsidRPr="008F0975">
              <w:rPr>
                <w:sz w:val="20"/>
                <w:szCs w:val="20"/>
              </w:rPr>
              <w:t>Equal</w:t>
            </w:r>
            <w:proofErr w:type="spellEnd"/>
            <w:r w:rsidR="008F0975" w:rsidRPr="008F0975">
              <w:rPr>
                <w:sz w:val="20"/>
                <w:szCs w:val="20"/>
              </w:rPr>
              <w:t xml:space="preserve"> </w:t>
            </w:r>
            <w:proofErr w:type="spellStart"/>
            <w:r w:rsidR="008F0975" w:rsidRPr="008F0975">
              <w:rPr>
                <w:sz w:val="20"/>
                <w:szCs w:val="20"/>
              </w:rPr>
              <w:t>Protection</w:t>
            </w:r>
            <w:proofErr w:type="spellEnd"/>
            <w:r w:rsidR="008F0975" w:rsidRPr="008F0975">
              <w:rPr>
                <w:sz w:val="20"/>
                <w:szCs w:val="20"/>
              </w:rPr>
              <w:t xml:space="preserve"> </w:t>
            </w:r>
            <w:proofErr w:type="spellStart"/>
            <w:r w:rsidR="008F0975" w:rsidRPr="008F0975">
              <w:rPr>
                <w:sz w:val="20"/>
                <w:szCs w:val="20"/>
              </w:rPr>
              <w:t>Clause</w:t>
            </w:r>
            <w:proofErr w:type="spellEnd"/>
            <w:r w:rsidR="008F0975" w:rsidRPr="008F0975">
              <w:rPr>
                <w:sz w:val="20"/>
                <w:szCs w:val="20"/>
              </w:rPr>
              <w:t>, dass diese als Ausdruck eines fortdauernden Verfassungszwecks</w:t>
            </w:r>
            <w:r w:rsidR="008F0975">
              <w:rPr>
                <w:sz w:val="20"/>
                <w:szCs w:val="20"/>
              </w:rPr>
              <w:t xml:space="preserve"> oder Staatsziels</w:t>
            </w:r>
            <w:r w:rsidR="008F0975" w:rsidRPr="008F0975">
              <w:rPr>
                <w:sz w:val="20"/>
                <w:szCs w:val="20"/>
              </w:rPr>
              <w:t xml:space="preserve"> zu verstehen sei („</w:t>
            </w:r>
            <w:proofErr w:type="spellStart"/>
            <w:r w:rsidR="008F0975" w:rsidRPr="008F0975">
              <w:rPr>
                <w:sz w:val="20"/>
                <w:szCs w:val="20"/>
              </w:rPr>
              <w:t>Equal</w:t>
            </w:r>
            <w:proofErr w:type="spellEnd"/>
            <w:r w:rsidR="008F0975" w:rsidRPr="008F0975">
              <w:rPr>
                <w:sz w:val="20"/>
                <w:szCs w:val="20"/>
              </w:rPr>
              <w:t xml:space="preserve"> </w:t>
            </w:r>
            <w:proofErr w:type="spellStart"/>
            <w:r w:rsidR="008F0975" w:rsidRPr="008F0975">
              <w:rPr>
                <w:sz w:val="20"/>
                <w:szCs w:val="20"/>
              </w:rPr>
              <w:t>Protection</w:t>
            </w:r>
            <w:proofErr w:type="spellEnd"/>
            <w:r w:rsidR="008F0975" w:rsidRPr="008F0975">
              <w:rPr>
                <w:sz w:val="20"/>
                <w:szCs w:val="20"/>
              </w:rPr>
              <w:t xml:space="preserve"> </w:t>
            </w:r>
            <w:proofErr w:type="spellStart"/>
            <w:proofErr w:type="gramStart"/>
            <w:r w:rsidR="008F0975" w:rsidRPr="008F0975">
              <w:rPr>
                <w:sz w:val="20"/>
                <w:szCs w:val="20"/>
              </w:rPr>
              <w:t>Clause</w:t>
            </w:r>
            <w:proofErr w:type="spellEnd"/>
            <w:r w:rsidR="008F0975" w:rsidRPr="008F0975">
              <w:rPr>
                <w:sz w:val="20"/>
                <w:szCs w:val="20"/>
              </w:rPr>
              <w:t xml:space="preserve"> ,as</w:t>
            </w:r>
            <w:proofErr w:type="gramEnd"/>
            <w:r w:rsidR="008F0975" w:rsidRPr="008F0975">
              <w:rPr>
                <w:sz w:val="20"/>
                <w:szCs w:val="20"/>
              </w:rPr>
              <w:t xml:space="preserve"> the </w:t>
            </w:r>
            <w:proofErr w:type="spellStart"/>
            <w:r w:rsidR="008F0975" w:rsidRPr="008F0975">
              <w:rPr>
                <w:sz w:val="20"/>
                <w:szCs w:val="20"/>
              </w:rPr>
              <w:t>revelation</w:t>
            </w:r>
            <w:proofErr w:type="spellEnd"/>
            <w:r w:rsidR="008F0975" w:rsidRPr="008F0975">
              <w:rPr>
                <w:sz w:val="20"/>
                <w:szCs w:val="20"/>
              </w:rPr>
              <w:t xml:space="preserve">‘ of an </w:t>
            </w:r>
            <w:proofErr w:type="spellStart"/>
            <w:r w:rsidR="008F0975" w:rsidRPr="008F0975">
              <w:rPr>
                <w:sz w:val="20"/>
                <w:szCs w:val="20"/>
              </w:rPr>
              <w:t>enduring</w:t>
            </w:r>
            <w:proofErr w:type="spellEnd"/>
            <w:r w:rsidR="008F0975" w:rsidRPr="008F0975">
              <w:rPr>
                <w:sz w:val="20"/>
                <w:szCs w:val="20"/>
              </w:rPr>
              <w:t xml:space="preserve"> </w:t>
            </w:r>
            <w:proofErr w:type="spellStart"/>
            <w:r w:rsidR="008F0975" w:rsidRPr="008F0975">
              <w:rPr>
                <w:sz w:val="20"/>
                <w:szCs w:val="20"/>
              </w:rPr>
              <w:t>constitutional</w:t>
            </w:r>
            <w:proofErr w:type="spellEnd"/>
            <w:r w:rsidR="008F0975" w:rsidRPr="008F0975">
              <w:rPr>
                <w:sz w:val="20"/>
                <w:szCs w:val="20"/>
              </w:rPr>
              <w:t xml:space="preserve"> </w:t>
            </w:r>
            <w:proofErr w:type="spellStart"/>
            <w:r w:rsidR="008F0975" w:rsidRPr="008F0975">
              <w:rPr>
                <w:sz w:val="20"/>
                <w:szCs w:val="20"/>
              </w:rPr>
              <w:t>purpose</w:t>
            </w:r>
            <w:proofErr w:type="spellEnd"/>
            <w:r w:rsidR="008F0975" w:rsidRPr="008F0975">
              <w:rPr>
                <w:sz w:val="20"/>
                <w:szCs w:val="20"/>
              </w:rPr>
              <w:t>“</w:t>
            </w:r>
            <w:r w:rsidR="008F0975" w:rsidRPr="00112643">
              <w:rPr>
                <w:sz w:val="20"/>
                <w:szCs w:val="20"/>
                <w:vertAlign w:val="superscript"/>
              </w:rPr>
              <w:t xml:space="preserve"> </w:t>
            </w:r>
            <w:r w:rsidR="008F0975" w:rsidRPr="00112643">
              <w:rPr>
                <w:sz w:val="20"/>
                <w:szCs w:val="20"/>
                <w:vertAlign w:val="superscript"/>
              </w:rPr>
              <w:footnoteReference w:id="1921"/>
            </w:r>
            <w:r w:rsidR="008F0975" w:rsidRPr="008F0975">
              <w:rPr>
                <w:sz w:val="20"/>
                <w:szCs w:val="20"/>
              </w:rPr>
              <w:t xml:space="preserve">), der an das in der </w:t>
            </w:r>
            <w:r w:rsidR="008F0975" w:rsidRPr="008F0975">
              <w:rPr>
                <w:i/>
                <w:iCs/>
                <w:sz w:val="20"/>
                <w:szCs w:val="20"/>
              </w:rPr>
              <w:t>Declaration of Independence</w:t>
            </w:r>
            <w:r w:rsidR="008F0975" w:rsidRPr="008F0975">
              <w:rPr>
                <w:sz w:val="20"/>
                <w:szCs w:val="20"/>
              </w:rPr>
              <w:t xml:space="preserve"> formulierte Gleichheitsideal einschließlich des</w:t>
            </w:r>
            <w:r w:rsidR="008F0975">
              <w:rPr>
                <w:sz w:val="20"/>
                <w:szCs w:val="20"/>
              </w:rPr>
              <w:t xml:space="preserve"> Rechts auf</w:t>
            </w:r>
            <w:r w:rsidR="008F0975" w:rsidRPr="008F0975">
              <w:rPr>
                <w:sz w:val="20"/>
                <w:szCs w:val="20"/>
              </w:rPr>
              <w:t xml:space="preserve"> Strebens nach Glück anknüpfe.</w:t>
            </w:r>
            <w:r w:rsidR="008F0975">
              <w:rPr>
                <w:sz w:val="20"/>
                <w:szCs w:val="20"/>
              </w:rPr>
              <w:t xml:space="preserve"> </w:t>
            </w:r>
            <w:r w:rsidRPr="00B45592">
              <w:rPr>
                <w:sz w:val="20"/>
                <w:szCs w:val="20"/>
              </w:rPr>
              <w:t>Letzteres manifestiere sich z.B. beim gleichen Zugang zu öffentlichen Einrichtungen wie Theatern oder den der Öffentlichkeit faktisch zugänglichen Räumen wie Restaurants („</w:t>
            </w:r>
            <w:proofErr w:type="spellStart"/>
            <w:r w:rsidRPr="00B45592">
              <w:rPr>
                <w:sz w:val="20"/>
                <w:szCs w:val="20"/>
              </w:rPr>
              <w:t>theater</w:t>
            </w:r>
            <w:proofErr w:type="spellEnd"/>
            <w:r w:rsidRPr="00B45592">
              <w:rPr>
                <w:sz w:val="20"/>
                <w:szCs w:val="20"/>
              </w:rPr>
              <w:t xml:space="preserve"> and </w:t>
            </w:r>
            <w:proofErr w:type="spellStart"/>
            <w:r w:rsidRPr="00B45592">
              <w:rPr>
                <w:sz w:val="20"/>
                <w:szCs w:val="20"/>
              </w:rPr>
              <w:t>other</w:t>
            </w:r>
            <w:proofErr w:type="spellEnd"/>
            <w:r w:rsidRPr="00B45592">
              <w:rPr>
                <w:sz w:val="20"/>
                <w:szCs w:val="20"/>
              </w:rPr>
              <w:t xml:space="preserve"> </w:t>
            </w:r>
            <w:proofErr w:type="spellStart"/>
            <w:r w:rsidRPr="00B45592">
              <w:rPr>
                <w:sz w:val="20"/>
                <w:szCs w:val="20"/>
              </w:rPr>
              <w:t>places</w:t>
            </w:r>
            <w:proofErr w:type="spellEnd"/>
            <w:r w:rsidRPr="00B45592">
              <w:rPr>
                <w:sz w:val="20"/>
                <w:szCs w:val="20"/>
              </w:rPr>
              <w:t xml:space="preserve"> of </w:t>
            </w:r>
            <w:proofErr w:type="spellStart"/>
            <w:r w:rsidRPr="00B45592">
              <w:rPr>
                <w:sz w:val="20"/>
                <w:szCs w:val="20"/>
              </w:rPr>
              <w:t>public</w:t>
            </w:r>
            <w:proofErr w:type="spellEnd"/>
            <w:r w:rsidRPr="00B45592">
              <w:rPr>
                <w:sz w:val="20"/>
                <w:szCs w:val="20"/>
              </w:rPr>
              <w:t xml:space="preserve"> </w:t>
            </w:r>
            <w:proofErr w:type="spellStart"/>
            <w:r w:rsidRPr="00B45592">
              <w:rPr>
                <w:sz w:val="20"/>
                <w:szCs w:val="20"/>
              </w:rPr>
              <w:t>amusement</w:t>
            </w:r>
            <w:proofErr w:type="spellEnd"/>
            <w:r w:rsidRPr="00B45592">
              <w:rPr>
                <w:sz w:val="20"/>
                <w:szCs w:val="20"/>
              </w:rPr>
              <w:t xml:space="preserve"> […] </w:t>
            </w:r>
            <w:proofErr w:type="spellStart"/>
            <w:r w:rsidRPr="00B45592">
              <w:rPr>
                <w:sz w:val="20"/>
                <w:szCs w:val="20"/>
              </w:rPr>
              <w:t>are</w:t>
            </w:r>
            <w:proofErr w:type="spellEnd"/>
            <w:r w:rsidRPr="00B45592">
              <w:rPr>
                <w:sz w:val="20"/>
                <w:szCs w:val="20"/>
              </w:rPr>
              <w:t xml:space="preserve"> </w:t>
            </w:r>
            <w:proofErr w:type="spellStart"/>
            <w:r w:rsidRPr="00B45592">
              <w:rPr>
                <w:sz w:val="20"/>
                <w:szCs w:val="20"/>
              </w:rPr>
              <w:t>institutions</w:t>
            </w:r>
            <w:proofErr w:type="spellEnd"/>
            <w:r w:rsidRPr="00B45592">
              <w:rPr>
                <w:sz w:val="20"/>
                <w:szCs w:val="20"/>
              </w:rPr>
              <w:t xml:space="preserve"> </w:t>
            </w:r>
            <w:proofErr w:type="spellStart"/>
            <w:r w:rsidRPr="00B45592">
              <w:rPr>
                <w:sz w:val="20"/>
                <w:szCs w:val="20"/>
              </w:rPr>
              <w:t>whose</w:t>
            </w:r>
            <w:proofErr w:type="spellEnd"/>
            <w:r w:rsidRPr="00B45592">
              <w:rPr>
                <w:sz w:val="20"/>
                <w:szCs w:val="20"/>
              </w:rPr>
              <w:t xml:space="preserve"> </w:t>
            </w:r>
            <w:proofErr w:type="spellStart"/>
            <w:r w:rsidRPr="00B45592">
              <w:rPr>
                <w:sz w:val="20"/>
                <w:szCs w:val="20"/>
              </w:rPr>
              <w:t>peculiar</w:t>
            </w:r>
            <w:proofErr w:type="spellEnd"/>
            <w:r w:rsidRPr="00B45592">
              <w:rPr>
                <w:sz w:val="20"/>
                <w:szCs w:val="20"/>
              </w:rPr>
              <w:t xml:space="preserve"> </w:t>
            </w:r>
            <w:proofErr w:type="spellStart"/>
            <w:r w:rsidRPr="00B45592">
              <w:rPr>
                <w:sz w:val="20"/>
                <w:szCs w:val="20"/>
              </w:rPr>
              <w:t>object</w:t>
            </w:r>
            <w:proofErr w:type="spellEnd"/>
            <w:r w:rsidRPr="00B45592">
              <w:rPr>
                <w:sz w:val="20"/>
                <w:szCs w:val="20"/>
              </w:rPr>
              <w:t xml:space="preserve"> </w:t>
            </w:r>
            <w:proofErr w:type="spellStart"/>
            <w:r w:rsidRPr="00B45592">
              <w:rPr>
                <w:sz w:val="20"/>
                <w:szCs w:val="20"/>
              </w:rPr>
              <w:t>is</w:t>
            </w:r>
            <w:proofErr w:type="spellEnd"/>
            <w:r w:rsidRPr="00B45592">
              <w:rPr>
                <w:sz w:val="20"/>
                <w:szCs w:val="20"/>
              </w:rPr>
              <w:t xml:space="preserve"> </w:t>
            </w:r>
            <w:proofErr w:type="gramStart"/>
            <w:r w:rsidRPr="00B45592">
              <w:rPr>
                <w:sz w:val="20"/>
                <w:szCs w:val="20"/>
              </w:rPr>
              <w:t>the ,</w:t>
            </w:r>
            <w:proofErr w:type="spellStart"/>
            <w:r w:rsidRPr="00B45592">
              <w:rPr>
                <w:sz w:val="20"/>
                <w:szCs w:val="20"/>
              </w:rPr>
              <w:t>pursuit</w:t>
            </w:r>
            <w:proofErr w:type="spellEnd"/>
            <w:proofErr w:type="gramEnd"/>
            <w:r w:rsidRPr="00B45592">
              <w:rPr>
                <w:sz w:val="20"/>
                <w:szCs w:val="20"/>
              </w:rPr>
              <w:t xml:space="preserve"> of </w:t>
            </w:r>
            <w:proofErr w:type="spellStart"/>
            <w:r w:rsidRPr="00B45592">
              <w:rPr>
                <w:sz w:val="20"/>
                <w:szCs w:val="20"/>
              </w:rPr>
              <w:t>happiness</w:t>
            </w:r>
            <w:proofErr w:type="spellEnd"/>
            <w:r w:rsidRPr="00B45592">
              <w:rPr>
                <w:sz w:val="20"/>
                <w:szCs w:val="20"/>
              </w:rPr>
              <w:t xml:space="preserve">‘, </w:t>
            </w:r>
            <w:proofErr w:type="spellStart"/>
            <w:r w:rsidRPr="00B45592">
              <w:rPr>
                <w:sz w:val="20"/>
                <w:szCs w:val="20"/>
              </w:rPr>
              <w:t>which</w:t>
            </w:r>
            <w:proofErr w:type="spellEnd"/>
            <w:r w:rsidRPr="00B45592">
              <w:rPr>
                <w:sz w:val="20"/>
                <w:szCs w:val="20"/>
              </w:rPr>
              <w:t xml:space="preserve"> </w:t>
            </w:r>
            <w:proofErr w:type="spellStart"/>
            <w:r w:rsidRPr="00B45592">
              <w:rPr>
                <w:sz w:val="20"/>
                <w:szCs w:val="20"/>
              </w:rPr>
              <w:t>has</w:t>
            </w:r>
            <w:proofErr w:type="spellEnd"/>
            <w:r w:rsidRPr="00B45592">
              <w:rPr>
                <w:sz w:val="20"/>
                <w:szCs w:val="20"/>
              </w:rPr>
              <w:t xml:space="preserve"> </w:t>
            </w:r>
            <w:proofErr w:type="spellStart"/>
            <w:r w:rsidRPr="00B45592">
              <w:rPr>
                <w:sz w:val="20"/>
                <w:szCs w:val="20"/>
              </w:rPr>
              <w:t>been</w:t>
            </w:r>
            <w:proofErr w:type="spellEnd"/>
            <w:r w:rsidRPr="00B45592">
              <w:rPr>
                <w:sz w:val="20"/>
                <w:szCs w:val="20"/>
              </w:rPr>
              <w:t xml:space="preserve"> </w:t>
            </w:r>
            <w:proofErr w:type="spellStart"/>
            <w:r w:rsidRPr="00B45592">
              <w:rPr>
                <w:sz w:val="20"/>
                <w:szCs w:val="20"/>
              </w:rPr>
              <w:t>placed</w:t>
            </w:r>
            <w:proofErr w:type="spellEnd"/>
            <w:r w:rsidRPr="00B45592">
              <w:rPr>
                <w:sz w:val="20"/>
                <w:szCs w:val="20"/>
              </w:rPr>
              <w:t xml:space="preserve"> </w:t>
            </w:r>
            <w:proofErr w:type="spellStart"/>
            <w:r w:rsidRPr="00B45592">
              <w:rPr>
                <w:sz w:val="20"/>
                <w:szCs w:val="20"/>
              </w:rPr>
              <w:t>among</w:t>
            </w:r>
            <w:proofErr w:type="spellEnd"/>
            <w:r w:rsidRPr="00B45592">
              <w:rPr>
                <w:sz w:val="20"/>
                <w:szCs w:val="20"/>
              </w:rPr>
              <w:t xml:space="preserve"> the </w:t>
            </w:r>
            <w:proofErr w:type="spellStart"/>
            <w:r w:rsidRPr="00B45592">
              <w:rPr>
                <w:sz w:val="20"/>
                <w:szCs w:val="20"/>
              </w:rPr>
              <w:t>equal</w:t>
            </w:r>
            <w:proofErr w:type="spellEnd"/>
            <w:r w:rsidRPr="00B45592">
              <w:rPr>
                <w:sz w:val="20"/>
                <w:szCs w:val="20"/>
              </w:rPr>
              <w:t xml:space="preserve"> </w:t>
            </w:r>
            <w:proofErr w:type="spellStart"/>
            <w:r w:rsidRPr="00B45592">
              <w:rPr>
                <w:sz w:val="20"/>
                <w:szCs w:val="20"/>
              </w:rPr>
              <w:t>rights</w:t>
            </w:r>
            <w:proofErr w:type="spellEnd"/>
            <w:r w:rsidRPr="00B45592">
              <w:rPr>
                <w:sz w:val="20"/>
                <w:szCs w:val="20"/>
              </w:rPr>
              <w:t xml:space="preserve"> of all“</w:t>
            </w:r>
            <w:r w:rsidRPr="00112643">
              <w:rPr>
                <w:sz w:val="20"/>
                <w:szCs w:val="20"/>
                <w:vertAlign w:val="superscript"/>
              </w:rPr>
              <w:footnoteReference w:id="1922"/>
            </w:r>
            <w:r w:rsidRPr="00B45592">
              <w:rPr>
                <w:sz w:val="20"/>
                <w:szCs w:val="20"/>
              </w:rPr>
              <w:t>).</w:t>
            </w:r>
          </w:p>
          <w:p w14:paraId="55C307FA" w14:textId="77777777" w:rsidR="00074551" w:rsidRPr="00B45592" w:rsidRDefault="00074551" w:rsidP="00367133">
            <w:pPr>
              <w:jc w:val="both"/>
              <w:rPr>
                <w:sz w:val="20"/>
                <w:szCs w:val="20"/>
              </w:rPr>
            </w:pPr>
          </w:p>
        </w:tc>
      </w:tr>
      <w:tr w:rsidR="00074551" w:rsidRPr="00E50B51" w14:paraId="184AE819" w14:textId="77777777" w:rsidTr="00BE689F">
        <w:trPr>
          <w:cantSplit/>
          <w:trHeight w:val="3175"/>
        </w:trPr>
        <w:tc>
          <w:tcPr>
            <w:tcW w:w="293" w:type="pct"/>
            <w:shd w:val="clear" w:color="auto" w:fill="E7E6E6" w:themeFill="background2"/>
          </w:tcPr>
          <w:p w14:paraId="7F7ED53A"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3FC7108D" w14:textId="77777777" w:rsidR="00074551" w:rsidRPr="00E50B51" w:rsidRDefault="00074551" w:rsidP="00367133">
            <w:pPr>
              <w:ind w:right="416"/>
              <w:jc w:val="center"/>
              <w:rPr>
                <w:i/>
                <w:iCs/>
                <w:sz w:val="20"/>
                <w:szCs w:val="20"/>
                <w:lang w:val="en-US"/>
              </w:rPr>
            </w:pPr>
            <w:r>
              <w:rPr>
                <w:sz w:val="20"/>
                <w:szCs w:val="20"/>
              </w:rPr>
              <w:t>H</w:t>
            </w:r>
          </w:p>
        </w:tc>
        <w:tc>
          <w:tcPr>
            <w:tcW w:w="387" w:type="pct"/>
            <w:shd w:val="clear" w:color="auto" w:fill="E7E6E6" w:themeFill="background2"/>
            <w:textDirection w:val="tbRl"/>
            <w:vAlign w:val="center"/>
          </w:tcPr>
          <w:p w14:paraId="52D2BC13"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79861059" w14:textId="77777777" w:rsidR="00074551" w:rsidRPr="00E50B51" w:rsidRDefault="00074551" w:rsidP="00367133">
            <w:pPr>
              <w:ind w:left="113" w:right="113"/>
              <w:jc w:val="both"/>
              <w:rPr>
                <w:iCs/>
                <w:sz w:val="20"/>
                <w:szCs w:val="20"/>
                <w:lang w:val="en-US"/>
              </w:rPr>
            </w:pPr>
            <w:r w:rsidRPr="00E50B51">
              <w:rPr>
                <w:iCs/>
                <w:sz w:val="20"/>
                <w:szCs w:val="20"/>
                <w:lang w:val="en-US"/>
              </w:rPr>
              <w:t>Case or Controversy Clause</w:t>
            </w:r>
          </w:p>
          <w:p w14:paraId="272E124E"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2D810A70" w14:textId="77777777" w:rsidR="00074551" w:rsidRPr="00E50B51" w:rsidRDefault="00074551" w:rsidP="00367133">
            <w:pPr>
              <w:ind w:left="113" w:right="113"/>
              <w:jc w:val="both"/>
              <w:rPr>
                <w:iCs/>
                <w:sz w:val="20"/>
                <w:szCs w:val="20"/>
                <w:lang w:val="en-US"/>
              </w:rPr>
            </w:pPr>
            <w:r w:rsidRPr="00E50B51">
              <w:rPr>
                <w:iCs/>
                <w:sz w:val="20"/>
                <w:szCs w:val="20"/>
                <w:lang w:val="en-US"/>
              </w:rPr>
              <w:t>Standing</w:t>
            </w:r>
          </w:p>
          <w:p w14:paraId="4A7A24D5" w14:textId="77777777" w:rsidR="00074551" w:rsidRPr="00E50B51" w:rsidRDefault="00074551" w:rsidP="00367133">
            <w:pPr>
              <w:ind w:left="113" w:right="113"/>
              <w:jc w:val="both"/>
              <w:rPr>
                <w:sz w:val="20"/>
                <w:szCs w:val="20"/>
              </w:rPr>
            </w:pPr>
          </w:p>
        </w:tc>
        <w:tc>
          <w:tcPr>
            <w:tcW w:w="401" w:type="pct"/>
            <w:shd w:val="clear" w:color="auto" w:fill="E7E6E6" w:themeFill="background2"/>
            <w:textDirection w:val="tbRl"/>
          </w:tcPr>
          <w:p w14:paraId="4AE3D76B" w14:textId="77777777" w:rsidR="00074551" w:rsidRDefault="00074551" w:rsidP="00367133">
            <w:pPr>
              <w:ind w:left="113" w:right="416"/>
              <w:rPr>
                <w:sz w:val="20"/>
                <w:szCs w:val="20"/>
              </w:rPr>
            </w:pPr>
          </w:p>
          <w:p w14:paraId="21CC0E1F" w14:textId="77777777" w:rsidR="00074551" w:rsidRPr="00E50B51" w:rsidRDefault="00074551" w:rsidP="00367133">
            <w:pPr>
              <w:ind w:left="113" w:right="416"/>
              <w:rPr>
                <w:sz w:val="20"/>
                <w:szCs w:val="20"/>
              </w:rPr>
            </w:pPr>
            <w:proofErr w:type="spellStart"/>
            <w:r w:rsidRPr="00E50B51">
              <w:rPr>
                <w:sz w:val="20"/>
                <w:szCs w:val="20"/>
              </w:rPr>
              <w:t>Congressional</w:t>
            </w:r>
            <w:proofErr w:type="spellEnd"/>
            <w:r w:rsidRPr="00E50B51">
              <w:rPr>
                <w:sz w:val="20"/>
                <w:szCs w:val="20"/>
              </w:rPr>
              <w:t xml:space="preserve"> </w:t>
            </w:r>
            <w:proofErr w:type="spellStart"/>
            <w:r w:rsidRPr="00E50B51">
              <w:rPr>
                <w:sz w:val="20"/>
                <w:szCs w:val="20"/>
              </w:rPr>
              <w:t>Duties</w:t>
            </w:r>
            <w:proofErr w:type="spellEnd"/>
            <w:r w:rsidRPr="00E50B51">
              <w:rPr>
                <w:sz w:val="20"/>
                <w:szCs w:val="20"/>
              </w:rPr>
              <w:t xml:space="preserve"> &amp; Powers</w:t>
            </w:r>
          </w:p>
          <w:p w14:paraId="2C468478" w14:textId="77777777" w:rsidR="00074551" w:rsidRPr="00E50B51" w:rsidRDefault="00074551" w:rsidP="00367133">
            <w:pPr>
              <w:ind w:left="113" w:right="113"/>
              <w:jc w:val="center"/>
              <w:rPr>
                <w:sz w:val="20"/>
                <w:szCs w:val="20"/>
              </w:rPr>
            </w:pPr>
          </w:p>
        </w:tc>
        <w:tc>
          <w:tcPr>
            <w:tcW w:w="1594" w:type="pct"/>
            <w:shd w:val="clear" w:color="auto" w:fill="E7E6E6" w:themeFill="background2"/>
            <w:vAlign w:val="center"/>
          </w:tcPr>
          <w:p w14:paraId="2854B4D4" w14:textId="77777777" w:rsidR="00074551" w:rsidRPr="00E50B51" w:rsidRDefault="00074551" w:rsidP="00367133">
            <w:pPr>
              <w:jc w:val="both"/>
              <w:rPr>
                <w:sz w:val="20"/>
                <w:szCs w:val="20"/>
              </w:rPr>
            </w:pPr>
          </w:p>
        </w:tc>
        <w:tc>
          <w:tcPr>
            <w:tcW w:w="1822" w:type="pct"/>
            <w:shd w:val="clear" w:color="auto" w:fill="E7E6E6" w:themeFill="background2"/>
            <w:vAlign w:val="center"/>
          </w:tcPr>
          <w:p w14:paraId="54A9FC8F" w14:textId="77777777" w:rsidR="00074551" w:rsidRPr="00E50B51" w:rsidRDefault="00074551" w:rsidP="00367133">
            <w:pPr>
              <w:jc w:val="both"/>
              <w:rPr>
                <w:sz w:val="20"/>
                <w:szCs w:val="20"/>
              </w:rPr>
            </w:pPr>
          </w:p>
        </w:tc>
      </w:tr>
      <w:tr w:rsidR="00074551" w:rsidRPr="00E50B51" w14:paraId="59432325" w14:textId="77777777" w:rsidTr="00BE689F">
        <w:trPr>
          <w:cantSplit/>
          <w:trHeight w:val="3175"/>
        </w:trPr>
        <w:tc>
          <w:tcPr>
            <w:tcW w:w="293" w:type="pct"/>
          </w:tcPr>
          <w:p w14:paraId="0CB6BB0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93110D8" w14:textId="77777777" w:rsidR="00074551" w:rsidRPr="00B45592" w:rsidRDefault="00074551" w:rsidP="00367133">
            <w:pPr>
              <w:ind w:left="113" w:right="416"/>
              <w:jc w:val="both"/>
              <w:rPr>
                <w:i/>
                <w:sz w:val="20"/>
                <w:szCs w:val="20"/>
                <w:lang w:val="en-IE"/>
              </w:rPr>
            </w:pPr>
            <w:bookmarkStart w:id="74" w:name="_Hlk227661531"/>
            <w:r w:rsidRPr="00B45592">
              <w:rPr>
                <w:i/>
                <w:sz w:val="20"/>
                <w:szCs w:val="20"/>
                <w:lang w:val="en-IE"/>
              </w:rPr>
              <w:t>Baldwin </w:t>
            </w:r>
            <w:r w:rsidRPr="00B45592">
              <w:rPr>
                <w:i/>
                <w:iCs/>
                <w:sz w:val="20"/>
                <w:szCs w:val="20"/>
                <w:lang w:val="en-IE"/>
              </w:rPr>
              <w:t>v.</w:t>
            </w:r>
            <w:r w:rsidRPr="00B45592">
              <w:rPr>
                <w:i/>
                <w:sz w:val="20"/>
                <w:szCs w:val="20"/>
                <w:lang w:val="en-IE"/>
              </w:rPr>
              <w:t> Fish</w:t>
            </w:r>
            <w:bookmarkEnd w:id="74"/>
            <w:r w:rsidRPr="00B45592">
              <w:rPr>
                <w:i/>
                <w:sz w:val="20"/>
                <w:szCs w:val="20"/>
                <w:lang w:val="en-IE"/>
              </w:rPr>
              <w:t xml:space="preserve"> </w:t>
            </w:r>
            <w:r w:rsidRPr="00B45592">
              <w:rPr>
                <w:i/>
                <w:sz w:val="20"/>
                <w:szCs w:val="20"/>
                <w:lang w:val="en-US"/>
              </w:rPr>
              <w:t>Game Comm’n</w:t>
            </w:r>
          </w:p>
        </w:tc>
        <w:tc>
          <w:tcPr>
            <w:tcW w:w="197" w:type="pct"/>
            <w:textDirection w:val="tbRl"/>
            <w:vAlign w:val="center"/>
          </w:tcPr>
          <w:p w14:paraId="4A60157F" w14:textId="77777777" w:rsidR="00074551" w:rsidRPr="00E50B51" w:rsidRDefault="00074551" w:rsidP="00367133">
            <w:pPr>
              <w:ind w:left="113" w:right="113"/>
              <w:jc w:val="both"/>
              <w:rPr>
                <w:iCs/>
                <w:sz w:val="20"/>
                <w:szCs w:val="20"/>
                <w:lang w:val="en-US"/>
              </w:rPr>
            </w:pPr>
            <w:r w:rsidRPr="00E50B51">
              <w:rPr>
                <w:sz w:val="20"/>
                <w:szCs w:val="20"/>
                <w:lang w:val="en-US"/>
              </w:rPr>
              <w:t>436 U.S. 371</w:t>
            </w:r>
          </w:p>
        </w:tc>
        <w:tc>
          <w:tcPr>
            <w:tcW w:w="306" w:type="pct"/>
            <w:textDirection w:val="tbRl"/>
            <w:vAlign w:val="center"/>
          </w:tcPr>
          <w:p w14:paraId="6325799C" w14:textId="77777777" w:rsidR="00074551" w:rsidRPr="00E50B51" w:rsidRDefault="00074551" w:rsidP="00367133">
            <w:pPr>
              <w:ind w:left="113" w:right="113"/>
              <w:jc w:val="both"/>
              <w:rPr>
                <w:sz w:val="20"/>
                <w:szCs w:val="20"/>
              </w:rPr>
            </w:pPr>
            <w:r w:rsidRPr="00E50B51">
              <w:rPr>
                <w:sz w:val="20"/>
                <w:szCs w:val="20"/>
              </w:rPr>
              <w:t>23. Mai 1975</w:t>
            </w:r>
          </w:p>
        </w:tc>
        <w:tc>
          <w:tcPr>
            <w:tcW w:w="401" w:type="pct"/>
          </w:tcPr>
          <w:p w14:paraId="2FB732A9" w14:textId="77777777" w:rsidR="00074551" w:rsidRPr="00E50B51" w:rsidRDefault="00074551" w:rsidP="00367133">
            <w:pPr>
              <w:jc w:val="center"/>
              <w:rPr>
                <w:sz w:val="20"/>
                <w:szCs w:val="20"/>
              </w:rPr>
            </w:pPr>
            <w:r w:rsidRPr="00E50B51">
              <w:rPr>
                <w:sz w:val="20"/>
                <w:szCs w:val="20"/>
              </w:rPr>
              <w:t>M</w:t>
            </w:r>
          </w:p>
        </w:tc>
        <w:tc>
          <w:tcPr>
            <w:tcW w:w="1594" w:type="pct"/>
          </w:tcPr>
          <w:p w14:paraId="221F40D5" w14:textId="77777777" w:rsidR="00074551" w:rsidRPr="00E50B51" w:rsidRDefault="00074551" w:rsidP="00367133">
            <w:pPr>
              <w:jc w:val="both"/>
              <w:rPr>
                <w:sz w:val="20"/>
                <w:szCs w:val="20"/>
              </w:rPr>
            </w:pPr>
            <w:r w:rsidRPr="00E50B51">
              <w:rPr>
                <w:sz w:val="20"/>
                <w:szCs w:val="20"/>
              </w:rPr>
              <w:t>*</w:t>
            </w:r>
          </w:p>
        </w:tc>
        <w:tc>
          <w:tcPr>
            <w:tcW w:w="1822" w:type="pct"/>
          </w:tcPr>
          <w:p w14:paraId="2406F124" w14:textId="2AC6FDA5" w:rsidR="00074551" w:rsidRDefault="00074551" w:rsidP="00367133">
            <w:pPr>
              <w:jc w:val="both"/>
              <w:rPr>
                <w:sz w:val="20"/>
                <w:szCs w:val="20"/>
              </w:rPr>
            </w:pPr>
            <w:r w:rsidRPr="008E3E6B">
              <w:rPr>
                <w:sz w:val="20"/>
                <w:szCs w:val="20"/>
              </w:rPr>
              <w:t xml:space="preserve">Der </w:t>
            </w:r>
            <w:r>
              <w:rPr>
                <w:sz w:val="20"/>
                <w:szCs w:val="20"/>
              </w:rPr>
              <w:t>U.S. Supreme Court</w:t>
            </w:r>
            <w:r w:rsidRPr="008E3E6B">
              <w:rPr>
                <w:sz w:val="20"/>
                <w:szCs w:val="20"/>
              </w:rPr>
              <w:t xml:space="preserve"> urteilte, der Bundesstaat habe die Kompetenz, seine Tierwelt zu verwalten und zu schützen. Zu diesem Zweck </w:t>
            </w:r>
            <w:r>
              <w:rPr>
                <w:sz w:val="20"/>
                <w:szCs w:val="20"/>
              </w:rPr>
              <w:t>könne</w:t>
            </w:r>
            <w:r w:rsidRPr="008E3E6B">
              <w:rPr>
                <w:sz w:val="20"/>
                <w:szCs w:val="20"/>
              </w:rPr>
              <w:t xml:space="preserve"> er Gesetze und untergesetzliche Rechtsakte erlassen.</w:t>
            </w:r>
            <w:r w:rsidRPr="008E3E6B">
              <w:rPr>
                <w:sz w:val="20"/>
                <w:szCs w:val="20"/>
                <w:vertAlign w:val="superscript"/>
              </w:rPr>
              <w:footnoteReference w:id="1923"/>
            </w:r>
            <w:r w:rsidRPr="008E3E6B">
              <w:rPr>
                <w:sz w:val="20"/>
                <w:szCs w:val="20"/>
              </w:rPr>
              <w:t xml:space="preserve"> Nach dem Dissens beschreiben die Vorrechte und Immunitäten nach </w:t>
            </w:r>
            <w:r>
              <w:rPr>
                <w:sz w:val="20"/>
                <w:szCs w:val="20"/>
              </w:rPr>
              <w:t>Art. </w:t>
            </w:r>
            <w:r w:rsidRPr="008E3E6B">
              <w:rPr>
                <w:sz w:val="20"/>
                <w:szCs w:val="20"/>
              </w:rPr>
              <w:t xml:space="preserve">IV, </w:t>
            </w:r>
            <w:r>
              <w:rPr>
                <w:sz w:val="20"/>
                <w:szCs w:val="20"/>
              </w:rPr>
              <w:t>§ </w:t>
            </w:r>
            <w:r w:rsidRPr="008E3E6B">
              <w:rPr>
                <w:sz w:val="20"/>
                <w:szCs w:val="20"/>
              </w:rPr>
              <w:t xml:space="preserve">2, </w:t>
            </w:r>
            <w:r>
              <w:rPr>
                <w:sz w:val="20"/>
                <w:szCs w:val="20"/>
              </w:rPr>
              <w:t>cl. 1</w:t>
            </w:r>
            <w:r w:rsidRPr="008E3E6B">
              <w:rPr>
                <w:sz w:val="20"/>
                <w:szCs w:val="20"/>
              </w:rPr>
              <w:t xml:space="preserve"> und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E3E6B">
              <w:rPr>
                <w:sz w:val="20"/>
                <w:szCs w:val="20"/>
              </w:rPr>
              <w:t xml:space="preserve"> jedoch drei Grenzen für die bundesstaatliche</w:t>
            </w:r>
            <w:r>
              <w:rPr>
                <w:sz w:val="20"/>
                <w:szCs w:val="20"/>
              </w:rPr>
              <w:t>n</w:t>
            </w:r>
            <w:r w:rsidRPr="008E3E6B">
              <w:rPr>
                <w:sz w:val="20"/>
                <w:szCs w:val="20"/>
              </w:rPr>
              <w:t xml:space="preserve"> Kompetenzen: Die nationale Einheit („</w:t>
            </w:r>
            <w:proofErr w:type="spellStart"/>
            <w:r w:rsidRPr="008E3E6B">
              <w:rPr>
                <w:sz w:val="20"/>
                <w:szCs w:val="20"/>
              </w:rPr>
              <w:t>nationalism</w:t>
            </w:r>
            <w:proofErr w:type="spellEnd"/>
            <w:r w:rsidRPr="008E3E6B">
              <w:rPr>
                <w:sz w:val="20"/>
                <w:szCs w:val="20"/>
              </w:rPr>
              <w:t>“</w:t>
            </w:r>
            <w:r w:rsidRPr="008E3E6B">
              <w:rPr>
                <w:sz w:val="20"/>
                <w:szCs w:val="20"/>
                <w:vertAlign w:val="superscript"/>
              </w:rPr>
              <w:footnoteReference w:id="1924"/>
            </w:r>
            <w:r w:rsidRPr="008E3E6B">
              <w:rPr>
                <w:sz w:val="20"/>
                <w:szCs w:val="20"/>
              </w:rPr>
              <w:t>), das Verbot der Diskriminierung („</w:t>
            </w:r>
            <w:proofErr w:type="spellStart"/>
            <w:r w:rsidRPr="008E3E6B">
              <w:rPr>
                <w:sz w:val="20"/>
                <w:szCs w:val="20"/>
              </w:rPr>
              <w:t>proscription</w:t>
            </w:r>
            <w:proofErr w:type="spellEnd"/>
            <w:r w:rsidRPr="008E3E6B">
              <w:rPr>
                <w:sz w:val="20"/>
                <w:szCs w:val="20"/>
              </w:rPr>
              <w:t xml:space="preserve"> of </w:t>
            </w:r>
            <w:proofErr w:type="spellStart"/>
            <w:r w:rsidRPr="008E3E6B">
              <w:rPr>
                <w:sz w:val="20"/>
                <w:szCs w:val="20"/>
              </w:rPr>
              <w:t>discrimination</w:t>
            </w:r>
            <w:proofErr w:type="spellEnd"/>
            <w:r w:rsidRPr="008E3E6B">
              <w:rPr>
                <w:sz w:val="20"/>
                <w:szCs w:val="20"/>
              </w:rPr>
              <w:t>“</w:t>
            </w:r>
            <w:r w:rsidRPr="008E3E6B">
              <w:rPr>
                <w:sz w:val="20"/>
                <w:szCs w:val="20"/>
                <w:vertAlign w:val="superscript"/>
              </w:rPr>
              <w:footnoteReference w:id="1925"/>
            </w:r>
            <w:r w:rsidRPr="008E3E6B">
              <w:rPr>
                <w:sz w:val="20"/>
                <w:szCs w:val="20"/>
              </w:rPr>
              <w:t xml:space="preserve">) und die Gewährleistung der Gleichheit aller Bürger in jedem Bundesstaat („the </w:t>
            </w:r>
            <w:proofErr w:type="spellStart"/>
            <w:r w:rsidRPr="008E3E6B">
              <w:rPr>
                <w:sz w:val="20"/>
                <w:szCs w:val="20"/>
              </w:rPr>
              <w:t>assurance</w:t>
            </w:r>
            <w:proofErr w:type="spellEnd"/>
            <w:r w:rsidRPr="008E3E6B">
              <w:rPr>
                <w:sz w:val="20"/>
                <w:szCs w:val="20"/>
              </w:rPr>
              <w:t xml:space="preserve"> of </w:t>
            </w:r>
            <w:proofErr w:type="spellStart"/>
            <w:r w:rsidRPr="008E3E6B">
              <w:rPr>
                <w:sz w:val="20"/>
                <w:szCs w:val="20"/>
              </w:rPr>
              <w:t>equality</w:t>
            </w:r>
            <w:proofErr w:type="spellEnd"/>
            <w:r w:rsidRPr="008E3E6B">
              <w:rPr>
                <w:sz w:val="20"/>
                <w:szCs w:val="20"/>
              </w:rPr>
              <w:t xml:space="preserve"> of all </w:t>
            </w:r>
            <w:proofErr w:type="spellStart"/>
            <w:r w:rsidRPr="008E3E6B">
              <w:rPr>
                <w:sz w:val="20"/>
                <w:szCs w:val="20"/>
              </w:rPr>
              <w:t>citizens</w:t>
            </w:r>
            <w:proofErr w:type="spellEnd"/>
            <w:r w:rsidRPr="008E3E6B">
              <w:rPr>
                <w:sz w:val="20"/>
                <w:szCs w:val="20"/>
              </w:rPr>
              <w:t xml:space="preserve"> </w:t>
            </w:r>
            <w:proofErr w:type="spellStart"/>
            <w:r w:rsidRPr="008E3E6B">
              <w:rPr>
                <w:sz w:val="20"/>
                <w:szCs w:val="20"/>
              </w:rPr>
              <w:t>within</w:t>
            </w:r>
            <w:proofErr w:type="spellEnd"/>
            <w:r w:rsidRPr="008E3E6B">
              <w:rPr>
                <w:sz w:val="20"/>
                <w:szCs w:val="20"/>
              </w:rPr>
              <w:t xml:space="preserve"> </w:t>
            </w:r>
            <w:proofErr w:type="spellStart"/>
            <w:r w:rsidRPr="008E3E6B">
              <w:rPr>
                <w:sz w:val="20"/>
                <w:szCs w:val="20"/>
              </w:rPr>
              <w:t>any</w:t>
            </w:r>
            <w:proofErr w:type="spellEnd"/>
            <w:r w:rsidRPr="008E3E6B">
              <w:rPr>
                <w:sz w:val="20"/>
                <w:szCs w:val="20"/>
              </w:rPr>
              <w:t xml:space="preserve"> State“</w:t>
            </w:r>
            <w:r w:rsidRPr="008E3E6B">
              <w:rPr>
                <w:sz w:val="20"/>
                <w:szCs w:val="20"/>
                <w:vertAlign w:val="superscript"/>
              </w:rPr>
              <w:footnoteReference w:id="1926"/>
            </w:r>
            <w:r w:rsidRPr="008E3E6B">
              <w:rPr>
                <w:sz w:val="20"/>
                <w:szCs w:val="20"/>
              </w:rPr>
              <w:t xml:space="preserve">). Diese drei Grenzen gründen auf dem Dogma, </w:t>
            </w:r>
            <w:r>
              <w:rPr>
                <w:sz w:val="20"/>
                <w:szCs w:val="20"/>
              </w:rPr>
              <w:t xml:space="preserve">die </w:t>
            </w:r>
            <w:r w:rsidRPr="008E3E6B">
              <w:rPr>
                <w:sz w:val="20"/>
                <w:szCs w:val="20"/>
              </w:rPr>
              <w:t xml:space="preserve">Bedingungen </w:t>
            </w:r>
            <w:r>
              <w:rPr>
                <w:sz w:val="20"/>
                <w:szCs w:val="20"/>
              </w:rPr>
              <w:t xml:space="preserve">dafür </w:t>
            </w:r>
            <w:r w:rsidRPr="008E3E6B">
              <w:rPr>
                <w:sz w:val="20"/>
                <w:szCs w:val="20"/>
              </w:rPr>
              <w:t xml:space="preserve">zu schaffen, </w:t>
            </w:r>
            <w:r>
              <w:rPr>
                <w:sz w:val="20"/>
                <w:szCs w:val="20"/>
              </w:rPr>
              <w:t>dass</w:t>
            </w:r>
            <w:r w:rsidRPr="008E3E6B">
              <w:rPr>
                <w:sz w:val="20"/>
                <w:szCs w:val="20"/>
              </w:rPr>
              <w:t xml:space="preserve"> Bürger gleichermaßen </w:t>
            </w:r>
            <w:r>
              <w:rPr>
                <w:sz w:val="20"/>
                <w:szCs w:val="20"/>
              </w:rPr>
              <w:t>nach</w:t>
            </w:r>
            <w:r w:rsidRPr="008E3E6B">
              <w:rPr>
                <w:sz w:val="20"/>
                <w:szCs w:val="20"/>
              </w:rPr>
              <w:t xml:space="preserve"> Glück </w:t>
            </w:r>
            <w:r>
              <w:rPr>
                <w:sz w:val="20"/>
                <w:szCs w:val="20"/>
              </w:rPr>
              <w:t>streben</w:t>
            </w:r>
            <w:r w:rsidRPr="008E3E6B">
              <w:rPr>
                <w:sz w:val="20"/>
                <w:szCs w:val="20"/>
              </w:rPr>
              <w:t xml:space="preserve"> können. Doch welche Bedingungen sind das? Nach dem Dissens sind es drei Bedingungskategorien. Erstens Freiheit und Gleichheit im Rechtssystem; d.h., die Gleichstellung von Bürgern eines Bundesstaats mit den Bürgern anderer Bundesstaaten, das Verbot diskriminierender Gesetzgebung und der gleiche Schutz durch die Gesetze. Diese Rechte gewährleisten, dass Ungleichheiten Bürger in ihrem Glücksstreben nicht einschränken. Die zweite Bedingung für gleiches Glücksstreben lautet: Mobilität und Freizügigkeit; d.h., die Möglichkeit, sich frei fortzubewegen und dort zu leben, zu arbeiten oder sich niederzulassen, wo der Bürger meint, dass er </w:t>
            </w:r>
            <w:r>
              <w:rPr>
                <w:sz w:val="20"/>
                <w:szCs w:val="20"/>
              </w:rPr>
              <w:t xml:space="preserve">sein </w:t>
            </w:r>
            <w:r w:rsidRPr="008E3E6B">
              <w:rPr>
                <w:sz w:val="20"/>
                <w:szCs w:val="20"/>
              </w:rPr>
              <w:t>Glück am besten verfolgen könne. Und die dritte Bedingungskaskade: die Eigentumsrechte und Persönlichkeitsfreiheit; d.h., die Gleichberechtigung beim Erwerb und der Nutzung des Eigentums sowie bei der Verfolgung des Glücks, sodass Bürger das Ergebnis ihrer Arbeit nutzen und ihren Lebensentwurf nach eigenen Vorstellungen gestalten können.</w:t>
            </w:r>
            <w:r w:rsidRPr="008E3E6B">
              <w:rPr>
                <w:sz w:val="20"/>
                <w:szCs w:val="20"/>
                <w:vertAlign w:val="superscript"/>
              </w:rPr>
              <w:footnoteReference w:id="1927"/>
            </w:r>
          </w:p>
          <w:p w14:paraId="395DA9AD" w14:textId="77777777" w:rsidR="00074551" w:rsidRPr="00E50B51" w:rsidRDefault="00074551" w:rsidP="00367133">
            <w:pPr>
              <w:jc w:val="both"/>
              <w:rPr>
                <w:sz w:val="20"/>
                <w:szCs w:val="20"/>
              </w:rPr>
            </w:pPr>
          </w:p>
        </w:tc>
      </w:tr>
      <w:tr w:rsidR="00074551" w:rsidRPr="00E50B51" w14:paraId="46051E7A" w14:textId="77777777" w:rsidTr="00BE689F">
        <w:trPr>
          <w:cantSplit/>
          <w:trHeight w:val="3175"/>
        </w:trPr>
        <w:tc>
          <w:tcPr>
            <w:tcW w:w="293" w:type="pct"/>
          </w:tcPr>
          <w:p w14:paraId="7FA81F5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FC7A286" w14:textId="77777777" w:rsidR="00074551" w:rsidRPr="00E50B51" w:rsidRDefault="00074551" w:rsidP="00367133">
            <w:pPr>
              <w:ind w:left="113" w:right="416"/>
              <w:jc w:val="both"/>
              <w:rPr>
                <w:sz w:val="20"/>
                <w:szCs w:val="20"/>
              </w:rPr>
            </w:pPr>
            <w:proofErr w:type="spellStart"/>
            <w:r w:rsidRPr="009E57E1">
              <w:rPr>
                <w:i/>
                <w:sz w:val="20"/>
                <w:szCs w:val="20"/>
              </w:rPr>
              <w:t>Conn</w:t>
            </w:r>
            <w:proofErr w:type="spellEnd"/>
            <w:r w:rsidRPr="009E57E1">
              <w:rPr>
                <w:i/>
                <w:sz w:val="20"/>
                <w:szCs w:val="20"/>
              </w:rPr>
              <w:t xml:space="preserve"> v. Gabbert</w:t>
            </w:r>
          </w:p>
        </w:tc>
        <w:tc>
          <w:tcPr>
            <w:tcW w:w="197" w:type="pct"/>
            <w:textDirection w:val="tbRl"/>
            <w:vAlign w:val="center"/>
          </w:tcPr>
          <w:p w14:paraId="58B2DEFF" w14:textId="77777777" w:rsidR="00074551" w:rsidRPr="00E50B51" w:rsidRDefault="00074551" w:rsidP="00367133">
            <w:pPr>
              <w:ind w:left="113" w:right="113"/>
              <w:jc w:val="both"/>
              <w:rPr>
                <w:iCs/>
                <w:sz w:val="20"/>
                <w:szCs w:val="20"/>
              </w:rPr>
            </w:pPr>
            <w:r w:rsidRPr="00E50B51">
              <w:rPr>
                <w:sz w:val="20"/>
                <w:szCs w:val="20"/>
                <w:lang w:val="en-US"/>
              </w:rPr>
              <w:t>526 U.S. 286</w:t>
            </w:r>
          </w:p>
        </w:tc>
        <w:tc>
          <w:tcPr>
            <w:tcW w:w="306" w:type="pct"/>
            <w:textDirection w:val="tbRl"/>
            <w:vAlign w:val="center"/>
          </w:tcPr>
          <w:p w14:paraId="6121C144" w14:textId="77777777" w:rsidR="00074551" w:rsidRPr="00E50B51" w:rsidRDefault="00074551" w:rsidP="00367133">
            <w:pPr>
              <w:ind w:left="113" w:right="113"/>
              <w:jc w:val="both"/>
              <w:rPr>
                <w:sz w:val="20"/>
                <w:szCs w:val="20"/>
              </w:rPr>
            </w:pPr>
            <w:r w:rsidRPr="00E50B51">
              <w:rPr>
                <w:sz w:val="20"/>
                <w:szCs w:val="20"/>
              </w:rPr>
              <w:t>5. April 1999</w:t>
            </w:r>
          </w:p>
        </w:tc>
        <w:tc>
          <w:tcPr>
            <w:tcW w:w="401" w:type="pct"/>
          </w:tcPr>
          <w:p w14:paraId="6700255E" w14:textId="77777777" w:rsidR="00074551" w:rsidRPr="00E50B51" w:rsidRDefault="00074551" w:rsidP="00367133">
            <w:pPr>
              <w:jc w:val="center"/>
              <w:rPr>
                <w:sz w:val="20"/>
                <w:szCs w:val="20"/>
              </w:rPr>
            </w:pPr>
            <w:r w:rsidRPr="00E50B51">
              <w:rPr>
                <w:sz w:val="20"/>
                <w:szCs w:val="20"/>
              </w:rPr>
              <w:t>M</w:t>
            </w:r>
          </w:p>
        </w:tc>
        <w:tc>
          <w:tcPr>
            <w:tcW w:w="1594" w:type="pct"/>
          </w:tcPr>
          <w:p w14:paraId="0BA674EC" w14:textId="77777777" w:rsidR="00074551" w:rsidRPr="00E50B51" w:rsidRDefault="00074551" w:rsidP="00367133">
            <w:pPr>
              <w:jc w:val="both"/>
              <w:rPr>
                <w:sz w:val="20"/>
                <w:szCs w:val="20"/>
              </w:rPr>
            </w:pPr>
            <w:r w:rsidRPr="00E50B51">
              <w:rPr>
                <w:sz w:val="20"/>
                <w:szCs w:val="20"/>
              </w:rPr>
              <w:t>*</w:t>
            </w:r>
          </w:p>
        </w:tc>
        <w:tc>
          <w:tcPr>
            <w:tcW w:w="1822" w:type="pct"/>
          </w:tcPr>
          <w:p w14:paraId="0BE0392F" w14:textId="5F83EA9A" w:rsidR="00074551" w:rsidRDefault="00074551" w:rsidP="00367133">
            <w:pPr>
              <w:jc w:val="both"/>
              <w:rPr>
                <w:sz w:val="20"/>
                <w:szCs w:val="20"/>
              </w:rPr>
            </w:pPr>
            <w:r w:rsidRPr="009F3A1E">
              <w:rPr>
                <w:sz w:val="20"/>
                <w:szCs w:val="20"/>
              </w:rPr>
              <w:t xml:space="preserve">Der </w:t>
            </w:r>
            <w:r>
              <w:rPr>
                <w:sz w:val="20"/>
                <w:szCs w:val="20"/>
              </w:rPr>
              <w:t>U.S. Supreme Court</w:t>
            </w:r>
            <w:r w:rsidRPr="009F3A1E">
              <w:rPr>
                <w:sz w:val="20"/>
                <w:szCs w:val="20"/>
              </w:rPr>
              <w:t xml:space="preserve"> urteilte, ein Kläger </w:t>
            </w:r>
            <w:r>
              <w:rPr>
                <w:sz w:val="20"/>
                <w:szCs w:val="20"/>
              </w:rPr>
              <w:t>müsse</w:t>
            </w:r>
            <w:r w:rsidRPr="009F3A1E">
              <w:rPr>
                <w:sz w:val="20"/>
                <w:szCs w:val="20"/>
              </w:rPr>
              <w:t xml:space="preserve"> in der Regel seine eigenen Rechte und Interessen geltend machen, um klagebefugt zu sei</w:t>
            </w:r>
            <w:r>
              <w:rPr>
                <w:sz w:val="20"/>
                <w:szCs w:val="20"/>
              </w:rPr>
              <w:t>n</w:t>
            </w:r>
            <w:r w:rsidRPr="009F3A1E">
              <w:rPr>
                <w:sz w:val="20"/>
                <w:szCs w:val="20"/>
              </w:rPr>
              <w:t>. Hier wäre das der Strafverteidiger</w:t>
            </w:r>
            <w:r w:rsidRPr="00E84269">
              <w:rPr>
                <w:sz w:val="20"/>
                <w:szCs w:val="20"/>
              </w:rPr>
              <w:t>, der im Gerichtssaal durchsucht wurde</w:t>
            </w:r>
            <w:r w:rsidRPr="009F3A1E">
              <w:rPr>
                <w:sz w:val="20"/>
                <w:szCs w:val="20"/>
              </w:rPr>
              <w:t>.</w:t>
            </w:r>
            <w:r w:rsidRPr="009F3A1E">
              <w:rPr>
                <w:sz w:val="20"/>
                <w:szCs w:val="20"/>
                <w:vertAlign w:val="superscript"/>
              </w:rPr>
              <w:footnoteReference w:id="1928"/>
            </w:r>
            <w:r w:rsidRPr="009F3A1E">
              <w:rPr>
                <w:sz w:val="20"/>
                <w:szCs w:val="20"/>
              </w:rPr>
              <w:t xml:space="preserve"> Aber </w:t>
            </w:r>
            <w:r w:rsidRPr="00E84269">
              <w:rPr>
                <w:sz w:val="20"/>
                <w:szCs w:val="20"/>
              </w:rPr>
              <w:t>er als</w:t>
            </w:r>
            <w:r w:rsidRPr="009F3A1E">
              <w:rPr>
                <w:sz w:val="20"/>
                <w:szCs w:val="20"/>
              </w:rPr>
              <w:t xml:space="preserve"> Kläger </w:t>
            </w:r>
            <w:r>
              <w:rPr>
                <w:sz w:val="20"/>
                <w:szCs w:val="20"/>
              </w:rPr>
              <w:t>könne</w:t>
            </w:r>
            <w:r w:rsidRPr="009F3A1E">
              <w:rPr>
                <w:sz w:val="20"/>
                <w:szCs w:val="20"/>
              </w:rPr>
              <w:t xml:space="preserve"> seinen Rechtsanspruch nicht auf die Rechte oder Interessen Dritter stützen, hier die seines Mandanten</w:t>
            </w:r>
            <w:r w:rsidRPr="00E84269">
              <w:rPr>
                <w:sz w:val="20"/>
                <w:szCs w:val="20"/>
              </w:rPr>
              <w:t xml:space="preserve"> im Gerichtssaal</w:t>
            </w:r>
            <w:r w:rsidRPr="009F3A1E">
              <w:rPr>
                <w:sz w:val="20"/>
                <w:szCs w:val="20"/>
              </w:rPr>
              <w:t>.</w:t>
            </w:r>
            <w:r w:rsidRPr="009F3A1E">
              <w:rPr>
                <w:sz w:val="20"/>
                <w:szCs w:val="20"/>
                <w:vertAlign w:val="superscript"/>
              </w:rPr>
              <w:footnoteReference w:id="1929"/>
            </w:r>
            <w:r w:rsidRPr="009F3A1E">
              <w:rPr>
                <w:sz w:val="20"/>
                <w:szCs w:val="20"/>
              </w:rPr>
              <w:t xml:space="preserve"> Ob die Rechte und Interessen der Funktion des Strafverteidigers betroffen </w:t>
            </w:r>
            <w:r>
              <w:rPr>
                <w:sz w:val="20"/>
                <w:szCs w:val="20"/>
              </w:rPr>
              <w:t>sind</w:t>
            </w:r>
            <w:r w:rsidRPr="009F3A1E">
              <w:rPr>
                <w:sz w:val="20"/>
                <w:szCs w:val="20"/>
              </w:rPr>
              <w:t xml:space="preserve">, er damit klagebefugt </w:t>
            </w:r>
            <w:r>
              <w:rPr>
                <w:sz w:val="20"/>
                <w:szCs w:val="20"/>
              </w:rPr>
              <w:t>ist</w:t>
            </w:r>
            <w:r w:rsidRPr="009F3A1E">
              <w:rPr>
                <w:sz w:val="20"/>
                <w:szCs w:val="20"/>
              </w:rPr>
              <w:t>, beurteil</w:t>
            </w:r>
            <w:r>
              <w:rPr>
                <w:sz w:val="20"/>
                <w:szCs w:val="20"/>
              </w:rPr>
              <w:t>t</w:t>
            </w:r>
            <w:r w:rsidRPr="009F3A1E">
              <w:rPr>
                <w:sz w:val="20"/>
                <w:szCs w:val="20"/>
              </w:rPr>
              <w:t xml:space="preserve"> sich danach, wie weit der Freiheitsbegriff </w:t>
            </w:r>
            <w:r>
              <w:rPr>
                <w:sz w:val="20"/>
                <w:szCs w:val="20"/>
              </w:rPr>
              <w:t>von</w:t>
            </w:r>
            <w:r w:rsidRPr="009F3A1E">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9F3A1E">
              <w:rPr>
                <w:sz w:val="20"/>
                <w:szCs w:val="20"/>
              </w:rPr>
              <w:t xml:space="preserve">reicht. Der formt sich konkret aus anhand der Bedingungen für Glücksstreben („as essential to the </w:t>
            </w:r>
            <w:proofErr w:type="spellStart"/>
            <w:r w:rsidRPr="009F3A1E">
              <w:rPr>
                <w:sz w:val="20"/>
                <w:szCs w:val="20"/>
              </w:rPr>
              <w:t>orderly</w:t>
            </w:r>
            <w:proofErr w:type="spellEnd"/>
            <w:r w:rsidRPr="009F3A1E">
              <w:rPr>
                <w:sz w:val="20"/>
                <w:szCs w:val="20"/>
              </w:rPr>
              <w:t xml:space="preserve"> </w:t>
            </w:r>
            <w:proofErr w:type="spellStart"/>
            <w:r w:rsidRPr="009F3A1E">
              <w:rPr>
                <w:sz w:val="20"/>
                <w:szCs w:val="20"/>
              </w:rPr>
              <w:t>pursuit</w:t>
            </w:r>
            <w:proofErr w:type="spellEnd"/>
            <w:r w:rsidRPr="009F3A1E">
              <w:rPr>
                <w:sz w:val="20"/>
                <w:szCs w:val="20"/>
              </w:rPr>
              <w:t xml:space="preserve"> of </w:t>
            </w:r>
            <w:proofErr w:type="spellStart"/>
            <w:r w:rsidRPr="009F3A1E">
              <w:rPr>
                <w:sz w:val="20"/>
                <w:szCs w:val="20"/>
              </w:rPr>
              <w:t>happiness</w:t>
            </w:r>
            <w:proofErr w:type="spellEnd"/>
            <w:r w:rsidRPr="009F3A1E">
              <w:rPr>
                <w:sz w:val="20"/>
                <w:szCs w:val="20"/>
              </w:rPr>
              <w:t xml:space="preserve"> by </w:t>
            </w:r>
            <w:proofErr w:type="spellStart"/>
            <w:r w:rsidRPr="009F3A1E">
              <w:rPr>
                <w:sz w:val="20"/>
                <w:szCs w:val="20"/>
              </w:rPr>
              <w:t>free</w:t>
            </w:r>
            <w:proofErr w:type="spellEnd"/>
            <w:r w:rsidRPr="009F3A1E">
              <w:rPr>
                <w:sz w:val="20"/>
                <w:szCs w:val="20"/>
              </w:rPr>
              <w:t xml:space="preserve"> </w:t>
            </w:r>
            <w:proofErr w:type="spellStart"/>
            <w:r w:rsidRPr="009F3A1E">
              <w:rPr>
                <w:sz w:val="20"/>
                <w:szCs w:val="20"/>
              </w:rPr>
              <w:t>men</w:t>
            </w:r>
            <w:proofErr w:type="spellEnd"/>
            <w:r w:rsidRPr="009F3A1E">
              <w:rPr>
                <w:sz w:val="20"/>
                <w:szCs w:val="20"/>
              </w:rPr>
              <w:t>“</w:t>
            </w:r>
            <w:r w:rsidRPr="009F3A1E">
              <w:rPr>
                <w:sz w:val="20"/>
                <w:szCs w:val="20"/>
                <w:vertAlign w:val="superscript"/>
              </w:rPr>
              <w:footnoteReference w:id="1930"/>
            </w:r>
            <w:r w:rsidRPr="009F3A1E">
              <w:rPr>
                <w:sz w:val="20"/>
                <w:szCs w:val="20"/>
              </w:rPr>
              <w:t>). Hier entziehe die Durchsuchung d</w:t>
            </w:r>
            <w:r w:rsidRPr="00E84269">
              <w:rPr>
                <w:sz w:val="20"/>
                <w:szCs w:val="20"/>
              </w:rPr>
              <w:t xml:space="preserve">urch die </w:t>
            </w:r>
            <w:r w:rsidRPr="009F3A1E">
              <w:rPr>
                <w:sz w:val="20"/>
                <w:szCs w:val="20"/>
              </w:rPr>
              <w:t>Staatsanwälte nicht</w:t>
            </w:r>
            <w:r>
              <w:rPr>
                <w:sz w:val="20"/>
                <w:szCs w:val="20"/>
              </w:rPr>
              <w:t xml:space="preserve"> die Freiheit</w:t>
            </w:r>
            <w:r w:rsidRPr="00E84269">
              <w:rPr>
                <w:sz w:val="20"/>
                <w:szCs w:val="20"/>
              </w:rPr>
              <w:t>,</w:t>
            </w:r>
            <w:r w:rsidRPr="009F3A1E">
              <w:rPr>
                <w:sz w:val="20"/>
                <w:szCs w:val="20"/>
              </w:rPr>
              <w:t xml:space="preserve"> den Rechtsanwaltsberuf auszuüben</w:t>
            </w:r>
            <w:r w:rsidRPr="00E84269">
              <w:rPr>
                <w:sz w:val="20"/>
                <w:szCs w:val="20"/>
              </w:rPr>
              <w:t xml:space="preserve">, was </w:t>
            </w:r>
            <w:r w:rsidRPr="009F3A1E">
              <w:rPr>
                <w:sz w:val="20"/>
                <w:szCs w:val="20"/>
              </w:rPr>
              <w:t xml:space="preserve">eine dieser Bedingungen bzw. </w:t>
            </w:r>
            <w:r w:rsidRPr="00E84269">
              <w:rPr>
                <w:sz w:val="20"/>
                <w:szCs w:val="20"/>
              </w:rPr>
              <w:t xml:space="preserve">der </w:t>
            </w:r>
            <w:r w:rsidRPr="009F3A1E">
              <w:rPr>
                <w:sz w:val="20"/>
                <w:szCs w:val="20"/>
              </w:rPr>
              <w:t>Freiheitsinteressen</w:t>
            </w:r>
            <w:r w:rsidRPr="00E84269">
              <w:rPr>
                <w:sz w:val="20"/>
                <w:szCs w:val="20"/>
              </w:rPr>
              <w:t xml:space="preserve"> sei</w:t>
            </w:r>
            <w:r w:rsidRPr="009F3A1E">
              <w:rPr>
                <w:sz w:val="20"/>
                <w:szCs w:val="20"/>
              </w:rPr>
              <w:t>. Wenn überhaupt</w:t>
            </w:r>
            <w:r w:rsidRPr="00E84269">
              <w:rPr>
                <w:sz w:val="20"/>
                <w:szCs w:val="20"/>
              </w:rPr>
              <w:t>, dann</w:t>
            </w:r>
            <w:r w:rsidRPr="009F3A1E">
              <w:rPr>
                <w:sz w:val="20"/>
                <w:szCs w:val="20"/>
              </w:rPr>
              <w:t xml:space="preserve"> liege eine abstrakte Entziehung vor</w:t>
            </w:r>
            <w:r w:rsidRPr="00E84269">
              <w:rPr>
                <w:sz w:val="20"/>
                <w:szCs w:val="20"/>
              </w:rPr>
              <w:t xml:space="preserve">. Und </w:t>
            </w:r>
            <w:r w:rsidRPr="009F3A1E">
              <w:rPr>
                <w:sz w:val="20"/>
                <w:szCs w:val="20"/>
              </w:rPr>
              <w:t xml:space="preserve">die </w:t>
            </w:r>
            <w:r w:rsidRPr="00E84269">
              <w:rPr>
                <w:sz w:val="20"/>
                <w:szCs w:val="20"/>
              </w:rPr>
              <w:t xml:space="preserve">reiche </w:t>
            </w:r>
            <w:r w:rsidRPr="009F3A1E">
              <w:rPr>
                <w:sz w:val="20"/>
                <w:szCs w:val="20"/>
              </w:rPr>
              <w:t xml:space="preserve">für eine Klagebefugnis nicht aus. Denn die Freiheitsinteressen </w:t>
            </w:r>
            <w:r>
              <w:rPr>
                <w:sz w:val="20"/>
                <w:szCs w:val="20"/>
              </w:rPr>
              <w:t>von</w:t>
            </w:r>
            <w:r w:rsidRPr="009F3A1E">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9F3A1E">
              <w:rPr>
                <w:sz w:val="20"/>
                <w:szCs w:val="20"/>
              </w:rPr>
              <w:t xml:space="preserve"> zur Berufsausübungsfreiheit umfass</w:t>
            </w:r>
            <w:r>
              <w:rPr>
                <w:sz w:val="20"/>
                <w:szCs w:val="20"/>
              </w:rPr>
              <w:t>t</w:t>
            </w:r>
            <w:r w:rsidRPr="009F3A1E">
              <w:rPr>
                <w:sz w:val="20"/>
                <w:szCs w:val="20"/>
              </w:rPr>
              <w:t>en zwar das Recht, den Beruf zu wählen und auszuüben. Aber dieses Recht könne staatlichen Maßnahmen unterliegen.</w:t>
            </w:r>
            <w:r w:rsidRPr="009F3A1E">
              <w:rPr>
                <w:sz w:val="20"/>
                <w:szCs w:val="20"/>
                <w:vertAlign w:val="superscript"/>
              </w:rPr>
              <w:footnoteReference w:id="1931"/>
            </w:r>
            <w:r w:rsidRPr="009F3A1E">
              <w:rPr>
                <w:sz w:val="20"/>
                <w:szCs w:val="20"/>
              </w:rPr>
              <w:t xml:space="preserve"> Die Grenze für staatliche Maßnahmen sei </w:t>
            </w:r>
            <w:r w:rsidRPr="00E84269">
              <w:rPr>
                <w:sz w:val="20"/>
                <w:szCs w:val="20"/>
              </w:rPr>
              <w:t xml:space="preserve">vielmehr </w:t>
            </w:r>
            <w:r w:rsidRPr="009F3A1E">
              <w:rPr>
                <w:sz w:val="20"/>
                <w:szCs w:val="20"/>
              </w:rPr>
              <w:t>ein Verbot des Rechts, einen Beruf auszuüben, nicht aber eine kurze Unterbrechung dess</w:t>
            </w:r>
            <w:r>
              <w:rPr>
                <w:sz w:val="20"/>
                <w:szCs w:val="20"/>
              </w:rPr>
              <w:t>elben</w:t>
            </w:r>
            <w:r w:rsidRPr="009F3A1E">
              <w:rPr>
                <w:sz w:val="20"/>
                <w:szCs w:val="20"/>
              </w:rPr>
              <w:t>.</w:t>
            </w:r>
            <w:r w:rsidRPr="009F3A1E">
              <w:rPr>
                <w:sz w:val="20"/>
                <w:szCs w:val="20"/>
                <w:vertAlign w:val="superscript"/>
              </w:rPr>
              <w:footnoteReference w:id="1932"/>
            </w:r>
          </w:p>
          <w:p w14:paraId="33FE8370" w14:textId="77777777" w:rsidR="00074551" w:rsidRPr="00E50B51" w:rsidRDefault="00074551" w:rsidP="00367133">
            <w:pPr>
              <w:jc w:val="both"/>
              <w:rPr>
                <w:sz w:val="20"/>
                <w:szCs w:val="20"/>
              </w:rPr>
            </w:pPr>
          </w:p>
        </w:tc>
      </w:tr>
      <w:tr w:rsidR="00074551" w:rsidRPr="00E50B51" w14:paraId="14ED3BF9" w14:textId="77777777" w:rsidTr="00BE689F">
        <w:trPr>
          <w:cantSplit/>
          <w:trHeight w:val="3175"/>
        </w:trPr>
        <w:tc>
          <w:tcPr>
            <w:tcW w:w="293" w:type="pct"/>
          </w:tcPr>
          <w:p w14:paraId="4D6F106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8D51057" w14:textId="77777777" w:rsidR="00074551" w:rsidRPr="00E50B51" w:rsidRDefault="00074551" w:rsidP="00367133">
            <w:pPr>
              <w:ind w:left="113" w:right="416"/>
              <w:jc w:val="both"/>
              <w:rPr>
                <w:sz w:val="20"/>
                <w:szCs w:val="20"/>
              </w:rPr>
            </w:pPr>
            <w:r w:rsidRPr="009167A5">
              <w:rPr>
                <w:i/>
                <w:sz w:val="20"/>
                <w:szCs w:val="20"/>
              </w:rPr>
              <w:t>Griswold v. Connecticut</w:t>
            </w:r>
          </w:p>
        </w:tc>
        <w:tc>
          <w:tcPr>
            <w:tcW w:w="197" w:type="pct"/>
            <w:textDirection w:val="tbRl"/>
            <w:vAlign w:val="center"/>
          </w:tcPr>
          <w:p w14:paraId="60E0BA09" w14:textId="77777777" w:rsidR="00074551" w:rsidRPr="00E50B51" w:rsidRDefault="00074551" w:rsidP="00367133">
            <w:pPr>
              <w:ind w:left="113" w:right="113"/>
              <w:jc w:val="both"/>
              <w:rPr>
                <w:iCs/>
                <w:sz w:val="20"/>
                <w:szCs w:val="20"/>
              </w:rPr>
            </w:pPr>
            <w:r w:rsidRPr="00E50B51">
              <w:rPr>
                <w:sz w:val="20"/>
                <w:szCs w:val="20"/>
                <w:lang w:val="en-US"/>
              </w:rPr>
              <w:t>381 U.S. 479</w:t>
            </w:r>
          </w:p>
        </w:tc>
        <w:tc>
          <w:tcPr>
            <w:tcW w:w="306" w:type="pct"/>
            <w:textDirection w:val="tbRl"/>
            <w:vAlign w:val="center"/>
          </w:tcPr>
          <w:p w14:paraId="284DE2B5" w14:textId="77777777" w:rsidR="00074551" w:rsidRPr="00E50B51" w:rsidRDefault="00074551" w:rsidP="00367133">
            <w:pPr>
              <w:ind w:left="113" w:right="113"/>
              <w:jc w:val="both"/>
              <w:rPr>
                <w:sz w:val="20"/>
                <w:szCs w:val="20"/>
              </w:rPr>
            </w:pPr>
            <w:r w:rsidRPr="00E50B51">
              <w:rPr>
                <w:sz w:val="20"/>
                <w:szCs w:val="20"/>
              </w:rPr>
              <w:t>7. Juni 1965</w:t>
            </w:r>
          </w:p>
        </w:tc>
        <w:tc>
          <w:tcPr>
            <w:tcW w:w="401" w:type="pct"/>
          </w:tcPr>
          <w:p w14:paraId="4EFF01C2" w14:textId="77777777" w:rsidR="00074551" w:rsidRPr="00E50B51" w:rsidRDefault="00074551" w:rsidP="00367133">
            <w:pPr>
              <w:jc w:val="center"/>
              <w:rPr>
                <w:sz w:val="20"/>
                <w:szCs w:val="20"/>
              </w:rPr>
            </w:pPr>
            <w:r w:rsidRPr="00E50B51">
              <w:rPr>
                <w:sz w:val="20"/>
                <w:szCs w:val="20"/>
              </w:rPr>
              <w:t>C</w:t>
            </w:r>
          </w:p>
        </w:tc>
        <w:tc>
          <w:tcPr>
            <w:tcW w:w="1594" w:type="pct"/>
          </w:tcPr>
          <w:p w14:paraId="27F35EAC" w14:textId="77777777" w:rsidR="00074551" w:rsidRPr="00E50B51" w:rsidRDefault="00074551" w:rsidP="00367133">
            <w:pPr>
              <w:jc w:val="both"/>
              <w:rPr>
                <w:sz w:val="20"/>
                <w:szCs w:val="20"/>
              </w:rPr>
            </w:pPr>
            <w:r w:rsidRPr="00E50B51">
              <w:rPr>
                <w:sz w:val="20"/>
                <w:szCs w:val="20"/>
              </w:rPr>
              <w:t>*</w:t>
            </w:r>
          </w:p>
        </w:tc>
        <w:tc>
          <w:tcPr>
            <w:tcW w:w="1822" w:type="pct"/>
          </w:tcPr>
          <w:p w14:paraId="3E83B53D" w14:textId="4453A5C5" w:rsidR="00074551" w:rsidRDefault="00074551" w:rsidP="00367133">
            <w:pPr>
              <w:jc w:val="both"/>
              <w:rPr>
                <w:sz w:val="20"/>
                <w:szCs w:val="20"/>
              </w:rPr>
            </w:pPr>
            <w:r w:rsidRPr="005457D6">
              <w:rPr>
                <w:sz w:val="20"/>
                <w:szCs w:val="20"/>
              </w:rPr>
              <w:t xml:space="preserve">Ein </w:t>
            </w:r>
            <w:r>
              <w:rPr>
                <w:sz w:val="20"/>
                <w:szCs w:val="20"/>
              </w:rPr>
              <w:t>Beteiligter an</w:t>
            </w:r>
            <w:r w:rsidRPr="005457D6">
              <w:rPr>
                <w:sz w:val="20"/>
                <w:szCs w:val="20"/>
              </w:rPr>
              <w:t xml:space="preserve"> einer Straftat – hier ein Arzt – habe das Recht, geltend zu machen, dass die Straftat kein Verbrechen sei und sie ihn in seinem Verfassungsrecht verletze. Diese eher weite Klagebefugnis ergibt sich nach der Rechtsprechung </w:t>
            </w:r>
            <w:r>
              <w:rPr>
                <w:sz w:val="20"/>
                <w:szCs w:val="20"/>
              </w:rPr>
              <w:t xml:space="preserve">des U.S. Supreme Court </w:t>
            </w:r>
            <w:r w:rsidRPr="005457D6">
              <w:rPr>
                <w:sz w:val="20"/>
                <w:szCs w:val="20"/>
              </w:rPr>
              <w:t>aus der möglichen Strafverurteilung, aber auch aus dem Erst-Recht-Schluss: Bereits ein Dritter sei für verheiratete Personen klagebefugt, wenn er mit ihnen eine berufliche Beziehung unterhalte („</w:t>
            </w:r>
            <w:proofErr w:type="spellStart"/>
            <w:r w:rsidRPr="005457D6">
              <w:rPr>
                <w:sz w:val="20"/>
                <w:szCs w:val="20"/>
              </w:rPr>
              <w:t>appellants</w:t>
            </w:r>
            <w:proofErr w:type="spellEnd"/>
            <w:r w:rsidRPr="005457D6">
              <w:rPr>
                <w:sz w:val="20"/>
                <w:szCs w:val="20"/>
              </w:rPr>
              <w:t xml:space="preserve"> </w:t>
            </w:r>
            <w:proofErr w:type="spellStart"/>
            <w:r w:rsidRPr="005457D6">
              <w:rPr>
                <w:sz w:val="20"/>
                <w:szCs w:val="20"/>
              </w:rPr>
              <w:t>have</w:t>
            </w:r>
            <w:proofErr w:type="spellEnd"/>
            <w:r w:rsidRPr="005457D6">
              <w:rPr>
                <w:sz w:val="20"/>
                <w:szCs w:val="20"/>
              </w:rPr>
              <w:t xml:space="preserve"> </w:t>
            </w:r>
            <w:proofErr w:type="spellStart"/>
            <w:r w:rsidRPr="005457D6">
              <w:rPr>
                <w:sz w:val="20"/>
                <w:szCs w:val="20"/>
              </w:rPr>
              <w:t>standing</w:t>
            </w:r>
            <w:proofErr w:type="spellEnd"/>
            <w:r w:rsidRPr="005457D6">
              <w:rPr>
                <w:sz w:val="20"/>
                <w:szCs w:val="20"/>
              </w:rPr>
              <w:t xml:space="preserve"> to </w:t>
            </w:r>
            <w:proofErr w:type="spellStart"/>
            <w:r w:rsidRPr="005457D6">
              <w:rPr>
                <w:sz w:val="20"/>
                <w:szCs w:val="20"/>
              </w:rPr>
              <w:t>raise</w:t>
            </w:r>
            <w:proofErr w:type="spellEnd"/>
            <w:r w:rsidRPr="005457D6">
              <w:rPr>
                <w:sz w:val="20"/>
                <w:szCs w:val="20"/>
              </w:rPr>
              <w:t xml:space="preserve"> the </w:t>
            </w:r>
            <w:proofErr w:type="spellStart"/>
            <w:r w:rsidRPr="005457D6">
              <w:rPr>
                <w:sz w:val="20"/>
                <w:szCs w:val="20"/>
              </w:rPr>
              <w:t>constitutional</w:t>
            </w:r>
            <w:proofErr w:type="spellEnd"/>
            <w:r w:rsidRPr="005457D6">
              <w:rPr>
                <w:sz w:val="20"/>
                <w:szCs w:val="20"/>
              </w:rPr>
              <w:t xml:space="preserve"> </w:t>
            </w:r>
            <w:proofErr w:type="spellStart"/>
            <w:r w:rsidRPr="005457D6">
              <w:rPr>
                <w:sz w:val="20"/>
                <w:szCs w:val="20"/>
              </w:rPr>
              <w:t>rights</w:t>
            </w:r>
            <w:proofErr w:type="spellEnd"/>
            <w:r w:rsidRPr="005457D6">
              <w:rPr>
                <w:sz w:val="20"/>
                <w:szCs w:val="20"/>
              </w:rPr>
              <w:t xml:space="preserve"> of the </w:t>
            </w:r>
            <w:proofErr w:type="spellStart"/>
            <w:r w:rsidRPr="005457D6">
              <w:rPr>
                <w:sz w:val="20"/>
                <w:szCs w:val="20"/>
              </w:rPr>
              <w:t>married</w:t>
            </w:r>
            <w:proofErr w:type="spellEnd"/>
            <w:r w:rsidRPr="005457D6">
              <w:rPr>
                <w:sz w:val="20"/>
                <w:szCs w:val="20"/>
              </w:rPr>
              <w:t xml:space="preserve"> </w:t>
            </w:r>
            <w:proofErr w:type="spellStart"/>
            <w:r w:rsidRPr="005457D6">
              <w:rPr>
                <w:sz w:val="20"/>
                <w:szCs w:val="20"/>
              </w:rPr>
              <w:t>people</w:t>
            </w:r>
            <w:proofErr w:type="spellEnd"/>
            <w:r w:rsidRPr="005457D6">
              <w:rPr>
                <w:sz w:val="20"/>
                <w:szCs w:val="20"/>
              </w:rPr>
              <w:t xml:space="preserve"> </w:t>
            </w:r>
            <w:proofErr w:type="spellStart"/>
            <w:r w:rsidRPr="005457D6">
              <w:rPr>
                <w:sz w:val="20"/>
                <w:szCs w:val="20"/>
              </w:rPr>
              <w:t>with</w:t>
            </w:r>
            <w:proofErr w:type="spellEnd"/>
            <w:r w:rsidRPr="005457D6">
              <w:rPr>
                <w:sz w:val="20"/>
                <w:szCs w:val="20"/>
              </w:rPr>
              <w:t xml:space="preserve"> </w:t>
            </w:r>
            <w:proofErr w:type="spellStart"/>
            <w:r w:rsidRPr="005457D6">
              <w:rPr>
                <w:sz w:val="20"/>
                <w:szCs w:val="20"/>
              </w:rPr>
              <w:t>whom</w:t>
            </w:r>
            <w:proofErr w:type="spellEnd"/>
            <w:r w:rsidRPr="005457D6">
              <w:rPr>
                <w:sz w:val="20"/>
                <w:szCs w:val="20"/>
              </w:rPr>
              <w:t xml:space="preserve"> </w:t>
            </w:r>
            <w:proofErr w:type="spellStart"/>
            <w:r w:rsidRPr="005457D6">
              <w:rPr>
                <w:sz w:val="20"/>
                <w:szCs w:val="20"/>
              </w:rPr>
              <w:t>they</w:t>
            </w:r>
            <w:proofErr w:type="spellEnd"/>
            <w:r w:rsidRPr="005457D6">
              <w:rPr>
                <w:sz w:val="20"/>
                <w:szCs w:val="20"/>
              </w:rPr>
              <w:t xml:space="preserve"> </w:t>
            </w:r>
            <w:proofErr w:type="spellStart"/>
            <w:r w:rsidRPr="005457D6">
              <w:rPr>
                <w:sz w:val="20"/>
                <w:szCs w:val="20"/>
              </w:rPr>
              <w:t>had</w:t>
            </w:r>
            <w:proofErr w:type="spellEnd"/>
            <w:r w:rsidRPr="005457D6">
              <w:rPr>
                <w:sz w:val="20"/>
                <w:szCs w:val="20"/>
              </w:rPr>
              <w:t xml:space="preserve"> a professional </w:t>
            </w:r>
            <w:proofErr w:type="spellStart"/>
            <w:r w:rsidRPr="005457D6">
              <w:rPr>
                <w:sz w:val="20"/>
                <w:szCs w:val="20"/>
              </w:rPr>
              <w:t>relationship</w:t>
            </w:r>
            <w:proofErr w:type="spellEnd"/>
            <w:r w:rsidRPr="005457D6">
              <w:rPr>
                <w:sz w:val="20"/>
                <w:szCs w:val="20"/>
              </w:rPr>
              <w:t>“</w:t>
            </w:r>
            <w:r w:rsidRPr="005457D6">
              <w:rPr>
                <w:sz w:val="20"/>
                <w:szCs w:val="20"/>
                <w:vertAlign w:val="superscript"/>
              </w:rPr>
              <w:footnoteReference w:id="1933"/>
            </w:r>
            <w:r w:rsidRPr="005457D6">
              <w:rPr>
                <w:sz w:val="20"/>
                <w:szCs w:val="20"/>
              </w:rPr>
              <w:t xml:space="preserve">). Diese weite Klagebefugnis ergibt sich nach der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5457D6">
              <w:rPr>
                <w:sz w:val="20"/>
                <w:szCs w:val="20"/>
              </w:rPr>
              <w:t xml:space="preserve"> aus dem Recht auf Schutz der Privatsphäre, dem sog. „</w:t>
            </w:r>
            <w:proofErr w:type="spellStart"/>
            <w:r w:rsidRPr="005457D6">
              <w:rPr>
                <w:sz w:val="20"/>
                <w:szCs w:val="20"/>
              </w:rPr>
              <w:t>right</w:t>
            </w:r>
            <w:proofErr w:type="spellEnd"/>
            <w:r w:rsidRPr="005457D6">
              <w:rPr>
                <w:sz w:val="20"/>
                <w:szCs w:val="20"/>
              </w:rPr>
              <w:t xml:space="preserve"> of </w:t>
            </w:r>
            <w:proofErr w:type="spellStart"/>
            <w:r w:rsidRPr="005457D6">
              <w:rPr>
                <w:sz w:val="20"/>
                <w:szCs w:val="20"/>
              </w:rPr>
              <w:t>privacy</w:t>
            </w:r>
            <w:proofErr w:type="spellEnd"/>
            <w:r w:rsidRPr="005457D6">
              <w:rPr>
                <w:sz w:val="20"/>
                <w:szCs w:val="20"/>
              </w:rPr>
              <w:t>“</w:t>
            </w:r>
            <w:r w:rsidRPr="005457D6">
              <w:rPr>
                <w:sz w:val="20"/>
                <w:szCs w:val="20"/>
                <w:vertAlign w:val="superscript"/>
              </w:rPr>
              <w:footnoteReference w:id="1934"/>
            </w:r>
            <w:r w:rsidRPr="005457D6">
              <w:rPr>
                <w:sz w:val="20"/>
                <w:szCs w:val="20"/>
              </w:rPr>
              <w:t>, als Bedingung für Glücksstreben.</w:t>
            </w:r>
            <w:r w:rsidRPr="005457D6">
              <w:rPr>
                <w:sz w:val="20"/>
                <w:szCs w:val="20"/>
                <w:vertAlign w:val="superscript"/>
              </w:rPr>
              <w:footnoteReference w:id="1935"/>
            </w:r>
            <w:r w:rsidRPr="005457D6">
              <w:rPr>
                <w:sz w:val="20"/>
                <w:szCs w:val="20"/>
              </w:rPr>
              <w:t xml:space="preserve"> Dieses Recht wäre Eheleuten unangemessen entzogen, wenn die Klagebefugnis einen Arzt, der als Dritter Eheleuten </w:t>
            </w:r>
            <w:r>
              <w:rPr>
                <w:sz w:val="20"/>
                <w:szCs w:val="20"/>
              </w:rPr>
              <w:t>Verhütungs</w:t>
            </w:r>
            <w:r w:rsidRPr="005457D6">
              <w:rPr>
                <w:sz w:val="20"/>
                <w:szCs w:val="20"/>
              </w:rPr>
              <w:t>mittel verschrieben h</w:t>
            </w:r>
            <w:r w:rsidR="00C22BDD">
              <w:rPr>
                <w:sz w:val="20"/>
                <w:szCs w:val="20"/>
              </w:rPr>
              <w:t>a</w:t>
            </w:r>
            <w:r w:rsidRPr="005457D6">
              <w:rPr>
                <w:sz w:val="20"/>
                <w:szCs w:val="20"/>
              </w:rPr>
              <w:t>tte, ungeschützt ließe – und stattdessen einer Strafverfolgung unterliege, oder diese zumindest nicht angreifen könne.</w:t>
            </w:r>
          </w:p>
          <w:p w14:paraId="5DCCCD4F" w14:textId="77777777" w:rsidR="00074551" w:rsidRPr="00E50B51" w:rsidRDefault="00074551" w:rsidP="00367133">
            <w:pPr>
              <w:jc w:val="both"/>
              <w:rPr>
                <w:sz w:val="20"/>
                <w:szCs w:val="20"/>
              </w:rPr>
            </w:pPr>
          </w:p>
        </w:tc>
      </w:tr>
      <w:tr w:rsidR="00074551" w:rsidRPr="00E50B51" w14:paraId="44311072" w14:textId="77777777" w:rsidTr="00BE689F">
        <w:trPr>
          <w:cantSplit/>
          <w:trHeight w:val="3175"/>
        </w:trPr>
        <w:tc>
          <w:tcPr>
            <w:tcW w:w="293" w:type="pct"/>
          </w:tcPr>
          <w:p w14:paraId="6C2284FD"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354CD55" w14:textId="77777777" w:rsidR="00074551" w:rsidRPr="00B45592" w:rsidRDefault="00074551" w:rsidP="00367133">
            <w:pPr>
              <w:ind w:left="113" w:right="113"/>
              <w:jc w:val="both"/>
              <w:rPr>
                <w:i/>
                <w:sz w:val="20"/>
                <w:szCs w:val="20"/>
              </w:rPr>
            </w:pPr>
            <w:r w:rsidRPr="00B45592">
              <w:rPr>
                <w:i/>
                <w:sz w:val="20"/>
                <w:szCs w:val="20"/>
              </w:rPr>
              <w:t>Rakas v. Illinois</w:t>
            </w:r>
          </w:p>
        </w:tc>
        <w:tc>
          <w:tcPr>
            <w:tcW w:w="197" w:type="pct"/>
            <w:textDirection w:val="tbRl"/>
            <w:vAlign w:val="center"/>
          </w:tcPr>
          <w:p w14:paraId="6755ED40" w14:textId="77777777" w:rsidR="00074551" w:rsidRPr="00E50B51" w:rsidRDefault="00074551" w:rsidP="00367133">
            <w:pPr>
              <w:ind w:left="113" w:right="113"/>
              <w:jc w:val="both"/>
              <w:rPr>
                <w:iCs/>
                <w:sz w:val="20"/>
                <w:szCs w:val="20"/>
              </w:rPr>
            </w:pPr>
            <w:r w:rsidRPr="00E50B51">
              <w:rPr>
                <w:sz w:val="20"/>
                <w:szCs w:val="20"/>
                <w:lang w:val="en-US"/>
              </w:rPr>
              <w:t>439 U.S. 128</w:t>
            </w:r>
          </w:p>
        </w:tc>
        <w:tc>
          <w:tcPr>
            <w:tcW w:w="306" w:type="pct"/>
            <w:textDirection w:val="tbRl"/>
            <w:vAlign w:val="center"/>
          </w:tcPr>
          <w:p w14:paraId="667B9301" w14:textId="77777777" w:rsidR="00074551" w:rsidRPr="00E50B51" w:rsidRDefault="00074551" w:rsidP="00367133">
            <w:pPr>
              <w:ind w:left="113" w:right="113"/>
              <w:jc w:val="both"/>
              <w:rPr>
                <w:sz w:val="20"/>
                <w:szCs w:val="20"/>
              </w:rPr>
            </w:pPr>
            <w:r w:rsidRPr="00E50B51">
              <w:rPr>
                <w:sz w:val="20"/>
                <w:szCs w:val="20"/>
              </w:rPr>
              <w:t>5. Dezember 1978</w:t>
            </w:r>
          </w:p>
        </w:tc>
        <w:tc>
          <w:tcPr>
            <w:tcW w:w="401" w:type="pct"/>
          </w:tcPr>
          <w:p w14:paraId="2DC38DA4" w14:textId="77777777" w:rsidR="00074551" w:rsidRPr="00E50B51" w:rsidRDefault="00074551" w:rsidP="00367133">
            <w:pPr>
              <w:jc w:val="center"/>
              <w:rPr>
                <w:sz w:val="20"/>
                <w:szCs w:val="20"/>
              </w:rPr>
            </w:pPr>
            <w:r w:rsidRPr="00E50B51">
              <w:rPr>
                <w:iCs/>
                <w:sz w:val="20"/>
                <w:szCs w:val="20"/>
              </w:rPr>
              <w:t>D</w:t>
            </w:r>
          </w:p>
        </w:tc>
        <w:tc>
          <w:tcPr>
            <w:tcW w:w="1594" w:type="pct"/>
          </w:tcPr>
          <w:p w14:paraId="421DA538" w14:textId="0832E7FF"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die Verurteilung der Antragsteller wegen eines bewaffneten Raubüberfalls. Er lehnte den Antrag der Antragsteller ab, die Beweismittel für unverwertbar zu erklären</w:t>
            </w:r>
            <w:r>
              <w:rPr>
                <w:sz w:val="20"/>
                <w:szCs w:val="20"/>
              </w:rPr>
              <w:t>; eine Unverwertbarkeit hätte</w:t>
            </w:r>
            <w:r w:rsidRPr="00E50B51">
              <w:rPr>
                <w:sz w:val="20"/>
                <w:szCs w:val="20"/>
              </w:rPr>
              <w:t xml:space="preserve"> eine Verurteilung gehindert. Bereits in den Vorinstanzen wendeten sich die Antragsteller erfolglos dagegen, dass die Polizei eine Schrotflinte sowie Patronen beschlagnahmt ha</w:t>
            </w:r>
            <w:r>
              <w:rPr>
                <w:sz w:val="20"/>
                <w:szCs w:val="20"/>
              </w:rPr>
              <w:t>tt</w:t>
            </w:r>
            <w:r w:rsidRPr="00E50B51">
              <w:rPr>
                <w:sz w:val="20"/>
                <w:szCs w:val="20"/>
              </w:rPr>
              <w:t>e</w:t>
            </w:r>
            <w:r>
              <w:rPr>
                <w:sz w:val="20"/>
                <w:szCs w:val="20"/>
              </w:rPr>
              <w:t xml:space="preserve">. Die Beschlagnahmung geschah </w:t>
            </w:r>
            <w:r w:rsidRPr="00E50B51">
              <w:rPr>
                <w:sz w:val="20"/>
                <w:szCs w:val="20"/>
              </w:rPr>
              <w:t xml:space="preserve">während einer Durchsuchung eines Fahrzeugs, in dem </w:t>
            </w:r>
            <w:r>
              <w:rPr>
                <w:sz w:val="20"/>
                <w:szCs w:val="20"/>
              </w:rPr>
              <w:t xml:space="preserve">die Antragsteller </w:t>
            </w:r>
            <w:r w:rsidRPr="00E50B51">
              <w:rPr>
                <w:sz w:val="20"/>
                <w:szCs w:val="20"/>
              </w:rPr>
              <w:t>saßen</w:t>
            </w:r>
            <w:r>
              <w:rPr>
                <w:sz w:val="20"/>
                <w:szCs w:val="20"/>
              </w:rPr>
              <w:t xml:space="preserve">; </w:t>
            </w:r>
            <w:r w:rsidRPr="00E50B51">
              <w:rPr>
                <w:sz w:val="20"/>
                <w:szCs w:val="20"/>
              </w:rPr>
              <w:t xml:space="preserve">aber </w:t>
            </w:r>
            <w:r>
              <w:rPr>
                <w:sz w:val="20"/>
                <w:szCs w:val="20"/>
              </w:rPr>
              <w:t xml:space="preserve">das Fahrzeug gehörte ihnen </w:t>
            </w:r>
            <w:r w:rsidRPr="00E50B51">
              <w:rPr>
                <w:sz w:val="20"/>
                <w:szCs w:val="20"/>
              </w:rPr>
              <w:t xml:space="preserve">nicht ihnen. Der </w:t>
            </w:r>
            <w:r>
              <w:rPr>
                <w:sz w:val="20"/>
                <w:szCs w:val="20"/>
              </w:rPr>
              <w:t>U.S. Supreme Court</w:t>
            </w:r>
            <w:r w:rsidRPr="00E50B51">
              <w:rPr>
                <w:sz w:val="20"/>
                <w:szCs w:val="20"/>
              </w:rPr>
              <w:t xml:space="preserve"> urteilte, es komme bei seiner Prüfungskompetenz bei der Klagebefugnis („</w:t>
            </w:r>
            <w:proofErr w:type="spellStart"/>
            <w:r w:rsidRPr="005457D6">
              <w:rPr>
                <w:sz w:val="20"/>
                <w:szCs w:val="20"/>
              </w:rPr>
              <w:t>standing</w:t>
            </w:r>
            <w:proofErr w:type="spellEnd"/>
            <w:r w:rsidRPr="005457D6">
              <w:rPr>
                <w:sz w:val="20"/>
                <w:szCs w:val="20"/>
              </w:rPr>
              <w:t>“</w:t>
            </w:r>
            <w:r w:rsidRPr="005457D6">
              <w:rPr>
                <w:rStyle w:val="Funotenzeichen"/>
                <w:sz w:val="20"/>
                <w:szCs w:val="20"/>
              </w:rPr>
              <w:footnoteReference w:id="1936"/>
            </w:r>
            <w:r w:rsidRPr="005457D6">
              <w:rPr>
                <w:sz w:val="20"/>
                <w:szCs w:val="20"/>
              </w:rPr>
              <w:t>) zur Verwertbarkeit von Beweisen („</w:t>
            </w:r>
            <w:proofErr w:type="spellStart"/>
            <w:r w:rsidRPr="005457D6">
              <w:rPr>
                <w:sz w:val="20"/>
                <w:szCs w:val="20"/>
              </w:rPr>
              <w:t>exclusionary</w:t>
            </w:r>
            <w:proofErr w:type="spellEnd"/>
            <w:r w:rsidRPr="005457D6">
              <w:rPr>
                <w:sz w:val="20"/>
                <w:szCs w:val="20"/>
              </w:rPr>
              <w:t xml:space="preserve"> </w:t>
            </w:r>
            <w:proofErr w:type="spellStart"/>
            <w:r w:rsidRPr="005457D6">
              <w:rPr>
                <w:sz w:val="20"/>
                <w:szCs w:val="20"/>
              </w:rPr>
              <w:t>rule</w:t>
            </w:r>
            <w:proofErr w:type="spellEnd"/>
            <w:r w:rsidRPr="005457D6">
              <w:rPr>
                <w:sz w:val="20"/>
                <w:szCs w:val="20"/>
              </w:rPr>
              <w:t>“</w:t>
            </w:r>
            <w:r w:rsidRPr="005457D6">
              <w:rPr>
                <w:rStyle w:val="Funotenzeichen"/>
                <w:sz w:val="20"/>
                <w:szCs w:val="20"/>
              </w:rPr>
              <w:footnoteReference w:id="1937"/>
            </w:r>
            <w:r w:rsidRPr="005457D6">
              <w:rPr>
                <w:sz w:val="20"/>
                <w:szCs w:val="20"/>
              </w:rPr>
              <w:t>) auf die</w:t>
            </w:r>
            <w:r w:rsidRPr="00E50B51">
              <w:rPr>
                <w:sz w:val="20"/>
                <w:szCs w:val="20"/>
              </w:rPr>
              <w:t xml:space="preserve"> Betroffenheit der Schutzbereiche der Grundrechte an. Hier </w:t>
            </w:r>
            <w:r>
              <w:rPr>
                <w:sz w:val="20"/>
                <w:szCs w:val="20"/>
              </w:rPr>
              <w:t>sei</w:t>
            </w:r>
            <w:r w:rsidRPr="00E50B51">
              <w:rPr>
                <w:sz w:val="20"/>
                <w:szCs w:val="20"/>
              </w:rPr>
              <w:t xml:space="preserve"> der Schutzbereich </w:t>
            </w:r>
            <w:r>
              <w:rPr>
                <w:sz w:val="20"/>
                <w:szCs w:val="20"/>
              </w:rPr>
              <w:t>von</w:t>
            </w:r>
            <w:r w:rsidRPr="00E50B5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E50B51">
              <w:rPr>
                <w:sz w:val="20"/>
                <w:szCs w:val="20"/>
              </w:rPr>
              <w:t xml:space="preserve"> aber nicht betroffen</w:t>
            </w:r>
            <w:r>
              <w:rPr>
                <w:sz w:val="20"/>
                <w:szCs w:val="20"/>
              </w:rPr>
              <w:t xml:space="preserve"> gewesen</w:t>
            </w:r>
            <w:r w:rsidRPr="00E50B51">
              <w:rPr>
                <w:sz w:val="20"/>
                <w:szCs w:val="20"/>
              </w:rPr>
              <w:t xml:space="preserve">. Denn er hänge nicht davon ab, ob die Antragsteller sich rechtmäßig an dem durchsuchten Ort aufhielten. Auch hänge er nicht von einem Besitz- bzw. Eigentumsrecht an dem Ort ab, in den eingedrungen wird – </w:t>
            </w:r>
            <w:proofErr w:type="spellStart"/>
            <w:r>
              <w:rPr>
                <w:sz w:val="20"/>
                <w:szCs w:val="20"/>
              </w:rPr>
              <w:t>so weit</w:t>
            </w:r>
            <w:proofErr w:type="spellEnd"/>
            <w:r w:rsidRPr="00E50B51">
              <w:rPr>
                <w:sz w:val="20"/>
                <w:szCs w:val="20"/>
              </w:rPr>
              <w:t xml:space="preserve"> das Fahrzeug nicht im Eigentum des Antragstellers stehe. Das Amendment schütze nur Orte, an denen die Antragsteller legitimerweise eine Privatsphäre erwarte</w:t>
            </w:r>
            <w:r>
              <w:rPr>
                <w:sz w:val="20"/>
                <w:szCs w:val="20"/>
              </w:rPr>
              <w:t>te</w:t>
            </w:r>
            <w:r w:rsidRPr="00E50B51">
              <w:rPr>
                <w:sz w:val="20"/>
                <w:szCs w:val="20"/>
              </w:rPr>
              <w:t xml:space="preserve">n. Das </w:t>
            </w:r>
            <w:r>
              <w:rPr>
                <w:sz w:val="20"/>
                <w:szCs w:val="20"/>
              </w:rPr>
              <w:t>sei</w:t>
            </w:r>
            <w:r w:rsidRPr="00E50B51">
              <w:rPr>
                <w:sz w:val="20"/>
                <w:szCs w:val="20"/>
              </w:rPr>
              <w:t xml:space="preserve"> aber nicht der Fall bei einem Fahrzeug, das den Antragstellern nicht gehöre.</w:t>
            </w:r>
            <w:r>
              <w:rPr>
                <w:rStyle w:val="Funotenzeichen"/>
                <w:sz w:val="20"/>
                <w:szCs w:val="20"/>
              </w:rPr>
              <w:footnoteReference w:id="1938"/>
            </w:r>
          </w:p>
          <w:p w14:paraId="06582A9E" w14:textId="77777777" w:rsidR="00074551" w:rsidRPr="00E50B51" w:rsidRDefault="00074551" w:rsidP="00367133">
            <w:pPr>
              <w:jc w:val="both"/>
              <w:rPr>
                <w:sz w:val="20"/>
                <w:szCs w:val="20"/>
              </w:rPr>
            </w:pPr>
          </w:p>
        </w:tc>
        <w:tc>
          <w:tcPr>
            <w:tcW w:w="1822" w:type="pct"/>
          </w:tcPr>
          <w:p w14:paraId="7F6797A2" w14:textId="6979A018" w:rsidR="00074551" w:rsidRPr="00E50B51" w:rsidRDefault="00074551" w:rsidP="00367133">
            <w:pPr>
              <w:jc w:val="both"/>
              <w:rPr>
                <w:sz w:val="20"/>
                <w:szCs w:val="20"/>
              </w:rPr>
            </w:pPr>
            <w:r w:rsidRPr="00A53307">
              <w:rPr>
                <w:sz w:val="20"/>
                <w:szCs w:val="20"/>
              </w:rPr>
              <w:t xml:space="preserve">Der </w:t>
            </w:r>
            <w:r>
              <w:rPr>
                <w:sz w:val="20"/>
                <w:szCs w:val="20"/>
              </w:rPr>
              <w:t>U.S. Supreme Court</w:t>
            </w:r>
            <w:r w:rsidRPr="00A53307">
              <w:rPr>
                <w:sz w:val="20"/>
                <w:szCs w:val="20"/>
              </w:rPr>
              <w:t xml:space="preserve"> differenzierte im Fall die Klagebefugnis aus. Die von </w:t>
            </w:r>
            <w:r w:rsidRPr="5B67C1D2">
              <w:rPr>
                <w:i/>
                <w:iCs/>
                <w:sz w:val="20"/>
                <w:szCs w:val="20"/>
              </w:rPr>
              <w:t>Katz v. United States</w:t>
            </w:r>
            <w:r w:rsidRPr="00A53307">
              <w:rPr>
                <w:sz w:val="20"/>
                <w:szCs w:val="20"/>
                <w:vertAlign w:val="superscript"/>
              </w:rPr>
              <w:footnoteReference w:id="1939"/>
            </w:r>
            <w:r w:rsidRPr="00A53307">
              <w:rPr>
                <w:sz w:val="20"/>
                <w:szCs w:val="20"/>
              </w:rPr>
              <w:t xml:space="preserve"> ausgehende Rechtsprechungslinie dazu konturierte er weiter: Um Rechtsschutz zu beanspruchen, muss ein </w:t>
            </w:r>
            <w:r>
              <w:rPr>
                <w:sz w:val="20"/>
                <w:szCs w:val="20"/>
              </w:rPr>
              <w:t>Antragsteller</w:t>
            </w:r>
            <w:r w:rsidRPr="00A53307">
              <w:rPr>
                <w:sz w:val="20"/>
                <w:szCs w:val="20"/>
              </w:rPr>
              <w:t xml:space="preserve"> sein Interesse am Ausgang des Rechtsstreits geltend machen. Das Interesse muss i.d.R. eine konkrete Beschwer („</w:t>
            </w:r>
            <w:proofErr w:type="spellStart"/>
            <w:r w:rsidRPr="00A53307">
              <w:rPr>
                <w:sz w:val="20"/>
                <w:szCs w:val="20"/>
              </w:rPr>
              <w:t>concrete</w:t>
            </w:r>
            <w:proofErr w:type="spellEnd"/>
            <w:r w:rsidRPr="00A53307">
              <w:rPr>
                <w:sz w:val="20"/>
                <w:szCs w:val="20"/>
              </w:rPr>
              <w:t xml:space="preserve"> </w:t>
            </w:r>
            <w:proofErr w:type="spellStart"/>
            <w:r w:rsidRPr="00A53307">
              <w:rPr>
                <w:sz w:val="20"/>
                <w:szCs w:val="20"/>
              </w:rPr>
              <w:t>adverseness</w:t>
            </w:r>
            <w:proofErr w:type="spellEnd"/>
            <w:r w:rsidRPr="00A53307">
              <w:rPr>
                <w:sz w:val="20"/>
                <w:szCs w:val="20"/>
              </w:rPr>
              <w:t>“</w:t>
            </w:r>
            <w:r w:rsidRPr="00A53307">
              <w:rPr>
                <w:sz w:val="20"/>
                <w:szCs w:val="20"/>
                <w:vertAlign w:val="superscript"/>
              </w:rPr>
              <w:t xml:space="preserve"> </w:t>
            </w:r>
            <w:r w:rsidRPr="00A53307">
              <w:rPr>
                <w:sz w:val="20"/>
                <w:szCs w:val="20"/>
                <w:vertAlign w:val="superscript"/>
              </w:rPr>
              <w:footnoteReference w:id="1940"/>
            </w:r>
            <w:r w:rsidRPr="00A53307">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art. III</w:t>
            </w:r>
            <w:r w:rsidRPr="00A53307">
              <w:rPr>
                <w:sz w:val="20"/>
                <w:szCs w:val="20"/>
              </w:rPr>
              <w:t xml:space="preserve"> beinhalten.</w:t>
            </w:r>
            <w:r w:rsidRPr="00A53307">
              <w:rPr>
                <w:sz w:val="20"/>
                <w:szCs w:val="20"/>
                <w:vertAlign w:val="superscript"/>
              </w:rPr>
              <w:footnoteReference w:id="1941"/>
            </w:r>
            <w:r w:rsidRPr="00A53307">
              <w:rPr>
                <w:sz w:val="20"/>
                <w:szCs w:val="20"/>
              </w:rPr>
              <w:t xml:space="preserve"> Zum Beispiel liege eine Klagebefugnis nicht vor, wenn eine Person kein Angeklagter im Strafverfahren sei, sich aber gegen eine rechtswidrige Beschlagnahm</w:t>
            </w:r>
            <w:r>
              <w:rPr>
                <w:sz w:val="20"/>
                <w:szCs w:val="20"/>
              </w:rPr>
              <w:t>ung</w:t>
            </w:r>
            <w:r w:rsidRPr="00A53307">
              <w:rPr>
                <w:sz w:val="20"/>
                <w:szCs w:val="20"/>
              </w:rPr>
              <w:t xml:space="preserve"> wende und die Unverwertbarkeit laut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53307">
              <w:rPr>
                <w:sz w:val="20"/>
                <w:szCs w:val="20"/>
              </w:rPr>
              <w:t xml:space="preserve"> beantrage. Diese Person </w:t>
            </w:r>
            <w:r>
              <w:rPr>
                <w:sz w:val="20"/>
                <w:szCs w:val="20"/>
              </w:rPr>
              <w:t>könne</w:t>
            </w:r>
            <w:r w:rsidRPr="00A53307">
              <w:rPr>
                <w:sz w:val="20"/>
                <w:szCs w:val="20"/>
              </w:rPr>
              <w:t xml:space="preserve"> sich nicht auf verfassungsrechtliche Ausschlussregeln berufen.</w:t>
            </w:r>
            <w:r w:rsidRPr="00A53307">
              <w:rPr>
                <w:sz w:val="20"/>
                <w:szCs w:val="20"/>
                <w:vertAlign w:val="superscript"/>
              </w:rPr>
              <w:footnoteReference w:id="1942"/>
            </w:r>
            <w:r w:rsidRPr="00A53307">
              <w:rPr>
                <w:sz w:val="20"/>
                <w:szCs w:val="20"/>
              </w:rPr>
              <w:t xml:space="preserve"> Demnach erg</w:t>
            </w:r>
            <w:r>
              <w:rPr>
                <w:sz w:val="20"/>
                <w:szCs w:val="20"/>
              </w:rPr>
              <w:t>ä</w:t>
            </w:r>
            <w:r w:rsidRPr="00A53307">
              <w:rPr>
                <w:sz w:val="20"/>
                <w:szCs w:val="20"/>
              </w:rPr>
              <w:t xml:space="preserve">ben sich zwei Prüfungsschritte zur Klagebefugnis: Erstens, ob der </w:t>
            </w:r>
            <w:r>
              <w:rPr>
                <w:sz w:val="20"/>
                <w:szCs w:val="20"/>
              </w:rPr>
              <w:t>Antragsteller</w:t>
            </w:r>
            <w:r w:rsidRPr="00A53307">
              <w:rPr>
                <w:sz w:val="20"/>
                <w:szCs w:val="20"/>
              </w:rPr>
              <w:t xml:space="preserve"> eine konkrete Beschwer vortrage. Und zweitens: Ob der Antragsteller eigene Rechte und Interessen geltend mache, d.h. seinen Rechtsschutz nicht auf Rechte Dritter stütze.</w:t>
            </w:r>
            <w:r w:rsidRPr="00A53307">
              <w:rPr>
                <w:sz w:val="20"/>
                <w:szCs w:val="20"/>
                <w:vertAlign w:val="superscript"/>
              </w:rPr>
              <w:footnoteReference w:id="1943"/>
            </w:r>
            <w:r w:rsidRPr="00A53307">
              <w:rPr>
                <w:sz w:val="20"/>
                <w:szCs w:val="20"/>
              </w:rPr>
              <w:t xml:space="preserve"> Der Schutzbereich </w:t>
            </w:r>
            <w:r>
              <w:rPr>
                <w:sz w:val="20"/>
                <w:szCs w:val="20"/>
              </w:rPr>
              <w:t>von</w:t>
            </w:r>
            <w:r w:rsidRPr="00A53307">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53307">
              <w:rPr>
                <w:sz w:val="20"/>
                <w:szCs w:val="20"/>
              </w:rPr>
              <w:t xml:space="preserve"> solle nicht vom Eigentumsrecht am durchsuchten Ort abhängen, so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A53307">
              <w:rPr>
                <w:sz w:val="20"/>
                <w:szCs w:val="20"/>
              </w:rPr>
              <w:t xml:space="preserve">. Indes hänge der Schutz laut </w:t>
            </w:r>
            <w:r>
              <w:rPr>
                <w:sz w:val="20"/>
                <w:szCs w:val="20"/>
              </w:rPr>
              <w:t>U.S. Supreme Court</w:t>
            </w:r>
            <w:r w:rsidRPr="00A53307">
              <w:rPr>
                <w:sz w:val="20"/>
                <w:szCs w:val="20"/>
              </w:rPr>
              <w:t xml:space="preserve"> vielmehr davon ab, ob der </w:t>
            </w:r>
            <w:r>
              <w:rPr>
                <w:sz w:val="20"/>
                <w:szCs w:val="20"/>
              </w:rPr>
              <w:t>Antragsteller</w:t>
            </w:r>
            <w:r w:rsidRPr="00A53307">
              <w:rPr>
                <w:sz w:val="20"/>
                <w:szCs w:val="20"/>
              </w:rPr>
              <w:t xml:space="preserve"> eine Privatsphäre an de</w:t>
            </w:r>
            <w:r>
              <w:rPr>
                <w:sz w:val="20"/>
                <w:szCs w:val="20"/>
              </w:rPr>
              <w:t>m</w:t>
            </w:r>
            <w:r w:rsidRPr="00A53307">
              <w:rPr>
                <w:sz w:val="20"/>
                <w:szCs w:val="20"/>
              </w:rPr>
              <w:t xml:space="preserve"> Ort legitimerweise erwarten </w:t>
            </w:r>
            <w:r>
              <w:rPr>
                <w:sz w:val="20"/>
                <w:szCs w:val="20"/>
              </w:rPr>
              <w:t>könne</w:t>
            </w:r>
            <w:r w:rsidRPr="00A53307">
              <w:rPr>
                <w:sz w:val="20"/>
                <w:szCs w:val="20"/>
              </w:rPr>
              <w:t xml:space="preserve">; gleichwohl bestimmt der </w:t>
            </w:r>
            <w:r>
              <w:rPr>
                <w:sz w:val="20"/>
                <w:szCs w:val="20"/>
              </w:rPr>
              <w:t>U.S. Supreme Court</w:t>
            </w:r>
            <w:r w:rsidRPr="00A53307">
              <w:rPr>
                <w:sz w:val="20"/>
                <w:szCs w:val="20"/>
              </w:rPr>
              <w:t xml:space="preserve"> das Recht auf Privatsphäre bei einer Durchsuchung in einem Fahrzeug an</w:t>
            </w:r>
            <w:r>
              <w:rPr>
                <w:sz w:val="20"/>
                <w:szCs w:val="20"/>
              </w:rPr>
              <w:t>hand</w:t>
            </w:r>
            <w:r w:rsidRPr="00A53307">
              <w:rPr>
                <w:sz w:val="20"/>
                <w:szCs w:val="20"/>
              </w:rPr>
              <w:t xml:space="preserve"> de</w:t>
            </w:r>
            <w:r>
              <w:rPr>
                <w:sz w:val="20"/>
                <w:szCs w:val="20"/>
              </w:rPr>
              <w:t>r</w:t>
            </w:r>
            <w:r w:rsidRPr="00A53307">
              <w:rPr>
                <w:sz w:val="20"/>
                <w:szCs w:val="20"/>
              </w:rPr>
              <w:t xml:space="preserve"> Eigentumsverhältnisse – mit der Nuancierung, dass es erst einmal auf die legitime Erwartung ankomme und die Eigentumsverhältnisse nur indiziell seien: Es dürfe also weniger Privatsphäre verlangt werden, wenn keine Besitz- oder Eigentumsverhältnisse vorl</w:t>
            </w:r>
            <w:r>
              <w:rPr>
                <w:sz w:val="20"/>
                <w:szCs w:val="20"/>
              </w:rPr>
              <w:t>ä</w:t>
            </w:r>
            <w:r w:rsidRPr="00A53307">
              <w:rPr>
                <w:sz w:val="20"/>
                <w:szCs w:val="20"/>
              </w:rPr>
              <w:t>gen.</w:t>
            </w:r>
            <w:r w:rsidRPr="00A53307">
              <w:rPr>
                <w:sz w:val="20"/>
                <w:szCs w:val="20"/>
                <w:vertAlign w:val="superscript"/>
              </w:rPr>
              <w:footnoteReference w:id="1944"/>
            </w:r>
            <w:r w:rsidRPr="00A53307">
              <w:rPr>
                <w:sz w:val="20"/>
                <w:szCs w:val="20"/>
              </w:rPr>
              <w:t xml:space="preserve"> Der Dissens zur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Pr>
                <w:sz w:val="20"/>
                <w:szCs w:val="20"/>
              </w:rPr>
              <w:t xml:space="preserve"> </w:t>
            </w:r>
            <w:r w:rsidRPr="00A53307">
              <w:rPr>
                <w:sz w:val="20"/>
                <w:szCs w:val="20"/>
              </w:rPr>
              <w:t xml:space="preserve">erklärt: Zwar komme es richtigerweise nicht darauf an, dass die Eigentumsrechte über die Verwertbarkeit von Beweisen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B45592">
              <w:rPr>
                <w:sz w:val="20"/>
                <w:szCs w:val="20"/>
                <w:lang w:val="en-IE"/>
              </w:rPr>
              <w:t xml:space="preserve"> </w:t>
            </w:r>
            <w:proofErr w:type="spellStart"/>
            <w:r w:rsidRPr="00B45592">
              <w:rPr>
                <w:sz w:val="20"/>
                <w:szCs w:val="20"/>
                <w:lang w:val="en-IE"/>
              </w:rPr>
              <w:t>entscheiden</w:t>
            </w:r>
            <w:proofErr w:type="spellEnd"/>
            <w:r w:rsidRPr="00B45592">
              <w:rPr>
                <w:sz w:val="20"/>
                <w:szCs w:val="20"/>
                <w:lang w:val="en-IE"/>
              </w:rPr>
              <w:t xml:space="preserve">. </w:t>
            </w:r>
            <w:proofErr w:type="spellStart"/>
            <w:r w:rsidRPr="00A53307">
              <w:rPr>
                <w:sz w:val="20"/>
                <w:szCs w:val="20"/>
                <w:lang w:val="en-US"/>
              </w:rPr>
              <w:t>Sondern</w:t>
            </w:r>
            <w:proofErr w:type="spellEnd"/>
            <w:r w:rsidRPr="00A53307">
              <w:rPr>
                <w:sz w:val="20"/>
                <w:szCs w:val="20"/>
                <w:lang w:val="en-US"/>
              </w:rPr>
              <w:t xml:space="preserve"> es </w:t>
            </w:r>
            <w:proofErr w:type="spellStart"/>
            <w:r w:rsidRPr="00A53307">
              <w:rPr>
                <w:sz w:val="20"/>
                <w:szCs w:val="20"/>
                <w:lang w:val="en-US"/>
              </w:rPr>
              <w:t>komme</w:t>
            </w:r>
            <w:proofErr w:type="spellEnd"/>
            <w:r w:rsidRPr="00A53307">
              <w:rPr>
                <w:sz w:val="20"/>
                <w:szCs w:val="20"/>
                <w:lang w:val="en-US"/>
              </w:rPr>
              <w:t xml:space="preserve"> auf die </w:t>
            </w:r>
            <w:proofErr w:type="spellStart"/>
            <w:r w:rsidRPr="00A53307">
              <w:rPr>
                <w:sz w:val="20"/>
                <w:szCs w:val="20"/>
                <w:lang w:val="en-US"/>
              </w:rPr>
              <w:t>Erwartung</w:t>
            </w:r>
            <w:proofErr w:type="spellEnd"/>
            <w:r w:rsidRPr="00A53307">
              <w:rPr>
                <w:sz w:val="20"/>
                <w:szCs w:val="20"/>
                <w:lang w:val="en-US"/>
              </w:rPr>
              <w:t xml:space="preserve"> </w:t>
            </w:r>
            <w:proofErr w:type="spellStart"/>
            <w:r w:rsidRPr="00A53307">
              <w:rPr>
                <w:sz w:val="20"/>
                <w:szCs w:val="20"/>
                <w:lang w:val="en-US"/>
              </w:rPr>
              <w:t>zur</w:t>
            </w:r>
            <w:proofErr w:type="spellEnd"/>
            <w:r w:rsidRPr="00A53307">
              <w:rPr>
                <w:sz w:val="20"/>
                <w:szCs w:val="20"/>
                <w:lang w:val="en-US"/>
              </w:rPr>
              <w:t xml:space="preserve"> </w:t>
            </w:r>
            <w:proofErr w:type="spellStart"/>
            <w:r w:rsidRPr="00A53307">
              <w:rPr>
                <w:sz w:val="20"/>
                <w:szCs w:val="20"/>
                <w:lang w:val="en-US"/>
              </w:rPr>
              <w:t>Privatsphäre</w:t>
            </w:r>
            <w:proofErr w:type="spellEnd"/>
            <w:r w:rsidRPr="00A53307">
              <w:rPr>
                <w:sz w:val="20"/>
                <w:szCs w:val="20"/>
                <w:lang w:val="en-US"/>
              </w:rPr>
              <w:t xml:space="preserve"> an („primary purpose of the Fourth Amendment</w:t>
            </w:r>
            <w:r>
              <w:rPr>
                <w:sz w:val="20"/>
                <w:szCs w:val="20"/>
                <w:lang w:val="en-US"/>
              </w:rPr>
              <w:t>’</w:t>
            </w:r>
            <w:r w:rsidRPr="00A53307">
              <w:rPr>
                <w:sz w:val="20"/>
                <w:szCs w:val="20"/>
                <w:lang w:val="en-US"/>
              </w:rPr>
              <w:t>s prohibition of unreasonable searches is the protection of privacy</w:t>
            </w:r>
            <w:r>
              <w:rPr>
                <w:sz w:val="20"/>
                <w:szCs w:val="20"/>
                <w:lang w:val="en-US"/>
              </w:rPr>
              <w:t> –</w:t>
            </w:r>
            <w:r w:rsidRPr="00A53307">
              <w:rPr>
                <w:sz w:val="20"/>
                <w:szCs w:val="20"/>
                <w:lang w:val="en-US"/>
              </w:rPr>
              <w:t xml:space="preserve"> not </w:t>
            </w:r>
            <w:proofErr w:type="gramStart"/>
            <w:r w:rsidRPr="00A53307">
              <w:rPr>
                <w:sz w:val="20"/>
                <w:szCs w:val="20"/>
                <w:lang w:val="en-US"/>
              </w:rPr>
              <w:t>property“</w:t>
            </w:r>
            <w:proofErr w:type="gramEnd"/>
            <w:r w:rsidRPr="00A53307">
              <w:rPr>
                <w:sz w:val="20"/>
                <w:szCs w:val="20"/>
                <w:vertAlign w:val="superscript"/>
                <w:lang w:val="en-US"/>
              </w:rPr>
              <w:footnoteReference w:id="1945"/>
            </w:r>
            <w:r w:rsidRPr="00A53307">
              <w:rPr>
                <w:sz w:val="20"/>
                <w:szCs w:val="20"/>
                <w:lang w:val="en-US"/>
              </w:rPr>
              <w:t xml:space="preserve">). Aber die </w:t>
            </w:r>
            <w:r w:rsidRPr="5B67C1D2">
              <w:rPr>
                <w:i/>
                <w:iCs/>
                <w:sz w:val="20"/>
                <w:szCs w:val="20"/>
                <w:lang w:val="en-US"/>
              </w:rPr>
              <w:t>majority opinion</w:t>
            </w:r>
            <w:r w:rsidRPr="00A53307">
              <w:rPr>
                <w:sz w:val="20"/>
                <w:szCs w:val="20"/>
                <w:lang w:val="en-US"/>
              </w:rPr>
              <w:t xml:space="preserve"> </w:t>
            </w:r>
            <w:proofErr w:type="spellStart"/>
            <w:r w:rsidRPr="00A53307">
              <w:rPr>
                <w:sz w:val="20"/>
                <w:szCs w:val="20"/>
                <w:lang w:val="en-US"/>
              </w:rPr>
              <w:t>begründete</w:t>
            </w:r>
            <w:proofErr w:type="spellEnd"/>
            <w:r w:rsidRPr="00A53307">
              <w:rPr>
                <w:sz w:val="20"/>
                <w:szCs w:val="20"/>
                <w:lang w:val="en-US"/>
              </w:rPr>
              <w:t xml:space="preserve"> dies </w:t>
            </w:r>
            <w:proofErr w:type="spellStart"/>
            <w:r w:rsidRPr="00A53307">
              <w:rPr>
                <w:sz w:val="20"/>
                <w:szCs w:val="20"/>
                <w:lang w:val="en-US"/>
              </w:rPr>
              <w:t>letz</w:t>
            </w:r>
            <w:r>
              <w:rPr>
                <w:sz w:val="20"/>
                <w:szCs w:val="20"/>
                <w:lang w:val="en-US"/>
              </w:rPr>
              <w:t>t</w:t>
            </w:r>
            <w:r w:rsidRPr="00A53307">
              <w:rPr>
                <w:sz w:val="20"/>
                <w:szCs w:val="20"/>
                <w:lang w:val="en-US"/>
              </w:rPr>
              <w:t>endlich</w:t>
            </w:r>
            <w:proofErr w:type="spellEnd"/>
            <w:r w:rsidRPr="00A53307">
              <w:rPr>
                <w:sz w:val="20"/>
                <w:szCs w:val="20"/>
                <w:lang w:val="en-US"/>
              </w:rPr>
              <w:t xml:space="preserve"> </w:t>
            </w:r>
            <w:proofErr w:type="spellStart"/>
            <w:r w:rsidRPr="00A53307">
              <w:rPr>
                <w:sz w:val="20"/>
                <w:szCs w:val="20"/>
                <w:lang w:val="en-US"/>
              </w:rPr>
              <w:t>doch</w:t>
            </w:r>
            <w:proofErr w:type="spellEnd"/>
            <w:r w:rsidRPr="00A53307">
              <w:rPr>
                <w:sz w:val="20"/>
                <w:szCs w:val="20"/>
                <w:lang w:val="en-US"/>
              </w:rPr>
              <w:t xml:space="preserve"> am </w:t>
            </w:r>
            <w:proofErr w:type="spellStart"/>
            <w:r w:rsidRPr="00A53307">
              <w:rPr>
                <w:sz w:val="20"/>
                <w:szCs w:val="20"/>
                <w:lang w:val="en-US"/>
              </w:rPr>
              <w:t>Eigentumsrecht</w:t>
            </w:r>
            <w:proofErr w:type="spellEnd"/>
            <w:r w:rsidRPr="00A53307">
              <w:rPr>
                <w:sz w:val="20"/>
                <w:szCs w:val="20"/>
                <w:lang w:val="en-US"/>
              </w:rPr>
              <w:t xml:space="preserve"> („the Court nonetheless effectively ties the application of the Fourth Amendment and the exclusionary rule in this situation to property law </w:t>
            </w:r>
            <w:proofErr w:type="gramStart"/>
            <w:r w:rsidRPr="00A53307">
              <w:rPr>
                <w:sz w:val="20"/>
                <w:szCs w:val="20"/>
                <w:lang w:val="en-US"/>
              </w:rPr>
              <w:t>concepts“</w:t>
            </w:r>
            <w:proofErr w:type="gramEnd"/>
            <w:r w:rsidRPr="00A53307">
              <w:rPr>
                <w:sz w:val="20"/>
                <w:szCs w:val="20"/>
                <w:vertAlign w:val="superscript"/>
              </w:rPr>
              <w:footnoteReference w:id="1946"/>
            </w:r>
            <w:r w:rsidRPr="00B45592">
              <w:rPr>
                <w:sz w:val="20"/>
                <w:szCs w:val="20"/>
                <w:lang w:val="en-IE"/>
              </w:rPr>
              <w:t xml:space="preserve">). </w:t>
            </w:r>
            <w:r w:rsidRPr="00A53307">
              <w:rPr>
                <w:sz w:val="20"/>
                <w:szCs w:val="20"/>
              </w:rPr>
              <w:t xml:space="preserve">Danach, so kritisiert der Dissens, könne ein einfacher Fahrgast einer rechtswidrigen Durchsuchung eines Fahrzeugs nicht widersprechen, soweit er kein Eigentum oder keinen Besitz am Fahrzeug habe, </w:t>
            </w:r>
            <w:r>
              <w:rPr>
                <w:sz w:val="20"/>
                <w:szCs w:val="20"/>
              </w:rPr>
              <w:t>wohingegen</w:t>
            </w:r>
            <w:r w:rsidRPr="00A53307">
              <w:rPr>
                <w:sz w:val="20"/>
                <w:szCs w:val="20"/>
              </w:rPr>
              <w:t xml:space="preserve"> es doch nur auf die Erwartung an die Privatsphäre ankommen soll</w:t>
            </w:r>
            <w:r>
              <w:rPr>
                <w:sz w:val="20"/>
                <w:szCs w:val="20"/>
              </w:rPr>
              <w:t>e</w:t>
            </w:r>
            <w:r w:rsidRPr="00A53307">
              <w:rPr>
                <w:sz w:val="20"/>
                <w:szCs w:val="20"/>
              </w:rPr>
              <w:t>.</w:t>
            </w:r>
            <w:r w:rsidRPr="00A53307">
              <w:rPr>
                <w:sz w:val="20"/>
                <w:szCs w:val="20"/>
                <w:vertAlign w:val="superscript"/>
              </w:rPr>
              <w:footnoteReference w:id="1947"/>
            </w:r>
            <w:r w:rsidRPr="00A53307">
              <w:rPr>
                <w:sz w:val="20"/>
                <w:szCs w:val="20"/>
              </w:rPr>
              <w:t xml:space="preserve"> Wenn man den Schutz der Privatsphäre an den Besitz und das Eigentum binden würde, dann wären große Teile unseres täglichen Lebens vor unangemessenen staatlichen Maßnahmen ungeschützt („</w:t>
            </w:r>
            <w:proofErr w:type="spellStart"/>
            <w:r w:rsidRPr="00A53307">
              <w:rPr>
                <w:sz w:val="20"/>
                <w:szCs w:val="20"/>
              </w:rPr>
              <w:t>much</w:t>
            </w:r>
            <w:proofErr w:type="spellEnd"/>
            <w:r w:rsidRPr="00A53307">
              <w:rPr>
                <w:sz w:val="20"/>
                <w:szCs w:val="20"/>
              </w:rPr>
              <w:t xml:space="preserve"> of </w:t>
            </w:r>
            <w:proofErr w:type="spellStart"/>
            <w:r w:rsidRPr="00A53307">
              <w:rPr>
                <w:sz w:val="20"/>
                <w:szCs w:val="20"/>
              </w:rPr>
              <w:t>our</w:t>
            </w:r>
            <w:proofErr w:type="spellEnd"/>
            <w:r w:rsidRPr="00A53307">
              <w:rPr>
                <w:sz w:val="20"/>
                <w:szCs w:val="20"/>
              </w:rPr>
              <w:t xml:space="preserve"> </w:t>
            </w:r>
            <w:proofErr w:type="spellStart"/>
            <w:r w:rsidRPr="00A53307">
              <w:rPr>
                <w:sz w:val="20"/>
                <w:szCs w:val="20"/>
              </w:rPr>
              <w:t>daily</w:t>
            </w:r>
            <w:proofErr w:type="spellEnd"/>
            <w:r w:rsidRPr="00A53307">
              <w:rPr>
                <w:sz w:val="20"/>
                <w:szCs w:val="20"/>
              </w:rPr>
              <w:t xml:space="preserve"> </w:t>
            </w:r>
            <w:proofErr w:type="spellStart"/>
            <w:r w:rsidRPr="00A53307">
              <w:rPr>
                <w:sz w:val="20"/>
                <w:szCs w:val="20"/>
              </w:rPr>
              <w:t>lives</w:t>
            </w:r>
            <w:proofErr w:type="spellEnd"/>
            <w:r w:rsidRPr="00A53307">
              <w:rPr>
                <w:sz w:val="20"/>
                <w:szCs w:val="20"/>
              </w:rPr>
              <w:t xml:space="preserve"> will </w:t>
            </w:r>
            <w:proofErr w:type="spellStart"/>
            <w:r w:rsidRPr="00A53307">
              <w:rPr>
                <w:sz w:val="20"/>
                <w:szCs w:val="20"/>
              </w:rPr>
              <w:t>be</w:t>
            </w:r>
            <w:proofErr w:type="spellEnd"/>
            <w:r w:rsidRPr="00A53307">
              <w:rPr>
                <w:sz w:val="20"/>
                <w:szCs w:val="20"/>
              </w:rPr>
              <w:t xml:space="preserve"> </w:t>
            </w:r>
            <w:proofErr w:type="spellStart"/>
            <w:r w:rsidRPr="00A53307">
              <w:rPr>
                <w:sz w:val="20"/>
                <w:szCs w:val="20"/>
              </w:rPr>
              <w:t>unshielded</w:t>
            </w:r>
            <w:proofErr w:type="spellEnd"/>
            <w:r w:rsidRPr="00A53307">
              <w:rPr>
                <w:sz w:val="20"/>
                <w:szCs w:val="20"/>
              </w:rPr>
              <w:t xml:space="preserve"> </w:t>
            </w:r>
            <w:proofErr w:type="spellStart"/>
            <w:r w:rsidRPr="00A53307">
              <w:rPr>
                <w:sz w:val="20"/>
                <w:szCs w:val="20"/>
              </w:rPr>
              <w:t>from</w:t>
            </w:r>
            <w:proofErr w:type="spellEnd"/>
            <w:r w:rsidRPr="00A53307">
              <w:rPr>
                <w:sz w:val="20"/>
                <w:szCs w:val="20"/>
              </w:rPr>
              <w:t xml:space="preserve"> </w:t>
            </w:r>
            <w:proofErr w:type="spellStart"/>
            <w:r w:rsidRPr="00A53307">
              <w:rPr>
                <w:sz w:val="20"/>
                <w:szCs w:val="20"/>
              </w:rPr>
              <w:t>unreasonable</w:t>
            </w:r>
            <w:proofErr w:type="spellEnd"/>
            <w:r w:rsidRPr="00A53307">
              <w:rPr>
                <w:sz w:val="20"/>
                <w:szCs w:val="20"/>
              </w:rPr>
              <w:t xml:space="preserve"> </w:t>
            </w:r>
            <w:proofErr w:type="spellStart"/>
            <w:r w:rsidRPr="00A53307">
              <w:rPr>
                <w:sz w:val="20"/>
                <w:szCs w:val="20"/>
              </w:rPr>
              <w:t>governmental</w:t>
            </w:r>
            <w:proofErr w:type="spellEnd"/>
            <w:r w:rsidRPr="00A53307">
              <w:rPr>
                <w:sz w:val="20"/>
                <w:szCs w:val="20"/>
              </w:rPr>
              <w:t xml:space="preserve"> </w:t>
            </w:r>
            <w:proofErr w:type="spellStart"/>
            <w:r w:rsidRPr="00A53307">
              <w:rPr>
                <w:sz w:val="20"/>
                <w:szCs w:val="20"/>
              </w:rPr>
              <w:t>prying</w:t>
            </w:r>
            <w:proofErr w:type="spellEnd"/>
            <w:r w:rsidRPr="00A53307">
              <w:rPr>
                <w:sz w:val="20"/>
                <w:szCs w:val="20"/>
              </w:rPr>
              <w:t>“</w:t>
            </w:r>
            <w:r w:rsidRPr="00A53307">
              <w:rPr>
                <w:sz w:val="20"/>
                <w:szCs w:val="20"/>
                <w:vertAlign w:val="superscript"/>
              </w:rPr>
              <w:footnoteReference w:id="1948"/>
            </w:r>
            <w:r w:rsidRPr="00A53307">
              <w:rPr>
                <w:sz w:val="20"/>
                <w:szCs w:val="20"/>
              </w:rPr>
              <w:t xml:space="preserve">). Der </w:t>
            </w:r>
            <w:r w:rsidRPr="00A53307">
              <w:rPr>
                <w:sz w:val="20"/>
                <w:szCs w:val="20"/>
              </w:rPr>
              <w:lastRenderedPageBreak/>
              <w:t xml:space="preserve">Schutzbereich </w:t>
            </w:r>
            <w:r>
              <w:rPr>
                <w:sz w:val="20"/>
                <w:szCs w:val="20"/>
              </w:rPr>
              <w:t>von</w:t>
            </w:r>
            <w:r w:rsidRPr="00A53307">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A53307">
              <w:rPr>
                <w:sz w:val="20"/>
                <w:szCs w:val="20"/>
              </w:rPr>
              <w:t xml:space="preserve"> (Beweisverwertung) verenge sich damit auf Eigentumsschutz („</w:t>
            </w:r>
            <w:proofErr w:type="spellStart"/>
            <w:r w:rsidRPr="00A53307">
              <w:rPr>
                <w:sz w:val="20"/>
                <w:szCs w:val="20"/>
              </w:rPr>
              <w:t>narrowed</w:t>
            </w:r>
            <w:proofErr w:type="spellEnd"/>
            <w:r w:rsidRPr="00A53307">
              <w:rPr>
                <w:sz w:val="20"/>
                <w:szCs w:val="20"/>
              </w:rPr>
              <w:t xml:space="preserve"> to </w:t>
            </w:r>
            <w:proofErr w:type="spellStart"/>
            <w:r w:rsidRPr="00A53307">
              <w:rPr>
                <w:sz w:val="20"/>
                <w:szCs w:val="20"/>
              </w:rPr>
              <w:t>protect</w:t>
            </w:r>
            <w:proofErr w:type="spellEnd"/>
            <w:r w:rsidRPr="00A53307">
              <w:rPr>
                <w:sz w:val="20"/>
                <w:szCs w:val="20"/>
              </w:rPr>
              <w:t xml:space="preserve"> </w:t>
            </w:r>
            <w:proofErr w:type="spellStart"/>
            <w:r w:rsidRPr="00A53307">
              <w:rPr>
                <w:sz w:val="20"/>
                <w:szCs w:val="20"/>
              </w:rPr>
              <w:t>chiefly</w:t>
            </w:r>
            <w:proofErr w:type="spellEnd"/>
            <w:r w:rsidRPr="00A53307">
              <w:rPr>
                <w:sz w:val="20"/>
                <w:szCs w:val="20"/>
              </w:rPr>
              <w:t xml:space="preserve"> </w:t>
            </w:r>
            <w:proofErr w:type="spellStart"/>
            <w:r w:rsidRPr="00A53307">
              <w:rPr>
                <w:sz w:val="20"/>
                <w:szCs w:val="20"/>
              </w:rPr>
              <w:t>those</w:t>
            </w:r>
            <w:proofErr w:type="spellEnd"/>
            <w:r w:rsidRPr="00A53307">
              <w:rPr>
                <w:sz w:val="20"/>
                <w:szCs w:val="20"/>
              </w:rPr>
              <w:t xml:space="preserve"> </w:t>
            </w:r>
            <w:proofErr w:type="spellStart"/>
            <w:r w:rsidRPr="00A53307">
              <w:rPr>
                <w:sz w:val="20"/>
                <w:szCs w:val="20"/>
              </w:rPr>
              <w:t>with</w:t>
            </w:r>
            <w:proofErr w:type="spellEnd"/>
            <w:r w:rsidRPr="00A53307">
              <w:rPr>
                <w:sz w:val="20"/>
                <w:szCs w:val="20"/>
              </w:rPr>
              <w:t xml:space="preserve"> </w:t>
            </w:r>
            <w:proofErr w:type="spellStart"/>
            <w:r w:rsidRPr="00A53307">
              <w:rPr>
                <w:sz w:val="20"/>
                <w:szCs w:val="20"/>
              </w:rPr>
              <w:t>possessory</w:t>
            </w:r>
            <w:proofErr w:type="spellEnd"/>
            <w:r w:rsidRPr="00A53307">
              <w:rPr>
                <w:sz w:val="20"/>
                <w:szCs w:val="20"/>
              </w:rPr>
              <w:t xml:space="preserve"> </w:t>
            </w:r>
            <w:proofErr w:type="spellStart"/>
            <w:r w:rsidRPr="00A53307">
              <w:rPr>
                <w:sz w:val="20"/>
                <w:szCs w:val="20"/>
              </w:rPr>
              <w:t>interests</w:t>
            </w:r>
            <w:proofErr w:type="spellEnd"/>
            <w:r w:rsidRPr="00A53307">
              <w:rPr>
                <w:sz w:val="20"/>
                <w:szCs w:val="20"/>
              </w:rPr>
              <w:t>“</w:t>
            </w:r>
            <w:r w:rsidRPr="00A53307">
              <w:rPr>
                <w:sz w:val="20"/>
                <w:szCs w:val="20"/>
                <w:vertAlign w:val="superscript"/>
              </w:rPr>
              <w:footnoteReference w:id="1949"/>
            </w:r>
            <w:r w:rsidRPr="00A53307">
              <w:rPr>
                <w:sz w:val="20"/>
                <w:szCs w:val="20"/>
              </w:rPr>
              <w:t xml:space="preserve">). Dagegen spricht sich der Dissens </w:t>
            </w:r>
            <w:r>
              <w:rPr>
                <w:sz w:val="20"/>
                <w:szCs w:val="20"/>
              </w:rPr>
              <w:t>mit Berufung auf</w:t>
            </w:r>
            <w:r w:rsidRPr="00A53307">
              <w:rPr>
                <w:sz w:val="20"/>
                <w:szCs w:val="20"/>
              </w:rPr>
              <w:t xml:space="preserve"> die Urteilslinie des </w:t>
            </w:r>
            <w:r>
              <w:rPr>
                <w:sz w:val="20"/>
                <w:szCs w:val="20"/>
              </w:rPr>
              <w:t>U.S. Supreme Court</w:t>
            </w:r>
            <w:r w:rsidRPr="00A53307">
              <w:rPr>
                <w:sz w:val="20"/>
                <w:szCs w:val="20"/>
              </w:rPr>
              <w:t xml:space="preserve"> nach </w:t>
            </w:r>
            <w:r w:rsidRPr="5B67C1D2">
              <w:rPr>
                <w:i/>
                <w:iCs/>
                <w:sz w:val="20"/>
                <w:szCs w:val="20"/>
              </w:rPr>
              <w:t>Katz v. United States</w:t>
            </w:r>
            <w:r w:rsidRPr="00A53307" w:rsidDel="006A597A">
              <w:rPr>
                <w:sz w:val="20"/>
                <w:szCs w:val="20"/>
              </w:rPr>
              <w:t xml:space="preserve"> </w:t>
            </w:r>
            <w:r w:rsidRPr="00A53307">
              <w:rPr>
                <w:sz w:val="20"/>
                <w:szCs w:val="20"/>
              </w:rPr>
              <w:t xml:space="preserve">aus: In der kam es bei einer Durchsuchung nicht darauf an, ob Eigentum oder der Besitz am Ort der Durchsuchung – einer Telefonzelle – bestand, oder der Aufenthalt am durchsuchten Ort unrechtmäßig bzw. rechtmäßig war, damit die Beweisverwertung entschieden werden </w:t>
            </w:r>
            <w:r>
              <w:rPr>
                <w:sz w:val="20"/>
                <w:szCs w:val="20"/>
              </w:rPr>
              <w:t>konnte</w:t>
            </w:r>
            <w:r w:rsidRPr="00A53307">
              <w:rPr>
                <w:sz w:val="20"/>
                <w:szCs w:val="20"/>
              </w:rPr>
              <w:t>. Sondern die Verwertungsentscheidung bemesse sich anhand der Theorie, dass das Recht auf und die Erwartung an die Privatsphäre sich daran orientier</w:t>
            </w:r>
            <w:r>
              <w:rPr>
                <w:sz w:val="20"/>
                <w:szCs w:val="20"/>
              </w:rPr>
              <w:t>t</w:t>
            </w:r>
            <w:r w:rsidRPr="00A53307">
              <w:rPr>
                <w:sz w:val="20"/>
                <w:szCs w:val="20"/>
              </w:rPr>
              <w:t>en, günstigere Bedingungen für das Streben nach Glück zu sichern („</w:t>
            </w:r>
            <w:r w:rsidRPr="5B67C1D2">
              <w:rPr>
                <w:i/>
                <w:iCs/>
                <w:sz w:val="20"/>
                <w:szCs w:val="20"/>
              </w:rPr>
              <w:t>Katz</w:t>
            </w:r>
            <w:r w:rsidRPr="00A53307">
              <w:rPr>
                <w:sz w:val="20"/>
                <w:szCs w:val="20"/>
              </w:rPr>
              <w:t xml:space="preserve"> was </w:t>
            </w:r>
            <w:proofErr w:type="spellStart"/>
            <w:r w:rsidRPr="00A53307">
              <w:rPr>
                <w:sz w:val="20"/>
                <w:szCs w:val="20"/>
              </w:rPr>
              <w:t>based</w:t>
            </w:r>
            <w:proofErr w:type="spellEnd"/>
            <w:r w:rsidRPr="00A53307">
              <w:rPr>
                <w:sz w:val="20"/>
                <w:szCs w:val="20"/>
              </w:rPr>
              <w:t xml:space="preserve"> […] on the </w:t>
            </w:r>
            <w:proofErr w:type="spellStart"/>
            <w:r w:rsidRPr="00A53307">
              <w:rPr>
                <w:sz w:val="20"/>
                <w:szCs w:val="20"/>
              </w:rPr>
              <w:t>theory</w:t>
            </w:r>
            <w:proofErr w:type="spellEnd"/>
            <w:r w:rsidRPr="00A53307">
              <w:rPr>
                <w:sz w:val="20"/>
                <w:szCs w:val="20"/>
              </w:rPr>
              <w:t xml:space="preserve"> </w:t>
            </w:r>
            <w:proofErr w:type="spellStart"/>
            <w:r w:rsidRPr="00A53307">
              <w:rPr>
                <w:sz w:val="20"/>
                <w:szCs w:val="20"/>
              </w:rPr>
              <w:t>that</w:t>
            </w:r>
            <w:proofErr w:type="spellEnd"/>
            <w:r w:rsidRPr="00A53307">
              <w:rPr>
                <w:sz w:val="20"/>
                <w:szCs w:val="20"/>
              </w:rPr>
              <w:t xml:space="preserve"> it was essential to </w:t>
            </w:r>
            <w:proofErr w:type="spellStart"/>
            <w:proofErr w:type="gramStart"/>
            <w:r w:rsidRPr="00A53307">
              <w:rPr>
                <w:sz w:val="20"/>
                <w:szCs w:val="20"/>
              </w:rPr>
              <w:t>securing</w:t>
            </w:r>
            <w:proofErr w:type="spellEnd"/>
            <w:r w:rsidRPr="00A53307">
              <w:rPr>
                <w:sz w:val="20"/>
                <w:szCs w:val="20"/>
              </w:rPr>
              <w:t xml:space="preserve"> </w:t>
            </w:r>
            <w:r>
              <w:rPr>
                <w:sz w:val="20"/>
                <w:szCs w:val="20"/>
              </w:rPr>
              <w:t>,</w:t>
            </w:r>
            <w:proofErr w:type="spellStart"/>
            <w:r w:rsidRPr="00A53307">
              <w:rPr>
                <w:sz w:val="20"/>
                <w:szCs w:val="20"/>
              </w:rPr>
              <w:t>conditions</w:t>
            </w:r>
            <w:proofErr w:type="spellEnd"/>
            <w:proofErr w:type="gramEnd"/>
            <w:r w:rsidRPr="00A53307">
              <w:rPr>
                <w:sz w:val="20"/>
                <w:szCs w:val="20"/>
              </w:rPr>
              <w:t xml:space="preserve"> favorable to the </w:t>
            </w:r>
            <w:proofErr w:type="spellStart"/>
            <w:r w:rsidRPr="00A53307">
              <w:rPr>
                <w:sz w:val="20"/>
                <w:szCs w:val="20"/>
              </w:rPr>
              <w:t>pursuit</w:t>
            </w:r>
            <w:proofErr w:type="spellEnd"/>
            <w:r w:rsidRPr="00A53307">
              <w:rPr>
                <w:sz w:val="20"/>
                <w:szCs w:val="20"/>
              </w:rPr>
              <w:t xml:space="preserve"> of </w:t>
            </w:r>
            <w:proofErr w:type="spellStart"/>
            <w:r w:rsidRPr="00A53307">
              <w:rPr>
                <w:sz w:val="20"/>
                <w:szCs w:val="20"/>
              </w:rPr>
              <w:t>happiness</w:t>
            </w:r>
            <w:proofErr w:type="spellEnd"/>
            <w:r>
              <w:rPr>
                <w:sz w:val="20"/>
                <w:szCs w:val="20"/>
              </w:rPr>
              <w:t>‘</w:t>
            </w:r>
            <w:r w:rsidRPr="00A53307">
              <w:rPr>
                <w:sz w:val="20"/>
                <w:szCs w:val="20"/>
              </w:rPr>
              <w:t> </w:t>
            </w:r>
            <w:proofErr w:type="spellStart"/>
            <w:r w:rsidRPr="00A53307">
              <w:rPr>
                <w:sz w:val="20"/>
                <w:szCs w:val="20"/>
              </w:rPr>
              <w:t>that</w:t>
            </w:r>
            <w:proofErr w:type="spellEnd"/>
            <w:r w:rsidRPr="00A53307">
              <w:rPr>
                <w:sz w:val="20"/>
                <w:szCs w:val="20"/>
              </w:rPr>
              <w:t xml:space="preserve"> the </w:t>
            </w:r>
            <w:proofErr w:type="spellStart"/>
            <w:r w:rsidRPr="00A53307">
              <w:rPr>
                <w:sz w:val="20"/>
                <w:szCs w:val="20"/>
              </w:rPr>
              <w:t>expectation</w:t>
            </w:r>
            <w:proofErr w:type="spellEnd"/>
            <w:r w:rsidRPr="00A53307">
              <w:rPr>
                <w:sz w:val="20"/>
                <w:szCs w:val="20"/>
              </w:rPr>
              <w:t xml:space="preserve"> of </w:t>
            </w:r>
            <w:proofErr w:type="spellStart"/>
            <w:r w:rsidRPr="00A53307">
              <w:rPr>
                <w:sz w:val="20"/>
                <w:szCs w:val="20"/>
              </w:rPr>
              <w:t>privacy</w:t>
            </w:r>
            <w:proofErr w:type="spellEnd"/>
            <w:r w:rsidRPr="00A53307">
              <w:rPr>
                <w:sz w:val="20"/>
                <w:szCs w:val="20"/>
              </w:rPr>
              <w:t xml:space="preserve"> in </w:t>
            </w:r>
            <w:proofErr w:type="spellStart"/>
            <w:r w:rsidRPr="00A53307">
              <w:rPr>
                <w:sz w:val="20"/>
                <w:szCs w:val="20"/>
              </w:rPr>
              <w:t>question</w:t>
            </w:r>
            <w:proofErr w:type="spellEnd"/>
            <w:r w:rsidRPr="00A53307">
              <w:rPr>
                <w:sz w:val="20"/>
                <w:szCs w:val="20"/>
              </w:rPr>
              <w:t xml:space="preserve"> </w:t>
            </w:r>
            <w:proofErr w:type="spellStart"/>
            <w:r w:rsidRPr="00A53307">
              <w:rPr>
                <w:sz w:val="20"/>
                <w:szCs w:val="20"/>
              </w:rPr>
              <w:t>be</w:t>
            </w:r>
            <w:proofErr w:type="spellEnd"/>
            <w:r w:rsidRPr="00A53307">
              <w:rPr>
                <w:sz w:val="20"/>
                <w:szCs w:val="20"/>
              </w:rPr>
              <w:t xml:space="preserve"> </w:t>
            </w:r>
            <w:proofErr w:type="spellStart"/>
            <w:r w:rsidRPr="00A53307">
              <w:rPr>
                <w:sz w:val="20"/>
                <w:szCs w:val="20"/>
              </w:rPr>
              <w:t>recognized</w:t>
            </w:r>
            <w:proofErr w:type="spellEnd"/>
            <w:r w:rsidRPr="00A53307">
              <w:rPr>
                <w:sz w:val="20"/>
                <w:szCs w:val="20"/>
              </w:rPr>
              <w:t>.“</w:t>
            </w:r>
            <w:r w:rsidRPr="00A53307">
              <w:rPr>
                <w:sz w:val="20"/>
                <w:szCs w:val="20"/>
                <w:vertAlign w:val="superscript"/>
              </w:rPr>
              <w:footnoteReference w:id="1950"/>
            </w:r>
            <w:r w:rsidRPr="00A53307">
              <w:rPr>
                <w:sz w:val="20"/>
                <w:szCs w:val="20"/>
              </w:rPr>
              <w:t>). Damit hätte bei der Klagebefugnis nicht das Recht auf Privatsphäre anhand des Eigentumsrechts, sondern anhand der Bedingungen für Glücksstreben mitbestimmend sein müssen.</w:t>
            </w:r>
          </w:p>
        </w:tc>
      </w:tr>
      <w:tr w:rsidR="00074551" w:rsidRPr="00E50B51" w14:paraId="5AA991CA" w14:textId="77777777" w:rsidTr="00BE689F">
        <w:trPr>
          <w:trHeight w:val="3175"/>
        </w:trPr>
        <w:tc>
          <w:tcPr>
            <w:tcW w:w="293" w:type="pct"/>
          </w:tcPr>
          <w:p w14:paraId="2950C32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vAlign w:val="center"/>
          </w:tcPr>
          <w:p w14:paraId="1A5B6B90" w14:textId="77777777" w:rsidR="00074551" w:rsidRPr="00E50B51" w:rsidRDefault="00074551" w:rsidP="000062FE">
            <w:pPr>
              <w:ind w:right="416"/>
              <w:jc w:val="both"/>
              <w:rPr>
                <w:sz w:val="20"/>
                <w:szCs w:val="20"/>
              </w:rPr>
            </w:pPr>
            <w:r w:rsidRPr="009572B5">
              <w:rPr>
                <w:i/>
                <w:sz w:val="20"/>
                <w:szCs w:val="20"/>
              </w:rPr>
              <w:t>Eisenstadt v. Baird</w:t>
            </w:r>
          </w:p>
        </w:tc>
        <w:tc>
          <w:tcPr>
            <w:tcW w:w="197" w:type="pct"/>
            <w:vAlign w:val="center"/>
          </w:tcPr>
          <w:p w14:paraId="403A3639" w14:textId="77777777" w:rsidR="00074551" w:rsidRPr="00E50B51" w:rsidRDefault="00074551" w:rsidP="000062FE">
            <w:pPr>
              <w:jc w:val="both"/>
              <w:rPr>
                <w:iCs/>
                <w:sz w:val="20"/>
                <w:szCs w:val="20"/>
              </w:rPr>
            </w:pPr>
            <w:r w:rsidRPr="00E50B51">
              <w:rPr>
                <w:sz w:val="20"/>
                <w:szCs w:val="20"/>
                <w:lang w:val="en-US"/>
              </w:rPr>
              <w:t>405 U.S. 438</w:t>
            </w:r>
          </w:p>
        </w:tc>
        <w:tc>
          <w:tcPr>
            <w:tcW w:w="306" w:type="pct"/>
            <w:vAlign w:val="center"/>
          </w:tcPr>
          <w:p w14:paraId="143F0A6B" w14:textId="77777777" w:rsidR="00074551" w:rsidRPr="00E50B51" w:rsidRDefault="00074551" w:rsidP="000062FE">
            <w:pPr>
              <w:jc w:val="both"/>
              <w:rPr>
                <w:sz w:val="20"/>
                <w:szCs w:val="20"/>
              </w:rPr>
            </w:pPr>
            <w:r w:rsidRPr="00E50B51">
              <w:rPr>
                <w:sz w:val="20"/>
                <w:szCs w:val="20"/>
              </w:rPr>
              <w:t>22. März 1972</w:t>
            </w:r>
          </w:p>
        </w:tc>
        <w:tc>
          <w:tcPr>
            <w:tcW w:w="401" w:type="pct"/>
          </w:tcPr>
          <w:p w14:paraId="517F58F4" w14:textId="77777777" w:rsidR="00074551" w:rsidRPr="00E50B51" w:rsidRDefault="00074551" w:rsidP="00367133">
            <w:pPr>
              <w:jc w:val="center"/>
              <w:rPr>
                <w:sz w:val="20"/>
                <w:szCs w:val="20"/>
              </w:rPr>
            </w:pPr>
            <w:r w:rsidRPr="00E50B51">
              <w:rPr>
                <w:sz w:val="20"/>
                <w:szCs w:val="20"/>
              </w:rPr>
              <w:t>M</w:t>
            </w:r>
          </w:p>
        </w:tc>
        <w:tc>
          <w:tcPr>
            <w:tcW w:w="1594" w:type="pct"/>
          </w:tcPr>
          <w:p w14:paraId="38875FEB" w14:textId="77777777" w:rsidR="00074551" w:rsidRDefault="00074551" w:rsidP="00367133">
            <w:pPr>
              <w:jc w:val="both"/>
              <w:rPr>
                <w:sz w:val="20"/>
                <w:szCs w:val="20"/>
              </w:rPr>
            </w:pPr>
            <w:r w:rsidRPr="00E50B51">
              <w:rPr>
                <w:sz w:val="20"/>
                <w:szCs w:val="20"/>
              </w:rPr>
              <w:t>*</w:t>
            </w:r>
          </w:p>
          <w:p w14:paraId="1D845751" w14:textId="0E3FEB85" w:rsidR="000062FE" w:rsidRPr="00E50B51" w:rsidRDefault="000062FE" w:rsidP="000062FE">
            <w:pPr>
              <w:jc w:val="both"/>
              <w:rPr>
                <w:sz w:val="20"/>
                <w:szCs w:val="20"/>
              </w:rPr>
            </w:pPr>
          </w:p>
        </w:tc>
        <w:tc>
          <w:tcPr>
            <w:tcW w:w="1822" w:type="pct"/>
          </w:tcPr>
          <w:p w14:paraId="1D223294" w14:textId="7467538D" w:rsidR="00751AE2" w:rsidRPr="00751AE2" w:rsidRDefault="00751AE2" w:rsidP="00751AE2">
            <w:pPr>
              <w:jc w:val="both"/>
              <w:rPr>
                <w:sz w:val="20"/>
                <w:szCs w:val="20"/>
              </w:rPr>
            </w:pPr>
            <w:r w:rsidRPr="00751AE2">
              <w:rPr>
                <w:sz w:val="20"/>
                <w:szCs w:val="20"/>
              </w:rPr>
              <w:t>Wenn eine Person wie </w:t>
            </w:r>
            <w:r w:rsidRPr="00751AE2">
              <w:rPr>
                <w:i/>
                <w:iCs/>
                <w:sz w:val="20"/>
                <w:szCs w:val="20"/>
              </w:rPr>
              <w:t>Baird</w:t>
            </w:r>
            <w:r w:rsidRPr="00751AE2">
              <w:rPr>
                <w:sz w:val="20"/>
                <w:szCs w:val="20"/>
              </w:rPr>
              <w:t xml:space="preserve"> wegen der Abgabe eines Verhütungsmittels strafrechtlich verfolgt wird, komme ihr zunächst ein ausreichendes eigenes Interesse zu, die Wirksamkeit des Abgabeverbots gemäß </w:t>
            </w:r>
            <w:r w:rsidR="00023A37">
              <w:rPr>
                <w:sz w:val="20"/>
                <w:szCs w:val="20"/>
              </w:rPr>
              <w:t xml:space="preserve">U.S. </w:t>
            </w:r>
            <w:proofErr w:type="spellStart"/>
            <w:r w:rsidR="00023A37">
              <w:rPr>
                <w:sz w:val="20"/>
                <w:szCs w:val="20"/>
              </w:rPr>
              <w:t>Const</w:t>
            </w:r>
            <w:proofErr w:type="spellEnd"/>
            <w:r w:rsidR="00023A37">
              <w:rPr>
                <w:sz w:val="20"/>
                <w:szCs w:val="20"/>
              </w:rPr>
              <w:t>. art. III</w:t>
            </w:r>
            <w:r w:rsidRPr="00751AE2">
              <w:rPr>
                <w:sz w:val="20"/>
                <w:szCs w:val="20"/>
              </w:rPr>
              <w:t xml:space="preserve"> überprüfen zu lassen. Darüber hinaus könne </w:t>
            </w:r>
            <w:r w:rsidRPr="00751AE2">
              <w:rPr>
                <w:i/>
                <w:iCs/>
                <w:sz w:val="20"/>
                <w:szCs w:val="20"/>
              </w:rPr>
              <w:t>Baird</w:t>
            </w:r>
            <w:r w:rsidRPr="00751AE2">
              <w:rPr>
                <w:sz w:val="20"/>
                <w:szCs w:val="20"/>
              </w:rPr>
              <w:t> auch die Rechte unverheirateter Personen geltend machen, denen der Zugang zu Verhütungsmitteln verwehrt werde.</w:t>
            </w:r>
            <w:r>
              <w:rPr>
                <w:rStyle w:val="Funotenzeichen"/>
                <w:sz w:val="20"/>
                <w:szCs w:val="20"/>
              </w:rPr>
              <w:footnoteReference w:id="1951"/>
            </w:r>
            <w:r w:rsidRPr="00751AE2">
              <w:rPr>
                <w:sz w:val="20"/>
                <w:szCs w:val="20"/>
              </w:rPr>
              <w:t> Hierzu knüpft der U.S. Supreme Court ausdrücklich an </w:t>
            </w:r>
            <w:r w:rsidRPr="00751AE2">
              <w:rPr>
                <w:i/>
                <w:iCs/>
                <w:sz w:val="20"/>
                <w:szCs w:val="20"/>
              </w:rPr>
              <w:t>Griswold v. Connecticut</w:t>
            </w:r>
            <w:r w:rsidRPr="00751AE2">
              <w:rPr>
                <w:sz w:val="20"/>
                <w:szCs w:val="20"/>
              </w:rPr>
              <w:t> an: Dort hatte er einem Arzt und der Leiterin von </w:t>
            </w:r>
            <w:r w:rsidRPr="00751AE2">
              <w:rPr>
                <w:i/>
                <w:iCs/>
                <w:sz w:val="20"/>
                <w:szCs w:val="20"/>
              </w:rPr>
              <w:t xml:space="preserve">Planned </w:t>
            </w:r>
            <w:proofErr w:type="spellStart"/>
            <w:r w:rsidRPr="00751AE2">
              <w:rPr>
                <w:i/>
                <w:iCs/>
                <w:sz w:val="20"/>
                <w:szCs w:val="20"/>
              </w:rPr>
              <w:t>Parenthood</w:t>
            </w:r>
            <w:proofErr w:type="spellEnd"/>
            <w:r w:rsidRPr="00751AE2">
              <w:rPr>
                <w:sz w:val="20"/>
                <w:szCs w:val="20"/>
              </w:rPr>
              <w:t> gestattet, die Rechte verheirateter Personen geltend zu machen, mit denen sie in einer beruflichen Beziehung standen. In </w:t>
            </w:r>
            <w:r w:rsidRPr="00751AE2">
              <w:rPr>
                <w:i/>
                <w:iCs/>
                <w:sz w:val="20"/>
                <w:szCs w:val="20"/>
              </w:rPr>
              <w:t>Eisenstadt</w:t>
            </w:r>
            <w:r w:rsidRPr="00751AE2">
              <w:rPr>
                <w:sz w:val="20"/>
                <w:szCs w:val="20"/>
              </w:rPr>
              <w:t> sei die Drittklagebefugnis sogar stärker begründet, weil unverheiratete Personen, denen der Zugang zu Verhütungsmitteln verwehrt werde, anders als die Betroffenen in </w:t>
            </w:r>
            <w:r w:rsidRPr="00751AE2">
              <w:rPr>
                <w:i/>
                <w:iCs/>
                <w:sz w:val="20"/>
                <w:szCs w:val="20"/>
              </w:rPr>
              <w:t>Griswold</w:t>
            </w:r>
            <w:r w:rsidRPr="00751AE2">
              <w:rPr>
                <w:sz w:val="20"/>
                <w:szCs w:val="20"/>
              </w:rPr>
              <w:t> selbst keiner Strafverfolgung unterlägen und ihre Rechte daher insoweit nicht in einem eigenen Strafverfahren geltend machen könnten.</w:t>
            </w:r>
            <w:r>
              <w:rPr>
                <w:rStyle w:val="Funotenzeichen"/>
                <w:sz w:val="20"/>
                <w:szCs w:val="20"/>
              </w:rPr>
              <w:footnoteReference w:id="1952"/>
            </w:r>
          </w:p>
          <w:p w14:paraId="71440CBD" w14:textId="516AD145" w:rsidR="00074551" w:rsidRPr="00E50B51" w:rsidRDefault="00F8401B" w:rsidP="00751AE2">
            <w:pPr>
              <w:jc w:val="both"/>
              <w:rPr>
                <w:sz w:val="20"/>
                <w:szCs w:val="20"/>
              </w:rPr>
            </w:pPr>
            <w:proofErr w:type="spellStart"/>
            <w:r>
              <w:rPr>
                <w:sz w:val="20"/>
                <w:szCs w:val="20"/>
              </w:rPr>
              <w:t>Spigelbildlich</w:t>
            </w:r>
            <w:proofErr w:type="spellEnd"/>
            <w:r w:rsidR="00751AE2" w:rsidRPr="00751AE2">
              <w:rPr>
                <w:sz w:val="20"/>
                <w:szCs w:val="20"/>
              </w:rPr>
              <w:t xml:space="preserve"> entwickelt </w:t>
            </w:r>
            <w:r w:rsidR="00751AE2" w:rsidRPr="00751AE2">
              <w:rPr>
                <w:i/>
                <w:iCs/>
                <w:sz w:val="20"/>
                <w:szCs w:val="20"/>
              </w:rPr>
              <w:t>Eisenstadt</w:t>
            </w:r>
            <w:r w:rsidR="00751AE2" w:rsidRPr="00751AE2">
              <w:rPr>
                <w:sz w:val="20"/>
                <w:szCs w:val="20"/>
              </w:rPr>
              <w:t> den in </w:t>
            </w:r>
            <w:r w:rsidR="00751AE2" w:rsidRPr="00751AE2">
              <w:rPr>
                <w:i/>
                <w:iCs/>
                <w:sz w:val="20"/>
                <w:szCs w:val="20"/>
              </w:rPr>
              <w:t>Griswold</w:t>
            </w:r>
            <w:r w:rsidR="00751AE2" w:rsidRPr="00751AE2">
              <w:rPr>
                <w:sz w:val="20"/>
                <w:szCs w:val="20"/>
              </w:rPr>
              <w:t> anerkannten Schutz der Privatsphäre materiellrechtlich fort. Geschützt sei nicht lediglich die Ehe als solche, sondern das Individuum – unabhängig davon, ob es verheiratet oder unverheiratet sei – vor ungerechtfertigten staatlichen Eingriffen in grundlegende Entscheidungen darüber, ob es ein Kind zeugen oder gebären wolle.</w:t>
            </w:r>
            <w:r>
              <w:rPr>
                <w:rStyle w:val="Funotenzeichen"/>
                <w:sz w:val="20"/>
                <w:szCs w:val="20"/>
              </w:rPr>
              <w:footnoteReference w:id="1953"/>
            </w:r>
            <w:r w:rsidR="00751AE2" w:rsidRPr="00751AE2">
              <w:rPr>
                <w:sz w:val="20"/>
                <w:szCs w:val="20"/>
              </w:rPr>
              <w:t> In diesem Zusammenhang verweist der U.S. Supreme Court ausdrücklich auf </w:t>
            </w:r>
            <w:r w:rsidR="00751AE2" w:rsidRPr="00751AE2">
              <w:rPr>
                <w:i/>
                <w:iCs/>
                <w:sz w:val="20"/>
                <w:szCs w:val="20"/>
              </w:rPr>
              <w:t>Stanley v. Georgia</w:t>
            </w:r>
            <w:r w:rsidR="00751AE2" w:rsidRPr="00751AE2">
              <w:rPr>
                <w:sz w:val="20"/>
                <w:szCs w:val="20"/>
              </w:rPr>
              <w:t xml:space="preserve">. Dort heißt es, ebenfalls fundamental sei das Recht, abgesehen von eng begrenzten Ausnahmefällen vor unerwünschten staatlichen Eingriffen in die Privatsphäre geschützt zu sein („Also fundamental </w:t>
            </w:r>
            <w:proofErr w:type="spellStart"/>
            <w:r w:rsidR="00751AE2" w:rsidRPr="00751AE2">
              <w:rPr>
                <w:sz w:val="20"/>
                <w:szCs w:val="20"/>
              </w:rPr>
              <w:t>is</w:t>
            </w:r>
            <w:proofErr w:type="spellEnd"/>
            <w:r w:rsidR="00751AE2" w:rsidRPr="00751AE2">
              <w:rPr>
                <w:sz w:val="20"/>
                <w:szCs w:val="20"/>
              </w:rPr>
              <w:t xml:space="preserve"> the </w:t>
            </w:r>
            <w:proofErr w:type="spellStart"/>
            <w:r w:rsidR="00751AE2" w:rsidRPr="00751AE2">
              <w:rPr>
                <w:sz w:val="20"/>
                <w:szCs w:val="20"/>
              </w:rPr>
              <w:t>right</w:t>
            </w:r>
            <w:proofErr w:type="spellEnd"/>
            <w:r w:rsidR="00751AE2" w:rsidRPr="00751AE2">
              <w:rPr>
                <w:sz w:val="20"/>
                <w:szCs w:val="20"/>
              </w:rPr>
              <w:t xml:space="preserve"> to </w:t>
            </w:r>
            <w:proofErr w:type="spellStart"/>
            <w:r w:rsidR="00751AE2" w:rsidRPr="00751AE2">
              <w:rPr>
                <w:sz w:val="20"/>
                <w:szCs w:val="20"/>
              </w:rPr>
              <w:t>be</w:t>
            </w:r>
            <w:proofErr w:type="spellEnd"/>
            <w:r w:rsidR="00751AE2" w:rsidRPr="00751AE2">
              <w:rPr>
                <w:sz w:val="20"/>
                <w:szCs w:val="20"/>
              </w:rPr>
              <w:t xml:space="preserve"> </w:t>
            </w:r>
            <w:proofErr w:type="spellStart"/>
            <w:r w:rsidR="00751AE2" w:rsidRPr="00751AE2">
              <w:rPr>
                <w:sz w:val="20"/>
                <w:szCs w:val="20"/>
              </w:rPr>
              <w:t>free</w:t>
            </w:r>
            <w:proofErr w:type="spellEnd"/>
            <w:r w:rsidR="00751AE2" w:rsidRPr="00751AE2">
              <w:rPr>
                <w:sz w:val="20"/>
                <w:szCs w:val="20"/>
              </w:rPr>
              <w:t xml:space="preserve">, </w:t>
            </w:r>
            <w:proofErr w:type="spellStart"/>
            <w:r w:rsidR="00751AE2" w:rsidRPr="00751AE2">
              <w:rPr>
                <w:sz w:val="20"/>
                <w:szCs w:val="20"/>
              </w:rPr>
              <w:t>except</w:t>
            </w:r>
            <w:proofErr w:type="spellEnd"/>
            <w:r w:rsidR="00751AE2" w:rsidRPr="00751AE2">
              <w:rPr>
                <w:sz w:val="20"/>
                <w:szCs w:val="20"/>
              </w:rPr>
              <w:t xml:space="preserve"> in </w:t>
            </w:r>
            <w:proofErr w:type="spellStart"/>
            <w:r w:rsidR="00751AE2" w:rsidRPr="00751AE2">
              <w:rPr>
                <w:sz w:val="20"/>
                <w:szCs w:val="20"/>
              </w:rPr>
              <w:t>very</w:t>
            </w:r>
            <w:proofErr w:type="spellEnd"/>
            <w:r w:rsidR="00751AE2" w:rsidRPr="00751AE2">
              <w:rPr>
                <w:sz w:val="20"/>
                <w:szCs w:val="20"/>
              </w:rPr>
              <w:t xml:space="preserve"> limited </w:t>
            </w:r>
            <w:proofErr w:type="spellStart"/>
            <w:r w:rsidR="00751AE2" w:rsidRPr="00751AE2">
              <w:rPr>
                <w:sz w:val="20"/>
                <w:szCs w:val="20"/>
              </w:rPr>
              <w:t>circumstances</w:t>
            </w:r>
            <w:proofErr w:type="spellEnd"/>
            <w:r w:rsidR="00751AE2" w:rsidRPr="00751AE2">
              <w:rPr>
                <w:sz w:val="20"/>
                <w:szCs w:val="20"/>
              </w:rPr>
              <w:t xml:space="preserve">, </w:t>
            </w:r>
            <w:proofErr w:type="spellStart"/>
            <w:r w:rsidR="00751AE2" w:rsidRPr="00751AE2">
              <w:rPr>
                <w:sz w:val="20"/>
                <w:szCs w:val="20"/>
              </w:rPr>
              <w:t>from</w:t>
            </w:r>
            <w:proofErr w:type="spellEnd"/>
            <w:r w:rsidR="00751AE2" w:rsidRPr="00751AE2">
              <w:rPr>
                <w:sz w:val="20"/>
                <w:szCs w:val="20"/>
              </w:rPr>
              <w:t xml:space="preserve"> </w:t>
            </w:r>
            <w:proofErr w:type="spellStart"/>
            <w:r w:rsidR="00751AE2" w:rsidRPr="00751AE2">
              <w:rPr>
                <w:sz w:val="20"/>
                <w:szCs w:val="20"/>
              </w:rPr>
              <w:t>unwanted</w:t>
            </w:r>
            <w:proofErr w:type="spellEnd"/>
            <w:r w:rsidR="00751AE2" w:rsidRPr="00751AE2">
              <w:rPr>
                <w:sz w:val="20"/>
                <w:szCs w:val="20"/>
              </w:rPr>
              <w:t xml:space="preserve"> </w:t>
            </w:r>
            <w:proofErr w:type="spellStart"/>
            <w:r w:rsidR="00751AE2" w:rsidRPr="00751AE2">
              <w:rPr>
                <w:sz w:val="20"/>
                <w:szCs w:val="20"/>
              </w:rPr>
              <w:t>governmental</w:t>
            </w:r>
            <w:proofErr w:type="spellEnd"/>
            <w:r w:rsidR="00751AE2" w:rsidRPr="00751AE2">
              <w:rPr>
                <w:sz w:val="20"/>
                <w:szCs w:val="20"/>
              </w:rPr>
              <w:t xml:space="preserve"> </w:t>
            </w:r>
            <w:proofErr w:type="spellStart"/>
            <w:r w:rsidR="00751AE2" w:rsidRPr="00751AE2">
              <w:rPr>
                <w:sz w:val="20"/>
                <w:szCs w:val="20"/>
              </w:rPr>
              <w:t>intrusions</w:t>
            </w:r>
            <w:proofErr w:type="spellEnd"/>
            <w:r w:rsidR="00751AE2" w:rsidRPr="00751AE2">
              <w:rPr>
                <w:sz w:val="20"/>
                <w:szCs w:val="20"/>
              </w:rPr>
              <w:t xml:space="preserve"> </w:t>
            </w:r>
            <w:proofErr w:type="spellStart"/>
            <w:r w:rsidR="00751AE2" w:rsidRPr="00751AE2">
              <w:rPr>
                <w:sz w:val="20"/>
                <w:szCs w:val="20"/>
              </w:rPr>
              <w:t>into</w:t>
            </w:r>
            <w:proofErr w:type="spellEnd"/>
            <w:r w:rsidR="00751AE2" w:rsidRPr="00751AE2">
              <w:rPr>
                <w:sz w:val="20"/>
                <w:szCs w:val="20"/>
              </w:rPr>
              <w:t xml:space="preserve"> </w:t>
            </w:r>
            <w:proofErr w:type="spellStart"/>
            <w:r w:rsidR="00751AE2" w:rsidRPr="00751AE2">
              <w:rPr>
                <w:sz w:val="20"/>
                <w:szCs w:val="20"/>
              </w:rPr>
              <w:t>one’s</w:t>
            </w:r>
            <w:proofErr w:type="spellEnd"/>
            <w:r w:rsidR="00751AE2" w:rsidRPr="00751AE2">
              <w:rPr>
                <w:sz w:val="20"/>
                <w:szCs w:val="20"/>
              </w:rPr>
              <w:t xml:space="preserve"> </w:t>
            </w:r>
            <w:proofErr w:type="spellStart"/>
            <w:r w:rsidR="00751AE2" w:rsidRPr="00751AE2">
              <w:rPr>
                <w:sz w:val="20"/>
                <w:szCs w:val="20"/>
              </w:rPr>
              <w:t>privacy</w:t>
            </w:r>
            <w:proofErr w:type="spellEnd"/>
            <w:r w:rsidR="00751AE2" w:rsidRPr="00751AE2">
              <w:rPr>
                <w:sz w:val="20"/>
                <w:szCs w:val="20"/>
              </w:rPr>
              <w:t xml:space="preserve">.“). Unmittelbar daran anknüpfend wird dieser Schutz mit dem Streben nach Glück verbunden: Die Verfassungsgeber hätten Bedingungen sichern wollen, die dem Streben nach Glück förderlich seien („The </w:t>
            </w:r>
            <w:proofErr w:type="spellStart"/>
            <w:r w:rsidR="00751AE2" w:rsidRPr="00751AE2">
              <w:rPr>
                <w:sz w:val="20"/>
                <w:szCs w:val="20"/>
              </w:rPr>
              <w:t>makers</w:t>
            </w:r>
            <w:proofErr w:type="spellEnd"/>
            <w:r w:rsidR="00751AE2" w:rsidRPr="00751AE2">
              <w:rPr>
                <w:sz w:val="20"/>
                <w:szCs w:val="20"/>
              </w:rPr>
              <w:t xml:space="preserve"> of </w:t>
            </w:r>
            <w:proofErr w:type="spellStart"/>
            <w:r w:rsidR="00751AE2" w:rsidRPr="00751AE2">
              <w:rPr>
                <w:sz w:val="20"/>
                <w:szCs w:val="20"/>
              </w:rPr>
              <w:t>our</w:t>
            </w:r>
            <w:proofErr w:type="spellEnd"/>
            <w:r w:rsidR="00751AE2" w:rsidRPr="00751AE2">
              <w:rPr>
                <w:sz w:val="20"/>
                <w:szCs w:val="20"/>
              </w:rPr>
              <w:t xml:space="preserve"> </w:t>
            </w:r>
            <w:proofErr w:type="spellStart"/>
            <w:r w:rsidR="00751AE2" w:rsidRPr="00751AE2">
              <w:rPr>
                <w:sz w:val="20"/>
                <w:szCs w:val="20"/>
              </w:rPr>
              <w:t>Constitution</w:t>
            </w:r>
            <w:proofErr w:type="spellEnd"/>
            <w:r w:rsidR="00751AE2" w:rsidRPr="00751AE2">
              <w:rPr>
                <w:sz w:val="20"/>
                <w:szCs w:val="20"/>
              </w:rPr>
              <w:t xml:space="preserve"> </w:t>
            </w:r>
            <w:proofErr w:type="spellStart"/>
            <w:r w:rsidR="00751AE2" w:rsidRPr="00751AE2">
              <w:rPr>
                <w:sz w:val="20"/>
                <w:szCs w:val="20"/>
              </w:rPr>
              <w:t>undertook</w:t>
            </w:r>
            <w:proofErr w:type="spellEnd"/>
            <w:r w:rsidR="00751AE2" w:rsidRPr="00751AE2">
              <w:rPr>
                <w:sz w:val="20"/>
                <w:szCs w:val="20"/>
              </w:rPr>
              <w:t xml:space="preserve"> to </w:t>
            </w:r>
            <w:proofErr w:type="spellStart"/>
            <w:r w:rsidR="00751AE2" w:rsidRPr="00751AE2">
              <w:rPr>
                <w:sz w:val="20"/>
                <w:szCs w:val="20"/>
              </w:rPr>
              <w:t>secure</w:t>
            </w:r>
            <w:proofErr w:type="spellEnd"/>
            <w:r w:rsidR="00751AE2" w:rsidRPr="00751AE2">
              <w:rPr>
                <w:sz w:val="20"/>
                <w:szCs w:val="20"/>
              </w:rPr>
              <w:t xml:space="preserve"> </w:t>
            </w:r>
            <w:proofErr w:type="spellStart"/>
            <w:r w:rsidR="00751AE2" w:rsidRPr="00751AE2">
              <w:rPr>
                <w:sz w:val="20"/>
                <w:szCs w:val="20"/>
              </w:rPr>
              <w:t>conditions</w:t>
            </w:r>
            <w:proofErr w:type="spellEnd"/>
            <w:r w:rsidR="00751AE2" w:rsidRPr="00751AE2">
              <w:rPr>
                <w:sz w:val="20"/>
                <w:szCs w:val="20"/>
              </w:rPr>
              <w:t xml:space="preserve"> favorable to the </w:t>
            </w:r>
            <w:proofErr w:type="spellStart"/>
            <w:r w:rsidR="00751AE2" w:rsidRPr="00751AE2">
              <w:rPr>
                <w:sz w:val="20"/>
                <w:szCs w:val="20"/>
              </w:rPr>
              <w:lastRenderedPageBreak/>
              <w:t>pursuit</w:t>
            </w:r>
            <w:proofErr w:type="spellEnd"/>
            <w:r w:rsidR="00751AE2" w:rsidRPr="00751AE2">
              <w:rPr>
                <w:sz w:val="20"/>
                <w:szCs w:val="20"/>
              </w:rPr>
              <w:t xml:space="preserve"> of </w:t>
            </w:r>
            <w:proofErr w:type="spellStart"/>
            <w:r w:rsidR="00751AE2" w:rsidRPr="00751AE2">
              <w:rPr>
                <w:sz w:val="20"/>
                <w:szCs w:val="20"/>
              </w:rPr>
              <w:t>happiness</w:t>
            </w:r>
            <w:proofErr w:type="spellEnd"/>
            <w:r w:rsidR="00751AE2" w:rsidRPr="00751AE2">
              <w:rPr>
                <w:sz w:val="20"/>
                <w:szCs w:val="20"/>
              </w:rPr>
              <w:t>“).</w:t>
            </w:r>
            <w:r>
              <w:rPr>
                <w:rStyle w:val="Funotenzeichen"/>
                <w:sz w:val="20"/>
                <w:szCs w:val="20"/>
              </w:rPr>
              <w:footnoteReference w:id="1954"/>
            </w:r>
            <w:r w:rsidR="00751AE2" w:rsidRPr="00751AE2">
              <w:rPr>
                <w:sz w:val="20"/>
                <w:szCs w:val="20"/>
              </w:rPr>
              <w:t> Die in </w:t>
            </w:r>
            <w:r w:rsidR="00751AE2" w:rsidRPr="00751AE2">
              <w:rPr>
                <w:i/>
                <w:iCs/>
                <w:sz w:val="20"/>
                <w:szCs w:val="20"/>
              </w:rPr>
              <w:t>Griswold</w:t>
            </w:r>
            <w:r w:rsidR="00751AE2" w:rsidRPr="00751AE2">
              <w:rPr>
                <w:sz w:val="20"/>
                <w:szCs w:val="20"/>
              </w:rPr>
              <w:t> entwickelte Privatsphäre wird in </w:t>
            </w:r>
            <w:r w:rsidR="00751AE2" w:rsidRPr="00751AE2">
              <w:rPr>
                <w:i/>
                <w:iCs/>
                <w:sz w:val="20"/>
                <w:szCs w:val="20"/>
              </w:rPr>
              <w:t>Eisenstadt</w:t>
            </w:r>
            <w:r w:rsidR="00751AE2" w:rsidRPr="00751AE2">
              <w:rPr>
                <w:sz w:val="20"/>
                <w:szCs w:val="20"/>
              </w:rPr>
              <w:t> damit auf die individuelle Freiheit unabhängig vom Familienstand erstreckt und zugleich über </w:t>
            </w:r>
            <w:r w:rsidR="00751AE2" w:rsidRPr="00751AE2">
              <w:rPr>
                <w:i/>
                <w:iCs/>
                <w:sz w:val="20"/>
                <w:szCs w:val="20"/>
              </w:rPr>
              <w:t>Stanley</w:t>
            </w:r>
            <w:r w:rsidR="00751AE2" w:rsidRPr="00751AE2">
              <w:rPr>
                <w:sz w:val="20"/>
                <w:szCs w:val="20"/>
              </w:rPr>
              <w:t> in diese weitergehende Freiheitslinie eingeordnet.</w:t>
            </w:r>
          </w:p>
        </w:tc>
      </w:tr>
      <w:tr w:rsidR="00074551" w:rsidRPr="00E50B51" w14:paraId="5B0D19DA" w14:textId="77777777" w:rsidTr="00BE689F">
        <w:trPr>
          <w:cantSplit/>
          <w:trHeight w:val="3175"/>
        </w:trPr>
        <w:tc>
          <w:tcPr>
            <w:tcW w:w="293" w:type="pct"/>
          </w:tcPr>
          <w:p w14:paraId="364AD836"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705563AF" w14:textId="77777777" w:rsidR="00074551" w:rsidRPr="00B45592" w:rsidRDefault="00074551" w:rsidP="00367133">
            <w:pPr>
              <w:ind w:left="113" w:right="416"/>
              <w:jc w:val="both"/>
              <w:rPr>
                <w:i/>
                <w:sz w:val="20"/>
                <w:szCs w:val="20"/>
                <w:lang w:val="en-US"/>
              </w:rPr>
            </w:pPr>
            <w:r w:rsidRPr="00B45592">
              <w:rPr>
                <w:i/>
                <w:sz w:val="20"/>
                <w:szCs w:val="20"/>
                <w:lang w:val="en-US"/>
              </w:rPr>
              <w:t>Schlesinger v. Reservists Comm. to Stop the War</w:t>
            </w:r>
          </w:p>
        </w:tc>
        <w:tc>
          <w:tcPr>
            <w:tcW w:w="197" w:type="pct"/>
            <w:textDirection w:val="tbRl"/>
            <w:vAlign w:val="center"/>
          </w:tcPr>
          <w:p w14:paraId="16DE2923" w14:textId="77777777" w:rsidR="00074551" w:rsidRPr="00E50B51" w:rsidRDefault="00074551" w:rsidP="00367133">
            <w:pPr>
              <w:ind w:left="113" w:right="113"/>
              <w:jc w:val="both"/>
              <w:rPr>
                <w:sz w:val="20"/>
                <w:szCs w:val="20"/>
                <w:lang w:val="en-US"/>
              </w:rPr>
            </w:pPr>
            <w:r w:rsidRPr="00BE3728">
              <w:rPr>
                <w:sz w:val="20"/>
                <w:szCs w:val="20"/>
              </w:rPr>
              <w:t>418 U.S. 208</w:t>
            </w:r>
          </w:p>
        </w:tc>
        <w:tc>
          <w:tcPr>
            <w:tcW w:w="306" w:type="pct"/>
            <w:textDirection w:val="tbRl"/>
            <w:vAlign w:val="center"/>
          </w:tcPr>
          <w:p w14:paraId="63DCE13B" w14:textId="77777777" w:rsidR="00074551" w:rsidRPr="00E50B51" w:rsidRDefault="00074551" w:rsidP="00367133">
            <w:pPr>
              <w:ind w:left="113" w:right="113"/>
              <w:jc w:val="both"/>
              <w:rPr>
                <w:sz w:val="20"/>
                <w:szCs w:val="20"/>
              </w:rPr>
            </w:pPr>
            <w:r w:rsidRPr="00BE3728">
              <w:rPr>
                <w:sz w:val="20"/>
                <w:szCs w:val="20"/>
              </w:rPr>
              <w:t>25. Juni 1974</w:t>
            </w:r>
          </w:p>
        </w:tc>
        <w:tc>
          <w:tcPr>
            <w:tcW w:w="401" w:type="pct"/>
          </w:tcPr>
          <w:p w14:paraId="2BB97325" w14:textId="77777777" w:rsidR="00074551" w:rsidRPr="00E50B51" w:rsidRDefault="00074551" w:rsidP="00367133">
            <w:pPr>
              <w:jc w:val="center"/>
              <w:rPr>
                <w:sz w:val="20"/>
                <w:szCs w:val="20"/>
              </w:rPr>
            </w:pPr>
            <w:r w:rsidRPr="00BE3728">
              <w:rPr>
                <w:sz w:val="20"/>
                <w:szCs w:val="20"/>
                <w:lang w:val="en-US"/>
              </w:rPr>
              <w:t>C</w:t>
            </w:r>
          </w:p>
        </w:tc>
        <w:tc>
          <w:tcPr>
            <w:tcW w:w="1594" w:type="pct"/>
          </w:tcPr>
          <w:p w14:paraId="04831CB3" w14:textId="73C3A6C4" w:rsidR="00074551" w:rsidRPr="00BE3728" w:rsidRDefault="00074551" w:rsidP="00367133">
            <w:pPr>
              <w:jc w:val="both"/>
              <w:rPr>
                <w:sz w:val="20"/>
                <w:szCs w:val="20"/>
              </w:rPr>
            </w:pPr>
            <w:r w:rsidRPr="00BE3728">
              <w:rPr>
                <w:sz w:val="20"/>
                <w:szCs w:val="20"/>
              </w:rPr>
              <w:t xml:space="preserve">Der Verteidigungsminister legte Berufung gegen das Urteil </w:t>
            </w:r>
            <w:r w:rsidRPr="5B67C1D2">
              <w:rPr>
                <w:i/>
                <w:iCs/>
                <w:sz w:val="20"/>
                <w:szCs w:val="20"/>
              </w:rPr>
              <w:t xml:space="preserve">des Court of Appeals for the </w:t>
            </w:r>
            <w:proofErr w:type="spellStart"/>
            <w:r w:rsidRPr="5B67C1D2">
              <w:rPr>
                <w:i/>
                <w:iCs/>
                <w:sz w:val="20"/>
                <w:szCs w:val="20"/>
              </w:rPr>
              <w:t>District</w:t>
            </w:r>
            <w:proofErr w:type="spellEnd"/>
            <w:r w:rsidRPr="5B67C1D2">
              <w:rPr>
                <w:i/>
                <w:iCs/>
                <w:sz w:val="20"/>
                <w:szCs w:val="20"/>
              </w:rPr>
              <w:t xml:space="preserve"> of Columbia Circuit</w:t>
            </w:r>
            <w:r w:rsidRPr="00BE3728">
              <w:rPr>
                <w:sz w:val="20"/>
                <w:szCs w:val="20"/>
              </w:rPr>
              <w:t xml:space="preserve"> ein. Dort hatte eine Klage eines Reservisten-Aktivisten-Ausschusses obsiegt. Der Ausschuss wandte sich gegen die Reservemitgliedschaft von Kongressmitgliedern – die waren bereits für die Zeit ihrer Amtszeit für untauglich erklärt. Die Reservemitgliedschaft aber beruhe auf einer Verletzung der Inkompatibilitätsklausel nach </w:t>
            </w:r>
            <w:r w:rsidR="002F58F4" w:rsidRPr="002F58F4">
              <w:rPr>
                <w:sz w:val="20"/>
                <w:szCs w:val="20"/>
              </w:rPr>
              <w:t xml:space="preserve">U.S. </w:t>
            </w:r>
            <w:proofErr w:type="spellStart"/>
            <w:r w:rsidR="002F58F4" w:rsidRPr="002F58F4">
              <w:rPr>
                <w:sz w:val="20"/>
                <w:szCs w:val="20"/>
              </w:rPr>
              <w:t>Const</w:t>
            </w:r>
            <w:proofErr w:type="spellEnd"/>
            <w:r w:rsidR="002F58F4" w:rsidRPr="002F58F4">
              <w:rPr>
                <w:sz w:val="20"/>
                <w:szCs w:val="20"/>
              </w:rPr>
              <w:t>. art. I, § 6, cl. 2</w:t>
            </w:r>
            <w:r w:rsidR="002F58F4">
              <w:rPr>
                <w:sz w:val="20"/>
                <w:szCs w:val="20"/>
              </w:rPr>
              <w:t xml:space="preserve">. </w:t>
            </w:r>
            <w:r w:rsidRPr="00BE3728">
              <w:rPr>
                <w:sz w:val="20"/>
                <w:szCs w:val="20"/>
              </w:rPr>
              <w:t xml:space="preserve">Die Mitglieder begehrten daher eine Verfügung (sog. </w:t>
            </w:r>
            <w:proofErr w:type="spellStart"/>
            <w:r w:rsidRPr="00BE3728">
              <w:rPr>
                <w:sz w:val="20"/>
                <w:szCs w:val="20"/>
              </w:rPr>
              <w:t>Mand</w:t>
            </w:r>
            <w:r>
              <w:rPr>
                <w:sz w:val="20"/>
                <w:szCs w:val="20"/>
              </w:rPr>
              <w:t>a</w:t>
            </w:r>
            <w:r w:rsidRPr="00BE3728">
              <w:rPr>
                <w:sz w:val="20"/>
                <w:szCs w:val="20"/>
              </w:rPr>
              <w:t>mus</w:t>
            </w:r>
            <w:proofErr w:type="spellEnd"/>
            <w:r w:rsidRPr="00BE3728">
              <w:rPr>
                <w:sz w:val="20"/>
                <w:szCs w:val="20"/>
              </w:rPr>
              <w:t xml:space="preserve">) des Verteidigungsministers, um </w:t>
            </w:r>
            <w:r>
              <w:rPr>
                <w:sz w:val="20"/>
                <w:szCs w:val="20"/>
              </w:rPr>
              <w:t>u.a.</w:t>
            </w:r>
            <w:r w:rsidRPr="00BE3728">
              <w:rPr>
                <w:sz w:val="20"/>
                <w:szCs w:val="20"/>
              </w:rPr>
              <w:t xml:space="preserve"> die Kongressmitglieder aus den Reservelisten dauerhaft zu entfernen. Der Verteidigungsminister argumentierte indes, dem Ausschuss fehle bereits die notwendige Klagebefugnis. Das Interesse sei zu abstrakt. Der </w:t>
            </w:r>
            <w:r>
              <w:rPr>
                <w:sz w:val="20"/>
                <w:szCs w:val="20"/>
              </w:rPr>
              <w:t>U.S. Supreme Court</w:t>
            </w:r>
            <w:r w:rsidRPr="00BE3728">
              <w:rPr>
                <w:sz w:val="20"/>
                <w:szCs w:val="20"/>
              </w:rPr>
              <w:t xml:space="preserve"> bestätigte letzteres. Er verwies den Fall zurück an das Bezirksgericht, mit der Begründung, dass die Klagebefugnis </w:t>
            </w:r>
            <w:r>
              <w:rPr>
                <w:sz w:val="20"/>
                <w:szCs w:val="20"/>
              </w:rPr>
              <w:t xml:space="preserve">eine </w:t>
            </w:r>
            <w:r w:rsidRPr="00BE3728">
              <w:rPr>
                <w:sz w:val="20"/>
                <w:szCs w:val="20"/>
              </w:rPr>
              <w:t>konkrete Betroffenheit voraussetze. Die aber fehle.</w:t>
            </w:r>
            <w:r w:rsidRPr="00BE3728">
              <w:rPr>
                <w:rStyle w:val="Funotenzeichen"/>
                <w:sz w:val="20"/>
                <w:szCs w:val="20"/>
              </w:rPr>
              <w:footnoteReference w:id="1955"/>
            </w:r>
          </w:p>
          <w:p w14:paraId="34F0B2BB" w14:textId="77777777" w:rsidR="00074551" w:rsidRPr="00BE3728" w:rsidRDefault="00074551" w:rsidP="00367133">
            <w:pPr>
              <w:jc w:val="both"/>
              <w:rPr>
                <w:sz w:val="20"/>
                <w:szCs w:val="20"/>
              </w:rPr>
            </w:pPr>
          </w:p>
          <w:p w14:paraId="11057026" w14:textId="77777777" w:rsidR="00074551" w:rsidRPr="00BE3728" w:rsidRDefault="00074551" w:rsidP="00367133">
            <w:pPr>
              <w:jc w:val="both"/>
              <w:rPr>
                <w:sz w:val="20"/>
                <w:szCs w:val="20"/>
              </w:rPr>
            </w:pPr>
          </w:p>
          <w:p w14:paraId="18AC2ED5" w14:textId="77777777" w:rsidR="00074551" w:rsidRPr="00BE3728" w:rsidRDefault="00074551" w:rsidP="00367133">
            <w:pPr>
              <w:jc w:val="both"/>
              <w:rPr>
                <w:sz w:val="20"/>
                <w:szCs w:val="20"/>
              </w:rPr>
            </w:pPr>
          </w:p>
          <w:p w14:paraId="208D70BB" w14:textId="77777777" w:rsidR="00074551" w:rsidRPr="00E50B51" w:rsidRDefault="00074551" w:rsidP="00367133">
            <w:pPr>
              <w:jc w:val="both"/>
              <w:rPr>
                <w:sz w:val="20"/>
                <w:szCs w:val="20"/>
              </w:rPr>
            </w:pPr>
          </w:p>
        </w:tc>
        <w:tc>
          <w:tcPr>
            <w:tcW w:w="1822" w:type="pct"/>
          </w:tcPr>
          <w:p w14:paraId="6D2A771E"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Constitutional Law › Case or Controversy › Standing</w:t>
            </w:r>
          </w:p>
          <w:p w14:paraId="1128BB27" w14:textId="77777777" w:rsidR="00074551" w:rsidRPr="00BE3728" w:rsidRDefault="00074551" w:rsidP="00367133">
            <w:pPr>
              <w:jc w:val="both"/>
              <w:rPr>
                <w:sz w:val="20"/>
                <w:szCs w:val="20"/>
                <w:lang w:val="en-US"/>
              </w:rPr>
            </w:pPr>
          </w:p>
          <w:p w14:paraId="62A08761" w14:textId="4A4CA0A3" w:rsidR="00074551" w:rsidRPr="00B74FC3" w:rsidRDefault="00074551" w:rsidP="00367133">
            <w:pPr>
              <w:jc w:val="both"/>
              <w:rPr>
                <w:sz w:val="20"/>
                <w:szCs w:val="20"/>
              </w:rPr>
            </w:pPr>
            <w:r w:rsidRPr="00BE3728">
              <w:rPr>
                <w:sz w:val="20"/>
                <w:szCs w:val="20"/>
              </w:rPr>
              <w:t xml:space="preserve">Eine abstrakte Verletzung reiche nicht aus, um die Einschränkung der gerichtlichen Befugnis auf Bundesebene gemäß </w:t>
            </w:r>
            <w:r w:rsidR="00023A37">
              <w:rPr>
                <w:sz w:val="20"/>
                <w:szCs w:val="20"/>
              </w:rPr>
              <w:t xml:space="preserve">U.S. </w:t>
            </w:r>
            <w:proofErr w:type="spellStart"/>
            <w:r w:rsidR="00023A37">
              <w:rPr>
                <w:sz w:val="20"/>
                <w:szCs w:val="20"/>
              </w:rPr>
              <w:t>Const</w:t>
            </w:r>
            <w:proofErr w:type="spellEnd"/>
            <w:r w:rsidR="00023A37">
              <w:rPr>
                <w:sz w:val="20"/>
                <w:szCs w:val="20"/>
              </w:rPr>
              <w:t>. art. III</w:t>
            </w:r>
            <w:r w:rsidRPr="00BE3728">
              <w:rPr>
                <w:sz w:val="20"/>
                <w:szCs w:val="20"/>
              </w:rPr>
              <w:t xml:space="preserve"> zu erfüllen.</w:t>
            </w:r>
            <w:r w:rsidRPr="00BE3728">
              <w:rPr>
                <w:rStyle w:val="Funotenzeichen"/>
                <w:sz w:val="20"/>
                <w:szCs w:val="20"/>
              </w:rPr>
              <w:footnoteReference w:id="1956"/>
            </w:r>
          </w:p>
          <w:p w14:paraId="437687A1" w14:textId="77777777" w:rsidR="00074551" w:rsidRPr="00BE3728" w:rsidRDefault="00074551" w:rsidP="00367133">
            <w:pPr>
              <w:jc w:val="both"/>
              <w:rPr>
                <w:sz w:val="20"/>
                <w:szCs w:val="20"/>
              </w:rPr>
            </w:pPr>
          </w:p>
          <w:p w14:paraId="353DFAD7" w14:textId="77777777" w:rsidR="00074551" w:rsidRPr="00BE3728" w:rsidRDefault="00074551" w:rsidP="00367133">
            <w:pPr>
              <w:jc w:val="both"/>
              <w:rPr>
                <w:sz w:val="20"/>
                <w:szCs w:val="20"/>
              </w:rPr>
            </w:pPr>
            <w:r w:rsidRPr="00BE3728">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xml:space="preserve"> vertritt, dass die Klagebefugnis („</w:t>
            </w:r>
            <w:proofErr w:type="spellStart"/>
            <w:r w:rsidRPr="00BE3728">
              <w:rPr>
                <w:sz w:val="20"/>
                <w:szCs w:val="20"/>
              </w:rPr>
              <w:t>standing</w:t>
            </w:r>
            <w:proofErr w:type="spellEnd"/>
            <w:r w:rsidRPr="00BE3728">
              <w:rPr>
                <w:sz w:val="20"/>
                <w:szCs w:val="20"/>
              </w:rPr>
              <w:t>“</w:t>
            </w:r>
            <w:r w:rsidRPr="00BE3728">
              <w:rPr>
                <w:rStyle w:val="Funotenzeichen"/>
                <w:sz w:val="20"/>
                <w:szCs w:val="20"/>
              </w:rPr>
              <w:footnoteReference w:id="1957"/>
            </w:r>
            <w:r w:rsidRPr="00BE3728">
              <w:rPr>
                <w:sz w:val="20"/>
                <w:szCs w:val="20"/>
              </w:rPr>
              <w:t>) drei Filter habe: Erstens schütze die Klagebefugnis den Status quo. Einerseits w</w:t>
            </w:r>
            <w:r>
              <w:rPr>
                <w:sz w:val="20"/>
                <w:szCs w:val="20"/>
              </w:rPr>
              <w:t>ü</w:t>
            </w:r>
            <w:r w:rsidRPr="00BE3728">
              <w:rPr>
                <w:sz w:val="20"/>
                <w:szCs w:val="20"/>
              </w:rPr>
              <w:t>rden mit ihr Interessenslagen beschränkt</w:t>
            </w:r>
            <w:r>
              <w:rPr>
                <w:sz w:val="20"/>
                <w:szCs w:val="20"/>
              </w:rPr>
              <w:t>,</w:t>
            </w:r>
            <w:r w:rsidRPr="00BE3728">
              <w:rPr>
                <w:sz w:val="20"/>
                <w:szCs w:val="20"/>
              </w:rPr>
              <w:t xml:space="preserve"> aufgrund derer geklagt werden </w:t>
            </w:r>
            <w:r>
              <w:rPr>
                <w:sz w:val="20"/>
                <w:szCs w:val="20"/>
              </w:rPr>
              <w:t>könne</w:t>
            </w:r>
            <w:r w:rsidRPr="00BE3728">
              <w:rPr>
                <w:sz w:val="20"/>
                <w:szCs w:val="20"/>
              </w:rPr>
              <w:t xml:space="preserve">, </w:t>
            </w:r>
            <w:r>
              <w:rPr>
                <w:sz w:val="20"/>
                <w:szCs w:val="20"/>
              </w:rPr>
              <w:t>mit anderen Worten</w:t>
            </w:r>
            <w:r w:rsidRPr="00BE3728">
              <w:rPr>
                <w:sz w:val="20"/>
                <w:szCs w:val="20"/>
              </w:rPr>
              <w:t>: Der Bürger habe kein Interesse, alle Rechte zu überprüfen. Andererseits reduzier</w:t>
            </w:r>
            <w:r>
              <w:rPr>
                <w:sz w:val="20"/>
                <w:szCs w:val="20"/>
              </w:rPr>
              <w:t>e</w:t>
            </w:r>
            <w:r w:rsidRPr="00BE3728">
              <w:rPr>
                <w:sz w:val="20"/>
                <w:szCs w:val="20"/>
              </w:rPr>
              <w:t xml:space="preserve"> die Klagebefugnis die Personengruppe, die </w:t>
            </w:r>
            <w:r>
              <w:rPr>
                <w:sz w:val="20"/>
                <w:szCs w:val="20"/>
              </w:rPr>
              <w:t>Klage erheben könne</w:t>
            </w:r>
            <w:r w:rsidRPr="00BE3728">
              <w:rPr>
                <w:sz w:val="20"/>
                <w:szCs w:val="20"/>
              </w:rPr>
              <w:t>. Mit beidem immunisiere sich die Verwaltung gegen Rechtsschutzbegehren</w:t>
            </w:r>
            <w:r>
              <w:rPr>
                <w:sz w:val="20"/>
                <w:szCs w:val="20"/>
              </w:rPr>
              <w:t>; s</w:t>
            </w:r>
            <w:r w:rsidRPr="00BE3728">
              <w:rPr>
                <w:sz w:val="20"/>
                <w:szCs w:val="20"/>
              </w:rPr>
              <w:t xml:space="preserve">ie werde </w:t>
            </w:r>
            <w:r>
              <w:rPr>
                <w:sz w:val="20"/>
                <w:szCs w:val="20"/>
              </w:rPr>
              <w:t xml:space="preserve">so </w:t>
            </w:r>
            <w:r w:rsidRPr="00BE3728">
              <w:rPr>
                <w:sz w:val="20"/>
                <w:szCs w:val="20"/>
              </w:rPr>
              <w:t xml:space="preserve">entlastet. Zweitens </w:t>
            </w:r>
            <w:r>
              <w:rPr>
                <w:sz w:val="20"/>
                <w:szCs w:val="20"/>
              </w:rPr>
              <w:t>ver</w:t>
            </w:r>
            <w:r w:rsidRPr="00BE3728">
              <w:rPr>
                <w:sz w:val="20"/>
                <w:szCs w:val="20"/>
              </w:rPr>
              <w:t>hinder</w:t>
            </w:r>
            <w:r>
              <w:rPr>
                <w:sz w:val="20"/>
                <w:szCs w:val="20"/>
              </w:rPr>
              <w:t>e</w:t>
            </w:r>
            <w:r w:rsidRPr="00BE3728">
              <w:rPr>
                <w:sz w:val="20"/>
                <w:szCs w:val="20"/>
              </w:rPr>
              <w:t xml:space="preserve"> die Klagebefugnis, dass Gerichten Fragen gestellt w</w:t>
            </w:r>
            <w:r>
              <w:rPr>
                <w:sz w:val="20"/>
                <w:szCs w:val="20"/>
              </w:rPr>
              <w:t>ü</w:t>
            </w:r>
            <w:r w:rsidRPr="00BE3728">
              <w:rPr>
                <w:sz w:val="20"/>
                <w:szCs w:val="20"/>
              </w:rPr>
              <w:t xml:space="preserve">rden, </w:t>
            </w:r>
            <w:r>
              <w:rPr>
                <w:sz w:val="20"/>
                <w:szCs w:val="20"/>
              </w:rPr>
              <w:t>welche</w:t>
            </w:r>
            <w:r w:rsidRPr="00BE3728">
              <w:rPr>
                <w:sz w:val="20"/>
                <w:szCs w:val="20"/>
              </w:rPr>
              <w:t xml:space="preserv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anderen Gewalten zudenke</w:t>
            </w:r>
            <w:r>
              <w:rPr>
                <w:sz w:val="20"/>
                <w:szCs w:val="20"/>
              </w:rPr>
              <w:t>. D</w:t>
            </w:r>
            <w:r w:rsidRPr="00BE3728">
              <w:rPr>
                <w:sz w:val="20"/>
                <w:szCs w:val="20"/>
              </w:rPr>
              <w:t>arunter f</w:t>
            </w:r>
            <w:r>
              <w:rPr>
                <w:sz w:val="20"/>
                <w:szCs w:val="20"/>
              </w:rPr>
              <w:t>ie</w:t>
            </w:r>
            <w:r w:rsidRPr="00BE3728">
              <w:rPr>
                <w:sz w:val="20"/>
                <w:szCs w:val="20"/>
              </w:rPr>
              <w:t xml:space="preserve">len </w:t>
            </w:r>
            <w:r>
              <w:rPr>
                <w:sz w:val="20"/>
                <w:szCs w:val="20"/>
              </w:rPr>
              <w:t>z.B.</w:t>
            </w:r>
            <w:r w:rsidRPr="00BE3728">
              <w:rPr>
                <w:sz w:val="20"/>
                <w:szCs w:val="20"/>
              </w:rPr>
              <w:t xml:space="preserve"> politische Fragen, </w:t>
            </w:r>
            <w:r>
              <w:rPr>
                <w:sz w:val="20"/>
                <w:szCs w:val="20"/>
              </w:rPr>
              <w:t xml:space="preserve">welche </w:t>
            </w:r>
            <w:r w:rsidRPr="00BE3728">
              <w:rPr>
                <w:sz w:val="20"/>
                <w:szCs w:val="20"/>
              </w:rPr>
              <w:t>die Legislative entscheiden müsse. Und drittens reduzier</w:t>
            </w:r>
            <w:r>
              <w:rPr>
                <w:sz w:val="20"/>
                <w:szCs w:val="20"/>
              </w:rPr>
              <w:t>e</w:t>
            </w:r>
            <w:r w:rsidRPr="00BE3728">
              <w:rPr>
                <w:sz w:val="20"/>
                <w:szCs w:val="20"/>
              </w:rPr>
              <w:t xml:space="preserve"> die Klagebefugnis Klagen, </w:t>
            </w:r>
            <w:r>
              <w:rPr>
                <w:sz w:val="20"/>
                <w:szCs w:val="20"/>
              </w:rPr>
              <w:t>welche</w:t>
            </w:r>
            <w:r w:rsidRPr="00BE3728">
              <w:rPr>
                <w:sz w:val="20"/>
                <w:szCs w:val="20"/>
              </w:rPr>
              <w:t xml:space="preserve"> abstrakte Fragen behandeln. </w:t>
            </w:r>
            <w:r>
              <w:rPr>
                <w:sz w:val="20"/>
                <w:szCs w:val="20"/>
              </w:rPr>
              <w:t>Diesen</w:t>
            </w:r>
            <w:r w:rsidRPr="00BE3728">
              <w:rPr>
                <w:sz w:val="20"/>
                <w:szCs w:val="20"/>
              </w:rPr>
              <w:t xml:space="preserve"> fehle ein konkreter Sachverhalt.</w:t>
            </w:r>
            <w:r w:rsidRPr="00BE3728">
              <w:rPr>
                <w:rStyle w:val="Funotenzeichen"/>
                <w:sz w:val="20"/>
                <w:szCs w:val="20"/>
              </w:rPr>
              <w:footnoteReference w:id="1958"/>
            </w:r>
          </w:p>
          <w:p w14:paraId="25CCCB4C" w14:textId="77777777" w:rsidR="00074551" w:rsidRPr="00BE3728" w:rsidRDefault="00074551" w:rsidP="00367133">
            <w:pPr>
              <w:jc w:val="both"/>
              <w:rPr>
                <w:sz w:val="20"/>
                <w:szCs w:val="20"/>
              </w:rPr>
            </w:pPr>
          </w:p>
          <w:p w14:paraId="382C4BB8" w14:textId="77777777" w:rsidR="00074551" w:rsidRDefault="00074551" w:rsidP="00367133">
            <w:pPr>
              <w:jc w:val="both"/>
              <w:rPr>
                <w:sz w:val="20"/>
                <w:szCs w:val="20"/>
              </w:rPr>
            </w:pPr>
            <w:r w:rsidRPr="00BE3728">
              <w:rPr>
                <w:sz w:val="20"/>
                <w:szCs w:val="20"/>
              </w:rPr>
              <w:t xml:space="preserve">Unter Achtung dieser drei Filter seien die Beklagten indes klagebefugt, so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BE3728">
              <w:rPr>
                <w:sz w:val="20"/>
                <w:szCs w:val="20"/>
              </w:rPr>
              <w:t>. Sie seien Steuerzahler und zugleich Bürger, womit sie das Staatsvolk repräsentier</w:t>
            </w:r>
            <w:r>
              <w:rPr>
                <w:sz w:val="20"/>
                <w:szCs w:val="20"/>
              </w:rPr>
              <w:t>t</w:t>
            </w:r>
            <w:r w:rsidRPr="00BE3728">
              <w:rPr>
                <w:sz w:val="20"/>
                <w:szCs w:val="20"/>
              </w:rPr>
              <w:t>en. Daher müss</w:t>
            </w:r>
            <w:r>
              <w:rPr>
                <w:sz w:val="20"/>
                <w:szCs w:val="20"/>
              </w:rPr>
              <w:t>t</w:t>
            </w:r>
            <w:r w:rsidRPr="00BE3728">
              <w:rPr>
                <w:sz w:val="20"/>
                <w:szCs w:val="20"/>
              </w:rPr>
              <w:t>en sie Finanzierungsentscheidungen des Staats überprüfen können, wie hier die Bewilligungsbescheide zur Finanzierung von Reservisten („</w:t>
            </w:r>
            <w:proofErr w:type="spellStart"/>
            <w:r w:rsidRPr="00BE3728">
              <w:rPr>
                <w:sz w:val="20"/>
                <w:szCs w:val="20"/>
              </w:rPr>
              <w:t>acts</w:t>
            </w:r>
            <w:proofErr w:type="spellEnd"/>
            <w:r w:rsidRPr="00BE3728">
              <w:rPr>
                <w:sz w:val="20"/>
                <w:szCs w:val="20"/>
              </w:rPr>
              <w:t xml:space="preserve"> </w:t>
            </w:r>
            <w:proofErr w:type="spellStart"/>
            <w:r w:rsidRPr="00BE3728">
              <w:rPr>
                <w:sz w:val="20"/>
                <w:szCs w:val="20"/>
              </w:rPr>
              <w:t>financing</w:t>
            </w:r>
            <w:proofErr w:type="spellEnd"/>
            <w:r w:rsidRPr="00BE3728">
              <w:rPr>
                <w:sz w:val="20"/>
                <w:szCs w:val="20"/>
              </w:rPr>
              <w:t xml:space="preserve"> </w:t>
            </w:r>
            <w:proofErr w:type="spellStart"/>
            <w:r w:rsidRPr="00BE3728">
              <w:rPr>
                <w:sz w:val="20"/>
                <w:szCs w:val="20"/>
              </w:rPr>
              <w:t>activities</w:t>
            </w:r>
            <w:proofErr w:type="spellEnd"/>
            <w:r w:rsidRPr="00BE3728">
              <w:rPr>
                <w:sz w:val="20"/>
                <w:szCs w:val="20"/>
              </w:rPr>
              <w:t xml:space="preserve"> of the </w:t>
            </w:r>
            <w:proofErr w:type="spellStart"/>
            <w:r w:rsidRPr="00BE3728">
              <w:rPr>
                <w:sz w:val="20"/>
                <w:szCs w:val="20"/>
              </w:rPr>
              <w:t>reservists</w:t>
            </w:r>
            <w:proofErr w:type="spellEnd"/>
            <w:r w:rsidRPr="00BE3728">
              <w:rPr>
                <w:sz w:val="20"/>
                <w:szCs w:val="20"/>
              </w:rPr>
              <w:t>“</w:t>
            </w:r>
            <w:r w:rsidRPr="00BE3728">
              <w:rPr>
                <w:rStyle w:val="Funotenzeichen"/>
                <w:sz w:val="20"/>
                <w:szCs w:val="20"/>
              </w:rPr>
              <w:footnoteReference w:id="1959"/>
            </w:r>
            <w:r w:rsidRPr="00BE3728">
              <w:rPr>
                <w:sz w:val="20"/>
                <w:szCs w:val="20"/>
              </w:rPr>
              <w:t>). Die Klagebefugnis müsse weit verstanden werden. Denn sie steh</w:t>
            </w:r>
            <w:r>
              <w:rPr>
                <w:sz w:val="20"/>
                <w:szCs w:val="20"/>
              </w:rPr>
              <w:t>e</w:t>
            </w:r>
            <w:r w:rsidRPr="00BE3728">
              <w:rPr>
                <w:sz w:val="20"/>
                <w:szCs w:val="20"/>
              </w:rPr>
              <w:t xml:space="preserve"> unter der Voraussetzung: Der Souverän sei das Volk,</w:t>
            </w:r>
            <w:r>
              <w:rPr>
                <w:sz w:val="20"/>
                <w:szCs w:val="20"/>
              </w:rPr>
              <w:t xml:space="preserve"> oberstes Staatsziel</w:t>
            </w:r>
            <w:r w:rsidR="00F8401B">
              <w:rPr>
                <w:sz w:val="20"/>
                <w:szCs w:val="20"/>
              </w:rPr>
              <w:t xml:space="preserve"> (</w:t>
            </w:r>
            <w:r w:rsidR="00F8401B" w:rsidRPr="00F8401B">
              <w:rPr>
                <w:sz w:val="20"/>
                <w:szCs w:val="20"/>
              </w:rPr>
              <w:t>„</w:t>
            </w:r>
            <w:proofErr w:type="spellStart"/>
            <w:r w:rsidR="001A3831" w:rsidRPr="001A3831">
              <w:rPr>
                <w:sz w:val="20"/>
                <w:szCs w:val="20"/>
              </w:rPr>
              <w:t>Our</w:t>
            </w:r>
            <w:proofErr w:type="spellEnd"/>
            <w:r w:rsidR="001A3831" w:rsidRPr="001A3831">
              <w:rPr>
                <w:sz w:val="20"/>
                <w:szCs w:val="20"/>
              </w:rPr>
              <w:t xml:space="preserve"> Federal Government</w:t>
            </w:r>
            <w:r w:rsidR="00F8401B">
              <w:rPr>
                <w:sz w:val="20"/>
                <w:szCs w:val="20"/>
              </w:rPr>
              <w:t xml:space="preserve"> was </w:t>
            </w:r>
            <w:r w:rsidR="00F8401B" w:rsidRPr="00F8401B">
              <w:rPr>
                <w:sz w:val="20"/>
                <w:szCs w:val="20"/>
              </w:rPr>
              <w:t>created for“</w:t>
            </w:r>
            <w:r w:rsidR="00F8401B" w:rsidRPr="00F8401B">
              <w:rPr>
                <w:sz w:val="20"/>
                <w:szCs w:val="20"/>
                <w:vertAlign w:val="superscript"/>
              </w:rPr>
              <w:footnoteReference w:id="1960"/>
            </w:r>
            <w:r w:rsidR="00F8401B">
              <w:rPr>
                <w:sz w:val="20"/>
                <w:szCs w:val="20"/>
              </w:rPr>
              <w:t>)</w:t>
            </w:r>
            <w:r>
              <w:rPr>
                <w:sz w:val="20"/>
                <w:szCs w:val="20"/>
              </w:rPr>
              <w:t xml:space="preserve"> sei</w:t>
            </w:r>
            <w:r w:rsidRPr="00BE3728">
              <w:rPr>
                <w:sz w:val="20"/>
                <w:szCs w:val="20"/>
              </w:rPr>
              <w:t xml:space="preserve"> nicht die Entlastung von administrativen oder judikativen </w:t>
            </w:r>
            <w:r>
              <w:rPr>
                <w:sz w:val="20"/>
                <w:szCs w:val="20"/>
              </w:rPr>
              <w:t>Prozessen</w:t>
            </w:r>
            <w:r w:rsidRPr="00BE3728">
              <w:rPr>
                <w:sz w:val="20"/>
                <w:szCs w:val="20"/>
              </w:rPr>
              <w:t xml:space="preserve"> – hier mit der Konsequenz, Finanzierungsentscheidungen nicht überprüfen zu können. </w:t>
            </w:r>
            <w:r>
              <w:rPr>
                <w:sz w:val="20"/>
                <w:szCs w:val="20"/>
              </w:rPr>
              <w:t>Vielmehr seien</w:t>
            </w:r>
            <w:r w:rsidRPr="00BE3728">
              <w:rPr>
                <w:sz w:val="20"/>
                <w:szCs w:val="20"/>
              </w:rPr>
              <w:t xml:space="preserve"> die drei Gewalten geschaffen</w:t>
            </w:r>
            <w:r>
              <w:rPr>
                <w:sz w:val="20"/>
                <w:szCs w:val="20"/>
              </w:rPr>
              <w:t xml:space="preserve"> worden</w:t>
            </w:r>
            <w:r w:rsidRPr="00BE3728">
              <w:rPr>
                <w:sz w:val="20"/>
                <w:szCs w:val="20"/>
              </w:rPr>
              <w:t xml:space="preserve">, um die Sicherheit und das Glück des Volkes zu sichern und zu fördern („created for the </w:t>
            </w:r>
            <w:proofErr w:type="spellStart"/>
            <w:r w:rsidRPr="00BE3728">
              <w:rPr>
                <w:sz w:val="20"/>
                <w:szCs w:val="20"/>
              </w:rPr>
              <w:t>security</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the </w:t>
            </w:r>
            <w:proofErr w:type="spellStart"/>
            <w:r w:rsidRPr="00BE3728">
              <w:rPr>
                <w:sz w:val="20"/>
                <w:szCs w:val="20"/>
              </w:rPr>
              <w:t>people</w:t>
            </w:r>
            <w:proofErr w:type="spellEnd"/>
            <w:r w:rsidRPr="00BE3728">
              <w:rPr>
                <w:sz w:val="20"/>
                <w:szCs w:val="20"/>
              </w:rPr>
              <w:t>“</w:t>
            </w:r>
            <w:r w:rsidRPr="00BE3728">
              <w:rPr>
                <w:rStyle w:val="Funotenzeichen"/>
                <w:sz w:val="20"/>
                <w:szCs w:val="20"/>
              </w:rPr>
              <w:footnoteReference w:id="1961"/>
            </w:r>
            <w:r w:rsidRPr="00B45592">
              <w:rPr>
                <w:sz w:val="20"/>
                <w:szCs w:val="20"/>
              </w:rPr>
              <w:t xml:space="preserve">). </w:t>
            </w:r>
            <w:r w:rsidRPr="00BE3728">
              <w:rPr>
                <w:sz w:val="20"/>
                <w:szCs w:val="20"/>
                <w:lang w:val="en-US"/>
              </w:rPr>
              <w:t xml:space="preserve">Sie </w:t>
            </w:r>
            <w:proofErr w:type="spellStart"/>
            <w:r>
              <w:rPr>
                <w:sz w:val="20"/>
                <w:szCs w:val="20"/>
                <w:lang w:val="en-US"/>
              </w:rPr>
              <w:t>seien</w:t>
            </w:r>
            <w:proofErr w:type="spellEnd"/>
            <w:r w:rsidRPr="00BE3728">
              <w:rPr>
                <w:sz w:val="20"/>
                <w:szCs w:val="20"/>
                <w:lang w:val="en-US"/>
              </w:rPr>
              <w:t xml:space="preserve"> </w:t>
            </w:r>
            <w:proofErr w:type="spellStart"/>
            <w:r w:rsidRPr="00BE3728">
              <w:rPr>
                <w:sz w:val="20"/>
                <w:szCs w:val="20"/>
                <w:lang w:val="en-US"/>
              </w:rPr>
              <w:t>dazu</w:t>
            </w:r>
            <w:proofErr w:type="spellEnd"/>
            <w:r w:rsidRPr="00BE3728">
              <w:rPr>
                <w:sz w:val="20"/>
                <w:szCs w:val="20"/>
                <w:lang w:val="en-US"/>
              </w:rPr>
              <w:t xml:space="preserve"> </w:t>
            </w:r>
            <w:proofErr w:type="spellStart"/>
            <w:r w:rsidRPr="00BE3728">
              <w:rPr>
                <w:sz w:val="20"/>
                <w:szCs w:val="20"/>
                <w:lang w:val="en-US"/>
              </w:rPr>
              <w:t>angehalten</w:t>
            </w:r>
            <w:proofErr w:type="spellEnd"/>
            <w:r w:rsidRPr="00BE3728">
              <w:rPr>
                <w:sz w:val="20"/>
                <w:szCs w:val="20"/>
                <w:lang w:val="en-US"/>
              </w:rPr>
              <w:t xml:space="preserve">,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verfassungsmäßigen</w:t>
            </w:r>
            <w:proofErr w:type="spellEnd"/>
            <w:r w:rsidRPr="00BE3728">
              <w:rPr>
                <w:sz w:val="20"/>
                <w:szCs w:val="20"/>
                <w:lang w:val="en-US"/>
              </w:rPr>
              <w:t xml:space="preserve"> </w:t>
            </w:r>
            <w:proofErr w:type="spellStart"/>
            <w:r w:rsidRPr="00BE3728">
              <w:rPr>
                <w:sz w:val="20"/>
                <w:szCs w:val="20"/>
                <w:lang w:val="en-US"/>
              </w:rPr>
              <w:t>Ziele</w:t>
            </w:r>
            <w:proofErr w:type="spellEnd"/>
            <w:r w:rsidRPr="00BE3728">
              <w:rPr>
                <w:sz w:val="20"/>
                <w:szCs w:val="20"/>
                <w:lang w:val="en-US"/>
              </w:rPr>
              <w:t xml:space="preserve">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vollziehen</w:t>
            </w:r>
            <w:proofErr w:type="spellEnd"/>
            <w:r w:rsidRPr="00BE3728">
              <w:rPr>
                <w:sz w:val="20"/>
                <w:szCs w:val="20"/>
                <w:lang w:val="en-US"/>
              </w:rPr>
              <w:t xml:space="preserve"> („Executives, lawmakers, and members of the Judiciary are inferior in the sense that they are in office only to carry out and execute the constitutional </w:t>
            </w:r>
            <w:proofErr w:type="gramStart"/>
            <w:r w:rsidRPr="00BE3728">
              <w:rPr>
                <w:sz w:val="20"/>
                <w:szCs w:val="20"/>
                <w:lang w:val="en-US"/>
              </w:rPr>
              <w:t>regime“</w:t>
            </w:r>
            <w:proofErr w:type="gramEnd"/>
            <w:r w:rsidRPr="00BE3728">
              <w:rPr>
                <w:rStyle w:val="Funotenzeichen"/>
                <w:sz w:val="20"/>
                <w:szCs w:val="20"/>
                <w:lang w:val="en-US"/>
              </w:rPr>
              <w:footnoteReference w:id="1962"/>
            </w:r>
            <w:r w:rsidRPr="00BE3728">
              <w:rPr>
                <w:sz w:val="20"/>
                <w:szCs w:val="20"/>
                <w:lang w:val="en-US"/>
              </w:rPr>
              <w:t xml:space="preserve">). </w:t>
            </w:r>
            <w:r w:rsidRPr="00BE3728">
              <w:rPr>
                <w:sz w:val="20"/>
                <w:szCs w:val="20"/>
              </w:rPr>
              <w:t xml:space="preserve">Dafür </w:t>
            </w:r>
            <w:r>
              <w:rPr>
                <w:sz w:val="20"/>
                <w:szCs w:val="20"/>
              </w:rPr>
              <w:t>spreche</w:t>
            </w:r>
            <w:r w:rsidRPr="00BE3728">
              <w:rPr>
                <w:sz w:val="20"/>
                <w:szCs w:val="20"/>
              </w:rPr>
              <w:t xml:space="preserve"> auch die Präambel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die mit </w:t>
            </w:r>
            <w:r>
              <w:rPr>
                <w:sz w:val="20"/>
                <w:szCs w:val="20"/>
              </w:rPr>
              <w:t>ihrem</w:t>
            </w:r>
            <w:r w:rsidRPr="00BE3728">
              <w:rPr>
                <w:sz w:val="20"/>
                <w:szCs w:val="20"/>
              </w:rPr>
              <w:t xml:space="preserve"> Wortlaut die Botschaft ausgibt: </w:t>
            </w:r>
            <w:r>
              <w:rPr>
                <w:sz w:val="20"/>
                <w:szCs w:val="20"/>
              </w:rPr>
              <w:t>w</w:t>
            </w:r>
            <w:r w:rsidRPr="00BE3728">
              <w:rPr>
                <w:sz w:val="20"/>
                <w:szCs w:val="20"/>
              </w:rPr>
              <w:t>ir das Volk („</w:t>
            </w:r>
            <w:proofErr w:type="spellStart"/>
            <w:r w:rsidRPr="00BE3728">
              <w:rPr>
                <w:sz w:val="20"/>
                <w:szCs w:val="20"/>
              </w:rPr>
              <w:t>We</w:t>
            </w:r>
            <w:proofErr w:type="spellEnd"/>
            <w:r w:rsidRPr="00BE3728">
              <w:rPr>
                <w:sz w:val="20"/>
                <w:szCs w:val="20"/>
              </w:rPr>
              <w:t xml:space="preserve"> the People“</w:t>
            </w:r>
            <w:r w:rsidRPr="00BE3728">
              <w:rPr>
                <w:rStyle w:val="Funotenzeichen"/>
                <w:sz w:val="20"/>
                <w:szCs w:val="20"/>
              </w:rPr>
              <w:footnoteReference w:id="1963"/>
            </w:r>
            <w:r w:rsidRPr="00BE3728">
              <w:rPr>
                <w:sz w:val="20"/>
                <w:szCs w:val="20"/>
              </w:rPr>
              <w:t xml:space="preserve">). Auch heißt es in der </w:t>
            </w:r>
            <w:r w:rsidRPr="5B67C1D2">
              <w:rPr>
                <w:i/>
                <w:iCs/>
                <w:sz w:val="20"/>
                <w:szCs w:val="20"/>
              </w:rPr>
              <w:t>Declaration of Independence</w:t>
            </w:r>
            <w:r w:rsidRPr="00BE3728">
              <w:rPr>
                <w:sz w:val="20"/>
                <w:szCs w:val="20"/>
              </w:rPr>
              <w:t xml:space="preserve">: Um die unveräußerlichen Recht zu gewährleisten, habe sich der Staat nach dem Menschen zu richten („to </w:t>
            </w:r>
            <w:proofErr w:type="spellStart"/>
            <w:proofErr w:type="gramStart"/>
            <w:r w:rsidRPr="00BE3728">
              <w:rPr>
                <w:sz w:val="20"/>
                <w:szCs w:val="20"/>
              </w:rPr>
              <w:t>insure</w:t>
            </w:r>
            <w:proofErr w:type="spellEnd"/>
            <w:r w:rsidRPr="00BE3728">
              <w:rPr>
                <w:sz w:val="20"/>
                <w:szCs w:val="20"/>
              </w:rPr>
              <w:t xml:space="preserve"> </w:t>
            </w:r>
            <w:r>
              <w:rPr>
                <w:sz w:val="20"/>
                <w:szCs w:val="20"/>
              </w:rPr>
              <w:t>,</w:t>
            </w:r>
            <w:proofErr w:type="spellStart"/>
            <w:r w:rsidRPr="00BE3728">
              <w:rPr>
                <w:sz w:val="20"/>
                <w:szCs w:val="20"/>
              </w:rPr>
              <w:t>certain</w:t>
            </w:r>
            <w:proofErr w:type="spellEnd"/>
            <w:proofErr w:type="gramEnd"/>
            <w:r w:rsidRPr="00BE3728">
              <w:rPr>
                <w:sz w:val="20"/>
                <w:szCs w:val="20"/>
              </w:rPr>
              <w:t xml:space="preserve"> </w:t>
            </w:r>
            <w:proofErr w:type="spellStart"/>
            <w:r w:rsidRPr="00BE3728">
              <w:rPr>
                <w:sz w:val="20"/>
                <w:szCs w:val="20"/>
              </w:rPr>
              <w:t>unalienable</w:t>
            </w:r>
            <w:proofErr w:type="spellEnd"/>
            <w:r w:rsidRPr="00BE3728">
              <w:rPr>
                <w:sz w:val="20"/>
                <w:szCs w:val="20"/>
              </w:rPr>
              <w:t xml:space="preserve"> </w:t>
            </w:r>
            <w:r w:rsidRPr="00BE3728">
              <w:rPr>
                <w:sz w:val="20"/>
                <w:szCs w:val="20"/>
              </w:rPr>
              <w:lastRenderedPageBreak/>
              <w:t>Rights</w:t>
            </w:r>
            <w:r>
              <w:rPr>
                <w:sz w:val="20"/>
                <w:szCs w:val="20"/>
              </w:rPr>
              <w:t>‘</w:t>
            </w:r>
            <w:proofErr w:type="gramStart"/>
            <w:r w:rsidRPr="00BE3728">
              <w:rPr>
                <w:sz w:val="20"/>
                <w:szCs w:val="20"/>
              </w:rPr>
              <w:t xml:space="preserve">, </w:t>
            </w:r>
            <w:r>
              <w:rPr>
                <w:sz w:val="20"/>
                <w:szCs w:val="20"/>
              </w:rPr>
              <w:t>,</w:t>
            </w:r>
            <w:r w:rsidRPr="00BE3728">
              <w:rPr>
                <w:sz w:val="20"/>
                <w:szCs w:val="20"/>
              </w:rPr>
              <w:t>Governments</w:t>
            </w:r>
            <w:proofErr w:type="gramEnd"/>
            <w:r w:rsidRPr="00BE3728">
              <w:rPr>
                <w:sz w:val="20"/>
                <w:szCs w:val="20"/>
              </w:rPr>
              <w:t xml:space="preserve"> </w:t>
            </w:r>
            <w:proofErr w:type="spellStart"/>
            <w:r w:rsidRPr="00BE3728">
              <w:rPr>
                <w:sz w:val="20"/>
                <w:szCs w:val="20"/>
              </w:rPr>
              <w:t>are</w:t>
            </w:r>
            <w:proofErr w:type="spellEnd"/>
            <w:r w:rsidRPr="00BE3728">
              <w:rPr>
                <w:sz w:val="20"/>
                <w:szCs w:val="20"/>
              </w:rPr>
              <w:t xml:space="preserve"> </w:t>
            </w:r>
            <w:proofErr w:type="spellStart"/>
            <w:r w:rsidRPr="00BE3728">
              <w:rPr>
                <w:sz w:val="20"/>
                <w:szCs w:val="20"/>
              </w:rPr>
              <w:t>instituted</w:t>
            </w:r>
            <w:proofErr w:type="spellEnd"/>
            <w:r w:rsidRPr="00BE3728">
              <w:rPr>
                <w:sz w:val="20"/>
                <w:szCs w:val="20"/>
              </w:rPr>
              <w:t xml:space="preserve"> </w:t>
            </w:r>
            <w:proofErr w:type="spellStart"/>
            <w:r w:rsidRPr="00BE3728">
              <w:rPr>
                <w:sz w:val="20"/>
                <w:szCs w:val="20"/>
              </w:rPr>
              <w:t>among</w:t>
            </w:r>
            <w:proofErr w:type="spellEnd"/>
            <w:r w:rsidRPr="00BE3728">
              <w:rPr>
                <w:sz w:val="20"/>
                <w:szCs w:val="20"/>
              </w:rPr>
              <w:t xml:space="preserve"> Men</w:t>
            </w:r>
            <w:r>
              <w:rPr>
                <w:sz w:val="20"/>
                <w:szCs w:val="20"/>
              </w:rPr>
              <w:t>‘</w:t>
            </w:r>
            <w:r w:rsidRPr="00BE3728">
              <w:rPr>
                <w:sz w:val="20"/>
                <w:szCs w:val="20"/>
              </w:rPr>
              <w:t>“</w:t>
            </w:r>
            <w:r w:rsidRPr="00BE3728">
              <w:rPr>
                <w:rStyle w:val="Funotenzeichen"/>
                <w:sz w:val="20"/>
                <w:szCs w:val="20"/>
              </w:rPr>
              <w:footnoteReference w:id="1964"/>
            </w:r>
            <w:r w:rsidRPr="00BE3728">
              <w:rPr>
                <w:sz w:val="20"/>
                <w:szCs w:val="20"/>
              </w:rPr>
              <w:t xml:space="preserve">). Also: Überprüfung von Entscheidungen statt Entlastung von diesen. Konkret sei hier auch die Unvereinbarkeitsklausel und die </w:t>
            </w:r>
            <w:r w:rsidRPr="5B67C1D2">
              <w:rPr>
                <w:i/>
                <w:iCs/>
                <w:sz w:val="20"/>
                <w:szCs w:val="20"/>
              </w:rPr>
              <w:t xml:space="preserve">Establishment </w:t>
            </w:r>
            <w:proofErr w:type="spellStart"/>
            <w:r w:rsidRPr="5B67C1D2">
              <w:rPr>
                <w:i/>
                <w:iCs/>
                <w:sz w:val="20"/>
                <w:szCs w:val="20"/>
              </w:rPr>
              <w:t>Clause</w:t>
            </w:r>
            <w:proofErr w:type="spellEnd"/>
            <w:r w:rsidRPr="00BE3728">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art. I, § 6, cl. 2</w:t>
            </w:r>
            <w:r w:rsidRPr="00BE3728">
              <w:rPr>
                <w:sz w:val="20"/>
                <w:szCs w:val="20"/>
              </w:rPr>
              <w:t xml:space="preserve"> betroffen. </w:t>
            </w:r>
            <w:r>
              <w:rPr>
                <w:sz w:val="20"/>
                <w:szCs w:val="20"/>
              </w:rPr>
              <w:t>B</w:t>
            </w:r>
            <w:r w:rsidRPr="00BE3728">
              <w:rPr>
                <w:sz w:val="20"/>
                <w:szCs w:val="20"/>
              </w:rPr>
              <w:t xml:space="preserve">eide trennen die Gewalten, verhüten Gewaltmonismus und </w:t>
            </w:r>
            <w:proofErr w:type="spellStart"/>
            <w:r w:rsidRPr="00BE3728">
              <w:rPr>
                <w:sz w:val="20"/>
                <w:szCs w:val="20"/>
              </w:rPr>
              <w:t>korruptive</w:t>
            </w:r>
            <w:proofErr w:type="spellEnd"/>
            <w:r w:rsidRPr="00BE3728">
              <w:rPr>
                <w:sz w:val="20"/>
                <w:szCs w:val="20"/>
              </w:rPr>
              <w:t xml:space="preserve"> Tendenzen. In den </w:t>
            </w:r>
            <w:r w:rsidRPr="5B67C1D2">
              <w:rPr>
                <w:i/>
                <w:iCs/>
                <w:sz w:val="20"/>
                <w:szCs w:val="20"/>
              </w:rPr>
              <w:t>Federalist Papers</w:t>
            </w:r>
            <w:r w:rsidRPr="00BE3728">
              <w:rPr>
                <w:rStyle w:val="Funotenzeichen"/>
                <w:sz w:val="20"/>
                <w:szCs w:val="20"/>
              </w:rPr>
              <w:footnoteReference w:id="1965"/>
            </w:r>
            <w:r w:rsidRPr="00BE3728">
              <w:rPr>
                <w:sz w:val="20"/>
                <w:szCs w:val="20"/>
              </w:rPr>
              <w:t xml:space="preserve"> hieß es zu diesen: Die Gefahr, dass die Exekutive auf die Legislative Einfluss nehme, soll</w:t>
            </w:r>
            <w:r>
              <w:rPr>
                <w:sz w:val="20"/>
                <w:szCs w:val="20"/>
              </w:rPr>
              <w:t>e</w:t>
            </w:r>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art. I, § 6, cl. 2</w:t>
            </w:r>
            <w:r w:rsidRPr="00BE3728">
              <w:rPr>
                <w:sz w:val="20"/>
                <w:szCs w:val="20"/>
                <w:lang w:val="en-US"/>
              </w:rPr>
              <w:t xml:space="preserve"> </w:t>
            </w:r>
            <w:proofErr w:type="spellStart"/>
            <w:r w:rsidRPr="00BE3728">
              <w:rPr>
                <w:sz w:val="20"/>
                <w:szCs w:val="20"/>
                <w:lang w:val="en-US"/>
              </w:rPr>
              <w:t>vermeiden</w:t>
            </w:r>
            <w:proofErr w:type="spellEnd"/>
            <w:r w:rsidRPr="00BE3728">
              <w:rPr>
                <w:sz w:val="20"/>
                <w:szCs w:val="20"/>
                <w:lang w:val="en-US"/>
              </w:rPr>
              <w:t xml:space="preserve"> („to </w:t>
            </w:r>
            <w:proofErr w:type="gramStart"/>
            <w:r w:rsidRPr="00BE3728">
              <w:rPr>
                <w:sz w:val="20"/>
                <w:szCs w:val="20"/>
                <w:lang w:val="en-US"/>
              </w:rPr>
              <w:t xml:space="preserve">avoid </w:t>
            </w:r>
            <w:r>
              <w:rPr>
                <w:sz w:val="20"/>
                <w:szCs w:val="20"/>
                <w:lang w:val="en-US"/>
              </w:rPr>
              <w:t>,</w:t>
            </w:r>
            <w:r w:rsidRPr="00BE3728">
              <w:rPr>
                <w:sz w:val="20"/>
                <w:szCs w:val="20"/>
                <w:lang w:val="en-US"/>
              </w:rPr>
              <w:t>the</w:t>
            </w:r>
            <w:proofErr w:type="gramEnd"/>
            <w:r w:rsidRPr="00BE3728">
              <w:rPr>
                <w:sz w:val="20"/>
                <w:szCs w:val="20"/>
                <w:lang w:val="en-US"/>
              </w:rPr>
              <w:t xml:space="preserve"> danger of executive influence upon the legislative body</w:t>
            </w:r>
            <w:r>
              <w:rPr>
                <w:sz w:val="20"/>
                <w:szCs w:val="20"/>
                <w:lang w:val="en-US"/>
              </w:rPr>
              <w:t>‘</w:t>
            </w:r>
            <w:r w:rsidRPr="00BE3728">
              <w:rPr>
                <w:sz w:val="20"/>
                <w:szCs w:val="20"/>
                <w:lang w:val="en-US"/>
              </w:rPr>
              <w:t>.</w:t>
            </w:r>
            <w:r w:rsidRPr="001B6693">
              <w:rPr>
                <w:sz w:val="20"/>
                <w:szCs w:val="20"/>
                <w:lang w:val="en-IE"/>
              </w:rPr>
              <w:t>“</w:t>
            </w:r>
            <w:r w:rsidRPr="001B6693">
              <w:rPr>
                <w:rStyle w:val="Funotenzeichen"/>
                <w:sz w:val="20"/>
                <w:szCs w:val="20"/>
                <w:lang w:val="en-IE"/>
              </w:rPr>
              <w:t xml:space="preserve"> </w:t>
            </w:r>
            <w:r w:rsidRPr="00BE3728">
              <w:rPr>
                <w:rStyle w:val="Funotenzeichen"/>
                <w:sz w:val="20"/>
                <w:szCs w:val="20"/>
              </w:rPr>
              <w:footnoteReference w:id="1966"/>
            </w:r>
            <w:r w:rsidRPr="00BE3728">
              <w:rPr>
                <w:sz w:val="20"/>
                <w:szCs w:val="20"/>
              </w:rPr>
              <w:t xml:space="preserve">). Und genau das </w:t>
            </w:r>
            <w:r>
              <w:rPr>
                <w:sz w:val="20"/>
                <w:szCs w:val="20"/>
              </w:rPr>
              <w:t>habe</w:t>
            </w:r>
            <w:r w:rsidRPr="00BE3728">
              <w:rPr>
                <w:sz w:val="20"/>
                <w:szCs w:val="20"/>
              </w:rPr>
              <w:t xml:space="preserve"> hier in Rede</w:t>
            </w:r>
            <w:r>
              <w:rPr>
                <w:sz w:val="20"/>
                <w:szCs w:val="20"/>
              </w:rPr>
              <w:t xml:space="preserve"> gestanden</w:t>
            </w:r>
            <w:r w:rsidRPr="00BE3728">
              <w:rPr>
                <w:sz w:val="20"/>
                <w:szCs w:val="20"/>
              </w:rPr>
              <w:t>, weshalb die Klagebefugnis vorl</w:t>
            </w:r>
            <w:r>
              <w:rPr>
                <w:sz w:val="20"/>
                <w:szCs w:val="20"/>
              </w:rPr>
              <w:t>ie</w:t>
            </w:r>
            <w:r w:rsidRPr="00BE3728">
              <w:rPr>
                <w:sz w:val="20"/>
                <w:szCs w:val="20"/>
              </w:rPr>
              <w:t>g</w:t>
            </w:r>
            <w:r>
              <w:rPr>
                <w:sz w:val="20"/>
                <w:szCs w:val="20"/>
              </w:rPr>
              <w:t>e</w:t>
            </w:r>
            <w:r w:rsidRPr="00BE3728">
              <w:rPr>
                <w:sz w:val="20"/>
                <w:szCs w:val="20"/>
              </w:rPr>
              <w:t xml:space="preserve">. Denn es </w:t>
            </w:r>
            <w:r>
              <w:rPr>
                <w:sz w:val="20"/>
                <w:szCs w:val="20"/>
              </w:rPr>
              <w:t>bestünde</w:t>
            </w:r>
            <w:r w:rsidRPr="00BE3728">
              <w:rPr>
                <w:sz w:val="20"/>
                <w:szCs w:val="20"/>
              </w:rPr>
              <w:t xml:space="preserve"> hier eine grenzwertige Verschränkung der Gewalten, d.h. eine Finanzierungsentscheidung des Kongresses über Abgeordnete, die als Reservisten, also in der Exekutive, dien</w:t>
            </w:r>
            <w:r>
              <w:rPr>
                <w:sz w:val="20"/>
                <w:szCs w:val="20"/>
              </w:rPr>
              <w:t>t</w:t>
            </w:r>
            <w:r w:rsidRPr="00BE3728">
              <w:rPr>
                <w:sz w:val="20"/>
                <w:szCs w:val="20"/>
              </w:rPr>
              <w:t>en.</w:t>
            </w:r>
            <w:r w:rsidRPr="00BE3728">
              <w:rPr>
                <w:rStyle w:val="Funotenzeichen"/>
                <w:sz w:val="20"/>
                <w:szCs w:val="20"/>
              </w:rPr>
              <w:t xml:space="preserve"> </w:t>
            </w:r>
            <w:r w:rsidRPr="00BE3728">
              <w:rPr>
                <w:rStyle w:val="Funotenzeichen"/>
                <w:sz w:val="20"/>
                <w:szCs w:val="20"/>
              </w:rPr>
              <w:footnoteReference w:id="1967"/>
            </w:r>
          </w:p>
          <w:p w14:paraId="3C9FD722" w14:textId="10C899C3" w:rsidR="0056095C" w:rsidRPr="00E50B51" w:rsidRDefault="0056095C" w:rsidP="00367133">
            <w:pPr>
              <w:jc w:val="both"/>
              <w:rPr>
                <w:sz w:val="20"/>
                <w:szCs w:val="20"/>
              </w:rPr>
            </w:pPr>
          </w:p>
        </w:tc>
      </w:tr>
      <w:tr w:rsidR="00074551" w:rsidRPr="00E50B51" w14:paraId="1299FB66" w14:textId="77777777" w:rsidTr="00203768">
        <w:trPr>
          <w:cantSplit/>
          <w:trHeight w:val="3175"/>
        </w:trPr>
        <w:tc>
          <w:tcPr>
            <w:tcW w:w="293" w:type="pct"/>
            <w:shd w:val="clear" w:color="auto" w:fill="E7E6E6" w:themeFill="background2"/>
          </w:tcPr>
          <w:p w14:paraId="20A5AC9E"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0EDBFCDF"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2880B7D4" w14:textId="77777777" w:rsidR="00074551" w:rsidRPr="00E50B51" w:rsidRDefault="00074551" w:rsidP="00367133">
            <w:pPr>
              <w:ind w:left="113" w:right="113"/>
              <w:jc w:val="both"/>
              <w:rPr>
                <w:iCs/>
                <w:sz w:val="20"/>
                <w:szCs w:val="20"/>
                <w:lang w:val="en-US"/>
              </w:rPr>
            </w:pPr>
            <w:r w:rsidRPr="00E50B51">
              <w:rPr>
                <w:iCs/>
                <w:sz w:val="20"/>
                <w:szCs w:val="20"/>
                <w:lang w:val="en-US"/>
              </w:rPr>
              <w:t>Case or Controversy Clause</w:t>
            </w:r>
          </w:p>
          <w:p w14:paraId="6D18F80F"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71F1528E" w14:textId="77777777" w:rsidR="00074551" w:rsidRPr="00E50B51" w:rsidRDefault="00074551" w:rsidP="00367133">
            <w:pPr>
              <w:ind w:left="113" w:right="113"/>
              <w:jc w:val="both"/>
              <w:rPr>
                <w:iCs/>
                <w:sz w:val="20"/>
                <w:szCs w:val="20"/>
                <w:lang w:val="en-US"/>
              </w:rPr>
            </w:pPr>
            <w:r w:rsidRPr="00E50B51">
              <w:rPr>
                <w:iCs/>
                <w:sz w:val="20"/>
                <w:szCs w:val="20"/>
                <w:lang w:val="en-US"/>
              </w:rPr>
              <w:t>Constitutional Questions</w:t>
            </w:r>
          </w:p>
          <w:p w14:paraId="51F8FC35" w14:textId="77777777" w:rsidR="00074551" w:rsidRPr="00E50B51" w:rsidRDefault="00074551" w:rsidP="00367133">
            <w:pPr>
              <w:ind w:left="113" w:right="113"/>
              <w:jc w:val="both"/>
              <w:rPr>
                <w:sz w:val="20"/>
                <w:szCs w:val="20"/>
              </w:rPr>
            </w:pPr>
          </w:p>
        </w:tc>
        <w:tc>
          <w:tcPr>
            <w:tcW w:w="401" w:type="pct"/>
            <w:shd w:val="clear" w:color="auto" w:fill="E7E6E6" w:themeFill="background2"/>
            <w:textDirection w:val="tbRl"/>
          </w:tcPr>
          <w:p w14:paraId="57F06960" w14:textId="77777777" w:rsidR="00074551" w:rsidRDefault="00074551" w:rsidP="00367133">
            <w:pPr>
              <w:ind w:left="113" w:right="113"/>
              <w:rPr>
                <w:sz w:val="20"/>
                <w:szCs w:val="20"/>
              </w:rPr>
            </w:pPr>
          </w:p>
          <w:p w14:paraId="3D0765D6" w14:textId="77777777" w:rsidR="00074551" w:rsidRPr="00B45592" w:rsidRDefault="00074551" w:rsidP="00367133">
            <w:pPr>
              <w:ind w:left="113" w:right="113"/>
              <w:rPr>
                <w:sz w:val="20"/>
                <w:szCs w:val="20"/>
              </w:rPr>
            </w:pPr>
            <w:proofErr w:type="spellStart"/>
            <w:r w:rsidRPr="00B45592">
              <w:rPr>
                <w:sz w:val="20"/>
                <w:szCs w:val="20"/>
              </w:rPr>
              <w:t>Congressional</w:t>
            </w:r>
            <w:proofErr w:type="spellEnd"/>
            <w:r w:rsidRPr="00B45592">
              <w:rPr>
                <w:sz w:val="20"/>
                <w:szCs w:val="20"/>
              </w:rPr>
              <w:t xml:space="preserve"> </w:t>
            </w:r>
            <w:proofErr w:type="spellStart"/>
            <w:r w:rsidRPr="00B45592">
              <w:rPr>
                <w:sz w:val="20"/>
                <w:szCs w:val="20"/>
              </w:rPr>
              <w:t>Duties</w:t>
            </w:r>
            <w:proofErr w:type="spellEnd"/>
            <w:r w:rsidRPr="00B45592">
              <w:rPr>
                <w:sz w:val="20"/>
                <w:szCs w:val="20"/>
              </w:rPr>
              <w:t xml:space="preserve"> &amp; Powers</w:t>
            </w:r>
          </w:p>
          <w:p w14:paraId="5FDA940A" w14:textId="77777777" w:rsidR="00074551" w:rsidRPr="00E50B51" w:rsidRDefault="00074551" w:rsidP="00367133">
            <w:pPr>
              <w:ind w:left="113" w:right="113"/>
              <w:jc w:val="center"/>
              <w:rPr>
                <w:sz w:val="20"/>
                <w:szCs w:val="20"/>
              </w:rPr>
            </w:pPr>
          </w:p>
        </w:tc>
        <w:tc>
          <w:tcPr>
            <w:tcW w:w="1594" w:type="pct"/>
            <w:shd w:val="clear" w:color="auto" w:fill="E7E6E6" w:themeFill="background2"/>
            <w:vAlign w:val="center"/>
          </w:tcPr>
          <w:p w14:paraId="5F6E208B" w14:textId="77777777" w:rsidR="00074551" w:rsidRPr="00E50B51" w:rsidRDefault="00074551" w:rsidP="00367133">
            <w:pPr>
              <w:jc w:val="both"/>
              <w:rPr>
                <w:sz w:val="20"/>
                <w:szCs w:val="20"/>
              </w:rPr>
            </w:pPr>
          </w:p>
        </w:tc>
        <w:tc>
          <w:tcPr>
            <w:tcW w:w="1822" w:type="pct"/>
            <w:shd w:val="clear" w:color="auto" w:fill="E7E6E6" w:themeFill="background2"/>
          </w:tcPr>
          <w:p w14:paraId="1EE35754" w14:textId="09EB3270"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575C2C" w14:paraId="285BC6D9" w14:textId="77777777" w:rsidTr="00BE689F">
        <w:trPr>
          <w:cantSplit/>
          <w:trHeight w:val="3175"/>
        </w:trPr>
        <w:tc>
          <w:tcPr>
            <w:tcW w:w="293" w:type="pct"/>
          </w:tcPr>
          <w:p w14:paraId="384E2F47"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A788B9D" w14:textId="77777777" w:rsidR="00074551" w:rsidRPr="00B45592" w:rsidRDefault="00074551" w:rsidP="00367133">
            <w:pPr>
              <w:ind w:left="113" w:right="416"/>
              <w:jc w:val="both"/>
              <w:rPr>
                <w:i/>
                <w:sz w:val="20"/>
                <w:szCs w:val="20"/>
                <w:lang w:val="en-US"/>
              </w:rPr>
            </w:pPr>
            <w:r w:rsidRPr="00B45592">
              <w:rPr>
                <w:i/>
                <w:sz w:val="20"/>
                <w:szCs w:val="20"/>
                <w:lang w:val="en-US"/>
              </w:rPr>
              <w:t>Gulf, C. &amp; S. F. R. Co. v. Ellis</w:t>
            </w:r>
          </w:p>
        </w:tc>
        <w:tc>
          <w:tcPr>
            <w:tcW w:w="197" w:type="pct"/>
            <w:textDirection w:val="tbRl"/>
            <w:vAlign w:val="center"/>
          </w:tcPr>
          <w:p w14:paraId="6D90D130" w14:textId="77777777" w:rsidR="00074551" w:rsidRPr="00E50B51" w:rsidRDefault="00074551" w:rsidP="00367133">
            <w:pPr>
              <w:ind w:left="113" w:right="113"/>
              <w:jc w:val="both"/>
              <w:rPr>
                <w:iCs/>
                <w:sz w:val="20"/>
                <w:szCs w:val="20"/>
                <w:lang w:val="en-US"/>
              </w:rPr>
            </w:pPr>
            <w:r w:rsidRPr="00E50B51">
              <w:rPr>
                <w:sz w:val="20"/>
                <w:szCs w:val="20"/>
                <w:lang w:val="en-US"/>
              </w:rPr>
              <w:t>165 U.S. 150</w:t>
            </w:r>
          </w:p>
        </w:tc>
        <w:tc>
          <w:tcPr>
            <w:tcW w:w="306" w:type="pct"/>
            <w:textDirection w:val="tbRl"/>
            <w:vAlign w:val="center"/>
          </w:tcPr>
          <w:p w14:paraId="67B5FF65" w14:textId="77777777" w:rsidR="00074551" w:rsidRPr="00E50B51" w:rsidRDefault="00074551" w:rsidP="00367133">
            <w:pPr>
              <w:ind w:left="113" w:right="113"/>
              <w:jc w:val="both"/>
              <w:rPr>
                <w:sz w:val="20"/>
                <w:szCs w:val="20"/>
                <w:lang w:val="en-US"/>
              </w:rPr>
            </w:pPr>
            <w:r w:rsidRPr="00E50B51">
              <w:rPr>
                <w:sz w:val="20"/>
                <w:szCs w:val="20"/>
                <w:lang w:val="en-US"/>
              </w:rPr>
              <w:t xml:space="preserve">18. </w:t>
            </w:r>
            <w:proofErr w:type="spellStart"/>
            <w:r w:rsidRPr="00E50B51">
              <w:rPr>
                <w:sz w:val="20"/>
                <w:szCs w:val="20"/>
                <w:lang w:val="en-US"/>
              </w:rPr>
              <w:t>Januar</w:t>
            </w:r>
            <w:proofErr w:type="spellEnd"/>
            <w:r w:rsidRPr="00E50B51">
              <w:rPr>
                <w:sz w:val="20"/>
                <w:szCs w:val="20"/>
                <w:lang w:val="en-US"/>
              </w:rPr>
              <w:t xml:space="preserve"> 1897</w:t>
            </w:r>
          </w:p>
        </w:tc>
        <w:tc>
          <w:tcPr>
            <w:tcW w:w="401" w:type="pct"/>
          </w:tcPr>
          <w:p w14:paraId="4C13A12E" w14:textId="77777777" w:rsidR="00074551" w:rsidRPr="00E50B51" w:rsidRDefault="00074551" w:rsidP="00367133">
            <w:pPr>
              <w:jc w:val="center"/>
              <w:rPr>
                <w:sz w:val="20"/>
                <w:szCs w:val="20"/>
                <w:lang w:val="en-US"/>
              </w:rPr>
            </w:pPr>
            <w:r w:rsidRPr="00E50B51">
              <w:rPr>
                <w:sz w:val="20"/>
                <w:szCs w:val="20"/>
                <w:lang w:val="en-US"/>
              </w:rPr>
              <w:t>M</w:t>
            </w:r>
          </w:p>
        </w:tc>
        <w:tc>
          <w:tcPr>
            <w:tcW w:w="1594" w:type="pct"/>
          </w:tcPr>
          <w:p w14:paraId="281B333C"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36895040" w14:textId="77777777" w:rsidR="00074551" w:rsidRDefault="00074551" w:rsidP="00367133">
            <w:pPr>
              <w:jc w:val="both"/>
              <w:rPr>
                <w:sz w:val="20"/>
                <w:szCs w:val="20"/>
              </w:rPr>
            </w:pPr>
            <w:r w:rsidRPr="009A53D0">
              <w:rPr>
                <w:sz w:val="20"/>
                <w:szCs w:val="20"/>
              </w:rPr>
              <w:t xml:space="preserve">Den Gerichten obliege zuvorderst die Aufgabe, Verfassungsbestimmungen zur Durchsetzung zu verhelfen. </w:t>
            </w:r>
            <w:r>
              <w:rPr>
                <w:sz w:val="20"/>
                <w:szCs w:val="20"/>
              </w:rPr>
              <w:t>Zu diesen gehöre z.B.,</w:t>
            </w:r>
            <w:r w:rsidRPr="009A53D0">
              <w:rPr>
                <w:sz w:val="20"/>
                <w:szCs w:val="20"/>
              </w:rPr>
              <w:t xml:space="preserve"> die Gleichheit vor den Gesetzen </w:t>
            </w:r>
            <w:r>
              <w:rPr>
                <w:sz w:val="20"/>
                <w:szCs w:val="20"/>
              </w:rPr>
              <w:t xml:space="preserve">zu </w:t>
            </w:r>
            <w:r w:rsidRPr="009A53D0">
              <w:rPr>
                <w:sz w:val="20"/>
                <w:szCs w:val="20"/>
              </w:rPr>
              <w:t>sichern. Und sie gründe</w:t>
            </w:r>
            <w:r>
              <w:rPr>
                <w:sz w:val="20"/>
                <w:szCs w:val="20"/>
              </w:rPr>
              <w:t>te</w:t>
            </w:r>
            <w:r w:rsidRPr="009A53D0">
              <w:rPr>
                <w:sz w:val="20"/>
                <w:szCs w:val="20"/>
              </w:rPr>
              <w:t>n auf dem Fundament einer freien Regierung („</w:t>
            </w:r>
            <w:proofErr w:type="spellStart"/>
            <w:r w:rsidRPr="009A53D0">
              <w:rPr>
                <w:sz w:val="20"/>
                <w:szCs w:val="20"/>
              </w:rPr>
              <w:t>foundation</w:t>
            </w:r>
            <w:proofErr w:type="spellEnd"/>
            <w:r w:rsidRPr="009A53D0">
              <w:rPr>
                <w:sz w:val="20"/>
                <w:szCs w:val="20"/>
              </w:rPr>
              <w:t xml:space="preserve"> of </w:t>
            </w:r>
            <w:proofErr w:type="spellStart"/>
            <w:r w:rsidRPr="009A53D0">
              <w:rPr>
                <w:sz w:val="20"/>
                <w:szCs w:val="20"/>
              </w:rPr>
              <w:t>free</w:t>
            </w:r>
            <w:proofErr w:type="spellEnd"/>
            <w:r w:rsidRPr="009A53D0">
              <w:rPr>
                <w:sz w:val="20"/>
                <w:szCs w:val="20"/>
              </w:rPr>
              <w:t xml:space="preserve"> </w:t>
            </w:r>
            <w:proofErr w:type="spellStart"/>
            <w:r w:rsidRPr="009A53D0">
              <w:rPr>
                <w:sz w:val="20"/>
                <w:szCs w:val="20"/>
              </w:rPr>
              <w:t>government</w:t>
            </w:r>
            <w:proofErr w:type="spellEnd"/>
            <w:r w:rsidRPr="009A53D0">
              <w:rPr>
                <w:sz w:val="20"/>
                <w:szCs w:val="20"/>
              </w:rPr>
              <w:t>“</w:t>
            </w:r>
            <w:r w:rsidRPr="009A53D0">
              <w:rPr>
                <w:sz w:val="20"/>
                <w:szCs w:val="20"/>
                <w:vertAlign w:val="superscript"/>
              </w:rPr>
              <w:footnoteReference w:id="1968"/>
            </w:r>
            <w:r w:rsidRPr="009A53D0">
              <w:rPr>
                <w:sz w:val="20"/>
                <w:szCs w:val="20"/>
              </w:rPr>
              <w:t xml:space="preserve">). Doch woher kommt dieses Fundament? Es stammt von der ersten offiziellen Handlung der Vereinigten Staaten („The </w:t>
            </w:r>
            <w:proofErr w:type="spellStart"/>
            <w:r w:rsidRPr="009A53D0">
              <w:rPr>
                <w:sz w:val="20"/>
                <w:szCs w:val="20"/>
              </w:rPr>
              <w:t>first</w:t>
            </w:r>
            <w:proofErr w:type="spellEnd"/>
            <w:r w:rsidRPr="009A53D0">
              <w:rPr>
                <w:sz w:val="20"/>
                <w:szCs w:val="20"/>
              </w:rPr>
              <w:t xml:space="preserve"> </w:t>
            </w:r>
            <w:proofErr w:type="spellStart"/>
            <w:r w:rsidRPr="009A53D0">
              <w:rPr>
                <w:sz w:val="20"/>
                <w:szCs w:val="20"/>
              </w:rPr>
              <w:t>official</w:t>
            </w:r>
            <w:proofErr w:type="spellEnd"/>
            <w:r w:rsidRPr="009A53D0">
              <w:rPr>
                <w:sz w:val="20"/>
                <w:szCs w:val="20"/>
              </w:rPr>
              <w:t xml:space="preserve"> </w:t>
            </w:r>
            <w:proofErr w:type="spellStart"/>
            <w:r w:rsidRPr="009A53D0">
              <w:rPr>
                <w:sz w:val="20"/>
                <w:szCs w:val="20"/>
              </w:rPr>
              <w:t>action</w:t>
            </w:r>
            <w:proofErr w:type="spellEnd"/>
            <w:r w:rsidRPr="009A53D0">
              <w:rPr>
                <w:sz w:val="20"/>
                <w:szCs w:val="20"/>
              </w:rPr>
              <w:t xml:space="preserve"> of </w:t>
            </w:r>
            <w:proofErr w:type="spellStart"/>
            <w:r w:rsidRPr="009A53D0">
              <w:rPr>
                <w:sz w:val="20"/>
                <w:szCs w:val="20"/>
              </w:rPr>
              <w:t>this</w:t>
            </w:r>
            <w:proofErr w:type="spellEnd"/>
            <w:r w:rsidRPr="009A53D0">
              <w:rPr>
                <w:sz w:val="20"/>
                <w:szCs w:val="20"/>
              </w:rPr>
              <w:t xml:space="preserve"> </w:t>
            </w:r>
            <w:proofErr w:type="spellStart"/>
            <w:r w:rsidRPr="009A53D0">
              <w:rPr>
                <w:sz w:val="20"/>
                <w:szCs w:val="20"/>
              </w:rPr>
              <w:t>nation</w:t>
            </w:r>
            <w:proofErr w:type="spellEnd"/>
            <w:r w:rsidRPr="009A53D0">
              <w:rPr>
                <w:sz w:val="20"/>
                <w:szCs w:val="20"/>
              </w:rPr>
              <w:t xml:space="preserve"> </w:t>
            </w:r>
            <w:proofErr w:type="spellStart"/>
            <w:r w:rsidRPr="009A53D0">
              <w:rPr>
                <w:sz w:val="20"/>
                <w:szCs w:val="20"/>
              </w:rPr>
              <w:t>declared</w:t>
            </w:r>
            <w:proofErr w:type="spellEnd"/>
            <w:r w:rsidRPr="009A53D0">
              <w:rPr>
                <w:sz w:val="20"/>
                <w:szCs w:val="20"/>
              </w:rPr>
              <w:t>“</w:t>
            </w:r>
            <w:r w:rsidRPr="009A53D0">
              <w:rPr>
                <w:sz w:val="20"/>
                <w:szCs w:val="20"/>
                <w:vertAlign w:val="superscript"/>
              </w:rPr>
              <w:t xml:space="preserve"> </w:t>
            </w:r>
            <w:r w:rsidRPr="009A53D0">
              <w:rPr>
                <w:sz w:val="20"/>
                <w:szCs w:val="20"/>
                <w:vertAlign w:val="superscript"/>
              </w:rPr>
              <w:footnoteReference w:id="1969"/>
            </w:r>
            <w:r w:rsidRPr="009A53D0">
              <w:rPr>
                <w:sz w:val="20"/>
                <w:szCs w:val="20"/>
              </w:rPr>
              <w:t xml:space="preserve">): der </w:t>
            </w:r>
            <w:r w:rsidRPr="5B67C1D2">
              <w:rPr>
                <w:i/>
                <w:iCs/>
                <w:sz w:val="20"/>
                <w:szCs w:val="20"/>
              </w:rPr>
              <w:t>Declaration of Independence</w:t>
            </w:r>
            <w:r w:rsidRPr="009A53D0">
              <w:rPr>
                <w:sz w:val="20"/>
                <w:szCs w:val="20"/>
              </w:rPr>
              <w:t xml:space="preserve">. Sie ist dem organischem Recht vergleichbar, ohne aber dessen Durchsetzungskraft zu haben, und dennoch müsse sich die </w:t>
            </w:r>
            <w:r>
              <w:rPr>
                <w:sz w:val="20"/>
                <w:szCs w:val="20"/>
              </w:rPr>
              <w:t>U.S.</w:t>
            </w:r>
            <w:r w:rsidRPr="009A53D0">
              <w:rPr>
                <w:sz w:val="20"/>
                <w:szCs w:val="20"/>
              </w:rPr>
              <w:t xml:space="preserve"> </w:t>
            </w:r>
            <w:proofErr w:type="spellStart"/>
            <w:r w:rsidRPr="009A53D0">
              <w:rPr>
                <w:sz w:val="20"/>
                <w:szCs w:val="20"/>
              </w:rPr>
              <w:t>Const</w:t>
            </w:r>
            <w:proofErr w:type="spellEnd"/>
            <w:r w:rsidRPr="009A53D0">
              <w:rPr>
                <w:sz w:val="20"/>
                <w:szCs w:val="20"/>
              </w:rPr>
              <w:t xml:space="preserve">. an ihr orientieren („in all </w:t>
            </w:r>
            <w:proofErr w:type="spellStart"/>
            <w:r w:rsidRPr="009A53D0">
              <w:rPr>
                <w:sz w:val="20"/>
                <w:szCs w:val="20"/>
              </w:rPr>
              <w:t>cases</w:t>
            </w:r>
            <w:proofErr w:type="spellEnd"/>
            <w:r w:rsidRPr="009A53D0">
              <w:rPr>
                <w:sz w:val="20"/>
                <w:szCs w:val="20"/>
              </w:rPr>
              <w:t xml:space="preserve"> </w:t>
            </w:r>
            <w:proofErr w:type="spellStart"/>
            <w:r w:rsidRPr="009A53D0">
              <w:rPr>
                <w:sz w:val="20"/>
                <w:szCs w:val="20"/>
              </w:rPr>
              <w:t>reference</w:t>
            </w:r>
            <w:proofErr w:type="spellEnd"/>
            <w:r w:rsidRPr="009A53D0">
              <w:rPr>
                <w:sz w:val="20"/>
                <w:szCs w:val="20"/>
              </w:rPr>
              <w:t xml:space="preserve"> </w:t>
            </w:r>
            <w:proofErr w:type="spellStart"/>
            <w:r w:rsidRPr="009A53D0">
              <w:rPr>
                <w:sz w:val="20"/>
                <w:szCs w:val="20"/>
              </w:rPr>
              <w:t>must</w:t>
            </w:r>
            <w:proofErr w:type="spellEnd"/>
            <w:r w:rsidRPr="009A53D0">
              <w:rPr>
                <w:sz w:val="20"/>
                <w:szCs w:val="20"/>
              </w:rPr>
              <w:t xml:space="preserve"> </w:t>
            </w:r>
            <w:proofErr w:type="spellStart"/>
            <w:r w:rsidRPr="009A53D0">
              <w:rPr>
                <w:sz w:val="20"/>
                <w:szCs w:val="20"/>
              </w:rPr>
              <w:t>be</w:t>
            </w:r>
            <w:proofErr w:type="spellEnd"/>
            <w:r w:rsidRPr="009A53D0">
              <w:rPr>
                <w:sz w:val="20"/>
                <w:szCs w:val="20"/>
              </w:rPr>
              <w:t xml:space="preserve"> </w:t>
            </w:r>
            <w:proofErr w:type="spellStart"/>
            <w:r w:rsidRPr="009A53D0">
              <w:rPr>
                <w:sz w:val="20"/>
                <w:szCs w:val="20"/>
              </w:rPr>
              <w:t>had</w:t>
            </w:r>
            <w:proofErr w:type="spellEnd"/>
            <w:r w:rsidRPr="009A53D0">
              <w:rPr>
                <w:sz w:val="20"/>
                <w:szCs w:val="20"/>
              </w:rPr>
              <w:t xml:space="preserve"> to the </w:t>
            </w:r>
            <w:proofErr w:type="spellStart"/>
            <w:r w:rsidRPr="009A53D0">
              <w:rPr>
                <w:sz w:val="20"/>
                <w:szCs w:val="20"/>
              </w:rPr>
              <w:t>organic</w:t>
            </w:r>
            <w:proofErr w:type="spellEnd"/>
            <w:r w:rsidRPr="009A53D0">
              <w:rPr>
                <w:sz w:val="20"/>
                <w:szCs w:val="20"/>
              </w:rPr>
              <w:t xml:space="preserve"> </w:t>
            </w:r>
            <w:proofErr w:type="spellStart"/>
            <w:r w:rsidRPr="009A53D0">
              <w:rPr>
                <w:sz w:val="20"/>
                <w:szCs w:val="20"/>
              </w:rPr>
              <w:t>law</w:t>
            </w:r>
            <w:proofErr w:type="spellEnd"/>
            <w:r w:rsidRPr="009A53D0">
              <w:rPr>
                <w:sz w:val="20"/>
                <w:szCs w:val="20"/>
              </w:rPr>
              <w:t>“</w:t>
            </w:r>
            <w:r w:rsidRPr="009A53D0">
              <w:rPr>
                <w:sz w:val="20"/>
                <w:szCs w:val="20"/>
                <w:vertAlign w:val="superscript"/>
                <w:lang w:val="en-US"/>
              </w:rPr>
              <w:footnoteReference w:id="1970"/>
            </w:r>
            <w:r w:rsidRPr="009A53D0">
              <w:rPr>
                <w:sz w:val="20"/>
                <w:szCs w:val="20"/>
              </w:rPr>
              <w:t xml:space="preserve">). Doch gleichwohl brauche die </w:t>
            </w:r>
            <w:r w:rsidRPr="5B67C1D2">
              <w:rPr>
                <w:i/>
                <w:iCs/>
                <w:sz w:val="20"/>
                <w:szCs w:val="20"/>
              </w:rPr>
              <w:t>Declaration of Independence</w:t>
            </w:r>
            <w:r w:rsidRPr="009A53D0">
              <w:rPr>
                <w:sz w:val="20"/>
                <w:szCs w:val="20"/>
              </w:rPr>
              <w:t xml:space="preserve"> die </w:t>
            </w:r>
            <w:r>
              <w:rPr>
                <w:sz w:val="20"/>
                <w:szCs w:val="20"/>
              </w:rPr>
              <w:t>U.S.</w:t>
            </w:r>
            <w:r w:rsidRPr="009A53D0">
              <w:rPr>
                <w:sz w:val="20"/>
                <w:szCs w:val="20"/>
              </w:rPr>
              <w:t xml:space="preserve"> </w:t>
            </w:r>
            <w:proofErr w:type="spellStart"/>
            <w:r w:rsidRPr="009A53D0">
              <w:rPr>
                <w:sz w:val="20"/>
                <w:szCs w:val="20"/>
              </w:rPr>
              <w:t>Const</w:t>
            </w:r>
            <w:proofErr w:type="spellEnd"/>
            <w:r w:rsidRPr="009A53D0">
              <w:rPr>
                <w:sz w:val="20"/>
                <w:szCs w:val="20"/>
              </w:rPr>
              <w:t xml:space="preserve">., um mit ihr zusammen ausgelegt zu werden. Damit obliege den Gerichten keine </w:t>
            </w:r>
            <w:proofErr w:type="spellStart"/>
            <w:r w:rsidRPr="009A53D0">
              <w:rPr>
                <w:sz w:val="20"/>
                <w:szCs w:val="20"/>
              </w:rPr>
              <w:t>zwingendere</w:t>
            </w:r>
            <w:proofErr w:type="spellEnd"/>
            <w:r w:rsidRPr="009A53D0">
              <w:rPr>
                <w:sz w:val="20"/>
                <w:szCs w:val="20"/>
              </w:rPr>
              <w:t xml:space="preserve"> Aufgabe</w:t>
            </w:r>
            <w:r>
              <w:rPr>
                <w:sz w:val="20"/>
                <w:szCs w:val="20"/>
              </w:rPr>
              <w:t>,</w:t>
            </w:r>
            <w:r w:rsidRPr="009A53D0">
              <w:rPr>
                <w:sz w:val="20"/>
                <w:szCs w:val="20"/>
              </w:rPr>
              <w:t xml:space="preserve"> als die Grundprinzipien der </w:t>
            </w:r>
            <w:r w:rsidRPr="5B67C1D2">
              <w:rPr>
                <w:i/>
                <w:iCs/>
                <w:sz w:val="20"/>
                <w:szCs w:val="20"/>
              </w:rPr>
              <w:t>Declaration of Independence</w:t>
            </w:r>
            <w:r w:rsidRPr="009A53D0">
              <w:rPr>
                <w:sz w:val="20"/>
                <w:szCs w:val="20"/>
              </w:rPr>
              <w:t xml:space="preserve"> anhand der </w:t>
            </w:r>
            <w:r>
              <w:rPr>
                <w:sz w:val="20"/>
                <w:szCs w:val="20"/>
              </w:rPr>
              <w:t>U.S.</w:t>
            </w:r>
            <w:r w:rsidRPr="009A53D0">
              <w:rPr>
                <w:sz w:val="20"/>
                <w:szCs w:val="20"/>
              </w:rPr>
              <w:t xml:space="preserve"> </w:t>
            </w:r>
            <w:proofErr w:type="spellStart"/>
            <w:r w:rsidRPr="009A53D0">
              <w:rPr>
                <w:sz w:val="20"/>
                <w:szCs w:val="20"/>
              </w:rPr>
              <w:t>Const</w:t>
            </w:r>
            <w:proofErr w:type="spellEnd"/>
            <w:r w:rsidRPr="009A53D0">
              <w:rPr>
                <w:sz w:val="20"/>
                <w:szCs w:val="20"/>
              </w:rPr>
              <w:t>. auch durchzusetzen („</w:t>
            </w:r>
            <w:proofErr w:type="spellStart"/>
            <w:r w:rsidRPr="009A53D0">
              <w:rPr>
                <w:sz w:val="20"/>
                <w:szCs w:val="20"/>
              </w:rPr>
              <w:t>No</w:t>
            </w:r>
            <w:proofErr w:type="spellEnd"/>
            <w:r w:rsidRPr="009A53D0">
              <w:rPr>
                <w:sz w:val="20"/>
                <w:szCs w:val="20"/>
              </w:rPr>
              <w:t xml:space="preserve"> </w:t>
            </w:r>
            <w:proofErr w:type="spellStart"/>
            <w:r w:rsidRPr="009A53D0">
              <w:rPr>
                <w:sz w:val="20"/>
                <w:szCs w:val="20"/>
              </w:rPr>
              <w:t>duty</w:t>
            </w:r>
            <w:proofErr w:type="spellEnd"/>
            <w:r w:rsidRPr="009A53D0">
              <w:rPr>
                <w:sz w:val="20"/>
                <w:szCs w:val="20"/>
              </w:rPr>
              <w:t xml:space="preserve"> </w:t>
            </w:r>
            <w:proofErr w:type="spellStart"/>
            <w:r w:rsidRPr="009A53D0">
              <w:rPr>
                <w:sz w:val="20"/>
                <w:szCs w:val="20"/>
              </w:rPr>
              <w:t>rests</w:t>
            </w:r>
            <w:proofErr w:type="spellEnd"/>
            <w:r w:rsidRPr="009A53D0">
              <w:rPr>
                <w:sz w:val="20"/>
                <w:szCs w:val="20"/>
              </w:rPr>
              <w:t xml:space="preserve"> </w:t>
            </w:r>
            <w:proofErr w:type="spellStart"/>
            <w:r w:rsidRPr="009A53D0">
              <w:rPr>
                <w:sz w:val="20"/>
                <w:szCs w:val="20"/>
              </w:rPr>
              <w:t>more</w:t>
            </w:r>
            <w:proofErr w:type="spellEnd"/>
            <w:r w:rsidRPr="009A53D0">
              <w:rPr>
                <w:sz w:val="20"/>
                <w:szCs w:val="20"/>
              </w:rPr>
              <w:t xml:space="preserve"> </w:t>
            </w:r>
            <w:proofErr w:type="spellStart"/>
            <w:r w:rsidRPr="009A53D0">
              <w:rPr>
                <w:sz w:val="20"/>
                <w:szCs w:val="20"/>
              </w:rPr>
              <w:t>imperatively</w:t>
            </w:r>
            <w:proofErr w:type="spellEnd"/>
            <w:r w:rsidRPr="009A53D0">
              <w:rPr>
                <w:sz w:val="20"/>
                <w:szCs w:val="20"/>
              </w:rPr>
              <w:t xml:space="preserve"> upon the </w:t>
            </w:r>
            <w:proofErr w:type="spellStart"/>
            <w:r w:rsidRPr="009A53D0">
              <w:rPr>
                <w:sz w:val="20"/>
                <w:szCs w:val="20"/>
              </w:rPr>
              <w:t>courts</w:t>
            </w:r>
            <w:proofErr w:type="spellEnd"/>
            <w:r w:rsidRPr="009A53D0">
              <w:rPr>
                <w:sz w:val="20"/>
                <w:szCs w:val="20"/>
              </w:rPr>
              <w:t xml:space="preserve"> </w:t>
            </w:r>
            <w:proofErr w:type="spellStart"/>
            <w:r w:rsidRPr="009A53D0">
              <w:rPr>
                <w:sz w:val="20"/>
                <w:szCs w:val="20"/>
              </w:rPr>
              <w:t>than</w:t>
            </w:r>
            <w:proofErr w:type="spellEnd"/>
            <w:r w:rsidRPr="009A53D0">
              <w:rPr>
                <w:sz w:val="20"/>
                <w:szCs w:val="20"/>
              </w:rPr>
              <w:t xml:space="preserve"> the </w:t>
            </w:r>
            <w:proofErr w:type="spellStart"/>
            <w:r w:rsidRPr="009A53D0">
              <w:rPr>
                <w:sz w:val="20"/>
                <w:szCs w:val="20"/>
              </w:rPr>
              <w:t>enforcement</w:t>
            </w:r>
            <w:proofErr w:type="spellEnd"/>
            <w:r w:rsidRPr="009A53D0">
              <w:rPr>
                <w:sz w:val="20"/>
                <w:szCs w:val="20"/>
              </w:rPr>
              <w:t xml:space="preserve"> of </w:t>
            </w:r>
            <w:proofErr w:type="spellStart"/>
            <w:r w:rsidRPr="009A53D0">
              <w:rPr>
                <w:sz w:val="20"/>
                <w:szCs w:val="20"/>
              </w:rPr>
              <w:t>those</w:t>
            </w:r>
            <w:proofErr w:type="spellEnd"/>
            <w:r w:rsidRPr="009A53D0">
              <w:rPr>
                <w:sz w:val="20"/>
                <w:szCs w:val="20"/>
              </w:rPr>
              <w:t xml:space="preserve"> </w:t>
            </w:r>
            <w:proofErr w:type="spellStart"/>
            <w:r w:rsidRPr="009A53D0">
              <w:rPr>
                <w:sz w:val="20"/>
                <w:szCs w:val="20"/>
              </w:rPr>
              <w:t>constitutional</w:t>
            </w:r>
            <w:proofErr w:type="spellEnd"/>
            <w:r w:rsidRPr="009A53D0">
              <w:rPr>
                <w:sz w:val="20"/>
                <w:szCs w:val="20"/>
              </w:rPr>
              <w:t xml:space="preserve"> </w:t>
            </w:r>
            <w:proofErr w:type="spellStart"/>
            <w:r w:rsidRPr="009A53D0">
              <w:rPr>
                <w:sz w:val="20"/>
                <w:szCs w:val="20"/>
              </w:rPr>
              <w:t>provisions</w:t>
            </w:r>
            <w:proofErr w:type="spellEnd"/>
            <w:r w:rsidRPr="009A53D0">
              <w:rPr>
                <w:sz w:val="20"/>
                <w:szCs w:val="20"/>
              </w:rPr>
              <w:t>“</w:t>
            </w:r>
            <w:r w:rsidRPr="009A53D0">
              <w:rPr>
                <w:sz w:val="20"/>
                <w:szCs w:val="20"/>
                <w:vertAlign w:val="superscript"/>
              </w:rPr>
              <w:footnoteReference w:id="1971"/>
            </w:r>
            <w:r w:rsidRPr="009A53D0">
              <w:rPr>
                <w:sz w:val="20"/>
                <w:szCs w:val="20"/>
              </w:rPr>
              <w:t xml:space="preserve">), also </w:t>
            </w:r>
            <w:r>
              <w:rPr>
                <w:sz w:val="20"/>
                <w:szCs w:val="20"/>
              </w:rPr>
              <w:t>dem</w:t>
            </w:r>
            <w:r w:rsidRPr="009A53D0">
              <w:rPr>
                <w:sz w:val="20"/>
                <w:szCs w:val="20"/>
              </w:rPr>
              <w:t xml:space="preserve"> Fundament der </w:t>
            </w:r>
            <w:r>
              <w:rPr>
                <w:sz w:val="20"/>
                <w:szCs w:val="20"/>
              </w:rPr>
              <w:t>U.S.</w:t>
            </w:r>
            <w:r w:rsidRPr="009A53D0">
              <w:rPr>
                <w:sz w:val="20"/>
                <w:szCs w:val="20"/>
              </w:rPr>
              <w:t xml:space="preserve"> </w:t>
            </w:r>
            <w:proofErr w:type="spellStart"/>
            <w:r w:rsidRPr="009A53D0">
              <w:rPr>
                <w:sz w:val="20"/>
                <w:szCs w:val="20"/>
              </w:rPr>
              <w:t>Const</w:t>
            </w:r>
            <w:proofErr w:type="spellEnd"/>
            <w:r w:rsidRPr="009A53D0">
              <w:rPr>
                <w:sz w:val="20"/>
                <w:szCs w:val="20"/>
              </w:rPr>
              <w:t>. zur Wirkung zu verhelfen. Zum Beispiel: Die Gleichheit der Rechte („</w:t>
            </w:r>
            <w:proofErr w:type="spellStart"/>
            <w:r w:rsidRPr="009A53D0">
              <w:rPr>
                <w:sz w:val="20"/>
                <w:szCs w:val="20"/>
              </w:rPr>
              <w:t>equality</w:t>
            </w:r>
            <w:proofErr w:type="spellEnd"/>
            <w:r w:rsidRPr="009A53D0">
              <w:rPr>
                <w:sz w:val="20"/>
                <w:szCs w:val="20"/>
              </w:rPr>
              <w:t xml:space="preserve"> of </w:t>
            </w:r>
            <w:proofErr w:type="spellStart"/>
            <w:r w:rsidRPr="009A53D0">
              <w:rPr>
                <w:sz w:val="20"/>
                <w:szCs w:val="20"/>
              </w:rPr>
              <w:t>rights</w:t>
            </w:r>
            <w:proofErr w:type="spellEnd"/>
            <w:r w:rsidRPr="009A53D0">
              <w:rPr>
                <w:sz w:val="20"/>
                <w:szCs w:val="20"/>
              </w:rPr>
              <w:t>“</w:t>
            </w:r>
            <w:r w:rsidRPr="009A53D0">
              <w:rPr>
                <w:sz w:val="20"/>
                <w:szCs w:val="20"/>
                <w:vertAlign w:val="superscript"/>
              </w:rPr>
              <w:t xml:space="preserve"> </w:t>
            </w:r>
            <w:r w:rsidRPr="009A53D0">
              <w:rPr>
                <w:sz w:val="20"/>
                <w:szCs w:val="20"/>
                <w:vertAlign w:val="superscript"/>
              </w:rPr>
              <w:footnoteReference w:id="1972"/>
            </w:r>
            <w:r w:rsidRPr="009A53D0">
              <w:rPr>
                <w:sz w:val="20"/>
                <w:szCs w:val="20"/>
              </w:rPr>
              <w:t xml:space="preserve">) zu sichern, </w:t>
            </w:r>
            <w:r>
              <w:rPr>
                <w:sz w:val="20"/>
                <w:szCs w:val="20"/>
              </w:rPr>
              <w:t>was</w:t>
            </w:r>
            <w:r w:rsidRPr="009A53D0">
              <w:rPr>
                <w:sz w:val="20"/>
                <w:szCs w:val="20"/>
              </w:rPr>
              <w:t xml:space="preserve"> ein Teil der unveräußerlichen Rechte auf ein gleiches Streben nach Glück sei. Diese unveräußerlichen Rechte bilde</w:t>
            </w:r>
            <w:r>
              <w:rPr>
                <w:sz w:val="20"/>
                <w:szCs w:val="20"/>
              </w:rPr>
              <w:t>te</w:t>
            </w:r>
            <w:r w:rsidRPr="009A53D0">
              <w:rPr>
                <w:sz w:val="20"/>
                <w:szCs w:val="20"/>
              </w:rPr>
              <w:t>n eben das Fundament einer freien Regierung („</w:t>
            </w:r>
            <w:proofErr w:type="spellStart"/>
            <w:r w:rsidRPr="009A53D0">
              <w:rPr>
                <w:sz w:val="20"/>
                <w:szCs w:val="20"/>
              </w:rPr>
              <w:t>which</w:t>
            </w:r>
            <w:proofErr w:type="spellEnd"/>
            <w:r w:rsidRPr="009A53D0">
              <w:rPr>
                <w:sz w:val="20"/>
                <w:szCs w:val="20"/>
              </w:rPr>
              <w:t xml:space="preserve"> </w:t>
            </w:r>
            <w:proofErr w:type="spellStart"/>
            <w:r w:rsidRPr="009A53D0">
              <w:rPr>
                <w:sz w:val="20"/>
                <w:szCs w:val="20"/>
              </w:rPr>
              <w:t>is</w:t>
            </w:r>
            <w:proofErr w:type="spellEnd"/>
            <w:r w:rsidRPr="009A53D0">
              <w:rPr>
                <w:sz w:val="20"/>
                <w:szCs w:val="20"/>
              </w:rPr>
              <w:t xml:space="preserve"> the </w:t>
            </w:r>
            <w:proofErr w:type="spellStart"/>
            <w:r w:rsidRPr="009A53D0">
              <w:rPr>
                <w:sz w:val="20"/>
                <w:szCs w:val="20"/>
              </w:rPr>
              <w:t>foundation</w:t>
            </w:r>
            <w:proofErr w:type="spellEnd"/>
            <w:r w:rsidRPr="009A53D0">
              <w:rPr>
                <w:sz w:val="20"/>
                <w:szCs w:val="20"/>
              </w:rPr>
              <w:t xml:space="preserve"> of </w:t>
            </w:r>
            <w:proofErr w:type="spellStart"/>
            <w:r w:rsidRPr="009A53D0">
              <w:rPr>
                <w:sz w:val="20"/>
                <w:szCs w:val="20"/>
              </w:rPr>
              <w:t>free</w:t>
            </w:r>
            <w:proofErr w:type="spellEnd"/>
            <w:r w:rsidRPr="009A53D0">
              <w:rPr>
                <w:sz w:val="20"/>
                <w:szCs w:val="20"/>
              </w:rPr>
              <w:t xml:space="preserve"> </w:t>
            </w:r>
            <w:proofErr w:type="spellStart"/>
            <w:r w:rsidRPr="009A53D0">
              <w:rPr>
                <w:sz w:val="20"/>
                <w:szCs w:val="20"/>
              </w:rPr>
              <w:t>government</w:t>
            </w:r>
            <w:proofErr w:type="spellEnd"/>
            <w:r w:rsidRPr="009A53D0">
              <w:rPr>
                <w:sz w:val="20"/>
                <w:szCs w:val="20"/>
              </w:rPr>
              <w:t>“</w:t>
            </w:r>
            <w:r w:rsidRPr="009A53D0">
              <w:rPr>
                <w:sz w:val="20"/>
                <w:szCs w:val="20"/>
                <w:vertAlign w:val="superscript"/>
              </w:rPr>
              <w:footnoteReference w:id="1973"/>
            </w:r>
            <w:r w:rsidRPr="009A53D0">
              <w:rPr>
                <w:sz w:val="20"/>
                <w:szCs w:val="20"/>
              </w:rPr>
              <w:t xml:space="preserve">), solange diese </w:t>
            </w:r>
            <w:r>
              <w:rPr>
                <w:sz w:val="20"/>
                <w:szCs w:val="20"/>
              </w:rPr>
              <w:t xml:space="preserve">Regierung </w:t>
            </w:r>
            <w:r w:rsidRPr="009A53D0">
              <w:rPr>
                <w:sz w:val="20"/>
                <w:szCs w:val="20"/>
              </w:rPr>
              <w:t>Willkür verhindere („</w:t>
            </w:r>
            <w:proofErr w:type="spellStart"/>
            <w:r w:rsidRPr="009A53D0">
              <w:rPr>
                <w:sz w:val="20"/>
                <w:szCs w:val="20"/>
              </w:rPr>
              <w:t>they</w:t>
            </w:r>
            <w:proofErr w:type="spellEnd"/>
            <w:r w:rsidRPr="009A53D0">
              <w:rPr>
                <w:sz w:val="20"/>
                <w:szCs w:val="20"/>
              </w:rPr>
              <w:t xml:space="preserve"> do not </w:t>
            </w:r>
            <w:proofErr w:type="spellStart"/>
            <w:r w:rsidRPr="009A53D0">
              <w:rPr>
                <w:sz w:val="20"/>
                <w:szCs w:val="20"/>
              </w:rPr>
              <w:t>mean</w:t>
            </w:r>
            <w:proofErr w:type="spellEnd"/>
            <w:r w:rsidRPr="009A53D0">
              <w:rPr>
                <w:sz w:val="20"/>
                <w:szCs w:val="20"/>
              </w:rPr>
              <w:t xml:space="preserve"> to </w:t>
            </w:r>
            <w:proofErr w:type="spellStart"/>
            <w:r w:rsidRPr="009A53D0">
              <w:rPr>
                <w:sz w:val="20"/>
                <w:szCs w:val="20"/>
              </w:rPr>
              <w:t>leave</w:t>
            </w:r>
            <w:proofErr w:type="spellEnd"/>
            <w:r w:rsidRPr="009A53D0">
              <w:rPr>
                <w:sz w:val="20"/>
                <w:szCs w:val="20"/>
              </w:rPr>
              <w:t xml:space="preserve"> </w:t>
            </w:r>
            <w:proofErr w:type="spellStart"/>
            <w:r w:rsidRPr="009A53D0">
              <w:rPr>
                <w:sz w:val="20"/>
                <w:szCs w:val="20"/>
              </w:rPr>
              <w:t>room</w:t>
            </w:r>
            <w:proofErr w:type="spellEnd"/>
            <w:r w:rsidRPr="009A53D0">
              <w:rPr>
                <w:sz w:val="20"/>
                <w:szCs w:val="20"/>
              </w:rPr>
              <w:t xml:space="preserve"> for […] </w:t>
            </w:r>
            <w:proofErr w:type="spellStart"/>
            <w:r w:rsidRPr="009A53D0">
              <w:rPr>
                <w:sz w:val="20"/>
                <w:szCs w:val="20"/>
              </w:rPr>
              <w:t>arbitrary</w:t>
            </w:r>
            <w:proofErr w:type="spellEnd"/>
            <w:r w:rsidRPr="009A53D0">
              <w:rPr>
                <w:sz w:val="20"/>
                <w:szCs w:val="20"/>
              </w:rPr>
              <w:t xml:space="preserve"> power“</w:t>
            </w:r>
            <w:r w:rsidRPr="009A53D0">
              <w:rPr>
                <w:sz w:val="20"/>
                <w:szCs w:val="20"/>
                <w:vertAlign w:val="superscript"/>
                <w:lang w:val="en-US"/>
              </w:rPr>
              <w:footnoteReference w:id="1974"/>
            </w:r>
            <w:r w:rsidRPr="009A53D0">
              <w:rPr>
                <w:sz w:val="20"/>
                <w:szCs w:val="20"/>
              </w:rPr>
              <w:t>).</w:t>
            </w:r>
          </w:p>
          <w:p w14:paraId="4CD87DB7" w14:textId="77777777" w:rsidR="00074551" w:rsidRPr="009A53D0" w:rsidRDefault="00074551" w:rsidP="00367133">
            <w:pPr>
              <w:jc w:val="both"/>
              <w:rPr>
                <w:sz w:val="20"/>
                <w:szCs w:val="20"/>
              </w:rPr>
            </w:pPr>
          </w:p>
        </w:tc>
      </w:tr>
      <w:tr w:rsidR="00074551" w:rsidRPr="00E50B51" w14:paraId="25F11261" w14:textId="77777777" w:rsidTr="00203768">
        <w:trPr>
          <w:cantSplit/>
          <w:trHeight w:val="3175"/>
        </w:trPr>
        <w:tc>
          <w:tcPr>
            <w:tcW w:w="293" w:type="pct"/>
            <w:shd w:val="clear" w:color="auto" w:fill="E7E6E6" w:themeFill="background2"/>
          </w:tcPr>
          <w:p w14:paraId="63E845DA"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60CC9FEC" w14:textId="77777777" w:rsidR="00074551" w:rsidRPr="00E50B51" w:rsidRDefault="00074551" w:rsidP="00367133">
            <w:pPr>
              <w:ind w:left="113" w:right="416"/>
              <w:jc w:val="both"/>
              <w:rPr>
                <w:sz w:val="20"/>
                <w:szCs w:val="20"/>
                <w:lang w:val="en-US"/>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252017DF" w14:textId="77777777" w:rsidR="00074551" w:rsidRPr="00E50B51" w:rsidRDefault="00074551" w:rsidP="00367133">
            <w:pPr>
              <w:ind w:left="113" w:right="113"/>
              <w:jc w:val="both"/>
              <w:rPr>
                <w:iCs/>
                <w:sz w:val="20"/>
                <w:szCs w:val="20"/>
                <w:lang w:val="en-US"/>
              </w:rPr>
            </w:pPr>
            <w:r w:rsidRPr="00E50B51">
              <w:rPr>
                <w:iCs/>
                <w:sz w:val="20"/>
                <w:szCs w:val="20"/>
                <w:lang w:val="en-US"/>
              </w:rPr>
              <w:t>Case or Controversy Clause</w:t>
            </w:r>
          </w:p>
          <w:p w14:paraId="5B409882" w14:textId="77777777" w:rsidR="00074551" w:rsidRPr="00E50B51" w:rsidRDefault="00074551" w:rsidP="00367133">
            <w:pPr>
              <w:ind w:left="113" w:right="113"/>
              <w:jc w:val="both"/>
              <w:rPr>
                <w:iCs/>
                <w:sz w:val="20"/>
                <w:szCs w:val="20"/>
                <w:lang w:val="en-US"/>
              </w:rPr>
            </w:pPr>
          </w:p>
        </w:tc>
        <w:tc>
          <w:tcPr>
            <w:tcW w:w="306" w:type="pct"/>
            <w:shd w:val="clear" w:color="auto" w:fill="E7E6E6" w:themeFill="background2"/>
            <w:textDirection w:val="tbRl"/>
            <w:vAlign w:val="center"/>
          </w:tcPr>
          <w:p w14:paraId="58278C8A" w14:textId="77777777" w:rsidR="00074551" w:rsidRDefault="00074551" w:rsidP="00367133">
            <w:pPr>
              <w:ind w:left="113" w:right="113"/>
              <w:jc w:val="both"/>
              <w:rPr>
                <w:sz w:val="20"/>
                <w:szCs w:val="20"/>
                <w:lang w:val="en-US"/>
              </w:rPr>
            </w:pPr>
            <w:r w:rsidRPr="00E50B51">
              <w:rPr>
                <w:iCs/>
                <w:sz w:val="20"/>
                <w:szCs w:val="20"/>
                <w:lang w:val="en-US"/>
              </w:rPr>
              <w:t>Constitutional Questions</w:t>
            </w:r>
            <w:r>
              <w:rPr>
                <w:iCs/>
                <w:sz w:val="20"/>
                <w:szCs w:val="20"/>
                <w:lang w:val="en-US"/>
              </w:rPr>
              <w:t xml:space="preserve"> </w:t>
            </w:r>
            <w:r w:rsidRPr="00E50B51">
              <w:rPr>
                <w:iCs/>
                <w:sz w:val="20"/>
                <w:szCs w:val="20"/>
                <w:lang w:val="en-US"/>
              </w:rPr>
              <w:t>/</w:t>
            </w:r>
            <w:r w:rsidRPr="00E50B51">
              <w:rPr>
                <w:sz w:val="20"/>
                <w:szCs w:val="20"/>
                <w:lang w:val="en-US"/>
              </w:rPr>
              <w:t xml:space="preserve"> </w:t>
            </w:r>
          </w:p>
          <w:p w14:paraId="004777C2" w14:textId="77777777" w:rsidR="00074551" w:rsidRPr="00E50B51" w:rsidRDefault="00074551" w:rsidP="00367133">
            <w:pPr>
              <w:ind w:left="113" w:right="113"/>
              <w:jc w:val="both"/>
              <w:rPr>
                <w:iCs/>
                <w:sz w:val="20"/>
                <w:szCs w:val="20"/>
                <w:lang w:val="en-US"/>
              </w:rPr>
            </w:pPr>
            <w:r w:rsidRPr="00E50B51">
              <w:rPr>
                <w:iCs/>
                <w:sz w:val="20"/>
                <w:szCs w:val="20"/>
                <w:lang w:val="en-US"/>
              </w:rPr>
              <w:t>Constitutionality of Legislation</w:t>
            </w:r>
          </w:p>
          <w:p w14:paraId="50C9F6FC"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extDirection w:val="tbRl"/>
          </w:tcPr>
          <w:p w14:paraId="6F151383" w14:textId="77777777" w:rsidR="00074551" w:rsidRDefault="00074551" w:rsidP="00367133">
            <w:pPr>
              <w:ind w:left="113" w:right="113"/>
              <w:rPr>
                <w:sz w:val="20"/>
                <w:szCs w:val="20"/>
              </w:rPr>
            </w:pPr>
          </w:p>
          <w:p w14:paraId="169A7B62" w14:textId="77777777" w:rsidR="00074551" w:rsidRPr="00B45592" w:rsidRDefault="00074551" w:rsidP="00367133">
            <w:pPr>
              <w:ind w:left="113" w:right="113"/>
              <w:rPr>
                <w:sz w:val="20"/>
                <w:szCs w:val="20"/>
              </w:rPr>
            </w:pPr>
            <w:proofErr w:type="spellStart"/>
            <w:r w:rsidRPr="00B45592">
              <w:rPr>
                <w:sz w:val="20"/>
                <w:szCs w:val="20"/>
              </w:rPr>
              <w:t>Judiciary</w:t>
            </w:r>
            <w:proofErr w:type="spellEnd"/>
          </w:p>
          <w:p w14:paraId="3F7C1C91" w14:textId="77777777" w:rsidR="00074551" w:rsidRPr="00E50B51" w:rsidRDefault="00074551" w:rsidP="00367133">
            <w:pPr>
              <w:ind w:left="113" w:right="113"/>
              <w:jc w:val="center"/>
              <w:rPr>
                <w:sz w:val="20"/>
                <w:szCs w:val="20"/>
                <w:lang w:val="en-US"/>
              </w:rPr>
            </w:pPr>
          </w:p>
        </w:tc>
        <w:tc>
          <w:tcPr>
            <w:tcW w:w="1594" w:type="pct"/>
            <w:shd w:val="clear" w:color="auto" w:fill="E7E6E6" w:themeFill="background2"/>
            <w:vAlign w:val="center"/>
          </w:tcPr>
          <w:p w14:paraId="1760C8D6" w14:textId="77777777" w:rsidR="00074551" w:rsidRPr="00E50B51" w:rsidRDefault="00074551" w:rsidP="00367133">
            <w:pPr>
              <w:jc w:val="both"/>
              <w:rPr>
                <w:sz w:val="20"/>
                <w:szCs w:val="20"/>
                <w:lang w:val="en-US"/>
              </w:rPr>
            </w:pPr>
          </w:p>
        </w:tc>
        <w:tc>
          <w:tcPr>
            <w:tcW w:w="1822" w:type="pct"/>
            <w:shd w:val="clear" w:color="auto" w:fill="E7E6E6" w:themeFill="background2"/>
          </w:tcPr>
          <w:p w14:paraId="77056B44" w14:textId="1EFABB85" w:rsidR="00074551" w:rsidRPr="00BB3AB2" w:rsidRDefault="00203768" w:rsidP="00203768">
            <w:pPr>
              <w:rPr>
                <w:sz w:val="20"/>
                <w:szCs w:val="20"/>
                <w:highlight w:val="yellow"/>
                <w:lang w:val="en-US"/>
              </w:rPr>
            </w:pPr>
            <w:r w:rsidRPr="00A15DB3">
              <w:rPr>
                <w:i/>
                <w:iCs/>
                <w:sz w:val="16"/>
                <w:szCs w:val="16"/>
              </w:rPr>
              <w:t>Thematische Gliederung der nachfolgenden Entscheidungen ↓</w:t>
            </w:r>
          </w:p>
        </w:tc>
      </w:tr>
      <w:tr w:rsidR="00074551" w:rsidRPr="00E50B51" w14:paraId="3A9234A5" w14:textId="77777777" w:rsidTr="00BE689F">
        <w:trPr>
          <w:cantSplit/>
          <w:trHeight w:val="3175"/>
        </w:trPr>
        <w:tc>
          <w:tcPr>
            <w:tcW w:w="293" w:type="pct"/>
          </w:tcPr>
          <w:p w14:paraId="2C5AE4B0"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603F86C" w14:textId="77777777" w:rsidR="00074551" w:rsidRPr="00B45592" w:rsidRDefault="00074551" w:rsidP="00367133">
            <w:pPr>
              <w:ind w:left="113" w:right="113"/>
              <w:jc w:val="both"/>
              <w:rPr>
                <w:i/>
                <w:sz w:val="20"/>
                <w:szCs w:val="20"/>
              </w:rPr>
            </w:pPr>
            <w:r w:rsidRPr="00B45592">
              <w:rPr>
                <w:i/>
                <w:sz w:val="20"/>
                <w:szCs w:val="20"/>
              </w:rPr>
              <w:t>Poe v. Ullman</w:t>
            </w:r>
          </w:p>
        </w:tc>
        <w:tc>
          <w:tcPr>
            <w:tcW w:w="197" w:type="pct"/>
            <w:textDirection w:val="tbRl"/>
            <w:vAlign w:val="center"/>
          </w:tcPr>
          <w:p w14:paraId="515E21D2" w14:textId="77777777" w:rsidR="00074551" w:rsidRPr="00E50B51" w:rsidRDefault="00074551" w:rsidP="00367133">
            <w:pPr>
              <w:ind w:left="113" w:right="113"/>
              <w:jc w:val="both"/>
              <w:rPr>
                <w:iCs/>
                <w:sz w:val="20"/>
                <w:szCs w:val="20"/>
                <w:lang w:val="en-US"/>
              </w:rPr>
            </w:pPr>
            <w:r w:rsidRPr="00E50B51">
              <w:rPr>
                <w:sz w:val="20"/>
                <w:szCs w:val="20"/>
                <w:lang w:val="en-US"/>
              </w:rPr>
              <w:t>367 U.S. 497</w:t>
            </w:r>
          </w:p>
        </w:tc>
        <w:tc>
          <w:tcPr>
            <w:tcW w:w="306" w:type="pct"/>
            <w:textDirection w:val="tbRl"/>
            <w:vAlign w:val="center"/>
          </w:tcPr>
          <w:p w14:paraId="23446648" w14:textId="77777777" w:rsidR="00074551" w:rsidRPr="00E50B51" w:rsidRDefault="00074551" w:rsidP="00367133">
            <w:pPr>
              <w:ind w:left="113" w:right="113"/>
              <w:jc w:val="both"/>
              <w:rPr>
                <w:sz w:val="20"/>
                <w:szCs w:val="20"/>
                <w:lang w:val="en-US"/>
              </w:rPr>
            </w:pPr>
            <w:r w:rsidRPr="00E50B51">
              <w:rPr>
                <w:sz w:val="20"/>
                <w:szCs w:val="20"/>
                <w:lang w:val="en-US"/>
              </w:rPr>
              <w:t>19. Juni 1961</w:t>
            </w:r>
          </w:p>
        </w:tc>
        <w:tc>
          <w:tcPr>
            <w:tcW w:w="401" w:type="pct"/>
          </w:tcPr>
          <w:p w14:paraId="1214AEB4" w14:textId="77777777" w:rsidR="00074551" w:rsidRPr="00E50B51" w:rsidRDefault="00074551" w:rsidP="00367133">
            <w:pPr>
              <w:jc w:val="center"/>
              <w:rPr>
                <w:sz w:val="20"/>
                <w:szCs w:val="20"/>
              </w:rPr>
            </w:pPr>
            <w:r w:rsidRPr="00E50B51">
              <w:rPr>
                <w:iCs/>
                <w:sz w:val="20"/>
                <w:szCs w:val="20"/>
                <w:lang w:val="en-US"/>
              </w:rPr>
              <w:t>D</w:t>
            </w:r>
          </w:p>
        </w:tc>
        <w:tc>
          <w:tcPr>
            <w:tcW w:w="1594" w:type="pct"/>
          </w:tcPr>
          <w:p w14:paraId="002A42C5" w14:textId="5D03F394" w:rsidR="00074551" w:rsidRDefault="00074551" w:rsidP="00367133">
            <w:pPr>
              <w:jc w:val="both"/>
              <w:rPr>
                <w:sz w:val="20"/>
                <w:szCs w:val="20"/>
              </w:rPr>
            </w:pPr>
            <w:r w:rsidRPr="00E50B51">
              <w:rPr>
                <w:sz w:val="20"/>
                <w:szCs w:val="20"/>
              </w:rPr>
              <w:t xml:space="preserve">Im Fall </w:t>
            </w:r>
            <w:r>
              <w:rPr>
                <w:sz w:val="20"/>
                <w:szCs w:val="20"/>
              </w:rPr>
              <w:t>b</w:t>
            </w:r>
            <w:r w:rsidRPr="00E50B51">
              <w:rPr>
                <w:sz w:val="20"/>
                <w:szCs w:val="20"/>
              </w:rPr>
              <w:t xml:space="preserve">estätigte der </w:t>
            </w:r>
            <w:r>
              <w:rPr>
                <w:sz w:val="20"/>
                <w:szCs w:val="20"/>
              </w:rPr>
              <w:t>U.S. Supreme Court</w:t>
            </w:r>
            <w:r w:rsidRPr="00E50B51">
              <w:rPr>
                <w:sz w:val="20"/>
                <w:szCs w:val="20"/>
              </w:rPr>
              <w:t xml:space="preserve"> die Verfassungsmäßigkeit eines Strafgesetzes</w:t>
            </w:r>
            <w:r w:rsidR="00507A8E">
              <w:rPr>
                <w:sz w:val="20"/>
                <w:szCs w:val="20"/>
              </w:rPr>
              <w:t xml:space="preserve"> nur indirekt</w:t>
            </w:r>
            <w:r w:rsidRPr="00E50B51">
              <w:rPr>
                <w:sz w:val="20"/>
                <w:szCs w:val="20"/>
              </w:rPr>
              <w:t xml:space="preserve"> (vgl. </w:t>
            </w:r>
            <w:proofErr w:type="spellStart"/>
            <w:r w:rsidRPr="00E50B51">
              <w:rPr>
                <w:sz w:val="20"/>
                <w:szCs w:val="20"/>
              </w:rPr>
              <w:t>Conn</w:t>
            </w:r>
            <w:proofErr w:type="spellEnd"/>
            <w:r w:rsidRPr="00E50B51">
              <w:rPr>
                <w:sz w:val="20"/>
                <w:szCs w:val="20"/>
              </w:rPr>
              <w:t>. Gen. Stat. §</w:t>
            </w:r>
            <w:r>
              <w:rPr>
                <w:sz w:val="20"/>
                <w:szCs w:val="20"/>
              </w:rPr>
              <w:t>§ </w:t>
            </w:r>
            <w:r w:rsidRPr="00E50B51">
              <w:rPr>
                <w:sz w:val="20"/>
                <w:szCs w:val="20"/>
              </w:rPr>
              <w:t xml:space="preserve">53-32, 54-196, </w:t>
            </w:r>
            <w:r w:rsidRPr="009A53D0">
              <w:rPr>
                <w:sz w:val="20"/>
                <w:szCs w:val="20"/>
              </w:rPr>
              <w:t>1958)</w:t>
            </w:r>
            <w:r w:rsidRPr="009A53D0">
              <w:rPr>
                <w:rStyle w:val="Funotenzeichen"/>
                <w:sz w:val="20"/>
                <w:szCs w:val="20"/>
              </w:rPr>
              <w:footnoteReference w:id="1975"/>
            </w:r>
            <w:r w:rsidRPr="009A53D0">
              <w:rPr>
                <w:sz w:val="20"/>
                <w:szCs w:val="20"/>
              </w:rPr>
              <w:t xml:space="preserve">, </w:t>
            </w:r>
            <w:r>
              <w:rPr>
                <w:sz w:val="20"/>
                <w:szCs w:val="20"/>
              </w:rPr>
              <w:t>welches</w:t>
            </w:r>
            <w:r w:rsidRPr="00E50B51">
              <w:rPr>
                <w:sz w:val="20"/>
                <w:szCs w:val="20"/>
              </w:rPr>
              <w:t xml:space="preserve"> zuvor Patient</w:t>
            </w:r>
            <w:r>
              <w:rPr>
                <w:sz w:val="20"/>
                <w:szCs w:val="20"/>
              </w:rPr>
              <w:t>en und ihr Arzt</w:t>
            </w:r>
            <w:r w:rsidRPr="00E50B51">
              <w:rPr>
                <w:sz w:val="20"/>
                <w:szCs w:val="20"/>
              </w:rPr>
              <w:t xml:space="preserve"> </w:t>
            </w:r>
            <w:r>
              <w:rPr>
                <w:sz w:val="20"/>
                <w:szCs w:val="20"/>
              </w:rPr>
              <w:t>angefochten hatten</w:t>
            </w:r>
            <w:r w:rsidRPr="00E50B51">
              <w:rPr>
                <w:sz w:val="20"/>
                <w:szCs w:val="20"/>
              </w:rPr>
              <w:t>, weil es die Abgabe von Verhütungsmittel</w:t>
            </w:r>
            <w:r>
              <w:rPr>
                <w:sz w:val="20"/>
                <w:szCs w:val="20"/>
              </w:rPr>
              <w:t>n</w:t>
            </w:r>
            <w:r w:rsidRPr="00E50B51">
              <w:rPr>
                <w:sz w:val="20"/>
                <w:szCs w:val="20"/>
              </w:rPr>
              <w:t xml:space="preserve"> unter Strafe stell</w:t>
            </w:r>
            <w:r>
              <w:rPr>
                <w:sz w:val="20"/>
                <w:szCs w:val="20"/>
              </w:rPr>
              <w:t>t</w:t>
            </w:r>
            <w:r w:rsidRPr="00E50B51">
              <w:rPr>
                <w:sz w:val="20"/>
                <w:szCs w:val="20"/>
              </w:rPr>
              <w:t>e, einschließlich der medizinischen Beratung zu deren Einsatz</w:t>
            </w:r>
            <w:r w:rsidR="00507A8E">
              <w:rPr>
                <w:sz w:val="20"/>
                <w:szCs w:val="20"/>
              </w:rPr>
              <w:t xml:space="preserve">; er </w:t>
            </w:r>
            <w:r w:rsidR="00507A8E" w:rsidRPr="00507A8E">
              <w:rPr>
                <w:sz w:val="20"/>
                <w:szCs w:val="20"/>
              </w:rPr>
              <w:t xml:space="preserve">verwarf </w:t>
            </w:r>
            <w:r w:rsidR="00507A8E">
              <w:rPr>
                <w:sz w:val="20"/>
                <w:szCs w:val="20"/>
              </w:rPr>
              <w:t xml:space="preserve">stattdessen </w:t>
            </w:r>
            <w:r w:rsidR="008B1D3E">
              <w:rPr>
                <w:sz w:val="20"/>
                <w:szCs w:val="20"/>
              </w:rPr>
              <w:t xml:space="preserve">vor allem </w:t>
            </w:r>
            <w:r w:rsidR="00507A8E" w:rsidRPr="00507A8E">
              <w:rPr>
                <w:sz w:val="20"/>
                <w:szCs w:val="20"/>
              </w:rPr>
              <w:t>die Rechtsmittel mangels einer hinreichend konkreten Kontroverse.</w:t>
            </w:r>
            <w:r w:rsidR="008B1D3E">
              <w:rPr>
                <w:sz w:val="20"/>
                <w:szCs w:val="20"/>
              </w:rPr>
              <w:t xml:space="preserve"> Zunächst erklärte</w:t>
            </w:r>
            <w:r w:rsidRPr="00E50B51">
              <w:rPr>
                <w:sz w:val="20"/>
                <w:szCs w:val="20"/>
              </w:rPr>
              <w:t xml:space="preserve"> </w:t>
            </w:r>
            <w:r w:rsidRPr="5B67C1D2">
              <w:rPr>
                <w:i/>
                <w:iCs/>
                <w:sz w:val="20"/>
                <w:szCs w:val="20"/>
              </w:rPr>
              <w:t>Supreme Court of Errors of Connecticut</w:t>
            </w:r>
            <w:r w:rsidRPr="00C04446" w:rsidDel="00C04446">
              <w:rPr>
                <w:sz w:val="20"/>
                <w:szCs w:val="20"/>
              </w:rPr>
              <w:t xml:space="preserve"> </w:t>
            </w:r>
            <w:r w:rsidRPr="00E50B51">
              <w:rPr>
                <w:sz w:val="20"/>
                <w:szCs w:val="20"/>
              </w:rPr>
              <w:t xml:space="preserve">das </w:t>
            </w:r>
            <w:r w:rsidR="008B1D3E">
              <w:rPr>
                <w:sz w:val="20"/>
                <w:szCs w:val="20"/>
              </w:rPr>
              <w:t xml:space="preserve">streitgegenständliche </w:t>
            </w:r>
            <w:r w:rsidRPr="00E50B51">
              <w:rPr>
                <w:sz w:val="20"/>
                <w:szCs w:val="20"/>
              </w:rPr>
              <w:t xml:space="preserve">Gesetz für verfassungsgemäß. Das Gesetz sei auch auf verheiratete Paare anwendbar, </w:t>
            </w:r>
            <w:r>
              <w:rPr>
                <w:sz w:val="20"/>
                <w:szCs w:val="20"/>
              </w:rPr>
              <w:t xml:space="preserve">selbst </w:t>
            </w:r>
            <w:r w:rsidRPr="00E50B51">
              <w:rPr>
                <w:sz w:val="20"/>
                <w:szCs w:val="20"/>
              </w:rPr>
              <w:t xml:space="preserve">wenn eine Schwangerschaft eine ernsthafte Bedrohung für die Gesundheit oder das Leben des weiblichen Partners bereite. Der </w:t>
            </w:r>
            <w:r>
              <w:rPr>
                <w:sz w:val="20"/>
                <w:szCs w:val="20"/>
              </w:rPr>
              <w:t>U.S. Supreme Court</w:t>
            </w:r>
            <w:r w:rsidRPr="00E50B51">
              <w:rPr>
                <w:sz w:val="20"/>
                <w:szCs w:val="20"/>
              </w:rPr>
              <w:t xml:space="preserve"> entschied indes, die bloße Existenz eines Strafgesetzes stelle keine Grundlage dar, damit er über </w:t>
            </w:r>
            <w:r>
              <w:rPr>
                <w:sz w:val="20"/>
                <w:szCs w:val="20"/>
              </w:rPr>
              <w:t>dessen</w:t>
            </w:r>
            <w:r w:rsidRPr="00E50B51">
              <w:rPr>
                <w:sz w:val="20"/>
                <w:szCs w:val="20"/>
              </w:rPr>
              <w:t xml:space="preserve"> Verfassungskonformität entscheiden könne. Es bräuchte tatsächliche Anhaltspunkte, dass die Staatsanwaltschaft das Gesetz auch durchsetze. Aber bisher hatten die Staatsanwälte des Bundesstaates </w:t>
            </w:r>
            <w:r w:rsidR="008B1D3E">
              <w:rPr>
                <w:sz w:val="20"/>
                <w:szCs w:val="20"/>
              </w:rPr>
              <w:t xml:space="preserve">weitgehend </w:t>
            </w:r>
            <w:r w:rsidRPr="00E50B51">
              <w:rPr>
                <w:sz w:val="20"/>
                <w:szCs w:val="20"/>
              </w:rPr>
              <w:t xml:space="preserve">niemanden </w:t>
            </w:r>
            <w:r>
              <w:rPr>
                <w:sz w:val="20"/>
                <w:szCs w:val="20"/>
              </w:rPr>
              <w:t xml:space="preserve">verfolgt und Richter hatten </w:t>
            </w:r>
            <w:r w:rsidRPr="00E50B51">
              <w:rPr>
                <w:sz w:val="20"/>
                <w:szCs w:val="20"/>
              </w:rPr>
              <w:t xml:space="preserve">wegen eines Verstoßes gegen das Gesetz </w:t>
            </w:r>
            <w:r>
              <w:rPr>
                <w:sz w:val="20"/>
                <w:szCs w:val="20"/>
              </w:rPr>
              <w:t xml:space="preserve">niemanden </w:t>
            </w:r>
            <w:r w:rsidRPr="00E50B51">
              <w:rPr>
                <w:sz w:val="20"/>
                <w:szCs w:val="20"/>
              </w:rPr>
              <w:t xml:space="preserve">verurteilt. Im Fall fehle daher die Gefahr der Durchsetzung und somit die Grundlage für eine Entscheidung des </w:t>
            </w:r>
            <w:r>
              <w:rPr>
                <w:sz w:val="20"/>
                <w:szCs w:val="20"/>
              </w:rPr>
              <w:t>U.S. Supreme Court</w:t>
            </w:r>
            <w:r w:rsidRPr="00E50B51">
              <w:rPr>
                <w:sz w:val="20"/>
                <w:szCs w:val="20"/>
              </w:rPr>
              <w:t>.</w:t>
            </w:r>
            <w:r>
              <w:rPr>
                <w:rStyle w:val="Funotenzeichen"/>
                <w:sz w:val="20"/>
                <w:szCs w:val="20"/>
              </w:rPr>
              <w:footnoteReference w:id="1976"/>
            </w:r>
          </w:p>
          <w:p w14:paraId="3E7EDB00" w14:textId="0B401B93" w:rsidR="00E7172E" w:rsidRPr="00E50B51" w:rsidRDefault="00E7172E" w:rsidP="00367133">
            <w:pPr>
              <w:jc w:val="both"/>
              <w:rPr>
                <w:sz w:val="20"/>
                <w:szCs w:val="20"/>
              </w:rPr>
            </w:pPr>
          </w:p>
        </w:tc>
        <w:tc>
          <w:tcPr>
            <w:tcW w:w="1822" w:type="pct"/>
          </w:tcPr>
          <w:p w14:paraId="5C769A97" w14:textId="77777777" w:rsidR="00491BD9" w:rsidRDefault="00074551" w:rsidP="00367133">
            <w:pPr>
              <w:jc w:val="both"/>
              <w:rPr>
                <w:sz w:val="20"/>
                <w:szCs w:val="20"/>
              </w:rPr>
            </w:pPr>
            <w:r w:rsidRPr="00AF1D4B">
              <w:rPr>
                <w:sz w:val="20"/>
                <w:szCs w:val="20"/>
              </w:rPr>
              <w:t xml:space="preserve">Der </w:t>
            </w:r>
            <w:r>
              <w:rPr>
                <w:sz w:val="20"/>
                <w:szCs w:val="20"/>
              </w:rPr>
              <w:t>U.S. Supreme Court</w:t>
            </w:r>
            <w:r w:rsidRPr="00AF1D4B">
              <w:rPr>
                <w:sz w:val="20"/>
                <w:szCs w:val="20"/>
              </w:rPr>
              <w:t xml:space="preserve"> kann Verfassungsfragen entscheiden, wenn Verfassungsrechte zu einem tatsächlichen, keinem abstrakte</w:t>
            </w:r>
            <w:r>
              <w:rPr>
                <w:sz w:val="20"/>
                <w:szCs w:val="20"/>
              </w:rPr>
              <w:t>n</w:t>
            </w:r>
            <w:r w:rsidRPr="00AF1D4B">
              <w:rPr>
                <w:sz w:val="20"/>
                <w:szCs w:val="20"/>
              </w:rPr>
              <w:t xml:space="preserve"> Sachverhalt kontradiktorische Ergebnisse auswerfen, also im Einzelfall miteinander abgewogen werden müssen.</w:t>
            </w:r>
            <w:r w:rsidRPr="00AF1D4B">
              <w:rPr>
                <w:sz w:val="20"/>
                <w:szCs w:val="20"/>
                <w:vertAlign w:val="superscript"/>
              </w:rPr>
              <w:footnoteReference w:id="1977"/>
            </w:r>
            <w:r w:rsidRPr="00AF1D4B">
              <w:rPr>
                <w:sz w:val="20"/>
                <w:szCs w:val="20"/>
              </w:rPr>
              <w:t xml:space="preserve"> </w:t>
            </w:r>
            <w:proofErr w:type="gramStart"/>
            <w:r w:rsidRPr="00AF1D4B">
              <w:rPr>
                <w:sz w:val="20"/>
                <w:szCs w:val="20"/>
              </w:rPr>
              <w:t>Hier</w:t>
            </w:r>
            <w:proofErr w:type="gramEnd"/>
            <w:r w:rsidRPr="00AF1D4B">
              <w:rPr>
                <w:sz w:val="20"/>
                <w:szCs w:val="20"/>
              </w:rPr>
              <w:t xml:space="preserve"> wäre nach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AF1D4B">
              <w:rPr>
                <w:sz w:val="20"/>
                <w:szCs w:val="20"/>
              </w:rPr>
              <w:t xml:space="preserve"> die bloße Existenz eines Strafgesetzes – </w:t>
            </w:r>
            <w:r>
              <w:rPr>
                <w:sz w:val="20"/>
                <w:szCs w:val="20"/>
              </w:rPr>
              <w:t>welches</w:t>
            </w:r>
            <w:r w:rsidRPr="00AF1D4B">
              <w:rPr>
                <w:sz w:val="20"/>
                <w:szCs w:val="20"/>
              </w:rPr>
              <w:t xml:space="preserve"> die Abgabe von Verhütungsmittel</w:t>
            </w:r>
            <w:r>
              <w:rPr>
                <w:sz w:val="20"/>
                <w:szCs w:val="20"/>
              </w:rPr>
              <w:t>n</w:t>
            </w:r>
            <w:r w:rsidRPr="00AF1D4B">
              <w:rPr>
                <w:sz w:val="20"/>
                <w:szCs w:val="20"/>
              </w:rPr>
              <w:t xml:space="preserve"> unter Strafe stell</w:t>
            </w:r>
            <w:r>
              <w:rPr>
                <w:sz w:val="20"/>
                <w:szCs w:val="20"/>
              </w:rPr>
              <w:t>t</w:t>
            </w:r>
            <w:r w:rsidRPr="00AF1D4B">
              <w:rPr>
                <w:sz w:val="20"/>
                <w:szCs w:val="20"/>
              </w:rPr>
              <w:t>e – kein ausreichender Grund, um dessen Verfassungsmäßigkeit zu überprüfen. Denn die tatsächliche Gefahr einer Vollstreckung habe nicht gedroht.</w:t>
            </w:r>
            <w:r w:rsidRPr="00AF1D4B">
              <w:rPr>
                <w:sz w:val="20"/>
                <w:szCs w:val="20"/>
                <w:vertAlign w:val="superscript"/>
              </w:rPr>
              <w:footnoteReference w:id="1978"/>
            </w:r>
            <w:r w:rsidRPr="00AF1D4B">
              <w:rPr>
                <w:sz w:val="20"/>
                <w:szCs w:val="20"/>
              </w:rPr>
              <w:t xml:space="preserve"> Der Dissens von Richter </w:t>
            </w:r>
            <w:r w:rsidRPr="5B67C1D2">
              <w:rPr>
                <w:i/>
                <w:iCs/>
                <w:sz w:val="20"/>
                <w:szCs w:val="20"/>
              </w:rPr>
              <w:t>Harlan</w:t>
            </w:r>
            <w:r w:rsidRPr="00AF1D4B">
              <w:rPr>
                <w:sz w:val="20"/>
                <w:szCs w:val="20"/>
              </w:rPr>
              <w:t xml:space="preserve"> erklärt aber, dass es auch ein Feststellungsverfahren gebe und geben müsse. </w:t>
            </w:r>
            <w:r w:rsidRPr="00B45592">
              <w:rPr>
                <w:sz w:val="20"/>
                <w:szCs w:val="20"/>
                <w:lang w:val="en-IE"/>
              </w:rPr>
              <w:t xml:space="preserve">Darin </w:t>
            </w:r>
            <w:proofErr w:type="spellStart"/>
            <w:r w:rsidRPr="00B45592">
              <w:rPr>
                <w:sz w:val="20"/>
                <w:szCs w:val="20"/>
                <w:lang w:val="en-IE"/>
              </w:rPr>
              <w:t>könne</w:t>
            </w:r>
            <w:proofErr w:type="spellEnd"/>
            <w:r w:rsidRPr="00B45592">
              <w:rPr>
                <w:sz w:val="20"/>
                <w:szCs w:val="20"/>
                <w:lang w:val="en-IE"/>
              </w:rPr>
              <w:t xml:space="preserve"> der U.S. Supreme Court </w:t>
            </w:r>
            <w:proofErr w:type="spellStart"/>
            <w:r w:rsidRPr="00B45592">
              <w:rPr>
                <w:sz w:val="20"/>
                <w:szCs w:val="20"/>
                <w:lang w:val="en-IE"/>
              </w:rPr>
              <w:t>zu</w:t>
            </w:r>
            <w:proofErr w:type="spellEnd"/>
            <w:r w:rsidRPr="00B45592">
              <w:rPr>
                <w:sz w:val="20"/>
                <w:szCs w:val="20"/>
                <w:lang w:val="en-IE"/>
              </w:rPr>
              <w:t xml:space="preserve"> </w:t>
            </w:r>
            <w:proofErr w:type="spellStart"/>
            <w:r w:rsidRPr="00B45592">
              <w:rPr>
                <w:sz w:val="20"/>
                <w:szCs w:val="20"/>
                <w:lang w:val="en-IE"/>
              </w:rPr>
              <w:t>einem</w:t>
            </w:r>
            <w:proofErr w:type="spellEnd"/>
            <w:r w:rsidRPr="00B45592">
              <w:rPr>
                <w:sz w:val="20"/>
                <w:szCs w:val="20"/>
                <w:lang w:val="en-IE"/>
              </w:rPr>
              <w:t xml:space="preserve"> </w:t>
            </w:r>
            <w:proofErr w:type="spellStart"/>
            <w:r w:rsidRPr="00B45592">
              <w:rPr>
                <w:sz w:val="20"/>
                <w:szCs w:val="20"/>
                <w:lang w:val="en-IE"/>
              </w:rPr>
              <w:t>noch</w:t>
            </w:r>
            <w:proofErr w:type="spellEnd"/>
            <w:r w:rsidRPr="00B45592">
              <w:rPr>
                <w:sz w:val="20"/>
                <w:szCs w:val="20"/>
                <w:lang w:val="en-IE"/>
              </w:rPr>
              <w:t xml:space="preserve"> </w:t>
            </w:r>
            <w:proofErr w:type="spellStart"/>
            <w:r w:rsidRPr="00B45592">
              <w:rPr>
                <w:sz w:val="20"/>
                <w:szCs w:val="20"/>
                <w:lang w:val="en-IE"/>
              </w:rPr>
              <w:t>abstrakten</w:t>
            </w:r>
            <w:proofErr w:type="spellEnd"/>
            <w:r w:rsidRPr="00B45592">
              <w:rPr>
                <w:sz w:val="20"/>
                <w:szCs w:val="20"/>
                <w:lang w:val="en-IE"/>
              </w:rPr>
              <w:t xml:space="preserve"> </w:t>
            </w:r>
            <w:proofErr w:type="spellStart"/>
            <w:r w:rsidRPr="00B45592">
              <w:rPr>
                <w:sz w:val="20"/>
                <w:szCs w:val="20"/>
                <w:lang w:val="en-IE"/>
              </w:rPr>
              <w:t>Sachverhalt</w:t>
            </w:r>
            <w:proofErr w:type="spellEnd"/>
            <w:r w:rsidRPr="00B45592">
              <w:rPr>
                <w:sz w:val="20"/>
                <w:szCs w:val="20"/>
                <w:lang w:val="en-IE"/>
              </w:rPr>
              <w:t xml:space="preserve"> </w:t>
            </w:r>
            <w:proofErr w:type="spellStart"/>
            <w:r w:rsidRPr="00B45592">
              <w:rPr>
                <w:sz w:val="20"/>
                <w:szCs w:val="20"/>
                <w:lang w:val="en-IE"/>
              </w:rPr>
              <w:t>ausnahmsweise</w:t>
            </w:r>
            <w:proofErr w:type="spellEnd"/>
            <w:r w:rsidRPr="00B45592">
              <w:rPr>
                <w:sz w:val="20"/>
                <w:szCs w:val="20"/>
                <w:lang w:val="en-IE"/>
              </w:rPr>
              <w:t xml:space="preserve"> </w:t>
            </w:r>
            <w:proofErr w:type="spellStart"/>
            <w:r w:rsidRPr="00B45592">
              <w:rPr>
                <w:sz w:val="20"/>
                <w:szCs w:val="20"/>
                <w:lang w:val="en-IE"/>
              </w:rPr>
              <w:t>entscheiden</w:t>
            </w:r>
            <w:proofErr w:type="spellEnd"/>
            <w:r w:rsidRPr="00B45592">
              <w:rPr>
                <w:sz w:val="20"/>
                <w:szCs w:val="20"/>
                <w:lang w:val="en-IE"/>
              </w:rPr>
              <w:t xml:space="preserve">, </w:t>
            </w:r>
            <w:proofErr w:type="spellStart"/>
            <w:r w:rsidRPr="00B45592">
              <w:rPr>
                <w:sz w:val="20"/>
                <w:szCs w:val="20"/>
                <w:lang w:val="en-IE"/>
              </w:rPr>
              <w:t>unter</w:t>
            </w:r>
            <w:proofErr w:type="spellEnd"/>
            <w:r w:rsidRPr="00B45592">
              <w:rPr>
                <w:sz w:val="20"/>
                <w:szCs w:val="20"/>
                <w:lang w:val="en-IE"/>
              </w:rPr>
              <w:t xml:space="preserve"> Achtung des </w:t>
            </w:r>
            <w:proofErr w:type="spellStart"/>
            <w:r w:rsidRPr="00B45592">
              <w:rPr>
                <w:sz w:val="20"/>
                <w:szCs w:val="20"/>
                <w:lang w:val="en-IE"/>
              </w:rPr>
              <w:t>pflichtgemäßen</w:t>
            </w:r>
            <w:proofErr w:type="spellEnd"/>
            <w:r w:rsidRPr="00B45592">
              <w:rPr>
                <w:sz w:val="20"/>
                <w:szCs w:val="20"/>
                <w:lang w:val="en-IE"/>
              </w:rPr>
              <w:t xml:space="preserve"> </w:t>
            </w:r>
            <w:proofErr w:type="spellStart"/>
            <w:r w:rsidRPr="00B45592">
              <w:rPr>
                <w:sz w:val="20"/>
                <w:szCs w:val="20"/>
                <w:lang w:val="en-IE"/>
              </w:rPr>
              <w:t>Ermessens</w:t>
            </w:r>
            <w:proofErr w:type="spellEnd"/>
            <w:r w:rsidRPr="00B45592">
              <w:rPr>
                <w:sz w:val="20"/>
                <w:szCs w:val="20"/>
                <w:lang w:val="en-IE"/>
              </w:rPr>
              <w:t xml:space="preserve"> und </w:t>
            </w:r>
            <w:proofErr w:type="spellStart"/>
            <w:r w:rsidRPr="00B45592">
              <w:rPr>
                <w:sz w:val="20"/>
                <w:szCs w:val="20"/>
                <w:lang w:val="en-IE"/>
              </w:rPr>
              <w:t>im</w:t>
            </w:r>
            <w:proofErr w:type="spellEnd"/>
            <w:r w:rsidRPr="00B45592">
              <w:rPr>
                <w:sz w:val="20"/>
                <w:szCs w:val="20"/>
                <w:lang w:val="en-IE"/>
              </w:rPr>
              <w:t xml:space="preserve"> Interesse der </w:t>
            </w:r>
            <w:proofErr w:type="spellStart"/>
            <w:r w:rsidRPr="00B45592">
              <w:rPr>
                <w:sz w:val="20"/>
                <w:szCs w:val="20"/>
                <w:lang w:val="en-IE"/>
              </w:rPr>
              <w:t>Gerechtigkeit</w:t>
            </w:r>
            <w:proofErr w:type="spellEnd"/>
            <w:r w:rsidRPr="00B45592">
              <w:rPr>
                <w:sz w:val="20"/>
                <w:szCs w:val="20"/>
                <w:lang w:val="en-IE"/>
              </w:rPr>
              <w:t xml:space="preserve"> („declaratory judgment procedure may be resorted to only in the sound discretion of the Court and where the interests of justice will be advanced and an adequate and effective judgment may be rendered“</w:t>
            </w:r>
            <w:r w:rsidRPr="00AF1D4B">
              <w:rPr>
                <w:sz w:val="20"/>
                <w:szCs w:val="20"/>
                <w:vertAlign w:val="superscript"/>
              </w:rPr>
              <w:footnoteReference w:id="1979"/>
            </w:r>
            <w:r w:rsidRPr="00B45592">
              <w:rPr>
                <w:sz w:val="20"/>
                <w:szCs w:val="20"/>
                <w:lang w:val="en-IE"/>
              </w:rPr>
              <w:t xml:space="preserve">). </w:t>
            </w:r>
            <w:r w:rsidRPr="00AF1D4B">
              <w:rPr>
                <w:sz w:val="20"/>
                <w:szCs w:val="20"/>
              </w:rPr>
              <w:t xml:space="preserve">Dafür reiche </w:t>
            </w:r>
            <w:r>
              <w:rPr>
                <w:sz w:val="20"/>
                <w:szCs w:val="20"/>
              </w:rPr>
              <w:t xml:space="preserve">es </w:t>
            </w:r>
            <w:r w:rsidRPr="00AF1D4B">
              <w:rPr>
                <w:sz w:val="20"/>
                <w:szCs w:val="20"/>
              </w:rPr>
              <w:t>aus, wenn ungerechtfertigterweise die bloß abstrakte Gefahr bestehe, dass eine verfassungswidrige Strafverfolgung stattfinden könne („</w:t>
            </w:r>
            <w:proofErr w:type="spellStart"/>
            <w:r w:rsidRPr="00AF1D4B">
              <w:rPr>
                <w:sz w:val="20"/>
                <w:szCs w:val="20"/>
              </w:rPr>
              <w:t>unjustifiably</w:t>
            </w:r>
            <w:proofErr w:type="spellEnd"/>
            <w:r w:rsidRPr="00AF1D4B">
              <w:rPr>
                <w:sz w:val="20"/>
                <w:szCs w:val="20"/>
              </w:rPr>
              <w:t xml:space="preserve"> </w:t>
            </w:r>
            <w:proofErr w:type="spellStart"/>
            <w:r w:rsidRPr="00AF1D4B">
              <w:rPr>
                <w:sz w:val="20"/>
                <w:szCs w:val="20"/>
              </w:rPr>
              <w:t>leaves</w:t>
            </w:r>
            <w:proofErr w:type="spellEnd"/>
            <w:r w:rsidRPr="00AF1D4B">
              <w:rPr>
                <w:sz w:val="20"/>
                <w:szCs w:val="20"/>
              </w:rPr>
              <w:t xml:space="preserve"> </w:t>
            </w:r>
            <w:proofErr w:type="spellStart"/>
            <w:r w:rsidRPr="00AF1D4B">
              <w:rPr>
                <w:sz w:val="20"/>
                <w:szCs w:val="20"/>
              </w:rPr>
              <w:t>these</w:t>
            </w:r>
            <w:proofErr w:type="spellEnd"/>
            <w:r w:rsidRPr="00AF1D4B">
              <w:rPr>
                <w:sz w:val="20"/>
                <w:szCs w:val="20"/>
              </w:rPr>
              <w:t xml:space="preserve"> </w:t>
            </w:r>
            <w:proofErr w:type="spellStart"/>
            <w:r w:rsidRPr="00AF1D4B">
              <w:rPr>
                <w:sz w:val="20"/>
                <w:szCs w:val="20"/>
              </w:rPr>
              <w:t>appellants</w:t>
            </w:r>
            <w:proofErr w:type="spellEnd"/>
            <w:r w:rsidRPr="00AF1D4B">
              <w:rPr>
                <w:sz w:val="20"/>
                <w:szCs w:val="20"/>
              </w:rPr>
              <w:t xml:space="preserve"> </w:t>
            </w:r>
            <w:proofErr w:type="spellStart"/>
            <w:r w:rsidRPr="00AF1D4B">
              <w:rPr>
                <w:sz w:val="20"/>
                <w:szCs w:val="20"/>
              </w:rPr>
              <w:t>under</w:t>
            </w:r>
            <w:proofErr w:type="spellEnd"/>
            <w:r w:rsidRPr="00AF1D4B">
              <w:rPr>
                <w:sz w:val="20"/>
                <w:szCs w:val="20"/>
              </w:rPr>
              <w:t xml:space="preserve"> the </w:t>
            </w:r>
            <w:proofErr w:type="spellStart"/>
            <w:r w:rsidRPr="00AF1D4B">
              <w:rPr>
                <w:sz w:val="20"/>
                <w:szCs w:val="20"/>
              </w:rPr>
              <w:t>threat</w:t>
            </w:r>
            <w:proofErr w:type="spellEnd"/>
            <w:r w:rsidRPr="00AF1D4B">
              <w:rPr>
                <w:sz w:val="20"/>
                <w:szCs w:val="20"/>
              </w:rPr>
              <w:t xml:space="preserve"> of </w:t>
            </w:r>
            <w:proofErr w:type="spellStart"/>
            <w:r w:rsidRPr="00AF1D4B">
              <w:rPr>
                <w:sz w:val="20"/>
                <w:szCs w:val="20"/>
              </w:rPr>
              <w:t>unconstitutional</w:t>
            </w:r>
            <w:proofErr w:type="spellEnd"/>
            <w:r w:rsidRPr="00AF1D4B">
              <w:rPr>
                <w:sz w:val="20"/>
                <w:szCs w:val="20"/>
              </w:rPr>
              <w:t xml:space="preserve"> </w:t>
            </w:r>
            <w:proofErr w:type="spellStart"/>
            <w:r w:rsidRPr="00AF1D4B">
              <w:rPr>
                <w:sz w:val="20"/>
                <w:szCs w:val="20"/>
              </w:rPr>
              <w:t>prosecution</w:t>
            </w:r>
            <w:proofErr w:type="spellEnd"/>
            <w:r w:rsidRPr="00AF1D4B">
              <w:rPr>
                <w:sz w:val="20"/>
                <w:szCs w:val="20"/>
              </w:rPr>
              <w:t>“</w:t>
            </w:r>
            <w:r w:rsidRPr="00AF1D4B">
              <w:rPr>
                <w:sz w:val="20"/>
                <w:szCs w:val="20"/>
                <w:vertAlign w:val="superscript"/>
              </w:rPr>
              <w:footnoteReference w:id="1980"/>
            </w:r>
            <w:r w:rsidRPr="00AF1D4B">
              <w:rPr>
                <w:sz w:val="20"/>
                <w:szCs w:val="20"/>
              </w:rPr>
              <w:t>). Eine solche müsse nicht abgewartet werden. Denn je schwerer Verfassungsrechte w</w:t>
            </w:r>
            <w:r>
              <w:rPr>
                <w:sz w:val="20"/>
                <w:szCs w:val="20"/>
              </w:rPr>
              <w:t>ö</w:t>
            </w:r>
            <w:r w:rsidRPr="00AF1D4B">
              <w:rPr>
                <w:sz w:val="20"/>
                <w:szCs w:val="20"/>
              </w:rPr>
              <w:t>gen, die durch staatliche Maßnahme</w:t>
            </w:r>
            <w:r>
              <w:rPr>
                <w:sz w:val="20"/>
                <w:szCs w:val="20"/>
              </w:rPr>
              <w:t>n</w:t>
            </w:r>
            <w:r w:rsidRPr="00AF1D4B">
              <w:rPr>
                <w:sz w:val="20"/>
                <w:szCs w:val="20"/>
              </w:rPr>
              <w:t xml:space="preserve"> wie ein Strafgesetz betroffen </w:t>
            </w:r>
            <w:r>
              <w:rPr>
                <w:sz w:val="20"/>
                <w:szCs w:val="20"/>
              </w:rPr>
              <w:t>seien</w:t>
            </w:r>
            <w:r w:rsidRPr="00AF1D4B">
              <w:rPr>
                <w:sz w:val="20"/>
                <w:szCs w:val="20"/>
              </w:rPr>
              <w:t xml:space="preserve">, desto geringer </w:t>
            </w:r>
            <w:r>
              <w:rPr>
                <w:sz w:val="20"/>
                <w:szCs w:val="20"/>
              </w:rPr>
              <w:t>seien</w:t>
            </w:r>
            <w:r w:rsidRPr="00AF1D4B">
              <w:rPr>
                <w:sz w:val="20"/>
                <w:szCs w:val="20"/>
              </w:rPr>
              <w:t xml:space="preserve"> die Anforderungen an die tatsächliche Gefahr, desto abstrakter </w:t>
            </w:r>
            <w:r>
              <w:rPr>
                <w:sz w:val="20"/>
                <w:szCs w:val="20"/>
              </w:rPr>
              <w:t>dürfe also</w:t>
            </w:r>
            <w:r w:rsidRPr="00AF1D4B">
              <w:rPr>
                <w:sz w:val="20"/>
                <w:szCs w:val="20"/>
              </w:rPr>
              <w:t xml:space="preserve"> ein Sachverhalt sein. </w:t>
            </w:r>
          </w:p>
          <w:p w14:paraId="1A2463D6" w14:textId="77777777" w:rsidR="00491BD9" w:rsidRDefault="00491BD9" w:rsidP="00367133">
            <w:pPr>
              <w:jc w:val="both"/>
              <w:rPr>
                <w:sz w:val="20"/>
                <w:szCs w:val="20"/>
              </w:rPr>
            </w:pPr>
          </w:p>
          <w:p w14:paraId="73B324A8" w14:textId="6612F17C" w:rsidR="008B1D3E" w:rsidRPr="008B1D3E" w:rsidRDefault="00074551" w:rsidP="00367133">
            <w:pPr>
              <w:jc w:val="both"/>
              <w:rPr>
                <w:sz w:val="20"/>
                <w:szCs w:val="20"/>
              </w:rPr>
            </w:pPr>
            <w:r w:rsidRPr="00AF1D4B">
              <w:rPr>
                <w:sz w:val="20"/>
                <w:szCs w:val="20"/>
              </w:rPr>
              <w:t xml:space="preserve">Hier </w:t>
            </w:r>
            <w:r>
              <w:rPr>
                <w:sz w:val="20"/>
                <w:szCs w:val="20"/>
              </w:rPr>
              <w:t>betreffe</w:t>
            </w:r>
            <w:r w:rsidRPr="00AF1D4B">
              <w:rPr>
                <w:sz w:val="20"/>
                <w:szCs w:val="20"/>
              </w:rPr>
              <w:t xml:space="preserve"> das Strafgesetz Verfassungsrechte, die als Bedingungen für Glücksstreben notwendig </w:t>
            </w:r>
            <w:r>
              <w:rPr>
                <w:sz w:val="20"/>
                <w:szCs w:val="20"/>
              </w:rPr>
              <w:t>seien</w:t>
            </w:r>
            <w:r w:rsidRPr="00AF1D4B">
              <w:rPr>
                <w:sz w:val="20"/>
                <w:szCs w:val="20"/>
              </w:rPr>
              <w:t>. Sie präg</w:t>
            </w:r>
            <w:r>
              <w:rPr>
                <w:sz w:val="20"/>
                <w:szCs w:val="20"/>
              </w:rPr>
              <w:t>t</w:t>
            </w:r>
            <w:r w:rsidRPr="00AF1D4B">
              <w:rPr>
                <w:sz w:val="20"/>
                <w:szCs w:val="20"/>
              </w:rPr>
              <w:t xml:space="preserve">en sich aus im Recht, </w:t>
            </w:r>
            <w:r>
              <w:rPr>
                <w:sz w:val="20"/>
                <w:szCs w:val="20"/>
              </w:rPr>
              <w:t>in Ruhe</w:t>
            </w:r>
            <w:r w:rsidRPr="00AF1D4B">
              <w:rPr>
                <w:sz w:val="20"/>
                <w:szCs w:val="20"/>
              </w:rPr>
              <w:t xml:space="preserve"> gelassen zu werden. Und das wieg</w:t>
            </w:r>
            <w:r>
              <w:rPr>
                <w:sz w:val="20"/>
                <w:szCs w:val="20"/>
              </w:rPr>
              <w:t>e</w:t>
            </w:r>
            <w:r w:rsidRPr="00AF1D4B">
              <w:rPr>
                <w:sz w:val="20"/>
                <w:szCs w:val="20"/>
              </w:rPr>
              <w:t xml:space="preserve"> schwer. </w:t>
            </w:r>
            <w:r w:rsidR="00507A8E" w:rsidRPr="00491BD9">
              <w:rPr>
                <w:sz w:val="20"/>
                <w:szCs w:val="20"/>
              </w:rPr>
              <w:t xml:space="preserve">Zur Bestimmung dieses Freiheitsverständnisses greift Richter Harlan ausdrücklich auf den Dissens von Richter </w:t>
            </w:r>
            <w:r w:rsidR="00507A8E" w:rsidRPr="00507A8E">
              <w:rPr>
                <w:i/>
                <w:iCs/>
                <w:sz w:val="20"/>
                <w:szCs w:val="20"/>
              </w:rPr>
              <w:t xml:space="preserve">Brandeis </w:t>
            </w:r>
            <w:r w:rsidR="00507A8E" w:rsidRPr="00491BD9">
              <w:rPr>
                <w:sz w:val="20"/>
                <w:szCs w:val="20"/>
              </w:rPr>
              <w:t>in </w:t>
            </w:r>
            <w:r w:rsidR="00507A8E" w:rsidRPr="00491BD9">
              <w:rPr>
                <w:i/>
                <w:iCs/>
                <w:sz w:val="20"/>
                <w:szCs w:val="20"/>
              </w:rPr>
              <w:t>Olmstead v. United States</w:t>
            </w:r>
            <w:r w:rsidR="00507A8E" w:rsidRPr="00491BD9">
              <w:rPr>
                <w:sz w:val="20"/>
                <w:szCs w:val="20"/>
              </w:rPr>
              <w:t xml:space="preserve"> zurück. </w:t>
            </w:r>
            <w:r w:rsidR="00507A8E">
              <w:rPr>
                <w:sz w:val="20"/>
                <w:szCs w:val="20"/>
              </w:rPr>
              <w:t>E</w:t>
            </w:r>
            <w:r w:rsidRPr="00AF1D4B">
              <w:rPr>
                <w:sz w:val="20"/>
                <w:szCs w:val="20"/>
              </w:rPr>
              <w:t xml:space="preserve">inerseits </w:t>
            </w:r>
            <w:r>
              <w:rPr>
                <w:sz w:val="20"/>
                <w:szCs w:val="20"/>
              </w:rPr>
              <w:t>sei</w:t>
            </w:r>
            <w:r w:rsidRPr="00AF1D4B">
              <w:rPr>
                <w:sz w:val="20"/>
                <w:szCs w:val="20"/>
              </w:rPr>
              <w:t xml:space="preserve"> es das umfassendste aller Bürgerrechte sowie gleichzeitig das schärfste Abwehrrecht der Bürger gegenüber staatlichen Maßnahmen („the </w:t>
            </w:r>
            <w:proofErr w:type="spellStart"/>
            <w:r w:rsidRPr="00AF1D4B">
              <w:rPr>
                <w:sz w:val="20"/>
                <w:szCs w:val="20"/>
              </w:rPr>
              <w:t>most</w:t>
            </w:r>
            <w:proofErr w:type="spellEnd"/>
            <w:r w:rsidRPr="00AF1D4B">
              <w:rPr>
                <w:sz w:val="20"/>
                <w:szCs w:val="20"/>
              </w:rPr>
              <w:t xml:space="preserve"> </w:t>
            </w:r>
            <w:proofErr w:type="spellStart"/>
            <w:r w:rsidRPr="00AF1D4B">
              <w:rPr>
                <w:sz w:val="20"/>
                <w:szCs w:val="20"/>
              </w:rPr>
              <w:t>comprehensive</w:t>
            </w:r>
            <w:proofErr w:type="spellEnd"/>
            <w:r w:rsidRPr="00AF1D4B">
              <w:rPr>
                <w:sz w:val="20"/>
                <w:szCs w:val="20"/>
              </w:rPr>
              <w:t xml:space="preserve"> of </w:t>
            </w:r>
            <w:proofErr w:type="spellStart"/>
            <w:r w:rsidRPr="00AF1D4B">
              <w:rPr>
                <w:sz w:val="20"/>
                <w:szCs w:val="20"/>
              </w:rPr>
              <w:t>rights</w:t>
            </w:r>
            <w:proofErr w:type="spellEnd"/>
            <w:r w:rsidRPr="00AF1D4B">
              <w:rPr>
                <w:sz w:val="20"/>
                <w:szCs w:val="20"/>
              </w:rPr>
              <w:t xml:space="preserve"> and the </w:t>
            </w:r>
            <w:proofErr w:type="spellStart"/>
            <w:r w:rsidRPr="00AF1D4B">
              <w:rPr>
                <w:sz w:val="20"/>
                <w:szCs w:val="20"/>
              </w:rPr>
              <w:t>right</w:t>
            </w:r>
            <w:proofErr w:type="spellEnd"/>
            <w:r w:rsidRPr="00AF1D4B">
              <w:rPr>
                <w:sz w:val="20"/>
                <w:szCs w:val="20"/>
              </w:rPr>
              <w:t xml:space="preserve"> </w:t>
            </w:r>
            <w:proofErr w:type="spellStart"/>
            <w:r w:rsidRPr="00AF1D4B">
              <w:rPr>
                <w:sz w:val="20"/>
                <w:szCs w:val="20"/>
              </w:rPr>
              <w:t>most</w:t>
            </w:r>
            <w:proofErr w:type="spellEnd"/>
            <w:r w:rsidRPr="00AF1D4B">
              <w:rPr>
                <w:sz w:val="20"/>
                <w:szCs w:val="20"/>
              </w:rPr>
              <w:t xml:space="preserve"> </w:t>
            </w:r>
            <w:proofErr w:type="spellStart"/>
            <w:r w:rsidRPr="00AF1D4B">
              <w:rPr>
                <w:sz w:val="20"/>
                <w:szCs w:val="20"/>
              </w:rPr>
              <w:t>valued</w:t>
            </w:r>
            <w:proofErr w:type="spellEnd"/>
            <w:r w:rsidRPr="00AF1D4B">
              <w:rPr>
                <w:sz w:val="20"/>
                <w:szCs w:val="20"/>
              </w:rPr>
              <w:t xml:space="preserve"> by </w:t>
            </w:r>
            <w:proofErr w:type="spellStart"/>
            <w:r w:rsidRPr="00AF1D4B">
              <w:rPr>
                <w:sz w:val="20"/>
                <w:szCs w:val="20"/>
              </w:rPr>
              <w:t>civilized</w:t>
            </w:r>
            <w:proofErr w:type="spellEnd"/>
            <w:r w:rsidRPr="00AF1D4B">
              <w:rPr>
                <w:sz w:val="20"/>
                <w:szCs w:val="20"/>
              </w:rPr>
              <w:t xml:space="preserve"> </w:t>
            </w:r>
            <w:proofErr w:type="spellStart"/>
            <w:r w:rsidRPr="00AF1D4B">
              <w:rPr>
                <w:sz w:val="20"/>
                <w:szCs w:val="20"/>
              </w:rPr>
              <w:t>men</w:t>
            </w:r>
            <w:proofErr w:type="spellEnd"/>
            <w:r w:rsidRPr="00AF1D4B">
              <w:rPr>
                <w:sz w:val="20"/>
                <w:szCs w:val="20"/>
              </w:rPr>
              <w:t>“</w:t>
            </w:r>
            <w:r w:rsidRPr="00AF1D4B">
              <w:rPr>
                <w:sz w:val="20"/>
                <w:szCs w:val="20"/>
                <w:vertAlign w:val="superscript"/>
              </w:rPr>
              <w:footnoteReference w:id="1981"/>
            </w:r>
            <w:r w:rsidRPr="00AF1D4B">
              <w:rPr>
                <w:sz w:val="20"/>
                <w:szCs w:val="20"/>
              </w:rPr>
              <w:t>). Damit bilde es andererseits die Grundlage einer freien Gesellschaft („</w:t>
            </w:r>
            <w:proofErr w:type="spellStart"/>
            <w:r w:rsidRPr="00AF1D4B">
              <w:rPr>
                <w:sz w:val="20"/>
                <w:szCs w:val="20"/>
              </w:rPr>
              <w:t>basic</w:t>
            </w:r>
            <w:proofErr w:type="spellEnd"/>
            <w:r w:rsidRPr="00AF1D4B">
              <w:rPr>
                <w:sz w:val="20"/>
                <w:szCs w:val="20"/>
              </w:rPr>
              <w:t xml:space="preserve"> to a </w:t>
            </w:r>
            <w:proofErr w:type="spellStart"/>
            <w:r w:rsidRPr="00AF1D4B">
              <w:rPr>
                <w:sz w:val="20"/>
                <w:szCs w:val="20"/>
              </w:rPr>
              <w:t>free</w:t>
            </w:r>
            <w:proofErr w:type="spellEnd"/>
            <w:r w:rsidRPr="00AF1D4B">
              <w:rPr>
                <w:sz w:val="20"/>
                <w:szCs w:val="20"/>
              </w:rPr>
              <w:t xml:space="preserve"> </w:t>
            </w:r>
            <w:proofErr w:type="spellStart"/>
            <w:r w:rsidRPr="00AF1D4B">
              <w:rPr>
                <w:sz w:val="20"/>
                <w:szCs w:val="20"/>
              </w:rPr>
              <w:t>society</w:t>
            </w:r>
            <w:proofErr w:type="spellEnd"/>
            <w:r w:rsidRPr="00AF1D4B">
              <w:rPr>
                <w:sz w:val="20"/>
                <w:szCs w:val="20"/>
              </w:rPr>
              <w:t>“</w:t>
            </w:r>
            <w:r w:rsidRPr="00AF1D4B">
              <w:rPr>
                <w:sz w:val="20"/>
                <w:szCs w:val="20"/>
                <w:vertAlign w:val="superscript"/>
              </w:rPr>
              <w:footnoteReference w:id="1982"/>
            </w:r>
            <w:r w:rsidRPr="00AF1D4B">
              <w:rPr>
                <w:sz w:val="20"/>
                <w:szCs w:val="20"/>
              </w:rPr>
              <w:t xml:space="preserve">), nämliche einer Gesellschaft mit Schutz vor staatlicher Willkür. Der </w:t>
            </w:r>
            <w:r>
              <w:rPr>
                <w:sz w:val="20"/>
                <w:szCs w:val="20"/>
              </w:rPr>
              <w:t>U.S. Supreme Court</w:t>
            </w:r>
            <w:r w:rsidRPr="00AF1D4B">
              <w:rPr>
                <w:sz w:val="20"/>
                <w:szCs w:val="20"/>
              </w:rPr>
              <w:t xml:space="preserve"> </w:t>
            </w:r>
            <w:r>
              <w:rPr>
                <w:sz w:val="20"/>
                <w:szCs w:val="20"/>
              </w:rPr>
              <w:t>habe</w:t>
            </w:r>
            <w:r w:rsidRPr="00AF1D4B">
              <w:rPr>
                <w:sz w:val="20"/>
                <w:szCs w:val="20"/>
              </w:rPr>
              <w:t xml:space="preserve"> wegen diese</w:t>
            </w:r>
            <w:r>
              <w:rPr>
                <w:sz w:val="20"/>
                <w:szCs w:val="20"/>
              </w:rPr>
              <w:t>s</w:t>
            </w:r>
            <w:r w:rsidRPr="00AF1D4B">
              <w:rPr>
                <w:sz w:val="20"/>
                <w:szCs w:val="20"/>
              </w:rPr>
              <w:t xml:space="preserve"> Gewicht</w:t>
            </w:r>
            <w:r>
              <w:rPr>
                <w:sz w:val="20"/>
                <w:szCs w:val="20"/>
              </w:rPr>
              <w:t>s</w:t>
            </w:r>
            <w:r w:rsidRPr="00AF1D4B">
              <w:rPr>
                <w:sz w:val="20"/>
                <w:szCs w:val="20"/>
              </w:rPr>
              <w:t xml:space="preserve">, </w:t>
            </w:r>
            <w:r>
              <w:rPr>
                <w:sz w:val="20"/>
                <w:szCs w:val="20"/>
              </w:rPr>
              <w:t>das</w:t>
            </w:r>
            <w:r w:rsidRPr="00AF1D4B">
              <w:rPr>
                <w:sz w:val="20"/>
                <w:szCs w:val="20"/>
              </w:rPr>
              <w:t xml:space="preserve"> sich aus dem Charakter als einer Bedingung für Glücksstreben ergebe, nicht auf die fehlende Durchsetzung des Strafgesetzes verweisen können. Vielmehr hätte der </w:t>
            </w:r>
            <w:r>
              <w:rPr>
                <w:sz w:val="20"/>
                <w:szCs w:val="20"/>
              </w:rPr>
              <w:t>U.S. Supreme Court</w:t>
            </w:r>
            <w:r w:rsidRPr="00AF1D4B">
              <w:rPr>
                <w:sz w:val="20"/>
                <w:szCs w:val="20"/>
              </w:rPr>
              <w:t xml:space="preserve"> das Strafgesetz in der Sache für verfassungswidrig erklären können und hier müssen. </w:t>
            </w:r>
            <w:r w:rsidR="008B1D3E" w:rsidRPr="008B1D3E">
              <w:rPr>
                <w:sz w:val="20"/>
                <w:szCs w:val="20"/>
              </w:rPr>
              <w:t>Denn der Schutz des </w:t>
            </w:r>
            <w:r w:rsidR="008B1D3E" w:rsidRPr="008B1D3E">
              <w:rPr>
                <w:i/>
                <w:iCs/>
                <w:sz w:val="20"/>
                <w:szCs w:val="20"/>
              </w:rPr>
              <w:t xml:space="preserve">Due </w:t>
            </w:r>
            <w:proofErr w:type="spellStart"/>
            <w:r w:rsidR="008B1D3E" w:rsidRPr="008B1D3E">
              <w:rPr>
                <w:i/>
                <w:iCs/>
                <w:sz w:val="20"/>
                <w:szCs w:val="20"/>
              </w:rPr>
              <w:t>Process</w:t>
            </w:r>
            <w:proofErr w:type="spellEnd"/>
            <w:r w:rsidR="008B1D3E" w:rsidRPr="008B1D3E">
              <w:rPr>
                <w:sz w:val="20"/>
                <w:szCs w:val="20"/>
              </w:rPr>
              <w:t xml:space="preserve"> erschöpfe sich nicht in Verfahrensgarantien, sondern schütze auch materiell vor staatlichen Eingriffen in die </w:t>
            </w:r>
            <w:r w:rsidR="008B1D3E" w:rsidRPr="008B1D3E">
              <w:rPr>
                <w:sz w:val="20"/>
                <w:szCs w:val="20"/>
              </w:rPr>
              <w:lastRenderedPageBreak/>
              <w:t>Freiheit. Harlan entwickelt diesen Zusammenhang in zwei aufeinanderfolgenden Schritten: Zunächst erklärt er, ein Schutz gegen diesen Eingriff in die Privatsphäre entfiele nur, wenn </w:t>
            </w:r>
            <w:r w:rsidR="008B1D3E" w:rsidRPr="008B1D3E">
              <w:rPr>
                <w:i/>
                <w:iCs/>
                <w:sz w:val="20"/>
                <w:szCs w:val="20"/>
              </w:rPr>
              <w:t xml:space="preserve">due </w:t>
            </w:r>
            <w:proofErr w:type="spellStart"/>
            <w:r w:rsidR="008B1D3E" w:rsidRPr="008B1D3E">
              <w:rPr>
                <w:i/>
                <w:iCs/>
                <w:sz w:val="20"/>
                <w:szCs w:val="20"/>
              </w:rPr>
              <w:t>process</w:t>
            </w:r>
            <w:proofErr w:type="spellEnd"/>
            <w:r w:rsidR="008B1D3E">
              <w:rPr>
                <w:i/>
                <w:iCs/>
                <w:sz w:val="20"/>
                <w:szCs w:val="20"/>
              </w:rPr>
              <w:t xml:space="preserve"> </w:t>
            </w:r>
            <w:r w:rsidR="008B1D3E" w:rsidRPr="008B1D3E">
              <w:rPr>
                <w:sz w:val="20"/>
                <w:szCs w:val="20"/>
              </w:rPr>
              <w:t>auf die ausdrücklich in der Verfassung genannten Gewährleistungen beschränkt würde; anschließend greift er zur Bestimmung des weitergehenden Freiheitsbegriffs ausdrücklich auf Brandeis’ </w:t>
            </w:r>
            <w:r w:rsidR="008B1D3E" w:rsidRPr="008B1D3E">
              <w:rPr>
                <w:i/>
                <w:iCs/>
                <w:sz w:val="20"/>
                <w:szCs w:val="20"/>
              </w:rPr>
              <w:t>Olmstead</w:t>
            </w:r>
            <w:r w:rsidR="008B1D3E" w:rsidRPr="008B1D3E">
              <w:rPr>
                <w:sz w:val="20"/>
                <w:szCs w:val="20"/>
              </w:rPr>
              <w:t>-Dissens und dessen Verbindung von Freiheit und Glücksstreben zurück</w:t>
            </w:r>
            <w:r w:rsidR="008B1D3E">
              <w:rPr>
                <w:sz w:val="20"/>
                <w:szCs w:val="20"/>
              </w:rPr>
              <w:t xml:space="preserve"> </w:t>
            </w:r>
            <w:r w:rsidR="008B1D3E" w:rsidRPr="00AF1D4B">
              <w:rPr>
                <w:sz w:val="20"/>
                <w:szCs w:val="20"/>
              </w:rPr>
              <w:t>(„</w:t>
            </w:r>
            <w:proofErr w:type="spellStart"/>
            <w:r w:rsidR="008B1D3E" w:rsidRPr="00AF1D4B">
              <w:rPr>
                <w:sz w:val="20"/>
                <w:szCs w:val="20"/>
              </w:rPr>
              <w:t>deprivation</w:t>
            </w:r>
            <w:proofErr w:type="spellEnd"/>
            <w:r w:rsidR="008B1D3E" w:rsidRPr="00AF1D4B">
              <w:rPr>
                <w:sz w:val="20"/>
                <w:szCs w:val="20"/>
              </w:rPr>
              <w:t xml:space="preserve"> of </w:t>
            </w:r>
            <w:proofErr w:type="spellStart"/>
            <w:r w:rsidR="008B1D3E" w:rsidRPr="00AF1D4B">
              <w:rPr>
                <w:sz w:val="20"/>
                <w:szCs w:val="20"/>
              </w:rPr>
              <w:t>privacy</w:t>
            </w:r>
            <w:proofErr w:type="spellEnd"/>
            <w:r w:rsidR="008B1D3E" w:rsidRPr="00AF1D4B">
              <w:rPr>
                <w:sz w:val="20"/>
                <w:szCs w:val="20"/>
              </w:rPr>
              <w:t xml:space="preserve">, </w:t>
            </w:r>
            <w:proofErr w:type="spellStart"/>
            <w:r w:rsidR="008B1D3E" w:rsidRPr="00AF1D4B">
              <w:rPr>
                <w:sz w:val="20"/>
                <w:szCs w:val="20"/>
              </w:rPr>
              <w:t>only</w:t>
            </w:r>
            <w:proofErr w:type="spellEnd"/>
            <w:r w:rsidR="008B1D3E" w:rsidRPr="00AF1D4B">
              <w:rPr>
                <w:sz w:val="20"/>
                <w:szCs w:val="20"/>
              </w:rPr>
              <w:t xml:space="preserve"> </w:t>
            </w:r>
            <w:proofErr w:type="spellStart"/>
            <w:r w:rsidR="008B1D3E" w:rsidRPr="00AF1D4B">
              <w:rPr>
                <w:sz w:val="20"/>
                <w:szCs w:val="20"/>
              </w:rPr>
              <w:t>if</w:t>
            </w:r>
            <w:proofErr w:type="spellEnd"/>
            <w:r w:rsidR="008B1D3E" w:rsidRPr="00AF1D4B">
              <w:rPr>
                <w:sz w:val="20"/>
                <w:szCs w:val="20"/>
              </w:rPr>
              <w:t xml:space="preserve"> due </w:t>
            </w:r>
            <w:proofErr w:type="spellStart"/>
            <w:r w:rsidR="008B1D3E" w:rsidRPr="00AF1D4B">
              <w:rPr>
                <w:sz w:val="20"/>
                <w:szCs w:val="20"/>
              </w:rPr>
              <w:t>process</w:t>
            </w:r>
            <w:proofErr w:type="spellEnd"/>
            <w:r w:rsidR="008B1D3E" w:rsidRPr="00AF1D4B">
              <w:rPr>
                <w:sz w:val="20"/>
                <w:szCs w:val="20"/>
              </w:rPr>
              <w:t xml:space="preserve"> […] </w:t>
            </w:r>
            <w:proofErr w:type="spellStart"/>
            <w:r w:rsidR="008B1D3E" w:rsidRPr="00AF1D4B">
              <w:rPr>
                <w:sz w:val="20"/>
                <w:szCs w:val="20"/>
              </w:rPr>
              <w:t>perhaps</w:t>
            </w:r>
            <w:proofErr w:type="spellEnd"/>
            <w:r w:rsidR="008B1D3E" w:rsidRPr="00AF1D4B">
              <w:rPr>
                <w:sz w:val="20"/>
                <w:szCs w:val="20"/>
              </w:rPr>
              <w:t xml:space="preserve"> the </w:t>
            </w:r>
            <w:proofErr w:type="spellStart"/>
            <w:r w:rsidR="008B1D3E" w:rsidRPr="00AF1D4B">
              <w:rPr>
                <w:sz w:val="20"/>
                <w:szCs w:val="20"/>
              </w:rPr>
              <w:t>most</w:t>
            </w:r>
            <w:proofErr w:type="spellEnd"/>
            <w:r w:rsidR="008B1D3E" w:rsidRPr="00AF1D4B">
              <w:rPr>
                <w:sz w:val="20"/>
                <w:szCs w:val="20"/>
              </w:rPr>
              <w:t xml:space="preserve"> </w:t>
            </w:r>
            <w:proofErr w:type="spellStart"/>
            <w:r w:rsidR="008B1D3E" w:rsidRPr="00AF1D4B">
              <w:rPr>
                <w:sz w:val="20"/>
                <w:szCs w:val="20"/>
              </w:rPr>
              <w:t>comprehensive</w:t>
            </w:r>
            <w:proofErr w:type="spellEnd"/>
            <w:r w:rsidR="008B1D3E" w:rsidRPr="00AF1D4B">
              <w:rPr>
                <w:sz w:val="20"/>
                <w:szCs w:val="20"/>
              </w:rPr>
              <w:t xml:space="preserve"> </w:t>
            </w:r>
            <w:proofErr w:type="spellStart"/>
            <w:r w:rsidR="008B1D3E" w:rsidRPr="00AF1D4B">
              <w:rPr>
                <w:sz w:val="20"/>
                <w:szCs w:val="20"/>
              </w:rPr>
              <w:t>statement</w:t>
            </w:r>
            <w:proofErr w:type="spellEnd"/>
            <w:r w:rsidR="008B1D3E" w:rsidRPr="00AF1D4B">
              <w:rPr>
                <w:sz w:val="20"/>
                <w:szCs w:val="20"/>
              </w:rPr>
              <w:t xml:space="preserve"> of the </w:t>
            </w:r>
            <w:proofErr w:type="spellStart"/>
            <w:r w:rsidR="008B1D3E" w:rsidRPr="00AF1D4B">
              <w:rPr>
                <w:sz w:val="20"/>
                <w:szCs w:val="20"/>
              </w:rPr>
              <w:t>principle</w:t>
            </w:r>
            <w:proofErr w:type="spellEnd"/>
            <w:r w:rsidR="008B1D3E" w:rsidRPr="00AF1D4B">
              <w:rPr>
                <w:sz w:val="20"/>
                <w:szCs w:val="20"/>
              </w:rPr>
              <w:t xml:space="preserve"> of </w:t>
            </w:r>
            <w:proofErr w:type="spellStart"/>
            <w:r w:rsidR="008B1D3E" w:rsidRPr="00AF1D4B">
              <w:rPr>
                <w:sz w:val="20"/>
                <w:szCs w:val="20"/>
              </w:rPr>
              <w:t>liberty</w:t>
            </w:r>
            <w:proofErr w:type="spellEnd"/>
            <w:r w:rsidR="008B1D3E" w:rsidRPr="00AF1D4B">
              <w:rPr>
                <w:sz w:val="20"/>
                <w:szCs w:val="20"/>
              </w:rPr>
              <w:t xml:space="preserve"> […] [as] </w:t>
            </w:r>
            <w:proofErr w:type="spellStart"/>
            <w:r w:rsidR="008B1D3E" w:rsidRPr="00AF1D4B">
              <w:rPr>
                <w:sz w:val="20"/>
                <w:szCs w:val="20"/>
              </w:rPr>
              <w:t>conditions</w:t>
            </w:r>
            <w:proofErr w:type="spellEnd"/>
            <w:r w:rsidR="008B1D3E" w:rsidRPr="00AF1D4B">
              <w:rPr>
                <w:sz w:val="20"/>
                <w:szCs w:val="20"/>
              </w:rPr>
              <w:t xml:space="preserve"> favorable to the </w:t>
            </w:r>
            <w:proofErr w:type="spellStart"/>
            <w:r w:rsidR="008B1D3E" w:rsidRPr="00AF1D4B">
              <w:rPr>
                <w:sz w:val="20"/>
                <w:szCs w:val="20"/>
              </w:rPr>
              <w:t>pursuit</w:t>
            </w:r>
            <w:proofErr w:type="spellEnd"/>
            <w:r w:rsidR="008B1D3E" w:rsidRPr="00AF1D4B">
              <w:rPr>
                <w:sz w:val="20"/>
                <w:szCs w:val="20"/>
              </w:rPr>
              <w:t xml:space="preserve"> of </w:t>
            </w:r>
            <w:proofErr w:type="spellStart"/>
            <w:r w:rsidR="008B1D3E" w:rsidRPr="00AF1D4B">
              <w:rPr>
                <w:sz w:val="20"/>
                <w:szCs w:val="20"/>
              </w:rPr>
              <w:t>happiness</w:t>
            </w:r>
            <w:proofErr w:type="spellEnd"/>
            <w:r w:rsidR="008B1D3E" w:rsidRPr="00AF1D4B">
              <w:rPr>
                <w:sz w:val="20"/>
                <w:szCs w:val="20"/>
              </w:rPr>
              <w:t>“</w:t>
            </w:r>
            <w:r w:rsidR="008B1D3E" w:rsidRPr="00AF1D4B">
              <w:rPr>
                <w:sz w:val="20"/>
                <w:szCs w:val="20"/>
                <w:vertAlign w:val="superscript"/>
                <w:lang w:val="en-US"/>
              </w:rPr>
              <w:footnoteReference w:id="1983"/>
            </w:r>
            <w:r w:rsidR="008B1D3E" w:rsidRPr="00AF1D4B">
              <w:rPr>
                <w:sz w:val="20"/>
                <w:szCs w:val="20"/>
              </w:rPr>
              <w:t>)</w:t>
            </w:r>
            <w:r w:rsidR="008B1D3E">
              <w:rPr>
                <w:sz w:val="20"/>
                <w:szCs w:val="20"/>
              </w:rPr>
              <w:t>.</w:t>
            </w:r>
          </w:p>
        </w:tc>
      </w:tr>
      <w:tr w:rsidR="00074551" w:rsidRPr="00E50B51" w14:paraId="64F1CB0B" w14:textId="77777777" w:rsidTr="00203768">
        <w:trPr>
          <w:cantSplit/>
          <w:trHeight w:val="3175"/>
        </w:trPr>
        <w:tc>
          <w:tcPr>
            <w:tcW w:w="293" w:type="pct"/>
            <w:shd w:val="clear" w:color="auto" w:fill="E7E6E6" w:themeFill="background2"/>
          </w:tcPr>
          <w:p w14:paraId="15FA8246" w14:textId="77777777" w:rsidR="00074551" w:rsidRPr="00E50B51" w:rsidRDefault="00074551" w:rsidP="00367133">
            <w:pPr>
              <w:ind w:right="416"/>
              <w:jc w:val="center"/>
              <w:rPr>
                <w:i/>
                <w:iCs/>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46647339" w14:textId="77777777" w:rsidR="00074551" w:rsidRPr="00E50B51" w:rsidRDefault="00074551" w:rsidP="00367133">
            <w:pPr>
              <w:ind w:left="113" w:right="416"/>
              <w:jc w:val="both"/>
              <w:rPr>
                <w:sz w:val="20"/>
                <w:szCs w:val="20"/>
              </w:rPr>
            </w:pPr>
            <w:r w:rsidRPr="00E50B51">
              <w:rPr>
                <w:sz w:val="20"/>
                <w:szCs w:val="20"/>
              </w:rPr>
              <w:t>Rechtsstaatliche Seite</w:t>
            </w:r>
          </w:p>
        </w:tc>
        <w:tc>
          <w:tcPr>
            <w:tcW w:w="197" w:type="pct"/>
            <w:shd w:val="clear" w:color="auto" w:fill="E7E6E6" w:themeFill="background2"/>
            <w:textDirection w:val="tbRl"/>
            <w:vAlign w:val="center"/>
          </w:tcPr>
          <w:p w14:paraId="16A5299A" w14:textId="77777777" w:rsidR="00074551" w:rsidRPr="00E50B51" w:rsidRDefault="00074551" w:rsidP="00367133">
            <w:pPr>
              <w:ind w:left="113" w:right="113"/>
              <w:jc w:val="both"/>
              <w:rPr>
                <w:iCs/>
                <w:sz w:val="20"/>
                <w:szCs w:val="20"/>
                <w:lang w:val="en-US"/>
              </w:rPr>
            </w:pPr>
            <w:r w:rsidRPr="00E50B51">
              <w:rPr>
                <w:iCs/>
                <w:sz w:val="20"/>
                <w:szCs w:val="20"/>
                <w:lang w:val="en-US"/>
              </w:rPr>
              <w:t>Case or Controversy Clause</w:t>
            </w:r>
          </w:p>
          <w:p w14:paraId="5939AEE4"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14F758A4" w14:textId="77777777" w:rsidR="00074551" w:rsidRPr="00B45592" w:rsidRDefault="00074551" w:rsidP="00367133">
            <w:pPr>
              <w:ind w:left="113" w:right="416"/>
              <w:jc w:val="both"/>
              <w:rPr>
                <w:sz w:val="20"/>
                <w:szCs w:val="20"/>
                <w:lang w:val="en-US"/>
              </w:rPr>
            </w:pPr>
            <w:proofErr w:type="spellStart"/>
            <w:r w:rsidRPr="00B45592">
              <w:rPr>
                <w:sz w:val="20"/>
                <w:szCs w:val="20"/>
                <w:lang w:val="en-US"/>
              </w:rPr>
              <w:t>Mootnees</w:t>
            </w:r>
            <w:proofErr w:type="spellEnd"/>
          </w:p>
          <w:p w14:paraId="7010500F" w14:textId="77777777" w:rsidR="00074551" w:rsidRPr="006A597A" w:rsidRDefault="00074551" w:rsidP="00367133">
            <w:pPr>
              <w:ind w:left="113" w:right="416"/>
              <w:jc w:val="both"/>
              <w:rPr>
                <w:sz w:val="20"/>
                <w:szCs w:val="20"/>
              </w:rPr>
            </w:pPr>
          </w:p>
        </w:tc>
        <w:tc>
          <w:tcPr>
            <w:tcW w:w="401" w:type="pct"/>
            <w:shd w:val="clear" w:color="auto" w:fill="E7E6E6" w:themeFill="background2"/>
            <w:textDirection w:val="tbRl"/>
          </w:tcPr>
          <w:p w14:paraId="3CDC5067" w14:textId="77777777" w:rsidR="00074551" w:rsidRDefault="00074551" w:rsidP="00367133">
            <w:pPr>
              <w:ind w:left="113" w:right="113"/>
              <w:rPr>
                <w:sz w:val="20"/>
                <w:szCs w:val="20"/>
              </w:rPr>
            </w:pPr>
          </w:p>
          <w:p w14:paraId="6B054A1F" w14:textId="77777777" w:rsidR="00074551" w:rsidRPr="00B45592" w:rsidRDefault="00074551" w:rsidP="00367133">
            <w:pPr>
              <w:ind w:left="113" w:right="113"/>
              <w:rPr>
                <w:sz w:val="20"/>
                <w:szCs w:val="20"/>
              </w:rPr>
            </w:pPr>
            <w:proofErr w:type="spellStart"/>
            <w:r w:rsidRPr="00B45592">
              <w:rPr>
                <w:sz w:val="20"/>
                <w:szCs w:val="20"/>
              </w:rPr>
              <w:t>Congressional</w:t>
            </w:r>
            <w:proofErr w:type="spellEnd"/>
            <w:r w:rsidRPr="00B45592">
              <w:rPr>
                <w:sz w:val="20"/>
                <w:szCs w:val="20"/>
              </w:rPr>
              <w:t xml:space="preserve"> </w:t>
            </w:r>
            <w:proofErr w:type="spellStart"/>
            <w:r w:rsidRPr="00B45592">
              <w:rPr>
                <w:sz w:val="20"/>
                <w:szCs w:val="20"/>
              </w:rPr>
              <w:t>Duties</w:t>
            </w:r>
            <w:proofErr w:type="spellEnd"/>
            <w:r w:rsidRPr="00B45592">
              <w:rPr>
                <w:sz w:val="20"/>
                <w:szCs w:val="20"/>
              </w:rPr>
              <w:t xml:space="preserve"> &amp; Powers</w:t>
            </w:r>
          </w:p>
          <w:p w14:paraId="44F964C6" w14:textId="77777777" w:rsidR="00074551" w:rsidRPr="006A597A" w:rsidRDefault="00074551" w:rsidP="00367133">
            <w:pPr>
              <w:ind w:left="113" w:right="113"/>
              <w:jc w:val="center"/>
              <w:rPr>
                <w:sz w:val="20"/>
                <w:szCs w:val="20"/>
              </w:rPr>
            </w:pPr>
          </w:p>
        </w:tc>
        <w:tc>
          <w:tcPr>
            <w:tcW w:w="1594" w:type="pct"/>
            <w:shd w:val="clear" w:color="auto" w:fill="E7E6E6" w:themeFill="background2"/>
            <w:vAlign w:val="center"/>
          </w:tcPr>
          <w:p w14:paraId="2E9BCDC8" w14:textId="77777777" w:rsidR="00074551" w:rsidRPr="00E50B51" w:rsidRDefault="00074551" w:rsidP="00367133">
            <w:pPr>
              <w:ind w:left="113" w:right="113"/>
              <w:jc w:val="both"/>
              <w:rPr>
                <w:sz w:val="20"/>
                <w:szCs w:val="20"/>
              </w:rPr>
            </w:pPr>
          </w:p>
        </w:tc>
        <w:tc>
          <w:tcPr>
            <w:tcW w:w="1822" w:type="pct"/>
            <w:shd w:val="clear" w:color="auto" w:fill="E7E6E6" w:themeFill="background2"/>
          </w:tcPr>
          <w:p w14:paraId="2A3240EF" w14:textId="13F8A613"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4F6665" w14:paraId="6E0DC90F" w14:textId="77777777" w:rsidTr="00BE689F">
        <w:trPr>
          <w:cantSplit/>
          <w:trHeight w:val="3175"/>
        </w:trPr>
        <w:tc>
          <w:tcPr>
            <w:tcW w:w="293" w:type="pct"/>
          </w:tcPr>
          <w:p w14:paraId="2B074402"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0C8C07D" w14:textId="77777777" w:rsidR="00074551" w:rsidRPr="00E50B51" w:rsidRDefault="00074551" w:rsidP="00367133">
            <w:pPr>
              <w:ind w:left="113" w:right="113"/>
              <w:jc w:val="both"/>
              <w:rPr>
                <w:sz w:val="20"/>
                <w:szCs w:val="20"/>
              </w:rPr>
            </w:pPr>
            <w:r w:rsidRPr="00584023">
              <w:rPr>
                <w:i/>
                <w:sz w:val="20"/>
                <w:szCs w:val="20"/>
              </w:rPr>
              <w:t>Sosna v. Iowa</w:t>
            </w:r>
          </w:p>
        </w:tc>
        <w:tc>
          <w:tcPr>
            <w:tcW w:w="197" w:type="pct"/>
            <w:textDirection w:val="tbRl"/>
            <w:vAlign w:val="center"/>
          </w:tcPr>
          <w:p w14:paraId="408D6B5A" w14:textId="77777777" w:rsidR="00074551" w:rsidRPr="00E50B51" w:rsidRDefault="00074551" w:rsidP="00367133">
            <w:pPr>
              <w:ind w:left="113" w:right="113"/>
              <w:jc w:val="both"/>
              <w:rPr>
                <w:iCs/>
                <w:sz w:val="20"/>
                <w:szCs w:val="20"/>
              </w:rPr>
            </w:pPr>
            <w:r w:rsidRPr="00E50B51">
              <w:rPr>
                <w:sz w:val="20"/>
                <w:szCs w:val="20"/>
                <w:lang w:val="en-US"/>
              </w:rPr>
              <w:t>419 U.S. 393</w:t>
            </w:r>
          </w:p>
        </w:tc>
        <w:tc>
          <w:tcPr>
            <w:tcW w:w="306" w:type="pct"/>
            <w:textDirection w:val="tbRl"/>
            <w:vAlign w:val="center"/>
          </w:tcPr>
          <w:p w14:paraId="0C5C43C6" w14:textId="77777777" w:rsidR="00074551" w:rsidRPr="00E50B51" w:rsidRDefault="00074551" w:rsidP="00367133">
            <w:pPr>
              <w:ind w:left="113" w:right="113"/>
              <w:jc w:val="both"/>
              <w:rPr>
                <w:sz w:val="20"/>
                <w:szCs w:val="20"/>
              </w:rPr>
            </w:pPr>
            <w:r w:rsidRPr="00E50B51">
              <w:rPr>
                <w:sz w:val="20"/>
                <w:szCs w:val="20"/>
              </w:rPr>
              <w:t>14. Januar 1975</w:t>
            </w:r>
          </w:p>
        </w:tc>
        <w:tc>
          <w:tcPr>
            <w:tcW w:w="401" w:type="pct"/>
          </w:tcPr>
          <w:p w14:paraId="4AA0C1DE" w14:textId="77777777" w:rsidR="00074551" w:rsidRPr="00E50B51" w:rsidRDefault="00074551" w:rsidP="00367133">
            <w:pPr>
              <w:jc w:val="center"/>
              <w:rPr>
                <w:sz w:val="20"/>
                <w:szCs w:val="20"/>
              </w:rPr>
            </w:pPr>
            <w:r w:rsidRPr="00E50B51">
              <w:rPr>
                <w:iCs/>
                <w:sz w:val="20"/>
                <w:szCs w:val="20"/>
              </w:rPr>
              <w:t>D</w:t>
            </w:r>
          </w:p>
        </w:tc>
        <w:tc>
          <w:tcPr>
            <w:tcW w:w="1594" w:type="pct"/>
          </w:tcPr>
          <w:p w14:paraId="143A51AB" w14:textId="77777777" w:rsidR="00074551" w:rsidRPr="00E50B51" w:rsidRDefault="00074551" w:rsidP="00367133">
            <w:pPr>
              <w:jc w:val="both"/>
              <w:rPr>
                <w:sz w:val="20"/>
                <w:szCs w:val="20"/>
              </w:rPr>
            </w:pPr>
            <w:r w:rsidRPr="00E50B51">
              <w:rPr>
                <w:sz w:val="20"/>
                <w:szCs w:val="20"/>
              </w:rPr>
              <w:t>*</w:t>
            </w:r>
          </w:p>
        </w:tc>
        <w:tc>
          <w:tcPr>
            <w:tcW w:w="1822" w:type="pct"/>
          </w:tcPr>
          <w:p w14:paraId="1C5BD5CE" w14:textId="4609114E" w:rsidR="00074551" w:rsidRPr="00BB3AB2" w:rsidRDefault="00074551" w:rsidP="00367133">
            <w:pPr>
              <w:jc w:val="both"/>
              <w:rPr>
                <w:sz w:val="20"/>
                <w:szCs w:val="20"/>
                <w:lang w:val="en-US"/>
              </w:rPr>
            </w:pPr>
            <w:r w:rsidRPr="00BB3AB2">
              <w:rPr>
                <w:sz w:val="20"/>
                <w:szCs w:val="20"/>
              </w:rPr>
              <w:t xml:space="preserve">Grundsätzlich muss einem Begehren ein tatsächlicher Fall oder Streit zugrunde liegen nach </w:t>
            </w:r>
            <w:r w:rsidR="00023A37">
              <w:rPr>
                <w:sz w:val="20"/>
                <w:szCs w:val="20"/>
              </w:rPr>
              <w:t xml:space="preserve">U.S. </w:t>
            </w:r>
            <w:proofErr w:type="spellStart"/>
            <w:r w:rsidR="00023A37">
              <w:rPr>
                <w:sz w:val="20"/>
                <w:szCs w:val="20"/>
              </w:rPr>
              <w:t>Const</w:t>
            </w:r>
            <w:proofErr w:type="spellEnd"/>
            <w:r w:rsidR="00023A37">
              <w:rPr>
                <w:sz w:val="20"/>
                <w:szCs w:val="20"/>
              </w:rPr>
              <w:t>. art. III.</w:t>
            </w:r>
            <w:r w:rsidRPr="00BB3AB2">
              <w:rPr>
                <w:sz w:val="20"/>
                <w:szCs w:val="20"/>
              </w:rPr>
              <w:t xml:space="preserve"> Wenn aber der </w:t>
            </w:r>
            <w:r>
              <w:rPr>
                <w:sz w:val="20"/>
                <w:szCs w:val="20"/>
              </w:rPr>
              <w:t>Antragsteller</w:t>
            </w:r>
            <w:r w:rsidRPr="00BB3AB2">
              <w:rPr>
                <w:sz w:val="20"/>
                <w:szCs w:val="20"/>
              </w:rPr>
              <w:t xml:space="preserve"> eine temporale Voraussetzung eines Gesetzes („</w:t>
            </w:r>
            <w:proofErr w:type="spellStart"/>
            <w:r w:rsidRPr="00BB3AB2">
              <w:rPr>
                <w:sz w:val="20"/>
                <w:szCs w:val="20"/>
              </w:rPr>
              <w:t>durational</w:t>
            </w:r>
            <w:proofErr w:type="spellEnd"/>
            <w:r w:rsidRPr="00BB3AB2">
              <w:rPr>
                <w:sz w:val="20"/>
                <w:szCs w:val="20"/>
              </w:rPr>
              <w:t xml:space="preserve"> </w:t>
            </w:r>
            <w:proofErr w:type="spellStart"/>
            <w:r w:rsidRPr="00BB3AB2">
              <w:rPr>
                <w:sz w:val="20"/>
                <w:szCs w:val="20"/>
              </w:rPr>
              <w:t>residency</w:t>
            </w:r>
            <w:proofErr w:type="spellEnd"/>
            <w:r w:rsidRPr="00BB3AB2">
              <w:rPr>
                <w:sz w:val="20"/>
                <w:szCs w:val="20"/>
              </w:rPr>
              <w:t xml:space="preserve"> </w:t>
            </w:r>
            <w:proofErr w:type="spellStart"/>
            <w:r w:rsidRPr="00BB3AB2">
              <w:rPr>
                <w:sz w:val="20"/>
                <w:szCs w:val="20"/>
              </w:rPr>
              <w:t>requirement</w:t>
            </w:r>
            <w:proofErr w:type="spellEnd"/>
            <w:r w:rsidRPr="00BB3AB2">
              <w:rPr>
                <w:sz w:val="20"/>
                <w:szCs w:val="20"/>
              </w:rPr>
              <w:t>“</w:t>
            </w:r>
            <w:r w:rsidRPr="00BB3AB2">
              <w:rPr>
                <w:sz w:val="20"/>
                <w:szCs w:val="20"/>
                <w:vertAlign w:val="superscript"/>
              </w:rPr>
              <w:footnoteReference w:id="1984"/>
            </w:r>
            <w:r w:rsidRPr="00BB3AB2">
              <w:rPr>
                <w:sz w:val="20"/>
                <w:szCs w:val="20"/>
              </w:rPr>
              <w:t>) angreift, wie das Erfordernis eines einjährigen Wohnsitzes</w:t>
            </w:r>
            <w:r>
              <w:rPr>
                <w:sz w:val="20"/>
                <w:szCs w:val="20"/>
              </w:rPr>
              <w:t>,</w:t>
            </w:r>
            <w:r w:rsidRPr="00BB3AB2">
              <w:rPr>
                <w:sz w:val="20"/>
                <w:szCs w:val="20"/>
              </w:rPr>
              <w:t xml:space="preserve"> um die Scheidungsgerichtsbarkeit in Anspruch nehmen zu können, dann </w:t>
            </w:r>
            <w:r>
              <w:rPr>
                <w:sz w:val="20"/>
                <w:szCs w:val="20"/>
              </w:rPr>
              <w:t>wird</w:t>
            </w:r>
            <w:r w:rsidRPr="00BB3AB2">
              <w:rPr>
                <w:sz w:val="20"/>
                <w:szCs w:val="20"/>
              </w:rPr>
              <w:t xml:space="preserve"> er das Erfordernis </w:t>
            </w:r>
            <w:r w:rsidRPr="5B67C1D2">
              <w:rPr>
                <w:i/>
                <w:iCs/>
                <w:sz w:val="20"/>
                <w:szCs w:val="20"/>
              </w:rPr>
              <w:t>de facto</w:t>
            </w:r>
            <w:r>
              <w:rPr>
                <w:sz w:val="20"/>
                <w:szCs w:val="20"/>
              </w:rPr>
              <w:t xml:space="preserve"> ohnehin erfüllen</w:t>
            </w:r>
            <w:r w:rsidRPr="00BB3AB2">
              <w:rPr>
                <w:sz w:val="20"/>
                <w:szCs w:val="20"/>
              </w:rPr>
              <w:t xml:space="preserve">, sobald der </w:t>
            </w:r>
            <w:r>
              <w:rPr>
                <w:sz w:val="20"/>
                <w:szCs w:val="20"/>
              </w:rPr>
              <w:t>U.S. Supreme Court</w:t>
            </w:r>
            <w:r w:rsidRPr="00BB3AB2">
              <w:rPr>
                <w:sz w:val="20"/>
                <w:szCs w:val="20"/>
              </w:rPr>
              <w:t xml:space="preserve"> den Rechtsstreit entscheidet. Denn dessen Entscheidung dauert. Damit liegt kein Fall oder Streit mehr vor, die Beschwer ist entfallen („</w:t>
            </w:r>
            <w:proofErr w:type="spellStart"/>
            <w:r w:rsidRPr="00BB3AB2">
              <w:rPr>
                <w:sz w:val="20"/>
                <w:szCs w:val="20"/>
              </w:rPr>
              <w:t>mootness</w:t>
            </w:r>
            <w:proofErr w:type="spellEnd"/>
            <w:r w:rsidRPr="00BB3AB2">
              <w:rPr>
                <w:sz w:val="20"/>
                <w:szCs w:val="20"/>
              </w:rPr>
              <w:t xml:space="preserve"> </w:t>
            </w:r>
            <w:proofErr w:type="spellStart"/>
            <w:r w:rsidRPr="00BB3AB2">
              <w:rPr>
                <w:sz w:val="20"/>
                <w:szCs w:val="20"/>
              </w:rPr>
              <w:t>determination</w:t>
            </w:r>
            <w:proofErr w:type="spellEnd"/>
            <w:r w:rsidRPr="00BB3AB2">
              <w:rPr>
                <w:sz w:val="20"/>
                <w:szCs w:val="20"/>
              </w:rPr>
              <w:t>“</w:t>
            </w:r>
            <w:r w:rsidRPr="00BB3AB2">
              <w:rPr>
                <w:sz w:val="20"/>
                <w:szCs w:val="20"/>
                <w:vertAlign w:val="superscript"/>
              </w:rPr>
              <w:t xml:space="preserve"> </w:t>
            </w:r>
            <w:r w:rsidRPr="00BB3AB2">
              <w:rPr>
                <w:sz w:val="20"/>
                <w:szCs w:val="20"/>
                <w:vertAlign w:val="superscript"/>
              </w:rPr>
              <w:footnoteReference w:id="1985"/>
            </w:r>
            <w:r w:rsidRPr="00BB3AB2">
              <w:rPr>
                <w:sz w:val="20"/>
                <w:szCs w:val="20"/>
              </w:rPr>
              <w:t>). Anders nur: Wenn die Verfassungsmäßigkeit des Gesetzes („</w:t>
            </w:r>
            <w:proofErr w:type="spellStart"/>
            <w:r w:rsidRPr="00BB3AB2">
              <w:rPr>
                <w:sz w:val="20"/>
                <w:szCs w:val="20"/>
              </w:rPr>
              <w:t>constitutionality</w:t>
            </w:r>
            <w:proofErr w:type="spellEnd"/>
            <w:r w:rsidRPr="00BB3AB2">
              <w:rPr>
                <w:sz w:val="20"/>
                <w:szCs w:val="20"/>
              </w:rPr>
              <w:t xml:space="preserve"> of the </w:t>
            </w:r>
            <w:proofErr w:type="spellStart"/>
            <w:r w:rsidRPr="00BB3AB2">
              <w:rPr>
                <w:sz w:val="20"/>
                <w:szCs w:val="20"/>
              </w:rPr>
              <w:t>durational</w:t>
            </w:r>
            <w:proofErr w:type="spellEnd"/>
            <w:r w:rsidRPr="00BB3AB2">
              <w:rPr>
                <w:sz w:val="20"/>
                <w:szCs w:val="20"/>
              </w:rPr>
              <w:t xml:space="preserve"> </w:t>
            </w:r>
            <w:proofErr w:type="spellStart"/>
            <w:r w:rsidRPr="00BB3AB2">
              <w:rPr>
                <w:sz w:val="20"/>
                <w:szCs w:val="20"/>
              </w:rPr>
              <w:t>residency</w:t>
            </w:r>
            <w:proofErr w:type="spellEnd"/>
            <w:r w:rsidRPr="00BB3AB2">
              <w:rPr>
                <w:sz w:val="20"/>
                <w:szCs w:val="20"/>
              </w:rPr>
              <w:t xml:space="preserve"> </w:t>
            </w:r>
            <w:proofErr w:type="spellStart"/>
            <w:r w:rsidRPr="00BB3AB2">
              <w:rPr>
                <w:sz w:val="20"/>
                <w:szCs w:val="20"/>
              </w:rPr>
              <w:t>requirement</w:t>
            </w:r>
            <w:proofErr w:type="spellEnd"/>
            <w:r w:rsidRPr="00BB3AB2">
              <w:rPr>
                <w:sz w:val="20"/>
                <w:szCs w:val="20"/>
              </w:rPr>
              <w:t>“</w:t>
            </w:r>
            <w:r w:rsidRPr="00BB3AB2">
              <w:rPr>
                <w:sz w:val="20"/>
                <w:szCs w:val="20"/>
                <w:vertAlign w:val="superscript"/>
              </w:rPr>
              <w:footnoteReference w:id="1986"/>
            </w:r>
            <w:r w:rsidRPr="00BB3AB2">
              <w:rPr>
                <w:sz w:val="20"/>
                <w:szCs w:val="20"/>
              </w:rPr>
              <w:t>) in einer repräsentativen Weise („</w:t>
            </w:r>
            <w:proofErr w:type="spellStart"/>
            <w:r w:rsidRPr="00BB3AB2">
              <w:rPr>
                <w:sz w:val="20"/>
                <w:szCs w:val="20"/>
              </w:rPr>
              <w:t>representative</w:t>
            </w:r>
            <w:proofErr w:type="spellEnd"/>
            <w:r w:rsidRPr="00BB3AB2">
              <w:rPr>
                <w:sz w:val="20"/>
                <w:szCs w:val="20"/>
              </w:rPr>
              <w:t xml:space="preserve"> </w:t>
            </w:r>
            <w:proofErr w:type="spellStart"/>
            <w:r w:rsidRPr="00BB3AB2">
              <w:rPr>
                <w:sz w:val="20"/>
                <w:szCs w:val="20"/>
              </w:rPr>
              <w:t>capacity</w:t>
            </w:r>
            <w:proofErr w:type="spellEnd"/>
            <w:r w:rsidRPr="00BB3AB2">
              <w:rPr>
                <w:sz w:val="20"/>
                <w:szCs w:val="20"/>
              </w:rPr>
              <w:t>“</w:t>
            </w:r>
            <w:r w:rsidRPr="00BB3AB2">
              <w:rPr>
                <w:sz w:val="20"/>
                <w:szCs w:val="20"/>
                <w:vertAlign w:val="superscript"/>
              </w:rPr>
              <w:footnoteReference w:id="1987"/>
            </w:r>
            <w:r w:rsidRPr="00BB3AB2">
              <w:rPr>
                <w:sz w:val="20"/>
                <w:szCs w:val="20"/>
              </w:rPr>
              <w:t xml:space="preserve">), </w:t>
            </w:r>
            <w:r>
              <w:rPr>
                <w:sz w:val="20"/>
                <w:szCs w:val="20"/>
              </w:rPr>
              <w:t>z.B.</w:t>
            </w:r>
            <w:r w:rsidRPr="00BB3AB2">
              <w:rPr>
                <w:sz w:val="20"/>
                <w:szCs w:val="20"/>
              </w:rPr>
              <w:t xml:space="preserve"> als Sammelklage („</w:t>
            </w:r>
            <w:proofErr w:type="spellStart"/>
            <w:r w:rsidRPr="00BB3AB2">
              <w:rPr>
                <w:sz w:val="20"/>
                <w:szCs w:val="20"/>
              </w:rPr>
              <w:t>class</w:t>
            </w:r>
            <w:proofErr w:type="spellEnd"/>
            <w:r w:rsidRPr="00BB3AB2">
              <w:rPr>
                <w:sz w:val="20"/>
                <w:szCs w:val="20"/>
              </w:rPr>
              <w:t xml:space="preserve"> </w:t>
            </w:r>
            <w:proofErr w:type="spellStart"/>
            <w:r w:rsidRPr="00BB3AB2">
              <w:rPr>
                <w:sz w:val="20"/>
                <w:szCs w:val="20"/>
              </w:rPr>
              <w:t>action</w:t>
            </w:r>
            <w:proofErr w:type="spellEnd"/>
            <w:r w:rsidRPr="00BB3AB2">
              <w:rPr>
                <w:sz w:val="20"/>
                <w:szCs w:val="20"/>
              </w:rPr>
              <w:t>“</w:t>
            </w:r>
            <w:r w:rsidRPr="00BB3AB2">
              <w:rPr>
                <w:sz w:val="20"/>
                <w:szCs w:val="20"/>
                <w:vertAlign w:val="superscript"/>
              </w:rPr>
              <w:footnoteReference w:id="1988"/>
            </w:r>
            <w:r w:rsidRPr="00BB3AB2">
              <w:rPr>
                <w:sz w:val="20"/>
                <w:szCs w:val="20"/>
              </w:rPr>
              <w:t>) angegriffen wird, dann besteht ein Klagebefugnis aufgrund des grundsätzlichen Feststellungsinteresses („</w:t>
            </w:r>
            <w:proofErr w:type="spellStart"/>
            <w:r w:rsidRPr="00BB3AB2">
              <w:rPr>
                <w:sz w:val="20"/>
                <w:szCs w:val="20"/>
              </w:rPr>
              <w:t>factor</w:t>
            </w:r>
            <w:proofErr w:type="spellEnd"/>
            <w:r w:rsidRPr="00BB3AB2">
              <w:rPr>
                <w:sz w:val="20"/>
                <w:szCs w:val="20"/>
              </w:rPr>
              <w:t xml:space="preserve"> </w:t>
            </w:r>
            <w:proofErr w:type="spellStart"/>
            <w:r w:rsidRPr="00BB3AB2">
              <w:rPr>
                <w:sz w:val="20"/>
                <w:szCs w:val="20"/>
              </w:rPr>
              <w:t>significantly</w:t>
            </w:r>
            <w:proofErr w:type="spellEnd"/>
            <w:r w:rsidRPr="00BB3AB2">
              <w:rPr>
                <w:sz w:val="20"/>
                <w:szCs w:val="20"/>
              </w:rPr>
              <w:t xml:space="preserve"> </w:t>
            </w:r>
            <w:proofErr w:type="spellStart"/>
            <w:r w:rsidRPr="00BB3AB2">
              <w:rPr>
                <w:sz w:val="20"/>
                <w:szCs w:val="20"/>
              </w:rPr>
              <w:t>affects</w:t>
            </w:r>
            <w:proofErr w:type="spellEnd"/>
            <w:r w:rsidRPr="00BB3AB2">
              <w:rPr>
                <w:sz w:val="20"/>
                <w:szCs w:val="20"/>
              </w:rPr>
              <w:t xml:space="preserve"> the </w:t>
            </w:r>
            <w:proofErr w:type="spellStart"/>
            <w:r w:rsidRPr="00BB3AB2">
              <w:rPr>
                <w:sz w:val="20"/>
                <w:szCs w:val="20"/>
              </w:rPr>
              <w:t>mootness</w:t>
            </w:r>
            <w:proofErr w:type="spellEnd"/>
            <w:r w:rsidRPr="00BB3AB2">
              <w:rPr>
                <w:sz w:val="20"/>
                <w:szCs w:val="20"/>
              </w:rPr>
              <w:t xml:space="preserve"> </w:t>
            </w:r>
            <w:proofErr w:type="spellStart"/>
            <w:r w:rsidRPr="00BB3AB2">
              <w:rPr>
                <w:sz w:val="20"/>
                <w:szCs w:val="20"/>
              </w:rPr>
              <w:t>determination</w:t>
            </w:r>
            <w:proofErr w:type="spellEnd"/>
            <w:r w:rsidRPr="00BB3AB2">
              <w:rPr>
                <w:sz w:val="20"/>
                <w:szCs w:val="20"/>
              </w:rPr>
              <w:t>“</w:t>
            </w:r>
            <w:r w:rsidRPr="00BB3AB2">
              <w:rPr>
                <w:sz w:val="20"/>
                <w:szCs w:val="20"/>
                <w:vertAlign w:val="superscript"/>
              </w:rPr>
              <w:footnoteReference w:id="1989"/>
            </w:r>
            <w:r w:rsidRPr="00BB3AB2">
              <w:rPr>
                <w:sz w:val="20"/>
                <w:szCs w:val="20"/>
              </w:rPr>
              <w:t xml:space="preserve">). Aber </w:t>
            </w:r>
            <w:r>
              <w:rPr>
                <w:sz w:val="20"/>
                <w:szCs w:val="20"/>
              </w:rPr>
              <w:t>davon abgesehen</w:t>
            </w:r>
            <w:r w:rsidRPr="00BB3AB2">
              <w:rPr>
                <w:sz w:val="20"/>
                <w:szCs w:val="20"/>
              </w:rPr>
              <w:t xml:space="preserve"> hätte nach dem Dissens für das Feststellungsinteresse das betroffene Recht ausgereicht, sich nicht umgehend scheiden lassen zu können, um eine Beschwer für eine Klagebefugnis zu begründen. Denn dieses Interesse sei ein Korrelat der Ehefreiheit – und der Freiheit, seine persönlichen Beziehungen gestalten zu können („</w:t>
            </w:r>
            <w:proofErr w:type="spellStart"/>
            <w:r w:rsidRPr="00BB3AB2">
              <w:rPr>
                <w:sz w:val="20"/>
                <w:szCs w:val="20"/>
              </w:rPr>
              <w:t>voluntary</w:t>
            </w:r>
            <w:proofErr w:type="spellEnd"/>
            <w:r w:rsidRPr="00BB3AB2">
              <w:rPr>
                <w:sz w:val="20"/>
                <w:szCs w:val="20"/>
              </w:rPr>
              <w:t xml:space="preserve"> </w:t>
            </w:r>
            <w:proofErr w:type="spellStart"/>
            <w:r w:rsidRPr="00BB3AB2">
              <w:rPr>
                <w:sz w:val="20"/>
                <w:szCs w:val="20"/>
              </w:rPr>
              <w:t>adjustment</w:t>
            </w:r>
            <w:proofErr w:type="spellEnd"/>
            <w:r w:rsidRPr="00BB3AB2">
              <w:rPr>
                <w:sz w:val="20"/>
                <w:szCs w:val="20"/>
              </w:rPr>
              <w:t xml:space="preserve"> of the same fundamental human </w:t>
            </w:r>
            <w:proofErr w:type="spellStart"/>
            <w:r w:rsidRPr="00BB3AB2">
              <w:rPr>
                <w:sz w:val="20"/>
                <w:szCs w:val="20"/>
              </w:rPr>
              <w:t>relationship</w:t>
            </w:r>
            <w:proofErr w:type="spellEnd"/>
            <w:r w:rsidRPr="00BB3AB2">
              <w:rPr>
                <w:sz w:val="20"/>
                <w:szCs w:val="20"/>
              </w:rPr>
              <w:t>“</w:t>
            </w:r>
            <w:r w:rsidRPr="00BB3AB2">
              <w:rPr>
                <w:sz w:val="20"/>
                <w:szCs w:val="20"/>
                <w:vertAlign w:val="superscript"/>
              </w:rPr>
              <w:footnoteReference w:id="1990"/>
            </w:r>
            <w:r w:rsidRPr="00BB3AB2">
              <w:rPr>
                <w:sz w:val="20"/>
                <w:szCs w:val="20"/>
              </w:rPr>
              <w:t xml:space="preserve">). </w:t>
            </w:r>
            <w:r w:rsidRPr="00BB3AB2">
              <w:rPr>
                <w:sz w:val="20"/>
                <w:szCs w:val="20"/>
                <w:lang w:val="en-US"/>
              </w:rPr>
              <w:t xml:space="preserve">Und </w:t>
            </w:r>
            <w:proofErr w:type="spellStart"/>
            <w:r w:rsidRPr="00BB3AB2">
              <w:rPr>
                <w:sz w:val="20"/>
                <w:szCs w:val="20"/>
                <w:lang w:val="en-US"/>
              </w:rPr>
              <w:t>dessen</w:t>
            </w:r>
            <w:proofErr w:type="spellEnd"/>
            <w:r w:rsidRPr="00BB3AB2">
              <w:rPr>
                <w:sz w:val="20"/>
                <w:szCs w:val="20"/>
                <w:lang w:val="en-US"/>
              </w:rPr>
              <w:t xml:space="preserve"> </w:t>
            </w:r>
            <w:proofErr w:type="spellStart"/>
            <w:r w:rsidRPr="00BB3AB2">
              <w:rPr>
                <w:sz w:val="20"/>
                <w:szCs w:val="20"/>
                <w:lang w:val="en-US"/>
              </w:rPr>
              <w:t>Grundrechtscharakter</w:t>
            </w:r>
            <w:proofErr w:type="spellEnd"/>
            <w:r w:rsidRPr="00BB3AB2">
              <w:rPr>
                <w:sz w:val="20"/>
                <w:szCs w:val="20"/>
                <w:lang w:val="en-US"/>
              </w:rPr>
              <w:t xml:space="preserve"> („right to seek dissolution of the marital relationship is of such fundamental </w:t>
            </w:r>
            <w:proofErr w:type="gramStart"/>
            <w:r w:rsidRPr="00BB3AB2">
              <w:rPr>
                <w:sz w:val="20"/>
                <w:szCs w:val="20"/>
                <w:lang w:val="en-US"/>
              </w:rPr>
              <w:t>importance“</w:t>
            </w:r>
            <w:proofErr w:type="gramEnd"/>
            <w:r w:rsidRPr="00BB3AB2">
              <w:rPr>
                <w:sz w:val="20"/>
                <w:szCs w:val="20"/>
                <w:vertAlign w:val="superscript"/>
                <w:lang w:val="en-US"/>
              </w:rPr>
              <w:footnoteReference w:id="1991"/>
            </w:r>
            <w:r w:rsidRPr="00BB3AB2">
              <w:rPr>
                <w:sz w:val="20"/>
                <w:szCs w:val="20"/>
                <w:lang w:val="en-US"/>
              </w:rPr>
              <w:t xml:space="preserve">) </w:t>
            </w:r>
            <w:proofErr w:type="spellStart"/>
            <w:r w:rsidRPr="00BB3AB2">
              <w:rPr>
                <w:sz w:val="20"/>
                <w:szCs w:val="20"/>
                <w:lang w:val="en-US"/>
              </w:rPr>
              <w:t>als</w:t>
            </w:r>
            <w:proofErr w:type="spellEnd"/>
            <w:r w:rsidRPr="00BB3AB2">
              <w:rPr>
                <w:sz w:val="20"/>
                <w:szCs w:val="20"/>
                <w:lang w:val="en-US"/>
              </w:rPr>
              <w:t xml:space="preserve"> </w:t>
            </w:r>
            <w:proofErr w:type="spellStart"/>
            <w:r w:rsidRPr="00BB3AB2">
              <w:rPr>
                <w:sz w:val="20"/>
                <w:szCs w:val="20"/>
                <w:lang w:val="en-US"/>
              </w:rPr>
              <w:t>Bedingung</w:t>
            </w:r>
            <w:proofErr w:type="spellEnd"/>
            <w:r w:rsidRPr="00BB3AB2">
              <w:rPr>
                <w:sz w:val="20"/>
                <w:szCs w:val="20"/>
                <w:lang w:val="en-US"/>
              </w:rPr>
              <w:t xml:space="preserve"> für </w:t>
            </w:r>
            <w:proofErr w:type="spellStart"/>
            <w:r w:rsidRPr="00BB3AB2">
              <w:rPr>
                <w:sz w:val="20"/>
                <w:szCs w:val="20"/>
                <w:lang w:val="en-US"/>
              </w:rPr>
              <w:t>ein</w:t>
            </w:r>
            <w:proofErr w:type="spellEnd"/>
            <w:r w:rsidRPr="00BB3AB2">
              <w:rPr>
                <w:sz w:val="20"/>
                <w:szCs w:val="20"/>
                <w:lang w:val="en-US"/>
              </w:rPr>
              <w:t xml:space="preserve"> </w:t>
            </w:r>
            <w:proofErr w:type="spellStart"/>
            <w:r w:rsidRPr="00BB3AB2">
              <w:rPr>
                <w:sz w:val="20"/>
                <w:szCs w:val="20"/>
                <w:lang w:val="en-US"/>
              </w:rPr>
              <w:t>Glücksstreben</w:t>
            </w:r>
            <w:proofErr w:type="spellEnd"/>
            <w:r w:rsidRPr="00BB3AB2">
              <w:rPr>
                <w:sz w:val="20"/>
                <w:szCs w:val="20"/>
                <w:lang w:val="en-US"/>
              </w:rPr>
              <w:t xml:space="preserve"> („one of the vital personal rights essential to the orderly pursuit of happiness by free </w:t>
            </w:r>
            <w:proofErr w:type="gramStart"/>
            <w:r w:rsidRPr="00BB3AB2">
              <w:rPr>
                <w:sz w:val="20"/>
                <w:szCs w:val="20"/>
                <w:lang w:val="en-US"/>
              </w:rPr>
              <w:t>men“</w:t>
            </w:r>
            <w:proofErr w:type="gramEnd"/>
            <w:r w:rsidRPr="00BB3AB2">
              <w:rPr>
                <w:sz w:val="20"/>
                <w:szCs w:val="20"/>
                <w:vertAlign w:val="superscript"/>
              </w:rPr>
              <w:footnoteReference w:id="1992"/>
            </w:r>
            <w:r w:rsidRPr="00BB3AB2">
              <w:rPr>
                <w:sz w:val="20"/>
                <w:szCs w:val="20"/>
                <w:lang w:val="en-US"/>
              </w:rPr>
              <w:t xml:space="preserve">) </w:t>
            </w:r>
            <w:proofErr w:type="spellStart"/>
            <w:r w:rsidRPr="00BB3AB2">
              <w:rPr>
                <w:sz w:val="20"/>
                <w:szCs w:val="20"/>
                <w:lang w:val="en-US"/>
              </w:rPr>
              <w:t>hätte</w:t>
            </w:r>
            <w:proofErr w:type="spellEnd"/>
            <w:r w:rsidRPr="00BB3AB2">
              <w:rPr>
                <w:sz w:val="20"/>
                <w:szCs w:val="20"/>
                <w:lang w:val="en-US"/>
              </w:rPr>
              <w:t xml:space="preserve"> </w:t>
            </w:r>
            <w:proofErr w:type="spellStart"/>
            <w:r w:rsidRPr="00BB3AB2">
              <w:rPr>
                <w:sz w:val="20"/>
                <w:szCs w:val="20"/>
                <w:lang w:val="en-US"/>
              </w:rPr>
              <w:t>erhalten</w:t>
            </w:r>
            <w:proofErr w:type="spellEnd"/>
            <w:r w:rsidRPr="00BB3AB2">
              <w:rPr>
                <w:sz w:val="20"/>
                <w:szCs w:val="20"/>
                <w:lang w:val="en-US"/>
              </w:rPr>
              <w:t xml:space="preserve"> </w:t>
            </w:r>
            <w:proofErr w:type="spellStart"/>
            <w:r w:rsidRPr="00BB3AB2">
              <w:rPr>
                <w:sz w:val="20"/>
                <w:szCs w:val="20"/>
                <w:lang w:val="en-US"/>
              </w:rPr>
              <w:t>bleiben</w:t>
            </w:r>
            <w:proofErr w:type="spellEnd"/>
            <w:r w:rsidRPr="00BB3AB2">
              <w:rPr>
                <w:sz w:val="20"/>
                <w:szCs w:val="20"/>
                <w:lang w:val="en-US"/>
              </w:rPr>
              <w:t xml:space="preserve"> </w:t>
            </w:r>
            <w:proofErr w:type="spellStart"/>
            <w:r w:rsidRPr="00BB3AB2">
              <w:rPr>
                <w:sz w:val="20"/>
                <w:szCs w:val="20"/>
                <w:lang w:val="en-US"/>
              </w:rPr>
              <w:t>müssen</w:t>
            </w:r>
            <w:proofErr w:type="spellEnd"/>
            <w:r w:rsidRPr="00BB3AB2">
              <w:rPr>
                <w:sz w:val="20"/>
                <w:szCs w:val="20"/>
                <w:lang w:val="en-US"/>
              </w:rPr>
              <w:t>.</w:t>
            </w:r>
          </w:p>
          <w:p w14:paraId="0A25FAA9" w14:textId="77777777" w:rsidR="00074551" w:rsidRPr="00E50B51" w:rsidRDefault="00074551" w:rsidP="00367133">
            <w:pPr>
              <w:jc w:val="both"/>
              <w:rPr>
                <w:sz w:val="20"/>
                <w:szCs w:val="20"/>
                <w:lang w:val="en-US"/>
              </w:rPr>
            </w:pPr>
          </w:p>
        </w:tc>
      </w:tr>
      <w:tr w:rsidR="00074551" w:rsidRPr="00E50B51" w14:paraId="0060C62E" w14:textId="77777777" w:rsidTr="00203768">
        <w:trPr>
          <w:cantSplit/>
          <w:trHeight w:val="3175"/>
        </w:trPr>
        <w:tc>
          <w:tcPr>
            <w:tcW w:w="293" w:type="pct"/>
            <w:shd w:val="clear" w:color="auto" w:fill="E7E6E6" w:themeFill="background2"/>
          </w:tcPr>
          <w:p w14:paraId="21E72FF9"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3D28301C" w14:textId="77777777" w:rsidR="00074551" w:rsidRPr="00E50B51" w:rsidRDefault="00074551" w:rsidP="00367133">
            <w:pPr>
              <w:ind w:right="416"/>
              <w:jc w:val="center"/>
              <w:rPr>
                <w:sz w:val="20"/>
                <w:szCs w:val="20"/>
                <w:lang w:val="en-US"/>
              </w:rPr>
            </w:pPr>
            <w:r>
              <w:rPr>
                <w:sz w:val="20"/>
                <w:szCs w:val="20"/>
              </w:rPr>
              <w:t>H</w:t>
            </w:r>
          </w:p>
        </w:tc>
        <w:tc>
          <w:tcPr>
            <w:tcW w:w="387" w:type="pct"/>
            <w:shd w:val="clear" w:color="auto" w:fill="E7E6E6" w:themeFill="background2"/>
            <w:textDirection w:val="tbRl"/>
            <w:vAlign w:val="center"/>
          </w:tcPr>
          <w:p w14:paraId="49CA750B" w14:textId="77777777" w:rsidR="00074551" w:rsidRPr="00E50B51" w:rsidRDefault="00074551" w:rsidP="00367133">
            <w:pPr>
              <w:ind w:left="113" w:right="416"/>
              <w:jc w:val="both"/>
              <w:rPr>
                <w:sz w:val="20"/>
                <w:szCs w:val="20"/>
                <w:lang w:val="en-US"/>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76F8FCC9" w14:textId="77777777" w:rsidR="00074551" w:rsidRPr="00E50B51" w:rsidRDefault="00074551" w:rsidP="00367133">
            <w:pPr>
              <w:ind w:left="113" w:right="113"/>
              <w:jc w:val="both"/>
              <w:rPr>
                <w:iCs/>
                <w:sz w:val="20"/>
                <w:szCs w:val="20"/>
              </w:rPr>
            </w:pPr>
            <w:proofErr w:type="spellStart"/>
            <w:r w:rsidRPr="00E50B51">
              <w:rPr>
                <w:iCs/>
                <w:sz w:val="20"/>
                <w:szCs w:val="20"/>
              </w:rPr>
              <w:t>Procedural</w:t>
            </w:r>
            <w:proofErr w:type="spellEnd"/>
            <w:r w:rsidRPr="00E50B51">
              <w:rPr>
                <w:iCs/>
                <w:sz w:val="20"/>
                <w:szCs w:val="20"/>
              </w:rPr>
              <w:t xml:space="preserve"> Due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4906AA66" w14:textId="77777777" w:rsidR="00074551" w:rsidRPr="00E50B51" w:rsidRDefault="00074551" w:rsidP="00367133">
            <w:pPr>
              <w:ind w:left="113" w:right="113"/>
              <w:jc w:val="both"/>
              <w:rPr>
                <w:sz w:val="20"/>
                <w:szCs w:val="20"/>
              </w:rPr>
            </w:pPr>
            <w:r w:rsidRPr="00E50B51">
              <w:rPr>
                <w:iCs/>
                <w:sz w:val="20"/>
                <w:szCs w:val="20"/>
              </w:rPr>
              <w:t>Scope</w:t>
            </w:r>
          </w:p>
        </w:tc>
        <w:tc>
          <w:tcPr>
            <w:tcW w:w="401" w:type="pct"/>
            <w:shd w:val="clear" w:color="auto" w:fill="E7E6E6" w:themeFill="background2"/>
          </w:tcPr>
          <w:p w14:paraId="1FC3DCCE"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37FA84D5" w14:textId="77777777" w:rsidR="00074551" w:rsidRPr="00E50B51" w:rsidRDefault="00074551" w:rsidP="00367133">
            <w:pPr>
              <w:jc w:val="both"/>
              <w:rPr>
                <w:sz w:val="20"/>
                <w:szCs w:val="20"/>
              </w:rPr>
            </w:pPr>
          </w:p>
        </w:tc>
        <w:tc>
          <w:tcPr>
            <w:tcW w:w="1822" w:type="pct"/>
            <w:shd w:val="clear" w:color="auto" w:fill="E7E6E6" w:themeFill="background2"/>
          </w:tcPr>
          <w:p w14:paraId="20C6A97C" w14:textId="4507E8B0"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18A6852D" w14:textId="77777777" w:rsidTr="00BE689F">
        <w:trPr>
          <w:cantSplit/>
          <w:trHeight w:val="3175"/>
        </w:trPr>
        <w:tc>
          <w:tcPr>
            <w:tcW w:w="293" w:type="pct"/>
          </w:tcPr>
          <w:p w14:paraId="1B9F74CE"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F50CF1D" w14:textId="77777777" w:rsidR="00074551" w:rsidRPr="00E50B51" w:rsidRDefault="00074551" w:rsidP="00367133">
            <w:pPr>
              <w:ind w:left="113" w:right="416"/>
              <w:jc w:val="both"/>
              <w:rPr>
                <w:sz w:val="20"/>
                <w:szCs w:val="20"/>
              </w:rPr>
            </w:pPr>
            <w:r w:rsidRPr="00B35CD0">
              <w:rPr>
                <w:i/>
                <w:sz w:val="20"/>
                <w:szCs w:val="20"/>
                <w:lang w:val="en-US"/>
              </w:rPr>
              <w:t>Bute v. Illinois</w:t>
            </w:r>
          </w:p>
        </w:tc>
        <w:tc>
          <w:tcPr>
            <w:tcW w:w="197" w:type="pct"/>
            <w:textDirection w:val="tbRl"/>
            <w:vAlign w:val="center"/>
          </w:tcPr>
          <w:p w14:paraId="6A267050" w14:textId="77777777" w:rsidR="00074551" w:rsidRPr="00E50B51" w:rsidRDefault="00074551" w:rsidP="00367133">
            <w:pPr>
              <w:ind w:left="113" w:right="113"/>
              <w:jc w:val="both"/>
              <w:rPr>
                <w:iCs/>
                <w:sz w:val="20"/>
                <w:szCs w:val="20"/>
              </w:rPr>
            </w:pPr>
            <w:r w:rsidRPr="00E50B51">
              <w:rPr>
                <w:sz w:val="20"/>
                <w:szCs w:val="20"/>
                <w:lang w:val="en-US"/>
              </w:rPr>
              <w:t>333 U.S. 640</w:t>
            </w:r>
          </w:p>
        </w:tc>
        <w:tc>
          <w:tcPr>
            <w:tcW w:w="306" w:type="pct"/>
            <w:textDirection w:val="tbRl"/>
            <w:vAlign w:val="center"/>
          </w:tcPr>
          <w:p w14:paraId="5FAF92AA" w14:textId="77777777" w:rsidR="00074551" w:rsidRPr="00E50B51" w:rsidRDefault="00074551" w:rsidP="00367133">
            <w:pPr>
              <w:ind w:left="113" w:right="113"/>
              <w:jc w:val="both"/>
              <w:rPr>
                <w:sz w:val="20"/>
                <w:szCs w:val="20"/>
                <w:lang w:eastAsia="de-DE"/>
              </w:rPr>
            </w:pPr>
            <w:r w:rsidRPr="00E50B51">
              <w:rPr>
                <w:sz w:val="20"/>
                <w:szCs w:val="20"/>
                <w:lang w:eastAsia="de-DE"/>
              </w:rPr>
              <w:t>19. April 1948</w:t>
            </w:r>
          </w:p>
        </w:tc>
        <w:tc>
          <w:tcPr>
            <w:tcW w:w="401" w:type="pct"/>
          </w:tcPr>
          <w:p w14:paraId="6D9A6948" w14:textId="77777777" w:rsidR="00074551" w:rsidRPr="00E50B51" w:rsidRDefault="00074551" w:rsidP="00367133">
            <w:pPr>
              <w:jc w:val="center"/>
              <w:rPr>
                <w:sz w:val="20"/>
                <w:szCs w:val="20"/>
                <w:lang w:eastAsia="de-DE"/>
              </w:rPr>
            </w:pPr>
            <w:r w:rsidRPr="00E50B51">
              <w:rPr>
                <w:iCs/>
                <w:sz w:val="20"/>
                <w:szCs w:val="20"/>
              </w:rPr>
              <w:t>M</w:t>
            </w:r>
          </w:p>
        </w:tc>
        <w:tc>
          <w:tcPr>
            <w:tcW w:w="1594" w:type="pct"/>
          </w:tcPr>
          <w:p w14:paraId="57C5F414" w14:textId="77777777" w:rsidR="00074551" w:rsidRPr="00E50B51" w:rsidRDefault="00074551" w:rsidP="00367133">
            <w:pPr>
              <w:jc w:val="both"/>
              <w:rPr>
                <w:sz w:val="20"/>
                <w:szCs w:val="20"/>
              </w:rPr>
            </w:pPr>
            <w:r w:rsidRPr="00E50B51">
              <w:rPr>
                <w:sz w:val="20"/>
                <w:szCs w:val="20"/>
                <w:lang w:eastAsia="de-DE"/>
              </w:rPr>
              <w:t>*</w:t>
            </w:r>
          </w:p>
        </w:tc>
        <w:tc>
          <w:tcPr>
            <w:tcW w:w="1822" w:type="pct"/>
          </w:tcPr>
          <w:p w14:paraId="603185F2" w14:textId="5B50588E" w:rsidR="00074551" w:rsidRDefault="00074551" w:rsidP="00367133">
            <w:pPr>
              <w:jc w:val="both"/>
              <w:rPr>
                <w:sz w:val="20"/>
                <w:szCs w:val="20"/>
              </w:rPr>
            </w:pPr>
            <w:r w:rsidRPr="000E7D9F">
              <w:rPr>
                <w:sz w:val="20"/>
                <w:szCs w:val="20"/>
                <w:lang w:val="en-US"/>
              </w:rPr>
              <w:t xml:space="preserve">Der </w:t>
            </w:r>
            <w:proofErr w:type="spellStart"/>
            <w:r w:rsidRPr="000E7D9F">
              <w:rPr>
                <w:sz w:val="20"/>
                <w:szCs w:val="20"/>
                <w:lang w:val="en-US"/>
              </w:rPr>
              <w:t>Verfassungsgeber</w:t>
            </w:r>
            <w:proofErr w:type="spellEnd"/>
            <w:r w:rsidRPr="000E7D9F">
              <w:rPr>
                <w:sz w:val="20"/>
                <w:szCs w:val="20"/>
                <w:lang w:val="en-US"/>
              </w:rPr>
              <w:t xml:space="preserve"> </w:t>
            </w:r>
            <w:proofErr w:type="spellStart"/>
            <w:r w:rsidRPr="000E7D9F">
              <w:rPr>
                <w:sz w:val="20"/>
                <w:szCs w:val="20"/>
                <w:lang w:val="en-US"/>
              </w:rPr>
              <w:t>konzipierte</w:t>
            </w:r>
            <w:proofErr w:type="spellEnd"/>
            <w:r w:rsidRPr="000E7D9F">
              <w:rPr>
                <w:sz w:val="20"/>
                <w:szCs w:val="20"/>
                <w:lang w:val="en-US"/>
              </w:rPr>
              <w:t xml:space="preserve"> die </w:t>
            </w:r>
            <w:r>
              <w:rPr>
                <w:sz w:val="20"/>
                <w:szCs w:val="20"/>
                <w:lang w:val="en-US"/>
              </w:rPr>
              <w:t>U.S.</w:t>
            </w:r>
            <w:r w:rsidRPr="000E7D9F">
              <w:rPr>
                <w:sz w:val="20"/>
                <w:szCs w:val="20"/>
                <w:lang w:val="en-US"/>
              </w:rPr>
              <w:t xml:space="preserve"> Const. </w:t>
            </w:r>
            <w:proofErr w:type="spellStart"/>
            <w:r w:rsidRPr="000E7D9F">
              <w:rPr>
                <w:sz w:val="20"/>
                <w:szCs w:val="20"/>
                <w:lang w:val="en-US"/>
              </w:rPr>
              <w:t>im</w:t>
            </w:r>
            <w:proofErr w:type="spellEnd"/>
            <w:r w:rsidRPr="000E7D9F">
              <w:rPr>
                <w:sz w:val="20"/>
                <w:szCs w:val="20"/>
                <w:lang w:val="en-US"/>
              </w:rPr>
              <w:t xml:space="preserve"> </w:t>
            </w:r>
            <w:proofErr w:type="spellStart"/>
            <w:r w:rsidRPr="000E7D9F">
              <w:rPr>
                <w:sz w:val="20"/>
                <w:szCs w:val="20"/>
                <w:lang w:val="en-US"/>
              </w:rPr>
              <w:t>Geiste</w:t>
            </w:r>
            <w:proofErr w:type="spellEnd"/>
            <w:r w:rsidRPr="000E7D9F">
              <w:rPr>
                <w:sz w:val="20"/>
                <w:szCs w:val="20"/>
                <w:lang w:val="en-US"/>
              </w:rPr>
              <w:t xml:space="preserve"> der </w:t>
            </w:r>
            <w:r w:rsidRPr="5B67C1D2">
              <w:rPr>
                <w:i/>
                <w:iCs/>
                <w:sz w:val="20"/>
                <w:szCs w:val="20"/>
                <w:lang w:val="en-US"/>
              </w:rPr>
              <w:t>Declaration of Independence</w:t>
            </w:r>
            <w:r w:rsidRPr="000E7D9F">
              <w:rPr>
                <w:sz w:val="20"/>
                <w:szCs w:val="20"/>
                <w:lang w:val="en-US"/>
              </w:rPr>
              <w:t xml:space="preserve">: („The Constitution was conceived in large part in the spirit of the Declaration of </w:t>
            </w:r>
            <w:proofErr w:type="gramStart"/>
            <w:r w:rsidRPr="000E7D9F">
              <w:rPr>
                <w:sz w:val="20"/>
                <w:szCs w:val="20"/>
                <w:lang w:val="en-US"/>
              </w:rPr>
              <w:t>Independence“</w:t>
            </w:r>
            <w:proofErr w:type="gramEnd"/>
            <w:r w:rsidRPr="000E7D9F">
              <w:rPr>
                <w:sz w:val="20"/>
                <w:szCs w:val="20"/>
                <w:vertAlign w:val="superscript"/>
              </w:rPr>
              <w:footnoteReference w:id="1993"/>
            </w:r>
            <w:r w:rsidRPr="000E7D9F">
              <w:rPr>
                <w:sz w:val="20"/>
                <w:szCs w:val="20"/>
                <w:lang w:val="en-US"/>
              </w:rPr>
              <w:t xml:space="preserve">). </w:t>
            </w:r>
            <w:r w:rsidRPr="000E7D9F">
              <w:rPr>
                <w:sz w:val="20"/>
                <w:szCs w:val="20"/>
              </w:rPr>
              <w:t xml:space="preserve">Die </w:t>
            </w:r>
            <w:r w:rsidRPr="5B67C1D2">
              <w:rPr>
                <w:i/>
                <w:iCs/>
                <w:sz w:val="20"/>
                <w:szCs w:val="20"/>
              </w:rPr>
              <w:t>Declaration of Independence</w:t>
            </w:r>
            <w:r w:rsidRPr="000E7D9F">
              <w:rPr>
                <w:sz w:val="20"/>
                <w:szCs w:val="20"/>
              </w:rPr>
              <w:t xml:space="preserve"> erklärte, dass </w:t>
            </w:r>
            <w:r>
              <w:rPr>
                <w:sz w:val="20"/>
                <w:szCs w:val="20"/>
              </w:rPr>
              <w:t xml:space="preserve">die </w:t>
            </w:r>
            <w:r w:rsidRPr="000E7D9F">
              <w:rPr>
                <w:sz w:val="20"/>
                <w:szCs w:val="20"/>
              </w:rPr>
              <w:t xml:space="preserve">von </w:t>
            </w:r>
            <w:r>
              <w:rPr>
                <w:sz w:val="20"/>
                <w:szCs w:val="20"/>
              </w:rPr>
              <w:t xml:space="preserve">den </w:t>
            </w:r>
            <w:r w:rsidRPr="000E7D9F">
              <w:rPr>
                <w:sz w:val="20"/>
                <w:szCs w:val="20"/>
              </w:rPr>
              <w:t>Regierten gewählte</w:t>
            </w:r>
            <w:r>
              <w:rPr>
                <w:sz w:val="20"/>
                <w:szCs w:val="20"/>
              </w:rPr>
              <w:t>n</w:t>
            </w:r>
            <w:r w:rsidRPr="000E7D9F">
              <w:rPr>
                <w:sz w:val="20"/>
                <w:szCs w:val="20"/>
              </w:rPr>
              <w:t xml:space="preserve"> Regierungen die unveräußerlichen Rechte wie das Streben nach Glück zu sichern </w:t>
            </w:r>
            <w:r>
              <w:rPr>
                <w:sz w:val="20"/>
                <w:szCs w:val="20"/>
              </w:rPr>
              <w:t>hätten</w:t>
            </w:r>
            <w:r w:rsidRPr="000E7D9F">
              <w:rPr>
                <w:sz w:val="20"/>
                <w:szCs w:val="20"/>
              </w:rPr>
              <w:t>. Daraus folge, dass Regierungen die</w:t>
            </w:r>
            <w:r>
              <w:rPr>
                <w:sz w:val="20"/>
                <w:szCs w:val="20"/>
              </w:rPr>
              <w:t>se</w:t>
            </w:r>
            <w:r w:rsidRPr="000E7D9F">
              <w:rPr>
                <w:sz w:val="20"/>
                <w:szCs w:val="20"/>
              </w:rPr>
              <w:t xml:space="preserve"> unveräußerlichen Rechte möglichst nah a</w:t>
            </w:r>
            <w:r>
              <w:rPr>
                <w:sz w:val="20"/>
                <w:szCs w:val="20"/>
              </w:rPr>
              <w:t>n den</w:t>
            </w:r>
            <w:r w:rsidRPr="000E7D9F">
              <w:rPr>
                <w:sz w:val="20"/>
                <w:szCs w:val="20"/>
              </w:rPr>
              <w:t xml:space="preserve"> Regierten zu sichern </w:t>
            </w:r>
            <w:r>
              <w:rPr>
                <w:sz w:val="20"/>
                <w:szCs w:val="20"/>
              </w:rPr>
              <w:t>hätten</w:t>
            </w:r>
            <w:r w:rsidRPr="000E7D9F">
              <w:rPr>
                <w:sz w:val="20"/>
                <w:szCs w:val="20"/>
              </w:rPr>
              <w:t xml:space="preserve"> („It </w:t>
            </w:r>
            <w:proofErr w:type="spellStart"/>
            <w:r w:rsidRPr="000E7D9F">
              <w:rPr>
                <w:sz w:val="20"/>
                <w:szCs w:val="20"/>
              </w:rPr>
              <w:t>sought</w:t>
            </w:r>
            <w:proofErr w:type="spellEnd"/>
            <w:r w:rsidRPr="000E7D9F">
              <w:rPr>
                <w:sz w:val="20"/>
                <w:szCs w:val="20"/>
              </w:rPr>
              <w:t xml:space="preserve"> to </w:t>
            </w:r>
            <w:proofErr w:type="spellStart"/>
            <w:r w:rsidRPr="000E7D9F">
              <w:rPr>
                <w:sz w:val="20"/>
                <w:szCs w:val="20"/>
              </w:rPr>
              <w:t>keep</w:t>
            </w:r>
            <w:proofErr w:type="spellEnd"/>
            <w:r w:rsidRPr="000E7D9F">
              <w:rPr>
                <w:sz w:val="20"/>
                <w:szCs w:val="20"/>
              </w:rPr>
              <w:t xml:space="preserve"> the </w:t>
            </w:r>
            <w:proofErr w:type="spellStart"/>
            <w:r w:rsidRPr="000E7D9F">
              <w:rPr>
                <w:sz w:val="20"/>
                <w:szCs w:val="20"/>
              </w:rPr>
              <w:t>control</w:t>
            </w:r>
            <w:proofErr w:type="spellEnd"/>
            <w:r w:rsidRPr="000E7D9F">
              <w:rPr>
                <w:sz w:val="20"/>
                <w:szCs w:val="20"/>
              </w:rPr>
              <w:t xml:space="preserve"> </w:t>
            </w:r>
            <w:proofErr w:type="spellStart"/>
            <w:r w:rsidRPr="000E7D9F">
              <w:rPr>
                <w:sz w:val="20"/>
                <w:szCs w:val="20"/>
              </w:rPr>
              <w:t>over</w:t>
            </w:r>
            <w:proofErr w:type="spellEnd"/>
            <w:r w:rsidRPr="000E7D9F">
              <w:rPr>
                <w:sz w:val="20"/>
                <w:szCs w:val="20"/>
              </w:rPr>
              <w:t xml:space="preserve"> individual </w:t>
            </w:r>
            <w:proofErr w:type="spellStart"/>
            <w:r w:rsidRPr="000E7D9F">
              <w:rPr>
                <w:sz w:val="20"/>
                <w:szCs w:val="20"/>
              </w:rPr>
              <w:t>rights</w:t>
            </w:r>
            <w:proofErr w:type="spellEnd"/>
            <w:r w:rsidRPr="000E7D9F">
              <w:rPr>
                <w:sz w:val="20"/>
                <w:szCs w:val="20"/>
              </w:rPr>
              <w:t xml:space="preserve"> </w:t>
            </w:r>
            <w:proofErr w:type="spellStart"/>
            <w:r w:rsidRPr="000E7D9F">
              <w:rPr>
                <w:sz w:val="20"/>
                <w:szCs w:val="20"/>
              </w:rPr>
              <w:t>close</w:t>
            </w:r>
            <w:proofErr w:type="spellEnd"/>
            <w:r w:rsidRPr="000E7D9F">
              <w:rPr>
                <w:sz w:val="20"/>
                <w:szCs w:val="20"/>
              </w:rPr>
              <w:t xml:space="preserve"> to the </w:t>
            </w:r>
            <w:proofErr w:type="spellStart"/>
            <w:r w:rsidRPr="000E7D9F">
              <w:rPr>
                <w:sz w:val="20"/>
                <w:szCs w:val="20"/>
              </w:rPr>
              <w:t>people</w:t>
            </w:r>
            <w:proofErr w:type="spellEnd"/>
            <w:r w:rsidRPr="000E7D9F">
              <w:rPr>
                <w:sz w:val="20"/>
                <w:szCs w:val="20"/>
              </w:rPr>
              <w:t xml:space="preserve"> </w:t>
            </w:r>
            <w:proofErr w:type="spellStart"/>
            <w:r w:rsidRPr="000E7D9F">
              <w:rPr>
                <w:sz w:val="20"/>
                <w:szCs w:val="20"/>
              </w:rPr>
              <w:t>through</w:t>
            </w:r>
            <w:proofErr w:type="spellEnd"/>
            <w:r w:rsidRPr="000E7D9F">
              <w:rPr>
                <w:sz w:val="20"/>
                <w:szCs w:val="20"/>
              </w:rPr>
              <w:t xml:space="preserve"> </w:t>
            </w:r>
            <w:proofErr w:type="spellStart"/>
            <w:r w:rsidRPr="000E7D9F">
              <w:rPr>
                <w:sz w:val="20"/>
                <w:szCs w:val="20"/>
              </w:rPr>
              <w:t>their</w:t>
            </w:r>
            <w:proofErr w:type="spellEnd"/>
            <w:r w:rsidRPr="000E7D9F">
              <w:rPr>
                <w:sz w:val="20"/>
                <w:szCs w:val="20"/>
              </w:rPr>
              <w:t xml:space="preserve"> </w:t>
            </w:r>
            <w:proofErr w:type="spellStart"/>
            <w:r w:rsidRPr="000E7D9F">
              <w:rPr>
                <w:sz w:val="20"/>
                <w:szCs w:val="20"/>
              </w:rPr>
              <w:t>states</w:t>
            </w:r>
            <w:proofErr w:type="spellEnd"/>
            <w:r w:rsidRPr="000E7D9F">
              <w:rPr>
                <w:sz w:val="20"/>
                <w:szCs w:val="20"/>
              </w:rPr>
              <w:t>“</w:t>
            </w:r>
            <w:r w:rsidRPr="000E7D9F">
              <w:rPr>
                <w:sz w:val="20"/>
                <w:szCs w:val="20"/>
                <w:vertAlign w:val="superscript"/>
              </w:rPr>
              <w:footnoteReference w:id="1994"/>
            </w:r>
            <w:r w:rsidRPr="000E7D9F">
              <w:rPr>
                <w:sz w:val="20"/>
                <w:szCs w:val="20"/>
              </w:rPr>
              <w:t xml:space="preserve">). Deshalb, und weil die </w:t>
            </w:r>
            <w:r w:rsidRPr="5B67C1D2">
              <w:rPr>
                <w:i/>
                <w:iCs/>
                <w:sz w:val="20"/>
                <w:szCs w:val="20"/>
              </w:rPr>
              <w:t>Declaration of Independence</w:t>
            </w:r>
            <w:r w:rsidRPr="000E7D9F">
              <w:rPr>
                <w:sz w:val="20"/>
                <w:szCs w:val="20"/>
              </w:rPr>
              <w:t xml:space="preserve"> mit </w:t>
            </w:r>
            <w:r>
              <w:rPr>
                <w:sz w:val="20"/>
                <w:szCs w:val="20"/>
              </w:rPr>
              <w:t>ihrem</w:t>
            </w:r>
            <w:r w:rsidRPr="000E7D9F">
              <w:rPr>
                <w:sz w:val="20"/>
                <w:szCs w:val="20"/>
              </w:rPr>
              <w:t xml:space="preserve"> Geist die Zielsetzung für das amerikanische Verfassungsrecht vorgebe, erschließ</w:t>
            </w:r>
            <w:r>
              <w:rPr>
                <w:sz w:val="20"/>
                <w:szCs w:val="20"/>
              </w:rPr>
              <w:t>e</w:t>
            </w:r>
            <w:r w:rsidRPr="000E7D9F">
              <w:rPr>
                <w:sz w:val="20"/>
                <w:szCs w:val="20"/>
              </w:rPr>
              <w:t xml:space="preserve"> sich für die Bill of Rights bzw. die Amendments das Folgende: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E7D9F">
              <w:rPr>
                <w:sz w:val="20"/>
                <w:szCs w:val="20"/>
              </w:rPr>
              <w:t xml:space="preserve"> verpflichte Bundesstaaten nicht dazu, das Verfahren </w:t>
            </w:r>
            <w:r>
              <w:rPr>
                <w:sz w:val="20"/>
                <w:szCs w:val="20"/>
              </w:rPr>
              <w:t>ihrer</w:t>
            </w:r>
            <w:r w:rsidRPr="000E7D9F">
              <w:rPr>
                <w:sz w:val="20"/>
                <w:szCs w:val="20"/>
              </w:rPr>
              <w:t xml:space="preserve"> Strafprozesse an das Verfahren der Bundesgerichte anzupassen</w:t>
            </w:r>
            <w:r>
              <w:rPr>
                <w:sz w:val="20"/>
                <w:szCs w:val="20"/>
              </w:rPr>
              <w:t>. D</w:t>
            </w:r>
            <w:r w:rsidRPr="000E7D9F">
              <w:rPr>
                <w:sz w:val="20"/>
                <w:szCs w:val="20"/>
              </w:rPr>
              <w:t>as Verfahren vor dem Bundesgericht bestimme Fed. R. Crim. P. 44.</w:t>
            </w:r>
            <w:r w:rsidRPr="000E7D9F">
              <w:rPr>
                <w:sz w:val="20"/>
                <w:szCs w:val="20"/>
                <w:vertAlign w:val="superscript"/>
              </w:rPr>
              <w:footnoteReference w:id="1995"/>
            </w:r>
            <w:r w:rsidRPr="000E7D9F">
              <w:rPr>
                <w:sz w:val="20"/>
                <w:szCs w:val="20"/>
              </w:rPr>
              <w:t xml:space="preserve"> Und dieses Gesetz – </w:t>
            </w:r>
            <w:r>
              <w:rPr>
                <w:sz w:val="20"/>
                <w:szCs w:val="20"/>
              </w:rPr>
              <w:t>also</w:t>
            </w:r>
            <w:r w:rsidRPr="000E7D9F">
              <w:rPr>
                <w:sz w:val="20"/>
                <w:szCs w:val="20"/>
              </w:rPr>
              <w:t xml:space="preserve"> Fed. R. Crim. P. 44 – konkretisiere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E7D9F">
              <w:rPr>
                <w:sz w:val="20"/>
                <w:szCs w:val="20"/>
              </w:rPr>
              <w:t xml:space="preserve"> und bilde nur eine Anforderung, die für Bundesgerichte gelte. Daher könn</w:t>
            </w:r>
            <w:r>
              <w:rPr>
                <w:sz w:val="20"/>
                <w:szCs w:val="20"/>
              </w:rPr>
              <w:t>t</w:t>
            </w:r>
            <w:r w:rsidRPr="000E7D9F">
              <w:rPr>
                <w:sz w:val="20"/>
                <w:szCs w:val="20"/>
              </w:rPr>
              <w:t>en sich die Bundesstaaten in ihrem Ermessen daran orientieren. Sie müss</w:t>
            </w:r>
            <w:r>
              <w:rPr>
                <w:sz w:val="20"/>
                <w:szCs w:val="20"/>
              </w:rPr>
              <w:t>t</w:t>
            </w:r>
            <w:r w:rsidRPr="000E7D9F">
              <w:rPr>
                <w:sz w:val="20"/>
                <w:szCs w:val="20"/>
              </w:rPr>
              <w:t xml:space="preserve">en es aber nicht. </w:t>
            </w:r>
            <w:r>
              <w:rPr>
                <w:sz w:val="20"/>
                <w:szCs w:val="20"/>
              </w:rPr>
              <w:t>Es</w:t>
            </w:r>
            <w:r w:rsidRPr="000E7D9F">
              <w:rPr>
                <w:sz w:val="20"/>
                <w:szCs w:val="20"/>
              </w:rPr>
              <w:t xml:space="preserve"> stehe den Bundesstaaten </w:t>
            </w:r>
            <w:r>
              <w:rPr>
                <w:sz w:val="20"/>
                <w:szCs w:val="20"/>
              </w:rPr>
              <w:t xml:space="preserve">also </w:t>
            </w:r>
            <w:r w:rsidRPr="000E7D9F">
              <w:rPr>
                <w:sz w:val="20"/>
                <w:szCs w:val="20"/>
              </w:rPr>
              <w:t xml:space="preserve">frei, eine eigene Verfahrensordnung festzulegen, </w:t>
            </w:r>
            <w:r>
              <w:rPr>
                <w:sz w:val="20"/>
                <w:szCs w:val="20"/>
              </w:rPr>
              <w:t>z.B.</w:t>
            </w:r>
            <w:r w:rsidRPr="000E7D9F">
              <w:rPr>
                <w:sz w:val="20"/>
                <w:szCs w:val="20"/>
              </w:rPr>
              <w:t xml:space="preserve"> für die anwaltliche Beistandspraxis. Dies stehe indes unter dem grundsätzlichen Vorbehalt, dass eine Verfahrensordnung bzw</w:t>
            </w:r>
            <w:r>
              <w:rPr>
                <w:sz w:val="20"/>
                <w:szCs w:val="20"/>
              </w:rPr>
              <w:t>.</w:t>
            </w:r>
            <w:r w:rsidRPr="000E7D9F">
              <w:rPr>
                <w:sz w:val="20"/>
                <w:szCs w:val="20"/>
              </w:rPr>
              <w:t xml:space="preserve"> -praxis nur nach einem rechtsstaatlichen Verfahren das Leben, die Freiheit oder das Eigentums des Angeklagten einschränken dürfe („</w:t>
            </w:r>
            <w:proofErr w:type="spellStart"/>
            <w:r w:rsidRPr="000E7D9F">
              <w:rPr>
                <w:sz w:val="20"/>
                <w:szCs w:val="20"/>
              </w:rPr>
              <w:t>minimum</w:t>
            </w:r>
            <w:proofErr w:type="spellEnd"/>
            <w:r w:rsidRPr="000E7D9F">
              <w:rPr>
                <w:sz w:val="20"/>
                <w:szCs w:val="20"/>
              </w:rPr>
              <w:t xml:space="preserve"> </w:t>
            </w:r>
            <w:proofErr w:type="spellStart"/>
            <w:r w:rsidRPr="000E7D9F">
              <w:rPr>
                <w:sz w:val="20"/>
                <w:szCs w:val="20"/>
              </w:rPr>
              <w:t>requirement</w:t>
            </w:r>
            <w:proofErr w:type="spellEnd"/>
            <w:r w:rsidRPr="000E7D9F">
              <w:rPr>
                <w:sz w:val="20"/>
                <w:szCs w:val="20"/>
              </w:rPr>
              <w:t xml:space="preserve"> of due </w:t>
            </w:r>
            <w:proofErr w:type="spellStart"/>
            <w:r w:rsidRPr="000E7D9F">
              <w:rPr>
                <w:sz w:val="20"/>
                <w:szCs w:val="20"/>
              </w:rPr>
              <w:t>process</w:t>
            </w:r>
            <w:proofErr w:type="spellEnd"/>
            <w:r w:rsidRPr="000E7D9F">
              <w:rPr>
                <w:sz w:val="20"/>
                <w:szCs w:val="20"/>
              </w:rPr>
              <w:t xml:space="preserve"> for the </w:t>
            </w:r>
            <w:proofErr w:type="spellStart"/>
            <w:r w:rsidRPr="000E7D9F">
              <w:rPr>
                <w:sz w:val="20"/>
                <w:szCs w:val="20"/>
              </w:rPr>
              <w:t>states</w:t>
            </w:r>
            <w:proofErr w:type="spellEnd"/>
            <w:r w:rsidRPr="000E7D9F">
              <w:rPr>
                <w:sz w:val="20"/>
                <w:szCs w:val="20"/>
              </w:rPr>
              <w:t>“</w:t>
            </w:r>
            <w:r w:rsidRPr="000E7D9F">
              <w:rPr>
                <w:sz w:val="20"/>
                <w:szCs w:val="20"/>
                <w:vertAlign w:val="superscript"/>
              </w:rPr>
              <w:footnoteReference w:id="1996"/>
            </w:r>
            <w:r w:rsidRPr="000E7D9F">
              <w:rPr>
                <w:sz w:val="20"/>
                <w:szCs w:val="20"/>
              </w:rPr>
              <w:t xml:space="preserve">). Dieses verfassungsrechtliche Minimum müsse eingehalten werden wegen des Freiheits- und Gerechtigkeitsprinzips („fundamental </w:t>
            </w:r>
            <w:proofErr w:type="spellStart"/>
            <w:r w:rsidRPr="000E7D9F">
              <w:rPr>
                <w:sz w:val="20"/>
                <w:szCs w:val="20"/>
              </w:rPr>
              <w:t>principles</w:t>
            </w:r>
            <w:proofErr w:type="spellEnd"/>
            <w:r w:rsidRPr="000E7D9F">
              <w:rPr>
                <w:sz w:val="20"/>
                <w:szCs w:val="20"/>
              </w:rPr>
              <w:t xml:space="preserve"> of </w:t>
            </w:r>
            <w:proofErr w:type="spellStart"/>
            <w:r w:rsidRPr="000E7D9F">
              <w:rPr>
                <w:sz w:val="20"/>
                <w:szCs w:val="20"/>
              </w:rPr>
              <w:t>liberty</w:t>
            </w:r>
            <w:proofErr w:type="spellEnd"/>
            <w:r w:rsidRPr="000E7D9F">
              <w:rPr>
                <w:sz w:val="20"/>
                <w:szCs w:val="20"/>
              </w:rPr>
              <w:t xml:space="preserve"> and </w:t>
            </w:r>
            <w:proofErr w:type="spellStart"/>
            <w:r w:rsidRPr="000E7D9F">
              <w:rPr>
                <w:sz w:val="20"/>
                <w:szCs w:val="20"/>
              </w:rPr>
              <w:t>justice</w:t>
            </w:r>
            <w:proofErr w:type="spellEnd"/>
            <w:r w:rsidRPr="000E7D9F">
              <w:rPr>
                <w:sz w:val="20"/>
                <w:szCs w:val="20"/>
              </w:rPr>
              <w:t>“</w:t>
            </w:r>
            <w:r w:rsidRPr="000E7D9F">
              <w:rPr>
                <w:sz w:val="20"/>
                <w:szCs w:val="20"/>
                <w:vertAlign w:val="superscript"/>
              </w:rPr>
              <w:footnoteReference w:id="1997"/>
            </w:r>
            <w:r w:rsidRPr="000E7D9F">
              <w:rPr>
                <w:sz w:val="20"/>
                <w:szCs w:val="20"/>
              </w:rPr>
              <w:t>) sowie des Zwecks der Verfassung („</w:t>
            </w:r>
            <w:proofErr w:type="spellStart"/>
            <w:r w:rsidRPr="000E7D9F">
              <w:rPr>
                <w:sz w:val="20"/>
                <w:szCs w:val="20"/>
              </w:rPr>
              <w:t>Constitution</w:t>
            </w:r>
            <w:proofErr w:type="spellEnd"/>
            <w:r w:rsidRPr="000E7D9F">
              <w:rPr>
                <w:sz w:val="20"/>
                <w:szCs w:val="20"/>
              </w:rPr>
              <w:t xml:space="preserve"> of the United States and in </w:t>
            </w:r>
            <w:proofErr w:type="spellStart"/>
            <w:r w:rsidRPr="000E7D9F">
              <w:rPr>
                <w:sz w:val="20"/>
                <w:szCs w:val="20"/>
              </w:rPr>
              <w:t>accordance</w:t>
            </w:r>
            <w:proofErr w:type="spellEnd"/>
            <w:r w:rsidRPr="000E7D9F">
              <w:rPr>
                <w:sz w:val="20"/>
                <w:szCs w:val="20"/>
              </w:rPr>
              <w:t xml:space="preserve"> </w:t>
            </w:r>
            <w:proofErr w:type="spellStart"/>
            <w:r w:rsidRPr="000E7D9F">
              <w:rPr>
                <w:sz w:val="20"/>
                <w:szCs w:val="20"/>
              </w:rPr>
              <w:t>with</w:t>
            </w:r>
            <w:proofErr w:type="spellEnd"/>
            <w:r w:rsidRPr="000E7D9F">
              <w:rPr>
                <w:sz w:val="20"/>
                <w:szCs w:val="20"/>
              </w:rPr>
              <w:t xml:space="preserve"> </w:t>
            </w:r>
            <w:proofErr w:type="spellStart"/>
            <w:r w:rsidRPr="000E7D9F">
              <w:rPr>
                <w:sz w:val="20"/>
                <w:szCs w:val="20"/>
              </w:rPr>
              <w:t>its</w:t>
            </w:r>
            <w:proofErr w:type="spellEnd"/>
            <w:r w:rsidRPr="000E7D9F">
              <w:rPr>
                <w:sz w:val="20"/>
                <w:szCs w:val="20"/>
              </w:rPr>
              <w:t xml:space="preserve"> </w:t>
            </w:r>
            <w:proofErr w:type="spellStart"/>
            <w:r w:rsidRPr="000E7D9F">
              <w:rPr>
                <w:sz w:val="20"/>
                <w:szCs w:val="20"/>
              </w:rPr>
              <w:t>purposes</w:t>
            </w:r>
            <w:proofErr w:type="spellEnd"/>
            <w:r w:rsidRPr="000E7D9F">
              <w:rPr>
                <w:sz w:val="20"/>
                <w:szCs w:val="20"/>
              </w:rPr>
              <w:t>“</w:t>
            </w:r>
            <w:r w:rsidRPr="000E7D9F">
              <w:rPr>
                <w:sz w:val="20"/>
                <w:szCs w:val="20"/>
                <w:vertAlign w:val="superscript"/>
              </w:rPr>
              <w:footnoteReference w:id="1998"/>
            </w:r>
            <w:r w:rsidRPr="000E7D9F">
              <w:rPr>
                <w:sz w:val="20"/>
                <w:szCs w:val="20"/>
              </w:rPr>
              <w:t xml:space="preserve">), namentlich der </w:t>
            </w:r>
            <w:r w:rsidRPr="5B67C1D2">
              <w:rPr>
                <w:i/>
                <w:iCs/>
                <w:sz w:val="20"/>
                <w:szCs w:val="20"/>
              </w:rPr>
              <w:t>Declaration of Independence</w:t>
            </w:r>
            <w:r w:rsidRPr="000E7D9F">
              <w:rPr>
                <w:sz w:val="20"/>
                <w:szCs w:val="20"/>
              </w:rPr>
              <w:t xml:space="preserve"> </w:t>
            </w:r>
            <w:r w:rsidRPr="00B45592">
              <w:rPr>
                <w:sz w:val="20"/>
                <w:szCs w:val="20"/>
              </w:rPr>
              <w:t>(„</w:t>
            </w:r>
            <w:proofErr w:type="spellStart"/>
            <w:r w:rsidRPr="00B45592">
              <w:rPr>
                <w:sz w:val="20"/>
                <w:szCs w:val="20"/>
              </w:rPr>
              <w:t>Constitution</w:t>
            </w:r>
            <w:proofErr w:type="spellEnd"/>
            <w:r w:rsidRPr="00B45592">
              <w:rPr>
                <w:sz w:val="20"/>
                <w:szCs w:val="20"/>
              </w:rPr>
              <w:t xml:space="preserve"> was </w:t>
            </w:r>
            <w:proofErr w:type="spellStart"/>
            <w:r w:rsidRPr="00B45592">
              <w:rPr>
                <w:sz w:val="20"/>
                <w:szCs w:val="20"/>
              </w:rPr>
              <w:t>conceived</w:t>
            </w:r>
            <w:proofErr w:type="spellEnd"/>
            <w:r w:rsidRPr="00B45592">
              <w:rPr>
                <w:sz w:val="20"/>
                <w:szCs w:val="20"/>
              </w:rPr>
              <w:t xml:space="preserve"> in large </w:t>
            </w:r>
            <w:proofErr w:type="spellStart"/>
            <w:r w:rsidRPr="00B45592">
              <w:rPr>
                <w:sz w:val="20"/>
                <w:szCs w:val="20"/>
              </w:rPr>
              <w:t>part</w:t>
            </w:r>
            <w:proofErr w:type="spellEnd"/>
            <w:r w:rsidRPr="00B45592">
              <w:rPr>
                <w:sz w:val="20"/>
                <w:szCs w:val="20"/>
              </w:rPr>
              <w:t xml:space="preserve"> in the </w:t>
            </w:r>
            <w:proofErr w:type="spellStart"/>
            <w:r w:rsidRPr="00B45592">
              <w:rPr>
                <w:sz w:val="20"/>
                <w:szCs w:val="20"/>
              </w:rPr>
              <w:t>spirit</w:t>
            </w:r>
            <w:proofErr w:type="spellEnd"/>
            <w:r w:rsidRPr="00B45592">
              <w:rPr>
                <w:sz w:val="20"/>
                <w:szCs w:val="20"/>
              </w:rPr>
              <w:t xml:space="preserve"> of the Declaration of Independence“</w:t>
            </w:r>
            <w:r w:rsidRPr="000E7D9F">
              <w:rPr>
                <w:sz w:val="20"/>
                <w:szCs w:val="20"/>
                <w:vertAlign w:val="superscript"/>
              </w:rPr>
              <w:footnoteReference w:id="1999"/>
            </w:r>
            <w:r w:rsidRPr="00B45592">
              <w:rPr>
                <w:sz w:val="20"/>
                <w:szCs w:val="20"/>
              </w:rPr>
              <w:t xml:space="preserve">). </w:t>
            </w:r>
            <w:r w:rsidRPr="000E7D9F">
              <w:rPr>
                <w:sz w:val="20"/>
                <w:szCs w:val="20"/>
              </w:rPr>
              <w:t xml:space="preserve">Zusammenfassend geben die unveräußerlichen Rechte um das Streben nach Glück vor, dass Bundesstaaten die Verfahrensordnung </w:t>
            </w:r>
            <w:r>
              <w:rPr>
                <w:sz w:val="20"/>
                <w:szCs w:val="20"/>
              </w:rPr>
              <w:t xml:space="preserve">so </w:t>
            </w:r>
            <w:r w:rsidRPr="000E7D9F">
              <w:rPr>
                <w:sz w:val="20"/>
                <w:szCs w:val="20"/>
              </w:rPr>
              <w:t xml:space="preserve">zu bestimmen haben, </w:t>
            </w:r>
            <w:r>
              <w:rPr>
                <w:sz w:val="20"/>
                <w:szCs w:val="20"/>
              </w:rPr>
              <w:t>dass</w:t>
            </w:r>
            <w:r w:rsidRPr="000E7D9F">
              <w:rPr>
                <w:sz w:val="20"/>
                <w:szCs w:val="20"/>
              </w:rPr>
              <w:t xml:space="preserve"> sie sich nah am Bürger ausrichte</w:t>
            </w:r>
            <w:r w:rsidR="008B1D3E">
              <w:rPr>
                <w:sz w:val="20"/>
                <w:szCs w:val="20"/>
              </w:rPr>
              <w:t>t</w:t>
            </w:r>
            <w:r w:rsidR="00117445">
              <w:rPr>
                <w:sz w:val="20"/>
                <w:szCs w:val="20"/>
              </w:rPr>
              <w:t xml:space="preserve"> – also, </w:t>
            </w:r>
            <w:r w:rsidR="00117445" w:rsidRPr="00117445">
              <w:rPr>
                <w:sz w:val="20"/>
                <w:szCs w:val="20"/>
              </w:rPr>
              <w:t>dass die Kontrolle über individuelle Rechte möglichst bürgernah verbleibt</w:t>
            </w:r>
            <w:r w:rsidRPr="000E7D9F">
              <w:rPr>
                <w:sz w:val="20"/>
                <w:szCs w:val="20"/>
              </w:rPr>
              <w:t xml:space="preserve">; indes ist jene Ausrichtung stets im Lichte des Verfahrensminima </w:t>
            </w:r>
            <w:r>
              <w:rPr>
                <w:sz w:val="20"/>
                <w:szCs w:val="20"/>
              </w:rPr>
              <w:t>von</w:t>
            </w:r>
            <w:r w:rsidRPr="000E7D9F">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E7D9F">
              <w:rPr>
                <w:sz w:val="20"/>
                <w:szCs w:val="20"/>
              </w:rPr>
              <w:t xml:space="preserve"> zu überprüfen</w:t>
            </w:r>
            <w:r>
              <w:rPr>
                <w:sz w:val="20"/>
                <w:szCs w:val="20"/>
              </w:rPr>
              <w:t>.</w:t>
            </w:r>
            <w:r w:rsidRPr="000E7D9F">
              <w:rPr>
                <w:sz w:val="20"/>
                <w:szCs w:val="20"/>
              </w:rPr>
              <w:t xml:space="preserve"> </w:t>
            </w:r>
            <w:r>
              <w:rPr>
                <w:sz w:val="20"/>
                <w:szCs w:val="20"/>
              </w:rPr>
              <w:t>D</w:t>
            </w:r>
            <w:r w:rsidRPr="000E7D9F">
              <w:rPr>
                <w:sz w:val="20"/>
                <w:szCs w:val="20"/>
              </w:rPr>
              <w:t xml:space="preserve">iese Minima </w:t>
            </w:r>
            <w:r>
              <w:rPr>
                <w:sz w:val="20"/>
                <w:szCs w:val="20"/>
              </w:rPr>
              <w:t>orientieren</w:t>
            </w:r>
            <w:r w:rsidRPr="000E7D9F">
              <w:rPr>
                <w:sz w:val="20"/>
                <w:szCs w:val="20"/>
              </w:rPr>
              <w:t xml:space="preserve"> wiederum an der </w:t>
            </w:r>
            <w:r w:rsidRPr="5B67C1D2">
              <w:rPr>
                <w:i/>
                <w:iCs/>
                <w:sz w:val="20"/>
                <w:szCs w:val="20"/>
              </w:rPr>
              <w:t>Declaration of Independence</w:t>
            </w:r>
            <w:r w:rsidRPr="000E7D9F">
              <w:rPr>
                <w:sz w:val="20"/>
                <w:szCs w:val="20"/>
              </w:rPr>
              <w:t xml:space="preserve"> und </w:t>
            </w:r>
            <w:r>
              <w:rPr>
                <w:sz w:val="20"/>
                <w:szCs w:val="20"/>
              </w:rPr>
              <w:t>ihren</w:t>
            </w:r>
            <w:r w:rsidRPr="000E7D9F">
              <w:rPr>
                <w:sz w:val="20"/>
                <w:szCs w:val="20"/>
              </w:rPr>
              <w:t xml:space="preserve"> unveräußerlichen Rechten um das Streben nach Glück.</w:t>
            </w:r>
          </w:p>
          <w:p w14:paraId="66EC7738" w14:textId="77777777" w:rsidR="00074551" w:rsidRPr="00E50B51" w:rsidRDefault="00074551" w:rsidP="00367133">
            <w:pPr>
              <w:jc w:val="both"/>
              <w:rPr>
                <w:sz w:val="20"/>
                <w:szCs w:val="20"/>
              </w:rPr>
            </w:pPr>
          </w:p>
        </w:tc>
      </w:tr>
      <w:tr w:rsidR="00074551" w:rsidRPr="00D10D17" w14:paraId="76469E94" w14:textId="77777777" w:rsidTr="00BE689F">
        <w:trPr>
          <w:cantSplit/>
          <w:trHeight w:val="3175"/>
        </w:trPr>
        <w:tc>
          <w:tcPr>
            <w:tcW w:w="293" w:type="pct"/>
          </w:tcPr>
          <w:p w14:paraId="474FBD0E"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59149448" w14:textId="77777777" w:rsidR="00074551" w:rsidRPr="00B45592" w:rsidRDefault="00074551" w:rsidP="00367133">
            <w:pPr>
              <w:ind w:left="113" w:right="416"/>
              <w:jc w:val="both"/>
              <w:rPr>
                <w:i/>
                <w:sz w:val="20"/>
                <w:szCs w:val="20"/>
                <w:lang w:val="en-US"/>
              </w:rPr>
            </w:pPr>
            <w:r w:rsidRPr="00B45592">
              <w:rPr>
                <w:i/>
                <w:sz w:val="20"/>
                <w:szCs w:val="20"/>
                <w:lang w:val="en-US"/>
              </w:rPr>
              <w:t xml:space="preserve">Cruzan v. Dir., Mo. </w:t>
            </w:r>
            <w:proofErr w:type="spellStart"/>
            <w:r w:rsidRPr="00B45592">
              <w:rPr>
                <w:i/>
                <w:sz w:val="20"/>
                <w:szCs w:val="20"/>
                <w:lang w:val="en-US"/>
              </w:rPr>
              <w:t>Dep’t</w:t>
            </w:r>
            <w:proofErr w:type="spellEnd"/>
            <w:r w:rsidRPr="00B45592">
              <w:rPr>
                <w:i/>
                <w:sz w:val="20"/>
                <w:szCs w:val="20"/>
                <w:lang w:val="en-US"/>
              </w:rPr>
              <w:t xml:space="preserve"> of Health</w:t>
            </w:r>
          </w:p>
        </w:tc>
        <w:tc>
          <w:tcPr>
            <w:tcW w:w="197" w:type="pct"/>
            <w:textDirection w:val="tbRl"/>
            <w:vAlign w:val="center"/>
          </w:tcPr>
          <w:p w14:paraId="058971F7" w14:textId="77777777" w:rsidR="00074551" w:rsidRPr="00E50B51" w:rsidRDefault="00074551" w:rsidP="00367133">
            <w:pPr>
              <w:ind w:left="113" w:right="113"/>
              <w:jc w:val="both"/>
              <w:rPr>
                <w:iCs/>
                <w:sz w:val="20"/>
                <w:szCs w:val="20"/>
              </w:rPr>
            </w:pPr>
            <w:r w:rsidRPr="00E50B51">
              <w:rPr>
                <w:sz w:val="20"/>
                <w:szCs w:val="20"/>
                <w:lang w:val="en-US"/>
              </w:rPr>
              <w:t>497 U.S. 261</w:t>
            </w:r>
          </w:p>
        </w:tc>
        <w:tc>
          <w:tcPr>
            <w:tcW w:w="306" w:type="pct"/>
            <w:textDirection w:val="tbRl"/>
            <w:vAlign w:val="center"/>
          </w:tcPr>
          <w:p w14:paraId="04E5C21D" w14:textId="77777777" w:rsidR="00074551" w:rsidRPr="00E50B51" w:rsidRDefault="00074551" w:rsidP="00367133">
            <w:pPr>
              <w:ind w:left="113" w:right="113"/>
              <w:jc w:val="both"/>
              <w:rPr>
                <w:sz w:val="20"/>
                <w:szCs w:val="20"/>
              </w:rPr>
            </w:pPr>
            <w:r w:rsidRPr="00E50B51">
              <w:rPr>
                <w:sz w:val="20"/>
                <w:szCs w:val="20"/>
              </w:rPr>
              <w:t>25. Juni 1990</w:t>
            </w:r>
          </w:p>
        </w:tc>
        <w:tc>
          <w:tcPr>
            <w:tcW w:w="401" w:type="pct"/>
          </w:tcPr>
          <w:p w14:paraId="7D547A8B" w14:textId="77777777" w:rsidR="00074551" w:rsidRPr="00E50B51" w:rsidRDefault="00074551" w:rsidP="00367133">
            <w:pPr>
              <w:jc w:val="center"/>
              <w:rPr>
                <w:sz w:val="20"/>
                <w:szCs w:val="20"/>
              </w:rPr>
            </w:pPr>
            <w:r w:rsidRPr="00E50B51">
              <w:rPr>
                <w:sz w:val="20"/>
                <w:szCs w:val="20"/>
              </w:rPr>
              <w:t>D</w:t>
            </w:r>
          </w:p>
        </w:tc>
        <w:tc>
          <w:tcPr>
            <w:tcW w:w="1594" w:type="pct"/>
          </w:tcPr>
          <w:p w14:paraId="2CEE268D" w14:textId="77777777" w:rsidR="00074551" w:rsidRPr="00E50B51" w:rsidRDefault="00074551" w:rsidP="00367133">
            <w:pPr>
              <w:jc w:val="both"/>
              <w:rPr>
                <w:sz w:val="20"/>
                <w:szCs w:val="20"/>
              </w:rPr>
            </w:pPr>
            <w:r w:rsidRPr="00E50B51">
              <w:rPr>
                <w:sz w:val="20"/>
                <w:szCs w:val="20"/>
              </w:rPr>
              <w:t>*</w:t>
            </w:r>
          </w:p>
        </w:tc>
        <w:tc>
          <w:tcPr>
            <w:tcW w:w="1822" w:type="pct"/>
          </w:tcPr>
          <w:p w14:paraId="4749B308" w14:textId="44E3E6C4" w:rsidR="00074551" w:rsidRDefault="00074551" w:rsidP="00367133">
            <w:pPr>
              <w:jc w:val="both"/>
              <w:rPr>
                <w:sz w:val="20"/>
                <w:szCs w:val="20"/>
              </w:rPr>
            </w:pPr>
            <w:r w:rsidRPr="005D3EA2">
              <w:rPr>
                <w:sz w:val="20"/>
                <w:szCs w:val="20"/>
              </w:rPr>
              <w:t xml:space="preserve">Die Verfahrensanforderungen für den Beweisstandard oder das Verfahren, um den tatsächlichen Willen festzustellen, leiten sich auch aus dem </w:t>
            </w:r>
            <w:proofErr w:type="spellStart"/>
            <w:r w:rsidRPr="5B67C1D2">
              <w:rPr>
                <w:i/>
                <w:iCs/>
                <w:sz w:val="20"/>
                <w:szCs w:val="20"/>
              </w:rPr>
              <w:t>pursuit</w:t>
            </w:r>
            <w:proofErr w:type="spellEnd"/>
            <w:r w:rsidRPr="5B67C1D2">
              <w:rPr>
                <w:i/>
                <w:iCs/>
                <w:sz w:val="20"/>
                <w:szCs w:val="20"/>
              </w:rPr>
              <w:t xml:space="preserve"> of Happiness</w:t>
            </w:r>
            <w:r w:rsidRPr="005D3EA2">
              <w:rPr>
                <w:sz w:val="20"/>
                <w:szCs w:val="20"/>
              </w:rPr>
              <w:t xml:space="preserve"> ab, wie der Dissens erklärt. Doch was bedeute</w:t>
            </w:r>
            <w:r>
              <w:rPr>
                <w:sz w:val="20"/>
                <w:szCs w:val="20"/>
              </w:rPr>
              <w:t>n</w:t>
            </w:r>
            <w:r w:rsidRPr="005D3EA2">
              <w:rPr>
                <w:sz w:val="20"/>
                <w:szCs w:val="20"/>
              </w:rPr>
              <w:t xml:space="preserve"> der Beweisstandard und das Verfahren zur Willensfeststellung und wie leiten sie sich genau aus dem </w:t>
            </w:r>
            <w:proofErr w:type="spellStart"/>
            <w:r w:rsidRPr="5B67C1D2">
              <w:rPr>
                <w:i/>
                <w:iCs/>
                <w:sz w:val="20"/>
                <w:szCs w:val="20"/>
              </w:rPr>
              <w:t>pursuit</w:t>
            </w:r>
            <w:proofErr w:type="spellEnd"/>
            <w:r w:rsidRPr="5B67C1D2">
              <w:rPr>
                <w:i/>
                <w:iCs/>
                <w:sz w:val="20"/>
                <w:szCs w:val="20"/>
              </w:rPr>
              <w:t xml:space="preserve"> of Happiness</w:t>
            </w:r>
            <w:r w:rsidRPr="005D3EA2">
              <w:rPr>
                <w:sz w:val="20"/>
                <w:szCs w:val="20"/>
              </w:rPr>
              <w:t xml:space="preserve"> ab? Der </w:t>
            </w:r>
            <w:r>
              <w:rPr>
                <w:sz w:val="20"/>
                <w:szCs w:val="20"/>
              </w:rPr>
              <w:t>U.S. Supreme Court</w:t>
            </w:r>
            <w:r w:rsidRPr="005D3EA2">
              <w:rPr>
                <w:sz w:val="20"/>
                <w:szCs w:val="20"/>
              </w:rPr>
              <w:t xml:space="preserve"> erklärt zunächst, der Beweisstandard sei verankert in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5D3EA2">
              <w:rPr>
                <w:sz w:val="20"/>
                <w:szCs w:val="20"/>
              </w:rPr>
              <w:t xml:space="preserve"> und in der Verfassungsvorgabe, Tatsachen festzustellen, bevor eine staatliche Maßnahme oder Entscheidung vorgenommen wird,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5D3EA2">
              <w:rPr>
                <w:sz w:val="20"/>
                <w:szCs w:val="20"/>
              </w:rPr>
              <w:t xml:space="preserve"> </w:t>
            </w:r>
            <w:r w:rsidR="003B5AC8" w:rsidRPr="003B5AC8">
              <w:rPr>
                <w:sz w:val="20"/>
                <w:szCs w:val="20"/>
              </w:rPr>
              <w:t>Das Ziel des Beweisstandards (</w:t>
            </w:r>
            <w:r w:rsidR="003B5AC8" w:rsidRPr="005D3EA2">
              <w:rPr>
                <w:sz w:val="20"/>
                <w:szCs w:val="20"/>
              </w:rPr>
              <w:t>„</w:t>
            </w:r>
            <w:proofErr w:type="spellStart"/>
            <w:r w:rsidR="003B5AC8" w:rsidRPr="005D3EA2">
              <w:rPr>
                <w:sz w:val="20"/>
                <w:szCs w:val="20"/>
              </w:rPr>
              <w:t>function</w:t>
            </w:r>
            <w:proofErr w:type="spellEnd"/>
            <w:r w:rsidR="003B5AC8" w:rsidRPr="005D3EA2">
              <w:rPr>
                <w:sz w:val="20"/>
                <w:szCs w:val="20"/>
              </w:rPr>
              <w:t xml:space="preserve"> of a </w:t>
            </w:r>
            <w:proofErr w:type="spellStart"/>
            <w:r w:rsidR="003B5AC8" w:rsidRPr="005D3EA2">
              <w:rPr>
                <w:sz w:val="20"/>
                <w:szCs w:val="20"/>
              </w:rPr>
              <w:t>standard</w:t>
            </w:r>
            <w:proofErr w:type="spellEnd"/>
            <w:r w:rsidR="003B5AC8" w:rsidRPr="005D3EA2">
              <w:rPr>
                <w:sz w:val="20"/>
                <w:szCs w:val="20"/>
              </w:rPr>
              <w:t xml:space="preserve"> of </w:t>
            </w:r>
            <w:proofErr w:type="spellStart"/>
            <w:r w:rsidR="003B5AC8" w:rsidRPr="005D3EA2">
              <w:rPr>
                <w:sz w:val="20"/>
                <w:szCs w:val="20"/>
              </w:rPr>
              <w:t>proof</w:t>
            </w:r>
            <w:proofErr w:type="spellEnd"/>
            <w:r w:rsidR="003B5AC8" w:rsidRPr="005D3EA2">
              <w:rPr>
                <w:sz w:val="20"/>
                <w:szCs w:val="20"/>
              </w:rPr>
              <w:t>“</w:t>
            </w:r>
            <w:r w:rsidR="003B5AC8" w:rsidRPr="005D3EA2">
              <w:rPr>
                <w:sz w:val="20"/>
                <w:szCs w:val="20"/>
                <w:vertAlign w:val="superscript"/>
              </w:rPr>
              <w:footnoteReference w:id="2000"/>
            </w:r>
            <w:r w:rsidR="003B5AC8" w:rsidRPr="003B5AC8">
              <w:rPr>
                <w:sz w:val="20"/>
                <w:szCs w:val="20"/>
              </w:rPr>
              <w:t>) sei, dem Tatsachenentscheider vorzugeben, welchen Grad der Überzeugung (</w:t>
            </w:r>
            <w:r w:rsidR="003B5AC8" w:rsidRPr="005D3EA2">
              <w:rPr>
                <w:sz w:val="20"/>
                <w:szCs w:val="20"/>
              </w:rPr>
              <w:t>„</w:t>
            </w:r>
            <w:proofErr w:type="spellStart"/>
            <w:r w:rsidR="003B5AC8" w:rsidRPr="005D3EA2">
              <w:rPr>
                <w:sz w:val="20"/>
                <w:szCs w:val="20"/>
              </w:rPr>
              <w:t>degree</w:t>
            </w:r>
            <w:proofErr w:type="spellEnd"/>
            <w:r w:rsidR="003B5AC8" w:rsidRPr="005D3EA2">
              <w:rPr>
                <w:sz w:val="20"/>
                <w:szCs w:val="20"/>
              </w:rPr>
              <w:t xml:space="preserve"> of </w:t>
            </w:r>
            <w:proofErr w:type="spellStart"/>
            <w:r w:rsidR="003B5AC8" w:rsidRPr="005D3EA2">
              <w:rPr>
                <w:sz w:val="20"/>
                <w:szCs w:val="20"/>
              </w:rPr>
              <w:t>confidence</w:t>
            </w:r>
            <w:proofErr w:type="spellEnd"/>
            <w:r w:rsidR="003B5AC8" w:rsidRPr="005D3EA2">
              <w:rPr>
                <w:sz w:val="20"/>
                <w:szCs w:val="20"/>
              </w:rPr>
              <w:t> “</w:t>
            </w:r>
            <w:r w:rsidR="003B5AC8" w:rsidRPr="005D3EA2">
              <w:rPr>
                <w:sz w:val="20"/>
                <w:szCs w:val="20"/>
                <w:vertAlign w:val="superscript"/>
              </w:rPr>
              <w:footnoteReference w:id="2001"/>
            </w:r>
            <w:r w:rsidR="003B5AC8" w:rsidRPr="003B5AC8">
              <w:rPr>
                <w:sz w:val="20"/>
                <w:szCs w:val="20"/>
              </w:rPr>
              <w:t>) er hinsichtlich der Richtigkeit seiner Tatsachenfeststellungen (</w:t>
            </w:r>
            <w:r w:rsidR="003B5AC8" w:rsidRPr="005D3EA2">
              <w:rPr>
                <w:sz w:val="20"/>
                <w:szCs w:val="20"/>
              </w:rPr>
              <w:t>„</w:t>
            </w:r>
            <w:proofErr w:type="spellStart"/>
            <w:r w:rsidR="003B5AC8" w:rsidRPr="005D3EA2">
              <w:rPr>
                <w:sz w:val="20"/>
                <w:szCs w:val="20"/>
              </w:rPr>
              <w:t>factual</w:t>
            </w:r>
            <w:proofErr w:type="spellEnd"/>
            <w:r w:rsidR="003B5AC8" w:rsidRPr="005D3EA2">
              <w:rPr>
                <w:sz w:val="20"/>
                <w:szCs w:val="20"/>
              </w:rPr>
              <w:t xml:space="preserve"> </w:t>
            </w:r>
            <w:proofErr w:type="spellStart"/>
            <w:r w:rsidR="003B5AC8" w:rsidRPr="005D3EA2">
              <w:rPr>
                <w:sz w:val="20"/>
                <w:szCs w:val="20"/>
              </w:rPr>
              <w:t>conclusions</w:t>
            </w:r>
            <w:proofErr w:type="spellEnd"/>
            <w:r w:rsidR="003B5AC8" w:rsidRPr="005D3EA2">
              <w:rPr>
                <w:sz w:val="20"/>
                <w:szCs w:val="20"/>
              </w:rPr>
              <w:t>“</w:t>
            </w:r>
            <w:r w:rsidR="003B5AC8" w:rsidRPr="005D3EA2">
              <w:rPr>
                <w:sz w:val="20"/>
                <w:szCs w:val="20"/>
                <w:vertAlign w:val="superscript"/>
              </w:rPr>
              <w:t xml:space="preserve"> </w:t>
            </w:r>
            <w:r w:rsidR="003B5AC8" w:rsidRPr="005D3EA2">
              <w:rPr>
                <w:sz w:val="20"/>
                <w:szCs w:val="20"/>
                <w:vertAlign w:val="superscript"/>
              </w:rPr>
              <w:footnoteReference w:id="2002"/>
            </w:r>
            <w:r w:rsidR="003B5AC8" w:rsidRPr="003B5AC8">
              <w:rPr>
                <w:sz w:val="20"/>
                <w:szCs w:val="20"/>
              </w:rPr>
              <w:t>) bei der jeweiligen Art des Verfahrens haben müsse.</w:t>
            </w:r>
            <w:r w:rsidR="003B5AC8">
              <w:rPr>
                <w:sz w:val="20"/>
                <w:szCs w:val="20"/>
              </w:rPr>
              <w:t xml:space="preserve"> </w:t>
            </w:r>
            <w:r w:rsidRPr="005D3EA2">
              <w:rPr>
                <w:sz w:val="20"/>
                <w:szCs w:val="20"/>
              </w:rPr>
              <w:t xml:space="preserve">Zum Beispiel gibt es einen mittleren Beweisstandard („intermediate </w:t>
            </w:r>
            <w:proofErr w:type="spellStart"/>
            <w:r w:rsidRPr="005D3EA2">
              <w:rPr>
                <w:sz w:val="20"/>
                <w:szCs w:val="20"/>
              </w:rPr>
              <w:t>standard</w:t>
            </w:r>
            <w:proofErr w:type="spellEnd"/>
            <w:r w:rsidRPr="005D3EA2">
              <w:rPr>
                <w:sz w:val="20"/>
                <w:szCs w:val="20"/>
              </w:rPr>
              <w:t xml:space="preserve"> of </w:t>
            </w:r>
            <w:proofErr w:type="spellStart"/>
            <w:r w:rsidRPr="005D3EA2">
              <w:rPr>
                <w:sz w:val="20"/>
                <w:szCs w:val="20"/>
              </w:rPr>
              <w:t>proof</w:t>
            </w:r>
            <w:proofErr w:type="spellEnd"/>
            <w:r w:rsidRPr="005D3EA2">
              <w:rPr>
                <w:sz w:val="20"/>
                <w:szCs w:val="20"/>
              </w:rPr>
              <w:t>“</w:t>
            </w:r>
            <w:r w:rsidRPr="005D3EA2">
              <w:rPr>
                <w:sz w:val="20"/>
                <w:szCs w:val="20"/>
                <w:vertAlign w:val="superscript"/>
              </w:rPr>
              <w:footnoteReference w:id="2003"/>
            </w:r>
            <w:r w:rsidRPr="005D3EA2">
              <w:rPr>
                <w:sz w:val="20"/>
                <w:szCs w:val="20"/>
              </w:rPr>
              <w:t>). Für den braucht es hinreichend bestimmte und nach kriminalistischer Erfahrung überzeugende Beweise, wenn individuelle Interessen betroffen sind, die für die Lebensführung zentral sind</w:t>
            </w:r>
            <w:r>
              <w:rPr>
                <w:sz w:val="20"/>
                <w:szCs w:val="20"/>
              </w:rPr>
              <w:t>,</w:t>
            </w:r>
            <w:r w:rsidRPr="005D3EA2">
              <w:rPr>
                <w:sz w:val="20"/>
                <w:szCs w:val="20"/>
              </w:rPr>
              <w:t xml:space="preserve"> und diese Interessen über einen bloßen finanziellen Verlust hinausgehen. Beispiele für solche Interessen sind Abschiebungen,</w:t>
            </w:r>
            <w:r w:rsidRPr="005D3EA2">
              <w:rPr>
                <w:sz w:val="20"/>
                <w:szCs w:val="20"/>
                <w:vertAlign w:val="superscript"/>
              </w:rPr>
              <w:footnoteReference w:id="2004"/>
            </w:r>
            <w:r w:rsidRPr="005D3EA2">
              <w:rPr>
                <w:sz w:val="20"/>
                <w:szCs w:val="20"/>
              </w:rPr>
              <w:t xml:space="preserve"> Ausbürgerungen</w:t>
            </w:r>
            <w:r w:rsidRPr="005D3EA2">
              <w:rPr>
                <w:sz w:val="20"/>
                <w:szCs w:val="20"/>
                <w:vertAlign w:val="superscript"/>
              </w:rPr>
              <w:footnoteReference w:id="2005"/>
            </w:r>
            <w:r w:rsidRPr="005D3EA2">
              <w:rPr>
                <w:sz w:val="20"/>
                <w:szCs w:val="20"/>
              </w:rPr>
              <w:t xml:space="preserve"> und Einweisungen.</w:t>
            </w:r>
            <w:r w:rsidRPr="005D3EA2">
              <w:rPr>
                <w:sz w:val="20"/>
                <w:szCs w:val="20"/>
                <w:vertAlign w:val="superscript"/>
              </w:rPr>
              <w:footnoteReference w:id="2006"/>
            </w:r>
            <w:r w:rsidRPr="005D3EA2">
              <w:rPr>
                <w:sz w:val="20"/>
                <w:szCs w:val="20"/>
              </w:rPr>
              <w:t xml:space="preserve"> Eine damit zusammenhängende Verfahrensanforderung sei, dass der Staat Schutzmechanismen gegen Missbrauch einzurichten habe, wenn er den Willen einer eingeschränkt geschäftsfähigen Person feststellen will. Dafür komme dem Staat die Pflicht zu, ein nichtkontradiktorisches gerichtliches Verfahren einzurichten.</w:t>
            </w:r>
            <w:r w:rsidRPr="005D3EA2">
              <w:rPr>
                <w:sz w:val="20"/>
                <w:szCs w:val="20"/>
                <w:vertAlign w:val="superscript"/>
              </w:rPr>
              <w:footnoteReference w:id="2007"/>
            </w:r>
            <w:r w:rsidRPr="005D3EA2">
              <w:rPr>
                <w:sz w:val="20"/>
                <w:szCs w:val="20"/>
              </w:rPr>
              <w:t xml:space="preserve"> Doch woraus leiten sich diese Anforderungen („</w:t>
            </w:r>
            <w:proofErr w:type="spellStart"/>
            <w:r w:rsidRPr="005D3EA2">
              <w:rPr>
                <w:sz w:val="20"/>
                <w:szCs w:val="20"/>
              </w:rPr>
              <w:t>procedural</w:t>
            </w:r>
            <w:proofErr w:type="spellEnd"/>
            <w:r w:rsidRPr="005D3EA2">
              <w:rPr>
                <w:sz w:val="20"/>
                <w:szCs w:val="20"/>
              </w:rPr>
              <w:t xml:space="preserve"> </w:t>
            </w:r>
            <w:proofErr w:type="spellStart"/>
            <w:r w:rsidRPr="005D3EA2">
              <w:rPr>
                <w:sz w:val="20"/>
                <w:szCs w:val="20"/>
              </w:rPr>
              <w:t>requirement</w:t>
            </w:r>
            <w:proofErr w:type="spellEnd"/>
            <w:r w:rsidRPr="005D3EA2">
              <w:rPr>
                <w:sz w:val="20"/>
                <w:szCs w:val="20"/>
              </w:rPr>
              <w:t>“</w:t>
            </w:r>
            <w:r w:rsidRPr="005D3EA2">
              <w:rPr>
                <w:sz w:val="20"/>
                <w:szCs w:val="20"/>
                <w:vertAlign w:val="superscript"/>
              </w:rPr>
              <w:footnoteReference w:id="2008"/>
            </w:r>
            <w:r w:rsidRPr="005D3EA2">
              <w:rPr>
                <w:sz w:val="20"/>
                <w:szCs w:val="20"/>
              </w:rPr>
              <w:t>) ab? Dies beschreibt der Dissens: Einerseits aus dem Zusammenspiel der drei Staatsziele, die im Einzelfall miteinander in Einklang zu bringen sind: dem Recht auf Leben, auf Freiheit und auf ein Streben nach Glück („</w:t>
            </w:r>
            <w:proofErr w:type="spellStart"/>
            <w:r w:rsidRPr="005D3EA2">
              <w:rPr>
                <w:sz w:val="20"/>
                <w:szCs w:val="20"/>
              </w:rPr>
              <w:t>equal</w:t>
            </w:r>
            <w:proofErr w:type="spellEnd"/>
            <w:r w:rsidRPr="005D3EA2">
              <w:rPr>
                <w:sz w:val="20"/>
                <w:szCs w:val="20"/>
              </w:rPr>
              <w:t xml:space="preserve"> </w:t>
            </w:r>
            <w:proofErr w:type="spellStart"/>
            <w:r w:rsidRPr="005D3EA2">
              <w:rPr>
                <w:sz w:val="20"/>
                <w:szCs w:val="20"/>
              </w:rPr>
              <w:t>right</w:t>
            </w:r>
            <w:proofErr w:type="spellEnd"/>
            <w:r w:rsidRPr="005D3EA2">
              <w:rPr>
                <w:sz w:val="20"/>
                <w:szCs w:val="20"/>
              </w:rPr>
              <w:t xml:space="preserve"> of </w:t>
            </w:r>
            <w:proofErr w:type="spellStart"/>
            <w:r w:rsidRPr="005D3EA2">
              <w:rPr>
                <w:sz w:val="20"/>
                <w:szCs w:val="20"/>
              </w:rPr>
              <w:t>every</w:t>
            </w:r>
            <w:proofErr w:type="spellEnd"/>
            <w:r w:rsidRPr="005D3EA2">
              <w:rPr>
                <w:sz w:val="20"/>
                <w:szCs w:val="20"/>
              </w:rPr>
              <w:t xml:space="preserve"> </w:t>
            </w:r>
            <w:proofErr w:type="spellStart"/>
            <w:r w:rsidRPr="005D3EA2">
              <w:rPr>
                <w:sz w:val="20"/>
                <w:szCs w:val="20"/>
              </w:rPr>
              <w:t>person</w:t>
            </w:r>
            <w:proofErr w:type="spellEnd"/>
            <w:r w:rsidRPr="005D3EA2">
              <w:rPr>
                <w:sz w:val="20"/>
                <w:szCs w:val="20"/>
              </w:rPr>
              <w:t xml:space="preserve"> to Life, Liberty, and the </w:t>
            </w:r>
            <w:proofErr w:type="spellStart"/>
            <w:r w:rsidRPr="005D3EA2">
              <w:rPr>
                <w:sz w:val="20"/>
                <w:szCs w:val="20"/>
              </w:rPr>
              <w:t>pursuit</w:t>
            </w:r>
            <w:proofErr w:type="spellEnd"/>
            <w:r w:rsidRPr="005D3EA2">
              <w:rPr>
                <w:sz w:val="20"/>
                <w:szCs w:val="20"/>
              </w:rPr>
              <w:t xml:space="preserve"> of Happiness“</w:t>
            </w:r>
            <w:r w:rsidRPr="005D3EA2">
              <w:rPr>
                <w:sz w:val="20"/>
                <w:szCs w:val="20"/>
                <w:vertAlign w:val="superscript"/>
              </w:rPr>
              <w:footnoteReference w:id="2009"/>
            </w:r>
            <w:r w:rsidRPr="005D3EA2">
              <w:rPr>
                <w:sz w:val="20"/>
                <w:szCs w:val="20"/>
              </w:rPr>
              <w:t xml:space="preserve">). Diese Einzelfallabwägung fehle im Fall, wo über lebensverlängernde Maßnahmen einer behinderten bzw. geschäftsunfähigen Person entscheiden wurde. Denn jene Abwägung gehe </w:t>
            </w:r>
            <w:r>
              <w:rPr>
                <w:sz w:val="20"/>
                <w:szCs w:val="20"/>
              </w:rPr>
              <w:t>rein</w:t>
            </w:r>
            <w:r w:rsidRPr="005D3EA2">
              <w:rPr>
                <w:sz w:val="20"/>
                <w:szCs w:val="20"/>
              </w:rPr>
              <w:t xml:space="preserve"> pauschal zulasten des Rechts auf Freiheit und des Rechts auf ein Streben nach Glück. </w:t>
            </w:r>
            <w:proofErr w:type="spellStart"/>
            <w:r w:rsidRPr="005D3EA2">
              <w:rPr>
                <w:sz w:val="20"/>
                <w:szCs w:val="20"/>
                <w:lang w:val="en-US"/>
              </w:rPr>
              <w:t>Stattdessen</w:t>
            </w:r>
            <w:proofErr w:type="spellEnd"/>
            <w:r w:rsidRPr="005D3EA2">
              <w:rPr>
                <w:sz w:val="20"/>
                <w:szCs w:val="20"/>
                <w:lang w:val="en-US"/>
              </w:rPr>
              <w:t xml:space="preserve"> </w:t>
            </w:r>
            <w:proofErr w:type="spellStart"/>
            <w:r w:rsidRPr="005D3EA2">
              <w:rPr>
                <w:sz w:val="20"/>
                <w:szCs w:val="20"/>
                <w:lang w:val="en-US"/>
              </w:rPr>
              <w:t>nehme</w:t>
            </w:r>
            <w:proofErr w:type="spellEnd"/>
            <w:r w:rsidRPr="005D3EA2">
              <w:rPr>
                <w:sz w:val="20"/>
                <w:szCs w:val="20"/>
                <w:lang w:val="en-US"/>
              </w:rPr>
              <w:t xml:space="preserve"> </w:t>
            </w:r>
            <w:proofErr w:type="spellStart"/>
            <w:r w:rsidRPr="005D3EA2">
              <w:rPr>
                <w:sz w:val="20"/>
                <w:szCs w:val="20"/>
                <w:lang w:val="en-US"/>
              </w:rPr>
              <w:t>sie</w:t>
            </w:r>
            <w:proofErr w:type="spellEnd"/>
            <w:r w:rsidRPr="005D3EA2">
              <w:rPr>
                <w:sz w:val="20"/>
                <w:szCs w:val="20"/>
                <w:lang w:val="en-US"/>
              </w:rPr>
              <w:t xml:space="preserve"> an, das Recht auf Leben </w:t>
            </w:r>
            <w:proofErr w:type="spellStart"/>
            <w:r w:rsidRPr="005D3EA2">
              <w:rPr>
                <w:sz w:val="20"/>
                <w:szCs w:val="20"/>
                <w:lang w:val="en-US"/>
              </w:rPr>
              <w:t>prävaliere</w:t>
            </w:r>
            <w:proofErr w:type="spellEnd"/>
            <w:r w:rsidRPr="005D3EA2">
              <w:rPr>
                <w:sz w:val="20"/>
                <w:szCs w:val="20"/>
                <w:lang w:val="en-US"/>
              </w:rPr>
              <w:t xml:space="preserve"> </w:t>
            </w:r>
            <w:proofErr w:type="spellStart"/>
            <w:r w:rsidRPr="005D3EA2">
              <w:rPr>
                <w:sz w:val="20"/>
                <w:szCs w:val="20"/>
                <w:lang w:val="en-US"/>
              </w:rPr>
              <w:t>grundsätzlich</w:t>
            </w:r>
            <w:proofErr w:type="spellEnd"/>
            <w:r w:rsidRPr="005D3EA2">
              <w:rPr>
                <w:sz w:val="20"/>
                <w:szCs w:val="20"/>
                <w:lang w:val="en-US"/>
              </w:rPr>
              <w:t xml:space="preserve"> („ drives a theoretical wedge between a person</w:t>
            </w:r>
            <w:r>
              <w:rPr>
                <w:sz w:val="20"/>
                <w:szCs w:val="20"/>
                <w:lang w:val="en-US"/>
              </w:rPr>
              <w:t>’</w:t>
            </w:r>
            <w:r w:rsidRPr="005D3EA2">
              <w:rPr>
                <w:sz w:val="20"/>
                <w:szCs w:val="20"/>
                <w:lang w:val="en-US"/>
              </w:rPr>
              <w:t>s life, on the one hand, and that person</w:t>
            </w:r>
            <w:r>
              <w:rPr>
                <w:sz w:val="20"/>
                <w:szCs w:val="20"/>
                <w:lang w:val="en-US"/>
              </w:rPr>
              <w:t>’</w:t>
            </w:r>
            <w:r w:rsidRPr="005D3EA2">
              <w:rPr>
                <w:sz w:val="20"/>
                <w:szCs w:val="20"/>
                <w:lang w:val="en-US"/>
              </w:rPr>
              <w:t xml:space="preserve">s liberty or happiness, on the </w:t>
            </w:r>
            <w:proofErr w:type="gramStart"/>
            <w:r w:rsidRPr="005D3EA2">
              <w:rPr>
                <w:sz w:val="20"/>
                <w:szCs w:val="20"/>
                <w:lang w:val="en-US"/>
              </w:rPr>
              <w:t>other“</w:t>
            </w:r>
            <w:proofErr w:type="gramEnd"/>
            <w:r w:rsidRPr="005D3EA2">
              <w:rPr>
                <w:sz w:val="20"/>
                <w:szCs w:val="20"/>
                <w:vertAlign w:val="superscript"/>
                <w:lang w:val="en-US"/>
              </w:rPr>
              <w:footnoteReference w:id="2010"/>
            </w:r>
            <w:r w:rsidRPr="00B45592">
              <w:rPr>
                <w:sz w:val="20"/>
                <w:szCs w:val="20"/>
                <w:lang w:val="en-IE"/>
              </w:rPr>
              <w:t xml:space="preserve">). </w:t>
            </w:r>
            <w:r>
              <w:rPr>
                <w:sz w:val="20"/>
                <w:szCs w:val="20"/>
              </w:rPr>
              <w:t>Dies hebe</w:t>
            </w:r>
            <w:r w:rsidRPr="005D3EA2">
              <w:rPr>
                <w:sz w:val="20"/>
                <w:szCs w:val="20"/>
              </w:rPr>
              <w:t xml:space="preserve"> den Widerstreit der Ziele auf und laufe</w:t>
            </w:r>
            <w:r>
              <w:rPr>
                <w:sz w:val="20"/>
                <w:szCs w:val="20"/>
              </w:rPr>
              <w:t xml:space="preserve"> </w:t>
            </w:r>
            <w:r w:rsidRPr="005D3EA2">
              <w:rPr>
                <w:sz w:val="20"/>
                <w:szCs w:val="20"/>
              </w:rPr>
              <w:t>auch de</w:t>
            </w:r>
            <w:r>
              <w:rPr>
                <w:sz w:val="20"/>
                <w:szCs w:val="20"/>
              </w:rPr>
              <w:t>n</w:t>
            </w:r>
            <w:r w:rsidRPr="005D3EA2">
              <w:rPr>
                <w:sz w:val="20"/>
                <w:szCs w:val="20"/>
              </w:rPr>
              <w:t xml:space="preserve"> auf einer Abwägung beruhenden Verfahrensanforderungen zuwider.</w:t>
            </w:r>
          </w:p>
          <w:p w14:paraId="71662281" w14:textId="77777777" w:rsidR="00074551" w:rsidRPr="00E50B51" w:rsidRDefault="00074551" w:rsidP="00367133">
            <w:pPr>
              <w:jc w:val="both"/>
              <w:rPr>
                <w:sz w:val="20"/>
                <w:szCs w:val="20"/>
              </w:rPr>
            </w:pPr>
          </w:p>
        </w:tc>
      </w:tr>
      <w:tr w:rsidR="00074551" w:rsidRPr="00E50B51" w14:paraId="1497C21C" w14:textId="77777777" w:rsidTr="00BE689F">
        <w:trPr>
          <w:cantSplit/>
          <w:trHeight w:val="3175"/>
        </w:trPr>
        <w:tc>
          <w:tcPr>
            <w:tcW w:w="293" w:type="pct"/>
          </w:tcPr>
          <w:p w14:paraId="0E3E8D61"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0C26E39" w14:textId="77777777" w:rsidR="00074551" w:rsidRPr="00E50B51" w:rsidRDefault="00074551" w:rsidP="00367133">
            <w:pPr>
              <w:ind w:left="113" w:right="416"/>
              <w:jc w:val="both"/>
              <w:rPr>
                <w:sz w:val="20"/>
                <w:szCs w:val="20"/>
                <w:lang w:val="en-US"/>
              </w:rPr>
            </w:pPr>
            <w:r w:rsidRPr="009E57E1">
              <w:rPr>
                <w:i/>
                <w:sz w:val="20"/>
                <w:szCs w:val="20"/>
                <w:lang w:val="en-US"/>
              </w:rPr>
              <w:t>Hudson v. Palmer</w:t>
            </w:r>
          </w:p>
        </w:tc>
        <w:tc>
          <w:tcPr>
            <w:tcW w:w="197" w:type="pct"/>
            <w:textDirection w:val="tbRl"/>
            <w:vAlign w:val="center"/>
          </w:tcPr>
          <w:p w14:paraId="0E0B4C17" w14:textId="77777777" w:rsidR="00074551" w:rsidRPr="00E50B51" w:rsidRDefault="00074551" w:rsidP="00367133">
            <w:pPr>
              <w:ind w:left="113" w:right="113"/>
              <w:jc w:val="both"/>
              <w:rPr>
                <w:iCs/>
                <w:sz w:val="20"/>
                <w:szCs w:val="20"/>
                <w:lang w:val="en-US"/>
              </w:rPr>
            </w:pPr>
            <w:r w:rsidRPr="00E50B51">
              <w:rPr>
                <w:sz w:val="20"/>
                <w:szCs w:val="20"/>
              </w:rPr>
              <w:t>468 U.S. 517</w:t>
            </w:r>
          </w:p>
        </w:tc>
        <w:tc>
          <w:tcPr>
            <w:tcW w:w="306" w:type="pct"/>
            <w:textDirection w:val="tbRl"/>
            <w:vAlign w:val="center"/>
          </w:tcPr>
          <w:p w14:paraId="6272B77D" w14:textId="77777777" w:rsidR="00074551" w:rsidRPr="00E50B51" w:rsidRDefault="00074551" w:rsidP="00367133">
            <w:pPr>
              <w:ind w:left="113" w:right="113"/>
              <w:jc w:val="both"/>
              <w:rPr>
                <w:sz w:val="20"/>
                <w:szCs w:val="20"/>
                <w:lang w:val="en-US"/>
              </w:rPr>
            </w:pPr>
            <w:r w:rsidRPr="00E50B51">
              <w:rPr>
                <w:sz w:val="20"/>
                <w:szCs w:val="20"/>
              </w:rPr>
              <w:t>3. Juli 1984</w:t>
            </w:r>
          </w:p>
        </w:tc>
        <w:tc>
          <w:tcPr>
            <w:tcW w:w="401" w:type="pct"/>
          </w:tcPr>
          <w:p w14:paraId="65F62BE5" w14:textId="77777777" w:rsidR="00074551" w:rsidRPr="00E50B51" w:rsidRDefault="00074551" w:rsidP="00367133">
            <w:pPr>
              <w:jc w:val="center"/>
              <w:rPr>
                <w:sz w:val="20"/>
                <w:szCs w:val="20"/>
              </w:rPr>
            </w:pPr>
            <w:r w:rsidRPr="00E50B51">
              <w:rPr>
                <w:sz w:val="20"/>
                <w:szCs w:val="20"/>
              </w:rPr>
              <w:t>D</w:t>
            </w:r>
          </w:p>
        </w:tc>
        <w:tc>
          <w:tcPr>
            <w:tcW w:w="1594" w:type="pct"/>
          </w:tcPr>
          <w:p w14:paraId="2FFEE934" w14:textId="77777777" w:rsidR="00074551" w:rsidRPr="00E50B51" w:rsidRDefault="00074551" w:rsidP="00367133">
            <w:pPr>
              <w:jc w:val="both"/>
              <w:rPr>
                <w:sz w:val="20"/>
                <w:szCs w:val="20"/>
              </w:rPr>
            </w:pPr>
            <w:r w:rsidRPr="00E50B51">
              <w:rPr>
                <w:sz w:val="20"/>
                <w:szCs w:val="20"/>
              </w:rPr>
              <w:t>*</w:t>
            </w:r>
          </w:p>
        </w:tc>
        <w:tc>
          <w:tcPr>
            <w:tcW w:w="1822" w:type="pct"/>
          </w:tcPr>
          <w:p w14:paraId="614530C7" w14:textId="0F848343" w:rsidR="00074551" w:rsidRDefault="00074551" w:rsidP="00367133">
            <w:pPr>
              <w:jc w:val="both"/>
              <w:rPr>
                <w:sz w:val="20"/>
                <w:szCs w:val="20"/>
              </w:rPr>
            </w:pPr>
            <w:r w:rsidRPr="00824464">
              <w:rPr>
                <w:sz w:val="20"/>
                <w:szCs w:val="20"/>
              </w:rPr>
              <w:t xml:space="preserve">Wenn eine staatliche Maßnahme unbefugt und vorsätzlich Eigentum entziehe – auch bei einem Häftling –, dann </w:t>
            </w:r>
            <w:r>
              <w:rPr>
                <w:sz w:val="20"/>
                <w:szCs w:val="20"/>
              </w:rPr>
              <w:t>verstoße</w:t>
            </w:r>
            <w:r w:rsidRPr="00824464">
              <w:rPr>
                <w:sz w:val="20"/>
                <w:szCs w:val="20"/>
              </w:rPr>
              <w:t xml:space="preserve"> diese Entziehung </w:t>
            </w:r>
            <w:r>
              <w:rPr>
                <w:sz w:val="20"/>
                <w:szCs w:val="20"/>
              </w:rPr>
              <w:t xml:space="preserve">in dem Fall </w:t>
            </w:r>
            <w:r w:rsidRPr="00824464">
              <w:rPr>
                <w:sz w:val="20"/>
                <w:szCs w:val="20"/>
              </w:rPr>
              <w:t xml:space="preserve">nicht gegen ein rechtsstaatliches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24464">
              <w:rPr>
                <w:sz w:val="20"/>
                <w:szCs w:val="20"/>
              </w:rPr>
              <w:t>, wenn ein Rechtsbehelf Abhilfe schaffen könne, der auch eine Enteignung kompensiere („</w:t>
            </w:r>
            <w:proofErr w:type="spellStart"/>
            <w:r w:rsidRPr="00824464">
              <w:rPr>
                <w:sz w:val="20"/>
                <w:szCs w:val="20"/>
              </w:rPr>
              <w:t>adequate</w:t>
            </w:r>
            <w:proofErr w:type="spellEnd"/>
            <w:r w:rsidRPr="00824464">
              <w:rPr>
                <w:sz w:val="20"/>
                <w:szCs w:val="20"/>
              </w:rPr>
              <w:t xml:space="preserve"> </w:t>
            </w:r>
            <w:proofErr w:type="spellStart"/>
            <w:r w:rsidRPr="00824464">
              <w:rPr>
                <w:sz w:val="20"/>
                <w:szCs w:val="20"/>
              </w:rPr>
              <w:t>postdeprivation</w:t>
            </w:r>
            <w:proofErr w:type="spellEnd"/>
            <w:r w:rsidRPr="00824464">
              <w:rPr>
                <w:sz w:val="20"/>
                <w:szCs w:val="20"/>
              </w:rPr>
              <w:t xml:space="preserve"> </w:t>
            </w:r>
            <w:proofErr w:type="spellStart"/>
            <w:r w:rsidRPr="00824464">
              <w:rPr>
                <w:sz w:val="20"/>
                <w:szCs w:val="20"/>
              </w:rPr>
              <w:t>remedy</w:t>
            </w:r>
            <w:proofErr w:type="spellEnd"/>
            <w:r w:rsidRPr="00824464">
              <w:rPr>
                <w:sz w:val="20"/>
                <w:szCs w:val="20"/>
              </w:rPr>
              <w:t>“</w:t>
            </w:r>
            <w:r w:rsidRPr="00824464">
              <w:rPr>
                <w:sz w:val="20"/>
                <w:szCs w:val="20"/>
                <w:vertAlign w:val="superscript"/>
              </w:rPr>
              <w:footnoteReference w:id="2011"/>
            </w:r>
            <w:r w:rsidRPr="00824464">
              <w:rPr>
                <w:sz w:val="20"/>
                <w:szCs w:val="20"/>
              </w:rPr>
              <w:t xml:space="preserve">). Deshalb sei eine staatliche Maßnahme, die Eigentum entziehe, </w:t>
            </w:r>
            <w:r w:rsidRPr="5B67C1D2">
              <w:rPr>
                <w:i/>
                <w:iCs/>
                <w:sz w:val="20"/>
                <w:szCs w:val="20"/>
              </w:rPr>
              <w:t>de facto</w:t>
            </w:r>
            <w:r w:rsidRPr="00824464">
              <w:rPr>
                <w:sz w:val="20"/>
                <w:szCs w:val="20"/>
              </w:rPr>
              <w:t xml:space="preserve"> erst als beendet anzusehen, wenn ein Rechtsbehelf kodifiziert sei, der den Betroffenen schütze und über den ein Amtswalter aufkläre. Doch woher ergibt sich diese Interpretation des rechtsstaatlichen Verfahrens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824464">
              <w:rPr>
                <w:sz w:val="20"/>
                <w:szCs w:val="20"/>
              </w:rPr>
              <w:t>? Einerseits ergibt sich diese Interpretation, also die generelle Anwendung („</w:t>
            </w:r>
            <w:proofErr w:type="spellStart"/>
            <w:r w:rsidRPr="00824464">
              <w:rPr>
                <w:sz w:val="20"/>
                <w:szCs w:val="20"/>
              </w:rPr>
              <w:t>general</w:t>
            </w:r>
            <w:proofErr w:type="spellEnd"/>
            <w:r w:rsidRPr="00824464">
              <w:rPr>
                <w:sz w:val="20"/>
                <w:szCs w:val="20"/>
              </w:rPr>
              <w:t xml:space="preserve"> </w:t>
            </w:r>
            <w:proofErr w:type="spellStart"/>
            <w:r w:rsidRPr="00824464">
              <w:rPr>
                <w:sz w:val="20"/>
                <w:szCs w:val="20"/>
              </w:rPr>
              <w:t>application</w:t>
            </w:r>
            <w:proofErr w:type="spellEnd"/>
            <w:r w:rsidRPr="00824464">
              <w:rPr>
                <w:sz w:val="20"/>
                <w:szCs w:val="20"/>
              </w:rPr>
              <w:t>“</w:t>
            </w:r>
            <w:r w:rsidRPr="00824464">
              <w:rPr>
                <w:sz w:val="20"/>
                <w:szCs w:val="20"/>
                <w:vertAlign w:val="superscript"/>
              </w:rPr>
              <w:footnoteReference w:id="2012"/>
            </w:r>
            <w:r w:rsidRPr="00824464">
              <w:rPr>
                <w:sz w:val="20"/>
                <w:szCs w:val="20"/>
              </w:rPr>
              <w:t xml:space="preserve">) </w:t>
            </w:r>
            <w:r>
              <w:rPr>
                <w:sz w:val="20"/>
                <w:szCs w:val="20"/>
              </w:rPr>
              <w:t>von</w:t>
            </w:r>
            <w:r w:rsidRPr="0082446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824464">
              <w:rPr>
                <w:sz w:val="20"/>
                <w:szCs w:val="20"/>
              </w:rPr>
              <w:t xml:space="preserve"> – auch für Häftlinge – nicht aus dem Wortlaut selbst. Sie ergibt sich aus dem Sinn und Zweck der </w:t>
            </w:r>
            <w:r>
              <w:rPr>
                <w:sz w:val="20"/>
                <w:szCs w:val="20"/>
              </w:rPr>
              <w:t>U.S.</w:t>
            </w:r>
            <w:r w:rsidRPr="00824464">
              <w:rPr>
                <w:sz w:val="20"/>
                <w:szCs w:val="20"/>
              </w:rPr>
              <w:t xml:space="preserve"> </w:t>
            </w:r>
            <w:proofErr w:type="spellStart"/>
            <w:r w:rsidRPr="00824464">
              <w:rPr>
                <w:sz w:val="20"/>
                <w:szCs w:val="20"/>
              </w:rPr>
              <w:t>Const</w:t>
            </w:r>
            <w:proofErr w:type="spellEnd"/>
            <w:r w:rsidRPr="00824464">
              <w:rPr>
                <w:sz w:val="20"/>
                <w:szCs w:val="20"/>
              </w:rPr>
              <w:t xml:space="preserve">. und der </w:t>
            </w:r>
            <w:r w:rsidRPr="5B67C1D2">
              <w:rPr>
                <w:i/>
                <w:iCs/>
                <w:sz w:val="20"/>
                <w:szCs w:val="20"/>
              </w:rPr>
              <w:t>Bill of Rights</w:t>
            </w:r>
            <w:r w:rsidRPr="00824464">
              <w:rPr>
                <w:sz w:val="20"/>
                <w:szCs w:val="20"/>
              </w:rPr>
              <w:t xml:space="preserve"> („</w:t>
            </w:r>
            <w:proofErr w:type="spellStart"/>
            <w:r w:rsidRPr="00824464">
              <w:rPr>
                <w:sz w:val="20"/>
                <w:szCs w:val="20"/>
              </w:rPr>
              <w:t>purpose</w:t>
            </w:r>
            <w:proofErr w:type="spellEnd"/>
            <w:r w:rsidRPr="00824464">
              <w:rPr>
                <w:sz w:val="20"/>
                <w:szCs w:val="20"/>
              </w:rPr>
              <w:t xml:space="preserve"> of a </w:t>
            </w:r>
            <w:proofErr w:type="spellStart"/>
            <w:r w:rsidRPr="00824464">
              <w:rPr>
                <w:sz w:val="20"/>
                <w:szCs w:val="20"/>
              </w:rPr>
              <w:t>written</w:t>
            </w:r>
            <w:proofErr w:type="spellEnd"/>
            <w:r w:rsidRPr="00824464">
              <w:rPr>
                <w:sz w:val="20"/>
                <w:szCs w:val="20"/>
              </w:rPr>
              <w:t xml:space="preserve"> </w:t>
            </w:r>
            <w:proofErr w:type="spellStart"/>
            <w:r w:rsidRPr="00824464">
              <w:rPr>
                <w:sz w:val="20"/>
                <w:szCs w:val="20"/>
              </w:rPr>
              <w:t>Constitution</w:t>
            </w:r>
            <w:proofErr w:type="spellEnd"/>
            <w:r w:rsidRPr="00824464">
              <w:rPr>
                <w:sz w:val="20"/>
                <w:szCs w:val="20"/>
              </w:rPr>
              <w:t xml:space="preserve"> and </w:t>
            </w:r>
            <w:proofErr w:type="spellStart"/>
            <w:r w:rsidRPr="00824464">
              <w:rPr>
                <w:sz w:val="20"/>
                <w:szCs w:val="20"/>
              </w:rPr>
              <w:t>its</w:t>
            </w:r>
            <w:proofErr w:type="spellEnd"/>
            <w:r w:rsidRPr="00824464">
              <w:rPr>
                <w:sz w:val="20"/>
                <w:szCs w:val="20"/>
              </w:rPr>
              <w:t xml:space="preserve"> Bill of Rights“</w:t>
            </w:r>
            <w:r w:rsidRPr="00824464">
              <w:rPr>
                <w:sz w:val="20"/>
                <w:szCs w:val="20"/>
                <w:vertAlign w:val="superscript"/>
              </w:rPr>
              <w:footnoteReference w:id="2013"/>
            </w:r>
            <w:r w:rsidRPr="00824464">
              <w:rPr>
                <w:sz w:val="20"/>
                <w:szCs w:val="20"/>
              </w:rPr>
              <w:t xml:space="preserve">). Der Sinn und Zweck laute: </w:t>
            </w:r>
            <w:r>
              <w:rPr>
                <w:sz w:val="20"/>
                <w:szCs w:val="20"/>
              </w:rPr>
              <w:t>s</w:t>
            </w:r>
            <w:r w:rsidRPr="00824464">
              <w:rPr>
                <w:sz w:val="20"/>
                <w:szCs w:val="20"/>
              </w:rPr>
              <w:t>icherzustellen, dass bestimmte Grundsätze abwägungsfest sind; dies sind sog. Prinzipien des Grundrechts („</w:t>
            </w:r>
            <w:proofErr w:type="spellStart"/>
            <w:r w:rsidRPr="00824464">
              <w:rPr>
                <w:sz w:val="20"/>
                <w:szCs w:val="20"/>
              </w:rPr>
              <w:t>principles</w:t>
            </w:r>
            <w:proofErr w:type="spellEnd"/>
            <w:r w:rsidRPr="00824464">
              <w:rPr>
                <w:sz w:val="20"/>
                <w:szCs w:val="20"/>
              </w:rPr>
              <w:t xml:space="preserve"> of fundamental </w:t>
            </w:r>
            <w:proofErr w:type="spellStart"/>
            <w:r w:rsidRPr="00824464">
              <w:rPr>
                <w:sz w:val="20"/>
                <w:szCs w:val="20"/>
              </w:rPr>
              <w:t>law</w:t>
            </w:r>
            <w:proofErr w:type="spellEnd"/>
            <w:r w:rsidRPr="00824464">
              <w:rPr>
                <w:sz w:val="20"/>
                <w:szCs w:val="20"/>
              </w:rPr>
              <w:t>“</w:t>
            </w:r>
            <w:r w:rsidRPr="00824464">
              <w:rPr>
                <w:sz w:val="20"/>
                <w:szCs w:val="20"/>
                <w:vertAlign w:val="superscript"/>
              </w:rPr>
              <w:footnoteReference w:id="2014"/>
            </w:r>
            <w:r w:rsidRPr="00824464">
              <w:rPr>
                <w:sz w:val="20"/>
                <w:szCs w:val="20"/>
              </w:rPr>
              <w:t>). Die</w:t>
            </w:r>
            <w:r>
              <w:rPr>
                <w:sz w:val="20"/>
                <w:szCs w:val="20"/>
              </w:rPr>
              <w:t>se</w:t>
            </w:r>
            <w:r w:rsidRPr="00824464">
              <w:rPr>
                <w:sz w:val="20"/>
                <w:szCs w:val="20"/>
              </w:rPr>
              <w:t xml:space="preserve"> verankern sich außerhalb der Reichweite staatlicher Maßnahmen. Am Beispiel </w:t>
            </w:r>
            <w:r>
              <w:rPr>
                <w:sz w:val="20"/>
                <w:szCs w:val="20"/>
              </w:rPr>
              <w:t>von</w:t>
            </w:r>
            <w:r w:rsidRPr="0082446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824464">
              <w:rPr>
                <w:sz w:val="20"/>
                <w:szCs w:val="20"/>
              </w:rPr>
              <w:t xml:space="preserve"> zeigt der Dissens, was der </w:t>
            </w:r>
            <w:r>
              <w:rPr>
                <w:sz w:val="20"/>
                <w:szCs w:val="20"/>
              </w:rPr>
              <w:t>U.S. Supreme Court</w:t>
            </w:r>
            <w:r w:rsidRPr="00824464">
              <w:rPr>
                <w:sz w:val="20"/>
                <w:szCs w:val="20"/>
              </w:rPr>
              <w:t xml:space="preserve"> mit den Prinzipien des Grundrechts mein</w:t>
            </w:r>
            <w:r>
              <w:rPr>
                <w:sz w:val="20"/>
                <w:szCs w:val="20"/>
              </w:rPr>
              <w:t>t</w:t>
            </w:r>
            <w:r w:rsidRPr="0082446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824464">
              <w:rPr>
                <w:sz w:val="20"/>
                <w:szCs w:val="20"/>
              </w:rPr>
              <w:t xml:space="preserve"> reflektiere Grundgesetze („fundamental </w:t>
            </w:r>
            <w:proofErr w:type="spellStart"/>
            <w:r w:rsidRPr="00824464">
              <w:rPr>
                <w:sz w:val="20"/>
                <w:szCs w:val="20"/>
              </w:rPr>
              <w:t>law</w:t>
            </w:r>
            <w:proofErr w:type="spellEnd"/>
            <w:r w:rsidRPr="00824464">
              <w:rPr>
                <w:sz w:val="20"/>
                <w:szCs w:val="20"/>
              </w:rPr>
              <w:t>“</w:t>
            </w:r>
            <w:r w:rsidRPr="00824464">
              <w:rPr>
                <w:sz w:val="20"/>
                <w:szCs w:val="20"/>
                <w:vertAlign w:val="superscript"/>
              </w:rPr>
              <w:t xml:space="preserve"> </w:t>
            </w:r>
            <w:r w:rsidRPr="00824464">
              <w:rPr>
                <w:sz w:val="20"/>
                <w:szCs w:val="20"/>
                <w:vertAlign w:val="superscript"/>
              </w:rPr>
              <w:footnoteReference w:id="2015"/>
            </w:r>
            <w:r w:rsidRPr="00824464">
              <w:rPr>
                <w:sz w:val="20"/>
                <w:szCs w:val="20"/>
              </w:rPr>
              <w:t xml:space="preserve">), </w:t>
            </w:r>
            <w:r>
              <w:rPr>
                <w:sz w:val="20"/>
                <w:szCs w:val="20"/>
              </w:rPr>
              <w:t>welche</w:t>
            </w:r>
            <w:r w:rsidRPr="00824464">
              <w:rPr>
                <w:sz w:val="20"/>
                <w:szCs w:val="20"/>
              </w:rPr>
              <w:t xml:space="preserve"> Verfahren zu achten haben. Das Amendment setzt </w:t>
            </w:r>
            <w:r>
              <w:rPr>
                <w:sz w:val="20"/>
                <w:szCs w:val="20"/>
              </w:rPr>
              <w:t>z.B.</w:t>
            </w:r>
            <w:r w:rsidRPr="00824464">
              <w:rPr>
                <w:sz w:val="20"/>
                <w:szCs w:val="20"/>
              </w:rPr>
              <w:t xml:space="preserve"> voraus: Wenn eine ungerechtfertigte Durchsuchung und Beschlagnahmungen oder ein</w:t>
            </w:r>
            <w:r>
              <w:rPr>
                <w:sz w:val="20"/>
                <w:szCs w:val="20"/>
              </w:rPr>
              <w:t>e</w:t>
            </w:r>
            <w:r w:rsidRPr="00824464">
              <w:rPr>
                <w:sz w:val="20"/>
                <w:szCs w:val="20"/>
              </w:rPr>
              <w:t xml:space="preserve"> Eigentumsentziehung ohne rechtsstaatliches Verfahren </w:t>
            </w:r>
            <w:r>
              <w:rPr>
                <w:sz w:val="20"/>
                <w:szCs w:val="20"/>
              </w:rPr>
              <w:t>vorlägen</w:t>
            </w:r>
            <w:r w:rsidRPr="00824464">
              <w:rPr>
                <w:sz w:val="20"/>
                <w:szCs w:val="20"/>
              </w:rPr>
              <w:t>, dann sei</w:t>
            </w:r>
            <w:r>
              <w:rPr>
                <w:sz w:val="20"/>
                <w:szCs w:val="20"/>
              </w:rPr>
              <w:t>en</w:t>
            </w:r>
            <w:r w:rsidRPr="00824464">
              <w:rPr>
                <w:sz w:val="20"/>
                <w:szCs w:val="20"/>
              </w:rPr>
              <w:t xml:space="preserve"> diese erst einmal verfassungswidrig. Denn dies verstoße gegen die Freiheit. Die Freiheit sei ein Prinzip des Grundrechts, also auch ein Grundsatz </w:t>
            </w:r>
            <w:r>
              <w:rPr>
                <w:sz w:val="20"/>
                <w:szCs w:val="20"/>
              </w:rPr>
              <w:t>von</w:t>
            </w:r>
            <w:r w:rsidRPr="0082446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824464">
              <w:rPr>
                <w:sz w:val="20"/>
                <w:szCs w:val="20"/>
              </w:rPr>
              <w:t xml:space="preserve"> Und die positive und negative Seite der Freiheit wiederum bestimmt sich anhand der Bedingungen, die ein Glücksstreben fördern („</w:t>
            </w:r>
            <w:proofErr w:type="spellStart"/>
            <w:r w:rsidRPr="00824464">
              <w:rPr>
                <w:sz w:val="20"/>
                <w:szCs w:val="20"/>
              </w:rPr>
              <w:t>secure</w:t>
            </w:r>
            <w:proofErr w:type="spellEnd"/>
            <w:r w:rsidRPr="00824464">
              <w:rPr>
                <w:sz w:val="20"/>
                <w:szCs w:val="20"/>
              </w:rPr>
              <w:t xml:space="preserve"> </w:t>
            </w:r>
            <w:proofErr w:type="spellStart"/>
            <w:r w:rsidRPr="00824464">
              <w:rPr>
                <w:sz w:val="20"/>
                <w:szCs w:val="20"/>
              </w:rPr>
              <w:t>conditions</w:t>
            </w:r>
            <w:proofErr w:type="spellEnd"/>
            <w:r w:rsidRPr="00824464">
              <w:rPr>
                <w:sz w:val="20"/>
                <w:szCs w:val="20"/>
              </w:rPr>
              <w:t xml:space="preserve"> favorable to the </w:t>
            </w:r>
            <w:proofErr w:type="spellStart"/>
            <w:r w:rsidRPr="00824464">
              <w:rPr>
                <w:sz w:val="20"/>
                <w:szCs w:val="20"/>
              </w:rPr>
              <w:t>pursuit</w:t>
            </w:r>
            <w:proofErr w:type="spellEnd"/>
            <w:r w:rsidRPr="00824464">
              <w:rPr>
                <w:sz w:val="20"/>
                <w:szCs w:val="20"/>
              </w:rPr>
              <w:t xml:space="preserve"> of </w:t>
            </w:r>
            <w:proofErr w:type="spellStart"/>
            <w:r w:rsidRPr="00824464">
              <w:rPr>
                <w:sz w:val="20"/>
                <w:szCs w:val="20"/>
              </w:rPr>
              <w:t>happiness</w:t>
            </w:r>
            <w:proofErr w:type="spellEnd"/>
            <w:r w:rsidRPr="00824464">
              <w:rPr>
                <w:sz w:val="20"/>
                <w:szCs w:val="20"/>
              </w:rPr>
              <w:t>“</w:t>
            </w:r>
            <w:r w:rsidRPr="00824464">
              <w:rPr>
                <w:sz w:val="20"/>
                <w:szCs w:val="20"/>
                <w:vertAlign w:val="superscript"/>
              </w:rPr>
              <w:footnoteReference w:id="2016"/>
            </w:r>
            <w:r w:rsidRPr="00824464">
              <w:rPr>
                <w:sz w:val="20"/>
                <w:szCs w:val="20"/>
              </w:rPr>
              <w:t xml:space="preserve">). </w:t>
            </w:r>
            <w:r>
              <w:rPr>
                <w:sz w:val="20"/>
                <w:szCs w:val="20"/>
              </w:rPr>
              <w:t>Somit bildet</w:t>
            </w:r>
            <w:r w:rsidRPr="00824464">
              <w:rPr>
                <w:sz w:val="20"/>
                <w:szCs w:val="20"/>
              </w:rPr>
              <w:t xml:space="preserve"> </w:t>
            </w:r>
            <w:r>
              <w:rPr>
                <w:sz w:val="20"/>
                <w:szCs w:val="20"/>
              </w:rPr>
              <w:t>L</w:t>
            </w:r>
            <w:r w:rsidRPr="00824464">
              <w:rPr>
                <w:sz w:val="20"/>
                <w:szCs w:val="20"/>
              </w:rPr>
              <w:t xml:space="preserve">etzteres ein Merkmal, </w:t>
            </w:r>
            <w:r>
              <w:rPr>
                <w:sz w:val="20"/>
                <w:szCs w:val="20"/>
              </w:rPr>
              <w:t>welches</w:t>
            </w:r>
            <w:r w:rsidRPr="00824464">
              <w:rPr>
                <w:sz w:val="20"/>
                <w:szCs w:val="20"/>
              </w:rPr>
              <w:t xml:space="preserve">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24464">
              <w:rPr>
                <w:sz w:val="20"/>
                <w:szCs w:val="20"/>
              </w:rPr>
              <w:t xml:space="preserve"> zu achten haben. </w:t>
            </w:r>
          </w:p>
          <w:p w14:paraId="366D27AC" w14:textId="77777777" w:rsidR="00074551" w:rsidRPr="00E50B51" w:rsidRDefault="00074551" w:rsidP="00367133">
            <w:pPr>
              <w:jc w:val="both"/>
              <w:rPr>
                <w:sz w:val="20"/>
                <w:szCs w:val="20"/>
              </w:rPr>
            </w:pPr>
          </w:p>
        </w:tc>
      </w:tr>
      <w:tr w:rsidR="00074551" w:rsidRPr="00007CDB" w14:paraId="1D81B534" w14:textId="77777777" w:rsidTr="00BE689F">
        <w:trPr>
          <w:cantSplit/>
          <w:trHeight w:val="3175"/>
        </w:trPr>
        <w:tc>
          <w:tcPr>
            <w:tcW w:w="293" w:type="pct"/>
          </w:tcPr>
          <w:p w14:paraId="1CFE70B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837977D" w14:textId="77777777" w:rsidR="00074551" w:rsidRPr="00E50B51" w:rsidRDefault="00074551" w:rsidP="00367133">
            <w:pPr>
              <w:ind w:left="113" w:right="416"/>
              <w:jc w:val="both"/>
              <w:rPr>
                <w:sz w:val="20"/>
                <w:szCs w:val="20"/>
              </w:rPr>
            </w:pPr>
            <w:r w:rsidRPr="009E57E1">
              <w:rPr>
                <w:i/>
                <w:sz w:val="20"/>
                <w:szCs w:val="20"/>
              </w:rPr>
              <w:t>Ingraham v. Wright</w:t>
            </w:r>
          </w:p>
        </w:tc>
        <w:tc>
          <w:tcPr>
            <w:tcW w:w="197" w:type="pct"/>
            <w:textDirection w:val="tbRl"/>
            <w:vAlign w:val="center"/>
          </w:tcPr>
          <w:p w14:paraId="37BB8348" w14:textId="77777777" w:rsidR="00074551" w:rsidRPr="00E50B51" w:rsidRDefault="00074551" w:rsidP="00367133">
            <w:pPr>
              <w:ind w:left="113" w:right="113"/>
              <w:jc w:val="both"/>
              <w:rPr>
                <w:iCs/>
                <w:sz w:val="20"/>
                <w:szCs w:val="20"/>
              </w:rPr>
            </w:pPr>
            <w:r w:rsidRPr="00E50B51">
              <w:rPr>
                <w:sz w:val="20"/>
                <w:szCs w:val="20"/>
                <w:lang w:val="en-US"/>
              </w:rPr>
              <w:t>430 U.S. 651</w:t>
            </w:r>
          </w:p>
        </w:tc>
        <w:tc>
          <w:tcPr>
            <w:tcW w:w="306" w:type="pct"/>
            <w:textDirection w:val="tbRl"/>
            <w:vAlign w:val="center"/>
          </w:tcPr>
          <w:p w14:paraId="2FA83813" w14:textId="77777777" w:rsidR="00074551" w:rsidRPr="00E50B51" w:rsidRDefault="00074551" w:rsidP="00367133">
            <w:pPr>
              <w:ind w:left="113" w:right="113"/>
              <w:jc w:val="both"/>
              <w:rPr>
                <w:sz w:val="20"/>
                <w:szCs w:val="20"/>
              </w:rPr>
            </w:pPr>
            <w:r w:rsidRPr="00E50B51">
              <w:rPr>
                <w:sz w:val="20"/>
                <w:szCs w:val="20"/>
              </w:rPr>
              <w:t>19. April 1977</w:t>
            </w:r>
          </w:p>
        </w:tc>
        <w:tc>
          <w:tcPr>
            <w:tcW w:w="401" w:type="pct"/>
          </w:tcPr>
          <w:p w14:paraId="637BFF5A" w14:textId="77777777" w:rsidR="00074551" w:rsidRPr="00E50B51" w:rsidRDefault="00074551" w:rsidP="00367133">
            <w:pPr>
              <w:jc w:val="center"/>
              <w:rPr>
                <w:sz w:val="20"/>
                <w:szCs w:val="20"/>
              </w:rPr>
            </w:pPr>
            <w:r w:rsidRPr="00E50B51">
              <w:rPr>
                <w:sz w:val="20"/>
                <w:szCs w:val="20"/>
              </w:rPr>
              <w:t>M</w:t>
            </w:r>
          </w:p>
        </w:tc>
        <w:tc>
          <w:tcPr>
            <w:tcW w:w="1594" w:type="pct"/>
          </w:tcPr>
          <w:p w14:paraId="2700005B" w14:textId="77777777" w:rsidR="00074551" w:rsidRPr="00E50B51" w:rsidRDefault="00074551" w:rsidP="00367133">
            <w:pPr>
              <w:jc w:val="both"/>
              <w:rPr>
                <w:sz w:val="20"/>
                <w:szCs w:val="20"/>
              </w:rPr>
            </w:pPr>
            <w:r w:rsidRPr="00E50B51">
              <w:rPr>
                <w:sz w:val="20"/>
                <w:szCs w:val="20"/>
              </w:rPr>
              <w:t>*</w:t>
            </w:r>
          </w:p>
        </w:tc>
        <w:tc>
          <w:tcPr>
            <w:tcW w:w="1822" w:type="pct"/>
          </w:tcPr>
          <w:p w14:paraId="461A62AC" w14:textId="182B541F" w:rsidR="00074551" w:rsidRPr="00007CDB" w:rsidRDefault="00074551" w:rsidP="00367133">
            <w:pPr>
              <w:jc w:val="both"/>
              <w:rPr>
                <w:sz w:val="20"/>
                <w:szCs w:val="20"/>
                <w:lang w:val="en-US"/>
              </w:rPr>
            </w:pPr>
            <w:r w:rsidRPr="00007CDB">
              <w:rPr>
                <w:sz w:val="20"/>
                <w:szCs w:val="20"/>
              </w:rPr>
              <w:t xml:space="preserve">In </w:t>
            </w:r>
            <w:r w:rsidRPr="5B67C1D2">
              <w:rPr>
                <w:i/>
                <w:iCs/>
                <w:sz w:val="20"/>
                <w:szCs w:val="20"/>
              </w:rPr>
              <w:t>Ingraham v. Wright</w:t>
            </w:r>
            <w:r w:rsidRPr="00007CDB">
              <w:rPr>
                <w:sz w:val="20"/>
                <w:szCs w:val="20"/>
              </w:rPr>
              <w:t xml:space="preserve"> urteilt der </w:t>
            </w:r>
            <w:r>
              <w:rPr>
                <w:sz w:val="20"/>
                <w:szCs w:val="20"/>
              </w:rPr>
              <w:t>U.S. Supreme Court</w:t>
            </w:r>
            <w:r w:rsidRPr="00007CDB">
              <w:rPr>
                <w:sz w:val="20"/>
                <w:szCs w:val="20"/>
              </w:rPr>
              <w:t xml:space="preserve">, das Streben nach Glück sei vor Entzug ohne ein rechtsstaatliches Verfahren geschützt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07CDB">
              <w:rPr>
                <w:sz w:val="20"/>
                <w:szCs w:val="20"/>
                <w:lang w:val="en-US"/>
              </w:rPr>
              <w:t xml:space="preserve"> („the liberty preserved from deprivation without due process included the </w:t>
            </w:r>
            <w:proofErr w:type="gramStart"/>
            <w:r w:rsidRPr="00007CDB">
              <w:rPr>
                <w:sz w:val="20"/>
                <w:szCs w:val="20"/>
                <w:lang w:val="en-US"/>
              </w:rPr>
              <w:t xml:space="preserve">right </w:t>
            </w:r>
            <w:r>
              <w:rPr>
                <w:sz w:val="20"/>
                <w:szCs w:val="20"/>
                <w:lang w:val="en-US"/>
              </w:rPr>
              <w:t>,</w:t>
            </w:r>
            <w:r w:rsidRPr="00007CDB">
              <w:rPr>
                <w:sz w:val="20"/>
                <w:szCs w:val="20"/>
                <w:lang w:val="en-US"/>
              </w:rPr>
              <w:t>generally</w:t>
            </w:r>
            <w:proofErr w:type="gramEnd"/>
            <w:r w:rsidRPr="00007CDB">
              <w:rPr>
                <w:sz w:val="20"/>
                <w:szCs w:val="20"/>
                <w:lang w:val="en-US"/>
              </w:rPr>
              <w:t xml:space="preserve"> to enjoy those privileges long recognized at common law as essential to the orderly pursuit of happiness by free men</w:t>
            </w:r>
            <w:r>
              <w:rPr>
                <w:sz w:val="20"/>
                <w:szCs w:val="20"/>
                <w:lang w:val="en-US"/>
              </w:rPr>
              <w:t>‘</w:t>
            </w:r>
            <w:r w:rsidRPr="00007CDB">
              <w:rPr>
                <w:sz w:val="20"/>
                <w:szCs w:val="20"/>
                <w:lang w:val="en-US"/>
              </w:rPr>
              <w:t>“</w:t>
            </w:r>
            <w:r w:rsidRPr="00007CDB">
              <w:rPr>
                <w:sz w:val="20"/>
                <w:szCs w:val="20"/>
                <w:vertAlign w:val="superscript"/>
                <w:lang w:val="en-US"/>
              </w:rPr>
              <w:footnoteReference w:id="2017"/>
            </w:r>
            <w:r w:rsidRPr="00007CDB">
              <w:rPr>
                <w:sz w:val="20"/>
                <w:szCs w:val="20"/>
                <w:lang w:val="en-US"/>
              </w:rPr>
              <w:t>)</w:t>
            </w:r>
          </w:p>
          <w:p w14:paraId="7D48427D" w14:textId="750F8114" w:rsidR="00074551" w:rsidRDefault="00074551" w:rsidP="00367133">
            <w:pPr>
              <w:jc w:val="both"/>
              <w:rPr>
                <w:sz w:val="20"/>
                <w:szCs w:val="20"/>
              </w:rPr>
            </w:pPr>
            <w:r w:rsidRPr="00007CDB">
              <w:rPr>
                <w:sz w:val="20"/>
                <w:szCs w:val="20"/>
              </w:rPr>
              <w:t xml:space="preserve">Der </w:t>
            </w:r>
            <w:r>
              <w:rPr>
                <w:sz w:val="20"/>
                <w:szCs w:val="20"/>
              </w:rPr>
              <w:t>U.S. Supreme Court</w:t>
            </w:r>
            <w:r w:rsidRPr="00007CDB">
              <w:rPr>
                <w:sz w:val="20"/>
                <w:szCs w:val="20"/>
              </w:rPr>
              <w:t xml:space="preserve"> erklärt zunächst, wie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007CDB">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07CDB">
              <w:rPr>
                <w:sz w:val="20"/>
                <w:szCs w:val="20"/>
                <w:lang w:val="en-US"/>
              </w:rPr>
              <w:t xml:space="preserve"> </w:t>
            </w:r>
            <w:r>
              <w:rPr>
                <w:sz w:val="20"/>
                <w:szCs w:val="20"/>
                <w:lang w:val="en-US"/>
              </w:rPr>
              <w:t>das</w:t>
            </w:r>
            <w:r w:rsidRPr="00007CDB">
              <w:rPr>
                <w:sz w:val="20"/>
                <w:szCs w:val="20"/>
                <w:lang w:val="en-US"/>
              </w:rPr>
              <w:t xml:space="preserve"> </w:t>
            </w:r>
            <w:r w:rsidRPr="5B67C1D2">
              <w:rPr>
                <w:i/>
                <w:iCs/>
                <w:sz w:val="20"/>
                <w:szCs w:val="20"/>
                <w:lang w:val="en-US"/>
              </w:rPr>
              <w:t>pursuit of Happiness</w:t>
            </w:r>
            <w:r w:rsidRPr="00007CDB">
              <w:rPr>
                <w:sz w:val="20"/>
                <w:szCs w:val="20"/>
                <w:lang w:val="en-US"/>
              </w:rPr>
              <w:t xml:space="preserve"> </w:t>
            </w:r>
            <w:proofErr w:type="spellStart"/>
            <w:r w:rsidRPr="00007CDB">
              <w:rPr>
                <w:sz w:val="20"/>
                <w:szCs w:val="20"/>
                <w:lang w:val="en-US"/>
              </w:rPr>
              <w:t>schütze</w:t>
            </w:r>
            <w:proofErr w:type="spellEnd"/>
            <w:r w:rsidRPr="00007CDB">
              <w:rPr>
                <w:sz w:val="20"/>
                <w:szCs w:val="20"/>
                <w:lang w:val="en-US"/>
              </w:rPr>
              <w:t xml:space="preserve">. Dabei </w:t>
            </w:r>
            <w:proofErr w:type="spellStart"/>
            <w:r w:rsidRPr="00007CDB">
              <w:rPr>
                <w:sz w:val="20"/>
                <w:szCs w:val="20"/>
                <w:lang w:val="en-US"/>
              </w:rPr>
              <w:t>schütz</w:t>
            </w:r>
            <w:r>
              <w:rPr>
                <w:sz w:val="20"/>
                <w:szCs w:val="20"/>
                <w:lang w:val="en-US"/>
              </w:rPr>
              <w:t>e</w:t>
            </w:r>
            <w:proofErr w:type="spellEnd"/>
            <w:r w:rsidRPr="00007CDB">
              <w:rPr>
                <w:sz w:val="20"/>
                <w:szCs w:val="20"/>
                <w:lang w:val="en-US"/>
              </w:rPr>
              <w:t xml:space="preserve"> die </w:t>
            </w:r>
            <w:r w:rsidRPr="5B67C1D2">
              <w:rPr>
                <w:i/>
                <w:iCs/>
                <w:sz w:val="20"/>
                <w:szCs w:val="20"/>
                <w:lang w:val="en-US"/>
              </w:rPr>
              <w:t xml:space="preserve">Due </w:t>
            </w:r>
            <w:proofErr w:type="spellStart"/>
            <w:r w:rsidRPr="5B67C1D2">
              <w:rPr>
                <w:i/>
                <w:iCs/>
                <w:sz w:val="20"/>
                <w:szCs w:val="20"/>
                <w:lang w:val="en-US"/>
              </w:rPr>
              <w:t>Processs</w:t>
            </w:r>
            <w:proofErr w:type="spellEnd"/>
            <w:r w:rsidRPr="5B67C1D2">
              <w:rPr>
                <w:i/>
                <w:iCs/>
                <w:sz w:val="20"/>
                <w:szCs w:val="20"/>
                <w:lang w:val="en-US"/>
              </w:rPr>
              <w:t xml:space="preserve"> Clause</w:t>
            </w:r>
            <w:r w:rsidRPr="00007CDB">
              <w:rPr>
                <w:sz w:val="20"/>
                <w:szCs w:val="20"/>
                <w:lang w:val="en-US"/>
              </w:rPr>
              <w:t xml:space="preserve"> nicht </w:t>
            </w:r>
            <w:proofErr w:type="spellStart"/>
            <w:r w:rsidRPr="00007CDB">
              <w:rPr>
                <w:sz w:val="20"/>
                <w:szCs w:val="20"/>
                <w:lang w:val="en-US"/>
              </w:rPr>
              <w:t>jedes</w:t>
            </w:r>
            <w:proofErr w:type="spellEnd"/>
            <w:r w:rsidRPr="00007CDB">
              <w:rPr>
                <w:sz w:val="20"/>
                <w:szCs w:val="20"/>
                <w:lang w:val="en-US"/>
              </w:rPr>
              <w:t xml:space="preserve"> Interesse („[The] range of interests protected by procedural due process is not </w:t>
            </w:r>
            <w:proofErr w:type="gramStart"/>
            <w:r w:rsidRPr="00007CDB">
              <w:rPr>
                <w:sz w:val="20"/>
                <w:szCs w:val="20"/>
                <w:lang w:val="en-US"/>
              </w:rPr>
              <w:t>infinite“</w:t>
            </w:r>
            <w:proofErr w:type="gramEnd"/>
            <w:r w:rsidRPr="00007CDB">
              <w:rPr>
                <w:sz w:val="20"/>
                <w:szCs w:val="20"/>
                <w:lang w:val="en-US"/>
              </w:rPr>
              <w:t>).</w:t>
            </w:r>
            <w:r w:rsidRPr="00007CDB">
              <w:rPr>
                <w:sz w:val="20"/>
                <w:szCs w:val="20"/>
                <w:vertAlign w:val="superscript"/>
              </w:rPr>
              <w:footnoteReference w:id="2018"/>
            </w:r>
            <w:r w:rsidRPr="00007CDB">
              <w:rPr>
                <w:sz w:val="20"/>
                <w:szCs w:val="20"/>
                <w:lang w:val="en-US"/>
              </w:rPr>
              <w:t xml:space="preserve"> </w:t>
            </w:r>
            <w:r w:rsidRPr="00007CDB">
              <w:rPr>
                <w:sz w:val="20"/>
                <w:szCs w:val="20"/>
              </w:rPr>
              <w:t>Sondern sie schütz</w:t>
            </w:r>
            <w:r>
              <w:rPr>
                <w:sz w:val="20"/>
                <w:szCs w:val="20"/>
              </w:rPr>
              <w:t>e</w:t>
            </w:r>
            <w:r w:rsidRPr="00007CDB">
              <w:rPr>
                <w:sz w:val="20"/>
                <w:szCs w:val="20"/>
              </w:rPr>
              <w:t xml:space="preserve"> nur gegen erhebliche, nicht marginale Einschränkungen der Grundrechte.</w:t>
            </w:r>
            <w:r w:rsidRPr="00007CDB">
              <w:rPr>
                <w:sz w:val="20"/>
                <w:szCs w:val="20"/>
                <w:vertAlign w:val="superscript"/>
              </w:rPr>
              <w:footnoteReference w:id="2019"/>
            </w:r>
            <w:r w:rsidRPr="00007CDB">
              <w:rPr>
                <w:sz w:val="20"/>
                <w:szCs w:val="20"/>
              </w:rPr>
              <w:t xml:space="preserve"> Und die Klausel schütz</w:t>
            </w:r>
            <w:r>
              <w:rPr>
                <w:sz w:val="20"/>
                <w:szCs w:val="20"/>
              </w:rPr>
              <w:t>e</w:t>
            </w:r>
            <w:r w:rsidRPr="00007CDB">
              <w:rPr>
                <w:sz w:val="20"/>
                <w:szCs w:val="20"/>
              </w:rPr>
              <w:t xml:space="preserve"> auch nur </w:t>
            </w:r>
            <w:r>
              <w:rPr>
                <w:sz w:val="20"/>
                <w:szCs w:val="20"/>
              </w:rPr>
              <w:t>solche</w:t>
            </w:r>
            <w:r w:rsidRPr="00007CDB">
              <w:rPr>
                <w:sz w:val="20"/>
                <w:szCs w:val="20"/>
              </w:rPr>
              <w:t xml:space="preserve"> Interesse</w:t>
            </w:r>
            <w:r>
              <w:rPr>
                <w:sz w:val="20"/>
                <w:szCs w:val="20"/>
              </w:rPr>
              <w:t>n</w:t>
            </w:r>
            <w:r w:rsidRPr="00007CDB">
              <w:rPr>
                <w:sz w:val="20"/>
                <w:szCs w:val="20"/>
              </w:rPr>
              <w:t xml:space="preserve"> gegen Einschränkung, welche auch unter den Wortlaut 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07CDB">
              <w:rPr>
                <w:sz w:val="20"/>
                <w:szCs w:val="20"/>
              </w:rPr>
              <w:t xml:space="preserve"> fallen könn</w:t>
            </w:r>
            <w:r>
              <w:rPr>
                <w:sz w:val="20"/>
                <w:szCs w:val="20"/>
              </w:rPr>
              <w:t>t</w:t>
            </w:r>
            <w:r w:rsidRPr="00007CDB">
              <w:rPr>
                <w:sz w:val="20"/>
                <w:szCs w:val="20"/>
              </w:rPr>
              <w:t>en. Wieweit ein rechtsstaatliches Verfahren dann erforderlich sei, richte sich indes nicht nach dem Gewicht der Einschränkung – sondern nach der Art der Einschränkung.</w:t>
            </w:r>
            <w:r w:rsidRPr="00007CDB">
              <w:rPr>
                <w:sz w:val="20"/>
                <w:szCs w:val="20"/>
                <w:vertAlign w:val="superscript"/>
              </w:rPr>
              <w:footnoteReference w:id="2020"/>
            </w:r>
            <w:r w:rsidRPr="00007CDB">
              <w:rPr>
                <w:sz w:val="20"/>
                <w:szCs w:val="20"/>
              </w:rPr>
              <w:t xml:space="preserve"> Nur anhand letzteren Maßstabes bestimme sich die Erforderlichkeit eines rechtsstaatlichen Verfahrens. Kurzum: Die Art der Einschränkung betreffe vor allem die Freiheit, die gegen den Entzug ohne ein rechtsstaatliches Verfahren geschützt sei. Freiheit umfasse wiederum das Recht, Bedingungen zu fordern,</w:t>
            </w:r>
            <w:r w:rsidRPr="00007CDB">
              <w:rPr>
                <w:sz w:val="20"/>
                <w:szCs w:val="20"/>
                <w:vertAlign w:val="superscript"/>
              </w:rPr>
              <w:footnoteReference w:id="2021"/>
            </w:r>
            <w:r w:rsidRPr="00007CDB">
              <w:rPr>
                <w:sz w:val="20"/>
                <w:szCs w:val="20"/>
              </w:rPr>
              <w:t xml:space="preserve"> die ein Streben nach Glück ermöglichen. Dazu gehöre historisch, keine ungerechtfertigten Eingriffe in die persönliche Sicherheit hinnehmen</w:t>
            </w:r>
            <w:r>
              <w:rPr>
                <w:sz w:val="20"/>
                <w:szCs w:val="20"/>
              </w:rPr>
              <w:t xml:space="preserve"> zu müssen</w:t>
            </w:r>
            <w:r w:rsidRPr="00007CDB">
              <w:rPr>
                <w:sz w:val="20"/>
                <w:szCs w:val="20"/>
              </w:rPr>
              <w:t xml:space="preserve">, </w:t>
            </w:r>
            <w:r>
              <w:rPr>
                <w:sz w:val="20"/>
                <w:szCs w:val="20"/>
              </w:rPr>
              <w:t>z.B.</w:t>
            </w:r>
            <w:r w:rsidRPr="00007CDB">
              <w:rPr>
                <w:sz w:val="20"/>
                <w:szCs w:val="20"/>
              </w:rPr>
              <w:t xml:space="preserve"> als Freiheit von körperlicher Einschränkung und Bestrafung.</w:t>
            </w:r>
            <w:r w:rsidRPr="00007CDB">
              <w:rPr>
                <w:sz w:val="20"/>
                <w:szCs w:val="20"/>
                <w:vertAlign w:val="superscript"/>
              </w:rPr>
              <w:footnoteReference w:id="2022"/>
            </w:r>
            <w:r w:rsidRPr="00007CDB">
              <w:rPr>
                <w:sz w:val="20"/>
                <w:szCs w:val="20"/>
              </w:rPr>
              <w:t xml:space="preserve"> Und falls solche vorl</w:t>
            </w:r>
            <w:r>
              <w:rPr>
                <w:sz w:val="20"/>
                <w:szCs w:val="20"/>
              </w:rPr>
              <w:t>ä</w:t>
            </w:r>
            <w:r w:rsidRPr="00007CDB">
              <w:rPr>
                <w:sz w:val="20"/>
                <w:szCs w:val="20"/>
              </w:rPr>
              <w:t xml:space="preserve">gen, </w:t>
            </w:r>
            <w:r>
              <w:rPr>
                <w:sz w:val="20"/>
                <w:szCs w:val="20"/>
              </w:rPr>
              <w:t xml:space="preserve">sei es erforderlich, </w:t>
            </w:r>
            <w:r w:rsidRPr="00007CDB">
              <w:rPr>
                <w:sz w:val="20"/>
                <w:szCs w:val="20"/>
              </w:rPr>
              <w:t>dagegen Rechtsschutzgarantien zu haben, als</w:t>
            </w:r>
            <w:r>
              <w:rPr>
                <w:sz w:val="20"/>
                <w:szCs w:val="20"/>
              </w:rPr>
              <w:t>o</w:t>
            </w:r>
            <w:r w:rsidRPr="00007CDB">
              <w:rPr>
                <w:sz w:val="20"/>
                <w:szCs w:val="20"/>
              </w:rPr>
              <w:t xml:space="preserve"> ein rechtstaatliches Verfahren</w:t>
            </w:r>
            <w:r>
              <w:rPr>
                <w:sz w:val="20"/>
                <w:szCs w:val="20"/>
              </w:rPr>
              <w:t>,</w:t>
            </w:r>
            <w:r w:rsidRPr="00007CDB">
              <w:rPr>
                <w:sz w:val="20"/>
                <w:szCs w:val="20"/>
                <w:vertAlign w:val="superscript"/>
              </w:rPr>
              <w:footnoteReference w:id="2023"/>
            </w:r>
            <w:r w:rsidRPr="00007CDB">
              <w:rPr>
                <w:sz w:val="20"/>
                <w:szCs w:val="20"/>
              </w:rPr>
              <w:t xml:space="preserve"> </w:t>
            </w:r>
            <w:r>
              <w:rPr>
                <w:sz w:val="20"/>
                <w:szCs w:val="20"/>
              </w:rPr>
              <w:t>etwa</w:t>
            </w:r>
            <w:r w:rsidRPr="00007CDB">
              <w:rPr>
                <w:sz w:val="20"/>
                <w:szCs w:val="20"/>
              </w:rPr>
              <w:t xml:space="preserve"> wenn eine staatliche Maßnahme die Fortbewegungsfreiheit nehme („It </w:t>
            </w:r>
            <w:proofErr w:type="spellStart"/>
            <w:r w:rsidRPr="00007CDB">
              <w:rPr>
                <w:sz w:val="20"/>
                <w:szCs w:val="20"/>
              </w:rPr>
              <w:t>is</w:t>
            </w:r>
            <w:proofErr w:type="spellEnd"/>
            <w:r w:rsidRPr="00007CDB">
              <w:rPr>
                <w:sz w:val="20"/>
                <w:szCs w:val="20"/>
              </w:rPr>
              <w:t xml:space="preserve"> fundamental </w:t>
            </w:r>
            <w:proofErr w:type="spellStart"/>
            <w:r w:rsidRPr="00007CDB">
              <w:rPr>
                <w:sz w:val="20"/>
                <w:szCs w:val="20"/>
              </w:rPr>
              <w:t>that</w:t>
            </w:r>
            <w:proofErr w:type="spellEnd"/>
            <w:r w:rsidRPr="00007CDB">
              <w:rPr>
                <w:sz w:val="20"/>
                <w:szCs w:val="20"/>
              </w:rPr>
              <w:t xml:space="preserve"> the </w:t>
            </w:r>
            <w:proofErr w:type="spellStart"/>
            <w:r w:rsidRPr="00007CDB">
              <w:rPr>
                <w:sz w:val="20"/>
                <w:szCs w:val="20"/>
              </w:rPr>
              <w:t>state</w:t>
            </w:r>
            <w:proofErr w:type="spellEnd"/>
            <w:r w:rsidRPr="00007CDB">
              <w:rPr>
                <w:sz w:val="20"/>
                <w:szCs w:val="20"/>
              </w:rPr>
              <w:t xml:space="preserve"> </w:t>
            </w:r>
            <w:proofErr w:type="spellStart"/>
            <w:r w:rsidRPr="00007CDB">
              <w:rPr>
                <w:sz w:val="20"/>
                <w:szCs w:val="20"/>
              </w:rPr>
              <w:t>cannot</w:t>
            </w:r>
            <w:proofErr w:type="spellEnd"/>
            <w:r w:rsidRPr="00007CDB">
              <w:rPr>
                <w:sz w:val="20"/>
                <w:szCs w:val="20"/>
              </w:rPr>
              <w:t xml:space="preserve"> hold and </w:t>
            </w:r>
            <w:proofErr w:type="spellStart"/>
            <w:r w:rsidRPr="00007CDB">
              <w:rPr>
                <w:sz w:val="20"/>
                <w:szCs w:val="20"/>
              </w:rPr>
              <w:t>physically</w:t>
            </w:r>
            <w:proofErr w:type="spellEnd"/>
            <w:r w:rsidRPr="00007CDB">
              <w:rPr>
                <w:sz w:val="20"/>
                <w:szCs w:val="20"/>
              </w:rPr>
              <w:t xml:space="preserve"> </w:t>
            </w:r>
            <w:proofErr w:type="spellStart"/>
            <w:r w:rsidRPr="00007CDB">
              <w:rPr>
                <w:sz w:val="20"/>
                <w:szCs w:val="20"/>
              </w:rPr>
              <w:t>punish</w:t>
            </w:r>
            <w:proofErr w:type="spellEnd"/>
            <w:r w:rsidRPr="00007CDB">
              <w:rPr>
                <w:sz w:val="20"/>
                <w:szCs w:val="20"/>
              </w:rPr>
              <w:t xml:space="preserve"> an individual </w:t>
            </w:r>
            <w:proofErr w:type="spellStart"/>
            <w:r w:rsidRPr="00007CDB">
              <w:rPr>
                <w:sz w:val="20"/>
                <w:szCs w:val="20"/>
              </w:rPr>
              <w:t>except</w:t>
            </w:r>
            <w:proofErr w:type="spellEnd"/>
            <w:r w:rsidRPr="00007CDB">
              <w:rPr>
                <w:sz w:val="20"/>
                <w:szCs w:val="20"/>
              </w:rPr>
              <w:t xml:space="preserve"> in </w:t>
            </w:r>
            <w:proofErr w:type="spellStart"/>
            <w:r w:rsidRPr="00007CDB">
              <w:rPr>
                <w:sz w:val="20"/>
                <w:szCs w:val="20"/>
              </w:rPr>
              <w:t>accordance</w:t>
            </w:r>
            <w:proofErr w:type="spellEnd"/>
            <w:r w:rsidRPr="00007CDB">
              <w:rPr>
                <w:sz w:val="20"/>
                <w:szCs w:val="20"/>
              </w:rPr>
              <w:t xml:space="preserve"> </w:t>
            </w:r>
            <w:proofErr w:type="spellStart"/>
            <w:r w:rsidRPr="00007CDB">
              <w:rPr>
                <w:sz w:val="20"/>
                <w:szCs w:val="20"/>
              </w:rPr>
              <w:t>with</w:t>
            </w:r>
            <w:proofErr w:type="spellEnd"/>
            <w:r w:rsidRPr="00007CDB">
              <w:rPr>
                <w:sz w:val="20"/>
                <w:szCs w:val="20"/>
              </w:rPr>
              <w:t xml:space="preserve"> due </w:t>
            </w:r>
            <w:proofErr w:type="spellStart"/>
            <w:r w:rsidRPr="00007CDB">
              <w:rPr>
                <w:sz w:val="20"/>
                <w:szCs w:val="20"/>
              </w:rPr>
              <w:t>process</w:t>
            </w:r>
            <w:proofErr w:type="spellEnd"/>
            <w:r w:rsidRPr="00007CDB">
              <w:rPr>
                <w:sz w:val="20"/>
                <w:szCs w:val="20"/>
              </w:rPr>
              <w:t xml:space="preserve"> of </w:t>
            </w:r>
            <w:proofErr w:type="spellStart"/>
            <w:r w:rsidRPr="00007CDB">
              <w:rPr>
                <w:sz w:val="20"/>
                <w:szCs w:val="20"/>
              </w:rPr>
              <w:t>law</w:t>
            </w:r>
            <w:proofErr w:type="spellEnd"/>
            <w:r w:rsidRPr="00007CDB">
              <w:rPr>
                <w:sz w:val="20"/>
                <w:szCs w:val="20"/>
              </w:rPr>
              <w:t>.“</w:t>
            </w:r>
            <w:r w:rsidRPr="00007CDB">
              <w:rPr>
                <w:sz w:val="20"/>
                <w:szCs w:val="20"/>
                <w:vertAlign w:val="superscript"/>
              </w:rPr>
              <w:footnoteReference w:id="2024"/>
            </w:r>
            <w:r>
              <w:rPr>
                <w:sz w:val="20"/>
                <w:szCs w:val="20"/>
              </w:rPr>
              <w:t>).</w:t>
            </w:r>
            <w:r w:rsidRPr="00007CDB">
              <w:rPr>
                <w:sz w:val="20"/>
                <w:szCs w:val="20"/>
              </w:rPr>
              <w:t xml:space="preserve"> Dafür gebe es zwar eine Geringfügigkeitsschwelle („de minimis </w:t>
            </w:r>
            <w:proofErr w:type="spellStart"/>
            <w:r w:rsidRPr="00007CDB">
              <w:rPr>
                <w:sz w:val="20"/>
                <w:szCs w:val="20"/>
              </w:rPr>
              <w:t>level</w:t>
            </w:r>
            <w:proofErr w:type="spellEnd"/>
            <w:r w:rsidRPr="00007CDB">
              <w:rPr>
                <w:sz w:val="20"/>
                <w:szCs w:val="20"/>
              </w:rPr>
              <w:t xml:space="preserve"> of </w:t>
            </w:r>
            <w:proofErr w:type="spellStart"/>
            <w:r w:rsidRPr="00007CDB">
              <w:rPr>
                <w:sz w:val="20"/>
                <w:szCs w:val="20"/>
              </w:rPr>
              <w:t>imposition</w:t>
            </w:r>
            <w:proofErr w:type="spellEnd"/>
            <w:r w:rsidRPr="00007CDB">
              <w:rPr>
                <w:sz w:val="20"/>
                <w:szCs w:val="20"/>
              </w:rPr>
              <w:t>“</w:t>
            </w:r>
            <w:r w:rsidRPr="00007CDB">
              <w:rPr>
                <w:sz w:val="20"/>
                <w:szCs w:val="20"/>
                <w:vertAlign w:val="superscript"/>
              </w:rPr>
              <w:t xml:space="preserve"> </w:t>
            </w:r>
            <w:r w:rsidRPr="00007CDB">
              <w:rPr>
                <w:sz w:val="20"/>
                <w:szCs w:val="20"/>
                <w:vertAlign w:val="superscript"/>
              </w:rPr>
              <w:footnoteReference w:id="2025"/>
            </w:r>
            <w:r w:rsidRPr="00007CDB">
              <w:rPr>
                <w:sz w:val="20"/>
                <w:szCs w:val="20"/>
              </w:rPr>
              <w:t>)</w:t>
            </w:r>
            <w:r>
              <w:rPr>
                <w:sz w:val="20"/>
                <w:szCs w:val="20"/>
              </w:rPr>
              <w:t>;</w:t>
            </w:r>
            <w:r w:rsidRPr="00007CDB">
              <w:rPr>
                <w:sz w:val="20"/>
                <w:szCs w:val="20"/>
              </w:rPr>
              <w:t xml:space="preserve"> die</w:t>
            </w:r>
            <w:r>
              <w:rPr>
                <w:sz w:val="20"/>
                <w:szCs w:val="20"/>
              </w:rPr>
              <w:t>se</w:t>
            </w:r>
            <w:r w:rsidRPr="00007CDB">
              <w:rPr>
                <w:sz w:val="20"/>
                <w:szCs w:val="20"/>
              </w:rPr>
              <w:t xml:space="preserve"> sei aber überschritten, wenn </w:t>
            </w:r>
            <w:r>
              <w:rPr>
                <w:sz w:val="20"/>
                <w:szCs w:val="20"/>
              </w:rPr>
              <w:t>es z.B.</w:t>
            </w:r>
            <w:r w:rsidRPr="00007CDB">
              <w:rPr>
                <w:sz w:val="20"/>
                <w:szCs w:val="20"/>
              </w:rPr>
              <w:t xml:space="preserve"> Schulbehörden unter dem Deckmantel des öffentlichen Interesses </w:t>
            </w:r>
            <w:proofErr w:type="gramStart"/>
            <w:r w:rsidRPr="00007CDB">
              <w:rPr>
                <w:sz w:val="20"/>
                <w:szCs w:val="20"/>
              </w:rPr>
              <w:t>legitimier</w:t>
            </w:r>
            <w:r>
              <w:rPr>
                <w:sz w:val="20"/>
                <w:szCs w:val="20"/>
              </w:rPr>
              <w:t>t</w:t>
            </w:r>
            <w:r w:rsidRPr="00007CDB">
              <w:rPr>
                <w:sz w:val="20"/>
                <w:szCs w:val="20"/>
              </w:rPr>
              <w:t>en</w:t>
            </w:r>
            <w:proofErr w:type="gramEnd"/>
            <w:r w:rsidRPr="00007CDB">
              <w:rPr>
                <w:sz w:val="20"/>
                <w:szCs w:val="20"/>
              </w:rPr>
              <w:t>, da</w:t>
            </w:r>
            <w:r>
              <w:rPr>
                <w:sz w:val="20"/>
                <w:szCs w:val="20"/>
              </w:rPr>
              <w:t>s</w:t>
            </w:r>
            <w:r w:rsidRPr="00007CDB">
              <w:rPr>
                <w:sz w:val="20"/>
                <w:szCs w:val="20"/>
              </w:rPr>
              <w:t>s ein Kind für Fehlverhalten bestraft w</w:t>
            </w:r>
            <w:r>
              <w:rPr>
                <w:sz w:val="20"/>
                <w:szCs w:val="20"/>
              </w:rPr>
              <w:t>e</w:t>
            </w:r>
            <w:r w:rsidRPr="00007CDB">
              <w:rPr>
                <w:sz w:val="20"/>
                <w:szCs w:val="20"/>
              </w:rPr>
              <w:t xml:space="preserve">rde, indem es festgehalten </w:t>
            </w:r>
            <w:r>
              <w:rPr>
                <w:sz w:val="20"/>
                <w:szCs w:val="20"/>
              </w:rPr>
              <w:t xml:space="preserve">werde </w:t>
            </w:r>
            <w:r w:rsidRPr="00007CDB">
              <w:rPr>
                <w:sz w:val="20"/>
                <w:szCs w:val="20"/>
              </w:rPr>
              <w:t xml:space="preserve">und ihm körperliche Schmerzen </w:t>
            </w:r>
            <w:proofErr w:type="gramStart"/>
            <w:r w:rsidRPr="00007CDB">
              <w:rPr>
                <w:sz w:val="20"/>
                <w:szCs w:val="20"/>
              </w:rPr>
              <w:t>zufügt</w:t>
            </w:r>
            <w:proofErr w:type="gramEnd"/>
            <w:r w:rsidRPr="00007CDB">
              <w:rPr>
                <w:sz w:val="20"/>
                <w:szCs w:val="20"/>
              </w:rPr>
              <w:t xml:space="preserve"> würden.</w:t>
            </w:r>
            <w:r w:rsidRPr="00007CDB">
              <w:rPr>
                <w:sz w:val="20"/>
                <w:szCs w:val="20"/>
                <w:vertAlign w:val="superscript"/>
              </w:rPr>
              <w:footnoteReference w:id="2026"/>
            </w:r>
          </w:p>
          <w:p w14:paraId="582BA5BA" w14:textId="77777777" w:rsidR="00074551" w:rsidRPr="00E50B51" w:rsidRDefault="00074551" w:rsidP="00367133">
            <w:pPr>
              <w:jc w:val="both"/>
              <w:rPr>
                <w:sz w:val="20"/>
                <w:szCs w:val="20"/>
              </w:rPr>
            </w:pPr>
          </w:p>
        </w:tc>
      </w:tr>
      <w:tr w:rsidR="00074551" w:rsidRPr="00E50B51" w14:paraId="24D7E603" w14:textId="77777777" w:rsidTr="00BE689F">
        <w:trPr>
          <w:cantSplit/>
          <w:trHeight w:val="3175"/>
        </w:trPr>
        <w:tc>
          <w:tcPr>
            <w:tcW w:w="293" w:type="pct"/>
          </w:tcPr>
          <w:p w14:paraId="14113D32"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4656E91" w14:textId="77777777" w:rsidR="00074551" w:rsidRPr="00B45592" w:rsidRDefault="00074551" w:rsidP="00367133">
            <w:pPr>
              <w:ind w:left="113" w:right="113"/>
              <w:jc w:val="both"/>
              <w:rPr>
                <w:i/>
                <w:sz w:val="20"/>
                <w:szCs w:val="20"/>
                <w:lang w:val="en-US"/>
              </w:rPr>
            </w:pPr>
            <w:r w:rsidRPr="00B45592">
              <w:rPr>
                <w:i/>
                <w:sz w:val="20"/>
                <w:szCs w:val="20"/>
                <w:lang w:val="en-US"/>
              </w:rPr>
              <w:t>Kerry v. Din</w:t>
            </w:r>
          </w:p>
        </w:tc>
        <w:tc>
          <w:tcPr>
            <w:tcW w:w="197" w:type="pct"/>
            <w:textDirection w:val="tbRl"/>
            <w:vAlign w:val="center"/>
          </w:tcPr>
          <w:p w14:paraId="724FB4D9" w14:textId="77777777" w:rsidR="00074551" w:rsidRPr="00E50B51" w:rsidRDefault="00074551" w:rsidP="00367133">
            <w:pPr>
              <w:ind w:left="113" w:right="113"/>
              <w:jc w:val="both"/>
              <w:rPr>
                <w:iCs/>
                <w:sz w:val="20"/>
                <w:szCs w:val="20"/>
                <w:lang w:val="en-US"/>
              </w:rPr>
            </w:pPr>
            <w:r w:rsidRPr="00E50B51">
              <w:rPr>
                <w:sz w:val="20"/>
                <w:szCs w:val="20"/>
                <w:lang w:val="en-US"/>
              </w:rPr>
              <w:t>576 U.S. 86</w:t>
            </w:r>
          </w:p>
        </w:tc>
        <w:tc>
          <w:tcPr>
            <w:tcW w:w="306" w:type="pct"/>
            <w:textDirection w:val="tbRl"/>
            <w:vAlign w:val="center"/>
          </w:tcPr>
          <w:p w14:paraId="76D9D28E" w14:textId="77777777" w:rsidR="00074551" w:rsidRPr="00E50B51" w:rsidRDefault="00074551" w:rsidP="00367133">
            <w:pPr>
              <w:ind w:left="113" w:right="113"/>
              <w:jc w:val="both"/>
              <w:rPr>
                <w:sz w:val="20"/>
                <w:szCs w:val="20"/>
                <w:lang w:val="en-US"/>
              </w:rPr>
            </w:pPr>
            <w:r w:rsidRPr="00E50B51">
              <w:rPr>
                <w:sz w:val="20"/>
                <w:szCs w:val="20"/>
                <w:lang w:val="en-US"/>
              </w:rPr>
              <w:t>15. Juni 2015</w:t>
            </w:r>
          </w:p>
        </w:tc>
        <w:tc>
          <w:tcPr>
            <w:tcW w:w="401" w:type="pct"/>
          </w:tcPr>
          <w:p w14:paraId="1D6F76D1" w14:textId="77777777" w:rsidR="00074551" w:rsidRPr="00E50B51" w:rsidRDefault="00074551" w:rsidP="00367133">
            <w:pPr>
              <w:jc w:val="center"/>
              <w:rPr>
                <w:sz w:val="20"/>
                <w:szCs w:val="20"/>
                <w:lang w:val="en-US"/>
              </w:rPr>
            </w:pPr>
            <w:r>
              <w:rPr>
                <w:iCs/>
                <w:sz w:val="20"/>
                <w:szCs w:val="20"/>
                <w:lang w:val="en-US"/>
              </w:rPr>
              <w:t>D</w:t>
            </w:r>
          </w:p>
        </w:tc>
        <w:tc>
          <w:tcPr>
            <w:tcW w:w="1594" w:type="pct"/>
          </w:tcPr>
          <w:p w14:paraId="582DF2B0" w14:textId="261DF70B" w:rsidR="00074551" w:rsidRPr="00E50B51" w:rsidRDefault="00074551" w:rsidP="00367133">
            <w:pPr>
              <w:jc w:val="both"/>
              <w:rPr>
                <w:sz w:val="20"/>
                <w:szCs w:val="20"/>
              </w:rPr>
            </w:pPr>
            <w:proofErr w:type="spellStart"/>
            <w:r w:rsidRPr="00E50B51">
              <w:rPr>
                <w:sz w:val="20"/>
                <w:szCs w:val="20"/>
                <w:lang w:val="en-US"/>
              </w:rPr>
              <w:t>Im</w:t>
            </w:r>
            <w:proofErr w:type="spellEnd"/>
            <w:r w:rsidRPr="00E50B51">
              <w:rPr>
                <w:sz w:val="20"/>
                <w:szCs w:val="20"/>
                <w:lang w:val="en-US"/>
              </w:rPr>
              <w:t xml:space="preserve"> Fall </w:t>
            </w:r>
            <w:proofErr w:type="spellStart"/>
            <w:r w:rsidRPr="00E50B51">
              <w:rPr>
                <w:sz w:val="20"/>
                <w:szCs w:val="20"/>
                <w:lang w:val="en-US"/>
              </w:rPr>
              <w:t>revidierte</w:t>
            </w:r>
            <w:proofErr w:type="spellEnd"/>
            <w:r w:rsidRPr="00E50B51">
              <w:rPr>
                <w:sz w:val="20"/>
                <w:szCs w:val="20"/>
                <w:lang w:val="en-US"/>
              </w:rPr>
              <w:t xml:space="preserve"> der </w:t>
            </w:r>
            <w:r>
              <w:rPr>
                <w:sz w:val="20"/>
                <w:szCs w:val="20"/>
                <w:lang w:val="en-US"/>
              </w:rPr>
              <w:t>U.S. Supreme Court</w:t>
            </w:r>
            <w:r w:rsidRPr="00E50B51">
              <w:rPr>
                <w:sz w:val="20"/>
                <w:szCs w:val="20"/>
                <w:lang w:val="en-US"/>
              </w:rPr>
              <w:t xml:space="preserve"> </w:t>
            </w:r>
            <w:proofErr w:type="spellStart"/>
            <w:r w:rsidRPr="00E50B51">
              <w:rPr>
                <w:sz w:val="20"/>
                <w:szCs w:val="20"/>
                <w:lang w:val="en-US"/>
              </w:rPr>
              <w:t>ein</w:t>
            </w:r>
            <w:proofErr w:type="spellEnd"/>
            <w:r w:rsidRPr="00E50B51">
              <w:rPr>
                <w:sz w:val="20"/>
                <w:szCs w:val="20"/>
                <w:lang w:val="en-US"/>
              </w:rPr>
              <w:t xml:space="preserve"> </w:t>
            </w:r>
            <w:proofErr w:type="spellStart"/>
            <w:r w:rsidRPr="00E50B51">
              <w:rPr>
                <w:sz w:val="20"/>
                <w:szCs w:val="20"/>
                <w:lang w:val="en-US"/>
              </w:rPr>
              <w:t>Urteil</w:t>
            </w:r>
            <w:proofErr w:type="spellEnd"/>
            <w:r w:rsidRPr="00E50B51">
              <w:rPr>
                <w:sz w:val="20"/>
                <w:szCs w:val="20"/>
                <w:lang w:val="en-US"/>
              </w:rPr>
              <w:t xml:space="preserve"> des </w:t>
            </w:r>
            <w:r w:rsidRPr="5B67C1D2">
              <w:rPr>
                <w:i/>
                <w:iCs/>
                <w:sz w:val="20"/>
                <w:szCs w:val="20"/>
                <w:lang w:val="en-US"/>
              </w:rPr>
              <w:t>U.S. Court of Appeals for the Ninth Circuit</w:t>
            </w:r>
            <w:r w:rsidRPr="00E50B51">
              <w:rPr>
                <w:sz w:val="20"/>
                <w:szCs w:val="20"/>
                <w:lang w:val="en-US"/>
              </w:rPr>
              <w:t xml:space="preserve">. </w:t>
            </w:r>
            <w:r w:rsidRPr="00E50B51">
              <w:rPr>
                <w:sz w:val="20"/>
                <w:szCs w:val="20"/>
              </w:rPr>
              <w:t>Die Vorinstanz stellte noch fest, dass eine US-Bürgerin ein solches Freiheitsinteresse an ihrer Ehe ha</w:t>
            </w:r>
            <w:r>
              <w:rPr>
                <w:sz w:val="20"/>
                <w:szCs w:val="20"/>
              </w:rPr>
              <w:t>b</w:t>
            </w:r>
            <w:r w:rsidRPr="00E50B51">
              <w:rPr>
                <w:sz w:val="20"/>
                <w:szCs w:val="20"/>
              </w:rPr>
              <w:t xml:space="preserve">e, dass sie dazu berechtigt </w:t>
            </w:r>
            <w:r>
              <w:rPr>
                <w:sz w:val="20"/>
                <w:szCs w:val="20"/>
              </w:rPr>
              <w:t>sei</w:t>
            </w:r>
            <w:r w:rsidRPr="00E50B51">
              <w:rPr>
                <w:sz w:val="20"/>
                <w:szCs w:val="20"/>
              </w:rPr>
              <w:t xml:space="preserve">, eine Entscheidung eines Konsularbeamten überprüfen zu lassen, der den Antrag ihres Ehemanns auf ein Visum gemäß 8 U.S.C.S. </w:t>
            </w:r>
            <w:r>
              <w:rPr>
                <w:sz w:val="20"/>
                <w:szCs w:val="20"/>
              </w:rPr>
              <w:t>§ </w:t>
            </w:r>
            <w:r w:rsidRPr="00E50B51">
              <w:rPr>
                <w:sz w:val="20"/>
                <w:szCs w:val="20"/>
              </w:rPr>
              <w:t>1182(a</w:t>
            </w:r>
            <w:r w:rsidRPr="000C67F4">
              <w:rPr>
                <w:sz w:val="20"/>
                <w:szCs w:val="20"/>
              </w:rPr>
              <w:t>)(3)(B)</w:t>
            </w:r>
            <w:r w:rsidRPr="000C67F4">
              <w:rPr>
                <w:rStyle w:val="Funotenzeichen"/>
                <w:sz w:val="20"/>
                <w:szCs w:val="20"/>
              </w:rPr>
              <w:footnoteReference w:id="2027"/>
            </w:r>
            <w:r w:rsidRPr="000C67F4">
              <w:rPr>
                <w:sz w:val="20"/>
                <w:szCs w:val="20"/>
              </w:rPr>
              <w:t xml:space="preserve"> verweigert hatte. Denn der Ehemann sei ein ehemaliger Funktionär des Taliban-Regimes gewesen. Aber</w:t>
            </w:r>
            <w:r w:rsidRPr="00E50B51">
              <w:rPr>
                <w:sz w:val="20"/>
                <w:szCs w:val="20"/>
              </w:rPr>
              <w:t xml:space="preserve"> der </w:t>
            </w:r>
            <w:r>
              <w:rPr>
                <w:sz w:val="20"/>
                <w:szCs w:val="20"/>
              </w:rPr>
              <w:t>U.S. Supreme Court</w:t>
            </w:r>
            <w:r w:rsidRPr="00E50B51">
              <w:rPr>
                <w:sz w:val="20"/>
                <w:szCs w:val="20"/>
              </w:rPr>
              <w:t xml:space="preserve"> urteilte, nach historischem Verständnis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E50B51">
              <w:rPr>
                <w:sz w:val="20"/>
                <w:szCs w:val="20"/>
              </w:rPr>
              <w:t xml:space="preserve"> könne die Ehefrau sich nicht darauf berufen, dass ihr das Leben, die Freiheit oder das Eigentum vorenthalten worden sei</w:t>
            </w:r>
            <w:r>
              <w:rPr>
                <w:sz w:val="20"/>
                <w:szCs w:val="20"/>
              </w:rPr>
              <w:t>en</w:t>
            </w:r>
            <w:r w:rsidRPr="00E50B51">
              <w:rPr>
                <w:sz w:val="20"/>
                <w:szCs w:val="20"/>
              </w:rPr>
              <w:t xml:space="preserve"> (dafür Richter </w:t>
            </w:r>
            <w:r w:rsidRPr="5B67C1D2">
              <w:rPr>
                <w:i/>
                <w:iCs/>
                <w:sz w:val="20"/>
                <w:szCs w:val="20"/>
              </w:rPr>
              <w:t>Scalia</w:t>
            </w:r>
            <w:r w:rsidRPr="00E50B51">
              <w:rPr>
                <w:sz w:val="20"/>
                <w:szCs w:val="20"/>
              </w:rPr>
              <w:t xml:space="preserve">, </w:t>
            </w:r>
            <w:r w:rsidRPr="5B67C1D2">
              <w:rPr>
                <w:i/>
                <w:iCs/>
                <w:sz w:val="20"/>
                <w:szCs w:val="20"/>
              </w:rPr>
              <w:t>Robert</w:t>
            </w:r>
            <w:r w:rsidRPr="00E50B51">
              <w:rPr>
                <w:sz w:val="20"/>
                <w:szCs w:val="20"/>
              </w:rPr>
              <w:t xml:space="preserve">, </w:t>
            </w:r>
            <w:r w:rsidRPr="5B67C1D2">
              <w:rPr>
                <w:i/>
                <w:iCs/>
                <w:sz w:val="20"/>
                <w:szCs w:val="20"/>
              </w:rPr>
              <w:t>Thomas</w:t>
            </w:r>
            <w:r w:rsidRPr="00E50B51">
              <w:rPr>
                <w:sz w:val="20"/>
                <w:szCs w:val="20"/>
              </w:rPr>
              <w:t>). Anderenfalls käme es auch nicht darauf an, ob die US-Bürgerin ein geschütztes Freiheitsinteresse hatte. Denn di</w:t>
            </w:r>
            <w:r>
              <w:rPr>
                <w:sz w:val="20"/>
                <w:szCs w:val="20"/>
              </w:rPr>
              <w:t>e</w:t>
            </w:r>
            <w:r w:rsidRPr="00E50B51">
              <w:rPr>
                <w:sz w:val="20"/>
                <w:szCs w:val="20"/>
              </w:rPr>
              <w:t xml:space="preserve"> Mitteilung zur Visumsverweigerung genüge einem </w:t>
            </w:r>
            <w:r>
              <w:rPr>
                <w:sz w:val="20"/>
                <w:szCs w:val="20"/>
              </w:rPr>
              <w:t>rechtsstaatlichen Verfahren</w:t>
            </w:r>
            <w:r w:rsidRPr="00E50B51">
              <w:rPr>
                <w:sz w:val="20"/>
                <w:szCs w:val="20"/>
              </w:rPr>
              <w:t xml:space="preserve"> (dafür Richter </w:t>
            </w:r>
            <w:r w:rsidRPr="5B67C1D2">
              <w:rPr>
                <w:i/>
                <w:iCs/>
                <w:sz w:val="20"/>
                <w:szCs w:val="20"/>
              </w:rPr>
              <w:t>Kennedy</w:t>
            </w:r>
            <w:r w:rsidRPr="00E50B51">
              <w:rPr>
                <w:sz w:val="20"/>
                <w:szCs w:val="20"/>
              </w:rPr>
              <w:t xml:space="preserve">, </w:t>
            </w:r>
            <w:proofErr w:type="spellStart"/>
            <w:r w:rsidRPr="5B67C1D2">
              <w:rPr>
                <w:i/>
                <w:iCs/>
                <w:sz w:val="20"/>
                <w:szCs w:val="20"/>
              </w:rPr>
              <w:t>Alito</w:t>
            </w:r>
            <w:proofErr w:type="spellEnd"/>
            <w:r w:rsidRPr="00E50B51">
              <w:rPr>
                <w:sz w:val="20"/>
                <w:szCs w:val="20"/>
              </w:rPr>
              <w:t>).</w:t>
            </w:r>
            <w:r>
              <w:rPr>
                <w:rStyle w:val="Funotenzeichen"/>
                <w:sz w:val="20"/>
                <w:szCs w:val="20"/>
              </w:rPr>
              <w:footnoteReference w:id="2028"/>
            </w:r>
          </w:p>
          <w:p w14:paraId="75C41DB4" w14:textId="77777777" w:rsidR="00074551" w:rsidRPr="00E50B51" w:rsidRDefault="00074551" w:rsidP="00367133">
            <w:pPr>
              <w:jc w:val="both"/>
              <w:rPr>
                <w:sz w:val="20"/>
                <w:szCs w:val="20"/>
              </w:rPr>
            </w:pPr>
          </w:p>
        </w:tc>
        <w:tc>
          <w:tcPr>
            <w:tcW w:w="1822" w:type="pct"/>
          </w:tcPr>
          <w:p w14:paraId="7FB48570" w14:textId="77777777" w:rsidR="00074551" w:rsidRPr="00CA6FC1" w:rsidRDefault="00074551" w:rsidP="00367133">
            <w:pPr>
              <w:jc w:val="both"/>
              <w:rPr>
                <w:sz w:val="20"/>
                <w:szCs w:val="20"/>
              </w:rPr>
            </w:pPr>
            <w:r w:rsidRPr="00CA6FC1">
              <w:rPr>
                <w:sz w:val="20"/>
                <w:szCs w:val="20"/>
              </w:rPr>
              <w:t xml:space="preserve">Der Dissens erklärte, dass die Rechtsprechung des </w:t>
            </w:r>
            <w:r>
              <w:rPr>
                <w:sz w:val="20"/>
                <w:szCs w:val="20"/>
              </w:rPr>
              <w:t>U.S. Supreme Court</w:t>
            </w:r>
            <w:r w:rsidRPr="00CA6FC1">
              <w:rPr>
                <w:sz w:val="20"/>
                <w:szCs w:val="20"/>
              </w:rPr>
              <w:t xml:space="preserve"> zur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CA6FC1">
              <w:rPr>
                <w:sz w:val="20"/>
                <w:szCs w:val="20"/>
              </w:rPr>
              <w:t xml:space="preserve"> einen Anspruch auf Verfahrensrechte in zwei Fällen begründe. Der Anspruch entstehe erstens, wenn der Betroffene für ein Freiheitsinteresse Schutz begehre, welches so wichtig sei, dass sich der Verfahrensschutz bereits implizit („</w:t>
            </w:r>
            <w:proofErr w:type="spellStart"/>
            <w:r w:rsidRPr="00CA6FC1">
              <w:rPr>
                <w:sz w:val="20"/>
                <w:szCs w:val="20"/>
              </w:rPr>
              <w:t>implicit</w:t>
            </w:r>
            <w:proofErr w:type="spellEnd"/>
            <w:r w:rsidRPr="00CA6FC1">
              <w:rPr>
                <w:sz w:val="20"/>
                <w:szCs w:val="20"/>
              </w:rPr>
              <w:t>[</w:t>
            </w:r>
            <w:proofErr w:type="spellStart"/>
            <w:r w:rsidRPr="00CA6FC1">
              <w:rPr>
                <w:sz w:val="20"/>
                <w:szCs w:val="20"/>
              </w:rPr>
              <w:t>ly</w:t>
            </w:r>
            <w:proofErr w:type="spellEnd"/>
            <w:r w:rsidRPr="00CA6FC1">
              <w:rPr>
                <w:sz w:val="20"/>
                <w:szCs w:val="20"/>
              </w:rPr>
              <w:t>]“</w:t>
            </w:r>
            <w:r w:rsidRPr="00CA6FC1">
              <w:rPr>
                <w:sz w:val="20"/>
                <w:szCs w:val="20"/>
                <w:vertAlign w:val="superscript"/>
              </w:rPr>
              <w:footnoteReference w:id="2029"/>
            </w:r>
            <w:r w:rsidRPr="00CA6FC1">
              <w:rPr>
                <w:sz w:val="20"/>
                <w:szCs w:val="20"/>
              </w:rPr>
              <w:t xml:space="preserve">) aus dem Sinn und Zweck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CA6FC1">
              <w:rPr>
                <w:sz w:val="20"/>
                <w:szCs w:val="20"/>
              </w:rPr>
              <w:t xml:space="preserve"> ergebe. Und zweitens entsteh</w:t>
            </w:r>
            <w:r>
              <w:rPr>
                <w:sz w:val="20"/>
                <w:szCs w:val="20"/>
              </w:rPr>
              <w:t>e</w:t>
            </w:r>
            <w:r w:rsidRPr="00CA6FC1">
              <w:rPr>
                <w:sz w:val="20"/>
                <w:szCs w:val="20"/>
              </w:rPr>
              <w:t xml:space="preserve"> der Anspruch, wenn ein Gesetz dieses so wichtige Freiheitsinteresse einschränke; denn dann wecke es als Ausgleich die Erwartung („an </w:t>
            </w:r>
            <w:proofErr w:type="spellStart"/>
            <w:r w:rsidRPr="00CA6FC1">
              <w:rPr>
                <w:sz w:val="20"/>
                <w:szCs w:val="20"/>
              </w:rPr>
              <w:t>expectation</w:t>
            </w:r>
            <w:proofErr w:type="spellEnd"/>
            <w:r w:rsidRPr="00CA6FC1">
              <w:rPr>
                <w:sz w:val="20"/>
                <w:szCs w:val="20"/>
              </w:rPr>
              <w:t>“</w:t>
            </w:r>
            <w:r w:rsidRPr="00CA6FC1">
              <w:rPr>
                <w:sz w:val="20"/>
                <w:szCs w:val="20"/>
                <w:vertAlign w:val="superscript"/>
              </w:rPr>
              <w:footnoteReference w:id="2030"/>
            </w:r>
            <w:r w:rsidRPr="00CA6FC1">
              <w:rPr>
                <w:sz w:val="20"/>
                <w:szCs w:val="20"/>
              </w:rPr>
              <w:t xml:space="preserve">), dass eine staatliche Maßnahme erst nach einem rechtsstaatlichen Verfahren dieses Interesse entziehen </w:t>
            </w:r>
            <w:r>
              <w:rPr>
                <w:sz w:val="20"/>
                <w:szCs w:val="20"/>
              </w:rPr>
              <w:t>könne</w:t>
            </w:r>
            <w:r w:rsidRPr="00CA6FC1">
              <w:rPr>
                <w:sz w:val="20"/>
                <w:szCs w:val="20"/>
              </w:rPr>
              <w:t>.</w:t>
            </w:r>
            <w:r w:rsidRPr="00CA6FC1">
              <w:rPr>
                <w:sz w:val="20"/>
                <w:szCs w:val="20"/>
                <w:vertAlign w:val="superscript"/>
              </w:rPr>
              <w:footnoteReference w:id="2031"/>
            </w:r>
            <w:r>
              <w:rPr>
                <w:sz w:val="20"/>
                <w:szCs w:val="20"/>
              </w:rPr>
              <w:t xml:space="preserve"> </w:t>
            </w:r>
            <w:proofErr w:type="gramStart"/>
            <w:r w:rsidRPr="00CA6FC1">
              <w:rPr>
                <w:sz w:val="20"/>
                <w:szCs w:val="20"/>
              </w:rPr>
              <w:t>Hier</w:t>
            </w:r>
            <w:proofErr w:type="gramEnd"/>
            <w:r w:rsidRPr="00CA6FC1">
              <w:rPr>
                <w:sz w:val="20"/>
                <w:szCs w:val="20"/>
              </w:rPr>
              <w:t xml:space="preserve"> erfüll</w:t>
            </w:r>
            <w:r>
              <w:rPr>
                <w:sz w:val="20"/>
                <w:szCs w:val="20"/>
              </w:rPr>
              <w:t>e</w:t>
            </w:r>
            <w:r w:rsidRPr="00CA6FC1">
              <w:rPr>
                <w:sz w:val="20"/>
                <w:szCs w:val="20"/>
              </w:rPr>
              <w:t xml:space="preserve"> die Ehefreiheit der US-Bürgerin, die sich gegen die Visumsverweigerung ihres Ehemanns wehrt, beide Fälle: Erstens sei die Ehe ein wichtiges Freiheitsinteresse. Denn es umfasse das Recht, eine Familie zu gründen; damit bestimme es den zentralen Lebenszuschnitt. </w:t>
            </w:r>
            <w:r>
              <w:rPr>
                <w:sz w:val="20"/>
                <w:szCs w:val="20"/>
              </w:rPr>
              <w:t>Mit anderen Worten</w:t>
            </w:r>
            <w:r w:rsidRPr="00CA6FC1">
              <w:rPr>
                <w:sz w:val="20"/>
                <w:szCs w:val="20"/>
              </w:rPr>
              <w:t>: Es ist eine Bedingung für das ordentliche Streben nach Glück („</w:t>
            </w:r>
            <w:proofErr w:type="spellStart"/>
            <w:r w:rsidRPr="00CA6FC1">
              <w:rPr>
                <w:sz w:val="20"/>
                <w:szCs w:val="20"/>
              </w:rPr>
              <w:t>central</w:t>
            </w:r>
            <w:proofErr w:type="spellEnd"/>
            <w:r w:rsidRPr="00CA6FC1">
              <w:rPr>
                <w:sz w:val="20"/>
                <w:szCs w:val="20"/>
              </w:rPr>
              <w:t xml:space="preserve"> </w:t>
            </w:r>
            <w:proofErr w:type="spellStart"/>
            <w:r w:rsidRPr="00CA6FC1">
              <w:rPr>
                <w:sz w:val="20"/>
                <w:szCs w:val="20"/>
              </w:rPr>
              <w:t>role</w:t>
            </w:r>
            <w:proofErr w:type="spellEnd"/>
            <w:r w:rsidRPr="00CA6FC1">
              <w:rPr>
                <w:sz w:val="20"/>
                <w:szCs w:val="20"/>
              </w:rPr>
              <w:t xml:space="preserve"> in </w:t>
            </w:r>
            <w:proofErr w:type="spellStart"/>
            <w:r w:rsidRPr="00CA6FC1">
              <w:rPr>
                <w:sz w:val="20"/>
                <w:szCs w:val="20"/>
              </w:rPr>
              <w:t>most</w:t>
            </w:r>
            <w:proofErr w:type="spellEnd"/>
            <w:r w:rsidRPr="00CA6FC1">
              <w:rPr>
                <w:sz w:val="20"/>
                <w:szCs w:val="20"/>
              </w:rPr>
              <w:t xml:space="preserve"> </w:t>
            </w:r>
            <w:proofErr w:type="spellStart"/>
            <w:r w:rsidRPr="00CA6FC1">
              <w:rPr>
                <w:sz w:val="20"/>
                <w:szCs w:val="20"/>
              </w:rPr>
              <w:t>individuals</w:t>
            </w:r>
            <w:proofErr w:type="spellEnd"/>
            <w:proofErr w:type="gramStart"/>
            <w:r>
              <w:rPr>
                <w:sz w:val="20"/>
                <w:szCs w:val="20"/>
              </w:rPr>
              <w:t>’</w:t>
            </w:r>
            <w:r w:rsidRPr="00CA6FC1">
              <w:rPr>
                <w:sz w:val="20"/>
                <w:szCs w:val="20"/>
              </w:rPr>
              <w:t xml:space="preserve"> </w:t>
            </w:r>
            <w:r>
              <w:rPr>
                <w:sz w:val="20"/>
                <w:szCs w:val="20"/>
              </w:rPr>
              <w:t>,</w:t>
            </w:r>
            <w:proofErr w:type="spellStart"/>
            <w:r w:rsidRPr="00CA6FC1">
              <w:rPr>
                <w:sz w:val="20"/>
                <w:szCs w:val="20"/>
              </w:rPr>
              <w:t>orderly</w:t>
            </w:r>
            <w:proofErr w:type="spellEnd"/>
            <w:proofErr w:type="gramEnd"/>
            <w:r w:rsidRPr="00CA6FC1">
              <w:rPr>
                <w:sz w:val="20"/>
                <w:szCs w:val="20"/>
              </w:rPr>
              <w:t xml:space="preserve"> </w:t>
            </w:r>
            <w:proofErr w:type="spellStart"/>
            <w:r w:rsidRPr="00CA6FC1">
              <w:rPr>
                <w:sz w:val="20"/>
                <w:szCs w:val="20"/>
              </w:rPr>
              <w:t>pursuit</w:t>
            </w:r>
            <w:proofErr w:type="spellEnd"/>
            <w:r w:rsidRPr="00CA6FC1">
              <w:rPr>
                <w:sz w:val="20"/>
                <w:szCs w:val="20"/>
              </w:rPr>
              <w:t xml:space="preserve"> of </w:t>
            </w:r>
            <w:proofErr w:type="spellStart"/>
            <w:r w:rsidRPr="00CA6FC1">
              <w:rPr>
                <w:sz w:val="20"/>
                <w:szCs w:val="20"/>
              </w:rPr>
              <w:t>happiness</w:t>
            </w:r>
            <w:proofErr w:type="spellEnd"/>
            <w:r>
              <w:rPr>
                <w:sz w:val="20"/>
                <w:szCs w:val="20"/>
              </w:rPr>
              <w:t>‘</w:t>
            </w:r>
            <w:r w:rsidRPr="00CA6FC1">
              <w:rPr>
                <w:sz w:val="20"/>
                <w:szCs w:val="20"/>
              </w:rPr>
              <w:t>“</w:t>
            </w:r>
            <w:r w:rsidRPr="00CA6FC1">
              <w:rPr>
                <w:sz w:val="20"/>
                <w:szCs w:val="20"/>
                <w:vertAlign w:val="superscript"/>
              </w:rPr>
              <w:footnoteReference w:id="2032"/>
            </w:r>
            <w:r w:rsidRPr="00CA6FC1">
              <w:rPr>
                <w:sz w:val="20"/>
                <w:szCs w:val="20"/>
              </w:rPr>
              <w:t>). Daher entstehe hiernach ein Anspruch auf die Verfahrensrechte. Wann also ein Freiheitsinteresse wichtig sei und</w:t>
            </w:r>
            <w:r>
              <w:rPr>
                <w:sz w:val="20"/>
                <w:szCs w:val="20"/>
              </w:rPr>
              <w:t xml:space="preserve"> somit</w:t>
            </w:r>
            <w:r w:rsidRPr="00CA6FC1">
              <w:rPr>
                <w:sz w:val="20"/>
                <w:szCs w:val="20"/>
              </w:rPr>
              <w:t xml:space="preserve"> Verfahrensrechte auslöse, beurteile die Rechtsprechung </w:t>
            </w:r>
            <w:proofErr w:type="spellStart"/>
            <w:r w:rsidRPr="00CA6FC1">
              <w:rPr>
                <w:sz w:val="20"/>
                <w:szCs w:val="20"/>
              </w:rPr>
              <w:t>a.E</w:t>
            </w:r>
            <w:proofErr w:type="spellEnd"/>
            <w:r w:rsidRPr="00CA6FC1">
              <w:rPr>
                <w:sz w:val="20"/>
                <w:szCs w:val="20"/>
              </w:rPr>
              <w:t>. auch daran, ob es eine Bedingung für Glücksstreben berühr</w:t>
            </w:r>
            <w:r>
              <w:rPr>
                <w:sz w:val="20"/>
                <w:szCs w:val="20"/>
              </w:rPr>
              <w:t>e</w:t>
            </w:r>
            <w:r w:rsidRPr="00CA6FC1">
              <w:rPr>
                <w:sz w:val="20"/>
                <w:szCs w:val="20"/>
              </w:rPr>
              <w:t>.</w:t>
            </w:r>
            <w:r w:rsidRPr="00CA6FC1">
              <w:rPr>
                <w:sz w:val="20"/>
                <w:szCs w:val="20"/>
                <w:vertAlign w:val="superscript"/>
              </w:rPr>
              <w:footnoteReference w:id="2033"/>
            </w:r>
            <w:r w:rsidRPr="00CA6FC1">
              <w:rPr>
                <w:sz w:val="20"/>
                <w:szCs w:val="20"/>
              </w:rPr>
              <w:t xml:space="preserve"> Und zweitens: Nach der ständigen Rechtsprechung des </w:t>
            </w:r>
            <w:r>
              <w:rPr>
                <w:sz w:val="20"/>
                <w:szCs w:val="20"/>
              </w:rPr>
              <w:t>U.S. Supreme Court</w:t>
            </w:r>
            <w:r w:rsidRPr="00CA6FC1">
              <w:rPr>
                <w:sz w:val="20"/>
                <w:szCs w:val="20"/>
              </w:rPr>
              <w:t xml:space="preserve"> rufe dieses Recht der US-Bürgerin,</w:t>
            </w:r>
            <w:r w:rsidRPr="00CA6FC1">
              <w:rPr>
                <w:sz w:val="20"/>
                <w:szCs w:val="20"/>
                <w:vertAlign w:val="superscript"/>
              </w:rPr>
              <w:footnoteReference w:id="2034"/>
            </w:r>
            <w:r w:rsidRPr="00CA6FC1">
              <w:rPr>
                <w:sz w:val="20"/>
                <w:szCs w:val="20"/>
              </w:rPr>
              <w:t xml:space="preserve"> in den Vereinigten Staaten frei leben zu können, die Erwartung hervor, </w:t>
            </w:r>
            <w:r>
              <w:rPr>
                <w:sz w:val="20"/>
                <w:szCs w:val="20"/>
              </w:rPr>
              <w:t>diesbezüglich</w:t>
            </w:r>
            <w:r w:rsidRPr="00CA6FC1">
              <w:rPr>
                <w:sz w:val="20"/>
                <w:szCs w:val="20"/>
              </w:rPr>
              <w:t xml:space="preserve"> einen grundlegenden prozessualen Schutz beanspruchen zu können („</w:t>
            </w:r>
            <w:proofErr w:type="spellStart"/>
            <w:r w:rsidRPr="00CA6FC1">
              <w:rPr>
                <w:sz w:val="20"/>
                <w:szCs w:val="20"/>
              </w:rPr>
              <w:t>basic</w:t>
            </w:r>
            <w:proofErr w:type="spellEnd"/>
            <w:r w:rsidRPr="00CA6FC1">
              <w:rPr>
                <w:sz w:val="20"/>
                <w:szCs w:val="20"/>
              </w:rPr>
              <w:t xml:space="preserve"> </w:t>
            </w:r>
            <w:proofErr w:type="spellStart"/>
            <w:r w:rsidRPr="00CA6FC1">
              <w:rPr>
                <w:sz w:val="20"/>
                <w:szCs w:val="20"/>
              </w:rPr>
              <w:t>procedural</w:t>
            </w:r>
            <w:proofErr w:type="spellEnd"/>
            <w:r w:rsidRPr="00CA6FC1">
              <w:rPr>
                <w:sz w:val="20"/>
                <w:szCs w:val="20"/>
              </w:rPr>
              <w:t xml:space="preserve"> due </w:t>
            </w:r>
            <w:proofErr w:type="spellStart"/>
            <w:r w:rsidRPr="00CA6FC1">
              <w:rPr>
                <w:sz w:val="20"/>
                <w:szCs w:val="20"/>
              </w:rPr>
              <w:t>process</w:t>
            </w:r>
            <w:proofErr w:type="spellEnd"/>
            <w:r w:rsidRPr="00CA6FC1">
              <w:rPr>
                <w:sz w:val="20"/>
                <w:szCs w:val="20"/>
              </w:rPr>
              <w:t xml:space="preserve"> </w:t>
            </w:r>
            <w:proofErr w:type="spellStart"/>
            <w:r w:rsidRPr="00CA6FC1">
              <w:rPr>
                <w:sz w:val="20"/>
                <w:szCs w:val="20"/>
              </w:rPr>
              <w:t>protection</w:t>
            </w:r>
            <w:proofErr w:type="spellEnd"/>
            <w:r w:rsidRPr="00CA6FC1">
              <w:rPr>
                <w:sz w:val="20"/>
                <w:szCs w:val="20"/>
              </w:rPr>
              <w:t>“</w:t>
            </w:r>
            <w:r w:rsidRPr="00CA6FC1">
              <w:rPr>
                <w:sz w:val="20"/>
                <w:szCs w:val="20"/>
                <w:vertAlign w:val="superscript"/>
              </w:rPr>
              <w:footnoteReference w:id="2035"/>
            </w:r>
            <w:r w:rsidRPr="00CA6FC1">
              <w:rPr>
                <w:sz w:val="20"/>
                <w:szCs w:val="20"/>
              </w:rPr>
              <w:t xml:space="preserve">). Dieser orientiere sich nicht an Rechten oder Vorrechten („[T]he Court </w:t>
            </w:r>
            <w:proofErr w:type="spellStart"/>
            <w:r w:rsidRPr="00CA6FC1">
              <w:rPr>
                <w:sz w:val="20"/>
                <w:szCs w:val="20"/>
              </w:rPr>
              <w:t>has</w:t>
            </w:r>
            <w:proofErr w:type="spellEnd"/>
            <w:r w:rsidRPr="00CA6FC1">
              <w:rPr>
                <w:sz w:val="20"/>
                <w:szCs w:val="20"/>
              </w:rPr>
              <w:t xml:space="preserve"> fully and </w:t>
            </w:r>
            <w:proofErr w:type="spellStart"/>
            <w:r w:rsidRPr="00CA6FC1">
              <w:rPr>
                <w:sz w:val="20"/>
                <w:szCs w:val="20"/>
              </w:rPr>
              <w:t>finally</w:t>
            </w:r>
            <w:proofErr w:type="spellEnd"/>
            <w:r w:rsidRPr="00CA6FC1">
              <w:rPr>
                <w:sz w:val="20"/>
                <w:szCs w:val="20"/>
              </w:rPr>
              <w:t xml:space="preserve"> </w:t>
            </w:r>
            <w:proofErr w:type="spellStart"/>
            <w:r w:rsidRPr="00CA6FC1">
              <w:rPr>
                <w:sz w:val="20"/>
                <w:szCs w:val="20"/>
              </w:rPr>
              <w:t>rejected</w:t>
            </w:r>
            <w:proofErr w:type="spellEnd"/>
            <w:r w:rsidRPr="00CA6FC1">
              <w:rPr>
                <w:sz w:val="20"/>
                <w:szCs w:val="20"/>
              </w:rPr>
              <w:t xml:space="preserve"> the </w:t>
            </w:r>
            <w:proofErr w:type="spellStart"/>
            <w:r w:rsidRPr="00CA6FC1">
              <w:rPr>
                <w:sz w:val="20"/>
                <w:szCs w:val="20"/>
              </w:rPr>
              <w:t>wooden</w:t>
            </w:r>
            <w:proofErr w:type="spellEnd"/>
            <w:r w:rsidRPr="00CA6FC1">
              <w:rPr>
                <w:sz w:val="20"/>
                <w:szCs w:val="20"/>
              </w:rPr>
              <w:t xml:space="preserve"> </w:t>
            </w:r>
            <w:proofErr w:type="spellStart"/>
            <w:r w:rsidRPr="00CA6FC1">
              <w:rPr>
                <w:sz w:val="20"/>
                <w:szCs w:val="20"/>
              </w:rPr>
              <w:t>distinction</w:t>
            </w:r>
            <w:proofErr w:type="spellEnd"/>
            <w:r w:rsidRPr="00CA6FC1">
              <w:rPr>
                <w:sz w:val="20"/>
                <w:szCs w:val="20"/>
              </w:rPr>
              <w:t xml:space="preserve"> </w:t>
            </w:r>
            <w:proofErr w:type="spellStart"/>
            <w:proofErr w:type="gramStart"/>
            <w:r w:rsidRPr="00CA6FC1">
              <w:rPr>
                <w:sz w:val="20"/>
                <w:szCs w:val="20"/>
              </w:rPr>
              <w:t>between</w:t>
            </w:r>
            <w:proofErr w:type="spellEnd"/>
            <w:r w:rsidRPr="00CA6FC1">
              <w:rPr>
                <w:sz w:val="20"/>
                <w:szCs w:val="20"/>
              </w:rPr>
              <w:t xml:space="preserve"> </w:t>
            </w:r>
            <w:r>
              <w:rPr>
                <w:sz w:val="20"/>
                <w:szCs w:val="20"/>
              </w:rPr>
              <w:t>,</w:t>
            </w:r>
            <w:proofErr w:type="spellStart"/>
            <w:r w:rsidRPr="00CA6FC1">
              <w:rPr>
                <w:sz w:val="20"/>
                <w:szCs w:val="20"/>
              </w:rPr>
              <w:t>rights</w:t>
            </w:r>
            <w:proofErr w:type="spellEnd"/>
            <w:proofErr w:type="gramEnd"/>
            <w:r>
              <w:rPr>
                <w:sz w:val="20"/>
                <w:szCs w:val="20"/>
              </w:rPr>
              <w:t>‘</w:t>
            </w:r>
            <w:r w:rsidRPr="00CA6FC1">
              <w:rPr>
                <w:sz w:val="20"/>
                <w:szCs w:val="20"/>
              </w:rPr>
              <w:t xml:space="preserve"> </w:t>
            </w:r>
            <w:proofErr w:type="gramStart"/>
            <w:r w:rsidRPr="00CA6FC1">
              <w:rPr>
                <w:sz w:val="20"/>
                <w:szCs w:val="20"/>
              </w:rPr>
              <w:t xml:space="preserve">and </w:t>
            </w:r>
            <w:r>
              <w:rPr>
                <w:sz w:val="20"/>
                <w:szCs w:val="20"/>
              </w:rPr>
              <w:t>,</w:t>
            </w:r>
            <w:proofErr w:type="spellStart"/>
            <w:r w:rsidRPr="00CA6FC1">
              <w:rPr>
                <w:sz w:val="20"/>
                <w:szCs w:val="20"/>
              </w:rPr>
              <w:t>privileges</w:t>
            </w:r>
            <w:proofErr w:type="spellEnd"/>
            <w:proofErr w:type="gramEnd"/>
            <w:r>
              <w:rPr>
                <w:sz w:val="20"/>
                <w:szCs w:val="20"/>
              </w:rPr>
              <w:t>‘</w:t>
            </w:r>
            <w:r w:rsidRPr="00CA6FC1">
              <w:rPr>
                <w:sz w:val="20"/>
                <w:szCs w:val="20"/>
              </w:rPr>
              <w:t xml:space="preserve"> </w:t>
            </w:r>
            <w:proofErr w:type="spellStart"/>
            <w:r w:rsidRPr="00CA6FC1">
              <w:rPr>
                <w:sz w:val="20"/>
                <w:szCs w:val="20"/>
              </w:rPr>
              <w:t>that</w:t>
            </w:r>
            <w:proofErr w:type="spellEnd"/>
            <w:r w:rsidRPr="00CA6FC1">
              <w:rPr>
                <w:sz w:val="20"/>
                <w:szCs w:val="20"/>
              </w:rPr>
              <w:t xml:space="preserve"> </w:t>
            </w:r>
            <w:proofErr w:type="spellStart"/>
            <w:r w:rsidRPr="00CA6FC1">
              <w:rPr>
                <w:sz w:val="20"/>
                <w:szCs w:val="20"/>
              </w:rPr>
              <w:t>once</w:t>
            </w:r>
            <w:proofErr w:type="spellEnd"/>
            <w:r w:rsidRPr="00CA6FC1">
              <w:rPr>
                <w:sz w:val="20"/>
                <w:szCs w:val="20"/>
              </w:rPr>
              <w:t xml:space="preserve"> </w:t>
            </w:r>
            <w:proofErr w:type="spellStart"/>
            <w:r w:rsidRPr="00CA6FC1">
              <w:rPr>
                <w:sz w:val="20"/>
                <w:szCs w:val="20"/>
              </w:rPr>
              <w:t>seemed</w:t>
            </w:r>
            <w:proofErr w:type="spellEnd"/>
            <w:r w:rsidRPr="00CA6FC1">
              <w:rPr>
                <w:sz w:val="20"/>
                <w:szCs w:val="20"/>
              </w:rPr>
              <w:t xml:space="preserve"> to </w:t>
            </w:r>
            <w:proofErr w:type="spellStart"/>
            <w:r w:rsidRPr="00CA6FC1">
              <w:rPr>
                <w:sz w:val="20"/>
                <w:szCs w:val="20"/>
              </w:rPr>
              <w:t>govern</w:t>
            </w:r>
            <w:proofErr w:type="spellEnd"/>
            <w:r w:rsidRPr="00CA6FC1">
              <w:rPr>
                <w:sz w:val="20"/>
                <w:szCs w:val="20"/>
              </w:rPr>
              <w:t xml:space="preserve"> the </w:t>
            </w:r>
            <w:proofErr w:type="spellStart"/>
            <w:r w:rsidRPr="00CA6FC1">
              <w:rPr>
                <w:sz w:val="20"/>
                <w:szCs w:val="20"/>
              </w:rPr>
              <w:t>applicability</w:t>
            </w:r>
            <w:proofErr w:type="spellEnd"/>
            <w:r w:rsidRPr="00CA6FC1">
              <w:rPr>
                <w:sz w:val="20"/>
                <w:szCs w:val="20"/>
              </w:rPr>
              <w:t xml:space="preserve"> of </w:t>
            </w:r>
            <w:proofErr w:type="spellStart"/>
            <w:r w:rsidRPr="00CA6FC1">
              <w:rPr>
                <w:sz w:val="20"/>
                <w:szCs w:val="20"/>
              </w:rPr>
              <w:t>procedural</w:t>
            </w:r>
            <w:proofErr w:type="spellEnd"/>
            <w:r w:rsidRPr="00CA6FC1">
              <w:rPr>
                <w:sz w:val="20"/>
                <w:szCs w:val="20"/>
              </w:rPr>
              <w:t xml:space="preserve"> due </w:t>
            </w:r>
            <w:proofErr w:type="spellStart"/>
            <w:r w:rsidRPr="00CA6FC1">
              <w:rPr>
                <w:sz w:val="20"/>
                <w:szCs w:val="20"/>
              </w:rPr>
              <w:t>process</w:t>
            </w:r>
            <w:proofErr w:type="spellEnd"/>
            <w:r w:rsidRPr="00CA6FC1">
              <w:rPr>
                <w:sz w:val="20"/>
                <w:szCs w:val="20"/>
              </w:rPr>
              <w:t xml:space="preserve"> </w:t>
            </w:r>
            <w:proofErr w:type="spellStart"/>
            <w:r w:rsidRPr="00CA6FC1">
              <w:rPr>
                <w:sz w:val="20"/>
                <w:szCs w:val="20"/>
              </w:rPr>
              <w:t>rights</w:t>
            </w:r>
            <w:proofErr w:type="spellEnd"/>
            <w:r w:rsidRPr="00CA6FC1">
              <w:rPr>
                <w:sz w:val="20"/>
                <w:szCs w:val="20"/>
              </w:rPr>
              <w:t>“</w:t>
            </w:r>
            <w:r w:rsidRPr="00CA6FC1">
              <w:rPr>
                <w:sz w:val="20"/>
                <w:szCs w:val="20"/>
                <w:vertAlign w:val="superscript"/>
                <w:lang w:val="en-US"/>
              </w:rPr>
              <w:footnoteReference w:id="2036"/>
            </w:r>
            <w:r w:rsidRPr="00CA6FC1">
              <w:rPr>
                <w:sz w:val="20"/>
                <w:szCs w:val="20"/>
              </w:rPr>
              <w:t>), sondern an dem weiten Verständnis von Freiheit (</w:t>
            </w:r>
            <w:r>
              <w:rPr>
                <w:sz w:val="20"/>
                <w:szCs w:val="20"/>
              </w:rPr>
              <w:t>„</w:t>
            </w:r>
            <w:r w:rsidRPr="00CA6FC1">
              <w:rPr>
                <w:sz w:val="20"/>
                <w:szCs w:val="20"/>
              </w:rPr>
              <w:t xml:space="preserve">the </w:t>
            </w:r>
            <w:proofErr w:type="spellStart"/>
            <w:r w:rsidRPr="00CA6FC1">
              <w:rPr>
                <w:sz w:val="20"/>
                <w:szCs w:val="20"/>
              </w:rPr>
              <w:t>meaning</w:t>
            </w:r>
            <w:proofErr w:type="spellEnd"/>
            <w:r w:rsidRPr="00CA6FC1">
              <w:rPr>
                <w:sz w:val="20"/>
                <w:szCs w:val="20"/>
              </w:rPr>
              <w:t xml:space="preserve"> </w:t>
            </w:r>
            <w:proofErr w:type="gramStart"/>
            <w:r w:rsidRPr="00CA6FC1">
              <w:rPr>
                <w:sz w:val="20"/>
                <w:szCs w:val="20"/>
              </w:rPr>
              <w:t xml:space="preserve">of </w:t>
            </w:r>
            <w:r>
              <w:rPr>
                <w:sz w:val="20"/>
                <w:szCs w:val="20"/>
              </w:rPr>
              <w:t>,</w:t>
            </w:r>
            <w:proofErr w:type="spellStart"/>
            <w:r w:rsidRPr="00CA6FC1">
              <w:rPr>
                <w:sz w:val="20"/>
                <w:szCs w:val="20"/>
              </w:rPr>
              <w:t>liberty</w:t>
            </w:r>
            <w:proofErr w:type="spellEnd"/>
            <w:proofErr w:type="gramEnd"/>
            <w:r>
              <w:rPr>
                <w:sz w:val="20"/>
                <w:szCs w:val="20"/>
              </w:rPr>
              <w:t>‘</w:t>
            </w:r>
            <w:r w:rsidRPr="00CA6FC1">
              <w:rPr>
                <w:sz w:val="20"/>
                <w:szCs w:val="20"/>
              </w:rPr>
              <w:t xml:space="preserve"> </w:t>
            </w:r>
            <w:proofErr w:type="spellStart"/>
            <w:r w:rsidRPr="00CA6FC1">
              <w:rPr>
                <w:sz w:val="20"/>
                <w:szCs w:val="20"/>
              </w:rPr>
              <w:t>must</w:t>
            </w:r>
            <w:proofErr w:type="spellEnd"/>
            <w:r w:rsidRPr="00CA6FC1">
              <w:rPr>
                <w:sz w:val="20"/>
                <w:szCs w:val="20"/>
              </w:rPr>
              <w:t xml:space="preserve"> </w:t>
            </w:r>
            <w:proofErr w:type="spellStart"/>
            <w:r w:rsidRPr="00CA6FC1">
              <w:rPr>
                <w:sz w:val="20"/>
                <w:szCs w:val="20"/>
              </w:rPr>
              <w:t>be</w:t>
            </w:r>
            <w:proofErr w:type="spellEnd"/>
            <w:r w:rsidRPr="00CA6FC1">
              <w:rPr>
                <w:sz w:val="20"/>
                <w:szCs w:val="20"/>
              </w:rPr>
              <w:t xml:space="preserve"> </w:t>
            </w:r>
            <w:proofErr w:type="spellStart"/>
            <w:r w:rsidRPr="00CA6FC1">
              <w:rPr>
                <w:sz w:val="20"/>
                <w:szCs w:val="20"/>
              </w:rPr>
              <w:t>broad</w:t>
            </w:r>
            <w:proofErr w:type="spellEnd"/>
            <w:r>
              <w:rPr>
                <w:sz w:val="20"/>
                <w:szCs w:val="20"/>
                <w:vertAlign w:val="superscript"/>
              </w:rPr>
              <w:t>“</w:t>
            </w:r>
            <w:r w:rsidRPr="00CA6FC1">
              <w:rPr>
                <w:sz w:val="20"/>
                <w:szCs w:val="20"/>
                <w:vertAlign w:val="superscript"/>
                <w:lang w:val="en-US"/>
              </w:rPr>
              <w:footnoteReference w:id="2037"/>
            </w:r>
            <w:r w:rsidRPr="00CA6FC1">
              <w:rPr>
                <w:sz w:val="20"/>
                <w:szCs w:val="20"/>
              </w:rPr>
              <w:t>), de</w:t>
            </w:r>
            <w:r>
              <w:rPr>
                <w:sz w:val="20"/>
                <w:szCs w:val="20"/>
              </w:rPr>
              <w:t>r</w:t>
            </w:r>
            <w:r w:rsidRPr="00CA6FC1">
              <w:rPr>
                <w:sz w:val="20"/>
                <w:szCs w:val="20"/>
              </w:rPr>
              <w:t>en positive und negative Seite das Streben nach Glück bestimme,</w:t>
            </w:r>
            <w:r w:rsidRPr="00CA6FC1">
              <w:rPr>
                <w:sz w:val="20"/>
                <w:szCs w:val="20"/>
                <w:vertAlign w:val="superscript"/>
              </w:rPr>
              <w:footnoteReference w:id="2038"/>
            </w:r>
            <w:r w:rsidRPr="00CA6FC1">
              <w:rPr>
                <w:sz w:val="20"/>
                <w:szCs w:val="20"/>
              </w:rPr>
              <w:t xml:space="preserve"> und welche das Recht auf ein rechtsstaatliches Verfahren auslöse.</w:t>
            </w:r>
            <w:r w:rsidRPr="00CA6FC1">
              <w:rPr>
                <w:sz w:val="20"/>
                <w:szCs w:val="20"/>
                <w:vertAlign w:val="superscript"/>
              </w:rPr>
              <w:footnoteReference w:id="2039"/>
            </w:r>
          </w:p>
          <w:p w14:paraId="4B700E0D" w14:textId="77777777" w:rsidR="00074551" w:rsidRPr="00E50B51" w:rsidRDefault="00074551" w:rsidP="00367133">
            <w:pPr>
              <w:jc w:val="both"/>
              <w:rPr>
                <w:sz w:val="20"/>
                <w:szCs w:val="20"/>
              </w:rPr>
            </w:pPr>
          </w:p>
        </w:tc>
      </w:tr>
      <w:tr w:rsidR="00074551" w:rsidRPr="00E50B51" w14:paraId="03BC32DC" w14:textId="77777777" w:rsidTr="00BE689F">
        <w:trPr>
          <w:cantSplit/>
          <w:trHeight w:val="3175"/>
        </w:trPr>
        <w:tc>
          <w:tcPr>
            <w:tcW w:w="293" w:type="pct"/>
          </w:tcPr>
          <w:p w14:paraId="099FBA0A"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FB0C6E8" w14:textId="77777777" w:rsidR="00074551" w:rsidRPr="00E50B51" w:rsidRDefault="00074551" w:rsidP="00367133">
            <w:pPr>
              <w:ind w:left="113" w:right="416"/>
              <w:jc w:val="both"/>
              <w:rPr>
                <w:sz w:val="20"/>
                <w:szCs w:val="20"/>
              </w:rPr>
            </w:pPr>
            <w:r w:rsidRPr="009E57E1">
              <w:rPr>
                <w:i/>
                <w:sz w:val="20"/>
                <w:szCs w:val="20"/>
                <w:lang w:val="en-US"/>
              </w:rPr>
              <w:t>Lawrence v. Texas</w:t>
            </w:r>
          </w:p>
        </w:tc>
        <w:tc>
          <w:tcPr>
            <w:tcW w:w="197" w:type="pct"/>
            <w:textDirection w:val="tbRl"/>
            <w:vAlign w:val="center"/>
          </w:tcPr>
          <w:p w14:paraId="4BCB91BD" w14:textId="77777777" w:rsidR="00074551" w:rsidRPr="00E50B51" w:rsidRDefault="00074551" w:rsidP="00367133">
            <w:pPr>
              <w:ind w:left="113" w:right="113"/>
              <w:jc w:val="both"/>
              <w:rPr>
                <w:iCs/>
                <w:sz w:val="20"/>
                <w:szCs w:val="20"/>
              </w:rPr>
            </w:pPr>
            <w:r w:rsidRPr="00E50B51">
              <w:rPr>
                <w:sz w:val="20"/>
                <w:szCs w:val="20"/>
                <w:lang w:val="en-US"/>
              </w:rPr>
              <w:t>539 U.S. 558</w:t>
            </w:r>
          </w:p>
        </w:tc>
        <w:tc>
          <w:tcPr>
            <w:tcW w:w="306" w:type="pct"/>
            <w:textDirection w:val="tbRl"/>
            <w:vAlign w:val="center"/>
          </w:tcPr>
          <w:p w14:paraId="5BA2E93C" w14:textId="77777777" w:rsidR="00074551" w:rsidRPr="00E50B51" w:rsidRDefault="00074551" w:rsidP="00367133">
            <w:pPr>
              <w:ind w:left="113" w:right="113"/>
              <w:jc w:val="both"/>
              <w:rPr>
                <w:sz w:val="20"/>
                <w:szCs w:val="20"/>
                <w:lang w:val="en-US"/>
              </w:rPr>
            </w:pPr>
            <w:r w:rsidRPr="00E50B51">
              <w:rPr>
                <w:sz w:val="20"/>
                <w:szCs w:val="20"/>
                <w:lang w:val="en-US"/>
              </w:rPr>
              <w:t>26. Juni 2003</w:t>
            </w:r>
          </w:p>
        </w:tc>
        <w:tc>
          <w:tcPr>
            <w:tcW w:w="401" w:type="pct"/>
          </w:tcPr>
          <w:p w14:paraId="13DA7A04"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3F87AF6A" w14:textId="77777777" w:rsidR="00074551" w:rsidRPr="00E50B51" w:rsidRDefault="00074551" w:rsidP="00367133">
            <w:pPr>
              <w:jc w:val="both"/>
              <w:rPr>
                <w:sz w:val="20"/>
                <w:szCs w:val="20"/>
              </w:rPr>
            </w:pPr>
            <w:r w:rsidRPr="00E50B51">
              <w:rPr>
                <w:sz w:val="20"/>
                <w:szCs w:val="20"/>
              </w:rPr>
              <w:t>*</w:t>
            </w:r>
          </w:p>
        </w:tc>
        <w:tc>
          <w:tcPr>
            <w:tcW w:w="1822" w:type="pct"/>
          </w:tcPr>
          <w:p w14:paraId="536145AE" w14:textId="66B0E1B0" w:rsidR="00074551" w:rsidRPr="00080C8E" w:rsidRDefault="00074551" w:rsidP="00367133">
            <w:pPr>
              <w:jc w:val="both"/>
              <w:rPr>
                <w:sz w:val="20"/>
                <w:szCs w:val="20"/>
              </w:rPr>
            </w:pPr>
            <w:r w:rsidRPr="00080C8E">
              <w:rPr>
                <w:sz w:val="20"/>
                <w:szCs w:val="20"/>
              </w:rPr>
              <w:t xml:space="preserve">Die individuellen Entscheidungen verheirateter oder unverheirateter Personen, die Intimitäten betreffen, schützt der Freiheitsbegriff, den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i/>
                <w:iCs/>
                <w:sz w:val="20"/>
                <w:szCs w:val="20"/>
              </w:rPr>
              <w:t xml:space="preserve"> </w:t>
            </w:r>
            <w:r>
              <w:rPr>
                <w:sz w:val="20"/>
                <w:szCs w:val="20"/>
              </w:rPr>
              <w:t xml:space="preserve">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80C8E">
              <w:rPr>
                <w:sz w:val="20"/>
                <w:szCs w:val="20"/>
              </w:rPr>
              <w:t xml:space="preserve"> erfasst. Der Dissens erklärt, dass gewisse Freiheiten unter dem Schutz eines verstärkten Rechtfertigungsdrucks für staatliche Maßnahmen </w:t>
            </w:r>
            <w:r>
              <w:rPr>
                <w:sz w:val="20"/>
                <w:szCs w:val="20"/>
              </w:rPr>
              <w:t>stünden</w:t>
            </w:r>
            <w:r w:rsidRPr="00080C8E">
              <w:rPr>
                <w:sz w:val="20"/>
                <w:szCs w:val="20"/>
              </w:rPr>
              <w:t xml:space="preserve"> (</w:t>
            </w:r>
            <w:proofErr w:type="gramStart"/>
            <w:r w:rsidRPr="00080C8E">
              <w:rPr>
                <w:sz w:val="20"/>
                <w:szCs w:val="20"/>
              </w:rPr>
              <w:t>„</w:t>
            </w:r>
            <w:r>
              <w:rPr>
                <w:sz w:val="20"/>
                <w:szCs w:val="20"/>
              </w:rPr>
              <w:t>,</w:t>
            </w:r>
            <w:proofErr w:type="spellStart"/>
            <w:r w:rsidRPr="00080C8E">
              <w:rPr>
                <w:sz w:val="20"/>
                <w:szCs w:val="20"/>
              </w:rPr>
              <w:t>heightened</w:t>
            </w:r>
            <w:proofErr w:type="spellEnd"/>
            <w:proofErr w:type="gramEnd"/>
            <w:r w:rsidRPr="00080C8E">
              <w:rPr>
                <w:sz w:val="20"/>
                <w:szCs w:val="20"/>
              </w:rPr>
              <w:t xml:space="preserve"> </w:t>
            </w:r>
            <w:proofErr w:type="spellStart"/>
            <w:r w:rsidRPr="00080C8E">
              <w:rPr>
                <w:sz w:val="20"/>
                <w:szCs w:val="20"/>
              </w:rPr>
              <w:t>scrutiny</w:t>
            </w:r>
            <w:proofErr w:type="spellEnd"/>
            <w:r>
              <w:rPr>
                <w:sz w:val="20"/>
                <w:szCs w:val="20"/>
              </w:rPr>
              <w:t>‘</w:t>
            </w:r>
            <w:r w:rsidRPr="00080C8E">
              <w:rPr>
                <w:sz w:val="20"/>
                <w:szCs w:val="20"/>
              </w:rPr>
              <w:t xml:space="preserve"> </w:t>
            </w:r>
            <w:proofErr w:type="spellStart"/>
            <w:r w:rsidRPr="00080C8E">
              <w:rPr>
                <w:sz w:val="20"/>
                <w:szCs w:val="20"/>
              </w:rPr>
              <w:t>protection</w:t>
            </w:r>
            <w:proofErr w:type="spellEnd"/>
            <w:r w:rsidRPr="00080C8E">
              <w:rPr>
                <w:sz w:val="20"/>
                <w:szCs w:val="20"/>
              </w:rPr>
              <w:t>“</w:t>
            </w:r>
            <w:r w:rsidRPr="00080C8E">
              <w:rPr>
                <w:sz w:val="20"/>
                <w:szCs w:val="20"/>
                <w:vertAlign w:val="superscript"/>
              </w:rPr>
              <w:footnoteReference w:id="2040"/>
            </w:r>
            <w:r w:rsidRPr="00080C8E">
              <w:rPr>
                <w:sz w:val="20"/>
                <w:szCs w:val="20"/>
              </w:rPr>
              <w:t>). Das sei dann der Fall, wenn staatliche Maßnahmen solche individuellen Entscheidungen einschränken, die Vorrechte darstellen, die tief in der Geschichte und Tradition verwurzel</w:t>
            </w:r>
            <w:r>
              <w:rPr>
                <w:sz w:val="20"/>
                <w:szCs w:val="20"/>
              </w:rPr>
              <w:t>t sind</w:t>
            </w:r>
            <w:r w:rsidRPr="00080C8E">
              <w:rPr>
                <w:sz w:val="20"/>
                <w:szCs w:val="20"/>
              </w:rPr>
              <w:t xml:space="preserve">. Diese Vorrechte bestimmen sich daran, dass sie seit langem nach dem Gewohnheitsrecht anerkannt sind, </w:t>
            </w:r>
            <w:r>
              <w:rPr>
                <w:sz w:val="20"/>
                <w:szCs w:val="20"/>
              </w:rPr>
              <w:t>mit anderen Worten</w:t>
            </w:r>
            <w:r w:rsidRPr="00080C8E">
              <w:rPr>
                <w:sz w:val="20"/>
                <w:szCs w:val="20"/>
              </w:rPr>
              <w:t>: als wesentlich für das geordnete Streben freier Menschen nach Glück gelten.</w:t>
            </w:r>
            <w:r w:rsidRPr="00080C8E">
              <w:rPr>
                <w:sz w:val="20"/>
                <w:szCs w:val="20"/>
                <w:vertAlign w:val="superscript"/>
              </w:rPr>
              <w:footnoteReference w:id="2041"/>
            </w:r>
            <w:r w:rsidRPr="00080C8E">
              <w:rPr>
                <w:sz w:val="20"/>
                <w:szCs w:val="20"/>
              </w:rPr>
              <w:t xml:space="preserve"> </w:t>
            </w:r>
            <w:proofErr w:type="gramStart"/>
            <w:r w:rsidRPr="00080C8E">
              <w:rPr>
                <w:sz w:val="20"/>
                <w:szCs w:val="20"/>
              </w:rPr>
              <w:t>Allein</w:t>
            </w:r>
            <w:proofErr w:type="gramEnd"/>
            <w:r w:rsidRPr="00080C8E">
              <w:rPr>
                <w:sz w:val="20"/>
                <w:szCs w:val="20"/>
              </w:rPr>
              <w:t xml:space="preserve"> ein rechtsstaatliches Verfahren kann sie nicht einschränken. Vielmehr muss, um diese Vorrechte einzuschränken, ein enger Zweck bestehen, der überragend wichtig ist („</w:t>
            </w:r>
            <w:proofErr w:type="spellStart"/>
            <w:r w:rsidRPr="00080C8E">
              <w:rPr>
                <w:sz w:val="20"/>
                <w:szCs w:val="20"/>
              </w:rPr>
              <w:t>narrowly</w:t>
            </w:r>
            <w:proofErr w:type="spellEnd"/>
            <w:r w:rsidRPr="00080C8E">
              <w:rPr>
                <w:sz w:val="20"/>
                <w:szCs w:val="20"/>
              </w:rPr>
              <w:t xml:space="preserve"> </w:t>
            </w:r>
            <w:proofErr w:type="spellStart"/>
            <w:r w:rsidRPr="00080C8E">
              <w:rPr>
                <w:sz w:val="20"/>
                <w:szCs w:val="20"/>
              </w:rPr>
              <w:t>tailored</w:t>
            </w:r>
            <w:proofErr w:type="spellEnd"/>
            <w:r w:rsidRPr="00080C8E">
              <w:rPr>
                <w:sz w:val="20"/>
                <w:szCs w:val="20"/>
              </w:rPr>
              <w:t xml:space="preserve"> to </w:t>
            </w:r>
            <w:proofErr w:type="spellStart"/>
            <w:r w:rsidRPr="00080C8E">
              <w:rPr>
                <w:sz w:val="20"/>
                <w:szCs w:val="20"/>
              </w:rPr>
              <w:t>serve</w:t>
            </w:r>
            <w:proofErr w:type="spellEnd"/>
            <w:r w:rsidRPr="00080C8E">
              <w:rPr>
                <w:sz w:val="20"/>
                <w:szCs w:val="20"/>
              </w:rPr>
              <w:t xml:space="preserve"> a </w:t>
            </w:r>
            <w:proofErr w:type="spellStart"/>
            <w:r w:rsidRPr="00080C8E">
              <w:rPr>
                <w:sz w:val="20"/>
                <w:szCs w:val="20"/>
              </w:rPr>
              <w:t>compelling</w:t>
            </w:r>
            <w:proofErr w:type="spellEnd"/>
            <w:r w:rsidRPr="00080C8E">
              <w:rPr>
                <w:sz w:val="20"/>
                <w:szCs w:val="20"/>
              </w:rPr>
              <w:t xml:space="preserve"> </w:t>
            </w:r>
            <w:proofErr w:type="spellStart"/>
            <w:r w:rsidRPr="00080C8E">
              <w:rPr>
                <w:sz w:val="20"/>
                <w:szCs w:val="20"/>
              </w:rPr>
              <w:t>state</w:t>
            </w:r>
            <w:proofErr w:type="spellEnd"/>
            <w:r w:rsidRPr="00080C8E">
              <w:rPr>
                <w:sz w:val="20"/>
                <w:szCs w:val="20"/>
              </w:rPr>
              <w:t xml:space="preserve"> </w:t>
            </w:r>
            <w:proofErr w:type="spellStart"/>
            <w:r w:rsidRPr="00080C8E">
              <w:rPr>
                <w:sz w:val="20"/>
                <w:szCs w:val="20"/>
              </w:rPr>
              <w:t>interest</w:t>
            </w:r>
            <w:proofErr w:type="spellEnd"/>
            <w:r w:rsidRPr="00080C8E">
              <w:rPr>
                <w:sz w:val="20"/>
                <w:szCs w:val="20"/>
              </w:rPr>
              <w:t>“</w:t>
            </w:r>
            <w:r w:rsidRPr="00080C8E">
              <w:rPr>
                <w:sz w:val="20"/>
                <w:szCs w:val="20"/>
                <w:vertAlign w:val="superscript"/>
              </w:rPr>
              <w:t xml:space="preserve"> </w:t>
            </w:r>
            <w:r w:rsidRPr="00080C8E">
              <w:rPr>
                <w:sz w:val="20"/>
                <w:szCs w:val="20"/>
                <w:vertAlign w:val="superscript"/>
              </w:rPr>
              <w:footnoteReference w:id="2042"/>
            </w:r>
            <w:r w:rsidRPr="00080C8E">
              <w:rPr>
                <w:sz w:val="20"/>
                <w:szCs w:val="20"/>
              </w:rPr>
              <w:t>). Umgekehrt kann eine staatliche Maßnahme mit einfachem, legitimem staatlichem Interesse Vorrechte bzw. Freiheitsinteressen einschränken, die nicht dem geordneten Streben freier Menschen nach Glück dienen.</w:t>
            </w:r>
            <w:r w:rsidRPr="00080C8E">
              <w:rPr>
                <w:sz w:val="20"/>
                <w:szCs w:val="20"/>
                <w:vertAlign w:val="superscript"/>
              </w:rPr>
              <w:footnoteReference w:id="2043"/>
            </w:r>
            <w:r w:rsidRPr="00080C8E">
              <w:rPr>
                <w:sz w:val="20"/>
                <w:szCs w:val="20"/>
              </w:rPr>
              <w:t xml:space="preserve"> Diese stehen also nicht unter dem Schutz </w:t>
            </w:r>
            <w:proofErr w:type="spellStart"/>
            <w:r>
              <w:rPr>
                <w:sz w:val="20"/>
                <w:szCs w:val="20"/>
              </w:rPr>
              <w:t>einerm</w:t>
            </w:r>
            <w:proofErr w:type="spellEnd"/>
            <w:r>
              <w:rPr>
                <w:sz w:val="20"/>
                <w:szCs w:val="20"/>
              </w:rPr>
              <w:t xml:space="preserve"> </w:t>
            </w:r>
            <w:r w:rsidRPr="00080C8E">
              <w:rPr>
                <w:sz w:val="20"/>
                <w:szCs w:val="20"/>
              </w:rPr>
              <w:t>„</w:t>
            </w:r>
            <w:proofErr w:type="spellStart"/>
            <w:r w:rsidRPr="00080C8E">
              <w:rPr>
                <w:sz w:val="20"/>
                <w:szCs w:val="20"/>
              </w:rPr>
              <w:t>heightened</w:t>
            </w:r>
            <w:proofErr w:type="spellEnd"/>
            <w:r w:rsidRPr="00080C8E">
              <w:rPr>
                <w:sz w:val="20"/>
                <w:szCs w:val="20"/>
              </w:rPr>
              <w:t xml:space="preserve"> </w:t>
            </w:r>
            <w:proofErr w:type="spellStart"/>
            <w:r w:rsidRPr="00080C8E">
              <w:rPr>
                <w:sz w:val="20"/>
                <w:szCs w:val="20"/>
              </w:rPr>
              <w:t>scrutiny</w:t>
            </w:r>
            <w:proofErr w:type="spellEnd"/>
            <w:r w:rsidRPr="00080C8E">
              <w:rPr>
                <w:sz w:val="20"/>
                <w:szCs w:val="20"/>
              </w:rPr>
              <w:t>“</w:t>
            </w:r>
            <w:r>
              <w:rPr>
                <w:sz w:val="20"/>
                <w:szCs w:val="20"/>
              </w:rPr>
              <w:t>.</w:t>
            </w:r>
            <w:r w:rsidRPr="00080C8E">
              <w:rPr>
                <w:sz w:val="20"/>
                <w:szCs w:val="20"/>
                <w:vertAlign w:val="superscript"/>
              </w:rPr>
              <w:footnoteReference w:id="2044"/>
            </w:r>
          </w:p>
          <w:p w14:paraId="55BB0BB0" w14:textId="77777777" w:rsidR="00074551" w:rsidRPr="00E50B51" w:rsidRDefault="00074551" w:rsidP="00367133">
            <w:pPr>
              <w:jc w:val="both"/>
              <w:rPr>
                <w:sz w:val="20"/>
                <w:szCs w:val="20"/>
              </w:rPr>
            </w:pPr>
          </w:p>
        </w:tc>
      </w:tr>
      <w:tr w:rsidR="00074551" w:rsidRPr="00E50B51" w14:paraId="4F021B0A" w14:textId="77777777" w:rsidTr="00BE689F">
        <w:trPr>
          <w:cantSplit/>
          <w:trHeight w:val="3175"/>
        </w:trPr>
        <w:tc>
          <w:tcPr>
            <w:tcW w:w="293" w:type="pct"/>
          </w:tcPr>
          <w:p w14:paraId="65F7E62E"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2465EC1" w14:textId="77777777" w:rsidR="00074551" w:rsidRPr="00E50B51" w:rsidRDefault="00074551" w:rsidP="00367133">
            <w:pPr>
              <w:ind w:left="113" w:right="416"/>
              <w:jc w:val="both"/>
              <w:rPr>
                <w:sz w:val="20"/>
                <w:szCs w:val="20"/>
              </w:rPr>
            </w:pPr>
            <w:r w:rsidRPr="009E57E1">
              <w:rPr>
                <w:i/>
                <w:sz w:val="20"/>
                <w:szCs w:val="20"/>
              </w:rPr>
              <w:t>Moore v. East Cleveland</w:t>
            </w:r>
          </w:p>
        </w:tc>
        <w:tc>
          <w:tcPr>
            <w:tcW w:w="197" w:type="pct"/>
            <w:textDirection w:val="tbRl"/>
            <w:vAlign w:val="center"/>
          </w:tcPr>
          <w:p w14:paraId="10AE0F79" w14:textId="77777777" w:rsidR="00074551" w:rsidRPr="00E50B51" w:rsidRDefault="00074551" w:rsidP="00367133">
            <w:pPr>
              <w:ind w:left="113" w:right="113"/>
              <w:jc w:val="both"/>
              <w:rPr>
                <w:iCs/>
                <w:sz w:val="20"/>
                <w:szCs w:val="20"/>
              </w:rPr>
            </w:pPr>
            <w:r w:rsidRPr="00E50B51">
              <w:rPr>
                <w:sz w:val="20"/>
                <w:szCs w:val="20"/>
                <w:lang w:val="en-US"/>
              </w:rPr>
              <w:t>431 U.S. 494</w:t>
            </w:r>
          </w:p>
        </w:tc>
        <w:tc>
          <w:tcPr>
            <w:tcW w:w="306" w:type="pct"/>
            <w:textDirection w:val="tbRl"/>
            <w:vAlign w:val="center"/>
          </w:tcPr>
          <w:p w14:paraId="00944417" w14:textId="77777777" w:rsidR="00074551" w:rsidRPr="00E50B51" w:rsidRDefault="00074551" w:rsidP="00367133">
            <w:pPr>
              <w:ind w:left="113" w:right="113"/>
              <w:jc w:val="both"/>
              <w:rPr>
                <w:sz w:val="20"/>
                <w:szCs w:val="20"/>
              </w:rPr>
            </w:pPr>
            <w:r w:rsidRPr="00E50B51">
              <w:rPr>
                <w:sz w:val="20"/>
                <w:szCs w:val="20"/>
              </w:rPr>
              <w:t>31. Mai 1977</w:t>
            </w:r>
          </w:p>
        </w:tc>
        <w:tc>
          <w:tcPr>
            <w:tcW w:w="401" w:type="pct"/>
          </w:tcPr>
          <w:p w14:paraId="5304E37F" w14:textId="77777777" w:rsidR="00074551" w:rsidRPr="00E50B51" w:rsidRDefault="00074551" w:rsidP="00367133">
            <w:pPr>
              <w:jc w:val="center"/>
              <w:rPr>
                <w:sz w:val="20"/>
                <w:szCs w:val="20"/>
              </w:rPr>
            </w:pPr>
            <w:r w:rsidRPr="00E50B51">
              <w:rPr>
                <w:sz w:val="20"/>
                <w:szCs w:val="20"/>
              </w:rPr>
              <w:t>D</w:t>
            </w:r>
          </w:p>
        </w:tc>
        <w:tc>
          <w:tcPr>
            <w:tcW w:w="1594" w:type="pct"/>
          </w:tcPr>
          <w:p w14:paraId="7D98615E" w14:textId="77777777" w:rsidR="00074551" w:rsidRPr="00E50B51" w:rsidRDefault="00074551" w:rsidP="00367133">
            <w:pPr>
              <w:jc w:val="both"/>
              <w:rPr>
                <w:sz w:val="20"/>
                <w:szCs w:val="20"/>
              </w:rPr>
            </w:pPr>
            <w:r w:rsidRPr="00E50B51">
              <w:rPr>
                <w:sz w:val="20"/>
                <w:szCs w:val="20"/>
              </w:rPr>
              <w:t>*</w:t>
            </w:r>
          </w:p>
        </w:tc>
        <w:tc>
          <w:tcPr>
            <w:tcW w:w="1822" w:type="pct"/>
          </w:tcPr>
          <w:p w14:paraId="59DC3D78" w14:textId="77777777" w:rsidR="00074551" w:rsidRPr="00947B2B" w:rsidRDefault="00074551" w:rsidP="00367133">
            <w:pPr>
              <w:jc w:val="both"/>
              <w:rPr>
                <w:sz w:val="20"/>
                <w:szCs w:val="20"/>
              </w:rPr>
            </w:pPr>
            <w:r w:rsidRPr="00947B2B">
              <w:rPr>
                <w:sz w:val="20"/>
                <w:szCs w:val="20"/>
              </w:rPr>
              <w:t xml:space="preserve">In </w:t>
            </w:r>
            <w:r w:rsidRPr="5B67C1D2">
              <w:rPr>
                <w:i/>
                <w:iCs/>
                <w:sz w:val="20"/>
                <w:szCs w:val="20"/>
              </w:rPr>
              <w:t>Moore v. East Cleveland</w:t>
            </w:r>
            <w:r w:rsidRPr="00947B2B">
              <w:rPr>
                <w:sz w:val="20"/>
                <w:szCs w:val="20"/>
              </w:rPr>
              <w:t xml:space="preserve"> bestätigt der Dissens den verfassungsrechtliche</w:t>
            </w:r>
            <w:r>
              <w:rPr>
                <w:sz w:val="20"/>
                <w:szCs w:val="20"/>
              </w:rPr>
              <w:t>n</w:t>
            </w:r>
            <w:r w:rsidRPr="00947B2B">
              <w:rPr>
                <w:sz w:val="20"/>
                <w:szCs w:val="20"/>
              </w:rPr>
              <w:t xml:space="preserve"> Verfahrensschutz des </w:t>
            </w:r>
            <w:proofErr w:type="spellStart"/>
            <w:r w:rsidRPr="5B67C1D2">
              <w:rPr>
                <w:i/>
                <w:iCs/>
                <w:sz w:val="20"/>
                <w:szCs w:val="20"/>
              </w:rPr>
              <w:t>pursuit</w:t>
            </w:r>
            <w:proofErr w:type="spellEnd"/>
            <w:r w:rsidRPr="5B67C1D2">
              <w:rPr>
                <w:i/>
                <w:iCs/>
                <w:sz w:val="20"/>
                <w:szCs w:val="20"/>
              </w:rPr>
              <w:t xml:space="preserve"> of Happiness </w:t>
            </w:r>
            <w:r w:rsidRPr="00947B2B">
              <w:rPr>
                <w:sz w:val="20"/>
                <w:szCs w:val="20"/>
              </w:rPr>
              <w:t xml:space="preserve">aus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947B2B">
              <w:rPr>
                <w:sz w:val="20"/>
                <w:szCs w:val="20"/>
              </w:rPr>
              <w:t xml:space="preserve">. </w:t>
            </w:r>
            <w:r>
              <w:rPr>
                <w:sz w:val="20"/>
                <w:szCs w:val="20"/>
              </w:rPr>
              <w:t>Diese</w:t>
            </w:r>
            <w:r w:rsidRPr="00947B2B">
              <w:rPr>
                <w:sz w:val="20"/>
                <w:szCs w:val="20"/>
              </w:rPr>
              <w:t xml:space="preserve"> schütze eigentlich nicht </w:t>
            </w:r>
            <w:r>
              <w:rPr>
                <w:sz w:val="20"/>
                <w:szCs w:val="20"/>
              </w:rPr>
              <w:t>das</w:t>
            </w:r>
            <w:r w:rsidRPr="00947B2B">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947B2B">
              <w:rPr>
                <w:sz w:val="20"/>
                <w:szCs w:val="20"/>
              </w:rPr>
              <w:t xml:space="preserve">. </w:t>
            </w:r>
            <w:r>
              <w:rPr>
                <w:sz w:val="20"/>
                <w:szCs w:val="20"/>
              </w:rPr>
              <w:t>Allerdings</w:t>
            </w:r>
            <w:r w:rsidRPr="00947B2B">
              <w:rPr>
                <w:sz w:val="20"/>
                <w:szCs w:val="20"/>
              </w:rPr>
              <w:t xml:space="preserve"> lös</w:t>
            </w:r>
            <w:r>
              <w:rPr>
                <w:sz w:val="20"/>
                <w:szCs w:val="20"/>
              </w:rPr>
              <w:t>t</w:t>
            </w:r>
            <w:r w:rsidRPr="00947B2B">
              <w:rPr>
                <w:sz w:val="20"/>
                <w:szCs w:val="20"/>
              </w:rPr>
              <w:t xml:space="preserve">en dessen Bedingungen bzw. Interessen </w:t>
            </w:r>
            <w:r>
              <w:rPr>
                <w:sz w:val="20"/>
                <w:szCs w:val="20"/>
              </w:rPr>
              <w:t xml:space="preserve">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947B2B">
              <w:rPr>
                <w:sz w:val="20"/>
                <w:szCs w:val="20"/>
              </w:rPr>
              <w:t xml:space="preserve"> aus („</w:t>
            </w:r>
            <w:proofErr w:type="spellStart"/>
            <w:r w:rsidRPr="00947B2B">
              <w:rPr>
                <w:sz w:val="20"/>
                <w:szCs w:val="20"/>
              </w:rPr>
              <w:t>triggered</w:t>
            </w:r>
            <w:proofErr w:type="spellEnd"/>
            <w:r w:rsidRPr="00947B2B">
              <w:rPr>
                <w:sz w:val="20"/>
                <w:szCs w:val="20"/>
              </w:rPr>
              <w:t xml:space="preserve"> by a </w:t>
            </w:r>
            <w:proofErr w:type="spellStart"/>
            <w:r w:rsidRPr="00947B2B">
              <w:rPr>
                <w:sz w:val="20"/>
                <w:szCs w:val="20"/>
              </w:rPr>
              <w:t>variety</w:t>
            </w:r>
            <w:proofErr w:type="spellEnd"/>
            <w:r w:rsidRPr="00947B2B">
              <w:rPr>
                <w:sz w:val="20"/>
                <w:szCs w:val="20"/>
              </w:rPr>
              <w:t xml:space="preserve"> of </w:t>
            </w:r>
            <w:proofErr w:type="spellStart"/>
            <w:r w:rsidRPr="00947B2B">
              <w:rPr>
                <w:sz w:val="20"/>
                <w:szCs w:val="20"/>
              </w:rPr>
              <w:t>interests</w:t>
            </w:r>
            <w:proofErr w:type="spellEnd"/>
            <w:r w:rsidRPr="00947B2B">
              <w:rPr>
                <w:sz w:val="20"/>
                <w:szCs w:val="20"/>
              </w:rPr>
              <w:t>“</w:t>
            </w:r>
            <w:r w:rsidRPr="00947B2B">
              <w:rPr>
                <w:sz w:val="20"/>
                <w:szCs w:val="20"/>
                <w:vertAlign w:val="superscript"/>
              </w:rPr>
              <w:footnoteReference w:id="2045"/>
            </w:r>
            <w:r w:rsidRPr="00947B2B">
              <w:rPr>
                <w:sz w:val="20"/>
                <w:szCs w:val="20"/>
              </w:rPr>
              <w:t xml:space="preserve">). </w:t>
            </w:r>
          </w:p>
          <w:p w14:paraId="712F1B34" w14:textId="77777777" w:rsidR="00074551" w:rsidRDefault="00074551" w:rsidP="00367133">
            <w:pPr>
              <w:jc w:val="both"/>
              <w:rPr>
                <w:sz w:val="20"/>
                <w:szCs w:val="20"/>
              </w:rPr>
            </w:pPr>
            <w:r w:rsidRPr="00947B2B">
              <w:rPr>
                <w:sz w:val="20"/>
                <w:szCs w:val="20"/>
              </w:rPr>
              <w:t xml:space="preserve">Der </w:t>
            </w:r>
            <w:r>
              <w:rPr>
                <w:sz w:val="20"/>
                <w:szCs w:val="20"/>
              </w:rPr>
              <w:t>U.S. Supreme Court</w:t>
            </w:r>
            <w:r w:rsidRPr="00947B2B">
              <w:rPr>
                <w:sz w:val="20"/>
                <w:szCs w:val="20"/>
              </w:rPr>
              <w:t xml:space="preserve"> bestätigt die Definitionsseiten des </w:t>
            </w:r>
            <w:proofErr w:type="spellStart"/>
            <w:r w:rsidRPr="5B67C1D2">
              <w:rPr>
                <w:i/>
                <w:iCs/>
                <w:sz w:val="20"/>
                <w:szCs w:val="20"/>
              </w:rPr>
              <w:t>pursuit</w:t>
            </w:r>
            <w:proofErr w:type="spellEnd"/>
            <w:r w:rsidRPr="5B67C1D2">
              <w:rPr>
                <w:i/>
                <w:iCs/>
                <w:sz w:val="20"/>
                <w:szCs w:val="20"/>
              </w:rPr>
              <w:t xml:space="preserve"> of Happiness</w:t>
            </w:r>
            <w:r w:rsidRPr="00947B2B">
              <w:rPr>
                <w:sz w:val="20"/>
                <w:szCs w:val="20"/>
              </w:rPr>
              <w:t xml:space="preserve"> aus </w:t>
            </w:r>
            <w:r w:rsidRPr="5B67C1D2">
              <w:rPr>
                <w:i/>
                <w:iCs/>
                <w:sz w:val="20"/>
                <w:szCs w:val="20"/>
              </w:rPr>
              <w:t>Meyer v. Nebraska</w:t>
            </w:r>
            <w:r w:rsidRPr="00947B2B">
              <w:rPr>
                <w:sz w:val="20"/>
                <w:szCs w:val="20"/>
                <w:vertAlign w:val="superscript"/>
              </w:rPr>
              <w:footnoteReference w:id="2046"/>
            </w:r>
            <w:r w:rsidRPr="00947B2B">
              <w:rPr>
                <w:sz w:val="20"/>
                <w:szCs w:val="20"/>
              </w:rPr>
              <w:t xml:space="preserve"> und bezeichnet eine dieser Seiten als wirtschaftliche („</w:t>
            </w:r>
            <w:proofErr w:type="spellStart"/>
            <w:r w:rsidRPr="00947B2B">
              <w:rPr>
                <w:sz w:val="20"/>
                <w:szCs w:val="20"/>
              </w:rPr>
              <w:t>commercial</w:t>
            </w:r>
            <w:proofErr w:type="spellEnd"/>
            <w:r w:rsidRPr="00947B2B">
              <w:rPr>
                <w:sz w:val="20"/>
                <w:szCs w:val="20"/>
              </w:rPr>
              <w:t xml:space="preserve"> area“</w:t>
            </w:r>
            <w:r w:rsidRPr="00947B2B">
              <w:rPr>
                <w:sz w:val="20"/>
                <w:szCs w:val="20"/>
                <w:vertAlign w:val="superscript"/>
              </w:rPr>
              <w:footnoteReference w:id="2047"/>
            </w:r>
            <w:r w:rsidRPr="00947B2B">
              <w:rPr>
                <w:sz w:val="20"/>
                <w:szCs w:val="20"/>
              </w:rPr>
              <w:t>). Zwar t</w:t>
            </w:r>
            <w:r>
              <w:rPr>
                <w:sz w:val="20"/>
                <w:szCs w:val="20"/>
              </w:rPr>
              <w:t>u</w:t>
            </w:r>
            <w:r w:rsidRPr="00947B2B">
              <w:rPr>
                <w:sz w:val="20"/>
                <w:szCs w:val="20"/>
              </w:rPr>
              <w:t xml:space="preserve">t er dies im Dissens. Aber er bestätigt </w:t>
            </w:r>
            <w:r w:rsidRPr="5B67C1D2">
              <w:rPr>
                <w:i/>
                <w:iCs/>
                <w:sz w:val="20"/>
                <w:szCs w:val="20"/>
              </w:rPr>
              <w:t>Meyer v. Nebraska</w:t>
            </w:r>
            <w:r w:rsidRPr="00947B2B">
              <w:rPr>
                <w:sz w:val="20"/>
                <w:szCs w:val="20"/>
              </w:rPr>
              <w:t xml:space="preserve"> in einer derart allgemeingültigen Aussage, </w:t>
            </w:r>
            <w:r>
              <w:rPr>
                <w:sz w:val="20"/>
                <w:szCs w:val="20"/>
              </w:rPr>
              <w:t>dass sie</w:t>
            </w:r>
            <w:r w:rsidRPr="00947B2B">
              <w:rPr>
                <w:sz w:val="20"/>
                <w:szCs w:val="20"/>
              </w:rPr>
              <w:t xml:space="preserve"> unabhängig </w:t>
            </w:r>
            <w:r>
              <w:rPr>
                <w:sz w:val="20"/>
                <w:szCs w:val="20"/>
              </w:rPr>
              <w:t>vom</w:t>
            </w:r>
            <w:r w:rsidRPr="00947B2B">
              <w:rPr>
                <w:sz w:val="20"/>
                <w:szCs w:val="20"/>
              </w:rPr>
              <w:t xml:space="preserve"> eigentlichen </w:t>
            </w:r>
            <w:proofErr w:type="spellStart"/>
            <w:r w:rsidRPr="00947B2B">
              <w:rPr>
                <w:sz w:val="20"/>
                <w:szCs w:val="20"/>
              </w:rPr>
              <w:t>Dissensausspruch</w:t>
            </w:r>
            <w:proofErr w:type="spellEnd"/>
            <w:r w:rsidRPr="00947B2B">
              <w:rPr>
                <w:sz w:val="20"/>
                <w:szCs w:val="20"/>
              </w:rPr>
              <w:t xml:space="preserve"> gesehen werden kann. Und </w:t>
            </w:r>
            <w:r>
              <w:rPr>
                <w:sz w:val="20"/>
                <w:szCs w:val="20"/>
              </w:rPr>
              <w:t>R</w:t>
            </w:r>
            <w:r w:rsidRPr="00947B2B">
              <w:rPr>
                <w:sz w:val="20"/>
                <w:szCs w:val="20"/>
              </w:rPr>
              <w:t xml:space="preserve">ichter </w:t>
            </w:r>
            <w:r w:rsidRPr="5B67C1D2">
              <w:rPr>
                <w:i/>
                <w:iCs/>
                <w:sz w:val="20"/>
                <w:szCs w:val="20"/>
              </w:rPr>
              <w:t>Burger</w:t>
            </w:r>
            <w:r w:rsidRPr="00947B2B">
              <w:rPr>
                <w:sz w:val="20"/>
                <w:szCs w:val="20"/>
              </w:rPr>
              <w:t xml:space="preserve"> bestätigt nicht nur </w:t>
            </w:r>
            <w:r w:rsidRPr="5B67C1D2">
              <w:rPr>
                <w:i/>
                <w:iCs/>
                <w:sz w:val="20"/>
                <w:szCs w:val="20"/>
              </w:rPr>
              <w:t>Meyer v. Nebraska</w:t>
            </w:r>
            <w:r w:rsidRPr="00947B2B">
              <w:rPr>
                <w:sz w:val="20"/>
                <w:szCs w:val="20"/>
              </w:rPr>
              <w:t xml:space="preserve"> („Meyer </w:t>
            </w:r>
            <w:proofErr w:type="spellStart"/>
            <w:r w:rsidRPr="00947B2B">
              <w:rPr>
                <w:sz w:val="20"/>
                <w:szCs w:val="20"/>
              </w:rPr>
              <w:t>has</w:t>
            </w:r>
            <w:proofErr w:type="spellEnd"/>
            <w:r w:rsidRPr="00947B2B">
              <w:rPr>
                <w:sz w:val="20"/>
                <w:szCs w:val="20"/>
              </w:rPr>
              <w:t xml:space="preserve"> not </w:t>
            </w:r>
            <w:proofErr w:type="spellStart"/>
            <w:r w:rsidRPr="00947B2B">
              <w:rPr>
                <w:sz w:val="20"/>
                <w:szCs w:val="20"/>
              </w:rPr>
              <w:t>been</w:t>
            </w:r>
            <w:proofErr w:type="spellEnd"/>
            <w:r w:rsidRPr="00947B2B">
              <w:rPr>
                <w:sz w:val="20"/>
                <w:szCs w:val="20"/>
              </w:rPr>
              <w:t xml:space="preserve"> </w:t>
            </w:r>
            <w:proofErr w:type="spellStart"/>
            <w:r w:rsidRPr="00947B2B">
              <w:rPr>
                <w:sz w:val="20"/>
                <w:szCs w:val="20"/>
              </w:rPr>
              <w:t>overruled</w:t>
            </w:r>
            <w:proofErr w:type="spellEnd"/>
            <w:r w:rsidRPr="00947B2B">
              <w:rPr>
                <w:sz w:val="20"/>
                <w:szCs w:val="20"/>
              </w:rPr>
              <w:t xml:space="preserve"> </w:t>
            </w:r>
            <w:proofErr w:type="spellStart"/>
            <w:r w:rsidRPr="00947B2B">
              <w:rPr>
                <w:sz w:val="20"/>
                <w:szCs w:val="20"/>
              </w:rPr>
              <w:t>nor</w:t>
            </w:r>
            <w:proofErr w:type="spellEnd"/>
            <w:r w:rsidRPr="00947B2B">
              <w:rPr>
                <w:sz w:val="20"/>
                <w:szCs w:val="20"/>
              </w:rPr>
              <w:t xml:space="preserve"> </w:t>
            </w:r>
            <w:proofErr w:type="spellStart"/>
            <w:r w:rsidRPr="00947B2B">
              <w:rPr>
                <w:sz w:val="20"/>
                <w:szCs w:val="20"/>
              </w:rPr>
              <w:t>its</w:t>
            </w:r>
            <w:proofErr w:type="spellEnd"/>
            <w:r w:rsidRPr="00947B2B">
              <w:rPr>
                <w:sz w:val="20"/>
                <w:szCs w:val="20"/>
              </w:rPr>
              <w:t xml:space="preserve"> </w:t>
            </w:r>
            <w:proofErr w:type="spellStart"/>
            <w:r w:rsidRPr="00947B2B">
              <w:rPr>
                <w:sz w:val="20"/>
                <w:szCs w:val="20"/>
              </w:rPr>
              <w:t>definition</w:t>
            </w:r>
            <w:proofErr w:type="spellEnd"/>
            <w:r w:rsidRPr="00947B2B">
              <w:rPr>
                <w:sz w:val="20"/>
                <w:szCs w:val="20"/>
              </w:rPr>
              <w:t xml:space="preserve"> of </w:t>
            </w:r>
            <w:proofErr w:type="spellStart"/>
            <w:r w:rsidRPr="00947B2B">
              <w:rPr>
                <w:sz w:val="20"/>
                <w:szCs w:val="20"/>
              </w:rPr>
              <w:t>liberty</w:t>
            </w:r>
            <w:proofErr w:type="spellEnd"/>
            <w:r w:rsidRPr="00947B2B">
              <w:rPr>
                <w:sz w:val="20"/>
                <w:szCs w:val="20"/>
              </w:rPr>
              <w:t xml:space="preserve"> </w:t>
            </w:r>
            <w:proofErr w:type="spellStart"/>
            <w:r w:rsidRPr="00947B2B">
              <w:rPr>
                <w:sz w:val="20"/>
                <w:szCs w:val="20"/>
              </w:rPr>
              <w:t>rejected</w:t>
            </w:r>
            <w:proofErr w:type="spellEnd"/>
            <w:r w:rsidRPr="00947B2B">
              <w:rPr>
                <w:sz w:val="20"/>
                <w:szCs w:val="20"/>
              </w:rPr>
              <w:t>“</w:t>
            </w:r>
            <w:r w:rsidRPr="00947B2B">
              <w:rPr>
                <w:sz w:val="20"/>
                <w:szCs w:val="20"/>
                <w:vertAlign w:val="superscript"/>
              </w:rPr>
              <w:footnoteReference w:id="2048"/>
            </w:r>
            <w:r w:rsidRPr="00947B2B">
              <w:rPr>
                <w:sz w:val="20"/>
                <w:szCs w:val="20"/>
              </w:rPr>
              <w:t xml:space="preserve">), sondern auch, dass sich der verfassungsrechtliche Verfahrensschutz für das Glücksstreben aus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947B2B">
              <w:rPr>
                <w:sz w:val="20"/>
                <w:szCs w:val="20"/>
              </w:rPr>
              <w:t xml:space="preserve"> ergebe.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947B2B">
              <w:rPr>
                <w:sz w:val="20"/>
                <w:szCs w:val="20"/>
              </w:rPr>
              <w:t xml:space="preserve"> regele zwar, dass Leben, Freiheit oder Eigentum nur in einem rechtsstaatlichen Verfahren entzogen werden könn</w:t>
            </w:r>
            <w:r>
              <w:rPr>
                <w:sz w:val="20"/>
                <w:szCs w:val="20"/>
              </w:rPr>
              <w:t>ten, u</w:t>
            </w:r>
            <w:r w:rsidRPr="00947B2B">
              <w:rPr>
                <w:sz w:val="20"/>
                <w:szCs w:val="20"/>
              </w:rPr>
              <w:t xml:space="preserve">nd der Wortlaut umfasse nicht </w:t>
            </w:r>
            <w:r>
              <w:rPr>
                <w:sz w:val="20"/>
                <w:szCs w:val="20"/>
              </w:rPr>
              <w:t>das</w:t>
            </w:r>
            <w:r w:rsidRPr="00947B2B">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947B2B">
              <w:rPr>
                <w:sz w:val="20"/>
                <w:szCs w:val="20"/>
              </w:rPr>
              <w:t xml:space="preserve">. Aber eine Vielzahl von weiteren Interessen </w:t>
            </w:r>
            <w:r>
              <w:rPr>
                <w:sz w:val="20"/>
                <w:szCs w:val="20"/>
              </w:rPr>
              <w:t>stünden</w:t>
            </w:r>
            <w:r w:rsidRPr="00947B2B">
              <w:rPr>
                <w:sz w:val="20"/>
                <w:szCs w:val="20"/>
              </w:rPr>
              <w:t xml:space="preserve"> unter dem Schutz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947B2B">
              <w:rPr>
                <w:sz w:val="20"/>
                <w:szCs w:val="20"/>
              </w:rPr>
              <w:t xml:space="preserve"> („</w:t>
            </w:r>
            <w:proofErr w:type="spellStart"/>
            <w:r w:rsidRPr="00947B2B">
              <w:rPr>
                <w:sz w:val="20"/>
                <w:szCs w:val="20"/>
              </w:rPr>
              <w:t>triggered</w:t>
            </w:r>
            <w:proofErr w:type="spellEnd"/>
            <w:r w:rsidRPr="00947B2B">
              <w:rPr>
                <w:sz w:val="20"/>
                <w:szCs w:val="20"/>
              </w:rPr>
              <w:t xml:space="preserve"> by a </w:t>
            </w:r>
            <w:proofErr w:type="spellStart"/>
            <w:r w:rsidRPr="00947B2B">
              <w:rPr>
                <w:sz w:val="20"/>
                <w:szCs w:val="20"/>
              </w:rPr>
              <w:t>variety</w:t>
            </w:r>
            <w:proofErr w:type="spellEnd"/>
            <w:r w:rsidRPr="00947B2B">
              <w:rPr>
                <w:sz w:val="20"/>
                <w:szCs w:val="20"/>
              </w:rPr>
              <w:t xml:space="preserve"> of </w:t>
            </w:r>
            <w:proofErr w:type="spellStart"/>
            <w:r w:rsidRPr="00947B2B">
              <w:rPr>
                <w:sz w:val="20"/>
                <w:szCs w:val="20"/>
              </w:rPr>
              <w:t>interests</w:t>
            </w:r>
            <w:proofErr w:type="spellEnd"/>
            <w:r w:rsidRPr="00947B2B">
              <w:rPr>
                <w:sz w:val="20"/>
                <w:szCs w:val="20"/>
              </w:rPr>
              <w:t>“</w:t>
            </w:r>
            <w:r w:rsidRPr="00947B2B">
              <w:rPr>
                <w:sz w:val="20"/>
                <w:szCs w:val="20"/>
                <w:vertAlign w:val="superscript"/>
              </w:rPr>
              <w:footnoteReference w:id="2049"/>
            </w:r>
            <w:r w:rsidRPr="00947B2B">
              <w:rPr>
                <w:sz w:val="20"/>
                <w:szCs w:val="20"/>
              </w:rPr>
              <w:t>). Diese weiteren Interessen lassen sich als Bedingungen für ein Glücksstreben beschreiben, wie die Freiheiten im wirtschaftlichen Bereich („</w:t>
            </w:r>
            <w:proofErr w:type="spellStart"/>
            <w:r w:rsidRPr="00947B2B">
              <w:rPr>
                <w:sz w:val="20"/>
                <w:szCs w:val="20"/>
              </w:rPr>
              <w:t>freedoms</w:t>
            </w:r>
            <w:proofErr w:type="spellEnd"/>
            <w:r w:rsidRPr="00947B2B">
              <w:rPr>
                <w:sz w:val="20"/>
                <w:szCs w:val="20"/>
              </w:rPr>
              <w:t xml:space="preserve"> in the </w:t>
            </w:r>
            <w:proofErr w:type="spellStart"/>
            <w:r w:rsidRPr="00947B2B">
              <w:rPr>
                <w:sz w:val="20"/>
                <w:szCs w:val="20"/>
              </w:rPr>
              <w:t>purely</w:t>
            </w:r>
            <w:proofErr w:type="spellEnd"/>
            <w:r w:rsidRPr="00947B2B">
              <w:rPr>
                <w:sz w:val="20"/>
                <w:szCs w:val="20"/>
              </w:rPr>
              <w:t xml:space="preserve"> </w:t>
            </w:r>
            <w:proofErr w:type="spellStart"/>
            <w:r w:rsidRPr="00947B2B">
              <w:rPr>
                <w:sz w:val="20"/>
                <w:szCs w:val="20"/>
              </w:rPr>
              <w:t>commercial</w:t>
            </w:r>
            <w:proofErr w:type="spellEnd"/>
            <w:r w:rsidRPr="00947B2B">
              <w:rPr>
                <w:sz w:val="20"/>
                <w:szCs w:val="20"/>
              </w:rPr>
              <w:t xml:space="preserve"> area“</w:t>
            </w:r>
            <w:r w:rsidRPr="00947B2B">
              <w:rPr>
                <w:sz w:val="20"/>
                <w:szCs w:val="20"/>
                <w:vertAlign w:val="superscript"/>
              </w:rPr>
              <w:footnoteReference w:id="2050"/>
            </w:r>
            <w:r w:rsidRPr="00947B2B">
              <w:rPr>
                <w:sz w:val="20"/>
                <w:szCs w:val="20"/>
              </w:rPr>
              <w:t xml:space="preserve">), </w:t>
            </w:r>
            <w:r>
              <w:rPr>
                <w:sz w:val="20"/>
                <w:szCs w:val="20"/>
              </w:rPr>
              <w:t>z.B.</w:t>
            </w:r>
            <w:r w:rsidRPr="00947B2B">
              <w:rPr>
                <w:sz w:val="20"/>
                <w:szCs w:val="20"/>
              </w:rPr>
              <w:t xml:space="preserve"> die Vertragsfreiheit oder das Recht, Preise und Löhne festzulegen. Dazu kommen die Freiheiten aus </w:t>
            </w:r>
            <w:r w:rsidRPr="5B67C1D2">
              <w:rPr>
                <w:i/>
                <w:iCs/>
                <w:sz w:val="20"/>
                <w:szCs w:val="20"/>
              </w:rPr>
              <w:t>Meyer v. Nebraska</w:t>
            </w:r>
            <w:r w:rsidRPr="00947B2B">
              <w:rPr>
                <w:sz w:val="20"/>
                <w:szCs w:val="20"/>
              </w:rPr>
              <w:t>. Diese freiheitlichen Interessen sind in ihrer Gesamtheit wesentlich für die Bedingungen für ein Streben nach Glück („</w:t>
            </w:r>
            <w:proofErr w:type="spellStart"/>
            <w:r w:rsidRPr="00947B2B">
              <w:rPr>
                <w:sz w:val="20"/>
                <w:szCs w:val="20"/>
              </w:rPr>
              <w:t>privileges</w:t>
            </w:r>
            <w:proofErr w:type="spellEnd"/>
            <w:r w:rsidRPr="00947B2B">
              <w:rPr>
                <w:sz w:val="20"/>
                <w:szCs w:val="20"/>
              </w:rPr>
              <w:t xml:space="preserve"> </w:t>
            </w:r>
            <w:proofErr w:type="spellStart"/>
            <w:r w:rsidRPr="00947B2B">
              <w:rPr>
                <w:sz w:val="20"/>
                <w:szCs w:val="20"/>
              </w:rPr>
              <w:t>long</w:t>
            </w:r>
            <w:proofErr w:type="spellEnd"/>
            <w:r w:rsidRPr="00947B2B">
              <w:rPr>
                <w:sz w:val="20"/>
                <w:szCs w:val="20"/>
              </w:rPr>
              <w:t xml:space="preserve"> </w:t>
            </w:r>
            <w:proofErr w:type="spellStart"/>
            <w:r w:rsidRPr="00947B2B">
              <w:rPr>
                <w:sz w:val="20"/>
                <w:szCs w:val="20"/>
              </w:rPr>
              <w:t>recognized</w:t>
            </w:r>
            <w:proofErr w:type="spellEnd"/>
            <w:r w:rsidRPr="00947B2B">
              <w:rPr>
                <w:sz w:val="20"/>
                <w:szCs w:val="20"/>
              </w:rPr>
              <w:t xml:space="preserve"> at </w:t>
            </w:r>
            <w:proofErr w:type="spellStart"/>
            <w:r w:rsidRPr="00947B2B">
              <w:rPr>
                <w:sz w:val="20"/>
                <w:szCs w:val="20"/>
              </w:rPr>
              <w:t>common</w:t>
            </w:r>
            <w:proofErr w:type="spellEnd"/>
            <w:r w:rsidRPr="00947B2B">
              <w:rPr>
                <w:sz w:val="20"/>
                <w:szCs w:val="20"/>
              </w:rPr>
              <w:t xml:space="preserve"> </w:t>
            </w:r>
            <w:proofErr w:type="spellStart"/>
            <w:r w:rsidRPr="00947B2B">
              <w:rPr>
                <w:sz w:val="20"/>
                <w:szCs w:val="20"/>
              </w:rPr>
              <w:t>law</w:t>
            </w:r>
            <w:proofErr w:type="spellEnd"/>
            <w:r w:rsidRPr="00947B2B">
              <w:rPr>
                <w:sz w:val="20"/>
                <w:szCs w:val="20"/>
              </w:rPr>
              <w:t xml:space="preserve"> as essential to the </w:t>
            </w:r>
            <w:proofErr w:type="spellStart"/>
            <w:r w:rsidRPr="00947B2B">
              <w:rPr>
                <w:sz w:val="20"/>
                <w:szCs w:val="20"/>
              </w:rPr>
              <w:t>orderly</w:t>
            </w:r>
            <w:proofErr w:type="spellEnd"/>
            <w:r w:rsidRPr="00947B2B">
              <w:rPr>
                <w:sz w:val="20"/>
                <w:szCs w:val="20"/>
              </w:rPr>
              <w:t xml:space="preserve"> </w:t>
            </w:r>
            <w:proofErr w:type="spellStart"/>
            <w:r w:rsidRPr="00947B2B">
              <w:rPr>
                <w:sz w:val="20"/>
                <w:szCs w:val="20"/>
              </w:rPr>
              <w:t>pursuit</w:t>
            </w:r>
            <w:proofErr w:type="spellEnd"/>
            <w:r w:rsidRPr="00947B2B">
              <w:rPr>
                <w:sz w:val="20"/>
                <w:szCs w:val="20"/>
              </w:rPr>
              <w:t xml:space="preserve"> of </w:t>
            </w:r>
            <w:proofErr w:type="spellStart"/>
            <w:r w:rsidRPr="00947B2B">
              <w:rPr>
                <w:sz w:val="20"/>
                <w:szCs w:val="20"/>
              </w:rPr>
              <w:t>happiness</w:t>
            </w:r>
            <w:proofErr w:type="spellEnd"/>
            <w:r w:rsidRPr="00947B2B">
              <w:rPr>
                <w:sz w:val="20"/>
                <w:szCs w:val="20"/>
              </w:rPr>
              <w:t xml:space="preserve"> by </w:t>
            </w:r>
            <w:proofErr w:type="spellStart"/>
            <w:r w:rsidRPr="00947B2B">
              <w:rPr>
                <w:sz w:val="20"/>
                <w:szCs w:val="20"/>
              </w:rPr>
              <w:t>free</w:t>
            </w:r>
            <w:proofErr w:type="spellEnd"/>
            <w:r w:rsidRPr="00947B2B">
              <w:rPr>
                <w:sz w:val="20"/>
                <w:szCs w:val="20"/>
              </w:rPr>
              <w:t xml:space="preserve"> </w:t>
            </w:r>
            <w:proofErr w:type="spellStart"/>
            <w:r w:rsidRPr="00947B2B">
              <w:rPr>
                <w:sz w:val="20"/>
                <w:szCs w:val="20"/>
              </w:rPr>
              <w:t>men</w:t>
            </w:r>
            <w:proofErr w:type="spellEnd"/>
            <w:r w:rsidRPr="00947B2B">
              <w:rPr>
                <w:sz w:val="20"/>
                <w:szCs w:val="20"/>
              </w:rPr>
              <w:t>“</w:t>
            </w:r>
            <w:r w:rsidRPr="00947B2B">
              <w:rPr>
                <w:sz w:val="20"/>
                <w:szCs w:val="20"/>
                <w:vertAlign w:val="superscript"/>
              </w:rPr>
              <w:footnoteReference w:id="2051"/>
            </w:r>
            <w:r w:rsidRPr="00947B2B">
              <w:rPr>
                <w:sz w:val="20"/>
                <w:szCs w:val="20"/>
              </w:rPr>
              <w:t xml:space="preserve">), und lösen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947B2B">
              <w:rPr>
                <w:sz w:val="20"/>
                <w:szCs w:val="20"/>
              </w:rPr>
              <w:t xml:space="preserve"> aus.</w:t>
            </w:r>
          </w:p>
          <w:p w14:paraId="37338856" w14:textId="77777777" w:rsidR="00074551" w:rsidRPr="00E50B51" w:rsidRDefault="00074551" w:rsidP="00367133">
            <w:pPr>
              <w:jc w:val="both"/>
              <w:rPr>
                <w:sz w:val="20"/>
                <w:szCs w:val="20"/>
              </w:rPr>
            </w:pPr>
          </w:p>
        </w:tc>
      </w:tr>
      <w:tr w:rsidR="00074551" w:rsidRPr="00F241FF" w14:paraId="57C8E039" w14:textId="77777777" w:rsidTr="00BE689F">
        <w:trPr>
          <w:cantSplit/>
          <w:trHeight w:val="3175"/>
        </w:trPr>
        <w:tc>
          <w:tcPr>
            <w:tcW w:w="293" w:type="pct"/>
          </w:tcPr>
          <w:p w14:paraId="1ED439A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EB3BE03" w14:textId="77777777" w:rsidR="00074551" w:rsidRPr="00E50B51" w:rsidRDefault="00074551" w:rsidP="00367133">
            <w:pPr>
              <w:ind w:left="113" w:right="416"/>
              <w:jc w:val="both"/>
              <w:rPr>
                <w:sz w:val="20"/>
                <w:szCs w:val="20"/>
              </w:rPr>
            </w:pPr>
            <w:r w:rsidRPr="009E57E1">
              <w:rPr>
                <w:i/>
                <w:sz w:val="20"/>
                <w:szCs w:val="20"/>
              </w:rPr>
              <w:t>Paul v. Davis</w:t>
            </w:r>
          </w:p>
        </w:tc>
        <w:tc>
          <w:tcPr>
            <w:tcW w:w="197" w:type="pct"/>
            <w:textDirection w:val="tbRl"/>
            <w:vAlign w:val="center"/>
          </w:tcPr>
          <w:p w14:paraId="608D61D7" w14:textId="77777777" w:rsidR="00074551" w:rsidRPr="00E50B51" w:rsidRDefault="00074551" w:rsidP="00367133">
            <w:pPr>
              <w:ind w:left="113" w:right="113"/>
              <w:jc w:val="both"/>
              <w:rPr>
                <w:iCs/>
                <w:sz w:val="20"/>
                <w:szCs w:val="20"/>
              </w:rPr>
            </w:pPr>
            <w:r w:rsidRPr="00E50B51">
              <w:rPr>
                <w:sz w:val="20"/>
                <w:szCs w:val="20"/>
                <w:lang w:val="en-US"/>
              </w:rPr>
              <w:t>424 U.S. 693</w:t>
            </w:r>
          </w:p>
        </w:tc>
        <w:tc>
          <w:tcPr>
            <w:tcW w:w="306" w:type="pct"/>
            <w:textDirection w:val="tbRl"/>
            <w:vAlign w:val="center"/>
          </w:tcPr>
          <w:p w14:paraId="2AEF4C66" w14:textId="77777777" w:rsidR="00074551" w:rsidRPr="00E50B51" w:rsidRDefault="00074551" w:rsidP="00367133">
            <w:pPr>
              <w:ind w:left="113" w:right="113"/>
              <w:jc w:val="both"/>
              <w:rPr>
                <w:sz w:val="20"/>
                <w:szCs w:val="20"/>
              </w:rPr>
            </w:pPr>
            <w:r w:rsidRPr="00E50B51">
              <w:rPr>
                <w:sz w:val="20"/>
                <w:szCs w:val="20"/>
              </w:rPr>
              <w:t>23. März 1976</w:t>
            </w:r>
          </w:p>
        </w:tc>
        <w:tc>
          <w:tcPr>
            <w:tcW w:w="401" w:type="pct"/>
          </w:tcPr>
          <w:p w14:paraId="3952AFFC" w14:textId="77777777" w:rsidR="00074551" w:rsidRPr="00E50B51" w:rsidRDefault="00074551" w:rsidP="00367133">
            <w:pPr>
              <w:jc w:val="center"/>
              <w:rPr>
                <w:sz w:val="20"/>
                <w:szCs w:val="20"/>
              </w:rPr>
            </w:pPr>
            <w:r w:rsidRPr="00E50B51">
              <w:rPr>
                <w:sz w:val="20"/>
                <w:szCs w:val="20"/>
              </w:rPr>
              <w:t>D</w:t>
            </w:r>
          </w:p>
        </w:tc>
        <w:tc>
          <w:tcPr>
            <w:tcW w:w="1594" w:type="pct"/>
          </w:tcPr>
          <w:p w14:paraId="3436229A" w14:textId="77777777" w:rsidR="00074551" w:rsidRPr="00E50B51" w:rsidRDefault="00074551" w:rsidP="00367133">
            <w:pPr>
              <w:jc w:val="both"/>
              <w:rPr>
                <w:sz w:val="20"/>
                <w:szCs w:val="20"/>
              </w:rPr>
            </w:pPr>
            <w:r w:rsidRPr="00E50B51">
              <w:rPr>
                <w:sz w:val="20"/>
                <w:szCs w:val="20"/>
              </w:rPr>
              <w:t>*</w:t>
            </w:r>
          </w:p>
        </w:tc>
        <w:tc>
          <w:tcPr>
            <w:tcW w:w="1822" w:type="pct"/>
          </w:tcPr>
          <w:p w14:paraId="1BDA2F6F" w14:textId="64D1D471" w:rsidR="00074551" w:rsidRDefault="00074551" w:rsidP="00367133">
            <w:pPr>
              <w:jc w:val="both"/>
              <w:rPr>
                <w:sz w:val="20"/>
                <w:szCs w:val="20"/>
              </w:rPr>
            </w:pPr>
            <w:r w:rsidRPr="00F241FF">
              <w:rPr>
                <w:sz w:val="20"/>
                <w:szCs w:val="20"/>
              </w:rPr>
              <w:t xml:space="preserve">Der </w:t>
            </w:r>
            <w:r>
              <w:rPr>
                <w:sz w:val="20"/>
                <w:szCs w:val="20"/>
              </w:rPr>
              <w:t>U.S. Supreme Court</w:t>
            </w:r>
            <w:r w:rsidRPr="00F241FF">
              <w:rPr>
                <w:sz w:val="20"/>
                <w:szCs w:val="20"/>
              </w:rPr>
              <w:t xml:space="preserve"> urteilte, wenn staatliche Maßnahmen (</w:t>
            </w:r>
            <w:r>
              <w:rPr>
                <w:sz w:val="20"/>
                <w:szCs w:val="20"/>
              </w:rPr>
              <w:t>z.B.</w:t>
            </w:r>
            <w:r w:rsidRPr="00F241FF">
              <w:rPr>
                <w:sz w:val="20"/>
                <w:szCs w:val="20"/>
              </w:rPr>
              <w:t xml:space="preserve"> die mögliche Verleumdung durch einen Amtsträger) die Verfahrensgarantien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i/>
                <w:iCs/>
                <w:sz w:val="20"/>
                <w:szCs w:val="20"/>
              </w:rPr>
              <w:t xml:space="preserve"> </w:t>
            </w:r>
            <w:r w:rsidRPr="00F241FF">
              <w:rPr>
                <w:sz w:val="20"/>
                <w:szCs w:val="20"/>
              </w:rPr>
              <w:t>missachte</w:t>
            </w:r>
            <w:r>
              <w:rPr>
                <w:sz w:val="20"/>
                <w:szCs w:val="20"/>
              </w:rPr>
              <w:t>te</w:t>
            </w:r>
            <w:r w:rsidRPr="00F241FF">
              <w:rPr>
                <w:sz w:val="20"/>
                <w:szCs w:val="20"/>
              </w:rPr>
              <w:t>n, dann ergebe sich aus diesen Verfahrensgarantien noch keine Rechtsgrundlage für einen Schadensersatzanspruch</w:t>
            </w:r>
            <w:r>
              <w:rPr>
                <w:sz w:val="20"/>
                <w:szCs w:val="20"/>
              </w:rPr>
              <w:t>, etwa</w:t>
            </w:r>
            <w:r w:rsidRPr="00F241FF">
              <w:rPr>
                <w:sz w:val="20"/>
                <w:szCs w:val="20"/>
              </w:rPr>
              <w:t xml:space="preserve"> wegen unerlaubter Handlung zulasten des individuellen und sozialen Geltungsanspruchs. </w:t>
            </w:r>
            <w:r w:rsidRPr="00F241FF">
              <w:rPr>
                <w:sz w:val="20"/>
                <w:szCs w:val="20"/>
                <w:lang w:val="en-US"/>
              </w:rPr>
              <w:t xml:space="preserve">Denn </w:t>
            </w:r>
            <w:proofErr w:type="spellStart"/>
            <w:r w:rsidRPr="00F241FF">
              <w:rPr>
                <w:sz w:val="20"/>
                <w:szCs w:val="20"/>
                <w:lang w:val="en-US"/>
              </w:rPr>
              <w:t>ein</w:t>
            </w:r>
            <w:proofErr w:type="spellEnd"/>
            <w:r w:rsidRPr="00F241FF">
              <w:rPr>
                <w:sz w:val="20"/>
                <w:szCs w:val="20"/>
                <w:lang w:val="en-US"/>
              </w:rPr>
              <w:t xml:space="preserve"> Amendment </w:t>
            </w:r>
            <w:proofErr w:type="spellStart"/>
            <w:r w:rsidRPr="00F241FF">
              <w:rPr>
                <w:sz w:val="20"/>
                <w:szCs w:val="20"/>
                <w:lang w:val="en-US"/>
              </w:rPr>
              <w:t>begründe</w:t>
            </w:r>
            <w:proofErr w:type="spellEnd"/>
            <w:r w:rsidRPr="00F241FF">
              <w:rPr>
                <w:sz w:val="20"/>
                <w:szCs w:val="20"/>
                <w:lang w:val="en-US"/>
              </w:rPr>
              <w:t xml:space="preserve"> </w:t>
            </w:r>
            <w:proofErr w:type="spellStart"/>
            <w:r w:rsidRPr="00F241FF">
              <w:rPr>
                <w:sz w:val="20"/>
                <w:szCs w:val="20"/>
                <w:lang w:val="en-US"/>
              </w:rPr>
              <w:t>kein</w:t>
            </w:r>
            <w:proofErr w:type="spellEnd"/>
            <w:r w:rsidRPr="00F241FF">
              <w:rPr>
                <w:sz w:val="20"/>
                <w:szCs w:val="20"/>
                <w:lang w:val="en-US"/>
              </w:rPr>
              <w:t xml:space="preserve"> </w:t>
            </w:r>
            <w:proofErr w:type="spellStart"/>
            <w:r w:rsidRPr="00F241FF">
              <w:rPr>
                <w:sz w:val="20"/>
                <w:szCs w:val="20"/>
                <w:lang w:val="en-US"/>
              </w:rPr>
              <w:t>Deliktsrecht</w:t>
            </w:r>
            <w:proofErr w:type="spellEnd"/>
            <w:r w:rsidRPr="00F241FF">
              <w:rPr>
                <w:sz w:val="20"/>
                <w:szCs w:val="20"/>
                <w:lang w:val="en-US"/>
              </w:rPr>
              <w:t xml:space="preserve"> („would make of the Fourteenth Amendment a font of tort </w:t>
            </w:r>
            <w:proofErr w:type="gramStart"/>
            <w:r w:rsidRPr="00F241FF">
              <w:rPr>
                <w:sz w:val="20"/>
                <w:szCs w:val="20"/>
                <w:lang w:val="en-US"/>
              </w:rPr>
              <w:t>law“</w:t>
            </w:r>
            <w:proofErr w:type="gramEnd"/>
            <w:r w:rsidRPr="00F241FF">
              <w:rPr>
                <w:sz w:val="20"/>
                <w:szCs w:val="20"/>
                <w:vertAlign w:val="superscript"/>
                <w:lang w:val="en-US"/>
              </w:rPr>
              <w:footnoteReference w:id="2052"/>
            </w:r>
            <w:r w:rsidRPr="00F241FF">
              <w:rPr>
                <w:sz w:val="20"/>
                <w:szCs w:val="20"/>
                <w:lang w:val="en-US"/>
              </w:rPr>
              <w:t xml:space="preserve">). </w:t>
            </w:r>
            <w:r w:rsidRPr="00F241FF">
              <w:rPr>
                <w:sz w:val="20"/>
                <w:szCs w:val="20"/>
              </w:rPr>
              <w:t>Dies verstieße gegen die Verfassungssystematik („</w:t>
            </w:r>
            <w:proofErr w:type="spellStart"/>
            <w:r w:rsidRPr="00F241FF">
              <w:rPr>
                <w:sz w:val="20"/>
                <w:szCs w:val="20"/>
              </w:rPr>
              <w:t>constitutional</w:t>
            </w:r>
            <w:proofErr w:type="spellEnd"/>
            <w:r w:rsidRPr="00F241FF">
              <w:rPr>
                <w:sz w:val="20"/>
                <w:szCs w:val="20"/>
              </w:rPr>
              <w:t xml:space="preserve"> </w:t>
            </w:r>
            <w:proofErr w:type="spellStart"/>
            <w:r w:rsidRPr="00F241FF">
              <w:rPr>
                <w:sz w:val="20"/>
                <w:szCs w:val="20"/>
              </w:rPr>
              <w:t>shoals</w:t>
            </w:r>
            <w:proofErr w:type="spellEnd"/>
            <w:r w:rsidRPr="00F241FF">
              <w:rPr>
                <w:sz w:val="20"/>
                <w:szCs w:val="20"/>
              </w:rPr>
              <w:t>“</w:t>
            </w:r>
            <w:r w:rsidRPr="00F241FF">
              <w:rPr>
                <w:sz w:val="20"/>
                <w:szCs w:val="20"/>
                <w:vertAlign w:val="superscript"/>
              </w:rPr>
              <w:footnoteReference w:id="2053"/>
            </w:r>
            <w:r w:rsidRPr="00F241FF">
              <w:rPr>
                <w:sz w:val="20"/>
                <w:szCs w:val="20"/>
              </w:rPr>
              <w:t>)</w:t>
            </w:r>
            <w:r>
              <w:rPr>
                <w:sz w:val="20"/>
                <w:szCs w:val="20"/>
              </w:rPr>
              <w:t>, da es</w:t>
            </w:r>
            <w:r w:rsidRPr="00F241FF">
              <w:rPr>
                <w:sz w:val="20"/>
                <w:szCs w:val="20"/>
              </w:rPr>
              <w:t xml:space="preserve"> für eine solche Rechtsgrundlage zuvorderst ein das Amendment konkretisierendes Gesetz bräuchte („</w:t>
            </w:r>
            <w:proofErr w:type="spellStart"/>
            <w:r w:rsidRPr="00F241FF">
              <w:rPr>
                <w:sz w:val="20"/>
                <w:szCs w:val="20"/>
              </w:rPr>
              <w:t>general</w:t>
            </w:r>
            <w:proofErr w:type="spellEnd"/>
            <w:r w:rsidRPr="00F241FF">
              <w:rPr>
                <w:sz w:val="20"/>
                <w:szCs w:val="20"/>
              </w:rPr>
              <w:t xml:space="preserve"> </w:t>
            </w:r>
            <w:proofErr w:type="spellStart"/>
            <w:r w:rsidRPr="00F241FF">
              <w:rPr>
                <w:sz w:val="20"/>
                <w:szCs w:val="20"/>
              </w:rPr>
              <w:t>federal</w:t>
            </w:r>
            <w:proofErr w:type="spellEnd"/>
            <w:r w:rsidRPr="00F241FF">
              <w:rPr>
                <w:sz w:val="20"/>
                <w:szCs w:val="20"/>
              </w:rPr>
              <w:t xml:space="preserve"> tort </w:t>
            </w:r>
            <w:proofErr w:type="spellStart"/>
            <w:r w:rsidRPr="00F241FF">
              <w:rPr>
                <w:sz w:val="20"/>
                <w:szCs w:val="20"/>
              </w:rPr>
              <w:t>law</w:t>
            </w:r>
            <w:proofErr w:type="spellEnd"/>
            <w:r w:rsidRPr="00F241FF">
              <w:rPr>
                <w:sz w:val="20"/>
                <w:szCs w:val="20"/>
              </w:rPr>
              <w:t>“</w:t>
            </w:r>
            <w:r w:rsidRPr="00F241FF">
              <w:rPr>
                <w:sz w:val="20"/>
                <w:szCs w:val="20"/>
                <w:vertAlign w:val="superscript"/>
              </w:rPr>
              <w:footnoteReference w:id="2054"/>
            </w:r>
            <w:r w:rsidRPr="00F241FF">
              <w:rPr>
                <w:sz w:val="20"/>
                <w:szCs w:val="20"/>
              </w:rPr>
              <w:t xml:space="preserve">), so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F241FF">
              <w:rPr>
                <w:sz w:val="20"/>
                <w:szCs w:val="20"/>
              </w:rPr>
              <w:t xml:space="preserve">. </w:t>
            </w:r>
            <w:r>
              <w:rPr>
                <w:sz w:val="20"/>
                <w:szCs w:val="20"/>
              </w:rPr>
              <w:t>Ein solches</w:t>
            </w:r>
            <w:r w:rsidRPr="00F241FF">
              <w:rPr>
                <w:sz w:val="20"/>
                <w:szCs w:val="20"/>
              </w:rPr>
              <w:t xml:space="preserve"> müsse erst existieren, </w:t>
            </w:r>
            <w:r>
              <w:rPr>
                <w:sz w:val="20"/>
                <w:szCs w:val="20"/>
              </w:rPr>
              <w:t>z.B.</w:t>
            </w:r>
            <w:r w:rsidRPr="00F241FF">
              <w:rPr>
                <w:sz w:val="20"/>
                <w:szCs w:val="20"/>
              </w:rPr>
              <w:t xml:space="preserve"> fehl</w:t>
            </w:r>
            <w:r>
              <w:rPr>
                <w:sz w:val="20"/>
                <w:szCs w:val="20"/>
              </w:rPr>
              <w:t>e es</w:t>
            </w:r>
            <w:r w:rsidRPr="00F241FF">
              <w:rPr>
                <w:sz w:val="20"/>
                <w:szCs w:val="20"/>
              </w:rPr>
              <w:t xml:space="preserve"> im Fall, wo ein Polizeipräsident ein Flugblatt mit einem Fahndungsfoto verteilt hatte, wobei die angebliche </w:t>
            </w:r>
            <w:proofErr w:type="spellStart"/>
            <w:r w:rsidRPr="00F241FF">
              <w:rPr>
                <w:sz w:val="20"/>
                <w:szCs w:val="20"/>
              </w:rPr>
              <w:t>Defamation</w:t>
            </w:r>
            <w:proofErr w:type="spellEnd"/>
            <w:r w:rsidRPr="00F241FF">
              <w:rPr>
                <w:sz w:val="20"/>
                <w:szCs w:val="20"/>
              </w:rPr>
              <w:t xml:space="preserve"> dann eben nicht reiche, um den Schutzbereich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F241FF">
              <w:rPr>
                <w:sz w:val="20"/>
                <w:szCs w:val="20"/>
              </w:rPr>
              <w:t xml:space="preserve"> auszulösen.</w:t>
            </w:r>
            <w:r w:rsidRPr="00F241FF">
              <w:rPr>
                <w:sz w:val="20"/>
                <w:szCs w:val="20"/>
                <w:vertAlign w:val="superscript"/>
              </w:rPr>
              <w:footnoteReference w:id="2055"/>
            </w:r>
            <w:r w:rsidRPr="00F241FF">
              <w:rPr>
                <w:sz w:val="20"/>
                <w:szCs w:val="20"/>
              </w:rPr>
              <w:t xml:space="preserve"> Und auch der Wortlaut Freiheit und Eigentum nach </w:t>
            </w:r>
            <w:proofErr w:type="spellStart"/>
            <w:r>
              <w:rPr>
                <w:sz w:val="20"/>
                <w:szCs w:val="20"/>
              </w:rPr>
              <w:t>Amd</w:t>
            </w:r>
            <w:proofErr w:type="spellEnd"/>
            <w:r>
              <w:rPr>
                <w:sz w:val="20"/>
                <w:szCs w:val="20"/>
              </w:rPr>
              <w:t>. </w:t>
            </w:r>
            <w:r w:rsidRPr="00F241FF">
              <w:rPr>
                <w:sz w:val="20"/>
                <w:szCs w:val="20"/>
              </w:rPr>
              <w:t xml:space="preserve">V und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241FF">
              <w:rPr>
                <w:sz w:val="20"/>
                <w:szCs w:val="20"/>
              </w:rPr>
              <w:t xml:space="preserve"> schütze den individuellen und sozialen Geltungsanspruch grundsätzlich nur im Rahmen des einfachen Bundesrechts. Denn weder ha</w:t>
            </w:r>
            <w:r>
              <w:rPr>
                <w:sz w:val="20"/>
                <w:szCs w:val="20"/>
              </w:rPr>
              <w:t>be</w:t>
            </w:r>
            <w:r w:rsidRPr="00F241FF">
              <w:rPr>
                <w:sz w:val="20"/>
                <w:szCs w:val="20"/>
              </w:rPr>
              <w:t xml:space="preserve"> sich eine verfassungsrechtliche Doktrin entwickelt, die über das Bundesrecht hinausgehe,</w:t>
            </w:r>
            <w:r>
              <w:rPr>
                <w:sz w:val="20"/>
                <w:szCs w:val="20"/>
              </w:rPr>
              <w:t> –</w:t>
            </w:r>
            <w:r w:rsidRPr="00F241FF">
              <w:rPr>
                <w:sz w:val="20"/>
                <w:szCs w:val="20"/>
              </w:rPr>
              <w:t xml:space="preserve"> d.h.</w:t>
            </w:r>
            <w:r>
              <w:rPr>
                <w:sz w:val="20"/>
                <w:szCs w:val="20"/>
              </w:rPr>
              <w:t>,</w:t>
            </w:r>
            <w:r w:rsidRPr="00F241FF">
              <w:rPr>
                <w:sz w:val="20"/>
                <w:szCs w:val="20"/>
              </w:rPr>
              <w:t xml:space="preserve"> </w:t>
            </w:r>
            <w:r>
              <w:rPr>
                <w:sz w:val="20"/>
                <w:szCs w:val="20"/>
              </w:rPr>
              <w:t>j</w:t>
            </w:r>
            <w:r w:rsidRPr="00F241FF">
              <w:rPr>
                <w:sz w:val="20"/>
                <w:szCs w:val="20"/>
              </w:rPr>
              <w:t xml:space="preserve">ede Verleumdung durch einen Amtsträger als eine Freiheitseinschränkung einzuordnen. Noch seien die Interessen bzw. Dimensionen, welche ein rechtsstaatliches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00F241FF">
              <w:rPr>
                <w:sz w:val="20"/>
                <w:szCs w:val="20"/>
              </w:rPr>
              <w:t xml:space="preserve"> schütze</w:t>
            </w:r>
            <w:r>
              <w:rPr>
                <w:sz w:val="20"/>
                <w:szCs w:val="20"/>
              </w:rPr>
              <w:t xml:space="preserve">, </w:t>
            </w:r>
            <w:r w:rsidRPr="00F241FF">
              <w:rPr>
                <w:sz w:val="20"/>
                <w:szCs w:val="20"/>
              </w:rPr>
              <w:t>uferlos. Damit errichte</w:t>
            </w:r>
            <w:r>
              <w:rPr>
                <w:sz w:val="20"/>
                <w:szCs w:val="20"/>
              </w:rPr>
              <w:t>te</w:t>
            </w:r>
            <w:r w:rsidRPr="00F241FF">
              <w:rPr>
                <w:sz w:val="20"/>
                <w:szCs w:val="20"/>
              </w:rPr>
              <w:t>n sich die betroffenen Interessen auch nicht anhand des Eigentumsbegriffs. Vielmehr leg</w:t>
            </w:r>
            <w:r>
              <w:rPr>
                <w:sz w:val="20"/>
                <w:szCs w:val="20"/>
              </w:rPr>
              <w:t>e</w:t>
            </w:r>
            <w:r w:rsidRPr="00F241FF">
              <w:rPr>
                <w:sz w:val="20"/>
                <w:szCs w:val="20"/>
              </w:rPr>
              <w:t xml:space="preserve"> nur das einfache Bundesrecht fest, welche Interessen bzw. Dimensionen die Amendments schütz</w:t>
            </w:r>
            <w:r>
              <w:rPr>
                <w:sz w:val="20"/>
                <w:szCs w:val="20"/>
              </w:rPr>
              <w:t>t</w:t>
            </w:r>
            <w:r w:rsidRPr="00F241FF">
              <w:rPr>
                <w:sz w:val="20"/>
                <w:szCs w:val="20"/>
              </w:rPr>
              <w:t xml:space="preserve">en. </w:t>
            </w:r>
          </w:p>
          <w:p w14:paraId="1C5A85BA" w14:textId="1FF6CCDD" w:rsidR="00074551" w:rsidRPr="00F241FF" w:rsidRDefault="00074551" w:rsidP="00367133">
            <w:pPr>
              <w:jc w:val="both"/>
              <w:rPr>
                <w:sz w:val="20"/>
                <w:szCs w:val="20"/>
              </w:rPr>
            </w:pPr>
            <w:r>
              <w:rPr>
                <w:sz w:val="20"/>
                <w:szCs w:val="20"/>
              </w:rPr>
              <w:t xml:space="preserve">Diesem </w:t>
            </w:r>
            <w:r w:rsidRPr="00F241FF">
              <w:rPr>
                <w:sz w:val="20"/>
                <w:szCs w:val="20"/>
              </w:rPr>
              <w:t xml:space="preserve">doch engen Verständnis des Freiheitschutzes, der sich zuvorderst am Bundesrecht ausrichte, </w:t>
            </w:r>
            <w:r>
              <w:rPr>
                <w:sz w:val="20"/>
                <w:szCs w:val="20"/>
              </w:rPr>
              <w:t>widerspricht</w:t>
            </w:r>
            <w:r w:rsidRPr="00F241FF">
              <w:rPr>
                <w:sz w:val="20"/>
                <w:szCs w:val="20"/>
              </w:rPr>
              <w:t xml:space="preserve"> der Dissens: </w:t>
            </w:r>
            <w:r>
              <w:rPr>
                <w:sz w:val="20"/>
                <w:szCs w:val="20"/>
              </w:rPr>
              <w:t>Ihm zufolge</w:t>
            </w:r>
            <w:r w:rsidRPr="00F241FF">
              <w:rPr>
                <w:sz w:val="20"/>
                <w:szCs w:val="20"/>
              </w:rPr>
              <w:t xml:space="preserve"> </w:t>
            </w:r>
            <w:r>
              <w:rPr>
                <w:sz w:val="20"/>
                <w:szCs w:val="20"/>
              </w:rPr>
              <w:t>müsse</w:t>
            </w:r>
            <w:r w:rsidRPr="00F241FF">
              <w:rPr>
                <w:sz w:val="20"/>
                <w:szCs w:val="20"/>
              </w:rPr>
              <w:t xml:space="preserve"> Freiheit weit verstanden werden („the </w:t>
            </w:r>
            <w:proofErr w:type="spellStart"/>
            <w:r w:rsidRPr="00F241FF">
              <w:rPr>
                <w:sz w:val="20"/>
                <w:szCs w:val="20"/>
              </w:rPr>
              <w:t>meaning</w:t>
            </w:r>
            <w:proofErr w:type="spellEnd"/>
            <w:r w:rsidRPr="00F241FF">
              <w:rPr>
                <w:sz w:val="20"/>
                <w:szCs w:val="20"/>
              </w:rPr>
              <w:t xml:space="preserve"> </w:t>
            </w:r>
            <w:proofErr w:type="gramStart"/>
            <w:r w:rsidRPr="00F241FF">
              <w:rPr>
                <w:sz w:val="20"/>
                <w:szCs w:val="20"/>
              </w:rPr>
              <w:t xml:space="preserve">of </w:t>
            </w:r>
            <w:r>
              <w:rPr>
                <w:sz w:val="20"/>
                <w:szCs w:val="20"/>
              </w:rPr>
              <w:t>,</w:t>
            </w:r>
            <w:proofErr w:type="spellStart"/>
            <w:r w:rsidRPr="00F241FF">
              <w:rPr>
                <w:sz w:val="20"/>
                <w:szCs w:val="20"/>
              </w:rPr>
              <w:t>liberty</w:t>
            </w:r>
            <w:proofErr w:type="spellEnd"/>
            <w:proofErr w:type="gramEnd"/>
            <w:r>
              <w:rPr>
                <w:sz w:val="20"/>
                <w:szCs w:val="20"/>
              </w:rPr>
              <w:t>‘</w:t>
            </w:r>
            <w:r w:rsidRPr="00F241FF">
              <w:rPr>
                <w:sz w:val="20"/>
                <w:szCs w:val="20"/>
              </w:rPr>
              <w:t xml:space="preserve"> </w:t>
            </w:r>
            <w:proofErr w:type="spellStart"/>
            <w:r w:rsidRPr="00F241FF">
              <w:rPr>
                <w:sz w:val="20"/>
                <w:szCs w:val="20"/>
              </w:rPr>
              <w:t>must</w:t>
            </w:r>
            <w:proofErr w:type="spellEnd"/>
            <w:r w:rsidRPr="00F241FF">
              <w:rPr>
                <w:sz w:val="20"/>
                <w:szCs w:val="20"/>
              </w:rPr>
              <w:t xml:space="preserve"> </w:t>
            </w:r>
            <w:proofErr w:type="spellStart"/>
            <w:r w:rsidRPr="00F241FF">
              <w:rPr>
                <w:sz w:val="20"/>
                <w:szCs w:val="20"/>
              </w:rPr>
              <w:t>be</w:t>
            </w:r>
            <w:proofErr w:type="spellEnd"/>
            <w:r w:rsidRPr="00F241FF">
              <w:rPr>
                <w:sz w:val="20"/>
                <w:szCs w:val="20"/>
              </w:rPr>
              <w:t xml:space="preserve"> </w:t>
            </w:r>
            <w:proofErr w:type="spellStart"/>
            <w:r w:rsidRPr="00F241FF">
              <w:rPr>
                <w:sz w:val="20"/>
                <w:szCs w:val="20"/>
              </w:rPr>
              <w:t>broad</w:t>
            </w:r>
            <w:proofErr w:type="spellEnd"/>
            <w:r w:rsidRPr="00F241FF">
              <w:rPr>
                <w:sz w:val="20"/>
                <w:szCs w:val="20"/>
              </w:rPr>
              <w:t xml:space="preserve"> </w:t>
            </w:r>
            <w:proofErr w:type="spellStart"/>
            <w:r w:rsidRPr="00F241FF">
              <w:rPr>
                <w:sz w:val="20"/>
                <w:szCs w:val="20"/>
              </w:rPr>
              <w:t>indeed</w:t>
            </w:r>
            <w:proofErr w:type="spellEnd"/>
            <w:r w:rsidRPr="00F241FF">
              <w:rPr>
                <w:sz w:val="20"/>
                <w:szCs w:val="20"/>
              </w:rPr>
              <w:t>“</w:t>
            </w:r>
            <w:r w:rsidRPr="00F241FF">
              <w:rPr>
                <w:sz w:val="20"/>
                <w:szCs w:val="20"/>
                <w:vertAlign w:val="superscript"/>
              </w:rPr>
              <w:footnoteReference w:id="2056"/>
            </w:r>
            <w:r w:rsidRPr="00F241FF">
              <w:rPr>
                <w:sz w:val="20"/>
                <w:szCs w:val="20"/>
              </w:rPr>
              <w:t xml:space="preserve">) –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 und XIV.</w:t>
            </w:r>
            <w:r w:rsidRPr="00F241FF">
              <w:rPr>
                <w:sz w:val="20"/>
                <w:szCs w:val="20"/>
              </w:rPr>
              <w:t xml:space="preserve"> Denn Freiheit diene dazu, die Vorrechte zu verwirklichen, die seit langem </w:t>
            </w:r>
            <w:r>
              <w:rPr>
                <w:sz w:val="20"/>
                <w:szCs w:val="20"/>
              </w:rPr>
              <w:t xml:space="preserve">als </w:t>
            </w:r>
            <w:r w:rsidRPr="00F241FF">
              <w:rPr>
                <w:sz w:val="20"/>
                <w:szCs w:val="20"/>
              </w:rPr>
              <w:t>unerlässlich für das geordnete Streben freier Menschen nach Glück anerkannt seien.</w:t>
            </w:r>
            <w:r w:rsidRPr="00F241FF">
              <w:rPr>
                <w:sz w:val="20"/>
                <w:szCs w:val="20"/>
                <w:vertAlign w:val="superscript"/>
              </w:rPr>
              <w:footnoteReference w:id="2057"/>
            </w:r>
            <w:r w:rsidRPr="00F241FF">
              <w:rPr>
                <w:sz w:val="20"/>
                <w:szCs w:val="20"/>
              </w:rPr>
              <w:t xml:space="preserve"> Darunter falle nach ständiger Rechtsprechung auch der individuelle und soziale Geltungsanspruch („</w:t>
            </w:r>
            <w:proofErr w:type="spellStart"/>
            <w:r w:rsidRPr="00F241FF">
              <w:rPr>
                <w:sz w:val="20"/>
                <w:szCs w:val="20"/>
              </w:rPr>
              <w:t>good</w:t>
            </w:r>
            <w:proofErr w:type="spellEnd"/>
            <w:r w:rsidRPr="00F241FF">
              <w:rPr>
                <w:sz w:val="20"/>
                <w:szCs w:val="20"/>
              </w:rPr>
              <w:t xml:space="preserve"> </w:t>
            </w:r>
            <w:proofErr w:type="spellStart"/>
            <w:r w:rsidRPr="00F241FF">
              <w:rPr>
                <w:sz w:val="20"/>
                <w:szCs w:val="20"/>
              </w:rPr>
              <w:t>name</w:t>
            </w:r>
            <w:proofErr w:type="spellEnd"/>
            <w:r w:rsidRPr="00F241FF">
              <w:rPr>
                <w:sz w:val="20"/>
                <w:szCs w:val="20"/>
              </w:rPr>
              <w:t xml:space="preserve"> and </w:t>
            </w:r>
            <w:proofErr w:type="spellStart"/>
            <w:r w:rsidRPr="00F241FF">
              <w:rPr>
                <w:sz w:val="20"/>
                <w:szCs w:val="20"/>
              </w:rPr>
              <w:t>reputation</w:t>
            </w:r>
            <w:proofErr w:type="spellEnd"/>
            <w:r w:rsidRPr="00F241FF">
              <w:rPr>
                <w:sz w:val="20"/>
                <w:szCs w:val="20"/>
              </w:rPr>
              <w:t xml:space="preserve"> </w:t>
            </w:r>
            <w:proofErr w:type="spellStart"/>
            <w:r w:rsidRPr="00F241FF">
              <w:rPr>
                <w:sz w:val="20"/>
                <w:szCs w:val="20"/>
              </w:rPr>
              <w:t>has</w:t>
            </w:r>
            <w:proofErr w:type="spellEnd"/>
            <w:r w:rsidRPr="00F241FF">
              <w:rPr>
                <w:sz w:val="20"/>
                <w:szCs w:val="20"/>
              </w:rPr>
              <w:t xml:space="preserve"> </w:t>
            </w:r>
            <w:proofErr w:type="spellStart"/>
            <w:r w:rsidRPr="00F241FF">
              <w:rPr>
                <w:sz w:val="20"/>
                <w:szCs w:val="20"/>
              </w:rPr>
              <w:t>been</w:t>
            </w:r>
            <w:proofErr w:type="spellEnd"/>
            <w:r w:rsidRPr="00F241FF">
              <w:rPr>
                <w:sz w:val="20"/>
                <w:szCs w:val="20"/>
              </w:rPr>
              <w:t xml:space="preserve"> </w:t>
            </w:r>
            <w:proofErr w:type="spellStart"/>
            <w:r w:rsidRPr="00F241FF">
              <w:rPr>
                <w:sz w:val="20"/>
                <w:szCs w:val="20"/>
              </w:rPr>
              <w:t>recognized</w:t>
            </w:r>
            <w:proofErr w:type="spellEnd"/>
            <w:r w:rsidRPr="00F241FF">
              <w:rPr>
                <w:sz w:val="20"/>
                <w:szCs w:val="20"/>
              </w:rPr>
              <w:t xml:space="preserve"> </w:t>
            </w:r>
            <w:proofErr w:type="spellStart"/>
            <w:r w:rsidRPr="00F241FF">
              <w:rPr>
                <w:sz w:val="20"/>
                <w:szCs w:val="20"/>
              </w:rPr>
              <w:t>repeatedly</w:t>
            </w:r>
            <w:proofErr w:type="spellEnd"/>
            <w:r w:rsidRPr="00F241FF">
              <w:rPr>
                <w:sz w:val="20"/>
                <w:szCs w:val="20"/>
              </w:rPr>
              <w:t xml:space="preserve"> in </w:t>
            </w:r>
            <w:proofErr w:type="spellStart"/>
            <w:r w:rsidRPr="00F241FF">
              <w:rPr>
                <w:sz w:val="20"/>
                <w:szCs w:val="20"/>
              </w:rPr>
              <w:t>our</w:t>
            </w:r>
            <w:proofErr w:type="spellEnd"/>
            <w:r w:rsidRPr="00F241FF">
              <w:rPr>
                <w:sz w:val="20"/>
                <w:szCs w:val="20"/>
              </w:rPr>
              <w:t xml:space="preserve"> </w:t>
            </w:r>
            <w:proofErr w:type="spellStart"/>
            <w:r w:rsidRPr="00F241FF">
              <w:rPr>
                <w:sz w:val="20"/>
                <w:szCs w:val="20"/>
              </w:rPr>
              <w:t>cases</w:t>
            </w:r>
            <w:proofErr w:type="spellEnd"/>
            <w:r w:rsidRPr="00F241FF">
              <w:rPr>
                <w:sz w:val="20"/>
                <w:szCs w:val="20"/>
              </w:rPr>
              <w:t>“</w:t>
            </w:r>
            <w:r w:rsidRPr="00F241FF">
              <w:rPr>
                <w:sz w:val="20"/>
                <w:szCs w:val="20"/>
                <w:vertAlign w:val="superscript"/>
              </w:rPr>
              <w:footnoteReference w:id="2058"/>
            </w:r>
            <w:r w:rsidRPr="00F241FF">
              <w:rPr>
                <w:sz w:val="20"/>
                <w:szCs w:val="20"/>
              </w:rPr>
              <w:t xml:space="preserve">). Dafür, dass der individuelle und soziale Geltungsanspruch unter den Schutzbereich des </w:t>
            </w:r>
            <w:proofErr w:type="spellStart"/>
            <w:r>
              <w:rPr>
                <w:sz w:val="20"/>
                <w:szCs w:val="20"/>
              </w:rPr>
              <w:t>Amd</w:t>
            </w:r>
            <w:proofErr w:type="spellEnd"/>
            <w:r>
              <w:rPr>
                <w:sz w:val="20"/>
                <w:szCs w:val="20"/>
              </w:rPr>
              <w:t>. </w:t>
            </w:r>
            <w:r w:rsidRPr="00F241FF">
              <w:rPr>
                <w:sz w:val="20"/>
                <w:szCs w:val="20"/>
              </w:rPr>
              <w:t xml:space="preserve">XIV falle und damit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F241FF">
              <w:rPr>
                <w:sz w:val="20"/>
                <w:szCs w:val="20"/>
              </w:rPr>
              <w:t xml:space="preserve"> auslöse, spräche auch: Mit einer falschen Fahndung bestehe ein Abzeichen der Infamie. Und ein solches habe erhebliche Konsequenzen, wie den Verlust des Führerscheins oder eine Schulverweisung. Damit </w:t>
            </w:r>
            <w:r>
              <w:rPr>
                <w:sz w:val="20"/>
                <w:szCs w:val="20"/>
              </w:rPr>
              <w:t>würden</w:t>
            </w:r>
            <w:r w:rsidRPr="00F241FF">
              <w:rPr>
                <w:sz w:val="20"/>
                <w:szCs w:val="20"/>
              </w:rPr>
              <w:t xml:space="preserve"> zugleich die Bedingungen für ein Glücksstreben ein</w:t>
            </w:r>
            <w:r>
              <w:rPr>
                <w:sz w:val="20"/>
                <w:szCs w:val="20"/>
              </w:rPr>
              <w:t>geschränkt</w:t>
            </w:r>
            <w:r w:rsidRPr="00F241FF">
              <w:rPr>
                <w:sz w:val="20"/>
                <w:szCs w:val="20"/>
              </w:rPr>
              <w:t xml:space="preserve"> („</w:t>
            </w:r>
            <w:proofErr w:type="spellStart"/>
            <w:r w:rsidRPr="00F241FF">
              <w:rPr>
                <w:sz w:val="20"/>
                <w:szCs w:val="20"/>
              </w:rPr>
              <w:t>serious</w:t>
            </w:r>
            <w:proofErr w:type="spellEnd"/>
            <w:r w:rsidRPr="00F241FF">
              <w:rPr>
                <w:sz w:val="20"/>
                <w:szCs w:val="20"/>
              </w:rPr>
              <w:t xml:space="preserve"> </w:t>
            </w:r>
            <w:proofErr w:type="spellStart"/>
            <w:r w:rsidRPr="00F241FF">
              <w:rPr>
                <w:sz w:val="20"/>
                <w:szCs w:val="20"/>
              </w:rPr>
              <w:t>consequences</w:t>
            </w:r>
            <w:proofErr w:type="spellEnd"/>
            <w:r w:rsidRPr="00F241FF">
              <w:rPr>
                <w:sz w:val="20"/>
                <w:szCs w:val="20"/>
              </w:rPr>
              <w:t xml:space="preserve"> in </w:t>
            </w:r>
            <w:proofErr w:type="spellStart"/>
            <w:r w:rsidRPr="00F241FF">
              <w:rPr>
                <w:sz w:val="20"/>
                <w:szCs w:val="20"/>
              </w:rPr>
              <w:t>its</w:t>
            </w:r>
            <w:proofErr w:type="spellEnd"/>
            <w:r w:rsidRPr="00F241FF">
              <w:rPr>
                <w:sz w:val="20"/>
                <w:szCs w:val="20"/>
              </w:rPr>
              <w:t xml:space="preserve"> </w:t>
            </w:r>
            <w:proofErr w:type="spellStart"/>
            <w:r w:rsidRPr="00F241FF">
              <w:rPr>
                <w:sz w:val="20"/>
                <w:szCs w:val="20"/>
              </w:rPr>
              <w:t>impact</w:t>
            </w:r>
            <w:proofErr w:type="spellEnd"/>
            <w:r w:rsidRPr="00F241FF">
              <w:rPr>
                <w:sz w:val="20"/>
                <w:szCs w:val="20"/>
              </w:rPr>
              <w:t xml:space="preserve"> on </w:t>
            </w:r>
            <w:r w:rsidRPr="00F241FF">
              <w:rPr>
                <w:sz w:val="20"/>
                <w:szCs w:val="20"/>
              </w:rPr>
              <w:lastRenderedPageBreak/>
              <w:t xml:space="preserve">[…] the </w:t>
            </w:r>
            <w:proofErr w:type="spellStart"/>
            <w:r w:rsidRPr="00F241FF">
              <w:rPr>
                <w:sz w:val="20"/>
                <w:szCs w:val="20"/>
              </w:rPr>
              <w:t>opportunities</w:t>
            </w:r>
            <w:proofErr w:type="spellEnd"/>
            <w:r w:rsidRPr="00F241FF">
              <w:rPr>
                <w:sz w:val="20"/>
                <w:szCs w:val="20"/>
              </w:rPr>
              <w:t xml:space="preserve"> open to </w:t>
            </w:r>
            <w:proofErr w:type="spellStart"/>
            <w:r w:rsidRPr="00F241FF">
              <w:rPr>
                <w:sz w:val="20"/>
                <w:szCs w:val="20"/>
              </w:rPr>
              <w:t>him</w:t>
            </w:r>
            <w:proofErr w:type="spellEnd"/>
            <w:r w:rsidRPr="00F241FF">
              <w:rPr>
                <w:sz w:val="20"/>
                <w:szCs w:val="20"/>
              </w:rPr>
              <w:t xml:space="preserve"> to </w:t>
            </w:r>
            <w:proofErr w:type="spellStart"/>
            <w:r w:rsidRPr="00F241FF">
              <w:rPr>
                <w:sz w:val="20"/>
                <w:szCs w:val="20"/>
              </w:rPr>
              <w:t>enjoy</w:t>
            </w:r>
            <w:proofErr w:type="spellEnd"/>
            <w:r w:rsidRPr="00F241FF">
              <w:rPr>
                <w:sz w:val="20"/>
                <w:szCs w:val="20"/>
              </w:rPr>
              <w:t xml:space="preserve"> […] the </w:t>
            </w:r>
            <w:proofErr w:type="spellStart"/>
            <w:r w:rsidRPr="00F241FF">
              <w:rPr>
                <w:sz w:val="20"/>
                <w:szCs w:val="20"/>
              </w:rPr>
              <w:t>pursuit</w:t>
            </w:r>
            <w:proofErr w:type="spellEnd"/>
            <w:r w:rsidRPr="00F241FF">
              <w:rPr>
                <w:sz w:val="20"/>
                <w:szCs w:val="20"/>
              </w:rPr>
              <w:t xml:space="preserve"> of </w:t>
            </w:r>
            <w:proofErr w:type="spellStart"/>
            <w:r w:rsidRPr="00F241FF">
              <w:rPr>
                <w:sz w:val="20"/>
                <w:szCs w:val="20"/>
              </w:rPr>
              <w:t>happiness</w:t>
            </w:r>
            <w:proofErr w:type="spellEnd"/>
            <w:r w:rsidRPr="00F241FF">
              <w:rPr>
                <w:sz w:val="20"/>
                <w:szCs w:val="20"/>
              </w:rPr>
              <w:t>“</w:t>
            </w:r>
            <w:r w:rsidRPr="00F241FF">
              <w:rPr>
                <w:sz w:val="20"/>
                <w:szCs w:val="20"/>
                <w:vertAlign w:val="superscript"/>
              </w:rPr>
              <w:footnoteReference w:id="2059"/>
            </w:r>
            <w:r w:rsidRPr="00F241FF">
              <w:rPr>
                <w:sz w:val="20"/>
                <w:szCs w:val="20"/>
              </w:rPr>
              <w:t xml:space="preserve">), was natürlicherweise dazu führen müsse, dass der individuelle und soziale Geltungsanspruch unter das Freiheitsinteresse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241FF">
              <w:rPr>
                <w:sz w:val="20"/>
                <w:szCs w:val="20"/>
              </w:rPr>
              <w:t xml:space="preserve"> fallen müsse („</w:t>
            </w:r>
            <w:proofErr w:type="spellStart"/>
            <w:r w:rsidRPr="00F241FF">
              <w:rPr>
                <w:sz w:val="20"/>
                <w:szCs w:val="20"/>
              </w:rPr>
              <w:t>good</w:t>
            </w:r>
            <w:proofErr w:type="spellEnd"/>
            <w:r w:rsidRPr="00F241FF">
              <w:rPr>
                <w:sz w:val="20"/>
                <w:szCs w:val="20"/>
              </w:rPr>
              <w:t xml:space="preserve"> </w:t>
            </w:r>
            <w:proofErr w:type="spellStart"/>
            <w:r w:rsidRPr="00F241FF">
              <w:rPr>
                <w:sz w:val="20"/>
                <w:szCs w:val="20"/>
              </w:rPr>
              <w:t>name</w:t>
            </w:r>
            <w:proofErr w:type="spellEnd"/>
            <w:r w:rsidRPr="00F241FF">
              <w:rPr>
                <w:sz w:val="20"/>
                <w:szCs w:val="20"/>
              </w:rPr>
              <w:t xml:space="preserve"> and </w:t>
            </w:r>
            <w:proofErr w:type="spellStart"/>
            <w:r w:rsidRPr="00F241FF">
              <w:rPr>
                <w:sz w:val="20"/>
                <w:szCs w:val="20"/>
              </w:rPr>
              <w:t>reputation</w:t>
            </w:r>
            <w:proofErr w:type="spellEnd"/>
            <w:r w:rsidRPr="00F241FF">
              <w:rPr>
                <w:sz w:val="20"/>
                <w:szCs w:val="20"/>
              </w:rPr>
              <w:t xml:space="preserve"> </w:t>
            </w:r>
            <w:proofErr w:type="spellStart"/>
            <w:r w:rsidRPr="00F241FF">
              <w:rPr>
                <w:sz w:val="20"/>
                <w:szCs w:val="20"/>
              </w:rPr>
              <w:t>is</w:t>
            </w:r>
            <w:proofErr w:type="spellEnd"/>
            <w:r w:rsidRPr="00F241FF">
              <w:rPr>
                <w:sz w:val="20"/>
                <w:szCs w:val="20"/>
              </w:rPr>
              <w:t xml:space="preserve"> </w:t>
            </w:r>
            <w:proofErr w:type="spellStart"/>
            <w:r w:rsidRPr="00F241FF">
              <w:rPr>
                <w:sz w:val="20"/>
                <w:szCs w:val="20"/>
              </w:rPr>
              <w:t>cognizable</w:t>
            </w:r>
            <w:proofErr w:type="spellEnd"/>
            <w:r w:rsidRPr="00F241FF">
              <w:rPr>
                <w:sz w:val="20"/>
                <w:szCs w:val="20"/>
              </w:rPr>
              <w:t xml:space="preserve"> as a ‚</w:t>
            </w:r>
            <w:proofErr w:type="spellStart"/>
            <w:r w:rsidRPr="00F241FF">
              <w:rPr>
                <w:sz w:val="20"/>
                <w:szCs w:val="20"/>
              </w:rPr>
              <w:t>liberty</w:t>
            </w:r>
            <w:proofErr w:type="spellEnd"/>
            <w:r>
              <w:rPr>
                <w:sz w:val="20"/>
                <w:szCs w:val="20"/>
              </w:rPr>
              <w:t>‘</w:t>
            </w:r>
            <w:r w:rsidRPr="00F241FF">
              <w:rPr>
                <w:sz w:val="20"/>
                <w:szCs w:val="20"/>
              </w:rPr>
              <w:t xml:space="preserve"> </w:t>
            </w:r>
            <w:proofErr w:type="spellStart"/>
            <w:r w:rsidRPr="00F241FF">
              <w:rPr>
                <w:sz w:val="20"/>
                <w:szCs w:val="20"/>
              </w:rPr>
              <w:t>interest</w:t>
            </w:r>
            <w:proofErr w:type="spellEnd"/>
            <w:r w:rsidRPr="00F241FF">
              <w:rPr>
                <w:sz w:val="20"/>
                <w:szCs w:val="20"/>
              </w:rPr>
              <w:t>“</w:t>
            </w:r>
            <w:r w:rsidRPr="00F241FF">
              <w:rPr>
                <w:sz w:val="20"/>
                <w:szCs w:val="20"/>
                <w:vertAlign w:val="superscript"/>
                <w:lang w:val="en-US"/>
              </w:rPr>
              <w:footnoteReference w:id="2060"/>
            </w:r>
            <w:r w:rsidRPr="00F241FF">
              <w:rPr>
                <w:sz w:val="20"/>
                <w:szCs w:val="20"/>
              </w:rPr>
              <w:t>), und den entsprechenden Verfahrensschutz auslösen müsse.</w:t>
            </w:r>
          </w:p>
        </w:tc>
      </w:tr>
      <w:tr w:rsidR="00074551" w:rsidRPr="00E50B51" w14:paraId="77BD5531" w14:textId="77777777" w:rsidTr="00BE689F">
        <w:trPr>
          <w:cantSplit/>
          <w:trHeight w:val="3175"/>
        </w:trPr>
        <w:tc>
          <w:tcPr>
            <w:tcW w:w="293" w:type="pct"/>
          </w:tcPr>
          <w:p w14:paraId="504ED8A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BD95DDE" w14:textId="77777777" w:rsidR="00074551" w:rsidRPr="00E50B51" w:rsidRDefault="00074551" w:rsidP="00367133">
            <w:pPr>
              <w:ind w:left="113" w:right="416"/>
              <w:jc w:val="both"/>
              <w:rPr>
                <w:sz w:val="20"/>
                <w:szCs w:val="20"/>
                <w:lang w:val="en-US"/>
              </w:rPr>
            </w:pPr>
            <w:r w:rsidRPr="009167A5">
              <w:rPr>
                <w:i/>
                <w:sz w:val="20"/>
                <w:szCs w:val="20"/>
              </w:rPr>
              <w:t xml:space="preserve">Washington v. </w:t>
            </w:r>
            <w:proofErr w:type="spellStart"/>
            <w:r w:rsidRPr="009167A5">
              <w:rPr>
                <w:i/>
                <w:sz w:val="20"/>
                <w:szCs w:val="20"/>
              </w:rPr>
              <w:t>Glucksberg</w:t>
            </w:r>
            <w:proofErr w:type="spellEnd"/>
          </w:p>
        </w:tc>
        <w:tc>
          <w:tcPr>
            <w:tcW w:w="197" w:type="pct"/>
            <w:textDirection w:val="tbRl"/>
            <w:vAlign w:val="center"/>
          </w:tcPr>
          <w:p w14:paraId="5CF3157E" w14:textId="77777777" w:rsidR="00074551" w:rsidRPr="00E50B51" w:rsidRDefault="00074551" w:rsidP="00367133">
            <w:pPr>
              <w:ind w:left="113" w:right="113"/>
              <w:jc w:val="both"/>
              <w:rPr>
                <w:iCs/>
                <w:sz w:val="20"/>
                <w:szCs w:val="20"/>
                <w:lang w:val="en-US"/>
              </w:rPr>
            </w:pPr>
            <w:r w:rsidRPr="00E50B51">
              <w:rPr>
                <w:sz w:val="20"/>
                <w:szCs w:val="20"/>
                <w:lang w:val="en-US"/>
              </w:rPr>
              <w:t>521 U.S. 702</w:t>
            </w:r>
          </w:p>
        </w:tc>
        <w:tc>
          <w:tcPr>
            <w:tcW w:w="306" w:type="pct"/>
            <w:textDirection w:val="tbRl"/>
            <w:vAlign w:val="center"/>
          </w:tcPr>
          <w:p w14:paraId="748C68BF" w14:textId="77777777" w:rsidR="00074551" w:rsidRPr="00E50B51" w:rsidRDefault="00074551" w:rsidP="00367133">
            <w:pPr>
              <w:ind w:left="113" w:right="113"/>
              <w:jc w:val="both"/>
              <w:rPr>
                <w:sz w:val="20"/>
                <w:szCs w:val="20"/>
              </w:rPr>
            </w:pPr>
            <w:r w:rsidRPr="00E50B51">
              <w:rPr>
                <w:sz w:val="20"/>
                <w:szCs w:val="20"/>
              </w:rPr>
              <w:t>26. Juni 1997</w:t>
            </w:r>
          </w:p>
        </w:tc>
        <w:tc>
          <w:tcPr>
            <w:tcW w:w="401" w:type="pct"/>
          </w:tcPr>
          <w:p w14:paraId="499B6FC2" w14:textId="77777777" w:rsidR="00074551" w:rsidRPr="00E50B51" w:rsidRDefault="00074551" w:rsidP="00367133">
            <w:pPr>
              <w:jc w:val="center"/>
              <w:rPr>
                <w:sz w:val="20"/>
                <w:szCs w:val="20"/>
              </w:rPr>
            </w:pPr>
            <w:r w:rsidRPr="00E50B51">
              <w:rPr>
                <w:sz w:val="20"/>
                <w:szCs w:val="20"/>
              </w:rPr>
              <w:t>C</w:t>
            </w:r>
          </w:p>
        </w:tc>
        <w:tc>
          <w:tcPr>
            <w:tcW w:w="1594" w:type="pct"/>
          </w:tcPr>
          <w:p w14:paraId="6B1B2F6E" w14:textId="77777777" w:rsidR="00074551" w:rsidRPr="00E50B51" w:rsidRDefault="00074551" w:rsidP="00367133">
            <w:pPr>
              <w:jc w:val="both"/>
              <w:rPr>
                <w:sz w:val="20"/>
                <w:szCs w:val="20"/>
              </w:rPr>
            </w:pPr>
            <w:r w:rsidRPr="00E50B51">
              <w:rPr>
                <w:sz w:val="20"/>
                <w:szCs w:val="20"/>
              </w:rPr>
              <w:t>*</w:t>
            </w:r>
          </w:p>
        </w:tc>
        <w:tc>
          <w:tcPr>
            <w:tcW w:w="1822" w:type="pct"/>
          </w:tcPr>
          <w:p w14:paraId="0CF77385" w14:textId="331F99AA" w:rsidR="00074551" w:rsidRDefault="00074551" w:rsidP="00367133">
            <w:pPr>
              <w:jc w:val="both"/>
              <w:rPr>
                <w:sz w:val="20"/>
                <w:szCs w:val="20"/>
              </w:rPr>
            </w:pPr>
            <w:r w:rsidRPr="00824D15">
              <w:rPr>
                <w:sz w:val="20"/>
                <w:szCs w:val="20"/>
              </w:rPr>
              <w:t xml:space="preserve">Grundrechte und Freiheitsinteressen, die in der Verfassungsgeschichte verwurzelt oder grundlegend für die Freiheit sind, bestimmen sich anhand der Bedingungen für Glücksstreben; diese lösen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824D15">
              <w:rPr>
                <w:sz w:val="20"/>
                <w:szCs w:val="20"/>
              </w:rPr>
              <w:t xml:space="preserve"> </w:t>
            </w:r>
            <w:r>
              <w:rPr>
                <w:sz w:val="20"/>
                <w:szCs w:val="20"/>
              </w:rPr>
              <w:t>von</w:t>
            </w:r>
            <w:r w:rsidRPr="00824D15">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24D15">
              <w:rPr>
                <w:sz w:val="20"/>
                <w:szCs w:val="20"/>
              </w:rPr>
              <w:t xml:space="preserve"> aus.</w:t>
            </w:r>
            <w:r>
              <w:rPr>
                <w:sz w:val="20"/>
                <w:szCs w:val="20"/>
              </w:rPr>
              <w:t xml:space="preserve"> </w:t>
            </w:r>
            <w:r w:rsidRPr="00824D15">
              <w:rPr>
                <w:sz w:val="20"/>
                <w:szCs w:val="20"/>
              </w:rPr>
              <w:t xml:space="preserve">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824D15">
              <w:rPr>
                <w:sz w:val="20"/>
                <w:szCs w:val="20"/>
              </w:rPr>
              <w:t xml:space="preserve"> </w:t>
            </w:r>
            <w:r>
              <w:rPr>
                <w:sz w:val="20"/>
                <w:szCs w:val="20"/>
              </w:rPr>
              <w:t>von</w:t>
            </w:r>
            <w:r w:rsidRPr="00824D15">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824D15">
              <w:rPr>
                <w:sz w:val="20"/>
                <w:szCs w:val="20"/>
              </w:rPr>
              <w:t xml:space="preserve"> garantiere mehr als nur ein rechtsstaatliches Verfahren und der Wortlaut Freiheit umfasse mehr als nur die Abwesenheit von körperlichem Zwang.</w:t>
            </w:r>
            <w:r w:rsidRPr="00824D15">
              <w:rPr>
                <w:sz w:val="20"/>
                <w:szCs w:val="20"/>
                <w:vertAlign w:val="superscript"/>
              </w:rPr>
              <w:footnoteReference w:id="2061"/>
            </w:r>
            <w:r w:rsidRPr="00824D15">
              <w:rPr>
                <w:sz w:val="20"/>
                <w:szCs w:val="20"/>
              </w:rPr>
              <w:t xml:space="preserve"> Daher biete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824D15">
              <w:rPr>
                <w:sz w:val="20"/>
                <w:szCs w:val="20"/>
              </w:rPr>
              <w:t xml:space="preserve"> auch einen verstärkten Schutz („</w:t>
            </w:r>
            <w:proofErr w:type="spellStart"/>
            <w:r w:rsidRPr="00824D15">
              <w:rPr>
                <w:sz w:val="20"/>
                <w:szCs w:val="20"/>
              </w:rPr>
              <w:t>heightened</w:t>
            </w:r>
            <w:proofErr w:type="spellEnd"/>
            <w:r w:rsidRPr="00824D15">
              <w:rPr>
                <w:sz w:val="20"/>
                <w:szCs w:val="20"/>
              </w:rPr>
              <w:t xml:space="preserve"> </w:t>
            </w:r>
            <w:proofErr w:type="spellStart"/>
            <w:r w:rsidRPr="00824D15">
              <w:rPr>
                <w:sz w:val="20"/>
                <w:szCs w:val="20"/>
              </w:rPr>
              <w:t>protection</w:t>
            </w:r>
            <w:proofErr w:type="spellEnd"/>
            <w:r w:rsidRPr="00824D15">
              <w:rPr>
                <w:sz w:val="20"/>
                <w:szCs w:val="20"/>
              </w:rPr>
              <w:t>“</w:t>
            </w:r>
            <w:r w:rsidRPr="00824D15">
              <w:rPr>
                <w:sz w:val="20"/>
                <w:szCs w:val="20"/>
                <w:vertAlign w:val="superscript"/>
              </w:rPr>
              <w:footnoteReference w:id="2062"/>
            </w:r>
            <w:r w:rsidRPr="00824D15">
              <w:rPr>
                <w:sz w:val="20"/>
                <w:szCs w:val="20"/>
              </w:rPr>
              <w:t>) vor staatlichen Eingriffen in weitere, über den Wortlaut hinaus zu bestimmende Grundrechte und Freiheitsinteressen („</w:t>
            </w:r>
            <w:proofErr w:type="spellStart"/>
            <w:r w:rsidRPr="00824D15">
              <w:rPr>
                <w:sz w:val="20"/>
                <w:szCs w:val="20"/>
              </w:rPr>
              <w:t>certain</w:t>
            </w:r>
            <w:proofErr w:type="spellEnd"/>
            <w:r w:rsidRPr="00824D15">
              <w:rPr>
                <w:sz w:val="20"/>
                <w:szCs w:val="20"/>
              </w:rPr>
              <w:t xml:space="preserve"> fundamental </w:t>
            </w:r>
            <w:proofErr w:type="spellStart"/>
            <w:r w:rsidRPr="00824D15">
              <w:rPr>
                <w:sz w:val="20"/>
                <w:szCs w:val="20"/>
              </w:rPr>
              <w:t>rights</w:t>
            </w:r>
            <w:proofErr w:type="spellEnd"/>
            <w:r w:rsidRPr="00824D15">
              <w:rPr>
                <w:sz w:val="20"/>
                <w:szCs w:val="20"/>
              </w:rPr>
              <w:t xml:space="preserve"> and </w:t>
            </w:r>
            <w:proofErr w:type="spellStart"/>
            <w:r w:rsidRPr="00824D15">
              <w:rPr>
                <w:sz w:val="20"/>
                <w:szCs w:val="20"/>
              </w:rPr>
              <w:t>liberty</w:t>
            </w:r>
            <w:proofErr w:type="spellEnd"/>
            <w:r w:rsidRPr="00824D15">
              <w:rPr>
                <w:sz w:val="20"/>
                <w:szCs w:val="20"/>
              </w:rPr>
              <w:t xml:space="preserve"> </w:t>
            </w:r>
            <w:proofErr w:type="spellStart"/>
            <w:r w:rsidRPr="00824D15">
              <w:rPr>
                <w:sz w:val="20"/>
                <w:szCs w:val="20"/>
              </w:rPr>
              <w:t>interests</w:t>
            </w:r>
            <w:proofErr w:type="spellEnd"/>
            <w:r w:rsidRPr="00824D15">
              <w:rPr>
                <w:sz w:val="20"/>
                <w:szCs w:val="20"/>
              </w:rPr>
              <w:t>“</w:t>
            </w:r>
            <w:r w:rsidRPr="00824D15">
              <w:rPr>
                <w:sz w:val="20"/>
                <w:szCs w:val="20"/>
                <w:vertAlign w:val="superscript"/>
              </w:rPr>
              <w:footnoteReference w:id="2063"/>
            </w:r>
            <w:r>
              <w:rPr>
                <w:sz w:val="20"/>
                <w:szCs w:val="20"/>
              </w:rPr>
              <w:t>,)</w:t>
            </w:r>
            <w:r w:rsidRPr="00824D15">
              <w:rPr>
                <w:sz w:val="20"/>
                <w:szCs w:val="20"/>
              </w:rPr>
              <w:t xml:space="preserve"> </w:t>
            </w:r>
            <w:r>
              <w:rPr>
                <w:sz w:val="20"/>
                <w:szCs w:val="20"/>
              </w:rPr>
              <w:t>z.B.</w:t>
            </w:r>
            <w:r w:rsidRPr="00824D15">
              <w:rPr>
                <w:sz w:val="20"/>
                <w:szCs w:val="20"/>
              </w:rPr>
              <w:t xml:space="preserve"> eine medizinisch notwendige Behandlung abbrechen zu können.</w:t>
            </w:r>
            <w:r w:rsidRPr="00824D15">
              <w:rPr>
                <w:sz w:val="20"/>
                <w:szCs w:val="20"/>
                <w:vertAlign w:val="superscript"/>
              </w:rPr>
              <w:footnoteReference w:id="2064"/>
            </w:r>
            <w:r w:rsidRPr="00824D15">
              <w:rPr>
                <w:sz w:val="20"/>
                <w:szCs w:val="20"/>
              </w:rPr>
              <w:t xml:space="preserve"> Doch wonach bestimmen sich diese Grundrechte und Freiheitsinteressen? Danach, wie sie sich in der Verfassungsgeschichte verwurzeln – oder wie grundlegend sie für die Freiheit sind. Für beides ist ein Anhaltspunkt, dass sie unerlässlich für ein geordnetes Streben nach Glück sind.</w:t>
            </w:r>
            <w:r w:rsidRPr="00824D15">
              <w:rPr>
                <w:sz w:val="20"/>
                <w:szCs w:val="20"/>
                <w:vertAlign w:val="superscript"/>
              </w:rPr>
              <w:footnoteReference w:id="2065"/>
            </w:r>
            <w:r w:rsidRPr="00824D15">
              <w:rPr>
                <w:sz w:val="20"/>
                <w:szCs w:val="20"/>
              </w:rPr>
              <w:t xml:space="preserve"> Der Staat </w:t>
            </w:r>
            <w:r>
              <w:rPr>
                <w:sz w:val="20"/>
                <w:szCs w:val="20"/>
              </w:rPr>
              <w:t>dürfe</w:t>
            </w:r>
            <w:r w:rsidRPr="00824D15">
              <w:rPr>
                <w:sz w:val="20"/>
                <w:szCs w:val="20"/>
              </w:rPr>
              <w:t xml:space="preserve"> in diese Grundrechte und Freiheitsinteressen grundsätzlich nicht eingreifen („</w:t>
            </w:r>
            <w:proofErr w:type="spellStart"/>
            <w:r w:rsidRPr="00824D15">
              <w:rPr>
                <w:sz w:val="20"/>
                <w:szCs w:val="20"/>
              </w:rPr>
              <w:t>cannot</w:t>
            </w:r>
            <w:proofErr w:type="spellEnd"/>
            <w:r w:rsidRPr="00824D15">
              <w:rPr>
                <w:sz w:val="20"/>
                <w:szCs w:val="20"/>
              </w:rPr>
              <w:t xml:space="preserve"> </w:t>
            </w:r>
            <w:proofErr w:type="spellStart"/>
            <w:r w:rsidRPr="00824D15">
              <w:rPr>
                <w:sz w:val="20"/>
                <w:szCs w:val="20"/>
              </w:rPr>
              <w:t>be</w:t>
            </w:r>
            <w:proofErr w:type="spellEnd"/>
            <w:r w:rsidRPr="00824D15">
              <w:rPr>
                <w:sz w:val="20"/>
                <w:szCs w:val="20"/>
              </w:rPr>
              <w:t xml:space="preserve"> </w:t>
            </w:r>
            <w:proofErr w:type="spellStart"/>
            <w:r w:rsidRPr="00824D15">
              <w:rPr>
                <w:sz w:val="20"/>
                <w:szCs w:val="20"/>
              </w:rPr>
              <w:t>infringed</w:t>
            </w:r>
            <w:proofErr w:type="spellEnd"/>
            <w:r w:rsidRPr="00824D15">
              <w:rPr>
                <w:sz w:val="20"/>
                <w:szCs w:val="20"/>
              </w:rPr>
              <w:t xml:space="preserve"> by the State“</w:t>
            </w:r>
            <w:r w:rsidRPr="00824D15">
              <w:rPr>
                <w:sz w:val="20"/>
                <w:szCs w:val="20"/>
                <w:vertAlign w:val="superscript"/>
              </w:rPr>
              <w:footnoteReference w:id="2066"/>
            </w:r>
            <w:r w:rsidRPr="00824D15">
              <w:rPr>
                <w:sz w:val="20"/>
                <w:szCs w:val="20"/>
              </w:rPr>
              <w:t xml:space="preserve">). Ein Beispiel dafür </w:t>
            </w:r>
            <w:r>
              <w:rPr>
                <w:sz w:val="20"/>
                <w:szCs w:val="20"/>
              </w:rPr>
              <w:t>sei die</w:t>
            </w:r>
            <w:r w:rsidRPr="00824D15">
              <w:rPr>
                <w:sz w:val="20"/>
                <w:szCs w:val="20"/>
              </w:rPr>
              <w:t xml:space="preserve"> Ehefreiheit. Indes</w:t>
            </w:r>
            <w:r>
              <w:rPr>
                <w:sz w:val="20"/>
                <w:szCs w:val="20"/>
              </w:rPr>
              <w:t xml:space="preserve"> </w:t>
            </w:r>
            <w:r w:rsidRPr="00824D15">
              <w:rPr>
                <w:sz w:val="20"/>
                <w:szCs w:val="20"/>
              </w:rPr>
              <w:t>falle die Entscheidung oder Beihilfe zur Selbsttötung nicht darunter. Sie k</w:t>
            </w:r>
            <w:r>
              <w:rPr>
                <w:sz w:val="20"/>
                <w:szCs w:val="20"/>
              </w:rPr>
              <w:t>ö</w:t>
            </w:r>
            <w:r w:rsidRPr="00824D15">
              <w:rPr>
                <w:sz w:val="20"/>
                <w:szCs w:val="20"/>
              </w:rPr>
              <w:t>nn</w:t>
            </w:r>
            <w:r>
              <w:rPr>
                <w:sz w:val="20"/>
                <w:szCs w:val="20"/>
              </w:rPr>
              <w:t>e</w:t>
            </w:r>
            <w:r w:rsidRPr="00824D15">
              <w:rPr>
                <w:sz w:val="20"/>
                <w:szCs w:val="20"/>
              </w:rPr>
              <w:t xml:space="preserve"> mit einem einfachen, legitimen staatlichen Interesse verboten werden.</w:t>
            </w:r>
            <w:r w:rsidRPr="00824D15">
              <w:rPr>
                <w:sz w:val="20"/>
                <w:szCs w:val="20"/>
                <w:vertAlign w:val="superscript"/>
              </w:rPr>
              <w:footnoteReference w:id="2067"/>
            </w:r>
          </w:p>
          <w:p w14:paraId="0C175FA8" w14:textId="77777777" w:rsidR="00074551" w:rsidRPr="00E50B51" w:rsidRDefault="00074551" w:rsidP="00367133">
            <w:pPr>
              <w:jc w:val="both"/>
              <w:rPr>
                <w:sz w:val="20"/>
                <w:szCs w:val="20"/>
              </w:rPr>
            </w:pPr>
          </w:p>
        </w:tc>
      </w:tr>
      <w:tr w:rsidR="00074551" w:rsidRPr="00E50B51" w14:paraId="6B1BA329" w14:textId="77777777" w:rsidTr="00BE689F">
        <w:trPr>
          <w:cantSplit/>
          <w:trHeight w:val="3175"/>
        </w:trPr>
        <w:tc>
          <w:tcPr>
            <w:tcW w:w="293" w:type="pct"/>
          </w:tcPr>
          <w:p w14:paraId="357A3C9A" w14:textId="77777777" w:rsidR="00074551" w:rsidRPr="00E50B51" w:rsidRDefault="00074551" w:rsidP="00367133">
            <w:pPr>
              <w:ind w:right="416"/>
              <w:jc w:val="center"/>
              <w:rPr>
                <w:sz w:val="20"/>
                <w:szCs w:val="20"/>
                <w:lang w:val="en-US" w:eastAsia="de-DE"/>
              </w:rPr>
            </w:pPr>
            <w:proofErr w:type="spellStart"/>
            <w:r w:rsidRPr="00E50B51">
              <w:rPr>
                <w:sz w:val="20"/>
                <w:szCs w:val="20"/>
              </w:rPr>
              <w:lastRenderedPageBreak/>
              <w:t>poH</w:t>
            </w:r>
            <w:proofErr w:type="spellEnd"/>
          </w:p>
        </w:tc>
        <w:tc>
          <w:tcPr>
            <w:tcW w:w="387" w:type="pct"/>
            <w:textDirection w:val="tbRl"/>
            <w:vAlign w:val="center"/>
          </w:tcPr>
          <w:p w14:paraId="2D73A6E7" w14:textId="77777777" w:rsidR="00074551" w:rsidRPr="00E50B51" w:rsidRDefault="00074551" w:rsidP="00367133">
            <w:pPr>
              <w:ind w:left="113" w:right="416"/>
              <w:jc w:val="both"/>
              <w:rPr>
                <w:sz w:val="20"/>
                <w:szCs w:val="20"/>
                <w:lang w:val="en-US"/>
              </w:rPr>
            </w:pPr>
            <w:r w:rsidRPr="009167A5">
              <w:rPr>
                <w:i/>
                <w:sz w:val="20"/>
                <w:szCs w:val="20"/>
                <w:lang w:val="en-US" w:eastAsia="de-DE"/>
              </w:rPr>
              <w:t>Yu Cong Eng v. Trinidad</w:t>
            </w:r>
          </w:p>
        </w:tc>
        <w:tc>
          <w:tcPr>
            <w:tcW w:w="197" w:type="pct"/>
            <w:textDirection w:val="tbRl"/>
            <w:vAlign w:val="center"/>
          </w:tcPr>
          <w:p w14:paraId="48D6C648" w14:textId="77777777" w:rsidR="00074551" w:rsidRPr="00E50B51" w:rsidRDefault="00074551" w:rsidP="00367133">
            <w:pPr>
              <w:ind w:left="113" w:right="113"/>
              <w:jc w:val="both"/>
              <w:rPr>
                <w:iCs/>
                <w:sz w:val="20"/>
                <w:szCs w:val="20"/>
              </w:rPr>
            </w:pPr>
            <w:r w:rsidRPr="00E50B51">
              <w:rPr>
                <w:sz w:val="20"/>
                <w:szCs w:val="20"/>
                <w:lang w:val="en-US"/>
              </w:rPr>
              <w:t>271 U.S. 500</w:t>
            </w:r>
          </w:p>
        </w:tc>
        <w:tc>
          <w:tcPr>
            <w:tcW w:w="306" w:type="pct"/>
            <w:textDirection w:val="tbRl"/>
            <w:vAlign w:val="center"/>
          </w:tcPr>
          <w:p w14:paraId="7281943E" w14:textId="77777777" w:rsidR="00074551" w:rsidRPr="00E50B51" w:rsidRDefault="00074551" w:rsidP="00367133">
            <w:pPr>
              <w:ind w:left="113" w:right="113"/>
              <w:jc w:val="both"/>
              <w:rPr>
                <w:sz w:val="20"/>
                <w:szCs w:val="20"/>
              </w:rPr>
            </w:pPr>
            <w:r w:rsidRPr="00E50B51">
              <w:rPr>
                <w:sz w:val="20"/>
                <w:szCs w:val="20"/>
              </w:rPr>
              <w:t>7. Juni 1926</w:t>
            </w:r>
          </w:p>
        </w:tc>
        <w:tc>
          <w:tcPr>
            <w:tcW w:w="401" w:type="pct"/>
          </w:tcPr>
          <w:p w14:paraId="7020F16D" w14:textId="77777777" w:rsidR="00074551" w:rsidRPr="00E50B51" w:rsidRDefault="00074551" w:rsidP="00367133">
            <w:pPr>
              <w:jc w:val="center"/>
              <w:rPr>
                <w:sz w:val="20"/>
                <w:szCs w:val="20"/>
              </w:rPr>
            </w:pPr>
            <w:r w:rsidRPr="00E50B51">
              <w:rPr>
                <w:sz w:val="20"/>
                <w:szCs w:val="20"/>
                <w:lang w:val="en-US"/>
              </w:rPr>
              <w:t>M</w:t>
            </w:r>
          </w:p>
        </w:tc>
        <w:tc>
          <w:tcPr>
            <w:tcW w:w="1594" w:type="pct"/>
          </w:tcPr>
          <w:p w14:paraId="3ADAD9CF" w14:textId="77777777" w:rsidR="00074551" w:rsidRPr="00E50B51" w:rsidRDefault="00074551" w:rsidP="00367133">
            <w:pPr>
              <w:jc w:val="both"/>
              <w:rPr>
                <w:sz w:val="20"/>
                <w:szCs w:val="20"/>
              </w:rPr>
            </w:pPr>
            <w:r w:rsidRPr="00E50B51">
              <w:rPr>
                <w:sz w:val="20"/>
                <w:szCs w:val="20"/>
              </w:rPr>
              <w:t>*</w:t>
            </w:r>
          </w:p>
        </w:tc>
        <w:tc>
          <w:tcPr>
            <w:tcW w:w="1822" w:type="pct"/>
          </w:tcPr>
          <w:p w14:paraId="78E2B3BC" w14:textId="77777777" w:rsidR="00074551" w:rsidRDefault="00074551" w:rsidP="00367133">
            <w:pPr>
              <w:rPr>
                <w:sz w:val="20"/>
                <w:szCs w:val="20"/>
              </w:rPr>
            </w:pPr>
            <w:r w:rsidRPr="005625DF">
              <w:rPr>
                <w:sz w:val="20"/>
                <w:szCs w:val="20"/>
              </w:rPr>
              <w:t xml:space="preserve">Ein Gesetz verstoße gegen ein rechtsstaatliches Verfahren, wenn es eine Handlung vorschreibe, die so unbestimmt </w:t>
            </w:r>
            <w:r>
              <w:rPr>
                <w:sz w:val="20"/>
                <w:szCs w:val="20"/>
              </w:rPr>
              <w:t>sei</w:t>
            </w:r>
            <w:r w:rsidRPr="005625DF">
              <w:rPr>
                <w:sz w:val="20"/>
                <w:szCs w:val="20"/>
              </w:rPr>
              <w:t>, dass Betroffene die Handlung erraten müss</w:t>
            </w:r>
            <w:r>
              <w:rPr>
                <w:sz w:val="20"/>
                <w:szCs w:val="20"/>
              </w:rPr>
              <w:t>t</w:t>
            </w:r>
            <w:r w:rsidRPr="005625DF">
              <w:rPr>
                <w:sz w:val="20"/>
                <w:szCs w:val="20"/>
              </w:rPr>
              <w:t>en.</w:t>
            </w:r>
            <w:r w:rsidRPr="005625DF">
              <w:rPr>
                <w:sz w:val="20"/>
                <w:szCs w:val="20"/>
                <w:vertAlign w:val="superscript"/>
              </w:rPr>
              <w:footnoteReference w:id="2068"/>
            </w:r>
            <w:r w:rsidRPr="005625DF">
              <w:rPr>
                <w:sz w:val="20"/>
                <w:szCs w:val="20"/>
              </w:rPr>
              <w:t xml:space="preserve"> Doch woher stammt diese Voraussetzung? Einerseits </w:t>
            </w:r>
            <w:r>
              <w:rPr>
                <w:sz w:val="20"/>
                <w:szCs w:val="20"/>
              </w:rPr>
              <w:t>dient</w:t>
            </w:r>
            <w:r w:rsidRPr="005625DF">
              <w:rPr>
                <w:sz w:val="20"/>
                <w:szCs w:val="20"/>
              </w:rPr>
              <w:t xml:space="preserve"> der Bestimmtheitsgrundsatz als Schutz gegenüber besonders strengen, strafrechtlichen Rechtsfolgen. Denn sie diffamieren und schränken im äußersten Fall mit der Haft sogar die Fortbewegungsfreiheit ein („</w:t>
            </w:r>
            <w:proofErr w:type="spellStart"/>
            <w:r w:rsidRPr="005625DF">
              <w:rPr>
                <w:sz w:val="20"/>
                <w:szCs w:val="20"/>
              </w:rPr>
              <w:t>One</w:t>
            </w:r>
            <w:proofErr w:type="spellEnd"/>
            <w:r w:rsidRPr="005625DF">
              <w:rPr>
                <w:sz w:val="20"/>
                <w:szCs w:val="20"/>
              </w:rPr>
              <w:t xml:space="preserve"> of</w:t>
            </w:r>
            <w:r>
              <w:rPr>
                <w:sz w:val="20"/>
                <w:szCs w:val="20"/>
              </w:rPr>
              <w:t xml:space="preserve"> t</w:t>
            </w:r>
            <w:r w:rsidRPr="005625DF">
              <w:rPr>
                <w:sz w:val="20"/>
                <w:szCs w:val="20"/>
              </w:rPr>
              <w:t xml:space="preserve">he </w:t>
            </w:r>
            <w:proofErr w:type="spellStart"/>
            <w:r w:rsidRPr="005625DF">
              <w:rPr>
                <w:sz w:val="20"/>
                <w:szCs w:val="20"/>
              </w:rPr>
              <w:t>strongest</w:t>
            </w:r>
            <w:proofErr w:type="spellEnd"/>
            <w:r w:rsidRPr="005625DF">
              <w:rPr>
                <w:sz w:val="20"/>
                <w:szCs w:val="20"/>
              </w:rPr>
              <w:t xml:space="preserve"> </w:t>
            </w:r>
            <w:proofErr w:type="spellStart"/>
            <w:r w:rsidRPr="005625DF">
              <w:rPr>
                <w:sz w:val="20"/>
                <w:szCs w:val="20"/>
              </w:rPr>
              <w:t>reasons</w:t>
            </w:r>
            <w:proofErr w:type="spellEnd"/>
            <w:r w:rsidRPr="005625DF">
              <w:rPr>
                <w:sz w:val="20"/>
                <w:szCs w:val="20"/>
              </w:rPr>
              <w:t xml:space="preserve"> for not </w:t>
            </w:r>
            <w:proofErr w:type="spellStart"/>
            <w:r w:rsidRPr="005625DF">
              <w:rPr>
                <w:sz w:val="20"/>
                <w:szCs w:val="20"/>
              </w:rPr>
              <w:t>making</w:t>
            </w:r>
            <w:proofErr w:type="spellEnd"/>
            <w:r w:rsidRPr="005625DF">
              <w:rPr>
                <w:sz w:val="20"/>
                <w:szCs w:val="20"/>
              </w:rPr>
              <w:t xml:space="preserve"> </w:t>
            </w:r>
            <w:proofErr w:type="spellStart"/>
            <w:r w:rsidRPr="005625DF">
              <w:rPr>
                <w:sz w:val="20"/>
                <w:szCs w:val="20"/>
              </w:rPr>
              <w:t>this</w:t>
            </w:r>
            <w:proofErr w:type="spellEnd"/>
            <w:r w:rsidRPr="005625DF">
              <w:rPr>
                <w:sz w:val="20"/>
                <w:szCs w:val="20"/>
              </w:rPr>
              <w:t xml:space="preserve"> </w:t>
            </w:r>
            <w:proofErr w:type="spellStart"/>
            <w:r w:rsidRPr="005625DF">
              <w:rPr>
                <w:sz w:val="20"/>
                <w:szCs w:val="20"/>
              </w:rPr>
              <w:t>law</w:t>
            </w:r>
            <w:proofErr w:type="spellEnd"/>
            <w:r w:rsidRPr="005625DF">
              <w:rPr>
                <w:sz w:val="20"/>
                <w:szCs w:val="20"/>
              </w:rPr>
              <w:t xml:space="preserve"> a </w:t>
            </w:r>
            <w:proofErr w:type="spellStart"/>
            <w:r w:rsidRPr="005625DF">
              <w:rPr>
                <w:sz w:val="20"/>
                <w:szCs w:val="20"/>
              </w:rPr>
              <w:t>nose</w:t>
            </w:r>
            <w:proofErr w:type="spellEnd"/>
            <w:r w:rsidRPr="005625DF">
              <w:rPr>
                <w:sz w:val="20"/>
                <w:szCs w:val="20"/>
              </w:rPr>
              <w:t xml:space="preserve"> of […] </w:t>
            </w:r>
            <w:proofErr w:type="spellStart"/>
            <w:r w:rsidRPr="005625DF">
              <w:rPr>
                <w:sz w:val="20"/>
                <w:szCs w:val="20"/>
              </w:rPr>
              <w:t>is</w:t>
            </w:r>
            <w:proofErr w:type="spellEnd"/>
            <w:r w:rsidRPr="005625DF">
              <w:rPr>
                <w:sz w:val="20"/>
                <w:szCs w:val="20"/>
              </w:rPr>
              <w:t xml:space="preserve"> […] </w:t>
            </w:r>
            <w:proofErr w:type="spellStart"/>
            <w:r w:rsidRPr="005625DF">
              <w:rPr>
                <w:sz w:val="20"/>
                <w:szCs w:val="20"/>
              </w:rPr>
              <w:t>that</w:t>
            </w:r>
            <w:proofErr w:type="spellEnd"/>
            <w:r w:rsidRPr="005625DF">
              <w:rPr>
                <w:sz w:val="20"/>
                <w:szCs w:val="20"/>
              </w:rPr>
              <w:t xml:space="preserve"> it </w:t>
            </w:r>
            <w:proofErr w:type="spellStart"/>
            <w:r w:rsidRPr="005625DF">
              <w:rPr>
                <w:sz w:val="20"/>
                <w:szCs w:val="20"/>
              </w:rPr>
              <w:t>is</w:t>
            </w:r>
            <w:proofErr w:type="spellEnd"/>
            <w:r w:rsidRPr="005625DF">
              <w:rPr>
                <w:sz w:val="20"/>
                <w:szCs w:val="20"/>
              </w:rPr>
              <w:t xml:space="preserve"> a </w:t>
            </w:r>
            <w:proofErr w:type="spellStart"/>
            <w:r w:rsidRPr="005625DF">
              <w:rPr>
                <w:sz w:val="20"/>
                <w:szCs w:val="20"/>
              </w:rPr>
              <w:t>highly</w:t>
            </w:r>
            <w:proofErr w:type="spellEnd"/>
            <w:r w:rsidRPr="005625DF">
              <w:rPr>
                <w:sz w:val="20"/>
                <w:szCs w:val="20"/>
              </w:rPr>
              <w:t xml:space="preserve"> </w:t>
            </w:r>
            <w:proofErr w:type="spellStart"/>
            <w:r w:rsidRPr="005625DF">
              <w:rPr>
                <w:sz w:val="20"/>
                <w:szCs w:val="20"/>
              </w:rPr>
              <w:t>penal</w:t>
            </w:r>
            <w:proofErr w:type="spellEnd"/>
            <w:r w:rsidRPr="005625DF">
              <w:rPr>
                <w:sz w:val="20"/>
                <w:szCs w:val="20"/>
              </w:rPr>
              <w:t xml:space="preserve"> </w:t>
            </w:r>
            <w:proofErr w:type="spellStart"/>
            <w:r w:rsidRPr="005625DF">
              <w:rPr>
                <w:sz w:val="20"/>
                <w:szCs w:val="20"/>
              </w:rPr>
              <w:t>statute</w:t>
            </w:r>
            <w:proofErr w:type="spellEnd"/>
            <w:r w:rsidRPr="005625DF">
              <w:rPr>
                <w:sz w:val="20"/>
                <w:szCs w:val="20"/>
              </w:rPr>
              <w:t xml:space="preserve"> </w:t>
            </w:r>
            <w:proofErr w:type="spellStart"/>
            <w:r w:rsidRPr="005625DF">
              <w:rPr>
                <w:sz w:val="20"/>
                <w:szCs w:val="20"/>
              </w:rPr>
              <w:t>authorizing</w:t>
            </w:r>
            <w:proofErr w:type="spellEnd"/>
            <w:r w:rsidRPr="005625DF">
              <w:rPr>
                <w:sz w:val="20"/>
                <w:szCs w:val="20"/>
              </w:rPr>
              <w:t xml:space="preserve"> </w:t>
            </w:r>
            <w:proofErr w:type="spellStart"/>
            <w:r w:rsidRPr="005625DF">
              <w:rPr>
                <w:sz w:val="20"/>
                <w:szCs w:val="20"/>
              </w:rPr>
              <w:t>sentence</w:t>
            </w:r>
            <w:proofErr w:type="spellEnd"/>
            <w:r w:rsidRPr="005625DF">
              <w:rPr>
                <w:sz w:val="20"/>
                <w:szCs w:val="20"/>
              </w:rPr>
              <w:t>“</w:t>
            </w:r>
            <w:r w:rsidRPr="005625DF">
              <w:rPr>
                <w:sz w:val="20"/>
                <w:szCs w:val="20"/>
                <w:vertAlign w:val="superscript"/>
              </w:rPr>
              <w:footnoteReference w:id="2069"/>
            </w:r>
            <w:r w:rsidRPr="005625DF">
              <w:rPr>
                <w:sz w:val="20"/>
                <w:szCs w:val="20"/>
              </w:rPr>
              <w:t>). Andererseits schränk</w:t>
            </w:r>
            <w:r>
              <w:rPr>
                <w:sz w:val="20"/>
                <w:szCs w:val="20"/>
              </w:rPr>
              <w:t>t</w:t>
            </w:r>
            <w:r w:rsidRPr="005625DF">
              <w:rPr>
                <w:sz w:val="20"/>
                <w:szCs w:val="20"/>
              </w:rPr>
              <w:t>en Verbote – </w:t>
            </w:r>
            <w:proofErr w:type="gramStart"/>
            <w:r>
              <w:rPr>
                <w:sz w:val="20"/>
                <w:szCs w:val="20"/>
              </w:rPr>
              <w:t>z.B.</w:t>
            </w:r>
            <w:proofErr w:type="gramEnd"/>
            <w:r w:rsidRPr="005625DF">
              <w:rPr>
                <w:sz w:val="20"/>
                <w:szCs w:val="20"/>
              </w:rPr>
              <w:t xml:space="preserve"> </w:t>
            </w:r>
            <w:r>
              <w:rPr>
                <w:sz w:val="20"/>
                <w:szCs w:val="20"/>
              </w:rPr>
              <w:t xml:space="preserve">dass </w:t>
            </w:r>
            <w:r w:rsidRPr="005625DF">
              <w:rPr>
                <w:sz w:val="20"/>
                <w:szCs w:val="20"/>
              </w:rPr>
              <w:t>ein Gesetz die Buchführung nur auf Englisch, Spanisch oder Tagalog</w:t>
            </w:r>
            <w:r>
              <w:rPr>
                <w:sz w:val="20"/>
                <w:szCs w:val="20"/>
              </w:rPr>
              <w:t xml:space="preserve"> </w:t>
            </w:r>
            <w:r w:rsidRPr="005625DF">
              <w:rPr>
                <w:sz w:val="20"/>
                <w:szCs w:val="20"/>
              </w:rPr>
              <w:t>erlaube, nicht jedoch in chinesischer Sprache (</w:t>
            </w:r>
            <w:r w:rsidRPr="5B67C1D2">
              <w:rPr>
                <w:i/>
                <w:iCs/>
                <w:sz w:val="20"/>
                <w:szCs w:val="20"/>
              </w:rPr>
              <w:t xml:space="preserve">Chinese </w:t>
            </w:r>
            <w:proofErr w:type="spellStart"/>
            <w:r w:rsidRPr="5B67C1D2">
              <w:rPr>
                <w:i/>
                <w:iCs/>
                <w:sz w:val="20"/>
                <w:szCs w:val="20"/>
              </w:rPr>
              <w:t>Bookkeeping</w:t>
            </w:r>
            <w:proofErr w:type="spellEnd"/>
            <w:r w:rsidRPr="5B67C1D2">
              <w:rPr>
                <w:i/>
                <w:iCs/>
                <w:sz w:val="20"/>
                <w:szCs w:val="20"/>
              </w:rPr>
              <w:t xml:space="preserve"> Act</w:t>
            </w:r>
            <w:r w:rsidRPr="005625DF">
              <w:rPr>
                <w:sz w:val="20"/>
                <w:szCs w:val="20"/>
              </w:rPr>
              <w:t xml:space="preserve">, Act </w:t>
            </w:r>
            <w:proofErr w:type="spellStart"/>
            <w:r w:rsidRPr="005625DF">
              <w:rPr>
                <w:sz w:val="20"/>
                <w:szCs w:val="20"/>
              </w:rPr>
              <w:t>No</w:t>
            </w:r>
            <w:proofErr w:type="spellEnd"/>
            <w:r w:rsidRPr="005625DF">
              <w:rPr>
                <w:sz w:val="20"/>
                <w:szCs w:val="20"/>
              </w:rPr>
              <w:t>. 2972</w:t>
            </w:r>
            <w:r w:rsidRPr="005625DF">
              <w:rPr>
                <w:sz w:val="20"/>
                <w:szCs w:val="20"/>
                <w:vertAlign w:val="superscript"/>
              </w:rPr>
              <w:footnoteReference w:id="2070"/>
            </w:r>
            <w:r w:rsidRPr="005625DF">
              <w:rPr>
                <w:sz w:val="20"/>
                <w:szCs w:val="20"/>
              </w:rPr>
              <w:t>) – die Bedingungen des Glücksstrebens ein („</w:t>
            </w:r>
            <w:proofErr w:type="spellStart"/>
            <w:r w:rsidRPr="005625DF">
              <w:rPr>
                <w:sz w:val="20"/>
                <w:szCs w:val="20"/>
              </w:rPr>
              <w:t>privileges</w:t>
            </w:r>
            <w:proofErr w:type="spellEnd"/>
            <w:r w:rsidRPr="005625DF">
              <w:rPr>
                <w:sz w:val="20"/>
                <w:szCs w:val="20"/>
              </w:rPr>
              <w:t xml:space="preserve"> </w:t>
            </w:r>
            <w:proofErr w:type="spellStart"/>
            <w:r w:rsidRPr="005625DF">
              <w:rPr>
                <w:sz w:val="20"/>
                <w:szCs w:val="20"/>
              </w:rPr>
              <w:t>long</w:t>
            </w:r>
            <w:proofErr w:type="spellEnd"/>
            <w:r w:rsidRPr="005625DF">
              <w:rPr>
                <w:sz w:val="20"/>
                <w:szCs w:val="20"/>
              </w:rPr>
              <w:t xml:space="preserve"> </w:t>
            </w:r>
            <w:proofErr w:type="spellStart"/>
            <w:r w:rsidRPr="005625DF">
              <w:rPr>
                <w:sz w:val="20"/>
                <w:szCs w:val="20"/>
              </w:rPr>
              <w:t>recognized</w:t>
            </w:r>
            <w:proofErr w:type="spellEnd"/>
            <w:r w:rsidRPr="005625DF">
              <w:rPr>
                <w:sz w:val="20"/>
                <w:szCs w:val="20"/>
              </w:rPr>
              <w:t xml:space="preserve"> at </w:t>
            </w:r>
            <w:proofErr w:type="spellStart"/>
            <w:r w:rsidRPr="005625DF">
              <w:rPr>
                <w:sz w:val="20"/>
                <w:szCs w:val="20"/>
              </w:rPr>
              <w:t>common</w:t>
            </w:r>
            <w:proofErr w:type="spellEnd"/>
            <w:r w:rsidRPr="005625DF">
              <w:rPr>
                <w:sz w:val="20"/>
                <w:szCs w:val="20"/>
              </w:rPr>
              <w:t xml:space="preserve"> </w:t>
            </w:r>
            <w:proofErr w:type="spellStart"/>
            <w:r w:rsidRPr="005625DF">
              <w:rPr>
                <w:sz w:val="20"/>
                <w:szCs w:val="20"/>
              </w:rPr>
              <w:t>law</w:t>
            </w:r>
            <w:proofErr w:type="spellEnd"/>
            <w:r w:rsidRPr="005625DF">
              <w:rPr>
                <w:sz w:val="20"/>
                <w:szCs w:val="20"/>
              </w:rPr>
              <w:t xml:space="preserve"> as essential to the </w:t>
            </w:r>
            <w:proofErr w:type="spellStart"/>
            <w:r w:rsidRPr="005625DF">
              <w:rPr>
                <w:sz w:val="20"/>
                <w:szCs w:val="20"/>
              </w:rPr>
              <w:t>orderly</w:t>
            </w:r>
            <w:proofErr w:type="spellEnd"/>
            <w:r w:rsidRPr="005625DF">
              <w:rPr>
                <w:sz w:val="20"/>
                <w:szCs w:val="20"/>
              </w:rPr>
              <w:t xml:space="preserve"> </w:t>
            </w:r>
            <w:proofErr w:type="spellStart"/>
            <w:r w:rsidRPr="005625DF">
              <w:rPr>
                <w:sz w:val="20"/>
                <w:szCs w:val="20"/>
              </w:rPr>
              <w:t>pursuit</w:t>
            </w:r>
            <w:proofErr w:type="spellEnd"/>
            <w:r w:rsidRPr="005625DF">
              <w:rPr>
                <w:sz w:val="20"/>
                <w:szCs w:val="20"/>
              </w:rPr>
              <w:t xml:space="preserve"> of </w:t>
            </w:r>
            <w:proofErr w:type="spellStart"/>
            <w:r w:rsidRPr="005625DF">
              <w:rPr>
                <w:sz w:val="20"/>
                <w:szCs w:val="20"/>
              </w:rPr>
              <w:t>happiness</w:t>
            </w:r>
            <w:proofErr w:type="spellEnd"/>
            <w:r w:rsidRPr="005625DF">
              <w:rPr>
                <w:sz w:val="20"/>
                <w:szCs w:val="20"/>
              </w:rPr>
              <w:t xml:space="preserve"> by </w:t>
            </w:r>
            <w:proofErr w:type="spellStart"/>
            <w:r w:rsidRPr="005625DF">
              <w:rPr>
                <w:sz w:val="20"/>
                <w:szCs w:val="20"/>
              </w:rPr>
              <w:t>free</w:t>
            </w:r>
            <w:proofErr w:type="spellEnd"/>
            <w:r w:rsidRPr="005625DF">
              <w:rPr>
                <w:sz w:val="20"/>
                <w:szCs w:val="20"/>
              </w:rPr>
              <w:t xml:space="preserve"> </w:t>
            </w:r>
            <w:proofErr w:type="spellStart"/>
            <w:r w:rsidRPr="005625DF">
              <w:rPr>
                <w:sz w:val="20"/>
                <w:szCs w:val="20"/>
              </w:rPr>
              <w:t>men</w:t>
            </w:r>
            <w:proofErr w:type="spellEnd"/>
            <w:r w:rsidRPr="005625DF">
              <w:rPr>
                <w:sz w:val="20"/>
                <w:szCs w:val="20"/>
              </w:rPr>
              <w:t>“</w:t>
            </w:r>
            <w:r>
              <w:rPr>
                <w:rStyle w:val="Funotenzeichen"/>
                <w:sz w:val="20"/>
                <w:szCs w:val="20"/>
              </w:rPr>
              <w:footnoteReference w:id="2071"/>
            </w:r>
            <w:r w:rsidRPr="005625DF">
              <w:rPr>
                <w:sz w:val="20"/>
                <w:szCs w:val="20"/>
              </w:rPr>
              <w:t>). Jene könn</w:t>
            </w:r>
            <w:r>
              <w:rPr>
                <w:sz w:val="20"/>
                <w:szCs w:val="20"/>
              </w:rPr>
              <w:t>t</w:t>
            </w:r>
            <w:r w:rsidRPr="005625DF">
              <w:rPr>
                <w:sz w:val="20"/>
                <w:szCs w:val="20"/>
              </w:rPr>
              <w:t>en staatliche Maßnahme aber nur unter besonders strengen Anforderungen an ein rechtsstaatliches Verfahren einschränken („</w:t>
            </w:r>
            <w:proofErr w:type="spellStart"/>
            <w:r w:rsidRPr="005625DF">
              <w:rPr>
                <w:sz w:val="20"/>
                <w:szCs w:val="20"/>
              </w:rPr>
              <w:t>involve</w:t>
            </w:r>
            <w:proofErr w:type="spellEnd"/>
            <w:r w:rsidRPr="005625DF">
              <w:rPr>
                <w:sz w:val="20"/>
                <w:szCs w:val="20"/>
              </w:rPr>
              <w:t xml:space="preserve"> a lack of due </w:t>
            </w:r>
            <w:proofErr w:type="spellStart"/>
            <w:r w:rsidRPr="005625DF">
              <w:rPr>
                <w:sz w:val="20"/>
                <w:szCs w:val="20"/>
              </w:rPr>
              <w:t>process</w:t>
            </w:r>
            <w:proofErr w:type="spellEnd"/>
            <w:r w:rsidRPr="005625DF">
              <w:rPr>
                <w:sz w:val="20"/>
                <w:szCs w:val="20"/>
              </w:rPr>
              <w:t>“</w:t>
            </w:r>
            <w:r w:rsidRPr="005625DF">
              <w:rPr>
                <w:sz w:val="20"/>
                <w:szCs w:val="20"/>
                <w:vertAlign w:val="superscript"/>
              </w:rPr>
              <w:footnoteReference w:id="2072"/>
            </w:r>
            <w:r w:rsidRPr="005625DF">
              <w:rPr>
                <w:sz w:val="20"/>
                <w:szCs w:val="20"/>
              </w:rPr>
              <w:t xml:space="preserve">). Ein solches müsse bestehen, aber </w:t>
            </w:r>
            <w:r>
              <w:rPr>
                <w:sz w:val="20"/>
                <w:szCs w:val="20"/>
              </w:rPr>
              <w:t xml:space="preserve">es </w:t>
            </w:r>
            <w:r w:rsidRPr="005625DF">
              <w:rPr>
                <w:sz w:val="20"/>
                <w:szCs w:val="20"/>
              </w:rPr>
              <w:t xml:space="preserve">fehle </w:t>
            </w:r>
            <w:r>
              <w:rPr>
                <w:sz w:val="20"/>
                <w:szCs w:val="20"/>
              </w:rPr>
              <w:t>z.B.</w:t>
            </w:r>
            <w:r w:rsidRPr="005625DF">
              <w:rPr>
                <w:sz w:val="20"/>
                <w:szCs w:val="20"/>
              </w:rPr>
              <w:t xml:space="preserve"> beim</w:t>
            </w:r>
            <w:r>
              <w:rPr>
                <w:sz w:val="20"/>
                <w:szCs w:val="20"/>
              </w:rPr>
              <w:t xml:space="preserve"> </w:t>
            </w:r>
            <w:bookmarkStart w:id="78" w:name="_Hlk227770124"/>
            <w:r w:rsidRPr="5B67C1D2">
              <w:rPr>
                <w:i/>
                <w:iCs/>
                <w:sz w:val="20"/>
                <w:szCs w:val="20"/>
              </w:rPr>
              <w:t xml:space="preserve">Chinese </w:t>
            </w:r>
            <w:proofErr w:type="spellStart"/>
            <w:r w:rsidRPr="5B67C1D2">
              <w:rPr>
                <w:i/>
                <w:iCs/>
                <w:sz w:val="20"/>
                <w:szCs w:val="20"/>
              </w:rPr>
              <w:t>Bookkeeping</w:t>
            </w:r>
            <w:proofErr w:type="spellEnd"/>
            <w:r w:rsidRPr="5B67C1D2">
              <w:rPr>
                <w:i/>
                <w:iCs/>
                <w:sz w:val="20"/>
                <w:szCs w:val="20"/>
              </w:rPr>
              <w:t xml:space="preserve"> Act</w:t>
            </w:r>
            <w:bookmarkEnd w:id="78"/>
            <w:r>
              <w:rPr>
                <w:sz w:val="20"/>
                <w:szCs w:val="20"/>
              </w:rPr>
              <w:t xml:space="preserve">. </w:t>
            </w:r>
          </w:p>
          <w:p w14:paraId="2C1635D3" w14:textId="77777777" w:rsidR="00074551" w:rsidRPr="00E50B51" w:rsidRDefault="00074551" w:rsidP="00367133">
            <w:pPr>
              <w:rPr>
                <w:sz w:val="20"/>
                <w:szCs w:val="20"/>
              </w:rPr>
            </w:pPr>
          </w:p>
        </w:tc>
      </w:tr>
      <w:tr w:rsidR="00074551" w:rsidRPr="00E50B51" w14:paraId="57D8B187" w14:textId="77777777" w:rsidTr="00BE689F">
        <w:trPr>
          <w:cantSplit/>
          <w:trHeight w:val="3175"/>
        </w:trPr>
        <w:tc>
          <w:tcPr>
            <w:tcW w:w="293" w:type="pct"/>
          </w:tcPr>
          <w:p w14:paraId="1E4F4EFD"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395F362" w14:textId="77777777" w:rsidR="00074551" w:rsidRPr="00E50B51" w:rsidRDefault="00074551" w:rsidP="00367133">
            <w:pPr>
              <w:ind w:left="113" w:right="416"/>
              <w:jc w:val="both"/>
              <w:rPr>
                <w:sz w:val="20"/>
                <w:szCs w:val="20"/>
                <w:lang w:val="en-US"/>
              </w:rPr>
            </w:pPr>
            <w:r w:rsidRPr="009E57E1">
              <w:rPr>
                <w:i/>
                <w:sz w:val="20"/>
                <w:szCs w:val="20"/>
                <w:lang w:val="en-US"/>
              </w:rPr>
              <w:t>Bd. of Regents of State Colleges v. Roth</w:t>
            </w:r>
          </w:p>
        </w:tc>
        <w:tc>
          <w:tcPr>
            <w:tcW w:w="197" w:type="pct"/>
            <w:textDirection w:val="tbRl"/>
            <w:vAlign w:val="center"/>
          </w:tcPr>
          <w:p w14:paraId="0AA6EEA4" w14:textId="77777777" w:rsidR="00074551" w:rsidRPr="00E50B51" w:rsidRDefault="00074551" w:rsidP="00367133">
            <w:pPr>
              <w:ind w:left="113" w:right="113"/>
              <w:jc w:val="both"/>
              <w:rPr>
                <w:iCs/>
                <w:sz w:val="20"/>
                <w:szCs w:val="20"/>
              </w:rPr>
            </w:pPr>
            <w:r w:rsidRPr="00E50B51">
              <w:rPr>
                <w:sz w:val="20"/>
                <w:szCs w:val="20"/>
                <w:lang w:val="en-US"/>
              </w:rPr>
              <w:t>408 U.S. 564</w:t>
            </w:r>
          </w:p>
        </w:tc>
        <w:tc>
          <w:tcPr>
            <w:tcW w:w="306" w:type="pct"/>
            <w:textDirection w:val="tbRl"/>
            <w:vAlign w:val="center"/>
          </w:tcPr>
          <w:p w14:paraId="411DBC9B" w14:textId="77777777" w:rsidR="00074551" w:rsidRPr="00E50B51" w:rsidRDefault="00074551" w:rsidP="00367133">
            <w:pPr>
              <w:ind w:left="113" w:right="113"/>
              <w:jc w:val="both"/>
              <w:rPr>
                <w:sz w:val="20"/>
                <w:szCs w:val="20"/>
              </w:rPr>
            </w:pPr>
            <w:r w:rsidRPr="00E50B51">
              <w:rPr>
                <w:sz w:val="20"/>
                <w:szCs w:val="20"/>
                <w:lang w:val="en-US"/>
              </w:rPr>
              <w:t>19. Juni 1972</w:t>
            </w:r>
          </w:p>
        </w:tc>
        <w:tc>
          <w:tcPr>
            <w:tcW w:w="401" w:type="pct"/>
          </w:tcPr>
          <w:p w14:paraId="2CD95489"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288CD786" w14:textId="77777777" w:rsidR="00074551" w:rsidRPr="00E50B51" w:rsidRDefault="00074551" w:rsidP="00367133">
            <w:pPr>
              <w:jc w:val="both"/>
              <w:rPr>
                <w:sz w:val="20"/>
                <w:szCs w:val="20"/>
              </w:rPr>
            </w:pPr>
            <w:r w:rsidRPr="00E50B51">
              <w:rPr>
                <w:sz w:val="20"/>
                <w:szCs w:val="20"/>
              </w:rPr>
              <w:t>*</w:t>
            </w:r>
          </w:p>
        </w:tc>
        <w:tc>
          <w:tcPr>
            <w:tcW w:w="1822" w:type="pct"/>
          </w:tcPr>
          <w:p w14:paraId="3E34FBA8" w14:textId="44B92330" w:rsidR="00074551" w:rsidRDefault="00074551" w:rsidP="00367133">
            <w:pPr>
              <w:jc w:val="both"/>
              <w:rPr>
                <w:sz w:val="20"/>
                <w:szCs w:val="20"/>
                <w:vertAlign w:val="superscript"/>
              </w:rPr>
            </w:pPr>
            <w:r w:rsidRPr="005625DF">
              <w:rPr>
                <w:sz w:val="20"/>
                <w:szCs w:val="20"/>
              </w:rPr>
              <w:t xml:space="preserve">Wenn staatliche Maßnahmen Interessen entziehen, die der Freiheit oder dem Eigentum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5625DF">
              <w:rPr>
                <w:sz w:val="20"/>
                <w:szCs w:val="20"/>
              </w:rPr>
              <w:t xml:space="preserve"> unterfallen, dann müsse der Entzug ein rechtsstaatliches Verfahren einhalten, wobei dem Recht auf vorherige Anhörung gehobene Bedeutung zukomme.</w:t>
            </w:r>
            <w:r w:rsidRPr="005625DF">
              <w:rPr>
                <w:sz w:val="20"/>
                <w:szCs w:val="20"/>
                <w:vertAlign w:val="superscript"/>
              </w:rPr>
              <w:footnoteReference w:id="2073"/>
            </w:r>
            <w:r w:rsidRPr="005625DF">
              <w:rPr>
                <w:sz w:val="20"/>
                <w:szCs w:val="20"/>
              </w:rPr>
              <w:t xml:space="preserve"> </w:t>
            </w:r>
            <w:r w:rsidRPr="005625DF">
              <w:rPr>
                <w:sz w:val="20"/>
                <w:szCs w:val="20"/>
                <w:lang w:val="en-US"/>
              </w:rPr>
              <w:t xml:space="preserve">Die </w:t>
            </w:r>
            <w:proofErr w:type="spellStart"/>
            <w:r w:rsidRPr="005625DF">
              <w:rPr>
                <w:sz w:val="20"/>
                <w:szCs w:val="20"/>
                <w:lang w:val="en-US"/>
              </w:rPr>
              <w:t>Interessenskonturen</w:t>
            </w:r>
            <w:proofErr w:type="spellEnd"/>
            <w:r w:rsidRPr="005625DF">
              <w:rPr>
                <w:sz w:val="20"/>
                <w:szCs w:val="20"/>
                <w:lang w:val="en-US"/>
              </w:rPr>
              <w:t xml:space="preserve"> der Freiheit </w:t>
            </w:r>
            <w:proofErr w:type="spellStart"/>
            <w:r w:rsidRPr="005625DF">
              <w:rPr>
                <w:sz w:val="20"/>
                <w:szCs w:val="20"/>
                <w:lang w:val="en-US"/>
              </w:rPr>
              <w:t>bestimm</w:t>
            </w:r>
            <w:r>
              <w:rPr>
                <w:sz w:val="20"/>
                <w:szCs w:val="20"/>
                <w:lang w:val="en-US"/>
              </w:rPr>
              <w:t>t</w:t>
            </w:r>
            <w:r w:rsidRPr="005625DF">
              <w:rPr>
                <w:sz w:val="20"/>
                <w:szCs w:val="20"/>
                <w:lang w:val="en-US"/>
              </w:rPr>
              <w:t>en</w:t>
            </w:r>
            <w:proofErr w:type="spellEnd"/>
            <w:r w:rsidRPr="005625DF">
              <w:rPr>
                <w:sz w:val="20"/>
                <w:szCs w:val="20"/>
                <w:lang w:val="en-US"/>
              </w:rPr>
              <w:t xml:space="preserve"> </w:t>
            </w:r>
            <w:proofErr w:type="spellStart"/>
            <w:r w:rsidRPr="005625DF">
              <w:rPr>
                <w:sz w:val="20"/>
                <w:szCs w:val="20"/>
                <w:lang w:val="en-US"/>
              </w:rPr>
              <w:t>sich</w:t>
            </w:r>
            <w:proofErr w:type="spellEnd"/>
            <w:r w:rsidRPr="005625DF">
              <w:rPr>
                <w:sz w:val="20"/>
                <w:szCs w:val="20"/>
                <w:lang w:val="en-US"/>
              </w:rPr>
              <w:t xml:space="preserve"> </w:t>
            </w:r>
            <w:proofErr w:type="spellStart"/>
            <w:r>
              <w:rPr>
                <w:sz w:val="20"/>
                <w:szCs w:val="20"/>
                <w:lang w:val="en-US"/>
              </w:rPr>
              <w:t>u.a.</w:t>
            </w:r>
            <w:proofErr w:type="spellEnd"/>
            <w:r w:rsidRPr="005625DF">
              <w:rPr>
                <w:sz w:val="20"/>
                <w:szCs w:val="20"/>
                <w:lang w:val="en-US"/>
              </w:rPr>
              <w:t xml:space="preserve"> </w:t>
            </w:r>
            <w:proofErr w:type="spellStart"/>
            <w:r w:rsidRPr="005625DF">
              <w:rPr>
                <w:sz w:val="20"/>
                <w:szCs w:val="20"/>
                <w:lang w:val="en-US"/>
              </w:rPr>
              <w:t>daran</w:t>
            </w:r>
            <w:proofErr w:type="spellEnd"/>
            <w:r w:rsidRPr="005625DF">
              <w:rPr>
                <w:sz w:val="20"/>
                <w:szCs w:val="20"/>
                <w:lang w:val="en-US"/>
              </w:rPr>
              <w:t xml:space="preserve">, </w:t>
            </w:r>
            <w:proofErr w:type="spellStart"/>
            <w:r w:rsidRPr="005625DF">
              <w:rPr>
                <w:sz w:val="20"/>
                <w:szCs w:val="20"/>
                <w:lang w:val="en-US"/>
              </w:rPr>
              <w:t>wie</w:t>
            </w:r>
            <w:proofErr w:type="spellEnd"/>
            <w:r w:rsidRPr="005625DF">
              <w:rPr>
                <w:sz w:val="20"/>
                <w:szCs w:val="20"/>
                <w:lang w:val="en-US"/>
              </w:rPr>
              <w:t xml:space="preserve"> </w:t>
            </w:r>
            <w:proofErr w:type="spellStart"/>
            <w:r w:rsidRPr="005625DF">
              <w:rPr>
                <w:sz w:val="20"/>
                <w:szCs w:val="20"/>
                <w:lang w:val="en-US"/>
              </w:rPr>
              <w:t>weit</w:t>
            </w:r>
            <w:proofErr w:type="spellEnd"/>
            <w:r w:rsidRPr="005625DF">
              <w:rPr>
                <w:sz w:val="20"/>
                <w:szCs w:val="20"/>
                <w:lang w:val="en-US"/>
              </w:rPr>
              <w:t xml:space="preserve"> </w:t>
            </w:r>
            <w:proofErr w:type="spellStart"/>
            <w:r w:rsidRPr="005625DF">
              <w:rPr>
                <w:sz w:val="20"/>
                <w:szCs w:val="20"/>
                <w:lang w:val="en-US"/>
              </w:rPr>
              <w:t>sie</w:t>
            </w:r>
            <w:proofErr w:type="spellEnd"/>
            <w:r w:rsidRPr="005625DF">
              <w:rPr>
                <w:sz w:val="20"/>
                <w:szCs w:val="20"/>
                <w:lang w:val="en-US"/>
              </w:rPr>
              <w:t xml:space="preserve"> den </w:t>
            </w:r>
            <w:proofErr w:type="spellStart"/>
            <w:r w:rsidRPr="005625DF">
              <w:rPr>
                <w:sz w:val="20"/>
                <w:szCs w:val="20"/>
                <w:lang w:val="en-US"/>
              </w:rPr>
              <w:t>Bedingungen</w:t>
            </w:r>
            <w:proofErr w:type="spellEnd"/>
            <w:r w:rsidRPr="005625DF">
              <w:rPr>
                <w:sz w:val="20"/>
                <w:szCs w:val="20"/>
                <w:lang w:val="en-US"/>
              </w:rPr>
              <w:t xml:space="preserve"> für </w:t>
            </w:r>
            <w:proofErr w:type="spellStart"/>
            <w:r w:rsidRPr="005625DF">
              <w:rPr>
                <w:sz w:val="20"/>
                <w:szCs w:val="20"/>
                <w:lang w:val="en-US"/>
              </w:rPr>
              <w:t>ein</w:t>
            </w:r>
            <w:proofErr w:type="spellEnd"/>
            <w:r w:rsidRPr="005625DF">
              <w:rPr>
                <w:sz w:val="20"/>
                <w:szCs w:val="20"/>
                <w:lang w:val="en-US"/>
              </w:rPr>
              <w:t xml:space="preserve"> </w:t>
            </w:r>
            <w:proofErr w:type="spellStart"/>
            <w:r w:rsidRPr="005625DF">
              <w:rPr>
                <w:sz w:val="20"/>
                <w:szCs w:val="20"/>
                <w:lang w:val="en-US"/>
              </w:rPr>
              <w:t>Glücksstreben</w:t>
            </w:r>
            <w:proofErr w:type="spellEnd"/>
            <w:r w:rsidRPr="005625DF">
              <w:rPr>
                <w:sz w:val="20"/>
                <w:szCs w:val="20"/>
                <w:lang w:val="en-US"/>
              </w:rPr>
              <w:t xml:space="preserve"> </w:t>
            </w:r>
            <w:proofErr w:type="spellStart"/>
            <w:r w:rsidRPr="005625DF">
              <w:rPr>
                <w:sz w:val="20"/>
                <w:szCs w:val="20"/>
                <w:lang w:val="en-US"/>
              </w:rPr>
              <w:t>dien</w:t>
            </w:r>
            <w:r>
              <w:rPr>
                <w:sz w:val="20"/>
                <w:szCs w:val="20"/>
                <w:lang w:val="en-US"/>
              </w:rPr>
              <w:t>t</w:t>
            </w:r>
            <w:r w:rsidRPr="005625DF">
              <w:rPr>
                <w:sz w:val="20"/>
                <w:szCs w:val="20"/>
                <w:lang w:val="en-US"/>
              </w:rPr>
              <w:t>en</w:t>
            </w:r>
            <w:proofErr w:type="spellEnd"/>
            <w:r w:rsidRPr="005625DF">
              <w:rPr>
                <w:sz w:val="20"/>
                <w:szCs w:val="20"/>
                <w:lang w:val="en-US"/>
              </w:rPr>
              <w:t xml:space="preserve"> („While this Court has not attempted to define with exactness the liberty </w:t>
            </w:r>
            <w:r>
              <w:rPr>
                <w:sz w:val="20"/>
                <w:szCs w:val="20"/>
                <w:lang w:val="en-US"/>
              </w:rPr>
              <w:t>…</w:t>
            </w:r>
            <w:r w:rsidRPr="005625DF">
              <w:rPr>
                <w:sz w:val="20"/>
                <w:szCs w:val="20"/>
                <w:lang w:val="en-US"/>
              </w:rPr>
              <w:t xml:space="preserve"> guaranteed […], the term [</w:t>
            </w:r>
            <w:r>
              <w:rPr>
                <w:sz w:val="20"/>
                <w:szCs w:val="20"/>
                <w:lang w:val="en-US"/>
              </w:rPr>
              <w:t>denotes</w:t>
            </w:r>
            <w:r w:rsidRPr="005625DF">
              <w:rPr>
                <w:sz w:val="20"/>
                <w:szCs w:val="20"/>
                <w:lang w:val="en-US"/>
              </w:rPr>
              <w:t xml:space="preserve">] </w:t>
            </w:r>
            <w:r>
              <w:rPr>
                <w:sz w:val="20"/>
                <w:szCs w:val="20"/>
                <w:lang w:val="en-US"/>
              </w:rPr>
              <w:t xml:space="preserve">also the right of the individual […] </w:t>
            </w:r>
            <w:r w:rsidRPr="005625DF">
              <w:rPr>
                <w:sz w:val="20"/>
                <w:szCs w:val="20"/>
                <w:lang w:val="en-US"/>
              </w:rPr>
              <w:t>generally to enjoy those privileges long recognized … as essential to the orderly pursuit of happiness by free men.“</w:t>
            </w:r>
            <w:r w:rsidRPr="005625DF">
              <w:rPr>
                <w:sz w:val="20"/>
                <w:szCs w:val="20"/>
                <w:vertAlign w:val="superscript"/>
                <w:lang w:val="en-US"/>
              </w:rPr>
              <w:footnoteReference w:id="2074"/>
            </w:r>
            <w:r w:rsidRPr="005625DF">
              <w:rPr>
                <w:sz w:val="20"/>
                <w:szCs w:val="20"/>
              </w:rPr>
              <w:t xml:space="preserve">). Wenn staatliche Maßnahmen die Bedingungen für Glücksstreben, respektive die Freiheit, einschränken, dann lösen sie ein rechtsstaatliches Verfahren aus. Wann </w:t>
            </w:r>
            <w:r>
              <w:rPr>
                <w:sz w:val="20"/>
                <w:szCs w:val="20"/>
              </w:rPr>
              <w:t xml:space="preserve">kann </w:t>
            </w:r>
            <w:r w:rsidRPr="005625DF">
              <w:rPr>
                <w:sz w:val="20"/>
                <w:szCs w:val="20"/>
              </w:rPr>
              <w:t xml:space="preserve">aber </w:t>
            </w:r>
            <w:r>
              <w:rPr>
                <w:sz w:val="20"/>
                <w:szCs w:val="20"/>
              </w:rPr>
              <w:t>z.B.</w:t>
            </w:r>
            <w:r w:rsidRPr="005625DF">
              <w:rPr>
                <w:sz w:val="20"/>
                <w:szCs w:val="20"/>
              </w:rPr>
              <w:t xml:space="preserve"> dieses rechtsstaatliche Verfahren aus</w:t>
            </w:r>
            <w:r>
              <w:rPr>
                <w:sz w:val="20"/>
                <w:szCs w:val="20"/>
              </w:rPr>
              <w:t>bleiben</w:t>
            </w:r>
            <w:r w:rsidRPr="005625DF">
              <w:rPr>
                <w:sz w:val="20"/>
                <w:szCs w:val="20"/>
              </w:rPr>
              <w:t>? Wenn eine staatliche Universität eine Person nach Vertragsende ohne Anhörung nicht wieder einstellt. Dann sei de</w:t>
            </w:r>
            <w:r>
              <w:rPr>
                <w:sz w:val="20"/>
                <w:szCs w:val="20"/>
              </w:rPr>
              <w:t>r</w:t>
            </w:r>
            <w:r w:rsidRPr="005625DF">
              <w:rPr>
                <w:sz w:val="20"/>
                <w:szCs w:val="20"/>
              </w:rPr>
              <w:t xml:space="preserve"> Betroffene damit nicht gravierend genug in seiner Freiheit berührt, sie sei nicht entzogen. Denn der Betroffene </w:t>
            </w:r>
            <w:r>
              <w:rPr>
                <w:sz w:val="20"/>
                <w:szCs w:val="20"/>
              </w:rPr>
              <w:t>könne</w:t>
            </w:r>
            <w:r w:rsidRPr="005625DF">
              <w:rPr>
                <w:sz w:val="20"/>
                <w:szCs w:val="20"/>
              </w:rPr>
              <w:t xml:space="preserve"> sich schlicht eine andere Stelle suchen.</w:t>
            </w:r>
            <w:r w:rsidRPr="005625DF">
              <w:rPr>
                <w:sz w:val="20"/>
                <w:szCs w:val="20"/>
                <w:vertAlign w:val="superscript"/>
              </w:rPr>
              <w:footnoteReference w:id="2075"/>
            </w:r>
          </w:p>
          <w:p w14:paraId="11A73CEB" w14:textId="77777777" w:rsidR="00074551" w:rsidRPr="00E50B51" w:rsidRDefault="00074551" w:rsidP="00367133">
            <w:pPr>
              <w:jc w:val="both"/>
              <w:rPr>
                <w:sz w:val="20"/>
                <w:szCs w:val="20"/>
              </w:rPr>
            </w:pPr>
          </w:p>
        </w:tc>
      </w:tr>
      <w:tr w:rsidR="00074551" w:rsidRPr="00E50B51" w14:paraId="6AB09567" w14:textId="77777777" w:rsidTr="00BE689F">
        <w:trPr>
          <w:cantSplit/>
          <w:trHeight w:val="3175"/>
        </w:trPr>
        <w:tc>
          <w:tcPr>
            <w:tcW w:w="293" w:type="pct"/>
          </w:tcPr>
          <w:p w14:paraId="2F1F5DB0" w14:textId="77777777" w:rsidR="00074551" w:rsidRPr="00E50B51" w:rsidRDefault="00074551" w:rsidP="00367133">
            <w:pPr>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159F404" w14:textId="77777777" w:rsidR="00074551" w:rsidRPr="00B45592" w:rsidRDefault="00074551" w:rsidP="00367133">
            <w:pPr>
              <w:ind w:left="113" w:right="113"/>
              <w:jc w:val="both"/>
              <w:rPr>
                <w:i/>
                <w:sz w:val="20"/>
                <w:szCs w:val="20"/>
              </w:rPr>
            </w:pPr>
            <w:proofErr w:type="gramStart"/>
            <w:r w:rsidRPr="00B45592">
              <w:rPr>
                <w:i/>
                <w:sz w:val="20"/>
                <w:szCs w:val="20"/>
              </w:rPr>
              <w:t>DA’s</w:t>
            </w:r>
            <w:proofErr w:type="gramEnd"/>
            <w:r w:rsidRPr="00B45592">
              <w:rPr>
                <w:i/>
                <w:sz w:val="20"/>
                <w:szCs w:val="20"/>
              </w:rPr>
              <w:t xml:space="preserve"> Office v. Osborne</w:t>
            </w:r>
          </w:p>
        </w:tc>
        <w:tc>
          <w:tcPr>
            <w:tcW w:w="197" w:type="pct"/>
            <w:textDirection w:val="tbRl"/>
            <w:vAlign w:val="center"/>
          </w:tcPr>
          <w:p w14:paraId="52F31771" w14:textId="77777777" w:rsidR="00074551" w:rsidRPr="00E50B51" w:rsidRDefault="00074551" w:rsidP="00367133">
            <w:pPr>
              <w:ind w:left="113" w:right="113"/>
              <w:jc w:val="both"/>
              <w:rPr>
                <w:iCs/>
                <w:sz w:val="20"/>
                <w:szCs w:val="20"/>
                <w:lang w:val="en-US"/>
              </w:rPr>
            </w:pPr>
            <w:r w:rsidRPr="00E50B51">
              <w:rPr>
                <w:sz w:val="20"/>
                <w:szCs w:val="20"/>
                <w:lang w:val="en-US"/>
              </w:rPr>
              <w:t>557 U.S. 52</w:t>
            </w:r>
          </w:p>
        </w:tc>
        <w:tc>
          <w:tcPr>
            <w:tcW w:w="306" w:type="pct"/>
            <w:textDirection w:val="tbRl"/>
            <w:vAlign w:val="center"/>
          </w:tcPr>
          <w:p w14:paraId="52D729A9" w14:textId="77777777" w:rsidR="00074551" w:rsidRPr="00E50B51" w:rsidRDefault="00074551" w:rsidP="00367133">
            <w:pPr>
              <w:ind w:left="113" w:right="113"/>
              <w:jc w:val="both"/>
              <w:rPr>
                <w:sz w:val="20"/>
                <w:szCs w:val="20"/>
                <w:lang w:val="en-US"/>
              </w:rPr>
            </w:pPr>
            <w:r w:rsidRPr="00E50B51">
              <w:rPr>
                <w:sz w:val="20"/>
                <w:szCs w:val="20"/>
                <w:lang w:val="en-US"/>
              </w:rPr>
              <w:t>18. Juni 2009</w:t>
            </w:r>
          </w:p>
        </w:tc>
        <w:tc>
          <w:tcPr>
            <w:tcW w:w="401" w:type="pct"/>
          </w:tcPr>
          <w:p w14:paraId="2366098B" w14:textId="77777777" w:rsidR="00074551" w:rsidRPr="00E50B51" w:rsidRDefault="00074551" w:rsidP="00367133">
            <w:pPr>
              <w:jc w:val="center"/>
              <w:rPr>
                <w:sz w:val="20"/>
                <w:szCs w:val="20"/>
              </w:rPr>
            </w:pPr>
            <w:r w:rsidRPr="00E50B51">
              <w:rPr>
                <w:iCs/>
                <w:sz w:val="20"/>
                <w:szCs w:val="20"/>
                <w:lang w:val="en-US"/>
              </w:rPr>
              <w:t>D</w:t>
            </w:r>
          </w:p>
        </w:tc>
        <w:tc>
          <w:tcPr>
            <w:tcW w:w="1594" w:type="pct"/>
          </w:tcPr>
          <w:p w14:paraId="1C88E879" w14:textId="615732DB" w:rsidR="00074551" w:rsidRPr="00E50B51" w:rsidRDefault="00074551" w:rsidP="00367133">
            <w:pPr>
              <w:jc w:val="both"/>
              <w:rPr>
                <w:sz w:val="20"/>
                <w:szCs w:val="20"/>
              </w:rPr>
            </w:pPr>
            <w:r w:rsidRPr="00E50B51">
              <w:rPr>
                <w:sz w:val="20"/>
                <w:szCs w:val="20"/>
              </w:rPr>
              <w:t xml:space="preserve">Der </w:t>
            </w:r>
            <w:r>
              <w:rPr>
                <w:sz w:val="20"/>
                <w:szCs w:val="20"/>
              </w:rPr>
              <w:t>U.S. Supreme Court</w:t>
            </w:r>
            <w:r w:rsidRPr="00E50B51">
              <w:rPr>
                <w:sz w:val="20"/>
                <w:szCs w:val="20"/>
              </w:rPr>
              <w:t xml:space="preserve"> entschied, aus dem Recht auf ein </w:t>
            </w:r>
            <w:r>
              <w:rPr>
                <w:sz w:val="20"/>
                <w:szCs w:val="20"/>
              </w:rPr>
              <w:t>rechtsstaatliches</w:t>
            </w:r>
            <w:r w:rsidRPr="00E50B51">
              <w:rPr>
                <w:sz w:val="20"/>
                <w:szCs w:val="20"/>
              </w:rPr>
              <w:t xml:space="preserve"> Verfahren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ergebe sich für ein</w:t>
            </w:r>
            <w:r>
              <w:rPr>
                <w:sz w:val="20"/>
                <w:szCs w:val="20"/>
              </w:rPr>
              <w:t>en</w:t>
            </w:r>
            <w:r w:rsidRPr="00E50B51">
              <w:rPr>
                <w:sz w:val="20"/>
                <w:szCs w:val="20"/>
              </w:rPr>
              <w:t xml:space="preserve"> Häftling nach seiner Verurteilung kein weiteres Zugangsrecht zu DNA-Beweismitteln, damit er auf eigene Kosten einen entlastenden DNA-Test durchführen </w:t>
            </w:r>
            <w:r>
              <w:rPr>
                <w:sz w:val="20"/>
                <w:szCs w:val="20"/>
              </w:rPr>
              <w:t>könne</w:t>
            </w:r>
            <w:r w:rsidRPr="00E50B51">
              <w:rPr>
                <w:sz w:val="20"/>
                <w:szCs w:val="20"/>
              </w:rPr>
              <w:t>, den sein Verteidiger während des Prozesses zu beantragen</w:t>
            </w:r>
            <w:r>
              <w:rPr>
                <w:sz w:val="20"/>
                <w:szCs w:val="20"/>
              </w:rPr>
              <w:t xml:space="preserve"> </w:t>
            </w:r>
            <w:r w:rsidRPr="00E50B51">
              <w:rPr>
                <w:sz w:val="20"/>
                <w:szCs w:val="20"/>
              </w:rPr>
              <w:t>versäumt</w:t>
            </w:r>
            <w:r>
              <w:rPr>
                <w:sz w:val="20"/>
                <w:szCs w:val="20"/>
              </w:rPr>
              <w:t xml:space="preserve"> hatte</w:t>
            </w:r>
            <w:r w:rsidRPr="00E50B51">
              <w:rPr>
                <w:sz w:val="20"/>
                <w:szCs w:val="20"/>
              </w:rPr>
              <w:t xml:space="preserve">. Zunächst wurden der Häftling und eine weitere Person wegen Entführung, Körperverletzung und sexueller Nötigung verurteilt, nachdem sie eine Prostituierte zu Geschlechtsverkehr gezwungen, sie gewürgt, geschlagen und auf sie geschossen hatten, als sie zu fliehen versuchte. Der Häftling beantragte bei einem Gericht in Alaska </w:t>
            </w:r>
            <w:r>
              <w:rPr>
                <w:sz w:val="20"/>
                <w:szCs w:val="20"/>
              </w:rPr>
              <w:t xml:space="preserve">die </w:t>
            </w:r>
            <w:r w:rsidRPr="00E50B51">
              <w:rPr>
                <w:sz w:val="20"/>
                <w:szCs w:val="20"/>
              </w:rPr>
              <w:t>Wiederaufnahme des Verfahrens. Er machte geltend, er sei unzureichend beraten worden. Denn sein Verteidiger habe nicht beantragt, einen DNA-Test an den Tatortspuren bzw. Beweismitteln durchzuführen, die zu seiner Verurteilung führten. Das Gericht des Bundesstaates (</w:t>
            </w:r>
            <w:r w:rsidRPr="5B67C1D2">
              <w:rPr>
                <w:i/>
                <w:iCs/>
                <w:sz w:val="20"/>
                <w:szCs w:val="20"/>
              </w:rPr>
              <w:t>State Court</w:t>
            </w:r>
            <w:r w:rsidRPr="00E50B51">
              <w:rPr>
                <w:sz w:val="20"/>
                <w:szCs w:val="20"/>
              </w:rPr>
              <w:t xml:space="preserve">) lehnte den Antrag auf Wideraufnahme des Verfahrens ab. Daher reichte der Häftling beim Federal </w:t>
            </w:r>
            <w:proofErr w:type="spellStart"/>
            <w:r w:rsidRPr="00E50B51">
              <w:rPr>
                <w:sz w:val="20"/>
                <w:szCs w:val="20"/>
              </w:rPr>
              <w:t>District</w:t>
            </w:r>
            <w:proofErr w:type="spellEnd"/>
            <w:r w:rsidRPr="00E50B51">
              <w:rPr>
                <w:sz w:val="20"/>
                <w:szCs w:val="20"/>
              </w:rPr>
              <w:t xml:space="preserve"> Court Berufung ein. In der forderte er die Staatsanwaltschaft (</w:t>
            </w:r>
            <w:r w:rsidRPr="5B67C1D2">
              <w:rPr>
                <w:i/>
                <w:iCs/>
                <w:sz w:val="20"/>
                <w:szCs w:val="20"/>
              </w:rPr>
              <w:t xml:space="preserve">Alaska </w:t>
            </w:r>
            <w:proofErr w:type="spellStart"/>
            <w:r w:rsidRPr="5B67C1D2">
              <w:rPr>
                <w:i/>
                <w:iCs/>
                <w:sz w:val="20"/>
                <w:szCs w:val="20"/>
              </w:rPr>
              <w:t>District</w:t>
            </w:r>
            <w:proofErr w:type="spellEnd"/>
            <w:r w:rsidRPr="5B67C1D2">
              <w:rPr>
                <w:i/>
                <w:iCs/>
                <w:sz w:val="20"/>
                <w:szCs w:val="20"/>
              </w:rPr>
              <w:t xml:space="preserve"> </w:t>
            </w:r>
            <w:proofErr w:type="spellStart"/>
            <w:r w:rsidRPr="5B67C1D2">
              <w:rPr>
                <w:i/>
                <w:iCs/>
                <w:sz w:val="20"/>
                <w:szCs w:val="20"/>
              </w:rPr>
              <w:t>Attorney’s</w:t>
            </w:r>
            <w:proofErr w:type="spellEnd"/>
            <w:r w:rsidRPr="5B67C1D2">
              <w:rPr>
                <w:i/>
                <w:iCs/>
                <w:sz w:val="20"/>
                <w:szCs w:val="20"/>
              </w:rPr>
              <w:t xml:space="preserve"> Office</w:t>
            </w:r>
            <w:r w:rsidRPr="00E50B51">
              <w:rPr>
                <w:sz w:val="20"/>
                <w:szCs w:val="20"/>
              </w:rPr>
              <w:t xml:space="preserve">) auf, ihm Zugang zu den Beweismitteln zu gewähren, damit er auf seine Kosten einen entlastenden DNA-Test durchführen könne. Der Zugang wurde zunächst gewährt. Indes revidierte der </w:t>
            </w:r>
            <w:r>
              <w:rPr>
                <w:sz w:val="20"/>
                <w:szCs w:val="20"/>
              </w:rPr>
              <w:t>U.S. Supreme Court</w:t>
            </w:r>
            <w:r w:rsidRPr="00E50B51">
              <w:rPr>
                <w:sz w:val="20"/>
                <w:szCs w:val="20"/>
              </w:rPr>
              <w:t xml:space="preserve"> das Urteil des Berufungsgerichts. Er stellte fest, dass der Häftling gemäß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50B51">
              <w:rPr>
                <w:sz w:val="20"/>
                <w:szCs w:val="20"/>
              </w:rPr>
              <w:t xml:space="preserve"> keinen Recht auf Zugang zu den Beweismitteln</w:t>
            </w:r>
            <w:r>
              <w:rPr>
                <w:sz w:val="20"/>
                <w:szCs w:val="20"/>
              </w:rPr>
              <w:t xml:space="preserve"> </w:t>
            </w:r>
            <w:r w:rsidRPr="00E50B51">
              <w:rPr>
                <w:sz w:val="20"/>
                <w:szCs w:val="20"/>
              </w:rPr>
              <w:t>habe. Es fehle eine gesetzliche Grundlage. Denn de</w:t>
            </w:r>
            <w:r>
              <w:rPr>
                <w:sz w:val="20"/>
                <w:szCs w:val="20"/>
              </w:rPr>
              <w:t>n</w:t>
            </w:r>
            <w:r w:rsidRPr="00E50B51">
              <w:rPr>
                <w:sz w:val="20"/>
                <w:szCs w:val="20"/>
              </w:rPr>
              <w:t xml:space="preserve"> Zugang zu Beweisen hätte der Kongress oder de</w:t>
            </w:r>
            <w:r>
              <w:rPr>
                <w:sz w:val="20"/>
                <w:szCs w:val="20"/>
              </w:rPr>
              <w:t>r</w:t>
            </w:r>
            <w:r w:rsidRPr="00E50B51">
              <w:rPr>
                <w:sz w:val="20"/>
                <w:szCs w:val="20"/>
              </w:rPr>
              <w:t xml:space="preserve"> bundesstaatliche Gesetzgeber</w:t>
            </w:r>
            <w:r>
              <w:rPr>
                <w:sz w:val="20"/>
                <w:szCs w:val="20"/>
              </w:rPr>
              <w:t xml:space="preserve"> </w:t>
            </w:r>
            <w:r w:rsidRPr="00E50B51">
              <w:rPr>
                <w:sz w:val="20"/>
                <w:szCs w:val="20"/>
              </w:rPr>
              <w:t xml:space="preserve">regeln müssen. Zudem habe der Häftling ein angemessenes </w:t>
            </w:r>
            <w:r>
              <w:rPr>
                <w:sz w:val="20"/>
                <w:szCs w:val="20"/>
              </w:rPr>
              <w:t xml:space="preserve">und rechtsstaatliches </w:t>
            </w:r>
            <w:r w:rsidRPr="00E50B51">
              <w:rPr>
                <w:sz w:val="20"/>
                <w:szCs w:val="20"/>
              </w:rPr>
              <w:t xml:space="preserve">Verfahren </w:t>
            </w:r>
            <w:r>
              <w:rPr>
                <w:sz w:val="20"/>
                <w:szCs w:val="20"/>
              </w:rPr>
              <w:t>erhalten</w:t>
            </w:r>
            <w:r w:rsidRPr="00E50B51">
              <w:rPr>
                <w:sz w:val="20"/>
                <w:szCs w:val="20"/>
              </w:rPr>
              <w:t>.</w:t>
            </w:r>
            <w:r w:rsidRPr="5B67C1D2">
              <w:rPr>
                <w:rStyle w:val="Funotenzeichen"/>
                <w:rFonts w:eastAsiaTheme="majorEastAsia"/>
                <w:sz w:val="20"/>
                <w:szCs w:val="20"/>
              </w:rPr>
              <w:footnoteReference w:id="2076"/>
            </w:r>
          </w:p>
          <w:p w14:paraId="4B4B2EAA" w14:textId="77777777" w:rsidR="00074551" w:rsidRPr="00E50B51" w:rsidRDefault="00074551" w:rsidP="00367133">
            <w:pPr>
              <w:jc w:val="both"/>
              <w:rPr>
                <w:sz w:val="20"/>
                <w:szCs w:val="20"/>
              </w:rPr>
            </w:pPr>
          </w:p>
        </w:tc>
        <w:tc>
          <w:tcPr>
            <w:tcW w:w="1822" w:type="pct"/>
          </w:tcPr>
          <w:p w14:paraId="1E4A1F41" w14:textId="77777777" w:rsidR="00074551" w:rsidRPr="00202216" w:rsidRDefault="00074551" w:rsidP="00367133">
            <w:pPr>
              <w:jc w:val="both"/>
              <w:rPr>
                <w:sz w:val="20"/>
                <w:szCs w:val="20"/>
              </w:rPr>
            </w:pPr>
            <w:r w:rsidRPr="00202216">
              <w:rPr>
                <w:sz w:val="20"/>
                <w:szCs w:val="20"/>
              </w:rPr>
              <w:t xml:space="preserve">Der Dissens widerspricht dem Ergebnis </w:t>
            </w:r>
            <w:r>
              <w:rPr>
                <w:sz w:val="20"/>
                <w:szCs w:val="20"/>
              </w:rPr>
              <w:t>der</w:t>
            </w:r>
            <w:r w:rsidRPr="00202216">
              <w:rPr>
                <w:sz w:val="20"/>
                <w:szCs w:val="20"/>
              </w:rPr>
              <w:t xml:space="preserv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202216">
              <w:rPr>
                <w:sz w:val="20"/>
                <w:szCs w:val="20"/>
              </w:rPr>
              <w:t>: Der Zugang zu Tatspuren sei dem Häftling im Rahmen einer Wi</w:t>
            </w:r>
            <w:r>
              <w:rPr>
                <w:sz w:val="20"/>
                <w:szCs w:val="20"/>
              </w:rPr>
              <w:t>e</w:t>
            </w:r>
            <w:r w:rsidRPr="00202216">
              <w:rPr>
                <w:sz w:val="20"/>
                <w:szCs w:val="20"/>
              </w:rPr>
              <w:t>deraufnahme zu gewähren. Denn es bestehe ein Recht, staatliche Beweise zu überprüfen („</w:t>
            </w:r>
            <w:proofErr w:type="spellStart"/>
            <w:r w:rsidRPr="00202216">
              <w:rPr>
                <w:sz w:val="20"/>
                <w:szCs w:val="20"/>
              </w:rPr>
              <w:t>entitlement</w:t>
            </w:r>
            <w:proofErr w:type="spellEnd"/>
            <w:r w:rsidRPr="00202216">
              <w:rPr>
                <w:sz w:val="20"/>
                <w:szCs w:val="20"/>
              </w:rPr>
              <w:t xml:space="preserve"> to </w:t>
            </w:r>
            <w:proofErr w:type="spellStart"/>
            <w:r w:rsidRPr="00202216">
              <w:rPr>
                <w:sz w:val="20"/>
                <w:szCs w:val="20"/>
              </w:rPr>
              <w:t>test</w:t>
            </w:r>
            <w:proofErr w:type="spellEnd"/>
            <w:r w:rsidRPr="00202216">
              <w:rPr>
                <w:sz w:val="20"/>
                <w:szCs w:val="20"/>
              </w:rPr>
              <w:t xml:space="preserve"> the </w:t>
            </w:r>
            <w:proofErr w:type="spellStart"/>
            <w:r w:rsidRPr="00202216">
              <w:rPr>
                <w:sz w:val="20"/>
                <w:szCs w:val="20"/>
              </w:rPr>
              <w:t>State</w:t>
            </w:r>
            <w:r>
              <w:rPr>
                <w:sz w:val="20"/>
                <w:szCs w:val="20"/>
              </w:rPr>
              <w:t>’</w:t>
            </w:r>
            <w:r w:rsidRPr="00202216">
              <w:rPr>
                <w:sz w:val="20"/>
                <w:szCs w:val="20"/>
              </w:rPr>
              <w:t>s</w:t>
            </w:r>
            <w:proofErr w:type="spellEnd"/>
            <w:r w:rsidRPr="00202216">
              <w:rPr>
                <w:sz w:val="20"/>
                <w:szCs w:val="20"/>
              </w:rPr>
              <w:t xml:space="preserve"> </w:t>
            </w:r>
            <w:proofErr w:type="spellStart"/>
            <w:r w:rsidRPr="00202216">
              <w:rPr>
                <w:sz w:val="20"/>
                <w:szCs w:val="20"/>
              </w:rPr>
              <w:t>evidence</w:t>
            </w:r>
            <w:proofErr w:type="spellEnd"/>
            <w:r w:rsidRPr="00202216">
              <w:rPr>
                <w:sz w:val="20"/>
                <w:szCs w:val="20"/>
              </w:rPr>
              <w:t>“</w:t>
            </w:r>
            <w:r w:rsidRPr="00202216">
              <w:rPr>
                <w:sz w:val="20"/>
                <w:szCs w:val="20"/>
                <w:vertAlign w:val="superscript"/>
              </w:rPr>
              <w:footnoteReference w:id="2077"/>
            </w:r>
            <w:r w:rsidRPr="00202216">
              <w:rPr>
                <w:sz w:val="20"/>
                <w:szCs w:val="20"/>
              </w:rPr>
              <w:t>). Dieses Rechte leite sich aus zwei Dogmen her: Erstens sei ein materielles Freiheitsinteresse betroffen, das den verfassungsrechtlichen Verfahrensschutz auslöse, der sich hier im Zugang zu Beweismitteln ausdrücke („</w:t>
            </w:r>
            <w:proofErr w:type="spellStart"/>
            <w:r w:rsidRPr="00202216">
              <w:rPr>
                <w:sz w:val="20"/>
                <w:szCs w:val="20"/>
              </w:rPr>
              <w:t>procedural</w:t>
            </w:r>
            <w:proofErr w:type="spellEnd"/>
            <w:r w:rsidRPr="00202216">
              <w:rPr>
                <w:sz w:val="20"/>
                <w:szCs w:val="20"/>
              </w:rPr>
              <w:t xml:space="preserve"> due </w:t>
            </w:r>
            <w:proofErr w:type="spellStart"/>
            <w:r w:rsidRPr="00202216">
              <w:rPr>
                <w:sz w:val="20"/>
                <w:szCs w:val="20"/>
              </w:rPr>
              <w:t>process</w:t>
            </w:r>
            <w:proofErr w:type="spellEnd"/>
            <w:r w:rsidRPr="00202216">
              <w:rPr>
                <w:sz w:val="20"/>
                <w:szCs w:val="20"/>
              </w:rPr>
              <w:t xml:space="preserve"> </w:t>
            </w:r>
            <w:proofErr w:type="spellStart"/>
            <w:r w:rsidRPr="00202216">
              <w:rPr>
                <w:sz w:val="20"/>
                <w:szCs w:val="20"/>
              </w:rPr>
              <w:t>right</w:t>
            </w:r>
            <w:proofErr w:type="spellEnd"/>
            <w:r w:rsidRPr="00202216">
              <w:rPr>
                <w:sz w:val="20"/>
                <w:szCs w:val="20"/>
              </w:rPr>
              <w:t>“</w:t>
            </w:r>
            <w:r w:rsidRPr="00202216">
              <w:rPr>
                <w:sz w:val="20"/>
                <w:szCs w:val="20"/>
                <w:vertAlign w:val="superscript"/>
              </w:rPr>
              <w:footnoteReference w:id="2078"/>
            </w:r>
            <w:r w:rsidRPr="00202216">
              <w:rPr>
                <w:sz w:val="20"/>
                <w:szCs w:val="20"/>
              </w:rPr>
              <w:t>). Und zweitens bestehe ein materielles Recht auf Schutz vor willkürlichen Maßnahmen des Staats („</w:t>
            </w:r>
            <w:proofErr w:type="spellStart"/>
            <w:r w:rsidRPr="00202216">
              <w:rPr>
                <w:sz w:val="20"/>
                <w:szCs w:val="20"/>
              </w:rPr>
              <w:t>substantive</w:t>
            </w:r>
            <w:proofErr w:type="spellEnd"/>
            <w:r w:rsidRPr="00202216">
              <w:rPr>
                <w:sz w:val="20"/>
                <w:szCs w:val="20"/>
              </w:rPr>
              <w:t xml:space="preserve"> due </w:t>
            </w:r>
            <w:proofErr w:type="spellStart"/>
            <w:r w:rsidRPr="00202216">
              <w:rPr>
                <w:sz w:val="20"/>
                <w:szCs w:val="20"/>
              </w:rPr>
              <w:t>process</w:t>
            </w:r>
            <w:proofErr w:type="spellEnd"/>
            <w:r w:rsidRPr="00202216">
              <w:rPr>
                <w:sz w:val="20"/>
                <w:szCs w:val="20"/>
              </w:rPr>
              <w:t xml:space="preserve"> </w:t>
            </w:r>
            <w:proofErr w:type="spellStart"/>
            <w:r w:rsidRPr="00202216">
              <w:rPr>
                <w:sz w:val="20"/>
                <w:szCs w:val="20"/>
              </w:rPr>
              <w:t>right</w:t>
            </w:r>
            <w:proofErr w:type="spellEnd"/>
            <w:r w:rsidRPr="00202216">
              <w:rPr>
                <w:sz w:val="20"/>
                <w:szCs w:val="20"/>
              </w:rPr>
              <w:t xml:space="preserve"> to </w:t>
            </w:r>
            <w:proofErr w:type="spellStart"/>
            <w:r w:rsidRPr="00202216">
              <w:rPr>
                <w:sz w:val="20"/>
                <w:szCs w:val="20"/>
              </w:rPr>
              <w:t>be</w:t>
            </w:r>
            <w:proofErr w:type="spellEnd"/>
            <w:r w:rsidRPr="00202216">
              <w:rPr>
                <w:sz w:val="20"/>
                <w:szCs w:val="20"/>
              </w:rPr>
              <w:t xml:space="preserve"> </w:t>
            </w:r>
            <w:proofErr w:type="spellStart"/>
            <w:r w:rsidRPr="00202216">
              <w:rPr>
                <w:sz w:val="20"/>
                <w:szCs w:val="20"/>
              </w:rPr>
              <w:t>free</w:t>
            </w:r>
            <w:proofErr w:type="spellEnd"/>
            <w:r w:rsidRPr="00202216">
              <w:rPr>
                <w:sz w:val="20"/>
                <w:szCs w:val="20"/>
              </w:rPr>
              <w:t xml:space="preserve"> of </w:t>
            </w:r>
            <w:proofErr w:type="spellStart"/>
            <w:r w:rsidRPr="00202216">
              <w:rPr>
                <w:sz w:val="20"/>
                <w:szCs w:val="20"/>
              </w:rPr>
              <w:t>arbitrary</w:t>
            </w:r>
            <w:proofErr w:type="spellEnd"/>
            <w:r w:rsidRPr="00202216">
              <w:rPr>
                <w:sz w:val="20"/>
                <w:szCs w:val="20"/>
              </w:rPr>
              <w:t xml:space="preserve"> </w:t>
            </w:r>
            <w:proofErr w:type="spellStart"/>
            <w:r w:rsidRPr="00202216">
              <w:rPr>
                <w:sz w:val="20"/>
                <w:szCs w:val="20"/>
              </w:rPr>
              <w:t>government</w:t>
            </w:r>
            <w:proofErr w:type="spellEnd"/>
            <w:r w:rsidRPr="00202216">
              <w:rPr>
                <w:sz w:val="20"/>
                <w:szCs w:val="20"/>
              </w:rPr>
              <w:t xml:space="preserve"> </w:t>
            </w:r>
            <w:proofErr w:type="spellStart"/>
            <w:r w:rsidRPr="00202216">
              <w:rPr>
                <w:sz w:val="20"/>
                <w:szCs w:val="20"/>
              </w:rPr>
              <w:t>action</w:t>
            </w:r>
            <w:proofErr w:type="spellEnd"/>
            <w:r w:rsidRPr="00202216">
              <w:rPr>
                <w:sz w:val="20"/>
                <w:szCs w:val="20"/>
              </w:rPr>
              <w:t>“</w:t>
            </w:r>
            <w:r w:rsidRPr="00202216">
              <w:rPr>
                <w:sz w:val="20"/>
                <w:szCs w:val="20"/>
                <w:vertAlign w:val="superscript"/>
              </w:rPr>
              <w:t xml:space="preserve"> </w:t>
            </w:r>
            <w:r w:rsidRPr="00202216">
              <w:rPr>
                <w:sz w:val="20"/>
                <w:szCs w:val="20"/>
                <w:vertAlign w:val="superscript"/>
              </w:rPr>
              <w:footnoteReference w:id="2079"/>
            </w:r>
            <w:r w:rsidRPr="00202216">
              <w:rPr>
                <w:sz w:val="20"/>
                <w:szCs w:val="20"/>
              </w:rPr>
              <w:t xml:space="preserve">). Beides sei betroffen. Das materielle Freiheitsinteresse, das ein rechtsstaatliches Verfahren auslöse, konstituiere sich nicht anhand der </w:t>
            </w:r>
            <w:r w:rsidRPr="5B67C1D2">
              <w:rPr>
                <w:i/>
                <w:iCs/>
                <w:sz w:val="20"/>
                <w:szCs w:val="20"/>
              </w:rPr>
              <w:t>Bill of Rights</w:t>
            </w:r>
            <w:r w:rsidRPr="00202216">
              <w:rPr>
                <w:sz w:val="20"/>
                <w:szCs w:val="20"/>
              </w:rPr>
              <w:t xml:space="preserve">. Vielmehr </w:t>
            </w:r>
            <w:r>
              <w:rPr>
                <w:sz w:val="20"/>
                <w:szCs w:val="20"/>
              </w:rPr>
              <w:t>hätten</w:t>
            </w:r>
            <w:r w:rsidRPr="00202216">
              <w:rPr>
                <w:sz w:val="20"/>
                <w:szCs w:val="20"/>
              </w:rPr>
              <w:t xml:space="preserve"> die Freiheit und </w:t>
            </w:r>
            <w:r>
              <w:rPr>
                <w:sz w:val="20"/>
                <w:szCs w:val="20"/>
              </w:rPr>
              <w:t>die</w:t>
            </w:r>
            <w:r w:rsidRPr="00202216">
              <w:rPr>
                <w:sz w:val="20"/>
                <w:szCs w:val="20"/>
              </w:rPr>
              <w:t xml:space="preserve"> materielle</w:t>
            </w:r>
            <w:r>
              <w:rPr>
                <w:sz w:val="20"/>
                <w:szCs w:val="20"/>
              </w:rPr>
              <w:t>n</w:t>
            </w:r>
            <w:r w:rsidRPr="00202216">
              <w:rPr>
                <w:sz w:val="20"/>
                <w:szCs w:val="20"/>
              </w:rPr>
              <w:t xml:space="preserve"> Freiheitsinteressen tiefere Wurzeln. Sie regel</w:t>
            </w:r>
            <w:r>
              <w:rPr>
                <w:sz w:val="20"/>
                <w:szCs w:val="20"/>
              </w:rPr>
              <w:t>te</w:t>
            </w:r>
            <w:r w:rsidRPr="00202216">
              <w:rPr>
                <w:sz w:val="20"/>
                <w:szCs w:val="20"/>
              </w:rPr>
              <w:t xml:space="preserve">n sich im Zusammenspiel der unveräußerlichen Rechte der </w:t>
            </w:r>
            <w:r w:rsidRPr="5B67C1D2">
              <w:rPr>
                <w:i/>
                <w:iCs/>
                <w:sz w:val="20"/>
                <w:szCs w:val="20"/>
              </w:rPr>
              <w:t>Declaration of Independence</w:t>
            </w:r>
            <w:r w:rsidRPr="00202216">
              <w:rPr>
                <w:sz w:val="20"/>
                <w:szCs w:val="20"/>
              </w:rPr>
              <w:t>, auch anhand des Strebens nach Glück.</w:t>
            </w:r>
            <w:r w:rsidRPr="00202216">
              <w:rPr>
                <w:sz w:val="20"/>
                <w:szCs w:val="20"/>
                <w:vertAlign w:val="superscript"/>
              </w:rPr>
              <w:footnoteReference w:id="2080"/>
            </w:r>
            <w:r w:rsidRPr="00202216">
              <w:rPr>
                <w:sz w:val="20"/>
                <w:szCs w:val="20"/>
              </w:rPr>
              <w:t xml:space="preserve"> Zwar schränk</w:t>
            </w:r>
            <w:r>
              <w:rPr>
                <w:sz w:val="20"/>
                <w:szCs w:val="20"/>
              </w:rPr>
              <w:t>t</w:t>
            </w:r>
            <w:r w:rsidRPr="00202216">
              <w:rPr>
                <w:sz w:val="20"/>
                <w:szCs w:val="20"/>
              </w:rPr>
              <w:t>en die institutionellen Erfordernisse der Haft Grundrechte ein („</w:t>
            </w:r>
            <w:proofErr w:type="spellStart"/>
            <w:r w:rsidRPr="00202216">
              <w:rPr>
                <w:sz w:val="20"/>
                <w:szCs w:val="20"/>
              </w:rPr>
              <w:t>rights</w:t>
            </w:r>
            <w:proofErr w:type="spellEnd"/>
            <w:r w:rsidRPr="00202216">
              <w:rPr>
                <w:sz w:val="20"/>
                <w:szCs w:val="20"/>
              </w:rPr>
              <w:t xml:space="preserve"> </w:t>
            </w:r>
            <w:proofErr w:type="spellStart"/>
            <w:r w:rsidRPr="00202216">
              <w:rPr>
                <w:sz w:val="20"/>
                <w:szCs w:val="20"/>
              </w:rPr>
              <w:t>may</w:t>
            </w:r>
            <w:proofErr w:type="spellEnd"/>
            <w:r w:rsidRPr="00202216">
              <w:rPr>
                <w:sz w:val="20"/>
                <w:szCs w:val="20"/>
              </w:rPr>
              <w:t xml:space="preserve"> </w:t>
            </w:r>
            <w:proofErr w:type="spellStart"/>
            <w:r w:rsidRPr="00202216">
              <w:rPr>
                <w:sz w:val="20"/>
                <w:szCs w:val="20"/>
              </w:rPr>
              <w:t>be</w:t>
            </w:r>
            <w:proofErr w:type="spellEnd"/>
            <w:r w:rsidRPr="00202216">
              <w:rPr>
                <w:sz w:val="20"/>
                <w:szCs w:val="20"/>
              </w:rPr>
              <w:t xml:space="preserve"> </w:t>
            </w:r>
            <w:proofErr w:type="spellStart"/>
            <w:r w:rsidRPr="00202216">
              <w:rPr>
                <w:sz w:val="20"/>
                <w:szCs w:val="20"/>
              </w:rPr>
              <w:t>diminished</w:t>
            </w:r>
            <w:proofErr w:type="spellEnd"/>
            <w:r w:rsidRPr="00202216">
              <w:rPr>
                <w:sz w:val="20"/>
                <w:szCs w:val="20"/>
              </w:rPr>
              <w:t xml:space="preserve"> by the </w:t>
            </w:r>
            <w:proofErr w:type="spellStart"/>
            <w:r w:rsidRPr="00202216">
              <w:rPr>
                <w:sz w:val="20"/>
                <w:szCs w:val="20"/>
              </w:rPr>
              <w:t>needs</w:t>
            </w:r>
            <w:proofErr w:type="spellEnd"/>
            <w:r w:rsidRPr="00202216">
              <w:rPr>
                <w:sz w:val="20"/>
                <w:szCs w:val="20"/>
              </w:rPr>
              <w:t xml:space="preserve"> and </w:t>
            </w:r>
            <w:proofErr w:type="spellStart"/>
            <w:r w:rsidRPr="00202216">
              <w:rPr>
                <w:sz w:val="20"/>
                <w:szCs w:val="20"/>
              </w:rPr>
              <w:t>exigencies</w:t>
            </w:r>
            <w:proofErr w:type="spellEnd"/>
            <w:r w:rsidRPr="00202216">
              <w:rPr>
                <w:sz w:val="20"/>
                <w:szCs w:val="20"/>
              </w:rPr>
              <w:t xml:space="preserve"> of the </w:t>
            </w:r>
            <w:proofErr w:type="spellStart"/>
            <w:r w:rsidRPr="00202216">
              <w:rPr>
                <w:sz w:val="20"/>
                <w:szCs w:val="20"/>
              </w:rPr>
              <w:t>institutional</w:t>
            </w:r>
            <w:proofErr w:type="spellEnd"/>
            <w:r w:rsidRPr="00202216">
              <w:rPr>
                <w:sz w:val="20"/>
                <w:szCs w:val="20"/>
              </w:rPr>
              <w:t xml:space="preserve"> </w:t>
            </w:r>
            <w:proofErr w:type="spellStart"/>
            <w:r w:rsidRPr="00202216">
              <w:rPr>
                <w:sz w:val="20"/>
                <w:szCs w:val="20"/>
              </w:rPr>
              <w:t>environment</w:t>
            </w:r>
            <w:proofErr w:type="spellEnd"/>
            <w:r w:rsidRPr="00202216">
              <w:rPr>
                <w:sz w:val="20"/>
                <w:szCs w:val="20"/>
              </w:rPr>
              <w:t>“</w:t>
            </w:r>
            <w:r w:rsidRPr="00202216">
              <w:rPr>
                <w:sz w:val="20"/>
                <w:szCs w:val="20"/>
                <w:vertAlign w:val="superscript"/>
              </w:rPr>
              <w:footnoteReference w:id="2081"/>
            </w:r>
            <w:r w:rsidRPr="00202216">
              <w:rPr>
                <w:sz w:val="20"/>
                <w:szCs w:val="20"/>
              </w:rPr>
              <w:t xml:space="preserve">). Aber es </w:t>
            </w:r>
            <w:r>
              <w:rPr>
                <w:sz w:val="20"/>
                <w:szCs w:val="20"/>
              </w:rPr>
              <w:t>gebe</w:t>
            </w:r>
            <w:r w:rsidRPr="00202216">
              <w:rPr>
                <w:sz w:val="20"/>
                <w:szCs w:val="20"/>
              </w:rPr>
              <w:t xml:space="preserve"> bestimmte Grundfreiheiten, die der Staat auch seinen Häftling gewähren </w:t>
            </w:r>
            <w:r>
              <w:rPr>
                <w:sz w:val="20"/>
                <w:szCs w:val="20"/>
              </w:rPr>
              <w:t>müsse</w:t>
            </w:r>
            <w:r w:rsidRPr="00202216">
              <w:rPr>
                <w:sz w:val="20"/>
                <w:szCs w:val="20"/>
              </w:rPr>
              <w:t xml:space="preserve"> („</w:t>
            </w:r>
            <w:proofErr w:type="spellStart"/>
            <w:r w:rsidRPr="00202216">
              <w:rPr>
                <w:sz w:val="20"/>
                <w:szCs w:val="20"/>
              </w:rPr>
              <w:t>requires</w:t>
            </w:r>
            <w:proofErr w:type="spellEnd"/>
            <w:r w:rsidRPr="00202216">
              <w:rPr>
                <w:sz w:val="20"/>
                <w:szCs w:val="20"/>
              </w:rPr>
              <w:t xml:space="preserve"> States to </w:t>
            </w:r>
            <w:proofErr w:type="spellStart"/>
            <w:r w:rsidRPr="00202216">
              <w:rPr>
                <w:sz w:val="20"/>
                <w:szCs w:val="20"/>
              </w:rPr>
              <w:t>respect</w:t>
            </w:r>
            <w:proofErr w:type="spellEnd"/>
            <w:r w:rsidRPr="00202216">
              <w:rPr>
                <w:sz w:val="20"/>
                <w:szCs w:val="20"/>
              </w:rPr>
              <w:t xml:space="preserve"> </w:t>
            </w:r>
            <w:proofErr w:type="spellStart"/>
            <w:r w:rsidRPr="00202216">
              <w:rPr>
                <w:sz w:val="20"/>
                <w:szCs w:val="20"/>
              </w:rPr>
              <w:t>certain</w:t>
            </w:r>
            <w:proofErr w:type="spellEnd"/>
            <w:r w:rsidRPr="00202216">
              <w:rPr>
                <w:sz w:val="20"/>
                <w:szCs w:val="20"/>
              </w:rPr>
              <w:t xml:space="preserve"> fundamental </w:t>
            </w:r>
            <w:proofErr w:type="spellStart"/>
            <w:r w:rsidRPr="00202216">
              <w:rPr>
                <w:sz w:val="20"/>
                <w:szCs w:val="20"/>
              </w:rPr>
              <w:t>liberties</w:t>
            </w:r>
            <w:proofErr w:type="spellEnd"/>
            <w:r w:rsidRPr="00202216">
              <w:rPr>
                <w:sz w:val="20"/>
                <w:szCs w:val="20"/>
              </w:rPr>
              <w:t xml:space="preserve"> in the </w:t>
            </w:r>
            <w:proofErr w:type="spellStart"/>
            <w:r w:rsidRPr="00202216">
              <w:rPr>
                <w:sz w:val="20"/>
                <w:szCs w:val="20"/>
              </w:rPr>
              <w:t>postconviction</w:t>
            </w:r>
            <w:proofErr w:type="spellEnd"/>
            <w:r w:rsidRPr="00202216">
              <w:rPr>
                <w:sz w:val="20"/>
                <w:szCs w:val="20"/>
              </w:rPr>
              <w:t xml:space="preserve"> </w:t>
            </w:r>
            <w:proofErr w:type="spellStart"/>
            <w:r w:rsidRPr="00202216">
              <w:rPr>
                <w:sz w:val="20"/>
                <w:szCs w:val="20"/>
              </w:rPr>
              <w:t>context</w:t>
            </w:r>
            <w:proofErr w:type="spellEnd"/>
            <w:r w:rsidRPr="00202216">
              <w:rPr>
                <w:sz w:val="20"/>
                <w:szCs w:val="20"/>
              </w:rPr>
              <w:t>.“</w:t>
            </w:r>
            <w:r w:rsidRPr="00202216">
              <w:rPr>
                <w:sz w:val="20"/>
                <w:szCs w:val="20"/>
                <w:vertAlign w:val="superscript"/>
              </w:rPr>
              <w:footnoteReference w:id="2082"/>
            </w:r>
            <w:r w:rsidRPr="00202216">
              <w:rPr>
                <w:sz w:val="20"/>
                <w:szCs w:val="20"/>
              </w:rPr>
              <w:t>), nämlich, wenn sie zu den unveräußerlichen Rechten wie dem Streben nach Glück gehör</w:t>
            </w:r>
            <w:r>
              <w:rPr>
                <w:sz w:val="20"/>
                <w:szCs w:val="20"/>
              </w:rPr>
              <w:t>t</w:t>
            </w:r>
            <w:r w:rsidRPr="00202216">
              <w:rPr>
                <w:sz w:val="20"/>
                <w:szCs w:val="20"/>
              </w:rPr>
              <w:t xml:space="preserve">en. Eine Ausprägung </w:t>
            </w:r>
            <w:r>
              <w:rPr>
                <w:sz w:val="20"/>
                <w:szCs w:val="20"/>
              </w:rPr>
              <w:t xml:space="preserve">davon </w:t>
            </w:r>
            <w:r w:rsidRPr="00202216">
              <w:rPr>
                <w:sz w:val="20"/>
                <w:szCs w:val="20"/>
              </w:rPr>
              <w:t xml:space="preserve">sei das Recht, staatliche Beweise zu überprüfen. </w:t>
            </w:r>
            <w:r w:rsidRPr="00B45592">
              <w:rPr>
                <w:sz w:val="20"/>
                <w:szCs w:val="20"/>
                <w:lang w:val="en-IE"/>
              </w:rPr>
              <w:t xml:space="preserve">Denn es </w:t>
            </w:r>
            <w:proofErr w:type="spellStart"/>
            <w:r w:rsidRPr="00B45592">
              <w:rPr>
                <w:sz w:val="20"/>
                <w:szCs w:val="20"/>
                <w:lang w:val="en-IE"/>
              </w:rPr>
              <w:t>verlängere</w:t>
            </w:r>
            <w:proofErr w:type="spellEnd"/>
            <w:r w:rsidRPr="00B45592">
              <w:rPr>
                <w:sz w:val="20"/>
                <w:szCs w:val="20"/>
                <w:lang w:val="en-IE"/>
              </w:rPr>
              <w:t xml:space="preserve"> </w:t>
            </w:r>
            <w:proofErr w:type="spellStart"/>
            <w:r w:rsidRPr="00B45592">
              <w:rPr>
                <w:sz w:val="20"/>
                <w:szCs w:val="20"/>
                <w:lang w:val="en-IE"/>
              </w:rPr>
              <w:t>ein</w:t>
            </w:r>
            <w:proofErr w:type="spellEnd"/>
            <w:r w:rsidRPr="00B45592">
              <w:rPr>
                <w:sz w:val="20"/>
                <w:szCs w:val="20"/>
                <w:lang w:val="en-IE"/>
              </w:rPr>
              <w:t xml:space="preserve"> </w:t>
            </w:r>
            <w:proofErr w:type="spellStart"/>
            <w:r w:rsidRPr="00B45592">
              <w:rPr>
                <w:sz w:val="20"/>
                <w:szCs w:val="20"/>
                <w:lang w:val="en-IE"/>
              </w:rPr>
              <w:t>Kernelement</w:t>
            </w:r>
            <w:proofErr w:type="spellEnd"/>
            <w:r w:rsidRPr="00B45592">
              <w:rPr>
                <w:sz w:val="20"/>
                <w:szCs w:val="20"/>
                <w:lang w:val="en-IE"/>
              </w:rPr>
              <w:t xml:space="preserve"> des </w:t>
            </w:r>
            <w:r w:rsidRPr="5B67C1D2">
              <w:rPr>
                <w:i/>
                <w:iCs/>
                <w:sz w:val="20"/>
                <w:szCs w:val="20"/>
                <w:lang w:val="en-IE"/>
              </w:rPr>
              <w:t>pursuit of Happiness</w:t>
            </w:r>
            <w:r w:rsidRPr="00B45592">
              <w:rPr>
                <w:sz w:val="20"/>
                <w:szCs w:val="20"/>
                <w:lang w:val="en-IE"/>
              </w:rPr>
              <w:t xml:space="preserve">: den Schutz </w:t>
            </w:r>
            <w:proofErr w:type="spellStart"/>
            <w:r w:rsidRPr="00B45592">
              <w:rPr>
                <w:sz w:val="20"/>
                <w:szCs w:val="20"/>
                <w:lang w:val="en-IE"/>
              </w:rPr>
              <w:t>vor</w:t>
            </w:r>
            <w:proofErr w:type="spellEnd"/>
            <w:r w:rsidRPr="00B45592">
              <w:rPr>
                <w:sz w:val="20"/>
                <w:szCs w:val="20"/>
                <w:lang w:val="en-IE"/>
              </w:rPr>
              <w:t xml:space="preserve"> </w:t>
            </w:r>
            <w:proofErr w:type="spellStart"/>
            <w:r w:rsidRPr="00B45592">
              <w:rPr>
                <w:sz w:val="20"/>
                <w:szCs w:val="20"/>
                <w:lang w:val="en-IE"/>
              </w:rPr>
              <w:t>willkürlicher</w:t>
            </w:r>
            <w:proofErr w:type="spellEnd"/>
            <w:r w:rsidRPr="00B45592">
              <w:rPr>
                <w:sz w:val="20"/>
                <w:szCs w:val="20"/>
                <w:lang w:val="en-IE"/>
              </w:rPr>
              <w:t xml:space="preserve"> </w:t>
            </w:r>
            <w:proofErr w:type="spellStart"/>
            <w:r w:rsidRPr="00B45592">
              <w:rPr>
                <w:sz w:val="20"/>
                <w:szCs w:val="20"/>
                <w:lang w:val="en-IE"/>
              </w:rPr>
              <w:t>Freiheitsentziehung</w:t>
            </w:r>
            <w:proofErr w:type="spellEnd"/>
            <w:r w:rsidRPr="00B45592">
              <w:rPr>
                <w:sz w:val="20"/>
                <w:szCs w:val="20"/>
                <w:lang w:val="en-IE"/>
              </w:rPr>
              <w:t xml:space="preserve"> („The ,most elemental‘ of the liberties protected […] is ,the interest in being free from physical detention by one’s own government.</w:t>
            </w:r>
            <w:r w:rsidRPr="001B6693">
              <w:rPr>
                <w:sz w:val="20"/>
                <w:szCs w:val="20"/>
                <w:lang w:val="en-IE"/>
              </w:rPr>
              <w:t>‘“</w:t>
            </w:r>
            <w:r w:rsidRPr="00202216">
              <w:rPr>
                <w:sz w:val="20"/>
                <w:szCs w:val="20"/>
                <w:vertAlign w:val="superscript"/>
              </w:rPr>
              <w:footnoteReference w:id="2083"/>
            </w:r>
            <w:r w:rsidRPr="00202216">
              <w:rPr>
                <w:sz w:val="20"/>
                <w:szCs w:val="20"/>
              </w:rPr>
              <w:t>).</w:t>
            </w:r>
          </w:p>
          <w:p w14:paraId="1C9DBEE2" w14:textId="77777777" w:rsidR="00074551" w:rsidRPr="00E50B51" w:rsidRDefault="00074551" w:rsidP="00367133">
            <w:pPr>
              <w:jc w:val="both"/>
              <w:rPr>
                <w:sz w:val="20"/>
                <w:szCs w:val="20"/>
              </w:rPr>
            </w:pPr>
          </w:p>
        </w:tc>
      </w:tr>
      <w:tr w:rsidR="00074551" w:rsidRPr="00E50B51" w14:paraId="15169D85" w14:textId="77777777" w:rsidTr="00BE689F">
        <w:trPr>
          <w:cantSplit/>
          <w:trHeight w:val="3175"/>
        </w:trPr>
        <w:tc>
          <w:tcPr>
            <w:tcW w:w="293" w:type="pct"/>
          </w:tcPr>
          <w:p w14:paraId="13607E31"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7D5D53F" w14:textId="77777777" w:rsidR="00074551" w:rsidRPr="00B45592" w:rsidRDefault="00074551" w:rsidP="00367133">
            <w:pPr>
              <w:ind w:left="113" w:right="416"/>
              <w:jc w:val="both"/>
              <w:rPr>
                <w:i/>
                <w:sz w:val="20"/>
                <w:szCs w:val="20"/>
                <w:lang w:val="en-US"/>
              </w:rPr>
            </w:pPr>
            <w:r w:rsidRPr="00B45592">
              <w:rPr>
                <w:i/>
                <w:sz w:val="20"/>
                <w:szCs w:val="20"/>
                <w:lang w:val="en-US"/>
              </w:rPr>
              <w:t xml:space="preserve">Lassiter v. </w:t>
            </w:r>
            <w:proofErr w:type="spellStart"/>
            <w:r w:rsidRPr="00B45592">
              <w:rPr>
                <w:i/>
                <w:sz w:val="20"/>
                <w:szCs w:val="20"/>
                <w:lang w:val="en-US"/>
              </w:rPr>
              <w:t>Dep’t</w:t>
            </w:r>
            <w:proofErr w:type="spellEnd"/>
            <w:r w:rsidRPr="00B45592">
              <w:rPr>
                <w:i/>
                <w:sz w:val="20"/>
                <w:szCs w:val="20"/>
                <w:lang w:val="en-US"/>
              </w:rPr>
              <w:t xml:space="preserve"> of Social Services</w:t>
            </w:r>
          </w:p>
        </w:tc>
        <w:tc>
          <w:tcPr>
            <w:tcW w:w="197" w:type="pct"/>
            <w:textDirection w:val="tbRl"/>
            <w:vAlign w:val="center"/>
          </w:tcPr>
          <w:p w14:paraId="6162BB9C" w14:textId="77777777" w:rsidR="00074551" w:rsidRPr="00E50B51" w:rsidRDefault="00074551" w:rsidP="00367133">
            <w:pPr>
              <w:ind w:left="113" w:right="113"/>
              <w:jc w:val="both"/>
              <w:rPr>
                <w:iCs/>
                <w:sz w:val="20"/>
                <w:szCs w:val="20"/>
              </w:rPr>
            </w:pPr>
            <w:r w:rsidRPr="00E50B51">
              <w:rPr>
                <w:sz w:val="20"/>
                <w:szCs w:val="20"/>
                <w:lang w:val="en-US"/>
              </w:rPr>
              <w:t>452 U.S. 18</w:t>
            </w:r>
          </w:p>
        </w:tc>
        <w:tc>
          <w:tcPr>
            <w:tcW w:w="306" w:type="pct"/>
            <w:textDirection w:val="tbRl"/>
            <w:vAlign w:val="center"/>
          </w:tcPr>
          <w:p w14:paraId="23C434E7" w14:textId="77777777" w:rsidR="00074551" w:rsidRPr="00E50B51" w:rsidRDefault="00074551" w:rsidP="00367133">
            <w:pPr>
              <w:ind w:left="113" w:right="113"/>
              <w:jc w:val="both"/>
              <w:rPr>
                <w:sz w:val="20"/>
                <w:szCs w:val="20"/>
              </w:rPr>
            </w:pPr>
            <w:r w:rsidRPr="00E50B51">
              <w:rPr>
                <w:sz w:val="20"/>
                <w:szCs w:val="20"/>
              </w:rPr>
              <w:t>1. Juni 1981</w:t>
            </w:r>
          </w:p>
        </w:tc>
        <w:tc>
          <w:tcPr>
            <w:tcW w:w="401" w:type="pct"/>
          </w:tcPr>
          <w:p w14:paraId="392E449B" w14:textId="77777777" w:rsidR="00074551" w:rsidRPr="00E50B51" w:rsidRDefault="00074551" w:rsidP="00367133">
            <w:pPr>
              <w:jc w:val="center"/>
              <w:rPr>
                <w:sz w:val="20"/>
                <w:szCs w:val="20"/>
              </w:rPr>
            </w:pPr>
            <w:r w:rsidRPr="00E50B51">
              <w:rPr>
                <w:iCs/>
                <w:sz w:val="20"/>
                <w:szCs w:val="20"/>
              </w:rPr>
              <w:t>D</w:t>
            </w:r>
          </w:p>
        </w:tc>
        <w:tc>
          <w:tcPr>
            <w:tcW w:w="1594" w:type="pct"/>
          </w:tcPr>
          <w:p w14:paraId="3F0ABB1C" w14:textId="77777777" w:rsidR="00074551" w:rsidRPr="00E50B51" w:rsidRDefault="00074551" w:rsidP="00367133">
            <w:pPr>
              <w:jc w:val="both"/>
              <w:rPr>
                <w:sz w:val="20"/>
                <w:szCs w:val="20"/>
              </w:rPr>
            </w:pPr>
            <w:r w:rsidRPr="00E50B51">
              <w:rPr>
                <w:sz w:val="20"/>
                <w:szCs w:val="20"/>
              </w:rPr>
              <w:t xml:space="preserve">Im Fall entschied der </w:t>
            </w:r>
            <w:r>
              <w:rPr>
                <w:sz w:val="20"/>
                <w:szCs w:val="20"/>
              </w:rPr>
              <w:t>U.S. Supreme Court</w:t>
            </w:r>
            <w:r w:rsidRPr="00E50B51">
              <w:rPr>
                <w:sz w:val="20"/>
                <w:szCs w:val="20"/>
              </w:rPr>
              <w:t xml:space="preserve">, eine mittellose Mutter habe keinen aus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E50B51">
              <w:rPr>
                <w:sz w:val="20"/>
                <w:szCs w:val="20"/>
              </w:rPr>
              <w:t xml:space="preserve"> abgeleiteten Anspruch auf einen Pflichtverteidiger für einen Sorgerechtsstreit. Während eine Mutter wegen Mordes inhaftiert war, vertrat sie sich selbst in einem Verfahren, bei welchem ihr das Sorgerecht entzogen werden soll</w:t>
            </w:r>
            <w:r>
              <w:rPr>
                <w:sz w:val="20"/>
                <w:szCs w:val="20"/>
              </w:rPr>
              <w:t>t</w:t>
            </w:r>
            <w:r w:rsidRPr="00E50B51">
              <w:rPr>
                <w:sz w:val="20"/>
                <w:szCs w:val="20"/>
              </w:rPr>
              <w:t xml:space="preserve">e. Dabei stellte ihr das erstinstanzliche Gericht keinen Pflichtverteidiger. Das Sorgerecht wurde ihr schließlich abgesprochen. Die Mutter legte Berufung ein und trug vor, sie hätte aufgrund ihrer Mittellosigkeit Anspruch auf einen Pflichtverteidiger gehabt. Der </w:t>
            </w:r>
            <w:r>
              <w:rPr>
                <w:sz w:val="20"/>
                <w:szCs w:val="20"/>
              </w:rPr>
              <w:t>U.S. Supreme Court</w:t>
            </w:r>
            <w:r w:rsidRPr="00E50B51">
              <w:rPr>
                <w:sz w:val="20"/>
                <w:szCs w:val="20"/>
              </w:rPr>
              <w:t xml:space="preserve"> urteilte, dass im Grundsatz ein Anspruch auf einen Pflichtverteidiger nur bestehe, wenn eine Freiheitsentziehung drohe. Indes ha</w:t>
            </w:r>
            <w:r>
              <w:rPr>
                <w:sz w:val="20"/>
                <w:szCs w:val="20"/>
              </w:rPr>
              <w:t>be</w:t>
            </w:r>
            <w:r w:rsidRPr="00E50B51">
              <w:rPr>
                <w:sz w:val="20"/>
                <w:szCs w:val="20"/>
              </w:rPr>
              <w:t xml:space="preserve"> das Gericht stets den Einzelfall abzuwägen: Hier könn</w:t>
            </w:r>
            <w:r>
              <w:rPr>
                <w:sz w:val="20"/>
                <w:szCs w:val="20"/>
              </w:rPr>
              <w:t>t</w:t>
            </w:r>
            <w:r w:rsidRPr="00E50B51">
              <w:rPr>
                <w:sz w:val="20"/>
                <w:szCs w:val="20"/>
              </w:rPr>
              <w:t xml:space="preserve">en </w:t>
            </w:r>
            <w:r>
              <w:rPr>
                <w:sz w:val="20"/>
                <w:szCs w:val="20"/>
              </w:rPr>
              <w:t>z.B.</w:t>
            </w:r>
            <w:r w:rsidRPr="00E50B51">
              <w:rPr>
                <w:sz w:val="20"/>
                <w:szCs w:val="20"/>
              </w:rPr>
              <w:t xml:space="preserve"> die Interessen der Mutter Abweichung vom genannten Grundsatz bedeuten, sodass ein Pflichtverteidiger zu stellen gewesen wäre. Aber der </w:t>
            </w:r>
            <w:r>
              <w:rPr>
                <w:sz w:val="20"/>
                <w:szCs w:val="20"/>
              </w:rPr>
              <w:t>U.S. Supreme Court</w:t>
            </w:r>
            <w:r w:rsidRPr="00E50B51">
              <w:rPr>
                <w:sz w:val="20"/>
                <w:szCs w:val="20"/>
              </w:rPr>
              <w:t xml:space="preserve"> vermochte keinen Abwägungsfehler der Vorinstanz zu erkennen. Denn die Verfassung enthalte </w:t>
            </w:r>
            <w:r w:rsidRPr="5B67C1D2">
              <w:rPr>
                <w:i/>
                <w:iCs/>
                <w:sz w:val="20"/>
                <w:szCs w:val="20"/>
              </w:rPr>
              <w:t>expressis verbis</w:t>
            </w:r>
            <w:r w:rsidRPr="00E50B51">
              <w:rPr>
                <w:sz w:val="20"/>
                <w:szCs w:val="20"/>
              </w:rPr>
              <w:t xml:space="preserve"> keinen Anspruch auf einen Pflichtverteidiger in Verfahren, wo das Sorgerecht entzogen werden solle, selbst wenn der Betroffene mittellos sei.</w:t>
            </w:r>
            <w:r>
              <w:rPr>
                <w:rStyle w:val="Funotenzeichen"/>
                <w:sz w:val="20"/>
                <w:szCs w:val="20"/>
              </w:rPr>
              <w:footnoteReference w:id="2084"/>
            </w:r>
          </w:p>
          <w:p w14:paraId="19B901FB" w14:textId="77777777" w:rsidR="00074551" w:rsidRPr="00E50B51" w:rsidRDefault="00074551" w:rsidP="00367133">
            <w:pPr>
              <w:jc w:val="both"/>
              <w:rPr>
                <w:sz w:val="20"/>
                <w:szCs w:val="20"/>
              </w:rPr>
            </w:pPr>
          </w:p>
        </w:tc>
        <w:tc>
          <w:tcPr>
            <w:tcW w:w="1822" w:type="pct"/>
          </w:tcPr>
          <w:p w14:paraId="698DC7BB" w14:textId="611E9191" w:rsidR="00074551" w:rsidRDefault="00074551" w:rsidP="00367133">
            <w:pPr>
              <w:jc w:val="both"/>
              <w:rPr>
                <w:sz w:val="20"/>
                <w:szCs w:val="20"/>
              </w:rPr>
            </w:pPr>
            <w:r w:rsidRPr="00B2632E">
              <w:rPr>
                <w:sz w:val="20"/>
                <w:szCs w:val="20"/>
                <w:lang w:val="en-US"/>
              </w:rPr>
              <w:t xml:space="preserve">Die </w:t>
            </w:r>
            <w:r w:rsidRPr="5B67C1D2">
              <w:rPr>
                <w:i/>
                <w:iCs/>
                <w:sz w:val="20"/>
                <w:szCs w:val="20"/>
                <w:lang w:val="en-US"/>
              </w:rPr>
              <w:t>majority opinion</w:t>
            </w:r>
            <w:r w:rsidRPr="00B2632E">
              <w:rPr>
                <w:sz w:val="20"/>
                <w:szCs w:val="20"/>
                <w:lang w:val="en-US"/>
              </w:rPr>
              <w:t xml:space="preserve"> </w:t>
            </w:r>
            <w:proofErr w:type="spellStart"/>
            <w:r w:rsidRPr="00B2632E">
              <w:rPr>
                <w:sz w:val="20"/>
                <w:szCs w:val="20"/>
                <w:lang w:val="en-US"/>
              </w:rPr>
              <w:t>meint</w:t>
            </w:r>
            <w:proofErr w:type="spellEnd"/>
            <w:r w:rsidRPr="00B2632E">
              <w:rPr>
                <w:sz w:val="20"/>
                <w:szCs w:val="20"/>
                <w:lang w:val="en-US"/>
              </w:rPr>
              <w:t xml:space="preserve">, die </w:t>
            </w:r>
            <w:r w:rsidRPr="5B67C1D2">
              <w:rPr>
                <w:i/>
                <w:iCs/>
                <w:sz w:val="20"/>
                <w:szCs w:val="20"/>
                <w:lang w:val="en-US"/>
              </w:rPr>
              <w:t>Due Process Clause</w:t>
            </w:r>
            <w:r w:rsidRPr="00B2632E">
              <w:rPr>
                <w:sz w:val="20"/>
                <w:szCs w:val="20"/>
                <w:lang w:val="en-US"/>
              </w:rPr>
              <w:t xml:space="preserve"> </w:t>
            </w:r>
            <w:proofErr w:type="spellStart"/>
            <w:r>
              <w:rPr>
                <w:sz w:val="20"/>
                <w:szCs w:val="20"/>
                <w:lang w:val="en-US"/>
              </w:rPr>
              <w:t>könne</w:t>
            </w:r>
            <w:proofErr w:type="spellEnd"/>
            <w:r w:rsidRPr="00B2632E">
              <w:rPr>
                <w:sz w:val="20"/>
                <w:szCs w:val="20"/>
                <w:lang w:val="en-US"/>
              </w:rPr>
              <w:t xml:space="preserve"> nicht </w:t>
            </w:r>
            <w:proofErr w:type="spellStart"/>
            <w:r w:rsidRPr="00B2632E">
              <w:rPr>
                <w:sz w:val="20"/>
                <w:szCs w:val="20"/>
                <w:lang w:val="en-US"/>
              </w:rPr>
              <w:t>präzise</w:t>
            </w:r>
            <w:proofErr w:type="spellEnd"/>
            <w:r w:rsidRPr="00B2632E">
              <w:rPr>
                <w:sz w:val="20"/>
                <w:szCs w:val="20"/>
                <w:lang w:val="en-US"/>
              </w:rPr>
              <w:t xml:space="preserve"> </w:t>
            </w:r>
            <w:proofErr w:type="spellStart"/>
            <w:r w:rsidRPr="00B2632E">
              <w:rPr>
                <w:sz w:val="20"/>
                <w:szCs w:val="20"/>
                <w:lang w:val="en-US"/>
              </w:rPr>
              <w:t>definiert</w:t>
            </w:r>
            <w:proofErr w:type="spellEnd"/>
            <w:r w:rsidRPr="00B2632E">
              <w:rPr>
                <w:sz w:val="20"/>
                <w:szCs w:val="20"/>
                <w:lang w:val="en-US"/>
              </w:rPr>
              <w:t xml:space="preserve"> </w:t>
            </w:r>
            <w:proofErr w:type="spellStart"/>
            <w:r w:rsidRPr="00B2632E">
              <w:rPr>
                <w:sz w:val="20"/>
                <w:szCs w:val="20"/>
                <w:lang w:val="en-US"/>
              </w:rPr>
              <w:t>werden</w:t>
            </w:r>
            <w:proofErr w:type="spellEnd"/>
            <w:r w:rsidRPr="00B2632E">
              <w:rPr>
                <w:sz w:val="20"/>
                <w:szCs w:val="20"/>
                <w:lang w:val="en-US"/>
              </w:rPr>
              <w:t xml:space="preserve"> („due process […] perhaps can never be, precisely </w:t>
            </w:r>
            <w:proofErr w:type="gramStart"/>
            <w:r w:rsidRPr="00B2632E">
              <w:rPr>
                <w:sz w:val="20"/>
                <w:szCs w:val="20"/>
                <w:lang w:val="en-US"/>
              </w:rPr>
              <w:t>defined“</w:t>
            </w:r>
            <w:proofErr w:type="gramEnd"/>
            <w:r w:rsidRPr="00B2632E">
              <w:rPr>
                <w:sz w:val="20"/>
                <w:szCs w:val="20"/>
                <w:vertAlign w:val="superscript"/>
              </w:rPr>
              <w:footnoteReference w:id="2085"/>
            </w:r>
            <w:r w:rsidRPr="00B2632E">
              <w:rPr>
                <w:sz w:val="20"/>
                <w:szCs w:val="20"/>
                <w:lang w:val="en-US"/>
              </w:rPr>
              <w:t xml:space="preserve">), </w:t>
            </w:r>
            <w:proofErr w:type="spellStart"/>
            <w:r w:rsidRPr="00B2632E">
              <w:rPr>
                <w:sz w:val="20"/>
                <w:szCs w:val="20"/>
                <w:lang w:val="en-US"/>
              </w:rPr>
              <w:t>sie</w:t>
            </w:r>
            <w:proofErr w:type="spellEnd"/>
            <w:r w:rsidRPr="00B2632E">
              <w:rPr>
                <w:sz w:val="20"/>
                <w:szCs w:val="20"/>
                <w:lang w:val="en-US"/>
              </w:rPr>
              <w:t xml:space="preserve"> </w:t>
            </w:r>
            <w:proofErr w:type="spellStart"/>
            <w:r w:rsidRPr="00B2632E">
              <w:rPr>
                <w:sz w:val="20"/>
                <w:szCs w:val="20"/>
                <w:lang w:val="en-US"/>
              </w:rPr>
              <w:t>habe</w:t>
            </w:r>
            <w:proofErr w:type="spellEnd"/>
            <w:r w:rsidRPr="00B2632E">
              <w:rPr>
                <w:sz w:val="20"/>
                <w:szCs w:val="20"/>
                <w:lang w:val="en-US"/>
              </w:rPr>
              <w:t xml:space="preserve"> </w:t>
            </w:r>
            <w:proofErr w:type="spellStart"/>
            <w:r w:rsidRPr="00B2632E">
              <w:rPr>
                <w:sz w:val="20"/>
                <w:szCs w:val="20"/>
                <w:lang w:val="en-US"/>
              </w:rPr>
              <w:t>keinen</w:t>
            </w:r>
            <w:proofErr w:type="spellEnd"/>
            <w:r w:rsidRPr="00B2632E">
              <w:rPr>
                <w:sz w:val="20"/>
                <w:szCs w:val="20"/>
                <w:lang w:val="en-US"/>
              </w:rPr>
              <w:t xml:space="preserve"> </w:t>
            </w:r>
            <w:proofErr w:type="spellStart"/>
            <w:r w:rsidRPr="00B2632E">
              <w:rPr>
                <w:sz w:val="20"/>
                <w:szCs w:val="20"/>
                <w:lang w:val="en-US"/>
              </w:rPr>
              <w:t>festen</w:t>
            </w:r>
            <w:proofErr w:type="spellEnd"/>
            <w:r w:rsidRPr="00B2632E">
              <w:rPr>
                <w:sz w:val="20"/>
                <w:szCs w:val="20"/>
                <w:lang w:val="en-US"/>
              </w:rPr>
              <w:t xml:space="preserve"> </w:t>
            </w:r>
            <w:proofErr w:type="spellStart"/>
            <w:r w:rsidRPr="00B2632E">
              <w:rPr>
                <w:sz w:val="20"/>
                <w:szCs w:val="20"/>
                <w:lang w:val="en-US"/>
              </w:rPr>
              <w:t>Inhalt</w:t>
            </w:r>
            <w:proofErr w:type="spellEnd"/>
            <w:r w:rsidRPr="00B2632E">
              <w:rPr>
                <w:sz w:val="20"/>
                <w:szCs w:val="20"/>
                <w:lang w:val="en-US"/>
              </w:rPr>
              <w:t xml:space="preserve"> („not a technical conception with a fixed </w:t>
            </w:r>
            <w:proofErr w:type="gramStart"/>
            <w:r w:rsidRPr="00B2632E">
              <w:rPr>
                <w:sz w:val="20"/>
                <w:szCs w:val="20"/>
                <w:lang w:val="en-US"/>
              </w:rPr>
              <w:t>content“</w:t>
            </w:r>
            <w:proofErr w:type="gramEnd"/>
            <w:r w:rsidRPr="00B2632E">
              <w:rPr>
                <w:sz w:val="20"/>
                <w:szCs w:val="20"/>
                <w:vertAlign w:val="superscript"/>
              </w:rPr>
              <w:footnoteReference w:id="2086"/>
            </w:r>
            <w:r w:rsidRPr="00B2632E">
              <w:rPr>
                <w:sz w:val="20"/>
                <w:szCs w:val="20"/>
                <w:lang w:val="en-US"/>
              </w:rPr>
              <w:t xml:space="preserve">). </w:t>
            </w:r>
            <w:r w:rsidRPr="00B45592">
              <w:rPr>
                <w:sz w:val="20"/>
                <w:szCs w:val="20"/>
              </w:rPr>
              <w:t>Sondern sie müsse sich bei ihrer Anwendung von Fall zu Fall am Grundrecht des rechtsstaatlichen Verfahrens orientieren („</w:t>
            </w:r>
            <w:proofErr w:type="spellStart"/>
            <w:r w:rsidRPr="00B45592">
              <w:rPr>
                <w:sz w:val="20"/>
                <w:szCs w:val="20"/>
              </w:rPr>
              <w:t>Applying</w:t>
            </w:r>
            <w:proofErr w:type="spellEnd"/>
            <w:r w:rsidRPr="00B45592">
              <w:rPr>
                <w:sz w:val="20"/>
                <w:szCs w:val="20"/>
              </w:rPr>
              <w:t xml:space="preserve"> the Due </w:t>
            </w:r>
            <w:proofErr w:type="spellStart"/>
            <w:r w:rsidRPr="00B45592">
              <w:rPr>
                <w:sz w:val="20"/>
                <w:szCs w:val="20"/>
              </w:rPr>
              <w:t>Process</w:t>
            </w:r>
            <w:proofErr w:type="spellEnd"/>
            <w:r w:rsidRPr="00B45592">
              <w:rPr>
                <w:sz w:val="20"/>
                <w:szCs w:val="20"/>
              </w:rPr>
              <w:t xml:space="preserve"> </w:t>
            </w:r>
            <w:proofErr w:type="spellStart"/>
            <w:r w:rsidRPr="00B45592">
              <w:rPr>
                <w:sz w:val="20"/>
                <w:szCs w:val="20"/>
              </w:rPr>
              <w:t>Clause</w:t>
            </w:r>
            <w:proofErr w:type="spellEnd"/>
            <w:r w:rsidRPr="00B45592">
              <w:rPr>
                <w:sz w:val="20"/>
                <w:szCs w:val="20"/>
              </w:rPr>
              <w:t xml:space="preserve"> […] </w:t>
            </w:r>
            <w:proofErr w:type="spellStart"/>
            <w:r w:rsidRPr="00B45592">
              <w:rPr>
                <w:sz w:val="20"/>
                <w:szCs w:val="20"/>
              </w:rPr>
              <w:t>must</w:t>
            </w:r>
            <w:proofErr w:type="spellEnd"/>
            <w:r w:rsidRPr="00B45592">
              <w:rPr>
                <w:sz w:val="20"/>
                <w:szCs w:val="20"/>
              </w:rPr>
              <w:t xml:space="preserve"> </w:t>
            </w:r>
            <w:proofErr w:type="spellStart"/>
            <w:r w:rsidRPr="00B45592">
              <w:rPr>
                <w:sz w:val="20"/>
                <w:szCs w:val="20"/>
              </w:rPr>
              <w:t>discover</w:t>
            </w:r>
            <w:proofErr w:type="spellEnd"/>
            <w:r w:rsidRPr="00B45592">
              <w:rPr>
                <w:sz w:val="20"/>
                <w:szCs w:val="20"/>
              </w:rPr>
              <w:t xml:space="preserve"> </w:t>
            </w:r>
            <w:proofErr w:type="spellStart"/>
            <w:r w:rsidRPr="00B45592">
              <w:rPr>
                <w:sz w:val="20"/>
                <w:szCs w:val="20"/>
              </w:rPr>
              <w:t>what</w:t>
            </w:r>
            <w:proofErr w:type="spellEnd"/>
            <w:r w:rsidRPr="00B45592">
              <w:rPr>
                <w:sz w:val="20"/>
                <w:szCs w:val="20"/>
              </w:rPr>
              <w:t xml:space="preserve"> fundamental </w:t>
            </w:r>
            <w:proofErr w:type="spellStart"/>
            <w:r w:rsidRPr="00B45592">
              <w:rPr>
                <w:sz w:val="20"/>
                <w:szCs w:val="20"/>
              </w:rPr>
              <w:t>fairness</w:t>
            </w:r>
            <w:proofErr w:type="spellEnd"/>
            <w:r w:rsidRPr="00B45592">
              <w:rPr>
                <w:sz w:val="20"/>
                <w:szCs w:val="20"/>
              </w:rPr>
              <w:t xml:space="preserve"> </w:t>
            </w:r>
            <w:proofErr w:type="spellStart"/>
            <w:r w:rsidRPr="00B45592">
              <w:rPr>
                <w:sz w:val="20"/>
                <w:szCs w:val="20"/>
              </w:rPr>
              <w:t>consists</w:t>
            </w:r>
            <w:proofErr w:type="spellEnd"/>
            <w:r w:rsidRPr="00B45592">
              <w:rPr>
                <w:sz w:val="20"/>
                <w:szCs w:val="20"/>
              </w:rPr>
              <w:t xml:space="preserve"> of in a </w:t>
            </w:r>
            <w:proofErr w:type="spellStart"/>
            <w:r w:rsidRPr="00B45592">
              <w:rPr>
                <w:sz w:val="20"/>
                <w:szCs w:val="20"/>
              </w:rPr>
              <w:t>particular</w:t>
            </w:r>
            <w:proofErr w:type="spellEnd"/>
            <w:r w:rsidRPr="00B45592">
              <w:rPr>
                <w:sz w:val="20"/>
                <w:szCs w:val="20"/>
              </w:rPr>
              <w:t xml:space="preserve"> </w:t>
            </w:r>
            <w:proofErr w:type="spellStart"/>
            <w:r w:rsidRPr="00B45592">
              <w:rPr>
                <w:sz w:val="20"/>
                <w:szCs w:val="20"/>
              </w:rPr>
              <w:t>situation</w:t>
            </w:r>
            <w:proofErr w:type="spellEnd"/>
            <w:r w:rsidRPr="00B45592">
              <w:rPr>
                <w:sz w:val="20"/>
                <w:szCs w:val="20"/>
              </w:rPr>
              <w:t xml:space="preserve"> </w:t>
            </w:r>
            <w:proofErr w:type="spellStart"/>
            <w:r w:rsidRPr="00B45592">
              <w:rPr>
                <w:sz w:val="20"/>
                <w:szCs w:val="20"/>
              </w:rPr>
              <w:t>fairness</w:t>
            </w:r>
            <w:proofErr w:type="spellEnd"/>
            <w:r w:rsidRPr="00B45592">
              <w:rPr>
                <w:sz w:val="20"/>
                <w:szCs w:val="20"/>
              </w:rPr>
              <w:t>“</w:t>
            </w:r>
            <w:r w:rsidRPr="00B2632E">
              <w:rPr>
                <w:sz w:val="20"/>
                <w:szCs w:val="20"/>
                <w:vertAlign w:val="superscript"/>
              </w:rPr>
              <w:footnoteReference w:id="2087"/>
            </w:r>
            <w:r w:rsidRPr="00B45592">
              <w:rPr>
                <w:sz w:val="20"/>
                <w:szCs w:val="20"/>
              </w:rPr>
              <w:t xml:space="preserve">). </w:t>
            </w:r>
            <w:r w:rsidRPr="00B2632E">
              <w:rPr>
                <w:sz w:val="20"/>
                <w:szCs w:val="20"/>
              </w:rPr>
              <w:t xml:space="preserve">Das meint einen Zweischritt, um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5B67C1D2">
              <w:rPr>
                <w:i/>
                <w:iCs/>
                <w:sz w:val="20"/>
                <w:szCs w:val="20"/>
              </w:rPr>
              <w:t xml:space="preserve"> </w:t>
            </w:r>
            <w:r w:rsidRPr="00B2632E">
              <w:rPr>
                <w:sz w:val="20"/>
                <w:szCs w:val="20"/>
              </w:rPr>
              <w:t xml:space="preserve">auszulösen: Erstens sind für den Einzelfall alle Präzedenzfälle zu versammeln. Und zweitens sind die im Einzelfall betroffenen Interessen entsprechend den vorherigen Präzedenzen abzuwägen („by </w:t>
            </w:r>
            <w:proofErr w:type="spellStart"/>
            <w:r w:rsidRPr="00B2632E">
              <w:rPr>
                <w:sz w:val="20"/>
                <w:szCs w:val="20"/>
              </w:rPr>
              <w:t>first</w:t>
            </w:r>
            <w:proofErr w:type="spellEnd"/>
            <w:r w:rsidRPr="00B2632E">
              <w:rPr>
                <w:sz w:val="20"/>
                <w:szCs w:val="20"/>
              </w:rPr>
              <w:t xml:space="preserve"> </w:t>
            </w:r>
            <w:proofErr w:type="spellStart"/>
            <w:r w:rsidRPr="00B2632E">
              <w:rPr>
                <w:sz w:val="20"/>
                <w:szCs w:val="20"/>
              </w:rPr>
              <w:t>considering</w:t>
            </w:r>
            <w:proofErr w:type="spellEnd"/>
            <w:r w:rsidRPr="00B2632E">
              <w:rPr>
                <w:sz w:val="20"/>
                <w:szCs w:val="20"/>
              </w:rPr>
              <w:t xml:space="preserve"> </w:t>
            </w:r>
            <w:proofErr w:type="spellStart"/>
            <w:r w:rsidRPr="00B2632E">
              <w:rPr>
                <w:sz w:val="20"/>
                <w:szCs w:val="20"/>
              </w:rPr>
              <w:t>any</w:t>
            </w:r>
            <w:proofErr w:type="spellEnd"/>
            <w:r w:rsidRPr="00B2632E">
              <w:rPr>
                <w:sz w:val="20"/>
                <w:szCs w:val="20"/>
              </w:rPr>
              <w:t xml:space="preserve"> relevant </w:t>
            </w:r>
            <w:proofErr w:type="spellStart"/>
            <w:r w:rsidRPr="00B2632E">
              <w:rPr>
                <w:sz w:val="20"/>
                <w:szCs w:val="20"/>
              </w:rPr>
              <w:t>precedents</w:t>
            </w:r>
            <w:proofErr w:type="spellEnd"/>
            <w:r w:rsidRPr="00B2632E">
              <w:rPr>
                <w:sz w:val="20"/>
                <w:szCs w:val="20"/>
              </w:rPr>
              <w:t xml:space="preserve"> and </w:t>
            </w:r>
            <w:proofErr w:type="spellStart"/>
            <w:r w:rsidRPr="00B2632E">
              <w:rPr>
                <w:sz w:val="20"/>
                <w:szCs w:val="20"/>
              </w:rPr>
              <w:t>then</w:t>
            </w:r>
            <w:proofErr w:type="spellEnd"/>
            <w:r w:rsidRPr="00B2632E">
              <w:rPr>
                <w:sz w:val="20"/>
                <w:szCs w:val="20"/>
              </w:rPr>
              <w:t xml:space="preserve"> by </w:t>
            </w:r>
            <w:proofErr w:type="spellStart"/>
            <w:r w:rsidRPr="00B2632E">
              <w:rPr>
                <w:sz w:val="20"/>
                <w:szCs w:val="20"/>
              </w:rPr>
              <w:t>assessing</w:t>
            </w:r>
            <w:proofErr w:type="spellEnd"/>
            <w:r w:rsidRPr="00B2632E">
              <w:rPr>
                <w:sz w:val="20"/>
                <w:szCs w:val="20"/>
              </w:rPr>
              <w:t xml:space="preserve"> the </w:t>
            </w:r>
            <w:proofErr w:type="spellStart"/>
            <w:r w:rsidRPr="00B2632E">
              <w:rPr>
                <w:sz w:val="20"/>
                <w:szCs w:val="20"/>
              </w:rPr>
              <w:t>several</w:t>
            </w:r>
            <w:proofErr w:type="spellEnd"/>
            <w:r w:rsidRPr="00B2632E">
              <w:rPr>
                <w:sz w:val="20"/>
                <w:szCs w:val="20"/>
              </w:rPr>
              <w:t xml:space="preserve"> </w:t>
            </w:r>
            <w:proofErr w:type="spellStart"/>
            <w:r w:rsidRPr="00B2632E">
              <w:rPr>
                <w:sz w:val="20"/>
                <w:szCs w:val="20"/>
              </w:rPr>
              <w:t>interests</w:t>
            </w:r>
            <w:proofErr w:type="spellEnd"/>
            <w:r w:rsidRPr="00B2632E">
              <w:rPr>
                <w:sz w:val="20"/>
                <w:szCs w:val="20"/>
              </w:rPr>
              <w:t xml:space="preserve"> </w:t>
            </w:r>
            <w:proofErr w:type="spellStart"/>
            <w:r w:rsidRPr="00B2632E">
              <w:rPr>
                <w:sz w:val="20"/>
                <w:szCs w:val="20"/>
              </w:rPr>
              <w:t>that</w:t>
            </w:r>
            <w:proofErr w:type="spellEnd"/>
            <w:r w:rsidRPr="00B2632E">
              <w:rPr>
                <w:sz w:val="20"/>
                <w:szCs w:val="20"/>
              </w:rPr>
              <w:t xml:space="preserve"> </w:t>
            </w:r>
            <w:proofErr w:type="spellStart"/>
            <w:r w:rsidRPr="00B2632E">
              <w:rPr>
                <w:sz w:val="20"/>
                <w:szCs w:val="20"/>
              </w:rPr>
              <w:t>are</w:t>
            </w:r>
            <w:proofErr w:type="spellEnd"/>
            <w:r w:rsidRPr="00B2632E">
              <w:rPr>
                <w:sz w:val="20"/>
                <w:szCs w:val="20"/>
              </w:rPr>
              <w:t xml:space="preserve"> at stake“</w:t>
            </w:r>
            <w:r w:rsidRPr="00B2632E">
              <w:rPr>
                <w:sz w:val="20"/>
                <w:szCs w:val="20"/>
                <w:vertAlign w:val="superscript"/>
              </w:rPr>
              <w:footnoteReference w:id="2088"/>
            </w:r>
            <w:r w:rsidRPr="00B2632E">
              <w:rPr>
                <w:sz w:val="20"/>
                <w:szCs w:val="20"/>
              </w:rPr>
              <w:t xml:space="preserve">). Die </w:t>
            </w:r>
            <w:proofErr w:type="spellStart"/>
            <w:r w:rsidR="00C01996">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B2632E">
              <w:rPr>
                <w:sz w:val="20"/>
                <w:szCs w:val="20"/>
              </w:rPr>
              <w:t xml:space="preserve"> besprach wiederum </w:t>
            </w:r>
            <w:r>
              <w:rPr>
                <w:sz w:val="20"/>
                <w:szCs w:val="20"/>
              </w:rPr>
              <w:t>das</w:t>
            </w:r>
            <w:r w:rsidRPr="00B2632E">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B2632E">
              <w:rPr>
                <w:sz w:val="20"/>
                <w:szCs w:val="20"/>
              </w:rPr>
              <w:t>. Sie verwies zunächst darauf, die elterlichen Rechte seien als Interesse so gewichtig, dass ein Gericht sie nur unter strengsten Verfahrensanforderungen wie einem Verfahrensbeistand einschränken könne („the </w:t>
            </w:r>
            <w:proofErr w:type="spellStart"/>
            <w:r w:rsidRPr="00B2632E">
              <w:rPr>
                <w:sz w:val="20"/>
                <w:szCs w:val="20"/>
              </w:rPr>
              <w:t>unique</w:t>
            </w:r>
            <w:proofErr w:type="spellEnd"/>
            <w:r w:rsidRPr="00B2632E">
              <w:rPr>
                <w:sz w:val="20"/>
                <w:szCs w:val="20"/>
              </w:rPr>
              <w:t xml:space="preserve"> </w:t>
            </w:r>
            <w:proofErr w:type="spellStart"/>
            <w:r w:rsidRPr="00B2632E">
              <w:rPr>
                <w:sz w:val="20"/>
                <w:szCs w:val="20"/>
              </w:rPr>
              <w:t>importance</w:t>
            </w:r>
            <w:proofErr w:type="spellEnd"/>
            <w:r w:rsidRPr="00B2632E">
              <w:rPr>
                <w:sz w:val="20"/>
                <w:szCs w:val="20"/>
              </w:rPr>
              <w:t xml:space="preserve"> of a </w:t>
            </w:r>
            <w:proofErr w:type="spellStart"/>
            <w:r w:rsidRPr="00B2632E">
              <w:rPr>
                <w:sz w:val="20"/>
                <w:szCs w:val="20"/>
              </w:rPr>
              <w:t>parent</w:t>
            </w:r>
            <w:r>
              <w:rPr>
                <w:sz w:val="20"/>
                <w:szCs w:val="20"/>
              </w:rPr>
              <w:t>’</w:t>
            </w:r>
            <w:r w:rsidRPr="00B2632E">
              <w:rPr>
                <w:sz w:val="20"/>
                <w:szCs w:val="20"/>
              </w:rPr>
              <w:t>s</w:t>
            </w:r>
            <w:proofErr w:type="spellEnd"/>
            <w:r w:rsidRPr="00B2632E">
              <w:rPr>
                <w:sz w:val="20"/>
                <w:szCs w:val="20"/>
              </w:rPr>
              <w:t xml:space="preserve"> </w:t>
            </w:r>
            <w:proofErr w:type="spellStart"/>
            <w:r w:rsidRPr="00B2632E">
              <w:rPr>
                <w:sz w:val="20"/>
                <w:szCs w:val="20"/>
              </w:rPr>
              <w:t>interest</w:t>
            </w:r>
            <w:proofErr w:type="spellEnd"/>
            <w:r w:rsidRPr="00B2632E">
              <w:rPr>
                <w:sz w:val="20"/>
                <w:szCs w:val="20"/>
              </w:rPr>
              <w:t xml:space="preserve"> […] </w:t>
            </w:r>
            <w:proofErr w:type="spellStart"/>
            <w:r w:rsidRPr="00B2632E">
              <w:rPr>
                <w:sz w:val="20"/>
                <w:szCs w:val="20"/>
              </w:rPr>
              <w:t>cannot</w:t>
            </w:r>
            <w:proofErr w:type="spellEnd"/>
            <w:r w:rsidRPr="00B2632E">
              <w:rPr>
                <w:sz w:val="20"/>
                <w:szCs w:val="20"/>
              </w:rPr>
              <w:t xml:space="preserve"> </w:t>
            </w:r>
            <w:proofErr w:type="spellStart"/>
            <w:r w:rsidRPr="00B2632E">
              <w:rPr>
                <w:sz w:val="20"/>
                <w:szCs w:val="20"/>
              </w:rPr>
              <w:t>constitutionally</w:t>
            </w:r>
            <w:proofErr w:type="spellEnd"/>
            <w:r w:rsidRPr="00B2632E">
              <w:rPr>
                <w:sz w:val="20"/>
                <w:szCs w:val="20"/>
              </w:rPr>
              <w:t xml:space="preserve"> </w:t>
            </w:r>
            <w:proofErr w:type="spellStart"/>
            <w:r w:rsidRPr="00B2632E">
              <w:rPr>
                <w:sz w:val="20"/>
                <w:szCs w:val="20"/>
              </w:rPr>
              <w:t>be</w:t>
            </w:r>
            <w:proofErr w:type="spellEnd"/>
            <w:r w:rsidRPr="00B2632E">
              <w:rPr>
                <w:sz w:val="20"/>
                <w:szCs w:val="20"/>
              </w:rPr>
              <w:t xml:space="preserve"> </w:t>
            </w:r>
            <w:proofErr w:type="spellStart"/>
            <w:r w:rsidRPr="00B2632E">
              <w:rPr>
                <w:sz w:val="20"/>
                <w:szCs w:val="20"/>
              </w:rPr>
              <w:t>extinguished</w:t>
            </w:r>
            <w:proofErr w:type="spellEnd"/>
            <w:r w:rsidRPr="00B2632E">
              <w:rPr>
                <w:sz w:val="20"/>
                <w:szCs w:val="20"/>
              </w:rPr>
              <w:t xml:space="preserve"> </w:t>
            </w:r>
            <w:proofErr w:type="spellStart"/>
            <w:r w:rsidRPr="00B2632E">
              <w:rPr>
                <w:sz w:val="20"/>
                <w:szCs w:val="20"/>
              </w:rPr>
              <w:t>through</w:t>
            </w:r>
            <w:proofErr w:type="spellEnd"/>
            <w:r w:rsidRPr="00B2632E">
              <w:rPr>
                <w:sz w:val="20"/>
                <w:szCs w:val="20"/>
              </w:rPr>
              <w:t xml:space="preserve"> formal </w:t>
            </w:r>
            <w:proofErr w:type="spellStart"/>
            <w:r w:rsidRPr="00B2632E">
              <w:rPr>
                <w:sz w:val="20"/>
                <w:szCs w:val="20"/>
              </w:rPr>
              <w:t>judicial</w:t>
            </w:r>
            <w:proofErr w:type="spellEnd"/>
            <w:r w:rsidRPr="00B2632E">
              <w:rPr>
                <w:sz w:val="20"/>
                <w:szCs w:val="20"/>
              </w:rPr>
              <w:t xml:space="preserve"> </w:t>
            </w:r>
            <w:proofErr w:type="spellStart"/>
            <w:r w:rsidRPr="00B2632E">
              <w:rPr>
                <w:sz w:val="20"/>
                <w:szCs w:val="20"/>
              </w:rPr>
              <w:t>proceedings</w:t>
            </w:r>
            <w:proofErr w:type="spellEnd"/>
            <w:r w:rsidRPr="00B2632E">
              <w:rPr>
                <w:sz w:val="20"/>
                <w:szCs w:val="20"/>
              </w:rPr>
              <w:t xml:space="preserve"> </w:t>
            </w:r>
            <w:proofErr w:type="spellStart"/>
            <w:r w:rsidRPr="00B2632E">
              <w:rPr>
                <w:sz w:val="20"/>
                <w:szCs w:val="20"/>
              </w:rPr>
              <w:t>without</w:t>
            </w:r>
            <w:proofErr w:type="spellEnd"/>
            <w:r w:rsidRPr="00B2632E">
              <w:rPr>
                <w:sz w:val="20"/>
                <w:szCs w:val="20"/>
              </w:rPr>
              <w:t xml:space="preserve"> the </w:t>
            </w:r>
            <w:proofErr w:type="spellStart"/>
            <w:r w:rsidRPr="00B2632E">
              <w:rPr>
                <w:sz w:val="20"/>
                <w:szCs w:val="20"/>
              </w:rPr>
              <w:t>benefit</w:t>
            </w:r>
            <w:proofErr w:type="spellEnd"/>
            <w:r w:rsidRPr="00B2632E">
              <w:rPr>
                <w:sz w:val="20"/>
                <w:szCs w:val="20"/>
              </w:rPr>
              <w:t xml:space="preserve"> of </w:t>
            </w:r>
            <w:proofErr w:type="spellStart"/>
            <w:r w:rsidRPr="00B2632E">
              <w:rPr>
                <w:sz w:val="20"/>
                <w:szCs w:val="20"/>
              </w:rPr>
              <w:t>counsel</w:t>
            </w:r>
            <w:proofErr w:type="spellEnd"/>
            <w:r w:rsidRPr="00B2632E">
              <w:rPr>
                <w:sz w:val="20"/>
                <w:szCs w:val="20"/>
              </w:rPr>
              <w:t>“</w:t>
            </w:r>
            <w:r w:rsidRPr="00B2632E">
              <w:rPr>
                <w:sz w:val="20"/>
                <w:szCs w:val="20"/>
                <w:vertAlign w:val="superscript"/>
              </w:rPr>
              <w:footnoteReference w:id="2089"/>
            </w:r>
            <w:r w:rsidRPr="00B2632E">
              <w:rPr>
                <w:sz w:val="20"/>
                <w:szCs w:val="20"/>
              </w:rPr>
              <w:t>). Denn das elterliche Interesse am Sorgerecht habe erhebliches Gewicht („</w:t>
            </w:r>
            <w:proofErr w:type="spellStart"/>
            <w:r w:rsidRPr="00B2632E">
              <w:rPr>
                <w:sz w:val="20"/>
                <w:szCs w:val="20"/>
              </w:rPr>
              <w:t>interest</w:t>
            </w:r>
            <w:proofErr w:type="spellEnd"/>
            <w:r w:rsidRPr="00B2632E">
              <w:rPr>
                <w:sz w:val="20"/>
                <w:szCs w:val="20"/>
              </w:rPr>
              <w:t xml:space="preserve"> </w:t>
            </w:r>
            <w:proofErr w:type="spellStart"/>
            <w:r w:rsidRPr="00B2632E">
              <w:rPr>
                <w:sz w:val="20"/>
                <w:szCs w:val="20"/>
              </w:rPr>
              <w:t>occupies</w:t>
            </w:r>
            <w:proofErr w:type="spellEnd"/>
            <w:r w:rsidRPr="00B2632E">
              <w:rPr>
                <w:sz w:val="20"/>
                <w:szCs w:val="20"/>
              </w:rPr>
              <w:t xml:space="preserve"> a </w:t>
            </w:r>
            <w:proofErr w:type="spellStart"/>
            <w:r w:rsidRPr="00B2632E">
              <w:rPr>
                <w:sz w:val="20"/>
                <w:szCs w:val="20"/>
              </w:rPr>
              <w:t>unique</w:t>
            </w:r>
            <w:proofErr w:type="spellEnd"/>
            <w:r w:rsidRPr="00B2632E">
              <w:rPr>
                <w:sz w:val="20"/>
                <w:szCs w:val="20"/>
              </w:rPr>
              <w:t xml:space="preserve"> </w:t>
            </w:r>
            <w:proofErr w:type="spellStart"/>
            <w:r w:rsidRPr="00B2632E">
              <w:rPr>
                <w:sz w:val="20"/>
                <w:szCs w:val="20"/>
              </w:rPr>
              <w:t>place</w:t>
            </w:r>
            <w:proofErr w:type="spellEnd"/>
            <w:r w:rsidRPr="00B2632E">
              <w:rPr>
                <w:sz w:val="20"/>
                <w:szCs w:val="20"/>
              </w:rPr>
              <w:t xml:space="preserve"> in </w:t>
            </w:r>
            <w:proofErr w:type="spellStart"/>
            <w:r w:rsidRPr="00B2632E">
              <w:rPr>
                <w:sz w:val="20"/>
                <w:szCs w:val="20"/>
              </w:rPr>
              <w:t>our</w:t>
            </w:r>
            <w:proofErr w:type="spellEnd"/>
            <w:r w:rsidRPr="00B2632E">
              <w:rPr>
                <w:sz w:val="20"/>
                <w:szCs w:val="20"/>
              </w:rPr>
              <w:t xml:space="preserve"> legal </w:t>
            </w:r>
            <w:proofErr w:type="spellStart"/>
            <w:r w:rsidRPr="00B2632E">
              <w:rPr>
                <w:sz w:val="20"/>
                <w:szCs w:val="20"/>
              </w:rPr>
              <w:t>culture</w:t>
            </w:r>
            <w:proofErr w:type="spellEnd"/>
            <w:r w:rsidRPr="00B2632E">
              <w:rPr>
                <w:sz w:val="20"/>
                <w:szCs w:val="20"/>
              </w:rPr>
              <w:t>“</w:t>
            </w:r>
            <w:r w:rsidRPr="00B2632E">
              <w:rPr>
                <w:sz w:val="20"/>
                <w:szCs w:val="20"/>
                <w:vertAlign w:val="superscript"/>
              </w:rPr>
              <w:footnoteReference w:id="2090"/>
            </w:r>
            <w:r w:rsidRPr="00B2632E">
              <w:rPr>
                <w:sz w:val="20"/>
                <w:szCs w:val="20"/>
              </w:rPr>
              <w:t>), die nur ein Gerichtsverfahren mit Rechtsbeistand verfassungskonform aufheben könne. Doch woher kommt diese einzigartige Bedeutung bzw. Wichtigkeit, die ein Gerichtsverfahren mit Rechtsbeistand notwendig mach</w:t>
            </w:r>
            <w:r>
              <w:rPr>
                <w:sz w:val="20"/>
                <w:szCs w:val="20"/>
              </w:rPr>
              <w:t>t</w:t>
            </w:r>
            <w:r w:rsidRPr="00B2632E">
              <w:rPr>
                <w:sz w:val="20"/>
                <w:szCs w:val="20"/>
              </w:rPr>
              <w:t xml:space="preserve">? Zunächst umfassen die elterlichen Rechte das Interesse eines Elternteils am Zusammenleben mit dem Kind, an der Pflege </w:t>
            </w:r>
            <w:r>
              <w:rPr>
                <w:sz w:val="20"/>
                <w:szCs w:val="20"/>
              </w:rPr>
              <w:t>des Kindes</w:t>
            </w:r>
            <w:r w:rsidRPr="00B2632E">
              <w:rPr>
                <w:sz w:val="20"/>
                <w:szCs w:val="20"/>
              </w:rPr>
              <w:t xml:space="preserve"> und am Sorgerecht sowie an der Erziehung des Kindes.</w:t>
            </w:r>
            <w:r w:rsidRPr="00B2632E">
              <w:rPr>
                <w:sz w:val="20"/>
                <w:szCs w:val="20"/>
                <w:vertAlign w:val="superscript"/>
              </w:rPr>
              <w:footnoteReference w:id="2091"/>
            </w:r>
            <w:r w:rsidRPr="00B2632E">
              <w:rPr>
                <w:sz w:val="20"/>
                <w:szCs w:val="20"/>
              </w:rPr>
              <w:t xml:space="preserve"> Diese Rechte beschreiben das Familienleben. Sie bilden den Kern des Persönlichkeitsrechts („</w:t>
            </w:r>
            <w:proofErr w:type="spellStart"/>
            <w:r w:rsidRPr="00B2632E">
              <w:rPr>
                <w:sz w:val="20"/>
                <w:szCs w:val="20"/>
              </w:rPr>
              <w:t>centrality</w:t>
            </w:r>
            <w:proofErr w:type="spellEnd"/>
            <w:r w:rsidRPr="00B2632E">
              <w:rPr>
                <w:sz w:val="20"/>
                <w:szCs w:val="20"/>
              </w:rPr>
              <w:t xml:space="preserve"> of </w:t>
            </w:r>
            <w:proofErr w:type="spellStart"/>
            <w:r w:rsidRPr="00B2632E">
              <w:rPr>
                <w:sz w:val="20"/>
                <w:szCs w:val="20"/>
              </w:rPr>
              <w:t>family</w:t>
            </w:r>
            <w:proofErr w:type="spellEnd"/>
            <w:r w:rsidRPr="00B2632E">
              <w:rPr>
                <w:sz w:val="20"/>
                <w:szCs w:val="20"/>
              </w:rPr>
              <w:t xml:space="preserve"> </w:t>
            </w:r>
            <w:proofErr w:type="spellStart"/>
            <w:r w:rsidRPr="00B2632E">
              <w:rPr>
                <w:sz w:val="20"/>
                <w:szCs w:val="20"/>
              </w:rPr>
              <w:t>life</w:t>
            </w:r>
            <w:proofErr w:type="spellEnd"/>
            <w:r w:rsidRPr="00B2632E">
              <w:rPr>
                <w:sz w:val="20"/>
                <w:szCs w:val="20"/>
              </w:rPr>
              <w:t xml:space="preserve"> as the </w:t>
            </w:r>
            <w:proofErr w:type="spellStart"/>
            <w:r w:rsidRPr="00B2632E">
              <w:rPr>
                <w:sz w:val="20"/>
                <w:szCs w:val="20"/>
              </w:rPr>
              <w:t>focus</w:t>
            </w:r>
            <w:proofErr w:type="spellEnd"/>
            <w:r w:rsidRPr="00B2632E">
              <w:rPr>
                <w:sz w:val="20"/>
                <w:szCs w:val="20"/>
              </w:rPr>
              <w:t xml:space="preserve"> for personal </w:t>
            </w:r>
            <w:proofErr w:type="spellStart"/>
            <w:r w:rsidRPr="00B2632E">
              <w:rPr>
                <w:sz w:val="20"/>
                <w:szCs w:val="20"/>
              </w:rPr>
              <w:t>meaning</w:t>
            </w:r>
            <w:proofErr w:type="spellEnd"/>
            <w:r w:rsidRPr="00B2632E">
              <w:rPr>
                <w:sz w:val="20"/>
                <w:szCs w:val="20"/>
              </w:rPr>
              <w:t>“</w:t>
            </w:r>
            <w:r w:rsidRPr="00B2632E">
              <w:rPr>
                <w:sz w:val="20"/>
                <w:szCs w:val="20"/>
                <w:vertAlign w:val="superscript"/>
              </w:rPr>
              <w:footnoteReference w:id="2092"/>
            </w:r>
            <w:r w:rsidRPr="00B2632E">
              <w:rPr>
                <w:sz w:val="20"/>
                <w:szCs w:val="20"/>
              </w:rPr>
              <w:t xml:space="preserve">). Und sie sind wichtiger als das Eigentumsrecht („[Far] </w:t>
            </w:r>
            <w:proofErr w:type="spellStart"/>
            <w:r w:rsidRPr="00B2632E">
              <w:rPr>
                <w:sz w:val="20"/>
                <w:szCs w:val="20"/>
              </w:rPr>
              <w:t>more</w:t>
            </w:r>
            <w:proofErr w:type="spellEnd"/>
            <w:r w:rsidRPr="00B2632E">
              <w:rPr>
                <w:sz w:val="20"/>
                <w:szCs w:val="20"/>
              </w:rPr>
              <w:t xml:space="preserve"> </w:t>
            </w:r>
            <w:proofErr w:type="spellStart"/>
            <w:r w:rsidRPr="00B2632E">
              <w:rPr>
                <w:sz w:val="20"/>
                <w:szCs w:val="20"/>
              </w:rPr>
              <w:t>precious</w:t>
            </w:r>
            <w:proofErr w:type="spellEnd"/>
            <w:r w:rsidRPr="00B2632E">
              <w:rPr>
                <w:sz w:val="20"/>
                <w:szCs w:val="20"/>
              </w:rPr>
              <w:t xml:space="preserve"> </w:t>
            </w:r>
            <w:r>
              <w:rPr>
                <w:sz w:val="20"/>
                <w:szCs w:val="20"/>
              </w:rPr>
              <w:t>[…]</w:t>
            </w:r>
            <w:r w:rsidRPr="00B2632E">
              <w:rPr>
                <w:sz w:val="20"/>
                <w:szCs w:val="20"/>
              </w:rPr>
              <w:t xml:space="preserve"> </w:t>
            </w:r>
            <w:proofErr w:type="spellStart"/>
            <w:r w:rsidRPr="00B2632E">
              <w:rPr>
                <w:sz w:val="20"/>
                <w:szCs w:val="20"/>
              </w:rPr>
              <w:t>than</w:t>
            </w:r>
            <w:proofErr w:type="spellEnd"/>
            <w:r w:rsidRPr="00B2632E">
              <w:rPr>
                <w:sz w:val="20"/>
                <w:szCs w:val="20"/>
              </w:rPr>
              <w:t xml:space="preserve"> </w:t>
            </w:r>
            <w:proofErr w:type="spellStart"/>
            <w:r w:rsidRPr="00B2632E">
              <w:rPr>
                <w:sz w:val="20"/>
                <w:szCs w:val="20"/>
              </w:rPr>
              <w:t>property</w:t>
            </w:r>
            <w:proofErr w:type="spellEnd"/>
            <w:r w:rsidRPr="00B2632E">
              <w:rPr>
                <w:sz w:val="20"/>
                <w:szCs w:val="20"/>
              </w:rPr>
              <w:t xml:space="preserve"> </w:t>
            </w:r>
            <w:proofErr w:type="spellStart"/>
            <w:r w:rsidRPr="00B2632E">
              <w:rPr>
                <w:sz w:val="20"/>
                <w:szCs w:val="20"/>
              </w:rPr>
              <w:t>rights</w:t>
            </w:r>
            <w:proofErr w:type="spellEnd"/>
            <w:r w:rsidRPr="00B2632E">
              <w:rPr>
                <w:sz w:val="20"/>
                <w:szCs w:val="20"/>
              </w:rPr>
              <w:t>“</w:t>
            </w:r>
            <w:r w:rsidRPr="00B2632E">
              <w:rPr>
                <w:sz w:val="20"/>
                <w:szCs w:val="20"/>
                <w:vertAlign w:val="superscript"/>
              </w:rPr>
              <w:footnoteReference w:id="2093"/>
            </w:r>
            <w:r w:rsidRPr="00B2632E">
              <w:rPr>
                <w:sz w:val="20"/>
                <w:szCs w:val="20"/>
              </w:rPr>
              <w:t>). Diese Wichtigkeit komme daher, dass die elterlichen Rechte zu den Rechten gehör</w:t>
            </w:r>
            <w:r>
              <w:rPr>
                <w:sz w:val="20"/>
                <w:szCs w:val="20"/>
              </w:rPr>
              <w:t>t</w:t>
            </w:r>
            <w:r w:rsidRPr="00B2632E">
              <w:rPr>
                <w:sz w:val="20"/>
                <w:szCs w:val="20"/>
              </w:rPr>
              <w:t>en, die für ein geordnetes Streben freier Menschen nach Glück wesentlich seien.</w:t>
            </w:r>
            <w:r w:rsidRPr="00B2632E">
              <w:rPr>
                <w:sz w:val="20"/>
                <w:szCs w:val="20"/>
                <w:vertAlign w:val="superscript"/>
              </w:rPr>
              <w:footnoteReference w:id="2094"/>
            </w:r>
            <w:r w:rsidRPr="00B2632E">
              <w:rPr>
                <w:sz w:val="20"/>
                <w:szCs w:val="20"/>
              </w:rPr>
              <w:t xml:space="preserve"> Sie </w:t>
            </w:r>
            <w:r>
              <w:rPr>
                <w:sz w:val="20"/>
                <w:szCs w:val="20"/>
              </w:rPr>
              <w:t>seien</w:t>
            </w:r>
            <w:r w:rsidRPr="00B2632E">
              <w:rPr>
                <w:sz w:val="20"/>
                <w:szCs w:val="20"/>
              </w:rPr>
              <w:t xml:space="preserve"> bedeutsamer als Freiheiten, die sich </w:t>
            </w:r>
            <w:r>
              <w:rPr>
                <w:sz w:val="20"/>
                <w:szCs w:val="20"/>
              </w:rPr>
              <w:t>z.B.</w:t>
            </w:r>
            <w:r w:rsidRPr="00B2632E">
              <w:rPr>
                <w:sz w:val="20"/>
                <w:szCs w:val="20"/>
              </w:rPr>
              <w:t xml:space="preserve"> aus wirtschaftlichen Vertragsverhältnissen erg</w:t>
            </w:r>
            <w:r>
              <w:rPr>
                <w:sz w:val="20"/>
                <w:szCs w:val="20"/>
              </w:rPr>
              <w:t>ä</w:t>
            </w:r>
            <w:r w:rsidRPr="00B2632E">
              <w:rPr>
                <w:sz w:val="20"/>
                <w:szCs w:val="20"/>
              </w:rPr>
              <w:t>ben.</w:t>
            </w:r>
            <w:r w:rsidRPr="00B2632E">
              <w:rPr>
                <w:sz w:val="20"/>
                <w:szCs w:val="20"/>
                <w:vertAlign w:val="superscript"/>
              </w:rPr>
              <w:footnoteReference w:id="2095"/>
            </w:r>
            <w:r w:rsidRPr="00B2632E">
              <w:rPr>
                <w:sz w:val="20"/>
                <w:szCs w:val="20"/>
              </w:rPr>
              <w:t xml:space="preserve"> </w:t>
            </w:r>
            <w:r>
              <w:rPr>
                <w:sz w:val="20"/>
                <w:szCs w:val="20"/>
              </w:rPr>
              <w:t>Mit anderen Worten</w:t>
            </w:r>
            <w:r w:rsidRPr="00B2632E">
              <w:rPr>
                <w:sz w:val="20"/>
                <w:szCs w:val="20"/>
              </w:rPr>
              <w:t xml:space="preserve">: Die elterlichen Rechte seien für ein geordnetes Streben freier Menschen nach Glück wesentlich. Daher wird die persönliche Entscheidungsfreiheit über das Familienleben seit langem als ein grundlegendes Freiheitsinteresse angesehen („fundamental </w:t>
            </w:r>
            <w:proofErr w:type="spellStart"/>
            <w:r w:rsidRPr="00B2632E">
              <w:rPr>
                <w:sz w:val="20"/>
                <w:szCs w:val="20"/>
              </w:rPr>
              <w:t>liberty</w:t>
            </w:r>
            <w:proofErr w:type="spellEnd"/>
            <w:r w:rsidRPr="00B2632E">
              <w:rPr>
                <w:sz w:val="20"/>
                <w:szCs w:val="20"/>
              </w:rPr>
              <w:t xml:space="preserve"> </w:t>
            </w:r>
            <w:proofErr w:type="spellStart"/>
            <w:r w:rsidRPr="00B2632E">
              <w:rPr>
                <w:sz w:val="20"/>
                <w:szCs w:val="20"/>
              </w:rPr>
              <w:t>interest</w:t>
            </w:r>
            <w:proofErr w:type="spellEnd"/>
            <w:r w:rsidRPr="00B2632E">
              <w:rPr>
                <w:sz w:val="20"/>
                <w:szCs w:val="20"/>
              </w:rPr>
              <w:t>“</w:t>
            </w:r>
            <w:r w:rsidRPr="00B2632E">
              <w:rPr>
                <w:sz w:val="20"/>
                <w:szCs w:val="20"/>
                <w:vertAlign w:val="superscript"/>
              </w:rPr>
              <w:footnoteReference w:id="2096"/>
            </w:r>
            <w:r w:rsidRPr="00B2632E">
              <w:rPr>
                <w:sz w:val="20"/>
                <w:szCs w:val="20"/>
              </w:rPr>
              <w:t xml:space="preserve">). Dieses müsse auch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2632E">
              <w:rPr>
                <w:sz w:val="20"/>
                <w:szCs w:val="20"/>
              </w:rPr>
              <w:t xml:space="preserve"> schützen, selbst wenn sich die Verfassung nicht </w:t>
            </w:r>
            <w:r w:rsidRPr="5B67C1D2">
              <w:rPr>
                <w:i/>
                <w:iCs/>
                <w:sz w:val="20"/>
                <w:szCs w:val="20"/>
              </w:rPr>
              <w:t>expressis verbis</w:t>
            </w:r>
            <w:r w:rsidRPr="00B2632E">
              <w:rPr>
                <w:sz w:val="20"/>
                <w:szCs w:val="20"/>
              </w:rPr>
              <w:t xml:space="preserve"> zum Begriff Familie äußer</w:t>
            </w:r>
            <w:r>
              <w:rPr>
                <w:sz w:val="20"/>
                <w:szCs w:val="20"/>
              </w:rPr>
              <w:t>e</w:t>
            </w:r>
            <w:r w:rsidRPr="00B2632E">
              <w:rPr>
                <w:sz w:val="20"/>
                <w:szCs w:val="20"/>
              </w:rPr>
              <w:t>.</w:t>
            </w:r>
            <w:r w:rsidRPr="00B2632E">
              <w:rPr>
                <w:sz w:val="20"/>
                <w:szCs w:val="20"/>
                <w:vertAlign w:val="superscript"/>
              </w:rPr>
              <w:footnoteReference w:id="2097"/>
            </w:r>
            <w:r w:rsidRPr="00B2632E">
              <w:rPr>
                <w:sz w:val="20"/>
                <w:szCs w:val="20"/>
              </w:rPr>
              <w:t xml:space="preserve"> Demnach gelte: Wenn ein Recht für das Streben nach Glück wesentlich sei – wie das elterliche </w:t>
            </w:r>
            <w:r w:rsidRPr="00B2632E">
              <w:rPr>
                <w:sz w:val="20"/>
                <w:szCs w:val="20"/>
              </w:rPr>
              <w:lastRenderedPageBreak/>
              <w:t xml:space="preserve">Recht als Sorgerecht –, dann wird es damit so wichtig, dass es nur ein Verfahren unter strengsten Anforderungen derogieren kann – </w:t>
            </w:r>
            <w:r>
              <w:rPr>
                <w:sz w:val="20"/>
                <w:szCs w:val="20"/>
              </w:rPr>
              <w:t>und dies drücke sich in</w:t>
            </w:r>
            <w:r w:rsidRPr="00B2632E">
              <w:rPr>
                <w:sz w:val="20"/>
                <w:szCs w:val="20"/>
              </w:rPr>
              <w:t xml:space="preserve"> der Notwendigkeit einer Pflichtverteidigung aus.</w:t>
            </w:r>
          </w:p>
          <w:p w14:paraId="7F34510F" w14:textId="77777777" w:rsidR="00074551" w:rsidRPr="00E50B51" w:rsidRDefault="00074551" w:rsidP="00367133">
            <w:pPr>
              <w:jc w:val="both"/>
              <w:rPr>
                <w:sz w:val="20"/>
                <w:szCs w:val="20"/>
              </w:rPr>
            </w:pPr>
          </w:p>
        </w:tc>
      </w:tr>
      <w:tr w:rsidR="00074551" w:rsidRPr="00E50B51" w14:paraId="550E57FC" w14:textId="77777777" w:rsidTr="00BE689F">
        <w:trPr>
          <w:cantSplit/>
          <w:trHeight w:val="3175"/>
        </w:trPr>
        <w:tc>
          <w:tcPr>
            <w:tcW w:w="293" w:type="pct"/>
          </w:tcPr>
          <w:p w14:paraId="1FA5AE8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225B8F4" w14:textId="77777777" w:rsidR="00074551" w:rsidRPr="00E50B51" w:rsidRDefault="00074551" w:rsidP="00367133">
            <w:pPr>
              <w:ind w:left="113" w:right="416"/>
              <w:jc w:val="both"/>
              <w:rPr>
                <w:sz w:val="20"/>
                <w:szCs w:val="20"/>
                <w:lang w:val="en-US"/>
              </w:rPr>
            </w:pPr>
            <w:r w:rsidRPr="009E57E1">
              <w:rPr>
                <w:i/>
                <w:sz w:val="20"/>
                <w:szCs w:val="20"/>
              </w:rPr>
              <w:t>Leis v. Flynt</w:t>
            </w:r>
          </w:p>
        </w:tc>
        <w:tc>
          <w:tcPr>
            <w:tcW w:w="197" w:type="pct"/>
            <w:textDirection w:val="tbRl"/>
            <w:vAlign w:val="center"/>
          </w:tcPr>
          <w:p w14:paraId="6C3533CB" w14:textId="77777777" w:rsidR="00074551" w:rsidRPr="00E50B51" w:rsidRDefault="00074551" w:rsidP="00367133">
            <w:pPr>
              <w:ind w:left="113" w:right="113"/>
              <w:jc w:val="both"/>
              <w:rPr>
                <w:iCs/>
                <w:sz w:val="20"/>
                <w:szCs w:val="20"/>
                <w:lang w:val="en-US"/>
              </w:rPr>
            </w:pPr>
            <w:r w:rsidRPr="00E50B51">
              <w:rPr>
                <w:sz w:val="20"/>
                <w:szCs w:val="20"/>
                <w:lang w:val="en-US"/>
              </w:rPr>
              <w:t>439 U.S. 438</w:t>
            </w:r>
          </w:p>
        </w:tc>
        <w:tc>
          <w:tcPr>
            <w:tcW w:w="306" w:type="pct"/>
            <w:textDirection w:val="tbRl"/>
            <w:vAlign w:val="center"/>
          </w:tcPr>
          <w:p w14:paraId="5010D3B4" w14:textId="77777777" w:rsidR="00074551" w:rsidRPr="00E50B51" w:rsidRDefault="00074551" w:rsidP="00367133">
            <w:pPr>
              <w:ind w:left="113" w:right="113"/>
              <w:jc w:val="both"/>
              <w:rPr>
                <w:sz w:val="20"/>
                <w:szCs w:val="20"/>
                <w:lang w:val="en-US"/>
              </w:rPr>
            </w:pPr>
            <w:r w:rsidRPr="00E50B51">
              <w:rPr>
                <w:sz w:val="20"/>
                <w:szCs w:val="20"/>
              </w:rPr>
              <w:t>15. Januar 1979</w:t>
            </w:r>
          </w:p>
        </w:tc>
        <w:tc>
          <w:tcPr>
            <w:tcW w:w="401" w:type="pct"/>
          </w:tcPr>
          <w:p w14:paraId="30967BE1" w14:textId="77777777" w:rsidR="00074551" w:rsidRPr="00E50B51" w:rsidRDefault="00074551" w:rsidP="00367133">
            <w:pPr>
              <w:jc w:val="center"/>
              <w:rPr>
                <w:sz w:val="20"/>
                <w:szCs w:val="20"/>
              </w:rPr>
            </w:pPr>
            <w:r w:rsidRPr="00E50B51">
              <w:rPr>
                <w:sz w:val="20"/>
                <w:szCs w:val="20"/>
              </w:rPr>
              <w:t>D</w:t>
            </w:r>
          </w:p>
        </w:tc>
        <w:tc>
          <w:tcPr>
            <w:tcW w:w="1594" w:type="pct"/>
          </w:tcPr>
          <w:p w14:paraId="181B3843" w14:textId="77777777" w:rsidR="00074551" w:rsidRPr="00E50B51" w:rsidRDefault="00074551" w:rsidP="00367133">
            <w:pPr>
              <w:jc w:val="both"/>
              <w:rPr>
                <w:sz w:val="20"/>
                <w:szCs w:val="20"/>
              </w:rPr>
            </w:pPr>
            <w:r w:rsidRPr="00E50B51">
              <w:rPr>
                <w:sz w:val="20"/>
                <w:szCs w:val="20"/>
              </w:rPr>
              <w:t>*</w:t>
            </w:r>
          </w:p>
        </w:tc>
        <w:tc>
          <w:tcPr>
            <w:tcW w:w="1822" w:type="pct"/>
          </w:tcPr>
          <w:p w14:paraId="674A2DCA" w14:textId="7C339FEE" w:rsidR="00074551" w:rsidRDefault="00074551" w:rsidP="00367133">
            <w:pPr>
              <w:jc w:val="both"/>
              <w:rPr>
                <w:sz w:val="20"/>
                <w:szCs w:val="20"/>
              </w:rPr>
            </w:pPr>
            <w:r w:rsidRPr="00D82BB1">
              <w:rPr>
                <w:sz w:val="20"/>
                <w:szCs w:val="20"/>
              </w:rPr>
              <w:t>Der Dissens sah</w:t>
            </w:r>
            <w:r>
              <w:rPr>
                <w:sz w:val="20"/>
                <w:szCs w:val="20"/>
              </w:rPr>
              <w:t xml:space="preserve"> es</w:t>
            </w:r>
            <w:r w:rsidRPr="00D82BB1">
              <w:rPr>
                <w:sz w:val="20"/>
                <w:szCs w:val="20"/>
              </w:rPr>
              <w:t xml:space="preserve"> als möglich an, dass ein Anspruch auf das Recht bestehe, als in einem Bundesstaat zugelassener Anwalt vor dem Gericht eines anderen Bundesstaats aufzutreten („out-of-</w:t>
            </w:r>
            <w:proofErr w:type="spellStart"/>
            <w:r w:rsidRPr="00D82BB1">
              <w:rPr>
                <w:sz w:val="20"/>
                <w:szCs w:val="20"/>
              </w:rPr>
              <w:t>state</w:t>
            </w:r>
            <w:proofErr w:type="spellEnd"/>
            <w:r w:rsidRPr="00D82BB1">
              <w:rPr>
                <w:sz w:val="20"/>
                <w:szCs w:val="20"/>
              </w:rPr>
              <w:t xml:space="preserve"> </w:t>
            </w:r>
            <w:proofErr w:type="spellStart"/>
            <w:r w:rsidRPr="00D82BB1">
              <w:rPr>
                <w:sz w:val="20"/>
                <w:szCs w:val="20"/>
              </w:rPr>
              <w:t>practice</w:t>
            </w:r>
            <w:proofErr w:type="spellEnd"/>
            <w:r w:rsidRPr="00D82BB1">
              <w:rPr>
                <w:sz w:val="20"/>
                <w:szCs w:val="20"/>
              </w:rPr>
              <w:t>“</w:t>
            </w:r>
            <w:r w:rsidRPr="00D82BB1">
              <w:rPr>
                <w:sz w:val="20"/>
                <w:szCs w:val="20"/>
                <w:vertAlign w:val="superscript"/>
              </w:rPr>
              <w:footnoteReference w:id="2098"/>
            </w:r>
            <w:r w:rsidRPr="00D82BB1">
              <w:rPr>
                <w:sz w:val="20"/>
                <w:szCs w:val="20"/>
              </w:rPr>
              <w:t xml:space="preserve">). Denn das Interesse </w:t>
            </w:r>
            <w:r>
              <w:rPr>
                <w:sz w:val="20"/>
                <w:szCs w:val="20"/>
              </w:rPr>
              <w:t>der anwaltlichen Verteidigung</w:t>
            </w:r>
            <w:r w:rsidRPr="00D82BB1">
              <w:rPr>
                <w:sz w:val="20"/>
                <w:szCs w:val="20"/>
              </w:rPr>
              <w:t xml:space="preserve"> reflektiere nicht nur ein Interesse an der Berufsausübung („</w:t>
            </w:r>
            <w:proofErr w:type="spellStart"/>
            <w:r w:rsidRPr="00D82BB1">
              <w:rPr>
                <w:sz w:val="20"/>
                <w:szCs w:val="20"/>
              </w:rPr>
              <w:t>individual</w:t>
            </w:r>
            <w:r>
              <w:rPr>
                <w:sz w:val="20"/>
                <w:szCs w:val="20"/>
              </w:rPr>
              <w:t>’</w:t>
            </w:r>
            <w:r w:rsidRPr="00D82BB1">
              <w:rPr>
                <w:sz w:val="20"/>
                <w:szCs w:val="20"/>
              </w:rPr>
              <w:t>s</w:t>
            </w:r>
            <w:proofErr w:type="spellEnd"/>
            <w:r w:rsidRPr="00D82BB1">
              <w:rPr>
                <w:sz w:val="20"/>
                <w:szCs w:val="20"/>
              </w:rPr>
              <w:t xml:space="preserve"> </w:t>
            </w:r>
            <w:proofErr w:type="spellStart"/>
            <w:r w:rsidRPr="00D82BB1">
              <w:rPr>
                <w:sz w:val="20"/>
                <w:szCs w:val="20"/>
              </w:rPr>
              <w:t>attempt</w:t>
            </w:r>
            <w:proofErr w:type="spellEnd"/>
            <w:r w:rsidRPr="00D82BB1">
              <w:rPr>
                <w:sz w:val="20"/>
                <w:szCs w:val="20"/>
              </w:rPr>
              <w:t xml:space="preserve"> to </w:t>
            </w:r>
            <w:proofErr w:type="spellStart"/>
            <w:r w:rsidRPr="00D82BB1">
              <w:rPr>
                <w:sz w:val="20"/>
                <w:szCs w:val="20"/>
              </w:rPr>
              <w:t>pursue</w:t>
            </w:r>
            <w:proofErr w:type="spellEnd"/>
            <w:r w:rsidRPr="00D82BB1">
              <w:rPr>
                <w:sz w:val="20"/>
                <w:szCs w:val="20"/>
              </w:rPr>
              <w:t xml:space="preserve"> </w:t>
            </w:r>
            <w:proofErr w:type="spellStart"/>
            <w:r w:rsidRPr="00D82BB1">
              <w:rPr>
                <w:sz w:val="20"/>
                <w:szCs w:val="20"/>
              </w:rPr>
              <w:t>his</w:t>
            </w:r>
            <w:proofErr w:type="spellEnd"/>
            <w:r w:rsidRPr="00D82BB1">
              <w:rPr>
                <w:sz w:val="20"/>
                <w:szCs w:val="20"/>
              </w:rPr>
              <w:t xml:space="preserve"> </w:t>
            </w:r>
            <w:proofErr w:type="spellStart"/>
            <w:r w:rsidRPr="00D82BB1">
              <w:rPr>
                <w:sz w:val="20"/>
                <w:szCs w:val="20"/>
              </w:rPr>
              <w:t>calling</w:t>
            </w:r>
            <w:proofErr w:type="spellEnd"/>
            <w:r w:rsidRPr="00D82BB1">
              <w:rPr>
                <w:sz w:val="20"/>
                <w:szCs w:val="20"/>
              </w:rPr>
              <w:t>“</w:t>
            </w:r>
            <w:r w:rsidRPr="00D82BB1">
              <w:rPr>
                <w:sz w:val="20"/>
                <w:szCs w:val="20"/>
                <w:vertAlign w:val="superscript"/>
              </w:rPr>
              <w:footnoteReference w:id="2099"/>
            </w:r>
            <w:r w:rsidRPr="00D82BB1">
              <w:rPr>
                <w:sz w:val="20"/>
                <w:szCs w:val="20"/>
              </w:rPr>
              <w:t xml:space="preserve">). </w:t>
            </w:r>
            <w:r>
              <w:rPr>
                <w:sz w:val="20"/>
                <w:szCs w:val="20"/>
              </w:rPr>
              <w:t>G</w:t>
            </w:r>
            <w:r w:rsidRPr="00D82BB1">
              <w:rPr>
                <w:sz w:val="20"/>
                <w:szCs w:val="20"/>
              </w:rPr>
              <w:t>ewähre man die anwaltliche Verteidigung nicht, sei immer auch ein Berufsstand betroffen, der Rechtsprechung im kontradiktorischen System der Vereinigten Staaten verantworte („</w:t>
            </w:r>
            <w:proofErr w:type="spellStart"/>
            <w:r w:rsidRPr="00D82BB1">
              <w:rPr>
                <w:sz w:val="20"/>
                <w:szCs w:val="20"/>
              </w:rPr>
              <w:t>or</w:t>
            </w:r>
            <w:proofErr w:type="spellEnd"/>
            <w:r w:rsidRPr="00D82BB1">
              <w:rPr>
                <w:sz w:val="20"/>
                <w:szCs w:val="20"/>
              </w:rPr>
              <w:t xml:space="preserve"> the fair </w:t>
            </w:r>
            <w:proofErr w:type="spellStart"/>
            <w:r w:rsidRPr="00D82BB1">
              <w:rPr>
                <w:sz w:val="20"/>
                <w:szCs w:val="20"/>
              </w:rPr>
              <w:t>administration</w:t>
            </w:r>
            <w:proofErr w:type="spellEnd"/>
            <w:r w:rsidRPr="00D82BB1">
              <w:rPr>
                <w:sz w:val="20"/>
                <w:szCs w:val="20"/>
              </w:rPr>
              <w:t xml:space="preserve"> of </w:t>
            </w:r>
            <w:proofErr w:type="spellStart"/>
            <w:r w:rsidRPr="00D82BB1">
              <w:rPr>
                <w:sz w:val="20"/>
                <w:szCs w:val="20"/>
              </w:rPr>
              <w:t>justice</w:t>
            </w:r>
            <w:proofErr w:type="spellEnd"/>
            <w:r w:rsidRPr="00D82BB1">
              <w:rPr>
                <w:sz w:val="20"/>
                <w:szCs w:val="20"/>
              </w:rPr>
              <w:t xml:space="preserve"> in </w:t>
            </w:r>
            <w:proofErr w:type="spellStart"/>
            <w:r w:rsidRPr="00D82BB1">
              <w:rPr>
                <w:sz w:val="20"/>
                <w:szCs w:val="20"/>
              </w:rPr>
              <w:t>our</w:t>
            </w:r>
            <w:proofErr w:type="spellEnd"/>
            <w:r w:rsidRPr="00D82BB1">
              <w:rPr>
                <w:sz w:val="20"/>
                <w:szCs w:val="20"/>
              </w:rPr>
              <w:t xml:space="preserve"> </w:t>
            </w:r>
            <w:proofErr w:type="spellStart"/>
            <w:r w:rsidRPr="00D82BB1">
              <w:rPr>
                <w:sz w:val="20"/>
                <w:szCs w:val="20"/>
              </w:rPr>
              <w:t>adversary</w:t>
            </w:r>
            <w:proofErr w:type="spellEnd"/>
            <w:r w:rsidRPr="00D82BB1">
              <w:rPr>
                <w:sz w:val="20"/>
                <w:szCs w:val="20"/>
              </w:rPr>
              <w:t xml:space="preserve"> </w:t>
            </w:r>
            <w:proofErr w:type="spellStart"/>
            <w:r w:rsidRPr="00D82BB1">
              <w:rPr>
                <w:sz w:val="20"/>
                <w:szCs w:val="20"/>
              </w:rPr>
              <w:t>system</w:t>
            </w:r>
            <w:proofErr w:type="spellEnd"/>
            <w:r w:rsidRPr="00D82BB1">
              <w:rPr>
                <w:sz w:val="20"/>
                <w:szCs w:val="20"/>
              </w:rPr>
              <w:t>“</w:t>
            </w:r>
            <w:r w:rsidRPr="00D82BB1">
              <w:rPr>
                <w:sz w:val="20"/>
                <w:szCs w:val="20"/>
                <w:vertAlign w:val="superscript"/>
              </w:rPr>
              <w:footnoteReference w:id="2100"/>
            </w:r>
            <w:r w:rsidRPr="00D82BB1">
              <w:rPr>
                <w:sz w:val="20"/>
                <w:szCs w:val="20"/>
              </w:rPr>
              <w:t xml:space="preserve">). Wegen seiner systemischen Relevanz müsse diese Interessensart unter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Pr>
                <w:sz w:val="20"/>
                <w:szCs w:val="20"/>
              </w:rPr>
              <w:t xml:space="preserv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D82BB1">
              <w:rPr>
                <w:sz w:val="20"/>
                <w:szCs w:val="20"/>
              </w:rPr>
              <w:t xml:space="preserve"> fallen. Der Dissens argumentiert für die Relevanz wie folgt: In einer Verfassung für ein freies Volk </w:t>
            </w:r>
            <w:r>
              <w:rPr>
                <w:sz w:val="20"/>
                <w:szCs w:val="20"/>
              </w:rPr>
              <w:t>müsse</w:t>
            </w:r>
            <w:r w:rsidRPr="00D82BB1">
              <w:rPr>
                <w:sz w:val="20"/>
                <w:szCs w:val="20"/>
              </w:rPr>
              <w:t xml:space="preserve"> Freiheit weit gefasst sein.</w:t>
            </w:r>
            <w:r w:rsidRPr="00D82BB1">
              <w:rPr>
                <w:sz w:val="20"/>
                <w:szCs w:val="20"/>
                <w:vertAlign w:val="superscript"/>
              </w:rPr>
              <w:footnoteReference w:id="2101"/>
            </w:r>
            <w:r w:rsidRPr="00D82BB1">
              <w:rPr>
                <w:sz w:val="20"/>
                <w:szCs w:val="20"/>
              </w:rPr>
              <w:t xml:space="preserve"> Daher seien die Grenzen der Freiheit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D82BB1">
              <w:rPr>
                <w:sz w:val="20"/>
                <w:szCs w:val="20"/>
              </w:rPr>
              <w:t xml:space="preserve"> nie abschließend zu definieren. Denn bereits aus der ständigen Rechtsprechung ergebe sich, </w:t>
            </w:r>
            <w:r>
              <w:rPr>
                <w:sz w:val="20"/>
                <w:szCs w:val="20"/>
              </w:rPr>
              <w:t xml:space="preserve">dass </w:t>
            </w:r>
            <w:r w:rsidRPr="00D82BB1">
              <w:rPr>
                <w:sz w:val="20"/>
                <w:szCs w:val="20"/>
              </w:rPr>
              <w:t>Freiheit nicht nur die Freiheit von körperlicher Einschränkung und die Freiheiten laut dem Wortlaut spezifischer Verfassungsbestimmungen</w:t>
            </w:r>
            <w:r>
              <w:rPr>
                <w:sz w:val="20"/>
                <w:szCs w:val="20"/>
              </w:rPr>
              <w:t xml:space="preserve"> </w:t>
            </w:r>
            <w:r w:rsidRPr="00D82BB1">
              <w:rPr>
                <w:sz w:val="20"/>
                <w:szCs w:val="20"/>
              </w:rPr>
              <w:t>umfasse.</w:t>
            </w:r>
            <w:r w:rsidRPr="00D82BB1">
              <w:rPr>
                <w:sz w:val="20"/>
                <w:szCs w:val="20"/>
                <w:vertAlign w:val="superscript"/>
              </w:rPr>
              <w:footnoteReference w:id="2102"/>
            </w:r>
            <w:r w:rsidRPr="00D82BB1">
              <w:rPr>
                <w:sz w:val="20"/>
                <w:szCs w:val="20"/>
              </w:rPr>
              <w:t xml:space="preserve"> Sondern </w:t>
            </w:r>
            <w:r>
              <w:rPr>
                <w:sz w:val="20"/>
                <w:szCs w:val="20"/>
              </w:rPr>
              <w:t>sie</w:t>
            </w:r>
            <w:r w:rsidRPr="00D82BB1">
              <w:rPr>
                <w:sz w:val="20"/>
                <w:szCs w:val="20"/>
              </w:rPr>
              <w:t xml:space="preserve"> umfasse auch weitere Freiheitsinteressen. Woran bestimmen diese sich und enthalten sie auch die anwaltliche Vertretung? Die weiteren Freiheitsinteressen bestimmen sich daran, ob sie Vorrechte sind, die seit langem nach dem Gewohnheitsrecht als wesentlich für das geordnete Streben nach Glück anerkannt sind.</w:t>
            </w:r>
            <w:r w:rsidRPr="00D82BB1">
              <w:rPr>
                <w:sz w:val="20"/>
                <w:szCs w:val="20"/>
                <w:vertAlign w:val="superscript"/>
              </w:rPr>
              <w:footnoteReference w:id="2103"/>
            </w:r>
            <w:r w:rsidRPr="00D82BB1">
              <w:rPr>
                <w:sz w:val="20"/>
                <w:szCs w:val="20"/>
              </w:rPr>
              <w:t xml:space="preserve"> Zu diesen Vorrechten für Glücksstreben gehöre nach ständiger Rechtsprechung auch das Recht, einen Beruf zu wählen und diesem ohne staatliche Eingriffe</w:t>
            </w:r>
            <w:r>
              <w:rPr>
                <w:sz w:val="20"/>
                <w:szCs w:val="20"/>
              </w:rPr>
              <w:t xml:space="preserve"> </w:t>
            </w:r>
            <w:r w:rsidRPr="00D82BB1">
              <w:rPr>
                <w:sz w:val="20"/>
                <w:szCs w:val="20"/>
              </w:rPr>
              <w:t>nachzugehen.</w:t>
            </w:r>
            <w:r w:rsidRPr="00D82BB1">
              <w:rPr>
                <w:sz w:val="20"/>
                <w:szCs w:val="20"/>
                <w:vertAlign w:val="superscript"/>
              </w:rPr>
              <w:footnoteReference w:id="2104"/>
            </w:r>
            <w:r w:rsidRPr="00D82BB1">
              <w:rPr>
                <w:sz w:val="20"/>
                <w:szCs w:val="20"/>
              </w:rPr>
              <w:t xml:space="preserve"> Das müsse vor allem die umfassende Ausübung des Rechts einschließen („the </w:t>
            </w:r>
            <w:proofErr w:type="spellStart"/>
            <w:r w:rsidRPr="00D82BB1">
              <w:rPr>
                <w:sz w:val="20"/>
                <w:szCs w:val="20"/>
              </w:rPr>
              <w:t>practice</w:t>
            </w:r>
            <w:proofErr w:type="spellEnd"/>
            <w:r w:rsidRPr="00D82BB1">
              <w:rPr>
                <w:sz w:val="20"/>
                <w:szCs w:val="20"/>
              </w:rPr>
              <w:t xml:space="preserve"> of </w:t>
            </w:r>
            <w:proofErr w:type="spellStart"/>
            <w:r w:rsidRPr="00D82BB1">
              <w:rPr>
                <w:sz w:val="20"/>
                <w:szCs w:val="20"/>
              </w:rPr>
              <w:t>law</w:t>
            </w:r>
            <w:proofErr w:type="spellEnd"/>
            <w:r w:rsidRPr="00D82BB1">
              <w:rPr>
                <w:sz w:val="20"/>
                <w:szCs w:val="20"/>
              </w:rPr>
              <w:t>“</w:t>
            </w:r>
            <w:r w:rsidRPr="00D82BB1">
              <w:rPr>
                <w:sz w:val="20"/>
                <w:szCs w:val="20"/>
                <w:vertAlign w:val="superscript"/>
              </w:rPr>
              <w:footnoteReference w:id="2105"/>
            </w:r>
            <w:r w:rsidRPr="00D82BB1">
              <w:rPr>
                <w:sz w:val="20"/>
                <w:szCs w:val="20"/>
              </w:rPr>
              <w:t xml:space="preserve">), was nicht nur der persönlichen Berufsausübung diene, sondern auch </w:t>
            </w:r>
            <w:r>
              <w:rPr>
                <w:sz w:val="20"/>
                <w:szCs w:val="20"/>
              </w:rPr>
              <w:t>der</w:t>
            </w:r>
            <w:r w:rsidRPr="00D82BB1">
              <w:rPr>
                <w:sz w:val="20"/>
                <w:szCs w:val="20"/>
              </w:rPr>
              <w:t xml:space="preserve"> übergeordnete</w:t>
            </w:r>
            <w:r>
              <w:rPr>
                <w:sz w:val="20"/>
                <w:szCs w:val="20"/>
              </w:rPr>
              <w:t>n</w:t>
            </w:r>
            <w:r w:rsidRPr="00D82BB1">
              <w:rPr>
                <w:sz w:val="20"/>
                <w:szCs w:val="20"/>
              </w:rPr>
              <w:t xml:space="preserve"> Aufgabe der Rechtsprechungsprägung.</w:t>
            </w:r>
          </w:p>
          <w:p w14:paraId="23CB9B37" w14:textId="77777777" w:rsidR="00074551" w:rsidRPr="00E50B51" w:rsidRDefault="00074551" w:rsidP="00367133">
            <w:pPr>
              <w:jc w:val="both"/>
              <w:rPr>
                <w:sz w:val="20"/>
                <w:szCs w:val="20"/>
              </w:rPr>
            </w:pPr>
          </w:p>
        </w:tc>
      </w:tr>
      <w:tr w:rsidR="00074551" w:rsidRPr="00E50B51" w14:paraId="51B91315" w14:textId="77777777" w:rsidTr="00BE689F">
        <w:trPr>
          <w:cantSplit/>
          <w:trHeight w:val="3175"/>
        </w:trPr>
        <w:tc>
          <w:tcPr>
            <w:tcW w:w="293" w:type="pct"/>
          </w:tcPr>
          <w:p w14:paraId="22523192"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6446B68" w14:textId="77777777" w:rsidR="00074551" w:rsidRPr="00E50B51" w:rsidRDefault="00074551" w:rsidP="00367133">
            <w:pPr>
              <w:ind w:left="113" w:right="416"/>
              <w:jc w:val="both"/>
              <w:rPr>
                <w:sz w:val="20"/>
                <w:szCs w:val="20"/>
                <w:lang w:val="en-US"/>
              </w:rPr>
            </w:pPr>
            <w:r w:rsidRPr="00AB01D2">
              <w:rPr>
                <w:i/>
                <w:sz w:val="20"/>
                <w:szCs w:val="20"/>
                <w:lang w:val="en-US"/>
              </w:rPr>
              <w:t>Oklahoma Press Pub. Co. v. Walling</w:t>
            </w:r>
          </w:p>
        </w:tc>
        <w:tc>
          <w:tcPr>
            <w:tcW w:w="197" w:type="pct"/>
            <w:textDirection w:val="tbRl"/>
            <w:vAlign w:val="center"/>
          </w:tcPr>
          <w:p w14:paraId="49D9458E" w14:textId="77777777" w:rsidR="00074551" w:rsidRPr="00E50B51" w:rsidRDefault="00074551" w:rsidP="00367133">
            <w:pPr>
              <w:ind w:left="113" w:right="113"/>
              <w:jc w:val="both"/>
              <w:rPr>
                <w:iCs/>
                <w:sz w:val="20"/>
                <w:szCs w:val="20"/>
              </w:rPr>
            </w:pPr>
            <w:r w:rsidRPr="00E50B51">
              <w:rPr>
                <w:sz w:val="20"/>
                <w:szCs w:val="20"/>
                <w:lang w:val="en-US"/>
              </w:rPr>
              <w:t>327 U.S. 186</w:t>
            </w:r>
          </w:p>
        </w:tc>
        <w:tc>
          <w:tcPr>
            <w:tcW w:w="306" w:type="pct"/>
            <w:textDirection w:val="tbRl"/>
            <w:vAlign w:val="center"/>
          </w:tcPr>
          <w:p w14:paraId="2F4E2B15" w14:textId="77777777" w:rsidR="00074551" w:rsidRPr="00E50B51" w:rsidRDefault="00074551" w:rsidP="00367133">
            <w:pPr>
              <w:ind w:left="113" w:right="113"/>
              <w:jc w:val="both"/>
              <w:rPr>
                <w:sz w:val="20"/>
                <w:szCs w:val="20"/>
              </w:rPr>
            </w:pPr>
            <w:r w:rsidRPr="00E50B51">
              <w:rPr>
                <w:sz w:val="20"/>
                <w:szCs w:val="20"/>
              </w:rPr>
              <w:t>11. Februar 1946</w:t>
            </w:r>
          </w:p>
        </w:tc>
        <w:tc>
          <w:tcPr>
            <w:tcW w:w="401" w:type="pct"/>
          </w:tcPr>
          <w:p w14:paraId="64D79DF1" w14:textId="77777777" w:rsidR="00074551" w:rsidRPr="00E50B51" w:rsidRDefault="00074551" w:rsidP="00367133">
            <w:pPr>
              <w:jc w:val="center"/>
              <w:rPr>
                <w:sz w:val="20"/>
                <w:szCs w:val="20"/>
              </w:rPr>
            </w:pPr>
            <w:r w:rsidRPr="00E50B51">
              <w:rPr>
                <w:iCs/>
                <w:sz w:val="20"/>
                <w:szCs w:val="20"/>
              </w:rPr>
              <w:t>M</w:t>
            </w:r>
          </w:p>
        </w:tc>
        <w:tc>
          <w:tcPr>
            <w:tcW w:w="1594" w:type="pct"/>
          </w:tcPr>
          <w:p w14:paraId="3ED3142C" w14:textId="77777777"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die gerichtlichen Vorladungen („</w:t>
            </w:r>
            <w:proofErr w:type="spellStart"/>
            <w:r w:rsidRPr="00E50B51">
              <w:rPr>
                <w:sz w:val="20"/>
                <w:szCs w:val="20"/>
              </w:rPr>
              <w:t>subpoenas</w:t>
            </w:r>
            <w:proofErr w:type="spellEnd"/>
            <w:r w:rsidRPr="00E50B51">
              <w:rPr>
                <w:sz w:val="20"/>
                <w:szCs w:val="20"/>
              </w:rPr>
              <w:t>“</w:t>
            </w:r>
            <w:r w:rsidRPr="5B67C1D2">
              <w:rPr>
                <w:rStyle w:val="Funotenzeichen"/>
                <w:rFonts w:eastAsiaTheme="majorEastAsia"/>
                <w:sz w:val="20"/>
                <w:szCs w:val="20"/>
              </w:rPr>
              <w:footnoteReference w:id="2106"/>
            </w:r>
            <w:r w:rsidRPr="00E50B51">
              <w:rPr>
                <w:sz w:val="20"/>
                <w:szCs w:val="20"/>
              </w:rPr>
              <w:t xml:space="preserve">) eines Zeitungsunternehmens für verfassungsgemäß. Denn die Vorladung sollte Beweise für Verstöße gegen das Arbeitsrecht des Zeitungsunternehmens beschaffen </w:t>
            </w:r>
            <w:r>
              <w:rPr>
                <w:sz w:val="20"/>
                <w:szCs w:val="20"/>
              </w:rPr>
              <w:t xml:space="preserve">nach </w:t>
            </w:r>
            <w:r w:rsidRPr="00E50B51">
              <w:rPr>
                <w:sz w:val="20"/>
                <w:szCs w:val="20"/>
              </w:rPr>
              <w:t>§</w:t>
            </w:r>
            <w:r>
              <w:rPr>
                <w:sz w:val="20"/>
                <w:szCs w:val="20"/>
              </w:rPr>
              <w:t>§ </w:t>
            </w:r>
            <w:r w:rsidRPr="00E50B51">
              <w:rPr>
                <w:sz w:val="20"/>
                <w:szCs w:val="20"/>
              </w:rPr>
              <w:t>9</w:t>
            </w:r>
            <w:r>
              <w:rPr>
                <w:rStyle w:val="Funotenzeichen"/>
                <w:sz w:val="20"/>
                <w:szCs w:val="20"/>
              </w:rPr>
              <w:footnoteReference w:id="2107"/>
            </w:r>
            <w:r w:rsidRPr="00E50B51">
              <w:rPr>
                <w:sz w:val="20"/>
                <w:szCs w:val="20"/>
              </w:rPr>
              <w:t xml:space="preserve"> </w:t>
            </w:r>
            <w:r>
              <w:rPr>
                <w:sz w:val="20"/>
                <w:szCs w:val="20"/>
              </w:rPr>
              <w:t>u</w:t>
            </w:r>
            <w:r w:rsidRPr="00E50B51">
              <w:rPr>
                <w:sz w:val="20"/>
                <w:szCs w:val="20"/>
              </w:rPr>
              <w:t xml:space="preserve">nd 11 (a) </w:t>
            </w:r>
            <w:r>
              <w:rPr>
                <w:sz w:val="20"/>
                <w:szCs w:val="20"/>
              </w:rPr>
              <w:t xml:space="preserve">des </w:t>
            </w:r>
            <w:r w:rsidRPr="5B67C1D2">
              <w:rPr>
                <w:i/>
                <w:iCs/>
                <w:sz w:val="20"/>
                <w:szCs w:val="20"/>
              </w:rPr>
              <w:t>Fair Labor Standards Act</w:t>
            </w:r>
            <w:r>
              <w:rPr>
                <w:sz w:val="20"/>
                <w:szCs w:val="20"/>
              </w:rPr>
              <w:t xml:space="preserve"> (</w:t>
            </w:r>
            <w:r w:rsidRPr="0085626E">
              <w:rPr>
                <w:sz w:val="20"/>
                <w:szCs w:val="20"/>
              </w:rPr>
              <w:t xml:space="preserve">7 </w:t>
            </w:r>
            <w:proofErr w:type="gramStart"/>
            <w:r w:rsidRPr="0085626E">
              <w:rPr>
                <w:sz w:val="20"/>
                <w:szCs w:val="20"/>
              </w:rPr>
              <w:t>Wage</w:t>
            </w:r>
            <w:proofErr w:type="gramEnd"/>
            <w:r w:rsidRPr="0085626E">
              <w:rPr>
                <w:sz w:val="20"/>
                <w:szCs w:val="20"/>
              </w:rPr>
              <w:t xml:space="preserve"> Hour Rep. 656</w:t>
            </w:r>
            <w:r>
              <w:rPr>
                <w:sz w:val="20"/>
                <w:szCs w:val="20"/>
              </w:rPr>
              <w:t>)</w:t>
            </w:r>
            <w:r w:rsidRPr="0085626E">
              <w:rPr>
                <w:sz w:val="20"/>
                <w:szCs w:val="20"/>
              </w:rPr>
              <w:t>. Zudem seien die Arbeitsgesetze auf das Zeitungsunternehmen anwendbar</w:t>
            </w:r>
            <w:r>
              <w:rPr>
                <w:sz w:val="20"/>
                <w:szCs w:val="20"/>
              </w:rPr>
              <w:t xml:space="preserve"> u</w:t>
            </w:r>
            <w:r w:rsidRPr="0085626E">
              <w:rPr>
                <w:sz w:val="20"/>
                <w:szCs w:val="20"/>
              </w:rPr>
              <w:t xml:space="preserve">nd sie verletzten </w:t>
            </w:r>
            <w:r>
              <w:rPr>
                <w:sz w:val="20"/>
                <w:szCs w:val="20"/>
              </w:rPr>
              <w:t xml:space="preserve">es </w:t>
            </w:r>
            <w:r w:rsidRPr="0085626E">
              <w:rPr>
                <w:sz w:val="20"/>
                <w:szCs w:val="20"/>
              </w:rPr>
              <w:t xml:space="preserve">nicht unangemessen in </w:t>
            </w:r>
            <w:r>
              <w:rPr>
                <w:sz w:val="20"/>
                <w:szCs w:val="20"/>
              </w:rPr>
              <w:t>seiner</w:t>
            </w:r>
            <w:r w:rsidRPr="0085626E">
              <w:rPr>
                <w:sz w:val="20"/>
                <w:szCs w:val="20"/>
              </w:rPr>
              <w:t xml:space="preserve"> Pressefreiheit. Das Zeitungsunternehmen wandte sich als Kläger gegen diese Vorladung der</w:t>
            </w:r>
            <w:r w:rsidRPr="00E50B51">
              <w:rPr>
                <w:sz w:val="20"/>
                <w:szCs w:val="20"/>
              </w:rPr>
              <w:t xml:space="preserve"> Arbeitsagentur als Beklagte</w:t>
            </w:r>
            <w:r>
              <w:rPr>
                <w:sz w:val="20"/>
                <w:szCs w:val="20"/>
              </w:rPr>
              <w:t>r;</w:t>
            </w:r>
            <w:r w:rsidRPr="00E50B51">
              <w:rPr>
                <w:sz w:val="20"/>
                <w:szCs w:val="20"/>
              </w:rPr>
              <w:t xml:space="preserve"> </w:t>
            </w:r>
            <w:r>
              <w:rPr>
                <w:sz w:val="20"/>
                <w:szCs w:val="20"/>
              </w:rPr>
              <w:t xml:space="preserve">Letztere </w:t>
            </w:r>
            <w:r w:rsidRPr="00E50B51">
              <w:rPr>
                <w:sz w:val="20"/>
                <w:szCs w:val="20"/>
              </w:rPr>
              <w:t>obsiegte</w:t>
            </w:r>
            <w:r>
              <w:rPr>
                <w:sz w:val="20"/>
                <w:szCs w:val="20"/>
              </w:rPr>
              <w:t>.</w:t>
            </w:r>
            <w:r>
              <w:rPr>
                <w:rStyle w:val="Funotenzeichen"/>
                <w:sz w:val="20"/>
                <w:szCs w:val="20"/>
              </w:rPr>
              <w:footnoteReference w:id="2108"/>
            </w:r>
          </w:p>
        </w:tc>
        <w:tc>
          <w:tcPr>
            <w:tcW w:w="1822" w:type="pct"/>
          </w:tcPr>
          <w:p w14:paraId="42B9ABDC" w14:textId="1574EE20" w:rsidR="00074551" w:rsidRDefault="00074551" w:rsidP="00367133">
            <w:pPr>
              <w:jc w:val="both"/>
              <w:rPr>
                <w:sz w:val="20"/>
                <w:szCs w:val="20"/>
              </w:rPr>
            </w:pPr>
            <w:r w:rsidRPr="0085626E">
              <w:rPr>
                <w:sz w:val="20"/>
                <w:szCs w:val="20"/>
              </w:rPr>
              <w:t xml:space="preserve">Der </w:t>
            </w:r>
            <w:r>
              <w:rPr>
                <w:sz w:val="20"/>
                <w:szCs w:val="20"/>
              </w:rPr>
              <w:t>U.S. Supreme Court</w:t>
            </w:r>
            <w:r w:rsidRPr="0085626E">
              <w:rPr>
                <w:sz w:val="20"/>
                <w:szCs w:val="20"/>
              </w:rPr>
              <w:t xml:space="preserve"> erklärte, dass sich die Verfahrensanforderungen der Amendments aus der Abwägung zwischen privatem und öffentlichem Interesse erg</w:t>
            </w:r>
            <w:r>
              <w:rPr>
                <w:sz w:val="20"/>
                <w:szCs w:val="20"/>
              </w:rPr>
              <w:t>ä</w:t>
            </w:r>
            <w:r w:rsidRPr="0085626E">
              <w:rPr>
                <w:sz w:val="20"/>
                <w:szCs w:val="20"/>
              </w:rPr>
              <w:t>ben („</w:t>
            </w:r>
            <w:proofErr w:type="spellStart"/>
            <w:r w:rsidRPr="0085626E">
              <w:rPr>
                <w:sz w:val="20"/>
                <w:szCs w:val="20"/>
              </w:rPr>
              <w:t>balancing</w:t>
            </w:r>
            <w:proofErr w:type="spellEnd"/>
            <w:r w:rsidRPr="0085626E">
              <w:rPr>
                <w:sz w:val="20"/>
                <w:szCs w:val="20"/>
              </w:rPr>
              <w:t xml:space="preserve"> the </w:t>
            </w:r>
            <w:proofErr w:type="spellStart"/>
            <w:r w:rsidRPr="0085626E">
              <w:rPr>
                <w:sz w:val="20"/>
                <w:szCs w:val="20"/>
              </w:rPr>
              <w:t>public</w:t>
            </w:r>
            <w:proofErr w:type="spellEnd"/>
            <w:r w:rsidRPr="0085626E">
              <w:rPr>
                <w:sz w:val="20"/>
                <w:szCs w:val="20"/>
              </w:rPr>
              <w:t xml:space="preserve"> </w:t>
            </w:r>
            <w:proofErr w:type="spellStart"/>
            <w:r w:rsidRPr="0085626E">
              <w:rPr>
                <w:sz w:val="20"/>
                <w:szCs w:val="20"/>
              </w:rPr>
              <w:t>interest</w:t>
            </w:r>
            <w:proofErr w:type="spellEnd"/>
            <w:r w:rsidRPr="0085626E">
              <w:rPr>
                <w:sz w:val="20"/>
                <w:szCs w:val="20"/>
              </w:rPr>
              <w:t xml:space="preserve"> </w:t>
            </w:r>
            <w:proofErr w:type="spellStart"/>
            <w:r w:rsidRPr="0085626E">
              <w:rPr>
                <w:sz w:val="20"/>
                <w:szCs w:val="20"/>
              </w:rPr>
              <w:t>against</w:t>
            </w:r>
            <w:proofErr w:type="spellEnd"/>
            <w:r w:rsidRPr="0085626E">
              <w:rPr>
                <w:sz w:val="20"/>
                <w:szCs w:val="20"/>
              </w:rPr>
              <w:t xml:space="preserve"> private </w:t>
            </w:r>
            <w:proofErr w:type="spellStart"/>
            <w:r w:rsidRPr="0085626E">
              <w:rPr>
                <w:sz w:val="20"/>
                <w:szCs w:val="20"/>
              </w:rPr>
              <w:t>security</w:t>
            </w:r>
            <w:proofErr w:type="spellEnd"/>
            <w:r w:rsidRPr="0085626E">
              <w:rPr>
                <w:sz w:val="20"/>
                <w:szCs w:val="20"/>
              </w:rPr>
              <w:t>“</w:t>
            </w:r>
            <w:r w:rsidRPr="0085626E">
              <w:rPr>
                <w:sz w:val="20"/>
                <w:szCs w:val="20"/>
                <w:vertAlign w:val="superscript"/>
              </w:rPr>
              <w:footnoteReference w:id="2109"/>
            </w:r>
            <w:r w:rsidRPr="0085626E">
              <w:rPr>
                <w:sz w:val="20"/>
                <w:szCs w:val="20"/>
              </w:rPr>
              <w:t xml:space="preserve">). </w:t>
            </w:r>
            <w:r w:rsidRPr="0085626E">
              <w:rPr>
                <w:sz w:val="20"/>
                <w:szCs w:val="20"/>
                <w:lang w:val="en-US"/>
              </w:rPr>
              <w:t xml:space="preserve">Das private Interesse </w:t>
            </w:r>
            <w:proofErr w:type="spellStart"/>
            <w:r w:rsidRPr="0085626E">
              <w:rPr>
                <w:sz w:val="20"/>
                <w:szCs w:val="20"/>
                <w:lang w:val="en-US"/>
              </w:rPr>
              <w:t>richte</w:t>
            </w:r>
            <w:proofErr w:type="spellEnd"/>
            <w:r w:rsidRPr="0085626E">
              <w:rPr>
                <w:sz w:val="20"/>
                <w:szCs w:val="20"/>
                <w:lang w:val="en-US"/>
              </w:rPr>
              <w:t xml:space="preserve"> </w:t>
            </w:r>
            <w:proofErr w:type="spellStart"/>
            <w:r w:rsidRPr="0085626E">
              <w:rPr>
                <w:sz w:val="20"/>
                <w:szCs w:val="20"/>
                <w:lang w:val="en-US"/>
              </w:rPr>
              <w:t>sich</w:t>
            </w:r>
            <w:proofErr w:type="spellEnd"/>
            <w:r w:rsidRPr="0085626E">
              <w:rPr>
                <w:sz w:val="20"/>
                <w:szCs w:val="20"/>
                <w:lang w:val="en-US"/>
              </w:rPr>
              <w:t xml:space="preserve"> </w:t>
            </w:r>
            <w:proofErr w:type="spellStart"/>
            <w:r w:rsidRPr="0085626E">
              <w:rPr>
                <w:sz w:val="20"/>
                <w:szCs w:val="20"/>
                <w:lang w:val="en-US"/>
              </w:rPr>
              <w:t>dabei</w:t>
            </w:r>
            <w:proofErr w:type="spellEnd"/>
            <w:r w:rsidRPr="0085626E">
              <w:rPr>
                <w:sz w:val="20"/>
                <w:szCs w:val="20"/>
                <w:lang w:val="en-US"/>
              </w:rPr>
              <w:t xml:space="preserve"> </w:t>
            </w:r>
            <w:proofErr w:type="spellStart"/>
            <w:r>
              <w:rPr>
                <w:sz w:val="20"/>
                <w:szCs w:val="20"/>
                <w:lang w:val="en-US"/>
              </w:rPr>
              <w:t>u.a.</w:t>
            </w:r>
            <w:proofErr w:type="spellEnd"/>
            <w:r w:rsidRPr="0085626E">
              <w:rPr>
                <w:sz w:val="20"/>
                <w:szCs w:val="20"/>
                <w:lang w:val="en-US"/>
              </w:rPr>
              <w:t xml:space="preserve"> </w:t>
            </w:r>
            <w:proofErr w:type="spellStart"/>
            <w:r w:rsidRPr="0085626E">
              <w:rPr>
                <w:sz w:val="20"/>
                <w:szCs w:val="20"/>
                <w:lang w:val="en-US"/>
              </w:rPr>
              <w:t>anhand</w:t>
            </w:r>
            <w:proofErr w:type="spellEnd"/>
            <w:r w:rsidRPr="0085626E">
              <w:rPr>
                <w:sz w:val="20"/>
                <w:szCs w:val="20"/>
                <w:lang w:val="en-US"/>
              </w:rPr>
              <w:t xml:space="preserve"> der </w:t>
            </w:r>
            <w:proofErr w:type="spellStart"/>
            <w:r w:rsidRPr="0085626E">
              <w:rPr>
                <w:sz w:val="20"/>
                <w:szCs w:val="20"/>
                <w:lang w:val="en-US"/>
              </w:rPr>
              <w:t>Bedingungen</w:t>
            </w:r>
            <w:proofErr w:type="spellEnd"/>
            <w:r w:rsidRPr="0085626E">
              <w:rPr>
                <w:sz w:val="20"/>
                <w:szCs w:val="20"/>
                <w:lang w:val="en-US"/>
              </w:rPr>
              <w:t xml:space="preserve"> </w:t>
            </w:r>
            <w:proofErr w:type="spellStart"/>
            <w:r w:rsidRPr="0085626E">
              <w:rPr>
                <w:sz w:val="20"/>
                <w:szCs w:val="20"/>
                <w:lang w:val="en-US"/>
              </w:rPr>
              <w:t>aus</w:t>
            </w:r>
            <w:proofErr w:type="spellEnd"/>
            <w:r w:rsidRPr="0085626E">
              <w:rPr>
                <w:sz w:val="20"/>
                <w:szCs w:val="20"/>
                <w:lang w:val="en-US"/>
              </w:rPr>
              <w:t xml:space="preserve">, die für </w:t>
            </w:r>
            <w:proofErr w:type="spellStart"/>
            <w:r w:rsidRPr="0085626E">
              <w:rPr>
                <w:sz w:val="20"/>
                <w:szCs w:val="20"/>
                <w:lang w:val="en-US"/>
              </w:rPr>
              <w:t>Glücksstreben</w:t>
            </w:r>
            <w:proofErr w:type="spellEnd"/>
            <w:r w:rsidRPr="0085626E">
              <w:rPr>
                <w:sz w:val="20"/>
                <w:szCs w:val="20"/>
                <w:lang w:val="en-US"/>
              </w:rPr>
              <w:t xml:space="preserve"> </w:t>
            </w:r>
            <w:proofErr w:type="spellStart"/>
            <w:r w:rsidRPr="0085626E">
              <w:rPr>
                <w:sz w:val="20"/>
                <w:szCs w:val="20"/>
                <w:lang w:val="en-US"/>
              </w:rPr>
              <w:t>notwendig</w:t>
            </w:r>
            <w:proofErr w:type="spellEnd"/>
            <w:r w:rsidRPr="0085626E">
              <w:rPr>
                <w:sz w:val="20"/>
                <w:szCs w:val="20"/>
                <w:lang w:val="en-US"/>
              </w:rPr>
              <w:t xml:space="preserve"> </w:t>
            </w:r>
            <w:proofErr w:type="spellStart"/>
            <w:r>
              <w:rPr>
                <w:sz w:val="20"/>
                <w:szCs w:val="20"/>
                <w:lang w:val="en-US"/>
              </w:rPr>
              <w:t>seien</w:t>
            </w:r>
            <w:proofErr w:type="spellEnd"/>
            <w:r w:rsidRPr="0085626E">
              <w:rPr>
                <w:sz w:val="20"/>
                <w:szCs w:val="20"/>
                <w:lang w:val="en-US"/>
              </w:rPr>
              <w:t xml:space="preserve"> („the case for protected privacy was put […]: The makers of our Constitution undertook to secure conditions favorable to the pursuit of </w:t>
            </w:r>
            <w:proofErr w:type="gramStart"/>
            <w:r w:rsidRPr="0085626E">
              <w:rPr>
                <w:sz w:val="20"/>
                <w:szCs w:val="20"/>
                <w:lang w:val="en-US"/>
              </w:rPr>
              <w:t>happiness“</w:t>
            </w:r>
            <w:proofErr w:type="gramEnd"/>
            <w:r w:rsidRPr="0085626E">
              <w:rPr>
                <w:sz w:val="20"/>
                <w:szCs w:val="20"/>
                <w:vertAlign w:val="superscript"/>
                <w:lang w:val="en-US"/>
              </w:rPr>
              <w:footnoteReference w:id="2110"/>
            </w:r>
            <w:r w:rsidRPr="00B45592">
              <w:rPr>
                <w:sz w:val="20"/>
                <w:szCs w:val="20"/>
                <w:lang w:val="en-IE"/>
              </w:rPr>
              <w:t xml:space="preserve">). </w:t>
            </w:r>
            <w:r w:rsidRPr="0085626E">
              <w:rPr>
                <w:sz w:val="20"/>
                <w:szCs w:val="20"/>
              </w:rPr>
              <w:t xml:space="preserve">Das vom Glücksstreben geprägte Abwägungsergebnis </w:t>
            </w:r>
            <w:r>
              <w:rPr>
                <w:sz w:val="20"/>
                <w:szCs w:val="20"/>
              </w:rPr>
              <w:t>z.B.</w:t>
            </w:r>
            <w:r w:rsidRPr="0085626E">
              <w:rPr>
                <w:sz w:val="20"/>
                <w:szCs w:val="20"/>
              </w:rPr>
              <w:t xml:space="preserve"> für das die Selbstbelastungsfreiheit konkretisierende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85626E">
              <w:rPr>
                <w:sz w:val="20"/>
                <w:szCs w:val="20"/>
              </w:rPr>
              <w:t xml:space="preserve"> laute: Das Amendment schütze nur gegen Missbrauch bei einem nicht hinreichenden rechtsstaatlichen Verfahren – wie einer nicht hinreichend bestimmten Vorladung oder Dokumentenanforderung; beide dürf</w:t>
            </w:r>
            <w:r>
              <w:rPr>
                <w:sz w:val="20"/>
                <w:szCs w:val="20"/>
              </w:rPr>
              <w:t>t</w:t>
            </w:r>
            <w:r w:rsidRPr="0085626E">
              <w:rPr>
                <w:sz w:val="20"/>
                <w:szCs w:val="20"/>
              </w:rPr>
              <w:t xml:space="preserve">en zudem nicht unverhältnismäßig sein und es </w:t>
            </w:r>
            <w:r>
              <w:rPr>
                <w:sz w:val="20"/>
                <w:szCs w:val="20"/>
              </w:rPr>
              <w:t>müsse</w:t>
            </w:r>
            <w:r w:rsidRPr="0085626E">
              <w:rPr>
                <w:sz w:val="20"/>
                <w:szCs w:val="20"/>
              </w:rPr>
              <w:t xml:space="preserve"> eine durch Gesetz ermächtigte Behörde vorladen bzw. die Dokumente anfordern.</w:t>
            </w:r>
            <w:r w:rsidRPr="0085626E">
              <w:rPr>
                <w:sz w:val="20"/>
                <w:szCs w:val="20"/>
                <w:vertAlign w:val="superscript"/>
              </w:rPr>
              <w:footnoteReference w:id="2111"/>
            </w:r>
            <w:r w:rsidRPr="0085626E">
              <w:rPr>
                <w:sz w:val="20"/>
                <w:szCs w:val="20"/>
              </w:rPr>
              <w:t xml:space="preserve"> Diesen Maßstab </w:t>
            </w:r>
            <w:r>
              <w:rPr>
                <w:sz w:val="20"/>
                <w:szCs w:val="20"/>
              </w:rPr>
              <w:t>halte</w:t>
            </w:r>
            <w:r w:rsidRPr="0085626E">
              <w:rPr>
                <w:sz w:val="20"/>
                <w:szCs w:val="20"/>
              </w:rPr>
              <w:t xml:space="preserve"> </w:t>
            </w:r>
            <w:r>
              <w:rPr>
                <w:sz w:val="20"/>
                <w:szCs w:val="20"/>
              </w:rPr>
              <w:t>z.B.</w:t>
            </w:r>
            <w:r w:rsidRPr="0085626E">
              <w:rPr>
                <w:sz w:val="20"/>
                <w:szCs w:val="20"/>
              </w:rPr>
              <w:t xml:space="preserve"> eine Arbeitsagentur bei der Vorladung und Dokumentenanforderung gegenüber einem Zeitungsunternehmen ein.</w:t>
            </w:r>
          </w:p>
          <w:p w14:paraId="6802E286" w14:textId="77777777" w:rsidR="00074551" w:rsidRPr="00E50B51" w:rsidRDefault="00074551" w:rsidP="00367133">
            <w:pPr>
              <w:jc w:val="both"/>
              <w:rPr>
                <w:sz w:val="20"/>
                <w:szCs w:val="20"/>
              </w:rPr>
            </w:pPr>
          </w:p>
        </w:tc>
      </w:tr>
      <w:tr w:rsidR="00074551" w:rsidRPr="00E50B51" w14:paraId="110D14A7" w14:textId="77777777" w:rsidTr="00BE689F">
        <w:trPr>
          <w:cantSplit/>
          <w:trHeight w:val="3175"/>
        </w:trPr>
        <w:tc>
          <w:tcPr>
            <w:tcW w:w="293" w:type="pct"/>
          </w:tcPr>
          <w:p w14:paraId="441DF5C1" w14:textId="77777777" w:rsidR="00074551" w:rsidRPr="00E50B51" w:rsidRDefault="00074551" w:rsidP="00367133">
            <w:pPr>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C69C0E2" w14:textId="77777777" w:rsidR="00074551" w:rsidRPr="00E50B51" w:rsidRDefault="00074551" w:rsidP="00367133">
            <w:pPr>
              <w:ind w:left="113" w:right="113"/>
              <w:jc w:val="both"/>
              <w:rPr>
                <w:sz w:val="20"/>
                <w:szCs w:val="20"/>
                <w:lang w:val="en-US"/>
              </w:rPr>
            </w:pPr>
            <w:r w:rsidRPr="009167A5">
              <w:rPr>
                <w:i/>
                <w:sz w:val="20"/>
                <w:szCs w:val="20"/>
                <w:lang w:val="en-US"/>
              </w:rPr>
              <w:t>Pruneyard Shopping Ctr. v. Robins</w:t>
            </w:r>
          </w:p>
        </w:tc>
        <w:tc>
          <w:tcPr>
            <w:tcW w:w="197" w:type="pct"/>
            <w:textDirection w:val="tbRl"/>
            <w:vAlign w:val="center"/>
          </w:tcPr>
          <w:p w14:paraId="10197ACB" w14:textId="77777777" w:rsidR="00074551" w:rsidRPr="00E50B51" w:rsidRDefault="00074551" w:rsidP="00367133">
            <w:pPr>
              <w:ind w:left="113" w:right="113"/>
              <w:jc w:val="both"/>
              <w:rPr>
                <w:iCs/>
                <w:sz w:val="20"/>
                <w:szCs w:val="20"/>
                <w:lang w:val="en-US"/>
              </w:rPr>
            </w:pPr>
            <w:r w:rsidRPr="00E50B51">
              <w:rPr>
                <w:sz w:val="20"/>
                <w:szCs w:val="20"/>
                <w:lang w:val="en-US"/>
              </w:rPr>
              <w:t>447 U.S. 74</w:t>
            </w:r>
          </w:p>
        </w:tc>
        <w:tc>
          <w:tcPr>
            <w:tcW w:w="306" w:type="pct"/>
            <w:textDirection w:val="tbRl"/>
            <w:vAlign w:val="center"/>
          </w:tcPr>
          <w:p w14:paraId="3C88654F" w14:textId="77777777" w:rsidR="00074551" w:rsidRPr="00E50B51" w:rsidRDefault="00074551" w:rsidP="00367133">
            <w:pPr>
              <w:ind w:left="113" w:right="113"/>
              <w:jc w:val="both"/>
              <w:rPr>
                <w:sz w:val="20"/>
                <w:szCs w:val="20"/>
                <w:lang w:val="en-US"/>
              </w:rPr>
            </w:pPr>
            <w:r w:rsidRPr="00E50B51">
              <w:rPr>
                <w:sz w:val="20"/>
                <w:szCs w:val="20"/>
              </w:rPr>
              <w:t>9. Juni 1980</w:t>
            </w:r>
          </w:p>
        </w:tc>
        <w:tc>
          <w:tcPr>
            <w:tcW w:w="401" w:type="pct"/>
          </w:tcPr>
          <w:p w14:paraId="57A35DF1" w14:textId="77777777" w:rsidR="00074551" w:rsidRPr="00E50B51" w:rsidRDefault="00074551" w:rsidP="00367133">
            <w:pPr>
              <w:jc w:val="center"/>
              <w:rPr>
                <w:sz w:val="20"/>
                <w:szCs w:val="20"/>
              </w:rPr>
            </w:pPr>
            <w:r w:rsidRPr="00E50B51">
              <w:rPr>
                <w:sz w:val="20"/>
                <w:szCs w:val="20"/>
              </w:rPr>
              <w:t>C</w:t>
            </w:r>
          </w:p>
        </w:tc>
        <w:tc>
          <w:tcPr>
            <w:tcW w:w="1594" w:type="pct"/>
          </w:tcPr>
          <w:p w14:paraId="3157C303" w14:textId="77777777" w:rsidR="00074551" w:rsidRPr="00E50B51" w:rsidRDefault="00074551" w:rsidP="00367133">
            <w:pPr>
              <w:jc w:val="both"/>
              <w:rPr>
                <w:sz w:val="20"/>
                <w:szCs w:val="20"/>
              </w:rPr>
            </w:pPr>
            <w:r w:rsidRPr="00E50B51">
              <w:rPr>
                <w:sz w:val="20"/>
                <w:szCs w:val="20"/>
              </w:rPr>
              <w:t>*</w:t>
            </w:r>
          </w:p>
        </w:tc>
        <w:tc>
          <w:tcPr>
            <w:tcW w:w="1822" w:type="pct"/>
          </w:tcPr>
          <w:p w14:paraId="0EE1297A" w14:textId="77905DC7" w:rsidR="00074551" w:rsidRDefault="00074551" w:rsidP="00367133">
            <w:pPr>
              <w:jc w:val="both"/>
              <w:rPr>
                <w:sz w:val="20"/>
                <w:szCs w:val="20"/>
              </w:rPr>
            </w:pPr>
            <w:r w:rsidRPr="009D34C3">
              <w:rPr>
                <w:sz w:val="20"/>
                <w:szCs w:val="20"/>
              </w:rPr>
              <w:t>Weder das Eigentum noch die Vertragsfreiheit gestalten sich absolut. Denn an beidem bestehe sowohl ein privates als auch</w:t>
            </w:r>
            <w:r>
              <w:rPr>
                <w:sz w:val="20"/>
                <w:szCs w:val="20"/>
              </w:rPr>
              <w:t xml:space="preserve"> ein</w:t>
            </w:r>
            <w:r w:rsidRPr="009D34C3">
              <w:rPr>
                <w:sz w:val="20"/>
                <w:szCs w:val="20"/>
              </w:rPr>
              <w:t xml:space="preserve"> öffentliches Interesse, letzteres als Interesse der Allgemeinheit. Beide Interessen müss</w:t>
            </w:r>
            <w:r>
              <w:rPr>
                <w:sz w:val="20"/>
                <w:szCs w:val="20"/>
              </w:rPr>
              <w:t>t</w:t>
            </w:r>
            <w:r w:rsidRPr="009D34C3">
              <w:rPr>
                <w:sz w:val="20"/>
                <w:szCs w:val="20"/>
              </w:rPr>
              <w:t>en miteinander in Ausgleich gebracht werden. Bei diesem Ausgleich verlang</w:t>
            </w:r>
            <w:r>
              <w:rPr>
                <w:sz w:val="20"/>
                <w:szCs w:val="20"/>
              </w:rPr>
              <w:t>e</w:t>
            </w:r>
            <w:r w:rsidRPr="009D34C3">
              <w:rPr>
                <w:sz w:val="20"/>
                <w:szCs w:val="20"/>
              </w:rPr>
              <w:t xml:space="preserve"> das rechtsstaatliche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9D34C3">
              <w:rPr>
                <w:sz w:val="20"/>
                <w:szCs w:val="20"/>
              </w:rPr>
              <w:t xml:space="preserve"> nur, dass </w:t>
            </w:r>
            <w:r>
              <w:rPr>
                <w:sz w:val="20"/>
                <w:szCs w:val="20"/>
              </w:rPr>
              <w:t>z.B.</w:t>
            </w:r>
            <w:r w:rsidRPr="009D34C3">
              <w:rPr>
                <w:sz w:val="20"/>
                <w:szCs w:val="20"/>
              </w:rPr>
              <w:t xml:space="preserve"> ein beide Interessen berührendes Gesetz nicht ermessensfehlerhaft, willkürlich und unverhältnismäßig sei und dass die Mittel des Gesetzeszwecks zumindest förderlich seien. Doch woher stammt dieser Mindestmaßstab des rechtsstaa</w:t>
            </w:r>
            <w:r>
              <w:rPr>
                <w:sz w:val="20"/>
                <w:szCs w:val="20"/>
              </w:rPr>
              <w:t>t</w:t>
            </w:r>
            <w:r w:rsidRPr="009D34C3">
              <w:rPr>
                <w:sz w:val="20"/>
                <w:szCs w:val="20"/>
              </w:rPr>
              <w:t xml:space="preserve">lichen Verfahrens? 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9D34C3">
              <w:rPr>
                <w:sz w:val="20"/>
                <w:szCs w:val="20"/>
              </w:rPr>
              <w:t xml:space="preserve"> erklärt zum privaten Interesse, dass die Verfahrensanforderung zumindest den Schutz vor staatlicher Macht geben müsse, den die Amerikaner als Engländer vor der Macht der Krone genossen hatten bzw. beim Übergang in einen unabhängigen Staat. Dort habe die Freiheit, die vor dem Entzug ohne ein rechtsstaatliches Verfahren geschützt sei, zumindest das Recht eröffnet, Vorrechte wahrzunehmen, und zwar die, die nach dem Gewohnheitsrecht als wesentlich für das ordnungsgemäße Streben freier Menschen nach Glück anerkannt seien.</w:t>
            </w:r>
            <w:r w:rsidRPr="009D34C3">
              <w:rPr>
                <w:sz w:val="20"/>
                <w:szCs w:val="20"/>
                <w:vertAlign w:val="superscript"/>
              </w:rPr>
              <w:footnoteReference w:id="2112"/>
            </w:r>
            <w:r w:rsidRPr="009D34C3">
              <w:rPr>
                <w:sz w:val="20"/>
                <w:szCs w:val="20"/>
              </w:rPr>
              <w:t xml:space="preserve"> Das Glücksstreben sei damit Regelungskern und Minimum für Verfahrensanforderungen.</w:t>
            </w:r>
          </w:p>
          <w:p w14:paraId="6F00E98F" w14:textId="77777777" w:rsidR="00074551" w:rsidRPr="00E50B51" w:rsidRDefault="00074551" w:rsidP="00367133">
            <w:pPr>
              <w:jc w:val="both"/>
              <w:rPr>
                <w:sz w:val="20"/>
                <w:szCs w:val="20"/>
              </w:rPr>
            </w:pPr>
          </w:p>
        </w:tc>
      </w:tr>
      <w:tr w:rsidR="00074551" w:rsidRPr="00E50B51" w14:paraId="0CA2064E" w14:textId="77777777" w:rsidTr="00BE689F">
        <w:trPr>
          <w:cantSplit/>
          <w:trHeight w:val="3175"/>
        </w:trPr>
        <w:tc>
          <w:tcPr>
            <w:tcW w:w="293" w:type="pct"/>
          </w:tcPr>
          <w:p w14:paraId="3DDE0E54"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0AD8872F" w14:textId="77777777" w:rsidR="00074551" w:rsidRPr="00E50B51" w:rsidRDefault="00074551" w:rsidP="00367133">
            <w:pPr>
              <w:ind w:left="113" w:right="416"/>
              <w:jc w:val="both"/>
              <w:rPr>
                <w:sz w:val="20"/>
                <w:szCs w:val="20"/>
                <w:lang w:val="en-US"/>
              </w:rPr>
            </w:pPr>
            <w:r w:rsidRPr="009167A5">
              <w:rPr>
                <w:i/>
                <w:sz w:val="20"/>
                <w:szCs w:val="20"/>
                <w:lang w:val="en-US"/>
              </w:rPr>
              <w:t>Pruneyard Shopping Ctr. v. Robins</w:t>
            </w:r>
          </w:p>
        </w:tc>
        <w:tc>
          <w:tcPr>
            <w:tcW w:w="197" w:type="pct"/>
            <w:textDirection w:val="tbRl"/>
            <w:vAlign w:val="center"/>
          </w:tcPr>
          <w:p w14:paraId="2FC6C14F" w14:textId="77777777" w:rsidR="00074551" w:rsidRPr="00E50B51" w:rsidRDefault="00074551" w:rsidP="00367133">
            <w:pPr>
              <w:ind w:left="113" w:right="113"/>
              <w:jc w:val="both"/>
              <w:rPr>
                <w:iCs/>
                <w:sz w:val="20"/>
                <w:szCs w:val="20"/>
              </w:rPr>
            </w:pPr>
            <w:r w:rsidRPr="00E50B51">
              <w:rPr>
                <w:sz w:val="20"/>
                <w:szCs w:val="20"/>
                <w:lang w:val="en-US"/>
              </w:rPr>
              <w:t>447 U.S. 74</w:t>
            </w:r>
          </w:p>
        </w:tc>
        <w:tc>
          <w:tcPr>
            <w:tcW w:w="306" w:type="pct"/>
            <w:textDirection w:val="tbRl"/>
            <w:vAlign w:val="center"/>
          </w:tcPr>
          <w:p w14:paraId="76F2C61E" w14:textId="77777777" w:rsidR="00074551" w:rsidRPr="00E50B51" w:rsidRDefault="00074551" w:rsidP="00367133">
            <w:pPr>
              <w:ind w:left="113" w:right="113"/>
              <w:jc w:val="both"/>
              <w:rPr>
                <w:sz w:val="20"/>
                <w:szCs w:val="20"/>
              </w:rPr>
            </w:pPr>
            <w:r w:rsidRPr="00E50B51">
              <w:rPr>
                <w:sz w:val="20"/>
                <w:szCs w:val="20"/>
              </w:rPr>
              <w:t>9. Juni 1980</w:t>
            </w:r>
          </w:p>
        </w:tc>
        <w:tc>
          <w:tcPr>
            <w:tcW w:w="401" w:type="pct"/>
          </w:tcPr>
          <w:p w14:paraId="5AA7659B" w14:textId="77777777" w:rsidR="00074551" w:rsidRPr="00E50B51" w:rsidRDefault="00074551" w:rsidP="00367133">
            <w:pPr>
              <w:jc w:val="center"/>
              <w:rPr>
                <w:sz w:val="20"/>
                <w:szCs w:val="20"/>
              </w:rPr>
            </w:pPr>
            <w:r w:rsidRPr="00E50B51">
              <w:rPr>
                <w:sz w:val="20"/>
                <w:szCs w:val="20"/>
              </w:rPr>
              <w:t>C</w:t>
            </w:r>
          </w:p>
        </w:tc>
        <w:tc>
          <w:tcPr>
            <w:tcW w:w="1594" w:type="pct"/>
          </w:tcPr>
          <w:p w14:paraId="62F1DD1F" w14:textId="77777777" w:rsidR="00074551" w:rsidRPr="00E50B51" w:rsidRDefault="00074551" w:rsidP="00367133">
            <w:pPr>
              <w:jc w:val="both"/>
              <w:rPr>
                <w:sz w:val="20"/>
                <w:szCs w:val="20"/>
              </w:rPr>
            </w:pPr>
            <w:r w:rsidRPr="00E50B51">
              <w:rPr>
                <w:sz w:val="20"/>
                <w:szCs w:val="20"/>
              </w:rPr>
              <w:t>*</w:t>
            </w:r>
          </w:p>
        </w:tc>
        <w:tc>
          <w:tcPr>
            <w:tcW w:w="1822" w:type="pct"/>
          </w:tcPr>
          <w:p w14:paraId="73BCEB17" w14:textId="77777777" w:rsidR="00074551" w:rsidRDefault="00074551" w:rsidP="00367133">
            <w:pPr>
              <w:jc w:val="both"/>
              <w:rPr>
                <w:sz w:val="20"/>
                <w:szCs w:val="20"/>
              </w:rPr>
            </w:pPr>
            <w:r w:rsidRPr="009D34C3">
              <w:rPr>
                <w:sz w:val="20"/>
                <w:szCs w:val="20"/>
              </w:rPr>
              <w:t xml:space="preserve">Die </w:t>
            </w:r>
            <w:proofErr w:type="spellStart"/>
            <w:r w:rsidRPr="5B67C1D2">
              <w:rPr>
                <w:i/>
                <w:iCs/>
                <w:sz w:val="20"/>
                <w:szCs w:val="20"/>
              </w:rPr>
              <w:t>concurring</w:t>
            </w:r>
            <w:proofErr w:type="spellEnd"/>
            <w:r w:rsidRPr="5B67C1D2">
              <w:rPr>
                <w:i/>
                <w:iCs/>
                <w:sz w:val="20"/>
                <w:szCs w:val="20"/>
              </w:rPr>
              <w:t xml:space="preserve"> </w:t>
            </w:r>
            <w:proofErr w:type="spellStart"/>
            <w:r w:rsidRPr="5B67C1D2">
              <w:rPr>
                <w:i/>
                <w:iCs/>
                <w:sz w:val="20"/>
                <w:szCs w:val="20"/>
              </w:rPr>
              <w:t>opinion</w:t>
            </w:r>
            <w:proofErr w:type="spellEnd"/>
            <w:r w:rsidRPr="009D34C3">
              <w:rPr>
                <w:sz w:val="20"/>
                <w:szCs w:val="20"/>
              </w:rPr>
              <w:t xml:space="preserve"> erklärte das Streben nach Glück als eine dogmatische Grundlage der sog. Common-Law-Doktrin. Mit diesem Gedanken ergänzt sie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9D34C3">
              <w:rPr>
                <w:sz w:val="20"/>
                <w:szCs w:val="20"/>
              </w:rPr>
              <w:t xml:space="preserve"> wie folgt: </w:t>
            </w:r>
            <w:bookmarkStart w:id="90" w:name="_Hlk227834275"/>
            <w:r w:rsidRPr="009D34C3">
              <w:rPr>
                <w:sz w:val="20"/>
                <w:szCs w:val="20"/>
              </w:rPr>
              <w:t xml:space="preserve">Das Eigentum </w:t>
            </w:r>
            <w:r>
              <w:rPr>
                <w:sz w:val="20"/>
                <w:szCs w:val="20"/>
              </w:rPr>
              <w:t>werde</w:t>
            </w:r>
            <w:r w:rsidRPr="009D34C3">
              <w:rPr>
                <w:sz w:val="20"/>
                <w:szCs w:val="20"/>
              </w:rPr>
              <w:t xml:space="preserve"> nicht ausschließlich </w:t>
            </w:r>
            <w:r>
              <w:rPr>
                <w:sz w:val="20"/>
                <w:szCs w:val="20"/>
              </w:rPr>
              <w:t xml:space="preserve">durch </w:t>
            </w:r>
            <w:r w:rsidRPr="009D34C3">
              <w:rPr>
                <w:sz w:val="20"/>
                <w:szCs w:val="20"/>
              </w:rPr>
              <w:t>einfaches Bundesrecht bzw. das bundesstaatliche Recht</w:t>
            </w:r>
            <w:r>
              <w:rPr>
                <w:sz w:val="20"/>
                <w:szCs w:val="20"/>
              </w:rPr>
              <w:t xml:space="preserve"> geschützt</w:t>
            </w:r>
            <w:r w:rsidRPr="009D34C3">
              <w:rPr>
                <w:sz w:val="20"/>
                <w:szCs w:val="20"/>
              </w:rPr>
              <w:t xml:space="preserve">. </w:t>
            </w:r>
            <w:bookmarkEnd w:id="90"/>
            <w:r w:rsidRPr="009D34C3">
              <w:rPr>
                <w:sz w:val="20"/>
                <w:szCs w:val="20"/>
              </w:rPr>
              <w:t>Denn Eigentum komme auch der Schutz durch eine verfassungsrechtliche Grenze zu. Diese zeige sich daran, dass der Kongress oder ein Bundesstaat Common-Law-Doktrinen nicht einfach aufheben könn</w:t>
            </w:r>
            <w:r>
              <w:rPr>
                <w:sz w:val="20"/>
                <w:szCs w:val="20"/>
              </w:rPr>
              <w:t>ten</w:t>
            </w:r>
            <w:r w:rsidRPr="009D34C3">
              <w:rPr>
                <w:sz w:val="20"/>
                <w:szCs w:val="20"/>
              </w:rPr>
              <w:t xml:space="preserve"> („</w:t>
            </w:r>
            <w:proofErr w:type="spellStart"/>
            <w:r w:rsidRPr="009D34C3">
              <w:rPr>
                <w:sz w:val="20"/>
                <w:szCs w:val="20"/>
              </w:rPr>
              <w:t>federal</w:t>
            </w:r>
            <w:proofErr w:type="spellEnd"/>
            <w:r w:rsidRPr="009D34C3">
              <w:rPr>
                <w:sz w:val="20"/>
                <w:szCs w:val="20"/>
              </w:rPr>
              <w:t xml:space="preserve"> </w:t>
            </w:r>
            <w:proofErr w:type="spellStart"/>
            <w:r w:rsidRPr="009D34C3">
              <w:rPr>
                <w:sz w:val="20"/>
                <w:szCs w:val="20"/>
              </w:rPr>
              <w:t>constitutional</w:t>
            </w:r>
            <w:proofErr w:type="spellEnd"/>
            <w:r w:rsidRPr="009D34C3">
              <w:rPr>
                <w:sz w:val="20"/>
                <w:szCs w:val="20"/>
              </w:rPr>
              <w:t xml:space="preserve"> </w:t>
            </w:r>
            <w:proofErr w:type="spellStart"/>
            <w:r w:rsidRPr="009D34C3">
              <w:rPr>
                <w:sz w:val="20"/>
                <w:szCs w:val="20"/>
              </w:rPr>
              <w:t>barrier</w:t>
            </w:r>
            <w:proofErr w:type="spellEnd"/>
            <w:r w:rsidRPr="009D34C3">
              <w:rPr>
                <w:sz w:val="20"/>
                <w:szCs w:val="20"/>
              </w:rPr>
              <w:t xml:space="preserve"> to the </w:t>
            </w:r>
            <w:proofErr w:type="spellStart"/>
            <w:r w:rsidRPr="009D34C3">
              <w:rPr>
                <w:sz w:val="20"/>
                <w:szCs w:val="20"/>
              </w:rPr>
              <w:t>abrogation</w:t>
            </w:r>
            <w:proofErr w:type="spellEnd"/>
            <w:r w:rsidRPr="009D34C3">
              <w:rPr>
                <w:sz w:val="20"/>
                <w:szCs w:val="20"/>
              </w:rPr>
              <w:t xml:space="preserve"> of </w:t>
            </w:r>
            <w:proofErr w:type="spellStart"/>
            <w:r w:rsidRPr="009D34C3">
              <w:rPr>
                <w:sz w:val="20"/>
                <w:szCs w:val="20"/>
              </w:rPr>
              <w:t>common-law</w:t>
            </w:r>
            <w:proofErr w:type="spellEnd"/>
            <w:r w:rsidRPr="009D34C3">
              <w:rPr>
                <w:sz w:val="20"/>
                <w:szCs w:val="20"/>
              </w:rPr>
              <w:t xml:space="preserve"> </w:t>
            </w:r>
            <w:proofErr w:type="spellStart"/>
            <w:r w:rsidRPr="009D34C3">
              <w:rPr>
                <w:sz w:val="20"/>
                <w:szCs w:val="20"/>
              </w:rPr>
              <w:t>rights</w:t>
            </w:r>
            <w:proofErr w:type="spellEnd"/>
            <w:r w:rsidRPr="009D34C3">
              <w:rPr>
                <w:sz w:val="20"/>
                <w:szCs w:val="20"/>
              </w:rPr>
              <w:t> “</w:t>
            </w:r>
            <w:r w:rsidRPr="009D34C3">
              <w:rPr>
                <w:sz w:val="20"/>
                <w:szCs w:val="20"/>
                <w:vertAlign w:val="superscript"/>
              </w:rPr>
              <w:footnoteReference w:id="2113"/>
            </w:r>
            <w:r w:rsidRPr="009D34C3">
              <w:rPr>
                <w:sz w:val="20"/>
                <w:szCs w:val="20"/>
              </w:rPr>
              <w:t>). Ein Beispiel dafür: Anhand der Verfassungsbegriffe Leben, Freiheit, Eigentum zeigen sich Common-Law-Doktrinen; diese verankern sich nicht nur im positiven Recht</w:t>
            </w:r>
            <w:r>
              <w:rPr>
                <w:sz w:val="20"/>
                <w:szCs w:val="20"/>
              </w:rPr>
              <w:t>,</w:t>
            </w:r>
            <w:r w:rsidRPr="009D34C3">
              <w:rPr>
                <w:sz w:val="20"/>
                <w:szCs w:val="20"/>
              </w:rPr>
              <w:t xml:space="preserve"> sondern sie besitzen auch weitere, normative Dimensionen</w:t>
            </w:r>
            <w:r>
              <w:rPr>
                <w:sz w:val="20"/>
                <w:szCs w:val="20"/>
              </w:rPr>
              <w:t xml:space="preserve">. Zudem </w:t>
            </w:r>
            <w:r w:rsidRPr="009D34C3">
              <w:rPr>
                <w:sz w:val="20"/>
                <w:szCs w:val="20"/>
              </w:rPr>
              <w:t>regeln</w:t>
            </w:r>
            <w:r>
              <w:rPr>
                <w:sz w:val="20"/>
                <w:szCs w:val="20"/>
              </w:rPr>
              <w:t xml:space="preserve"> sie</w:t>
            </w:r>
            <w:r w:rsidRPr="009D34C3">
              <w:rPr>
                <w:sz w:val="20"/>
                <w:szCs w:val="20"/>
              </w:rPr>
              <w:t xml:space="preserve"> im Schutzbereich als normative Dimension </w:t>
            </w:r>
            <w:r>
              <w:rPr>
                <w:sz w:val="20"/>
                <w:szCs w:val="20"/>
              </w:rPr>
              <w:t>z.B.</w:t>
            </w:r>
            <w:r w:rsidRPr="009D34C3">
              <w:rPr>
                <w:sz w:val="20"/>
                <w:szCs w:val="20"/>
              </w:rPr>
              <w:t xml:space="preserve"> die Persönlichkeitssphäre („</w:t>
            </w:r>
            <w:proofErr w:type="spellStart"/>
            <w:r w:rsidRPr="009D34C3">
              <w:rPr>
                <w:sz w:val="20"/>
                <w:szCs w:val="20"/>
              </w:rPr>
              <w:t>sphere</w:t>
            </w:r>
            <w:proofErr w:type="spellEnd"/>
            <w:r w:rsidRPr="009D34C3">
              <w:rPr>
                <w:sz w:val="20"/>
                <w:szCs w:val="20"/>
              </w:rPr>
              <w:t xml:space="preserve"> of private </w:t>
            </w:r>
            <w:proofErr w:type="spellStart"/>
            <w:r w:rsidRPr="009D34C3">
              <w:rPr>
                <w:sz w:val="20"/>
                <w:szCs w:val="20"/>
              </w:rPr>
              <w:t>autonomy</w:t>
            </w:r>
            <w:proofErr w:type="spellEnd"/>
            <w:r w:rsidRPr="009D34C3">
              <w:rPr>
                <w:sz w:val="20"/>
                <w:szCs w:val="20"/>
              </w:rPr>
              <w:t>“</w:t>
            </w:r>
            <w:r w:rsidRPr="009D34C3">
              <w:rPr>
                <w:sz w:val="20"/>
                <w:szCs w:val="20"/>
                <w:vertAlign w:val="superscript"/>
              </w:rPr>
              <w:footnoteReference w:id="2114"/>
            </w:r>
            <w:r w:rsidRPr="009D34C3">
              <w:rPr>
                <w:sz w:val="20"/>
                <w:szCs w:val="20"/>
              </w:rPr>
              <w:t>), welche staatliche Maßnahmen zu achten haben. Dabei gebe es einen Kern der Common-Law-Doktrinen, die ein rechtsstaatliches Verfahren erforder</w:t>
            </w:r>
            <w:r>
              <w:rPr>
                <w:sz w:val="20"/>
                <w:szCs w:val="20"/>
              </w:rPr>
              <w:t>te</w:t>
            </w:r>
            <w:r w:rsidRPr="009D34C3">
              <w:rPr>
                <w:sz w:val="20"/>
                <w:szCs w:val="20"/>
              </w:rPr>
              <w:t>n. Sie bem</w:t>
            </w:r>
            <w:r>
              <w:rPr>
                <w:sz w:val="20"/>
                <w:szCs w:val="20"/>
              </w:rPr>
              <w:t>äß</w:t>
            </w:r>
            <w:r w:rsidRPr="009D34C3">
              <w:rPr>
                <w:sz w:val="20"/>
                <w:szCs w:val="20"/>
              </w:rPr>
              <w:t xml:space="preserve">en sich daran, ob die Doktrin ein Vorrecht sei, das seit langem </w:t>
            </w:r>
            <w:proofErr w:type="gramStart"/>
            <w:r w:rsidRPr="009D34C3">
              <w:rPr>
                <w:sz w:val="20"/>
                <w:szCs w:val="20"/>
              </w:rPr>
              <w:t>im Gewohnheitsrecht</w:t>
            </w:r>
            <w:proofErr w:type="gramEnd"/>
            <w:r w:rsidRPr="009D34C3">
              <w:rPr>
                <w:sz w:val="20"/>
                <w:szCs w:val="20"/>
              </w:rPr>
              <w:t xml:space="preserve"> als wesentlich für </w:t>
            </w:r>
            <w:r>
              <w:rPr>
                <w:sz w:val="20"/>
                <w:szCs w:val="20"/>
              </w:rPr>
              <w:t>das</w:t>
            </w:r>
            <w:r w:rsidRPr="009D34C3">
              <w:rPr>
                <w:sz w:val="20"/>
                <w:szCs w:val="20"/>
              </w:rPr>
              <w:t xml:space="preserve"> geordnete Streben nach Glück durch freie Menschen anerkannt sei.</w:t>
            </w:r>
            <w:r w:rsidRPr="009D34C3">
              <w:rPr>
                <w:sz w:val="20"/>
                <w:szCs w:val="20"/>
                <w:vertAlign w:val="superscript"/>
              </w:rPr>
              <w:footnoteReference w:id="2115"/>
            </w:r>
            <w:r w:rsidRPr="009D34C3">
              <w:rPr>
                <w:sz w:val="20"/>
                <w:szCs w:val="20"/>
              </w:rPr>
              <w:t xml:space="preserve"> Ein Beispiel sei der Schutz gegen Hausfriedensbruch,</w:t>
            </w:r>
            <w:r w:rsidRPr="009D34C3">
              <w:rPr>
                <w:sz w:val="20"/>
                <w:szCs w:val="20"/>
                <w:vertAlign w:val="superscript"/>
              </w:rPr>
              <w:footnoteReference w:id="2116"/>
            </w:r>
            <w:r w:rsidRPr="009D34C3">
              <w:rPr>
                <w:sz w:val="20"/>
                <w:szCs w:val="20"/>
              </w:rPr>
              <w:t xml:space="preserve"> den staatlichen Maßnahmen zumindest nicht ohne ein rechtsstaatliches Verfahren einschränken könn</w:t>
            </w:r>
            <w:r>
              <w:rPr>
                <w:sz w:val="20"/>
                <w:szCs w:val="20"/>
              </w:rPr>
              <w:t>t</w:t>
            </w:r>
            <w:r w:rsidRPr="009D34C3">
              <w:rPr>
                <w:sz w:val="20"/>
                <w:szCs w:val="20"/>
              </w:rPr>
              <w:t>en.</w:t>
            </w:r>
            <w:r w:rsidRPr="009D34C3">
              <w:rPr>
                <w:sz w:val="20"/>
                <w:szCs w:val="20"/>
                <w:vertAlign w:val="superscript"/>
              </w:rPr>
              <w:footnoteReference w:id="2117"/>
            </w:r>
          </w:p>
          <w:p w14:paraId="3193C2B9" w14:textId="77777777" w:rsidR="00074551" w:rsidRPr="00E50B51" w:rsidRDefault="00074551" w:rsidP="00367133">
            <w:pPr>
              <w:jc w:val="both"/>
              <w:rPr>
                <w:sz w:val="20"/>
                <w:szCs w:val="20"/>
              </w:rPr>
            </w:pPr>
          </w:p>
        </w:tc>
      </w:tr>
      <w:tr w:rsidR="00074551" w:rsidRPr="00E50B51" w14:paraId="7A3BF0D2" w14:textId="77777777" w:rsidTr="00BE689F">
        <w:trPr>
          <w:cantSplit/>
          <w:trHeight w:val="3175"/>
        </w:trPr>
        <w:tc>
          <w:tcPr>
            <w:tcW w:w="293" w:type="pct"/>
          </w:tcPr>
          <w:p w14:paraId="3ED8A2AC"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7E56D24" w14:textId="77777777" w:rsidR="00074551" w:rsidRPr="00E50B51" w:rsidRDefault="00074551" w:rsidP="00367133">
            <w:pPr>
              <w:ind w:left="113" w:right="416"/>
              <w:jc w:val="both"/>
              <w:rPr>
                <w:sz w:val="20"/>
                <w:szCs w:val="20"/>
                <w:lang w:val="en-US"/>
              </w:rPr>
            </w:pPr>
            <w:r w:rsidRPr="00584023">
              <w:rPr>
                <w:i/>
                <w:sz w:val="20"/>
                <w:szCs w:val="20"/>
                <w:lang w:val="en-US"/>
              </w:rPr>
              <w:t>Sosna v. Iowa</w:t>
            </w:r>
          </w:p>
        </w:tc>
        <w:tc>
          <w:tcPr>
            <w:tcW w:w="197" w:type="pct"/>
            <w:textDirection w:val="tbRl"/>
            <w:vAlign w:val="center"/>
          </w:tcPr>
          <w:p w14:paraId="5798AA96" w14:textId="77777777" w:rsidR="00074551" w:rsidRPr="00E50B51" w:rsidRDefault="00074551" w:rsidP="00367133">
            <w:pPr>
              <w:ind w:left="113" w:right="113"/>
              <w:jc w:val="both"/>
              <w:rPr>
                <w:iCs/>
                <w:sz w:val="20"/>
                <w:szCs w:val="20"/>
                <w:lang w:val="en-US"/>
              </w:rPr>
            </w:pPr>
            <w:r w:rsidRPr="00E50B51">
              <w:rPr>
                <w:sz w:val="20"/>
                <w:szCs w:val="20"/>
                <w:lang w:val="en-US"/>
              </w:rPr>
              <w:t>419 U.S. 393</w:t>
            </w:r>
          </w:p>
        </w:tc>
        <w:tc>
          <w:tcPr>
            <w:tcW w:w="306" w:type="pct"/>
            <w:textDirection w:val="tbRl"/>
            <w:vAlign w:val="center"/>
          </w:tcPr>
          <w:p w14:paraId="16D5124A" w14:textId="77777777" w:rsidR="00074551" w:rsidRPr="00E50B51" w:rsidRDefault="00074551" w:rsidP="00367133">
            <w:pPr>
              <w:ind w:left="113" w:right="113"/>
              <w:jc w:val="both"/>
              <w:rPr>
                <w:sz w:val="20"/>
                <w:szCs w:val="20"/>
                <w:lang w:val="en-US"/>
              </w:rPr>
            </w:pPr>
            <w:r w:rsidRPr="00E50B51">
              <w:rPr>
                <w:sz w:val="20"/>
                <w:szCs w:val="20"/>
              </w:rPr>
              <w:t>14. Januar 1975</w:t>
            </w:r>
          </w:p>
        </w:tc>
        <w:tc>
          <w:tcPr>
            <w:tcW w:w="401" w:type="pct"/>
          </w:tcPr>
          <w:p w14:paraId="072B538A"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24308085" w14:textId="77777777" w:rsidR="00074551" w:rsidRPr="00E50B51" w:rsidRDefault="00074551" w:rsidP="00367133">
            <w:pPr>
              <w:jc w:val="both"/>
              <w:rPr>
                <w:sz w:val="20"/>
                <w:szCs w:val="20"/>
              </w:rPr>
            </w:pPr>
            <w:r w:rsidRPr="00E50B51">
              <w:rPr>
                <w:sz w:val="20"/>
                <w:szCs w:val="20"/>
              </w:rPr>
              <w:t>*</w:t>
            </w:r>
          </w:p>
        </w:tc>
        <w:tc>
          <w:tcPr>
            <w:tcW w:w="1822" w:type="pct"/>
          </w:tcPr>
          <w:p w14:paraId="73BF284F" w14:textId="102A177C" w:rsidR="00074551" w:rsidRDefault="00C01996" w:rsidP="00367133">
            <w:pPr>
              <w:jc w:val="both"/>
              <w:rPr>
                <w:sz w:val="20"/>
                <w:szCs w:val="20"/>
              </w:rPr>
            </w:pPr>
            <w:r w:rsidRPr="00C01996">
              <w:rPr>
                <w:sz w:val="20"/>
                <w:szCs w:val="20"/>
              </w:rPr>
              <w:t xml:space="preserve">Der Dissens von Richter </w:t>
            </w:r>
            <w:r w:rsidRPr="00C01996">
              <w:rPr>
                <w:i/>
                <w:iCs/>
                <w:sz w:val="20"/>
                <w:szCs w:val="20"/>
              </w:rPr>
              <w:t>Marshall</w:t>
            </w:r>
            <w:r w:rsidRPr="00C01996">
              <w:rPr>
                <w:sz w:val="20"/>
                <w:szCs w:val="20"/>
              </w:rPr>
              <w:t xml:space="preserve"> </w:t>
            </w:r>
            <w:r w:rsidR="00074551" w:rsidRPr="002C6209">
              <w:rPr>
                <w:sz w:val="20"/>
                <w:szCs w:val="20"/>
              </w:rPr>
              <w:t xml:space="preserve">befasste sich mit der Frage, wie das Recht auf das Streben nach Glück sich auswirkt auf eine einjährige Wohnsitzanforderung, um ein Gericht für Scheidungsstreitigkeiten in Anspruch nehmen zu können. </w:t>
            </w:r>
            <w:r w:rsidR="00AF7AC3">
              <w:rPr>
                <w:sz w:val="20"/>
                <w:szCs w:val="20"/>
                <w:lang w:val="en-US"/>
              </w:rPr>
              <w:t xml:space="preserve">Er hob </w:t>
            </w:r>
            <w:proofErr w:type="spellStart"/>
            <w:r w:rsidR="00AF7AC3">
              <w:rPr>
                <w:sz w:val="20"/>
                <w:szCs w:val="20"/>
                <w:lang w:val="en-US"/>
              </w:rPr>
              <w:t>hervor</w:t>
            </w:r>
            <w:proofErr w:type="spellEnd"/>
            <w:r w:rsidR="00074551" w:rsidRPr="002C6209">
              <w:rPr>
                <w:sz w:val="20"/>
                <w:szCs w:val="20"/>
                <w:lang w:val="en-US"/>
              </w:rPr>
              <w:t xml:space="preserve">, </w:t>
            </w:r>
            <w:proofErr w:type="spellStart"/>
            <w:r w:rsidR="00074551" w:rsidRPr="002C6209">
              <w:rPr>
                <w:sz w:val="20"/>
                <w:szCs w:val="20"/>
                <w:lang w:val="en-US"/>
              </w:rPr>
              <w:t>dass</w:t>
            </w:r>
            <w:proofErr w:type="spellEnd"/>
            <w:r w:rsidR="00074551" w:rsidRPr="002C6209">
              <w:rPr>
                <w:sz w:val="20"/>
                <w:szCs w:val="20"/>
                <w:lang w:val="en-US"/>
              </w:rPr>
              <w:t xml:space="preserve"> das Recht auf </w:t>
            </w:r>
            <w:proofErr w:type="spellStart"/>
            <w:r w:rsidR="00074551" w:rsidRPr="002C6209">
              <w:rPr>
                <w:sz w:val="20"/>
                <w:szCs w:val="20"/>
                <w:lang w:val="en-US"/>
              </w:rPr>
              <w:t>Scheidung</w:t>
            </w:r>
            <w:proofErr w:type="spellEnd"/>
            <w:r w:rsidR="00074551" w:rsidRPr="002C6209">
              <w:rPr>
                <w:sz w:val="20"/>
                <w:szCs w:val="20"/>
                <w:lang w:val="en-US"/>
              </w:rPr>
              <w:t xml:space="preserve"> </w:t>
            </w:r>
            <w:proofErr w:type="spellStart"/>
            <w:r w:rsidR="00074551" w:rsidRPr="002C6209">
              <w:rPr>
                <w:sz w:val="20"/>
                <w:szCs w:val="20"/>
                <w:lang w:val="en-US"/>
              </w:rPr>
              <w:t>integraler</w:t>
            </w:r>
            <w:proofErr w:type="spellEnd"/>
            <w:r w:rsidR="00074551" w:rsidRPr="002C6209">
              <w:rPr>
                <w:sz w:val="20"/>
                <w:szCs w:val="20"/>
                <w:lang w:val="en-US"/>
              </w:rPr>
              <w:t xml:space="preserve"> </w:t>
            </w:r>
            <w:proofErr w:type="spellStart"/>
            <w:r w:rsidR="00074551" w:rsidRPr="002C6209">
              <w:rPr>
                <w:sz w:val="20"/>
                <w:szCs w:val="20"/>
                <w:lang w:val="en-US"/>
              </w:rPr>
              <w:t>Bestandteil</w:t>
            </w:r>
            <w:proofErr w:type="spellEnd"/>
            <w:r w:rsidR="00074551" w:rsidRPr="002C6209">
              <w:rPr>
                <w:sz w:val="20"/>
                <w:szCs w:val="20"/>
                <w:lang w:val="en-US"/>
              </w:rPr>
              <w:t xml:space="preserve"> des </w:t>
            </w:r>
            <w:proofErr w:type="spellStart"/>
            <w:r w:rsidR="00074551" w:rsidRPr="002C6209">
              <w:rPr>
                <w:sz w:val="20"/>
                <w:szCs w:val="20"/>
                <w:lang w:val="en-US"/>
              </w:rPr>
              <w:t>Strebens</w:t>
            </w:r>
            <w:proofErr w:type="spellEnd"/>
            <w:r w:rsidR="00074551" w:rsidRPr="002C6209">
              <w:rPr>
                <w:sz w:val="20"/>
                <w:szCs w:val="20"/>
                <w:lang w:val="en-US"/>
              </w:rPr>
              <w:t xml:space="preserve"> </w:t>
            </w:r>
            <w:proofErr w:type="spellStart"/>
            <w:r w:rsidR="00074551" w:rsidRPr="002C6209">
              <w:rPr>
                <w:sz w:val="20"/>
                <w:szCs w:val="20"/>
                <w:lang w:val="en-US"/>
              </w:rPr>
              <w:t>nach</w:t>
            </w:r>
            <w:proofErr w:type="spellEnd"/>
            <w:r w:rsidR="00074551" w:rsidRPr="002C6209">
              <w:rPr>
                <w:sz w:val="20"/>
                <w:szCs w:val="20"/>
                <w:lang w:val="en-US"/>
              </w:rPr>
              <w:t xml:space="preserve"> Glück sei („the right to marry has been </w:t>
            </w:r>
            <w:proofErr w:type="gramStart"/>
            <w:r w:rsidR="00074551" w:rsidRPr="002C6209">
              <w:rPr>
                <w:sz w:val="20"/>
                <w:szCs w:val="20"/>
                <w:lang w:val="en-US"/>
              </w:rPr>
              <w:t xml:space="preserve">termed </w:t>
            </w:r>
            <w:r w:rsidR="00074551">
              <w:rPr>
                <w:sz w:val="20"/>
                <w:szCs w:val="20"/>
                <w:lang w:val="en-US"/>
              </w:rPr>
              <w:t>,</w:t>
            </w:r>
            <w:r w:rsidR="00074551" w:rsidRPr="002C6209">
              <w:rPr>
                <w:sz w:val="20"/>
                <w:szCs w:val="20"/>
                <w:lang w:val="en-US"/>
              </w:rPr>
              <w:t>one</w:t>
            </w:r>
            <w:proofErr w:type="gramEnd"/>
            <w:r w:rsidR="00074551" w:rsidRPr="002C6209">
              <w:rPr>
                <w:sz w:val="20"/>
                <w:szCs w:val="20"/>
                <w:lang w:val="en-US"/>
              </w:rPr>
              <w:t xml:space="preserve"> of the vital personal rights essential to the orderly pursuit of happiness by free men.</w:t>
            </w:r>
            <w:r w:rsidR="00074551">
              <w:rPr>
                <w:sz w:val="20"/>
                <w:szCs w:val="20"/>
                <w:lang w:val="en-US"/>
              </w:rPr>
              <w:t>’</w:t>
            </w:r>
            <w:r w:rsidR="00074551" w:rsidRPr="002C6209">
              <w:rPr>
                <w:sz w:val="20"/>
                <w:szCs w:val="20"/>
                <w:vertAlign w:val="superscript"/>
                <w:lang w:val="en-US"/>
              </w:rPr>
              <w:footnoteReference w:id="2118"/>
            </w:r>
            <w:r w:rsidR="00074551" w:rsidRPr="002C6209">
              <w:rPr>
                <w:sz w:val="20"/>
                <w:szCs w:val="20"/>
                <w:lang w:val="en-US"/>
              </w:rPr>
              <w:t xml:space="preserve"> […] we recognized that the right to seek dissolution of the marital relationship was closely related to the right to </w:t>
            </w:r>
            <w:proofErr w:type="gramStart"/>
            <w:r w:rsidR="00074551" w:rsidRPr="002C6209">
              <w:rPr>
                <w:sz w:val="20"/>
                <w:szCs w:val="20"/>
                <w:lang w:val="en-US"/>
              </w:rPr>
              <w:t>marry“</w:t>
            </w:r>
            <w:proofErr w:type="gramEnd"/>
            <w:r w:rsidR="00074551" w:rsidRPr="002C6209">
              <w:rPr>
                <w:sz w:val="20"/>
                <w:szCs w:val="20"/>
                <w:vertAlign w:val="superscript"/>
                <w:lang w:val="en-US"/>
              </w:rPr>
              <w:footnoteReference w:id="2119"/>
            </w:r>
            <w:proofErr w:type="gramStart"/>
            <w:r w:rsidR="00074551" w:rsidRPr="002C6209">
              <w:rPr>
                <w:sz w:val="20"/>
                <w:szCs w:val="20"/>
                <w:lang w:val="en-US"/>
              </w:rPr>
              <w:t>).</w:t>
            </w:r>
            <w:r w:rsidR="00AF7AC3" w:rsidRPr="00AF7AC3">
              <w:rPr>
                <w:sz w:val="20"/>
                <w:szCs w:val="20"/>
                <w:lang w:val="en-US"/>
              </w:rPr>
              <w:t>Die</w:t>
            </w:r>
            <w:proofErr w:type="gramEnd"/>
            <w:r w:rsidR="00AF7AC3" w:rsidRPr="00AF7AC3">
              <w:rPr>
                <w:sz w:val="20"/>
                <w:szCs w:val="20"/>
                <w:lang w:val="en-US"/>
              </w:rPr>
              <w:t xml:space="preserve"> </w:t>
            </w:r>
            <w:r w:rsidR="00AF7AC3" w:rsidRPr="00AF7AC3">
              <w:rPr>
                <w:i/>
                <w:iCs/>
                <w:sz w:val="20"/>
                <w:szCs w:val="20"/>
                <w:lang w:val="en-US"/>
              </w:rPr>
              <w:t xml:space="preserve">majority opinion </w:t>
            </w:r>
            <w:proofErr w:type="spellStart"/>
            <w:r w:rsidR="00AF7AC3" w:rsidRPr="00AF7AC3">
              <w:rPr>
                <w:sz w:val="20"/>
                <w:szCs w:val="20"/>
                <w:lang w:val="en-US"/>
              </w:rPr>
              <w:t>stufte</w:t>
            </w:r>
            <w:proofErr w:type="spellEnd"/>
            <w:r w:rsidR="00AF7AC3" w:rsidRPr="00AF7AC3">
              <w:rPr>
                <w:sz w:val="20"/>
                <w:szCs w:val="20"/>
                <w:lang w:val="en-US"/>
              </w:rPr>
              <w:t xml:space="preserve"> die </w:t>
            </w:r>
            <w:proofErr w:type="spellStart"/>
            <w:r w:rsidR="00AF7AC3" w:rsidRPr="00AF7AC3">
              <w:rPr>
                <w:sz w:val="20"/>
                <w:szCs w:val="20"/>
                <w:lang w:val="en-US"/>
              </w:rPr>
              <w:t>einjährige</w:t>
            </w:r>
            <w:proofErr w:type="spellEnd"/>
            <w:r w:rsidR="00AF7AC3" w:rsidRPr="00AF7AC3">
              <w:rPr>
                <w:sz w:val="20"/>
                <w:szCs w:val="20"/>
                <w:lang w:val="en-US"/>
              </w:rPr>
              <w:t xml:space="preserve"> </w:t>
            </w:r>
            <w:proofErr w:type="spellStart"/>
            <w:r w:rsidR="00AF7AC3" w:rsidRPr="00AF7AC3">
              <w:rPr>
                <w:sz w:val="20"/>
                <w:szCs w:val="20"/>
                <w:lang w:val="en-US"/>
              </w:rPr>
              <w:t>Wohnsitzanforderung</w:t>
            </w:r>
            <w:proofErr w:type="spellEnd"/>
            <w:r w:rsidR="00AF7AC3" w:rsidRPr="00AF7AC3">
              <w:rPr>
                <w:sz w:val="20"/>
                <w:szCs w:val="20"/>
                <w:lang w:val="en-US"/>
              </w:rPr>
              <w:t xml:space="preserve"> in Iowa </w:t>
            </w:r>
            <w:proofErr w:type="spellStart"/>
            <w:r w:rsidR="00AF7AC3" w:rsidRPr="00AF7AC3">
              <w:rPr>
                <w:sz w:val="20"/>
                <w:szCs w:val="20"/>
                <w:lang w:val="en-US"/>
              </w:rPr>
              <w:t>dennoch</w:t>
            </w:r>
            <w:proofErr w:type="spellEnd"/>
            <w:r w:rsidR="00AF7AC3" w:rsidRPr="00AF7AC3">
              <w:rPr>
                <w:sz w:val="20"/>
                <w:szCs w:val="20"/>
                <w:lang w:val="en-US"/>
              </w:rPr>
              <w:t xml:space="preserve"> nicht </w:t>
            </w:r>
            <w:proofErr w:type="spellStart"/>
            <w:r w:rsidR="00AF7AC3" w:rsidRPr="00AF7AC3">
              <w:rPr>
                <w:sz w:val="20"/>
                <w:szCs w:val="20"/>
                <w:lang w:val="en-US"/>
              </w:rPr>
              <w:t>als</w:t>
            </w:r>
            <w:proofErr w:type="spellEnd"/>
            <w:r w:rsidR="00AF7AC3" w:rsidRPr="00AF7AC3">
              <w:rPr>
                <w:sz w:val="20"/>
                <w:szCs w:val="20"/>
                <w:lang w:val="en-US"/>
              </w:rPr>
              <w:t xml:space="preserve"> </w:t>
            </w:r>
            <w:proofErr w:type="spellStart"/>
            <w:r w:rsidR="00AF7AC3" w:rsidRPr="00AF7AC3">
              <w:rPr>
                <w:sz w:val="20"/>
                <w:szCs w:val="20"/>
                <w:lang w:val="en-US"/>
              </w:rPr>
              <w:t>verfassungswidrig</w:t>
            </w:r>
            <w:proofErr w:type="spellEnd"/>
            <w:r w:rsidR="00AF7AC3" w:rsidRPr="00AF7AC3">
              <w:rPr>
                <w:sz w:val="20"/>
                <w:szCs w:val="20"/>
                <w:lang w:val="en-US"/>
              </w:rPr>
              <w:t xml:space="preserve"> </w:t>
            </w:r>
            <w:proofErr w:type="spellStart"/>
            <w:r w:rsidR="00AF7AC3" w:rsidRPr="00AF7AC3">
              <w:rPr>
                <w:sz w:val="20"/>
                <w:szCs w:val="20"/>
                <w:lang w:val="en-US"/>
              </w:rPr>
              <w:t>ein</w:t>
            </w:r>
            <w:proofErr w:type="spellEnd"/>
            <w:r w:rsidR="00AF7AC3" w:rsidRPr="00AF7AC3">
              <w:rPr>
                <w:sz w:val="20"/>
                <w:szCs w:val="20"/>
                <w:lang w:val="en-US"/>
              </w:rPr>
              <w:t>.</w:t>
            </w:r>
            <w:r w:rsidR="00074551" w:rsidRPr="002C6209">
              <w:rPr>
                <w:sz w:val="20"/>
                <w:szCs w:val="20"/>
                <w:lang w:val="en-US"/>
              </w:rPr>
              <w:t xml:space="preserve"> </w:t>
            </w:r>
            <w:r w:rsidR="00074551" w:rsidRPr="002C6209">
              <w:rPr>
                <w:sz w:val="20"/>
                <w:szCs w:val="20"/>
              </w:rPr>
              <w:t xml:space="preserve">Denn eine Verzögerung des Zugangs zu Scheidungsklagen verweigere nicht das Recht auf Scheidung, respektive das Streben nach Glück. Dafür </w:t>
            </w:r>
            <w:r w:rsidR="00074551">
              <w:rPr>
                <w:sz w:val="20"/>
                <w:szCs w:val="20"/>
              </w:rPr>
              <w:t>spreche</w:t>
            </w:r>
            <w:r w:rsidR="00074551" w:rsidRPr="002C6209">
              <w:rPr>
                <w:sz w:val="20"/>
                <w:szCs w:val="20"/>
              </w:rPr>
              <w:t xml:space="preserve"> einerseits, dass auch die Ehe selbst ein wesentlicher Bestandteil des Glücksstrebens sei, weshalb ein Staat ein gewisses Maß an Bindung an sein Territorium verlangen könne, bevor eine Scheidung eingeleitet würde. Und das öffentliche Interesse Iowas rechtfertige diese Anforderung ausreichend, nämlich: keine Anlaufstelle für übereilte Scheidungen zu sein, sowie mit der Wohnsitzanforderung eine hinreichend bestimmte gerichtliche Zuständigkeit zu regeln.</w:t>
            </w:r>
            <w:r w:rsidR="00074551" w:rsidRPr="002C6209">
              <w:rPr>
                <w:sz w:val="20"/>
                <w:szCs w:val="20"/>
                <w:vertAlign w:val="superscript"/>
              </w:rPr>
              <w:footnoteReference w:id="2120"/>
            </w:r>
            <w:r w:rsidR="00AF7AC3">
              <w:rPr>
                <w:sz w:val="20"/>
                <w:szCs w:val="20"/>
              </w:rPr>
              <w:t xml:space="preserve"> </w:t>
            </w:r>
            <w:r w:rsidR="00AF7AC3" w:rsidRPr="00AF7AC3">
              <w:rPr>
                <w:sz w:val="20"/>
                <w:szCs w:val="20"/>
              </w:rPr>
              <w:t xml:space="preserve">Der Dissens widersprach </w:t>
            </w:r>
            <w:r w:rsidR="00AF7AC3">
              <w:rPr>
                <w:sz w:val="20"/>
                <w:szCs w:val="20"/>
              </w:rPr>
              <w:t xml:space="preserve">gerade </w:t>
            </w:r>
            <w:r w:rsidR="00AF7AC3" w:rsidRPr="00AF7AC3">
              <w:rPr>
                <w:sz w:val="20"/>
                <w:szCs w:val="20"/>
              </w:rPr>
              <w:t xml:space="preserve">dieser Gewichtung: Die einjährige Verzögerung sei selbst eine erhebliche Beeinträchtigung, weil sie insbesondere eine Wiederheirat verhindere und die Betroffenen in einer möglicherweise untragbaren Beziehung festhalte; angesichts der fundamentalen Bedeutung des Rechts auf Scheidung </w:t>
            </w:r>
            <w:r w:rsidR="00AF7AC3">
              <w:rPr>
                <w:sz w:val="20"/>
                <w:szCs w:val="20"/>
              </w:rPr>
              <w:t xml:space="preserve">– durch das Glücksstreben – </w:t>
            </w:r>
            <w:r w:rsidR="00AF7AC3" w:rsidRPr="00AF7AC3">
              <w:rPr>
                <w:sz w:val="20"/>
                <w:szCs w:val="20"/>
              </w:rPr>
              <w:t>rechtfertigten die staatlichen Interessen die starre Jahresfrist nicht</w:t>
            </w:r>
            <w:r w:rsidR="00AF7AC3">
              <w:rPr>
                <w:sz w:val="20"/>
                <w:szCs w:val="20"/>
              </w:rPr>
              <w:t>.</w:t>
            </w:r>
            <w:r w:rsidR="00AF7AC3">
              <w:rPr>
                <w:rStyle w:val="Funotenzeichen"/>
                <w:sz w:val="20"/>
                <w:szCs w:val="20"/>
              </w:rPr>
              <w:footnoteReference w:id="2121"/>
            </w:r>
          </w:p>
          <w:p w14:paraId="077A4F2C" w14:textId="77777777" w:rsidR="00074551" w:rsidRPr="00E50B51" w:rsidRDefault="00074551" w:rsidP="00367133">
            <w:pPr>
              <w:jc w:val="both"/>
              <w:rPr>
                <w:sz w:val="20"/>
                <w:szCs w:val="20"/>
              </w:rPr>
            </w:pPr>
          </w:p>
        </w:tc>
      </w:tr>
      <w:tr w:rsidR="00074551" w:rsidRPr="00E50B51" w14:paraId="7D0623D0" w14:textId="77777777" w:rsidTr="00BE689F">
        <w:trPr>
          <w:cantSplit/>
          <w:trHeight w:val="3175"/>
        </w:trPr>
        <w:tc>
          <w:tcPr>
            <w:tcW w:w="293" w:type="pct"/>
          </w:tcPr>
          <w:p w14:paraId="68929E1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BC72D6C" w14:textId="77777777" w:rsidR="00074551" w:rsidRPr="00E50B51" w:rsidRDefault="00074551" w:rsidP="00367133">
            <w:pPr>
              <w:ind w:left="113" w:right="416"/>
              <w:jc w:val="both"/>
              <w:rPr>
                <w:sz w:val="20"/>
                <w:szCs w:val="20"/>
              </w:rPr>
            </w:pPr>
            <w:r w:rsidRPr="007360B0">
              <w:rPr>
                <w:i/>
                <w:sz w:val="20"/>
                <w:szCs w:val="20"/>
              </w:rPr>
              <w:t>Taylor v. Beckham</w:t>
            </w:r>
          </w:p>
        </w:tc>
        <w:tc>
          <w:tcPr>
            <w:tcW w:w="197" w:type="pct"/>
            <w:textDirection w:val="tbRl"/>
            <w:vAlign w:val="center"/>
          </w:tcPr>
          <w:p w14:paraId="03265F01" w14:textId="77777777" w:rsidR="00074551" w:rsidRPr="00E50B51" w:rsidRDefault="00074551" w:rsidP="00367133">
            <w:pPr>
              <w:ind w:left="113" w:right="113"/>
              <w:jc w:val="both"/>
              <w:rPr>
                <w:iCs/>
                <w:sz w:val="20"/>
                <w:szCs w:val="20"/>
              </w:rPr>
            </w:pPr>
            <w:r w:rsidRPr="00E50B51">
              <w:rPr>
                <w:sz w:val="20"/>
                <w:szCs w:val="20"/>
                <w:lang w:val="en-US"/>
              </w:rPr>
              <w:t>178 U.S. 548</w:t>
            </w:r>
          </w:p>
        </w:tc>
        <w:tc>
          <w:tcPr>
            <w:tcW w:w="306" w:type="pct"/>
            <w:textDirection w:val="tbRl"/>
            <w:vAlign w:val="center"/>
          </w:tcPr>
          <w:p w14:paraId="721769E0" w14:textId="77777777" w:rsidR="00074551" w:rsidRPr="00E50B51" w:rsidRDefault="00074551" w:rsidP="00367133">
            <w:pPr>
              <w:ind w:left="113" w:right="113"/>
              <w:jc w:val="both"/>
              <w:rPr>
                <w:sz w:val="20"/>
                <w:szCs w:val="20"/>
              </w:rPr>
            </w:pPr>
            <w:r w:rsidRPr="00E50B51">
              <w:rPr>
                <w:sz w:val="20"/>
                <w:szCs w:val="20"/>
              </w:rPr>
              <w:t>21. Mai 19</w:t>
            </w:r>
            <w:r>
              <w:rPr>
                <w:sz w:val="20"/>
                <w:szCs w:val="20"/>
              </w:rPr>
              <w:t>00</w:t>
            </w:r>
          </w:p>
        </w:tc>
        <w:tc>
          <w:tcPr>
            <w:tcW w:w="401" w:type="pct"/>
          </w:tcPr>
          <w:p w14:paraId="07459F48" w14:textId="77777777" w:rsidR="00074551" w:rsidRPr="00E50B51" w:rsidRDefault="00074551" w:rsidP="00367133">
            <w:pPr>
              <w:jc w:val="center"/>
              <w:rPr>
                <w:sz w:val="20"/>
                <w:szCs w:val="20"/>
              </w:rPr>
            </w:pPr>
            <w:r w:rsidRPr="00E50B51">
              <w:rPr>
                <w:iCs/>
                <w:sz w:val="20"/>
                <w:szCs w:val="20"/>
              </w:rPr>
              <w:t>R</w:t>
            </w:r>
          </w:p>
        </w:tc>
        <w:tc>
          <w:tcPr>
            <w:tcW w:w="1594" w:type="pct"/>
          </w:tcPr>
          <w:p w14:paraId="14FC3C97" w14:textId="77777777" w:rsidR="00074551" w:rsidRPr="00E50B51" w:rsidRDefault="00074551" w:rsidP="00367133">
            <w:pPr>
              <w:jc w:val="both"/>
              <w:rPr>
                <w:sz w:val="20"/>
                <w:szCs w:val="20"/>
              </w:rPr>
            </w:pPr>
            <w:r w:rsidRPr="00E50B51">
              <w:rPr>
                <w:sz w:val="20"/>
                <w:szCs w:val="20"/>
              </w:rPr>
              <w:t>*</w:t>
            </w:r>
          </w:p>
        </w:tc>
        <w:tc>
          <w:tcPr>
            <w:tcW w:w="1822" w:type="pct"/>
          </w:tcPr>
          <w:p w14:paraId="2BAD1F82" w14:textId="58EEA1C3" w:rsidR="00074551" w:rsidRDefault="00074551" w:rsidP="00367133">
            <w:pPr>
              <w:jc w:val="both"/>
              <w:rPr>
                <w:sz w:val="20"/>
                <w:szCs w:val="20"/>
              </w:rPr>
            </w:pPr>
            <w:r w:rsidRPr="000F496E">
              <w:rPr>
                <w:sz w:val="20"/>
                <w:szCs w:val="20"/>
              </w:rPr>
              <w:t>Die Beklagten trug</w:t>
            </w:r>
            <w:r>
              <w:rPr>
                <w:sz w:val="20"/>
                <w:szCs w:val="20"/>
              </w:rPr>
              <w:t>en</w:t>
            </w:r>
            <w:r w:rsidRPr="000F496E">
              <w:rPr>
                <w:sz w:val="20"/>
                <w:szCs w:val="20"/>
              </w:rPr>
              <w:t xml:space="preserve"> vor, eine Kompetenz der </w:t>
            </w:r>
            <w:r w:rsidRPr="5B67C1D2">
              <w:rPr>
                <w:i/>
                <w:iCs/>
                <w:sz w:val="20"/>
                <w:szCs w:val="20"/>
              </w:rPr>
              <w:t>Assembly of Kentucky</w:t>
            </w:r>
            <w:r>
              <w:rPr>
                <w:sz w:val="20"/>
                <w:szCs w:val="20"/>
              </w:rPr>
              <w:t>,</w:t>
            </w:r>
            <w:r w:rsidRPr="000F496E">
              <w:rPr>
                <w:sz w:val="20"/>
                <w:szCs w:val="20"/>
              </w:rPr>
              <w:t> über den Ausgang einer Wahl zu entscheiden, sei eine typische Kompetenz der Judikative („</w:t>
            </w:r>
            <w:proofErr w:type="spellStart"/>
            <w:r w:rsidRPr="000F496E">
              <w:rPr>
                <w:sz w:val="20"/>
                <w:szCs w:val="20"/>
              </w:rPr>
              <w:t>is</w:t>
            </w:r>
            <w:proofErr w:type="spellEnd"/>
            <w:r w:rsidRPr="000F496E">
              <w:rPr>
                <w:sz w:val="20"/>
                <w:szCs w:val="20"/>
              </w:rPr>
              <w:t xml:space="preserve"> </w:t>
            </w:r>
            <w:proofErr w:type="spellStart"/>
            <w:r w:rsidRPr="000F496E">
              <w:rPr>
                <w:sz w:val="20"/>
                <w:szCs w:val="20"/>
              </w:rPr>
              <w:t>judic</w:t>
            </w:r>
            <w:r>
              <w:rPr>
                <w:sz w:val="20"/>
                <w:szCs w:val="20"/>
              </w:rPr>
              <w:t>i</w:t>
            </w:r>
            <w:r w:rsidRPr="000F496E">
              <w:rPr>
                <w:sz w:val="20"/>
                <w:szCs w:val="20"/>
              </w:rPr>
              <w:t>al</w:t>
            </w:r>
            <w:proofErr w:type="spellEnd"/>
            <w:r w:rsidRPr="000F496E">
              <w:rPr>
                <w:sz w:val="20"/>
                <w:szCs w:val="20"/>
              </w:rPr>
              <w:t xml:space="preserve"> in </w:t>
            </w:r>
            <w:proofErr w:type="spellStart"/>
            <w:r w:rsidRPr="000F496E">
              <w:rPr>
                <w:sz w:val="20"/>
                <w:szCs w:val="20"/>
              </w:rPr>
              <w:t>it</w:t>
            </w:r>
            <w:r>
              <w:rPr>
                <w:sz w:val="20"/>
                <w:szCs w:val="20"/>
              </w:rPr>
              <w:t>s</w:t>
            </w:r>
            <w:proofErr w:type="spellEnd"/>
            <w:r w:rsidRPr="000F496E">
              <w:rPr>
                <w:sz w:val="20"/>
                <w:szCs w:val="20"/>
              </w:rPr>
              <w:t xml:space="preserve"> </w:t>
            </w:r>
            <w:proofErr w:type="spellStart"/>
            <w:r w:rsidRPr="000F496E">
              <w:rPr>
                <w:sz w:val="20"/>
                <w:szCs w:val="20"/>
              </w:rPr>
              <w:t>nature</w:t>
            </w:r>
            <w:proofErr w:type="spellEnd"/>
            <w:r w:rsidRPr="000F496E">
              <w:rPr>
                <w:sz w:val="20"/>
                <w:szCs w:val="20"/>
              </w:rPr>
              <w:t>“</w:t>
            </w:r>
            <w:r w:rsidRPr="000F496E">
              <w:rPr>
                <w:sz w:val="20"/>
                <w:szCs w:val="20"/>
                <w:vertAlign w:val="superscript"/>
              </w:rPr>
              <w:footnoteReference w:id="2122"/>
            </w:r>
            <w:r w:rsidRPr="000F496E">
              <w:rPr>
                <w:sz w:val="20"/>
                <w:szCs w:val="20"/>
              </w:rPr>
              <w:t xml:space="preserve">). Daher sei die Ausübung dieser Kompetenz den gleichen Verfahrensanforderungen unterworfen wie die Judikative („same </w:t>
            </w:r>
            <w:proofErr w:type="spellStart"/>
            <w:r w:rsidRPr="000F496E">
              <w:rPr>
                <w:sz w:val="20"/>
                <w:szCs w:val="20"/>
              </w:rPr>
              <w:t>limitations</w:t>
            </w:r>
            <w:proofErr w:type="spellEnd"/>
            <w:r w:rsidRPr="000F496E">
              <w:rPr>
                <w:sz w:val="20"/>
                <w:szCs w:val="20"/>
              </w:rPr>
              <w:t xml:space="preserve"> and </w:t>
            </w:r>
            <w:proofErr w:type="spellStart"/>
            <w:r w:rsidRPr="000F496E">
              <w:rPr>
                <w:sz w:val="20"/>
                <w:szCs w:val="20"/>
              </w:rPr>
              <w:t>restrictions</w:t>
            </w:r>
            <w:proofErr w:type="spellEnd"/>
            <w:r w:rsidRPr="000F496E">
              <w:rPr>
                <w:sz w:val="20"/>
                <w:szCs w:val="20"/>
              </w:rPr>
              <w:t xml:space="preserve"> to </w:t>
            </w:r>
            <w:proofErr w:type="spellStart"/>
            <w:r w:rsidRPr="000F496E">
              <w:rPr>
                <w:sz w:val="20"/>
                <w:szCs w:val="20"/>
              </w:rPr>
              <w:t>which</w:t>
            </w:r>
            <w:proofErr w:type="spellEnd"/>
            <w:r w:rsidRPr="000F496E">
              <w:rPr>
                <w:sz w:val="20"/>
                <w:szCs w:val="20"/>
              </w:rPr>
              <w:t xml:space="preserve"> the </w:t>
            </w:r>
            <w:proofErr w:type="spellStart"/>
            <w:r w:rsidRPr="000F496E">
              <w:rPr>
                <w:sz w:val="20"/>
                <w:szCs w:val="20"/>
              </w:rPr>
              <w:t>exer</w:t>
            </w:r>
            <w:r>
              <w:rPr>
                <w:sz w:val="20"/>
                <w:szCs w:val="20"/>
              </w:rPr>
              <w:t>c</w:t>
            </w:r>
            <w:r w:rsidRPr="000F496E">
              <w:rPr>
                <w:sz w:val="20"/>
                <w:szCs w:val="20"/>
              </w:rPr>
              <w:t>i</w:t>
            </w:r>
            <w:r>
              <w:rPr>
                <w:sz w:val="20"/>
                <w:szCs w:val="20"/>
              </w:rPr>
              <w:t>s</w:t>
            </w:r>
            <w:r w:rsidRPr="000F496E">
              <w:rPr>
                <w:sz w:val="20"/>
                <w:szCs w:val="20"/>
              </w:rPr>
              <w:t>e</w:t>
            </w:r>
            <w:proofErr w:type="spellEnd"/>
            <w:r w:rsidRPr="000F496E">
              <w:rPr>
                <w:sz w:val="20"/>
                <w:szCs w:val="20"/>
              </w:rPr>
              <w:t xml:space="preserve"> of </w:t>
            </w:r>
            <w:proofErr w:type="spellStart"/>
            <w:r w:rsidRPr="000F496E">
              <w:rPr>
                <w:sz w:val="20"/>
                <w:szCs w:val="20"/>
              </w:rPr>
              <w:t>judic</w:t>
            </w:r>
            <w:r>
              <w:rPr>
                <w:sz w:val="20"/>
                <w:szCs w:val="20"/>
              </w:rPr>
              <w:t>i</w:t>
            </w:r>
            <w:r w:rsidRPr="000F496E">
              <w:rPr>
                <w:sz w:val="20"/>
                <w:szCs w:val="20"/>
              </w:rPr>
              <w:t>al</w:t>
            </w:r>
            <w:proofErr w:type="spellEnd"/>
            <w:r w:rsidRPr="000F496E">
              <w:rPr>
                <w:sz w:val="20"/>
                <w:szCs w:val="20"/>
              </w:rPr>
              <w:t xml:space="preserve"> power</w:t>
            </w:r>
            <w:r>
              <w:rPr>
                <w:sz w:val="20"/>
                <w:szCs w:val="20"/>
              </w:rPr>
              <w:t xml:space="preserve"> </w:t>
            </w:r>
            <w:proofErr w:type="spellStart"/>
            <w:r>
              <w:rPr>
                <w:sz w:val="20"/>
                <w:szCs w:val="20"/>
              </w:rPr>
              <w:t>is</w:t>
            </w:r>
            <w:proofErr w:type="spellEnd"/>
            <w:r>
              <w:rPr>
                <w:sz w:val="20"/>
                <w:szCs w:val="20"/>
              </w:rPr>
              <w:t xml:space="preserve"> </w:t>
            </w:r>
            <w:proofErr w:type="spellStart"/>
            <w:r w:rsidRPr="00E21ECD">
              <w:rPr>
                <w:sz w:val="20"/>
                <w:szCs w:val="20"/>
              </w:rPr>
              <w:t>ordinarily</w:t>
            </w:r>
            <w:proofErr w:type="spellEnd"/>
            <w:r w:rsidRPr="00E21ECD">
              <w:rPr>
                <w:sz w:val="20"/>
                <w:szCs w:val="20"/>
              </w:rPr>
              <w:t xml:space="preserve"> </w:t>
            </w:r>
            <w:proofErr w:type="spellStart"/>
            <w:r w:rsidRPr="00E21ECD">
              <w:rPr>
                <w:sz w:val="20"/>
                <w:szCs w:val="20"/>
              </w:rPr>
              <w:t>subject</w:t>
            </w:r>
            <w:proofErr w:type="spellEnd"/>
            <w:r w:rsidRPr="000F496E">
              <w:rPr>
                <w:sz w:val="20"/>
                <w:szCs w:val="20"/>
              </w:rPr>
              <w:t>“</w:t>
            </w:r>
            <w:r w:rsidRPr="000F496E">
              <w:rPr>
                <w:sz w:val="20"/>
                <w:szCs w:val="20"/>
                <w:vertAlign w:val="superscript"/>
              </w:rPr>
              <w:footnoteReference w:id="2123"/>
            </w:r>
            <w:r w:rsidRPr="000F496E">
              <w:rPr>
                <w:sz w:val="20"/>
                <w:szCs w:val="20"/>
              </w:rPr>
              <w:t>). Die Verfahrensanforderungen erg</w:t>
            </w:r>
            <w:r>
              <w:rPr>
                <w:sz w:val="20"/>
                <w:szCs w:val="20"/>
              </w:rPr>
              <w:t>ä</w:t>
            </w:r>
            <w:r w:rsidRPr="000F496E">
              <w:rPr>
                <w:sz w:val="20"/>
                <w:szCs w:val="20"/>
              </w:rPr>
              <w:t xml:space="preserve">ben sich aus </w:t>
            </w:r>
            <w:proofErr w:type="spellStart"/>
            <w:r>
              <w:rPr>
                <w:sz w:val="20"/>
                <w:szCs w:val="20"/>
              </w:rPr>
              <w:t>Amd</w:t>
            </w:r>
            <w:proofErr w:type="spellEnd"/>
            <w:r>
              <w:rPr>
                <w:sz w:val="20"/>
                <w:szCs w:val="20"/>
              </w:rPr>
              <w:t>. </w:t>
            </w:r>
            <w:r w:rsidRPr="000F496E">
              <w:rPr>
                <w:sz w:val="20"/>
                <w:szCs w:val="20"/>
              </w:rPr>
              <w:t xml:space="preserve">V und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F496E">
              <w:rPr>
                <w:sz w:val="20"/>
                <w:szCs w:val="20"/>
              </w:rPr>
              <w:t xml:space="preserve"> Diese lauten: Die willkürliche Ausübung von Hoheitsgewalt durch den Staat bzw. seine drei Gewalten ist grundsätzlich verboten, insbesondere wenn diese jemandem das Leben, die Freiheit, das Eigentum oder das Streben nach Glück entziehe</w:t>
            </w:r>
            <w:r>
              <w:rPr>
                <w:sz w:val="20"/>
                <w:szCs w:val="20"/>
              </w:rPr>
              <w:t>n. Dabei schließe der Entzug</w:t>
            </w:r>
            <w:r w:rsidRPr="000F496E">
              <w:rPr>
                <w:sz w:val="20"/>
                <w:szCs w:val="20"/>
              </w:rPr>
              <w:t xml:space="preserve"> d</w:t>
            </w:r>
            <w:r>
              <w:rPr>
                <w:sz w:val="20"/>
                <w:szCs w:val="20"/>
              </w:rPr>
              <w:t>es</w:t>
            </w:r>
            <w:r w:rsidRPr="000F496E">
              <w:rPr>
                <w:sz w:val="20"/>
                <w:szCs w:val="20"/>
              </w:rPr>
              <w:t xml:space="preserve"> Streben</w:t>
            </w:r>
            <w:r>
              <w:rPr>
                <w:sz w:val="20"/>
                <w:szCs w:val="20"/>
              </w:rPr>
              <w:t>s</w:t>
            </w:r>
            <w:r w:rsidRPr="000F496E">
              <w:rPr>
                <w:sz w:val="20"/>
                <w:szCs w:val="20"/>
              </w:rPr>
              <w:t xml:space="preserve"> nach Glück auch ein, dass öffentliche Ämter außerhalb einer Wahl oder eines rechtsstaatlichen Verfahrens besetzt w</w:t>
            </w:r>
            <w:r>
              <w:rPr>
                <w:sz w:val="20"/>
                <w:szCs w:val="20"/>
              </w:rPr>
              <w:t>ü</w:t>
            </w:r>
            <w:r w:rsidRPr="000F496E">
              <w:rPr>
                <w:sz w:val="20"/>
                <w:szCs w:val="20"/>
              </w:rPr>
              <w:t xml:space="preserve">rden. Hieraus </w:t>
            </w:r>
            <w:r>
              <w:rPr>
                <w:sz w:val="20"/>
                <w:szCs w:val="20"/>
              </w:rPr>
              <w:t>ergebe</w:t>
            </w:r>
            <w:r w:rsidRPr="000F496E">
              <w:rPr>
                <w:sz w:val="20"/>
                <w:szCs w:val="20"/>
              </w:rPr>
              <w:t xml:space="preserve"> sich für </w:t>
            </w:r>
            <w:r>
              <w:rPr>
                <w:sz w:val="20"/>
                <w:szCs w:val="20"/>
              </w:rPr>
              <w:t>d</w:t>
            </w:r>
            <w:r w:rsidRPr="000F496E">
              <w:rPr>
                <w:sz w:val="20"/>
                <w:szCs w:val="20"/>
              </w:rPr>
              <w:t>en Fall das Folgende: Wenn das Parlament den Wahlausgang entscheide, dann entziehe dies nicht nur dem Staatsvolk Kentuckys ohne rechtsstaatliches Verfahren die politische Freiheit („</w:t>
            </w:r>
            <w:proofErr w:type="spellStart"/>
            <w:r w:rsidRPr="0057605F">
              <w:rPr>
                <w:sz w:val="20"/>
                <w:szCs w:val="20"/>
              </w:rPr>
              <w:t>deprived</w:t>
            </w:r>
            <w:proofErr w:type="spellEnd"/>
            <w:r w:rsidRPr="0057605F">
              <w:rPr>
                <w:sz w:val="20"/>
                <w:szCs w:val="20"/>
              </w:rPr>
              <w:t xml:space="preserve"> of </w:t>
            </w:r>
            <w:proofErr w:type="spellStart"/>
            <w:r w:rsidRPr="0057605F">
              <w:rPr>
                <w:sz w:val="20"/>
                <w:szCs w:val="20"/>
              </w:rPr>
              <w:t>their</w:t>
            </w:r>
            <w:proofErr w:type="spellEnd"/>
            <w:r w:rsidRPr="0057605F">
              <w:rPr>
                <w:sz w:val="20"/>
                <w:szCs w:val="20"/>
              </w:rPr>
              <w:t xml:space="preserve"> </w:t>
            </w:r>
            <w:proofErr w:type="spellStart"/>
            <w:r w:rsidRPr="000F496E">
              <w:rPr>
                <w:sz w:val="20"/>
                <w:szCs w:val="20"/>
              </w:rPr>
              <w:t>political</w:t>
            </w:r>
            <w:proofErr w:type="spellEnd"/>
            <w:r w:rsidRPr="000F496E">
              <w:rPr>
                <w:sz w:val="20"/>
                <w:szCs w:val="20"/>
              </w:rPr>
              <w:t xml:space="preserve"> </w:t>
            </w:r>
            <w:proofErr w:type="spellStart"/>
            <w:r w:rsidRPr="000F496E">
              <w:rPr>
                <w:sz w:val="20"/>
                <w:szCs w:val="20"/>
              </w:rPr>
              <w:t>liberty</w:t>
            </w:r>
            <w:proofErr w:type="spellEnd"/>
            <w:r w:rsidRPr="000F496E">
              <w:rPr>
                <w:sz w:val="20"/>
                <w:szCs w:val="20"/>
              </w:rPr>
              <w:t xml:space="preserve"> </w:t>
            </w:r>
            <w:proofErr w:type="spellStart"/>
            <w:r w:rsidRPr="000F496E">
              <w:rPr>
                <w:sz w:val="20"/>
                <w:szCs w:val="20"/>
              </w:rPr>
              <w:t>without</w:t>
            </w:r>
            <w:proofErr w:type="spellEnd"/>
            <w:r w:rsidRPr="000F496E">
              <w:rPr>
                <w:sz w:val="20"/>
                <w:szCs w:val="20"/>
              </w:rPr>
              <w:t xml:space="preserve"> due </w:t>
            </w:r>
            <w:proofErr w:type="spellStart"/>
            <w:r w:rsidRPr="000F496E">
              <w:rPr>
                <w:sz w:val="20"/>
                <w:szCs w:val="20"/>
              </w:rPr>
              <w:t>process</w:t>
            </w:r>
            <w:proofErr w:type="spellEnd"/>
            <w:r w:rsidRPr="000F496E">
              <w:rPr>
                <w:sz w:val="20"/>
                <w:szCs w:val="20"/>
              </w:rPr>
              <w:t xml:space="preserve"> of </w:t>
            </w:r>
            <w:proofErr w:type="spellStart"/>
            <w:r w:rsidRPr="000F496E">
              <w:rPr>
                <w:sz w:val="20"/>
                <w:szCs w:val="20"/>
              </w:rPr>
              <w:t>law</w:t>
            </w:r>
            <w:proofErr w:type="spellEnd"/>
            <w:r w:rsidRPr="000F496E">
              <w:rPr>
                <w:sz w:val="20"/>
                <w:szCs w:val="20"/>
              </w:rPr>
              <w:t>“</w:t>
            </w:r>
            <w:r w:rsidRPr="000F496E">
              <w:rPr>
                <w:sz w:val="20"/>
                <w:szCs w:val="20"/>
                <w:vertAlign w:val="superscript"/>
              </w:rPr>
              <w:footnoteReference w:id="2124"/>
            </w:r>
            <w:r w:rsidRPr="000F496E">
              <w:rPr>
                <w:sz w:val="20"/>
                <w:szCs w:val="20"/>
              </w:rPr>
              <w:t xml:space="preserve">), </w:t>
            </w:r>
            <w:r>
              <w:rPr>
                <w:sz w:val="20"/>
                <w:szCs w:val="20"/>
              </w:rPr>
              <w:t>z.B.</w:t>
            </w:r>
            <w:r w:rsidRPr="000F496E">
              <w:rPr>
                <w:sz w:val="20"/>
                <w:szCs w:val="20"/>
              </w:rPr>
              <w:t xml:space="preserve"> den Wahlausgang selbst bestimmen zu können. Sondern das Parlament entziehe auch die Möglichkeit, ein öffentliches Amt durch eine Wahl zu erreichen („</w:t>
            </w:r>
            <w:proofErr w:type="spellStart"/>
            <w:r w:rsidRPr="000F496E">
              <w:rPr>
                <w:sz w:val="20"/>
                <w:szCs w:val="20"/>
              </w:rPr>
              <w:t>deprived</w:t>
            </w:r>
            <w:proofErr w:type="spellEnd"/>
            <w:r>
              <w:rPr>
                <w:sz w:val="20"/>
                <w:szCs w:val="20"/>
              </w:rPr>
              <w:t>,</w:t>
            </w:r>
            <w:r w:rsidRPr="000F496E">
              <w:rPr>
                <w:sz w:val="20"/>
                <w:szCs w:val="20"/>
              </w:rPr>
              <w:t xml:space="preserve"> </w:t>
            </w:r>
            <w:proofErr w:type="spellStart"/>
            <w:r w:rsidRPr="000F496E">
              <w:rPr>
                <w:sz w:val="20"/>
                <w:szCs w:val="20"/>
              </w:rPr>
              <w:t>without</w:t>
            </w:r>
            <w:proofErr w:type="spellEnd"/>
            <w:r w:rsidRPr="000F496E">
              <w:rPr>
                <w:sz w:val="20"/>
                <w:szCs w:val="20"/>
              </w:rPr>
              <w:t xml:space="preserve"> due </w:t>
            </w:r>
            <w:proofErr w:type="spellStart"/>
            <w:r w:rsidRPr="000F496E">
              <w:rPr>
                <w:sz w:val="20"/>
                <w:szCs w:val="20"/>
              </w:rPr>
              <w:t>process</w:t>
            </w:r>
            <w:proofErr w:type="spellEnd"/>
            <w:r w:rsidRPr="000F496E">
              <w:rPr>
                <w:sz w:val="20"/>
                <w:szCs w:val="20"/>
              </w:rPr>
              <w:t xml:space="preserve"> of </w:t>
            </w:r>
            <w:proofErr w:type="spellStart"/>
            <w:r w:rsidRPr="000F496E">
              <w:rPr>
                <w:sz w:val="20"/>
                <w:szCs w:val="20"/>
              </w:rPr>
              <w:t>law</w:t>
            </w:r>
            <w:proofErr w:type="spellEnd"/>
            <w:r>
              <w:rPr>
                <w:sz w:val="20"/>
                <w:szCs w:val="20"/>
              </w:rPr>
              <w:t>,</w:t>
            </w:r>
            <w:r w:rsidRPr="000F496E">
              <w:rPr>
                <w:sz w:val="20"/>
                <w:szCs w:val="20"/>
              </w:rPr>
              <w:t xml:space="preserve"> of the </w:t>
            </w:r>
            <w:proofErr w:type="spellStart"/>
            <w:r w:rsidRPr="000F496E">
              <w:rPr>
                <w:sz w:val="20"/>
                <w:szCs w:val="20"/>
              </w:rPr>
              <w:t>right</w:t>
            </w:r>
            <w:proofErr w:type="spellEnd"/>
            <w:r w:rsidRPr="000F496E">
              <w:rPr>
                <w:sz w:val="20"/>
                <w:szCs w:val="20"/>
              </w:rPr>
              <w:t xml:space="preserve"> to hold the </w:t>
            </w:r>
            <w:proofErr w:type="spellStart"/>
            <w:r w:rsidRPr="000F496E">
              <w:rPr>
                <w:sz w:val="20"/>
                <w:szCs w:val="20"/>
              </w:rPr>
              <w:t>said</w:t>
            </w:r>
            <w:proofErr w:type="spellEnd"/>
            <w:r w:rsidRPr="000F496E">
              <w:rPr>
                <w:sz w:val="20"/>
                <w:szCs w:val="20"/>
              </w:rPr>
              <w:t xml:space="preserve"> </w:t>
            </w:r>
            <w:proofErr w:type="spellStart"/>
            <w:r w:rsidRPr="000F496E">
              <w:rPr>
                <w:sz w:val="20"/>
                <w:szCs w:val="20"/>
              </w:rPr>
              <w:t>offices</w:t>
            </w:r>
            <w:proofErr w:type="spellEnd"/>
            <w:r w:rsidRPr="000F496E">
              <w:rPr>
                <w:sz w:val="20"/>
                <w:szCs w:val="20"/>
              </w:rPr>
              <w:t>“</w:t>
            </w:r>
            <w:r w:rsidRPr="000F496E">
              <w:rPr>
                <w:sz w:val="20"/>
                <w:szCs w:val="20"/>
                <w:vertAlign w:val="superscript"/>
              </w:rPr>
              <w:footnoteReference w:id="2125"/>
            </w:r>
            <w:r w:rsidRPr="000F496E">
              <w:rPr>
                <w:sz w:val="20"/>
                <w:szCs w:val="20"/>
              </w:rPr>
              <w:t xml:space="preserve">). Mit beiden Entziehungen übe der Staat willkürlich seine Hoheitsgewalt aus, so die Beklagten im Reporter des </w:t>
            </w:r>
            <w:r>
              <w:rPr>
                <w:sz w:val="20"/>
                <w:szCs w:val="20"/>
              </w:rPr>
              <w:t>U.S. Supreme Court</w:t>
            </w:r>
            <w:r w:rsidRPr="000F496E">
              <w:rPr>
                <w:sz w:val="20"/>
                <w:szCs w:val="20"/>
              </w:rPr>
              <w:t xml:space="preserve">. </w:t>
            </w:r>
            <w:r>
              <w:rPr>
                <w:sz w:val="20"/>
                <w:szCs w:val="20"/>
              </w:rPr>
              <w:t>Der Staat</w:t>
            </w:r>
            <w:r w:rsidRPr="000F496E">
              <w:rPr>
                <w:sz w:val="20"/>
                <w:szCs w:val="20"/>
              </w:rPr>
              <w:t xml:space="preserve"> verstoße damit gegen </w:t>
            </w:r>
            <w:proofErr w:type="spellStart"/>
            <w:r>
              <w:rPr>
                <w:sz w:val="20"/>
                <w:szCs w:val="20"/>
              </w:rPr>
              <w:t>Amd</w:t>
            </w:r>
            <w:proofErr w:type="spellEnd"/>
            <w:r>
              <w:rPr>
                <w:sz w:val="20"/>
                <w:szCs w:val="20"/>
              </w:rPr>
              <w:t>. </w:t>
            </w:r>
            <w:r w:rsidRPr="000F496E">
              <w:rPr>
                <w:sz w:val="20"/>
                <w:szCs w:val="20"/>
              </w:rPr>
              <w:t xml:space="preserve">V und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F496E">
              <w:rPr>
                <w:sz w:val="20"/>
                <w:szCs w:val="20"/>
              </w:rPr>
              <w:t xml:space="preserve"> Und so hindere die Verfassung Kentuckys letztendlich auch den politischen Wettbewerb und verstoße gegen diese ihr überordneten Amendments („</w:t>
            </w:r>
            <w:proofErr w:type="spellStart"/>
            <w:r w:rsidRPr="000F496E">
              <w:rPr>
                <w:sz w:val="20"/>
                <w:szCs w:val="20"/>
              </w:rPr>
              <w:t>Constitution</w:t>
            </w:r>
            <w:proofErr w:type="spellEnd"/>
            <w:r w:rsidRPr="000F496E">
              <w:rPr>
                <w:sz w:val="20"/>
                <w:szCs w:val="20"/>
              </w:rPr>
              <w:t xml:space="preserve"> of the State </w:t>
            </w:r>
            <w:proofErr w:type="spellStart"/>
            <w:r w:rsidRPr="000F496E">
              <w:rPr>
                <w:sz w:val="20"/>
                <w:szCs w:val="20"/>
              </w:rPr>
              <w:t>is</w:t>
            </w:r>
            <w:proofErr w:type="spellEnd"/>
            <w:r w:rsidRPr="000F496E">
              <w:rPr>
                <w:sz w:val="20"/>
                <w:szCs w:val="20"/>
              </w:rPr>
              <w:t xml:space="preserve"> </w:t>
            </w:r>
            <w:proofErr w:type="spellStart"/>
            <w:r w:rsidRPr="000F496E">
              <w:rPr>
                <w:sz w:val="20"/>
                <w:szCs w:val="20"/>
              </w:rPr>
              <w:t>itself</w:t>
            </w:r>
            <w:proofErr w:type="spellEnd"/>
            <w:r w:rsidRPr="000F496E">
              <w:rPr>
                <w:sz w:val="20"/>
                <w:szCs w:val="20"/>
              </w:rPr>
              <w:t xml:space="preserve"> </w:t>
            </w:r>
            <w:proofErr w:type="spellStart"/>
            <w:r w:rsidRPr="000F496E">
              <w:rPr>
                <w:sz w:val="20"/>
                <w:szCs w:val="20"/>
              </w:rPr>
              <w:t>contrary</w:t>
            </w:r>
            <w:proofErr w:type="spellEnd"/>
            <w:r w:rsidRPr="000F496E">
              <w:rPr>
                <w:sz w:val="20"/>
                <w:szCs w:val="20"/>
              </w:rPr>
              <w:t xml:space="preserve"> to the </w:t>
            </w:r>
            <w:proofErr w:type="spellStart"/>
            <w:r w:rsidRPr="000F496E">
              <w:rPr>
                <w:sz w:val="20"/>
                <w:szCs w:val="20"/>
              </w:rPr>
              <w:t>aforesaid</w:t>
            </w:r>
            <w:proofErr w:type="spellEnd"/>
            <w:r w:rsidRPr="000F496E">
              <w:rPr>
                <w:sz w:val="20"/>
                <w:szCs w:val="20"/>
              </w:rPr>
              <w:t xml:space="preserve"> </w:t>
            </w:r>
            <w:proofErr w:type="spellStart"/>
            <w:r w:rsidRPr="000F496E">
              <w:rPr>
                <w:sz w:val="20"/>
                <w:szCs w:val="20"/>
              </w:rPr>
              <w:t>provisions</w:t>
            </w:r>
            <w:proofErr w:type="spellEnd"/>
            <w:r w:rsidRPr="000F496E">
              <w:rPr>
                <w:sz w:val="20"/>
                <w:szCs w:val="20"/>
              </w:rPr>
              <w:t xml:space="preserve"> of the </w:t>
            </w:r>
            <w:proofErr w:type="spellStart"/>
            <w:r w:rsidRPr="000F496E">
              <w:rPr>
                <w:sz w:val="20"/>
                <w:szCs w:val="20"/>
              </w:rPr>
              <w:t>Constitution</w:t>
            </w:r>
            <w:proofErr w:type="spellEnd"/>
            <w:r w:rsidRPr="000F496E">
              <w:rPr>
                <w:sz w:val="20"/>
                <w:szCs w:val="20"/>
              </w:rPr>
              <w:t xml:space="preserve"> of the United States“</w:t>
            </w:r>
            <w:r w:rsidRPr="000F496E">
              <w:rPr>
                <w:sz w:val="20"/>
                <w:szCs w:val="20"/>
                <w:vertAlign w:val="superscript"/>
              </w:rPr>
              <w:footnoteReference w:id="2126"/>
            </w:r>
            <w:r w:rsidRPr="000F496E">
              <w:rPr>
                <w:sz w:val="20"/>
                <w:szCs w:val="20"/>
              </w:rPr>
              <w:t>).</w:t>
            </w:r>
          </w:p>
          <w:p w14:paraId="2B9E8FFA" w14:textId="77777777" w:rsidR="00074551" w:rsidRPr="00E50B51" w:rsidRDefault="00074551" w:rsidP="00367133">
            <w:pPr>
              <w:jc w:val="both"/>
              <w:rPr>
                <w:sz w:val="20"/>
                <w:szCs w:val="20"/>
              </w:rPr>
            </w:pPr>
          </w:p>
        </w:tc>
      </w:tr>
      <w:tr w:rsidR="00074551" w:rsidRPr="00E50B51" w14:paraId="4D15995C" w14:textId="77777777" w:rsidTr="00BE689F">
        <w:trPr>
          <w:cantSplit/>
          <w:trHeight w:val="3175"/>
        </w:trPr>
        <w:tc>
          <w:tcPr>
            <w:tcW w:w="293" w:type="pct"/>
          </w:tcPr>
          <w:p w14:paraId="6F98D307" w14:textId="77777777" w:rsidR="00074551" w:rsidRPr="00E50B51" w:rsidRDefault="00074551" w:rsidP="00367133">
            <w:pPr>
              <w:ind w:right="416"/>
              <w:jc w:val="center"/>
              <w:rPr>
                <w:sz w:val="20"/>
                <w:szCs w:val="20"/>
              </w:rPr>
            </w:pPr>
            <w:r w:rsidRPr="00BE3728">
              <w:rPr>
                <w:sz w:val="20"/>
                <w:szCs w:val="20"/>
                <w:lang w:val="en-US"/>
              </w:rPr>
              <w:lastRenderedPageBreak/>
              <w:t>H</w:t>
            </w:r>
          </w:p>
        </w:tc>
        <w:tc>
          <w:tcPr>
            <w:tcW w:w="387" w:type="pct"/>
            <w:textDirection w:val="tbRl"/>
            <w:vAlign w:val="center"/>
          </w:tcPr>
          <w:p w14:paraId="54E4A61B" w14:textId="77777777" w:rsidR="00074551" w:rsidRPr="00B45592" w:rsidRDefault="00074551" w:rsidP="00367133">
            <w:pPr>
              <w:ind w:left="113" w:right="416"/>
              <w:jc w:val="both"/>
              <w:rPr>
                <w:i/>
                <w:sz w:val="20"/>
                <w:szCs w:val="20"/>
                <w:lang w:val="en-US"/>
              </w:rPr>
            </w:pPr>
            <w:r w:rsidRPr="00B45592">
              <w:rPr>
                <w:i/>
                <w:sz w:val="20"/>
                <w:szCs w:val="20"/>
                <w:lang w:val="en-US"/>
              </w:rPr>
              <w:t>Semler v. Oregon State Board of Dental Examiners</w:t>
            </w:r>
          </w:p>
        </w:tc>
        <w:tc>
          <w:tcPr>
            <w:tcW w:w="197" w:type="pct"/>
            <w:textDirection w:val="tbRl"/>
            <w:vAlign w:val="center"/>
          </w:tcPr>
          <w:p w14:paraId="62C54FAB" w14:textId="77777777" w:rsidR="00074551" w:rsidRPr="00BE3728" w:rsidRDefault="00074551" w:rsidP="00367133">
            <w:pPr>
              <w:ind w:left="113" w:right="113"/>
              <w:jc w:val="both"/>
              <w:rPr>
                <w:sz w:val="20"/>
                <w:szCs w:val="20"/>
              </w:rPr>
            </w:pPr>
            <w:r w:rsidRPr="00BE3728">
              <w:rPr>
                <w:sz w:val="20"/>
                <w:szCs w:val="20"/>
              </w:rPr>
              <w:t>294 U.S. 608</w:t>
            </w:r>
          </w:p>
          <w:p w14:paraId="468E489C" w14:textId="77777777" w:rsidR="00074551" w:rsidRPr="00E50B51" w:rsidRDefault="00074551" w:rsidP="00367133">
            <w:pPr>
              <w:ind w:left="113" w:right="113"/>
              <w:jc w:val="both"/>
              <w:rPr>
                <w:sz w:val="20"/>
                <w:szCs w:val="20"/>
                <w:lang w:val="en-US"/>
              </w:rPr>
            </w:pPr>
          </w:p>
        </w:tc>
        <w:tc>
          <w:tcPr>
            <w:tcW w:w="306" w:type="pct"/>
            <w:textDirection w:val="tbRl"/>
            <w:vAlign w:val="center"/>
          </w:tcPr>
          <w:p w14:paraId="5B845B51" w14:textId="77777777" w:rsidR="00074551" w:rsidRPr="00E50B51" w:rsidRDefault="00074551" w:rsidP="00367133">
            <w:pPr>
              <w:ind w:left="113" w:right="113"/>
              <w:jc w:val="both"/>
              <w:rPr>
                <w:sz w:val="20"/>
                <w:szCs w:val="20"/>
              </w:rPr>
            </w:pPr>
            <w:r w:rsidRPr="00BE3728">
              <w:rPr>
                <w:sz w:val="20"/>
                <w:szCs w:val="20"/>
                <w:lang w:val="en-US"/>
              </w:rPr>
              <w:t>01. April 1935</w:t>
            </w:r>
          </w:p>
        </w:tc>
        <w:tc>
          <w:tcPr>
            <w:tcW w:w="401" w:type="pct"/>
          </w:tcPr>
          <w:p w14:paraId="7FB019AC" w14:textId="77777777" w:rsidR="00074551" w:rsidRPr="00E50B51" w:rsidRDefault="00074551" w:rsidP="00367133">
            <w:pPr>
              <w:jc w:val="center"/>
              <w:rPr>
                <w:iCs/>
                <w:sz w:val="20"/>
                <w:szCs w:val="20"/>
              </w:rPr>
            </w:pPr>
            <w:r w:rsidRPr="00BE3728">
              <w:rPr>
                <w:sz w:val="20"/>
                <w:szCs w:val="20"/>
                <w:lang w:val="en-US"/>
              </w:rPr>
              <w:t>M</w:t>
            </w:r>
          </w:p>
        </w:tc>
        <w:tc>
          <w:tcPr>
            <w:tcW w:w="1594" w:type="pct"/>
          </w:tcPr>
          <w:p w14:paraId="21D5E73A" w14:textId="77777777" w:rsidR="00074551" w:rsidRPr="00E50B51" w:rsidRDefault="00074551" w:rsidP="00367133">
            <w:pPr>
              <w:jc w:val="both"/>
              <w:rPr>
                <w:sz w:val="20"/>
                <w:szCs w:val="20"/>
              </w:rPr>
            </w:pPr>
            <w:r w:rsidRPr="00BE3728">
              <w:rPr>
                <w:sz w:val="20"/>
                <w:szCs w:val="20"/>
              </w:rPr>
              <w:t>Im Rahmen seiner Schutzfunktion regel</w:t>
            </w:r>
            <w:r>
              <w:rPr>
                <w:sz w:val="20"/>
                <w:szCs w:val="20"/>
              </w:rPr>
              <w:t>t</w:t>
            </w:r>
            <w:r w:rsidRPr="00BE3728">
              <w:rPr>
                <w:sz w:val="20"/>
                <w:szCs w:val="20"/>
              </w:rPr>
              <w:t>e der Bundesstaat Oregon die Werbepraktiken von Zahnärzten durch ein Gesetz von 1933</w:t>
            </w:r>
            <w:r>
              <w:rPr>
                <w:sz w:val="20"/>
                <w:szCs w:val="20"/>
              </w:rPr>
              <w:t>,</w:t>
            </w:r>
            <w:r w:rsidRPr="00BE3728">
              <w:rPr>
                <w:rStyle w:val="Funotenzeichen"/>
                <w:sz w:val="20"/>
                <w:szCs w:val="20"/>
              </w:rPr>
              <w:footnoteReference w:id="2127"/>
            </w:r>
            <w:r w:rsidRPr="00BE3728">
              <w:rPr>
                <w:sz w:val="20"/>
                <w:szCs w:val="20"/>
              </w:rPr>
              <w:t xml:space="preserve"> in</w:t>
            </w:r>
            <w:r>
              <w:rPr>
                <w:sz w:val="20"/>
                <w:szCs w:val="20"/>
              </w:rPr>
              <w:t xml:space="preserve"> </w:t>
            </w:r>
            <w:r w:rsidRPr="00BE3728">
              <w:rPr>
                <w:sz w:val="20"/>
                <w:szCs w:val="20"/>
              </w:rPr>
              <w:t>dem er potenziell irreführende Werbung untersag</w:t>
            </w:r>
            <w:r>
              <w:rPr>
                <w:sz w:val="20"/>
                <w:szCs w:val="20"/>
              </w:rPr>
              <w:t>t</w:t>
            </w:r>
            <w:r w:rsidRPr="00BE3728">
              <w:rPr>
                <w:sz w:val="20"/>
                <w:szCs w:val="20"/>
              </w:rPr>
              <w:t>e. Der Kläger, ein Zahnarzt, begehr</w:t>
            </w:r>
            <w:r>
              <w:rPr>
                <w:sz w:val="20"/>
                <w:szCs w:val="20"/>
              </w:rPr>
              <w:t>t</w:t>
            </w:r>
            <w:r w:rsidRPr="00BE3728">
              <w:rPr>
                <w:sz w:val="20"/>
                <w:szCs w:val="20"/>
              </w:rPr>
              <w:t>e Rechtsschutz gegen dieses Gesetz. Er behaupte</w:t>
            </w:r>
            <w:r>
              <w:rPr>
                <w:sz w:val="20"/>
                <w:szCs w:val="20"/>
              </w:rPr>
              <w:t>te</w:t>
            </w:r>
            <w:r w:rsidRPr="00BE3728">
              <w:rPr>
                <w:sz w:val="20"/>
                <w:szCs w:val="20"/>
              </w:rPr>
              <w:t xml:space="preserve">, seine Werbung sei nicht irreführend und verstoße somit nicht gegen das Prinzip der Gleichbehandlung. Der </w:t>
            </w:r>
            <w:r>
              <w:rPr>
                <w:sz w:val="20"/>
                <w:szCs w:val="20"/>
              </w:rPr>
              <w:t>U.S. Supreme Court</w:t>
            </w:r>
            <w:r w:rsidRPr="00BE3728">
              <w:rPr>
                <w:sz w:val="20"/>
                <w:szCs w:val="20"/>
              </w:rPr>
              <w:t xml:space="preserve"> urteilte, dass der Bundesstaat im Rahmen seiner Regulierungsbefugnis handele, wenn er irreführende Werbung untersage, auch wenn die Werbung des Klägers teilweise nicht tatsächlich täusche. Diese Regelung stelle keinen unverhältnismäßigen Eingriff dar. Zumal der Kläger durch die Anwendung irreführender Werbepraktiken selbst zu seiner Diskriminierung </w:t>
            </w:r>
            <w:r>
              <w:rPr>
                <w:sz w:val="20"/>
                <w:szCs w:val="20"/>
              </w:rPr>
              <w:t>beigetragen habe</w:t>
            </w:r>
            <w:r w:rsidRPr="00BE3728">
              <w:rPr>
                <w:sz w:val="20"/>
                <w:szCs w:val="20"/>
              </w:rPr>
              <w:t>.</w:t>
            </w:r>
            <w:r w:rsidRPr="00BE3728">
              <w:rPr>
                <w:rStyle w:val="Funotenzeichen"/>
                <w:sz w:val="20"/>
                <w:szCs w:val="20"/>
              </w:rPr>
              <w:footnoteReference w:id="2128"/>
            </w:r>
          </w:p>
        </w:tc>
        <w:tc>
          <w:tcPr>
            <w:tcW w:w="1822" w:type="pct"/>
          </w:tcPr>
          <w:p w14:paraId="26146CC5"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Constitutional Law, §668 &gt; Due Process – Prohibition of Certain Type of Advertising by Dentists</w:t>
            </w:r>
          </w:p>
          <w:p w14:paraId="789D8D17" w14:textId="77777777" w:rsidR="00074551" w:rsidRPr="00BE3728" w:rsidRDefault="00074551" w:rsidP="00367133">
            <w:pPr>
              <w:jc w:val="both"/>
              <w:rPr>
                <w:sz w:val="20"/>
                <w:szCs w:val="20"/>
                <w:lang w:val="en-US"/>
              </w:rPr>
            </w:pPr>
          </w:p>
          <w:p w14:paraId="39F3420B" w14:textId="77777777" w:rsidR="00074551" w:rsidRDefault="00074551" w:rsidP="00367133">
            <w:pPr>
              <w:jc w:val="both"/>
              <w:rPr>
                <w:sz w:val="20"/>
                <w:szCs w:val="20"/>
              </w:rPr>
            </w:pPr>
            <w:r w:rsidRPr="00BE3728">
              <w:rPr>
                <w:sz w:val="20"/>
                <w:szCs w:val="20"/>
              </w:rPr>
              <w:t xml:space="preserve">Der Rechtsmittelführer </w:t>
            </w:r>
            <w:r>
              <w:rPr>
                <w:sz w:val="20"/>
                <w:szCs w:val="20"/>
              </w:rPr>
              <w:t>trug</w:t>
            </w:r>
            <w:r w:rsidRPr="00BE3728">
              <w:rPr>
                <w:sz w:val="20"/>
                <w:szCs w:val="20"/>
              </w:rPr>
              <w:t xml:space="preserve"> vor, dass das die Werbung untersagende Gesetz zu weit sei, weil es Werbung verbiete, auch wenn diese wahrheitsgemäß sei. Er behauptete, seine Werbung entspreche überwiegend der Wahrheit. Er könne nur durch diese Werbestrategie niedrige Preise anbieten, womit er der Öffentlichkeit diene, </w:t>
            </w:r>
            <w:r>
              <w:rPr>
                <w:sz w:val="20"/>
                <w:szCs w:val="20"/>
              </w:rPr>
              <w:t>mit anderen Worten</w:t>
            </w:r>
            <w:r w:rsidRPr="00BE3728">
              <w:rPr>
                <w:sz w:val="20"/>
                <w:szCs w:val="20"/>
              </w:rPr>
              <w:t>: zum Glück einer großen Zahl von Personen beitrage („</w:t>
            </w:r>
            <w:proofErr w:type="spellStart"/>
            <w:r w:rsidRPr="00BE3728">
              <w:rPr>
                <w:sz w:val="20"/>
                <w:szCs w:val="20"/>
              </w:rPr>
              <w:t>happiness</w:t>
            </w:r>
            <w:proofErr w:type="spellEnd"/>
            <w:r w:rsidRPr="00BE3728">
              <w:rPr>
                <w:sz w:val="20"/>
                <w:szCs w:val="20"/>
              </w:rPr>
              <w:t xml:space="preserve"> of a large </w:t>
            </w:r>
            <w:proofErr w:type="spellStart"/>
            <w:r w:rsidRPr="00BE3728">
              <w:rPr>
                <w:sz w:val="20"/>
                <w:szCs w:val="20"/>
              </w:rPr>
              <w:t>number</w:t>
            </w:r>
            <w:proofErr w:type="spellEnd"/>
            <w:r w:rsidRPr="00BE3728">
              <w:rPr>
                <w:sz w:val="20"/>
                <w:szCs w:val="20"/>
              </w:rPr>
              <w:t xml:space="preserve"> of </w:t>
            </w:r>
            <w:proofErr w:type="spellStart"/>
            <w:r w:rsidRPr="00BE3728">
              <w:rPr>
                <w:sz w:val="20"/>
                <w:szCs w:val="20"/>
              </w:rPr>
              <w:t>persons</w:t>
            </w:r>
            <w:proofErr w:type="spellEnd"/>
            <w:r w:rsidRPr="00BE3728">
              <w:rPr>
                <w:sz w:val="20"/>
                <w:szCs w:val="20"/>
              </w:rPr>
              <w:t>“</w:t>
            </w:r>
            <w:r w:rsidRPr="00BE3728">
              <w:rPr>
                <w:rStyle w:val="Funotenzeichen"/>
                <w:sz w:val="20"/>
                <w:szCs w:val="20"/>
              </w:rPr>
              <w:footnoteReference w:id="2129"/>
            </w:r>
            <w:r>
              <w:rPr>
                <w:sz w:val="20"/>
                <w:szCs w:val="20"/>
              </w:rPr>
              <w:t>).</w:t>
            </w:r>
            <w:r w:rsidRPr="00BE3728">
              <w:rPr>
                <w:sz w:val="20"/>
                <w:szCs w:val="20"/>
              </w:rPr>
              <w:t xml:space="preserve"> Der </w:t>
            </w:r>
            <w:r>
              <w:rPr>
                <w:sz w:val="20"/>
                <w:szCs w:val="20"/>
              </w:rPr>
              <w:t>U.S. Supreme Court</w:t>
            </w:r>
            <w:r w:rsidRPr="00BE3728">
              <w:rPr>
                <w:sz w:val="20"/>
                <w:szCs w:val="20"/>
              </w:rPr>
              <w:t xml:space="preserve"> lehnt</w:t>
            </w:r>
            <w:r>
              <w:rPr>
                <w:sz w:val="20"/>
                <w:szCs w:val="20"/>
              </w:rPr>
              <w:t>e</w:t>
            </w:r>
            <w:r w:rsidRPr="00BE3728">
              <w:rPr>
                <w:sz w:val="20"/>
                <w:szCs w:val="20"/>
              </w:rPr>
              <w:t xml:space="preserve"> diese Argumentation nicht per se ab, </w:t>
            </w:r>
            <w:r>
              <w:rPr>
                <w:sz w:val="20"/>
                <w:szCs w:val="20"/>
              </w:rPr>
              <w:t>sondern zog</w:t>
            </w:r>
            <w:r w:rsidRPr="00BE3728">
              <w:rPr>
                <w:sz w:val="20"/>
                <w:szCs w:val="20"/>
              </w:rPr>
              <w:t xml:space="preserve"> nur eine andere Schlussfolgerung. Er meinte, wenn zumindest teilweise übertreibende Werbung wie hier bei Gesundheitsberufen vorliege, dann könne ein Gesetz sehr wohl sogar den Beruf untersagen, hier im äußersten Fall die Approbation widerrufen, ohne dabei willkürlich in die Freiheit und das Eigentum einzugreifen, was indes ein ordnungsgemäßes Gerichtsverfahren verlangt hätte. Das </w:t>
            </w:r>
            <w:r>
              <w:rPr>
                <w:sz w:val="20"/>
                <w:szCs w:val="20"/>
              </w:rPr>
              <w:t>gelte selbst dann,</w:t>
            </w:r>
            <w:r w:rsidRPr="00BE3728">
              <w:rPr>
                <w:sz w:val="20"/>
                <w:szCs w:val="20"/>
              </w:rPr>
              <w:t xml:space="preserve"> wenn einige Werbeteile nicht täusch</w:t>
            </w:r>
            <w:r>
              <w:rPr>
                <w:sz w:val="20"/>
                <w:szCs w:val="20"/>
              </w:rPr>
              <w:t>t</w:t>
            </w:r>
            <w:r w:rsidRPr="00BE3728">
              <w:rPr>
                <w:sz w:val="20"/>
                <w:szCs w:val="20"/>
              </w:rPr>
              <w:t>en oder irreführ</w:t>
            </w:r>
            <w:r>
              <w:rPr>
                <w:sz w:val="20"/>
                <w:szCs w:val="20"/>
              </w:rPr>
              <w:t>t</w:t>
            </w:r>
            <w:r w:rsidRPr="00BE3728">
              <w:rPr>
                <w:sz w:val="20"/>
                <w:szCs w:val="20"/>
              </w:rPr>
              <w:t>en.</w:t>
            </w:r>
            <w:r w:rsidRPr="00BE3728">
              <w:rPr>
                <w:rStyle w:val="Funotenzeichen"/>
                <w:sz w:val="20"/>
                <w:szCs w:val="20"/>
              </w:rPr>
              <w:footnoteReference w:id="2130"/>
            </w:r>
            <w:r w:rsidRPr="00BE3728">
              <w:rPr>
                <w:sz w:val="20"/>
                <w:szCs w:val="20"/>
              </w:rPr>
              <w:t xml:space="preserve"> Denn das Gesamtgepräge entscheide.</w:t>
            </w:r>
          </w:p>
          <w:p w14:paraId="5FCCC104" w14:textId="5B769435" w:rsidR="0056095C" w:rsidRPr="00E50B51" w:rsidRDefault="0056095C" w:rsidP="00367133">
            <w:pPr>
              <w:jc w:val="both"/>
              <w:rPr>
                <w:sz w:val="20"/>
                <w:szCs w:val="20"/>
              </w:rPr>
            </w:pPr>
          </w:p>
        </w:tc>
      </w:tr>
      <w:tr w:rsidR="00074551" w:rsidRPr="002E1085" w14:paraId="2D4B39C8" w14:textId="77777777" w:rsidTr="00BE689F">
        <w:trPr>
          <w:cantSplit/>
          <w:trHeight w:val="3175"/>
        </w:trPr>
        <w:tc>
          <w:tcPr>
            <w:tcW w:w="293" w:type="pct"/>
          </w:tcPr>
          <w:p w14:paraId="50A92F45"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05874389" w14:textId="77777777" w:rsidR="00074551" w:rsidRPr="00B45592" w:rsidRDefault="00074551" w:rsidP="00367133">
            <w:pPr>
              <w:ind w:left="113" w:right="416"/>
              <w:jc w:val="both"/>
              <w:rPr>
                <w:i/>
                <w:sz w:val="20"/>
                <w:szCs w:val="20"/>
              </w:rPr>
            </w:pPr>
            <w:r w:rsidRPr="00B45592">
              <w:rPr>
                <w:i/>
                <w:sz w:val="20"/>
                <w:szCs w:val="20"/>
              </w:rPr>
              <w:t>Hurtado v. California</w:t>
            </w:r>
          </w:p>
        </w:tc>
        <w:tc>
          <w:tcPr>
            <w:tcW w:w="197" w:type="pct"/>
            <w:textDirection w:val="tbRl"/>
            <w:vAlign w:val="center"/>
          </w:tcPr>
          <w:p w14:paraId="31368D9A" w14:textId="77777777" w:rsidR="00074551" w:rsidRPr="00E50B51" w:rsidRDefault="00074551" w:rsidP="00367133">
            <w:pPr>
              <w:ind w:left="113" w:right="113"/>
              <w:jc w:val="both"/>
              <w:rPr>
                <w:sz w:val="20"/>
                <w:szCs w:val="20"/>
                <w:lang w:val="en-US"/>
              </w:rPr>
            </w:pPr>
            <w:r w:rsidRPr="00BE3728">
              <w:rPr>
                <w:sz w:val="20"/>
                <w:szCs w:val="20"/>
              </w:rPr>
              <w:t>110 U.S. 516</w:t>
            </w:r>
          </w:p>
        </w:tc>
        <w:tc>
          <w:tcPr>
            <w:tcW w:w="306" w:type="pct"/>
            <w:textDirection w:val="tbRl"/>
            <w:vAlign w:val="center"/>
          </w:tcPr>
          <w:p w14:paraId="14E31494" w14:textId="77777777" w:rsidR="00074551" w:rsidRPr="00E50B51" w:rsidRDefault="00074551" w:rsidP="00367133">
            <w:pPr>
              <w:ind w:left="113" w:right="113"/>
              <w:jc w:val="both"/>
              <w:rPr>
                <w:sz w:val="20"/>
                <w:szCs w:val="20"/>
              </w:rPr>
            </w:pPr>
            <w:r w:rsidRPr="00BE3728">
              <w:rPr>
                <w:sz w:val="20"/>
                <w:szCs w:val="20"/>
              </w:rPr>
              <w:t>03. März 1884</w:t>
            </w:r>
          </w:p>
        </w:tc>
        <w:tc>
          <w:tcPr>
            <w:tcW w:w="401" w:type="pct"/>
          </w:tcPr>
          <w:p w14:paraId="66993E1E" w14:textId="77777777" w:rsidR="00074551" w:rsidRPr="00E50B51" w:rsidRDefault="00074551" w:rsidP="00367133">
            <w:pPr>
              <w:jc w:val="center"/>
              <w:rPr>
                <w:iCs/>
                <w:sz w:val="20"/>
                <w:szCs w:val="20"/>
              </w:rPr>
            </w:pPr>
            <w:r w:rsidRPr="00BE3728">
              <w:rPr>
                <w:sz w:val="20"/>
                <w:szCs w:val="20"/>
                <w:lang w:val="en-US"/>
              </w:rPr>
              <w:t>M</w:t>
            </w:r>
          </w:p>
        </w:tc>
        <w:tc>
          <w:tcPr>
            <w:tcW w:w="1594" w:type="pct"/>
          </w:tcPr>
          <w:p w14:paraId="1FF0E243" w14:textId="6675AB5E" w:rsidR="00074551" w:rsidRPr="00BE372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die Argumentation des Angeklagten zurück und hielt das Verfahren für verfassungskonform. Der Angeklagte hatte zunächst eine Überprüfung seines Falls durch den </w:t>
            </w:r>
            <w:r w:rsidRPr="5B67C1D2">
              <w:rPr>
                <w:i/>
                <w:iCs/>
                <w:sz w:val="20"/>
                <w:szCs w:val="20"/>
              </w:rPr>
              <w:t>Supreme Court of California</w:t>
            </w:r>
            <w:r w:rsidRPr="00BE3728">
              <w:rPr>
                <w:sz w:val="20"/>
                <w:szCs w:val="20"/>
              </w:rPr>
              <w:t xml:space="preserve"> gefordert, welcher dann aber seine Verurteilung wegen Mordes ersten Grades bestätigte. Die Anklage fußte auf einer sog. Strafanzeige („</w:t>
            </w:r>
            <w:proofErr w:type="spellStart"/>
            <w:r w:rsidRPr="00BE3728">
              <w:rPr>
                <w:sz w:val="20"/>
                <w:szCs w:val="20"/>
              </w:rPr>
              <w:t>information</w:t>
            </w:r>
            <w:proofErr w:type="spellEnd"/>
            <w:r w:rsidRPr="00BE3728">
              <w:rPr>
                <w:sz w:val="20"/>
                <w:szCs w:val="20"/>
              </w:rPr>
              <w:t>“</w:t>
            </w:r>
            <w:r w:rsidRPr="00BE3728">
              <w:rPr>
                <w:rStyle w:val="Funotenzeichen"/>
                <w:sz w:val="20"/>
                <w:szCs w:val="20"/>
              </w:rPr>
              <w:footnoteReference w:id="2131"/>
            </w:r>
            <w:r w:rsidRPr="00BE3728">
              <w:rPr>
                <w:sz w:val="20"/>
                <w:szCs w:val="20"/>
              </w:rPr>
              <w:t xml:space="preserve">) statt einer Grand-Jury-Entscheidung. Trotz des Plädoyers auf Nichtschuld wurde der Angeklagte für schuldig befunden und zum Tode verurteilt. Der Angeklagte behauptete, das Fehlen einer Grand-Jury-Anklage verletze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BE3728">
              <w:rPr>
                <w:sz w:val="20"/>
                <w:szCs w:val="20"/>
              </w:rPr>
              <w:t xml:space="preserve"> </w:t>
            </w:r>
            <w:r>
              <w:rPr>
                <w:sz w:val="20"/>
                <w:szCs w:val="20"/>
              </w:rPr>
              <w:t>von</w:t>
            </w:r>
            <w:r w:rsidRPr="00BE3728">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Der </w:t>
            </w:r>
            <w:r>
              <w:rPr>
                <w:sz w:val="20"/>
                <w:szCs w:val="20"/>
              </w:rPr>
              <w:t>U.S. Supreme Court</w:t>
            </w:r>
            <w:r w:rsidRPr="00BE3728">
              <w:rPr>
                <w:sz w:val="20"/>
                <w:szCs w:val="20"/>
              </w:rPr>
              <w:t xml:space="preserve"> entschied jedoch, dass die Anklage durch eine Strafanzeige den Anforderungen eines rechtsstaatlichen Verfahrens genüge. </w:t>
            </w:r>
            <w:bookmarkStart w:id="91" w:name="_Hlk227840389"/>
            <w:r w:rsidRPr="00BE3728">
              <w:rPr>
                <w:sz w:val="20"/>
                <w:szCs w:val="20"/>
              </w:rPr>
              <w:t xml:space="preserve">Der </w:t>
            </w:r>
            <w:r>
              <w:rPr>
                <w:sz w:val="20"/>
                <w:szCs w:val="20"/>
              </w:rPr>
              <w:t>U.S. Supreme Court</w:t>
            </w:r>
            <w:r w:rsidRPr="00BE3728">
              <w:rPr>
                <w:sz w:val="20"/>
                <w:szCs w:val="20"/>
              </w:rPr>
              <w:t xml:space="preserve"> befand, die Grand-Jury-Anklage </w:t>
            </w:r>
            <w:r>
              <w:rPr>
                <w:sz w:val="20"/>
                <w:szCs w:val="20"/>
              </w:rPr>
              <w:t>könne durch</w:t>
            </w:r>
            <w:r w:rsidRPr="00BE3728">
              <w:rPr>
                <w:sz w:val="20"/>
                <w:szCs w:val="20"/>
              </w:rPr>
              <w:t xml:space="preserve"> eine Anzeige der Tat nach </w:t>
            </w:r>
            <w:r>
              <w:rPr>
                <w:sz w:val="20"/>
                <w:szCs w:val="20"/>
              </w:rPr>
              <w:t>Art. </w:t>
            </w:r>
            <w:r w:rsidRPr="00BE3728">
              <w:rPr>
                <w:sz w:val="20"/>
                <w:szCs w:val="20"/>
                <w:lang w:val="en-US"/>
              </w:rPr>
              <w:t xml:space="preserve">I, </w:t>
            </w:r>
            <w:r>
              <w:rPr>
                <w:sz w:val="20"/>
                <w:szCs w:val="20"/>
                <w:lang w:val="en-US"/>
              </w:rPr>
              <w:t>§ </w:t>
            </w:r>
            <w:r w:rsidRPr="00BE3728">
              <w:rPr>
                <w:sz w:val="20"/>
                <w:szCs w:val="20"/>
                <w:lang w:val="en-US"/>
              </w:rPr>
              <w:t>8 Constitution of the State of California</w:t>
            </w:r>
            <w:r w:rsidRPr="00BE3728">
              <w:rPr>
                <w:rStyle w:val="Funotenzeichen"/>
                <w:sz w:val="20"/>
                <w:szCs w:val="20"/>
              </w:rPr>
              <w:footnoteReference w:id="2132"/>
            </w:r>
            <w:r w:rsidRPr="00BE3728">
              <w:rPr>
                <w:sz w:val="20"/>
                <w:szCs w:val="20"/>
                <w:lang w:val="en-US"/>
              </w:rPr>
              <w:t xml:space="preserve"> </w:t>
            </w:r>
            <w:proofErr w:type="spellStart"/>
            <w:r w:rsidRPr="00BE3728">
              <w:rPr>
                <w:sz w:val="20"/>
                <w:szCs w:val="20"/>
                <w:lang w:val="en-US"/>
              </w:rPr>
              <w:t>erset</w:t>
            </w:r>
            <w:r>
              <w:rPr>
                <w:sz w:val="20"/>
                <w:szCs w:val="20"/>
                <w:lang w:val="en-US"/>
              </w:rPr>
              <w:t>zt</w:t>
            </w:r>
            <w:proofErr w:type="spellEnd"/>
            <w:r>
              <w:rPr>
                <w:sz w:val="20"/>
                <w:szCs w:val="20"/>
                <w:lang w:val="en-US"/>
              </w:rPr>
              <w:t xml:space="preserve"> </w:t>
            </w:r>
            <w:proofErr w:type="spellStart"/>
            <w:r>
              <w:rPr>
                <w:sz w:val="20"/>
                <w:szCs w:val="20"/>
                <w:lang w:val="en-US"/>
              </w:rPr>
              <w:t>werden</w:t>
            </w:r>
            <w:proofErr w:type="spellEnd"/>
            <w:r w:rsidRPr="00BE3728">
              <w:rPr>
                <w:sz w:val="20"/>
                <w:szCs w:val="20"/>
                <w:lang w:val="en-US"/>
              </w:rPr>
              <w:t xml:space="preserve">. </w:t>
            </w:r>
            <w:bookmarkEnd w:id="91"/>
            <w:r w:rsidRPr="00B45592">
              <w:rPr>
                <w:sz w:val="20"/>
                <w:szCs w:val="20"/>
                <w:lang w:val="en-IE"/>
              </w:rPr>
              <w:t xml:space="preserve">Zwar </w:t>
            </w:r>
            <w:proofErr w:type="spellStart"/>
            <w:r w:rsidRPr="00B45592">
              <w:rPr>
                <w:sz w:val="20"/>
                <w:szCs w:val="20"/>
                <w:lang w:val="en-IE"/>
              </w:rPr>
              <w:t>sehe</w:t>
            </w:r>
            <w:proofErr w:type="spellEnd"/>
            <w:r w:rsidRPr="00B45592">
              <w:rPr>
                <w:sz w:val="20"/>
                <w:szCs w:val="20"/>
                <w:lang w:val="en-IE"/>
              </w:rPr>
              <w:t xml:space="preserve"> </w:t>
            </w:r>
            <w:r w:rsidR="00023A37">
              <w:rPr>
                <w:sz w:val="20"/>
                <w:szCs w:val="20"/>
                <w:lang w:val="en-IE"/>
              </w:rPr>
              <w:t>U.S. Const. amend. X</w:t>
            </w:r>
            <w:r w:rsidRPr="00BE3728">
              <w:rPr>
                <w:sz w:val="20"/>
                <w:szCs w:val="20"/>
              </w:rPr>
              <w:t xml:space="preserve"> eine Anklage durch eine Grand Jury vor. Aber das bedeute nicht, dass die Bundesstaaten dieses Verfahren anwenden müss</w:t>
            </w:r>
            <w:r>
              <w:rPr>
                <w:sz w:val="20"/>
                <w:szCs w:val="20"/>
              </w:rPr>
              <w:t>t</w:t>
            </w:r>
            <w:r w:rsidRPr="00BE3728">
              <w:rPr>
                <w:sz w:val="20"/>
                <w:szCs w:val="20"/>
              </w:rPr>
              <w:t xml:space="preserve">en, um die Mindestanforderungen des rechtsstaatlichen Verfahrens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E3728">
              <w:rPr>
                <w:sz w:val="20"/>
                <w:szCs w:val="20"/>
              </w:rPr>
              <w:t xml:space="preserve"> zu erfüllen.</w:t>
            </w:r>
            <w:r w:rsidRPr="00BE3728">
              <w:rPr>
                <w:rStyle w:val="Funotenzeichen"/>
                <w:sz w:val="20"/>
                <w:szCs w:val="20"/>
              </w:rPr>
              <w:footnoteReference w:id="2133"/>
            </w:r>
          </w:p>
          <w:p w14:paraId="7724E440" w14:textId="77777777" w:rsidR="00074551" w:rsidRPr="00BE3728" w:rsidRDefault="00074551" w:rsidP="00367133">
            <w:pPr>
              <w:jc w:val="both"/>
              <w:rPr>
                <w:sz w:val="20"/>
                <w:szCs w:val="20"/>
              </w:rPr>
            </w:pPr>
          </w:p>
          <w:p w14:paraId="5D556921" w14:textId="77777777" w:rsidR="00074551" w:rsidRPr="00E50B51" w:rsidRDefault="00074551" w:rsidP="00367133">
            <w:pPr>
              <w:jc w:val="both"/>
              <w:rPr>
                <w:sz w:val="20"/>
                <w:szCs w:val="20"/>
              </w:rPr>
            </w:pPr>
          </w:p>
        </w:tc>
        <w:tc>
          <w:tcPr>
            <w:tcW w:w="1822" w:type="pct"/>
          </w:tcPr>
          <w:p w14:paraId="30AEF6D3"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 xml:space="preserve">Constitutional Law › Fundamental Rights › Procedural Due Process › Scope of Protection </w:t>
            </w:r>
          </w:p>
          <w:p w14:paraId="433FBC57" w14:textId="77777777" w:rsidR="00074551" w:rsidRPr="00BE3728" w:rsidRDefault="00074551" w:rsidP="00367133">
            <w:pPr>
              <w:jc w:val="both"/>
              <w:rPr>
                <w:sz w:val="20"/>
                <w:szCs w:val="20"/>
                <w:lang w:val="en-US"/>
              </w:rPr>
            </w:pPr>
          </w:p>
          <w:p w14:paraId="7F293E94" w14:textId="50633559" w:rsidR="00074551" w:rsidRPr="00BE3728" w:rsidRDefault="00023A37" w:rsidP="00367133">
            <w:pPr>
              <w:jc w:val="both"/>
              <w:rPr>
                <w:sz w:val="20"/>
                <w:szCs w:val="20"/>
              </w:rPr>
            </w:pPr>
            <w:r>
              <w:rPr>
                <w:sz w:val="20"/>
                <w:szCs w:val="20"/>
              </w:rPr>
              <w:t xml:space="preserve">U.S. </w:t>
            </w:r>
            <w:proofErr w:type="spellStart"/>
            <w:r>
              <w:rPr>
                <w:sz w:val="20"/>
                <w:szCs w:val="20"/>
              </w:rPr>
              <w:t>Const</w:t>
            </w:r>
            <w:proofErr w:type="spellEnd"/>
            <w:r>
              <w:rPr>
                <w:sz w:val="20"/>
                <w:szCs w:val="20"/>
              </w:rPr>
              <w:t xml:space="preserve">. </w:t>
            </w:r>
            <w:proofErr w:type="spellStart"/>
            <w:r>
              <w:rPr>
                <w:sz w:val="20"/>
                <w:szCs w:val="20"/>
              </w:rPr>
              <w:t>amend</w:t>
            </w:r>
            <w:proofErr w:type="spellEnd"/>
            <w:r>
              <w:rPr>
                <w:sz w:val="20"/>
                <w:szCs w:val="20"/>
              </w:rPr>
              <w:t>. XIV</w:t>
            </w:r>
            <w:r w:rsidR="00074551" w:rsidRPr="00BE3728">
              <w:rPr>
                <w:sz w:val="20"/>
                <w:szCs w:val="20"/>
              </w:rPr>
              <w:t xml:space="preserve"> regelt nicht, dass für Personen in den Vereinigten Staaten </w:t>
            </w:r>
            <w:r w:rsidR="00074551">
              <w:rPr>
                <w:sz w:val="20"/>
                <w:szCs w:val="20"/>
              </w:rPr>
              <w:t xml:space="preserve">immer </w:t>
            </w:r>
            <w:r w:rsidR="00074551" w:rsidRPr="00BE3728">
              <w:rPr>
                <w:sz w:val="20"/>
                <w:szCs w:val="20"/>
              </w:rPr>
              <w:t xml:space="preserve">dieselben Gesetze und Rechtsbehelfe gelten sollen. Zwischen zwei Bundesstaaten können in dieser Hinsicht Unterschiede bestehen. In einem Bundesstaat kann es ein Recht auf ein Gerichtsverfahren vor Geschworenen geben, in einem anderen Bundesstaat nicht. Denn </w:t>
            </w:r>
            <w:r w:rsidR="00074551">
              <w:rPr>
                <w:sz w:val="20"/>
                <w:szCs w:val="20"/>
              </w:rPr>
              <w:t>j</w:t>
            </w:r>
            <w:r w:rsidR="00074551" w:rsidRPr="00BE3728">
              <w:rPr>
                <w:sz w:val="20"/>
                <w:szCs w:val="20"/>
              </w:rPr>
              <w:t>eder Bundesstaat schreibt seine eigene Art des Gerichtsverfahrens vor.</w:t>
            </w:r>
            <w:r w:rsidR="00074551" w:rsidRPr="00BE3728">
              <w:rPr>
                <w:rStyle w:val="Funotenzeichen"/>
                <w:sz w:val="20"/>
                <w:szCs w:val="20"/>
              </w:rPr>
              <w:footnoteReference w:id="2134"/>
            </w:r>
          </w:p>
          <w:p w14:paraId="6C529FF6" w14:textId="77777777" w:rsidR="00074551" w:rsidRPr="00BE3728" w:rsidRDefault="00074551" w:rsidP="00367133">
            <w:pPr>
              <w:jc w:val="both"/>
              <w:rPr>
                <w:sz w:val="20"/>
                <w:szCs w:val="20"/>
              </w:rPr>
            </w:pPr>
          </w:p>
          <w:p w14:paraId="38CF854C" w14:textId="77777777" w:rsidR="00074551" w:rsidRDefault="00074551" w:rsidP="00367133">
            <w:pPr>
              <w:jc w:val="both"/>
              <w:rPr>
                <w:sz w:val="20"/>
                <w:szCs w:val="20"/>
              </w:rPr>
            </w:pPr>
            <w:r w:rsidRPr="00BE3728">
              <w:rPr>
                <w:sz w:val="20"/>
                <w:szCs w:val="20"/>
              </w:rPr>
              <w:t>Jedes rechtsstaatliche Verfahren, das das allgemeine öffentliche Wohl förder</w:t>
            </w:r>
            <w:r>
              <w:rPr>
                <w:sz w:val="20"/>
                <w:szCs w:val="20"/>
              </w:rPr>
              <w:t>t</w:t>
            </w:r>
            <w:r w:rsidRPr="00BE3728">
              <w:rPr>
                <w:sz w:val="20"/>
                <w:szCs w:val="20"/>
              </w:rPr>
              <w:t xml:space="preserve"> und das die Grundsätze der Freiheit und der Gerechtigkeit wahr</w:t>
            </w:r>
            <w:r>
              <w:rPr>
                <w:sz w:val="20"/>
                <w:szCs w:val="20"/>
              </w:rPr>
              <w:t>t</w:t>
            </w:r>
            <w:r w:rsidRPr="00BE3728">
              <w:rPr>
                <w:sz w:val="20"/>
                <w:szCs w:val="20"/>
              </w:rPr>
              <w:t>, muss als ordnungsgemäßes Verfahren angesehen werden.</w:t>
            </w:r>
          </w:p>
          <w:p w14:paraId="0C3981DD" w14:textId="77777777" w:rsidR="00074551" w:rsidRDefault="00074551" w:rsidP="00367133">
            <w:pPr>
              <w:jc w:val="both"/>
              <w:rPr>
                <w:sz w:val="20"/>
                <w:szCs w:val="20"/>
              </w:rPr>
            </w:pPr>
          </w:p>
          <w:p w14:paraId="6A99A8B5" w14:textId="77777777" w:rsidR="00074551" w:rsidRDefault="00074551" w:rsidP="00367133">
            <w:pPr>
              <w:jc w:val="both"/>
              <w:rPr>
                <w:sz w:val="20"/>
                <w:szCs w:val="20"/>
                <w:lang w:val="en-US"/>
              </w:rPr>
            </w:pPr>
            <w:r w:rsidRPr="00BE3728">
              <w:rPr>
                <w:sz w:val="20"/>
                <w:szCs w:val="20"/>
              </w:rPr>
              <w:t xml:space="preserve">Die Grenze dafür erklärt der </w:t>
            </w:r>
            <w:r>
              <w:rPr>
                <w:sz w:val="20"/>
                <w:szCs w:val="20"/>
              </w:rPr>
              <w:t>U.S. Supreme Court</w:t>
            </w:r>
            <w:r w:rsidRPr="00BE3728">
              <w:rPr>
                <w:sz w:val="20"/>
                <w:szCs w:val="20"/>
              </w:rPr>
              <w:t xml:space="preserve">: Wenn staatliche Maßnahmen fundamentale Rechte berühren, </w:t>
            </w:r>
            <w:r>
              <w:rPr>
                <w:sz w:val="20"/>
                <w:szCs w:val="20"/>
              </w:rPr>
              <w:t>z.B.</w:t>
            </w:r>
            <w:r w:rsidRPr="00BE3728">
              <w:rPr>
                <w:sz w:val="20"/>
                <w:szCs w:val="20"/>
              </w:rPr>
              <w:t xml:space="preserve"> das Leben</w:t>
            </w:r>
            <w:r>
              <w:rPr>
                <w:sz w:val="20"/>
                <w:szCs w:val="20"/>
              </w:rPr>
              <w:t>,</w:t>
            </w:r>
            <w:r w:rsidRPr="00BE3728">
              <w:rPr>
                <w:sz w:val="20"/>
                <w:szCs w:val="20"/>
              </w:rPr>
              <w:t xml:space="preserve"> die Freiheit oder das Eigentum, dann müssen diese Maßnahmen ein rechtsstaatliches Verfahren („due </w:t>
            </w:r>
            <w:proofErr w:type="spellStart"/>
            <w:r w:rsidRPr="00BE3728">
              <w:rPr>
                <w:sz w:val="20"/>
                <w:szCs w:val="20"/>
              </w:rPr>
              <w:t>process</w:t>
            </w:r>
            <w:proofErr w:type="spellEnd"/>
            <w:r w:rsidRPr="00BE3728">
              <w:rPr>
                <w:sz w:val="20"/>
                <w:szCs w:val="20"/>
              </w:rPr>
              <w:t xml:space="preserve"> of </w:t>
            </w:r>
            <w:proofErr w:type="spellStart"/>
            <w:r w:rsidRPr="00BE3728">
              <w:rPr>
                <w:sz w:val="20"/>
                <w:szCs w:val="20"/>
              </w:rPr>
              <w:t>law</w:t>
            </w:r>
            <w:proofErr w:type="spellEnd"/>
            <w:r w:rsidRPr="00BE3728">
              <w:rPr>
                <w:sz w:val="20"/>
                <w:szCs w:val="20"/>
              </w:rPr>
              <w:t>“</w:t>
            </w:r>
            <w:r w:rsidRPr="00BE3728">
              <w:rPr>
                <w:rStyle w:val="Funotenzeichen"/>
                <w:sz w:val="20"/>
                <w:szCs w:val="20"/>
              </w:rPr>
              <w:footnoteReference w:id="2135"/>
            </w:r>
            <w:r w:rsidRPr="00BE3728">
              <w:rPr>
                <w:sz w:val="20"/>
                <w:szCs w:val="20"/>
              </w:rPr>
              <w:t xml:space="preserve">) dafür einhalten. Denn diese fundamentalen Rechte konstituieren eine freie Regierung. Aufgrund dieser Relevanz kann eine staatliche Maßnahme sie grundsätzlich nicht derogieren. </w:t>
            </w:r>
            <w:r>
              <w:rPr>
                <w:sz w:val="20"/>
                <w:szCs w:val="20"/>
              </w:rPr>
              <w:t>Mit anderen Worten</w:t>
            </w:r>
            <w:r w:rsidRPr="00BE3728">
              <w:rPr>
                <w:sz w:val="20"/>
                <w:szCs w:val="20"/>
              </w:rPr>
              <w:t>: Die fundamentalen Rechte können nicht abbedungen werden, sonst entfällt die Grundlage für eine freie Regierung selbst. Als Folge entstehe Despotismus.</w:t>
            </w:r>
            <w:r w:rsidRPr="00BE3728">
              <w:rPr>
                <w:rStyle w:val="Funotenzeichen"/>
                <w:sz w:val="20"/>
                <w:szCs w:val="20"/>
              </w:rPr>
              <w:footnoteReference w:id="2136"/>
            </w:r>
            <w:r w:rsidRPr="00BE3728">
              <w:rPr>
                <w:sz w:val="20"/>
                <w:szCs w:val="20"/>
              </w:rPr>
              <w:t xml:space="preserve"> Doch woher kommt diese Begründungskulisse für eine freie Regierung? Dies beantworte</w:t>
            </w:r>
            <w:r>
              <w:rPr>
                <w:sz w:val="20"/>
                <w:szCs w:val="20"/>
              </w:rPr>
              <w:t>t</w:t>
            </w:r>
            <w:r w:rsidRPr="00BE3728">
              <w:rPr>
                <w:sz w:val="20"/>
                <w:szCs w:val="20"/>
              </w:rPr>
              <w:t xml:space="preserve"> der </w:t>
            </w:r>
            <w:r>
              <w:rPr>
                <w:sz w:val="20"/>
                <w:szCs w:val="20"/>
              </w:rPr>
              <w:t>U.S. Supreme Court</w:t>
            </w:r>
            <w:r w:rsidRPr="00BE3728">
              <w:rPr>
                <w:sz w:val="20"/>
                <w:szCs w:val="20"/>
              </w:rPr>
              <w:t xml:space="preserve"> so: Ob Despotismus vorliege, hänge nicht zuvorderst von der demokratischen Staatsform ab, sondern davon, dass die fundamentalen Rechte gesichert seien. </w:t>
            </w:r>
            <w:proofErr w:type="spellStart"/>
            <w:r w:rsidRPr="00BE3728">
              <w:rPr>
                <w:sz w:val="20"/>
                <w:szCs w:val="20"/>
                <w:lang w:val="en-US"/>
              </w:rPr>
              <w:t>Diese</w:t>
            </w:r>
            <w:proofErr w:type="spellEnd"/>
            <w:r w:rsidRPr="00BE3728">
              <w:rPr>
                <w:sz w:val="20"/>
                <w:szCs w:val="20"/>
                <w:lang w:val="en-US"/>
              </w:rPr>
              <w:t xml:space="preserve"> </w:t>
            </w:r>
            <w:proofErr w:type="spellStart"/>
            <w:r w:rsidRPr="00BE3728">
              <w:rPr>
                <w:sz w:val="20"/>
                <w:szCs w:val="20"/>
                <w:lang w:val="en-US"/>
              </w:rPr>
              <w:t>zu</w:t>
            </w:r>
            <w:proofErr w:type="spellEnd"/>
            <w:r w:rsidRPr="00BE3728">
              <w:rPr>
                <w:sz w:val="20"/>
                <w:szCs w:val="20"/>
                <w:lang w:val="en-US"/>
              </w:rPr>
              <w:t xml:space="preserve"> </w:t>
            </w:r>
            <w:proofErr w:type="spellStart"/>
            <w:r w:rsidRPr="00BE3728">
              <w:rPr>
                <w:sz w:val="20"/>
                <w:szCs w:val="20"/>
                <w:lang w:val="en-US"/>
              </w:rPr>
              <w:t>sichern</w:t>
            </w:r>
            <w:proofErr w:type="spellEnd"/>
            <w:r w:rsidRPr="00BE3728">
              <w:rPr>
                <w:sz w:val="20"/>
                <w:szCs w:val="20"/>
                <w:lang w:val="en-US"/>
              </w:rPr>
              <w:t xml:space="preserve">, </w:t>
            </w:r>
            <w:proofErr w:type="spellStart"/>
            <w:r w:rsidRPr="00BE3728">
              <w:rPr>
                <w:sz w:val="20"/>
                <w:szCs w:val="20"/>
                <w:lang w:val="en-US"/>
              </w:rPr>
              <w:t>bemesse</w:t>
            </w:r>
            <w:proofErr w:type="spellEnd"/>
            <w:r w:rsidRPr="00BE3728">
              <w:rPr>
                <w:sz w:val="20"/>
                <w:szCs w:val="20"/>
                <w:lang w:val="en-US"/>
              </w:rPr>
              <w:t xml:space="preserve"> </w:t>
            </w:r>
            <w:proofErr w:type="spellStart"/>
            <w:r w:rsidRPr="00BE3728">
              <w:rPr>
                <w:sz w:val="20"/>
                <w:szCs w:val="20"/>
                <w:lang w:val="en-US"/>
              </w:rPr>
              <w:t>sich</w:t>
            </w:r>
            <w:proofErr w:type="spellEnd"/>
            <w:r w:rsidRPr="00BE3728">
              <w:rPr>
                <w:sz w:val="20"/>
                <w:szCs w:val="20"/>
                <w:lang w:val="en-US"/>
              </w:rPr>
              <w:t xml:space="preserve"> </w:t>
            </w:r>
            <w:proofErr w:type="spellStart"/>
            <w:r w:rsidRPr="00BE3728">
              <w:rPr>
                <w:sz w:val="20"/>
                <w:szCs w:val="20"/>
                <w:lang w:val="en-US"/>
              </w:rPr>
              <w:t>daran</w:t>
            </w:r>
            <w:proofErr w:type="spellEnd"/>
            <w:r w:rsidRPr="00BE3728">
              <w:rPr>
                <w:sz w:val="20"/>
                <w:szCs w:val="20"/>
                <w:lang w:val="en-US"/>
              </w:rPr>
              <w:t xml:space="preserve">, </w:t>
            </w:r>
            <w:proofErr w:type="spellStart"/>
            <w:r w:rsidRPr="00BE3728">
              <w:rPr>
                <w:sz w:val="20"/>
                <w:szCs w:val="20"/>
                <w:lang w:val="en-US"/>
              </w:rPr>
              <w:t>ob</w:t>
            </w:r>
            <w:proofErr w:type="spellEnd"/>
            <w:r w:rsidRPr="00BE3728">
              <w:rPr>
                <w:sz w:val="20"/>
                <w:szCs w:val="20"/>
                <w:lang w:val="en-US"/>
              </w:rPr>
              <w:t xml:space="preserve"> </w:t>
            </w:r>
            <w:proofErr w:type="spellStart"/>
            <w:r w:rsidRPr="00BE3728">
              <w:rPr>
                <w:sz w:val="20"/>
                <w:szCs w:val="20"/>
                <w:lang w:val="en-US"/>
              </w:rPr>
              <w:t>ein</w:t>
            </w:r>
            <w:proofErr w:type="spellEnd"/>
            <w:r w:rsidRPr="00BE3728">
              <w:rPr>
                <w:sz w:val="20"/>
                <w:szCs w:val="20"/>
                <w:lang w:val="en-US"/>
              </w:rPr>
              <w:t xml:space="preserve"> Mensch </w:t>
            </w:r>
            <w:proofErr w:type="spellStart"/>
            <w:r w:rsidRPr="00BE3728">
              <w:rPr>
                <w:sz w:val="20"/>
                <w:szCs w:val="20"/>
                <w:lang w:val="en-US"/>
              </w:rPr>
              <w:t>nach</w:t>
            </w:r>
            <w:proofErr w:type="spellEnd"/>
            <w:r w:rsidRPr="00BE3728">
              <w:rPr>
                <w:sz w:val="20"/>
                <w:szCs w:val="20"/>
                <w:lang w:val="en-US"/>
              </w:rPr>
              <w:t xml:space="preserve"> </w:t>
            </w:r>
            <w:proofErr w:type="spellStart"/>
            <w:r w:rsidRPr="00BE3728">
              <w:rPr>
                <w:sz w:val="20"/>
                <w:szCs w:val="20"/>
                <w:lang w:val="en-US"/>
              </w:rPr>
              <w:t>Eigentum</w:t>
            </w:r>
            <w:proofErr w:type="spellEnd"/>
            <w:r w:rsidRPr="00BE3728">
              <w:rPr>
                <w:sz w:val="20"/>
                <w:szCs w:val="20"/>
                <w:lang w:val="en-US"/>
              </w:rPr>
              <w:t xml:space="preserve"> </w:t>
            </w:r>
            <w:proofErr w:type="spellStart"/>
            <w:r w:rsidRPr="00BE3728">
              <w:rPr>
                <w:sz w:val="20"/>
                <w:szCs w:val="20"/>
                <w:lang w:val="en-US"/>
              </w:rPr>
              <w:t>streben</w:t>
            </w:r>
            <w:proofErr w:type="spellEnd"/>
            <w:r w:rsidRPr="00BE3728">
              <w:rPr>
                <w:sz w:val="20"/>
                <w:szCs w:val="20"/>
                <w:lang w:val="en-US"/>
              </w:rPr>
              <w:t xml:space="preserve"> </w:t>
            </w:r>
            <w:proofErr w:type="spellStart"/>
            <w:r w:rsidRPr="00BE3728">
              <w:rPr>
                <w:sz w:val="20"/>
                <w:szCs w:val="20"/>
                <w:lang w:val="en-US"/>
              </w:rPr>
              <w:t>könne</w:t>
            </w:r>
            <w:proofErr w:type="spellEnd"/>
            <w:r w:rsidRPr="00BE3728">
              <w:rPr>
                <w:sz w:val="20"/>
                <w:szCs w:val="20"/>
                <w:lang w:val="en-US"/>
              </w:rPr>
              <w:t xml:space="preserve">, </w:t>
            </w:r>
            <w:proofErr w:type="spellStart"/>
            <w:r w:rsidRPr="00BE3728">
              <w:rPr>
                <w:sz w:val="20"/>
                <w:szCs w:val="20"/>
                <w:lang w:val="en-US"/>
              </w:rPr>
              <w:t>denn</w:t>
            </w:r>
            <w:proofErr w:type="spellEnd"/>
            <w:r w:rsidRPr="00BE3728">
              <w:rPr>
                <w:sz w:val="20"/>
                <w:szCs w:val="20"/>
                <w:lang w:val="en-US"/>
              </w:rPr>
              <w:t xml:space="preserve"> </w:t>
            </w:r>
            <w:proofErr w:type="spellStart"/>
            <w:r w:rsidRPr="00BE3728">
              <w:rPr>
                <w:sz w:val="20"/>
                <w:szCs w:val="20"/>
                <w:lang w:val="en-US"/>
              </w:rPr>
              <w:t>darauf</w:t>
            </w:r>
            <w:proofErr w:type="spellEnd"/>
            <w:r w:rsidRPr="00BE3728">
              <w:rPr>
                <w:sz w:val="20"/>
                <w:szCs w:val="20"/>
                <w:lang w:val="en-US"/>
              </w:rPr>
              <w:t xml:space="preserve"> </w:t>
            </w:r>
            <w:proofErr w:type="spellStart"/>
            <w:r w:rsidRPr="00BE3728">
              <w:rPr>
                <w:sz w:val="20"/>
                <w:szCs w:val="20"/>
                <w:lang w:val="en-US"/>
              </w:rPr>
              <w:t>gründe</w:t>
            </w:r>
            <w:r>
              <w:rPr>
                <w:sz w:val="20"/>
                <w:szCs w:val="20"/>
                <w:lang w:val="en-US"/>
              </w:rPr>
              <w:t>ten</w:t>
            </w:r>
            <w:proofErr w:type="spellEnd"/>
            <w:r w:rsidRPr="00BE3728">
              <w:rPr>
                <w:sz w:val="20"/>
                <w:szCs w:val="20"/>
                <w:lang w:val="en-US"/>
              </w:rPr>
              <w:t xml:space="preserve"> sein </w:t>
            </w:r>
            <w:proofErr w:type="spellStart"/>
            <w:r w:rsidRPr="00BE3728">
              <w:rPr>
                <w:sz w:val="20"/>
                <w:szCs w:val="20"/>
                <w:lang w:val="en-US"/>
              </w:rPr>
              <w:t>materielles</w:t>
            </w:r>
            <w:proofErr w:type="spellEnd"/>
            <w:r w:rsidRPr="00BE3728">
              <w:rPr>
                <w:sz w:val="20"/>
                <w:szCs w:val="20"/>
                <w:lang w:val="en-US"/>
              </w:rPr>
              <w:t xml:space="preserve"> Glück und seine Sicherheit, die </w:t>
            </w:r>
            <w:proofErr w:type="spellStart"/>
            <w:r w:rsidRPr="00BE3728">
              <w:rPr>
                <w:sz w:val="20"/>
                <w:szCs w:val="20"/>
                <w:lang w:val="en-US"/>
              </w:rPr>
              <w:t>ebenso</w:t>
            </w:r>
            <w:proofErr w:type="spellEnd"/>
            <w:r w:rsidRPr="00BE3728">
              <w:rPr>
                <w:sz w:val="20"/>
                <w:szCs w:val="20"/>
                <w:lang w:val="en-US"/>
              </w:rPr>
              <w:t xml:space="preserve"> für Glück </w:t>
            </w:r>
            <w:proofErr w:type="spellStart"/>
            <w:r w:rsidRPr="00BE3728">
              <w:rPr>
                <w:sz w:val="20"/>
                <w:szCs w:val="20"/>
                <w:lang w:val="en-US"/>
              </w:rPr>
              <w:t>wesentlich</w:t>
            </w:r>
            <w:proofErr w:type="spellEnd"/>
            <w:r w:rsidRPr="00BE3728">
              <w:rPr>
                <w:sz w:val="20"/>
                <w:szCs w:val="20"/>
                <w:lang w:val="en-US"/>
              </w:rPr>
              <w:t xml:space="preserve"> sei („if a man is to hold all that he is accustomed to call his own, all in which he has placed his happiness and the security of which is essential to that happiness, under the unlimited dominion of others, whether it is not wiser that this power should be exercised by one man than by </w:t>
            </w:r>
            <w:proofErr w:type="gramStart"/>
            <w:r w:rsidRPr="00BE3728">
              <w:rPr>
                <w:sz w:val="20"/>
                <w:szCs w:val="20"/>
                <w:lang w:val="en-US"/>
              </w:rPr>
              <w:t>many“</w:t>
            </w:r>
            <w:proofErr w:type="gramEnd"/>
            <w:r w:rsidRPr="00BE3728">
              <w:rPr>
                <w:rStyle w:val="Funotenzeichen"/>
                <w:sz w:val="20"/>
                <w:szCs w:val="20"/>
                <w:lang w:val="en-US"/>
              </w:rPr>
              <w:footnoteReference w:id="2137"/>
            </w:r>
            <w:r w:rsidRPr="00BE3728">
              <w:rPr>
                <w:sz w:val="20"/>
                <w:szCs w:val="20"/>
                <w:lang w:val="en-US"/>
              </w:rPr>
              <w:t>).</w:t>
            </w:r>
          </w:p>
          <w:p w14:paraId="15C7CE8A" w14:textId="6F20A126" w:rsidR="0056095C" w:rsidRPr="00C219EF" w:rsidRDefault="0056095C" w:rsidP="00367133">
            <w:pPr>
              <w:jc w:val="both"/>
              <w:rPr>
                <w:sz w:val="20"/>
                <w:szCs w:val="20"/>
                <w:lang w:val="en-US"/>
              </w:rPr>
            </w:pPr>
          </w:p>
        </w:tc>
      </w:tr>
      <w:tr w:rsidR="00074551" w:rsidRPr="00C219EF" w14:paraId="1DC5C7C5" w14:textId="77777777" w:rsidTr="00203768">
        <w:trPr>
          <w:cantSplit/>
          <w:trHeight w:val="3175"/>
        </w:trPr>
        <w:tc>
          <w:tcPr>
            <w:tcW w:w="293" w:type="pct"/>
            <w:shd w:val="clear" w:color="auto" w:fill="E7E6E6" w:themeFill="background2"/>
          </w:tcPr>
          <w:p w14:paraId="39F48998" w14:textId="77777777" w:rsidR="00074551" w:rsidRPr="00C219EF" w:rsidRDefault="00074551" w:rsidP="00367133">
            <w:pPr>
              <w:ind w:right="416"/>
              <w:jc w:val="center"/>
              <w:rPr>
                <w:sz w:val="20"/>
                <w:szCs w:val="20"/>
                <w:lang w:val="en-US"/>
              </w:rPr>
            </w:pPr>
            <w:r w:rsidRPr="00BE3728">
              <w:rPr>
                <w:sz w:val="20"/>
                <w:szCs w:val="20"/>
                <w:lang w:val="en-US"/>
              </w:rPr>
              <w:lastRenderedPageBreak/>
              <w:t>H</w:t>
            </w:r>
          </w:p>
        </w:tc>
        <w:tc>
          <w:tcPr>
            <w:tcW w:w="387" w:type="pct"/>
            <w:shd w:val="clear" w:color="auto" w:fill="E7E6E6" w:themeFill="background2"/>
            <w:textDirection w:val="tbRl"/>
            <w:vAlign w:val="center"/>
          </w:tcPr>
          <w:p w14:paraId="754F612F" w14:textId="77777777" w:rsidR="00074551" w:rsidRPr="00C219EF" w:rsidRDefault="00074551" w:rsidP="00367133">
            <w:pPr>
              <w:ind w:left="113" w:right="416"/>
              <w:jc w:val="both"/>
              <w:rPr>
                <w:sz w:val="20"/>
                <w:szCs w:val="20"/>
                <w:lang w:val="en-US"/>
              </w:rPr>
            </w:pPr>
            <w:r w:rsidRPr="00BE3728">
              <w:rPr>
                <w:sz w:val="20"/>
                <w:szCs w:val="20"/>
              </w:rPr>
              <w:t>Rechtsstaatliche Seite</w:t>
            </w:r>
          </w:p>
        </w:tc>
        <w:tc>
          <w:tcPr>
            <w:tcW w:w="197" w:type="pct"/>
            <w:shd w:val="clear" w:color="auto" w:fill="E7E6E6" w:themeFill="background2"/>
            <w:textDirection w:val="tbRl"/>
            <w:vAlign w:val="center"/>
          </w:tcPr>
          <w:p w14:paraId="01504788" w14:textId="77777777" w:rsidR="00074551" w:rsidRPr="00E50B51" w:rsidRDefault="00074551" w:rsidP="00367133">
            <w:pPr>
              <w:ind w:left="113" w:right="113"/>
              <w:jc w:val="both"/>
              <w:rPr>
                <w:sz w:val="20"/>
                <w:szCs w:val="20"/>
                <w:lang w:val="en-US"/>
              </w:rPr>
            </w:pPr>
            <w:r>
              <w:rPr>
                <w:sz w:val="20"/>
                <w:szCs w:val="20"/>
                <w:lang w:val="en-US"/>
              </w:rPr>
              <w:t>Procedural Due Process</w:t>
            </w:r>
          </w:p>
        </w:tc>
        <w:tc>
          <w:tcPr>
            <w:tcW w:w="306" w:type="pct"/>
            <w:shd w:val="clear" w:color="auto" w:fill="E7E6E6" w:themeFill="background2"/>
            <w:textDirection w:val="tbRl"/>
            <w:vAlign w:val="center"/>
          </w:tcPr>
          <w:p w14:paraId="7FD4DED4" w14:textId="77777777" w:rsidR="00074551" w:rsidRPr="00C219EF" w:rsidRDefault="00074551" w:rsidP="00367133">
            <w:pPr>
              <w:ind w:left="113" w:right="113"/>
              <w:jc w:val="both"/>
              <w:rPr>
                <w:sz w:val="20"/>
                <w:szCs w:val="20"/>
                <w:lang w:val="en-US"/>
              </w:rPr>
            </w:pPr>
            <w:r w:rsidRPr="00BE3728">
              <w:rPr>
                <w:sz w:val="20"/>
                <w:szCs w:val="20"/>
                <w:lang w:val="en-US"/>
              </w:rPr>
              <w:t>Civil Procedure</w:t>
            </w:r>
          </w:p>
        </w:tc>
        <w:tc>
          <w:tcPr>
            <w:tcW w:w="401" w:type="pct"/>
            <w:shd w:val="clear" w:color="auto" w:fill="E7E6E6" w:themeFill="background2"/>
            <w:textDirection w:val="tbRl"/>
          </w:tcPr>
          <w:p w14:paraId="24757496" w14:textId="77777777" w:rsidR="00074551" w:rsidRDefault="00074551" w:rsidP="00367133">
            <w:pPr>
              <w:ind w:left="113" w:right="113"/>
              <w:rPr>
                <w:sz w:val="20"/>
                <w:szCs w:val="20"/>
                <w:lang w:val="en-US"/>
              </w:rPr>
            </w:pPr>
          </w:p>
          <w:p w14:paraId="49067063" w14:textId="77777777" w:rsidR="00074551" w:rsidRPr="00C219EF" w:rsidRDefault="00074551" w:rsidP="00367133">
            <w:pPr>
              <w:ind w:left="113" w:right="113"/>
              <w:rPr>
                <w:iCs/>
                <w:sz w:val="20"/>
                <w:szCs w:val="20"/>
                <w:lang w:val="en-US"/>
              </w:rPr>
            </w:pPr>
            <w:r w:rsidRPr="00BE3728">
              <w:rPr>
                <w:sz w:val="20"/>
                <w:szCs w:val="20"/>
                <w:lang w:val="en-US"/>
              </w:rPr>
              <w:t>Constitutional Sources</w:t>
            </w:r>
          </w:p>
        </w:tc>
        <w:tc>
          <w:tcPr>
            <w:tcW w:w="1594" w:type="pct"/>
            <w:shd w:val="clear" w:color="auto" w:fill="E7E6E6" w:themeFill="background2"/>
            <w:vAlign w:val="center"/>
          </w:tcPr>
          <w:p w14:paraId="17127443" w14:textId="77777777" w:rsidR="00074551" w:rsidRPr="00C219EF" w:rsidRDefault="00074551" w:rsidP="00367133">
            <w:pPr>
              <w:jc w:val="both"/>
              <w:rPr>
                <w:sz w:val="20"/>
                <w:szCs w:val="20"/>
                <w:lang w:val="en-US"/>
              </w:rPr>
            </w:pPr>
          </w:p>
        </w:tc>
        <w:tc>
          <w:tcPr>
            <w:tcW w:w="1822" w:type="pct"/>
            <w:shd w:val="clear" w:color="auto" w:fill="E7E6E6" w:themeFill="background2"/>
          </w:tcPr>
          <w:p w14:paraId="3A02F034" w14:textId="51D31E39" w:rsidR="00074551" w:rsidRPr="00C219EF" w:rsidRDefault="00203768" w:rsidP="00203768">
            <w:pPr>
              <w:rPr>
                <w:sz w:val="20"/>
                <w:szCs w:val="20"/>
                <w:lang w:val="en-US"/>
              </w:rPr>
            </w:pPr>
            <w:r w:rsidRPr="00A15DB3">
              <w:rPr>
                <w:i/>
                <w:iCs/>
                <w:sz w:val="16"/>
                <w:szCs w:val="16"/>
              </w:rPr>
              <w:t>Thematische Gliederung der nachfolgenden Entscheidungen ↓</w:t>
            </w:r>
          </w:p>
        </w:tc>
      </w:tr>
      <w:tr w:rsidR="00074551" w:rsidRPr="00C219EF" w14:paraId="63EA1BFE" w14:textId="77777777" w:rsidTr="00BE689F">
        <w:trPr>
          <w:cantSplit/>
          <w:trHeight w:val="3175"/>
        </w:trPr>
        <w:tc>
          <w:tcPr>
            <w:tcW w:w="293" w:type="pct"/>
          </w:tcPr>
          <w:p w14:paraId="478D91FB" w14:textId="77777777" w:rsidR="00074551" w:rsidRPr="00C219EF" w:rsidRDefault="00074551" w:rsidP="00367133">
            <w:pPr>
              <w:ind w:right="416"/>
              <w:jc w:val="center"/>
              <w:rPr>
                <w:sz w:val="20"/>
                <w:szCs w:val="20"/>
                <w:lang w:val="en-US"/>
              </w:rPr>
            </w:pPr>
            <w:r w:rsidRPr="00BE3728">
              <w:rPr>
                <w:sz w:val="20"/>
                <w:szCs w:val="20"/>
                <w:lang w:val="en-US"/>
              </w:rPr>
              <w:lastRenderedPageBreak/>
              <w:t>H</w:t>
            </w:r>
          </w:p>
        </w:tc>
        <w:tc>
          <w:tcPr>
            <w:tcW w:w="387" w:type="pct"/>
            <w:textDirection w:val="tbRl"/>
            <w:vAlign w:val="center"/>
          </w:tcPr>
          <w:p w14:paraId="1D26139E" w14:textId="77777777" w:rsidR="00074551" w:rsidRPr="00C219EF" w:rsidRDefault="00074551" w:rsidP="00367133">
            <w:pPr>
              <w:ind w:left="113" w:right="416"/>
              <w:jc w:val="both"/>
              <w:rPr>
                <w:sz w:val="20"/>
                <w:szCs w:val="20"/>
                <w:lang w:val="en-US"/>
              </w:rPr>
            </w:pPr>
            <w:r w:rsidRPr="00AB01D2">
              <w:rPr>
                <w:i/>
                <w:sz w:val="20"/>
                <w:szCs w:val="20"/>
                <w:lang w:val="en-US"/>
              </w:rPr>
              <w:t>Marshall v. Baltimore &amp; Ohio R.R.</w:t>
            </w:r>
          </w:p>
        </w:tc>
        <w:tc>
          <w:tcPr>
            <w:tcW w:w="197" w:type="pct"/>
            <w:textDirection w:val="tbRl"/>
            <w:vAlign w:val="center"/>
          </w:tcPr>
          <w:p w14:paraId="58CB482C" w14:textId="77777777" w:rsidR="00074551" w:rsidRPr="00E50B51" w:rsidRDefault="00074551" w:rsidP="00367133">
            <w:pPr>
              <w:ind w:left="113" w:right="113"/>
              <w:jc w:val="both"/>
              <w:rPr>
                <w:sz w:val="20"/>
                <w:szCs w:val="20"/>
                <w:lang w:val="en-US"/>
              </w:rPr>
            </w:pPr>
            <w:r w:rsidRPr="00BE3728">
              <w:rPr>
                <w:sz w:val="20"/>
                <w:szCs w:val="20"/>
              </w:rPr>
              <w:t>57 U.S. 314</w:t>
            </w:r>
          </w:p>
        </w:tc>
        <w:tc>
          <w:tcPr>
            <w:tcW w:w="306" w:type="pct"/>
            <w:textDirection w:val="tbRl"/>
            <w:vAlign w:val="center"/>
          </w:tcPr>
          <w:p w14:paraId="099CAD88" w14:textId="77777777" w:rsidR="00074551" w:rsidRPr="00C219EF" w:rsidRDefault="00074551" w:rsidP="00367133">
            <w:pPr>
              <w:ind w:left="113" w:right="113"/>
              <w:jc w:val="both"/>
              <w:rPr>
                <w:sz w:val="20"/>
                <w:szCs w:val="20"/>
                <w:lang w:val="en-US"/>
              </w:rPr>
            </w:pPr>
            <w:r w:rsidRPr="00BE3728">
              <w:rPr>
                <w:sz w:val="20"/>
                <w:szCs w:val="20"/>
              </w:rPr>
              <w:t>08. Mai 1854</w:t>
            </w:r>
          </w:p>
        </w:tc>
        <w:tc>
          <w:tcPr>
            <w:tcW w:w="401" w:type="pct"/>
          </w:tcPr>
          <w:p w14:paraId="5ABA034F" w14:textId="77777777" w:rsidR="00074551" w:rsidRPr="00C219EF" w:rsidRDefault="00074551" w:rsidP="00367133">
            <w:pPr>
              <w:jc w:val="center"/>
              <w:rPr>
                <w:iCs/>
                <w:sz w:val="20"/>
                <w:szCs w:val="20"/>
                <w:lang w:val="en-US"/>
              </w:rPr>
            </w:pPr>
            <w:r w:rsidRPr="00BE3728">
              <w:rPr>
                <w:sz w:val="20"/>
                <w:szCs w:val="20"/>
                <w:lang w:val="en-US"/>
              </w:rPr>
              <w:t>D</w:t>
            </w:r>
          </w:p>
        </w:tc>
        <w:tc>
          <w:tcPr>
            <w:tcW w:w="1594" w:type="pct"/>
          </w:tcPr>
          <w:p w14:paraId="2D1DE3CA" w14:textId="77777777" w:rsidR="00074551" w:rsidRPr="00BE3728" w:rsidRDefault="00074551" w:rsidP="00367133">
            <w:pPr>
              <w:jc w:val="both"/>
              <w:rPr>
                <w:sz w:val="20"/>
                <w:szCs w:val="20"/>
              </w:rPr>
            </w:pPr>
            <w:r w:rsidRPr="00BE3728">
              <w:rPr>
                <w:sz w:val="20"/>
                <w:szCs w:val="20"/>
              </w:rPr>
              <w:t>Der Kläger begehrte, einen Vertrag durchzusetzen. Der Vertragsinhalt umfasste insbesondere</w:t>
            </w:r>
            <w:r>
              <w:rPr>
                <w:sz w:val="20"/>
                <w:szCs w:val="20"/>
              </w:rPr>
              <w:t xml:space="preserve"> eine Beeinflussung der</w:t>
            </w:r>
            <w:r w:rsidRPr="00BE3728">
              <w:rPr>
                <w:sz w:val="20"/>
                <w:szCs w:val="20"/>
              </w:rPr>
              <w:t xml:space="preserve"> bundesstaatliche</w:t>
            </w:r>
            <w:r>
              <w:rPr>
                <w:sz w:val="20"/>
                <w:szCs w:val="20"/>
              </w:rPr>
              <w:t>n</w:t>
            </w:r>
            <w:r w:rsidRPr="00BE3728">
              <w:rPr>
                <w:sz w:val="20"/>
                <w:szCs w:val="20"/>
              </w:rPr>
              <w:t xml:space="preserve"> Legislative </w:t>
            </w:r>
            <w:r>
              <w:rPr>
                <w:sz w:val="20"/>
                <w:szCs w:val="20"/>
              </w:rPr>
              <w:t>durch den Kläger</w:t>
            </w:r>
            <w:r w:rsidRPr="00BE3728">
              <w:rPr>
                <w:sz w:val="20"/>
                <w:szCs w:val="20"/>
              </w:rPr>
              <w:t>, um ein Gesetz i</w:t>
            </w:r>
            <w:r>
              <w:rPr>
                <w:sz w:val="20"/>
                <w:szCs w:val="20"/>
              </w:rPr>
              <w:t>m</w:t>
            </w:r>
            <w:r w:rsidRPr="00BE3728">
              <w:rPr>
                <w:sz w:val="20"/>
                <w:szCs w:val="20"/>
              </w:rPr>
              <w:t xml:space="preserve"> Interesse</w:t>
            </w:r>
            <w:r>
              <w:rPr>
                <w:sz w:val="20"/>
                <w:szCs w:val="20"/>
              </w:rPr>
              <w:t xml:space="preserve"> des Beklagten</w:t>
            </w:r>
            <w:r w:rsidRPr="00BE3728">
              <w:rPr>
                <w:sz w:val="20"/>
                <w:szCs w:val="20"/>
              </w:rPr>
              <w:t xml:space="preserve"> zu erwirken. Aber ein solcher Vertrag verstieß</w:t>
            </w:r>
            <w:r>
              <w:rPr>
                <w:sz w:val="20"/>
                <w:szCs w:val="20"/>
              </w:rPr>
              <w:t xml:space="preserve"> laut U.S. Supreme Court</w:t>
            </w:r>
            <w:r w:rsidRPr="00BE3728">
              <w:rPr>
                <w:sz w:val="20"/>
                <w:szCs w:val="20"/>
              </w:rPr>
              <w:t xml:space="preserve"> gegen die öffentliche Ordnung. Denn ein Bundesstaat habe Anspruch auf eine unvoreingenommene Legislative</w:t>
            </w:r>
            <w:r>
              <w:rPr>
                <w:sz w:val="20"/>
                <w:szCs w:val="20"/>
              </w:rPr>
              <w:t xml:space="preserve"> u</w:t>
            </w:r>
            <w:r w:rsidRPr="00BE3728">
              <w:rPr>
                <w:sz w:val="20"/>
                <w:szCs w:val="20"/>
              </w:rPr>
              <w:t xml:space="preserve">nd der Vertrag gefährde die Unparteilichkeit der Legislative. Er </w:t>
            </w:r>
            <w:r>
              <w:rPr>
                <w:sz w:val="20"/>
                <w:szCs w:val="20"/>
              </w:rPr>
              <w:t>sei daher</w:t>
            </w:r>
            <w:r w:rsidRPr="00BE3728">
              <w:rPr>
                <w:sz w:val="20"/>
                <w:szCs w:val="20"/>
              </w:rPr>
              <w:t xml:space="preserve"> zwischen Kläger und Beklagtem</w:t>
            </w:r>
            <w:r>
              <w:rPr>
                <w:sz w:val="20"/>
                <w:szCs w:val="20"/>
              </w:rPr>
              <w:t xml:space="preserve"> </w:t>
            </w:r>
            <w:r w:rsidRPr="00BE3728">
              <w:rPr>
                <w:sz w:val="20"/>
                <w:szCs w:val="20"/>
              </w:rPr>
              <w:t>undurchsetzbar.</w:t>
            </w:r>
            <w:r w:rsidRPr="00BE3728">
              <w:rPr>
                <w:rStyle w:val="Funotenzeichen"/>
                <w:sz w:val="20"/>
                <w:szCs w:val="20"/>
              </w:rPr>
              <w:footnoteReference w:id="2138"/>
            </w:r>
          </w:p>
          <w:p w14:paraId="6EB87A0C" w14:textId="77777777" w:rsidR="00074551" w:rsidRPr="00036F94" w:rsidRDefault="00074551" w:rsidP="00367133">
            <w:pPr>
              <w:jc w:val="both"/>
              <w:rPr>
                <w:sz w:val="20"/>
                <w:szCs w:val="20"/>
              </w:rPr>
            </w:pPr>
          </w:p>
        </w:tc>
        <w:tc>
          <w:tcPr>
            <w:tcW w:w="1822" w:type="pct"/>
          </w:tcPr>
          <w:p w14:paraId="362F0B02" w14:textId="77777777" w:rsidR="00074551" w:rsidRPr="00B45592" w:rsidRDefault="00074551" w:rsidP="00367133">
            <w:pPr>
              <w:jc w:val="both"/>
              <w:rPr>
                <w:i/>
                <w:sz w:val="20"/>
                <w:szCs w:val="20"/>
              </w:rPr>
            </w:pPr>
            <w:r w:rsidRPr="00B45592">
              <w:rPr>
                <w:i/>
                <w:sz w:val="20"/>
                <w:szCs w:val="20"/>
              </w:rPr>
              <w:t xml:space="preserve">LexisNexis-Klassifikation: </w:t>
            </w:r>
            <w:proofErr w:type="spellStart"/>
            <w:r w:rsidRPr="00B45592">
              <w:rPr>
                <w:i/>
                <w:sz w:val="20"/>
                <w:szCs w:val="20"/>
              </w:rPr>
              <w:t>Civil</w:t>
            </w:r>
            <w:proofErr w:type="spellEnd"/>
            <w:r w:rsidRPr="00B45592">
              <w:rPr>
                <w:i/>
                <w:sz w:val="20"/>
                <w:szCs w:val="20"/>
              </w:rPr>
              <w:t xml:space="preserve"> </w:t>
            </w:r>
            <w:proofErr w:type="spellStart"/>
            <w:r w:rsidRPr="00B45592">
              <w:rPr>
                <w:i/>
                <w:sz w:val="20"/>
                <w:szCs w:val="20"/>
              </w:rPr>
              <w:t>Procedure</w:t>
            </w:r>
            <w:proofErr w:type="spellEnd"/>
            <w:r w:rsidRPr="00B45592">
              <w:rPr>
                <w:i/>
                <w:sz w:val="20"/>
                <w:szCs w:val="20"/>
              </w:rPr>
              <w:t xml:space="preserve"> › </w:t>
            </w:r>
            <w:proofErr w:type="spellStart"/>
            <w:r w:rsidRPr="00B45592">
              <w:rPr>
                <w:i/>
                <w:sz w:val="20"/>
                <w:szCs w:val="20"/>
              </w:rPr>
              <w:t>Jurisdiction</w:t>
            </w:r>
            <w:proofErr w:type="spellEnd"/>
            <w:r w:rsidRPr="00B45592">
              <w:rPr>
                <w:i/>
                <w:sz w:val="20"/>
                <w:szCs w:val="20"/>
              </w:rPr>
              <w:t xml:space="preserve"> › </w:t>
            </w:r>
            <w:proofErr w:type="spellStart"/>
            <w:r w:rsidRPr="00B45592">
              <w:rPr>
                <w:i/>
                <w:sz w:val="20"/>
                <w:szCs w:val="20"/>
              </w:rPr>
              <w:t>Jurisdictional</w:t>
            </w:r>
            <w:proofErr w:type="spellEnd"/>
            <w:r w:rsidRPr="00B45592">
              <w:rPr>
                <w:i/>
                <w:sz w:val="20"/>
                <w:szCs w:val="20"/>
              </w:rPr>
              <w:t xml:space="preserve"> Sources › Constitutional Sources</w:t>
            </w:r>
          </w:p>
          <w:p w14:paraId="45C60DBD" w14:textId="77777777" w:rsidR="00074551" w:rsidRPr="00B45592" w:rsidRDefault="00074551" w:rsidP="00367133">
            <w:pPr>
              <w:jc w:val="both"/>
              <w:rPr>
                <w:sz w:val="20"/>
                <w:szCs w:val="20"/>
              </w:rPr>
            </w:pPr>
          </w:p>
          <w:p w14:paraId="5A09E679" w14:textId="77777777" w:rsidR="00074551" w:rsidRDefault="00074551" w:rsidP="00367133">
            <w:pPr>
              <w:jc w:val="both"/>
              <w:rPr>
                <w:sz w:val="20"/>
                <w:szCs w:val="20"/>
              </w:rPr>
            </w:pPr>
            <w:r w:rsidRPr="00BE3728">
              <w:rPr>
                <w:sz w:val="20"/>
                <w:szCs w:val="20"/>
              </w:rPr>
              <w:t xml:space="preserve">Es gibt keine Fälle, in denen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00BE3728">
              <w:rPr>
                <w:sz w:val="20"/>
                <w:szCs w:val="20"/>
              </w:rPr>
              <w:t xml:space="preserve"> derart notwendig für den Rechtsfrieden sei, wie die, wo rückwirkend eine Gerichtszuständigkeit anders begründet würde. Selbst wenn dies, wie in </w:t>
            </w:r>
            <w:r w:rsidRPr="5B67C1D2">
              <w:rPr>
                <w:i/>
                <w:iCs/>
                <w:sz w:val="20"/>
                <w:szCs w:val="20"/>
              </w:rPr>
              <w:t>Bank of the United States v. Deveaux</w:t>
            </w:r>
            <w:r w:rsidRPr="00BE3728">
              <w:rPr>
                <w:rStyle w:val="Funotenzeichen"/>
                <w:sz w:val="20"/>
                <w:szCs w:val="20"/>
              </w:rPr>
              <w:footnoteReference w:id="2139"/>
            </w:r>
            <w:r w:rsidRPr="00BE3728">
              <w:rPr>
                <w:sz w:val="20"/>
                <w:szCs w:val="20"/>
              </w:rPr>
              <w:t xml:space="preserve"> bekräftigt, nicht willkürlich sei.</w:t>
            </w:r>
            <w:r w:rsidRPr="00BE3728">
              <w:rPr>
                <w:rStyle w:val="Funotenzeichen"/>
                <w:sz w:val="20"/>
                <w:szCs w:val="20"/>
              </w:rPr>
              <w:footnoteReference w:id="2140"/>
            </w:r>
          </w:p>
          <w:p w14:paraId="48DB8F7E" w14:textId="77777777" w:rsidR="00074551" w:rsidRDefault="00074551" w:rsidP="00367133">
            <w:pPr>
              <w:jc w:val="both"/>
              <w:rPr>
                <w:sz w:val="20"/>
                <w:szCs w:val="20"/>
              </w:rPr>
            </w:pPr>
          </w:p>
          <w:p w14:paraId="2A1C9EF4" w14:textId="3D06571E" w:rsidR="00074551" w:rsidRDefault="00074551" w:rsidP="00367133">
            <w:pPr>
              <w:jc w:val="both"/>
              <w:rPr>
                <w:sz w:val="20"/>
                <w:szCs w:val="20"/>
                <w:lang w:val="en-US"/>
              </w:rPr>
            </w:pPr>
            <w:r w:rsidRPr="00BE3728">
              <w:rPr>
                <w:sz w:val="20"/>
                <w:szCs w:val="20"/>
              </w:rPr>
              <w:t xml:space="preserve">Doch woher kommt der Grundsatz der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00BE3728">
              <w:rPr>
                <w:sz w:val="20"/>
                <w:szCs w:val="20"/>
              </w:rPr>
              <w:t xml:space="preserve"> überhaupt? Das erklärt der Dissens. Gerichte wenden den Grundsatz der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00BE3728">
              <w:rPr>
                <w:sz w:val="20"/>
                <w:szCs w:val="20"/>
              </w:rPr>
              <w:t xml:space="preserve"> an, um privaten Rechten Stabilität zu verleihen, aber auch um Schaden zu verhüten</w:t>
            </w:r>
            <w:r>
              <w:rPr>
                <w:sz w:val="20"/>
                <w:szCs w:val="20"/>
              </w:rPr>
              <w:t>,</w:t>
            </w:r>
            <w:r w:rsidRPr="00BE3728">
              <w:rPr>
                <w:sz w:val="20"/>
                <w:szCs w:val="20"/>
              </w:rPr>
              <w:t xml:space="preserve"> der durch unzureichend begründete Rechtsprechungsentwicklungen entsteh</w:t>
            </w:r>
            <w:r>
              <w:rPr>
                <w:sz w:val="20"/>
                <w:szCs w:val="20"/>
              </w:rPr>
              <w:t>t</w:t>
            </w:r>
            <w:r w:rsidRPr="00BE3728">
              <w:rPr>
                <w:sz w:val="20"/>
                <w:szCs w:val="20"/>
              </w:rPr>
              <w:t xml:space="preserve">. Doch </w:t>
            </w:r>
            <w:proofErr w:type="spellStart"/>
            <w:r w:rsidRPr="5B67C1D2">
              <w:rPr>
                <w:i/>
                <w:iCs/>
                <w:sz w:val="20"/>
                <w:szCs w:val="20"/>
              </w:rPr>
              <w:t>stare</w:t>
            </w:r>
            <w:proofErr w:type="spellEnd"/>
            <w:r w:rsidRPr="5B67C1D2">
              <w:rPr>
                <w:i/>
                <w:iCs/>
                <w:sz w:val="20"/>
                <w:szCs w:val="20"/>
              </w:rPr>
              <w:t xml:space="preserve"> </w:t>
            </w:r>
            <w:proofErr w:type="spellStart"/>
            <w:r w:rsidRPr="5B67C1D2">
              <w:rPr>
                <w:i/>
                <w:iCs/>
                <w:sz w:val="20"/>
                <w:szCs w:val="20"/>
              </w:rPr>
              <w:t>decisis</w:t>
            </w:r>
            <w:proofErr w:type="spellEnd"/>
            <w:r w:rsidRPr="00BE3728">
              <w:rPr>
                <w:sz w:val="20"/>
                <w:szCs w:val="20"/>
              </w:rPr>
              <w:t xml:space="preserve"> hat Grenzen: Wenn sie zu Willkür führe oder missbraucht w</w:t>
            </w:r>
            <w:r>
              <w:rPr>
                <w:sz w:val="20"/>
                <w:szCs w:val="20"/>
              </w:rPr>
              <w:t>e</w:t>
            </w:r>
            <w:r w:rsidRPr="00BE3728">
              <w:rPr>
                <w:sz w:val="20"/>
                <w:szCs w:val="20"/>
              </w:rPr>
              <w:t>rde. Denn dies verstoße gegen das Gerechtigkeitsprinzip, d</w:t>
            </w:r>
            <w:r w:rsidR="00880E21">
              <w:rPr>
                <w:sz w:val="20"/>
                <w:szCs w:val="20"/>
              </w:rPr>
              <w:t xml:space="preserve">en </w:t>
            </w:r>
            <w:r w:rsidRPr="00BE3728">
              <w:rPr>
                <w:sz w:val="20"/>
                <w:szCs w:val="20"/>
              </w:rPr>
              <w:t>sozial</w:t>
            </w:r>
            <w:r w:rsidR="00880E21">
              <w:rPr>
                <w:sz w:val="20"/>
                <w:szCs w:val="20"/>
              </w:rPr>
              <w:t>en Fortschritt</w:t>
            </w:r>
            <w:r w:rsidRPr="00BE3728">
              <w:rPr>
                <w:sz w:val="20"/>
                <w:szCs w:val="20"/>
              </w:rPr>
              <w:t xml:space="preserve"> und das Glück als Ziel staatlichen Handelns („Such an </w:t>
            </w:r>
            <w:proofErr w:type="spellStart"/>
            <w:r w:rsidRPr="00BE3728">
              <w:rPr>
                <w:sz w:val="20"/>
                <w:szCs w:val="20"/>
              </w:rPr>
              <w:t>application</w:t>
            </w:r>
            <w:proofErr w:type="spellEnd"/>
            <w:r w:rsidRPr="00BE3728">
              <w:rPr>
                <w:sz w:val="20"/>
                <w:szCs w:val="20"/>
              </w:rPr>
              <w:t xml:space="preserve"> of </w:t>
            </w:r>
            <w:proofErr w:type="spellStart"/>
            <w:r w:rsidRPr="00BE3728">
              <w:rPr>
                <w:sz w:val="20"/>
                <w:szCs w:val="20"/>
              </w:rPr>
              <w:t>this</w:t>
            </w:r>
            <w:proofErr w:type="spellEnd"/>
            <w:r w:rsidRPr="00BE3728">
              <w:rPr>
                <w:sz w:val="20"/>
                <w:szCs w:val="20"/>
              </w:rPr>
              <w:t xml:space="preserve"> </w:t>
            </w:r>
            <w:proofErr w:type="spellStart"/>
            <w:r w:rsidRPr="00BE3728">
              <w:rPr>
                <w:sz w:val="20"/>
                <w:szCs w:val="20"/>
              </w:rPr>
              <w:t>rule</w:t>
            </w:r>
            <w:proofErr w:type="spellEnd"/>
            <w:r w:rsidRPr="00BE3728">
              <w:rPr>
                <w:sz w:val="20"/>
                <w:szCs w:val="20"/>
              </w:rPr>
              <w:t xml:space="preserve"> </w:t>
            </w:r>
            <w:proofErr w:type="spellStart"/>
            <w:r w:rsidRPr="00BE3728">
              <w:rPr>
                <w:sz w:val="20"/>
                <w:szCs w:val="20"/>
              </w:rPr>
              <w:t>must</w:t>
            </w:r>
            <w:proofErr w:type="spellEnd"/>
            <w:r w:rsidRPr="00BE3728">
              <w:rPr>
                <w:sz w:val="20"/>
                <w:szCs w:val="20"/>
              </w:rPr>
              <w:t xml:space="preserve"> </w:t>
            </w:r>
            <w:proofErr w:type="spellStart"/>
            <w:r w:rsidRPr="00BE3728">
              <w:rPr>
                <w:sz w:val="20"/>
                <w:szCs w:val="20"/>
              </w:rPr>
              <w:t>be</w:t>
            </w:r>
            <w:proofErr w:type="spellEnd"/>
            <w:r w:rsidRPr="00BE3728">
              <w:rPr>
                <w:sz w:val="20"/>
                <w:szCs w:val="20"/>
              </w:rPr>
              <w:t xml:space="preserve"> </w:t>
            </w:r>
            <w:proofErr w:type="spellStart"/>
            <w:r w:rsidRPr="00BE3728">
              <w:rPr>
                <w:sz w:val="20"/>
                <w:szCs w:val="20"/>
              </w:rPr>
              <w:t>necessarily</w:t>
            </w:r>
            <w:proofErr w:type="spellEnd"/>
            <w:r w:rsidRPr="00BE3728">
              <w:rPr>
                <w:sz w:val="20"/>
                <w:szCs w:val="20"/>
              </w:rPr>
              <w:t xml:space="preserve"> to </w:t>
            </w:r>
            <w:proofErr w:type="spellStart"/>
            <w:r w:rsidRPr="00BE3728">
              <w:rPr>
                <w:sz w:val="20"/>
                <w:szCs w:val="20"/>
              </w:rPr>
              <w:t>rivet</w:t>
            </w:r>
            <w:proofErr w:type="spellEnd"/>
            <w:r w:rsidRPr="00BE3728">
              <w:rPr>
                <w:sz w:val="20"/>
                <w:szCs w:val="20"/>
              </w:rPr>
              <w:t xml:space="preserve"> upon </w:t>
            </w:r>
            <w:proofErr w:type="spellStart"/>
            <w:r w:rsidRPr="00BE3728">
              <w:rPr>
                <w:sz w:val="20"/>
                <w:szCs w:val="20"/>
              </w:rPr>
              <w:t>justice</w:t>
            </w:r>
            <w:proofErr w:type="spellEnd"/>
            <w:r w:rsidRPr="00BE3728">
              <w:rPr>
                <w:sz w:val="20"/>
                <w:szCs w:val="20"/>
              </w:rPr>
              <w:t xml:space="preserve">, upon […] </w:t>
            </w:r>
            <w:proofErr w:type="spellStart"/>
            <w:r w:rsidRPr="001B6693">
              <w:rPr>
                <w:sz w:val="20"/>
                <w:szCs w:val="20"/>
              </w:rPr>
              <w:t>happiness</w:t>
            </w:r>
            <w:proofErr w:type="spellEnd"/>
            <w:r w:rsidRPr="001B6693">
              <w:rPr>
                <w:sz w:val="20"/>
                <w:szCs w:val="20"/>
              </w:rPr>
              <w:t xml:space="preserve">. </w:t>
            </w:r>
            <w:r w:rsidRPr="00BE3728">
              <w:rPr>
                <w:sz w:val="20"/>
                <w:szCs w:val="20"/>
                <w:lang w:val="en-US"/>
              </w:rPr>
              <w:t>It is a rule […] having its origin in the regular and legitimate powers of those who assert it.”</w:t>
            </w:r>
            <w:r w:rsidRPr="00BE3728">
              <w:rPr>
                <w:rStyle w:val="Funotenzeichen"/>
                <w:sz w:val="20"/>
                <w:szCs w:val="20"/>
                <w:lang w:val="en-US"/>
              </w:rPr>
              <w:footnoteReference w:id="2141"/>
            </w:r>
            <w:r w:rsidRPr="00BE3728">
              <w:rPr>
                <w:sz w:val="20"/>
                <w:szCs w:val="20"/>
                <w:lang w:val="en-US"/>
              </w:rPr>
              <w:t>)</w:t>
            </w:r>
            <w:r>
              <w:rPr>
                <w:sz w:val="20"/>
                <w:szCs w:val="20"/>
                <w:lang w:val="en-US"/>
              </w:rPr>
              <w:t>.</w:t>
            </w:r>
          </w:p>
          <w:p w14:paraId="270AC9BD" w14:textId="77777777" w:rsidR="00074551" w:rsidRPr="00C219EF" w:rsidRDefault="00074551" w:rsidP="00367133">
            <w:pPr>
              <w:jc w:val="both"/>
              <w:rPr>
                <w:sz w:val="20"/>
                <w:szCs w:val="20"/>
                <w:lang w:val="en-US"/>
              </w:rPr>
            </w:pPr>
          </w:p>
        </w:tc>
      </w:tr>
      <w:tr w:rsidR="00074551" w:rsidRPr="00C219EF" w14:paraId="5A5886B7" w14:textId="77777777" w:rsidTr="00203768">
        <w:trPr>
          <w:cantSplit/>
          <w:trHeight w:val="3175"/>
        </w:trPr>
        <w:tc>
          <w:tcPr>
            <w:tcW w:w="293" w:type="pct"/>
            <w:shd w:val="clear" w:color="auto" w:fill="E7E6E6" w:themeFill="background2"/>
          </w:tcPr>
          <w:p w14:paraId="2740D24A" w14:textId="77777777" w:rsidR="00074551" w:rsidRPr="00C219EF" w:rsidRDefault="00074551" w:rsidP="00367133">
            <w:pPr>
              <w:ind w:right="416"/>
              <w:jc w:val="center"/>
              <w:rPr>
                <w:sz w:val="20"/>
                <w:szCs w:val="20"/>
                <w:lang w:val="en-US"/>
              </w:rPr>
            </w:pPr>
            <w:r w:rsidRPr="00BE3728">
              <w:rPr>
                <w:sz w:val="20"/>
                <w:szCs w:val="20"/>
              </w:rPr>
              <w:lastRenderedPageBreak/>
              <w:t>H</w:t>
            </w:r>
          </w:p>
        </w:tc>
        <w:tc>
          <w:tcPr>
            <w:tcW w:w="387" w:type="pct"/>
            <w:shd w:val="clear" w:color="auto" w:fill="E7E6E6" w:themeFill="background2"/>
            <w:textDirection w:val="tbRl"/>
            <w:vAlign w:val="center"/>
          </w:tcPr>
          <w:p w14:paraId="7CD033C0" w14:textId="77777777" w:rsidR="00074551" w:rsidRPr="00C219EF" w:rsidRDefault="00074551" w:rsidP="00367133">
            <w:pPr>
              <w:ind w:left="113" w:right="416"/>
              <w:jc w:val="both"/>
              <w:rPr>
                <w:sz w:val="20"/>
                <w:szCs w:val="20"/>
                <w:lang w:val="en-US"/>
              </w:rPr>
            </w:pPr>
            <w:r w:rsidRPr="00BE3728">
              <w:rPr>
                <w:sz w:val="20"/>
                <w:szCs w:val="20"/>
              </w:rPr>
              <w:t>Rechtsstaatliche Seite</w:t>
            </w:r>
          </w:p>
        </w:tc>
        <w:tc>
          <w:tcPr>
            <w:tcW w:w="197" w:type="pct"/>
            <w:shd w:val="clear" w:color="auto" w:fill="E7E6E6" w:themeFill="background2"/>
            <w:textDirection w:val="tbRl"/>
            <w:vAlign w:val="center"/>
          </w:tcPr>
          <w:p w14:paraId="5A5E48E8" w14:textId="77777777" w:rsidR="00074551" w:rsidRPr="00E50B51" w:rsidRDefault="00074551" w:rsidP="00367133">
            <w:pPr>
              <w:ind w:left="113" w:right="113"/>
              <w:jc w:val="both"/>
              <w:rPr>
                <w:sz w:val="20"/>
                <w:szCs w:val="20"/>
                <w:lang w:val="en-US"/>
              </w:rPr>
            </w:pPr>
            <w:r>
              <w:rPr>
                <w:sz w:val="20"/>
                <w:szCs w:val="20"/>
                <w:lang w:val="en-US"/>
              </w:rPr>
              <w:t>Procedural Due Process</w:t>
            </w:r>
          </w:p>
        </w:tc>
        <w:tc>
          <w:tcPr>
            <w:tcW w:w="306" w:type="pct"/>
            <w:shd w:val="clear" w:color="auto" w:fill="E7E6E6" w:themeFill="background2"/>
            <w:textDirection w:val="tbRl"/>
            <w:vAlign w:val="center"/>
          </w:tcPr>
          <w:p w14:paraId="6E1FC55E" w14:textId="77777777" w:rsidR="00074551" w:rsidRPr="00C219EF" w:rsidRDefault="00074551" w:rsidP="00367133">
            <w:pPr>
              <w:ind w:left="113" w:right="113"/>
              <w:jc w:val="both"/>
              <w:rPr>
                <w:sz w:val="20"/>
                <w:szCs w:val="20"/>
                <w:lang w:val="en-US"/>
              </w:rPr>
            </w:pPr>
            <w:r w:rsidRPr="00BE3728">
              <w:rPr>
                <w:sz w:val="20"/>
                <w:szCs w:val="20"/>
                <w:lang w:val="en-US"/>
              </w:rPr>
              <w:t>Civil Procedure</w:t>
            </w:r>
          </w:p>
        </w:tc>
        <w:tc>
          <w:tcPr>
            <w:tcW w:w="401" w:type="pct"/>
            <w:shd w:val="clear" w:color="auto" w:fill="E7E6E6" w:themeFill="background2"/>
            <w:textDirection w:val="tbRl"/>
          </w:tcPr>
          <w:p w14:paraId="53E3A63A" w14:textId="77777777" w:rsidR="00074551" w:rsidRDefault="00074551" w:rsidP="00367133">
            <w:pPr>
              <w:ind w:left="113" w:right="113"/>
              <w:rPr>
                <w:sz w:val="20"/>
                <w:szCs w:val="20"/>
                <w:lang w:val="en-US"/>
              </w:rPr>
            </w:pPr>
          </w:p>
          <w:p w14:paraId="5F6CDB4E" w14:textId="77777777" w:rsidR="00074551" w:rsidRPr="00C219EF" w:rsidRDefault="00074551" w:rsidP="00367133">
            <w:pPr>
              <w:ind w:left="113" w:right="113"/>
              <w:rPr>
                <w:iCs/>
                <w:sz w:val="20"/>
                <w:szCs w:val="20"/>
                <w:lang w:val="en-US"/>
              </w:rPr>
            </w:pPr>
            <w:r w:rsidRPr="00BE3728">
              <w:rPr>
                <w:sz w:val="20"/>
                <w:szCs w:val="20"/>
                <w:lang w:val="en-US"/>
              </w:rPr>
              <w:t>Appellate Jurisdiction</w:t>
            </w:r>
          </w:p>
        </w:tc>
        <w:tc>
          <w:tcPr>
            <w:tcW w:w="1594" w:type="pct"/>
            <w:shd w:val="clear" w:color="auto" w:fill="E7E6E6" w:themeFill="background2"/>
            <w:textDirection w:val="tbRl"/>
            <w:vAlign w:val="center"/>
          </w:tcPr>
          <w:p w14:paraId="6E26302D" w14:textId="77777777" w:rsidR="00074551" w:rsidRPr="00C219EF" w:rsidRDefault="00074551" w:rsidP="00203768">
            <w:pPr>
              <w:ind w:left="113" w:right="113"/>
              <w:jc w:val="both"/>
              <w:rPr>
                <w:sz w:val="20"/>
                <w:szCs w:val="20"/>
                <w:lang w:val="en-US"/>
              </w:rPr>
            </w:pPr>
            <w:r w:rsidRPr="00BE3728">
              <w:rPr>
                <w:sz w:val="20"/>
                <w:szCs w:val="20"/>
                <w:lang w:val="en-US"/>
              </w:rPr>
              <w:t>Collateral Order Doctrine</w:t>
            </w:r>
          </w:p>
        </w:tc>
        <w:tc>
          <w:tcPr>
            <w:tcW w:w="1822" w:type="pct"/>
            <w:shd w:val="clear" w:color="auto" w:fill="E7E6E6" w:themeFill="background2"/>
          </w:tcPr>
          <w:p w14:paraId="4A131D51" w14:textId="2B3B4E72" w:rsidR="00074551" w:rsidRPr="00C219EF" w:rsidRDefault="00203768" w:rsidP="00203768">
            <w:pPr>
              <w:rPr>
                <w:sz w:val="20"/>
                <w:szCs w:val="20"/>
                <w:lang w:val="en-US"/>
              </w:rPr>
            </w:pPr>
            <w:r w:rsidRPr="00A15DB3">
              <w:rPr>
                <w:i/>
                <w:iCs/>
                <w:sz w:val="16"/>
                <w:szCs w:val="16"/>
              </w:rPr>
              <w:t>Thematische Gliederung der nachfolgenden Entscheidungen ↓</w:t>
            </w:r>
          </w:p>
        </w:tc>
      </w:tr>
      <w:tr w:rsidR="00074551" w:rsidRPr="00C219EF" w14:paraId="360450CD" w14:textId="77777777" w:rsidTr="00BE689F">
        <w:trPr>
          <w:cantSplit/>
          <w:trHeight w:val="3175"/>
        </w:trPr>
        <w:tc>
          <w:tcPr>
            <w:tcW w:w="293" w:type="pct"/>
          </w:tcPr>
          <w:p w14:paraId="1134EF9A" w14:textId="77777777" w:rsidR="00074551" w:rsidRPr="00C219EF" w:rsidRDefault="00074551" w:rsidP="00367133">
            <w:pPr>
              <w:ind w:right="416"/>
              <w:jc w:val="center"/>
              <w:rPr>
                <w:sz w:val="20"/>
                <w:szCs w:val="20"/>
                <w:lang w:val="en-US"/>
              </w:rPr>
            </w:pPr>
            <w:r w:rsidRPr="00BE3728">
              <w:rPr>
                <w:sz w:val="20"/>
                <w:szCs w:val="20"/>
              </w:rPr>
              <w:lastRenderedPageBreak/>
              <w:t>H</w:t>
            </w:r>
          </w:p>
        </w:tc>
        <w:tc>
          <w:tcPr>
            <w:tcW w:w="387" w:type="pct"/>
            <w:textDirection w:val="tbRl"/>
            <w:vAlign w:val="center"/>
          </w:tcPr>
          <w:p w14:paraId="36D8A79C" w14:textId="77777777" w:rsidR="00074551" w:rsidRPr="00B45592" w:rsidRDefault="00074551" w:rsidP="00367133">
            <w:pPr>
              <w:ind w:left="113" w:right="416"/>
              <w:jc w:val="both"/>
              <w:rPr>
                <w:i/>
                <w:sz w:val="20"/>
                <w:szCs w:val="20"/>
                <w:lang w:val="en-US"/>
              </w:rPr>
            </w:pPr>
            <w:proofErr w:type="spellStart"/>
            <w:r w:rsidRPr="00B45592">
              <w:rPr>
                <w:i/>
                <w:sz w:val="20"/>
                <w:szCs w:val="20"/>
              </w:rPr>
              <w:t>Penhallow</w:t>
            </w:r>
            <w:proofErr w:type="spellEnd"/>
            <w:r w:rsidRPr="00B45592">
              <w:rPr>
                <w:i/>
                <w:sz w:val="20"/>
                <w:szCs w:val="20"/>
              </w:rPr>
              <w:t xml:space="preserve"> v. </w:t>
            </w:r>
            <w:proofErr w:type="spellStart"/>
            <w:r w:rsidRPr="00B45592">
              <w:rPr>
                <w:i/>
                <w:sz w:val="20"/>
                <w:szCs w:val="20"/>
              </w:rPr>
              <w:t>Doane’s</w:t>
            </w:r>
            <w:proofErr w:type="spellEnd"/>
            <w:r w:rsidRPr="00B45592">
              <w:rPr>
                <w:i/>
                <w:sz w:val="20"/>
                <w:szCs w:val="20"/>
              </w:rPr>
              <w:t xml:space="preserve"> </w:t>
            </w:r>
            <w:proofErr w:type="spellStart"/>
            <w:r w:rsidRPr="00B45592">
              <w:rPr>
                <w:i/>
                <w:sz w:val="20"/>
                <w:szCs w:val="20"/>
              </w:rPr>
              <w:t>Adm’rs</w:t>
            </w:r>
            <w:proofErr w:type="spellEnd"/>
          </w:p>
        </w:tc>
        <w:tc>
          <w:tcPr>
            <w:tcW w:w="197" w:type="pct"/>
            <w:textDirection w:val="tbRl"/>
            <w:vAlign w:val="center"/>
          </w:tcPr>
          <w:p w14:paraId="30A2DC25" w14:textId="77777777" w:rsidR="00074551" w:rsidRPr="00E50B51" w:rsidRDefault="00074551" w:rsidP="00367133">
            <w:pPr>
              <w:ind w:left="113" w:right="113"/>
              <w:jc w:val="both"/>
              <w:rPr>
                <w:sz w:val="20"/>
                <w:szCs w:val="20"/>
                <w:lang w:val="en-US"/>
              </w:rPr>
            </w:pPr>
            <w:r w:rsidRPr="00BE3728">
              <w:rPr>
                <w:sz w:val="20"/>
                <w:szCs w:val="20"/>
              </w:rPr>
              <w:t>3 U.S. 54</w:t>
            </w:r>
          </w:p>
        </w:tc>
        <w:tc>
          <w:tcPr>
            <w:tcW w:w="306" w:type="pct"/>
            <w:textDirection w:val="tbRl"/>
            <w:vAlign w:val="center"/>
          </w:tcPr>
          <w:p w14:paraId="72E4546D" w14:textId="77777777" w:rsidR="00074551" w:rsidRPr="00C219EF" w:rsidRDefault="00074551" w:rsidP="00367133">
            <w:pPr>
              <w:ind w:left="113" w:right="113"/>
              <w:jc w:val="both"/>
              <w:rPr>
                <w:sz w:val="20"/>
                <w:szCs w:val="20"/>
                <w:lang w:val="en-US"/>
              </w:rPr>
            </w:pPr>
            <w:r w:rsidRPr="00BE3728">
              <w:rPr>
                <w:sz w:val="20"/>
                <w:szCs w:val="20"/>
              </w:rPr>
              <w:t>24. Februar 1795</w:t>
            </w:r>
          </w:p>
        </w:tc>
        <w:tc>
          <w:tcPr>
            <w:tcW w:w="401" w:type="pct"/>
          </w:tcPr>
          <w:p w14:paraId="3C87C366" w14:textId="77777777" w:rsidR="00074551" w:rsidRPr="00C219EF" w:rsidRDefault="00074551" w:rsidP="00367133">
            <w:pPr>
              <w:jc w:val="center"/>
              <w:rPr>
                <w:iCs/>
                <w:sz w:val="20"/>
                <w:szCs w:val="20"/>
                <w:lang w:val="en-US"/>
              </w:rPr>
            </w:pPr>
            <w:r w:rsidRPr="00BE3728">
              <w:rPr>
                <w:sz w:val="20"/>
                <w:szCs w:val="20"/>
                <w:lang w:val="en-US"/>
              </w:rPr>
              <w:t>D</w:t>
            </w:r>
          </w:p>
        </w:tc>
        <w:tc>
          <w:tcPr>
            <w:tcW w:w="1594" w:type="pct"/>
          </w:tcPr>
          <w:p w14:paraId="3F5FE5D0" w14:textId="77777777" w:rsidR="00074551" w:rsidRPr="00C219EF" w:rsidRDefault="00074551" w:rsidP="00367133">
            <w:pPr>
              <w:jc w:val="both"/>
              <w:rPr>
                <w:sz w:val="20"/>
                <w:szCs w:val="20"/>
                <w:lang w:val="en-US"/>
              </w:rPr>
            </w:pPr>
            <w:r>
              <w:rPr>
                <w:sz w:val="20"/>
                <w:szCs w:val="20"/>
              </w:rPr>
              <w:t>Der</w:t>
            </w:r>
            <w:r w:rsidRPr="00BE3728">
              <w:rPr>
                <w:sz w:val="20"/>
                <w:szCs w:val="20"/>
              </w:rPr>
              <w:t xml:space="preserve"> </w:t>
            </w:r>
            <w:r>
              <w:rPr>
                <w:sz w:val="20"/>
                <w:szCs w:val="20"/>
              </w:rPr>
              <w:t>U.S.</w:t>
            </w:r>
            <w:r w:rsidRPr="00BE3728">
              <w:rPr>
                <w:sz w:val="20"/>
                <w:szCs w:val="20"/>
              </w:rPr>
              <w:t xml:space="preserve"> </w:t>
            </w:r>
            <w:proofErr w:type="spellStart"/>
            <w:r w:rsidRPr="00BE3728">
              <w:rPr>
                <w:sz w:val="20"/>
                <w:szCs w:val="20"/>
              </w:rPr>
              <w:t>District</w:t>
            </w:r>
            <w:proofErr w:type="spellEnd"/>
            <w:r w:rsidRPr="00BE3728">
              <w:rPr>
                <w:sz w:val="20"/>
                <w:szCs w:val="20"/>
              </w:rPr>
              <w:t xml:space="preserve"> Court of New Hampshire war zuständig, um </w:t>
            </w:r>
            <w:r>
              <w:rPr>
                <w:sz w:val="20"/>
                <w:szCs w:val="20"/>
              </w:rPr>
              <w:t xml:space="preserve">eine </w:t>
            </w:r>
            <w:r w:rsidRPr="00BE3728">
              <w:rPr>
                <w:sz w:val="20"/>
                <w:szCs w:val="20"/>
              </w:rPr>
              <w:t>Schadensersatzzahlung für Kaperei durchzusetzen. Die Zahlung hatte das ehemalige Berufungsgericht („</w:t>
            </w:r>
            <w:proofErr w:type="spellStart"/>
            <w:r w:rsidRPr="00BE3728">
              <w:rPr>
                <w:sz w:val="20"/>
                <w:szCs w:val="20"/>
              </w:rPr>
              <w:t>former</w:t>
            </w:r>
            <w:proofErr w:type="spellEnd"/>
            <w:r w:rsidRPr="00BE3728">
              <w:rPr>
                <w:sz w:val="20"/>
                <w:szCs w:val="20"/>
              </w:rPr>
              <w:t xml:space="preserve"> </w:t>
            </w:r>
            <w:proofErr w:type="spellStart"/>
            <w:r w:rsidRPr="00BE3728">
              <w:rPr>
                <w:sz w:val="20"/>
                <w:szCs w:val="20"/>
              </w:rPr>
              <w:t>court</w:t>
            </w:r>
            <w:proofErr w:type="spellEnd"/>
            <w:r w:rsidRPr="00BE3728">
              <w:rPr>
                <w:sz w:val="20"/>
                <w:szCs w:val="20"/>
              </w:rPr>
              <w:t xml:space="preserve"> of </w:t>
            </w:r>
            <w:proofErr w:type="spellStart"/>
            <w:r w:rsidRPr="00BE3728">
              <w:rPr>
                <w:sz w:val="20"/>
                <w:szCs w:val="20"/>
              </w:rPr>
              <w:t>appeals</w:t>
            </w:r>
            <w:proofErr w:type="spellEnd"/>
            <w:r w:rsidRPr="00BE3728">
              <w:rPr>
                <w:sz w:val="20"/>
                <w:szCs w:val="20"/>
              </w:rPr>
              <w:t>“</w:t>
            </w:r>
            <w:r w:rsidRPr="00BE3728">
              <w:rPr>
                <w:rStyle w:val="Funotenzeichen"/>
                <w:sz w:val="20"/>
                <w:szCs w:val="20"/>
              </w:rPr>
              <w:footnoteReference w:id="2142"/>
            </w:r>
            <w:r w:rsidRPr="00BE3728">
              <w:rPr>
                <w:sz w:val="20"/>
                <w:szCs w:val="20"/>
              </w:rPr>
              <w:t xml:space="preserve">) zugesprochen. Das Berufungsgericht war verfassungsmäßig etabliert, war zuständig und die letzte Instanz. Die Existenz des Berufungsgerichts endete aber, da sich die konföderierte Regierung auflöste. Nunmehr wies </w:t>
            </w:r>
            <w:r>
              <w:rPr>
                <w:sz w:val="20"/>
                <w:szCs w:val="20"/>
              </w:rPr>
              <w:t>der</w:t>
            </w:r>
            <w:r w:rsidRPr="00BE3728">
              <w:rPr>
                <w:sz w:val="20"/>
                <w:szCs w:val="20"/>
              </w:rPr>
              <w:t xml:space="preserve"> </w:t>
            </w:r>
            <w:r>
              <w:rPr>
                <w:sz w:val="20"/>
                <w:szCs w:val="20"/>
              </w:rPr>
              <w:t>U.S.</w:t>
            </w:r>
            <w:r w:rsidRPr="00BE3728">
              <w:rPr>
                <w:sz w:val="20"/>
                <w:szCs w:val="20"/>
              </w:rPr>
              <w:t xml:space="preserve"> </w:t>
            </w:r>
            <w:proofErr w:type="spellStart"/>
            <w:r w:rsidRPr="00BE3728">
              <w:rPr>
                <w:sz w:val="20"/>
                <w:szCs w:val="20"/>
              </w:rPr>
              <w:t>District</w:t>
            </w:r>
            <w:proofErr w:type="spellEnd"/>
            <w:r w:rsidRPr="00BE3728">
              <w:rPr>
                <w:sz w:val="20"/>
                <w:szCs w:val="20"/>
              </w:rPr>
              <w:t xml:space="preserve"> Court of New Hampshire als einziges Forum eine Seegerichtsbarkeit auf. E</w:t>
            </w:r>
            <w:r>
              <w:rPr>
                <w:sz w:val="20"/>
                <w:szCs w:val="20"/>
              </w:rPr>
              <w:t>r</w:t>
            </w:r>
            <w:r w:rsidRPr="00BE3728">
              <w:rPr>
                <w:sz w:val="20"/>
                <w:szCs w:val="20"/>
              </w:rPr>
              <w:t xml:space="preserve"> musste</w:t>
            </w:r>
            <w:r>
              <w:rPr>
                <w:sz w:val="20"/>
                <w:szCs w:val="20"/>
              </w:rPr>
              <w:t xml:space="preserve"> daher</w:t>
            </w:r>
            <w:r w:rsidRPr="00BE3728">
              <w:rPr>
                <w:sz w:val="20"/>
                <w:szCs w:val="20"/>
              </w:rPr>
              <w:t xml:space="preserve"> das Urteil des Berufungsgerichts durchsetzen.</w:t>
            </w:r>
            <w:r w:rsidRPr="00BE3728">
              <w:rPr>
                <w:rStyle w:val="Funotenzeichen"/>
                <w:sz w:val="20"/>
                <w:szCs w:val="20"/>
              </w:rPr>
              <w:footnoteReference w:id="2143"/>
            </w:r>
          </w:p>
        </w:tc>
        <w:tc>
          <w:tcPr>
            <w:tcW w:w="1822" w:type="pct"/>
          </w:tcPr>
          <w:p w14:paraId="5D003A85" w14:textId="77777777" w:rsidR="00074551" w:rsidRPr="00B45592" w:rsidRDefault="00074551" w:rsidP="00367133">
            <w:pPr>
              <w:jc w:val="both"/>
              <w:rPr>
                <w:i/>
                <w:sz w:val="20"/>
                <w:szCs w:val="20"/>
              </w:rPr>
            </w:pPr>
            <w:r w:rsidRPr="00B45592">
              <w:rPr>
                <w:i/>
                <w:sz w:val="20"/>
                <w:szCs w:val="20"/>
              </w:rPr>
              <w:t xml:space="preserve">LexisNexis-Klassifikation: </w:t>
            </w:r>
            <w:proofErr w:type="spellStart"/>
            <w:r w:rsidRPr="00B45592">
              <w:rPr>
                <w:i/>
                <w:sz w:val="20"/>
                <w:szCs w:val="20"/>
              </w:rPr>
              <w:t>Civil</w:t>
            </w:r>
            <w:proofErr w:type="spellEnd"/>
            <w:r w:rsidRPr="00B45592">
              <w:rPr>
                <w:i/>
                <w:sz w:val="20"/>
                <w:szCs w:val="20"/>
              </w:rPr>
              <w:t xml:space="preserve"> </w:t>
            </w:r>
            <w:proofErr w:type="spellStart"/>
            <w:r w:rsidRPr="00B45592">
              <w:rPr>
                <w:i/>
                <w:sz w:val="20"/>
                <w:szCs w:val="20"/>
              </w:rPr>
              <w:t>Procedure</w:t>
            </w:r>
            <w:proofErr w:type="spellEnd"/>
            <w:r w:rsidRPr="00B45592">
              <w:rPr>
                <w:i/>
                <w:sz w:val="20"/>
                <w:szCs w:val="20"/>
              </w:rPr>
              <w:t xml:space="preserve"> › Appeals › </w:t>
            </w:r>
            <w:proofErr w:type="spellStart"/>
            <w:r w:rsidRPr="00B45592">
              <w:rPr>
                <w:i/>
                <w:sz w:val="20"/>
                <w:szCs w:val="20"/>
              </w:rPr>
              <w:t>Appellate</w:t>
            </w:r>
            <w:proofErr w:type="spellEnd"/>
            <w:r w:rsidRPr="00B45592">
              <w:rPr>
                <w:i/>
                <w:sz w:val="20"/>
                <w:szCs w:val="20"/>
              </w:rPr>
              <w:t xml:space="preserve"> </w:t>
            </w:r>
            <w:proofErr w:type="spellStart"/>
            <w:r w:rsidRPr="00B45592">
              <w:rPr>
                <w:i/>
                <w:sz w:val="20"/>
                <w:szCs w:val="20"/>
              </w:rPr>
              <w:t>Jurisdiction</w:t>
            </w:r>
            <w:proofErr w:type="spellEnd"/>
            <w:r w:rsidRPr="00B45592">
              <w:rPr>
                <w:i/>
                <w:sz w:val="20"/>
                <w:szCs w:val="20"/>
              </w:rPr>
              <w:t xml:space="preserve"> › Collateral Order Doctrine</w:t>
            </w:r>
          </w:p>
          <w:p w14:paraId="6CD1F7F9" w14:textId="77777777" w:rsidR="00074551" w:rsidRPr="00B45592" w:rsidRDefault="00074551" w:rsidP="00367133">
            <w:pPr>
              <w:jc w:val="both"/>
              <w:rPr>
                <w:sz w:val="20"/>
                <w:szCs w:val="20"/>
              </w:rPr>
            </w:pPr>
          </w:p>
          <w:p w14:paraId="4E230EBB" w14:textId="77777777" w:rsidR="00074551" w:rsidRPr="00BE3728" w:rsidRDefault="00074551" w:rsidP="00367133">
            <w:pPr>
              <w:jc w:val="both"/>
              <w:rPr>
                <w:sz w:val="20"/>
                <w:szCs w:val="20"/>
              </w:rPr>
            </w:pPr>
            <w:r w:rsidRPr="00BE3728">
              <w:rPr>
                <w:sz w:val="20"/>
                <w:szCs w:val="20"/>
              </w:rPr>
              <w:t xml:space="preserve">Ein Urteil, das ein verfassungsmäßig errichtetes, zuständiges und </w:t>
            </w:r>
            <w:proofErr w:type="spellStart"/>
            <w:r w:rsidRPr="00BE3728">
              <w:rPr>
                <w:sz w:val="20"/>
                <w:szCs w:val="20"/>
              </w:rPr>
              <w:t>höchstinstanzliches</w:t>
            </w:r>
            <w:proofErr w:type="spellEnd"/>
            <w:r w:rsidRPr="00BE3728">
              <w:rPr>
                <w:sz w:val="20"/>
                <w:szCs w:val="20"/>
              </w:rPr>
              <w:t xml:space="preserve"> </w:t>
            </w:r>
            <w:r>
              <w:rPr>
                <w:sz w:val="20"/>
                <w:szCs w:val="20"/>
              </w:rPr>
              <w:t>Gericht erlassen hat</w:t>
            </w:r>
            <w:r w:rsidRPr="00BE3728">
              <w:rPr>
                <w:sz w:val="20"/>
                <w:szCs w:val="20"/>
              </w:rPr>
              <w:t xml:space="preserve">, </w:t>
            </w:r>
            <w:r>
              <w:rPr>
                <w:sz w:val="20"/>
                <w:szCs w:val="20"/>
              </w:rPr>
              <w:t>ist</w:t>
            </w:r>
            <w:r w:rsidRPr="00BE3728">
              <w:rPr>
                <w:sz w:val="20"/>
                <w:szCs w:val="20"/>
              </w:rPr>
              <w:t xml:space="preserve"> endgültig und abschließend. Es kann nicht nachgeprüft werden. Und weder der </w:t>
            </w:r>
            <w:r>
              <w:rPr>
                <w:sz w:val="20"/>
                <w:szCs w:val="20"/>
              </w:rPr>
              <w:t>U.S. Supreme Court</w:t>
            </w:r>
            <w:r w:rsidRPr="00BE3728">
              <w:rPr>
                <w:sz w:val="20"/>
                <w:szCs w:val="20"/>
              </w:rPr>
              <w:t xml:space="preserve"> noch ein anderes Gericht kann das Verfahren eines Gerichts, das für die Angelegenheit funktionell zuständig war, in zweiter Instanz überprüfen.</w:t>
            </w:r>
            <w:r w:rsidRPr="00BE3728">
              <w:rPr>
                <w:rStyle w:val="Funotenzeichen"/>
                <w:sz w:val="20"/>
                <w:szCs w:val="20"/>
              </w:rPr>
              <w:footnoteReference w:id="2144"/>
            </w:r>
          </w:p>
          <w:p w14:paraId="31F8FEC4" w14:textId="77777777" w:rsidR="00074551" w:rsidRDefault="00074551" w:rsidP="00367133">
            <w:pPr>
              <w:jc w:val="both"/>
              <w:rPr>
                <w:sz w:val="20"/>
                <w:szCs w:val="20"/>
              </w:rPr>
            </w:pPr>
          </w:p>
          <w:p w14:paraId="38526F15" w14:textId="77777777" w:rsidR="00074551" w:rsidRDefault="00074551" w:rsidP="00367133">
            <w:pPr>
              <w:jc w:val="both"/>
              <w:rPr>
                <w:sz w:val="20"/>
                <w:szCs w:val="20"/>
              </w:rPr>
            </w:pPr>
            <w:r w:rsidRPr="00BE3728">
              <w:rPr>
                <w:sz w:val="20"/>
                <w:szCs w:val="20"/>
              </w:rPr>
              <w:t xml:space="preserve">Der Dissens stellte dann aber die offen gebliebene Frage: Ab wann ging historisch das ehemalige Berufungsgericht zum Bezirksgericht über – gemäß den </w:t>
            </w:r>
            <w:r>
              <w:rPr>
                <w:sz w:val="20"/>
                <w:szCs w:val="20"/>
              </w:rPr>
              <w:t>Dekreten vom Juni 1779 oder den Dekreten vom September 1783.</w:t>
            </w:r>
            <w:r w:rsidRPr="00BE3728">
              <w:rPr>
                <w:sz w:val="20"/>
                <w:szCs w:val="20"/>
              </w:rPr>
              <w:t xml:space="preserve"> Um dies zu beantworten, zeichnete er nach, wie sich die Kompetenzen des Kongresses entwickelt haben, um diese Dekrete bzw. Gesetze rechtswirksam erlassen zu können („</w:t>
            </w:r>
            <w:proofErr w:type="spellStart"/>
            <w:r w:rsidRPr="00BE3728">
              <w:rPr>
                <w:sz w:val="20"/>
                <w:szCs w:val="20"/>
              </w:rPr>
              <w:t>general</w:t>
            </w:r>
            <w:proofErr w:type="spellEnd"/>
            <w:r w:rsidRPr="00BE3728">
              <w:rPr>
                <w:sz w:val="20"/>
                <w:szCs w:val="20"/>
              </w:rPr>
              <w:t xml:space="preserve"> </w:t>
            </w:r>
            <w:proofErr w:type="spellStart"/>
            <w:r w:rsidRPr="00BE3728">
              <w:rPr>
                <w:sz w:val="20"/>
                <w:szCs w:val="20"/>
              </w:rPr>
              <w:t>powers</w:t>
            </w:r>
            <w:proofErr w:type="spellEnd"/>
            <w:r w:rsidRPr="00BE3728">
              <w:rPr>
                <w:sz w:val="20"/>
                <w:szCs w:val="20"/>
              </w:rPr>
              <w:t xml:space="preserve"> of </w:t>
            </w:r>
            <w:proofErr w:type="spellStart"/>
            <w:r w:rsidRPr="00BE3728">
              <w:rPr>
                <w:sz w:val="20"/>
                <w:szCs w:val="20"/>
              </w:rPr>
              <w:t>Congress</w:t>
            </w:r>
            <w:proofErr w:type="spellEnd"/>
            <w:r w:rsidRPr="00BE3728">
              <w:rPr>
                <w:sz w:val="20"/>
                <w:szCs w:val="20"/>
              </w:rPr>
              <w:t>“</w:t>
            </w:r>
            <w:r w:rsidRPr="00BE3728">
              <w:rPr>
                <w:rStyle w:val="Funotenzeichen"/>
                <w:sz w:val="20"/>
                <w:szCs w:val="20"/>
              </w:rPr>
              <w:footnoteReference w:id="2145"/>
            </w:r>
            <w:r w:rsidRPr="00BE3728">
              <w:rPr>
                <w:sz w:val="20"/>
                <w:szCs w:val="20"/>
              </w:rPr>
              <w:t xml:space="preserve">). Dabei begann der Dissens mit der Grundlage der heutigen Vereinigten Staaten: Er benannte </w:t>
            </w:r>
            <w:r>
              <w:rPr>
                <w:sz w:val="20"/>
                <w:szCs w:val="20"/>
              </w:rPr>
              <w:t xml:space="preserve">als Staatsziel, </w:t>
            </w:r>
            <w:r w:rsidRPr="00BE3728">
              <w:rPr>
                <w:sz w:val="20"/>
                <w:szCs w:val="20"/>
              </w:rPr>
              <w:t>die Unabhängigkeit und das Glück zu sichern („</w:t>
            </w:r>
            <w:proofErr w:type="spellStart"/>
            <w:r w:rsidRPr="00BE3728">
              <w:rPr>
                <w:sz w:val="20"/>
                <w:szCs w:val="20"/>
              </w:rPr>
              <w:t>foundation</w:t>
            </w:r>
            <w:proofErr w:type="spellEnd"/>
            <w:r w:rsidRPr="00BE3728">
              <w:rPr>
                <w:sz w:val="20"/>
                <w:szCs w:val="20"/>
              </w:rPr>
              <w:t xml:space="preserve"> of the </w:t>
            </w:r>
            <w:proofErr w:type="spellStart"/>
            <w:r w:rsidRPr="00BE3728">
              <w:rPr>
                <w:sz w:val="20"/>
                <w:szCs w:val="20"/>
              </w:rPr>
              <w:t>present</w:t>
            </w:r>
            <w:proofErr w:type="spellEnd"/>
            <w:r w:rsidRPr="00BE3728">
              <w:rPr>
                <w:sz w:val="20"/>
                <w:szCs w:val="20"/>
              </w:rPr>
              <w:t xml:space="preserve"> </w:t>
            </w:r>
            <w:proofErr w:type="spellStart"/>
            <w:r w:rsidRPr="00BE3728">
              <w:rPr>
                <w:sz w:val="20"/>
                <w:szCs w:val="20"/>
              </w:rPr>
              <w:t>independence</w:t>
            </w:r>
            <w:proofErr w:type="spellEnd"/>
            <w:r w:rsidRPr="00BE3728">
              <w:rPr>
                <w:sz w:val="20"/>
                <w:szCs w:val="20"/>
              </w:rPr>
              <w:t xml:space="preserve"> and </w:t>
            </w:r>
            <w:proofErr w:type="spellStart"/>
            <w:r w:rsidRPr="00BE3728">
              <w:rPr>
                <w:sz w:val="20"/>
                <w:szCs w:val="20"/>
              </w:rPr>
              <w:t>happiness</w:t>
            </w:r>
            <w:proofErr w:type="spellEnd"/>
            <w:r w:rsidRPr="00BE3728">
              <w:rPr>
                <w:sz w:val="20"/>
                <w:szCs w:val="20"/>
              </w:rPr>
              <w:t xml:space="preserve"> of </w:t>
            </w:r>
            <w:proofErr w:type="spellStart"/>
            <w:r w:rsidRPr="00BE3728">
              <w:rPr>
                <w:sz w:val="20"/>
                <w:szCs w:val="20"/>
              </w:rPr>
              <w:t>this</w:t>
            </w:r>
            <w:proofErr w:type="spellEnd"/>
            <w:r w:rsidRPr="00BE3728">
              <w:rPr>
                <w:sz w:val="20"/>
                <w:szCs w:val="20"/>
              </w:rPr>
              <w:t xml:space="preserve"> </w:t>
            </w:r>
            <w:proofErr w:type="spellStart"/>
            <w:r w:rsidRPr="00BE3728">
              <w:rPr>
                <w:sz w:val="20"/>
                <w:szCs w:val="20"/>
              </w:rPr>
              <w:t>country</w:t>
            </w:r>
            <w:proofErr w:type="spellEnd"/>
            <w:r w:rsidRPr="00BE3728">
              <w:rPr>
                <w:sz w:val="20"/>
                <w:szCs w:val="20"/>
              </w:rPr>
              <w:t>“</w:t>
            </w:r>
            <w:r w:rsidRPr="00BE3728">
              <w:rPr>
                <w:rStyle w:val="Funotenzeichen"/>
                <w:sz w:val="20"/>
                <w:szCs w:val="20"/>
              </w:rPr>
              <w:footnoteReference w:id="2146"/>
            </w:r>
            <w:r w:rsidRPr="00BE3728">
              <w:rPr>
                <w:sz w:val="20"/>
                <w:szCs w:val="20"/>
              </w:rPr>
              <w:t>). Die drückten sich zuerst darin aus, einen gemeinsamen Rat der späteren Bundesstaaten zu gründen, um für das gemeinsame Wohlergehen zu sorgen, und sich somit gegen die erdrückenden Maßnahmen Großbritanniens zu wehren.</w:t>
            </w:r>
            <w:r w:rsidRPr="00BE3728">
              <w:rPr>
                <w:rStyle w:val="Funotenzeichen"/>
                <w:sz w:val="20"/>
                <w:szCs w:val="20"/>
              </w:rPr>
              <w:footnoteReference w:id="2147"/>
            </w:r>
          </w:p>
          <w:p w14:paraId="4D7C5637" w14:textId="77777777" w:rsidR="00074551" w:rsidRPr="00AA3998" w:rsidRDefault="00074551" w:rsidP="00367133">
            <w:pPr>
              <w:jc w:val="both"/>
              <w:rPr>
                <w:sz w:val="20"/>
                <w:szCs w:val="20"/>
              </w:rPr>
            </w:pPr>
          </w:p>
        </w:tc>
      </w:tr>
      <w:tr w:rsidR="00074551" w:rsidRPr="00C219EF" w14:paraId="0E30685E" w14:textId="77777777" w:rsidTr="00203768">
        <w:trPr>
          <w:cantSplit/>
          <w:trHeight w:val="3175"/>
        </w:trPr>
        <w:tc>
          <w:tcPr>
            <w:tcW w:w="293" w:type="pct"/>
            <w:shd w:val="clear" w:color="auto" w:fill="E7E6E6" w:themeFill="background2"/>
          </w:tcPr>
          <w:p w14:paraId="5E9C93A0" w14:textId="77777777" w:rsidR="00074551" w:rsidRPr="00C219EF" w:rsidRDefault="00074551" w:rsidP="00367133">
            <w:pPr>
              <w:ind w:right="416"/>
              <w:jc w:val="center"/>
              <w:rPr>
                <w:sz w:val="20"/>
                <w:szCs w:val="20"/>
                <w:lang w:val="en-US"/>
              </w:rPr>
            </w:pPr>
            <w:r w:rsidRPr="00BE3728">
              <w:rPr>
                <w:sz w:val="20"/>
                <w:szCs w:val="20"/>
              </w:rPr>
              <w:lastRenderedPageBreak/>
              <w:t>H</w:t>
            </w:r>
          </w:p>
        </w:tc>
        <w:tc>
          <w:tcPr>
            <w:tcW w:w="387" w:type="pct"/>
            <w:shd w:val="clear" w:color="auto" w:fill="E7E6E6" w:themeFill="background2"/>
            <w:textDirection w:val="tbRl"/>
            <w:vAlign w:val="center"/>
          </w:tcPr>
          <w:p w14:paraId="37D84215" w14:textId="77777777" w:rsidR="00074551" w:rsidRPr="00C219EF" w:rsidRDefault="00074551" w:rsidP="00367133">
            <w:pPr>
              <w:ind w:left="113" w:right="416"/>
              <w:jc w:val="both"/>
              <w:rPr>
                <w:sz w:val="20"/>
                <w:szCs w:val="20"/>
                <w:lang w:val="en-US"/>
              </w:rPr>
            </w:pPr>
            <w:r w:rsidRPr="00BE3728">
              <w:rPr>
                <w:sz w:val="20"/>
                <w:szCs w:val="20"/>
              </w:rPr>
              <w:t>Rechtsstaatliche Seite</w:t>
            </w:r>
          </w:p>
        </w:tc>
        <w:tc>
          <w:tcPr>
            <w:tcW w:w="197" w:type="pct"/>
            <w:shd w:val="clear" w:color="auto" w:fill="E7E6E6" w:themeFill="background2"/>
            <w:textDirection w:val="tbRl"/>
            <w:vAlign w:val="center"/>
          </w:tcPr>
          <w:p w14:paraId="7E6BFB1D" w14:textId="77777777" w:rsidR="00074551" w:rsidRPr="00E50B51" w:rsidRDefault="00074551" w:rsidP="00367133">
            <w:pPr>
              <w:ind w:left="113" w:right="113"/>
              <w:jc w:val="both"/>
              <w:rPr>
                <w:sz w:val="20"/>
                <w:szCs w:val="20"/>
                <w:lang w:val="en-US"/>
              </w:rPr>
            </w:pPr>
            <w:r>
              <w:rPr>
                <w:sz w:val="20"/>
                <w:szCs w:val="20"/>
                <w:lang w:val="en-US"/>
              </w:rPr>
              <w:t>Procedural Due Process</w:t>
            </w:r>
          </w:p>
        </w:tc>
        <w:tc>
          <w:tcPr>
            <w:tcW w:w="306" w:type="pct"/>
            <w:shd w:val="clear" w:color="auto" w:fill="E7E6E6" w:themeFill="background2"/>
            <w:textDirection w:val="tbRl"/>
            <w:vAlign w:val="center"/>
          </w:tcPr>
          <w:p w14:paraId="0F8D7F6C" w14:textId="77777777" w:rsidR="00074551" w:rsidRPr="00C219EF" w:rsidRDefault="00074551" w:rsidP="00367133">
            <w:pPr>
              <w:ind w:left="113" w:right="113"/>
              <w:jc w:val="both"/>
              <w:rPr>
                <w:sz w:val="20"/>
                <w:szCs w:val="20"/>
                <w:lang w:val="en-US"/>
              </w:rPr>
            </w:pPr>
            <w:r w:rsidRPr="00BE3728">
              <w:rPr>
                <w:sz w:val="20"/>
                <w:szCs w:val="20"/>
                <w:lang w:val="en-US"/>
              </w:rPr>
              <w:t>Civil Procedure</w:t>
            </w:r>
          </w:p>
        </w:tc>
        <w:tc>
          <w:tcPr>
            <w:tcW w:w="401" w:type="pct"/>
            <w:shd w:val="clear" w:color="auto" w:fill="E7E6E6" w:themeFill="background2"/>
            <w:textDirection w:val="tbRl"/>
          </w:tcPr>
          <w:p w14:paraId="425E1DB0" w14:textId="77777777" w:rsidR="00074551" w:rsidRDefault="00074551" w:rsidP="00367133">
            <w:pPr>
              <w:ind w:left="113" w:right="113"/>
              <w:rPr>
                <w:sz w:val="20"/>
                <w:szCs w:val="20"/>
                <w:lang w:val="en-US"/>
              </w:rPr>
            </w:pPr>
          </w:p>
          <w:p w14:paraId="2FA5BF68" w14:textId="77777777" w:rsidR="00074551" w:rsidRPr="00C219EF" w:rsidRDefault="00074551" w:rsidP="00367133">
            <w:pPr>
              <w:ind w:left="113" w:right="113"/>
              <w:rPr>
                <w:iCs/>
                <w:sz w:val="20"/>
                <w:szCs w:val="20"/>
                <w:lang w:val="en-US"/>
              </w:rPr>
            </w:pPr>
            <w:r w:rsidRPr="00BE3728">
              <w:rPr>
                <w:sz w:val="20"/>
                <w:szCs w:val="20"/>
                <w:lang w:val="en-US"/>
              </w:rPr>
              <w:t>Subject Matter Jurisdiction</w:t>
            </w:r>
          </w:p>
        </w:tc>
        <w:tc>
          <w:tcPr>
            <w:tcW w:w="1594" w:type="pct"/>
            <w:shd w:val="clear" w:color="auto" w:fill="E7E6E6" w:themeFill="background2"/>
            <w:vAlign w:val="center"/>
          </w:tcPr>
          <w:p w14:paraId="04ACC3CA" w14:textId="77777777" w:rsidR="00074551" w:rsidRPr="00C219EF" w:rsidRDefault="00074551" w:rsidP="00367133">
            <w:pPr>
              <w:jc w:val="both"/>
              <w:rPr>
                <w:sz w:val="20"/>
                <w:szCs w:val="20"/>
                <w:lang w:val="en-US"/>
              </w:rPr>
            </w:pPr>
          </w:p>
        </w:tc>
        <w:tc>
          <w:tcPr>
            <w:tcW w:w="1822" w:type="pct"/>
            <w:shd w:val="clear" w:color="auto" w:fill="E7E6E6" w:themeFill="background2"/>
          </w:tcPr>
          <w:p w14:paraId="72DFC90A" w14:textId="1D3D27CF" w:rsidR="00074551" w:rsidRPr="00C219EF" w:rsidRDefault="00203768" w:rsidP="00203768">
            <w:pPr>
              <w:rPr>
                <w:sz w:val="20"/>
                <w:szCs w:val="20"/>
                <w:lang w:val="en-US"/>
              </w:rPr>
            </w:pPr>
            <w:r w:rsidRPr="00A15DB3">
              <w:rPr>
                <w:i/>
                <w:iCs/>
                <w:sz w:val="16"/>
                <w:szCs w:val="16"/>
              </w:rPr>
              <w:t>Thematische Gliederung der nachfolgenden Entscheidungen ↓</w:t>
            </w:r>
          </w:p>
        </w:tc>
      </w:tr>
      <w:tr w:rsidR="00074551" w:rsidRPr="00C219EF" w14:paraId="0721F4FE" w14:textId="77777777" w:rsidTr="00BE689F">
        <w:trPr>
          <w:cantSplit/>
          <w:trHeight w:val="3175"/>
        </w:trPr>
        <w:tc>
          <w:tcPr>
            <w:tcW w:w="293" w:type="pct"/>
          </w:tcPr>
          <w:p w14:paraId="722088A1" w14:textId="77777777" w:rsidR="00074551" w:rsidRPr="00C219EF" w:rsidRDefault="00074551" w:rsidP="00367133">
            <w:pPr>
              <w:ind w:right="416"/>
              <w:jc w:val="center"/>
              <w:rPr>
                <w:sz w:val="20"/>
                <w:szCs w:val="20"/>
                <w:lang w:val="en-US"/>
              </w:rPr>
            </w:pPr>
            <w:r w:rsidRPr="00BE3728">
              <w:rPr>
                <w:sz w:val="20"/>
                <w:szCs w:val="20"/>
              </w:rPr>
              <w:lastRenderedPageBreak/>
              <w:t>H</w:t>
            </w:r>
          </w:p>
        </w:tc>
        <w:tc>
          <w:tcPr>
            <w:tcW w:w="387" w:type="pct"/>
            <w:textDirection w:val="tbRl"/>
            <w:vAlign w:val="center"/>
          </w:tcPr>
          <w:p w14:paraId="65268850" w14:textId="77777777" w:rsidR="00074551" w:rsidRPr="00B45592" w:rsidRDefault="00074551" w:rsidP="00367133">
            <w:pPr>
              <w:ind w:left="113" w:right="416"/>
              <w:jc w:val="both"/>
              <w:rPr>
                <w:i/>
                <w:sz w:val="20"/>
                <w:szCs w:val="20"/>
                <w:lang w:val="en-US"/>
              </w:rPr>
            </w:pPr>
            <w:r w:rsidRPr="00B45592">
              <w:rPr>
                <w:i/>
                <w:sz w:val="20"/>
                <w:szCs w:val="20"/>
              </w:rPr>
              <w:t xml:space="preserve">Barry v. </w:t>
            </w:r>
            <w:proofErr w:type="spellStart"/>
            <w:r w:rsidRPr="00B45592">
              <w:rPr>
                <w:i/>
                <w:sz w:val="20"/>
                <w:szCs w:val="20"/>
              </w:rPr>
              <w:t>Mercein</w:t>
            </w:r>
            <w:proofErr w:type="spellEnd"/>
          </w:p>
        </w:tc>
        <w:tc>
          <w:tcPr>
            <w:tcW w:w="197" w:type="pct"/>
            <w:textDirection w:val="tbRl"/>
            <w:vAlign w:val="center"/>
          </w:tcPr>
          <w:p w14:paraId="1248609F" w14:textId="77777777" w:rsidR="00074551" w:rsidRPr="00E50B51" w:rsidRDefault="00074551" w:rsidP="00367133">
            <w:pPr>
              <w:ind w:left="113" w:right="113"/>
              <w:jc w:val="both"/>
              <w:rPr>
                <w:sz w:val="20"/>
                <w:szCs w:val="20"/>
                <w:lang w:val="en-US"/>
              </w:rPr>
            </w:pPr>
            <w:r w:rsidRPr="00BE3728">
              <w:rPr>
                <w:sz w:val="20"/>
                <w:szCs w:val="20"/>
              </w:rPr>
              <w:t>46 U.S. 103</w:t>
            </w:r>
          </w:p>
        </w:tc>
        <w:tc>
          <w:tcPr>
            <w:tcW w:w="306" w:type="pct"/>
            <w:textDirection w:val="tbRl"/>
            <w:vAlign w:val="center"/>
          </w:tcPr>
          <w:p w14:paraId="7DAF7B64" w14:textId="77777777" w:rsidR="00074551" w:rsidRPr="00C219EF" w:rsidRDefault="00074551" w:rsidP="00367133">
            <w:pPr>
              <w:ind w:left="113" w:right="113"/>
              <w:jc w:val="both"/>
              <w:rPr>
                <w:sz w:val="20"/>
                <w:szCs w:val="20"/>
                <w:lang w:val="en-US"/>
              </w:rPr>
            </w:pPr>
            <w:r w:rsidRPr="00BE3728">
              <w:rPr>
                <w:sz w:val="20"/>
                <w:szCs w:val="20"/>
              </w:rPr>
              <w:t>19. Januar 1847</w:t>
            </w:r>
          </w:p>
        </w:tc>
        <w:tc>
          <w:tcPr>
            <w:tcW w:w="401" w:type="pct"/>
          </w:tcPr>
          <w:p w14:paraId="501D9E0B" w14:textId="77777777" w:rsidR="00074551" w:rsidRPr="00C219EF" w:rsidRDefault="00074551" w:rsidP="00367133">
            <w:pPr>
              <w:jc w:val="center"/>
              <w:rPr>
                <w:iCs/>
                <w:sz w:val="20"/>
                <w:szCs w:val="20"/>
                <w:lang w:val="en-US"/>
              </w:rPr>
            </w:pPr>
            <w:r w:rsidRPr="00BE3728">
              <w:rPr>
                <w:sz w:val="20"/>
                <w:szCs w:val="20"/>
                <w:lang w:val="en-US"/>
              </w:rPr>
              <w:t>S</w:t>
            </w:r>
          </w:p>
        </w:tc>
        <w:tc>
          <w:tcPr>
            <w:tcW w:w="1594" w:type="pct"/>
          </w:tcPr>
          <w:p w14:paraId="7279DAA5" w14:textId="67A638ED" w:rsidR="00074551" w:rsidRPr="00AA3998"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wies die Klage wegen fehlender Zuständigkeit ab. Der Streit betraf das Sorgerecht für eine Tochter zwischen Vater und Mutter. Der Vater beantragte beim </w:t>
            </w:r>
            <w:r w:rsidRPr="5B67C1D2">
              <w:rPr>
                <w:i/>
                <w:iCs/>
                <w:sz w:val="20"/>
                <w:szCs w:val="20"/>
              </w:rPr>
              <w:t>Circuit Court of New York</w:t>
            </w:r>
            <w:r w:rsidRPr="00BE3728">
              <w:rPr>
                <w:sz w:val="20"/>
                <w:szCs w:val="20"/>
              </w:rPr>
              <w:t xml:space="preserve"> erfolglos einen Habeas-Corpus-Befehl gegen seine Frau, die das Kind</w:t>
            </w:r>
            <w:r>
              <w:rPr>
                <w:sz w:val="20"/>
                <w:szCs w:val="20"/>
              </w:rPr>
              <w:t xml:space="preserve"> </w:t>
            </w:r>
            <w:r w:rsidRPr="00BE3728">
              <w:rPr>
                <w:sz w:val="20"/>
                <w:szCs w:val="20"/>
              </w:rPr>
              <w:t xml:space="preserve">hatte. Er legte Berufung ein. Das Gericht entschied, es habe nur Berufungszuständigkeit bei vermögensrechtlichen Fragen. Da der Streit nicht monetär bewertbar war nach </w:t>
            </w:r>
            <w:r>
              <w:rPr>
                <w:sz w:val="20"/>
                <w:szCs w:val="20"/>
              </w:rPr>
              <w:t xml:space="preserve">dem </w:t>
            </w:r>
            <w:r w:rsidRPr="5B67C1D2">
              <w:rPr>
                <w:i/>
                <w:iCs/>
                <w:sz w:val="20"/>
                <w:szCs w:val="20"/>
              </w:rPr>
              <w:t>Act of 1798</w:t>
            </w:r>
            <w:r w:rsidRPr="00BE3728">
              <w:rPr>
                <w:sz w:val="20"/>
                <w:szCs w:val="20"/>
              </w:rPr>
              <w:t xml:space="preserve">, </w:t>
            </w:r>
            <w:r>
              <w:rPr>
                <w:sz w:val="20"/>
                <w:szCs w:val="20"/>
              </w:rPr>
              <w:t>§ </w:t>
            </w:r>
            <w:r w:rsidRPr="00BE3728">
              <w:rPr>
                <w:sz w:val="20"/>
                <w:szCs w:val="20"/>
              </w:rPr>
              <w:t>22</w:t>
            </w:r>
            <w:r>
              <w:rPr>
                <w:sz w:val="20"/>
                <w:szCs w:val="20"/>
              </w:rPr>
              <w:t>,</w:t>
            </w:r>
            <w:r w:rsidRPr="00BE3728">
              <w:rPr>
                <w:rStyle w:val="Funotenzeichen"/>
                <w:sz w:val="20"/>
                <w:szCs w:val="20"/>
              </w:rPr>
              <w:footnoteReference w:id="2148"/>
            </w:r>
            <w:r w:rsidRPr="00BE3728">
              <w:rPr>
                <w:sz w:val="20"/>
                <w:szCs w:val="20"/>
              </w:rPr>
              <w:t xml:space="preserve"> wurde die Klage abgewiesen.</w:t>
            </w:r>
            <w:r w:rsidRPr="00BE3728">
              <w:rPr>
                <w:rStyle w:val="Funotenzeichen"/>
                <w:sz w:val="20"/>
                <w:szCs w:val="20"/>
              </w:rPr>
              <w:t xml:space="preserve"> </w:t>
            </w:r>
          </w:p>
        </w:tc>
        <w:tc>
          <w:tcPr>
            <w:tcW w:w="1822" w:type="pct"/>
          </w:tcPr>
          <w:p w14:paraId="47C5F283"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w:t>
            </w:r>
            <w:r>
              <w:rPr>
                <w:i/>
                <w:sz w:val="20"/>
                <w:szCs w:val="20"/>
                <w:lang w:val="en-IE"/>
              </w:rPr>
              <w:t xml:space="preserve"> </w:t>
            </w:r>
            <w:r w:rsidRPr="00B45592">
              <w:rPr>
                <w:i/>
                <w:sz w:val="20"/>
                <w:szCs w:val="20"/>
                <w:lang w:val="en-US"/>
              </w:rPr>
              <w:t>Civil Procedure &gt; Jurisdiction › Subject Matter Jurisdiction › Amount in Controversy</w:t>
            </w:r>
          </w:p>
          <w:p w14:paraId="0FF56E20" w14:textId="77777777" w:rsidR="00074551" w:rsidRPr="00BE3728" w:rsidRDefault="00074551" w:rsidP="00367133">
            <w:pPr>
              <w:jc w:val="both"/>
              <w:rPr>
                <w:sz w:val="20"/>
                <w:szCs w:val="20"/>
                <w:lang w:val="en-US"/>
              </w:rPr>
            </w:pPr>
          </w:p>
          <w:p w14:paraId="558E6FA1" w14:textId="77777777" w:rsidR="00074551" w:rsidRDefault="00074551" w:rsidP="00367133">
            <w:pPr>
              <w:jc w:val="both"/>
              <w:rPr>
                <w:sz w:val="20"/>
                <w:szCs w:val="20"/>
              </w:rPr>
            </w:pPr>
            <w:r w:rsidRPr="00BE3728">
              <w:rPr>
                <w:sz w:val="20"/>
                <w:szCs w:val="20"/>
              </w:rPr>
              <w:t xml:space="preserve">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verleihe dem </w:t>
            </w:r>
            <w:r>
              <w:rPr>
                <w:sz w:val="20"/>
                <w:szCs w:val="20"/>
              </w:rPr>
              <w:t>U.S. Supreme Court</w:t>
            </w:r>
            <w:r w:rsidRPr="00BE3728">
              <w:rPr>
                <w:sz w:val="20"/>
                <w:szCs w:val="20"/>
              </w:rPr>
              <w:t xml:space="preserve"> keine Berufungsbefugnis, es sei denn, der Kongress räum</w:t>
            </w:r>
            <w:r>
              <w:rPr>
                <w:sz w:val="20"/>
                <w:szCs w:val="20"/>
              </w:rPr>
              <w:t>e</w:t>
            </w:r>
            <w:r w:rsidRPr="00BE3728">
              <w:rPr>
                <w:sz w:val="20"/>
                <w:szCs w:val="20"/>
              </w:rPr>
              <w:t xml:space="preserve"> diese ein. Das Gesetz (vgl. </w:t>
            </w:r>
            <w:r w:rsidRPr="5B67C1D2">
              <w:rPr>
                <w:i/>
                <w:iCs/>
                <w:sz w:val="20"/>
                <w:szCs w:val="20"/>
              </w:rPr>
              <w:t>Act of 1789</w:t>
            </w:r>
            <w:r w:rsidRPr="00BE3728">
              <w:rPr>
                <w:sz w:val="20"/>
                <w:szCs w:val="20"/>
              </w:rPr>
              <w:t xml:space="preserve">, </w:t>
            </w:r>
            <w:proofErr w:type="spellStart"/>
            <w:r w:rsidRPr="00BE3728">
              <w:rPr>
                <w:sz w:val="20"/>
                <w:szCs w:val="20"/>
              </w:rPr>
              <w:t>ch</w:t>
            </w:r>
            <w:proofErr w:type="spellEnd"/>
            <w:r w:rsidRPr="00BE3728">
              <w:rPr>
                <w:sz w:val="20"/>
                <w:szCs w:val="20"/>
              </w:rPr>
              <w:t xml:space="preserve">. 20, </w:t>
            </w:r>
            <w:r>
              <w:rPr>
                <w:sz w:val="20"/>
                <w:szCs w:val="20"/>
              </w:rPr>
              <w:t>§ </w:t>
            </w:r>
            <w:r w:rsidRPr="00BE3728">
              <w:rPr>
                <w:sz w:val="20"/>
                <w:szCs w:val="20"/>
              </w:rPr>
              <w:t xml:space="preserve">22) ermögliche dem </w:t>
            </w:r>
            <w:r>
              <w:rPr>
                <w:sz w:val="20"/>
                <w:szCs w:val="20"/>
              </w:rPr>
              <w:t>U.S. Supreme Court</w:t>
            </w:r>
            <w:r w:rsidRPr="00BE3728">
              <w:rPr>
                <w:sz w:val="20"/>
                <w:szCs w:val="20"/>
              </w:rPr>
              <w:t xml:space="preserve"> nur</w:t>
            </w:r>
            <w:r>
              <w:rPr>
                <w:sz w:val="20"/>
                <w:szCs w:val="20"/>
              </w:rPr>
              <w:t>,</w:t>
            </w:r>
            <w:r w:rsidRPr="00BE3728">
              <w:rPr>
                <w:sz w:val="20"/>
                <w:szCs w:val="20"/>
              </w:rPr>
              <w:t xml:space="preserve"> Urteile und Dekrete zu überprüfen, also zu bestätigen oder auszuheben, sofern der Streitwert </w:t>
            </w:r>
            <w:r>
              <w:rPr>
                <w:sz w:val="20"/>
                <w:szCs w:val="20"/>
              </w:rPr>
              <w:t>(</w:t>
            </w:r>
            <w:proofErr w:type="spellStart"/>
            <w:r>
              <w:rPr>
                <w:sz w:val="20"/>
                <w:szCs w:val="20"/>
              </w:rPr>
              <w:t>ohnre</w:t>
            </w:r>
            <w:proofErr w:type="spellEnd"/>
            <w:r>
              <w:rPr>
                <w:sz w:val="20"/>
                <w:szCs w:val="20"/>
              </w:rPr>
              <w:t xml:space="preserve"> Kosten) </w:t>
            </w:r>
            <w:r w:rsidRPr="00BE3728">
              <w:rPr>
                <w:sz w:val="20"/>
                <w:szCs w:val="20"/>
              </w:rPr>
              <w:t>$2.000</w:t>
            </w:r>
            <w:r>
              <w:rPr>
                <w:sz w:val="20"/>
                <w:szCs w:val="20"/>
              </w:rPr>
              <w:t xml:space="preserve"> </w:t>
            </w:r>
            <w:r w:rsidRPr="00BE3728">
              <w:rPr>
                <w:sz w:val="20"/>
                <w:szCs w:val="20"/>
              </w:rPr>
              <w:t xml:space="preserve">übersteige. Das Urteil des Circuit Courts </w:t>
            </w:r>
            <w:r>
              <w:rPr>
                <w:sz w:val="20"/>
                <w:szCs w:val="20"/>
              </w:rPr>
              <w:t>könne</w:t>
            </w:r>
            <w:r w:rsidRPr="00BE3728">
              <w:rPr>
                <w:sz w:val="20"/>
                <w:szCs w:val="20"/>
              </w:rPr>
              <w:t xml:space="preserve"> er daher nicht überprüfen.</w:t>
            </w:r>
            <w:r w:rsidRPr="00BE3728">
              <w:rPr>
                <w:rStyle w:val="Funotenzeichen"/>
                <w:sz w:val="20"/>
                <w:szCs w:val="20"/>
              </w:rPr>
              <w:footnoteReference w:id="2149"/>
            </w:r>
          </w:p>
          <w:p w14:paraId="545D618F" w14:textId="77777777" w:rsidR="00074551" w:rsidRDefault="00074551" w:rsidP="00367133">
            <w:pPr>
              <w:jc w:val="both"/>
              <w:rPr>
                <w:sz w:val="20"/>
                <w:szCs w:val="20"/>
              </w:rPr>
            </w:pPr>
          </w:p>
          <w:p w14:paraId="1D747E46" w14:textId="77777777" w:rsidR="00074551" w:rsidRDefault="00074551" w:rsidP="00367133">
            <w:pPr>
              <w:jc w:val="both"/>
              <w:rPr>
                <w:sz w:val="20"/>
                <w:szCs w:val="20"/>
              </w:rPr>
            </w:pPr>
            <w:r w:rsidRPr="00BE3728">
              <w:rPr>
                <w:sz w:val="20"/>
                <w:szCs w:val="20"/>
              </w:rPr>
              <w:t xml:space="preserve">Zunächst erklärte der </w:t>
            </w:r>
            <w:r>
              <w:rPr>
                <w:sz w:val="20"/>
                <w:szCs w:val="20"/>
              </w:rPr>
              <w:t>U.S. Supreme Court</w:t>
            </w:r>
            <w:r w:rsidRPr="00BE3728">
              <w:rPr>
                <w:sz w:val="20"/>
                <w:szCs w:val="20"/>
              </w:rPr>
              <w:t xml:space="preserve">, der Bundesebene </w:t>
            </w:r>
            <w:r>
              <w:rPr>
                <w:sz w:val="20"/>
                <w:szCs w:val="20"/>
              </w:rPr>
              <w:t>kämen</w:t>
            </w:r>
            <w:r w:rsidRPr="00BE3728">
              <w:rPr>
                <w:sz w:val="20"/>
                <w:szCs w:val="20"/>
              </w:rPr>
              <w:t xml:space="preserve"> nur begrenzte Befugnisse zu. Diese Befugnisse bilde</w:t>
            </w:r>
            <w:r>
              <w:rPr>
                <w:sz w:val="20"/>
                <w:szCs w:val="20"/>
              </w:rPr>
              <w:t>te</w:t>
            </w:r>
            <w:r w:rsidRPr="00BE3728">
              <w:rPr>
                <w:sz w:val="20"/>
                <w:szCs w:val="20"/>
              </w:rPr>
              <w:t xml:space="preserve">n die Ausnahmen zu den Kompetenzen der Bundesstaaten. Denn staatliche Kompetenzen und judikative Gewalt </w:t>
            </w:r>
            <w:r>
              <w:rPr>
                <w:sz w:val="20"/>
                <w:szCs w:val="20"/>
              </w:rPr>
              <w:t>läsen</w:t>
            </w:r>
            <w:r w:rsidRPr="00BE3728">
              <w:rPr>
                <w:sz w:val="20"/>
                <w:szCs w:val="20"/>
              </w:rPr>
              <w:t xml:space="preserve"> im Grundsatz bei den Bundesstaaten. Das sei eine Absicht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Eine daraus abgeleitete laute: Dass die </w:t>
            </w:r>
            <w:proofErr w:type="spellStart"/>
            <w:r w:rsidRPr="00BE3728">
              <w:rPr>
                <w:sz w:val="20"/>
                <w:szCs w:val="20"/>
              </w:rPr>
              <w:t>Judikativgewalt</w:t>
            </w:r>
            <w:proofErr w:type="spellEnd"/>
            <w:r w:rsidRPr="00BE3728">
              <w:rPr>
                <w:sz w:val="20"/>
                <w:szCs w:val="20"/>
              </w:rPr>
              <w:t xml:space="preserve"> des </w:t>
            </w:r>
            <w:r>
              <w:rPr>
                <w:sz w:val="20"/>
                <w:szCs w:val="20"/>
              </w:rPr>
              <w:t>U.S. Supreme Court</w:t>
            </w:r>
            <w:r w:rsidRPr="00BE3728">
              <w:rPr>
                <w:sz w:val="20"/>
                <w:szCs w:val="20"/>
              </w:rPr>
              <w:t xml:space="preserve"> nur so weit reichen solle wie die exekutive Gewalt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Um hier das Glück des Kindes zu sichern, muss nach dem </w:t>
            </w:r>
            <w:r>
              <w:rPr>
                <w:sz w:val="20"/>
                <w:szCs w:val="20"/>
              </w:rPr>
              <w:t>U.S. Supreme Court</w:t>
            </w:r>
            <w:r w:rsidRPr="00BE3728">
              <w:rPr>
                <w:sz w:val="20"/>
                <w:szCs w:val="20"/>
              </w:rPr>
              <w:t xml:space="preserve"> nur eine Einzelfallkontrolle durch eine Rechtsprechung zuständig sein, die sich im Rahmen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bewegt (</w:t>
            </w:r>
            <w:proofErr w:type="gramStart"/>
            <w:r w:rsidRPr="00BE3728">
              <w:rPr>
                <w:sz w:val="20"/>
                <w:szCs w:val="20"/>
              </w:rPr>
              <w:t>„</w:t>
            </w:r>
            <w:r>
              <w:rPr>
                <w:sz w:val="20"/>
                <w:szCs w:val="20"/>
              </w:rPr>
              <w:t>,</w:t>
            </w:r>
            <w:r w:rsidRPr="00326203">
              <w:rPr>
                <w:sz w:val="20"/>
                <w:szCs w:val="20"/>
              </w:rPr>
              <w:t>I</w:t>
            </w:r>
            <w:proofErr w:type="gramEnd"/>
            <w:r w:rsidRPr="00326203">
              <w:rPr>
                <w:sz w:val="20"/>
                <w:szCs w:val="20"/>
              </w:rPr>
              <w:t xml:space="preserve"> </w:t>
            </w:r>
            <w:proofErr w:type="spellStart"/>
            <w:r w:rsidRPr="00326203">
              <w:rPr>
                <w:sz w:val="20"/>
                <w:szCs w:val="20"/>
              </w:rPr>
              <w:t>shall</w:t>
            </w:r>
            <w:proofErr w:type="spellEnd"/>
            <w:r w:rsidRPr="00326203">
              <w:rPr>
                <w:sz w:val="20"/>
                <w:szCs w:val="20"/>
              </w:rPr>
              <w:t xml:space="preserve"> </w:t>
            </w:r>
            <w:proofErr w:type="spellStart"/>
            <w:r w:rsidRPr="00326203">
              <w:rPr>
                <w:sz w:val="20"/>
                <w:szCs w:val="20"/>
              </w:rPr>
              <w:t>take</w:t>
            </w:r>
            <w:proofErr w:type="spellEnd"/>
            <w:r w:rsidRPr="00326203">
              <w:rPr>
                <w:sz w:val="20"/>
                <w:szCs w:val="20"/>
              </w:rPr>
              <w:t xml:space="preserve"> care </w:t>
            </w:r>
            <w:proofErr w:type="spellStart"/>
            <w:r w:rsidRPr="00326203">
              <w:rPr>
                <w:sz w:val="20"/>
                <w:szCs w:val="20"/>
              </w:rPr>
              <w:t>that</w:t>
            </w:r>
            <w:proofErr w:type="spellEnd"/>
            <w:r w:rsidRPr="00326203">
              <w:rPr>
                <w:sz w:val="20"/>
                <w:szCs w:val="20"/>
              </w:rPr>
              <w:t xml:space="preserve"> the </w:t>
            </w:r>
            <w:proofErr w:type="spellStart"/>
            <w:r w:rsidRPr="00326203">
              <w:rPr>
                <w:sz w:val="20"/>
                <w:szCs w:val="20"/>
              </w:rPr>
              <w:t>intercourse</w:t>
            </w:r>
            <w:proofErr w:type="spellEnd"/>
            <w:r w:rsidRPr="00326203">
              <w:rPr>
                <w:sz w:val="20"/>
                <w:szCs w:val="20"/>
              </w:rPr>
              <w:t xml:space="preserve"> of </w:t>
            </w:r>
            <w:proofErr w:type="spellStart"/>
            <w:r w:rsidRPr="00326203">
              <w:rPr>
                <w:sz w:val="20"/>
                <w:szCs w:val="20"/>
              </w:rPr>
              <w:t>both</w:t>
            </w:r>
            <w:proofErr w:type="spellEnd"/>
            <w:r w:rsidRPr="00326203">
              <w:rPr>
                <w:sz w:val="20"/>
                <w:szCs w:val="20"/>
              </w:rPr>
              <w:t xml:space="preserve"> </w:t>
            </w:r>
            <w:proofErr w:type="spellStart"/>
            <w:r w:rsidRPr="00326203">
              <w:rPr>
                <w:sz w:val="20"/>
                <w:szCs w:val="20"/>
              </w:rPr>
              <w:t>father</w:t>
            </w:r>
            <w:proofErr w:type="spellEnd"/>
            <w:r w:rsidRPr="00326203">
              <w:rPr>
                <w:sz w:val="20"/>
                <w:szCs w:val="20"/>
              </w:rPr>
              <w:t xml:space="preserve"> and</w:t>
            </w:r>
            <w:r>
              <w:rPr>
                <w:sz w:val="20"/>
                <w:szCs w:val="20"/>
              </w:rPr>
              <w:t xml:space="preserve"> </w:t>
            </w:r>
            <w:proofErr w:type="spellStart"/>
            <w:r w:rsidRPr="00326203">
              <w:rPr>
                <w:sz w:val="20"/>
                <w:szCs w:val="20"/>
              </w:rPr>
              <w:t>mother</w:t>
            </w:r>
            <w:proofErr w:type="spellEnd"/>
            <w:r w:rsidRPr="00326203">
              <w:rPr>
                <w:sz w:val="20"/>
                <w:szCs w:val="20"/>
              </w:rPr>
              <w:t xml:space="preserve"> </w:t>
            </w:r>
            <w:proofErr w:type="spellStart"/>
            <w:r w:rsidRPr="00326203">
              <w:rPr>
                <w:sz w:val="20"/>
                <w:szCs w:val="20"/>
              </w:rPr>
              <w:t>with</w:t>
            </w:r>
            <w:proofErr w:type="spellEnd"/>
            <w:r w:rsidRPr="00326203">
              <w:rPr>
                <w:sz w:val="20"/>
                <w:szCs w:val="20"/>
              </w:rPr>
              <w:t xml:space="preserve"> the </w:t>
            </w:r>
            <w:proofErr w:type="spellStart"/>
            <w:r w:rsidRPr="00326203">
              <w:rPr>
                <w:sz w:val="20"/>
                <w:szCs w:val="20"/>
              </w:rPr>
              <w:t>child</w:t>
            </w:r>
            <w:proofErr w:type="spellEnd"/>
            <w:r w:rsidRPr="00326203">
              <w:rPr>
                <w:sz w:val="20"/>
                <w:szCs w:val="20"/>
              </w:rPr>
              <w:t xml:space="preserve">, so </w:t>
            </w:r>
            <w:proofErr w:type="spellStart"/>
            <w:r w:rsidRPr="00326203">
              <w:rPr>
                <w:sz w:val="20"/>
                <w:szCs w:val="20"/>
              </w:rPr>
              <w:t>far</w:t>
            </w:r>
            <w:proofErr w:type="spellEnd"/>
            <w:r w:rsidRPr="00326203">
              <w:rPr>
                <w:sz w:val="20"/>
                <w:szCs w:val="20"/>
              </w:rPr>
              <w:t xml:space="preserve"> as </w:t>
            </w:r>
            <w:proofErr w:type="spellStart"/>
            <w:r w:rsidRPr="00326203">
              <w:rPr>
                <w:sz w:val="20"/>
                <w:szCs w:val="20"/>
              </w:rPr>
              <w:t>is</w:t>
            </w:r>
            <w:proofErr w:type="spellEnd"/>
            <w:r w:rsidRPr="00326203">
              <w:rPr>
                <w:sz w:val="20"/>
                <w:szCs w:val="20"/>
              </w:rPr>
              <w:t xml:space="preserve"> </w:t>
            </w:r>
            <w:proofErr w:type="spellStart"/>
            <w:r w:rsidRPr="00326203">
              <w:rPr>
                <w:sz w:val="20"/>
                <w:szCs w:val="20"/>
              </w:rPr>
              <w:t>consistent</w:t>
            </w:r>
            <w:proofErr w:type="spellEnd"/>
            <w:r w:rsidRPr="00326203">
              <w:rPr>
                <w:sz w:val="20"/>
                <w:szCs w:val="20"/>
              </w:rPr>
              <w:t xml:space="preserve"> </w:t>
            </w:r>
            <w:proofErr w:type="spellStart"/>
            <w:r w:rsidRPr="00326203">
              <w:rPr>
                <w:sz w:val="20"/>
                <w:szCs w:val="20"/>
              </w:rPr>
              <w:t>with</w:t>
            </w:r>
            <w:proofErr w:type="spellEnd"/>
            <w:r w:rsidRPr="00326203">
              <w:rPr>
                <w:sz w:val="20"/>
                <w:szCs w:val="20"/>
              </w:rPr>
              <w:t xml:space="preserve"> </w:t>
            </w:r>
            <w:proofErr w:type="spellStart"/>
            <w:r w:rsidRPr="00326203">
              <w:rPr>
                <w:sz w:val="20"/>
                <w:szCs w:val="20"/>
              </w:rPr>
              <w:t>its</w:t>
            </w:r>
            <w:proofErr w:type="spellEnd"/>
            <w:r w:rsidRPr="00326203">
              <w:rPr>
                <w:sz w:val="20"/>
                <w:szCs w:val="20"/>
              </w:rPr>
              <w:t xml:space="preserve"> </w:t>
            </w:r>
            <w:proofErr w:type="spellStart"/>
            <w:r w:rsidRPr="00326203">
              <w:rPr>
                <w:sz w:val="20"/>
                <w:szCs w:val="20"/>
              </w:rPr>
              <w:t>happiness</w:t>
            </w:r>
            <w:proofErr w:type="spellEnd"/>
            <w:r w:rsidRPr="00326203">
              <w:rPr>
                <w:sz w:val="20"/>
                <w:szCs w:val="20"/>
              </w:rPr>
              <w:t xml:space="preserve">, </w:t>
            </w:r>
            <w:proofErr w:type="spellStart"/>
            <w:r w:rsidRPr="00326203">
              <w:rPr>
                <w:sz w:val="20"/>
                <w:szCs w:val="20"/>
              </w:rPr>
              <w:t>shall</w:t>
            </w:r>
            <w:proofErr w:type="spellEnd"/>
            <w:r w:rsidRPr="00326203">
              <w:rPr>
                <w:sz w:val="20"/>
                <w:szCs w:val="20"/>
              </w:rPr>
              <w:t xml:space="preserve"> </w:t>
            </w:r>
            <w:proofErr w:type="spellStart"/>
            <w:r w:rsidRPr="00326203">
              <w:rPr>
                <w:sz w:val="20"/>
                <w:szCs w:val="20"/>
              </w:rPr>
              <w:t>be</w:t>
            </w:r>
            <w:proofErr w:type="spellEnd"/>
            <w:r w:rsidRPr="00326203">
              <w:rPr>
                <w:sz w:val="20"/>
                <w:szCs w:val="20"/>
              </w:rPr>
              <w:t xml:space="preserve"> </w:t>
            </w:r>
            <w:proofErr w:type="spellStart"/>
            <w:r w:rsidRPr="00326203">
              <w:rPr>
                <w:sz w:val="20"/>
                <w:szCs w:val="20"/>
              </w:rPr>
              <w:t>unrestrained</w:t>
            </w:r>
            <w:proofErr w:type="spellEnd"/>
            <w:r w:rsidRPr="00326203">
              <w:rPr>
                <w:sz w:val="20"/>
                <w:szCs w:val="20"/>
              </w:rPr>
              <w:t>.</w:t>
            </w:r>
            <w:r>
              <w:rPr>
                <w:sz w:val="20"/>
                <w:szCs w:val="20"/>
              </w:rPr>
              <w:t>‘</w:t>
            </w:r>
            <w:r w:rsidRPr="00326203">
              <w:rPr>
                <w:sz w:val="20"/>
                <w:szCs w:val="20"/>
              </w:rPr>
              <w:t xml:space="preserve"> </w:t>
            </w:r>
            <w:r w:rsidRPr="00B45592">
              <w:rPr>
                <w:sz w:val="20"/>
                <w:szCs w:val="20"/>
                <w:lang w:val="en-IE"/>
              </w:rPr>
              <w:t>Ordered that the child should not be removed out of jurisdiction.</w:t>
            </w:r>
            <w:r w:rsidRPr="001B6693">
              <w:rPr>
                <w:sz w:val="20"/>
                <w:szCs w:val="20"/>
                <w:lang w:val="en-IE"/>
              </w:rPr>
              <w:t>“</w:t>
            </w:r>
            <w:r w:rsidRPr="00BE3728">
              <w:rPr>
                <w:rStyle w:val="Funotenzeichen"/>
                <w:sz w:val="20"/>
                <w:szCs w:val="20"/>
              </w:rPr>
              <w:footnoteReference w:id="2150"/>
            </w:r>
            <w:r w:rsidRPr="00B45592">
              <w:rPr>
                <w:sz w:val="20"/>
                <w:szCs w:val="20"/>
              </w:rPr>
              <w:t>)</w:t>
            </w:r>
            <w:r w:rsidRPr="00BE3728">
              <w:rPr>
                <w:sz w:val="20"/>
                <w:szCs w:val="20"/>
              </w:rPr>
              <w:t xml:space="preserve">. Das war der Fall: Denn die bundesstaatliche Gerichtsbarkeit </w:t>
            </w:r>
            <w:r>
              <w:rPr>
                <w:sz w:val="20"/>
                <w:szCs w:val="20"/>
              </w:rPr>
              <w:t>bestand</w:t>
            </w:r>
            <w:r w:rsidRPr="00BE3728">
              <w:rPr>
                <w:sz w:val="20"/>
                <w:szCs w:val="20"/>
              </w:rPr>
              <w:t xml:space="preserve"> und urteilte im Rahmen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Den Einzelfall </w:t>
            </w:r>
            <w:proofErr w:type="spellStart"/>
            <w:r w:rsidRPr="00BE3728">
              <w:rPr>
                <w:sz w:val="20"/>
                <w:szCs w:val="20"/>
              </w:rPr>
              <w:t>auszu</w:t>
            </w:r>
            <w:r>
              <w:rPr>
                <w:sz w:val="20"/>
                <w:szCs w:val="20"/>
              </w:rPr>
              <w:t>ur</w:t>
            </w:r>
            <w:r w:rsidRPr="00BE3728">
              <w:rPr>
                <w:sz w:val="20"/>
                <w:szCs w:val="20"/>
              </w:rPr>
              <w:t>teilen</w:t>
            </w:r>
            <w:proofErr w:type="spellEnd"/>
            <w:r w:rsidRPr="00BE3728">
              <w:rPr>
                <w:sz w:val="20"/>
                <w:szCs w:val="20"/>
              </w:rPr>
              <w:t>, liege also in der Zuständigkeit der Judikative der Bundesstaaten.</w:t>
            </w:r>
            <w:r w:rsidRPr="00BE3728">
              <w:rPr>
                <w:rStyle w:val="Funotenzeichen"/>
                <w:sz w:val="20"/>
                <w:szCs w:val="20"/>
              </w:rPr>
              <w:footnoteReference w:id="2151"/>
            </w:r>
          </w:p>
          <w:p w14:paraId="191CF64F" w14:textId="77777777" w:rsidR="00074551" w:rsidRPr="00AA3998" w:rsidRDefault="00074551" w:rsidP="00367133">
            <w:pPr>
              <w:jc w:val="both"/>
              <w:rPr>
                <w:sz w:val="20"/>
                <w:szCs w:val="20"/>
              </w:rPr>
            </w:pPr>
          </w:p>
        </w:tc>
      </w:tr>
      <w:tr w:rsidR="00074551" w:rsidRPr="00E50B51" w14:paraId="76F64027" w14:textId="77777777" w:rsidTr="00203768">
        <w:trPr>
          <w:cantSplit/>
          <w:trHeight w:val="3175"/>
        </w:trPr>
        <w:tc>
          <w:tcPr>
            <w:tcW w:w="293" w:type="pct"/>
            <w:shd w:val="clear" w:color="auto" w:fill="E7E6E6" w:themeFill="background2"/>
          </w:tcPr>
          <w:p w14:paraId="3CC061E8" w14:textId="77777777" w:rsidR="00074551" w:rsidRPr="00E50B51" w:rsidRDefault="00074551" w:rsidP="00367133">
            <w:pPr>
              <w:ind w:right="416"/>
              <w:jc w:val="center"/>
              <w:rPr>
                <w:sz w:val="20"/>
                <w:szCs w:val="20"/>
              </w:rPr>
            </w:pPr>
            <w:bookmarkStart w:id="95" w:name="_Hlk228798872"/>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3B78CC83"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244A7F27" w14:textId="77777777" w:rsidR="00074551" w:rsidRPr="00E50B51" w:rsidRDefault="00074551" w:rsidP="00367133">
            <w:pPr>
              <w:ind w:left="113" w:right="113"/>
              <w:jc w:val="both"/>
              <w:rPr>
                <w:iCs/>
                <w:sz w:val="20"/>
                <w:szCs w:val="20"/>
              </w:rPr>
            </w:pPr>
            <w:proofErr w:type="spellStart"/>
            <w:r w:rsidRPr="00E50B51">
              <w:rPr>
                <w:iCs/>
                <w:sz w:val="20"/>
                <w:szCs w:val="20"/>
              </w:rPr>
              <w:t>Procedural</w:t>
            </w:r>
            <w:proofErr w:type="spellEnd"/>
            <w:r w:rsidRPr="00E50B51">
              <w:rPr>
                <w:iCs/>
                <w:sz w:val="20"/>
                <w:szCs w:val="20"/>
              </w:rPr>
              <w:t xml:space="preserve"> Due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58FCD288" w14:textId="77777777" w:rsidR="00074551" w:rsidRPr="00E50B51" w:rsidRDefault="00074551" w:rsidP="00367133">
            <w:pPr>
              <w:ind w:left="113" w:right="113"/>
              <w:jc w:val="both"/>
              <w:rPr>
                <w:sz w:val="20"/>
                <w:szCs w:val="20"/>
              </w:rPr>
            </w:pPr>
            <w:r w:rsidRPr="00E50B51">
              <w:rPr>
                <w:iCs/>
                <w:sz w:val="20"/>
                <w:szCs w:val="20"/>
                <w:lang w:val="en-US"/>
              </w:rPr>
              <w:t>Self-Incrimination Privilege</w:t>
            </w:r>
          </w:p>
        </w:tc>
        <w:tc>
          <w:tcPr>
            <w:tcW w:w="401" w:type="pct"/>
            <w:shd w:val="clear" w:color="auto" w:fill="E7E6E6" w:themeFill="background2"/>
          </w:tcPr>
          <w:p w14:paraId="7625A3AA"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1D049F0E" w14:textId="77777777" w:rsidR="00074551" w:rsidRPr="00E50B51" w:rsidRDefault="00074551" w:rsidP="00367133">
            <w:pPr>
              <w:jc w:val="both"/>
              <w:rPr>
                <w:sz w:val="20"/>
                <w:szCs w:val="20"/>
              </w:rPr>
            </w:pPr>
          </w:p>
        </w:tc>
        <w:tc>
          <w:tcPr>
            <w:tcW w:w="1822" w:type="pct"/>
            <w:shd w:val="clear" w:color="auto" w:fill="E7E6E6" w:themeFill="background2"/>
          </w:tcPr>
          <w:p w14:paraId="55569DF2" w14:textId="4E2CF31C" w:rsidR="00074551" w:rsidRPr="00E50B51" w:rsidRDefault="00203768" w:rsidP="00203768">
            <w:pPr>
              <w:rPr>
                <w:sz w:val="20"/>
                <w:szCs w:val="20"/>
              </w:rPr>
            </w:pPr>
            <w:r w:rsidRPr="00A15DB3">
              <w:rPr>
                <w:i/>
                <w:iCs/>
                <w:sz w:val="16"/>
                <w:szCs w:val="16"/>
              </w:rPr>
              <w:t>Thematische Gliederung der nachfolgenden Entscheidungen ↓</w:t>
            </w:r>
          </w:p>
        </w:tc>
      </w:tr>
      <w:bookmarkEnd w:id="95"/>
      <w:tr w:rsidR="00074551" w:rsidRPr="00E50B51" w14:paraId="54C2B4E4" w14:textId="77777777" w:rsidTr="00BE689F">
        <w:trPr>
          <w:cantSplit/>
          <w:trHeight w:val="3175"/>
        </w:trPr>
        <w:tc>
          <w:tcPr>
            <w:tcW w:w="293" w:type="pct"/>
          </w:tcPr>
          <w:p w14:paraId="6007FFF1"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DF2B06C" w14:textId="77777777" w:rsidR="00074551" w:rsidRPr="00E50B51" w:rsidRDefault="00074551" w:rsidP="00367133">
            <w:pPr>
              <w:ind w:left="113" w:right="416"/>
              <w:jc w:val="both"/>
              <w:rPr>
                <w:sz w:val="20"/>
                <w:szCs w:val="20"/>
                <w:lang w:val="en-US"/>
              </w:rPr>
            </w:pPr>
            <w:r w:rsidRPr="00AB01D2">
              <w:rPr>
                <w:i/>
                <w:sz w:val="20"/>
                <w:szCs w:val="20"/>
                <w:lang w:val="en-US"/>
              </w:rPr>
              <w:t>Oklahoma Press Pub. Co. v. Walling</w:t>
            </w:r>
          </w:p>
        </w:tc>
        <w:tc>
          <w:tcPr>
            <w:tcW w:w="197" w:type="pct"/>
            <w:textDirection w:val="tbRl"/>
            <w:vAlign w:val="center"/>
          </w:tcPr>
          <w:p w14:paraId="5266D9FA" w14:textId="77777777" w:rsidR="00074551" w:rsidRPr="00E50B51" w:rsidRDefault="00074551" w:rsidP="00367133">
            <w:pPr>
              <w:ind w:left="113" w:right="113"/>
              <w:jc w:val="both"/>
              <w:rPr>
                <w:iCs/>
                <w:sz w:val="20"/>
                <w:szCs w:val="20"/>
              </w:rPr>
            </w:pPr>
            <w:r w:rsidRPr="00E50B51">
              <w:rPr>
                <w:sz w:val="20"/>
                <w:szCs w:val="20"/>
                <w:lang w:val="en-US"/>
              </w:rPr>
              <w:t>327 U.S. 186</w:t>
            </w:r>
          </w:p>
        </w:tc>
        <w:tc>
          <w:tcPr>
            <w:tcW w:w="306" w:type="pct"/>
            <w:textDirection w:val="tbRl"/>
            <w:vAlign w:val="center"/>
          </w:tcPr>
          <w:p w14:paraId="4EC5353E" w14:textId="77777777" w:rsidR="00074551" w:rsidRPr="00E50B51" w:rsidRDefault="00074551" w:rsidP="00367133">
            <w:pPr>
              <w:ind w:left="113" w:right="113"/>
              <w:jc w:val="both"/>
              <w:rPr>
                <w:sz w:val="20"/>
                <w:szCs w:val="20"/>
              </w:rPr>
            </w:pPr>
            <w:r w:rsidRPr="00E50B51">
              <w:rPr>
                <w:sz w:val="20"/>
                <w:szCs w:val="20"/>
              </w:rPr>
              <w:t>11. Februar 1946</w:t>
            </w:r>
          </w:p>
        </w:tc>
        <w:tc>
          <w:tcPr>
            <w:tcW w:w="401" w:type="pct"/>
          </w:tcPr>
          <w:p w14:paraId="7E987B2A" w14:textId="77777777" w:rsidR="00074551" w:rsidRPr="00E50B51" w:rsidRDefault="00074551" w:rsidP="00367133">
            <w:pPr>
              <w:jc w:val="center"/>
              <w:rPr>
                <w:sz w:val="20"/>
                <w:szCs w:val="20"/>
              </w:rPr>
            </w:pPr>
            <w:r w:rsidRPr="00E50B51">
              <w:rPr>
                <w:iCs/>
                <w:sz w:val="20"/>
                <w:szCs w:val="20"/>
              </w:rPr>
              <w:t>M</w:t>
            </w:r>
          </w:p>
        </w:tc>
        <w:tc>
          <w:tcPr>
            <w:tcW w:w="1594" w:type="pct"/>
          </w:tcPr>
          <w:p w14:paraId="3AB9ECD3" w14:textId="77777777" w:rsidR="00074551" w:rsidRPr="00E50B51" w:rsidRDefault="00074551" w:rsidP="00367133">
            <w:pPr>
              <w:jc w:val="both"/>
              <w:rPr>
                <w:sz w:val="20"/>
                <w:szCs w:val="20"/>
              </w:rPr>
            </w:pPr>
            <w:r w:rsidRPr="00E50B51">
              <w:rPr>
                <w:sz w:val="20"/>
                <w:szCs w:val="20"/>
              </w:rPr>
              <w:t>*</w:t>
            </w:r>
          </w:p>
        </w:tc>
        <w:tc>
          <w:tcPr>
            <w:tcW w:w="1822" w:type="pct"/>
          </w:tcPr>
          <w:p w14:paraId="09BF2A28" w14:textId="6B07C29A" w:rsidR="00074551" w:rsidRDefault="00074551" w:rsidP="00367133">
            <w:pPr>
              <w:jc w:val="both"/>
              <w:rPr>
                <w:sz w:val="20"/>
                <w:szCs w:val="20"/>
              </w:rPr>
            </w:pPr>
            <w:r>
              <w:rPr>
                <w:sz w:val="20"/>
                <w:szCs w:val="20"/>
              </w:rPr>
              <w:t>Staatliche</w:t>
            </w:r>
            <w:r w:rsidRPr="00C105BF">
              <w:rPr>
                <w:sz w:val="20"/>
                <w:szCs w:val="20"/>
              </w:rPr>
              <w:t xml:space="preserve"> Maßnahmen wie</w:t>
            </w:r>
            <w:r>
              <w:rPr>
                <w:sz w:val="20"/>
                <w:szCs w:val="20"/>
              </w:rPr>
              <w:t xml:space="preserve"> die Anforderung von</w:t>
            </w:r>
            <w:r w:rsidRPr="00C105BF">
              <w:rPr>
                <w:sz w:val="20"/>
                <w:szCs w:val="20"/>
              </w:rPr>
              <w:t xml:space="preserve"> Dokumenten als Beweismittel („matter of </w:t>
            </w:r>
            <w:proofErr w:type="spellStart"/>
            <w:r w:rsidRPr="00C105BF">
              <w:rPr>
                <w:sz w:val="20"/>
                <w:szCs w:val="20"/>
              </w:rPr>
              <w:t>requiring</w:t>
            </w:r>
            <w:proofErr w:type="spellEnd"/>
            <w:r w:rsidRPr="00C105BF">
              <w:rPr>
                <w:sz w:val="20"/>
                <w:szCs w:val="20"/>
              </w:rPr>
              <w:t xml:space="preserve"> the </w:t>
            </w:r>
            <w:proofErr w:type="spellStart"/>
            <w:r w:rsidRPr="00C105BF">
              <w:rPr>
                <w:sz w:val="20"/>
                <w:szCs w:val="20"/>
              </w:rPr>
              <w:t>production</w:t>
            </w:r>
            <w:proofErr w:type="spellEnd"/>
            <w:r w:rsidRPr="00C105BF">
              <w:rPr>
                <w:sz w:val="20"/>
                <w:szCs w:val="20"/>
              </w:rPr>
              <w:t xml:space="preserve"> of </w:t>
            </w:r>
            <w:proofErr w:type="spellStart"/>
            <w:r w:rsidRPr="00C105BF">
              <w:rPr>
                <w:sz w:val="20"/>
                <w:szCs w:val="20"/>
              </w:rPr>
              <w:t>books</w:t>
            </w:r>
            <w:proofErr w:type="spellEnd"/>
            <w:r w:rsidRPr="00C105BF">
              <w:rPr>
                <w:sz w:val="20"/>
                <w:szCs w:val="20"/>
              </w:rPr>
              <w:t xml:space="preserve"> and </w:t>
            </w:r>
            <w:proofErr w:type="spellStart"/>
            <w:r w:rsidRPr="00C105BF">
              <w:rPr>
                <w:sz w:val="20"/>
                <w:szCs w:val="20"/>
              </w:rPr>
              <w:t>records</w:t>
            </w:r>
            <w:proofErr w:type="spellEnd"/>
            <w:r w:rsidRPr="00C105BF">
              <w:rPr>
                <w:sz w:val="20"/>
                <w:szCs w:val="20"/>
              </w:rPr>
              <w:t xml:space="preserve"> to </w:t>
            </w:r>
            <w:proofErr w:type="spellStart"/>
            <w:r w:rsidRPr="00C105BF">
              <w:rPr>
                <w:sz w:val="20"/>
                <w:szCs w:val="20"/>
              </w:rPr>
              <w:t>secure</w:t>
            </w:r>
            <w:proofErr w:type="spellEnd"/>
            <w:r w:rsidRPr="00C105BF">
              <w:rPr>
                <w:sz w:val="20"/>
                <w:szCs w:val="20"/>
              </w:rPr>
              <w:t xml:space="preserve"> </w:t>
            </w:r>
            <w:proofErr w:type="spellStart"/>
            <w:r w:rsidRPr="00C105BF">
              <w:rPr>
                <w:sz w:val="20"/>
                <w:szCs w:val="20"/>
              </w:rPr>
              <w:t>evidence</w:t>
            </w:r>
            <w:proofErr w:type="spellEnd"/>
            <w:r w:rsidRPr="00C105BF">
              <w:rPr>
                <w:sz w:val="20"/>
                <w:szCs w:val="20"/>
              </w:rPr>
              <w:t>“</w:t>
            </w:r>
            <w:r>
              <w:rPr>
                <w:rStyle w:val="Funotenzeichen"/>
                <w:sz w:val="20"/>
                <w:szCs w:val="20"/>
              </w:rPr>
              <w:footnoteReference w:id="2152"/>
            </w:r>
            <w:r w:rsidRPr="00C105BF">
              <w:rPr>
                <w:sz w:val="20"/>
                <w:szCs w:val="20"/>
              </w:rPr>
              <w:t>) verlang</w:t>
            </w:r>
            <w:r>
              <w:rPr>
                <w:sz w:val="20"/>
                <w:szCs w:val="20"/>
              </w:rPr>
              <w:t>en laut U.S. Supreme Court</w:t>
            </w:r>
            <w:r w:rsidRPr="00C105BF">
              <w:rPr>
                <w:sz w:val="20"/>
                <w:szCs w:val="20"/>
              </w:rPr>
              <w:t xml:space="preserve"> stets eine Abwägung zwischen öffentlichem Interesse und privatem Interesse bzw. privater Sicherheit („</w:t>
            </w:r>
            <w:proofErr w:type="spellStart"/>
            <w:r w:rsidRPr="00C105BF">
              <w:rPr>
                <w:sz w:val="20"/>
                <w:szCs w:val="20"/>
              </w:rPr>
              <w:t>problem</w:t>
            </w:r>
            <w:proofErr w:type="spellEnd"/>
            <w:r w:rsidRPr="00C105BF">
              <w:rPr>
                <w:sz w:val="20"/>
                <w:szCs w:val="20"/>
              </w:rPr>
              <w:t xml:space="preserve"> of </w:t>
            </w:r>
            <w:proofErr w:type="spellStart"/>
            <w:r w:rsidRPr="00C105BF">
              <w:rPr>
                <w:sz w:val="20"/>
                <w:szCs w:val="20"/>
              </w:rPr>
              <w:t>balancing</w:t>
            </w:r>
            <w:proofErr w:type="spellEnd"/>
            <w:r w:rsidRPr="00C105BF">
              <w:rPr>
                <w:sz w:val="20"/>
                <w:szCs w:val="20"/>
              </w:rPr>
              <w:t xml:space="preserve"> the </w:t>
            </w:r>
            <w:proofErr w:type="spellStart"/>
            <w:r w:rsidRPr="00C105BF">
              <w:rPr>
                <w:sz w:val="20"/>
                <w:szCs w:val="20"/>
              </w:rPr>
              <w:t>public</w:t>
            </w:r>
            <w:proofErr w:type="spellEnd"/>
            <w:r w:rsidRPr="00C105BF">
              <w:rPr>
                <w:sz w:val="20"/>
                <w:szCs w:val="20"/>
              </w:rPr>
              <w:t xml:space="preserve"> </w:t>
            </w:r>
            <w:proofErr w:type="spellStart"/>
            <w:r w:rsidRPr="00C105BF">
              <w:rPr>
                <w:sz w:val="20"/>
                <w:szCs w:val="20"/>
              </w:rPr>
              <w:t>interest</w:t>
            </w:r>
            <w:proofErr w:type="spellEnd"/>
            <w:r w:rsidRPr="00C105BF">
              <w:rPr>
                <w:sz w:val="20"/>
                <w:szCs w:val="20"/>
              </w:rPr>
              <w:t xml:space="preserve"> </w:t>
            </w:r>
            <w:proofErr w:type="spellStart"/>
            <w:r w:rsidRPr="00C105BF">
              <w:rPr>
                <w:sz w:val="20"/>
                <w:szCs w:val="20"/>
              </w:rPr>
              <w:t>against</w:t>
            </w:r>
            <w:proofErr w:type="spellEnd"/>
            <w:r w:rsidRPr="00C105BF">
              <w:rPr>
                <w:sz w:val="20"/>
                <w:szCs w:val="20"/>
              </w:rPr>
              <w:t xml:space="preserve"> private </w:t>
            </w:r>
            <w:proofErr w:type="spellStart"/>
            <w:r w:rsidRPr="00C105BF">
              <w:rPr>
                <w:sz w:val="20"/>
                <w:szCs w:val="20"/>
              </w:rPr>
              <w:t>security</w:t>
            </w:r>
            <w:proofErr w:type="spellEnd"/>
            <w:r w:rsidRPr="00C105BF">
              <w:rPr>
                <w:sz w:val="20"/>
                <w:szCs w:val="20"/>
              </w:rPr>
              <w:t>“</w:t>
            </w:r>
            <w:r w:rsidRPr="00C105BF">
              <w:rPr>
                <w:sz w:val="20"/>
                <w:szCs w:val="20"/>
                <w:vertAlign w:val="superscript"/>
              </w:rPr>
              <w:footnoteReference w:id="2153"/>
            </w:r>
            <w:r w:rsidRPr="00C105BF">
              <w:rPr>
                <w:sz w:val="20"/>
                <w:szCs w:val="20"/>
              </w:rPr>
              <w:t xml:space="preserve">), hier </w:t>
            </w:r>
            <w:r>
              <w:rPr>
                <w:sz w:val="20"/>
                <w:szCs w:val="20"/>
              </w:rPr>
              <w:t>z.B.</w:t>
            </w:r>
            <w:r w:rsidRPr="00C105BF">
              <w:rPr>
                <w:sz w:val="20"/>
                <w:szCs w:val="20"/>
              </w:rPr>
              <w:t xml:space="preserve"> bei einer verfassungsgemäßen, gerichtlichen Vorladung („</w:t>
            </w:r>
            <w:proofErr w:type="spellStart"/>
            <w:r w:rsidRPr="00C105BF">
              <w:rPr>
                <w:sz w:val="20"/>
                <w:szCs w:val="20"/>
              </w:rPr>
              <w:t>subpoenas</w:t>
            </w:r>
            <w:proofErr w:type="spellEnd"/>
            <w:r w:rsidRPr="00C105BF">
              <w:rPr>
                <w:sz w:val="20"/>
                <w:szCs w:val="20"/>
              </w:rPr>
              <w:t>“</w:t>
            </w:r>
            <w:r w:rsidRPr="00C105BF">
              <w:rPr>
                <w:sz w:val="20"/>
                <w:szCs w:val="20"/>
                <w:vertAlign w:val="superscript"/>
              </w:rPr>
              <w:footnoteReference w:id="2154"/>
            </w:r>
            <w:r w:rsidRPr="00C105BF">
              <w:rPr>
                <w:sz w:val="20"/>
                <w:szCs w:val="20"/>
              </w:rPr>
              <w:t xml:space="preserve">) eines Zeitungsunternehmens. </w:t>
            </w:r>
            <w:r w:rsidRPr="00C105BF">
              <w:rPr>
                <w:sz w:val="20"/>
                <w:szCs w:val="20"/>
                <w:lang w:val="en-US"/>
              </w:rPr>
              <w:t xml:space="preserve">Das private Interesse, </w:t>
            </w:r>
            <w:proofErr w:type="spellStart"/>
            <w:r>
              <w:rPr>
                <w:sz w:val="20"/>
                <w:szCs w:val="20"/>
                <w:lang w:val="en-US"/>
              </w:rPr>
              <w:t>z.B.</w:t>
            </w:r>
            <w:proofErr w:type="spellEnd"/>
            <w:r w:rsidRPr="00C105BF">
              <w:rPr>
                <w:sz w:val="20"/>
                <w:szCs w:val="20"/>
                <w:lang w:val="en-US"/>
              </w:rPr>
              <w:t xml:space="preserve"> </w:t>
            </w:r>
            <w:proofErr w:type="spellStart"/>
            <w:r w:rsidRPr="00C105BF">
              <w:rPr>
                <w:sz w:val="20"/>
                <w:szCs w:val="20"/>
                <w:lang w:val="en-US"/>
              </w:rPr>
              <w:t>als</w:t>
            </w:r>
            <w:proofErr w:type="spellEnd"/>
            <w:r w:rsidRPr="00C105BF">
              <w:rPr>
                <w:sz w:val="20"/>
                <w:szCs w:val="20"/>
                <w:lang w:val="en-US"/>
              </w:rPr>
              <w:t xml:space="preserve"> </w:t>
            </w:r>
            <w:proofErr w:type="spellStart"/>
            <w:r w:rsidRPr="00C105BF">
              <w:rPr>
                <w:sz w:val="20"/>
                <w:szCs w:val="20"/>
                <w:lang w:val="en-US"/>
              </w:rPr>
              <w:t>Privatsphäre</w:t>
            </w:r>
            <w:proofErr w:type="spellEnd"/>
            <w:r w:rsidRPr="00C105BF">
              <w:rPr>
                <w:sz w:val="20"/>
                <w:szCs w:val="20"/>
                <w:lang w:val="en-US"/>
              </w:rPr>
              <w:t xml:space="preserve">, </w:t>
            </w:r>
            <w:proofErr w:type="spellStart"/>
            <w:r w:rsidRPr="00C105BF">
              <w:rPr>
                <w:sz w:val="20"/>
                <w:szCs w:val="20"/>
                <w:lang w:val="en-US"/>
              </w:rPr>
              <w:t>schützen</w:t>
            </w:r>
            <w:proofErr w:type="spellEnd"/>
            <w:r w:rsidRPr="00C105BF">
              <w:rPr>
                <w:sz w:val="20"/>
                <w:szCs w:val="20"/>
                <w:lang w:val="en-US"/>
              </w:rPr>
              <w:t xml:space="preserve"> die </w:t>
            </w:r>
            <w:proofErr w:type="spellStart"/>
            <w:r w:rsidRPr="00C105BF">
              <w:rPr>
                <w:sz w:val="20"/>
                <w:szCs w:val="20"/>
                <w:lang w:val="en-US"/>
              </w:rPr>
              <w:t>Bedingungen</w:t>
            </w:r>
            <w:proofErr w:type="spellEnd"/>
            <w:r w:rsidRPr="00C105BF">
              <w:rPr>
                <w:sz w:val="20"/>
                <w:szCs w:val="20"/>
                <w:lang w:val="en-US"/>
              </w:rPr>
              <w:t xml:space="preserve">, </w:t>
            </w:r>
            <w:proofErr w:type="spellStart"/>
            <w:r w:rsidRPr="00C105BF">
              <w:rPr>
                <w:sz w:val="20"/>
                <w:szCs w:val="20"/>
                <w:lang w:val="en-US"/>
              </w:rPr>
              <w:t>welche</w:t>
            </w:r>
            <w:proofErr w:type="spellEnd"/>
            <w:r w:rsidRPr="00C105BF">
              <w:rPr>
                <w:sz w:val="20"/>
                <w:szCs w:val="20"/>
                <w:lang w:val="en-US"/>
              </w:rPr>
              <w:t xml:space="preserve"> für </w:t>
            </w:r>
            <w:proofErr w:type="spellStart"/>
            <w:r w:rsidRPr="00C105BF">
              <w:rPr>
                <w:sz w:val="20"/>
                <w:szCs w:val="20"/>
                <w:lang w:val="en-US"/>
              </w:rPr>
              <w:t>ein</w:t>
            </w:r>
            <w:proofErr w:type="spellEnd"/>
            <w:r w:rsidRPr="00C105BF">
              <w:rPr>
                <w:sz w:val="20"/>
                <w:szCs w:val="20"/>
                <w:lang w:val="en-US"/>
              </w:rPr>
              <w:t xml:space="preserve"> </w:t>
            </w:r>
            <w:proofErr w:type="spellStart"/>
            <w:r w:rsidRPr="00C105BF">
              <w:rPr>
                <w:sz w:val="20"/>
                <w:szCs w:val="20"/>
                <w:lang w:val="en-US"/>
              </w:rPr>
              <w:t>Glücksstreben</w:t>
            </w:r>
            <w:proofErr w:type="spellEnd"/>
            <w:r w:rsidRPr="00C105BF">
              <w:rPr>
                <w:sz w:val="20"/>
                <w:szCs w:val="20"/>
                <w:lang w:val="en-US"/>
              </w:rPr>
              <w:t xml:space="preserve"> </w:t>
            </w:r>
            <w:proofErr w:type="spellStart"/>
            <w:r w:rsidRPr="00C105BF">
              <w:rPr>
                <w:sz w:val="20"/>
                <w:szCs w:val="20"/>
                <w:lang w:val="en-US"/>
              </w:rPr>
              <w:t>notwen</w:t>
            </w:r>
            <w:r>
              <w:rPr>
                <w:sz w:val="20"/>
                <w:szCs w:val="20"/>
                <w:lang w:val="en-US"/>
              </w:rPr>
              <w:t>d</w:t>
            </w:r>
            <w:r w:rsidRPr="00C105BF">
              <w:rPr>
                <w:sz w:val="20"/>
                <w:szCs w:val="20"/>
                <w:lang w:val="en-US"/>
              </w:rPr>
              <w:t>ig</w:t>
            </w:r>
            <w:proofErr w:type="spellEnd"/>
            <w:r w:rsidRPr="00C105BF">
              <w:rPr>
                <w:sz w:val="20"/>
                <w:szCs w:val="20"/>
                <w:lang w:val="en-US"/>
              </w:rPr>
              <w:t xml:space="preserve"> </w:t>
            </w:r>
            <w:proofErr w:type="spellStart"/>
            <w:r w:rsidRPr="00C105BF">
              <w:rPr>
                <w:sz w:val="20"/>
                <w:szCs w:val="20"/>
                <w:lang w:val="en-US"/>
              </w:rPr>
              <w:t>sind</w:t>
            </w:r>
            <w:proofErr w:type="spellEnd"/>
            <w:r w:rsidRPr="00C105BF">
              <w:rPr>
                <w:sz w:val="20"/>
                <w:szCs w:val="20"/>
                <w:lang w:val="en-US"/>
              </w:rPr>
              <w:t xml:space="preserve"> („the case for protected privacy was […]</w:t>
            </w:r>
            <w:proofErr w:type="gramStart"/>
            <w:r w:rsidRPr="00C105BF">
              <w:rPr>
                <w:sz w:val="20"/>
                <w:szCs w:val="20"/>
                <w:lang w:val="en-US"/>
              </w:rPr>
              <w:t xml:space="preserve">: </w:t>
            </w:r>
            <w:r>
              <w:rPr>
                <w:sz w:val="20"/>
                <w:szCs w:val="20"/>
                <w:lang w:val="en-US"/>
              </w:rPr>
              <w:t>,</w:t>
            </w:r>
            <w:r w:rsidRPr="00C105BF">
              <w:rPr>
                <w:sz w:val="20"/>
                <w:szCs w:val="20"/>
                <w:lang w:val="en-US"/>
              </w:rPr>
              <w:t>The</w:t>
            </w:r>
            <w:proofErr w:type="gramEnd"/>
            <w:r w:rsidRPr="00C105BF">
              <w:rPr>
                <w:sz w:val="20"/>
                <w:szCs w:val="20"/>
                <w:lang w:val="en-US"/>
              </w:rPr>
              <w:t xml:space="preserve"> makers of our Constitution undertook to secure conditions favorable to the pursuit of </w:t>
            </w:r>
            <w:proofErr w:type="gramStart"/>
            <w:r w:rsidRPr="00C105BF">
              <w:rPr>
                <w:sz w:val="20"/>
                <w:szCs w:val="20"/>
                <w:lang w:val="en-US"/>
              </w:rPr>
              <w:t>happiness.</w:t>
            </w:r>
            <w:r w:rsidRPr="001B6693">
              <w:rPr>
                <w:sz w:val="20"/>
                <w:szCs w:val="20"/>
                <w:lang w:val="en-IE"/>
              </w:rPr>
              <w:t>‘</w:t>
            </w:r>
            <w:proofErr w:type="gramEnd"/>
            <w:r w:rsidRPr="001B6693">
              <w:rPr>
                <w:sz w:val="20"/>
                <w:szCs w:val="20"/>
                <w:lang w:val="en-IE"/>
              </w:rPr>
              <w:t>“</w:t>
            </w:r>
            <w:r w:rsidRPr="00C105BF">
              <w:rPr>
                <w:sz w:val="20"/>
                <w:szCs w:val="20"/>
                <w:vertAlign w:val="superscript"/>
                <w:lang w:val="en-US"/>
              </w:rPr>
              <w:footnoteReference w:id="2155"/>
            </w:r>
            <w:r w:rsidRPr="00C105BF">
              <w:rPr>
                <w:sz w:val="20"/>
                <w:szCs w:val="20"/>
              </w:rPr>
              <w:t>). Diese Privatsphäre prägt sich hier in zweierlei Richtung aus: Einerseits in der Notwendigkeit, das Selbstbelastungsprivileg („</w:t>
            </w:r>
            <w:proofErr w:type="spellStart"/>
            <w:r w:rsidRPr="00C105BF">
              <w:rPr>
                <w:sz w:val="20"/>
                <w:szCs w:val="20"/>
              </w:rPr>
              <w:t>self-incrimination</w:t>
            </w:r>
            <w:proofErr w:type="spellEnd"/>
            <w:r w:rsidRPr="00C105BF">
              <w:rPr>
                <w:sz w:val="20"/>
                <w:szCs w:val="20"/>
              </w:rPr>
              <w:t xml:space="preserve"> </w:t>
            </w:r>
            <w:proofErr w:type="spellStart"/>
            <w:r w:rsidRPr="00C105BF">
              <w:rPr>
                <w:sz w:val="20"/>
                <w:szCs w:val="20"/>
              </w:rPr>
              <w:t>provision</w:t>
            </w:r>
            <w:proofErr w:type="spellEnd"/>
            <w:r w:rsidRPr="00C105BF">
              <w:rPr>
                <w:sz w:val="20"/>
                <w:szCs w:val="20"/>
              </w:rPr>
              <w:t>“</w:t>
            </w:r>
            <w:r w:rsidRPr="00C105BF">
              <w:rPr>
                <w:sz w:val="20"/>
                <w:szCs w:val="20"/>
                <w:vertAlign w:val="superscript"/>
              </w:rPr>
              <w:footnoteReference w:id="2156"/>
            </w:r>
            <w:r w:rsidRPr="00C105BF">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C105BF">
              <w:rPr>
                <w:sz w:val="20"/>
                <w:szCs w:val="20"/>
              </w:rPr>
              <w:t xml:space="preserve"> in </w:t>
            </w:r>
            <w:r>
              <w:rPr>
                <w:sz w:val="20"/>
                <w:szCs w:val="20"/>
              </w:rPr>
              <w:t xml:space="preserve">die </w:t>
            </w:r>
            <w:r w:rsidRPr="00C105BF">
              <w:rPr>
                <w:sz w:val="20"/>
                <w:szCs w:val="20"/>
              </w:rPr>
              <w:t>genannte Abwägung einzustellen. Und andererseits darin, dass staatliche Maßnahmen hinreichend bestimmt sein müss</w:t>
            </w:r>
            <w:r>
              <w:rPr>
                <w:sz w:val="20"/>
                <w:szCs w:val="20"/>
              </w:rPr>
              <w:t>t</w:t>
            </w:r>
            <w:r w:rsidRPr="00C105BF">
              <w:rPr>
                <w:sz w:val="20"/>
                <w:szCs w:val="20"/>
              </w:rPr>
              <w:t>en („</w:t>
            </w:r>
            <w:proofErr w:type="spellStart"/>
            <w:r w:rsidRPr="00C105BF">
              <w:rPr>
                <w:sz w:val="20"/>
                <w:szCs w:val="20"/>
              </w:rPr>
              <w:t>abuse</w:t>
            </w:r>
            <w:proofErr w:type="spellEnd"/>
            <w:r w:rsidRPr="00C105BF">
              <w:rPr>
                <w:sz w:val="20"/>
                <w:szCs w:val="20"/>
              </w:rPr>
              <w:t xml:space="preserve"> </w:t>
            </w:r>
            <w:proofErr w:type="spellStart"/>
            <w:r w:rsidRPr="00C105BF">
              <w:rPr>
                <w:sz w:val="20"/>
                <w:szCs w:val="20"/>
              </w:rPr>
              <w:t>only</w:t>
            </w:r>
            <w:proofErr w:type="spellEnd"/>
            <w:r w:rsidRPr="00C105BF">
              <w:rPr>
                <w:sz w:val="20"/>
                <w:szCs w:val="20"/>
              </w:rPr>
              <w:t xml:space="preserve"> by </w:t>
            </w:r>
            <w:proofErr w:type="spellStart"/>
            <w:r w:rsidRPr="00C105BF">
              <w:rPr>
                <w:sz w:val="20"/>
                <w:szCs w:val="20"/>
              </w:rPr>
              <w:t>way</w:t>
            </w:r>
            <w:proofErr w:type="spellEnd"/>
            <w:r w:rsidRPr="00C105BF">
              <w:rPr>
                <w:sz w:val="20"/>
                <w:szCs w:val="20"/>
              </w:rPr>
              <w:t xml:space="preserve"> of </w:t>
            </w:r>
            <w:proofErr w:type="spellStart"/>
            <w:r w:rsidRPr="00C105BF">
              <w:rPr>
                <w:sz w:val="20"/>
                <w:szCs w:val="20"/>
              </w:rPr>
              <w:t>too</w:t>
            </w:r>
            <w:proofErr w:type="spellEnd"/>
            <w:r w:rsidRPr="00C105BF">
              <w:rPr>
                <w:sz w:val="20"/>
                <w:szCs w:val="20"/>
              </w:rPr>
              <w:t xml:space="preserve"> </w:t>
            </w:r>
            <w:proofErr w:type="spellStart"/>
            <w:r w:rsidRPr="00C105BF">
              <w:rPr>
                <w:sz w:val="20"/>
                <w:szCs w:val="20"/>
              </w:rPr>
              <w:t>much</w:t>
            </w:r>
            <w:proofErr w:type="spellEnd"/>
            <w:r w:rsidRPr="00C105BF">
              <w:rPr>
                <w:sz w:val="20"/>
                <w:szCs w:val="20"/>
              </w:rPr>
              <w:t xml:space="preserve"> </w:t>
            </w:r>
            <w:proofErr w:type="spellStart"/>
            <w:r w:rsidRPr="00C105BF">
              <w:rPr>
                <w:sz w:val="20"/>
                <w:szCs w:val="20"/>
              </w:rPr>
              <w:t>indefiniteness</w:t>
            </w:r>
            <w:proofErr w:type="spellEnd"/>
            <w:r w:rsidRPr="00C105BF">
              <w:rPr>
                <w:sz w:val="20"/>
                <w:szCs w:val="20"/>
              </w:rPr>
              <w:t>“</w:t>
            </w:r>
            <w:r w:rsidRPr="00C105BF">
              <w:rPr>
                <w:sz w:val="20"/>
                <w:szCs w:val="20"/>
                <w:vertAlign w:val="superscript"/>
              </w:rPr>
              <w:footnoteReference w:id="2157"/>
            </w:r>
            <w:r w:rsidRPr="00C105BF">
              <w:rPr>
                <w:sz w:val="20"/>
                <w:szCs w:val="20"/>
              </w:rPr>
              <w:t>), zu ihnen eine Rechtsgrundlage bestehen müsse („</w:t>
            </w:r>
            <w:proofErr w:type="spellStart"/>
            <w:r w:rsidRPr="00C105BF">
              <w:rPr>
                <w:sz w:val="20"/>
                <w:szCs w:val="20"/>
              </w:rPr>
              <w:t>authorized</w:t>
            </w:r>
            <w:proofErr w:type="spellEnd"/>
            <w:r w:rsidRPr="00C105BF">
              <w:rPr>
                <w:sz w:val="20"/>
                <w:szCs w:val="20"/>
              </w:rPr>
              <w:t xml:space="preserve"> by </w:t>
            </w:r>
            <w:proofErr w:type="spellStart"/>
            <w:r w:rsidRPr="00C105BF">
              <w:rPr>
                <w:sz w:val="20"/>
                <w:szCs w:val="20"/>
              </w:rPr>
              <w:t>law</w:t>
            </w:r>
            <w:proofErr w:type="spellEnd"/>
            <w:r w:rsidRPr="00C105BF">
              <w:rPr>
                <w:sz w:val="20"/>
                <w:szCs w:val="20"/>
              </w:rPr>
              <w:t>“</w:t>
            </w:r>
            <w:r w:rsidRPr="00C105BF">
              <w:rPr>
                <w:sz w:val="20"/>
                <w:szCs w:val="20"/>
                <w:vertAlign w:val="superscript"/>
              </w:rPr>
              <w:t xml:space="preserve"> </w:t>
            </w:r>
            <w:r w:rsidRPr="00C105BF">
              <w:rPr>
                <w:sz w:val="20"/>
                <w:szCs w:val="20"/>
                <w:vertAlign w:val="superscript"/>
              </w:rPr>
              <w:footnoteReference w:id="2158"/>
            </w:r>
            <w:r w:rsidRPr="00C105BF">
              <w:rPr>
                <w:sz w:val="20"/>
                <w:szCs w:val="20"/>
              </w:rPr>
              <w:t>) und Behörden Beweismittel nur erheben dürf</w:t>
            </w:r>
            <w:r>
              <w:rPr>
                <w:sz w:val="20"/>
                <w:szCs w:val="20"/>
              </w:rPr>
              <w:t>t</w:t>
            </w:r>
            <w:r w:rsidRPr="00C105BF">
              <w:rPr>
                <w:sz w:val="20"/>
                <w:szCs w:val="20"/>
              </w:rPr>
              <w:t xml:space="preserve">en, wenn sie relevant für das Verfahren </w:t>
            </w:r>
            <w:r>
              <w:rPr>
                <w:sz w:val="20"/>
                <w:szCs w:val="20"/>
              </w:rPr>
              <w:t>seien</w:t>
            </w:r>
            <w:r w:rsidRPr="00C105BF">
              <w:rPr>
                <w:sz w:val="20"/>
                <w:szCs w:val="20"/>
              </w:rPr>
              <w:t xml:space="preserve"> („</w:t>
            </w:r>
            <w:proofErr w:type="spellStart"/>
            <w:r w:rsidRPr="00C105BF">
              <w:rPr>
                <w:sz w:val="20"/>
                <w:szCs w:val="20"/>
              </w:rPr>
              <w:t>materials</w:t>
            </w:r>
            <w:proofErr w:type="spellEnd"/>
            <w:r w:rsidRPr="00C105BF">
              <w:rPr>
                <w:sz w:val="20"/>
                <w:szCs w:val="20"/>
              </w:rPr>
              <w:t xml:space="preserve"> </w:t>
            </w:r>
            <w:proofErr w:type="spellStart"/>
            <w:r w:rsidRPr="00C105BF">
              <w:rPr>
                <w:sz w:val="20"/>
                <w:szCs w:val="20"/>
              </w:rPr>
              <w:t>specified</w:t>
            </w:r>
            <w:proofErr w:type="spellEnd"/>
            <w:r w:rsidRPr="00C105BF">
              <w:rPr>
                <w:sz w:val="20"/>
                <w:szCs w:val="20"/>
              </w:rPr>
              <w:t xml:space="preserve"> </w:t>
            </w:r>
            <w:proofErr w:type="spellStart"/>
            <w:r w:rsidRPr="00C105BF">
              <w:rPr>
                <w:sz w:val="20"/>
                <w:szCs w:val="20"/>
              </w:rPr>
              <w:t>are</w:t>
            </w:r>
            <w:proofErr w:type="spellEnd"/>
            <w:r w:rsidRPr="00C105BF">
              <w:rPr>
                <w:sz w:val="20"/>
                <w:szCs w:val="20"/>
              </w:rPr>
              <w:t xml:space="preserve"> relevant“</w:t>
            </w:r>
            <w:r w:rsidRPr="00C105BF">
              <w:rPr>
                <w:sz w:val="20"/>
                <w:szCs w:val="20"/>
                <w:vertAlign w:val="superscript"/>
              </w:rPr>
              <w:t xml:space="preserve"> </w:t>
            </w:r>
            <w:r w:rsidRPr="00C105BF">
              <w:rPr>
                <w:sz w:val="20"/>
                <w:szCs w:val="20"/>
                <w:vertAlign w:val="superscript"/>
              </w:rPr>
              <w:footnoteReference w:id="2159"/>
            </w:r>
            <w:r w:rsidRPr="00C105BF">
              <w:rPr>
                <w:sz w:val="20"/>
                <w:szCs w:val="20"/>
              </w:rPr>
              <w:t>)</w:t>
            </w:r>
            <w:r>
              <w:rPr>
                <w:sz w:val="20"/>
                <w:szCs w:val="20"/>
              </w:rPr>
              <w:t xml:space="preserve">. </w:t>
            </w:r>
            <w:proofErr w:type="spellStart"/>
            <w:r w:rsidRPr="00B45592">
              <w:rPr>
                <w:sz w:val="20"/>
                <w:szCs w:val="20"/>
                <w:lang w:val="en-IE"/>
              </w:rPr>
              <w:t>Insgesamt</w:t>
            </w:r>
            <w:proofErr w:type="spellEnd"/>
            <w:r w:rsidRPr="00B45592">
              <w:rPr>
                <w:sz w:val="20"/>
                <w:szCs w:val="20"/>
                <w:lang w:val="en-IE"/>
              </w:rPr>
              <w:t xml:space="preserve"> </w:t>
            </w:r>
            <w:proofErr w:type="spellStart"/>
            <w:r w:rsidRPr="00B45592">
              <w:rPr>
                <w:sz w:val="20"/>
                <w:szCs w:val="20"/>
                <w:lang w:val="en-IE"/>
              </w:rPr>
              <w:t>dürfe</w:t>
            </w:r>
            <w:proofErr w:type="spellEnd"/>
            <w:r w:rsidRPr="00B45592">
              <w:rPr>
                <w:sz w:val="20"/>
                <w:szCs w:val="20"/>
                <w:lang w:val="en-IE"/>
              </w:rPr>
              <w:t xml:space="preserve"> </w:t>
            </w:r>
            <w:proofErr w:type="spellStart"/>
            <w:r w:rsidRPr="00B45592">
              <w:rPr>
                <w:sz w:val="20"/>
                <w:szCs w:val="20"/>
                <w:lang w:val="en-IE"/>
              </w:rPr>
              <w:t>eine</w:t>
            </w:r>
            <w:proofErr w:type="spellEnd"/>
            <w:r w:rsidRPr="00B45592">
              <w:rPr>
                <w:sz w:val="20"/>
                <w:szCs w:val="20"/>
                <w:lang w:val="en-IE"/>
              </w:rPr>
              <w:t xml:space="preserve"> </w:t>
            </w:r>
            <w:proofErr w:type="spellStart"/>
            <w:r w:rsidRPr="00B45592">
              <w:rPr>
                <w:sz w:val="20"/>
                <w:szCs w:val="20"/>
                <w:lang w:val="en-IE"/>
              </w:rPr>
              <w:t>staatliche</w:t>
            </w:r>
            <w:proofErr w:type="spellEnd"/>
            <w:r w:rsidRPr="00B45592">
              <w:rPr>
                <w:sz w:val="20"/>
                <w:szCs w:val="20"/>
                <w:lang w:val="en-IE"/>
              </w:rPr>
              <w:t xml:space="preserve"> </w:t>
            </w:r>
            <w:proofErr w:type="spellStart"/>
            <w:r w:rsidRPr="00B45592">
              <w:rPr>
                <w:sz w:val="20"/>
                <w:szCs w:val="20"/>
                <w:lang w:val="en-IE"/>
              </w:rPr>
              <w:t>begehrte</w:t>
            </w:r>
            <w:proofErr w:type="spellEnd"/>
            <w:r w:rsidRPr="00B45592">
              <w:rPr>
                <w:sz w:val="20"/>
                <w:szCs w:val="20"/>
                <w:lang w:val="en-IE"/>
              </w:rPr>
              <w:t xml:space="preserve"> </w:t>
            </w:r>
            <w:proofErr w:type="spellStart"/>
            <w:r w:rsidRPr="00B45592">
              <w:rPr>
                <w:sz w:val="20"/>
                <w:szCs w:val="20"/>
                <w:lang w:val="en-IE"/>
              </w:rPr>
              <w:t>Offenlegung</w:t>
            </w:r>
            <w:proofErr w:type="spellEnd"/>
            <w:r w:rsidRPr="00B45592">
              <w:rPr>
                <w:sz w:val="20"/>
                <w:szCs w:val="20"/>
                <w:lang w:val="en-IE"/>
              </w:rPr>
              <w:t xml:space="preserve"> also nicht </w:t>
            </w:r>
            <w:proofErr w:type="spellStart"/>
            <w:r w:rsidRPr="00B45592">
              <w:rPr>
                <w:sz w:val="20"/>
                <w:szCs w:val="20"/>
                <w:lang w:val="en-IE"/>
              </w:rPr>
              <w:t>unangemessen</w:t>
            </w:r>
            <w:proofErr w:type="spellEnd"/>
            <w:r w:rsidRPr="00B45592">
              <w:rPr>
                <w:sz w:val="20"/>
                <w:szCs w:val="20"/>
                <w:lang w:val="en-IE"/>
              </w:rPr>
              <w:t xml:space="preserve"> sein („the gist of the protection being the requirement that the disclosure sought shall not be unreasonable“</w:t>
            </w:r>
            <w:r w:rsidRPr="00B45592">
              <w:rPr>
                <w:sz w:val="20"/>
                <w:szCs w:val="20"/>
                <w:vertAlign w:val="superscript"/>
                <w:lang w:val="en-IE"/>
              </w:rPr>
              <w:t xml:space="preserve"> </w:t>
            </w:r>
            <w:r w:rsidRPr="00C105BF">
              <w:rPr>
                <w:sz w:val="20"/>
                <w:szCs w:val="20"/>
                <w:vertAlign w:val="superscript"/>
              </w:rPr>
              <w:footnoteReference w:id="2160"/>
            </w:r>
            <w:r w:rsidRPr="00B45592">
              <w:rPr>
                <w:sz w:val="20"/>
                <w:szCs w:val="20"/>
                <w:lang w:val="en-IE"/>
              </w:rPr>
              <w:t xml:space="preserve">). </w:t>
            </w:r>
            <w:r w:rsidRPr="00C105BF">
              <w:rPr>
                <w:sz w:val="20"/>
                <w:szCs w:val="20"/>
              </w:rPr>
              <w:t>Damit zeigt sich das Selbstbelastungsprivileg als Ausprägung des privaten Interesses, respektive der Bedingungen, die bestehen müssen, damit nach Glück gestrebt werden kann.</w:t>
            </w:r>
          </w:p>
          <w:p w14:paraId="05C0E94C" w14:textId="77777777" w:rsidR="00074551" w:rsidRPr="00E50B51" w:rsidRDefault="00074551" w:rsidP="00367133">
            <w:pPr>
              <w:jc w:val="both"/>
              <w:rPr>
                <w:sz w:val="20"/>
                <w:szCs w:val="20"/>
              </w:rPr>
            </w:pPr>
          </w:p>
        </w:tc>
      </w:tr>
      <w:tr w:rsidR="00074551" w:rsidRPr="00E50B51" w14:paraId="7951C1DE" w14:textId="77777777" w:rsidTr="00203768">
        <w:trPr>
          <w:cantSplit/>
          <w:trHeight w:val="3175"/>
        </w:trPr>
        <w:tc>
          <w:tcPr>
            <w:tcW w:w="293" w:type="pct"/>
            <w:shd w:val="clear" w:color="auto" w:fill="E7E6E6" w:themeFill="background2"/>
          </w:tcPr>
          <w:p w14:paraId="4CA2761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0F98C2A6"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72700490" w14:textId="77777777" w:rsidR="00074551" w:rsidRPr="00E50B51" w:rsidRDefault="00074551" w:rsidP="00367133">
            <w:pPr>
              <w:ind w:left="113" w:right="113"/>
              <w:jc w:val="both"/>
              <w:rPr>
                <w:iCs/>
                <w:sz w:val="20"/>
                <w:szCs w:val="20"/>
              </w:rPr>
            </w:pPr>
            <w:proofErr w:type="spellStart"/>
            <w:r w:rsidRPr="00E50B51">
              <w:rPr>
                <w:iCs/>
                <w:sz w:val="20"/>
                <w:szCs w:val="20"/>
              </w:rPr>
              <w:t>Procedural</w:t>
            </w:r>
            <w:proofErr w:type="spellEnd"/>
            <w:r w:rsidRPr="00E50B51">
              <w:rPr>
                <w:iCs/>
                <w:sz w:val="20"/>
                <w:szCs w:val="20"/>
              </w:rPr>
              <w:t xml:space="preserve"> Due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4E6BF33C" w14:textId="77777777" w:rsidR="00074551" w:rsidRPr="00E50B51" w:rsidRDefault="00074551" w:rsidP="00367133">
            <w:pPr>
              <w:ind w:left="113" w:right="113"/>
              <w:jc w:val="both"/>
              <w:rPr>
                <w:sz w:val="20"/>
                <w:szCs w:val="20"/>
              </w:rPr>
            </w:pPr>
            <w:r w:rsidRPr="00E50B51">
              <w:rPr>
                <w:iCs/>
                <w:sz w:val="20"/>
                <w:szCs w:val="20"/>
                <w:lang w:val="en-US"/>
              </w:rPr>
              <w:t>Jury Requirement</w:t>
            </w:r>
          </w:p>
        </w:tc>
        <w:tc>
          <w:tcPr>
            <w:tcW w:w="401" w:type="pct"/>
            <w:shd w:val="clear" w:color="auto" w:fill="E7E6E6" w:themeFill="background2"/>
          </w:tcPr>
          <w:p w14:paraId="1E5F266E"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43521770" w14:textId="77777777" w:rsidR="00074551" w:rsidRPr="00E50B51" w:rsidRDefault="00074551" w:rsidP="00367133">
            <w:pPr>
              <w:jc w:val="both"/>
              <w:rPr>
                <w:sz w:val="20"/>
                <w:szCs w:val="20"/>
              </w:rPr>
            </w:pPr>
          </w:p>
        </w:tc>
        <w:tc>
          <w:tcPr>
            <w:tcW w:w="1822" w:type="pct"/>
            <w:shd w:val="clear" w:color="auto" w:fill="E7E6E6" w:themeFill="background2"/>
          </w:tcPr>
          <w:p w14:paraId="3F59F67C" w14:textId="2D775AE1"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33906A8E" w14:textId="77777777" w:rsidTr="00BE689F">
        <w:trPr>
          <w:cantSplit/>
          <w:trHeight w:val="3175"/>
        </w:trPr>
        <w:tc>
          <w:tcPr>
            <w:tcW w:w="293" w:type="pct"/>
          </w:tcPr>
          <w:p w14:paraId="5087652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5403440" w14:textId="77777777" w:rsidR="00074551" w:rsidRPr="00E50B51" w:rsidRDefault="00074551" w:rsidP="00367133">
            <w:pPr>
              <w:ind w:left="113" w:right="416"/>
              <w:jc w:val="both"/>
              <w:rPr>
                <w:sz w:val="20"/>
                <w:szCs w:val="20"/>
              </w:rPr>
            </w:pPr>
            <w:r w:rsidRPr="00B35CD0">
              <w:rPr>
                <w:i/>
                <w:sz w:val="20"/>
                <w:szCs w:val="20"/>
              </w:rPr>
              <w:t xml:space="preserve">Ex </w:t>
            </w:r>
            <w:proofErr w:type="spellStart"/>
            <w:r w:rsidRPr="00B35CD0">
              <w:rPr>
                <w:i/>
                <w:sz w:val="20"/>
                <w:szCs w:val="20"/>
              </w:rPr>
              <w:t>parte</w:t>
            </w:r>
            <w:proofErr w:type="spellEnd"/>
            <w:r w:rsidRPr="00B35CD0">
              <w:rPr>
                <w:i/>
                <w:sz w:val="20"/>
                <w:szCs w:val="20"/>
              </w:rPr>
              <w:t xml:space="preserve"> Milligan</w:t>
            </w:r>
          </w:p>
        </w:tc>
        <w:tc>
          <w:tcPr>
            <w:tcW w:w="197" w:type="pct"/>
            <w:textDirection w:val="tbRl"/>
            <w:vAlign w:val="center"/>
          </w:tcPr>
          <w:p w14:paraId="3B216619" w14:textId="77777777" w:rsidR="00074551" w:rsidRPr="00E50B51" w:rsidRDefault="00074551" w:rsidP="00367133">
            <w:pPr>
              <w:ind w:left="113" w:right="113"/>
              <w:jc w:val="both"/>
              <w:rPr>
                <w:iCs/>
                <w:sz w:val="20"/>
                <w:szCs w:val="20"/>
              </w:rPr>
            </w:pPr>
            <w:r w:rsidRPr="00E50B51">
              <w:rPr>
                <w:sz w:val="20"/>
                <w:szCs w:val="20"/>
                <w:lang w:val="en-US"/>
              </w:rPr>
              <w:t>71 U.S. 2</w:t>
            </w:r>
          </w:p>
        </w:tc>
        <w:tc>
          <w:tcPr>
            <w:tcW w:w="306" w:type="pct"/>
            <w:textDirection w:val="tbRl"/>
            <w:vAlign w:val="center"/>
          </w:tcPr>
          <w:p w14:paraId="0B56A7AD" w14:textId="77777777" w:rsidR="00074551" w:rsidRPr="00E50B51" w:rsidRDefault="00074551" w:rsidP="00367133">
            <w:pPr>
              <w:ind w:left="113" w:right="113"/>
              <w:jc w:val="both"/>
              <w:rPr>
                <w:sz w:val="20"/>
                <w:szCs w:val="20"/>
              </w:rPr>
            </w:pPr>
            <w:r w:rsidRPr="00E50B51">
              <w:rPr>
                <w:sz w:val="20"/>
                <w:szCs w:val="20"/>
              </w:rPr>
              <w:t>3. April 1866</w:t>
            </w:r>
          </w:p>
        </w:tc>
        <w:tc>
          <w:tcPr>
            <w:tcW w:w="401" w:type="pct"/>
          </w:tcPr>
          <w:p w14:paraId="166B3C1E" w14:textId="77777777" w:rsidR="00074551" w:rsidRPr="00E50B51" w:rsidRDefault="00074551" w:rsidP="00367133">
            <w:pPr>
              <w:jc w:val="center"/>
              <w:rPr>
                <w:sz w:val="20"/>
                <w:szCs w:val="20"/>
              </w:rPr>
            </w:pPr>
            <w:r w:rsidRPr="00E50B51">
              <w:rPr>
                <w:sz w:val="20"/>
                <w:szCs w:val="20"/>
              </w:rPr>
              <w:t>S</w:t>
            </w:r>
          </w:p>
        </w:tc>
        <w:tc>
          <w:tcPr>
            <w:tcW w:w="1594" w:type="pct"/>
          </w:tcPr>
          <w:p w14:paraId="2AEDFB14" w14:textId="77777777" w:rsidR="00074551" w:rsidRPr="00E50B51" w:rsidRDefault="00074551" w:rsidP="00367133">
            <w:pPr>
              <w:jc w:val="both"/>
              <w:rPr>
                <w:sz w:val="20"/>
                <w:szCs w:val="20"/>
              </w:rPr>
            </w:pPr>
            <w:r w:rsidRPr="00E50B51">
              <w:rPr>
                <w:sz w:val="20"/>
                <w:szCs w:val="20"/>
              </w:rPr>
              <w:t>*</w:t>
            </w:r>
          </w:p>
        </w:tc>
        <w:tc>
          <w:tcPr>
            <w:tcW w:w="1822" w:type="pct"/>
          </w:tcPr>
          <w:p w14:paraId="06C6003E" w14:textId="53269D2C" w:rsidR="00074551" w:rsidRDefault="00074551" w:rsidP="00367133">
            <w:pPr>
              <w:jc w:val="both"/>
              <w:rPr>
                <w:sz w:val="20"/>
                <w:szCs w:val="20"/>
              </w:rPr>
            </w:pPr>
            <w:r>
              <w:rPr>
                <w:sz w:val="20"/>
                <w:szCs w:val="20"/>
              </w:rPr>
              <w:t>Die Anwendung des Kriegsrechts,</w:t>
            </w:r>
            <w:r w:rsidRPr="00D97D10">
              <w:rPr>
                <w:sz w:val="20"/>
                <w:szCs w:val="20"/>
              </w:rPr>
              <w:t xml:space="preserve"> respektive</w:t>
            </w:r>
            <w:r>
              <w:rPr>
                <w:sz w:val="20"/>
                <w:szCs w:val="20"/>
              </w:rPr>
              <w:t xml:space="preserve"> die Einsetzung</w:t>
            </w:r>
            <w:r w:rsidRPr="00D97D10">
              <w:rPr>
                <w:sz w:val="20"/>
                <w:szCs w:val="20"/>
              </w:rPr>
              <w:t xml:space="preserve"> eine</w:t>
            </w:r>
            <w:r>
              <w:rPr>
                <w:sz w:val="20"/>
                <w:szCs w:val="20"/>
              </w:rPr>
              <w:t>r</w:t>
            </w:r>
            <w:r w:rsidRPr="00D97D10">
              <w:rPr>
                <w:sz w:val="20"/>
                <w:szCs w:val="20"/>
              </w:rPr>
              <w:t xml:space="preserve"> Militärkommission, um Kapitaldelikte abzuurteilen, steh</w:t>
            </w:r>
            <w:r>
              <w:rPr>
                <w:sz w:val="20"/>
                <w:szCs w:val="20"/>
              </w:rPr>
              <w:t>t</w:t>
            </w:r>
            <w:r w:rsidRPr="00D97D10">
              <w:rPr>
                <w:sz w:val="20"/>
                <w:szCs w:val="20"/>
              </w:rPr>
              <w:t xml:space="preserve"> unter strengsten Voraussetzungen.</w:t>
            </w:r>
            <w:r w:rsidRPr="00D97D10">
              <w:rPr>
                <w:sz w:val="20"/>
                <w:szCs w:val="20"/>
                <w:vertAlign w:val="superscript"/>
              </w:rPr>
              <w:t xml:space="preserve"> </w:t>
            </w:r>
            <w:r w:rsidRPr="00D97D10">
              <w:rPr>
                <w:sz w:val="20"/>
                <w:szCs w:val="20"/>
                <w:vertAlign w:val="superscript"/>
              </w:rPr>
              <w:footnoteReference w:id="2161"/>
            </w:r>
            <w:r w:rsidRPr="00D97D10">
              <w:rPr>
                <w:sz w:val="20"/>
                <w:szCs w:val="20"/>
              </w:rPr>
              <w:t xml:space="preserve"> </w:t>
            </w:r>
            <w:r w:rsidRPr="00D97D10">
              <w:rPr>
                <w:sz w:val="20"/>
                <w:szCs w:val="20"/>
                <w:lang w:val="en-US"/>
              </w:rPr>
              <w:t xml:space="preserve">Denn </w:t>
            </w:r>
            <w:proofErr w:type="spellStart"/>
            <w:r w:rsidRPr="00D97D10">
              <w:rPr>
                <w:sz w:val="20"/>
                <w:szCs w:val="20"/>
                <w:lang w:val="en-US"/>
              </w:rPr>
              <w:t>dadurch</w:t>
            </w:r>
            <w:proofErr w:type="spellEnd"/>
            <w:r w:rsidRPr="00D97D10">
              <w:rPr>
                <w:sz w:val="20"/>
                <w:szCs w:val="20"/>
                <w:lang w:val="en-US"/>
              </w:rPr>
              <w:t xml:space="preserve"> </w:t>
            </w:r>
            <w:proofErr w:type="spellStart"/>
            <w:r w:rsidRPr="00D97D10">
              <w:rPr>
                <w:sz w:val="20"/>
                <w:szCs w:val="20"/>
                <w:lang w:val="en-US"/>
              </w:rPr>
              <w:t>werden</w:t>
            </w:r>
            <w:proofErr w:type="spellEnd"/>
            <w:r w:rsidRPr="00D97D10">
              <w:rPr>
                <w:sz w:val="20"/>
                <w:szCs w:val="20"/>
                <w:lang w:val="en-US"/>
              </w:rPr>
              <w:t xml:space="preserve"> </w:t>
            </w:r>
            <w:proofErr w:type="spellStart"/>
            <w:r w:rsidRPr="00D97D10">
              <w:rPr>
                <w:sz w:val="20"/>
                <w:szCs w:val="20"/>
                <w:lang w:val="en-US"/>
              </w:rPr>
              <w:t>Bedingungen</w:t>
            </w:r>
            <w:proofErr w:type="spellEnd"/>
            <w:r w:rsidRPr="00D97D10">
              <w:rPr>
                <w:sz w:val="20"/>
                <w:szCs w:val="20"/>
                <w:lang w:val="en-US"/>
              </w:rPr>
              <w:t xml:space="preserve"> für </w:t>
            </w:r>
            <w:proofErr w:type="spellStart"/>
            <w:r w:rsidRPr="00D97D10">
              <w:rPr>
                <w:sz w:val="20"/>
                <w:szCs w:val="20"/>
                <w:lang w:val="en-US"/>
              </w:rPr>
              <w:t>ein</w:t>
            </w:r>
            <w:proofErr w:type="spellEnd"/>
            <w:r w:rsidRPr="00D97D10">
              <w:rPr>
                <w:sz w:val="20"/>
                <w:szCs w:val="20"/>
                <w:lang w:val="en-US"/>
              </w:rPr>
              <w:t xml:space="preserve"> </w:t>
            </w:r>
            <w:proofErr w:type="spellStart"/>
            <w:r w:rsidRPr="00D97D10">
              <w:rPr>
                <w:sz w:val="20"/>
                <w:szCs w:val="20"/>
                <w:lang w:val="en-US"/>
              </w:rPr>
              <w:t>Glücksstreben</w:t>
            </w:r>
            <w:proofErr w:type="spellEnd"/>
            <w:r w:rsidRPr="00D97D10">
              <w:rPr>
                <w:sz w:val="20"/>
                <w:szCs w:val="20"/>
                <w:lang w:val="en-US"/>
              </w:rPr>
              <w:t xml:space="preserve"> </w:t>
            </w:r>
            <w:proofErr w:type="spellStart"/>
            <w:r w:rsidRPr="00D97D10">
              <w:rPr>
                <w:sz w:val="20"/>
                <w:szCs w:val="20"/>
                <w:lang w:val="en-US"/>
              </w:rPr>
              <w:t>eingeschränkt</w:t>
            </w:r>
            <w:proofErr w:type="spellEnd"/>
            <w:r w:rsidRPr="00D97D10">
              <w:rPr>
                <w:sz w:val="20"/>
                <w:szCs w:val="20"/>
                <w:lang w:val="en-US"/>
              </w:rPr>
              <w:t xml:space="preserve"> („martial law […] is fatal to […] the pursuit of happiness; but we are only asking for the exercise of military power, when necessity demands and prudence </w:t>
            </w:r>
            <w:proofErr w:type="gramStart"/>
            <w:r w:rsidRPr="00D97D10">
              <w:rPr>
                <w:sz w:val="20"/>
                <w:szCs w:val="20"/>
                <w:lang w:val="en-US"/>
              </w:rPr>
              <w:t>dictates“</w:t>
            </w:r>
            <w:proofErr w:type="gramEnd"/>
            <w:r w:rsidRPr="00D97D10">
              <w:rPr>
                <w:sz w:val="20"/>
                <w:szCs w:val="20"/>
                <w:vertAlign w:val="superscript"/>
              </w:rPr>
              <w:footnoteReference w:id="2162"/>
            </w:r>
            <w:r w:rsidRPr="00D97D10">
              <w:rPr>
                <w:sz w:val="20"/>
                <w:szCs w:val="20"/>
                <w:lang w:val="en-US"/>
              </w:rPr>
              <w:t xml:space="preserve">). </w:t>
            </w:r>
            <w:r w:rsidRPr="00D97D10">
              <w:rPr>
                <w:sz w:val="20"/>
                <w:szCs w:val="20"/>
              </w:rPr>
              <w:t xml:space="preserve">Doch woher kommt dieser Zusammenhang? Bedingungen für ein Glücksstreben und seine Freiheitsdimensionen drücken sich unter anderem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D97D10">
              <w:rPr>
                <w:sz w:val="20"/>
                <w:szCs w:val="20"/>
              </w:rPr>
              <w:t xml:space="preserve"> aus. Das Amendment regel</w:t>
            </w:r>
            <w:r>
              <w:rPr>
                <w:sz w:val="20"/>
                <w:szCs w:val="20"/>
              </w:rPr>
              <w:t>t</w:t>
            </w:r>
            <w:r w:rsidRPr="00D97D10">
              <w:rPr>
                <w:sz w:val="20"/>
                <w:szCs w:val="20"/>
              </w:rPr>
              <w:t>, bei strafrechtlichen Verfolgungen solle dem Angeklagten das Recht auf einen öffentlichen Prozess durch einen unparteiischen Geschworenen zukommen. Letzteres gewährleiste</w:t>
            </w:r>
            <w:r>
              <w:rPr>
                <w:sz w:val="20"/>
                <w:szCs w:val="20"/>
              </w:rPr>
              <w:t>t das</w:t>
            </w:r>
            <w:r w:rsidRPr="00D97D10">
              <w:rPr>
                <w:sz w:val="20"/>
                <w:szCs w:val="20"/>
              </w:rPr>
              <w:t xml:space="preserve"> Kriegsrecht nicht, weshalb es Glücksbedingungen einschränk</w:t>
            </w:r>
            <w:r>
              <w:rPr>
                <w:sz w:val="20"/>
                <w:szCs w:val="20"/>
              </w:rPr>
              <w:t>t</w:t>
            </w:r>
            <w:r w:rsidRPr="00D97D10">
              <w:rPr>
                <w:sz w:val="20"/>
                <w:szCs w:val="20"/>
              </w:rPr>
              <w:t xml:space="preserve">. Diese Einschränkung kann indes der Sinn und Zweck </w:t>
            </w:r>
            <w:r>
              <w:rPr>
                <w:sz w:val="20"/>
                <w:szCs w:val="20"/>
              </w:rPr>
              <w:t>von</w:t>
            </w:r>
            <w:r w:rsidRPr="00D97D1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D97D10">
              <w:rPr>
                <w:sz w:val="20"/>
                <w:szCs w:val="20"/>
              </w:rPr>
              <w:t xml:space="preserve"> rechtfertigen. Zwar regel</w:t>
            </w:r>
            <w:r>
              <w:rPr>
                <w:sz w:val="20"/>
                <w:szCs w:val="20"/>
              </w:rPr>
              <w:t>t</w:t>
            </w:r>
            <w:r w:rsidRPr="00D97D10">
              <w:rPr>
                <w:sz w:val="20"/>
                <w:szCs w:val="20"/>
              </w:rPr>
              <w:t xml:space="preserve"> dieses Amendment im Wortlaut nur die Notwendigkeit einer Anklage bei Kapitaldelikten im Strafverfahren – außer bei Streitkräften, die Kapitaldelikte während eines Kriegs oder bei öffentlicher Gefahr begangen hatten. Aber aus dem Sinn und Zweck folgert der </w:t>
            </w:r>
            <w:r>
              <w:rPr>
                <w:sz w:val="20"/>
                <w:szCs w:val="20"/>
              </w:rPr>
              <w:t>U.S. Supreme Court</w:t>
            </w:r>
            <w:r w:rsidRPr="00D97D10">
              <w:rPr>
                <w:sz w:val="20"/>
                <w:szCs w:val="20"/>
              </w:rPr>
              <w:t xml:space="preserve">, die Verfasser </w:t>
            </w:r>
            <w:r>
              <w:rPr>
                <w:sz w:val="20"/>
                <w:szCs w:val="20"/>
              </w:rPr>
              <w:t xml:space="preserve">hätten </w:t>
            </w:r>
            <w:r w:rsidRPr="00D97D10">
              <w:rPr>
                <w:sz w:val="20"/>
                <w:szCs w:val="20"/>
              </w:rPr>
              <w:t xml:space="preserve">beabsichtigt, das Recht auf ein Geschworenengericht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D97D10">
              <w:rPr>
                <w:sz w:val="20"/>
                <w:szCs w:val="20"/>
              </w:rPr>
              <w:t xml:space="preserve"> auf Personen zu beschränken, die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D97D10">
              <w:rPr>
                <w:sz w:val="20"/>
                <w:szCs w:val="20"/>
              </w:rPr>
              <w:t xml:space="preserve"> anzuklagen sind. D.h. Soldaten haben bei Kapitaldelikten keinen Anspruch auf Geschworene, sondern nur auf eine Militärkommission, wenn sie die Delikte während des Kriegs oder bei öffentlicher Gefahr begangen haben. Um die Effizienz der Streitkräfte zu sichern, </w:t>
            </w:r>
            <w:r>
              <w:rPr>
                <w:sz w:val="20"/>
                <w:szCs w:val="20"/>
              </w:rPr>
              <w:t>seien</w:t>
            </w:r>
            <w:r w:rsidRPr="00D97D10">
              <w:rPr>
                <w:sz w:val="20"/>
                <w:szCs w:val="20"/>
              </w:rPr>
              <w:t xml:space="preserve"> schnellere Verhandlungen</w:t>
            </w:r>
            <w:r>
              <w:rPr>
                <w:sz w:val="20"/>
                <w:szCs w:val="20"/>
              </w:rPr>
              <w:t xml:space="preserve"> erforderlich</w:t>
            </w:r>
            <w:r w:rsidRPr="00D97D10">
              <w:rPr>
                <w:sz w:val="20"/>
                <w:szCs w:val="20"/>
              </w:rPr>
              <w:t>, als Geschworenengerichte erlauben („</w:t>
            </w:r>
            <w:proofErr w:type="spellStart"/>
            <w:r w:rsidRPr="00D97D10">
              <w:rPr>
                <w:sz w:val="20"/>
                <w:szCs w:val="20"/>
              </w:rPr>
              <w:t>efficiency</w:t>
            </w:r>
            <w:proofErr w:type="spellEnd"/>
            <w:r w:rsidRPr="00D97D10">
              <w:rPr>
                <w:sz w:val="20"/>
                <w:szCs w:val="20"/>
              </w:rPr>
              <w:t xml:space="preserve"> of the </w:t>
            </w:r>
            <w:proofErr w:type="spellStart"/>
            <w:r w:rsidRPr="00D97D10">
              <w:rPr>
                <w:sz w:val="20"/>
                <w:szCs w:val="20"/>
              </w:rPr>
              <w:t>army</w:t>
            </w:r>
            <w:proofErr w:type="spellEnd"/>
            <w:r w:rsidRPr="00D97D10">
              <w:rPr>
                <w:sz w:val="20"/>
                <w:szCs w:val="20"/>
              </w:rPr>
              <w:t xml:space="preserve"> and </w:t>
            </w:r>
            <w:proofErr w:type="spellStart"/>
            <w:r w:rsidRPr="00D97D10">
              <w:rPr>
                <w:sz w:val="20"/>
                <w:szCs w:val="20"/>
              </w:rPr>
              <w:t>navy</w:t>
            </w:r>
            <w:proofErr w:type="spellEnd"/>
            <w:r w:rsidRPr="00D97D10">
              <w:rPr>
                <w:sz w:val="20"/>
                <w:szCs w:val="20"/>
              </w:rPr>
              <w:t xml:space="preserve">, </w:t>
            </w:r>
            <w:proofErr w:type="spellStart"/>
            <w:r w:rsidRPr="00D97D10">
              <w:rPr>
                <w:sz w:val="20"/>
                <w:szCs w:val="20"/>
              </w:rPr>
              <w:t>required</w:t>
            </w:r>
            <w:proofErr w:type="spellEnd"/>
            <w:r w:rsidRPr="00D97D10">
              <w:rPr>
                <w:sz w:val="20"/>
                <w:szCs w:val="20"/>
              </w:rPr>
              <w:t xml:space="preserve"> </w:t>
            </w:r>
            <w:proofErr w:type="spellStart"/>
            <w:r w:rsidRPr="00D97D10">
              <w:rPr>
                <w:sz w:val="20"/>
                <w:szCs w:val="20"/>
              </w:rPr>
              <w:t>other</w:t>
            </w:r>
            <w:proofErr w:type="spellEnd"/>
            <w:r w:rsidRPr="00D97D10">
              <w:rPr>
                <w:sz w:val="20"/>
                <w:szCs w:val="20"/>
              </w:rPr>
              <w:t xml:space="preserve"> and </w:t>
            </w:r>
            <w:proofErr w:type="spellStart"/>
            <w:r w:rsidRPr="00D97D10">
              <w:rPr>
                <w:sz w:val="20"/>
                <w:szCs w:val="20"/>
              </w:rPr>
              <w:t>swifter</w:t>
            </w:r>
            <w:proofErr w:type="spellEnd"/>
            <w:r w:rsidRPr="00D97D10">
              <w:rPr>
                <w:sz w:val="20"/>
                <w:szCs w:val="20"/>
              </w:rPr>
              <w:t xml:space="preserve"> </w:t>
            </w:r>
            <w:proofErr w:type="spellStart"/>
            <w:r w:rsidRPr="00D97D10">
              <w:rPr>
                <w:sz w:val="20"/>
                <w:szCs w:val="20"/>
              </w:rPr>
              <w:t>modes</w:t>
            </w:r>
            <w:proofErr w:type="spellEnd"/>
            <w:r w:rsidRPr="00D97D10">
              <w:rPr>
                <w:sz w:val="20"/>
                <w:szCs w:val="20"/>
              </w:rPr>
              <w:t xml:space="preserve"> of trial“</w:t>
            </w:r>
            <w:r w:rsidRPr="00D97D10">
              <w:rPr>
                <w:sz w:val="20"/>
                <w:szCs w:val="20"/>
                <w:vertAlign w:val="superscript"/>
              </w:rPr>
              <w:footnoteReference w:id="2163"/>
            </w:r>
            <w:r w:rsidRPr="00D97D10">
              <w:rPr>
                <w:sz w:val="20"/>
                <w:szCs w:val="20"/>
              </w:rPr>
              <w:t xml:space="preserve">). Und Soldaten unterwerfen sich auch qua Amt einem schnelleren Gerichtsverfahren. </w:t>
            </w:r>
            <w:r w:rsidRPr="00D97D10">
              <w:rPr>
                <w:sz w:val="20"/>
                <w:szCs w:val="20"/>
                <w:lang w:val="en-US"/>
              </w:rPr>
              <w:t xml:space="preserve">Sie </w:t>
            </w:r>
            <w:proofErr w:type="spellStart"/>
            <w:r w:rsidRPr="00D97D10">
              <w:rPr>
                <w:sz w:val="20"/>
                <w:szCs w:val="20"/>
                <w:lang w:val="en-US"/>
              </w:rPr>
              <w:t>verzichten</w:t>
            </w:r>
            <w:proofErr w:type="spellEnd"/>
            <w:r w:rsidRPr="00D97D10">
              <w:rPr>
                <w:sz w:val="20"/>
                <w:szCs w:val="20"/>
                <w:lang w:val="en-US"/>
              </w:rPr>
              <w:t xml:space="preserve"> </w:t>
            </w:r>
            <w:proofErr w:type="spellStart"/>
            <w:r w:rsidRPr="00D97D10">
              <w:rPr>
                <w:sz w:val="20"/>
                <w:szCs w:val="20"/>
                <w:lang w:val="en-US"/>
              </w:rPr>
              <w:t>damit</w:t>
            </w:r>
            <w:proofErr w:type="spellEnd"/>
            <w:r w:rsidRPr="00D97D10">
              <w:rPr>
                <w:sz w:val="20"/>
                <w:szCs w:val="20"/>
                <w:lang w:val="en-US"/>
              </w:rPr>
              <w:t xml:space="preserve"> </w:t>
            </w:r>
            <w:proofErr w:type="spellStart"/>
            <w:r>
              <w:rPr>
                <w:sz w:val="20"/>
                <w:szCs w:val="20"/>
                <w:lang w:val="en-US"/>
              </w:rPr>
              <w:t>z.B.</w:t>
            </w:r>
            <w:proofErr w:type="spellEnd"/>
            <w:r w:rsidRPr="00D97D10">
              <w:rPr>
                <w:sz w:val="20"/>
                <w:szCs w:val="20"/>
                <w:lang w:val="en-US"/>
              </w:rPr>
              <w:t xml:space="preserve"> auf </w:t>
            </w:r>
            <w:proofErr w:type="spellStart"/>
            <w:r w:rsidRPr="00D97D10">
              <w:rPr>
                <w:sz w:val="20"/>
                <w:szCs w:val="20"/>
                <w:lang w:val="en-US"/>
              </w:rPr>
              <w:t>ein</w:t>
            </w:r>
            <w:proofErr w:type="spellEnd"/>
            <w:r w:rsidRPr="00D97D10">
              <w:rPr>
                <w:sz w:val="20"/>
                <w:szCs w:val="20"/>
                <w:lang w:val="en-US"/>
              </w:rPr>
              <w:t xml:space="preserve"> </w:t>
            </w:r>
            <w:proofErr w:type="spellStart"/>
            <w:r w:rsidRPr="00D97D10">
              <w:rPr>
                <w:sz w:val="20"/>
                <w:szCs w:val="20"/>
                <w:lang w:val="en-US"/>
              </w:rPr>
              <w:t>Geschworenengericht</w:t>
            </w:r>
            <w:proofErr w:type="spellEnd"/>
            <w:r w:rsidRPr="00D97D10">
              <w:rPr>
                <w:sz w:val="20"/>
                <w:szCs w:val="20"/>
                <w:lang w:val="en-US"/>
              </w:rPr>
              <w:t xml:space="preserve"> („while thus serving, surrenders his right to be tried by the civil </w:t>
            </w:r>
            <w:proofErr w:type="gramStart"/>
            <w:r w:rsidRPr="00D97D10">
              <w:rPr>
                <w:sz w:val="20"/>
                <w:szCs w:val="20"/>
                <w:lang w:val="en-US"/>
              </w:rPr>
              <w:t>courts“</w:t>
            </w:r>
            <w:proofErr w:type="gramEnd"/>
            <w:r w:rsidRPr="00D97D10">
              <w:rPr>
                <w:sz w:val="20"/>
                <w:szCs w:val="20"/>
                <w:lang w:val="en-US"/>
              </w:rPr>
              <w:t xml:space="preserve">). </w:t>
            </w:r>
            <w:r w:rsidRPr="00D97D10">
              <w:rPr>
                <w:sz w:val="20"/>
                <w:szCs w:val="20"/>
              </w:rPr>
              <w:t xml:space="preserve">Aber alle anderen Personen haben während eines Strafverfahrens das Vorrecht auf ein Geschworenengericht als ein lebenswichtiges Prinzip („All </w:t>
            </w:r>
            <w:proofErr w:type="spellStart"/>
            <w:r w:rsidRPr="00D97D10">
              <w:rPr>
                <w:sz w:val="20"/>
                <w:szCs w:val="20"/>
              </w:rPr>
              <w:t>other</w:t>
            </w:r>
            <w:proofErr w:type="spellEnd"/>
            <w:r w:rsidRPr="00D97D10">
              <w:rPr>
                <w:sz w:val="20"/>
                <w:szCs w:val="20"/>
              </w:rPr>
              <w:t xml:space="preserve"> </w:t>
            </w:r>
            <w:proofErr w:type="spellStart"/>
            <w:r w:rsidRPr="00D97D10">
              <w:rPr>
                <w:sz w:val="20"/>
                <w:szCs w:val="20"/>
              </w:rPr>
              <w:t>persons</w:t>
            </w:r>
            <w:proofErr w:type="spellEnd"/>
            <w:r w:rsidRPr="00D97D10">
              <w:rPr>
                <w:sz w:val="20"/>
                <w:szCs w:val="20"/>
              </w:rPr>
              <w:t xml:space="preserve"> […] </w:t>
            </w:r>
            <w:proofErr w:type="spellStart"/>
            <w:r w:rsidRPr="00D97D10">
              <w:rPr>
                <w:sz w:val="20"/>
                <w:szCs w:val="20"/>
              </w:rPr>
              <w:t>if</w:t>
            </w:r>
            <w:proofErr w:type="spellEnd"/>
            <w:r w:rsidRPr="00D97D10">
              <w:rPr>
                <w:sz w:val="20"/>
                <w:szCs w:val="20"/>
              </w:rPr>
              <w:t xml:space="preserve"> </w:t>
            </w:r>
            <w:proofErr w:type="spellStart"/>
            <w:r w:rsidRPr="00D97D10">
              <w:rPr>
                <w:sz w:val="20"/>
                <w:szCs w:val="20"/>
              </w:rPr>
              <w:t>charged</w:t>
            </w:r>
            <w:proofErr w:type="spellEnd"/>
            <w:r w:rsidRPr="00D97D10">
              <w:rPr>
                <w:sz w:val="20"/>
                <w:szCs w:val="20"/>
              </w:rPr>
              <w:t xml:space="preserve"> </w:t>
            </w:r>
            <w:proofErr w:type="spellStart"/>
            <w:r w:rsidRPr="00D97D10">
              <w:rPr>
                <w:sz w:val="20"/>
                <w:szCs w:val="20"/>
              </w:rPr>
              <w:t>with</w:t>
            </w:r>
            <w:proofErr w:type="spellEnd"/>
            <w:r w:rsidRPr="00D97D10">
              <w:rPr>
                <w:sz w:val="20"/>
                <w:szCs w:val="20"/>
              </w:rPr>
              <w:t xml:space="preserve"> </w:t>
            </w:r>
            <w:proofErr w:type="spellStart"/>
            <w:r w:rsidRPr="00D97D10">
              <w:rPr>
                <w:sz w:val="20"/>
                <w:szCs w:val="20"/>
              </w:rPr>
              <w:t>crime</w:t>
            </w:r>
            <w:proofErr w:type="spellEnd"/>
            <w:r w:rsidRPr="00D97D10">
              <w:rPr>
                <w:sz w:val="20"/>
                <w:szCs w:val="20"/>
              </w:rPr>
              <w:t xml:space="preserve">, </w:t>
            </w:r>
            <w:proofErr w:type="spellStart"/>
            <w:r w:rsidRPr="00D97D10">
              <w:rPr>
                <w:sz w:val="20"/>
                <w:szCs w:val="20"/>
              </w:rPr>
              <w:t>are</w:t>
            </w:r>
            <w:proofErr w:type="spellEnd"/>
            <w:r w:rsidRPr="00D97D10">
              <w:rPr>
                <w:sz w:val="20"/>
                <w:szCs w:val="20"/>
              </w:rPr>
              <w:t xml:space="preserve"> </w:t>
            </w:r>
            <w:proofErr w:type="spellStart"/>
            <w:r w:rsidRPr="00D97D10">
              <w:rPr>
                <w:sz w:val="20"/>
                <w:szCs w:val="20"/>
              </w:rPr>
              <w:t>guaranteed</w:t>
            </w:r>
            <w:proofErr w:type="spellEnd"/>
            <w:r w:rsidRPr="00D97D10">
              <w:rPr>
                <w:sz w:val="20"/>
                <w:szCs w:val="20"/>
              </w:rPr>
              <w:t xml:space="preserve"> the </w:t>
            </w:r>
            <w:proofErr w:type="spellStart"/>
            <w:r w:rsidRPr="00D97D10">
              <w:rPr>
                <w:sz w:val="20"/>
                <w:szCs w:val="20"/>
              </w:rPr>
              <w:t>inestimable</w:t>
            </w:r>
            <w:proofErr w:type="spellEnd"/>
            <w:r w:rsidRPr="00D97D10">
              <w:rPr>
                <w:sz w:val="20"/>
                <w:szCs w:val="20"/>
              </w:rPr>
              <w:t xml:space="preserve"> </w:t>
            </w:r>
            <w:proofErr w:type="spellStart"/>
            <w:r w:rsidRPr="00D97D10">
              <w:rPr>
                <w:sz w:val="20"/>
                <w:szCs w:val="20"/>
              </w:rPr>
              <w:t>privilege</w:t>
            </w:r>
            <w:proofErr w:type="spellEnd"/>
            <w:r w:rsidRPr="00D97D10">
              <w:rPr>
                <w:sz w:val="20"/>
                <w:szCs w:val="20"/>
              </w:rPr>
              <w:t xml:space="preserve"> of trial by </w:t>
            </w:r>
            <w:proofErr w:type="spellStart"/>
            <w:r w:rsidRPr="00D97D10">
              <w:rPr>
                <w:sz w:val="20"/>
                <w:szCs w:val="20"/>
              </w:rPr>
              <w:t>jury</w:t>
            </w:r>
            <w:proofErr w:type="spellEnd"/>
            <w:r w:rsidRPr="00D97D10">
              <w:rPr>
                <w:sz w:val="20"/>
                <w:szCs w:val="20"/>
              </w:rPr>
              <w:t xml:space="preserve">. This </w:t>
            </w:r>
            <w:proofErr w:type="spellStart"/>
            <w:r w:rsidRPr="00D97D10">
              <w:rPr>
                <w:sz w:val="20"/>
                <w:szCs w:val="20"/>
              </w:rPr>
              <w:t>privilege</w:t>
            </w:r>
            <w:proofErr w:type="spellEnd"/>
            <w:r w:rsidRPr="00D97D10">
              <w:rPr>
                <w:sz w:val="20"/>
                <w:szCs w:val="20"/>
              </w:rPr>
              <w:t xml:space="preserve"> </w:t>
            </w:r>
            <w:proofErr w:type="spellStart"/>
            <w:r w:rsidRPr="00D97D10">
              <w:rPr>
                <w:sz w:val="20"/>
                <w:szCs w:val="20"/>
              </w:rPr>
              <w:t>is</w:t>
            </w:r>
            <w:proofErr w:type="spellEnd"/>
            <w:r w:rsidRPr="00D97D10">
              <w:rPr>
                <w:sz w:val="20"/>
                <w:szCs w:val="20"/>
              </w:rPr>
              <w:t xml:space="preserve"> a vital </w:t>
            </w:r>
            <w:proofErr w:type="spellStart"/>
            <w:r w:rsidRPr="00D97D10">
              <w:rPr>
                <w:sz w:val="20"/>
                <w:szCs w:val="20"/>
              </w:rPr>
              <w:t>principle</w:t>
            </w:r>
            <w:proofErr w:type="spellEnd"/>
            <w:r w:rsidRPr="00D97D10">
              <w:rPr>
                <w:sz w:val="20"/>
                <w:szCs w:val="20"/>
              </w:rPr>
              <w:t>“</w:t>
            </w:r>
            <w:r w:rsidRPr="00D97D10">
              <w:rPr>
                <w:sz w:val="20"/>
                <w:szCs w:val="20"/>
                <w:vertAlign w:val="superscript"/>
              </w:rPr>
              <w:footnoteReference w:id="2164"/>
            </w:r>
            <w:r w:rsidRPr="00D97D10">
              <w:rPr>
                <w:sz w:val="20"/>
                <w:szCs w:val="20"/>
              </w:rPr>
              <w:t>). Staatliche oder politische Notwendigkeit können es nicht derogieren. Es ist eine Freiheitsdimension („</w:t>
            </w:r>
            <w:proofErr w:type="spellStart"/>
            <w:r w:rsidRPr="00D97D10">
              <w:rPr>
                <w:sz w:val="20"/>
                <w:szCs w:val="20"/>
              </w:rPr>
              <w:t>safeguards</w:t>
            </w:r>
            <w:proofErr w:type="spellEnd"/>
            <w:r w:rsidRPr="00D97D10">
              <w:rPr>
                <w:sz w:val="20"/>
                <w:szCs w:val="20"/>
              </w:rPr>
              <w:t xml:space="preserve"> of </w:t>
            </w:r>
            <w:proofErr w:type="spellStart"/>
            <w:r w:rsidRPr="00D97D10">
              <w:rPr>
                <w:sz w:val="20"/>
                <w:szCs w:val="20"/>
              </w:rPr>
              <w:t>liberty</w:t>
            </w:r>
            <w:proofErr w:type="spellEnd"/>
            <w:r w:rsidRPr="00D97D10">
              <w:rPr>
                <w:sz w:val="20"/>
                <w:szCs w:val="20"/>
              </w:rPr>
              <w:t>“</w:t>
            </w:r>
            <w:r w:rsidRPr="00D97D10">
              <w:rPr>
                <w:sz w:val="20"/>
                <w:szCs w:val="20"/>
                <w:vertAlign w:val="superscript"/>
              </w:rPr>
              <w:footnoteReference w:id="2165"/>
            </w:r>
            <w:r w:rsidRPr="00D97D10">
              <w:rPr>
                <w:sz w:val="20"/>
                <w:szCs w:val="20"/>
              </w:rPr>
              <w:t>), die das Glücksstreben in seiner freiheitlichen Seite ausdrück</w:t>
            </w:r>
            <w:r>
              <w:rPr>
                <w:sz w:val="20"/>
                <w:szCs w:val="20"/>
              </w:rPr>
              <w:t>t</w:t>
            </w:r>
            <w:r w:rsidRPr="00D97D10">
              <w:rPr>
                <w:sz w:val="20"/>
                <w:szCs w:val="20"/>
              </w:rPr>
              <w:t xml:space="preserve"> („</w:t>
            </w:r>
            <w:proofErr w:type="spellStart"/>
            <w:r w:rsidRPr="00D97D10">
              <w:rPr>
                <w:sz w:val="20"/>
                <w:szCs w:val="20"/>
              </w:rPr>
              <w:t>liberty</w:t>
            </w:r>
            <w:proofErr w:type="spellEnd"/>
            <w:r w:rsidRPr="00D97D10">
              <w:rPr>
                <w:sz w:val="20"/>
                <w:szCs w:val="20"/>
              </w:rPr>
              <w:t xml:space="preserve"> and the </w:t>
            </w:r>
            <w:proofErr w:type="spellStart"/>
            <w:r w:rsidRPr="00D97D10">
              <w:rPr>
                <w:sz w:val="20"/>
                <w:szCs w:val="20"/>
              </w:rPr>
              <w:t>pursuit</w:t>
            </w:r>
            <w:proofErr w:type="spellEnd"/>
            <w:r w:rsidRPr="00D97D10">
              <w:rPr>
                <w:sz w:val="20"/>
                <w:szCs w:val="20"/>
              </w:rPr>
              <w:t xml:space="preserve"> of </w:t>
            </w:r>
            <w:proofErr w:type="spellStart"/>
            <w:r w:rsidRPr="00D97D10">
              <w:rPr>
                <w:sz w:val="20"/>
                <w:szCs w:val="20"/>
              </w:rPr>
              <w:t>happiness</w:t>
            </w:r>
            <w:proofErr w:type="spellEnd"/>
            <w:r w:rsidRPr="00D97D10">
              <w:rPr>
                <w:sz w:val="20"/>
                <w:szCs w:val="20"/>
              </w:rPr>
              <w:t>“</w:t>
            </w:r>
            <w:r w:rsidRPr="00D97D10">
              <w:rPr>
                <w:sz w:val="20"/>
                <w:szCs w:val="20"/>
                <w:vertAlign w:val="superscript"/>
              </w:rPr>
              <w:footnoteReference w:id="2166"/>
            </w:r>
            <w:r w:rsidRPr="00D97D10">
              <w:rPr>
                <w:sz w:val="20"/>
                <w:szCs w:val="20"/>
              </w:rPr>
              <w:t>).</w:t>
            </w:r>
          </w:p>
          <w:p w14:paraId="7503F30F" w14:textId="77777777" w:rsidR="00074551" w:rsidRPr="00E50B51" w:rsidRDefault="00074551" w:rsidP="00367133">
            <w:pPr>
              <w:jc w:val="both"/>
              <w:rPr>
                <w:sz w:val="20"/>
                <w:szCs w:val="20"/>
              </w:rPr>
            </w:pPr>
          </w:p>
        </w:tc>
      </w:tr>
      <w:tr w:rsidR="00074551" w:rsidRPr="00E50B51" w14:paraId="1D640625" w14:textId="77777777" w:rsidTr="00BE689F">
        <w:trPr>
          <w:cantSplit/>
          <w:trHeight w:val="3175"/>
        </w:trPr>
        <w:tc>
          <w:tcPr>
            <w:tcW w:w="293" w:type="pct"/>
          </w:tcPr>
          <w:p w14:paraId="465496D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62B73FF" w14:textId="77777777" w:rsidR="00074551" w:rsidRPr="00E50B51" w:rsidRDefault="00074551" w:rsidP="00367133">
            <w:pPr>
              <w:ind w:left="113" w:right="416"/>
              <w:jc w:val="both"/>
              <w:rPr>
                <w:sz w:val="20"/>
                <w:szCs w:val="20"/>
              </w:rPr>
            </w:pPr>
            <w:r w:rsidRPr="00A15962">
              <w:rPr>
                <w:i/>
                <w:sz w:val="20"/>
                <w:szCs w:val="20"/>
              </w:rPr>
              <w:t>Neal v. Del.</w:t>
            </w:r>
          </w:p>
        </w:tc>
        <w:tc>
          <w:tcPr>
            <w:tcW w:w="197" w:type="pct"/>
            <w:textDirection w:val="tbRl"/>
            <w:vAlign w:val="center"/>
          </w:tcPr>
          <w:p w14:paraId="3C0DD8D3" w14:textId="77777777" w:rsidR="00074551" w:rsidRPr="00E50B51" w:rsidRDefault="00074551" w:rsidP="00367133">
            <w:pPr>
              <w:ind w:left="113" w:right="113"/>
              <w:jc w:val="both"/>
              <w:rPr>
                <w:iCs/>
                <w:sz w:val="20"/>
                <w:szCs w:val="20"/>
              </w:rPr>
            </w:pPr>
            <w:r w:rsidRPr="00E50B51">
              <w:rPr>
                <w:sz w:val="20"/>
                <w:szCs w:val="20"/>
                <w:lang w:val="en-US"/>
              </w:rPr>
              <w:t>103 U.S. 370</w:t>
            </w:r>
          </w:p>
        </w:tc>
        <w:tc>
          <w:tcPr>
            <w:tcW w:w="306" w:type="pct"/>
            <w:textDirection w:val="tbRl"/>
            <w:vAlign w:val="center"/>
          </w:tcPr>
          <w:p w14:paraId="7A43F2A9" w14:textId="77777777" w:rsidR="00074551" w:rsidRPr="00E50B51" w:rsidRDefault="00074551" w:rsidP="00367133">
            <w:pPr>
              <w:ind w:left="113" w:right="113"/>
              <w:jc w:val="both"/>
              <w:rPr>
                <w:sz w:val="20"/>
                <w:szCs w:val="20"/>
              </w:rPr>
            </w:pPr>
            <w:r w:rsidRPr="00E50B51">
              <w:rPr>
                <w:sz w:val="20"/>
                <w:szCs w:val="20"/>
                <w:lang w:val="en-US"/>
              </w:rPr>
              <w:t>2. Mai 1881</w:t>
            </w:r>
          </w:p>
        </w:tc>
        <w:tc>
          <w:tcPr>
            <w:tcW w:w="401" w:type="pct"/>
          </w:tcPr>
          <w:p w14:paraId="1BC13FB3"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5FB564B5" w14:textId="77777777" w:rsidR="00074551" w:rsidRPr="00E50B51" w:rsidRDefault="00074551" w:rsidP="00367133">
            <w:pPr>
              <w:jc w:val="both"/>
              <w:rPr>
                <w:sz w:val="20"/>
                <w:szCs w:val="20"/>
              </w:rPr>
            </w:pPr>
            <w:r w:rsidRPr="00E50B51">
              <w:rPr>
                <w:sz w:val="20"/>
                <w:szCs w:val="20"/>
              </w:rPr>
              <w:t>*</w:t>
            </w:r>
          </w:p>
        </w:tc>
        <w:tc>
          <w:tcPr>
            <w:tcW w:w="1822" w:type="pct"/>
          </w:tcPr>
          <w:p w14:paraId="4CE553D0" w14:textId="084FCB6D" w:rsidR="00074551" w:rsidRDefault="00074551" w:rsidP="00367133">
            <w:pPr>
              <w:jc w:val="both"/>
              <w:rPr>
                <w:sz w:val="20"/>
                <w:szCs w:val="20"/>
              </w:rPr>
            </w:pPr>
            <w:r w:rsidRPr="00A42248">
              <w:rPr>
                <w:sz w:val="20"/>
                <w:szCs w:val="20"/>
              </w:rPr>
              <w:t>Ein farbiger Angeklagter kann nach keiner Verfassungsbestimmung beanspruchen, dass seine Rasse</w:t>
            </w:r>
            <w:r w:rsidR="006B5A0D">
              <w:rPr>
                <w:rStyle w:val="Funotenzeichen"/>
                <w:sz w:val="20"/>
                <w:szCs w:val="20"/>
              </w:rPr>
              <w:footnoteReference w:id="2167"/>
            </w:r>
            <w:r w:rsidRPr="00A42248">
              <w:rPr>
                <w:sz w:val="20"/>
                <w:szCs w:val="20"/>
              </w:rPr>
              <w:t xml:space="preserve"> </w:t>
            </w:r>
            <w:r>
              <w:rPr>
                <w:sz w:val="20"/>
                <w:szCs w:val="20"/>
              </w:rPr>
              <w:t>unter</w:t>
            </w:r>
            <w:r w:rsidRPr="00A42248">
              <w:rPr>
                <w:sz w:val="20"/>
                <w:szCs w:val="20"/>
              </w:rPr>
              <w:t xml:space="preserve"> den Geschworenen vertreten sei; selbst, wenn es beim Prozess um sein Leben, seine Freiheit oder sein Eigentum ginge. Denn um den gleichen Schutz der Gesetze zu gewährleisten, gebe die Verfassung nicht vor, Geschworene repräsentativ zu besetzen. Dafür </w:t>
            </w:r>
            <w:r>
              <w:rPr>
                <w:sz w:val="20"/>
                <w:szCs w:val="20"/>
              </w:rPr>
              <w:t>gebe</w:t>
            </w:r>
            <w:r w:rsidRPr="00A42248">
              <w:rPr>
                <w:sz w:val="20"/>
                <w:szCs w:val="20"/>
              </w:rPr>
              <w:t xml:space="preserve"> die Verfassung aber das Recht vor, dass bei der Auswahl der Geschworenen eine Rasse nicht ausgeschlossen sein dürfe („in the </w:t>
            </w:r>
            <w:proofErr w:type="spellStart"/>
            <w:r w:rsidRPr="00A42248">
              <w:rPr>
                <w:sz w:val="20"/>
                <w:szCs w:val="20"/>
              </w:rPr>
              <w:t>selection</w:t>
            </w:r>
            <w:proofErr w:type="spellEnd"/>
            <w:r w:rsidRPr="00A42248">
              <w:rPr>
                <w:sz w:val="20"/>
                <w:szCs w:val="20"/>
              </w:rPr>
              <w:t xml:space="preserve"> of </w:t>
            </w:r>
            <w:proofErr w:type="spellStart"/>
            <w:r w:rsidRPr="00A42248">
              <w:rPr>
                <w:sz w:val="20"/>
                <w:szCs w:val="20"/>
              </w:rPr>
              <w:t>jurors</w:t>
            </w:r>
            <w:proofErr w:type="spellEnd"/>
            <w:r w:rsidRPr="00A42248">
              <w:rPr>
                <w:sz w:val="20"/>
                <w:szCs w:val="20"/>
              </w:rPr>
              <w:t xml:space="preserve"> to pass upon </w:t>
            </w:r>
            <w:proofErr w:type="spellStart"/>
            <w:r w:rsidRPr="00A42248">
              <w:rPr>
                <w:sz w:val="20"/>
                <w:szCs w:val="20"/>
              </w:rPr>
              <w:t>his</w:t>
            </w:r>
            <w:proofErr w:type="spellEnd"/>
            <w:r w:rsidRPr="00A42248">
              <w:rPr>
                <w:sz w:val="20"/>
                <w:szCs w:val="20"/>
              </w:rPr>
              <w:t xml:space="preserve"> </w:t>
            </w:r>
            <w:proofErr w:type="spellStart"/>
            <w:r w:rsidRPr="00A42248">
              <w:rPr>
                <w:sz w:val="20"/>
                <w:szCs w:val="20"/>
              </w:rPr>
              <w:t>life</w:t>
            </w:r>
            <w:proofErr w:type="spellEnd"/>
            <w:r w:rsidRPr="00A42248">
              <w:rPr>
                <w:sz w:val="20"/>
                <w:szCs w:val="20"/>
              </w:rPr>
              <w:t xml:space="preserve">, </w:t>
            </w:r>
            <w:proofErr w:type="spellStart"/>
            <w:r w:rsidRPr="00A42248">
              <w:rPr>
                <w:sz w:val="20"/>
                <w:szCs w:val="20"/>
              </w:rPr>
              <w:t>liberty</w:t>
            </w:r>
            <w:proofErr w:type="spellEnd"/>
            <w:r w:rsidRPr="00A42248">
              <w:rPr>
                <w:sz w:val="20"/>
                <w:szCs w:val="20"/>
              </w:rPr>
              <w:t xml:space="preserve">, </w:t>
            </w:r>
            <w:proofErr w:type="spellStart"/>
            <w:r w:rsidRPr="00A42248">
              <w:rPr>
                <w:sz w:val="20"/>
                <w:szCs w:val="20"/>
              </w:rPr>
              <w:t>or</w:t>
            </w:r>
            <w:proofErr w:type="spellEnd"/>
            <w:r w:rsidRPr="00A42248">
              <w:rPr>
                <w:sz w:val="20"/>
                <w:szCs w:val="20"/>
              </w:rPr>
              <w:t xml:space="preserve"> </w:t>
            </w:r>
            <w:proofErr w:type="spellStart"/>
            <w:r w:rsidRPr="00A42248">
              <w:rPr>
                <w:sz w:val="20"/>
                <w:szCs w:val="20"/>
              </w:rPr>
              <w:t>property</w:t>
            </w:r>
            <w:proofErr w:type="spellEnd"/>
            <w:r w:rsidRPr="00A42248">
              <w:rPr>
                <w:sz w:val="20"/>
                <w:szCs w:val="20"/>
              </w:rPr>
              <w:t xml:space="preserve">, </w:t>
            </w:r>
            <w:proofErr w:type="spellStart"/>
            <w:r w:rsidRPr="00A42248">
              <w:rPr>
                <w:sz w:val="20"/>
                <w:szCs w:val="20"/>
              </w:rPr>
              <w:t>there</w:t>
            </w:r>
            <w:proofErr w:type="spellEnd"/>
            <w:r w:rsidRPr="00A42248">
              <w:rPr>
                <w:sz w:val="20"/>
                <w:szCs w:val="20"/>
              </w:rPr>
              <w:t xml:space="preserve"> </w:t>
            </w:r>
            <w:proofErr w:type="spellStart"/>
            <w:r w:rsidRPr="00A42248">
              <w:rPr>
                <w:sz w:val="20"/>
                <w:szCs w:val="20"/>
              </w:rPr>
              <w:t>shall</w:t>
            </w:r>
            <w:proofErr w:type="spellEnd"/>
            <w:r w:rsidRPr="00A42248">
              <w:rPr>
                <w:sz w:val="20"/>
                <w:szCs w:val="20"/>
              </w:rPr>
              <w:t xml:space="preserve"> </w:t>
            </w:r>
            <w:proofErr w:type="spellStart"/>
            <w:r w:rsidRPr="00A42248">
              <w:rPr>
                <w:sz w:val="20"/>
                <w:szCs w:val="20"/>
              </w:rPr>
              <w:t>be</w:t>
            </w:r>
            <w:proofErr w:type="spellEnd"/>
            <w:r w:rsidRPr="00A42248">
              <w:rPr>
                <w:sz w:val="20"/>
                <w:szCs w:val="20"/>
              </w:rPr>
              <w:t xml:space="preserve"> </w:t>
            </w:r>
            <w:proofErr w:type="spellStart"/>
            <w:r w:rsidRPr="00A42248">
              <w:rPr>
                <w:sz w:val="20"/>
                <w:szCs w:val="20"/>
              </w:rPr>
              <w:t>no</w:t>
            </w:r>
            <w:proofErr w:type="spellEnd"/>
            <w:r w:rsidRPr="00A42248">
              <w:rPr>
                <w:sz w:val="20"/>
                <w:szCs w:val="20"/>
              </w:rPr>
              <w:t xml:space="preserve"> </w:t>
            </w:r>
            <w:proofErr w:type="spellStart"/>
            <w:r w:rsidRPr="00A42248">
              <w:rPr>
                <w:sz w:val="20"/>
                <w:szCs w:val="20"/>
              </w:rPr>
              <w:t>exclusion</w:t>
            </w:r>
            <w:proofErr w:type="spellEnd"/>
            <w:r w:rsidRPr="00A42248">
              <w:rPr>
                <w:sz w:val="20"/>
                <w:szCs w:val="20"/>
              </w:rPr>
              <w:t xml:space="preserve"> of </w:t>
            </w:r>
            <w:proofErr w:type="spellStart"/>
            <w:r w:rsidRPr="00A42248">
              <w:rPr>
                <w:sz w:val="20"/>
                <w:szCs w:val="20"/>
              </w:rPr>
              <w:t>his</w:t>
            </w:r>
            <w:proofErr w:type="spellEnd"/>
            <w:r w:rsidRPr="00A42248">
              <w:rPr>
                <w:sz w:val="20"/>
                <w:szCs w:val="20"/>
              </w:rPr>
              <w:t xml:space="preserve"> </w:t>
            </w:r>
            <w:proofErr w:type="spellStart"/>
            <w:r w:rsidRPr="00A42248">
              <w:rPr>
                <w:sz w:val="20"/>
                <w:szCs w:val="20"/>
              </w:rPr>
              <w:t>race</w:t>
            </w:r>
            <w:proofErr w:type="spellEnd"/>
            <w:r w:rsidRPr="00A42248">
              <w:rPr>
                <w:sz w:val="20"/>
                <w:szCs w:val="20"/>
              </w:rPr>
              <w:t>“</w:t>
            </w:r>
            <w:r w:rsidRPr="00A42248">
              <w:rPr>
                <w:sz w:val="20"/>
                <w:szCs w:val="20"/>
                <w:vertAlign w:val="superscript"/>
              </w:rPr>
              <w:footnoteReference w:id="2168"/>
            </w:r>
            <w:r w:rsidRPr="00A42248">
              <w:rPr>
                <w:sz w:val="20"/>
                <w:szCs w:val="20"/>
              </w:rPr>
              <w:t>). Hiergegen wurde in einem Fall</w:t>
            </w:r>
            <w:r w:rsidRPr="00A42248">
              <w:rPr>
                <w:sz w:val="20"/>
                <w:szCs w:val="20"/>
                <w:vertAlign w:val="superscript"/>
              </w:rPr>
              <w:footnoteReference w:id="2169"/>
            </w:r>
            <w:r w:rsidRPr="00A42248">
              <w:rPr>
                <w:sz w:val="20"/>
                <w:szCs w:val="20"/>
              </w:rPr>
              <w:t xml:space="preserve"> verstoßen. Und laut Dissens des Falls ergibt sich diese Vorgabe in positiver und negativer Hinsicht – als Bedingungen für ein Streben nach Glück („</w:t>
            </w:r>
            <w:proofErr w:type="spellStart"/>
            <w:r w:rsidRPr="00A42248">
              <w:rPr>
                <w:sz w:val="20"/>
                <w:szCs w:val="20"/>
              </w:rPr>
              <w:t>when</w:t>
            </w:r>
            <w:proofErr w:type="spellEnd"/>
            <w:r w:rsidRPr="00A42248">
              <w:rPr>
                <w:sz w:val="20"/>
                <w:szCs w:val="20"/>
              </w:rPr>
              <w:t xml:space="preserve"> </w:t>
            </w:r>
            <w:proofErr w:type="spellStart"/>
            <w:r w:rsidRPr="00A42248">
              <w:rPr>
                <w:sz w:val="20"/>
                <w:szCs w:val="20"/>
              </w:rPr>
              <w:t>they</w:t>
            </w:r>
            <w:proofErr w:type="spellEnd"/>
            <w:r w:rsidRPr="00A42248">
              <w:rPr>
                <w:sz w:val="20"/>
                <w:szCs w:val="20"/>
              </w:rPr>
              <w:t xml:space="preserve"> </w:t>
            </w:r>
            <w:proofErr w:type="spellStart"/>
            <w:r w:rsidRPr="00A42248">
              <w:rPr>
                <w:sz w:val="20"/>
                <w:szCs w:val="20"/>
              </w:rPr>
              <w:t>are</w:t>
            </w:r>
            <w:proofErr w:type="spellEnd"/>
            <w:r w:rsidRPr="00A42248">
              <w:rPr>
                <w:sz w:val="20"/>
                <w:szCs w:val="20"/>
              </w:rPr>
              <w:t xml:space="preserve"> </w:t>
            </w:r>
            <w:proofErr w:type="spellStart"/>
            <w:r w:rsidRPr="00A42248">
              <w:rPr>
                <w:sz w:val="20"/>
                <w:szCs w:val="20"/>
              </w:rPr>
              <w:t>subjected</w:t>
            </w:r>
            <w:proofErr w:type="spellEnd"/>
            <w:r w:rsidRPr="00A42248">
              <w:rPr>
                <w:sz w:val="20"/>
                <w:szCs w:val="20"/>
              </w:rPr>
              <w:t xml:space="preserve"> to </w:t>
            </w:r>
            <w:proofErr w:type="spellStart"/>
            <w:r w:rsidRPr="00A42248">
              <w:rPr>
                <w:sz w:val="20"/>
                <w:szCs w:val="20"/>
              </w:rPr>
              <w:t>no</w:t>
            </w:r>
            <w:proofErr w:type="spellEnd"/>
            <w:r w:rsidRPr="00A42248">
              <w:rPr>
                <w:sz w:val="20"/>
                <w:szCs w:val="20"/>
              </w:rPr>
              <w:t xml:space="preserve"> </w:t>
            </w:r>
            <w:proofErr w:type="spellStart"/>
            <w:r w:rsidRPr="00A42248">
              <w:rPr>
                <w:sz w:val="20"/>
                <w:szCs w:val="20"/>
              </w:rPr>
              <w:t>restructions</w:t>
            </w:r>
            <w:proofErr w:type="spellEnd"/>
            <w:r w:rsidRPr="00A42248">
              <w:rPr>
                <w:sz w:val="20"/>
                <w:szCs w:val="20"/>
              </w:rPr>
              <w:t xml:space="preserve"> in […] the </w:t>
            </w:r>
            <w:proofErr w:type="spellStart"/>
            <w:r w:rsidRPr="00A42248">
              <w:rPr>
                <w:sz w:val="20"/>
                <w:szCs w:val="20"/>
              </w:rPr>
              <w:t>pursuit</w:t>
            </w:r>
            <w:proofErr w:type="spellEnd"/>
            <w:r w:rsidRPr="00A42248">
              <w:rPr>
                <w:sz w:val="20"/>
                <w:szCs w:val="20"/>
              </w:rPr>
              <w:t xml:space="preserve"> of </w:t>
            </w:r>
            <w:proofErr w:type="spellStart"/>
            <w:r w:rsidRPr="00A42248">
              <w:rPr>
                <w:sz w:val="20"/>
                <w:szCs w:val="20"/>
              </w:rPr>
              <w:t>happiness</w:t>
            </w:r>
            <w:proofErr w:type="spellEnd"/>
            <w:r w:rsidRPr="00A42248">
              <w:rPr>
                <w:sz w:val="20"/>
                <w:szCs w:val="20"/>
              </w:rPr>
              <w:t xml:space="preserve">, </w:t>
            </w:r>
            <w:proofErr w:type="spellStart"/>
            <w:r w:rsidRPr="00A42248">
              <w:rPr>
                <w:sz w:val="20"/>
                <w:szCs w:val="20"/>
              </w:rPr>
              <w:t>which</w:t>
            </w:r>
            <w:proofErr w:type="spellEnd"/>
            <w:r w:rsidRPr="00A42248">
              <w:rPr>
                <w:sz w:val="20"/>
                <w:szCs w:val="20"/>
              </w:rPr>
              <w:t xml:space="preserve"> do not </w:t>
            </w:r>
            <w:proofErr w:type="spellStart"/>
            <w:r w:rsidRPr="00A42248">
              <w:rPr>
                <w:sz w:val="20"/>
                <w:szCs w:val="20"/>
              </w:rPr>
              <w:t>equally</w:t>
            </w:r>
            <w:proofErr w:type="spellEnd"/>
            <w:r w:rsidRPr="00A42248">
              <w:rPr>
                <w:sz w:val="20"/>
                <w:szCs w:val="20"/>
              </w:rPr>
              <w:t xml:space="preserve"> </w:t>
            </w:r>
            <w:proofErr w:type="spellStart"/>
            <w:r w:rsidRPr="00A42248">
              <w:rPr>
                <w:sz w:val="20"/>
                <w:szCs w:val="20"/>
              </w:rPr>
              <w:t>affect</w:t>
            </w:r>
            <w:proofErr w:type="spellEnd"/>
            <w:r w:rsidRPr="00A42248">
              <w:rPr>
                <w:sz w:val="20"/>
                <w:szCs w:val="20"/>
              </w:rPr>
              <w:t xml:space="preserve"> </w:t>
            </w:r>
            <w:proofErr w:type="spellStart"/>
            <w:r w:rsidRPr="00A42248">
              <w:rPr>
                <w:sz w:val="20"/>
                <w:szCs w:val="20"/>
              </w:rPr>
              <w:t>others</w:t>
            </w:r>
            <w:proofErr w:type="spellEnd"/>
            <w:r w:rsidRPr="00A42248">
              <w:rPr>
                <w:sz w:val="20"/>
                <w:szCs w:val="20"/>
              </w:rPr>
              <w:t>“</w:t>
            </w:r>
            <w:r w:rsidRPr="00A42248">
              <w:rPr>
                <w:sz w:val="20"/>
                <w:szCs w:val="20"/>
                <w:vertAlign w:val="superscript"/>
              </w:rPr>
              <w:footnoteReference w:id="2170"/>
            </w:r>
            <w:r w:rsidRPr="00A42248">
              <w:rPr>
                <w:sz w:val="20"/>
                <w:szCs w:val="20"/>
              </w:rPr>
              <w:t>): Positiv müsse jeder Teil der Gerichtsbarkeit allen offenstehen („</w:t>
            </w:r>
            <w:proofErr w:type="spellStart"/>
            <w:r w:rsidRPr="00A42248">
              <w:rPr>
                <w:sz w:val="20"/>
                <w:szCs w:val="20"/>
              </w:rPr>
              <w:t>its</w:t>
            </w:r>
            <w:proofErr w:type="spellEnd"/>
            <w:r w:rsidRPr="00A42248">
              <w:rPr>
                <w:sz w:val="20"/>
                <w:szCs w:val="20"/>
              </w:rPr>
              <w:t xml:space="preserve"> </w:t>
            </w:r>
            <w:proofErr w:type="spellStart"/>
            <w:r w:rsidRPr="00A42248">
              <w:rPr>
                <w:sz w:val="20"/>
                <w:szCs w:val="20"/>
              </w:rPr>
              <w:t>courts</w:t>
            </w:r>
            <w:proofErr w:type="spellEnd"/>
            <w:r w:rsidRPr="00A42248">
              <w:rPr>
                <w:sz w:val="20"/>
                <w:szCs w:val="20"/>
              </w:rPr>
              <w:t xml:space="preserve"> </w:t>
            </w:r>
            <w:proofErr w:type="spellStart"/>
            <w:r w:rsidRPr="00A42248">
              <w:rPr>
                <w:sz w:val="20"/>
                <w:szCs w:val="20"/>
              </w:rPr>
              <w:t>are</w:t>
            </w:r>
            <w:proofErr w:type="spellEnd"/>
            <w:r w:rsidRPr="00A42248">
              <w:rPr>
                <w:sz w:val="20"/>
                <w:szCs w:val="20"/>
              </w:rPr>
              <w:t xml:space="preserve"> open to </w:t>
            </w:r>
            <w:proofErr w:type="spellStart"/>
            <w:r w:rsidRPr="00A42248">
              <w:rPr>
                <w:sz w:val="20"/>
                <w:szCs w:val="20"/>
              </w:rPr>
              <w:t>them</w:t>
            </w:r>
            <w:proofErr w:type="spellEnd"/>
            <w:r w:rsidRPr="00A42248">
              <w:rPr>
                <w:sz w:val="20"/>
                <w:szCs w:val="20"/>
              </w:rPr>
              <w:t xml:space="preserve"> on the same </w:t>
            </w:r>
            <w:proofErr w:type="spellStart"/>
            <w:r w:rsidRPr="00A42248">
              <w:rPr>
                <w:sz w:val="20"/>
                <w:szCs w:val="20"/>
              </w:rPr>
              <w:t>terms</w:t>
            </w:r>
            <w:proofErr w:type="spellEnd"/>
            <w:r w:rsidRPr="00A42248">
              <w:rPr>
                <w:sz w:val="20"/>
                <w:szCs w:val="20"/>
              </w:rPr>
              <w:t xml:space="preserve"> as to </w:t>
            </w:r>
            <w:proofErr w:type="spellStart"/>
            <w:r w:rsidRPr="00A42248">
              <w:rPr>
                <w:sz w:val="20"/>
                <w:szCs w:val="20"/>
              </w:rPr>
              <w:t>others</w:t>
            </w:r>
            <w:proofErr w:type="spellEnd"/>
            <w:r w:rsidRPr="00A42248">
              <w:rPr>
                <w:sz w:val="20"/>
                <w:szCs w:val="20"/>
              </w:rPr>
              <w:t>“</w:t>
            </w:r>
            <w:r w:rsidRPr="00A42248">
              <w:rPr>
                <w:sz w:val="20"/>
                <w:szCs w:val="20"/>
                <w:vertAlign w:val="superscript"/>
                <w:lang w:val="en-US"/>
              </w:rPr>
              <w:footnoteReference w:id="2171"/>
            </w:r>
            <w:r w:rsidRPr="00A42248">
              <w:rPr>
                <w:sz w:val="20"/>
                <w:szCs w:val="20"/>
              </w:rPr>
              <w:t>). Und negativ dürf</w:t>
            </w:r>
            <w:r>
              <w:rPr>
                <w:sz w:val="20"/>
                <w:szCs w:val="20"/>
              </w:rPr>
              <w:t>t</w:t>
            </w:r>
            <w:r w:rsidRPr="00A42248">
              <w:rPr>
                <w:sz w:val="20"/>
                <w:szCs w:val="20"/>
              </w:rPr>
              <w:t xml:space="preserve">en </w:t>
            </w:r>
            <w:r>
              <w:rPr>
                <w:sz w:val="20"/>
                <w:szCs w:val="20"/>
              </w:rPr>
              <w:t>z.B.</w:t>
            </w:r>
            <w:r w:rsidRPr="00A42248">
              <w:rPr>
                <w:sz w:val="20"/>
                <w:szCs w:val="20"/>
              </w:rPr>
              <w:t xml:space="preserve"> Gesetze von Person zu Person nicht verschiedenen Bewei</w:t>
            </w:r>
            <w:r>
              <w:rPr>
                <w:sz w:val="20"/>
                <w:szCs w:val="20"/>
              </w:rPr>
              <w:t>s</w:t>
            </w:r>
            <w:r w:rsidRPr="00A42248">
              <w:rPr>
                <w:sz w:val="20"/>
                <w:szCs w:val="20"/>
              </w:rPr>
              <w:t>anforderungen, andere Rechtsfolgen oder strengere Strafen auferlegen.</w:t>
            </w:r>
            <w:r w:rsidRPr="00A42248">
              <w:rPr>
                <w:sz w:val="20"/>
                <w:szCs w:val="20"/>
                <w:vertAlign w:val="superscript"/>
              </w:rPr>
              <w:footnoteReference w:id="2172"/>
            </w:r>
            <w:r w:rsidRPr="00A42248">
              <w:rPr>
                <w:sz w:val="20"/>
                <w:szCs w:val="20"/>
              </w:rPr>
              <w:t xml:space="preserve"> </w:t>
            </w:r>
          </w:p>
          <w:p w14:paraId="14CD2729" w14:textId="77777777" w:rsidR="00074551" w:rsidRPr="00E50B51" w:rsidRDefault="00074551" w:rsidP="00367133">
            <w:pPr>
              <w:jc w:val="both"/>
              <w:rPr>
                <w:sz w:val="20"/>
                <w:szCs w:val="20"/>
              </w:rPr>
            </w:pPr>
          </w:p>
        </w:tc>
      </w:tr>
      <w:tr w:rsidR="00074551" w:rsidRPr="00E50B51" w14:paraId="6C0DEFA6" w14:textId="77777777" w:rsidTr="00203768">
        <w:trPr>
          <w:cantSplit/>
          <w:trHeight w:val="3175"/>
        </w:trPr>
        <w:tc>
          <w:tcPr>
            <w:tcW w:w="293" w:type="pct"/>
            <w:shd w:val="clear" w:color="auto" w:fill="E7E6E6" w:themeFill="background2"/>
          </w:tcPr>
          <w:p w14:paraId="214C806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0EE6A36C"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41181BF5" w14:textId="77777777" w:rsidR="00074551" w:rsidRPr="00E50B51" w:rsidRDefault="00074551" w:rsidP="00367133">
            <w:pPr>
              <w:ind w:left="113" w:right="113"/>
              <w:jc w:val="both"/>
              <w:rPr>
                <w:iCs/>
                <w:sz w:val="20"/>
                <w:szCs w:val="20"/>
              </w:rPr>
            </w:pPr>
            <w:proofErr w:type="spellStart"/>
            <w:r w:rsidRPr="00E50B51">
              <w:rPr>
                <w:iCs/>
                <w:sz w:val="20"/>
                <w:szCs w:val="20"/>
              </w:rPr>
              <w:t>Procedural</w:t>
            </w:r>
            <w:proofErr w:type="spellEnd"/>
            <w:r w:rsidRPr="00E50B51">
              <w:rPr>
                <w:iCs/>
                <w:sz w:val="20"/>
                <w:szCs w:val="20"/>
              </w:rPr>
              <w:t xml:space="preserve"> Due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54F568E9" w14:textId="77777777" w:rsidR="00074551" w:rsidRPr="00E50B51" w:rsidRDefault="00074551" w:rsidP="00367133">
            <w:pPr>
              <w:ind w:left="113" w:right="113"/>
              <w:jc w:val="both"/>
              <w:rPr>
                <w:iCs/>
                <w:sz w:val="20"/>
                <w:szCs w:val="20"/>
                <w:lang w:val="en-US"/>
              </w:rPr>
            </w:pPr>
            <w:r w:rsidRPr="00E50B51">
              <w:rPr>
                <w:iCs/>
                <w:sz w:val="20"/>
                <w:szCs w:val="20"/>
                <w:lang w:val="en-US"/>
              </w:rPr>
              <w:t>Double Jeopardy</w:t>
            </w:r>
          </w:p>
          <w:p w14:paraId="65C6837D" w14:textId="77777777" w:rsidR="00074551" w:rsidRPr="00E50B51" w:rsidRDefault="00074551" w:rsidP="00367133">
            <w:pPr>
              <w:ind w:left="113" w:right="113"/>
              <w:jc w:val="both"/>
              <w:rPr>
                <w:sz w:val="20"/>
                <w:szCs w:val="20"/>
              </w:rPr>
            </w:pPr>
          </w:p>
        </w:tc>
        <w:tc>
          <w:tcPr>
            <w:tcW w:w="401" w:type="pct"/>
            <w:shd w:val="clear" w:color="auto" w:fill="E7E6E6" w:themeFill="background2"/>
          </w:tcPr>
          <w:p w14:paraId="0BAF523E"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5FF2C35A" w14:textId="77777777" w:rsidR="00074551" w:rsidRPr="00E50B51" w:rsidRDefault="00074551" w:rsidP="00367133">
            <w:pPr>
              <w:jc w:val="both"/>
              <w:rPr>
                <w:sz w:val="20"/>
                <w:szCs w:val="20"/>
              </w:rPr>
            </w:pPr>
          </w:p>
        </w:tc>
        <w:tc>
          <w:tcPr>
            <w:tcW w:w="1822" w:type="pct"/>
            <w:shd w:val="clear" w:color="auto" w:fill="E7E6E6" w:themeFill="background2"/>
          </w:tcPr>
          <w:p w14:paraId="7F3D41B0" w14:textId="56E63E2E"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26C1DC8F" w14:textId="77777777" w:rsidTr="00BE689F">
        <w:trPr>
          <w:cantSplit/>
          <w:trHeight w:val="3175"/>
        </w:trPr>
        <w:tc>
          <w:tcPr>
            <w:tcW w:w="293" w:type="pct"/>
          </w:tcPr>
          <w:p w14:paraId="6DAFB71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9104DC5" w14:textId="77777777" w:rsidR="00074551" w:rsidRPr="00E50B51" w:rsidRDefault="00074551" w:rsidP="00367133">
            <w:pPr>
              <w:ind w:left="113" w:right="416"/>
              <w:jc w:val="both"/>
              <w:rPr>
                <w:sz w:val="20"/>
                <w:szCs w:val="20"/>
              </w:rPr>
            </w:pPr>
            <w:proofErr w:type="spellStart"/>
            <w:r w:rsidRPr="00B35CD0">
              <w:rPr>
                <w:i/>
                <w:sz w:val="20"/>
                <w:szCs w:val="20"/>
              </w:rPr>
              <w:t>Gamble</w:t>
            </w:r>
            <w:proofErr w:type="spellEnd"/>
            <w:r w:rsidRPr="00B35CD0">
              <w:rPr>
                <w:i/>
                <w:sz w:val="20"/>
                <w:szCs w:val="20"/>
              </w:rPr>
              <w:t xml:space="preserve"> v. United States</w:t>
            </w:r>
          </w:p>
        </w:tc>
        <w:tc>
          <w:tcPr>
            <w:tcW w:w="197" w:type="pct"/>
            <w:textDirection w:val="tbRl"/>
            <w:vAlign w:val="center"/>
          </w:tcPr>
          <w:p w14:paraId="518432A4" w14:textId="77777777" w:rsidR="00074551" w:rsidRPr="00E50B51" w:rsidRDefault="00074551" w:rsidP="00367133">
            <w:pPr>
              <w:ind w:left="113" w:right="113"/>
              <w:jc w:val="both"/>
              <w:rPr>
                <w:iCs/>
                <w:sz w:val="20"/>
                <w:szCs w:val="20"/>
              </w:rPr>
            </w:pPr>
            <w:r w:rsidRPr="00E50B51">
              <w:rPr>
                <w:sz w:val="20"/>
                <w:szCs w:val="20"/>
                <w:lang w:val="en-US"/>
              </w:rPr>
              <w:t>139 S. Ct. 1960</w:t>
            </w:r>
          </w:p>
        </w:tc>
        <w:tc>
          <w:tcPr>
            <w:tcW w:w="306" w:type="pct"/>
            <w:textDirection w:val="tbRl"/>
            <w:vAlign w:val="center"/>
          </w:tcPr>
          <w:p w14:paraId="5797A0A2" w14:textId="77777777" w:rsidR="00074551" w:rsidRPr="00E50B51" w:rsidRDefault="00074551" w:rsidP="00367133">
            <w:pPr>
              <w:ind w:left="113" w:right="113"/>
              <w:jc w:val="both"/>
              <w:rPr>
                <w:sz w:val="20"/>
                <w:szCs w:val="20"/>
              </w:rPr>
            </w:pPr>
            <w:r w:rsidRPr="00E50B51">
              <w:rPr>
                <w:sz w:val="20"/>
                <w:szCs w:val="20"/>
              </w:rPr>
              <w:t>17. Juni 2019</w:t>
            </w:r>
          </w:p>
        </w:tc>
        <w:tc>
          <w:tcPr>
            <w:tcW w:w="401" w:type="pct"/>
          </w:tcPr>
          <w:p w14:paraId="6EFA45A2" w14:textId="77777777" w:rsidR="00074551" w:rsidRPr="00E50B51" w:rsidRDefault="00074551" w:rsidP="00367133">
            <w:pPr>
              <w:jc w:val="center"/>
              <w:rPr>
                <w:sz w:val="20"/>
                <w:szCs w:val="20"/>
              </w:rPr>
            </w:pPr>
            <w:r w:rsidRPr="00E50B51">
              <w:rPr>
                <w:sz w:val="20"/>
                <w:szCs w:val="20"/>
              </w:rPr>
              <w:t>C</w:t>
            </w:r>
          </w:p>
        </w:tc>
        <w:tc>
          <w:tcPr>
            <w:tcW w:w="1594" w:type="pct"/>
          </w:tcPr>
          <w:p w14:paraId="124E4F71" w14:textId="77777777" w:rsidR="00074551" w:rsidRPr="00E50B51" w:rsidRDefault="00074551" w:rsidP="00367133">
            <w:pPr>
              <w:jc w:val="both"/>
              <w:rPr>
                <w:sz w:val="20"/>
                <w:szCs w:val="20"/>
              </w:rPr>
            </w:pPr>
            <w:r w:rsidRPr="00E50B51">
              <w:rPr>
                <w:sz w:val="20"/>
                <w:szCs w:val="20"/>
              </w:rPr>
              <w:t>*</w:t>
            </w:r>
          </w:p>
        </w:tc>
        <w:tc>
          <w:tcPr>
            <w:tcW w:w="1822" w:type="pct"/>
          </w:tcPr>
          <w:p w14:paraId="614A51A1" w14:textId="2DEF7310" w:rsidR="00074551" w:rsidRDefault="00074551" w:rsidP="00367133">
            <w:pPr>
              <w:jc w:val="both"/>
              <w:rPr>
                <w:sz w:val="20"/>
                <w:szCs w:val="20"/>
              </w:rPr>
            </w:pPr>
            <w:r w:rsidRPr="0042272A">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 xml:space="preserve"> </w:t>
            </w:r>
            <w:r w:rsidRPr="0042272A">
              <w:rPr>
                <w:sz w:val="20"/>
                <w:szCs w:val="20"/>
              </w:rPr>
              <w:t>laute</w:t>
            </w:r>
            <w:r>
              <w:rPr>
                <w:sz w:val="20"/>
                <w:szCs w:val="20"/>
              </w:rPr>
              <w:t>t</w:t>
            </w:r>
            <w:r w:rsidRPr="0042272A">
              <w:rPr>
                <w:sz w:val="20"/>
                <w:szCs w:val="20"/>
              </w:rPr>
              <w:t xml:space="preserve">, dass Bundesstaaten zwar verpflichtet seien, sich an die </w:t>
            </w:r>
            <w:r w:rsidRPr="5B67C1D2">
              <w:rPr>
                <w:i/>
                <w:iCs/>
                <w:sz w:val="20"/>
                <w:szCs w:val="20"/>
              </w:rPr>
              <w:t xml:space="preserve">Double Jeopardy </w:t>
            </w:r>
            <w:proofErr w:type="spellStart"/>
            <w:r w:rsidRPr="5B67C1D2">
              <w:rPr>
                <w:i/>
                <w:iCs/>
                <w:sz w:val="20"/>
                <w:szCs w:val="20"/>
              </w:rPr>
              <w:t>Clause</w:t>
            </w:r>
            <w:proofErr w:type="spellEnd"/>
            <w:r w:rsidRPr="0042272A">
              <w:rPr>
                <w:sz w:val="20"/>
                <w:szCs w:val="20"/>
              </w:rPr>
              <w:t xml:space="preserve"> zu halten, so wie der </w:t>
            </w:r>
            <w:r>
              <w:rPr>
                <w:sz w:val="20"/>
                <w:szCs w:val="20"/>
              </w:rPr>
              <w:t>U.S. Supreme Court</w:t>
            </w:r>
            <w:r w:rsidRPr="0042272A">
              <w:rPr>
                <w:sz w:val="20"/>
                <w:szCs w:val="20"/>
              </w:rPr>
              <w:t xml:space="preserve"> sie auslege. Aber diese Auslegung umfasse auch die Doktrin der doppelten Souveränität („dual-</w:t>
            </w:r>
            <w:proofErr w:type="spellStart"/>
            <w:r w:rsidRPr="0042272A">
              <w:rPr>
                <w:sz w:val="20"/>
                <w:szCs w:val="20"/>
              </w:rPr>
              <w:t>sovereignty</w:t>
            </w:r>
            <w:proofErr w:type="spellEnd"/>
            <w:r w:rsidRPr="0042272A">
              <w:rPr>
                <w:sz w:val="20"/>
                <w:szCs w:val="20"/>
              </w:rPr>
              <w:t xml:space="preserve"> </w:t>
            </w:r>
            <w:proofErr w:type="spellStart"/>
            <w:r w:rsidRPr="0042272A">
              <w:rPr>
                <w:sz w:val="20"/>
                <w:szCs w:val="20"/>
              </w:rPr>
              <w:t>rule</w:t>
            </w:r>
            <w:proofErr w:type="spellEnd"/>
            <w:r w:rsidRPr="0042272A">
              <w:rPr>
                <w:sz w:val="20"/>
                <w:szCs w:val="20"/>
              </w:rPr>
              <w:t>“</w:t>
            </w:r>
            <w:r w:rsidRPr="0042272A">
              <w:rPr>
                <w:sz w:val="20"/>
                <w:szCs w:val="20"/>
                <w:vertAlign w:val="superscript"/>
              </w:rPr>
              <w:footnoteReference w:id="2173"/>
            </w:r>
            <w:r w:rsidRPr="0042272A">
              <w:rPr>
                <w:sz w:val="20"/>
                <w:szCs w:val="20"/>
              </w:rPr>
              <w:t>). Das Zusammenspiel beider Doktrinen laute: Das Verbot</w:t>
            </w:r>
            <w:r>
              <w:rPr>
                <w:sz w:val="20"/>
                <w:szCs w:val="20"/>
              </w:rPr>
              <w:t>,</w:t>
            </w:r>
            <w:r w:rsidRPr="0042272A">
              <w:rPr>
                <w:sz w:val="20"/>
                <w:szCs w:val="20"/>
              </w:rPr>
              <w:t xml:space="preserve"> dieselbe Tat zwei Mal zu bestrafen, ergebe sich nur bei Strafverfolgungen unter gleichem Souverän („</w:t>
            </w:r>
            <w:proofErr w:type="spellStart"/>
            <w:r w:rsidRPr="0042272A">
              <w:rPr>
                <w:sz w:val="20"/>
                <w:szCs w:val="20"/>
              </w:rPr>
              <w:t>only</w:t>
            </w:r>
            <w:proofErr w:type="spellEnd"/>
            <w:r w:rsidRPr="0042272A">
              <w:rPr>
                <w:sz w:val="20"/>
                <w:szCs w:val="20"/>
              </w:rPr>
              <w:t xml:space="preserve"> same-sovereign </w:t>
            </w:r>
            <w:proofErr w:type="spellStart"/>
            <w:r w:rsidRPr="0042272A">
              <w:rPr>
                <w:sz w:val="20"/>
                <w:szCs w:val="20"/>
              </w:rPr>
              <w:t>successive</w:t>
            </w:r>
            <w:proofErr w:type="spellEnd"/>
            <w:r w:rsidRPr="0042272A">
              <w:rPr>
                <w:sz w:val="20"/>
                <w:szCs w:val="20"/>
              </w:rPr>
              <w:t xml:space="preserve"> </w:t>
            </w:r>
            <w:proofErr w:type="spellStart"/>
            <w:r w:rsidRPr="0042272A">
              <w:rPr>
                <w:sz w:val="20"/>
                <w:szCs w:val="20"/>
              </w:rPr>
              <w:t>prosecutions</w:t>
            </w:r>
            <w:proofErr w:type="spellEnd"/>
            <w:r w:rsidRPr="0042272A">
              <w:rPr>
                <w:sz w:val="20"/>
                <w:szCs w:val="20"/>
              </w:rPr>
              <w:t xml:space="preserve"> </w:t>
            </w:r>
            <w:proofErr w:type="spellStart"/>
            <w:r w:rsidRPr="0042272A">
              <w:rPr>
                <w:sz w:val="20"/>
                <w:szCs w:val="20"/>
              </w:rPr>
              <w:t>are</w:t>
            </w:r>
            <w:proofErr w:type="spellEnd"/>
            <w:r w:rsidRPr="0042272A">
              <w:rPr>
                <w:sz w:val="20"/>
                <w:szCs w:val="20"/>
              </w:rPr>
              <w:t xml:space="preserve"> </w:t>
            </w:r>
            <w:proofErr w:type="spellStart"/>
            <w:r w:rsidRPr="0042272A">
              <w:rPr>
                <w:sz w:val="20"/>
                <w:szCs w:val="20"/>
              </w:rPr>
              <w:t>prosecutions</w:t>
            </w:r>
            <w:proofErr w:type="spellEnd"/>
            <w:r w:rsidRPr="0042272A">
              <w:rPr>
                <w:sz w:val="20"/>
                <w:szCs w:val="20"/>
              </w:rPr>
              <w:t xml:space="preserve"> for </w:t>
            </w:r>
            <w:proofErr w:type="gramStart"/>
            <w:r w:rsidRPr="0042272A">
              <w:rPr>
                <w:sz w:val="20"/>
                <w:szCs w:val="20"/>
              </w:rPr>
              <w:t xml:space="preserve">the </w:t>
            </w:r>
            <w:r>
              <w:rPr>
                <w:sz w:val="20"/>
                <w:szCs w:val="20"/>
              </w:rPr>
              <w:t>,</w:t>
            </w:r>
            <w:r w:rsidRPr="0042272A">
              <w:rPr>
                <w:sz w:val="20"/>
                <w:szCs w:val="20"/>
              </w:rPr>
              <w:t>same</w:t>
            </w:r>
            <w:proofErr w:type="gramEnd"/>
            <w:r w:rsidRPr="0042272A">
              <w:rPr>
                <w:sz w:val="20"/>
                <w:szCs w:val="20"/>
              </w:rPr>
              <w:t xml:space="preserve"> </w:t>
            </w:r>
            <w:proofErr w:type="spellStart"/>
            <w:r w:rsidRPr="0042272A">
              <w:rPr>
                <w:sz w:val="20"/>
                <w:szCs w:val="20"/>
              </w:rPr>
              <w:t>offense</w:t>
            </w:r>
            <w:proofErr w:type="spellEnd"/>
            <w:r>
              <w:rPr>
                <w:sz w:val="20"/>
                <w:szCs w:val="20"/>
              </w:rPr>
              <w:t>‘</w:t>
            </w:r>
            <w:r w:rsidRPr="0042272A">
              <w:rPr>
                <w:sz w:val="20"/>
                <w:szCs w:val="20"/>
              </w:rPr>
              <w:t>“</w:t>
            </w:r>
            <w:r w:rsidRPr="0042272A">
              <w:rPr>
                <w:sz w:val="20"/>
                <w:szCs w:val="20"/>
                <w:vertAlign w:val="superscript"/>
              </w:rPr>
              <w:footnoteReference w:id="2174"/>
            </w:r>
            <w:r w:rsidRPr="0042272A">
              <w:rPr>
                <w:sz w:val="20"/>
                <w:szCs w:val="20"/>
              </w:rPr>
              <w:t xml:space="preserve">). Und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42272A">
              <w:rPr>
                <w:sz w:val="20"/>
                <w:szCs w:val="20"/>
              </w:rPr>
              <w:t xml:space="preserve"> ändere nichts an diesem Zusammenspiel beider Doktrinen. Denn dieses Amendment schütze nach seiner Einführung zwar gegen unrechtmäßige Durchsuchungen auf Bundesebene und auf bundesstaatlicher Ebene</w:t>
            </w:r>
            <w:r>
              <w:rPr>
                <w:sz w:val="20"/>
                <w:szCs w:val="20"/>
              </w:rPr>
              <w:t> – a</w:t>
            </w:r>
            <w:r w:rsidRPr="0042272A">
              <w:rPr>
                <w:sz w:val="20"/>
                <w:szCs w:val="20"/>
              </w:rPr>
              <w:t xml:space="preserve">ber nicht gegen mehr. D.h. eine analoge Anwendung auf die </w:t>
            </w:r>
            <w:r w:rsidRPr="5B67C1D2">
              <w:rPr>
                <w:i/>
                <w:iCs/>
                <w:sz w:val="20"/>
                <w:szCs w:val="20"/>
              </w:rPr>
              <w:t xml:space="preserve">Double Jeopardy </w:t>
            </w:r>
            <w:proofErr w:type="spellStart"/>
            <w:r w:rsidRPr="5B67C1D2">
              <w:rPr>
                <w:i/>
                <w:iCs/>
                <w:sz w:val="20"/>
                <w:szCs w:val="20"/>
              </w:rPr>
              <w:t>Clause</w:t>
            </w:r>
            <w:proofErr w:type="spellEnd"/>
            <w:r w:rsidRPr="5B67C1D2">
              <w:rPr>
                <w:i/>
                <w:iCs/>
                <w:sz w:val="20"/>
                <w:szCs w:val="20"/>
              </w:rPr>
              <w:t xml:space="preserve"> </w:t>
            </w:r>
            <w:r w:rsidRPr="0042272A">
              <w:rPr>
                <w:sz w:val="20"/>
                <w:szCs w:val="20"/>
              </w:rPr>
              <w:t>sei nicht möglich, damit diese auch für unterschiedlichen Souveräne gelte – also auf Bundesebene und auf bundesstaatlicher Ebene. Denn der klare Wortlaut des Amendments sei begrenzt („</w:t>
            </w:r>
            <w:proofErr w:type="spellStart"/>
            <w:r w:rsidRPr="0042272A">
              <w:rPr>
                <w:sz w:val="20"/>
                <w:szCs w:val="20"/>
              </w:rPr>
              <w:t>analogy</w:t>
            </w:r>
            <w:proofErr w:type="spellEnd"/>
            <w:r w:rsidRPr="0042272A">
              <w:rPr>
                <w:sz w:val="20"/>
                <w:szCs w:val="20"/>
              </w:rPr>
              <w:t xml:space="preserve"> </w:t>
            </w:r>
            <w:proofErr w:type="spellStart"/>
            <w:r w:rsidRPr="0042272A">
              <w:rPr>
                <w:sz w:val="20"/>
                <w:szCs w:val="20"/>
              </w:rPr>
              <w:t>fails</w:t>
            </w:r>
            <w:proofErr w:type="spellEnd"/>
            <w:r w:rsidRPr="0042272A">
              <w:rPr>
                <w:sz w:val="20"/>
                <w:szCs w:val="20"/>
              </w:rPr>
              <w:t>“</w:t>
            </w:r>
            <w:r w:rsidRPr="0042272A">
              <w:rPr>
                <w:sz w:val="20"/>
                <w:szCs w:val="20"/>
                <w:vertAlign w:val="superscript"/>
              </w:rPr>
              <w:footnoteReference w:id="2175"/>
            </w:r>
            <w:r w:rsidRPr="0042272A">
              <w:rPr>
                <w:sz w:val="20"/>
                <w:szCs w:val="20"/>
              </w:rPr>
              <w:t xml:space="preserve">). Und woraus legimitieren sich die Doktrinen, die sogar Amendments begrenzen, hier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42272A">
              <w:rPr>
                <w:sz w:val="20"/>
                <w:szCs w:val="20"/>
              </w:rPr>
              <w:t>? Doktrinen stellen Prinzipien dar, die sich aus der Gesetzesauslegung erschließen – und die die Gesetze sogar überregeln können. Das</w:t>
            </w:r>
            <w:r>
              <w:rPr>
                <w:sz w:val="20"/>
                <w:szCs w:val="20"/>
              </w:rPr>
              <w:t>s</w:t>
            </w:r>
            <w:r w:rsidRPr="0042272A">
              <w:rPr>
                <w:sz w:val="20"/>
                <w:szCs w:val="20"/>
              </w:rPr>
              <w:t xml:space="preserve"> sie existieren dürfen, zeigen die Gründungsdokumente der Vereinigten Staaten, die selbst auf Grundprinzipien beruhen, die erfahrbar und objektiv sind („fundamental </w:t>
            </w:r>
            <w:proofErr w:type="spellStart"/>
            <w:r w:rsidRPr="0042272A">
              <w:rPr>
                <w:sz w:val="20"/>
                <w:szCs w:val="20"/>
              </w:rPr>
              <w:t>principles</w:t>
            </w:r>
            <w:proofErr w:type="spellEnd"/>
            <w:r w:rsidRPr="0042272A">
              <w:rPr>
                <w:sz w:val="20"/>
                <w:szCs w:val="20"/>
              </w:rPr>
              <w:t xml:space="preserve"> </w:t>
            </w:r>
            <w:proofErr w:type="spellStart"/>
            <w:r w:rsidRPr="0042272A">
              <w:rPr>
                <w:sz w:val="20"/>
                <w:szCs w:val="20"/>
              </w:rPr>
              <w:t>are</w:t>
            </w:r>
            <w:proofErr w:type="spellEnd"/>
            <w:r w:rsidRPr="0042272A">
              <w:rPr>
                <w:sz w:val="20"/>
                <w:szCs w:val="20"/>
              </w:rPr>
              <w:t xml:space="preserve"> </w:t>
            </w:r>
            <w:proofErr w:type="spellStart"/>
            <w:r w:rsidRPr="0042272A">
              <w:rPr>
                <w:sz w:val="20"/>
                <w:szCs w:val="20"/>
              </w:rPr>
              <w:t>both</w:t>
            </w:r>
            <w:proofErr w:type="spellEnd"/>
            <w:r w:rsidRPr="0042272A">
              <w:rPr>
                <w:sz w:val="20"/>
                <w:szCs w:val="20"/>
              </w:rPr>
              <w:t xml:space="preserve"> </w:t>
            </w:r>
            <w:proofErr w:type="spellStart"/>
            <w:r w:rsidRPr="0042272A">
              <w:rPr>
                <w:sz w:val="20"/>
                <w:szCs w:val="20"/>
              </w:rPr>
              <w:t>knowable</w:t>
            </w:r>
            <w:proofErr w:type="spellEnd"/>
            <w:r w:rsidRPr="0042272A">
              <w:rPr>
                <w:sz w:val="20"/>
                <w:szCs w:val="20"/>
              </w:rPr>
              <w:t xml:space="preserve"> and </w:t>
            </w:r>
            <w:proofErr w:type="spellStart"/>
            <w:r w:rsidRPr="0042272A">
              <w:rPr>
                <w:sz w:val="20"/>
                <w:szCs w:val="20"/>
              </w:rPr>
              <w:t>objectively</w:t>
            </w:r>
            <w:proofErr w:type="spellEnd"/>
            <w:r w:rsidRPr="0042272A">
              <w:rPr>
                <w:sz w:val="20"/>
                <w:szCs w:val="20"/>
              </w:rPr>
              <w:t xml:space="preserve"> </w:t>
            </w:r>
            <w:proofErr w:type="spellStart"/>
            <w:r w:rsidRPr="0042272A">
              <w:rPr>
                <w:sz w:val="20"/>
                <w:szCs w:val="20"/>
              </w:rPr>
              <w:t>true</w:t>
            </w:r>
            <w:proofErr w:type="spellEnd"/>
            <w:r w:rsidRPr="0042272A">
              <w:rPr>
                <w:sz w:val="20"/>
                <w:szCs w:val="20"/>
              </w:rPr>
              <w:t>“</w:t>
            </w:r>
            <w:r w:rsidRPr="0042272A">
              <w:rPr>
                <w:sz w:val="20"/>
                <w:szCs w:val="20"/>
                <w:vertAlign w:val="superscript"/>
              </w:rPr>
              <w:footnoteReference w:id="2176"/>
            </w:r>
            <w:r w:rsidRPr="0042272A">
              <w:rPr>
                <w:sz w:val="20"/>
                <w:szCs w:val="20"/>
              </w:rPr>
              <w:t xml:space="preserve">) – wie </w:t>
            </w:r>
            <w:r>
              <w:rPr>
                <w:sz w:val="20"/>
                <w:szCs w:val="20"/>
              </w:rPr>
              <w:t xml:space="preserve">etwa </w:t>
            </w:r>
            <w:r w:rsidRPr="0042272A">
              <w:rPr>
                <w:sz w:val="20"/>
                <w:szCs w:val="20"/>
              </w:rPr>
              <w:t>das Streben nach Glück.</w:t>
            </w:r>
            <w:r w:rsidRPr="0042272A">
              <w:rPr>
                <w:sz w:val="20"/>
                <w:szCs w:val="20"/>
                <w:vertAlign w:val="superscript"/>
              </w:rPr>
              <w:footnoteReference w:id="2177"/>
            </w:r>
            <w:r w:rsidRPr="0042272A">
              <w:rPr>
                <w:sz w:val="20"/>
                <w:szCs w:val="20"/>
              </w:rPr>
              <w:t xml:space="preserve"> Damit sei die Folgeüberlegung zulässig, dass auch aus Gesetzen höhere Prinzipien abzuleiten </w:t>
            </w:r>
            <w:r>
              <w:rPr>
                <w:sz w:val="20"/>
                <w:szCs w:val="20"/>
              </w:rPr>
              <w:t>seien</w:t>
            </w:r>
            <w:r w:rsidRPr="0042272A">
              <w:rPr>
                <w:sz w:val="20"/>
                <w:szCs w:val="20"/>
              </w:rPr>
              <w:t xml:space="preserve">, die letztendlich auch </w:t>
            </w:r>
            <w:r>
              <w:rPr>
                <w:sz w:val="20"/>
                <w:szCs w:val="20"/>
              </w:rPr>
              <w:t>das</w:t>
            </w:r>
            <w:r w:rsidRPr="0042272A">
              <w:rPr>
                <w:sz w:val="20"/>
                <w:szCs w:val="20"/>
              </w:rPr>
              <w:t xml:space="preserve"> Fundament </w:t>
            </w:r>
            <w:r>
              <w:rPr>
                <w:sz w:val="20"/>
                <w:szCs w:val="20"/>
              </w:rPr>
              <w:t xml:space="preserve">dieser Gesetze </w:t>
            </w:r>
            <w:r w:rsidRPr="0042272A">
              <w:rPr>
                <w:sz w:val="20"/>
                <w:szCs w:val="20"/>
              </w:rPr>
              <w:t>ausbilde</w:t>
            </w:r>
            <w:r>
              <w:rPr>
                <w:sz w:val="20"/>
                <w:szCs w:val="20"/>
              </w:rPr>
              <w:t>te</w:t>
            </w:r>
            <w:r w:rsidRPr="0042272A">
              <w:rPr>
                <w:sz w:val="20"/>
                <w:szCs w:val="20"/>
              </w:rPr>
              <w:t>n.</w:t>
            </w:r>
          </w:p>
          <w:p w14:paraId="7B2A7470" w14:textId="77777777" w:rsidR="00074551" w:rsidRPr="00E50B51" w:rsidRDefault="00074551" w:rsidP="00367133">
            <w:pPr>
              <w:jc w:val="both"/>
              <w:rPr>
                <w:sz w:val="20"/>
                <w:szCs w:val="20"/>
              </w:rPr>
            </w:pPr>
          </w:p>
        </w:tc>
      </w:tr>
      <w:tr w:rsidR="00074551" w:rsidRPr="00E50B51" w14:paraId="6B732629" w14:textId="77777777" w:rsidTr="00203768">
        <w:trPr>
          <w:cantSplit/>
          <w:trHeight w:val="3175"/>
        </w:trPr>
        <w:tc>
          <w:tcPr>
            <w:tcW w:w="293" w:type="pct"/>
            <w:shd w:val="clear" w:color="auto" w:fill="E7E6E6" w:themeFill="background2"/>
          </w:tcPr>
          <w:p w14:paraId="763714C4"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3A249399"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283F19BE"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17CB5A9A" w14:textId="77777777" w:rsidR="00074551" w:rsidRPr="00E50B51" w:rsidRDefault="00074551" w:rsidP="00367133">
            <w:pPr>
              <w:ind w:left="113" w:right="113"/>
              <w:jc w:val="both"/>
              <w:rPr>
                <w:iCs/>
                <w:sz w:val="20"/>
                <w:szCs w:val="20"/>
              </w:rPr>
            </w:pPr>
            <w:proofErr w:type="spellStart"/>
            <w:r w:rsidRPr="00E50B51">
              <w:rPr>
                <w:iCs/>
                <w:sz w:val="20"/>
                <w:szCs w:val="20"/>
              </w:rPr>
              <w:t>Criminal</w:t>
            </w:r>
            <w:proofErr w:type="spellEnd"/>
            <w:r w:rsidRPr="00E50B51">
              <w:rPr>
                <w:iCs/>
                <w:sz w:val="20"/>
                <w:szCs w:val="20"/>
              </w:rPr>
              <w:t xml:space="preserv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6F5F91D8" w14:textId="77777777" w:rsidR="00074551" w:rsidRPr="00E50B51" w:rsidRDefault="00074551" w:rsidP="00367133">
            <w:pPr>
              <w:ind w:left="113" w:right="113"/>
              <w:jc w:val="both"/>
              <w:rPr>
                <w:sz w:val="20"/>
                <w:szCs w:val="20"/>
              </w:rPr>
            </w:pPr>
            <w:r w:rsidRPr="00E50B51">
              <w:rPr>
                <w:iCs/>
                <w:sz w:val="20"/>
                <w:szCs w:val="20"/>
              </w:rPr>
              <w:t>Scope</w:t>
            </w:r>
          </w:p>
        </w:tc>
        <w:tc>
          <w:tcPr>
            <w:tcW w:w="401" w:type="pct"/>
            <w:shd w:val="clear" w:color="auto" w:fill="E7E6E6" w:themeFill="background2"/>
          </w:tcPr>
          <w:p w14:paraId="406B0BBF"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65AE7706" w14:textId="77777777" w:rsidR="00074551" w:rsidRPr="00E50B51" w:rsidRDefault="00074551" w:rsidP="00367133">
            <w:pPr>
              <w:jc w:val="both"/>
              <w:rPr>
                <w:sz w:val="20"/>
                <w:szCs w:val="20"/>
              </w:rPr>
            </w:pPr>
          </w:p>
        </w:tc>
        <w:tc>
          <w:tcPr>
            <w:tcW w:w="1822" w:type="pct"/>
            <w:shd w:val="clear" w:color="auto" w:fill="E7E6E6" w:themeFill="background2"/>
          </w:tcPr>
          <w:p w14:paraId="71191CCF" w14:textId="59EC5FBF"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4EA05C55" w14:textId="77777777" w:rsidTr="00BE689F">
        <w:trPr>
          <w:cantSplit/>
          <w:trHeight w:val="3175"/>
        </w:trPr>
        <w:tc>
          <w:tcPr>
            <w:tcW w:w="293" w:type="pct"/>
          </w:tcPr>
          <w:p w14:paraId="3B8BE190" w14:textId="77777777" w:rsidR="00074551" w:rsidRPr="00E50B51" w:rsidRDefault="00074551" w:rsidP="00367133">
            <w:pPr>
              <w:ind w:right="416"/>
              <w:jc w:val="center"/>
              <w:rPr>
                <w:sz w:val="20"/>
                <w:szCs w:val="20"/>
                <w:lang w:val="en-US"/>
              </w:rPr>
            </w:pPr>
            <w:proofErr w:type="spellStart"/>
            <w:r w:rsidRPr="00E50B51">
              <w:rPr>
                <w:sz w:val="20"/>
                <w:szCs w:val="20"/>
              </w:rPr>
              <w:t>poH</w:t>
            </w:r>
            <w:proofErr w:type="spellEnd"/>
          </w:p>
        </w:tc>
        <w:tc>
          <w:tcPr>
            <w:tcW w:w="387" w:type="pct"/>
            <w:textDirection w:val="tbRl"/>
            <w:vAlign w:val="center"/>
          </w:tcPr>
          <w:p w14:paraId="00593618" w14:textId="77777777" w:rsidR="00074551" w:rsidRPr="00E50B51" w:rsidRDefault="00074551" w:rsidP="00367133">
            <w:pPr>
              <w:ind w:left="113" w:right="416"/>
              <w:jc w:val="both"/>
              <w:rPr>
                <w:sz w:val="20"/>
                <w:szCs w:val="20"/>
              </w:rPr>
            </w:pPr>
            <w:r w:rsidRPr="00B35CD0">
              <w:rPr>
                <w:i/>
                <w:sz w:val="20"/>
                <w:szCs w:val="20"/>
                <w:lang w:val="en-US"/>
              </w:rPr>
              <w:t>Bute v. Illinois</w:t>
            </w:r>
          </w:p>
        </w:tc>
        <w:tc>
          <w:tcPr>
            <w:tcW w:w="197" w:type="pct"/>
            <w:textDirection w:val="tbRl"/>
            <w:vAlign w:val="center"/>
          </w:tcPr>
          <w:p w14:paraId="797CF5F4" w14:textId="77777777" w:rsidR="00074551" w:rsidRPr="00E50B51" w:rsidRDefault="00074551" w:rsidP="00367133">
            <w:pPr>
              <w:ind w:left="113" w:right="113"/>
              <w:jc w:val="both"/>
              <w:rPr>
                <w:iCs/>
                <w:sz w:val="20"/>
                <w:szCs w:val="20"/>
              </w:rPr>
            </w:pPr>
            <w:r w:rsidRPr="00E50B51">
              <w:rPr>
                <w:sz w:val="20"/>
                <w:szCs w:val="20"/>
                <w:lang w:val="en-US"/>
              </w:rPr>
              <w:t>333 U.S. 640</w:t>
            </w:r>
          </w:p>
        </w:tc>
        <w:tc>
          <w:tcPr>
            <w:tcW w:w="306" w:type="pct"/>
            <w:textDirection w:val="tbRl"/>
            <w:vAlign w:val="center"/>
          </w:tcPr>
          <w:p w14:paraId="49F49D88" w14:textId="77777777" w:rsidR="00074551" w:rsidRPr="00E50B51" w:rsidRDefault="00074551" w:rsidP="00367133">
            <w:pPr>
              <w:ind w:left="113" w:right="113"/>
              <w:jc w:val="both"/>
              <w:rPr>
                <w:sz w:val="20"/>
                <w:szCs w:val="20"/>
              </w:rPr>
            </w:pPr>
            <w:r w:rsidRPr="00E50B51">
              <w:rPr>
                <w:sz w:val="20"/>
                <w:szCs w:val="20"/>
                <w:lang w:eastAsia="de-DE"/>
              </w:rPr>
              <w:t>19. April 1948</w:t>
            </w:r>
          </w:p>
        </w:tc>
        <w:tc>
          <w:tcPr>
            <w:tcW w:w="401" w:type="pct"/>
          </w:tcPr>
          <w:p w14:paraId="484C5747" w14:textId="77777777" w:rsidR="00074551" w:rsidRPr="00E50B51" w:rsidRDefault="00074551" w:rsidP="00367133">
            <w:pPr>
              <w:jc w:val="center"/>
              <w:rPr>
                <w:sz w:val="20"/>
                <w:szCs w:val="20"/>
              </w:rPr>
            </w:pPr>
            <w:r w:rsidRPr="00E50B51">
              <w:rPr>
                <w:iCs/>
                <w:sz w:val="20"/>
                <w:szCs w:val="20"/>
              </w:rPr>
              <w:t>M</w:t>
            </w:r>
          </w:p>
        </w:tc>
        <w:tc>
          <w:tcPr>
            <w:tcW w:w="1594" w:type="pct"/>
          </w:tcPr>
          <w:p w14:paraId="33BD15B6" w14:textId="77777777" w:rsidR="00074551" w:rsidRPr="00E50B51" w:rsidRDefault="00074551" w:rsidP="00367133">
            <w:pPr>
              <w:jc w:val="both"/>
              <w:rPr>
                <w:sz w:val="20"/>
                <w:szCs w:val="20"/>
              </w:rPr>
            </w:pPr>
            <w:r w:rsidRPr="00E50B51">
              <w:rPr>
                <w:sz w:val="20"/>
                <w:szCs w:val="20"/>
              </w:rPr>
              <w:t>*</w:t>
            </w:r>
          </w:p>
        </w:tc>
        <w:tc>
          <w:tcPr>
            <w:tcW w:w="1822" w:type="pct"/>
          </w:tcPr>
          <w:p w14:paraId="664E533B" w14:textId="77777777" w:rsidR="00074551" w:rsidRDefault="00074551" w:rsidP="00367133">
            <w:pPr>
              <w:jc w:val="both"/>
              <w:rPr>
                <w:sz w:val="20"/>
                <w:szCs w:val="20"/>
              </w:rPr>
            </w:pPr>
            <w:r w:rsidRPr="00B45592">
              <w:rPr>
                <w:sz w:val="20"/>
                <w:szCs w:val="20"/>
                <w:lang w:val="en-IE"/>
              </w:rPr>
              <w:t xml:space="preserve">Die </w:t>
            </w:r>
            <w:proofErr w:type="spellStart"/>
            <w:r w:rsidRPr="00B45592">
              <w:rPr>
                <w:sz w:val="20"/>
                <w:szCs w:val="20"/>
                <w:lang w:val="en-IE"/>
              </w:rPr>
              <w:t>Verfassung</w:t>
            </w:r>
            <w:proofErr w:type="spellEnd"/>
            <w:r w:rsidRPr="00B45592">
              <w:rPr>
                <w:sz w:val="20"/>
                <w:szCs w:val="20"/>
                <w:lang w:val="en-IE"/>
              </w:rPr>
              <w:t xml:space="preserve"> </w:t>
            </w:r>
            <w:proofErr w:type="spellStart"/>
            <w:r w:rsidRPr="00B45592">
              <w:rPr>
                <w:sz w:val="20"/>
                <w:szCs w:val="20"/>
                <w:lang w:val="en-IE"/>
              </w:rPr>
              <w:t>wurde</w:t>
            </w:r>
            <w:proofErr w:type="spellEnd"/>
            <w:r w:rsidRPr="00B45592">
              <w:rPr>
                <w:sz w:val="20"/>
                <w:szCs w:val="20"/>
                <w:lang w:val="en-IE"/>
              </w:rPr>
              <w:t xml:space="preserve"> </w:t>
            </w:r>
            <w:proofErr w:type="spellStart"/>
            <w:r w:rsidRPr="00B45592">
              <w:rPr>
                <w:sz w:val="20"/>
                <w:szCs w:val="20"/>
                <w:lang w:val="en-IE"/>
              </w:rPr>
              <w:t>im</w:t>
            </w:r>
            <w:proofErr w:type="spellEnd"/>
            <w:r w:rsidRPr="00B45592">
              <w:rPr>
                <w:sz w:val="20"/>
                <w:szCs w:val="20"/>
                <w:lang w:val="en-IE"/>
              </w:rPr>
              <w:t xml:space="preserve"> Sinne der </w:t>
            </w:r>
            <w:r w:rsidRPr="5B67C1D2">
              <w:rPr>
                <w:i/>
                <w:iCs/>
                <w:sz w:val="20"/>
                <w:szCs w:val="20"/>
                <w:lang w:val="en-IE"/>
              </w:rPr>
              <w:t>Declaration of Independence</w:t>
            </w:r>
            <w:r w:rsidRPr="00B45592">
              <w:rPr>
                <w:sz w:val="20"/>
                <w:szCs w:val="20"/>
                <w:lang w:val="en-IE"/>
              </w:rPr>
              <w:t xml:space="preserve"> </w:t>
            </w:r>
            <w:proofErr w:type="spellStart"/>
            <w:r w:rsidRPr="00B45592">
              <w:rPr>
                <w:sz w:val="20"/>
                <w:szCs w:val="20"/>
                <w:lang w:val="en-IE"/>
              </w:rPr>
              <w:t>konzi</w:t>
            </w:r>
            <w:r>
              <w:rPr>
                <w:sz w:val="20"/>
                <w:szCs w:val="20"/>
                <w:lang w:val="en-IE"/>
              </w:rPr>
              <w:t>piert</w:t>
            </w:r>
            <w:proofErr w:type="spellEnd"/>
            <w:r w:rsidRPr="00B45592">
              <w:rPr>
                <w:sz w:val="20"/>
                <w:szCs w:val="20"/>
                <w:lang w:val="en-IE"/>
              </w:rPr>
              <w:t xml:space="preserve"> </w:t>
            </w:r>
            <w:r w:rsidRPr="00A54294">
              <w:rPr>
                <w:sz w:val="20"/>
                <w:szCs w:val="20"/>
                <w:lang w:val="en-US"/>
              </w:rPr>
              <w:t>(„The Constitution was conceived in large part in the spirit of the Declaration of Independence“</w:t>
            </w:r>
            <w:r w:rsidRPr="00A54294">
              <w:rPr>
                <w:sz w:val="20"/>
                <w:szCs w:val="20"/>
                <w:vertAlign w:val="superscript"/>
                <w:lang w:val="en-US"/>
              </w:rPr>
              <w:footnoteReference w:id="2178"/>
            </w:r>
            <w:r w:rsidRPr="00A54294">
              <w:rPr>
                <w:sz w:val="20"/>
                <w:szCs w:val="20"/>
                <w:lang w:val="en-US"/>
              </w:rPr>
              <w:t xml:space="preserve">). </w:t>
            </w:r>
            <w:r w:rsidRPr="00A54294">
              <w:rPr>
                <w:sz w:val="20"/>
                <w:szCs w:val="20"/>
              </w:rPr>
              <w:t>Daher habe die Verfassung die unveräußerlichen Rechte wie das Streben nach Glück zu achten. Diese g</w:t>
            </w:r>
            <w:r>
              <w:rPr>
                <w:sz w:val="20"/>
                <w:szCs w:val="20"/>
              </w:rPr>
              <w:t>ä</w:t>
            </w:r>
            <w:r w:rsidRPr="00A54294">
              <w:rPr>
                <w:sz w:val="20"/>
                <w:szCs w:val="20"/>
              </w:rPr>
              <w:t>ben vor, dass hoheitliche Gewalt nah am Menschen auszuüben sei, weshalb die</w:t>
            </w:r>
            <w:r w:rsidRPr="0042272A">
              <w:rPr>
                <w:sz w:val="20"/>
                <w:szCs w:val="20"/>
              </w:rPr>
              <w:t xml:space="preserve">se im Grundsatz </w:t>
            </w:r>
            <w:r w:rsidRPr="00A54294">
              <w:rPr>
                <w:sz w:val="20"/>
                <w:szCs w:val="20"/>
              </w:rPr>
              <w:t xml:space="preserve">bei den Bundesstaaten liege („to </w:t>
            </w:r>
            <w:proofErr w:type="spellStart"/>
            <w:r w:rsidRPr="00A54294">
              <w:rPr>
                <w:sz w:val="20"/>
                <w:szCs w:val="20"/>
              </w:rPr>
              <w:t>keep</w:t>
            </w:r>
            <w:proofErr w:type="spellEnd"/>
            <w:r w:rsidRPr="00A54294">
              <w:rPr>
                <w:sz w:val="20"/>
                <w:szCs w:val="20"/>
              </w:rPr>
              <w:t xml:space="preserve"> the </w:t>
            </w:r>
            <w:proofErr w:type="spellStart"/>
            <w:r w:rsidRPr="00A54294">
              <w:rPr>
                <w:sz w:val="20"/>
                <w:szCs w:val="20"/>
              </w:rPr>
              <w:t>control</w:t>
            </w:r>
            <w:proofErr w:type="spellEnd"/>
            <w:r w:rsidRPr="00A54294">
              <w:rPr>
                <w:sz w:val="20"/>
                <w:szCs w:val="20"/>
              </w:rPr>
              <w:t xml:space="preserve"> </w:t>
            </w:r>
            <w:proofErr w:type="spellStart"/>
            <w:r w:rsidRPr="00A54294">
              <w:rPr>
                <w:sz w:val="20"/>
                <w:szCs w:val="20"/>
              </w:rPr>
              <w:t>over</w:t>
            </w:r>
            <w:proofErr w:type="spellEnd"/>
            <w:r w:rsidRPr="00A54294">
              <w:rPr>
                <w:sz w:val="20"/>
                <w:szCs w:val="20"/>
              </w:rPr>
              <w:t xml:space="preserve"> individual </w:t>
            </w:r>
            <w:proofErr w:type="spellStart"/>
            <w:r w:rsidRPr="00A54294">
              <w:rPr>
                <w:sz w:val="20"/>
                <w:szCs w:val="20"/>
              </w:rPr>
              <w:t>rights</w:t>
            </w:r>
            <w:proofErr w:type="spellEnd"/>
            <w:r w:rsidRPr="00A54294">
              <w:rPr>
                <w:sz w:val="20"/>
                <w:szCs w:val="20"/>
              </w:rPr>
              <w:t xml:space="preserve"> </w:t>
            </w:r>
            <w:proofErr w:type="spellStart"/>
            <w:r w:rsidRPr="00A54294">
              <w:rPr>
                <w:sz w:val="20"/>
                <w:szCs w:val="20"/>
              </w:rPr>
              <w:t>close</w:t>
            </w:r>
            <w:proofErr w:type="spellEnd"/>
            <w:r w:rsidRPr="00A54294">
              <w:rPr>
                <w:sz w:val="20"/>
                <w:szCs w:val="20"/>
              </w:rPr>
              <w:t xml:space="preserve"> to the </w:t>
            </w:r>
            <w:proofErr w:type="spellStart"/>
            <w:r w:rsidRPr="00A54294">
              <w:rPr>
                <w:sz w:val="20"/>
                <w:szCs w:val="20"/>
              </w:rPr>
              <w:t>people</w:t>
            </w:r>
            <w:proofErr w:type="spellEnd"/>
            <w:r w:rsidRPr="00A54294">
              <w:rPr>
                <w:sz w:val="20"/>
                <w:szCs w:val="20"/>
              </w:rPr>
              <w:t xml:space="preserve"> </w:t>
            </w:r>
            <w:proofErr w:type="spellStart"/>
            <w:r w:rsidRPr="00A54294">
              <w:rPr>
                <w:sz w:val="20"/>
                <w:szCs w:val="20"/>
              </w:rPr>
              <w:t>through</w:t>
            </w:r>
            <w:proofErr w:type="spellEnd"/>
            <w:r w:rsidRPr="00A54294">
              <w:rPr>
                <w:sz w:val="20"/>
                <w:szCs w:val="20"/>
              </w:rPr>
              <w:t xml:space="preserve"> </w:t>
            </w:r>
            <w:proofErr w:type="spellStart"/>
            <w:r w:rsidRPr="00A54294">
              <w:rPr>
                <w:sz w:val="20"/>
                <w:szCs w:val="20"/>
              </w:rPr>
              <w:t>their</w:t>
            </w:r>
            <w:proofErr w:type="spellEnd"/>
            <w:r w:rsidRPr="00A54294">
              <w:rPr>
                <w:sz w:val="20"/>
                <w:szCs w:val="20"/>
              </w:rPr>
              <w:t xml:space="preserve"> </w:t>
            </w:r>
            <w:proofErr w:type="spellStart"/>
            <w:r w:rsidRPr="00A54294">
              <w:rPr>
                <w:sz w:val="20"/>
                <w:szCs w:val="20"/>
              </w:rPr>
              <w:t>states</w:t>
            </w:r>
            <w:proofErr w:type="spellEnd"/>
            <w:r w:rsidRPr="00A54294">
              <w:rPr>
                <w:sz w:val="20"/>
                <w:szCs w:val="20"/>
              </w:rPr>
              <w:t>“</w:t>
            </w:r>
            <w:r w:rsidRPr="00A54294">
              <w:rPr>
                <w:sz w:val="20"/>
                <w:szCs w:val="20"/>
                <w:vertAlign w:val="superscript"/>
              </w:rPr>
              <w:footnoteReference w:id="2179"/>
            </w:r>
            <w:r w:rsidRPr="00A54294">
              <w:rPr>
                <w:sz w:val="20"/>
                <w:szCs w:val="20"/>
              </w:rPr>
              <w:t xml:space="preserve">). Unter </w:t>
            </w:r>
            <w:r w:rsidRPr="0042272A">
              <w:rPr>
                <w:sz w:val="20"/>
                <w:szCs w:val="20"/>
              </w:rPr>
              <w:t>jene</w:t>
            </w:r>
            <w:r w:rsidRPr="00A54294">
              <w:rPr>
                <w:sz w:val="20"/>
                <w:szCs w:val="20"/>
              </w:rPr>
              <w:t xml:space="preserve"> bundesstaatliche Kompetenz falle das Prozessrecht („the </w:t>
            </w:r>
            <w:proofErr w:type="spellStart"/>
            <w:r w:rsidRPr="00A54294">
              <w:rPr>
                <w:sz w:val="20"/>
                <w:szCs w:val="20"/>
              </w:rPr>
              <w:t>states</w:t>
            </w:r>
            <w:proofErr w:type="spellEnd"/>
            <w:r w:rsidRPr="00A54294">
              <w:rPr>
                <w:sz w:val="20"/>
                <w:szCs w:val="20"/>
              </w:rPr>
              <w:t xml:space="preserve"> </w:t>
            </w:r>
            <w:proofErr w:type="spellStart"/>
            <w:r w:rsidRPr="00A54294">
              <w:rPr>
                <w:sz w:val="20"/>
                <w:szCs w:val="20"/>
              </w:rPr>
              <w:t>their</w:t>
            </w:r>
            <w:proofErr w:type="spellEnd"/>
            <w:r w:rsidRPr="00A54294">
              <w:rPr>
                <w:sz w:val="20"/>
                <w:szCs w:val="20"/>
              </w:rPr>
              <w:t xml:space="preserve"> </w:t>
            </w:r>
            <w:proofErr w:type="spellStart"/>
            <w:r w:rsidRPr="00A54294">
              <w:rPr>
                <w:sz w:val="20"/>
                <w:szCs w:val="20"/>
              </w:rPr>
              <w:t>underlying</w:t>
            </w:r>
            <w:proofErr w:type="spellEnd"/>
            <w:r w:rsidRPr="00A54294">
              <w:rPr>
                <w:sz w:val="20"/>
                <w:szCs w:val="20"/>
              </w:rPr>
              <w:t xml:space="preserve"> </w:t>
            </w:r>
            <w:proofErr w:type="spellStart"/>
            <w:r w:rsidRPr="00A54294">
              <w:rPr>
                <w:sz w:val="20"/>
                <w:szCs w:val="20"/>
              </w:rPr>
              <w:t>control</w:t>
            </w:r>
            <w:proofErr w:type="spellEnd"/>
            <w:r w:rsidRPr="00A54294">
              <w:rPr>
                <w:sz w:val="20"/>
                <w:szCs w:val="20"/>
              </w:rPr>
              <w:t xml:space="preserve"> </w:t>
            </w:r>
            <w:proofErr w:type="spellStart"/>
            <w:r w:rsidRPr="00A54294">
              <w:rPr>
                <w:sz w:val="20"/>
                <w:szCs w:val="20"/>
              </w:rPr>
              <w:t>over</w:t>
            </w:r>
            <w:proofErr w:type="spellEnd"/>
            <w:r w:rsidRPr="00A54294">
              <w:rPr>
                <w:sz w:val="20"/>
                <w:szCs w:val="20"/>
              </w:rPr>
              <w:t xml:space="preserve"> […] </w:t>
            </w:r>
            <w:proofErr w:type="spellStart"/>
            <w:r w:rsidRPr="00A54294">
              <w:rPr>
                <w:sz w:val="20"/>
                <w:szCs w:val="20"/>
              </w:rPr>
              <w:t>state</w:t>
            </w:r>
            <w:proofErr w:type="spellEnd"/>
            <w:r w:rsidRPr="00A54294">
              <w:rPr>
                <w:sz w:val="20"/>
                <w:szCs w:val="20"/>
              </w:rPr>
              <w:t xml:space="preserve"> </w:t>
            </w:r>
            <w:proofErr w:type="spellStart"/>
            <w:r w:rsidRPr="00A54294">
              <w:rPr>
                <w:sz w:val="20"/>
                <w:szCs w:val="20"/>
              </w:rPr>
              <w:t>court</w:t>
            </w:r>
            <w:proofErr w:type="spellEnd"/>
            <w:r w:rsidRPr="00A54294">
              <w:rPr>
                <w:sz w:val="20"/>
                <w:szCs w:val="20"/>
              </w:rPr>
              <w:t xml:space="preserve"> </w:t>
            </w:r>
            <w:proofErr w:type="spellStart"/>
            <w:r w:rsidRPr="00A54294">
              <w:rPr>
                <w:sz w:val="20"/>
                <w:szCs w:val="20"/>
              </w:rPr>
              <w:t>procedures</w:t>
            </w:r>
            <w:proofErr w:type="spellEnd"/>
            <w:r w:rsidRPr="00A54294">
              <w:rPr>
                <w:sz w:val="20"/>
                <w:szCs w:val="20"/>
              </w:rPr>
              <w:t>“</w:t>
            </w:r>
            <w:r w:rsidRPr="00A54294">
              <w:rPr>
                <w:sz w:val="20"/>
                <w:szCs w:val="20"/>
                <w:vertAlign w:val="superscript"/>
              </w:rPr>
              <w:footnoteReference w:id="2180"/>
            </w:r>
            <w:r w:rsidRPr="00A54294">
              <w:rPr>
                <w:sz w:val="20"/>
                <w:szCs w:val="20"/>
              </w:rPr>
              <w:t xml:space="preserve">), </w:t>
            </w:r>
            <w:r w:rsidRPr="0042272A">
              <w:rPr>
                <w:sz w:val="20"/>
                <w:szCs w:val="20"/>
              </w:rPr>
              <w:t xml:space="preserve">wie </w:t>
            </w:r>
            <w:r>
              <w:rPr>
                <w:sz w:val="20"/>
                <w:szCs w:val="20"/>
              </w:rPr>
              <w:t>die Regelung von</w:t>
            </w:r>
            <w:r w:rsidRPr="00A54294">
              <w:rPr>
                <w:sz w:val="20"/>
                <w:szCs w:val="20"/>
              </w:rPr>
              <w:t xml:space="preserve"> Straf</w:t>
            </w:r>
            <w:r w:rsidRPr="0042272A">
              <w:rPr>
                <w:sz w:val="20"/>
                <w:szCs w:val="20"/>
              </w:rPr>
              <w:t>verfahren</w:t>
            </w:r>
            <w:r w:rsidRPr="00A54294">
              <w:rPr>
                <w:sz w:val="20"/>
                <w:szCs w:val="20"/>
              </w:rPr>
              <w:t>.</w:t>
            </w:r>
          </w:p>
          <w:p w14:paraId="77F6B590" w14:textId="77777777" w:rsidR="0056095C" w:rsidRPr="00E50B51" w:rsidRDefault="0056095C" w:rsidP="00367133">
            <w:pPr>
              <w:jc w:val="both"/>
              <w:rPr>
                <w:sz w:val="20"/>
                <w:szCs w:val="20"/>
              </w:rPr>
            </w:pPr>
          </w:p>
        </w:tc>
      </w:tr>
      <w:tr w:rsidR="00074551" w:rsidRPr="00E50B51" w14:paraId="20116EAA" w14:textId="77777777" w:rsidTr="00BE689F">
        <w:trPr>
          <w:cantSplit/>
          <w:trHeight w:val="3175"/>
        </w:trPr>
        <w:tc>
          <w:tcPr>
            <w:tcW w:w="293" w:type="pct"/>
          </w:tcPr>
          <w:p w14:paraId="79030ED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055DC992" w14:textId="77777777" w:rsidR="00074551" w:rsidRPr="00E50B51" w:rsidRDefault="00074551" w:rsidP="00367133">
            <w:pPr>
              <w:ind w:left="113" w:right="416"/>
              <w:jc w:val="both"/>
              <w:rPr>
                <w:sz w:val="20"/>
                <w:szCs w:val="20"/>
              </w:rPr>
            </w:pPr>
            <w:r w:rsidRPr="00B35CD0">
              <w:rPr>
                <w:i/>
                <w:sz w:val="20"/>
                <w:szCs w:val="20"/>
              </w:rPr>
              <w:t xml:space="preserve">Ex </w:t>
            </w:r>
            <w:proofErr w:type="spellStart"/>
            <w:r w:rsidRPr="00B35CD0">
              <w:rPr>
                <w:i/>
                <w:sz w:val="20"/>
                <w:szCs w:val="20"/>
              </w:rPr>
              <w:t>parte</w:t>
            </w:r>
            <w:proofErr w:type="spellEnd"/>
            <w:r w:rsidRPr="00B35CD0">
              <w:rPr>
                <w:i/>
                <w:sz w:val="20"/>
                <w:szCs w:val="20"/>
              </w:rPr>
              <w:t xml:space="preserve"> Milligan</w:t>
            </w:r>
          </w:p>
        </w:tc>
        <w:tc>
          <w:tcPr>
            <w:tcW w:w="197" w:type="pct"/>
            <w:textDirection w:val="tbRl"/>
            <w:vAlign w:val="center"/>
          </w:tcPr>
          <w:p w14:paraId="7A0A89A0" w14:textId="77777777" w:rsidR="00074551" w:rsidRPr="00E50B51" w:rsidRDefault="00074551" w:rsidP="00367133">
            <w:pPr>
              <w:ind w:left="113" w:right="113"/>
              <w:jc w:val="both"/>
              <w:rPr>
                <w:iCs/>
                <w:sz w:val="20"/>
                <w:szCs w:val="20"/>
              </w:rPr>
            </w:pPr>
            <w:r w:rsidRPr="00E50B51">
              <w:rPr>
                <w:sz w:val="20"/>
                <w:szCs w:val="20"/>
                <w:lang w:val="en-US"/>
              </w:rPr>
              <w:t>71 U.S. 2</w:t>
            </w:r>
          </w:p>
        </w:tc>
        <w:tc>
          <w:tcPr>
            <w:tcW w:w="306" w:type="pct"/>
            <w:textDirection w:val="tbRl"/>
            <w:vAlign w:val="center"/>
          </w:tcPr>
          <w:p w14:paraId="014ECA0C" w14:textId="77777777" w:rsidR="00074551" w:rsidRPr="00E50B51" w:rsidRDefault="00074551" w:rsidP="00367133">
            <w:pPr>
              <w:ind w:left="113" w:right="113"/>
              <w:jc w:val="both"/>
              <w:rPr>
                <w:sz w:val="20"/>
                <w:szCs w:val="20"/>
              </w:rPr>
            </w:pPr>
            <w:r w:rsidRPr="00E50B51">
              <w:rPr>
                <w:sz w:val="20"/>
                <w:szCs w:val="20"/>
              </w:rPr>
              <w:t>3. April 1866</w:t>
            </w:r>
          </w:p>
        </w:tc>
        <w:tc>
          <w:tcPr>
            <w:tcW w:w="401" w:type="pct"/>
          </w:tcPr>
          <w:p w14:paraId="46A9D8B2" w14:textId="4A062D09" w:rsidR="00074551" w:rsidRPr="00E50B51" w:rsidRDefault="00074551" w:rsidP="00367133">
            <w:pPr>
              <w:jc w:val="center"/>
              <w:rPr>
                <w:sz w:val="20"/>
                <w:szCs w:val="20"/>
              </w:rPr>
            </w:pPr>
            <w:r w:rsidRPr="00E50B51">
              <w:rPr>
                <w:sz w:val="20"/>
                <w:szCs w:val="20"/>
              </w:rPr>
              <w:t>S</w:t>
            </w:r>
            <w:r w:rsidR="00B7079E">
              <w:rPr>
                <w:rStyle w:val="Funotenzeichen"/>
                <w:sz w:val="20"/>
                <w:szCs w:val="20"/>
              </w:rPr>
              <w:footnoteReference w:id="2181"/>
            </w:r>
          </w:p>
        </w:tc>
        <w:tc>
          <w:tcPr>
            <w:tcW w:w="1594" w:type="pct"/>
          </w:tcPr>
          <w:p w14:paraId="7CEAF031" w14:textId="77777777" w:rsidR="00074551" w:rsidRPr="00E50B51" w:rsidRDefault="00074551" w:rsidP="00367133">
            <w:pPr>
              <w:jc w:val="both"/>
              <w:rPr>
                <w:sz w:val="20"/>
                <w:szCs w:val="20"/>
              </w:rPr>
            </w:pPr>
            <w:r w:rsidRPr="00E50B51">
              <w:rPr>
                <w:sz w:val="20"/>
                <w:szCs w:val="20"/>
              </w:rPr>
              <w:t>*</w:t>
            </w:r>
          </w:p>
        </w:tc>
        <w:tc>
          <w:tcPr>
            <w:tcW w:w="1822" w:type="pct"/>
          </w:tcPr>
          <w:p w14:paraId="5C0D70B3" w14:textId="6A7BD5B7" w:rsidR="00074551" w:rsidRDefault="00074551" w:rsidP="00367133">
            <w:pPr>
              <w:jc w:val="both"/>
              <w:rPr>
                <w:sz w:val="20"/>
                <w:szCs w:val="20"/>
              </w:rPr>
            </w:pPr>
            <w:r w:rsidRPr="00AD4769">
              <w:rPr>
                <w:sz w:val="20"/>
                <w:szCs w:val="20"/>
              </w:rPr>
              <w:t xml:space="preserve">Die Bedingungen für ein Streben nach Glück drücken sich </w:t>
            </w:r>
            <w:r>
              <w:rPr>
                <w:sz w:val="20"/>
                <w:szCs w:val="20"/>
              </w:rPr>
              <w:t>u.a.</w:t>
            </w:r>
            <w:r w:rsidRPr="00AD4769">
              <w:rPr>
                <w:sz w:val="20"/>
                <w:szCs w:val="20"/>
              </w:rPr>
              <w:t xml:space="preserve"> i</w:t>
            </w:r>
            <w:r>
              <w:rPr>
                <w:sz w:val="20"/>
                <w:szCs w:val="20"/>
              </w:rPr>
              <w:t>n</w:t>
            </w:r>
            <w:r w:rsidRPr="00AD4769">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AD4769">
              <w:rPr>
                <w:sz w:val="20"/>
                <w:szCs w:val="20"/>
              </w:rPr>
              <w:t xml:space="preserve"> aus, insbesondere anhand eines Umkehrschlusses: Wenn ein Betroffener ohne rechtsstaatliches Verfahren verurteilt w</w:t>
            </w:r>
            <w:r>
              <w:rPr>
                <w:sz w:val="20"/>
                <w:szCs w:val="20"/>
              </w:rPr>
              <w:t>e</w:t>
            </w:r>
            <w:r w:rsidRPr="00AD4769">
              <w:rPr>
                <w:sz w:val="20"/>
                <w:szCs w:val="20"/>
              </w:rPr>
              <w:t xml:space="preserve">rde, was bei einem Militärgericht der Fall sei, dann werde eine Möglichkeit genommen, nach Glück streben zu können („and </w:t>
            </w:r>
            <w:proofErr w:type="spellStart"/>
            <w:r w:rsidRPr="00AD4769">
              <w:rPr>
                <w:sz w:val="20"/>
                <w:szCs w:val="20"/>
              </w:rPr>
              <w:t>its</w:t>
            </w:r>
            <w:proofErr w:type="spellEnd"/>
            <w:r w:rsidRPr="00AD4769">
              <w:rPr>
                <w:sz w:val="20"/>
                <w:szCs w:val="20"/>
              </w:rPr>
              <w:t xml:space="preserve"> </w:t>
            </w:r>
            <w:proofErr w:type="spellStart"/>
            <w:r w:rsidRPr="00AD4769">
              <w:rPr>
                <w:sz w:val="20"/>
                <w:szCs w:val="20"/>
              </w:rPr>
              <w:t>execution</w:t>
            </w:r>
            <w:proofErr w:type="spellEnd"/>
            <w:r w:rsidRPr="00AD4769">
              <w:rPr>
                <w:sz w:val="20"/>
                <w:szCs w:val="20"/>
              </w:rPr>
              <w:t xml:space="preserve"> by </w:t>
            </w:r>
            <w:proofErr w:type="spellStart"/>
            <w:r w:rsidRPr="00AD4769">
              <w:rPr>
                <w:sz w:val="20"/>
                <w:szCs w:val="20"/>
              </w:rPr>
              <w:t>trials</w:t>
            </w:r>
            <w:proofErr w:type="spellEnd"/>
            <w:r w:rsidRPr="00AD4769">
              <w:rPr>
                <w:sz w:val="20"/>
                <w:szCs w:val="20"/>
              </w:rPr>
              <w:t xml:space="preserve"> by </w:t>
            </w:r>
            <w:proofErr w:type="spellStart"/>
            <w:r w:rsidRPr="00AD4769">
              <w:rPr>
                <w:sz w:val="20"/>
                <w:szCs w:val="20"/>
              </w:rPr>
              <w:t>military</w:t>
            </w:r>
            <w:proofErr w:type="spellEnd"/>
            <w:r w:rsidRPr="00AD4769">
              <w:rPr>
                <w:sz w:val="20"/>
                <w:szCs w:val="20"/>
              </w:rPr>
              <w:t xml:space="preserve"> </w:t>
            </w:r>
            <w:proofErr w:type="spellStart"/>
            <w:r w:rsidRPr="00AD4769">
              <w:rPr>
                <w:sz w:val="20"/>
                <w:szCs w:val="20"/>
              </w:rPr>
              <w:t>commission</w:t>
            </w:r>
            <w:proofErr w:type="spellEnd"/>
            <w:r w:rsidRPr="00AD4769">
              <w:rPr>
                <w:sz w:val="20"/>
                <w:szCs w:val="20"/>
              </w:rPr>
              <w:t xml:space="preserve">, </w:t>
            </w:r>
            <w:proofErr w:type="spellStart"/>
            <w:r w:rsidRPr="00AD4769">
              <w:rPr>
                <w:sz w:val="20"/>
                <w:szCs w:val="20"/>
              </w:rPr>
              <w:t>is</w:t>
            </w:r>
            <w:proofErr w:type="spellEnd"/>
            <w:r w:rsidRPr="00AD4769">
              <w:rPr>
                <w:sz w:val="20"/>
                <w:szCs w:val="20"/>
              </w:rPr>
              <w:t xml:space="preserve"> fatal to </w:t>
            </w:r>
            <w:proofErr w:type="spellStart"/>
            <w:r w:rsidRPr="00AD4769">
              <w:rPr>
                <w:sz w:val="20"/>
                <w:szCs w:val="20"/>
              </w:rPr>
              <w:t>liberty</w:t>
            </w:r>
            <w:proofErr w:type="spellEnd"/>
            <w:r w:rsidRPr="00AD4769">
              <w:rPr>
                <w:sz w:val="20"/>
                <w:szCs w:val="20"/>
              </w:rPr>
              <w:t xml:space="preserve"> and the </w:t>
            </w:r>
            <w:proofErr w:type="spellStart"/>
            <w:r w:rsidRPr="00AD4769">
              <w:rPr>
                <w:sz w:val="20"/>
                <w:szCs w:val="20"/>
              </w:rPr>
              <w:t>pursuit</w:t>
            </w:r>
            <w:proofErr w:type="spellEnd"/>
            <w:r w:rsidRPr="00AD4769">
              <w:rPr>
                <w:sz w:val="20"/>
                <w:szCs w:val="20"/>
              </w:rPr>
              <w:t xml:space="preserve"> of </w:t>
            </w:r>
            <w:proofErr w:type="spellStart"/>
            <w:r w:rsidRPr="00AD4769">
              <w:rPr>
                <w:sz w:val="20"/>
                <w:szCs w:val="20"/>
              </w:rPr>
              <w:t>happiness</w:t>
            </w:r>
            <w:proofErr w:type="spellEnd"/>
            <w:r w:rsidRPr="00AD4769">
              <w:rPr>
                <w:sz w:val="20"/>
                <w:szCs w:val="20"/>
              </w:rPr>
              <w:t>“</w:t>
            </w:r>
            <w:r w:rsidRPr="00AD4769">
              <w:rPr>
                <w:sz w:val="20"/>
                <w:szCs w:val="20"/>
                <w:vertAlign w:val="superscript"/>
              </w:rPr>
              <w:t xml:space="preserve"> </w:t>
            </w:r>
            <w:r w:rsidRPr="00AD4769">
              <w:rPr>
                <w:sz w:val="20"/>
                <w:szCs w:val="20"/>
                <w:vertAlign w:val="superscript"/>
              </w:rPr>
              <w:footnoteReference w:id="2182"/>
            </w:r>
            <w:r w:rsidRPr="00AD4769">
              <w:rPr>
                <w:sz w:val="20"/>
                <w:szCs w:val="20"/>
              </w:rPr>
              <w:t xml:space="preserve">). Denn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AD4769">
              <w:rPr>
                <w:sz w:val="20"/>
                <w:szCs w:val="20"/>
              </w:rPr>
              <w:t xml:space="preserve"> garantiere</w:t>
            </w:r>
            <w:r>
              <w:rPr>
                <w:sz w:val="20"/>
                <w:szCs w:val="20"/>
              </w:rPr>
              <w:t> –</w:t>
            </w:r>
            <w:r w:rsidRPr="00AD4769">
              <w:rPr>
                <w:sz w:val="20"/>
                <w:szCs w:val="20"/>
              </w:rPr>
              <w:t xml:space="preserve"> als Ausfluss der Bedingungen </w:t>
            </w:r>
            <w:r>
              <w:rPr>
                <w:sz w:val="20"/>
                <w:szCs w:val="20"/>
              </w:rPr>
              <w:t xml:space="preserve">für Glücksstreben – </w:t>
            </w:r>
            <w:r w:rsidRPr="00AD4769">
              <w:rPr>
                <w:sz w:val="20"/>
                <w:szCs w:val="20"/>
              </w:rPr>
              <w:t>den Angeklagten in einem Strafverfahren eigentlich ein Recht auf einen öffentlichen Prozess mit Geschwor</w:t>
            </w:r>
            <w:r>
              <w:rPr>
                <w:sz w:val="20"/>
                <w:szCs w:val="20"/>
              </w:rPr>
              <w:t>e</w:t>
            </w:r>
            <w:r w:rsidRPr="00AD4769">
              <w:rPr>
                <w:sz w:val="20"/>
                <w:szCs w:val="20"/>
              </w:rPr>
              <w:t xml:space="preserve">nen. Dieses Recht sei unter Kriegsrecht nicht gewährleistet. Das </w:t>
            </w:r>
            <w:r>
              <w:rPr>
                <w:sz w:val="20"/>
                <w:szCs w:val="20"/>
              </w:rPr>
              <w:t>könne</w:t>
            </w:r>
            <w:r w:rsidRPr="00AD4769">
              <w:rPr>
                <w:sz w:val="20"/>
                <w:szCs w:val="20"/>
              </w:rPr>
              <w:t xml:space="preserve"> die Möglichkeiten des Strebens nach Glück einschränken. Allerdings </w:t>
            </w:r>
            <w:r>
              <w:rPr>
                <w:sz w:val="20"/>
                <w:szCs w:val="20"/>
              </w:rPr>
              <w:t>könne</w:t>
            </w:r>
            <w:r w:rsidRPr="00AD4769">
              <w:rPr>
                <w:sz w:val="20"/>
                <w:szCs w:val="20"/>
              </w:rPr>
              <w:t xml:space="preserve"> diese Einschränkung </w:t>
            </w:r>
            <w:r>
              <w:rPr>
                <w:sz w:val="20"/>
                <w:szCs w:val="20"/>
              </w:rPr>
              <w:t xml:space="preserve">durch </w:t>
            </w:r>
            <w:r w:rsidRPr="00AD4769">
              <w:rPr>
                <w:sz w:val="20"/>
                <w:szCs w:val="20"/>
              </w:rPr>
              <w:t xml:space="preserve">Sinn und Zweck </w:t>
            </w:r>
            <w:r>
              <w:rPr>
                <w:sz w:val="20"/>
                <w:szCs w:val="20"/>
              </w:rPr>
              <w:t>von</w:t>
            </w:r>
            <w:r w:rsidRPr="00AD4769">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D4769">
              <w:rPr>
                <w:sz w:val="20"/>
                <w:szCs w:val="20"/>
              </w:rPr>
              <w:t xml:space="preserve"> </w:t>
            </w:r>
            <w:r>
              <w:rPr>
                <w:sz w:val="20"/>
                <w:szCs w:val="20"/>
              </w:rPr>
              <w:t>gerechtfertigt werden</w:t>
            </w:r>
            <w:r w:rsidRPr="00AD4769">
              <w:rPr>
                <w:sz w:val="20"/>
                <w:szCs w:val="20"/>
              </w:rPr>
              <w:t>, nicht aber</w:t>
            </w:r>
            <w:r>
              <w:rPr>
                <w:sz w:val="20"/>
                <w:szCs w:val="20"/>
              </w:rPr>
              <w:t xml:space="preserve"> durch</w:t>
            </w:r>
            <w:r w:rsidRPr="00AD4769">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AD4769">
              <w:rPr>
                <w:sz w:val="20"/>
                <w:szCs w:val="20"/>
              </w:rPr>
              <w:t xml:space="preserve"> (Recht auf einen öffentlichen Prozess mit Geschwor</w:t>
            </w:r>
            <w:r>
              <w:rPr>
                <w:sz w:val="20"/>
                <w:szCs w:val="20"/>
              </w:rPr>
              <w:t>e</w:t>
            </w:r>
            <w:r w:rsidRPr="00AD4769">
              <w:rPr>
                <w:sz w:val="20"/>
                <w:szCs w:val="20"/>
              </w:rPr>
              <w:t xml:space="preserve">nen).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D4769">
              <w:rPr>
                <w:sz w:val="20"/>
                <w:szCs w:val="20"/>
              </w:rPr>
              <w:t xml:space="preserve"> regel</w:t>
            </w:r>
            <w:r>
              <w:rPr>
                <w:sz w:val="20"/>
                <w:szCs w:val="20"/>
              </w:rPr>
              <w:t>t</w:t>
            </w:r>
            <w:r w:rsidRPr="00AD4769">
              <w:rPr>
                <w:sz w:val="20"/>
                <w:szCs w:val="20"/>
              </w:rPr>
              <w:t xml:space="preserve"> zwar nur das Anklageerfordernis bei Straftaten. Aber es </w:t>
            </w:r>
            <w:r>
              <w:rPr>
                <w:sz w:val="20"/>
                <w:szCs w:val="20"/>
              </w:rPr>
              <w:t>nimmt</w:t>
            </w:r>
            <w:r w:rsidRPr="00AD4769">
              <w:rPr>
                <w:sz w:val="20"/>
                <w:szCs w:val="20"/>
              </w:rPr>
              <w:t xml:space="preserve"> von dieser Anklagenotwendigkeit Soldaten aus, die Straftaten während eines Krieges oder bei öffentlicher Gefahr</w:t>
            </w:r>
            <w:r>
              <w:rPr>
                <w:sz w:val="20"/>
                <w:szCs w:val="20"/>
              </w:rPr>
              <w:t xml:space="preserve"> </w:t>
            </w:r>
            <w:r w:rsidRPr="00AD4769">
              <w:rPr>
                <w:sz w:val="20"/>
                <w:szCs w:val="20"/>
              </w:rPr>
              <w:t xml:space="preserve">begangen haben. Die Auslegung des </w:t>
            </w:r>
            <w:r>
              <w:rPr>
                <w:sz w:val="20"/>
                <w:szCs w:val="20"/>
              </w:rPr>
              <w:t>U.S. Supreme Court</w:t>
            </w:r>
            <w:r w:rsidRPr="00AD4769">
              <w:rPr>
                <w:sz w:val="20"/>
                <w:szCs w:val="20"/>
              </w:rPr>
              <w:t xml:space="preserve"> </w:t>
            </w:r>
            <w:r>
              <w:rPr>
                <w:sz w:val="20"/>
                <w:szCs w:val="20"/>
              </w:rPr>
              <w:t>ergibt</w:t>
            </w:r>
            <w:r w:rsidRPr="00AD4769">
              <w:rPr>
                <w:sz w:val="20"/>
                <w:szCs w:val="20"/>
              </w:rPr>
              <w:t xml:space="preserve">, dass die Verfassungsväter beabsichtigten, </w:t>
            </w:r>
            <w:proofErr w:type="gramStart"/>
            <w:r w:rsidRPr="00AD4769">
              <w:rPr>
                <w:sz w:val="20"/>
                <w:szCs w:val="20"/>
              </w:rPr>
              <w:t>das</w:t>
            </w:r>
            <w:proofErr w:type="gramEnd"/>
            <w:r w:rsidRPr="00AD4769">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AD4769">
              <w:rPr>
                <w:sz w:val="20"/>
                <w:szCs w:val="20"/>
              </w:rPr>
              <w:t xml:space="preserve"> (Recht auf einen öffentlichen Prozess mit Geschwor</w:t>
            </w:r>
            <w:r>
              <w:rPr>
                <w:sz w:val="20"/>
                <w:szCs w:val="20"/>
              </w:rPr>
              <w:t>e</w:t>
            </w:r>
            <w:r w:rsidRPr="00AD4769">
              <w:rPr>
                <w:sz w:val="20"/>
                <w:szCs w:val="20"/>
              </w:rPr>
              <w:t xml:space="preserve">nen) auf jene Personen zu beschränken, die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D4769">
              <w:rPr>
                <w:sz w:val="20"/>
                <w:szCs w:val="20"/>
              </w:rPr>
              <w:t xml:space="preserve"> (Anklageerfordernis bei Straftaten)</w:t>
            </w:r>
            <w:r>
              <w:rPr>
                <w:sz w:val="20"/>
                <w:szCs w:val="20"/>
              </w:rPr>
              <w:t xml:space="preserve"> </w:t>
            </w:r>
            <w:r w:rsidRPr="00AD4769">
              <w:rPr>
                <w:sz w:val="20"/>
                <w:szCs w:val="20"/>
              </w:rPr>
              <w:t>anzuklagen sind. Die Folge: Soldaten, die während eines Krieges oder in Zeiten öffentlicher Gefahr schwere Straftaten begehen, unterliegen nicht dem Anklageerfordernis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AD4769">
              <w:rPr>
                <w:sz w:val="20"/>
                <w:szCs w:val="20"/>
              </w:rPr>
              <w:t>), damit haben sie keinen Anspruch auf ein Juryverfahren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AD4769">
              <w:rPr>
                <w:sz w:val="20"/>
                <w:szCs w:val="20"/>
              </w:rPr>
              <w:t>); sie unterstehen stattdessen einem Militärgericht.</w:t>
            </w:r>
            <w:r w:rsidRPr="00AD4769">
              <w:rPr>
                <w:sz w:val="20"/>
                <w:szCs w:val="20"/>
                <w:vertAlign w:val="superscript"/>
              </w:rPr>
              <w:footnoteReference w:id="2183"/>
            </w:r>
          </w:p>
          <w:p w14:paraId="0AA96842" w14:textId="77777777" w:rsidR="00074551" w:rsidRPr="00E50B51" w:rsidRDefault="00074551" w:rsidP="00367133">
            <w:pPr>
              <w:jc w:val="both"/>
              <w:rPr>
                <w:sz w:val="20"/>
                <w:szCs w:val="20"/>
              </w:rPr>
            </w:pPr>
          </w:p>
        </w:tc>
      </w:tr>
      <w:tr w:rsidR="00074551" w:rsidRPr="00E50B51" w14:paraId="53A9D80D" w14:textId="77777777" w:rsidTr="00BE689F">
        <w:trPr>
          <w:cantSplit/>
          <w:trHeight w:val="3175"/>
        </w:trPr>
        <w:tc>
          <w:tcPr>
            <w:tcW w:w="293" w:type="pct"/>
          </w:tcPr>
          <w:p w14:paraId="57CF3C8F"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44531AC2" w14:textId="77777777" w:rsidR="00074551" w:rsidRPr="00B45592" w:rsidRDefault="00074551" w:rsidP="00367133">
            <w:pPr>
              <w:ind w:left="113" w:right="416"/>
              <w:jc w:val="both"/>
              <w:rPr>
                <w:i/>
                <w:sz w:val="20"/>
                <w:szCs w:val="20"/>
              </w:rPr>
            </w:pPr>
            <w:r w:rsidRPr="00B45592">
              <w:rPr>
                <w:i/>
                <w:sz w:val="20"/>
                <w:szCs w:val="20"/>
              </w:rPr>
              <w:t>Sparf v. United States</w:t>
            </w:r>
          </w:p>
        </w:tc>
        <w:tc>
          <w:tcPr>
            <w:tcW w:w="197" w:type="pct"/>
            <w:textDirection w:val="tbRl"/>
            <w:vAlign w:val="center"/>
          </w:tcPr>
          <w:p w14:paraId="43365207" w14:textId="77777777" w:rsidR="00074551" w:rsidRPr="00E50B51" w:rsidRDefault="00074551" w:rsidP="00367133">
            <w:pPr>
              <w:ind w:left="113" w:right="113"/>
              <w:jc w:val="both"/>
              <w:rPr>
                <w:sz w:val="20"/>
                <w:szCs w:val="20"/>
                <w:lang w:val="en-US"/>
              </w:rPr>
            </w:pPr>
            <w:r w:rsidRPr="00BE3728">
              <w:rPr>
                <w:sz w:val="20"/>
                <w:szCs w:val="20"/>
              </w:rPr>
              <w:t>156 U.S. 51</w:t>
            </w:r>
          </w:p>
        </w:tc>
        <w:tc>
          <w:tcPr>
            <w:tcW w:w="306" w:type="pct"/>
            <w:textDirection w:val="tbRl"/>
            <w:vAlign w:val="center"/>
          </w:tcPr>
          <w:p w14:paraId="15F5B04F" w14:textId="77777777" w:rsidR="00074551" w:rsidRPr="00E50B51" w:rsidRDefault="00074551" w:rsidP="00367133">
            <w:pPr>
              <w:ind w:left="113" w:right="113"/>
              <w:jc w:val="both"/>
              <w:rPr>
                <w:sz w:val="20"/>
                <w:szCs w:val="20"/>
              </w:rPr>
            </w:pPr>
            <w:r w:rsidRPr="00BE3728">
              <w:rPr>
                <w:sz w:val="20"/>
                <w:szCs w:val="20"/>
              </w:rPr>
              <w:t>21. Januar 1895</w:t>
            </w:r>
          </w:p>
        </w:tc>
        <w:tc>
          <w:tcPr>
            <w:tcW w:w="401" w:type="pct"/>
          </w:tcPr>
          <w:p w14:paraId="0D799168"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0BCBF9EF" w14:textId="77777777" w:rsidR="00074551" w:rsidRPr="00E50B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entsch</w:t>
            </w:r>
            <w:r>
              <w:rPr>
                <w:sz w:val="20"/>
                <w:szCs w:val="20"/>
              </w:rPr>
              <w:t>ie</w:t>
            </w:r>
            <w:r w:rsidRPr="00BE3728">
              <w:rPr>
                <w:sz w:val="20"/>
                <w:szCs w:val="20"/>
              </w:rPr>
              <w:t xml:space="preserve">d, es stelle keinen Verstoß gegen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sowie keine</w:t>
            </w:r>
            <w:r>
              <w:rPr>
                <w:sz w:val="20"/>
                <w:szCs w:val="20"/>
              </w:rPr>
              <w:t>n</w:t>
            </w:r>
            <w:r w:rsidRPr="00BE3728">
              <w:rPr>
                <w:sz w:val="20"/>
                <w:szCs w:val="20"/>
              </w:rPr>
              <w:t xml:space="preserve"> Verfahrensfehler dar, wenn das Gericht der Jury in einem Strafverfahren mitteile, dass die Verurteilung wegen einer geringeren Straftat als der angeklagten nicht verfahrenskonform sei. Und wenn sich das Gericht damit weigere, die Jury über die geringeren Straftaten aufzuklären, dann handle das Gericht </w:t>
            </w:r>
            <w:r>
              <w:rPr>
                <w:sz w:val="20"/>
                <w:szCs w:val="20"/>
              </w:rPr>
              <w:t>ebenfalls</w:t>
            </w:r>
            <w:r w:rsidRPr="00BE3728">
              <w:rPr>
                <w:sz w:val="20"/>
                <w:szCs w:val="20"/>
              </w:rPr>
              <w:t xml:space="preserve"> rechtmäßig. Vorausgesetz</w:t>
            </w:r>
            <w:r>
              <w:rPr>
                <w:sz w:val="20"/>
                <w:szCs w:val="20"/>
              </w:rPr>
              <w:t>t,</w:t>
            </w:r>
            <w:r w:rsidRPr="00BE3728">
              <w:rPr>
                <w:sz w:val="20"/>
                <w:szCs w:val="20"/>
              </w:rPr>
              <w:t xml:space="preserve"> hierfür bestehen auch keine hinreichenden Beweise. Der Hintergrund sei, dass der Kongress nicht beabsichtige, der Jury in Strafsachen die Kompetenz einzuräumen, von der Beweislage oder der grundsätzlichen Rechtslage abzuweichen. Ein Schuldspruch für eine geringere Straftat als die angeklagte könnte die Beweise missachten und die Amtsermittlungspflicht der Jury unterlaufen. Ein solches Urteil sei willkürlich. Denn die Jury verhänge letztendlich eine andere als die gesetzlich vorgeschriebene Strafe. </w:t>
            </w:r>
            <w:r>
              <w:rPr>
                <w:sz w:val="20"/>
                <w:szCs w:val="20"/>
              </w:rPr>
              <w:t>Sowohl d</w:t>
            </w:r>
            <w:r w:rsidRPr="00BE3728">
              <w:rPr>
                <w:sz w:val="20"/>
                <w:szCs w:val="20"/>
              </w:rPr>
              <w:t xml:space="preserve">ie öffentliche als auch die private Sicherheit wären gefährdet, wenn Jurys in Strafsachen die Kompetenz </w:t>
            </w:r>
            <w:r>
              <w:rPr>
                <w:sz w:val="20"/>
                <w:szCs w:val="20"/>
              </w:rPr>
              <w:t>hätten</w:t>
            </w:r>
            <w:r w:rsidRPr="00BE3728">
              <w:rPr>
                <w:sz w:val="20"/>
                <w:szCs w:val="20"/>
              </w:rPr>
              <w:t xml:space="preserve">, </w:t>
            </w:r>
            <w:proofErr w:type="gramStart"/>
            <w:r w:rsidRPr="00BE3728">
              <w:rPr>
                <w:sz w:val="20"/>
                <w:szCs w:val="20"/>
              </w:rPr>
              <w:t>das</w:t>
            </w:r>
            <w:proofErr w:type="gramEnd"/>
            <w:r w:rsidRPr="00BE3728">
              <w:rPr>
                <w:sz w:val="20"/>
                <w:szCs w:val="20"/>
              </w:rPr>
              <w:t xml:space="preserve"> ihnen vom Gericht erklärte Gesetz zu ignorieren und einer eigenen Gesetzesauslegung zu folgen.</w:t>
            </w:r>
            <w:r w:rsidRPr="00BE3728">
              <w:rPr>
                <w:rStyle w:val="Funotenzeichen"/>
                <w:sz w:val="20"/>
                <w:szCs w:val="20"/>
              </w:rPr>
              <w:footnoteReference w:id="2184"/>
            </w:r>
          </w:p>
        </w:tc>
        <w:tc>
          <w:tcPr>
            <w:tcW w:w="1822" w:type="pct"/>
          </w:tcPr>
          <w:p w14:paraId="2B3FED50"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 xml:space="preserve">: </w:t>
            </w:r>
            <w:r w:rsidRPr="00B45592">
              <w:rPr>
                <w:i/>
                <w:sz w:val="20"/>
                <w:szCs w:val="20"/>
                <w:lang w:val="en-US"/>
              </w:rPr>
              <w:t>Constitutional Law › Fundamental Rights › Criminal Process › General Overview</w:t>
            </w:r>
          </w:p>
          <w:p w14:paraId="4E7FE556" w14:textId="77777777" w:rsidR="00074551" w:rsidRDefault="00074551" w:rsidP="00367133">
            <w:pPr>
              <w:jc w:val="both"/>
              <w:rPr>
                <w:sz w:val="20"/>
                <w:szCs w:val="20"/>
                <w:lang w:val="en-US"/>
              </w:rPr>
            </w:pPr>
          </w:p>
          <w:p w14:paraId="1B8DF4D4" w14:textId="7923E185" w:rsidR="00074551" w:rsidRPr="00253E4C" w:rsidRDefault="00253E4C" w:rsidP="00367133">
            <w:pPr>
              <w:jc w:val="both"/>
              <w:rPr>
                <w:sz w:val="20"/>
                <w:szCs w:val="20"/>
                <w:lang w:val="en-US"/>
              </w:rPr>
            </w:pPr>
            <w:r w:rsidRPr="00253E4C">
              <w:rPr>
                <w:sz w:val="20"/>
                <w:szCs w:val="20"/>
              </w:rPr>
              <w:t>Das Recht des Angeklagten bestehe darin, dass die Geschworenen über die Tatsachenfragen und das Gericht über die Rechtsfragen entscheiden.</w:t>
            </w:r>
            <w:r>
              <w:rPr>
                <w:sz w:val="20"/>
                <w:szCs w:val="20"/>
                <w:lang w:val="en-US"/>
              </w:rPr>
              <w:t xml:space="preserve"> </w:t>
            </w:r>
            <w:r w:rsidR="00074551" w:rsidRPr="00BE3728">
              <w:rPr>
                <w:sz w:val="20"/>
                <w:szCs w:val="20"/>
              </w:rPr>
              <w:t xml:space="preserve">Das Gericht verpflichtet sich, die Geschworenen über das Gesetz zu belehren. Die Geschworenen wiederum verpflichten sich, dem Gesetz zu folgen, wie es das Gericht festgelegt hat. </w:t>
            </w:r>
            <w:r w:rsidR="00074551">
              <w:rPr>
                <w:sz w:val="20"/>
                <w:szCs w:val="20"/>
              </w:rPr>
              <w:t>Es</w:t>
            </w:r>
            <w:r w:rsidR="00074551" w:rsidRPr="00BE3728">
              <w:rPr>
                <w:sz w:val="20"/>
                <w:szCs w:val="20"/>
              </w:rPr>
              <w:t xml:space="preserve"> sei ein Bürgerrecht</w:t>
            </w:r>
            <w:r w:rsidR="00074551">
              <w:rPr>
                <w:sz w:val="20"/>
                <w:szCs w:val="20"/>
              </w:rPr>
              <w:t>,</w:t>
            </w:r>
            <w:r w:rsidR="00074551" w:rsidRPr="00BE3728">
              <w:rPr>
                <w:sz w:val="20"/>
                <w:szCs w:val="20"/>
              </w:rPr>
              <w:t xml:space="preserve"> nicht nach dem Gesetz verurteilt zu werden, wie die Geschworenen es verstehen oder </w:t>
            </w:r>
            <w:r w:rsidR="00074551">
              <w:rPr>
                <w:sz w:val="20"/>
                <w:szCs w:val="20"/>
              </w:rPr>
              <w:t>irrtümlicherweise</w:t>
            </w:r>
            <w:r w:rsidR="00074551" w:rsidRPr="00BE3728">
              <w:rPr>
                <w:sz w:val="20"/>
                <w:szCs w:val="20"/>
              </w:rPr>
              <w:t xml:space="preserve"> auslegen – ein Schutzschild gegen Unterdrückung und Unrecht.</w:t>
            </w:r>
            <w:r w:rsidR="00074551" w:rsidRPr="00BE3728">
              <w:rPr>
                <w:rStyle w:val="Funotenzeichen"/>
                <w:sz w:val="20"/>
                <w:szCs w:val="20"/>
              </w:rPr>
              <w:footnoteReference w:id="2185"/>
            </w:r>
          </w:p>
          <w:p w14:paraId="2FF621AA" w14:textId="77777777" w:rsidR="00074551" w:rsidRPr="00BE3728" w:rsidRDefault="00074551" w:rsidP="00367133">
            <w:pPr>
              <w:jc w:val="both"/>
              <w:rPr>
                <w:sz w:val="20"/>
                <w:szCs w:val="20"/>
              </w:rPr>
            </w:pPr>
          </w:p>
          <w:p w14:paraId="10763686" w14:textId="77777777" w:rsidR="00074551" w:rsidRPr="00BE3728" w:rsidRDefault="00074551" w:rsidP="00367133">
            <w:pPr>
              <w:jc w:val="both"/>
              <w:rPr>
                <w:sz w:val="20"/>
                <w:szCs w:val="20"/>
              </w:rPr>
            </w:pPr>
            <w:r w:rsidRPr="00BE3728">
              <w:rPr>
                <w:sz w:val="20"/>
                <w:szCs w:val="20"/>
              </w:rPr>
              <w:t>Zwar könn</w:t>
            </w:r>
            <w:r>
              <w:rPr>
                <w:sz w:val="20"/>
                <w:szCs w:val="20"/>
              </w:rPr>
              <w:t>t</w:t>
            </w:r>
            <w:r w:rsidRPr="00BE3728">
              <w:rPr>
                <w:sz w:val="20"/>
                <w:szCs w:val="20"/>
              </w:rPr>
              <w:t>en die Geschworenen von Rechts wegen das vom Gericht erläuterte Gesetz missachten, indem sie urteil</w:t>
            </w:r>
            <w:r>
              <w:rPr>
                <w:sz w:val="20"/>
                <w:szCs w:val="20"/>
              </w:rPr>
              <w:t>t</w:t>
            </w:r>
            <w:r w:rsidRPr="00BE3728">
              <w:rPr>
                <w:sz w:val="20"/>
                <w:szCs w:val="20"/>
              </w:rPr>
              <w:t xml:space="preserve">en, der Sachverhalt rechtfertige nicht das Gesetz. Aber eine rechtmäßige Erläuterung müsse zuvor stattgefunden haben. Was ist der Hintergrund davon? Aufgrund der unterschiedlichen Strafgesetzgebung in den Bundesstaaten sei </w:t>
            </w:r>
            <w:r>
              <w:rPr>
                <w:sz w:val="20"/>
                <w:szCs w:val="20"/>
              </w:rPr>
              <w:t xml:space="preserve">es </w:t>
            </w:r>
            <w:r w:rsidRPr="00BE3728">
              <w:rPr>
                <w:sz w:val="20"/>
                <w:szCs w:val="20"/>
              </w:rPr>
              <w:t xml:space="preserve">unabdingbar, dass das Gericht das Gesetz erläutere. Wenn dies nicht geschehe, dann entfalle die Grundlage für die Union der Vereinigten Staaten – von der die Staatsziele der politischen Sicherheit, das Glück und der Wohlstand abhängen. Daher muss das Gericht den Geschworenen das Recht erläutern. Die Geschworenen können dann </w:t>
            </w:r>
            <w:r>
              <w:rPr>
                <w:sz w:val="20"/>
                <w:szCs w:val="20"/>
              </w:rPr>
              <w:t>wiederum</w:t>
            </w:r>
            <w:r w:rsidRPr="00BE3728">
              <w:rPr>
                <w:sz w:val="20"/>
                <w:szCs w:val="20"/>
              </w:rPr>
              <w:t xml:space="preserve"> in Strafsachen entscheiden, inwieweit der Tatbestand das Gesetz rechtfertig</w:t>
            </w:r>
            <w:r>
              <w:rPr>
                <w:sz w:val="20"/>
                <w:szCs w:val="20"/>
              </w:rPr>
              <w:t>t</w:t>
            </w:r>
            <w:r w:rsidRPr="00BE3728">
              <w:rPr>
                <w:sz w:val="20"/>
                <w:szCs w:val="20"/>
              </w:rPr>
              <w:t>. Die Grenze davon ist, dass sie nicht über die Verfassungsmäßigkeit eines Gesetzes der Vereinigten Staaten bestimmen können.</w:t>
            </w:r>
            <w:r w:rsidRPr="00BE3728">
              <w:rPr>
                <w:rStyle w:val="Funotenzeichen"/>
                <w:sz w:val="20"/>
                <w:szCs w:val="20"/>
              </w:rPr>
              <w:footnoteReference w:id="2186"/>
            </w:r>
          </w:p>
          <w:p w14:paraId="22167C43" w14:textId="77777777" w:rsidR="00074551" w:rsidRPr="00E50B51" w:rsidRDefault="00074551" w:rsidP="00367133">
            <w:pPr>
              <w:jc w:val="both"/>
              <w:rPr>
                <w:sz w:val="20"/>
                <w:szCs w:val="20"/>
              </w:rPr>
            </w:pPr>
          </w:p>
        </w:tc>
      </w:tr>
      <w:tr w:rsidR="00074551" w:rsidRPr="00E50B51" w14:paraId="5BB97653" w14:textId="77777777" w:rsidTr="00203768">
        <w:trPr>
          <w:cantSplit/>
          <w:trHeight w:val="3175"/>
        </w:trPr>
        <w:tc>
          <w:tcPr>
            <w:tcW w:w="293" w:type="pct"/>
            <w:shd w:val="clear" w:color="auto" w:fill="E7E6E6" w:themeFill="background2"/>
          </w:tcPr>
          <w:p w14:paraId="35D2500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6054E632"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340FFB35" w14:textId="77777777" w:rsidR="00074551" w:rsidRPr="00E50B51" w:rsidRDefault="00074551" w:rsidP="00367133">
            <w:pPr>
              <w:ind w:left="113" w:right="113"/>
              <w:jc w:val="both"/>
              <w:rPr>
                <w:iCs/>
                <w:sz w:val="20"/>
                <w:szCs w:val="20"/>
              </w:rPr>
            </w:pPr>
            <w:proofErr w:type="spellStart"/>
            <w:r w:rsidRPr="00E50B51">
              <w:rPr>
                <w:iCs/>
                <w:sz w:val="20"/>
                <w:szCs w:val="20"/>
              </w:rPr>
              <w:t>Criminal</w:t>
            </w:r>
            <w:proofErr w:type="spellEnd"/>
            <w:r w:rsidRPr="00E50B51">
              <w:rPr>
                <w:iCs/>
                <w:sz w:val="20"/>
                <w:szCs w:val="20"/>
              </w:rPr>
              <w:t xml:space="preserv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6425016F" w14:textId="77777777" w:rsidR="00074551" w:rsidRPr="00E50B51" w:rsidRDefault="00074551" w:rsidP="00367133">
            <w:pPr>
              <w:ind w:left="113" w:right="113"/>
              <w:jc w:val="both"/>
              <w:rPr>
                <w:sz w:val="20"/>
                <w:szCs w:val="20"/>
              </w:rPr>
            </w:pPr>
            <w:r w:rsidRPr="00E50B51">
              <w:rPr>
                <w:iCs/>
                <w:sz w:val="20"/>
                <w:szCs w:val="20"/>
                <w:lang w:val="en-US"/>
              </w:rPr>
              <w:t>Right to Jury Trial</w:t>
            </w:r>
          </w:p>
        </w:tc>
        <w:tc>
          <w:tcPr>
            <w:tcW w:w="401" w:type="pct"/>
            <w:shd w:val="clear" w:color="auto" w:fill="E7E6E6" w:themeFill="background2"/>
          </w:tcPr>
          <w:p w14:paraId="7AB4EFB7"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0A5D2B02" w14:textId="77777777" w:rsidR="00074551" w:rsidRPr="00E50B51" w:rsidRDefault="00074551" w:rsidP="00367133">
            <w:pPr>
              <w:jc w:val="both"/>
              <w:rPr>
                <w:sz w:val="20"/>
                <w:szCs w:val="20"/>
              </w:rPr>
            </w:pPr>
          </w:p>
        </w:tc>
        <w:tc>
          <w:tcPr>
            <w:tcW w:w="1822" w:type="pct"/>
            <w:shd w:val="clear" w:color="auto" w:fill="E7E6E6" w:themeFill="background2"/>
          </w:tcPr>
          <w:p w14:paraId="33479204" w14:textId="5C2217F3"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69BD5D78" w14:textId="77777777" w:rsidTr="00BE689F">
        <w:trPr>
          <w:cantSplit/>
          <w:trHeight w:val="3175"/>
        </w:trPr>
        <w:tc>
          <w:tcPr>
            <w:tcW w:w="293" w:type="pct"/>
          </w:tcPr>
          <w:p w14:paraId="74FD23F1"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textDirection w:val="tbRl"/>
            <w:vAlign w:val="center"/>
          </w:tcPr>
          <w:p w14:paraId="2E58D3EE" w14:textId="77777777" w:rsidR="00074551" w:rsidRPr="00E50B51" w:rsidRDefault="00074551" w:rsidP="00367133">
            <w:pPr>
              <w:ind w:left="113" w:right="416"/>
              <w:jc w:val="both"/>
              <w:rPr>
                <w:sz w:val="20"/>
                <w:szCs w:val="20"/>
              </w:rPr>
            </w:pPr>
            <w:r w:rsidRPr="00B35CD0">
              <w:rPr>
                <w:i/>
                <w:sz w:val="20"/>
                <w:szCs w:val="20"/>
              </w:rPr>
              <w:t xml:space="preserve">Ex </w:t>
            </w:r>
            <w:proofErr w:type="spellStart"/>
            <w:r w:rsidRPr="00B35CD0">
              <w:rPr>
                <w:i/>
                <w:sz w:val="20"/>
                <w:szCs w:val="20"/>
              </w:rPr>
              <w:t>parte</w:t>
            </w:r>
            <w:proofErr w:type="spellEnd"/>
            <w:r w:rsidRPr="00B35CD0">
              <w:rPr>
                <w:i/>
                <w:sz w:val="20"/>
                <w:szCs w:val="20"/>
              </w:rPr>
              <w:t xml:space="preserve"> Milligan</w:t>
            </w:r>
          </w:p>
        </w:tc>
        <w:tc>
          <w:tcPr>
            <w:tcW w:w="197" w:type="pct"/>
            <w:textDirection w:val="tbRl"/>
            <w:vAlign w:val="center"/>
          </w:tcPr>
          <w:p w14:paraId="20C72336" w14:textId="77777777" w:rsidR="00074551" w:rsidRPr="00E50B51" w:rsidRDefault="00074551" w:rsidP="00367133">
            <w:pPr>
              <w:ind w:left="113" w:right="113"/>
              <w:jc w:val="both"/>
              <w:rPr>
                <w:iCs/>
                <w:sz w:val="20"/>
                <w:szCs w:val="20"/>
              </w:rPr>
            </w:pPr>
            <w:r w:rsidRPr="00E50B51">
              <w:rPr>
                <w:sz w:val="20"/>
                <w:szCs w:val="20"/>
                <w:lang w:val="en-US"/>
              </w:rPr>
              <w:t>71 U.S. 2</w:t>
            </w:r>
          </w:p>
        </w:tc>
        <w:tc>
          <w:tcPr>
            <w:tcW w:w="306" w:type="pct"/>
            <w:textDirection w:val="tbRl"/>
            <w:vAlign w:val="center"/>
          </w:tcPr>
          <w:p w14:paraId="129E889D" w14:textId="77777777" w:rsidR="00074551" w:rsidRPr="00E50B51" w:rsidRDefault="00074551" w:rsidP="00367133">
            <w:pPr>
              <w:ind w:left="113" w:right="113"/>
              <w:jc w:val="both"/>
              <w:rPr>
                <w:sz w:val="20"/>
                <w:szCs w:val="20"/>
              </w:rPr>
            </w:pPr>
            <w:r w:rsidRPr="00E50B51">
              <w:rPr>
                <w:sz w:val="20"/>
                <w:szCs w:val="20"/>
              </w:rPr>
              <w:t>3. April 1866</w:t>
            </w:r>
          </w:p>
        </w:tc>
        <w:tc>
          <w:tcPr>
            <w:tcW w:w="401" w:type="pct"/>
          </w:tcPr>
          <w:p w14:paraId="66EBB923" w14:textId="77777777" w:rsidR="00074551" w:rsidRPr="00E50B51" w:rsidRDefault="00074551" w:rsidP="00253E4C">
            <w:pPr>
              <w:jc w:val="center"/>
              <w:rPr>
                <w:sz w:val="20"/>
                <w:szCs w:val="20"/>
              </w:rPr>
            </w:pPr>
            <w:r w:rsidRPr="00E50B51">
              <w:rPr>
                <w:sz w:val="20"/>
                <w:szCs w:val="20"/>
              </w:rPr>
              <w:t>S</w:t>
            </w:r>
          </w:p>
        </w:tc>
        <w:tc>
          <w:tcPr>
            <w:tcW w:w="1594" w:type="pct"/>
          </w:tcPr>
          <w:p w14:paraId="7C2A6634" w14:textId="77777777" w:rsidR="00074551" w:rsidRPr="00E50B51" w:rsidRDefault="00074551" w:rsidP="00367133">
            <w:pPr>
              <w:jc w:val="both"/>
              <w:rPr>
                <w:sz w:val="20"/>
                <w:szCs w:val="20"/>
              </w:rPr>
            </w:pPr>
            <w:r w:rsidRPr="00E50B51">
              <w:rPr>
                <w:sz w:val="20"/>
                <w:szCs w:val="20"/>
              </w:rPr>
              <w:t>*</w:t>
            </w:r>
          </w:p>
        </w:tc>
        <w:tc>
          <w:tcPr>
            <w:tcW w:w="1822" w:type="pct"/>
          </w:tcPr>
          <w:p w14:paraId="3F29F9E9" w14:textId="77777777" w:rsidR="00074551" w:rsidRDefault="00074551" w:rsidP="00367133">
            <w:pPr>
              <w:jc w:val="both"/>
              <w:rPr>
                <w:sz w:val="20"/>
                <w:szCs w:val="20"/>
              </w:rPr>
            </w:pPr>
            <w:r w:rsidRPr="00AD4769">
              <w:rPr>
                <w:sz w:val="20"/>
                <w:szCs w:val="20"/>
              </w:rPr>
              <w:t>Die Bedingungen für ein Streben nach Glück erforder</w:t>
            </w:r>
            <w:r>
              <w:rPr>
                <w:sz w:val="20"/>
                <w:szCs w:val="20"/>
              </w:rPr>
              <w:t>n</w:t>
            </w:r>
            <w:r w:rsidRPr="00AD4769">
              <w:rPr>
                <w:sz w:val="20"/>
                <w:szCs w:val="20"/>
              </w:rPr>
              <w:t xml:space="preserve"> ein rechtsstaatliches Verfahren, so ließ es sich aus dem Urteil </w:t>
            </w:r>
            <w:r w:rsidRPr="5B67C1D2">
              <w:rPr>
                <w:i/>
                <w:iCs/>
                <w:sz w:val="20"/>
                <w:szCs w:val="20"/>
              </w:rPr>
              <w:t xml:space="preserve">Ex </w:t>
            </w:r>
            <w:proofErr w:type="spellStart"/>
            <w:r w:rsidRPr="5B67C1D2">
              <w:rPr>
                <w:i/>
                <w:iCs/>
                <w:sz w:val="20"/>
                <w:szCs w:val="20"/>
              </w:rPr>
              <w:t>parte</w:t>
            </w:r>
            <w:proofErr w:type="spellEnd"/>
            <w:r w:rsidRPr="5B67C1D2">
              <w:rPr>
                <w:i/>
                <w:iCs/>
                <w:sz w:val="20"/>
                <w:szCs w:val="20"/>
              </w:rPr>
              <w:t xml:space="preserve"> Milligan</w:t>
            </w:r>
            <w:r w:rsidRPr="00AD4769">
              <w:rPr>
                <w:sz w:val="20"/>
                <w:szCs w:val="20"/>
                <w:vertAlign w:val="superscript"/>
              </w:rPr>
              <w:footnoteReference w:id="2187"/>
            </w:r>
            <w:r w:rsidRPr="00AD4769">
              <w:rPr>
                <w:sz w:val="20"/>
                <w:szCs w:val="20"/>
              </w:rPr>
              <w:t xml:space="preserve"> deduzieren. Dies </w:t>
            </w:r>
            <w:r>
              <w:rPr>
                <w:sz w:val="20"/>
                <w:szCs w:val="20"/>
              </w:rPr>
              <w:t>ergibt</w:t>
            </w:r>
            <w:r w:rsidRPr="00AD4769">
              <w:rPr>
                <w:sz w:val="20"/>
                <w:szCs w:val="20"/>
              </w:rPr>
              <w:t xml:space="preserve"> sich aus einem Umkehrschluss: Glücksstreben </w:t>
            </w:r>
            <w:r>
              <w:rPr>
                <w:sz w:val="20"/>
                <w:szCs w:val="20"/>
              </w:rPr>
              <w:t>werde</w:t>
            </w:r>
            <w:r w:rsidRPr="00AD4769">
              <w:rPr>
                <w:sz w:val="20"/>
                <w:szCs w:val="20"/>
              </w:rPr>
              <w:t xml:space="preserve"> genommen, wenn ein Betroffener ohne rechtsstaa</w:t>
            </w:r>
            <w:r>
              <w:rPr>
                <w:sz w:val="20"/>
                <w:szCs w:val="20"/>
              </w:rPr>
              <w:t>t</w:t>
            </w:r>
            <w:r w:rsidRPr="00AD4769">
              <w:rPr>
                <w:sz w:val="20"/>
                <w:szCs w:val="20"/>
              </w:rPr>
              <w:t>liches Verfahren verurteilt w</w:t>
            </w:r>
            <w:r>
              <w:rPr>
                <w:sz w:val="20"/>
                <w:szCs w:val="20"/>
              </w:rPr>
              <w:t>e</w:t>
            </w:r>
            <w:r w:rsidRPr="00AD4769">
              <w:rPr>
                <w:sz w:val="20"/>
                <w:szCs w:val="20"/>
              </w:rPr>
              <w:t xml:space="preserve">rde, was bei einem Militärgericht der Fall sein kann („and </w:t>
            </w:r>
            <w:proofErr w:type="spellStart"/>
            <w:r w:rsidRPr="00AD4769">
              <w:rPr>
                <w:sz w:val="20"/>
                <w:szCs w:val="20"/>
              </w:rPr>
              <w:t>its</w:t>
            </w:r>
            <w:proofErr w:type="spellEnd"/>
            <w:r w:rsidRPr="00AD4769">
              <w:rPr>
                <w:sz w:val="20"/>
                <w:szCs w:val="20"/>
              </w:rPr>
              <w:t xml:space="preserve"> </w:t>
            </w:r>
            <w:proofErr w:type="spellStart"/>
            <w:r w:rsidRPr="00AD4769">
              <w:rPr>
                <w:sz w:val="20"/>
                <w:szCs w:val="20"/>
              </w:rPr>
              <w:t>execution</w:t>
            </w:r>
            <w:proofErr w:type="spellEnd"/>
            <w:r w:rsidRPr="00AD4769">
              <w:rPr>
                <w:sz w:val="20"/>
                <w:szCs w:val="20"/>
              </w:rPr>
              <w:t xml:space="preserve"> by </w:t>
            </w:r>
            <w:proofErr w:type="spellStart"/>
            <w:r w:rsidRPr="00AD4769">
              <w:rPr>
                <w:sz w:val="20"/>
                <w:szCs w:val="20"/>
              </w:rPr>
              <w:t>trials</w:t>
            </w:r>
            <w:proofErr w:type="spellEnd"/>
            <w:r w:rsidRPr="00AD4769">
              <w:rPr>
                <w:sz w:val="20"/>
                <w:szCs w:val="20"/>
              </w:rPr>
              <w:t xml:space="preserve"> by </w:t>
            </w:r>
            <w:proofErr w:type="spellStart"/>
            <w:r w:rsidRPr="00AD4769">
              <w:rPr>
                <w:sz w:val="20"/>
                <w:szCs w:val="20"/>
              </w:rPr>
              <w:t>military</w:t>
            </w:r>
            <w:proofErr w:type="spellEnd"/>
            <w:r w:rsidRPr="00AD4769">
              <w:rPr>
                <w:sz w:val="20"/>
                <w:szCs w:val="20"/>
              </w:rPr>
              <w:t xml:space="preserve"> </w:t>
            </w:r>
            <w:proofErr w:type="spellStart"/>
            <w:r w:rsidRPr="00AD4769">
              <w:rPr>
                <w:sz w:val="20"/>
                <w:szCs w:val="20"/>
              </w:rPr>
              <w:t>commission</w:t>
            </w:r>
            <w:proofErr w:type="spellEnd"/>
            <w:r w:rsidRPr="00AD4769">
              <w:rPr>
                <w:sz w:val="20"/>
                <w:szCs w:val="20"/>
              </w:rPr>
              <w:t xml:space="preserve">, </w:t>
            </w:r>
            <w:proofErr w:type="spellStart"/>
            <w:r w:rsidRPr="00AD4769">
              <w:rPr>
                <w:sz w:val="20"/>
                <w:szCs w:val="20"/>
              </w:rPr>
              <w:t>is</w:t>
            </w:r>
            <w:proofErr w:type="spellEnd"/>
            <w:r w:rsidRPr="00AD4769">
              <w:rPr>
                <w:sz w:val="20"/>
                <w:szCs w:val="20"/>
              </w:rPr>
              <w:t xml:space="preserve"> fatal to </w:t>
            </w:r>
            <w:proofErr w:type="spellStart"/>
            <w:r w:rsidRPr="00AD4769">
              <w:rPr>
                <w:sz w:val="20"/>
                <w:szCs w:val="20"/>
              </w:rPr>
              <w:t>liberty</w:t>
            </w:r>
            <w:proofErr w:type="spellEnd"/>
            <w:r w:rsidRPr="00AD4769">
              <w:rPr>
                <w:sz w:val="20"/>
                <w:szCs w:val="20"/>
              </w:rPr>
              <w:t xml:space="preserve"> and the </w:t>
            </w:r>
            <w:proofErr w:type="spellStart"/>
            <w:r w:rsidRPr="00AD4769">
              <w:rPr>
                <w:sz w:val="20"/>
                <w:szCs w:val="20"/>
              </w:rPr>
              <w:t>pursuit</w:t>
            </w:r>
            <w:proofErr w:type="spellEnd"/>
            <w:r w:rsidRPr="00AD4769">
              <w:rPr>
                <w:sz w:val="20"/>
                <w:szCs w:val="20"/>
              </w:rPr>
              <w:t xml:space="preserve"> of </w:t>
            </w:r>
            <w:proofErr w:type="spellStart"/>
            <w:r w:rsidRPr="00AD4769">
              <w:rPr>
                <w:sz w:val="20"/>
                <w:szCs w:val="20"/>
              </w:rPr>
              <w:t>happiness</w:t>
            </w:r>
            <w:proofErr w:type="spellEnd"/>
            <w:r w:rsidRPr="00AD4769">
              <w:rPr>
                <w:sz w:val="20"/>
                <w:szCs w:val="20"/>
              </w:rPr>
              <w:t>“</w:t>
            </w:r>
            <w:r w:rsidRPr="00AD4769">
              <w:rPr>
                <w:sz w:val="20"/>
                <w:szCs w:val="20"/>
                <w:vertAlign w:val="superscript"/>
              </w:rPr>
              <w:t xml:space="preserve"> </w:t>
            </w:r>
            <w:r w:rsidRPr="00AD4769">
              <w:rPr>
                <w:sz w:val="20"/>
                <w:szCs w:val="20"/>
                <w:vertAlign w:val="superscript"/>
              </w:rPr>
              <w:footnoteReference w:id="2188"/>
            </w:r>
            <w:r w:rsidRPr="00AD4769">
              <w:rPr>
                <w:sz w:val="20"/>
                <w:szCs w:val="20"/>
              </w:rPr>
              <w:t>). Darunter falle, im Strafverfahren eine Jury beanspruchen zu können („</w:t>
            </w:r>
            <w:proofErr w:type="spellStart"/>
            <w:r w:rsidRPr="00AD4769">
              <w:rPr>
                <w:sz w:val="20"/>
                <w:szCs w:val="20"/>
              </w:rPr>
              <w:t>public</w:t>
            </w:r>
            <w:proofErr w:type="spellEnd"/>
            <w:r w:rsidRPr="00AD4769">
              <w:rPr>
                <w:sz w:val="20"/>
                <w:szCs w:val="20"/>
              </w:rPr>
              <w:t xml:space="preserve"> trial by an </w:t>
            </w:r>
            <w:proofErr w:type="spellStart"/>
            <w:r w:rsidRPr="00AD4769">
              <w:rPr>
                <w:sz w:val="20"/>
                <w:szCs w:val="20"/>
              </w:rPr>
              <w:t>impartial</w:t>
            </w:r>
            <w:proofErr w:type="spellEnd"/>
            <w:r w:rsidRPr="00AD4769">
              <w:rPr>
                <w:sz w:val="20"/>
                <w:szCs w:val="20"/>
              </w:rPr>
              <w:t xml:space="preserve"> </w:t>
            </w:r>
            <w:proofErr w:type="spellStart"/>
            <w:r w:rsidRPr="00AD4769">
              <w:rPr>
                <w:sz w:val="20"/>
                <w:szCs w:val="20"/>
              </w:rPr>
              <w:t>jury</w:t>
            </w:r>
            <w:proofErr w:type="spellEnd"/>
            <w:r w:rsidRPr="00AD4769">
              <w:rPr>
                <w:sz w:val="20"/>
                <w:szCs w:val="20"/>
              </w:rPr>
              <w:t>“</w:t>
            </w:r>
            <w:r w:rsidRPr="00AD4769">
              <w:rPr>
                <w:sz w:val="20"/>
                <w:szCs w:val="20"/>
                <w:vertAlign w:val="superscript"/>
              </w:rPr>
              <w:footnoteReference w:id="2189"/>
            </w:r>
            <w:r w:rsidRPr="00AD4769">
              <w:rPr>
                <w:sz w:val="20"/>
                <w:szCs w:val="20"/>
              </w:rPr>
              <w:t xml:space="preserve">). Und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AD4769">
              <w:rPr>
                <w:sz w:val="20"/>
                <w:szCs w:val="20"/>
              </w:rPr>
              <w:t xml:space="preserve"> konkretisiere: dem Angeklagten stehe im Strafverfahren das Recht auf einen zügigen und öffentlichen Prozess durch Geschworene zu.</w:t>
            </w:r>
            <w:r w:rsidRPr="00AD4769">
              <w:rPr>
                <w:sz w:val="20"/>
                <w:szCs w:val="20"/>
                <w:vertAlign w:val="superscript"/>
              </w:rPr>
              <w:footnoteReference w:id="2190"/>
            </w:r>
          </w:p>
          <w:p w14:paraId="019FC7B7" w14:textId="5F603140" w:rsidR="0056095C" w:rsidRPr="00E50B51" w:rsidRDefault="0056095C" w:rsidP="00367133">
            <w:pPr>
              <w:jc w:val="both"/>
              <w:rPr>
                <w:sz w:val="20"/>
                <w:szCs w:val="20"/>
              </w:rPr>
            </w:pPr>
          </w:p>
        </w:tc>
      </w:tr>
      <w:tr w:rsidR="00074551" w:rsidRPr="00E50B51" w14:paraId="08AC0488" w14:textId="77777777" w:rsidTr="00BE689F">
        <w:trPr>
          <w:cantSplit/>
          <w:trHeight w:val="3175"/>
        </w:trPr>
        <w:tc>
          <w:tcPr>
            <w:tcW w:w="293" w:type="pct"/>
          </w:tcPr>
          <w:p w14:paraId="20B7A1F5"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3FCCFF62" w14:textId="77777777" w:rsidR="00074551" w:rsidRPr="00B45592" w:rsidRDefault="00074551" w:rsidP="00367133">
            <w:pPr>
              <w:ind w:left="113" w:right="416"/>
              <w:jc w:val="both"/>
              <w:rPr>
                <w:i/>
                <w:sz w:val="20"/>
                <w:szCs w:val="20"/>
              </w:rPr>
            </w:pPr>
            <w:r w:rsidRPr="00B45592">
              <w:rPr>
                <w:i/>
                <w:sz w:val="20"/>
                <w:szCs w:val="20"/>
              </w:rPr>
              <w:t>Neal v. Del.</w:t>
            </w:r>
          </w:p>
        </w:tc>
        <w:tc>
          <w:tcPr>
            <w:tcW w:w="197" w:type="pct"/>
            <w:textDirection w:val="tbRl"/>
            <w:vAlign w:val="center"/>
          </w:tcPr>
          <w:p w14:paraId="366E221A" w14:textId="77777777" w:rsidR="00074551" w:rsidRPr="00E50B51" w:rsidRDefault="00074551" w:rsidP="00367133">
            <w:pPr>
              <w:ind w:left="113" w:right="113"/>
              <w:jc w:val="both"/>
              <w:rPr>
                <w:iCs/>
                <w:sz w:val="20"/>
                <w:szCs w:val="20"/>
              </w:rPr>
            </w:pPr>
            <w:r w:rsidRPr="00E50B51">
              <w:rPr>
                <w:sz w:val="20"/>
                <w:szCs w:val="20"/>
                <w:lang w:val="en-US"/>
              </w:rPr>
              <w:t>103 U.S. 370</w:t>
            </w:r>
          </w:p>
        </w:tc>
        <w:tc>
          <w:tcPr>
            <w:tcW w:w="306" w:type="pct"/>
            <w:textDirection w:val="tbRl"/>
            <w:vAlign w:val="center"/>
          </w:tcPr>
          <w:p w14:paraId="3A1F0E92" w14:textId="77777777" w:rsidR="00074551" w:rsidRPr="00E50B51" w:rsidRDefault="00074551" w:rsidP="00367133">
            <w:pPr>
              <w:ind w:left="113" w:right="113"/>
              <w:jc w:val="both"/>
              <w:rPr>
                <w:sz w:val="20"/>
                <w:szCs w:val="20"/>
              </w:rPr>
            </w:pPr>
            <w:r w:rsidRPr="00E50B51">
              <w:rPr>
                <w:sz w:val="20"/>
                <w:szCs w:val="20"/>
                <w:lang w:val="en-US"/>
              </w:rPr>
              <w:t>2. Mai 1881</w:t>
            </w:r>
          </w:p>
        </w:tc>
        <w:tc>
          <w:tcPr>
            <w:tcW w:w="401" w:type="pct"/>
          </w:tcPr>
          <w:p w14:paraId="547EC9AF" w14:textId="77777777" w:rsidR="00074551" w:rsidRPr="00E50B51" w:rsidRDefault="00074551" w:rsidP="00367133">
            <w:pPr>
              <w:jc w:val="center"/>
              <w:rPr>
                <w:sz w:val="20"/>
                <w:szCs w:val="20"/>
              </w:rPr>
            </w:pPr>
            <w:r w:rsidRPr="00E50B51">
              <w:rPr>
                <w:sz w:val="20"/>
                <w:szCs w:val="20"/>
                <w:lang w:val="en-US"/>
              </w:rPr>
              <w:t>D</w:t>
            </w:r>
          </w:p>
        </w:tc>
        <w:tc>
          <w:tcPr>
            <w:tcW w:w="1594" w:type="pct"/>
          </w:tcPr>
          <w:p w14:paraId="1F0C25D4" w14:textId="77777777" w:rsidR="00074551" w:rsidRPr="00E50B51" w:rsidRDefault="00074551" w:rsidP="00367133">
            <w:pPr>
              <w:jc w:val="both"/>
              <w:rPr>
                <w:sz w:val="20"/>
                <w:szCs w:val="20"/>
              </w:rPr>
            </w:pPr>
            <w:r w:rsidRPr="00E50B51">
              <w:rPr>
                <w:sz w:val="20"/>
                <w:szCs w:val="20"/>
              </w:rPr>
              <w:t>*</w:t>
            </w:r>
          </w:p>
        </w:tc>
        <w:tc>
          <w:tcPr>
            <w:tcW w:w="1822" w:type="pct"/>
          </w:tcPr>
          <w:p w14:paraId="6E8919A6" w14:textId="77777777" w:rsidR="00074551" w:rsidRDefault="00074551" w:rsidP="00367133">
            <w:pPr>
              <w:jc w:val="both"/>
              <w:rPr>
                <w:sz w:val="20"/>
                <w:szCs w:val="20"/>
              </w:rPr>
            </w:pPr>
            <w:r w:rsidRPr="00AD4769">
              <w:rPr>
                <w:sz w:val="20"/>
                <w:szCs w:val="20"/>
              </w:rPr>
              <w:t>Die Verfassung gebe das Recht vor, dass bei der Auswahl der Geschworenen die Rasse</w:t>
            </w:r>
            <w:r>
              <w:rPr>
                <w:sz w:val="20"/>
                <w:szCs w:val="20"/>
              </w:rPr>
              <w:t xml:space="preserve"> des Angeklagten</w:t>
            </w:r>
            <w:r w:rsidRPr="00AD4769">
              <w:rPr>
                <w:sz w:val="20"/>
                <w:szCs w:val="20"/>
              </w:rPr>
              <w:t xml:space="preserve"> nicht ausgeschlossen sein dürfe („in the </w:t>
            </w:r>
            <w:proofErr w:type="spellStart"/>
            <w:r w:rsidRPr="00AD4769">
              <w:rPr>
                <w:sz w:val="20"/>
                <w:szCs w:val="20"/>
              </w:rPr>
              <w:t>selection</w:t>
            </w:r>
            <w:proofErr w:type="spellEnd"/>
            <w:r w:rsidRPr="00AD4769">
              <w:rPr>
                <w:sz w:val="20"/>
                <w:szCs w:val="20"/>
              </w:rPr>
              <w:t xml:space="preserve"> of </w:t>
            </w:r>
            <w:proofErr w:type="spellStart"/>
            <w:r w:rsidRPr="00AD4769">
              <w:rPr>
                <w:sz w:val="20"/>
                <w:szCs w:val="20"/>
              </w:rPr>
              <w:t>jurors</w:t>
            </w:r>
            <w:proofErr w:type="spellEnd"/>
            <w:r w:rsidRPr="00AD4769">
              <w:rPr>
                <w:sz w:val="20"/>
                <w:szCs w:val="20"/>
              </w:rPr>
              <w:t xml:space="preserve"> to pass upon </w:t>
            </w:r>
            <w:proofErr w:type="spellStart"/>
            <w:r w:rsidRPr="00AD4769">
              <w:rPr>
                <w:sz w:val="20"/>
                <w:szCs w:val="20"/>
              </w:rPr>
              <w:t>his</w:t>
            </w:r>
            <w:proofErr w:type="spellEnd"/>
            <w:r w:rsidRPr="00AD4769">
              <w:rPr>
                <w:sz w:val="20"/>
                <w:szCs w:val="20"/>
              </w:rPr>
              <w:t xml:space="preserve"> </w:t>
            </w:r>
            <w:proofErr w:type="spellStart"/>
            <w:r w:rsidRPr="00AD4769">
              <w:rPr>
                <w:sz w:val="20"/>
                <w:szCs w:val="20"/>
              </w:rPr>
              <w:t>life</w:t>
            </w:r>
            <w:proofErr w:type="spellEnd"/>
            <w:r w:rsidRPr="00AD4769">
              <w:rPr>
                <w:sz w:val="20"/>
                <w:szCs w:val="20"/>
              </w:rPr>
              <w:t xml:space="preserve">, </w:t>
            </w:r>
            <w:proofErr w:type="spellStart"/>
            <w:r w:rsidRPr="00AD4769">
              <w:rPr>
                <w:sz w:val="20"/>
                <w:szCs w:val="20"/>
              </w:rPr>
              <w:t>liberty</w:t>
            </w:r>
            <w:proofErr w:type="spellEnd"/>
            <w:r w:rsidRPr="00AD4769">
              <w:rPr>
                <w:sz w:val="20"/>
                <w:szCs w:val="20"/>
              </w:rPr>
              <w:t xml:space="preserve">, </w:t>
            </w:r>
            <w:proofErr w:type="spellStart"/>
            <w:r w:rsidRPr="00AD4769">
              <w:rPr>
                <w:sz w:val="20"/>
                <w:szCs w:val="20"/>
              </w:rPr>
              <w:t>or</w:t>
            </w:r>
            <w:proofErr w:type="spellEnd"/>
            <w:r w:rsidRPr="00AD4769">
              <w:rPr>
                <w:sz w:val="20"/>
                <w:szCs w:val="20"/>
              </w:rPr>
              <w:t xml:space="preserve"> </w:t>
            </w:r>
            <w:proofErr w:type="spellStart"/>
            <w:r w:rsidRPr="00AD4769">
              <w:rPr>
                <w:sz w:val="20"/>
                <w:szCs w:val="20"/>
              </w:rPr>
              <w:t>property</w:t>
            </w:r>
            <w:proofErr w:type="spellEnd"/>
            <w:r w:rsidRPr="00AD4769">
              <w:rPr>
                <w:sz w:val="20"/>
                <w:szCs w:val="20"/>
              </w:rPr>
              <w:t xml:space="preserve">, </w:t>
            </w:r>
            <w:proofErr w:type="spellStart"/>
            <w:r w:rsidRPr="00AD4769">
              <w:rPr>
                <w:sz w:val="20"/>
                <w:szCs w:val="20"/>
              </w:rPr>
              <w:t>there</w:t>
            </w:r>
            <w:proofErr w:type="spellEnd"/>
            <w:r w:rsidRPr="00AD4769">
              <w:rPr>
                <w:sz w:val="20"/>
                <w:szCs w:val="20"/>
              </w:rPr>
              <w:t xml:space="preserve"> </w:t>
            </w:r>
            <w:proofErr w:type="spellStart"/>
            <w:r w:rsidRPr="00AD4769">
              <w:rPr>
                <w:sz w:val="20"/>
                <w:szCs w:val="20"/>
              </w:rPr>
              <w:t>shall</w:t>
            </w:r>
            <w:proofErr w:type="spellEnd"/>
            <w:r w:rsidRPr="00AD4769">
              <w:rPr>
                <w:sz w:val="20"/>
                <w:szCs w:val="20"/>
              </w:rPr>
              <w:t xml:space="preserve"> </w:t>
            </w:r>
            <w:proofErr w:type="spellStart"/>
            <w:r w:rsidRPr="00AD4769">
              <w:rPr>
                <w:sz w:val="20"/>
                <w:szCs w:val="20"/>
              </w:rPr>
              <w:t>be</w:t>
            </w:r>
            <w:proofErr w:type="spellEnd"/>
            <w:r w:rsidRPr="00AD4769">
              <w:rPr>
                <w:sz w:val="20"/>
                <w:szCs w:val="20"/>
              </w:rPr>
              <w:t xml:space="preserve"> </w:t>
            </w:r>
            <w:proofErr w:type="spellStart"/>
            <w:r w:rsidRPr="00AD4769">
              <w:rPr>
                <w:sz w:val="20"/>
                <w:szCs w:val="20"/>
              </w:rPr>
              <w:t>no</w:t>
            </w:r>
            <w:proofErr w:type="spellEnd"/>
            <w:r w:rsidRPr="00AD4769">
              <w:rPr>
                <w:sz w:val="20"/>
                <w:szCs w:val="20"/>
              </w:rPr>
              <w:t xml:space="preserve"> </w:t>
            </w:r>
            <w:proofErr w:type="spellStart"/>
            <w:r w:rsidRPr="00AD4769">
              <w:rPr>
                <w:sz w:val="20"/>
                <w:szCs w:val="20"/>
              </w:rPr>
              <w:t>exclusion</w:t>
            </w:r>
            <w:proofErr w:type="spellEnd"/>
            <w:r w:rsidRPr="00AD4769">
              <w:rPr>
                <w:sz w:val="20"/>
                <w:szCs w:val="20"/>
              </w:rPr>
              <w:t xml:space="preserve"> of </w:t>
            </w:r>
            <w:proofErr w:type="spellStart"/>
            <w:r w:rsidRPr="00AD4769">
              <w:rPr>
                <w:sz w:val="20"/>
                <w:szCs w:val="20"/>
              </w:rPr>
              <w:t>his</w:t>
            </w:r>
            <w:proofErr w:type="spellEnd"/>
            <w:r w:rsidRPr="00AD4769">
              <w:rPr>
                <w:sz w:val="20"/>
                <w:szCs w:val="20"/>
              </w:rPr>
              <w:t xml:space="preserve"> </w:t>
            </w:r>
            <w:proofErr w:type="spellStart"/>
            <w:r w:rsidRPr="00AD4769">
              <w:rPr>
                <w:sz w:val="20"/>
                <w:szCs w:val="20"/>
              </w:rPr>
              <w:t>race</w:t>
            </w:r>
            <w:proofErr w:type="spellEnd"/>
            <w:r w:rsidRPr="00AD4769">
              <w:rPr>
                <w:sz w:val="20"/>
                <w:szCs w:val="20"/>
              </w:rPr>
              <w:t>“</w:t>
            </w:r>
            <w:r w:rsidRPr="00AD4769">
              <w:rPr>
                <w:sz w:val="20"/>
                <w:szCs w:val="20"/>
                <w:vertAlign w:val="superscript"/>
              </w:rPr>
              <w:footnoteReference w:id="2191"/>
            </w:r>
            <w:r w:rsidRPr="00AD4769">
              <w:rPr>
                <w:sz w:val="20"/>
                <w:szCs w:val="20"/>
              </w:rPr>
              <w:t>). Hiergegen wurde im Fall verstoßen. Laut Dissens bestehe darauf aber Anspruch – wegen des gleichen Strebens nach Glück („</w:t>
            </w:r>
            <w:proofErr w:type="spellStart"/>
            <w:r w:rsidRPr="00AD4769">
              <w:rPr>
                <w:sz w:val="20"/>
                <w:szCs w:val="20"/>
              </w:rPr>
              <w:t>when</w:t>
            </w:r>
            <w:proofErr w:type="spellEnd"/>
            <w:r w:rsidRPr="00AD4769">
              <w:rPr>
                <w:sz w:val="20"/>
                <w:szCs w:val="20"/>
              </w:rPr>
              <w:t xml:space="preserve"> </w:t>
            </w:r>
            <w:proofErr w:type="spellStart"/>
            <w:r w:rsidRPr="00AD4769">
              <w:rPr>
                <w:sz w:val="20"/>
                <w:szCs w:val="20"/>
              </w:rPr>
              <w:t>they</w:t>
            </w:r>
            <w:proofErr w:type="spellEnd"/>
            <w:r w:rsidRPr="00AD4769">
              <w:rPr>
                <w:sz w:val="20"/>
                <w:szCs w:val="20"/>
              </w:rPr>
              <w:t xml:space="preserve"> </w:t>
            </w:r>
            <w:proofErr w:type="spellStart"/>
            <w:r w:rsidRPr="00AD4769">
              <w:rPr>
                <w:sz w:val="20"/>
                <w:szCs w:val="20"/>
              </w:rPr>
              <w:t>are</w:t>
            </w:r>
            <w:proofErr w:type="spellEnd"/>
            <w:r w:rsidRPr="00AD4769">
              <w:rPr>
                <w:sz w:val="20"/>
                <w:szCs w:val="20"/>
              </w:rPr>
              <w:t xml:space="preserve"> </w:t>
            </w:r>
            <w:proofErr w:type="spellStart"/>
            <w:r w:rsidRPr="00AD4769">
              <w:rPr>
                <w:sz w:val="20"/>
                <w:szCs w:val="20"/>
              </w:rPr>
              <w:t>subjected</w:t>
            </w:r>
            <w:proofErr w:type="spellEnd"/>
            <w:r w:rsidRPr="00AD4769">
              <w:rPr>
                <w:sz w:val="20"/>
                <w:szCs w:val="20"/>
              </w:rPr>
              <w:t xml:space="preserve"> to </w:t>
            </w:r>
            <w:proofErr w:type="spellStart"/>
            <w:r w:rsidRPr="00AD4769">
              <w:rPr>
                <w:sz w:val="20"/>
                <w:szCs w:val="20"/>
              </w:rPr>
              <w:t>no</w:t>
            </w:r>
            <w:proofErr w:type="spellEnd"/>
            <w:r w:rsidRPr="00AD4769">
              <w:rPr>
                <w:sz w:val="20"/>
                <w:szCs w:val="20"/>
              </w:rPr>
              <w:t xml:space="preserve"> </w:t>
            </w:r>
            <w:proofErr w:type="spellStart"/>
            <w:r w:rsidRPr="00AD4769">
              <w:rPr>
                <w:sz w:val="20"/>
                <w:szCs w:val="20"/>
              </w:rPr>
              <w:t>restr</w:t>
            </w:r>
            <w:r>
              <w:rPr>
                <w:sz w:val="20"/>
                <w:szCs w:val="20"/>
              </w:rPr>
              <w:t>i</w:t>
            </w:r>
            <w:r w:rsidRPr="00AD4769">
              <w:rPr>
                <w:sz w:val="20"/>
                <w:szCs w:val="20"/>
              </w:rPr>
              <w:t>ctions</w:t>
            </w:r>
            <w:proofErr w:type="spellEnd"/>
            <w:r w:rsidRPr="00AD4769">
              <w:rPr>
                <w:sz w:val="20"/>
                <w:szCs w:val="20"/>
              </w:rPr>
              <w:t xml:space="preserve"> in […] the </w:t>
            </w:r>
            <w:proofErr w:type="spellStart"/>
            <w:r w:rsidRPr="00AD4769">
              <w:rPr>
                <w:sz w:val="20"/>
                <w:szCs w:val="20"/>
              </w:rPr>
              <w:t>pursuit</w:t>
            </w:r>
            <w:proofErr w:type="spellEnd"/>
            <w:r w:rsidRPr="00AD4769">
              <w:rPr>
                <w:sz w:val="20"/>
                <w:szCs w:val="20"/>
              </w:rPr>
              <w:t xml:space="preserve"> of </w:t>
            </w:r>
            <w:proofErr w:type="spellStart"/>
            <w:r w:rsidRPr="00AD4769">
              <w:rPr>
                <w:sz w:val="20"/>
                <w:szCs w:val="20"/>
              </w:rPr>
              <w:t>happiness</w:t>
            </w:r>
            <w:proofErr w:type="spellEnd"/>
            <w:r w:rsidRPr="00AD4769">
              <w:rPr>
                <w:sz w:val="20"/>
                <w:szCs w:val="20"/>
              </w:rPr>
              <w:t xml:space="preserve">, </w:t>
            </w:r>
            <w:proofErr w:type="spellStart"/>
            <w:r w:rsidRPr="00AD4769">
              <w:rPr>
                <w:sz w:val="20"/>
                <w:szCs w:val="20"/>
              </w:rPr>
              <w:t>which</w:t>
            </w:r>
            <w:proofErr w:type="spellEnd"/>
            <w:r w:rsidRPr="00AD4769">
              <w:rPr>
                <w:sz w:val="20"/>
                <w:szCs w:val="20"/>
              </w:rPr>
              <w:t xml:space="preserve"> do not </w:t>
            </w:r>
            <w:proofErr w:type="spellStart"/>
            <w:r w:rsidRPr="00AD4769">
              <w:rPr>
                <w:sz w:val="20"/>
                <w:szCs w:val="20"/>
              </w:rPr>
              <w:t>equally</w:t>
            </w:r>
            <w:proofErr w:type="spellEnd"/>
            <w:r w:rsidRPr="00AD4769">
              <w:rPr>
                <w:sz w:val="20"/>
                <w:szCs w:val="20"/>
              </w:rPr>
              <w:t xml:space="preserve"> </w:t>
            </w:r>
            <w:proofErr w:type="spellStart"/>
            <w:r w:rsidRPr="00AD4769">
              <w:rPr>
                <w:sz w:val="20"/>
                <w:szCs w:val="20"/>
              </w:rPr>
              <w:t>affect</w:t>
            </w:r>
            <w:proofErr w:type="spellEnd"/>
            <w:r w:rsidRPr="00AD4769">
              <w:rPr>
                <w:sz w:val="20"/>
                <w:szCs w:val="20"/>
              </w:rPr>
              <w:t xml:space="preserve"> </w:t>
            </w:r>
            <w:proofErr w:type="spellStart"/>
            <w:r w:rsidRPr="00AD4769">
              <w:rPr>
                <w:sz w:val="20"/>
                <w:szCs w:val="20"/>
              </w:rPr>
              <w:t>others</w:t>
            </w:r>
            <w:proofErr w:type="spellEnd"/>
            <w:r w:rsidRPr="00AD4769">
              <w:rPr>
                <w:sz w:val="20"/>
                <w:szCs w:val="20"/>
              </w:rPr>
              <w:t>“</w:t>
            </w:r>
            <w:r w:rsidRPr="00AD4769">
              <w:rPr>
                <w:sz w:val="20"/>
                <w:szCs w:val="20"/>
                <w:vertAlign w:val="superscript"/>
              </w:rPr>
              <w:footnoteReference w:id="2192"/>
            </w:r>
            <w:r w:rsidRPr="00AD4769">
              <w:rPr>
                <w:sz w:val="20"/>
                <w:szCs w:val="20"/>
              </w:rPr>
              <w:t xml:space="preserve">). </w:t>
            </w:r>
            <w:r>
              <w:rPr>
                <w:sz w:val="20"/>
                <w:szCs w:val="20"/>
              </w:rPr>
              <w:t>Beispielsweise</w:t>
            </w:r>
            <w:r w:rsidRPr="00AD4769">
              <w:rPr>
                <w:sz w:val="20"/>
                <w:szCs w:val="20"/>
              </w:rPr>
              <w:t xml:space="preserve"> dürf</w:t>
            </w:r>
            <w:r>
              <w:rPr>
                <w:sz w:val="20"/>
                <w:szCs w:val="20"/>
              </w:rPr>
              <w:t>t</w:t>
            </w:r>
            <w:r w:rsidRPr="00AD4769">
              <w:rPr>
                <w:sz w:val="20"/>
                <w:szCs w:val="20"/>
              </w:rPr>
              <w:t xml:space="preserve">en Gesetze </w:t>
            </w:r>
            <w:r>
              <w:rPr>
                <w:sz w:val="20"/>
                <w:szCs w:val="20"/>
              </w:rPr>
              <w:t xml:space="preserve">für bestimmte Gruppen auch </w:t>
            </w:r>
            <w:r w:rsidRPr="00AD4769">
              <w:rPr>
                <w:sz w:val="20"/>
                <w:szCs w:val="20"/>
              </w:rPr>
              <w:t>keine anderen Beweisanforderungen, andere Rechtsfolgen oder strengere Strafen auferlegen.</w:t>
            </w:r>
            <w:r w:rsidRPr="00AD4769">
              <w:rPr>
                <w:sz w:val="20"/>
                <w:szCs w:val="20"/>
                <w:vertAlign w:val="superscript"/>
              </w:rPr>
              <w:footnoteReference w:id="2193"/>
            </w:r>
          </w:p>
          <w:p w14:paraId="3013F508" w14:textId="77777777" w:rsidR="0056095C" w:rsidRPr="00E50B51" w:rsidRDefault="0056095C" w:rsidP="00367133">
            <w:pPr>
              <w:jc w:val="both"/>
              <w:rPr>
                <w:sz w:val="20"/>
                <w:szCs w:val="20"/>
              </w:rPr>
            </w:pPr>
          </w:p>
        </w:tc>
      </w:tr>
      <w:tr w:rsidR="00074551" w:rsidRPr="00E50B51" w14:paraId="419D286A" w14:textId="77777777" w:rsidTr="00203768">
        <w:trPr>
          <w:cantSplit/>
          <w:trHeight w:val="3175"/>
        </w:trPr>
        <w:tc>
          <w:tcPr>
            <w:tcW w:w="293" w:type="pct"/>
            <w:shd w:val="clear" w:color="auto" w:fill="E7E6E6" w:themeFill="background2"/>
          </w:tcPr>
          <w:p w14:paraId="4A3699F7"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E7E6E6" w:themeFill="background2"/>
            <w:textDirection w:val="tbRl"/>
            <w:vAlign w:val="center"/>
          </w:tcPr>
          <w:p w14:paraId="2BBD7A4A"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1F092F65" w14:textId="77777777" w:rsidR="00074551" w:rsidRPr="00E50B51" w:rsidRDefault="00074551" w:rsidP="00367133">
            <w:pPr>
              <w:ind w:left="113" w:right="113"/>
              <w:jc w:val="both"/>
              <w:rPr>
                <w:iCs/>
                <w:sz w:val="20"/>
                <w:szCs w:val="20"/>
              </w:rPr>
            </w:pPr>
            <w:proofErr w:type="spellStart"/>
            <w:r w:rsidRPr="00E50B51">
              <w:rPr>
                <w:iCs/>
                <w:sz w:val="20"/>
                <w:szCs w:val="20"/>
              </w:rPr>
              <w:t>Criminal</w:t>
            </w:r>
            <w:proofErr w:type="spellEnd"/>
            <w:r w:rsidRPr="00E50B51">
              <w:rPr>
                <w:iCs/>
                <w:sz w:val="20"/>
                <w:szCs w:val="20"/>
              </w:rPr>
              <w:t xml:space="preserv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3E6BE63F" w14:textId="77777777" w:rsidR="00074551" w:rsidRPr="00E50B51" w:rsidRDefault="00074551" w:rsidP="00367133">
            <w:pPr>
              <w:ind w:left="113" w:right="113"/>
              <w:jc w:val="both"/>
              <w:rPr>
                <w:sz w:val="20"/>
                <w:szCs w:val="20"/>
              </w:rPr>
            </w:pPr>
            <w:r w:rsidRPr="00E50B51">
              <w:rPr>
                <w:iCs/>
                <w:sz w:val="20"/>
                <w:szCs w:val="20"/>
                <w:lang w:val="en-US"/>
              </w:rPr>
              <w:t>Speedy Trial</w:t>
            </w:r>
          </w:p>
        </w:tc>
        <w:tc>
          <w:tcPr>
            <w:tcW w:w="401" w:type="pct"/>
            <w:shd w:val="clear" w:color="auto" w:fill="E7E6E6" w:themeFill="background2"/>
          </w:tcPr>
          <w:p w14:paraId="4C6CCD56"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050E3CE7" w14:textId="77777777" w:rsidR="00074551" w:rsidRPr="00E50B51" w:rsidRDefault="00074551" w:rsidP="00367133">
            <w:pPr>
              <w:jc w:val="both"/>
              <w:rPr>
                <w:sz w:val="20"/>
                <w:szCs w:val="20"/>
              </w:rPr>
            </w:pPr>
          </w:p>
        </w:tc>
        <w:tc>
          <w:tcPr>
            <w:tcW w:w="1822" w:type="pct"/>
            <w:shd w:val="clear" w:color="auto" w:fill="E7E6E6" w:themeFill="background2"/>
          </w:tcPr>
          <w:p w14:paraId="0E432989" w14:textId="22FD9EE5"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7B860C01" w14:textId="77777777" w:rsidTr="00BE689F">
        <w:trPr>
          <w:cantSplit/>
          <w:trHeight w:val="3175"/>
        </w:trPr>
        <w:tc>
          <w:tcPr>
            <w:tcW w:w="293" w:type="pct"/>
          </w:tcPr>
          <w:p w14:paraId="45243476"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18FD776C" w14:textId="77777777" w:rsidR="00074551" w:rsidRPr="00E50B51" w:rsidRDefault="00074551" w:rsidP="00367133">
            <w:pPr>
              <w:ind w:left="113" w:right="416"/>
              <w:jc w:val="both"/>
              <w:rPr>
                <w:sz w:val="20"/>
                <w:szCs w:val="20"/>
              </w:rPr>
            </w:pPr>
            <w:r w:rsidRPr="00B35CD0">
              <w:rPr>
                <w:i/>
                <w:sz w:val="20"/>
                <w:szCs w:val="20"/>
              </w:rPr>
              <w:t xml:space="preserve">Ex </w:t>
            </w:r>
            <w:proofErr w:type="spellStart"/>
            <w:r w:rsidRPr="00B35CD0">
              <w:rPr>
                <w:i/>
                <w:sz w:val="20"/>
                <w:szCs w:val="20"/>
              </w:rPr>
              <w:t>parte</w:t>
            </w:r>
            <w:proofErr w:type="spellEnd"/>
            <w:r w:rsidRPr="00B35CD0">
              <w:rPr>
                <w:i/>
                <w:sz w:val="20"/>
                <w:szCs w:val="20"/>
              </w:rPr>
              <w:t xml:space="preserve"> Milligan</w:t>
            </w:r>
          </w:p>
        </w:tc>
        <w:tc>
          <w:tcPr>
            <w:tcW w:w="197" w:type="pct"/>
            <w:textDirection w:val="tbRl"/>
            <w:vAlign w:val="center"/>
          </w:tcPr>
          <w:p w14:paraId="4EDB3AEE" w14:textId="77777777" w:rsidR="00074551" w:rsidRPr="00E50B51" w:rsidRDefault="00074551" w:rsidP="00367133">
            <w:pPr>
              <w:ind w:left="113" w:right="113"/>
              <w:jc w:val="both"/>
              <w:rPr>
                <w:iCs/>
                <w:sz w:val="20"/>
                <w:szCs w:val="20"/>
              </w:rPr>
            </w:pPr>
            <w:r w:rsidRPr="00E50B51">
              <w:rPr>
                <w:sz w:val="20"/>
                <w:szCs w:val="20"/>
                <w:lang w:val="en-US"/>
              </w:rPr>
              <w:t>71 U.S. 2</w:t>
            </w:r>
          </w:p>
        </w:tc>
        <w:tc>
          <w:tcPr>
            <w:tcW w:w="306" w:type="pct"/>
            <w:textDirection w:val="tbRl"/>
            <w:vAlign w:val="center"/>
          </w:tcPr>
          <w:p w14:paraId="4B70AE5A" w14:textId="77777777" w:rsidR="00074551" w:rsidRPr="00E50B51" w:rsidRDefault="00074551" w:rsidP="00367133">
            <w:pPr>
              <w:ind w:left="113" w:right="113"/>
              <w:jc w:val="both"/>
              <w:rPr>
                <w:sz w:val="20"/>
                <w:szCs w:val="20"/>
              </w:rPr>
            </w:pPr>
            <w:r w:rsidRPr="00E50B51">
              <w:rPr>
                <w:sz w:val="20"/>
                <w:szCs w:val="20"/>
              </w:rPr>
              <w:t>3. April 1866</w:t>
            </w:r>
          </w:p>
        </w:tc>
        <w:tc>
          <w:tcPr>
            <w:tcW w:w="401" w:type="pct"/>
          </w:tcPr>
          <w:p w14:paraId="3CDD9022" w14:textId="77777777" w:rsidR="00074551" w:rsidRPr="00E50B51" w:rsidRDefault="00074551" w:rsidP="00367133">
            <w:pPr>
              <w:jc w:val="center"/>
              <w:rPr>
                <w:sz w:val="20"/>
                <w:szCs w:val="20"/>
              </w:rPr>
            </w:pPr>
            <w:r w:rsidRPr="00E50B51">
              <w:rPr>
                <w:sz w:val="20"/>
                <w:szCs w:val="20"/>
              </w:rPr>
              <w:t>S</w:t>
            </w:r>
          </w:p>
        </w:tc>
        <w:tc>
          <w:tcPr>
            <w:tcW w:w="1594" w:type="pct"/>
          </w:tcPr>
          <w:p w14:paraId="1AEF2F3C" w14:textId="77777777" w:rsidR="00074551" w:rsidRPr="00E50B51" w:rsidRDefault="00074551" w:rsidP="00367133">
            <w:pPr>
              <w:jc w:val="both"/>
              <w:rPr>
                <w:sz w:val="20"/>
                <w:szCs w:val="20"/>
              </w:rPr>
            </w:pPr>
            <w:r w:rsidRPr="00E50B51">
              <w:rPr>
                <w:sz w:val="20"/>
                <w:szCs w:val="20"/>
              </w:rPr>
              <w:t>*</w:t>
            </w:r>
          </w:p>
        </w:tc>
        <w:tc>
          <w:tcPr>
            <w:tcW w:w="1822" w:type="pct"/>
          </w:tcPr>
          <w:p w14:paraId="64F3E431" w14:textId="3C29B01B" w:rsidR="00074551" w:rsidRPr="00E50B51" w:rsidRDefault="00074551" w:rsidP="00367133">
            <w:pPr>
              <w:jc w:val="both"/>
              <w:rPr>
                <w:sz w:val="20"/>
                <w:szCs w:val="20"/>
              </w:rPr>
            </w:pPr>
            <w:r w:rsidRPr="00D24D15">
              <w:rPr>
                <w:sz w:val="20"/>
                <w:szCs w:val="20"/>
              </w:rPr>
              <w:t>Die Bedingungen für ein Streben nach Glück erforder</w:t>
            </w:r>
            <w:r>
              <w:rPr>
                <w:sz w:val="20"/>
                <w:szCs w:val="20"/>
              </w:rPr>
              <w:t>n</w:t>
            </w:r>
            <w:r w:rsidRPr="00D24D15">
              <w:rPr>
                <w:sz w:val="20"/>
                <w:szCs w:val="20"/>
              </w:rPr>
              <w:t xml:space="preserve"> </w:t>
            </w:r>
            <w:r w:rsidRPr="00884CFC">
              <w:rPr>
                <w:sz w:val="20"/>
                <w:szCs w:val="20"/>
              </w:rPr>
              <w:t>ein rechtsstaatliches Verfahren</w:t>
            </w:r>
            <w:r w:rsidRPr="00D24D15">
              <w:rPr>
                <w:sz w:val="20"/>
                <w:szCs w:val="20"/>
              </w:rPr>
              <w:t xml:space="preserve">. Dies </w:t>
            </w:r>
            <w:r>
              <w:rPr>
                <w:sz w:val="20"/>
                <w:szCs w:val="20"/>
              </w:rPr>
              <w:t>ergibt</w:t>
            </w:r>
            <w:r w:rsidRPr="00D24D15">
              <w:rPr>
                <w:sz w:val="20"/>
                <w:szCs w:val="20"/>
              </w:rPr>
              <w:t xml:space="preserve"> sich </w:t>
            </w:r>
            <w:r w:rsidRPr="00884CFC">
              <w:rPr>
                <w:sz w:val="20"/>
                <w:szCs w:val="20"/>
              </w:rPr>
              <w:t xml:space="preserve">ferner </w:t>
            </w:r>
            <w:r w:rsidRPr="00D24D15">
              <w:rPr>
                <w:sz w:val="20"/>
                <w:szCs w:val="20"/>
              </w:rPr>
              <w:t xml:space="preserve">aus einem Umkehrschluss: Glücksstreben wird genommen, wenn ein Betroffener weitgehend ohne Verfahrensgarantien verurteilt wird, was bei Anwendung von Kriegsrecht und einem Militärgericht der Fall </w:t>
            </w:r>
            <w:r>
              <w:rPr>
                <w:sz w:val="20"/>
                <w:szCs w:val="20"/>
              </w:rPr>
              <w:t>ist</w:t>
            </w:r>
            <w:r w:rsidRPr="00D24D15">
              <w:rPr>
                <w:sz w:val="20"/>
                <w:szCs w:val="20"/>
              </w:rPr>
              <w:t xml:space="preserve"> („and </w:t>
            </w:r>
            <w:proofErr w:type="spellStart"/>
            <w:r w:rsidRPr="00D24D15">
              <w:rPr>
                <w:sz w:val="20"/>
                <w:szCs w:val="20"/>
              </w:rPr>
              <w:t>its</w:t>
            </w:r>
            <w:proofErr w:type="spellEnd"/>
            <w:r w:rsidRPr="00D24D15">
              <w:rPr>
                <w:sz w:val="20"/>
                <w:szCs w:val="20"/>
              </w:rPr>
              <w:t xml:space="preserve"> </w:t>
            </w:r>
            <w:proofErr w:type="spellStart"/>
            <w:r w:rsidRPr="00D24D15">
              <w:rPr>
                <w:sz w:val="20"/>
                <w:szCs w:val="20"/>
              </w:rPr>
              <w:t>execution</w:t>
            </w:r>
            <w:proofErr w:type="spellEnd"/>
            <w:r w:rsidRPr="00D24D15">
              <w:rPr>
                <w:sz w:val="20"/>
                <w:szCs w:val="20"/>
              </w:rPr>
              <w:t xml:space="preserve"> by </w:t>
            </w:r>
            <w:proofErr w:type="spellStart"/>
            <w:r w:rsidRPr="00D24D15">
              <w:rPr>
                <w:sz w:val="20"/>
                <w:szCs w:val="20"/>
              </w:rPr>
              <w:t>trials</w:t>
            </w:r>
            <w:proofErr w:type="spellEnd"/>
            <w:r w:rsidRPr="00D24D15">
              <w:rPr>
                <w:sz w:val="20"/>
                <w:szCs w:val="20"/>
              </w:rPr>
              <w:t xml:space="preserve"> by </w:t>
            </w:r>
            <w:proofErr w:type="spellStart"/>
            <w:r w:rsidRPr="00D24D15">
              <w:rPr>
                <w:sz w:val="20"/>
                <w:szCs w:val="20"/>
              </w:rPr>
              <w:t>military</w:t>
            </w:r>
            <w:proofErr w:type="spellEnd"/>
            <w:r w:rsidRPr="00D24D15">
              <w:rPr>
                <w:sz w:val="20"/>
                <w:szCs w:val="20"/>
              </w:rPr>
              <w:t xml:space="preserve"> </w:t>
            </w:r>
            <w:proofErr w:type="spellStart"/>
            <w:r w:rsidRPr="00D24D15">
              <w:rPr>
                <w:sz w:val="20"/>
                <w:szCs w:val="20"/>
              </w:rPr>
              <w:t>commission</w:t>
            </w:r>
            <w:proofErr w:type="spellEnd"/>
            <w:r w:rsidRPr="00D24D15">
              <w:rPr>
                <w:sz w:val="20"/>
                <w:szCs w:val="20"/>
              </w:rPr>
              <w:t xml:space="preserve">, </w:t>
            </w:r>
            <w:proofErr w:type="spellStart"/>
            <w:r w:rsidRPr="00D24D15">
              <w:rPr>
                <w:sz w:val="20"/>
                <w:szCs w:val="20"/>
              </w:rPr>
              <w:t>is</w:t>
            </w:r>
            <w:proofErr w:type="spellEnd"/>
            <w:r w:rsidRPr="00D24D15">
              <w:rPr>
                <w:sz w:val="20"/>
                <w:szCs w:val="20"/>
              </w:rPr>
              <w:t xml:space="preserve"> fatal to </w:t>
            </w:r>
            <w:proofErr w:type="spellStart"/>
            <w:r w:rsidRPr="00D24D15">
              <w:rPr>
                <w:sz w:val="20"/>
                <w:szCs w:val="20"/>
              </w:rPr>
              <w:t>liberty</w:t>
            </w:r>
            <w:proofErr w:type="spellEnd"/>
            <w:r w:rsidRPr="00D24D15">
              <w:rPr>
                <w:sz w:val="20"/>
                <w:szCs w:val="20"/>
              </w:rPr>
              <w:t xml:space="preserve"> and the </w:t>
            </w:r>
            <w:proofErr w:type="spellStart"/>
            <w:r w:rsidRPr="00D24D15">
              <w:rPr>
                <w:sz w:val="20"/>
                <w:szCs w:val="20"/>
              </w:rPr>
              <w:t>pursuit</w:t>
            </w:r>
            <w:proofErr w:type="spellEnd"/>
            <w:r w:rsidRPr="00D24D15">
              <w:rPr>
                <w:sz w:val="20"/>
                <w:szCs w:val="20"/>
              </w:rPr>
              <w:t xml:space="preserve"> of </w:t>
            </w:r>
            <w:proofErr w:type="spellStart"/>
            <w:r w:rsidRPr="00D24D15">
              <w:rPr>
                <w:sz w:val="20"/>
                <w:szCs w:val="20"/>
              </w:rPr>
              <w:t>happiness</w:t>
            </w:r>
            <w:proofErr w:type="spellEnd"/>
            <w:r w:rsidRPr="00D24D15">
              <w:rPr>
                <w:sz w:val="20"/>
                <w:szCs w:val="20"/>
              </w:rPr>
              <w:t>“</w:t>
            </w:r>
            <w:r w:rsidRPr="00D24D15">
              <w:rPr>
                <w:sz w:val="20"/>
                <w:szCs w:val="20"/>
                <w:vertAlign w:val="superscript"/>
              </w:rPr>
              <w:t xml:space="preserve"> </w:t>
            </w:r>
            <w:r w:rsidRPr="00D24D15">
              <w:rPr>
                <w:sz w:val="20"/>
                <w:szCs w:val="20"/>
                <w:vertAlign w:val="superscript"/>
              </w:rPr>
              <w:footnoteReference w:id="2194"/>
            </w:r>
            <w:r w:rsidRPr="00D24D15">
              <w:rPr>
                <w:sz w:val="20"/>
                <w:szCs w:val="20"/>
              </w:rPr>
              <w:t>). Unter die Verfahrensgarantien f</w:t>
            </w:r>
            <w:r w:rsidRPr="00884CFC">
              <w:rPr>
                <w:sz w:val="20"/>
                <w:szCs w:val="20"/>
              </w:rPr>
              <w:t>alle auch</w:t>
            </w:r>
            <w:r w:rsidRPr="00D24D15">
              <w:rPr>
                <w:sz w:val="20"/>
                <w:szCs w:val="20"/>
              </w:rPr>
              <w:t>, ein schnelles Verfahren beanspruchen zu können („</w:t>
            </w:r>
            <w:proofErr w:type="spellStart"/>
            <w:r w:rsidRPr="00D24D15">
              <w:rPr>
                <w:sz w:val="20"/>
                <w:szCs w:val="20"/>
              </w:rPr>
              <w:t>right</w:t>
            </w:r>
            <w:proofErr w:type="spellEnd"/>
            <w:r w:rsidRPr="00D24D15">
              <w:rPr>
                <w:sz w:val="20"/>
                <w:szCs w:val="20"/>
              </w:rPr>
              <w:t xml:space="preserve"> to a </w:t>
            </w:r>
            <w:proofErr w:type="spellStart"/>
            <w:r w:rsidRPr="00D24D15">
              <w:rPr>
                <w:sz w:val="20"/>
                <w:szCs w:val="20"/>
              </w:rPr>
              <w:t>speedy</w:t>
            </w:r>
            <w:proofErr w:type="spellEnd"/>
            <w:r>
              <w:rPr>
                <w:sz w:val="20"/>
                <w:szCs w:val="20"/>
              </w:rPr>
              <w:t xml:space="preserve"> [trial]</w:t>
            </w:r>
            <w:r w:rsidRPr="00D24D15">
              <w:rPr>
                <w:sz w:val="20"/>
                <w:szCs w:val="20"/>
              </w:rPr>
              <w:t>“</w:t>
            </w:r>
            <w:r w:rsidRPr="00D24D15">
              <w:rPr>
                <w:sz w:val="20"/>
                <w:szCs w:val="20"/>
                <w:vertAlign w:val="superscript"/>
              </w:rPr>
              <w:footnoteReference w:id="2195"/>
            </w:r>
            <w:r w:rsidRPr="00D24D15">
              <w:rPr>
                <w:sz w:val="20"/>
                <w:szCs w:val="20"/>
              </w:rPr>
              <w:t>). Dieses</w:t>
            </w:r>
            <w:r w:rsidRPr="00884CFC">
              <w:rPr>
                <w:sz w:val="20"/>
                <w:szCs w:val="20"/>
              </w:rPr>
              <w:t xml:space="preserve"> spezifiziere</w:t>
            </w:r>
            <w:r w:rsidRPr="00D24D15">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D24D15">
              <w:rPr>
                <w:sz w:val="20"/>
                <w:szCs w:val="20"/>
              </w:rPr>
              <w:t xml:space="preserve"> Danach steht Angeklagten im Strafverfahren das Recht auf einen zügigen und öffentlichen Prozess durch Geschworene zu.</w:t>
            </w:r>
            <w:r w:rsidRPr="00D24D15">
              <w:rPr>
                <w:sz w:val="20"/>
                <w:szCs w:val="20"/>
                <w:vertAlign w:val="superscript"/>
              </w:rPr>
              <w:footnoteReference w:id="2196"/>
            </w:r>
          </w:p>
        </w:tc>
      </w:tr>
      <w:tr w:rsidR="00074551" w:rsidRPr="00E50B51" w14:paraId="1607BD8A" w14:textId="77777777" w:rsidTr="00203768">
        <w:trPr>
          <w:cantSplit/>
          <w:trHeight w:val="3175"/>
        </w:trPr>
        <w:tc>
          <w:tcPr>
            <w:tcW w:w="293" w:type="pct"/>
            <w:shd w:val="clear" w:color="auto" w:fill="E7E6E6" w:themeFill="background2"/>
          </w:tcPr>
          <w:p w14:paraId="60878B41"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E7E6E6" w:themeFill="background2"/>
            <w:textDirection w:val="tbRl"/>
            <w:vAlign w:val="center"/>
          </w:tcPr>
          <w:p w14:paraId="4AF6376C"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62B8F8E8" w14:textId="77777777" w:rsidR="00074551" w:rsidRPr="00E50B51" w:rsidRDefault="00074551" w:rsidP="00367133">
            <w:pPr>
              <w:ind w:left="113" w:right="113"/>
              <w:jc w:val="both"/>
              <w:rPr>
                <w:iCs/>
                <w:sz w:val="20"/>
                <w:szCs w:val="20"/>
              </w:rPr>
            </w:pPr>
            <w:proofErr w:type="spellStart"/>
            <w:r w:rsidRPr="00E50B51">
              <w:rPr>
                <w:iCs/>
                <w:sz w:val="20"/>
                <w:szCs w:val="20"/>
              </w:rPr>
              <w:t>Criminal</w:t>
            </w:r>
            <w:proofErr w:type="spellEnd"/>
            <w:r w:rsidRPr="00E50B51">
              <w:rPr>
                <w:iCs/>
                <w:sz w:val="20"/>
                <w:szCs w:val="20"/>
              </w:rPr>
              <w:t xml:space="preserve"> </w:t>
            </w:r>
            <w:proofErr w:type="spellStart"/>
            <w:r w:rsidRPr="00E50B51">
              <w:rPr>
                <w:iCs/>
                <w:sz w:val="20"/>
                <w:szCs w:val="20"/>
              </w:rPr>
              <w:t>Process</w:t>
            </w:r>
            <w:proofErr w:type="spellEnd"/>
          </w:p>
        </w:tc>
        <w:tc>
          <w:tcPr>
            <w:tcW w:w="306" w:type="pct"/>
            <w:shd w:val="clear" w:color="auto" w:fill="E7E6E6" w:themeFill="background2"/>
            <w:textDirection w:val="tbRl"/>
            <w:vAlign w:val="center"/>
          </w:tcPr>
          <w:p w14:paraId="6D31D1D7" w14:textId="77777777" w:rsidR="00074551" w:rsidRPr="00E50B51" w:rsidRDefault="00074551" w:rsidP="00367133">
            <w:pPr>
              <w:ind w:left="113" w:right="113"/>
              <w:jc w:val="both"/>
              <w:rPr>
                <w:sz w:val="20"/>
                <w:szCs w:val="20"/>
                <w:lang w:val="en-US"/>
              </w:rPr>
            </w:pPr>
            <w:r w:rsidRPr="00E50B51">
              <w:rPr>
                <w:iCs/>
                <w:sz w:val="20"/>
                <w:szCs w:val="20"/>
                <w:lang w:val="en-US"/>
              </w:rPr>
              <w:t>Assistance of Counsel</w:t>
            </w:r>
          </w:p>
        </w:tc>
        <w:tc>
          <w:tcPr>
            <w:tcW w:w="401" w:type="pct"/>
            <w:shd w:val="clear" w:color="auto" w:fill="E7E6E6" w:themeFill="background2"/>
          </w:tcPr>
          <w:p w14:paraId="2B4C2516"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33779C3" w14:textId="77777777" w:rsidR="00074551" w:rsidRPr="00E50B51" w:rsidRDefault="00074551" w:rsidP="00367133">
            <w:pPr>
              <w:jc w:val="both"/>
              <w:rPr>
                <w:sz w:val="20"/>
                <w:szCs w:val="20"/>
                <w:lang w:val="en-US"/>
              </w:rPr>
            </w:pPr>
          </w:p>
        </w:tc>
        <w:tc>
          <w:tcPr>
            <w:tcW w:w="1822" w:type="pct"/>
            <w:shd w:val="clear" w:color="auto" w:fill="E7E6E6" w:themeFill="background2"/>
          </w:tcPr>
          <w:p w14:paraId="2246ED3B" w14:textId="76C573F5"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884CFC" w14:paraId="3B91E009" w14:textId="77777777" w:rsidTr="00BE689F">
        <w:trPr>
          <w:cantSplit/>
          <w:trHeight w:val="3175"/>
        </w:trPr>
        <w:tc>
          <w:tcPr>
            <w:tcW w:w="293" w:type="pct"/>
          </w:tcPr>
          <w:p w14:paraId="41FF0716"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6FBFBA6B" w14:textId="77777777" w:rsidR="00074551" w:rsidRPr="00E50B51" w:rsidRDefault="00074551" w:rsidP="00367133">
            <w:pPr>
              <w:ind w:left="113" w:right="416"/>
              <w:jc w:val="both"/>
              <w:rPr>
                <w:sz w:val="20"/>
                <w:szCs w:val="20"/>
              </w:rPr>
            </w:pPr>
            <w:r w:rsidRPr="00B35CD0">
              <w:rPr>
                <w:i/>
                <w:sz w:val="20"/>
                <w:szCs w:val="20"/>
                <w:lang w:val="en-US"/>
              </w:rPr>
              <w:t>Bute v. Illinois</w:t>
            </w:r>
          </w:p>
        </w:tc>
        <w:tc>
          <w:tcPr>
            <w:tcW w:w="197" w:type="pct"/>
            <w:textDirection w:val="tbRl"/>
            <w:vAlign w:val="center"/>
          </w:tcPr>
          <w:p w14:paraId="295F9C80" w14:textId="77777777" w:rsidR="00074551" w:rsidRPr="00E50B51" w:rsidRDefault="00074551" w:rsidP="00367133">
            <w:pPr>
              <w:ind w:left="113" w:right="113"/>
              <w:jc w:val="both"/>
              <w:rPr>
                <w:iCs/>
                <w:sz w:val="20"/>
                <w:szCs w:val="20"/>
              </w:rPr>
            </w:pPr>
            <w:r w:rsidRPr="00E50B51">
              <w:rPr>
                <w:sz w:val="20"/>
                <w:szCs w:val="20"/>
                <w:lang w:val="en-US"/>
              </w:rPr>
              <w:t>333 U.S. 640</w:t>
            </w:r>
          </w:p>
        </w:tc>
        <w:tc>
          <w:tcPr>
            <w:tcW w:w="306" w:type="pct"/>
            <w:textDirection w:val="tbRl"/>
            <w:vAlign w:val="center"/>
          </w:tcPr>
          <w:p w14:paraId="5403971E" w14:textId="77777777" w:rsidR="00074551" w:rsidRPr="00E50B51" w:rsidRDefault="00074551" w:rsidP="00367133">
            <w:pPr>
              <w:ind w:left="113" w:right="113"/>
              <w:jc w:val="both"/>
              <w:rPr>
                <w:sz w:val="20"/>
                <w:szCs w:val="20"/>
                <w:lang w:val="en-US"/>
              </w:rPr>
            </w:pPr>
            <w:r w:rsidRPr="00E50B51">
              <w:rPr>
                <w:sz w:val="20"/>
                <w:szCs w:val="20"/>
                <w:lang w:eastAsia="de-DE"/>
              </w:rPr>
              <w:t>19. April 1948</w:t>
            </w:r>
          </w:p>
        </w:tc>
        <w:tc>
          <w:tcPr>
            <w:tcW w:w="401" w:type="pct"/>
          </w:tcPr>
          <w:p w14:paraId="28C931B7" w14:textId="77777777" w:rsidR="00074551" w:rsidRPr="00E50B51" w:rsidRDefault="00074551" w:rsidP="00367133">
            <w:pPr>
              <w:jc w:val="center"/>
              <w:rPr>
                <w:sz w:val="20"/>
                <w:szCs w:val="20"/>
                <w:lang w:val="en-US"/>
              </w:rPr>
            </w:pPr>
            <w:r w:rsidRPr="00E50B51">
              <w:rPr>
                <w:iCs/>
                <w:sz w:val="20"/>
                <w:szCs w:val="20"/>
              </w:rPr>
              <w:t>M</w:t>
            </w:r>
          </w:p>
        </w:tc>
        <w:tc>
          <w:tcPr>
            <w:tcW w:w="1594" w:type="pct"/>
          </w:tcPr>
          <w:p w14:paraId="49850ED3"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676DF472" w14:textId="25E69654" w:rsidR="007D5723" w:rsidRDefault="007D5723" w:rsidP="00367133">
            <w:pPr>
              <w:jc w:val="both"/>
              <w:rPr>
                <w:sz w:val="20"/>
                <w:szCs w:val="20"/>
              </w:rPr>
            </w:pPr>
            <w:r w:rsidRPr="007D5723">
              <w:rPr>
                <w:sz w:val="20"/>
                <w:szCs w:val="20"/>
              </w:rPr>
              <w:t>Zu den bereits oben im Zusammenhang mit der bundesstaatlichen Verfahrensautonomie dargestellten Grundsätzen aus </w:t>
            </w:r>
            <w:proofErr w:type="spellStart"/>
            <w:r w:rsidRPr="007D5723">
              <w:rPr>
                <w:i/>
                <w:iCs/>
                <w:sz w:val="20"/>
                <w:szCs w:val="20"/>
              </w:rPr>
              <w:t>Bute</w:t>
            </w:r>
            <w:proofErr w:type="spellEnd"/>
            <w:r w:rsidRPr="007D5723">
              <w:rPr>
                <w:i/>
                <w:iCs/>
                <w:sz w:val="20"/>
                <w:szCs w:val="20"/>
              </w:rPr>
              <w:t xml:space="preserve"> v. Illinois</w:t>
            </w:r>
            <w:r w:rsidRPr="007D5723">
              <w:rPr>
                <w:sz w:val="20"/>
                <w:szCs w:val="20"/>
              </w:rPr>
              <w:t> tritt hier als weitere Facette deren Anwendung auf die anwaltliche Beistandspraxis hinzu.</w:t>
            </w:r>
            <w:r>
              <w:rPr>
                <w:sz w:val="20"/>
                <w:szCs w:val="20"/>
              </w:rPr>
              <w:t xml:space="preserve"> Im Detail:</w:t>
            </w:r>
          </w:p>
          <w:p w14:paraId="5A4F9814" w14:textId="77777777" w:rsidR="007D5723" w:rsidRDefault="007D5723" w:rsidP="00367133">
            <w:pPr>
              <w:jc w:val="both"/>
              <w:rPr>
                <w:sz w:val="20"/>
                <w:szCs w:val="20"/>
              </w:rPr>
            </w:pPr>
          </w:p>
          <w:p w14:paraId="10968A39" w14:textId="43400BB2" w:rsidR="00074551" w:rsidRDefault="00074551" w:rsidP="00367133">
            <w:pPr>
              <w:jc w:val="both"/>
              <w:rPr>
                <w:sz w:val="20"/>
                <w:szCs w:val="20"/>
              </w:rPr>
            </w:pPr>
            <w:r w:rsidRPr="00884CFC">
              <w:rPr>
                <w:sz w:val="20"/>
                <w:szCs w:val="20"/>
              </w:rPr>
              <w:t xml:space="preserve">Die </w:t>
            </w:r>
            <w:r>
              <w:rPr>
                <w:sz w:val="20"/>
                <w:szCs w:val="20"/>
              </w:rPr>
              <w:t>U.S.</w:t>
            </w:r>
            <w:r w:rsidRPr="00884CFC">
              <w:rPr>
                <w:sz w:val="20"/>
                <w:szCs w:val="20"/>
              </w:rPr>
              <w:t xml:space="preserve"> </w:t>
            </w:r>
            <w:proofErr w:type="spellStart"/>
            <w:r w:rsidRPr="00884CFC">
              <w:rPr>
                <w:sz w:val="20"/>
                <w:szCs w:val="20"/>
              </w:rPr>
              <w:t>Const</w:t>
            </w:r>
            <w:proofErr w:type="spellEnd"/>
            <w:r w:rsidRPr="00884CFC">
              <w:rPr>
                <w:sz w:val="20"/>
                <w:szCs w:val="20"/>
              </w:rPr>
              <w:t xml:space="preserve">. </w:t>
            </w:r>
            <w:proofErr w:type="gramStart"/>
            <w:r w:rsidRPr="00884CFC">
              <w:rPr>
                <w:sz w:val="20"/>
                <w:szCs w:val="20"/>
              </w:rPr>
              <w:t>habe</w:t>
            </w:r>
            <w:proofErr w:type="gramEnd"/>
            <w:r w:rsidRPr="00884CFC">
              <w:rPr>
                <w:sz w:val="20"/>
                <w:szCs w:val="20"/>
              </w:rPr>
              <w:t xml:space="preserve"> die unveräußerlichen Rechte wie das Streben nach Glück zu achten, da die Verfassung </w:t>
            </w:r>
            <w:r>
              <w:rPr>
                <w:sz w:val="20"/>
                <w:szCs w:val="20"/>
              </w:rPr>
              <w:t xml:space="preserve">im </w:t>
            </w:r>
            <w:r w:rsidRPr="00884CFC">
              <w:rPr>
                <w:sz w:val="20"/>
                <w:szCs w:val="20"/>
              </w:rPr>
              <w:t xml:space="preserve">Sinne der </w:t>
            </w:r>
            <w:r w:rsidRPr="5B67C1D2">
              <w:rPr>
                <w:i/>
                <w:iCs/>
                <w:sz w:val="20"/>
                <w:szCs w:val="20"/>
              </w:rPr>
              <w:t>Declaration of Independence</w:t>
            </w:r>
            <w:r w:rsidRPr="00884CFC">
              <w:rPr>
                <w:sz w:val="20"/>
                <w:szCs w:val="20"/>
              </w:rPr>
              <w:t xml:space="preserve"> konzipier</w:t>
            </w:r>
            <w:r>
              <w:rPr>
                <w:sz w:val="20"/>
                <w:szCs w:val="20"/>
              </w:rPr>
              <w:t>t worden sei</w:t>
            </w:r>
            <w:r w:rsidRPr="00884CFC">
              <w:rPr>
                <w:sz w:val="20"/>
                <w:szCs w:val="20"/>
              </w:rPr>
              <w:t xml:space="preserve"> („The </w:t>
            </w:r>
            <w:proofErr w:type="spellStart"/>
            <w:r w:rsidRPr="00884CFC">
              <w:rPr>
                <w:sz w:val="20"/>
                <w:szCs w:val="20"/>
              </w:rPr>
              <w:t>Constitution</w:t>
            </w:r>
            <w:proofErr w:type="spellEnd"/>
            <w:r w:rsidRPr="00884CFC">
              <w:rPr>
                <w:sz w:val="20"/>
                <w:szCs w:val="20"/>
              </w:rPr>
              <w:t xml:space="preserve"> was </w:t>
            </w:r>
            <w:proofErr w:type="spellStart"/>
            <w:r w:rsidRPr="00884CFC">
              <w:rPr>
                <w:sz w:val="20"/>
                <w:szCs w:val="20"/>
              </w:rPr>
              <w:t>conceived</w:t>
            </w:r>
            <w:proofErr w:type="spellEnd"/>
            <w:r w:rsidRPr="00884CFC">
              <w:rPr>
                <w:sz w:val="20"/>
                <w:szCs w:val="20"/>
              </w:rPr>
              <w:t xml:space="preserve"> in large </w:t>
            </w:r>
            <w:proofErr w:type="spellStart"/>
            <w:r w:rsidRPr="00884CFC">
              <w:rPr>
                <w:sz w:val="20"/>
                <w:szCs w:val="20"/>
              </w:rPr>
              <w:t>part</w:t>
            </w:r>
            <w:proofErr w:type="spellEnd"/>
            <w:r w:rsidRPr="00884CFC">
              <w:rPr>
                <w:sz w:val="20"/>
                <w:szCs w:val="20"/>
              </w:rPr>
              <w:t xml:space="preserve"> in the </w:t>
            </w:r>
            <w:proofErr w:type="spellStart"/>
            <w:r w:rsidRPr="00884CFC">
              <w:rPr>
                <w:sz w:val="20"/>
                <w:szCs w:val="20"/>
              </w:rPr>
              <w:t>spirit</w:t>
            </w:r>
            <w:proofErr w:type="spellEnd"/>
            <w:r w:rsidRPr="00884CFC">
              <w:rPr>
                <w:sz w:val="20"/>
                <w:szCs w:val="20"/>
              </w:rPr>
              <w:t xml:space="preserve"> of the Declaration of Independence“</w:t>
            </w:r>
            <w:r w:rsidRPr="00884CFC">
              <w:rPr>
                <w:sz w:val="20"/>
                <w:szCs w:val="20"/>
                <w:vertAlign w:val="superscript"/>
                <w:lang w:val="en-US"/>
              </w:rPr>
              <w:footnoteReference w:id="2197"/>
            </w:r>
            <w:r w:rsidRPr="00884CFC">
              <w:rPr>
                <w:sz w:val="20"/>
                <w:szCs w:val="20"/>
              </w:rPr>
              <w:t>). Die unveräußerlichen Rechte seien hinreichender zu sichern, wenn hoheitliche Gewalt nah am Menschen ausgeübt werde. Sie g</w:t>
            </w:r>
            <w:r>
              <w:rPr>
                <w:sz w:val="20"/>
                <w:szCs w:val="20"/>
              </w:rPr>
              <w:t>ä</w:t>
            </w:r>
            <w:r w:rsidRPr="00884CFC">
              <w:rPr>
                <w:sz w:val="20"/>
                <w:szCs w:val="20"/>
              </w:rPr>
              <w:t xml:space="preserve">ben daher vor, dass die hoheitliche Gewalt im Grundsatz bei den Bundesstaaten liege („to </w:t>
            </w:r>
            <w:proofErr w:type="spellStart"/>
            <w:r w:rsidRPr="00884CFC">
              <w:rPr>
                <w:sz w:val="20"/>
                <w:szCs w:val="20"/>
              </w:rPr>
              <w:t>keep</w:t>
            </w:r>
            <w:proofErr w:type="spellEnd"/>
            <w:r w:rsidRPr="00884CFC">
              <w:rPr>
                <w:sz w:val="20"/>
                <w:szCs w:val="20"/>
              </w:rPr>
              <w:t xml:space="preserve"> the </w:t>
            </w:r>
            <w:proofErr w:type="spellStart"/>
            <w:r w:rsidRPr="00884CFC">
              <w:rPr>
                <w:sz w:val="20"/>
                <w:szCs w:val="20"/>
              </w:rPr>
              <w:t>control</w:t>
            </w:r>
            <w:proofErr w:type="spellEnd"/>
            <w:r w:rsidRPr="00884CFC">
              <w:rPr>
                <w:sz w:val="20"/>
                <w:szCs w:val="20"/>
              </w:rPr>
              <w:t xml:space="preserve"> </w:t>
            </w:r>
            <w:proofErr w:type="spellStart"/>
            <w:r w:rsidRPr="00884CFC">
              <w:rPr>
                <w:sz w:val="20"/>
                <w:szCs w:val="20"/>
              </w:rPr>
              <w:t>over</w:t>
            </w:r>
            <w:proofErr w:type="spellEnd"/>
            <w:r w:rsidRPr="00884CFC">
              <w:rPr>
                <w:sz w:val="20"/>
                <w:szCs w:val="20"/>
              </w:rPr>
              <w:t xml:space="preserve"> individual </w:t>
            </w:r>
            <w:proofErr w:type="spellStart"/>
            <w:r w:rsidRPr="00884CFC">
              <w:rPr>
                <w:sz w:val="20"/>
                <w:szCs w:val="20"/>
              </w:rPr>
              <w:t>rights</w:t>
            </w:r>
            <w:proofErr w:type="spellEnd"/>
            <w:r w:rsidRPr="00884CFC">
              <w:rPr>
                <w:sz w:val="20"/>
                <w:szCs w:val="20"/>
              </w:rPr>
              <w:t xml:space="preserve"> </w:t>
            </w:r>
            <w:proofErr w:type="spellStart"/>
            <w:r w:rsidRPr="00884CFC">
              <w:rPr>
                <w:sz w:val="20"/>
                <w:szCs w:val="20"/>
              </w:rPr>
              <w:t>close</w:t>
            </w:r>
            <w:proofErr w:type="spellEnd"/>
            <w:r w:rsidRPr="00884CFC">
              <w:rPr>
                <w:sz w:val="20"/>
                <w:szCs w:val="20"/>
              </w:rPr>
              <w:t xml:space="preserve"> to the </w:t>
            </w:r>
            <w:proofErr w:type="spellStart"/>
            <w:r w:rsidRPr="00884CFC">
              <w:rPr>
                <w:sz w:val="20"/>
                <w:szCs w:val="20"/>
              </w:rPr>
              <w:t>people</w:t>
            </w:r>
            <w:proofErr w:type="spellEnd"/>
            <w:r w:rsidRPr="00884CFC">
              <w:rPr>
                <w:sz w:val="20"/>
                <w:szCs w:val="20"/>
              </w:rPr>
              <w:t xml:space="preserve"> </w:t>
            </w:r>
            <w:proofErr w:type="spellStart"/>
            <w:r w:rsidRPr="00884CFC">
              <w:rPr>
                <w:sz w:val="20"/>
                <w:szCs w:val="20"/>
              </w:rPr>
              <w:t>through</w:t>
            </w:r>
            <w:proofErr w:type="spellEnd"/>
            <w:r w:rsidRPr="00884CFC">
              <w:rPr>
                <w:sz w:val="20"/>
                <w:szCs w:val="20"/>
              </w:rPr>
              <w:t xml:space="preserve"> </w:t>
            </w:r>
            <w:proofErr w:type="spellStart"/>
            <w:r w:rsidRPr="00884CFC">
              <w:rPr>
                <w:sz w:val="20"/>
                <w:szCs w:val="20"/>
              </w:rPr>
              <w:t>their</w:t>
            </w:r>
            <w:proofErr w:type="spellEnd"/>
            <w:r w:rsidRPr="00884CFC">
              <w:rPr>
                <w:sz w:val="20"/>
                <w:szCs w:val="20"/>
              </w:rPr>
              <w:t xml:space="preserve"> </w:t>
            </w:r>
            <w:proofErr w:type="spellStart"/>
            <w:r w:rsidRPr="00884CFC">
              <w:rPr>
                <w:sz w:val="20"/>
                <w:szCs w:val="20"/>
              </w:rPr>
              <w:t>states</w:t>
            </w:r>
            <w:proofErr w:type="spellEnd"/>
            <w:r w:rsidRPr="00884CFC">
              <w:rPr>
                <w:sz w:val="20"/>
                <w:szCs w:val="20"/>
              </w:rPr>
              <w:t>.“</w:t>
            </w:r>
            <w:r w:rsidRPr="00884CFC">
              <w:rPr>
                <w:sz w:val="20"/>
                <w:szCs w:val="20"/>
                <w:vertAlign w:val="superscript"/>
              </w:rPr>
              <w:footnoteReference w:id="2198"/>
            </w:r>
            <w:r w:rsidRPr="00884CFC">
              <w:rPr>
                <w:sz w:val="20"/>
                <w:szCs w:val="20"/>
              </w:rPr>
              <w:t xml:space="preserve">). Unter diese bundesstaatliche Kompetenz falle das Prozessrecht („the </w:t>
            </w:r>
            <w:proofErr w:type="spellStart"/>
            <w:r w:rsidRPr="00884CFC">
              <w:rPr>
                <w:sz w:val="20"/>
                <w:szCs w:val="20"/>
              </w:rPr>
              <w:t>states</w:t>
            </w:r>
            <w:proofErr w:type="spellEnd"/>
            <w:r w:rsidRPr="00884CFC">
              <w:rPr>
                <w:sz w:val="20"/>
                <w:szCs w:val="20"/>
              </w:rPr>
              <w:t xml:space="preserve"> </w:t>
            </w:r>
            <w:proofErr w:type="spellStart"/>
            <w:r w:rsidRPr="00884CFC">
              <w:rPr>
                <w:sz w:val="20"/>
                <w:szCs w:val="20"/>
              </w:rPr>
              <w:t>their</w:t>
            </w:r>
            <w:proofErr w:type="spellEnd"/>
            <w:r w:rsidRPr="00884CFC">
              <w:rPr>
                <w:sz w:val="20"/>
                <w:szCs w:val="20"/>
              </w:rPr>
              <w:t xml:space="preserve"> </w:t>
            </w:r>
            <w:proofErr w:type="spellStart"/>
            <w:r w:rsidRPr="00884CFC">
              <w:rPr>
                <w:sz w:val="20"/>
                <w:szCs w:val="20"/>
              </w:rPr>
              <w:t>underlying</w:t>
            </w:r>
            <w:proofErr w:type="spellEnd"/>
            <w:r w:rsidRPr="00884CFC">
              <w:rPr>
                <w:sz w:val="20"/>
                <w:szCs w:val="20"/>
              </w:rPr>
              <w:t xml:space="preserve"> </w:t>
            </w:r>
            <w:proofErr w:type="spellStart"/>
            <w:r w:rsidRPr="00884CFC">
              <w:rPr>
                <w:sz w:val="20"/>
                <w:szCs w:val="20"/>
              </w:rPr>
              <w:t>control</w:t>
            </w:r>
            <w:proofErr w:type="spellEnd"/>
            <w:r w:rsidRPr="00884CFC">
              <w:rPr>
                <w:sz w:val="20"/>
                <w:szCs w:val="20"/>
              </w:rPr>
              <w:t xml:space="preserve"> </w:t>
            </w:r>
            <w:proofErr w:type="spellStart"/>
            <w:r w:rsidRPr="00884CFC">
              <w:rPr>
                <w:sz w:val="20"/>
                <w:szCs w:val="20"/>
              </w:rPr>
              <w:t>over</w:t>
            </w:r>
            <w:proofErr w:type="spellEnd"/>
            <w:r w:rsidRPr="00884CFC">
              <w:rPr>
                <w:sz w:val="20"/>
                <w:szCs w:val="20"/>
              </w:rPr>
              <w:t xml:space="preserve"> […] </w:t>
            </w:r>
            <w:proofErr w:type="spellStart"/>
            <w:r w:rsidRPr="00884CFC">
              <w:rPr>
                <w:sz w:val="20"/>
                <w:szCs w:val="20"/>
              </w:rPr>
              <w:t>state</w:t>
            </w:r>
            <w:proofErr w:type="spellEnd"/>
            <w:r w:rsidRPr="00884CFC">
              <w:rPr>
                <w:sz w:val="20"/>
                <w:szCs w:val="20"/>
              </w:rPr>
              <w:t xml:space="preserve"> </w:t>
            </w:r>
            <w:proofErr w:type="spellStart"/>
            <w:r w:rsidRPr="00884CFC">
              <w:rPr>
                <w:sz w:val="20"/>
                <w:szCs w:val="20"/>
              </w:rPr>
              <w:t>court</w:t>
            </w:r>
            <w:proofErr w:type="spellEnd"/>
            <w:r w:rsidRPr="00884CFC">
              <w:rPr>
                <w:sz w:val="20"/>
                <w:szCs w:val="20"/>
              </w:rPr>
              <w:t xml:space="preserve"> </w:t>
            </w:r>
            <w:proofErr w:type="spellStart"/>
            <w:r w:rsidRPr="00884CFC">
              <w:rPr>
                <w:sz w:val="20"/>
                <w:szCs w:val="20"/>
              </w:rPr>
              <w:t>procedures</w:t>
            </w:r>
            <w:proofErr w:type="spellEnd"/>
            <w:r w:rsidRPr="00884CFC">
              <w:rPr>
                <w:sz w:val="20"/>
                <w:szCs w:val="20"/>
              </w:rPr>
              <w:t>“</w:t>
            </w:r>
            <w:r w:rsidRPr="00884CFC">
              <w:rPr>
                <w:sz w:val="20"/>
                <w:szCs w:val="20"/>
                <w:vertAlign w:val="superscript"/>
              </w:rPr>
              <w:footnoteReference w:id="2199"/>
            </w:r>
            <w:r w:rsidRPr="00884CFC">
              <w:rPr>
                <w:sz w:val="20"/>
                <w:szCs w:val="20"/>
              </w:rPr>
              <w:t xml:space="preserve">), </w:t>
            </w:r>
            <w:r>
              <w:rPr>
                <w:sz w:val="20"/>
                <w:szCs w:val="20"/>
              </w:rPr>
              <w:t>z.B.</w:t>
            </w:r>
            <w:r w:rsidRPr="00884CFC">
              <w:rPr>
                <w:sz w:val="20"/>
                <w:szCs w:val="20"/>
              </w:rPr>
              <w:t xml:space="preserve"> das Strafverfahren zu bestimmen. Ein Unterfall dieser bundesstaatlichen Kompetenz betreffe das Recht des Angeklagten, einen Rechtsbeistand zu beanspruchen. Dies ergibt sich für Bundesgerichte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884CFC">
              <w:rPr>
                <w:sz w:val="20"/>
                <w:szCs w:val="20"/>
              </w:rPr>
              <w:t xml:space="preserve"> Der regelt, dass der Angeklagte in allen Strafverfahren einen Rechtsbeistand zu seiner Verteidigung haben muss.</w:t>
            </w:r>
            <w:r w:rsidRPr="00884CFC">
              <w:rPr>
                <w:sz w:val="20"/>
                <w:szCs w:val="20"/>
                <w:vertAlign w:val="superscript"/>
              </w:rPr>
              <w:footnoteReference w:id="2200"/>
            </w:r>
            <w:r w:rsidRPr="00884CFC">
              <w:rPr>
                <w:sz w:val="20"/>
                <w:szCs w:val="20"/>
              </w:rPr>
              <w:t xml:space="preserve"> Da der Bundesstaat eigene Kompetenz zukomme, sein Prozessrecht zu regeln, kann er der Vorgabe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VI</w:t>
            </w:r>
            <w:r w:rsidRPr="00884CFC">
              <w:rPr>
                <w:sz w:val="20"/>
                <w:szCs w:val="20"/>
              </w:rPr>
              <w:t xml:space="preserve"> folgen. Er muss es aber nicht („The </w:t>
            </w:r>
            <w:proofErr w:type="spellStart"/>
            <w:r w:rsidRPr="00884CFC">
              <w:rPr>
                <w:sz w:val="20"/>
                <w:szCs w:val="20"/>
              </w:rPr>
              <w:t>states</w:t>
            </w:r>
            <w:proofErr w:type="spellEnd"/>
            <w:r w:rsidRPr="00884CFC">
              <w:rPr>
                <w:sz w:val="20"/>
                <w:szCs w:val="20"/>
              </w:rPr>
              <w:t xml:space="preserve"> </w:t>
            </w:r>
            <w:proofErr w:type="spellStart"/>
            <w:r w:rsidRPr="00884CFC">
              <w:rPr>
                <w:sz w:val="20"/>
                <w:szCs w:val="20"/>
              </w:rPr>
              <w:t>are</w:t>
            </w:r>
            <w:proofErr w:type="spellEnd"/>
            <w:r w:rsidRPr="00884CFC">
              <w:rPr>
                <w:sz w:val="20"/>
                <w:szCs w:val="20"/>
              </w:rPr>
              <w:t xml:space="preserve"> </w:t>
            </w:r>
            <w:proofErr w:type="spellStart"/>
            <w:r w:rsidRPr="00884CFC">
              <w:rPr>
                <w:sz w:val="20"/>
                <w:szCs w:val="20"/>
              </w:rPr>
              <w:t>free</w:t>
            </w:r>
            <w:proofErr w:type="spellEnd"/>
            <w:r w:rsidRPr="00884CFC">
              <w:rPr>
                <w:sz w:val="20"/>
                <w:szCs w:val="20"/>
              </w:rPr>
              <w:t xml:space="preserve"> to </w:t>
            </w:r>
            <w:proofErr w:type="spellStart"/>
            <w:r w:rsidRPr="00884CFC">
              <w:rPr>
                <w:sz w:val="20"/>
                <w:szCs w:val="20"/>
              </w:rPr>
              <w:t>determine</w:t>
            </w:r>
            <w:proofErr w:type="spellEnd"/>
            <w:r w:rsidRPr="00884CFC">
              <w:rPr>
                <w:sz w:val="20"/>
                <w:szCs w:val="20"/>
              </w:rPr>
              <w:t xml:space="preserve"> </w:t>
            </w:r>
            <w:proofErr w:type="spellStart"/>
            <w:r w:rsidRPr="00884CFC">
              <w:rPr>
                <w:sz w:val="20"/>
                <w:szCs w:val="20"/>
              </w:rPr>
              <w:t>their</w:t>
            </w:r>
            <w:proofErr w:type="spellEnd"/>
            <w:r w:rsidRPr="00884CFC">
              <w:rPr>
                <w:sz w:val="20"/>
                <w:szCs w:val="20"/>
              </w:rPr>
              <w:t xml:space="preserve"> own </w:t>
            </w:r>
            <w:proofErr w:type="spellStart"/>
            <w:r w:rsidRPr="00884CFC">
              <w:rPr>
                <w:sz w:val="20"/>
                <w:szCs w:val="20"/>
              </w:rPr>
              <w:t>practice</w:t>
            </w:r>
            <w:proofErr w:type="spellEnd"/>
            <w:r w:rsidRPr="00884CFC">
              <w:rPr>
                <w:sz w:val="20"/>
                <w:szCs w:val="20"/>
              </w:rPr>
              <w:t xml:space="preserve"> as to the </w:t>
            </w:r>
            <w:proofErr w:type="spellStart"/>
            <w:r w:rsidRPr="00884CFC">
              <w:rPr>
                <w:sz w:val="20"/>
                <w:szCs w:val="20"/>
              </w:rPr>
              <w:t>assistance</w:t>
            </w:r>
            <w:proofErr w:type="spellEnd"/>
            <w:r w:rsidRPr="00884CFC">
              <w:rPr>
                <w:sz w:val="20"/>
                <w:szCs w:val="20"/>
              </w:rPr>
              <w:t xml:space="preserve"> of </w:t>
            </w:r>
            <w:proofErr w:type="spellStart"/>
            <w:r w:rsidRPr="00884CFC">
              <w:rPr>
                <w:sz w:val="20"/>
                <w:szCs w:val="20"/>
              </w:rPr>
              <w:t>counsel</w:t>
            </w:r>
            <w:proofErr w:type="spellEnd"/>
            <w:r w:rsidRPr="00884CFC">
              <w:rPr>
                <w:sz w:val="20"/>
                <w:szCs w:val="20"/>
              </w:rPr>
              <w:t>“</w:t>
            </w:r>
            <w:r w:rsidRPr="00884CFC">
              <w:rPr>
                <w:sz w:val="20"/>
                <w:szCs w:val="20"/>
                <w:vertAlign w:val="superscript"/>
              </w:rPr>
              <w:footnoteReference w:id="2201"/>
            </w:r>
            <w:r w:rsidRPr="00884CFC">
              <w:rPr>
                <w:sz w:val="20"/>
                <w:szCs w:val="20"/>
              </w:rPr>
              <w:t xml:space="preserve">); wichtig für Glückbedingungen ist nur, dass der </w:t>
            </w:r>
            <w:r>
              <w:rPr>
                <w:sz w:val="20"/>
                <w:szCs w:val="20"/>
              </w:rPr>
              <w:t>Bundesstaat</w:t>
            </w:r>
            <w:r w:rsidRPr="00884CFC">
              <w:rPr>
                <w:sz w:val="20"/>
                <w:szCs w:val="20"/>
              </w:rPr>
              <w:t xml:space="preserve"> als Organ das Verfahren regel</w:t>
            </w:r>
            <w:r>
              <w:rPr>
                <w:sz w:val="20"/>
                <w:szCs w:val="20"/>
              </w:rPr>
              <w:t>e.</w:t>
            </w:r>
          </w:p>
          <w:p w14:paraId="7A4170D0" w14:textId="77777777" w:rsidR="00074551" w:rsidRPr="00884CFC" w:rsidRDefault="00074551" w:rsidP="00367133">
            <w:pPr>
              <w:jc w:val="both"/>
              <w:rPr>
                <w:sz w:val="20"/>
                <w:szCs w:val="20"/>
              </w:rPr>
            </w:pPr>
          </w:p>
        </w:tc>
      </w:tr>
      <w:tr w:rsidR="00074551" w:rsidRPr="00E50B51" w14:paraId="37B3B8BA" w14:textId="77777777" w:rsidTr="00BE689F">
        <w:trPr>
          <w:cantSplit/>
          <w:trHeight w:val="3175"/>
        </w:trPr>
        <w:tc>
          <w:tcPr>
            <w:tcW w:w="293" w:type="pct"/>
          </w:tcPr>
          <w:p w14:paraId="664C9880"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23836189" w14:textId="77777777" w:rsidR="00074551" w:rsidRPr="00B45592" w:rsidRDefault="00074551" w:rsidP="00367133">
            <w:pPr>
              <w:ind w:left="113" w:right="416"/>
              <w:jc w:val="both"/>
              <w:rPr>
                <w:i/>
                <w:sz w:val="20"/>
                <w:szCs w:val="20"/>
                <w:lang w:val="en-US"/>
              </w:rPr>
            </w:pPr>
            <w:r w:rsidRPr="00B45592">
              <w:rPr>
                <w:i/>
                <w:sz w:val="20"/>
                <w:szCs w:val="20"/>
                <w:lang w:val="en-US"/>
              </w:rPr>
              <w:t xml:space="preserve">Lassiter v. </w:t>
            </w:r>
            <w:proofErr w:type="spellStart"/>
            <w:r w:rsidRPr="00B45592">
              <w:rPr>
                <w:i/>
                <w:sz w:val="20"/>
                <w:szCs w:val="20"/>
                <w:lang w:val="en-US"/>
              </w:rPr>
              <w:t>Dep’t</w:t>
            </w:r>
            <w:proofErr w:type="spellEnd"/>
            <w:r w:rsidRPr="00B45592">
              <w:rPr>
                <w:i/>
                <w:sz w:val="20"/>
                <w:szCs w:val="20"/>
                <w:lang w:val="en-US"/>
              </w:rPr>
              <w:t xml:space="preserve"> of Social Services</w:t>
            </w:r>
          </w:p>
        </w:tc>
        <w:tc>
          <w:tcPr>
            <w:tcW w:w="197" w:type="pct"/>
            <w:textDirection w:val="tbRl"/>
            <w:vAlign w:val="center"/>
          </w:tcPr>
          <w:p w14:paraId="024181FD" w14:textId="77777777" w:rsidR="00074551" w:rsidRPr="00E50B51" w:rsidRDefault="00074551" w:rsidP="00367133">
            <w:pPr>
              <w:ind w:left="113" w:right="113"/>
              <w:jc w:val="both"/>
              <w:rPr>
                <w:iCs/>
                <w:sz w:val="20"/>
                <w:szCs w:val="20"/>
                <w:lang w:val="en-US"/>
              </w:rPr>
            </w:pPr>
            <w:r w:rsidRPr="00E50B51">
              <w:rPr>
                <w:sz w:val="20"/>
                <w:szCs w:val="20"/>
                <w:lang w:val="en-US"/>
              </w:rPr>
              <w:t>452 U.S. 18</w:t>
            </w:r>
          </w:p>
        </w:tc>
        <w:tc>
          <w:tcPr>
            <w:tcW w:w="306" w:type="pct"/>
            <w:textDirection w:val="tbRl"/>
            <w:vAlign w:val="center"/>
          </w:tcPr>
          <w:p w14:paraId="262489C0" w14:textId="77777777" w:rsidR="00074551" w:rsidRPr="00E50B51" w:rsidRDefault="00074551" w:rsidP="00367133">
            <w:pPr>
              <w:ind w:left="113" w:right="113"/>
              <w:jc w:val="both"/>
              <w:rPr>
                <w:sz w:val="20"/>
                <w:szCs w:val="20"/>
                <w:lang w:val="en-US"/>
              </w:rPr>
            </w:pPr>
            <w:r w:rsidRPr="00E50B51">
              <w:rPr>
                <w:sz w:val="20"/>
                <w:szCs w:val="20"/>
              </w:rPr>
              <w:t>1. Juni 1981</w:t>
            </w:r>
          </w:p>
        </w:tc>
        <w:tc>
          <w:tcPr>
            <w:tcW w:w="401" w:type="pct"/>
          </w:tcPr>
          <w:p w14:paraId="62C53F20" w14:textId="77777777" w:rsidR="00074551" w:rsidRPr="00E50B51" w:rsidRDefault="00074551" w:rsidP="00367133">
            <w:pPr>
              <w:jc w:val="center"/>
              <w:rPr>
                <w:sz w:val="20"/>
                <w:szCs w:val="20"/>
                <w:lang w:val="en-US"/>
              </w:rPr>
            </w:pPr>
            <w:r w:rsidRPr="00E50B51">
              <w:rPr>
                <w:iCs/>
                <w:sz w:val="20"/>
                <w:szCs w:val="20"/>
              </w:rPr>
              <w:t>D</w:t>
            </w:r>
          </w:p>
        </w:tc>
        <w:tc>
          <w:tcPr>
            <w:tcW w:w="1594" w:type="pct"/>
          </w:tcPr>
          <w:p w14:paraId="44139E31"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3FA8A966" w14:textId="60C368EC" w:rsidR="00074551" w:rsidRPr="00F92467" w:rsidRDefault="00074551" w:rsidP="00367133">
            <w:pPr>
              <w:jc w:val="both"/>
              <w:rPr>
                <w:sz w:val="20"/>
                <w:szCs w:val="20"/>
              </w:rPr>
            </w:pPr>
            <w:r w:rsidRPr="00F92467">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F92467">
              <w:rPr>
                <w:sz w:val="20"/>
                <w:szCs w:val="20"/>
              </w:rPr>
              <w:t xml:space="preserve"> mein</w:t>
            </w:r>
            <w:r>
              <w:rPr>
                <w:sz w:val="20"/>
                <w:szCs w:val="20"/>
              </w:rPr>
              <w:t>t</w:t>
            </w:r>
            <w:r w:rsidRPr="00F92467">
              <w:rPr>
                <w:sz w:val="20"/>
                <w:szCs w:val="20"/>
              </w:rPr>
              <w:t xml:space="preserve">, dass ein Anspruch auf einen Pflichtverteidiger nur bestehe, wenn eine Freiheitsentziehung drohe. Die </w:t>
            </w:r>
            <w:proofErr w:type="spellStart"/>
            <w:r w:rsidR="007D5723">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F92467">
              <w:rPr>
                <w:sz w:val="20"/>
                <w:szCs w:val="20"/>
              </w:rPr>
              <w:t xml:space="preserve"> ergänzt dazu</w:t>
            </w:r>
            <w:r w:rsidR="007D5723">
              <w:rPr>
                <w:sz w:val="20"/>
                <w:szCs w:val="20"/>
              </w:rPr>
              <w:t xml:space="preserve"> den Gedanken</w:t>
            </w:r>
            <w:r w:rsidRPr="00F92467">
              <w:rPr>
                <w:sz w:val="20"/>
                <w:szCs w:val="20"/>
              </w:rPr>
              <w:t>: Die Pflichtverteidigung müsse auch für das elterliche Interesse am Sorgerecht gelten. Denn es habe erhebliches Gewicht („</w:t>
            </w:r>
            <w:proofErr w:type="spellStart"/>
            <w:r w:rsidRPr="00F92467">
              <w:rPr>
                <w:sz w:val="20"/>
                <w:szCs w:val="20"/>
              </w:rPr>
              <w:t>interest</w:t>
            </w:r>
            <w:proofErr w:type="spellEnd"/>
            <w:r w:rsidRPr="00F92467">
              <w:rPr>
                <w:sz w:val="20"/>
                <w:szCs w:val="20"/>
              </w:rPr>
              <w:t xml:space="preserve"> </w:t>
            </w:r>
            <w:proofErr w:type="spellStart"/>
            <w:r w:rsidRPr="00F92467">
              <w:rPr>
                <w:sz w:val="20"/>
                <w:szCs w:val="20"/>
              </w:rPr>
              <w:t>occupies</w:t>
            </w:r>
            <w:proofErr w:type="spellEnd"/>
            <w:r w:rsidRPr="00F92467">
              <w:rPr>
                <w:sz w:val="20"/>
                <w:szCs w:val="20"/>
              </w:rPr>
              <w:t xml:space="preserve"> a </w:t>
            </w:r>
            <w:proofErr w:type="spellStart"/>
            <w:r w:rsidRPr="00F92467">
              <w:rPr>
                <w:sz w:val="20"/>
                <w:szCs w:val="20"/>
              </w:rPr>
              <w:t>unique</w:t>
            </w:r>
            <w:proofErr w:type="spellEnd"/>
            <w:r w:rsidRPr="00F92467">
              <w:rPr>
                <w:sz w:val="20"/>
                <w:szCs w:val="20"/>
              </w:rPr>
              <w:t xml:space="preserve"> </w:t>
            </w:r>
            <w:proofErr w:type="spellStart"/>
            <w:r w:rsidRPr="00F92467">
              <w:rPr>
                <w:sz w:val="20"/>
                <w:szCs w:val="20"/>
              </w:rPr>
              <w:t>place</w:t>
            </w:r>
            <w:proofErr w:type="spellEnd"/>
            <w:r w:rsidRPr="00F92467">
              <w:rPr>
                <w:sz w:val="20"/>
                <w:szCs w:val="20"/>
              </w:rPr>
              <w:t xml:space="preserve"> in </w:t>
            </w:r>
            <w:proofErr w:type="spellStart"/>
            <w:r w:rsidRPr="00F92467">
              <w:rPr>
                <w:sz w:val="20"/>
                <w:szCs w:val="20"/>
              </w:rPr>
              <w:t>our</w:t>
            </w:r>
            <w:proofErr w:type="spellEnd"/>
            <w:r w:rsidRPr="00F92467">
              <w:rPr>
                <w:sz w:val="20"/>
                <w:szCs w:val="20"/>
              </w:rPr>
              <w:t xml:space="preserve"> legal </w:t>
            </w:r>
            <w:proofErr w:type="spellStart"/>
            <w:r w:rsidRPr="00F92467">
              <w:rPr>
                <w:sz w:val="20"/>
                <w:szCs w:val="20"/>
              </w:rPr>
              <w:t>culture</w:t>
            </w:r>
            <w:proofErr w:type="spellEnd"/>
            <w:r w:rsidRPr="00F92467">
              <w:rPr>
                <w:sz w:val="20"/>
                <w:szCs w:val="20"/>
              </w:rPr>
              <w:t>“</w:t>
            </w:r>
            <w:r w:rsidRPr="00F92467">
              <w:rPr>
                <w:sz w:val="20"/>
                <w:szCs w:val="20"/>
                <w:vertAlign w:val="superscript"/>
              </w:rPr>
              <w:footnoteReference w:id="2202"/>
            </w:r>
            <w:r w:rsidRPr="00F92467">
              <w:rPr>
                <w:sz w:val="20"/>
                <w:szCs w:val="20"/>
              </w:rPr>
              <w:t>). Nur ein Gerichtsverfahren mit Rechtsbeistand könne es verfassungskonform aufheben. Die elterlichen Rechte umfass</w:t>
            </w:r>
            <w:r>
              <w:rPr>
                <w:sz w:val="20"/>
                <w:szCs w:val="20"/>
              </w:rPr>
              <w:t>t</w:t>
            </w:r>
            <w:r w:rsidRPr="00F92467">
              <w:rPr>
                <w:sz w:val="20"/>
                <w:szCs w:val="20"/>
              </w:rPr>
              <w:t xml:space="preserve">en das Interesse eines Elternteils am Zusammenleben mit dem Kind, an der Pflege </w:t>
            </w:r>
            <w:r>
              <w:rPr>
                <w:sz w:val="20"/>
                <w:szCs w:val="20"/>
              </w:rPr>
              <w:t>des Kindes</w:t>
            </w:r>
            <w:r w:rsidRPr="00F92467">
              <w:rPr>
                <w:sz w:val="20"/>
                <w:szCs w:val="20"/>
              </w:rPr>
              <w:t xml:space="preserve">, am Sorgerecht und an der Erziehung </w:t>
            </w:r>
            <w:r>
              <w:rPr>
                <w:sz w:val="20"/>
                <w:szCs w:val="20"/>
              </w:rPr>
              <w:t>des</w:t>
            </w:r>
            <w:r w:rsidRPr="00F92467">
              <w:rPr>
                <w:sz w:val="20"/>
                <w:szCs w:val="20"/>
              </w:rPr>
              <w:t xml:space="preserve"> Kinde</w:t>
            </w:r>
            <w:r>
              <w:rPr>
                <w:sz w:val="20"/>
                <w:szCs w:val="20"/>
              </w:rPr>
              <w:t>s</w:t>
            </w:r>
            <w:r w:rsidRPr="00F92467">
              <w:rPr>
                <w:sz w:val="20"/>
                <w:szCs w:val="20"/>
              </w:rPr>
              <w:t>.</w:t>
            </w:r>
            <w:r w:rsidRPr="00F92467">
              <w:rPr>
                <w:sz w:val="20"/>
                <w:szCs w:val="20"/>
                <w:vertAlign w:val="superscript"/>
              </w:rPr>
              <w:footnoteReference w:id="2203"/>
            </w:r>
            <w:r w:rsidRPr="00F92467">
              <w:rPr>
                <w:sz w:val="20"/>
                <w:szCs w:val="20"/>
              </w:rPr>
              <w:t xml:space="preserve"> Diese Rechte beschr</w:t>
            </w:r>
            <w:r>
              <w:rPr>
                <w:sz w:val="20"/>
                <w:szCs w:val="20"/>
              </w:rPr>
              <w:t>ie</w:t>
            </w:r>
            <w:r w:rsidRPr="00F92467">
              <w:rPr>
                <w:sz w:val="20"/>
                <w:szCs w:val="20"/>
              </w:rPr>
              <w:t xml:space="preserve">ben das Familienleben. </w:t>
            </w:r>
            <w:r w:rsidRPr="00B45592">
              <w:rPr>
                <w:sz w:val="20"/>
                <w:szCs w:val="20"/>
              </w:rPr>
              <w:t>Sie stell</w:t>
            </w:r>
            <w:r>
              <w:rPr>
                <w:sz w:val="20"/>
                <w:szCs w:val="20"/>
              </w:rPr>
              <w:t>t</w:t>
            </w:r>
            <w:r w:rsidRPr="00B45592">
              <w:rPr>
                <w:sz w:val="20"/>
                <w:szCs w:val="20"/>
              </w:rPr>
              <w:t>en den Kern der Persönlichkeit dar („</w:t>
            </w:r>
            <w:proofErr w:type="spellStart"/>
            <w:r w:rsidRPr="00B45592">
              <w:rPr>
                <w:sz w:val="20"/>
                <w:szCs w:val="20"/>
              </w:rPr>
              <w:t>centrality</w:t>
            </w:r>
            <w:proofErr w:type="spellEnd"/>
            <w:r w:rsidRPr="00B45592">
              <w:rPr>
                <w:sz w:val="20"/>
                <w:szCs w:val="20"/>
              </w:rPr>
              <w:t xml:space="preserve"> of </w:t>
            </w:r>
            <w:proofErr w:type="spellStart"/>
            <w:r w:rsidRPr="00B45592">
              <w:rPr>
                <w:sz w:val="20"/>
                <w:szCs w:val="20"/>
              </w:rPr>
              <w:t>family</w:t>
            </w:r>
            <w:proofErr w:type="spellEnd"/>
            <w:r w:rsidRPr="00B45592">
              <w:rPr>
                <w:sz w:val="20"/>
                <w:szCs w:val="20"/>
              </w:rPr>
              <w:t xml:space="preserve"> </w:t>
            </w:r>
            <w:proofErr w:type="spellStart"/>
            <w:r w:rsidRPr="00B45592">
              <w:rPr>
                <w:sz w:val="20"/>
                <w:szCs w:val="20"/>
              </w:rPr>
              <w:t>life</w:t>
            </w:r>
            <w:proofErr w:type="spellEnd"/>
            <w:r w:rsidRPr="00B45592">
              <w:rPr>
                <w:sz w:val="20"/>
                <w:szCs w:val="20"/>
              </w:rPr>
              <w:t xml:space="preserve"> as the </w:t>
            </w:r>
            <w:proofErr w:type="spellStart"/>
            <w:r w:rsidRPr="00B45592">
              <w:rPr>
                <w:sz w:val="20"/>
                <w:szCs w:val="20"/>
              </w:rPr>
              <w:t>focus</w:t>
            </w:r>
            <w:proofErr w:type="spellEnd"/>
            <w:r w:rsidRPr="00B45592">
              <w:rPr>
                <w:sz w:val="20"/>
                <w:szCs w:val="20"/>
              </w:rPr>
              <w:t xml:space="preserve"> for personal </w:t>
            </w:r>
            <w:proofErr w:type="spellStart"/>
            <w:r w:rsidRPr="00B45592">
              <w:rPr>
                <w:sz w:val="20"/>
                <w:szCs w:val="20"/>
              </w:rPr>
              <w:t>meaning</w:t>
            </w:r>
            <w:proofErr w:type="spellEnd"/>
            <w:r w:rsidRPr="00B45592">
              <w:rPr>
                <w:sz w:val="20"/>
                <w:szCs w:val="20"/>
              </w:rPr>
              <w:t>“</w:t>
            </w:r>
            <w:r w:rsidRPr="00F92467">
              <w:rPr>
                <w:sz w:val="20"/>
                <w:szCs w:val="20"/>
                <w:vertAlign w:val="superscript"/>
              </w:rPr>
              <w:footnoteReference w:id="2204"/>
            </w:r>
            <w:r w:rsidRPr="00B45592">
              <w:rPr>
                <w:sz w:val="20"/>
                <w:szCs w:val="20"/>
              </w:rPr>
              <w:t xml:space="preserve">). </w:t>
            </w:r>
            <w:r w:rsidRPr="00F92467">
              <w:rPr>
                <w:sz w:val="20"/>
                <w:szCs w:val="20"/>
              </w:rPr>
              <w:t>Diese Wichtigkeit unterstreich</w:t>
            </w:r>
            <w:r>
              <w:rPr>
                <w:sz w:val="20"/>
                <w:szCs w:val="20"/>
              </w:rPr>
              <w:t>e</w:t>
            </w:r>
            <w:r w:rsidRPr="00F92467">
              <w:rPr>
                <w:sz w:val="20"/>
                <w:szCs w:val="20"/>
              </w:rPr>
              <w:t>, dass die elterlichen Rechte zu den Rechten gehör</w:t>
            </w:r>
            <w:r>
              <w:rPr>
                <w:sz w:val="20"/>
                <w:szCs w:val="20"/>
              </w:rPr>
              <w:t>t</w:t>
            </w:r>
            <w:r w:rsidRPr="00F92467">
              <w:rPr>
                <w:sz w:val="20"/>
                <w:szCs w:val="20"/>
              </w:rPr>
              <w:t>en, die für ein geordnetes Streben freier Menschen nach Glück wesentlich seien,</w:t>
            </w:r>
            <w:r w:rsidRPr="00F92467">
              <w:rPr>
                <w:sz w:val="20"/>
                <w:szCs w:val="20"/>
                <w:vertAlign w:val="superscript"/>
              </w:rPr>
              <w:footnoteReference w:id="2205"/>
            </w:r>
            <w:r>
              <w:rPr>
                <w:sz w:val="20"/>
                <w:szCs w:val="20"/>
              </w:rPr>
              <w:t xml:space="preserve"> </w:t>
            </w:r>
            <w:r w:rsidRPr="00F92467">
              <w:rPr>
                <w:sz w:val="20"/>
                <w:szCs w:val="20"/>
              </w:rPr>
              <w:t>und als Ausfluss des rechtsstaatlichen Verfahrens einer Pflichtverteidigung bedürf</w:t>
            </w:r>
            <w:r>
              <w:rPr>
                <w:sz w:val="20"/>
                <w:szCs w:val="20"/>
              </w:rPr>
              <w:t>t</w:t>
            </w:r>
            <w:r w:rsidRPr="00F92467">
              <w:rPr>
                <w:sz w:val="20"/>
                <w:szCs w:val="20"/>
              </w:rPr>
              <w:t>en.</w:t>
            </w:r>
          </w:p>
          <w:p w14:paraId="4477819A" w14:textId="77777777" w:rsidR="00074551" w:rsidRPr="00E50B51" w:rsidRDefault="00074551" w:rsidP="00367133">
            <w:pPr>
              <w:jc w:val="both"/>
              <w:rPr>
                <w:sz w:val="20"/>
                <w:szCs w:val="20"/>
              </w:rPr>
            </w:pPr>
          </w:p>
        </w:tc>
      </w:tr>
      <w:tr w:rsidR="00074551" w:rsidRPr="00E50B51" w14:paraId="6DC7323E" w14:textId="77777777" w:rsidTr="00203768">
        <w:trPr>
          <w:cantSplit/>
          <w:trHeight w:val="3175"/>
        </w:trPr>
        <w:tc>
          <w:tcPr>
            <w:tcW w:w="293" w:type="pct"/>
            <w:shd w:val="clear" w:color="auto" w:fill="E7E6E6" w:themeFill="background2"/>
          </w:tcPr>
          <w:p w14:paraId="04C291DD"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37627A0B"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57F0B8A8"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48E8FBDE" w14:textId="77777777" w:rsidR="00074551" w:rsidRPr="00E50B51" w:rsidRDefault="00074551" w:rsidP="00367133">
            <w:pPr>
              <w:ind w:left="113" w:right="113"/>
              <w:jc w:val="both"/>
              <w:rPr>
                <w:iCs/>
                <w:sz w:val="20"/>
                <w:szCs w:val="20"/>
              </w:rPr>
            </w:pPr>
            <w:r w:rsidRPr="00E50B51">
              <w:rPr>
                <w:iCs/>
                <w:sz w:val="20"/>
                <w:szCs w:val="20"/>
              </w:rPr>
              <w:t xml:space="preserve">Search and </w:t>
            </w:r>
            <w:proofErr w:type="spellStart"/>
            <w:r w:rsidRPr="00E50B51">
              <w:rPr>
                <w:iCs/>
                <w:sz w:val="20"/>
                <w:szCs w:val="20"/>
              </w:rPr>
              <w:t>Seizure</w:t>
            </w:r>
            <w:proofErr w:type="spellEnd"/>
          </w:p>
        </w:tc>
        <w:tc>
          <w:tcPr>
            <w:tcW w:w="306" w:type="pct"/>
            <w:shd w:val="clear" w:color="auto" w:fill="E7E6E6" w:themeFill="background2"/>
            <w:textDirection w:val="tbRl"/>
            <w:vAlign w:val="center"/>
          </w:tcPr>
          <w:p w14:paraId="2D1350A3" w14:textId="77777777" w:rsidR="00074551" w:rsidRPr="00E50B51" w:rsidRDefault="00074551" w:rsidP="00367133">
            <w:pPr>
              <w:ind w:left="113" w:right="113"/>
              <w:jc w:val="both"/>
              <w:rPr>
                <w:sz w:val="20"/>
                <w:szCs w:val="20"/>
                <w:lang w:val="en-US"/>
              </w:rPr>
            </w:pPr>
            <w:r w:rsidRPr="00E50B51">
              <w:rPr>
                <w:iCs/>
                <w:sz w:val="20"/>
                <w:szCs w:val="20"/>
              </w:rPr>
              <w:t>Scope</w:t>
            </w:r>
          </w:p>
        </w:tc>
        <w:tc>
          <w:tcPr>
            <w:tcW w:w="401" w:type="pct"/>
            <w:shd w:val="clear" w:color="auto" w:fill="E7E6E6" w:themeFill="background2"/>
          </w:tcPr>
          <w:p w14:paraId="590940A6"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53020C6D" w14:textId="77777777" w:rsidR="00074551" w:rsidRPr="00E50B51" w:rsidRDefault="00074551" w:rsidP="00367133">
            <w:pPr>
              <w:jc w:val="both"/>
              <w:rPr>
                <w:sz w:val="20"/>
                <w:szCs w:val="20"/>
                <w:lang w:val="en-US"/>
              </w:rPr>
            </w:pPr>
          </w:p>
        </w:tc>
        <w:tc>
          <w:tcPr>
            <w:tcW w:w="1822" w:type="pct"/>
            <w:shd w:val="clear" w:color="auto" w:fill="E7E6E6" w:themeFill="background2"/>
          </w:tcPr>
          <w:p w14:paraId="10A38F90" w14:textId="0FFE63C3"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339AEB1D" w14:textId="77777777" w:rsidTr="00BE689F">
        <w:trPr>
          <w:cantSplit/>
          <w:trHeight w:val="3175"/>
        </w:trPr>
        <w:tc>
          <w:tcPr>
            <w:tcW w:w="293" w:type="pct"/>
          </w:tcPr>
          <w:p w14:paraId="0DDF77C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103AFF0" w14:textId="77777777" w:rsidR="00074551" w:rsidRPr="00B45592" w:rsidRDefault="00074551" w:rsidP="00367133">
            <w:pPr>
              <w:ind w:left="113" w:right="416"/>
              <w:jc w:val="both"/>
              <w:rPr>
                <w:i/>
                <w:sz w:val="20"/>
                <w:szCs w:val="20"/>
              </w:rPr>
            </w:pPr>
            <w:r w:rsidRPr="00B45592">
              <w:rPr>
                <w:i/>
                <w:sz w:val="20"/>
                <w:szCs w:val="20"/>
              </w:rPr>
              <w:t>Poe v. Ullman</w:t>
            </w:r>
          </w:p>
        </w:tc>
        <w:tc>
          <w:tcPr>
            <w:tcW w:w="197" w:type="pct"/>
            <w:textDirection w:val="tbRl"/>
            <w:vAlign w:val="center"/>
          </w:tcPr>
          <w:p w14:paraId="15817A6F" w14:textId="77777777" w:rsidR="00074551" w:rsidRPr="00E50B51" w:rsidRDefault="00074551" w:rsidP="00367133">
            <w:pPr>
              <w:ind w:left="113" w:right="113"/>
              <w:jc w:val="both"/>
              <w:rPr>
                <w:iCs/>
                <w:sz w:val="20"/>
                <w:szCs w:val="20"/>
              </w:rPr>
            </w:pPr>
            <w:r w:rsidRPr="00E50B51">
              <w:rPr>
                <w:sz w:val="20"/>
                <w:szCs w:val="20"/>
                <w:lang w:val="en-US"/>
              </w:rPr>
              <w:t>367 U.S. 497</w:t>
            </w:r>
          </w:p>
        </w:tc>
        <w:tc>
          <w:tcPr>
            <w:tcW w:w="306" w:type="pct"/>
            <w:textDirection w:val="tbRl"/>
            <w:vAlign w:val="center"/>
          </w:tcPr>
          <w:p w14:paraId="2342AB8C" w14:textId="77777777" w:rsidR="00074551" w:rsidRPr="00E50B51" w:rsidRDefault="00074551" w:rsidP="00367133">
            <w:pPr>
              <w:ind w:left="113" w:right="113"/>
              <w:jc w:val="both"/>
              <w:rPr>
                <w:sz w:val="20"/>
                <w:szCs w:val="20"/>
              </w:rPr>
            </w:pPr>
            <w:r w:rsidRPr="00E50B51">
              <w:rPr>
                <w:sz w:val="20"/>
                <w:szCs w:val="20"/>
                <w:lang w:val="en-US"/>
              </w:rPr>
              <w:t>19. Juni 1961</w:t>
            </w:r>
          </w:p>
        </w:tc>
        <w:tc>
          <w:tcPr>
            <w:tcW w:w="401" w:type="pct"/>
          </w:tcPr>
          <w:p w14:paraId="4FBBEEAD" w14:textId="77777777" w:rsidR="00074551" w:rsidRPr="00E50B51" w:rsidRDefault="00074551" w:rsidP="00367133">
            <w:pPr>
              <w:jc w:val="center"/>
              <w:rPr>
                <w:sz w:val="20"/>
                <w:szCs w:val="20"/>
              </w:rPr>
            </w:pPr>
            <w:r w:rsidRPr="00E50B51">
              <w:rPr>
                <w:iCs/>
                <w:sz w:val="20"/>
                <w:szCs w:val="20"/>
                <w:lang w:val="en-US"/>
              </w:rPr>
              <w:t>D</w:t>
            </w:r>
          </w:p>
        </w:tc>
        <w:tc>
          <w:tcPr>
            <w:tcW w:w="1594" w:type="pct"/>
          </w:tcPr>
          <w:p w14:paraId="77C0545C" w14:textId="77777777" w:rsidR="00074551" w:rsidRPr="00E50B51" w:rsidRDefault="00074551" w:rsidP="00367133">
            <w:pPr>
              <w:jc w:val="both"/>
              <w:rPr>
                <w:sz w:val="20"/>
                <w:szCs w:val="20"/>
              </w:rPr>
            </w:pPr>
            <w:r w:rsidRPr="00E50B51">
              <w:rPr>
                <w:sz w:val="20"/>
                <w:szCs w:val="20"/>
              </w:rPr>
              <w:t>*</w:t>
            </w:r>
          </w:p>
        </w:tc>
        <w:tc>
          <w:tcPr>
            <w:tcW w:w="1822" w:type="pct"/>
          </w:tcPr>
          <w:p w14:paraId="287154BE" w14:textId="57D29345" w:rsidR="00074551" w:rsidRDefault="00074551" w:rsidP="00367133">
            <w:pPr>
              <w:jc w:val="both"/>
              <w:rPr>
                <w:sz w:val="20"/>
                <w:szCs w:val="20"/>
                <w:vertAlign w:val="superscript"/>
              </w:rPr>
            </w:pPr>
            <w:r w:rsidRPr="00FF4E92">
              <w:rPr>
                <w:sz w:val="20"/>
                <w:szCs w:val="20"/>
              </w:rPr>
              <w:t xml:space="preserve">Im Dissens stimmte Richter </w:t>
            </w:r>
            <w:r w:rsidRPr="5B67C1D2">
              <w:rPr>
                <w:i/>
                <w:iCs/>
                <w:sz w:val="20"/>
                <w:szCs w:val="20"/>
              </w:rPr>
              <w:t>Harlan</w:t>
            </w:r>
            <w:r w:rsidRPr="00FF4E92">
              <w:rPr>
                <w:sz w:val="20"/>
                <w:szCs w:val="20"/>
              </w:rPr>
              <w:t xml:space="preserve"> gegen die Verfassungskonformität eines Strafgesetzes, </w:t>
            </w:r>
            <w:r>
              <w:rPr>
                <w:sz w:val="20"/>
                <w:szCs w:val="20"/>
              </w:rPr>
              <w:t>welches</w:t>
            </w:r>
            <w:r w:rsidRPr="00FF4E92">
              <w:rPr>
                <w:sz w:val="20"/>
                <w:szCs w:val="20"/>
              </w:rPr>
              <w:t xml:space="preserve"> die Abgabe von Verhütungsmittel</w:t>
            </w:r>
            <w:r>
              <w:rPr>
                <w:sz w:val="20"/>
                <w:szCs w:val="20"/>
              </w:rPr>
              <w:t>n</w:t>
            </w:r>
            <w:r w:rsidRPr="00FF4E92">
              <w:rPr>
                <w:sz w:val="20"/>
                <w:szCs w:val="20"/>
              </w:rPr>
              <w:t xml:space="preserve"> unter Strafe stellte;</w:t>
            </w:r>
            <w:r w:rsidRPr="00FF4E92">
              <w:rPr>
                <w:sz w:val="20"/>
                <w:szCs w:val="20"/>
                <w:vertAlign w:val="superscript"/>
              </w:rPr>
              <w:footnoteReference w:id="2206"/>
            </w:r>
            <w:r w:rsidRPr="00FF4E92">
              <w:rPr>
                <w:sz w:val="20"/>
                <w:szCs w:val="20"/>
              </w:rPr>
              <w:t xml:space="preserve"> Richter </w:t>
            </w:r>
            <w:r w:rsidRPr="5B67C1D2">
              <w:rPr>
                <w:i/>
                <w:iCs/>
                <w:sz w:val="20"/>
                <w:szCs w:val="20"/>
              </w:rPr>
              <w:t>Stewart</w:t>
            </w:r>
            <w:r w:rsidRPr="00FF4E92">
              <w:rPr>
                <w:sz w:val="20"/>
                <w:szCs w:val="20"/>
              </w:rPr>
              <w:t xml:space="preserve"> schloss sich dieser abweichenden Meinung an. Beide meinten, das Gesetz verweigere ein rechtsstaatliches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F4E92">
              <w:rPr>
                <w:sz w:val="20"/>
                <w:szCs w:val="20"/>
              </w:rPr>
              <w:t xml:space="preserve"> Nur warum </w:t>
            </w:r>
            <w:r>
              <w:rPr>
                <w:sz w:val="20"/>
                <w:szCs w:val="20"/>
              </w:rPr>
              <w:t>waren</w:t>
            </w:r>
            <w:r w:rsidRPr="00FF4E92">
              <w:rPr>
                <w:sz w:val="20"/>
                <w:szCs w:val="20"/>
              </w:rPr>
              <w:t xml:space="preserve"> sie</w:t>
            </w:r>
            <w:r>
              <w:rPr>
                <w:sz w:val="20"/>
                <w:szCs w:val="20"/>
              </w:rPr>
              <w:t xml:space="preserve"> der Ansicht</w:t>
            </w:r>
            <w:r w:rsidRPr="00FF4E92">
              <w:rPr>
                <w:sz w:val="20"/>
                <w:szCs w:val="20"/>
              </w:rPr>
              <w:t xml:space="preserve">, diese strenge Verfahrensanforderung des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F4E92">
              <w:rPr>
                <w:sz w:val="20"/>
                <w:szCs w:val="20"/>
              </w:rPr>
              <w:t xml:space="preserve"> sei überhaupt ausgelöst? Beide Richter kritisierten zunächst, dass das Gesetz dem Bundesstaat drei Elemente erlaube: in die eheliche Intimsphäre von Verheirateten einzudringen, </w:t>
            </w:r>
            <w:r>
              <w:rPr>
                <w:sz w:val="20"/>
                <w:szCs w:val="20"/>
              </w:rPr>
              <w:t>z.B.</w:t>
            </w:r>
            <w:r w:rsidRPr="00FF4E92">
              <w:rPr>
                <w:sz w:val="20"/>
                <w:szCs w:val="20"/>
              </w:rPr>
              <w:t xml:space="preserve"> durch Durchsuchungen; dort Beweise erheben zu können, </w:t>
            </w:r>
            <w:r>
              <w:rPr>
                <w:sz w:val="20"/>
                <w:szCs w:val="20"/>
              </w:rPr>
              <w:t>z.B.</w:t>
            </w:r>
            <w:r w:rsidRPr="00FF4E92">
              <w:rPr>
                <w:sz w:val="20"/>
                <w:szCs w:val="20"/>
              </w:rPr>
              <w:t xml:space="preserve"> durch Beschlagnahmen; und dann als Folge sogar zu bestrafen, </w:t>
            </w:r>
            <w:r>
              <w:rPr>
                <w:sz w:val="20"/>
                <w:szCs w:val="20"/>
              </w:rPr>
              <w:t>z.B.</w:t>
            </w:r>
            <w:r w:rsidRPr="00FF4E92">
              <w:rPr>
                <w:sz w:val="20"/>
                <w:szCs w:val="20"/>
              </w:rPr>
              <w:t xml:space="preserve"> durch Haftstrafen. </w:t>
            </w:r>
            <w:r w:rsidRPr="00FF4E92">
              <w:rPr>
                <w:sz w:val="20"/>
                <w:szCs w:val="20"/>
                <w:lang w:val="en-US"/>
              </w:rPr>
              <w:t xml:space="preserve">(„In sum, the statute allows the State to enquire into, prove and punish married people for the private use of their marital </w:t>
            </w:r>
            <w:proofErr w:type="gramStart"/>
            <w:r w:rsidRPr="00FF4E92">
              <w:rPr>
                <w:sz w:val="20"/>
                <w:szCs w:val="20"/>
                <w:lang w:val="en-US"/>
              </w:rPr>
              <w:t>intimacy.“</w:t>
            </w:r>
            <w:proofErr w:type="gramEnd"/>
            <w:r w:rsidRPr="00FF4E92">
              <w:rPr>
                <w:sz w:val="20"/>
                <w:szCs w:val="20"/>
                <w:vertAlign w:val="superscript"/>
              </w:rPr>
              <w:footnoteReference w:id="2207"/>
            </w:r>
            <w:r w:rsidRPr="00FF4E92">
              <w:rPr>
                <w:sz w:val="20"/>
                <w:szCs w:val="20"/>
              </w:rPr>
              <w:t xml:space="preserve">). Dies verletze die Privatsphäre, die sich </w:t>
            </w:r>
            <w:r>
              <w:rPr>
                <w:sz w:val="20"/>
                <w:szCs w:val="20"/>
              </w:rPr>
              <w:t>u.a.</w:t>
            </w:r>
            <w:r w:rsidRPr="00FF4E92">
              <w:rPr>
                <w:sz w:val="20"/>
                <w:szCs w:val="20"/>
              </w:rPr>
              <w:t xml:space="preserve"> aus der Zusammenschau von </w:t>
            </w:r>
            <w:proofErr w:type="spellStart"/>
            <w:r>
              <w:rPr>
                <w:sz w:val="20"/>
                <w:szCs w:val="20"/>
              </w:rPr>
              <w:t>Amd</w:t>
            </w:r>
            <w:proofErr w:type="spellEnd"/>
            <w:r>
              <w:rPr>
                <w:sz w:val="20"/>
                <w:szCs w:val="20"/>
              </w:rPr>
              <w:t>. </w:t>
            </w:r>
            <w:r w:rsidRPr="00FF4E92">
              <w:rPr>
                <w:sz w:val="20"/>
                <w:szCs w:val="20"/>
              </w:rPr>
              <w:t>III (Schutz gegen die Einqua</w:t>
            </w:r>
            <w:r>
              <w:rPr>
                <w:sz w:val="20"/>
                <w:szCs w:val="20"/>
              </w:rPr>
              <w:t>r</w:t>
            </w:r>
            <w:r w:rsidRPr="00FF4E92">
              <w:rPr>
                <w:sz w:val="20"/>
                <w:szCs w:val="20"/>
              </w:rPr>
              <w:t xml:space="preserve">tierung von Soldaten) und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FF4E92">
              <w:rPr>
                <w:sz w:val="20"/>
                <w:szCs w:val="20"/>
              </w:rPr>
              <w:t xml:space="preserve"> (Verbot von unangemessenen Durchsuchungen und Beschlagnahmen) ergebe. Diese Privatsphäre sei wiederum Teil des Rechts auf Freiheit, welches sich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F4E92">
              <w:rPr>
                <w:sz w:val="20"/>
                <w:szCs w:val="20"/>
              </w:rPr>
              <w:t xml:space="preserve"> ergebe.</w:t>
            </w:r>
            <w:r w:rsidRPr="00FF4E92">
              <w:rPr>
                <w:sz w:val="20"/>
                <w:szCs w:val="20"/>
                <w:vertAlign w:val="superscript"/>
              </w:rPr>
              <w:footnoteReference w:id="2208"/>
            </w:r>
            <w:r w:rsidRPr="00FF4E92">
              <w:rPr>
                <w:sz w:val="20"/>
                <w:szCs w:val="20"/>
              </w:rPr>
              <w:t xml:space="preserve"> Und die Verletzung des Rechts auf Freiheit löse die strenge Verfahrensanforderung </w:t>
            </w:r>
            <w:r>
              <w:rPr>
                <w:sz w:val="20"/>
                <w:szCs w:val="20"/>
              </w:rPr>
              <w:t>von</w:t>
            </w:r>
            <w:r w:rsidRPr="00FF4E92">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FF4E92">
              <w:rPr>
                <w:sz w:val="20"/>
                <w:szCs w:val="20"/>
              </w:rPr>
              <w:t xml:space="preserve"> aus. Das heißt auch: Die Entziehung der Privatsphäre sei nur dann möglich, wenn ein rechtsstaatliches Verfahren eingehalten werde („</w:t>
            </w:r>
            <w:proofErr w:type="spellStart"/>
            <w:r w:rsidRPr="00FF4E92">
              <w:rPr>
                <w:sz w:val="20"/>
                <w:szCs w:val="20"/>
              </w:rPr>
              <w:t>deprivation</w:t>
            </w:r>
            <w:proofErr w:type="spellEnd"/>
            <w:r w:rsidRPr="00FF4E92">
              <w:rPr>
                <w:sz w:val="20"/>
                <w:szCs w:val="20"/>
              </w:rPr>
              <w:t xml:space="preserve"> of </w:t>
            </w:r>
            <w:proofErr w:type="spellStart"/>
            <w:r w:rsidRPr="00FF4E92">
              <w:rPr>
                <w:sz w:val="20"/>
                <w:szCs w:val="20"/>
              </w:rPr>
              <w:t>privacy</w:t>
            </w:r>
            <w:proofErr w:type="spellEnd"/>
            <w:r w:rsidRPr="00FF4E92">
              <w:rPr>
                <w:sz w:val="20"/>
                <w:szCs w:val="20"/>
              </w:rPr>
              <w:t xml:space="preserve">, </w:t>
            </w:r>
            <w:proofErr w:type="spellStart"/>
            <w:r w:rsidRPr="00FF4E92">
              <w:rPr>
                <w:sz w:val="20"/>
                <w:szCs w:val="20"/>
              </w:rPr>
              <w:t>only</w:t>
            </w:r>
            <w:proofErr w:type="spellEnd"/>
            <w:r w:rsidRPr="00FF4E92">
              <w:rPr>
                <w:sz w:val="20"/>
                <w:szCs w:val="20"/>
              </w:rPr>
              <w:t xml:space="preserve"> </w:t>
            </w:r>
            <w:proofErr w:type="spellStart"/>
            <w:r w:rsidRPr="00FF4E92">
              <w:rPr>
                <w:sz w:val="20"/>
                <w:szCs w:val="20"/>
              </w:rPr>
              <w:t>if</w:t>
            </w:r>
            <w:proofErr w:type="spellEnd"/>
            <w:r w:rsidRPr="00FF4E92">
              <w:rPr>
                <w:sz w:val="20"/>
                <w:szCs w:val="20"/>
              </w:rPr>
              <w:t xml:space="preserve"> due </w:t>
            </w:r>
            <w:proofErr w:type="spellStart"/>
            <w:r w:rsidRPr="00FF4E92">
              <w:rPr>
                <w:sz w:val="20"/>
                <w:szCs w:val="20"/>
              </w:rPr>
              <w:t>process</w:t>
            </w:r>
            <w:proofErr w:type="spellEnd"/>
            <w:r w:rsidRPr="00FF4E92">
              <w:rPr>
                <w:sz w:val="20"/>
                <w:szCs w:val="20"/>
              </w:rPr>
              <w:t xml:space="preserve"> in </w:t>
            </w:r>
            <w:proofErr w:type="spellStart"/>
            <w:r w:rsidRPr="00FF4E92">
              <w:rPr>
                <w:sz w:val="20"/>
                <w:szCs w:val="20"/>
              </w:rPr>
              <w:t>this</w:t>
            </w:r>
            <w:proofErr w:type="spellEnd"/>
            <w:r w:rsidRPr="00FF4E92">
              <w:rPr>
                <w:sz w:val="20"/>
                <w:szCs w:val="20"/>
              </w:rPr>
              <w:t xml:space="preserve"> </w:t>
            </w:r>
            <w:proofErr w:type="spellStart"/>
            <w:r w:rsidRPr="00FF4E92">
              <w:rPr>
                <w:sz w:val="20"/>
                <w:szCs w:val="20"/>
              </w:rPr>
              <w:t>respect</w:t>
            </w:r>
            <w:proofErr w:type="spellEnd"/>
            <w:r w:rsidRPr="00FF4E92">
              <w:rPr>
                <w:sz w:val="20"/>
                <w:szCs w:val="20"/>
              </w:rPr>
              <w:t>“</w:t>
            </w:r>
            <w:r w:rsidRPr="00FF4E92">
              <w:rPr>
                <w:sz w:val="20"/>
                <w:szCs w:val="20"/>
                <w:vertAlign w:val="superscript"/>
              </w:rPr>
              <w:footnoteReference w:id="2209"/>
            </w:r>
            <w:r w:rsidRPr="00FF4E92">
              <w:rPr>
                <w:sz w:val="20"/>
                <w:szCs w:val="20"/>
              </w:rPr>
              <w:t xml:space="preserve">). Aber die Privatsphäre als Teil des Rechts auf Freiheit findet sich nicht im Wortlaut der </w:t>
            </w:r>
            <w:r>
              <w:rPr>
                <w:sz w:val="20"/>
                <w:szCs w:val="20"/>
              </w:rPr>
              <w:t>U.S.</w:t>
            </w:r>
            <w:r w:rsidRPr="00FF4E92">
              <w:rPr>
                <w:sz w:val="20"/>
                <w:szCs w:val="20"/>
              </w:rPr>
              <w:t xml:space="preserve"> </w:t>
            </w:r>
            <w:proofErr w:type="spellStart"/>
            <w:r w:rsidRPr="00FF4E92">
              <w:rPr>
                <w:sz w:val="20"/>
                <w:szCs w:val="20"/>
              </w:rPr>
              <w:t>Const</w:t>
            </w:r>
            <w:proofErr w:type="spellEnd"/>
            <w:r w:rsidRPr="00FF4E92">
              <w:rPr>
                <w:sz w:val="20"/>
                <w:szCs w:val="20"/>
              </w:rPr>
              <w:t xml:space="preserve">. </w:t>
            </w:r>
            <w:r w:rsidRPr="00FF4E92">
              <w:rPr>
                <w:sz w:val="20"/>
                <w:szCs w:val="20"/>
                <w:lang w:val="en-US"/>
              </w:rPr>
              <w:t xml:space="preserve">(„grossly offensive to this privacy, while the Constitution refers only to methods of ferreting out substantive </w:t>
            </w:r>
            <w:proofErr w:type="gramStart"/>
            <w:r w:rsidRPr="00FF4E92">
              <w:rPr>
                <w:sz w:val="20"/>
                <w:szCs w:val="20"/>
                <w:lang w:val="en-US"/>
              </w:rPr>
              <w:t>wrongs“</w:t>
            </w:r>
            <w:proofErr w:type="gramEnd"/>
            <w:r w:rsidRPr="00FF4E92">
              <w:rPr>
                <w:sz w:val="20"/>
                <w:szCs w:val="20"/>
                <w:vertAlign w:val="superscript"/>
                <w:lang w:val="en-US"/>
              </w:rPr>
              <w:footnoteReference w:id="2210"/>
            </w:r>
            <w:r w:rsidRPr="00FF4E92">
              <w:rPr>
                <w:sz w:val="20"/>
                <w:szCs w:val="20"/>
                <w:lang w:val="en-US"/>
              </w:rPr>
              <w:t xml:space="preserve">). </w:t>
            </w:r>
            <w:r w:rsidRPr="00FF4E92">
              <w:rPr>
                <w:sz w:val="20"/>
                <w:szCs w:val="20"/>
              </w:rPr>
              <w:t xml:space="preserve">Die Privatsphäre geht über den Wortlaut der Amendments hinaus, sie lässt sich daher nur durch ein offeneres Konzept erklären: die Bedingungen, die für ein Glücksstreben notwendig sind („The </w:t>
            </w:r>
            <w:proofErr w:type="spellStart"/>
            <w:r w:rsidRPr="00FF4E92">
              <w:rPr>
                <w:sz w:val="20"/>
                <w:szCs w:val="20"/>
              </w:rPr>
              <w:t>protection</w:t>
            </w:r>
            <w:proofErr w:type="spellEnd"/>
            <w:r w:rsidRPr="00FF4E92">
              <w:rPr>
                <w:sz w:val="20"/>
                <w:szCs w:val="20"/>
              </w:rPr>
              <w:t xml:space="preserve"> </w:t>
            </w:r>
            <w:proofErr w:type="spellStart"/>
            <w:r w:rsidRPr="00FF4E92">
              <w:rPr>
                <w:sz w:val="20"/>
                <w:szCs w:val="20"/>
              </w:rPr>
              <w:t>guaranteed</w:t>
            </w:r>
            <w:proofErr w:type="spellEnd"/>
            <w:r w:rsidRPr="00FF4E92">
              <w:rPr>
                <w:sz w:val="20"/>
                <w:szCs w:val="20"/>
              </w:rPr>
              <w:t xml:space="preserve"> by the [</w:t>
            </w:r>
            <w:proofErr w:type="spellStart"/>
            <w:r w:rsidRPr="00FF4E92">
              <w:rPr>
                <w:sz w:val="20"/>
                <w:szCs w:val="20"/>
              </w:rPr>
              <w:t>Fourth</w:t>
            </w:r>
            <w:proofErr w:type="spellEnd"/>
            <w:r w:rsidRPr="00FF4E92">
              <w:rPr>
                <w:sz w:val="20"/>
                <w:szCs w:val="20"/>
              </w:rPr>
              <w:t xml:space="preserve"> and </w:t>
            </w:r>
            <w:proofErr w:type="spellStart"/>
            <w:r w:rsidRPr="00FF4E92">
              <w:rPr>
                <w:sz w:val="20"/>
                <w:szCs w:val="20"/>
              </w:rPr>
              <w:t>Fifth</w:t>
            </w:r>
            <w:proofErr w:type="spellEnd"/>
            <w:r w:rsidRPr="00FF4E92">
              <w:rPr>
                <w:sz w:val="20"/>
                <w:szCs w:val="20"/>
              </w:rPr>
              <w:t xml:space="preserve">] Amendments </w:t>
            </w:r>
            <w:proofErr w:type="spellStart"/>
            <w:r w:rsidRPr="00FF4E92">
              <w:rPr>
                <w:sz w:val="20"/>
                <w:szCs w:val="20"/>
              </w:rPr>
              <w:t>is</w:t>
            </w:r>
            <w:proofErr w:type="spellEnd"/>
            <w:r w:rsidRPr="00FF4E92">
              <w:rPr>
                <w:sz w:val="20"/>
                <w:szCs w:val="20"/>
              </w:rPr>
              <w:t xml:space="preserve"> </w:t>
            </w:r>
            <w:proofErr w:type="spellStart"/>
            <w:r w:rsidRPr="00FF4E92">
              <w:rPr>
                <w:sz w:val="20"/>
                <w:szCs w:val="20"/>
              </w:rPr>
              <w:t>much</w:t>
            </w:r>
            <w:proofErr w:type="spellEnd"/>
            <w:r w:rsidRPr="00FF4E92">
              <w:rPr>
                <w:sz w:val="20"/>
                <w:szCs w:val="20"/>
              </w:rPr>
              <w:t xml:space="preserve"> </w:t>
            </w:r>
            <w:proofErr w:type="spellStart"/>
            <w:r w:rsidRPr="00FF4E92">
              <w:rPr>
                <w:sz w:val="20"/>
                <w:szCs w:val="20"/>
              </w:rPr>
              <w:t>broader</w:t>
            </w:r>
            <w:proofErr w:type="spellEnd"/>
            <w:r w:rsidRPr="00FF4E92">
              <w:rPr>
                <w:sz w:val="20"/>
                <w:szCs w:val="20"/>
              </w:rPr>
              <w:t xml:space="preserve"> in </w:t>
            </w:r>
            <w:proofErr w:type="spellStart"/>
            <w:r w:rsidRPr="00FF4E92">
              <w:rPr>
                <w:sz w:val="20"/>
                <w:szCs w:val="20"/>
              </w:rPr>
              <w:t>scope</w:t>
            </w:r>
            <w:proofErr w:type="spellEnd"/>
            <w:r w:rsidRPr="00FF4E92">
              <w:rPr>
                <w:sz w:val="20"/>
                <w:szCs w:val="20"/>
              </w:rPr>
              <w:t xml:space="preserve">. </w:t>
            </w:r>
            <w:r w:rsidRPr="00FF4E92">
              <w:rPr>
                <w:sz w:val="20"/>
                <w:szCs w:val="20"/>
                <w:lang w:val="en-US"/>
              </w:rPr>
              <w:t xml:space="preserve">The makers of our Constitution undertook to secure conditions favorable to the pursuit of </w:t>
            </w:r>
            <w:proofErr w:type="gramStart"/>
            <w:r w:rsidRPr="00FF4E92">
              <w:rPr>
                <w:sz w:val="20"/>
                <w:szCs w:val="20"/>
                <w:lang w:val="en-US"/>
              </w:rPr>
              <w:t>happiness.“</w:t>
            </w:r>
            <w:proofErr w:type="gramEnd"/>
            <w:r w:rsidRPr="00FF4E92">
              <w:rPr>
                <w:sz w:val="20"/>
                <w:szCs w:val="20"/>
                <w:vertAlign w:val="superscript"/>
              </w:rPr>
              <w:footnoteReference w:id="2211"/>
            </w:r>
            <w:r w:rsidRPr="00FF4E92">
              <w:rPr>
                <w:sz w:val="20"/>
                <w:szCs w:val="20"/>
              </w:rPr>
              <w:t>)</w:t>
            </w:r>
            <w:r>
              <w:rPr>
                <w:sz w:val="20"/>
                <w:szCs w:val="20"/>
              </w:rPr>
              <w:t>. D</w:t>
            </w:r>
            <w:r w:rsidRPr="00FF4E92">
              <w:rPr>
                <w:sz w:val="20"/>
                <w:szCs w:val="20"/>
              </w:rPr>
              <w:t xml:space="preserve">arunter </w:t>
            </w:r>
            <w:r>
              <w:rPr>
                <w:sz w:val="20"/>
                <w:szCs w:val="20"/>
              </w:rPr>
              <w:t>fielen etwa</w:t>
            </w:r>
            <w:r w:rsidRPr="00FF4E92">
              <w:rPr>
                <w:sz w:val="20"/>
                <w:szCs w:val="20"/>
              </w:rPr>
              <w:t xml:space="preserve"> die Glaubens- und Gewissensfreiheit, die Freiheit, seine Persönlichkeit auszudrücken, oder das Recht</w:t>
            </w:r>
            <w:r>
              <w:rPr>
                <w:sz w:val="20"/>
                <w:szCs w:val="20"/>
              </w:rPr>
              <w:t xml:space="preserve">, in Ruhe </w:t>
            </w:r>
            <w:r w:rsidRPr="00FF4E92">
              <w:rPr>
                <w:sz w:val="20"/>
                <w:szCs w:val="20"/>
              </w:rPr>
              <w:t>gelassen zu werden.</w:t>
            </w:r>
            <w:r w:rsidRPr="00FF4E92">
              <w:rPr>
                <w:sz w:val="20"/>
                <w:szCs w:val="20"/>
                <w:vertAlign w:val="superscript"/>
              </w:rPr>
              <w:footnoteReference w:id="2212"/>
            </w:r>
            <w:r w:rsidRPr="00FF4E92">
              <w:rPr>
                <w:sz w:val="20"/>
                <w:szCs w:val="20"/>
              </w:rPr>
              <w:t xml:space="preserve"> Wenn also staatliche Maßnahmen die Bedingungen für Glücksstreben einschränken, dann muss der Staat dabei ein rechtsstaatliches Verfahren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Pr>
                <w:sz w:val="20"/>
                <w:szCs w:val="20"/>
              </w:rPr>
              <w:t xml:space="preserve"> </w:t>
            </w:r>
            <w:r w:rsidRPr="00FF4E92">
              <w:rPr>
                <w:sz w:val="20"/>
                <w:szCs w:val="20"/>
              </w:rPr>
              <w:t>einhalten.</w:t>
            </w:r>
            <w:r w:rsidRPr="00FF4E92">
              <w:rPr>
                <w:sz w:val="20"/>
                <w:szCs w:val="20"/>
                <w:vertAlign w:val="superscript"/>
              </w:rPr>
              <w:footnoteReference w:id="2213"/>
            </w:r>
          </w:p>
          <w:p w14:paraId="1ECCD883" w14:textId="77777777" w:rsidR="00074551" w:rsidRPr="00E50B51" w:rsidRDefault="00074551" w:rsidP="00367133">
            <w:pPr>
              <w:jc w:val="both"/>
              <w:rPr>
                <w:sz w:val="20"/>
                <w:szCs w:val="20"/>
              </w:rPr>
            </w:pPr>
          </w:p>
        </w:tc>
      </w:tr>
      <w:tr w:rsidR="00074551" w:rsidRPr="00E50B51" w14:paraId="484EF546" w14:textId="77777777" w:rsidTr="00BE689F">
        <w:trPr>
          <w:cantSplit/>
          <w:trHeight w:val="3175"/>
        </w:trPr>
        <w:tc>
          <w:tcPr>
            <w:tcW w:w="293" w:type="pct"/>
          </w:tcPr>
          <w:p w14:paraId="593A82FD" w14:textId="77777777" w:rsidR="00074551" w:rsidRDefault="00074551" w:rsidP="00367133">
            <w:pPr>
              <w:ind w:right="416"/>
              <w:jc w:val="center"/>
              <w:rPr>
                <w:sz w:val="20"/>
                <w:szCs w:val="20"/>
                <w:lang w:val="en-US"/>
              </w:rPr>
            </w:pPr>
            <w:proofErr w:type="spellStart"/>
            <w:r>
              <w:rPr>
                <w:sz w:val="20"/>
                <w:szCs w:val="20"/>
                <w:lang w:val="en-US"/>
              </w:rPr>
              <w:lastRenderedPageBreak/>
              <w:t>poH</w:t>
            </w:r>
            <w:proofErr w:type="spellEnd"/>
          </w:p>
          <w:p w14:paraId="34BFFA61" w14:textId="77777777" w:rsidR="00074551" w:rsidRPr="00E50B51" w:rsidRDefault="00074551" w:rsidP="00367133">
            <w:pPr>
              <w:ind w:right="416"/>
              <w:jc w:val="center"/>
              <w:rPr>
                <w:sz w:val="20"/>
                <w:szCs w:val="20"/>
              </w:rPr>
            </w:pPr>
            <w:r>
              <w:rPr>
                <w:sz w:val="20"/>
                <w:szCs w:val="20"/>
                <w:lang w:val="en-US"/>
              </w:rPr>
              <w:t>H</w:t>
            </w:r>
          </w:p>
        </w:tc>
        <w:tc>
          <w:tcPr>
            <w:tcW w:w="387" w:type="pct"/>
            <w:textDirection w:val="tbRl"/>
            <w:vAlign w:val="center"/>
          </w:tcPr>
          <w:p w14:paraId="43F5263E" w14:textId="77777777" w:rsidR="00074551" w:rsidRPr="00B45592" w:rsidRDefault="00074551" w:rsidP="00367133">
            <w:pPr>
              <w:ind w:left="113" w:right="416"/>
              <w:jc w:val="both"/>
              <w:rPr>
                <w:i/>
                <w:sz w:val="20"/>
                <w:szCs w:val="20"/>
              </w:rPr>
            </w:pPr>
            <w:r w:rsidRPr="00B45592">
              <w:rPr>
                <w:i/>
                <w:sz w:val="20"/>
                <w:szCs w:val="20"/>
                <w:lang w:val="en-US"/>
              </w:rPr>
              <w:t>Bivens v. Six Unknown Named Agents of Fed. Bureau of Narcotics</w:t>
            </w:r>
          </w:p>
        </w:tc>
        <w:tc>
          <w:tcPr>
            <w:tcW w:w="197" w:type="pct"/>
            <w:textDirection w:val="tbRl"/>
            <w:vAlign w:val="center"/>
          </w:tcPr>
          <w:p w14:paraId="2EC8EB8C" w14:textId="77777777" w:rsidR="00074551" w:rsidRPr="00E50B51" w:rsidRDefault="00074551" w:rsidP="00367133">
            <w:pPr>
              <w:ind w:left="113" w:right="113"/>
              <w:jc w:val="both"/>
              <w:rPr>
                <w:sz w:val="20"/>
                <w:szCs w:val="20"/>
                <w:lang w:val="en-US"/>
              </w:rPr>
            </w:pPr>
            <w:r w:rsidRPr="00FD7098">
              <w:rPr>
                <w:sz w:val="20"/>
                <w:szCs w:val="20"/>
              </w:rPr>
              <w:t>403 U.S. 388</w:t>
            </w:r>
          </w:p>
        </w:tc>
        <w:tc>
          <w:tcPr>
            <w:tcW w:w="306" w:type="pct"/>
            <w:textDirection w:val="tbRl"/>
            <w:vAlign w:val="center"/>
          </w:tcPr>
          <w:p w14:paraId="6D011739" w14:textId="77777777" w:rsidR="00074551" w:rsidRPr="00E50B51" w:rsidRDefault="00074551" w:rsidP="00367133">
            <w:pPr>
              <w:ind w:left="113" w:right="113"/>
              <w:jc w:val="both"/>
              <w:rPr>
                <w:sz w:val="20"/>
                <w:szCs w:val="20"/>
                <w:lang w:val="en-US"/>
              </w:rPr>
            </w:pPr>
            <w:r>
              <w:rPr>
                <w:sz w:val="20"/>
                <w:szCs w:val="20"/>
              </w:rPr>
              <w:t>21. Juni 1971</w:t>
            </w:r>
          </w:p>
        </w:tc>
        <w:tc>
          <w:tcPr>
            <w:tcW w:w="401" w:type="pct"/>
          </w:tcPr>
          <w:p w14:paraId="5DE4DCD7" w14:textId="77777777" w:rsidR="00074551" w:rsidRPr="00E50B51" w:rsidRDefault="00074551" w:rsidP="00367133">
            <w:pPr>
              <w:jc w:val="center"/>
              <w:rPr>
                <w:iCs/>
                <w:sz w:val="20"/>
                <w:szCs w:val="20"/>
                <w:lang w:val="en-US"/>
              </w:rPr>
            </w:pPr>
            <w:r>
              <w:rPr>
                <w:sz w:val="20"/>
                <w:szCs w:val="20"/>
                <w:lang w:val="en-US"/>
              </w:rPr>
              <w:t>D</w:t>
            </w:r>
          </w:p>
        </w:tc>
        <w:tc>
          <w:tcPr>
            <w:tcW w:w="1594" w:type="pct"/>
          </w:tcPr>
          <w:p w14:paraId="2FF91CF7" w14:textId="20239EE9" w:rsidR="00074551" w:rsidRPr="00E50B51" w:rsidRDefault="00074551" w:rsidP="00367133">
            <w:pPr>
              <w:jc w:val="both"/>
              <w:rPr>
                <w:sz w:val="20"/>
                <w:szCs w:val="20"/>
              </w:rPr>
            </w:pPr>
            <w:r>
              <w:rPr>
                <w:sz w:val="20"/>
                <w:szCs w:val="20"/>
              </w:rPr>
              <w:t>Der U.S. Supreme Court</w:t>
            </w:r>
            <w:r w:rsidRPr="007F76E4">
              <w:rPr>
                <w:sz w:val="20"/>
                <w:szCs w:val="20"/>
              </w:rPr>
              <w:t xml:space="preserve"> hob </w:t>
            </w:r>
            <w:r>
              <w:rPr>
                <w:sz w:val="20"/>
                <w:szCs w:val="20"/>
              </w:rPr>
              <w:t xml:space="preserve">ein </w:t>
            </w:r>
            <w:proofErr w:type="spellStart"/>
            <w:r>
              <w:rPr>
                <w:sz w:val="20"/>
                <w:szCs w:val="20"/>
              </w:rPr>
              <w:t>vorinstanzielles</w:t>
            </w:r>
            <w:proofErr w:type="spellEnd"/>
            <w:r>
              <w:rPr>
                <w:sz w:val="20"/>
                <w:szCs w:val="20"/>
              </w:rPr>
              <w:t xml:space="preserve"> </w:t>
            </w:r>
            <w:r w:rsidRPr="007F76E4">
              <w:rPr>
                <w:sz w:val="20"/>
                <w:szCs w:val="20"/>
              </w:rPr>
              <w:t>Urteil auf und verwies den Fall zurück.</w:t>
            </w:r>
            <w:r>
              <w:rPr>
                <w:sz w:val="20"/>
                <w:szCs w:val="20"/>
              </w:rPr>
              <w:t xml:space="preserve"> </w:t>
            </w:r>
            <w:r w:rsidRPr="007F76E4">
              <w:rPr>
                <w:sz w:val="20"/>
                <w:szCs w:val="20"/>
              </w:rPr>
              <w:t xml:space="preserve">Der Kläger legte Berufung gegen das Urteil des </w:t>
            </w:r>
            <w:r>
              <w:rPr>
                <w:sz w:val="20"/>
                <w:szCs w:val="20"/>
              </w:rPr>
              <w:t xml:space="preserve">U.S. </w:t>
            </w:r>
            <w:r w:rsidRPr="007F76E4">
              <w:rPr>
                <w:sz w:val="20"/>
                <w:szCs w:val="20"/>
              </w:rPr>
              <w:t>Court of Appeals for the Second Circuit ein. Dieses Gericht bestätigte die Abweisung der Klage des Klägers</w:t>
            </w:r>
            <w:r>
              <w:rPr>
                <w:sz w:val="20"/>
                <w:szCs w:val="20"/>
              </w:rPr>
              <w:t>, der</w:t>
            </w:r>
            <w:r w:rsidRPr="007F76E4">
              <w:rPr>
                <w:sz w:val="20"/>
                <w:szCs w:val="20"/>
              </w:rPr>
              <w:t xml:space="preserve"> Schadensersatz </w:t>
            </w:r>
            <w:r>
              <w:rPr>
                <w:sz w:val="20"/>
                <w:szCs w:val="20"/>
              </w:rPr>
              <w:t xml:space="preserve">begehrt hatte </w:t>
            </w:r>
            <w:r w:rsidRPr="007F76E4">
              <w:rPr>
                <w:sz w:val="20"/>
                <w:szCs w:val="20"/>
              </w:rPr>
              <w:t xml:space="preserve">gegen </w:t>
            </w:r>
            <w:r>
              <w:rPr>
                <w:sz w:val="20"/>
                <w:szCs w:val="20"/>
              </w:rPr>
              <w:t xml:space="preserve">die sog. </w:t>
            </w:r>
            <w:r w:rsidRPr="007F76E4">
              <w:rPr>
                <w:sz w:val="20"/>
                <w:szCs w:val="20"/>
              </w:rPr>
              <w:t xml:space="preserve">Agenten des </w:t>
            </w:r>
            <w:r w:rsidRPr="5B67C1D2">
              <w:rPr>
                <w:i/>
                <w:iCs/>
                <w:sz w:val="20"/>
                <w:szCs w:val="20"/>
              </w:rPr>
              <w:t>Federal Bureau of Narcotics</w:t>
            </w:r>
            <w:r w:rsidRPr="007F76E4">
              <w:rPr>
                <w:sz w:val="20"/>
                <w:szCs w:val="20"/>
              </w:rPr>
              <w:t xml:space="preserve">. Diese hätten eine rechtswidrige Durchsuchung und Festnahme in Verletzung </w:t>
            </w:r>
            <w:r>
              <w:rPr>
                <w:sz w:val="20"/>
                <w:szCs w:val="20"/>
              </w:rPr>
              <w:t>von</w:t>
            </w:r>
            <w:r w:rsidRPr="007F76E4">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7F76E4">
              <w:rPr>
                <w:sz w:val="20"/>
                <w:szCs w:val="20"/>
              </w:rPr>
              <w:t xml:space="preserve"> durchgeführt.</w:t>
            </w:r>
            <w:r>
              <w:rPr>
                <w:sz w:val="20"/>
                <w:szCs w:val="20"/>
              </w:rPr>
              <w:t xml:space="preserve"> </w:t>
            </w:r>
            <w:r w:rsidRPr="007F76E4">
              <w:rPr>
                <w:sz w:val="20"/>
                <w:szCs w:val="20"/>
              </w:rPr>
              <w:t>Die Agenten argumentierten</w:t>
            </w:r>
            <w:r>
              <w:rPr>
                <w:sz w:val="20"/>
                <w:szCs w:val="20"/>
              </w:rPr>
              <w:t xml:space="preserve"> indes</w:t>
            </w:r>
            <w:r w:rsidRPr="007F76E4">
              <w:rPr>
                <w:sz w:val="20"/>
                <w:szCs w:val="20"/>
              </w:rPr>
              <w:t xml:space="preserve">, das Recht des Klägers auf Schadensersatz wegen Verletzung des Rechts auf Privatsphäre sei nur </w:t>
            </w:r>
            <w:r>
              <w:rPr>
                <w:sz w:val="20"/>
                <w:szCs w:val="20"/>
              </w:rPr>
              <w:t>auf staatliche Gewaltausübung anwendbar</w:t>
            </w:r>
            <w:r w:rsidRPr="007F76E4">
              <w:rPr>
                <w:sz w:val="20"/>
                <w:szCs w:val="20"/>
              </w:rPr>
              <w:t xml:space="preserve">. </w:t>
            </w:r>
            <w:r>
              <w:rPr>
                <w:sz w:val="20"/>
                <w:szCs w:val="20"/>
              </w:rPr>
              <w:t>S</w:t>
            </w:r>
            <w:r w:rsidRPr="007F76E4">
              <w:rPr>
                <w:sz w:val="20"/>
                <w:szCs w:val="20"/>
              </w:rPr>
              <w:t xml:space="preserve">ie </w:t>
            </w:r>
            <w:r>
              <w:rPr>
                <w:sz w:val="20"/>
                <w:szCs w:val="20"/>
              </w:rPr>
              <w:t xml:space="preserve">aber </w:t>
            </w:r>
            <w:proofErr w:type="gramStart"/>
            <w:r>
              <w:rPr>
                <w:sz w:val="20"/>
                <w:szCs w:val="20"/>
              </w:rPr>
              <w:t>seien</w:t>
            </w:r>
            <w:proofErr w:type="gramEnd"/>
            <w:r>
              <w:rPr>
                <w:sz w:val="20"/>
                <w:szCs w:val="20"/>
              </w:rPr>
              <w:t xml:space="preserve"> </w:t>
            </w:r>
            <w:r w:rsidRPr="007F76E4">
              <w:rPr>
                <w:sz w:val="20"/>
                <w:szCs w:val="20"/>
              </w:rPr>
              <w:t>wie Privatpersonen</w:t>
            </w:r>
            <w:r>
              <w:rPr>
                <w:sz w:val="20"/>
                <w:szCs w:val="20"/>
              </w:rPr>
              <w:t xml:space="preserve"> zu behandeln</w:t>
            </w:r>
            <w:r w:rsidRPr="007F76E4">
              <w:rPr>
                <w:sz w:val="20"/>
                <w:szCs w:val="20"/>
              </w:rPr>
              <w:t xml:space="preserve">, falls </w:t>
            </w:r>
            <w:r>
              <w:rPr>
                <w:sz w:val="20"/>
                <w:szCs w:val="20"/>
              </w:rPr>
              <w:t xml:space="preserve">überhaupt </w:t>
            </w:r>
            <w:r w:rsidRPr="007F76E4">
              <w:rPr>
                <w:sz w:val="20"/>
                <w:szCs w:val="20"/>
              </w:rPr>
              <w:t>ein verfassungswidriges Verhalten vorliege. D</w:t>
            </w:r>
            <w:r>
              <w:rPr>
                <w:sz w:val="20"/>
                <w:szCs w:val="20"/>
              </w:rPr>
              <w:t xml:space="preserve">er U.S. Supreme Court </w:t>
            </w:r>
            <w:r w:rsidRPr="007F76E4">
              <w:rPr>
                <w:sz w:val="20"/>
                <w:szCs w:val="20"/>
              </w:rPr>
              <w:t>widersprach. E</w:t>
            </w:r>
            <w:r>
              <w:rPr>
                <w:sz w:val="20"/>
                <w:szCs w:val="20"/>
              </w:rPr>
              <w:t xml:space="preserve">r </w:t>
            </w:r>
            <w:r w:rsidRPr="007F76E4">
              <w:rPr>
                <w:sz w:val="20"/>
                <w:szCs w:val="20"/>
              </w:rPr>
              <w:t>erklärte, das Verhältnis zwischen verfassungswidrig handelnden Bundesagenten und einem Privatbürger unterscheide sich von dem</w:t>
            </w:r>
            <w:r>
              <w:rPr>
                <w:sz w:val="20"/>
                <w:szCs w:val="20"/>
              </w:rPr>
              <w:t xml:space="preserve"> Verhältnis</w:t>
            </w:r>
            <w:r w:rsidRPr="007F76E4">
              <w:rPr>
                <w:sz w:val="20"/>
                <w:szCs w:val="20"/>
              </w:rPr>
              <w:t xml:space="preserve"> zwischen Privatbürgern. D</w:t>
            </w:r>
            <w:r>
              <w:rPr>
                <w:sz w:val="20"/>
                <w:szCs w:val="20"/>
              </w:rPr>
              <w:t>enn</w:t>
            </w:r>
            <w:r w:rsidRPr="007F76E4">
              <w:rPr>
                <w:sz w:val="20"/>
                <w:szCs w:val="20"/>
              </w:rPr>
              <w:t xml:space="preserve"> </w:t>
            </w:r>
            <w:r>
              <w:rPr>
                <w:sz w:val="20"/>
                <w:szCs w:val="20"/>
              </w:rPr>
              <w:t xml:space="preserve">durch Gewaltausübung könnten </w:t>
            </w:r>
            <w:r w:rsidRPr="007F76E4">
              <w:rPr>
                <w:sz w:val="20"/>
                <w:szCs w:val="20"/>
              </w:rPr>
              <w:t>Agenten mehr Schaden verursachen</w:t>
            </w:r>
            <w:r>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007D5723" w:rsidRPr="007D5723">
              <w:rPr>
                <w:sz w:val="20"/>
                <w:szCs w:val="20"/>
              </w:rPr>
              <w:t xml:space="preserve"> begrenze daher die Ausübung von Bundesgewalt unabhängig davon, wie dieselbe Handlung eines Privatbürgers nach einzelstaatlichem Recht zu beurteilen wäre.</w:t>
            </w:r>
            <w:r w:rsidR="007D5723">
              <w:rPr>
                <w:b/>
                <w:bCs/>
                <w:sz w:val="20"/>
                <w:szCs w:val="20"/>
              </w:rPr>
              <w:t xml:space="preserve"> </w:t>
            </w:r>
            <w:r>
              <w:rPr>
                <w:sz w:val="20"/>
                <w:szCs w:val="20"/>
              </w:rPr>
              <w:t>Und d</w:t>
            </w:r>
            <w:r w:rsidRPr="007F76E4">
              <w:rPr>
                <w:sz w:val="20"/>
                <w:szCs w:val="20"/>
              </w:rPr>
              <w:t xml:space="preserve">ie Interessen der staatlichen Gesetze zum Schutz der Privatsphäre und die Garantie des </w:t>
            </w:r>
            <w:r>
              <w:rPr>
                <w:sz w:val="20"/>
                <w:szCs w:val="20"/>
              </w:rPr>
              <w:t>Amendments</w:t>
            </w:r>
            <w:r w:rsidRPr="007F76E4">
              <w:rPr>
                <w:sz w:val="20"/>
                <w:szCs w:val="20"/>
              </w:rPr>
              <w:t xml:space="preserve"> gegen unangemessene Durchsuchungen </w:t>
            </w:r>
            <w:r>
              <w:rPr>
                <w:sz w:val="20"/>
                <w:szCs w:val="20"/>
              </w:rPr>
              <w:t xml:space="preserve">stünden </w:t>
            </w:r>
            <w:r w:rsidR="007D5723">
              <w:rPr>
                <w:sz w:val="20"/>
                <w:szCs w:val="20"/>
              </w:rPr>
              <w:t xml:space="preserve">entsprechend </w:t>
            </w:r>
            <w:r>
              <w:rPr>
                <w:sz w:val="20"/>
                <w:szCs w:val="20"/>
              </w:rPr>
              <w:t>in ständigem Abwägungskonflikt, der hier zugunsten des Klägers ausgehe.</w:t>
            </w:r>
            <w:r w:rsidRPr="007F76E4">
              <w:rPr>
                <w:sz w:val="20"/>
                <w:szCs w:val="20"/>
              </w:rPr>
              <w:t xml:space="preserve"> </w:t>
            </w:r>
            <w:r>
              <w:rPr>
                <w:sz w:val="20"/>
                <w:szCs w:val="20"/>
              </w:rPr>
              <w:t xml:space="preserve">Hier sei zudem </w:t>
            </w:r>
            <w:r w:rsidRPr="007F76E4">
              <w:rPr>
                <w:sz w:val="20"/>
                <w:szCs w:val="20"/>
              </w:rPr>
              <w:t xml:space="preserve">Gewährung von Schadensersatz an den Kläger nach einer Verletzung des </w:t>
            </w:r>
            <w:r>
              <w:rPr>
                <w:sz w:val="20"/>
                <w:szCs w:val="20"/>
              </w:rPr>
              <w:t xml:space="preserve">Amendments </w:t>
            </w:r>
            <w:r w:rsidRPr="007F76E4">
              <w:rPr>
                <w:sz w:val="20"/>
                <w:szCs w:val="20"/>
              </w:rPr>
              <w:t xml:space="preserve">durch Bundesagenten vor Bundesgerichten </w:t>
            </w:r>
            <w:r>
              <w:rPr>
                <w:sz w:val="20"/>
                <w:szCs w:val="20"/>
              </w:rPr>
              <w:t>einklagbar.</w:t>
            </w:r>
            <w:r>
              <w:rPr>
                <w:rStyle w:val="Funotenzeichen"/>
                <w:sz w:val="20"/>
                <w:szCs w:val="20"/>
              </w:rPr>
              <w:footnoteReference w:id="2214"/>
            </w:r>
          </w:p>
        </w:tc>
        <w:tc>
          <w:tcPr>
            <w:tcW w:w="1822" w:type="pct"/>
          </w:tcPr>
          <w:p w14:paraId="02D9090D" w14:textId="08EF93EC" w:rsidR="00074551" w:rsidRDefault="00074551" w:rsidP="00367133">
            <w:pPr>
              <w:rPr>
                <w:sz w:val="20"/>
                <w:szCs w:val="20"/>
              </w:rPr>
            </w:pPr>
            <w:r w:rsidRPr="00192D91">
              <w:rPr>
                <w:sz w:val="20"/>
                <w:szCs w:val="20"/>
              </w:rPr>
              <w:t xml:space="preserve">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192D91">
              <w:rPr>
                <w:sz w:val="20"/>
                <w:szCs w:val="20"/>
              </w:rPr>
              <w:t xml:space="preserve"> stimmt mit dem Ergebnis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192D91">
              <w:rPr>
                <w:sz w:val="20"/>
                <w:szCs w:val="20"/>
              </w:rPr>
              <w:t xml:space="preserve"> überein, aber sie begründet anders. Sie meint, es bestehe kein Gesetz, </w:t>
            </w:r>
            <w:r>
              <w:rPr>
                <w:sz w:val="20"/>
                <w:szCs w:val="20"/>
              </w:rPr>
              <w:t>das</w:t>
            </w:r>
            <w:r w:rsidRPr="00192D91">
              <w:rPr>
                <w:sz w:val="20"/>
                <w:szCs w:val="20"/>
              </w:rPr>
              <w:t xml:space="preserve"> den Schadensersatz hier nach einer Durchsuchung regle, </w:t>
            </w:r>
            <w:r>
              <w:rPr>
                <w:sz w:val="20"/>
                <w:szCs w:val="20"/>
              </w:rPr>
              <w:t>welche die sog.</w:t>
            </w:r>
            <w:r w:rsidRPr="00192D91">
              <w:rPr>
                <w:sz w:val="20"/>
                <w:szCs w:val="20"/>
              </w:rPr>
              <w:t xml:space="preserve"> Agenten des </w:t>
            </w:r>
            <w:r w:rsidRPr="5B67C1D2">
              <w:rPr>
                <w:i/>
                <w:iCs/>
                <w:sz w:val="20"/>
                <w:szCs w:val="20"/>
              </w:rPr>
              <w:t>Federal Bureau of Narcotics</w:t>
            </w:r>
            <w:r w:rsidRPr="00192D91">
              <w:rPr>
                <w:sz w:val="20"/>
                <w:szCs w:val="20"/>
              </w:rPr>
              <w:t xml:space="preserve"> durchgeführt hatten. Das hätte es aber gebraucht. Daher sei die Frage offen zu lassen, ob eine unangemessene Durchsuchung durch Bundesbeamte, die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192D91">
              <w:rPr>
                <w:sz w:val="20"/>
                <w:szCs w:val="20"/>
              </w:rPr>
              <w:t xml:space="preserve"> verstoßen hatten, für den Betroffenen einen bundesrechtlichen Schadensersatzanspruch begründe. Zwar könne der Kongress kompetenziell einen solchen bundesrechtlichen Schadensersatzanspruch schaffen, der eine unangemessene Durchsuchung sanktioniere, wenn sie gegen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192D91">
              <w:rPr>
                <w:sz w:val="20"/>
                <w:szCs w:val="20"/>
              </w:rPr>
              <w:t xml:space="preserve"> verstoße. Aber der Kongress ha</w:t>
            </w:r>
            <w:r>
              <w:rPr>
                <w:sz w:val="20"/>
                <w:szCs w:val="20"/>
              </w:rPr>
              <w:t>be</w:t>
            </w:r>
            <w:r w:rsidRPr="00192D91">
              <w:rPr>
                <w:sz w:val="20"/>
                <w:szCs w:val="20"/>
              </w:rPr>
              <w:t xml:space="preserve"> einen solchen bundesrechtlichen Anspruch nur gegen bunde</w:t>
            </w:r>
            <w:r w:rsidR="00BF0D11">
              <w:rPr>
                <w:sz w:val="20"/>
                <w:szCs w:val="20"/>
              </w:rPr>
              <w:t>- bzw. einzel</w:t>
            </w:r>
            <w:r w:rsidRPr="00192D91">
              <w:rPr>
                <w:sz w:val="20"/>
                <w:szCs w:val="20"/>
              </w:rPr>
              <w:t xml:space="preserve">staatliche Beamte geschaffen, soweit diese missbräuchlich handeln. </w:t>
            </w:r>
            <w:r>
              <w:rPr>
                <w:sz w:val="20"/>
                <w:szCs w:val="20"/>
              </w:rPr>
              <w:t>E</w:t>
            </w:r>
            <w:r w:rsidRPr="00192D91">
              <w:rPr>
                <w:sz w:val="20"/>
                <w:szCs w:val="20"/>
              </w:rPr>
              <w:t xml:space="preserve">in solcher Anspruch gegen Bundesbeamte fehle. Wenn der </w:t>
            </w:r>
            <w:r>
              <w:rPr>
                <w:sz w:val="20"/>
                <w:szCs w:val="20"/>
              </w:rPr>
              <w:t>U.S. Supreme Court</w:t>
            </w:r>
            <w:r w:rsidRPr="00192D91">
              <w:rPr>
                <w:sz w:val="20"/>
                <w:szCs w:val="20"/>
              </w:rPr>
              <w:t xml:space="preserve"> einen solchen nun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192D91">
              <w:rPr>
                <w:sz w:val="20"/>
                <w:szCs w:val="20"/>
              </w:rPr>
              <w:t xml:space="preserve"> deduziere, dann handle er als Gesetzgeber. Dagegen spräche aber, dass der </w:t>
            </w:r>
            <w:r>
              <w:rPr>
                <w:sz w:val="20"/>
                <w:szCs w:val="20"/>
              </w:rPr>
              <w:t>U.S. Supreme Court</w:t>
            </w:r>
            <w:r w:rsidRPr="00192D91">
              <w:rPr>
                <w:sz w:val="20"/>
                <w:szCs w:val="20"/>
              </w:rPr>
              <w:t xml:space="preserve"> ohnehin durch bereits geregelte Beschwerden überlastet sei, </w:t>
            </w:r>
            <w:r>
              <w:rPr>
                <w:sz w:val="20"/>
                <w:szCs w:val="20"/>
              </w:rPr>
              <w:t>u.a.</w:t>
            </w:r>
            <w:r w:rsidRPr="00192D91">
              <w:rPr>
                <w:sz w:val="20"/>
                <w:szCs w:val="20"/>
              </w:rPr>
              <w:t xml:space="preserve"> durch Personen, die vortrugen, sie hätten noch nicht die gleichen Chancen auf Bildung, Beschäftigung und Streben nach Glück („</w:t>
            </w:r>
            <w:proofErr w:type="spellStart"/>
            <w:r w:rsidRPr="00192D91">
              <w:rPr>
                <w:sz w:val="20"/>
                <w:szCs w:val="20"/>
              </w:rPr>
              <w:t>cases</w:t>
            </w:r>
            <w:proofErr w:type="spellEnd"/>
            <w:r w:rsidRPr="00192D91">
              <w:rPr>
                <w:sz w:val="20"/>
                <w:szCs w:val="20"/>
              </w:rPr>
              <w:t xml:space="preserve"> </w:t>
            </w:r>
            <w:proofErr w:type="spellStart"/>
            <w:r w:rsidRPr="00192D91">
              <w:rPr>
                <w:sz w:val="20"/>
                <w:szCs w:val="20"/>
              </w:rPr>
              <w:t>are</w:t>
            </w:r>
            <w:proofErr w:type="spellEnd"/>
            <w:r w:rsidRPr="00192D91">
              <w:rPr>
                <w:sz w:val="20"/>
                <w:szCs w:val="20"/>
              </w:rPr>
              <w:t xml:space="preserve"> </w:t>
            </w:r>
            <w:proofErr w:type="spellStart"/>
            <w:r w:rsidRPr="00192D91">
              <w:rPr>
                <w:sz w:val="20"/>
                <w:szCs w:val="20"/>
              </w:rPr>
              <w:t>brought</w:t>
            </w:r>
            <w:proofErr w:type="spellEnd"/>
            <w:r w:rsidRPr="00192D91">
              <w:rPr>
                <w:sz w:val="20"/>
                <w:szCs w:val="20"/>
              </w:rPr>
              <w:t xml:space="preserve"> by </w:t>
            </w:r>
            <w:proofErr w:type="spellStart"/>
            <w:r w:rsidRPr="00192D91">
              <w:rPr>
                <w:sz w:val="20"/>
                <w:szCs w:val="20"/>
              </w:rPr>
              <w:t>citizens</w:t>
            </w:r>
            <w:proofErr w:type="spellEnd"/>
            <w:r w:rsidRPr="00192D91">
              <w:rPr>
                <w:sz w:val="20"/>
                <w:szCs w:val="20"/>
              </w:rPr>
              <w:t xml:space="preserve"> </w:t>
            </w:r>
            <w:proofErr w:type="spellStart"/>
            <w:r w:rsidRPr="00192D91">
              <w:rPr>
                <w:sz w:val="20"/>
                <w:szCs w:val="20"/>
              </w:rPr>
              <w:t>with</w:t>
            </w:r>
            <w:proofErr w:type="spellEnd"/>
            <w:r w:rsidRPr="00192D91">
              <w:rPr>
                <w:sz w:val="20"/>
                <w:szCs w:val="20"/>
              </w:rPr>
              <w:t xml:space="preserve"> substantial </w:t>
            </w:r>
            <w:proofErr w:type="spellStart"/>
            <w:r w:rsidRPr="00192D91">
              <w:rPr>
                <w:sz w:val="20"/>
                <w:szCs w:val="20"/>
              </w:rPr>
              <w:t>complaints</w:t>
            </w:r>
            <w:proofErr w:type="spellEnd"/>
            <w:r w:rsidRPr="00192D91">
              <w:rPr>
                <w:sz w:val="20"/>
                <w:szCs w:val="20"/>
              </w:rPr>
              <w:t xml:space="preserve"> […]; and </w:t>
            </w:r>
            <w:proofErr w:type="spellStart"/>
            <w:r w:rsidRPr="00192D91">
              <w:rPr>
                <w:sz w:val="20"/>
                <w:szCs w:val="20"/>
              </w:rPr>
              <w:t>persons</w:t>
            </w:r>
            <w:proofErr w:type="spellEnd"/>
            <w:r w:rsidRPr="00192D91">
              <w:rPr>
                <w:sz w:val="20"/>
                <w:szCs w:val="20"/>
              </w:rPr>
              <w:t xml:space="preserve"> who </w:t>
            </w:r>
            <w:proofErr w:type="spellStart"/>
            <w:r w:rsidRPr="00192D91">
              <w:rPr>
                <w:sz w:val="20"/>
                <w:szCs w:val="20"/>
              </w:rPr>
              <w:t>have</w:t>
            </w:r>
            <w:proofErr w:type="spellEnd"/>
            <w:r w:rsidRPr="00192D91">
              <w:rPr>
                <w:sz w:val="20"/>
                <w:szCs w:val="20"/>
              </w:rPr>
              <w:t xml:space="preserve"> not </w:t>
            </w:r>
            <w:proofErr w:type="spellStart"/>
            <w:r w:rsidRPr="00192D91">
              <w:rPr>
                <w:sz w:val="20"/>
                <w:szCs w:val="20"/>
              </w:rPr>
              <w:t>yet</w:t>
            </w:r>
            <w:proofErr w:type="spellEnd"/>
            <w:r w:rsidRPr="00192D91">
              <w:rPr>
                <w:sz w:val="20"/>
                <w:szCs w:val="20"/>
              </w:rPr>
              <w:t xml:space="preserve"> </w:t>
            </w:r>
            <w:proofErr w:type="spellStart"/>
            <w:r w:rsidRPr="00192D91">
              <w:rPr>
                <w:sz w:val="20"/>
                <w:szCs w:val="20"/>
              </w:rPr>
              <w:t>received</w:t>
            </w:r>
            <w:proofErr w:type="spellEnd"/>
            <w:r w:rsidRPr="00192D91">
              <w:rPr>
                <w:sz w:val="20"/>
                <w:szCs w:val="20"/>
              </w:rPr>
              <w:t xml:space="preserve"> the </w:t>
            </w:r>
            <w:proofErr w:type="spellStart"/>
            <w:r w:rsidRPr="00192D91">
              <w:rPr>
                <w:sz w:val="20"/>
                <w:szCs w:val="20"/>
              </w:rPr>
              <w:t>equal</w:t>
            </w:r>
            <w:proofErr w:type="spellEnd"/>
            <w:r w:rsidRPr="00192D91">
              <w:rPr>
                <w:sz w:val="20"/>
                <w:szCs w:val="20"/>
              </w:rPr>
              <w:t xml:space="preserve"> </w:t>
            </w:r>
            <w:proofErr w:type="spellStart"/>
            <w:r w:rsidRPr="00192D91">
              <w:rPr>
                <w:sz w:val="20"/>
                <w:szCs w:val="20"/>
              </w:rPr>
              <w:t>opportunity</w:t>
            </w:r>
            <w:proofErr w:type="spellEnd"/>
            <w:r w:rsidRPr="00192D91">
              <w:rPr>
                <w:sz w:val="20"/>
                <w:szCs w:val="20"/>
              </w:rPr>
              <w:t xml:space="preserve"> in </w:t>
            </w:r>
            <w:proofErr w:type="spellStart"/>
            <w:r w:rsidRPr="00192D91">
              <w:rPr>
                <w:sz w:val="20"/>
                <w:szCs w:val="20"/>
              </w:rPr>
              <w:t>education</w:t>
            </w:r>
            <w:proofErr w:type="spellEnd"/>
            <w:r w:rsidRPr="00192D91">
              <w:rPr>
                <w:sz w:val="20"/>
                <w:szCs w:val="20"/>
              </w:rPr>
              <w:t xml:space="preserve">, </w:t>
            </w:r>
            <w:proofErr w:type="spellStart"/>
            <w:r w:rsidRPr="00192D91">
              <w:rPr>
                <w:sz w:val="20"/>
                <w:szCs w:val="20"/>
              </w:rPr>
              <w:t>employment</w:t>
            </w:r>
            <w:proofErr w:type="spellEnd"/>
            <w:r w:rsidRPr="00192D91">
              <w:rPr>
                <w:sz w:val="20"/>
                <w:szCs w:val="20"/>
              </w:rPr>
              <w:t xml:space="preserve">, and </w:t>
            </w:r>
            <w:proofErr w:type="spellStart"/>
            <w:r w:rsidRPr="00192D91">
              <w:rPr>
                <w:sz w:val="20"/>
                <w:szCs w:val="20"/>
              </w:rPr>
              <w:t>pursuit</w:t>
            </w:r>
            <w:proofErr w:type="spellEnd"/>
            <w:r w:rsidRPr="00192D91">
              <w:rPr>
                <w:sz w:val="20"/>
                <w:szCs w:val="20"/>
              </w:rPr>
              <w:t xml:space="preserve"> of </w:t>
            </w:r>
            <w:proofErr w:type="spellStart"/>
            <w:r w:rsidRPr="00192D91">
              <w:rPr>
                <w:sz w:val="20"/>
                <w:szCs w:val="20"/>
              </w:rPr>
              <w:t>happiness</w:t>
            </w:r>
            <w:proofErr w:type="spellEnd"/>
            <w:r w:rsidRPr="00192D91">
              <w:rPr>
                <w:sz w:val="20"/>
                <w:szCs w:val="20"/>
              </w:rPr>
              <w:t xml:space="preserve"> </w:t>
            </w:r>
            <w:proofErr w:type="spellStart"/>
            <w:r w:rsidRPr="00192D91">
              <w:rPr>
                <w:sz w:val="20"/>
                <w:szCs w:val="20"/>
              </w:rPr>
              <w:t>that</w:t>
            </w:r>
            <w:proofErr w:type="spellEnd"/>
            <w:r w:rsidRPr="00192D91">
              <w:rPr>
                <w:sz w:val="20"/>
                <w:szCs w:val="20"/>
              </w:rPr>
              <w:t xml:space="preserve"> was the </w:t>
            </w:r>
            <w:proofErr w:type="spellStart"/>
            <w:r w:rsidRPr="00192D91">
              <w:rPr>
                <w:sz w:val="20"/>
                <w:szCs w:val="20"/>
              </w:rPr>
              <w:t>dream</w:t>
            </w:r>
            <w:proofErr w:type="spellEnd"/>
            <w:r w:rsidRPr="00192D91">
              <w:rPr>
                <w:sz w:val="20"/>
                <w:szCs w:val="20"/>
              </w:rPr>
              <w:t xml:space="preserve"> of </w:t>
            </w:r>
            <w:proofErr w:type="spellStart"/>
            <w:r w:rsidRPr="00192D91">
              <w:rPr>
                <w:sz w:val="20"/>
                <w:szCs w:val="20"/>
              </w:rPr>
              <w:t>our</w:t>
            </w:r>
            <w:proofErr w:type="spellEnd"/>
            <w:r w:rsidRPr="00192D91">
              <w:rPr>
                <w:sz w:val="20"/>
                <w:szCs w:val="20"/>
              </w:rPr>
              <w:t xml:space="preserve"> </w:t>
            </w:r>
            <w:proofErr w:type="spellStart"/>
            <w:r w:rsidRPr="00192D91">
              <w:rPr>
                <w:sz w:val="20"/>
                <w:szCs w:val="20"/>
              </w:rPr>
              <w:t>forefathers</w:t>
            </w:r>
            <w:proofErr w:type="spellEnd"/>
            <w:r w:rsidRPr="00192D91">
              <w:rPr>
                <w:sz w:val="20"/>
                <w:szCs w:val="20"/>
              </w:rPr>
              <w:t>.“</w:t>
            </w:r>
            <w:r w:rsidRPr="00192D91">
              <w:rPr>
                <w:sz w:val="20"/>
                <w:szCs w:val="20"/>
                <w:vertAlign w:val="superscript"/>
                <w:lang w:val="en-US"/>
              </w:rPr>
              <w:footnoteReference w:id="2215"/>
            </w:r>
            <w:r w:rsidRPr="00192D91">
              <w:rPr>
                <w:sz w:val="20"/>
                <w:szCs w:val="20"/>
              </w:rPr>
              <w:t xml:space="preserve">). Hiernach besteht also ein Anspruch auf ein Streben nach Glück, </w:t>
            </w:r>
            <w:r>
              <w:rPr>
                <w:sz w:val="20"/>
                <w:szCs w:val="20"/>
              </w:rPr>
              <w:t>der</w:t>
            </w:r>
            <w:r w:rsidRPr="00192D91">
              <w:rPr>
                <w:sz w:val="20"/>
                <w:szCs w:val="20"/>
              </w:rPr>
              <w:t xml:space="preserve"> auch individuell geltend gemacht werden könne.</w:t>
            </w:r>
          </w:p>
          <w:p w14:paraId="5B3CD89D" w14:textId="77777777" w:rsidR="00074551" w:rsidRPr="00FF4E92" w:rsidRDefault="00074551" w:rsidP="00367133">
            <w:pPr>
              <w:jc w:val="both"/>
              <w:rPr>
                <w:sz w:val="20"/>
                <w:szCs w:val="20"/>
              </w:rPr>
            </w:pPr>
          </w:p>
        </w:tc>
      </w:tr>
      <w:tr w:rsidR="00074551" w:rsidRPr="00E50B51" w14:paraId="09D2BE13" w14:textId="77777777" w:rsidTr="00203768">
        <w:trPr>
          <w:cantSplit/>
          <w:trHeight w:val="3175"/>
        </w:trPr>
        <w:tc>
          <w:tcPr>
            <w:tcW w:w="293" w:type="pct"/>
            <w:shd w:val="clear" w:color="auto" w:fill="E7E6E6" w:themeFill="background2"/>
          </w:tcPr>
          <w:p w14:paraId="1824610A"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46AB719B"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3A323142" w14:textId="77777777" w:rsidR="00074551" w:rsidRPr="00E50B51" w:rsidRDefault="00074551" w:rsidP="00367133">
            <w:pPr>
              <w:ind w:left="113" w:right="113"/>
              <w:jc w:val="both"/>
              <w:rPr>
                <w:iCs/>
                <w:sz w:val="20"/>
                <w:szCs w:val="20"/>
              </w:rPr>
            </w:pPr>
            <w:r w:rsidRPr="00E50B51">
              <w:rPr>
                <w:iCs/>
                <w:sz w:val="20"/>
                <w:szCs w:val="20"/>
              </w:rPr>
              <w:t xml:space="preserve">Search and </w:t>
            </w:r>
            <w:proofErr w:type="spellStart"/>
            <w:r w:rsidRPr="00E50B51">
              <w:rPr>
                <w:iCs/>
                <w:sz w:val="20"/>
                <w:szCs w:val="20"/>
              </w:rPr>
              <w:t>Seizure</w:t>
            </w:r>
            <w:proofErr w:type="spellEnd"/>
          </w:p>
        </w:tc>
        <w:tc>
          <w:tcPr>
            <w:tcW w:w="306" w:type="pct"/>
            <w:shd w:val="clear" w:color="auto" w:fill="E7E6E6" w:themeFill="background2"/>
            <w:textDirection w:val="tbRl"/>
            <w:vAlign w:val="center"/>
          </w:tcPr>
          <w:p w14:paraId="329884AC" w14:textId="77777777" w:rsidR="00074551" w:rsidRPr="00E50B51" w:rsidRDefault="00074551" w:rsidP="00367133">
            <w:pPr>
              <w:ind w:left="113" w:right="113"/>
              <w:jc w:val="both"/>
              <w:rPr>
                <w:sz w:val="20"/>
                <w:szCs w:val="20"/>
                <w:lang w:val="en-US"/>
              </w:rPr>
            </w:pPr>
            <w:proofErr w:type="spellStart"/>
            <w:r w:rsidRPr="00E50B51">
              <w:rPr>
                <w:iCs/>
                <w:sz w:val="20"/>
                <w:szCs w:val="20"/>
              </w:rPr>
              <w:t>Exclusionary</w:t>
            </w:r>
            <w:proofErr w:type="spellEnd"/>
            <w:r w:rsidRPr="00E50B51">
              <w:rPr>
                <w:iCs/>
                <w:sz w:val="20"/>
                <w:szCs w:val="20"/>
              </w:rPr>
              <w:t xml:space="preserve"> Rule</w:t>
            </w:r>
          </w:p>
        </w:tc>
        <w:tc>
          <w:tcPr>
            <w:tcW w:w="401" w:type="pct"/>
            <w:shd w:val="clear" w:color="auto" w:fill="E7E6E6" w:themeFill="background2"/>
          </w:tcPr>
          <w:p w14:paraId="20269034"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0276ECF1" w14:textId="77777777" w:rsidR="00074551" w:rsidRPr="00E50B51" w:rsidRDefault="00074551" w:rsidP="00367133">
            <w:pPr>
              <w:jc w:val="both"/>
              <w:rPr>
                <w:sz w:val="20"/>
                <w:szCs w:val="20"/>
                <w:lang w:val="en-US"/>
              </w:rPr>
            </w:pPr>
          </w:p>
        </w:tc>
        <w:tc>
          <w:tcPr>
            <w:tcW w:w="1822" w:type="pct"/>
            <w:shd w:val="clear" w:color="auto" w:fill="E7E6E6" w:themeFill="background2"/>
          </w:tcPr>
          <w:p w14:paraId="276C890F" w14:textId="2D45D694"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198F51AC" w14:textId="77777777" w:rsidTr="00BE689F">
        <w:trPr>
          <w:cantSplit/>
          <w:trHeight w:val="3175"/>
        </w:trPr>
        <w:tc>
          <w:tcPr>
            <w:tcW w:w="293" w:type="pct"/>
          </w:tcPr>
          <w:p w14:paraId="74D29D2A"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EE45249" w14:textId="77777777" w:rsidR="00074551" w:rsidRPr="00B45592" w:rsidRDefault="00074551" w:rsidP="00367133">
            <w:pPr>
              <w:ind w:left="113" w:right="416"/>
              <w:jc w:val="both"/>
              <w:rPr>
                <w:i/>
                <w:sz w:val="20"/>
                <w:szCs w:val="20"/>
                <w:lang w:val="en-US"/>
              </w:rPr>
            </w:pPr>
            <w:r w:rsidRPr="00B45592">
              <w:rPr>
                <w:i/>
                <w:sz w:val="20"/>
                <w:szCs w:val="20"/>
                <w:lang w:val="en-US"/>
              </w:rPr>
              <w:t>On Lee v. United States</w:t>
            </w:r>
          </w:p>
        </w:tc>
        <w:tc>
          <w:tcPr>
            <w:tcW w:w="197" w:type="pct"/>
            <w:textDirection w:val="tbRl"/>
            <w:vAlign w:val="center"/>
          </w:tcPr>
          <w:p w14:paraId="2835A84B" w14:textId="77777777" w:rsidR="00074551" w:rsidRPr="00E50B51" w:rsidRDefault="00074551" w:rsidP="00367133">
            <w:pPr>
              <w:ind w:left="113" w:right="113"/>
              <w:jc w:val="both"/>
              <w:rPr>
                <w:iCs/>
                <w:sz w:val="20"/>
                <w:szCs w:val="20"/>
                <w:lang w:val="en-US"/>
              </w:rPr>
            </w:pPr>
            <w:r w:rsidRPr="00E50B51">
              <w:rPr>
                <w:sz w:val="20"/>
                <w:szCs w:val="20"/>
                <w:lang w:val="en-US"/>
              </w:rPr>
              <w:t>343 U.S. 747</w:t>
            </w:r>
          </w:p>
        </w:tc>
        <w:tc>
          <w:tcPr>
            <w:tcW w:w="306" w:type="pct"/>
            <w:textDirection w:val="tbRl"/>
            <w:vAlign w:val="center"/>
          </w:tcPr>
          <w:p w14:paraId="2D85FCB2" w14:textId="77777777" w:rsidR="00074551" w:rsidRPr="00E50B51" w:rsidRDefault="00074551" w:rsidP="00367133">
            <w:pPr>
              <w:ind w:left="113" w:right="113"/>
              <w:jc w:val="both"/>
              <w:rPr>
                <w:sz w:val="20"/>
                <w:szCs w:val="20"/>
              </w:rPr>
            </w:pPr>
            <w:r w:rsidRPr="00E50B51">
              <w:rPr>
                <w:sz w:val="20"/>
                <w:szCs w:val="20"/>
              </w:rPr>
              <w:t>2. Juni 1952</w:t>
            </w:r>
          </w:p>
        </w:tc>
        <w:tc>
          <w:tcPr>
            <w:tcW w:w="401" w:type="pct"/>
          </w:tcPr>
          <w:p w14:paraId="083BFC07" w14:textId="77777777" w:rsidR="00074551" w:rsidRPr="00E50B51" w:rsidRDefault="00074551" w:rsidP="00367133">
            <w:pPr>
              <w:jc w:val="center"/>
              <w:rPr>
                <w:sz w:val="20"/>
                <w:szCs w:val="20"/>
              </w:rPr>
            </w:pPr>
            <w:r w:rsidRPr="00E50B51">
              <w:rPr>
                <w:iCs/>
                <w:sz w:val="20"/>
                <w:szCs w:val="20"/>
                <w:lang w:val="en-US"/>
              </w:rPr>
              <w:t>D</w:t>
            </w:r>
          </w:p>
        </w:tc>
        <w:tc>
          <w:tcPr>
            <w:tcW w:w="1594" w:type="pct"/>
          </w:tcPr>
          <w:p w14:paraId="00405756" w14:textId="2DD80B1F" w:rsidR="00074551" w:rsidRPr="00E50B51" w:rsidRDefault="00074551" w:rsidP="00367133">
            <w:pPr>
              <w:jc w:val="both"/>
              <w:rPr>
                <w:sz w:val="20"/>
                <w:szCs w:val="20"/>
              </w:rPr>
            </w:pPr>
            <w:r w:rsidRPr="00E50B51">
              <w:rPr>
                <w:sz w:val="20"/>
                <w:szCs w:val="20"/>
              </w:rPr>
              <w:t>Im Fall ging es um die Verwertung eines Geständnisses de</w:t>
            </w:r>
            <w:r>
              <w:rPr>
                <w:sz w:val="20"/>
                <w:szCs w:val="20"/>
              </w:rPr>
              <w:t>s</w:t>
            </w:r>
            <w:r w:rsidRPr="00E50B51">
              <w:rPr>
                <w:sz w:val="20"/>
                <w:szCs w:val="20"/>
              </w:rPr>
              <w:t xml:space="preserve"> Angeklagten</w:t>
            </w:r>
            <w:r>
              <w:rPr>
                <w:sz w:val="20"/>
                <w:szCs w:val="20"/>
              </w:rPr>
              <w:t xml:space="preserve">. Dieses hatte er </w:t>
            </w:r>
            <w:r w:rsidRPr="00E50B51">
              <w:rPr>
                <w:sz w:val="20"/>
                <w:szCs w:val="20"/>
              </w:rPr>
              <w:t>gegenüber einem Informanten</w:t>
            </w:r>
            <w:r>
              <w:rPr>
                <w:sz w:val="20"/>
                <w:szCs w:val="20"/>
              </w:rPr>
              <w:t xml:space="preserve"> abgegeben, d</w:t>
            </w:r>
            <w:r w:rsidRPr="00E50B51">
              <w:rPr>
                <w:sz w:val="20"/>
                <w:szCs w:val="20"/>
              </w:rPr>
              <w:t>er unter Zustimmung des Angeklagten Zutritt zu dessen Geschäftsräumen erhalten</w:t>
            </w:r>
            <w:r>
              <w:rPr>
                <w:sz w:val="20"/>
                <w:szCs w:val="20"/>
              </w:rPr>
              <w:t xml:space="preserve"> hatte</w:t>
            </w:r>
            <w:r w:rsidRPr="00E50B51">
              <w:rPr>
                <w:sz w:val="20"/>
                <w:szCs w:val="20"/>
              </w:rPr>
              <w:t xml:space="preserve">. </w:t>
            </w:r>
            <w:r>
              <w:rPr>
                <w:sz w:val="20"/>
                <w:szCs w:val="20"/>
              </w:rPr>
              <w:t>Und e</w:t>
            </w:r>
            <w:r w:rsidRPr="00E50B51">
              <w:rPr>
                <w:sz w:val="20"/>
                <w:szCs w:val="20"/>
              </w:rPr>
              <w:t>in weiterer Ermittler hatte das Geständnis</w:t>
            </w:r>
            <w:r>
              <w:rPr>
                <w:sz w:val="20"/>
                <w:szCs w:val="20"/>
              </w:rPr>
              <w:t xml:space="preserve"> dann</w:t>
            </w:r>
            <w:r w:rsidRPr="00E50B51">
              <w:rPr>
                <w:sz w:val="20"/>
                <w:szCs w:val="20"/>
              </w:rPr>
              <w:t xml:space="preserve"> abgehört. Der </w:t>
            </w:r>
            <w:r>
              <w:rPr>
                <w:sz w:val="20"/>
                <w:szCs w:val="20"/>
              </w:rPr>
              <w:t>U.S. Supreme Court</w:t>
            </w:r>
            <w:r w:rsidRPr="00E50B51">
              <w:rPr>
                <w:sz w:val="20"/>
                <w:szCs w:val="20"/>
              </w:rPr>
              <w:t xml:space="preserve"> urteilte, dass das Geständnis mit Zustimmung erhoben wurde und die Doktrin des unerlaubten Betretens (</w:t>
            </w:r>
            <w:r>
              <w:rPr>
                <w:sz w:val="20"/>
                <w:szCs w:val="20"/>
              </w:rPr>
              <w:t>„</w:t>
            </w:r>
            <w:r w:rsidRPr="00FF4E92">
              <w:rPr>
                <w:sz w:val="20"/>
                <w:szCs w:val="20"/>
              </w:rPr>
              <w:t xml:space="preserve">tort </w:t>
            </w:r>
            <w:proofErr w:type="spellStart"/>
            <w:r w:rsidRPr="00FF4E92">
              <w:rPr>
                <w:sz w:val="20"/>
                <w:szCs w:val="20"/>
              </w:rPr>
              <w:t>doctrine</w:t>
            </w:r>
            <w:proofErr w:type="spellEnd"/>
            <w:r w:rsidRPr="00FF4E92">
              <w:rPr>
                <w:sz w:val="20"/>
                <w:szCs w:val="20"/>
              </w:rPr>
              <w:t xml:space="preserve"> of </w:t>
            </w:r>
            <w:proofErr w:type="spellStart"/>
            <w:r w:rsidRPr="00FF4E92">
              <w:rPr>
                <w:sz w:val="20"/>
                <w:szCs w:val="20"/>
              </w:rPr>
              <w:t>trespass</w:t>
            </w:r>
            <w:proofErr w:type="spellEnd"/>
            <w:r w:rsidRPr="00FF4E92">
              <w:rPr>
                <w:sz w:val="20"/>
                <w:szCs w:val="20"/>
              </w:rPr>
              <w:t xml:space="preserve"> ab initio“</w:t>
            </w:r>
            <w:r w:rsidRPr="00FF4E92">
              <w:rPr>
                <w:rStyle w:val="Funotenzeichen"/>
                <w:sz w:val="20"/>
                <w:szCs w:val="20"/>
              </w:rPr>
              <w:footnoteReference w:id="2216"/>
            </w:r>
            <w:r w:rsidRPr="00FF4E92">
              <w:rPr>
                <w:sz w:val="20"/>
                <w:szCs w:val="20"/>
              </w:rPr>
              <w:t>) für</w:t>
            </w:r>
            <w:r>
              <w:rPr>
                <w:sz w:val="20"/>
                <w:szCs w:val="20"/>
              </w:rPr>
              <w:t xml:space="preserve"> den abhörenden Ermittler </w:t>
            </w:r>
            <w:r w:rsidRPr="00E50B51">
              <w:rPr>
                <w:sz w:val="20"/>
                <w:szCs w:val="20"/>
              </w:rPr>
              <w:t xml:space="preserve">nicht anwendbar sei, vgl.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5B67C1D2">
              <w:rPr>
                <w:rStyle w:val="Funotenzeichen"/>
                <w:rFonts w:eastAsiaTheme="majorEastAsia"/>
                <w:sz w:val="20"/>
                <w:szCs w:val="20"/>
              </w:rPr>
              <w:footnoteReference w:id="2217"/>
            </w:r>
          </w:p>
          <w:p w14:paraId="3F6339F6" w14:textId="77777777" w:rsidR="00074551" w:rsidRPr="00E50B51" w:rsidRDefault="00074551" w:rsidP="00367133">
            <w:pPr>
              <w:jc w:val="both"/>
              <w:rPr>
                <w:sz w:val="20"/>
                <w:szCs w:val="20"/>
              </w:rPr>
            </w:pPr>
          </w:p>
        </w:tc>
        <w:tc>
          <w:tcPr>
            <w:tcW w:w="1822" w:type="pct"/>
          </w:tcPr>
          <w:p w14:paraId="5CB3634A" w14:textId="403D5DAE" w:rsidR="00074551" w:rsidRDefault="00074551" w:rsidP="00367133">
            <w:pPr>
              <w:jc w:val="both"/>
              <w:rPr>
                <w:sz w:val="20"/>
                <w:szCs w:val="20"/>
              </w:rPr>
            </w:pPr>
            <w:r w:rsidRPr="00636CEE">
              <w:rPr>
                <w:sz w:val="20"/>
                <w:szCs w:val="20"/>
              </w:rPr>
              <w:t xml:space="preserve">In </w:t>
            </w:r>
            <w:r w:rsidRPr="5B67C1D2">
              <w:rPr>
                <w:i/>
                <w:iCs/>
                <w:sz w:val="20"/>
                <w:szCs w:val="20"/>
              </w:rPr>
              <w:t>On Lee v. United States</w:t>
            </w:r>
            <w:r w:rsidRPr="00636CEE">
              <w:rPr>
                <w:sz w:val="20"/>
                <w:szCs w:val="20"/>
              </w:rPr>
              <w:t xml:space="preserve"> erklärt der </w:t>
            </w:r>
            <w:r>
              <w:rPr>
                <w:sz w:val="20"/>
                <w:szCs w:val="20"/>
              </w:rPr>
              <w:t>U.S. Supreme Court</w:t>
            </w:r>
            <w:r w:rsidRPr="00636CEE">
              <w:rPr>
                <w:sz w:val="20"/>
                <w:szCs w:val="20"/>
              </w:rPr>
              <w:t xml:space="preserve">, wie die </w:t>
            </w:r>
            <w:proofErr w:type="spellStart"/>
            <w:r w:rsidRPr="5B67C1D2">
              <w:rPr>
                <w:i/>
                <w:iCs/>
                <w:sz w:val="20"/>
                <w:szCs w:val="20"/>
              </w:rPr>
              <w:t>exclusionary</w:t>
            </w:r>
            <w:proofErr w:type="spellEnd"/>
            <w:r w:rsidRPr="5B67C1D2">
              <w:rPr>
                <w:i/>
                <w:iCs/>
                <w:sz w:val="20"/>
                <w:szCs w:val="20"/>
              </w:rPr>
              <w:t xml:space="preserve"> </w:t>
            </w:r>
            <w:proofErr w:type="spellStart"/>
            <w:r w:rsidRPr="5B67C1D2">
              <w:rPr>
                <w:i/>
                <w:iCs/>
                <w:sz w:val="20"/>
                <w:szCs w:val="20"/>
              </w:rPr>
              <w:t>rule</w:t>
            </w:r>
            <w:proofErr w:type="spellEnd"/>
            <w:r w:rsidRPr="00636CEE">
              <w:rPr>
                <w:sz w:val="20"/>
                <w:szCs w:val="20"/>
                <w:vertAlign w:val="superscript"/>
              </w:rPr>
              <w:footnoteReference w:id="2218"/>
            </w:r>
            <w:r w:rsidRPr="00636CEE">
              <w:rPr>
                <w:sz w:val="20"/>
                <w:szCs w:val="20"/>
              </w:rPr>
              <w:t xml:space="preserve"> und </w:t>
            </w:r>
            <w:r>
              <w:rPr>
                <w:sz w:val="20"/>
                <w:szCs w:val="20"/>
              </w:rPr>
              <w:t>das</w:t>
            </w:r>
            <w:r w:rsidRPr="00636CEE">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636CEE">
              <w:rPr>
                <w:sz w:val="20"/>
                <w:szCs w:val="20"/>
              </w:rPr>
              <w:t xml:space="preserve"> zusammenhängen. D.h.: Inwieweit Beweise ausgeschlossen sind, bestimmt sich daran, wie weit der Staat in das Recht, </w:t>
            </w:r>
            <w:r>
              <w:rPr>
                <w:sz w:val="20"/>
                <w:szCs w:val="20"/>
              </w:rPr>
              <w:t>in Ruhe</w:t>
            </w:r>
            <w:r w:rsidRPr="00636CEE">
              <w:rPr>
                <w:sz w:val="20"/>
                <w:szCs w:val="20"/>
              </w:rPr>
              <w:t xml:space="preserve"> gelassen zu werden</w:t>
            </w:r>
            <w:r>
              <w:rPr>
                <w:sz w:val="20"/>
                <w:szCs w:val="20"/>
              </w:rPr>
              <w:t>,</w:t>
            </w:r>
            <w:r w:rsidRPr="00636CEE">
              <w:rPr>
                <w:sz w:val="20"/>
                <w:szCs w:val="20"/>
              </w:rPr>
              <w:t xml:space="preserve"> eingreifen kann; letzteres basiere auf verschiedenen Amendments wie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636CEE">
              <w:rPr>
                <w:sz w:val="20"/>
                <w:szCs w:val="20"/>
              </w:rPr>
              <w:t xml:space="preserve">, wobei sich die Sphären des Rechts, </w:t>
            </w:r>
            <w:r>
              <w:rPr>
                <w:sz w:val="20"/>
                <w:szCs w:val="20"/>
              </w:rPr>
              <w:t>in Ruhe</w:t>
            </w:r>
            <w:r w:rsidRPr="00636CEE">
              <w:rPr>
                <w:sz w:val="20"/>
                <w:szCs w:val="20"/>
              </w:rPr>
              <w:t xml:space="preserve"> gelassen zu werden</w:t>
            </w:r>
            <w:r>
              <w:rPr>
                <w:sz w:val="20"/>
                <w:szCs w:val="20"/>
              </w:rPr>
              <w:t>,</w:t>
            </w:r>
            <w:r w:rsidRPr="00636CEE">
              <w:rPr>
                <w:sz w:val="20"/>
                <w:szCs w:val="20"/>
              </w:rPr>
              <w:t xml:space="preserve"> und die Eingriffstiefe nach den Bedingungen für Glücksstreben bestimmen.</w:t>
            </w:r>
            <w:r>
              <w:rPr>
                <w:sz w:val="20"/>
                <w:szCs w:val="20"/>
              </w:rPr>
              <w:t xml:space="preserve"> Allerdings ist es nur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Pr>
                <w:sz w:val="20"/>
                <w:szCs w:val="20"/>
              </w:rPr>
              <w:t xml:space="preserve"> von </w:t>
            </w:r>
            <w:r w:rsidRPr="00636CEE">
              <w:rPr>
                <w:sz w:val="20"/>
                <w:szCs w:val="20"/>
              </w:rPr>
              <w:t xml:space="preserve">Richter </w:t>
            </w:r>
            <w:r w:rsidRPr="5B67C1D2">
              <w:rPr>
                <w:i/>
                <w:iCs/>
                <w:sz w:val="20"/>
                <w:szCs w:val="20"/>
              </w:rPr>
              <w:t>Douglas</w:t>
            </w:r>
            <w:r>
              <w:rPr>
                <w:sz w:val="20"/>
                <w:szCs w:val="20"/>
              </w:rPr>
              <w:t>, die</w:t>
            </w:r>
            <w:r w:rsidRPr="00636CEE">
              <w:rPr>
                <w:sz w:val="20"/>
                <w:szCs w:val="20"/>
              </w:rPr>
              <w:t xml:space="preserve"> </w:t>
            </w:r>
            <w:r>
              <w:rPr>
                <w:sz w:val="20"/>
                <w:szCs w:val="20"/>
              </w:rPr>
              <w:t>das</w:t>
            </w:r>
            <w:r w:rsidRPr="5B67C1D2">
              <w:rPr>
                <w:i/>
                <w:iCs/>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sidRPr="00636CEE">
              <w:rPr>
                <w:sz w:val="20"/>
                <w:szCs w:val="20"/>
              </w:rPr>
              <w:t xml:space="preserve"> verwendet. So differenziert </w:t>
            </w:r>
            <w:r>
              <w:rPr>
                <w:sz w:val="20"/>
                <w:szCs w:val="20"/>
              </w:rPr>
              <w:t>der Dissens</w:t>
            </w:r>
            <w:r w:rsidRPr="00636CEE">
              <w:rPr>
                <w:sz w:val="20"/>
                <w:szCs w:val="20"/>
              </w:rPr>
              <w:t xml:space="preserve"> das „[</w:t>
            </w:r>
            <w:proofErr w:type="spellStart"/>
            <w:r w:rsidRPr="00636CEE">
              <w:rPr>
                <w:sz w:val="20"/>
                <w:szCs w:val="20"/>
              </w:rPr>
              <w:t>right</w:t>
            </w:r>
            <w:proofErr w:type="spellEnd"/>
            <w:r w:rsidRPr="00636CEE">
              <w:rPr>
                <w:sz w:val="20"/>
                <w:szCs w:val="20"/>
              </w:rPr>
              <w:t xml:space="preserve"> to] </w:t>
            </w:r>
            <w:proofErr w:type="spellStart"/>
            <w:r w:rsidRPr="00636CEE">
              <w:rPr>
                <w:sz w:val="20"/>
                <w:szCs w:val="20"/>
              </w:rPr>
              <w:t>privacy</w:t>
            </w:r>
            <w:proofErr w:type="spellEnd"/>
            <w:r w:rsidRPr="00636CEE">
              <w:rPr>
                <w:sz w:val="20"/>
                <w:szCs w:val="20"/>
              </w:rPr>
              <w:t>“</w:t>
            </w:r>
            <w:r w:rsidRPr="00636CEE">
              <w:rPr>
                <w:sz w:val="20"/>
                <w:szCs w:val="20"/>
                <w:vertAlign w:val="superscript"/>
              </w:rPr>
              <w:footnoteReference w:id="2219"/>
            </w:r>
            <w:r w:rsidRPr="00636CEE">
              <w:rPr>
                <w:sz w:val="20"/>
                <w:szCs w:val="20"/>
              </w:rPr>
              <w:t xml:space="preserve"> weiter aus. Die Leitfrage dabei: Wie sichere die Regierung Bedingungen für Glück („</w:t>
            </w:r>
            <w:proofErr w:type="spellStart"/>
            <w:r w:rsidRPr="00B45592">
              <w:rPr>
                <w:sz w:val="20"/>
                <w:szCs w:val="20"/>
              </w:rPr>
              <w:t>secure</w:t>
            </w:r>
            <w:proofErr w:type="spellEnd"/>
            <w:r w:rsidRPr="00B45592">
              <w:rPr>
                <w:sz w:val="20"/>
                <w:szCs w:val="20"/>
              </w:rPr>
              <w:t xml:space="preserve"> </w:t>
            </w:r>
            <w:proofErr w:type="spellStart"/>
            <w:r w:rsidRPr="00B45592">
              <w:rPr>
                <w:sz w:val="20"/>
                <w:szCs w:val="20"/>
              </w:rPr>
              <w:t>conditions</w:t>
            </w:r>
            <w:proofErr w:type="spellEnd"/>
            <w:r w:rsidRPr="00B45592">
              <w:rPr>
                <w:sz w:val="20"/>
                <w:szCs w:val="20"/>
              </w:rPr>
              <w:t xml:space="preserve"> favorable to the </w:t>
            </w:r>
            <w:proofErr w:type="spellStart"/>
            <w:r w:rsidRPr="00B45592">
              <w:rPr>
                <w:sz w:val="20"/>
                <w:szCs w:val="20"/>
              </w:rPr>
              <w:t>pursuit</w:t>
            </w:r>
            <w:proofErr w:type="spellEnd"/>
            <w:r w:rsidRPr="00B45592">
              <w:rPr>
                <w:sz w:val="20"/>
                <w:szCs w:val="20"/>
              </w:rPr>
              <w:t xml:space="preserve"> of </w:t>
            </w:r>
            <w:proofErr w:type="spellStart"/>
            <w:r w:rsidRPr="00B45592">
              <w:rPr>
                <w:sz w:val="20"/>
                <w:szCs w:val="20"/>
              </w:rPr>
              <w:t>happiness</w:t>
            </w:r>
            <w:proofErr w:type="spellEnd"/>
            <w:r w:rsidRPr="00636CEE">
              <w:rPr>
                <w:sz w:val="20"/>
                <w:szCs w:val="20"/>
              </w:rPr>
              <w:t>“</w:t>
            </w:r>
            <w:r w:rsidRPr="00636CEE">
              <w:rPr>
                <w:sz w:val="20"/>
                <w:szCs w:val="20"/>
                <w:vertAlign w:val="superscript"/>
              </w:rPr>
              <w:footnoteReference w:id="2220"/>
            </w:r>
            <w:r w:rsidRPr="00636CEE">
              <w:rPr>
                <w:sz w:val="20"/>
                <w:szCs w:val="20"/>
              </w:rPr>
              <w:t xml:space="preserve">)? Im zugrunde liegenden Fall entschied der </w:t>
            </w:r>
            <w:r>
              <w:rPr>
                <w:sz w:val="20"/>
                <w:szCs w:val="20"/>
              </w:rPr>
              <w:t>U.S. Supreme Court</w:t>
            </w:r>
            <w:r w:rsidRPr="00636CEE">
              <w:rPr>
                <w:sz w:val="20"/>
                <w:szCs w:val="20"/>
              </w:rPr>
              <w:t xml:space="preserve"> eine Abhörkonstellation. Das Abhören eines Gesprächs stellt keine unangemessene Durchsuchung oder Beschlagnahme dar, soweit der Betroffene Einverständnis zum Zugang zu seinen Räumlichkeiten </w:t>
            </w:r>
            <w:proofErr w:type="gramStart"/>
            <w:r w:rsidRPr="00636CEE">
              <w:rPr>
                <w:sz w:val="20"/>
                <w:szCs w:val="20"/>
              </w:rPr>
              <w:t>erklärt</w:t>
            </w:r>
            <w:proofErr w:type="gramEnd"/>
            <w:r w:rsidRPr="00636CEE">
              <w:rPr>
                <w:sz w:val="20"/>
                <w:szCs w:val="20"/>
              </w:rPr>
              <w:t xml:space="preserve"> hatte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636CEE">
              <w:rPr>
                <w:sz w:val="20"/>
                <w:szCs w:val="20"/>
              </w:rPr>
              <w:t xml:space="preserve"> Das Streben nach Glück bilde dabei den Maßstab, ab wann eine solche staatliche Maßnahme unangemessen sei. Zunächst begründe es das Recht, </w:t>
            </w:r>
            <w:r>
              <w:rPr>
                <w:sz w:val="20"/>
                <w:szCs w:val="20"/>
              </w:rPr>
              <w:t>in Ruhe</w:t>
            </w:r>
            <w:r w:rsidRPr="00636CEE">
              <w:rPr>
                <w:sz w:val="20"/>
                <w:szCs w:val="20"/>
              </w:rPr>
              <w:t xml:space="preserve"> gelassen zu werden. Das binde sich je nach Einzelfall an unterschiedliche Amendments, hier </w:t>
            </w:r>
            <w:r>
              <w:rPr>
                <w:sz w:val="20"/>
                <w:szCs w:val="20"/>
              </w:rPr>
              <w:t>z.B.</w:t>
            </w:r>
            <w:r w:rsidRPr="00636CEE">
              <w:rPr>
                <w:sz w:val="20"/>
                <w:szCs w:val="20"/>
              </w:rPr>
              <w:t xml:space="preserve"> an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636CEE">
              <w:rPr>
                <w:sz w:val="20"/>
                <w:szCs w:val="20"/>
              </w:rPr>
              <w:t xml:space="preserve"> Dabei bilde </w:t>
            </w:r>
            <w:r>
              <w:rPr>
                <w:sz w:val="20"/>
                <w:szCs w:val="20"/>
              </w:rPr>
              <w:t>das</w:t>
            </w:r>
            <w:r w:rsidRPr="00636CEE">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 </w:t>
            </w:r>
            <w:r w:rsidRPr="00636CEE">
              <w:rPr>
                <w:sz w:val="20"/>
                <w:szCs w:val="20"/>
              </w:rPr>
              <w:t>das Ausmaß in Form der Sphären („</w:t>
            </w:r>
            <w:proofErr w:type="spellStart"/>
            <w:r w:rsidRPr="00636CEE">
              <w:rPr>
                <w:sz w:val="20"/>
                <w:szCs w:val="20"/>
              </w:rPr>
              <w:t>zones</w:t>
            </w:r>
            <w:proofErr w:type="spellEnd"/>
            <w:r w:rsidRPr="00636CEE">
              <w:rPr>
                <w:sz w:val="20"/>
                <w:szCs w:val="20"/>
              </w:rPr>
              <w:t xml:space="preserve"> of </w:t>
            </w:r>
            <w:proofErr w:type="spellStart"/>
            <w:r w:rsidRPr="00636CEE">
              <w:rPr>
                <w:sz w:val="20"/>
                <w:szCs w:val="20"/>
              </w:rPr>
              <w:t>privacy</w:t>
            </w:r>
            <w:proofErr w:type="spellEnd"/>
            <w:r w:rsidRPr="00636CEE">
              <w:rPr>
                <w:sz w:val="20"/>
                <w:szCs w:val="20"/>
              </w:rPr>
              <w:t>“</w:t>
            </w:r>
            <w:r w:rsidRPr="00636CEE">
              <w:rPr>
                <w:sz w:val="20"/>
                <w:szCs w:val="20"/>
                <w:vertAlign w:val="superscript"/>
              </w:rPr>
              <w:footnoteReference w:id="2221"/>
            </w:r>
            <w:r w:rsidRPr="00636CEE">
              <w:rPr>
                <w:sz w:val="20"/>
                <w:szCs w:val="20"/>
              </w:rPr>
              <w:t>), wie weit in die jeweiligen Amendments eingegriffen werden kann („</w:t>
            </w:r>
            <w:r w:rsidRPr="00B45592">
              <w:rPr>
                <w:sz w:val="20"/>
                <w:szCs w:val="20"/>
              </w:rPr>
              <w:t xml:space="preserve">the </w:t>
            </w:r>
            <w:proofErr w:type="spellStart"/>
            <w:r w:rsidRPr="00B45592">
              <w:rPr>
                <w:sz w:val="20"/>
                <w:szCs w:val="20"/>
              </w:rPr>
              <w:t>decisive</w:t>
            </w:r>
            <w:proofErr w:type="spellEnd"/>
            <w:r w:rsidRPr="00B45592">
              <w:rPr>
                <w:sz w:val="20"/>
                <w:szCs w:val="20"/>
              </w:rPr>
              <w:t xml:space="preserve"> </w:t>
            </w:r>
            <w:proofErr w:type="spellStart"/>
            <w:r w:rsidRPr="00B45592">
              <w:rPr>
                <w:sz w:val="20"/>
                <w:szCs w:val="20"/>
              </w:rPr>
              <w:t>factor</w:t>
            </w:r>
            <w:proofErr w:type="spellEnd"/>
            <w:r w:rsidRPr="00B45592">
              <w:rPr>
                <w:sz w:val="20"/>
                <w:szCs w:val="20"/>
              </w:rPr>
              <w:t xml:space="preserve"> </w:t>
            </w:r>
            <w:proofErr w:type="spellStart"/>
            <w:r w:rsidRPr="00B45592">
              <w:rPr>
                <w:sz w:val="20"/>
                <w:szCs w:val="20"/>
              </w:rPr>
              <w:t>is</w:t>
            </w:r>
            <w:proofErr w:type="spellEnd"/>
            <w:r w:rsidRPr="00B45592">
              <w:rPr>
                <w:sz w:val="20"/>
                <w:szCs w:val="20"/>
              </w:rPr>
              <w:t xml:space="preserve"> the </w:t>
            </w:r>
            <w:proofErr w:type="spellStart"/>
            <w:r w:rsidRPr="00B45592">
              <w:rPr>
                <w:sz w:val="20"/>
                <w:szCs w:val="20"/>
              </w:rPr>
              <w:t>invasion</w:t>
            </w:r>
            <w:proofErr w:type="spellEnd"/>
            <w:r w:rsidRPr="00B45592">
              <w:rPr>
                <w:sz w:val="20"/>
                <w:szCs w:val="20"/>
              </w:rPr>
              <w:t xml:space="preserve"> of </w:t>
            </w:r>
            <w:proofErr w:type="spellStart"/>
            <w:r w:rsidRPr="00B45592">
              <w:rPr>
                <w:sz w:val="20"/>
                <w:szCs w:val="20"/>
              </w:rPr>
              <w:t>privacy</w:t>
            </w:r>
            <w:proofErr w:type="spellEnd"/>
            <w:r w:rsidRPr="00B45592">
              <w:rPr>
                <w:sz w:val="20"/>
                <w:szCs w:val="20"/>
              </w:rPr>
              <w:t xml:space="preserve"> </w:t>
            </w:r>
            <w:proofErr w:type="spellStart"/>
            <w:r w:rsidRPr="00B45592">
              <w:rPr>
                <w:sz w:val="20"/>
                <w:szCs w:val="20"/>
              </w:rPr>
              <w:t>against</w:t>
            </w:r>
            <w:proofErr w:type="spellEnd"/>
            <w:r w:rsidRPr="00B45592">
              <w:rPr>
                <w:sz w:val="20"/>
                <w:szCs w:val="20"/>
              </w:rPr>
              <w:t xml:space="preserve"> the […] Amendments</w:t>
            </w:r>
            <w:r w:rsidRPr="00636CEE">
              <w:rPr>
                <w:sz w:val="20"/>
                <w:szCs w:val="20"/>
              </w:rPr>
              <w:t>“</w:t>
            </w:r>
            <w:r w:rsidRPr="00636CEE">
              <w:rPr>
                <w:sz w:val="20"/>
                <w:szCs w:val="20"/>
                <w:vertAlign w:val="superscript"/>
              </w:rPr>
              <w:footnoteReference w:id="2222"/>
            </w:r>
            <w:r w:rsidRPr="00636CEE">
              <w:rPr>
                <w:sz w:val="20"/>
                <w:szCs w:val="20"/>
              </w:rPr>
              <w:t>).</w:t>
            </w:r>
          </w:p>
          <w:p w14:paraId="68F4FCB3" w14:textId="77777777" w:rsidR="00074551" w:rsidRPr="00E50B51" w:rsidRDefault="00074551" w:rsidP="00367133">
            <w:pPr>
              <w:jc w:val="both"/>
              <w:rPr>
                <w:sz w:val="20"/>
                <w:szCs w:val="20"/>
              </w:rPr>
            </w:pPr>
          </w:p>
        </w:tc>
      </w:tr>
      <w:tr w:rsidR="00074551" w:rsidRPr="00E50B51" w14:paraId="0704CE7F" w14:textId="77777777" w:rsidTr="00203768">
        <w:trPr>
          <w:cantSplit/>
          <w:trHeight w:val="3175"/>
        </w:trPr>
        <w:tc>
          <w:tcPr>
            <w:tcW w:w="293" w:type="pct"/>
            <w:shd w:val="clear" w:color="auto" w:fill="E7E6E6" w:themeFill="background2"/>
          </w:tcPr>
          <w:p w14:paraId="2A3CE384"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7CF102FC"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450C7B0D" w14:textId="77777777" w:rsidR="00074551" w:rsidRPr="00E50B51" w:rsidRDefault="00074551" w:rsidP="00367133">
            <w:pPr>
              <w:ind w:left="113" w:right="113"/>
              <w:jc w:val="both"/>
              <w:rPr>
                <w:iCs/>
                <w:sz w:val="20"/>
                <w:szCs w:val="20"/>
              </w:rPr>
            </w:pPr>
            <w:r w:rsidRPr="00E50B51">
              <w:rPr>
                <w:iCs/>
                <w:sz w:val="20"/>
                <w:szCs w:val="20"/>
              </w:rPr>
              <w:t xml:space="preserve">Search and </w:t>
            </w:r>
            <w:proofErr w:type="spellStart"/>
            <w:r w:rsidRPr="00E50B51">
              <w:rPr>
                <w:iCs/>
                <w:sz w:val="20"/>
                <w:szCs w:val="20"/>
              </w:rPr>
              <w:t>Seizure</w:t>
            </w:r>
            <w:proofErr w:type="spellEnd"/>
          </w:p>
        </w:tc>
        <w:tc>
          <w:tcPr>
            <w:tcW w:w="306" w:type="pct"/>
            <w:shd w:val="clear" w:color="auto" w:fill="E7E6E6" w:themeFill="background2"/>
            <w:textDirection w:val="tbRl"/>
            <w:vAlign w:val="center"/>
          </w:tcPr>
          <w:p w14:paraId="0AD98528" w14:textId="77777777" w:rsidR="00074551" w:rsidRPr="00E50B51" w:rsidRDefault="00074551" w:rsidP="00367133">
            <w:pPr>
              <w:ind w:left="113" w:right="113"/>
              <w:jc w:val="both"/>
              <w:rPr>
                <w:sz w:val="20"/>
                <w:szCs w:val="20"/>
                <w:lang w:val="en-US"/>
              </w:rPr>
            </w:pPr>
            <w:r w:rsidRPr="00E50B51">
              <w:rPr>
                <w:iCs/>
                <w:sz w:val="20"/>
                <w:szCs w:val="20"/>
              </w:rPr>
              <w:t xml:space="preserve">Probable </w:t>
            </w:r>
            <w:proofErr w:type="spellStart"/>
            <w:r w:rsidRPr="00E50B51">
              <w:rPr>
                <w:iCs/>
                <w:sz w:val="20"/>
                <w:szCs w:val="20"/>
              </w:rPr>
              <w:t>Cause</w:t>
            </w:r>
            <w:proofErr w:type="spellEnd"/>
          </w:p>
        </w:tc>
        <w:tc>
          <w:tcPr>
            <w:tcW w:w="401" w:type="pct"/>
            <w:shd w:val="clear" w:color="auto" w:fill="E7E6E6" w:themeFill="background2"/>
          </w:tcPr>
          <w:p w14:paraId="55D6046E"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0E74D2F2" w14:textId="77777777" w:rsidR="00074551" w:rsidRPr="00E50B51" w:rsidRDefault="00074551" w:rsidP="00367133">
            <w:pPr>
              <w:jc w:val="both"/>
              <w:rPr>
                <w:sz w:val="20"/>
                <w:szCs w:val="20"/>
                <w:lang w:val="en-US"/>
              </w:rPr>
            </w:pPr>
          </w:p>
        </w:tc>
        <w:tc>
          <w:tcPr>
            <w:tcW w:w="1822" w:type="pct"/>
            <w:shd w:val="clear" w:color="auto" w:fill="E7E6E6" w:themeFill="background2"/>
          </w:tcPr>
          <w:p w14:paraId="32CD3F5E" w14:textId="6B45C215"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1D935AF6" w14:textId="77777777" w:rsidTr="00BE689F">
        <w:trPr>
          <w:cantSplit/>
          <w:trHeight w:val="3175"/>
        </w:trPr>
        <w:tc>
          <w:tcPr>
            <w:tcW w:w="293" w:type="pct"/>
          </w:tcPr>
          <w:p w14:paraId="5E728D5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BA52D14" w14:textId="77777777" w:rsidR="00074551" w:rsidRPr="00E50B51" w:rsidRDefault="00074551" w:rsidP="00367133">
            <w:pPr>
              <w:ind w:left="113" w:right="416"/>
              <w:jc w:val="both"/>
              <w:rPr>
                <w:sz w:val="20"/>
                <w:szCs w:val="20"/>
              </w:rPr>
            </w:pPr>
            <w:r w:rsidRPr="00AB01D2">
              <w:rPr>
                <w:i/>
                <w:sz w:val="20"/>
                <w:szCs w:val="20"/>
              </w:rPr>
              <w:t>Mapp v. Ohio</w:t>
            </w:r>
          </w:p>
        </w:tc>
        <w:tc>
          <w:tcPr>
            <w:tcW w:w="197" w:type="pct"/>
            <w:textDirection w:val="tbRl"/>
            <w:vAlign w:val="center"/>
          </w:tcPr>
          <w:p w14:paraId="3ABF3660" w14:textId="77777777" w:rsidR="00074551" w:rsidRPr="00E50B51" w:rsidRDefault="00074551" w:rsidP="00367133">
            <w:pPr>
              <w:ind w:left="113" w:right="113"/>
              <w:jc w:val="both"/>
              <w:rPr>
                <w:iCs/>
                <w:sz w:val="20"/>
                <w:szCs w:val="20"/>
                <w:lang w:val="en-US"/>
              </w:rPr>
            </w:pPr>
            <w:r w:rsidRPr="00E50B51">
              <w:rPr>
                <w:iCs/>
                <w:sz w:val="20"/>
                <w:szCs w:val="20"/>
                <w:lang w:val="en-US"/>
              </w:rPr>
              <w:t>367 U.S. 643</w:t>
            </w:r>
          </w:p>
        </w:tc>
        <w:tc>
          <w:tcPr>
            <w:tcW w:w="306" w:type="pct"/>
            <w:textDirection w:val="tbRl"/>
            <w:vAlign w:val="center"/>
          </w:tcPr>
          <w:p w14:paraId="5495E01C" w14:textId="77777777" w:rsidR="00074551" w:rsidRPr="00E50B51" w:rsidRDefault="00074551" w:rsidP="00367133">
            <w:pPr>
              <w:ind w:left="113" w:right="113"/>
              <w:jc w:val="both"/>
              <w:rPr>
                <w:sz w:val="20"/>
                <w:szCs w:val="20"/>
                <w:lang w:val="en-US"/>
              </w:rPr>
            </w:pPr>
            <w:r w:rsidRPr="00E50B51">
              <w:rPr>
                <w:sz w:val="20"/>
                <w:szCs w:val="20"/>
                <w:lang w:val="en-US"/>
              </w:rPr>
              <w:t>19. Juni 1961</w:t>
            </w:r>
          </w:p>
        </w:tc>
        <w:tc>
          <w:tcPr>
            <w:tcW w:w="401" w:type="pct"/>
          </w:tcPr>
          <w:p w14:paraId="14C366D8" w14:textId="77777777" w:rsidR="00074551" w:rsidRPr="00E50B51" w:rsidRDefault="00074551" w:rsidP="00367133">
            <w:pPr>
              <w:jc w:val="center"/>
              <w:rPr>
                <w:sz w:val="20"/>
                <w:szCs w:val="20"/>
              </w:rPr>
            </w:pPr>
            <w:r w:rsidRPr="00E50B51">
              <w:rPr>
                <w:iCs/>
                <w:sz w:val="20"/>
                <w:szCs w:val="20"/>
                <w:lang w:val="en-US"/>
              </w:rPr>
              <w:t>D</w:t>
            </w:r>
          </w:p>
        </w:tc>
        <w:tc>
          <w:tcPr>
            <w:tcW w:w="1594" w:type="pct"/>
          </w:tcPr>
          <w:p w14:paraId="274D29B0" w14:textId="602C62E9" w:rsidR="00074551" w:rsidRPr="00E50B51" w:rsidRDefault="00074551" w:rsidP="00367133">
            <w:pPr>
              <w:jc w:val="both"/>
              <w:rPr>
                <w:sz w:val="20"/>
                <w:szCs w:val="20"/>
              </w:rPr>
            </w:pPr>
            <w:r w:rsidRPr="00E50B51">
              <w:rPr>
                <w:sz w:val="20"/>
                <w:szCs w:val="20"/>
              </w:rPr>
              <w:t xml:space="preserve">Im Fall erklärte der </w:t>
            </w:r>
            <w:r>
              <w:rPr>
                <w:sz w:val="20"/>
                <w:szCs w:val="20"/>
              </w:rPr>
              <w:t>U.S. Supreme Court</w:t>
            </w:r>
            <w:r w:rsidRPr="00E50B51">
              <w:rPr>
                <w:sz w:val="20"/>
                <w:szCs w:val="20"/>
              </w:rPr>
              <w:t xml:space="preserve"> ein Urteil für verfassungswidrig. Zuvor hatte der </w:t>
            </w:r>
            <w:r w:rsidRPr="5B67C1D2">
              <w:rPr>
                <w:i/>
                <w:iCs/>
                <w:sz w:val="20"/>
                <w:szCs w:val="20"/>
              </w:rPr>
              <w:t>Ohio Common Pleas Court</w:t>
            </w:r>
            <w:r w:rsidRPr="00E50B51">
              <w:rPr>
                <w:sz w:val="20"/>
                <w:szCs w:val="20"/>
              </w:rPr>
              <w:t xml:space="preserve"> </w:t>
            </w:r>
            <w:r>
              <w:rPr>
                <w:sz w:val="20"/>
                <w:szCs w:val="20"/>
              </w:rPr>
              <w:t xml:space="preserve">eine Frau namens </w:t>
            </w:r>
            <w:proofErr w:type="spellStart"/>
            <w:r w:rsidRPr="00E50B51">
              <w:rPr>
                <w:sz w:val="20"/>
                <w:szCs w:val="20"/>
              </w:rPr>
              <w:t>Dollree</w:t>
            </w:r>
            <w:proofErr w:type="spellEnd"/>
            <w:r w:rsidRPr="00E50B51">
              <w:rPr>
                <w:sz w:val="20"/>
                <w:szCs w:val="20"/>
              </w:rPr>
              <w:t xml:space="preserve"> Mapp nach einer rechtswidrigen polizeilichen Durchsuchung ihrer Wohnung verurteilt. Denn sie hatte obszöne Literatur besessen, was gegen den </w:t>
            </w:r>
            <w:r w:rsidRPr="5B67C1D2">
              <w:rPr>
                <w:i/>
                <w:iCs/>
                <w:sz w:val="20"/>
                <w:szCs w:val="20"/>
              </w:rPr>
              <w:t xml:space="preserve">Ohio </w:t>
            </w:r>
            <w:proofErr w:type="spellStart"/>
            <w:r w:rsidRPr="5B67C1D2">
              <w:rPr>
                <w:i/>
                <w:iCs/>
                <w:sz w:val="20"/>
                <w:szCs w:val="20"/>
              </w:rPr>
              <w:t>Revised</w:t>
            </w:r>
            <w:proofErr w:type="spellEnd"/>
            <w:r w:rsidRPr="5B67C1D2">
              <w:rPr>
                <w:i/>
                <w:iCs/>
                <w:sz w:val="20"/>
                <w:szCs w:val="20"/>
              </w:rPr>
              <w:t xml:space="preserve"> Code</w:t>
            </w:r>
            <w:r w:rsidRPr="00E50B51">
              <w:rPr>
                <w:sz w:val="20"/>
                <w:szCs w:val="20"/>
              </w:rPr>
              <w:t xml:space="preserve"> (</w:t>
            </w:r>
            <w:r>
              <w:rPr>
                <w:sz w:val="20"/>
                <w:szCs w:val="20"/>
              </w:rPr>
              <w:t>§ </w:t>
            </w:r>
            <w:r w:rsidRPr="00E50B51">
              <w:rPr>
                <w:sz w:val="20"/>
                <w:szCs w:val="20"/>
              </w:rPr>
              <w:t>2905.34</w:t>
            </w:r>
            <w:r>
              <w:rPr>
                <w:rStyle w:val="Funotenzeichen"/>
                <w:sz w:val="20"/>
                <w:szCs w:val="20"/>
              </w:rPr>
              <w:footnoteReference w:id="2223"/>
            </w:r>
            <w:r>
              <w:rPr>
                <w:sz w:val="20"/>
                <w:szCs w:val="20"/>
              </w:rPr>
              <w:t xml:space="preserve">) </w:t>
            </w:r>
            <w:r w:rsidRPr="00E50B51">
              <w:rPr>
                <w:sz w:val="20"/>
                <w:szCs w:val="20"/>
              </w:rPr>
              <w:t xml:space="preserve">verstieße. Zudem beschlagnahmte die Polizei die obszöne Literatur, obwohl sie aus anderem Grund </w:t>
            </w:r>
            <w:r>
              <w:rPr>
                <w:sz w:val="20"/>
                <w:szCs w:val="20"/>
              </w:rPr>
              <w:t xml:space="preserve">die </w:t>
            </w:r>
            <w:r w:rsidRPr="00E50B51">
              <w:rPr>
                <w:sz w:val="20"/>
                <w:szCs w:val="20"/>
              </w:rPr>
              <w:t xml:space="preserve">Wohnung durchsuchte, nämlich wegen eines Flüchtigen. Der </w:t>
            </w:r>
            <w:r>
              <w:rPr>
                <w:sz w:val="20"/>
                <w:szCs w:val="20"/>
              </w:rPr>
              <w:t>U.S. Supreme Court</w:t>
            </w:r>
            <w:r w:rsidRPr="00E50B51">
              <w:rPr>
                <w:sz w:val="20"/>
                <w:szCs w:val="20"/>
              </w:rPr>
              <w:t xml:space="preserve"> hob das Urteil auf und verwarf damit die bisherige Rechtsprechung nach </w:t>
            </w:r>
            <w:r w:rsidRPr="5B67C1D2">
              <w:rPr>
                <w:i/>
                <w:iCs/>
                <w:sz w:val="20"/>
                <w:szCs w:val="20"/>
              </w:rPr>
              <w:t>Wolf v. Colorado</w:t>
            </w:r>
            <w:r w:rsidRPr="00E50B51">
              <w:rPr>
                <w:sz w:val="20"/>
                <w:szCs w:val="20"/>
              </w:rPr>
              <w:t>.</w:t>
            </w:r>
            <w:r w:rsidRPr="5B67C1D2">
              <w:rPr>
                <w:rStyle w:val="Funotenzeichen"/>
                <w:rFonts w:eastAsiaTheme="majorEastAsia"/>
                <w:sz w:val="20"/>
                <w:szCs w:val="20"/>
              </w:rPr>
              <w:footnoteReference w:id="2224"/>
            </w:r>
            <w:r w:rsidRPr="00E50B51">
              <w:rPr>
                <w:sz w:val="20"/>
                <w:szCs w:val="20"/>
              </w:rPr>
              <w:t xml:space="preserve"> Ein Grund war, dass die Durchsuchung ohne hinreichenden Tatverdacht (</w:t>
            </w:r>
            <w:r w:rsidRPr="5B67C1D2">
              <w:rPr>
                <w:i/>
                <w:iCs/>
                <w:sz w:val="20"/>
                <w:szCs w:val="20"/>
              </w:rPr>
              <w:t xml:space="preserve">probable </w:t>
            </w:r>
            <w:proofErr w:type="spellStart"/>
            <w:r w:rsidRPr="5B67C1D2">
              <w:rPr>
                <w:i/>
                <w:iCs/>
                <w:sz w:val="20"/>
                <w:szCs w:val="20"/>
              </w:rPr>
              <w:t>cause</w:t>
            </w:r>
            <w:proofErr w:type="spellEnd"/>
            <w:r w:rsidRPr="5B67C1D2">
              <w:rPr>
                <w:i/>
                <w:iCs/>
                <w:sz w:val="20"/>
                <w:szCs w:val="20"/>
              </w:rPr>
              <w:t xml:space="preserve"> </w:t>
            </w:r>
            <w:r w:rsidRPr="00B45592">
              <w:rPr>
                <w:sz w:val="20"/>
                <w:szCs w:val="20"/>
              </w:rPr>
              <w:t xml:space="preserve">gem.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E50B51">
              <w:rPr>
                <w:sz w:val="20"/>
                <w:szCs w:val="20"/>
              </w:rPr>
              <w:t>) stattfand, d.h. er meinte, die Durchsuchung sei unangemessen gewesen („</w:t>
            </w:r>
            <w:proofErr w:type="spellStart"/>
            <w:r w:rsidRPr="00E50B51">
              <w:rPr>
                <w:sz w:val="20"/>
                <w:szCs w:val="20"/>
              </w:rPr>
              <w:t>reasonableness</w:t>
            </w:r>
            <w:proofErr w:type="spellEnd"/>
            <w:r w:rsidRPr="00E50B51">
              <w:rPr>
                <w:sz w:val="20"/>
                <w:szCs w:val="20"/>
              </w:rPr>
              <w:t xml:space="preserve"> of </w:t>
            </w:r>
            <w:proofErr w:type="spellStart"/>
            <w:r w:rsidRPr="00E50B51">
              <w:rPr>
                <w:sz w:val="20"/>
                <w:szCs w:val="20"/>
              </w:rPr>
              <w:t>searches</w:t>
            </w:r>
            <w:proofErr w:type="spellEnd"/>
            <w:r w:rsidRPr="00E50B51">
              <w:rPr>
                <w:sz w:val="20"/>
                <w:szCs w:val="20"/>
              </w:rPr>
              <w:t>“</w:t>
            </w:r>
            <w:r>
              <w:rPr>
                <w:rStyle w:val="Funotenzeichen"/>
                <w:sz w:val="20"/>
                <w:szCs w:val="20"/>
              </w:rPr>
              <w:footnoteReference w:id="2225"/>
            </w:r>
            <w:r w:rsidRPr="00E50B51">
              <w:rPr>
                <w:sz w:val="20"/>
                <w:szCs w:val="20"/>
              </w:rPr>
              <w:t>).</w:t>
            </w:r>
          </w:p>
          <w:p w14:paraId="564507C6" w14:textId="77777777" w:rsidR="00074551" w:rsidRPr="00E50B51" w:rsidRDefault="00074551" w:rsidP="00367133">
            <w:pPr>
              <w:jc w:val="both"/>
              <w:rPr>
                <w:sz w:val="20"/>
                <w:szCs w:val="20"/>
              </w:rPr>
            </w:pPr>
          </w:p>
        </w:tc>
        <w:tc>
          <w:tcPr>
            <w:tcW w:w="1822" w:type="pct"/>
          </w:tcPr>
          <w:p w14:paraId="314811AB" w14:textId="77777777" w:rsidR="00074551" w:rsidRPr="00E1518A" w:rsidRDefault="00074551" w:rsidP="00367133">
            <w:pPr>
              <w:jc w:val="both"/>
              <w:rPr>
                <w:sz w:val="20"/>
                <w:szCs w:val="20"/>
              </w:rPr>
            </w:pPr>
            <w:r w:rsidRPr="00E1518A">
              <w:rPr>
                <w:sz w:val="20"/>
                <w:szCs w:val="20"/>
              </w:rPr>
              <w:t xml:space="preserve">Im Dissens in </w:t>
            </w:r>
            <w:r w:rsidRPr="00AB01D2">
              <w:rPr>
                <w:i/>
                <w:sz w:val="20"/>
                <w:szCs w:val="20"/>
              </w:rPr>
              <w:t>Mapp v. Ohio</w:t>
            </w:r>
            <w:r w:rsidRPr="00E1518A">
              <w:rPr>
                <w:sz w:val="20"/>
                <w:szCs w:val="20"/>
              </w:rPr>
              <w:t xml:space="preserve"> zeigt der </w:t>
            </w:r>
            <w:r>
              <w:rPr>
                <w:sz w:val="20"/>
                <w:szCs w:val="20"/>
              </w:rPr>
              <w:t>U.S. Supreme Court</w:t>
            </w:r>
            <w:r w:rsidRPr="00E1518A">
              <w:rPr>
                <w:sz w:val="20"/>
                <w:szCs w:val="20"/>
              </w:rPr>
              <w:t>, wann ein Gesetz anhand des Rechts auf ein Streben nach Glück verfassungswidrig sein könn</w:t>
            </w:r>
            <w:r>
              <w:rPr>
                <w:sz w:val="20"/>
                <w:szCs w:val="20"/>
              </w:rPr>
              <w:t>t</w:t>
            </w:r>
            <w:r w:rsidRPr="00E1518A">
              <w:rPr>
                <w:sz w:val="20"/>
                <w:szCs w:val="20"/>
              </w:rPr>
              <w:t>e.</w:t>
            </w:r>
          </w:p>
          <w:p w14:paraId="34DAA5B0" w14:textId="77777777" w:rsidR="00074551" w:rsidRPr="00E1518A" w:rsidRDefault="00074551" w:rsidP="00367133">
            <w:pPr>
              <w:jc w:val="both"/>
              <w:rPr>
                <w:sz w:val="20"/>
                <w:szCs w:val="20"/>
              </w:rPr>
            </w:pPr>
            <w:r w:rsidRPr="00E1518A">
              <w:rPr>
                <w:sz w:val="20"/>
                <w:szCs w:val="20"/>
              </w:rPr>
              <w:t xml:space="preserve">Menschen dürfen nicht in ihrem Recht verletzt werden, ihre vertraulichen Dokumente, ihr Eigentum und ihren Besitz vor unangemessenen Durchsuchungen und Beschlagnahmungen zu schützen. Nur bei hinreichendem Tatverdacht („probable </w:t>
            </w:r>
            <w:proofErr w:type="spellStart"/>
            <w:r w:rsidRPr="00E1518A">
              <w:rPr>
                <w:sz w:val="20"/>
                <w:szCs w:val="20"/>
              </w:rPr>
              <w:t>cause</w:t>
            </w:r>
            <w:proofErr w:type="spellEnd"/>
            <w:r w:rsidRPr="00E1518A">
              <w:rPr>
                <w:sz w:val="20"/>
                <w:szCs w:val="20"/>
              </w:rPr>
              <w:t>“</w:t>
            </w:r>
            <w:r w:rsidRPr="00E1518A">
              <w:rPr>
                <w:sz w:val="20"/>
                <w:szCs w:val="20"/>
                <w:vertAlign w:val="superscript"/>
              </w:rPr>
              <w:footnoteReference w:id="2226"/>
            </w:r>
            <w:r w:rsidRPr="00E1518A">
              <w:rPr>
                <w:sz w:val="20"/>
                <w:szCs w:val="20"/>
              </w:rPr>
              <w:t xml:space="preserve">) und auf Grundlage eines Eides oder einer eidesstattlichen Erklärung dürfen Durchsuchungsbefehle ausgestellt werden. Dabei muss der Ort oder die Person, der </w:t>
            </w:r>
            <w:r>
              <w:rPr>
                <w:sz w:val="20"/>
                <w:szCs w:val="20"/>
              </w:rPr>
              <w:t xml:space="preserve">oder die </w:t>
            </w:r>
            <w:r w:rsidRPr="00E1518A">
              <w:rPr>
                <w:sz w:val="20"/>
                <w:szCs w:val="20"/>
              </w:rPr>
              <w:t xml:space="preserve">durchsucht werden soll, </w:t>
            </w:r>
            <w:r>
              <w:rPr>
                <w:sz w:val="20"/>
                <w:szCs w:val="20"/>
              </w:rPr>
              <w:t>bzw.</w:t>
            </w:r>
            <w:r w:rsidRPr="00E1518A">
              <w:rPr>
                <w:sz w:val="20"/>
                <w:szCs w:val="20"/>
              </w:rPr>
              <w:t xml:space="preserve"> die Dinge, die beschlagnahmt werden sollen, genau beschri</w:t>
            </w:r>
            <w:r>
              <w:rPr>
                <w:sz w:val="20"/>
                <w:szCs w:val="20"/>
              </w:rPr>
              <w:t>e</w:t>
            </w:r>
            <w:r w:rsidRPr="00E1518A">
              <w:rPr>
                <w:sz w:val="20"/>
                <w:szCs w:val="20"/>
              </w:rPr>
              <w:t>ben werden.</w:t>
            </w:r>
            <w:r w:rsidRPr="00E1518A">
              <w:rPr>
                <w:sz w:val="20"/>
                <w:szCs w:val="20"/>
                <w:vertAlign w:val="superscript"/>
              </w:rPr>
              <w:footnoteReference w:id="2227"/>
            </w:r>
          </w:p>
          <w:p w14:paraId="43131F3D" w14:textId="737E5616" w:rsidR="00074551" w:rsidRDefault="00074551" w:rsidP="00367133">
            <w:pPr>
              <w:jc w:val="both"/>
              <w:rPr>
                <w:sz w:val="20"/>
                <w:szCs w:val="20"/>
              </w:rPr>
            </w:pPr>
            <w:r w:rsidRPr="00E1518A">
              <w:rPr>
                <w:sz w:val="20"/>
                <w:szCs w:val="20"/>
              </w:rPr>
              <w:t xml:space="preserve">Richter </w:t>
            </w:r>
            <w:r w:rsidRPr="5B67C1D2">
              <w:rPr>
                <w:i/>
                <w:iCs/>
                <w:sz w:val="20"/>
                <w:szCs w:val="20"/>
              </w:rPr>
              <w:t>Harlan</w:t>
            </w:r>
            <w:r w:rsidRPr="00E1518A">
              <w:rPr>
                <w:sz w:val="20"/>
                <w:szCs w:val="20"/>
              </w:rPr>
              <w:t xml:space="preserve">, mit Zustimmung der Richter </w:t>
            </w:r>
            <w:r w:rsidRPr="5B67C1D2">
              <w:rPr>
                <w:i/>
                <w:iCs/>
                <w:sz w:val="20"/>
                <w:szCs w:val="20"/>
              </w:rPr>
              <w:t>Frankfurter</w:t>
            </w:r>
            <w:r w:rsidRPr="00E1518A">
              <w:rPr>
                <w:sz w:val="20"/>
                <w:szCs w:val="20"/>
              </w:rPr>
              <w:t xml:space="preserve"> und </w:t>
            </w:r>
            <w:r w:rsidRPr="5B67C1D2">
              <w:rPr>
                <w:i/>
                <w:iCs/>
                <w:sz w:val="20"/>
                <w:szCs w:val="20"/>
              </w:rPr>
              <w:t>Whittaker</w:t>
            </w:r>
            <w:r w:rsidRPr="00E1518A">
              <w:rPr>
                <w:sz w:val="20"/>
                <w:szCs w:val="20"/>
              </w:rPr>
              <w:t xml:space="preserve">, widersprach zwar der Urteilsbegründung. Er begründete dies </w:t>
            </w:r>
            <w:r>
              <w:rPr>
                <w:sz w:val="20"/>
                <w:szCs w:val="20"/>
              </w:rPr>
              <w:t>u.a.</w:t>
            </w:r>
            <w:r w:rsidRPr="00E1518A">
              <w:rPr>
                <w:sz w:val="20"/>
                <w:szCs w:val="20"/>
              </w:rPr>
              <w:t xml:space="preserve"> damit, dass hier nicht </w:t>
            </w:r>
            <w:r w:rsidRPr="5B67C1D2">
              <w:rPr>
                <w:i/>
                <w:iCs/>
                <w:sz w:val="20"/>
                <w:szCs w:val="20"/>
              </w:rPr>
              <w:t>Wolf v. Colorado</w:t>
            </w:r>
            <w:r w:rsidRPr="00E1518A">
              <w:rPr>
                <w:sz w:val="20"/>
                <w:szCs w:val="20"/>
                <w:vertAlign w:val="superscript"/>
              </w:rPr>
              <w:footnoteReference w:id="2228"/>
            </w:r>
            <w:r w:rsidRPr="00E1518A">
              <w:rPr>
                <w:sz w:val="20"/>
                <w:szCs w:val="20"/>
              </w:rPr>
              <w:t xml:space="preserve"> erneut zu prüfen gewesen wäre. Denn es gehe in erster Linie um eine andere Frage, nämlich: Ob </w:t>
            </w:r>
            <w:r>
              <w:rPr>
                <w:sz w:val="20"/>
                <w:szCs w:val="20"/>
              </w:rPr>
              <w:t>§ </w:t>
            </w:r>
            <w:r w:rsidRPr="00E1518A">
              <w:rPr>
                <w:sz w:val="20"/>
                <w:szCs w:val="20"/>
              </w:rPr>
              <w:t xml:space="preserve">2905.34 des </w:t>
            </w:r>
            <w:r w:rsidRPr="5B67C1D2">
              <w:rPr>
                <w:i/>
                <w:iCs/>
                <w:sz w:val="20"/>
                <w:szCs w:val="20"/>
              </w:rPr>
              <w:t xml:space="preserve">Ohio </w:t>
            </w:r>
            <w:proofErr w:type="spellStart"/>
            <w:r w:rsidRPr="5B67C1D2">
              <w:rPr>
                <w:i/>
                <w:iCs/>
                <w:sz w:val="20"/>
                <w:szCs w:val="20"/>
              </w:rPr>
              <w:t>Revised</w:t>
            </w:r>
            <w:proofErr w:type="spellEnd"/>
            <w:r w:rsidRPr="5B67C1D2">
              <w:rPr>
                <w:i/>
                <w:iCs/>
                <w:sz w:val="20"/>
                <w:szCs w:val="20"/>
              </w:rPr>
              <w:t xml:space="preserve"> Code</w:t>
            </w:r>
            <w:r w:rsidRPr="00E1518A">
              <w:rPr>
                <w:sz w:val="20"/>
                <w:szCs w:val="20"/>
              </w:rPr>
              <w:t xml:space="preserve"> verfassungsgemäß sei, der den bloßen wissentlichen Besitz oder die Kontrolle von obszönem Material unter Strafe stelle und aufgrund dessen d</w:t>
            </w:r>
            <w:r>
              <w:rPr>
                <w:sz w:val="20"/>
                <w:szCs w:val="20"/>
              </w:rPr>
              <w:t>ie</w:t>
            </w:r>
            <w:r w:rsidRPr="00E1518A">
              <w:rPr>
                <w:sz w:val="20"/>
                <w:szCs w:val="20"/>
              </w:rPr>
              <w:t xml:space="preserve"> Rechtsmittelführer</w:t>
            </w:r>
            <w:r>
              <w:rPr>
                <w:sz w:val="20"/>
                <w:szCs w:val="20"/>
              </w:rPr>
              <w:t>in</w:t>
            </w:r>
            <w:r w:rsidRPr="00E1518A">
              <w:rPr>
                <w:sz w:val="20"/>
                <w:szCs w:val="20"/>
              </w:rPr>
              <w:t xml:space="preserve"> durchsucht und verurteilt </w:t>
            </w:r>
            <w:r>
              <w:rPr>
                <w:sz w:val="20"/>
                <w:szCs w:val="20"/>
              </w:rPr>
              <w:t>worden war</w:t>
            </w:r>
            <w:r w:rsidRPr="00E1518A">
              <w:rPr>
                <w:sz w:val="20"/>
                <w:szCs w:val="20"/>
              </w:rPr>
              <w:t xml:space="preserve">. Verfassungsgemäß sei der hinreichende Tatverdacht für eine Durchsuchung und Beschlagnahme, wenn er mit der Gewissens- und Meinungsfreiheit vereinbar sei, welche das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E1518A">
              <w:rPr>
                <w:sz w:val="20"/>
                <w:szCs w:val="20"/>
              </w:rPr>
              <w:t xml:space="preserve"> schütze; den Begründungsstrang dazu zitierten später auch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opinions</w:t>
            </w:r>
            <w:proofErr w:type="spellEnd"/>
            <w:r w:rsidRPr="00E1518A">
              <w:rPr>
                <w:sz w:val="20"/>
                <w:szCs w:val="20"/>
              </w:rPr>
              <w:t>.</w:t>
            </w:r>
            <w:r w:rsidRPr="00E1518A">
              <w:rPr>
                <w:sz w:val="20"/>
                <w:szCs w:val="20"/>
                <w:vertAlign w:val="superscript"/>
              </w:rPr>
              <w:footnoteReference w:id="2229"/>
            </w:r>
            <w:r w:rsidRPr="00E1518A">
              <w:rPr>
                <w:sz w:val="20"/>
                <w:szCs w:val="20"/>
              </w:rPr>
              <w:t xml:space="preserve"> In der Begründung erweiterte Richter </w:t>
            </w:r>
            <w:r w:rsidRPr="5B67C1D2">
              <w:rPr>
                <w:i/>
                <w:iCs/>
                <w:sz w:val="20"/>
                <w:szCs w:val="20"/>
              </w:rPr>
              <w:t>Harlan</w:t>
            </w:r>
            <w:r w:rsidRPr="00E1518A">
              <w:rPr>
                <w:sz w:val="20"/>
                <w:szCs w:val="20"/>
              </w:rPr>
              <w:t xml:space="preserve"> den Maßstab, wann eine Durchsuchung angemessen sei. Diesen Maßstab belegte er mit der Begründung de</w:t>
            </w:r>
            <w:r>
              <w:rPr>
                <w:sz w:val="20"/>
                <w:szCs w:val="20"/>
              </w:rPr>
              <w:t>r</w:t>
            </w:r>
            <w:r w:rsidRPr="00E1518A">
              <w:rPr>
                <w:sz w:val="20"/>
                <w:szCs w:val="20"/>
              </w:rPr>
              <w:t xml:space="preserve"> Rechtsmittelführer</w:t>
            </w:r>
            <w:r>
              <w:rPr>
                <w:sz w:val="20"/>
                <w:szCs w:val="20"/>
              </w:rPr>
              <w:t>in, in der</w:t>
            </w:r>
            <w:r w:rsidRPr="00E1518A">
              <w:rPr>
                <w:sz w:val="20"/>
                <w:szCs w:val="20"/>
              </w:rPr>
              <w:t xml:space="preserve"> sich </w:t>
            </w:r>
            <w:r>
              <w:rPr>
                <w:sz w:val="20"/>
                <w:szCs w:val="20"/>
              </w:rPr>
              <w:t>das</w:t>
            </w:r>
            <w:r w:rsidRPr="00E1518A">
              <w:rPr>
                <w:sz w:val="20"/>
                <w:szCs w:val="20"/>
              </w:rPr>
              <w:t xml:space="preserve"> </w:t>
            </w:r>
            <w:proofErr w:type="spellStart"/>
            <w:r w:rsidRPr="5B67C1D2">
              <w:rPr>
                <w:i/>
                <w:iCs/>
                <w:sz w:val="20"/>
                <w:szCs w:val="20"/>
              </w:rPr>
              <w:t>pursuit</w:t>
            </w:r>
            <w:proofErr w:type="spellEnd"/>
            <w:r w:rsidRPr="5B67C1D2">
              <w:rPr>
                <w:i/>
                <w:iCs/>
                <w:sz w:val="20"/>
                <w:szCs w:val="20"/>
              </w:rPr>
              <w:t xml:space="preserve"> of Happiness</w:t>
            </w:r>
            <w:r>
              <w:rPr>
                <w:sz w:val="20"/>
                <w:szCs w:val="20"/>
              </w:rPr>
              <w:t xml:space="preserve"> </w:t>
            </w:r>
            <w:r w:rsidRPr="00E1518A">
              <w:rPr>
                <w:sz w:val="20"/>
                <w:szCs w:val="20"/>
              </w:rPr>
              <w:t xml:space="preserve">fand. </w:t>
            </w:r>
            <w:r w:rsidRPr="5B67C1D2">
              <w:rPr>
                <w:i/>
                <w:iCs/>
                <w:sz w:val="20"/>
                <w:szCs w:val="20"/>
              </w:rPr>
              <w:t>Harlan</w:t>
            </w:r>
            <w:r w:rsidRPr="00E1518A">
              <w:rPr>
                <w:sz w:val="20"/>
                <w:szCs w:val="20"/>
              </w:rPr>
              <w:t xml:space="preserve"> machte sich diese Erklärung zu eigen und schrieb, dass der </w:t>
            </w:r>
            <w:r w:rsidRPr="5B67C1D2">
              <w:rPr>
                <w:i/>
                <w:iCs/>
                <w:sz w:val="20"/>
                <w:szCs w:val="20"/>
              </w:rPr>
              <w:t xml:space="preserve">Ohio </w:t>
            </w:r>
            <w:proofErr w:type="spellStart"/>
            <w:r w:rsidRPr="5B67C1D2">
              <w:rPr>
                <w:i/>
                <w:iCs/>
                <w:sz w:val="20"/>
                <w:szCs w:val="20"/>
              </w:rPr>
              <w:t>Revised</w:t>
            </w:r>
            <w:proofErr w:type="spellEnd"/>
            <w:r w:rsidRPr="5B67C1D2">
              <w:rPr>
                <w:i/>
                <w:iCs/>
                <w:sz w:val="20"/>
                <w:szCs w:val="20"/>
              </w:rPr>
              <w:t xml:space="preserve"> Code</w:t>
            </w:r>
            <w:r w:rsidRPr="00E1518A">
              <w:rPr>
                <w:sz w:val="20"/>
                <w:szCs w:val="20"/>
              </w:rPr>
              <w:t xml:space="preserve"> ein Verhalten (</w:t>
            </w:r>
            <w:r>
              <w:rPr>
                <w:sz w:val="20"/>
                <w:szCs w:val="20"/>
              </w:rPr>
              <w:t>z.B.</w:t>
            </w:r>
            <w:r w:rsidRPr="00E1518A">
              <w:rPr>
                <w:sz w:val="20"/>
                <w:szCs w:val="20"/>
              </w:rPr>
              <w:t xml:space="preserve"> Genre</w:t>
            </w:r>
            <w:r>
              <w:rPr>
                <w:sz w:val="20"/>
                <w:szCs w:val="20"/>
              </w:rPr>
              <w:t>s</w:t>
            </w:r>
            <w:r w:rsidRPr="00E1518A">
              <w:rPr>
                <w:sz w:val="20"/>
                <w:szCs w:val="20"/>
              </w:rPr>
              <w:t xml:space="preserve"> von Büchern in Privatbibliothek</w:t>
            </w:r>
            <w:r>
              <w:rPr>
                <w:sz w:val="20"/>
                <w:szCs w:val="20"/>
              </w:rPr>
              <w:t>en</w:t>
            </w:r>
            <w:r w:rsidRPr="00E1518A">
              <w:rPr>
                <w:sz w:val="20"/>
                <w:szCs w:val="20"/>
              </w:rPr>
              <w:t xml:space="preserve">) unter Strafe stelle, </w:t>
            </w:r>
            <w:r>
              <w:rPr>
                <w:sz w:val="20"/>
                <w:szCs w:val="20"/>
              </w:rPr>
              <w:t>welches</w:t>
            </w:r>
            <w:r w:rsidRPr="00E1518A">
              <w:rPr>
                <w:sz w:val="20"/>
                <w:szCs w:val="20"/>
              </w:rPr>
              <w:t xml:space="preserve"> unter die Gewissens- und Meinungsfreiheit falle. </w:t>
            </w:r>
            <w:proofErr w:type="spellStart"/>
            <w:r w:rsidRPr="00E1518A">
              <w:rPr>
                <w:sz w:val="20"/>
                <w:szCs w:val="20"/>
                <w:lang w:val="en-US"/>
              </w:rPr>
              <w:t>Diese</w:t>
            </w:r>
            <w:proofErr w:type="spellEnd"/>
            <w:r w:rsidRPr="00E1518A">
              <w:rPr>
                <w:sz w:val="20"/>
                <w:szCs w:val="20"/>
                <w:lang w:val="en-US"/>
              </w:rPr>
              <w:t xml:space="preserve"> </w:t>
            </w:r>
            <w:proofErr w:type="spellStart"/>
            <w:r w:rsidRPr="00E1518A">
              <w:rPr>
                <w:sz w:val="20"/>
                <w:szCs w:val="20"/>
                <w:lang w:val="en-US"/>
              </w:rPr>
              <w:t>Bestrafung</w:t>
            </w:r>
            <w:proofErr w:type="spellEnd"/>
            <w:r w:rsidRPr="00E1518A">
              <w:rPr>
                <w:sz w:val="20"/>
                <w:szCs w:val="20"/>
                <w:lang w:val="en-US"/>
              </w:rPr>
              <w:t xml:space="preserve"> </w:t>
            </w:r>
            <w:proofErr w:type="spellStart"/>
            <w:r w:rsidRPr="00E1518A">
              <w:rPr>
                <w:sz w:val="20"/>
                <w:szCs w:val="20"/>
                <w:lang w:val="en-US"/>
              </w:rPr>
              <w:t>nehme</w:t>
            </w:r>
            <w:proofErr w:type="spellEnd"/>
            <w:r w:rsidRPr="00E1518A">
              <w:rPr>
                <w:sz w:val="20"/>
                <w:szCs w:val="20"/>
                <w:lang w:val="en-US"/>
              </w:rPr>
              <w:t xml:space="preserve"> nicht </w:t>
            </w:r>
            <w:proofErr w:type="spellStart"/>
            <w:r w:rsidRPr="00E1518A">
              <w:rPr>
                <w:sz w:val="20"/>
                <w:szCs w:val="20"/>
                <w:lang w:val="en-US"/>
              </w:rPr>
              <w:t>nur</w:t>
            </w:r>
            <w:proofErr w:type="spellEnd"/>
            <w:r w:rsidRPr="00E1518A">
              <w:rPr>
                <w:sz w:val="20"/>
                <w:szCs w:val="20"/>
                <w:lang w:val="en-US"/>
              </w:rPr>
              <w:t xml:space="preserve"> die </w:t>
            </w:r>
            <w:proofErr w:type="spellStart"/>
            <w:r w:rsidRPr="00E1518A">
              <w:rPr>
                <w:sz w:val="20"/>
                <w:szCs w:val="20"/>
                <w:lang w:val="en-US"/>
              </w:rPr>
              <w:t>Gewissens</w:t>
            </w:r>
            <w:proofErr w:type="spellEnd"/>
            <w:r w:rsidRPr="00E1518A">
              <w:rPr>
                <w:sz w:val="20"/>
                <w:szCs w:val="20"/>
                <w:lang w:val="en-US"/>
              </w:rPr>
              <w:t xml:space="preserve">- und </w:t>
            </w:r>
            <w:proofErr w:type="spellStart"/>
            <w:r w:rsidRPr="00E1518A">
              <w:rPr>
                <w:sz w:val="20"/>
                <w:szCs w:val="20"/>
                <w:lang w:val="en-US"/>
              </w:rPr>
              <w:t>Meinungsfreiheit</w:t>
            </w:r>
            <w:proofErr w:type="spellEnd"/>
            <w:r w:rsidRPr="00E1518A">
              <w:rPr>
                <w:sz w:val="20"/>
                <w:szCs w:val="20"/>
                <w:lang w:val="en-US"/>
              </w:rPr>
              <w:t xml:space="preserve">, </w:t>
            </w:r>
            <w:proofErr w:type="spellStart"/>
            <w:r w:rsidRPr="00E1518A">
              <w:rPr>
                <w:sz w:val="20"/>
                <w:szCs w:val="20"/>
                <w:lang w:val="en-US"/>
              </w:rPr>
              <w:t>sondern</w:t>
            </w:r>
            <w:proofErr w:type="spellEnd"/>
            <w:r w:rsidRPr="00E1518A">
              <w:rPr>
                <w:sz w:val="20"/>
                <w:szCs w:val="20"/>
                <w:lang w:val="en-US"/>
              </w:rPr>
              <w:t xml:space="preserve"> </w:t>
            </w:r>
            <w:proofErr w:type="spellStart"/>
            <w:r w:rsidRPr="00E1518A">
              <w:rPr>
                <w:sz w:val="20"/>
                <w:szCs w:val="20"/>
                <w:lang w:val="en-US"/>
              </w:rPr>
              <w:t>auch</w:t>
            </w:r>
            <w:proofErr w:type="spellEnd"/>
            <w:r w:rsidRPr="00E1518A">
              <w:rPr>
                <w:sz w:val="20"/>
                <w:szCs w:val="20"/>
                <w:lang w:val="en-US"/>
              </w:rPr>
              <w:t xml:space="preserve"> das </w:t>
            </w:r>
            <w:proofErr w:type="spellStart"/>
            <w:r w:rsidRPr="00E1518A">
              <w:rPr>
                <w:sz w:val="20"/>
                <w:szCs w:val="20"/>
                <w:lang w:val="en-US"/>
              </w:rPr>
              <w:t>dahinter</w:t>
            </w:r>
            <w:proofErr w:type="spellEnd"/>
            <w:r w:rsidRPr="00E1518A">
              <w:rPr>
                <w:sz w:val="20"/>
                <w:szCs w:val="20"/>
                <w:lang w:val="en-US"/>
              </w:rPr>
              <w:t xml:space="preserve"> </w:t>
            </w:r>
            <w:proofErr w:type="spellStart"/>
            <w:r w:rsidRPr="00E1518A">
              <w:rPr>
                <w:sz w:val="20"/>
                <w:szCs w:val="20"/>
                <w:lang w:val="en-US"/>
              </w:rPr>
              <w:t>stehende</w:t>
            </w:r>
            <w:proofErr w:type="spellEnd"/>
            <w:r w:rsidRPr="00E1518A">
              <w:rPr>
                <w:sz w:val="20"/>
                <w:szCs w:val="20"/>
                <w:lang w:val="en-US"/>
              </w:rPr>
              <w:t xml:space="preserve"> Recht, </w:t>
            </w:r>
            <w:proofErr w:type="spellStart"/>
            <w:r w:rsidRPr="00E1518A">
              <w:rPr>
                <w:sz w:val="20"/>
                <w:szCs w:val="20"/>
                <w:lang w:val="en-US"/>
              </w:rPr>
              <w:t>nämlich</w:t>
            </w:r>
            <w:proofErr w:type="spellEnd"/>
            <w:r w:rsidRPr="00E1518A">
              <w:rPr>
                <w:sz w:val="20"/>
                <w:szCs w:val="20"/>
                <w:lang w:val="en-US"/>
              </w:rPr>
              <w:t xml:space="preserve"> das Recht auf Freiheit und auf </w:t>
            </w:r>
            <w:proofErr w:type="spellStart"/>
            <w:r w:rsidRPr="00E1518A">
              <w:rPr>
                <w:sz w:val="20"/>
                <w:szCs w:val="20"/>
                <w:lang w:val="en-US"/>
              </w:rPr>
              <w:t>ein</w:t>
            </w:r>
            <w:proofErr w:type="spellEnd"/>
            <w:r w:rsidRPr="00E1518A">
              <w:rPr>
                <w:sz w:val="20"/>
                <w:szCs w:val="20"/>
                <w:lang w:val="en-US"/>
              </w:rPr>
              <w:t xml:space="preserve"> </w:t>
            </w:r>
            <w:proofErr w:type="spellStart"/>
            <w:r w:rsidRPr="00E1518A">
              <w:rPr>
                <w:sz w:val="20"/>
                <w:szCs w:val="20"/>
                <w:lang w:val="en-US"/>
              </w:rPr>
              <w:t>Streben</w:t>
            </w:r>
            <w:proofErr w:type="spellEnd"/>
            <w:r w:rsidRPr="00E1518A">
              <w:rPr>
                <w:sz w:val="20"/>
                <w:szCs w:val="20"/>
                <w:lang w:val="en-US"/>
              </w:rPr>
              <w:t xml:space="preserve"> </w:t>
            </w:r>
            <w:proofErr w:type="spellStart"/>
            <w:r w:rsidRPr="00E1518A">
              <w:rPr>
                <w:sz w:val="20"/>
                <w:szCs w:val="20"/>
                <w:lang w:val="en-US"/>
              </w:rPr>
              <w:t>nach</w:t>
            </w:r>
            <w:proofErr w:type="spellEnd"/>
            <w:r w:rsidRPr="00E1518A">
              <w:rPr>
                <w:sz w:val="20"/>
                <w:szCs w:val="20"/>
                <w:lang w:val="en-US"/>
              </w:rPr>
              <w:t xml:space="preserve"> Glück (“a sentence […] in a penal institution for alleged violation of this unconstitutional section of the Ohio Revised Code deprives the defendant of her right to […] the pursuit of happiness […] for circumstances which she herself did not put in motion, and is a cruel and unusual punishment inflicted upon her”</w:t>
            </w:r>
            <w:r w:rsidRPr="00E1518A">
              <w:rPr>
                <w:sz w:val="20"/>
                <w:szCs w:val="20"/>
                <w:vertAlign w:val="superscript"/>
                <w:lang w:val="en-US"/>
              </w:rPr>
              <w:footnoteReference w:id="2230"/>
            </w:r>
            <w:r w:rsidRPr="00B45592">
              <w:rPr>
                <w:sz w:val="20"/>
                <w:szCs w:val="20"/>
                <w:lang w:val="en-IE"/>
              </w:rPr>
              <w:t xml:space="preserve">). </w:t>
            </w:r>
            <w:r w:rsidRPr="00E1518A">
              <w:rPr>
                <w:sz w:val="20"/>
                <w:szCs w:val="20"/>
              </w:rPr>
              <w:t>Damit bilde das Streben nach Glück auch einen Maßstab für die Angemessenheit</w:t>
            </w:r>
            <w:r>
              <w:rPr>
                <w:sz w:val="20"/>
                <w:szCs w:val="20"/>
              </w:rPr>
              <w:t>s</w:t>
            </w:r>
            <w:r w:rsidRPr="00E1518A">
              <w:rPr>
                <w:sz w:val="20"/>
                <w:szCs w:val="20"/>
              </w:rPr>
              <w:t>- und Tatverdachtsprüfung einer Durchsuchung.</w:t>
            </w:r>
          </w:p>
          <w:p w14:paraId="4FA239E1" w14:textId="77777777" w:rsidR="00074551" w:rsidRPr="00E50B51" w:rsidRDefault="00074551" w:rsidP="00367133">
            <w:pPr>
              <w:jc w:val="both"/>
              <w:rPr>
                <w:sz w:val="20"/>
                <w:szCs w:val="20"/>
              </w:rPr>
            </w:pPr>
          </w:p>
        </w:tc>
      </w:tr>
      <w:tr w:rsidR="00074551" w:rsidRPr="00E50B51" w14:paraId="5DA2B792" w14:textId="77777777" w:rsidTr="00203768">
        <w:trPr>
          <w:cantSplit/>
          <w:trHeight w:val="3175"/>
        </w:trPr>
        <w:tc>
          <w:tcPr>
            <w:tcW w:w="293" w:type="pct"/>
            <w:shd w:val="clear" w:color="auto" w:fill="E7E6E6" w:themeFill="background2"/>
          </w:tcPr>
          <w:p w14:paraId="39154A4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00CEBD57"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164273A5" w14:textId="77777777" w:rsidR="00074551" w:rsidRPr="00E50B51" w:rsidRDefault="00074551" w:rsidP="00367133">
            <w:pPr>
              <w:ind w:left="113" w:right="113"/>
              <w:jc w:val="both"/>
              <w:rPr>
                <w:iCs/>
                <w:sz w:val="20"/>
                <w:szCs w:val="20"/>
              </w:rPr>
            </w:pPr>
            <w:r w:rsidRPr="00E50B51">
              <w:rPr>
                <w:iCs/>
                <w:sz w:val="20"/>
                <w:szCs w:val="20"/>
              </w:rPr>
              <w:t xml:space="preserve">Search and </w:t>
            </w:r>
            <w:proofErr w:type="spellStart"/>
            <w:r w:rsidRPr="00E50B51">
              <w:rPr>
                <w:iCs/>
                <w:sz w:val="20"/>
                <w:szCs w:val="20"/>
              </w:rPr>
              <w:t>Seizure</w:t>
            </w:r>
            <w:proofErr w:type="spellEnd"/>
          </w:p>
        </w:tc>
        <w:tc>
          <w:tcPr>
            <w:tcW w:w="306" w:type="pct"/>
            <w:shd w:val="clear" w:color="auto" w:fill="E7E6E6" w:themeFill="background2"/>
            <w:textDirection w:val="tbRl"/>
            <w:vAlign w:val="center"/>
          </w:tcPr>
          <w:p w14:paraId="0E5B4DE6" w14:textId="77777777" w:rsidR="00074551" w:rsidRPr="00E50B51" w:rsidRDefault="00074551" w:rsidP="00367133">
            <w:pPr>
              <w:ind w:left="113" w:right="113"/>
              <w:jc w:val="both"/>
              <w:rPr>
                <w:sz w:val="20"/>
                <w:szCs w:val="20"/>
                <w:lang w:val="en-US"/>
              </w:rPr>
            </w:pPr>
            <w:r w:rsidRPr="00E50B51">
              <w:rPr>
                <w:iCs/>
                <w:sz w:val="20"/>
                <w:szCs w:val="20"/>
              </w:rPr>
              <w:t>Warrants</w:t>
            </w:r>
          </w:p>
        </w:tc>
        <w:tc>
          <w:tcPr>
            <w:tcW w:w="401" w:type="pct"/>
            <w:shd w:val="clear" w:color="auto" w:fill="E7E6E6" w:themeFill="background2"/>
          </w:tcPr>
          <w:p w14:paraId="5FC81E12"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1B3692DD" w14:textId="77777777" w:rsidR="00074551" w:rsidRPr="00E50B51" w:rsidRDefault="00074551" w:rsidP="00367133">
            <w:pPr>
              <w:jc w:val="both"/>
              <w:rPr>
                <w:sz w:val="20"/>
                <w:szCs w:val="20"/>
                <w:lang w:val="en-US"/>
              </w:rPr>
            </w:pPr>
          </w:p>
        </w:tc>
        <w:tc>
          <w:tcPr>
            <w:tcW w:w="1822" w:type="pct"/>
            <w:shd w:val="clear" w:color="auto" w:fill="E7E6E6" w:themeFill="background2"/>
          </w:tcPr>
          <w:p w14:paraId="17ACDCE3" w14:textId="6E33830E"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53EDBDE9" w14:textId="77777777" w:rsidTr="00BE689F">
        <w:trPr>
          <w:cantSplit/>
          <w:trHeight w:val="3175"/>
        </w:trPr>
        <w:tc>
          <w:tcPr>
            <w:tcW w:w="293" w:type="pct"/>
          </w:tcPr>
          <w:p w14:paraId="46694457"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4F6F9173" w14:textId="77777777" w:rsidR="00074551" w:rsidRPr="00E50B51" w:rsidRDefault="00074551" w:rsidP="00367133">
            <w:pPr>
              <w:ind w:left="113" w:right="416"/>
              <w:jc w:val="both"/>
              <w:rPr>
                <w:sz w:val="20"/>
                <w:szCs w:val="20"/>
                <w:lang w:val="en-US"/>
              </w:rPr>
            </w:pPr>
            <w:r w:rsidRPr="00AB01D2">
              <w:rPr>
                <w:i/>
                <w:sz w:val="20"/>
                <w:szCs w:val="20"/>
                <w:lang w:val="en-US"/>
              </w:rPr>
              <w:t>Oklahoma Press Pub. Co. v. Walling</w:t>
            </w:r>
          </w:p>
        </w:tc>
        <w:tc>
          <w:tcPr>
            <w:tcW w:w="197" w:type="pct"/>
            <w:textDirection w:val="tbRl"/>
            <w:vAlign w:val="center"/>
          </w:tcPr>
          <w:p w14:paraId="062BCC70" w14:textId="77777777" w:rsidR="00074551" w:rsidRPr="00E50B51" w:rsidRDefault="00074551" w:rsidP="00367133">
            <w:pPr>
              <w:ind w:left="113" w:right="113"/>
              <w:jc w:val="both"/>
              <w:rPr>
                <w:iCs/>
                <w:sz w:val="20"/>
                <w:szCs w:val="20"/>
              </w:rPr>
            </w:pPr>
            <w:r w:rsidRPr="00E50B51">
              <w:rPr>
                <w:sz w:val="20"/>
                <w:szCs w:val="20"/>
                <w:lang w:val="en-US"/>
              </w:rPr>
              <w:t>327 U.S. 186</w:t>
            </w:r>
          </w:p>
        </w:tc>
        <w:tc>
          <w:tcPr>
            <w:tcW w:w="306" w:type="pct"/>
            <w:textDirection w:val="tbRl"/>
            <w:vAlign w:val="center"/>
          </w:tcPr>
          <w:p w14:paraId="594E8821" w14:textId="77777777" w:rsidR="00074551" w:rsidRPr="00E50B51" w:rsidRDefault="00074551" w:rsidP="00367133">
            <w:pPr>
              <w:ind w:left="113" w:right="113"/>
              <w:jc w:val="both"/>
              <w:rPr>
                <w:sz w:val="20"/>
                <w:szCs w:val="20"/>
              </w:rPr>
            </w:pPr>
            <w:r w:rsidRPr="00E50B51">
              <w:rPr>
                <w:sz w:val="20"/>
                <w:szCs w:val="20"/>
              </w:rPr>
              <w:t>11. Februar 1946</w:t>
            </w:r>
          </w:p>
        </w:tc>
        <w:tc>
          <w:tcPr>
            <w:tcW w:w="401" w:type="pct"/>
          </w:tcPr>
          <w:p w14:paraId="34C9309B" w14:textId="77777777" w:rsidR="00074551" w:rsidRPr="00E50B51" w:rsidRDefault="00074551" w:rsidP="00367133">
            <w:pPr>
              <w:jc w:val="center"/>
              <w:rPr>
                <w:sz w:val="20"/>
                <w:szCs w:val="20"/>
              </w:rPr>
            </w:pPr>
            <w:r w:rsidRPr="00E50B51">
              <w:rPr>
                <w:iCs/>
                <w:sz w:val="20"/>
                <w:szCs w:val="20"/>
              </w:rPr>
              <w:t>M</w:t>
            </w:r>
          </w:p>
        </w:tc>
        <w:tc>
          <w:tcPr>
            <w:tcW w:w="1594" w:type="pct"/>
          </w:tcPr>
          <w:p w14:paraId="255A8340" w14:textId="77777777" w:rsidR="00074551" w:rsidRPr="00E50B51" w:rsidRDefault="00074551" w:rsidP="00367133">
            <w:pPr>
              <w:jc w:val="both"/>
              <w:rPr>
                <w:sz w:val="20"/>
                <w:szCs w:val="20"/>
              </w:rPr>
            </w:pPr>
            <w:r w:rsidRPr="00E50B51">
              <w:rPr>
                <w:sz w:val="20"/>
                <w:szCs w:val="20"/>
              </w:rPr>
              <w:t>*</w:t>
            </w:r>
          </w:p>
        </w:tc>
        <w:tc>
          <w:tcPr>
            <w:tcW w:w="1822" w:type="pct"/>
          </w:tcPr>
          <w:p w14:paraId="1C69F908" w14:textId="688244F7" w:rsidR="00074551" w:rsidRDefault="00074551" w:rsidP="00367133">
            <w:pPr>
              <w:jc w:val="both"/>
              <w:rPr>
                <w:sz w:val="20"/>
                <w:szCs w:val="20"/>
              </w:rPr>
            </w:pPr>
            <w:r w:rsidRPr="00B04236">
              <w:rPr>
                <w:sz w:val="20"/>
                <w:szCs w:val="20"/>
              </w:rPr>
              <w:t xml:space="preserve">Bei diesem Urteil differenzierte der </w:t>
            </w:r>
            <w:r>
              <w:rPr>
                <w:sz w:val="20"/>
                <w:szCs w:val="20"/>
              </w:rPr>
              <w:t>U.S. Supreme Court</w:t>
            </w:r>
            <w:r w:rsidRPr="00B04236">
              <w:rPr>
                <w:sz w:val="20"/>
                <w:szCs w:val="20"/>
              </w:rPr>
              <w:t xml:space="preserve"> die Bedingungen für ein Glücksstreben weiter aus („</w:t>
            </w:r>
            <w:proofErr w:type="spellStart"/>
            <w:r w:rsidRPr="00B04236">
              <w:rPr>
                <w:sz w:val="20"/>
                <w:szCs w:val="20"/>
              </w:rPr>
              <w:t>conditions</w:t>
            </w:r>
            <w:proofErr w:type="spellEnd"/>
            <w:r w:rsidRPr="00B04236">
              <w:rPr>
                <w:sz w:val="20"/>
                <w:szCs w:val="20"/>
              </w:rPr>
              <w:t xml:space="preserve"> favorable to the </w:t>
            </w:r>
            <w:proofErr w:type="spellStart"/>
            <w:r w:rsidRPr="00B04236">
              <w:rPr>
                <w:sz w:val="20"/>
                <w:szCs w:val="20"/>
              </w:rPr>
              <w:t>pursuit</w:t>
            </w:r>
            <w:proofErr w:type="spellEnd"/>
            <w:r w:rsidRPr="00B04236">
              <w:rPr>
                <w:sz w:val="20"/>
                <w:szCs w:val="20"/>
              </w:rPr>
              <w:t xml:space="preserve"> of </w:t>
            </w:r>
            <w:proofErr w:type="spellStart"/>
            <w:r w:rsidRPr="00B04236">
              <w:rPr>
                <w:sz w:val="20"/>
                <w:szCs w:val="20"/>
              </w:rPr>
              <w:t>happiness</w:t>
            </w:r>
            <w:proofErr w:type="spellEnd"/>
            <w:r w:rsidRPr="00B04236">
              <w:rPr>
                <w:sz w:val="20"/>
                <w:szCs w:val="20"/>
              </w:rPr>
              <w:t>“</w:t>
            </w:r>
            <w:r w:rsidRPr="00B04236">
              <w:rPr>
                <w:sz w:val="20"/>
                <w:szCs w:val="20"/>
                <w:vertAlign w:val="superscript"/>
              </w:rPr>
              <w:footnoteReference w:id="2231"/>
            </w:r>
            <w:r w:rsidRPr="00B04236">
              <w:rPr>
                <w:sz w:val="20"/>
                <w:szCs w:val="20"/>
              </w:rPr>
              <w:t>). Eine Bedingung für das Streben nach Glück lautet: bei staatlichen Maßnahmen sei zwischen dem öffentlichen Interesse und der privaten Sicherheit abzuwägen („</w:t>
            </w:r>
            <w:proofErr w:type="spellStart"/>
            <w:r w:rsidRPr="00B04236">
              <w:rPr>
                <w:sz w:val="20"/>
                <w:szCs w:val="20"/>
              </w:rPr>
              <w:t>balancing</w:t>
            </w:r>
            <w:proofErr w:type="spellEnd"/>
            <w:r w:rsidRPr="00B04236">
              <w:rPr>
                <w:sz w:val="20"/>
                <w:szCs w:val="20"/>
              </w:rPr>
              <w:t xml:space="preserve"> the </w:t>
            </w:r>
            <w:proofErr w:type="spellStart"/>
            <w:r w:rsidRPr="00B04236">
              <w:rPr>
                <w:sz w:val="20"/>
                <w:szCs w:val="20"/>
              </w:rPr>
              <w:t>public</w:t>
            </w:r>
            <w:proofErr w:type="spellEnd"/>
            <w:r w:rsidRPr="00B04236">
              <w:rPr>
                <w:sz w:val="20"/>
                <w:szCs w:val="20"/>
              </w:rPr>
              <w:t xml:space="preserve"> </w:t>
            </w:r>
            <w:proofErr w:type="spellStart"/>
            <w:r w:rsidRPr="00B04236">
              <w:rPr>
                <w:sz w:val="20"/>
                <w:szCs w:val="20"/>
              </w:rPr>
              <w:t>interest</w:t>
            </w:r>
            <w:proofErr w:type="spellEnd"/>
            <w:r w:rsidRPr="00B04236">
              <w:rPr>
                <w:sz w:val="20"/>
                <w:szCs w:val="20"/>
              </w:rPr>
              <w:t xml:space="preserve"> </w:t>
            </w:r>
            <w:proofErr w:type="spellStart"/>
            <w:r w:rsidRPr="00B04236">
              <w:rPr>
                <w:sz w:val="20"/>
                <w:szCs w:val="20"/>
              </w:rPr>
              <w:t>against</w:t>
            </w:r>
            <w:proofErr w:type="spellEnd"/>
            <w:r w:rsidRPr="00B04236">
              <w:rPr>
                <w:sz w:val="20"/>
                <w:szCs w:val="20"/>
              </w:rPr>
              <w:t xml:space="preserve"> private </w:t>
            </w:r>
            <w:proofErr w:type="spellStart"/>
            <w:r w:rsidRPr="00B04236">
              <w:rPr>
                <w:sz w:val="20"/>
                <w:szCs w:val="20"/>
              </w:rPr>
              <w:t>security</w:t>
            </w:r>
            <w:proofErr w:type="spellEnd"/>
            <w:r w:rsidRPr="00B04236">
              <w:rPr>
                <w:sz w:val="20"/>
                <w:szCs w:val="20"/>
              </w:rPr>
              <w:t>“</w:t>
            </w:r>
            <w:r w:rsidRPr="00B04236">
              <w:rPr>
                <w:sz w:val="20"/>
                <w:szCs w:val="20"/>
                <w:vertAlign w:val="superscript"/>
              </w:rPr>
              <w:footnoteReference w:id="2232"/>
            </w:r>
            <w:r w:rsidRPr="00B04236">
              <w:rPr>
                <w:sz w:val="20"/>
                <w:szCs w:val="20"/>
              </w:rPr>
              <w:t xml:space="preserve">). Daraus ergibt sich das Kriterium der doppelten Notwendigkeit eines Schutzes, nämlich: des öffentlichen und des privaten Interesses („dual </w:t>
            </w:r>
            <w:proofErr w:type="spellStart"/>
            <w:r w:rsidRPr="00B04236">
              <w:rPr>
                <w:sz w:val="20"/>
                <w:szCs w:val="20"/>
              </w:rPr>
              <w:t>necessity</w:t>
            </w:r>
            <w:proofErr w:type="spellEnd"/>
            <w:r w:rsidRPr="00B04236">
              <w:rPr>
                <w:sz w:val="20"/>
                <w:szCs w:val="20"/>
              </w:rPr>
              <w:t xml:space="preserve"> of </w:t>
            </w:r>
            <w:proofErr w:type="spellStart"/>
            <w:r w:rsidRPr="00B04236">
              <w:rPr>
                <w:sz w:val="20"/>
                <w:szCs w:val="20"/>
              </w:rPr>
              <w:t>safeguarding</w:t>
            </w:r>
            <w:proofErr w:type="spellEnd"/>
            <w:r w:rsidRPr="00B04236">
              <w:rPr>
                <w:sz w:val="20"/>
                <w:szCs w:val="20"/>
              </w:rPr>
              <w:t xml:space="preserve"> </w:t>
            </w:r>
            <w:proofErr w:type="spellStart"/>
            <w:r w:rsidRPr="00B04236">
              <w:rPr>
                <w:sz w:val="20"/>
                <w:szCs w:val="20"/>
              </w:rPr>
              <w:t>adequately</w:t>
            </w:r>
            <w:proofErr w:type="spellEnd"/>
            <w:r w:rsidRPr="00B04236">
              <w:rPr>
                <w:sz w:val="20"/>
                <w:szCs w:val="20"/>
              </w:rPr>
              <w:t xml:space="preserve"> the </w:t>
            </w:r>
            <w:proofErr w:type="spellStart"/>
            <w:r w:rsidRPr="00B04236">
              <w:rPr>
                <w:sz w:val="20"/>
                <w:szCs w:val="20"/>
              </w:rPr>
              <w:t>public</w:t>
            </w:r>
            <w:proofErr w:type="spellEnd"/>
            <w:r w:rsidRPr="00B04236">
              <w:rPr>
                <w:sz w:val="20"/>
                <w:szCs w:val="20"/>
              </w:rPr>
              <w:t xml:space="preserve"> and the private </w:t>
            </w:r>
            <w:proofErr w:type="spellStart"/>
            <w:r w:rsidRPr="00B04236">
              <w:rPr>
                <w:sz w:val="20"/>
                <w:szCs w:val="20"/>
              </w:rPr>
              <w:t>interest</w:t>
            </w:r>
            <w:proofErr w:type="spellEnd"/>
            <w:r w:rsidRPr="00B04236">
              <w:rPr>
                <w:sz w:val="20"/>
                <w:szCs w:val="20"/>
              </w:rPr>
              <w:t>“</w:t>
            </w:r>
            <w:r w:rsidRPr="00B04236">
              <w:rPr>
                <w:sz w:val="20"/>
                <w:szCs w:val="20"/>
                <w:vertAlign w:val="superscript"/>
              </w:rPr>
              <w:t xml:space="preserve"> </w:t>
            </w:r>
            <w:r w:rsidRPr="00B04236">
              <w:rPr>
                <w:sz w:val="20"/>
                <w:szCs w:val="20"/>
                <w:vertAlign w:val="superscript"/>
              </w:rPr>
              <w:footnoteReference w:id="2233"/>
            </w:r>
            <w:r w:rsidRPr="00B04236">
              <w:rPr>
                <w:sz w:val="20"/>
                <w:szCs w:val="20"/>
              </w:rPr>
              <w:t xml:space="preserve">). Aber was meinen diese Interessen? Der </w:t>
            </w:r>
            <w:r>
              <w:rPr>
                <w:sz w:val="20"/>
                <w:szCs w:val="20"/>
              </w:rPr>
              <w:t>U.S. Supreme Court</w:t>
            </w:r>
            <w:r w:rsidRPr="00B04236">
              <w:rPr>
                <w:sz w:val="20"/>
                <w:szCs w:val="20"/>
              </w:rPr>
              <w:t xml:space="preserve"> erläutert, das öffentliche Interesse ergebe sich aus den Urteilsbegründungen von </w:t>
            </w:r>
            <w:r w:rsidRPr="5B67C1D2">
              <w:rPr>
                <w:i/>
                <w:iCs/>
                <w:sz w:val="20"/>
                <w:szCs w:val="20"/>
              </w:rPr>
              <w:t xml:space="preserve">Jones v. Securities &amp; Exchange </w:t>
            </w:r>
            <w:proofErr w:type="spellStart"/>
            <w:r w:rsidRPr="5B67C1D2">
              <w:rPr>
                <w:i/>
                <w:iCs/>
                <w:sz w:val="20"/>
                <w:szCs w:val="20"/>
              </w:rPr>
              <w:t>Commission</w:t>
            </w:r>
            <w:proofErr w:type="spellEnd"/>
            <w:r w:rsidRPr="00B04236">
              <w:rPr>
                <w:sz w:val="20"/>
                <w:szCs w:val="20"/>
              </w:rPr>
              <w:t>.</w:t>
            </w:r>
            <w:r w:rsidRPr="00B04236">
              <w:rPr>
                <w:sz w:val="20"/>
                <w:szCs w:val="20"/>
                <w:vertAlign w:val="superscript"/>
              </w:rPr>
              <w:footnoteReference w:id="2234"/>
            </w:r>
            <w:r w:rsidRPr="00B04236">
              <w:rPr>
                <w:sz w:val="20"/>
                <w:szCs w:val="20"/>
              </w:rPr>
              <w:t xml:space="preserve"> Und das private Interesse definier</w:t>
            </w:r>
            <w:r>
              <w:rPr>
                <w:sz w:val="20"/>
                <w:szCs w:val="20"/>
              </w:rPr>
              <w:t>e</w:t>
            </w:r>
            <w:r w:rsidRPr="00B04236">
              <w:rPr>
                <w:sz w:val="20"/>
                <w:szCs w:val="20"/>
              </w:rPr>
              <w:t xml:space="preserve"> sich aus </w:t>
            </w:r>
            <w:r w:rsidRPr="5B67C1D2">
              <w:rPr>
                <w:i/>
                <w:iCs/>
                <w:sz w:val="20"/>
                <w:szCs w:val="20"/>
              </w:rPr>
              <w:t>Olmstead v. United States</w:t>
            </w:r>
            <w:r w:rsidRPr="00B04236">
              <w:rPr>
                <w:sz w:val="20"/>
                <w:szCs w:val="20"/>
              </w:rPr>
              <w:t>.</w:t>
            </w:r>
            <w:r w:rsidRPr="00B04236">
              <w:rPr>
                <w:sz w:val="20"/>
                <w:szCs w:val="20"/>
                <w:vertAlign w:val="superscript"/>
              </w:rPr>
              <w:footnoteReference w:id="2235"/>
            </w:r>
            <w:r w:rsidRPr="00B04236">
              <w:rPr>
                <w:sz w:val="20"/>
                <w:szCs w:val="20"/>
              </w:rPr>
              <w:t xml:space="preserve"> In </w:t>
            </w:r>
            <w:r w:rsidRPr="5B67C1D2">
              <w:rPr>
                <w:i/>
                <w:iCs/>
                <w:sz w:val="20"/>
                <w:szCs w:val="20"/>
              </w:rPr>
              <w:t xml:space="preserve">Jones v. Securities &amp; Exchange </w:t>
            </w:r>
            <w:proofErr w:type="spellStart"/>
            <w:r w:rsidRPr="5B67C1D2">
              <w:rPr>
                <w:i/>
                <w:iCs/>
                <w:sz w:val="20"/>
                <w:szCs w:val="20"/>
              </w:rPr>
              <w:t>Commission</w:t>
            </w:r>
            <w:proofErr w:type="spellEnd"/>
            <w:r w:rsidRPr="00B04236">
              <w:rPr>
                <w:sz w:val="20"/>
                <w:szCs w:val="20"/>
              </w:rPr>
              <w:t xml:space="preserve"> heißt es, öffentliches Interesse sei gesichert, wenn kein Machtmissbrauch von Beamten stattfinde, </w:t>
            </w:r>
            <w:r>
              <w:rPr>
                <w:sz w:val="20"/>
                <w:szCs w:val="20"/>
              </w:rPr>
              <w:t>der</w:t>
            </w:r>
            <w:r w:rsidRPr="00B04236">
              <w:rPr>
                <w:sz w:val="20"/>
                <w:szCs w:val="20"/>
              </w:rPr>
              <w:t xml:space="preserve"> Wahrheitspflicht nachgekommen werde, Delikte verfolgt werden könn</w:t>
            </w:r>
            <w:r>
              <w:rPr>
                <w:sz w:val="20"/>
                <w:szCs w:val="20"/>
              </w:rPr>
              <w:t>t</w:t>
            </w:r>
            <w:r w:rsidRPr="00B04236">
              <w:rPr>
                <w:sz w:val="20"/>
                <w:szCs w:val="20"/>
              </w:rPr>
              <w:t xml:space="preserve">en, staatlicher Zwang bei Verbrechen eingesetzt und effektiv vollstreckt werden </w:t>
            </w:r>
            <w:r>
              <w:rPr>
                <w:sz w:val="20"/>
                <w:szCs w:val="20"/>
              </w:rPr>
              <w:t>könne</w:t>
            </w:r>
            <w:r w:rsidRPr="00B04236">
              <w:rPr>
                <w:sz w:val="20"/>
                <w:szCs w:val="20"/>
              </w:rPr>
              <w:t xml:space="preserve"> – </w:t>
            </w:r>
            <w:r>
              <w:rPr>
                <w:sz w:val="20"/>
                <w:szCs w:val="20"/>
              </w:rPr>
              <w:t>z.B.</w:t>
            </w:r>
            <w:r w:rsidRPr="00B04236">
              <w:rPr>
                <w:sz w:val="20"/>
                <w:szCs w:val="20"/>
              </w:rPr>
              <w:t xml:space="preserve"> Verhaftungen – und der Staat ermitteln </w:t>
            </w:r>
            <w:r>
              <w:rPr>
                <w:sz w:val="20"/>
                <w:szCs w:val="20"/>
              </w:rPr>
              <w:t>könne</w:t>
            </w:r>
            <w:r w:rsidRPr="00B04236">
              <w:rPr>
                <w:sz w:val="20"/>
                <w:szCs w:val="20"/>
              </w:rPr>
              <w:t xml:space="preserve">, und dies alles der gerichtlichen Kontrolle auf Angemessenheit unterliege. Das private Interesse beschreibt indes </w:t>
            </w:r>
            <w:r w:rsidRPr="5B67C1D2">
              <w:rPr>
                <w:i/>
                <w:iCs/>
                <w:sz w:val="20"/>
                <w:szCs w:val="20"/>
              </w:rPr>
              <w:t>Olmstead v. United States</w:t>
            </w:r>
            <w:r w:rsidRPr="00B04236">
              <w:rPr>
                <w:sz w:val="20"/>
                <w:szCs w:val="20"/>
              </w:rPr>
              <w:t xml:space="preserve"> als Schutz der Privatsphäre. Dabei bestehen folgende Parameter, die vor allem Bedingungen für Glücksstreben beschreiben: die Möglichkeit</w:t>
            </w:r>
            <w:r>
              <w:rPr>
                <w:sz w:val="20"/>
                <w:szCs w:val="20"/>
              </w:rPr>
              <w:t>,</w:t>
            </w:r>
            <w:r w:rsidRPr="00B04236">
              <w:rPr>
                <w:sz w:val="20"/>
                <w:szCs w:val="20"/>
              </w:rPr>
              <w:t xml:space="preserve"> sich materielle Grundlagen zu schaffen, physischer und psychischer Schutz gegenüber staatlichen Eingriffen, insbesondere durch das Recht</w:t>
            </w:r>
            <w:r>
              <w:rPr>
                <w:sz w:val="20"/>
                <w:szCs w:val="20"/>
              </w:rPr>
              <w:t>, in Ruhe</w:t>
            </w:r>
            <w:r w:rsidRPr="00B04236">
              <w:rPr>
                <w:sz w:val="20"/>
                <w:szCs w:val="20"/>
              </w:rPr>
              <w:t xml:space="preserve"> gelassen zu werden</w:t>
            </w:r>
            <w:r>
              <w:rPr>
                <w:sz w:val="20"/>
                <w:szCs w:val="20"/>
              </w:rPr>
              <w:t>,</w:t>
            </w:r>
            <w:r w:rsidRPr="00B04236">
              <w:rPr>
                <w:sz w:val="20"/>
                <w:szCs w:val="20"/>
              </w:rPr>
              <w:t xml:space="preserve"> und jedes Eindringen in die Privatsphäre erst</w:t>
            </w:r>
            <w:r>
              <w:rPr>
                <w:sz w:val="20"/>
                <w:szCs w:val="20"/>
              </w:rPr>
              <w:t xml:space="preserve"> ein</w:t>
            </w:r>
            <w:r w:rsidRPr="00B04236">
              <w:rPr>
                <w:sz w:val="20"/>
                <w:szCs w:val="20"/>
              </w:rPr>
              <w:t xml:space="preserve">mal als Verletzung </w:t>
            </w:r>
            <w:r>
              <w:rPr>
                <w:sz w:val="20"/>
                <w:szCs w:val="20"/>
              </w:rPr>
              <w:t>von</w:t>
            </w:r>
            <w:r w:rsidRPr="00B04236">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Pr>
                <w:sz w:val="20"/>
                <w:szCs w:val="20"/>
              </w:rPr>
              <w:t xml:space="preserve"> </w:t>
            </w:r>
            <w:r w:rsidRPr="00B04236">
              <w:rPr>
                <w:sz w:val="20"/>
                <w:szCs w:val="20"/>
              </w:rPr>
              <w:t>anzuerkennen, um Rechtfertigungsdruck zu schaffen</w:t>
            </w:r>
            <w:r>
              <w:rPr>
                <w:sz w:val="20"/>
                <w:szCs w:val="20"/>
              </w:rPr>
              <w:t>; sowie der Grundsatz</w:t>
            </w:r>
            <w:r w:rsidRPr="00B04236">
              <w:rPr>
                <w:sz w:val="20"/>
                <w:szCs w:val="20"/>
              </w:rPr>
              <w:t xml:space="preserve">, Beweismittel im Strafverfahren, die der Staat mit einem solchen Eindringen erhebt, grundsätzlich als Verletzung </w:t>
            </w:r>
            <w:r>
              <w:rPr>
                <w:sz w:val="20"/>
                <w:szCs w:val="20"/>
              </w:rPr>
              <w:t>von</w:t>
            </w:r>
            <w:r w:rsidRPr="00B04236">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B04236">
              <w:rPr>
                <w:sz w:val="20"/>
                <w:szCs w:val="20"/>
              </w:rPr>
              <w:t xml:space="preserve"> anzusehen.</w:t>
            </w:r>
            <w:r w:rsidRPr="00B04236">
              <w:rPr>
                <w:sz w:val="20"/>
                <w:szCs w:val="20"/>
                <w:vertAlign w:val="superscript"/>
              </w:rPr>
              <w:footnoteReference w:id="2236"/>
            </w:r>
          </w:p>
          <w:p w14:paraId="28836606" w14:textId="77777777" w:rsidR="00074551" w:rsidRPr="00E50B51" w:rsidRDefault="00074551" w:rsidP="00367133">
            <w:pPr>
              <w:jc w:val="both"/>
              <w:rPr>
                <w:sz w:val="20"/>
                <w:szCs w:val="20"/>
              </w:rPr>
            </w:pPr>
          </w:p>
        </w:tc>
      </w:tr>
      <w:tr w:rsidR="00074551" w:rsidRPr="00E50B51" w14:paraId="27C66668" w14:textId="77777777" w:rsidTr="00203768">
        <w:trPr>
          <w:cantSplit/>
          <w:trHeight w:val="3175"/>
        </w:trPr>
        <w:tc>
          <w:tcPr>
            <w:tcW w:w="293" w:type="pct"/>
            <w:shd w:val="clear" w:color="auto" w:fill="E7E6E6" w:themeFill="background2"/>
          </w:tcPr>
          <w:p w14:paraId="629B634B"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7E3D114E"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07CDCE1B" w14:textId="77777777" w:rsidR="00074551" w:rsidRPr="00E50B51" w:rsidRDefault="00074551" w:rsidP="00367133">
            <w:pPr>
              <w:ind w:left="113" w:right="113"/>
              <w:jc w:val="both"/>
              <w:rPr>
                <w:iCs/>
                <w:sz w:val="20"/>
                <w:szCs w:val="20"/>
              </w:rPr>
            </w:pPr>
            <w:r w:rsidRPr="00E50B51">
              <w:rPr>
                <w:iCs/>
                <w:sz w:val="20"/>
                <w:szCs w:val="20"/>
              </w:rPr>
              <w:t xml:space="preserve">Search and </w:t>
            </w:r>
            <w:proofErr w:type="spellStart"/>
            <w:r w:rsidRPr="00E50B51">
              <w:rPr>
                <w:iCs/>
                <w:sz w:val="20"/>
                <w:szCs w:val="20"/>
              </w:rPr>
              <w:t>Seizure</w:t>
            </w:r>
            <w:proofErr w:type="spellEnd"/>
          </w:p>
        </w:tc>
        <w:tc>
          <w:tcPr>
            <w:tcW w:w="306" w:type="pct"/>
            <w:shd w:val="clear" w:color="auto" w:fill="E7E6E6" w:themeFill="background2"/>
            <w:textDirection w:val="tbRl"/>
            <w:vAlign w:val="center"/>
          </w:tcPr>
          <w:p w14:paraId="7D68A384" w14:textId="77777777" w:rsidR="00074551" w:rsidRPr="00E50B51" w:rsidRDefault="00074551" w:rsidP="00367133">
            <w:pPr>
              <w:ind w:left="113" w:right="113"/>
              <w:jc w:val="both"/>
              <w:rPr>
                <w:sz w:val="20"/>
                <w:szCs w:val="20"/>
                <w:lang w:val="en-US"/>
              </w:rPr>
            </w:pPr>
            <w:r w:rsidRPr="00E50B51">
              <w:rPr>
                <w:iCs/>
                <w:sz w:val="20"/>
                <w:szCs w:val="20"/>
              </w:rPr>
              <w:t>Plain View</w:t>
            </w:r>
          </w:p>
        </w:tc>
        <w:tc>
          <w:tcPr>
            <w:tcW w:w="401" w:type="pct"/>
            <w:shd w:val="clear" w:color="auto" w:fill="E7E6E6" w:themeFill="background2"/>
          </w:tcPr>
          <w:p w14:paraId="32560A9F"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9E23F6B" w14:textId="77777777" w:rsidR="00074551" w:rsidRPr="00E50B51" w:rsidRDefault="00074551" w:rsidP="00367133">
            <w:pPr>
              <w:jc w:val="both"/>
              <w:rPr>
                <w:sz w:val="20"/>
                <w:szCs w:val="20"/>
                <w:lang w:val="en-US"/>
              </w:rPr>
            </w:pPr>
          </w:p>
        </w:tc>
        <w:tc>
          <w:tcPr>
            <w:tcW w:w="1822" w:type="pct"/>
            <w:shd w:val="clear" w:color="auto" w:fill="E7E6E6" w:themeFill="background2"/>
          </w:tcPr>
          <w:p w14:paraId="67A7B48D" w14:textId="4937B1C9"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2F4665B2" w14:textId="77777777" w:rsidTr="00BE689F">
        <w:trPr>
          <w:cantSplit/>
          <w:trHeight w:val="3175"/>
        </w:trPr>
        <w:tc>
          <w:tcPr>
            <w:tcW w:w="293" w:type="pct"/>
          </w:tcPr>
          <w:p w14:paraId="01536DD1"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78A889B8" w14:textId="77777777" w:rsidR="00074551" w:rsidRPr="00B45592" w:rsidRDefault="00074551" w:rsidP="00367133">
            <w:pPr>
              <w:ind w:left="113" w:right="416"/>
              <w:jc w:val="both"/>
              <w:rPr>
                <w:i/>
                <w:sz w:val="20"/>
                <w:szCs w:val="20"/>
                <w:lang w:val="en-US"/>
              </w:rPr>
            </w:pPr>
            <w:r w:rsidRPr="00B45592">
              <w:rPr>
                <w:i/>
                <w:sz w:val="20"/>
                <w:szCs w:val="20"/>
                <w:lang w:val="en-US"/>
              </w:rPr>
              <w:t>On Lee v. United States</w:t>
            </w:r>
          </w:p>
        </w:tc>
        <w:tc>
          <w:tcPr>
            <w:tcW w:w="197" w:type="pct"/>
            <w:textDirection w:val="tbRl"/>
            <w:vAlign w:val="center"/>
          </w:tcPr>
          <w:p w14:paraId="74B84AC8" w14:textId="77777777" w:rsidR="00074551" w:rsidRPr="00E50B51" w:rsidRDefault="00074551" w:rsidP="00367133">
            <w:pPr>
              <w:ind w:left="113" w:right="113"/>
              <w:jc w:val="both"/>
              <w:rPr>
                <w:iCs/>
                <w:sz w:val="20"/>
                <w:szCs w:val="20"/>
              </w:rPr>
            </w:pPr>
            <w:r w:rsidRPr="00E50B51">
              <w:rPr>
                <w:sz w:val="20"/>
                <w:szCs w:val="20"/>
                <w:lang w:val="en-US"/>
              </w:rPr>
              <w:t>343 U.S. 747</w:t>
            </w:r>
          </w:p>
        </w:tc>
        <w:tc>
          <w:tcPr>
            <w:tcW w:w="306" w:type="pct"/>
            <w:textDirection w:val="tbRl"/>
            <w:vAlign w:val="center"/>
          </w:tcPr>
          <w:p w14:paraId="5D19D876" w14:textId="77777777" w:rsidR="00074551" w:rsidRPr="00E50B51" w:rsidRDefault="00074551" w:rsidP="00367133">
            <w:pPr>
              <w:ind w:left="113" w:right="113"/>
              <w:jc w:val="both"/>
              <w:rPr>
                <w:sz w:val="20"/>
                <w:szCs w:val="20"/>
              </w:rPr>
            </w:pPr>
            <w:r w:rsidRPr="00E50B51">
              <w:rPr>
                <w:sz w:val="20"/>
                <w:szCs w:val="20"/>
              </w:rPr>
              <w:t>2. Juni 1952</w:t>
            </w:r>
          </w:p>
        </w:tc>
        <w:tc>
          <w:tcPr>
            <w:tcW w:w="401" w:type="pct"/>
          </w:tcPr>
          <w:p w14:paraId="4391FFCF" w14:textId="77777777" w:rsidR="00074551" w:rsidRPr="00E50B51" w:rsidRDefault="00074551" w:rsidP="00367133">
            <w:pPr>
              <w:jc w:val="center"/>
              <w:rPr>
                <w:sz w:val="20"/>
                <w:szCs w:val="20"/>
              </w:rPr>
            </w:pPr>
            <w:r w:rsidRPr="00E50B51">
              <w:rPr>
                <w:iCs/>
                <w:sz w:val="20"/>
                <w:szCs w:val="20"/>
                <w:lang w:val="en-US"/>
              </w:rPr>
              <w:t>D</w:t>
            </w:r>
          </w:p>
        </w:tc>
        <w:tc>
          <w:tcPr>
            <w:tcW w:w="1594" w:type="pct"/>
          </w:tcPr>
          <w:p w14:paraId="530F72FA" w14:textId="77777777" w:rsidR="00074551" w:rsidRPr="00E50B51" w:rsidRDefault="00074551" w:rsidP="00367133">
            <w:pPr>
              <w:jc w:val="both"/>
              <w:rPr>
                <w:sz w:val="20"/>
                <w:szCs w:val="20"/>
              </w:rPr>
            </w:pPr>
            <w:r w:rsidRPr="00E50B51">
              <w:rPr>
                <w:sz w:val="20"/>
                <w:szCs w:val="20"/>
              </w:rPr>
              <w:t>*</w:t>
            </w:r>
          </w:p>
        </w:tc>
        <w:tc>
          <w:tcPr>
            <w:tcW w:w="1822" w:type="pct"/>
          </w:tcPr>
          <w:p w14:paraId="12BAC54D" w14:textId="77777777" w:rsidR="00074551" w:rsidRPr="00F659A8" w:rsidRDefault="00074551" w:rsidP="00367133">
            <w:pPr>
              <w:jc w:val="both"/>
              <w:rPr>
                <w:sz w:val="20"/>
                <w:szCs w:val="20"/>
                <w:lang w:val="en-US"/>
              </w:rPr>
            </w:pPr>
            <w:r w:rsidRPr="00F659A8">
              <w:rPr>
                <w:sz w:val="20"/>
                <w:szCs w:val="20"/>
              </w:rPr>
              <w:t xml:space="preserve">In </w:t>
            </w:r>
            <w:r w:rsidRPr="5B67C1D2">
              <w:rPr>
                <w:i/>
                <w:iCs/>
                <w:sz w:val="20"/>
                <w:szCs w:val="20"/>
              </w:rPr>
              <w:t>On Lee v. United States</w:t>
            </w:r>
            <w:r w:rsidRPr="00F659A8">
              <w:rPr>
                <w:sz w:val="20"/>
                <w:szCs w:val="20"/>
              </w:rPr>
              <w:t xml:space="preserve"> legt der </w:t>
            </w:r>
            <w:r>
              <w:rPr>
                <w:sz w:val="20"/>
                <w:szCs w:val="20"/>
              </w:rPr>
              <w:t>U.S. Supreme Court</w:t>
            </w:r>
            <w:r w:rsidRPr="00F659A8">
              <w:rPr>
                <w:sz w:val="20"/>
                <w:szCs w:val="20"/>
              </w:rPr>
              <w:t xml:space="preserve"> fest, welche Bedingungen des Glücksstrebens nicht mehr vor staatlichen Eingriffen geschützt sind, insbesondere bei der Privatsphäre wie eine</w:t>
            </w:r>
            <w:r>
              <w:rPr>
                <w:sz w:val="20"/>
                <w:szCs w:val="20"/>
              </w:rPr>
              <w:t>r</w:t>
            </w:r>
            <w:r w:rsidRPr="00F659A8">
              <w:rPr>
                <w:sz w:val="20"/>
                <w:szCs w:val="20"/>
              </w:rPr>
              <w:t xml:space="preserve"> Wohnung. Dabei erweitert der </w:t>
            </w:r>
            <w:r>
              <w:rPr>
                <w:sz w:val="20"/>
                <w:szCs w:val="20"/>
              </w:rPr>
              <w:t>U.S. Supreme Court</w:t>
            </w:r>
            <w:r w:rsidRPr="00F659A8">
              <w:rPr>
                <w:sz w:val="20"/>
                <w:szCs w:val="20"/>
              </w:rPr>
              <w:t xml:space="preserve"> die Möglichkeiten staatlicher Eingriffe. Entscheidend sei die Eingriffstiefe, nicht die verwendete Technik, wodurch die Bedingungen für das Streben nach Glück („</w:t>
            </w:r>
            <w:proofErr w:type="spellStart"/>
            <w:r w:rsidRPr="00F659A8">
              <w:rPr>
                <w:sz w:val="20"/>
                <w:szCs w:val="20"/>
              </w:rPr>
              <w:t>conditions</w:t>
            </w:r>
            <w:proofErr w:type="spellEnd"/>
            <w:r w:rsidRPr="00F659A8">
              <w:rPr>
                <w:sz w:val="20"/>
                <w:szCs w:val="20"/>
              </w:rPr>
              <w:t xml:space="preserve"> favorable to the </w:t>
            </w:r>
            <w:proofErr w:type="spellStart"/>
            <w:r w:rsidRPr="00F659A8">
              <w:rPr>
                <w:sz w:val="20"/>
                <w:szCs w:val="20"/>
              </w:rPr>
              <w:t>pursuit</w:t>
            </w:r>
            <w:proofErr w:type="spellEnd"/>
            <w:r w:rsidRPr="00F659A8">
              <w:rPr>
                <w:sz w:val="20"/>
                <w:szCs w:val="20"/>
              </w:rPr>
              <w:t xml:space="preserve"> of </w:t>
            </w:r>
            <w:proofErr w:type="spellStart"/>
            <w:r w:rsidRPr="00F659A8">
              <w:rPr>
                <w:sz w:val="20"/>
                <w:szCs w:val="20"/>
              </w:rPr>
              <w:t>happiness</w:t>
            </w:r>
            <w:proofErr w:type="spellEnd"/>
            <w:r w:rsidRPr="00F659A8">
              <w:rPr>
                <w:sz w:val="20"/>
                <w:szCs w:val="20"/>
              </w:rPr>
              <w:t>“</w:t>
            </w:r>
            <w:r w:rsidRPr="00F659A8">
              <w:rPr>
                <w:sz w:val="20"/>
                <w:szCs w:val="20"/>
                <w:vertAlign w:val="superscript"/>
              </w:rPr>
              <w:t xml:space="preserve"> </w:t>
            </w:r>
            <w:r w:rsidRPr="00F659A8">
              <w:rPr>
                <w:sz w:val="20"/>
                <w:szCs w:val="20"/>
                <w:vertAlign w:val="superscript"/>
              </w:rPr>
              <w:footnoteReference w:id="2237"/>
            </w:r>
            <w:r w:rsidRPr="00F659A8">
              <w:rPr>
                <w:sz w:val="20"/>
                <w:szCs w:val="20"/>
              </w:rPr>
              <w:t xml:space="preserve">) technikoffen bleiben („The </w:t>
            </w:r>
            <w:proofErr w:type="spellStart"/>
            <w:r w:rsidRPr="00F659A8">
              <w:rPr>
                <w:sz w:val="20"/>
                <w:szCs w:val="20"/>
              </w:rPr>
              <w:t>nature</w:t>
            </w:r>
            <w:proofErr w:type="spellEnd"/>
            <w:r w:rsidRPr="00F659A8">
              <w:rPr>
                <w:sz w:val="20"/>
                <w:szCs w:val="20"/>
              </w:rPr>
              <w:t xml:space="preserve"> of the </w:t>
            </w:r>
            <w:proofErr w:type="spellStart"/>
            <w:r w:rsidRPr="00F659A8">
              <w:rPr>
                <w:sz w:val="20"/>
                <w:szCs w:val="20"/>
              </w:rPr>
              <w:t>instrument</w:t>
            </w:r>
            <w:proofErr w:type="spellEnd"/>
            <w:r w:rsidRPr="00F659A8">
              <w:rPr>
                <w:sz w:val="20"/>
                <w:szCs w:val="20"/>
              </w:rPr>
              <w:t xml:space="preserve"> </w:t>
            </w:r>
            <w:proofErr w:type="spellStart"/>
            <w:r w:rsidRPr="00F659A8">
              <w:rPr>
                <w:sz w:val="20"/>
                <w:szCs w:val="20"/>
              </w:rPr>
              <w:t>that</w:t>
            </w:r>
            <w:proofErr w:type="spellEnd"/>
            <w:r w:rsidRPr="00F659A8">
              <w:rPr>
                <w:sz w:val="20"/>
                <w:szCs w:val="20"/>
              </w:rPr>
              <w:t xml:space="preserve"> </w:t>
            </w:r>
            <w:proofErr w:type="spellStart"/>
            <w:r w:rsidRPr="00F659A8">
              <w:rPr>
                <w:sz w:val="20"/>
                <w:szCs w:val="20"/>
              </w:rPr>
              <w:t>science</w:t>
            </w:r>
            <w:proofErr w:type="spellEnd"/>
            <w:r w:rsidRPr="00F659A8">
              <w:rPr>
                <w:sz w:val="20"/>
                <w:szCs w:val="20"/>
              </w:rPr>
              <w:t xml:space="preserve"> </w:t>
            </w:r>
            <w:proofErr w:type="spellStart"/>
            <w:r w:rsidRPr="00F659A8">
              <w:rPr>
                <w:sz w:val="20"/>
                <w:szCs w:val="20"/>
              </w:rPr>
              <w:t>or</w:t>
            </w:r>
            <w:proofErr w:type="spellEnd"/>
            <w:r w:rsidRPr="00F659A8">
              <w:rPr>
                <w:sz w:val="20"/>
                <w:szCs w:val="20"/>
              </w:rPr>
              <w:t xml:space="preserve"> </w:t>
            </w:r>
            <w:proofErr w:type="spellStart"/>
            <w:r w:rsidRPr="00F659A8">
              <w:rPr>
                <w:sz w:val="20"/>
                <w:szCs w:val="20"/>
              </w:rPr>
              <w:t>engineering</w:t>
            </w:r>
            <w:proofErr w:type="spellEnd"/>
            <w:r w:rsidRPr="00F659A8">
              <w:rPr>
                <w:sz w:val="20"/>
                <w:szCs w:val="20"/>
              </w:rPr>
              <w:t xml:space="preserve"> </w:t>
            </w:r>
            <w:proofErr w:type="spellStart"/>
            <w:r w:rsidRPr="00F659A8">
              <w:rPr>
                <w:sz w:val="20"/>
                <w:szCs w:val="20"/>
              </w:rPr>
              <w:t>develops</w:t>
            </w:r>
            <w:proofErr w:type="spellEnd"/>
            <w:r w:rsidRPr="00F659A8">
              <w:rPr>
                <w:sz w:val="20"/>
                <w:szCs w:val="20"/>
              </w:rPr>
              <w:t xml:space="preserve"> </w:t>
            </w:r>
            <w:proofErr w:type="spellStart"/>
            <w:r w:rsidRPr="00F659A8">
              <w:rPr>
                <w:sz w:val="20"/>
                <w:szCs w:val="20"/>
              </w:rPr>
              <w:t>is</w:t>
            </w:r>
            <w:proofErr w:type="spellEnd"/>
            <w:r w:rsidRPr="00F659A8">
              <w:rPr>
                <w:sz w:val="20"/>
                <w:szCs w:val="20"/>
              </w:rPr>
              <w:t xml:space="preserve"> not important. </w:t>
            </w:r>
            <w:r w:rsidRPr="00F659A8">
              <w:rPr>
                <w:sz w:val="20"/>
                <w:szCs w:val="20"/>
                <w:lang w:val="en-US"/>
              </w:rPr>
              <w:t>[…] [T]he decisive factor is the invasion of privacy“</w:t>
            </w:r>
            <w:r w:rsidRPr="00F659A8">
              <w:rPr>
                <w:sz w:val="20"/>
                <w:szCs w:val="20"/>
                <w:vertAlign w:val="superscript"/>
                <w:lang w:val="en-US"/>
              </w:rPr>
              <w:t xml:space="preserve"> </w:t>
            </w:r>
            <w:r w:rsidRPr="00F659A8">
              <w:rPr>
                <w:sz w:val="20"/>
                <w:szCs w:val="20"/>
                <w:vertAlign w:val="superscript"/>
              </w:rPr>
              <w:footnoteReference w:id="2238"/>
            </w:r>
            <w:r w:rsidRPr="00F659A8">
              <w:rPr>
                <w:sz w:val="20"/>
                <w:szCs w:val="20"/>
                <w:lang w:val="en-US"/>
              </w:rPr>
              <w:t xml:space="preserve">), so die </w:t>
            </w:r>
            <w:r w:rsidRPr="5B67C1D2">
              <w:rPr>
                <w:i/>
                <w:iCs/>
                <w:sz w:val="20"/>
                <w:szCs w:val="20"/>
                <w:lang w:val="en-US"/>
              </w:rPr>
              <w:t>dissenting opinion</w:t>
            </w:r>
            <w:r w:rsidRPr="00F659A8">
              <w:rPr>
                <w:sz w:val="20"/>
                <w:szCs w:val="20"/>
                <w:lang w:val="en-US"/>
              </w:rPr>
              <w:t>.</w:t>
            </w:r>
          </w:p>
          <w:p w14:paraId="222FE4B4" w14:textId="3B18866D" w:rsidR="00074551" w:rsidRDefault="00074551" w:rsidP="00367133">
            <w:pPr>
              <w:jc w:val="both"/>
              <w:rPr>
                <w:sz w:val="20"/>
                <w:szCs w:val="20"/>
              </w:rPr>
            </w:pPr>
            <w:r w:rsidRPr="00F659A8">
              <w:rPr>
                <w:sz w:val="20"/>
                <w:szCs w:val="20"/>
              </w:rPr>
              <w:t>Wenn ein Polizist ein Fernglas benutzt, um einen Zeugen zu beobachten („</w:t>
            </w:r>
            <w:proofErr w:type="spellStart"/>
            <w:r w:rsidRPr="00F659A8">
              <w:rPr>
                <w:sz w:val="20"/>
                <w:szCs w:val="20"/>
              </w:rPr>
              <w:t>plain</w:t>
            </w:r>
            <w:proofErr w:type="spellEnd"/>
            <w:r w:rsidRPr="00F659A8">
              <w:rPr>
                <w:sz w:val="20"/>
                <w:szCs w:val="20"/>
              </w:rPr>
              <w:t xml:space="preserve"> </w:t>
            </w:r>
            <w:proofErr w:type="spellStart"/>
            <w:r w:rsidRPr="00F659A8">
              <w:rPr>
                <w:sz w:val="20"/>
                <w:szCs w:val="20"/>
              </w:rPr>
              <w:t>view</w:t>
            </w:r>
            <w:proofErr w:type="spellEnd"/>
            <w:r w:rsidRPr="00F659A8">
              <w:rPr>
                <w:sz w:val="20"/>
                <w:szCs w:val="20"/>
              </w:rPr>
              <w:t>“</w:t>
            </w:r>
            <w:r w:rsidRPr="00F659A8">
              <w:rPr>
                <w:sz w:val="20"/>
                <w:szCs w:val="20"/>
                <w:vertAlign w:val="superscript"/>
              </w:rPr>
              <w:footnoteReference w:id="2239"/>
            </w:r>
            <w:r w:rsidRPr="00F659A8">
              <w:rPr>
                <w:sz w:val="20"/>
                <w:szCs w:val="20"/>
              </w:rPr>
              <w:t>), stellt dies keine verbotene Durchsuchung oder Beschlagnahme dar, selbst wenn der Beamte sich ohne Wissen oder Zustimmung auf vermeintlich private Indiskretionen konzentriere.</w:t>
            </w:r>
            <w:r w:rsidRPr="00F659A8">
              <w:rPr>
                <w:sz w:val="20"/>
                <w:szCs w:val="20"/>
                <w:vertAlign w:val="superscript"/>
              </w:rPr>
              <w:footnoteReference w:id="2240"/>
            </w:r>
            <w:r>
              <w:rPr>
                <w:sz w:val="20"/>
                <w:szCs w:val="20"/>
              </w:rPr>
              <w:t xml:space="preserve"> </w:t>
            </w:r>
            <w:r w:rsidRPr="00F659A8">
              <w:rPr>
                <w:sz w:val="20"/>
                <w:szCs w:val="20"/>
              </w:rPr>
              <w:t xml:space="preserve">Darüber hinaus begeht ein Beamter als verdeckter Ermittler keinen unangemessenen Eingriff oder Hausfriedensbruch, wenn er den Geschäftssitz des Klägers unter Täuschung betritt. Die Doktrin des Hausfriedensbruchs </w:t>
            </w:r>
            <w:r w:rsidRPr="5B67C1D2">
              <w:rPr>
                <w:i/>
                <w:iCs/>
                <w:sz w:val="20"/>
                <w:szCs w:val="20"/>
              </w:rPr>
              <w:t>ab initio</w:t>
            </w:r>
            <w:r w:rsidRPr="00F659A8">
              <w:rPr>
                <w:sz w:val="20"/>
                <w:szCs w:val="20"/>
                <w:vertAlign w:val="superscript"/>
              </w:rPr>
              <w:footnoteReference w:id="2241"/>
            </w:r>
            <w:r w:rsidRPr="00F659A8">
              <w:rPr>
                <w:sz w:val="20"/>
                <w:szCs w:val="20"/>
              </w:rPr>
              <w:t xml:space="preserve"> ist lediglich eine Haftungsregel im Zivilrecht und hindert den Staat zunächst auch nicht daran, Beweise in einem Strafverfahren zu erheben und zu verwenden, die ein Beamter unter Verstoß gegen diese Doktrin erlangt hat. Ein unangemessener Eingriff oder Hausfriedensbruch liegt auch dann nicht vor, wenn der verdeckte Ermittler eine Zustimmung durch Täuschung erlangt hat, um Geschäftsräume zu betreten. Ebenso besteht kein unangemessener Eingriff oder Hausfriedensbruch, wenn ein anderer Ermittler mithört, nachdem der verdeckte Ermittler sich durch Täuschung Zugang zu Geschäftsräumen verschafft hat. Grundsätzlich verstößt das Abhören allein auch nicht gegen den Wortlaut des vierten Verfassungszusatzes der US-Verfassung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F659A8">
              <w:rPr>
                <w:sz w:val="20"/>
                <w:szCs w:val="20"/>
              </w:rPr>
              <w:t>). Und Judikaturen, die rechtswidrige Beschlagnahmen von körperlichen Gegenständen unter Verstoß gegen die Privatsphäre feststellen, sind auch nicht auf elektronische oder mechanische Vorrichtungen zum Abhören übertragbar.</w:t>
            </w:r>
            <w:r w:rsidRPr="00F659A8">
              <w:rPr>
                <w:sz w:val="20"/>
                <w:szCs w:val="20"/>
                <w:vertAlign w:val="superscript"/>
              </w:rPr>
              <w:footnoteReference w:id="2242"/>
            </w:r>
          </w:p>
          <w:p w14:paraId="22659D0B" w14:textId="77777777" w:rsidR="00074551" w:rsidRPr="00E50B51" w:rsidRDefault="00074551" w:rsidP="00367133">
            <w:pPr>
              <w:jc w:val="both"/>
              <w:rPr>
                <w:sz w:val="20"/>
                <w:szCs w:val="20"/>
              </w:rPr>
            </w:pPr>
          </w:p>
        </w:tc>
      </w:tr>
      <w:tr w:rsidR="00074551" w:rsidRPr="00E50B51" w14:paraId="071063D5" w14:textId="77777777" w:rsidTr="00203768">
        <w:trPr>
          <w:cantSplit/>
          <w:trHeight w:val="3175"/>
        </w:trPr>
        <w:tc>
          <w:tcPr>
            <w:tcW w:w="293" w:type="pct"/>
            <w:shd w:val="clear" w:color="auto" w:fill="E7E6E6" w:themeFill="background2"/>
          </w:tcPr>
          <w:p w14:paraId="3AB8281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45E5FC2D"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230828AF" w14:textId="77777777" w:rsidR="00074551" w:rsidRPr="00E50B51" w:rsidRDefault="00074551" w:rsidP="00367133">
            <w:pPr>
              <w:ind w:left="113" w:right="113"/>
              <w:jc w:val="both"/>
              <w:rPr>
                <w:iCs/>
                <w:sz w:val="20"/>
                <w:szCs w:val="20"/>
              </w:rPr>
            </w:pPr>
            <w:r w:rsidRPr="00E50B51">
              <w:rPr>
                <w:iCs/>
                <w:sz w:val="20"/>
                <w:szCs w:val="20"/>
              </w:rPr>
              <w:t xml:space="preserve">Cruel &amp; </w:t>
            </w:r>
            <w:proofErr w:type="spellStart"/>
            <w:r w:rsidRPr="00E50B51">
              <w:rPr>
                <w:iCs/>
                <w:sz w:val="20"/>
                <w:szCs w:val="20"/>
              </w:rPr>
              <w:t>Unusual</w:t>
            </w:r>
            <w:proofErr w:type="spellEnd"/>
            <w:r w:rsidRPr="00E50B51">
              <w:rPr>
                <w:iCs/>
                <w:sz w:val="20"/>
                <w:szCs w:val="20"/>
              </w:rPr>
              <w:t xml:space="preserve"> </w:t>
            </w:r>
            <w:proofErr w:type="spellStart"/>
            <w:r w:rsidRPr="00E50B51">
              <w:rPr>
                <w:iCs/>
                <w:sz w:val="20"/>
                <w:szCs w:val="20"/>
              </w:rPr>
              <w:t>Punishment</w:t>
            </w:r>
            <w:proofErr w:type="spellEnd"/>
          </w:p>
        </w:tc>
        <w:tc>
          <w:tcPr>
            <w:tcW w:w="306" w:type="pct"/>
            <w:shd w:val="clear" w:color="auto" w:fill="E7E6E6" w:themeFill="background2"/>
            <w:textDirection w:val="tbRl"/>
            <w:vAlign w:val="center"/>
          </w:tcPr>
          <w:p w14:paraId="0B0D8F5A"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22413801"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3B0E3CB4" w14:textId="77777777" w:rsidR="00074551" w:rsidRPr="00E50B51" w:rsidRDefault="00074551" w:rsidP="00367133">
            <w:pPr>
              <w:jc w:val="both"/>
              <w:rPr>
                <w:sz w:val="20"/>
                <w:szCs w:val="20"/>
                <w:lang w:val="en-US"/>
              </w:rPr>
            </w:pPr>
          </w:p>
        </w:tc>
        <w:tc>
          <w:tcPr>
            <w:tcW w:w="1822" w:type="pct"/>
            <w:shd w:val="clear" w:color="auto" w:fill="E7E6E6" w:themeFill="background2"/>
          </w:tcPr>
          <w:p w14:paraId="2C3BA407" w14:textId="78AC560A"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1E1ADB6E" w14:textId="77777777" w:rsidTr="00BE689F">
        <w:trPr>
          <w:cantSplit/>
          <w:trHeight w:val="3175"/>
        </w:trPr>
        <w:tc>
          <w:tcPr>
            <w:tcW w:w="293" w:type="pct"/>
          </w:tcPr>
          <w:p w14:paraId="1AD29A34"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1C727CBB" w14:textId="77777777" w:rsidR="00074551" w:rsidRPr="00E50B51" w:rsidRDefault="00074551" w:rsidP="00367133">
            <w:pPr>
              <w:ind w:left="113" w:right="416"/>
              <w:jc w:val="both"/>
              <w:rPr>
                <w:sz w:val="20"/>
                <w:szCs w:val="20"/>
                <w:lang w:val="en-US"/>
              </w:rPr>
            </w:pPr>
            <w:r w:rsidRPr="00D83E4F">
              <w:rPr>
                <w:i/>
                <w:sz w:val="20"/>
                <w:szCs w:val="20"/>
                <w:lang w:val="en-US"/>
              </w:rPr>
              <w:t>Fong Yue Ting v. United States</w:t>
            </w:r>
          </w:p>
        </w:tc>
        <w:tc>
          <w:tcPr>
            <w:tcW w:w="197" w:type="pct"/>
            <w:textDirection w:val="tbRl"/>
            <w:vAlign w:val="center"/>
          </w:tcPr>
          <w:p w14:paraId="6F27E27B" w14:textId="77777777" w:rsidR="00074551" w:rsidRPr="00E50B51" w:rsidRDefault="00074551" w:rsidP="00367133">
            <w:pPr>
              <w:ind w:left="113" w:right="113"/>
              <w:jc w:val="both"/>
              <w:rPr>
                <w:iCs/>
                <w:sz w:val="20"/>
                <w:szCs w:val="20"/>
              </w:rPr>
            </w:pPr>
            <w:r w:rsidRPr="00E50B51">
              <w:rPr>
                <w:sz w:val="20"/>
                <w:szCs w:val="20"/>
                <w:lang w:val="en-US"/>
              </w:rPr>
              <w:t>149 U.S. 698</w:t>
            </w:r>
          </w:p>
        </w:tc>
        <w:tc>
          <w:tcPr>
            <w:tcW w:w="306" w:type="pct"/>
            <w:textDirection w:val="tbRl"/>
            <w:vAlign w:val="center"/>
          </w:tcPr>
          <w:p w14:paraId="68286CA3" w14:textId="77777777" w:rsidR="00074551" w:rsidRPr="00E50B51" w:rsidRDefault="00074551" w:rsidP="00367133">
            <w:pPr>
              <w:ind w:left="113" w:right="113"/>
              <w:jc w:val="both"/>
              <w:rPr>
                <w:sz w:val="20"/>
                <w:szCs w:val="20"/>
                <w:lang w:val="en-US"/>
              </w:rPr>
            </w:pPr>
            <w:r w:rsidRPr="00E50B51">
              <w:rPr>
                <w:sz w:val="20"/>
                <w:szCs w:val="20"/>
                <w:lang w:val="en-US"/>
              </w:rPr>
              <w:t>15. Mai 1893</w:t>
            </w:r>
          </w:p>
        </w:tc>
        <w:tc>
          <w:tcPr>
            <w:tcW w:w="401" w:type="pct"/>
          </w:tcPr>
          <w:p w14:paraId="71DC8EE4" w14:textId="77777777" w:rsidR="00074551" w:rsidRPr="00E50B51" w:rsidRDefault="00074551" w:rsidP="00367133">
            <w:pPr>
              <w:jc w:val="center"/>
              <w:rPr>
                <w:sz w:val="20"/>
                <w:szCs w:val="20"/>
                <w:lang w:val="en-US"/>
              </w:rPr>
            </w:pPr>
            <w:r w:rsidRPr="00E50B51">
              <w:rPr>
                <w:iCs/>
                <w:sz w:val="20"/>
                <w:szCs w:val="20"/>
                <w:lang w:val="en-US"/>
              </w:rPr>
              <w:t>M/D</w:t>
            </w:r>
          </w:p>
        </w:tc>
        <w:tc>
          <w:tcPr>
            <w:tcW w:w="1594" w:type="pct"/>
          </w:tcPr>
          <w:p w14:paraId="3562AD53" w14:textId="77777777" w:rsidR="00074551" w:rsidRPr="00E50B51" w:rsidRDefault="00074551" w:rsidP="00367133">
            <w:pPr>
              <w:jc w:val="both"/>
              <w:rPr>
                <w:sz w:val="20"/>
                <w:szCs w:val="20"/>
              </w:rPr>
            </w:pPr>
            <w:r w:rsidRPr="00E50B51">
              <w:rPr>
                <w:sz w:val="20"/>
                <w:szCs w:val="20"/>
                <w:lang w:val="en-US"/>
              </w:rPr>
              <w:t xml:space="preserve">In </w:t>
            </w:r>
            <w:r w:rsidRPr="5B67C1D2">
              <w:rPr>
                <w:i/>
                <w:iCs/>
                <w:sz w:val="20"/>
                <w:szCs w:val="20"/>
                <w:lang w:val="en-US"/>
              </w:rPr>
              <w:t>Fong Yue Ting v. United States</w:t>
            </w:r>
            <w:r>
              <w:rPr>
                <w:sz w:val="20"/>
                <w:szCs w:val="20"/>
                <w:lang w:val="en-US"/>
              </w:rPr>
              <w:t>,</w:t>
            </w:r>
            <w:r w:rsidRPr="5B67C1D2">
              <w:rPr>
                <w:rStyle w:val="Funotenzeichen"/>
                <w:rFonts w:eastAsiaTheme="majorEastAsia"/>
                <w:sz w:val="20"/>
                <w:szCs w:val="20"/>
              </w:rPr>
              <w:footnoteReference w:id="2243"/>
            </w:r>
            <w:r w:rsidRPr="00E50B51">
              <w:rPr>
                <w:sz w:val="20"/>
                <w:szCs w:val="20"/>
                <w:lang w:val="en-US"/>
              </w:rPr>
              <w:t xml:space="preserve"> </w:t>
            </w:r>
            <w:proofErr w:type="spellStart"/>
            <w:r w:rsidRPr="00E50B51">
              <w:rPr>
                <w:sz w:val="20"/>
                <w:szCs w:val="20"/>
                <w:lang w:val="en-US"/>
              </w:rPr>
              <w:t>respektive</w:t>
            </w:r>
            <w:proofErr w:type="spellEnd"/>
            <w:r w:rsidRPr="00E50B51">
              <w:rPr>
                <w:sz w:val="20"/>
                <w:szCs w:val="20"/>
                <w:lang w:val="en-US"/>
              </w:rPr>
              <w:t xml:space="preserve"> in </w:t>
            </w:r>
            <w:r w:rsidRPr="5B67C1D2">
              <w:rPr>
                <w:i/>
                <w:iCs/>
                <w:sz w:val="20"/>
                <w:szCs w:val="20"/>
                <w:lang w:val="en-US"/>
              </w:rPr>
              <w:t>Ho Ah Kow v. Nunan</w:t>
            </w:r>
            <w:r w:rsidRPr="00E50B51">
              <w:rPr>
                <w:sz w:val="20"/>
                <w:szCs w:val="20"/>
                <w:lang w:val="en-US"/>
              </w:rPr>
              <w:t>,</w:t>
            </w:r>
            <w:r w:rsidRPr="5B67C1D2">
              <w:rPr>
                <w:rStyle w:val="Funotenzeichen"/>
                <w:rFonts w:eastAsiaTheme="majorEastAsia"/>
                <w:sz w:val="20"/>
                <w:szCs w:val="20"/>
              </w:rPr>
              <w:footnoteReference w:id="2244"/>
            </w:r>
            <w:r w:rsidRPr="00E50B51">
              <w:rPr>
                <w:sz w:val="20"/>
                <w:szCs w:val="20"/>
                <w:lang w:val="en-US"/>
              </w:rPr>
              <w:t xml:space="preserve"> </w:t>
            </w:r>
            <w:proofErr w:type="spellStart"/>
            <w:r w:rsidRPr="00E50B51">
              <w:rPr>
                <w:sz w:val="20"/>
                <w:szCs w:val="20"/>
                <w:lang w:val="en-US"/>
              </w:rPr>
              <w:t>beschreibt</w:t>
            </w:r>
            <w:proofErr w:type="spellEnd"/>
            <w:r w:rsidRPr="00E50B51">
              <w:rPr>
                <w:sz w:val="20"/>
                <w:szCs w:val="20"/>
                <w:lang w:val="en-US"/>
              </w:rPr>
              <w:t xml:space="preserve"> der </w:t>
            </w:r>
            <w:r>
              <w:rPr>
                <w:sz w:val="20"/>
                <w:szCs w:val="20"/>
                <w:lang w:val="en-US"/>
              </w:rPr>
              <w:t>U.S. Supreme Court</w:t>
            </w:r>
            <w:r w:rsidRPr="00E50B51">
              <w:rPr>
                <w:sz w:val="20"/>
                <w:szCs w:val="20"/>
                <w:lang w:val="en-US"/>
              </w:rPr>
              <w:t xml:space="preserve"> </w:t>
            </w:r>
            <w:proofErr w:type="spellStart"/>
            <w:r w:rsidRPr="00E50B51">
              <w:rPr>
                <w:sz w:val="20"/>
                <w:szCs w:val="20"/>
                <w:lang w:val="en-US"/>
              </w:rPr>
              <w:t>verfassungsrechtliche</w:t>
            </w:r>
            <w:proofErr w:type="spellEnd"/>
            <w:r w:rsidRPr="00E50B51">
              <w:rPr>
                <w:sz w:val="20"/>
                <w:szCs w:val="20"/>
                <w:lang w:val="en-US"/>
              </w:rPr>
              <w:t xml:space="preserve"> </w:t>
            </w:r>
            <w:proofErr w:type="spellStart"/>
            <w:r w:rsidRPr="00E50B51">
              <w:rPr>
                <w:sz w:val="20"/>
                <w:szCs w:val="20"/>
                <w:lang w:val="en-US"/>
              </w:rPr>
              <w:t>Maximen</w:t>
            </w:r>
            <w:proofErr w:type="spellEnd"/>
            <w:r w:rsidRPr="00E50B51">
              <w:rPr>
                <w:sz w:val="20"/>
                <w:szCs w:val="20"/>
                <w:lang w:val="en-US"/>
              </w:rPr>
              <w:t xml:space="preserve"> („maxims of constitutional </w:t>
            </w:r>
            <w:proofErr w:type="gramStart"/>
            <w:r w:rsidRPr="00E50B51">
              <w:rPr>
                <w:sz w:val="20"/>
                <w:szCs w:val="20"/>
                <w:lang w:val="en-US"/>
              </w:rPr>
              <w:t>law“</w:t>
            </w:r>
            <w:proofErr w:type="gramEnd"/>
            <w:r w:rsidRPr="5B67C1D2">
              <w:rPr>
                <w:rStyle w:val="Funotenzeichen"/>
                <w:rFonts w:eastAsiaTheme="majorEastAsia"/>
                <w:sz w:val="20"/>
                <w:szCs w:val="20"/>
              </w:rPr>
              <w:footnoteReference w:id="2245"/>
            </w:r>
            <w:r w:rsidRPr="00E50B51">
              <w:rPr>
                <w:sz w:val="20"/>
                <w:szCs w:val="20"/>
                <w:lang w:val="en-US"/>
              </w:rPr>
              <w:t xml:space="preserve">) </w:t>
            </w:r>
            <w:proofErr w:type="spellStart"/>
            <w:r w:rsidRPr="00E50B51">
              <w:rPr>
                <w:sz w:val="20"/>
                <w:szCs w:val="20"/>
                <w:lang w:val="en-US"/>
              </w:rPr>
              <w:t>wie</w:t>
            </w:r>
            <w:proofErr w:type="spellEnd"/>
            <w:r w:rsidRPr="00E50B51">
              <w:rPr>
                <w:sz w:val="20"/>
                <w:szCs w:val="20"/>
                <w:lang w:val="en-US"/>
              </w:rPr>
              <w:t xml:space="preserve"> </w:t>
            </w:r>
            <w:r>
              <w:rPr>
                <w:sz w:val="20"/>
                <w:szCs w:val="20"/>
                <w:lang w:val="en-US"/>
              </w:rPr>
              <w:t>das</w:t>
            </w:r>
            <w:r w:rsidRPr="00E50B51">
              <w:rPr>
                <w:sz w:val="20"/>
                <w:szCs w:val="20"/>
                <w:lang w:val="en-US"/>
              </w:rPr>
              <w:t xml:space="preserve"> </w:t>
            </w:r>
            <w:r w:rsidRPr="5B67C1D2">
              <w:rPr>
                <w:i/>
                <w:iCs/>
                <w:sz w:val="20"/>
                <w:szCs w:val="20"/>
                <w:lang w:val="en-US"/>
              </w:rPr>
              <w:t>pursuit of Happiness</w:t>
            </w:r>
            <w:r w:rsidRPr="00E50B51">
              <w:rPr>
                <w:sz w:val="20"/>
                <w:szCs w:val="20"/>
                <w:lang w:val="en-US"/>
              </w:rPr>
              <w:t xml:space="preserve">. Sie </w:t>
            </w:r>
            <w:proofErr w:type="spellStart"/>
            <w:r w:rsidRPr="00E50B51">
              <w:rPr>
                <w:sz w:val="20"/>
                <w:szCs w:val="20"/>
                <w:lang w:val="en-US"/>
              </w:rPr>
              <w:t>stünden</w:t>
            </w:r>
            <w:proofErr w:type="spellEnd"/>
            <w:r w:rsidRPr="00E50B51">
              <w:rPr>
                <w:sz w:val="20"/>
                <w:szCs w:val="20"/>
                <w:lang w:val="en-US"/>
              </w:rPr>
              <w:t xml:space="preserve"> </w:t>
            </w:r>
            <w:proofErr w:type="spellStart"/>
            <w:r w:rsidRPr="00E50B51">
              <w:rPr>
                <w:sz w:val="20"/>
                <w:szCs w:val="20"/>
                <w:lang w:val="en-US"/>
              </w:rPr>
              <w:t>allen</w:t>
            </w:r>
            <w:proofErr w:type="spellEnd"/>
            <w:r w:rsidRPr="00E50B51">
              <w:rPr>
                <w:sz w:val="20"/>
                <w:szCs w:val="20"/>
                <w:lang w:val="en-US"/>
              </w:rPr>
              <w:t xml:space="preserve"> Menschen </w:t>
            </w:r>
            <w:proofErr w:type="spellStart"/>
            <w:r w:rsidRPr="00E50B51">
              <w:rPr>
                <w:sz w:val="20"/>
                <w:szCs w:val="20"/>
                <w:lang w:val="en-US"/>
              </w:rPr>
              <w:t>zu</w:t>
            </w:r>
            <w:proofErr w:type="spellEnd"/>
            <w:r w:rsidRPr="00E50B51">
              <w:rPr>
                <w:sz w:val="20"/>
                <w:szCs w:val="20"/>
                <w:lang w:val="en-US"/>
              </w:rPr>
              <w:t xml:space="preserve"> (</w:t>
            </w:r>
            <w:r>
              <w:rPr>
                <w:sz w:val="20"/>
                <w:szCs w:val="20"/>
                <w:lang w:val="en-US"/>
              </w:rPr>
              <w:t>„</w:t>
            </w:r>
            <w:r w:rsidRPr="00E50B51">
              <w:rPr>
                <w:sz w:val="20"/>
                <w:szCs w:val="20"/>
                <w:lang w:val="en-US"/>
              </w:rPr>
              <w:t xml:space="preserve">government of his country extends protection to all persons within its </w:t>
            </w:r>
            <w:proofErr w:type="gramStart"/>
            <w:r w:rsidRPr="00E50B51">
              <w:rPr>
                <w:sz w:val="20"/>
                <w:szCs w:val="20"/>
                <w:lang w:val="en-US"/>
              </w:rPr>
              <w:t>jurisdiction</w:t>
            </w:r>
            <w:r>
              <w:rPr>
                <w:sz w:val="20"/>
                <w:szCs w:val="20"/>
                <w:lang w:val="en-US"/>
              </w:rPr>
              <w:t>“</w:t>
            </w:r>
            <w:proofErr w:type="gramEnd"/>
            <w:r w:rsidRPr="5B67C1D2">
              <w:rPr>
                <w:rStyle w:val="Funotenzeichen"/>
                <w:rFonts w:eastAsiaTheme="majorEastAsia"/>
                <w:sz w:val="20"/>
                <w:szCs w:val="20"/>
              </w:rPr>
              <w:footnoteReference w:id="2246"/>
            </w:r>
            <w:r w:rsidRPr="00E50B51">
              <w:rPr>
                <w:sz w:val="20"/>
                <w:szCs w:val="20"/>
                <w:lang w:val="en-US"/>
              </w:rPr>
              <w:t xml:space="preserve">). </w:t>
            </w:r>
            <w:r w:rsidRPr="00E50B51">
              <w:rPr>
                <w:sz w:val="20"/>
                <w:szCs w:val="20"/>
              </w:rPr>
              <w:t xml:space="preserve">Dies </w:t>
            </w:r>
            <w:r>
              <w:rPr>
                <w:sz w:val="20"/>
                <w:szCs w:val="20"/>
              </w:rPr>
              <w:t>ergebe</w:t>
            </w:r>
            <w:r w:rsidRPr="00E50B51">
              <w:rPr>
                <w:sz w:val="20"/>
                <w:szCs w:val="20"/>
              </w:rPr>
              <w:t xml:space="preserve"> sich nicht nur aus dem Gehalt als Maxime, sondern auch aus dem naturrechtlichen Charakter und der Gründungsgeschichte, d.h. Amerika als Einwanderungsland.</w:t>
            </w:r>
            <w:r w:rsidRPr="5B67C1D2">
              <w:rPr>
                <w:rStyle w:val="Funotenzeichen"/>
                <w:rFonts w:eastAsiaTheme="majorEastAsia"/>
                <w:sz w:val="20"/>
                <w:szCs w:val="20"/>
              </w:rPr>
              <w:footnoteReference w:id="2247"/>
            </w:r>
            <w:r w:rsidRPr="00E50B51">
              <w:rPr>
                <w:sz w:val="20"/>
                <w:szCs w:val="20"/>
              </w:rPr>
              <w:t xml:space="preserve"> Im Fall griffen Chinesen, die in den Vereinigten Staaten lebten, den sog. </w:t>
            </w:r>
            <w:r w:rsidRPr="5B67C1D2">
              <w:rPr>
                <w:i/>
                <w:iCs/>
                <w:sz w:val="20"/>
                <w:szCs w:val="20"/>
              </w:rPr>
              <w:t>Great Act</w:t>
            </w:r>
            <w:r w:rsidRPr="00E50B51">
              <w:rPr>
                <w:sz w:val="20"/>
                <w:szCs w:val="20"/>
              </w:rPr>
              <w:t xml:space="preserve"> an, den </w:t>
            </w:r>
            <w:r>
              <w:rPr>
                <w:sz w:val="20"/>
                <w:szCs w:val="20"/>
              </w:rPr>
              <w:t>der</w:t>
            </w:r>
            <w:r w:rsidRPr="00E50B51">
              <w:rPr>
                <w:sz w:val="20"/>
                <w:szCs w:val="20"/>
              </w:rPr>
              <w:t xml:space="preserve"> </w:t>
            </w:r>
            <w:r w:rsidRPr="5B67C1D2">
              <w:rPr>
                <w:i/>
                <w:iCs/>
                <w:sz w:val="20"/>
                <w:szCs w:val="20"/>
              </w:rPr>
              <w:t xml:space="preserve">Chinese </w:t>
            </w:r>
            <w:proofErr w:type="spellStart"/>
            <w:r w:rsidRPr="5B67C1D2">
              <w:rPr>
                <w:i/>
                <w:iCs/>
                <w:sz w:val="20"/>
                <w:szCs w:val="20"/>
              </w:rPr>
              <w:t>Exclusion</w:t>
            </w:r>
            <w:proofErr w:type="spellEnd"/>
            <w:r w:rsidRPr="5B67C1D2">
              <w:rPr>
                <w:i/>
                <w:iCs/>
                <w:sz w:val="20"/>
                <w:szCs w:val="20"/>
              </w:rPr>
              <w:t xml:space="preserve"> Act</w:t>
            </w:r>
            <w:r w:rsidRPr="00E50B51">
              <w:rPr>
                <w:sz w:val="20"/>
                <w:szCs w:val="20"/>
              </w:rPr>
              <w:t xml:space="preserve"> verschärft hatte.</w:t>
            </w:r>
            <w:r w:rsidRPr="5B67C1D2">
              <w:rPr>
                <w:rStyle w:val="Funotenzeichen"/>
                <w:rFonts w:eastAsiaTheme="majorEastAsia"/>
                <w:sz w:val="20"/>
                <w:szCs w:val="20"/>
              </w:rPr>
              <w:footnoteReference w:id="2248"/>
            </w:r>
            <w:r w:rsidRPr="00E50B51">
              <w:rPr>
                <w:sz w:val="20"/>
                <w:szCs w:val="20"/>
              </w:rPr>
              <w:t xml:space="preserve"> Die Regierung ändert den Great Act dahingehend, dass er von Chinesen eine Aufenthaltsbescheinigungen verlang</w:t>
            </w:r>
            <w:r>
              <w:rPr>
                <w:sz w:val="20"/>
                <w:szCs w:val="20"/>
              </w:rPr>
              <w:t>t</w:t>
            </w:r>
            <w:r w:rsidRPr="00E50B51">
              <w:rPr>
                <w:sz w:val="20"/>
                <w:szCs w:val="20"/>
              </w:rPr>
              <w:t>e. Hatte ein chinesischer Staatsbürger die Bescheinigung nicht bzw. nicht erhalten können, ermöglich</w:t>
            </w:r>
            <w:r>
              <w:rPr>
                <w:sz w:val="20"/>
                <w:szCs w:val="20"/>
              </w:rPr>
              <w:t>t</w:t>
            </w:r>
            <w:r w:rsidRPr="00E50B51">
              <w:rPr>
                <w:sz w:val="20"/>
                <w:szCs w:val="20"/>
              </w:rPr>
              <w:t>e das Gesetz nunmehr</w:t>
            </w:r>
            <w:r>
              <w:rPr>
                <w:sz w:val="20"/>
                <w:szCs w:val="20"/>
              </w:rPr>
              <w:t xml:space="preserve"> dessen Verhaftung und Ausweisung –</w:t>
            </w:r>
            <w:r w:rsidRPr="00E50B51">
              <w:rPr>
                <w:sz w:val="20"/>
                <w:szCs w:val="20"/>
              </w:rPr>
              <w:t xml:space="preserve"> auch wenn der Einzelne nicht gegen andere Gesetze verstoßen hatte. Der </w:t>
            </w:r>
            <w:r>
              <w:rPr>
                <w:sz w:val="20"/>
                <w:szCs w:val="20"/>
              </w:rPr>
              <w:t>U.S. Supreme Court</w:t>
            </w:r>
            <w:r w:rsidRPr="00E50B51">
              <w:rPr>
                <w:sz w:val="20"/>
                <w:szCs w:val="20"/>
              </w:rPr>
              <w:t xml:space="preserve"> hielt das Gesetz für verfassungsgemäß. </w:t>
            </w:r>
          </w:p>
          <w:p w14:paraId="25A02398" w14:textId="77777777" w:rsidR="00074551" w:rsidRPr="00B45592" w:rsidRDefault="00074551" w:rsidP="00367133">
            <w:pPr>
              <w:jc w:val="both"/>
              <w:rPr>
                <w:sz w:val="20"/>
                <w:szCs w:val="20"/>
              </w:rPr>
            </w:pPr>
          </w:p>
        </w:tc>
        <w:tc>
          <w:tcPr>
            <w:tcW w:w="1822" w:type="pct"/>
          </w:tcPr>
          <w:p w14:paraId="3B093E58" w14:textId="77777777" w:rsidR="00074551" w:rsidRDefault="00074551" w:rsidP="00367133">
            <w:pPr>
              <w:jc w:val="both"/>
              <w:rPr>
                <w:sz w:val="20"/>
                <w:szCs w:val="20"/>
              </w:rPr>
            </w:pPr>
            <w:r w:rsidRPr="000460CD">
              <w:rPr>
                <w:sz w:val="20"/>
                <w:szCs w:val="20"/>
              </w:rPr>
              <w:t xml:space="preserve">In der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5B67C1D2">
              <w:rPr>
                <w:i/>
                <w:iCs/>
                <w:sz w:val="20"/>
                <w:szCs w:val="20"/>
              </w:rPr>
              <w:t xml:space="preserve"> </w:t>
            </w:r>
            <w:r w:rsidRPr="000460CD">
              <w:rPr>
                <w:sz w:val="20"/>
                <w:szCs w:val="20"/>
              </w:rPr>
              <w:t xml:space="preserve">heißt es, eine Ausweisung sei keine Strafe im Sinne des Strafrechts, sondern zunächst einmal nur eine Verfügung. Sie sei Mittel, um die Rückkehr eines Ausländers in sein Heimatland zu erzwingen. Denn der Betroffene erfülle die Bedingungen des Bleiberechts nicht mehr. Diese hatte aber die Exekutive im Rahmen ihrer Kompetenz bestimmt. Dabei entziehe die Exekutive dem Ausgewiesenen weder Leben noch Freiheit oder Eigentum ohne ein rechtsstaatliches Verfahren nach den Amendments wie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0460CD">
              <w:rPr>
                <w:sz w:val="20"/>
                <w:szCs w:val="20"/>
              </w:rPr>
              <w:t xml:space="preserve">, so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0460CD">
              <w:rPr>
                <w:sz w:val="20"/>
                <w:szCs w:val="20"/>
              </w:rPr>
              <w:t>. Denn diese Verfassungsbestimmungen f</w:t>
            </w:r>
            <w:r>
              <w:rPr>
                <w:sz w:val="20"/>
                <w:szCs w:val="20"/>
              </w:rPr>
              <w:t>ä</w:t>
            </w:r>
            <w:r w:rsidRPr="000460CD">
              <w:rPr>
                <w:sz w:val="20"/>
                <w:szCs w:val="20"/>
              </w:rPr>
              <w:t>nden gar keine Anwendung; schließlich drück</w:t>
            </w:r>
            <w:r>
              <w:rPr>
                <w:sz w:val="20"/>
                <w:szCs w:val="20"/>
              </w:rPr>
              <w:t>t</w:t>
            </w:r>
            <w:r w:rsidRPr="000460CD">
              <w:rPr>
                <w:sz w:val="20"/>
                <w:szCs w:val="20"/>
              </w:rPr>
              <w:t>en sie sich zuvorderst darin aus, ein Recht auf Geschworene zu haben – oder sie schütz</w:t>
            </w:r>
            <w:r>
              <w:rPr>
                <w:sz w:val="20"/>
                <w:szCs w:val="20"/>
              </w:rPr>
              <w:t>t</w:t>
            </w:r>
            <w:r w:rsidRPr="000460CD">
              <w:rPr>
                <w:sz w:val="20"/>
                <w:szCs w:val="20"/>
              </w:rPr>
              <w:t>en vor unangemessenen Durchsuchungen und Beschlagnahmungen sowie vor grausamen und harten Strafrechtsfolgen. Der Dissens widerspricht dieser Begründung. Er hält eine Ausweisung sehr wohl für eine Strafe. Daher müssten andere Ansprüche an ein rechtsstaatliches Verfahren gelten</w:t>
            </w:r>
            <w:r>
              <w:rPr>
                <w:sz w:val="20"/>
                <w:szCs w:val="20"/>
              </w:rPr>
              <w:t>,</w:t>
            </w:r>
            <w:r w:rsidRPr="000460CD">
              <w:rPr>
                <w:sz w:val="20"/>
                <w:szCs w:val="20"/>
              </w:rPr>
              <w:t xml:space="preserve"> als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0460CD">
              <w:rPr>
                <w:sz w:val="20"/>
                <w:szCs w:val="20"/>
              </w:rPr>
              <w:t xml:space="preserve"> meine. Er begründete dieses Widersprechen mit dem </w:t>
            </w:r>
            <w:proofErr w:type="spellStart"/>
            <w:r w:rsidRPr="5B67C1D2">
              <w:rPr>
                <w:i/>
                <w:iCs/>
                <w:sz w:val="20"/>
                <w:szCs w:val="20"/>
              </w:rPr>
              <w:t>pursuit</w:t>
            </w:r>
            <w:proofErr w:type="spellEnd"/>
            <w:r w:rsidRPr="5B67C1D2">
              <w:rPr>
                <w:i/>
                <w:iCs/>
                <w:sz w:val="20"/>
                <w:szCs w:val="20"/>
              </w:rPr>
              <w:t xml:space="preserve"> of Happiness</w:t>
            </w:r>
            <w:r w:rsidRPr="000460CD">
              <w:rPr>
                <w:sz w:val="20"/>
                <w:szCs w:val="20"/>
              </w:rPr>
              <w:t xml:space="preserve"> und zwei Folgeüberlegungen: Erstens sieht er eine Ausweisung als Strafe an</w:t>
            </w:r>
            <w:r>
              <w:rPr>
                <w:sz w:val="20"/>
                <w:szCs w:val="20"/>
              </w:rPr>
              <w:t>, w</w:t>
            </w:r>
            <w:r w:rsidRPr="000460CD">
              <w:rPr>
                <w:sz w:val="20"/>
                <w:szCs w:val="20"/>
              </w:rPr>
              <w:t xml:space="preserve">eshalb der </w:t>
            </w:r>
            <w:r>
              <w:rPr>
                <w:sz w:val="20"/>
                <w:szCs w:val="20"/>
              </w:rPr>
              <w:t>U.S. Supreme Court</w:t>
            </w:r>
            <w:r w:rsidRPr="000460CD">
              <w:rPr>
                <w:sz w:val="20"/>
                <w:szCs w:val="20"/>
              </w:rPr>
              <w:t xml:space="preserve"> damit zusammenhängende Verfassungsbestimmungen anzuwenden habe. Denn die Ausweisung entziehe Asyl; das nehme zugleich grundlegende Glücksbedingungen („</w:t>
            </w:r>
            <w:proofErr w:type="spellStart"/>
            <w:r w:rsidRPr="000460CD">
              <w:rPr>
                <w:sz w:val="20"/>
                <w:szCs w:val="20"/>
              </w:rPr>
              <w:t>asylum</w:t>
            </w:r>
            <w:proofErr w:type="spellEnd"/>
            <w:r w:rsidRPr="000460CD">
              <w:rPr>
                <w:sz w:val="20"/>
                <w:szCs w:val="20"/>
              </w:rPr>
              <w:t xml:space="preserve"> </w:t>
            </w:r>
            <w:proofErr w:type="spellStart"/>
            <w:r w:rsidRPr="000460CD">
              <w:rPr>
                <w:sz w:val="20"/>
                <w:szCs w:val="20"/>
              </w:rPr>
              <w:t>most</w:t>
            </w:r>
            <w:proofErr w:type="spellEnd"/>
            <w:r w:rsidRPr="000460CD">
              <w:rPr>
                <w:sz w:val="20"/>
                <w:szCs w:val="20"/>
              </w:rPr>
              <w:t xml:space="preserve"> </w:t>
            </w:r>
            <w:proofErr w:type="spellStart"/>
            <w:r w:rsidRPr="000460CD">
              <w:rPr>
                <w:sz w:val="20"/>
                <w:szCs w:val="20"/>
              </w:rPr>
              <w:t>auspicious</w:t>
            </w:r>
            <w:proofErr w:type="spellEnd"/>
            <w:r w:rsidRPr="000460CD">
              <w:rPr>
                <w:sz w:val="20"/>
                <w:szCs w:val="20"/>
              </w:rPr>
              <w:t xml:space="preserve"> to </w:t>
            </w:r>
            <w:proofErr w:type="spellStart"/>
            <w:r w:rsidRPr="000460CD">
              <w:rPr>
                <w:sz w:val="20"/>
                <w:szCs w:val="20"/>
              </w:rPr>
              <w:t>his</w:t>
            </w:r>
            <w:proofErr w:type="spellEnd"/>
            <w:r w:rsidRPr="000460CD">
              <w:rPr>
                <w:sz w:val="20"/>
                <w:szCs w:val="20"/>
              </w:rPr>
              <w:t xml:space="preserve"> </w:t>
            </w:r>
            <w:proofErr w:type="spellStart"/>
            <w:r w:rsidRPr="000460CD">
              <w:rPr>
                <w:sz w:val="20"/>
                <w:szCs w:val="20"/>
              </w:rPr>
              <w:t>happiness</w:t>
            </w:r>
            <w:proofErr w:type="spellEnd"/>
            <w:r w:rsidRPr="000460CD">
              <w:rPr>
                <w:sz w:val="20"/>
                <w:szCs w:val="20"/>
              </w:rPr>
              <w:t>“</w:t>
            </w:r>
            <w:r w:rsidRPr="000460CD">
              <w:rPr>
                <w:sz w:val="20"/>
                <w:szCs w:val="20"/>
                <w:vertAlign w:val="superscript"/>
              </w:rPr>
              <w:footnoteReference w:id="2249"/>
            </w:r>
            <w:r w:rsidRPr="000460CD">
              <w:rPr>
                <w:sz w:val="20"/>
                <w:szCs w:val="20"/>
              </w:rPr>
              <w:t xml:space="preserve">), </w:t>
            </w:r>
            <w:r>
              <w:rPr>
                <w:sz w:val="20"/>
                <w:szCs w:val="20"/>
              </w:rPr>
              <w:t>z.B.</w:t>
            </w:r>
            <w:r w:rsidRPr="000460CD">
              <w:rPr>
                <w:sz w:val="20"/>
                <w:szCs w:val="20"/>
              </w:rPr>
              <w:t xml:space="preserve"> menschliche Beziehungen, das eingesetzte Vermögen und Eigentum, die persönliche Freiheit bzw. Sicherheit wie auch den Schutz vor Krisen und Rache im Heimatstaat. Damit sei eine Ausweisung eine grausame und harte Strafe („</w:t>
            </w:r>
            <w:proofErr w:type="spellStart"/>
            <w:r w:rsidRPr="000460CD">
              <w:rPr>
                <w:sz w:val="20"/>
                <w:szCs w:val="20"/>
              </w:rPr>
              <w:t>punishment</w:t>
            </w:r>
            <w:proofErr w:type="spellEnd"/>
            <w:r w:rsidRPr="000460CD">
              <w:rPr>
                <w:sz w:val="20"/>
                <w:szCs w:val="20"/>
              </w:rPr>
              <w:t xml:space="preserve">; and </w:t>
            </w:r>
            <w:proofErr w:type="spellStart"/>
            <w:r w:rsidRPr="000460CD">
              <w:rPr>
                <w:sz w:val="20"/>
                <w:szCs w:val="20"/>
              </w:rPr>
              <w:t>that</w:t>
            </w:r>
            <w:proofErr w:type="spellEnd"/>
            <w:r w:rsidRPr="000460CD">
              <w:rPr>
                <w:sz w:val="20"/>
                <w:szCs w:val="20"/>
              </w:rPr>
              <w:t xml:space="preserve"> </w:t>
            </w:r>
            <w:proofErr w:type="spellStart"/>
            <w:r w:rsidRPr="000460CD">
              <w:rPr>
                <w:sz w:val="20"/>
                <w:szCs w:val="20"/>
              </w:rPr>
              <w:t>oftentimes</w:t>
            </w:r>
            <w:proofErr w:type="spellEnd"/>
            <w:r w:rsidRPr="000460CD">
              <w:rPr>
                <w:sz w:val="20"/>
                <w:szCs w:val="20"/>
              </w:rPr>
              <w:t xml:space="preserve"> </w:t>
            </w:r>
            <w:proofErr w:type="spellStart"/>
            <w:r w:rsidRPr="000460CD">
              <w:rPr>
                <w:sz w:val="20"/>
                <w:szCs w:val="20"/>
              </w:rPr>
              <w:t>most</w:t>
            </w:r>
            <w:proofErr w:type="spellEnd"/>
            <w:r w:rsidRPr="000460CD">
              <w:rPr>
                <w:sz w:val="20"/>
                <w:szCs w:val="20"/>
              </w:rPr>
              <w:t xml:space="preserve"> </w:t>
            </w:r>
            <w:proofErr w:type="spellStart"/>
            <w:r w:rsidRPr="000460CD">
              <w:rPr>
                <w:sz w:val="20"/>
                <w:szCs w:val="20"/>
              </w:rPr>
              <w:t>severe</w:t>
            </w:r>
            <w:proofErr w:type="spellEnd"/>
            <w:r w:rsidRPr="000460CD">
              <w:rPr>
                <w:sz w:val="20"/>
                <w:szCs w:val="20"/>
              </w:rPr>
              <w:t xml:space="preserve"> and </w:t>
            </w:r>
            <w:proofErr w:type="spellStart"/>
            <w:r w:rsidRPr="000460CD">
              <w:rPr>
                <w:sz w:val="20"/>
                <w:szCs w:val="20"/>
              </w:rPr>
              <w:t>cruel</w:t>
            </w:r>
            <w:proofErr w:type="spellEnd"/>
            <w:r w:rsidRPr="000460CD">
              <w:rPr>
                <w:sz w:val="20"/>
                <w:szCs w:val="20"/>
              </w:rPr>
              <w:t>“</w:t>
            </w:r>
            <w:r w:rsidRPr="000460CD">
              <w:rPr>
                <w:sz w:val="20"/>
                <w:szCs w:val="20"/>
                <w:vertAlign w:val="superscript"/>
              </w:rPr>
              <w:footnoteReference w:id="2250"/>
            </w:r>
            <w:r w:rsidRPr="000460CD">
              <w:rPr>
                <w:sz w:val="20"/>
                <w:szCs w:val="20"/>
              </w:rPr>
              <w:t>). Wenn dies nicht so sei, wäre es schwierig, sich vorzustellen, was überhaupt noch unter den Begriff der Strafe fallen solle – so der Dissens. Und zweitens argumentiert der Dissens: Da das Ziel</w:t>
            </w:r>
            <w:r>
              <w:rPr>
                <w:sz w:val="20"/>
                <w:szCs w:val="20"/>
              </w:rPr>
              <w:t>,</w:t>
            </w:r>
            <w:r w:rsidRPr="000460CD">
              <w:rPr>
                <w:sz w:val="20"/>
                <w:szCs w:val="20"/>
              </w:rPr>
              <w:t xml:space="preserve"> als Staat ausweisen zu können, verfassungsmäßig ist, stelle sich lediglich die Frage: Verhält sich das Verfahren für die Ausweisung im Rahmen der </w:t>
            </w:r>
            <w:r>
              <w:rPr>
                <w:sz w:val="20"/>
                <w:szCs w:val="20"/>
              </w:rPr>
              <w:t>U.S.</w:t>
            </w:r>
            <w:r w:rsidRPr="000460CD">
              <w:rPr>
                <w:sz w:val="20"/>
                <w:szCs w:val="20"/>
              </w:rPr>
              <w:t xml:space="preserve"> </w:t>
            </w:r>
            <w:proofErr w:type="spellStart"/>
            <w:r w:rsidRPr="000460CD">
              <w:rPr>
                <w:sz w:val="20"/>
                <w:szCs w:val="20"/>
              </w:rPr>
              <w:t>Const</w:t>
            </w:r>
            <w:proofErr w:type="spellEnd"/>
            <w:r w:rsidRPr="000460CD">
              <w:rPr>
                <w:sz w:val="20"/>
                <w:szCs w:val="20"/>
              </w:rPr>
              <w:t xml:space="preserve">.? Dies müsse der </w:t>
            </w:r>
            <w:r>
              <w:rPr>
                <w:sz w:val="20"/>
                <w:szCs w:val="20"/>
              </w:rPr>
              <w:t>U.S. Supreme Court</w:t>
            </w:r>
            <w:r w:rsidRPr="000460CD">
              <w:rPr>
                <w:sz w:val="20"/>
                <w:szCs w:val="20"/>
              </w:rPr>
              <w:t xml:space="preserve"> anhand der Verfassungsbestimmungen prüfen, die alle Personen vor staatlichen Eingriffen schütz</w:t>
            </w:r>
            <w:r>
              <w:rPr>
                <w:sz w:val="20"/>
                <w:szCs w:val="20"/>
              </w:rPr>
              <w:t>t</w:t>
            </w:r>
            <w:r w:rsidRPr="000460CD">
              <w:rPr>
                <w:sz w:val="20"/>
                <w:szCs w:val="20"/>
              </w:rPr>
              <w:t>en („</w:t>
            </w:r>
            <w:proofErr w:type="spellStart"/>
            <w:r w:rsidRPr="000460CD">
              <w:rPr>
                <w:sz w:val="20"/>
                <w:szCs w:val="20"/>
              </w:rPr>
              <w:t>tested</w:t>
            </w:r>
            <w:proofErr w:type="spellEnd"/>
            <w:r w:rsidRPr="000460CD">
              <w:rPr>
                <w:sz w:val="20"/>
                <w:szCs w:val="20"/>
              </w:rPr>
              <w:t xml:space="preserve"> by the </w:t>
            </w:r>
            <w:proofErr w:type="spellStart"/>
            <w:r w:rsidRPr="000460CD">
              <w:rPr>
                <w:sz w:val="20"/>
                <w:szCs w:val="20"/>
              </w:rPr>
              <w:t>provisions</w:t>
            </w:r>
            <w:proofErr w:type="spellEnd"/>
            <w:r w:rsidRPr="000460CD">
              <w:rPr>
                <w:sz w:val="20"/>
                <w:szCs w:val="20"/>
              </w:rPr>
              <w:t xml:space="preserve"> of the </w:t>
            </w:r>
            <w:proofErr w:type="spellStart"/>
            <w:r w:rsidRPr="000460CD">
              <w:rPr>
                <w:sz w:val="20"/>
                <w:szCs w:val="20"/>
              </w:rPr>
              <w:t>Constitution</w:t>
            </w:r>
            <w:proofErr w:type="spellEnd"/>
            <w:r w:rsidRPr="000460CD">
              <w:rPr>
                <w:sz w:val="20"/>
                <w:szCs w:val="20"/>
              </w:rPr>
              <w:t xml:space="preserve"> and </w:t>
            </w:r>
            <w:proofErr w:type="spellStart"/>
            <w:r w:rsidRPr="000460CD">
              <w:rPr>
                <w:sz w:val="20"/>
                <w:szCs w:val="20"/>
              </w:rPr>
              <w:t>laws</w:t>
            </w:r>
            <w:proofErr w:type="spellEnd"/>
            <w:r w:rsidRPr="000460CD">
              <w:rPr>
                <w:sz w:val="20"/>
                <w:szCs w:val="20"/>
              </w:rPr>
              <w:t xml:space="preserve"> </w:t>
            </w:r>
            <w:proofErr w:type="spellStart"/>
            <w:r w:rsidRPr="000460CD">
              <w:rPr>
                <w:sz w:val="20"/>
                <w:szCs w:val="20"/>
              </w:rPr>
              <w:t>intended</w:t>
            </w:r>
            <w:proofErr w:type="spellEnd"/>
            <w:r w:rsidRPr="000460CD">
              <w:rPr>
                <w:sz w:val="20"/>
                <w:szCs w:val="20"/>
              </w:rPr>
              <w:t xml:space="preserve"> for the </w:t>
            </w:r>
            <w:proofErr w:type="spellStart"/>
            <w:r w:rsidRPr="000460CD">
              <w:rPr>
                <w:sz w:val="20"/>
                <w:szCs w:val="20"/>
              </w:rPr>
              <w:t>protection</w:t>
            </w:r>
            <w:proofErr w:type="spellEnd"/>
            <w:r w:rsidRPr="000460CD">
              <w:rPr>
                <w:sz w:val="20"/>
                <w:szCs w:val="20"/>
              </w:rPr>
              <w:t xml:space="preserve"> of all </w:t>
            </w:r>
            <w:proofErr w:type="spellStart"/>
            <w:r w:rsidRPr="000460CD">
              <w:rPr>
                <w:sz w:val="20"/>
                <w:szCs w:val="20"/>
              </w:rPr>
              <w:t>persons</w:t>
            </w:r>
            <w:proofErr w:type="spellEnd"/>
            <w:r w:rsidRPr="000460CD">
              <w:rPr>
                <w:sz w:val="20"/>
                <w:szCs w:val="20"/>
              </w:rPr>
              <w:t xml:space="preserve"> </w:t>
            </w:r>
            <w:proofErr w:type="spellStart"/>
            <w:r w:rsidRPr="000460CD">
              <w:rPr>
                <w:sz w:val="20"/>
                <w:szCs w:val="20"/>
              </w:rPr>
              <w:t>against</w:t>
            </w:r>
            <w:proofErr w:type="spellEnd"/>
            <w:r w:rsidRPr="000460CD">
              <w:rPr>
                <w:sz w:val="20"/>
                <w:szCs w:val="20"/>
              </w:rPr>
              <w:t xml:space="preserve"> </w:t>
            </w:r>
            <w:proofErr w:type="spellStart"/>
            <w:r w:rsidRPr="000460CD">
              <w:rPr>
                <w:sz w:val="20"/>
                <w:szCs w:val="20"/>
              </w:rPr>
              <w:t>encroachment</w:t>
            </w:r>
            <w:proofErr w:type="spellEnd"/>
            <w:r w:rsidRPr="000460CD">
              <w:rPr>
                <w:sz w:val="20"/>
                <w:szCs w:val="20"/>
              </w:rPr>
              <w:t xml:space="preserve"> upon </w:t>
            </w:r>
            <w:proofErr w:type="spellStart"/>
            <w:r w:rsidRPr="000460CD">
              <w:rPr>
                <w:sz w:val="20"/>
                <w:szCs w:val="20"/>
              </w:rPr>
              <w:t>their</w:t>
            </w:r>
            <w:proofErr w:type="spellEnd"/>
            <w:r w:rsidRPr="000460CD">
              <w:rPr>
                <w:sz w:val="20"/>
                <w:szCs w:val="20"/>
              </w:rPr>
              <w:t xml:space="preserve"> </w:t>
            </w:r>
            <w:proofErr w:type="spellStart"/>
            <w:r w:rsidRPr="000460CD">
              <w:rPr>
                <w:sz w:val="20"/>
                <w:szCs w:val="20"/>
              </w:rPr>
              <w:t>rights</w:t>
            </w:r>
            <w:proofErr w:type="spellEnd"/>
            <w:r w:rsidRPr="000460CD">
              <w:rPr>
                <w:sz w:val="20"/>
                <w:szCs w:val="20"/>
              </w:rPr>
              <w:t>“</w:t>
            </w:r>
            <w:r w:rsidRPr="000460CD">
              <w:rPr>
                <w:sz w:val="20"/>
                <w:szCs w:val="20"/>
                <w:vertAlign w:val="superscript"/>
              </w:rPr>
              <w:footnoteReference w:id="2251"/>
            </w:r>
            <w:r w:rsidRPr="000460CD">
              <w:rPr>
                <w:sz w:val="20"/>
                <w:szCs w:val="20"/>
              </w:rPr>
              <w:t xml:space="preserve">). Es gebe Bestimmungen, die allen Personen nach der </w:t>
            </w:r>
            <w:r>
              <w:rPr>
                <w:sz w:val="20"/>
                <w:szCs w:val="20"/>
              </w:rPr>
              <w:t>U.S.</w:t>
            </w:r>
            <w:r w:rsidRPr="000460CD">
              <w:rPr>
                <w:sz w:val="20"/>
                <w:szCs w:val="20"/>
              </w:rPr>
              <w:t xml:space="preserve"> </w:t>
            </w:r>
            <w:proofErr w:type="spellStart"/>
            <w:r w:rsidRPr="000460CD">
              <w:rPr>
                <w:sz w:val="20"/>
                <w:szCs w:val="20"/>
              </w:rPr>
              <w:t>Const</w:t>
            </w:r>
            <w:proofErr w:type="spellEnd"/>
            <w:r w:rsidRPr="000460CD">
              <w:rPr>
                <w:sz w:val="20"/>
                <w:szCs w:val="20"/>
              </w:rPr>
              <w:t>. zuk</w:t>
            </w:r>
            <w:r>
              <w:rPr>
                <w:sz w:val="20"/>
                <w:szCs w:val="20"/>
              </w:rPr>
              <w:t>ä</w:t>
            </w:r>
            <w:r w:rsidRPr="000460CD">
              <w:rPr>
                <w:sz w:val="20"/>
                <w:szCs w:val="20"/>
              </w:rPr>
              <w:t xml:space="preserve">men, unabhängig </w:t>
            </w:r>
            <w:r>
              <w:rPr>
                <w:sz w:val="20"/>
                <w:szCs w:val="20"/>
              </w:rPr>
              <w:t xml:space="preserve">von </w:t>
            </w:r>
            <w:r w:rsidRPr="000460CD">
              <w:rPr>
                <w:sz w:val="20"/>
                <w:szCs w:val="20"/>
              </w:rPr>
              <w:t>ihrer Staatsangehörigkeit</w:t>
            </w:r>
            <w:r>
              <w:rPr>
                <w:sz w:val="20"/>
                <w:szCs w:val="20"/>
              </w:rPr>
              <w:t xml:space="preserve"> bzw. ihrem </w:t>
            </w:r>
            <w:r w:rsidRPr="000460CD">
              <w:rPr>
                <w:sz w:val="20"/>
                <w:szCs w:val="20"/>
              </w:rPr>
              <w:t xml:space="preserve">Standesrecht. Darunter falle das Recht auf das Leben, auf die Freiheit und auf das Streben nach Glück („fundamental </w:t>
            </w:r>
            <w:proofErr w:type="spellStart"/>
            <w:r w:rsidRPr="000460CD">
              <w:rPr>
                <w:sz w:val="20"/>
                <w:szCs w:val="20"/>
              </w:rPr>
              <w:t>rights</w:t>
            </w:r>
            <w:proofErr w:type="spellEnd"/>
            <w:r w:rsidRPr="000460CD">
              <w:rPr>
                <w:sz w:val="20"/>
                <w:szCs w:val="20"/>
              </w:rPr>
              <w:t xml:space="preserve"> to </w:t>
            </w:r>
            <w:proofErr w:type="spellStart"/>
            <w:r w:rsidRPr="000460CD">
              <w:rPr>
                <w:sz w:val="20"/>
                <w:szCs w:val="20"/>
              </w:rPr>
              <w:t>life</w:t>
            </w:r>
            <w:proofErr w:type="spellEnd"/>
            <w:r w:rsidRPr="000460CD">
              <w:rPr>
                <w:sz w:val="20"/>
                <w:szCs w:val="20"/>
              </w:rPr>
              <w:t xml:space="preserve">, </w:t>
            </w:r>
            <w:proofErr w:type="spellStart"/>
            <w:r w:rsidRPr="000460CD">
              <w:rPr>
                <w:sz w:val="20"/>
                <w:szCs w:val="20"/>
              </w:rPr>
              <w:t>liberty</w:t>
            </w:r>
            <w:proofErr w:type="spellEnd"/>
            <w:r w:rsidRPr="000460CD">
              <w:rPr>
                <w:sz w:val="20"/>
                <w:szCs w:val="20"/>
              </w:rPr>
              <w:t xml:space="preserve">, and the </w:t>
            </w:r>
            <w:proofErr w:type="spellStart"/>
            <w:r w:rsidRPr="000460CD">
              <w:rPr>
                <w:sz w:val="20"/>
                <w:szCs w:val="20"/>
              </w:rPr>
              <w:t>pursuit</w:t>
            </w:r>
            <w:proofErr w:type="spellEnd"/>
            <w:r w:rsidRPr="000460CD">
              <w:rPr>
                <w:sz w:val="20"/>
                <w:szCs w:val="20"/>
              </w:rPr>
              <w:t xml:space="preserve"> of </w:t>
            </w:r>
            <w:proofErr w:type="spellStart"/>
            <w:r w:rsidRPr="000460CD">
              <w:rPr>
                <w:sz w:val="20"/>
                <w:szCs w:val="20"/>
              </w:rPr>
              <w:t>happiness</w:t>
            </w:r>
            <w:proofErr w:type="spellEnd"/>
            <w:r w:rsidRPr="000460CD">
              <w:rPr>
                <w:sz w:val="20"/>
                <w:szCs w:val="20"/>
              </w:rPr>
              <w:t xml:space="preserve"> as individual </w:t>
            </w:r>
            <w:proofErr w:type="spellStart"/>
            <w:r w:rsidRPr="000460CD">
              <w:rPr>
                <w:sz w:val="20"/>
                <w:szCs w:val="20"/>
              </w:rPr>
              <w:t>possessions</w:t>
            </w:r>
            <w:proofErr w:type="spellEnd"/>
            <w:r w:rsidRPr="000460CD">
              <w:rPr>
                <w:sz w:val="20"/>
                <w:szCs w:val="20"/>
              </w:rPr>
              <w:t>“</w:t>
            </w:r>
            <w:r w:rsidRPr="000460CD">
              <w:rPr>
                <w:sz w:val="20"/>
                <w:szCs w:val="20"/>
                <w:vertAlign w:val="superscript"/>
              </w:rPr>
              <w:footnoteReference w:id="2252"/>
            </w:r>
            <w:r w:rsidRPr="000460CD">
              <w:rPr>
                <w:sz w:val="20"/>
                <w:szCs w:val="20"/>
              </w:rPr>
              <w:t>). Für Ausländer heiß</w:t>
            </w:r>
            <w:r>
              <w:rPr>
                <w:sz w:val="20"/>
                <w:szCs w:val="20"/>
              </w:rPr>
              <w:t>e</w:t>
            </w:r>
            <w:r w:rsidRPr="000460CD">
              <w:rPr>
                <w:sz w:val="20"/>
                <w:szCs w:val="20"/>
              </w:rPr>
              <w:t xml:space="preserve"> das, soweit ihre mit den USA friedlich kooperierenden Länder dem Aufenthalt dort zugestimmt h</w:t>
            </w:r>
            <w:r>
              <w:rPr>
                <w:sz w:val="20"/>
                <w:szCs w:val="20"/>
              </w:rPr>
              <w:t>ä</w:t>
            </w:r>
            <w:r w:rsidRPr="000460CD">
              <w:rPr>
                <w:sz w:val="20"/>
                <w:szCs w:val="20"/>
              </w:rPr>
              <w:t>tten, so gen</w:t>
            </w:r>
            <w:r>
              <w:rPr>
                <w:sz w:val="20"/>
                <w:szCs w:val="20"/>
              </w:rPr>
              <w:t>öss</w:t>
            </w:r>
            <w:r w:rsidRPr="000460CD">
              <w:rPr>
                <w:sz w:val="20"/>
                <w:szCs w:val="20"/>
              </w:rPr>
              <w:t xml:space="preserve">en sie die gleichen, </w:t>
            </w:r>
            <w:r w:rsidRPr="000460CD">
              <w:rPr>
                <w:sz w:val="20"/>
                <w:szCs w:val="20"/>
              </w:rPr>
              <w:lastRenderedPageBreak/>
              <w:t>grundlegenden Schutzgarantien wie US-Bürger („</w:t>
            </w:r>
            <w:proofErr w:type="spellStart"/>
            <w:r w:rsidRPr="000460CD">
              <w:rPr>
                <w:sz w:val="20"/>
                <w:szCs w:val="20"/>
              </w:rPr>
              <w:t>entitled</w:t>
            </w:r>
            <w:proofErr w:type="spellEnd"/>
            <w:r w:rsidRPr="000460CD">
              <w:rPr>
                <w:sz w:val="20"/>
                <w:szCs w:val="20"/>
              </w:rPr>
              <w:t xml:space="preserve"> to all the </w:t>
            </w:r>
            <w:proofErr w:type="spellStart"/>
            <w:r w:rsidRPr="000460CD">
              <w:rPr>
                <w:sz w:val="20"/>
                <w:szCs w:val="20"/>
              </w:rPr>
              <w:t>guaranties</w:t>
            </w:r>
            <w:proofErr w:type="spellEnd"/>
            <w:r w:rsidRPr="000460CD">
              <w:rPr>
                <w:sz w:val="20"/>
                <w:szCs w:val="20"/>
              </w:rPr>
              <w:t>“</w:t>
            </w:r>
            <w:r w:rsidRPr="000460CD">
              <w:rPr>
                <w:sz w:val="20"/>
                <w:szCs w:val="20"/>
                <w:vertAlign w:val="superscript"/>
              </w:rPr>
              <w:footnoteReference w:id="2253"/>
            </w:r>
            <w:r w:rsidRPr="000460CD">
              <w:rPr>
                <w:sz w:val="20"/>
                <w:szCs w:val="20"/>
              </w:rPr>
              <w:t>). Diese Schutzgarantien umfass</w:t>
            </w:r>
            <w:r>
              <w:rPr>
                <w:sz w:val="20"/>
                <w:szCs w:val="20"/>
              </w:rPr>
              <w:t>t</w:t>
            </w:r>
            <w:r w:rsidRPr="000460CD">
              <w:rPr>
                <w:sz w:val="20"/>
                <w:szCs w:val="20"/>
              </w:rPr>
              <w:t>en die Gleichheit vor dem Gesetz und den Schutz gegen Willkür. Ausländer dahingehend unterschiedlich zu behandeln, verstoße gegen jene Schutzgarantien. Doch woraus ergeben sich diese grundlegenden Schutzgarantien, auch Maximen genannt? Sie ergeben sich aus der Gesamtschau der amerikanischen Geschichte, Regierungspraxis und Verfassung („</w:t>
            </w:r>
            <w:proofErr w:type="spellStart"/>
            <w:r w:rsidRPr="000460CD">
              <w:rPr>
                <w:sz w:val="20"/>
                <w:szCs w:val="20"/>
              </w:rPr>
              <w:t>nature</w:t>
            </w:r>
            <w:proofErr w:type="spellEnd"/>
            <w:r w:rsidRPr="000460CD">
              <w:rPr>
                <w:sz w:val="20"/>
                <w:szCs w:val="20"/>
              </w:rPr>
              <w:t xml:space="preserve"> and </w:t>
            </w:r>
            <w:proofErr w:type="spellStart"/>
            <w:r w:rsidRPr="000460CD">
              <w:rPr>
                <w:sz w:val="20"/>
                <w:szCs w:val="20"/>
              </w:rPr>
              <w:t>theory</w:t>
            </w:r>
            <w:proofErr w:type="spellEnd"/>
            <w:r w:rsidRPr="000460CD">
              <w:rPr>
                <w:sz w:val="20"/>
                <w:szCs w:val="20"/>
              </w:rPr>
              <w:t xml:space="preserve"> of </w:t>
            </w:r>
            <w:proofErr w:type="spellStart"/>
            <w:r w:rsidRPr="000460CD">
              <w:rPr>
                <w:sz w:val="20"/>
                <w:szCs w:val="20"/>
              </w:rPr>
              <w:t>our</w:t>
            </w:r>
            <w:proofErr w:type="spellEnd"/>
            <w:r w:rsidRPr="000460CD">
              <w:rPr>
                <w:sz w:val="20"/>
                <w:szCs w:val="20"/>
              </w:rPr>
              <w:t xml:space="preserve"> </w:t>
            </w:r>
            <w:proofErr w:type="spellStart"/>
            <w:r w:rsidRPr="000460CD">
              <w:rPr>
                <w:sz w:val="20"/>
                <w:szCs w:val="20"/>
              </w:rPr>
              <w:t>institutions</w:t>
            </w:r>
            <w:proofErr w:type="spellEnd"/>
            <w:r w:rsidRPr="000460CD">
              <w:rPr>
                <w:sz w:val="20"/>
                <w:szCs w:val="20"/>
              </w:rPr>
              <w:t xml:space="preserve"> of </w:t>
            </w:r>
            <w:proofErr w:type="spellStart"/>
            <w:r w:rsidRPr="000460CD">
              <w:rPr>
                <w:sz w:val="20"/>
                <w:szCs w:val="20"/>
              </w:rPr>
              <w:t>government</w:t>
            </w:r>
            <w:proofErr w:type="spellEnd"/>
            <w:r w:rsidRPr="000460CD">
              <w:rPr>
                <w:sz w:val="20"/>
                <w:szCs w:val="20"/>
              </w:rPr>
              <w:t xml:space="preserve">, the </w:t>
            </w:r>
            <w:proofErr w:type="spellStart"/>
            <w:r w:rsidRPr="000460CD">
              <w:rPr>
                <w:sz w:val="20"/>
                <w:szCs w:val="20"/>
              </w:rPr>
              <w:t>principles</w:t>
            </w:r>
            <w:proofErr w:type="spellEnd"/>
            <w:r w:rsidRPr="000460CD">
              <w:rPr>
                <w:sz w:val="20"/>
                <w:szCs w:val="20"/>
              </w:rPr>
              <w:t>“</w:t>
            </w:r>
            <w:r w:rsidRPr="000460CD">
              <w:rPr>
                <w:sz w:val="20"/>
                <w:szCs w:val="20"/>
                <w:vertAlign w:val="superscript"/>
              </w:rPr>
              <w:footnoteReference w:id="2254"/>
            </w:r>
            <w:r w:rsidRPr="000460CD">
              <w:rPr>
                <w:sz w:val="20"/>
                <w:szCs w:val="20"/>
              </w:rPr>
              <w:t xml:space="preserve">). </w:t>
            </w:r>
            <w:r w:rsidRPr="000460CD">
              <w:rPr>
                <w:sz w:val="20"/>
                <w:szCs w:val="20"/>
                <w:lang w:val="en-US"/>
              </w:rPr>
              <w:t xml:space="preserve">Das Recht auf </w:t>
            </w:r>
            <w:proofErr w:type="spellStart"/>
            <w:r w:rsidRPr="000460CD">
              <w:rPr>
                <w:sz w:val="20"/>
                <w:szCs w:val="20"/>
                <w:lang w:val="en-US"/>
              </w:rPr>
              <w:t>ein</w:t>
            </w:r>
            <w:proofErr w:type="spellEnd"/>
            <w:r w:rsidRPr="000460CD">
              <w:rPr>
                <w:sz w:val="20"/>
                <w:szCs w:val="20"/>
                <w:lang w:val="en-US"/>
              </w:rPr>
              <w:t xml:space="preserve"> </w:t>
            </w:r>
            <w:proofErr w:type="spellStart"/>
            <w:r w:rsidRPr="000460CD">
              <w:rPr>
                <w:sz w:val="20"/>
                <w:szCs w:val="20"/>
                <w:lang w:val="en-US"/>
              </w:rPr>
              <w:t>Streben</w:t>
            </w:r>
            <w:proofErr w:type="spellEnd"/>
            <w:r w:rsidRPr="000460CD">
              <w:rPr>
                <w:sz w:val="20"/>
                <w:szCs w:val="20"/>
                <w:lang w:val="en-US"/>
              </w:rPr>
              <w:t xml:space="preserve"> </w:t>
            </w:r>
            <w:proofErr w:type="spellStart"/>
            <w:r w:rsidRPr="000460CD">
              <w:rPr>
                <w:sz w:val="20"/>
                <w:szCs w:val="20"/>
                <w:lang w:val="en-US"/>
              </w:rPr>
              <w:t>nach</w:t>
            </w:r>
            <w:proofErr w:type="spellEnd"/>
            <w:r w:rsidRPr="000460CD">
              <w:rPr>
                <w:sz w:val="20"/>
                <w:szCs w:val="20"/>
                <w:lang w:val="en-US"/>
              </w:rPr>
              <w:t xml:space="preserve"> Glück </w:t>
            </w:r>
            <w:proofErr w:type="spellStart"/>
            <w:r w:rsidRPr="000460CD">
              <w:rPr>
                <w:sz w:val="20"/>
                <w:szCs w:val="20"/>
                <w:lang w:val="en-US"/>
              </w:rPr>
              <w:t>stell</w:t>
            </w:r>
            <w:r>
              <w:rPr>
                <w:sz w:val="20"/>
                <w:szCs w:val="20"/>
                <w:lang w:val="en-US"/>
              </w:rPr>
              <w:t>e</w:t>
            </w:r>
            <w:proofErr w:type="spellEnd"/>
            <w:r w:rsidRPr="000460CD">
              <w:rPr>
                <w:sz w:val="20"/>
                <w:szCs w:val="20"/>
                <w:lang w:val="en-US"/>
              </w:rPr>
              <w:t xml:space="preserve"> </w:t>
            </w:r>
            <w:proofErr w:type="spellStart"/>
            <w:r w:rsidRPr="000460CD">
              <w:rPr>
                <w:sz w:val="20"/>
                <w:szCs w:val="20"/>
                <w:lang w:val="en-US"/>
              </w:rPr>
              <w:t>ein</w:t>
            </w:r>
            <w:proofErr w:type="spellEnd"/>
            <w:r w:rsidRPr="000460CD">
              <w:rPr>
                <w:sz w:val="20"/>
                <w:szCs w:val="20"/>
                <w:lang w:val="en-US"/>
              </w:rPr>
              <w:t xml:space="preserve"> den </w:t>
            </w:r>
            <w:proofErr w:type="spellStart"/>
            <w:r w:rsidRPr="000460CD">
              <w:rPr>
                <w:sz w:val="20"/>
                <w:szCs w:val="20"/>
                <w:lang w:val="en-US"/>
              </w:rPr>
              <w:t>Maximen</w:t>
            </w:r>
            <w:proofErr w:type="spellEnd"/>
            <w:r w:rsidRPr="000460CD">
              <w:rPr>
                <w:sz w:val="20"/>
                <w:szCs w:val="20"/>
                <w:lang w:val="en-US"/>
              </w:rPr>
              <w:t xml:space="preserve"> </w:t>
            </w:r>
            <w:proofErr w:type="spellStart"/>
            <w:r w:rsidRPr="000460CD">
              <w:rPr>
                <w:sz w:val="20"/>
                <w:szCs w:val="20"/>
                <w:lang w:val="en-US"/>
              </w:rPr>
              <w:t>zugrunde</w:t>
            </w:r>
            <w:proofErr w:type="spellEnd"/>
            <w:r>
              <w:rPr>
                <w:sz w:val="20"/>
                <w:szCs w:val="20"/>
                <w:lang w:val="en-US"/>
              </w:rPr>
              <w:t xml:space="preserve"> </w:t>
            </w:r>
            <w:proofErr w:type="spellStart"/>
            <w:r w:rsidRPr="000460CD">
              <w:rPr>
                <w:sz w:val="20"/>
                <w:szCs w:val="20"/>
                <w:lang w:val="en-US"/>
              </w:rPr>
              <w:t>liegendes</w:t>
            </w:r>
            <w:proofErr w:type="spellEnd"/>
            <w:r w:rsidRPr="000460CD">
              <w:rPr>
                <w:sz w:val="20"/>
                <w:szCs w:val="20"/>
                <w:lang w:val="en-US"/>
              </w:rPr>
              <w:t xml:space="preserve"> </w:t>
            </w:r>
            <w:proofErr w:type="spellStart"/>
            <w:r w:rsidRPr="000460CD">
              <w:rPr>
                <w:sz w:val="20"/>
                <w:szCs w:val="20"/>
                <w:lang w:val="en-US"/>
              </w:rPr>
              <w:t>Grundrecht</w:t>
            </w:r>
            <w:proofErr w:type="spellEnd"/>
            <w:r w:rsidRPr="000460CD">
              <w:rPr>
                <w:sz w:val="20"/>
                <w:szCs w:val="20"/>
                <w:lang w:val="en-US"/>
              </w:rPr>
              <w:t xml:space="preserve"> </w:t>
            </w:r>
            <w:proofErr w:type="spellStart"/>
            <w:r w:rsidRPr="000460CD">
              <w:rPr>
                <w:sz w:val="20"/>
                <w:szCs w:val="20"/>
                <w:lang w:val="en-US"/>
              </w:rPr>
              <w:t>dar</w:t>
            </w:r>
            <w:proofErr w:type="spellEnd"/>
            <w:r w:rsidRPr="000460CD">
              <w:rPr>
                <w:sz w:val="20"/>
                <w:szCs w:val="20"/>
                <w:lang w:val="en-US"/>
              </w:rPr>
              <w:t xml:space="preserve"> („The fundamental rights to […] the pursuit of happiness as individual possessions </w:t>
            </w:r>
            <w:proofErr w:type="gramStart"/>
            <w:r w:rsidRPr="000460CD">
              <w:rPr>
                <w:sz w:val="20"/>
                <w:szCs w:val="20"/>
                <w:lang w:val="en-US"/>
              </w:rPr>
              <w:t>are</w:t>
            </w:r>
            <w:proofErr w:type="gramEnd"/>
            <w:r w:rsidRPr="000460CD">
              <w:rPr>
                <w:sz w:val="20"/>
                <w:szCs w:val="20"/>
                <w:lang w:val="en-US"/>
              </w:rPr>
              <w:t xml:space="preserve"> secured by those maxims of constitutional </w:t>
            </w:r>
            <w:proofErr w:type="gramStart"/>
            <w:r w:rsidRPr="000460CD">
              <w:rPr>
                <w:sz w:val="20"/>
                <w:szCs w:val="20"/>
                <w:lang w:val="en-US"/>
              </w:rPr>
              <w:t>law“</w:t>
            </w:r>
            <w:proofErr w:type="gramEnd"/>
            <w:r w:rsidRPr="000460CD">
              <w:rPr>
                <w:sz w:val="20"/>
                <w:szCs w:val="20"/>
                <w:vertAlign w:val="superscript"/>
              </w:rPr>
              <w:footnoteReference w:id="2255"/>
            </w:r>
            <w:r w:rsidRPr="000460CD">
              <w:rPr>
                <w:sz w:val="20"/>
                <w:szCs w:val="20"/>
                <w:lang w:val="en-US"/>
              </w:rPr>
              <w:t xml:space="preserve">). </w:t>
            </w:r>
            <w:r w:rsidRPr="000460CD">
              <w:rPr>
                <w:sz w:val="20"/>
                <w:szCs w:val="20"/>
              </w:rPr>
              <w:t>Eine Entziehung dess</w:t>
            </w:r>
            <w:r>
              <w:rPr>
                <w:sz w:val="20"/>
                <w:szCs w:val="20"/>
              </w:rPr>
              <w:t>elb</w:t>
            </w:r>
            <w:r w:rsidRPr="000460CD">
              <w:rPr>
                <w:sz w:val="20"/>
                <w:szCs w:val="20"/>
              </w:rPr>
              <w:t xml:space="preserve">en mache Gesetze verfassungswidrig (“not </w:t>
            </w:r>
            <w:proofErr w:type="spellStart"/>
            <w:r w:rsidRPr="000460CD">
              <w:rPr>
                <w:sz w:val="20"/>
                <w:szCs w:val="20"/>
              </w:rPr>
              <w:t>permissible</w:t>
            </w:r>
            <w:proofErr w:type="spellEnd"/>
            <w:r w:rsidRPr="000460CD">
              <w:rPr>
                <w:sz w:val="20"/>
                <w:szCs w:val="20"/>
              </w:rPr>
              <w:t xml:space="preserve"> </w:t>
            </w:r>
            <w:proofErr w:type="spellStart"/>
            <w:r w:rsidRPr="000460CD">
              <w:rPr>
                <w:sz w:val="20"/>
                <w:szCs w:val="20"/>
              </w:rPr>
              <w:t>under</w:t>
            </w:r>
            <w:proofErr w:type="spellEnd"/>
            <w:r w:rsidRPr="000460CD">
              <w:rPr>
                <w:sz w:val="20"/>
                <w:szCs w:val="20"/>
              </w:rPr>
              <w:t xml:space="preserve"> </w:t>
            </w:r>
            <w:proofErr w:type="spellStart"/>
            <w:r w:rsidRPr="000460CD">
              <w:rPr>
                <w:sz w:val="20"/>
                <w:szCs w:val="20"/>
              </w:rPr>
              <w:t>our</w:t>
            </w:r>
            <w:proofErr w:type="spellEnd"/>
            <w:r w:rsidRPr="000460CD">
              <w:rPr>
                <w:sz w:val="20"/>
                <w:szCs w:val="20"/>
              </w:rPr>
              <w:t xml:space="preserve"> </w:t>
            </w:r>
            <w:proofErr w:type="spellStart"/>
            <w:r w:rsidRPr="000460CD">
              <w:rPr>
                <w:sz w:val="20"/>
                <w:szCs w:val="20"/>
              </w:rPr>
              <w:t>Constitution</w:t>
            </w:r>
            <w:proofErr w:type="spellEnd"/>
            <w:r w:rsidRPr="000460CD">
              <w:rPr>
                <w:sz w:val="20"/>
                <w:szCs w:val="20"/>
              </w:rPr>
              <w:t>”</w:t>
            </w:r>
            <w:r w:rsidRPr="000460CD">
              <w:rPr>
                <w:sz w:val="20"/>
                <w:szCs w:val="20"/>
                <w:vertAlign w:val="superscript"/>
              </w:rPr>
              <w:footnoteReference w:id="2256"/>
            </w:r>
            <w:r w:rsidRPr="000460CD">
              <w:rPr>
                <w:sz w:val="20"/>
                <w:szCs w:val="20"/>
              </w:rPr>
              <w:t>). Und kehrseitlich sei ein solch weiter Schutz für Ausländer als zivilisatorische Errungenschaft der Vereinigten Staaten anzusehen, die bei Ausweisungen einzuhalten gewesen wäre.</w:t>
            </w:r>
          </w:p>
          <w:p w14:paraId="0B823AEA" w14:textId="76A74C8D" w:rsidR="0056095C" w:rsidRPr="00E50B51" w:rsidRDefault="0056095C" w:rsidP="00367133">
            <w:pPr>
              <w:jc w:val="both"/>
              <w:rPr>
                <w:sz w:val="20"/>
                <w:szCs w:val="20"/>
              </w:rPr>
            </w:pPr>
          </w:p>
        </w:tc>
      </w:tr>
      <w:tr w:rsidR="00074551" w:rsidRPr="00E50B51" w14:paraId="4819EA1A" w14:textId="77777777" w:rsidTr="00BE689F">
        <w:trPr>
          <w:cantSplit/>
          <w:trHeight w:val="3175"/>
        </w:trPr>
        <w:tc>
          <w:tcPr>
            <w:tcW w:w="293" w:type="pct"/>
          </w:tcPr>
          <w:p w14:paraId="0760DC30"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9EBCD05" w14:textId="77777777" w:rsidR="00074551" w:rsidRPr="00E50B51" w:rsidRDefault="00074551" w:rsidP="00367133">
            <w:pPr>
              <w:ind w:left="113" w:right="416"/>
              <w:jc w:val="both"/>
              <w:rPr>
                <w:sz w:val="20"/>
                <w:szCs w:val="20"/>
                <w:lang w:val="en-US"/>
              </w:rPr>
            </w:pPr>
            <w:r w:rsidRPr="009E57E1">
              <w:rPr>
                <w:i/>
                <w:sz w:val="20"/>
                <w:szCs w:val="20"/>
              </w:rPr>
              <w:t>Ingraham v. Wright</w:t>
            </w:r>
          </w:p>
        </w:tc>
        <w:tc>
          <w:tcPr>
            <w:tcW w:w="197" w:type="pct"/>
            <w:textDirection w:val="tbRl"/>
            <w:vAlign w:val="center"/>
          </w:tcPr>
          <w:p w14:paraId="5624F967" w14:textId="77777777" w:rsidR="00074551" w:rsidRPr="00E50B51" w:rsidRDefault="00074551" w:rsidP="00367133">
            <w:pPr>
              <w:ind w:left="113" w:right="113"/>
              <w:jc w:val="both"/>
              <w:rPr>
                <w:iCs/>
                <w:sz w:val="20"/>
                <w:szCs w:val="20"/>
                <w:lang w:val="en-US"/>
              </w:rPr>
            </w:pPr>
            <w:r w:rsidRPr="00E50B51">
              <w:rPr>
                <w:sz w:val="20"/>
                <w:szCs w:val="20"/>
                <w:lang w:val="en-US"/>
              </w:rPr>
              <w:t>430 U.S. 651</w:t>
            </w:r>
          </w:p>
        </w:tc>
        <w:tc>
          <w:tcPr>
            <w:tcW w:w="306" w:type="pct"/>
            <w:textDirection w:val="tbRl"/>
            <w:vAlign w:val="center"/>
          </w:tcPr>
          <w:p w14:paraId="6380D449" w14:textId="77777777" w:rsidR="00074551" w:rsidRPr="00E50B51" w:rsidRDefault="00074551" w:rsidP="00367133">
            <w:pPr>
              <w:ind w:left="113" w:right="113"/>
              <w:jc w:val="both"/>
              <w:rPr>
                <w:sz w:val="20"/>
                <w:szCs w:val="20"/>
                <w:lang w:val="en-US"/>
              </w:rPr>
            </w:pPr>
            <w:r w:rsidRPr="00E50B51">
              <w:rPr>
                <w:sz w:val="20"/>
                <w:szCs w:val="20"/>
              </w:rPr>
              <w:t>19. April 1977</w:t>
            </w:r>
          </w:p>
        </w:tc>
        <w:tc>
          <w:tcPr>
            <w:tcW w:w="401" w:type="pct"/>
          </w:tcPr>
          <w:p w14:paraId="605CD5A0" w14:textId="77777777" w:rsidR="00074551" w:rsidRPr="00E50B51" w:rsidRDefault="00074551" w:rsidP="00367133">
            <w:pPr>
              <w:jc w:val="center"/>
              <w:rPr>
                <w:sz w:val="20"/>
                <w:szCs w:val="20"/>
                <w:lang w:val="en-US"/>
              </w:rPr>
            </w:pPr>
            <w:r w:rsidRPr="00E50B51">
              <w:rPr>
                <w:sz w:val="20"/>
                <w:szCs w:val="20"/>
              </w:rPr>
              <w:t>M</w:t>
            </w:r>
          </w:p>
        </w:tc>
        <w:tc>
          <w:tcPr>
            <w:tcW w:w="1594" w:type="pct"/>
          </w:tcPr>
          <w:p w14:paraId="647C448C"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0E5E9E82" w14:textId="5345FF7D" w:rsidR="00074551" w:rsidRPr="0066343B" w:rsidRDefault="00074551" w:rsidP="00367133">
            <w:pPr>
              <w:jc w:val="both"/>
              <w:rPr>
                <w:sz w:val="20"/>
                <w:szCs w:val="20"/>
              </w:rPr>
            </w:pPr>
            <w:r w:rsidRPr="0066343B">
              <w:rPr>
                <w:sz w:val="20"/>
                <w:szCs w:val="20"/>
              </w:rPr>
              <w:t xml:space="preserve">In </w:t>
            </w:r>
            <w:r w:rsidRPr="5B67C1D2">
              <w:rPr>
                <w:i/>
                <w:iCs/>
                <w:sz w:val="20"/>
                <w:szCs w:val="20"/>
              </w:rPr>
              <w:t>Ingraham v. Wright</w:t>
            </w:r>
            <w:r w:rsidRPr="0066343B">
              <w:rPr>
                <w:sz w:val="20"/>
                <w:szCs w:val="20"/>
              </w:rPr>
              <w:t xml:space="preserve"> wird eine Bedingung </w:t>
            </w:r>
            <w:r>
              <w:rPr>
                <w:sz w:val="20"/>
                <w:szCs w:val="20"/>
              </w:rPr>
              <w:t>des</w:t>
            </w:r>
            <w:r w:rsidRPr="0066343B">
              <w:rPr>
                <w:sz w:val="20"/>
                <w:szCs w:val="20"/>
              </w:rPr>
              <w:t xml:space="preserve"> Glücksstreben</w:t>
            </w:r>
            <w:r>
              <w:rPr>
                <w:sz w:val="20"/>
                <w:szCs w:val="20"/>
              </w:rPr>
              <w:t>s</w:t>
            </w:r>
            <w:r w:rsidRPr="0066343B">
              <w:rPr>
                <w:sz w:val="20"/>
                <w:szCs w:val="20"/>
              </w:rPr>
              <w:t xml:space="preserve"> ausdifferenziert: </w:t>
            </w:r>
            <w:r>
              <w:rPr>
                <w:sz w:val="20"/>
                <w:szCs w:val="20"/>
              </w:rPr>
              <w:t>d</w:t>
            </w:r>
            <w:r w:rsidRPr="0066343B">
              <w:rPr>
                <w:sz w:val="20"/>
                <w:szCs w:val="20"/>
              </w:rPr>
              <w:t xml:space="preserve">ie Funktion </w:t>
            </w:r>
            <w:r>
              <w:rPr>
                <w:sz w:val="20"/>
                <w:szCs w:val="20"/>
              </w:rPr>
              <w:t>von</w:t>
            </w:r>
            <w:r w:rsidRPr="0066343B">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Pr>
                <w:sz w:val="20"/>
                <w:szCs w:val="20"/>
              </w:rPr>
              <w:t xml:space="preserve"> D</w:t>
            </w:r>
            <w:r w:rsidRPr="0066343B">
              <w:rPr>
                <w:sz w:val="20"/>
                <w:szCs w:val="20"/>
              </w:rPr>
              <w:t>ie</w:t>
            </w:r>
            <w:r>
              <w:rPr>
                <w:sz w:val="20"/>
                <w:szCs w:val="20"/>
              </w:rPr>
              <w:t>se</w:t>
            </w:r>
            <w:r w:rsidRPr="0066343B">
              <w:rPr>
                <w:sz w:val="20"/>
                <w:szCs w:val="20"/>
              </w:rPr>
              <w:t xml:space="preserve"> laute, die persönliche Privatsphäre und Würde („personal </w:t>
            </w:r>
            <w:proofErr w:type="spellStart"/>
            <w:r w:rsidRPr="0066343B">
              <w:rPr>
                <w:sz w:val="20"/>
                <w:szCs w:val="20"/>
              </w:rPr>
              <w:t>privacy</w:t>
            </w:r>
            <w:proofErr w:type="spellEnd"/>
            <w:r w:rsidRPr="0066343B">
              <w:rPr>
                <w:sz w:val="20"/>
                <w:szCs w:val="20"/>
              </w:rPr>
              <w:t xml:space="preserve"> and </w:t>
            </w:r>
            <w:proofErr w:type="spellStart"/>
            <w:r w:rsidRPr="0066343B">
              <w:rPr>
                <w:sz w:val="20"/>
                <w:szCs w:val="20"/>
              </w:rPr>
              <w:t>dignity</w:t>
            </w:r>
            <w:proofErr w:type="spellEnd"/>
            <w:r w:rsidRPr="0066343B">
              <w:rPr>
                <w:sz w:val="20"/>
                <w:szCs w:val="20"/>
              </w:rPr>
              <w:t>“</w:t>
            </w:r>
            <w:r w:rsidRPr="0066343B">
              <w:rPr>
                <w:sz w:val="20"/>
                <w:szCs w:val="20"/>
                <w:vertAlign w:val="superscript"/>
              </w:rPr>
              <w:footnoteReference w:id="2257"/>
            </w:r>
            <w:r w:rsidRPr="0066343B">
              <w:rPr>
                <w:sz w:val="20"/>
                <w:szCs w:val="20"/>
              </w:rPr>
              <w:t>) vor ungerechtfertigten Eingriffen des Staates zu schützen.</w:t>
            </w:r>
            <w:r w:rsidRPr="0066343B">
              <w:rPr>
                <w:sz w:val="20"/>
                <w:szCs w:val="20"/>
                <w:vertAlign w:val="superscript"/>
              </w:rPr>
              <w:footnoteReference w:id="2258"/>
            </w:r>
            <w:r w:rsidRPr="0066343B">
              <w:rPr>
                <w:sz w:val="20"/>
                <w:szCs w:val="20"/>
              </w:rPr>
              <w:t xml:space="preserve"> Die Hauptfunktion umfasse aber das Verbot von unangemessenen Durchsuchungen und Beschlagnahmungen und den Schutz vor Eindringen in die Privatsphäre im Zuge von strafrechtlichen Ermittlungen.</w:t>
            </w:r>
            <w:r w:rsidRPr="0066343B">
              <w:rPr>
                <w:sz w:val="20"/>
                <w:szCs w:val="20"/>
                <w:vertAlign w:val="superscript"/>
              </w:rPr>
              <w:footnoteReference w:id="2259"/>
            </w:r>
          </w:p>
          <w:p w14:paraId="5EF38710" w14:textId="1EA2C4B0" w:rsidR="00074551" w:rsidRPr="0066343B" w:rsidRDefault="00074551" w:rsidP="00367133">
            <w:pPr>
              <w:jc w:val="both"/>
              <w:rPr>
                <w:sz w:val="20"/>
                <w:szCs w:val="20"/>
              </w:rPr>
            </w:pPr>
            <w:r w:rsidRPr="0066343B">
              <w:rPr>
                <w:sz w:val="20"/>
                <w:szCs w:val="20"/>
              </w:rPr>
              <w:t xml:space="preserve">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66343B">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66343B">
              <w:rPr>
                <w:sz w:val="20"/>
                <w:szCs w:val="20"/>
              </w:rPr>
              <w:t xml:space="preserve"> wirke in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66343B">
              <w:rPr>
                <w:sz w:val="20"/>
                <w:szCs w:val="20"/>
              </w:rPr>
              <w:t xml:space="preserve"> hinein, obwohl </w:t>
            </w:r>
            <w:r>
              <w:rPr>
                <w:sz w:val="20"/>
                <w:szCs w:val="20"/>
              </w:rPr>
              <w:t>L</w:t>
            </w:r>
            <w:r w:rsidRPr="0066343B">
              <w:rPr>
                <w:sz w:val="20"/>
                <w:szCs w:val="20"/>
              </w:rPr>
              <w:t>etztere</w:t>
            </w:r>
            <w:r>
              <w:rPr>
                <w:sz w:val="20"/>
                <w:szCs w:val="20"/>
              </w:rPr>
              <w:t>s</w:t>
            </w:r>
            <w:r w:rsidRPr="0066343B">
              <w:rPr>
                <w:sz w:val="20"/>
                <w:szCs w:val="20"/>
              </w:rPr>
              <w:t xml:space="preserve"> den Regelungsgehalt der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66343B">
              <w:rPr>
                <w:sz w:val="20"/>
                <w:szCs w:val="20"/>
              </w:rPr>
              <w:t xml:space="preserve"> weitgehend aufgenommen habe. Die </w:t>
            </w:r>
            <w:r w:rsidRPr="5B67C1D2">
              <w:rPr>
                <w:i/>
                <w:iCs/>
                <w:sz w:val="20"/>
                <w:szCs w:val="20"/>
              </w:rPr>
              <w:t xml:space="preserve">Due </w:t>
            </w:r>
            <w:proofErr w:type="spellStart"/>
            <w:r w:rsidRPr="5B67C1D2">
              <w:rPr>
                <w:i/>
                <w:iCs/>
                <w:sz w:val="20"/>
                <w:szCs w:val="20"/>
              </w:rPr>
              <w:t>Process</w:t>
            </w:r>
            <w:proofErr w:type="spellEnd"/>
            <w:r w:rsidRPr="5B67C1D2">
              <w:rPr>
                <w:i/>
                <w:iCs/>
                <w:sz w:val="20"/>
                <w:szCs w:val="20"/>
              </w:rPr>
              <w:t xml:space="preserve"> </w:t>
            </w:r>
            <w:proofErr w:type="spellStart"/>
            <w:r w:rsidRPr="5B67C1D2">
              <w:rPr>
                <w:i/>
                <w:iCs/>
                <w:sz w:val="20"/>
                <w:szCs w:val="20"/>
              </w:rPr>
              <w:t>Clause</w:t>
            </w:r>
            <w:proofErr w:type="spellEnd"/>
            <w:r w:rsidRPr="0066343B">
              <w:rPr>
                <w:sz w:val="20"/>
                <w:szCs w:val="20"/>
              </w:rPr>
              <w:t xml:space="preserve"> aus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66343B">
              <w:rPr>
                <w:sz w:val="20"/>
                <w:szCs w:val="20"/>
              </w:rPr>
              <w:t xml:space="preserve"> sollte Amerikanern zumindest de</w:t>
            </w:r>
            <w:r>
              <w:rPr>
                <w:sz w:val="20"/>
                <w:szCs w:val="20"/>
              </w:rPr>
              <w:t>n</w:t>
            </w:r>
            <w:r w:rsidRPr="0066343B">
              <w:rPr>
                <w:sz w:val="20"/>
                <w:szCs w:val="20"/>
              </w:rPr>
              <w:t xml:space="preserve"> Schutz vor staatlichen Maßnahmen bieten, den sie als Engländer vor den staatlichen Maßnahmen der Krone hatten. Dabei beinhalte der Wortlaut Freiheit das folgende Recht, welches vor einem Entzug ohne rechtsstaatliches Verfahren geschützt sei: </w:t>
            </w:r>
            <w:r>
              <w:rPr>
                <w:sz w:val="20"/>
                <w:szCs w:val="20"/>
              </w:rPr>
              <w:t>d</w:t>
            </w:r>
            <w:r w:rsidRPr="0066343B">
              <w:rPr>
                <w:sz w:val="20"/>
                <w:szCs w:val="20"/>
              </w:rPr>
              <w:t>ie Vorrechte wahrnehmen zu können, die nach dem Gewohnheitsrecht als wesentlich für das geordnete Streben freier Menschen nach Glück anerkannt sind.</w:t>
            </w:r>
            <w:r w:rsidRPr="0066343B">
              <w:rPr>
                <w:sz w:val="20"/>
                <w:szCs w:val="20"/>
                <w:vertAlign w:val="superscript"/>
              </w:rPr>
              <w:footnoteReference w:id="2260"/>
            </w:r>
            <w:r w:rsidRPr="0066343B">
              <w:rPr>
                <w:sz w:val="20"/>
                <w:szCs w:val="20"/>
              </w:rPr>
              <w:t xml:space="preserve"> Doch was fällt unter diese Vorrechte für ein Glücksstreben? Zu diesen auch historische Freiheiten („</w:t>
            </w:r>
            <w:proofErr w:type="spellStart"/>
            <w:r w:rsidRPr="0066343B">
              <w:rPr>
                <w:sz w:val="20"/>
                <w:szCs w:val="20"/>
              </w:rPr>
              <w:t>historic</w:t>
            </w:r>
            <w:proofErr w:type="spellEnd"/>
            <w:r w:rsidRPr="0066343B">
              <w:rPr>
                <w:sz w:val="20"/>
                <w:szCs w:val="20"/>
              </w:rPr>
              <w:t xml:space="preserve"> </w:t>
            </w:r>
            <w:proofErr w:type="spellStart"/>
            <w:r w:rsidRPr="0066343B">
              <w:rPr>
                <w:sz w:val="20"/>
                <w:szCs w:val="20"/>
              </w:rPr>
              <w:t>liberties</w:t>
            </w:r>
            <w:proofErr w:type="spellEnd"/>
            <w:r w:rsidRPr="0066343B">
              <w:rPr>
                <w:sz w:val="20"/>
                <w:szCs w:val="20"/>
              </w:rPr>
              <w:t>“</w:t>
            </w:r>
            <w:r w:rsidRPr="0066343B">
              <w:rPr>
                <w:sz w:val="20"/>
                <w:szCs w:val="20"/>
                <w:vertAlign w:val="superscript"/>
              </w:rPr>
              <w:footnoteReference w:id="2261"/>
            </w:r>
            <w:r w:rsidRPr="0066343B">
              <w:rPr>
                <w:sz w:val="20"/>
                <w:szCs w:val="20"/>
              </w:rPr>
              <w:t xml:space="preserve">) genannten Vorrechten gehöre das Recht, frei vor ungerechtfertigten Eingriffen in die persönliche Sicherheit zu sein – und für ebensolche Eingriffe gerichtlichen Rechtsschutz beanspruchen zu können. </w:t>
            </w:r>
            <w:r>
              <w:rPr>
                <w:sz w:val="20"/>
                <w:szCs w:val="20"/>
              </w:rPr>
              <w:t>W</w:t>
            </w:r>
            <w:r w:rsidRPr="0066343B">
              <w:rPr>
                <w:sz w:val="20"/>
                <w:szCs w:val="20"/>
              </w:rPr>
              <w:t>as bedeutet das Recht auf persönliche Sicherheit als ein Vorrecht für Glücks</w:t>
            </w:r>
            <w:r>
              <w:rPr>
                <w:sz w:val="20"/>
                <w:szCs w:val="20"/>
              </w:rPr>
              <w:t>s</w:t>
            </w:r>
            <w:r w:rsidRPr="0066343B">
              <w:rPr>
                <w:sz w:val="20"/>
                <w:szCs w:val="20"/>
              </w:rPr>
              <w:t xml:space="preserve">treben konkret?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66343B">
              <w:rPr>
                <w:sz w:val="20"/>
                <w:szCs w:val="20"/>
              </w:rPr>
              <w:t xml:space="preserve"> schütze zunächst das Recht auf persönliche Sicherheit („</w:t>
            </w:r>
            <w:proofErr w:type="spellStart"/>
            <w:r w:rsidRPr="0066343B">
              <w:rPr>
                <w:sz w:val="20"/>
                <w:szCs w:val="20"/>
              </w:rPr>
              <w:t>right</w:t>
            </w:r>
            <w:proofErr w:type="spellEnd"/>
            <w:r w:rsidRPr="0066343B">
              <w:rPr>
                <w:sz w:val="20"/>
                <w:szCs w:val="20"/>
              </w:rPr>
              <w:t xml:space="preserve"> of personal </w:t>
            </w:r>
            <w:proofErr w:type="spellStart"/>
            <w:r w:rsidRPr="0066343B">
              <w:rPr>
                <w:sz w:val="20"/>
                <w:szCs w:val="20"/>
              </w:rPr>
              <w:t>security</w:t>
            </w:r>
            <w:proofErr w:type="spellEnd"/>
            <w:r w:rsidRPr="0066343B">
              <w:rPr>
                <w:sz w:val="20"/>
                <w:szCs w:val="20"/>
              </w:rPr>
              <w:t>“</w:t>
            </w:r>
            <w:r w:rsidRPr="0066343B">
              <w:rPr>
                <w:sz w:val="20"/>
                <w:szCs w:val="20"/>
                <w:vertAlign w:val="superscript"/>
              </w:rPr>
              <w:footnoteReference w:id="2262"/>
            </w:r>
            <w:r w:rsidRPr="0066343B">
              <w:rPr>
                <w:sz w:val="20"/>
                <w:szCs w:val="20"/>
              </w:rPr>
              <w:t xml:space="preserve">), welches sich in Verbindung mit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66343B">
              <w:rPr>
                <w:sz w:val="20"/>
                <w:szCs w:val="20"/>
              </w:rPr>
              <w:t xml:space="preserve"> auf alle Bundesstaaten ausdehne. Denn das Recht verankert sich im Konzept der geordneten Freiheit („</w:t>
            </w:r>
            <w:proofErr w:type="spellStart"/>
            <w:r w:rsidRPr="0066343B">
              <w:rPr>
                <w:sz w:val="20"/>
                <w:szCs w:val="20"/>
              </w:rPr>
              <w:t>concept</w:t>
            </w:r>
            <w:proofErr w:type="spellEnd"/>
            <w:r w:rsidRPr="0066343B">
              <w:rPr>
                <w:sz w:val="20"/>
                <w:szCs w:val="20"/>
              </w:rPr>
              <w:t xml:space="preserve"> of </w:t>
            </w:r>
            <w:proofErr w:type="spellStart"/>
            <w:r w:rsidRPr="0066343B">
              <w:rPr>
                <w:sz w:val="20"/>
                <w:szCs w:val="20"/>
              </w:rPr>
              <w:t>ordered</w:t>
            </w:r>
            <w:proofErr w:type="spellEnd"/>
            <w:r w:rsidRPr="0066343B">
              <w:rPr>
                <w:sz w:val="20"/>
                <w:szCs w:val="20"/>
              </w:rPr>
              <w:t xml:space="preserve"> </w:t>
            </w:r>
            <w:proofErr w:type="spellStart"/>
            <w:r w:rsidRPr="0066343B">
              <w:rPr>
                <w:sz w:val="20"/>
                <w:szCs w:val="20"/>
              </w:rPr>
              <w:t>liberty</w:t>
            </w:r>
            <w:proofErr w:type="spellEnd"/>
            <w:r w:rsidRPr="0066343B">
              <w:rPr>
                <w:sz w:val="20"/>
                <w:szCs w:val="20"/>
              </w:rPr>
              <w:t>“</w:t>
            </w:r>
            <w:r w:rsidRPr="0066343B">
              <w:rPr>
                <w:sz w:val="20"/>
                <w:szCs w:val="20"/>
                <w:vertAlign w:val="superscript"/>
              </w:rPr>
              <w:footnoteReference w:id="2263"/>
            </w:r>
            <w:r w:rsidRPr="0066343B">
              <w:rPr>
                <w:sz w:val="20"/>
                <w:szCs w:val="20"/>
              </w:rPr>
              <w:t xml:space="preserve">) </w:t>
            </w:r>
            <w:r>
              <w:rPr>
                <w:sz w:val="20"/>
                <w:szCs w:val="20"/>
              </w:rPr>
              <w:t>von</w:t>
            </w:r>
            <w:r w:rsidRPr="0066343B">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66343B">
              <w:rPr>
                <w:sz w:val="20"/>
                <w:szCs w:val="20"/>
              </w:rPr>
              <w:t xml:space="preserve"> aber auch in der Geschichte und den grundlegenden Verfassungsdokumenten wie der </w:t>
            </w:r>
            <w:r w:rsidRPr="5B67C1D2">
              <w:rPr>
                <w:i/>
                <w:iCs/>
                <w:sz w:val="20"/>
                <w:szCs w:val="20"/>
              </w:rPr>
              <w:t>Declaration of Independence</w:t>
            </w:r>
            <w:r w:rsidRPr="0066343B">
              <w:rPr>
                <w:sz w:val="20"/>
                <w:szCs w:val="20"/>
              </w:rPr>
              <w:t>, weshalb es generelle Wirkung habe, und somit auch in die Bundesstaaten wirke.</w:t>
            </w:r>
            <w:r w:rsidRPr="0066343B">
              <w:rPr>
                <w:sz w:val="20"/>
                <w:szCs w:val="20"/>
                <w:vertAlign w:val="superscript"/>
              </w:rPr>
              <w:footnoteReference w:id="2264"/>
            </w:r>
            <w:r w:rsidRPr="0066343B">
              <w:rPr>
                <w:sz w:val="20"/>
                <w:szCs w:val="20"/>
              </w:rPr>
              <w:t xml:space="preserve"> Die persönliche Sicherheit setz</w:t>
            </w:r>
            <w:r>
              <w:rPr>
                <w:sz w:val="20"/>
                <w:szCs w:val="20"/>
              </w:rPr>
              <w:t>e</w:t>
            </w:r>
            <w:r w:rsidRPr="0066343B">
              <w:rPr>
                <w:sz w:val="20"/>
                <w:szCs w:val="20"/>
              </w:rPr>
              <w:t xml:space="preserve"> sich wiederum aus zwei Funktionen zusammen: Eine Funktion </w:t>
            </w:r>
            <w:r>
              <w:rPr>
                <w:sz w:val="20"/>
                <w:szCs w:val="20"/>
              </w:rPr>
              <w:t>von</w:t>
            </w:r>
            <w:r w:rsidRPr="0066343B">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IV</w:t>
            </w:r>
            <w:r w:rsidRPr="0066343B">
              <w:rPr>
                <w:sz w:val="20"/>
                <w:szCs w:val="20"/>
              </w:rPr>
              <w:t xml:space="preserve"> laute, die persönliche Privatsphäre und Würde („personal </w:t>
            </w:r>
            <w:proofErr w:type="spellStart"/>
            <w:r w:rsidRPr="0066343B">
              <w:rPr>
                <w:sz w:val="20"/>
                <w:szCs w:val="20"/>
              </w:rPr>
              <w:t>privacy</w:t>
            </w:r>
            <w:proofErr w:type="spellEnd"/>
            <w:r w:rsidRPr="0066343B">
              <w:rPr>
                <w:sz w:val="20"/>
                <w:szCs w:val="20"/>
              </w:rPr>
              <w:t xml:space="preserve"> and </w:t>
            </w:r>
            <w:proofErr w:type="spellStart"/>
            <w:r w:rsidRPr="0066343B">
              <w:rPr>
                <w:sz w:val="20"/>
                <w:szCs w:val="20"/>
              </w:rPr>
              <w:t>dignity</w:t>
            </w:r>
            <w:proofErr w:type="spellEnd"/>
            <w:r w:rsidRPr="0066343B">
              <w:rPr>
                <w:sz w:val="20"/>
                <w:szCs w:val="20"/>
              </w:rPr>
              <w:t>“</w:t>
            </w:r>
            <w:r w:rsidRPr="0066343B">
              <w:rPr>
                <w:sz w:val="20"/>
                <w:szCs w:val="20"/>
                <w:vertAlign w:val="superscript"/>
              </w:rPr>
              <w:footnoteReference w:id="2265"/>
            </w:r>
            <w:r w:rsidRPr="0066343B">
              <w:rPr>
                <w:sz w:val="20"/>
                <w:szCs w:val="20"/>
              </w:rPr>
              <w:t>) vor ungerechtfertigten Eingriffen des Staates zu schützen.</w:t>
            </w:r>
            <w:r w:rsidRPr="0066343B">
              <w:rPr>
                <w:sz w:val="20"/>
                <w:szCs w:val="20"/>
                <w:vertAlign w:val="superscript"/>
              </w:rPr>
              <w:footnoteReference w:id="2266"/>
            </w:r>
            <w:r w:rsidRPr="0066343B">
              <w:rPr>
                <w:sz w:val="20"/>
                <w:szCs w:val="20"/>
              </w:rPr>
              <w:t xml:space="preserve"> Die Hauptfunktion umfasse aber das Verbot von unangemessenen Durchsuchungen und Beschlagnahmungen und den Schutz vor Eindringen in die Privatsphäre im Zuge von strafrechtlichen Ermittlungen.</w:t>
            </w:r>
            <w:r w:rsidRPr="0066343B">
              <w:rPr>
                <w:sz w:val="20"/>
                <w:szCs w:val="20"/>
                <w:vertAlign w:val="superscript"/>
              </w:rPr>
              <w:footnoteReference w:id="2267"/>
            </w:r>
          </w:p>
          <w:p w14:paraId="3F91669A" w14:textId="77777777" w:rsidR="00074551" w:rsidRPr="00E50B51" w:rsidRDefault="00074551" w:rsidP="00367133">
            <w:pPr>
              <w:jc w:val="both"/>
              <w:rPr>
                <w:sz w:val="20"/>
                <w:szCs w:val="20"/>
              </w:rPr>
            </w:pPr>
          </w:p>
        </w:tc>
      </w:tr>
      <w:tr w:rsidR="00074551" w:rsidRPr="00E50B51" w14:paraId="6CB390BC" w14:textId="77777777" w:rsidTr="00203768">
        <w:trPr>
          <w:cantSplit/>
          <w:trHeight w:val="3175"/>
        </w:trPr>
        <w:tc>
          <w:tcPr>
            <w:tcW w:w="293" w:type="pct"/>
            <w:shd w:val="clear" w:color="auto" w:fill="E7E6E6" w:themeFill="background2"/>
          </w:tcPr>
          <w:p w14:paraId="2536BE37" w14:textId="77777777" w:rsidR="00074551" w:rsidRDefault="00074551" w:rsidP="00367133">
            <w:pPr>
              <w:ind w:right="416"/>
              <w:jc w:val="center"/>
              <w:rPr>
                <w:sz w:val="20"/>
                <w:szCs w:val="20"/>
              </w:rPr>
            </w:pPr>
            <w:proofErr w:type="spellStart"/>
            <w:r w:rsidRPr="00E50B51">
              <w:rPr>
                <w:sz w:val="20"/>
                <w:szCs w:val="20"/>
              </w:rPr>
              <w:lastRenderedPageBreak/>
              <w:t>poH</w:t>
            </w:r>
            <w:proofErr w:type="spellEnd"/>
          </w:p>
          <w:p w14:paraId="402C047E" w14:textId="77777777" w:rsidR="00074551" w:rsidRPr="00E50B51" w:rsidRDefault="00074551" w:rsidP="00367133">
            <w:pPr>
              <w:ind w:right="416"/>
              <w:jc w:val="center"/>
              <w:rPr>
                <w:sz w:val="20"/>
                <w:szCs w:val="20"/>
              </w:rPr>
            </w:pPr>
            <w:r>
              <w:rPr>
                <w:sz w:val="20"/>
                <w:szCs w:val="20"/>
              </w:rPr>
              <w:t>H</w:t>
            </w:r>
          </w:p>
        </w:tc>
        <w:tc>
          <w:tcPr>
            <w:tcW w:w="387" w:type="pct"/>
            <w:shd w:val="clear" w:color="auto" w:fill="E7E6E6" w:themeFill="background2"/>
            <w:textDirection w:val="tbRl"/>
            <w:vAlign w:val="center"/>
          </w:tcPr>
          <w:p w14:paraId="73B53EAC"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0B3231B7" w14:textId="77777777" w:rsidR="00074551" w:rsidRPr="00E50B51" w:rsidRDefault="00074551" w:rsidP="00367133">
            <w:pPr>
              <w:ind w:left="113" w:right="113"/>
              <w:jc w:val="both"/>
              <w:rPr>
                <w:iCs/>
                <w:sz w:val="20"/>
                <w:szCs w:val="20"/>
                <w:lang w:val="en-US"/>
              </w:rPr>
            </w:pPr>
            <w:r w:rsidRPr="00E50B51">
              <w:rPr>
                <w:iCs/>
                <w:sz w:val="20"/>
                <w:szCs w:val="20"/>
                <w:lang w:val="en-US"/>
              </w:rPr>
              <w:t>Ex Post Facto Clause</w:t>
            </w:r>
          </w:p>
          <w:p w14:paraId="1FA9FC3E"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573EAA4B"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1A17DBEF"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05D2DC0" w14:textId="77777777" w:rsidR="00074551" w:rsidRPr="00E50B51" w:rsidRDefault="00074551" w:rsidP="00367133">
            <w:pPr>
              <w:jc w:val="both"/>
              <w:rPr>
                <w:sz w:val="20"/>
                <w:szCs w:val="20"/>
                <w:lang w:val="en-US"/>
              </w:rPr>
            </w:pPr>
          </w:p>
        </w:tc>
        <w:tc>
          <w:tcPr>
            <w:tcW w:w="1822" w:type="pct"/>
            <w:shd w:val="clear" w:color="auto" w:fill="E7E6E6" w:themeFill="background2"/>
          </w:tcPr>
          <w:p w14:paraId="31B0F4FE" w14:textId="066DBEAA"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36479279" w14:textId="77777777" w:rsidTr="00BE689F">
        <w:trPr>
          <w:cantSplit/>
          <w:trHeight w:val="3175"/>
        </w:trPr>
        <w:tc>
          <w:tcPr>
            <w:tcW w:w="293" w:type="pct"/>
          </w:tcPr>
          <w:p w14:paraId="3FC45BAE"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AFE04E4" w14:textId="77777777" w:rsidR="00074551" w:rsidRPr="00E50B51" w:rsidRDefault="00074551" w:rsidP="00367133">
            <w:pPr>
              <w:ind w:left="113" w:right="416"/>
              <w:jc w:val="both"/>
              <w:rPr>
                <w:sz w:val="20"/>
                <w:szCs w:val="20"/>
              </w:rPr>
            </w:pPr>
            <w:r w:rsidRPr="009E57E1">
              <w:rPr>
                <w:i/>
                <w:sz w:val="20"/>
                <w:szCs w:val="20"/>
              </w:rPr>
              <w:t>Cummings v. Mo.</w:t>
            </w:r>
          </w:p>
        </w:tc>
        <w:tc>
          <w:tcPr>
            <w:tcW w:w="197" w:type="pct"/>
            <w:textDirection w:val="tbRl"/>
            <w:vAlign w:val="center"/>
          </w:tcPr>
          <w:p w14:paraId="2E0E8123" w14:textId="77777777" w:rsidR="00074551" w:rsidRPr="00E50B51" w:rsidRDefault="00074551" w:rsidP="00367133">
            <w:pPr>
              <w:ind w:left="113" w:right="113"/>
              <w:jc w:val="both"/>
              <w:rPr>
                <w:iCs/>
                <w:sz w:val="20"/>
                <w:szCs w:val="20"/>
                <w:lang w:val="en-US"/>
              </w:rPr>
            </w:pPr>
            <w:r w:rsidRPr="00E50B51">
              <w:rPr>
                <w:sz w:val="20"/>
                <w:szCs w:val="20"/>
                <w:lang w:val="en-US"/>
              </w:rPr>
              <w:t>71 U.S. 277</w:t>
            </w:r>
          </w:p>
        </w:tc>
        <w:tc>
          <w:tcPr>
            <w:tcW w:w="306" w:type="pct"/>
            <w:textDirection w:val="tbRl"/>
            <w:vAlign w:val="center"/>
          </w:tcPr>
          <w:p w14:paraId="7D7CDB2D" w14:textId="77777777" w:rsidR="00074551" w:rsidRPr="00E50B51" w:rsidRDefault="00074551" w:rsidP="00367133">
            <w:pPr>
              <w:ind w:left="113" w:right="113"/>
              <w:jc w:val="both"/>
              <w:rPr>
                <w:sz w:val="20"/>
                <w:szCs w:val="20"/>
                <w:lang w:val="en-US"/>
              </w:rPr>
            </w:pPr>
            <w:r w:rsidRPr="00E50B51">
              <w:rPr>
                <w:sz w:val="20"/>
                <w:szCs w:val="20"/>
              </w:rPr>
              <w:t>14. Januar 1867</w:t>
            </w:r>
          </w:p>
        </w:tc>
        <w:tc>
          <w:tcPr>
            <w:tcW w:w="401" w:type="pct"/>
          </w:tcPr>
          <w:p w14:paraId="39F147C8" w14:textId="77777777" w:rsidR="00074551" w:rsidRPr="00E50B51" w:rsidRDefault="00074551" w:rsidP="00367133">
            <w:pPr>
              <w:jc w:val="center"/>
              <w:rPr>
                <w:sz w:val="20"/>
                <w:szCs w:val="20"/>
                <w:lang w:val="en-US"/>
              </w:rPr>
            </w:pPr>
            <w:r w:rsidRPr="00E50B51">
              <w:rPr>
                <w:sz w:val="20"/>
                <w:szCs w:val="20"/>
                <w:lang w:val="en-US"/>
              </w:rPr>
              <w:t>S/M</w:t>
            </w:r>
          </w:p>
        </w:tc>
        <w:tc>
          <w:tcPr>
            <w:tcW w:w="1594" w:type="pct"/>
          </w:tcPr>
          <w:p w14:paraId="785B95D9"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6C90AFFF" w14:textId="3935C126" w:rsidR="00074551" w:rsidRDefault="00074551" w:rsidP="00367133">
            <w:pPr>
              <w:jc w:val="both"/>
              <w:rPr>
                <w:sz w:val="20"/>
                <w:szCs w:val="20"/>
              </w:rPr>
            </w:pPr>
            <w:r w:rsidRPr="00BB7E6D">
              <w:rPr>
                <w:sz w:val="20"/>
                <w:szCs w:val="20"/>
              </w:rPr>
              <w:t xml:space="preserve">Die </w:t>
            </w:r>
            <w:r>
              <w:rPr>
                <w:sz w:val="20"/>
                <w:szCs w:val="20"/>
              </w:rPr>
              <w:t>E</w:t>
            </w:r>
            <w:r w:rsidRPr="00BB7E6D">
              <w:rPr>
                <w:sz w:val="20"/>
                <w:szCs w:val="20"/>
              </w:rPr>
              <w:t>x</w:t>
            </w:r>
            <w:r>
              <w:rPr>
                <w:sz w:val="20"/>
                <w:szCs w:val="20"/>
              </w:rPr>
              <w:t>-</w:t>
            </w:r>
            <w:r w:rsidRPr="00BB7E6D">
              <w:rPr>
                <w:sz w:val="20"/>
                <w:szCs w:val="20"/>
              </w:rPr>
              <w:t>post</w:t>
            </w:r>
            <w:r>
              <w:rPr>
                <w:sz w:val="20"/>
                <w:szCs w:val="20"/>
              </w:rPr>
              <w:t>-</w:t>
            </w:r>
            <w:r w:rsidRPr="00BB7E6D">
              <w:rPr>
                <w:sz w:val="20"/>
                <w:szCs w:val="20"/>
              </w:rPr>
              <w:t>facto</w:t>
            </w:r>
            <w:r>
              <w:rPr>
                <w:sz w:val="20"/>
                <w:szCs w:val="20"/>
              </w:rPr>
              <w:t xml:space="preserve">-Klausel </w:t>
            </w:r>
            <w:r w:rsidRPr="00BB7E6D">
              <w:rPr>
                <w:sz w:val="20"/>
                <w:szCs w:val="20"/>
              </w:rPr>
              <w:t>untersag</w:t>
            </w:r>
            <w:r>
              <w:rPr>
                <w:sz w:val="20"/>
                <w:szCs w:val="20"/>
              </w:rPr>
              <w:t>t</w:t>
            </w:r>
            <w:r w:rsidRPr="00BB7E6D">
              <w:rPr>
                <w:sz w:val="20"/>
                <w:szCs w:val="20"/>
              </w:rPr>
              <w:t xml:space="preserve"> Gesetze, die eine Handlung bestrafen, die zum Zeitpunkt ihrer Vornahme noch nicht strafbar gewesen ist. Unter das Verbot von </w:t>
            </w:r>
            <w:r>
              <w:rPr>
                <w:sz w:val="20"/>
                <w:szCs w:val="20"/>
              </w:rPr>
              <w:t>E</w:t>
            </w:r>
            <w:r w:rsidRPr="00BB7E6D">
              <w:rPr>
                <w:sz w:val="20"/>
                <w:szCs w:val="20"/>
              </w:rPr>
              <w:t>x</w:t>
            </w:r>
            <w:r>
              <w:rPr>
                <w:sz w:val="20"/>
                <w:szCs w:val="20"/>
              </w:rPr>
              <w:t>-</w:t>
            </w:r>
            <w:r w:rsidRPr="00BB7E6D">
              <w:rPr>
                <w:sz w:val="20"/>
                <w:szCs w:val="20"/>
              </w:rPr>
              <w:t>post</w:t>
            </w:r>
            <w:r>
              <w:rPr>
                <w:sz w:val="20"/>
                <w:szCs w:val="20"/>
              </w:rPr>
              <w:t>-</w:t>
            </w:r>
            <w:r w:rsidRPr="00BB7E6D">
              <w:rPr>
                <w:sz w:val="20"/>
                <w:szCs w:val="20"/>
              </w:rPr>
              <w:t>facto</w:t>
            </w:r>
            <w:r>
              <w:rPr>
                <w:sz w:val="20"/>
                <w:szCs w:val="20"/>
              </w:rPr>
              <w:t>-</w:t>
            </w:r>
            <w:r w:rsidRPr="00BB7E6D">
              <w:rPr>
                <w:sz w:val="20"/>
                <w:szCs w:val="20"/>
              </w:rPr>
              <w:t>Gesetzen fallen aber nicht nur bestrafende Gesetze</w:t>
            </w:r>
            <w:r>
              <w:rPr>
                <w:sz w:val="20"/>
                <w:szCs w:val="20"/>
              </w:rPr>
              <w:t xml:space="preserve"> selbst</w:t>
            </w:r>
            <w:r w:rsidRPr="00BB7E6D">
              <w:rPr>
                <w:sz w:val="20"/>
                <w:szCs w:val="20"/>
              </w:rPr>
              <w:t>, sondern auch eine Straferweiterung und -verschärfung wie auch die nachträglich</w:t>
            </w:r>
            <w:r>
              <w:rPr>
                <w:sz w:val="20"/>
                <w:szCs w:val="20"/>
              </w:rPr>
              <w:t>e Änderung der</w:t>
            </w:r>
            <w:r w:rsidRPr="00BB7E6D">
              <w:rPr>
                <w:sz w:val="20"/>
                <w:szCs w:val="20"/>
              </w:rPr>
              <w:t xml:space="preserve"> Beweisregeln zu Lasten eines Verdächtigen.</w:t>
            </w:r>
            <w:r w:rsidRPr="00BB7E6D">
              <w:rPr>
                <w:sz w:val="20"/>
                <w:szCs w:val="20"/>
                <w:vertAlign w:val="superscript"/>
              </w:rPr>
              <w:footnoteReference w:id="2268"/>
            </w:r>
            <w:r w:rsidRPr="00BB7E6D">
              <w:rPr>
                <w:sz w:val="20"/>
                <w:szCs w:val="20"/>
              </w:rPr>
              <w:t xml:space="preserve"> Ein </w:t>
            </w:r>
            <w:r>
              <w:rPr>
                <w:sz w:val="20"/>
                <w:szCs w:val="20"/>
              </w:rPr>
              <w:t>E</w:t>
            </w:r>
            <w:r w:rsidRPr="00BB7E6D">
              <w:rPr>
                <w:sz w:val="20"/>
                <w:szCs w:val="20"/>
              </w:rPr>
              <w:t>x</w:t>
            </w:r>
            <w:r>
              <w:rPr>
                <w:sz w:val="20"/>
                <w:szCs w:val="20"/>
              </w:rPr>
              <w:t>-</w:t>
            </w:r>
            <w:r w:rsidRPr="00BB7E6D">
              <w:rPr>
                <w:sz w:val="20"/>
                <w:szCs w:val="20"/>
              </w:rPr>
              <w:t>post</w:t>
            </w:r>
            <w:r>
              <w:rPr>
                <w:sz w:val="20"/>
                <w:szCs w:val="20"/>
              </w:rPr>
              <w:t>-</w:t>
            </w:r>
            <w:r w:rsidRPr="00BB7E6D">
              <w:rPr>
                <w:sz w:val="20"/>
                <w:szCs w:val="20"/>
              </w:rPr>
              <w:t>facto</w:t>
            </w:r>
            <w:r>
              <w:rPr>
                <w:sz w:val="20"/>
                <w:szCs w:val="20"/>
              </w:rPr>
              <w:t>-</w:t>
            </w:r>
            <w:r w:rsidRPr="00BB7E6D">
              <w:rPr>
                <w:sz w:val="20"/>
                <w:szCs w:val="20"/>
              </w:rPr>
              <w:t>Gesetz macht also eine Handlung strafbar, die zum Zeitpunkt ihrer Begehung nicht strafbar war. Rechtsfolgen sind in der Regel eine Haft- oder Geldstrafe.</w:t>
            </w:r>
            <w:r w:rsidRPr="00BB7E6D">
              <w:rPr>
                <w:sz w:val="20"/>
                <w:szCs w:val="20"/>
                <w:vertAlign w:val="superscript"/>
              </w:rPr>
              <w:footnoteReference w:id="2269"/>
            </w:r>
            <w:r w:rsidRPr="00BB7E6D">
              <w:rPr>
                <w:sz w:val="20"/>
                <w:szCs w:val="20"/>
              </w:rPr>
              <w:t xml:space="preserve"> Diese Rechtsprechungslinie </w:t>
            </w:r>
            <w:r>
              <w:rPr>
                <w:sz w:val="20"/>
                <w:szCs w:val="20"/>
              </w:rPr>
              <w:t>lässt</w:t>
            </w:r>
            <w:r w:rsidRPr="00BB7E6D">
              <w:rPr>
                <w:sz w:val="20"/>
                <w:szCs w:val="20"/>
              </w:rPr>
              <w:t xml:space="preserve"> sich auf einen Eid</w:t>
            </w:r>
            <w:r>
              <w:rPr>
                <w:sz w:val="20"/>
                <w:szCs w:val="20"/>
              </w:rPr>
              <w:t xml:space="preserve"> übertragen</w:t>
            </w:r>
            <w:r w:rsidRPr="00BB7E6D">
              <w:rPr>
                <w:sz w:val="20"/>
                <w:szCs w:val="20"/>
              </w:rPr>
              <w:t>, der für eine Berufsausübung</w:t>
            </w:r>
            <w:r>
              <w:rPr>
                <w:sz w:val="20"/>
                <w:szCs w:val="20"/>
              </w:rPr>
              <w:t> </w:t>
            </w:r>
            <w:r w:rsidRPr="00BB7E6D">
              <w:rPr>
                <w:sz w:val="20"/>
                <w:szCs w:val="20"/>
              </w:rPr>
              <w:t>– </w:t>
            </w:r>
            <w:r>
              <w:rPr>
                <w:sz w:val="20"/>
                <w:szCs w:val="20"/>
              </w:rPr>
              <w:t>z.B.</w:t>
            </w:r>
            <w:r w:rsidRPr="00BB7E6D">
              <w:rPr>
                <w:sz w:val="20"/>
                <w:szCs w:val="20"/>
              </w:rPr>
              <w:t xml:space="preserve"> die </w:t>
            </w:r>
            <w:r>
              <w:rPr>
                <w:sz w:val="20"/>
                <w:szCs w:val="20"/>
              </w:rPr>
              <w:t>des</w:t>
            </w:r>
            <w:r w:rsidRPr="00BB7E6D">
              <w:rPr>
                <w:sz w:val="20"/>
                <w:szCs w:val="20"/>
              </w:rPr>
              <w:t xml:space="preserve"> Priester</w:t>
            </w:r>
            <w:r>
              <w:rPr>
                <w:sz w:val="20"/>
                <w:szCs w:val="20"/>
              </w:rPr>
              <w:t>beruf</w:t>
            </w:r>
            <w:r w:rsidRPr="00BB7E6D">
              <w:rPr>
                <w:sz w:val="20"/>
                <w:szCs w:val="20"/>
              </w:rPr>
              <w:t>s</w:t>
            </w:r>
            <w:r>
              <w:rPr>
                <w:sz w:val="20"/>
                <w:szCs w:val="20"/>
              </w:rPr>
              <w:t> </w:t>
            </w:r>
            <w:r w:rsidRPr="00BB7E6D">
              <w:rPr>
                <w:sz w:val="20"/>
                <w:szCs w:val="20"/>
              </w:rPr>
              <w:t>– verlang</w:t>
            </w:r>
            <w:r>
              <w:rPr>
                <w:sz w:val="20"/>
                <w:szCs w:val="20"/>
              </w:rPr>
              <w:t>t</w:t>
            </w:r>
            <w:r w:rsidRPr="00BB7E6D">
              <w:rPr>
                <w:sz w:val="20"/>
                <w:szCs w:val="20"/>
              </w:rPr>
              <w:t>, dass beeidet wird, den Bürgerkrieg, die sog. Sezession, nie unterstützt zu haben; eine solche Übert</w:t>
            </w:r>
            <w:r>
              <w:rPr>
                <w:sz w:val="20"/>
                <w:szCs w:val="20"/>
              </w:rPr>
              <w:t>r</w:t>
            </w:r>
            <w:r w:rsidRPr="00BB7E6D">
              <w:rPr>
                <w:sz w:val="20"/>
                <w:szCs w:val="20"/>
              </w:rPr>
              <w:t>agung geling</w:t>
            </w:r>
            <w:r>
              <w:rPr>
                <w:sz w:val="20"/>
                <w:szCs w:val="20"/>
              </w:rPr>
              <w:t>t laut U.S. Supreme Court</w:t>
            </w:r>
            <w:r w:rsidRPr="00BB7E6D">
              <w:rPr>
                <w:sz w:val="20"/>
                <w:szCs w:val="20"/>
              </w:rPr>
              <w:t xml:space="preserve">, da der Eid als Rechtsfolge eine Geld- und Haftstrafe ausweise und da </w:t>
            </w:r>
            <w:r>
              <w:rPr>
                <w:sz w:val="20"/>
                <w:szCs w:val="20"/>
              </w:rPr>
              <w:t>er</w:t>
            </w:r>
            <w:r w:rsidRPr="00BB7E6D">
              <w:rPr>
                <w:sz w:val="20"/>
                <w:szCs w:val="20"/>
              </w:rPr>
              <w:t xml:space="preserve"> zudem ein Grundrecht betreffe, das den Sinn und Zweck des heutigen amerikanischen Verfassungsrechts mitbestimme („</w:t>
            </w:r>
            <w:proofErr w:type="spellStart"/>
            <w:r w:rsidRPr="00BB7E6D">
              <w:rPr>
                <w:sz w:val="20"/>
                <w:szCs w:val="20"/>
              </w:rPr>
              <w:t>theory</w:t>
            </w:r>
            <w:proofErr w:type="spellEnd"/>
            <w:r w:rsidRPr="00BB7E6D">
              <w:rPr>
                <w:sz w:val="20"/>
                <w:szCs w:val="20"/>
              </w:rPr>
              <w:t xml:space="preserve"> upon </w:t>
            </w:r>
            <w:proofErr w:type="spellStart"/>
            <w:r w:rsidRPr="00BB7E6D">
              <w:rPr>
                <w:sz w:val="20"/>
                <w:szCs w:val="20"/>
              </w:rPr>
              <w:t>which</w:t>
            </w:r>
            <w:proofErr w:type="spellEnd"/>
            <w:r w:rsidRPr="00BB7E6D">
              <w:rPr>
                <w:sz w:val="20"/>
                <w:szCs w:val="20"/>
              </w:rPr>
              <w:t xml:space="preserve"> </w:t>
            </w:r>
            <w:proofErr w:type="spellStart"/>
            <w:r w:rsidRPr="00BB7E6D">
              <w:rPr>
                <w:sz w:val="20"/>
                <w:szCs w:val="20"/>
              </w:rPr>
              <w:t>our</w:t>
            </w:r>
            <w:proofErr w:type="spellEnd"/>
            <w:r w:rsidRPr="00BB7E6D">
              <w:rPr>
                <w:sz w:val="20"/>
                <w:szCs w:val="20"/>
              </w:rPr>
              <w:t xml:space="preserve"> </w:t>
            </w:r>
            <w:proofErr w:type="spellStart"/>
            <w:r w:rsidRPr="00BB7E6D">
              <w:rPr>
                <w:sz w:val="20"/>
                <w:szCs w:val="20"/>
              </w:rPr>
              <w:t>political</w:t>
            </w:r>
            <w:proofErr w:type="spellEnd"/>
            <w:r w:rsidRPr="00BB7E6D">
              <w:rPr>
                <w:sz w:val="20"/>
                <w:szCs w:val="20"/>
              </w:rPr>
              <w:t xml:space="preserve"> </w:t>
            </w:r>
            <w:proofErr w:type="spellStart"/>
            <w:r w:rsidRPr="00BB7E6D">
              <w:rPr>
                <w:sz w:val="20"/>
                <w:szCs w:val="20"/>
              </w:rPr>
              <w:t>institutions</w:t>
            </w:r>
            <w:proofErr w:type="spellEnd"/>
            <w:r w:rsidRPr="00BB7E6D">
              <w:rPr>
                <w:sz w:val="20"/>
                <w:szCs w:val="20"/>
              </w:rPr>
              <w:t xml:space="preserve"> </w:t>
            </w:r>
            <w:proofErr w:type="spellStart"/>
            <w:r w:rsidRPr="00BB7E6D">
              <w:rPr>
                <w:sz w:val="20"/>
                <w:szCs w:val="20"/>
              </w:rPr>
              <w:t>rest</w:t>
            </w:r>
            <w:proofErr w:type="spellEnd"/>
            <w:r w:rsidRPr="00BB7E6D">
              <w:rPr>
                <w:sz w:val="20"/>
                <w:szCs w:val="20"/>
              </w:rPr>
              <w:t>“</w:t>
            </w:r>
            <w:r w:rsidRPr="00BB7E6D">
              <w:rPr>
                <w:sz w:val="20"/>
                <w:szCs w:val="20"/>
                <w:vertAlign w:val="superscript"/>
              </w:rPr>
              <w:footnoteReference w:id="2270"/>
            </w:r>
            <w:r w:rsidRPr="00BB7E6D">
              <w:rPr>
                <w:sz w:val="20"/>
                <w:szCs w:val="20"/>
              </w:rPr>
              <w:t xml:space="preserve">): das Streben nach Glück in der </w:t>
            </w:r>
            <w:r w:rsidRPr="5B67C1D2">
              <w:rPr>
                <w:i/>
                <w:iCs/>
                <w:sz w:val="20"/>
                <w:szCs w:val="20"/>
              </w:rPr>
              <w:t>Declaration of Independence</w:t>
            </w:r>
            <w:r w:rsidRPr="00BB7E6D">
              <w:rPr>
                <w:sz w:val="20"/>
                <w:szCs w:val="20"/>
              </w:rPr>
              <w:t>. Um das Streben zu ermöglichen, soll</w:t>
            </w:r>
            <w:r>
              <w:rPr>
                <w:sz w:val="20"/>
                <w:szCs w:val="20"/>
              </w:rPr>
              <w:t>t</w:t>
            </w:r>
            <w:r w:rsidRPr="00BB7E6D">
              <w:rPr>
                <w:sz w:val="20"/>
                <w:szCs w:val="20"/>
              </w:rPr>
              <w:t xml:space="preserve">en Berufe und Ämter jedermann unter vergleichbaren Bedingungen offenstehen („in the </w:t>
            </w:r>
            <w:proofErr w:type="spellStart"/>
            <w:r w:rsidRPr="00BB7E6D">
              <w:rPr>
                <w:sz w:val="20"/>
                <w:szCs w:val="20"/>
              </w:rPr>
              <w:t>pursuit</w:t>
            </w:r>
            <w:proofErr w:type="spellEnd"/>
            <w:r w:rsidRPr="00BB7E6D">
              <w:rPr>
                <w:sz w:val="20"/>
                <w:szCs w:val="20"/>
              </w:rPr>
              <w:t xml:space="preserve"> of </w:t>
            </w:r>
            <w:proofErr w:type="spellStart"/>
            <w:r w:rsidRPr="00BB7E6D">
              <w:rPr>
                <w:sz w:val="20"/>
                <w:szCs w:val="20"/>
              </w:rPr>
              <w:t>happiness</w:t>
            </w:r>
            <w:proofErr w:type="spellEnd"/>
            <w:r w:rsidRPr="00BB7E6D">
              <w:rPr>
                <w:sz w:val="20"/>
                <w:szCs w:val="20"/>
              </w:rPr>
              <w:t xml:space="preserve"> all </w:t>
            </w:r>
            <w:proofErr w:type="spellStart"/>
            <w:r w:rsidRPr="00BB7E6D">
              <w:rPr>
                <w:sz w:val="20"/>
                <w:szCs w:val="20"/>
              </w:rPr>
              <w:t>avocations</w:t>
            </w:r>
            <w:proofErr w:type="spellEnd"/>
            <w:r w:rsidRPr="00BB7E6D">
              <w:rPr>
                <w:sz w:val="20"/>
                <w:szCs w:val="20"/>
              </w:rPr>
              <w:t xml:space="preserve">, all </w:t>
            </w:r>
            <w:proofErr w:type="spellStart"/>
            <w:r w:rsidRPr="00BB7E6D">
              <w:rPr>
                <w:sz w:val="20"/>
                <w:szCs w:val="20"/>
              </w:rPr>
              <w:t>honors</w:t>
            </w:r>
            <w:proofErr w:type="spellEnd"/>
            <w:r w:rsidRPr="00BB7E6D">
              <w:rPr>
                <w:sz w:val="20"/>
                <w:szCs w:val="20"/>
              </w:rPr>
              <w:t xml:space="preserve">, all </w:t>
            </w:r>
            <w:proofErr w:type="spellStart"/>
            <w:r w:rsidRPr="00BB7E6D">
              <w:rPr>
                <w:sz w:val="20"/>
                <w:szCs w:val="20"/>
              </w:rPr>
              <w:t>positions</w:t>
            </w:r>
            <w:proofErr w:type="spellEnd"/>
            <w:r w:rsidRPr="00BB7E6D">
              <w:rPr>
                <w:sz w:val="20"/>
                <w:szCs w:val="20"/>
              </w:rPr>
              <w:t xml:space="preserve">, </w:t>
            </w:r>
            <w:proofErr w:type="spellStart"/>
            <w:r w:rsidRPr="00BB7E6D">
              <w:rPr>
                <w:sz w:val="20"/>
                <w:szCs w:val="20"/>
              </w:rPr>
              <w:t>are</w:t>
            </w:r>
            <w:proofErr w:type="spellEnd"/>
            <w:r w:rsidRPr="00BB7E6D">
              <w:rPr>
                <w:sz w:val="20"/>
                <w:szCs w:val="20"/>
              </w:rPr>
              <w:t xml:space="preserve"> </w:t>
            </w:r>
            <w:proofErr w:type="spellStart"/>
            <w:r w:rsidRPr="00BB7E6D">
              <w:rPr>
                <w:sz w:val="20"/>
                <w:szCs w:val="20"/>
              </w:rPr>
              <w:t>alike</w:t>
            </w:r>
            <w:proofErr w:type="spellEnd"/>
            <w:r w:rsidRPr="00BB7E6D">
              <w:rPr>
                <w:sz w:val="20"/>
                <w:szCs w:val="20"/>
              </w:rPr>
              <w:t xml:space="preserve"> open to </w:t>
            </w:r>
            <w:proofErr w:type="spellStart"/>
            <w:r w:rsidRPr="00BB7E6D">
              <w:rPr>
                <w:sz w:val="20"/>
                <w:szCs w:val="20"/>
              </w:rPr>
              <w:t>every</w:t>
            </w:r>
            <w:proofErr w:type="spellEnd"/>
            <w:r w:rsidRPr="00BB7E6D">
              <w:rPr>
                <w:sz w:val="20"/>
                <w:szCs w:val="20"/>
              </w:rPr>
              <w:t xml:space="preserve"> </w:t>
            </w:r>
            <w:proofErr w:type="spellStart"/>
            <w:r w:rsidRPr="00BB7E6D">
              <w:rPr>
                <w:sz w:val="20"/>
                <w:szCs w:val="20"/>
              </w:rPr>
              <w:t>one</w:t>
            </w:r>
            <w:proofErr w:type="spellEnd"/>
            <w:r w:rsidRPr="00BB7E6D">
              <w:rPr>
                <w:sz w:val="20"/>
                <w:szCs w:val="20"/>
              </w:rPr>
              <w:t>“</w:t>
            </w:r>
            <w:r w:rsidRPr="00BB7E6D">
              <w:rPr>
                <w:sz w:val="20"/>
                <w:szCs w:val="20"/>
                <w:vertAlign w:val="superscript"/>
              </w:rPr>
              <w:footnoteReference w:id="2271"/>
            </w:r>
            <w:r w:rsidRPr="00BB7E6D">
              <w:rPr>
                <w:sz w:val="20"/>
                <w:szCs w:val="20"/>
              </w:rPr>
              <w:t>). Bei diesem Recht müss</w:t>
            </w:r>
            <w:r>
              <w:rPr>
                <w:sz w:val="20"/>
                <w:szCs w:val="20"/>
              </w:rPr>
              <w:t>t</w:t>
            </w:r>
            <w:r w:rsidRPr="00BB7E6D">
              <w:rPr>
                <w:sz w:val="20"/>
                <w:szCs w:val="20"/>
              </w:rPr>
              <w:t xml:space="preserve">en alle vor dem Gesetz gleich sein. Dagegen </w:t>
            </w:r>
            <w:r>
              <w:rPr>
                <w:sz w:val="20"/>
                <w:szCs w:val="20"/>
              </w:rPr>
              <w:t>verstoße</w:t>
            </w:r>
            <w:r w:rsidRPr="00BB7E6D">
              <w:rPr>
                <w:sz w:val="20"/>
                <w:szCs w:val="20"/>
              </w:rPr>
              <w:t xml:space="preserve"> aber ein solcher Eid, zumal es an einem Bezug zwischen dem Eid (keine Teilnahme am Sez</w:t>
            </w:r>
            <w:r>
              <w:rPr>
                <w:sz w:val="20"/>
                <w:szCs w:val="20"/>
              </w:rPr>
              <w:t>e</w:t>
            </w:r>
            <w:r w:rsidRPr="00BB7E6D">
              <w:rPr>
                <w:sz w:val="20"/>
                <w:szCs w:val="20"/>
              </w:rPr>
              <w:t xml:space="preserve">ssionskrieg) </w:t>
            </w:r>
            <w:r>
              <w:rPr>
                <w:sz w:val="20"/>
                <w:szCs w:val="20"/>
              </w:rPr>
              <w:t>und der</w:t>
            </w:r>
            <w:r w:rsidRPr="00BB7E6D">
              <w:rPr>
                <w:sz w:val="20"/>
                <w:szCs w:val="20"/>
              </w:rPr>
              <w:t xml:space="preserve"> konkreten Berufsausübung (</w:t>
            </w:r>
            <w:r>
              <w:rPr>
                <w:sz w:val="20"/>
                <w:szCs w:val="20"/>
              </w:rPr>
              <w:t>der</w:t>
            </w:r>
            <w:r w:rsidRPr="00BB7E6D">
              <w:rPr>
                <w:sz w:val="20"/>
                <w:szCs w:val="20"/>
              </w:rPr>
              <w:t xml:space="preserve"> des Priesters) fehle.</w:t>
            </w:r>
            <w:r w:rsidRPr="00BB7E6D">
              <w:rPr>
                <w:sz w:val="20"/>
                <w:szCs w:val="20"/>
                <w:vertAlign w:val="superscript"/>
              </w:rPr>
              <w:footnoteReference w:id="2272"/>
            </w:r>
            <w:r w:rsidRPr="00BB7E6D">
              <w:rPr>
                <w:sz w:val="20"/>
                <w:szCs w:val="20"/>
              </w:rPr>
              <w:t xml:space="preserve"> Das Streben nach Glück </w:t>
            </w:r>
            <w:r w:rsidR="00BF0D11">
              <w:rPr>
                <w:sz w:val="20"/>
                <w:szCs w:val="20"/>
              </w:rPr>
              <w:t xml:space="preserve">ermöglicht und </w:t>
            </w:r>
            <w:r w:rsidRPr="00BB7E6D">
              <w:rPr>
                <w:sz w:val="20"/>
                <w:szCs w:val="20"/>
              </w:rPr>
              <w:t>er</w:t>
            </w:r>
            <w:r w:rsidR="00BF0D11">
              <w:rPr>
                <w:sz w:val="20"/>
                <w:szCs w:val="20"/>
              </w:rPr>
              <w:t xml:space="preserve">fordert </w:t>
            </w:r>
            <w:r w:rsidRPr="00BB7E6D">
              <w:rPr>
                <w:sz w:val="20"/>
                <w:szCs w:val="20"/>
              </w:rPr>
              <w:t xml:space="preserve">den gleichen Zugang zum Beruf. </w:t>
            </w:r>
            <w:r>
              <w:rPr>
                <w:sz w:val="20"/>
                <w:szCs w:val="20"/>
              </w:rPr>
              <w:t>Dieser Zugang</w:t>
            </w:r>
            <w:r w:rsidRPr="00BB7E6D">
              <w:rPr>
                <w:sz w:val="20"/>
                <w:szCs w:val="20"/>
              </w:rPr>
              <w:t xml:space="preserve"> dürfe indes</w:t>
            </w:r>
            <w:r>
              <w:rPr>
                <w:sz w:val="20"/>
                <w:szCs w:val="20"/>
              </w:rPr>
              <w:t> </w:t>
            </w:r>
            <w:r w:rsidRPr="00BB7E6D">
              <w:rPr>
                <w:sz w:val="20"/>
                <w:szCs w:val="20"/>
              </w:rPr>
              <w:t xml:space="preserve">– als sog. </w:t>
            </w:r>
            <w:proofErr w:type="spellStart"/>
            <w:r w:rsidRPr="5B67C1D2">
              <w:rPr>
                <w:i/>
                <w:iCs/>
                <w:sz w:val="20"/>
                <w:szCs w:val="20"/>
              </w:rPr>
              <w:t>unenumerated</w:t>
            </w:r>
            <w:proofErr w:type="spellEnd"/>
            <w:r w:rsidRPr="5B67C1D2">
              <w:rPr>
                <w:i/>
                <w:iCs/>
                <w:sz w:val="20"/>
                <w:szCs w:val="20"/>
              </w:rPr>
              <w:t xml:space="preserve"> </w:t>
            </w:r>
            <w:proofErr w:type="spellStart"/>
            <w:r w:rsidRPr="5B67C1D2">
              <w:rPr>
                <w:i/>
                <w:iCs/>
                <w:sz w:val="20"/>
                <w:szCs w:val="20"/>
              </w:rPr>
              <w:t>right</w:t>
            </w:r>
            <w:proofErr w:type="spellEnd"/>
            <w:r w:rsidRPr="5B67C1D2">
              <w:rPr>
                <w:i/>
                <w:iCs/>
                <w:sz w:val="20"/>
                <w:szCs w:val="20"/>
              </w:rPr>
              <w:t> –</w:t>
            </w:r>
            <w:r w:rsidRPr="00BB7E6D">
              <w:rPr>
                <w:sz w:val="20"/>
                <w:szCs w:val="20"/>
              </w:rPr>
              <w:t xml:space="preserve"> nur anhand der Eignung, Befähigung und fachlichen Leistung beschränk</w:t>
            </w:r>
            <w:r>
              <w:rPr>
                <w:sz w:val="20"/>
                <w:szCs w:val="20"/>
              </w:rPr>
              <w:t>t werden</w:t>
            </w:r>
            <w:r w:rsidRPr="00BB7E6D">
              <w:rPr>
                <w:sz w:val="20"/>
                <w:szCs w:val="20"/>
              </w:rPr>
              <w:t>.</w:t>
            </w:r>
            <w:r w:rsidRPr="00BB7E6D">
              <w:rPr>
                <w:sz w:val="20"/>
                <w:szCs w:val="20"/>
                <w:vertAlign w:val="superscript"/>
              </w:rPr>
              <w:footnoteReference w:id="2273"/>
            </w:r>
          </w:p>
          <w:p w14:paraId="05BCC7BF" w14:textId="77777777" w:rsidR="00074551" w:rsidRPr="00E50B51" w:rsidRDefault="00074551" w:rsidP="00367133">
            <w:pPr>
              <w:jc w:val="both"/>
              <w:rPr>
                <w:sz w:val="20"/>
                <w:szCs w:val="20"/>
              </w:rPr>
            </w:pPr>
          </w:p>
        </w:tc>
      </w:tr>
      <w:tr w:rsidR="00074551" w:rsidRPr="00E50B51" w14:paraId="50BB65A0" w14:textId="77777777" w:rsidTr="00BE689F">
        <w:trPr>
          <w:cantSplit/>
          <w:trHeight w:val="3175"/>
        </w:trPr>
        <w:tc>
          <w:tcPr>
            <w:tcW w:w="293" w:type="pct"/>
          </w:tcPr>
          <w:p w14:paraId="72CB0C9D"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72AFC903" w14:textId="77777777" w:rsidR="00074551" w:rsidRPr="00B45592" w:rsidRDefault="00074551" w:rsidP="00367133">
            <w:pPr>
              <w:ind w:left="113" w:right="416"/>
              <w:jc w:val="both"/>
              <w:rPr>
                <w:i/>
                <w:sz w:val="20"/>
                <w:szCs w:val="20"/>
              </w:rPr>
            </w:pPr>
            <w:r w:rsidRPr="00B45592">
              <w:rPr>
                <w:i/>
                <w:sz w:val="20"/>
                <w:szCs w:val="20"/>
              </w:rPr>
              <w:t>Hawker v. New York</w:t>
            </w:r>
          </w:p>
        </w:tc>
        <w:tc>
          <w:tcPr>
            <w:tcW w:w="197" w:type="pct"/>
            <w:textDirection w:val="tbRl"/>
            <w:vAlign w:val="center"/>
          </w:tcPr>
          <w:p w14:paraId="5CBF5A2B" w14:textId="77777777" w:rsidR="00074551" w:rsidRPr="00E50B51" w:rsidRDefault="00074551" w:rsidP="00367133">
            <w:pPr>
              <w:ind w:left="113" w:right="113"/>
              <w:jc w:val="both"/>
              <w:rPr>
                <w:sz w:val="20"/>
                <w:szCs w:val="20"/>
              </w:rPr>
            </w:pPr>
            <w:r w:rsidRPr="00E50B51">
              <w:rPr>
                <w:sz w:val="20"/>
                <w:szCs w:val="20"/>
                <w:lang w:val="en-US"/>
              </w:rPr>
              <w:t>170 U.S. 189</w:t>
            </w:r>
          </w:p>
        </w:tc>
        <w:tc>
          <w:tcPr>
            <w:tcW w:w="306" w:type="pct"/>
            <w:textDirection w:val="tbRl"/>
            <w:vAlign w:val="center"/>
          </w:tcPr>
          <w:p w14:paraId="33F31AFC" w14:textId="77777777" w:rsidR="00074551" w:rsidRPr="00E50B51" w:rsidRDefault="00074551" w:rsidP="00367133">
            <w:pPr>
              <w:ind w:left="113" w:right="113"/>
              <w:jc w:val="both"/>
              <w:rPr>
                <w:sz w:val="20"/>
                <w:szCs w:val="20"/>
              </w:rPr>
            </w:pPr>
            <w:r w:rsidRPr="00E50B51">
              <w:rPr>
                <w:sz w:val="20"/>
                <w:szCs w:val="20"/>
              </w:rPr>
              <w:t>18. April 1898</w:t>
            </w:r>
          </w:p>
        </w:tc>
        <w:tc>
          <w:tcPr>
            <w:tcW w:w="401" w:type="pct"/>
          </w:tcPr>
          <w:p w14:paraId="105EF696" w14:textId="77777777" w:rsidR="00074551" w:rsidRPr="00E50B51" w:rsidRDefault="00074551" w:rsidP="00367133">
            <w:pPr>
              <w:jc w:val="center"/>
              <w:rPr>
                <w:sz w:val="20"/>
                <w:szCs w:val="20"/>
              </w:rPr>
            </w:pPr>
            <w:r w:rsidRPr="00E50B51">
              <w:rPr>
                <w:iCs/>
                <w:sz w:val="20"/>
                <w:szCs w:val="20"/>
              </w:rPr>
              <w:t>D</w:t>
            </w:r>
          </w:p>
        </w:tc>
        <w:tc>
          <w:tcPr>
            <w:tcW w:w="1594" w:type="pct"/>
          </w:tcPr>
          <w:p w14:paraId="2626A572" w14:textId="60E5DA10"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die Verurteilung eines Angeklagten, der unerlaubt den Beruf des Arztes ausübte, obwohl er wegen eines Verbrechens verurteilt w</w:t>
            </w:r>
            <w:r>
              <w:rPr>
                <w:sz w:val="20"/>
                <w:szCs w:val="20"/>
              </w:rPr>
              <w:t>orden war</w:t>
            </w:r>
            <w:r w:rsidRPr="00E50B51">
              <w:rPr>
                <w:sz w:val="20"/>
                <w:szCs w:val="20"/>
              </w:rPr>
              <w:t>. Die Ausübung als Arzt hab</w:t>
            </w:r>
            <w:r>
              <w:rPr>
                <w:sz w:val="20"/>
                <w:szCs w:val="20"/>
              </w:rPr>
              <w:t>e</w:t>
            </w:r>
            <w:r w:rsidRPr="00E50B51">
              <w:rPr>
                <w:sz w:val="20"/>
                <w:szCs w:val="20"/>
              </w:rPr>
              <w:t xml:space="preserve"> das </w:t>
            </w:r>
            <w:r w:rsidRPr="5B67C1D2">
              <w:rPr>
                <w:i/>
                <w:iCs/>
                <w:sz w:val="20"/>
                <w:szCs w:val="20"/>
              </w:rPr>
              <w:t>Public Health Law</w:t>
            </w:r>
            <w:r w:rsidRPr="00E50B51">
              <w:rPr>
                <w:sz w:val="20"/>
                <w:szCs w:val="20"/>
              </w:rPr>
              <w:t>, 1893 N.Y. Laws 661</w:t>
            </w:r>
            <w:r w:rsidRPr="5B67C1D2">
              <w:rPr>
                <w:rStyle w:val="Funotenzeichen"/>
                <w:rFonts w:eastAsiaTheme="majorEastAsia"/>
                <w:sz w:val="20"/>
                <w:szCs w:val="20"/>
              </w:rPr>
              <w:footnoteReference w:id="2274"/>
            </w:r>
            <w:r>
              <w:rPr>
                <w:sz w:val="20"/>
                <w:szCs w:val="20"/>
              </w:rPr>
              <w:t xml:space="preserve"> untersagt.</w:t>
            </w:r>
            <w:r w:rsidRPr="00E50B51">
              <w:rPr>
                <w:sz w:val="20"/>
                <w:szCs w:val="20"/>
              </w:rPr>
              <w:t xml:space="preserve"> Indes war das Gesetz zum Zeitpunkt der Ausübung noch nicht in Kraft. Der Angeklagte argumentierte daher, die Anwendung de</w:t>
            </w:r>
            <w:r>
              <w:rPr>
                <w:sz w:val="20"/>
                <w:szCs w:val="20"/>
              </w:rPr>
              <w:t>s</w:t>
            </w:r>
            <w:r w:rsidRPr="00E50B51">
              <w:rPr>
                <w:sz w:val="20"/>
                <w:szCs w:val="20"/>
              </w:rPr>
              <w:t xml:space="preserve"> </w:t>
            </w:r>
            <w:r w:rsidRPr="5B67C1D2">
              <w:rPr>
                <w:i/>
                <w:iCs/>
                <w:sz w:val="20"/>
                <w:szCs w:val="20"/>
              </w:rPr>
              <w:t>Public Health Law</w:t>
            </w:r>
            <w:r w:rsidRPr="00E50B51">
              <w:rPr>
                <w:sz w:val="20"/>
                <w:szCs w:val="20"/>
              </w:rPr>
              <w:t xml:space="preserve"> widerspreche </w:t>
            </w:r>
            <w:r w:rsidR="00023A37">
              <w:rPr>
                <w:sz w:val="20"/>
                <w:szCs w:val="20"/>
              </w:rPr>
              <w:t xml:space="preserve">U.S. </w:t>
            </w:r>
            <w:proofErr w:type="spellStart"/>
            <w:r w:rsidR="00023A37">
              <w:rPr>
                <w:sz w:val="20"/>
                <w:szCs w:val="20"/>
              </w:rPr>
              <w:t>Const</w:t>
            </w:r>
            <w:proofErr w:type="spellEnd"/>
            <w:r w:rsidR="00023A37">
              <w:rPr>
                <w:sz w:val="20"/>
                <w:szCs w:val="20"/>
              </w:rPr>
              <w:t>. art. I, § 10</w:t>
            </w:r>
            <w:r w:rsidRPr="00E50B51">
              <w:rPr>
                <w:sz w:val="20"/>
                <w:szCs w:val="20"/>
              </w:rPr>
              <w:t>, wonach einem Staat verboten sei, ein Gesetz auf abgeschlossene Sachverhalte anzuwenden (</w:t>
            </w:r>
            <w:r>
              <w:rPr>
                <w:sz w:val="20"/>
                <w:szCs w:val="20"/>
              </w:rPr>
              <w:t>E</w:t>
            </w:r>
            <w:r w:rsidRPr="00BB7E6D">
              <w:rPr>
                <w:sz w:val="20"/>
                <w:szCs w:val="20"/>
              </w:rPr>
              <w:t>x</w:t>
            </w:r>
            <w:r>
              <w:rPr>
                <w:sz w:val="20"/>
                <w:szCs w:val="20"/>
              </w:rPr>
              <w:t>-</w:t>
            </w:r>
            <w:r w:rsidRPr="00BB7E6D">
              <w:rPr>
                <w:sz w:val="20"/>
                <w:szCs w:val="20"/>
              </w:rPr>
              <w:t>post</w:t>
            </w:r>
            <w:r>
              <w:rPr>
                <w:sz w:val="20"/>
                <w:szCs w:val="20"/>
              </w:rPr>
              <w:t>-</w:t>
            </w:r>
            <w:r w:rsidRPr="00BB7E6D">
              <w:rPr>
                <w:sz w:val="20"/>
                <w:szCs w:val="20"/>
              </w:rPr>
              <w:t>facto</w:t>
            </w:r>
            <w:r>
              <w:rPr>
                <w:sz w:val="20"/>
                <w:szCs w:val="20"/>
              </w:rPr>
              <w:t>-Klausel</w:t>
            </w:r>
            <w:r w:rsidRPr="00E50B51">
              <w:rPr>
                <w:sz w:val="20"/>
                <w:szCs w:val="20"/>
              </w:rPr>
              <w:t xml:space="preserve">) – hier die Anwendung des Ausübungsverbot vor in dessen Inkrafttreten. Der </w:t>
            </w:r>
            <w:r>
              <w:rPr>
                <w:sz w:val="20"/>
                <w:szCs w:val="20"/>
              </w:rPr>
              <w:t>U.S. Supreme Court</w:t>
            </w:r>
            <w:r w:rsidRPr="00E50B51">
              <w:rPr>
                <w:sz w:val="20"/>
                <w:szCs w:val="20"/>
              </w:rPr>
              <w:t xml:space="preserve"> verwarf aber die Argumentation des Angeklagten. Zwar sei das Gesetz zum Zeitpunkt der Berufsausübung noch nicht in Kraft gewesen. Aber ein Arzt, den ein Gericht zuvor wegen eines Verbrechens verurteilt habe, sei bereits nach dem materiellen Gesetzesinhalt des </w:t>
            </w:r>
            <w:r w:rsidRPr="5B67C1D2">
              <w:rPr>
                <w:i/>
                <w:iCs/>
                <w:sz w:val="20"/>
                <w:szCs w:val="20"/>
              </w:rPr>
              <w:t>Public Health Law</w:t>
            </w:r>
            <w:r w:rsidRPr="00E50B51">
              <w:rPr>
                <w:sz w:val="20"/>
                <w:szCs w:val="20"/>
              </w:rPr>
              <w:t xml:space="preserve"> als charakterlich ungeeignet für seinen Berufs anzusehen. Auf das formelle Inkrafttreten komme es in diesem Fall nicht mehr an („</w:t>
            </w:r>
            <w:proofErr w:type="spellStart"/>
            <w:r w:rsidRPr="00E50B51">
              <w:rPr>
                <w:sz w:val="20"/>
                <w:szCs w:val="20"/>
              </w:rPr>
              <w:t>substance</w:t>
            </w:r>
            <w:proofErr w:type="spellEnd"/>
            <w:r w:rsidRPr="00E50B51">
              <w:rPr>
                <w:sz w:val="20"/>
                <w:szCs w:val="20"/>
              </w:rPr>
              <w:t xml:space="preserve"> </w:t>
            </w:r>
            <w:proofErr w:type="spellStart"/>
            <w:r w:rsidRPr="00E50B51">
              <w:rPr>
                <w:sz w:val="20"/>
                <w:szCs w:val="20"/>
              </w:rPr>
              <w:t>over</w:t>
            </w:r>
            <w:proofErr w:type="spellEnd"/>
            <w:r w:rsidRPr="00E50B51">
              <w:rPr>
                <w:sz w:val="20"/>
                <w:szCs w:val="20"/>
              </w:rPr>
              <w:t xml:space="preserve"> </w:t>
            </w:r>
            <w:proofErr w:type="spellStart"/>
            <w:r w:rsidRPr="00E50B51">
              <w:rPr>
                <w:sz w:val="20"/>
                <w:szCs w:val="20"/>
              </w:rPr>
              <w:t>form</w:t>
            </w:r>
            <w:proofErr w:type="spellEnd"/>
            <w:r w:rsidRPr="00E50B51">
              <w:rPr>
                <w:sz w:val="20"/>
                <w:szCs w:val="20"/>
              </w:rPr>
              <w:t>“</w:t>
            </w:r>
            <w:r w:rsidRPr="5B67C1D2">
              <w:rPr>
                <w:rStyle w:val="Funotenzeichen"/>
                <w:rFonts w:eastAsiaTheme="majorEastAsia"/>
                <w:sz w:val="20"/>
                <w:szCs w:val="20"/>
              </w:rPr>
              <w:footnoteReference w:id="2275"/>
            </w:r>
            <w:r>
              <w:rPr>
                <w:sz w:val="20"/>
                <w:szCs w:val="20"/>
              </w:rPr>
              <w:t>).</w:t>
            </w:r>
            <w:r w:rsidRPr="00E50B51">
              <w:rPr>
                <w:sz w:val="20"/>
                <w:szCs w:val="20"/>
              </w:rPr>
              <w:t xml:space="preserve"> Und eine strafrechtliche Verurteilung sei grundsätzlich ein unwiderlegbarer Beweis dafür, ungeeignet für den Beruf des Arztes zu sein. Schließlich habe der Bundesstaat die Kompetenz, Voraussetzungen für die Berufsausübung in seinem Bundesstaat zu bestimmen. In Rahmen dieser Kompetenz verfolge er auch eine legitime Zielsetzung: Bürger vor Ärzten zu schützen, die einen ungeeigneten Charakter haben.</w:t>
            </w:r>
            <w:r>
              <w:rPr>
                <w:rStyle w:val="Funotenzeichen"/>
                <w:sz w:val="20"/>
                <w:szCs w:val="20"/>
              </w:rPr>
              <w:footnoteReference w:id="2276"/>
            </w:r>
          </w:p>
          <w:p w14:paraId="33A5CECC" w14:textId="77777777" w:rsidR="00074551" w:rsidRPr="00E50B51" w:rsidRDefault="00074551" w:rsidP="00367133">
            <w:pPr>
              <w:jc w:val="both"/>
              <w:rPr>
                <w:sz w:val="20"/>
                <w:szCs w:val="20"/>
              </w:rPr>
            </w:pPr>
          </w:p>
        </w:tc>
        <w:tc>
          <w:tcPr>
            <w:tcW w:w="1822" w:type="pct"/>
          </w:tcPr>
          <w:p w14:paraId="7AFB2D6A" w14:textId="674A2355" w:rsidR="00074551" w:rsidRDefault="00074551" w:rsidP="00367133">
            <w:pPr>
              <w:jc w:val="both"/>
              <w:rPr>
                <w:sz w:val="20"/>
                <w:szCs w:val="20"/>
              </w:rPr>
            </w:pPr>
            <w:r w:rsidRPr="00942CA9">
              <w:rPr>
                <w:sz w:val="20"/>
                <w:szCs w:val="20"/>
              </w:rPr>
              <w:t xml:space="preserve">Der Dissens stimmt nicht mit der Urteilsbegründung überein. </w:t>
            </w:r>
            <w:r w:rsidR="00EC0D6C">
              <w:rPr>
                <w:sz w:val="20"/>
                <w:szCs w:val="20"/>
              </w:rPr>
              <w:t>Er</w:t>
            </w:r>
            <w:r w:rsidRPr="00942CA9">
              <w:rPr>
                <w:sz w:val="20"/>
                <w:szCs w:val="20"/>
              </w:rPr>
              <w:t xml:space="preserve"> erklär</w:t>
            </w:r>
            <w:r>
              <w:rPr>
                <w:sz w:val="20"/>
                <w:szCs w:val="20"/>
              </w:rPr>
              <w:t>t</w:t>
            </w:r>
            <w:r w:rsidRPr="00942CA9">
              <w:rPr>
                <w:sz w:val="20"/>
                <w:szCs w:val="20"/>
              </w:rPr>
              <w:t xml:space="preserve">e, die Straftat </w:t>
            </w:r>
            <w:r>
              <w:rPr>
                <w:sz w:val="20"/>
                <w:szCs w:val="20"/>
              </w:rPr>
              <w:t>habe</w:t>
            </w:r>
            <w:r w:rsidRPr="00942CA9">
              <w:rPr>
                <w:sz w:val="20"/>
                <w:szCs w:val="20"/>
              </w:rPr>
              <w:t xml:space="preserve"> der Arzt 1877</w:t>
            </w:r>
            <w:r>
              <w:rPr>
                <w:sz w:val="20"/>
                <w:szCs w:val="20"/>
              </w:rPr>
              <w:t xml:space="preserve"> begangen</w:t>
            </w:r>
            <w:r w:rsidRPr="00942CA9">
              <w:rPr>
                <w:sz w:val="20"/>
                <w:szCs w:val="20"/>
              </w:rPr>
              <w:t xml:space="preserve">; das Gesetz, das seine Tätigkeit verbot, trat aber erst danach in Kraft, </w:t>
            </w:r>
            <w:r>
              <w:rPr>
                <w:sz w:val="20"/>
                <w:szCs w:val="20"/>
              </w:rPr>
              <w:t>nämlich</w:t>
            </w:r>
            <w:r w:rsidRPr="00942CA9">
              <w:rPr>
                <w:sz w:val="20"/>
                <w:szCs w:val="20"/>
              </w:rPr>
              <w:t xml:space="preserve"> 1878. Ein Gesetz könne eine abgeschlossene Handlung grundsätzlich nicht nachträglich bestrafen. Daher bestehe hier ein offensichtlicher Verstoß gegen den </w:t>
            </w:r>
            <w:r>
              <w:rPr>
                <w:sz w:val="20"/>
                <w:szCs w:val="20"/>
              </w:rPr>
              <w:t>E</w:t>
            </w:r>
            <w:r w:rsidRPr="00942CA9">
              <w:rPr>
                <w:sz w:val="20"/>
                <w:szCs w:val="20"/>
              </w:rPr>
              <w:t>x</w:t>
            </w:r>
            <w:r>
              <w:rPr>
                <w:sz w:val="20"/>
                <w:szCs w:val="20"/>
              </w:rPr>
              <w:t>-</w:t>
            </w:r>
            <w:r w:rsidRPr="00942CA9">
              <w:rPr>
                <w:sz w:val="20"/>
                <w:szCs w:val="20"/>
              </w:rPr>
              <w:t>post</w:t>
            </w:r>
            <w:r>
              <w:rPr>
                <w:sz w:val="20"/>
                <w:szCs w:val="20"/>
              </w:rPr>
              <w:t>-</w:t>
            </w:r>
            <w:r w:rsidRPr="00942CA9">
              <w:rPr>
                <w:sz w:val="20"/>
                <w:szCs w:val="20"/>
              </w:rPr>
              <w:t>facto</w:t>
            </w:r>
            <w:r>
              <w:rPr>
                <w:sz w:val="20"/>
                <w:szCs w:val="20"/>
              </w:rPr>
              <w:t>-</w:t>
            </w:r>
            <w:r w:rsidRPr="00942CA9">
              <w:rPr>
                <w:sz w:val="20"/>
                <w:szCs w:val="20"/>
              </w:rPr>
              <w:t>Verfassungsgrundsatz.</w:t>
            </w:r>
            <w:r w:rsidRPr="00942CA9">
              <w:rPr>
                <w:sz w:val="20"/>
                <w:szCs w:val="20"/>
                <w:vertAlign w:val="superscript"/>
              </w:rPr>
              <w:footnoteReference w:id="2277"/>
            </w:r>
            <w:r w:rsidRPr="00942CA9">
              <w:rPr>
                <w:sz w:val="20"/>
                <w:szCs w:val="20"/>
              </w:rPr>
              <w:t xml:space="preserve"> Denn dieser Verstoß liege in vier Fällen vor</w:t>
            </w:r>
            <w:r>
              <w:rPr>
                <w:sz w:val="20"/>
                <w:szCs w:val="20"/>
              </w:rPr>
              <w:t>,</w:t>
            </w:r>
            <w:r w:rsidRPr="00942CA9">
              <w:rPr>
                <w:sz w:val="20"/>
                <w:szCs w:val="20"/>
              </w:rPr>
              <w:t xml:space="preserve"> wobei hier der erste einschlägig war; </w:t>
            </w:r>
            <w:r>
              <w:rPr>
                <w:sz w:val="20"/>
                <w:szCs w:val="20"/>
              </w:rPr>
              <w:t>dieser</w:t>
            </w:r>
            <w:r w:rsidRPr="00942CA9">
              <w:rPr>
                <w:sz w:val="20"/>
                <w:szCs w:val="20"/>
              </w:rPr>
              <w:t xml:space="preserve"> erste Fall lautet: </w:t>
            </w:r>
            <w:r>
              <w:rPr>
                <w:sz w:val="20"/>
                <w:szCs w:val="20"/>
              </w:rPr>
              <w:t>e</w:t>
            </w:r>
            <w:r w:rsidRPr="00942CA9">
              <w:rPr>
                <w:sz w:val="20"/>
                <w:szCs w:val="20"/>
              </w:rPr>
              <w:t>in Gesetz, das eine Handlung als Verbrechen bestraf</w:t>
            </w:r>
            <w:r>
              <w:rPr>
                <w:sz w:val="20"/>
                <w:szCs w:val="20"/>
              </w:rPr>
              <w:t>t</w:t>
            </w:r>
            <w:r w:rsidRPr="00942CA9">
              <w:rPr>
                <w:sz w:val="20"/>
                <w:szCs w:val="20"/>
              </w:rPr>
              <w:t xml:space="preserve">, welche aber eine Person vor Erlass </w:t>
            </w:r>
            <w:r>
              <w:rPr>
                <w:sz w:val="20"/>
                <w:szCs w:val="20"/>
              </w:rPr>
              <w:t>des</w:t>
            </w:r>
            <w:r w:rsidRPr="00942CA9">
              <w:rPr>
                <w:sz w:val="20"/>
                <w:szCs w:val="20"/>
              </w:rPr>
              <w:t xml:space="preserve"> Gesetzes begangen hatte und die zu dem Zeitpunkt noch nicht pönalisiert war. Zweitens: </w:t>
            </w:r>
            <w:r>
              <w:rPr>
                <w:sz w:val="20"/>
                <w:szCs w:val="20"/>
              </w:rPr>
              <w:t>e</w:t>
            </w:r>
            <w:r w:rsidRPr="00942CA9">
              <w:rPr>
                <w:sz w:val="20"/>
                <w:szCs w:val="20"/>
              </w:rPr>
              <w:t>in Gesetz, das den Anwendungsbereich eines Verbrechens erweiter</w:t>
            </w:r>
            <w:r>
              <w:rPr>
                <w:sz w:val="20"/>
                <w:szCs w:val="20"/>
              </w:rPr>
              <w:t>t</w:t>
            </w:r>
            <w:r w:rsidRPr="00942CA9">
              <w:rPr>
                <w:sz w:val="20"/>
                <w:szCs w:val="20"/>
              </w:rPr>
              <w:t xml:space="preserve"> und durch die Erweiterung rückwirkend bestraf</w:t>
            </w:r>
            <w:r>
              <w:rPr>
                <w:sz w:val="20"/>
                <w:szCs w:val="20"/>
              </w:rPr>
              <w:t>t</w:t>
            </w:r>
            <w:r w:rsidRPr="00942CA9">
              <w:rPr>
                <w:sz w:val="20"/>
                <w:szCs w:val="20"/>
              </w:rPr>
              <w:t xml:space="preserve">. Drittens: </w:t>
            </w:r>
            <w:r>
              <w:rPr>
                <w:sz w:val="20"/>
                <w:szCs w:val="20"/>
              </w:rPr>
              <w:t>e</w:t>
            </w:r>
            <w:r w:rsidRPr="00942CA9">
              <w:rPr>
                <w:sz w:val="20"/>
                <w:szCs w:val="20"/>
              </w:rPr>
              <w:t xml:space="preserve">in Gesetz, das die Strafe </w:t>
            </w:r>
            <w:r>
              <w:rPr>
                <w:sz w:val="20"/>
                <w:szCs w:val="20"/>
              </w:rPr>
              <w:t>für das</w:t>
            </w:r>
            <w:r w:rsidRPr="00942CA9">
              <w:rPr>
                <w:sz w:val="20"/>
                <w:szCs w:val="20"/>
              </w:rPr>
              <w:t xml:space="preserve"> Verbrechen verschärf</w:t>
            </w:r>
            <w:r>
              <w:rPr>
                <w:sz w:val="20"/>
                <w:szCs w:val="20"/>
              </w:rPr>
              <w:t>t</w:t>
            </w:r>
            <w:r w:rsidRPr="00942CA9">
              <w:rPr>
                <w:sz w:val="20"/>
                <w:szCs w:val="20"/>
              </w:rPr>
              <w:t xml:space="preserve"> und damit auch abgeschlossene Handlungen </w:t>
            </w:r>
            <w:r>
              <w:rPr>
                <w:sz w:val="20"/>
                <w:szCs w:val="20"/>
              </w:rPr>
              <w:t>schwerer bestraft</w:t>
            </w:r>
            <w:r w:rsidRPr="00942CA9">
              <w:rPr>
                <w:sz w:val="20"/>
                <w:szCs w:val="20"/>
              </w:rPr>
              <w:t xml:space="preserve">. Und viertens: </w:t>
            </w:r>
            <w:r>
              <w:rPr>
                <w:sz w:val="20"/>
                <w:szCs w:val="20"/>
              </w:rPr>
              <w:t>j</w:t>
            </w:r>
            <w:r w:rsidRPr="00942CA9">
              <w:rPr>
                <w:sz w:val="20"/>
                <w:szCs w:val="20"/>
              </w:rPr>
              <w:t>edes Gesetz, das die gesetzlichen Beweisregeln so änder</w:t>
            </w:r>
            <w:r>
              <w:rPr>
                <w:sz w:val="20"/>
                <w:szCs w:val="20"/>
              </w:rPr>
              <w:t>t</w:t>
            </w:r>
            <w:r w:rsidRPr="00942CA9">
              <w:rPr>
                <w:sz w:val="20"/>
                <w:szCs w:val="20"/>
              </w:rPr>
              <w:t>, dass ein Gericht eine Person für eine abgeschlossene Handlung verurteilen könn</w:t>
            </w:r>
            <w:r>
              <w:rPr>
                <w:sz w:val="20"/>
                <w:szCs w:val="20"/>
              </w:rPr>
              <w:t>te.</w:t>
            </w:r>
            <w:r w:rsidRPr="00942CA9">
              <w:rPr>
                <w:sz w:val="20"/>
                <w:szCs w:val="20"/>
                <w:vertAlign w:val="superscript"/>
              </w:rPr>
              <w:footnoteReference w:id="2278"/>
            </w:r>
            <w:r w:rsidRPr="00942CA9">
              <w:rPr>
                <w:sz w:val="20"/>
                <w:szCs w:val="20"/>
              </w:rPr>
              <w:t xml:space="preserve"> Gegen diese Ausdifferenzierung verstoße der </w:t>
            </w:r>
            <w:r>
              <w:rPr>
                <w:sz w:val="20"/>
                <w:szCs w:val="20"/>
              </w:rPr>
              <w:t>U.S. Supreme Court</w:t>
            </w:r>
            <w:r w:rsidRPr="00942CA9">
              <w:rPr>
                <w:sz w:val="20"/>
                <w:szCs w:val="20"/>
              </w:rPr>
              <w:t>. Denn er berufe sich auf den materiellen Gehalt des Gesetzes, ohne auf den Zeitpunkt des Inkrafttretens zu achten („</w:t>
            </w:r>
            <w:proofErr w:type="spellStart"/>
            <w:r w:rsidRPr="00942CA9">
              <w:rPr>
                <w:sz w:val="20"/>
                <w:szCs w:val="20"/>
              </w:rPr>
              <w:t>substance</w:t>
            </w:r>
            <w:proofErr w:type="spellEnd"/>
            <w:r w:rsidRPr="00942CA9">
              <w:rPr>
                <w:sz w:val="20"/>
                <w:szCs w:val="20"/>
              </w:rPr>
              <w:t xml:space="preserve"> </w:t>
            </w:r>
            <w:proofErr w:type="spellStart"/>
            <w:r w:rsidRPr="00942CA9">
              <w:rPr>
                <w:sz w:val="20"/>
                <w:szCs w:val="20"/>
              </w:rPr>
              <w:t>over</w:t>
            </w:r>
            <w:proofErr w:type="spellEnd"/>
            <w:r w:rsidRPr="00942CA9">
              <w:rPr>
                <w:sz w:val="20"/>
                <w:szCs w:val="20"/>
              </w:rPr>
              <w:t xml:space="preserve"> </w:t>
            </w:r>
            <w:proofErr w:type="spellStart"/>
            <w:r w:rsidRPr="00942CA9">
              <w:rPr>
                <w:sz w:val="20"/>
                <w:szCs w:val="20"/>
              </w:rPr>
              <w:t>form</w:t>
            </w:r>
            <w:proofErr w:type="spellEnd"/>
            <w:r w:rsidRPr="00942CA9">
              <w:rPr>
                <w:sz w:val="20"/>
                <w:szCs w:val="20"/>
              </w:rPr>
              <w:t>“</w:t>
            </w:r>
            <w:r w:rsidRPr="00942CA9">
              <w:rPr>
                <w:sz w:val="20"/>
                <w:szCs w:val="20"/>
                <w:vertAlign w:val="superscript"/>
              </w:rPr>
              <w:footnoteReference w:id="2279"/>
            </w:r>
            <w:r w:rsidRPr="00942CA9">
              <w:rPr>
                <w:sz w:val="20"/>
                <w:szCs w:val="20"/>
              </w:rPr>
              <w:t xml:space="preserve">). Bei diesem Verstoß komme hinzu, dass er die Berufsfreiheit nicht </w:t>
            </w:r>
            <w:proofErr w:type="gramStart"/>
            <w:r w:rsidRPr="00942CA9">
              <w:rPr>
                <w:sz w:val="20"/>
                <w:szCs w:val="20"/>
              </w:rPr>
              <w:t>abwäge</w:t>
            </w:r>
            <w:proofErr w:type="gramEnd"/>
            <w:r w:rsidRPr="00942CA9">
              <w:rPr>
                <w:sz w:val="20"/>
                <w:szCs w:val="20"/>
              </w:rPr>
              <w:t xml:space="preserve">. Doch diese </w:t>
            </w:r>
            <w:r>
              <w:rPr>
                <w:sz w:val="20"/>
                <w:szCs w:val="20"/>
              </w:rPr>
              <w:t>werde</w:t>
            </w:r>
            <w:r w:rsidRPr="00942CA9">
              <w:rPr>
                <w:sz w:val="20"/>
                <w:szCs w:val="20"/>
              </w:rPr>
              <w:t xml:space="preserve"> begründet durch das unveräußerliche Recht, Bedingungen für Glücksstreben zu errichten. Wegen der Unveräußerlichkeit des Strebens nach Glück müsse im Zweifel die Berufsausübung anderen Verfassungsbestimmungen vorgehen („</w:t>
            </w:r>
            <w:proofErr w:type="spellStart"/>
            <w:r w:rsidRPr="00942CA9">
              <w:rPr>
                <w:sz w:val="20"/>
                <w:szCs w:val="20"/>
              </w:rPr>
              <w:t>inalienable</w:t>
            </w:r>
            <w:proofErr w:type="spellEnd"/>
            <w:r w:rsidRPr="00942CA9">
              <w:rPr>
                <w:sz w:val="20"/>
                <w:szCs w:val="20"/>
              </w:rPr>
              <w:t xml:space="preserve"> </w:t>
            </w:r>
            <w:proofErr w:type="spellStart"/>
            <w:r w:rsidRPr="00942CA9">
              <w:rPr>
                <w:sz w:val="20"/>
                <w:szCs w:val="20"/>
              </w:rPr>
              <w:t>rights</w:t>
            </w:r>
            <w:proofErr w:type="spellEnd"/>
            <w:r w:rsidRPr="00942CA9">
              <w:rPr>
                <w:sz w:val="20"/>
                <w:szCs w:val="20"/>
              </w:rPr>
              <w:t>“</w:t>
            </w:r>
            <w:r w:rsidRPr="00942CA9">
              <w:rPr>
                <w:sz w:val="20"/>
                <w:szCs w:val="20"/>
                <w:vertAlign w:val="superscript"/>
              </w:rPr>
              <w:footnoteReference w:id="2280"/>
            </w:r>
            <w:r w:rsidRPr="00942CA9">
              <w:rPr>
                <w:sz w:val="20"/>
                <w:szCs w:val="20"/>
              </w:rPr>
              <w:t xml:space="preserve">). Jeder Entzug der Berufsfreiheit für vergangenes Verhalten sei daher grundsätzlich als Äquivalent zu einer Strafe anzusehen und führe daher hier im Fall zur Verfassungswidrigkeit („Any </w:t>
            </w:r>
            <w:proofErr w:type="spellStart"/>
            <w:r w:rsidRPr="00942CA9">
              <w:rPr>
                <w:sz w:val="20"/>
                <w:szCs w:val="20"/>
              </w:rPr>
              <w:t>deprivation</w:t>
            </w:r>
            <w:proofErr w:type="spellEnd"/>
            <w:r w:rsidRPr="00942CA9">
              <w:rPr>
                <w:sz w:val="20"/>
                <w:szCs w:val="20"/>
              </w:rPr>
              <w:t xml:space="preserve"> </w:t>
            </w:r>
            <w:proofErr w:type="spellStart"/>
            <w:r w:rsidRPr="00942CA9">
              <w:rPr>
                <w:sz w:val="20"/>
                <w:szCs w:val="20"/>
              </w:rPr>
              <w:t>or</w:t>
            </w:r>
            <w:proofErr w:type="spellEnd"/>
            <w:r w:rsidRPr="00942CA9">
              <w:rPr>
                <w:sz w:val="20"/>
                <w:szCs w:val="20"/>
              </w:rPr>
              <w:t xml:space="preserve"> </w:t>
            </w:r>
            <w:proofErr w:type="spellStart"/>
            <w:r w:rsidRPr="00942CA9">
              <w:rPr>
                <w:sz w:val="20"/>
                <w:szCs w:val="20"/>
              </w:rPr>
              <w:t>suspension</w:t>
            </w:r>
            <w:proofErr w:type="spellEnd"/>
            <w:r w:rsidRPr="00942CA9">
              <w:rPr>
                <w:sz w:val="20"/>
                <w:szCs w:val="20"/>
              </w:rPr>
              <w:t xml:space="preserve"> of </w:t>
            </w:r>
            <w:proofErr w:type="spellStart"/>
            <w:r w:rsidRPr="00942CA9">
              <w:rPr>
                <w:sz w:val="20"/>
                <w:szCs w:val="20"/>
              </w:rPr>
              <w:t>any</w:t>
            </w:r>
            <w:proofErr w:type="spellEnd"/>
            <w:r w:rsidRPr="00942CA9">
              <w:rPr>
                <w:sz w:val="20"/>
                <w:szCs w:val="20"/>
              </w:rPr>
              <w:t xml:space="preserve"> of </w:t>
            </w:r>
            <w:proofErr w:type="spellStart"/>
            <w:r w:rsidRPr="00942CA9">
              <w:rPr>
                <w:sz w:val="20"/>
                <w:szCs w:val="20"/>
              </w:rPr>
              <w:t>these</w:t>
            </w:r>
            <w:proofErr w:type="spellEnd"/>
            <w:r w:rsidRPr="00942CA9">
              <w:rPr>
                <w:sz w:val="20"/>
                <w:szCs w:val="20"/>
              </w:rPr>
              <w:t xml:space="preserve"> </w:t>
            </w:r>
            <w:proofErr w:type="spellStart"/>
            <w:r w:rsidRPr="00942CA9">
              <w:rPr>
                <w:sz w:val="20"/>
                <w:szCs w:val="20"/>
              </w:rPr>
              <w:t>rights</w:t>
            </w:r>
            <w:proofErr w:type="spellEnd"/>
            <w:r w:rsidRPr="00942CA9">
              <w:rPr>
                <w:sz w:val="20"/>
                <w:szCs w:val="20"/>
              </w:rPr>
              <w:t xml:space="preserve"> for </w:t>
            </w:r>
            <w:proofErr w:type="spellStart"/>
            <w:r w:rsidRPr="00942CA9">
              <w:rPr>
                <w:sz w:val="20"/>
                <w:szCs w:val="20"/>
              </w:rPr>
              <w:t>past</w:t>
            </w:r>
            <w:proofErr w:type="spellEnd"/>
            <w:r w:rsidRPr="00942CA9">
              <w:rPr>
                <w:sz w:val="20"/>
                <w:szCs w:val="20"/>
              </w:rPr>
              <w:t xml:space="preserve"> </w:t>
            </w:r>
            <w:proofErr w:type="spellStart"/>
            <w:r w:rsidRPr="00942CA9">
              <w:rPr>
                <w:sz w:val="20"/>
                <w:szCs w:val="20"/>
              </w:rPr>
              <w:t>conduct</w:t>
            </w:r>
            <w:proofErr w:type="spellEnd"/>
            <w:r w:rsidRPr="00942CA9">
              <w:rPr>
                <w:sz w:val="20"/>
                <w:szCs w:val="20"/>
              </w:rPr>
              <w:t xml:space="preserve"> </w:t>
            </w:r>
            <w:proofErr w:type="spellStart"/>
            <w:r w:rsidRPr="00942CA9">
              <w:rPr>
                <w:sz w:val="20"/>
                <w:szCs w:val="20"/>
              </w:rPr>
              <w:t>is</w:t>
            </w:r>
            <w:proofErr w:type="spellEnd"/>
            <w:r w:rsidRPr="00942CA9">
              <w:rPr>
                <w:sz w:val="20"/>
                <w:szCs w:val="20"/>
              </w:rPr>
              <w:t xml:space="preserve"> </w:t>
            </w:r>
            <w:proofErr w:type="spellStart"/>
            <w:r w:rsidRPr="00942CA9">
              <w:rPr>
                <w:sz w:val="20"/>
                <w:szCs w:val="20"/>
              </w:rPr>
              <w:t>punishment</w:t>
            </w:r>
            <w:proofErr w:type="spellEnd"/>
            <w:r w:rsidRPr="00942CA9">
              <w:rPr>
                <w:sz w:val="20"/>
                <w:szCs w:val="20"/>
              </w:rPr>
              <w:t>“</w:t>
            </w:r>
            <w:r w:rsidRPr="00942CA9">
              <w:rPr>
                <w:sz w:val="20"/>
                <w:szCs w:val="20"/>
                <w:vertAlign w:val="superscript"/>
              </w:rPr>
              <w:footnoteReference w:id="2281"/>
            </w:r>
            <w:r w:rsidRPr="00942CA9">
              <w:rPr>
                <w:sz w:val="20"/>
                <w:szCs w:val="20"/>
              </w:rPr>
              <w:t>).</w:t>
            </w:r>
          </w:p>
          <w:p w14:paraId="110A3C63" w14:textId="77777777" w:rsidR="00074551" w:rsidRPr="00E50B51" w:rsidRDefault="00074551" w:rsidP="00367133">
            <w:pPr>
              <w:jc w:val="both"/>
              <w:rPr>
                <w:sz w:val="20"/>
                <w:szCs w:val="20"/>
              </w:rPr>
            </w:pPr>
          </w:p>
        </w:tc>
      </w:tr>
      <w:tr w:rsidR="00074551" w:rsidRPr="00E50B51" w14:paraId="7B5D1D0E" w14:textId="77777777" w:rsidTr="00BE689F">
        <w:trPr>
          <w:cantSplit/>
          <w:trHeight w:val="3175"/>
        </w:trPr>
        <w:tc>
          <w:tcPr>
            <w:tcW w:w="293" w:type="pct"/>
          </w:tcPr>
          <w:p w14:paraId="403685CA" w14:textId="77777777" w:rsidR="00074551" w:rsidRPr="00E50B51" w:rsidRDefault="00074551" w:rsidP="00367133">
            <w:pPr>
              <w:ind w:right="416"/>
              <w:jc w:val="center"/>
              <w:rPr>
                <w:sz w:val="20"/>
                <w:szCs w:val="20"/>
              </w:rPr>
            </w:pPr>
            <w:r>
              <w:rPr>
                <w:sz w:val="20"/>
                <w:szCs w:val="20"/>
              </w:rPr>
              <w:lastRenderedPageBreak/>
              <w:t>H</w:t>
            </w:r>
          </w:p>
        </w:tc>
        <w:tc>
          <w:tcPr>
            <w:tcW w:w="387" w:type="pct"/>
            <w:textDirection w:val="tbRl"/>
            <w:vAlign w:val="center"/>
          </w:tcPr>
          <w:p w14:paraId="06B767FC" w14:textId="77777777" w:rsidR="00074551" w:rsidRPr="00B45592" w:rsidRDefault="00074551" w:rsidP="00367133">
            <w:pPr>
              <w:ind w:left="113" w:right="416"/>
              <w:jc w:val="both"/>
              <w:rPr>
                <w:i/>
                <w:sz w:val="20"/>
                <w:szCs w:val="20"/>
              </w:rPr>
            </w:pPr>
            <w:r w:rsidRPr="00B45592">
              <w:rPr>
                <w:i/>
                <w:sz w:val="20"/>
                <w:szCs w:val="20"/>
              </w:rPr>
              <w:t>Watson v. Mercer</w:t>
            </w:r>
          </w:p>
        </w:tc>
        <w:tc>
          <w:tcPr>
            <w:tcW w:w="197" w:type="pct"/>
            <w:textDirection w:val="tbRl"/>
            <w:vAlign w:val="center"/>
          </w:tcPr>
          <w:p w14:paraId="451CDA9B" w14:textId="77777777" w:rsidR="00074551" w:rsidRPr="00E50B51" w:rsidRDefault="00074551" w:rsidP="00367133">
            <w:pPr>
              <w:ind w:left="113" w:right="113"/>
              <w:jc w:val="both"/>
              <w:rPr>
                <w:sz w:val="20"/>
                <w:szCs w:val="20"/>
                <w:lang w:val="en-US"/>
              </w:rPr>
            </w:pPr>
            <w:r w:rsidRPr="00BE3728">
              <w:rPr>
                <w:sz w:val="20"/>
                <w:szCs w:val="20"/>
              </w:rPr>
              <w:t>33 U.S. 88</w:t>
            </w:r>
          </w:p>
        </w:tc>
        <w:tc>
          <w:tcPr>
            <w:tcW w:w="306" w:type="pct"/>
            <w:textDirection w:val="tbRl"/>
            <w:vAlign w:val="center"/>
          </w:tcPr>
          <w:p w14:paraId="7EFB3EA7" w14:textId="77777777" w:rsidR="00074551" w:rsidRPr="00E50B51" w:rsidRDefault="00074551" w:rsidP="00367133">
            <w:pPr>
              <w:ind w:left="113" w:right="113"/>
              <w:jc w:val="both"/>
              <w:rPr>
                <w:sz w:val="20"/>
                <w:szCs w:val="20"/>
              </w:rPr>
            </w:pPr>
            <w:r w:rsidRPr="00BE3728">
              <w:rPr>
                <w:sz w:val="20"/>
                <w:szCs w:val="20"/>
              </w:rPr>
              <w:t>08. März 1834</w:t>
            </w:r>
          </w:p>
        </w:tc>
        <w:tc>
          <w:tcPr>
            <w:tcW w:w="401" w:type="pct"/>
          </w:tcPr>
          <w:p w14:paraId="079F7E6A" w14:textId="77777777" w:rsidR="00074551" w:rsidRPr="00E50B51" w:rsidRDefault="00074551" w:rsidP="00367133">
            <w:pPr>
              <w:jc w:val="center"/>
              <w:rPr>
                <w:iCs/>
                <w:sz w:val="20"/>
                <w:szCs w:val="20"/>
              </w:rPr>
            </w:pPr>
            <w:r w:rsidRPr="00BE3728">
              <w:rPr>
                <w:sz w:val="20"/>
                <w:szCs w:val="20"/>
                <w:lang w:val="en-US"/>
              </w:rPr>
              <w:t>S</w:t>
            </w:r>
          </w:p>
        </w:tc>
        <w:tc>
          <w:tcPr>
            <w:tcW w:w="1594" w:type="pct"/>
          </w:tcPr>
          <w:p w14:paraId="0CC151A6" w14:textId="77777777" w:rsidR="00074551" w:rsidRPr="00E50B51" w:rsidRDefault="00074551" w:rsidP="00367133">
            <w:pPr>
              <w:jc w:val="both"/>
              <w:rPr>
                <w:sz w:val="20"/>
                <w:szCs w:val="20"/>
              </w:rPr>
            </w:pPr>
            <w:r>
              <w:rPr>
                <w:sz w:val="20"/>
                <w:szCs w:val="20"/>
              </w:rPr>
              <w:t>Der</w:t>
            </w:r>
            <w:r w:rsidRPr="00BE3728">
              <w:rPr>
                <w:sz w:val="20"/>
                <w:szCs w:val="20"/>
              </w:rPr>
              <w:t xml:space="preserve"> </w:t>
            </w:r>
            <w:r>
              <w:rPr>
                <w:sz w:val="20"/>
                <w:szCs w:val="20"/>
              </w:rPr>
              <w:t>U.S. Supreme Court</w:t>
            </w:r>
            <w:r w:rsidRPr="00BE3728">
              <w:rPr>
                <w:sz w:val="20"/>
                <w:szCs w:val="20"/>
              </w:rPr>
              <w:t xml:space="preserve"> bestätigte die Wirksamkeit eines Gesetzes des Bundesstaats Pennsylvania. Dieses Gesetz heile eine fehlerhafte Annahme in Form einer Urkunde. Die legislative Kompetenz, Gesetze zur Heilung vormals unwirksamer Urkunden zu erlassen, </w:t>
            </w:r>
            <w:r>
              <w:rPr>
                <w:sz w:val="20"/>
                <w:szCs w:val="20"/>
              </w:rPr>
              <w:t>war</w:t>
            </w:r>
            <w:r w:rsidRPr="00BE3728">
              <w:rPr>
                <w:sz w:val="20"/>
                <w:szCs w:val="20"/>
              </w:rPr>
              <w:t xml:space="preserve"> die Frage des Falls. </w:t>
            </w:r>
            <w:r>
              <w:rPr>
                <w:sz w:val="20"/>
                <w:szCs w:val="20"/>
              </w:rPr>
              <w:t>Es ging um ein Grundstück, das u</w:t>
            </w:r>
            <w:r w:rsidRPr="00BE3728">
              <w:rPr>
                <w:sz w:val="20"/>
                <w:szCs w:val="20"/>
              </w:rPr>
              <w:t>rsprünglich Margaret Mercer</w:t>
            </w:r>
            <w:r>
              <w:rPr>
                <w:sz w:val="20"/>
                <w:szCs w:val="20"/>
              </w:rPr>
              <w:t xml:space="preserve"> gehörte</w:t>
            </w:r>
            <w:r w:rsidRPr="00BE3728">
              <w:rPr>
                <w:sz w:val="20"/>
                <w:szCs w:val="20"/>
              </w:rPr>
              <w:t xml:space="preserve">. Sie übertrug das Grundstück auf </w:t>
            </w:r>
            <w:r>
              <w:rPr>
                <w:sz w:val="20"/>
                <w:szCs w:val="20"/>
              </w:rPr>
              <w:t xml:space="preserve">ihren Ehemann </w:t>
            </w:r>
            <w:r w:rsidRPr="00BE3728">
              <w:rPr>
                <w:sz w:val="20"/>
                <w:szCs w:val="20"/>
              </w:rPr>
              <w:t xml:space="preserve">James Mercer. Die </w:t>
            </w:r>
            <w:r>
              <w:rPr>
                <w:sz w:val="20"/>
                <w:szCs w:val="20"/>
              </w:rPr>
              <w:t>Übertragungsu</w:t>
            </w:r>
            <w:r w:rsidRPr="00BE3728">
              <w:rPr>
                <w:sz w:val="20"/>
                <w:szCs w:val="20"/>
              </w:rPr>
              <w:t>rkunde von 1771 war indes für die Ehefrau unwirksam. Denn ihre Annahme der Übertragung erfolgte nicht gemäß dem Gesetz von Pennsylvania von 1770</w:t>
            </w:r>
            <w:r>
              <w:rPr>
                <w:sz w:val="20"/>
                <w:szCs w:val="20"/>
              </w:rPr>
              <w:t>, d</w:t>
            </w:r>
            <w:r w:rsidRPr="00BE3728">
              <w:rPr>
                <w:sz w:val="20"/>
                <w:szCs w:val="20"/>
              </w:rPr>
              <w:t>as die Übertragung von Immobilien durch verheiratete Frauen</w:t>
            </w:r>
            <w:r>
              <w:rPr>
                <w:sz w:val="20"/>
                <w:szCs w:val="20"/>
              </w:rPr>
              <w:t xml:space="preserve"> </w:t>
            </w:r>
            <w:r w:rsidRPr="00BE3728">
              <w:rPr>
                <w:sz w:val="20"/>
                <w:szCs w:val="20"/>
              </w:rPr>
              <w:t xml:space="preserve">regelte. Nach dem Tod beider Parteien klagten daher die Erben Margaret Mercers gegen die Erben James Mercers auf Herausgabe des Grundstücks. Sie gewannen in der ersten Instanz. Der </w:t>
            </w:r>
            <w:r w:rsidRPr="5B67C1D2">
              <w:rPr>
                <w:i/>
                <w:iCs/>
                <w:sz w:val="20"/>
                <w:szCs w:val="20"/>
              </w:rPr>
              <w:t>Supreme Court</w:t>
            </w:r>
            <w:r w:rsidRPr="00BE3728">
              <w:rPr>
                <w:sz w:val="20"/>
                <w:szCs w:val="20"/>
              </w:rPr>
              <w:t xml:space="preserve"> </w:t>
            </w:r>
            <w:r w:rsidRPr="5B67C1D2">
              <w:rPr>
                <w:i/>
                <w:iCs/>
                <w:sz w:val="20"/>
                <w:szCs w:val="20"/>
              </w:rPr>
              <w:t>of Pennsylvania</w:t>
            </w:r>
            <w:r w:rsidRPr="00BE3728">
              <w:rPr>
                <w:sz w:val="20"/>
                <w:szCs w:val="20"/>
              </w:rPr>
              <w:t xml:space="preserve"> bestätigte. Doch 1826 erließ die Assembly von Pennsylvania ein Gesetz (vgl. Act of 1826</w:t>
            </w:r>
            <w:r w:rsidRPr="00BE3728">
              <w:rPr>
                <w:rStyle w:val="Funotenzeichen"/>
                <w:sz w:val="20"/>
                <w:szCs w:val="20"/>
              </w:rPr>
              <w:footnoteReference w:id="2282"/>
            </w:r>
            <w:r w:rsidRPr="00BE3728">
              <w:rPr>
                <w:sz w:val="20"/>
                <w:szCs w:val="20"/>
              </w:rPr>
              <w:t>)</w:t>
            </w:r>
            <w:r>
              <w:rPr>
                <w:sz w:val="20"/>
                <w:szCs w:val="20"/>
              </w:rPr>
              <w:t xml:space="preserve">, welches </w:t>
            </w:r>
            <w:r w:rsidRPr="00BE3728">
              <w:rPr>
                <w:sz w:val="20"/>
                <w:szCs w:val="20"/>
              </w:rPr>
              <w:t>die fehlerhafte Annahme von Margaret Mercer nachträglich</w:t>
            </w:r>
            <w:r>
              <w:rPr>
                <w:sz w:val="20"/>
                <w:szCs w:val="20"/>
              </w:rPr>
              <w:t xml:space="preserve"> </w:t>
            </w:r>
            <w:r w:rsidRPr="00BE3728">
              <w:rPr>
                <w:sz w:val="20"/>
                <w:szCs w:val="20"/>
              </w:rPr>
              <w:t xml:space="preserve">heilte. Damit wurde die Urkunde wirksam. Daraufhin klagten nun die Erben von James Mercer gegen die Erben </w:t>
            </w:r>
            <w:r>
              <w:rPr>
                <w:sz w:val="20"/>
                <w:szCs w:val="20"/>
              </w:rPr>
              <w:t xml:space="preserve">von </w:t>
            </w:r>
            <w:r w:rsidRPr="00BE3728">
              <w:rPr>
                <w:sz w:val="20"/>
                <w:szCs w:val="20"/>
              </w:rPr>
              <w:t xml:space="preserve">Margaret Mercer und erlangten das Grundstück zurück. Dieses Urteil wurde ebenfalls vom Supreme Court des Staates und vom </w:t>
            </w:r>
            <w:r>
              <w:rPr>
                <w:sz w:val="20"/>
                <w:szCs w:val="20"/>
              </w:rPr>
              <w:t>U.S. Supreme Court</w:t>
            </w:r>
            <w:r w:rsidRPr="00BE3728">
              <w:rPr>
                <w:sz w:val="20"/>
                <w:szCs w:val="20"/>
              </w:rPr>
              <w:t xml:space="preserve"> bestätigt. Der </w:t>
            </w:r>
            <w:r>
              <w:rPr>
                <w:sz w:val="20"/>
                <w:szCs w:val="20"/>
              </w:rPr>
              <w:t>U.S. Supreme Court</w:t>
            </w:r>
            <w:r w:rsidRPr="00BE3728">
              <w:rPr>
                <w:sz w:val="20"/>
                <w:szCs w:val="20"/>
              </w:rPr>
              <w:t xml:space="preserve"> erklärte, dass es er keine Kompetenz habe, </w:t>
            </w:r>
            <w:proofErr w:type="gramStart"/>
            <w:r w:rsidRPr="00BE3728">
              <w:rPr>
                <w:sz w:val="20"/>
                <w:szCs w:val="20"/>
              </w:rPr>
              <w:t>ein Gesetz des Bundesstaats</w:t>
            </w:r>
            <w:proofErr w:type="gramEnd"/>
            <w:r w:rsidRPr="00BE3728">
              <w:rPr>
                <w:sz w:val="20"/>
                <w:szCs w:val="20"/>
              </w:rPr>
              <w:t xml:space="preserve"> als verfassungswidrig zu erklären, nur weil es in die Vertragsfreiheit eingreife und Vermögen entziehe.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w:t>
            </w:r>
            <w:r>
              <w:rPr>
                <w:sz w:val="20"/>
                <w:szCs w:val="20"/>
              </w:rPr>
              <w:t>v</w:t>
            </w:r>
            <w:r w:rsidRPr="00BE3728">
              <w:rPr>
                <w:sz w:val="20"/>
                <w:szCs w:val="20"/>
              </w:rPr>
              <w:t xml:space="preserve">erbiete den Bundesstaaten nicht generell die Verabschiedung rückwirkender Gesetze. Sie verbiete nur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 xml:space="preserve">Gesetze. D.h. der Begriff </w:t>
            </w:r>
            <w:r w:rsidRPr="5B67C1D2">
              <w:rPr>
                <w:i/>
                <w:iCs/>
                <w:sz w:val="20"/>
                <w:szCs w:val="20"/>
              </w:rPr>
              <w:t xml:space="preserve">ex </w:t>
            </w:r>
            <w:proofErr w:type="spellStart"/>
            <w:r w:rsidRPr="5B67C1D2">
              <w:rPr>
                <w:i/>
                <w:iCs/>
                <w:sz w:val="20"/>
                <w:szCs w:val="20"/>
              </w:rPr>
              <w:t>post</w:t>
            </w:r>
            <w:proofErr w:type="spellEnd"/>
            <w:r w:rsidRPr="5B67C1D2">
              <w:rPr>
                <w:i/>
                <w:iCs/>
                <w:sz w:val="20"/>
                <w:szCs w:val="20"/>
              </w:rPr>
              <w:t xml:space="preserve"> facto</w:t>
            </w:r>
            <w:r w:rsidRPr="00BE3728">
              <w:rPr>
                <w:sz w:val="20"/>
                <w:szCs w:val="20"/>
              </w:rPr>
              <w:t xml:space="preserve"> sei nicht auf zivile, sondern nur auf Strafgesetze anwendbar.</w:t>
            </w:r>
            <w:r w:rsidRPr="00BE3728">
              <w:rPr>
                <w:rStyle w:val="Funotenzeichen"/>
                <w:sz w:val="20"/>
                <w:szCs w:val="20"/>
              </w:rPr>
              <w:footnoteReference w:id="2283"/>
            </w:r>
          </w:p>
        </w:tc>
        <w:tc>
          <w:tcPr>
            <w:tcW w:w="1822" w:type="pct"/>
          </w:tcPr>
          <w:p w14:paraId="6F65F610" w14:textId="77777777" w:rsidR="00074551" w:rsidRPr="00BE3728" w:rsidRDefault="00074551" w:rsidP="00367133">
            <w:pPr>
              <w:jc w:val="both"/>
              <w:rPr>
                <w:sz w:val="20"/>
                <w:szCs w:val="20"/>
                <w:lang w:val="en-US"/>
              </w:rPr>
            </w:pPr>
            <w:r w:rsidRPr="00BE3728">
              <w:rPr>
                <w:sz w:val="20"/>
                <w:szCs w:val="20"/>
                <w:lang w:val="en-US"/>
              </w:rPr>
              <w:t>Constitutional Law</w:t>
            </w:r>
            <w:r>
              <w:rPr>
                <w:sz w:val="20"/>
                <w:szCs w:val="20"/>
                <w:lang w:val="en-US"/>
              </w:rPr>
              <w:t xml:space="preserve"> › </w:t>
            </w:r>
            <w:r w:rsidRPr="00BE3728">
              <w:rPr>
                <w:sz w:val="20"/>
                <w:szCs w:val="20"/>
                <w:lang w:val="en-US"/>
              </w:rPr>
              <w:t>Congressional Duties &amp; Powers</w:t>
            </w:r>
            <w:r>
              <w:rPr>
                <w:sz w:val="20"/>
                <w:szCs w:val="20"/>
                <w:lang w:val="en-US"/>
              </w:rPr>
              <w:t xml:space="preserve"> › </w:t>
            </w:r>
            <w:r w:rsidRPr="00BE3728">
              <w:rPr>
                <w:sz w:val="20"/>
                <w:szCs w:val="20"/>
                <w:lang w:val="en-US"/>
              </w:rPr>
              <w:t>Bills of Attainder &amp; Ex Post Facto Clause &gt;</w:t>
            </w:r>
          </w:p>
          <w:p w14:paraId="359DBCD3" w14:textId="77777777" w:rsidR="00074551" w:rsidRPr="00BE3728" w:rsidRDefault="00074551" w:rsidP="00367133">
            <w:pPr>
              <w:jc w:val="both"/>
              <w:rPr>
                <w:sz w:val="20"/>
                <w:szCs w:val="20"/>
                <w:lang w:val="en-US"/>
              </w:rPr>
            </w:pPr>
          </w:p>
          <w:p w14:paraId="7F61AB9D" w14:textId="77777777" w:rsidR="00074551" w:rsidRDefault="00074551" w:rsidP="00367133">
            <w:pPr>
              <w:jc w:val="both"/>
              <w:rPr>
                <w:sz w:val="20"/>
                <w:szCs w:val="20"/>
              </w:rPr>
            </w:pPr>
            <w:r>
              <w:rPr>
                <w:sz w:val="20"/>
                <w:szCs w:val="20"/>
              </w:rPr>
              <w:t>Der U.S. Supreme Court</w:t>
            </w:r>
            <w:r w:rsidRPr="00BE3728">
              <w:rPr>
                <w:sz w:val="20"/>
                <w:szCs w:val="20"/>
              </w:rPr>
              <w:t xml:space="preserve"> urteilte, dass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den Bundesstaaten nicht Gesetze untersage, die zurückwirk</w:t>
            </w:r>
            <w:r>
              <w:rPr>
                <w:sz w:val="20"/>
                <w:szCs w:val="20"/>
              </w:rPr>
              <w:t>t</w:t>
            </w:r>
            <w:r w:rsidRPr="00BE3728">
              <w:rPr>
                <w:sz w:val="20"/>
                <w:szCs w:val="20"/>
              </w:rPr>
              <w:t xml:space="preserve">en. Sie verbiete nur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 xml:space="preserve">Gesetze. Und was meint das? Der Ausdruck bezieht sich nicht auf Zivilrecht, sondern auf Strafgesetze.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 xml:space="preserve">Gesetze betreffen straf- und kriminalrechtliche Verfahren, die Strafen auferlegen, und nicht zivilprozessuale Verfahren, die private Rechte rückwirkend beeinflussen. Doch wie kam der </w:t>
            </w:r>
            <w:r>
              <w:rPr>
                <w:sz w:val="20"/>
                <w:szCs w:val="20"/>
              </w:rPr>
              <w:t>U.S. Supreme Court</w:t>
            </w:r>
            <w:r w:rsidRPr="00BE3728">
              <w:rPr>
                <w:sz w:val="20"/>
                <w:szCs w:val="20"/>
              </w:rPr>
              <w:t xml:space="preserve"> </w:t>
            </w:r>
            <w:r>
              <w:rPr>
                <w:sz w:val="20"/>
                <w:szCs w:val="20"/>
              </w:rPr>
              <w:t>zu dieser Einschätzung</w:t>
            </w:r>
            <w:r w:rsidRPr="00BE3728">
              <w:rPr>
                <w:sz w:val="20"/>
                <w:szCs w:val="20"/>
              </w:rPr>
              <w:t>?</w:t>
            </w:r>
            <w:r w:rsidRPr="00BE3728">
              <w:rPr>
                <w:rStyle w:val="Funotenzeichen"/>
                <w:sz w:val="20"/>
                <w:szCs w:val="20"/>
              </w:rPr>
              <w:footnoteReference w:id="2284"/>
            </w:r>
          </w:p>
          <w:p w14:paraId="61019261" w14:textId="77777777" w:rsidR="00074551" w:rsidRDefault="00074551" w:rsidP="00367133">
            <w:pPr>
              <w:jc w:val="both"/>
              <w:rPr>
                <w:sz w:val="20"/>
                <w:szCs w:val="20"/>
              </w:rPr>
            </w:pPr>
          </w:p>
          <w:p w14:paraId="1459861B"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erklärte, wann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 xml:space="preserve">Gesetze zulässig sind – und wann nicht. Bei der Auslegung </w:t>
            </w:r>
            <w:r>
              <w:rPr>
                <w:sz w:val="20"/>
                <w:szCs w:val="20"/>
              </w:rPr>
              <w:t>ging</w:t>
            </w:r>
            <w:r w:rsidRPr="00BE3728">
              <w:rPr>
                <w:sz w:val="20"/>
                <w:szCs w:val="20"/>
              </w:rPr>
              <w:t xml:space="preserve"> er vom Ursprung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aus. Die Verfassung sei vom Volk geschaffen, nämlich aus dem inhärenten Streben der Menschen, frei zu sein. Freiheit mein</w:t>
            </w:r>
            <w:r>
              <w:rPr>
                <w:sz w:val="20"/>
                <w:szCs w:val="20"/>
              </w:rPr>
              <w:t>e</w:t>
            </w:r>
            <w:r w:rsidRPr="00BE3728">
              <w:rPr>
                <w:sz w:val="20"/>
                <w:szCs w:val="20"/>
              </w:rPr>
              <w:t xml:space="preserve">, dass Menschen die Sicherheit </w:t>
            </w:r>
            <w:r>
              <w:rPr>
                <w:sz w:val="20"/>
                <w:szCs w:val="20"/>
              </w:rPr>
              <w:t>hätten</w:t>
            </w:r>
            <w:r w:rsidRPr="00BE3728">
              <w:rPr>
                <w:sz w:val="20"/>
                <w:szCs w:val="20"/>
              </w:rPr>
              <w:t xml:space="preserve">, um nach Glück streben zu können. </w:t>
            </w:r>
            <w:r w:rsidRPr="00BE3728">
              <w:rPr>
                <w:sz w:val="20"/>
                <w:szCs w:val="20"/>
                <w:lang w:val="en-US"/>
              </w:rPr>
              <w:t xml:space="preserve">Mit </w:t>
            </w:r>
            <w:proofErr w:type="spellStart"/>
            <w:r w:rsidRPr="00BE3728">
              <w:rPr>
                <w:sz w:val="20"/>
                <w:szCs w:val="20"/>
                <w:lang w:val="en-US"/>
              </w:rPr>
              <w:t>diesem</w:t>
            </w:r>
            <w:proofErr w:type="spellEnd"/>
            <w:r w:rsidRPr="00BE3728">
              <w:rPr>
                <w:sz w:val="20"/>
                <w:szCs w:val="20"/>
                <w:lang w:val="en-US"/>
              </w:rPr>
              <w:t xml:space="preserve"> </w:t>
            </w:r>
            <w:proofErr w:type="spellStart"/>
            <w:r w:rsidRPr="00BE3728">
              <w:rPr>
                <w:sz w:val="20"/>
                <w:szCs w:val="20"/>
                <w:lang w:val="en-US"/>
              </w:rPr>
              <w:t>Streben</w:t>
            </w:r>
            <w:proofErr w:type="spellEnd"/>
            <w:r w:rsidRPr="00BE3728">
              <w:rPr>
                <w:sz w:val="20"/>
                <w:szCs w:val="20"/>
                <w:lang w:val="en-US"/>
              </w:rPr>
              <w:t xml:space="preserve"> </w:t>
            </w:r>
            <w:proofErr w:type="spellStart"/>
            <w:r w:rsidRPr="00BE3728">
              <w:rPr>
                <w:sz w:val="20"/>
                <w:szCs w:val="20"/>
                <w:lang w:val="en-US"/>
              </w:rPr>
              <w:t>erwehr</w:t>
            </w:r>
            <w:r>
              <w:rPr>
                <w:sz w:val="20"/>
                <w:szCs w:val="20"/>
                <w:lang w:val="en-US"/>
              </w:rPr>
              <w:t>t</w:t>
            </w:r>
            <w:r w:rsidRPr="00BE3728">
              <w:rPr>
                <w:sz w:val="20"/>
                <w:szCs w:val="20"/>
                <w:lang w:val="en-US"/>
              </w:rPr>
              <w:t>en</w:t>
            </w:r>
            <w:proofErr w:type="spellEnd"/>
            <w:r w:rsidRPr="00BE3728">
              <w:rPr>
                <w:sz w:val="20"/>
                <w:szCs w:val="20"/>
                <w:lang w:val="en-US"/>
              </w:rPr>
              <w:t xml:space="preserve"> </w:t>
            </w:r>
            <w:proofErr w:type="spellStart"/>
            <w:r w:rsidRPr="00BE3728">
              <w:rPr>
                <w:sz w:val="20"/>
                <w:szCs w:val="20"/>
                <w:lang w:val="en-US"/>
              </w:rPr>
              <w:t>sie</w:t>
            </w:r>
            <w:proofErr w:type="spellEnd"/>
            <w:r w:rsidRPr="00BE3728">
              <w:rPr>
                <w:sz w:val="20"/>
                <w:szCs w:val="20"/>
                <w:lang w:val="en-US"/>
              </w:rPr>
              <w:t xml:space="preserve"> </w:t>
            </w:r>
            <w:proofErr w:type="spellStart"/>
            <w:r w:rsidRPr="00BE3728">
              <w:rPr>
                <w:sz w:val="20"/>
                <w:szCs w:val="20"/>
                <w:lang w:val="en-US"/>
              </w:rPr>
              <w:t>sich</w:t>
            </w:r>
            <w:proofErr w:type="spellEnd"/>
            <w:r w:rsidRPr="00BE3728">
              <w:rPr>
                <w:sz w:val="20"/>
                <w:szCs w:val="20"/>
                <w:lang w:val="en-US"/>
              </w:rPr>
              <w:t xml:space="preserve"> </w:t>
            </w:r>
            <w:proofErr w:type="spellStart"/>
            <w:r w:rsidRPr="00BE3728">
              <w:rPr>
                <w:sz w:val="20"/>
                <w:szCs w:val="20"/>
                <w:lang w:val="en-US"/>
              </w:rPr>
              <w:t>gegen</w:t>
            </w:r>
            <w:proofErr w:type="spellEnd"/>
            <w:r w:rsidRPr="00BE3728">
              <w:rPr>
                <w:sz w:val="20"/>
                <w:szCs w:val="20"/>
                <w:lang w:val="en-US"/>
              </w:rPr>
              <w:t xml:space="preserve"> </w:t>
            </w:r>
            <w:proofErr w:type="spellStart"/>
            <w:r w:rsidRPr="00BE3728">
              <w:rPr>
                <w:sz w:val="20"/>
                <w:szCs w:val="20"/>
                <w:lang w:val="en-US"/>
              </w:rPr>
              <w:t>Despotismus</w:t>
            </w:r>
            <w:proofErr w:type="spellEnd"/>
            <w:r w:rsidRPr="00BE3728">
              <w:rPr>
                <w:sz w:val="20"/>
                <w:szCs w:val="20"/>
                <w:lang w:val="en-US"/>
              </w:rPr>
              <w:t xml:space="preserve"> („Our constitution is formed by the people, […] as a free people, seeking their security and </w:t>
            </w:r>
            <w:proofErr w:type="gramStart"/>
            <w:r w:rsidRPr="00BE3728">
              <w:rPr>
                <w:sz w:val="20"/>
                <w:szCs w:val="20"/>
                <w:lang w:val="en-US"/>
              </w:rPr>
              <w:t>happiness“</w:t>
            </w:r>
            <w:proofErr w:type="gramEnd"/>
            <w:r w:rsidRPr="00BE3728">
              <w:rPr>
                <w:rStyle w:val="Funotenzeichen"/>
                <w:sz w:val="20"/>
                <w:szCs w:val="20"/>
                <w:lang w:val="en-US"/>
              </w:rPr>
              <w:footnoteReference w:id="2285"/>
            </w:r>
            <w:r w:rsidRPr="00BE3728">
              <w:rPr>
                <w:sz w:val="20"/>
                <w:szCs w:val="20"/>
                <w:lang w:val="en-US"/>
              </w:rPr>
              <w:t xml:space="preserve">). </w:t>
            </w:r>
            <w:r w:rsidRPr="00BE3728">
              <w:rPr>
                <w:sz w:val="20"/>
                <w:szCs w:val="20"/>
              </w:rPr>
              <w:t xml:space="preserve">Und unter dieser Zielsetzung </w:t>
            </w:r>
            <w:r>
              <w:rPr>
                <w:sz w:val="20"/>
                <w:szCs w:val="20"/>
              </w:rPr>
              <w:t>müsse</w:t>
            </w:r>
            <w:r w:rsidRPr="00BE3728">
              <w:rPr>
                <w:sz w:val="20"/>
                <w:szCs w:val="20"/>
              </w:rPr>
              <w:t xml:space="preserve"> der Wortlaut der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Verfassungsklausel verstanden werden. Konkret bedeute</w:t>
            </w:r>
            <w:r>
              <w:rPr>
                <w:sz w:val="20"/>
                <w:szCs w:val="20"/>
              </w:rPr>
              <w:t>t</w:t>
            </w:r>
            <w:r w:rsidRPr="00BE3728">
              <w:rPr>
                <w:sz w:val="20"/>
                <w:szCs w:val="20"/>
              </w:rPr>
              <w:t xml:space="preserve"> das: Die Verfassungsbestimmungen müssen für die nach Freiheit, respektive Sicherheit und Glück, strebende Bevölkerung verständlich sein</w:t>
            </w:r>
            <w:r>
              <w:rPr>
                <w:sz w:val="20"/>
                <w:szCs w:val="20"/>
              </w:rPr>
              <w:t> </w:t>
            </w:r>
            <w:r w:rsidRPr="00BE3728">
              <w:rPr>
                <w:sz w:val="20"/>
                <w:szCs w:val="20"/>
              </w:rPr>
              <w:t xml:space="preserve">– und zwar </w:t>
            </w:r>
            <w:proofErr w:type="gramStart"/>
            <w:r w:rsidRPr="00BE3728">
              <w:rPr>
                <w:sz w:val="20"/>
                <w:szCs w:val="20"/>
              </w:rPr>
              <w:t>ohne</w:t>
            </w:r>
            <w:proofErr w:type="gramEnd"/>
            <w:r w:rsidRPr="00BE3728">
              <w:rPr>
                <w:sz w:val="20"/>
                <w:szCs w:val="20"/>
              </w:rPr>
              <w:t xml:space="preserve"> dass Fachbegriffe Verfassungsbestimmungen unverständlich machen.</w:t>
            </w:r>
            <w:r w:rsidRPr="00BE3728">
              <w:rPr>
                <w:rStyle w:val="Funotenzeichen"/>
                <w:sz w:val="20"/>
                <w:szCs w:val="20"/>
              </w:rPr>
              <w:t xml:space="preserve"> </w:t>
            </w:r>
            <w:r w:rsidRPr="00BE3728">
              <w:rPr>
                <w:rStyle w:val="Funotenzeichen"/>
                <w:sz w:val="20"/>
                <w:szCs w:val="20"/>
                <w:lang w:val="en-US"/>
              </w:rPr>
              <w:footnoteReference w:id="2286"/>
            </w:r>
            <w:r w:rsidRPr="00BE3728">
              <w:rPr>
                <w:sz w:val="20"/>
                <w:szCs w:val="20"/>
              </w:rPr>
              <w:t xml:space="preserve"> Daher wird der Ausdruck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 xml:space="preserve">Gesetz in seinem allgemeinen Sinn bzw. Wortlaut verwendet: Um rückwirkende Gesetzgebung zu verhindern, welche eine Tat kriminalisiert, die nicht pönalisiert war, als der Täter sie ausgeführt hatte. Für diese Auslegung spricht auch der andere Teil der Verfassungsklausel, der die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Kla</w:t>
            </w:r>
            <w:r>
              <w:rPr>
                <w:sz w:val="20"/>
                <w:szCs w:val="20"/>
              </w:rPr>
              <w:t>u</w:t>
            </w:r>
            <w:r w:rsidRPr="00BE3728">
              <w:rPr>
                <w:sz w:val="20"/>
                <w:szCs w:val="20"/>
              </w:rPr>
              <w:t>sel regelt, denn der schütz</w:t>
            </w:r>
            <w:r>
              <w:rPr>
                <w:sz w:val="20"/>
                <w:szCs w:val="20"/>
              </w:rPr>
              <w:t>t</w:t>
            </w:r>
            <w:r w:rsidRPr="00BE3728">
              <w:rPr>
                <w:sz w:val="20"/>
                <w:szCs w:val="20"/>
              </w:rPr>
              <w:t xml:space="preserve"> die Bürgerrechte. Er verknüpft sich aber sprachlich nicht mit dem ersten Teil gem. der </w:t>
            </w:r>
            <w:proofErr w:type="spellStart"/>
            <w:r w:rsidRPr="00BE3728">
              <w:rPr>
                <w:sz w:val="20"/>
                <w:szCs w:val="20"/>
              </w:rPr>
              <w:t>Noscitur</w:t>
            </w:r>
            <w:proofErr w:type="spellEnd"/>
            <w:r>
              <w:rPr>
                <w:sz w:val="20"/>
                <w:szCs w:val="20"/>
              </w:rPr>
              <w:t>-</w:t>
            </w:r>
            <w:r w:rsidRPr="00BE3728">
              <w:rPr>
                <w:sz w:val="20"/>
                <w:szCs w:val="20"/>
              </w:rPr>
              <w:t>a</w:t>
            </w:r>
            <w:r>
              <w:rPr>
                <w:sz w:val="20"/>
                <w:szCs w:val="20"/>
              </w:rPr>
              <w:t>-</w:t>
            </w:r>
            <w:proofErr w:type="spellStart"/>
            <w:r w:rsidRPr="00BE3728">
              <w:rPr>
                <w:sz w:val="20"/>
                <w:szCs w:val="20"/>
              </w:rPr>
              <w:t>sociis</w:t>
            </w:r>
            <w:proofErr w:type="spellEnd"/>
            <w:r>
              <w:rPr>
                <w:sz w:val="20"/>
                <w:szCs w:val="20"/>
              </w:rPr>
              <w:t>-</w:t>
            </w:r>
            <w:r w:rsidRPr="00BE3728">
              <w:rPr>
                <w:sz w:val="20"/>
                <w:szCs w:val="20"/>
              </w:rPr>
              <w:t>Auslegung.</w:t>
            </w:r>
            <w:r w:rsidRPr="00BE3728">
              <w:rPr>
                <w:rStyle w:val="Funotenzeichen"/>
                <w:sz w:val="20"/>
                <w:szCs w:val="20"/>
                <w:lang w:val="en-US"/>
              </w:rPr>
              <w:footnoteReference w:id="2287"/>
            </w:r>
            <w:r w:rsidRPr="00BE3728">
              <w:rPr>
                <w:sz w:val="20"/>
                <w:szCs w:val="20"/>
              </w:rPr>
              <w:t xml:space="preserve"> Das heißt: </w:t>
            </w:r>
            <w:r>
              <w:rPr>
                <w:sz w:val="20"/>
                <w:szCs w:val="20"/>
              </w:rPr>
              <w:t>E</w:t>
            </w:r>
            <w:r w:rsidRPr="00BE3728">
              <w:rPr>
                <w:sz w:val="20"/>
                <w:szCs w:val="20"/>
              </w:rPr>
              <w:t>x</w:t>
            </w:r>
            <w:r>
              <w:rPr>
                <w:sz w:val="20"/>
                <w:szCs w:val="20"/>
              </w:rPr>
              <w:t>-</w:t>
            </w:r>
            <w:r w:rsidRPr="00BE3728">
              <w:rPr>
                <w:sz w:val="20"/>
                <w:szCs w:val="20"/>
              </w:rPr>
              <w:t>post</w:t>
            </w:r>
            <w:r>
              <w:rPr>
                <w:sz w:val="20"/>
                <w:szCs w:val="20"/>
              </w:rPr>
              <w:t>-</w:t>
            </w:r>
            <w:r w:rsidRPr="00BE3728">
              <w:rPr>
                <w:sz w:val="20"/>
                <w:szCs w:val="20"/>
              </w:rPr>
              <w:t>facto</w:t>
            </w:r>
            <w:r>
              <w:rPr>
                <w:sz w:val="20"/>
                <w:szCs w:val="20"/>
              </w:rPr>
              <w:t>-</w:t>
            </w:r>
            <w:r w:rsidRPr="00BE3728">
              <w:rPr>
                <w:sz w:val="20"/>
                <w:szCs w:val="20"/>
              </w:rPr>
              <w:t>Gesetze beziehen sich nur auf das Straf-, nicht auf das Zivilrecht.</w:t>
            </w:r>
          </w:p>
          <w:p w14:paraId="497A7EBE" w14:textId="77777777" w:rsidR="00074551" w:rsidRPr="00E50B51" w:rsidRDefault="00074551" w:rsidP="00367133">
            <w:pPr>
              <w:jc w:val="both"/>
              <w:rPr>
                <w:sz w:val="20"/>
                <w:szCs w:val="20"/>
              </w:rPr>
            </w:pPr>
          </w:p>
        </w:tc>
      </w:tr>
      <w:tr w:rsidR="00074551" w:rsidRPr="00E50B51" w14:paraId="37F70004" w14:textId="77777777" w:rsidTr="00BE689F">
        <w:trPr>
          <w:cantSplit/>
          <w:trHeight w:val="3175"/>
        </w:trPr>
        <w:tc>
          <w:tcPr>
            <w:tcW w:w="293" w:type="pct"/>
          </w:tcPr>
          <w:p w14:paraId="3E30A0B7"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6A926545" w14:textId="77777777" w:rsidR="00074551" w:rsidRPr="00E50B51" w:rsidRDefault="00074551" w:rsidP="00367133">
            <w:pPr>
              <w:ind w:left="113" w:right="416"/>
              <w:jc w:val="both"/>
              <w:rPr>
                <w:sz w:val="20"/>
                <w:szCs w:val="20"/>
              </w:rPr>
            </w:pPr>
            <w:r w:rsidRPr="00AB01D2">
              <w:rPr>
                <w:i/>
                <w:sz w:val="20"/>
                <w:szCs w:val="20"/>
              </w:rPr>
              <w:t>Satterlee v. Matthewson</w:t>
            </w:r>
          </w:p>
        </w:tc>
        <w:tc>
          <w:tcPr>
            <w:tcW w:w="197" w:type="pct"/>
            <w:textDirection w:val="tbRl"/>
            <w:vAlign w:val="center"/>
          </w:tcPr>
          <w:p w14:paraId="0D43EB46" w14:textId="77777777" w:rsidR="00074551" w:rsidRPr="00E50B51" w:rsidRDefault="00074551" w:rsidP="00367133">
            <w:pPr>
              <w:ind w:left="113" w:right="113"/>
              <w:jc w:val="both"/>
              <w:rPr>
                <w:sz w:val="20"/>
                <w:szCs w:val="20"/>
                <w:lang w:val="en-US"/>
              </w:rPr>
            </w:pPr>
            <w:r w:rsidRPr="00BE3728">
              <w:rPr>
                <w:sz w:val="20"/>
                <w:szCs w:val="20"/>
              </w:rPr>
              <w:t>27 U.S. 380</w:t>
            </w:r>
          </w:p>
        </w:tc>
        <w:tc>
          <w:tcPr>
            <w:tcW w:w="306" w:type="pct"/>
            <w:textDirection w:val="tbRl"/>
            <w:vAlign w:val="center"/>
          </w:tcPr>
          <w:p w14:paraId="01A5A2CB" w14:textId="77777777" w:rsidR="00074551" w:rsidRPr="00E50B51" w:rsidRDefault="00074551" w:rsidP="00367133">
            <w:pPr>
              <w:ind w:left="113" w:right="113"/>
              <w:jc w:val="both"/>
              <w:rPr>
                <w:sz w:val="20"/>
                <w:szCs w:val="20"/>
              </w:rPr>
            </w:pPr>
            <w:r w:rsidRPr="00BE3728">
              <w:rPr>
                <w:sz w:val="20"/>
                <w:szCs w:val="20"/>
              </w:rPr>
              <w:t>24. Februar 1829</w:t>
            </w:r>
          </w:p>
        </w:tc>
        <w:tc>
          <w:tcPr>
            <w:tcW w:w="401" w:type="pct"/>
          </w:tcPr>
          <w:p w14:paraId="4A62E85D" w14:textId="77777777" w:rsidR="00074551" w:rsidRPr="00E50B51" w:rsidRDefault="00074551" w:rsidP="00367133">
            <w:pPr>
              <w:jc w:val="center"/>
              <w:rPr>
                <w:iCs/>
                <w:sz w:val="20"/>
                <w:szCs w:val="20"/>
              </w:rPr>
            </w:pPr>
            <w:r w:rsidRPr="00BE3728">
              <w:rPr>
                <w:sz w:val="20"/>
                <w:szCs w:val="20"/>
                <w:lang w:val="en-US"/>
              </w:rPr>
              <w:t>S</w:t>
            </w:r>
          </w:p>
        </w:tc>
        <w:tc>
          <w:tcPr>
            <w:tcW w:w="1594" w:type="pct"/>
          </w:tcPr>
          <w:p w14:paraId="4F790E7A" w14:textId="77777777" w:rsidR="00074551" w:rsidRPr="00BE3728" w:rsidRDefault="00074551" w:rsidP="00367133">
            <w:pPr>
              <w:jc w:val="both"/>
              <w:rPr>
                <w:sz w:val="20"/>
                <w:szCs w:val="20"/>
              </w:rPr>
            </w:pPr>
            <w:r w:rsidRPr="00BE3728">
              <w:rPr>
                <w:sz w:val="20"/>
                <w:szCs w:val="20"/>
              </w:rPr>
              <w:t>Ein Gesetz</w:t>
            </w:r>
            <w:r>
              <w:rPr>
                <w:sz w:val="20"/>
                <w:szCs w:val="20"/>
              </w:rPr>
              <w:t>,</w:t>
            </w:r>
            <w:r w:rsidRPr="00BE3728">
              <w:rPr>
                <w:rStyle w:val="Funotenzeichen"/>
                <w:sz w:val="20"/>
                <w:szCs w:val="20"/>
              </w:rPr>
              <w:footnoteReference w:id="2288"/>
            </w:r>
            <w:r w:rsidRPr="00BE3728">
              <w:rPr>
                <w:sz w:val="20"/>
                <w:szCs w:val="20"/>
              </w:rPr>
              <w:t xml:space="preserve"> das eine Vermieter-Mieter-Beziehung zwischen Geschwistern ermöglich</w:t>
            </w:r>
            <w:r>
              <w:rPr>
                <w:sz w:val="20"/>
                <w:szCs w:val="20"/>
              </w:rPr>
              <w:t>t</w:t>
            </w:r>
            <w:r w:rsidRPr="00BE3728">
              <w:rPr>
                <w:sz w:val="20"/>
                <w:szCs w:val="20"/>
              </w:rPr>
              <w:t xml:space="preserve">e, stand im Einklang mit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Im Fall </w:t>
            </w:r>
            <w:r>
              <w:rPr>
                <w:sz w:val="20"/>
                <w:szCs w:val="20"/>
              </w:rPr>
              <w:t>hatte</w:t>
            </w:r>
            <w:r w:rsidRPr="00BE3728">
              <w:rPr>
                <w:sz w:val="20"/>
                <w:szCs w:val="20"/>
              </w:rPr>
              <w:t xml:space="preserve"> eine Schwester eine Räumungsklage gegen ihren Bruder ein</w:t>
            </w:r>
            <w:r>
              <w:rPr>
                <w:sz w:val="20"/>
                <w:szCs w:val="20"/>
              </w:rPr>
              <w:t>gereicht</w:t>
            </w:r>
            <w:r w:rsidRPr="00BE3728">
              <w:rPr>
                <w:sz w:val="20"/>
                <w:szCs w:val="20"/>
              </w:rPr>
              <w:t xml:space="preserve">. Der wurde von seinem Sohn, dem Kläger, vertreten. Der Sachverhalt betraf ein Grundstück in Pennsylvania. Das besaßen ursprünglich der Ehemann der Schwester und ihr Bruder. Sie teilten dann das Grundstück und vermieteten es </w:t>
            </w:r>
            <w:r>
              <w:rPr>
                <w:sz w:val="20"/>
                <w:szCs w:val="20"/>
              </w:rPr>
              <w:t xml:space="preserve">sich </w:t>
            </w:r>
            <w:r w:rsidRPr="00BE3728">
              <w:rPr>
                <w:sz w:val="20"/>
                <w:szCs w:val="20"/>
              </w:rPr>
              <w:t>gegenseitig. Dann erwarb die Schwester einen Titel unter Connecticut-Recht an dem Grundstück des Bruders. Aber der Bruder verfügte den Titel an demselben Land an seinen Sohn. Der Sohn verpachtete den Grundstücksteil anschließend wieder an den Bruder. Die Vorinstanzen urteilten, dass der Bruder weiterhin als Mieter der Schwester galt</w:t>
            </w:r>
            <w:r>
              <w:rPr>
                <w:sz w:val="20"/>
                <w:szCs w:val="20"/>
              </w:rPr>
              <w:t> </w:t>
            </w:r>
            <w:r w:rsidRPr="00BE3728">
              <w:rPr>
                <w:sz w:val="20"/>
                <w:szCs w:val="20"/>
              </w:rPr>
              <w:t>– trotz Verfügung zwischen Bruder und Sohn. Dies sei eine Umgehung des Gesetzes, das Vermieter-Mieter-Beziehung zwischen Familienmitgliedern regle</w:t>
            </w:r>
            <w:r>
              <w:rPr>
                <w:sz w:val="20"/>
                <w:szCs w:val="20"/>
              </w:rPr>
              <w:t>.</w:t>
            </w:r>
            <w:r w:rsidRPr="00BE3728">
              <w:rPr>
                <w:rStyle w:val="Funotenzeichen"/>
                <w:sz w:val="20"/>
                <w:szCs w:val="20"/>
              </w:rPr>
              <w:footnoteReference w:id="2289"/>
            </w:r>
            <w:r w:rsidRPr="00BE3728">
              <w:rPr>
                <w:sz w:val="20"/>
                <w:szCs w:val="20"/>
              </w:rPr>
              <w:t xml:space="preserve"> Der </w:t>
            </w:r>
            <w:r>
              <w:rPr>
                <w:sz w:val="20"/>
                <w:szCs w:val="20"/>
              </w:rPr>
              <w:t>U.S. Supreme Court</w:t>
            </w:r>
            <w:r w:rsidRPr="00BE3728">
              <w:rPr>
                <w:sz w:val="20"/>
                <w:szCs w:val="20"/>
              </w:rPr>
              <w:t xml:space="preserve"> stellte fest, dass das Gesetz verfassungskonform war und keine Verträge beeinträchtig</w:t>
            </w:r>
            <w:r>
              <w:rPr>
                <w:sz w:val="20"/>
                <w:szCs w:val="20"/>
              </w:rPr>
              <w:t>t</w:t>
            </w:r>
            <w:r w:rsidRPr="00BE3728">
              <w:rPr>
                <w:sz w:val="20"/>
                <w:szCs w:val="20"/>
              </w:rPr>
              <w:t xml:space="preserve">e. </w:t>
            </w:r>
            <w:r>
              <w:rPr>
                <w:sz w:val="20"/>
                <w:szCs w:val="20"/>
              </w:rPr>
              <w:t>Seine</w:t>
            </w:r>
            <w:r w:rsidRPr="00BE3728">
              <w:rPr>
                <w:sz w:val="20"/>
                <w:szCs w:val="20"/>
              </w:rPr>
              <w:t xml:space="preserve"> Entscheidung</w:t>
            </w:r>
            <w:r>
              <w:rPr>
                <w:sz w:val="20"/>
                <w:szCs w:val="20"/>
              </w:rPr>
              <w:t xml:space="preserve"> </w:t>
            </w:r>
            <w:r w:rsidRPr="00BE3728">
              <w:rPr>
                <w:sz w:val="20"/>
                <w:szCs w:val="20"/>
              </w:rPr>
              <w:t>bestätigte</w:t>
            </w:r>
            <w:r>
              <w:rPr>
                <w:sz w:val="20"/>
                <w:szCs w:val="20"/>
              </w:rPr>
              <w:t xml:space="preserve"> </w:t>
            </w:r>
            <w:r w:rsidRPr="00BE3728">
              <w:rPr>
                <w:sz w:val="20"/>
                <w:szCs w:val="20"/>
              </w:rPr>
              <w:t>das Urteil zugunsten der Schwester.</w:t>
            </w:r>
            <w:r w:rsidRPr="00BE3728">
              <w:rPr>
                <w:rStyle w:val="Funotenzeichen"/>
                <w:sz w:val="20"/>
                <w:szCs w:val="20"/>
              </w:rPr>
              <w:footnoteReference w:id="2290"/>
            </w:r>
          </w:p>
          <w:p w14:paraId="722D49B1" w14:textId="77777777" w:rsidR="00074551" w:rsidRPr="00E50B51" w:rsidRDefault="00074551" w:rsidP="00367133">
            <w:pPr>
              <w:jc w:val="both"/>
              <w:rPr>
                <w:sz w:val="20"/>
                <w:szCs w:val="20"/>
              </w:rPr>
            </w:pPr>
          </w:p>
        </w:tc>
        <w:tc>
          <w:tcPr>
            <w:tcW w:w="1822" w:type="pct"/>
          </w:tcPr>
          <w:p w14:paraId="4E70F04E"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w:t>
            </w:r>
            <w:r>
              <w:rPr>
                <w:i/>
                <w:sz w:val="20"/>
                <w:szCs w:val="20"/>
                <w:lang w:val="en-IE"/>
              </w:rPr>
              <w:t>n</w:t>
            </w:r>
            <w:proofErr w:type="spellEnd"/>
            <w:r>
              <w:rPr>
                <w:i/>
                <w:sz w:val="20"/>
                <w:szCs w:val="20"/>
                <w:lang w:val="en-IE"/>
              </w:rPr>
              <w:t xml:space="preserve">: </w:t>
            </w:r>
            <w:r w:rsidRPr="00B45592">
              <w:rPr>
                <w:i/>
                <w:sz w:val="20"/>
                <w:szCs w:val="20"/>
                <w:lang w:val="en-US"/>
              </w:rPr>
              <w:t>Constitutional Law › Bills of Attainder &amp; Ex Post Facto Clause › Ex Post Facto Clause › General Overview</w:t>
            </w:r>
          </w:p>
          <w:p w14:paraId="5DBFB47B" w14:textId="77777777" w:rsidR="00074551" w:rsidRPr="00BE3728" w:rsidRDefault="00074551" w:rsidP="00367133">
            <w:pPr>
              <w:jc w:val="both"/>
              <w:rPr>
                <w:sz w:val="20"/>
                <w:szCs w:val="20"/>
                <w:lang w:val="en-US"/>
              </w:rPr>
            </w:pPr>
          </w:p>
          <w:p w14:paraId="1E7BABDA" w14:textId="77777777" w:rsidR="00074551" w:rsidRDefault="00074551" w:rsidP="00367133">
            <w:pPr>
              <w:jc w:val="both"/>
              <w:rPr>
                <w:sz w:val="20"/>
                <w:szCs w:val="20"/>
              </w:rPr>
            </w:pPr>
            <w:r w:rsidRPr="00BE3728">
              <w:rPr>
                <w:sz w:val="20"/>
                <w:szCs w:val="20"/>
              </w:rPr>
              <w:t>Rückwirkende Gesetze, die die Verbindlichkeit von Verträgen nicht beeinträchtigen</w:t>
            </w:r>
            <w:r>
              <w:rPr>
                <w:sz w:val="20"/>
                <w:szCs w:val="20"/>
              </w:rPr>
              <w:t>,</w:t>
            </w:r>
            <w:r w:rsidRPr="00BE3728">
              <w:rPr>
                <w:sz w:val="20"/>
                <w:szCs w:val="20"/>
              </w:rPr>
              <w:t xml:space="preserve"> verstoßen gegen keine Verfassungsbestimmung.</w:t>
            </w:r>
            <w:r w:rsidRPr="00BE3728">
              <w:rPr>
                <w:rStyle w:val="Funotenzeichen"/>
                <w:sz w:val="20"/>
                <w:szCs w:val="20"/>
              </w:rPr>
              <w:footnoteReference w:id="2291"/>
            </w:r>
          </w:p>
          <w:p w14:paraId="097C8385" w14:textId="77777777" w:rsidR="00074551" w:rsidRDefault="00074551" w:rsidP="00367133">
            <w:pPr>
              <w:jc w:val="both"/>
              <w:rPr>
                <w:sz w:val="20"/>
                <w:szCs w:val="20"/>
              </w:rPr>
            </w:pPr>
          </w:p>
          <w:p w14:paraId="08CE3713" w14:textId="34CD09FB" w:rsidR="00074551" w:rsidRPr="00BE3728" w:rsidRDefault="00074551" w:rsidP="00367133">
            <w:pPr>
              <w:jc w:val="both"/>
              <w:rPr>
                <w:sz w:val="20"/>
                <w:szCs w:val="20"/>
              </w:rPr>
            </w:pPr>
            <w:r>
              <w:rPr>
                <w:sz w:val="20"/>
                <w:szCs w:val="20"/>
              </w:rPr>
              <w:t>Der</w:t>
            </w:r>
            <w:r w:rsidRPr="00BE3728">
              <w:rPr>
                <w:sz w:val="20"/>
                <w:szCs w:val="20"/>
              </w:rPr>
              <w:t xml:space="preserve"> Syllabus ordnet zunächst die Schranken staatlichen Handelns ein und konkretisiert dann, inwieweit rückwirkende Gesetz möglich sind. Zunächst erklärt der </w:t>
            </w:r>
            <w:r>
              <w:rPr>
                <w:sz w:val="20"/>
                <w:szCs w:val="20"/>
              </w:rPr>
              <w:t>U.S. Supreme Court</w:t>
            </w:r>
            <w:r w:rsidRPr="00BE3728">
              <w:rPr>
                <w:sz w:val="20"/>
                <w:szCs w:val="20"/>
              </w:rPr>
              <w:t xml:space="preserve">, dass die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drei vordringliche Bestimmungen enthalte, die die gesetzgebende Gewalt beschränken: Erstens, die Garantie einer republikanischen Regierung, die die Gewalten teile, geregelt in </w:t>
            </w:r>
            <w:r w:rsidR="00023A37">
              <w:rPr>
                <w:sz w:val="20"/>
                <w:szCs w:val="20"/>
              </w:rPr>
              <w:t xml:space="preserve">U.S. </w:t>
            </w:r>
            <w:proofErr w:type="spellStart"/>
            <w:r w:rsidR="00023A37">
              <w:rPr>
                <w:sz w:val="20"/>
                <w:szCs w:val="20"/>
              </w:rPr>
              <w:t>Const</w:t>
            </w:r>
            <w:proofErr w:type="spellEnd"/>
            <w:r w:rsidR="00023A37">
              <w:rPr>
                <w:sz w:val="20"/>
                <w:szCs w:val="20"/>
              </w:rPr>
              <w:t>. art. IV, § 4.</w:t>
            </w:r>
            <w:r w:rsidRPr="00BE3728">
              <w:rPr>
                <w:sz w:val="20"/>
                <w:szCs w:val="20"/>
              </w:rPr>
              <w:t xml:space="preserve"> Zweitens: </w:t>
            </w:r>
            <w:r>
              <w:rPr>
                <w:sz w:val="20"/>
                <w:szCs w:val="20"/>
              </w:rPr>
              <w:t>d</w:t>
            </w:r>
            <w:r w:rsidRPr="00BE3728">
              <w:rPr>
                <w:sz w:val="20"/>
                <w:szCs w:val="20"/>
              </w:rPr>
              <w:t>as Verbot für Bundesstaaten</w:t>
            </w:r>
            <w:r>
              <w:rPr>
                <w:sz w:val="20"/>
                <w:szCs w:val="20"/>
              </w:rPr>
              <w:t>,</w:t>
            </w:r>
            <w:r w:rsidRPr="00BE3728">
              <w:rPr>
                <w:sz w:val="20"/>
                <w:szCs w:val="20"/>
              </w:rPr>
              <w:t xml:space="preserve"> rückwirkende Strafgesetze zu erlassen sowie Gesetze zu regeln, die die Verbindlichkeit von Verträgen beschränken, gemäß </w:t>
            </w:r>
            <w:r w:rsidR="00600E2C" w:rsidRPr="00600E2C">
              <w:rPr>
                <w:sz w:val="20"/>
                <w:szCs w:val="20"/>
              </w:rPr>
              <w:t xml:space="preserve">U.S. </w:t>
            </w:r>
            <w:proofErr w:type="spellStart"/>
            <w:r w:rsidR="00600E2C" w:rsidRPr="00600E2C">
              <w:rPr>
                <w:sz w:val="20"/>
                <w:szCs w:val="20"/>
              </w:rPr>
              <w:t>Const</w:t>
            </w:r>
            <w:proofErr w:type="spellEnd"/>
            <w:r w:rsidR="00600E2C" w:rsidRPr="00600E2C">
              <w:rPr>
                <w:sz w:val="20"/>
                <w:szCs w:val="20"/>
              </w:rPr>
              <w:t>. art. I, § 10, cl. 1</w:t>
            </w:r>
            <w:r w:rsidR="00600E2C">
              <w:rPr>
                <w:sz w:val="20"/>
                <w:szCs w:val="20"/>
              </w:rPr>
              <w:t xml:space="preserve"> </w:t>
            </w:r>
            <w:r w:rsidR="00600E2C" w:rsidRPr="00600E2C">
              <w:rPr>
                <w:sz w:val="20"/>
                <w:szCs w:val="20"/>
              </w:rPr>
              <w:t xml:space="preserve">(„10th </w:t>
            </w:r>
            <w:proofErr w:type="spellStart"/>
            <w:r w:rsidR="00600E2C" w:rsidRPr="00600E2C">
              <w:rPr>
                <w:sz w:val="20"/>
                <w:szCs w:val="20"/>
              </w:rPr>
              <w:t>section</w:t>
            </w:r>
            <w:proofErr w:type="spellEnd"/>
            <w:r w:rsidR="00600E2C" w:rsidRPr="00600E2C">
              <w:rPr>
                <w:sz w:val="20"/>
                <w:szCs w:val="20"/>
              </w:rPr>
              <w:t xml:space="preserve"> of the 5th </w:t>
            </w:r>
            <w:proofErr w:type="spellStart"/>
            <w:r w:rsidR="00600E2C" w:rsidRPr="00600E2C">
              <w:rPr>
                <w:sz w:val="20"/>
                <w:szCs w:val="20"/>
              </w:rPr>
              <w:t>article</w:t>
            </w:r>
            <w:proofErr w:type="spellEnd"/>
            <w:r w:rsidR="00600E2C" w:rsidRPr="00600E2C">
              <w:rPr>
                <w:sz w:val="20"/>
                <w:szCs w:val="20"/>
              </w:rPr>
              <w:t> [sic]“)</w:t>
            </w:r>
            <w:r w:rsidRPr="00BE3728">
              <w:rPr>
                <w:sz w:val="20"/>
                <w:szCs w:val="20"/>
              </w:rPr>
              <w:t>. Und dritten</w:t>
            </w:r>
            <w:r>
              <w:rPr>
                <w:sz w:val="20"/>
                <w:szCs w:val="20"/>
              </w:rPr>
              <w:t>s</w:t>
            </w:r>
            <w:r w:rsidRPr="00BE3728">
              <w:rPr>
                <w:sz w:val="20"/>
                <w:szCs w:val="20"/>
              </w:rPr>
              <w:t xml:space="preserve">: </w:t>
            </w:r>
            <w:r>
              <w:rPr>
                <w:sz w:val="20"/>
                <w:szCs w:val="20"/>
              </w:rPr>
              <w:t>d</w:t>
            </w:r>
            <w:r w:rsidRPr="00BE3728">
              <w:rPr>
                <w:sz w:val="20"/>
                <w:szCs w:val="20"/>
              </w:rPr>
              <w:t xml:space="preserve">ie Beschränkung von Enteignungen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V.</w:t>
            </w:r>
            <w:r w:rsidRPr="00BE3728">
              <w:rPr>
                <w:sz w:val="20"/>
                <w:szCs w:val="20"/>
              </w:rPr>
              <w:t xml:space="preserve"> Die drei Verfassungsartikel sichern die politischen und bürgerlichen Rechte der Bürger ab. Sie schützen zugleich vor gesetzgeberischen Eingriffen und sind zugunsten der Bürger auszulegen.</w:t>
            </w:r>
            <w:r w:rsidRPr="00BE3728">
              <w:rPr>
                <w:rStyle w:val="Funotenzeichen"/>
                <w:sz w:val="20"/>
                <w:szCs w:val="20"/>
              </w:rPr>
              <w:footnoteReference w:id="2292"/>
            </w:r>
          </w:p>
          <w:p w14:paraId="6A237864" w14:textId="77777777" w:rsidR="00074551" w:rsidRPr="00BE3728" w:rsidRDefault="00074551" w:rsidP="00367133">
            <w:pPr>
              <w:jc w:val="both"/>
              <w:rPr>
                <w:sz w:val="20"/>
                <w:szCs w:val="20"/>
              </w:rPr>
            </w:pPr>
          </w:p>
          <w:p w14:paraId="6DCE7FC6" w14:textId="3F662BF8" w:rsidR="00074551" w:rsidRDefault="00074551" w:rsidP="00367133">
            <w:pPr>
              <w:jc w:val="both"/>
              <w:rPr>
                <w:sz w:val="20"/>
                <w:szCs w:val="20"/>
              </w:rPr>
            </w:pPr>
            <w:r w:rsidRPr="00BE3728">
              <w:rPr>
                <w:sz w:val="20"/>
                <w:szCs w:val="20"/>
              </w:rPr>
              <w:t xml:space="preserve">Im Syllabus konkretisiert der </w:t>
            </w:r>
            <w:r>
              <w:rPr>
                <w:sz w:val="20"/>
                <w:szCs w:val="20"/>
              </w:rPr>
              <w:t>U.S. Supreme Court</w:t>
            </w:r>
            <w:r w:rsidRPr="00BE3728">
              <w:rPr>
                <w:sz w:val="20"/>
                <w:szCs w:val="20"/>
              </w:rPr>
              <w:t xml:space="preserve"> </w:t>
            </w:r>
            <w:r w:rsidR="00600E2C" w:rsidRPr="00600E2C">
              <w:rPr>
                <w:sz w:val="20"/>
                <w:szCs w:val="20"/>
              </w:rPr>
              <w:t xml:space="preserve">U.S. </w:t>
            </w:r>
            <w:proofErr w:type="spellStart"/>
            <w:r w:rsidR="00600E2C" w:rsidRPr="00600E2C">
              <w:rPr>
                <w:sz w:val="20"/>
                <w:szCs w:val="20"/>
              </w:rPr>
              <w:t>Const</w:t>
            </w:r>
            <w:proofErr w:type="spellEnd"/>
            <w:r w:rsidR="00600E2C" w:rsidRPr="00600E2C">
              <w:rPr>
                <w:sz w:val="20"/>
                <w:szCs w:val="20"/>
              </w:rPr>
              <w:t>. art. I, § 10, cl. 1</w:t>
            </w:r>
            <w:r w:rsidR="00600E2C">
              <w:rPr>
                <w:sz w:val="20"/>
                <w:szCs w:val="20"/>
              </w:rPr>
              <w:t xml:space="preserve"> </w:t>
            </w:r>
            <w:r w:rsidR="00600E2C" w:rsidRPr="00600E2C">
              <w:rPr>
                <w:sz w:val="20"/>
                <w:szCs w:val="20"/>
              </w:rPr>
              <w:t xml:space="preserve">(„10th </w:t>
            </w:r>
            <w:proofErr w:type="spellStart"/>
            <w:r w:rsidR="00600E2C" w:rsidRPr="00600E2C">
              <w:rPr>
                <w:sz w:val="20"/>
                <w:szCs w:val="20"/>
              </w:rPr>
              <w:t>section</w:t>
            </w:r>
            <w:proofErr w:type="spellEnd"/>
            <w:r w:rsidR="00600E2C" w:rsidRPr="00600E2C">
              <w:rPr>
                <w:sz w:val="20"/>
                <w:szCs w:val="20"/>
              </w:rPr>
              <w:t xml:space="preserve"> of the 5th </w:t>
            </w:r>
            <w:proofErr w:type="spellStart"/>
            <w:r w:rsidR="00600E2C" w:rsidRPr="00600E2C">
              <w:rPr>
                <w:sz w:val="20"/>
                <w:szCs w:val="20"/>
              </w:rPr>
              <w:t>article</w:t>
            </w:r>
            <w:proofErr w:type="spellEnd"/>
            <w:r w:rsidR="00600E2C" w:rsidRPr="00600E2C">
              <w:rPr>
                <w:sz w:val="20"/>
                <w:szCs w:val="20"/>
              </w:rPr>
              <w:t> [sic]“)</w:t>
            </w:r>
            <w:r w:rsidR="00600E2C">
              <w:rPr>
                <w:sz w:val="20"/>
                <w:szCs w:val="20"/>
              </w:rPr>
              <w:t>.</w:t>
            </w:r>
            <w:r w:rsidRPr="00B45592">
              <w:rPr>
                <w:sz w:val="20"/>
                <w:szCs w:val="20"/>
              </w:rPr>
              <w:t xml:space="preserve"> </w:t>
            </w:r>
            <w:proofErr w:type="gramStart"/>
            <w:r w:rsidRPr="00BE3728">
              <w:rPr>
                <w:sz w:val="20"/>
                <w:szCs w:val="20"/>
              </w:rPr>
              <w:t>Jedwedes rückwirkendes Gesetz</w:t>
            </w:r>
            <w:proofErr w:type="gramEnd"/>
            <w:r w:rsidRPr="00BE3728">
              <w:rPr>
                <w:sz w:val="20"/>
                <w:szCs w:val="20"/>
              </w:rPr>
              <w:t xml:space="preserve">, das Eigentum beschränke, laufe der republikanischen Staatsform zuwider. Denn das Hauptziel der </w:t>
            </w:r>
            <w:r>
              <w:rPr>
                <w:sz w:val="20"/>
                <w:szCs w:val="20"/>
              </w:rPr>
              <w:t>U.S.</w:t>
            </w:r>
            <w:r w:rsidRPr="00BE3728">
              <w:rPr>
                <w:sz w:val="20"/>
                <w:szCs w:val="20"/>
              </w:rPr>
              <w:t xml:space="preserve"> </w:t>
            </w:r>
            <w:proofErr w:type="spellStart"/>
            <w:r w:rsidRPr="00BE3728">
              <w:rPr>
                <w:sz w:val="20"/>
                <w:szCs w:val="20"/>
              </w:rPr>
              <w:t>Const</w:t>
            </w:r>
            <w:proofErr w:type="spellEnd"/>
            <w:r w:rsidRPr="00BE3728">
              <w:rPr>
                <w:sz w:val="20"/>
                <w:szCs w:val="20"/>
              </w:rPr>
              <w:t xml:space="preserve">. – und damit der Republik – sei, die individuellen Rechte zu sichern („The </w:t>
            </w:r>
            <w:proofErr w:type="spellStart"/>
            <w:r w:rsidRPr="00BE3728">
              <w:rPr>
                <w:sz w:val="20"/>
                <w:szCs w:val="20"/>
              </w:rPr>
              <w:t>great</w:t>
            </w:r>
            <w:proofErr w:type="spellEnd"/>
            <w:r w:rsidRPr="00BE3728">
              <w:rPr>
                <w:sz w:val="20"/>
                <w:szCs w:val="20"/>
              </w:rPr>
              <w:t xml:space="preserve"> </w:t>
            </w:r>
            <w:proofErr w:type="spellStart"/>
            <w:r w:rsidRPr="00BE3728">
              <w:rPr>
                <w:sz w:val="20"/>
                <w:szCs w:val="20"/>
              </w:rPr>
              <w:t>object</w:t>
            </w:r>
            <w:proofErr w:type="spellEnd"/>
            <w:r w:rsidRPr="00BE3728">
              <w:rPr>
                <w:sz w:val="20"/>
                <w:szCs w:val="20"/>
              </w:rPr>
              <w:t xml:space="preserve"> of </w:t>
            </w:r>
            <w:proofErr w:type="spellStart"/>
            <w:r w:rsidRPr="00BE3728">
              <w:rPr>
                <w:sz w:val="20"/>
                <w:szCs w:val="20"/>
              </w:rPr>
              <w:t>our</w:t>
            </w:r>
            <w:proofErr w:type="spellEnd"/>
            <w:r w:rsidRPr="00BE3728">
              <w:rPr>
                <w:sz w:val="20"/>
                <w:szCs w:val="20"/>
              </w:rPr>
              <w:t xml:space="preserve"> </w:t>
            </w:r>
            <w:proofErr w:type="spellStart"/>
            <w:r w:rsidRPr="00BE3728">
              <w:rPr>
                <w:sz w:val="20"/>
                <w:szCs w:val="20"/>
              </w:rPr>
              <w:t>constitution</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to </w:t>
            </w:r>
            <w:proofErr w:type="spellStart"/>
            <w:r w:rsidRPr="00BE3728">
              <w:rPr>
                <w:sz w:val="20"/>
                <w:szCs w:val="20"/>
              </w:rPr>
              <w:t>preserve</w:t>
            </w:r>
            <w:proofErr w:type="spellEnd"/>
            <w:r w:rsidRPr="00BE3728">
              <w:rPr>
                <w:sz w:val="20"/>
                <w:szCs w:val="20"/>
              </w:rPr>
              <w:t xml:space="preserve"> individual </w:t>
            </w:r>
            <w:proofErr w:type="spellStart"/>
            <w:r w:rsidRPr="00BE3728">
              <w:rPr>
                <w:sz w:val="20"/>
                <w:szCs w:val="20"/>
              </w:rPr>
              <w:t>rights</w:t>
            </w:r>
            <w:proofErr w:type="spellEnd"/>
            <w:r w:rsidRPr="00BE3728">
              <w:rPr>
                <w:sz w:val="20"/>
                <w:szCs w:val="20"/>
              </w:rPr>
              <w:t>“</w:t>
            </w:r>
            <w:r w:rsidRPr="00BE3728">
              <w:rPr>
                <w:rStyle w:val="Funotenzeichen"/>
                <w:sz w:val="20"/>
                <w:szCs w:val="20"/>
                <w:lang w:val="en-US"/>
              </w:rPr>
              <w:footnoteReference w:id="2293"/>
            </w:r>
            <w:r w:rsidRPr="00BE3728">
              <w:rPr>
                <w:sz w:val="20"/>
                <w:szCs w:val="20"/>
              </w:rPr>
              <w:t>), hier ausgedrückt im Schutz der Eigentumsfreiheit. Jede staatliche Kompetenz habe sich an diesem Ziel zu orientieren. Doch woher kommt dieses Ziel? Die Freiheiten der Bürger in Form der individuellen Rechte konstituier</w:t>
            </w:r>
            <w:r>
              <w:rPr>
                <w:sz w:val="20"/>
                <w:szCs w:val="20"/>
              </w:rPr>
              <w:t>t</w:t>
            </w:r>
            <w:r w:rsidRPr="00BE3728">
              <w:rPr>
                <w:sz w:val="20"/>
                <w:szCs w:val="20"/>
              </w:rPr>
              <w:t xml:space="preserve">en sein Glück, was für staatliche Maßnahmen </w:t>
            </w:r>
            <w:proofErr w:type="spellStart"/>
            <w:r w:rsidRPr="00BE3728">
              <w:rPr>
                <w:sz w:val="20"/>
                <w:szCs w:val="20"/>
              </w:rPr>
              <w:t>unantasbar</w:t>
            </w:r>
            <w:proofErr w:type="spellEnd"/>
            <w:r w:rsidRPr="00BE3728">
              <w:rPr>
                <w:sz w:val="20"/>
                <w:szCs w:val="20"/>
              </w:rPr>
              <w:t xml:space="preserve"> sein </w:t>
            </w:r>
            <w:r>
              <w:rPr>
                <w:sz w:val="20"/>
                <w:szCs w:val="20"/>
              </w:rPr>
              <w:t>müsse</w:t>
            </w:r>
            <w:r w:rsidRPr="00BE3728">
              <w:rPr>
                <w:sz w:val="20"/>
                <w:szCs w:val="20"/>
              </w:rPr>
              <w:t xml:space="preserve"> („The </w:t>
            </w:r>
            <w:proofErr w:type="spellStart"/>
            <w:r w:rsidRPr="00BE3728">
              <w:rPr>
                <w:sz w:val="20"/>
                <w:szCs w:val="20"/>
              </w:rPr>
              <w:t>freedom</w:t>
            </w:r>
            <w:proofErr w:type="spellEnd"/>
            <w:r w:rsidRPr="00BE3728">
              <w:rPr>
                <w:sz w:val="20"/>
                <w:szCs w:val="20"/>
              </w:rPr>
              <w:t xml:space="preserve"> of the </w:t>
            </w:r>
            <w:proofErr w:type="spellStart"/>
            <w:r w:rsidRPr="00BE3728">
              <w:rPr>
                <w:sz w:val="20"/>
                <w:szCs w:val="20"/>
              </w:rPr>
              <w:t>citizen</w:t>
            </w:r>
            <w:proofErr w:type="spellEnd"/>
            <w:r w:rsidRPr="00BE3728">
              <w:rPr>
                <w:sz w:val="20"/>
                <w:szCs w:val="20"/>
              </w:rPr>
              <w:t xml:space="preserve"> […] </w:t>
            </w:r>
            <w:proofErr w:type="spellStart"/>
            <w:r w:rsidRPr="00BE3728">
              <w:rPr>
                <w:sz w:val="20"/>
                <w:szCs w:val="20"/>
              </w:rPr>
              <w:t>are</w:t>
            </w:r>
            <w:proofErr w:type="spellEnd"/>
            <w:r w:rsidRPr="00BE3728">
              <w:rPr>
                <w:sz w:val="20"/>
                <w:szCs w:val="20"/>
              </w:rPr>
              <w:t xml:space="preserve"> </w:t>
            </w:r>
            <w:proofErr w:type="spellStart"/>
            <w:r w:rsidRPr="00BE3728">
              <w:rPr>
                <w:sz w:val="20"/>
                <w:szCs w:val="20"/>
              </w:rPr>
              <w:t>what</w:t>
            </w:r>
            <w:proofErr w:type="spellEnd"/>
            <w:r w:rsidRPr="00BE3728">
              <w:rPr>
                <w:sz w:val="20"/>
                <w:szCs w:val="20"/>
              </w:rPr>
              <w:t xml:space="preserve"> </w:t>
            </w:r>
            <w:proofErr w:type="spellStart"/>
            <w:r w:rsidRPr="00BE3728">
              <w:rPr>
                <w:sz w:val="20"/>
                <w:szCs w:val="20"/>
              </w:rPr>
              <w:t>constitute</w:t>
            </w:r>
            <w:proofErr w:type="spellEnd"/>
            <w:r w:rsidRPr="00BE3728">
              <w:rPr>
                <w:sz w:val="20"/>
                <w:szCs w:val="20"/>
              </w:rPr>
              <w:t xml:space="preserve"> </w:t>
            </w:r>
            <w:proofErr w:type="spellStart"/>
            <w:r w:rsidRPr="00BE3728">
              <w:rPr>
                <w:sz w:val="20"/>
                <w:szCs w:val="20"/>
              </w:rPr>
              <w:t>his</w:t>
            </w:r>
            <w:proofErr w:type="spellEnd"/>
            <w:r w:rsidRPr="00BE3728">
              <w:rPr>
                <w:sz w:val="20"/>
                <w:szCs w:val="20"/>
              </w:rPr>
              <w:t xml:space="preserve"> </w:t>
            </w:r>
            <w:proofErr w:type="spellStart"/>
            <w:r w:rsidRPr="00BE3728">
              <w:rPr>
                <w:sz w:val="20"/>
                <w:szCs w:val="20"/>
              </w:rPr>
              <w:t>happiness</w:t>
            </w:r>
            <w:proofErr w:type="spellEnd"/>
            <w:r w:rsidRPr="00BE3728">
              <w:rPr>
                <w:sz w:val="20"/>
                <w:szCs w:val="20"/>
              </w:rPr>
              <w:t xml:space="preserve">; and in a </w:t>
            </w:r>
            <w:proofErr w:type="spellStart"/>
            <w:r w:rsidRPr="00BE3728">
              <w:rPr>
                <w:sz w:val="20"/>
                <w:szCs w:val="20"/>
              </w:rPr>
              <w:t>government</w:t>
            </w:r>
            <w:proofErr w:type="spellEnd"/>
            <w:r w:rsidRPr="00BE3728">
              <w:rPr>
                <w:sz w:val="20"/>
                <w:szCs w:val="20"/>
              </w:rPr>
              <w:t xml:space="preserve"> </w:t>
            </w:r>
            <w:proofErr w:type="spellStart"/>
            <w:r w:rsidRPr="00BE3728">
              <w:rPr>
                <w:sz w:val="20"/>
                <w:szCs w:val="20"/>
              </w:rPr>
              <w:t>where</w:t>
            </w:r>
            <w:proofErr w:type="spellEnd"/>
            <w:r w:rsidRPr="00BE3728">
              <w:rPr>
                <w:sz w:val="20"/>
                <w:szCs w:val="20"/>
              </w:rPr>
              <w:t xml:space="preserve"> </w:t>
            </w:r>
            <w:proofErr w:type="spellStart"/>
            <w:r w:rsidRPr="00BE3728">
              <w:rPr>
                <w:sz w:val="20"/>
                <w:szCs w:val="20"/>
              </w:rPr>
              <w:t>that</w:t>
            </w:r>
            <w:proofErr w:type="spellEnd"/>
            <w:r w:rsidRPr="00BE3728">
              <w:rPr>
                <w:sz w:val="20"/>
                <w:szCs w:val="20"/>
              </w:rPr>
              <w:t xml:space="preserve"> </w:t>
            </w:r>
            <w:proofErr w:type="spellStart"/>
            <w:r w:rsidRPr="00BE3728">
              <w:rPr>
                <w:sz w:val="20"/>
                <w:szCs w:val="20"/>
              </w:rPr>
              <w:t>is</w:t>
            </w:r>
            <w:proofErr w:type="spellEnd"/>
            <w:r w:rsidRPr="00BE3728">
              <w:rPr>
                <w:sz w:val="20"/>
                <w:szCs w:val="20"/>
              </w:rPr>
              <w:t xml:space="preserve"> </w:t>
            </w:r>
            <w:proofErr w:type="spellStart"/>
            <w:r w:rsidRPr="00BE3728">
              <w:rPr>
                <w:sz w:val="20"/>
                <w:szCs w:val="20"/>
              </w:rPr>
              <w:t>consulted</w:t>
            </w:r>
            <w:proofErr w:type="spellEnd"/>
            <w:r w:rsidRPr="00BE3728">
              <w:rPr>
                <w:sz w:val="20"/>
                <w:szCs w:val="20"/>
              </w:rPr>
              <w:t xml:space="preserve">, </w:t>
            </w:r>
            <w:proofErr w:type="spellStart"/>
            <w:r w:rsidRPr="00BE3728">
              <w:rPr>
                <w:sz w:val="20"/>
                <w:szCs w:val="20"/>
              </w:rPr>
              <w:t>constitute</w:t>
            </w:r>
            <w:proofErr w:type="spellEnd"/>
            <w:r w:rsidRPr="00BE3728">
              <w:rPr>
                <w:sz w:val="20"/>
                <w:szCs w:val="20"/>
              </w:rPr>
              <w:t xml:space="preserve"> </w:t>
            </w:r>
            <w:proofErr w:type="spellStart"/>
            <w:r w:rsidRPr="00BE3728">
              <w:rPr>
                <w:sz w:val="20"/>
                <w:szCs w:val="20"/>
              </w:rPr>
              <w:t>his</w:t>
            </w:r>
            <w:proofErr w:type="spellEnd"/>
            <w:r w:rsidRPr="00BE3728">
              <w:rPr>
                <w:sz w:val="20"/>
                <w:szCs w:val="20"/>
              </w:rPr>
              <w:t xml:space="preserve"> </w:t>
            </w:r>
            <w:proofErr w:type="spellStart"/>
            <w:r w:rsidRPr="00BE3728">
              <w:rPr>
                <w:sz w:val="20"/>
                <w:szCs w:val="20"/>
              </w:rPr>
              <w:t>rights</w:t>
            </w:r>
            <w:proofErr w:type="spellEnd"/>
            <w:r w:rsidRPr="00BE3728">
              <w:rPr>
                <w:sz w:val="20"/>
                <w:szCs w:val="20"/>
              </w:rPr>
              <w:t xml:space="preserve">. </w:t>
            </w:r>
            <w:r w:rsidRPr="00BE3728">
              <w:rPr>
                <w:sz w:val="20"/>
                <w:szCs w:val="20"/>
                <w:lang w:val="en-US"/>
              </w:rPr>
              <w:t xml:space="preserve">They are </w:t>
            </w:r>
            <w:proofErr w:type="gramStart"/>
            <w:r w:rsidRPr="00BE3728">
              <w:rPr>
                <w:sz w:val="20"/>
                <w:szCs w:val="20"/>
                <w:lang w:val="en-US"/>
              </w:rPr>
              <w:t>sacred, and</w:t>
            </w:r>
            <w:proofErr w:type="gramEnd"/>
            <w:r w:rsidRPr="00BE3728">
              <w:rPr>
                <w:sz w:val="20"/>
                <w:szCs w:val="20"/>
                <w:lang w:val="en-US"/>
              </w:rPr>
              <w:t xml:space="preserve"> ought not to be interfered </w:t>
            </w:r>
            <w:proofErr w:type="gramStart"/>
            <w:r w:rsidRPr="00BE3728">
              <w:rPr>
                <w:sz w:val="20"/>
                <w:szCs w:val="20"/>
                <w:lang w:val="en-US"/>
              </w:rPr>
              <w:t>with.“</w:t>
            </w:r>
            <w:proofErr w:type="gramEnd"/>
            <w:r w:rsidRPr="00BE3728">
              <w:rPr>
                <w:rStyle w:val="Funotenzeichen"/>
                <w:sz w:val="20"/>
                <w:szCs w:val="20"/>
                <w:lang w:val="en-US"/>
              </w:rPr>
              <w:footnoteReference w:id="2294"/>
            </w:r>
            <w:r w:rsidRPr="00BE3728">
              <w:rPr>
                <w:sz w:val="20"/>
                <w:szCs w:val="20"/>
              </w:rPr>
              <w:t>). Daher habe der Staat bei seinem Handeln die Freiheiten besonders zu achten.</w:t>
            </w:r>
          </w:p>
          <w:p w14:paraId="2608BAE7" w14:textId="77777777" w:rsidR="00074551" w:rsidRPr="00E50B51" w:rsidRDefault="00074551" w:rsidP="00367133">
            <w:pPr>
              <w:jc w:val="both"/>
              <w:rPr>
                <w:sz w:val="20"/>
                <w:szCs w:val="20"/>
              </w:rPr>
            </w:pPr>
          </w:p>
        </w:tc>
      </w:tr>
      <w:tr w:rsidR="00074551" w:rsidRPr="00E50B51" w14:paraId="68C17299" w14:textId="77777777" w:rsidTr="00203768">
        <w:trPr>
          <w:cantSplit/>
          <w:trHeight w:val="3175"/>
        </w:trPr>
        <w:tc>
          <w:tcPr>
            <w:tcW w:w="293" w:type="pct"/>
            <w:shd w:val="clear" w:color="auto" w:fill="E7E6E6" w:themeFill="background2"/>
          </w:tcPr>
          <w:p w14:paraId="19C879F7"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3AFBAA69"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63C54207" w14:textId="77777777" w:rsidR="00074551" w:rsidRPr="00E50B51" w:rsidRDefault="00074551" w:rsidP="00367133">
            <w:pPr>
              <w:ind w:left="113" w:right="113"/>
              <w:jc w:val="both"/>
              <w:rPr>
                <w:iCs/>
                <w:sz w:val="20"/>
                <w:szCs w:val="20"/>
                <w:lang w:val="en-US"/>
              </w:rPr>
            </w:pPr>
            <w:r w:rsidRPr="00E50B51">
              <w:rPr>
                <w:iCs/>
                <w:sz w:val="20"/>
                <w:szCs w:val="20"/>
                <w:lang w:val="en-US"/>
              </w:rPr>
              <w:t>Bills of Attainder</w:t>
            </w:r>
          </w:p>
          <w:p w14:paraId="2182F61D"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38287BC5"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0421081E"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02410852" w14:textId="77777777" w:rsidR="00074551" w:rsidRPr="00E50B51" w:rsidRDefault="00074551" w:rsidP="00367133">
            <w:pPr>
              <w:jc w:val="both"/>
              <w:rPr>
                <w:sz w:val="20"/>
                <w:szCs w:val="20"/>
                <w:lang w:val="en-US"/>
              </w:rPr>
            </w:pPr>
          </w:p>
        </w:tc>
        <w:tc>
          <w:tcPr>
            <w:tcW w:w="1822" w:type="pct"/>
            <w:shd w:val="clear" w:color="auto" w:fill="E7E6E6" w:themeFill="background2"/>
          </w:tcPr>
          <w:p w14:paraId="13E8E5B8" w14:textId="3B382AFE"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660DD375" w14:textId="77777777" w:rsidTr="00BE689F">
        <w:trPr>
          <w:cantSplit/>
          <w:trHeight w:val="3175"/>
        </w:trPr>
        <w:tc>
          <w:tcPr>
            <w:tcW w:w="293" w:type="pct"/>
          </w:tcPr>
          <w:p w14:paraId="6056559C"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6B1F2F71" w14:textId="77777777" w:rsidR="00074551" w:rsidRPr="00E50B51" w:rsidRDefault="00074551" w:rsidP="00367133">
            <w:pPr>
              <w:ind w:left="113" w:right="416"/>
              <w:jc w:val="both"/>
              <w:rPr>
                <w:sz w:val="20"/>
                <w:szCs w:val="20"/>
              </w:rPr>
            </w:pPr>
            <w:r w:rsidRPr="009E57E1">
              <w:rPr>
                <w:i/>
                <w:sz w:val="20"/>
                <w:szCs w:val="20"/>
              </w:rPr>
              <w:t>Cummings v. Mo.</w:t>
            </w:r>
          </w:p>
        </w:tc>
        <w:tc>
          <w:tcPr>
            <w:tcW w:w="197" w:type="pct"/>
            <w:textDirection w:val="tbRl"/>
            <w:vAlign w:val="center"/>
          </w:tcPr>
          <w:p w14:paraId="266BDFDD" w14:textId="77777777" w:rsidR="00074551" w:rsidRPr="00E50B51" w:rsidRDefault="00074551" w:rsidP="00367133">
            <w:pPr>
              <w:ind w:left="113" w:right="113"/>
              <w:jc w:val="both"/>
              <w:rPr>
                <w:iCs/>
                <w:sz w:val="20"/>
                <w:szCs w:val="20"/>
                <w:lang w:val="en-US"/>
              </w:rPr>
            </w:pPr>
            <w:r w:rsidRPr="00E50B51">
              <w:rPr>
                <w:sz w:val="20"/>
                <w:szCs w:val="20"/>
                <w:lang w:val="en-US"/>
              </w:rPr>
              <w:t>71 U.S. 277</w:t>
            </w:r>
          </w:p>
        </w:tc>
        <w:tc>
          <w:tcPr>
            <w:tcW w:w="306" w:type="pct"/>
            <w:textDirection w:val="tbRl"/>
            <w:vAlign w:val="center"/>
          </w:tcPr>
          <w:p w14:paraId="1377E4A6" w14:textId="77777777" w:rsidR="00074551" w:rsidRPr="00E50B51" w:rsidRDefault="00074551" w:rsidP="00367133">
            <w:pPr>
              <w:ind w:left="113" w:right="113"/>
              <w:jc w:val="both"/>
              <w:rPr>
                <w:sz w:val="20"/>
                <w:szCs w:val="20"/>
                <w:lang w:val="en-US"/>
              </w:rPr>
            </w:pPr>
            <w:r w:rsidRPr="00E50B51">
              <w:rPr>
                <w:sz w:val="20"/>
                <w:szCs w:val="20"/>
              </w:rPr>
              <w:t>14. Januar 1867</w:t>
            </w:r>
          </w:p>
        </w:tc>
        <w:tc>
          <w:tcPr>
            <w:tcW w:w="401" w:type="pct"/>
          </w:tcPr>
          <w:p w14:paraId="798B7317" w14:textId="77777777" w:rsidR="00074551" w:rsidRPr="00E50B51" w:rsidRDefault="00074551" w:rsidP="00367133">
            <w:pPr>
              <w:jc w:val="center"/>
              <w:rPr>
                <w:sz w:val="20"/>
                <w:szCs w:val="20"/>
                <w:lang w:val="en-US"/>
              </w:rPr>
            </w:pPr>
            <w:r w:rsidRPr="00E50B51">
              <w:rPr>
                <w:sz w:val="20"/>
                <w:szCs w:val="20"/>
                <w:lang w:val="en-US"/>
              </w:rPr>
              <w:t>M</w:t>
            </w:r>
          </w:p>
        </w:tc>
        <w:tc>
          <w:tcPr>
            <w:tcW w:w="1594" w:type="pct"/>
          </w:tcPr>
          <w:p w14:paraId="75CB41CC"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11A82679" w14:textId="77777777" w:rsidR="00074551" w:rsidRDefault="00074551" w:rsidP="00367133">
            <w:pPr>
              <w:jc w:val="both"/>
              <w:rPr>
                <w:sz w:val="20"/>
                <w:szCs w:val="20"/>
              </w:rPr>
            </w:pPr>
            <w:r>
              <w:rPr>
                <w:sz w:val="20"/>
                <w:szCs w:val="20"/>
              </w:rPr>
              <w:t>E</w:t>
            </w:r>
            <w:r w:rsidRPr="009E6041">
              <w:rPr>
                <w:sz w:val="20"/>
                <w:szCs w:val="20"/>
              </w:rPr>
              <w:t xml:space="preserve">in Bundesstaat </w:t>
            </w:r>
            <w:r w:rsidRPr="00ED70B8">
              <w:rPr>
                <w:sz w:val="20"/>
                <w:szCs w:val="20"/>
              </w:rPr>
              <w:t xml:space="preserve">dürfe keines der drei </w:t>
            </w:r>
            <w:r>
              <w:rPr>
                <w:sz w:val="20"/>
                <w:szCs w:val="20"/>
              </w:rPr>
              <w:t xml:space="preserve">folgenden Dinge </w:t>
            </w:r>
            <w:r w:rsidRPr="00ED70B8">
              <w:rPr>
                <w:sz w:val="20"/>
                <w:szCs w:val="20"/>
              </w:rPr>
              <w:t>erlassen: weder einen</w:t>
            </w:r>
            <w:r w:rsidRPr="009E6041">
              <w:rPr>
                <w:sz w:val="20"/>
                <w:szCs w:val="20"/>
              </w:rPr>
              <w:t xml:space="preserve"> </w:t>
            </w:r>
            <w:proofErr w:type="spellStart"/>
            <w:r w:rsidRPr="5B67C1D2">
              <w:rPr>
                <w:i/>
                <w:iCs/>
                <w:sz w:val="20"/>
                <w:szCs w:val="20"/>
              </w:rPr>
              <w:t>bill</w:t>
            </w:r>
            <w:proofErr w:type="spellEnd"/>
            <w:r w:rsidRPr="5B67C1D2">
              <w:rPr>
                <w:i/>
                <w:iCs/>
                <w:sz w:val="20"/>
                <w:szCs w:val="20"/>
              </w:rPr>
              <w:t xml:space="preserve"> of </w:t>
            </w:r>
            <w:proofErr w:type="spellStart"/>
            <w:r w:rsidRPr="5B67C1D2">
              <w:rPr>
                <w:i/>
                <w:iCs/>
                <w:sz w:val="20"/>
                <w:szCs w:val="20"/>
              </w:rPr>
              <w:t>attainder</w:t>
            </w:r>
            <w:proofErr w:type="spellEnd"/>
            <w:r w:rsidRPr="00ED70B8">
              <w:rPr>
                <w:sz w:val="20"/>
                <w:szCs w:val="20"/>
              </w:rPr>
              <w:t xml:space="preserve"> noch </w:t>
            </w:r>
            <w:r w:rsidRPr="009E6041">
              <w:rPr>
                <w:sz w:val="20"/>
                <w:szCs w:val="20"/>
              </w:rPr>
              <w:t xml:space="preserve">ein </w:t>
            </w:r>
            <w:r>
              <w:rPr>
                <w:sz w:val="20"/>
                <w:szCs w:val="20"/>
              </w:rPr>
              <w:t>E</w:t>
            </w:r>
            <w:r w:rsidRPr="009E6041">
              <w:rPr>
                <w:sz w:val="20"/>
                <w:szCs w:val="20"/>
              </w:rPr>
              <w:t>x</w:t>
            </w:r>
            <w:r>
              <w:rPr>
                <w:sz w:val="20"/>
                <w:szCs w:val="20"/>
              </w:rPr>
              <w:t>-</w:t>
            </w:r>
            <w:r w:rsidRPr="009E6041">
              <w:rPr>
                <w:sz w:val="20"/>
                <w:szCs w:val="20"/>
              </w:rPr>
              <w:t>post</w:t>
            </w:r>
            <w:r>
              <w:rPr>
                <w:sz w:val="20"/>
                <w:szCs w:val="20"/>
              </w:rPr>
              <w:t>-</w:t>
            </w:r>
            <w:r w:rsidRPr="009E6041">
              <w:rPr>
                <w:sz w:val="20"/>
                <w:szCs w:val="20"/>
              </w:rPr>
              <w:t xml:space="preserve">facto-Gesetz oder ein Gesetz, das </w:t>
            </w:r>
            <w:r w:rsidRPr="00ED70B8">
              <w:rPr>
                <w:sz w:val="20"/>
                <w:szCs w:val="20"/>
              </w:rPr>
              <w:t xml:space="preserve">in </w:t>
            </w:r>
            <w:r w:rsidRPr="009E6041">
              <w:rPr>
                <w:sz w:val="20"/>
                <w:szCs w:val="20"/>
              </w:rPr>
              <w:t xml:space="preserve">die Verbindlichkeit von Verträgen </w:t>
            </w:r>
            <w:r w:rsidRPr="00ED70B8">
              <w:rPr>
                <w:sz w:val="20"/>
                <w:szCs w:val="20"/>
              </w:rPr>
              <w:t xml:space="preserve">nachträglich </w:t>
            </w:r>
            <w:r w:rsidRPr="009E6041">
              <w:rPr>
                <w:sz w:val="20"/>
                <w:szCs w:val="20"/>
              </w:rPr>
              <w:t>eingreif</w:t>
            </w:r>
            <w:r w:rsidRPr="00ED70B8">
              <w:rPr>
                <w:sz w:val="20"/>
                <w:szCs w:val="20"/>
              </w:rPr>
              <w:t>e</w:t>
            </w:r>
            <w:r w:rsidRPr="009E6041">
              <w:rPr>
                <w:sz w:val="20"/>
                <w:szCs w:val="20"/>
              </w:rPr>
              <w:t xml:space="preserve">. Ein </w:t>
            </w:r>
            <w:proofErr w:type="spellStart"/>
            <w:r w:rsidRPr="5B67C1D2">
              <w:rPr>
                <w:i/>
                <w:iCs/>
                <w:sz w:val="20"/>
                <w:szCs w:val="20"/>
              </w:rPr>
              <w:t>bill</w:t>
            </w:r>
            <w:proofErr w:type="spellEnd"/>
            <w:r w:rsidRPr="5B67C1D2">
              <w:rPr>
                <w:i/>
                <w:iCs/>
                <w:sz w:val="20"/>
                <w:szCs w:val="20"/>
              </w:rPr>
              <w:t xml:space="preserve"> of </w:t>
            </w:r>
            <w:proofErr w:type="spellStart"/>
            <w:r w:rsidRPr="5B67C1D2">
              <w:rPr>
                <w:i/>
                <w:iCs/>
                <w:sz w:val="20"/>
                <w:szCs w:val="20"/>
              </w:rPr>
              <w:t>attainder</w:t>
            </w:r>
            <w:proofErr w:type="spellEnd"/>
            <w:r w:rsidRPr="009E6041">
              <w:rPr>
                <w:sz w:val="20"/>
                <w:szCs w:val="20"/>
              </w:rPr>
              <w:t xml:space="preserve"> verbiete Gesetze, die eine </w:t>
            </w:r>
            <w:r w:rsidRPr="00ED70B8">
              <w:rPr>
                <w:sz w:val="20"/>
                <w:szCs w:val="20"/>
              </w:rPr>
              <w:t>strafrechtliche Folge ohne gerichtliches V</w:t>
            </w:r>
            <w:r w:rsidRPr="009E6041">
              <w:rPr>
                <w:sz w:val="20"/>
                <w:szCs w:val="20"/>
              </w:rPr>
              <w:t xml:space="preserve">erfahren </w:t>
            </w:r>
            <w:r w:rsidRPr="00ED70B8">
              <w:rPr>
                <w:sz w:val="20"/>
                <w:szCs w:val="20"/>
              </w:rPr>
              <w:t>(„</w:t>
            </w:r>
            <w:proofErr w:type="spellStart"/>
            <w:r w:rsidRPr="00ED70B8">
              <w:rPr>
                <w:sz w:val="20"/>
                <w:szCs w:val="20"/>
              </w:rPr>
              <w:t>judicial</w:t>
            </w:r>
            <w:proofErr w:type="spellEnd"/>
            <w:r w:rsidRPr="00ED70B8">
              <w:rPr>
                <w:sz w:val="20"/>
                <w:szCs w:val="20"/>
              </w:rPr>
              <w:t xml:space="preserve"> trial“</w:t>
            </w:r>
            <w:r w:rsidRPr="00ED70B8">
              <w:rPr>
                <w:sz w:val="20"/>
                <w:szCs w:val="20"/>
                <w:vertAlign w:val="superscript"/>
              </w:rPr>
              <w:footnoteReference w:id="2295"/>
            </w:r>
            <w:r w:rsidRPr="00ED70B8">
              <w:rPr>
                <w:sz w:val="20"/>
                <w:szCs w:val="20"/>
              </w:rPr>
              <w:t xml:space="preserve">) </w:t>
            </w:r>
            <w:r w:rsidRPr="009E6041">
              <w:rPr>
                <w:sz w:val="20"/>
                <w:szCs w:val="20"/>
              </w:rPr>
              <w:t>verhängen</w:t>
            </w:r>
            <w:r w:rsidRPr="00ED70B8">
              <w:rPr>
                <w:sz w:val="20"/>
                <w:szCs w:val="20"/>
              </w:rPr>
              <w:t xml:space="preserve">, also </w:t>
            </w:r>
            <w:r>
              <w:rPr>
                <w:sz w:val="20"/>
                <w:szCs w:val="20"/>
              </w:rPr>
              <w:t>z.B. die</w:t>
            </w:r>
            <w:r w:rsidRPr="00ED70B8">
              <w:rPr>
                <w:sz w:val="20"/>
                <w:szCs w:val="20"/>
              </w:rPr>
              <w:t xml:space="preserve"> strafrechtliche Verurteilung durch ein Parlament</w:t>
            </w:r>
            <w:r w:rsidRPr="009E6041">
              <w:rPr>
                <w:sz w:val="20"/>
                <w:szCs w:val="20"/>
              </w:rPr>
              <w:t>. I</w:t>
            </w:r>
            <w:r>
              <w:rPr>
                <w:sz w:val="20"/>
                <w:szCs w:val="20"/>
              </w:rPr>
              <w:t xml:space="preserve">m vorliegenden </w:t>
            </w:r>
            <w:r w:rsidRPr="009E6041">
              <w:rPr>
                <w:sz w:val="20"/>
                <w:szCs w:val="20"/>
              </w:rPr>
              <w:t xml:space="preserve">Fall folge bei </w:t>
            </w:r>
            <w:r w:rsidRPr="00ED70B8">
              <w:rPr>
                <w:sz w:val="20"/>
                <w:szCs w:val="20"/>
              </w:rPr>
              <w:t xml:space="preserve">einer </w:t>
            </w:r>
            <w:r w:rsidRPr="009E6041">
              <w:rPr>
                <w:sz w:val="20"/>
                <w:szCs w:val="20"/>
              </w:rPr>
              <w:t xml:space="preserve">Berufsausübung ohne </w:t>
            </w:r>
            <w:r w:rsidRPr="00ED70B8">
              <w:rPr>
                <w:sz w:val="20"/>
                <w:szCs w:val="20"/>
              </w:rPr>
              <w:t xml:space="preserve">vorherigen </w:t>
            </w:r>
            <w:r w:rsidRPr="009E6041">
              <w:rPr>
                <w:sz w:val="20"/>
                <w:szCs w:val="20"/>
              </w:rPr>
              <w:t xml:space="preserve">Eid eine Geld-, dann </w:t>
            </w:r>
            <w:r w:rsidRPr="00ED70B8">
              <w:rPr>
                <w:sz w:val="20"/>
                <w:szCs w:val="20"/>
              </w:rPr>
              <w:t xml:space="preserve">eine </w:t>
            </w:r>
            <w:r w:rsidRPr="009E6041">
              <w:rPr>
                <w:sz w:val="20"/>
                <w:szCs w:val="20"/>
              </w:rPr>
              <w:t>Haftstrafe</w:t>
            </w:r>
            <w:r w:rsidRPr="00ED70B8">
              <w:rPr>
                <w:sz w:val="20"/>
                <w:szCs w:val="20"/>
              </w:rPr>
              <w:t xml:space="preserve">; </w:t>
            </w:r>
            <w:r w:rsidRPr="009E6041">
              <w:rPr>
                <w:sz w:val="20"/>
                <w:szCs w:val="20"/>
              </w:rPr>
              <w:t xml:space="preserve">also eine Strafe, </w:t>
            </w:r>
            <w:r w:rsidRPr="00ED70B8">
              <w:rPr>
                <w:sz w:val="20"/>
                <w:szCs w:val="20"/>
              </w:rPr>
              <w:t xml:space="preserve">die </w:t>
            </w:r>
            <w:r>
              <w:rPr>
                <w:sz w:val="20"/>
                <w:szCs w:val="20"/>
              </w:rPr>
              <w:t>den</w:t>
            </w:r>
            <w:r w:rsidRPr="00ED70B8">
              <w:rPr>
                <w:sz w:val="20"/>
                <w:szCs w:val="20"/>
              </w:rPr>
              <w:t xml:space="preserve"> </w:t>
            </w:r>
            <w:r w:rsidRPr="009E6041">
              <w:rPr>
                <w:sz w:val="20"/>
                <w:szCs w:val="20"/>
              </w:rPr>
              <w:t xml:space="preserve">Verfahrensanforderungen eines gerichtlichen Verfahrens </w:t>
            </w:r>
            <w:r w:rsidRPr="00ED70B8">
              <w:rPr>
                <w:sz w:val="20"/>
                <w:szCs w:val="20"/>
              </w:rPr>
              <w:t>hätte entsprechen müssen</w:t>
            </w:r>
            <w:r w:rsidRPr="009E6041">
              <w:rPr>
                <w:sz w:val="20"/>
                <w:szCs w:val="20"/>
              </w:rPr>
              <w:t xml:space="preserve">. Das </w:t>
            </w:r>
            <w:r>
              <w:rPr>
                <w:sz w:val="20"/>
                <w:szCs w:val="20"/>
              </w:rPr>
              <w:t>gelte</w:t>
            </w:r>
            <w:r w:rsidRPr="009E6041">
              <w:rPr>
                <w:sz w:val="20"/>
                <w:szCs w:val="20"/>
              </w:rPr>
              <w:t xml:space="preserve"> </w:t>
            </w:r>
            <w:r w:rsidRPr="00ED70B8">
              <w:rPr>
                <w:sz w:val="20"/>
                <w:szCs w:val="20"/>
              </w:rPr>
              <w:t>vor allem</w:t>
            </w:r>
            <w:r w:rsidRPr="009E6041">
              <w:rPr>
                <w:sz w:val="20"/>
                <w:szCs w:val="20"/>
              </w:rPr>
              <w:t xml:space="preserve">, weil das unveräußerliche Recht des Strebens nach Glück betroffen </w:t>
            </w:r>
            <w:r>
              <w:rPr>
                <w:sz w:val="20"/>
                <w:szCs w:val="20"/>
              </w:rPr>
              <w:t>sei</w:t>
            </w:r>
            <w:r w:rsidRPr="00ED70B8">
              <w:rPr>
                <w:sz w:val="20"/>
                <w:szCs w:val="20"/>
              </w:rPr>
              <w:t>, und zwar</w:t>
            </w:r>
            <w:r w:rsidRPr="009E6041">
              <w:rPr>
                <w:sz w:val="20"/>
                <w:szCs w:val="20"/>
              </w:rPr>
              <w:t xml:space="preserve"> in seiner Ausprägung als Berufsausübungsfreiheit („</w:t>
            </w:r>
            <w:proofErr w:type="spellStart"/>
            <w:r w:rsidRPr="009E6041">
              <w:rPr>
                <w:sz w:val="20"/>
                <w:szCs w:val="20"/>
              </w:rPr>
              <w:t>that</w:t>
            </w:r>
            <w:proofErr w:type="spellEnd"/>
            <w:r w:rsidRPr="009E6041">
              <w:rPr>
                <w:sz w:val="20"/>
                <w:szCs w:val="20"/>
              </w:rPr>
              <w:t xml:space="preserve"> in the </w:t>
            </w:r>
            <w:proofErr w:type="spellStart"/>
            <w:r w:rsidRPr="009E6041">
              <w:rPr>
                <w:sz w:val="20"/>
                <w:szCs w:val="20"/>
              </w:rPr>
              <w:t>pursuit</w:t>
            </w:r>
            <w:proofErr w:type="spellEnd"/>
            <w:r w:rsidRPr="009E6041">
              <w:rPr>
                <w:sz w:val="20"/>
                <w:szCs w:val="20"/>
              </w:rPr>
              <w:t xml:space="preserve"> of </w:t>
            </w:r>
            <w:proofErr w:type="spellStart"/>
            <w:r w:rsidRPr="009E6041">
              <w:rPr>
                <w:sz w:val="20"/>
                <w:szCs w:val="20"/>
              </w:rPr>
              <w:t>happiness</w:t>
            </w:r>
            <w:proofErr w:type="spellEnd"/>
            <w:r w:rsidRPr="009E6041">
              <w:rPr>
                <w:sz w:val="20"/>
                <w:szCs w:val="20"/>
              </w:rPr>
              <w:t xml:space="preserve"> all </w:t>
            </w:r>
            <w:proofErr w:type="spellStart"/>
            <w:r w:rsidRPr="009E6041">
              <w:rPr>
                <w:sz w:val="20"/>
                <w:szCs w:val="20"/>
              </w:rPr>
              <w:t>avocations</w:t>
            </w:r>
            <w:proofErr w:type="spellEnd"/>
            <w:r w:rsidRPr="009E6041">
              <w:rPr>
                <w:sz w:val="20"/>
                <w:szCs w:val="20"/>
              </w:rPr>
              <w:t xml:space="preserve">, all </w:t>
            </w:r>
            <w:proofErr w:type="spellStart"/>
            <w:r w:rsidRPr="009E6041">
              <w:rPr>
                <w:sz w:val="20"/>
                <w:szCs w:val="20"/>
              </w:rPr>
              <w:t>honors</w:t>
            </w:r>
            <w:proofErr w:type="spellEnd"/>
            <w:r w:rsidRPr="009E6041">
              <w:rPr>
                <w:sz w:val="20"/>
                <w:szCs w:val="20"/>
              </w:rPr>
              <w:t xml:space="preserve">, all </w:t>
            </w:r>
            <w:proofErr w:type="spellStart"/>
            <w:r w:rsidRPr="009E6041">
              <w:rPr>
                <w:sz w:val="20"/>
                <w:szCs w:val="20"/>
              </w:rPr>
              <w:t>positions</w:t>
            </w:r>
            <w:proofErr w:type="spellEnd"/>
            <w:r w:rsidRPr="009E6041">
              <w:rPr>
                <w:sz w:val="20"/>
                <w:szCs w:val="20"/>
              </w:rPr>
              <w:t xml:space="preserve">, </w:t>
            </w:r>
            <w:proofErr w:type="spellStart"/>
            <w:r w:rsidRPr="009E6041">
              <w:rPr>
                <w:sz w:val="20"/>
                <w:szCs w:val="20"/>
              </w:rPr>
              <w:t>are</w:t>
            </w:r>
            <w:proofErr w:type="spellEnd"/>
            <w:r w:rsidRPr="009E6041">
              <w:rPr>
                <w:sz w:val="20"/>
                <w:szCs w:val="20"/>
              </w:rPr>
              <w:t xml:space="preserve"> </w:t>
            </w:r>
            <w:proofErr w:type="spellStart"/>
            <w:r w:rsidRPr="009E6041">
              <w:rPr>
                <w:sz w:val="20"/>
                <w:szCs w:val="20"/>
              </w:rPr>
              <w:t>alike</w:t>
            </w:r>
            <w:proofErr w:type="spellEnd"/>
            <w:r w:rsidRPr="009E6041">
              <w:rPr>
                <w:sz w:val="20"/>
                <w:szCs w:val="20"/>
              </w:rPr>
              <w:t xml:space="preserve"> open to </w:t>
            </w:r>
            <w:proofErr w:type="spellStart"/>
            <w:r w:rsidRPr="009E6041">
              <w:rPr>
                <w:sz w:val="20"/>
                <w:szCs w:val="20"/>
              </w:rPr>
              <w:t>every</w:t>
            </w:r>
            <w:proofErr w:type="spellEnd"/>
            <w:r w:rsidRPr="009E6041">
              <w:rPr>
                <w:sz w:val="20"/>
                <w:szCs w:val="20"/>
              </w:rPr>
              <w:t xml:space="preserve"> </w:t>
            </w:r>
            <w:proofErr w:type="spellStart"/>
            <w:r w:rsidRPr="009E6041">
              <w:rPr>
                <w:sz w:val="20"/>
                <w:szCs w:val="20"/>
              </w:rPr>
              <w:t>one</w:t>
            </w:r>
            <w:proofErr w:type="spellEnd"/>
            <w:r w:rsidRPr="009E6041">
              <w:rPr>
                <w:sz w:val="20"/>
                <w:szCs w:val="20"/>
              </w:rPr>
              <w:t>“</w:t>
            </w:r>
            <w:r w:rsidRPr="009E6041">
              <w:rPr>
                <w:sz w:val="20"/>
                <w:szCs w:val="20"/>
                <w:vertAlign w:val="superscript"/>
              </w:rPr>
              <w:footnoteReference w:id="2296"/>
            </w:r>
            <w:r w:rsidRPr="009E6041">
              <w:rPr>
                <w:sz w:val="20"/>
                <w:szCs w:val="20"/>
              </w:rPr>
              <w:t>). Dessen Entzug wirk</w:t>
            </w:r>
            <w:r w:rsidRPr="00ED70B8">
              <w:rPr>
                <w:sz w:val="20"/>
                <w:szCs w:val="20"/>
              </w:rPr>
              <w:t>e</w:t>
            </w:r>
            <w:r w:rsidRPr="009E6041">
              <w:rPr>
                <w:sz w:val="20"/>
                <w:szCs w:val="20"/>
              </w:rPr>
              <w:t xml:space="preserve"> </w:t>
            </w:r>
            <w:r w:rsidRPr="00ED70B8">
              <w:rPr>
                <w:sz w:val="20"/>
                <w:szCs w:val="20"/>
              </w:rPr>
              <w:t xml:space="preserve">einer </w:t>
            </w:r>
            <w:r w:rsidRPr="009E6041">
              <w:rPr>
                <w:sz w:val="20"/>
                <w:szCs w:val="20"/>
              </w:rPr>
              <w:t>Strafe</w:t>
            </w:r>
            <w:r w:rsidRPr="00ED70B8">
              <w:rPr>
                <w:sz w:val="20"/>
                <w:szCs w:val="20"/>
              </w:rPr>
              <w:t xml:space="preserve"> vergleichba</w:t>
            </w:r>
            <w:r>
              <w:rPr>
                <w:sz w:val="20"/>
                <w:szCs w:val="20"/>
              </w:rPr>
              <w:t xml:space="preserve">r, und diese </w:t>
            </w:r>
            <w:r w:rsidRPr="009E6041">
              <w:rPr>
                <w:sz w:val="20"/>
                <w:szCs w:val="20"/>
              </w:rPr>
              <w:t>lös</w:t>
            </w:r>
            <w:r w:rsidRPr="00ED70B8">
              <w:rPr>
                <w:sz w:val="20"/>
                <w:szCs w:val="20"/>
              </w:rPr>
              <w:t>e</w:t>
            </w:r>
            <w:r w:rsidRPr="009E6041">
              <w:rPr>
                <w:sz w:val="20"/>
                <w:szCs w:val="20"/>
              </w:rPr>
              <w:t xml:space="preserve"> die Verfahrensanforderungen eines </w:t>
            </w:r>
            <w:r w:rsidRPr="00ED70B8">
              <w:rPr>
                <w:sz w:val="20"/>
                <w:szCs w:val="20"/>
              </w:rPr>
              <w:t xml:space="preserve">gerichtlichen </w:t>
            </w:r>
            <w:r w:rsidRPr="009E6041">
              <w:rPr>
                <w:sz w:val="20"/>
                <w:szCs w:val="20"/>
              </w:rPr>
              <w:t>Verfahrens aus („</w:t>
            </w:r>
            <w:proofErr w:type="spellStart"/>
            <w:r w:rsidRPr="009E6041">
              <w:rPr>
                <w:sz w:val="20"/>
                <w:szCs w:val="20"/>
              </w:rPr>
              <w:t>deprivation</w:t>
            </w:r>
            <w:proofErr w:type="spellEnd"/>
            <w:r w:rsidRPr="009E6041">
              <w:rPr>
                <w:sz w:val="20"/>
                <w:szCs w:val="20"/>
              </w:rPr>
              <w:t xml:space="preserve"> </w:t>
            </w:r>
            <w:proofErr w:type="spellStart"/>
            <w:r w:rsidRPr="009E6041">
              <w:rPr>
                <w:sz w:val="20"/>
                <w:szCs w:val="20"/>
              </w:rPr>
              <w:t>or</w:t>
            </w:r>
            <w:proofErr w:type="spellEnd"/>
            <w:r w:rsidRPr="009E6041">
              <w:rPr>
                <w:sz w:val="20"/>
                <w:szCs w:val="20"/>
              </w:rPr>
              <w:t xml:space="preserve"> </w:t>
            </w:r>
            <w:proofErr w:type="spellStart"/>
            <w:r w:rsidRPr="009E6041">
              <w:rPr>
                <w:sz w:val="20"/>
                <w:szCs w:val="20"/>
              </w:rPr>
              <w:t>suspension</w:t>
            </w:r>
            <w:proofErr w:type="spellEnd"/>
            <w:r w:rsidRPr="009E6041">
              <w:rPr>
                <w:sz w:val="20"/>
                <w:szCs w:val="20"/>
              </w:rPr>
              <w:t xml:space="preserve"> of </w:t>
            </w:r>
            <w:proofErr w:type="spellStart"/>
            <w:r w:rsidRPr="009E6041">
              <w:rPr>
                <w:sz w:val="20"/>
                <w:szCs w:val="20"/>
              </w:rPr>
              <w:t>any</w:t>
            </w:r>
            <w:proofErr w:type="spellEnd"/>
            <w:r w:rsidRPr="009E6041">
              <w:rPr>
                <w:sz w:val="20"/>
                <w:szCs w:val="20"/>
              </w:rPr>
              <w:t xml:space="preserve"> of </w:t>
            </w:r>
            <w:proofErr w:type="spellStart"/>
            <w:r w:rsidRPr="009E6041">
              <w:rPr>
                <w:sz w:val="20"/>
                <w:szCs w:val="20"/>
              </w:rPr>
              <w:t>these</w:t>
            </w:r>
            <w:proofErr w:type="spellEnd"/>
            <w:r w:rsidRPr="009E6041">
              <w:rPr>
                <w:sz w:val="20"/>
                <w:szCs w:val="20"/>
              </w:rPr>
              <w:t xml:space="preserve"> </w:t>
            </w:r>
            <w:proofErr w:type="spellStart"/>
            <w:r w:rsidRPr="009E6041">
              <w:rPr>
                <w:sz w:val="20"/>
                <w:szCs w:val="20"/>
              </w:rPr>
              <w:t>rights</w:t>
            </w:r>
            <w:proofErr w:type="spellEnd"/>
            <w:r w:rsidRPr="009E6041">
              <w:rPr>
                <w:sz w:val="20"/>
                <w:szCs w:val="20"/>
              </w:rPr>
              <w:t xml:space="preserve"> for </w:t>
            </w:r>
            <w:proofErr w:type="spellStart"/>
            <w:r w:rsidRPr="009E6041">
              <w:rPr>
                <w:sz w:val="20"/>
                <w:szCs w:val="20"/>
              </w:rPr>
              <w:t>past</w:t>
            </w:r>
            <w:proofErr w:type="spellEnd"/>
            <w:r w:rsidRPr="009E6041">
              <w:rPr>
                <w:sz w:val="20"/>
                <w:szCs w:val="20"/>
              </w:rPr>
              <w:t xml:space="preserve"> </w:t>
            </w:r>
            <w:proofErr w:type="spellStart"/>
            <w:r w:rsidRPr="009E6041">
              <w:rPr>
                <w:sz w:val="20"/>
                <w:szCs w:val="20"/>
              </w:rPr>
              <w:t>conduct</w:t>
            </w:r>
            <w:proofErr w:type="spellEnd"/>
            <w:r w:rsidRPr="009E6041">
              <w:rPr>
                <w:sz w:val="20"/>
                <w:szCs w:val="20"/>
              </w:rPr>
              <w:t xml:space="preserve"> </w:t>
            </w:r>
            <w:proofErr w:type="spellStart"/>
            <w:r w:rsidRPr="009E6041">
              <w:rPr>
                <w:sz w:val="20"/>
                <w:szCs w:val="20"/>
              </w:rPr>
              <w:t>is</w:t>
            </w:r>
            <w:proofErr w:type="spellEnd"/>
            <w:r w:rsidRPr="009E6041">
              <w:rPr>
                <w:sz w:val="20"/>
                <w:szCs w:val="20"/>
              </w:rPr>
              <w:t xml:space="preserve"> </w:t>
            </w:r>
            <w:proofErr w:type="spellStart"/>
            <w:r w:rsidRPr="009E6041">
              <w:rPr>
                <w:sz w:val="20"/>
                <w:szCs w:val="20"/>
              </w:rPr>
              <w:t>punishment</w:t>
            </w:r>
            <w:proofErr w:type="spellEnd"/>
            <w:r w:rsidRPr="009E6041">
              <w:rPr>
                <w:sz w:val="20"/>
                <w:szCs w:val="20"/>
              </w:rPr>
              <w:t>“</w:t>
            </w:r>
            <w:r w:rsidRPr="009E6041">
              <w:rPr>
                <w:sz w:val="20"/>
                <w:szCs w:val="20"/>
                <w:vertAlign w:val="superscript"/>
              </w:rPr>
              <w:footnoteReference w:id="2297"/>
            </w:r>
            <w:r w:rsidRPr="009E6041">
              <w:rPr>
                <w:sz w:val="20"/>
                <w:szCs w:val="20"/>
              </w:rPr>
              <w:t>).</w:t>
            </w:r>
          </w:p>
          <w:p w14:paraId="7AD8B111" w14:textId="77777777" w:rsidR="00074551" w:rsidRPr="00E50B51" w:rsidRDefault="00074551" w:rsidP="00367133">
            <w:pPr>
              <w:jc w:val="both"/>
              <w:rPr>
                <w:sz w:val="20"/>
                <w:szCs w:val="20"/>
              </w:rPr>
            </w:pPr>
          </w:p>
        </w:tc>
      </w:tr>
      <w:tr w:rsidR="00074551" w:rsidRPr="00E50B51" w14:paraId="275647B0" w14:textId="77777777" w:rsidTr="00203768">
        <w:trPr>
          <w:cantSplit/>
          <w:trHeight w:val="3175"/>
        </w:trPr>
        <w:tc>
          <w:tcPr>
            <w:tcW w:w="293" w:type="pct"/>
            <w:shd w:val="clear" w:color="auto" w:fill="E7E6E6" w:themeFill="background2"/>
          </w:tcPr>
          <w:p w14:paraId="3B761A21" w14:textId="77777777" w:rsidR="00074551" w:rsidRPr="00E50B51" w:rsidRDefault="00074551" w:rsidP="00367133">
            <w:pPr>
              <w:ind w:right="416"/>
              <w:jc w:val="center"/>
              <w:rPr>
                <w:sz w:val="20"/>
                <w:szCs w:val="20"/>
              </w:rPr>
            </w:pPr>
            <w:proofErr w:type="spellStart"/>
            <w:r w:rsidRPr="00E50B51">
              <w:rPr>
                <w:sz w:val="20"/>
                <w:szCs w:val="20"/>
              </w:rPr>
              <w:t>poH</w:t>
            </w:r>
            <w:proofErr w:type="spellEnd"/>
          </w:p>
        </w:tc>
        <w:tc>
          <w:tcPr>
            <w:tcW w:w="387" w:type="pct"/>
            <w:shd w:val="clear" w:color="auto" w:fill="E7E6E6" w:themeFill="background2"/>
            <w:textDirection w:val="tbRl"/>
            <w:vAlign w:val="center"/>
          </w:tcPr>
          <w:p w14:paraId="3CD529AC"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58AC827A" w14:textId="77777777" w:rsidR="00074551" w:rsidRPr="00E50B51" w:rsidRDefault="00074551" w:rsidP="00367133">
            <w:pPr>
              <w:ind w:left="113" w:right="113"/>
              <w:jc w:val="both"/>
              <w:rPr>
                <w:iCs/>
                <w:sz w:val="20"/>
                <w:szCs w:val="20"/>
                <w:lang w:val="en-US"/>
              </w:rPr>
            </w:pPr>
            <w:r w:rsidRPr="00E50B51">
              <w:rPr>
                <w:iCs/>
                <w:sz w:val="20"/>
                <w:szCs w:val="20"/>
                <w:lang w:val="en-US"/>
              </w:rPr>
              <w:t>Elections</w:t>
            </w:r>
          </w:p>
          <w:p w14:paraId="6D1657BC" w14:textId="77777777" w:rsidR="00074551" w:rsidRPr="00E50B51" w:rsidRDefault="00074551" w:rsidP="00367133">
            <w:pPr>
              <w:ind w:left="113" w:right="113"/>
              <w:jc w:val="both"/>
              <w:rPr>
                <w:iCs/>
                <w:sz w:val="20"/>
                <w:szCs w:val="20"/>
              </w:rPr>
            </w:pPr>
          </w:p>
        </w:tc>
        <w:tc>
          <w:tcPr>
            <w:tcW w:w="306" w:type="pct"/>
            <w:shd w:val="clear" w:color="auto" w:fill="E7E6E6" w:themeFill="background2"/>
            <w:textDirection w:val="tbRl"/>
            <w:vAlign w:val="center"/>
          </w:tcPr>
          <w:p w14:paraId="0D30CA33" w14:textId="77777777" w:rsidR="00074551" w:rsidRPr="00E50B51" w:rsidRDefault="00074551" w:rsidP="00367133">
            <w:pPr>
              <w:ind w:left="113" w:right="113"/>
              <w:jc w:val="both"/>
              <w:rPr>
                <w:sz w:val="20"/>
                <w:szCs w:val="20"/>
                <w:lang w:val="en-US"/>
              </w:rPr>
            </w:pPr>
            <w:r w:rsidRPr="00E50B51">
              <w:rPr>
                <w:iCs/>
                <w:sz w:val="20"/>
                <w:szCs w:val="20"/>
                <w:lang w:val="en-US"/>
              </w:rPr>
              <w:t>Scope</w:t>
            </w:r>
          </w:p>
        </w:tc>
        <w:tc>
          <w:tcPr>
            <w:tcW w:w="401" w:type="pct"/>
            <w:shd w:val="clear" w:color="auto" w:fill="E7E6E6" w:themeFill="background2"/>
          </w:tcPr>
          <w:p w14:paraId="23C9C698"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0ED47450" w14:textId="77777777" w:rsidR="00074551" w:rsidRPr="00E50B51" w:rsidRDefault="00074551" w:rsidP="00367133">
            <w:pPr>
              <w:jc w:val="both"/>
              <w:rPr>
                <w:sz w:val="20"/>
                <w:szCs w:val="20"/>
                <w:lang w:val="en-US"/>
              </w:rPr>
            </w:pPr>
          </w:p>
        </w:tc>
        <w:tc>
          <w:tcPr>
            <w:tcW w:w="1822" w:type="pct"/>
            <w:shd w:val="clear" w:color="auto" w:fill="E7E6E6" w:themeFill="background2"/>
          </w:tcPr>
          <w:p w14:paraId="077ED24B" w14:textId="74D624B1"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04E5C15A" w14:textId="77777777" w:rsidTr="00BE689F">
        <w:trPr>
          <w:cantSplit/>
          <w:trHeight w:val="3175"/>
        </w:trPr>
        <w:tc>
          <w:tcPr>
            <w:tcW w:w="293" w:type="pct"/>
          </w:tcPr>
          <w:p w14:paraId="3408E682"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547FCC36" w14:textId="77777777" w:rsidR="00074551" w:rsidRPr="00E50B51" w:rsidRDefault="00074551" w:rsidP="00367133">
            <w:pPr>
              <w:ind w:left="113" w:right="416"/>
              <w:jc w:val="both"/>
              <w:rPr>
                <w:sz w:val="20"/>
                <w:szCs w:val="20"/>
              </w:rPr>
            </w:pPr>
            <w:r w:rsidRPr="007360B0">
              <w:rPr>
                <w:i/>
                <w:sz w:val="20"/>
                <w:szCs w:val="20"/>
              </w:rPr>
              <w:t>Taylor v. Beckham</w:t>
            </w:r>
          </w:p>
        </w:tc>
        <w:tc>
          <w:tcPr>
            <w:tcW w:w="197" w:type="pct"/>
            <w:textDirection w:val="tbRl"/>
            <w:vAlign w:val="center"/>
          </w:tcPr>
          <w:p w14:paraId="45CA1C4B" w14:textId="77777777" w:rsidR="00074551" w:rsidRPr="00E50B51" w:rsidRDefault="00074551" w:rsidP="00367133">
            <w:pPr>
              <w:ind w:left="113" w:right="113"/>
              <w:jc w:val="both"/>
              <w:rPr>
                <w:iCs/>
                <w:sz w:val="20"/>
                <w:szCs w:val="20"/>
                <w:lang w:val="en-US"/>
              </w:rPr>
            </w:pPr>
            <w:r w:rsidRPr="00E50B51">
              <w:rPr>
                <w:sz w:val="20"/>
                <w:szCs w:val="20"/>
                <w:lang w:val="en-US"/>
              </w:rPr>
              <w:t>178 U.S. 548</w:t>
            </w:r>
          </w:p>
        </w:tc>
        <w:tc>
          <w:tcPr>
            <w:tcW w:w="306" w:type="pct"/>
            <w:textDirection w:val="tbRl"/>
            <w:vAlign w:val="center"/>
          </w:tcPr>
          <w:p w14:paraId="75AC3991" w14:textId="77777777" w:rsidR="00074551" w:rsidRPr="00E50B51" w:rsidRDefault="00074551" w:rsidP="00367133">
            <w:pPr>
              <w:ind w:left="113" w:right="113"/>
              <w:jc w:val="both"/>
              <w:rPr>
                <w:sz w:val="20"/>
                <w:szCs w:val="20"/>
                <w:lang w:val="en-US"/>
              </w:rPr>
            </w:pPr>
            <w:r w:rsidRPr="00E50B51">
              <w:rPr>
                <w:sz w:val="20"/>
                <w:szCs w:val="20"/>
              </w:rPr>
              <w:t>21. Mai 19</w:t>
            </w:r>
            <w:r>
              <w:rPr>
                <w:sz w:val="20"/>
                <w:szCs w:val="20"/>
              </w:rPr>
              <w:t>00</w:t>
            </w:r>
          </w:p>
        </w:tc>
        <w:tc>
          <w:tcPr>
            <w:tcW w:w="401" w:type="pct"/>
          </w:tcPr>
          <w:p w14:paraId="6B296516" w14:textId="77777777" w:rsidR="00074551" w:rsidRPr="00E50B51" w:rsidRDefault="00074551" w:rsidP="00367133">
            <w:pPr>
              <w:jc w:val="center"/>
              <w:rPr>
                <w:sz w:val="20"/>
                <w:szCs w:val="20"/>
                <w:lang w:val="en-US"/>
              </w:rPr>
            </w:pPr>
            <w:r w:rsidRPr="00E50B51">
              <w:rPr>
                <w:iCs/>
                <w:sz w:val="20"/>
                <w:szCs w:val="20"/>
              </w:rPr>
              <w:t>R</w:t>
            </w:r>
          </w:p>
        </w:tc>
        <w:tc>
          <w:tcPr>
            <w:tcW w:w="1594" w:type="pct"/>
          </w:tcPr>
          <w:p w14:paraId="66F3DD9C" w14:textId="77777777" w:rsidR="00074551" w:rsidRDefault="00074551" w:rsidP="00367133">
            <w:pPr>
              <w:jc w:val="both"/>
              <w:rPr>
                <w:sz w:val="20"/>
                <w:szCs w:val="20"/>
                <w:lang w:val="en-US"/>
              </w:rPr>
            </w:pPr>
            <w:r w:rsidRPr="00E50B51">
              <w:rPr>
                <w:sz w:val="20"/>
                <w:szCs w:val="20"/>
                <w:lang w:val="en-US"/>
              </w:rPr>
              <w:t>*</w:t>
            </w:r>
          </w:p>
          <w:p w14:paraId="1B3C221E" w14:textId="77777777" w:rsidR="00EC0D6C" w:rsidRDefault="00EC0D6C" w:rsidP="00367133">
            <w:pPr>
              <w:jc w:val="both"/>
              <w:rPr>
                <w:sz w:val="20"/>
                <w:szCs w:val="20"/>
                <w:lang w:val="en-US"/>
              </w:rPr>
            </w:pPr>
          </w:p>
          <w:p w14:paraId="245BE1EF" w14:textId="77777777" w:rsidR="00EC0D6C" w:rsidRDefault="00EC0D6C" w:rsidP="00367133">
            <w:pPr>
              <w:jc w:val="both"/>
              <w:rPr>
                <w:sz w:val="20"/>
                <w:szCs w:val="20"/>
                <w:lang w:val="en-US"/>
              </w:rPr>
            </w:pPr>
          </w:p>
          <w:p w14:paraId="74764041" w14:textId="77777777" w:rsidR="00EC0D6C" w:rsidRDefault="00EC0D6C" w:rsidP="00367133">
            <w:pPr>
              <w:jc w:val="both"/>
              <w:rPr>
                <w:sz w:val="20"/>
                <w:szCs w:val="20"/>
                <w:lang w:val="en-US"/>
              </w:rPr>
            </w:pPr>
          </w:p>
          <w:p w14:paraId="51754296" w14:textId="77777777" w:rsidR="00EC0D6C" w:rsidRDefault="00EC0D6C" w:rsidP="00367133">
            <w:pPr>
              <w:jc w:val="both"/>
              <w:rPr>
                <w:sz w:val="20"/>
                <w:szCs w:val="20"/>
                <w:lang w:val="en-US"/>
              </w:rPr>
            </w:pPr>
          </w:p>
          <w:p w14:paraId="79013242" w14:textId="77777777" w:rsidR="00EC0D6C" w:rsidRDefault="00EC0D6C" w:rsidP="00367133">
            <w:pPr>
              <w:jc w:val="both"/>
              <w:rPr>
                <w:sz w:val="20"/>
                <w:szCs w:val="20"/>
                <w:lang w:val="en-US"/>
              </w:rPr>
            </w:pPr>
          </w:p>
          <w:p w14:paraId="2E17EF1C" w14:textId="3438D189" w:rsidR="00EC0D6C" w:rsidRPr="00E50B51" w:rsidRDefault="00EC0D6C" w:rsidP="00367133">
            <w:pPr>
              <w:jc w:val="both"/>
              <w:rPr>
                <w:sz w:val="20"/>
                <w:szCs w:val="20"/>
                <w:lang w:val="en-US"/>
              </w:rPr>
            </w:pPr>
          </w:p>
        </w:tc>
        <w:tc>
          <w:tcPr>
            <w:tcW w:w="1822" w:type="pct"/>
          </w:tcPr>
          <w:p w14:paraId="673CD139" w14:textId="0EFD0F23" w:rsidR="00074551" w:rsidRPr="00EC0D6C" w:rsidRDefault="00074551" w:rsidP="00367133">
            <w:pPr>
              <w:jc w:val="both"/>
              <w:rPr>
                <w:sz w:val="20"/>
                <w:szCs w:val="20"/>
                <w:lang w:val="en-US"/>
              </w:rPr>
            </w:pPr>
            <w:r w:rsidRPr="004668E2">
              <w:rPr>
                <w:sz w:val="20"/>
                <w:szCs w:val="20"/>
              </w:rPr>
              <w:t xml:space="preserve">Der </w:t>
            </w:r>
            <w:r w:rsidRPr="5B67C1D2">
              <w:rPr>
                <w:i/>
                <w:iCs/>
                <w:sz w:val="20"/>
                <w:szCs w:val="20"/>
              </w:rPr>
              <w:t>Court of Appeals of Kentucky</w:t>
            </w:r>
            <w:r w:rsidRPr="004668E2">
              <w:rPr>
                <w:sz w:val="20"/>
                <w:szCs w:val="20"/>
              </w:rPr>
              <w:t xml:space="preserve"> entschied und der </w:t>
            </w:r>
            <w:r>
              <w:rPr>
                <w:sz w:val="20"/>
                <w:szCs w:val="20"/>
              </w:rPr>
              <w:t>U.S. Supreme Court</w:t>
            </w:r>
            <w:r w:rsidRPr="004668E2">
              <w:rPr>
                <w:sz w:val="20"/>
                <w:szCs w:val="20"/>
              </w:rPr>
              <w:t xml:space="preserve"> bestätigte, dass Gerichte eine angefochtene Gouverneurswahl nicht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668E2">
              <w:rPr>
                <w:sz w:val="20"/>
                <w:szCs w:val="20"/>
              </w:rPr>
              <w:t xml:space="preserve"> beurteilen können. Denn das Recht, ein Amt zu bekleiden, begründe kein Eigentumsrecht an Ämtern nach diesem Amendment, worauf sich die unterliegenden Beklagten </w:t>
            </w:r>
            <w:r>
              <w:rPr>
                <w:sz w:val="20"/>
                <w:szCs w:val="20"/>
              </w:rPr>
              <w:t>berufen hatten</w:t>
            </w:r>
            <w:r w:rsidRPr="004668E2">
              <w:rPr>
                <w:sz w:val="20"/>
                <w:szCs w:val="20"/>
              </w:rPr>
              <w:t xml:space="preserve">. Und wenn eine bundesstaatliche Verfassung ein Amt wie das des Gouverneurs schaffe, dann </w:t>
            </w:r>
            <w:r>
              <w:rPr>
                <w:sz w:val="20"/>
                <w:szCs w:val="20"/>
              </w:rPr>
              <w:t>hätten</w:t>
            </w:r>
            <w:r w:rsidRPr="004668E2">
              <w:rPr>
                <w:sz w:val="20"/>
                <w:szCs w:val="20"/>
              </w:rPr>
              <w:t xml:space="preserve"> Gerichte nur zu prüfen, ob das Amt mit den bundesstaatlichen Verfassungsbestimmungen übereinstimme und nach den auf dieser Grundlage erlassenen Gesetzen verliehen und ausgeübt werden </w:t>
            </w:r>
            <w:r>
              <w:rPr>
                <w:sz w:val="20"/>
                <w:szCs w:val="20"/>
              </w:rPr>
              <w:t>könne</w:t>
            </w:r>
            <w:r w:rsidRPr="004668E2">
              <w:rPr>
                <w:sz w:val="20"/>
                <w:szCs w:val="20"/>
              </w:rPr>
              <w:t>.</w:t>
            </w:r>
            <w:r w:rsidRPr="004668E2">
              <w:rPr>
                <w:sz w:val="20"/>
                <w:szCs w:val="20"/>
                <w:vertAlign w:val="superscript"/>
              </w:rPr>
              <w:footnoteReference w:id="2298"/>
            </w:r>
            <w:r w:rsidRPr="004668E2">
              <w:rPr>
                <w:sz w:val="20"/>
                <w:szCs w:val="20"/>
              </w:rPr>
              <w:t xml:space="preserve"> Das sah die Verteidigung anders. Denn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4668E2">
              <w:rPr>
                <w:sz w:val="20"/>
                <w:szCs w:val="20"/>
              </w:rPr>
              <w:t xml:space="preserve"> beinhalte eine Willkürgrenze, </w:t>
            </w:r>
            <w:r>
              <w:rPr>
                <w:sz w:val="20"/>
                <w:szCs w:val="20"/>
              </w:rPr>
              <w:t xml:space="preserve">die </w:t>
            </w:r>
            <w:r w:rsidRPr="004668E2">
              <w:rPr>
                <w:sz w:val="20"/>
                <w:szCs w:val="20"/>
              </w:rPr>
              <w:t xml:space="preserve">sich </w:t>
            </w:r>
            <w:r>
              <w:rPr>
                <w:sz w:val="20"/>
                <w:szCs w:val="20"/>
              </w:rPr>
              <w:t>u.a.</w:t>
            </w:r>
            <w:r w:rsidRPr="004668E2">
              <w:rPr>
                <w:sz w:val="20"/>
                <w:szCs w:val="20"/>
              </w:rPr>
              <w:t xml:space="preserve"> aus den Bedingungen für Glücks</w:t>
            </w:r>
            <w:r>
              <w:rPr>
                <w:sz w:val="20"/>
                <w:szCs w:val="20"/>
              </w:rPr>
              <w:t>s</w:t>
            </w:r>
            <w:r w:rsidRPr="004668E2">
              <w:rPr>
                <w:sz w:val="20"/>
                <w:szCs w:val="20"/>
              </w:rPr>
              <w:t>treben ergebe</w:t>
            </w:r>
            <w:r>
              <w:rPr>
                <w:sz w:val="20"/>
                <w:szCs w:val="20"/>
              </w:rPr>
              <w:t xml:space="preserve"> und im Fall zum Tragen komme</w:t>
            </w:r>
            <w:r w:rsidRPr="004668E2">
              <w:rPr>
                <w:sz w:val="20"/>
                <w:szCs w:val="20"/>
              </w:rPr>
              <w:t xml:space="preserve">. </w:t>
            </w:r>
            <w:r>
              <w:rPr>
                <w:sz w:val="20"/>
                <w:szCs w:val="20"/>
              </w:rPr>
              <w:t xml:space="preserve">Die Bedingungen für Glücksstreben </w:t>
            </w:r>
            <w:r w:rsidRPr="004668E2">
              <w:rPr>
                <w:sz w:val="20"/>
                <w:szCs w:val="20"/>
              </w:rPr>
              <w:t>präg</w:t>
            </w:r>
            <w:r>
              <w:rPr>
                <w:sz w:val="20"/>
                <w:szCs w:val="20"/>
              </w:rPr>
              <w:t>t</w:t>
            </w:r>
            <w:r w:rsidRPr="004668E2">
              <w:rPr>
                <w:sz w:val="20"/>
                <w:szCs w:val="20"/>
              </w:rPr>
              <w:t xml:space="preserve">en sich </w:t>
            </w:r>
            <w:r w:rsidR="00EC0D6C">
              <w:rPr>
                <w:sz w:val="20"/>
                <w:szCs w:val="20"/>
              </w:rPr>
              <w:t xml:space="preserve">– </w:t>
            </w:r>
            <w:proofErr w:type="spellStart"/>
            <w:r w:rsidR="00EC0D6C" w:rsidRPr="00EC0D6C">
              <w:rPr>
                <w:sz w:val="20"/>
                <w:szCs w:val="20"/>
                <w:lang w:val="en-US"/>
              </w:rPr>
              <w:t>nach</w:t>
            </w:r>
            <w:proofErr w:type="spellEnd"/>
            <w:r w:rsidR="00EC0D6C" w:rsidRPr="00EC0D6C">
              <w:rPr>
                <w:sz w:val="20"/>
                <w:szCs w:val="20"/>
                <w:lang w:val="en-US"/>
              </w:rPr>
              <w:t xml:space="preserve"> </w:t>
            </w:r>
            <w:proofErr w:type="spellStart"/>
            <w:r w:rsidR="00EC0D6C" w:rsidRPr="00EC0D6C">
              <w:rPr>
                <w:sz w:val="20"/>
                <w:szCs w:val="20"/>
                <w:lang w:val="en-US"/>
              </w:rPr>
              <w:t>Auffassung</w:t>
            </w:r>
            <w:proofErr w:type="spellEnd"/>
            <w:r w:rsidR="00EC0D6C" w:rsidRPr="00EC0D6C">
              <w:rPr>
                <w:sz w:val="20"/>
                <w:szCs w:val="20"/>
                <w:lang w:val="en-US"/>
              </w:rPr>
              <w:t xml:space="preserve"> der </w:t>
            </w:r>
            <w:proofErr w:type="spellStart"/>
            <w:r w:rsidR="00EC0D6C" w:rsidRPr="00EC0D6C">
              <w:rPr>
                <w:sz w:val="20"/>
                <w:szCs w:val="20"/>
                <w:lang w:val="en-US"/>
              </w:rPr>
              <w:t>Verteidigung</w:t>
            </w:r>
            <w:proofErr w:type="spellEnd"/>
            <w:r w:rsidR="00EC0D6C" w:rsidRPr="00EC0D6C">
              <w:rPr>
                <w:sz w:val="20"/>
                <w:szCs w:val="20"/>
                <w:lang w:val="en-US"/>
              </w:rPr>
              <w:t xml:space="preserve"> </w:t>
            </w:r>
            <w:r w:rsidR="00EC0D6C">
              <w:rPr>
                <w:sz w:val="20"/>
                <w:szCs w:val="20"/>
                <w:lang w:val="en-US"/>
              </w:rPr>
              <w:t xml:space="preserve">– </w:t>
            </w:r>
            <w:r w:rsidRPr="004668E2">
              <w:rPr>
                <w:sz w:val="20"/>
                <w:szCs w:val="20"/>
              </w:rPr>
              <w:t xml:space="preserve">in der Berufsfreiheit aus, welche auch öffentliche Ämter umfasse. </w:t>
            </w:r>
            <w:r>
              <w:rPr>
                <w:sz w:val="20"/>
                <w:szCs w:val="20"/>
                <w:lang w:val="en-US"/>
              </w:rPr>
              <w:t>Sie</w:t>
            </w:r>
            <w:r w:rsidRPr="004668E2">
              <w:rPr>
                <w:sz w:val="20"/>
                <w:szCs w:val="20"/>
                <w:lang w:val="en-US"/>
              </w:rPr>
              <w:t xml:space="preserve"> </w:t>
            </w:r>
            <w:proofErr w:type="spellStart"/>
            <w:r w:rsidRPr="004668E2">
              <w:rPr>
                <w:sz w:val="20"/>
                <w:szCs w:val="20"/>
                <w:lang w:val="en-US"/>
              </w:rPr>
              <w:t>schütz</w:t>
            </w:r>
            <w:r>
              <w:rPr>
                <w:sz w:val="20"/>
                <w:szCs w:val="20"/>
                <w:lang w:val="en-US"/>
              </w:rPr>
              <w:t>ten</w:t>
            </w:r>
            <w:proofErr w:type="spellEnd"/>
            <w:r w:rsidRPr="004668E2">
              <w:rPr>
                <w:sz w:val="20"/>
                <w:szCs w:val="20"/>
                <w:lang w:val="en-US"/>
              </w:rPr>
              <w:t xml:space="preserve"> </w:t>
            </w:r>
            <w:proofErr w:type="spellStart"/>
            <w:r w:rsidRPr="004668E2">
              <w:rPr>
                <w:sz w:val="20"/>
                <w:szCs w:val="20"/>
                <w:lang w:val="en-US"/>
              </w:rPr>
              <w:t>gegen</w:t>
            </w:r>
            <w:proofErr w:type="spellEnd"/>
            <w:r w:rsidRPr="004668E2">
              <w:rPr>
                <w:sz w:val="20"/>
                <w:szCs w:val="20"/>
                <w:lang w:val="en-US"/>
              </w:rPr>
              <w:t xml:space="preserve"> </w:t>
            </w:r>
            <w:proofErr w:type="spellStart"/>
            <w:r w:rsidRPr="004668E2">
              <w:rPr>
                <w:sz w:val="20"/>
                <w:szCs w:val="20"/>
                <w:lang w:val="en-US"/>
              </w:rPr>
              <w:t>Entzug</w:t>
            </w:r>
            <w:proofErr w:type="spellEnd"/>
            <w:r>
              <w:rPr>
                <w:sz w:val="20"/>
                <w:szCs w:val="20"/>
                <w:lang w:val="en-US"/>
              </w:rPr>
              <w:t xml:space="preserve"> </w:t>
            </w:r>
            <w:proofErr w:type="spellStart"/>
            <w:r>
              <w:rPr>
                <w:sz w:val="20"/>
                <w:szCs w:val="20"/>
                <w:lang w:val="en-US"/>
              </w:rPr>
              <w:t>d</w:t>
            </w:r>
            <w:r w:rsidR="00EC0D6C">
              <w:rPr>
                <w:sz w:val="20"/>
                <w:szCs w:val="20"/>
                <w:lang w:val="en-US"/>
              </w:rPr>
              <w:t>ieser</w:t>
            </w:r>
            <w:proofErr w:type="spellEnd"/>
            <w:r w:rsidR="00EC0D6C">
              <w:rPr>
                <w:sz w:val="20"/>
                <w:szCs w:val="20"/>
                <w:lang w:val="en-US"/>
              </w:rPr>
              <w:t xml:space="preserve"> Form der</w:t>
            </w:r>
            <w:r>
              <w:rPr>
                <w:sz w:val="20"/>
                <w:szCs w:val="20"/>
                <w:lang w:val="en-US"/>
              </w:rPr>
              <w:t xml:space="preserve"> </w:t>
            </w:r>
            <w:proofErr w:type="spellStart"/>
            <w:r>
              <w:rPr>
                <w:sz w:val="20"/>
                <w:szCs w:val="20"/>
                <w:lang w:val="en-US"/>
              </w:rPr>
              <w:t>Berufsfreiheit</w:t>
            </w:r>
            <w:proofErr w:type="spellEnd"/>
            <w:r w:rsidRPr="004668E2">
              <w:rPr>
                <w:sz w:val="20"/>
                <w:szCs w:val="20"/>
                <w:lang w:val="en-US"/>
              </w:rPr>
              <w:t xml:space="preserve">, der </w:t>
            </w:r>
            <w:proofErr w:type="spellStart"/>
            <w:r w:rsidRPr="004668E2">
              <w:rPr>
                <w:sz w:val="20"/>
                <w:szCs w:val="20"/>
                <w:lang w:val="en-US"/>
              </w:rPr>
              <w:t>damit</w:t>
            </w:r>
            <w:proofErr w:type="spellEnd"/>
            <w:r w:rsidRPr="004668E2">
              <w:rPr>
                <w:sz w:val="20"/>
                <w:szCs w:val="20"/>
                <w:lang w:val="en-US"/>
              </w:rPr>
              <w:t xml:space="preserve"> </w:t>
            </w:r>
            <w:proofErr w:type="spellStart"/>
            <w:r w:rsidRPr="004668E2">
              <w:rPr>
                <w:sz w:val="20"/>
                <w:szCs w:val="20"/>
                <w:lang w:val="en-US"/>
              </w:rPr>
              <w:t>grundsätzlich</w:t>
            </w:r>
            <w:proofErr w:type="spellEnd"/>
            <w:r w:rsidRPr="004668E2">
              <w:rPr>
                <w:sz w:val="20"/>
                <w:szCs w:val="20"/>
                <w:lang w:val="en-US"/>
              </w:rPr>
              <w:t xml:space="preserve"> verboten </w:t>
            </w:r>
            <w:r>
              <w:rPr>
                <w:sz w:val="20"/>
                <w:szCs w:val="20"/>
                <w:lang w:val="en-US"/>
              </w:rPr>
              <w:t>sei</w:t>
            </w:r>
            <w:r w:rsidRPr="004668E2">
              <w:rPr>
                <w:sz w:val="20"/>
                <w:szCs w:val="20"/>
                <w:lang w:val="en-US"/>
              </w:rPr>
              <w:t xml:space="preserve"> („the pursuit of happiness, including therein the enjoyment of honors and the occupation of positions of public trust and emolument, is </w:t>
            </w:r>
            <w:proofErr w:type="gramStart"/>
            <w:r w:rsidRPr="004668E2">
              <w:rPr>
                <w:sz w:val="20"/>
                <w:szCs w:val="20"/>
                <w:lang w:val="en-US"/>
              </w:rPr>
              <w:t>forbidden“</w:t>
            </w:r>
            <w:proofErr w:type="gramEnd"/>
            <w:r w:rsidRPr="004668E2">
              <w:rPr>
                <w:sz w:val="20"/>
                <w:szCs w:val="20"/>
                <w:vertAlign w:val="superscript"/>
              </w:rPr>
              <w:footnoteReference w:id="2299"/>
            </w:r>
            <w:r w:rsidRPr="004668E2">
              <w:rPr>
                <w:sz w:val="20"/>
                <w:szCs w:val="20"/>
                <w:lang w:val="en-US"/>
              </w:rPr>
              <w:t xml:space="preserve">). </w:t>
            </w:r>
            <w:r w:rsidRPr="004668E2">
              <w:rPr>
                <w:sz w:val="20"/>
                <w:szCs w:val="20"/>
              </w:rPr>
              <w:t xml:space="preserve">Diese Betroffenheit eines unveräußerlichen Rechts </w:t>
            </w:r>
            <w:r>
              <w:rPr>
                <w:sz w:val="20"/>
                <w:szCs w:val="20"/>
              </w:rPr>
              <w:t>werde</w:t>
            </w:r>
            <w:r w:rsidRPr="004668E2">
              <w:rPr>
                <w:sz w:val="20"/>
                <w:szCs w:val="20"/>
              </w:rPr>
              <w:t xml:space="preserve"> aber </w:t>
            </w:r>
            <w:r>
              <w:rPr>
                <w:sz w:val="20"/>
                <w:szCs w:val="20"/>
              </w:rPr>
              <w:t>von der</w:t>
            </w:r>
            <w:r w:rsidRPr="004668E2">
              <w:rPr>
                <w:sz w:val="20"/>
                <w:szCs w:val="20"/>
              </w:rPr>
              <w:t xml:space="preserv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Pr>
                <w:sz w:val="20"/>
                <w:szCs w:val="20"/>
              </w:rPr>
              <w:t xml:space="preserve"> übersehen</w:t>
            </w:r>
            <w:r w:rsidRPr="004668E2">
              <w:rPr>
                <w:sz w:val="20"/>
                <w:szCs w:val="20"/>
              </w:rPr>
              <w:t>.</w:t>
            </w:r>
            <w:r w:rsidRPr="004668E2">
              <w:rPr>
                <w:sz w:val="20"/>
                <w:szCs w:val="20"/>
                <w:vertAlign w:val="superscript"/>
              </w:rPr>
              <w:footnoteReference w:id="2300"/>
            </w:r>
          </w:p>
          <w:p w14:paraId="23335F8F" w14:textId="77777777" w:rsidR="00074551" w:rsidRPr="004668E2" w:rsidRDefault="00074551" w:rsidP="00367133">
            <w:pPr>
              <w:jc w:val="both"/>
              <w:rPr>
                <w:sz w:val="20"/>
                <w:szCs w:val="20"/>
              </w:rPr>
            </w:pPr>
          </w:p>
        </w:tc>
      </w:tr>
      <w:tr w:rsidR="00074551" w:rsidRPr="004F6665" w14:paraId="52BECB14" w14:textId="77777777" w:rsidTr="00BE689F">
        <w:trPr>
          <w:cantSplit/>
          <w:trHeight w:val="3175"/>
        </w:trPr>
        <w:tc>
          <w:tcPr>
            <w:tcW w:w="293" w:type="pct"/>
          </w:tcPr>
          <w:p w14:paraId="7D37495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4D05C940" w14:textId="77777777" w:rsidR="00074551" w:rsidRPr="00B45592" w:rsidRDefault="00074551" w:rsidP="00367133">
            <w:pPr>
              <w:ind w:left="113" w:right="416"/>
              <w:jc w:val="both"/>
              <w:rPr>
                <w:i/>
                <w:sz w:val="20"/>
                <w:szCs w:val="20"/>
              </w:rPr>
            </w:pPr>
            <w:r w:rsidRPr="00B45592">
              <w:rPr>
                <w:i/>
                <w:sz w:val="20"/>
                <w:szCs w:val="20"/>
              </w:rPr>
              <w:t>United States v. Reese</w:t>
            </w:r>
          </w:p>
        </w:tc>
        <w:tc>
          <w:tcPr>
            <w:tcW w:w="197" w:type="pct"/>
            <w:textDirection w:val="tbRl"/>
            <w:vAlign w:val="center"/>
          </w:tcPr>
          <w:p w14:paraId="72068812" w14:textId="77777777" w:rsidR="00074551" w:rsidRPr="00E50B51" w:rsidRDefault="00074551" w:rsidP="00367133">
            <w:pPr>
              <w:ind w:left="113" w:right="113"/>
              <w:jc w:val="both"/>
              <w:rPr>
                <w:sz w:val="20"/>
                <w:szCs w:val="20"/>
                <w:lang w:val="en-US"/>
              </w:rPr>
            </w:pPr>
            <w:r w:rsidRPr="00E50B51">
              <w:rPr>
                <w:sz w:val="20"/>
                <w:szCs w:val="20"/>
                <w:lang w:val="en-US"/>
              </w:rPr>
              <w:t>92 U.S. 214</w:t>
            </w:r>
          </w:p>
        </w:tc>
        <w:tc>
          <w:tcPr>
            <w:tcW w:w="306" w:type="pct"/>
            <w:textDirection w:val="tbRl"/>
            <w:vAlign w:val="center"/>
          </w:tcPr>
          <w:p w14:paraId="7F9F02FC" w14:textId="77777777" w:rsidR="00074551" w:rsidRPr="00E50B51" w:rsidRDefault="00074551" w:rsidP="00367133">
            <w:pPr>
              <w:ind w:left="113" w:right="113"/>
              <w:jc w:val="both"/>
              <w:rPr>
                <w:sz w:val="20"/>
                <w:szCs w:val="20"/>
              </w:rPr>
            </w:pPr>
            <w:r w:rsidRPr="00E50B51">
              <w:rPr>
                <w:sz w:val="20"/>
                <w:szCs w:val="20"/>
              </w:rPr>
              <w:t>27. März 1878</w:t>
            </w:r>
          </w:p>
        </w:tc>
        <w:tc>
          <w:tcPr>
            <w:tcW w:w="401" w:type="pct"/>
          </w:tcPr>
          <w:p w14:paraId="124285B2" w14:textId="77777777" w:rsidR="00074551" w:rsidRPr="00E50B51" w:rsidRDefault="00074551" w:rsidP="00367133">
            <w:pPr>
              <w:jc w:val="center"/>
              <w:rPr>
                <w:iCs/>
                <w:sz w:val="20"/>
                <w:szCs w:val="20"/>
              </w:rPr>
            </w:pPr>
            <w:r w:rsidRPr="00E50B51">
              <w:rPr>
                <w:sz w:val="20"/>
                <w:szCs w:val="20"/>
              </w:rPr>
              <w:t>D</w:t>
            </w:r>
          </w:p>
        </w:tc>
        <w:tc>
          <w:tcPr>
            <w:tcW w:w="1594" w:type="pct"/>
          </w:tcPr>
          <w:p w14:paraId="1D0FB2CA" w14:textId="50A8971D" w:rsidR="00074551" w:rsidRPr="00E50B51" w:rsidRDefault="00074551" w:rsidP="00367133">
            <w:pPr>
              <w:jc w:val="both"/>
              <w:rPr>
                <w:sz w:val="20"/>
                <w:szCs w:val="20"/>
              </w:rPr>
            </w:pPr>
            <w:r w:rsidRPr="00E50B51">
              <w:rPr>
                <w:sz w:val="20"/>
                <w:szCs w:val="20"/>
              </w:rPr>
              <w:t xml:space="preserve">Im Fall bestätigte der </w:t>
            </w:r>
            <w:r>
              <w:rPr>
                <w:sz w:val="20"/>
                <w:szCs w:val="20"/>
              </w:rPr>
              <w:t>U.S. Supreme Court</w:t>
            </w:r>
            <w:r w:rsidRPr="00E50B51">
              <w:rPr>
                <w:sz w:val="20"/>
                <w:szCs w:val="20"/>
              </w:rPr>
              <w:t xml:space="preserve"> das Urteil des Berufungsgerichts zugunsten der beklagten Wahlinspektoren. Zunächst hatte die Staatsanwaltschaft geklagt und Berufung eingelegt, weil sie meinte,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E50B51">
              <w:rPr>
                <w:sz w:val="20"/>
                <w:szCs w:val="20"/>
              </w:rPr>
              <w:t xml:space="preserve"> regle eine Strafe für den Fall, wo Wahlprüfer ablehnten, Stimmen zu zählen, die Wähler einer bestimmten Rasse ab</w:t>
            </w:r>
            <w:r>
              <w:rPr>
                <w:sz w:val="20"/>
                <w:szCs w:val="20"/>
              </w:rPr>
              <w:t>gegeben hatten</w:t>
            </w:r>
            <w:r w:rsidRPr="00E50B51">
              <w:rPr>
                <w:sz w:val="20"/>
                <w:szCs w:val="20"/>
              </w:rPr>
              <w:t xml:space="preserve">. Die beklagten Wahlprüfer argumentierten, dass weder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E50B51">
              <w:rPr>
                <w:sz w:val="20"/>
                <w:szCs w:val="20"/>
              </w:rPr>
              <w:t xml:space="preserve"> noch die einfachen Gesetze wie 16 Stat. 140 §</w:t>
            </w:r>
            <w:r>
              <w:rPr>
                <w:sz w:val="20"/>
                <w:szCs w:val="20"/>
              </w:rPr>
              <w:t>§ </w:t>
            </w:r>
            <w:r w:rsidRPr="00E50B51">
              <w:rPr>
                <w:sz w:val="20"/>
                <w:szCs w:val="20"/>
              </w:rPr>
              <w:t>2 und 3</w:t>
            </w:r>
            <w:r>
              <w:rPr>
                <w:rStyle w:val="Funotenzeichen"/>
                <w:sz w:val="20"/>
                <w:szCs w:val="20"/>
              </w:rPr>
              <w:footnoteReference w:id="2301"/>
            </w:r>
            <w:r w:rsidRPr="00E50B51">
              <w:rPr>
                <w:sz w:val="20"/>
                <w:szCs w:val="20"/>
              </w:rPr>
              <w:t xml:space="preserve"> Strafen für diese Ablehnung regel</w:t>
            </w:r>
            <w:r>
              <w:rPr>
                <w:sz w:val="20"/>
                <w:szCs w:val="20"/>
              </w:rPr>
              <w:t>te</w:t>
            </w:r>
            <w:r w:rsidRPr="00E50B51">
              <w:rPr>
                <w:sz w:val="20"/>
                <w:szCs w:val="20"/>
              </w:rPr>
              <w:t xml:space="preserve">n. Der </w:t>
            </w:r>
            <w:r>
              <w:rPr>
                <w:sz w:val="20"/>
                <w:szCs w:val="20"/>
              </w:rPr>
              <w:t>U.S. Supreme Court</w:t>
            </w:r>
            <w:r w:rsidRPr="00E50B51">
              <w:rPr>
                <w:sz w:val="20"/>
                <w:szCs w:val="20"/>
              </w:rPr>
              <w:t xml:space="preserve"> bestätigte </w:t>
            </w:r>
            <w:r>
              <w:rPr>
                <w:sz w:val="20"/>
                <w:szCs w:val="20"/>
              </w:rPr>
              <w:t>L</w:t>
            </w:r>
            <w:r w:rsidRPr="00E50B51">
              <w:rPr>
                <w:sz w:val="20"/>
                <w:szCs w:val="20"/>
              </w:rPr>
              <w:t xml:space="preserve">etzteres. Er meinte, er könne weder den Verfassungswortlaut noch die einfachen Gesetze derart erweitern, um die Strafbarkeitslücke zu schließen. Zwar </w:t>
            </w:r>
            <w:r>
              <w:rPr>
                <w:sz w:val="20"/>
                <w:szCs w:val="20"/>
              </w:rPr>
              <w:t>enthielten</w:t>
            </w:r>
            <w:r w:rsidRPr="00E50B51">
              <w:rPr>
                <w:sz w:val="20"/>
                <w:szCs w:val="20"/>
              </w:rPr>
              <w:t xml:space="preserve"> sowohl das einfache Gesetz als auch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E50B51">
              <w:rPr>
                <w:sz w:val="20"/>
                <w:szCs w:val="20"/>
              </w:rPr>
              <w:t xml:space="preserve"> die Befreiung von Diskriminierung bei Wahlen („</w:t>
            </w:r>
            <w:proofErr w:type="spellStart"/>
            <w:r w:rsidRPr="00E50B51">
              <w:rPr>
                <w:sz w:val="20"/>
                <w:szCs w:val="20"/>
              </w:rPr>
              <w:t>exemption</w:t>
            </w:r>
            <w:proofErr w:type="spellEnd"/>
            <w:r w:rsidRPr="00E50B51">
              <w:rPr>
                <w:sz w:val="20"/>
                <w:szCs w:val="20"/>
              </w:rPr>
              <w:t xml:space="preserve"> </w:t>
            </w:r>
            <w:proofErr w:type="spellStart"/>
            <w:r w:rsidRPr="00E50B51">
              <w:rPr>
                <w:sz w:val="20"/>
                <w:szCs w:val="20"/>
              </w:rPr>
              <w:t>from</w:t>
            </w:r>
            <w:proofErr w:type="spellEnd"/>
            <w:r w:rsidRPr="00E50B51">
              <w:rPr>
                <w:sz w:val="20"/>
                <w:szCs w:val="20"/>
              </w:rPr>
              <w:t xml:space="preserve"> </w:t>
            </w:r>
            <w:proofErr w:type="spellStart"/>
            <w:r w:rsidRPr="00E50B51">
              <w:rPr>
                <w:sz w:val="20"/>
                <w:szCs w:val="20"/>
              </w:rPr>
              <w:t>discrimination</w:t>
            </w:r>
            <w:proofErr w:type="spellEnd"/>
            <w:r w:rsidRPr="00E50B51">
              <w:rPr>
                <w:sz w:val="20"/>
                <w:szCs w:val="20"/>
              </w:rPr>
              <w:t>“</w:t>
            </w:r>
            <w:r w:rsidRPr="5B67C1D2">
              <w:rPr>
                <w:rStyle w:val="Funotenzeichen"/>
                <w:rFonts w:eastAsiaTheme="majorEastAsia"/>
                <w:sz w:val="20"/>
                <w:szCs w:val="20"/>
              </w:rPr>
              <w:footnoteReference w:id="2302"/>
            </w:r>
            <w:r w:rsidRPr="00E50B51">
              <w:rPr>
                <w:sz w:val="20"/>
                <w:szCs w:val="20"/>
              </w:rPr>
              <w:t xml:space="preserve">), nicht aber das </w:t>
            </w:r>
            <w:r>
              <w:rPr>
                <w:sz w:val="20"/>
                <w:szCs w:val="20"/>
              </w:rPr>
              <w:t>Recht zu wählen</w:t>
            </w:r>
            <w:r w:rsidRPr="00E50B51">
              <w:rPr>
                <w:sz w:val="20"/>
                <w:szCs w:val="20"/>
              </w:rPr>
              <w:t>.</w:t>
            </w:r>
            <w:r w:rsidRPr="5B67C1D2">
              <w:rPr>
                <w:rStyle w:val="Funotenzeichen"/>
                <w:rFonts w:eastAsiaTheme="majorEastAsia"/>
                <w:sz w:val="20"/>
                <w:szCs w:val="20"/>
                <w:lang w:val="en-US"/>
              </w:rPr>
              <w:footnoteReference w:id="2303"/>
            </w:r>
            <w:r w:rsidRPr="00E50B51">
              <w:rPr>
                <w:sz w:val="20"/>
                <w:szCs w:val="20"/>
              </w:rPr>
              <w:t xml:space="preserve"> Und wenn dennoch diskriminiert w</w:t>
            </w:r>
            <w:r>
              <w:rPr>
                <w:sz w:val="20"/>
                <w:szCs w:val="20"/>
              </w:rPr>
              <w:t>e</w:t>
            </w:r>
            <w:r w:rsidRPr="00E50B51">
              <w:rPr>
                <w:sz w:val="20"/>
                <w:szCs w:val="20"/>
              </w:rPr>
              <w:t>rde, dann regel</w:t>
            </w:r>
            <w:r>
              <w:rPr>
                <w:sz w:val="20"/>
                <w:szCs w:val="20"/>
              </w:rPr>
              <w:t>e</w:t>
            </w:r>
            <w:r w:rsidRPr="00E50B51">
              <w:rPr>
                <w:sz w:val="20"/>
                <w:szCs w:val="20"/>
              </w:rPr>
              <w:t xml:space="preserve"> weder das einfache Gesetz noch ein Amendment eine Strafe. Würde der </w:t>
            </w:r>
            <w:r>
              <w:rPr>
                <w:sz w:val="20"/>
                <w:szCs w:val="20"/>
              </w:rPr>
              <w:t>U.S. Supreme Court</w:t>
            </w:r>
            <w:r w:rsidRPr="00E50B51">
              <w:rPr>
                <w:sz w:val="20"/>
                <w:szCs w:val="20"/>
              </w:rPr>
              <w:t xml:space="preserve"> nun eine Strafe ausurteilen, dann </w:t>
            </w:r>
            <w:r>
              <w:rPr>
                <w:sz w:val="20"/>
                <w:szCs w:val="20"/>
              </w:rPr>
              <w:t xml:space="preserve">würde </w:t>
            </w:r>
            <w:r w:rsidRPr="00E50B51">
              <w:rPr>
                <w:sz w:val="20"/>
                <w:szCs w:val="20"/>
              </w:rPr>
              <w:t>er kein Gesetz an</w:t>
            </w:r>
            <w:r>
              <w:rPr>
                <w:sz w:val="20"/>
                <w:szCs w:val="20"/>
              </w:rPr>
              <w:t>wenden</w:t>
            </w:r>
            <w:r w:rsidRPr="00E50B51">
              <w:rPr>
                <w:sz w:val="20"/>
                <w:szCs w:val="20"/>
              </w:rPr>
              <w:t xml:space="preserve">, sondern vielmehr </w:t>
            </w:r>
            <w:proofErr w:type="gramStart"/>
            <w:r w:rsidRPr="00E50B51">
              <w:rPr>
                <w:sz w:val="20"/>
                <w:szCs w:val="20"/>
              </w:rPr>
              <w:t>ein neues</w:t>
            </w:r>
            <w:r>
              <w:rPr>
                <w:sz w:val="20"/>
                <w:szCs w:val="20"/>
              </w:rPr>
              <w:t xml:space="preserve"> </w:t>
            </w:r>
            <w:r w:rsidRPr="00E50B51">
              <w:rPr>
                <w:sz w:val="20"/>
                <w:szCs w:val="20"/>
              </w:rPr>
              <w:t>schaffe</w:t>
            </w:r>
            <w:r>
              <w:rPr>
                <w:sz w:val="20"/>
                <w:szCs w:val="20"/>
              </w:rPr>
              <w:t>n</w:t>
            </w:r>
            <w:proofErr w:type="gramEnd"/>
            <w:r w:rsidRPr="00E50B51">
              <w:rPr>
                <w:sz w:val="20"/>
                <w:szCs w:val="20"/>
              </w:rPr>
              <w:t xml:space="preserve">. Doch dies obliege nicht der Judikative, sondern der Legislative. Indes habe der Kongress als Legislative bisweilen keine Strafe für das angeklagte Verhalten </w:t>
            </w:r>
            <w:r w:rsidRPr="004368A2">
              <w:rPr>
                <w:sz w:val="20"/>
                <w:szCs w:val="20"/>
              </w:rPr>
              <w:t>geregelt.</w:t>
            </w:r>
            <w:r w:rsidRPr="004368A2">
              <w:rPr>
                <w:rStyle w:val="Funotenzeichen"/>
                <w:sz w:val="20"/>
                <w:szCs w:val="20"/>
              </w:rPr>
              <w:footnoteReference w:id="2304"/>
            </w:r>
          </w:p>
          <w:p w14:paraId="7E4AC0E7" w14:textId="77777777" w:rsidR="00074551" w:rsidRPr="00F2642D" w:rsidRDefault="00074551" w:rsidP="00367133">
            <w:pPr>
              <w:jc w:val="both"/>
              <w:rPr>
                <w:sz w:val="20"/>
                <w:szCs w:val="20"/>
              </w:rPr>
            </w:pPr>
          </w:p>
        </w:tc>
        <w:tc>
          <w:tcPr>
            <w:tcW w:w="1822" w:type="pct"/>
          </w:tcPr>
          <w:p w14:paraId="14D74FBD" w14:textId="733566D2" w:rsidR="00074551" w:rsidRPr="00B45592" w:rsidRDefault="00074551" w:rsidP="00367133">
            <w:pPr>
              <w:jc w:val="both"/>
              <w:rPr>
                <w:sz w:val="20"/>
                <w:szCs w:val="20"/>
                <w:lang w:val="en-IE"/>
              </w:rPr>
            </w:pPr>
            <w:r w:rsidRPr="00CB4067">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CB4067">
              <w:rPr>
                <w:sz w:val="20"/>
                <w:szCs w:val="20"/>
              </w:rPr>
              <w:t xml:space="preserve"> erklärt zunächst, wenn die Legislative im Rahmen ihrer Kompetenz handele, dann habe die Judikative den gesetzgeberischen Willen durchzusetzen. Denn innerhalb der Verfassungsgrenzen komme der Legislative, </w:t>
            </w:r>
            <w:r>
              <w:rPr>
                <w:sz w:val="20"/>
                <w:szCs w:val="20"/>
              </w:rPr>
              <w:t>z.B.</w:t>
            </w:r>
            <w:r w:rsidRPr="00CB4067">
              <w:rPr>
                <w:sz w:val="20"/>
                <w:szCs w:val="20"/>
              </w:rPr>
              <w:t xml:space="preserve"> dem Kongress, eine Prärogative zu. Und diese Prärogative liege außerhalb gerichtlicher Kontrolle. Wenn </w:t>
            </w:r>
            <w:r>
              <w:rPr>
                <w:sz w:val="20"/>
                <w:szCs w:val="20"/>
              </w:rPr>
              <w:t>beispielsweise</w:t>
            </w:r>
            <w:r w:rsidRPr="00CB4067">
              <w:rPr>
                <w:sz w:val="20"/>
                <w:szCs w:val="20"/>
              </w:rPr>
              <w:t xml:space="preserve"> der Kongress aber seine Kompetenz oder die verfassungsmäßigen Grenzen überschreite, dann komme der Judikative die Befugnis zu, in einem rechtsstaatlichen Verfahren das legislative Handeln zu begrenzen. Eine solche Verfassungsgrenze („</w:t>
            </w:r>
            <w:proofErr w:type="spellStart"/>
            <w:r w:rsidRPr="00CB4067">
              <w:rPr>
                <w:sz w:val="20"/>
                <w:szCs w:val="20"/>
              </w:rPr>
              <w:t>constitutional</w:t>
            </w:r>
            <w:proofErr w:type="spellEnd"/>
            <w:r w:rsidRPr="00CB4067">
              <w:rPr>
                <w:sz w:val="20"/>
                <w:szCs w:val="20"/>
              </w:rPr>
              <w:t xml:space="preserve"> </w:t>
            </w:r>
            <w:proofErr w:type="spellStart"/>
            <w:r w:rsidRPr="00CB4067">
              <w:rPr>
                <w:sz w:val="20"/>
                <w:szCs w:val="20"/>
              </w:rPr>
              <w:t>limitations</w:t>
            </w:r>
            <w:proofErr w:type="spellEnd"/>
            <w:r w:rsidRPr="00CB4067">
              <w:rPr>
                <w:sz w:val="20"/>
                <w:szCs w:val="20"/>
              </w:rPr>
              <w:t>“</w:t>
            </w:r>
            <w:r w:rsidRPr="00CB4067">
              <w:rPr>
                <w:sz w:val="20"/>
                <w:szCs w:val="20"/>
                <w:vertAlign w:val="superscript"/>
              </w:rPr>
              <w:footnoteReference w:id="2305"/>
            </w:r>
            <w:r w:rsidRPr="00CB4067">
              <w:rPr>
                <w:sz w:val="20"/>
                <w:szCs w:val="20"/>
              </w:rPr>
              <w:t xml:space="preserve">) für die Legislative ziehe das Wahlrecht, so </w:t>
            </w:r>
            <w:r>
              <w:rPr>
                <w:sz w:val="20"/>
                <w:szCs w:val="20"/>
              </w:rPr>
              <w:t xml:space="preserve">erläutert </w:t>
            </w:r>
            <w:r w:rsidRPr="00CB4067">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CB4067">
              <w:rPr>
                <w:sz w:val="20"/>
                <w:szCs w:val="20"/>
              </w:rPr>
              <w:t>, aber auch der Dissens. Letzterer stimmt sogar mit dem Urteilsergebnis überein, aber er ergänzt die Begründung rechtshistorisch und trägt somit zum Verständnis des Rechts auf ein Streben nach Glück bei. Der Dissens ordnet das Wahlrecht als eine Bedingung für Glücksstreben ein: Denn historisch gewähre der Kongress den befreiten Sklaven zur politischen Gleichstellung („</w:t>
            </w:r>
            <w:proofErr w:type="spellStart"/>
            <w:r w:rsidRPr="00CB4067">
              <w:rPr>
                <w:sz w:val="20"/>
                <w:szCs w:val="20"/>
              </w:rPr>
              <w:t>creating</w:t>
            </w:r>
            <w:proofErr w:type="spellEnd"/>
            <w:r w:rsidRPr="00CB4067">
              <w:rPr>
                <w:sz w:val="20"/>
                <w:szCs w:val="20"/>
              </w:rPr>
              <w:t xml:space="preserve"> a </w:t>
            </w:r>
            <w:proofErr w:type="spellStart"/>
            <w:r w:rsidRPr="00CB4067">
              <w:rPr>
                <w:sz w:val="20"/>
                <w:szCs w:val="20"/>
              </w:rPr>
              <w:t>political</w:t>
            </w:r>
            <w:proofErr w:type="spellEnd"/>
            <w:r w:rsidRPr="00CB4067">
              <w:rPr>
                <w:sz w:val="20"/>
                <w:szCs w:val="20"/>
              </w:rPr>
              <w:t xml:space="preserve"> </w:t>
            </w:r>
            <w:proofErr w:type="spellStart"/>
            <w:r w:rsidRPr="00CB4067">
              <w:rPr>
                <w:sz w:val="20"/>
                <w:szCs w:val="20"/>
              </w:rPr>
              <w:t>equality</w:t>
            </w:r>
            <w:proofErr w:type="spellEnd"/>
            <w:r w:rsidRPr="00CB4067">
              <w:rPr>
                <w:sz w:val="20"/>
                <w:szCs w:val="20"/>
              </w:rPr>
              <w:t>“</w:t>
            </w:r>
            <w:r w:rsidRPr="00CB4067">
              <w:rPr>
                <w:sz w:val="20"/>
                <w:szCs w:val="20"/>
                <w:vertAlign w:val="superscript"/>
              </w:rPr>
              <w:t xml:space="preserve"> </w:t>
            </w:r>
            <w:r w:rsidRPr="00CB4067">
              <w:rPr>
                <w:sz w:val="20"/>
                <w:szCs w:val="20"/>
                <w:vertAlign w:val="superscript"/>
              </w:rPr>
              <w:footnoteReference w:id="2306"/>
            </w:r>
            <w:r w:rsidRPr="00CB4067">
              <w:rPr>
                <w:sz w:val="20"/>
                <w:szCs w:val="20"/>
              </w:rPr>
              <w:t>) das größte aller Rechte einer freiheitlichen Gesellschaft, nämlich das Wahlrecht („</w:t>
            </w:r>
            <w:proofErr w:type="spellStart"/>
            <w:r w:rsidRPr="00CB4067">
              <w:rPr>
                <w:sz w:val="20"/>
                <w:szCs w:val="20"/>
              </w:rPr>
              <w:t>greatest</w:t>
            </w:r>
            <w:proofErr w:type="spellEnd"/>
            <w:r w:rsidRPr="00CB4067">
              <w:rPr>
                <w:sz w:val="20"/>
                <w:szCs w:val="20"/>
              </w:rPr>
              <w:t xml:space="preserve"> of </w:t>
            </w:r>
            <w:proofErr w:type="spellStart"/>
            <w:r w:rsidRPr="00CB4067">
              <w:rPr>
                <w:sz w:val="20"/>
                <w:szCs w:val="20"/>
              </w:rPr>
              <w:t>rights</w:t>
            </w:r>
            <w:proofErr w:type="spellEnd"/>
            <w:r w:rsidRPr="00CB4067">
              <w:rPr>
                <w:sz w:val="20"/>
                <w:szCs w:val="20"/>
              </w:rPr>
              <w:t xml:space="preserve"> </w:t>
            </w:r>
            <w:proofErr w:type="spellStart"/>
            <w:r w:rsidRPr="00CB4067">
              <w:rPr>
                <w:sz w:val="20"/>
                <w:szCs w:val="20"/>
              </w:rPr>
              <w:t>among</w:t>
            </w:r>
            <w:proofErr w:type="spellEnd"/>
            <w:r w:rsidRPr="00CB4067">
              <w:rPr>
                <w:sz w:val="20"/>
                <w:szCs w:val="20"/>
              </w:rPr>
              <w:t xml:space="preserve"> </w:t>
            </w:r>
            <w:proofErr w:type="spellStart"/>
            <w:r w:rsidRPr="00CB4067">
              <w:rPr>
                <w:sz w:val="20"/>
                <w:szCs w:val="20"/>
              </w:rPr>
              <w:t>freemen</w:t>
            </w:r>
            <w:proofErr w:type="spellEnd"/>
            <w:r w:rsidRPr="00CB4067">
              <w:rPr>
                <w:sz w:val="20"/>
                <w:szCs w:val="20"/>
              </w:rPr>
              <w:t xml:space="preserve">, -- the </w:t>
            </w:r>
            <w:proofErr w:type="spellStart"/>
            <w:r w:rsidRPr="00CB4067">
              <w:rPr>
                <w:sz w:val="20"/>
                <w:szCs w:val="20"/>
              </w:rPr>
              <w:t>ballot</w:t>
            </w:r>
            <w:proofErr w:type="spellEnd"/>
            <w:r w:rsidRPr="00CB4067">
              <w:rPr>
                <w:sz w:val="20"/>
                <w:szCs w:val="20"/>
              </w:rPr>
              <w:t>“</w:t>
            </w:r>
            <w:r w:rsidRPr="00CB4067">
              <w:rPr>
                <w:sz w:val="20"/>
                <w:szCs w:val="20"/>
                <w:vertAlign w:val="superscript"/>
              </w:rPr>
              <w:footnoteReference w:id="2307"/>
            </w:r>
            <w:r w:rsidRPr="00CB4067">
              <w:rPr>
                <w:sz w:val="20"/>
                <w:szCs w:val="20"/>
              </w:rPr>
              <w:t xml:space="preserve">). Nur so </w:t>
            </w:r>
            <w:r>
              <w:rPr>
                <w:sz w:val="20"/>
                <w:szCs w:val="20"/>
              </w:rPr>
              <w:t>seien</w:t>
            </w:r>
            <w:r w:rsidRPr="00CB4067">
              <w:rPr>
                <w:sz w:val="20"/>
                <w:szCs w:val="20"/>
              </w:rPr>
              <w:t xml:space="preserve"> sie am wirksamsten in ihrem Recht geschützt, nunmehr gleichberechtigt nach Glück streben zu können („</w:t>
            </w:r>
            <w:proofErr w:type="spellStart"/>
            <w:r w:rsidRPr="00CB4067">
              <w:rPr>
                <w:sz w:val="20"/>
                <w:szCs w:val="20"/>
              </w:rPr>
              <w:t>most</w:t>
            </w:r>
            <w:proofErr w:type="spellEnd"/>
            <w:r w:rsidRPr="00CB4067">
              <w:rPr>
                <w:sz w:val="20"/>
                <w:szCs w:val="20"/>
              </w:rPr>
              <w:t xml:space="preserve"> </w:t>
            </w:r>
            <w:proofErr w:type="spellStart"/>
            <w:r w:rsidRPr="00CB4067">
              <w:rPr>
                <w:sz w:val="20"/>
                <w:szCs w:val="20"/>
              </w:rPr>
              <w:t>effectually</w:t>
            </w:r>
            <w:proofErr w:type="spellEnd"/>
            <w:r w:rsidRPr="00CB4067">
              <w:rPr>
                <w:sz w:val="20"/>
                <w:szCs w:val="20"/>
              </w:rPr>
              <w:t xml:space="preserve"> </w:t>
            </w:r>
            <w:proofErr w:type="spellStart"/>
            <w:r w:rsidRPr="00CB4067">
              <w:rPr>
                <w:sz w:val="20"/>
                <w:szCs w:val="20"/>
              </w:rPr>
              <w:t>secured</w:t>
            </w:r>
            <w:proofErr w:type="spellEnd"/>
            <w:r w:rsidRPr="00CB4067">
              <w:rPr>
                <w:sz w:val="20"/>
                <w:szCs w:val="20"/>
              </w:rPr>
              <w:t xml:space="preserve"> in the </w:t>
            </w:r>
            <w:proofErr w:type="spellStart"/>
            <w:r w:rsidRPr="00CB4067">
              <w:rPr>
                <w:sz w:val="20"/>
                <w:szCs w:val="20"/>
              </w:rPr>
              <w:t>protection</w:t>
            </w:r>
            <w:proofErr w:type="spellEnd"/>
            <w:r w:rsidRPr="00CB4067">
              <w:rPr>
                <w:sz w:val="20"/>
                <w:szCs w:val="20"/>
              </w:rPr>
              <w:t xml:space="preserve"> of </w:t>
            </w:r>
            <w:proofErr w:type="spellStart"/>
            <w:r w:rsidRPr="00CB4067">
              <w:rPr>
                <w:sz w:val="20"/>
                <w:szCs w:val="20"/>
              </w:rPr>
              <w:t>their</w:t>
            </w:r>
            <w:proofErr w:type="spellEnd"/>
            <w:r w:rsidRPr="00CB4067">
              <w:rPr>
                <w:sz w:val="20"/>
                <w:szCs w:val="20"/>
              </w:rPr>
              <w:t xml:space="preserve"> </w:t>
            </w:r>
            <w:proofErr w:type="spellStart"/>
            <w:r w:rsidRPr="00CB4067">
              <w:rPr>
                <w:sz w:val="20"/>
                <w:szCs w:val="20"/>
              </w:rPr>
              <w:t>rights</w:t>
            </w:r>
            <w:proofErr w:type="spellEnd"/>
            <w:r w:rsidRPr="00CB4067">
              <w:rPr>
                <w:sz w:val="20"/>
                <w:szCs w:val="20"/>
              </w:rPr>
              <w:t xml:space="preserve"> of […] the </w:t>
            </w:r>
            <w:proofErr w:type="spellStart"/>
            <w:r w:rsidRPr="00CB4067">
              <w:rPr>
                <w:sz w:val="20"/>
                <w:szCs w:val="20"/>
              </w:rPr>
              <w:t>pursuit</w:t>
            </w:r>
            <w:proofErr w:type="spellEnd"/>
            <w:r w:rsidRPr="00CB4067">
              <w:rPr>
                <w:sz w:val="20"/>
                <w:szCs w:val="20"/>
              </w:rPr>
              <w:t xml:space="preserve"> of </w:t>
            </w:r>
            <w:proofErr w:type="spellStart"/>
            <w:r w:rsidRPr="00CB4067">
              <w:rPr>
                <w:sz w:val="20"/>
                <w:szCs w:val="20"/>
              </w:rPr>
              <w:t>happiness</w:t>
            </w:r>
            <w:proofErr w:type="spellEnd"/>
            <w:r w:rsidRPr="00CB4067">
              <w:rPr>
                <w:sz w:val="20"/>
                <w:szCs w:val="20"/>
              </w:rPr>
              <w:t>“</w:t>
            </w:r>
            <w:r w:rsidRPr="00CB4067">
              <w:rPr>
                <w:sz w:val="20"/>
                <w:szCs w:val="20"/>
                <w:vertAlign w:val="superscript"/>
              </w:rPr>
              <w:footnoteReference w:id="2308"/>
            </w:r>
            <w:r w:rsidRPr="00CB4067">
              <w:rPr>
                <w:sz w:val="20"/>
                <w:szCs w:val="20"/>
              </w:rPr>
              <w:t xml:space="preserve">). Und eine weitere Folge aus diesem gleichen Streben nach Glück sei, dass das Wahlrecht nach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CB4067">
              <w:rPr>
                <w:sz w:val="20"/>
                <w:szCs w:val="20"/>
                <w:lang w:val="en-US"/>
              </w:rPr>
              <w:t xml:space="preserve"> auf </w:t>
            </w:r>
            <w:proofErr w:type="spellStart"/>
            <w:r w:rsidRPr="00CB4067">
              <w:rPr>
                <w:sz w:val="20"/>
                <w:szCs w:val="20"/>
                <w:lang w:val="en-US"/>
              </w:rPr>
              <w:t>allen</w:t>
            </w:r>
            <w:proofErr w:type="spellEnd"/>
            <w:r w:rsidRPr="00CB4067">
              <w:rPr>
                <w:sz w:val="20"/>
                <w:szCs w:val="20"/>
                <w:lang w:val="en-US"/>
              </w:rPr>
              <w:t xml:space="preserve"> </w:t>
            </w:r>
            <w:proofErr w:type="spellStart"/>
            <w:r w:rsidRPr="00CB4067">
              <w:rPr>
                <w:sz w:val="20"/>
                <w:szCs w:val="20"/>
                <w:lang w:val="en-US"/>
              </w:rPr>
              <w:t>Ebenen</w:t>
            </w:r>
            <w:proofErr w:type="spellEnd"/>
            <w:r w:rsidRPr="00CB4067">
              <w:rPr>
                <w:sz w:val="20"/>
                <w:szCs w:val="20"/>
                <w:lang w:val="en-US"/>
              </w:rPr>
              <w:t xml:space="preserve"> </w:t>
            </w:r>
            <w:proofErr w:type="spellStart"/>
            <w:r w:rsidRPr="00CB4067">
              <w:rPr>
                <w:sz w:val="20"/>
                <w:szCs w:val="20"/>
                <w:lang w:val="en-US"/>
              </w:rPr>
              <w:t>frei</w:t>
            </w:r>
            <w:proofErr w:type="spellEnd"/>
            <w:r w:rsidRPr="00CB4067">
              <w:rPr>
                <w:sz w:val="20"/>
                <w:szCs w:val="20"/>
                <w:lang w:val="en-US"/>
              </w:rPr>
              <w:t xml:space="preserve"> von </w:t>
            </w:r>
            <w:proofErr w:type="spellStart"/>
            <w:r w:rsidRPr="00CB4067">
              <w:rPr>
                <w:sz w:val="20"/>
                <w:szCs w:val="20"/>
                <w:lang w:val="en-US"/>
              </w:rPr>
              <w:t>jedweder</w:t>
            </w:r>
            <w:proofErr w:type="spellEnd"/>
            <w:r w:rsidRPr="00CB4067">
              <w:rPr>
                <w:sz w:val="20"/>
                <w:szCs w:val="20"/>
                <w:lang w:val="en-US"/>
              </w:rPr>
              <w:t xml:space="preserve"> </w:t>
            </w:r>
            <w:proofErr w:type="spellStart"/>
            <w:r w:rsidRPr="00CB4067">
              <w:rPr>
                <w:sz w:val="20"/>
                <w:szCs w:val="20"/>
                <w:lang w:val="en-US"/>
              </w:rPr>
              <w:t>Diskriminierung</w:t>
            </w:r>
            <w:proofErr w:type="spellEnd"/>
            <w:r w:rsidRPr="00CB4067">
              <w:rPr>
                <w:sz w:val="20"/>
                <w:szCs w:val="20"/>
                <w:lang w:val="en-US"/>
              </w:rPr>
              <w:t xml:space="preserve"> </w:t>
            </w:r>
            <w:proofErr w:type="spellStart"/>
            <w:r w:rsidRPr="00CB4067">
              <w:rPr>
                <w:sz w:val="20"/>
                <w:szCs w:val="20"/>
                <w:lang w:val="en-US"/>
              </w:rPr>
              <w:t>gehalten</w:t>
            </w:r>
            <w:proofErr w:type="spellEnd"/>
            <w:r w:rsidRPr="00CB4067">
              <w:rPr>
                <w:sz w:val="20"/>
                <w:szCs w:val="20"/>
                <w:lang w:val="en-US"/>
              </w:rPr>
              <w:t xml:space="preserve"> </w:t>
            </w:r>
            <w:proofErr w:type="spellStart"/>
            <w:r w:rsidRPr="00CB4067">
              <w:rPr>
                <w:sz w:val="20"/>
                <w:szCs w:val="20"/>
                <w:lang w:val="en-US"/>
              </w:rPr>
              <w:t>werden</w:t>
            </w:r>
            <w:proofErr w:type="spellEnd"/>
            <w:r w:rsidRPr="00CB4067">
              <w:rPr>
                <w:sz w:val="20"/>
                <w:szCs w:val="20"/>
                <w:lang w:val="en-US"/>
              </w:rPr>
              <w:t xml:space="preserve"> </w:t>
            </w:r>
            <w:proofErr w:type="spellStart"/>
            <w:r w:rsidRPr="00CB4067">
              <w:rPr>
                <w:sz w:val="20"/>
                <w:szCs w:val="20"/>
                <w:lang w:val="en-US"/>
              </w:rPr>
              <w:t>müsse</w:t>
            </w:r>
            <w:proofErr w:type="spellEnd"/>
            <w:r w:rsidRPr="00CB4067">
              <w:rPr>
                <w:sz w:val="20"/>
                <w:szCs w:val="20"/>
                <w:lang w:val="en-US"/>
              </w:rPr>
              <w:t xml:space="preserve"> („</w:t>
            </w:r>
            <w:r w:rsidRPr="00B45592">
              <w:rPr>
                <w:sz w:val="20"/>
                <w:szCs w:val="20"/>
                <w:lang w:val="en-IE"/>
              </w:rPr>
              <w:t xml:space="preserve">[the act] wherein the </w:t>
            </w:r>
            <w:r w:rsidRPr="00CB4067">
              <w:rPr>
                <w:sz w:val="20"/>
                <w:szCs w:val="20"/>
                <w:lang w:val="en-US"/>
              </w:rPr>
              <w:t xml:space="preserve">right to vote is freed from all restriction by reason of race, color, or condition, at all elections by the people </w:t>
            </w:r>
            <w:r>
              <w:rPr>
                <w:sz w:val="20"/>
                <w:szCs w:val="20"/>
                <w:lang w:val="en-US"/>
              </w:rPr>
              <w:t>–</w:t>
            </w:r>
            <w:r w:rsidRPr="00CB4067">
              <w:rPr>
                <w:sz w:val="20"/>
                <w:szCs w:val="20"/>
                <w:lang w:val="en-US"/>
              </w:rPr>
              <w:t xml:space="preserve"> state, county, town, municipal, or of other subdivision </w:t>
            </w:r>
            <w:r>
              <w:rPr>
                <w:sz w:val="20"/>
                <w:szCs w:val="20"/>
                <w:lang w:val="en-US"/>
              </w:rPr>
              <w:t>–</w:t>
            </w:r>
            <w:r w:rsidRPr="00CB4067">
              <w:rPr>
                <w:sz w:val="20"/>
                <w:szCs w:val="20"/>
                <w:lang w:val="en-US"/>
              </w:rPr>
              <w:t xml:space="preserve"> is justified by the Constitution“</w:t>
            </w:r>
            <w:r w:rsidRPr="00CB4067">
              <w:rPr>
                <w:sz w:val="20"/>
                <w:szCs w:val="20"/>
                <w:vertAlign w:val="superscript"/>
                <w:lang w:val="en-US"/>
              </w:rPr>
              <w:t xml:space="preserve"> </w:t>
            </w:r>
            <w:r w:rsidRPr="00CB4067">
              <w:rPr>
                <w:sz w:val="20"/>
                <w:szCs w:val="20"/>
                <w:vertAlign w:val="superscript"/>
              </w:rPr>
              <w:footnoteReference w:id="2309"/>
            </w:r>
            <w:r w:rsidRPr="00CB4067">
              <w:rPr>
                <w:sz w:val="20"/>
                <w:szCs w:val="20"/>
                <w:lang w:val="en-US"/>
              </w:rPr>
              <w:t>).</w:t>
            </w:r>
          </w:p>
          <w:p w14:paraId="231AB5D7" w14:textId="77777777" w:rsidR="00074551" w:rsidRPr="00B45592" w:rsidRDefault="00074551" w:rsidP="00367133">
            <w:pPr>
              <w:jc w:val="both"/>
              <w:rPr>
                <w:sz w:val="20"/>
                <w:szCs w:val="20"/>
                <w:lang w:val="en-IE"/>
              </w:rPr>
            </w:pPr>
          </w:p>
        </w:tc>
      </w:tr>
      <w:tr w:rsidR="00074551" w:rsidRPr="002E1085" w14:paraId="18C40474" w14:textId="77777777" w:rsidTr="00203768">
        <w:trPr>
          <w:cantSplit/>
          <w:trHeight w:val="3175"/>
        </w:trPr>
        <w:tc>
          <w:tcPr>
            <w:tcW w:w="293" w:type="pct"/>
            <w:shd w:val="clear" w:color="auto" w:fill="E7E6E6" w:themeFill="background2"/>
          </w:tcPr>
          <w:p w14:paraId="7C818D29"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shd w:val="clear" w:color="auto" w:fill="E7E6E6" w:themeFill="background2"/>
            <w:textDirection w:val="tbRl"/>
            <w:vAlign w:val="center"/>
          </w:tcPr>
          <w:p w14:paraId="1111685D" w14:textId="77777777" w:rsidR="00074551" w:rsidRPr="00E50B51" w:rsidRDefault="00074551" w:rsidP="00367133">
            <w:pPr>
              <w:ind w:left="113" w:right="416"/>
              <w:jc w:val="both"/>
              <w:rPr>
                <w:sz w:val="20"/>
                <w:szCs w:val="20"/>
              </w:rPr>
            </w:pPr>
            <w:proofErr w:type="spellStart"/>
            <w:r w:rsidRPr="00E50B51">
              <w:rPr>
                <w:sz w:val="20"/>
                <w:szCs w:val="20"/>
                <w:lang w:val="en-US"/>
              </w:rPr>
              <w:t>Rechtsstaatliche</w:t>
            </w:r>
            <w:proofErr w:type="spellEnd"/>
            <w:r w:rsidRPr="00E50B51">
              <w:rPr>
                <w:sz w:val="20"/>
                <w:szCs w:val="20"/>
                <w:lang w:val="en-US"/>
              </w:rPr>
              <w:t xml:space="preserve"> </w:t>
            </w:r>
            <w:proofErr w:type="spellStart"/>
            <w:r w:rsidRPr="00E50B51">
              <w:rPr>
                <w:sz w:val="20"/>
                <w:szCs w:val="20"/>
                <w:lang w:val="en-US"/>
              </w:rPr>
              <w:t>Seite</w:t>
            </w:r>
            <w:proofErr w:type="spellEnd"/>
          </w:p>
        </w:tc>
        <w:tc>
          <w:tcPr>
            <w:tcW w:w="197" w:type="pct"/>
            <w:shd w:val="clear" w:color="auto" w:fill="E7E6E6" w:themeFill="background2"/>
            <w:textDirection w:val="tbRl"/>
            <w:vAlign w:val="center"/>
          </w:tcPr>
          <w:p w14:paraId="63DD8509" w14:textId="77777777" w:rsidR="00074551" w:rsidRPr="00E50B51" w:rsidRDefault="00074551" w:rsidP="00367133">
            <w:pPr>
              <w:ind w:left="113" w:right="113"/>
              <w:jc w:val="both"/>
              <w:rPr>
                <w:iCs/>
                <w:sz w:val="20"/>
                <w:szCs w:val="20"/>
                <w:lang w:val="en-US"/>
              </w:rPr>
            </w:pPr>
            <w:r w:rsidRPr="00E50B51">
              <w:rPr>
                <w:iCs/>
                <w:sz w:val="20"/>
                <w:szCs w:val="20"/>
                <w:lang w:val="en-US"/>
              </w:rPr>
              <w:t>Elections</w:t>
            </w:r>
          </w:p>
          <w:p w14:paraId="44458E86" w14:textId="77777777" w:rsidR="00074551" w:rsidRPr="00E50B51" w:rsidRDefault="00074551" w:rsidP="00367133">
            <w:pPr>
              <w:ind w:left="113" w:right="113"/>
              <w:jc w:val="both"/>
              <w:rPr>
                <w:iCs/>
                <w:sz w:val="20"/>
                <w:szCs w:val="20"/>
                <w:lang w:val="en-US"/>
              </w:rPr>
            </w:pPr>
          </w:p>
        </w:tc>
        <w:tc>
          <w:tcPr>
            <w:tcW w:w="306" w:type="pct"/>
            <w:shd w:val="clear" w:color="auto" w:fill="E7E6E6" w:themeFill="background2"/>
            <w:textDirection w:val="tbRl"/>
            <w:vAlign w:val="center"/>
          </w:tcPr>
          <w:p w14:paraId="3B7985DE" w14:textId="77777777" w:rsidR="00074551" w:rsidRPr="00E50B51" w:rsidRDefault="00074551" w:rsidP="00367133">
            <w:pPr>
              <w:ind w:left="113" w:right="113"/>
              <w:jc w:val="both"/>
              <w:rPr>
                <w:iCs/>
                <w:sz w:val="20"/>
                <w:szCs w:val="20"/>
                <w:lang w:val="en-US"/>
              </w:rPr>
            </w:pPr>
            <w:r w:rsidRPr="00E50B51">
              <w:rPr>
                <w:iCs/>
                <w:sz w:val="20"/>
                <w:szCs w:val="20"/>
                <w:lang w:val="en-US"/>
              </w:rPr>
              <w:t>Elections, Terms &amp; Voting: Race-Based Voting Restrictions</w:t>
            </w:r>
          </w:p>
          <w:p w14:paraId="401171A9" w14:textId="77777777" w:rsidR="00074551" w:rsidRPr="00E50B51" w:rsidRDefault="00074551" w:rsidP="00367133">
            <w:pPr>
              <w:ind w:left="113" w:right="113"/>
              <w:jc w:val="both"/>
              <w:rPr>
                <w:sz w:val="20"/>
                <w:szCs w:val="20"/>
                <w:lang w:val="en-US"/>
              </w:rPr>
            </w:pPr>
          </w:p>
        </w:tc>
        <w:tc>
          <w:tcPr>
            <w:tcW w:w="401" w:type="pct"/>
            <w:shd w:val="clear" w:color="auto" w:fill="E7E6E6" w:themeFill="background2"/>
          </w:tcPr>
          <w:p w14:paraId="78423C54" w14:textId="77777777" w:rsidR="00074551" w:rsidRPr="00E50B51" w:rsidRDefault="00074551" w:rsidP="00367133">
            <w:pPr>
              <w:jc w:val="center"/>
              <w:rPr>
                <w:sz w:val="20"/>
                <w:szCs w:val="20"/>
                <w:lang w:val="en-US"/>
              </w:rPr>
            </w:pPr>
          </w:p>
        </w:tc>
        <w:tc>
          <w:tcPr>
            <w:tcW w:w="1594" w:type="pct"/>
            <w:shd w:val="clear" w:color="auto" w:fill="E7E6E6" w:themeFill="background2"/>
            <w:vAlign w:val="center"/>
          </w:tcPr>
          <w:p w14:paraId="20115DDA" w14:textId="77777777" w:rsidR="00074551" w:rsidRPr="00E50B51" w:rsidRDefault="00074551" w:rsidP="00367133">
            <w:pPr>
              <w:jc w:val="both"/>
              <w:rPr>
                <w:sz w:val="20"/>
                <w:szCs w:val="20"/>
                <w:lang w:val="en-US"/>
              </w:rPr>
            </w:pPr>
          </w:p>
        </w:tc>
        <w:tc>
          <w:tcPr>
            <w:tcW w:w="1822" w:type="pct"/>
            <w:shd w:val="clear" w:color="auto" w:fill="E7E6E6" w:themeFill="background2"/>
          </w:tcPr>
          <w:p w14:paraId="554A26EC" w14:textId="564A9302" w:rsidR="00074551" w:rsidRPr="00E50B51" w:rsidRDefault="00203768" w:rsidP="00203768">
            <w:pPr>
              <w:rPr>
                <w:sz w:val="20"/>
                <w:szCs w:val="20"/>
                <w:lang w:val="en-US"/>
              </w:rPr>
            </w:pPr>
            <w:r w:rsidRPr="00A15DB3">
              <w:rPr>
                <w:i/>
                <w:iCs/>
                <w:sz w:val="16"/>
                <w:szCs w:val="16"/>
              </w:rPr>
              <w:t>Thematische Gliederung der nachfolgenden Entscheidungen ↓</w:t>
            </w:r>
          </w:p>
        </w:tc>
      </w:tr>
      <w:tr w:rsidR="00074551" w:rsidRPr="00E50B51" w14:paraId="35AFD6E8" w14:textId="77777777" w:rsidTr="00BE689F">
        <w:trPr>
          <w:cantSplit/>
          <w:trHeight w:val="3175"/>
        </w:trPr>
        <w:tc>
          <w:tcPr>
            <w:tcW w:w="293" w:type="pct"/>
          </w:tcPr>
          <w:p w14:paraId="32EB8C04" w14:textId="77777777" w:rsidR="00074551" w:rsidRPr="00E50B51" w:rsidRDefault="00074551" w:rsidP="00367133">
            <w:pPr>
              <w:ind w:right="416"/>
              <w:jc w:val="center"/>
              <w:rPr>
                <w:sz w:val="20"/>
                <w:szCs w:val="20"/>
              </w:rPr>
            </w:pPr>
            <w:r>
              <w:rPr>
                <w:rFonts w:ascii="PMingLiU-ExtB" w:eastAsia="PMingLiU-ExtB" w:hAnsi="PMingLiU-ExtB" w:cs="PMingLiU-ExtB" w:hint="eastAsia"/>
                <w:sz w:val="20"/>
                <w:szCs w:val="20"/>
              </w:rPr>
              <w:lastRenderedPageBreak/>
              <w:t>𩢣</w:t>
            </w:r>
            <w:proofErr w:type="spellStart"/>
            <w:r w:rsidRPr="00E50B51">
              <w:rPr>
                <w:sz w:val="20"/>
                <w:szCs w:val="20"/>
              </w:rPr>
              <w:t>poH</w:t>
            </w:r>
            <w:proofErr w:type="spellEnd"/>
          </w:p>
        </w:tc>
        <w:tc>
          <w:tcPr>
            <w:tcW w:w="387" w:type="pct"/>
            <w:textDirection w:val="tbRl"/>
            <w:vAlign w:val="center"/>
          </w:tcPr>
          <w:p w14:paraId="11673FEF" w14:textId="77777777" w:rsidR="00074551" w:rsidRPr="00E50B51" w:rsidRDefault="00074551" w:rsidP="00367133">
            <w:pPr>
              <w:ind w:left="113" w:right="416"/>
              <w:jc w:val="both"/>
              <w:rPr>
                <w:sz w:val="20"/>
                <w:szCs w:val="20"/>
                <w:lang w:val="en-US"/>
              </w:rPr>
            </w:pPr>
            <w:r w:rsidRPr="00A15962">
              <w:rPr>
                <w:i/>
                <w:sz w:val="20"/>
                <w:szCs w:val="20"/>
              </w:rPr>
              <w:t>Neal v. Del.</w:t>
            </w:r>
          </w:p>
        </w:tc>
        <w:tc>
          <w:tcPr>
            <w:tcW w:w="197" w:type="pct"/>
            <w:textDirection w:val="tbRl"/>
            <w:vAlign w:val="center"/>
          </w:tcPr>
          <w:p w14:paraId="410C7C6E" w14:textId="77777777" w:rsidR="00074551" w:rsidRPr="00E50B51" w:rsidRDefault="00074551" w:rsidP="00367133">
            <w:pPr>
              <w:ind w:left="113" w:right="113"/>
              <w:jc w:val="both"/>
              <w:rPr>
                <w:iCs/>
                <w:sz w:val="20"/>
                <w:szCs w:val="20"/>
                <w:lang w:val="en-US"/>
              </w:rPr>
            </w:pPr>
            <w:r w:rsidRPr="00E50B51">
              <w:rPr>
                <w:sz w:val="20"/>
                <w:szCs w:val="20"/>
                <w:lang w:val="en-US"/>
              </w:rPr>
              <w:t>103 U.S. 370</w:t>
            </w:r>
          </w:p>
        </w:tc>
        <w:tc>
          <w:tcPr>
            <w:tcW w:w="306" w:type="pct"/>
            <w:textDirection w:val="tbRl"/>
            <w:vAlign w:val="center"/>
          </w:tcPr>
          <w:p w14:paraId="170E622D" w14:textId="77777777" w:rsidR="00074551" w:rsidRPr="00E50B51" w:rsidRDefault="00074551" w:rsidP="00367133">
            <w:pPr>
              <w:ind w:left="113" w:right="113"/>
              <w:jc w:val="both"/>
              <w:rPr>
                <w:sz w:val="20"/>
                <w:szCs w:val="20"/>
                <w:lang w:val="en-US"/>
              </w:rPr>
            </w:pPr>
            <w:r w:rsidRPr="00E50B51">
              <w:rPr>
                <w:sz w:val="20"/>
                <w:szCs w:val="20"/>
                <w:lang w:val="en-US"/>
              </w:rPr>
              <w:t>2. Mai 1881</w:t>
            </w:r>
          </w:p>
        </w:tc>
        <w:tc>
          <w:tcPr>
            <w:tcW w:w="401" w:type="pct"/>
          </w:tcPr>
          <w:p w14:paraId="1DD92680" w14:textId="77777777" w:rsidR="00074551" w:rsidRPr="00E50B51" w:rsidRDefault="00074551" w:rsidP="00367133">
            <w:pPr>
              <w:jc w:val="center"/>
              <w:rPr>
                <w:sz w:val="20"/>
                <w:szCs w:val="20"/>
                <w:lang w:val="en-US"/>
              </w:rPr>
            </w:pPr>
            <w:r w:rsidRPr="00E50B51">
              <w:rPr>
                <w:sz w:val="20"/>
                <w:szCs w:val="20"/>
                <w:lang w:val="en-US"/>
              </w:rPr>
              <w:t>D</w:t>
            </w:r>
          </w:p>
        </w:tc>
        <w:tc>
          <w:tcPr>
            <w:tcW w:w="1594" w:type="pct"/>
          </w:tcPr>
          <w:p w14:paraId="2EA6C149"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3C3BD532" w14:textId="77777777" w:rsidR="00074551" w:rsidRDefault="00074551" w:rsidP="00367133">
            <w:pPr>
              <w:jc w:val="both"/>
              <w:rPr>
                <w:sz w:val="20"/>
                <w:szCs w:val="20"/>
              </w:rPr>
            </w:pPr>
            <w:r w:rsidRPr="00B77D60">
              <w:rPr>
                <w:sz w:val="20"/>
                <w:szCs w:val="20"/>
              </w:rPr>
              <w:t xml:space="preserve">Die Bestimmungen der Verfassung Delawares, die das Wahlrecht auf die weiße Rasse beschränkten, wurden durch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 § 1</w:t>
            </w:r>
            <w:r w:rsidRPr="00B77D60">
              <w:rPr>
                <w:sz w:val="20"/>
                <w:szCs w:val="20"/>
              </w:rPr>
              <w:t xml:space="preserve"> aufgehoben.</w:t>
            </w:r>
            <w:r w:rsidRPr="00B77D60">
              <w:rPr>
                <w:sz w:val="20"/>
                <w:szCs w:val="20"/>
                <w:vertAlign w:val="superscript"/>
              </w:rPr>
              <w:footnoteReference w:id="2310"/>
            </w:r>
            <w:r w:rsidRPr="00B77D60">
              <w:rPr>
                <w:sz w:val="20"/>
                <w:szCs w:val="20"/>
              </w:rPr>
              <w:t xml:space="preserve"> Und </w:t>
            </w:r>
            <w:r>
              <w:rPr>
                <w:sz w:val="20"/>
                <w:szCs w:val="20"/>
              </w:rPr>
              <w:t xml:space="preserve">dieses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B77D60">
              <w:rPr>
                <w:sz w:val="20"/>
                <w:szCs w:val="20"/>
              </w:rPr>
              <w:t xml:space="preserve"> dehnt</w:t>
            </w:r>
            <w:r>
              <w:rPr>
                <w:sz w:val="20"/>
                <w:szCs w:val="20"/>
              </w:rPr>
              <w:t>e</w:t>
            </w:r>
            <w:r w:rsidRPr="00B77D60">
              <w:rPr>
                <w:sz w:val="20"/>
                <w:szCs w:val="20"/>
              </w:rPr>
              <w:t xml:space="preserve"> der </w:t>
            </w:r>
            <w:r>
              <w:rPr>
                <w:sz w:val="20"/>
                <w:szCs w:val="20"/>
              </w:rPr>
              <w:t>U.S. Supreme Court</w:t>
            </w:r>
            <w:r w:rsidRPr="00B77D60">
              <w:rPr>
                <w:sz w:val="20"/>
                <w:szCs w:val="20"/>
              </w:rPr>
              <w:t xml:space="preserve"> nunmehr über diese Regelungsrichtung hinaus aus. Er wandte das Amendment auf die Besetzung der Geschworenen an („</w:t>
            </w:r>
            <w:proofErr w:type="spellStart"/>
            <w:r w:rsidRPr="00B77D60">
              <w:rPr>
                <w:sz w:val="20"/>
                <w:szCs w:val="20"/>
              </w:rPr>
              <w:t>enlarged</w:t>
            </w:r>
            <w:proofErr w:type="spellEnd"/>
            <w:r w:rsidRPr="00B77D60">
              <w:rPr>
                <w:sz w:val="20"/>
                <w:szCs w:val="20"/>
              </w:rPr>
              <w:t xml:space="preserve"> in </w:t>
            </w:r>
            <w:proofErr w:type="spellStart"/>
            <w:r w:rsidRPr="00B77D60">
              <w:rPr>
                <w:sz w:val="20"/>
                <w:szCs w:val="20"/>
              </w:rPr>
              <w:t>its</w:t>
            </w:r>
            <w:proofErr w:type="spellEnd"/>
            <w:r w:rsidRPr="00B77D60">
              <w:rPr>
                <w:sz w:val="20"/>
                <w:szCs w:val="20"/>
              </w:rPr>
              <w:t xml:space="preserve"> </w:t>
            </w:r>
            <w:proofErr w:type="spellStart"/>
            <w:r w:rsidRPr="00B77D60">
              <w:rPr>
                <w:sz w:val="20"/>
                <w:szCs w:val="20"/>
              </w:rPr>
              <w:t>operation</w:t>
            </w:r>
            <w:proofErr w:type="spellEnd"/>
            <w:r w:rsidRPr="00B77D60">
              <w:rPr>
                <w:sz w:val="20"/>
                <w:szCs w:val="20"/>
              </w:rPr>
              <w:t>“</w:t>
            </w:r>
            <w:r w:rsidRPr="00B77D60">
              <w:rPr>
                <w:sz w:val="20"/>
                <w:szCs w:val="20"/>
                <w:vertAlign w:val="superscript"/>
              </w:rPr>
              <w:footnoteReference w:id="2311"/>
            </w:r>
            <w:r w:rsidRPr="00B77D60">
              <w:rPr>
                <w:sz w:val="20"/>
                <w:szCs w:val="20"/>
              </w:rPr>
              <w:t xml:space="preserve">), nämlich als Anspruch auf divers besetzte Geschworene. Doch der Dissens wandte sich gegen diese Ausdehnung. Die Argumentation der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B77D60">
              <w:rPr>
                <w:sz w:val="20"/>
                <w:szCs w:val="20"/>
              </w:rPr>
              <w:t xml:space="preserve"> lautete: Nur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77D60">
              <w:rPr>
                <w:sz w:val="20"/>
                <w:szCs w:val="20"/>
              </w:rPr>
              <w:t xml:space="preserve"> verbiete </w:t>
            </w:r>
            <w:r>
              <w:rPr>
                <w:sz w:val="20"/>
                <w:szCs w:val="20"/>
              </w:rPr>
              <w:t xml:space="preserve">es </w:t>
            </w:r>
            <w:r w:rsidRPr="00B77D60">
              <w:rPr>
                <w:sz w:val="20"/>
                <w:szCs w:val="20"/>
              </w:rPr>
              <w:t xml:space="preserve">Bundesstaaten im Rahmen ihrer Zuständigkeit, den gleichen Schutz durch Gesetze zu verweigern; es sei </w:t>
            </w:r>
            <w:proofErr w:type="spellStart"/>
            <w:r w:rsidRPr="5B67C1D2">
              <w:rPr>
                <w:i/>
                <w:iCs/>
                <w:sz w:val="20"/>
                <w:szCs w:val="20"/>
              </w:rPr>
              <w:t>lex</w:t>
            </w:r>
            <w:proofErr w:type="spellEnd"/>
            <w:r w:rsidRPr="5B67C1D2">
              <w:rPr>
                <w:i/>
                <w:iCs/>
                <w:sz w:val="20"/>
                <w:szCs w:val="20"/>
              </w:rPr>
              <w:t xml:space="preserve"> </w:t>
            </w:r>
            <w:proofErr w:type="spellStart"/>
            <w:r w:rsidRPr="5B67C1D2">
              <w:rPr>
                <w:i/>
                <w:iCs/>
                <w:sz w:val="20"/>
                <w:szCs w:val="20"/>
              </w:rPr>
              <w:t>speciales</w:t>
            </w:r>
            <w:proofErr w:type="spellEnd"/>
            <w:r w:rsidRPr="00B77D60">
              <w:rPr>
                <w:sz w:val="20"/>
                <w:szCs w:val="20"/>
              </w:rPr>
              <w:t xml:space="preserve">. Mit der Ausdehnung </w:t>
            </w:r>
            <w:r>
              <w:rPr>
                <w:sz w:val="20"/>
                <w:szCs w:val="20"/>
              </w:rPr>
              <w:t>von</w:t>
            </w:r>
            <w:r w:rsidRPr="00B77D6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Pr>
                <w:sz w:val="20"/>
                <w:szCs w:val="20"/>
              </w:rPr>
              <w:t xml:space="preserve"> </w:t>
            </w:r>
            <w:r w:rsidRPr="00B77D60">
              <w:rPr>
                <w:sz w:val="20"/>
                <w:szCs w:val="20"/>
              </w:rPr>
              <w:t>– sogar i</w:t>
            </w:r>
            <w:r>
              <w:rPr>
                <w:sz w:val="20"/>
                <w:szCs w:val="20"/>
              </w:rPr>
              <w:t>n Verbindung mit</w:t>
            </w:r>
            <w:r w:rsidRPr="00B77D60">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1B6693">
              <w:rPr>
                <w:sz w:val="20"/>
                <w:szCs w:val="20"/>
              </w:rPr>
              <w:t xml:space="preserve"> und ohne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1B6693">
              <w:rPr>
                <w:sz w:val="20"/>
                <w:szCs w:val="20"/>
              </w:rPr>
              <w:t> </w:t>
            </w:r>
            <w:r w:rsidRPr="00B77D60">
              <w:rPr>
                <w:sz w:val="20"/>
                <w:szCs w:val="20"/>
              </w:rPr>
              <w:t xml:space="preserve">– verpflichte der </w:t>
            </w:r>
            <w:r>
              <w:rPr>
                <w:sz w:val="20"/>
                <w:szCs w:val="20"/>
              </w:rPr>
              <w:t>U.S. Supreme Court</w:t>
            </w:r>
            <w:r w:rsidRPr="00B77D60">
              <w:rPr>
                <w:sz w:val="20"/>
                <w:szCs w:val="20"/>
              </w:rPr>
              <w:t xml:space="preserve"> Bundesstaaten dazu, Personen einer </w:t>
            </w:r>
            <w:r>
              <w:rPr>
                <w:sz w:val="20"/>
                <w:szCs w:val="20"/>
              </w:rPr>
              <w:t xml:space="preserve">bestimmten </w:t>
            </w:r>
            <w:r w:rsidRPr="00B77D60">
              <w:rPr>
                <w:sz w:val="20"/>
                <w:szCs w:val="20"/>
              </w:rPr>
              <w:t xml:space="preserve">Rasse als Geschworene zu laden, wenn der Einzelfall die Rechte von Farbigen betreffe. Der Dissens meint dazu: Das überspanne den Regelungsgehalt von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 und XV.</w:t>
            </w:r>
            <w:r w:rsidRPr="00B77D60">
              <w:rPr>
                <w:sz w:val="20"/>
                <w:szCs w:val="20"/>
              </w:rPr>
              <w:t xml:space="preserve"> Denn einerseits verbiete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w:t>
            </w:r>
            <w:r w:rsidRPr="00B77D60">
              <w:rPr>
                <w:sz w:val="20"/>
                <w:szCs w:val="20"/>
              </w:rPr>
              <w:t xml:space="preserve"> nur Sklaverei innerhalb der Vereinigten Staaten; es mache jeden Bürger zu einem freien Menschen, mit de</w:t>
            </w:r>
            <w:r>
              <w:rPr>
                <w:sz w:val="20"/>
                <w:szCs w:val="20"/>
              </w:rPr>
              <w:t>n</w:t>
            </w:r>
            <w:r w:rsidRPr="00B77D60">
              <w:rPr>
                <w:sz w:val="20"/>
                <w:szCs w:val="20"/>
              </w:rPr>
              <w:t xml:space="preserve"> gleichen Rechten, damit die Personen unter gleichen Bedingungen nach Glück streben können („the same </w:t>
            </w:r>
            <w:proofErr w:type="spellStart"/>
            <w:r w:rsidRPr="00B77D60">
              <w:rPr>
                <w:sz w:val="20"/>
                <w:szCs w:val="20"/>
              </w:rPr>
              <w:t>right</w:t>
            </w:r>
            <w:proofErr w:type="spellEnd"/>
            <w:r w:rsidRPr="00B77D60">
              <w:rPr>
                <w:sz w:val="20"/>
                <w:szCs w:val="20"/>
              </w:rPr>
              <w:t xml:space="preserve"> to </w:t>
            </w:r>
            <w:proofErr w:type="spellStart"/>
            <w:r w:rsidRPr="00B77D60">
              <w:rPr>
                <w:sz w:val="20"/>
                <w:szCs w:val="20"/>
              </w:rPr>
              <w:t>pursue</w:t>
            </w:r>
            <w:proofErr w:type="spellEnd"/>
            <w:r w:rsidRPr="00B77D60">
              <w:rPr>
                <w:sz w:val="20"/>
                <w:szCs w:val="20"/>
              </w:rPr>
              <w:t xml:space="preserve"> </w:t>
            </w:r>
            <w:proofErr w:type="spellStart"/>
            <w:r w:rsidRPr="00B77D60">
              <w:rPr>
                <w:sz w:val="20"/>
                <w:szCs w:val="20"/>
              </w:rPr>
              <w:t>his</w:t>
            </w:r>
            <w:proofErr w:type="spellEnd"/>
            <w:r w:rsidRPr="00B77D60">
              <w:rPr>
                <w:sz w:val="20"/>
                <w:szCs w:val="20"/>
              </w:rPr>
              <w:t xml:space="preserve"> </w:t>
            </w:r>
            <w:proofErr w:type="spellStart"/>
            <w:r w:rsidRPr="00B77D60">
              <w:rPr>
                <w:sz w:val="20"/>
                <w:szCs w:val="20"/>
              </w:rPr>
              <w:t>happiness</w:t>
            </w:r>
            <w:proofErr w:type="spellEnd"/>
            <w:r w:rsidRPr="00B77D60">
              <w:rPr>
                <w:sz w:val="20"/>
                <w:szCs w:val="20"/>
              </w:rPr>
              <w:t xml:space="preserve"> as all </w:t>
            </w:r>
            <w:proofErr w:type="spellStart"/>
            <w:r w:rsidRPr="00B77D60">
              <w:rPr>
                <w:sz w:val="20"/>
                <w:szCs w:val="20"/>
              </w:rPr>
              <w:t>others</w:t>
            </w:r>
            <w:proofErr w:type="spellEnd"/>
            <w:r w:rsidRPr="00B77D60">
              <w:rPr>
                <w:sz w:val="20"/>
                <w:szCs w:val="20"/>
              </w:rPr>
              <w:t xml:space="preserve">, and on like </w:t>
            </w:r>
            <w:proofErr w:type="spellStart"/>
            <w:r w:rsidRPr="00B77D60">
              <w:rPr>
                <w:sz w:val="20"/>
                <w:szCs w:val="20"/>
              </w:rPr>
              <w:t>conditions</w:t>
            </w:r>
            <w:proofErr w:type="spellEnd"/>
            <w:r w:rsidRPr="00B77D60">
              <w:rPr>
                <w:sz w:val="20"/>
                <w:szCs w:val="20"/>
              </w:rPr>
              <w:t>“</w:t>
            </w:r>
            <w:r w:rsidRPr="00B77D60">
              <w:rPr>
                <w:sz w:val="20"/>
                <w:szCs w:val="20"/>
                <w:vertAlign w:val="superscript"/>
              </w:rPr>
              <w:footnoteReference w:id="2312"/>
            </w:r>
            <w:r w:rsidRPr="00B77D60">
              <w:rPr>
                <w:sz w:val="20"/>
                <w:szCs w:val="20"/>
              </w:rPr>
              <w:t xml:space="preserve">). Es verleihe aber keine politischen Rechte („it </w:t>
            </w:r>
            <w:proofErr w:type="spellStart"/>
            <w:r w:rsidRPr="00B77D60">
              <w:rPr>
                <w:sz w:val="20"/>
                <w:szCs w:val="20"/>
              </w:rPr>
              <w:t>does</w:t>
            </w:r>
            <w:proofErr w:type="spellEnd"/>
            <w:r w:rsidRPr="00B77D60">
              <w:rPr>
                <w:sz w:val="20"/>
                <w:szCs w:val="20"/>
              </w:rPr>
              <w:t xml:space="preserve"> not confer </w:t>
            </w:r>
            <w:proofErr w:type="spellStart"/>
            <w:r w:rsidRPr="00B77D60">
              <w:rPr>
                <w:sz w:val="20"/>
                <w:szCs w:val="20"/>
              </w:rPr>
              <w:t>any</w:t>
            </w:r>
            <w:proofErr w:type="spellEnd"/>
            <w:r w:rsidRPr="00B77D60">
              <w:rPr>
                <w:sz w:val="20"/>
                <w:szCs w:val="20"/>
              </w:rPr>
              <w:t xml:space="preserve"> </w:t>
            </w:r>
            <w:proofErr w:type="spellStart"/>
            <w:r w:rsidRPr="00B77D60">
              <w:rPr>
                <w:sz w:val="20"/>
                <w:szCs w:val="20"/>
              </w:rPr>
              <w:t>political</w:t>
            </w:r>
            <w:proofErr w:type="spellEnd"/>
            <w:r w:rsidRPr="00B77D60">
              <w:rPr>
                <w:sz w:val="20"/>
                <w:szCs w:val="20"/>
              </w:rPr>
              <w:t xml:space="preserve"> </w:t>
            </w:r>
            <w:proofErr w:type="spellStart"/>
            <w:r w:rsidRPr="00B77D60">
              <w:rPr>
                <w:sz w:val="20"/>
                <w:szCs w:val="20"/>
              </w:rPr>
              <w:t>rights</w:t>
            </w:r>
            <w:proofErr w:type="spellEnd"/>
            <w:r w:rsidRPr="00B77D60">
              <w:rPr>
                <w:sz w:val="20"/>
                <w:szCs w:val="20"/>
              </w:rPr>
              <w:t>“</w:t>
            </w:r>
            <w:r w:rsidRPr="00B77D60">
              <w:rPr>
                <w:sz w:val="20"/>
                <w:szCs w:val="20"/>
                <w:vertAlign w:val="superscript"/>
              </w:rPr>
              <w:t xml:space="preserve"> </w:t>
            </w:r>
            <w:r w:rsidRPr="00B77D60">
              <w:rPr>
                <w:sz w:val="20"/>
                <w:szCs w:val="20"/>
                <w:vertAlign w:val="superscript"/>
              </w:rPr>
              <w:footnoteReference w:id="2313"/>
            </w:r>
            <w:r w:rsidRPr="00B77D60">
              <w:rPr>
                <w:sz w:val="20"/>
                <w:szCs w:val="20"/>
              </w:rPr>
              <w:t xml:space="preserve">) wie den Anspruch auf bestimmte Geschworene. Und andererseits verbiete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B77D60">
              <w:rPr>
                <w:sz w:val="20"/>
                <w:szCs w:val="20"/>
              </w:rPr>
              <w:t xml:space="preserve"> zwar, das Wahlrecht für Bürger aufgrund ihrer Rasse oder Hautfarbe einzuschränken. Aber es begründe keinen</w:t>
            </w:r>
            <w:r>
              <w:rPr>
                <w:sz w:val="20"/>
                <w:szCs w:val="20"/>
              </w:rPr>
              <w:t xml:space="preserve"> anderen</w:t>
            </w:r>
            <w:r w:rsidRPr="00B77D60">
              <w:rPr>
                <w:sz w:val="20"/>
                <w:szCs w:val="20"/>
              </w:rPr>
              <w:t xml:space="preserve"> Anspruch („it </w:t>
            </w:r>
            <w:proofErr w:type="spellStart"/>
            <w:r w:rsidRPr="00B77D60">
              <w:rPr>
                <w:sz w:val="20"/>
                <w:szCs w:val="20"/>
              </w:rPr>
              <w:t>relates</w:t>
            </w:r>
            <w:proofErr w:type="spellEnd"/>
            <w:r w:rsidRPr="00B77D60">
              <w:rPr>
                <w:sz w:val="20"/>
                <w:szCs w:val="20"/>
              </w:rPr>
              <w:t xml:space="preserve"> to </w:t>
            </w:r>
            <w:proofErr w:type="spellStart"/>
            <w:r w:rsidRPr="00B77D60">
              <w:rPr>
                <w:sz w:val="20"/>
                <w:szCs w:val="20"/>
              </w:rPr>
              <w:t>no</w:t>
            </w:r>
            <w:proofErr w:type="spellEnd"/>
            <w:r w:rsidRPr="00B77D60">
              <w:rPr>
                <w:sz w:val="20"/>
                <w:szCs w:val="20"/>
              </w:rPr>
              <w:t xml:space="preserve"> </w:t>
            </w:r>
            <w:proofErr w:type="spellStart"/>
            <w:r w:rsidRPr="00B77D60">
              <w:rPr>
                <w:sz w:val="20"/>
                <w:szCs w:val="20"/>
              </w:rPr>
              <w:t>other</w:t>
            </w:r>
            <w:proofErr w:type="spellEnd"/>
            <w:r w:rsidRPr="00B77D60">
              <w:rPr>
                <w:sz w:val="20"/>
                <w:szCs w:val="20"/>
              </w:rPr>
              <w:t xml:space="preserve"> </w:t>
            </w:r>
            <w:proofErr w:type="spellStart"/>
            <w:r w:rsidRPr="00B77D60">
              <w:rPr>
                <w:sz w:val="20"/>
                <w:szCs w:val="20"/>
              </w:rPr>
              <w:t>subject</w:t>
            </w:r>
            <w:proofErr w:type="spellEnd"/>
            <w:r w:rsidRPr="00B77D60">
              <w:rPr>
                <w:sz w:val="20"/>
                <w:szCs w:val="20"/>
              </w:rPr>
              <w:t>“</w:t>
            </w:r>
            <w:r w:rsidRPr="00B77D60">
              <w:rPr>
                <w:sz w:val="20"/>
                <w:szCs w:val="20"/>
                <w:vertAlign w:val="superscript"/>
              </w:rPr>
              <w:footnoteReference w:id="2314"/>
            </w:r>
            <w:r w:rsidRPr="00B77D60">
              <w:rPr>
                <w:sz w:val="20"/>
                <w:szCs w:val="20"/>
              </w:rPr>
              <w:t xml:space="preserve">). Indes hätte </w:t>
            </w:r>
            <w:proofErr w:type="spellStart"/>
            <w:r>
              <w:rPr>
                <w:sz w:val="20"/>
                <w:szCs w:val="20"/>
              </w:rPr>
              <w:t>Amd</w:t>
            </w:r>
            <w:proofErr w:type="spellEnd"/>
            <w:r>
              <w:rPr>
                <w:sz w:val="20"/>
                <w:szCs w:val="20"/>
              </w:rPr>
              <w:t>. </w:t>
            </w:r>
            <w:r w:rsidRPr="00B77D60">
              <w:rPr>
                <w:sz w:val="20"/>
                <w:szCs w:val="20"/>
              </w:rPr>
              <w:t xml:space="preserve">XIV, </w:t>
            </w:r>
            <w:r>
              <w:rPr>
                <w:sz w:val="20"/>
                <w:szCs w:val="20"/>
              </w:rPr>
              <w:t>§ </w:t>
            </w:r>
            <w:r w:rsidRPr="00B77D60">
              <w:rPr>
                <w:sz w:val="20"/>
                <w:szCs w:val="20"/>
              </w:rPr>
              <w:t>3</w:t>
            </w:r>
            <w:r w:rsidRPr="00B77D60">
              <w:rPr>
                <w:sz w:val="20"/>
                <w:szCs w:val="20"/>
                <w:vertAlign w:val="superscript"/>
              </w:rPr>
              <w:footnoteReference w:id="2315"/>
            </w:r>
            <w:r w:rsidRPr="00B77D60">
              <w:rPr>
                <w:sz w:val="20"/>
                <w:szCs w:val="20"/>
              </w:rPr>
              <w:t xml:space="preserve"> </w:t>
            </w:r>
            <w:r>
              <w:rPr>
                <w:sz w:val="20"/>
                <w:szCs w:val="20"/>
              </w:rPr>
              <w:t>U.S.</w:t>
            </w:r>
            <w:r w:rsidRPr="00B77D60">
              <w:rPr>
                <w:sz w:val="20"/>
                <w:szCs w:val="20"/>
              </w:rPr>
              <w:t xml:space="preserve"> </w:t>
            </w:r>
            <w:proofErr w:type="spellStart"/>
            <w:r w:rsidRPr="00B77D60">
              <w:rPr>
                <w:sz w:val="20"/>
                <w:szCs w:val="20"/>
              </w:rPr>
              <w:t>Const</w:t>
            </w:r>
            <w:proofErr w:type="spellEnd"/>
            <w:r w:rsidRPr="00B77D60">
              <w:rPr>
                <w:sz w:val="20"/>
                <w:szCs w:val="20"/>
              </w:rPr>
              <w:t>. einschlägig sein können, also der Gleichbehandlungsgrundsatz</w:t>
            </w:r>
            <w:r>
              <w:rPr>
                <w:sz w:val="20"/>
                <w:szCs w:val="20"/>
              </w:rPr>
              <w:t> </w:t>
            </w:r>
            <w:r w:rsidRPr="00B77D60">
              <w:rPr>
                <w:sz w:val="20"/>
                <w:szCs w:val="20"/>
              </w:rPr>
              <w:t>–</w:t>
            </w:r>
            <w:r>
              <w:rPr>
                <w:sz w:val="20"/>
                <w:szCs w:val="20"/>
              </w:rPr>
              <w:t xml:space="preserve"> </w:t>
            </w:r>
            <w:r w:rsidRPr="00B77D60">
              <w:rPr>
                <w:sz w:val="20"/>
                <w:szCs w:val="20"/>
              </w:rPr>
              <w:t xml:space="preserve">so die </w:t>
            </w:r>
            <w:proofErr w:type="spellStart"/>
            <w:r w:rsidRPr="5B67C1D2">
              <w:rPr>
                <w:i/>
                <w:iCs/>
                <w:sz w:val="20"/>
                <w:szCs w:val="20"/>
              </w:rPr>
              <w:t>dissenting</w:t>
            </w:r>
            <w:proofErr w:type="spellEnd"/>
            <w:r w:rsidRPr="5B67C1D2">
              <w:rPr>
                <w:i/>
                <w:iCs/>
                <w:sz w:val="20"/>
                <w:szCs w:val="20"/>
              </w:rPr>
              <w:t xml:space="preserve"> </w:t>
            </w:r>
            <w:proofErr w:type="spellStart"/>
            <w:r w:rsidRPr="5B67C1D2">
              <w:rPr>
                <w:i/>
                <w:iCs/>
                <w:sz w:val="20"/>
                <w:szCs w:val="20"/>
              </w:rPr>
              <w:t>opinion</w:t>
            </w:r>
            <w:proofErr w:type="spellEnd"/>
            <w:r w:rsidRPr="00B77D60">
              <w:rPr>
                <w:sz w:val="20"/>
                <w:szCs w:val="20"/>
              </w:rPr>
              <w:t xml:space="preserve">. </w:t>
            </w:r>
            <w:r w:rsidRPr="00B77D60">
              <w:rPr>
                <w:sz w:val="20"/>
                <w:szCs w:val="20"/>
                <w:lang w:val="en-US"/>
              </w:rPr>
              <w:t xml:space="preserve">Dazu </w:t>
            </w:r>
            <w:proofErr w:type="spellStart"/>
            <w:r w:rsidRPr="00B77D60">
              <w:rPr>
                <w:sz w:val="20"/>
                <w:szCs w:val="20"/>
                <w:lang w:val="en-US"/>
              </w:rPr>
              <w:t>fragte</w:t>
            </w:r>
            <w:proofErr w:type="spellEnd"/>
            <w:r w:rsidRPr="00B77D60">
              <w:rPr>
                <w:sz w:val="20"/>
                <w:szCs w:val="20"/>
                <w:lang w:val="en-US"/>
              </w:rPr>
              <w:t xml:space="preserve"> der Dissens: </w:t>
            </w:r>
            <w:r>
              <w:rPr>
                <w:sz w:val="20"/>
                <w:szCs w:val="20"/>
                <w:lang w:val="en-US"/>
              </w:rPr>
              <w:t>„</w:t>
            </w:r>
            <w:r w:rsidRPr="00B77D60">
              <w:rPr>
                <w:sz w:val="20"/>
                <w:szCs w:val="20"/>
                <w:lang w:val="en-US"/>
              </w:rPr>
              <w:t>What […] is meant by this provision</w:t>
            </w:r>
            <w:proofErr w:type="gramStart"/>
            <w:r w:rsidRPr="00B77D60">
              <w:rPr>
                <w:sz w:val="20"/>
                <w:szCs w:val="20"/>
                <w:lang w:val="en-US"/>
              </w:rPr>
              <w:t xml:space="preserve">, </w:t>
            </w:r>
            <w:r>
              <w:rPr>
                <w:sz w:val="20"/>
                <w:szCs w:val="20"/>
                <w:lang w:val="en-US"/>
              </w:rPr>
              <w:t>,</w:t>
            </w:r>
            <w:r w:rsidRPr="00B77D60">
              <w:rPr>
                <w:sz w:val="20"/>
                <w:szCs w:val="20"/>
                <w:lang w:val="en-US"/>
              </w:rPr>
              <w:t>Equal</w:t>
            </w:r>
            <w:proofErr w:type="gramEnd"/>
            <w:r w:rsidRPr="00B77D60">
              <w:rPr>
                <w:sz w:val="20"/>
                <w:szCs w:val="20"/>
                <w:lang w:val="en-US"/>
              </w:rPr>
              <w:t xml:space="preserve"> protection of the </w:t>
            </w:r>
            <w:proofErr w:type="gramStart"/>
            <w:r w:rsidRPr="00B77D60">
              <w:rPr>
                <w:sz w:val="20"/>
                <w:szCs w:val="20"/>
                <w:lang w:val="en-US"/>
              </w:rPr>
              <w:t>laws</w:t>
            </w:r>
            <w:r>
              <w:rPr>
                <w:sz w:val="20"/>
                <w:szCs w:val="20"/>
                <w:lang w:val="en-US"/>
              </w:rPr>
              <w:t>‘</w:t>
            </w:r>
            <w:r w:rsidRPr="00B77D60">
              <w:rPr>
                <w:sz w:val="20"/>
                <w:szCs w:val="20"/>
                <w:lang w:val="en-US"/>
              </w:rPr>
              <w:t>?</w:t>
            </w:r>
            <w:r>
              <w:rPr>
                <w:sz w:val="20"/>
                <w:szCs w:val="20"/>
                <w:lang w:val="en-US"/>
              </w:rPr>
              <w:t>“</w:t>
            </w:r>
            <w:proofErr w:type="gramEnd"/>
            <w:r w:rsidRPr="00B77D60">
              <w:rPr>
                <w:sz w:val="20"/>
                <w:szCs w:val="20"/>
                <w:vertAlign w:val="superscript"/>
              </w:rPr>
              <w:footnoteReference w:id="2316"/>
            </w:r>
            <w:r w:rsidRPr="00B77D60">
              <w:rPr>
                <w:sz w:val="20"/>
                <w:szCs w:val="20"/>
                <w:lang w:val="en-US"/>
              </w:rPr>
              <w:t xml:space="preserve"> </w:t>
            </w:r>
            <w:r w:rsidRPr="001B6693">
              <w:rPr>
                <w:sz w:val="20"/>
                <w:szCs w:val="20"/>
              </w:rPr>
              <w:t xml:space="preserve">Die Antwort: Im Kern meint dies, das gleiche Streben nach Glück zu ermöglichen („the </w:t>
            </w:r>
            <w:proofErr w:type="spellStart"/>
            <w:r w:rsidRPr="001B6693">
              <w:rPr>
                <w:sz w:val="20"/>
                <w:szCs w:val="20"/>
              </w:rPr>
              <w:t>pursuit</w:t>
            </w:r>
            <w:proofErr w:type="spellEnd"/>
            <w:r w:rsidRPr="001B6693">
              <w:rPr>
                <w:sz w:val="20"/>
                <w:szCs w:val="20"/>
              </w:rPr>
              <w:t xml:space="preserve"> of </w:t>
            </w:r>
            <w:proofErr w:type="spellStart"/>
            <w:r w:rsidRPr="001B6693">
              <w:rPr>
                <w:sz w:val="20"/>
                <w:szCs w:val="20"/>
              </w:rPr>
              <w:t>happiness</w:t>
            </w:r>
            <w:proofErr w:type="spellEnd"/>
            <w:r w:rsidRPr="001B6693">
              <w:rPr>
                <w:sz w:val="20"/>
                <w:szCs w:val="20"/>
              </w:rPr>
              <w:t xml:space="preserve">, </w:t>
            </w:r>
            <w:proofErr w:type="spellStart"/>
            <w:r w:rsidRPr="001B6693">
              <w:rPr>
                <w:sz w:val="20"/>
                <w:szCs w:val="20"/>
              </w:rPr>
              <w:t>which</w:t>
            </w:r>
            <w:proofErr w:type="spellEnd"/>
            <w:r w:rsidRPr="001B6693">
              <w:rPr>
                <w:sz w:val="20"/>
                <w:szCs w:val="20"/>
              </w:rPr>
              <w:t xml:space="preserve"> do not </w:t>
            </w:r>
            <w:proofErr w:type="spellStart"/>
            <w:r w:rsidRPr="001B6693">
              <w:rPr>
                <w:sz w:val="20"/>
                <w:szCs w:val="20"/>
              </w:rPr>
              <w:t>equally</w:t>
            </w:r>
            <w:proofErr w:type="spellEnd"/>
            <w:r w:rsidRPr="001B6693">
              <w:rPr>
                <w:sz w:val="20"/>
                <w:szCs w:val="20"/>
              </w:rPr>
              <w:t xml:space="preserve"> </w:t>
            </w:r>
            <w:proofErr w:type="spellStart"/>
            <w:r w:rsidRPr="001B6693">
              <w:rPr>
                <w:sz w:val="20"/>
                <w:szCs w:val="20"/>
              </w:rPr>
              <w:t>affect</w:t>
            </w:r>
            <w:proofErr w:type="spellEnd"/>
            <w:r w:rsidRPr="001B6693">
              <w:rPr>
                <w:sz w:val="20"/>
                <w:szCs w:val="20"/>
              </w:rPr>
              <w:t xml:space="preserve"> </w:t>
            </w:r>
            <w:proofErr w:type="spellStart"/>
            <w:proofErr w:type="gramStart"/>
            <w:r w:rsidRPr="001B6693">
              <w:rPr>
                <w:sz w:val="20"/>
                <w:szCs w:val="20"/>
              </w:rPr>
              <w:t>others</w:t>
            </w:r>
            <w:proofErr w:type="spellEnd"/>
            <w:r w:rsidRPr="001B6693">
              <w:rPr>
                <w:sz w:val="20"/>
                <w:szCs w:val="20"/>
              </w:rPr>
              <w:t>“</w:t>
            </w:r>
            <w:proofErr w:type="gramEnd"/>
            <w:r w:rsidRPr="00B77D60">
              <w:rPr>
                <w:sz w:val="20"/>
                <w:szCs w:val="20"/>
                <w:vertAlign w:val="superscript"/>
                <w:lang w:val="en-US"/>
              </w:rPr>
              <w:footnoteReference w:id="2317"/>
            </w:r>
            <w:r w:rsidRPr="001B6693">
              <w:rPr>
                <w:sz w:val="20"/>
                <w:szCs w:val="20"/>
              </w:rPr>
              <w:t xml:space="preserve">). </w:t>
            </w:r>
            <w:r w:rsidRPr="00B77D60">
              <w:rPr>
                <w:sz w:val="20"/>
                <w:szCs w:val="20"/>
              </w:rPr>
              <w:t>Mit diesen Bedingung</w:t>
            </w:r>
            <w:r>
              <w:rPr>
                <w:sz w:val="20"/>
                <w:szCs w:val="20"/>
              </w:rPr>
              <w:t>e</w:t>
            </w:r>
            <w:r w:rsidRPr="00B77D60">
              <w:rPr>
                <w:sz w:val="20"/>
                <w:szCs w:val="20"/>
              </w:rPr>
              <w:t>n für ein gleiches Streben nach Glück korrelieren wiederum sechs Rechte</w:t>
            </w:r>
            <w:r w:rsidR="00BC27CA">
              <w:rPr>
                <w:sz w:val="20"/>
                <w:szCs w:val="20"/>
              </w:rPr>
              <w:t>, u.a.</w:t>
            </w:r>
            <w:r w:rsidRPr="00B77D60">
              <w:rPr>
                <w:sz w:val="20"/>
                <w:szCs w:val="20"/>
              </w:rPr>
              <w:t xml:space="preserve">: </w:t>
            </w:r>
            <w:r>
              <w:rPr>
                <w:sz w:val="20"/>
                <w:szCs w:val="20"/>
              </w:rPr>
              <w:t>d</w:t>
            </w:r>
            <w:r w:rsidRPr="00B77D60">
              <w:rPr>
                <w:sz w:val="20"/>
                <w:szCs w:val="20"/>
              </w:rPr>
              <w:t>ie Gleichheit durch Gesetze, der gleiche Zugang zu Gerichten und Verfahren, die gleiche Erwerbsmöglichkeit bzgl. des Eigentums</w:t>
            </w:r>
            <w:r>
              <w:rPr>
                <w:sz w:val="20"/>
                <w:szCs w:val="20"/>
              </w:rPr>
              <w:t xml:space="preserve"> und</w:t>
            </w:r>
            <w:r w:rsidRPr="00B77D60">
              <w:rPr>
                <w:sz w:val="20"/>
                <w:szCs w:val="20"/>
              </w:rPr>
              <w:t xml:space="preserve"> die Persönlichkeitsfreiheit – zusammengefasst als Bedingungen für gleiches Glücksstreben. Aus diesem Konglomerat an Rechten für Glück</w:t>
            </w:r>
            <w:r>
              <w:rPr>
                <w:sz w:val="20"/>
                <w:szCs w:val="20"/>
              </w:rPr>
              <w:t>s</w:t>
            </w:r>
            <w:r w:rsidRPr="00B77D60">
              <w:rPr>
                <w:sz w:val="20"/>
                <w:szCs w:val="20"/>
              </w:rPr>
              <w:t xml:space="preserve">bedingungen </w:t>
            </w:r>
            <w:r>
              <w:rPr>
                <w:sz w:val="20"/>
                <w:szCs w:val="20"/>
              </w:rPr>
              <w:t>lasse</w:t>
            </w:r>
            <w:r w:rsidRPr="00B77D60">
              <w:rPr>
                <w:sz w:val="20"/>
                <w:szCs w:val="20"/>
              </w:rPr>
              <w:t xml:space="preserve"> sich aber nicht schließen, dass </w:t>
            </w:r>
            <w:r>
              <w:rPr>
                <w:sz w:val="20"/>
                <w:szCs w:val="20"/>
              </w:rPr>
              <w:t>z.B.</w:t>
            </w:r>
            <w:r w:rsidRPr="00B77D60">
              <w:rPr>
                <w:sz w:val="20"/>
                <w:szCs w:val="20"/>
              </w:rPr>
              <w:t xml:space="preserve"> Angehörige einer anderen Rasse als Geschworene befangen sein müss</w:t>
            </w:r>
            <w:r>
              <w:rPr>
                <w:sz w:val="20"/>
                <w:szCs w:val="20"/>
              </w:rPr>
              <w:t>t</w:t>
            </w:r>
            <w:r w:rsidRPr="00B77D60">
              <w:rPr>
                <w:sz w:val="20"/>
                <w:szCs w:val="20"/>
              </w:rPr>
              <w:t>en („</w:t>
            </w:r>
            <w:proofErr w:type="spellStart"/>
            <w:r w:rsidRPr="00B77D60">
              <w:rPr>
                <w:sz w:val="20"/>
                <w:szCs w:val="20"/>
              </w:rPr>
              <w:t>white</w:t>
            </w:r>
            <w:proofErr w:type="spellEnd"/>
            <w:r w:rsidRPr="00B77D60">
              <w:rPr>
                <w:sz w:val="20"/>
                <w:szCs w:val="20"/>
              </w:rPr>
              <w:t xml:space="preserve"> </w:t>
            </w:r>
            <w:proofErr w:type="spellStart"/>
            <w:r w:rsidRPr="00B77D60">
              <w:rPr>
                <w:sz w:val="20"/>
                <w:szCs w:val="20"/>
              </w:rPr>
              <w:t>persons</w:t>
            </w:r>
            <w:proofErr w:type="spellEnd"/>
            <w:r w:rsidRPr="00B77D60">
              <w:rPr>
                <w:sz w:val="20"/>
                <w:szCs w:val="20"/>
              </w:rPr>
              <w:t xml:space="preserve"> will </w:t>
            </w:r>
            <w:proofErr w:type="spellStart"/>
            <w:r w:rsidRPr="00B77D60">
              <w:rPr>
                <w:sz w:val="20"/>
                <w:szCs w:val="20"/>
              </w:rPr>
              <w:t>be</w:t>
            </w:r>
            <w:proofErr w:type="spellEnd"/>
            <w:r w:rsidRPr="00B77D60">
              <w:rPr>
                <w:sz w:val="20"/>
                <w:szCs w:val="20"/>
              </w:rPr>
              <w:t xml:space="preserve"> </w:t>
            </w:r>
            <w:proofErr w:type="spellStart"/>
            <w:r w:rsidRPr="00B77D60">
              <w:rPr>
                <w:sz w:val="20"/>
                <w:szCs w:val="20"/>
              </w:rPr>
              <w:t>prejudiced</w:t>
            </w:r>
            <w:proofErr w:type="spellEnd"/>
            <w:r w:rsidRPr="00B77D60">
              <w:rPr>
                <w:sz w:val="20"/>
                <w:szCs w:val="20"/>
              </w:rPr>
              <w:t xml:space="preserve"> </w:t>
            </w:r>
            <w:proofErr w:type="spellStart"/>
            <w:r w:rsidRPr="00B77D60">
              <w:rPr>
                <w:sz w:val="20"/>
                <w:szCs w:val="20"/>
              </w:rPr>
              <w:t>jurors</w:t>
            </w:r>
            <w:proofErr w:type="spellEnd"/>
            <w:r w:rsidRPr="00B77D60">
              <w:rPr>
                <w:sz w:val="20"/>
                <w:szCs w:val="20"/>
              </w:rPr>
              <w:t xml:space="preserve">“). </w:t>
            </w:r>
            <w:r w:rsidR="00023A37">
              <w:rPr>
                <w:sz w:val="20"/>
                <w:szCs w:val="20"/>
                <w:lang w:val="en-US"/>
              </w:rPr>
              <w:t xml:space="preserve">U.S. Const. </w:t>
            </w:r>
            <w:proofErr w:type="gramStart"/>
            <w:r w:rsidR="00023A37">
              <w:rPr>
                <w:sz w:val="20"/>
                <w:szCs w:val="20"/>
                <w:lang w:val="en-US"/>
              </w:rPr>
              <w:t>amend</w:t>
            </w:r>
            <w:proofErr w:type="gramEnd"/>
            <w:r w:rsidR="00023A37">
              <w:rPr>
                <w:sz w:val="20"/>
                <w:szCs w:val="20"/>
                <w:lang w:val="en-US"/>
              </w:rPr>
              <w:t>. XIV</w:t>
            </w:r>
            <w:r w:rsidRPr="00B77D60">
              <w:rPr>
                <w:sz w:val="20"/>
                <w:szCs w:val="20"/>
                <w:lang w:val="en-US"/>
              </w:rPr>
              <w:t xml:space="preserve"> i</w:t>
            </w:r>
            <w:r>
              <w:rPr>
                <w:sz w:val="20"/>
                <w:szCs w:val="20"/>
                <w:lang w:val="en-US"/>
              </w:rPr>
              <w:t xml:space="preserve">n </w:t>
            </w:r>
            <w:proofErr w:type="spellStart"/>
            <w:r>
              <w:rPr>
                <w:sz w:val="20"/>
                <w:szCs w:val="20"/>
                <w:lang w:val="en-US"/>
              </w:rPr>
              <w:t>Verbindung</w:t>
            </w:r>
            <w:proofErr w:type="spellEnd"/>
            <w:r>
              <w:rPr>
                <w:sz w:val="20"/>
                <w:szCs w:val="20"/>
                <w:lang w:val="en-US"/>
              </w:rPr>
              <w:t xml:space="preserve"> </w:t>
            </w:r>
            <w:proofErr w:type="spellStart"/>
            <w:r>
              <w:rPr>
                <w:sz w:val="20"/>
                <w:szCs w:val="20"/>
                <w:lang w:val="en-US"/>
              </w:rPr>
              <w:t>mit</w:t>
            </w:r>
            <w:proofErr w:type="spellEnd"/>
            <w:r w:rsidRPr="00B77D60">
              <w:rPr>
                <w:sz w:val="20"/>
                <w:szCs w:val="20"/>
                <w:lang w:val="en-US"/>
              </w:rPr>
              <w:t xml:space="preserve"> den </w:t>
            </w:r>
            <w:proofErr w:type="spellStart"/>
            <w:r w:rsidRPr="00B77D60">
              <w:rPr>
                <w:sz w:val="20"/>
                <w:szCs w:val="20"/>
                <w:lang w:val="en-US"/>
              </w:rPr>
              <w:t>Bedingungen</w:t>
            </w:r>
            <w:proofErr w:type="spellEnd"/>
            <w:r w:rsidRPr="00B77D60">
              <w:rPr>
                <w:sz w:val="20"/>
                <w:szCs w:val="20"/>
                <w:lang w:val="en-US"/>
              </w:rPr>
              <w:t xml:space="preserve"> von Glück </w:t>
            </w:r>
            <w:proofErr w:type="spellStart"/>
            <w:r w:rsidRPr="00B77D60">
              <w:rPr>
                <w:sz w:val="20"/>
                <w:szCs w:val="20"/>
                <w:lang w:val="en-US"/>
              </w:rPr>
              <w:t>rechtfertig</w:t>
            </w:r>
            <w:r>
              <w:rPr>
                <w:sz w:val="20"/>
                <w:szCs w:val="20"/>
                <w:lang w:val="en-US"/>
              </w:rPr>
              <w:t>e</w:t>
            </w:r>
            <w:proofErr w:type="spellEnd"/>
            <w:r w:rsidRPr="00B77D60">
              <w:rPr>
                <w:sz w:val="20"/>
                <w:szCs w:val="20"/>
                <w:lang w:val="en-US"/>
              </w:rPr>
              <w:t xml:space="preserve"> </w:t>
            </w:r>
            <w:proofErr w:type="spellStart"/>
            <w:r w:rsidRPr="00B77D60">
              <w:rPr>
                <w:sz w:val="20"/>
                <w:szCs w:val="20"/>
                <w:lang w:val="en-US"/>
              </w:rPr>
              <w:t>damit</w:t>
            </w:r>
            <w:proofErr w:type="spellEnd"/>
            <w:r w:rsidRPr="00B77D60">
              <w:rPr>
                <w:sz w:val="20"/>
                <w:szCs w:val="20"/>
                <w:lang w:val="en-US"/>
              </w:rPr>
              <w:t xml:space="preserve"> nicht, </w:t>
            </w:r>
            <w:proofErr w:type="spellStart"/>
            <w:r w:rsidRPr="00B77D60">
              <w:rPr>
                <w:sz w:val="20"/>
                <w:szCs w:val="20"/>
                <w:lang w:val="en-US"/>
              </w:rPr>
              <w:t>dass</w:t>
            </w:r>
            <w:proofErr w:type="spellEnd"/>
            <w:r w:rsidRPr="00B77D60">
              <w:rPr>
                <w:sz w:val="20"/>
                <w:szCs w:val="20"/>
                <w:lang w:val="en-US"/>
              </w:rPr>
              <w:t xml:space="preserve"> </w:t>
            </w:r>
            <w:proofErr w:type="spellStart"/>
            <w:r w:rsidRPr="00B77D60">
              <w:rPr>
                <w:sz w:val="20"/>
                <w:szCs w:val="20"/>
                <w:lang w:val="en-US"/>
              </w:rPr>
              <w:t>Geschworene</w:t>
            </w:r>
            <w:proofErr w:type="spellEnd"/>
            <w:r w:rsidRPr="00B77D60">
              <w:rPr>
                <w:sz w:val="20"/>
                <w:szCs w:val="20"/>
                <w:lang w:val="en-US"/>
              </w:rPr>
              <w:t xml:space="preserve"> </w:t>
            </w:r>
            <w:proofErr w:type="spellStart"/>
            <w:r w:rsidRPr="00B77D60">
              <w:rPr>
                <w:sz w:val="20"/>
                <w:szCs w:val="20"/>
                <w:lang w:val="en-US"/>
              </w:rPr>
              <w:t>rassisch</w:t>
            </w:r>
            <w:proofErr w:type="spellEnd"/>
            <w:r w:rsidRPr="00B77D60">
              <w:rPr>
                <w:sz w:val="20"/>
                <w:szCs w:val="20"/>
                <w:lang w:val="en-US"/>
              </w:rPr>
              <w:t xml:space="preserve"> divers </w:t>
            </w:r>
            <w:proofErr w:type="spellStart"/>
            <w:r w:rsidRPr="00B77D60">
              <w:rPr>
                <w:sz w:val="20"/>
                <w:szCs w:val="20"/>
                <w:lang w:val="en-US"/>
              </w:rPr>
              <w:t>besetzt</w:t>
            </w:r>
            <w:proofErr w:type="spellEnd"/>
            <w:r w:rsidRPr="00B77D60">
              <w:rPr>
                <w:sz w:val="20"/>
                <w:szCs w:val="20"/>
                <w:lang w:val="en-US"/>
              </w:rPr>
              <w:t xml:space="preserve"> </w:t>
            </w:r>
            <w:proofErr w:type="spellStart"/>
            <w:r w:rsidRPr="00B77D60">
              <w:rPr>
                <w:sz w:val="20"/>
                <w:szCs w:val="20"/>
                <w:lang w:val="en-US"/>
              </w:rPr>
              <w:t>werden</w:t>
            </w:r>
            <w:proofErr w:type="spellEnd"/>
            <w:r w:rsidRPr="00B77D60">
              <w:rPr>
                <w:sz w:val="20"/>
                <w:szCs w:val="20"/>
                <w:lang w:val="en-US"/>
              </w:rPr>
              <w:t xml:space="preserve"> </w:t>
            </w:r>
            <w:proofErr w:type="spellStart"/>
            <w:r w:rsidRPr="00B77D60">
              <w:rPr>
                <w:sz w:val="20"/>
                <w:szCs w:val="20"/>
                <w:lang w:val="en-US"/>
              </w:rPr>
              <w:t>müss</w:t>
            </w:r>
            <w:r>
              <w:rPr>
                <w:sz w:val="20"/>
                <w:szCs w:val="20"/>
                <w:lang w:val="en-US"/>
              </w:rPr>
              <w:t>t</w:t>
            </w:r>
            <w:r w:rsidRPr="00B77D60">
              <w:rPr>
                <w:sz w:val="20"/>
                <w:szCs w:val="20"/>
                <w:lang w:val="en-US"/>
              </w:rPr>
              <w:t>en</w:t>
            </w:r>
            <w:proofErr w:type="spellEnd"/>
            <w:r w:rsidRPr="00B77D60">
              <w:rPr>
                <w:sz w:val="20"/>
                <w:szCs w:val="20"/>
                <w:lang w:val="en-US"/>
              </w:rPr>
              <w:t xml:space="preserve"> </w:t>
            </w:r>
            <w:r w:rsidRPr="00B77D60">
              <w:rPr>
                <w:sz w:val="20"/>
                <w:szCs w:val="20"/>
                <w:lang w:val="en-US"/>
              </w:rPr>
              <w:lastRenderedPageBreak/>
              <w:t xml:space="preserve">(„any warrant in the Fourteenth Amendment for the legislation of Congress interfering with the selection of jurors in the State courts, […] any error in the ruling of the court of </w:t>
            </w:r>
            <w:proofErr w:type="gramStart"/>
            <w:r w:rsidRPr="00B77D60">
              <w:rPr>
                <w:sz w:val="20"/>
                <w:szCs w:val="20"/>
                <w:lang w:val="en-US"/>
              </w:rPr>
              <w:t>Delaware“</w:t>
            </w:r>
            <w:proofErr w:type="gramEnd"/>
            <w:r w:rsidRPr="00B77D60">
              <w:rPr>
                <w:sz w:val="20"/>
                <w:szCs w:val="20"/>
                <w:vertAlign w:val="superscript"/>
                <w:lang w:val="en-US"/>
              </w:rPr>
              <w:footnoteReference w:id="2318"/>
            </w:r>
            <w:r w:rsidRPr="00B45592">
              <w:rPr>
                <w:sz w:val="20"/>
                <w:szCs w:val="20"/>
                <w:lang w:val="en-IE"/>
              </w:rPr>
              <w:t xml:space="preserve">). </w:t>
            </w:r>
            <w:r w:rsidRPr="00B77D60">
              <w:rPr>
                <w:sz w:val="20"/>
                <w:szCs w:val="20"/>
              </w:rPr>
              <w:t xml:space="preserve">Und als </w:t>
            </w:r>
            <w:proofErr w:type="spellStart"/>
            <w:r w:rsidRPr="5B67C1D2">
              <w:rPr>
                <w:i/>
                <w:iCs/>
                <w:sz w:val="20"/>
                <w:szCs w:val="20"/>
              </w:rPr>
              <w:t>lex</w:t>
            </w:r>
            <w:proofErr w:type="spellEnd"/>
            <w:r w:rsidRPr="5B67C1D2">
              <w:rPr>
                <w:i/>
                <w:iCs/>
                <w:sz w:val="20"/>
                <w:szCs w:val="20"/>
              </w:rPr>
              <w:t xml:space="preserve"> </w:t>
            </w:r>
            <w:proofErr w:type="spellStart"/>
            <w:r w:rsidRPr="5B67C1D2">
              <w:rPr>
                <w:i/>
                <w:iCs/>
                <w:sz w:val="20"/>
                <w:szCs w:val="20"/>
              </w:rPr>
              <w:t>speciales</w:t>
            </w:r>
            <w:proofErr w:type="spellEnd"/>
            <w:r w:rsidRPr="00B77D60">
              <w:rPr>
                <w:sz w:val="20"/>
                <w:szCs w:val="20"/>
              </w:rPr>
              <w:t xml:space="preserve"> sperre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XIV</w:t>
            </w:r>
            <w:r w:rsidRPr="00B77D60">
              <w:rPr>
                <w:sz w:val="20"/>
                <w:szCs w:val="20"/>
              </w:rPr>
              <w:t xml:space="preserve"> andere Amendments wie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XIII und XV.</w:t>
            </w:r>
          </w:p>
          <w:p w14:paraId="4E51DD9E" w14:textId="2F23DDA7" w:rsidR="0056095C" w:rsidRPr="00B77D60" w:rsidRDefault="0056095C" w:rsidP="00367133">
            <w:pPr>
              <w:jc w:val="both"/>
              <w:rPr>
                <w:sz w:val="20"/>
                <w:szCs w:val="20"/>
              </w:rPr>
            </w:pPr>
          </w:p>
        </w:tc>
      </w:tr>
      <w:tr w:rsidR="00074551" w:rsidRPr="002E1085" w14:paraId="756450C5" w14:textId="77777777" w:rsidTr="00BE689F">
        <w:trPr>
          <w:cantSplit/>
          <w:trHeight w:val="3175"/>
        </w:trPr>
        <w:tc>
          <w:tcPr>
            <w:tcW w:w="293" w:type="pct"/>
          </w:tcPr>
          <w:p w14:paraId="35D45A53" w14:textId="77777777" w:rsidR="00074551" w:rsidRPr="00E50B51" w:rsidRDefault="00074551" w:rsidP="00367133">
            <w:pPr>
              <w:ind w:right="416"/>
              <w:jc w:val="center"/>
              <w:rPr>
                <w:sz w:val="20"/>
                <w:szCs w:val="20"/>
              </w:rPr>
            </w:pPr>
            <w:proofErr w:type="spellStart"/>
            <w:r w:rsidRPr="00E50B51">
              <w:rPr>
                <w:sz w:val="20"/>
                <w:szCs w:val="20"/>
              </w:rPr>
              <w:lastRenderedPageBreak/>
              <w:t>poH</w:t>
            </w:r>
            <w:proofErr w:type="spellEnd"/>
          </w:p>
        </w:tc>
        <w:tc>
          <w:tcPr>
            <w:tcW w:w="387" w:type="pct"/>
            <w:textDirection w:val="tbRl"/>
            <w:vAlign w:val="center"/>
          </w:tcPr>
          <w:p w14:paraId="2E99E60A" w14:textId="77777777" w:rsidR="00074551" w:rsidRPr="00B45592" w:rsidRDefault="00074551" w:rsidP="00367133">
            <w:pPr>
              <w:ind w:left="113" w:right="416"/>
              <w:jc w:val="both"/>
              <w:rPr>
                <w:i/>
                <w:sz w:val="20"/>
                <w:szCs w:val="20"/>
                <w:lang w:val="en-US"/>
              </w:rPr>
            </w:pPr>
            <w:r w:rsidRPr="00B45592">
              <w:rPr>
                <w:i/>
                <w:sz w:val="20"/>
                <w:szCs w:val="20"/>
              </w:rPr>
              <w:t>United States v. Reese</w:t>
            </w:r>
          </w:p>
        </w:tc>
        <w:tc>
          <w:tcPr>
            <w:tcW w:w="197" w:type="pct"/>
            <w:textDirection w:val="tbRl"/>
            <w:vAlign w:val="center"/>
          </w:tcPr>
          <w:p w14:paraId="611AD6D6" w14:textId="77777777" w:rsidR="00074551" w:rsidRPr="00E50B51" w:rsidRDefault="00074551" w:rsidP="00367133">
            <w:pPr>
              <w:ind w:left="113" w:right="113"/>
              <w:jc w:val="both"/>
              <w:rPr>
                <w:iCs/>
                <w:sz w:val="20"/>
                <w:szCs w:val="20"/>
                <w:lang w:val="en-US"/>
              </w:rPr>
            </w:pPr>
            <w:r w:rsidRPr="00E50B51">
              <w:rPr>
                <w:sz w:val="20"/>
                <w:szCs w:val="20"/>
                <w:lang w:val="en-US"/>
              </w:rPr>
              <w:t>92 U.S. 214</w:t>
            </w:r>
          </w:p>
        </w:tc>
        <w:tc>
          <w:tcPr>
            <w:tcW w:w="306" w:type="pct"/>
            <w:textDirection w:val="tbRl"/>
            <w:vAlign w:val="center"/>
          </w:tcPr>
          <w:p w14:paraId="5DB0BB56" w14:textId="77777777" w:rsidR="00074551" w:rsidRPr="00E50B51" w:rsidRDefault="00074551" w:rsidP="00367133">
            <w:pPr>
              <w:ind w:left="113" w:right="113"/>
              <w:jc w:val="both"/>
              <w:rPr>
                <w:sz w:val="20"/>
                <w:szCs w:val="20"/>
                <w:lang w:val="en-US"/>
              </w:rPr>
            </w:pPr>
            <w:r w:rsidRPr="00E50B51">
              <w:rPr>
                <w:sz w:val="20"/>
                <w:szCs w:val="20"/>
              </w:rPr>
              <w:t>27. März 1878</w:t>
            </w:r>
          </w:p>
        </w:tc>
        <w:tc>
          <w:tcPr>
            <w:tcW w:w="401" w:type="pct"/>
          </w:tcPr>
          <w:p w14:paraId="600FCC26" w14:textId="6056DEFC" w:rsidR="00074551" w:rsidRPr="00E50B51" w:rsidRDefault="00074551" w:rsidP="00BC27CA">
            <w:pPr>
              <w:rPr>
                <w:sz w:val="20"/>
                <w:szCs w:val="20"/>
                <w:lang w:val="en-US"/>
              </w:rPr>
            </w:pPr>
            <w:r w:rsidRPr="00E50B51">
              <w:rPr>
                <w:sz w:val="20"/>
                <w:szCs w:val="20"/>
              </w:rPr>
              <w:t>D</w:t>
            </w:r>
            <w:r w:rsidR="00EF70A1">
              <w:rPr>
                <w:rStyle w:val="Funotenzeichen"/>
                <w:sz w:val="20"/>
                <w:szCs w:val="20"/>
              </w:rPr>
              <w:footnoteReference w:id="2319"/>
            </w:r>
          </w:p>
        </w:tc>
        <w:tc>
          <w:tcPr>
            <w:tcW w:w="1594" w:type="pct"/>
          </w:tcPr>
          <w:p w14:paraId="5917BBF3"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49D116CB" w14:textId="4E1AB3AE" w:rsidR="00074551" w:rsidRPr="00EF70A1" w:rsidRDefault="00074551" w:rsidP="00367133">
            <w:pPr>
              <w:jc w:val="both"/>
              <w:rPr>
                <w:sz w:val="20"/>
                <w:szCs w:val="20"/>
                <w:lang w:val="en-IE"/>
              </w:rPr>
            </w:pPr>
            <w:r w:rsidRPr="00A306A1">
              <w:rPr>
                <w:sz w:val="20"/>
                <w:szCs w:val="20"/>
              </w:rPr>
              <w:t xml:space="preserve">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A306A1">
              <w:rPr>
                <w:sz w:val="20"/>
                <w:szCs w:val="20"/>
              </w:rPr>
              <w:t xml:space="preserve"> schrieb,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A306A1">
              <w:rPr>
                <w:sz w:val="20"/>
                <w:szCs w:val="20"/>
              </w:rPr>
              <w:t xml:space="preserve"> verleihe kein Wahlrecht. E</w:t>
            </w:r>
            <w:r>
              <w:rPr>
                <w:sz w:val="20"/>
                <w:szCs w:val="20"/>
              </w:rPr>
              <w:t>s</w:t>
            </w:r>
            <w:r w:rsidRPr="00A306A1">
              <w:rPr>
                <w:sz w:val="20"/>
                <w:szCs w:val="20"/>
              </w:rPr>
              <w:t xml:space="preserve"> hindere Bundesstaaten nur daran, einen Bürger aufgrund seiner Rasse, seiner Hautfarbe oder seines früheren Leibeigenschaftsstatus gegenüber einem anderen zu be</w:t>
            </w:r>
            <w:r>
              <w:rPr>
                <w:sz w:val="20"/>
                <w:szCs w:val="20"/>
              </w:rPr>
              <w:t>nachteilige</w:t>
            </w:r>
            <w:r w:rsidRPr="00A306A1">
              <w:rPr>
                <w:sz w:val="20"/>
                <w:szCs w:val="20"/>
              </w:rPr>
              <w:t>n – im Fall ging es um Wahlprüfer, die sich weigerten</w:t>
            </w:r>
            <w:r>
              <w:rPr>
                <w:sz w:val="20"/>
                <w:szCs w:val="20"/>
              </w:rPr>
              <w:t>,</w:t>
            </w:r>
            <w:r w:rsidRPr="00A306A1">
              <w:rPr>
                <w:sz w:val="20"/>
                <w:szCs w:val="20"/>
              </w:rPr>
              <w:t xml:space="preserve"> Stimmen von Minderheiten zu zählen.</w:t>
            </w:r>
            <w:r w:rsidRPr="00A306A1">
              <w:rPr>
                <w:sz w:val="20"/>
                <w:szCs w:val="20"/>
                <w:vertAlign w:val="superscript"/>
              </w:rPr>
              <w:footnoteReference w:id="2320"/>
            </w:r>
            <w:r w:rsidRPr="00A306A1">
              <w:rPr>
                <w:sz w:val="20"/>
                <w:szCs w:val="20"/>
              </w:rPr>
              <w:t xml:space="preserve"> Dem widerspricht der Dissens: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A306A1">
              <w:rPr>
                <w:sz w:val="20"/>
                <w:szCs w:val="20"/>
              </w:rPr>
              <w:t xml:space="preserve"> verleihe sehr wohl das Wahlrecht. Die </w:t>
            </w:r>
            <w:proofErr w:type="spellStart"/>
            <w:r w:rsidRPr="5B67C1D2">
              <w:rPr>
                <w:i/>
                <w:iCs/>
                <w:sz w:val="20"/>
                <w:szCs w:val="20"/>
              </w:rPr>
              <w:t>majority</w:t>
            </w:r>
            <w:proofErr w:type="spellEnd"/>
            <w:r w:rsidRPr="5B67C1D2">
              <w:rPr>
                <w:i/>
                <w:iCs/>
                <w:sz w:val="20"/>
                <w:szCs w:val="20"/>
              </w:rPr>
              <w:t xml:space="preserve"> </w:t>
            </w:r>
            <w:proofErr w:type="spellStart"/>
            <w:r w:rsidRPr="5B67C1D2">
              <w:rPr>
                <w:i/>
                <w:iCs/>
                <w:sz w:val="20"/>
                <w:szCs w:val="20"/>
              </w:rPr>
              <w:t>opinion</w:t>
            </w:r>
            <w:proofErr w:type="spellEnd"/>
            <w:r w:rsidRPr="00A306A1">
              <w:rPr>
                <w:sz w:val="20"/>
                <w:szCs w:val="20"/>
              </w:rPr>
              <w:t xml:space="preserve"> missachte die historische Zielsetzung </w:t>
            </w:r>
            <w:r>
              <w:rPr>
                <w:sz w:val="20"/>
                <w:szCs w:val="20"/>
              </w:rPr>
              <w:t>von</w:t>
            </w:r>
            <w:r w:rsidRPr="00A306A1">
              <w:rPr>
                <w:sz w:val="20"/>
                <w:szCs w:val="20"/>
              </w:rPr>
              <w:t xml:space="preserve">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sidRPr="00A306A1">
              <w:rPr>
                <w:sz w:val="20"/>
                <w:szCs w:val="20"/>
              </w:rPr>
              <w:t xml:space="preserve"> </w:t>
            </w:r>
            <w:r w:rsidRPr="004F6665">
              <w:rPr>
                <w:sz w:val="20"/>
                <w:szCs w:val="20"/>
              </w:rPr>
              <w:t xml:space="preserve">Denn historisch habe der Kongress mit dem </w:t>
            </w:r>
            <w:r w:rsidR="00023A37">
              <w:rPr>
                <w:sz w:val="20"/>
                <w:szCs w:val="20"/>
              </w:rPr>
              <w:t xml:space="preserve">U.S. </w:t>
            </w:r>
            <w:proofErr w:type="spellStart"/>
            <w:r w:rsidR="00023A37">
              <w:rPr>
                <w:sz w:val="20"/>
                <w:szCs w:val="20"/>
              </w:rPr>
              <w:t>Const</w:t>
            </w:r>
            <w:proofErr w:type="spellEnd"/>
            <w:r w:rsidR="00023A37">
              <w:rPr>
                <w:sz w:val="20"/>
                <w:szCs w:val="20"/>
              </w:rPr>
              <w:t xml:space="preserve">. </w:t>
            </w:r>
            <w:proofErr w:type="spellStart"/>
            <w:r w:rsidR="00023A37">
              <w:rPr>
                <w:sz w:val="20"/>
                <w:szCs w:val="20"/>
              </w:rPr>
              <w:t>amend</w:t>
            </w:r>
            <w:proofErr w:type="spellEnd"/>
            <w:r w:rsidR="00023A37">
              <w:rPr>
                <w:sz w:val="20"/>
                <w:szCs w:val="20"/>
              </w:rPr>
              <w:t>. XV</w:t>
            </w:r>
            <w:r>
              <w:rPr>
                <w:sz w:val="20"/>
                <w:szCs w:val="20"/>
                <w:lang w:val="en-US"/>
              </w:rPr>
              <w:t xml:space="preserve"> </w:t>
            </w:r>
            <w:proofErr w:type="spellStart"/>
            <w:r>
              <w:rPr>
                <w:sz w:val="20"/>
                <w:szCs w:val="20"/>
                <w:lang w:val="en-US"/>
              </w:rPr>
              <w:t>beabsichtigt</w:t>
            </w:r>
            <w:proofErr w:type="spellEnd"/>
            <w:r>
              <w:rPr>
                <w:sz w:val="20"/>
                <w:szCs w:val="20"/>
                <w:lang w:val="en-US"/>
              </w:rPr>
              <w:t>,</w:t>
            </w:r>
            <w:r w:rsidRPr="00A306A1">
              <w:rPr>
                <w:sz w:val="20"/>
                <w:szCs w:val="20"/>
                <w:lang w:val="en-US"/>
              </w:rPr>
              <w:t xml:space="preserve"> </w:t>
            </w:r>
            <w:proofErr w:type="spellStart"/>
            <w:r w:rsidRPr="00A306A1">
              <w:rPr>
                <w:sz w:val="20"/>
                <w:szCs w:val="20"/>
                <w:lang w:val="en-US"/>
              </w:rPr>
              <w:t>ehemaligen</w:t>
            </w:r>
            <w:proofErr w:type="spellEnd"/>
            <w:r w:rsidRPr="00A306A1">
              <w:rPr>
                <w:sz w:val="20"/>
                <w:szCs w:val="20"/>
                <w:lang w:val="en-US"/>
              </w:rPr>
              <w:t xml:space="preserve"> </w:t>
            </w:r>
            <w:proofErr w:type="spellStart"/>
            <w:r w:rsidRPr="00A306A1">
              <w:rPr>
                <w:sz w:val="20"/>
                <w:szCs w:val="20"/>
                <w:lang w:val="en-US"/>
              </w:rPr>
              <w:t>Sklaven</w:t>
            </w:r>
            <w:proofErr w:type="spellEnd"/>
            <w:r w:rsidRPr="00A306A1">
              <w:rPr>
                <w:sz w:val="20"/>
                <w:szCs w:val="20"/>
                <w:lang w:val="en-US"/>
              </w:rPr>
              <w:t xml:space="preserve"> </w:t>
            </w:r>
            <w:proofErr w:type="spellStart"/>
            <w:r w:rsidRPr="00A306A1">
              <w:rPr>
                <w:sz w:val="20"/>
                <w:szCs w:val="20"/>
                <w:lang w:val="en-US"/>
              </w:rPr>
              <w:t>zu</w:t>
            </w:r>
            <w:proofErr w:type="spellEnd"/>
            <w:r w:rsidRPr="00A306A1">
              <w:rPr>
                <w:sz w:val="20"/>
                <w:szCs w:val="20"/>
                <w:lang w:val="en-US"/>
              </w:rPr>
              <w:t xml:space="preserve"> </w:t>
            </w:r>
            <w:proofErr w:type="spellStart"/>
            <w:r w:rsidRPr="00A306A1">
              <w:rPr>
                <w:sz w:val="20"/>
                <w:szCs w:val="20"/>
                <w:lang w:val="en-US"/>
              </w:rPr>
              <w:t>ihren</w:t>
            </w:r>
            <w:proofErr w:type="spellEnd"/>
            <w:r w:rsidRPr="00A306A1">
              <w:rPr>
                <w:sz w:val="20"/>
                <w:szCs w:val="20"/>
                <w:lang w:val="en-US"/>
              </w:rPr>
              <w:t xml:space="preserve"> </w:t>
            </w:r>
            <w:proofErr w:type="spellStart"/>
            <w:r w:rsidRPr="00A306A1">
              <w:rPr>
                <w:sz w:val="20"/>
                <w:szCs w:val="20"/>
                <w:lang w:val="en-US"/>
              </w:rPr>
              <w:t>unveräußerlichen</w:t>
            </w:r>
            <w:proofErr w:type="spellEnd"/>
            <w:r w:rsidRPr="00A306A1">
              <w:rPr>
                <w:sz w:val="20"/>
                <w:szCs w:val="20"/>
                <w:lang w:val="en-US"/>
              </w:rPr>
              <w:t xml:space="preserve"> </w:t>
            </w:r>
            <w:proofErr w:type="spellStart"/>
            <w:r w:rsidRPr="00A306A1">
              <w:rPr>
                <w:sz w:val="20"/>
                <w:szCs w:val="20"/>
                <w:lang w:val="en-US"/>
              </w:rPr>
              <w:t>Rechten</w:t>
            </w:r>
            <w:proofErr w:type="spellEnd"/>
            <w:r w:rsidRPr="00A306A1">
              <w:rPr>
                <w:sz w:val="20"/>
                <w:szCs w:val="20"/>
                <w:lang w:val="en-US"/>
              </w:rPr>
              <w:t xml:space="preserve"> </w:t>
            </w:r>
            <w:proofErr w:type="spellStart"/>
            <w:r w:rsidRPr="00A306A1">
              <w:rPr>
                <w:sz w:val="20"/>
                <w:szCs w:val="20"/>
                <w:lang w:val="en-US"/>
              </w:rPr>
              <w:t>wie</w:t>
            </w:r>
            <w:proofErr w:type="spellEnd"/>
            <w:r w:rsidRPr="00A306A1">
              <w:rPr>
                <w:sz w:val="20"/>
                <w:szCs w:val="20"/>
                <w:lang w:val="en-US"/>
              </w:rPr>
              <w:t xml:space="preserve"> dem </w:t>
            </w:r>
            <w:proofErr w:type="spellStart"/>
            <w:r w:rsidRPr="00A306A1">
              <w:rPr>
                <w:sz w:val="20"/>
                <w:szCs w:val="20"/>
                <w:lang w:val="en-US"/>
              </w:rPr>
              <w:t>Streben</w:t>
            </w:r>
            <w:proofErr w:type="spellEnd"/>
            <w:r w:rsidRPr="00A306A1">
              <w:rPr>
                <w:sz w:val="20"/>
                <w:szCs w:val="20"/>
                <w:lang w:val="en-US"/>
              </w:rPr>
              <w:t xml:space="preserve"> </w:t>
            </w:r>
            <w:proofErr w:type="spellStart"/>
            <w:r w:rsidRPr="00A306A1">
              <w:rPr>
                <w:sz w:val="20"/>
                <w:szCs w:val="20"/>
                <w:lang w:val="en-US"/>
              </w:rPr>
              <w:t>nach</w:t>
            </w:r>
            <w:proofErr w:type="spellEnd"/>
            <w:r w:rsidRPr="00A306A1">
              <w:rPr>
                <w:sz w:val="20"/>
                <w:szCs w:val="20"/>
                <w:lang w:val="en-US"/>
              </w:rPr>
              <w:t xml:space="preserve"> Glück </w:t>
            </w:r>
            <w:proofErr w:type="spellStart"/>
            <w:r w:rsidRPr="00A306A1">
              <w:rPr>
                <w:sz w:val="20"/>
                <w:szCs w:val="20"/>
                <w:lang w:val="en-US"/>
              </w:rPr>
              <w:t>zu</w:t>
            </w:r>
            <w:proofErr w:type="spellEnd"/>
            <w:r w:rsidRPr="00A306A1">
              <w:rPr>
                <w:sz w:val="20"/>
                <w:szCs w:val="20"/>
                <w:lang w:val="en-US"/>
              </w:rPr>
              <w:t xml:space="preserve"> </w:t>
            </w:r>
            <w:proofErr w:type="spellStart"/>
            <w:r w:rsidRPr="00A306A1">
              <w:rPr>
                <w:sz w:val="20"/>
                <w:szCs w:val="20"/>
                <w:lang w:val="en-US"/>
              </w:rPr>
              <w:t>verhelfen</w:t>
            </w:r>
            <w:proofErr w:type="spellEnd"/>
            <w:r w:rsidRPr="00A306A1">
              <w:rPr>
                <w:sz w:val="20"/>
                <w:szCs w:val="20"/>
                <w:lang w:val="en-US"/>
              </w:rPr>
              <w:t xml:space="preserve">, und </w:t>
            </w:r>
            <w:proofErr w:type="spellStart"/>
            <w:r w:rsidRPr="00A306A1">
              <w:rPr>
                <w:sz w:val="20"/>
                <w:szCs w:val="20"/>
                <w:lang w:val="en-US"/>
              </w:rPr>
              <w:t>zwar</w:t>
            </w:r>
            <w:proofErr w:type="spellEnd"/>
            <w:r w:rsidRPr="00A306A1">
              <w:rPr>
                <w:sz w:val="20"/>
                <w:szCs w:val="20"/>
                <w:lang w:val="en-US"/>
              </w:rPr>
              <w:t xml:space="preserve"> </w:t>
            </w:r>
            <w:proofErr w:type="spellStart"/>
            <w:r w:rsidRPr="00A306A1">
              <w:rPr>
                <w:sz w:val="20"/>
                <w:szCs w:val="20"/>
                <w:lang w:val="en-US"/>
              </w:rPr>
              <w:t>auch</w:t>
            </w:r>
            <w:proofErr w:type="spellEnd"/>
            <w:r w:rsidRPr="00A306A1">
              <w:rPr>
                <w:sz w:val="20"/>
                <w:szCs w:val="20"/>
                <w:lang w:val="en-US"/>
              </w:rPr>
              <w:t xml:space="preserve"> in Form des </w:t>
            </w:r>
            <w:proofErr w:type="spellStart"/>
            <w:r w:rsidRPr="00A306A1">
              <w:rPr>
                <w:sz w:val="20"/>
                <w:szCs w:val="20"/>
                <w:lang w:val="en-US"/>
              </w:rPr>
              <w:t>Wahlrechts</w:t>
            </w:r>
            <w:proofErr w:type="spellEnd"/>
            <w:r w:rsidRPr="00A306A1">
              <w:rPr>
                <w:sz w:val="20"/>
                <w:szCs w:val="20"/>
                <w:lang w:val="en-US"/>
              </w:rPr>
              <w:t xml:space="preserve"> („the newly enfranchised people could be most effectually secured in the protection of their rights of life, liberty, and the pursuit of happiness, by giving to them that greatest of rights among freemen</w:t>
            </w:r>
            <w:r>
              <w:rPr>
                <w:sz w:val="20"/>
                <w:szCs w:val="20"/>
                <w:lang w:val="en-US"/>
              </w:rPr>
              <w:t> –</w:t>
            </w:r>
            <w:r w:rsidRPr="00A306A1">
              <w:rPr>
                <w:sz w:val="20"/>
                <w:szCs w:val="20"/>
                <w:lang w:val="en-US"/>
              </w:rPr>
              <w:t xml:space="preserve"> the ballot.“). </w:t>
            </w:r>
            <w:r w:rsidRPr="00A306A1">
              <w:rPr>
                <w:sz w:val="20"/>
                <w:szCs w:val="20"/>
              </w:rPr>
              <w:t>Deren Sicherung sei die Grundlage der Gleichstellung und Staatsziel („</w:t>
            </w:r>
            <w:proofErr w:type="spellStart"/>
            <w:r w:rsidRPr="00A306A1">
              <w:rPr>
                <w:sz w:val="20"/>
                <w:szCs w:val="20"/>
              </w:rPr>
              <w:t>Congress</w:t>
            </w:r>
            <w:proofErr w:type="spellEnd"/>
            <w:r w:rsidRPr="00A306A1">
              <w:rPr>
                <w:sz w:val="20"/>
                <w:szCs w:val="20"/>
              </w:rPr>
              <w:t xml:space="preserve"> </w:t>
            </w:r>
            <w:proofErr w:type="spellStart"/>
            <w:r w:rsidRPr="00A306A1">
              <w:rPr>
                <w:sz w:val="20"/>
                <w:szCs w:val="20"/>
              </w:rPr>
              <w:t>determined</w:t>
            </w:r>
            <w:proofErr w:type="spellEnd"/>
            <w:r w:rsidRPr="00A306A1">
              <w:rPr>
                <w:sz w:val="20"/>
                <w:szCs w:val="20"/>
              </w:rPr>
              <w:t xml:space="preserve"> […] </w:t>
            </w:r>
            <w:r w:rsidRPr="00A306A1">
              <w:rPr>
                <w:sz w:val="20"/>
                <w:szCs w:val="20"/>
                <w:lang w:val="en-US"/>
              </w:rPr>
              <w:t>[that] the newly enfranchised people could be most effectually secured in the protection of their rights of […] the pursuit of happiness“</w:t>
            </w:r>
            <w:r w:rsidRPr="00A306A1">
              <w:rPr>
                <w:sz w:val="20"/>
                <w:szCs w:val="20"/>
                <w:vertAlign w:val="superscript"/>
                <w:lang w:val="en-US"/>
              </w:rPr>
              <w:footnoteReference w:id="2321"/>
            </w:r>
            <w:r w:rsidRPr="00A306A1">
              <w:rPr>
                <w:sz w:val="20"/>
                <w:szCs w:val="20"/>
                <w:lang w:val="en-US"/>
              </w:rPr>
              <w:t>)</w:t>
            </w:r>
            <w:r>
              <w:rPr>
                <w:sz w:val="20"/>
                <w:szCs w:val="20"/>
                <w:lang w:val="en-US"/>
              </w:rPr>
              <w:t>.</w:t>
            </w:r>
          </w:p>
        </w:tc>
      </w:tr>
      <w:tr w:rsidR="00074551" w:rsidRPr="00E50B51" w14:paraId="33E3CFF6" w14:textId="77777777" w:rsidTr="00BE689F">
        <w:trPr>
          <w:cantSplit/>
          <w:trHeight w:val="3175"/>
        </w:trPr>
        <w:tc>
          <w:tcPr>
            <w:tcW w:w="293" w:type="pct"/>
          </w:tcPr>
          <w:p w14:paraId="247B8C68" w14:textId="77777777" w:rsidR="00074551" w:rsidRPr="00E50B51" w:rsidRDefault="00074551" w:rsidP="00367133">
            <w:pPr>
              <w:ind w:right="416"/>
              <w:jc w:val="center"/>
              <w:rPr>
                <w:sz w:val="20"/>
                <w:szCs w:val="20"/>
                <w:lang w:val="en-US"/>
              </w:rPr>
            </w:pPr>
            <w:proofErr w:type="spellStart"/>
            <w:r w:rsidRPr="00E50B51">
              <w:rPr>
                <w:sz w:val="20"/>
                <w:szCs w:val="20"/>
              </w:rPr>
              <w:lastRenderedPageBreak/>
              <w:t>poH</w:t>
            </w:r>
            <w:proofErr w:type="spellEnd"/>
          </w:p>
        </w:tc>
        <w:tc>
          <w:tcPr>
            <w:tcW w:w="387" w:type="pct"/>
            <w:textDirection w:val="tbRl"/>
            <w:vAlign w:val="center"/>
          </w:tcPr>
          <w:p w14:paraId="32C62868" w14:textId="77777777" w:rsidR="00074551" w:rsidRPr="00E50B51" w:rsidRDefault="00074551" w:rsidP="00367133">
            <w:pPr>
              <w:ind w:left="113" w:right="416"/>
              <w:jc w:val="both"/>
              <w:rPr>
                <w:sz w:val="20"/>
                <w:szCs w:val="20"/>
                <w:lang w:val="en-US"/>
              </w:rPr>
            </w:pPr>
            <w:r w:rsidRPr="00A15962">
              <w:rPr>
                <w:i/>
                <w:sz w:val="20"/>
                <w:szCs w:val="20"/>
                <w:lang w:val="en-US"/>
              </w:rPr>
              <w:t>Yick Wo v. Hopkins</w:t>
            </w:r>
          </w:p>
        </w:tc>
        <w:tc>
          <w:tcPr>
            <w:tcW w:w="197" w:type="pct"/>
            <w:textDirection w:val="tbRl"/>
            <w:vAlign w:val="center"/>
          </w:tcPr>
          <w:p w14:paraId="7708E137" w14:textId="77777777" w:rsidR="00074551" w:rsidRPr="00E50B51" w:rsidRDefault="00074551" w:rsidP="00367133">
            <w:pPr>
              <w:ind w:left="113" w:right="113"/>
              <w:jc w:val="both"/>
              <w:rPr>
                <w:iCs/>
                <w:sz w:val="20"/>
                <w:szCs w:val="20"/>
                <w:lang w:val="en-US"/>
              </w:rPr>
            </w:pPr>
            <w:r w:rsidRPr="00E50B51">
              <w:rPr>
                <w:sz w:val="20"/>
                <w:szCs w:val="20"/>
                <w:lang w:val="en-US"/>
              </w:rPr>
              <w:t>118 U.S. 356</w:t>
            </w:r>
          </w:p>
        </w:tc>
        <w:tc>
          <w:tcPr>
            <w:tcW w:w="306" w:type="pct"/>
            <w:textDirection w:val="tbRl"/>
            <w:vAlign w:val="center"/>
          </w:tcPr>
          <w:p w14:paraId="2AB4E71B" w14:textId="77777777" w:rsidR="00074551" w:rsidRPr="00E50B51" w:rsidRDefault="00074551" w:rsidP="00367133">
            <w:pPr>
              <w:ind w:left="113" w:right="113"/>
              <w:jc w:val="both"/>
              <w:rPr>
                <w:sz w:val="20"/>
                <w:szCs w:val="20"/>
                <w:lang w:val="en-US"/>
              </w:rPr>
            </w:pPr>
            <w:r w:rsidRPr="00E50B51">
              <w:rPr>
                <w:sz w:val="20"/>
                <w:szCs w:val="20"/>
              </w:rPr>
              <w:t>10. Mai 1886</w:t>
            </w:r>
          </w:p>
        </w:tc>
        <w:tc>
          <w:tcPr>
            <w:tcW w:w="401" w:type="pct"/>
          </w:tcPr>
          <w:p w14:paraId="7912AE7A" w14:textId="77777777" w:rsidR="00074551" w:rsidRPr="00E50B51" w:rsidRDefault="00074551" w:rsidP="00367133">
            <w:pPr>
              <w:jc w:val="center"/>
              <w:rPr>
                <w:sz w:val="20"/>
                <w:szCs w:val="20"/>
                <w:lang w:val="en-US"/>
              </w:rPr>
            </w:pPr>
            <w:r w:rsidRPr="00E50B51">
              <w:rPr>
                <w:sz w:val="20"/>
                <w:szCs w:val="20"/>
              </w:rPr>
              <w:t>M</w:t>
            </w:r>
          </w:p>
        </w:tc>
        <w:tc>
          <w:tcPr>
            <w:tcW w:w="1594" w:type="pct"/>
          </w:tcPr>
          <w:p w14:paraId="5CBC7CF3" w14:textId="77777777" w:rsidR="00074551" w:rsidRPr="00E50B51" w:rsidRDefault="00074551" w:rsidP="00367133">
            <w:pPr>
              <w:jc w:val="both"/>
              <w:rPr>
                <w:sz w:val="20"/>
                <w:szCs w:val="20"/>
                <w:lang w:val="en-US"/>
              </w:rPr>
            </w:pPr>
            <w:r w:rsidRPr="00E50B51">
              <w:rPr>
                <w:sz w:val="20"/>
                <w:szCs w:val="20"/>
                <w:lang w:val="en-US"/>
              </w:rPr>
              <w:t>*</w:t>
            </w:r>
          </w:p>
        </w:tc>
        <w:tc>
          <w:tcPr>
            <w:tcW w:w="1822" w:type="pct"/>
          </w:tcPr>
          <w:p w14:paraId="46124F11" w14:textId="77777777" w:rsidR="00074551" w:rsidRPr="002F5ADC" w:rsidRDefault="00074551" w:rsidP="00367133">
            <w:pPr>
              <w:jc w:val="both"/>
              <w:rPr>
                <w:sz w:val="20"/>
                <w:szCs w:val="20"/>
                <w:lang w:val="en-US"/>
              </w:rPr>
            </w:pPr>
            <w:r w:rsidRPr="002F5ADC">
              <w:rPr>
                <w:sz w:val="20"/>
                <w:szCs w:val="20"/>
              </w:rPr>
              <w:t xml:space="preserve">Obwohl der </w:t>
            </w:r>
            <w:r>
              <w:rPr>
                <w:sz w:val="20"/>
                <w:szCs w:val="20"/>
              </w:rPr>
              <w:t>U.S. Supreme Court</w:t>
            </w:r>
            <w:r w:rsidRPr="002F5ADC">
              <w:rPr>
                <w:sz w:val="20"/>
                <w:szCs w:val="20"/>
              </w:rPr>
              <w:t xml:space="preserve"> das Wahlrecht nur als natürliches Recht im weiteren Sinne betrachtet („not </w:t>
            </w:r>
            <w:proofErr w:type="spellStart"/>
            <w:r w:rsidRPr="002F5ADC">
              <w:rPr>
                <w:sz w:val="20"/>
                <w:szCs w:val="20"/>
              </w:rPr>
              <w:t>regarded</w:t>
            </w:r>
            <w:proofErr w:type="spellEnd"/>
            <w:r w:rsidRPr="002F5ADC">
              <w:rPr>
                <w:sz w:val="20"/>
                <w:szCs w:val="20"/>
              </w:rPr>
              <w:t xml:space="preserve"> </w:t>
            </w:r>
            <w:proofErr w:type="spellStart"/>
            <w:r w:rsidRPr="002F5ADC">
              <w:rPr>
                <w:sz w:val="20"/>
                <w:szCs w:val="20"/>
              </w:rPr>
              <w:t>strictly</w:t>
            </w:r>
            <w:proofErr w:type="spellEnd"/>
            <w:r w:rsidRPr="002F5ADC">
              <w:rPr>
                <w:sz w:val="20"/>
                <w:szCs w:val="20"/>
              </w:rPr>
              <w:t xml:space="preserve"> as a </w:t>
            </w:r>
            <w:proofErr w:type="spellStart"/>
            <w:r w:rsidRPr="002F5ADC">
              <w:rPr>
                <w:sz w:val="20"/>
                <w:szCs w:val="20"/>
              </w:rPr>
              <w:t>natural</w:t>
            </w:r>
            <w:proofErr w:type="spellEnd"/>
            <w:r w:rsidRPr="002F5ADC">
              <w:rPr>
                <w:sz w:val="20"/>
                <w:szCs w:val="20"/>
              </w:rPr>
              <w:t xml:space="preserve"> </w:t>
            </w:r>
            <w:proofErr w:type="spellStart"/>
            <w:r w:rsidRPr="002F5ADC">
              <w:rPr>
                <w:sz w:val="20"/>
                <w:szCs w:val="20"/>
              </w:rPr>
              <w:t>right</w:t>
            </w:r>
            <w:proofErr w:type="spellEnd"/>
            <w:r w:rsidRPr="002F5ADC">
              <w:rPr>
                <w:sz w:val="20"/>
                <w:szCs w:val="20"/>
              </w:rPr>
              <w:t>“</w:t>
            </w:r>
            <w:r w:rsidRPr="002F5ADC">
              <w:rPr>
                <w:sz w:val="20"/>
                <w:szCs w:val="20"/>
                <w:vertAlign w:val="superscript"/>
              </w:rPr>
              <w:footnoteReference w:id="2322"/>
            </w:r>
            <w:r w:rsidRPr="002F5ADC">
              <w:rPr>
                <w:sz w:val="20"/>
                <w:szCs w:val="20"/>
              </w:rPr>
              <w:t xml:space="preserve">), so ist dieses Recht zumindest ein Vorrecht, das eine demokratische Gesellschaft gewähren muss, wenn auch unter gewissen Voraussetzungen. Das Wahlrecht gilt als politisches Grundrecht („fundamental </w:t>
            </w:r>
            <w:proofErr w:type="spellStart"/>
            <w:r w:rsidRPr="002F5ADC">
              <w:rPr>
                <w:sz w:val="20"/>
                <w:szCs w:val="20"/>
              </w:rPr>
              <w:t>political</w:t>
            </w:r>
            <w:proofErr w:type="spellEnd"/>
            <w:r w:rsidRPr="002F5ADC">
              <w:rPr>
                <w:sz w:val="20"/>
                <w:szCs w:val="20"/>
              </w:rPr>
              <w:t xml:space="preserve"> </w:t>
            </w:r>
            <w:proofErr w:type="spellStart"/>
            <w:r w:rsidRPr="002F5ADC">
              <w:rPr>
                <w:sz w:val="20"/>
                <w:szCs w:val="20"/>
              </w:rPr>
              <w:t>right</w:t>
            </w:r>
            <w:proofErr w:type="spellEnd"/>
            <w:r w:rsidRPr="002F5ADC">
              <w:rPr>
                <w:sz w:val="20"/>
                <w:szCs w:val="20"/>
              </w:rPr>
              <w:t>“</w:t>
            </w:r>
            <w:r w:rsidRPr="002F5ADC">
              <w:rPr>
                <w:sz w:val="20"/>
                <w:szCs w:val="20"/>
                <w:vertAlign w:val="superscript"/>
              </w:rPr>
              <w:footnoteReference w:id="2323"/>
            </w:r>
            <w:r w:rsidRPr="002F5ADC">
              <w:rPr>
                <w:sz w:val="20"/>
                <w:szCs w:val="20"/>
              </w:rPr>
              <w:t xml:space="preserve">) – also als natürliches Recht nur im weiteren Sinne, </w:t>
            </w:r>
            <w:r>
              <w:rPr>
                <w:sz w:val="20"/>
                <w:szCs w:val="20"/>
              </w:rPr>
              <w:t>denn</w:t>
            </w:r>
            <w:r w:rsidRPr="002F5ADC">
              <w:rPr>
                <w:sz w:val="20"/>
                <w:szCs w:val="20"/>
              </w:rPr>
              <w:t xml:space="preserve"> </w:t>
            </w:r>
            <w:r>
              <w:rPr>
                <w:sz w:val="20"/>
                <w:szCs w:val="20"/>
              </w:rPr>
              <w:t xml:space="preserve">es </w:t>
            </w:r>
            <w:r w:rsidRPr="002F5ADC">
              <w:rPr>
                <w:sz w:val="20"/>
                <w:szCs w:val="20"/>
              </w:rPr>
              <w:t xml:space="preserve">wird von der Gesellschaft gewährt. Und es habe Grundrechtscharakter, weil es die Grundlage für alle anderen Rechte </w:t>
            </w:r>
            <w:proofErr w:type="gramStart"/>
            <w:r w:rsidRPr="002F5ADC">
              <w:rPr>
                <w:sz w:val="20"/>
                <w:szCs w:val="20"/>
              </w:rPr>
              <w:t>bilde</w:t>
            </w:r>
            <w:proofErr w:type="gramEnd"/>
            <w:r w:rsidRPr="002F5ADC">
              <w:rPr>
                <w:sz w:val="20"/>
                <w:szCs w:val="20"/>
              </w:rPr>
              <w:t xml:space="preserve"> </w:t>
            </w:r>
            <w:r w:rsidRPr="002F5ADC">
              <w:rPr>
                <w:sz w:val="20"/>
                <w:szCs w:val="20"/>
                <w:vertAlign w:val="superscript"/>
              </w:rPr>
              <w:footnoteReference w:id="2324"/>
            </w:r>
            <w:r w:rsidRPr="002F5ADC">
              <w:rPr>
                <w:sz w:val="20"/>
                <w:szCs w:val="20"/>
              </w:rPr>
              <w:t xml:space="preserve"> und sich als Bedingung für Glücksstreben konstituier</w:t>
            </w:r>
            <w:r>
              <w:rPr>
                <w:sz w:val="20"/>
                <w:szCs w:val="20"/>
              </w:rPr>
              <w:t>e</w:t>
            </w:r>
            <w:r w:rsidRPr="002F5ADC">
              <w:rPr>
                <w:sz w:val="20"/>
                <w:szCs w:val="20"/>
              </w:rPr>
              <w:t xml:space="preserve">. Nur wie? Das Grundrecht auf Streben nach Glück sichern Maximen des Verfassungsrechts. </w:t>
            </w:r>
            <w:proofErr w:type="spellStart"/>
            <w:r w:rsidRPr="002F5ADC">
              <w:rPr>
                <w:sz w:val="20"/>
                <w:szCs w:val="20"/>
                <w:lang w:val="en-US"/>
              </w:rPr>
              <w:t>Diese</w:t>
            </w:r>
            <w:proofErr w:type="spellEnd"/>
            <w:r w:rsidRPr="002F5ADC">
              <w:rPr>
                <w:sz w:val="20"/>
                <w:szCs w:val="20"/>
                <w:lang w:val="en-US"/>
              </w:rPr>
              <w:t xml:space="preserve"> </w:t>
            </w:r>
            <w:proofErr w:type="spellStart"/>
            <w:r w:rsidRPr="002F5ADC">
              <w:rPr>
                <w:sz w:val="20"/>
                <w:szCs w:val="20"/>
                <w:lang w:val="en-US"/>
              </w:rPr>
              <w:t>Maximen</w:t>
            </w:r>
            <w:proofErr w:type="spellEnd"/>
            <w:r w:rsidRPr="002F5ADC">
              <w:rPr>
                <w:sz w:val="20"/>
                <w:szCs w:val="20"/>
                <w:lang w:val="en-US"/>
              </w:rPr>
              <w:t xml:space="preserve"> </w:t>
            </w:r>
            <w:proofErr w:type="spellStart"/>
            <w:r w:rsidRPr="002F5ADC">
              <w:rPr>
                <w:sz w:val="20"/>
                <w:szCs w:val="20"/>
                <w:lang w:val="en-US"/>
              </w:rPr>
              <w:t>eint</w:t>
            </w:r>
            <w:proofErr w:type="spellEnd"/>
            <w:r w:rsidRPr="002F5ADC">
              <w:rPr>
                <w:sz w:val="20"/>
                <w:szCs w:val="20"/>
                <w:lang w:val="en-US"/>
              </w:rPr>
              <w:t xml:space="preserve"> </w:t>
            </w:r>
            <w:proofErr w:type="spellStart"/>
            <w:r w:rsidRPr="002F5ADC">
              <w:rPr>
                <w:sz w:val="20"/>
                <w:szCs w:val="20"/>
                <w:lang w:val="en-US"/>
              </w:rPr>
              <w:t>u.a.</w:t>
            </w:r>
            <w:proofErr w:type="spellEnd"/>
            <w:r w:rsidRPr="002F5ADC">
              <w:rPr>
                <w:sz w:val="20"/>
                <w:szCs w:val="20"/>
                <w:lang w:val="en-US"/>
              </w:rPr>
              <w:t xml:space="preserve">, </w:t>
            </w:r>
            <w:proofErr w:type="spellStart"/>
            <w:r w:rsidRPr="002F5ADC">
              <w:rPr>
                <w:sz w:val="20"/>
                <w:szCs w:val="20"/>
                <w:lang w:val="en-US"/>
              </w:rPr>
              <w:t>dass</w:t>
            </w:r>
            <w:proofErr w:type="spellEnd"/>
            <w:r w:rsidRPr="002F5ADC">
              <w:rPr>
                <w:sz w:val="20"/>
                <w:szCs w:val="20"/>
                <w:lang w:val="en-US"/>
              </w:rPr>
              <w:t xml:space="preserve"> </w:t>
            </w:r>
            <w:proofErr w:type="spellStart"/>
            <w:r w:rsidRPr="002F5ADC">
              <w:rPr>
                <w:sz w:val="20"/>
                <w:szCs w:val="20"/>
                <w:lang w:val="en-US"/>
              </w:rPr>
              <w:t>sie</w:t>
            </w:r>
            <w:proofErr w:type="spellEnd"/>
            <w:r w:rsidRPr="002F5ADC">
              <w:rPr>
                <w:sz w:val="20"/>
                <w:szCs w:val="20"/>
                <w:lang w:val="en-US"/>
              </w:rPr>
              <w:t xml:space="preserve"> </w:t>
            </w:r>
            <w:proofErr w:type="spellStart"/>
            <w:r w:rsidRPr="002F5ADC">
              <w:rPr>
                <w:sz w:val="20"/>
                <w:szCs w:val="20"/>
                <w:lang w:val="en-US"/>
              </w:rPr>
              <w:t>Gleichheit</w:t>
            </w:r>
            <w:proofErr w:type="spellEnd"/>
            <w:r w:rsidRPr="002F5ADC">
              <w:rPr>
                <w:sz w:val="20"/>
                <w:szCs w:val="20"/>
                <w:lang w:val="en-US"/>
              </w:rPr>
              <w:t xml:space="preserve"> </w:t>
            </w:r>
            <w:proofErr w:type="spellStart"/>
            <w:r w:rsidRPr="002F5ADC">
              <w:rPr>
                <w:sz w:val="20"/>
                <w:szCs w:val="20"/>
                <w:lang w:val="en-US"/>
              </w:rPr>
              <w:t>zwischen</w:t>
            </w:r>
            <w:proofErr w:type="spellEnd"/>
            <w:r w:rsidRPr="002F5ADC">
              <w:rPr>
                <w:sz w:val="20"/>
                <w:szCs w:val="20"/>
                <w:lang w:val="en-US"/>
              </w:rPr>
              <w:t xml:space="preserve"> Rassen </w:t>
            </w:r>
            <w:proofErr w:type="spellStart"/>
            <w:r w:rsidRPr="002F5ADC">
              <w:rPr>
                <w:sz w:val="20"/>
                <w:szCs w:val="20"/>
                <w:lang w:val="en-US"/>
              </w:rPr>
              <w:t>errichten</w:t>
            </w:r>
            <w:proofErr w:type="spellEnd"/>
            <w:r w:rsidRPr="002F5ADC">
              <w:rPr>
                <w:sz w:val="20"/>
                <w:szCs w:val="20"/>
                <w:lang w:val="en-US"/>
              </w:rPr>
              <w:t xml:space="preserve"> („are secured by those maxims of constitutional law which are the monuments showing the victorious progress of the </w:t>
            </w:r>
            <w:proofErr w:type="gramStart"/>
            <w:r w:rsidRPr="002F5ADC">
              <w:rPr>
                <w:sz w:val="20"/>
                <w:szCs w:val="20"/>
                <w:lang w:val="en-US"/>
              </w:rPr>
              <w:t>race“</w:t>
            </w:r>
            <w:proofErr w:type="gramEnd"/>
            <w:r w:rsidRPr="002F5ADC">
              <w:rPr>
                <w:sz w:val="20"/>
                <w:szCs w:val="20"/>
                <w:vertAlign w:val="superscript"/>
                <w:lang w:val="en-US"/>
              </w:rPr>
              <w:footnoteReference w:id="2325"/>
            </w:r>
            <w:r w:rsidRPr="002F5ADC">
              <w:rPr>
                <w:sz w:val="20"/>
                <w:szCs w:val="20"/>
                <w:lang w:val="en-US"/>
              </w:rPr>
              <w:t xml:space="preserve">). </w:t>
            </w:r>
            <w:r w:rsidRPr="002F5ADC">
              <w:rPr>
                <w:sz w:val="20"/>
                <w:szCs w:val="20"/>
              </w:rPr>
              <w:t>Diese Maximen manifestieren sich vielfach in Verfassungsbestimmungen: u.a. auch im gleichen Zugang zu Wahlen, ausgedrückt im Wahlrecht („</w:t>
            </w:r>
            <w:proofErr w:type="spellStart"/>
            <w:r w:rsidRPr="002F5ADC">
              <w:rPr>
                <w:sz w:val="20"/>
                <w:szCs w:val="20"/>
              </w:rPr>
              <w:t>There</w:t>
            </w:r>
            <w:proofErr w:type="spellEnd"/>
            <w:r w:rsidRPr="002F5ADC">
              <w:rPr>
                <w:sz w:val="20"/>
                <w:szCs w:val="20"/>
              </w:rPr>
              <w:t xml:space="preserve"> </w:t>
            </w:r>
            <w:proofErr w:type="spellStart"/>
            <w:r w:rsidRPr="002F5ADC">
              <w:rPr>
                <w:sz w:val="20"/>
                <w:szCs w:val="20"/>
              </w:rPr>
              <w:t>are</w:t>
            </w:r>
            <w:proofErr w:type="spellEnd"/>
            <w:r w:rsidRPr="002F5ADC">
              <w:rPr>
                <w:sz w:val="20"/>
                <w:szCs w:val="20"/>
              </w:rPr>
              <w:t xml:space="preserve"> </w:t>
            </w:r>
            <w:proofErr w:type="spellStart"/>
            <w:r w:rsidRPr="002F5ADC">
              <w:rPr>
                <w:sz w:val="20"/>
                <w:szCs w:val="20"/>
              </w:rPr>
              <w:t>many</w:t>
            </w:r>
            <w:proofErr w:type="spellEnd"/>
            <w:r w:rsidRPr="002F5ADC">
              <w:rPr>
                <w:sz w:val="20"/>
                <w:szCs w:val="20"/>
              </w:rPr>
              <w:t xml:space="preserve"> </w:t>
            </w:r>
            <w:proofErr w:type="spellStart"/>
            <w:r w:rsidRPr="002F5ADC">
              <w:rPr>
                <w:sz w:val="20"/>
                <w:szCs w:val="20"/>
              </w:rPr>
              <w:t>illustrations</w:t>
            </w:r>
            <w:proofErr w:type="spellEnd"/>
            <w:r w:rsidRPr="002F5ADC">
              <w:rPr>
                <w:sz w:val="20"/>
                <w:szCs w:val="20"/>
              </w:rPr>
              <w:t xml:space="preserve"> […], </w:t>
            </w:r>
            <w:proofErr w:type="spellStart"/>
            <w:r w:rsidRPr="002F5ADC">
              <w:rPr>
                <w:sz w:val="20"/>
                <w:szCs w:val="20"/>
              </w:rPr>
              <w:t>which</w:t>
            </w:r>
            <w:proofErr w:type="spellEnd"/>
            <w:r w:rsidRPr="002F5ADC">
              <w:rPr>
                <w:sz w:val="20"/>
                <w:szCs w:val="20"/>
              </w:rPr>
              <w:t xml:space="preserve"> </w:t>
            </w:r>
            <w:proofErr w:type="spellStart"/>
            <w:r w:rsidRPr="002F5ADC">
              <w:rPr>
                <w:sz w:val="20"/>
                <w:szCs w:val="20"/>
              </w:rPr>
              <w:t>would</w:t>
            </w:r>
            <w:proofErr w:type="spellEnd"/>
            <w:r w:rsidRPr="002F5ADC">
              <w:rPr>
                <w:sz w:val="20"/>
                <w:szCs w:val="20"/>
              </w:rPr>
              <w:t xml:space="preserve"> </w:t>
            </w:r>
            <w:proofErr w:type="spellStart"/>
            <w:r w:rsidRPr="002F5ADC">
              <w:rPr>
                <w:sz w:val="20"/>
                <w:szCs w:val="20"/>
              </w:rPr>
              <w:t>make</w:t>
            </w:r>
            <w:proofErr w:type="spellEnd"/>
            <w:r w:rsidRPr="002F5ADC">
              <w:rPr>
                <w:sz w:val="20"/>
                <w:szCs w:val="20"/>
              </w:rPr>
              <w:t xml:space="preserve"> manifest </w:t>
            </w:r>
            <w:proofErr w:type="spellStart"/>
            <w:r w:rsidRPr="002F5ADC">
              <w:rPr>
                <w:sz w:val="20"/>
                <w:szCs w:val="20"/>
              </w:rPr>
              <w:t>that</w:t>
            </w:r>
            <w:proofErr w:type="spellEnd"/>
            <w:r w:rsidRPr="002F5ADC">
              <w:rPr>
                <w:sz w:val="20"/>
                <w:szCs w:val="20"/>
              </w:rPr>
              <w:t xml:space="preserve"> it was </w:t>
            </w:r>
            <w:proofErr w:type="spellStart"/>
            <w:r w:rsidRPr="002F5ADC">
              <w:rPr>
                <w:sz w:val="20"/>
                <w:szCs w:val="20"/>
              </w:rPr>
              <w:t>self</w:t>
            </w:r>
            <w:proofErr w:type="spellEnd"/>
            <w:r w:rsidRPr="002F5ADC">
              <w:rPr>
                <w:sz w:val="20"/>
                <w:szCs w:val="20"/>
              </w:rPr>
              <w:t xml:space="preserve">-evident in the light of </w:t>
            </w:r>
            <w:proofErr w:type="spellStart"/>
            <w:r w:rsidRPr="002F5ADC">
              <w:rPr>
                <w:sz w:val="20"/>
                <w:szCs w:val="20"/>
              </w:rPr>
              <w:t>our</w:t>
            </w:r>
            <w:proofErr w:type="spellEnd"/>
            <w:r w:rsidRPr="002F5ADC">
              <w:rPr>
                <w:sz w:val="20"/>
                <w:szCs w:val="20"/>
              </w:rPr>
              <w:t xml:space="preserve"> </w:t>
            </w:r>
            <w:proofErr w:type="spellStart"/>
            <w:r w:rsidRPr="002F5ADC">
              <w:rPr>
                <w:sz w:val="20"/>
                <w:szCs w:val="20"/>
              </w:rPr>
              <w:t>system</w:t>
            </w:r>
            <w:proofErr w:type="spellEnd"/>
            <w:r w:rsidRPr="002F5ADC">
              <w:rPr>
                <w:sz w:val="20"/>
                <w:szCs w:val="20"/>
              </w:rPr>
              <w:t xml:space="preserve"> of </w:t>
            </w:r>
            <w:proofErr w:type="spellStart"/>
            <w:r w:rsidRPr="002F5ADC">
              <w:rPr>
                <w:sz w:val="20"/>
                <w:szCs w:val="20"/>
              </w:rPr>
              <w:t>jurisprudence</w:t>
            </w:r>
            <w:proofErr w:type="spellEnd"/>
            <w:r w:rsidRPr="002F5ADC">
              <w:rPr>
                <w:sz w:val="20"/>
                <w:szCs w:val="20"/>
              </w:rPr>
              <w:t xml:space="preserve">. </w:t>
            </w:r>
            <w:r w:rsidRPr="002F5ADC">
              <w:rPr>
                <w:sz w:val="20"/>
                <w:szCs w:val="20"/>
                <w:lang w:val="en-US"/>
              </w:rPr>
              <w:t xml:space="preserve">The case of the political franchise of voting is </w:t>
            </w:r>
            <w:proofErr w:type="gramStart"/>
            <w:r w:rsidRPr="002F5ADC">
              <w:rPr>
                <w:sz w:val="20"/>
                <w:szCs w:val="20"/>
                <w:lang w:val="en-US"/>
              </w:rPr>
              <w:t>one.“</w:t>
            </w:r>
            <w:proofErr w:type="gramEnd"/>
            <w:r w:rsidRPr="002F5ADC">
              <w:rPr>
                <w:sz w:val="20"/>
                <w:szCs w:val="20"/>
                <w:vertAlign w:val="superscript"/>
                <w:lang w:val="en-US"/>
              </w:rPr>
              <w:footnoteReference w:id="2326"/>
            </w:r>
            <w:r w:rsidRPr="002F5ADC">
              <w:rPr>
                <w:sz w:val="20"/>
                <w:szCs w:val="20"/>
                <w:lang w:val="en-US"/>
              </w:rPr>
              <w:t>)</w:t>
            </w:r>
            <w:r>
              <w:rPr>
                <w:sz w:val="20"/>
                <w:szCs w:val="20"/>
                <w:lang w:val="en-US"/>
              </w:rPr>
              <w:t>.</w:t>
            </w:r>
          </w:p>
          <w:p w14:paraId="47702261" w14:textId="77777777" w:rsidR="00074551" w:rsidRPr="00E50B51" w:rsidRDefault="00074551" w:rsidP="00367133">
            <w:pPr>
              <w:jc w:val="both"/>
              <w:rPr>
                <w:sz w:val="20"/>
                <w:szCs w:val="20"/>
              </w:rPr>
            </w:pPr>
          </w:p>
        </w:tc>
      </w:tr>
      <w:tr w:rsidR="00074551" w:rsidRPr="00E50B51" w14:paraId="5B33DA0F" w14:textId="77777777" w:rsidTr="00203768">
        <w:trPr>
          <w:cantSplit/>
          <w:trHeight w:val="3175"/>
        </w:trPr>
        <w:tc>
          <w:tcPr>
            <w:tcW w:w="293" w:type="pct"/>
            <w:shd w:val="clear" w:color="auto" w:fill="E7E6E6" w:themeFill="background2"/>
          </w:tcPr>
          <w:p w14:paraId="45ADD959"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shd w:val="clear" w:color="auto" w:fill="E7E6E6" w:themeFill="background2"/>
            <w:textDirection w:val="tbRl"/>
            <w:vAlign w:val="center"/>
          </w:tcPr>
          <w:p w14:paraId="39780206" w14:textId="77777777" w:rsidR="00074551" w:rsidRPr="00E50B51" w:rsidRDefault="00074551" w:rsidP="00367133">
            <w:pPr>
              <w:ind w:left="113" w:right="416"/>
              <w:jc w:val="both"/>
              <w:rPr>
                <w:sz w:val="20"/>
                <w:szCs w:val="20"/>
                <w:lang w:val="en-US"/>
              </w:rPr>
            </w:pPr>
            <w:r w:rsidRPr="00BE3728">
              <w:rPr>
                <w:sz w:val="20"/>
                <w:szCs w:val="20"/>
              </w:rPr>
              <w:t>Rechtsstaatliche Seite</w:t>
            </w:r>
          </w:p>
        </w:tc>
        <w:tc>
          <w:tcPr>
            <w:tcW w:w="197" w:type="pct"/>
            <w:shd w:val="clear" w:color="auto" w:fill="E7E6E6" w:themeFill="background2"/>
            <w:textDirection w:val="tbRl"/>
            <w:vAlign w:val="center"/>
          </w:tcPr>
          <w:p w14:paraId="4BF28016" w14:textId="77777777" w:rsidR="00074551" w:rsidRPr="00E50B51" w:rsidRDefault="00074551" w:rsidP="00367133">
            <w:pPr>
              <w:ind w:left="113" w:right="113"/>
              <w:jc w:val="both"/>
              <w:rPr>
                <w:sz w:val="20"/>
                <w:szCs w:val="20"/>
                <w:lang w:val="en-US"/>
              </w:rPr>
            </w:pPr>
            <w:r w:rsidRPr="00BE3728">
              <w:rPr>
                <w:sz w:val="20"/>
                <w:szCs w:val="20"/>
                <w:lang w:val="en-US"/>
              </w:rPr>
              <w:t>Evidence</w:t>
            </w:r>
          </w:p>
        </w:tc>
        <w:tc>
          <w:tcPr>
            <w:tcW w:w="306" w:type="pct"/>
            <w:shd w:val="clear" w:color="auto" w:fill="E7E6E6" w:themeFill="background2"/>
            <w:textDirection w:val="tbRl"/>
            <w:vAlign w:val="center"/>
          </w:tcPr>
          <w:p w14:paraId="3128B904" w14:textId="77777777" w:rsidR="00074551" w:rsidRPr="00E50B51" w:rsidRDefault="00074551" w:rsidP="00367133">
            <w:pPr>
              <w:ind w:left="113" w:right="113"/>
              <w:jc w:val="both"/>
              <w:rPr>
                <w:sz w:val="20"/>
                <w:szCs w:val="20"/>
              </w:rPr>
            </w:pPr>
            <w:r w:rsidRPr="00BE3728">
              <w:rPr>
                <w:sz w:val="20"/>
                <w:szCs w:val="20"/>
                <w:lang w:val="en-US"/>
              </w:rPr>
              <w:t>Marital Privileges</w:t>
            </w:r>
          </w:p>
        </w:tc>
        <w:tc>
          <w:tcPr>
            <w:tcW w:w="401" w:type="pct"/>
            <w:shd w:val="clear" w:color="auto" w:fill="E7E6E6" w:themeFill="background2"/>
          </w:tcPr>
          <w:p w14:paraId="024E8CF3" w14:textId="77777777" w:rsidR="00074551" w:rsidRPr="00E50B51" w:rsidRDefault="00074551" w:rsidP="00367133">
            <w:pPr>
              <w:jc w:val="center"/>
              <w:rPr>
                <w:sz w:val="20"/>
                <w:szCs w:val="20"/>
              </w:rPr>
            </w:pPr>
          </w:p>
        </w:tc>
        <w:tc>
          <w:tcPr>
            <w:tcW w:w="1594" w:type="pct"/>
            <w:shd w:val="clear" w:color="auto" w:fill="E7E6E6" w:themeFill="background2"/>
            <w:vAlign w:val="center"/>
          </w:tcPr>
          <w:p w14:paraId="1A81E620" w14:textId="77777777" w:rsidR="00074551" w:rsidRPr="00E50B51" w:rsidRDefault="00074551" w:rsidP="00367133">
            <w:pPr>
              <w:jc w:val="both"/>
              <w:rPr>
                <w:sz w:val="20"/>
                <w:szCs w:val="20"/>
                <w:lang w:val="en-US"/>
              </w:rPr>
            </w:pPr>
          </w:p>
        </w:tc>
        <w:tc>
          <w:tcPr>
            <w:tcW w:w="1822" w:type="pct"/>
            <w:shd w:val="clear" w:color="auto" w:fill="E7E6E6" w:themeFill="background2"/>
          </w:tcPr>
          <w:p w14:paraId="046614AD" w14:textId="57211DBC" w:rsidR="00074551" w:rsidRPr="00E50B51" w:rsidRDefault="00203768" w:rsidP="00203768">
            <w:pPr>
              <w:rPr>
                <w:sz w:val="20"/>
                <w:szCs w:val="20"/>
              </w:rPr>
            </w:pPr>
            <w:r w:rsidRPr="00A15DB3">
              <w:rPr>
                <w:i/>
                <w:iCs/>
                <w:sz w:val="16"/>
                <w:szCs w:val="16"/>
              </w:rPr>
              <w:t>Thematische Gliederung der nachfolgenden Entscheidungen ↓</w:t>
            </w:r>
          </w:p>
        </w:tc>
      </w:tr>
      <w:tr w:rsidR="00074551" w:rsidRPr="00E50B51" w14:paraId="2E091EEC" w14:textId="77777777" w:rsidTr="00BE689F">
        <w:trPr>
          <w:cantSplit/>
          <w:trHeight w:val="3175"/>
        </w:trPr>
        <w:tc>
          <w:tcPr>
            <w:tcW w:w="293" w:type="pct"/>
          </w:tcPr>
          <w:p w14:paraId="6F41478A" w14:textId="77777777" w:rsidR="00074551" w:rsidRPr="00E50B51" w:rsidRDefault="00074551" w:rsidP="00367133">
            <w:pPr>
              <w:ind w:right="416"/>
              <w:jc w:val="center"/>
              <w:rPr>
                <w:sz w:val="20"/>
                <w:szCs w:val="20"/>
              </w:rPr>
            </w:pPr>
            <w:r w:rsidRPr="00BE3728">
              <w:rPr>
                <w:sz w:val="20"/>
                <w:szCs w:val="20"/>
              </w:rPr>
              <w:lastRenderedPageBreak/>
              <w:t>H</w:t>
            </w:r>
          </w:p>
        </w:tc>
        <w:tc>
          <w:tcPr>
            <w:tcW w:w="387" w:type="pct"/>
            <w:textDirection w:val="tbRl"/>
            <w:vAlign w:val="center"/>
          </w:tcPr>
          <w:p w14:paraId="36626E06" w14:textId="77777777" w:rsidR="00074551" w:rsidRPr="00B45592" w:rsidRDefault="00074551" w:rsidP="00367133">
            <w:pPr>
              <w:ind w:left="113" w:right="416"/>
              <w:jc w:val="both"/>
              <w:rPr>
                <w:i/>
                <w:sz w:val="20"/>
                <w:szCs w:val="20"/>
                <w:lang w:val="en-US"/>
              </w:rPr>
            </w:pPr>
            <w:r w:rsidRPr="00B45592">
              <w:rPr>
                <w:i/>
                <w:sz w:val="20"/>
                <w:szCs w:val="20"/>
              </w:rPr>
              <w:t>Stickney v. Stickney</w:t>
            </w:r>
          </w:p>
        </w:tc>
        <w:tc>
          <w:tcPr>
            <w:tcW w:w="197" w:type="pct"/>
            <w:textDirection w:val="tbRl"/>
            <w:vAlign w:val="center"/>
          </w:tcPr>
          <w:p w14:paraId="79239D70" w14:textId="77777777" w:rsidR="00074551" w:rsidRPr="00E50B51" w:rsidRDefault="00074551" w:rsidP="00367133">
            <w:pPr>
              <w:ind w:left="113" w:right="113"/>
              <w:jc w:val="both"/>
              <w:rPr>
                <w:sz w:val="20"/>
                <w:szCs w:val="20"/>
                <w:lang w:val="en-US"/>
              </w:rPr>
            </w:pPr>
            <w:r w:rsidRPr="00BE3728">
              <w:rPr>
                <w:sz w:val="20"/>
                <w:szCs w:val="20"/>
              </w:rPr>
              <w:t>131 U.S. 227</w:t>
            </w:r>
          </w:p>
        </w:tc>
        <w:tc>
          <w:tcPr>
            <w:tcW w:w="306" w:type="pct"/>
            <w:textDirection w:val="tbRl"/>
            <w:vAlign w:val="center"/>
          </w:tcPr>
          <w:p w14:paraId="665BD9E8" w14:textId="77777777" w:rsidR="00074551" w:rsidRPr="00E50B51" w:rsidRDefault="00074551" w:rsidP="00367133">
            <w:pPr>
              <w:ind w:left="113" w:right="113"/>
              <w:jc w:val="both"/>
              <w:rPr>
                <w:sz w:val="20"/>
                <w:szCs w:val="20"/>
              </w:rPr>
            </w:pPr>
            <w:r w:rsidRPr="00BE3728">
              <w:rPr>
                <w:sz w:val="20"/>
                <w:szCs w:val="20"/>
              </w:rPr>
              <w:t>13. Mai 1889</w:t>
            </w:r>
          </w:p>
        </w:tc>
        <w:tc>
          <w:tcPr>
            <w:tcW w:w="401" w:type="pct"/>
          </w:tcPr>
          <w:p w14:paraId="6CC37BA9" w14:textId="77777777" w:rsidR="00074551" w:rsidRPr="00E50B51" w:rsidRDefault="00074551" w:rsidP="00367133">
            <w:pPr>
              <w:jc w:val="center"/>
              <w:rPr>
                <w:sz w:val="20"/>
                <w:szCs w:val="20"/>
              </w:rPr>
            </w:pPr>
            <w:r w:rsidRPr="00BE3728">
              <w:rPr>
                <w:sz w:val="20"/>
                <w:szCs w:val="20"/>
                <w:lang w:val="en-US"/>
              </w:rPr>
              <w:t>M</w:t>
            </w:r>
          </w:p>
        </w:tc>
        <w:tc>
          <w:tcPr>
            <w:tcW w:w="1594" w:type="pct"/>
          </w:tcPr>
          <w:p w14:paraId="226BEF31" w14:textId="77777777" w:rsidR="00074551" w:rsidRPr="00BE3728" w:rsidRDefault="00074551" w:rsidP="00367133">
            <w:pPr>
              <w:jc w:val="both"/>
              <w:rPr>
                <w:sz w:val="20"/>
                <w:szCs w:val="20"/>
              </w:rPr>
            </w:pPr>
            <w:r>
              <w:rPr>
                <w:sz w:val="20"/>
                <w:szCs w:val="20"/>
              </w:rPr>
              <w:t>Im Fall</w:t>
            </w:r>
            <w:r w:rsidRPr="00BE3728">
              <w:rPr>
                <w:sz w:val="20"/>
                <w:szCs w:val="20"/>
              </w:rPr>
              <w:t xml:space="preserve"> erklärte </w:t>
            </w:r>
            <w:r>
              <w:rPr>
                <w:sz w:val="20"/>
                <w:szCs w:val="20"/>
              </w:rPr>
              <w:t>der U.S. Supreme Court</w:t>
            </w:r>
            <w:r w:rsidRPr="00BE3728">
              <w:rPr>
                <w:sz w:val="20"/>
                <w:szCs w:val="20"/>
              </w:rPr>
              <w:t xml:space="preserve"> </w:t>
            </w:r>
            <w:r>
              <w:rPr>
                <w:sz w:val="20"/>
                <w:szCs w:val="20"/>
              </w:rPr>
              <w:t>eine</w:t>
            </w:r>
            <w:r w:rsidRPr="00BE3728">
              <w:rPr>
                <w:sz w:val="20"/>
                <w:szCs w:val="20"/>
              </w:rPr>
              <w:t xml:space="preserve"> Witwe zur Eigentümerin. Denn ihr verstorbener Ehemann hatte das Eigentum mit Geld gekauft, das ihr gehörte. Es gab keinen Beweis, dass sie ihm das Geld geschenkt hatte, weshalb es sein Eigentum hätte sein sollen. Die Erben des Verstorbenen erkannten dies nicht an. Die unteren Instanzen entschi</w:t>
            </w:r>
            <w:r>
              <w:rPr>
                <w:sz w:val="20"/>
                <w:szCs w:val="20"/>
              </w:rPr>
              <w:t>e</w:t>
            </w:r>
            <w:r w:rsidRPr="00BE3728">
              <w:rPr>
                <w:sz w:val="20"/>
                <w:szCs w:val="20"/>
              </w:rPr>
              <w:t xml:space="preserve">den zugunsten der Witwe. Denn die Witwe sagte aus, dass das Geld für ihren Nutzen angelegt </w:t>
            </w:r>
            <w:r>
              <w:rPr>
                <w:sz w:val="20"/>
                <w:szCs w:val="20"/>
              </w:rPr>
              <w:t>worden war</w:t>
            </w:r>
            <w:r w:rsidRPr="00BE3728">
              <w:rPr>
                <w:sz w:val="20"/>
                <w:szCs w:val="20"/>
              </w:rPr>
              <w:t xml:space="preserve">. Und nach dem Gesetz vom 10. April 1869, </w:t>
            </w:r>
            <w:proofErr w:type="spellStart"/>
            <w:r w:rsidRPr="00BE3728">
              <w:rPr>
                <w:sz w:val="20"/>
                <w:szCs w:val="20"/>
              </w:rPr>
              <w:t>ch</w:t>
            </w:r>
            <w:proofErr w:type="spellEnd"/>
            <w:r w:rsidRPr="00BE3728">
              <w:rPr>
                <w:sz w:val="20"/>
                <w:szCs w:val="20"/>
              </w:rPr>
              <w:t>. 23, 16 Stat. 45</w:t>
            </w:r>
            <w:r w:rsidRPr="00BE3728">
              <w:rPr>
                <w:rStyle w:val="Funotenzeichen"/>
                <w:sz w:val="20"/>
                <w:szCs w:val="20"/>
              </w:rPr>
              <w:footnoteReference w:id="2327"/>
            </w:r>
            <w:r w:rsidRPr="00BE3728">
              <w:rPr>
                <w:sz w:val="20"/>
                <w:szCs w:val="20"/>
              </w:rPr>
              <w:t xml:space="preserve"> gab es keine Vermutung, dass solche Anlagen de jure Geschenke an den Ehemann darstellten. Die Beweissituation zeigte, dass die Ehefrau auch erwartete, ihr Geld würde in ihrem Namen angelegt. Ihr Mann verstand dies als seine Pflicht. Die Beweise dafür umfassten Aussagen der Witwe und des Verstorbenen gegenüber Dritten.</w:t>
            </w:r>
            <w:r w:rsidRPr="00BE3728">
              <w:rPr>
                <w:rStyle w:val="Funotenzeichen"/>
                <w:sz w:val="20"/>
                <w:szCs w:val="20"/>
              </w:rPr>
              <w:footnoteReference w:id="2328"/>
            </w:r>
          </w:p>
          <w:p w14:paraId="21C3FAC0" w14:textId="77777777" w:rsidR="00074551" w:rsidRPr="00BE3728" w:rsidRDefault="00074551" w:rsidP="00367133">
            <w:pPr>
              <w:jc w:val="both"/>
              <w:rPr>
                <w:sz w:val="20"/>
                <w:szCs w:val="20"/>
              </w:rPr>
            </w:pPr>
          </w:p>
          <w:p w14:paraId="76776A51" w14:textId="77777777" w:rsidR="00074551" w:rsidRPr="00843112" w:rsidRDefault="00074551" w:rsidP="00367133">
            <w:pPr>
              <w:jc w:val="both"/>
              <w:rPr>
                <w:sz w:val="20"/>
                <w:szCs w:val="20"/>
              </w:rPr>
            </w:pPr>
          </w:p>
        </w:tc>
        <w:tc>
          <w:tcPr>
            <w:tcW w:w="1822" w:type="pct"/>
          </w:tcPr>
          <w:p w14:paraId="5E36AC12" w14:textId="77777777" w:rsidR="00074551" w:rsidRPr="00B45592" w:rsidRDefault="00074551" w:rsidP="00367133">
            <w:pPr>
              <w:jc w:val="both"/>
              <w:rPr>
                <w:i/>
                <w:sz w:val="20"/>
                <w:szCs w:val="20"/>
                <w:lang w:val="en-US"/>
              </w:rPr>
            </w:pPr>
            <w:r w:rsidRPr="009A161C">
              <w:rPr>
                <w:i/>
                <w:sz w:val="20"/>
                <w:szCs w:val="20"/>
                <w:lang w:val="en-IE"/>
              </w:rPr>
              <w:t>LexisNexis-</w:t>
            </w:r>
            <w:proofErr w:type="spellStart"/>
            <w:r w:rsidRPr="009A161C">
              <w:rPr>
                <w:i/>
                <w:sz w:val="20"/>
                <w:szCs w:val="20"/>
                <w:lang w:val="en-IE"/>
              </w:rPr>
              <w:t>Klassifikation</w:t>
            </w:r>
            <w:proofErr w:type="spellEnd"/>
            <w:r w:rsidRPr="009A161C">
              <w:rPr>
                <w:i/>
                <w:sz w:val="20"/>
                <w:szCs w:val="20"/>
                <w:lang w:val="en-IE"/>
              </w:rPr>
              <w:t>:</w:t>
            </w:r>
            <w:r>
              <w:rPr>
                <w:i/>
                <w:sz w:val="20"/>
                <w:szCs w:val="20"/>
                <w:lang w:val="en-IE"/>
              </w:rPr>
              <w:t xml:space="preserve"> </w:t>
            </w:r>
            <w:r w:rsidRPr="00B45592">
              <w:rPr>
                <w:i/>
                <w:sz w:val="20"/>
                <w:szCs w:val="20"/>
                <w:lang w:val="en-US"/>
              </w:rPr>
              <w:t>Evidence › Privileges › Marital Privileges › General Overview</w:t>
            </w:r>
          </w:p>
          <w:p w14:paraId="7274181C" w14:textId="77777777" w:rsidR="00074551" w:rsidRPr="00BE3728" w:rsidRDefault="00074551" w:rsidP="00367133">
            <w:pPr>
              <w:jc w:val="both"/>
              <w:rPr>
                <w:sz w:val="20"/>
                <w:szCs w:val="20"/>
                <w:lang w:val="en-US"/>
              </w:rPr>
            </w:pPr>
          </w:p>
          <w:p w14:paraId="6ACDE7C0" w14:textId="77777777" w:rsidR="00074551" w:rsidRDefault="00074551" w:rsidP="00367133">
            <w:pPr>
              <w:jc w:val="both"/>
              <w:rPr>
                <w:sz w:val="20"/>
                <w:szCs w:val="20"/>
              </w:rPr>
            </w:pPr>
            <w:r w:rsidRPr="00BE3728">
              <w:rPr>
                <w:sz w:val="20"/>
                <w:szCs w:val="20"/>
              </w:rPr>
              <w:t>Weder Ehemann noch Ehefrau dürfen in zivil- oder strafrechtlichen Fällen als Zeugen für oder gegen den anderen auftreten.</w:t>
            </w:r>
            <w:r w:rsidRPr="00BE3728">
              <w:rPr>
                <w:rStyle w:val="Funotenzeichen"/>
                <w:sz w:val="20"/>
                <w:szCs w:val="20"/>
              </w:rPr>
              <w:t xml:space="preserve"> </w:t>
            </w:r>
            <w:r w:rsidRPr="00BE3728">
              <w:rPr>
                <w:rStyle w:val="Funotenzeichen"/>
                <w:sz w:val="20"/>
                <w:szCs w:val="20"/>
              </w:rPr>
              <w:footnoteReference w:id="2329"/>
            </w:r>
          </w:p>
          <w:p w14:paraId="78409B12" w14:textId="77777777" w:rsidR="00074551" w:rsidRDefault="00074551" w:rsidP="00367133">
            <w:pPr>
              <w:jc w:val="both"/>
              <w:rPr>
                <w:sz w:val="20"/>
                <w:szCs w:val="20"/>
              </w:rPr>
            </w:pPr>
          </w:p>
          <w:p w14:paraId="6189F826" w14:textId="77777777" w:rsidR="00074551" w:rsidRDefault="00074551" w:rsidP="00367133">
            <w:pPr>
              <w:jc w:val="both"/>
              <w:rPr>
                <w:sz w:val="20"/>
                <w:szCs w:val="20"/>
              </w:rPr>
            </w:pPr>
            <w:r w:rsidRPr="00BE3728">
              <w:rPr>
                <w:sz w:val="20"/>
                <w:szCs w:val="20"/>
              </w:rPr>
              <w:t xml:space="preserve">Der </w:t>
            </w:r>
            <w:r>
              <w:rPr>
                <w:sz w:val="20"/>
                <w:szCs w:val="20"/>
              </w:rPr>
              <w:t>U.S. Supreme Court</w:t>
            </w:r>
            <w:r w:rsidRPr="00BE3728">
              <w:rPr>
                <w:sz w:val="20"/>
                <w:szCs w:val="20"/>
              </w:rPr>
              <w:t xml:space="preserve"> stellte heraus, dass eine Doktrin im </w:t>
            </w:r>
            <w:r w:rsidRPr="5B67C1D2">
              <w:rPr>
                <w:i/>
                <w:iCs/>
                <w:sz w:val="20"/>
                <w:szCs w:val="20"/>
              </w:rPr>
              <w:t>Common Law System</w:t>
            </w:r>
            <w:r w:rsidRPr="00BE3728">
              <w:rPr>
                <w:sz w:val="20"/>
                <w:szCs w:val="20"/>
              </w:rPr>
              <w:t xml:space="preserve"> besage, dass Eheleute als Zeugen für oder gegen den jeweils anderen in einem Zivil- oder Strafverfahren ausgeschlossen seien. Dieser Ausschluss beruhe auf der öffentlichen Ordnung. Denn </w:t>
            </w:r>
            <w:r>
              <w:rPr>
                <w:sz w:val="20"/>
                <w:szCs w:val="20"/>
              </w:rPr>
              <w:t>für diese</w:t>
            </w:r>
            <w:r w:rsidRPr="00BE3728">
              <w:rPr>
                <w:sz w:val="20"/>
                <w:szCs w:val="20"/>
              </w:rPr>
              <w:t xml:space="preserve"> müsse das Vertrauen der Eheleute in höchstem Maße geschützt werden, weil es für das Glück des gesellschaftlichen Lebens wesentlich sei („essential to the </w:t>
            </w:r>
            <w:proofErr w:type="spellStart"/>
            <w:r w:rsidRPr="00BE3728">
              <w:rPr>
                <w:sz w:val="20"/>
                <w:szCs w:val="20"/>
              </w:rPr>
              <w:t>happiness</w:t>
            </w:r>
            <w:proofErr w:type="spellEnd"/>
            <w:r w:rsidRPr="00BE3728">
              <w:rPr>
                <w:sz w:val="20"/>
                <w:szCs w:val="20"/>
              </w:rPr>
              <w:t xml:space="preserve"> of social </w:t>
            </w:r>
            <w:proofErr w:type="spellStart"/>
            <w:r w:rsidRPr="00BE3728">
              <w:rPr>
                <w:sz w:val="20"/>
                <w:szCs w:val="20"/>
              </w:rPr>
              <w:t>life</w:t>
            </w:r>
            <w:proofErr w:type="spellEnd"/>
            <w:r w:rsidRPr="00BE3728">
              <w:rPr>
                <w:sz w:val="20"/>
                <w:szCs w:val="20"/>
              </w:rPr>
              <w:t>“</w:t>
            </w:r>
            <w:r w:rsidRPr="00BE3728">
              <w:rPr>
                <w:rStyle w:val="Funotenzeichen"/>
                <w:sz w:val="20"/>
                <w:szCs w:val="20"/>
              </w:rPr>
              <w:footnoteReference w:id="2330"/>
            </w:r>
            <w:r w:rsidRPr="00BE3728">
              <w:rPr>
                <w:sz w:val="20"/>
                <w:szCs w:val="20"/>
              </w:rPr>
              <w:t xml:space="preserve">). Hiervon </w:t>
            </w:r>
            <w:r>
              <w:rPr>
                <w:sz w:val="20"/>
                <w:szCs w:val="20"/>
              </w:rPr>
              <w:t>hätten</w:t>
            </w:r>
            <w:r w:rsidRPr="00BE3728">
              <w:rPr>
                <w:sz w:val="20"/>
                <w:szCs w:val="20"/>
              </w:rPr>
              <w:t xml:space="preserve"> einige Bundestaaten Ausnahmen zugelassen, die aber im Fall nicht</w:t>
            </w:r>
            <w:r>
              <w:rPr>
                <w:sz w:val="20"/>
                <w:szCs w:val="20"/>
              </w:rPr>
              <w:t xml:space="preserve"> vorlägen</w:t>
            </w:r>
            <w:r w:rsidRPr="00BE3728">
              <w:rPr>
                <w:sz w:val="20"/>
                <w:szCs w:val="20"/>
              </w:rPr>
              <w:t>.</w:t>
            </w:r>
            <w:r w:rsidRPr="00BE3728">
              <w:rPr>
                <w:rStyle w:val="Funotenzeichen"/>
                <w:sz w:val="20"/>
                <w:szCs w:val="20"/>
              </w:rPr>
              <w:footnoteReference w:id="2331"/>
            </w:r>
            <w:r w:rsidRPr="00BE3728">
              <w:rPr>
                <w:sz w:val="20"/>
                <w:szCs w:val="20"/>
              </w:rPr>
              <w:t xml:space="preserve"> Deshalb </w:t>
            </w:r>
            <w:r>
              <w:rPr>
                <w:sz w:val="20"/>
                <w:szCs w:val="20"/>
              </w:rPr>
              <w:t>könne</w:t>
            </w:r>
            <w:r w:rsidRPr="00BE3728">
              <w:rPr>
                <w:sz w:val="20"/>
                <w:szCs w:val="20"/>
              </w:rPr>
              <w:t xml:space="preserve"> die Klägerin nicht über Anweisungen an ihren Ehemann aussagen.</w:t>
            </w:r>
            <w:r w:rsidRPr="00BE3728">
              <w:rPr>
                <w:rStyle w:val="Funotenzeichen"/>
                <w:sz w:val="20"/>
                <w:szCs w:val="20"/>
              </w:rPr>
              <w:footnoteReference w:id="2332"/>
            </w:r>
          </w:p>
          <w:p w14:paraId="0501B854" w14:textId="77777777" w:rsidR="00074551" w:rsidRPr="00E50B51" w:rsidRDefault="00074551" w:rsidP="00367133">
            <w:pPr>
              <w:jc w:val="both"/>
              <w:rPr>
                <w:sz w:val="20"/>
                <w:szCs w:val="20"/>
              </w:rPr>
            </w:pPr>
          </w:p>
        </w:tc>
      </w:tr>
    </w:tbl>
    <w:p w14:paraId="7987E8A8" w14:textId="77777777" w:rsidR="00A52AA9" w:rsidRPr="00E50B51" w:rsidRDefault="00A52AA9" w:rsidP="00DC6DEB">
      <w:pPr>
        <w:jc w:val="both"/>
        <w:rPr>
          <w:sz w:val="20"/>
          <w:szCs w:val="20"/>
        </w:rPr>
      </w:pPr>
    </w:p>
    <w:p w14:paraId="048D6905" w14:textId="77777777" w:rsidR="000E3D4A" w:rsidRPr="00843112" w:rsidRDefault="000E3D4A" w:rsidP="00DC6DEB">
      <w:pPr>
        <w:jc w:val="both"/>
        <w:rPr>
          <w:sz w:val="20"/>
          <w:szCs w:val="20"/>
        </w:rPr>
      </w:pPr>
    </w:p>
    <w:p w14:paraId="404B5364" w14:textId="77777777" w:rsidR="000E3D4A" w:rsidRPr="00843112" w:rsidRDefault="000E3D4A" w:rsidP="00DC6DEB">
      <w:pPr>
        <w:jc w:val="both"/>
        <w:rPr>
          <w:sz w:val="20"/>
          <w:szCs w:val="20"/>
        </w:rPr>
      </w:pPr>
    </w:p>
    <w:p w14:paraId="547A6E19" w14:textId="77777777" w:rsidR="000E3D4A" w:rsidRPr="00843112" w:rsidRDefault="000E3D4A" w:rsidP="00DC6DEB">
      <w:pPr>
        <w:jc w:val="both"/>
        <w:rPr>
          <w:sz w:val="20"/>
          <w:szCs w:val="20"/>
        </w:rPr>
      </w:pPr>
    </w:p>
    <w:sectPr w:rsidR="000E3D4A" w:rsidRPr="00843112" w:rsidSect="00892CA2">
      <w:footerReference w:type="even" r:id="rId20"/>
      <w:footerReference w:type="default" r:id="rId21"/>
      <w:pgSz w:w="16840" w:h="1190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6A2E2" w14:textId="77777777" w:rsidR="005A1AD0" w:rsidRDefault="005A1AD0" w:rsidP="000B41B0">
      <w:r>
        <w:separator/>
      </w:r>
    </w:p>
  </w:endnote>
  <w:endnote w:type="continuationSeparator" w:id="0">
    <w:p w14:paraId="7EBD94EC" w14:textId="77777777" w:rsidR="005A1AD0" w:rsidRDefault="005A1AD0" w:rsidP="000B4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Times New Roman (Überschriften">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Textkörper)">
    <w:altName w:val="Calibri"/>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ebkit-standard">
    <w:altName w:val="Cambria"/>
    <w:panose1 w:val="020B0604020202020204"/>
    <w:charset w:val="00"/>
    <w:family w:val="roman"/>
    <w:pitch w:val="default"/>
  </w:font>
  <w:font w:name="P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2007122230"/>
      <w:docPartObj>
        <w:docPartGallery w:val="Page Numbers (Bottom of Page)"/>
        <w:docPartUnique/>
      </w:docPartObj>
    </w:sdtPr>
    <w:sdtContent>
      <w:p w14:paraId="4AFB92E1" w14:textId="1BF744CB" w:rsidR="009B7BAC" w:rsidRDefault="009B7BAC" w:rsidP="0049533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sidR="0019007B">
          <w:rPr>
            <w:rStyle w:val="Seitenzahl"/>
            <w:noProof/>
          </w:rPr>
          <w:t>590</w:t>
        </w:r>
        <w:r>
          <w:rPr>
            <w:rStyle w:val="Seitenzahl"/>
          </w:rPr>
          <w:fldChar w:fldCharType="end"/>
        </w:r>
      </w:p>
    </w:sdtContent>
  </w:sdt>
  <w:p w14:paraId="309F16AF" w14:textId="77777777" w:rsidR="009B7BAC" w:rsidRDefault="009B7BA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277379636"/>
      <w:docPartObj>
        <w:docPartGallery w:val="Page Numbers (Bottom of Page)"/>
        <w:docPartUnique/>
      </w:docPartObj>
    </w:sdtPr>
    <w:sdtContent>
      <w:p w14:paraId="5147804F" w14:textId="32287C5B" w:rsidR="009B7BAC" w:rsidRDefault="009B7BAC" w:rsidP="0049533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133</w:t>
        </w:r>
        <w:r>
          <w:rPr>
            <w:rStyle w:val="Seitenzahl"/>
          </w:rPr>
          <w:fldChar w:fldCharType="end"/>
        </w:r>
      </w:p>
    </w:sdtContent>
  </w:sdt>
  <w:p w14:paraId="4D21D9E1" w14:textId="77777777" w:rsidR="009B7BAC" w:rsidRDefault="009B7BA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0D129" w14:textId="77777777" w:rsidR="005A1AD0" w:rsidRDefault="005A1AD0" w:rsidP="000B41B0">
      <w:r>
        <w:separator/>
      </w:r>
    </w:p>
  </w:footnote>
  <w:footnote w:type="continuationSeparator" w:id="0">
    <w:p w14:paraId="78C06961" w14:textId="77777777" w:rsidR="005A1AD0" w:rsidRDefault="005A1AD0" w:rsidP="000B41B0">
      <w:r>
        <w:continuationSeparator/>
      </w:r>
    </w:p>
  </w:footnote>
  <w:footnote w:id="1">
    <w:p w14:paraId="2BCCA1D2" w14:textId="77777777" w:rsidR="00074551" w:rsidRDefault="00074551" w:rsidP="00074551">
      <w:pPr>
        <w:pStyle w:val="Funotentext"/>
      </w:pPr>
      <w:r>
        <w:rPr>
          <w:rStyle w:val="Funotenzeichen"/>
        </w:rPr>
        <w:footnoteRef/>
      </w:r>
      <w:r>
        <w:t xml:space="preserve"> </w:t>
      </w:r>
      <w:proofErr w:type="spellStart"/>
      <w:r>
        <w:t>poH</w:t>
      </w:r>
      <w:proofErr w:type="spellEnd"/>
      <w:r>
        <w:t xml:space="preserve"> = </w:t>
      </w:r>
      <w:proofErr w:type="spellStart"/>
      <w:r w:rsidRPr="00910DF2">
        <w:rPr>
          <w:i/>
          <w:iCs/>
        </w:rPr>
        <w:t>pur</w:t>
      </w:r>
      <w:r>
        <w:rPr>
          <w:i/>
          <w:iCs/>
        </w:rPr>
        <w:t>s</w:t>
      </w:r>
      <w:r w:rsidRPr="00910DF2">
        <w:rPr>
          <w:i/>
          <w:iCs/>
        </w:rPr>
        <w:t>uit</w:t>
      </w:r>
      <w:proofErr w:type="spellEnd"/>
      <w:r w:rsidRPr="00910DF2">
        <w:rPr>
          <w:i/>
          <w:iCs/>
        </w:rPr>
        <w:t xml:space="preserve"> of Happiness</w:t>
      </w:r>
      <w:r>
        <w:t xml:space="preserve">; H = </w:t>
      </w:r>
      <w:r w:rsidRPr="00910DF2">
        <w:rPr>
          <w:i/>
          <w:iCs/>
        </w:rPr>
        <w:t>Happiness</w:t>
      </w:r>
      <w:r>
        <w:t>.</w:t>
      </w:r>
    </w:p>
  </w:footnote>
  <w:footnote w:id="2">
    <w:p w14:paraId="6468C1CA" w14:textId="77777777" w:rsidR="00074551" w:rsidRPr="00910DF2" w:rsidRDefault="00074551" w:rsidP="00074551">
      <w:pPr>
        <w:pStyle w:val="Funotentext"/>
        <w:rPr>
          <w:lang w:val="en-US"/>
        </w:rPr>
      </w:pPr>
      <w:r>
        <w:rPr>
          <w:rStyle w:val="Funotenzeichen"/>
        </w:rPr>
        <w:footnoteRef/>
      </w:r>
      <w:r w:rsidRPr="00B45592">
        <w:t xml:space="preserve"> </w:t>
      </w:r>
      <w:r w:rsidRPr="00C0565F">
        <w:rPr>
          <w:lang w:val="en-US"/>
        </w:rPr>
        <w:t xml:space="preserve">Teil des </w:t>
      </w:r>
      <w:proofErr w:type="spellStart"/>
      <w:r w:rsidRPr="00C0565F">
        <w:rPr>
          <w:lang w:val="en-US"/>
        </w:rPr>
        <w:t>Urteils</w:t>
      </w:r>
      <w:proofErr w:type="spellEnd"/>
      <w:r w:rsidRPr="00C0565F">
        <w:rPr>
          <w:lang w:val="en-US"/>
        </w:rPr>
        <w:t xml:space="preserve"> </w:t>
      </w:r>
      <w:proofErr w:type="spellStart"/>
      <w:r w:rsidRPr="00C0565F">
        <w:rPr>
          <w:lang w:val="en-US"/>
        </w:rPr>
        <w:t>meint</w:t>
      </w:r>
      <w:proofErr w:type="spellEnd"/>
      <w:r w:rsidRPr="00C0565F">
        <w:rPr>
          <w:lang w:val="en-US"/>
        </w:rPr>
        <w:t xml:space="preserve">: </w:t>
      </w:r>
      <w:r w:rsidRPr="00C0565F">
        <w:rPr>
          <w:i/>
          <w:iCs/>
        </w:rPr>
        <w:t xml:space="preserve">Reporter of </w:t>
      </w:r>
      <w:proofErr w:type="spellStart"/>
      <w:r w:rsidRPr="00C0565F">
        <w:rPr>
          <w:i/>
          <w:iCs/>
        </w:rPr>
        <w:t>Decisions</w:t>
      </w:r>
      <w:proofErr w:type="spellEnd"/>
      <w:r w:rsidRPr="00C0565F">
        <w:rPr>
          <w:i/>
          <w:iCs/>
        </w:rPr>
        <w:t xml:space="preserve"> of the U.S. Supreme Court</w:t>
      </w:r>
      <w:r w:rsidRPr="00C0565F">
        <w:rPr>
          <w:lang w:val="en-US"/>
        </w:rPr>
        <w:t xml:space="preserve"> (R)</w:t>
      </w:r>
      <w:r>
        <w:rPr>
          <w:lang w:val="en-US"/>
        </w:rPr>
        <w:t xml:space="preserve"> = </w:t>
      </w:r>
      <w:proofErr w:type="spellStart"/>
      <w:r w:rsidRPr="00C0565F">
        <w:rPr>
          <w:lang w:val="en-US"/>
        </w:rPr>
        <w:t>Prozessgeschichte</w:t>
      </w:r>
      <w:proofErr w:type="spellEnd"/>
      <w:r w:rsidRPr="00C0565F">
        <w:rPr>
          <w:lang w:val="en-US"/>
        </w:rPr>
        <w:t xml:space="preserve"> des </w:t>
      </w:r>
      <w:proofErr w:type="spellStart"/>
      <w:r w:rsidRPr="00C0565F">
        <w:rPr>
          <w:lang w:val="en-US"/>
        </w:rPr>
        <w:t>Urteils</w:t>
      </w:r>
      <w:proofErr w:type="spellEnd"/>
      <w:r>
        <w:rPr>
          <w:lang w:val="en-US"/>
        </w:rPr>
        <w:t>;</w:t>
      </w:r>
      <w:r w:rsidRPr="00C0565F">
        <w:rPr>
          <w:lang w:val="en-US"/>
        </w:rPr>
        <w:t xml:space="preserve"> </w:t>
      </w:r>
      <w:r w:rsidRPr="00C0565F">
        <w:rPr>
          <w:i/>
          <w:iCs/>
          <w:lang w:val="en-US"/>
        </w:rPr>
        <w:t>Syllabus</w:t>
      </w:r>
      <w:r>
        <w:rPr>
          <w:lang w:val="en-US"/>
        </w:rPr>
        <w:t xml:space="preserve"> </w:t>
      </w:r>
      <w:r w:rsidRPr="00C0565F">
        <w:rPr>
          <w:lang w:val="en-US"/>
        </w:rPr>
        <w:t>(S)</w:t>
      </w:r>
      <w:r>
        <w:rPr>
          <w:lang w:val="en-US"/>
        </w:rPr>
        <w:t xml:space="preserve"> = </w:t>
      </w:r>
      <w:r w:rsidRPr="00C0565F">
        <w:t>beschreibt in Kürze den Sachverhalt, erläutert Rechtsfragen, die das Gericht zu entscheiden hatte, bildet die Schlussfolgerungen ab, zu denen das Gericht in seiner Mehrheitsmeinung gelangte, und fasst dann die tragenden Argumente für die Entscheidung zusammen</w:t>
      </w:r>
      <w:r>
        <w:rPr>
          <w:lang w:val="en-US"/>
        </w:rPr>
        <w:t>;</w:t>
      </w:r>
      <w:r w:rsidRPr="00C0565F">
        <w:rPr>
          <w:lang w:val="en-US"/>
        </w:rPr>
        <w:t xml:space="preserve"> </w:t>
      </w:r>
      <w:r w:rsidRPr="00C0565F">
        <w:rPr>
          <w:i/>
          <w:iCs/>
          <w:lang w:val="en-US"/>
        </w:rPr>
        <w:t>Majority Opinion</w:t>
      </w:r>
      <w:r w:rsidRPr="00C0565F">
        <w:rPr>
          <w:lang w:val="en-US"/>
        </w:rPr>
        <w:t xml:space="preserve"> (M)</w:t>
      </w:r>
      <w:r>
        <w:rPr>
          <w:lang w:val="en-US"/>
        </w:rPr>
        <w:t xml:space="preserve"> = </w:t>
      </w:r>
      <w:proofErr w:type="spellStart"/>
      <w:r w:rsidRPr="00C0565F">
        <w:rPr>
          <w:lang w:val="en-US"/>
        </w:rPr>
        <w:t>Mehrheitsmeinung</w:t>
      </w:r>
      <w:proofErr w:type="spellEnd"/>
      <w:r>
        <w:rPr>
          <w:lang w:val="en-US"/>
        </w:rPr>
        <w:t>;</w:t>
      </w:r>
      <w:r w:rsidRPr="00C0565F">
        <w:rPr>
          <w:lang w:val="en-US"/>
        </w:rPr>
        <w:t xml:space="preserve"> </w:t>
      </w:r>
      <w:r w:rsidRPr="00C0565F">
        <w:rPr>
          <w:i/>
          <w:iCs/>
          <w:lang w:val="en-US"/>
        </w:rPr>
        <w:t>Concurring Opinion</w:t>
      </w:r>
      <w:r w:rsidRPr="00C0565F">
        <w:rPr>
          <w:lang w:val="en-US"/>
        </w:rPr>
        <w:t xml:space="preserve"> (C)</w:t>
      </w:r>
      <w:r>
        <w:rPr>
          <w:lang w:val="en-US"/>
        </w:rPr>
        <w:t xml:space="preserve"> = </w:t>
      </w:r>
      <w:proofErr w:type="spellStart"/>
      <w:r w:rsidRPr="00C0565F">
        <w:rPr>
          <w:lang w:val="en-US"/>
        </w:rPr>
        <w:t>zustimmende</w:t>
      </w:r>
      <w:proofErr w:type="spellEnd"/>
      <w:r w:rsidRPr="00C0565F">
        <w:rPr>
          <w:lang w:val="en-US"/>
        </w:rPr>
        <w:t xml:space="preserve"> </w:t>
      </w:r>
      <w:proofErr w:type="spellStart"/>
      <w:r w:rsidRPr="00C0565F">
        <w:rPr>
          <w:lang w:val="en-US"/>
        </w:rPr>
        <w:t>Sondermeinung</w:t>
      </w:r>
      <w:proofErr w:type="spellEnd"/>
      <w:r>
        <w:rPr>
          <w:lang w:val="en-US"/>
        </w:rPr>
        <w:t>;</w:t>
      </w:r>
      <w:r w:rsidRPr="00C0565F">
        <w:rPr>
          <w:lang w:val="en-US"/>
        </w:rPr>
        <w:t xml:space="preserve"> </w:t>
      </w:r>
      <w:r w:rsidRPr="00C0565F">
        <w:rPr>
          <w:i/>
          <w:iCs/>
          <w:lang w:val="en-US"/>
        </w:rPr>
        <w:t>Dissent</w:t>
      </w:r>
      <w:r w:rsidRPr="00C0565F">
        <w:rPr>
          <w:lang w:val="en-US"/>
        </w:rPr>
        <w:t xml:space="preserve"> (D)</w:t>
      </w:r>
      <w:r>
        <w:rPr>
          <w:lang w:val="en-US"/>
        </w:rPr>
        <w:t xml:space="preserve"> = </w:t>
      </w:r>
      <w:proofErr w:type="spellStart"/>
      <w:r w:rsidRPr="00C0565F">
        <w:rPr>
          <w:lang w:val="en-US"/>
        </w:rPr>
        <w:t>abweichende</w:t>
      </w:r>
      <w:proofErr w:type="spellEnd"/>
      <w:r w:rsidRPr="00C0565F">
        <w:rPr>
          <w:lang w:val="en-US"/>
        </w:rPr>
        <w:t xml:space="preserve"> Meinung.</w:t>
      </w:r>
    </w:p>
  </w:footnote>
  <w:footnote w:id="3">
    <w:p w14:paraId="21DF4DAF" w14:textId="77777777" w:rsidR="00074551" w:rsidRDefault="00074551" w:rsidP="00074551">
      <w:pPr>
        <w:pStyle w:val="Funotentext"/>
      </w:pPr>
      <w:r>
        <w:rPr>
          <w:rStyle w:val="Funotenzeichen"/>
        </w:rPr>
        <w:footnoteRef/>
      </w:r>
      <w:r>
        <w:t xml:space="preserve"> Wenn die Tabelle ein * abbildet, wurde der Sachverhalt bereits in einer vorherigen Zeile beschrieben. </w:t>
      </w:r>
      <w:r w:rsidRPr="00761202">
        <w:t>Somit verweist die Tabelle nach oben.</w:t>
      </w:r>
    </w:p>
    <w:p w14:paraId="0EB3EA40" w14:textId="77777777" w:rsidR="00074551" w:rsidRPr="00A55FCD" w:rsidRDefault="00074551" w:rsidP="00074551">
      <w:pPr>
        <w:pStyle w:val="Funotentext"/>
      </w:pPr>
      <w:r>
        <w:t xml:space="preserve">Aus Vorsicht </w:t>
      </w:r>
      <w:r w:rsidRPr="00B45592">
        <w:t xml:space="preserve">wird darauf hingewiesen, dass einige Urteilsdarstellungen bewusst verkürzt sind. Das beruht zum einen darauf, dass die Auswertung auf </w:t>
      </w:r>
      <w:r>
        <w:t>das</w:t>
      </w:r>
      <w:r w:rsidRPr="00B45592">
        <w:t xml:space="preserve"> </w:t>
      </w:r>
      <w:proofErr w:type="spellStart"/>
      <w:r w:rsidRPr="00B45592">
        <w:rPr>
          <w:i/>
          <w:iCs/>
        </w:rPr>
        <w:t>pursuit</w:t>
      </w:r>
      <w:proofErr w:type="spellEnd"/>
      <w:r w:rsidRPr="00B45592">
        <w:rPr>
          <w:i/>
          <w:iCs/>
        </w:rPr>
        <w:t xml:space="preserve"> of Happiness</w:t>
      </w:r>
      <w:r w:rsidRPr="00B45592">
        <w:t xml:space="preserve"> bzw. </w:t>
      </w:r>
      <w:proofErr w:type="spellStart"/>
      <w:r w:rsidRPr="00B45592">
        <w:rPr>
          <w:i/>
          <w:iCs/>
        </w:rPr>
        <w:t>happiness</w:t>
      </w:r>
      <w:proofErr w:type="spellEnd"/>
      <w:r w:rsidRPr="00B45592">
        <w:t xml:space="preserve"> fokussiert ist, und zum anderen darauf, dass teilweise nur ein für die Untersuchung einschlägiger Teil des Urteils dargestellt wird, etwa eine </w:t>
      </w:r>
      <w:proofErr w:type="spellStart"/>
      <w:r w:rsidRPr="00B45592">
        <w:rPr>
          <w:i/>
          <w:iCs/>
        </w:rPr>
        <w:t>dissenting</w:t>
      </w:r>
      <w:proofErr w:type="spellEnd"/>
      <w:r w:rsidRPr="00B45592">
        <w:rPr>
          <w:i/>
          <w:iCs/>
        </w:rPr>
        <w:t xml:space="preserve"> </w:t>
      </w:r>
      <w:proofErr w:type="spellStart"/>
      <w:r w:rsidRPr="00B45592">
        <w:rPr>
          <w:i/>
          <w:iCs/>
        </w:rPr>
        <w:t>opinion</w:t>
      </w:r>
      <w:proofErr w:type="spellEnd"/>
      <w:r w:rsidRPr="00B45592">
        <w:t>. Die jeweiligen Einträge beanspruchen daher nicht stets, das Urteil in seiner gesamten dogmatischen Breite wiederzugeben, sondern nur den für die Fragestellung relevanten Ausschnitt.</w:t>
      </w:r>
    </w:p>
  </w:footnote>
  <w:footnote w:id="4">
    <w:p w14:paraId="272E4B27" w14:textId="77777777" w:rsidR="00074551" w:rsidRPr="00B45592" w:rsidRDefault="00074551" w:rsidP="00074551">
      <w:pPr>
        <w:pStyle w:val="Funotentext"/>
        <w:rPr>
          <w:lang w:val="en-IE"/>
        </w:rPr>
      </w:pPr>
      <w:r>
        <w:rPr>
          <w:rStyle w:val="Funotenzeichen"/>
          <w:rFonts w:eastAsiaTheme="majorEastAsia"/>
        </w:rPr>
        <w:footnoteRef/>
      </w:r>
      <w:r w:rsidRPr="00B45592">
        <w:rPr>
          <w:lang w:val="en-IE"/>
        </w:rPr>
        <w:t xml:space="preserve"> </w:t>
      </w:r>
      <w:r w:rsidRPr="008F73D7">
        <w:rPr>
          <w:i/>
          <w:lang w:val="en-IE"/>
        </w:rPr>
        <w:t>Munn v. Ill.</w:t>
      </w:r>
      <w:r w:rsidRPr="00B45592">
        <w:rPr>
          <w:lang w:val="en-IE"/>
        </w:rPr>
        <w:t>, 94 U.S. 113, 142</w:t>
      </w:r>
      <w:r>
        <w:rPr>
          <w:lang w:val="en-IE"/>
        </w:rPr>
        <w:t xml:space="preserve"> = 24 L. Ed.</w:t>
      </w:r>
      <w:r w:rsidRPr="00B45592">
        <w:rPr>
          <w:lang w:val="en-IE"/>
        </w:rPr>
        <w:t xml:space="preserve"> 77, 90</w:t>
      </w:r>
      <w:r>
        <w:rPr>
          <w:lang w:val="en-IE"/>
        </w:rPr>
        <w:t xml:space="preserve"> = 1876 U.S. LEXIS </w:t>
      </w:r>
      <w:r w:rsidRPr="00B45592">
        <w:rPr>
          <w:lang w:val="en-IE"/>
        </w:rPr>
        <w:t>1842, 58</w:t>
      </w:r>
      <w:r>
        <w:rPr>
          <w:lang w:val="en-IE"/>
        </w:rPr>
        <w:t xml:space="preserve"> = 4 Otto </w:t>
      </w:r>
      <w:r w:rsidRPr="00B45592">
        <w:rPr>
          <w:lang w:val="en-IE"/>
        </w:rPr>
        <w:t>113 (1877).</w:t>
      </w:r>
    </w:p>
  </w:footnote>
  <w:footnote w:id="5">
    <w:p w14:paraId="3605EFF5" w14:textId="77777777" w:rsidR="00074551" w:rsidRPr="007F49C5" w:rsidRDefault="00074551" w:rsidP="00074551">
      <w:pPr>
        <w:pStyle w:val="Funotentext"/>
        <w:rPr>
          <w:lang w:val="en-US"/>
        </w:rPr>
      </w:pPr>
      <w:r>
        <w:rPr>
          <w:rStyle w:val="Funotenzeichen"/>
          <w:rFonts w:eastAsiaTheme="majorEastAsia"/>
        </w:rPr>
        <w:footnoteRef/>
      </w:r>
      <w:r w:rsidRPr="007F49C5">
        <w:rPr>
          <w:lang w:val="en-US"/>
        </w:rPr>
        <w:t xml:space="preserve"> </w:t>
      </w:r>
      <w:r w:rsidRPr="00B45592">
        <w:rPr>
          <w:i/>
          <w:iCs/>
          <w:lang w:val="en-US"/>
        </w:rPr>
        <w:t>State Tax on Railway Gross Receipts</w:t>
      </w:r>
      <w:r w:rsidRPr="007F49C5">
        <w:rPr>
          <w:lang w:val="en-US"/>
        </w:rPr>
        <w:t xml:space="preserve">, 15 Wall. 293; </w:t>
      </w:r>
      <w:r w:rsidRPr="008F73D7">
        <w:rPr>
          <w:i/>
          <w:lang w:val="en-US"/>
        </w:rPr>
        <w:t>Munn v. Ill.</w:t>
      </w:r>
      <w:r w:rsidRPr="007F49C5">
        <w:rPr>
          <w:lang w:val="en-US"/>
        </w:rPr>
        <w:t>, 94 U.S. 113, 135</w:t>
      </w:r>
      <w:r>
        <w:rPr>
          <w:lang w:val="en-US"/>
        </w:rPr>
        <w:t xml:space="preserve"> = 24 L. Ed.</w:t>
      </w:r>
      <w:r w:rsidRPr="007F49C5">
        <w:rPr>
          <w:lang w:val="en-US"/>
        </w:rPr>
        <w:t xml:space="preserve"> 77, 87</w:t>
      </w:r>
      <w:r>
        <w:rPr>
          <w:lang w:val="en-US"/>
        </w:rPr>
        <w:t xml:space="preserve"> = 1876 U.S. LEXIS </w:t>
      </w:r>
      <w:r w:rsidRPr="007F49C5">
        <w:rPr>
          <w:lang w:val="en-US"/>
        </w:rPr>
        <w:t>1842, 44</w:t>
      </w:r>
      <w:r>
        <w:rPr>
          <w:lang w:val="en-US"/>
        </w:rPr>
        <w:t xml:space="preserve"> = 4 Otto </w:t>
      </w:r>
      <w:r w:rsidRPr="007F49C5">
        <w:rPr>
          <w:lang w:val="en-US"/>
        </w:rPr>
        <w:t>113 (1877)</w:t>
      </w:r>
      <w:r>
        <w:rPr>
          <w:lang w:val="en-US"/>
        </w:rPr>
        <w:t>.</w:t>
      </w:r>
    </w:p>
  </w:footnote>
  <w:footnote w:id="6">
    <w:p w14:paraId="1CD36D36" w14:textId="77777777" w:rsidR="00074551" w:rsidRPr="00443F2E" w:rsidRDefault="00074551" w:rsidP="00074551">
      <w:pPr>
        <w:pStyle w:val="Funotentext"/>
        <w:rPr>
          <w:lang w:val="en-US"/>
        </w:rPr>
      </w:pPr>
      <w:r>
        <w:rPr>
          <w:rStyle w:val="Funotenzeichen"/>
          <w:rFonts w:eastAsiaTheme="majorEastAsia"/>
        </w:rPr>
        <w:footnoteRef/>
      </w:r>
      <w:r w:rsidRPr="00443F2E">
        <w:rPr>
          <w:lang w:val="en-US"/>
        </w:rPr>
        <w:t xml:space="preserve"> </w:t>
      </w:r>
      <w:r w:rsidRPr="008F73D7">
        <w:rPr>
          <w:i/>
          <w:lang w:val="en-US"/>
        </w:rPr>
        <w:t>Munn v. Ill.</w:t>
      </w:r>
      <w:r w:rsidRPr="00443F2E">
        <w:rPr>
          <w:lang w:val="en-US"/>
        </w:rPr>
        <w:t>, 94 U.S. 113, 135</w:t>
      </w:r>
      <w:r>
        <w:rPr>
          <w:lang w:val="en-US"/>
        </w:rPr>
        <w:t xml:space="preserve"> = 24 L. Ed.</w:t>
      </w:r>
      <w:r w:rsidRPr="00443F2E">
        <w:rPr>
          <w:lang w:val="en-US"/>
        </w:rPr>
        <w:t xml:space="preserve"> 77, 87</w:t>
      </w:r>
      <w:r>
        <w:rPr>
          <w:lang w:val="en-US"/>
        </w:rPr>
        <w:t xml:space="preserve"> = 1876 U.S. LEXIS </w:t>
      </w:r>
      <w:r w:rsidRPr="00443F2E">
        <w:rPr>
          <w:lang w:val="en-US"/>
        </w:rPr>
        <w:t>1842, 45</w:t>
      </w:r>
      <w:r>
        <w:rPr>
          <w:lang w:val="en-US"/>
        </w:rPr>
        <w:t xml:space="preserve"> = 4 Otto </w:t>
      </w:r>
      <w:r w:rsidRPr="00443F2E">
        <w:rPr>
          <w:lang w:val="en-US"/>
        </w:rPr>
        <w:t>113 (1877)</w:t>
      </w:r>
      <w:r>
        <w:rPr>
          <w:lang w:val="en-US"/>
        </w:rPr>
        <w:t>.</w:t>
      </w:r>
    </w:p>
  </w:footnote>
  <w:footnote w:id="7">
    <w:p w14:paraId="761176F9" w14:textId="77777777" w:rsidR="00074551" w:rsidRPr="00761202" w:rsidRDefault="00074551" w:rsidP="00074551">
      <w:pPr>
        <w:pStyle w:val="Funotentext"/>
        <w:rPr>
          <w:lang w:val="en-US"/>
        </w:rPr>
      </w:pPr>
      <w:r>
        <w:rPr>
          <w:rStyle w:val="Funotenzeichen"/>
        </w:rPr>
        <w:footnoteRef/>
      </w:r>
      <w:r w:rsidRPr="00761202">
        <w:rPr>
          <w:lang w:val="en-US"/>
        </w:rPr>
        <w:t xml:space="preserve"> </w:t>
      </w:r>
      <w:r w:rsidRPr="008F73D7">
        <w:rPr>
          <w:i/>
          <w:lang w:val="en-US"/>
        </w:rPr>
        <w:t>Munn v. Ill.</w:t>
      </w:r>
      <w:r w:rsidRPr="00761202">
        <w:rPr>
          <w:lang w:val="en-US"/>
        </w:rPr>
        <w:t>, 94 U.S. 113, 139</w:t>
      </w:r>
      <w:r>
        <w:rPr>
          <w:lang w:val="en-US"/>
        </w:rPr>
        <w:t xml:space="preserve"> = 24 L. Ed.</w:t>
      </w:r>
      <w:r w:rsidRPr="00761202">
        <w:rPr>
          <w:lang w:val="en-US"/>
        </w:rPr>
        <w:t xml:space="preserve"> 77, 89</w:t>
      </w:r>
      <w:r>
        <w:rPr>
          <w:lang w:val="en-US"/>
        </w:rPr>
        <w:t xml:space="preserve"> = 1876 U.S. LEXIS </w:t>
      </w:r>
      <w:r w:rsidRPr="00761202">
        <w:rPr>
          <w:lang w:val="en-US"/>
        </w:rPr>
        <w:t>1842, 52</w:t>
      </w:r>
      <w:r>
        <w:rPr>
          <w:lang w:val="en-US"/>
        </w:rPr>
        <w:t xml:space="preserve"> = 4 Otto </w:t>
      </w:r>
      <w:r w:rsidRPr="00761202">
        <w:rPr>
          <w:lang w:val="en-US"/>
        </w:rPr>
        <w:t>113 (1877)</w:t>
      </w:r>
      <w:r>
        <w:rPr>
          <w:lang w:val="en-US"/>
        </w:rPr>
        <w:t>.</w:t>
      </w:r>
    </w:p>
  </w:footnote>
  <w:footnote w:id="8">
    <w:p w14:paraId="170E1DCE" w14:textId="77777777" w:rsidR="00074551" w:rsidRPr="0003625A" w:rsidRDefault="00074551" w:rsidP="00074551">
      <w:pPr>
        <w:pStyle w:val="Funotentext"/>
        <w:rPr>
          <w:lang w:val="en-US"/>
        </w:rPr>
      </w:pPr>
      <w:r>
        <w:rPr>
          <w:rStyle w:val="Funotenzeichen"/>
          <w:rFonts w:eastAsiaTheme="majorEastAsia"/>
        </w:rPr>
        <w:footnoteRef/>
      </w:r>
      <w:r w:rsidRPr="0003625A">
        <w:rPr>
          <w:lang w:val="en-US"/>
        </w:rPr>
        <w:t xml:space="preserve"> </w:t>
      </w:r>
      <w:r w:rsidRPr="008F73D7">
        <w:rPr>
          <w:i/>
          <w:lang w:val="en-US"/>
        </w:rPr>
        <w:t>Munn v. Ill.</w:t>
      </w:r>
      <w:r w:rsidRPr="0003625A">
        <w:rPr>
          <w:lang w:val="en-US"/>
        </w:rPr>
        <w:t>, 94 U.S. 113, 141</w:t>
      </w:r>
      <w:r>
        <w:rPr>
          <w:lang w:val="en-US"/>
        </w:rPr>
        <w:t xml:space="preserve"> = 24 L. Ed.</w:t>
      </w:r>
      <w:r w:rsidRPr="0003625A">
        <w:rPr>
          <w:lang w:val="en-US"/>
        </w:rPr>
        <w:t xml:space="preserve"> 77, 90</w:t>
      </w:r>
      <w:r>
        <w:rPr>
          <w:lang w:val="en-US"/>
        </w:rPr>
        <w:t xml:space="preserve"> = 1876 U.S. LEXIS </w:t>
      </w:r>
      <w:r w:rsidRPr="0003625A">
        <w:rPr>
          <w:lang w:val="en-US"/>
        </w:rPr>
        <w:t>1842, 57</w:t>
      </w:r>
      <w:r>
        <w:rPr>
          <w:lang w:val="en-US"/>
        </w:rPr>
        <w:t xml:space="preserve"> = 4 Otto </w:t>
      </w:r>
      <w:r w:rsidRPr="0003625A">
        <w:rPr>
          <w:lang w:val="en-US"/>
        </w:rPr>
        <w:t>113 (1877)</w:t>
      </w:r>
      <w:r>
        <w:rPr>
          <w:lang w:val="en-US"/>
        </w:rPr>
        <w:t>.</w:t>
      </w:r>
    </w:p>
  </w:footnote>
  <w:footnote w:id="9">
    <w:p w14:paraId="139A182B" w14:textId="77777777" w:rsidR="00074551" w:rsidRPr="00761202" w:rsidRDefault="00074551" w:rsidP="00074551">
      <w:pPr>
        <w:pStyle w:val="Funotentext"/>
        <w:rPr>
          <w:lang w:val="en-US"/>
        </w:rPr>
      </w:pPr>
      <w:r>
        <w:rPr>
          <w:rStyle w:val="Funotenzeichen"/>
        </w:rPr>
        <w:footnoteRef/>
      </w:r>
      <w:r w:rsidRPr="00761202">
        <w:rPr>
          <w:lang w:val="en-US"/>
        </w:rPr>
        <w:t xml:space="preserve"> </w:t>
      </w:r>
      <w:r w:rsidRPr="008F73D7">
        <w:rPr>
          <w:i/>
          <w:lang w:val="en-US"/>
        </w:rPr>
        <w:t>Munn v. Ill.</w:t>
      </w:r>
      <w:r w:rsidRPr="00761202">
        <w:rPr>
          <w:lang w:val="en-US"/>
        </w:rPr>
        <w:t>, 94 U.S. 113, 141</w:t>
      </w:r>
      <w:r>
        <w:rPr>
          <w:lang w:val="en-US"/>
        </w:rPr>
        <w:t xml:space="preserve"> = 24 L. Ed.</w:t>
      </w:r>
      <w:r w:rsidRPr="00761202">
        <w:rPr>
          <w:lang w:val="en-US"/>
        </w:rPr>
        <w:t xml:space="preserve"> 77, 90</w:t>
      </w:r>
      <w:r>
        <w:rPr>
          <w:lang w:val="en-US"/>
        </w:rPr>
        <w:t xml:space="preserve"> = 1876 U.S. LEXIS </w:t>
      </w:r>
      <w:r w:rsidRPr="00761202">
        <w:rPr>
          <w:lang w:val="en-US"/>
        </w:rPr>
        <w:t>1842, 57</w:t>
      </w:r>
      <w:r>
        <w:rPr>
          <w:lang w:val="en-US"/>
        </w:rPr>
        <w:t xml:space="preserve"> = 4 Otto </w:t>
      </w:r>
      <w:r w:rsidRPr="00761202">
        <w:rPr>
          <w:lang w:val="en-US"/>
        </w:rPr>
        <w:t>113 (1877)</w:t>
      </w:r>
      <w:r>
        <w:rPr>
          <w:lang w:val="en-US"/>
        </w:rPr>
        <w:t>.</w:t>
      </w:r>
    </w:p>
  </w:footnote>
  <w:footnote w:id="10">
    <w:p w14:paraId="199DE32B" w14:textId="77777777" w:rsidR="00074551" w:rsidRPr="009063B7" w:rsidRDefault="00074551" w:rsidP="00074551">
      <w:pPr>
        <w:pStyle w:val="Funotentext"/>
        <w:rPr>
          <w:lang w:val="en-US"/>
        </w:rPr>
      </w:pPr>
      <w:r>
        <w:rPr>
          <w:rStyle w:val="Funotenzeichen"/>
          <w:rFonts w:eastAsiaTheme="majorEastAsia"/>
        </w:rPr>
        <w:footnoteRef/>
      </w:r>
      <w:r w:rsidRPr="009063B7">
        <w:rPr>
          <w:lang w:val="en-US"/>
        </w:rPr>
        <w:t xml:space="preserve"> </w:t>
      </w:r>
      <w:r w:rsidRPr="008F73D7">
        <w:rPr>
          <w:i/>
          <w:lang w:val="en-US"/>
        </w:rPr>
        <w:t>Munn v. Ill.</w:t>
      </w:r>
      <w:r w:rsidRPr="009063B7">
        <w:rPr>
          <w:lang w:val="en-US"/>
        </w:rPr>
        <w:t>, 94 U.S. 113, 141</w:t>
      </w:r>
      <w:r>
        <w:rPr>
          <w:lang w:val="en-US"/>
        </w:rPr>
        <w:t xml:space="preserve"> = 24 L. Ed.</w:t>
      </w:r>
      <w:r w:rsidRPr="009063B7">
        <w:rPr>
          <w:lang w:val="en-US"/>
        </w:rPr>
        <w:t xml:space="preserve"> 77, 90</w:t>
      </w:r>
      <w:r>
        <w:rPr>
          <w:lang w:val="en-US"/>
        </w:rPr>
        <w:t xml:space="preserve"> = 1876 U.S. LEXIS </w:t>
      </w:r>
      <w:r w:rsidRPr="009063B7">
        <w:rPr>
          <w:lang w:val="en-US"/>
        </w:rPr>
        <w:t>1842, 57</w:t>
      </w:r>
      <w:r>
        <w:rPr>
          <w:lang w:val="en-US"/>
        </w:rPr>
        <w:t>–</w:t>
      </w:r>
      <w:r w:rsidRPr="009063B7">
        <w:rPr>
          <w:lang w:val="en-US"/>
        </w:rPr>
        <w:t>58</w:t>
      </w:r>
      <w:r>
        <w:rPr>
          <w:lang w:val="en-US"/>
        </w:rPr>
        <w:t xml:space="preserve"> = 4 Otto </w:t>
      </w:r>
      <w:r w:rsidRPr="009063B7">
        <w:rPr>
          <w:lang w:val="en-US"/>
        </w:rPr>
        <w:t>113 (1877)</w:t>
      </w:r>
      <w:r>
        <w:rPr>
          <w:lang w:val="en-US"/>
        </w:rPr>
        <w:t>.</w:t>
      </w:r>
    </w:p>
  </w:footnote>
  <w:footnote w:id="11">
    <w:p w14:paraId="5920AF47" w14:textId="77777777" w:rsidR="00074551" w:rsidRPr="0003625A" w:rsidRDefault="00074551" w:rsidP="00074551">
      <w:pPr>
        <w:pStyle w:val="Funotentext"/>
        <w:rPr>
          <w:lang w:val="en-US"/>
        </w:rPr>
      </w:pPr>
      <w:r>
        <w:rPr>
          <w:rStyle w:val="Funotenzeichen"/>
          <w:rFonts w:eastAsiaTheme="majorEastAsia"/>
        </w:rPr>
        <w:footnoteRef/>
      </w:r>
      <w:r w:rsidRPr="0003625A">
        <w:rPr>
          <w:lang w:val="en-US"/>
        </w:rPr>
        <w:t xml:space="preserve"> </w:t>
      </w:r>
      <w:r w:rsidRPr="008F73D7">
        <w:rPr>
          <w:i/>
          <w:lang w:val="en-US"/>
        </w:rPr>
        <w:t>Munn v. Ill.</w:t>
      </w:r>
      <w:r w:rsidRPr="0003625A">
        <w:rPr>
          <w:lang w:val="en-US"/>
        </w:rPr>
        <w:t>, 94 U.S. 113, 141</w:t>
      </w:r>
      <w:r>
        <w:rPr>
          <w:lang w:val="en-US"/>
        </w:rPr>
        <w:t xml:space="preserve"> = 24 L. Ed.</w:t>
      </w:r>
      <w:r w:rsidRPr="0003625A">
        <w:rPr>
          <w:lang w:val="en-US"/>
        </w:rPr>
        <w:t xml:space="preserve"> 77, 90</w:t>
      </w:r>
      <w:r>
        <w:rPr>
          <w:lang w:val="en-US"/>
        </w:rPr>
        <w:t xml:space="preserve"> = 1876 U.S. LEXIS </w:t>
      </w:r>
      <w:r w:rsidRPr="0003625A">
        <w:rPr>
          <w:lang w:val="en-US"/>
        </w:rPr>
        <w:t>1842, 58</w:t>
      </w:r>
      <w:r>
        <w:rPr>
          <w:lang w:val="en-US"/>
        </w:rPr>
        <w:t xml:space="preserve"> = 4 Otto </w:t>
      </w:r>
      <w:r w:rsidRPr="0003625A">
        <w:rPr>
          <w:lang w:val="en-US"/>
        </w:rPr>
        <w:t>113 (1877)</w:t>
      </w:r>
      <w:r>
        <w:rPr>
          <w:lang w:val="en-US"/>
        </w:rPr>
        <w:t>.</w:t>
      </w:r>
    </w:p>
  </w:footnote>
  <w:footnote w:id="12">
    <w:p w14:paraId="55F11BA5" w14:textId="77777777" w:rsidR="00074551" w:rsidRPr="0003625A" w:rsidRDefault="00074551" w:rsidP="00074551">
      <w:pPr>
        <w:pStyle w:val="Funotentext"/>
        <w:rPr>
          <w:lang w:val="en-US"/>
        </w:rPr>
      </w:pPr>
      <w:r>
        <w:rPr>
          <w:rStyle w:val="Funotenzeichen"/>
          <w:rFonts w:eastAsiaTheme="majorEastAsia"/>
        </w:rPr>
        <w:footnoteRef/>
      </w:r>
      <w:r w:rsidRPr="0003625A">
        <w:rPr>
          <w:lang w:val="en-US"/>
        </w:rPr>
        <w:t xml:space="preserve"> </w:t>
      </w:r>
      <w:r w:rsidRPr="008F73D7">
        <w:rPr>
          <w:i/>
          <w:lang w:val="en-US"/>
        </w:rPr>
        <w:t>Munn v. Ill.</w:t>
      </w:r>
      <w:r w:rsidRPr="0003625A">
        <w:rPr>
          <w:lang w:val="en-US"/>
        </w:rPr>
        <w:t>, 94 U.S. 113, 142</w:t>
      </w:r>
      <w:r>
        <w:rPr>
          <w:lang w:val="en-US"/>
        </w:rPr>
        <w:t xml:space="preserve"> = 24 L. Ed.</w:t>
      </w:r>
      <w:r w:rsidRPr="0003625A">
        <w:rPr>
          <w:lang w:val="en-US"/>
        </w:rPr>
        <w:t xml:space="preserve"> 77, 90</w:t>
      </w:r>
      <w:r>
        <w:rPr>
          <w:lang w:val="en-US"/>
        </w:rPr>
        <w:t xml:space="preserve"> = 1876 U.S. LEXIS </w:t>
      </w:r>
      <w:r w:rsidRPr="0003625A">
        <w:rPr>
          <w:lang w:val="en-US"/>
        </w:rPr>
        <w:t>1842, 58</w:t>
      </w:r>
      <w:r>
        <w:rPr>
          <w:lang w:val="en-US"/>
        </w:rPr>
        <w:t xml:space="preserve"> = 4 Otto </w:t>
      </w:r>
      <w:r w:rsidRPr="0003625A">
        <w:rPr>
          <w:lang w:val="en-US"/>
        </w:rPr>
        <w:t>113 (1877)</w:t>
      </w:r>
      <w:r>
        <w:rPr>
          <w:lang w:val="en-US"/>
        </w:rPr>
        <w:t>.</w:t>
      </w:r>
    </w:p>
  </w:footnote>
  <w:footnote w:id="13">
    <w:p w14:paraId="1DBE7584" w14:textId="77777777" w:rsidR="00074551" w:rsidRPr="0003625A" w:rsidRDefault="00074551" w:rsidP="00074551">
      <w:pPr>
        <w:pStyle w:val="Funotentext"/>
        <w:rPr>
          <w:lang w:val="en-US"/>
        </w:rPr>
      </w:pPr>
      <w:r>
        <w:rPr>
          <w:rStyle w:val="Funotenzeichen"/>
          <w:rFonts w:eastAsiaTheme="majorEastAsia"/>
        </w:rPr>
        <w:footnoteRef/>
      </w:r>
      <w:r w:rsidRPr="0003625A">
        <w:rPr>
          <w:lang w:val="en-US"/>
        </w:rPr>
        <w:t xml:space="preserve"> </w:t>
      </w:r>
      <w:r w:rsidRPr="008F73D7">
        <w:rPr>
          <w:i/>
          <w:lang w:val="en-US"/>
        </w:rPr>
        <w:t>Munn v. Ill.</w:t>
      </w:r>
      <w:r w:rsidRPr="0003625A">
        <w:rPr>
          <w:lang w:val="en-US"/>
        </w:rPr>
        <w:t>, 94 U.S. 113, 141</w:t>
      </w:r>
      <w:r>
        <w:rPr>
          <w:lang w:val="en-US"/>
        </w:rPr>
        <w:t xml:space="preserve"> = 24 L. Ed.</w:t>
      </w:r>
      <w:r w:rsidRPr="0003625A">
        <w:rPr>
          <w:lang w:val="en-US"/>
        </w:rPr>
        <w:t xml:space="preserve"> 77, 90</w:t>
      </w:r>
      <w:r>
        <w:rPr>
          <w:lang w:val="en-US"/>
        </w:rPr>
        <w:t xml:space="preserve"> = 1876 U.S. LEXIS </w:t>
      </w:r>
      <w:r w:rsidRPr="0003625A">
        <w:rPr>
          <w:lang w:val="en-US"/>
        </w:rPr>
        <w:t>1842, 58</w:t>
      </w:r>
      <w:r>
        <w:rPr>
          <w:lang w:val="en-US"/>
        </w:rPr>
        <w:t xml:space="preserve"> = 4 Otto </w:t>
      </w:r>
      <w:r w:rsidRPr="0003625A">
        <w:rPr>
          <w:lang w:val="en-US"/>
        </w:rPr>
        <w:t>113 (1877)</w:t>
      </w:r>
      <w:r>
        <w:rPr>
          <w:lang w:val="en-US"/>
        </w:rPr>
        <w:t>.</w:t>
      </w:r>
    </w:p>
  </w:footnote>
  <w:footnote w:id="14">
    <w:p w14:paraId="2EAF03FF" w14:textId="77777777" w:rsidR="00074551" w:rsidRPr="00362CF4" w:rsidRDefault="00074551" w:rsidP="00074551">
      <w:pPr>
        <w:pStyle w:val="Funotentext"/>
        <w:rPr>
          <w:lang w:val="en-US"/>
        </w:rPr>
      </w:pPr>
      <w:r>
        <w:rPr>
          <w:rStyle w:val="Funotenzeichen"/>
          <w:rFonts w:eastAsiaTheme="majorEastAsia"/>
        </w:rPr>
        <w:footnoteRef/>
      </w:r>
      <w:r w:rsidRPr="00362CF4">
        <w:rPr>
          <w:lang w:val="en-US"/>
        </w:rPr>
        <w:t xml:space="preserve"> </w:t>
      </w:r>
      <w:r w:rsidRPr="008F73D7">
        <w:rPr>
          <w:i/>
          <w:lang w:val="en-US"/>
        </w:rPr>
        <w:t>Munn v. Ill.</w:t>
      </w:r>
      <w:r w:rsidRPr="00362CF4">
        <w:rPr>
          <w:lang w:val="en-US"/>
        </w:rPr>
        <w:t>, 94 U.S. 113, 142</w:t>
      </w:r>
      <w:r>
        <w:rPr>
          <w:lang w:val="en-US"/>
        </w:rPr>
        <w:t xml:space="preserve"> = 24 L. Ed.</w:t>
      </w:r>
      <w:r w:rsidRPr="00362CF4">
        <w:rPr>
          <w:lang w:val="en-US"/>
        </w:rPr>
        <w:t xml:space="preserve"> 77, 90</w:t>
      </w:r>
      <w:r>
        <w:rPr>
          <w:lang w:val="en-US"/>
        </w:rPr>
        <w:t xml:space="preserve"> = 1876 U.S. LEXIS </w:t>
      </w:r>
      <w:r w:rsidRPr="00362CF4">
        <w:rPr>
          <w:lang w:val="en-US"/>
        </w:rPr>
        <w:t>1842, 59</w:t>
      </w:r>
      <w:r>
        <w:rPr>
          <w:lang w:val="en-US"/>
        </w:rPr>
        <w:t xml:space="preserve"> = 4 Otto </w:t>
      </w:r>
      <w:r w:rsidRPr="00362CF4">
        <w:rPr>
          <w:lang w:val="en-US"/>
        </w:rPr>
        <w:t>113 (1877)</w:t>
      </w:r>
      <w:r>
        <w:rPr>
          <w:lang w:val="en-US"/>
        </w:rPr>
        <w:t>.</w:t>
      </w:r>
    </w:p>
  </w:footnote>
  <w:footnote w:id="15">
    <w:p w14:paraId="0B392C93" w14:textId="77777777" w:rsidR="00074551" w:rsidRPr="00484D24" w:rsidRDefault="00074551" w:rsidP="00074551">
      <w:pPr>
        <w:pStyle w:val="Funotentext"/>
        <w:rPr>
          <w:lang w:val="en-US"/>
        </w:rPr>
      </w:pPr>
      <w:r>
        <w:rPr>
          <w:rStyle w:val="Funotenzeichen"/>
          <w:rFonts w:eastAsiaTheme="majorEastAsia"/>
        </w:rPr>
        <w:footnoteRef/>
      </w:r>
      <w:r w:rsidRPr="00484D24">
        <w:rPr>
          <w:lang w:val="en-US"/>
        </w:rPr>
        <w:t xml:space="preserve"> </w:t>
      </w:r>
      <w:r w:rsidRPr="008F73D7">
        <w:rPr>
          <w:i/>
          <w:lang w:val="en-US"/>
        </w:rPr>
        <w:t>Munn v. Ill.</w:t>
      </w:r>
      <w:r w:rsidRPr="00484D24">
        <w:rPr>
          <w:lang w:val="en-US"/>
        </w:rPr>
        <w:t>, 94 U.S. 113, 142</w:t>
      </w:r>
      <w:r>
        <w:rPr>
          <w:lang w:val="en-US"/>
        </w:rPr>
        <w:t xml:space="preserve"> = 24 L. Ed.</w:t>
      </w:r>
      <w:r w:rsidRPr="00484D24">
        <w:rPr>
          <w:lang w:val="en-US"/>
        </w:rPr>
        <w:t xml:space="preserve"> 77, 90</w:t>
      </w:r>
      <w:r>
        <w:rPr>
          <w:lang w:val="en-US"/>
        </w:rPr>
        <w:t xml:space="preserve"> = 1876 U.S. LEXIS </w:t>
      </w:r>
      <w:r w:rsidRPr="00484D24">
        <w:rPr>
          <w:lang w:val="en-US"/>
        </w:rPr>
        <w:t>1842, 58</w:t>
      </w:r>
      <w:r>
        <w:rPr>
          <w:lang w:val="en-US"/>
        </w:rPr>
        <w:t xml:space="preserve"> = 4 Otto </w:t>
      </w:r>
      <w:r w:rsidRPr="00484D24">
        <w:rPr>
          <w:lang w:val="en-US"/>
        </w:rPr>
        <w:t>113 (1877)</w:t>
      </w:r>
      <w:r>
        <w:rPr>
          <w:lang w:val="en-US"/>
        </w:rPr>
        <w:t>.</w:t>
      </w:r>
    </w:p>
  </w:footnote>
  <w:footnote w:id="16">
    <w:p w14:paraId="2B6FBC33" w14:textId="77777777" w:rsidR="00074551" w:rsidRPr="001C6342" w:rsidRDefault="00074551" w:rsidP="00074551">
      <w:pPr>
        <w:pStyle w:val="Funotentext"/>
        <w:rPr>
          <w:lang w:val="en-US"/>
        </w:rPr>
      </w:pPr>
      <w:r>
        <w:rPr>
          <w:rStyle w:val="Funotenzeichen"/>
          <w:rFonts w:eastAsiaTheme="majorEastAsia"/>
        </w:rPr>
        <w:footnoteRef/>
      </w:r>
      <w:r w:rsidRPr="001C6342">
        <w:rPr>
          <w:lang w:val="en-US"/>
        </w:rPr>
        <w:t xml:space="preserve"> </w:t>
      </w:r>
      <w:r w:rsidRPr="008F73D7">
        <w:rPr>
          <w:i/>
          <w:lang w:val="en-US"/>
        </w:rPr>
        <w:t>Munn v. Ill.</w:t>
      </w:r>
      <w:r w:rsidRPr="001C6342">
        <w:rPr>
          <w:lang w:val="en-US"/>
        </w:rPr>
        <w:t>, 94 U.S. 113, 142</w:t>
      </w:r>
      <w:r>
        <w:rPr>
          <w:lang w:val="en-US"/>
        </w:rPr>
        <w:t xml:space="preserve"> = 24 L. Ed.</w:t>
      </w:r>
      <w:r w:rsidRPr="001C6342">
        <w:rPr>
          <w:lang w:val="en-US"/>
        </w:rPr>
        <w:t xml:space="preserve"> 77, 90</w:t>
      </w:r>
      <w:r>
        <w:rPr>
          <w:lang w:val="en-US"/>
        </w:rPr>
        <w:t xml:space="preserve"> = 1876 U.S. LEXIS </w:t>
      </w:r>
      <w:r w:rsidRPr="001C6342">
        <w:rPr>
          <w:lang w:val="en-US"/>
        </w:rPr>
        <w:t>1842, 60</w:t>
      </w:r>
      <w:r>
        <w:rPr>
          <w:lang w:val="en-US"/>
        </w:rPr>
        <w:t xml:space="preserve"> = 4 Otto </w:t>
      </w:r>
      <w:r w:rsidRPr="001C6342">
        <w:rPr>
          <w:lang w:val="en-US"/>
        </w:rPr>
        <w:t>113 (1877)</w:t>
      </w:r>
      <w:r>
        <w:rPr>
          <w:lang w:val="en-US"/>
        </w:rPr>
        <w:t>.</w:t>
      </w:r>
    </w:p>
  </w:footnote>
  <w:footnote w:id="17">
    <w:p w14:paraId="7893BE3A" w14:textId="77777777" w:rsidR="00074551" w:rsidRPr="00F576B1" w:rsidRDefault="00074551" w:rsidP="00074551">
      <w:pPr>
        <w:pStyle w:val="Funotentext"/>
        <w:rPr>
          <w:lang w:val="en-US"/>
        </w:rPr>
      </w:pPr>
      <w:r>
        <w:rPr>
          <w:rStyle w:val="Funotenzeichen"/>
        </w:rPr>
        <w:footnoteRef/>
      </w:r>
      <w:r w:rsidRPr="00F576B1">
        <w:rPr>
          <w:lang w:val="en-US"/>
        </w:rPr>
        <w:t xml:space="preserve"> </w:t>
      </w:r>
      <w:r>
        <w:rPr>
          <w:lang w:val="en-US"/>
        </w:rPr>
        <w:t>§ </w:t>
      </w:r>
      <w:r w:rsidRPr="00F576B1">
        <w:rPr>
          <w:lang w:val="en-US"/>
        </w:rPr>
        <w:t xml:space="preserve">9 </w:t>
      </w:r>
      <w:r>
        <w:rPr>
          <w:lang w:val="en-US"/>
        </w:rPr>
        <w:t xml:space="preserve">des </w:t>
      </w:r>
      <w:r w:rsidRPr="00B45592">
        <w:rPr>
          <w:i/>
          <w:lang w:val="en-US"/>
        </w:rPr>
        <w:t>Act of the Legislature of Pennsylvania of 3rd April 1792</w:t>
      </w:r>
      <w:r>
        <w:rPr>
          <w:lang w:val="en-US"/>
        </w:rPr>
        <w:t>:</w:t>
      </w:r>
      <w:r w:rsidRPr="00F576B1">
        <w:rPr>
          <w:lang w:val="en-US"/>
        </w:rPr>
        <w:t xml:space="preserve"> </w:t>
      </w:r>
      <w:r>
        <w:rPr>
          <w:lang w:val="en-US"/>
        </w:rPr>
        <w:t>„A</w:t>
      </w:r>
      <w:r w:rsidRPr="00F576B1">
        <w:rPr>
          <w:lang w:val="en-US"/>
        </w:rPr>
        <w:t xml:space="preserve">n </w:t>
      </w:r>
      <w:r>
        <w:rPr>
          <w:lang w:val="en-US"/>
        </w:rPr>
        <w:t>A</w:t>
      </w:r>
      <w:r w:rsidRPr="00F576B1">
        <w:rPr>
          <w:lang w:val="en-US"/>
        </w:rPr>
        <w:t xml:space="preserve">ct for the </w:t>
      </w:r>
      <w:r>
        <w:rPr>
          <w:lang w:val="en-US"/>
        </w:rPr>
        <w:t>S</w:t>
      </w:r>
      <w:r w:rsidRPr="00F576B1">
        <w:rPr>
          <w:lang w:val="en-US"/>
        </w:rPr>
        <w:t xml:space="preserve">ale of the </w:t>
      </w:r>
      <w:r>
        <w:rPr>
          <w:lang w:val="en-US"/>
        </w:rPr>
        <w:t>V</w:t>
      </w:r>
      <w:r w:rsidRPr="00F576B1">
        <w:rPr>
          <w:lang w:val="en-US"/>
        </w:rPr>
        <w:t xml:space="preserve">acant </w:t>
      </w:r>
      <w:r>
        <w:rPr>
          <w:lang w:val="en-US"/>
        </w:rPr>
        <w:t>L</w:t>
      </w:r>
      <w:r w:rsidRPr="00F576B1">
        <w:rPr>
          <w:lang w:val="en-US"/>
        </w:rPr>
        <w:t xml:space="preserve">and within this </w:t>
      </w:r>
      <w:proofErr w:type="gramStart"/>
      <w:r>
        <w:rPr>
          <w:lang w:val="en-US"/>
        </w:rPr>
        <w:t>C</w:t>
      </w:r>
      <w:r w:rsidRPr="00F576B1">
        <w:rPr>
          <w:lang w:val="en-US"/>
        </w:rPr>
        <w:t>ommonwealth</w:t>
      </w:r>
      <w:r>
        <w:rPr>
          <w:lang w:val="en-US"/>
        </w:rPr>
        <w:t>“</w:t>
      </w:r>
      <w:proofErr w:type="gramEnd"/>
      <w:r>
        <w:rPr>
          <w:lang w:val="en-US"/>
        </w:rPr>
        <w:t xml:space="preserve">, </w:t>
      </w:r>
      <w:proofErr w:type="spellStart"/>
      <w:r>
        <w:rPr>
          <w:lang w:val="en-US"/>
        </w:rPr>
        <w:t>vgl</w:t>
      </w:r>
      <w:proofErr w:type="spellEnd"/>
      <w:r>
        <w:rPr>
          <w:lang w:val="en-US"/>
        </w:rPr>
        <w:t xml:space="preserve">. </w:t>
      </w:r>
      <w:proofErr w:type="spellStart"/>
      <w:r w:rsidRPr="00B45592">
        <w:rPr>
          <w:i/>
          <w:lang w:val="en-US"/>
        </w:rPr>
        <w:t>Huidekoper</w:t>
      </w:r>
      <w:proofErr w:type="spellEnd"/>
      <w:r w:rsidRPr="00B45592">
        <w:rPr>
          <w:i/>
          <w:lang w:val="en-IE"/>
        </w:rPr>
        <w:t>’</w:t>
      </w:r>
      <w:r w:rsidRPr="00B45592">
        <w:rPr>
          <w:i/>
          <w:lang w:val="en-US"/>
        </w:rPr>
        <w:t>s Lessee v. Douglass</w:t>
      </w:r>
      <w:r w:rsidRPr="00F576B1">
        <w:rPr>
          <w:lang w:val="en-US"/>
        </w:rPr>
        <w:t>, 7 U.S. 1, 65</w:t>
      </w:r>
      <w:r>
        <w:rPr>
          <w:lang w:val="en-US"/>
        </w:rPr>
        <w:t xml:space="preserve"> = 2 L. Ed.</w:t>
      </w:r>
      <w:r w:rsidRPr="00F576B1">
        <w:rPr>
          <w:lang w:val="en-US"/>
        </w:rPr>
        <w:t xml:space="preserve"> 347, 367</w:t>
      </w:r>
      <w:r>
        <w:rPr>
          <w:lang w:val="en-US"/>
        </w:rPr>
        <w:t xml:space="preserve"> = 1805 U.S. LEXIS</w:t>
      </w:r>
      <w:r w:rsidRPr="00F576B1">
        <w:rPr>
          <w:lang w:val="en-US"/>
        </w:rPr>
        <w:t xml:space="preserve"> 243, 16</w:t>
      </w:r>
      <w:r>
        <w:rPr>
          <w:lang w:val="en-US"/>
        </w:rPr>
        <w:t xml:space="preserve"> = 3 </w:t>
      </w:r>
      <w:proofErr w:type="spellStart"/>
      <w:r>
        <w:rPr>
          <w:lang w:val="en-US"/>
        </w:rPr>
        <w:t>Cranch</w:t>
      </w:r>
      <w:proofErr w:type="spellEnd"/>
      <w:r>
        <w:rPr>
          <w:lang w:val="en-US"/>
        </w:rPr>
        <w:t xml:space="preserve"> </w:t>
      </w:r>
      <w:r w:rsidRPr="00F576B1">
        <w:rPr>
          <w:lang w:val="en-US"/>
        </w:rPr>
        <w:t>1 (1805)</w:t>
      </w:r>
      <w:r>
        <w:rPr>
          <w:lang w:val="en-US"/>
        </w:rPr>
        <w:t>.</w:t>
      </w:r>
    </w:p>
  </w:footnote>
  <w:footnote w:id="18">
    <w:p w14:paraId="56F59EC5" w14:textId="77777777" w:rsidR="00074551" w:rsidRPr="00AE0276" w:rsidRDefault="00074551" w:rsidP="00074551">
      <w:pPr>
        <w:pStyle w:val="Funotentext"/>
        <w:rPr>
          <w:lang w:val="en-US"/>
        </w:rPr>
      </w:pPr>
      <w:r>
        <w:rPr>
          <w:rStyle w:val="Funotenzeichen"/>
        </w:rPr>
        <w:footnoteRef/>
      </w:r>
      <w:r w:rsidRPr="00AE0276">
        <w:rPr>
          <w:lang w:val="en-US"/>
        </w:rPr>
        <w:t xml:space="preserve"> </w:t>
      </w:r>
      <w:proofErr w:type="spellStart"/>
      <w:r w:rsidRPr="00B45592">
        <w:rPr>
          <w:i/>
          <w:lang w:val="en-US"/>
        </w:rPr>
        <w:t>Huidekoper</w:t>
      </w:r>
      <w:proofErr w:type="spellEnd"/>
      <w:r w:rsidRPr="00B45592">
        <w:rPr>
          <w:i/>
          <w:lang w:val="en-IE"/>
        </w:rPr>
        <w:t>’</w:t>
      </w:r>
      <w:r w:rsidRPr="00B45592">
        <w:rPr>
          <w:i/>
          <w:lang w:val="en-US"/>
        </w:rPr>
        <w:t>s Lessee v. Douglass</w:t>
      </w:r>
      <w:r w:rsidRPr="00AE0276">
        <w:rPr>
          <w:lang w:val="en-US"/>
        </w:rPr>
        <w:t>, 7 U.S. 1, 65</w:t>
      </w:r>
      <w:r>
        <w:rPr>
          <w:lang w:val="en-US"/>
        </w:rPr>
        <w:t xml:space="preserve"> = 2 L. Ed.</w:t>
      </w:r>
      <w:r w:rsidRPr="00AE0276">
        <w:rPr>
          <w:lang w:val="en-US"/>
        </w:rPr>
        <w:t xml:space="preserve"> 347, 367</w:t>
      </w:r>
      <w:r>
        <w:rPr>
          <w:lang w:val="en-US"/>
        </w:rPr>
        <w:t xml:space="preserve"> = 1805 U.S. LEXIS</w:t>
      </w:r>
      <w:r w:rsidRPr="00AE0276">
        <w:rPr>
          <w:lang w:val="en-US"/>
        </w:rPr>
        <w:t xml:space="preserve"> 243, 16</w:t>
      </w:r>
      <w:r>
        <w:rPr>
          <w:lang w:val="en-US"/>
        </w:rPr>
        <w:t xml:space="preserve"> = 3 </w:t>
      </w:r>
      <w:proofErr w:type="spellStart"/>
      <w:r>
        <w:rPr>
          <w:lang w:val="en-US"/>
        </w:rPr>
        <w:t>Cranch</w:t>
      </w:r>
      <w:proofErr w:type="spellEnd"/>
      <w:r>
        <w:rPr>
          <w:lang w:val="en-US"/>
        </w:rPr>
        <w:t xml:space="preserve"> </w:t>
      </w:r>
      <w:r w:rsidRPr="00AE0276">
        <w:rPr>
          <w:lang w:val="en-US"/>
        </w:rPr>
        <w:t>1 (1805)</w:t>
      </w:r>
      <w:r>
        <w:rPr>
          <w:lang w:val="en-US"/>
        </w:rPr>
        <w:t>.</w:t>
      </w:r>
    </w:p>
  </w:footnote>
  <w:footnote w:id="19">
    <w:p w14:paraId="27D8D465" w14:textId="77777777" w:rsidR="00074551" w:rsidRPr="005419AA" w:rsidRDefault="00074551" w:rsidP="00074551">
      <w:pPr>
        <w:pStyle w:val="Funotentext"/>
        <w:rPr>
          <w:lang w:val="en-US"/>
        </w:rPr>
      </w:pPr>
      <w:r>
        <w:rPr>
          <w:rStyle w:val="Funotenzeichen"/>
        </w:rPr>
        <w:footnoteRef/>
      </w:r>
      <w:r w:rsidRPr="005419AA">
        <w:rPr>
          <w:lang w:val="en-US"/>
        </w:rPr>
        <w:t xml:space="preserve"> </w:t>
      </w:r>
      <w:proofErr w:type="spellStart"/>
      <w:r w:rsidRPr="00B45592">
        <w:rPr>
          <w:i/>
          <w:lang w:val="en-US"/>
        </w:rPr>
        <w:t>Huidekoper</w:t>
      </w:r>
      <w:proofErr w:type="spellEnd"/>
      <w:r w:rsidRPr="00B45592">
        <w:rPr>
          <w:i/>
          <w:lang w:val="en-IE"/>
        </w:rPr>
        <w:t>’</w:t>
      </w:r>
      <w:r w:rsidRPr="00B45592">
        <w:rPr>
          <w:i/>
          <w:lang w:val="en-US"/>
        </w:rPr>
        <w:t>s Lessee v. Douglass</w:t>
      </w:r>
      <w:r w:rsidRPr="005419AA">
        <w:rPr>
          <w:lang w:val="en-US"/>
        </w:rPr>
        <w:t>, 7 U.S. 1, 65</w:t>
      </w:r>
      <w:r>
        <w:rPr>
          <w:lang w:val="en-US"/>
        </w:rPr>
        <w:t xml:space="preserve"> = 2 L. Ed.</w:t>
      </w:r>
      <w:r w:rsidRPr="005419AA">
        <w:rPr>
          <w:lang w:val="en-US"/>
        </w:rPr>
        <w:t xml:space="preserve"> 347, 367</w:t>
      </w:r>
      <w:r>
        <w:rPr>
          <w:lang w:val="en-US"/>
        </w:rPr>
        <w:t xml:space="preserve"> = 1805 U.S. LEXIS</w:t>
      </w:r>
      <w:r w:rsidRPr="005419AA">
        <w:rPr>
          <w:lang w:val="en-US"/>
        </w:rPr>
        <w:t xml:space="preserve"> 243, 16</w:t>
      </w:r>
      <w:r>
        <w:rPr>
          <w:lang w:val="en-US"/>
        </w:rPr>
        <w:t xml:space="preserve"> = 3 </w:t>
      </w:r>
      <w:proofErr w:type="spellStart"/>
      <w:r>
        <w:rPr>
          <w:lang w:val="en-US"/>
        </w:rPr>
        <w:t>Cranch</w:t>
      </w:r>
      <w:proofErr w:type="spellEnd"/>
      <w:r>
        <w:rPr>
          <w:lang w:val="en-US"/>
        </w:rPr>
        <w:t xml:space="preserve"> </w:t>
      </w:r>
      <w:r w:rsidRPr="005419AA">
        <w:rPr>
          <w:lang w:val="en-US"/>
        </w:rPr>
        <w:t>1 (1805)</w:t>
      </w:r>
      <w:r>
        <w:rPr>
          <w:lang w:val="en-US"/>
        </w:rPr>
        <w:t>.</w:t>
      </w:r>
    </w:p>
  </w:footnote>
  <w:footnote w:id="20">
    <w:p w14:paraId="4458DE97" w14:textId="77777777" w:rsidR="00074551" w:rsidRPr="00F05B38" w:rsidRDefault="00074551" w:rsidP="00074551">
      <w:pPr>
        <w:pStyle w:val="Funotentext"/>
        <w:rPr>
          <w:lang w:val="en-US"/>
        </w:rPr>
      </w:pPr>
      <w:r>
        <w:rPr>
          <w:rStyle w:val="Funotenzeichen"/>
        </w:rPr>
        <w:footnoteRef/>
      </w:r>
      <w:r w:rsidRPr="00F05B38">
        <w:rPr>
          <w:lang w:val="en-US"/>
        </w:rPr>
        <w:t xml:space="preserve"> </w:t>
      </w:r>
      <w:proofErr w:type="spellStart"/>
      <w:r w:rsidRPr="00B45592">
        <w:rPr>
          <w:i/>
          <w:lang w:val="en-US"/>
        </w:rPr>
        <w:t>Huidekoper</w:t>
      </w:r>
      <w:proofErr w:type="spellEnd"/>
      <w:r w:rsidRPr="00B45592">
        <w:rPr>
          <w:i/>
          <w:lang w:val="en-IE"/>
        </w:rPr>
        <w:t>’</w:t>
      </w:r>
      <w:r w:rsidRPr="00B45592">
        <w:rPr>
          <w:i/>
          <w:lang w:val="en-US"/>
        </w:rPr>
        <w:t>s Lessee v. Douglass</w:t>
      </w:r>
      <w:r w:rsidRPr="00F05B38">
        <w:rPr>
          <w:lang w:val="en-US"/>
        </w:rPr>
        <w:t>, 7 U.S. 1</w:t>
      </w:r>
      <w:r>
        <w:rPr>
          <w:lang w:val="en-US"/>
        </w:rPr>
        <w:t xml:space="preserve"> = 2 L. Ed.</w:t>
      </w:r>
      <w:r w:rsidRPr="00F05B38">
        <w:rPr>
          <w:lang w:val="en-US"/>
        </w:rPr>
        <w:t xml:space="preserve"> 347</w:t>
      </w:r>
      <w:r>
        <w:rPr>
          <w:lang w:val="en-US"/>
        </w:rPr>
        <w:t xml:space="preserve"> = 1805 U.S. LEXIS</w:t>
      </w:r>
      <w:r w:rsidRPr="00F05B38">
        <w:rPr>
          <w:lang w:val="en-US"/>
        </w:rPr>
        <w:t xml:space="preserve"> 243</w:t>
      </w:r>
      <w:r>
        <w:rPr>
          <w:lang w:val="en-US"/>
        </w:rPr>
        <w:t xml:space="preserve"> = 3 </w:t>
      </w:r>
      <w:proofErr w:type="spellStart"/>
      <w:r>
        <w:rPr>
          <w:lang w:val="en-US"/>
        </w:rPr>
        <w:t>Cranch</w:t>
      </w:r>
      <w:proofErr w:type="spellEnd"/>
      <w:r>
        <w:rPr>
          <w:lang w:val="en-US"/>
        </w:rPr>
        <w:t xml:space="preserve"> </w:t>
      </w:r>
      <w:r w:rsidRPr="00F05B38">
        <w:rPr>
          <w:lang w:val="en-US"/>
        </w:rPr>
        <w:t>1 (1805)</w:t>
      </w:r>
      <w:r>
        <w:rPr>
          <w:lang w:val="en-US"/>
        </w:rPr>
        <w:t>.</w:t>
      </w:r>
    </w:p>
  </w:footnote>
  <w:footnote w:id="21">
    <w:p w14:paraId="20600DAA" w14:textId="77777777" w:rsidR="00074551" w:rsidRPr="00150857" w:rsidRDefault="00074551" w:rsidP="00074551">
      <w:pPr>
        <w:pStyle w:val="Funotentext"/>
        <w:rPr>
          <w:lang w:val="en-US"/>
        </w:rPr>
      </w:pPr>
      <w:r>
        <w:rPr>
          <w:rStyle w:val="Funotenzeichen"/>
        </w:rPr>
        <w:footnoteRef/>
      </w:r>
      <w:r w:rsidRPr="00150857">
        <w:rPr>
          <w:lang w:val="en-US"/>
        </w:rPr>
        <w:t xml:space="preserve"> </w:t>
      </w:r>
      <w:r w:rsidRPr="008F73D7">
        <w:rPr>
          <w:i/>
          <w:lang w:val="en-US"/>
        </w:rPr>
        <w:t>Florentine v. Barton</w:t>
      </w:r>
      <w:r w:rsidRPr="00150857">
        <w:rPr>
          <w:lang w:val="en-US"/>
        </w:rPr>
        <w:t>, 69 U.S. 210, 215</w:t>
      </w:r>
      <w:r>
        <w:rPr>
          <w:lang w:val="en-US"/>
        </w:rPr>
        <w:t xml:space="preserve"> = 17 L. Ed. </w:t>
      </w:r>
      <w:r w:rsidRPr="00150857">
        <w:rPr>
          <w:lang w:val="en-US"/>
        </w:rPr>
        <w:t>783, 785</w:t>
      </w:r>
      <w:r>
        <w:rPr>
          <w:lang w:val="en-US"/>
        </w:rPr>
        <w:t xml:space="preserve"> = 1864 U.S. LEXIS</w:t>
      </w:r>
      <w:r w:rsidRPr="00150857">
        <w:rPr>
          <w:lang w:val="en-US"/>
        </w:rPr>
        <w:t xml:space="preserve"> 423, </w:t>
      </w:r>
      <w:r w:rsidRPr="004F13B1">
        <w:rPr>
          <w:lang w:val="en-US"/>
        </w:rPr>
        <w:t>3</w:t>
      </w:r>
      <w:r w:rsidRPr="00B45592">
        <w:rPr>
          <w:lang w:val="en-US"/>
        </w:rPr>
        <w:t xml:space="preserve"> = 2 Wall. </w:t>
      </w:r>
      <w:r w:rsidRPr="004F13B1">
        <w:rPr>
          <w:lang w:val="en-US"/>
        </w:rPr>
        <w:t>210</w:t>
      </w:r>
      <w:r w:rsidRPr="00150857">
        <w:rPr>
          <w:lang w:val="en-US"/>
        </w:rPr>
        <w:t xml:space="preserve"> (1865)</w:t>
      </w:r>
      <w:r>
        <w:rPr>
          <w:lang w:val="en-US"/>
        </w:rPr>
        <w:t>.</w:t>
      </w:r>
    </w:p>
  </w:footnote>
  <w:footnote w:id="22">
    <w:p w14:paraId="1FF8FF30" w14:textId="77777777" w:rsidR="00074551" w:rsidRPr="00F14446" w:rsidRDefault="00074551" w:rsidP="00074551">
      <w:pPr>
        <w:pStyle w:val="Funotentext"/>
        <w:rPr>
          <w:lang w:val="en-US"/>
        </w:rPr>
      </w:pPr>
      <w:r>
        <w:rPr>
          <w:rStyle w:val="Funotenzeichen"/>
        </w:rPr>
        <w:footnoteRef/>
      </w:r>
      <w:r w:rsidRPr="00134532">
        <w:rPr>
          <w:lang w:val="en-IE"/>
        </w:rPr>
        <w:t xml:space="preserve"> </w:t>
      </w:r>
      <w:r w:rsidRPr="00134532">
        <w:rPr>
          <w:i/>
          <w:lang w:val="en-IE"/>
        </w:rPr>
        <w:t>Gaines et al. v. Buford</w:t>
      </w:r>
      <w:r w:rsidRPr="00134532">
        <w:rPr>
          <w:lang w:val="en-IE"/>
        </w:rPr>
        <w:t xml:space="preserve">, 1 Dana. 499; </w:t>
      </w:r>
      <w:r w:rsidRPr="008F73D7">
        <w:rPr>
          <w:i/>
          <w:lang w:val="en-US"/>
        </w:rPr>
        <w:t>Florentine v. Barton</w:t>
      </w:r>
      <w:r w:rsidRPr="00F14446">
        <w:rPr>
          <w:lang w:val="en-US"/>
        </w:rPr>
        <w:t>, 69 U.S. 210</w:t>
      </w:r>
      <w:r>
        <w:rPr>
          <w:lang w:val="en-US"/>
        </w:rPr>
        <w:t xml:space="preserve"> = 17 L. Ed. </w:t>
      </w:r>
      <w:r w:rsidRPr="00F14446">
        <w:rPr>
          <w:lang w:val="en-US"/>
        </w:rPr>
        <w:t>783</w:t>
      </w:r>
      <w:r>
        <w:rPr>
          <w:lang w:val="en-US"/>
        </w:rPr>
        <w:t xml:space="preserve"> = 1864 U.S. LEXIS</w:t>
      </w:r>
      <w:r w:rsidRPr="00F14446">
        <w:rPr>
          <w:lang w:val="en-US"/>
        </w:rPr>
        <w:t xml:space="preserve"> 423</w:t>
      </w:r>
      <w:r>
        <w:rPr>
          <w:lang w:val="en-US"/>
        </w:rPr>
        <w:t xml:space="preserve"> = 2 Wall. </w:t>
      </w:r>
      <w:r w:rsidRPr="00F14446">
        <w:rPr>
          <w:lang w:val="en-US"/>
        </w:rPr>
        <w:t>210 (1865)</w:t>
      </w:r>
      <w:r>
        <w:rPr>
          <w:lang w:val="en-US"/>
        </w:rPr>
        <w:t>.</w:t>
      </w:r>
    </w:p>
  </w:footnote>
  <w:footnote w:id="23">
    <w:p w14:paraId="2E629268" w14:textId="77777777" w:rsidR="00074551" w:rsidRPr="00F14446" w:rsidRDefault="00074551" w:rsidP="00074551">
      <w:pPr>
        <w:pStyle w:val="Funotentext"/>
        <w:rPr>
          <w:lang w:val="en-US"/>
        </w:rPr>
      </w:pPr>
      <w:r>
        <w:rPr>
          <w:rStyle w:val="Funotenzeichen"/>
        </w:rPr>
        <w:footnoteRef/>
      </w:r>
      <w:r w:rsidRPr="00134532">
        <w:rPr>
          <w:lang w:val="en-IE"/>
        </w:rPr>
        <w:t xml:space="preserve"> </w:t>
      </w:r>
      <w:r w:rsidRPr="00134532">
        <w:rPr>
          <w:i/>
          <w:lang w:val="en-IE"/>
        </w:rPr>
        <w:t>Gaines et al. v. Buford</w:t>
      </w:r>
      <w:r w:rsidRPr="00134532">
        <w:rPr>
          <w:lang w:val="en-IE"/>
        </w:rPr>
        <w:t xml:space="preserve">, 1 Dana. 499; </w:t>
      </w:r>
      <w:r w:rsidRPr="008F73D7">
        <w:rPr>
          <w:i/>
          <w:lang w:val="en-US"/>
        </w:rPr>
        <w:t>Florentine v. Barton</w:t>
      </w:r>
      <w:r w:rsidRPr="00F14446">
        <w:rPr>
          <w:lang w:val="en-US"/>
        </w:rPr>
        <w:t>, 69 U.S. 210</w:t>
      </w:r>
      <w:r>
        <w:rPr>
          <w:lang w:val="en-US"/>
        </w:rPr>
        <w:t xml:space="preserve"> = 17 L. Ed. </w:t>
      </w:r>
      <w:r w:rsidRPr="00F14446">
        <w:rPr>
          <w:lang w:val="en-US"/>
        </w:rPr>
        <w:t>783</w:t>
      </w:r>
      <w:r>
        <w:rPr>
          <w:lang w:val="en-US"/>
        </w:rPr>
        <w:t xml:space="preserve"> = 1864 U.S. LEXIS</w:t>
      </w:r>
      <w:r w:rsidRPr="00F14446">
        <w:rPr>
          <w:lang w:val="en-US"/>
        </w:rPr>
        <w:t xml:space="preserve"> 423</w:t>
      </w:r>
      <w:r>
        <w:rPr>
          <w:lang w:val="en-US"/>
        </w:rPr>
        <w:t xml:space="preserve"> = 2 Wall. </w:t>
      </w:r>
      <w:r w:rsidRPr="00F14446">
        <w:rPr>
          <w:lang w:val="en-US"/>
        </w:rPr>
        <w:t>210 (1865)</w:t>
      </w:r>
      <w:r>
        <w:rPr>
          <w:lang w:val="en-US"/>
        </w:rPr>
        <w:t>.</w:t>
      </w:r>
    </w:p>
  </w:footnote>
  <w:footnote w:id="24">
    <w:p w14:paraId="16975B94" w14:textId="77777777" w:rsidR="00074551" w:rsidRPr="00F14446" w:rsidRDefault="00074551" w:rsidP="00074551">
      <w:pPr>
        <w:pStyle w:val="Funotentext"/>
        <w:rPr>
          <w:lang w:val="en-US"/>
        </w:rPr>
      </w:pPr>
      <w:r>
        <w:rPr>
          <w:rStyle w:val="Funotenzeichen"/>
        </w:rPr>
        <w:footnoteRef/>
      </w:r>
      <w:r w:rsidRPr="00134532">
        <w:rPr>
          <w:lang w:val="en-IE"/>
        </w:rPr>
        <w:t xml:space="preserve"> </w:t>
      </w:r>
      <w:r w:rsidRPr="00134532">
        <w:rPr>
          <w:i/>
          <w:lang w:val="en-IE"/>
        </w:rPr>
        <w:t>Gaines et al. v. Buford</w:t>
      </w:r>
      <w:r w:rsidRPr="00134532">
        <w:rPr>
          <w:lang w:val="en-IE"/>
        </w:rPr>
        <w:t xml:space="preserve">, 1 Dana. 499; </w:t>
      </w:r>
      <w:r w:rsidRPr="008F73D7">
        <w:rPr>
          <w:i/>
          <w:lang w:val="en-US"/>
        </w:rPr>
        <w:t>Florentine v. Barton</w:t>
      </w:r>
      <w:r w:rsidRPr="00F14446">
        <w:rPr>
          <w:lang w:val="en-US"/>
        </w:rPr>
        <w:t>, 69 U.S. 210</w:t>
      </w:r>
      <w:r>
        <w:rPr>
          <w:lang w:val="en-US"/>
        </w:rPr>
        <w:t xml:space="preserve"> = 17 L. Ed. </w:t>
      </w:r>
      <w:r w:rsidRPr="00F14446">
        <w:rPr>
          <w:lang w:val="en-US"/>
        </w:rPr>
        <w:t>783</w:t>
      </w:r>
      <w:r>
        <w:rPr>
          <w:lang w:val="en-US"/>
        </w:rPr>
        <w:t xml:space="preserve"> = 1864 U.S. LEXIS</w:t>
      </w:r>
      <w:r w:rsidRPr="00F14446">
        <w:rPr>
          <w:lang w:val="en-US"/>
        </w:rPr>
        <w:t xml:space="preserve"> 423</w:t>
      </w:r>
      <w:r>
        <w:rPr>
          <w:lang w:val="en-US"/>
        </w:rPr>
        <w:t xml:space="preserve"> = 2 Wall. </w:t>
      </w:r>
      <w:r w:rsidRPr="00F14446">
        <w:rPr>
          <w:lang w:val="en-US"/>
        </w:rPr>
        <w:t>210 (1865)</w:t>
      </w:r>
      <w:r>
        <w:rPr>
          <w:lang w:val="en-US"/>
        </w:rPr>
        <w:t>.</w:t>
      </w:r>
    </w:p>
  </w:footnote>
  <w:footnote w:id="25">
    <w:p w14:paraId="47A0EE4B" w14:textId="77777777" w:rsidR="00074551" w:rsidRPr="00A306A0" w:rsidRDefault="00074551" w:rsidP="00074551">
      <w:pPr>
        <w:pStyle w:val="Funotentext"/>
        <w:rPr>
          <w:lang w:val="en-US"/>
        </w:rPr>
      </w:pPr>
      <w:r>
        <w:rPr>
          <w:rStyle w:val="Funotenzeichen"/>
        </w:rPr>
        <w:footnoteRef/>
      </w:r>
      <w:r w:rsidRPr="00A306A0">
        <w:rPr>
          <w:lang w:val="en-US"/>
        </w:rPr>
        <w:t xml:space="preserve"> </w:t>
      </w:r>
      <w:r w:rsidRPr="008F73D7">
        <w:rPr>
          <w:i/>
          <w:lang w:val="en-US"/>
        </w:rPr>
        <w:t>Florentine v. Barton</w:t>
      </w:r>
      <w:r w:rsidRPr="00A306A0">
        <w:rPr>
          <w:lang w:val="en-US"/>
        </w:rPr>
        <w:t>, 69 U.S. 210, 216</w:t>
      </w:r>
      <w:r>
        <w:rPr>
          <w:lang w:val="en-US"/>
        </w:rPr>
        <w:t xml:space="preserve"> = 17 L. Ed. </w:t>
      </w:r>
      <w:r w:rsidRPr="00A306A0">
        <w:rPr>
          <w:lang w:val="en-US"/>
        </w:rPr>
        <w:t>783, 785</w:t>
      </w:r>
      <w:r>
        <w:rPr>
          <w:lang w:val="en-US"/>
        </w:rPr>
        <w:t xml:space="preserve"> = 1864 U.S. LEXIS</w:t>
      </w:r>
      <w:r w:rsidRPr="00A306A0">
        <w:rPr>
          <w:lang w:val="en-US"/>
        </w:rPr>
        <w:t xml:space="preserve"> 423, 11</w:t>
      </w:r>
      <w:r>
        <w:rPr>
          <w:lang w:val="en-US"/>
        </w:rPr>
        <w:t xml:space="preserve"> = 2 Wall. </w:t>
      </w:r>
      <w:r w:rsidRPr="00A306A0">
        <w:rPr>
          <w:lang w:val="en-US"/>
        </w:rPr>
        <w:t>210 (1865)</w:t>
      </w:r>
      <w:r>
        <w:rPr>
          <w:lang w:val="en-US"/>
        </w:rPr>
        <w:t>.</w:t>
      </w:r>
    </w:p>
  </w:footnote>
  <w:footnote w:id="26">
    <w:p w14:paraId="03E28F90" w14:textId="77777777" w:rsidR="00074551" w:rsidRPr="00A748C6" w:rsidRDefault="00074551" w:rsidP="00074551">
      <w:pPr>
        <w:pStyle w:val="Funotentext"/>
        <w:rPr>
          <w:lang w:val="en-US"/>
        </w:rPr>
      </w:pPr>
      <w:r>
        <w:rPr>
          <w:rStyle w:val="Funotenzeichen"/>
        </w:rPr>
        <w:footnoteRef/>
      </w:r>
      <w:r w:rsidRPr="00A748C6">
        <w:rPr>
          <w:lang w:val="en-US"/>
        </w:rPr>
        <w:t xml:space="preserve"> </w:t>
      </w:r>
      <w:bookmarkStart w:id="1" w:name="_Hlk230000234"/>
      <w:r w:rsidRPr="00B45592">
        <w:rPr>
          <w:i/>
          <w:lang w:val="en-US"/>
        </w:rPr>
        <w:t>Act of April 26, 1906</w:t>
      </w:r>
      <w:r w:rsidRPr="00A748C6">
        <w:rPr>
          <w:lang w:val="en-US"/>
        </w:rPr>
        <w:t xml:space="preserve">, 34 Stat. 137, ch. 1876, </w:t>
      </w:r>
      <w:r>
        <w:rPr>
          <w:lang w:val="en-US"/>
        </w:rPr>
        <w:t>§ </w:t>
      </w:r>
      <w:r w:rsidRPr="00A748C6">
        <w:rPr>
          <w:lang w:val="en-US"/>
        </w:rPr>
        <w:t>15</w:t>
      </w:r>
      <w:bookmarkEnd w:id="1"/>
      <w:r w:rsidRPr="00A748C6">
        <w:rPr>
          <w:lang w:val="en-US"/>
        </w:rPr>
        <w:t xml:space="preserve">: </w:t>
      </w:r>
      <w:r>
        <w:rPr>
          <w:lang w:val="en-US"/>
        </w:rPr>
        <w:t>„</w:t>
      </w:r>
      <w:r w:rsidRPr="00A748C6">
        <w:rPr>
          <w:lang w:val="en-US"/>
        </w:rPr>
        <w:t>The consent of the United States is hereby given to the allotment of lands in severalty not exceeding one hundred and sixty acres to any one individual within the limits of the country occupied by the Cherokees, Creeks, Choctaws, Chickasaws and Seminoles; and upon the allotment of the lands held by said tribes the reversionary interest of the United States therein shall be relinquished and shall cease. Section 16 of the act provides for the appointment of commissioners to enter upon negotiations with the Cherokee, Choctaw, Chickasaw, Creek and Seminole Nations looking to the extinguishment of the tribal title to lands in the territory held by the nations or tribes, whether by cession of the same, or some part thereof, to the United States, or by allotment and division thereof in severalty among the Indians of such nations or tribes, or by such other method as may be agreed upon by such nations or tribes with the United States with a view to such adjustment on the basis of justice and equity, as might, with the consent of such nations or tribes, so far as might be necessary, be requisite and suitable to enable the ultimate creation of a state or states of the union, which shall embrace the lands within the Indian Territory.</w:t>
      </w:r>
      <w:r>
        <w:rPr>
          <w:lang w:val="en-US"/>
        </w:rPr>
        <w:t xml:space="preserve">“, in </w:t>
      </w:r>
      <w:r w:rsidRPr="008F73D7">
        <w:rPr>
          <w:i/>
          <w:lang w:val="en-US"/>
        </w:rPr>
        <w:t>Marchie Tiger v. Western Inv. Co.</w:t>
      </w:r>
      <w:r w:rsidRPr="00A748C6">
        <w:rPr>
          <w:lang w:val="en-US"/>
        </w:rPr>
        <w:t>, 221 U.S. 286, 298</w:t>
      </w:r>
      <w:r>
        <w:rPr>
          <w:lang w:val="en-US"/>
        </w:rPr>
        <w:t xml:space="preserve"> = 31 S. Ct. </w:t>
      </w:r>
      <w:r w:rsidRPr="00A748C6">
        <w:rPr>
          <w:lang w:val="en-US"/>
        </w:rPr>
        <w:t>578, 579</w:t>
      </w:r>
      <w:r>
        <w:rPr>
          <w:lang w:val="en-US"/>
        </w:rPr>
        <w:t xml:space="preserve"> = 55 L. Ed. </w:t>
      </w:r>
      <w:r w:rsidRPr="00A748C6">
        <w:rPr>
          <w:lang w:val="en-US"/>
        </w:rPr>
        <w:t>738, 742</w:t>
      </w:r>
      <w:r>
        <w:rPr>
          <w:lang w:val="en-US"/>
        </w:rPr>
        <w:t xml:space="preserve"> = 1911 U.S. LEXIS </w:t>
      </w:r>
      <w:r w:rsidRPr="00A748C6">
        <w:rPr>
          <w:lang w:val="en-US"/>
        </w:rPr>
        <w:t>1734, 1 (1911)</w:t>
      </w:r>
      <w:r>
        <w:rPr>
          <w:lang w:val="en-US"/>
        </w:rPr>
        <w:t>.</w:t>
      </w:r>
    </w:p>
  </w:footnote>
  <w:footnote w:id="27">
    <w:p w14:paraId="25AA3266" w14:textId="77777777" w:rsidR="00074551" w:rsidRPr="00D62127" w:rsidRDefault="00074551" w:rsidP="00074551">
      <w:pPr>
        <w:pStyle w:val="Funotentext"/>
        <w:rPr>
          <w:lang w:val="en-US"/>
        </w:rPr>
      </w:pPr>
      <w:r>
        <w:rPr>
          <w:rStyle w:val="Funotenzeichen"/>
        </w:rPr>
        <w:footnoteRef/>
      </w:r>
      <w:r w:rsidRPr="00D62127">
        <w:rPr>
          <w:lang w:val="en-US"/>
        </w:rPr>
        <w:t xml:space="preserve"> </w:t>
      </w:r>
      <w:r w:rsidRPr="00B45592">
        <w:rPr>
          <w:i/>
          <w:lang w:val="en-US"/>
        </w:rPr>
        <w:t>Act of April 26, 1906</w:t>
      </w:r>
      <w:r w:rsidRPr="00D62127">
        <w:rPr>
          <w:lang w:val="en-US"/>
        </w:rPr>
        <w:t>, 34 Stat. 137, ch. 1876</w:t>
      </w:r>
      <w:r>
        <w:rPr>
          <w:lang w:val="en-US"/>
        </w:rPr>
        <w:t xml:space="preserve">, </w:t>
      </w:r>
      <w:proofErr w:type="spellStart"/>
      <w:r>
        <w:rPr>
          <w:lang w:val="en-US"/>
        </w:rPr>
        <w:t>vgl</w:t>
      </w:r>
      <w:proofErr w:type="spellEnd"/>
      <w:r>
        <w:rPr>
          <w:lang w:val="en-US"/>
        </w:rPr>
        <w:t xml:space="preserve">. </w:t>
      </w:r>
      <w:r w:rsidRPr="008F73D7">
        <w:rPr>
          <w:i/>
          <w:lang w:val="en-US"/>
        </w:rPr>
        <w:t>Marchie Tiger v. Western Inv. Co.</w:t>
      </w:r>
      <w:r w:rsidRPr="00D62127">
        <w:rPr>
          <w:lang w:val="en-US"/>
        </w:rPr>
        <w:t>, 221 U.S. 286, 298</w:t>
      </w:r>
      <w:r>
        <w:rPr>
          <w:lang w:val="en-US"/>
        </w:rPr>
        <w:t xml:space="preserve"> = 31 S. Ct. </w:t>
      </w:r>
      <w:r w:rsidRPr="00D62127">
        <w:rPr>
          <w:lang w:val="en-US"/>
        </w:rPr>
        <w:t>578, 579</w:t>
      </w:r>
      <w:r>
        <w:rPr>
          <w:lang w:val="en-US"/>
        </w:rPr>
        <w:t xml:space="preserve"> = 55 L. Ed. </w:t>
      </w:r>
      <w:r w:rsidRPr="00D62127">
        <w:rPr>
          <w:lang w:val="en-US"/>
        </w:rPr>
        <w:t>738, 742</w:t>
      </w:r>
      <w:r>
        <w:rPr>
          <w:lang w:val="en-US"/>
        </w:rPr>
        <w:t xml:space="preserve"> = 1911 U.S. LEXIS </w:t>
      </w:r>
      <w:r w:rsidRPr="00D62127">
        <w:rPr>
          <w:lang w:val="en-US"/>
        </w:rPr>
        <w:t>1734, 1 (1911)</w:t>
      </w:r>
      <w:r>
        <w:rPr>
          <w:lang w:val="en-US"/>
        </w:rPr>
        <w:t>.</w:t>
      </w:r>
    </w:p>
  </w:footnote>
  <w:footnote w:id="28">
    <w:p w14:paraId="0D5C378B" w14:textId="77777777" w:rsidR="00074551" w:rsidRPr="00423357" w:rsidRDefault="00074551" w:rsidP="00074551">
      <w:pPr>
        <w:pStyle w:val="Funotentext"/>
        <w:rPr>
          <w:lang w:val="en-US"/>
        </w:rPr>
      </w:pPr>
      <w:r>
        <w:rPr>
          <w:rStyle w:val="Funotenzeichen"/>
        </w:rPr>
        <w:footnoteRef/>
      </w:r>
      <w:r w:rsidRPr="00423357">
        <w:rPr>
          <w:lang w:val="en-US"/>
        </w:rPr>
        <w:t xml:space="preserve"> </w:t>
      </w:r>
      <w:r w:rsidRPr="008F73D7">
        <w:rPr>
          <w:i/>
          <w:lang w:val="en-US"/>
        </w:rPr>
        <w:t>Marchie Tiger v. Western Inv. Co.</w:t>
      </w:r>
      <w:r w:rsidRPr="00423357">
        <w:rPr>
          <w:lang w:val="en-US"/>
        </w:rPr>
        <w:t>, 221 U.S. 286, 298</w:t>
      </w:r>
      <w:r>
        <w:rPr>
          <w:lang w:val="en-US"/>
        </w:rPr>
        <w:t xml:space="preserve"> = 31 S. Ct. </w:t>
      </w:r>
      <w:r w:rsidRPr="00423357">
        <w:rPr>
          <w:lang w:val="en-US"/>
        </w:rPr>
        <w:t>578, 579</w:t>
      </w:r>
      <w:r>
        <w:rPr>
          <w:lang w:val="en-US"/>
        </w:rPr>
        <w:t xml:space="preserve"> = 55 L. Ed. </w:t>
      </w:r>
      <w:r w:rsidRPr="00423357">
        <w:rPr>
          <w:lang w:val="en-US"/>
        </w:rPr>
        <w:t>738, 742</w:t>
      </w:r>
      <w:r>
        <w:rPr>
          <w:lang w:val="en-US"/>
        </w:rPr>
        <w:t xml:space="preserve"> = 1911 U.S. LEXIS </w:t>
      </w:r>
      <w:r w:rsidRPr="00423357">
        <w:rPr>
          <w:lang w:val="en-US"/>
        </w:rPr>
        <w:t>1734, 1 (1911)</w:t>
      </w:r>
      <w:r>
        <w:rPr>
          <w:lang w:val="en-US"/>
        </w:rPr>
        <w:t>.</w:t>
      </w:r>
    </w:p>
  </w:footnote>
  <w:footnote w:id="29">
    <w:p w14:paraId="25CB83B9" w14:textId="77777777" w:rsidR="00074551" w:rsidRPr="00F7303D" w:rsidRDefault="00074551" w:rsidP="00074551">
      <w:pPr>
        <w:pStyle w:val="Funotentext"/>
        <w:rPr>
          <w:lang w:val="en-US"/>
        </w:rPr>
      </w:pPr>
      <w:r>
        <w:rPr>
          <w:rStyle w:val="Funotenzeichen"/>
        </w:rPr>
        <w:footnoteRef/>
      </w:r>
      <w:r w:rsidRPr="00F7303D">
        <w:rPr>
          <w:lang w:val="en-US"/>
        </w:rPr>
        <w:t xml:space="preserve"> </w:t>
      </w:r>
      <w:r w:rsidRPr="008F73D7">
        <w:rPr>
          <w:i/>
          <w:lang w:val="en-US"/>
        </w:rPr>
        <w:t>Slaughter-House Cases</w:t>
      </w:r>
      <w:r>
        <w:rPr>
          <w:lang w:val="en-US"/>
        </w:rPr>
        <w:t>,</w:t>
      </w:r>
      <w:r w:rsidRPr="00F7303D">
        <w:rPr>
          <w:lang w:val="en-US"/>
        </w:rPr>
        <w:t xml:space="preserve"> 16 Wall. 36, 76</w:t>
      </w:r>
      <w:r>
        <w:rPr>
          <w:lang w:val="en-US"/>
        </w:rPr>
        <w:t xml:space="preserve">; </w:t>
      </w:r>
      <w:r w:rsidRPr="008F73D7">
        <w:rPr>
          <w:i/>
          <w:lang w:val="en-US"/>
        </w:rPr>
        <w:t>Marchie Tiger v. Western Inv. Co.</w:t>
      </w:r>
      <w:r w:rsidRPr="00F7303D">
        <w:rPr>
          <w:lang w:val="en-US"/>
        </w:rPr>
        <w:t>, 221 U.S. 286, 315</w:t>
      </w:r>
      <w:r>
        <w:rPr>
          <w:lang w:val="en-US"/>
        </w:rPr>
        <w:t xml:space="preserve"> = 31 S. Ct. </w:t>
      </w:r>
      <w:r w:rsidRPr="00F7303D">
        <w:rPr>
          <w:lang w:val="en-US"/>
        </w:rPr>
        <w:t>578, 586</w:t>
      </w:r>
      <w:r>
        <w:rPr>
          <w:lang w:val="en-US"/>
        </w:rPr>
        <w:t xml:space="preserve"> = 55 L. Ed. </w:t>
      </w:r>
      <w:r w:rsidRPr="00F7303D">
        <w:rPr>
          <w:lang w:val="en-US"/>
        </w:rPr>
        <w:t>738, 749</w:t>
      </w:r>
      <w:r>
        <w:rPr>
          <w:lang w:val="en-US"/>
        </w:rPr>
        <w:t xml:space="preserve"> = 1911 U.S. LEXIS </w:t>
      </w:r>
      <w:r w:rsidRPr="00F7303D">
        <w:rPr>
          <w:lang w:val="en-US"/>
        </w:rPr>
        <w:t>1734, 47 (1911)</w:t>
      </w:r>
      <w:r>
        <w:rPr>
          <w:lang w:val="en-US"/>
        </w:rPr>
        <w:t>.</w:t>
      </w:r>
    </w:p>
  </w:footnote>
  <w:footnote w:id="30">
    <w:p w14:paraId="0B891AD7" w14:textId="77777777" w:rsidR="00074551" w:rsidRPr="00F7303D" w:rsidRDefault="00074551" w:rsidP="00074551">
      <w:pPr>
        <w:pStyle w:val="Funotentext"/>
        <w:rPr>
          <w:lang w:val="en-US"/>
        </w:rPr>
      </w:pPr>
      <w:r>
        <w:rPr>
          <w:rStyle w:val="Funotenzeichen"/>
        </w:rPr>
        <w:footnoteRef/>
      </w:r>
      <w:r w:rsidRPr="00F7303D">
        <w:rPr>
          <w:lang w:val="en-US"/>
        </w:rPr>
        <w:t xml:space="preserve"> </w:t>
      </w:r>
      <w:bookmarkStart w:id="3" w:name="_Hlk222952483"/>
      <w:r w:rsidRPr="008F73D7">
        <w:rPr>
          <w:i/>
          <w:lang w:val="en-US"/>
        </w:rPr>
        <w:t>Slaughter-House Cases</w:t>
      </w:r>
      <w:r w:rsidRPr="00F7303D">
        <w:rPr>
          <w:lang w:val="en-US"/>
        </w:rPr>
        <w:t>, 16 Wall. 36, 76</w:t>
      </w:r>
      <w:r>
        <w:rPr>
          <w:lang w:val="en-US"/>
        </w:rPr>
        <w:t xml:space="preserve">; </w:t>
      </w:r>
      <w:r w:rsidRPr="008F73D7">
        <w:rPr>
          <w:i/>
          <w:lang w:val="en-US"/>
        </w:rPr>
        <w:t>Marchie Tiger v. Western Inv. Co.</w:t>
      </w:r>
      <w:r w:rsidRPr="00F7303D">
        <w:rPr>
          <w:lang w:val="en-US"/>
        </w:rPr>
        <w:t>, 221 U.S. 286, 315</w:t>
      </w:r>
      <w:r>
        <w:rPr>
          <w:lang w:val="en-US"/>
        </w:rPr>
        <w:t xml:space="preserve"> = 31 S. Ct. </w:t>
      </w:r>
      <w:r w:rsidRPr="00F7303D">
        <w:rPr>
          <w:lang w:val="en-US"/>
        </w:rPr>
        <w:t>578, 586</w:t>
      </w:r>
      <w:r>
        <w:rPr>
          <w:lang w:val="en-US"/>
        </w:rPr>
        <w:t xml:space="preserve"> = 55 L. Ed. </w:t>
      </w:r>
      <w:r w:rsidRPr="00F7303D">
        <w:rPr>
          <w:lang w:val="en-US"/>
        </w:rPr>
        <w:t>738, 749</w:t>
      </w:r>
      <w:r>
        <w:rPr>
          <w:lang w:val="en-US"/>
        </w:rPr>
        <w:t xml:space="preserve"> = 1911 U.S. LEXIS </w:t>
      </w:r>
      <w:r w:rsidRPr="00F7303D">
        <w:rPr>
          <w:lang w:val="en-US"/>
        </w:rPr>
        <w:t>1734, 47 (1911)</w:t>
      </w:r>
      <w:r>
        <w:rPr>
          <w:lang w:val="en-US"/>
        </w:rPr>
        <w:t>.</w:t>
      </w:r>
      <w:bookmarkEnd w:id="3"/>
    </w:p>
  </w:footnote>
  <w:footnote w:id="31">
    <w:p w14:paraId="25D75A49" w14:textId="77777777" w:rsidR="00074551" w:rsidRPr="0097065D" w:rsidRDefault="00074551" w:rsidP="00074551">
      <w:pPr>
        <w:pStyle w:val="Funotentext"/>
        <w:rPr>
          <w:lang w:val="en-US"/>
        </w:rPr>
      </w:pPr>
      <w:r>
        <w:rPr>
          <w:rStyle w:val="Funotenzeichen"/>
        </w:rPr>
        <w:footnoteRef/>
      </w:r>
      <w:r w:rsidRPr="0097065D">
        <w:rPr>
          <w:lang w:val="en-US"/>
        </w:rPr>
        <w:t xml:space="preserve"> </w:t>
      </w:r>
      <w:r w:rsidRPr="00B45592">
        <w:rPr>
          <w:lang w:val="en-IE"/>
        </w:rPr>
        <w:t>„</w:t>
      </w:r>
      <w:r w:rsidRPr="0097065D">
        <w:rPr>
          <w:lang w:val="en-US"/>
        </w:rPr>
        <w:t>A deed from the treasurer of the county of Wayne to John Scott, dated 10th October, 1833, conveying the title for taxes</w:t>
      </w:r>
      <w:r w:rsidRPr="00B45592">
        <w:rPr>
          <w:lang w:val="en-IE"/>
        </w:rPr>
        <w:t>“</w:t>
      </w:r>
      <w:r>
        <w:rPr>
          <w:lang w:val="en-US"/>
        </w:rPr>
        <w:t xml:space="preserve">, </w:t>
      </w:r>
      <w:r w:rsidRPr="008F73D7">
        <w:rPr>
          <w:i/>
          <w:lang w:val="en-US"/>
        </w:rPr>
        <w:t>Scott v. Jones</w:t>
      </w:r>
      <w:r w:rsidRPr="0097065D">
        <w:rPr>
          <w:lang w:val="en-US"/>
        </w:rPr>
        <w:t>, 46 U.S. 343, 374</w:t>
      </w:r>
      <w:r>
        <w:rPr>
          <w:lang w:val="en-US"/>
        </w:rPr>
        <w:t xml:space="preserve"> = 12 L. Ed. </w:t>
      </w:r>
      <w:r w:rsidRPr="0097065D">
        <w:rPr>
          <w:lang w:val="en-US"/>
        </w:rPr>
        <w:t>181, 195</w:t>
      </w:r>
      <w:r>
        <w:rPr>
          <w:lang w:val="en-US"/>
        </w:rPr>
        <w:t xml:space="preserve"> = 1847 U.S. LEXIS </w:t>
      </w:r>
      <w:r w:rsidRPr="0097065D">
        <w:rPr>
          <w:lang w:val="en-US"/>
        </w:rPr>
        <w:t>318, 2</w:t>
      </w:r>
      <w:r>
        <w:rPr>
          <w:lang w:val="en-US"/>
        </w:rPr>
        <w:t xml:space="preserve"> = 5 HOW </w:t>
      </w:r>
      <w:r w:rsidRPr="0097065D">
        <w:rPr>
          <w:lang w:val="en-US"/>
        </w:rPr>
        <w:t>343 (1847)</w:t>
      </w:r>
      <w:r>
        <w:rPr>
          <w:lang w:val="en-US"/>
        </w:rPr>
        <w:t>.</w:t>
      </w:r>
    </w:p>
  </w:footnote>
  <w:footnote w:id="32">
    <w:p w14:paraId="51AF747E" w14:textId="77777777" w:rsidR="00074551" w:rsidRPr="0097065D" w:rsidRDefault="00074551" w:rsidP="00074551">
      <w:pPr>
        <w:pStyle w:val="Funotentext"/>
        <w:rPr>
          <w:lang w:val="en-US"/>
        </w:rPr>
      </w:pPr>
      <w:r>
        <w:rPr>
          <w:rStyle w:val="Funotenzeichen"/>
        </w:rPr>
        <w:footnoteRef/>
      </w:r>
      <w:r w:rsidRPr="0097065D">
        <w:rPr>
          <w:lang w:val="en-US"/>
        </w:rPr>
        <w:t xml:space="preserve"> </w:t>
      </w:r>
      <w:r>
        <w:rPr>
          <w:lang w:val="en-US"/>
        </w:rPr>
        <w:t>§ </w:t>
      </w:r>
      <w:r w:rsidRPr="0097065D">
        <w:rPr>
          <w:lang w:val="en-US"/>
        </w:rPr>
        <w:t xml:space="preserve">25, ch. 20, </w:t>
      </w:r>
      <w:r w:rsidRPr="00B45592">
        <w:rPr>
          <w:i/>
          <w:lang w:val="en-US"/>
        </w:rPr>
        <w:t>Judiciary Act of 1789</w:t>
      </w:r>
      <w:r>
        <w:rPr>
          <w:lang w:val="en-US"/>
        </w:rPr>
        <w:t xml:space="preserve">: </w:t>
      </w:r>
      <w:r w:rsidRPr="00B45592">
        <w:rPr>
          <w:lang w:val="en-IE"/>
        </w:rPr>
        <w:t>„</w:t>
      </w:r>
      <w:r w:rsidRPr="0097065D">
        <w:rPr>
          <w:lang w:val="en-US"/>
        </w:rPr>
        <w:t xml:space="preserve">drawn in question the validity of a statute of, or authority exercised under, any State, on the ground of their being repugnant to the constitution, treaties, or laws of the United </w:t>
      </w:r>
      <w:proofErr w:type="gramStart"/>
      <w:r w:rsidRPr="0097065D">
        <w:rPr>
          <w:lang w:val="en-US"/>
        </w:rPr>
        <w:t>States</w:t>
      </w:r>
      <w:r w:rsidRPr="00B45592">
        <w:rPr>
          <w:lang w:val="en-IE"/>
        </w:rPr>
        <w:t>“</w:t>
      </w:r>
      <w:proofErr w:type="gramEnd"/>
      <w:r>
        <w:rPr>
          <w:lang w:val="en-US"/>
        </w:rPr>
        <w:t xml:space="preserve">, </w:t>
      </w:r>
      <w:r w:rsidRPr="008F73D7">
        <w:rPr>
          <w:i/>
          <w:lang w:val="en-US"/>
        </w:rPr>
        <w:t>Scott v. Jones</w:t>
      </w:r>
      <w:r w:rsidRPr="0097065D">
        <w:rPr>
          <w:lang w:val="en-US"/>
        </w:rPr>
        <w:t>, 46 U.S. 343, 374</w:t>
      </w:r>
      <w:r>
        <w:rPr>
          <w:lang w:val="en-US"/>
        </w:rPr>
        <w:t xml:space="preserve"> = 12 L. Ed. </w:t>
      </w:r>
      <w:r w:rsidRPr="0097065D">
        <w:rPr>
          <w:lang w:val="en-US"/>
        </w:rPr>
        <w:t>181, 195</w:t>
      </w:r>
      <w:r>
        <w:rPr>
          <w:lang w:val="en-US"/>
        </w:rPr>
        <w:t xml:space="preserve"> = 1847 U.S. LEXIS </w:t>
      </w:r>
      <w:r w:rsidRPr="0097065D">
        <w:rPr>
          <w:lang w:val="en-US"/>
        </w:rPr>
        <w:t>318, 57</w:t>
      </w:r>
      <w:r>
        <w:rPr>
          <w:lang w:val="en-US"/>
        </w:rPr>
        <w:t>–</w:t>
      </w:r>
      <w:r w:rsidRPr="0097065D">
        <w:rPr>
          <w:lang w:val="en-US"/>
        </w:rPr>
        <w:t>58</w:t>
      </w:r>
      <w:r>
        <w:rPr>
          <w:lang w:val="en-US"/>
        </w:rPr>
        <w:t xml:space="preserve"> = 5 HOW </w:t>
      </w:r>
      <w:r w:rsidRPr="0097065D">
        <w:rPr>
          <w:lang w:val="en-US"/>
        </w:rPr>
        <w:t>343 (1847)</w:t>
      </w:r>
      <w:r>
        <w:rPr>
          <w:lang w:val="en-US"/>
        </w:rPr>
        <w:t>.</w:t>
      </w:r>
    </w:p>
  </w:footnote>
  <w:footnote w:id="33">
    <w:p w14:paraId="5314D4AC" w14:textId="77777777" w:rsidR="00074551" w:rsidRPr="000501E8" w:rsidRDefault="00074551" w:rsidP="00074551">
      <w:pPr>
        <w:pStyle w:val="Funotentext"/>
        <w:rPr>
          <w:lang w:val="en-US"/>
        </w:rPr>
      </w:pPr>
      <w:r>
        <w:rPr>
          <w:rStyle w:val="Funotenzeichen"/>
        </w:rPr>
        <w:footnoteRef/>
      </w:r>
      <w:r w:rsidRPr="000501E8">
        <w:rPr>
          <w:lang w:val="en-US"/>
        </w:rPr>
        <w:t xml:space="preserve"> </w:t>
      </w:r>
      <w:r w:rsidRPr="008F73D7">
        <w:rPr>
          <w:i/>
          <w:lang w:val="en-US"/>
        </w:rPr>
        <w:t>Scott v. Jones</w:t>
      </w:r>
      <w:r w:rsidRPr="000501E8">
        <w:rPr>
          <w:lang w:val="en-US"/>
        </w:rPr>
        <w:t>, 46 U.S. 343, 374</w:t>
      </w:r>
      <w:r>
        <w:rPr>
          <w:lang w:val="en-US"/>
        </w:rPr>
        <w:t xml:space="preserve"> = 12 L. Ed. </w:t>
      </w:r>
      <w:r w:rsidRPr="000501E8">
        <w:rPr>
          <w:lang w:val="en-US"/>
        </w:rPr>
        <w:t>181, 195</w:t>
      </w:r>
      <w:r>
        <w:rPr>
          <w:lang w:val="en-US"/>
        </w:rPr>
        <w:t xml:space="preserve"> = 1847 U.S. LEXIS </w:t>
      </w:r>
      <w:r w:rsidRPr="000501E8">
        <w:rPr>
          <w:lang w:val="en-US"/>
        </w:rPr>
        <w:t>318, 10</w:t>
      </w:r>
      <w:r>
        <w:rPr>
          <w:lang w:val="en-US"/>
        </w:rPr>
        <w:t xml:space="preserve"> = 5 HOW </w:t>
      </w:r>
      <w:r w:rsidRPr="000501E8">
        <w:rPr>
          <w:lang w:val="en-US"/>
        </w:rPr>
        <w:t>343 (1847)</w:t>
      </w:r>
      <w:r>
        <w:rPr>
          <w:lang w:val="en-US"/>
        </w:rPr>
        <w:t>.</w:t>
      </w:r>
    </w:p>
  </w:footnote>
  <w:footnote w:id="34">
    <w:p w14:paraId="612FAE96" w14:textId="77777777" w:rsidR="00074551" w:rsidRPr="00AB65F4" w:rsidRDefault="00074551" w:rsidP="00074551">
      <w:pPr>
        <w:pStyle w:val="Funotentext"/>
        <w:rPr>
          <w:lang w:val="en-US"/>
        </w:rPr>
      </w:pPr>
      <w:r>
        <w:rPr>
          <w:rStyle w:val="Funotenzeichen"/>
        </w:rPr>
        <w:footnoteRef/>
      </w:r>
      <w:r w:rsidRPr="00AB65F4">
        <w:rPr>
          <w:lang w:val="en-US"/>
        </w:rPr>
        <w:t xml:space="preserve"> </w:t>
      </w:r>
      <w:r w:rsidRPr="008F73D7">
        <w:rPr>
          <w:i/>
          <w:lang w:val="en-US"/>
        </w:rPr>
        <w:t>Scott v. Jones</w:t>
      </w:r>
      <w:r w:rsidRPr="00AB65F4">
        <w:rPr>
          <w:lang w:val="en-US"/>
        </w:rPr>
        <w:t>, 46 U.S. 343, 375</w:t>
      </w:r>
      <w:r>
        <w:rPr>
          <w:lang w:val="en-US"/>
        </w:rPr>
        <w:t xml:space="preserve"> = 12 L. Ed. </w:t>
      </w:r>
      <w:r w:rsidRPr="00AB65F4">
        <w:rPr>
          <w:lang w:val="en-US"/>
        </w:rPr>
        <w:t>181, 196</w:t>
      </w:r>
      <w:r>
        <w:rPr>
          <w:lang w:val="en-US"/>
        </w:rPr>
        <w:t xml:space="preserve"> = 1847 U.S. LEXIS </w:t>
      </w:r>
      <w:r w:rsidRPr="00AB65F4">
        <w:rPr>
          <w:lang w:val="en-US"/>
        </w:rPr>
        <w:t>318, 78</w:t>
      </w:r>
      <w:r>
        <w:rPr>
          <w:lang w:val="en-US"/>
        </w:rPr>
        <w:t xml:space="preserve"> = 5 HOW </w:t>
      </w:r>
      <w:r w:rsidRPr="00AB65F4">
        <w:rPr>
          <w:lang w:val="en-US"/>
        </w:rPr>
        <w:t>343 (1847)</w:t>
      </w:r>
      <w:r>
        <w:rPr>
          <w:lang w:val="en-US"/>
        </w:rPr>
        <w:t>.</w:t>
      </w:r>
    </w:p>
  </w:footnote>
  <w:footnote w:id="35">
    <w:p w14:paraId="7D49A41A" w14:textId="77777777" w:rsidR="00074551" w:rsidRPr="00AB65F4" w:rsidRDefault="00074551" w:rsidP="00074551">
      <w:pPr>
        <w:pStyle w:val="Funotentext"/>
        <w:rPr>
          <w:lang w:val="en-US"/>
        </w:rPr>
      </w:pPr>
      <w:r>
        <w:rPr>
          <w:rStyle w:val="Funotenzeichen"/>
        </w:rPr>
        <w:footnoteRef/>
      </w:r>
      <w:r w:rsidRPr="00AB65F4">
        <w:rPr>
          <w:lang w:val="en-US"/>
        </w:rPr>
        <w:t xml:space="preserve"> </w:t>
      </w:r>
      <w:r w:rsidRPr="008F73D7">
        <w:rPr>
          <w:i/>
          <w:lang w:val="en-US"/>
        </w:rPr>
        <w:t>Scott v. Jones</w:t>
      </w:r>
      <w:r w:rsidRPr="00AB65F4">
        <w:rPr>
          <w:lang w:val="en-US"/>
        </w:rPr>
        <w:t>, 46 U.S. 343, 374</w:t>
      </w:r>
      <w:r>
        <w:rPr>
          <w:lang w:val="en-US"/>
        </w:rPr>
        <w:t xml:space="preserve"> = 12 L. Ed. </w:t>
      </w:r>
      <w:r w:rsidRPr="00AB65F4">
        <w:rPr>
          <w:lang w:val="en-US"/>
        </w:rPr>
        <w:t>181, 195</w:t>
      </w:r>
      <w:r>
        <w:rPr>
          <w:lang w:val="en-US"/>
        </w:rPr>
        <w:t xml:space="preserve"> = 1847 U.S. LEXIS </w:t>
      </w:r>
      <w:r w:rsidRPr="00AB65F4">
        <w:rPr>
          <w:lang w:val="en-US"/>
        </w:rPr>
        <w:t>318, 10</w:t>
      </w:r>
      <w:r>
        <w:rPr>
          <w:lang w:val="en-US"/>
        </w:rPr>
        <w:t xml:space="preserve"> = 5 HOW </w:t>
      </w:r>
      <w:r w:rsidRPr="00AB65F4">
        <w:rPr>
          <w:lang w:val="en-US"/>
        </w:rPr>
        <w:t>343 (1847)</w:t>
      </w:r>
      <w:r>
        <w:rPr>
          <w:lang w:val="en-US"/>
        </w:rPr>
        <w:t>.</w:t>
      </w:r>
    </w:p>
  </w:footnote>
  <w:footnote w:id="36">
    <w:p w14:paraId="0D298411" w14:textId="77777777" w:rsidR="00074551" w:rsidRPr="003E13FD" w:rsidRDefault="00074551" w:rsidP="00074551">
      <w:pPr>
        <w:pStyle w:val="Funotentext"/>
        <w:rPr>
          <w:lang w:val="en-US"/>
        </w:rPr>
      </w:pPr>
      <w:r>
        <w:rPr>
          <w:rStyle w:val="Funotenzeichen"/>
        </w:rPr>
        <w:footnoteRef/>
      </w:r>
      <w:r w:rsidRPr="003E13FD">
        <w:rPr>
          <w:lang w:val="en-US"/>
        </w:rPr>
        <w:t xml:space="preserve"> </w:t>
      </w:r>
      <w:r w:rsidRPr="008F73D7">
        <w:rPr>
          <w:i/>
          <w:lang w:val="en-US"/>
        </w:rPr>
        <w:t>Scott v. Jones</w:t>
      </w:r>
      <w:r w:rsidRPr="003E13FD">
        <w:rPr>
          <w:lang w:val="en-US"/>
        </w:rPr>
        <w:t>, 46 U.S. 343, 374</w:t>
      </w:r>
      <w:r>
        <w:rPr>
          <w:lang w:val="en-US"/>
        </w:rPr>
        <w:t xml:space="preserve"> = 12 L. Ed. </w:t>
      </w:r>
      <w:r w:rsidRPr="003E13FD">
        <w:rPr>
          <w:lang w:val="en-US"/>
        </w:rPr>
        <w:t>181, 195</w:t>
      </w:r>
      <w:r>
        <w:rPr>
          <w:lang w:val="en-US"/>
        </w:rPr>
        <w:t xml:space="preserve"> = 1847 U.S. LEXIS </w:t>
      </w:r>
      <w:r w:rsidRPr="003E13FD">
        <w:rPr>
          <w:lang w:val="en-US"/>
        </w:rPr>
        <w:t>318, 27</w:t>
      </w:r>
      <w:r>
        <w:rPr>
          <w:lang w:val="en-US"/>
        </w:rPr>
        <w:t xml:space="preserve"> = 5 HOW </w:t>
      </w:r>
      <w:r w:rsidRPr="003E13FD">
        <w:rPr>
          <w:lang w:val="en-US"/>
        </w:rPr>
        <w:t>343 (1847)</w:t>
      </w:r>
      <w:r>
        <w:rPr>
          <w:lang w:val="en-US"/>
        </w:rPr>
        <w:t>.</w:t>
      </w:r>
    </w:p>
  </w:footnote>
  <w:footnote w:id="37">
    <w:p w14:paraId="0CBC3501" w14:textId="77777777" w:rsidR="00074551" w:rsidRPr="00C30074" w:rsidRDefault="00074551" w:rsidP="00074551">
      <w:pPr>
        <w:pStyle w:val="Funotentext"/>
        <w:rPr>
          <w:lang w:val="en-US"/>
        </w:rPr>
      </w:pPr>
      <w:r>
        <w:rPr>
          <w:rStyle w:val="Funotenzeichen"/>
        </w:rPr>
        <w:footnoteRef/>
      </w:r>
      <w:r w:rsidRPr="00C30074">
        <w:rPr>
          <w:lang w:val="en-US"/>
        </w:rPr>
        <w:t xml:space="preserve"> </w:t>
      </w:r>
      <w:r w:rsidRPr="008F73D7">
        <w:rPr>
          <w:i/>
          <w:lang w:val="en-US"/>
        </w:rPr>
        <w:t>Roberts v. Cooper</w:t>
      </w:r>
      <w:r w:rsidRPr="00C30074">
        <w:rPr>
          <w:lang w:val="en-US"/>
        </w:rPr>
        <w:t>, 61 U.S. 467, 480</w:t>
      </w:r>
      <w:r>
        <w:rPr>
          <w:lang w:val="en-US"/>
        </w:rPr>
        <w:t xml:space="preserve"> = 15 L. Ed. </w:t>
      </w:r>
      <w:r w:rsidRPr="00C30074">
        <w:rPr>
          <w:lang w:val="en-US"/>
        </w:rPr>
        <w:t>969, 973</w:t>
      </w:r>
      <w:r>
        <w:rPr>
          <w:lang w:val="en-US"/>
        </w:rPr>
        <w:t xml:space="preserve"> = 1857 U.S. LEXIS </w:t>
      </w:r>
      <w:r w:rsidRPr="00C30074">
        <w:rPr>
          <w:lang w:val="en-US"/>
        </w:rPr>
        <w:t>472, 4</w:t>
      </w:r>
      <w:r>
        <w:rPr>
          <w:lang w:val="en-US"/>
        </w:rPr>
        <w:t xml:space="preserve"> = 20 HOW </w:t>
      </w:r>
      <w:r w:rsidRPr="00C30074">
        <w:rPr>
          <w:lang w:val="en-US"/>
        </w:rPr>
        <w:t>467 (1858)</w:t>
      </w:r>
      <w:r>
        <w:rPr>
          <w:lang w:val="en-US"/>
        </w:rPr>
        <w:t>.</w:t>
      </w:r>
    </w:p>
  </w:footnote>
  <w:footnote w:id="38">
    <w:p w14:paraId="2B4A1D03" w14:textId="77777777" w:rsidR="00074551" w:rsidRPr="00F61581" w:rsidRDefault="00074551" w:rsidP="00074551">
      <w:pPr>
        <w:pStyle w:val="Funotentext"/>
        <w:rPr>
          <w:lang w:val="en-US"/>
        </w:rPr>
      </w:pPr>
      <w:r>
        <w:rPr>
          <w:rStyle w:val="Funotenzeichen"/>
        </w:rPr>
        <w:footnoteRef/>
      </w:r>
      <w:r w:rsidRPr="00134532">
        <w:rPr>
          <w:lang w:val="en-IE"/>
        </w:rPr>
        <w:t xml:space="preserve"> </w:t>
      </w:r>
      <w:proofErr w:type="spellStart"/>
      <w:r w:rsidRPr="00134532">
        <w:rPr>
          <w:lang w:val="en-IE"/>
        </w:rPr>
        <w:t>Vgl</w:t>
      </w:r>
      <w:proofErr w:type="spellEnd"/>
      <w:r w:rsidRPr="00134532">
        <w:rPr>
          <w:lang w:val="en-IE"/>
        </w:rPr>
        <w:t xml:space="preserve">. </w:t>
      </w:r>
      <w:proofErr w:type="spellStart"/>
      <w:r w:rsidRPr="00134532">
        <w:rPr>
          <w:lang w:val="en-IE"/>
        </w:rPr>
        <w:t>auch</w:t>
      </w:r>
      <w:proofErr w:type="spellEnd"/>
      <w:r w:rsidRPr="00134532">
        <w:rPr>
          <w:lang w:val="en-IE"/>
        </w:rPr>
        <w:t xml:space="preserve"> den </w:t>
      </w:r>
      <w:bookmarkStart w:id="5" w:name="_Hlk228718601"/>
      <w:r w:rsidRPr="00134532">
        <w:rPr>
          <w:i/>
          <w:lang w:val="en-IE"/>
        </w:rPr>
        <w:t>Revised Code of 1846</w:t>
      </w:r>
      <w:r w:rsidRPr="00134532">
        <w:rPr>
          <w:lang w:val="en-IE"/>
        </w:rPr>
        <w:t xml:space="preserve"> (Michigan) </w:t>
      </w:r>
      <w:bookmarkEnd w:id="5"/>
      <w:r w:rsidRPr="00134532">
        <w:rPr>
          <w:lang w:val="en-IE"/>
        </w:rPr>
        <w:t xml:space="preserve">und </w:t>
      </w:r>
      <w:r w:rsidRPr="008F73D7">
        <w:rPr>
          <w:i/>
          <w:lang w:val="en-US"/>
        </w:rPr>
        <w:t>Roberts v. Cooper</w:t>
      </w:r>
      <w:r w:rsidRPr="00F61581">
        <w:rPr>
          <w:lang w:val="en-US"/>
        </w:rPr>
        <w:t>, 61 U.S. 467, 483</w:t>
      </w:r>
      <w:r>
        <w:rPr>
          <w:lang w:val="en-US"/>
        </w:rPr>
        <w:t xml:space="preserve"> = 15 L. Ed. </w:t>
      </w:r>
      <w:r w:rsidRPr="00F61581">
        <w:rPr>
          <w:lang w:val="en-US"/>
        </w:rPr>
        <w:t>969, 974</w:t>
      </w:r>
      <w:r>
        <w:rPr>
          <w:lang w:val="en-US"/>
        </w:rPr>
        <w:t xml:space="preserve"> = 1857 U.S. LEXIS </w:t>
      </w:r>
      <w:r w:rsidRPr="00F61581">
        <w:rPr>
          <w:lang w:val="en-US"/>
        </w:rPr>
        <w:t>472, 37</w:t>
      </w:r>
      <w:r>
        <w:rPr>
          <w:lang w:val="en-US"/>
        </w:rPr>
        <w:t xml:space="preserve"> = 20 HOW </w:t>
      </w:r>
      <w:r w:rsidRPr="00F61581">
        <w:rPr>
          <w:lang w:val="en-US"/>
        </w:rPr>
        <w:t>467 (1858)</w:t>
      </w:r>
      <w:r>
        <w:rPr>
          <w:lang w:val="en-US"/>
        </w:rPr>
        <w:t>.</w:t>
      </w:r>
    </w:p>
  </w:footnote>
  <w:footnote w:id="39">
    <w:p w14:paraId="5547D807" w14:textId="77777777" w:rsidR="00074551" w:rsidRPr="00193551" w:rsidRDefault="00074551" w:rsidP="00074551">
      <w:pPr>
        <w:pStyle w:val="Funotentext"/>
        <w:rPr>
          <w:lang w:val="en-US"/>
        </w:rPr>
      </w:pPr>
      <w:r>
        <w:rPr>
          <w:rStyle w:val="Funotenzeichen"/>
        </w:rPr>
        <w:footnoteRef/>
      </w:r>
      <w:r w:rsidRPr="00193551">
        <w:rPr>
          <w:lang w:val="en-US"/>
        </w:rPr>
        <w:t xml:space="preserve"> </w:t>
      </w:r>
      <w:r w:rsidRPr="008F73D7">
        <w:rPr>
          <w:i/>
          <w:lang w:val="en-US"/>
        </w:rPr>
        <w:t>Roberts v. Cooper</w:t>
      </w:r>
      <w:r w:rsidRPr="00193551">
        <w:rPr>
          <w:lang w:val="en-US"/>
        </w:rPr>
        <w:t>, 61 U.S. 467, 485</w:t>
      </w:r>
      <w:r>
        <w:rPr>
          <w:lang w:val="en-US"/>
        </w:rPr>
        <w:t xml:space="preserve"> = 15 L. Ed. </w:t>
      </w:r>
      <w:r w:rsidRPr="00193551">
        <w:rPr>
          <w:lang w:val="en-US"/>
        </w:rPr>
        <w:t>969, 975</w:t>
      </w:r>
      <w:r>
        <w:rPr>
          <w:lang w:val="en-US"/>
        </w:rPr>
        <w:t xml:space="preserve"> = 1857 U.S. LEXIS </w:t>
      </w:r>
      <w:r w:rsidRPr="00193551">
        <w:rPr>
          <w:lang w:val="en-US"/>
        </w:rPr>
        <w:t>472, 40</w:t>
      </w:r>
      <w:r>
        <w:rPr>
          <w:lang w:val="en-US"/>
        </w:rPr>
        <w:t xml:space="preserve"> = 20 HOW </w:t>
      </w:r>
      <w:r w:rsidRPr="00193551">
        <w:rPr>
          <w:lang w:val="en-US"/>
        </w:rPr>
        <w:t>467 (1858)</w:t>
      </w:r>
      <w:r>
        <w:rPr>
          <w:lang w:val="en-US"/>
        </w:rPr>
        <w:t>.</w:t>
      </w:r>
    </w:p>
  </w:footnote>
  <w:footnote w:id="40">
    <w:p w14:paraId="40375983" w14:textId="77777777" w:rsidR="00074551" w:rsidRPr="00193551" w:rsidRDefault="00074551" w:rsidP="00074551">
      <w:pPr>
        <w:pStyle w:val="Funotentext"/>
        <w:rPr>
          <w:lang w:val="en-US"/>
        </w:rPr>
      </w:pPr>
      <w:r>
        <w:rPr>
          <w:rStyle w:val="Funotenzeichen"/>
        </w:rPr>
        <w:footnoteRef/>
      </w:r>
      <w:r w:rsidRPr="00193551">
        <w:rPr>
          <w:lang w:val="en-US"/>
        </w:rPr>
        <w:t xml:space="preserve"> </w:t>
      </w:r>
      <w:r w:rsidRPr="008F73D7">
        <w:rPr>
          <w:i/>
          <w:lang w:val="en-US"/>
        </w:rPr>
        <w:t>Roberts v. Cooper</w:t>
      </w:r>
      <w:r w:rsidRPr="00193551">
        <w:rPr>
          <w:lang w:val="en-US"/>
        </w:rPr>
        <w:t>, 61 U.S. 467, 485</w:t>
      </w:r>
      <w:r>
        <w:rPr>
          <w:lang w:val="en-US"/>
        </w:rPr>
        <w:t xml:space="preserve"> = 15 L. Ed. </w:t>
      </w:r>
      <w:r w:rsidRPr="00193551">
        <w:rPr>
          <w:lang w:val="en-US"/>
        </w:rPr>
        <w:t>969, 975</w:t>
      </w:r>
      <w:r>
        <w:rPr>
          <w:lang w:val="en-US"/>
        </w:rPr>
        <w:t xml:space="preserve"> = 1857 U.S. LEXIS </w:t>
      </w:r>
      <w:r w:rsidRPr="00193551">
        <w:rPr>
          <w:lang w:val="en-US"/>
        </w:rPr>
        <w:t>472, 40</w:t>
      </w:r>
      <w:r>
        <w:rPr>
          <w:lang w:val="en-US"/>
        </w:rPr>
        <w:t xml:space="preserve"> = 20 HOW </w:t>
      </w:r>
      <w:r w:rsidRPr="00193551">
        <w:rPr>
          <w:lang w:val="en-US"/>
        </w:rPr>
        <w:t>467 (1858)</w:t>
      </w:r>
      <w:r>
        <w:rPr>
          <w:lang w:val="en-US"/>
        </w:rPr>
        <w:t>.</w:t>
      </w:r>
    </w:p>
  </w:footnote>
  <w:footnote w:id="41">
    <w:p w14:paraId="2671CFAE" w14:textId="77777777" w:rsidR="00074551" w:rsidRPr="00CB143C" w:rsidRDefault="00074551" w:rsidP="00074551">
      <w:pPr>
        <w:pStyle w:val="Funotentext"/>
        <w:rPr>
          <w:lang w:val="en-US"/>
        </w:rPr>
      </w:pPr>
      <w:r>
        <w:rPr>
          <w:rStyle w:val="Funotenzeichen"/>
        </w:rPr>
        <w:footnoteRef/>
      </w:r>
      <w:r w:rsidRPr="00CB143C">
        <w:rPr>
          <w:lang w:val="en-US"/>
        </w:rPr>
        <w:t xml:space="preserve"> </w:t>
      </w:r>
      <w:r w:rsidRPr="008F73D7">
        <w:rPr>
          <w:i/>
          <w:lang w:val="en-US"/>
        </w:rPr>
        <w:t>Robinson v. Lessee of Adams</w:t>
      </w:r>
      <w:r w:rsidRPr="00CB143C">
        <w:rPr>
          <w:lang w:val="en-US"/>
        </w:rPr>
        <w:t>, 1788 U.S. LEXIS 580, 1</w:t>
      </w:r>
      <w:r>
        <w:rPr>
          <w:lang w:val="en-US"/>
        </w:rPr>
        <w:t xml:space="preserve"> = 4 U.S. 418 </w:t>
      </w:r>
      <w:r w:rsidRPr="00CB143C">
        <w:rPr>
          <w:lang w:val="en-US"/>
        </w:rPr>
        <w:t>(1788)</w:t>
      </w:r>
      <w:r>
        <w:rPr>
          <w:lang w:val="en-US"/>
        </w:rPr>
        <w:t>.</w:t>
      </w:r>
    </w:p>
  </w:footnote>
  <w:footnote w:id="42">
    <w:p w14:paraId="77391EEC" w14:textId="77777777" w:rsidR="00074551" w:rsidRPr="00CB143C" w:rsidRDefault="00074551" w:rsidP="00074551">
      <w:pPr>
        <w:pStyle w:val="Funotentext"/>
        <w:rPr>
          <w:lang w:val="en-US"/>
        </w:rPr>
      </w:pPr>
      <w:r>
        <w:rPr>
          <w:rStyle w:val="Funotenzeichen"/>
        </w:rPr>
        <w:footnoteRef/>
      </w:r>
      <w:r w:rsidRPr="00CB143C">
        <w:rPr>
          <w:lang w:val="en-US"/>
        </w:rPr>
        <w:t xml:space="preserve"> </w:t>
      </w:r>
      <w:r w:rsidRPr="008F73D7">
        <w:rPr>
          <w:i/>
          <w:lang w:val="en-US"/>
        </w:rPr>
        <w:t>Robinson v. Lessee of Adams</w:t>
      </w:r>
      <w:r w:rsidRPr="00CB143C">
        <w:rPr>
          <w:lang w:val="en-US"/>
        </w:rPr>
        <w:t>, 1788 U.S. LEXIS 580, 1</w:t>
      </w:r>
      <w:r>
        <w:rPr>
          <w:lang w:val="en-US"/>
        </w:rPr>
        <w:t xml:space="preserve"> = 4 U.S. 418 </w:t>
      </w:r>
      <w:r w:rsidRPr="00CB143C">
        <w:rPr>
          <w:lang w:val="en-US"/>
        </w:rPr>
        <w:t>(1788)</w:t>
      </w:r>
      <w:r>
        <w:rPr>
          <w:lang w:val="en-US"/>
        </w:rPr>
        <w:t>.</w:t>
      </w:r>
    </w:p>
  </w:footnote>
  <w:footnote w:id="43">
    <w:p w14:paraId="65644655" w14:textId="77777777" w:rsidR="00074551" w:rsidRPr="00CB143C" w:rsidRDefault="00074551" w:rsidP="00074551">
      <w:pPr>
        <w:pStyle w:val="Funotentext"/>
        <w:rPr>
          <w:lang w:val="en-US"/>
        </w:rPr>
      </w:pPr>
      <w:r>
        <w:rPr>
          <w:rStyle w:val="Funotenzeichen"/>
        </w:rPr>
        <w:footnoteRef/>
      </w:r>
      <w:r w:rsidRPr="00CB143C">
        <w:rPr>
          <w:lang w:val="en-US"/>
        </w:rPr>
        <w:t xml:space="preserve"> </w:t>
      </w:r>
      <w:r w:rsidRPr="008F73D7">
        <w:rPr>
          <w:i/>
          <w:lang w:val="en-US"/>
        </w:rPr>
        <w:t>Robinson v. Lessee of Adams</w:t>
      </w:r>
      <w:r w:rsidRPr="00CB143C">
        <w:rPr>
          <w:lang w:val="en-US"/>
        </w:rPr>
        <w:t>, 1788 U.S. LEXIS 580, 1</w:t>
      </w:r>
      <w:r>
        <w:rPr>
          <w:lang w:val="en-US"/>
        </w:rPr>
        <w:t xml:space="preserve"> = 4 U.S. 418 </w:t>
      </w:r>
      <w:r w:rsidRPr="00CB143C">
        <w:rPr>
          <w:lang w:val="en-US"/>
        </w:rPr>
        <w:t>(1788)</w:t>
      </w:r>
      <w:r>
        <w:rPr>
          <w:lang w:val="en-US"/>
        </w:rPr>
        <w:t>.</w:t>
      </w:r>
    </w:p>
  </w:footnote>
  <w:footnote w:id="44">
    <w:p w14:paraId="52EB1BCC" w14:textId="77777777" w:rsidR="00074551" w:rsidRPr="00776197" w:rsidRDefault="00074551" w:rsidP="00074551">
      <w:pPr>
        <w:pStyle w:val="Funotentext"/>
        <w:rPr>
          <w:lang w:val="en-US"/>
        </w:rPr>
      </w:pPr>
      <w:r>
        <w:rPr>
          <w:rStyle w:val="Funotenzeichen"/>
        </w:rPr>
        <w:footnoteRef/>
      </w:r>
      <w:r w:rsidRPr="00CB143C">
        <w:rPr>
          <w:lang w:val="en-US"/>
        </w:rPr>
        <w:t xml:space="preserve"> </w:t>
      </w:r>
      <w:r w:rsidRPr="008F73D7">
        <w:rPr>
          <w:i/>
          <w:lang w:val="en-US"/>
        </w:rPr>
        <w:t>Robinson v. Lessee of Adams</w:t>
      </w:r>
      <w:r w:rsidRPr="00CB143C">
        <w:rPr>
          <w:lang w:val="en-US"/>
        </w:rPr>
        <w:t>, 1788 U.S. LEXIS 580, 1</w:t>
      </w:r>
      <w:r>
        <w:rPr>
          <w:lang w:val="en-US"/>
        </w:rPr>
        <w:t xml:space="preserve"> = 4 U.S. 418 </w:t>
      </w:r>
      <w:r w:rsidRPr="00CB143C">
        <w:rPr>
          <w:lang w:val="en-US"/>
        </w:rPr>
        <w:t>(</w:t>
      </w:r>
      <w:r w:rsidRPr="00776197">
        <w:rPr>
          <w:lang w:val="en-US"/>
        </w:rPr>
        <w:t>1788)</w:t>
      </w:r>
      <w:r>
        <w:rPr>
          <w:lang w:val="en-US"/>
        </w:rPr>
        <w:t>.</w:t>
      </w:r>
    </w:p>
  </w:footnote>
  <w:footnote w:id="45">
    <w:p w14:paraId="209630AF" w14:textId="77777777" w:rsidR="00074551" w:rsidRPr="00C771E0" w:rsidRDefault="00074551" w:rsidP="00074551">
      <w:pPr>
        <w:pStyle w:val="Funotentext"/>
        <w:rPr>
          <w:lang w:val="en-US"/>
        </w:rPr>
      </w:pPr>
      <w:r>
        <w:rPr>
          <w:rStyle w:val="Funotenzeichen"/>
        </w:rPr>
        <w:footnoteRef/>
      </w:r>
      <w:r w:rsidRPr="00BF7EAD">
        <w:rPr>
          <w:lang w:val="en-US"/>
        </w:rPr>
        <w:t xml:space="preserve"> </w:t>
      </w:r>
      <w:r w:rsidRPr="008F73D7">
        <w:rPr>
          <w:i/>
          <w:lang w:val="en-US"/>
        </w:rPr>
        <w:t>Robinson v. Lessee of Adams</w:t>
      </w:r>
      <w:r w:rsidRPr="00BF7EAD">
        <w:rPr>
          <w:lang w:val="en-US"/>
        </w:rPr>
        <w:t>, 1788 U.S. LEXIS 580, 10</w:t>
      </w:r>
      <w:r>
        <w:rPr>
          <w:lang w:val="en-US"/>
        </w:rPr>
        <w:t xml:space="preserve"> = 4 U.S. 418 </w:t>
      </w:r>
      <w:r w:rsidRPr="00BF7EAD">
        <w:rPr>
          <w:lang w:val="en-US"/>
        </w:rPr>
        <w:t>(1788)</w:t>
      </w:r>
      <w:r>
        <w:rPr>
          <w:lang w:val="en-US"/>
        </w:rPr>
        <w:t>.</w:t>
      </w:r>
    </w:p>
  </w:footnote>
  <w:footnote w:id="46">
    <w:p w14:paraId="3CD67FAB" w14:textId="77777777" w:rsidR="00074551" w:rsidRPr="00BF7EAD" w:rsidRDefault="00074551" w:rsidP="00074551">
      <w:pPr>
        <w:pStyle w:val="Funotentext"/>
        <w:rPr>
          <w:lang w:val="en-US"/>
        </w:rPr>
      </w:pPr>
      <w:r>
        <w:rPr>
          <w:rStyle w:val="Funotenzeichen"/>
        </w:rPr>
        <w:footnoteRef/>
      </w:r>
      <w:r w:rsidRPr="00BF7EAD">
        <w:rPr>
          <w:lang w:val="en-US"/>
        </w:rPr>
        <w:t xml:space="preserve"> </w:t>
      </w:r>
      <w:r w:rsidRPr="008F73D7">
        <w:rPr>
          <w:i/>
          <w:lang w:val="en-US"/>
        </w:rPr>
        <w:t>Robinson v. Lessee of Adams</w:t>
      </w:r>
      <w:r w:rsidRPr="00BF7EAD">
        <w:rPr>
          <w:lang w:val="en-US"/>
        </w:rPr>
        <w:t>, 1788 U.S. LEXIS 580, 21</w:t>
      </w:r>
      <w:r>
        <w:rPr>
          <w:lang w:val="en-US"/>
        </w:rPr>
        <w:t xml:space="preserve"> = 4 U.S. 418 </w:t>
      </w:r>
      <w:r w:rsidRPr="00BF7EAD">
        <w:rPr>
          <w:lang w:val="en-US"/>
        </w:rPr>
        <w:t>(1788)</w:t>
      </w:r>
      <w:r>
        <w:rPr>
          <w:lang w:val="en-US"/>
        </w:rPr>
        <w:t>.</w:t>
      </w:r>
    </w:p>
  </w:footnote>
  <w:footnote w:id="47">
    <w:p w14:paraId="0BEC91A6" w14:textId="77777777" w:rsidR="00074551" w:rsidRPr="00BF7EAD" w:rsidRDefault="00074551" w:rsidP="00074551">
      <w:pPr>
        <w:pStyle w:val="Funotentext"/>
        <w:rPr>
          <w:lang w:val="en-US"/>
        </w:rPr>
      </w:pPr>
      <w:r>
        <w:rPr>
          <w:rStyle w:val="Funotenzeichen"/>
        </w:rPr>
        <w:footnoteRef/>
      </w:r>
      <w:r w:rsidRPr="00594F2D">
        <w:rPr>
          <w:lang w:val="en-US"/>
        </w:rPr>
        <w:t xml:space="preserve"> </w:t>
      </w:r>
      <w:r w:rsidRPr="008F73D7">
        <w:rPr>
          <w:i/>
          <w:lang w:val="en-US"/>
        </w:rPr>
        <w:t>Robinson v. Lessee of Adams</w:t>
      </w:r>
      <w:r w:rsidRPr="00594F2D">
        <w:rPr>
          <w:lang w:val="en-US"/>
        </w:rPr>
        <w:t>, 1788 U.S. LEXIS 580, 6</w:t>
      </w:r>
      <w:r>
        <w:rPr>
          <w:lang w:val="en-US"/>
        </w:rPr>
        <w:t xml:space="preserve"> = 4 U.S. 418 </w:t>
      </w:r>
      <w:r w:rsidRPr="00594F2D">
        <w:rPr>
          <w:lang w:val="en-US"/>
        </w:rPr>
        <w:t>(</w:t>
      </w:r>
      <w:r w:rsidRPr="00BF7EAD">
        <w:rPr>
          <w:lang w:val="en-US"/>
        </w:rPr>
        <w:t>1788)</w:t>
      </w:r>
      <w:r>
        <w:rPr>
          <w:lang w:val="en-US"/>
        </w:rPr>
        <w:t>.</w:t>
      </w:r>
    </w:p>
  </w:footnote>
  <w:footnote w:id="48">
    <w:p w14:paraId="0D9C4E92" w14:textId="77777777" w:rsidR="00074551" w:rsidRPr="00CB21A3" w:rsidRDefault="00074551" w:rsidP="00074551">
      <w:pPr>
        <w:pStyle w:val="Funotentext"/>
        <w:rPr>
          <w:lang w:val="en-US"/>
        </w:rPr>
      </w:pPr>
      <w:r>
        <w:rPr>
          <w:rStyle w:val="Funotenzeichen"/>
        </w:rPr>
        <w:footnoteRef/>
      </w:r>
      <w:r w:rsidRPr="00BD144F">
        <w:rPr>
          <w:lang w:val="en-US"/>
        </w:rPr>
        <w:t xml:space="preserve"> </w:t>
      </w:r>
      <w:r>
        <w:rPr>
          <w:lang w:val="en-US"/>
        </w:rPr>
        <w:t>„</w:t>
      </w:r>
      <w:r w:rsidRPr="00B45592">
        <w:rPr>
          <w:lang w:val="en-IE"/>
        </w:rPr>
        <w:t xml:space="preserve">The statute of 1822 enacts that </w:t>
      </w:r>
      <w:r>
        <w:rPr>
          <w:lang w:val="en-US"/>
        </w:rPr>
        <w:t>,</w:t>
      </w:r>
      <w:r w:rsidRPr="00CB21A3">
        <w:rPr>
          <w:lang w:val="en-US"/>
        </w:rPr>
        <w:t>when any person having title to any real estate of inheritance shall die intestate as to such estate, it shall descend and pass in equal portions to his or her kindred in the following course</w:t>
      </w:r>
      <w:r>
        <w:rPr>
          <w:lang w:val="en-US"/>
        </w:rPr>
        <w:t>,‘ […]</w:t>
      </w:r>
      <w:r w:rsidRPr="00CB21A3">
        <w:rPr>
          <w:lang w:val="en-US"/>
        </w:rPr>
        <w:t xml:space="preserve"> </w:t>
      </w:r>
      <w:r>
        <w:rPr>
          <w:lang w:val="en-US"/>
        </w:rPr>
        <w:t>,</w:t>
      </w:r>
      <w:r w:rsidRPr="00CB21A3">
        <w:rPr>
          <w:lang w:val="en-US"/>
        </w:rPr>
        <w:t>if there be no father, then to the mother, brothers and sisters of such intestate, and their descendants, or such of them as there be.</w:t>
      </w:r>
      <w:r>
        <w:rPr>
          <w:lang w:val="en-US"/>
        </w:rPr>
        <w:t>‘</w:t>
      </w:r>
      <w:r w:rsidRPr="00CB21A3">
        <w:rPr>
          <w:lang w:val="en-US"/>
        </w:rPr>
        <w:t xml:space="preserve"> </w:t>
      </w:r>
      <w:r>
        <w:rPr>
          <w:lang w:val="en-US"/>
        </w:rPr>
        <w:t>[…] ,</w:t>
      </w:r>
      <w:r w:rsidRPr="00CB21A3">
        <w:rPr>
          <w:lang w:val="en-US"/>
        </w:rPr>
        <w:t xml:space="preserve">when the title to any estate of inheritance, as to which the person having such title shall die intestate, came by descent, </w:t>
      </w:r>
      <w:r>
        <w:rPr>
          <w:lang w:val="en-US"/>
        </w:rPr>
        <w:t>g</w:t>
      </w:r>
      <w:r w:rsidRPr="00CB21A3">
        <w:rPr>
          <w:lang w:val="en-US"/>
        </w:rPr>
        <w:t>ift, or devise from the parent or other kindred of the intestate, and such intestate die without children, such estate shall go to the kin next to the intestate of the blood of the person from whom such estate came or descended, if any there be.</w:t>
      </w:r>
      <w:r>
        <w:rPr>
          <w:lang w:val="en-US"/>
        </w:rPr>
        <w:t>‘</w:t>
      </w:r>
      <w:r w:rsidRPr="00CB21A3">
        <w:rPr>
          <w:lang w:val="en-US"/>
        </w:rPr>
        <w:t xml:space="preserve"> </w:t>
      </w:r>
      <w:r>
        <w:rPr>
          <w:lang w:val="en-US"/>
        </w:rPr>
        <w:t xml:space="preserve">[…] </w:t>
      </w:r>
      <w:r w:rsidRPr="00115436">
        <w:rPr>
          <w:lang w:val="en-IE"/>
        </w:rPr>
        <w:t xml:space="preserve">The true construction of the statute of 1822 is that it gives the estate to the next of kin of the intestate who are of the blood, excluding all others </w:t>
      </w:r>
      <w:proofErr w:type="spellStart"/>
      <w:r w:rsidRPr="00115436">
        <w:rPr>
          <w:lang w:val="en-IE"/>
        </w:rPr>
        <w:t>though</w:t>
      </w:r>
      <w:proofErr w:type="spellEnd"/>
      <w:r w:rsidRPr="00115436">
        <w:rPr>
          <w:lang w:val="en-IE"/>
        </w:rPr>
        <w:t xml:space="preserve"> of a nearer degree who are not of the blood</w:t>
      </w:r>
      <w:r>
        <w:rPr>
          <w:lang w:val="en-US"/>
        </w:rPr>
        <w:t xml:space="preserve">“, </w:t>
      </w:r>
      <w:r w:rsidRPr="008F73D7">
        <w:rPr>
          <w:i/>
          <w:lang w:val="en-US"/>
        </w:rPr>
        <w:t>Gardner v. Collins</w:t>
      </w:r>
      <w:r w:rsidRPr="00CB21A3">
        <w:rPr>
          <w:lang w:val="en-US"/>
        </w:rPr>
        <w:t>, 27 U.S. 58, 86</w:t>
      </w:r>
      <w:r>
        <w:rPr>
          <w:lang w:val="en-US"/>
        </w:rPr>
        <w:t>–</w:t>
      </w:r>
      <w:r w:rsidRPr="00CB21A3">
        <w:rPr>
          <w:lang w:val="en-US"/>
        </w:rPr>
        <w:t>87</w:t>
      </w:r>
      <w:r>
        <w:rPr>
          <w:lang w:val="en-US"/>
        </w:rPr>
        <w:t xml:space="preserve"> = 7 L. Ed. </w:t>
      </w:r>
      <w:r w:rsidRPr="00CB21A3">
        <w:rPr>
          <w:lang w:val="en-US"/>
        </w:rPr>
        <w:t>347, 357</w:t>
      </w:r>
      <w:r>
        <w:rPr>
          <w:lang w:val="en-US"/>
        </w:rPr>
        <w:t xml:space="preserve"> = 1829 U.S. LEXIS </w:t>
      </w:r>
      <w:r w:rsidRPr="00CB21A3">
        <w:rPr>
          <w:lang w:val="en-US"/>
        </w:rPr>
        <w:t>390, 52</w:t>
      </w:r>
      <w:r>
        <w:rPr>
          <w:lang w:val="en-US"/>
        </w:rPr>
        <w:t>–</w:t>
      </w:r>
      <w:r w:rsidRPr="00CB21A3">
        <w:rPr>
          <w:lang w:val="en-US"/>
        </w:rPr>
        <w:t>5</w:t>
      </w:r>
      <w:r>
        <w:rPr>
          <w:lang w:val="en-US"/>
        </w:rPr>
        <w:t>5 = 4 A.F.T.R</w:t>
      </w:r>
      <w:r w:rsidRPr="00CB21A3">
        <w:rPr>
          <w:lang w:val="en-US"/>
        </w:rPr>
        <w:t>. (P-H) 4503 (1829)</w:t>
      </w:r>
      <w:r>
        <w:rPr>
          <w:lang w:val="en-US"/>
        </w:rPr>
        <w:t>.</w:t>
      </w:r>
    </w:p>
  </w:footnote>
  <w:footnote w:id="49">
    <w:p w14:paraId="407EF288" w14:textId="77777777" w:rsidR="00074551" w:rsidRPr="00E3645B" w:rsidRDefault="00074551" w:rsidP="00074551">
      <w:pPr>
        <w:pStyle w:val="Funotentext"/>
        <w:rPr>
          <w:lang w:val="en-US"/>
        </w:rPr>
      </w:pPr>
      <w:r>
        <w:rPr>
          <w:rStyle w:val="Funotenzeichen"/>
        </w:rPr>
        <w:footnoteRef/>
      </w:r>
      <w:r w:rsidRPr="00E3645B">
        <w:rPr>
          <w:lang w:val="en-US"/>
        </w:rPr>
        <w:t xml:space="preserve"> </w:t>
      </w:r>
      <w:r w:rsidRPr="008F73D7">
        <w:rPr>
          <w:i/>
          <w:lang w:val="en-US"/>
        </w:rPr>
        <w:t>Gardner v. Collins</w:t>
      </w:r>
      <w:r w:rsidRPr="00E3645B">
        <w:rPr>
          <w:lang w:val="en-US"/>
        </w:rPr>
        <w:t>, 27 U.S. 58, 93</w:t>
      </w:r>
      <w:r>
        <w:rPr>
          <w:lang w:val="en-US"/>
        </w:rPr>
        <w:t xml:space="preserve"> = 7 L. Ed. </w:t>
      </w:r>
      <w:r w:rsidRPr="00E3645B">
        <w:rPr>
          <w:lang w:val="en-US"/>
        </w:rPr>
        <w:t>347, 359</w:t>
      </w:r>
      <w:r>
        <w:rPr>
          <w:lang w:val="en-US"/>
        </w:rPr>
        <w:t xml:space="preserve"> = 1829 U.S. LEXIS </w:t>
      </w:r>
      <w:r w:rsidRPr="00E3645B">
        <w:rPr>
          <w:lang w:val="en-US"/>
        </w:rPr>
        <w:t>390, 66</w:t>
      </w:r>
      <w:r>
        <w:rPr>
          <w:lang w:val="en-US"/>
        </w:rPr>
        <w:t xml:space="preserve"> = 4 A.F.T.R</w:t>
      </w:r>
      <w:r w:rsidRPr="00E3645B">
        <w:rPr>
          <w:lang w:val="en-US"/>
        </w:rPr>
        <w:t>. (P-H) 4503 (1829)</w:t>
      </w:r>
      <w:r>
        <w:rPr>
          <w:lang w:val="en-US"/>
        </w:rPr>
        <w:t>.</w:t>
      </w:r>
    </w:p>
  </w:footnote>
  <w:footnote w:id="50">
    <w:p w14:paraId="612B2DC9" w14:textId="77777777" w:rsidR="00074551" w:rsidRPr="00960430" w:rsidRDefault="00074551" w:rsidP="00074551">
      <w:pPr>
        <w:pStyle w:val="Funotentext"/>
        <w:rPr>
          <w:lang w:val="en-US"/>
        </w:rPr>
      </w:pPr>
      <w:r>
        <w:rPr>
          <w:rStyle w:val="Funotenzeichen"/>
        </w:rPr>
        <w:footnoteRef/>
      </w:r>
      <w:r w:rsidRPr="00960430">
        <w:rPr>
          <w:lang w:val="en-US"/>
        </w:rPr>
        <w:t xml:space="preserve"> </w:t>
      </w:r>
      <w:r w:rsidRPr="008F73D7">
        <w:rPr>
          <w:i/>
          <w:lang w:val="en-US"/>
        </w:rPr>
        <w:t>Gardner v. Collins</w:t>
      </w:r>
      <w:r w:rsidRPr="00960430">
        <w:rPr>
          <w:lang w:val="en-US"/>
        </w:rPr>
        <w:t>, 27 U.S. 58, 84</w:t>
      </w:r>
      <w:r>
        <w:rPr>
          <w:lang w:val="en-US"/>
        </w:rPr>
        <w:t xml:space="preserve"> = 7 L. Ed. </w:t>
      </w:r>
      <w:r w:rsidRPr="00960430">
        <w:rPr>
          <w:lang w:val="en-US"/>
        </w:rPr>
        <w:t>347, 356</w:t>
      </w:r>
      <w:r>
        <w:rPr>
          <w:lang w:val="en-US"/>
        </w:rPr>
        <w:t xml:space="preserve"> = 1829 U.S. LEXIS </w:t>
      </w:r>
      <w:r w:rsidRPr="00960430">
        <w:rPr>
          <w:lang w:val="en-US"/>
        </w:rPr>
        <w:t>390, 28</w:t>
      </w:r>
      <w:r>
        <w:rPr>
          <w:lang w:val="en-US"/>
        </w:rPr>
        <w:t xml:space="preserve"> = 4 A.F.T.R</w:t>
      </w:r>
      <w:r w:rsidRPr="00960430">
        <w:rPr>
          <w:lang w:val="en-US"/>
        </w:rPr>
        <w:t>. (P-H) 4503 (1829)</w:t>
      </w:r>
      <w:r>
        <w:rPr>
          <w:lang w:val="en-US"/>
        </w:rPr>
        <w:t>.</w:t>
      </w:r>
    </w:p>
  </w:footnote>
  <w:footnote w:id="51">
    <w:p w14:paraId="508864D1" w14:textId="77777777" w:rsidR="00074551" w:rsidRPr="00EE7EEF" w:rsidRDefault="00074551" w:rsidP="00074551">
      <w:pPr>
        <w:pStyle w:val="Funotentext"/>
        <w:rPr>
          <w:lang w:val="en-US"/>
        </w:rPr>
      </w:pPr>
      <w:r>
        <w:rPr>
          <w:rStyle w:val="Funotenzeichen"/>
        </w:rPr>
        <w:footnoteRef/>
      </w:r>
      <w:r w:rsidRPr="00EE7EEF">
        <w:rPr>
          <w:lang w:val="en-US"/>
        </w:rPr>
        <w:t xml:space="preserve"> </w:t>
      </w:r>
      <w:r w:rsidRPr="008F73D7">
        <w:rPr>
          <w:i/>
          <w:lang w:val="en-US"/>
        </w:rPr>
        <w:t>Gardner v. Collins</w:t>
      </w:r>
      <w:r w:rsidRPr="00EE7EEF">
        <w:rPr>
          <w:lang w:val="en-US"/>
        </w:rPr>
        <w:t>, 27 U.S. 58, 84</w:t>
      </w:r>
      <w:r>
        <w:rPr>
          <w:lang w:val="en-US"/>
        </w:rPr>
        <w:t xml:space="preserve"> = 7 L. Ed. </w:t>
      </w:r>
      <w:r w:rsidRPr="00EE7EEF">
        <w:rPr>
          <w:lang w:val="en-US"/>
        </w:rPr>
        <w:t>347, 356</w:t>
      </w:r>
      <w:r>
        <w:rPr>
          <w:lang w:val="en-US"/>
        </w:rPr>
        <w:t xml:space="preserve"> = 1829 U.S. LEXIS </w:t>
      </w:r>
      <w:r w:rsidRPr="00EE7EEF">
        <w:rPr>
          <w:lang w:val="en-US"/>
        </w:rPr>
        <w:t>390, 29</w:t>
      </w:r>
      <w:r>
        <w:rPr>
          <w:lang w:val="en-US"/>
        </w:rPr>
        <w:t xml:space="preserve"> = 4 A.F.T.R</w:t>
      </w:r>
      <w:r w:rsidRPr="00EE7EEF">
        <w:rPr>
          <w:lang w:val="en-US"/>
        </w:rPr>
        <w:t>. (P-H) 4503 (1829)</w:t>
      </w:r>
      <w:r>
        <w:rPr>
          <w:lang w:val="en-US"/>
        </w:rPr>
        <w:t>.</w:t>
      </w:r>
    </w:p>
  </w:footnote>
  <w:footnote w:id="52">
    <w:p w14:paraId="1B9075E0" w14:textId="77777777" w:rsidR="00074551" w:rsidRPr="00171134" w:rsidRDefault="00074551" w:rsidP="00074551">
      <w:pPr>
        <w:pStyle w:val="Funotentext"/>
        <w:rPr>
          <w:lang w:val="en-US"/>
        </w:rPr>
      </w:pPr>
      <w:r>
        <w:rPr>
          <w:rStyle w:val="Funotenzeichen"/>
        </w:rPr>
        <w:footnoteRef/>
      </w:r>
      <w:r w:rsidRPr="00171134">
        <w:rPr>
          <w:lang w:val="en-US"/>
        </w:rPr>
        <w:t xml:space="preserve"> </w:t>
      </w:r>
      <w:bookmarkStart w:id="6" w:name="_Hlk228717643"/>
      <w:r w:rsidRPr="00B45592">
        <w:rPr>
          <w:i/>
          <w:lang w:val="en-US"/>
        </w:rPr>
        <w:t>Congress of July 2, 1864</w:t>
      </w:r>
      <w:r w:rsidRPr="00171134">
        <w:rPr>
          <w:lang w:val="en-US"/>
        </w:rPr>
        <w:t>, c. 217, 13 Stat. 365</w:t>
      </w:r>
      <w:bookmarkEnd w:id="6"/>
      <w:r>
        <w:rPr>
          <w:lang w:val="en-US"/>
        </w:rPr>
        <w:t>:</w:t>
      </w:r>
      <w:r w:rsidRPr="00171134">
        <w:rPr>
          <w:lang w:val="en-US"/>
        </w:rPr>
        <w:t xml:space="preserve"> </w:t>
      </w:r>
      <w:r>
        <w:rPr>
          <w:lang w:val="en-US"/>
        </w:rPr>
        <w:t>„</w:t>
      </w:r>
      <w:r w:rsidRPr="00171134">
        <w:rPr>
          <w:lang w:val="en-US"/>
        </w:rPr>
        <w:t xml:space="preserve">An act granting lands to aid in the construction of a railroad and telegraph line from Lake Superior to Puget Sound on the Pacific coast, by the northern route, and the acts and resolutions supplementary and amendatory </w:t>
      </w:r>
      <w:proofErr w:type="gramStart"/>
      <w:r w:rsidRPr="00171134">
        <w:rPr>
          <w:lang w:val="en-US"/>
        </w:rPr>
        <w:t>thereof</w:t>
      </w:r>
      <w:r>
        <w:rPr>
          <w:lang w:val="en-US"/>
        </w:rPr>
        <w:t>“</w:t>
      </w:r>
      <w:proofErr w:type="gramEnd"/>
      <w:r>
        <w:rPr>
          <w:lang w:val="en-US"/>
        </w:rPr>
        <w:t xml:space="preserve">, </w:t>
      </w:r>
      <w:r w:rsidRPr="008F73D7">
        <w:rPr>
          <w:i/>
          <w:lang w:val="en-US"/>
        </w:rPr>
        <w:t>Barden v. Northern P. R. Co.</w:t>
      </w:r>
      <w:r w:rsidRPr="00171134">
        <w:rPr>
          <w:lang w:val="en-US"/>
        </w:rPr>
        <w:t>, 154 U.S. 288, 311</w:t>
      </w:r>
      <w:r>
        <w:rPr>
          <w:lang w:val="en-US"/>
        </w:rPr>
        <w:t xml:space="preserve"> = 14 S. Ct. </w:t>
      </w:r>
      <w:r w:rsidRPr="00171134">
        <w:rPr>
          <w:lang w:val="en-US"/>
        </w:rPr>
        <w:t>1030, 1032</w:t>
      </w:r>
      <w:r>
        <w:rPr>
          <w:lang w:val="en-US"/>
        </w:rPr>
        <w:t xml:space="preserve"> = 38 L. Ed. </w:t>
      </w:r>
      <w:r w:rsidRPr="00171134">
        <w:rPr>
          <w:lang w:val="en-US"/>
        </w:rPr>
        <w:t>992, 996</w:t>
      </w:r>
      <w:r>
        <w:rPr>
          <w:lang w:val="en-US"/>
        </w:rPr>
        <w:t xml:space="preserve"> = 1894 U.S. LEXIS </w:t>
      </w:r>
      <w:r w:rsidRPr="00171134">
        <w:rPr>
          <w:lang w:val="en-US"/>
        </w:rPr>
        <w:t>2234, 1 (1894)</w:t>
      </w:r>
      <w:r>
        <w:rPr>
          <w:lang w:val="en-US"/>
        </w:rPr>
        <w:t>.</w:t>
      </w:r>
    </w:p>
  </w:footnote>
  <w:footnote w:id="53">
    <w:p w14:paraId="1006E4F3" w14:textId="77777777" w:rsidR="00074551" w:rsidRPr="00171134" w:rsidRDefault="00074551" w:rsidP="00074551">
      <w:pPr>
        <w:pStyle w:val="Funotentext"/>
        <w:rPr>
          <w:lang w:val="en-US"/>
        </w:rPr>
      </w:pPr>
      <w:r>
        <w:rPr>
          <w:rStyle w:val="Funotenzeichen"/>
        </w:rPr>
        <w:footnoteRef/>
      </w:r>
      <w:r w:rsidRPr="00171134">
        <w:rPr>
          <w:lang w:val="en-US"/>
        </w:rPr>
        <w:t xml:space="preserve"> </w:t>
      </w:r>
      <w:r w:rsidRPr="008F73D7">
        <w:rPr>
          <w:i/>
          <w:lang w:val="en-US"/>
        </w:rPr>
        <w:t>Barden v. Northern P. R. Co.</w:t>
      </w:r>
      <w:r w:rsidRPr="00171134">
        <w:rPr>
          <w:lang w:val="en-US"/>
        </w:rPr>
        <w:t>, 154 U.S. 288, 311</w:t>
      </w:r>
      <w:r>
        <w:rPr>
          <w:lang w:val="en-US"/>
        </w:rPr>
        <w:t xml:space="preserve"> = 14 S. Ct. </w:t>
      </w:r>
      <w:r w:rsidRPr="00171134">
        <w:rPr>
          <w:lang w:val="en-US"/>
        </w:rPr>
        <w:t>1030, 1032</w:t>
      </w:r>
      <w:r>
        <w:rPr>
          <w:lang w:val="en-US"/>
        </w:rPr>
        <w:t xml:space="preserve"> = 38 L. Ed. </w:t>
      </w:r>
      <w:r w:rsidRPr="00171134">
        <w:rPr>
          <w:lang w:val="en-US"/>
        </w:rPr>
        <w:t>992, 996</w:t>
      </w:r>
      <w:r>
        <w:rPr>
          <w:lang w:val="en-US"/>
        </w:rPr>
        <w:t xml:space="preserve"> = 1894 U.S. LEXIS </w:t>
      </w:r>
      <w:r w:rsidRPr="00171134">
        <w:rPr>
          <w:lang w:val="en-US"/>
        </w:rPr>
        <w:t>2234, 10 (1894)</w:t>
      </w:r>
      <w:r>
        <w:rPr>
          <w:lang w:val="en-US"/>
        </w:rPr>
        <w:t>.</w:t>
      </w:r>
    </w:p>
  </w:footnote>
  <w:footnote w:id="54">
    <w:p w14:paraId="7389F832" w14:textId="77777777" w:rsidR="00074551" w:rsidRPr="00DD479B" w:rsidRDefault="00074551" w:rsidP="00074551">
      <w:pPr>
        <w:pStyle w:val="Funotentext"/>
        <w:rPr>
          <w:lang w:val="en-US"/>
        </w:rPr>
      </w:pPr>
      <w:r>
        <w:rPr>
          <w:rStyle w:val="Funotenzeichen"/>
        </w:rPr>
        <w:footnoteRef/>
      </w:r>
      <w:r w:rsidRPr="00DD479B">
        <w:rPr>
          <w:lang w:val="en-US"/>
        </w:rPr>
        <w:t xml:space="preserve"> </w:t>
      </w:r>
      <w:r w:rsidRPr="008F73D7">
        <w:rPr>
          <w:i/>
          <w:lang w:val="en-US"/>
        </w:rPr>
        <w:t>Barden v. Northern P. R. Co.</w:t>
      </w:r>
      <w:r w:rsidRPr="00DD479B">
        <w:rPr>
          <w:lang w:val="en-US"/>
        </w:rPr>
        <w:t>, 154 U.S. 288, 317</w:t>
      </w:r>
      <w:r>
        <w:rPr>
          <w:lang w:val="en-US"/>
        </w:rPr>
        <w:t xml:space="preserve"> = 14 S. Ct. </w:t>
      </w:r>
      <w:r w:rsidRPr="00DD479B">
        <w:rPr>
          <w:lang w:val="en-US"/>
        </w:rPr>
        <w:t>1030, 1034</w:t>
      </w:r>
      <w:r>
        <w:rPr>
          <w:lang w:val="en-US"/>
        </w:rPr>
        <w:t xml:space="preserve"> = 38 L. Ed. </w:t>
      </w:r>
      <w:r w:rsidRPr="00DD479B">
        <w:rPr>
          <w:lang w:val="en-US"/>
        </w:rPr>
        <w:t>992, 998</w:t>
      </w:r>
      <w:r>
        <w:rPr>
          <w:lang w:val="en-US"/>
        </w:rPr>
        <w:t xml:space="preserve"> = 1894 U.S. LEXIS </w:t>
      </w:r>
      <w:r w:rsidRPr="00DD479B">
        <w:rPr>
          <w:lang w:val="en-US"/>
        </w:rPr>
        <w:t>2234, 54 (1894)</w:t>
      </w:r>
      <w:r>
        <w:rPr>
          <w:lang w:val="en-US"/>
        </w:rPr>
        <w:t>.</w:t>
      </w:r>
    </w:p>
  </w:footnote>
  <w:footnote w:id="55">
    <w:p w14:paraId="0F037FAB" w14:textId="77777777" w:rsidR="00074551" w:rsidRPr="00F91CA7" w:rsidRDefault="00074551" w:rsidP="00074551">
      <w:pPr>
        <w:pStyle w:val="Funotentext"/>
        <w:rPr>
          <w:lang w:val="en-US"/>
        </w:rPr>
      </w:pPr>
      <w:r>
        <w:rPr>
          <w:rStyle w:val="Funotenzeichen"/>
        </w:rPr>
        <w:footnoteRef/>
      </w:r>
      <w:r w:rsidRPr="00F91CA7">
        <w:rPr>
          <w:lang w:val="en-US"/>
        </w:rPr>
        <w:t xml:space="preserve"> </w:t>
      </w:r>
      <w:r w:rsidRPr="008F73D7">
        <w:rPr>
          <w:i/>
          <w:lang w:val="en-US"/>
        </w:rPr>
        <w:t>Barden v. Northern P. R. Co.</w:t>
      </w:r>
      <w:r w:rsidRPr="00F91CA7">
        <w:rPr>
          <w:lang w:val="en-US"/>
        </w:rPr>
        <w:t>, 154 U.S. 288, 325</w:t>
      </w:r>
      <w:r>
        <w:rPr>
          <w:lang w:val="en-US"/>
        </w:rPr>
        <w:t xml:space="preserve"> = 14 S. Ct. </w:t>
      </w:r>
      <w:r w:rsidRPr="00F91CA7">
        <w:rPr>
          <w:lang w:val="en-US"/>
        </w:rPr>
        <w:t>1030, 1037</w:t>
      </w:r>
      <w:r>
        <w:rPr>
          <w:lang w:val="en-US"/>
        </w:rPr>
        <w:t xml:space="preserve"> = 38 L. Ed. </w:t>
      </w:r>
      <w:r w:rsidRPr="00F91CA7">
        <w:rPr>
          <w:lang w:val="en-US"/>
        </w:rPr>
        <w:t>992, 1001</w:t>
      </w:r>
      <w:r>
        <w:rPr>
          <w:lang w:val="en-US"/>
        </w:rPr>
        <w:t xml:space="preserve"> = 1894 U.S. LEXIS </w:t>
      </w:r>
      <w:r w:rsidRPr="00F91CA7">
        <w:rPr>
          <w:lang w:val="en-US"/>
        </w:rPr>
        <w:t>2234, 69 (1894)</w:t>
      </w:r>
      <w:r>
        <w:rPr>
          <w:lang w:val="en-US"/>
        </w:rPr>
        <w:t>.</w:t>
      </w:r>
    </w:p>
  </w:footnote>
  <w:footnote w:id="56">
    <w:p w14:paraId="14456D02" w14:textId="1EE23CD6" w:rsidR="00074551" w:rsidRPr="00F91CA7" w:rsidRDefault="00074551" w:rsidP="00074551">
      <w:pPr>
        <w:pStyle w:val="Funotentext"/>
        <w:rPr>
          <w:lang w:val="en-US"/>
        </w:rPr>
      </w:pPr>
      <w:r>
        <w:rPr>
          <w:rStyle w:val="Funotenzeichen"/>
        </w:rPr>
        <w:footnoteRef/>
      </w:r>
      <w:r w:rsidRPr="00F91CA7">
        <w:rPr>
          <w:lang w:val="en-US"/>
        </w:rPr>
        <w:t xml:space="preserve"> </w:t>
      </w:r>
      <w:r>
        <w:rPr>
          <w:lang w:val="en-US"/>
        </w:rPr>
        <w:t>„</w:t>
      </w:r>
      <w:r w:rsidRPr="00E744C5">
        <w:rPr>
          <w:lang w:val="en-US"/>
        </w:rPr>
        <w:t xml:space="preserve">The Senators and Representatives shall receive a Compensation for their Services, to be ascertained by Law, and paid out of the Treasury of the United States. They shall in all Cases, except Treason, Felony and Breach of the Peace, be privileged from Arrest during their Attendance at the Session of their respective Houses, and in going to and returning from the same; and for any Speech or Debate in either House, they shall not be questioned in any other </w:t>
      </w:r>
      <w:proofErr w:type="gramStart"/>
      <w:r w:rsidRPr="00E744C5">
        <w:rPr>
          <w:lang w:val="en-US"/>
        </w:rPr>
        <w:t>Place</w:t>
      </w:r>
      <w:r>
        <w:rPr>
          <w:lang w:val="en-US"/>
        </w:rPr>
        <w:t>“</w:t>
      </w:r>
      <w:proofErr w:type="gramEnd"/>
      <w:r>
        <w:rPr>
          <w:lang w:val="en-US"/>
        </w:rPr>
        <w:t xml:space="preserve">, </w:t>
      </w:r>
      <w:proofErr w:type="spellStart"/>
      <w:r>
        <w:rPr>
          <w:lang w:val="en-US"/>
        </w:rPr>
        <w:t>vgl</w:t>
      </w:r>
      <w:proofErr w:type="spellEnd"/>
      <w:r>
        <w:rPr>
          <w:lang w:val="en-US"/>
        </w:rPr>
        <w:t xml:space="preserve">. </w:t>
      </w:r>
      <w:bookmarkStart w:id="7" w:name="_Hlk228717662"/>
      <w:r w:rsidR="00023A37">
        <w:rPr>
          <w:lang w:val="en-US"/>
        </w:rPr>
        <w:t>U.S. Const. art. I, § 6, cl. 1</w:t>
      </w:r>
      <w:r>
        <w:rPr>
          <w:lang w:val="en-US"/>
        </w:rPr>
        <w:t xml:space="preserve">; </w:t>
      </w:r>
      <w:bookmarkEnd w:id="7"/>
      <w:r w:rsidRPr="008F73D7">
        <w:rPr>
          <w:i/>
          <w:lang w:val="en-US"/>
        </w:rPr>
        <w:t>Charles River Bridge Co. v. Warren Bridge Co.</w:t>
      </w:r>
      <w:r w:rsidRPr="00F91CA7">
        <w:rPr>
          <w:lang w:val="en-US"/>
        </w:rPr>
        <w:t>, 11 Pet. 420, 547</w:t>
      </w:r>
      <w:r>
        <w:rPr>
          <w:lang w:val="en-US"/>
        </w:rPr>
        <w:t xml:space="preserve">; </w:t>
      </w:r>
      <w:r w:rsidRPr="008F73D7">
        <w:rPr>
          <w:i/>
          <w:lang w:val="en-US"/>
        </w:rPr>
        <w:t>Barden v. Northern P. R. Co.</w:t>
      </w:r>
      <w:r w:rsidRPr="00F91CA7">
        <w:rPr>
          <w:lang w:val="en-US"/>
        </w:rPr>
        <w:t>, 154 U.S. 288, 325</w:t>
      </w:r>
      <w:r>
        <w:rPr>
          <w:lang w:val="en-US"/>
        </w:rPr>
        <w:t xml:space="preserve"> = 14 S. Ct. </w:t>
      </w:r>
      <w:r w:rsidRPr="00F91CA7">
        <w:rPr>
          <w:lang w:val="en-US"/>
        </w:rPr>
        <w:t>1030, 1037</w:t>
      </w:r>
      <w:r>
        <w:rPr>
          <w:lang w:val="en-US"/>
        </w:rPr>
        <w:t xml:space="preserve"> = 38 L. Ed. </w:t>
      </w:r>
      <w:r w:rsidRPr="00F91CA7">
        <w:rPr>
          <w:lang w:val="en-US"/>
        </w:rPr>
        <w:t>992, 1001</w:t>
      </w:r>
      <w:r>
        <w:rPr>
          <w:lang w:val="en-US"/>
        </w:rPr>
        <w:t xml:space="preserve"> = 1894 U.S. LEXIS </w:t>
      </w:r>
      <w:r w:rsidRPr="00F91CA7">
        <w:rPr>
          <w:lang w:val="en-US"/>
        </w:rPr>
        <w:t>2234, 69 (1894)</w:t>
      </w:r>
      <w:r>
        <w:rPr>
          <w:lang w:val="en-US"/>
        </w:rPr>
        <w:t>.</w:t>
      </w:r>
    </w:p>
  </w:footnote>
  <w:footnote w:id="57">
    <w:p w14:paraId="4673ADCF" w14:textId="77777777" w:rsidR="00074551" w:rsidRPr="001B18E6" w:rsidRDefault="00074551" w:rsidP="00074551">
      <w:pPr>
        <w:pStyle w:val="Funotentext"/>
        <w:rPr>
          <w:lang w:val="en-US"/>
        </w:rPr>
      </w:pPr>
      <w:r>
        <w:rPr>
          <w:rStyle w:val="Funotenzeichen"/>
        </w:rPr>
        <w:footnoteRef/>
      </w:r>
      <w:r w:rsidRPr="001B18E6">
        <w:rPr>
          <w:lang w:val="en-US"/>
        </w:rPr>
        <w:t xml:space="preserve"> </w:t>
      </w:r>
      <w:r>
        <w:rPr>
          <w:lang w:val="en-US"/>
        </w:rPr>
        <w:t>„</w:t>
      </w:r>
      <w:r w:rsidRPr="001B18E6">
        <w:rPr>
          <w:lang w:val="en-US"/>
        </w:rPr>
        <w:t xml:space="preserve">The rights of the prior appropriator are especially active in time of water </w:t>
      </w:r>
      <w:proofErr w:type="gramStart"/>
      <w:r w:rsidRPr="001B18E6">
        <w:rPr>
          <w:lang w:val="en-US"/>
        </w:rPr>
        <w:t>deficiency</w:t>
      </w:r>
      <w:r>
        <w:rPr>
          <w:lang w:val="en-US"/>
        </w:rPr>
        <w:t>“</w:t>
      </w:r>
      <w:proofErr w:type="gramEnd"/>
      <w:r>
        <w:rPr>
          <w:lang w:val="en-US"/>
        </w:rPr>
        <w:t>, in</w:t>
      </w:r>
      <w:r w:rsidRPr="001B18E6">
        <w:rPr>
          <w:lang w:val="en-US"/>
        </w:rPr>
        <w:t xml:space="preserve"> </w:t>
      </w:r>
      <w:r w:rsidRPr="00B45592">
        <w:rPr>
          <w:i/>
          <w:iCs/>
          <w:lang w:val="en-US"/>
        </w:rPr>
        <w:t>Avery v. Johnson</w:t>
      </w:r>
      <w:r w:rsidRPr="001B18E6">
        <w:rPr>
          <w:lang w:val="en-US"/>
        </w:rPr>
        <w:t xml:space="preserve">, 59 Wash. 332; </w:t>
      </w:r>
      <w:r w:rsidRPr="00B45592">
        <w:rPr>
          <w:i/>
          <w:iCs/>
          <w:lang w:val="en-US"/>
        </w:rPr>
        <w:t>Huning v. Porter</w:t>
      </w:r>
      <w:r w:rsidRPr="001B18E6">
        <w:rPr>
          <w:lang w:val="en-US"/>
        </w:rPr>
        <w:t xml:space="preserve">, 6 Ariz. 171; 1 </w:t>
      </w:r>
      <w:r w:rsidRPr="00B45592">
        <w:rPr>
          <w:i/>
          <w:iCs/>
          <w:lang w:val="en-US"/>
        </w:rPr>
        <w:t>Wiel</w:t>
      </w:r>
      <w:r w:rsidRPr="001B18E6">
        <w:rPr>
          <w:lang w:val="en-US"/>
        </w:rPr>
        <w:t xml:space="preserve">, Water Rights, </w:t>
      </w:r>
      <w:r>
        <w:rPr>
          <w:lang w:val="en-US"/>
        </w:rPr>
        <w:t>§ </w:t>
      </w:r>
      <w:r w:rsidRPr="001B18E6">
        <w:rPr>
          <w:lang w:val="en-US"/>
        </w:rPr>
        <w:t>301</w:t>
      </w:r>
      <w:r>
        <w:rPr>
          <w:lang w:val="en-US"/>
        </w:rPr>
        <w:t xml:space="preserve">; </w:t>
      </w:r>
      <w:r w:rsidRPr="008F73D7">
        <w:rPr>
          <w:i/>
          <w:lang w:val="en-US"/>
        </w:rPr>
        <w:t>Wyoming v. Colorado</w:t>
      </w:r>
      <w:r w:rsidRPr="001B18E6">
        <w:rPr>
          <w:lang w:val="en-US"/>
        </w:rPr>
        <w:t>, 259 U.S. 419, 455</w:t>
      </w:r>
      <w:r>
        <w:rPr>
          <w:lang w:val="en-US"/>
        </w:rPr>
        <w:t xml:space="preserve"> = 42 S. Ct. </w:t>
      </w:r>
      <w:r w:rsidRPr="001B18E6">
        <w:rPr>
          <w:lang w:val="en-US"/>
        </w:rPr>
        <w:t>552, 554</w:t>
      </w:r>
      <w:r>
        <w:rPr>
          <w:lang w:val="en-US"/>
        </w:rPr>
        <w:t xml:space="preserve"> = 66 L. Ed. </w:t>
      </w:r>
      <w:r w:rsidRPr="001B18E6">
        <w:rPr>
          <w:lang w:val="en-US"/>
        </w:rPr>
        <w:t>999, 1009</w:t>
      </w:r>
      <w:r>
        <w:rPr>
          <w:lang w:val="en-US"/>
        </w:rPr>
        <w:t xml:space="preserve"> = 1922 U.S. LEXIS </w:t>
      </w:r>
      <w:r w:rsidRPr="001B18E6">
        <w:rPr>
          <w:lang w:val="en-US"/>
        </w:rPr>
        <w:t>2492, 6 (1922)</w:t>
      </w:r>
      <w:r>
        <w:rPr>
          <w:lang w:val="en-US"/>
        </w:rPr>
        <w:t>.</w:t>
      </w:r>
    </w:p>
  </w:footnote>
  <w:footnote w:id="58">
    <w:p w14:paraId="5EDFADFF" w14:textId="77777777" w:rsidR="00074551" w:rsidRPr="00AC279A" w:rsidRDefault="00074551" w:rsidP="00074551">
      <w:pPr>
        <w:pStyle w:val="Funotentext"/>
        <w:rPr>
          <w:lang w:val="en-US"/>
        </w:rPr>
      </w:pPr>
      <w:r>
        <w:rPr>
          <w:rStyle w:val="Funotenzeichen"/>
        </w:rPr>
        <w:footnoteRef/>
      </w:r>
      <w:r w:rsidRPr="00AC279A">
        <w:rPr>
          <w:lang w:val="en-US"/>
        </w:rPr>
        <w:t xml:space="preserve"> </w:t>
      </w:r>
      <w:r w:rsidRPr="008F73D7">
        <w:rPr>
          <w:i/>
          <w:lang w:val="en-US"/>
        </w:rPr>
        <w:t>Wyoming v. Colorado</w:t>
      </w:r>
      <w:r w:rsidRPr="00AC279A">
        <w:rPr>
          <w:lang w:val="en-US"/>
        </w:rPr>
        <w:t>, 259 U.S. 419, 455</w:t>
      </w:r>
      <w:r>
        <w:rPr>
          <w:lang w:val="en-US"/>
        </w:rPr>
        <w:t xml:space="preserve"> = 42 S. Ct. </w:t>
      </w:r>
      <w:r w:rsidRPr="00AC279A">
        <w:rPr>
          <w:lang w:val="en-US"/>
        </w:rPr>
        <w:t>552, 554</w:t>
      </w:r>
      <w:r>
        <w:rPr>
          <w:lang w:val="en-US"/>
        </w:rPr>
        <w:t xml:space="preserve"> = 66 L. Ed. </w:t>
      </w:r>
      <w:r w:rsidRPr="00AC279A">
        <w:rPr>
          <w:lang w:val="en-US"/>
        </w:rPr>
        <w:t>999, 1009</w:t>
      </w:r>
      <w:r>
        <w:rPr>
          <w:lang w:val="en-US"/>
        </w:rPr>
        <w:t xml:space="preserve"> = 1922 U.S. LEXIS </w:t>
      </w:r>
      <w:r w:rsidRPr="00AC279A">
        <w:rPr>
          <w:lang w:val="en-US"/>
        </w:rPr>
        <w:t>2492, 1 (1922)</w:t>
      </w:r>
      <w:r>
        <w:rPr>
          <w:lang w:val="en-US"/>
        </w:rPr>
        <w:t>.</w:t>
      </w:r>
    </w:p>
  </w:footnote>
  <w:footnote w:id="59">
    <w:p w14:paraId="4622FAA2" w14:textId="77777777" w:rsidR="00074551" w:rsidRPr="005D7B0B" w:rsidRDefault="00074551" w:rsidP="00074551">
      <w:pPr>
        <w:pStyle w:val="Funotentext"/>
        <w:rPr>
          <w:lang w:val="en-US"/>
        </w:rPr>
      </w:pPr>
      <w:r>
        <w:rPr>
          <w:rStyle w:val="Funotenzeichen"/>
        </w:rPr>
        <w:footnoteRef/>
      </w:r>
      <w:r w:rsidRPr="005D7B0B">
        <w:rPr>
          <w:lang w:val="en-US"/>
        </w:rPr>
        <w:t xml:space="preserve"> </w:t>
      </w:r>
      <w:r w:rsidRPr="008F73D7">
        <w:rPr>
          <w:i/>
          <w:lang w:val="en-US"/>
        </w:rPr>
        <w:t>Wyoming v. Colorado</w:t>
      </w:r>
      <w:r w:rsidRPr="005D7B0B">
        <w:rPr>
          <w:lang w:val="en-US"/>
        </w:rPr>
        <w:t>, 259 U.S. 419, 468</w:t>
      </w:r>
      <w:r>
        <w:rPr>
          <w:lang w:val="en-US"/>
        </w:rPr>
        <w:t xml:space="preserve"> = 42 S. Ct. </w:t>
      </w:r>
      <w:r w:rsidRPr="005D7B0B">
        <w:rPr>
          <w:lang w:val="en-US"/>
        </w:rPr>
        <w:t>552, 558</w:t>
      </w:r>
      <w:r>
        <w:rPr>
          <w:lang w:val="en-US"/>
        </w:rPr>
        <w:t xml:space="preserve"> = 66 L. Ed. </w:t>
      </w:r>
      <w:r w:rsidRPr="005D7B0B">
        <w:rPr>
          <w:lang w:val="en-US"/>
        </w:rPr>
        <w:t>999, 1015</w:t>
      </w:r>
      <w:r>
        <w:rPr>
          <w:lang w:val="en-US"/>
        </w:rPr>
        <w:t xml:space="preserve"> = 1922 U.S. LEXIS </w:t>
      </w:r>
      <w:r w:rsidRPr="005D7B0B">
        <w:rPr>
          <w:lang w:val="en-US"/>
        </w:rPr>
        <w:t>2492, 82 (1922)</w:t>
      </w:r>
      <w:r>
        <w:rPr>
          <w:lang w:val="en-US"/>
        </w:rPr>
        <w:t>.</w:t>
      </w:r>
    </w:p>
  </w:footnote>
  <w:footnote w:id="60">
    <w:p w14:paraId="46F60160" w14:textId="77777777" w:rsidR="00074551" w:rsidRPr="003F0268" w:rsidRDefault="00074551" w:rsidP="00074551">
      <w:pPr>
        <w:pStyle w:val="Funotentext"/>
        <w:rPr>
          <w:lang w:val="en-US"/>
        </w:rPr>
      </w:pPr>
      <w:r>
        <w:rPr>
          <w:rStyle w:val="Funotenzeichen"/>
        </w:rPr>
        <w:footnoteRef/>
      </w:r>
      <w:r w:rsidRPr="003F0268">
        <w:rPr>
          <w:lang w:val="en-US"/>
        </w:rPr>
        <w:t xml:space="preserve"> </w:t>
      </w:r>
      <w:r w:rsidRPr="008F73D7">
        <w:rPr>
          <w:i/>
          <w:lang w:val="en-US"/>
        </w:rPr>
        <w:t>Wyoming v. Colorado</w:t>
      </w:r>
      <w:r w:rsidRPr="003F0268">
        <w:rPr>
          <w:lang w:val="en-US"/>
        </w:rPr>
        <w:t>, 259 U.S. 419, 468</w:t>
      </w:r>
      <w:r>
        <w:rPr>
          <w:lang w:val="en-US"/>
        </w:rPr>
        <w:t xml:space="preserve"> = 42 S. Ct. </w:t>
      </w:r>
      <w:r w:rsidRPr="003F0268">
        <w:rPr>
          <w:lang w:val="en-US"/>
        </w:rPr>
        <w:t>552, 558</w:t>
      </w:r>
      <w:r>
        <w:rPr>
          <w:lang w:val="en-US"/>
        </w:rPr>
        <w:t xml:space="preserve"> = 66 L. Ed. </w:t>
      </w:r>
      <w:r w:rsidRPr="003F0268">
        <w:rPr>
          <w:lang w:val="en-US"/>
        </w:rPr>
        <w:t>999, 1015</w:t>
      </w:r>
      <w:r>
        <w:rPr>
          <w:lang w:val="en-US"/>
        </w:rPr>
        <w:t xml:space="preserve"> = 1922 U.S. LEXIS </w:t>
      </w:r>
      <w:r w:rsidRPr="003F0268">
        <w:rPr>
          <w:lang w:val="en-US"/>
        </w:rPr>
        <w:t>2492, 82 (1922)</w:t>
      </w:r>
      <w:r>
        <w:rPr>
          <w:lang w:val="en-US"/>
        </w:rPr>
        <w:t>.</w:t>
      </w:r>
    </w:p>
  </w:footnote>
  <w:footnote w:id="61">
    <w:p w14:paraId="669FA89F" w14:textId="77777777" w:rsidR="00074551" w:rsidRPr="007A6915" w:rsidRDefault="00074551" w:rsidP="00074551">
      <w:pPr>
        <w:pStyle w:val="Funotentext"/>
        <w:rPr>
          <w:lang w:val="en-US"/>
        </w:rPr>
      </w:pPr>
      <w:r>
        <w:rPr>
          <w:rStyle w:val="Funotenzeichen"/>
        </w:rPr>
        <w:footnoteRef/>
      </w:r>
      <w:r w:rsidRPr="007A6915">
        <w:rPr>
          <w:lang w:val="en-US"/>
        </w:rPr>
        <w:t xml:space="preserve"> </w:t>
      </w:r>
      <w:r>
        <w:rPr>
          <w:lang w:val="en-US"/>
        </w:rPr>
        <w:t>„</w:t>
      </w:r>
      <w:r w:rsidRPr="007A6915">
        <w:rPr>
          <w:lang w:val="en-US"/>
        </w:rPr>
        <w:t>The bill construes the decree as determining the rights of the two States in the waters of the Laramie by according to Colorado</w:t>
      </w:r>
      <w:r>
        <w:rPr>
          <w:lang w:val="en-US"/>
        </w:rPr>
        <w:t>:</w:t>
      </w:r>
      <w:r w:rsidRPr="007A6915">
        <w:rPr>
          <w:lang w:val="en-US"/>
        </w:rPr>
        <w:t xml:space="preserve"> 1. 18,000 acre feet of water per annum by reason of the Skyline ditch appropriation; 2. 4,250 acre feet of water per annum by reason of certain meadowland appropriations; 3. A relatively small amount of water appropriated prior to 1902 through the Wilson Supply ditch from the headwaters of Deadman Creek, a Colorado tributary of the Laramie; and 4. 15,500 acre feet of water per annum by reason of the Laramie-Poudre tunnel appropriation, making an aggregate of 37,750 acre feet per annum, apart from the Wilson Supply ditch appropriation; and by according to Wyoming 272,500 acre feet of water per annum by reason of appropriations in that State</w:t>
      </w:r>
      <w:r>
        <w:rPr>
          <w:lang w:val="en-US"/>
        </w:rPr>
        <w:t>“</w:t>
      </w:r>
      <w:r w:rsidRPr="007A6915">
        <w:rPr>
          <w:lang w:val="en-US"/>
        </w:rPr>
        <w:t xml:space="preserve">, </w:t>
      </w:r>
      <w:proofErr w:type="spellStart"/>
      <w:r w:rsidRPr="007A6915">
        <w:rPr>
          <w:lang w:val="en-US"/>
        </w:rPr>
        <w:t>vgl</w:t>
      </w:r>
      <w:proofErr w:type="spellEnd"/>
      <w:r w:rsidRPr="007A6915">
        <w:rPr>
          <w:lang w:val="en-US"/>
        </w:rPr>
        <w:t xml:space="preserve">. </w:t>
      </w:r>
      <w:r w:rsidRPr="008F73D7">
        <w:rPr>
          <w:i/>
          <w:lang w:val="en-US"/>
        </w:rPr>
        <w:t>Wyoming v. Colorado</w:t>
      </w:r>
      <w:r w:rsidRPr="007A6915">
        <w:rPr>
          <w:lang w:val="en-US"/>
        </w:rPr>
        <w:t>, 286 U.S. 494, 496</w:t>
      </w:r>
      <w:r>
        <w:rPr>
          <w:lang w:val="en-US"/>
        </w:rPr>
        <w:t xml:space="preserve"> = 52 S. Ct. </w:t>
      </w:r>
      <w:r w:rsidRPr="007A6915">
        <w:rPr>
          <w:lang w:val="en-US"/>
        </w:rPr>
        <w:t>621, 622</w:t>
      </w:r>
      <w:r>
        <w:rPr>
          <w:lang w:val="en-US"/>
        </w:rPr>
        <w:t xml:space="preserve"> = 76 L. Ed. </w:t>
      </w:r>
      <w:r w:rsidRPr="007A6915">
        <w:rPr>
          <w:lang w:val="en-US"/>
        </w:rPr>
        <w:t>1245, 1246</w:t>
      </w:r>
      <w:r>
        <w:rPr>
          <w:lang w:val="en-US"/>
        </w:rPr>
        <w:t xml:space="preserve"> = 1932 U.S. LEXIS </w:t>
      </w:r>
      <w:r w:rsidRPr="007A6915">
        <w:rPr>
          <w:lang w:val="en-US"/>
        </w:rPr>
        <w:t>775, 3</w:t>
      </w:r>
      <w:r>
        <w:rPr>
          <w:lang w:val="en-US"/>
        </w:rPr>
        <w:t>–</w:t>
      </w:r>
      <w:r w:rsidRPr="007A6915">
        <w:rPr>
          <w:lang w:val="en-US"/>
        </w:rPr>
        <w:t>4 (1932)</w:t>
      </w:r>
      <w:r>
        <w:rPr>
          <w:lang w:val="en-US"/>
        </w:rPr>
        <w:t>.</w:t>
      </w:r>
    </w:p>
  </w:footnote>
  <w:footnote w:id="62">
    <w:p w14:paraId="1614D96B" w14:textId="77777777" w:rsidR="00074551" w:rsidRPr="007A6915" w:rsidRDefault="00074551" w:rsidP="00074551">
      <w:pPr>
        <w:pStyle w:val="Funotentext"/>
        <w:rPr>
          <w:lang w:val="en-US"/>
        </w:rPr>
      </w:pPr>
      <w:r>
        <w:rPr>
          <w:rStyle w:val="Funotenzeichen"/>
        </w:rPr>
        <w:footnoteRef/>
      </w:r>
      <w:r w:rsidRPr="007A6915">
        <w:rPr>
          <w:lang w:val="en-US"/>
        </w:rPr>
        <w:t xml:space="preserve"> </w:t>
      </w:r>
      <w:r w:rsidRPr="008F73D7">
        <w:rPr>
          <w:i/>
          <w:lang w:val="en-US"/>
        </w:rPr>
        <w:t>Wyoming v. Colorado</w:t>
      </w:r>
      <w:r w:rsidRPr="007A6915">
        <w:rPr>
          <w:lang w:val="en-US"/>
        </w:rPr>
        <w:t>, 286 U.S. 494, 495</w:t>
      </w:r>
      <w:r>
        <w:rPr>
          <w:lang w:val="en-US"/>
        </w:rPr>
        <w:t xml:space="preserve"> = 52 S. Ct. </w:t>
      </w:r>
      <w:r w:rsidRPr="007A6915">
        <w:rPr>
          <w:lang w:val="en-US"/>
        </w:rPr>
        <w:t>621, 622</w:t>
      </w:r>
      <w:r>
        <w:rPr>
          <w:lang w:val="en-US"/>
        </w:rPr>
        <w:t xml:space="preserve"> = 76 L. Ed. </w:t>
      </w:r>
      <w:r w:rsidRPr="007A6915">
        <w:rPr>
          <w:lang w:val="en-US"/>
        </w:rPr>
        <w:t>1245, 1245</w:t>
      </w:r>
      <w:r>
        <w:rPr>
          <w:lang w:val="en-US"/>
        </w:rPr>
        <w:t xml:space="preserve"> = 1932 U.S. LEXIS </w:t>
      </w:r>
      <w:r w:rsidRPr="007A6915">
        <w:rPr>
          <w:lang w:val="en-US"/>
        </w:rPr>
        <w:t>775, 1 (1932)</w:t>
      </w:r>
      <w:r>
        <w:rPr>
          <w:lang w:val="en-US"/>
        </w:rPr>
        <w:t>.</w:t>
      </w:r>
    </w:p>
  </w:footnote>
  <w:footnote w:id="63">
    <w:p w14:paraId="38E5A8CD" w14:textId="77777777" w:rsidR="00074551" w:rsidRPr="00BA4161" w:rsidRDefault="00074551" w:rsidP="00074551">
      <w:pPr>
        <w:pStyle w:val="Funotentext"/>
        <w:rPr>
          <w:lang w:val="en-US"/>
        </w:rPr>
      </w:pPr>
      <w:r>
        <w:rPr>
          <w:rStyle w:val="Funotenzeichen"/>
        </w:rPr>
        <w:footnoteRef/>
      </w:r>
      <w:r w:rsidRPr="00BA4161">
        <w:rPr>
          <w:lang w:val="en-US"/>
        </w:rPr>
        <w:t xml:space="preserve"> </w:t>
      </w:r>
      <w:r w:rsidRPr="008F73D7">
        <w:rPr>
          <w:i/>
          <w:lang w:val="en-US"/>
        </w:rPr>
        <w:t xml:space="preserve">Wyoming v. </w:t>
      </w:r>
      <w:r w:rsidRPr="00B45592">
        <w:rPr>
          <w:i/>
          <w:iCs/>
          <w:lang w:val="en-US"/>
        </w:rPr>
        <w:t>Colorado</w:t>
      </w:r>
      <w:r>
        <w:rPr>
          <w:lang w:val="en-US"/>
        </w:rPr>
        <w:t xml:space="preserve">, </w:t>
      </w:r>
      <w:r w:rsidRPr="00BA4161">
        <w:rPr>
          <w:lang w:val="en-US"/>
        </w:rPr>
        <w:t xml:space="preserve">259 </w:t>
      </w:r>
      <w:r>
        <w:rPr>
          <w:lang w:val="en-US"/>
        </w:rPr>
        <w:t>U.S.</w:t>
      </w:r>
      <w:r w:rsidRPr="00BA4161">
        <w:rPr>
          <w:lang w:val="en-US"/>
        </w:rPr>
        <w:t xml:space="preserve"> 419</w:t>
      </w:r>
      <w:r>
        <w:rPr>
          <w:lang w:val="en-US"/>
        </w:rPr>
        <w:t xml:space="preserve"> =</w:t>
      </w:r>
      <w:r w:rsidRPr="00BA4161">
        <w:rPr>
          <w:lang w:val="en-US"/>
        </w:rPr>
        <w:t xml:space="preserve"> 66 L. </w:t>
      </w:r>
      <w:r>
        <w:rPr>
          <w:lang w:val="en-US"/>
        </w:rPr>
        <w:t>E</w:t>
      </w:r>
      <w:r w:rsidRPr="00BA4161">
        <w:rPr>
          <w:lang w:val="en-US"/>
        </w:rPr>
        <w:t>d. 999</w:t>
      </w:r>
      <w:r>
        <w:rPr>
          <w:lang w:val="en-US"/>
        </w:rPr>
        <w:t xml:space="preserve"> = 42 S. Ct. </w:t>
      </w:r>
      <w:r w:rsidRPr="00BA4161">
        <w:rPr>
          <w:lang w:val="en-US"/>
        </w:rPr>
        <w:t>552; </w:t>
      </w:r>
      <w:r w:rsidRPr="008F73D7">
        <w:rPr>
          <w:i/>
          <w:lang w:val="en-US"/>
        </w:rPr>
        <w:t>Wyoming v.</w:t>
      </w:r>
      <w:r w:rsidRPr="005C6676">
        <w:rPr>
          <w:i/>
          <w:iCs/>
          <w:lang w:val="en-US"/>
        </w:rPr>
        <w:t xml:space="preserve"> </w:t>
      </w:r>
      <w:r w:rsidRPr="009A161C">
        <w:rPr>
          <w:i/>
          <w:iCs/>
          <w:lang w:val="en-US"/>
        </w:rPr>
        <w:t>Colorado</w:t>
      </w:r>
      <w:r>
        <w:rPr>
          <w:iCs/>
          <w:lang w:val="en-US"/>
        </w:rPr>
        <w:t>,</w:t>
      </w:r>
      <w:r w:rsidRPr="008F73D7">
        <w:rPr>
          <w:i/>
          <w:lang w:val="en-US"/>
        </w:rPr>
        <w:t xml:space="preserve"> </w:t>
      </w:r>
      <w:r w:rsidRPr="00BA4161">
        <w:rPr>
          <w:lang w:val="en-US"/>
        </w:rPr>
        <w:t xml:space="preserve">260 </w:t>
      </w:r>
      <w:r>
        <w:rPr>
          <w:lang w:val="en-US"/>
        </w:rPr>
        <w:t>U.S.</w:t>
      </w:r>
      <w:r w:rsidRPr="00BA4161">
        <w:rPr>
          <w:lang w:val="en-US"/>
        </w:rPr>
        <w:t xml:space="preserve"> 1</w:t>
      </w:r>
      <w:r>
        <w:rPr>
          <w:lang w:val="en-US"/>
        </w:rPr>
        <w:t xml:space="preserve"> =</w:t>
      </w:r>
      <w:r w:rsidRPr="00BA4161">
        <w:rPr>
          <w:lang w:val="en-US"/>
        </w:rPr>
        <w:t xml:space="preserve"> 66 L. </w:t>
      </w:r>
      <w:r>
        <w:rPr>
          <w:lang w:val="en-US"/>
        </w:rPr>
        <w:t>E</w:t>
      </w:r>
      <w:r w:rsidRPr="00BA4161">
        <w:rPr>
          <w:lang w:val="en-US"/>
        </w:rPr>
        <w:t>d. 1026</w:t>
      </w:r>
      <w:r>
        <w:rPr>
          <w:lang w:val="en-US"/>
        </w:rPr>
        <w:t xml:space="preserve"> =</w:t>
      </w:r>
      <w:r w:rsidRPr="00BA4161">
        <w:rPr>
          <w:lang w:val="en-US"/>
        </w:rPr>
        <w:t xml:space="preserve"> 43 S. Ct. 2</w:t>
      </w:r>
      <w:r>
        <w:rPr>
          <w:lang w:val="en-US"/>
        </w:rPr>
        <w:t xml:space="preserve">; </w:t>
      </w:r>
      <w:r w:rsidRPr="008F73D7">
        <w:rPr>
          <w:i/>
          <w:lang w:val="en-US"/>
        </w:rPr>
        <w:t>Wyoming v. Colorado</w:t>
      </w:r>
      <w:r w:rsidRPr="00B058F7">
        <w:rPr>
          <w:lang w:val="en-US"/>
        </w:rPr>
        <w:t>, 286 U.S. 494, 495</w:t>
      </w:r>
      <w:r>
        <w:rPr>
          <w:lang w:val="en-US"/>
        </w:rPr>
        <w:t xml:space="preserve"> = 52 S. Ct. </w:t>
      </w:r>
      <w:r w:rsidRPr="00B058F7">
        <w:rPr>
          <w:lang w:val="en-US"/>
        </w:rPr>
        <w:t>621, 622</w:t>
      </w:r>
      <w:r>
        <w:rPr>
          <w:lang w:val="en-US"/>
        </w:rPr>
        <w:t xml:space="preserve"> = 76 L. Ed. </w:t>
      </w:r>
      <w:r w:rsidRPr="00B058F7">
        <w:rPr>
          <w:lang w:val="en-US"/>
        </w:rPr>
        <w:t>1245, 1245</w:t>
      </w:r>
      <w:r>
        <w:rPr>
          <w:lang w:val="en-US"/>
        </w:rPr>
        <w:t xml:space="preserve"> = 1932 U.S. LEXIS </w:t>
      </w:r>
      <w:r w:rsidRPr="00B058F7">
        <w:rPr>
          <w:lang w:val="en-US"/>
        </w:rPr>
        <w:t>775, 1 (1932)</w:t>
      </w:r>
      <w:r>
        <w:rPr>
          <w:lang w:val="en-US"/>
        </w:rPr>
        <w:t>.</w:t>
      </w:r>
    </w:p>
  </w:footnote>
  <w:footnote w:id="64">
    <w:p w14:paraId="5D898C86" w14:textId="77777777" w:rsidR="00074551" w:rsidRPr="00BA4161" w:rsidRDefault="00074551" w:rsidP="00074551">
      <w:pPr>
        <w:pStyle w:val="Funotentext"/>
        <w:rPr>
          <w:lang w:val="en-US"/>
        </w:rPr>
      </w:pPr>
      <w:r>
        <w:rPr>
          <w:rStyle w:val="Funotenzeichen"/>
        </w:rPr>
        <w:footnoteRef/>
      </w:r>
      <w:r w:rsidRPr="00BA4161">
        <w:rPr>
          <w:lang w:val="en-US"/>
        </w:rPr>
        <w:t xml:space="preserve"> </w:t>
      </w:r>
      <w:r w:rsidRPr="008F73D7">
        <w:rPr>
          <w:i/>
          <w:lang w:val="en-US"/>
        </w:rPr>
        <w:t>Wyoming v. Colorado</w:t>
      </w:r>
      <w:r w:rsidRPr="00BA4161">
        <w:rPr>
          <w:lang w:val="en-US"/>
        </w:rPr>
        <w:t>, 286 U.S. 494, 502</w:t>
      </w:r>
      <w:r>
        <w:rPr>
          <w:lang w:val="en-US"/>
        </w:rPr>
        <w:t xml:space="preserve"> = 52 S. Ct. </w:t>
      </w:r>
      <w:r w:rsidRPr="00BA4161">
        <w:rPr>
          <w:lang w:val="en-US"/>
        </w:rPr>
        <w:t>621, 624</w:t>
      </w:r>
      <w:r>
        <w:rPr>
          <w:lang w:val="en-US"/>
        </w:rPr>
        <w:t xml:space="preserve"> = 76 L. Ed. </w:t>
      </w:r>
      <w:r w:rsidRPr="00BA4161">
        <w:rPr>
          <w:lang w:val="en-US"/>
        </w:rPr>
        <w:t>1245, 1249</w:t>
      </w:r>
      <w:r>
        <w:rPr>
          <w:lang w:val="en-US"/>
        </w:rPr>
        <w:t xml:space="preserve"> = 1932 U.S. LEXIS </w:t>
      </w:r>
      <w:r w:rsidRPr="00BA4161">
        <w:rPr>
          <w:lang w:val="en-US"/>
        </w:rPr>
        <w:t>775, 14 (1932)</w:t>
      </w:r>
      <w:r>
        <w:rPr>
          <w:lang w:val="en-US"/>
        </w:rPr>
        <w:t>.</w:t>
      </w:r>
    </w:p>
  </w:footnote>
  <w:footnote w:id="65">
    <w:p w14:paraId="00E0D889" w14:textId="77777777" w:rsidR="00074551" w:rsidRPr="00BA4161" w:rsidRDefault="00074551" w:rsidP="00074551">
      <w:pPr>
        <w:pStyle w:val="Funotentext"/>
        <w:rPr>
          <w:lang w:val="en-US"/>
        </w:rPr>
      </w:pPr>
      <w:r>
        <w:rPr>
          <w:rStyle w:val="Funotenzeichen"/>
        </w:rPr>
        <w:footnoteRef/>
      </w:r>
      <w:r w:rsidRPr="00BA4161">
        <w:rPr>
          <w:lang w:val="en-US"/>
        </w:rPr>
        <w:t xml:space="preserve"> </w:t>
      </w:r>
      <w:r w:rsidRPr="008F73D7">
        <w:rPr>
          <w:i/>
          <w:lang w:val="en-US"/>
        </w:rPr>
        <w:t>Wyoming v. Colorado</w:t>
      </w:r>
      <w:r w:rsidRPr="00BA4161">
        <w:rPr>
          <w:lang w:val="en-US"/>
        </w:rPr>
        <w:t>, 286 U.S. 494, 502</w:t>
      </w:r>
      <w:r>
        <w:rPr>
          <w:lang w:val="en-US"/>
        </w:rPr>
        <w:t xml:space="preserve"> = 52 S. Ct. </w:t>
      </w:r>
      <w:r w:rsidRPr="00BA4161">
        <w:rPr>
          <w:lang w:val="en-US"/>
        </w:rPr>
        <w:t>621, 624</w:t>
      </w:r>
      <w:r>
        <w:rPr>
          <w:lang w:val="en-US"/>
        </w:rPr>
        <w:t xml:space="preserve"> = 76 L. Ed. </w:t>
      </w:r>
      <w:r w:rsidRPr="00BA4161">
        <w:rPr>
          <w:lang w:val="en-US"/>
        </w:rPr>
        <w:t>1245, 1249</w:t>
      </w:r>
      <w:r>
        <w:rPr>
          <w:lang w:val="en-US"/>
        </w:rPr>
        <w:t xml:space="preserve"> = 1932 U.S. LEXIS </w:t>
      </w:r>
      <w:r w:rsidRPr="00BA4161">
        <w:rPr>
          <w:lang w:val="en-US"/>
        </w:rPr>
        <w:t>775, 14 (1932)</w:t>
      </w:r>
      <w:r>
        <w:rPr>
          <w:lang w:val="en-US"/>
        </w:rPr>
        <w:t>.</w:t>
      </w:r>
    </w:p>
  </w:footnote>
  <w:footnote w:id="66">
    <w:p w14:paraId="4CDFA9CE" w14:textId="77777777" w:rsidR="00074551" w:rsidRPr="00BA4161" w:rsidRDefault="00074551" w:rsidP="00074551">
      <w:pPr>
        <w:pStyle w:val="Funotentext"/>
        <w:rPr>
          <w:lang w:val="en-US"/>
        </w:rPr>
      </w:pPr>
      <w:r>
        <w:rPr>
          <w:rStyle w:val="Funotenzeichen"/>
        </w:rPr>
        <w:footnoteRef/>
      </w:r>
      <w:r w:rsidRPr="00BA4161">
        <w:rPr>
          <w:lang w:val="en-US"/>
        </w:rPr>
        <w:t xml:space="preserve"> </w:t>
      </w:r>
      <w:r w:rsidRPr="008F73D7">
        <w:rPr>
          <w:i/>
          <w:lang w:val="en-US"/>
        </w:rPr>
        <w:t>Wyoming v. Colorado</w:t>
      </w:r>
      <w:r w:rsidRPr="00BA4161">
        <w:rPr>
          <w:lang w:val="en-US"/>
        </w:rPr>
        <w:t>, 286 U.S. 494, 502</w:t>
      </w:r>
      <w:r>
        <w:rPr>
          <w:lang w:val="en-US"/>
        </w:rPr>
        <w:t xml:space="preserve"> = 52 S. Ct. </w:t>
      </w:r>
      <w:r w:rsidRPr="00BA4161">
        <w:rPr>
          <w:lang w:val="en-US"/>
        </w:rPr>
        <w:t>621, 624</w:t>
      </w:r>
      <w:r>
        <w:rPr>
          <w:lang w:val="en-US"/>
        </w:rPr>
        <w:t xml:space="preserve"> = 76 L. Ed. </w:t>
      </w:r>
      <w:r w:rsidRPr="00BA4161">
        <w:rPr>
          <w:lang w:val="en-US"/>
        </w:rPr>
        <w:t>1245, 1249</w:t>
      </w:r>
      <w:r>
        <w:rPr>
          <w:lang w:val="en-US"/>
        </w:rPr>
        <w:t xml:space="preserve"> = 1932 U.S. LEXIS </w:t>
      </w:r>
      <w:r w:rsidRPr="00BA4161">
        <w:rPr>
          <w:lang w:val="en-US"/>
        </w:rPr>
        <w:t>775, 14 (1932)</w:t>
      </w:r>
      <w:r>
        <w:rPr>
          <w:lang w:val="en-US"/>
        </w:rPr>
        <w:t>.</w:t>
      </w:r>
    </w:p>
  </w:footnote>
  <w:footnote w:id="67">
    <w:p w14:paraId="3B8219DB" w14:textId="77777777" w:rsidR="00074551" w:rsidRPr="00503916" w:rsidRDefault="00074551" w:rsidP="00074551">
      <w:pPr>
        <w:pStyle w:val="Funotentext"/>
      </w:pPr>
      <w:r>
        <w:rPr>
          <w:rStyle w:val="Funotenzeichen"/>
          <w:rFonts w:eastAsiaTheme="majorEastAsia"/>
        </w:rPr>
        <w:footnoteRef/>
      </w:r>
      <w:r w:rsidRPr="00503916">
        <w:t xml:space="preserve"> Entscheidung erging zusammen mit dem Fall </w:t>
      </w:r>
      <w:r w:rsidRPr="00B45592">
        <w:rPr>
          <w:i/>
          <w:iCs/>
        </w:rPr>
        <w:t>Kansas v. Ziebold</w:t>
      </w:r>
      <w:r w:rsidRPr="00503916">
        <w:t xml:space="preserve"> </w:t>
      </w:r>
      <w:r>
        <w:t xml:space="preserve">in </w:t>
      </w:r>
      <w:r w:rsidRPr="004F13B1">
        <w:rPr>
          <w:i/>
        </w:rPr>
        <w:t>Mugler v. Kansas</w:t>
      </w:r>
      <w:r w:rsidRPr="00503916">
        <w:t>, 123 U.S. 623, 653</w:t>
      </w:r>
      <w:r>
        <w:t xml:space="preserve"> = 8 S. Ct. </w:t>
      </w:r>
      <w:r w:rsidRPr="00503916">
        <w:t>273, 293</w:t>
      </w:r>
      <w:r>
        <w:t xml:space="preserve"> = 31 L. Ed. </w:t>
      </w:r>
      <w:r w:rsidRPr="00503916">
        <w:t>205, 207</w:t>
      </w:r>
      <w:r>
        <w:t xml:space="preserve"> = 1887 U.S. LEXIS </w:t>
      </w:r>
      <w:r w:rsidRPr="00503916">
        <w:t>2204, 1 (1887)</w:t>
      </w:r>
      <w:r>
        <w:t>.</w:t>
      </w:r>
    </w:p>
  </w:footnote>
  <w:footnote w:id="68">
    <w:p w14:paraId="0926B995" w14:textId="77777777" w:rsidR="00074551" w:rsidRPr="00051533" w:rsidRDefault="00074551" w:rsidP="00074551">
      <w:pPr>
        <w:pStyle w:val="Funotentext"/>
        <w:rPr>
          <w:lang w:val="en-US"/>
        </w:rPr>
      </w:pPr>
      <w:r>
        <w:rPr>
          <w:rStyle w:val="Funotenzeichen"/>
          <w:rFonts w:eastAsiaTheme="majorEastAsia"/>
        </w:rPr>
        <w:footnoteRef/>
      </w:r>
      <w:r w:rsidRPr="00051533">
        <w:rPr>
          <w:lang w:val="en-US"/>
        </w:rPr>
        <w:t xml:space="preserve"> </w:t>
      </w:r>
      <w:r w:rsidRPr="004F13B1">
        <w:rPr>
          <w:i/>
          <w:lang w:val="en-US"/>
        </w:rPr>
        <w:t>Mugler v. Kansas</w:t>
      </w:r>
      <w:r w:rsidRPr="00051533">
        <w:rPr>
          <w:lang w:val="en-US"/>
        </w:rPr>
        <w:t>, 123 U.S. 623, 668</w:t>
      </w:r>
      <w:r>
        <w:rPr>
          <w:lang w:val="en-US"/>
        </w:rPr>
        <w:t xml:space="preserve"> = 8 S. Ct. </w:t>
      </w:r>
      <w:r w:rsidRPr="00051533">
        <w:rPr>
          <w:lang w:val="en-US"/>
        </w:rPr>
        <w:t>273, 301</w:t>
      </w:r>
      <w:r>
        <w:rPr>
          <w:lang w:val="en-US"/>
        </w:rPr>
        <w:t xml:space="preserve"> = 31 L. Ed. </w:t>
      </w:r>
      <w:r w:rsidRPr="00051533">
        <w:rPr>
          <w:lang w:val="en-US"/>
        </w:rPr>
        <w:t>205, 213</w:t>
      </w:r>
      <w:r>
        <w:rPr>
          <w:lang w:val="en-US"/>
        </w:rPr>
        <w:t xml:space="preserve"> = 1887 U.S. LEXIS </w:t>
      </w:r>
      <w:r w:rsidRPr="00051533">
        <w:rPr>
          <w:lang w:val="en-US"/>
        </w:rPr>
        <w:t>2204, 85 (1887)</w:t>
      </w:r>
      <w:r>
        <w:rPr>
          <w:lang w:val="en-US"/>
        </w:rPr>
        <w:t>.</w:t>
      </w:r>
    </w:p>
  </w:footnote>
  <w:footnote w:id="69">
    <w:p w14:paraId="2DAA467F" w14:textId="77777777" w:rsidR="00074551" w:rsidRPr="00946846" w:rsidRDefault="00074551" w:rsidP="00074551">
      <w:pPr>
        <w:pStyle w:val="Funotentext"/>
        <w:rPr>
          <w:lang w:val="en-US"/>
        </w:rPr>
      </w:pPr>
      <w:r>
        <w:rPr>
          <w:rStyle w:val="Funotenzeichen"/>
          <w:rFonts w:eastAsiaTheme="majorEastAsia"/>
        </w:rPr>
        <w:footnoteRef/>
      </w:r>
      <w:r w:rsidRPr="00946846">
        <w:rPr>
          <w:lang w:val="en-US"/>
        </w:rPr>
        <w:t xml:space="preserve"> </w:t>
      </w:r>
      <w:r w:rsidRPr="004F13B1">
        <w:rPr>
          <w:i/>
          <w:lang w:val="en-US"/>
        </w:rPr>
        <w:t>Mugler v. Kansas</w:t>
      </w:r>
      <w:r w:rsidRPr="00946846">
        <w:rPr>
          <w:lang w:val="en-US"/>
        </w:rPr>
        <w:t>, 123 U.S. 623</w:t>
      </w:r>
      <w:r>
        <w:rPr>
          <w:lang w:val="en-US"/>
        </w:rPr>
        <w:t xml:space="preserve"> = 8 S. Ct. </w:t>
      </w:r>
      <w:r w:rsidRPr="00946846">
        <w:rPr>
          <w:lang w:val="en-US"/>
        </w:rPr>
        <w:t>273</w:t>
      </w:r>
      <w:r>
        <w:rPr>
          <w:lang w:val="en-US"/>
        </w:rPr>
        <w:t xml:space="preserve"> = 31 L. Ed. </w:t>
      </w:r>
      <w:r w:rsidRPr="00946846">
        <w:rPr>
          <w:lang w:val="en-US"/>
        </w:rPr>
        <w:t>205</w:t>
      </w:r>
      <w:r>
        <w:rPr>
          <w:lang w:val="en-US"/>
        </w:rPr>
        <w:t xml:space="preserve"> = 1887 U.S. LEXIS </w:t>
      </w:r>
      <w:r w:rsidRPr="00946846">
        <w:rPr>
          <w:lang w:val="en-US"/>
        </w:rPr>
        <w:t>2204 (1887)</w:t>
      </w:r>
      <w:r>
        <w:rPr>
          <w:lang w:val="en-US"/>
        </w:rPr>
        <w:t>.</w:t>
      </w:r>
    </w:p>
  </w:footnote>
  <w:footnote w:id="70">
    <w:p w14:paraId="785F46E8" w14:textId="77777777" w:rsidR="00074551" w:rsidRPr="00946846" w:rsidRDefault="00074551" w:rsidP="00074551">
      <w:pPr>
        <w:pStyle w:val="Funotentext"/>
        <w:rPr>
          <w:lang w:val="en-US"/>
        </w:rPr>
      </w:pPr>
      <w:r>
        <w:rPr>
          <w:rStyle w:val="Funotenzeichen"/>
          <w:rFonts w:eastAsiaTheme="majorEastAsia"/>
        </w:rPr>
        <w:footnoteRef/>
      </w:r>
      <w:r w:rsidRPr="00946846">
        <w:rPr>
          <w:lang w:val="en-US"/>
        </w:rPr>
        <w:t xml:space="preserve"> </w:t>
      </w:r>
      <w:r w:rsidRPr="004F13B1">
        <w:rPr>
          <w:i/>
          <w:lang w:val="en-US"/>
        </w:rPr>
        <w:t>Mugler v. Kansas</w:t>
      </w:r>
      <w:r w:rsidRPr="00946846">
        <w:rPr>
          <w:lang w:val="en-US"/>
        </w:rPr>
        <w:t>, 123 U.S. 623, 669</w:t>
      </w:r>
      <w:r>
        <w:rPr>
          <w:lang w:val="en-US"/>
        </w:rPr>
        <w:t xml:space="preserve"> = 8 S. Ct. </w:t>
      </w:r>
      <w:r w:rsidRPr="00946846">
        <w:rPr>
          <w:lang w:val="en-US"/>
        </w:rPr>
        <w:t>273, 301</w:t>
      </w:r>
      <w:r>
        <w:rPr>
          <w:lang w:val="en-US"/>
        </w:rPr>
        <w:t xml:space="preserve"> = 31 L. Ed. </w:t>
      </w:r>
      <w:r w:rsidRPr="00946846">
        <w:rPr>
          <w:lang w:val="en-US"/>
        </w:rPr>
        <w:t>205, 213</w:t>
      </w:r>
      <w:r>
        <w:rPr>
          <w:lang w:val="en-US"/>
        </w:rPr>
        <w:t xml:space="preserve"> = 1887 U.S. LEXIS </w:t>
      </w:r>
      <w:r w:rsidRPr="00946846">
        <w:rPr>
          <w:lang w:val="en-US"/>
        </w:rPr>
        <w:t>2204, 86 (1887)</w:t>
      </w:r>
      <w:r>
        <w:rPr>
          <w:lang w:val="en-US"/>
        </w:rPr>
        <w:t>.</w:t>
      </w:r>
    </w:p>
  </w:footnote>
  <w:footnote w:id="71">
    <w:p w14:paraId="7A302B23" w14:textId="77777777" w:rsidR="00074551" w:rsidRPr="00F37727" w:rsidRDefault="00074551" w:rsidP="00074551">
      <w:pPr>
        <w:pStyle w:val="Funotentext"/>
        <w:rPr>
          <w:lang w:val="en-US"/>
        </w:rPr>
      </w:pPr>
      <w:r>
        <w:rPr>
          <w:rStyle w:val="Funotenzeichen"/>
          <w:rFonts w:eastAsiaTheme="majorEastAsia"/>
        </w:rPr>
        <w:footnoteRef/>
      </w:r>
      <w:r w:rsidRPr="00F37727">
        <w:rPr>
          <w:lang w:val="en-US"/>
        </w:rPr>
        <w:t xml:space="preserve"> </w:t>
      </w:r>
      <w:bookmarkStart w:id="8" w:name="_Hlk228717803"/>
      <w:r>
        <w:rPr>
          <w:lang w:val="en-US"/>
        </w:rPr>
        <w:t>„</w:t>
      </w:r>
      <w:bookmarkStart w:id="9" w:name="_Hlk222952243"/>
      <w:r w:rsidRPr="00F37727">
        <w:rPr>
          <w:lang w:val="en-US"/>
        </w:rPr>
        <w:t xml:space="preserve">As to what </w:t>
      </w:r>
      <w:proofErr w:type="gramStart"/>
      <w:r w:rsidRPr="00F37727">
        <w:rPr>
          <w:lang w:val="en-US"/>
        </w:rPr>
        <w:t xml:space="preserve">is </w:t>
      </w:r>
      <w:r>
        <w:rPr>
          <w:lang w:val="en-US"/>
        </w:rPr>
        <w:t>,</w:t>
      </w:r>
      <w:r w:rsidRPr="00F37727">
        <w:rPr>
          <w:lang w:val="en-US"/>
        </w:rPr>
        <w:t>due</w:t>
      </w:r>
      <w:proofErr w:type="gramEnd"/>
      <w:r w:rsidRPr="00F37727">
        <w:rPr>
          <w:lang w:val="en-US"/>
        </w:rPr>
        <w:t xml:space="preserve"> process of </w:t>
      </w:r>
      <w:proofErr w:type="gramStart"/>
      <w:r w:rsidRPr="00F37727">
        <w:rPr>
          <w:lang w:val="en-US"/>
        </w:rPr>
        <w:t>law</w:t>
      </w:r>
      <w:r>
        <w:rPr>
          <w:lang w:val="en-IE"/>
        </w:rPr>
        <w:t>‘</w:t>
      </w:r>
      <w:r w:rsidRPr="00F37727">
        <w:rPr>
          <w:lang w:val="en-US"/>
        </w:rPr>
        <w:t xml:space="preserve"> see</w:t>
      </w:r>
      <w:proofErr w:type="gramEnd"/>
      <w:r w:rsidRPr="00F37727">
        <w:rPr>
          <w:lang w:val="en-US"/>
        </w:rPr>
        <w:t xml:space="preserve"> </w:t>
      </w:r>
      <w:r w:rsidRPr="00B45592">
        <w:rPr>
          <w:i/>
          <w:lang w:val="en-US"/>
        </w:rPr>
        <w:t>Cooley</w:t>
      </w:r>
      <w:r>
        <w:rPr>
          <w:lang w:val="en-US"/>
        </w:rPr>
        <w:t>’</w:t>
      </w:r>
      <w:r w:rsidRPr="00F37727">
        <w:rPr>
          <w:lang w:val="en-US"/>
        </w:rPr>
        <w:t xml:space="preserve">s Constitutional Limitations, 356; </w:t>
      </w:r>
      <w:proofErr w:type="spellStart"/>
      <w:r w:rsidRPr="00B45592">
        <w:rPr>
          <w:i/>
          <w:lang w:val="en-US"/>
        </w:rPr>
        <w:t>Wynehamer</w:t>
      </w:r>
      <w:proofErr w:type="spellEnd"/>
      <w:r w:rsidRPr="00B45592">
        <w:rPr>
          <w:i/>
          <w:lang w:val="en-US"/>
        </w:rPr>
        <w:t xml:space="preserve"> v. People</w:t>
      </w:r>
      <w:r w:rsidRPr="00F37727">
        <w:rPr>
          <w:lang w:val="en-US"/>
        </w:rPr>
        <w:t xml:space="preserve">, 13 N.Y. 378; </w:t>
      </w:r>
      <w:r w:rsidRPr="00B45592">
        <w:rPr>
          <w:i/>
          <w:lang w:val="en-US"/>
        </w:rPr>
        <w:t>State v. Allen</w:t>
      </w:r>
      <w:r w:rsidRPr="00F37727">
        <w:rPr>
          <w:lang w:val="en-US"/>
        </w:rPr>
        <w:t xml:space="preserve">, 2 McCord, Law, 55; </w:t>
      </w:r>
      <w:r w:rsidRPr="00B45592">
        <w:rPr>
          <w:i/>
          <w:lang w:val="en-US"/>
        </w:rPr>
        <w:t>Sears v. Cottrell</w:t>
      </w:r>
      <w:r w:rsidRPr="00F37727">
        <w:rPr>
          <w:lang w:val="en-US"/>
        </w:rPr>
        <w:t xml:space="preserve">, 5 Mich. 251; </w:t>
      </w:r>
      <w:r w:rsidRPr="00B45592">
        <w:rPr>
          <w:i/>
          <w:lang w:val="en-US"/>
        </w:rPr>
        <w:t>Taylor v. Porter</w:t>
      </w:r>
      <w:r w:rsidRPr="00F37727">
        <w:rPr>
          <w:lang w:val="en-US"/>
        </w:rPr>
        <w:t xml:space="preserve">, 4 Hill, 140; </w:t>
      </w:r>
      <w:r w:rsidRPr="004F13B1">
        <w:rPr>
          <w:iCs/>
          <w:lang w:val="en-US"/>
        </w:rPr>
        <w:t>S.C.</w:t>
      </w:r>
      <w:r w:rsidRPr="00F37727">
        <w:rPr>
          <w:lang w:val="en-US"/>
        </w:rPr>
        <w:t xml:space="preserve"> 11 Am. Dec. 274; </w:t>
      </w:r>
      <w:r w:rsidRPr="00B45592">
        <w:rPr>
          <w:i/>
          <w:lang w:val="en-US"/>
        </w:rPr>
        <w:t>Hoke v. Henderson</w:t>
      </w:r>
      <w:r w:rsidRPr="00F37727">
        <w:rPr>
          <w:lang w:val="en-US"/>
        </w:rPr>
        <w:t xml:space="preserve">, 4 Dev. 1; S.C. 25 Am. Dec. 677; </w:t>
      </w:r>
      <w:r w:rsidRPr="00B45592">
        <w:rPr>
          <w:i/>
          <w:lang w:val="en-US"/>
        </w:rPr>
        <w:t>Janes v. Reynolds</w:t>
      </w:r>
      <w:r w:rsidRPr="00F37727">
        <w:rPr>
          <w:lang w:val="en-US"/>
        </w:rPr>
        <w:t xml:space="preserve">, 2 Texas, 251; </w:t>
      </w:r>
      <w:r w:rsidRPr="00B45592">
        <w:rPr>
          <w:i/>
          <w:lang w:val="en-US"/>
        </w:rPr>
        <w:t>Kennard v. Louisiana</w:t>
      </w:r>
      <w:r w:rsidRPr="00F37727">
        <w:rPr>
          <w:lang w:val="en-US"/>
        </w:rPr>
        <w:t xml:space="preserve">, 92 U.S. 480; </w:t>
      </w:r>
      <w:r w:rsidRPr="00B45592">
        <w:rPr>
          <w:i/>
          <w:lang w:val="en-US"/>
        </w:rPr>
        <w:t>Murray v. Hoboken Co</w:t>
      </w:r>
      <w:r w:rsidRPr="00F37727">
        <w:rPr>
          <w:lang w:val="en-US"/>
        </w:rPr>
        <w:t>., 18 How. 272; Mr. Webster</w:t>
      </w:r>
      <w:r>
        <w:rPr>
          <w:lang w:val="en-US"/>
        </w:rPr>
        <w:t>’</w:t>
      </w:r>
      <w:r w:rsidRPr="00F37727">
        <w:rPr>
          <w:lang w:val="en-US"/>
        </w:rPr>
        <w:t xml:space="preserve">s argument in </w:t>
      </w:r>
      <w:r w:rsidRPr="00B45592">
        <w:rPr>
          <w:i/>
          <w:lang w:val="en-US"/>
        </w:rPr>
        <w:t>Dartmouth College v. Woodward</w:t>
      </w:r>
      <w:r>
        <w:rPr>
          <w:lang w:val="en-US"/>
        </w:rPr>
        <w:t>,</w:t>
      </w:r>
      <w:r w:rsidRPr="003B741A">
        <w:rPr>
          <w:lang w:val="en-US"/>
        </w:rPr>
        <w:t xml:space="preserve"> 4 Wheat. </w:t>
      </w:r>
      <w:r w:rsidRPr="00F37727">
        <w:rPr>
          <w:lang w:val="en-US"/>
        </w:rPr>
        <w:t xml:space="preserve">518; </w:t>
      </w:r>
      <w:r w:rsidRPr="00B45592">
        <w:rPr>
          <w:i/>
          <w:lang w:val="en-US"/>
        </w:rPr>
        <w:t>Brown v. Hummell</w:t>
      </w:r>
      <w:r w:rsidRPr="00F37727">
        <w:rPr>
          <w:lang w:val="en-US"/>
        </w:rPr>
        <w:t xml:space="preserve">, 6 Penn. St. 86; </w:t>
      </w:r>
      <w:r w:rsidRPr="00B45592">
        <w:rPr>
          <w:i/>
          <w:lang w:val="en-US"/>
        </w:rPr>
        <w:t>Norman v. Heist</w:t>
      </w:r>
      <w:r w:rsidRPr="00F37727">
        <w:rPr>
          <w:lang w:val="en-US"/>
        </w:rPr>
        <w:t>, 5 W. &amp; S. 171; S.C. 40 Am. Dec. 493</w:t>
      </w:r>
      <w:r>
        <w:rPr>
          <w:lang w:val="en-US"/>
        </w:rPr>
        <w:t>“,</w:t>
      </w:r>
      <w:r w:rsidRPr="00F37727">
        <w:rPr>
          <w:lang w:val="en-US"/>
        </w:rPr>
        <w:t xml:space="preserve"> </w:t>
      </w:r>
      <w:r w:rsidRPr="004F13B1">
        <w:rPr>
          <w:i/>
          <w:lang w:val="en-US"/>
        </w:rPr>
        <w:t>Mugler v. Kansas</w:t>
      </w:r>
      <w:r w:rsidRPr="00F37727">
        <w:rPr>
          <w:lang w:val="en-US"/>
        </w:rPr>
        <w:t>, 123 U.S. 623, 653</w:t>
      </w:r>
      <w:r>
        <w:rPr>
          <w:lang w:val="en-US"/>
        </w:rPr>
        <w:t xml:space="preserve"> = 8 S. Ct. </w:t>
      </w:r>
      <w:r w:rsidRPr="00F37727">
        <w:rPr>
          <w:lang w:val="en-US"/>
        </w:rPr>
        <w:t>273, 293</w:t>
      </w:r>
      <w:r>
        <w:rPr>
          <w:lang w:val="en-US"/>
        </w:rPr>
        <w:t xml:space="preserve"> = 31 L. Ed. </w:t>
      </w:r>
      <w:r w:rsidRPr="00F37727">
        <w:rPr>
          <w:lang w:val="en-US"/>
        </w:rPr>
        <w:t>205, 207</w:t>
      </w:r>
      <w:r>
        <w:rPr>
          <w:lang w:val="en-US"/>
        </w:rPr>
        <w:t xml:space="preserve"> = 1887 U.S. LEXIS </w:t>
      </w:r>
      <w:r w:rsidRPr="00F37727">
        <w:rPr>
          <w:lang w:val="en-US"/>
        </w:rPr>
        <w:t>2204, 16 (1887).</w:t>
      </w:r>
      <w:bookmarkEnd w:id="8"/>
    </w:p>
    <w:bookmarkEnd w:id="9"/>
  </w:footnote>
  <w:footnote w:id="72">
    <w:p w14:paraId="24F3DD78" w14:textId="77777777" w:rsidR="00074551" w:rsidRPr="00BF5C0C" w:rsidRDefault="00074551" w:rsidP="00074551">
      <w:pPr>
        <w:pStyle w:val="Funotentext"/>
        <w:rPr>
          <w:lang w:val="en-US"/>
        </w:rPr>
      </w:pPr>
      <w:r>
        <w:rPr>
          <w:rStyle w:val="Funotenzeichen"/>
          <w:rFonts w:eastAsiaTheme="majorEastAsia"/>
        </w:rPr>
        <w:footnoteRef/>
      </w:r>
      <w:r w:rsidRPr="00BF5C0C">
        <w:rPr>
          <w:lang w:val="en-US"/>
        </w:rPr>
        <w:t xml:space="preserve"> </w:t>
      </w:r>
      <w:r w:rsidRPr="004F13B1">
        <w:rPr>
          <w:i/>
          <w:lang w:val="en-US"/>
        </w:rPr>
        <w:t>Mugler v. Kansas</w:t>
      </w:r>
      <w:r w:rsidRPr="00BF5C0C">
        <w:rPr>
          <w:lang w:val="en-US"/>
        </w:rPr>
        <w:t>, 123 U.S. 623, 653</w:t>
      </w:r>
      <w:r>
        <w:rPr>
          <w:lang w:val="en-US"/>
        </w:rPr>
        <w:t xml:space="preserve"> = 8 S. Ct. </w:t>
      </w:r>
      <w:r w:rsidRPr="00BF5C0C">
        <w:rPr>
          <w:lang w:val="en-US"/>
        </w:rPr>
        <w:t>273, 293</w:t>
      </w:r>
      <w:r>
        <w:rPr>
          <w:lang w:val="en-US"/>
        </w:rPr>
        <w:t xml:space="preserve"> = 31 L. Ed. </w:t>
      </w:r>
      <w:r w:rsidRPr="00BF5C0C">
        <w:rPr>
          <w:lang w:val="en-US"/>
        </w:rPr>
        <w:t>205, 207</w:t>
      </w:r>
      <w:r>
        <w:rPr>
          <w:lang w:val="en-US"/>
        </w:rPr>
        <w:t xml:space="preserve"> = 1887 U.S. LEXIS </w:t>
      </w:r>
      <w:r w:rsidRPr="00BF5C0C">
        <w:rPr>
          <w:lang w:val="en-US"/>
        </w:rPr>
        <w:t>2204, 16 (1887)</w:t>
      </w:r>
      <w:r>
        <w:rPr>
          <w:lang w:val="en-US"/>
        </w:rPr>
        <w:t>.</w:t>
      </w:r>
    </w:p>
  </w:footnote>
  <w:footnote w:id="73">
    <w:p w14:paraId="3A8412E5" w14:textId="77777777" w:rsidR="00074551" w:rsidRPr="00281367" w:rsidRDefault="00074551" w:rsidP="00074551">
      <w:pPr>
        <w:pStyle w:val="Funotentext"/>
        <w:rPr>
          <w:lang w:val="en-US"/>
        </w:rPr>
      </w:pPr>
      <w:r>
        <w:rPr>
          <w:rStyle w:val="Funotenzeichen"/>
          <w:rFonts w:eastAsiaTheme="majorEastAsia"/>
        </w:rPr>
        <w:footnoteRef/>
      </w:r>
      <w:r w:rsidRPr="00281367">
        <w:rPr>
          <w:lang w:val="en-US"/>
        </w:rPr>
        <w:t xml:space="preserve"> </w:t>
      </w:r>
      <w:r w:rsidRPr="004F13B1">
        <w:rPr>
          <w:i/>
          <w:lang w:val="en-US"/>
        </w:rPr>
        <w:t>United States v. General Motors Corp.</w:t>
      </w:r>
      <w:r w:rsidRPr="00281367">
        <w:rPr>
          <w:lang w:val="en-US"/>
        </w:rPr>
        <w:t>, 323 U.S. 373 (1945)</w:t>
      </w:r>
      <w:r>
        <w:rPr>
          <w:lang w:val="en-US"/>
        </w:rPr>
        <w:t xml:space="preserve">; </w:t>
      </w:r>
      <w:r w:rsidRPr="004F13B1">
        <w:rPr>
          <w:i/>
          <w:lang w:val="en-US"/>
        </w:rPr>
        <w:t>Pruneyard Shopping Ctr. v. Robins</w:t>
      </w:r>
      <w:r w:rsidRPr="00281367">
        <w:rPr>
          <w:lang w:val="en-US"/>
        </w:rPr>
        <w:t>, 447 U.S. 74, 82</w:t>
      </w:r>
      <w:r>
        <w:rPr>
          <w:lang w:val="en-US"/>
        </w:rPr>
        <w:t xml:space="preserve"> = 100 S. Ct.</w:t>
      </w:r>
      <w:r w:rsidRPr="00281367">
        <w:rPr>
          <w:lang w:val="en-US"/>
        </w:rPr>
        <w:t xml:space="preserve"> 2035, 2041</w:t>
      </w:r>
      <w:r>
        <w:rPr>
          <w:lang w:val="en-US"/>
        </w:rPr>
        <w:t xml:space="preserve"> = 64 L. Ed. </w:t>
      </w:r>
      <w:r w:rsidRPr="00281367">
        <w:rPr>
          <w:lang w:val="en-US"/>
        </w:rPr>
        <w:t>2d 741, 753</w:t>
      </w:r>
      <w:r>
        <w:rPr>
          <w:lang w:val="en-US"/>
        </w:rPr>
        <w:t xml:space="preserve"> = 1980 U.S. LEXIS </w:t>
      </w:r>
      <w:r w:rsidRPr="00281367">
        <w:rPr>
          <w:lang w:val="en-US"/>
        </w:rPr>
        <w:t>129, 17</w:t>
      </w:r>
      <w:r>
        <w:rPr>
          <w:lang w:val="en-US"/>
        </w:rPr>
        <w:t xml:space="preserve"> = 6 Media L. Rep. </w:t>
      </w:r>
      <w:r w:rsidRPr="00281367">
        <w:rPr>
          <w:lang w:val="en-US"/>
        </w:rPr>
        <w:t>1311 (1980)</w:t>
      </w:r>
      <w:r>
        <w:rPr>
          <w:lang w:val="en-US"/>
        </w:rPr>
        <w:t>.</w:t>
      </w:r>
    </w:p>
  </w:footnote>
  <w:footnote w:id="74">
    <w:p w14:paraId="77D5ADE9" w14:textId="77777777" w:rsidR="00074551" w:rsidRPr="00B30BC3" w:rsidRDefault="00074551" w:rsidP="00074551">
      <w:pPr>
        <w:pStyle w:val="Funotentext"/>
        <w:rPr>
          <w:lang w:val="en-US"/>
        </w:rPr>
      </w:pPr>
      <w:r>
        <w:rPr>
          <w:rStyle w:val="Funotenzeichen"/>
          <w:rFonts w:eastAsiaTheme="majorEastAsia"/>
        </w:rPr>
        <w:footnoteRef/>
      </w:r>
      <w:r w:rsidRPr="00B30BC3">
        <w:rPr>
          <w:lang w:val="en-US"/>
        </w:rPr>
        <w:t xml:space="preserve"> </w:t>
      </w:r>
      <w:r w:rsidRPr="00B45592">
        <w:rPr>
          <w:i/>
          <w:lang w:val="en-US"/>
        </w:rPr>
        <w:t>Euclid v. Ambler Realty Co.</w:t>
      </w:r>
      <w:r w:rsidRPr="00B30BC3">
        <w:rPr>
          <w:lang w:val="en-US"/>
        </w:rPr>
        <w:t xml:space="preserve">, 272 U.S. 365 (1926); </w:t>
      </w:r>
      <w:r w:rsidRPr="00B45592">
        <w:rPr>
          <w:i/>
          <w:lang w:val="en-US"/>
        </w:rPr>
        <w:t>Young v. American Mini Theatres, Inc.</w:t>
      </w:r>
      <w:r w:rsidRPr="00B30BC3">
        <w:rPr>
          <w:lang w:val="en-US"/>
        </w:rPr>
        <w:t>, 427 U.S. 50 (1976)</w:t>
      </w:r>
      <w:r>
        <w:rPr>
          <w:lang w:val="en-US"/>
        </w:rPr>
        <w:t xml:space="preserve">; </w:t>
      </w:r>
      <w:r w:rsidRPr="004F13B1">
        <w:rPr>
          <w:i/>
          <w:lang w:val="en-US"/>
        </w:rPr>
        <w:t>Pruneyard Shopping Ctr. v. Robins</w:t>
      </w:r>
      <w:r w:rsidRPr="00B30BC3">
        <w:rPr>
          <w:lang w:val="en-US"/>
        </w:rPr>
        <w:t>, 447 U.S. 74, 81</w:t>
      </w:r>
      <w:r>
        <w:rPr>
          <w:lang w:val="en-US"/>
        </w:rPr>
        <w:t xml:space="preserve"> = 100 S. Ct.</w:t>
      </w:r>
      <w:r w:rsidRPr="00B30BC3">
        <w:rPr>
          <w:lang w:val="en-US"/>
        </w:rPr>
        <w:t xml:space="preserve"> 2035, 2041</w:t>
      </w:r>
      <w:r>
        <w:rPr>
          <w:lang w:val="en-US"/>
        </w:rPr>
        <w:t xml:space="preserve"> = 64 L. Ed. </w:t>
      </w:r>
      <w:r w:rsidRPr="00B30BC3">
        <w:rPr>
          <w:lang w:val="en-US"/>
        </w:rPr>
        <w:t>2d 741, 752</w:t>
      </w:r>
      <w:r>
        <w:rPr>
          <w:lang w:val="en-US"/>
        </w:rPr>
        <w:t xml:space="preserve"> = 1980 U.S. LEXIS </w:t>
      </w:r>
      <w:r w:rsidRPr="00B30BC3">
        <w:rPr>
          <w:lang w:val="en-US"/>
        </w:rPr>
        <w:t>129, 15</w:t>
      </w:r>
      <w:r>
        <w:rPr>
          <w:lang w:val="en-US"/>
        </w:rPr>
        <w:t xml:space="preserve"> = 6 Media L. Rep. </w:t>
      </w:r>
      <w:r w:rsidRPr="00B30BC3">
        <w:rPr>
          <w:lang w:val="en-US"/>
        </w:rPr>
        <w:t>1311 (1980)</w:t>
      </w:r>
      <w:r>
        <w:rPr>
          <w:lang w:val="en-US"/>
        </w:rPr>
        <w:t>.</w:t>
      </w:r>
    </w:p>
  </w:footnote>
  <w:footnote w:id="75">
    <w:p w14:paraId="5B7DB1DD" w14:textId="77777777" w:rsidR="00074551" w:rsidRPr="006D5BD9" w:rsidRDefault="00074551" w:rsidP="00074551">
      <w:pPr>
        <w:pStyle w:val="Funotentext"/>
        <w:rPr>
          <w:lang w:val="en-US"/>
        </w:rPr>
      </w:pPr>
      <w:r>
        <w:rPr>
          <w:rStyle w:val="Funotenzeichen"/>
          <w:rFonts w:eastAsiaTheme="majorEastAsia"/>
        </w:rPr>
        <w:footnoteRef/>
      </w:r>
      <w:r w:rsidRPr="006D5BD9">
        <w:rPr>
          <w:lang w:val="en-US"/>
        </w:rPr>
        <w:t xml:space="preserve"> </w:t>
      </w:r>
      <w:r w:rsidRPr="004F13B1">
        <w:rPr>
          <w:i/>
          <w:lang w:val="en-US"/>
        </w:rPr>
        <w:t>Pruneyard Shopping Ctr. v. Robins</w:t>
      </w:r>
      <w:r w:rsidRPr="006D5BD9">
        <w:rPr>
          <w:lang w:val="en-US"/>
        </w:rPr>
        <w:t>, 447 U.S. 74, 81</w:t>
      </w:r>
      <w:r>
        <w:rPr>
          <w:lang w:val="en-US"/>
        </w:rPr>
        <w:t xml:space="preserve"> = 100 S. Ct.</w:t>
      </w:r>
      <w:r w:rsidRPr="006D5BD9">
        <w:rPr>
          <w:lang w:val="en-US"/>
        </w:rPr>
        <w:t xml:space="preserve"> 2035, 2041</w:t>
      </w:r>
      <w:r>
        <w:rPr>
          <w:lang w:val="en-US"/>
        </w:rPr>
        <w:t xml:space="preserve"> = 64 L. Ed. </w:t>
      </w:r>
      <w:r w:rsidRPr="006D5BD9">
        <w:rPr>
          <w:lang w:val="en-US"/>
        </w:rPr>
        <w:t>2d 741, 752</w:t>
      </w:r>
      <w:r>
        <w:rPr>
          <w:lang w:val="en-US"/>
        </w:rPr>
        <w:t xml:space="preserve"> = 1980 U.S. LEXIS </w:t>
      </w:r>
      <w:r w:rsidRPr="006D5BD9">
        <w:rPr>
          <w:lang w:val="en-US"/>
        </w:rPr>
        <w:t>129, 16</w:t>
      </w:r>
      <w:r>
        <w:rPr>
          <w:lang w:val="en-US"/>
        </w:rPr>
        <w:t xml:space="preserve"> = 6 Media L. Rep. </w:t>
      </w:r>
      <w:r w:rsidRPr="006D5BD9">
        <w:rPr>
          <w:lang w:val="en-US"/>
        </w:rPr>
        <w:t>1311 (1980)</w:t>
      </w:r>
      <w:r>
        <w:rPr>
          <w:lang w:val="en-US"/>
        </w:rPr>
        <w:t>.</w:t>
      </w:r>
    </w:p>
  </w:footnote>
  <w:footnote w:id="76">
    <w:p w14:paraId="001D4C9F" w14:textId="77777777" w:rsidR="00074551" w:rsidRPr="0053271A" w:rsidRDefault="00074551" w:rsidP="00074551">
      <w:pPr>
        <w:pStyle w:val="Funotentext"/>
        <w:rPr>
          <w:lang w:val="en-US"/>
        </w:rPr>
      </w:pPr>
      <w:r>
        <w:rPr>
          <w:rStyle w:val="Funotenzeichen"/>
          <w:rFonts w:eastAsiaTheme="majorEastAsia"/>
        </w:rPr>
        <w:footnoteRef/>
      </w:r>
      <w:r w:rsidRPr="0053271A">
        <w:rPr>
          <w:lang w:val="en-US"/>
        </w:rPr>
        <w:t xml:space="preserve"> </w:t>
      </w:r>
      <w:r w:rsidRPr="004F13B1">
        <w:rPr>
          <w:i/>
          <w:lang w:val="en-US"/>
        </w:rPr>
        <w:t>Kaiser Aetna v. United States</w:t>
      </w:r>
      <w:r w:rsidRPr="0053271A">
        <w:rPr>
          <w:lang w:val="en-US"/>
        </w:rPr>
        <w:t>, 444 U.S. 164, 179</w:t>
      </w:r>
      <w:r>
        <w:rPr>
          <w:lang w:val="en-US"/>
        </w:rPr>
        <w:t>–</w:t>
      </w:r>
      <w:r w:rsidRPr="0053271A">
        <w:rPr>
          <w:lang w:val="en-US"/>
        </w:rPr>
        <w:t xml:space="preserve">180 (1979); </w:t>
      </w:r>
      <w:r w:rsidRPr="004F13B1">
        <w:rPr>
          <w:i/>
          <w:lang w:val="en-US"/>
        </w:rPr>
        <w:t>Pruneyard Shopping Ctr. v. Robins</w:t>
      </w:r>
      <w:r w:rsidRPr="0053271A">
        <w:rPr>
          <w:lang w:val="en-US"/>
        </w:rPr>
        <w:t>, 447 U.S. 74, 82</w:t>
      </w:r>
      <w:r>
        <w:rPr>
          <w:lang w:val="en-US"/>
        </w:rPr>
        <w:t xml:space="preserve"> = 100 S. Ct.</w:t>
      </w:r>
      <w:r w:rsidRPr="0053271A">
        <w:rPr>
          <w:lang w:val="en-US"/>
        </w:rPr>
        <w:t xml:space="preserve"> 2035, 2041</w:t>
      </w:r>
      <w:r>
        <w:rPr>
          <w:lang w:val="en-US"/>
        </w:rPr>
        <w:t xml:space="preserve"> = 64 L. Ed. </w:t>
      </w:r>
      <w:r w:rsidRPr="0053271A">
        <w:rPr>
          <w:lang w:val="en-US"/>
        </w:rPr>
        <w:t>2d 741, 752</w:t>
      </w:r>
      <w:r>
        <w:rPr>
          <w:lang w:val="en-US"/>
        </w:rPr>
        <w:t xml:space="preserve"> = 1980 U.S. LEXIS </w:t>
      </w:r>
      <w:r w:rsidRPr="0053271A">
        <w:rPr>
          <w:lang w:val="en-US"/>
        </w:rPr>
        <w:t>129, 17</w:t>
      </w:r>
      <w:r>
        <w:rPr>
          <w:lang w:val="en-US"/>
        </w:rPr>
        <w:t xml:space="preserve"> = 6 Media L. Rep. </w:t>
      </w:r>
      <w:r w:rsidRPr="0053271A">
        <w:rPr>
          <w:lang w:val="en-US"/>
        </w:rPr>
        <w:t>1311 (1980)</w:t>
      </w:r>
      <w:r>
        <w:rPr>
          <w:lang w:val="en-US"/>
        </w:rPr>
        <w:t>.</w:t>
      </w:r>
    </w:p>
  </w:footnote>
  <w:footnote w:id="77">
    <w:p w14:paraId="7F11215C" w14:textId="77777777" w:rsidR="00074551" w:rsidRPr="0053271A" w:rsidRDefault="00074551" w:rsidP="00074551">
      <w:pPr>
        <w:pStyle w:val="Funotentext"/>
        <w:rPr>
          <w:lang w:val="en-US"/>
        </w:rPr>
      </w:pPr>
      <w:r>
        <w:rPr>
          <w:rStyle w:val="Funotenzeichen"/>
          <w:rFonts w:eastAsiaTheme="majorEastAsia"/>
        </w:rPr>
        <w:footnoteRef/>
      </w:r>
      <w:r w:rsidRPr="0053271A">
        <w:rPr>
          <w:lang w:val="en-US"/>
        </w:rPr>
        <w:t xml:space="preserve"> </w:t>
      </w:r>
      <w:r w:rsidRPr="004F13B1">
        <w:rPr>
          <w:i/>
          <w:lang w:val="en-US"/>
        </w:rPr>
        <w:t>United States v. General Motors Corp.</w:t>
      </w:r>
      <w:r w:rsidRPr="0053271A">
        <w:rPr>
          <w:lang w:val="en-US"/>
        </w:rPr>
        <w:t>, 323 U.S. 373 (1945)</w:t>
      </w:r>
      <w:r>
        <w:rPr>
          <w:lang w:val="en-US"/>
        </w:rPr>
        <w:t xml:space="preserve">; </w:t>
      </w:r>
      <w:r w:rsidRPr="004F13B1">
        <w:rPr>
          <w:i/>
          <w:lang w:val="en-US"/>
        </w:rPr>
        <w:t>Pruneyard Shopping Ctr. v. Robins</w:t>
      </w:r>
      <w:r w:rsidRPr="0053271A">
        <w:rPr>
          <w:lang w:val="en-US"/>
        </w:rPr>
        <w:t>, 447 U.S. 74, 82</w:t>
      </w:r>
      <w:r>
        <w:rPr>
          <w:lang w:val="en-US"/>
        </w:rPr>
        <w:t xml:space="preserve"> = 100 S. Ct.</w:t>
      </w:r>
      <w:r w:rsidRPr="0053271A">
        <w:rPr>
          <w:lang w:val="en-US"/>
        </w:rPr>
        <w:t xml:space="preserve"> 2035, 2041</w:t>
      </w:r>
      <w:r>
        <w:rPr>
          <w:lang w:val="en-US"/>
        </w:rPr>
        <w:t xml:space="preserve"> = 64 L. Ed. </w:t>
      </w:r>
      <w:r w:rsidRPr="0053271A">
        <w:rPr>
          <w:lang w:val="en-US"/>
        </w:rPr>
        <w:t>2d 741, 753</w:t>
      </w:r>
      <w:r>
        <w:rPr>
          <w:lang w:val="en-US"/>
        </w:rPr>
        <w:t xml:space="preserve"> = 1980 U.S. LEXIS </w:t>
      </w:r>
      <w:r w:rsidRPr="0053271A">
        <w:rPr>
          <w:lang w:val="en-US"/>
        </w:rPr>
        <w:t>129, 17</w:t>
      </w:r>
      <w:r>
        <w:rPr>
          <w:lang w:val="en-US"/>
        </w:rPr>
        <w:t xml:space="preserve"> = 6 Media L. Rep. </w:t>
      </w:r>
      <w:r w:rsidRPr="0053271A">
        <w:rPr>
          <w:lang w:val="en-US"/>
        </w:rPr>
        <w:t>1311 (1980)</w:t>
      </w:r>
      <w:r>
        <w:rPr>
          <w:lang w:val="en-US"/>
        </w:rPr>
        <w:t>.</w:t>
      </w:r>
    </w:p>
  </w:footnote>
  <w:footnote w:id="78">
    <w:p w14:paraId="4F39D011" w14:textId="77777777" w:rsidR="00074551" w:rsidRPr="0053271A" w:rsidRDefault="00074551" w:rsidP="00074551">
      <w:pPr>
        <w:pStyle w:val="Funotentext"/>
        <w:rPr>
          <w:lang w:val="en-US"/>
        </w:rPr>
      </w:pPr>
      <w:r>
        <w:rPr>
          <w:rStyle w:val="Funotenzeichen"/>
          <w:rFonts w:eastAsiaTheme="majorEastAsia"/>
        </w:rPr>
        <w:footnoteRef/>
      </w:r>
      <w:r w:rsidRPr="0053271A">
        <w:rPr>
          <w:lang w:val="en-US"/>
        </w:rPr>
        <w:t xml:space="preserve"> </w:t>
      </w:r>
      <w:r w:rsidRPr="00B45592">
        <w:rPr>
          <w:i/>
          <w:lang w:val="en-US"/>
        </w:rPr>
        <w:t>Armstrong v. United States</w:t>
      </w:r>
      <w:r w:rsidRPr="0053271A">
        <w:rPr>
          <w:lang w:val="en-US"/>
        </w:rPr>
        <w:t xml:space="preserve">, 364 U.S. 40, 48 (1960); </w:t>
      </w:r>
      <w:r w:rsidRPr="004F13B1">
        <w:rPr>
          <w:i/>
          <w:lang w:val="en-US"/>
        </w:rPr>
        <w:t>Pruneyard Shopping Ctr. v. Robins</w:t>
      </w:r>
      <w:r w:rsidRPr="0053271A">
        <w:rPr>
          <w:lang w:val="en-US"/>
        </w:rPr>
        <w:t>, 447 U.S. 74, 82</w:t>
      </w:r>
      <w:r>
        <w:rPr>
          <w:lang w:val="en-US"/>
        </w:rPr>
        <w:t xml:space="preserve"> = 100 S. Ct.</w:t>
      </w:r>
      <w:r w:rsidRPr="0053271A">
        <w:rPr>
          <w:lang w:val="en-US"/>
        </w:rPr>
        <w:t xml:space="preserve"> 2035, 2041</w:t>
      </w:r>
      <w:r>
        <w:rPr>
          <w:lang w:val="en-US"/>
        </w:rPr>
        <w:t xml:space="preserve"> = 64 L. Ed. </w:t>
      </w:r>
      <w:r w:rsidRPr="0053271A">
        <w:rPr>
          <w:lang w:val="en-US"/>
        </w:rPr>
        <w:t>2d 741, 753</w:t>
      </w:r>
      <w:r>
        <w:rPr>
          <w:lang w:val="en-US"/>
        </w:rPr>
        <w:t xml:space="preserve"> = 1980 U.S. LEXIS </w:t>
      </w:r>
      <w:r w:rsidRPr="0053271A">
        <w:rPr>
          <w:lang w:val="en-US"/>
        </w:rPr>
        <w:t>129, 19</w:t>
      </w:r>
      <w:r>
        <w:rPr>
          <w:lang w:val="en-US"/>
        </w:rPr>
        <w:t xml:space="preserve"> = 6 Media L. Rep. </w:t>
      </w:r>
      <w:r w:rsidRPr="0053271A">
        <w:rPr>
          <w:lang w:val="en-US"/>
        </w:rPr>
        <w:t>1311 (1980).</w:t>
      </w:r>
    </w:p>
  </w:footnote>
  <w:footnote w:id="79">
    <w:p w14:paraId="77EFF7CF" w14:textId="77777777" w:rsidR="00074551" w:rsidRPr="0053271A" w:rsidRDefault="00074551" w:rsidP="00074551">
      <w:pPr>
        <w:pStyle w:val="Funotentext"/>
        <w:rPr>
          <w:lang w:val="en-US"/>
        </w:rPr>
      </w:pPr>
      <w:r>
        <w:rPr>
          <w:rStyle w:val="Funotenzeichen"/>
          <w:rFonts w:eastAsiaTheme="majorEastAsia"/>
        </w:rPr>
        <w:footnoteRef/>
      </w:r>
      <w:r w:rsidRPr="0053271A">
        <w:rPr>
          <w:lang w:val="en-US"/>
        </w:rPr>
        <w:t xml:space="preserve"> </w:t>
      </w:r>
      <w:r w:rsidRPr="00B45592">
        <w:rPr>
          <w:i/>
          <w:lang w:val="en-US"/>
        </w:rPr>
        <w:t>Penn Central Transportation Co. v. New York City</w:t>
      </w:r>
      <w:r w:rsidRPr="0053271A">
        <w:rPr>
          <w:lang w:val="en-US"/>
        </w:rPr>
        <w:t>, 438 U.S. 104, 123</w:t>
      </w:r>
      <w:r>
        <w:rPr>
          <w:lang w:val="en-US"/>
        </w:rPr>
        <w:t>–</w:t>
      </w:r>
      <w:r w:rsidRPr="0053271A">
        <w:rPr>
          <w:lang w:val="en-US"/>
        </w:rPr>
        <w:t xml:space="preserve">125 (1978); </w:t>
      </w:r>
      <w:r w:rsidRPr="00B45592">
        <w:rPr>
          <w:i/>
          <w:lang w:val="en-US"/>
        </w:rPr>
        <w:t>Pennsylvania Coal Co. v. Mahon</w:t>
      </w:r>
      <w:r w:rsidRPr="0053271A">
        <w:rPr>
          <w:lang w:val="en-US"/>
        </w:rPr>
        <w:t>, 260 U.S. 393, 416 (1922)</w:t>
      </w:r>
      <w:r>
        <w:rPr>
          <w:lang w:val="en-US"/>
        </w:rPr>
        <w:t xml:space="preserve">; </w:t>
      </w:r>
      <w:r w:rsidRPr="004F13B1">
        <w:rPr>
          <w:i/>
          <w:lang w:val="en-US"/>
        </w:rPr>
        <w:t>Pruneyard Shopping Ctr. v. Robins</w:t>
      </w:r>
      <w:r w:rsidRPr="0053271A">
        <w:rPr>
          <w:lang w:val="en-US"/>
        </w:rPr>
        <w:t>, 447 U.S. 74, 83</w:t>
      </w:r>
      <w:r>
        <w:rPr>
          <w:lang w:val="en-US"/>
        </w:rPr>
        <w:t xml:space="preserve"> = 100 S. Ct.</w:t>
      </w:r>
      <w:r w:rsidRPr="0053271A">
        <w:rPr>
          <w:lang w:val="en-US"/>
        </w:rPr>
        <w:t xml:space="preserve"> 2035, 2041</w:t>
      </w:r>
      <w:r>
        <w:rPr>
          <w:lang w:val="en-US"/>
        </w:rPr>
        <w:t xml:space="preserve"> = 64 L. Ed. </w:t>
      </w:r>
      <w:r w:rsidRPr="0053271A">
        <w:rPr>
          <w:lang w:val="en-US"/>
        </w:rPr>
        <w:t>2d 741, 753</w:t>
      </w:r>
      <w:r>
        <w:rPr>
          <w:lang w:val="en-US"/>
        </w:rPr>
        <w:t xml:space="preserve"> = 1980 U.S. LEXIS </w:t>
      </w:r>
      <w:r w:rsidRPr="0053271A">
        <w:rPr>
          <w:lang w:val="en-US"/>
        </w:rPr>
        <w:t>129, 18</w:t>
      </w:r>
      <w:r>
        <w:rPr>
          <w:lang w:val="en-US"/>
        </w:rPr>
        <w:t xml:space="preserve"> = 6 Media L. Rep. </w:t>
      </w:r>
      <w:r w:rsidRPr="0053271A">
        <w:rPr>
          <w:lang w:val="en-US"/>
        </w:rPr>
        <w:t>1311 (1980)</w:t>
      </w:r>
      <w:r>
        <w:rPr>
          <w:lang w:val="en-US"/>
        </w:rPr>
        <w:t>.</w:t>
      </w:r>
    </w:p>
  </w:footnote>
  <w:footnote w:id="80">
    <w:p w14:paraId="4C02C605" w14:textId="77777777" w:rsidR="00074551" w:rsidRPr="008854AA" w:rsidRDefault="00074551" w:rsidP="00074551">
      <w:pPr>
        <w:pStyle w:val="Funotentext"/>
        <w:rPr>
          <w:lang w:val="en-US"/>
        </w:rPr>
      </w:pPr>
      <w:r>
        <w:rPr>
          <w:rStyle w:val="Funotenzeichen"/>
          <w:rFonts w:eastAsiaTheme="majorEastAsia"/>
        </w:rPr>
        <w:footnoteRef/>
      </w:r>
      <w:r w:rsidRPr="008854AA">
        <w:rPr>
          <w:lang w:val="en-US"/>
        </w:rPr>
        <w:t xml:space="preserve"> </w:t>
      </w:r>
      <w:r w:rsidRPr="004F13B1">
        <w:rPr>
          <w:i/>
          <w:lang w:val="en-US"/>
        </w:rPr>
        <w:t>Kaiser Aetna v. United States</w:t>
      </w:r>
      <w:r w:rsidRPr="008854AA">
        <w:rPr>
          <w:lang w:val="en-US"/>
        </w:rPr>
        <w:t>, 444 U.S. 164, 179</w:t>
      </w:r>
      <w:r>
        <w:rPr>
          <w:lang w:val="en-US"/>
        </w:rPr>
        <w:t>–</w:t>
      </w:r>
      <w:r w:rsidRPr="008854AA">
        <w:rPr>
          <w:lang w:val="en-US"/>
        </w:rPr>
        <w:t xml:space="preserve">180 (1979); </w:t>
      </w:r>
      <w:r w:rsidRPr="004F13B1">
        <w:rPr>
          <w:i/>
          <w:lang w:val="en-US"/>
        </w:rPr>
        <w:t>Pruneyard Shopping Ctr. v. Robins</w:t>
      </w:r>
      <w:r w:rsidRPr="008854AA">
        <w:rPr>
          <w:lang w:val="en-US"/>
        </w:rPr>
        <w:t>, 447 U.S. 74, 82</w:t>
      </w:r>
      <w:r>
        <w:rPr>
          <w:lang w:val="en-US"/>
        </w:rPr>
        <w:t xml:space="preserve"> = 100 S. Ct.</w:t>
      </w:r>
      <w:r w:rsidRPr="008854AA">
        <w:rPr>
          <w:lang w:val="en-US"/>
        </w:rPr>
        <w:t xml:space="preserve"> 2035, 2041</w:t>
      </w:r>
      <w:r>
        <w:rPr>
          <w:lang w:val="en-US"/>
        </w:rPr>
        <w:t xml:space="preserve"> = 64 L. Ed. </w:t>
      </w:r>
      <w:r w:rsidRPr="008854AA">
        <w:rPr>
          <w:lang w:val="en-US"/>
        </w:rPr>
        <w:t>2d 741, 752</w:t>
      </w:r>
      <w:r>
        <w:rPr>
          <w:lang w:val="en-US"/>
        </w:rPr>
        <w:t xml:space="preserve"> = 1980 U.S. LEXIS </w:t>
      </w:r>
      <w:r w:rsidRPr="008854AA">
        <w:rPr>
          <w:lang w:val="en-US"/>
        </w:rPr>
        <w:t>129, 17</w:t>
      </w:r>
      <w:r>
        <w:rPr>
          <w:lang w:val="en-US"/>
        </w:rPr>
        <w:t xml:space="preserve"> = 6 Media L. Rep. </w:t>
      </w:r>
      <w:r w:rsidRPr="008854AA">
        <w:rPr>
          <w:lang w:val="en-US"/>
        </w:rPr>
        <w:t>1311 (1980).</w:t>
      </w:r>
    </w:p>
  </w:footnote>
  <w:footnote w:id="81">
    <w:p w14:paraId="21739764" w14:textId="77777777" w:rsidR="00074551" w:rsidRPr="008854AA" w:rsidRDefault="00074551" w:rsidP="00074551">
      <w:pPr>
        <w:pStyle w:val="Funotentext"/>
        <w:rPr>
          <w:lang w:val="en-US"/>
        </w:rPr>
      </w:pPr>
      <w:r>
        <w:rPr>
          <w:rStyle w:val="Funotenzeichen"/>
          <w:rFonts w:eastAsiaTheme="majorEastAsia"/>
        </w:rPr>
        <w:footnoteRef/>
      </w:r>
      <w:r w:rsidRPr="008854AA">
        <w:rPr>
          <w:lang w:val="en-US"/>
        </w:rPr>
        <w:t xml:space="preserve"> </w:t>
      </w:r>
      <w:r w:rsidRPr="00B45592">
        <w:rPr>
          <w:i/>
          <w:lang w:val="en-US"/>
        </w:rPr>
        <w:t>Pennsylvania Coal Co. v. Mahon</w:t>
      </w:r>
      <w:r w:rsidRPr="008854AA">
        <w:rPr>
          <w:lang w:val="en-US"/>
        </w:rPr>
        <w:t xml:space="preserve">, 260 U.S. 393, 415 (1922); </w:t>
      </w:r>
      <w:r w:rsidRPr="004F13B1">
        <w:rPr>
          <w:i/>
          <w:lang w:val="en-US"/>
        </w:rPr>
        <w:t>Pruneyard Shopping Ctr. v. Robins</w:t>
      </w:r>
      <w:r w:rsidRPr="008854AA">
        <w:rPr>
          <w:lang w:val="en-US"/>
        </w:rPr>
        <w:t>, 447 U.S. 74, 83</w:t>
      </w:r>
      <w:r>
        <w:rPr>
          <w:lang w:val="en-US"/>
        </w:rPr>
        <w:t xml:space="preserve"> = 100 S. Ct.</w:t>
      </w:r>
      <w:r w:rsidRPr="008854AA">
        <w:rPr>
          <w:lang w:val="en-US"/>
        </w:rPr>
        <w:t xml:space="preserve"> 2035, 2042</w:t>
      </w:r>
      <w:r>
        <w:rPr>
          <w:lang w:val="en-US"/>
        </w:rPr>
        <w:t xml:space="preserve"> = 64 L. Ed. </w:t>
      </w:r>
      <w:r w:rsidRPr="008854AA">
        <w:rPr>
          <w:lang w:val="en-US"/>
        </w:rPr>
        <w:t>2d 741, 753</w:t>
      </w:r>
      <w:r>
        <w:rPr>
          <w:lang w:val="en-US"/>
        </w:rPr>
        <w:t xml:space="preserve"> = 1980 U.S. LEXIS </w:t>
      </w:r>
      <w:r w:rsidRPr="008854AA">
        <w:rPr>
          <w:lang w:val="en-US"/>
        </w:rPr>
        <w:t>129, 18</w:t>
      </w:r>
      <w:r>
        <w:rPr>
          <w:lang w:val="en-US"/>
        </w:rPr>
        <w:t xml:space="preserve"> = 6 Media L. Rep. </w:t>
      </w:r>
      <w:r w:rsidRPr="008854AA">
        <w:rPr>
          <w:lang w:val="en-US"/>
        </w:rPr>
        <w:t>1311 (1980)</w:t>
      </w:r>
      <w:r>
        <w:rPr>
          <w:lang w:val="en-US"/>
        </w:rPr>
        <w:t>.</w:t>
      </w:r>
    </w:p>
  </w:footnote>
  <w:footnote w:id="82">
    <w:p w14:paraId="6A83AE8B" w14:textId="77777777" w:rsidR="00074551" w:rsidRPr="008854AA" w:rsidRDefault="00074551" w:rsidP="00074551">
      <w:pPr>
        <w:pStyle w:val="Funotentext"/>
        <w:rPr>
          <w:lang w:val="en-US"/>
        </w:rPr>
      </w:pPr>
      <w:r>
        <w:rPr>
          <w:rStyle w:val="Funotenzeichen"/>
          <w:rFonts w:eastAsiaTheme="majorEastAsia"/>
        </w:rPr>
        <w:footnoteRef/>
      </w:r>
      <w:r w:rsidRPr="008854AA">
        <w:rPr>
          <w:lang w:val="en-US"/>
        </w:rPr>
        <w:t xml:space="preserve"> </w:t>
      </w:r>
      <w:r w:rsidRPr="004F13B1">
        <w:rPr>
          <w:i/>
          <w:lang w:val="en-US"/>
        </w:rPr>
        <w:t>Pruneyard Shopping Ctr. v. Robins</w:t>
      </w:r>
      <w:r w:rsidRPr="00281367">
        <w:rPr>
          <w:lang w:val="en-US"/>
        </w:rPr>
        <w:t>, 447 U.S. 74, 83</w:t>
      </w:r>
      <w:r>
        <w:rPr>
          <w:lang w:val="en-US"/>
        </w:rPr>
        <w:t xml:space="preserve"> = 100 S. Ct.</w:t>
      </w:r>
      <w:r w:rsidRPr="00281367">
        <w:rPr>
          <w:lang w:val="en-US"/>
        </w:rPr>
        <w:t xml:space="preserve"> 2035, 2042</w:t>
      </w:r>
      <w:r>
        <w:rPr>
          <w:lang w:val="en-US"/>
        </w:rPr>
        <w:t xml:space="preserve"> = 64 L. Ed. </w:t>
      </w:r>
      <w:r w:rsidRPr="00281367">
        <w:rPr>
          <w:lang w:val="en-US"/>
        </w:rPr>
        <w:t>2d 741, 753</w:t>
      </w:r>
      <w:r>
        <w:rPr>
          <w:lang w:val="en-US"/>
        </w:rPr>
        <w:t xml:space="preserve"> = 1980 U.S. LEXIS </w:t>
      </w:r>
      <w:r w:rsidRPr="00281367">
        <w:rPr>
          <w:lang w:val="en-US"/>
        </w:rPr>
        <w:t>129, 18</w:t>
      </w:r>
      <w:r>
        <w:rPr>
          <w:lang w:val="en-US"/>
        </w:rPr>
        <w:t xml:space="preserve"> = 6 Media L. Rep. </w:t>
      </w:r>
      <w:r w:rsidRPr="00281367">
        <w:rPr>
          <w:lang w:val="en-US"/>
        </w:rPr>
        <w:t>1311 (1980)</w:t>
      </w:r>
      <w:r>
        <w:rPr>
          <w:lang w:val="en-US"/>
        </w:rPr>
        <w:t>.</w:t>
      </w:r>
    </w:p>
  </w:footnote>
  <w:footnote w:id="83">
    <w:p w14:paraId="58CBF4D1" w14:textId="77777777" w:rsidR="00074551" w:rsidRPr="0094224A" w:rsidRDefault="00074551" w:rsidP="00074551">
      <w:pPr>
        <w:pStyle w:val="Funotentext"/>
        <w:rPr>
          <w:lang w:val="en-US"/>
        </w:rPr>
      </w:pPr>
      <w:r>
        <w:rPr>
          <w:rStyle w:val="Funotenzeichen"/>
          <w:rFonts w:eastAsiaTheme="majorEastAsia"/>
        </w:rPr>
        <w:footnoteRef/>
      </w:r>
      <w:r w:rsidRPr="00134532">
        <w:rPr>
          <w:lang w:val="en-US"/>
        </w:rPr>
        <w:t xml:space="preserve"> </w:t>
      </w:r>
      <w:r w:rsidRPr="00134532">
        <w:rPr>
          <w:i/>
          <w:lang w:val="en-US"/>
        </w:rPr>
        <w:t>Vitek v. Jones</w:t>
      </w:r>
      <w:r w:rsidRPr="00134532">
        <w:rPr>
          <w:lang w:val="en-US"/>
        </w:rPr>
        <w:t xml:space="preserve">, 445 U.S. 480, 488–489 (1980) und </w:t>
      </w:r>
      <w:proofErr w:type="spellStart"/>
      <w:r w:rsidRPr="00134532">
        <w:rPr>
          <w:lang w:val="en-US"/>
        </w:rPr>
        <w:t>zitierte</w:t>
      </w:r>
      <w:proofErr w:type="spellEnd"/>
      <w:r w:rsidRPr="00134532">
        <w:rPr>
          <w:lang w:val="en-US"/>
        </w:rPr>
        <w:t xml:space="preserve"> </w:t>
      </w:r>
      <w:proofErr w:type="spellStart"/>
      <w:r w:rsidRPr="00134532">
        <w:rPr>
          <w:lang w:val="en-US"/>
        </w:rPr>
        <w:t>Fälle</w:t>
      </w:r>
      <w:proofErr w:type="spellEnd"/>
      <w:r w:rsidRPr="00134532">
        <w:rPr>
          <w:lang w:val="en-US"/>
        </w:rPr>
        <w:t xml:space="preserve">; </w:t>
      </w:r>
      <w:r w:rsidRPr="00134532">
        <w:rPr>
          <w:i/>
          <w:lang w:val="en-US"/>
        </w:rPr>
        <w:t>Mathews v. Eldridge</w:t>
      </w:r>
      <w:r w:rsidRPr="00134532">
        <w:rPr>
          <w:lang w:val="en-US"/>
        </w:rPr>
        <w:t xml:space="preserve">, 424 U.S. 319, 333 (1976); </w:t>
      </w:r>
      <w:proofErr w:type="spellStart"/>
      <w:r w:rsidRPr="00134532">
        <w:rPr>
          <w:lang w:val="en-US"/>
        </w:rPr>
        <w:t>vgl</w:t>
      </w:r>
      <w:proofErr w:type="spellEnd"/>
      <w:r w:rsidRPr="00134532">
        <w:rPr>
          <w:lang w:val="en-US"/>
        </w:rPr>
        <w:t xml:space="preserve">. </w:t>
      </w:r>
      <w:proofErr w:type="spellStart"/>
      <w:r w:rsidRPr="00134532">
        <w:rPr>
          <w:lang w:val="en-US"/>
        </w:rPr>
        <w:t>auch</w:t>
      </w:r>
      <w:proofErr w:type="spellEnd"/>
      <w:r w:rsidRPr="00134532">
        <w:rPr>
          <w:lang w:val="en-US"/>
        </w:rPr>
        <w:t xml:space="preserve"> </w:t>
      </w:r>
      <w:r w:rsidRPr="00134532">
        <w:rPr>
          <w:i/>
          <w:lang w:val="en-US"/>
        </w:rPr>
        <w:t>Meachum v. Fano</w:t>
      </w:r>
      <w:r w:rsidRPr="00134532">
        <w:rPr>
          <w:lang w:val="en-US"/>
        </w:rPr>
        <w:t xml:space="preserve">, 427 U.S. 215, 229 (1976) </w:t>
      </w:r>
      <w:bookmarkStart w:id="10" w:name="_Hlk228717971"/>
      <w:r w:rsidRPr="00134532">
        <w:rPr>
          <w:lang w:val="en-US"/>
        </w:rPr>
        <w:t xml:space="preserve">(Dissens von Richter </w:t>
      </w:r>
      <w:r w:rsidRPr="00134532">
        <w:rPr>
          <w:i/>
          <w:lang w:val="en-US"/>
        </w:rPr>
        <w:t>Stevens</w:t>
      </w:r>
      <w:r w:rsidRPr="00134532">
        <w:rPr>
          <w:lang w:val="en-US"/>
        </w:rPr>
        <w:t>)</w:t>
      </w:r>
      <w:bookmarkEnd w:id="10"/>
      <w:r w:rsidRPr="00134532">
        <w:rPr>
          <w:lang w:val="en-US"/>
        </w:rPr>
        <w:t xml:space="preserve">; </w:t>
      </w:r>
      <w:r w:rsidRPr="004F13B1">
        <w:rPr>
          <w:i/>
          <w:lang w:val="en-US"/>
        </w:rPr>
        <w:t>Pruneyard Shopping Ctr. v. Robins</w:t>
      </w:r>
      <w:r w:rsidRPr="0094224A">
        <w:rPr>
          <w:lang w:val="en-US"/>
        </w:rPr>
        <w:t>, 447 U.S. 74, 93</w:t>
      </w:r>
      <w:r>
        <w:rPr>
          <w:lang w:val="en-US"/>
        </w:rPr>
        <w:t xml:space="preserve"> = 100 S. Ct.</w:t>
      </w:r>
      <w:r w:rsidRPr="0094224A">
        <w:rPr>
          <w:lang w:val="en-US"/>
        </w:rPr>
        <w:t xml:space="preserve"> 2035, 2047</w:t>
      </w:r>
      <w:r>
        <w:rPr>
          <w:lang w:val="en-US"/>
        </w:rPr>
        <w:t xml:space="preserve"> = 64 L. Ed. </w:t>
      </w:r>
      <w:r w:rsidRPr="0094224A">
        <w:rPr>
          <w:lang w:val="en-US"/>
        </w:rPr>
        <w:t>2d 741, 760</w:t>
      </w:r>
      <w:r>
        <w:rPr>
          <w:lang w:val="en-US"/>
        </w:rPr>
        <w:t xml:space="preserve"> = 1980 U.S. LEXIS </w:t>
      </w:r>
      <w:r w:rsidRPr="0094224A">
        <w:rPr>
          <w:lang w:val="en-US"/>
        </w:rPr>
        <w:t>129, 36</w:t>
      </w:r>
      <w:r>
        <w:rPr>
          <w:lang w:val="en-US"/>
        </w:rPr>
        <w:t xml:space="preserve"> = 6 Media L. Rep. </w:t>
      </w:r>
      <w:r w:rsidRPr="0094224A">
        <w:rPr>
          <w:lang w:val="en-US"/>
        </w:rPr>
        <w:t>1311 (1980)</w:t>
      </w:r>
      <w:r>
        <w:rPr>
          <w:lang w:val="en-US"/>
        </w:rPr>
        <w:t>.</w:t>
      </w:r>
    </w:p>
  </w:footnote>
  <w:footnote w:id="84">
    <w:p w14:paraId="237BEC77" w14:textId="77777777" w:rsidR="00074551" w:rsidRPr="0094224A" w:rsidRDefault="00074551" w:rsidP="00074551">
      <w:pPr>
        <w:pStyle w:val="Funotentext"/>
        <w:rPr>
          <w:lang w:val="en-US"/>
        </w:rPr>
      </w:pPr>
      <w:r>
        <w:rPr>
          <w:rStyle w:val="Funotenzeichen"/>
          <w:rFonts w:eastAsiaTheme="majorEastAsia"/>
        </w:rPr>
        <w:footnoteRef/>
      </w:r>
      <w:r w:rsidRPr="0094224A">
        <w:rPr>
          <w:lang w:val="en-US"/>
        </w:rPr>
        <w:t xml:space="preserve"> </w:t>
      </w:r>
      <w:r w:rsidRPr="004F13B1">
        <w:rPr>
          <w:i/>
          <w:lang w:val="en-US"/>
        </w:rPr>
        <w:t>Pruneyard Shopping Ctr. v. Robins</w:t>
      </w:r>
      <w:r w:rsidRPr="0094224A">
        <w:rPr>
          <w:lang w:val="en-US"/>
        </w:rPr>
        <w:t>, 447 U.S. 74, 94</w:t>
      </w:r>
      <w:r>
        <w:rPr>
          <w:lang w:val="en-US"/>
        </w:rPr>
        <w:t xml:space="preserve"> = 100 S. Ct.</w:t>
      </w:r>
      <w:r w:rsidRPr="0094224A">
        <w:rPr>
          <w:lang w:val="en-US"/>
        </w:rPr>
        <w:t xml:space="preserve"> 2035, 2047</w:t>
      </w:r>
      <w:r>
        <w:rPr>
          <w:lang w:val="en-US"/>
        </w:rPr>
        <w:t xml:space="preserve"> = 64 L. Ed. </w:t>
      </w:r>
      <w:r w:rsidRPr="0094224A">
        <w:rPr>
          <w:lang w:val="en-US"/>
        </w:rPr>
        <w:t>2d 741, 760</w:t>
      </w:r>
      <w:r>
        <w:rPr>
          <w:lang w:val="en-US"/>
        </w:rPr>
        <w:t xml:space="preserve"> = 1980 U.S. LEXIS </w:t>
      </w:r>
      <w:r w:rsidRPr="0094224A">
        <w:rPr>
          <w:lang w:val="en-US"/>
        </w:rPr>
        <w:t>129, 37</w:t>
      </w:r>
      <w:r>
        <w:rPr>
          <w:lang w:val="en-US"/>
        </w:rPr>
        <w:t xml:space="preserve"> = 6 Media L. Rep. </w:t>
      </w:r>
      <w:r w:rsidRPr="0094224A">
        <w:rPr>
          <w:lang w:val="en-US"/>
        </w:rPr>
        <w:t>1311 (1980).</w:t>
      </w:r>
    </w:p>
  </w:footnote>
  <w:footnote w:id="85">
    <w:p w14:paraId="642B5257" w14:textId="77777777" w:rsidR="00074551" w:rsidRPr="0094224A" w:rsidRDefault="00074551" w:rsidP="00074551">
      <w:pPr>
        <w:pStyle w:val="Funotentext"/>
        <w:rPr>
          <w:lang w:val="en-US"/>
        </w:rPr>
      </w:pPr>
      <w:r>
        <w:rPr>
          <w:rStyle w:val="Funotenzeichen"/>
          <w:rFonts w:eastAsiaTheme="majorEastAsia"/>
        </w:rPr>
        <w:footnoteRef/>
      </w:r>
      <w:r w:rsidRPr="0094224A">
        <w:rPr>
          <w:lang w:val="en-US"/>
        </w:rPr>
        <w:t xml:space="preserve"> </w:t>
      </w:r>
      <w:r w:rsidRPr="004F13B1">
        <w:rPr>
          <w:i/>
          <w:lang w:val="en-US"/>
        </w:rPr>
        <w:t>Pruneyard Shopping Ctr. v. Robins</w:t>
      </w:r>
      <w:r w:rsidRPr="0094224A">
        <w:rPr>
          <w:lang w:val="en-US"/>
        </w:rPr>
        <w:t>, 447 U.S. 74, 95</w:t>
      </w:r>
      <w:r>
        <w:rPr>
          <w:lang w:val="en-US"/>
        </w:rPr>
        <w:t xml:space="preserve"> = 100 S. Ct.</w:t>
      </w:r>
      <w:r w:rsidRPr="0094224A">
        <w:rPr>
          <w:lang w:val="en-US"/>
        </w:rPr>
        <w:t xml:space="preserve"> 2035, 2048</w:t>
      </w:r>
      <w:r>
        <w:rPr>
          <w:lang w:val="en-US"/>
        </w:rPr>
        <w:t xml:space="preserve"> = 64 L. Ed. </w:t>
      </w:r>
      <w:r w:rsidRPr="0094224A">
        <w:rPr>
          <w:lang w:val="en-US"/>
        </w:rPr>
        <w:t>2d 741, 760</w:t>
      </w:r>
      <w:r>
        <w:rPr>
          <w:lang w:val="en-US"/>
        </w:rPr>
        <w:t xml:space="preserve"> = 1980 U.S. LEXIS </w:t>
      </w:r>
      <w:r w:rsidRPr="0094224A">
        <w:rPr>
          <w:lang w:val="en-US"/>
        </w:rPr>
        <w:t>129, 38</w:t>
      </w:r>
      <w:r>
        <w:rPr>
          <w:lang w:val="en-US"/>
        </w:rPr>
        <w:t xml:space="preserve"> = 6 Media L. Rep. </w:t>
      </w:r>
      <w:r w:rsidRPr="0094224A">
        <w:rPr>
          <w:lang w:val="en-US"/>
        </w:rPr>
        <w:t>1311 (1980)</w:t>
      </w:r>
      <w:r>
        <w:rPr>
          <w:lang w:val="en-US"/>
        </w:rPr>
        <w:t>.</w:t>
      </w:r>
    </w:p>
  </w:footnote>
  <w:footnote w:id="86">
    <w:p w14:paraId="6D02CDE3" w14:textId="77777777" w:rsidR="00074551" w:rsidRPr="0094224A" w:rsidRDefault="00074551" w:rsidP="00074551">
      <w:pPr>
        <w:pStyle w:val="Funotentext"/>
        <w:rPr>
          <w:lang w:val="en-US"/>
        </w:rPr>
      </w:pPr>
      <w:r>
        <w:rPr>
          <w:rStyle w:val="Funotenzeichen"/>
          <w:rFonts w:eastAsiaTheme="majorEastAsia"/>
        </w:rPr>
        <w:footnoteRef/>
      </w:r>
      <w:r w:rsidRPr="0094224A">
        <w:rPr>
          <w:lang w:val="en-US"/>
        </w:rPr>
        <w:t xml:space="preserve"> </w:t>
      </w:r>
      <w:r w:rsidRPr="004F13B1">
        <w:rPr>
          <w:i/>
          <w:lang w:val="en-US"/>
        </w:rPr>
        <w:t>Ingraham v. Wright</w:t>
      </w:r>
      <w:r w:rsidRPr="0094224A">
        <w:rPr>
          <w:lang w:val="en-US"/>
        </w:rPr>
        <w:t>, 430 U.S. 651 (1977)</w:t>
      </w:r>
      <w:r>
        <w:rPr>
          <w:lang w:val="en-US"/>
        </w:rPr>
        <w:t xml:space="preserve">; </w:t>
      </w:r>
      <w:r w:rsidRPr="004F13B1">
        <w:rPr>
          <w:i/>
          <w:lang w:val="en-US"/>
        </w:rPr>
        <w:t>Pruneyard Shopping Ctr. v. Robins</w:t>
      </w:r>
      <w:r w:rsidRPr="0094224A">
        <w:rPr>
          <w:lang w:val="en-US"/>
        </w:rPr>
        <w:t>, 447 U.S. 74, 94</w:t>
      </w:r>
      <w:r>
        <w:rPr>
          <w:lang w:val="en-US"/>
        </w:rPr>
        <w:t xml:space="preserve"> = 100 S. Ct.</w:t>
      </w:r>
      <w:r w:rsidRPr="0094224A">
        <w:rPr>
          <w:lang w:val="en-US"/>
        </w:rPr>
        <w:t xml:space="preserve"> 2035, 2047</w:t>
      </w:r>
      <w:r>
        <w:rPr>
          <w:lang w:val="en-US"/>
        </w:rPr>
        <w:t xml:space="preserve"> = 64 L. Ed. </w:t>
      </w:r>
      <w:r w:rsidRPr="0094224A">
        <w:rPr>
          <w:lang w:val="en-US"/>
        </w:rPr>
        <w:t>2d 741, 760</w:t>
      </w:r>
      <w:r>
        <w:rPr>
          <w:lang w:val="en-US"/>
        </w:rPr>
        <w:t xml:space="preserve"> = 1980 U.S. LEXIS </w:t>
      </w:r>
      <w:r w:rsidRPr="0094224A">
        <w:rPr>
          <w:lang w:val="en-US"/>
        </w:rPr>
        <w:t>129, 37</w:t>
      </w:r>
      <w:r>
        <w:rPr>
          <w:lang w:val="en-US"/>
        </w:rPr>
        <w:t xml:space="preserve"> = 6 Media L. Rep. </w:t>
      </w:r>
      <w:r w:rsidRPr="0094224A">
        <w:rPr>
          <w:lang w:val="en-US"/>
        </w:rPr>
        <w:t>1311 (1980)</w:t>
      </w:r>
      <w:r>
        <w:rPr>
          <w:lang w:val="en-US"/>
        </w:rPr>
        <w:t>.</w:t>
      </w:r>
    </w:p>
  </w:footnote>
  <w:footnote w:id="87">
    <w:p w14:paraId="1FA16817" w14:textId="77777777" w:rsidR="00074551" w:rsidRPr="00FA6871" w:rsidRDefault="00074551" w:rsidP="00074551">
      <w:pPr>
        <w:pStyle w:val="Funotentext"/>
        <w:rPr>
          <w:lang w:val="en-US"/>
        </w:rPr>
      </w:pPr>
      <w:r>
        <w:rPr>
          <w:rStyle w:val="Funotenzeichen"/>
          <w:rFonts w:eastAsiaTheme="majorEastAsia"/>
        </w:rPr>
        <w:footnoteRef/>
      </w:r>
      <w:r w:rsidRPr="00FA6871">
        <w:rPr>
          <w:lang w:val="en-US"/>
        </w:rPr>
        <w:t xml:space="preserve"> </w:t>
      </w:r>
      <w:r w:rsidRPr="004F13B1">
        <w:rPr>
          <w:i/>
          <w:lang w:val="en-US"/>
        </w:rPr>
        <w:t>Pruneyard Shopping Ctr. v. Robins</w:t>
      </w:r>
      <w:r w:rsidRPr="00FA6871">
        <w:rPr>
          <w:lang w:val="en-US"/>
        </w:rPr>
        <w:t>, 447 U.S. 74, 94</w:t>
      </w:r>
      <w:r>
        <w:rPr>
          <w:lang w:val="en-US"/>
        </w:rPr>
        <w:t xml:space="preserve"> = 100 S. Ct.</w:t>
      </w:r>
      <w:r w:rsidRPr="00FA6871">
        <w:rPr>
          <w:lang w:val="en-US"/>
        </w:rPr>
        <w:t xml:space="preserve"> 2035, 2048</w:t>
      </w:r>
      <w:r>
        <w:rPr>
          <w:lang w:val="en-US"/>
        </w:rPr>
        <w:t xml:space="preserve"> = 64 L. Ed. </w:t>
      </w:r>
      <w:r w:rsidRPr="00FA6871">
        <w:rPr>
          <w:lang w:val="en-US"/>
        </w:rPr>
        <w:t>2d 741, 760</w:t>
      </w:r>
      <w:r>
        <w:rPr>
          <w:lang w:val="en-US"/>
        </w:rPr>
        <w:t xml:space="preserve"> = 1980 U.S. LEXIS </w:t>
      </w:r>
      <w:r w:rsidRPr="00FA6871">
        <w:rPr>
          <w:lang w:val="en-US"/>
        </w:rPr>
        <w:t>129, 38</w:t>
      </w:r>
      <w:r>
        <w:rPr>
          <w:lang w:val="en-US"/>
        </w:rPr>
        <w:t xml:space="preserve"> = 6 Media L. Rep. </w:t>
      </w:r>
      <w:r w:rsidRPr="00FA6871">
        <w:rPr>
          <w:lang w:val="en-US"/>
        </w:rPr>
        <w:t>1311 (1980)</w:t>
      </w:r>
      <w:r>
        <w:rPr>
          <w:lang w:val="en-US"/>
        </w:rPr>
        <w:t>.</w:t>
      </w:r>
    </w:p>
  </w:footnote>
  <w:footnote w:id="88">
    <w:p w14:paraId="0E23001E" w14:textId="77777777" w:rsidR="00074551" w:rsidRPr="00D768A0" w:rsidRDefault="00074551" w:rsidP="00074551">
      <w:pPr>
        <w:pStyle w:val="Funotentext"/>
        <w:rPr>
          <w:lang w:val="en-US"/>
        </w:rPr>
      </w:pPr>
      <w:r>
        <w:rPr>
          <w:rStyle w:val="Funotenzeichen"/>
        </w:rPr>
        <w:footnoteRef/>
      </w:r>
      <w:r w:rsidRPr="00D768A0">
        <w:rPr>
          <w:lang w:val="en-US"/>
        </w:rPr>
        <w:t xml:space="preserve"> </w:t>
      </w:r>
      <w:bookmarkStart w:id="11" w:name="_Hlk228718008"/>
      <w:r w:rsidRPr="00D768A0">
        <w:rPr>
          <w:lang w:val="en-US"/>
        </w:rPr>
        <w:t>Ohio Legislature of May 9, 190</w:t>
      </w:r>
      <w:r>
        <w:rPr>
          <w:lang w:val="en-US"/>
        </w:rPr>
        <w:t>8</w:t>
      </w:r>
      <w:r w:rsidRPr="00D768A0">
        <w:rPr>
          <w:lang w:val="en-US"/>
        </w:rPr>
        <w:t xml:space="preserve">, Laws 1908, p. 308, </w:t>
      </w:r>
      <w:r>
        <w:rPr>
          <w:lang w:val="en-US"/>
        </w:rPr>
        <w:t>§ </w:t>
      </w:r>
      <w:r w:rsidRPr="00D768A0">
        <w:rPr>
          <w:lang w:val="en-US"/>
        </w:rPr>
        <w:t>3283-a</w:t>
      </w:r>
      <w:bookmarkEnd w:id="11"/>
      <w:r>
        <w:rPr>
          <w:lang w:val="en-US"/>
        </w:rPr>
        <w:t xml:space="preserve">, </w:t>
      </w:r>
      <w:proofErr w:type="spellStart"/>
      <w:r>
        <w:rPr>
          <w:lang w:val="en-US"/>
        </w:rPr>
        <w:t>vgl</w:t>
      </w:r>
      <w:proofErr w:type="spellEnd"/>
      <w:r>
        <w:rPr>
          <w:lang w:val="en-US"/>
        </w:rPr>
        <w:t xml:space="preserve">. </w:t>
      </w:r>
      <w:r w:rsidRPr="004F13B1">
        <w:rPr>
          <w:i/>
          <w:lang w:val="en-US"/>
        </w:rPr>
        <w:t>Cincinnati v. Louisville &amp; N. R. Co.</w:t>
      </w:r>
      <w:r w:rsidRPr="00D768A0">
        <w:rPr>
          <w:lang w:val="en-US"/>
        </w:rPr>
        <w:t>, 223 U.S. 390, 398</w:t>
      </w:r>
      <w:r>
        <w:rPr>
          <w:lang w:val="en-US"/>
        </w:rPr>
        <w:t xml:space="preserve"> = 32 S. Ct. </w:t>
      </w:r>
      <w:r w:rsidRPr="00D768A0">
        <w:rPr>
          <w:lang w:val="en-US"/>
        </w:rPr>
        <w:t>267, 268</w:t>
      </w:r>
      <w:r>
        <w:rPr>
          <w:lang w:val="en-US"/>
        </w:rPr>
        <w:t xml:space="preserve"> = 56 L. Ed. </w:t>
      </w:r>
      <w:r w:rsidRPr="00D768A0">
        <w:rPr>
          <w:lang w:val="en-US"/>
        </w:rPr>
        <w:t>481, 483</w:t>
      </w:r>
      <w:r>
        <w:rPr>
          <w:lang w:val="en-US"/>
        </w:rPr>
        <w:t xml:space="preserve"> = 1912 U.S. LEXIS </w:t>
      </w:r>
      <w:r w:rsidRPr="00D768A0">
        <w:rPr>
          <w:lang w:val="en-US"/>
        </w:rPr>
        <w:t>2242, 1 (1912)</w:t>
      </w:r>
      <w:r>
        <w:rPr>
          <w:lang w:val="en-US"/>
        </w:rPr>
        <w:t>.</w:t>
      </w:r>
    </w:p>
  </w:footnote>
  <w:footnote w:id="89">
    <w:p w14:paraId="6FC8367E" w14:textId="77777777" w:rsidR="00074551" w:rsidRPr="00D768A0" w:rsidRDefault="00074551" w:rsidP="00074551">
      <w:pPr>
        <w:pStyle w:val="Funotentext"/>
        <w:rPr>
          <w:lang w:val="en-US"/>
        </w:rPr>
      </w:pPr>
      <w:r>
        <w:rPr>
          <w:rStyle w:val="Funotenzeichen"/>
        </w:rPr>
        <w:footnoteRef/>
      </w:r>
      <w:r w:rsidRPr="00D768A0">
        <w:rPr>
          <w:lang w:val="en-US"/>
        </w:rPr>
        <w:t xml:space="preserve"> </w:t>
      </w:r>
      <w:bookmarkStart w:id="12" w:name="_Hlk228718024"/>
      <w:r w:rsidRPr="00D768A0">
        <w:rPr>
          <w:lang w:val="en-US"/>
        </w:rPr>
        <w:t xml:space="preserve">Ordinance of July 13, 1787, </w:t>
      </w:r>
      <w:bookmarkEnd w:id="12"/>
      <w:r w:rsidRPr="00D768A0">
        <w:rPr>
          <w:lang w:val="en-US"/>
        </w:rPr>
        <w:t>1 Stat. 52</w:t>
      </w:r>
      <w:r>
        <w:rPr>
          <w:lang w:val="en-US"/>
        </w:rPr>
        <w:t xml:space="preserve">; </w:t>
      </w:r>
      <w:r w:rsidRPr="004F13B1">
        <w:rPr>
          <w:i/>
          <w:lang w:val="en-US"/>
        </w:rPr>
        <w:t>Cincinnati v. Louisville &amp; N. R. Co.</w:t>
      </w:r>
      <w:r w:rsidRPr="00D768A0">
        <w:rPr>
          <w:lang w:val="en-US"/>
        </w:rPr>
        <w:t>, 223 U.S. 390, 398</w:t>
      </w:r>
      <w:r>
        <w:rPr>
          <w:lang w:val="en-US"/>
        </w:rPr>
        <w:t xml:space="preserve"> = 32 S. Ct. </w:t>
      </w:r>
      <w:r w:rsidRPr="00D768A0">
        <w:rPr>
          <w:lang w:val="en-US"/>
        </w:rPr>
        <w:t>267, 268</w:t>
      </w:r>
      <w:r>
        <w:rPr>
          <w:lang w:val="en-US"/>
        </w:rPr>
        <w:t xml:space="preserve"> = 56 L. Ed. </w:t>
      </w:r>
      <w:r w:rsidRPr="00D768A0">
        <w:rPr>
          <w:lang w:val="en-US"/>
        </w:rPr>
        <w:t>481, 483</w:t>
      </w:r>
      <w:r>
        <w:rPr>
          <w:lang w:val="en-US"/>
        </w:rPr>
        <w:t xml:space="preserve"> = 1912 U.S. LEXIS </w:t>
      </w:r>
      <w:r w:rsidRPr="00D768A0">
        <w:rPr>
          <w:lang w:val="en-US"/>
        </w:rPr>
        <w:t>2242, 1 (1912)</w:t>
      </w:r>
      <w:r>
        <w:rPr>
          <w:lang w:val="en-US"/>
        </w:rPr>
        <w:t>.</w:t>
      </w:r>
    </w:p>
  </w:footnote>
  <w:footnote w:id="90">
    <w:p w14:paraId="6EDF776E" w14:textId="77777777" w:rsidR="00074551" w:rsidRPr="00B00A89" w:rsidRDefault="00074551" w:rsidP="00074551">
      <w:pPr>
        <w:pStyle w:val="Funotentext"/>
        <w:rPr>
          <w:lang w:val="en-US"/>
        </w:rPr>
      </w:pPr>
      <w:r>
        <w:rPr>
          <w:rStyle w:val="Funotenzeichen"/>
        </w:rPr>
        <w:footnoteRef/>
      </w:r>
      <w:r w:rsidRPr="00B00A89">
        <w:rPr>
          <w:lang w:val="en-US"/>
        </w:rPr>
        <w:t xml:space="preserve"> </w:t>
      </w:r>
      <w:r w:rsidRPr="004F13B1">
        <w:rPr>
          <w:i/>
          <w:lang w:val="en-US"/>
        </w:rPr>
        <w:t>Charles River Bridge Case</w:t>
      </w:r>
      <w:r w:rsidRPr="00B00A89">
        <w:rPr>
          <w:lang w:val="en-US"/>
        </w:rPr>
        <w:t>, 11 Pet. 420, 547</w:t>
      </w:r>
      <w:r>
        <w:rPr>
          <w:lang w:val="en-US"/>
        </w:rPr>
        <w:t xml:space="preserve">; </w:t>
      </w:r>
      <w:r w:rsidRPr="004F13B1">
        <w:rPr>
          <w:i/>
          <w:lang w:val="en-US"/>
        </w:rPr>
        <w:t>Cincinnati v. Louisville &amp; N. R. Co.</w:t>
      </w:r>
      <w:r w:rsidRPr="00B00A89">
        <w:rPr>
          <w:lang w:val="en-US"/>
        </w:rPr>
        <w:t>, 223 U.S. 390, 405</w:t>
      </w:r>
      <w:r>
        <w:rPr>
          <w:lang w:val="en-US"/>
        </w:rPr>
        <w:t xml:space="preserve"> = 32 S. Ct. </w:t>
      </w:r>
      <w:r w:rsidRPr="00B00A89">
        <w:rPr>
          <w:lang w:val="en-US"/>
        </w:rPr>
        <w:t>267, 270</w:t>
      </w:r>
      <w:r>
        <w:rPr>
          <w:lang w:val="en-US"/>
        </w:rPr>
        <w:t xml:space="preserve"> = 56 L. Ed. </w:t>
      </w:r>
      <w:r w:rsidRPr="00B00A89">
        <w:rPr>
          <w:lang w:val="en-US"/>
        </w:rPr>
        <w:t>481, 485</w:t>
      </w:r>
      <w:r>
        <w:rPr>
          <w:lang w:val="en-US"/>
        </w:rPr>
        <w:t xml:space="preserve"> = 1912 U.S. LEXIS </w:t>
      </w:r>
      <w:r w:rsidRPr="00B00A89">
        <w:rPr>
          <w:lang w:val="en-US"/>
        </w:rPr>
        <w:t>2242, 25 (1912)</w:t>
      </w:r>
      <w:r>
        <w:rPr>
          <w:lang w:val="en-US"/>
        </w:rPr>
        <w:t>.</w:t>
      </w:r>
    </w:p>
  </w:footnote>
  <w:footnote w:id="91">
    <w:p w14:paraId="0DF5BA50" w14:textId="77777777" w:rsidR="00074551" w:rsidRPr="00B00A89" w:rsidRDefault="00074551" w:rsidP="00074551">
      <w:pPr>
        <w:pStyle w:val="Funotentext"/>
        <w:rPr>
          <w:lang w:val="en-US"/>
        </w:rPr>
      </w:pPr>
      <w:r>
        <w:rPr>
          <w:rStyle w:val="Funotenzeichen"/>
        </w:rPr>
        <w:footnoteRef/>
      </w:r>
      <w:r w:rsidRPr="00B00A89">
        <w:rPr>
          <w:lang w:val="en-US"/>
        </w:rPr>
        <w:t xml:space="preserve"> </w:t>
      </w:r>
      <w:r w:rsidRPr="004F13B1">
        <w:rPr>
          <w:i/>
          <w:lang w:val="en-US"/>
        </w:rPr>
        <w:t>Cincinnati v. Louisville &amp; N. R. Co.</w:t>
      </w:r>
      <w:r w:rsidRPr="00B00A89">
        <w:rPr>
          <w:lang w:val="en-US"/>
        </w:rPr>
        <w:t>, 223 U.S. 390, 405</w:t>
      </w:r>
      <w:r>
        <w:rPr>
          <w:lang w:val="en-US"/>
        </w:rPr>
        <w:t xml:space="preserve"> = 32 S. Ct. </w:t>
      </w:r>
      <w:r w:rsidRPr="00B00A89">
        <w:rPr>
          <w:lang w:val="en-US"/>
        </w:rPr>
        <w:t>267, 270</w:t>
      </w:r>
      <w:r>
        <w:rPr>
          <w:lang w:val="en-US"/>
        </w:rPr>
        <w:t xml:space="preserve"> = 56 L. Ed. </w:t>
      </w:r>
      <w:r w:rsidRPr="00B00A89">
        <w:rPr>
          <w:lang w:val="en-US"/>
        </w:rPr>
        <w:t>481, 485</w:t>
      </w:r>
      <w:r>
        <w:rPr>
          <w:lang w:val="en-US"/>
        </w:rPr>
        <w:t xml:space="preserve"> = 1912 U.S. LEXIS </w:t>
      </w:r>
      <w:r w:rsidRPr="00B00A89">
        <w:rPr>
          <w:lang w:val="en-US"/>
        </w:rPr>
        <w:t>2242, 25 (1912)</w:t>
      </w:r>
      <w:r>
        <w:rPr>
          <w:lang w:val="en-US"/>
        </w:rPr>
        <w:t>.</w:t>
      </w:r>
    </w:p>
  </w:footnote>
  <w:footnote w:id="92">
    <w:p w14:paraId="26F95293" w14:textId="77777777" w:rsidR="00074551" w:rsidRPr="0039209A" w:rsidRDefault="00074551" w:rsidP="00074551">
      <w:pPr>
        <w:pStyle w:val="Funotentext"/>
        <w:rPr>
          <w:lang w:val="en-US"/>
        </w:rPr>
      </w:pPr>
      <w:r>
        <w:rPr>
          <w:rStyle w:val="Funotenzeichen"/>
        </w:rPr>
        <w:footnoteRef/>
      </w:r>
      <w:r w:rsidRPr="0039209A">
        <w:rPr>
          <w:lang w:val="en-US"/>
        </w:rPr>
        <w:t xml:space="preserve"> </w:t>
      </w:r>
      <w:r>
        <w:rPr>
          <w:lang w:val="en-US"/>
        </w:rPr>
        <w:t>„</w:t>
      </w:r>
      <w:r w:rsidRPr="0039209A">
        <w:rPr>
          <w:lang w:val="en-US"/>
        </w:rPr>
        <w:t xml:space="preserve">provision in the act of March 4, 1893, of the State of Indiana </w:t>
      </w:r>
      <w:r>
        <w:rPr>
          <w:lang w:val="en-US"/>
        </w:rPr>
        <w:t>,</w:t>
      </w:r>
      <w:r w:rsidRPr="0039209A">
        <w:rPr>
          <w:lang w:val="en-US"/>
        </w:rPr>
        <w:t>that it shall be unlawful for any person, firm or corporation having possession or control of any natural gas or oil well, whether as a contractor, owner, lessee, agent or manager, to allow or permit the flow of gas or oil from any such well to escape into the open air without being confined within such well or proper pipes, or other safe receptacle, for a longer period than two days next after gas or oil shall have been struck in such well; and thereafter all such gas or oil shall be safely and securely confined in such well, pipes or other safe and proper receptacles</w:t>
      </w:r>
      <w:r>
        <w:rPr>
          <w:lang w:val="en-US"/>
        </w:rPr>
        <w:t xml:space="preserve">‘“, </w:t>
      </w:r>
      <w:r w:rsidRPr="004F13B1">
        <w:rPr>
          <w:i/>
          <w:lang w:val="en-US"/>
        </w:rPr>
        <w:t>Ohio Oil Co. v. Indiana</w:t>
      </w:r>
      <w:r w:rsidRPr="0039209A">
        <w:rPr>
          <w:lang w:val="en-US"/>
        </w:rPr>
        <w:t>, 177 U.S. 190, 200</w:t>
      </w:r>
      <w:r>
        <w:rPr>
          <w:lang w:val="en-US"/>
        </w:rPr>
        <w:t xml:space="preserve"> = 20 S. Ct. </w:t>
      </w:r>
      <w:r w:rsidRPr="0039209A">
        <w:rPr>
          <w:lang w:val="en-US"/>
        </w:rPr>
        <w:t>576, 580</w:t>
      </w:r>
      <w:r>
        <w:rPr>
          <w:lang w:val="en-US"/>
        </w:rPr>
        <w:t xml:space="preserve"> = 44 L. Ed. </w:t>
      </w:r>
      <w:r w:rsidRPr="0039209A">
        <w:rPr>
          <w:lang w:val="en-US"/>
        </w:rPr>
        <w:t>729, 736</w:t>
      </w:r>
      <w:r>
        <w:rPr>
          <w:lang w:val="en-US"/>
        </w:rPr>
        <w:t xml:space="preserve"> = 1900 U.S. LEXIS </w:t>
      </w:r>
      <w:r w:rsidRPr="0039209A">
        <w:rPr>
          <w:lang w:val="en-US"/>
        </w:rPr>
        <w:t>1788, 18 (1900)</w:t>
      </w:r>
      <w:r>
        <w:rPr>
          <w:lang w:val="en-US"/>
        </w:rPr>
        <w:t>.</w:t>
      </w:r>
    </w:p>
  </w:footnote>
  <w:footnote w:id="93">
    <w:p w14:paraId="45E19E21" w14:textId="77777777" w:rsidR="00074551" w:rsidRPr="0039209A" w:rsidRDefault="00074551" w:rsidP="00074551">
      <w:pPr>
        <w:pStyle w:val="Funotentext"/>
        <w:rPr>
          <w:lang w:val="en-US"/>
        </w:rPr>
      </w:pPr>
      <w:r>
        <w:rPr>
          <w:rStyle w:val="Funotenzeichen"/>
        </w:rPr>
        <w:footnoteRef/>
      </w:r>
      <w:r w:rsidRPr="0039209A">
        <w:rPr>
          <w:lang w:val="en-US"/>
        </w:rPr>
        <w:t xml:space="preserve"> </w:t>
      </w:r>
      <w:r w:rsidRPr="004F13B1">
        <w:rPr>
          <w:i/>
          <w:lang w:val="en-US"/>
        </w:rPr>
        <w:t>Ohio Oil Co. v. Indiana</w:t>
      </w:r>
      <w:r w:rsidRPr="0039209A">
        <w:rPr>
          <w:lang w:val="en-US"/>
        </w:rPr>
        <w:t>, 177 U.S. 190, 200</w:t>
      </w:r>
      <w:r>
        <w:rPr>
          <w:lang w:val="en-US"/>
        </w:rPr>
        <w:t xml:space="preserve"> = 20 S. Ct. </w:t>
      </w:r>
      <w:r w:rsidRPr="0039209A">
        <w:rPr>
          <w:lang w:val="en-US"/>
        </w:rPr>
        <w:t>576, 580</w:t>
      </w:r>
      <w:r>
        <w:rPr>
          <w:lang w:val="en-US"/>
        </w:rPr>
        <w:t xml:space="preserve"> = 44 L. Ed. </w:t>
      </w:r>
      <w:r w:rsidRPr="0039209A">
        <w:rPr>
          <w:lang w:val="en-US"/>
        </w:rPr>
        <w:t>729, 736</w:t>
      </w:r>
      <w:r>
        <w:rPr>
          <w:lang w:val="en-US"/>
        </w:rPr>
        <w:t xml:space="preserve"> = 1900 U.S. LEXIS </w:t>
      </w:r>
      <w:r w:rsidRPr="0039209A">
        <w:rPr>
          <w:lang w:val="en-US"/>
        </w:rPr>
        <w:t>1788, 17 (1900)</w:t>
      </w:r>
      <w:r>
        <w:rPr>
          <w:lang w:val="en-US"/>
        </w:rPr>
        <w:t>.</w:t>
      </w:r>
    </w:p>
  </w:footnote>
  <w:footnote w:id="94">
    <w:p w14:paraId="7B7C31D3" w14:textId="77777777" w:rsidR="00074551" w:rsidRPr="00F61581" w:rsidRDefault="00074551" w:rsidP="00074551">
      <w:pPr>
        <w:pStyle w:val="Funotentext"/>
        <w:rPr>
          <w:lang w:val="en-US"/>
        </w:rPr>
      </w:pPr>
      <w:r>
        <w:rPr>
          <w:rStyle w:val="Funotenzeichen"/>
        </w:rPr>
        <w:footnoteRef/>
      </w:r>
      <w:r w:rsidRPr="00F61581">
        <w:rPr>
          <w:lang w:val="en-US"/>
        </w:rPr>
        <w:t xml:space="preserve"> </w:t>
      </w:r>
      <w:r w:rsidRPr="004F13B1">
        <w:rPr>
          <w:i/>
          <w:lang w:val="en-US"/>
        </w:rPr>
        <w:t>State v. Indiana &amp; Ohio Oil Gas &amp; Min. Co.</w:t>
      </w:r>
      <w:r w:rsidRPr="00F61581">
        <w:rPr>
          <w:lang w:val="en-US"/>
        </w:rPr>
        <w:t>, 120 Indiana, 575</w:t>
      </w:r>
      <w:r>
        <w:rPr>
          <w:lang w:val="en-US"/>
        </w:rPr>
        <w:t xml:space="preserve">; </w:t>
      </w:r>
      <w:r w:rsidRPr="004F13B1">
        <w:rPr>
          <w:i/>
          <w:lang w:val="en-US"/>
        </w:rPr>
        <w:t>Ohio Oil Co. v. Indiana</w:t>
      </w:r>
      <w:r w:rsidRPr="00F61581">
        <w:rPr>
          <w:lang w:val="en-US"/>
        </w:rPr>
        <w:t>, 177 U.S. 190, 207</w:t>
      </w:r>
      <w:r>
        <w:rPr>
          <w:lang w:val="en-US"/>
        </w:rPr>
        <w:t xml:space="preserve"> = 20 S. Ct. </w:t>
      </w:r>
      <w:r w:rsidRPr="00F61581">
        <w:rPr>
          <w:lang w:val="en-US"/>
        </w:rPr>
        <w:t>576, 583</w:t>
      </w:r>
      <w:r>
        <w:rPr>
          <w:lang w:val="en-US"/>
        </w:rPr>
        <w:t xml:space="preserve"> = 44 L. Ed. </w:t>
      </w:r>
      <w:r w:rsidRPr="00F61581">
        <w:rPr>
          <w:lang w:val="en-US"/>
        </w:rPr>
        <w:t>729, 738</w:t>
      </w:r>
      <w:r>
        <w:rPr>
          <w:lang w:val="en-US"/>
        </w:rPr>
        <w:t xml:space="preserve"> = 1900 U.S. LEXIS </w:t>
      </w:r>
      <w:r w:rsidRPr="00F61581">
        <w:rPr>
          <w:lang w:val="en-US"/>
        </w:rPr>
        <w:t>1788, 31 (1900)</w:t>
      </w:r>
    </w:p>
  </w:footnote>
  <w:footnote w:id="95">
    <w:p w14:paraId="669063AF" w14:textId="77777777" w:rsidR="00074551" w:rsidRPr="00D32B1A" w:rsidRDefault="00074551" w:rsidP="00074551">
      <w:pPr>
        <w:pStyle w:val="Funotentext"/>
        <w:rPr>
          <w:lang w:val="en-US"/>
        </w:rPr>
      </w:pPr>
      <w:r>
        <w:rPr>
          <w:rStyle w:val="Funotenzeichen"/>
        </w:rPr>
        <w:footnoteRef/>
      </w:r>
      <w:r w:rsidRPr="00D32B1A">
        <w:rPr>
          <w:lang w:val="en-US"/>
        </w:rPr>
        <w:t xml:space="preserve"> </w:t>
      </w:r>
      <w:r w:rsidRPr="004F13B1">
        <w:rPr>
          <w:i/>
          <w:lang w:val="en-US"/>
        </w:rPr>
        <w:t>Ohio Oil Co. v. Indiana</w:t>
      </w:r>
      <w:r w:rsidRPr="00D32B1A">
        <w:rPr>
          <w:lang w:val="en-US"/>
        </w:rPr>
        <w:t>, 177 U.S. 190, 200</w:t>
      </w:r>
      <w:r>
        <w:rPr>
          <w:lang w:val="en-US"/>
        </w:rPr>
        <w:t xml:space="preserve"> = 20 S. Ct. </w:t>
      </w:r>
      <w:r w:rsidRPr="00D32B1A">
        <w:rPr>
          <w:lang w:val="en-US"/>
        </w:rPr>
        <w:t>576, 580</w:t>
      </w:r>
      <w:r>
        <w:rPr>
          <w:lang w:val="en-US"/>
        </w:rPr>
        <w:t xml:space="preserve"> = 44 L. Ed. </w:t>
      </w:r>
      <w:r w:rsidRPr="00D32B1A">
        <w:rPr>
          <w:lang w:val="en-US"/>
        </w:rPr>
        <w:t>729, 736</w:t>
      </w:r>
      <w:r>
        <w:rPr>
          <w:lang w:val="en-US"/>
        </w:rPr>
        <w:t xml:space="preserve"> = 1900 U.S. LEXIS </w:t>
      </w:r>
      <w:r w:rsidRPr="00D32B1A">
        <w:rPr>
          <w:lang w:val="en-US"/>
        </w:rPr>
        <w:t>1788, 7 (1900)</w:t>
      </w:r>
      <w:r>
        <w:rPr>
          <w:lang w:val="en-US"/>
        </w:rPr>
        <w:t>.</w:t>
      </w:r>
    </w:p>
  </w:footnote>
  <w:footnote w:id="96">
    <w:p w14:paraId="4C4D3054" w14:textId="77777777" w:rsidR="00074551" w:rsidRPr="000B303C" w:rsidRDefault="00074551" w:rsidP="00074551">
      <w:pPr>
        <w:pStyle w:val="Funotentext"/>
        <w:rPr>
          <w:lang w:val="en-US"/>
        </w:rPr>
      </w:pPr>
      <w:r>
        <w:rPr>
          <w:rStyle w:val="Funotenzeichen"/>
        </w:rPr>
        <w:footnoteRef/>
      </w:r>
      <w:r w:rsidRPr="000B303C">
        <w:rPr>
          <w:lang w:val="en-US"/>
        </w:rPr>
        <w:t xml:space="preserve"> </w:t>
      </w:r>
      <w:r w:rsidRPr="004F13B1">
        <w:rPr>
          <w:i/>
          <w:lang w:val="en-US"/>
        </w:rPr>
        <w:t>Ohio Oil Co. v. Indiana</w:t>
      </w:r>
      <w:r w:rsidRPr="000B303C">
        <w:rPr>
          <w:lang w:val="en-US"/>
        </w:rPr>
        <w:t>, 177 U.S. 190, 200</w:t>
      </w:r>
      <w:r>
        <w:rPr>
          <w:lang w:val="en-US"/>
        </w:rPr>
        <w:t xml:space="preserve"> = 20 S. Ct. </w:t>
      </w:r>
      <w:r w:rsidRPr="000B303C">
        <w:rPr>
          <w:lang w:val="en-US"/>
        </w:rPr>
        <w:t>576, 580</w:t>
      </w:r>
      <w:r>
        <w:rPr>
          <w:lang w:val="en-US"/>
        </w:rPr>
        <w:t xml:space="preserve"> = 44 L. Ed. </w:t>
      </w:r>
      <w:r w:rsidRPr="000B303C">
        <w:rPr>
          <w:lang w:val="en-US"/>
        </w:rPr>
        <w:t>729, 736</w:t>
      </w:r>
      <w:r>
        <w:rPr>
          <w:lang w:val="en-US"/>
        </w:rPr>
        <w:t xml:space="preserve"> = 1900 U.S. LEXIS </w:t>
      </w:r>
      <w:r w:rsidRPr="000B303C">
        <w:rPr>
          <w:lang w:val="en-US"/>
        </w:rPr>
        <w:t>1788, 7 (1900)</w:t>
      </w:r>
      <w:r>
        <w:rPr>
          <w:lang w:val="en-US"/>
        </w:rPr>
        <w:t>.</w:t>
      </w:r>
    </w:p>
  </w:footnote>
  <w:footnote w:id="97">
    <w:p w14:paraId="4843D4BE" w14:textId="77777777" w:rsidR="00074551" w:rsidRPr="000B303C" w:rsidRDefault="00074551" w:rsidP="00074551">
      <w:pPr>
        <w:pStyle w:val="Funotentext"/>
        <w:rPr>
          <w:lang w:val="en-US"/>
        </w:rPr>
      </w:pPr>
      <w:r>
        <w:rPr>
          <w:rStyle w:val="Funotenzeichen"/>
        </w:rPr>
        <w:footnoteRef/>
      </w:r>
      <w:r w:rsidRPr="000B303C">
        <w:rPr>
          <w:lang w:val="en-US"/>
        </w:rPr>
        <w:t xml:space="preserve"> </w:t>
      </w:r>
      <w:r w:rsidRPr="004F13B1">
        <w:rPr>
          <w:i/>
          <w:lang w:val="en-US"/>
        </w:rPr>
        <w:t>Ohio Oil Co. v. Indiana</w:t>
      </w:r>
      <w:r w:rsidRPr="000B303C">
        <w:rPr>
          <w:lang w:val="en-US"/>
        </w:rPr>
        <w:t>, 177 U.S. 190, 200</w:t>
      </w:r>
      <w:r>
        <w:rPr>
          <w:lang w:val="en-US"/>
        </w:rPr>
        <w:t xml:space="preserve"> = 20 S. Ct. </w:t>
      </w:r>
      <w:r w:rsidRPr="000B303C">
        <w:rPr>
          <w:lang w:val="en-US"/>
        </w:rPr>
        <w:t>576, 580</w:t>
      </w:r>
      <w:r>
        <w:rPr>
          <w:lang w:val="en-US"/>
        </w:rPr>
        <w:t xml:space="preserve"> = 44 L. Ed. </w:t>
      </w:r>
      <w:r w:rsidRPr="000B303C">
        <w:rPr>
          <w:lang w:val="en-US"/>
        </w:rPr>
        <w:t>729, 736</w:t>
      </w:r>
      <w:r>
        <w:rPr>
          <w:lang w:val="en-US"/>
        </w:rPr>
        <w:t xml:space="preserve"> = 1900 U.S. LEXIS </w:t>
      </w:r>
      <w:r w:rsidRPr="000B303C">
        <w:rPr>
          <w:lang w:val="en-US"/>
        </w:rPr>
        <w:t>1788, 7 (1900)</w:t>
      </w:r>
      <w:r>
        <w:rPr>
          <w:lang w:val="en-US"/>
        </w:rPr>
        <w:t>.</w:t>
      </w:r>
    </w:p>
  </w:footnote>
  <w:footnote w:id="98">
    <w:p w14:paraId="6D4548C6" w14:textId="77777777" w:rsidR="00074551" w:rsidRPr="00F31D8A" w:rsidRDefault="00074551" w:rsidP="00074551">
      <w:pPr>
        <w:pStyle w:val="Funotentext"/>
        <w:rPr>
          <w:lang w:val="en-US"/>
        </w:rPr>
      </w:pPr>
      <w:r>
        <w:rPr>
          <w:rStyle w:val="Funotenzeichen"/>
        </w:rPr>
        <w:footnoteRef/>
      </w:r>
      <w:r w:rsidRPr="00F31D8A">
        <w:rPr>
          <w:lang w:val="en-US"/>
        </w:rPr>
        <w:t xml:space="preserve"> </w:t>
      </w:r>
      <w:r w:rsidRPr="004F13B1">
        <w:rPr>
          <w:i/>
          <w:lang w:val="en-US"/>
        </w:rPr>
        <w:t>Talbot v. Janson</w:t>
      </w:r>
      <w:r w:rsidRPr="00F31D8A">
        <w:rPr>
          <w:lang w:val="en-US"/>
        </w:rPr>
        <w:t>, 3 U.S. 133, 152</w:t>
      </w:r>
      <w:r>
        <w:rPr>
          <w:lang w:val="en-US"/>
        </w:rPr>
        <w:t xml:space="preserve"> = 1 L. Ed. </w:t>
      </w:r>
      <w:r w:rsidRPr="00F31D8A">
        <w:rPr>
          <w:lang w:val="en-US"/>
        </w:rPr>
        <w:t>540, 555</w:t>
      </w:r>
      <w:r>
        <w:rPr>
          <w:lang w:val="en-US"/>
        </w:rPr>
        <w:t xml:space="preserve"> = 1795 U.S. LEXIS </w:t>
      </w:r>
      <w:r w:rsidRPr="00F31D8A">
        <w:rPr>
          <w:lang w:val="en-US"/>
        </w:rPr>
        <w:t>331, 2</w:t>
      </w:r>
      <w:r>
        <w:rPr>
          <w:lang w:val="en-US"/>
        </w:rPr>
        <w:t xml:space="preserve"> = 3 Dall. </w:t>
      </w:r>
      <w:r w:rsidRPr="00F31D8A">
        <w:rPr>
          <w:lang w:val="en-US"/>
        </w:rPr>
        <w:t>133 (1795)</w:t>
      </w:r>
      <w:r>
        <w:rPr>
          <w:lang w:val="en-US"/>
        </w:rPr>
        <w:t>.</w:t>
      </w:r>
    </w:p>
  </w:footnote>
  <w:footnote w:id="99">
    <w:p w14:paraId="1605C646" w14:textId="77777777" w:rsidR="00074551" w:rsidRPr="005560AB" w:rsidRDefault="00074551" w:rsidP="00074551">
      <w:pPr>
        <w:pStyle w:val="Funotentext"/>
        <w:rPr>
          <w:lang w:val="en-US"/>
        </w:rPr>
      </w:pPr>
      <w:r>
        <w:rPr>
          <w:rStyle w:val="Funotenzeichen"/>
        </w:rPr>
        <w:footnoteRef/>
      </w:r>
      <w:r w:rsidRPr="005560AB">
        <w:rPr>
          <w:lang w:val="en-US"/>
        </w:rPr>
        <w:t xml:space="preserve"> </w:t>
      </w:r>
      <w:r w:rsidRPr="004F13B1">
        <w:rPr>
          <w:i/>
          <w:lang w:val="en-US"/>
        </w:rPr>
        <w:t>Talbot v. Janson</w:t>
      </w:r>
      <w:r w:rsidRPr="005560AB">
        <w:rPr>
          <w:lang w:val="en-US"/>
        </w:rPr>
        <w:t>, 3 U.S. 133, 154</w:t>
      </w:r>
      <w:r>
        <w:rPr>
          <w:lang w:val="en-US"/>
        </w:rPr>
        <w:t xml:space="preserve"> = 1 L. Ed. </w:t>
      </w:r>
      <w:r w:rsidRPr="005560AB">
        <w:rPr>
          <w:lang w:val="en-US"/>
        </w:rPr>
        <w:t>540, 555</w:t>
      </w:r>
      <w:r>
        <w:rPr>
          <w:lang w:val="en-US"/>
        </w:rPr>
        <w:t xml:space="preserve"> = 1795 U.S. LEXIS </w:t>
      </w:r>
      <w:r w:rsidRPr="005560AB">
        <w:rPr>
          <w:lang w:val="en-US"/>
        </w:rPr>
        <w:t>331, 52</w:t>
      </w:r>
      <w:r>
        <w:rPr>
          <w:lang w:val="en-US"/>
        </w:rPr>
        <w:t xml:space="preserve"> = 3 Dall. </w:t>
      </w:r>
      <w:r w:rsidRPr="005560AB">
        <w:rPr>
          <w:lang w:val="en-US"/>
        </w:rPr>
        <w:t>133 (1795)</w:t>
      </w:r>
      <w:r>
        <w:rPr>
          <w:lang w:val="en-US"/>
        </w:rPr>
        <w:t>.</w:t>
      </w:r>
    </w:p>
  </w:footnote>
  <w:footnote w:id="100">
    <w:p w14:paraId="769425F2" w14:textId="77777777" w:rsidR="00074551" w:rsidRPr="007C50D7" w:rsidRDefault="00074551" w:rsidP="00074551">
      <w:pPr>
        <w:pStyle w:val="Funotentext"/>
        <w:rPr>
          <w:lang w:val="en-US"/>
        </w:rPr>
      </w:pPr>
      <w:r>
        <w:rPr>
          <w:rStyle w:val="Funotenzeichen"/>
        </w:rPr>
        <w:footnoteRef/>
      </w:r>
      <w:r w:rsidRPr="007C50D7">
        <w:rPr>
          <w:lang w:val="en-US"/>
        </w:rPr>
        <w:t xml:space="preserve"> </w:t>
      </w:r>
      <w:r w:rsidRPr="004F13B1">
        <w:rPr>
          <w:i/>
          <w:lang w:val="en-US"/>
        </w:rPr>
        <w:t>Talbot v. Janson</w:t>
      </w:r>
      <w:r w:rsidRPr="007C50D7">
        <w:rPr>
          <w:lang w:val="en-US"/>
        </w:rPr>
        <w:t>, 3 U.S. 133, 152</w:t>
      </w:r>
      <w:r>
        <w:rPr>
          <w:lang w:val="en-US"/>
        </w:rPr>
        <w:t xml:space="preserve"> = 1 L. Ed. </w:t>
      </w:r>
      <w:r w:rsidRPr="007C50D7">
        <w:rPr>
          <w:lang w:val="en-US"/>
        </w:rPr>
        <w:t>540, 555</w:t>
      </w:r>
      <w:r>
        <w:rPr>
          <w:lang w:val="en-US"/>
        </w:rPr>
        <w:t xml:space="preserve"> = 1795 U.S. LEXIS </w:t>
      </w:r>
      <w:r w:rsidRPr="007C50D7">
        <w:rPr>
          <w:lang w:val="en-US"/>
        </w:rPr>
        <w:t>331, 15</w:t>
      </w:r>
      <w:r>
        <w:rPr>
          <w:lang w:val="en-US"/>
        </w:rPr>
        <w:t xml:space="preserve"> = 3 Dall. </w:t>
      </w:r>
      <w:r w:rsidRPr="007C50D7">
        <w:rPr>
          <w:lang w:val="en-US"/>
        </w:rPr>
        <w:t>133 (1795)</w:t>
      </w:r>
      <w:r>
        <w:rPr>
          <w:lang w:val="en-US"/>
        </w:rPr>
        <w:t>.</w:t>
      </w:r>
    </w:p>
  </w:footnote>
  <w:footnote w:id="101">
    <w:p w14:paraId="2C80AFCC" w14:textId="77777777" w:rsidR="00074551" w:rsidRPr="00A64303" w:rsidRDefault="00074551" w:rsidP="00074551">
      <w:pPr>
        <w:pStyle w:val="Funotentext"/>
        <w:rPr>
          <w:lang w:val="en-US"/>
        </w:rPr>
      </w:pPr>
      <w:r>
        <w:rPr>
          <w:rStyle w:val="Funotenzeichen"/>
          <w:rFonts w:eastAsiaTheme="majorEastAsia"/>
        </w:rPr>
        <w:footnoteRef/>
      </w:r>
      <w:r w:rsidRPr="00A64303">
        <w:rPr>
          <w:lang w:val="en-US"/>
        </w:rPr>
        <w:t xml:space="preserve"> </w:t>
      </w:r>
      <w:r w:rsidRPr="00B45592">
        <w:rPr>
          <w:lang w:val="en-IE"/>
        </w:rPr>
        <w:t>„</w:t>
      </w:r>
      <w:r w:rsidRPr="00A64303">
        <w:rPr>
          <w:lang w:val="en-US"/>
        </w:rPr>
        <w:t>T</w:t>
      </w:r>
      <w:r>
        <w:rPr>
          <w:lang w:val="en-US"/>
        </w:rPr>
        <w:t>he</w:t>
      </w:r>
      <w:r w:rsidRPr="00A64303">
        <w:rPr>
          <w:lang w:val="en-US"/>
        </w:rPr>
        <w:t xml:space="preserve"> legislature of Louisiana, in the year 1894, passed an act known as act No. 66 of the acts of that year. It is </w:t>
      </w:r>
      <w:proofErr w:type="gramStart"/>
      <w:r w:rsidRPr="00A64303">
        <w:rPr>
          <w:lang w:val="en-US"/>
        </w:rPr>
        <w:t xml:space="preserve">entitled </w:t>
      </w:r>
      <w:r>
        <w:rPr>
          <w:lang w:val="en-US"/>
        </w:rPr>
        <w:t>,</w:t>
      </w:r>
      <w:r w:rsidRPr="00A64303">
        <w:rPr>
          <w:lang w:val="en-US"/>
        </w:rPr>
        <w:t>An</w:t>
      </w:r>
      <w:proofErr w:type="gramEnd"/>
      <w:r w:rsidRPr="00A64303">
        <w:rPr>
          <w:lang w:val="en-US"/>
        </w:rPr>
        <w:t xml:space="preserve"> act to prevent persons, corporations or firms from dealing with marine insurance companies that have not complied with </w:t>
      </w:r>
      <w:proofErr w:type="gramStart"/>
      <w:r w:rsidRPr="00A64303">
        <w:rPr>
          <w:lang w:val="en-US"/>
        </w:rPr>
        <w:t>law.</w:t>
      </w:r>
      <w:r>
        <w:rPr>
          <w:lang w:val="en-US"/>
        </w:rPr>
        <w:t>‘</w:t>
      </w:r>
      <w:proofErr w:type="gramEnd"/>
      <w:r>
        <w:rPr>
          <w:lang w:val="en-US"/>
        </w:rPr>
        <w:t xml:space="preserve">“, </w:t>
      </w:r>
      <w:r w:rsidRPr="004F13B1">
        <w:rPr>
          <w:i/>
          <w:lang w:val="en-US"/>
        </w:rPr>
        <w:t>Allgeyer v. Louisiana</w:t>
      </w:r>
      <w:r w:rsidRPr="00A64303">
        <w:rPr>
          <w:lang w:val="en-US"/>
        </w:rPr>
        <w:t>, 165 U.S. 578, 583</w:t>
      </w:r>
      <w:r>
        <w:rPr>
          <w:lang w:val="en-US"/>
        </w:rPr>
        <w:t xml:space="preserve"> = 17 S. Ct. </w:t>
      </w:r>
      <w:r w:rsidRPr="00A64303">
        <w:rPr>
          <w:lang w:val="en-US"/>
        </w:rPr>
        <w:t>427, 429</w:t>
      </w:r>
      <w:r>
        <w:rPr>
          <w:lang w:val="en-US"/>
        </w:rPr>
        <w:t xml:space="preserve"> = 41 L. Ed. </w:t>
      </w:r>
      <w:r w:rsidRPr="00A64303">
        <w:rPr>
          <w:lang w:val="en-US"/>
        </w:rPr>
        <w:t>832, 833</w:t>
      </w:r>
      <w:r>
        <w:rPr>
          <w:lang w:val="en-US"/>
        </w:rPr>
        <w:t xml:space="preserve"> = 1897 U.S. LEXIS </w:t>
      </w:r>
      <w:r w:rsidRPr="00A64303">
        <w:rPr>
          <w:lang w:val="en-US"/>
        </w:rPr>
        <w:t>1998, 1 (1897)</w:t>
      </w:r>
    </w:p>
  </w:footnote>
  <w:footnote w:id="102">
    <w:p w14:paraId="5FE4FAC0" w14:textId="77777777" w:rsidR="00074551" w:rsidRPr="007B34CA" w:rsidRDefault="00074551" w:rsidP="00074551">
      <w:pPr>
        <w:pStyle w:val="Funotentext"/>
        <w:rPr>
          <w:lang w:val="en-US"/>
        </w:rPr>
      </w:pPr>
      <w:r>
        <w:rPr>
          <w:rStyle w:val="Funotenzeichen"/>
          <w:rFonts w:eastAsiaTheme="majorEastAsia"/>
        </w:rPr>
        <w:footnoteRef/>
      </w:r>
      <w:r w:rsidRPr="007B34CA">
        <w:rPr>
          <w:lang w:val="en-US"/>
        </w:rPr>
        <w:t xml:space="preserve"> </w:t>
      </w:r>
      <w:r w:rsidRPr="004F13B1">
        <w:rPr>
          <w:i/>
          <w:lang w:val="en-US"/>
        </w:rPr>
        <w:t>Allgeyer v. Louisiana</w:t>
      </w:r>
      <w:r w:rsidRPr="007B34CA">
        <w:rPr>
          <w:lang w:val="en-US"/>
        </w:rPr>
        <w:t>, 165 U.S. 578, 592</w:t>
      </w:r>
      <w:r>
        <w:rPr>
          <w:lang w:val="en-US"/>
        </w:rPr>
        <w:t xml:space="preserve"> = 17 S. Ct. </w:t>
      </w:r>
      <w:r w:rsidRPr="007B34CA">
        <w:rPr>
          <w:lang w:val="en-US"/>
        </w:rPr>
        <w:t>427, 432</w:t>
      </w:r>
      <w:r>
        <w:rPr>
          <w:lang w:val="en-US"/>
        </w:rPr>
        <w:t xml:space="preserve"> = 41 L. Ed. </w:t>
      </w:r>
      <w:r w:rsidRPr="007B34CA">
        <w:rPr>
          <w:lang w:val="en-US"/>
        </w:rPr>
        <w:t>832, 836</w:t>
      </w:r>
      <w:r>
        <w:rPr>
          <w:lang w:val="en-US"/>
        </w:rPr>
        <w:t xml:space="preserve"> = 1897 U.S. LEXIS </w:t>
      </w:r>
      <w:r w:rsidRPr="007B34CA">
        <w:rPr>
          <w:lang w:val="en-US"/>
        </w:rPr>
        <w:t>1998, 25 (1897)</w:t>
      </w:r>
      <w:r>
        <w:rPr>
          <w:lang w:val="en-US"/>
        </w:rPr>
        <w:t>.</w:t>
      </w:r>
    </w:p>
  </w:footnote>
  <w:footnote w:id="103">
    <w:p w14:paraId="6E748930" w14:textId="77777777" w:rsidR="00074551" w:rsidRPr="00FF5651" w:rsidRDefault="00074551" w:rsidP="00074551">
      <w:pPr>
        <w:pStyle w:val="Funotentext"/>
        <w:rPr>
          <w:lang w:val="en-US"/>
        </w:rPr>
      </w:pPr>
      <w:r>
        <w:rPr>
          <w:rStyle w:val="Funotenzeichen"/>
        </w:rPr>
        <w:footnoteRef/>
      </w:r>
      <w:r w:rsidRPr="007B410B">
        <w:rPr>
          <w:lang w:val="en-US"/>
        </w:rPr>
        <w:t xml:space="preserve"> </w:t>
      </w:r>
      <w:r w:rsidRPr="004F13B1">
        <w:rPr>
          <w:i/>
          <w:lang w:val="en-US"/>
        </w:rPr>
        <w:t>Allgeyer v. Louisiana</w:t>
      </w:r>
      <w:r w:rsidRPr="00FF5651">
        <w:rPr>
          <w:lang w:val="en-US"/>
        </w:rPr>
        <w:t>, 165 U.S. 578, 589</w:t>
      </w:r>
      <w:r>
        <w:rPr>
          <w:lang w:val="en-US"/>
        </w:rPr>
        <w:t xml:space="preserve"> = 17 S. Ct. </w:t>
      </w:r>
      <w:r w:rsidRPr="00FF5651">
        <w:rPr>
          <w:lang w:val="en-US"/>
        </w:rPr>
        <w:t>427, 431</w:t>
      </w:r>
      <w:r>
        <w:rPr>
          <w:lang w:val="en-US"/>
        </w:rPr>
        <w:t xml:space="preserve"> = 41 L. Ed. </w:t>
      </w:r>
      <w:r w:rsidRPr="00FF5651">
        <w:rPr>
          <w:lang w:val="en-US"/>
        </w:rPr>
        <w:t>832, 836</w:t>
      </w:r>
      <w:r>
        <w:rPr>
          <w:lang w:val="en-US"/>
        </w:rPr>
        <w:t xml:space="preserve"> = 1897 U.S. LEXIS </w:t>
      </w:r>
      <w:r w:rsidRPr="00FF5651">
        <w:rPr>
          <w:lang w:val="en-US"/>
        </w:rPr>
        <w:t>1998, 20 (1897)</w:t>
      </w:r>
      <w:r>
        <w:rPr>
          <w:lang w:val="en-US"/>
        </w:rPr>
        <w:t>.</w:t>
      </w:r>
    </w:p>
  </w:footnote>
  <w:footnote w:id="104">
    <w:p w14:paraId="07BFF6CB" w14:textId="77777777" w:rsidR="00074551" w:rsidRPr="003967A4" w:rsidRDefault="00074551" w:rsidP="00074551">
      <w:pPr>
        <w:pStyle w:val="Funotentext"/>
        <w:rPr>
          <w:lang w:val="en-US"/>
        </w:rPr>
      </w:pPr>
      <w:r>
        <w:rPr>
          <w:rStyle w:val="Funotenzeichen"/>
          <w:rFonts w:eastAsiaTheme="majorEastAsia"/>
        </w:rPr>
        <w:footnoteRef/>
      </w:r>
      <w:r w:rsidRPr="003967A4">
        <w:rPr>
          <w:lang w:val="en-US"/>
        </w:rPr>
        <w:t xml:space="preserve"> </w:t>
      </w:r>
      <w:r>
        <w:rPr>
          <w:lang w:val="en-US"/>
        </w:rPr>
        <w:t>Richter</w:t>
      </w:r>
      <w:r w:rsidRPr="003967A4">
        <w:rPr>
          <w:lang w:val="en-US"/>
        </w:rPr>
        <w:t xml:space="preserve"> </w:t>
      </w:r>
      <w:r w:rsidRPr="00B45592">
        <w:rPr>
          <w:i/>
          <w:lang w:val="en-US"/>
        </w:rPr>
        <w:t>Bradley</w:t>
      </w:r>
      <w:r w:rsidRPr="003967A4">
        <w:rPr>
          <w:lang w:val="en-US"/>
        </w:rPr>
        <w:t xml:space="preserve"> in </w:t>
      </w:r>
      <w:r w:rsidRPr="00B45592">
        <w:rPr>
          <w:i/>
          <w:lang w:val="en-US"/>
        </w:rPr>
        <w:t>Butchers’ Union Company v. Crescent City Company</w:t>
      </w:r>
      <w:r w:rsidRPr="003967A4">
        <w:rPr>
          <w:lang w:val="en-US"/>
        </w:rPr>
        <w:t>, 111 U.S. 746,</w:t>
      </w:r>
      <w:r>
        <w:rPr>
          <w:lang w:val="en-US"/>
        </w:rPr>
        <w:t xml:space="preserve"> </w:t>
      </w:r>
      <w:r w:rsidRPr="003967A4">
        <w:rPr>
          <w:lang w:val="en-US"/>
        </w:rPr>
        <w:t>762</w:t>
      </w:r>
      <w:r>
        <w:rPr>
          <w:lang w:val="en-US"/>
        </w:rPr>
        <w:t xml:space="preserve">; </w:t>
      </w:r>
      <w:r w:rsidRPr="004F13B1">
        <w:rPr>
          <w:i/>
          <w:lang w:val="en-US"/>
        </w:rPr>
        <w:t>Allgeyer v. Louisiana</w:t>
      </w:r>
      <w:r w:rsidRPr="003967A4">
        <w:rPr>
          <w:lang w:val="en-US"/>
        </w:rPr>
        <w:t>, 165 U.S. 578, 589</w:t>
      </w:r>
      <w:r>
        <w:rPr>
          <w:lang w:val="en-US"/>
        </w:rPr>
        <w:t xml:space="preserve"> = 17 S. Ct. </w:t>
      </w:r>
      <w:r w:rsidRPr="003967A4">
        <w:rPr>
          <w:lang w:val="en-US"/>
        </w:rPr>
        <w:t>427, 431</w:t>
      </w:r>
      <w:r>
        <w:rPr>
          <w:lang w:val="en-US"/>
        </w:rPr>
        <w:t xml:space="preserve"> = 41 L. Ed. </w:t>
      </w:r>
      <w:r w:rsidRPr="003967A4">
        <w:rPr>
          <w:lang w:val="en-US"/>
        </w:rPr>
        <w:t>832, 836</w:t>
      </w:r>
      <w:r>
        <w:rPr>
          <w:lang w:val="en-US"/>
        </w:rPr>
        <w:t xml:space="preserve"> = 1897 U.S. LEXIS </w:t>
      </w:r>
      <w:r w:rsidRPr="003967A4">
        <w:rPr>
          <w:lang w:val="en-US"/>
        </w:rPr>
        <w:t>1998, 20</w:t>
      </w:r>
      <w:r>
        <w:rPr>
          <w:lang w:val="en-US"/>
        </w:rPr>
        <w:t>–</w:t>
      </w:r>
      <w:r w:rsidRPr="003967A4">
        <w:rPr>
          <w:lang w:val="en-US"/>
        </w:rPr>
        <w:t>21 (1897)</w:t>
      </w:r>
      <w:r>
        <w:rPr>
          <w:lang w:val="en-US"/>
        </w:rPr>
        <w:t>.</w:t>
      </w:r>
    </w:p>
  </w:footnote>
  <w:footnote w:id="105">
    <w:p w14:paraId="6A6B8310" w14:textId="77777777" w:rsidR="00074551" w:rsidRPr="00D436F3" w:rsidRDefault="00074551" w:rsidP="00074551">
      <w:pPr>
        <w:pStyle w:val="Funotentext"/>
        <w:rPr>
          <w:lang w:val="en-US"/>
        </w:rPr>
      </w:pPr>
      <w:r>
        <w:rPr>
          <w:rStyle w:val="Funotenzeichen"/>
          <w:rFonts w:eastAsiaTheme="majorEastAsia"/>
        </w:rPr>
        <w:footnoteRef/>
      </w:r>
      <w:r w:rsidRPr="00D436F3">
        <w:rPr>
          <w:lang w:val="en-US"/>
        </w:rPr>
        <w:t xml:space="preserve"> </w:t>
      </w:r>
      <w:bookmarkStart w:id="13" w:name="_Hlk228718172"/>
      <w:r>
        <w:rPr>
          <w:lang w:val="en-US"/>
        </w:rPr>
        <w:t>Richter</w:t>
      </w:r>
      <w:r w:rsidRPr="003967A4">
        <w:rPr>
          <w:lang w:val="en-US"/>
        </w:rPr>
        <w:t xml:space="preserve"> </w:t>
      </w:r>
      <w:r w:rsidRPr="00B45592">
        <w:rPr>
          <w:i/>
          <w:lang w:val="en-US"/>
        </w:rPr>
        <w:t>Bradley</w:t>
      </w:r>
      <w:r w:rsidRPr="00D436F3">
        <w:rPr>
          <w:lang w:val="en-US"/>
        </w:rPr>
        <w:t xml:space="preserve"> in </w:t>
      </w:r>
      <w:r w:rsidRPr="00B45592">
        <w:rPr>
          <w:i/>
          <w:lang w:val="en-US"/>
        </w:rPr>
        <w:t>Butchers’ Union Company v. Crescent City Company</w:t>
      </w:r>
      <w:bookmarkEnd w:id="13"/>
      <w:r w:rsidRPr="00D436F3">
        <w:rPr>
          <w:lang w:val="en-US"/>
        </w:rPr>
        <w:t>, 111 U.S. 746, 762</w:t>
      </w:r>
      <w:r>
        <w:rPr>
          <w:lang w:val="en-US"/>
        </w:rPr>
        <w:t xml:space="preserve">; </w:t>
      </w:r>
      <w:r w:rsidRPr="004F13B1">
        <w:rPr>
          <w:i/>
          <w:lang w:val="en-US"/>
        </w:rPr>
        <w:t>Allgeyer v. Louisiana</w:t>
      </w:r>
      <w:r w:rsidRPr="00D436F3">
        <w:rPr>
          <w:lang w:val="en-US"/>
        </w:rPr>
        <w:t>, 165 U.S. 578, 589</w:t>
      </w:r>
      <w:r>
        <w:rPr>
          <w:lang w:val="en-US"/>
        </w:rPr>
        <w:t xml:space="preserve"> = 17 S. Ct. </w:t>
      </w:r>
      <w:r w:rsidRPr="00D436F3">
        <w:rPr>
          <w:lang w:val="en-US"/>
        </w:rPr>
        <w:t>427, 431</w:t>
      </w:r>
      <w:r>
        <w:rPr>
          <w:lang w:val="en-US"/>
        </w:rPr>
        <w:t xml:space="preserve"> = 41 L. Ed. </w:t>
      </w:r>
      <w:r w:rsidRPr="00D436F3">
        <w:rPr>
          <w:lang w:val="en-US"/>
        </w:rPr>
        <w:t>832, 836</w:t>
      </w:r>
      <w:r>
        <w:rPr>
          <w:lang w:val="en-US"/>
        </w:rPr>
        <w:t xml:space="preserve"> = 1897 U.S. LEXIS </w:t>
      </w:r>
      <w:r w:rsidRPr="00D436F3">
        <w:rPr>
          <w:lang w:val="en-US"/>
        </w:rPr>
        <w:t>1998, 20</w:t>
      </w:r>
      <w:r>
        <w:rPr>
          <w:lang w:val="en-US"/>
        </w:rPr>
        <w:t>–</w:t>
      </w:r>
      <w:r w:rsidRPr="00D436F3">
        <w:rPr>
          <w:lang w:val="en-US"/>
        </w:rPr>
        <w:t>21 (1897)</w:t>
      </w:r>
      <w:r>
        <w:rPr>
          <w:lang w:val="en-US"/>
        </w:rPr>
        <w:t>.</w:t>
      </w:r>
    </w:p>
  </w:footnote>
  <w:footnote w:id="106">
    <w:p w14:paraId="0158A969" w14:textId="75743CF6" w:rsidR="005D6150" w:rsidRPr="00D436F3" w:rsidRDefault="00074551" w:rsidP="00074551">
      <w:pPr>
        <w:pStyle w:val="Funotentext"/>
        <w:rPr>
          <w:lang w:val="en-US"/>
        </w:rPr>
      </w:pPr>
      <w:r>
        <w:rPr>
          <w:rStyle w:val="Funotenzeichen"/>
          <w:rFonts w:eastAsiaTheme="majorEastAsia"/>
        </w:rPr>
        <w:footnoteRef/>
      </w:r>
      <w:r w:rsidRPr="00D436F3">
        <w:rPr>
          <w:lang w:val="en-US"/>
        </w:rPr>
        <w:t xml:space="preserve"> </w:t>
      </w:r>
      <w:r w:rsidRPr="004F13B1">
        <w:rPr>
          <w:i/>
          <w:lang w:val="en-US"/>
        </w:rPr>
        <w:t>Allgeyer v. Louisiana</w:t>
      </w:r>
      <w:r w:rsidRPr="00D436F3">
        <w:rPr>
          <w:lang w:val="en-US"/>
        </w:rPr>
        <w:t xml:space="preserve">, 165 U.S. 578, </w:t>
      </w:r>
      <w:r w:rsidRPr="00D66B33">
        <w:rPr>
          <w:lang w:val="en-US"/>
        </w:rPr>
        <w:t>590</w:t>
      </w:r>
      <w:r>
        <w:rPr>
          <w:lang w:val="en-US"/>
        </w:rPr>
        <w:t xml:space="preserve"> = 17 S. Ct. </w:t>
      </w:r>
      <w:r w:rsidRPr="00D436F3">
        <w:rPr>
          <w:lang w:val="en-US"/>
        </w:rPr>
        <w:t>427, 431</w:t>
      </w:r>
      <w:r>
        <w:rPr>
          <w:lang w:val="en-US"/>
        </w:rPr>
        <w:t xml:space="preserve"> = 41 L. Ed. </w:t>
      </w:r>
      <w:r w:rsidRPr="00D436F3">
        <w:rPr>
          <w:lang w:val="en-US"/>
        </w:rPr>
        <w:t>832, 836</w:t>
      </w:r>
      <w:r>
        <w:rPr>
          <w:lang w:val="en-US"/>
        </w:rPr>
        <w:t xml:space="preserve"> = 1897 U.S. LEXIS </w:t>
      </w:r>
      <w:r w:rsidRPr="00D436F3">
        <w:rPr>
          <w:lang w:val="en-US"/>
        </w:rPr>
        <w:t>1998, 22 (1897)</w:t>
      </w:r>
      <w:r>
        <w:rPr>
          <w:lang w:val="en-US"/>
        </w:rPr>
        <w:t>.</w:t>
      </w:r>
    </w:p>
  </w:footnote>
  <w:footnote w:id="107">
    <w:p w14:paraId="63A83719" w14:textId="77777777" w:rsidR="00074551" w:rsidRPr="00EB7476" w:rsidRDefault="00074551" w:rsidP="00074551">
      <w:pPr>
        <w:pStyle w:val="Funotentext"/>
        <w:rPr>
          <w:lang w:val="en-US"/>
        </w:rPr>
      </w:pPr>
      <w:r>
        <w:rPr>
          <w:rStyle w:val="Funotenzeichen"/>
          <w:rFonts w:eastAsiaTheme="majorEastAsia"/>
        </w:rPr>
        <w:footnoteRef/>
      </w:r>
      <w:r w:rsidRPr="00EB7476">
        <w:rPr>
          <w:lang w:val="en-US"/>
        </w:rPr>
        <w:t xml:space="preserve"> </w:t>
      </w:r>
      <w:r w:rsidRPr="004F13B1">
        <w:rPr>
          <w:i/>
          <w:lang w:val="en-US"/>
        </w:rPr>
        <w:t>Allgeyer v. Louisiana</w:t>
      </w:r>
      <w:r w:rsidRPr="00EB7476">
        <w:rPr>
          <w:lang w:val="en-US"/>
        </w:rPr>
        <w:t>, 165 U.S. 578, 590</w:t>
      </w:r>
      <w:r>
        <w:rPr>
          <w:lang w:val="en-US"/>
        </w:rPr>
        <w:t xml:space="preserve"> = 17 S. Ct. </w:t>
      </w:r>
      <w:r w:rsidRPr="00EB7476">
        <w:rPr>
          <w:lang w:val="en-US"/>
        </w:rPr>
        <w:t>427, 432</w:t>
      </w:r>
      <w:r>
        <w:rPr>
          <w:lang w:val="en-US"/>
        </w:rPr>
        <w:t xml:space="preserve"> = 41 L. Ed. </w:t>
      </w:r>
      <w:r w:rsidRPr="00EB7476">
        <w:rPr>
          <w:lang w:val="en-US"/>
        </w:rPr>
        <w:t>832, 836</w:t>
      </w:r>
      <w:r>
        <w:rPr>
          <w:lang w:val="en-US"/>
        </w:rPr>
        <w:t xml:space="preserve"> = 1897 U.S. LEXIS </w:t>
      </w:r>
      <w:r w:rsidRPr="00EB7476">
        <w:rPr>
          <w:lang w:val="en-US"/>
        </w:rPr>
        <w:t>1998, 23 (1897)</w:t>
      </w:r>
      <w:r>
        <w:rPr>
          <w:lang w:val="en-US"/>
        </w:rPr>
        <w:t>.</w:t>
      </w:r>
    </w:p>
  </w:footnote>
  <w:footnote w:id="108">
    <w:p w14:paraId="4756A587" w14:textId="77777777" w:rsidR="00074551" w:rsidRPr="006F259C" w:rsidRDefault="00074551" w:rsidP="00074551">
      <w:pPr>
        <w:pStyle w:val="Funotentext"/>
        <w:rPr>
          <w:lang w:val="en-US"/>
        </w:rPr>
      </w:pPr>
      <w:r>
        <w:rPr>
          <w:rStyle w:val="Funotenzeichen"/>
          <w:rFonts w:eastAsiaTheme="majorEastAsia"/>
        </w:rPr>
        <w:footnoteRef/>
      </w:r>
      <w:r w:rsidRPr="006F259C">
        <w:rPr>
          <w:lang w:val="en-US"/>
        </w:rPr>
        <w:t xml:space="preserve"> </w:t>
      </w:r>
      <w:r w:rsidRPr="004F13B1">
        <w:rPr>
          <w:i/>
          <w:lang w:val="en-US"/>
        </w:rPr>
        <w:t>Allgeyer v. Louisiana</w:t>
      </w:r>
      <w:r w:rsidRPr="006F259C">
        <w:rPr>
          <w:lang w:val="en-US"/>
        </w:rPr>
        <w:t>, 165 U.S. 578, 591</w:t>
      </w:r>
      <w:r>
        <w:rPr>
          <w:lang w:val="en-US"/>
        </w:rPr>
        <w:t xml:space="preserve"> = 17 S. Ct. </w:t>
      </w:r>
      <w:r w:rsidRPr="006F259C">
        <w:rPr>
          <w:lang w:val="en-US"/>
        </w:rPr>
        <w:t>427, 432</w:t>
      </w:r>
      <w:r>
        <w:rPr>
          <w:lang w:val="en-US"/>
        </w:rPr>
        <w:t xml:space="preserve"> = 41 L. Ed. </w:t>
      </w:r>
      <w:r w:rsidRPr="006F259C">
        <w:rPr>
          <w:lang w:val="en-US"/>
        </w:rPr>
        <w:t>832, 836</w:t>
      </w:r>
      <w:r>
        <w:rPr>
          <w:lang w:val="en-US"/>
        </w:rPr>
        <w:t xml:space="preserve"> = 1897 U.S. LEXIS </w:t>
      </w:r>
      <w:r w:rsidRPr="006F259C">
        <w:rPr>
          <w:lang w:val="en-US"/>
        </w:rPr>
        <w:t>1998, 24 (1897)</w:t>
      </w:r>
      <w:r>
        <w:rPr>
          <w:lang w:val="en-US"/>
        </w:rPr>
        <w:t>.</w:t>
      </w:r>
    </w:p>
  </w:footnote>
  <w:footnote w:id="109">
    <w:p w14:paraId="62191803" w14:textId="77777777" w:rsidR="00074551" w:rsidRPr="001A7978" w:rsidRDefault="00074551" w:rsidP="00074551">
      <w:pPr>
        <w:pStyle w:val="Funotentext"/>
        <w:rPr>
          <w:lang w:val="en-US"/>
        </w:rPr>
      </w:pPr>
      <w:r>
        <w:rPr>
          <w:rStyle w:val="Funotenzeichen"/>
        </w:rPr>
        <w:footnoteRef/>
      </w:r>
      <w:r w:rsidRPr="001A7978">
        <w:rPr>
          <w:lang w:val="en-US"/>
        </w:rPr>
        <w:t xml:space="preserve"> </w:t>
      </w:r>
      <w:bookmarkStart w:id="14" w:name="_Hlk228718286"/>
      <w:r w:rsidRPr="00B45592">
        <w:rPr>
          <w:i/>
          <w:lang w:val="en-US"/>
        </w:rPr>
        <w:t xml:space="preserve">Act of the legislature of Virginia, of the 18th of </w:t>
      </w:r>
      <w:proofErr w:type="gramStart"/>
      <w:r w:rsidRPr="00B45592">
        <w:rPr>
          <w:i/>
          <w:lang w:val="en-US"/>
        </w:rPr>
        <w:t>December,</w:t>
      </w:r>
      <w:proofErr w:type="gramEnd"/>
      <w:r w:rsidRPr="00B45592">
        <w:rPr>
          <w:i/>
          <w:lang w:val="en-US"/>
        </w:rPr>
        <w:t xml:space="preserve"> 1789</w:t>
      </w:r>
      <w:bookmarkEnd w:id="14"/>
      <w:r w:rsidRPr="001A7978">
        <w:rPr>
          <w:lang w:val="en-US"/>
        </w:rPr>
        <w:t xml:space="preserve">, </w:t>
      </w:r>
      <w:proofErr w:type="spellStart"/>
      <w:r w:rsidRPr="001A7978">
        <w:rPr>
          <w:lang w:val="en-US"/>
        </w:rPr>
        <w:t>vgl</w:t>
      </w:r>
      <w:proofErr w:type="spellEnd"/>
      <w:r w:rsidRPr="001A7978">
        <w:rPr>
          <w:lang w:val="en-US"/>
        </w:rPr>
        <w:t xml:space="preserve">. </w:t>
      </w:r>
      <w:r w:rsidRPr="004F13B1">
        <w:rPr>
          <w:i/>
          <w:lang w:val="en-US"/>
        </w:rPr>
        <w:t>Green v. Biddle</w:t>
      </w:r>
      <w:r w:rsidRPr="001A7978">
        <w:rPr>
          <w:lang w:val="en-US"/>
        </w:rPr>
        <w:t>, 21 U.S. 1, 10</w:t>
      </w:r>
      <w:r>
        <w:rPr>
          <w:lang w:val="en-US"/>
        </w:rPr>
        <w:t xml:space="preserve"> = 5 L. Ed. </w:t>
      </w:r>
      <w:r w:rsidRPr="001A7978">
        <w:rPr>
          <w:lang w:val="en-US"/>
        </w:rPr>
        <w:t>547, 550</w:t>
      </w:r>
      <w:r>
        <w:rPr>
          <w:lang w:val="en-US"/>
        </w:rPr>
        <w:t xml:space="preserve"> = 1823 U.S. LEXIS </w:t>
      </w:r>
      <w:r w:rsidRPr="001A7978">
        <w:rPr>
          <w:lang w:val="en-US"/>
        </w:rPr>
        <w:t>271, 6</w:t>
      </w:r>
      <w:r>
        <w:rPr>
          <w:lang w:val="en-US"/>
        </w:rPr>
        <w:t xml:space="preserve"> = 8 Wheat. </w:t>
      </w:r>
      <w:r w:rsidRPr="001A7978">
        <w:rPr>
          <w:lang w:val="en-US"/>
        </w:rPr>
        <w:t>1 (1823).</w:t>
      </w:r>
    </w:p>
  </w:footnote>
  <w:footnote w:id="110">
    <w:p w14:paraId="77BB2179" w14:textId="77777777" w:rsidR="00074551" w:rsidRPr="00767694" w:rsidRDefault="00074551" w:rsidP="00074551">
      <w:pPr>
        <w:pStyle w:val="Funotentext"/>
        <w:rPr>
          <w:lang w:val="en-US"/>
        </w:rPr>
      </w:pPr>
      <w:r>
        <w:rPr>
          <w:rStyle w:val="Funotenzeichen"/>
          <w:rFonts w:eastAsiaTheme="majorEastAsia"/>
        </w:rPr>
        <w:footnoteRef/>
      </w:r>
      <w:r w:rsidRPr="00767694">
        <w:rPr>
          <w:lang w:val="en-US"/>
        </w:rPr>
        <w:t xml:space="preserve"> </w:t>
      </w:r>
      <w:r w:rsidRPr="004F13B1">
        <w:rPr>
          <w:i/>
          <w:lang w:val="en-US"/>
        </w:rPr>
        <w:t>Green v. Biddle</w:t>
      </w:r>
      <w:r w:rsidRPr="00767694">
        <w:rPr>
          <w:lang w:val="en-US"/>
        </w:rPr>
        <w:t>, 21 U.S. 1, 10</w:t>
      </w:r>
      <w:r>
        <w:rPr>
          <w:lang w:val="en-US"/>
        </w:rPr>
        <w:t xml:space="preserve"> = 5 L. Ed. </w:t>
      </w:r>
      <w:r w:rsidRPr="00767694">
        <w:rPr>
          <w:lang w:val="en-US"/>
        </w:rPr>
        <w:t>547, 550</w:t>
      </w:r>
      <w:r>
        <w:rPr>
          <w:lang w:val="en-US"/>
        </w:rPr>
        <w:t xml:space="preserve"> = 1823 U.S. LEXIS </w:t>
      </w:r>
      <w:r w:rsidRPr="00767694">
        <w:rPr>
          <w:lang w:val="en-US"/>
        </w:rPr>
        <w:t>271, 1</w:t>
      </w:r>
      <w:r>
        <w:rPr>
          <w:lang w:val="en-US"/>
        </w:rPr>
        <w:t xml:space="preserve"> = 8 Wheat. </w:t>
      </w:r>
      <w:r w:rsidRPr="00767694">
        <w:rPr>
          <w:lang w:val="en-US"/>
        </w:rPr>
        <w:t>1 (1823)</w:t>
      </w:r>
      <w:r>
        <w:rPr>
          <w:lang w:val="en-US"/>
        </w:rPr>
        <w:t>.</w:t>
      </w:r>
    </w:p>
  </w:footnote>
  <w:footnote w:id="111">
    <w:p w14:paraId="61001EDC" w14:textId="77777777" w:rsidR="00074551" w:rsidRPr="001A7978" w:rsidRDefault="00074551" w:rsidP="00074551">
      <w:pPr>
        <w:pStyle w:val="Funotentext"/>
        <w:rPr>
          <w:lang w:val="en-US"/>
        </w:rPr>
      </w:pPr>
      <w:r>
        <w:rPr>
          <w:rStyle w:val="Funotenzeichen"/>
        </w:rPr>
        <w:footnoteRef/>
      </w:r>
      <w:r w:rsidRPr="001A7978">
        <w:rPr>
          <w:lang w:val="en-US"/>
        </w:rPr>
        <w:t xml:space="preserve"> </w:t>
      </w:r>
      <w:r w:rsidRPr="004F13B1">
        <w:rPr>
          <w:i/>
          <w:lang w:val="en-US"/>
        </w:rPr>
        <w:t>Green v. Biddle</w:t>
      </w:r>
      <w:r w:rsidRPr="001A7978">
        <w:rPr>
          <w:lang w:val="en-US"/>
        </w:rPr>
        <w:t>, 21 U.S. 1, 84</w:t>
      </w:r>
      <w:r>
        <w:rPr>
          <w:lang w:val="en-US"/>
        </w:rPr>
        <w:t xml:space="preserve"> = 5 L. Ed. </w:t>
      </w:r>
      <w:r w:rsidRPr="001A7978">
        <w:rPr>
          <w:lang w:val="en-US"/>
        </w:rPr>
        <w:t>547, 568</w:t>
      </w:r>
      <w:r>
        <w:rPr>
          <w:lang w:val="en-US"/>
        </w:rPr>
        <w:t xml:space="preserve"> = 1823 U.S. LEXIS </w:t>
      </w:r>
      <w:r w:rsidRPr="001A7978">
        <w:rPr>
          <w:lang w:val="en-US"/>
        </w:rPr>
        <w:t>271, 111</w:t>
      </w:r>
      <w:r>
        <w:rPr>
          <w:lang w:val="en-US"/>
        </w:rPr>
        <w:t xml:space="preserve"> = 8 Wheat. </w:t>
      </w:r>
      <w:r w:rsidRPr="001A7978">
        <w:rPr>
          <w:lang w:val="en-US"/>
        </w:rPr>
        <w:t>1 (1823)</w:t>
      </w:r>
      <w:r>
        <w:rPr>
          <w:lang w:val="en-US"/>
        </w:rPr>
        <w:t>.</w:t>
      </w:r>
    </w:p>
  </w:footnote>
  <w:footnote w:id="112">
    <w:p w14:paraId="5CACBA28" w14:textId="77777777" w:rsidR="00074551" w:rsidRPr="00767694" w:rsidRDefault="00074551" w:rsidP="00074551">
      <w:pPr>
        <w:pStyle w:val="Funotentext"/>
        <w:rPr>
          <w:lang w:val="en-US"/>
        </w:rPr>
      </w:pPr>
      <w:r>
        <w:rPr>
          <w:rStyle w:val="Funotenzeichen"/>
          <w:rFonts w:eastAsiaTheme="majorEastAsia"/>
        </w:rPr>
        <w:footnoteRef/>
      </w:r>
      <w:r w:rsidRPr="00767694">
        <w:rPr>
          <w:lang w:val="en-US"/>
        </w:rPr>
        <w:t xml:space="preserve"> </w:t>
      </w:r>
      <w:r w:rsidRPr="004F13B1">
        <w:rPr>
          <w:i/>
          <w:lang w:val="en-US"/>
        </w:rPr>
        <w:t>Green v. Biddle</w:t>
      </w:r>
      <w:r w:rsidRPr="00767694">
        <w:rPr>
          <w:lang w:val="en-US"/>
        </w:rPr>
        <w:t>, 21 U.S. 1, 10</w:t>
      </w:r>
      <w:r>
        <w:rPr>
          <w:lang w:val="en-US"/>
        </w:rPr>
        <w:t xml:space="preserve"> = 5 L. Ed. </w:t>
      </w:r>
      <w:r w:rsidRPr="00767694">
        <w:rPr>
          <w:lang w:val="en-US"/>
        </w:rPr>
        <w:t>547, 550</w:t>
      </w:r>
      <w:r>
        <w:rPr>
          <w:lang w:val="en-US"/>
        </w:rPr>
        <w:t xml:space="preserve"> = 1823 U.S. LEXIS </w:t>
      </w:r>
      <w:r w:rsidRPr="00767694">
        <w:rPr>
          <w:lang w:val="en-US"/>
        </w:rPr>
        <w:t>271, 1</w:t>
      </w:r>
      <w:r>
        <w:rPr>
          <w:lang w:val="en-US"/>
        </w:rPr>
        <w:t xml:space="preserve"> = 8 Wheat. </w:t>
      </w:r>
      <w:r w:rsidRPr="00767694">
        <w:rPr>
          <w:lang w:val="en-US"/>
        </w:rPr>
        <w:t>1 (1823)</w:t>
      </w:r>
      <w:r>
        <w:rPr>
          <w:lang w:val="en-US"/>
        </w:rPr>
        <w:t>.</w:t>
      </w:r>
    </w:p>
  </w:footnote>
  <w:footnote w:id="113">
    <w:p w14:paraId="696E815F" w14:textId="77777777" w:rsidR="00074551" w:rsidRPr="00466CA4" w:rsidRDefault="00074551" w:rsidP="00074551">
      <w:pPr>
        <w:pStyle w:val="Funotentext"/>
        <w:rPr>
          <w:lang w:val="en-US"/>
        </w:rPr>
      </w:pPr>
      <w:r>
        <w:rPr>
          <w:rStyle w:val="Funotenzeichen"/>
          <w:rFonts w:eastAsiaTheme="majorEastAsia"/>
        </w:rPr>
        <w:footnoteRef/>
      </w:r>
      <w:r w:rsidRPr="00466CA4">
        <w:rPr>
          <w:lang w:val="en-US"/>
        </w:rPr>
        <w:t xml:space="preserve"> </w:t>
      </w:r>
      <w:r w:rsidRPr="004F13B1">
        <w:rPr>
          <w:i/>
          <w:lang w:val="en-US"/>
        </w:rPr>
        <w:t>Green v. Biddle</w:t>
      </w:r>
      <w:r w:rsidRPr="00466CA4">
        <w:rPr>
          <w:lang w:val="en-US"/>
        </w:rPr>
        <w:t>, 21 U.S. 1, 61</w:t>
      </w:r>
      <w:r>
        <w:rPr>
          <w:lang w:val="en-US"/>
        </w:rPr>
        <w:t xml:space="preserve"> = 5 L. Ed. </w:t>
      </w:r>
      <w:r w:rsidRPr="00466CA4">
        <w:rPr>
          <w:lang w:val="en-US"/>
        </w:rPr>
        <w:t>547, 562</w:t>
      </w:r>
      <w:r>
        <w:rPr>
          <w:lang w:val="en-US"/>
        </w:rPr>
        <w:t xml:space="preserve"> = 1823 U.S. LEXIS </w:t>
      </w:r>
      <w:r w:rsidRPr="00466CA4">
        <w:rPr>
          <w:lang w:val="en-US"/>
        </w:rPr>
        <w:t>271, 80</w:t>
      </w:r>
      <w:r>
        <w:rPr>
          <w:lang w:val="en-US"/>
        </w:rPr>
        <w:t xml:space="preserve"> = 8 Wheat. </w:t>
      </w:r>
      <w:r w:rsidRPr="00466CA4">
        <w:rPr>
          <w:lang w:val="en-US"/>
        </w:rPr>
        <w:t>1 (1823)</w:t>
      </w:r>
      <w:r>
        <w:rPr>
          <w:lang w:val="en-US"/>
        </w:rPr>
        <w:t xml:space="preserve">, </w:t>
      </w:r>
      <w:proofErr w:type="spellStart"/>
      <w:r>
        <w:rPr>
          <w:lang w:val="en-US"/>
        </w:rPr>
        <w:t>vgl</w:t>
      </w:r>
      <w:proofErr w:type="spellEnd"/>
      <w:r>
        <w:rPr>
          <w:lang w:val="en-US"/>
        </w:rPr>
        <w:t xml:space="preserve">. Art. 3 des </w:t>
      </w:r>
      <w:proofErr w:type="spellStart"/>
      <w:r w:rsidRPr="00B45592">
        <w:rPr>
          <w:i/>
          <w:lang w:val="en-US"/>
        </w:rPr>
        <w:t>Lousiana</w:t>
      </w:r>
      <w:proofErr w:type="spellEnd"/>
      <w:r w:rsidRPr="00B45592">
        <w:rPr>
          <w:i/>
          <w:lang w:val="en-US"/>
        </w:rPr>
        <w:t xml:space="preserve"> Purchase Treaty</w:t>
      </w:r>
      <w:r>
        <w:rPr>
          <w:lang w:val="en-US"/>
        </w:rPr>
        <w:t>: „</w:t>
      </w:r>
      <w:r w:rsidRPr="00466CA4">
        <w:rPr>
          <w:lang w:val="en-US"/>
        </w:rPr>
        <w:t xml:space="preserve">the inhabitants of the ceded territory shall be maintained and protected in the free enjoyment of their liberty, property, and the religion they </w:t>
      </w:r>
      <w:proofErr w:type="gramStart"/>
      <w:r w:rsidRPr="00466CA4">
        <w:rPr>
          <w:lang w:val="en-US"/>
        </w:rPr>
        <w:t>profess.</w:t>
      </w:r>
      <w:r>
        <w:rPr>
          <w:lang w:val="en-US"/>
        </w:rPr>
        <w:t>“</w:t>
      </w:r>
      <w:proofErr w:type="gramEnd"/>
    </w:p>
    <w:p w14:paraId="4F66087B" w14:textId="77777777" w:rsidR="00074551" w:rsidRPr="00466CA4" w:rsidRDefault="00074551" w:rsidP="00074551">
      <w:pPr>
        <w:pStyle w:val="Funotentext"/>
        <w:rPr>
          <w:lang w:val="en-US"/>
        </w:rPr>
      </w:pPr>
      <w:r w:rsidRPr="004F13B1">
        <w:rPr>
          <w:i/>
          <w:lang w:val="en-US"/>
        </w:rPr>
        <w:t>Green v. Biddle</w:t>
      </w:r>
      <w:r w:rsidRPr="00466CA4">
        <w:rPr>
          <w:lang w:val="en-US"/>
        </w:rPr>
        <w:t>, 21 U.S. 1, 61</w:t>
      </w:r>
      <w:r>
        <w:rPr>
          <w:lang w:val="en-US"/>
        </w:rPr>
        <w:t xml:space="preserve"> = 5 L. Ed. </w:t>
      </w:r>
      <w:r w:rsidRPr="00466CA4">
        <w:rPr>
          <w:lang w:val="en-US"/>
        </w:rPr>
        <w:t>547, 562</w:t>
      </w:r>
      <w:r>
        <w:rPr>
          <w:lang w:val="en-US"/>
        </w:rPr>
        <w:t xml:space="preserve"> = 1823 U.S. LEXIS </w:t>
      </w:r>
      <w:r w:rsidRPr="00466CA4">
        <w:rPr>
          <w:lang w:val="en-US"/>
        </w:rPr>
        <w:t>271, 80</w:t>
      </w:r>
      <w:r>
        <w:rPr>
          <w:lang w:val="en-US"/>
        </w:rPr>
        <w:t xml:space="preserve"> = 8 Wheat. </w:t>
      </w:r>
      <w:r w:rsidRPr="00466CA4">
        <w:rPr>
          <w:lang w:val="en-US"/>
        </w:rPr>
        <w:t>1 (1823)</w:t>
      </w:r>
      <w:r>
        <w:rPr>
          <w:lang w:val="en-US"/>
        </w:rPr>
        <w:t>.</w:t>
      </w:r>
    </w:p>
  </w:footnote>
  <w:footnote w:id="114">
    <w:p w14:paraId="186030E6" w14:textId="77777777" w:rsidR="00074551" w:rsidRPr="00F625B4" w:rsidRDefault="00074551" w:rsidP="00074551">
      <w:pPr>
        <w:pStyle w:val="Funotentext"/>
        <w:rPr>
          <w:lang w:val="en-US"/>
        </w:rPr>
      </w:pPr>
      <w:r>
        <w:rPr>
          <w:rStyle w:val="Funotenzeichen"/>
        </w:rPr>
        <w:footnoteRef/>
      </w:r>
      <w:r w:rsidRPr="00F625B4">
        <w:rPr>
          <w:lang w:val="en-US"/>
        </w:rPr>
        <w:t xml:space="preserve"> </w:t>
      </w:r>
      <w:r w:rsidRPr="004F13B1">
        <w:rPr>
          <w:i/>
          <w:lang w:val="en-US"/>
        </w:rPr>
        <w:t>Green v. Biddle</w:t>
      </w:r>
      <w:r w:rsidRPr="00F625B4">
        <w:rPr>
          <w:lang w:val="en-US"/>
        </w:rPr>
        <w:t>, 21 U.S. 1, 63</w:t>
      </w:r>
      <w:r>
        <w:rPr>
          <w:lang w:val="en-US"/>
        </w:rPr>
        <w:t xml:space="preserve"> = 5 L. Ed. </w:t>
      </w:r>
      <w:r w:rsidRPr="00F625B4">
        <w:rPr>
          <w:lang w:val="en-US"/>
        </w:rPr>
        <w:t>547, 563</w:t>
      </w:r>
      <w:r>
        <w:rPr>
          <w:lang w:val="en-US"/>
        </w:rPr>
        <w:t xml:space="preserve"> = 1823 U.S. LEXIS </w:t>
      </w:r>
      <w:r w:rsidRPr="00F625B4">
        <w:rPr>
          <w:lang w:val="en-US"/>
        </w:rPr>
        <w:t>271, 82</w:t>
      </w:r>
      <w:r>
        <w:rPr>
          <w:lang w:val="en-US"/>
        </w:rPr>
        <w:t xml:space="preserve"> = 8 Wheat. </w:t>
      </w:r>
      <w:r w:rsidRPr="00F625B4">
        <w:rPr>
          <w:lang w:val="en-US"/>
        </w:rPr>
        <w:t>1 (1823)</w:t>
      </w:r>
      <w:r>
        <w:rPr>
          <w:lang w:val="en-US"/>
        </w:rPr>
        <w:t>.</w:t>
      </w:r>
    </w:p>
  </w:footnote>
  <w:footnote w:id="115">
    <w:p w14:paraId="3D40B5B5" w14:textId="77777777" w:rsidR="00074551" w:rsidRPr="001A7978" w:rsidRDefault="00074551" w:rsidP="00074551">
      <w:pPr>
        <w:pStyle w:val="Funotentext"/>
        <w:rPr>
          <w:lang w:val="en-US"/>
        </w:rPr>
      </w:pPr>
      <w:r>
        <w:rPr>
          <w:rStyle w:val="Funotenzeichen"/>
        </w:rPr>
        <w:footnoteRef/>
      </w:r>
      <w:r w:rsidRPr="001A7978">
        <w:rPr>
          <w:lang w:val="en-US"/>
        </w:rPr>
        <w:t xml:space="preserve"> </w:t>
      </w:r>
      <w:r w:rsidRPr="004F13B1">
        <w:rPr>
          <w:i/>
          <w:lang w:val="en-US"/>
        </w:rPr>
        <w:t>Green v. Biddle</w:t>
      </w:r>
      <w:r w:rsidRPr="001A7978">
        <w:rPr>
          <w:lang w:val="en-US"/>
        </w:rPr>
        <w:t>, 21 U.S. 1, 63</w:t>
      </w:r>
      <w:r>
        <w:rPr>
          <w:lang w:val="en-US"/>
        </w:rPr>
        <w:t xml:space="preserve"> = 5 L. Ed. </w:t>
      </w:r>
      <w:r w:rsidRPr="001A7978">
        <w:rPr>
          <w:lang w:val="en-US"/>
        </w:rPr>
        <w:t>547, 563</w:t>
      </w:r>
      <w:r>
        <w:rPr>
          <w:lang w:val="en-US"/>
        </w:rPr>
        <w:t xml:space="preserve"> = 1823 U.S. LEXIS </w:t>
      </w:r>
      <w:r w:rsidRPr="001A7978">
        <w:rPr>
          <w:lang w:val="en-US"/>
        </w:rPr>
        <w:t>271, 83</w:t>
      </w:r>
      <w:r>
        <w:rPr>
          <w:lang w:val="en-US"/>
        </w:rPr>
        <w:t xml:space="preserve"> = 8 Wheat. </w:t>
      </w:r>
      <w:r w:rsidRPr="001A7978">
        <w:rPr>
          <w:lang w:val="en-US"/>
        </w:rPr>
        <w:t>1 (1823)</w:t>
      </w:r>
      <w:r>
        <w:rPr>
          <w:lang w:val="en-US"/>
        </w:rPr>
        <w:t>.</w:t>
      </w:r>
    </w:p>
  </w:footnote>
  <w:footnote w:id="116">
    <w:p w14:paraId="7687A589" w14:textId="77777777" w:rsidR="00074551" w:rsidRPr="005F4473" w:rsidRDefault="00074551" w:rsidP="00074551">
      <w:pPr>
        <w:pStyle w:val="Funotentext"/>
        <w:rPr>
          <w:lang w:val="en-US"/>
        </w:rPr>
      </w:pPr>
      <w:r>
        <w:rPr>
          <w:rStyle w:val="Funotenzeichen"/>
          <w:rFonts w:eastAsiaTheme="majorEastAsia"/>
        </w:rPr>
        <w:footnoteRef/>
      </w:r>
      <w:r w:rsidRPr="00F43D0E">
        <w:rPr>
          <w:lang w:val="en-US"/>
        </w:rPr>
        <w:t xml:space="preserve"> </w:t>
      </w:r>
      <w:r w:rsidRPr="004F13B1">
        <w:rPr>
          <w:i/>
          <w:lang w:val="en-US"/>
        </w:rPr>
        <w:t>Green v. Biddle</w:t>
      </w:r>
      <w:r w:rsidRPr="00F43D0E">
        <w:rPr>
          <w:lang w:val="en-US"/>
        </w:rPr>
        <w:t>, 21 U.S. 1, 63</w:t>
      </w:r>
      <w:r>
        <w:rPr>
          <w:lang w:val="en-US"/>
        </w:rPr>
        <w:t xml:space="preserve"> = 5 L. Ed. </w:t>
      </w:r>
      <w:r w:rsidRPr="00F43D0E">
        <w:rPr>
          <w:lang w:val="en-US"/>
        </w:rPr>
        <w:t>547, 563</w:t>
      </w:r>
      <w:r>
        <w:rPr>
          <w:lang w:val="en-US"/>
        </w:rPr>
        <w:t xml:space="preserve"> = 1823 U.S. LEXIS </w:t>
      </w:r>
      <w:r w:rsidRPr="00F43D0E">
        <w:rPr>
          <w:lang w:val="en-US"/>
        </w:rPr>
        <w:t>271, 82</w:t>
      </w:r>
      <w:r>
        <w:rPr>
          <w:lang w:val="en-US"/>
        </w:rPr>
        <w:t xml:space="preserve"> = 8 Wheat. </w:t>
      </w:r>
      <w:r w:rsidRPr="005F4473">
        <w:rPr>
          <w:lang w:val="en-US"/>
        </w:rPr>
        <w:t>1 (1823).</w:t>
      </w:r>
    </w:p>
  </w:footnote>
  <w:footnote w:id="117">
    <w:p w14:paraId="4CE66F3B" w14:textId="77777777" w:rsidR="00074551" w:rsidRPr="00AB2C6B" w:rsidRDefault="00074551" w:rsidP="00074551">
      <w:pPr>
        <w:pStyle w:val="Funotentext"/>
        <w:rPr>
          <w:lang w:val="en-US"/>
        </w:rPr>
      </w:pPr>
      <w:r>
        <w:rPr>
          <w:rStyle w:val="Funotenzeichen"/>
          <w:rFonts w:eastAsiaTheme="majorEastAsia"/>
        </w:rPr>
        <w:footnoteRef/>
      </w:r>
      <w:bookmarkStart w:id="16" w:name="_Hlk222951950"/>
      <w:r w:rsidRPr="00AB2C6B">
        <w:rPr>
          <w:lang w:val="en-US"/>
        </w:rPr>
        <w:t xml:space="preserve"> </w:t>
      </w:r>
      <w:r w:rsidRPr="004F13B1">
        <w:rPr>
          <w:i/>
          <w:lang w:val="en-US"/>
        </w:rPr>
        <w:t>Ritchie v. People</w:t>
      </w:r>
      <w:r w:rsidRPr="00AB2C6B">
        <w:rPr>
          <w:lang w:val="en-US"/>
        </w:rPr>
        <w:t xml:space="preserve">, 155 Illinois, 88; </w:t>
      </w:r>
      <w:r w:rsidRPr="004F13B1">
        <w:rPr>
          <w:i/>
          <w:lang w:val="en-US"/>
        </w:rPr>
        <w:t>In re Morgan</w:t>
      </w:r>
      <w:r w:rsidRPr="00AB2C6B">
        <w:rPr>
          <w:lang w:val="en-US"/>
        </w:rPr>
        <w:t xml:space="preserve">, 58 Pac. Rep. 1072; </w:t>
      </w:r>
      <w:r w:rsidRPr="004F13B1">
        <w:rPr>
          <w:i/>
          <w:lang w:val="en-US"/>
        </w:rPr>
        <w:t>McLean v. Arkansas</w:t>
      </w:r>
      <w:r w:rsidRPr="00AB2C6B">
        <w:rPr>
          <w:lang w:val="en-US"/>
        </w:rPr>
        <w:t>, 211 U.S. 539, 542</w:t>
      </w:r>
      <w:r>
        <w:rPr>
          <w:lang w:val="en-US"/>
        </w:rPr>
        <w:t xml:space="preserve"> = 29 S. Ct. </w:t>
      </w:r>
      <w:r w:rsidRPr="00AB2C6B">
        <w:rPr>
          <w:lang w:val="en-US"/>
        </w:rPr>
        <w:t>206, 206</w:t>
      </w:r>
      <w:r>
        <w:rPr>
          <w:lang w:val="en-US"/>
        </w:rPr>
        <w:t xml:space="preserve"> = 53 L. Ed. </w:t>
      </w:r>
      <w:r w:rsidRPr="00AB2C6B">
        <w:rPr>
          <w:lang w:val="en-US"/>
        </w:rPr>
        <w:t>315, 317</w:t>
      </w:r>
      <w:r>
        <w:rPr>
          <w:lang w:val="en-US"/>
        </w:rPr>
        <w:t xml:space="preserve"> = 1909 U.S. LEXIS </w:t>
      </w:r>
      <w:r w:rsidRPr="00AB2C6B">
        <w:rPr>
          <w:lang w:val="en-US"/>
        </w:rPr>
        <w:t>1785, 2 (1909)</w:t>
      </w:r>
      <w:r>
        <w:rPr>
          <w:lang w:val="en-US"/>
        </w:rPr>
        <w:t>.</w:t>
      </w:r>
      <w:bookmarkEnd w:id="16"/>
    </w:p>
  </w:footnote>
  <w:footnote w:id="118">
    <w:p w14:paraId="3F460B04" w14:textId="77777777" w:rsidR="00074551" w:rsidRPr="00CE5352" w:rsidRDefault="00074551" w:rsidP="00074551">
      <w:pPr>
        <w:pStyle w:val="Funotentext"/>
        <w:rPr>
          <w:lang w:val="en-US"/>
        </w:rPr>
      </w:pPr>
      <w:r>
        <w:rPr>
          <w:rStyle w:val="Funotenzeichen"/>
          <w:rFonts w:eastAsiaTheme="majorEastAsia"/>
        </w:rPr>
        <w:footnoteRef/>
      </w:r>
      <w:r w:rsidRPr="00CE5352">
        <w:rPr>
          <w:lang w:val="en-US"/>
        </w:rPr>
        <w:t xml:space="preserve"> </w:t>
      </w:r>
      <w:r>
        <w:rPr>
          <w:lang w:val="en-US"/>
        </w:rPr>
        <w:t>„</w:t>
      </w:r>
      <w:r w:rsidRPr="00CE5352">
        <w:rPr>
          <w:lang w:val="en-US"/>
        </w:rPr>
        <w:t>The act herein in question is not a proper or valid exertion of the police power of the State</w:t>
      </w:r>
      <w:r>
        <w:rPr>
          <w:lang w:val="en-US"/>
        </w:rPr>
        <w:t>.</w:t>
      </w:r>
      <w:r w:rsidRPr="00CE5352">
        <w:rPr>
          <w:lang w:val="en-US"/>
        </w:rPr>
        <w:t xml:space="preserve"> </w:t>
      </w:r>
      <w:r w:rsidRPr="00B45592">
        <w:rPr>
          <w:i/>
          <w:lang w:val="en-US"/>
        </w:rPr>
        <w:t>State v. Haun</w:t>
      </w:r>
      <w:r w:rsidRPr="00CE5352">
        <w:rPr>
          <w:lang w:val="en-US"/>
        </w:rPr>
        <w:t xml:space="preserve">, 61 Kansas, 146; </w:t>
      </w:r>
      <w:r w:rsidRPr="00B45592">
        <w:rPr>
          <w:i/>
          <w:lang w:val="en-US"/>
        </w:rPr>
        <w:t>People v. Warden &amp;c.</w:t>
      </w:r>
      <w:r w:rsidRPr="00CE5352">
        <w:rPr>
          <w:lang w:val="en-US"/>
        </w:rPr>
        <w:t xml:space="preserve">, 51 N.E. Rep. 1011; </w:t>
      </w:r>
      <w:r w:rsidRPr="00B45592">
        <w:rPr>
          <w:i/>
          <w:lang w:val="en-US"/>
        </w:rPr>
        <w:t>Butchers’ Union Co. v. Crescent City Co.</w:t>
      </w:r>
      <w:r w:rsidRPr="00CE5352">
        <w:rPr>
          <w:lang w:val="en-US"/>
        </w:rPr>
        <w:t xml:space="preserve">, 111 U.S. 757; </w:t>
      </w:r>
      <w:r w:rsidRPr="004F13B1">
        <w:rPr>
          <w:i/>
          <w:lang w:val="en-US"/>
        </w:rPr>
        <w:t>Mugler v. Kansas</w:t>
      </w:r>
      <w:r w:rsidRPr="00CE5352">
        <w:rPr>
          <w:lang w:val="en-US"/>
        </w:rPr>
        <w:t xml:space="preserve">, 123 U.S. 623; </w:t>
      </w:r>
      <w:r w:rsidRPr="00B45592">
        <w:rPr>
          <w:i/>
          <w:lang w:val="en-US"/>
        </w:rPr>
        <w:t>Lawton v. Steele</w:t>
      </w:r>
      <w:r w:rsidRPr="00CE5352">
        <w:rPr>
          <w:lang w:val="en-US"/>
        </w:rPr>
        <w:t xml:space="preserve">, 152 U.S. 137; </w:t>
      </w:r>
      <w:r w:rsidRPr="004F13B1">
        <w:rPr>
          <w:i/>
          <w:lang w:val="en-US"/>
        </w:rPr>
        <w:t>Allgeyer v. Louisiana</w:t>
      </w:r>
      <w:r w:rsidRPr="00CE5352">
        <w:rPr>
          <w:lang w:val="en-US"/>
        </w:rPr>
        <w:t xml:space="preserve">, 165 U.S. 589; </w:t>
      </w:r>
      <w:r w:rsidRPr="00B45592">
        <w:rPr>
          <w:i/>
          <w:lang w:val="en-US"/>
        </w:rPr>
        <w:t>Lochner v. New York</w:t>
      </w:r>
      <w:r w:rsidRPr="00CE5352">
        <w:rPr>
          <w:lang w:val="en-US"/>
        </w:rPr>
        <w:t xml:space="preserve">, 198 U.S. 57; </w:t>
      </w:r>
      <w:r w:rsidRPr="00B45592">
        <w:rPr>
          <w:i/>
          <w:lang w:val="en-US"/>
        </w:rPr>
        <w:t>People v. Gillson</w:t>
      </w:r>
      <w:r w:rsidRPr="00CE5352">
        <w:rPr>
          <w:lang w:val="en-US"/>
        </w:rPr>
        <w:t xml:space="preserve">, 98 N.Y. 108; </w:t>
      </w:r>
      <w:proofErr w:type="gramStart"/>
      <w:r w:rsidRPr="00B45592">
        <w:rPr>
          <w:i/>
          <w:lang w:val="en-US"/>
        </w:rPr>
        <w:t>Live Stock</w:t>
      </w:r>
      <w:proofErr w:type="gramEnd"/>
      <w:r w:rsidRPr="00B45592">
        <w:rPr>
          <w:i/>
          <w:lang w:val="en-US"/>
        </w:rPr>
        <w:t xml:space="preserve"> Dealers’ Association v. Crescent City Association</w:t>
      </w:r>
      <w:r w:rsidRPr="00CE5352">
        <w:rPr>
          <w:lang w:val="en-US"/>
        </w:rPr>
        <w:t>, 1 Abb. U.S. 388; S.C., 15 Fed. Cas. 652.</w:t>
      </w:r>
      <w:r>
        <w:rPr>
          <w:lang w:val="en-US"/>
        </w:rPr>
        <w:t>“,</w:t>
      </w:r>
      <w:r w:rsidRPr="00CE5352">
        <w:rPr>
          <w:lang w:val="en-US"/>
        </w:rPr>
        <w:t xml:space="preserve"> </w:t>
      </w:r>
      <w:r w:rsidRPr="004F13B1">
        <w:rPr>
          <w:i/>
          <w:lang w:val="en-US"/>
        </w:rPr>
        <w:t>McLean v. Arkansas</w:t>
      </w:r>
      <w:r w:rsidRPr="00CE5352">
        <w:rPr>
          <w:lang w:val="en-US"/>
        </w:rPr>
        <w:t>, 211 U.S. 539, 542</w:t>
      </w:r>
      <w:r>
        <w:rPr>
          <w:lang w:val="en-US"/>
        </w:rPr>
        <w:t xml:space="preserve"> = 29 S. Ct. </w:t>
      </w:r>
      <w:r w:rsidRPr="00CE5352">
        <w:rPr>
          <w:lang w:val="en-US"/>
        </w:rPr>
        <w:t>206, 206</w:t>
      </w:r>
      <w:r>
        <w:rPr>
          <w:lang w:val="en-US"/>
        </w:rPr>
        <w:t xml:space="preserve"> = 53 L. Ed. </w:t>
      </w:r>
      <w:r w:rsidRPr="00CE5352">
        <w:rPr>
          <w:lang w:val="en-US"/>
        </w:rPr>
        <w:t>315, 317</w:t>
      </w:r>
      <w:r>
        <w:rPr>
          <w:lang w:val="en-US"/>
        </w:rPr>
        <w:t xml:space="preserve"> = 1909 U.S. LEXIS </w:t>
      </w:r>
      <w:r w:rsidRPr="00CE5352">
        <w:rPr>
          <w:lang w:val="en-US"/>
        </w:rPr>
        <w:t>1785, 3 (1909)</w:t>
      </w:r>
      <w:r>
        <w:rPr>
          <w:lang w:val="en-US"/>
        </w:rPr>
        <w:t>.</w:t>
      </w:r>
    </w:p>
  </w:footnote>
  <w:footnote w:id="119">
    <w:p w14:paraId="7D217775" w14:textId="77777777" w:rsidR="00074551" w:rsidRPr="007C4E5B" w:rsidRDefault="00074551" w:rsidP="00074551">
      <w:pPr>
        <w:pStyle w:val="Funotentext"/>
        <w:rPr>
          <w:lang w:val="en-US"/>
        </w:rPr>
      </w:pPr>
      <w:r>
        <w:rPr>
          <w:rStyle w:val="Funotenzeichen"/>
        </w:rPr>
        <w:footnoteRef/>
      </w:r>
      <w:r w:rsidRPr="007C4E5B">
        <w:rPr>
          <w:lang w:val="en-US"/>
        </w:rPr>
        <w:t xml:space="preserve"> „Act of the legislature of the state of Massachusetts, passed on the 9th of March, 1785, entitled </w:t>
      </w:r>
      <w:r>
        <w:rPr>
          <w:lang w:val="en-US"/>
        </w:rPr>
        <w:t>,</w:t>
      </w:r>
      <w:r w:rsidRPr="007C4E5B">
        <w:rPr>
          <w:lang w:val="en-US"/>
        </w:rPr>
        <w:t>An act for incorporating certain persons for the purpose of building a bridge over Charles river, between Boston and Charlestown, and supporting the same during forty years.</w:t>
      </w:r>
      <w:r>
        <w:rPr>
          <w:lang w:val="en-US"/>
        </w:rPr>
        <w:t>‘</w:t>
      </w:r>
      <w:r w:rsidRPr="007C4E5B">
        <w:rPr>
          <w:lang w:val="en-US"/>
        </w:rPr>
        <w:t xml:space="preserve"> The preamble of the act states, </w:t>
      </w:r>
      <w:r>
        <w:rPr>
          <w:lang w:val="en-US"/>
        </w:rPr>
        <w:t>,</w:t>
      </w:r>
      <w:r w:rsidRPr="007C4E5B">
        <w:rPr>
          <w:lang w:val="en-US"/>
        </w:rPr>
        <w:t>whereas the erecting a bridge over Charles river, in the place where the ferry between Boston and Charlestown is now kept, will be of great public utility, and Thomas Russell, Esq. and others, have petitioned this court for an act of incorporation, to empower them to build the same bridge</w:t>
      </w:r>
      <w:r>
        <w:rPr>
          <w:lang w:val="en-US"/>
        </w:rPr>
        <w:t xml:space="preserve">‘“, </w:t>
      </w:r>
      <w:r w:rsidRPr="004F13B1">
        <w:rPr>
          <w:i/>
          <w:lang w:val="en-US"/>
        </w:rPr>
        <w:t>Proprietors of Charles River Bridge v. Proprietors of Warren Bridge</w:t>
      </w:r>
      <w:r w:rsidRPr="007C4E5B">
        <w:rPr>
          <w:lang w:val="en-US"/>
        </w:rPr>
        <w:t>, 36 U.S. 420, 536</w:t>
      </w:r>
      <w:r>
        <w:rPr>
          <w:lang w:val="en-US"/>
        </w:rPr>
        <w:t xml:space="preserve"> = 9 L. Ed. </w:t>
      </w:r>
      <w:r w:rsidRPr="007C4E5B">
        <w:rPr>
          <w:lang w:val="en-US"/>
        </w:rPr>
        <w:t>773, 819</w:t>
      </w:r>
      <w:r>
        <w:rPr>
          <w:lang w:val="en-US"/>
        </w:rPr>
        <w:t xml:space="preserve"> = 1837 U.S. LEXIS </w:t>
      </w:r>
      <w:r w:rsidRPr="007C4E5B">
        <w:rPr>
          <w:lang w:val="en-US"/>
        </w:rPr>
        <w:t>180, 1 (1837)</w:t>
      </w:r>
      <w:r>
        <w:rPr>
          <w:lang w:val="en-US"/>
        </w:rPr>
        <w:t>.</w:t>
      </w:r>
    </w:p>
  </w:footnote>
  <w:footnote w:id="120">
    <w:p w14:paraId="07F0D000" w14:textId="77777777" w:rsidR="00074551" w:rsidRPr="007C4E5B" w:rsidRDefault="00074551" w:rsidP="00074551">
      <w:pPr>
        <w:pStyle w:val="Funotentext"/>
        <w:rPr>
          <w:lang w:val="en-US"/>
        </w:rPr>
      </w:pPr>
      <w:r>
        <w:rPr>
          <w:rStyle w:val="Funotenzeichen"/>
        </w:rPr>
        <w:footnoteRef/>
      </w:r>
      <w:r w:rsidRPr="007C4E5B">
        <w:rPr>
          <w:lang w:val="en-US"/>
        </w:rPr>
        <w:t xml:space="preserve"> </w:t>
      </w:r>
      <w:r w:rsidRPr="004F13B1">
        <w:rPr>
          <w:i/>
          <w:lang w:val="en-US"/>
        </w:rPr>
        <w:t>Proprietors of Charles River Bridge v. Proprietors of Warren Bridge</w:t>
      </w:r>
      <w:r w:rsidRPr="007C4E5B">
        <w:rPr>
          <w:lang w:val="en-US"/>
        </w:rPr>
        <w:t>, 36 U.S. 420, 536</w:t>
      </w:r>
      <w:r>
        <w:rPr>
          <w:lang w:val="en-US"/>
        </w:rPr>
        <w:t xml:space="preserve"> = 9 L. Ed. </w:t>
      </w:r>
      <w:r w:rsidRPr="007C4E5B">
        <w:rPr>
          <w:lang w:val="en-US"/>
        </w:rPr>
        <w:t>773, 819</w:t>
      </w:r>
      <w:r>
        <w:rPr>
          <w:lang w:val="en-US"/>
        </w:rPr>
        <w:t xml:space="preserve"> = 1837 U.S. LEXIS </w:t>
      </w:r>
      <w:r w:rsidRPr="007C4E5B">
        <w:rPr>
          <w:lang w:val="en-US"/>
        </w:rPr>
        <w:t>180, 1 (1837)</w:t>
      </w:r>
      <w:r>
        <w:rPr>
          <w:lang w:val="en-US"/>
        </w:rPr>
        <w:t>.</w:t>
      </w:r>
    </w:p>
  </w:footnote>
  <w:footnote w:id="121">
    <w:p w14:paraId="3C68334B" w14:textId="77777777" w:rsidR="00074551" w:rsidRPr="008210CE" w:rsidRDefault="00074551" w:rsidP="00074551">
      <w:pPr>
        <w:pStyle w:val="Funotentext"/>
        <w:rPr>
          <w:lang w:val="en-US"/>
        </w:rPr>
      </w:pPr>
      <w:r>
        <w:rPr>
          <w:rStyle w:val="Funotenzeichen"/>
        </w:rPr>
        <w:footnoteRef/>
      </w:r>
      <w:r w:rsidRPr="008210CE">
        <w:rPr>
          <w:lang w:val="en-US"/>
        </w:rPr>
        <w:t xml:space="preserve"> </w:t>
      </w:r>
      <w:r w:rsidRPr="004F13B1">
        <w:rPr>
          <w:i/>
          <w:lang w:val="en-US"/>
        </w:rPr>
        <w:t>Proprietors of Charles River Bridge v. Proprietors of Warren Bridge</w:t>
      </w:r>
      <w:r w:rsidRPr="008210CE">
        <w:rPr>
          <w:lang w:val="en-US"/>
        </w:rPr>
        <w:t>, 36 U.S. 420, 539</w:t>
      </w:r>
      <w:r>
        <w:rPr>
          <w:lang w:val="en-US"/>
        </w:rPr>
        <w:t xml:space="preserve"> = 9 L. Ed. </w:t>
      </w:r>
      <w:r w:rsidRPr="008210CE">
        <w:rPr>
          <w:lang w:val="en-US"/>
        </w:rPr>
        <w:t>773, 821</w:t>
      </w:r>
      <w:r>
        <w:rPr>
          <w:lang w:val="en-US"/>
        </w:rPr>
        <w:t xml:space="preserve"> = 1837 U.S. LEXIS </w:t>
      </w:r>
      <w:r w:rsidRPr="008210CE">
        <w:rPr>
          <w:lang w:val="en-US"/>
        </w:rPr>
        <w:t>180, 256 (1837)</w:t>
      </w:r>
      <w:r>
        <w:rPr>
          <w:lang w:val="en-US"/>
        </w:rPr>
        <w:t>.</w:t>
      </w:r>
    </w:p>
  </w:footnote>
  <w:footnote w:id="122">
    <w:p w14:paraId="04848CEE" w14:textId="77777777" w:rsidR="00074551" w:rsidRPr="005F4B8A" w:rsidRDefault="00074551" w:rsidP="00074551">
      <w:pPr>
        <w:pStyle w:val="Funotentext"/>
        <w:rPr>
          <w:lang w:val="en-US"/>
        </w:rPr>
      </w:pPr>
      <w:r>
        <w:rPr>
          <w:rStyle w:val="Funotenzeichen"/>
        </w:rPr>
        <w:footnoteRef/>
      </w:r>
      <w:r w:rsidRPr="005F4B8A">
        <w:rPr>
          <w:lang w:val="en-US"/>
        </w:rPr>
        <w:t xml:space="preserve"> </w:t>
      </w:r>
      <w:r w:rsidRPr="004F13B1">
        <w:rPr>
          <w:i/>
          <w:lang w:val="en-US"/>
        </w:rPr>
        <w:t>Proprietors of Charles River Bridge v. Proprietors of Warren Bridge</w:t>
      </w:r>
      <w:r w:rsidRPr="005F4B8A">
        <w:rPr>
          <w:lang w:val="en-US"/>
        </w:rPr>
        <w:t>, 36 U.S. 420, 546</w:t>
      </w:r>
      <w:r>
        <w:rPr>
          <w:lang w:val="en-US"/>
        </w:rPr>
        <w:t xml:space="preserve"> = 9 L. Ed. </w:t>
      </w:r>
      <w:r w:rsidRPr="005F4B8A">
        <w:rPr>
          <w:lang w:val="en-US"/>
        </w:rPr>
        <w:t>773, 824</w:t>
      </w:r>
      <w:r>
        <w:rPr>
          <w:lang w:val="en-US"/>
        </w:rPr>
        <w:t xml:space="preserve"> = 1837 U.S. LEXIS </w:t>
      </w:r>
      <w:r w:rsidRPr="005F4B8A">
        <w:rPr>
          <w:lang w:val="en-US"/>
        </w:rPr>
        <w:t>180, 271 (1837)</w:t>
      </w:r>
      <w:r>
        <w:rPr>
          <w:lang w:val="en-US"/>
        </w:rPr>
        <w:t>.</w:t>
      </w:r>
    </w:p>
  </w:footnote>
  <w:footnote w:id="123">
    <w:p w14:paraId="6C1F4147" w14:textId="77777777" w:rsidR="00074551" w:rsidRPr="002A2D61" w:rsidRDefault="00074551" w:rsidP="00074551">
      <w:pPr>
        <w:pStyle w:val="Funotentext"/>
        <w:rPr>
          <w:lang w:val="en-US"/>
        </w:rPr>
      </w:pPr>
      <w:r>
        <w:rPr>
          <w:rStyle w:val="Funotenzeichen"/>
        </w:rPr>
        <w:footnoteRef/>
      </w:r>
      <w:r w:rsidRPr="002A2D61">
        <w:rPr>
          <w:lang w:val="en-US"/>
        </w:rPr>
        <w:t xml:space="preserve"> </w:t>
      </w:r>
      <w:r w:rsidRPr="004F13B1">
        <w:rPr>
          <w:i/>
          <w:lang w:val="en-US"/>
        </w:rPr>
        <w:t>Proprietors of Charles River Bridge v. Proprietors of Warren Bridge</w:t>
      </w:r>
      <w:r w:rsidRPr="002A2D61">
        <w:rPr>
          <w:lang w:val="en-US"/>
        </w:rPr>
        <w:t>, 36 U.S. 420, 536</w:t>
      </w:r>
      <w:r>
        <w:rPr>
          <w:lang w:val="en-US"/>
        </w:rPr>
        <w:t xml:space="preserve"> = 9 L. Ed. </w:t>
      </w:r>
      <w:r w:rsidRPr="002A2D61">
        <w:rPr>
          <w:lang w:val="en-US"/>
        </w:rPr>
        <w:t>773, 819</w:t>
      </w:r>
      <w:r>
        <w:rPr>
          <w:lang w:val="en-US"/>
        </w:rPr>
        <w:t xml:space="preserve"> = 1837 U.S. LEXIS </w:t>
      </w:r>
      <w:r w:rsidRPr="002A2D61">
        <w:rPr>
          <w:lang w:val="en-US"/>
        </w:rPr>
        <w:t>180, 10 (1837)</w:t>
      </w:r>
      <w:r>
        <w:rPr>
          <w:lang w:val="en-US"/>
        </w:rPr>
        <w:t>.</w:t>
      </w:r>
    </w:p>
  </w:footnote>
  <w:footnote w:id="124">
    <w:p w14:paraId="06183130" w14:textId="77777777" w:rsidR="00074551" w:rsidRPr="002A2D61" w:rsidRDefault="00074551" w:rsidP="00074551">
      <w:pPr>
        <w:pStyle w:val="Funotentext"/>
        <w:rPr>
          <w:lang w:val="en-US"/>
        </w:rPr>
      </w:pPr>
      <w:r>
        <w:rPr>
          <w:rStyle w:val="Funotenzeichen"/>
        </w:rPr>
        <w:footnoteRef/>
      </w:r>
      <w:r w:rsidRPr="002A2D61">
        <w:rPr>
          <w:lang w:val="en-US"/>
        </w:rPr>
        <w:t xml:space="preserve"> </w:t>
      </w:r>
      <w:r w:rsidRPr="004F13B1">
        <w:rPr>
          <w:i/>
          <w:lang w:val="en-US"/>
        </w:rPr>
        <w:t>Proprietors of Charles River Bridge v. Proprietors of Warren Bridge</w:t>
      </w:r>
      <w:r w:rsidRPr="002A2D61">
        <w:rPr>
          <w:lang w:val="en-US"/>
        </w:rPr>
        <w:t>, 36 U.S. 420, 536</w:t>
      </w:r>
      <w:r>
        <w:rPr>
          <w:lang w:val="en-US"/>
        </w:rPr>
        <w:t xml:space="preserve"> = 9 L. Ed. </w:t>
      </w:r>
      <w:r w:rsidRPr="002A2D61">
        <w:rPr>
          <w:lang w:val="en-US"/>
        </w:rPr>
        <w:t>773, 819</w:t>
      </w:r>
      <w:r>
        <w:rPr>
          <w:lang w:val="en-US"/>
        </w:rPr>
        <w:t xml:space="preserve"> = 1837 U.S. LEXIS </w:t>
      </w:r>
      <w:r w:rsidRPr="002A2D61">
        <w:rPr>
          <w:lang w:val="en-US"/>
        </w:rPr>
        <w:t>180, 10 (1837).</w:t>
      </w:r>
    </w:p>
  </w:footnote>
  <w:footnote w:id="125">
    <w:p w14:paraId="6923C398" w14:textId="77777777" w:rsidR="00074551" w:rsidRPr="00580435" w:rsidRDefault="00074551" w:rsidP="00074551">
      <w:pPr>
        <w:pStyle w:val="Funotentext"/>
        <w:rPr>
          <w:lang w:val="en-US"/>
        </w:rPr>
      </w:pPr>
      <w:r>
        <w:rPr>
          <w:rStyle w:val="Funotenzeichen"/>
        </w:rPr>
        <w:footnoteRef/>
      </w:r>
      <w:r w:rsidRPr="00580435">
        <w:rPr>
          <w:lang w:val="en-US"/>
        </w:rPr>
        <w:t xml:space="preserve"> „Section 8 of the Minnesota Mortgage Moratorium Law (Act), 1933 Minn. Laws 339, provides that, during an emergency, relief may be had through authorized judicial proceedings with respect to foreclosures of mortgages, and execution sales of real estate; that sales may be postponed and periods of redemption may be extended. The Act does not apply to mortgages subsequently made nor to those made previously which shall be extended for a period ending more than a year after the passage of the Act. The Act is to remain in effect only during the continuance of the emergency and in no event beyond May 1, 1935. No extension of the period for redemption and no postponement of sale is to be allowed which would have the effect of extending the period of redemption beyond that </w:t>
      </w:r>
      <w:proofErr w:type="gramStart"/>
      <w:r w:rsidRPr="00580435">
        <w:rPr>
          <w:lang w:val="en-US"/>
        </w:rPr>
        <w:t>date</w:t>
      </w:r>
      <w:r>
        <w:rPr>
          <w:lang w:val="en-US"/>
        </w:rPr>
        <w:t>.</w:t>
      </w:r>
      <w:r w:rsidRPr="00580435">
        <w:rPr>
          <w:lang w:val="en-US"/>
        </w:rPr>
        <w:t>“</w:t>
      </w:r>
      <w:proofErr w:type="gramEnd"/>
      <w:r w:rsidRPr="00580435">
        <w:rPr>
          <w:lang w:val="en-US"/>
        </w:rPr>
        <w:t xml:space="preserve">, </w:t>
      </w:r>
      <w:r w:rsidRPr="00B45592">
        <w:rPr>
          <w:i/>
          <w:lang w:val="en-US"/>
        </w:rPr>
        <w:t>Home Building &amp; Loan Assn. v. Blaisdell</w:t>
      </w:r>
      <w:r w:rsidRPr="00580435">
        <w:rPr>
          <w:lang w:val="en-US"/>
        </w:rPr>
        <w:t>, 290 U.S. 398, 415</w:t>
      </w:r>
      <w:r>
        <w:rPr>
          <w:lang w:val="en-US"/>
        </w:rPr>
        <w:t xml:space="preserve"> = 54 S. Ct. </w:t>
      </w:r>
      <w:r w:rsidRPr="00580435">
        <w:rPr>
          <w:lang w:val="en-US"/>
        </w:rPr>
        <w:t>231, 231</w:t>
      </w:r>
      <w:r>
        <w:rPr>
          <w:lang w:val="en-US"/>
        </w:rPr>
        <w:t xml:space="preserve"> = 78 L. Ed. </w:t>
      </w:r>
      <w:r w:rsidRPr="00580435">
        <w:rPr>
          <w:lang w:val="en-US"/>
        </w:rPr>
        <w:t>413, 417</w:t>
      </w:r>
      <w:r>
        <w:rPr>
          <w:lang w:val="en-US"/>
        </w:rPr>
        <w:t xml:space="preserve"> = 1934 U.S. LEXIS </w:t>
      </w:r>
      <w:r w:rsidRPr="00580435">
        <w:rPr>
          <w:lang w:val="en-US"/>
        </w:rPr>
        <w:t>958, 1</w:t>
      </w:r>
      <w:r w:rsidRPr="003B741A">
        <w:rPr>
          <w:lang w:val="en-US"/>
        </w:rPr>
        <w:t xml:space="preserve"> = 88 A.L.R. </w:t>
      </w:r>
      <w:r w:rsidRPr="00580435">
        <w:rPr>
          <w:lang w:val="en-US"/>
        </w:rPr>
        <w:t>1481 (1934)</w:t>
      </w:r>
      <w:r>
        <w:rPr>
          <w:lang w:val="en-US"/>
        </w:rPr>
        <w:t>.</w:t>
      </w:r>
    </w:p>
  </w:footnote>
  <w:footnote w:id="126">
    <w:p w14:paraId="1C139129" w14:textId="77777777" w:rsidR="00074551" w:rsidRPr="00580435" w:rsidRDefault="00074551" w:rsidP="00074551">
      <w:pPr>
        <w:pStyle w:val="Funotentext"/>
        <w:rPr>
          <w:lang w:val="en-US"/>
        </w:rPr>
      </w:pPr>
      <w:r>
        <w:rPr>
          <w:rStyle w:val="Funotenzeichen"/>
        </w:rPr>
        <w:footnoteRef/>
      </w:r>
      <w:r w:rsidRPr="00580435">
        <w:rPr>
          <w:lang w:val="en-US"/>
        </w:rPr>
        <w:t xml:space="preserve"> </w:t>
      </w:r>
      <w:r w:rsidRPr="004F13B1">
        <w:rPr>
          <w:i/>
          <w:lang w:val="en-IE"/>
        </w:rPr>
        <w:t>Home Building &amp; Loan Assn. v. Blaisdell</w:t>
      </w:r>
      <w:r w:rsidRPr="00B45592">
        <w:rPr>
          <w:lang w:val="en-IE"/>
        </w:rPr>
        <w:t>, 290 U.S. 398, 415</w:t>
      </w:r>
      <w:r>
        <w:rPr>
          <w:lang w:val="en-IE"/>
        </w:rPr>
        <w:t xml:space="preserve"> = 54 S. Ct. </w:t>
      </w:r>
      <w:r w:rsidRPr="00B45592">
        <w:rPr>
          <w:lang w:val="en-IE"/>
        </w:rPr>
        <w:t>231, 231</w:t>
      </w:r>
      <w:r>
        <w:rPr>
          <w:lang w:val="en-IE"/>
        </w:rPr>
        <w:t xml:space="preserve"> = 78 L. Ed. </w:t>
      </w:r>
      <w:r w:rsidRPr="00B45592">
        <w:rPr>
          <w:lang w:val="en-IE"/>
        </w:rPr>
        <w:t>413, 417</w:t>
      </w:r>
      <w:r>
        <w:rPr>
          <w:lang w:val="en-IE"/>
        </w:rPr>
        <w:t xml:space="preserve"> = 1934 U.S. LEXIS </w:t>
      </w:r>
      <w:r w:rsidRPr="00B45592">
        <w:rPr>
          <w:lang w:val="en-IE"/>
        </w:rPr>
        <w:t>958, 1</w:t>
      </w:r>
      <w:r w:rsidRPr="003B741A">
        <w:rPr>
          <w:lang w:val="en-IE"/>
        </w:rPr>
        <w:t xml:space="preserve"> = 88 A.L.R. </w:t>
      </w:r>
      <w:r w:rsidRPr="00B45592">
        <w:rPr>
          <w:lang w:val="en-IE"/>
        </w:rPr>
        <w:t>1481 (1934)</w:t>
      </w:r>
      <w:r>
        <w:rPr>
          <w:lang w:val="en-US"/>
        </w:rPr>
        <w:t>.</w:t>
      </w:r>
    </w:p>
  </w:footnote>
  <w:footnote w:id="127">
    <w:p w14:paraId="35B49DCC" w14:textId="77777777" w:rsidR="00074551" w:rsidRPr="00F42E46" w:rsidRDefault="00074551" w:rsidP="00074551">
      <w:pPr>
        <w:pStyle w:val="Funotentext"/>
        <w:rPr>
          <w:lang w:val="en-US"/>
        </w:rPr>
      </w:pPr>
      <w:r>
        <w:rPr>
          <w:rStyle w:val="Funotenzeichen"/>
        </w:rPr>
        <w:footnoteRef/>
      </w:r>
      <w:r w:rsidRPr="00F42E46">
        <w:rPr>
          <w:lang w:val="en-US"/>
        </w:rPr>
        <w:t xml:space="preserve"> </w:t>
      </w:r>
      <w:r w:rsidRPr="00B45592">
        <w:rPr>
          <w:i/>
          <w:lang w:val="en-US"/>
        </w:rPr>
        <w:t>Antoni v. Greenhow</w:t>
      </w:r>
      <w:r w:rsidRPr="00F42E46">
        <w:rPr>
          <w:lang w:val="en-US"/>
        </w:rPr>
        <w:t>, 107 U.S. 769, 775</w:t>
      </w:r>
      <w:r>
        <w:rPr>
          <w:lang w:val="en-US"/>
        </w:rPr>
        <w:t xml:space="preserve">; </w:t>
      </w:r>
      <w:r w:rsidRPr="004F13B1">
        <w:rPr>
          <w:i/>
          <w:lang w:val="en-US"/>
        </w:rPr>
        <w:t>Home Building &amp; Loan Assn. v. Blaisdell</w:t>
      </w:r>
      <w:r w:rsidRPr="00F42E46">
        <w:rPr>
          <w:lang w:val="en-US"/>
        </w:rPr>
        <w:t>, 290 U.S. 398, 430</w:t>
      </w:r>
      <w:r>
        <w:rPr>
          <w:lang w:val="en-US"/>
        </w:rPr>
        <w:t xml:space="preserve"> = 54 S. Ct. </w:t>
      </w:r>
      <w:r w:rsidRPr="00F42E46">
        <w:rPr>
          <w:lang w:val="en-US"/>
        </w:rPr>
        <w:t>231, 237</w:t>
      </w:r>
      <w:r>
        <w:rPr>
          <w:lang w:val="en-US"/>
        </w:rPr>
        <w:t xml:space="preserve"> = 78 L. Ed. </w:t>
      </w:r>
      <w:r w:rsidRPr="00F42E46">
        <w:rPr>
          <w:lang w:val="en-US"/>
        </w:rPr>
        <w:t>413, 424</w:t>
      </w:r>
      <w:r>
        <w:rPr>
          <w:lang w:val="en-US"/>
        </w:rPr>
        <w:t xml:space="preserve"> = 1934 U.S. LEXIS </w:t>
      </w:r>
      <w:r w:rsidRPr="00F42E46">
        <w:rPr>
          <w:lang w:val="en-US"/>
        </w:rPr>
        <w:t>958, 53</w:t>
      </w:r>
      <w:r w:rsidRPr="003B741A">
        <w:rPr>
          <w:lang w:val="en-US"/>
        </w:rPr>
        <w:t xml:space="preserve"> = 88 A.L.R. </w:t>
      </w:r>
      <w:r w:rsidRPr="00F42E46">
        <w:rPr>
          <w:lang w:val="en-US"/>
        </w:rPr>
        <w:t>1481 (1934)</w:t>
      </w:r>
      <w:r>
        <w:rPr>
          <w:lang w:val="en-US"/>
        </w:rPr>
        <w:t>.</w:t>
      </w:r>
    </w:p>
  </w:footnote>
  <w:footnote w:id="128">
    <w:p w14:paraId="6D167505" w14:textId="77777777" w:rsidR="00074551" w:rsidRPr="00E02151" w:rsidRDefault="00074551" w:rsidP="00074551">
      <w:pPr>
        <w:pStyle w:val="Funotentext"/>
        <w:rPr>
          <w:lang w:val="en-US"/>
        </w:rPr>
      </w:pPr>
      <w:r>
        <w:rPr>
          <w:rStyle w:val="Funotenzeichen"/>
        </w:rPr>
        <w:footnoteRef/>
      </w:r>
      <w:r w:rsidRPr="00E02151">
        <w:rPr>
          <w:lang w:val="en-US"/>
        </w:rPr>
        <w:t xml:space="preserve"> </w:t>
      </w:r>
      <w:bookmarkStart w:id="18" w:name="_Hlk224482231"/>
      <w:r w:rsidRPr="00051D11">
        <w:rPr>
          <w:i/>
          <w:lang w:val="en-IE"/>
        </w:rPr>
        <w:t xml:space="preserve">Home Bldg. &amp; Loan </w:t>
      </w:r>
      <w:proofErr w:type="spellStart"/>
      <w:r w:rsidRPr="00051D11">
        <w:rPr>
          <w:i/>
          <w:lang w:val="en-IE"/>
        </w:rPr>
        <w:t>Ass’n</w:t>
      </w:r>
      <w:proofErr w:type="spellEnd"/>
      <w:r w:rsidRPr="00051D11">
        <w:rPr>
          <w:i/>
          <w:lang w:val="en-IE"/>
        </w:rPr>
        <w:t xml:space="preserve"> v. Blaisdell</w:t>
      </w:r>
      <w:r w:rsidRPr="00051D11">
        <w:rPr>
          <w:lang w:val="en-IE"/>
        </w:rPr>
        <w:t>, 290 U.S. 398, 41</w:t>
      </w:r>
      <w:r>
        <w:rPr>
          <w:lang w:val="en-IE"/>
        </w:rPr>
        <w:t>5</w:t>
      </w:r>
      <w:r w:rsidRPr="00051D11">
        <w:rPr>
          <w:lang w:val="en-IE"/>
        </w:rPr>
        <w:t xml:space="preserve"> (1934) (</w:t>
      </w:r>
      <w:r w:rsidRPr="00051D11">
        <w:rPr>
          <w:i/>
          <w:lang w:val="en-IE"/>
        </w:rPr>
        <w:t xml:space="preserve">Argument for </w:t>
      </w:r>
      <w:proofErr w:type="spellStart"/>
      <w:r w:rsidRPr="00051D11">
        <w:rPr>
          <w:i/>
          <w:lang w:val="en-IE"/>
        </w:rPr>
        <w:t>Appellees</w:t>
      </w:r>
      <w:proofErr w:type="spellEnd"/>
      <w:r w:rsidRPr="00051D11">
        <w:rPr>
          <w:lang w:val="en-IE"/>
        </w:rPr>
        <w:t>) (</w:t>
      </w:r>
      <w:proofErr w:type="spellStart"/>
      <w:r w:rsidRPr="00051D11">
        <w:rPr>
          <w:lang w:val="en-IE"/>
        </w:rPr>
        <w:t>unter</w:t>
      </w:r>
      <w:proofErr w:type="spellEnd"/>
      <w:r w:rsidRPr="00051D11">
        <w:rPr>
          <w:lang w:val="en-IE"/>
        </w:rPr>
        <w:t xml:space="preserve"> </w:t>
      </w:r>
      <w:proofErr w:type="spellStart"/>
      <w:r w:rsidRPr="00051D11">
        <w:rPr>
          <w:lang w:val="en-IE"/>
        </w:rPr>
        <w:t>Verweis</w:t>
      </w:r>
      <w:proofErr w:type="spellEnd"/>
      <w:r w:rsidRPr="00051D11">
        <w:rPr>
          <w:lang w:val="en-IE"/>
        </w:rPr>
        <w:t xml:space="preserve"> auf </w:t>
      </w:r>
      <w:r w:rsidRPr="00051D11">
        <w:rPr>
          <w:i/>
          <w:lang w:val="en-IE"/>
        </w:rPr>
        <w:t>Black</w:t>
      </w:r>
      <w:r w:rsidRPr="00051D11">
        <w:rPr>
          <w:lang w:val="en-IE"/>
        </w:rPr>
        <w:t>, Constitutional Law</w:t>
      </w:r>
      <w:r>
        <w:rPr>
          <w:lang w:val="en-IE"/>
        </w:rPr>
        <w:t>,</w:t>
      </w:r>
      <w:r w:rsidRPr="00051D11">
        <w:rPr>
          <w:lang w:val="en-IE"/>
        </w:rPr>
        <w:t xml:space="preserve"> 4. </w:t>
      </w:r>
      <w:proofErr w:type="spellStart"/>
      <w:r w:rsidRPr="00051D11">
        <w:rPr>
          <w:lang w:val="en-IE"/>
        </w:rPr>
        <w:t>Aufl</w:t>
      </w:r>
      <w:proofErr w:type="spellEnd"/>
      <w:r w:rsidRPr="00051D11">
        <w:rPr>
          <w:lang w:val="en-IE"/>
        </w:rPr>
        <w:t>.</w:t>
      </w:r>
      <w:r>
        <w:rPr>
          <w:lang w:val="en-IE"/>
        </w:rPr>
        <w:t xml:space="preserve">, </w:t>
      </w:r>
      <w:r w:rsidRPr="00051D11">
        <w:rPr>
          <w:lang w:val="en-IE"/>
        </w:rPr>
        <w:t xml:space="preserve">366; </w:t>
      </w:r>
      <w:r w:rsidRPr="00051D11">
        <w:rPr>
          <w:i/>
          <w:lang w:val="en-IE"/>
        </w:rPr>
        <w:t>Barbier v. Connolly</w:t>
      </w:r>
      <w:r w:rsidRPr="00051D11">
        <w:rPr>
          <w:lang w:val="en-IE"/>
        </w:rPr>
        <w:t xml:space="preserve">, 113 U.S. 27; </w:t>
      </w:r>
      <w:r w:rsidRPr="00051D11">
        <w:rPr>
          <w:i/>
          <w:lang w:val="en-IE"/>
        </w:rPr>
        <w:t>Mugler v. Kansas</w:t>
      </w:r>
      <w:r w:rsidRPr="00051D11">
        <w:rPr>
          <w:lang w:val="en-IE"/>
        </w:rPr>
        <w:t xml:space="preserve">, 123 U.S. 623; </w:t>
      </w:r>
      <w:r w:rsidRPr="009A161C">
        <w:rPr>
          <w:i/>
          <w:lang w:val="en-US"/>
        </w:rPr>
        <w:t>Camfield v. United States</w:t>
      </w:r>
      <w:r w:rsidRPr="004F13B1">
        <w:rPr>
          <w:lang w:val="en-US"/>
        </w:rPr>
        <w:t xml:space="preserve">, 167 U.S. 518; </w:t>
      </w:r>
      <w:r w:rsidRPr="009A161C">
        <w:rPr>
          <w:i/>
          <w:lang w:val="en-US"/>
        </w:rPr>
        <w:t>Chicago, B. &amp; Q. Ry. Co. v. People</w:t>
      </w:r>
      <w:r w:rsidRPr="004F13B1">
        <w:rPr>
          <w:lang w:val="en-US"/>
        </w:rPr>
        <w:t xml:space="preserve">, 200 U.S. 561; </w:t>
      </w:r>
      <w:r w:rsidRPr="009A161C">
        <w:rPr>
          <w:i/>
          <w:lang w:val="en-US"/>
        </w:rPr>
        <w:t>Sligh v. Kirkwood</w:t>
      </w:r>
      <w:r w:rsidRPr="004F13B1">
        <w:rPr>
          <w:lang w:val="en-US"/>
        </w:rPr>
        <w:t xml:space="preserve">, 237 U.S. 52; </w:t>
      </w:r>
      <w:r w:rsidRPr="009A161C">
        <w:rPr>
          <w:i/>
          <w:lang w:val="en-US"/>
        </w:rPr>
        <w:t>Blaisdell v. Home Bldg. &amp; Loan Asso</w:t>
      </w:r>
      <w:r w:rsidRPr="004F13B1">
        <w:rPr>
          <w:lang w:val="en-US"/>
        </w:rPr>
        <w:t>., 189 Minn. 422, 448;</w:t>
      </w:r>
      <w:r w:rsidRPr="00B45592">
        <w:rPr>
          <w:lang w:val="en-IE"/>
        </w:rPr>
        <w:t xml:space="preserve"> </w:t>
      </w:r>
      <w:r w:rsidRPr="009A161C">
        <w:rPr>
          <w:i/>
          <w:lang w:val="en-US"/>
        </w:rPr>
        <w:t>Manigault v. Springs</w:t>
      </w:r>
      <w:r w:rsidRPr="004F13B1">
        <w:rPr>
          <w:lang w:val="en-US"/>
        </w:rPr>
        <w:t xml:space="preserve">, 199 U.S. 473, 480; </w:t>
      </w:r>
      <w:r w:rsidRPr="009A161C">
        <w:rPr>
          <w:i/>
          <w:lang w:val="en-US"/>
        </w:rPr>
        <w:t>Atlantic Coast Line v. Goldsboro</w:t>
      </w:r>
      <w:r w:rsidRPr="004F13B1">
        <w:rPr>
          <w:lang w:val="en-US"/>
        </w:rPr>
        <w:t xml:space="preserve">, 232 U.S. 548, 558; </w:t>
      </w:r>
      <w:r w:rsidRPr="009A161C">
        <w:rPr>
          <w:i/>
          <w:lang w:val="en-US"/>
        </w:rPr>
        <w:t>Union Dry Goods Co. v. Georgia Pub. Serv. Corp.</w:t>
      </w:r>
      <w:r w:rsidRPr="004F13B1">
        <w:rPr>
          <w:lang w:val="en-US"/>
        </w:rPr>
        <w:t xml:space="preserve">, 248 U.S. 372, 376; </w:t>
      </w:r>
      <w:r w:rsidRPr="009A161C">
        <w:rPr>
          <w:i/>
          <w:lang w:val="en-US"/>
        </w:rPr>
        <w:t>New Orleans Gas Co. v. Louisiana Light Co.</w:t>
      </w:r>
      <w:r w:rsidRPr="004F13B1">
        <w:rPr>
          <w:lang w:val="en-US"/>
        </w:rPr>
        <w:t xml:space="preserve">, 115 U.S. 650, 672; </w:t>
      </w:r>
      <w:r w:rsidRPr="009A161C">
        <w:rPr>
          <w:i/>
          <w:lang w:val="en-US"/>
        </w:rPr>
        <w:t>Marcus Brown Holding Co. v. Feldman</w:t>
      </w:r>
      <w:r w:rsidRPr="004F13B1">
        <w:rPr>
          <w:lang w:val="en-US"/>
        </w:rPr>
        <w:t xml:space="preserve">, 269 Fed. 306, 315, </w:t>
      </w:r>
      <w:proofErr w:type="spellStart"/>
      <w:r>
        <w:rPr>
          <w:lang w:val="en-US"/>
        </w:rPr>
        <w:t>bestätigt</w:t>
      </w:r>
      <w:proofErr w:type="spellEnd"/>
      <w:r w:rsidRPr="004F13B1">
        <w:rPr>
          <w:lang w:val="en-US"/>
        </w:rPr>
        <w:t>,</w:t>
      </w:r>
      <w:r w:rsidRPr="00E02151">
        <w:rPr>
          <w:lang w:val="en-US"/>
        </w:rPr>
        <w:t xml:space="preserve"> 256 U.S. 170; </w:t>
      </w:r>
      <w:r w:rsidRPr="009A161C">
        <w:rPr>
          <w:i/>
          <w:lang w:val="en-US"/>
        </w:rPr>
        <w:t>People v. LaFetra</w:t>
      </w:r>
      <w:r w:rsidRPr="00E02151">
        <w:rPr>
          <w:lang w:val="en-US"/>
        </w:rPr>
        <w:t xml:space="preserve">, 230 N. Y. 429, 442; </w:t>
      </w:r>
      <w:r w:rsidRPr="009A161C">
        <w:rPr>
          <w:i/>
          <w:lang w:val="en-US"/>
        </w:rPr>
        <w:t>Guttag v. Shatzkin</w:t>
      </w:r>
      <w:r w:rsidRPr="00E02151">
        <w:rPr>
          <w:lang w:val="en-US"/>
        </w:rPr>
        <w:t>, 230 N. Y. 647, 650</w:t>
      </w:r>
      <w:r>
        <w:rPr>
          <w:lang w:val="en-US"/>
        </w:rPr>
        <w:t>)</w:t>
      </w:r>
      <w:r w:rsidRPr="00E02151">
        <w:rPr>
          <w:lang w:val="en-US"/>
        </w:rPr>
        <w:t>.</w:t>
      </w:r>
      <w:r w:rsidRPr="00B45592">
        <w:rPr>
          <w:lang w:val="en-IE"/>
        </w:rPr>
        <w:t xml:space="preserve"> </w:t>
      </w:r>
    </w:p>
    <w:bookmarkEnd w:id="18"/>
  </w:footnote>
  <w:footnote w:id="129">
    <w:p w14:paraId="11943FD3" w14:textId="77777777" w:rsidR="00074551" w:rsidRPr="00FF5D31" w:rsidRDefault="00074551" w:rsidP="00074551">
      <w:pPr>
        <w:pStyle w:val="Funotentext"/>
        <w:rPr>
          <w:lang w:val="en-US"/>
        </w:rPr>
      </w:pPr>
      <w:r>
        <w:rPr>
          <w:rStyle w:val="Funotenzeichen"/>
        </w:rPr>
        <w:footnoteRef/>
      </w:r>
      <w:r w:rsidRPr="00FF5D31">
        <w:rPr>
          <w:lang w:val="en-US"/>
        </w:rPr>
        <w:t xml:space="preserve"> </w:t>
      </w:r>
      <w:r w:rsidRPr="004F13B1">
        <w:rPr>
          <w:i/>
          <w:lang w:val="en-US"/>
        </w:rPr>
        <w:t>Home Building &amp; Loan Assn. v. Blaisdell</w:t>
      </w:r>
      <w:r w:rsidRPr="00FF5D31">
        <w:rPr>
          <w:lang w:val="en-US"/>
        </w:rPr>
        <w:t>, 290 U.S. 398, 462</w:t>
      </w:r>
      <w:r>
        <w:rPr>
          <w:lang w:val="en-US"/>
        </w:rPr>
        <w:t xml:space="preserve"> = 54 S. Ct. </w:t>
      </w:r>
      <w:r w:rsidRPr="00FF5D31">
        <w:rPr>
          <w:lang w:val="en-US"/>
        </w:rPr>
        <w:t>231, 249</w:t>
      </w:r>
      <w:r>
        <w:rPr>
          <w:lang w:val="en-US"/>
        </w:rPr>
        <w:t xml:space="preserve"> = 78 L. Ed. </w:t>
      </w:r>
      <w:r w:rsidRPr="00FF5D31">
        <w:rPr>
          <w:lang w:val="en-US"/>
        </w:rPr>
        <w:t>413, 442</w:t>
      </w:r>
      <w:r>
        <w:rPr>
          <w:lang w:val="en-US"/>
        </w:rPr>
        <w:t xml:space="preserve"> = 1934 U.S. LEXIS </w:t>
      </w:r>
      <w:r w:rsidRPr="00FF5D31">
        <w:rPr>
          <w:lang w:val="en-US"/>
        </w:rPr>
        <w:t>958, 103</w:t>
      </w:r>
      <w:r w:rsidRPr="003B741A">
        <w:rPr>
          <w:lang w:val="en-US"/>
        </w:rPr>
        <w:t xml:space="preserve"> = 88 A.L.R. </w:t>
      </w:r>
      <w:r w:rsidRPr="00FF5D31">
        <w:rPr>
          <w:lang w:val="en-US"/>
        </w:rPr>
        <w:t>1481 (1934).</w:t>
      </w:r>
    </w:p>
  </w:footnote>
  <w:footnote w:id="130">
    <w:p w14:paraId="7F6130A1" w14:textId="77777777" w:rsidR="00074551" w:rsidRPr="00355480" w:rsidRDefault="00074551" w:rsidP="00074551">
      <w:pPr>
        <w:pStyle w:val="Funotentext"/>
        <w:rPr>
          <w:lang w:val="en-US"/>
        </w:rPr>
      </w:pPr>
      <w:r>
        <w:rPr>
          <w:rStyle w:val="Funotenzeichen"/>
        </w:rPr>
        <w:footnoteRef/>
      </w:r>
      <w:r w:rsidRPr="00355480">
        <w:rPr>
          <w:lang w:val="en-US"/>
        </w:rPr>
        <w:t xml:space="preserve"> </w:t>
      </w:r>
      <w:r w:rsidRPr="004F13B1">
        <w:rPr>
          <w:i/>
          <w:lang w:val="en-US"/>
        </w:rPr>
        <w:t>Jackson v. Ashton</w:t>
      </w:r>
      <w:r w:rsidRPr="00355480">
        <w:rPr>
          <w:lang w:val="en-US"/>
        </w:rPr>
        <w:t>, 36 U.S. 229, 244</w:t>
      </w:r>
      <w:r>
        <w:rPr>
          <w:lang w:val="en-US"/>
        </w:rPr>
        <w:t xml:space="preserve"> = 9 L. Ed. </w:t>
      </w:r>
      <w:r w:rsidRPr="00355480">
        <w:rPr>
          <w:lang w:val="en-US"/>
        </w:rPr>
        <w:t>698, 704</w:t>
      </w:r>
      <w:r>
        <w:rPr>
          <w:lang w:val="en-US"/>
        </w:rPr>
        <w:t xml:space="preserve"> = 1837 U.S. LEXIS </w:t>
      </w:r>
      <w:r w:rsidRPr="00355480">
        <w:rPr>
          <w:lang w:val="en-US"/>
        </w:rPr>
        <w:t>177, 8 (1837)</w:t>
      </w:r>
      <w:r>
        <w:rPr>
          <w:lang w:val="en-US"/>
        </w:rPr>
        <w:t>.</w:t>
      </w:r>
    </w:p>
  </w:footnote>
  <w:footnote w:id="131">
    <w:p w14:paraId="4E938C6B" w14:textId="77777777" w:rsidR="00074551" w:rsidRPr="00407EDE" w:rsidRDefault="00074551" w:rsidP="00074551">
      <w:pPr>
        <w:pStyle w:val="Funotentext"/>
        <w:rPr>
          <w:lang w:val="en-US"/>
        </w:rPr>
      </w:pPr>
      <w:r>
        <w:rPr>
          <w:rStyle w:val="Funotenzeichen"/>
        </w:rPr>
        <w:footnoteRef/>
      </w:r>
      <w:r w:rsidRPr="00407EDE">
        <w:rPr>
          <w:lang w:val="en-US"/>
        </w:rPr>
        <w:t xml:space="preserve"> </w:t>
      </w:r>
      <w:r w:rsidRPr="004F13B1">
        <w:rPr>
          <w:i/>
          <w:lang w:val="en-US"/>
        </w:rPr>
        <w:t>Jackson v. Ashton</w:t>
      </w:r>
      <w:r w:rsidRPr="00407EDE">
        <w:rPr>
          <w:lang w:val="en-US"/>
        </w:rPr>
        <w:t>, 36 U.S. 229, 248</w:t>
      </w:r>
      <w:r>
        <w:rPr>
          <w:lang w:val="en-US"/>
        </w:rPr>
        <w:t xml:space="preserve"> = 9 L. Ed. </w:t>
      </w:r>
      <w:r w:rsidRPr="00407EDE">
        <w:rPr>
          <w:lang w:val="en-US"/>
        </w:rPr>
        <w:t>698, 706</w:t>
      </w:r>
      <w:r>
        <w:rPr>
          <w:lang w:val="en-US"/>
        </w:rPr>
        <w:t xml:space="preserve"> = 1837 U.S. LEXIS </w:t>
      </w:r>
      <w:r w:rsidRPr="00407EDE">
        <w:rPr>
          <w:lang w:val="en-US"/>
        </w:rPr>
        <w:t>177, 41 (1837)</w:t>
      </w:r>
      <w:r>
        <w:rPr>
          <w:lang w:val="en-US"/>
        </w:rPr>
        <w:t>.</w:t>
      </w:r>
    </w:p>
  </w:footnote>
  <w:footnote w:id="132">
    <w:p w14:paraId="0D7ECF59" w14:textId="77777777" w:rsidR="00074551" w:rsidRPr="001128C0" w:rsidRDefault="00074551" w:rsidP="00074551">
      <w:pPr>
        <w:pStyle w:val="Funotentext"/>
        <w:rPr>
          <w:lang w:val="en-US"/>
        </w:rPr>
      </w:pPr>
      <w:r>
        <w:rPr>
          <w:rStyle w:val="Funotenzeichen"/>
        </w:rPr>
        <w:footnoteRef/>
      </w:r>
      <w:r w:rsidRPr="001128C0">
        <w:rPr>
          <w:lang w:val="en-US"/>
        </w:rPr>
        <w:t xml:space="preserve"> </w:t>
      </w:r>
      <w:r w:rsidRPr="004F13B1">
        <w:rPr>
          <w:i/>
          <w:lang w:val="en-US"/>
        </w:rPr>
        <w:t>Jackson v. Ashton</w:t>
      </w:r>
      <w:r w:rsidRPr="001128C0">
        <w:rPr>
          <w:lang w:val="en-US"/>
        </w:rPr>
        <w:t>, 36 U.S. 229, 244</w:t>
      </w:r>
      <w:r>
        <w:rPr>
          <w:lang w:val="en-US"/>
        </w:rPr>
        <w:t xml:space="preserve"> = 9 L. Ed. </w:t>
      </w:r>
      <w:r w:rsidRPr="001128C0">
        <w:rPr>
          <w:lang w:val="en-US"/>
        </w:rPr>
        <w:t>698, 704</w:t>
      </w:r>
      <w:r>
        <w:rPr>
          <w:lang w:val="en-US"/>
        </w:rPr>
        <w:t xml:space="preserve"> = 1837 U.S. LEXIS </w:t>
      </w:r>
      <w:r w:rsidRPr="001128C0">
        <w:rPr>
          <w:lang w:val="en-US"/>
        </w:rPr>
        <w:t>177, 22 (1837)</w:t>
      </w:r>
      <w:r>
        <w:rPr>
          <w:lang w:val="en-US"/>
        </w:rPr>
        <w:t>.</w:t>
      </w:r>
    </w:p>
  </w:footnote>
  <w:footnote w:id="133">
    <w:p w14:paraId="54E54114" w14:textId="77777777" w:rsidR="00074551" w:rsidRPr="005E0566" w:rsidRDefault="00074551" w:rsidP="00074551">
      <w:pPr>
        <w:pStyle w:val="Funotentext"/>
        <w:rPr>
          <w:lang w:val="en-US"/>
        </w:rPr>
      </w:pPr>
      <w:r>
        <w:rPr>
          <w:rStyle w:val="Funotenzeichen"/>
        </w:rPr>
        <w:footnoteRef/>
      </w:r>
      <w:r w:rsidRPr="005E0566">
        <w:rPr>
          <w:lang w:val="en-US"/>
        </w:rPr>
        <w:t xml:space="preserve"> </w:t>
      </w:r>
      <w:r w:rsidRPr="004F13B1">
        <w:rPr>
          <w:i/>
          <w:lang w:val="en-US"/>
        </w:rPr>
        <w:t>Jackson v. Ashton</w:t>
      </w:r>
      <w:r w:rsidRPr="005E0566">
        <w:rPr>
          <w:lang w:val="en-US"/>
        </w:rPr>
        <w:t>, 36 U.S. 229, 244</w:t>
      </w:r>
      <w:r>
        <w:rPr>
          <w:lang w:val="en-US"/>
        </w:rPr>
        <w:t xml:space="preserve"> = 9 L. Ed. </w:t>
      </w:r>
      <w:r w:rsidRPr="005E0566">
        <w:rPr>
          <w:lang w:val="en-US"/>
        </w:rPr>
        <w:t>698, 704</w:t>
      </w:r>
      <w:r>
        <w:rPr>
          <w:lang w:val="en-US"/>
        </w:rPr>
        <w:t xml:space="preserve"> = 1837 U.S. LEXIS </w:t>
      </w:r>
      <w:r w:rsidRPr="005E0566">
        <w:rPr>
          <w:lang w:val="en-US"/>
        </w:rPr>
        <w:t>177, 22 (1837)</w:t>
      </w:r>
      <w:r>
        <w:rPr>
          <w:lang w:val="en-US"/>
        </w:rPr>
        <w:t>.</w:t>
      </w:r>
    </w:p>
  </w:footnote>
  <w:footnote w:id="134">
    <w:p w14:paraId="79FE7B7F" w14:textId="77777777" w:rsidR="00074551" w:rsidRPr="00B45592" w:rsidRDefault="00074551" w:rsidP="00074551">
      <w:pPr>
        <w:pStyle w:val="Funotentext"/>
        <w:rPr>
          <w:lang w:val="en-US"/>
        </w:rPr>
      </w:pPr>
      <w:r>
        <w:rPr>
          <w:rStyle w:val="Funotenzeichen"/>
        </w:rPr>
        <w:footnoteRef/>
      </w:r>
      <w:r w:rsidRPr="00B45592">
        <w:rPr>
          <w:lang w:val="en-US"/>
        </w:rPr>
        <w:t xml:space="preserve"> </w:t>
      </w:r>
      <w:r w:rsidRPr="005878FF">
        <w:rPr>
          <w:lang w:val="en-US"/>
        </w:rPr>
        <w:t xml:space="preserve">Für </w:t>
      </w:r>
      <w:proofErr w:type="spellStart"/>
      <w:r w:rsidRPr="005878FF">
        <w:rPr>
          <w:lang w:val="en-US"/>
        </w:rPr>
        <w:t>weiteres</w:t>
      </w:r>
      <w:proofErr w:type="spellEnd"/>
      <w:r w:rsidRPr="005878FF">
        <w:rPr>
          <w:lang w:val="en-US"/>
        </w:rPr>
        <w:t xml:space="preserve"> </w:t>
      </w:r>
      <w:proofErr w:type="spellStart"/>
      <w:r w:rsidRPr="005878FF">
        <w:rPr>
          <w:lang w:val="en-US"/>
        </w:rPr>
        <w:t>Fallrecht</w:t>
      </w:r>
      <w:proofErr w:type="spellEnd"/>
      <w:r w:rsidRPr="005878FF">
        <w:rPr>
          <w:lang w:val="en-US"/>
        </w:rPr>
        <w:t xml:space="preserve"> </w:t>
      </w:r>
      <w:proofErr w:type="spellStart"/>
      <w:r w:rsidRPr="005878FF">
        <w:rPr>
          <w:lang w:val="en-US"/>
        </w:rPr>
        <w:t>siehe</w:t>
      </w:r>
      <w:proofErr w:type="spellEnd"/>
      <w:r w:rsidRPr="005878FF">
        <w:rPr>
          <w:lang w:val="en-US"/>
        </w:rPr>
        <w:t xml:space="preserve"> Constitutional Law, 1581</w:t>
      </w:r>
      <w:r>
        <w:rPr>
          <w:lang w:val="en-US"/>
        </w:rPr>
        <w:t>–</w:t>
      </w:r>
      <w:r w:rsidRPr="005878FF">
        <w:rPr>
          <w:lang w:val="en-US"/>
        </w:rPr>
        <w:t xml:space="preserve">1587, in Digest Sup. Ct. 1908 und </w:t>
      </w:r>
      <w:r w:rsidRPr="004F13B1">
        <w:rPr>
          <w:i/>
          <w:lang w:val="en-US"/>
        </w:rPr>
        <w:t>United States v. Reynolds</w:t>
      </w:r>
      <w:r w:rsidRPr="005878FF">
        <w:rPr>
          <w:lang w:val="en-US"/>
        </w:rPr>
        <w:t>, 235 U.S. 133, 138</w:t>
      </w:r>
      <w:r>
        <w:rPr>
          <w:lang w:val="en-US"/>
        </w:rPr>
        <w:t xml:space="preserve"> = 35 S. Ct. </w:t>
      </w:r>
      <w:r w:rsidRPr="005878FF">
        <w:rPr>
          <w:lang w:val="en-US"/>
        </w:rPr>
        <w:t>86, 86</w:t>
      </w:r>
      <w:r>
        <w:rPr>
          <w:lang w:val="en-US"/>
        </w:rPr>
        <w:t xml:space="preserve"> = 59 L. Ed. </w:t>
      </w:r>
      <w:r w:rsidRPr="005878FF">
        <w:rPr>
          <w:lang w:val="en-US"/>
        </w:rPr>
        <w:t>162, 164</w:t>
      </w:r>
      <w:r>
        <w:rPr>
          <w:lang w:val="en-US"/>
        </w:rPr>
        <w:t xml:space="preserve"> = 1914 U.S. LEXIS </w:t>
      </w:r>
      <w:r w:rsidRPr="005878FF">
        <w:rPr>
          <w:lang w:val="en-US"/>
        </w:rPr>
        <w:t>1009, 1 (1914)</w:t>
      </w:r>
      <w:r>
        <w:rPr>
          <w:lang w:val="en-US"/>
        </w:rPr>
        <w:t>.</w:t>
      </w:r>
    </w:p>
  </w:footnote>
  <w:footnote w:id="135">
    <w:p w14:paraId="2D8A4AAE" w14:textId="77777777" w:rsidR="00C4236D" w:rsidRPr="00257BD0" w:rsidRDefault="00C4236D" w:rsidP="00C4236D">
      <w:pPr>
        <w:pStyle w:val="Funotentext"/>
        <w:rPr>
          <w:lang w:val="en-US"/>
        </w:rPr>
      </w:pPr>
      <w:r>
        <w:rPr>
          <w:rStyle w:val="Funotenzeichen"/>
        </w:rPr>
        <w:footnoteRef/>
      </w:r>
      <w:r w:rsidRPr="00257BD0">
        <w:rPr>
          <w:lang w:val="en-US"/>
        </w:rPr>
        <w:t xml:space="preserve"> „Congress passed §</w:t>
      </w:r>
      <w:r>
        <w:rPr>
          <w:lang w:val="en-US"/>
        </w:rPr>
        <w:t>§ </w:t>
      </w:r>
      <w:r w:rsidRPr="00257BD0">
        <w:rPr>
          <w:lang w:val="en-US"/>
        </w:rPr>
        <w:t xml:space="preserve">1990 and 5526, Rev. Stat., and </w:t>
      </w:r>
      <w:r>
        <w:rPr>
          <w:lang w:val="en-US"/>
        </w:rPr>
        <w:t>§ </w:t>
      </w:r>
      <w:r w:rsidRPr="00257BD0">
        <w:rPr>
          <w:lang w:val="en-US"/>
        </w:rPr>
        <w:t xml:space="preserve">269, Criminal Code, abolishing and prohibiting peonage under the authority conferred by </w:t>
      </w:r>
      <w:r>
        <w:rPr>
          <w:lang w:val="en-US"/>
        </w:rPr>
        <w:t>§ </w:t>
      </w:r>
      <w:r w:rsidRPr="00257BD0">
        <w:rPr>
          <w:lang w:val="en-US"/>
        </w:rPr>
        <w:t xml:space="preserve">2 of the Thirteenth Amendment to enforce </w:t>
      </w:r>
      <w:r>
        <w:rPr>
          <w:lang w:val="en-US"/>
        </w:rPr>
        <w:t>§ </w:t>
      </w:r>
      <w:r w:rsidRPr="00257BD0">
        <w:rPr>
          <w:lang w:val="en-US"/>
        </w:rPr>
        <w:t>1 of that amendment, thereby undertaking to strike down all laws, regulations and usages in the States and Territories which attempted to maintain and enforce, directly or indirectly, the voluntary or involuntary service or labor of any persons as peons in the liquidation of any debt or obligation“,</w:t>
      </w:r>
      <w:r>
        <w:rPr>
          <w:lang w:val="en-US"/>
        </w:rPr>
        <w:t xml:space="preserve"> </w:t>
      </w:r>
      <w:r w:rsidRPr="004F13B1">
        <w:rPr>
          <w:i/>
          <w:lang w:val="en-US"/>
        </w:rPr>
        <w:t>United States v. Reynolds</w:t>
      </w:r>
      <w:r w:rsidRPr="00257BD0">
        <w:rPr>
          <w:lang w:val="en-US"/>
        </w:rPr>
        <w:t>, 235 U.S. 133, 138</w:t>
      </w:r>
      <w:r>
        <w:rPr>
          <w:lang w:val="en-US"/>
        </w:rPr>
        <w:t xml:space="preserve"> = 35 S. Ct. </w:t>
      </w:r>
      <w:r w:rsidRPr="00257BD0">
        <w:rPr>
          <w:lang w:val="en-US"/>
        </w:rPr>
        <w:t>86, 86</w:t>
      </w:r>
      <w:r>
        <w:rPr>
          <w:lang w:val="en-US"/>
        </w:rPr>
        <w:t xml:space="preserve"> = 59 L. Ed. </w:t>
      </w:r>
      <w:r w:rsidRPr="00257BD0">
        <w:rPr>
          <w:lang w:val="en-US"/>
        </w:rPr>
        <w:t>162, 164</w:t>
      </w:r>
      <w:r>
        <w:rPr>
          <w:lang w:val="en-US"/>
        </w:rPr>
        <w:t xml:space="preserve"> = 1914 U.S. LEXIS </w:t>
      </w:r>
      <w:r w:rsidRPr="00257BD0">
        <w:rPr>
          <w:lang w:val="en-US"/>
        </w:rPr>
        <w:t>1009, 1 (1914)</w:t>
      </w:r>
      <w:r>
        <w:rPr>
          <w:lang w:val="en-US"/>
        </w:rPr>
        <w:t>.</w:t>
      </w:r>
    </w:p>
  </w:footnote>
  <w:footnote w:id="136">
    <w:p w14:paraId="29B68A2A" w14:textId="77777777" w:rsidR="00C4236D" w:rsidRPr="005878FF" w:rsidRDefault="00C4236D" w:rsidP="00C4236D">
      <w:pPr>
        <w:pStyle w:val="Funotentext"/>
        <w:rPr>
          <w:lang w:val="en-US"/>
        </w:rPr>
      </w:pPr>
      <w:r>
        <w:rPr>
          <w:rStyle w:val="Funotenzeichen"/>
        </w:rPr>
        <w:footnoteRef/>
      </w:r>
      <w:r w:rsidRPr="005878FF">
        <w:rPr>
          <w:lang w:val="en-US"/>
        </w:rPr>
        <w:t xml:space="preserve"> </w:t>
      </w:r>
      <w:r>
        <w:rPr>
          <w:lang w:val="en-US"/>
        </w:rPr>
        <w:t>U.S.</w:t>
      </w:r>
      <w:r w:rsidRPr="005878FF">
        <w:rPr>
          <w:lang w:val="en-US"/>
        </w:rPr>
        <w:t xml:space="preserve"> Rev. Stat. 1990, 5526, </w:t>
      </w:r>
      <w:r>
        <w:rPr>
          <w:lang w:val="en-US"/>
        </w:rPr>
        <w:t>U.S.</w:t>
      </w:r>
      <w:r w:rsidRPr="005878FF">
        <w:rPr>
          <w:lang w:val="en-US"/>
        </w:rPr>
        <w:t xml:space="preserve"> Comp. Stat. 1901, S. 1266, 3175</w:t>
      </w:r>
      <w:r>
        <w:rPr>
          <w:lang w:val="en-US"/>
        </w:rPr>
        <w:t xml:space="preserve"> in </w:t>
      </w:r>
      <w:r w:rsidRPr="004F13B1">
        <w:rPr>
          <w:i/>
          <w:lang w:val="en-US"/>
        </w:rPr>
        <w:t>United States v. Reynolds</w:t>
      </w:r>
      <w:r w:rsidRPr="005878FF">
        <w:rPr>
          <w:lang w:val="en-US"/>
        </w:rPr>
        <w:t>, 235 U.S. 133, 138</w:t>
      </w:r>
      <w:r>
        <w:rPr>
          <w:lang w:val="en-US"/>
        </w:rPr>
        <w:t xml:space="preserve"> = 35 S. Ct. </w:t>
      </w:r>
      <w:r w:rsidRPr="005878FF">
        <w:rPr>
          <w:lang w:val="en-US"/>
        </w:rPr>
        <w:t>86, 86</w:t>
      </w:r>
      <w:r>
        <w:rPr>
          <w:lang w:val="en-US"/>
        </w:rPr>
        <w:t xml:space="preserve"> = 59 L. Ed. </w:t>
      </w:r>
      <w:r w:rsidRPr="005878FF">
        <w:rPr>
          <w:lang w:val="en-US"/>
        </w:rPr>
        <w:t>162, 164</w:t>
      </w:r>
      <w:r>
        <w:rPr>
          <w:lang w:val="en-US"/>
        </w:rPr>
        <w:t xml:space="preserve"> = 1914 U.S. LEXIS </w:t>
      </w:r>
      <w:r w:rsidRPr="005878FF">
        <w:rPr>
          <w:lang w:val="en-US"/>
        </w:rPr>
        <w:t>1009, 1 (1914)</w:t>
      </w:r>
      <w:r>
        <w:rPr>
          <w:lang w:val="en-US"/>
        </w:rPr>
        <w:t>.</w:t>
      </w:r>
    </w:p>
  </w:footnote>
  <w:footnote w:id="137">
    <w:p w14:paraId="58BAA5D5" w14:textId="77777777" w:rsidR="00C4236D" w:rsidRPr="005878FF" w:rsidRDefault="00C4236D" w:rsidP="00C4236D">
      <w:pPr>
        <w:pStyle w:val="Funotentext"/>
        <w:rPr>
          <w:lang w:val="en-US"/>
        </w:rPr>
      </w:pPr>
      <w:r>
        <w:rPr>
          <w:rStyle w:val="Funotenzeichen"/>
        </w:rPr>
        <w:footnoteRef/>
      </w:r>
      <w:r w:rsidRPr="005878FF">
        <w:rPr>
          <w:lang w:val="en-US"/>
        </w:rPr>
        <w:t xml:space="preserve"> Für </w:t>
      </w:r>
      <w:proofErr w:type="spellStart"/>
      <w:r w:rsidRPr="005878FF">
        <w:rPr>
          <w:lang w:val="en-US"/>
        </w:rPr>
        <w:t>weiteres</w:t>
      </w:r>
      <w:proofErr w:type="spellEnd"/>
      <w:r w:rsidRPr="005878FF">
        <w:rPr>
          <w:lang w:val="en-US"/>
        </w:rPr>
        <w:t xml:space="preserve"> </w:t>
      </w:r>
      <w:proofErr w:type="spellStart"/>
      <w:r w:rsidRPr="005878FF">
        <w:rPr>
          <w:lang w:val="en-US"/>
        </w:rPr>
        <w:t>Fallrecht</w:t>
      </w:r>
      <w:proofErr w:type="spellEnd"/>
      <w:r w:rsidRPr="005878FF">
        <w:rPr>
          <w:lang w:val="en-US"/>
        </w:rPr>
        <w:t xml:space="preserve"> </w:t>
      </w:r>
      <w:proofErr w:type="spellStart"/>
      <w:r w:rsidRPr="005878FF">
        <w:rPr>
          <w:lang w:val="en-US"/>
        </w:rPr>
        <w:t>siehe</w:t>
      </w:r>
      <w:proofErr w:type="spellEnd"/>
      <w:r w:rsidRPr="005878FF">
        <w:rPr>
          <w:lang w:val="en-US"/>
        </w:rPr>
        <w:t xml:space="preserve"> Constitutional Law, 1581</w:t>
      </w:r>
      <w:r>
        <w:rPr>
          <w:lang w:val="en-US"/>
        </w:rPr>
        <w:t>–</w:t>
      </w:r>
      <w:r w:rsidRPr="005878FF">
        <w:rPr>
          <w:lang w:val="en-US"/>
        </w:rPr>
        <w:t xml:space="preserve">1587, in Digest Sup. Ct. 1908 und </w:t>
      </w:r>
      <w:r w:rsidRPr="004F13B1">
        <w:rPr>
          <w:i/>
          <w:lang w:val="en-US"/>
        </w:rPr>
        <w:t>United States v. Reynolds</w:t>
      </w:r>
      <w:r w:rsidRPr="005878FF">
        <w:rPr>
          <w:lang w:val="en-US"/>
        </w:rPr>
        <w:t>, 235 U.S. 133, 138</w:t>
      </w:r>
      <w:r>
        <w:rPr>
          <w:lang w:val="en-US"/>
        </w:rPr>
        <w:t xml:space="preserve"> = 35 S. Ct. </w:t>
      </w:r>
      <w:r w:rsidRPr="005878FF">
        <w:rPr>
          <w:lang w:val="en-US"/>
        </w:rPr>
        <w:t>86, 86</w:t>
      </w:r>
      <w:r>
        <w:rPr>
          <w:lang w:val="en-US"/>
        </w:rPr>
        <w:t xml:space="preserve"> = 59 L. Ed. </w:t>
      </w:r>
      <w:r w:rsidRPr="005878FF">
        <w:rPr>
          <w:lang w:val="en-US"/>
        </w:rPr>
        <w:t>162, 164</w:t>
      </w:r>
      <w:r>
        <w:rPr>
          <w:lang w:val="en-US"/>
        </w:rPr>
        <w:t xml:space="preserve"> = 1914 U.S. LEXIS </w:t>
      </w:r>
      <w:r w:rsidRPr="005878FF">
        <w:rPr>
          <w:lang w:val="en-US"/>
        </w:rPr>
        <w:t>1009, 1 (1914)</w:t>
      </w:r>
      <w:r>
        <w:rPr>
          <w:lang w:val="en-US"/>
        </w:rPr>
        <w:t>.</w:t>
      </w:r>
    </w:p>
  </w:footnote>
  <w:footnote w:id="138">
    <w:p w14:paraId="50B42A4F" w14:textId="77777777" w:rsidR="00074551" w:rsidRPr="001914FB" w:rsidRDefault="00074551" w:rsidP="00074551">
      <w:pPr>
        <w:pStyle w:val="Funotentext"/>
        <w:rPr>
          <w:lang w:val="en-US"/>
        </w:rPr>
      </w:pPr>
      <w:r>
        <w:rPr>
          <w:rStyle w:val="Funotenzeichen"/>
        </w:rPr>
        <w:footnoteRef/>
      </w:r>
      <w:r w:rsidRPr="001914FB">
        <w:rPr>
          <w:lang w:val="en-US"/>
        </w:rPr>
        <w:t xml:space="preserve"> </w:t>
      </w:r>
      <w:r w:rsidRPr="00B45592">
        <w:rPr>
          <w:i/>
          <w:lang w:val="en-US"/>
        </w:rPr>
        <w:t>Peonage Cases</w:t>
      </w:r>
      <w:r w:rsidRPr="001914FB">
        <w:rPr>
          <w:lang w:val="en-US"/>
        </w:rPr>
        <w:t>, 123 Fed. Rep. 671, 676</w:t>
      </w:r>
      <w:r>
        <w:rPr>
          <w:lang w:val="en-US"/>
        </w:rPr>
        <w:t xml:space="preserve">; </w:t>
      </w:r>
      <w:r w:rsidRPr="004F13B1">
        <w:rPr>
          <w:i/>
          <w:lang w:val="en-US"/>
        </w:rPr>
        <w:t>United States v. Reynolds</w:t>
      </w:r>
      <w:r w:rsidRPr="001914FB">
        <w:rPr>
          <w:lang w:val="en-US"/>
        </w:rPr>
        <w:t>, 235 U.S. 133, 138</w:t>
      </w:r>
      <w:r>
        <w:rPr>
          <w:lang w:val="en-US"/>
        </w:rPr>
        <w:t xml:space="preserve"> = 35 S. Ct. </w:t>
      </w:r>
      <w:r w:rsidRPr="001914FB">
        <w:rPr>
          <w:lang w:val="en-US"/>
        </w:rPr>
        <w:t>86, 86</w:t>
      </w:r>
      <w:r>
        <w:rPr>
          <w:lang w:val="en-US"/>
        </w:rPr>
        <w:t xml:space="preserve"> = 59 L. Ed. </w:t>
      </w:r>
      <w:r w:rsidRPr="001914FB">
        <w:rPr>
          <w:lang w:val="en-US"/>
        </w:rPr>
        <w:t>162, 164</w:t>
      </w:r>
      <w:r>
        <w:rPr>
          <w:lang w:val="en-US"/>
        </w:rPr>
        <w:t xml:space="preserve"> = 1914 U.S. LEXIS </w:t>
      </w:r>
      <w:r w:rsidRPr="001914FB">
        <w:rPr>
          <w:lang w:val="en-US"/>
        </w:rPr>
        <w:t>1009, 9 (1914)</w:t>
      </w:r>
      <w:r>
        <w:rPr>
          <w:lang w:val="en-US"/>
        </w:rPr>
        <w:t>.</w:t>
      </w:r>
    </w:p>
  </w:footnote>
  <w:footnote w:id="139">
    <w:p w14:paraId="2AC7F144" w14:textId="0089A3B2" w:rsidR="00074551" w:rsidRPr="00E63720" w:rsidRDefault="00074551" w:rsidP="00074551">
      <w:pPr>
        <w:pStyle w:val="Funotentext"/>
        <w:rPr>
          <w:lang w:val="en-US"/>
        </w:rPr>
      </w:pPr>
      <w:r>
        <w:rPr>
          <w:rStyle w:val="Funotenzeichen"/>
        </w:rPr>
        <w:footnoteRef/>
      </w:r>
      <w:r w:rsidRPr="00B45592">
        <w:t xml:space="preserve"> </w:t>
      </w:r>
      <w:bookmarkStart w:id="19" w:name="_Hlk222952972"/>
      <w:r w:rsidRPr="00B45592">
        <w:t xml:space="preserve">Siehe die Debatten im </w:t>
      </w:r>
      <w:proofErr w:type="spellStart"/>
      <w:r w:rsidRPr="00B45592">
        <w:rPr>
          <w:i/>
          <w:iCs/>
        </w:rPr>
        <w:t>Congressional</w:t>
      </w:r>
      <w:proofErr w:type="spellEnd"/>
      <w:r w:rsidRPr="00B45592">
        <w:rPr>
          <w:i/>
          <w:iCs/>
        </w:rPr>
        <w:t xml:space="preserve"> Globe</w:t>
      </w:r>
      <w:r w:rsidRPr="00B45592">
        <w:t xml:space="preserve"> zur Annahme des </w:t>
      </w:r>
      <w:r w:rsidR="00023A37">
        <w:t xml:space="preserve">U.S. </w:t>
      </w:r>
      <w:proofErr w:type="spellStart"/>
      <w:r w:rsidR="00023A37">
        <w:t>Const</w:t>
      </w:r>
      <w:proofErr w:type="spellEnd"/>
      <w:r w:rsidR="00023A37">
        <w:t xml:space="preserve">. </w:t>
      </w:r>
      <w:proofErr w:type="spellStart"/>
      <w:r w:rsidR="00023A37">
        <w:t>amend</w:t>
      </w:r>
      <w:proofErr w:type="spellEnd"/>
      <w:r w:rsidR="00023A37">
        <w:t>. XIII</w:t>
      </w:r>
      <w:r w:rsidRPr="00B45592">
        <w:rPr>
          <w:lang w:val="en-IE"/>
        </w:rPr>
        <w:t xml:space="preserve"> in den Jahren 1863/64</w:t>
      </w:r>
      <w:r w:rsidRPr="00E63720">
        <w:rPr>
          <w:lang w:val="en-US"/>
        </w:rPr>
        <w:t>, Part 2, 1313</w:t>
      </w:r>
      <w:r>
        <w:rPr>
          <w:lang w:val="en-US"/>
        </w:rPr>
        <w:t>–</w:t>
      </w:r>
      <w:r w:rsidRPr="00E63720">
        <w:rPr>
          <w:lang w:val="en-US"/>
        </w:rPr>
        <w:t>25, 1364</w:t>
      </w:r>
      <w:r>
        <w:rPr>
          <w:lang w:val="en-US"/>
        </w:rPr>
        <w:t>–</w:t>
      </w:r>
      <w:r w:rsidRPr="00E63720">
        <w:rPr>
          <w:lang w:val="en-US"/>
        </w:rPr>
        <w:t>70, 1419</w:t>
      </w:r>
      <w:r>
        <w:rPr>
          <w:lang w:val="en-US"/>
        </w:rPr>
        <w:t>–</w:t>
      </w:r>
      <w:r w:rsidRPr="00E63720">
        <w:rPr>
          <w:lang w:val="en-US"/>
        </w:rPr>
        <w:t>24, 1437</w:t>
      </w:r>
      <w:r>
        <w:rPr>
          <w:lang w:val="en-US"/>
        </w:rPr>
        <w:t>–</w:t>
      </w:r>
      <w:r w:rsidRPr="00E63720">
        <w:rPr>
          <w:lang w:val="en-US"/>
        </w:rPr>
        <w:t>46, 1456</w:t>
      </w:r>
      <w:r>
        <w:rPr>
          <w:lang w:val="en-US"/>
        </w:rPr>
        <w:t>–</w:t>
      </w:r>
      <w:r w:rsidRPr="00E63720">
        <w:rPr>
          <w:lang w:val="en-US"/>
        </w:rPr>
        <w:t>65, 1479</w:t>
      </w:r>
      <w:r>
        <w:rPr>
          <w:lang w:val="en-US"/>
        </w:rPr>
        <w:t>–</w:t>
      </w:r>
      <w:r w:rsidRPr="00E63720">
        <w:rPr>
          <w:lang w:val="en-US"/>
        </w:rPr>
        <w:t>90</w:t>
      </w:r>
      <w:r>
        <w:rPr>
          <w:lang w:val="en-US"/>
        </w:rPr>
        <w:t xml:space="preserve">; </w:t>
      </w:r>
    </w:p>
    <w:p w14:paraId="537F8C01" w14:textId="77777777" w:rsidR="00074551" w:rsidRPr="00E63720" w:rsidRDefault="00074551" w:rsidP="00074551">
      <w:pPr>
        <w:pStyle w:val="Funotentext"/>
        <w:rPr>
          <w:lang w:val="en-US"/>
        </w:rPr>
      </w:pPr>
      <w:r w:rsidRPr="004F13B1">
        <w:rPr>
          <w:i/>
          <w:lang w:val="en-US"/>
        </w:rPr>
        <w:t>United States v. Reynolds</w:t>
      </w:r>
      <w:r w:rsidRPr="00E63720">
        <w:rPr>
          <w:lang w:val="en-US"/>
        </w:rPr>
        <w:t>, 235 U.S. 133, 138</w:t>
      </w:r>
      <w:r>
        <w:rPr>
          <w:lang w:val="en-US"/>
        </w:rPr>
        <w:t xml:space="preserve"> = 35 S. Ct. </w:t>
      </w:r>
      <w:r w:rsidRPr="00E63720">
        <w:rPr>
          <w:lang w:val="en-US"/>
        </w:rPr>
        <w:t>86, 86</w:t>
      </w:r>
      <w:r>
        <w:rPr>
          <w:lang w:val="en-US"/>
        </w:rPr>
        <w:t xml:space="preserve"> = 59 L. Ed. </w:t>
      </w:r>
      <w:r w:rsidRPr="00E63720">
        <w:rPr>
          <w:lang w:val="en-US"/>
        </w:rPr>
        <w:t>162, 164</w:t>
      </w:r>
      <w:r>
        <w:rPr>
          <w:lang w:val="en-US"/>
        </w:rPr>
        <w:t xml:space="preserve"> = 1914 U.S. LEXIS </w:t>
      </w:r>
      <w:r w:rsidRPr="00E63720">
        <w:rPr>
          <w:lang w:val="en-US"/>
        </w:rPr>
        <w:t>1009, 9</w:t>
      </w:r>
      <w:r>
        <w:rPr>
          <w:lang w:val="en-US"/>
        </w:rPr>
        <w:t>–</w:t>
      </w:r>
      <w:r w:rsidRPr="00E63720">
        <w:rPr>
          <w:lang w:val="en-US"/>
        </w:rPr>
        <w:t>10 (1914)</w:t>
      </w:r>
      <w:r>
        <w:rPr>
          <w:lang w:val="en-US"/>
        </w:rPr>
        <w:t>.</w:t>
      </w:r>
      <w:bookmarkEnd w:id="19"/>
    </w:p>
  </w:footnote>
  <w:footnote w:id="140">
    <w:p w14:paraId="5F2AD515" w14:textId="77777777" w:rsidR="00074551" w:rsidRPr="005E298F" w:rsidRDefault="00074551" w:rsidP="00074551">
      <w:pPr>
        <w:pStyle w:val="Funotentext"/>
        <w:rPr>
          <w:lang w:val="en-US"/>
        </w:rPr>
      </w:pPr>
      <w:r>
        <w:rPr>
          <w:rStyle w:val="Funotenzeichen"/>
        </w:rPr>
        <w:footnoteRef/>
      </w:r>
      <w:r w:rsidRPr="005E298F">
        <w:rPr>
          <w:lang w:val="en-US"/>
        </w:rPr>
        <w:t xml:space="preserve"> </w:t>
      </w:r>
      <w:r w:rsidRPr="001F38CE">
        <w:rPr>
          <w:i/>
          <w:lang w:val="en-US"/>
        </w:rPr>
        <w:t>Cook v. Moffat &amp; Curtis</w:t>
      </w:r>
      <w:r w:rsidRPr="005E298F">
        <w:rPr>
          <w:lang w:val="en-US"/>
        </w:rPr>
        <w:t>, 46 U.S. 295, 307</w:t>
      </w:r>
      <w:r>
        <w:rPr>
          <w:lang w:val="en-US"/>
        </w:rPr>
        <w:t xml:space="preserve"> = 12 L. Ed. </w:t>
      </w:r>
      <w:r w:rsidRPr="005E298F">
        <w:rPr>
          <w:lang w:val="en-US"/>
        </w:rPr>
        <w:t>159, 165</w:t>
      </w:r>
      <w:r>
        <w:rPr>
          <w:lang w:val="en-US"/>
        </w:rPr>
        <w:t xml:space="preserve"> = 1847 U.S. LEXIS </w:t>
      </w:r>
      <w:r w:rsidRPr="005E298F">
        <w:rPr>
          <w:lang w:val="en-US"/>
        </w:rPr>
        <w:t>316, 6</w:t>
      </w:r>
      <w:r>
        <w:rPr>
          <w:lang w:val="en-US"/>
        </w:rPr>
        <w:t xml:space="preserve"> = 5 HOW </w:t>
      </w:r>
      <w:r w:rsidRPr="005E298F">
        <w:rPr>
          <w:lang w:val="en-US"/>
        </w:rPr>
        <w:t>295 (1847)</w:t>
      </w:r>
      <w:r>
        <w:rPr>
          <w:lang w:val="en-US"/>
        </w:rPr>
        <w:t>.</w:t>
      </w:r>
    </w:p>
  </w:footnote>
  <w:footnote w:id="141">
    <w:p w14:paraId="093D74DA" w14:textId="77777777" w:rsidR="00074551" w:rsidRPr="00AA328E" w:rsidRDefault="00074551" w:rsidP="00074551">
      <w:pPr>
        <w:pStyle w:val="Funotentext"/>
        <w:rPr>
          <w:lang w:val="en-US"/>
        </w:rPr>
      </w:pPr>
      <w:r>
        <w:rPr>
          <w:rStyle w:val="Funotenzeichen"/>
        </w:rPr>
        <w:footnoteRef/>
      </w:r>
      <w:r w:rsidRPr="00AA328E">
        <w:rPr>
          <w:lang w:val="en-US"/>
        </w:rPr>
        <w:t xml:space="preserve"> </w:t>
      </w:r>
      <w:r w:rsidRPr="001F38CE">
        <w:rPr>
          <w:i/>
          <w:lang w:val="en-US"/>
        </w:rPr>
        <w:t>Cook v. Moffat &amp; Curtis</w:t>
      </w:r>
      <w:r w:rsidRPr="00AA328E">
        <w:rPr>
          <w:lang w:val="en-US"/>
        </w:rPr>
        <w:t>, 46 U.S. 295, 308</w:t>
      </w:r>
      <w:r>
        <w:rPr>
          <w:lang w:val="en-US"/>
        </w:rPr>
        <w:t xml:space="preserve"> = 12 L. Ed. </w:t>
      </w:r>
      <w:r w:rsidRPr="00AA328E">
        <w:rPr>
          <w:lang w:val="en-US"/>
        </w:rPr>
        <w:t>159, 165</w:t>
      </w:r>
      <w:r>
        <w:rPr>
          <w:lang w:val="en-US"/>
        </w:rPr>
        <w:t xml:space="preserve"> = 1847 U.S. LEXIS </w:t>
      </w:r>
      <w:r w:rsidRPr="00AA328E">
        <w:rPr>
          <w:lang w:val="en-US"/>
        </w:rPr>
        <w:t>316, 32</w:t>
      </w:r>
      <w:r>
        <w:rPr>
          <w:lang w:val="en-US"/>
        </w:rPr>
        <w:t xml:space="preserve"> = 5 HOW </w:t>
      </w:r>
      <w:r w:rsidRPr="00AA328E">
        <w:rPr>
          <w:lang w:val="en-US"/>
        </w:rPr>
        <w:t>295 (1847)</w:t>
      </w:r>
      <w:r>
        <w:rPr>
          <w:lang w:val="en-US"/>
        </w:rPr>
        <w:t>.</w:t>
      </w:r>
    </w:p>
  </w:footnote>
  <w:footnote w:id="142">
    <w:p w14:paraId="15B88A18" w14:textId="77777777" w:rsidR="00074551" w:rsidRPr="00791314" w:rsidRDefault="00074551" w:rsidP="00074551">
      <w:pPr>
        <w:pStyle w:val="Funotentext"/>
        <w:rPr>
          <w:lang w:val="en-US"/>
        </w:rPr>
      </w:pPr>
      <w:r>
        <w:rPr>
          <w:rStyle w:val="Funotenzeichen"/>
        </w:rPr>
        <w:footnoteRef/>
      </w:r>
      <w:r w:rsidRPr="00791314">
        <w:rPr>
          <w:lang w:val="en-US"/>
        </w:rPr>
        <w:t xml:space="preserve"> </w:t>
      </w:r>
      <w:r w:rsidRPr="001F38CE">
        <w:rPr>
          <w:i/>
          <w:lang w:val="en-US"/>
        </w:rPr>
        <w:t>Cook v. Moffat &amp; Curtis</w:t>
      </w:r>
      <w:r w:rsidRPr="00791314">
        <w:rPr>
          <w:lang w:val="en-US"/>
        </w:rPr>
        <w:t>, 46 U.S. 295, 307</w:t>
      </w:r>
      <w:r>
        <w:rPr>
          <w:lang w:val="en-US"/>
        </w:rPr>
        <w:t xml:space="preserve"> = 12 L. Ed. </w:t>
      </w:r>
      <w:r w:rsidRPr="00791314">
        <w:rPr>
          <w:lang w:val="en-US"/>
        </w:rPr>
        <w:t>159, 165</w:t>
      </w:r>
      <w:r>
        <w:rPr>
          <w:lang w:val="en-US"/>
        </w:rPr>
        <w:t xml:space="preserve"> = 1847 U.S. LEXIS </w:t>
      </w:r>
      <w:r w:rsidRPr="00791314">
        <w:rPr>
          <w:lang w:val="en-US"/>
        </w:rPr>
        <w:t>316, 27</w:t>
      </w:r>
      <w:r>
        <w:rPr>
          <w:lang w:val="en-US"/>
        </w:rPr>
        <w:t xml:space="preserve"> = 5 HOW </w:t>
      </w:r>
      <w:r w:rsidRPr="00791314">
        <w:rPr>
          <w:lang w:val="en-US"/>
        </w:rPr>
        <w:t>295 (1847)</w:t>
      </w:r>
      <w:r>
        <w:rPr>
          <w:lang w:val="en-US"/>
        </w:rPr>
        <w:t>.</w:t>
      </w:r>
    </w:p>
  </w:footnote>
  <w:footnote w:id="143">
    <w:p w14:paraId="6396655A" w14:textId="77777777" w:rsidR="00074551" w:rsidRPr="00791314" w:rsidRDefault="00074551" w:rsidP="00074551">
      <w:pPr>
        <w:pStyle w:val="Funotentext"/>
        <w:rPr>
          <w:lang w:val="en-US"/>
        </w:rPr>
      </w:pPr>
      <w:r>
        <w:rPr>
          <w:rStyle w:val="Funotenzeichen"/>
        </w:rPr>
        <w:footnoteRef/>
      </w:r>
      <w:r w:rsidRPr="00791314">
        <w:rPr>
          <w:lang w:val="en-US"/>
        </w:rPr>
        <w:t xml:space="preserve"> </w:t>
      </w:r>
      <w:r w:rsidRPr="001F38CE">
        <w:rPr>
          <w:i/>
          <w:lang w:val="en-US"/>
        </w:rPr>
        <w:t>Cook v. Moffat &amp; Curtis</w:t>
      </w:r>
      <w:r w:rsidRPr="00791314">
        <w:rPr>
          <w:lang w:val="en-US"/>
        </w:rPr>
        <w:t>, 46 U.S. 295, 307</w:t>
      </w:r>
      <w:r>
        <w:rPr>
          <w:lang w:val="en-US"/>
        </w:rPr>
        <w:t xml:space="preserve"> = 12 L. Ed. </w:t>
      </w:r>
      <w:r w:rsidRPr="00791314">
        <w:rPr>
          <w:lang w:val="en-US"/>
        </w:rPr>
        <w:t>159, 165</w:t>
      </w:r>
      <w:r>
        <w:rPr>
          <w:lang w:val="en-US"/>
        </w:rPr>
        <w:t xml:space="preserve"> = 1847 U.S. LEXIS </w:t>
      </w:r>
      <w:r w:rsidRPr="00791314">
        <w:rPr>
          <w:lang w:val="en-US"/>
        </w:rPr>
        <w:t>316, 27</w:t>
      </w:r>
      <w:r>
        <w:rPr>
          <w:lang w:val="en-US"/>
        </w:rPr>
        <w:t xml:space="preserve"> = 5 HOW </w:t>
      </w:r>
      <w:r w:rsidRPr="00791314">
        <w:rPr>
          <w:lang w:val="en-US"/>
        </w:rPr>
        <w:t>295 (1847)</w:t>
      </w:r>
      <w:r>
        <w:rPr>
          <w:lang w:val="en-US"/>
        </w:rPr>
        <w:t>.</w:t>
      </w:r>
    </w:p>
  </w:footnote>
  <w:footnote w:id="144">
    <w:p w14:paraId="1BBB1519" w14:textId="77777777" w:rsidR="00074551" w:rsidRPr="00791314" w:rsidRDefault="00074551" w:rsidP="00074551">
      <w:pPr>
        <w:pStyle w:val="Funotentext"/>
        <w:rPr>
          <w:lang w:val="en-US"/>
        </w:rPr>
      </w:pPr>
      <w:r>
        <w:rPr>
          <w:rStyle w:val="Funotenzeichen"/>
        </w:rPr>
        <w:footnoteRef/>
      </w:r>
      <w:r w:rsidRPr="00791314">
        <w:rPr>
          <w:lang w:val="en-US"/>
        </w:rPr>
        <w:t xml:space="preserve"> </w:t>
      </w:r>
      <w:r w:rsidRPr="001F38CE">
        <w:rPr>
          <w:i/>
          <w:lang w:val="en-US"/>
        </w:rPr>
        <w:t>Cook v. Moffat &amp; Curtis</w:t>
      </w:r>
      <w:r w:rsidRPr="00791314">
        <w:rPr>
          <w:lang w:val="en-US"/>
        </w:rPr>
        <w:t>, 46 U.S. 295, 307</w:t>
      </w:r>
      <w:r>
        <w:rPr>
          <w:lang w:val="en-US"/>
        </w:rPr>
        <w:t xml:space="preserve"> = 12 L. Ed. </w:t>
      </w:r>
      <w:r w:rsidRPr="00791314">
        <w:rPr>
          <w:lang w:val="en-US"/>
        </w:rPr>
        <w:t>159, 165</w:t>
      </w:r>
      <w:r>
        <w:rPr>
          <w:lang w:val="en-US"/>
        </w:rPr>
        <w:t xml:space="preserve"> = 1847 U.S. LEXIS </w:t>
      </w:r>
      <w:r w:rsidRPr="00791314">
        <w:rPr>
          <w:lang w:val="en-US"/>
        </w:rPr>
        <w:t>316, 27</w:t>
      </w:r>
      <w:r>
        <w:rPr>
          <w:lang w:val="en-US"/>
        </w:rPr>
        <w:t xml:space="preserve"> = 5 HOW </w:t>
      </w:r>
      <w:r w:rsidRPr="00791314">
        <w:rPr>
          <w:lang w:val="en-US"/>
        </w:rPr>
        <w:t>295 (1847)</w:t>
      </w:r>
      <w:r>
        <w:rPr>
          <w:lang w:val="en-US"/>
        </w:rPr>
        <w:t>.</w:t>
      </w:r>
    </w:p>
  </w:footnote>
  <w:footnote w:id="145">
    <w:p w14:paraId="73252D08" w14:textId="77777777" w:rsidR="00074551" w:rsidRPr="00791314" w:rsidRDefault="00074551" w:rsidP="00074551">
      <w:pPr>
        <w:pStyle w:val="Funotentext"/>
        <w:rPr>
          <w:lang w:val="en-US"/>
        </w:rPr>
      </w:pPr>
      <w:r>
        <w:rPr>
          <w:rStyle w:val="Funotenzeichen"/>
        </w:rPr>
        <w:footnoteRef/>
      </w:r>
      <w:r w:rsidRPr="00791314">
        <w:rPr>
          <w:lang w:val="en-US"/>
        </w:rPr>
        <w:t xml:space="preserve"> </w:t>
      </w:r>
      <w:r w:rsidRPr="001F38CE">
        <w:rPr>
          <w:i/>
          <w:lang w:val="en-US"/>
        </w:rPr>
        <w:t>Cook v. Moffat &amp; Curtis</w:t>
      </w:r>
      <w:r w:rsidRPr="00791314">
        <w:rPr>
          <w:lang w:val="en-US"/>
        </w:rPr>
        <w:t>, 46 U.S. 295, 307</w:t>
      </w:r>
      <w:r>
        <w:rPr>
          <w:lang w:val="en-US"/>
        </w:rPr>
        <w:t xml:space="preserve"> = 12 L. Ed. </w:t>
      </w:r>
      <w:r w:rsidRPr="00791314">
        <w:rPr>
          <w:lang w:val="en-US"/>
        </w:rPr>
        <w:t>159, 165</w:t>
      </w:r>
      <w:r>
        <w:rPr>
          <w:lang w:val="en-US"/>
        </w:rPr>
        <w:t xml:space="preserve"> = 1847 U.S. LEXIS </w:t>
      </w:r>
      <w:r w:rsidRPr="00791314">
        <w:rPr>
          <w:lang w:val="en-US"/>
        </w:rPr>
        <w:t>316, 27</w:t>
      </w:r>
      <w:r>
        <w:rPr>
          <w:lang w:val="en-US"/>
        </w:rPr>
        <w:t xml:space="preserve"> = 5 HOW </w:t>
      </w:r>
      <w:r w:rsidRPr="00791314">
        <w:rPr>
          <w:lang w:val="en-US"/>
        </w:rPr>
        <w:t>295 (1847)</w:t>
      </w:r>
      <w:r>
        <w:rPr>
          <w:lang w:val="en-US"/>
        </w:rPr>
        <w:t>.</w:t>
      </w:r>
    </w:p>
  </w:footnote>
  <w:footnote w:id="146">
    <w:p w14:paraId="743D7AA6" w14:textId="77777777" w:rsidR="00074551" w:rsidRPr="00791314" w:rsidRDefault="00074551" w:rsidP="00074551">
      <w:pPr>
        <w:pStyle w:val="Funotentext"/>
        <w:rPr>
          <w:lang w:val="en-US"/>
        </w:rPr>
      </w:pPr>
      <w:r>
        <w:rPr>
          <w:rStyle w:val="Funotenzeichen"/>
        </w:rPr>
        <w:footnoteRef/>
      </w:r>
      <w:r w:rsidRPr="00791314">
        <w:rPr>
          <w:lang w:val="en-US"/>
        </w:rPr>
        <w:t xml:space="preserve"> </w:t>
      </w:r>
      <w:r w:rsidRPr="001F38CE">
        <w:rPr>
          <w:i/>
          <w:lang w:val="en-US"/>
        </w:rPr>
        <w:t>Cook v. Moffat &amp; Curtis</w:t>
      </w:r>
      <w:r w:rsidRPr="00791314">
        <w:rPr>
          <w:lang w:val="en-US"/>
        </w:rPr>
        <w:t>, 46 U.S. 295, 307</w:t>
      </w:r>
      <w:r>
        <w:rPr>
          <w:lang w:val="en-US"/>
        </w:rPr>
        <w:t xml:space="preserve"> = 12 L. Ed. </w:t>
      </w:r>
      <w:r w:rsidRPr="00791314">
        <w:rPr>
          <w:lang w:val="en-US"/>
        </w:rPr>
        <w:t>159, 165</w:t>
      </w:r>
      <w:r>
        <w:rPr>
          <w:lang w:val="en-US"/>
        </w:rPr>
        <w:t xml:space="preserve"> = 1847 U.S. LEXIS </w:t>
      </w:r>
      <w:r w:rsidRPr="00791314">
        <w:rPr>
          <w:lang w:val="en-US"/>
        </w:rPr>
        <w:t>316, 27</w:t>
      </w:r>
      <w:r>
        <w:rPr>
          <w:lang w:val="en-US"/>
        </w:rPr>
        <w:t xml:space="preserve"> = 5 HOW </w:t>
      </w:r>
      <w:r w:rsidRPr="00791314">
        <w:rPr>
          <w:lang w:val="en-US"/>
        </w:rPr>
        <w:t>295 (1847)</w:t>
      </w:r>
      <w:r>
        <w:rPr>
          <w:lang w:val="en-US"/>
        </w:rPr>
        <w:t>.</w:t>
      </w:r>
    </w:p>
  </w:footnote>
  <w:footnote w:id="147">
    <w:p w14:paraId="75971DF9" w14:textId="77777777" w:rsidR="00074551" w:rsidRPr="00F70C18" w:rsidRDefault="00074551" w:rsidP="00074551">
      <w:pPr>
        <w:pStyle w:val="Funotentext"/>
        <w:rPr>
          <w:lang w:val="en-US"/>
        </w:rPr>
      </w:pPr>
      <w:r>
        <w:rPr>
          <w:rStyle w:val="Funotenzeichen"/>
        </w:rPr>
        <w:footnoteRef/>
      </w:r>
      <w:r w:rsidRPr="00F70C18">
        <w:rPr>
          <w:lang w:val="en-US"/>
        </w:rPr>
        <w:t xml:space="preserve"> „[W]</w:t>
      </w:r>
      <w:proofErr w:type="spellStart"/>
      <w:r w:rsidRPr="00F70C18">
        <w:rPr>
          <w:lang w:val="en-US"/>
        </w:rPr>
        <w:t>hether</w:t>
      </w:r>
      <w:proofErr w:type="spellEnd"/>
      <w:r w:rsidRPr="00F70C18">
        <w:rPr>
          <w:lang w:val="en-US"/>
        </w:rPr>
        <w:t xml:space="preserve"> the obligation of a contract is impaired by a </w:t>
      </w:r>
      <w:proofErr w:type="gramStart"/>
      <w:r w:rsidRPr="00F70C18">
        <w:rPr>
          <w:lang w:val="en-US"/>
        </w:rPr>
        <w:t>State</w:t>
      </w:r>
      <w:proofErr w:type="gramEnd"/>
      <w:r w:rsidRPr="00F70C18">
        <w:rPr>
          <w:lang w:val="en-US"/>
        </w:rPr>
        <w:t xml:space="preserve"> bankrupt or insolvent law, which discharges the person and the future acquisitions of the debtor from his liability under a contract entered into in that State after the passage of the </w:t>
      </w:r>
      <w:proofErr w:type="gramStart"/>
      <w:r w:rsidRPr="00F70C18">
        <w:rPr>
          <w:lang w:val="en-US"/>
        </w:rPr>
        <w:t>act“</w:t>
      </w:r>
      <w:proofErr w:type="gramEnd"/>
      <w:r>
        <w:rPr>
          <w:lang w:val="en-US"/>
        </w:rPr>
        <w:t xml:space="preserve">, </w:t>
      </w:r>
      <w:r w:rsidRPr="001F38CE">
        <w:rPr>
          <w:i/>
          <w:lang w:val="en-US"/>
        </w:rPr>
        <w:t>Ogden v. Saunders</w:t>
      </w:r>
      <w:r w:rsidRPr="00F70C18">
        <w:rPr>
          <w:lang w:val="en-US"/>
        </w:rPr>
        <w:t>, 25 U.S. 213, 254</w:t>
      </w:r>
      <w:r>
        <w:rPr>
          <w:lang w:val="en-US"/>
        </w:rPr>
        <w:t xml:space="preserve"> = 6 L. Ed. </w:t>
      </w:r>
      <w:r w:rsidRPr="00F70C18">
        <w:rPr>
          <w:lang w:val="en-US"/>
        </w:rPr>
        <w:t>606, 620</w:t>
      </w:r>
      <w:r>
        <w:rPr>
          <w:lang w:val="en-US"/>
        </w:rPr>
        <w:t xml:space="preserve"> = 1827 U.S. LEXIS </w:t>
      </w:r>
      <w:r w:rsidRPr="00F70C18">
        <w:rPr>
          <w:lang w:val="en-US"/>
        </w:rPr>
        <w:t>394, 77</w:t>
      </w:r>
      <w:r>
        <w:rPr>
          <w:lang w:val="en-US"/>
        </w:rPr>
        <w:t xml:space="preserve"> = 12 Wheat. </w:t>
      </w:r>
      <w:r w:rsidRPr="00F70C18">
        <w:rPr>
          <w:lang w:val="en-US"/>
        </w:rPr>
        <w:t>213 (1827)</w:t>
      </w:r>
      <w:r>
        <w:rPr>
          <w:lang w:val="en-US"/>
        </w:rPr>
        <w:t>.</w:t>
      </w:r>
    </w:p>
  </w:footnote>
  <w:footnote w:id="148">
    <w:p w14:paraId="4165DA69" w14:textId="2C77FA2A" w:rsidR="00074551" w:rsidRPr="00F70C18" w:rsidRDefault="00074551" w:rsidP="00074551">
      <w:pPr>
        <w:pStyle w:val="Funotentext"/>
        <w:rPr>
          <w:lang w:val="en-US"/>
        </w:rPr>
      </w:pPr>
      <w:r>
        <w:rPr>
          <w:rStyle w:val="Funotenzeichen"/>
        </w:rPr>
        <w:footnoteRef/>
      </w:r>
      <w:r w:rsidRPr="00F70C18">
        <w:rPr>
          <w:lang w:val="en-US"/>
        </w:rPr>
        <w:t xml:space="preserve"> </w:t>
      </w:r>
      <w:r>
        <w:rPr>
          <w:lang w:val="en-US"/>
        </w:rPr>
        <w:t>„</w:t>
      </w:r>
      <w:r w:rsidRPr="00F70C18">
        <w:rPr>
          <w:lang w:val="en-US"/>
        </w:rPr>
        <w:t xml:space="preserve">No State shall enter into any Treaty, Alliance, or Confederation; grant Letters of Marque and Reprisal; coin Money; emit Bills of Credit; make any Thing but gold and silver Coin a Tender in Payment of Debts; pass any Bill of Attainder, ex post facto Law, or Law impairing the Obligation of Contracts, or grant any Title of </w:t>
      </w:r>
      <w:proofErr w:type="gramStart"/>
      <w:r w:rsidRPr="00F70C18">
        <w:rPr>
          <w:lang w:val="en-US"/>
        </w:rPr>
        <w:t>Nobility“</w:t>
      </w:r>
      <w:proofErr w:type="gramEnd"/>
      <w:r>
        <w:rPr>
          <w:lang w:val="en-US"/>
        </w:rPr>
        <w:t xml:space="preserve">, </w:t>
      </w:r>
      <w:r w:rsidR="00023A37">
        <w:rPr>
          <w:lang w:val="en-US"/>
        </w:rPr>
        <w:t>U.S. Const. art. I, § 10, cl. 1.</w:t>
      </w:r>
    </w:p>
  </w:footnote>
  <w:footnote w:id="149">
    <w:p w14:paraId="7B78B8D8" w14:textId="77777777" w:rsidR="00074551" w:rsidRPr="00616DE2" w:rsidRDefault="00074551" w:rsidP="00074551">
      <w:pPr>
        <w:pStyle w:val="Funotentext"/>
        <w:rPr>
          <w:lang w:val="en-US"/>
        </w:rPr>
      </w:pPr>
      <w:r>
        <w:rPr>
          <w:rStyle w:val="Funotenzeichen"/>
        </w:rPr>
        <w:footnoteRef/>
      </w:r>
      <w:r w:rsidRPr="00616DE2">
        <w:rPr>
          <w:lang w:val="en-US"/>
        </w:rPr>
        <w:t xml:space="preserve"> </w:t>
      </w:r>
      <w:r w:rsidRPr="001F38CE">
        <w:rPr>
          <w:i/>
          <w:lang w:val="en-US"/>
        </w:rPr>
        <w:t>Ogden v. Saunders</w:t>
      </w:r>
      <w:r w:rsidRPr="00616DE2">
        <w:rPr>
          <w:lang w:val="en-US"/>
        </w:rPr>
        <w:t>, 25 U.S. 213, 254</w:t>
      </w:r>
      <w:r>
        <w:rPr>
          <w:lang w:val="en-US"/>
        </w:rPr>
        <w:t xml:space="preserve"> = 6 L. Ed. </w:t>
      </w:r>
      <w:r w:rsidRPr="00616DE2">
        <w:rPr>
          <w:lang w:val="en-US"/>
        </w:rPr>
        <w:t>606, 620</w:t>
      </w:r>
      <w:r>
        <w:rPr>
          <w:lang w:val="en-US"/>
        </w:rPr>
        <w:t xml:space="preserve"> = 1827 U.S. LEXIS </w:t>
      </w:r>
      <w:r w:rsidRPr="00616DE2">
        <w:rPr>
          <w:lang w:val="en-US"/>
        </w:rPr>
        <w:t>394, 2</w:t>
      </w:r>
      <w:r>
        <w:rPr>
          <w:lang w:val="en-US"/>
        </w:rPr>
        <w:t xml:space="preserve"> = 12 Wheat. </w:t>
      </w:r>
      <w:r w:rsidRPr="00616DE2">
        <w:rPr>
          <w:lang w:val="en-US"/>
        </w:rPr>
        <w:t>213 (1827)</w:t>
      </w:r>
    </w:p>
  </w:footnote>
  <w:footnote w:id="150">
    <w:p w14:paraId="61583A57" w14:textId="77777777" w:rsidR="00074551" w:rsidRPr="00A90CF7" w:rsidRDefault="00074551" w:rsidP="00074551">
      <w:pPr>
        <w:pStyle w:val="Funotentext"/>
        <w:rPr>
          <w:lang w:val="en-US"/>
        </w:rPr>
      </w:pPr>
      <w:r>
        <w:rPr>
          <w:rStyle w:val="Funotenzeichen"/>
        </w:rPr>
        <w:footnoteRef/>
      </w:r>
      <w:r w:rsidRPr="00A90CF7">
        <w:rPr>
          <w:lang w:val="en-US"/>
        </w:rPr>
        <w:t xml:space="preserve"> </w:t>
      </w:r>
      <w:r w:rsidRPr="001F38CE">
        <w:rPr>
          <w:i/>
          <w:lang w:val="en-US"/>
        </w:rPr>
        <w:t>Ogden v. Saunders</w:t>
      </w:r>
      <w:r w:rsidRPr="00A90CF7">
        <w:rPr>
          <w:lang w:val="en-US"/>
        </w:rPr>
        <w:t>, 25 U.S. 213, 254</w:t>
      </w:r>
      <w:r>
        <w:rPr>
          <w:lang w:val="en-US"/>
        </w:rPr>
        <w:t xml:space="preserve"> = 6 L. Ed. </w:t>
      </w:r>
      <w:r w:rsidRPr="00A90CF7">
        <w:rPr>
          <w:lang w:val="en-US"/>
        </w:rPr>
        <w:t>606, 620</w:t>
      </w:r>
      <w:r>
        <w:rPr>
          <w:lang w:val="en-US"/>
        </w:rPr>
        <w:t xml:space="preserve"> = 1827 U.S. LEXIS </w:t>
      </w:r>
      <w:r w:rsidRPr="00A90CF7">
        <w:rPr>
          <w:lang w:val="en-US"/>
        </w:rPr>
        <w:t>394, 2</w:t>
      </w:r>
      <w:r>
        <w:rPr>
          <w:lang w:val="en-US"/>
        </w:rPr>
        <w:t xml:space="preserve"> = 12 Wheat. </w:t>
      </w:r>
      <w:r w:rsidRPr="00A90CF7">
        <w:rPr>
          <w:lang w:val="en-US"/>
        </w:rPr>
        <w:t>213 (1827).</w:t>
      </w:r>
    </w:p>
  </w:footnote>
  <w:footnote w:id="151">
    <w:p w14:paraId="10C30FD3" w14:textId="77777777" w:rsidR="00074551" w:rsidRPr="005959CE" w:rsidRDefault="00074551" w:rsidP="00074551">
      <w:pPr>
        <w:pStyle w:val="Funotentext"/>
        <w:rPr>
          <w:lang w:val="en-US"/>
        </w:rPr>
      </w:pPr>
      <w:r>
        <w:rPr>
          <w:rStyle w:val="Funotenzeichen"/>
        </w:rPr>
        <w:footnoteRef/>
      </w:r>
      <w:r w:rsidRPr="00C96669">
        <w:rPr>
          <w:lang w:val="en-US"/>
        </w:rPr>
        <w:t xml:space="preserve"> </w:t>
      </w:r>
      <w:r w:rsidRPr="001F38CE">
        <w:rPr>
          <w:i/>
          <w:lang w:val="en-US"/>
        </w:rPr>
        <w:t>Ogden v. Saunders</w:t>
      </w:r>
      <w:r w:rsidRPr="00C96669">
        <w:rPr>
          <w:lang w:val="en-US"/>
        </w:rPr>
        <w:t>, 25 U.S. 213, 289</w:t>
      </w:r>
      <w:r>
        <w:rPr>
          <w:lang w:val="en-US"/>
        </w:rPr>
        <w:t xml:space="preserve"> = 6 L. Ed. </w:t>
      </w:r>
      <w:r w:rsidRPr="00C96669">
        <w:rPr>
          <w:lang w:val="en-US"/>
        </w:rPr>
        <w:t>606, 632</w:t>
      </w:r>
      <w:r>
        <w:rPr>
          <w:lang w:val="en-US"/>
        </w:rPr>
        <w:t xml:space="preserve"> = 1827 U.S. LEXIS </w:t>
      </w:r>
      <w:r w:rsidRPr="00C96669">
        <w:rPr>
          <w:lang w:val="en-US"/>
        </w:rPr>
        <w:t>394, 146</w:t>
      </w:r>
      <w:r>
        <w:rPr>
          <w:lang w:val="en-US"/>
        </w:rPr>
        <w:t xml:space="preserve"> = 12 Wheat. </w:t>
      </w:r>
      <w:r w:rsidRPr="00C96669">
        <w:rPr>
          <w:lang w:val="en-US"/>
        </w:rPr>
        <w:t>213 (1827)</w:t>
      </w:r>
    </w:p>
  </w:footnote>
  <w:footnote w:id="152">
    <w:p w14:paraId="2642BA91" w14:textId="77777777" w:rsidR="00074551" w:rsidRPr="005959CE" w:rsidRDefault="00074551" w:rsidP="00074551">
      <w:pPr>
        <w:pStyle w:val="Funotentext"/>
        <w:rPr>
          <w:lang w:val="en-US"/>
        </w:rPr>
      </w:pPr>
      <w:r>
        <w:rPr>
          <w:rStyle w:val="Funotenzeichen"/>
        </w:rPr>
        <w:footnoteRef/>
      </w:r>
      <w:r w:rsidRPr="00C96669">
        <w:rPr>
          <w:lang w:val="en-US"/>
        </w:rPr>
        <w:t xml:space="preserve"> </w:t>
      </w:r>
      <w:r w:rsidRPr="001F38CE">
        <w:rPr>
          <w:i/>
          <w:lang w:val="en-US"/>
        </w:rPr>
        <w:t>Ogden v. Saunders</w:t>
      </w:r>
      <w:r w:rsidRPr="00C96669">
        <w:rPr>
          <w:lang w:val="en-US"/>
        </w:rPr>
        <w:t>, 25 U.S. 213, 289</w:t>
      </w:r>
      <w:r>
        <w:rPr>
          <w:lang w:val="en-US"/>
        </w:rPr>
        <w:t xml:space="preserve"> = 6 L. Ed. </w:t>
      </w:r>
      <w:r w:rsidRPr="00C96669">
        <w:rPr>
          <w:lang w:val="en-US"/>
        </w:rPr>
        <w:t>606, 632</w:t>
      </w:r>
      <w:r>
        <w:rPr>
          <w:lang w:val="en-US"/>
        </w:rPr>
        <w:t xml:space="preserve"> = 1827 U.S. LEXIS </w:t>
      </w:r>
      <w:r w:rsidRPr="00C96669">
        <w:rPr>
          <w:lang w:val="en-US"/>
        </w:rPr>
        <w:t>394, 146</w:t>
      </w:r>
      <w:r>
        <w:rPr>
          <w:lang w:val="en-US"/>
        </w:rPr>
        <w:t xml:space="preserve"> = 12 Wheat. </w:t>
      </w:r>
      <w:r w:rsidRPr="00C96669">
        <w:rPr>
          <w:lang w:val="en-US"/>
        </w:rPr>
        <w:t>213 (1827)</w:t>
      </w:r>
    </w:p>
  </w:footnote>
  <w:footnote w:id="153">
    <w:p w14:paraId="68FC06E5" w14:textId="77777777" w:rsidR="00074551" w:rsidRPr="00EE0472" w:rsidRDefault="00074551" w:rsidP="00074551">
      <w:pPr>
        <w:pStyle w:val="Funotentext"/>
        <w:rPr>
          <w:lang w:val="en-US"/>
        </w:rPr>
      </w:pPr>
      <w:r>
        <w:rPr>
          <w:rStyle w:val="Funotenzeichen"/>
        </w:rPr>
        <w:footnoteRef/>
      </w:r>
      <w:r w:rsidRPr="00EE0472">
        <w:rPr>
          <w:lang w:val="en-US"/>
        </w:rPr>
        <w:t xml:space="preserve"> </w:t>
      </w:r>
      <w:r w:rsidRPr="001F38CE">
        <w:rPr>
          <w:i/>
          <w:lang w:val="en-US"/>
        </w:rPr>
        <w:t>Ogden v. Saunders</w:t>
      </w:r>
      <w:r w:rsidRPr="00EE0472">
        <w:rPr>
          <w:lang w:val="en-US"/>
        </w:rPr>
        <w:t>, 25 U.S. 213, 291-292</w:t>
      </w:r>
      <w:r>
        <w:rPr>
          <w:lang w:val="en-US"/>
        </w:rPr>
        <w:t xml:space="preserve"> = 6 L. Ed. </w:t>
      </w:r>
      <w:r w:rsidRPr="00EE0472">
        <w:rPr>
          <w:lang w:val="en-US"/>
        </w:rPr>
        <w:t>606, 633</w:t>
      </w:r>
      <w:r>
        <w:rPr>
          <w:lang w:val="en-US"/>
        </w:rPr>
        <w:t xml:space="preserve"> = 1827 U.S. LEXIS </w:t>
      </w:r>
      <w:r w:rsidRPr="00EE0472">
        <w:rPr>
          <w:lang w:val="en-US"/>
        </w:rPr>
        <w:t>394, 149</w:t>
      </w:r>
      <w:r>
        <w:rPr>
          <w:lang w:val="en-US"/>
        </w:rPr>
        <w:t>–</w:t>
      </w:r>
      <w:r w:rsidRPr="00EE0472">
        <w:rPr>
          <w:lang w:val="en-US"/>
        </w:rPr>
        <w:t>150</w:t>
      </w:r>
      <w:r>
        <w:rPr>
          <w:lang w:val="en-US"/>
        </w:rPr>
        <w:t xml:space="preserve"> = 12 Wheat. </w:t>
      </w:r>
      <w:r w:rsidRPr="00EE0472">
        <w:rPr>
          <w:lang w:val="en-US"/>
        </w:rPr>
        <w:t>213 (1827)</w:t>
      </w:r>
    </w:p>
  </w:footnote>
  <w:footnote w:id="154">
    <w:p w14:paraId="27A15E34" w14:textId="77777777" w:rsidR="00074551" w:rsidRPr="000C67F4" w:rsidRDefault="00074551" w:rsidP="00074551">
      <w:pPr>
        <w:pStyle w:val="Funotentext"/>
        <w:rPr>
          <w:lang w:val="en-US"/>
        </w:rPr>
      </w:pPr>
      <w:r>
        <w:rPr>
          <w:rStyle w:val="Funotenzeichen"/>
        </w:rPr>
        <w:footnoteRef/>
      </w:r>
      <w:r w:rsidRPr="00EE0472">
        <w:rPr>
          <w:lang w:val="en-US"/>
        </w:rPr>
        <w:t xml:space="preserve"> </w:t>
      </w:r>
      <w:r w:rsidRPr="001F38CE">
        <w:rPr>
          <w:i/>
          <w:lang w:val="en-US"/>
        </w:rPr>
        <w:t>Ogden v. Saunders</w:t>
      </w:r>
      <w:r w:rsidRPr="00EE0472">
        <w:rPr>
          <w:lang w:val="en-US"/>
        </w:rPr>
        <w:t>, 25 U.S. 213, 291-292</w:t>
      </w:r>
      <w:r>
        <w:rPr>
          <w:lang w:val="en-US"/>
        </w:rPr>
        <w:t xml:space="preserve"> = 6 L. Ed. </w:t>
      </w:r>
      <w:r w:rsidRPr="00EE0472">
        <w:rPr>
          <w:lang w:val="en-US"/>
        </w:rPr>
        <w:t>606, 633</w:t>
      </w:r>
      <w:r>
        <w:rPr>
          <w:lang w:val="en-US"/>
        </w:rPr>
        <w:t xml:space="preserve"> = 1827 U.S. LEXIS </w:t>
      </w:r>
      <w:r w:rsidRPr="00EE0472">
        <w:rPr>
          <w:lang w:val="en-US"/>
        </w:rPr>
        <w:t>394, 149</w:t>
      </w:r>
      <w:r>
        <w:rPr>
          <w:lang w:val="en-US"/>
        </w:rPr>
        <w:t>–</w:t>
      </w:r>
      <w:r w:rsidRPr="00EE0472">
        <w:rPr>
          <w:lang w:val="en-US"/>
        </w:rPr>
        <w:t>150</w:t>
      </w:r>
      <w:r>
        <w:rPr>
          <w:lang w:val="en-US"/>
        </w:rPr>
        <w:t xml:space="preserve"> = 12 Wheat. </w:t>
      </w:r>
      <w:r w:rsidRPr="000C67F4">
        <w:rPr>
          <w:lang w:val="en-US"/>
        </w:rPr>
        <w:t>213 (1827)</w:t>
      </w:r>
    </w:p>
  </w:footnote>
  <w:footnote w:id="155">
    <w:p w14:paraId="74A7B0A7" w14:textId="77777777" w:rsidR="00074551" w:rsidRPr="00B45592" w:rsidRDefault="00074551" w:rsidP="00074551">
      <w:pPr>
        <w:pStyle w:val="Funotentext"/>
        <w:rPr>
          <w:lang w:val="en-IE"/>
        </w:rPr>
      </w:pPr>
      <w:r>
        <w:rPr>
          <w:rStyle w:val="Funotenzeichen"/>
        </w:rPr>
        <w:footnoteRef/>
      </w:r>
      <w:r w:rsidRPr="00765874">
        <w:rPr>
          <w:lang w:val="en-US"/>
        </w:rPr>
        <w:t xml:space="preserve"> </w:t>
      </w:r>
      <w:r>
        <w:rPr>
          <w:lang w:val="en-US"/>
        </w:rPr>
        <w:t>„</w:t>
      </w:r>
      <w:r w:rsidRPr="00765874">
        <w:rPr>
          <w:lang w:val="en-US"/>
        </w:rPr>
        <w:t xml:space="preserve">(h) No investigation shall be made by the Board of any question affecting commerce concerning the representation of employees, raised by a labor organization under subsection (c) of this section, and no complaint shall be issued pursuant to a charge made by a labor organization under subsection (b) of section 10, unless there is on file with the Board an affidavit executed contemporaneously or within the preceding twelve-month period by each officer of such labor organization and the officers of any national or international labor organization of which it is an affiliate or constituent unit that he is not a member of the Communist Party or affiliated with such party, and that he does not believe in, and is not a member of or supports any organization that believes in or teaches, the overthrow of the United States Government by force or by any illegal or unconstitutional methods. The provisions of section 35A of the Criminal Code shall be applicable in respect to such </w:t>
      </w:r>
      <w:proofErr w:type="gramStart"/>
      <w:r w:rsidRPr="00765874">
        <w:rPr>
          <w:lang w:val="en-US"/>
        </w:rPr>
        <w:t>affidavits.“</w:t>
      </w:r>
      <w:proofErr w:type="gramEnd"/>
      <w:r>
        <w:rPr>
          <w:lang w:val="en-US"/>
        </w:rPr>
        <w:t xml:space="preserve">, </w:t>
      </w:r>
      <w:r w:rsidRPr="00B45592">
        <w:rPr>
          <w:lang w:val="en-IE"/>
        </w:rPr>
        <w:t xml:space="preserve">in 29 USCS </w:t>
      </w:r>
      <w:r>
        <w:rPr>
          <w:lang w:val="en-IE"/>
        </w:rPr>
        <w:t>§ </w:t>
      </w:r>
      <w:r w:rsidRPr="00B45592">
        <w:rPr>
          <w:lang w:val="en-IE"/>
        </w:rPr>
        <w:t>159.</w:t>
      </w:r>
    </w:p>
  </w:footnote>
  <w:footnote w:id="156">
    <w:p w14:paraId="6030E69C" w14:textId="0AD90E45" w:rsidR="00074551" w:rsidRDefault="00074551" w:rsidP="00074551">
      <w:pPr>
        <w:pStyle w:val="Funotentext"/>
      </w:pPr>
      <w:r>
        <w:rPr>
          <w:rStyle w:val="Funotenzeichen"/>
          <w:rFonts w:eastAsiaTheme="majorEastAsia"/>
        </w:rPr>
        <w:footnoteRef/>
      </w:r>
      <w:r>
        <w:t xml:space="preserve"> Religions- und Meinungsfreiheit; die weitere Argumentation des U.S. Supreme Court lautet: </w:t>
      </w:r>
      <w:r w:rsidRPr="005D26C0">
        <w:t xml:space="preserve">Es </w:t>
      </w:r>
      <w:r>
        <w:t xml:space="preserve">sei </w:t>
      </w:r>
      <w:r w:rsidRPr="005D26C0">
        <w:t xml:space="preserve">auch kein sog. </w:t>
      </w:r>
      <w:r>
        <w:t>E</w:t>
      </w:r>
      <w:r w:rsidRPr="005D26C0">
        <w:t xml:space="preserve">x-post-facto-Gesetz oder ein Ermächtigungsgesetz (sog. </w:t>
      </w:r>
      <w:proofErr w:type="spellStart"/>
      <w:r w:rsidRPr="00B45592">
        <w:rPr>
          <w:i/>
          <w:iCs/>
        </w:rPr>
        <w:t>bill</w:t>
      </w:r>
      <w:proofErr w:type="spellEnd"/>
      <w:r w:rsidRPr="00B45592">
        <w:rPr>
          <w:i/>
          <w:iCs/>
        </w:rPr>
        <w:t xml:space="preserve"> of </w:t>
      </w:r>
      <w:proofErr w:type="spellStart"/>
      <w:r w:rsidRPr="00B45592">
        <w:rPr>
          <w:i/>
          <w:iCs/>
        </w:rPr>
        <w:t>attainder</w:t>
      </w:r>
      <w:proofErr w:type="spellEnd"/>
      <w:r w:rsidRPr="005D26C0">
        <w:t xml:space="preserve">), welches gegen </w:t>
      </w:r>
      <w:r w:rsidR="00023A37">
        <w:t xml:space="preserve">U.S. </w:t>
      </w:r>
      <w:proofErr w:type="spellStart"/>
      <w:r w:rsidR="00023A37">
        <w:t>Const</w:t>
      </w:r>
      <w:proofErr w:type="spellEnd"/>
      <w:r w:rsidR="00023A37">
        <w:t>. art. I, § 10</w:t>
      </w:r>
      <w:r w:rsidRPr="005D26C0">
        <w:t xml:space="preserve"> </w:t>
      </w:r>
      <w:r>
        <w:t>verstoße</w:t>
      </w:r>
      <w:r w:rsidRPr="005D26C0">
        <w:t>. Und es stell</w:t>
      </w:r>
      <w:r>
        <w:t>e</w:t>
      </w:r>
      <w:r w:rsidRPr="005D26C0">
        <w:t xml:space="preserve"> keinen sog. Test-Eid (</w:t>
      </w:r>
      <w:proofErr w:type="spellStart"/>
      <w:r w:rsidRPr="00B45592">
        <w:rPr>
          <w:i/>
          <w:iCs/>
        </w:rPr>
        <w:t>test</w:t>
      </w:r>
      <w:proofErr w:type="spellEnd"/>
      <w:r w:rsidRPr="00B45592">
        <w:rPr>
          <w:i/>
          <w:iCs/>
        </w:rPr>
        <w:t xml:space="preserve"> </w:t>
      </w:r>
      <w:proofErr w:type="spellStart"/>
      <w:r w:rsidRPr="00B45592">
        <w:rPr>
          <w:i/>
          <w:iCs/>
        </w:rPr>
        <w:t>oath</w:t>
      </w:r>
      <w:proofErr w:type="spellEnd"/>
      <w:r w:rsidRPr="005D26C0">
        <w:t xml:space="preserve">) dar, der gegen </w:t>
      </w:r>
      <w:r w:rsidR="00023A37">
        <w:t xml:space="preserve">U.S. </w:t>
      </w:r>
      <w:proofErr w:type="spellStart"/>
      <w:r w:rsidR="00023A37">
        <w:t>Const</w:t>
      </w:r>
      <w:proofErr w:type="spellEnd"/>
      <w:r w:rsidR="00023A37">
        <w:t>. art. VI</w:t>
      </w:r>
      <w:r w:rsidRPr="005D26C0">
        <w:t xml:space="preserve"> verstieße.</w:t>
      </w:r>
    </w:p>
  </w:footnote>
  <w:footnote w:id="157">
    <w:p w14:paraId="4F0BD6BF" w14:textId="77777777" w:rsidR="00074551" w:rsidRPr="00765874" w:rsidRDefault="00074551" w:rsidP="00074551">
      <w:pPr>
        <w:pStyle w:val="Funotentext"/>
        <w:rPr>
          <w:lang w:val="en-US"/>
        </w:rPr>
      </w:pPr>
      <w:r>
        <w:rPr>
          <w:rStyle w:val="Funotenzeichen"/>
        </w:rPr>
        <w:footnoteRef/>
      </w:r>
      <w:r w:rsidRPr="00765874">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765874">
        <w:rPr>
          <w:lang w:val="en-US"/>
        </w:rPr>
        <w:t>, 339 U.S. 382, 411</w:t>
      </w:r>
      <w:r>
        <w:rPr>
          <w:lang w:val="en-US"/>
        </w:rPr>
        <w:t xml:space="preserve"> = 70 S. Ct. </w:t>
      </w:r>
      <w:r w:rsidRPr="00765874">
        <w:rPr>
          <w:lang w:val="en-US"/>
        </w:rPr>
        <w:t>674, 690</w:t>
      </w:r>
      <w:r>
        <w:rPr>
          <w:lang w:val="en-US"/>
        </w:rPr>
        <w:t xml:space="preserve"> = 94 L. Ed. </w:t>
      </w:r>
      <w:r w:rsidRPr="00765874">
        <w:rPr>
          <w:lang w:val="en-US"/>
        </w:rPr>
        <w:t>925, 951</w:t>
      </w:r>
      <w:r>
        <w:rPr>
          <w:lang w:val="en-US"/>
        </w:rPr>
        <w:t xml:space="preserve"> = 1950 U.S. LEXIS </w:t>
      </w:r>
      <w:r w:rsidRPr="00765874">
        <w:rPr>
          <w:lang w:val="en-US"/>
        </w:rPr>
        <w:t>2530, 54</w:t>
      </w:r>
      <w:r>
        <w:rPr>
          <w:lang w:val="en-US"/>
        </w:rPr>
        <w:t xml:space="preserve"> = 18 Lab. Cas.</w:t>
      </w:r>
      <w:r w:rsidRPr="00765874">
        <w:rPr>
          <w:lang w:val="en-US"/>
        </w:rPr>
        <w:t xml:space="preserve"> (CCH) P65,760</w:t>
      </w:r>
      <w:r>
        <w:rPr>
          <w:lang w:val="en-US"/>
        </w:rPr>
        <w:t xml:space="preserve"> = 26 L.R.R.M. 2084 </w:t>
      </w:r>
      <w:r w:rsidRPr="00765874">
        <w:rPr>
          <w:lang w:val="en-US"/>
        </w:rPr>
        <w:t>(1950)</w:t>
      </w:r>
      <w:r>
        <w:rPr>
          <w:lang w:val="en-US"/>
        </w:rPr>
        <w:t>.</w:t>
      </w:r>
    </w:p>
  </w:footnote>
  <w:footnote w:id="158">
    <w:p w14:paraId="143A42B1" w14:textId="0BD13C81" w:rsidR="00074551" w:rsidRPr="00BD64E2" w:rsidRDefault="00074551" w:rsidP="00074551">
      <w:pPr>
        <w:pStyle w:val="Funotentext"/>
        <w:rPr>
          <w:lang w:val="en-US"/>
        </w:rPr>
      </w:pPr>
      <w:r>
        <w:rPr>
          <w:rStyle w:val="Funotenzeichen"/>
          <w:rFonts w:eastAsiaTheme="majorEastAsia"/>
        </w:rPr>
        <w:footnoteRef/>
      </w:r>
      <w:r w:rsidRPr="00BD64E2">
        <w:rPr>
          <w:lang w:val="en-US"/>
        </w:rPr>
        <w:t xml:space="preserve"> </w:t>
      </w:r>
      <w:r w:rsidRPr="00B45592">
        <w:rPr>
          <w:i/>
          <w:lang w:val="en-IE"/>
        </w:rPr>
        <w:t xml:space="preserve">American Communications </w:t>
      </w:r>
      <w:proofErr w:type="spellStart"/>
      <w:r w:rsidRPr="00B45592">
        <w:rPr>
          <w:i/>
          <w:lang w:val="en-IE"/>
        </w:rPr>
        <w:t>Ass’n</w:t>
      </w:r>
      <w:proofErr w:type="spellEnd"/>
      <w:r w:rsidRPr="00B45592">
        <w:rPr>
          <w:i/>
          <w:lang w:val="en-IE"/>
        </w:rPr>
        <w:t xml:space="preserve"> v. Douds</w:t>
      </w:r>
      <w:r w:rsidRPr="00B45592">
        <w:rPr>
          <w:lang w:val="en-IE"/>
        </w:rPr>
        <w:t>, 339 U.S. 382, 386</w:t>
      </w:r>
      <w:r>
        <w:rPr>
          <w:lang w:val="en-IE"/>
        </w:rPr>
        <w:t xml:space="preserve"> =</w:t>
      </w:r>
      <w:r w:rsidRPr="00B45592">
        <w:rPr>
          <w:lang w:val="en-IE"/>
        </w:rPr>
        <w:t xml:space="preserve"> 70 S. Ct. 674, 677</w:t>
      </w:r>
      <w:r>
        <w:rPr>
          <w:lang w:val="en-IE"/>
        </w:rPr>
        <w:t xml:space="preserve"> =</w:t>
      </w:r>
      <w:r w:rsidRPr="00B45592">
        <w:rPr>
          <w:lang w:val="en-IE"/>
        </w:rPr>
        <w:t xml:space="preserve"> 94 L. Ed. 925, 937, 1950 U.S. LEXIS 2530</w:t>
      </w:r>
      <w:r>
        <w:rPr>
          <w:lang w:val="en-IE"/>
        </w:rPr>
        <w:t xml:space="preserve"> =</w:t>
      </w:r>
      <w:r w:rsidRPr="00B45592">
        <w:rPr>
          <w:lang w:val="en-IE"/>
        </w:rPr>
        <w:t xml:space="preserve"> 7, 18 Lab. Cas. (CCH) P65,760</w:t>
      </w:r>
      <w:r>
        <w:rPr>
          <w:lang w:val="en-IE"/>
        </w:rPr>
        <w:t xml:space="preserve"> =</w:t>
      </w:r>
      <w:r w:rsidRPr="00B45592">
        <w:rPr>
          <w:lang w:val="en-IE"/>
        </w:rPr>
        <w:t xml:space="preserve"> 26 L.R.R.M. 2084 (1950).</w:t>
      </w:r>
    </w:p>
  </w:footnote>
  <w:footnote w:id="159">
    <w:p w14:paraId="1A1D49F5" w14:textId="77777777" w:rsidR="00074551" w:rsidRPr="00387016" w:rsidRDefault="00074551" w:rsidP="00074551">
      <w:pPr>
        <w:pStyle w:val="Funotentext"/>
        <w:rPr>
          <w:lang w:val="en-US"/>
        </w:rPr>
      </w:pPr>
      <w:r>
        <w:rPr>
          <w:rStyle w:val="Funotenzeichen"/>
          <w:rFonts w:eastAsiaTheme="majorEastAsia"/>
        </w:rPr>
        <w:footnoteRef/>
      </w:r>
      <w:r w:rsidRPr="006F259C">
        <w:rPr>
          <w:lang w:val="en-US"/>
        </w:rPr>
        <w:t xml:space="preserve"> </w:t>
      </w:r>
      <w:r w:rsidRPr="00B45592">
        <w:rPr>
          <w:i/>
          <w:lang w:val="en-US"/>
        </w:rPr>
        <w:t>American Co. v. Securities &amp; Exchange Commission</w:t>
      </w:r>
      <w:r w:rsidRPr="006F259C">
        <w:rPr>
          <w:lang w:val="en-US"/>
        </w:rPr>
        <w:t>, 327 U.S. 686, 711 (1946)</w:t>
      </w:r>
      <w:r>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6F259C">
        <w:rPr>
          <w:lang w:val="en-US"/>
        </w:rPr>
        <w:t>, 339 U.S. 382, 406</w:t>
      </w:r>
      <w:r>
        <w:rPr>
          <w:lang w:val="en-US"/>
        </w:rPr>
        <w:t xml:space="preserve"> = 70 S. Ct. </w:t>
      </w:r>
      <w:r w:rsidRPr="006F259C">
        <w:rPr>
          <w:lang w:val="en-US"/>
        </w:rPr>
        <w:t>674, 688</w:t>
      </w:r>
      <w:r>
        <w:rPr>
          <w:lang w:val="en-US"/>
        </w:rPr>
        <w:t xml:space="preserve"> = 94 L. Ed. </w:t>
      </w:r>
      <w:r w:rsidRPr="006F259C">
        <w:rPr>
          <w:lang w:val="en-US"/>
        </w:rPr>
        <w:t>925, 948</w:t>
      </w:r>
      <w:r>
        <w:rPr>
          <w:lang w:val="en-US"/>
        </w:rPr>
        <w:t xml:space="preserve"> = 1950 U.S. LEXIS </w:t>
      </w:r>
      <w:r w:rsidRPr="006F259C">
        <w:rPr>
          <w:lang w:val="en-US"/>
        </w:rPr>
        <w:t>2530, 44</w:t>
      </w:r>
      <w:r>
        <w:rPr>
          <w:lang w:val="en-US"/>
        </w:rPr>
        <w:t>–</w:t>
      </w:r>
      <w:r w:rsidRPr="006F259C">
        <w:rPr>
          <w:lang w:val="en-US"/>
        </w:rPr>
        <w:t>45</w:t>
      </w:r>
      <w:r>
        <w:rPr>
          <w:lang w:val="en-US"/>
        </w:rPr>
        <w:t xml:space="preserve"> = 18 Lab. Cas.</w:t>
      </w:r>
      <w:r w:rsidRPr="006F259C">
        <w:rPr>
          <w:lang w:val="en-US"/>
        </w:rPr>
        <w:t xml:space="preserve"> </w:t>
      </w:r>
      <w:r w:rsidRPr="00387016">
        <w:rPr>
          <w:lang w:val="en-US"/>
        </w:rPr>
        <w:t>(CCH) P65,760</w:t>
      </w:r>
      <w:r>
        <w:rPr>
          <w:lang w:val="en-US"/>
        </w:rPr>
        <w:t xml:space="preserve"> = 26 L.R.R.M. 2084 </w:t>
      </w:r>
      <w:r w:rsidRPr="00387016">
        <w:rPr>
          <w:lang w:val="en-US"/>
        </w:rPr>
        <w:t>(1950)</w:t>
      </w:r>
      <w:r>
        <w:rPr>
          <w:lang w:val="en-US"/>
        </w:rPr>
        <w:t>.</w:t>
      </w:r>
    </w:p>
  </w:footnote>
  <w:footnote w:id="160">
    <w:p w14:paraId="70AB04AF" w14:textId="77777777" w:rsidR="00074551" w:rsidRPr="00EF6BC1" w:rsidRDefault="00074551" w:rsidP="00074551">
      <w:pPr>
        <w:pStyle w:val="Funotentext"/>
        <w:rPr>
          <w:lang w:val="en-US"/>
        </w:rPr>
      </w:pPr>
      <w:r>
        <w:rPr>
          <w:rStyle w:val="Funotenzeichen"/>
          <w:rFonts w:eastAsiaTheme="majorEastAsia"/>
        </w:rPr>
        <w:footnoteRef/>
      </w:r>
      <w:r w:rsidRPr="00EF6BC1">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EF6BC1">
        <w:rPr>
          <w:lang w:val="en-US"/>
        </w:rPr>
        <w:t>, 339 U.S. 382, 440</w:t>
      </w:r>
      <w:r>
        <w:rPr>
          <w:lang w:val="en-US"/>
        </w:rPr>
        <w:t xml:space="preserve"> = 70 S. Ct. </w:t>
      </w:r>
      <w:r w:rsidRPr="00EF6BC1">
        <w:rPr>
          <w:lang w:val="en-US"/>
        </w:rPr>
        <w:t>674, 704</w:t>
      </w:r>
      <w:r>
        <w:rPr>
          <w:lang w:val="en-US"/>
        </w:rPr>
        <w:t xml:space="preserve"> = 94 L. Ed. </w:t>
      </w:r>
      <w:r w:rsidRPr="00EF6BC1">
        <w:rPr>
          <w:lang w:val="en-US"/>
        </w:rPr>
        <w:t>925, 965</w:t>
      </w:r>
      <w:r>
        <w:rPr>
          <w:lang w:val="en-US"/>
        </w:rPr>
        <w:t xml:space="preserve"> = 1950 U.S. LEXIS </w:t>
      </w:r>
      <w:r w:rsidRPr="00EF6BC1">
        <w:rPr>
          <w:lang w:val="en-US"/>
        </w:rPr>
        <w:t>2530, 99</w:t>
      </w:r>
      <w:r>
        <w:rPr>
          <w:lang w:val="en-US"/>
        </w:rPr>
        <w:t xml:space="preserve"> = 18 Lab. Cas.</w:t>
      </w:r>
      <w:r w:rsidRPr="00EF6BC1">
        <w:rPr>
          <w:lang w:val="en-US"/>
        </w:rPr>
        <w:t xml:space="preserve"> (CCH) P65,760</w:t>
      </w:r>
      <w:r>
        <w:rPr>
          <w:lang w:val="en-US"/>
        </w:rPr>
        <w:t xml:space="preserve"> = 26 L.R.R.M. 2084 </w:t>
      </w:r>
      <w:r w:rsidRPr="00EF6BC1">
        <w:rPr>
          <w:lang w:val="en-US"/>
        </w:rPr>
        <w:t>(1950)</w:t>
      </w:r>
      <w:r>
        <w:rPr>
          <w:lang w:val="en-US"/>
        </w:rPr>
        <w:t>.</w:t>
      </w:r>
    </w:p>
  </w:footnote>
  <w:footnote w:id="161">
    <w:p w14:paraId="6BDF8EC1" w14:textId="77777777" w:rsidR="00074551" w:rsidRPr="001368C7" w:rsidRDefault="00074551" w:rsidP="00074551">
      <w:pPr>
        <w:pStyle w:val="Funotentext"/>
        <w:rPr>
          <w:lang w:val="en-US"/>
        </w:rPr>
      </w:pPr>
      <w:r>
        <w:rPr>
          <w:rStyle w:val="Funotenzeichen"/>
        </w:rPr>
        <w:footnoteRef/>
      </w:r>
      <w:r w:rsidRPr="001368C7">
        <w:rPr>
          <w:lang w:val="en-US"/>
        </w:rPr>
        <w:t xml:space="preserve"> </w:t>
      </w:r>
      <w:r w:rsidRPr="00B45592">
        <w:rPr>
          <w:i/>
          <w:lang w:val="en-US"/>
        </w:rPr>
        <w:t>Conway v. Taylor</w:t>
      </w:r>
      <w:r w:rsidRPr="00B45592">
        <w:rPr>
          <w:i/>
          <w:lang w:val="en-IE"/>
        </w:rPr>
        <w:t>’</w:t>
      </w:r>
      <w:r w:rsidRPr="00B45592">
        <w:rPr>
          <w:i/>
          <w:lang w:val="en-US"/>
        </w:rPr>
        <w:t>s Ex</w:t>
      </w:r>
      <w:r w:rsidRPr="00B45592">
        <w:rPr>
          <w:i/>
          <w:lang w:val="en-IE"/>
        </w:rPr>
        <w:t>’</w:t>
      </w:r>
      <w:r w:rsidRPr="00B45592">
        <w:rPr>
          <w:i/>
          <w:lang w:val="en-US"/>
        </w:rPr>
        <w:t>x</w:t>
      </w:r>
      <w:r w:rsidRPr="001368C7">
        <w:rPr>
          <w:lang w:val="en-US"/>
        </w:rPr>
        <w:t>, 66 U.S. 603, 622</w:t>
      </w:r>
      <w:r>
        <w:rPr>
          <w:lang w:val="en-US"/>
        </w:rPr>
        <w:t xml:space="preserve"> = 17 L. Ed. </w:t>
      </w:r>
      <w:r w:rsidRPr="001368C7">
        <w:rPr>
          <w:lang w:val="en-US"/>
        </w:rPr>
        <w:t>191, 199</w:t>
      </w:r>
      <w:r>
        <w:rPr>
          <w:lang w:val="en-US"/>
        </w:rPr>
        <w:t xml:space="preserve"> = 1861 U.S. LEXIS </w:t>
      </w:r>
      <w:r w:rsidRPr="001368C7">
        <w:rPr>
          <w:lang w:val="en-US"/>
        </w:rPr>
        <w:t>519, 2</w:t>
      </w:r>
      <w:r>
        <w:rPr>
          <w:lang w:val="en-US"/>
        </w:rPr>
        <w:t xml:space="preserve"> = 1 Black 603 </w:t>
      </w:r>
      <w:r w:rsidRPr="001368C7">
        <w:rPr>
          <w:lang w:val="en-US"/>
        </w:rPr>
        <w:t>(1862)</w:t>
      </w:r>
      <w:r>
        <w:rPr>
          <w:lang w:val="en-US"/>
        </w:rPr>
        <w:t>.</w:t>
      </w:r>
    </w:p>
  </w:footnote>
  <w:footnote w:id="162">
    <w:p w14:paraId="7A747294" w14:textId="77777777" w:rsidR="00074551" w:rsidRPr="00D93913" w:rsidRDefault="00074551" w:rsidP="00074551">
      <w:pPr>
        <w:pStyle w:val="Funotentext"/>
        <w:rPr>
          <w:lang w:val="en-US"/>
        </w:rPr>
      </w:pPr>
      <w:r>
        <w:rPr>
          <w:rStyle w:val="Funotenzeichen"/>
        </w:rPr>
        <w:footnoteRef/>
      </w:r>
      <w:r w:rsidRPr="00D93913">
        <w:rPr>
          <w:lang w:val="en-US"/>
        </w:rPr>
        <w:t xml:space="preserve"> </w:t>
      </w:r>
      <w:r w:rsidRPr="00B45592">
        <w:rPr>
          <w:i/>
          <w:lang w:val="en-US"/>
        </w:rPr>
        <w:t>Conway v. Taylor</w:t>
      </w:r>
      <w:r w:rsidRPr="00B45592">
        <w:rPr>
          <w:i/>
          <w:lang w:val="en-IE"/>
        </w:rPr>
        <w:t>’</w:t>
      </w:r>
      <w:r w:rsidRPr="00B45592">
        <w:rPr>
          <w:i/>
          <w:lang w:val="en-US"/>
        </w:rPr>
        <w:t>s Ex</w:t>
      </w:r>
      <w:r w:rsidRPr="00B45592">
        <w:rPr>
          <w:i/>
          <w:lang w:val="en-IE"/>
        </w:rPr>
        <w:t>’</w:t>
      </w:r>
      <w:r w:rsidRPr="00B45592">
        <w:rPr>
          <w:i/>
          <w:lang w:val="en-US"/>
        </w:rPr>
        <w:t>x</w:t>
      </w:r>
      <w:r w:rsidRPr="00D93913">
        <w:rPr>
          <w:lang w:val="en-US"/>
        </w:rPr>
        <w:t>, 66 U.S. 603, 633</w:t>
      </w:r>
      <w:r>
        <w:rPr>
          <w:lang w:val="en-US"/>
        </w:rPr>
        <w:t xml:space="preserve"> = 17 L. Ed. </w:t>
      </w:r>
      <w:r w:rsidRPr="00D93913">
        <w:rPr>
          <w:lang w:val="en-US"/>
        </w:rPr>
        <w:t>191, 202</w:t>
      </w:r>
      <w:r>
        <w:rPr>
          <w:lang w:val="en-US"/>
        </w:rPr>
        <w:t xml:space="preserve"> = 1861 U.S. LEXIS </w:t>
      </w:r>
      <w:r w:rsidRPr="00D93913">
        <w:rPr>
          <w:lang w:val="en-US"/>
        </w:rPr>
        <w:t>519, 56</w:t>
      </w:r>
      <w:r>
        <w:rPr>
          <w:lang w:val="en-US"/>
        </w:rPr>
        <w:t xml:space="preserve"> = 1 Black 603 </w:t>
      </w:r>
      <w:r w:rsidRPr="00D93913">
        <w:rPr>
          <w:lang w:val="en-US"/>
        </w:rPr>
        <w:t>(1862)</w:t>
      </w:r>
      <w:r>
        <w:rPr>
          <w:lang w:val="en-US"/>
        </w:rPr>
        <w:t>.</w:t>
      </w:r>
    </w:p>
  </w:footnote>
  <w:footnote w:id="163">
    <w:p w14:paraId="605C8A54" w14:textId="77777777" w:rsidR="00074551" w:rsidRPr="00D37C2D" w:rsidRDefault="00074551" w:rsidP="00074551">
      <w:pPr>
        <w:pStyle w:val="Funotentext"/>
        <w:rPr>
          <w:lang w:val="en-US"/>
        </w:rPr>
      </w:pPr>
      <w:r>
        <w:rPr>
          <w:rStyle w:val="Funotenzeichen"/>
        </w:rPr>
        <w:footnoteRef/>
      </w:r>
      <w:r w:rsidRPr="00D37C2D">
        <w:rPr>
          <w:lang w:val="en-US"/>
        </w:rPr>
        <w:t xml:space="preserve"> </w:t>
      </w:r>
      <w:r w:rsidRPr="00B45592">
        <w:rPr>
          <w:i/>
          <w:lang w:val="en-US"/>
        </w:rPr>
        <w:t>Conway v. Taylor</w:t>
      </w:r>
      <w:r w:rsidRPr="00B45592">
        <w:rPr>
          <w:i/>
          <w:lang w:val="en-IE"/>
        </w:rPr>
        <w:t>’</w:t>
      </w:r>
      <w:r w:rsidRPr="00B45592">
        <w:rPr>
          <w:i/>
          <w:lang w:val="en-US"/>
        </w:rPr>
        <w:t>s Ex</w:t>
      </w:r>
      <w:r w:rsidRPr="00B45592">
        <w:rPr>
          <w:i/>
          <w:lang w:val="en-IE"/>
        </w:rPr>
        <w:t>’</w:t>
      </w:r>
      <w:r w:rsidRPr="00B45592">
        <w:rPr>
          <w:i/>
          <w:lang w:val="en-US"/>
        </w:rPr>
        <w:t>x</w:t>
      </w:r>
      <w:r w:rsidRPr="00D37C2D">
        <w:rPr>
          <w:lang w:val="en-US"/>
        </w:rPr>
        <w:t>, 66 U.S. 603, 622</w:t>
      </w:r>
      <w:r>
        <w:rPr>
          <w:lang w:val="en-US"/>
        </w:rPr>
        <w:t xml:space="preserve"> = 17 L. Ed. </w:t>
      </w:r>
      <w:r w:rsidRPr="00D37C2D">
        <w:rPr>
          <w:lang w:val="en-US"/>
        </w:rPr>
        <w:t>191, 199</w:t>
      </w:r>
      <w:r>
        <w:rPr>
          <w:lang w:val="en-US"/>
        </w:rPr>
        <w:t xml:space="preserve"> = 1861 U.S. LEXIS </w:t>
      </w:r>
      <w:r w:rsidRPr="00D37C2D">
        <w:rPr>
          <w:lang w:val="en-US"/>
        </w:rPr>
        <w:t>519, 29</w:t>
      </w:r>
      <w:r>
        <w:rPr>
          <w:lang w:val="en-US"/>
        </w:rPr>
        <w:t xml:space="preserve"> = 1 Black 603 </w:t>
      </w:r>
      <w:r w:rsidRPr="00D37C2D">
        <w:rPr>
          <w:lang w:val="en-US"/>
        </w:rPr>
        <w:t>(1862)</w:t>
      </w:r>
      <w:r>
        <w:rPr>
          <w:lang w:val="en-US"/>
        </w:rPr>
        <w:t>.</w:t>
      </w:r>
    </w:p>
  </w:footnote>
  <w:footnote w:id="164">
    <w:p w14:paraId="5933AE60" w14:textId="77777777" w:rsidR="00074551" w:rsidRPr="007C2EC7" w:rsidRDefault="00074551" w:rsidP="00074551">
      <w:pPr>
        <w:pStyle w:val="Funotentext"/>
        <w:rPr>
          <w:lang w:val="en-US"/>
        </w:rPr>
      </w:pPr>
      <w:r>
        <w:rPr>
          <w:rStyle w:val="Funotenzeichen"/>
        </w:rPr>
        <w:footnoteRef/>
      </w:r>
      <w:r w:rsidRPr="007C2EC7">
        <w:rPr>
          <w:lang w:val="en-US"/>
        </w:rPr>
        <w:t xml:space="preserve"> </w:t>
      </w:r>
      <w:r w:rsidRPr="00B45592">
        <w:rPr>
          <w:i/>
          <w:lang w:val="en-US"/>
        </w:rPr>
        <w:t>Act of July 23, 1892</w:t>
      </w:r>
      <w:r w:rsidRPr="007C2EC7">
        <w:rPr>
          <w:lang w:val="en-US"/>
        </w:rPr>
        <w:t>, 27 Stat. 260, c. 234. „That amended section reads</w:t>
      </w:r>
      <w:proofErr w:type="gramStart"/>
      <w:r w:rsidRPr="007C2EC7">
        <w:rPr>
          <w:lang w:val="en-US"/>
        </w:rPr>
        <w:t xml:space="preserve">: </w:t>
      </w:r>
      <w:r>
        <w:rPr>
          <w:lang w:val="en-US"/>
        </w:rPr>
        <w:t>,</w:t>
      </w:r>
      <w:r w:rsidRPr="007C2EC7">
        <w:rPr>
          <w:lang w:val="en-US"/>
        </w:rPr>
        <w:t>No</w:t>
      </w:r>
      <w:proofErr w:type="gramEnd"/>
      <w:r w:rsidRPr="007C2EC7">
        <w:rPr>
          <w:lang w:val="en-US"/>
        </w:rPr>
        <w:t xml:space="preserve"> ardent spirits, ale, beer, wine or intoxicating liquor or liquors of whatever kind shall be introduced, under any pretense, into the Indian country. Every person who sells, exchanges, gives, barters or disposes of any ardent spirits, ale, beer, wine or intoxicating liquors of any kind to any Indian under charge of any Indian superintendent or agent, or introduces or attempts to introduce any ardent spirits, ale, wine, beer, or intoxicating liquor of any kind into the Indian country shall be punished by imprisonment for not more than two years, and by fine of not more than three hundred dollars for each offense. But it shall be a sufficient defense to any charge of introducing or attempting to introduce ardent spirits, ale, beer, wine or intoxicating liquors into the Indian country that the acts charged were done under authority in writing from the War Department, or any officer duly authorized thereunto by the War </w:t>
      </w:r>
      <w:proofErr w:type="gramStart"/>
      <w:r w:rsidRPr="007C2EC7">
        <w:rPr>
          <w:lang w:val="en-US"/>
        </w:rPr>
        <w:t>Department.“</w:t>
      </w:r>
      <w:proofErr w:type="gramEnd"/>
      <w:r w:rsidRPr="007C2EC7">
        <w:rPr>
          <w:lang w:val="en-US"/>
        </w:rPr>
        <w:t xml:space="preserve">, </w:t>
      </w:r>
      <w:r w:rsidRPr="00B45592">
        <w:rPr>
          <w:i/>
          <w:lang w:val="en-US"/>
        </w:rPr>
        <w:t>Dick v. United States</w:t>
      </w:r>
      <w:r w:rsidRPr="007C2EC7">
        <w:rPr>
          <w:lang w:val="en-US"/>
        </w:rPr>
        <w:t>, 208 U.S. 340, 349</w:t>
      </w:r>
      <w:r>
        <w:rPr>
          <w:lang w:val="en-US"/>
        </w:rPr>
        <w:t xml:space="preserve"> = 28 S. Ct. </w:t>
      </w:r>
      <w:r w:rsidRPr="007C2EC7">
        <w:rPr>
          <w:lang w:val="en-US"/>
        </w:rPr>
        <w:t>399, 401</w:t>
      </w:r>
      <w:r>
        <w:rPr>
          <w:lang w:val="en-US"/>
        </w:rPr>
        <w:t xml:space="preserve"> = 1908 U.S. LEXIS </w:t>
      </w:r>
      <w:r w:rsidRPr="007C2EC7">
        <w:rPr>
          <w:lang w:val="en-US"/>
        </w:rPr>
        <w:t>1446, 1</w:t>
      </w:r>
      <w:r>
        <w:rPr>
          <w:lang w:val="en-US"/>
        </w:rPr>
        <w:t>–</w:t>
      </w:r>
      <w:r w:rsidRPr="007C2EC7">
        <w:rPr>
          <w:lang w:val="en-US"/>
        </w:rPr>
        <w:t>2</w:t>
      </w:r>
      <w:r>
        <w:rPr>
          <w:lang w:val="en-US"/>
        </w:rPr>
        <w:t xml:space="preserve"> = 52 L. Ed. </w:t>
      </w:r>
      <w:r w:rsidRPr="007C2EC7">
        <w:rPr>
          <w:lang w:val="en-US"/>
        </w:rPr>
        <w:t>520 (1908)</w:t>
      </w:r>
      <w:r>
        <w:rPr>
          <w:lang w:val="en-US"/>
        </w:rPr>
        <w:t>.</w:t>
      </w:r>
    </w:p>
  </w:footnote>
  <w:footnote w:id="165">
    <w:p w14:paraId="2EB58E5D" w14:textId="77777777" w:rsidR="00074551" w:rsidRPr="007C2EC7" w:rsidRDefault="00074551" w:rsidP="00074551">
      <w:pPr>
        <w:pStyle w:val="Funotentext"/>
        <w:rPr>
          <w:lang w:val="en-US"/>
        </w:rPr>
      </w:pPr>
      <w:r>
        <w:rPr>
          <w:rStyle w:val="Funotenzeichen"/>
        </w:rPr>
        <w:footnoteRef/>
      </w:r>
      <w:r w:rsidRPr="007C2EC7">
        <w:rPr>
          <w:lang w:val="en-US"/>
        </w:rPr>
        <w:t xml:space="preserve"> </w:t>
      </w:r>
      <w:r w:rsidRPr="00B45592">
        <w:rPr>
          <w:i/>
          <w:lang w:val="en-US"/>
        </w:rPr>
        <w:t>Dick v. United States</w:t>
      </w:r>
      <w:r w:rsidRPr="007C2EC7">
        <w:rPr>
          <w:lang w:val="en-US"/>
        </w:rPr>
        <w:t>, 208 U.S. 340, 349</w:t>
      </w:r>
      <w:r>
        <w:rPr>
          <w:lang w:val="en-US"/>
        </w:rPr>
        <w:t xml:space="preserve"> = 28 S. Ct. </w:t>
      </w:r>
      <w:r w:rsidRPr="007C2EC7">
        <w:rPr>
          <w:lang w:val="en-US"/>
        </w:rPr>
        <w:t>399, 401</w:t>
      </w:r>
      <w:r>
        <w:rPr>
          <w:lang w:val="en-US"/>
        </w:rPr>
        <w:t xml:space="preserve"> = 1908 U.S. LEXIS </w:t>
      </w:r>
      <w:r w:rsidRPr="007C2EC7">
        <w:rPr>
          <w:lang w:val="en-US"/>
        </w:rPr>
        <w:t>1446, 9</w:t>
      </w:r>
      <w:r>
        <w:rPr>
          <w:lang w:val="en-US"/>
        </w:rPr>
        <w:t xml:space="preserve"> = 52 L. Ed. </w:t>
      </w:r>
      <w:r w:rsidRPr="007C2EC7">
        <w:rPr>
          <w:lang w:val="en-US"/>
        </w:rPr>
        <w:t>520 (1908)</w:t>
      </w:r>
      <w:r>
        <w:rPr>
          <w:lang w:val="en-US"/>
        </w:rPr>
        <w:t>.</w:t>
      </w:r>
    </w:p>
  </w:footnote>
  <w:footnote w:id="166">
    <w:p w14:paraId="0623586F" w14:textId="77777777" w:rsidR="00074551" w:rsidRPr="00E92AA1" w:rsidRDefault="00074551" w:rsidP="00074551">
      <w:pPr>
        <w:pStyle w:val="Funotentext"/>
        <w:rPr>
          <w:lang w:val="en-US"/>
        </w:rPr>
      </w:pPr>
      <w:r>
        <w:rPr>
          <w:rStyle w:val="Funotenzeichen"/>
        </w:rPr>
        <w:footnoteRef/>
      </w:r>
      <w:r w:rsidRPr="00E92AA1">
        <w:rPr>
          <w:lang w:val="en-US"/>
        </w:rPr>
        <w:t xml:space="preserve"> </w:t>
      </w:r>
      <w:r w:rsidRPr="00B45592">
        <w:rPr>
          <w:i/>
          <w:lang w:val="en-US"/>
        </w:rPr>
        <w:t>Dick v. United States</w:t>
      </w:r>
      <w:r w:rsidRPr="00E92AA1">
        <w:rPr>
          <w:lang w:val="en-US"/>
        </w:rPr>
        <w:t>, 208 U.S. 340, 356</w:t>
      </w:r>
      <w:r>
        <w:rPr>
          <w:lang w:val="en-US"/>
        </w:rPr>
        <w:t xml:space="preserve"> = 28 S. Ct. </w:t>
      </w:r>
      <w:r w:rsidRPr="00E92AA1">
        <w:rPr>
          <w:lang w:val="en-US"/>
        </w:rPr>
        <w:t>399, 404</w:t>
      </w:r>
      <w:r>
        <w:rPr>
          <w:lang w:val="en-US"/>
        </w:rPr>
        <w:t xml:space="preserve"> = 1908 U.S. LEXIS </w:t>
      </w:r>
      <w:r w:rsidRPr="00E92AA1">
        <w:rPr>
          <w:lang w:val="en-US"/>
        </w:rPr>
        <w:t>1446, 30</w:t>
      </w:r>
      <w:r>
        <w:rPr>
          <w:lang w:val="en-US"/>
        </w:rPr>
        <w:t xml:space="preserve"> = 52 L. Ed. </w:t>
      </w:r>
      <w:r w:rsidRPr="00E92AA1">
        <w:rPr>
          <w:lang w:val="en-US"/>
        </w:rPr>
        <w:t>520 (1908)</w:t>
      </w:r>
      <w:r>
        <w:rPr>
          <w:lang w:val="en-US"/>
        </w:rPr>
        <w:t>.</w:t>
      </w:r>
    </w:p>
  </w:footnote>
  <w:footnote w:id="167">
    <w:p w14:paraId="15045B37" w14:textId="77777777" w:rsidR="00074551" w:rsidRPr="00A1476A" w:rsidRDefault="00074551" w:rsidP="00074551">
      <w:pPr>
        <w:pStyle w:val="Funotentext"/>
        <w:rPr>
          <w:lang w:val="en-US"/>
        </w:rPr>
      </w:pPr>
      <w:r>
        <w:rPr>
          <w:rStyle w:val="Funotenzeichen"/>
        </w:rPr>
        <w:footnoteRef/>
      </w:r>
      <w:r w:rsidRPr="00A1476A">
        <w:rPr>
          <w:lang w:val="en-US"/>
        </w:rPr>
        <w:t xml:space="preserve"> </w:t>
      </w:r>
      <w:r w:rsidRPr="00B45592">
        <w:rPr>
          <w:i/>
          <w:lang w:val="en-US"/>
        </w:rPr>
        <w:t>Dick v. United States</w:t>
      </w:r>
      <w:r w:rsidRPr="00A1476A">
        <w:rPr>
          <w:lang w:val="en-US"/>
        </w:rPr>
        <w:t>, 208 U.S. 340, 354</w:t>
      </w:r>
      <w:r>
        <w:rPr>
          <w:lang w:val="en-US"/>
        </w:rPr>
        <w:t>–</w:t>
      </w:r>
      <w:r w:rsidRPr="00A1476A">
        <w:rPr>
          <w:lang w:val="en-US"/>
        </w:rPr>
        <w:t>355</w:t>
      </w:r>
      <w:r>
        <w:rPr>
          <w:lang w:val="en-US"/>
        </w:rPr>
        <w:t xml:space="preserve"> = 28 S. Ct. </w:t>
      </w:r>
      <w:r w:rsidRPr="00A1476A">
        <w:rPr>
          <w:lang w:val="en-US"/>
        </w:rPr>
        <w:t>399, 403</w:t>
      </w:r>
      <w:r>
        <w:rPr>
          <w:lang w:val="en-US"/>
        </w:rPr>
        <w:t>–</w:t>
      </w:r>
      <w:r w:rsidRPr="00A1476A">
        <w:rPr>
          <w:lang w:val="en-US"/>
        </w:rPr>
        <w:t>404</w:t>
      </w:r>
      <w:r>
        <w:rPr>
          <w:lang w:val="en-US"/>
        </w:rPr>
        <w:t xml:space="preserve"> = 1908 U.S. LEXIS </w:t>
      </w:r>
      <w:r w:rsidRPr="00A1476A">
        <w:rPr>
          <w:lang w:val="en-US"/>
        </w:rPr>
        <w:t>1446, 26</w:t>
      </w:r>
      <w:r>
        <w:rPr>
          <w:lang w:val="en-US"/>
        </w:rPr>
        <w:t>–</w:t>
      </w:r>
      <w:r w:rsidRPr="00A1476A">
        <w:rPr>
          <w:lang w:val="en-US"/>
        </w:rPr>
        <w:t>27</w:t>
      </w:r>
      <w:r>
        <w:rPr>
          <w:lang w:val="en-US"/>
        </w:rPr>
        <w:t xml:space="preserve"> = 52 L. Ed. </w:t>
      </w:r>
      <w:r w:rsidRPr="00A1476A">
        <w:rPr>
          <w:lang w:val="en-US"/>
        </w:rPr>
        <w:t>520 (1908)</w:t>
      </w:r>
      <w:r>
        <w:rPr>
          <w:lang w:val="en-US"/>
        </w:rPr>
        <w:t>.</w:t>
      </w:r>
    </w:p>
  </w:footnote>
  <w:footnote w:id="168">
    <w:p w14:paraId="632C0BFE" w14:textId="77777777" w:rsidR="00074551" w:rsidRPr="00EB7FCB" w:rsidRDefault="00074551" w:rsidP="00074551">
      <w:pPr>
        <w:pStyle w:val="Funotentext"/>
        <w:rPr>
          <w:lang w:val="en-US"/>
        </w:rPr>
      </w:pPr>
      <w:r>
        <w:rPr>
          <w:rStyle w:val="Funotenzeichen"/>
        </w:rPr>
        <w:footnoteRef/>
      </w:r>
      <w:r w:rsidRPr="00EB7FCB">
        <w:rPr>
          <w:lang w:val="en-US"/>
        </w:rPr>
        <w:t xml:space="preserve"> </w:t>
      </w:r>
      <w:r w:rsidRPr="00B45592">
        <w:rPr>
          <w:i/>
          <w:lang w:val="en-US"/>
        </w:rPr>
        <w:t>Dick v. United States</w:t>
      </w:r>
      <w:r w:rsidRPr="00EB7FCB">
        <w:rPr>
          <w:lang w:val="en-US"/>
        </w:rPr>
        <w:t>, 208 U.S. 340, 354</w:t>
      </w:r>
      <w:r>
        <w:rPr>
          <w:lang w:val="en-US"/>
        </w:rPr>
        <w:t xml:space="preserve"> = 28 S. Ct. </w:t>
      </w:r>
      <w:r w:rsidRPr="00EB7FCB">
        <w:rPr>
          <w:lang w:val="en-US"/>
        </w:rPr>
        <w:t>399, 403</w:t>
      </w:r>
      <w:r>
        <w:rPr>
          <w:lang w:val="en-US"/>
        </w:rPr>
        <w:t xml:space="preserve"> = 1908 U.S. LEXIS </w:t>
      </w:r>
      <w:r w:rsidRPr="00EB7FCB">
        <w:rPr>
          <w:lang w:val="en-US"/>
        </w:rPr>
        <w:t>1446, 26</w:t>
      </w:r>
      <w:r>
        <w:rPr>
          <w:lang w:val="en-US"/>
        </w:rPr>
        <w:t xml:space="preserve"> = 52 L. Ed. </w:t>
      </w:r>
      <w:r w:rsidRPr="00EB7FCB">
        <w:rPr>
          <w:lang w:val="en-US"/>
        </w:rPr>
        <w:t>520 (1908)</w:t>
      </w:r>
      <w:r>
        <w:rPr>
          <w:lang w:val="en-US"/>
        </w:rPr>
        <w:t>.</w:t>
      </w:r>
    </w:p>
  </w:footnote>
  <w:footnote w:id="169">
    <w:p w14:paraId="2BD50643" w14:textId="77777777" w:rsidR="00074551" w:rsidRPr="00224049" w:rsidRDefault="00074551" w:rsidP="00074551">
      <w:pPr>
        <w:pStyle w:val="Funotentext"/>
        <w:rPr>
          <w:lang w:val="en-US"/>
        </w:rPr>
      </w:pPr>
      <w:r>
        <w:rPr>
          <w:rStyle w:val="Funotenzeichen"/>
        </w:rPr>
        <w:footnoteRef/>
      </w:r>
      <w:r w:rsidRPr="00224049">
        <w:rPr>
          <w:lang w:val="en-US"/>
        </w:rPr>
        <w:t xml:space="preserve"> </w:t>
      </w:r>
      <w:r w:rsidRPr="00B45592">
        <w:rPr>
          <w:i/>
          <w:lang w:val="en-US"/>
        </w:rPr>
        <w:t>An Act for enrolling and licensing Ships or Vessels to be employed in the Coasting Trade and Fisheries</w:t>
      </w:r>
      <w:r>
        <w:rPr>
          <w:lang w:val="en-US"/>
        </w:rPr>
        <w:t>: „</w:t>
      </w:r>
      <w:r w:rsidRPr="00E72AB6">
        <w:rPr>
          <w:lang w:val="en-US"/>
        </w:rPr>
        <w:t xml:space="preserve">first section of the act of </w:t>
      </w:r>
      <w:proofErr w:type="gramStart"/>
      <w:r w:rsidRPr="00E72AB6">
        <w:rPr>
          <w:lang w:val="en-US"/>
        </w:rPr>
        <w:t>February,</w:t>
      </w:r>
      <w:proofErr w:type="gramEnd"/>
      <w:r w:rsidRPr="00E72AB6">
        <w:rPr>
          <w:lang w:val="en-US"/>
        </w:rPr>
        <w:t xml:space="preserve"> 1793, c. 8. regulating the coasting trade and fisheries, declares, that all ships and vessels, enrolled and licensed as that act provides</w:t>
      </w:r>
      <w:proofErr w:type="gramStart"/>
      <w:r w:rsidRPr="00E72AB6">
        <w:rPr>
          <w:lang w:val="en-US"/>
        </w:rPr>
        <w:t xml:space="preserve">, </w:t>
      </w:r>
      <w:r>
        <w:rPr>
          <w:lang w:val="en-US"/>
        </w:rPr>
        <w:t>,</w:t>
      </w:r>
      <w:r w:rsidRPr="00E72AB6">
        <w:rPr>
          <w:lang w:val="en-US"/>
        </w:rPr>
        <w:t>and</w:t>
      </w:r>
      <w:proofErr w:type="gramEnd"/>
      <w:r w:rsidRPr="00E72AB6">
        <w:rPr>
          <w:lang w:val="en-US"/>
        </w:rPr>
        <w:t xml:space="preserve"> no others, shall be deemed ships or vessels of the United States, entitled to the privileges of ships or vessels employed in the coasting trade or </w:t>
      </w:r>
      <w:proofErr w:type="gramStart"/>
      <w:r w:rsidRPr="00E72AB6">
        <w:rPr>
          <w:lang w:val="en-US"/>
        </w:rPr>
        <w:t>fisheries.</w:t>
      </w:r>
      <w:r>
        <w:rPr>
          <w:lang w:val="en-US"/>
        </w:rPr>
        <w:t>‘</w:t>
      </w:r>
      <w:proofErr w:type="gramEnd"/>
      <w:r>
        <w:rPr>
          <w:lang w:val="en-US"/>
        </w:rPr>
        <w:t xml:space="preserve">“, </w:t>
      </w:r>
      <w:r w:rsidRPr="001F38CE">
        <w:rPr>
          <w:i/>
          <w:lang w:val="en-US"/>
        </w:rPr>
        <w:t>Gibbons v. Ogden</w:t>
      </w:r>
      <w:r w:rsidRPr="00E72AB6">
        <w:rPr>
          <w:lang w:val="en-US"/>
        </w:rPr>
        <w:t>, 22 U.S. 1, 186</w:t>
      </w:r>
      <w:r>
        <w:rPr>
          <w:lang w:val="en-US"/>
        </w:rPr>
        <w:t xml:space="preserve"> = 6 L. Ed. </w:t>
      </w:r>
      <w:r w:rsidRPr="00E72AB6">
        <w:rPr>
          <w:lang w:val="en-US"/>
        </w:rPr>
        <w:t>23</w:t>
      </w:r>
      <w:r>
        <w:rPr>
          <w:lang w:val="en-US"/>
        </w:rPr>
        <w:t xml:space="preserve"> </w:t>
      </w:r>
      <w:r w:rsidRPr="00E72AB6">
        <w:rPr>
          <w:lang w:val="en-US"/>
        </w:rPr>
        <w:t>67</w:t>
      </w:r>
      <w:r>
        <w:rPr>
          <w:lang w:val="en-US"/>
        </w:rPr>
        <w:t xml:space="preserve"> = 1824 U.S. LEXIS </w:t>
      </w:r>
      <w:r w:rsidRPr="00E72AB6">
        <w:rPr>
          <w:lang w:val="en-US"/>
        </w:rPr>
        <w:t>370, 35</w:t>
      </w:r>
      <w:r>
        <w:rPr>
          <w:lang w:val="en-US"/>
        </w:rPr>
        <w:t xml:space="preserve"> = 9 Wheat. </w:t>
      </w:r>
      <w:r w:rsidRPr="00E72AB6">
        <w:rPr>
          <w:lang w:val="en-US"/>
        </w:rPr>
        <w:t>1 (1824)</w:t>
      </w:r>
      <w:r>
        <w:rPr>
          <w:lang w:val="en-US"/>
        </w:rPr>
        <w:t>.</w:t>
      </w:r>
    </w:p>
  </w:footnote>
  <w:footnote w:id="170">
    <w:p w14:paraId="265DFCE7" w14:textId="77777777" w:rsidR="00074551" w:rsidRPr="00A61CB0" w:rsidRDefault="00074551" w:rsidP="00074551">
      <w:pPr>
        <w:pStyle w:val="Funotentext"/>
        <w:rPr>
          <w:lang w:val="en-US"/>
        </w:rPr>
      </w:pPr>
      <w:r>
        <w:rPr>
          <w:rStyle w:val="Funotenzeichen"/>
        </w:rPr>
        <w:footnoteRef/>
      </w:r>
      <w:r w:rsidRPr="00A61CB0">
        <w:rPr>
          <w:lang w:val="en-US"/>
        </w:rPr>
        <w:t xml:space="preserve"> </w:t>
      </w:r>
      <w:r>
        <w:rPr>
          <w:lang w:val="en-US"/>
        </w:rPr>
        <w:t>„</w:t>
      </w:r>
      <w:r w:rsidRPr="00A61CB0">
        <w:rPr>
          <w:lang w:val="en-US"/>
        </w:rPr>
        <w:t xml:space="preserve">No State shall, without the consent of Congress, lay any duty of </w:t>
      </w:r>
      <w:proofErr w:type="gramStart"/>
      <w:r w:rsidRPr="00A61CB0">
        <w:rPr>
          <w:lang w:val="en-US"/>
        </w:rPr>
        <w:t>tonnage.</w:t>
      </w:r>
      <w:r>
        <w:rPr>
          <w:lang w:val="en-US"/>
        </w:rPr>
        <w:t>“</w:t>
      </w:r>
      <w:proofErr w:type="gramEnd"/>
      <w:r>
        <w:rPr>
          <w:lang w:val="en-US"/>
        </w:rPr>
        <w:t xml:space="preserve">, </w:t>
      </w:r>
      <w:r w:rsidRPr="001F38CE">
        <w:rPr>
          <w:i/>
          <w:lang w:val="en-IE"/>
        </w:rPr>
        <w:t>Gibbons v. Ogden</w:t>
      </w:r>
      <w:r w:rsidRPr="00B45592">
        <w:rPr>
          <w:lang w:val="en-IE"/>
        </w:rPr>
        <w:t>, 22 U.S. 1, 186</w:t>
      </w:r>
      <w:r>
        <w:rPr>
          <w:lang w:val="en-IE"/>
        </w:rPr>
        <w:t xml:space="preserve"> = 6 L. Ed. </w:t>
      </w:r>
      <w:r w:rsidRPr="00B45592">
        <w:rPr>
          <w:lang w:val="en-IE"/>
        </w:rPr>
        <w:t>23, 67</w:t>
      </w:r>
      <w:r>
        <w:rPr>
          <w:lang w:val="en-IE"/>
        </w:rPr>
        <w:t xml:space="preserve"> = 1824 U.S. LEXIS </w:t>
      </w:r>
      <w:r w:rsidRPr="00B45592">
        <w:rPr>
          <w:lang w:val="en-IE"/>
        </w:rPr>
        <w:t>370, 40</w:t>
      </w:r>
      <w:r>
        <w:rPr>
          <w:lang w:val="en-IE"/>
        </w:rPr>
        <w:t xml:space="preserve"> = 9 Wheat. </w:t>
      </w:r>
      <w:r w:rsidRPr="00B45592">
        <w:rPr>
          <w:lang w:val="en-IE"/>
        </w:rPr>
        <w:t>1 (1824)</w:t>
      </w:r>
      <w:r>
        <w:rPr>
          <w:lang w:val="en-US"/>
        </w:rPr>
        <w:t>.</w:t>
      </w:r>
    </w:p>
  </w:footnote>
  <w:footnote w:id="171">
    <w:p w14:paraId="7EBBE51C" w14:textId="77777777" w:rsidR="00074551" w:rsidRPr="00224049" w:rsidRDefault="00074551" w:rsidP="00074551">
      <w:pPr>
        <w:pStyle w:val="Funotentext"/>
        <w:rPr>
          <w:lang w:val="en-US"/>
        </w:rPr>
      </w:pPr>
      <w:r>
        <w:rPr>
          <w:rStyle w:val="Funotenzeichen"/>
        </w:rPr>
        <w:footnoteRef/>
      </w:r>
      <w:r w:rsidRPr="00224049">
        <w:rPr>
          <w:lang w:val="en-US"/>
        </w:rPr>
        <w:t xml:space="preserve"> </w:t>
      </w:r>
      <w:r>
        <w:rPr>
          <w:lang w:val="en-US"/>
        </w:rPr>
        <w:t>„</w:t>
      </w:r>
      <w:r w:rsidRPr="00224049">
        <w:rPr>
          <w:lang w:val="en-US"/>
        </w:rPr>
        <w:t xml:space="preserve">Congress shall have power to regulate commerce with foreign nations, and among the several States, and with the Indian </w:t>
      </w:r>
      <w:proofErr w:type="gramStart"/>
      <w:r w:rsidRPr="00224049">
        <w:rPr>
          <w:lang w:val="en-US"/>
        </w:rPr>
        <w:t>tribes.</w:t>
      </w:r>
      <w:r>
        <w:rPr>
          <w:lang w:val="en-US"/>
        </w:rPr>
        <w:t>“</w:t>
      </w:r>
      <w:proofErr w:type="gramEnd"/>
      <w:r>
        <w:rPr>
          <w:lang w:val="en-US"/>
        </w:rPr>
        <w:t xml:space="preserve">, </w:t>
      </w:r>
      <w:r w:rsidRPr="001F38CE">
        <w:rPr>
          <w:i/>
          <w:lang w:val="en-US"/>
        </w:rPr>
        <w:t>Gibbons v. Ogden</w:t>
      </w:r>
      <w:r w:rsidRPr="00224049">
        <w:rPr>
          <w:lang w:val="en-US"/>
        </w:rPr>
        <w:t>, 22 U.S. 1, 189</w:t>
      </w:r>
      <w:r>
        <w:rPr>
          <w:lang w:val="en-US"/>
        </w:rPr>
        <w:t xml:space="preserve"> = 6 L. Ed. </w:t>
      </w:r>
      <w:r w:rsidRPr="00224049">
        <w:rPr>
          <w:lang w:val="en-US"/>
        </w:rPr>
        <w:t>23, 68</w:t>
      </w:r>
      <w:r>
        <w:rPr>
          <w:lang w:val="en-US"/>
        </w:rPr>
        <w:t xml:space="preserve"> = 1824 U.S. LEXIS </w:t>
      </w:r>
      <w:r w:rsidRPr="00224049">
        <w:rPr>
          <w:lang w:val="en-US"/>
        </w:rPr>
        <w:t>370, 235</w:t>
      </w:r>
      <w:r>
        <w:rPr>
          <w:lang w:val="en-US"/>
        </w:rPr>
        <w:t xml:space="preserve"> = 9 Wheat. </w:t>
      </w:r>
      <w:r w:rsidRPr="00224049">
        <w:rPr>
          <w:lang w:val="en-US"/>
        </w:rPr>
        <w:t>1 (1824)</w:t>
      </w:r>
      <w:r>
        <w:rPr>
          <w:lang w:val="en-US"/>
        </w:rPr>
        <w:t>.</w:t>
      </w:r>
    </w:p>
  </w:footnote>
  <w:footnote w:id="172">
    <w:p w14:paraId="0951500C" w14:textId="77777777" w:rsidR="00074551" w:rsidRPr="00A759FD" w:rsidRDefault="00074551" w:rsidP="00074551">
      <w:pPr>
        <w:pStyle w:val="Funotentext"/>
        <w:rPr>
          <w:lang w:val="en-US"/>
        </w:rPr>
      </w:pPr>
      <w:r>
        <w:rPr>
          <w:rStyle w:val="Funotenzeichen"/>
        </w:rPr>
        <w:footnoteRef/>
      </w:r>
      <w:r w:rsidRPr="00A759FD">
        <w:rPr>
          <w:lang w:val="en-US"/>
        </w:rPr>
        <w:t xml:space="preserve"> </w:t>
      </w:r>
      <w:r w:rsidRPr="001F38CE">
        <w:rPr>
          <w:i/>
          <w:lang w:val="en-US"/>
        </w:rPr>
        <w:t>Gibbons v. Ogden</w:t>
      </w:r>
      <w:r w:rsidRPr="00A759FD">
        <w:rPr>
          <w:lang w:val="en-US"/>
        </w:rPr>
        <w:t>, 22 U.S. 1, 190</w:t>
      </w:r>
      <w:r>
        <w:rPr>
          <w:lang w:val="en-US"/>
        </w:rPr>
        <w:t xml:space="preserve"> = 6 L. Ed. </w:t>
      </w:r>
      <w:r w:rsidRPr="00A759FD">
        <w:rPr>
          <w:lang w:val="en-US"/>
        </w:rPr>
        <w:t>23, 68</w:t>
      </w:r>
      <w:r>
        <w:rPr>
          <w:lang w:val="en-US"/>
        </w:rPr>
        <w:t xml:space="preserve"> = 1824 U.S. LEXIS </w:t>
      </w:r>
      <w:r w:rsidRPr="00A759FD">
        <w:rPr>
          <w:lang w:val="en-US"/>
        </w:rPr>
        <w:t>370, 236</w:t>
      </w:r>
      <w:r>
        <w:rPr>
          <w:lang w:val="en-US"/>
        </w:rPr>
        <w:t xml:space="preserve"> = 9 Wheat. </w:t>
      </w:r>
      <w:r w:rsidRPr="00A759FD">
        <w:rPr>
          <w:lang w:val="en-US"/>
        </w:rPr>
        <w:t>1 (1824)</w:t>
      </w:r>
      <w:r>
        <w:rPr>
          <w:lang w:val="en-US"/>
        </w:rPr>
        <w:t>.</w:t>
      </w:r>
    </w:p>
  </w:footnote>
  <w:footnote w:id="173">
    <w:p w14:paraId="0F788CFE" w14:textId="77777777" w:rsidR="00074551" w:rsidRPr="004C108C" w:rsidRDefault="00074551" w:rsidP="00074551">
      <w:pPr>
        <w:pStyle w:val="Funotentext"/>
        <w:rPr>
          <w:lang w:val="en-US"/>
        </w:rPr>
      </w:pPr>
      <w:r>
        <w:rPr>
          <w:rStyle w:val="Funotenzeichen"/>
        </w:rPr>
        <w:footnoteRef/>
      </w:r>
      <w:r w:rsidRPr="00CA7DF9">
        <w:rPr>
          <w:lang w:val="en-US"/>
        </w:rPr>
        <w:t xml:space="preserve"> </w:t>
      </w:r>
      <w:r w:rsidRPr="001F38CE">
        <w:rPr>
          <w:i/>
          <w:lang w:val="en-US"/>
        </w:rPr>
        <w:t>Gibbons v. Ogden</w:t>
      </w:r>
      <w:r w:rsidRPr="00CA7DF9">
        <w:rPr>
          <w:lang w:val="en-US"/>
        </w:rPr>
        <w:t>, 22 U.S. 1, 186</w:t>
      </w:r>
      <w:r>
        <w:rPr>
          <w:lang w:val="en-US"/>
        </w:rPr>
        <w:t xml:space="preserve"> = 6 L. Ed. </w:t>
      </w:r>
      <w:r w:rsidRPr="00CA7DF9">
        <w:rPr>
          <w:lang w:val="en-US"/>
        </w:rPr>
        <w:t>23, 67</w:t>
      </w:r>
      <w:r>
        <w:rPr>
          <w:lang w:val="en-US"/>
        </w:rPr>
        <w:t xml:space="preserve"> = 1824 U.S. LEXIS </w:t>
      </w:r>
      <w:r w:rsidRPr="00CA7DF9">
        <w:rPr>
          <w:lang w:val="en-US"/>
        </w:rPr>
        <w:t>370, 85</w:t>
      </w:r>
      <w:r>
        <w:rPr>
          <w:lang w:val="en-US"/>
        </w:rPr>
        <w:t xml:space="preserve"> = 9 Wheat. </w:t>
      </w:r>
      <w:r w:rsidRPr="004C108C">
        <w:rPr>
          <w:lang w:val="en-US"/>
        </w:rPr>
        <w:t>1 (1824)</w:t>
      </w:r>
      <w:r>
        <w:rPr>
          <w:lang w:val="en-US"/>
        </w:rPr>
        <w:t>.</w:t>
      </w:r>
    </w:p>
  </w:footnote>
  <w:footnote w:id="174">
    <w:p w14:paraId="1EC59B55" w14:textId="77777777" w:rsidR="00074551" w:rsidRPr="004C108C" w:rsidRDefault="00074551" w:rsidP="00074551">
      <w:pPr>
        <w:pStyle w:val="Funotentext"/>
        <w:rPr>
          <w:lang w:val="en-US"/>
        </w:rPr>
      </w:pPr>
      <w:r>
        <w:rPr>
          <w:rStyle w:val="Funotenzeichen"/>
        </w:rPr>
        <w:footnoteRef/>
      </w:r>
      <w:r w:rsidRPr="00CA7DF9">
        <w:rPr>
          <w:lang w:val="en-US"/>
        </w:rPr>
        <w:t xml:space="preserve"> </w:t>
      </w:r>
      <w:r w:rsidRPr="001F38CE">
        <w:rPr>
          <w:i/>
          <w:lang w:val="en-US"/>
        </w:rPr>
        <w:t>Gibbons v. Ogden</w:t>
      </w:r>
      <w:r w:rsidRPr="00CA7DF9">
        <w:rPr>
          <w:lang w:val="en-US"/>
        </w:rPr>
        <w:t>, 22 U.S. 1, 186</w:t>
      </w:r>
      <w:r>
        <w:rPr>
          <w:lang w:val="en-US"/>
        </w:rPr>
        <w:t xml:space="preserve"> = 6 L. Ed. </w:t>
      </w:r>
      <w:r w:rsidRPr="00CA7DF9">
        <w:rPr>
          <w:lang w:val="en-US"/>
        </w:rPr>
        <w:t>23, 67</w:t>
      </w:r>
      <w:r>
        <w:rPr>
          <w:lang w:val="en-US"/>
        </w:rPr>
        <w:t xml:space="preserve"> = 1824 U.S. LEXIS </w:t>
      </w:r>
      <w:r w:rsidRPr="00CA7DF9">
        <w:rPr>
          <w:lang w:val="en-US"/>
        </w:rPr>
        <w:t>370, 85</w:t>
      </w:r>
      <w:r>
        <w:rPr>
          <w:lang w:val="en-US"/>
        </w:rPr>
        <w:t xml:space="preserve"> = 9 Wheat. </w:t>
      </w:r>
      <w:r w:rsidRPr="004C108C">
        <w:rPr>
          <w:lang w:val="en-US"/>
        </w:rPr>
        <w:t>1 (1824)</w:t>
      </w:r>
      <w:r>
        <w:rPr>
          <w:lang w:val="en-US"/>
        </w:rPr>
        <w:t>.</w:t>
      </w:r>
    </w:p>
  </w:footnote>
  <w:footnote w:id="175">
    <w:p w14:paraId="1DE4C20E" w14:textId="77777777" w:rsidR="00074551" w:rsidRPr="00A35CDA" w:rsidRDefault="00074551" w:rsidP="00074551">
      <w:pPr>
        <w:pStyle w:val="Funotentext"/>
        <w:rPr>
          <w:lang w:val="en-US"/>
        </w:rPr>
      </w:pPr>
      <w:r>
        <w:rPr>
          <w:rStyle w:val="Funotenzeichen"/>
          <w:rFonts w:eastAsiaTheme="majorEastAsia"/>
        </w:rPr>
        <w:footnoteRef/>
      </w:r>
      <w:r w:rsidRPr="00C3465D">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C3465D">
        <w:rPr>
          <w:lang w:val="en-US"/>
        </w:rPr>
        <w:t>, 339 U.S. 382, 390</w:t>
      </w:r>
      <w:r>
        <w:rPr>
          <w:lang w:val="en-US"/>
        </w:rPr>
        <w:t xml:space="preserve"> = 70 S. Ct. </w:t>
      </w:r>
      <w:r w:rsidRPr="00C3465D">
        <w:rPr>
          <w:lang w:val="en-US"/>
        </w:rPr>
        <w:t>674, 680</w:t>
      </w:r>
      <w:r>
        <w:rPr>
          <w:lang w:val="en-US"/>
        </w:rPr>
        <w:t xml:space="preserve"> = 94 L. Ed. </w:t>
      </w:r>
      <w:r w:rsidRPr="00C3465D">
        <w:rPr>
          <w:lang w:val="en-US"/>
        </w:rPr>
        <w:t>925, 939</w:t>
      </w:r>
      <w:r>
        <w:rPr>
          <w:lang w:val="en-US"/>
        </w:rPr>
        <w:t xml:space="preserve"> = 1950 U.S. LEXIS </w:t>
      </w:r>
      <w:r w:rsidRPr="00C3465D">
        <w:rPr>
          <w:lang w:val="en-US"/>
        </w:rPr>
        <w:t>2530, 16</w:t>
      </w:r>
      <w:r>
        <w:rPr>
          <w:lang w:val="en-US"/>
        </w:rPr>
        <w:t xml:space="preserve"> = 18 Lab. Cas.</w:t>
      </w:r>
      <w:r w:rsidRPr="00C3465D">
        <w:rPr>
          <w:lang w:val="en-US"/>
        </w:rPr>
        <w:t xml:space="preserve"> </w:t>
      </w:r>
      <w:r w:rsidRPr="00A35CDA">
        <w:rPr>
          <w:lang w:val="en-US"/>
        </w:rPr>
        <w:t>(CCH) P65,760</w:t>
      </w:r>
      <w:r>
        <w:rPr>
          <w:lang w:val="en-US"/>
        </w:rPr>
        <w:t xml:space="preserve"> = 26 L.R.R.M. 2084 </w:t>
      </w:r>
      <w:r w:rsidRPr="00A35CDA">
        <w:rPr>
          <w:lang w:val="en-US"/>
        </w:rPr>
        <w:t>(1950)</w:t>
      </w:r>
      <w:r>
        <w:rPr>
          <w:lang w:val="en-US"/>
        </w:rPr>
        <w:t>.</w:t>
      </w:r>
    </w:p>
  </w:footnote>
  <w:footnote w:id="176">
    <w:p w14:paraId="6BF55313" w14:textId="77777777" w:rsidR="00074551" w:rsidRPr="00A35CDA" w:rsidRDefault="00074551" w:rsidP="00074551">
      <w:pPr>
        <w:pStyle w:val="Funotentext"/>
        <w:rPr>
          <w:lang w:val="en-US"/>
        </w:rPr>
      </w:pPr>
      <w:r>
        <w:rPr>
          <w:rStyle w:val="Funotenzeichen"/>
          <w:rFonts w:eastAsiaTheme="majorEastAsia"/>
        </w:rPr>
        <w:footnoteRef/>
      </w:r>
      <w:r w:rsidRPr="00A35CDA">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A35CDA">
        <w:rPr>
          <w:lang w:val="en-US"/>
        </w:rPr>
        <w:t>, 339 U.S. 382, 391</w:t>
      </w:r>
      <w:r>
        <w:rPr>
          <w:lang w:val="en-US"/>
        </w:rPr>
        <w:t xml:space="preserve"> = 70 S. Ct. </w:t>
      </w:r>
      <w:r w:rsidRPr="00A35CDA">
        <w:rPr>
          <w:lang w:val="en-US"/>
        </w:rPr>
        <w:t>674, 680</w:t>
      </w:r>
      <w:r>
        <w:rPr>
          <w:lang w:val="en-US"/>
        </w:rPr>
        <w:t xml:space="preserve"> = 94 L. Ed. </w:t>
      </w:r>
      <w:r w:rsidRPr="00A35CDA">
        <w:rPr>
          <w:lang w:val="en-US"/>
        </w:rPr>
        <w:t>925, 939</w:t>
      </w:r>
      <w:r>
        <w:rPr>
          <w:lang w:val="en-US"/>
        </w:rPr>
        <w:t xml:space="preserve"> = 1950 U.S. LEXIS </w:t>
      </w:r>
      <w:r w:rsidRPr="00A35CDA">
        <w:rPr>
          <w:lang w:val="en-US"/>
        </w:rPr>
        <w:t>2530, 16</w:t>
      </w:r>
      <w:r>
        <w:rPr>
          <w:lang w:val="en-US"/>
        </w:rPr>
        <w:t xml:space="preserve"> = 18 Lab. Cas.</w:t>
      </w:r>
      <w:r w:rsidRPr="00A35CDA">
        <w:rPr>
          <w:lang w:val="en-US"/>
        </w:rPr>
        <w:t xml:space="preserve"> (CCH) P65,760</w:t>
      </w:r>
      <w:r>
        <w:rPr>
          <w:lang w:val="en-US"/>
        </w:rPr>
        <w:t xml:space="preserve"> = 26 L.R.R.M. 2084 </w:t>
      </w:r>
      <w:r w:rsidRPr="00A35CDA">
        <w:rPr>
          <w:lang w:val="en-US"/>
        </w:rPr>
        <w:t>(1950)</w:t>
      </w:r>
      <w:r>
        <w:rPr>
          <w:lang w:val="en-US"/>
        </w:rPr>
        <w:t>.</w:t>
      </w:r>
    </w:p>
  </w:footnote>
  <w:footnote w:id="177">
    <w:p w14:paraId="3D80DE63" w14:textId="77777777" w:rsidR="00074551" w:rsidRPr="00E91D5D" w:rsidRDefault="00074551" w:rsidP="00074551">
      <w:pPr>
        <w:pStyle w:val="Funotentext"/>
        <w:rPr>
          <w:lang w:val="en-US"/>
        </w:rPr>
      </w:pPr>
      <w:r>
        <w:rPr>
          <w:rStyle w:val="Funotenzeichen"/>
          <w:rFonts w:eastAsiaTheme="majorEastAsia"/>
        </w:rPr>
        <w:footnoteRef/>
      </w:r>
      <w:r w:rsidRPr="00E91D5D">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E91D5D">
        <w:rPr>
          <w:lang w:val="en-US"/>
        </w:rPr>
        <w:t>, 339 U.S. 382, 425</w:t>
      </w:r>
      <w:r>
        <w:rPr>
          <w:lang w:val="en-US"/>
        </w:rPr>
        <w:t xml:space="preserve"> = 70 S. Ct. </w:t>
      </w:r>
      <w:r w:rsidRPr="00E91D5D">
        <w:rPr>
          <w:lang w:val="en-US"/>
        </w:rPr>
        <w:t>674, 697</w:t>
      </w:r>
      <w:r>
        <w:rPr>
          <w:lang w:val="en-US"/>
        </w:rPr>
        <w:t xml:space="preserve"> = 94 L. Ed. </w:t>
      </w:r>
      <w:r w:rsidRPr="00E91D5D">
        <w:rPr>
          <w:lang w:val="en-US"/>
        </w:rPr>
        <w:t>925, 958</w:t>
      </w:r>
      <w:r>
        <w:rPr>
          <w:lang w:val="en-US"/>
        </w:rPr>
        <w:t xml:space="preserve"> = 1950 U.S. LEXIS </w:t>
      </w:r>
      <w:r w:rsidRPr="00E91D5D">
        <w:rPr>
          <w:lang w:val="en-US"/>
        </w:rPr>
        <w:t>2530, 76</w:t>
      </w:r>
      <w:r>
        <w:rPr>
          <w:lang w:val="en-US"/>
        </w:rPr>
        <w:t xml:space="preserve"> = 18 Lab. Cas.</w:t>
      </w:r>
      <w:r w:rsidRPr="00E91D5D">
        <w:rPr>
          <w:lang w:val="en-US"/>
        </w:rPr>
        <w:t xml:space="preserve"> (CCH) P65,760</w:t>
      </w:r>
      <w:r>
        <w:rPr>
          <w:lang w:val="en-US"/>
        </w:rPr>
        <w:t xml:space="preserve"> = 26 L.R.R.M. 2084 </w:t>
      </w:r>
      <w:r w:rsidRPr="00E91D5D">
        <w:rPr>
          <w:lang w:val="en-US"/>
        </w:rPr>
        <w:t>(1950)</w:t>
      </w:r>
      <w:r>
        <w:rPr>
          <w:lang w:val="en-US"/>
        </w:rPr>
        <w:t>.</w:t>
      </w:r>
    </w:p>
  </w:footnote>
  <w:footnote w:id="178">
    <w:p w14:paraId="13E057C1" w14:textId="77777777" w:rsidR="00074551" w:rsidRPr="00E91D5D" w:rsidRDefault="00074551" w:rsidP="00074551">
      <w:pPr>
        <w:pStyle w:val="Funotentext"/>
        <w:rPr>
          <w:lang w:val="en-US"/>
        </w:rPr>
      </w:pPr>
      <w:r>
        <w:rPr>
          <w:rStyle w:val="Funotenzeichen"/>
          <w:rFonts w:eastAsiaTheme="majorEastAsia"/>
        </w:rPr>
        <w:footnoteRef/>
      </w:r>
      <w:r w:rsidRPr="00E91D5D">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E91D5D">
        <w:rPr>
          <w:lang w:val="en-US"/>
        </w:rPr>
        <w:t>, 339 U.S. 382, 427</w:t>
      </w:r>
      <w:r>
        <w:rPr>
          <w:lang w:val="en-US"/>
        </w:rPr>
        <w:t xml:space="preserve"> = 70 S. Ct. </w:t>
      </w:r>
      <w:r w:rsidRPr="00E91D5D">
        <w:rPr>
          <w:lang w:val="en-US"/>
        </w:rPr>
        <w:t>674, 698</w:t>
      </w:r>
      <w:r>
        <w:rPr>
          <w:lang w:val="en-US"/>
        </w:rPr>
        <w:t xml:space="preserve"> = 94 L. Ed. </w:t>
      </w:r>
      <w:r w:rsidRPr="00E91D5D">
        <w:rPr>
          <w:lang w:val="en-US"/>
        </w:rPr>
        <w:t>925, 959</w:t>
      </w:r>
      <w:r>
        <w:rPr>
          <w:lang w:val="en-US"/>
        </w:rPr>
        <w:t xml:space="preserve"> = 1950 U.S. LEXIS </w:t>
      </w:r>
      <w:r w:rsidRPr="00E91D5D">
        <w:rPr>
          <w:lang w:val="en-US"/>
        </w:rPr>
        <w:t>2530, 78</w:t>
      </w:r>
      <w:r>
        <w:rPr>
          <w:lang w:val="en-US"/>
        </w:rPr>
        <w:t xml:space="preserve"> = 18 Lab. Cas.</w:t>
      </w:r>
      <w:r w:rsidRPr="00E91D5D">
        <w:rPr>
          <w:lang w:val="en-US"/>
        </w:rPr>
        <w:t xml:space="preserve"> (CCH) P65,760</w:t>
      </w:r>
      <w:r>
        <w:rPr>
          <w:lang w:val="en-US"/>
        </w:rPr>
        <w:t xml:space="preserve"> = 26 L.R.R.M. 2084 </w:t>
      </w:r>
      <w:r w:rsidRPr="00E91D5D">
        <w:rPr>
          <w:lang w:val="en-US"/>
        </w:rPr>
        <w:t>(1950)</w:t>
      </w:r>
      <w:r>
        <w:rPr>
          <w:lang w:val="en-US"/>
        </w:rPr>
        <w:t>.</w:t>
      </w:r>
    </w:p>
  </w:footnote>
  <w:footnote w:id="179">
    <w:p w14:paraId="20934E26" w14:textId="77777777" w:rsidR="00074551" w:rsidRPr="00E22670" w:rsidRDefault="00074551" w:rsidP="00074551">
      <w:pPr>
        <w:pStyle w:val="Funotentext"/>
        <w:rPr>
          <w:lang w:val="en-US"/>
        </w:rPr>
      </w:pPr>
      <w:r>
        <w:rPr>
          <w:rStyle w:val="Funotenzeichen"/>
          <w:rFonts w:eastAsiaTheme="majorEastAsia"/>
        </w:rPr>
        <w:footnoteRef/>
      </w:r>
      <w:r w:rsidRPr="00E91D5D">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E91D5D">
        <w:rPr>
          <w:lang w:val="en-US"/>
        </w:rPr>
        <w:t>, 339 U.S. 382, 429</w:t>
      </w:r>
      <w:r>
        <w:rPr>
          <w:lang w:val="en-US"/>
        </w:rPr>
        <w:t xml:space="preserve"> = 70 S. Ct. </w:t>
      </w:r>
      <w:r w:rsidRPr="00E91D5D">
        <w:rPr>
          <w:lang w:val="en-US"/>
        </w:rPr>
        <w:t>674, 699</w:t>
      </w:r>
      <w:r>
        <w:rPr>
          <w:lang w:val="en-US"/>
        </w:rPr>
        <w:t xml:space="preserve"> = 94 L. Ed. </w:t>
      </w:r>
      <w:r w:rsidRPr="00E91D5D">
        <w:rPr>
          <w:lang w:val="en-US"/>
        </w:rPr>
        <w:t>925, 960</w:t>
      </w:r>
      <w:r>
        <w:rPr>
          <w:lang w:val="en-US"/>
        </w:rPr>
        <w:t xml:space="preserve"> = 1950 U.S. LEXIS </w:t>
      </w:r>
      <w:r w:rsidRPr="00E91D5D">
        <w:rPr>
          <w:lang w:val="en-US"/>
        </w:rPr>
        <w:t>2530, 81</w:t>
      </w:r>
      <w:r>
        <w:rPr>
          <w:lang w:val="en-US"/>
        </w:rPr>
        <w:t xml:space="preserve"> = 18 Lab. Cas.</w:t>
      </w:r>
      <w:r w:rsidRPr="00E91D5D">
        <w:rPr>
          <w:lang w:val="en-US"/>
        </w:rPr>
        <w:t xml:space="preserve"> (CCH) P65,760</w:t>
      </w:r>
      <w:r>
        <w:rPr>
          <w:lang w:val="en-US"/>
        </w:rPr>
        <w:t xml:space="preserve"> = 26 L.R.R.M. 2084 </w:t>
      </w:r>
      <w:r w:rsidRPr="00E91D5D">
        <w:rPr>
          <w:lang w:val="en-US"/>
        </w:rPr>
        <w:t>(1950)</w:t>
      </w:r>
      <w:r>
        <w:rPr>
          <w:lang w:val="en-US"/>
        </w:rPr>
        <w:t>.</w:t>
      </w:r>
    </w:p>
  </w:footnote>
  <w:footnote w:id="180">
    <w:p w14:paraId="4E29C2C6" w14:textId="77777777" w:rsidR="00074551" w:rsidRPr="00E22670" w:rsidRDefault="00074551" w:rsidP="00074551">
      <w:pPr>
        <w:pStyle w:val="Funotentext"/>
        <w:rPr>
          <w:lang w:val="en-US"/>
        </w:rPr>
      </w:pPr>
      <w:r>
        <w:rPr>
          <w:rStyle w:val="Funotenzeichen"/>
          <w:rFonts w:eastAsiaTheme="majorEastAsia"/>
        </w:rPr>
        <w:footnoteRef/>
      </w:r>
      <w:r w:rsidRPr="00E22670">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E22670">
        <w:rPr>
          <w:lang w:val="en-US"/>
        </w:rPr>
        <w:t>, 339 U.S. 382, 435</w:t>
      </w:r>
      <w:r>
        <w:rPr>
          <w:lang w:val="en-US"/>
        </w:rPr>
        <w:t xml:space="preserve"> = 70 S. Ct. </w:t>
      </w:r>
      <w:r w:rsidRPr="00E22670">
        <w:rPr>
          <w:lang w:val="en-US"/>
        </w:rPr>
        <w:t>674, 702</w:t>
      </w:r>
      <w:r>
        <w:rPr>
          <w:lang w:val="en-US"/>
        </w:rPr>
        <w:t xml:space="preserve"> = 94 L. Ed. </w:t>
      </w:r>
      <w:r w:rsidRPr="00E22670">
        <w:rPr>
          <w:lang w:val="en-US"/>
        </w:rPr>
        <w:t>925, 963</w:t>
      </w:r>
      <w:r>
        <w:rPr>
          <w:lang w:val="en-US"/>
        </w:rPr>
        <w:t xml:space="preserve"> = 1950 U.S. LEXIS </w:t>
      </w:r>
      <w:r w:rsidRPr="00E22670">
        <w:rPr>
          <w:lang w:val="en-US"/>
        </w:rPr>
        <w:t>2530, 92</w:t>
      </w:r>
      <w:r>
        <w:rPr>
          <w:lang w:val="en-US"/>
        </w:rPr>
        <w:t xml:space="preserve"> = 18 Lab. Cas.</w:t>
      </w:r>
      <w:r w:rsidRPr="00E22670">
        <w:rPr>
          <w:lang w:val="en-US"/>
        </w:rPr>
        <w:t xml:space="preserve"> (CCH) P65,760</w:t>
      </w:r>
      <w:r>
        <w:rPr>
          <w:lang w:val="en-US"/>
        </w:rPr>
        <w:t xml:space="preserve"> = 26 L.R.R.M. 2084 </w:t>
      </w:r>
      <w:r w:rsidRPr="00E22670">
        <w:rPr>
          <w:lang w:val="en-US"/>
        </w:rPr>
        <w:t>(1950)</w:t>
      </w:r>
      <w:r>
        <w:rPr>
          <w:lang w:val="en-US"/>
        </w:rPr>
        <w:t>.</w:t>
      </w:r>
    </w:p>
  </w:footnote>
  <w:footnote w:id="181">
    <w:p w14:paraId="3321FDE6" w14:textId="77777777" w:rsidR="00074551" w:rsidRPr="004A2F54" w:rsidRDefault="00074551" w:rsidP="00074551">
      <w:pPr>
        <w:pStyle w:val="Funotentext"/>
        <w:rPr>
          <w:lang w:val="en-US"/>
        </w:rPr>
      </w:pPr>
      <w:r>
        <w:rPr>
          <w:rStyle w:val="Funotenzeichen"/>
          <w:rFonts w:eastAsiaTheme="majorEastAsia"/>
        </w:rPr>
        <w:footnoteRef/>
      </w:r>
      <w:r w:rsidRPr="004A2F54">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4A2F54">
        <w:rPr>
          <w:lang w:val="en-US"/>
        </w:rPr>
        <w:t>, 339 U.S. 382, 439</w:t>
      </w:r>
      <w:r>
        <w:rPr>
          <w:lang w:val="en-US"/>
        </w:rPr>
        <w:t xml:space="preserve"> = 70 S. Ct. </w:t>
      </w:r>
      <w:r w:rsidRPr="004A2F54">
        <w:rPr>
          <w:lang w:val="en-US"/>
        </w:rPr>
        <w:t>674, 704</w:t>
      </w:r>
      <w:r>
        <w:rPr>
          <w:lang w:val="en-US"/>
        </w:rPr>
        <w:t xml:space="preserve"> = 94 L. Ed. </w:t>
      </w:r>
      <w:r w:rsidRPr="004A2F54">
        <w:rPr>
          <w:lang w:val="en-US"/>
        </w:rPr>
        <w:t>925, 965</w:t>
      </w:r>
      <w:r>
        <w:rPr>
          <w:lang w:val="en-US"/>
        </w:rPr>
        <w:t xml:space="preserve"> = 1950 U.S. LEXIS </w:t>
      </w:r>
      <w:r w:rsidRPr="004A2F54">
        <w:rPr>
          <w:lang w:val="en-US"/>
        </w:rPr>
        <w:t>2530, 99</w:t>
      </w:r>
      <w:r>
        <w:rPr>
          <w:lang w:val="en-US"/>
        </w:rPr>
        <w:t xml:space="preserve"> = 18 Lab. Cas.</w:t>
      </w:r>
      <w:r w:rsidRPr="004A2F54">
        <w:rPr>
          <w:lang w:val="en-US"/>
        </w:rPr>
        <w:t xml:space="preserve"> (CCH) P65,760</w:t>
      </w:r>
      <w:r>
        <w:rPr>
          <w:lang w:val="en-US"/>
        </w:rPr>
        <w:t xml:space="preserve"> = 26 L.R.R.M. 2084 </w:t>
      </w:r>
      <w:r w:rsidRPr="004A2F54">
        <w:rPr>
          <w:lang w:val="en-US"/>
        </w:rPr>
        <w:t>(1950)</w:t>
      </w:r>
      <w:r>
        <w:rPr>
          <w:lang w:val="en-US"/>
        </w:rPr>
        <w:t>.</w:t>
      </w:r>
    </w:p>
  </w:footnote>
  <w:footnote w:id="182">
    <w:p w14:paraId="3A161D79" w14:textId="77777777" w:rsidR="00074551" w:rsidRPr="004A2F54" w:rsidRDefault="00074551" w:rsidP="00074551">
      <w:pPr>
        <w:pStyle w:val="Funotentext"/>
        <w:rPr>
          <w:lang w:val="en-US"/>
        </w:rPr>
      </w:pPr>
      <w:r>
        <w:rPr>
          <w:rStyle w:val="Funotenzeichen"/>
          <w:rFonts w:eastAsiaTheme="majorEastAsia"/>
        </w:rPr>
        <w:footnoteRef/>
      </w:r>
      <w:r w:rsidRPr="004A2F54">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4A2F54">
        <w:rPr>
          <w:lang w:val="en-US"/>
        </w:rPr>
        <w:t>, 339 U.S. 382, 439</w:t>
      </w:r>
      <w:r>
        <w:rPr>
          <w:lang w:val="en-US"/>
        </w:rPr>
        <w:t xml:space="preserve"> = 70 S. Ct. </w:t>
      </w:r>
      <w:r w:rsidRPr="004A2F54">
        <w:rPr>
          <w:lang w:val="en-US"/>
        </w:rPr>
        <w:t>674, 704</w:t>
      </w:r>
      <w:r>
        <w:rPr>
          <w:lang w:val="en-US"/>
        </w:rPr>
        <w:t xml:space="preserve"> = 94 L. Ed. </w:t>
      </w:r>
      <w:r w:rsidRPr="004A2F54">
        <w:rPr>
          <w:lang w:val="en-US"/>
        </w:rPr>
        <w:t>925, 965</w:t>
      </w:r>
      <w:r>
        <w:rPr>
          <w:lang w:val="en-US"/>
        </w:rPr>
        <w:t xml:space="preserve"> = 1950 U.S. LEXIS </w:t>
      </w:r>
      <w:r w:rsidRPr="004A2F54">
        <w:rPr>
          <w:lang w:val="en-US"/>
        </w:rPr>
        <w:t>2530, 99</w:t>
      </w:r>
      <w:r>
        <w:rPr>
          <w:lang w:val="en-US"/>
        </w:rPr>
        <w:t xml:space="preserve"> = 18 Lab. Cas.</w:t>
      </w:r>
      <w:r w:rsidRPr="004A2F54">
        <w:rPr>
          <w:lang w:val="en-US"/>
        </w:rPr>
        <w:t xml:space="preserve"> (CCH) P65,760</w:t>
      </w:r>
      <w:r>
        <w:rPr>
          <w:lang w:val="en-US"/>
        </w:rPr>
        <w:t xml:space="preserve"> = 26 L.R.R.M. 2084 </w:t>
      </w:r>
      <w:r w:rsidRPr="004A2F54">
        <w:rPr>
          <w:lang w:val="en-US"/>
        </w:rPr>
        <w:t>(1950)</w:t>
      </w:r>
      <w:r>
        <w:rPr>
          <w:lang w:val="en-US"/>
        </w:rPr>
        <w:t>.</w:t>
      </w:r>
    </w:p>
  </w:footnote>
  <w:footnote w:id="183">
    <w:p w14:paraId="7D757848" w14:textId="77777777" w:rsidR="00074551" w:rsidRPr="004A2F54" w:rsidRDefault="00074551" w:rsidP="00074551">
      <w:pPr>
        <w:pStyle w:val="Funotentext"/>
        <w:rPr>
          <w:lang w:val="en-US"/>
        </w:rPr>
      </w:pPr>
      <w:r>
        <w:rPr>
          <w:rStyle w:val="Funotenzeichen"/>
          <w:rFonts w:eastAsiaTheme="majorEastAsia"/>
        </w:rPr>
        <w:footnoteRef/>
      </w:r>
      <w:r w:rsidRPr="004A2F54">
        <w:rPr>
          <w:lang w:val="en-US"/>
        </w:rPr>
        <w:t xml:space="preserve"> </w:t>
      </w:r>
      <w:r w:rsidRPr="00B45592">
        <w:rPr>
          <w:i/>
          <w:lang w:val="en-US"/>
        </w:rPr>
        <w:t>Mencken</w:t>
      </w:r>
      <w:r w:rsidRPr="004A2F54">
        <w:rPr>
          <w:lang w:val="en-US"/>
        </w:rPr>
        <w:t xml:space="preserve">, </w:t>
      </w:r>
      <w:r w:rsidRPr="00DA59F0">
        <w:rPr>
          <w:iCs/>
          <w:lang w:val="en-US"/>
        </w:rPr>
        <w:t>A New Dictionary of Quotations</w:t>
      </w:r>
      <w:r w:rsidRPr="004A2F54">
        <w:rPr>
          <w:lang w:val="en-US"/>
        </w:rPr>
        <w:t>,</w:t>
      </w:r>
      <w:r>
        <w:rPr>
          <w:lang w:val="en-US"/>
        </w:rPr>
        <w:t xml:space="preserve"> 1942,</w:t>
      </w:r>
      <w:r w:rsidRPr="004A2F54">
        <w:rPr>
          <w:lang w:val="en-US"/>
        </w:rPr>
        <w:t xml:space="preserve"> </w:t>
      </w:r>
      <w:proofErr w:type="spellStart"/>
      <w:r>
        <w:rPr>
          <w:lang w:val="en-US"/>
        </w:rPr>
        <w:t>unter</w:t>
      </w:r>
      <w:proofErr w:type="spellEnd"/>
      <w:r>
        <w:rPr>
          <w:lang w:val="en-US"/>
        </w:rPr>
        <w:t xml:space="preserve"> dem </w:t>
      </w:r>
      <w:proofErr w:type="spellStart"/>
      <w:r>
        <w:rPr>
          <w:lang w:val="en-US"/>
        </w:rPr>
        <w:t>Stichpunkt</w:t>
      </w:r>
      <w:proofErr w:type="spellEnd"/>
      <w:r w:rsidRPr="004A2F54">
        <w:rPr>
          <w:lang w:val="en-US"/>
        </w:rPr>
        <w:t xml:space="preserve"> </w:t>
      </w:r>
      <w:r>
        <w:rPr>
          <w:lang w:val="en-US"/>
        </w:rPr>
        <w:t>„</w:t>
      </w:r>
      <w:proofErr w:type="gramStart"/>
      <w:r w:rsidRPr="004A2F54">
        <w:rPr>
          <w:lang w:val="en-US"/>
        </w:rPr>
        <w:t>Revolution</w:t>
      </w:r>
      <w:r>
        <w:rPr>
          <w:lang w:val="en-US"/>
        </w:rPr>
        <w:t>“</w:t>
      </w:r>
      <w:proofErr w:type="gramEnd"/>
      <w:r>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4A2F54">
        <w:rPr>
          <w:lang w:val="en-US"/>
        </w:rPr>
        <w:t>, 339 U.S. 382, 440</w:t>
      </w:r>
      <w:r>
        <w:rPr>
          <w:lang w:val="en-US"/>
        </w:rPr>
        <w:t xml:space="preserve"> = 70 S. Ct. </w:t>
      </w:r>
      <w:r w:rsidRPr="004A2F54">
        <w:rPr>
          <w:lang w:val="en-US"/>
        </w:rPr>
        <w:t>674, 704</w:t>
      </w:r>
      <w:r>
        <w:rPr>
          <w:lang w:val="en-US"/>
        </w:rPr>
        <w:t xml:space="preserve"> = 94 L. Ed. </w:t>
      </w:r>
      <w:r w:rsidRPr="004A2F54">
        <w:rPr>
          <w:lang w:val="en-US"/>
        </w:rPr>
        <w:t>925, 965</w:t>
      </w:r>
      <w:r>
        <w:rPr>
          <w:lang w:val="en-US"/>
        </w:rPr>
        <w:t xml:space="preserve"> = 1950 U.S. LEXIS </w:t>
      </w:r>
      <w:r w:rsidRPr="004A2F54">
        <w:rPr>
          <w:lang w:val="en-US"/>
        </w:rPr>
        <w:t>2530, 99</w:t>
      </w:r>
      <w:r>
        <w:rPr>
          <w:lang w:val="en-US"/>
        </w:rPr>
        <w:t xml:space="preserve"> = 18 Lab. Cas.</w:t>
      </w:r>
      <w:r w:rsidRPr="004A2F54">
        <w:rPr>
          <w:lang w:val="en-US"/>
        </w:rPr>
        <w:t xml:space="preserve"> (CCH) P65,760</w:t>
      </w:r>
      <w:r>
        <w:rPr>
          <w:lang w:val="en-US"/>
        </w:rPr>
        <w:t xml:space="preserve"> = 26 L.R.R.M. 2084 </w:t>
      </w:r>
      <w:r w:rsidRPr="004A2F54">
        <w:rPr>
          <w:lang w:val="en-US"/>
        </w:rPr>
        <w:t>(1950)</w:t>
      </w:r>
      <w:r>
        <w:rPr>
          <w:lang w:val="en-US"/>
        </w:rPr>
        <w:t>.</w:t>
      </w:r>
    </w:p>
  </w:footnote>
  <w:footnote w:id="184">
    <w:p w14:paraId="1E944D62" w14:textId="77777777" w:rsidR="00074551" w:rsidRPr="007F49C5" w:rsidRDefault="00074551" w:rsidP="00074551">
      <w:pPr>
        <w:pStyle w:val="Funotentext"/>
        <w:rPr>
          <w:lang w:val="en-US"/>
        </w:rPr>
      </w:pPr>
      <w:r>
        <w:rPr>
          <w:rStyle w:val="Funotenzeichen"/>
          <w:rFonts w:eastAsiaTheme="majorEastAsia"/>
        </w:rPr>
        <w:footnoteRef/>
      </w:r>
      <w:r w:rsidRPr="004A2F54">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4A2F54">
        <w:rPr>
          <w:lang w:val="en-US"/>
        </w:rPr>
        <w:t>, 339 U.S. 382, 440</w:t>
      </w:r>
      <w:r>
        <w:rPr>
          <w:lang w:val="en-US"/>
        </w:rPr>
        <w:t xml:space="preserve"> = 70 S. Ct. </w:t>
      </w:r>
      <w:r w:rsidRPr="004A2F54">
        <w:rPr>
          <w:lang w:val="en-US"/>
        </w:rPr>
        <w:t>674, 704</w:t>
      </w:r>
      <w:r>
        <w:rPr>
          <w:lang w:val="en-US"/>
        </w:rPr>
        <w:t xml:space="preserve"> = 94 L. Ed. </w:t>
      </w:r>
      <w:r w:rsidRPr="004A2F54">
        <w:rPr>
          <w:lang w:val="en-US"/>
        </w:rPr>
        <w:t>925, 966</w:t>
      </w:r>
      <w:r>
        <w:rPr>
          <w:lang w:val="en-US"/>
        </w:rPr>
        <w:t xml:space="preserve"> = 1950 U.S. LEXIS </w:t>
      </w:r>
      <w:r w:rsidRPr="004A2F54">
        <w:rPr>
          <w:lang w:val="en-US"/>
        </w:rPr>
        <w:t>2530, 99</w:t>
      </w:r>
      <w:r>
        <w:rPr>
          <w:lang w:val="en-US"/>
        </w:rPr>
        <w:t xml:space="preserve"> = 18 Lab. Cas.</w:t>
      </w:r>
      <w:r w:rsidRPr="004A2F54">
        <w:rPr>
          <w:lang w:val="en-US"/>
        </w:rPr>
        <w:t xml:space="preserve"> </w:t>
      </w:r>
      <w:r w:rsidRPr="007F49C5">
        <w:rPr>
          <w:lang w:val="en-US"/>
        </w:rPr>
        <w:t>(CCH) P65,760</w:t>
      </w:r>
      <w:r>
        <w:rPr>
          <w:lang w:val="en-US"/>
        </w:rPr>
        <w:t xml:space="preserve"> = 26 L.R.R.M. 2084 </w:t>
      </w:r>
      <w:r w:rsidRPr="007F49C5">
        <w:rPr>
          <w:lang w:val="en-US"/>
        </w:rPr>
        <w:t>(1950)</w:t>
      </w:r>
      <w:r>
        <w:rPr>
          <w:lang w:val="en-US"/>
        </w:rPr>
        <w:t>.</w:t>
      </w:r>
    </w:p>
  </w:footnote>
  <w:footnote w:id="185">
    <w:p w14:paraId="3A695961" w14:textId="77777777" w:rsidR="00074551" w:rsidRPr="001D2126" w:rsidRDefault="00074551" w:rsidP="00074551">
      <w:pPr>
        <w:pStyle w:val="Funotentext"/>
        <w:rPr>
          <w:lang w:val="en-US"/>
        </w:rPr>
      </w:pPr>
      <w:r>
        <w:rPr>
          <w:rStyle w:val="Funotenzeichen"/>
        </w:rPr>
        <w:footnoteRef/>
      </w:r>
      <w:r w:rsidRPr="001D2126">
        <w:rPr>
          <w:lang w:val="en-US"/>
        </w:rPr>
        <w:t xml:space="preserve"> </w:t>
      </w:r>
      <w:r w:rsidRPr="00B45592">
        <w:rPr>
          <w:i/>
          <w:lang w:val="en-US"/>
        </w:rPr>
        <w:t>Revised Statutes of Massachusetts</w:t>
      </w:r>
      <w:r w:rsidRPr="001D2126">
        <w:rPr>
          <w:lang w:val="en-US"/>
        </w:rPr>
        <w:t xml:space="preserve">, </w:t>
      </w:r>
      <w:r>
        <w:rPr>
          <w:lang w:val="en-US"/>
        </w:rPr>
        <w:t>c</w:t>
      </w:r>
      <w:r w:rsidRPr="001D2126">
        <w:rPr>
          <w:lang w:val="en-US"/>
        </w:rPr>
        <w:t>hap. 47.</w:t>
      </w:r>
      <w:r>
        <w:rPr>
          <w:lang w:val="en-US"/>
        </w:rPr>
        <w:t> –</w:t>
      </w:r>
      <w:r w:rsidRPr="001D2126">
        <w:rPr>
          <w:lang w:val="en-US"/>
        </w:rPr>
        <w:t xml:space="preserve"> </w:t>
      </w:r>
      <w:r w:rsidRPr="00B45592">
        <w:rPr>
          <w:i/>
          <w:lang w:val="en-US"/>
        </w:rPr>
        <w:t>The Regulation of Licensed Houses</w:t>
      </w:r>
      <w:r>
        <w:rPr>
          <w:lang w:val="en-US"/>
        </w:rPr>
        <w:t>: „</w:t>
      </w:r>
      <w:r w:rsidRPr="001D2126">
        <w:rPr>
          <w:lang w:val="en-US"/>
        </w:rPr>
        <w:t xml:space="preserve">Section 1. No person shall presume to be an innholder, common </w:t>
      </w:r>
      <w:proofErr w:type="spellStart"/>
      <w:r w:rsidRPr="001D2126">
        <w:rPr>
          <w:lang w:val="en-US"/>
        </w:rPr>
        <w:t>victualler</w:t>
      </w:r>
      <w:proofErr w:type="spellEnd"/>
      <w:r w:rsidRPr="001D2126">
        <w:rPr>
          <w:lang w:val="en-US"/>
        </w:rPr>
        <w:t xml:space="preserve">, or seller of wine, brandy, rum, or any other spirituous liquor, to be used in or about his house, or other buildings, unless he is first licensed as an innholder or common </w:t>
      </w:r>
      <w:proofErr w:type="spellStart"/>
      <w:r w:rsidRPr="001D2126">
        <w:rPr>
          <w:lang w:val="en-US"/>
        </w:rPr>
        <w:t>victualler</w:t>
      </w:r>
      <w:proofErr w:type="spellEnd"/>
      <w:r w:rsidRPr="001D2126">
        <w:rPr>
          <w:lang w:val="en-US"/>
        </w:rPr>
        <w:t xml:space="preserve">, according to the provisions of this chapter, on pain of forfeiting one hundred </w:t>
      </w:r>
      <w:proofErr w:type="gramStart"/>
      <w:r w:rsidRPr="001D2126">
        <w:rPr>
          <w:lang w:val="en-US"/>
        </w:rPr>
        <w:t>dollars.</w:t>
      </w:r>
      <w:r>
        <w:rPr>
          <w:lang w:val="en-US"/>
        </w:rPr>
        <w:t>“</w:t>
      </w:r>
      <w:proofErr w:type="gramEnd"/>
      <w:r>
        <w:rPr>
          <w:lang w:val="en-US"/>
        </w:rPr>
        <w:t xml:space="preserve">; </w:t>
      </w:r>
      <w:r w:rsidRPr="00E36169">
        <w:rPr>
          <w:lang w:val="en-US"/>
        </w:rPr>
        <w:t>Acts of 1837, Chapter 242</w:t>
      </w:r>
      <w:r>
        <w:rPr>
          <w:lang w:val="en-US"/>
        </w:rPr>
        <w:t>, „</w:t>
      </w:r>
      <w:r w:rsidRPr="00E36169">
        <w:rPr>
          <w:lang w:val="en-US"/>
        </w:rPr>
        <w:t>An Act concerning Licensed Houses, and the Sale of Intoxicating Liquors</w:t>
      </w:r>
      <w:r>
        <w:rPr>
          <w:lang w:val="en-US"/>
        </w:rPr>
        <w:t xml:space="preserve">. </w:t>
      </w:r>
      <w:r w:rsidRPr="00E36169">
        <w:rPr>
          <w:lang w:val="en-US"/>
        </w:rPr>
        <w:t>Be it enacted by the Senate and House of Representatives in General Court assembled, and by the authority of the same, as follows:</w:t>
      </w:r>
      <w:r>
        <w:rPr>
          <w:lang w:val="en-US"/>
        </w:rPr>
        <w:t xml:space="preserve"> – </w:t>
      </w:r>
      <w:r w:rsidRPr="00E36169">
        <w:rPr>
          <w:lang w:val="en-US"/>
        </w:rPr>
        <w:t xml:space="preserve">Sect. 1. No licensed innholder, or other person, shall sell any intoxicating liquor on Sunday, on pain of forfeiting twenty dollars for each offence, to be recovered in the manner and for the use provided in the twenty-sixth section of the forty-seventh chapter of the Revised </w:t>
      </w:r>
      <w:proofErr w:type="gramStart"/>
      <w:r w:rsidRPr="00E36169">
        <w:rPr>
          <w:lang w:val="en-US"/>
        </w:rPr>
        <w:t>Statutes.</w:t>
      </w:r>
      <w:r>
        <w:rPr>
          <w:lang w:val="en-US"/>
        </w:rPr>
        <w:t>“</w:t>
      </w:r>
      <w:proofErr w:type="gramEnd"/>
      <w:r>
        <w:rPr>
          <w:lang w:val="en-US"/>
        </w:rPr>
        <w:t xml:space="preserve">; </w:t>
      </w:r>
      <w:r w:rsidRPr="001F38CE">
        <w:rPr>
          <w:i/>
          <w:lang w:val="en-US"/>
        </w:rPr>
        <w:t>Thurlow v. Massachusetts</w:t>
      </w:r>
      <w:r w:rsidRPr="00E36169">
        <w:rPr>
          <w:lang w:val="en-US"/>
        </w:rPr>
        <w:t>, 46 U.S. 504, 573</w:t>
      </w:r>
      <w:r>
        <w:rPr>
          <w:lang w:val="en-US"/>
        </w:rPr>
        <w:t xml:space="preserve"> = 12 L. Ed. </w:t>
      </w:r>
      <w:r w:rsidRPr="00E36169">
        <w:rPr>
          <w:lang w:val="en-US"/>
        </w:rPr>
        <w:t>256, 287</w:t>
      </w:r>
      <w:r>
        <w:rPr>
          <w:lang w:val="en-US"/>
        </w:rPr>
        <w:t xml:space="preserve"> = 1847 U.S. LEXIS </w:t>
      </w:r>
      <w:r w:rsidRPr="00E36169">
        <w:rPr>
          <w:lang w:val="en-US"/>
        </w:rPr>
        <w:t>322, 16</w:t>
      </w:r>
      <w:r>
        <w:rPr>
          <w:lang w:val="en-US"/>
        </w:rPr>
        <w:t xml:space="preserve"> = 5 HOW </w:t>
      </w:r>
      <w:r w:rsidRPr="00E36169">
        <w:rPr>
          <w:lang w:val="en-US"/>
        </w:rPr>
        <w:t>504 (1847)</w:t>
      </w:r>
      <w:r>
        <w:rPr>
          <w:lang w:val="en-US"/>
        </w:rPr>
        <w:t>.</w:t>
      </w:r>
    </w:p>
  </w:footnote>
  <w:footnote w:id="186">
    <w:p w14:paraId="7696C197" w14:textId="77777777" w:rsidR="00074551" w:rsidRPr="00E36169" w:rsidRDefault="00074551" w:rsidP="00074551">
      <w:pPr>
        <w:pStyle w:val="Funotentext"/>
        <w:rPr>
          <w:lang w:val="en-US"/>
        </w:rPr>
      </w:pPr>
      <w:r>
        <w:rPr>
          <w:rStyle w:val="Funotenzeichen"/>
        </w:rPr>
        <w:footnoteRef/>
      </w:r>
      <w:r w:rsidRPr="00E36169">
        <w:rPr>
          <w:lang w:val="en-US"/>
        </w:rPr>
        <w:t xml:space="preserve"> </w:t>
      </w:r>
      <w:r w:rsidRPr="001F38CE">
        <w:rPr>
          <w:i/>
          <w:lang w:val="en-US"/>
        </w:rPr>
        <w:t>Thurlow v. Massachusetts</w:t>
      </w:r>
      <w:r w:rsidRPr="00E36169">
        <w:rPr>
          <w:lang w:val="en-US"/>
        </w:rPr>
        <w:t>, 46 U.S. 504, 573</w:t>
      </w:r>
      <w:r>
        <w:rPr>
          <w:lang w:val="en-US"/>
        </w:rPr>
        <w:t xml:space="preserve"> = 12 L. Ed. </w:t>
      </w:r>
      <w:r w:rsidRPr="00E36169">
        <w:rPr>
          <w:lang w:val="en-US"/>
        </w:rPr>
        <w:t>256, 287</w:t>
      </w:r>
      <w:r>
        <w:rPr>
          <w:lang w:val="en-US"/>
        </w:rPr>
        <w:t xml:space="preserve"> = 1847 U.S. LEXIS </w:t>
      </w:r>
      <w:r w:rsidRPr="00E36169">
        <w:rPr>
          <w:lang w:val="en-US"/>
        </w:rPr>
        <w:t>322, 19</w:t>
      </w:r>
      <w:r>
        <w:rPr>
          <w:lang w:val="en-US"/>
        </w:rPr>
        <w:t xml:space="preserve"> = 5 HOW </w:t>
      </w:r>
      <w:r w:rsidRPr="00E36169">
        <w:rPr>
          <w:lang w:val="en-US"/>
        </w:rPr>
        <w:t>504 (1847)</w:t>
      </w:r>
      <w:r>
        <w:rPr>
          <w:lang w:val="en-US"/>
        </w:rPr>
        <w:t>.</w:t>
      </w:r>
    </w:p>
  </w:footnote>
  <w:footnote w:id="187">
    <w:p w14:paraId="108DB884" w14:textId="77777777" w:rsidR="00074551" w:rsidRPr="00A62EFA" w:rsidRDefault="00074551" w:rsidP="00074551">
      <w:pPr>
        <w:pStyle w:val="Funotentext"/>
        <w:rPr>
          <w:lang w:val="en-US"/>
        </w:rPr>
      </w:pPr>
      <w:r>
        <w:rPr>
          <w:rStyle w:val="Funotenzeichen"/>
        </w:rPr>
        <w:footnoteRef/>
      </w:r>
      <w:r w:rsidRPr="00A62EFA">
        <w:rPr>
          <w:lang w:val="en-US"/>
        </w:rPr>
        <w:t xml:space="preserve"> </w:t>
      </w:r>
      <w:r w:rsidRPr="001F38CE">
        <w:rPr>
          <w:i/>
          <w:lang w:val="en-US"/>
        </w:rPr>
        <w:t>Thurlow v. Massachusetts</w:t>
      </w:r>
      <w:r w:rsidRPr="00A62EFA">
        <w:rPr>
          <w:lang w:val="en-US"/>
        </w:rPr>
        <w:t>, 46 U.S. 504, 574</w:t>
      </w:r>
      <w:r>
        <w:rPr>
          <w:lang w:val="en-US"/>
        </w:rPr>
        <w:t xml:space="preserve"> = 12 L. Ed. </w:t>
      </w:r>
      <w:r w:rsidRPr="00A62EFA">
        <w:rPr>
          <w:lang w:val="en-US"/>
        </w:rPr>
        <w:t>256, 287</w:t>
      </w:r>
      <w:r>
        <w:rPr>
          <w:lang w:val="en-US"/>
        </w:rPr>
        <w:t xml:space="preserve"> = 1847 U.S. LEXIS </w:t>
      </w:r>
      <w:r w:rsidRPr="00A62EFA">
        <w:rPr>
          <w:lang w:val="en-US"/>
        </w:rPr>
        <w:t>322, 171</w:t>
      </w:r>
      <w:r>
        <w:rPr>
          <w:lang w:val="en-US"/>
        </w:rPr>
        <w:t xml:space="preserve"> = 5 HOW </w:t>
      </w:r>
      <w:r w:rsidRPr="00A62EFA">
        <w:rPr>
          <w:lang w:val="en-US"/>
        </w:rPr>
        <w:t>504 (1847)</w:t>
      </w:r>
      <w:r>
        <w:rPr>
          <w:lang w:val="en-US"/>
        </w:rPr>
        <w:t>.</w:t>
      </w:r>
    </w:p>
  </w:footnote>
  <w:footnote w:id="188">
    <w:p w14:paraId="27EC60C5" w14:textId="77777777" w:rsidR="00074551" w:rsidRPr="00AD6457" w:rsidRDefault="00074551" w:rsidP="00074551">
      <w:pPr>
        <w:pStyle w:val="Funotentext"/>
        <w:rPr>
          <w:lang w:val="en-US"/>
        </w:rPr>
      </w:pPr>
      <w:r>
        <w:rPr>
          <w:rStyle w:val="Funotenzeichen"/>
        </w:rPr>
        <w:footnoteRef/>
      </w:r>
      <w:r w:rsidRPr="00AD6457">
        <w:rPr>
          <w:lang w:val="en-US"/>
        </w:rPr>
        <w:t xml:space="preserve"> </w:t>
      </w:r>
      <w:r w:rsidRPr="001F38CE">
        <w:rPr>
          <w:i/>
          <w:lang w:val="en-US"/>
        </w:rPr>
        <w:t>Thurlow v. Massachusetts</w:t>
      </w:r>
      <w:r w:rsidRPr="00AD6457">
        <w:rPr>
          <w:lang w:val="en-US"/>
        </w:rPr>
        <w:t>, 46 U.S. 504, 632</w:t>
      </w:r>
      <w:r>
        <w:rPr>
          <w:lang w:val="en-US"/>
        </w:rPr>
        <w:t xml:space="preserve"> = 12 L. Ed. </w:t>
      </w:r>
      <w:r w:rsidRPr="00AD6457">
        <w:rPr>
          <w:lang w:val="en-US"/>
        </w:rPr>
        <w:t>256, 314</w:t>
      </w:r>
      <w:r>
        <w:rPr>
          <w:lang w:val="en-US"/>
        </w:rPr>
        <w:t xml:space="preserve"> = 1847 U.S. LEXIS </w:t>
      </w:r>
      <w:r w:rsidRPr="00AD6457">
        <w:rPr>
          <w:lang w:val="en-US"/>
        </w:rPr>
        <w:t>322, 319</w:t>
      </w:r>
      <w:r>
        <w:rPr>
          <w:lang w:val="en-US"/>
        </w:rPr>
        <w:t xml:space="preserve"> = 5 HOW </w:t>
      </w:r>
      <w:r w:rsidRPr="00AD6457">
        <w:rPr>
          <w:lang w:val="en-US"/>
        </w:rPr>
        <w:t>504 (1847)</w:t>
      </w:r>
      <w:r>
        <w:rPr>
          <w:lang w:val="en-US"/>
        </w:rPr>
        <w:t>.</w:t>
      </w:r>
    </w:p>
  </w:footnote>
  <w:footnote w:id="189">
    <w:p w14:paraId="32491D9D" w14:textId="77777777" w:rsidR="00074551" w:rsidRPr="00AD6457" w:rsidRDefault="00074551" w:rsidP="00074551">
      <w:pPr>
        <w:pStyle w:val="Funotentext"/>
        <w:rPr>
          <w:lang w:val="en-US"/>
        </w:rPr>
      </w:pPr>
      <w:r>
        <w:rPr>
          <w:rStyle w:val="Funotenzeichen"/>
        </w:rPr>
        <w:footnoteRef/>
      </w:r>
      <w:r w:rsidRPr="00AD6457">
        <w:rPr>
          <w:lang w:val="en-US"/>
        </w:rPr>
        <w:t xml:space="preserve"> </w:t>
      </w:r>
      <w:r w:rsidRPr="001F38CE">
        <w:rPr>
          <w:i/>
          <w:lang w:val="en-US"/>
        </w:rPr>
        <w:t>Thurlow v. Massachusetts</w:t>
      </w:r>
      <w:r w:rsidRPr="00AD6457">
        <w:rPr>
          <w:lang w:val="en-US"/>
        </w:rPr>
        <w:t>, 46 U.S. 504, 573</w:t>
      </w:r>
      <w:r>
        <w:rPr>
          <w:lang w:val="en-US"/>
        </w:rPr>
        <w:t xml:space="preserve"> = 12 L. Ed. </w:t>
      </w:r>
      <w:r w:rsidRPr="00AD6457">
        <w:rPr>
          <w:lang w:val="en-US"/>
        </w:rPr>
        <w:t>256, 287</w:t>
      </w:r>
      <w:r>
        <w:rPr>
          <w:lang w:val="en-US"/>
        </w:rPr>
        <w:t xml:space="preserve"> = 1847 U.S. LEXIS </w:t>
      </w:r>
      <w:r w:rsidRPr="00AD6457">
        <w:rPr>
          <w:lang w:val="en-US"/>
        </w:rPr>
        <w:t>322, 61</w:t>
      </w:r>
      <w:r>
        <w:rPr>
          <w:lang w:val="en-US"/>
        </w:rPr>
        <w:t xml:space="preserve"> = 5 HOW </w:t>
      </w:r>
      <w:r w:rsidRPr="00AD6457">
        <w:rPr>
          <w:lang w:val="en-US"/>
        </w:rPr>
        <w:t>504 (1847)</w:t>
      </w:r>
      <w:r>
        <w:rPr>
          <w:lang w:val="en-US"/>
        </w:rPr>
        <w:t>.</w:t>
      </w:r>
    </w:p>
  </w:footnote>
  <w:footnote w:id="190">
    <w:p w14:paraId="3A01E4C8" w14:textId="77777777" w:rsidR="00074551" w:rsidRPr="006C01FA" w:rsidRDefault="00074551" w:rsidP="00074551">
      <w:pPr>
        <w:pStyle w:val="Funotentext"/>
        <w:rPr>
          <w:lang w:val="en-US"/>
        </w:rPr>
      </w:pPr>
      <w:r>
        <w:rPr>
          <w:rStyle w:val="Funotenzeichen"/>
        </w:rPr>
        <w:footnoteRef/>
      </w:r>
      <w:r w:rsidRPr="006C01FA">
        <w:rPr>
          <w:lang w:val="en-US"/>
        </w:rPr>
        <w:t xml:space="preserve"> „North Dakota Grain Grading Act, N. Dak. Ls. 1923, 549, assuming control over wheat buying in the State, of which 90% is for interstate shipment, provides, inter alia: That grain bought by grade (the established practice) must be graded by licensed inspectors; that (contrary to the general practice) the buyer must separate the dockage and return it to the producer, unless distinctly valued and paid for; that buyers having and operating grain elevators must give bond to the State, if buying on credit, must keep records of all wheat bought, showing grade given and price paid at the elevator and grade fixed and price paid at terminal market (outside the State), and must furnish such data to a state supervisor when requested; that the supervisor shall in a general way investigate and supervise the marketing of the grain with a view to preventing</w:t>
      </w:r>
      <w:r>
        <w:rPr>
          <w:lang w:val="en-US"/>
        </w:rPr>
        <w:t xml:space="preserve"> </w:t>
      </w:r>
      <w:r w:rsidRPr="006C01FA">
        <w:rPr>
          <w:lang w:val="en-US"/>
        </w:rPr>
        <w:t>various things deemed unjust or fraudulent, including unreasonable margins of profit and confiscation of dockage; and shall have authority to make and enforce such orders, rules and regulations as may be necessary to carry out all the provisions of the Act. Held a direct interference with and burden upon interstate commerce, and an attempt by the State to prescribe rules under which an important part of such commerce shall be conducted. P. 199“,</w:t>
      </w:r>
      <w:r>
        <w:rPr>
          <w:lang w:val="en-US"/>
        </w:rPr>
        <w:t xml:space="preserve"> </w:t>
      </w:r>
      <w:r w:rsidRPr="001F38CE">
        <w:rPr>
          <w:i/>
          <w:lang w:val="en-US"/>
        </w:rPr>
        <w:t>Shafer v. Farmers Grain Co.</w:t>
      </w:r>
      <w:r w:rsidRPr="006C01FA">
        <w:rPr>
          <w:lang w:val="en-US"/>
        </w:rPr>
        <w:t>, 268 U.S. 189, 191</w:t>
      </w:r>
      <w:r>
        <w:rPr>
          <w:lang w:val="en-US"/>
        </w:rPr>
        <w:t xml:space="preserve"> = 45 S. Ct. </w:t>
      </w:r>
      <w:r w:rsidRPr="006C01FA">
        <w:rPr>
          <w:lang w:val="en-US"/>
        </w:rPr>
        <w:t>481, 482</w:t>
      </w:r>
      <w:r>
        <w:rPr>
          <w:lang w:val="en-US"/>
        </w:rPr>
        <w:t xml:space="preserve"> = 69 L. Ed. </w:t>
      </w:r>
      <w:r w:rsidRPr="006C01FA">
        <w:rPr>
          <w:lang w:val="en-US"/>
        </w:rPr>
        <w:t>909, 911</w:t>
      </w:r>
      <w:r>
        <w:rPr>
          <w:lang w:val="en-US"/>
        </w:rPr>
        <w:t xml:space="preserve"> = 1925 U.S. LEXIS </w:t>
      </w:r>
      <w:r w:rsidRPr="006C01FA">
        <w:rPr>
          <w:lang w:val="en-US"/>
        </w:rPr>
        <w:t>560, 1</w:t>
      </w:r>
      <w:r>
        <w:rPr>
          <w:lang w:val="en-US"/>
        </w:rPr>
        <w:t>–</w:t>
      </w:r>
      <w:r w:rsidRPr="006C01FA">
        <w:rPr>
          <w:lang w:val="en-US"/>
        </w:rPr>
        <w:t>2 (1925)</w:t>
      </w:r>
      <w:r>
        <w:rPr>
          <w:lang w:val="en-US"/>
        </w:rPr>
        <w:t>.</w:t>
      </w:r>
    </w:p>
  </w:footnote>
  <w:footnote w:id="191">
    <w:p w14:paraId="75B290D7" w14:textId="77777777" w:rsidR="00074551" w:rsidRPr="006C01FA" w:rsidRDefault="00074551" w:rsidP="00074551">
      <w:pPr>
        <w:pStyle w:val="Funotentext"/>
        <w:rPr>
          <w:lang w:val="en-US"/>
        </w:rPr>
      </w:pPr>
      <w:r>
        <w:rPr>
          <w:rStyle w:val="Funotenzeichen"/>
        </w:rPr>
        <w:footnoteRef/>
      </w:r>
      <w:r w:rsidRPr="006C01FA">
        <w:rPr>
          <w:lang w:val="en-US"/>
        </w:rPr>
        <w:t xml:space="preserve"> </w:t>
      </w:r>
      <w:r w:rsidRPr="001F38CE">
        <w:rPr>
          <w:i/>
          <w:lang w:val="en-US"/>
        </w:rPr>
        <w:t>Shafer v. Farmers Grain Co.</w:t>
      </w:r>
      <w:r w:rsidRPr="006C01FA">
        <w:rPr>
          <w:lang w:val="en-US"/>
        </w:rPr>
        <w:t>, 268 U.S. 189, 191</w:t>
      </w:r>
      <w:r>
        <w:rPr>
          <w:lang w:val="en-US"/>
        </w:rPr>
        <w:t xml:space="preserve"> = 45 S. Ct. </w:t>
      </w:r>
      <w:r w:rsidRPr="006C01FA">
        <w:rPr>
          <w:lang w:val="en-US"/>
        </w:rPr>
        <w:t>481, 482</w:t>
      </w:r>
      <w:r>
        <w:rPr>
          <w:lang w:val="en-US"/>
        </w:rPr>
        <w:t xml:space="preserve"> = 69 L. Ed. </w:t>
      </w:r>
      <w:r w:rsidRPr="006C01FA">
        <w:rPr>
          <w:lang w:val="en-US"/>
        </w:rPr>
        <w:t>909, 911</w:t>
      </w:r>
      <w:r>
        <w:rPr>
          <w:lang w:val="en-US"/>
        </w:rPr>
        <w:t xml:space="preserve"> = 1925 U.S. LEXIS </w:t>
      </w:r>
      <w:r w:rsidRPr="006C01FA">
        <w:rPr>
          <w:lang w:val="en-US"/>
        </w:rPr>
        <w:t>560, 1 (1925)</w:t>
      </w:r>
      <w:r>
        <w:rPr>
          <w:lang w:val="en-US"/>
        </w:rPr>
        <w:t>.</w:t>
      </w:r>
    </w:p>
  </w:footnote>
  <w:footnote w:id="192">
    <w:p w14:paraId="5E6B6D2F" w14:textId="77777777" w:rsidR="00074551" w:rsidRPr="006F3FFE" w:rsidRDefault="00074551" w:rsidP="00074551">
      <w:pPr>
        <w:pStyle w:val="Funotentext"/>
        <w:rPr>
          <w:lang w:val="en-US"/>
        </w:rPr>
      </w:pPr>
      <w:r>
        <w:rPr>
          <w:rStyle w:val="Funotenzeichen"/>
        </w:rPr>
        <w:footnoteRef/>
      </w:r>
      <w:r w:rsidRPr="006F3FFE">
        <w:rPr>
          <w:lang w:val="en-US"/>
        </w:rPr>
        <w:t xml:space="preserve"> </w:t>
      </w:r>
      <w:r w:rsidRPr="00B45592">
        <w:rPr>
          <w:i/>
          <w:lang w:val="en-US"/>
        </w:rPr>
        <w:t>Sherlock v. Alling</w:t>
      </w:r>
      <w:r w:rsidRPr="006F3FFE">
        <w:rPr>
          <w:lang w:val="en-US"/>
        </w:rPr>
        <w:t>, 93 U.S. 99, 102</w:t>
      </w:r>
      <w:r>
        <w:rPr>
          <w:lang w:val="en-US"/>
        </w:rPr>
        <w:t>–</w:t>
      </w:r>
      <w:r w:rsidRPr="006F3FFE">
        <w:rPr>
          <w:lang w:val="en-US"/>
        </w:rPr>
        <w:t xml:space="preserve">104; </w:t>
      </w:r>
      <w:r w:rsidRPr="00B45592">
        <w:rPr>
          <w:i/>
          <w:lang w:val="en-US"/>
        </w:rPr>
        <w:t>Kidd v. Pearson</w:t>
      </w:r>
      <w:r w:rsidRPr="006F3FFE">
        <w:rPr>
          <w:lang w:val="en-US"/>
        </w:rPr>
        <w:t xml:space="preserve">, 128 U.S. 1, 22 et seq.; </w:t>
      </w:r>
      <w:r w:rsidRPr="00B45592">
        <w:rPr>
          <w:i/>
          <w:lang w:val="en-US"/>
        </w:rPr>
        <w:t>Geer v. Connecticut</w:t>
      </w:r>
      <w:r w:rsidRPr="006F3FFE">
        <w:rPr>
          <w:lang w:val="en-US"/>
        </w:rPr>
        <w:t xml:space="preserve">, 161 U.S. 519, 532; </w:t>
      </w:r>
      <w:r w:rsidRPr="00B45592">
        <w:rPr>
          <w:i/>
          <w:lang w:val="en-US"/>
        </w:rPr>
        <w:t>Sligh v. Kirkwood</w:t>
      </w:r>
      <w:r w:rsidRPr="006F3FFE">
        <w:rPr>
          <w:lang w:val="en-US"/>
        </w:rPr>
        <w:t>, 237 U.S. 52, 59</w:t>
      </w:r>
      <w:r>
        <w:rPr>
          <w:lang w:val="en-US"/>
        </w:rPr>
        <w:t>–</w:t>
      </w:r>
      <w:r w:rsidRPr="006F3FFE">
        <w:rPr>
          <w:lang w:val="en-US"/>
        </w:rPr>
        <w:t>61</w:t>
      </w:r>
      <w:r>
        <w:rPr>
          <w:lang w:val="en-US"/>
        </w:rPr>
        <w:t xml:space="preserve">; </w:t>
      </w:r>
      <w:r w:rsidRPr="001F38CE">
        <w:rPr>
          <w:i/>
          <w:lang w:val="en-US"/>
        </w:rPr>
        <w:t>Shafer v. Farmers Grain Co.</w:t>
      </w:r>
      <w:r w:rsidRPr="006F3FFE">
        <w:rPr>
          <w:lang w:val="en-US"/>
        </w:rPr>
        <w:t>, 268 U.S. 189, 199</w:t>
      </w:r>
      <w:r>
        <w:rPr>
          <w:lang w:val="en-US"/>
        </w:rPr>
        <w:t xml:space="preserve"> = 45 S. Ct. </w:t>
      </w:r>
      <w:r w:rsidRPr="006F3FFE">
        <w:rPr>
          <w:lang w:val="en-US"/>
        </w:rPr>
        <w:t>481, 485</w:t>
      </w:r>
      <w:r>
        <w:rPr>
          <w:lang w:val="en-US"/>
        </w:rPr>
        <w:t xml:space="preserve"> = 69 L. Ed. </w:t>
      </w:r>
      <w:r w:rsidRPr="006F3FFE">
        <w:rPr>
          <w:lang w:val="en-US"/>
        </w:rPr>
        <w:t>909, 915</w:t>
      </w:r>
      <w:r>
        <w:rPr>
          <w:lang w:val="en-US"/>
        </w:rPr>
        <w:t xml:space="preserve"> = 1925 U.S. LEXIS </w:t>
      </w:r>
      <w:r w:rsidRPr="006F3FFE">
        <w:rPr>
          <w:lang w:val="en-US"/>
        </w:rPr>
        <w:t>560, 15 (1925)</w:t>
      </w:r>
      <w:r>
        <w:rPr>
          <w:lang w:val="en-US"/>
        </w:rPr>
        <w:t>.</w:t>
      </w:r>
    </w:p>
  </w:footnote>
  <w:footnote w:id="193">
    <w:p w14:paraId="5A487F43" w14:textId="77777777" w:rsidR="00074551" w:rsidRPr="006F3FFE" w:rsidRDefault="00074551" w:rsidP="00074551">
      <w:pPr>
        <w:pStyle w:val="Funotentext"/>
        <w:rPr>
          <w:lang w:val="en-US"/>
        </w:rPr>
      </w:pPr>
      <w:r>
        <w:rPr>
          <w:rStyle w:val="Funotenzeichen"/>
        </w:rPr>
        <w:footnoteRef/>
      </w:r>
      <w:r w:rsidRPr="006F3FFE">
        <w:rPr>
          <w:lang w:val="en-US"/>
        </w:rPr>
        <w:t xml:space="preserve"> </w:t>
      </w:r>
      <w:r w:rsidRPr="00B45592">
        <w:rPr>
          <w:i/>
          <w:lang w:val="en-US"/>
        </w:rPr>
        <w:t>Crutcher v. Kentucky</w:t>
      </w:r>
      <w:r w:rsidRPr="006F3FFE">
        <w:rPr>
          <w:lang w:val="en-US"/>
        </w:rPr>
        <w:t xml:space="preserve">, 141 U.S. 47, 56, 58; </w:t>
      </w:r>
      <w:r w:rsidRPr="00B45592">
        <w:rPr>
          <w:i/>
          <w:lang w:val="en-US"/>
        </w:rPr>
        <w:t>Western Union Telegraph Co. v. Kansas</w:t>
      </w:r>
      <w:r w:rsidRPr="006F3FFE">
        <w:rPr>
          <w:lang w:val="en-US"/>
        </w:rPr>
        <w:t xml:space="preserve">, 216 U.S. 1, 27; </w:t>
      </w:r>
      <w:r w:rsidRPr="00B45592">
        <w:rPr>
          <w:i/>
          <w:lang w:val="en-US"/>
        </w:rPr>
        <w:t>International Paper Co. v. Massachusetts</w:t>
      </w:r>
      <w:r w:rsidRPr="006F3FFE">
        <w:rPr>
          <w:lang w:val="en-US"/>
        </w:rPr>
        <w:t xml:space="preserve">, 246 U.S. 135, 141; </w:t>
      </w:r>
      <w:r w:rsidRPr="00B45592">
        <w:rPr>
          <w:i/>
          <w:lang w:val="en-US"/>
        </w:rPr>
        <w:t>Western Union Telegraph Co. v. Foster</w:t>
      </w:r>
      <w:r w:rsidRPr="006F3FFE">
        <w:rPr>
          <w:lang w:val="en-US"/>
        </w:rPr>
        <w:t xml:space="preserve">, 247 U.S. 105, 114; </w:t>
      </w:r>
      <w:r w:rsidRPr="00B45592">
        <w:rPr>
          <w:i/>
          <w:lang w:val="en-US"/>
        </w:rPr>
        <w:t>Pennsylvania v. West Virginia</w:t>
      </w:r>
      <w:r w:rsidRPr="006F3FFE">
        <w:rPr>
          <w:lang w:val="en-US"/>
        </w:rPr>
        <w:t xml:space="preserve">, 262 U.S. 553, 596; </w:t>
      </w:r>
      <w:r w:rsidRPr="00B45592">
        <w:rPr>
          <w:i/>
          <w:lang w:val="en-US"/>
        </w:rPr>
        <w:t>Air-Way Corporation v. Day</w:t>
      </w:r>
      <w:r w:rsidRPr="006F3FFE">
        <w:rPr>
          <w:lang w:val="en-US"/>
        </w:rPr>
        <w:t>, 266 U.S. 71, 81</w:t>
      </w:r>
      <w:r>
        <w:rPr>
          <w:lang w:val="en-US"/>
        </w:rPr>
        <w:t xml:space="preserve">; </w:t>
      </w:r>
      <w:r w:rsidRPr="001F38CE">
        <w:rPr>
          <w:i/>
          <w:lang w:val="en-US"/>
        </w:rPr>
        <w:t>Shafer v. Farmers Grain Co.</w:t>
      </w:r>
      <w:r w:rsidRPr="006F3FFE">
        <w:rPr>
          <w:lang w:val="en-US"/>
        </w:rPr>
        <w:t>, 268 U.S. 189, 199</w:t>
      </w:r>
      <w:r>
        <w:rPr>
          <w:lang w:val="en-US"/>
        </w:rPr>
        <w:t xml:space="preserve"> = 45 S. Ct. </w:t>
      </w:r>
      <w:r w:rsidRPr="006F3FFE">
        <w:rPr>
          <w:lang w:val="en-US"/>
        </w:rPr>
        <w:t>481, 485</w:t>
      </w:r>
      <w:r>
        <w:rPr>
          <w:lang w:val="en-US"/>
        </w:rPr>
        <w:t xml:space="preserve"> = 69 L. Ed. </w:t>
      </w:r>
      <w:r w:rsidRPr="006F3FFE">
        <w:rPr>
          <w:lang w:val="en-US"/>
        </w:rPr>
        <w:t>909, 915</w:t>
      </w:r>
      <w:r>
        <w:rPr>
          <w:lang w:val="en-US"/>
        </w:rPr>
        <w:t xml:space="preserve"> = 1925 U.S. LEXIS </w:t>
      </w:r>
      <w:r w:rsidRPr="006F3FFE">
        <w:rPr>
          <w:lang w:val="en-US"/>
        </w:rPr>
        <w:t>560, 16 (1925)</w:t>
      </w:r>
      <w:r>
        <w:rPr>
          <w:lang w:val="en-US"/>
        </w:rPr>
        <w:t>.</w:t>
      </w:r>
    </w:p>
  </w:footnote>
  <w:footnote w:id="194">
    <w:p w14:paraId="2A47095A" w14:textId="77777777" w:rsidR="00074551" w:rsidRPr="00D748C2" w:rsidRDefault="00074551" w:rsidP="00074551">
      <w:pPr>
        <w:pStyle w:val="Funotentext"/>
        <w:rPr>
          <w:lang w:val="en-US"/>
        </w:rPr>
      </w:pPr>
      <w:r>
        <w:rPr>
          <w:rStyle w:val="Funotenzeichen"/>
        </w:rPr>
        <w:footnoteRef/>
      </w:r>
      <w:r w:rsidRPr="00D748C2">
        <w:rPr>
          <w:lang w:val="en-US"/>
        </w:rPr>
        <w:t xml:space="preserve"> </w:t>
      </w:r>
      <w:r w:rsidRPr="001F38CE">
        <w:rPr>
          <w:i/>
          <w:lang w:val="en-US"/>
        </w:rPr>
        <w:t>Shafer v. Farmers Grain Co.</w:t>
      </w:r>
      <w:r w:rsidRPr="00D748C2">
        <w:rPr>
          <w:lang w:val="en-US"/>
        </w:rPr>
        <w:t>, 268 U.S. 189, 191</w:t>
      </w:r>
      <w:r>
        <w:rPr>
          <w:lang w:val="en-US"/>
        </w:rPr>
        <w:t xml:space="preserve"> = 45 S. Ct. </w:t>
      </w:r>
      <w:r w:rsidRPr="00D748C2">
        <w:rPr>
          <w:lang w:val="en-US"/>
        </w:rPr>
        <w:t>481, 482</w:t>
      </w:r>
      <w:r>
        <w:rPr>
          <w:lang w:val="en-US"/>
        </w:rPr>
        <w:t xml:space="preserve"> = 69 L. Ed. </w:t>
      </w:r>
      <w:r w:rsidRPr="00D748C2">
        <w:rPr>
          <w:lang w:val="en-US"/>
        </w:rPr>
        <w:t>909, 911</w:t>
      </w:r>
      <w:r>
        <w:rPr>
          <w:lang w:val="en-US"/>
        </w:rPr>
        <w:t xml:space="preserve"> = 1925 U.S. LEXIS </w:t>
      </w:r>
      <w:r w:rsidRPr="00D748C2">
        <w:rPr>
          <w:lang w:val="en-US"/>
        </w:rPr>
        <w:t>560, 3 (1925)</w:t>
      </w:r>
      <w:r>
        <w:rPr>
          <w:lang w:val="en-US"/>
        </w:rPr>
        <w:t>.</w:t>
      </w:r>
    </w:p>
  </w:footnote>
  <w:footnote w:id="195">
    <w:p w14:paraId="023E9DA3" w14:textId="77777777" w:rsidR="00074551" w:rsidRPr="00E66791" w:rsidRDefault="00074551" w:rsidP="00074551">
      <w:pPr>
        <w:pStyle w:val="Funotentext"/>
        <w:rPr>
          <w:lang w:val="en-US"/>
        </w:rPr>
      </w:pPr>
      <w:r>
        <w:rPr>
          <w:rStyle w:val="Funotenzeichen"/>
        </w:rPr>
        <w:footnoteRef/>
      </w:r>
      <w:r w:rsidRPr="00E66791">
        <w:rPr>
          <w:lang w:val="en-US"/>
        </w:rPr>
        <w:t xml:space="preserve"> </w:t>
      </w:r>
      <w:r w:rsidRPr="001F38CE">
        <w:rPr>
          <w:i/>
          <w:lang w:val="en-US"/>
        </w:rPr>
        <w:t>Shafer v. Farmers Grain Co.</w:t>
      </w:r>
      <w:r w:rsidRPr="00E66791">
        <w:rPr>
          <w:lang w:val="en-US"/>
        </w:rPr>
        <w:t>, 268 U.S. 189, 191</w:t>
      </w:r>
      <w:r>
        <w:rPr>
          <w:lang w:val="en-US"/>
        </w:rPr>
        <w:t xml:space="preserve"> = 45 S. Ct. </w:t>
      </w:r>
      <w:r w:rsidRPr="00E66791">
        <w:rPr>
          <w:lang w:val="en-US"/>
        </w:rPr>
        <w:t>481, 482</w:t>
      </w:r>
      <w:r>
        <w:rPr>
          <w:lang w:val="en-US"/>
        </w:rPr>
        <w:t xml:space="preserve"> = 69 L. Ed. </w:t>
      </w:r>
      <w:r w:rsidRPr="00E66791">
        <w:rPr>
          <w:lang w:val="en-US"/>
        </w:rPr>
        <w:t>909, 911</w:t>
      </w:r>
      <w:r>
        <w:rPr>
          <w:lang w:val="en-US"/>
        </w:rPr>
        <w:t xml:space="preserve"> = 1925 U.S. LEXIS </w:t>
      </w:r>
      <w:r w:rsidRPr="00E66791">
        <w:rPr>
          <w:lang w:val="en-US"/>
        </w:rPr>
        <w:t>560, 1 (1925)</w:t>
      </w:r>
      <w:r>
        <w:rPr>
          <w:lang w:val="en-US"/>
        </w:rPr>
        <w:t>.</w:t>
      </w:r>
    </w:p>
  </w:footnote>
  <w:footnote w:id="196">
    <w:p w14:paraId="373224D2" w14:textId="77777777" w:rsidR="00074551" w:rsidRPr="005145CB" w:rsidRDefault="00074551" w:rsidP="00074551">
      <w:pPr>
        <w:pStyle w:val="Funotentext"/>
        <w:rPr>
          <w:lang w:val="en-US"/>
        </w:rPr>
      </w:pPr>
      <w:r>
        <w:rPr>
          <w:rStyle w:val="Funotenzeichen"/>
        </w:rPr>
        <w:footnoteRef/>
      </w:r>
      <w:r w:rsidRPr="005145CB">
        <w:rPr>
          <w:lang w:val="en-US"/>
        </w:rPr>
        <w:t xml:space="preserve"> </w:t>
      </w:r>
      <w:bookmarkStart w:id="20" w:name="_Hlk228720208"/>
      <w:r w:rsidRPr="00B45592">
        <w:rPr>
          <w:i/>
          <w:lang w:val="en-US"/>
        </w:rPr>
        <w:t>Employers’ Liability Act of Congress</w:t>
      </w:r>
      <w:bookmarkEnd w:id="20"/>
      <w:r w:rsidRPr="005145CB">
        <w:rPr>
          <w:lang w:val="en-US"/>
        </w:rPr>
        <w:t>, 35 Stat. 85, 36 Stat. 291</w:t>
      </w:r>
      <w:r>
        <w:rPr>
          <w:lang w:val="en-US"/>
        </w:rPr>
        <w:t xml:space="preserve">; </w:t>
      </w:r>
      <w:r w:rsidRPr="00B45592">
        <w:rPr>
          <w:i/>
          <w:lang w:val="en-US"/>
        </w:rPr>
        <w:t>New York C. R. Co. v. Winfield</w:t>
      </w:r>
      <w:r w:rsidRPr="005145CB">
        <w:rPr>
          <w:lang w:val="en-US"/>
        </w:rPr>
        <w:t>, 244 U.S. 147, 147</w:t>
      </w:r>
      <w:r>
        <w:rPr>
          <w:lang w:val="en-US"/>
        </w:rPr>
        <w:t xml:space="preserve"> = 37 S. Ct. </w:t>
      </w:r>
      <w:r w:rsidRPr="005145CB">
        <w:rPr>
          <w:lang w:val="en-US"/>
        </w:rPr>
        <w:t>546, 546</w:t>
      </w:r>
      <w:r>
        <w:rPr>
          <w:lang w:val="en-US"/>
        </w:rPr>
        <w:t xml:space="preserve"> = 61 L. Ed. </w:t>
      </w:r>
      <w:r w:rsidRPr="005145CB">
        <w:rPr>
          <w:lang w:val="en-US"/>
        </w:rPr>
        <w:t>1045, 1047</w:t>
      </w:r>
      <w:r>
        <w:rPr>
          <w:lang w:val="en-US"/>
        </w:rPr>
        <w:t xml:space="preserve"> = 1917 U.S. LEXIS </w:t>
      </w:r>
      <w:r w:rsidRPr="005145CB">
        <w:rPr>
          <w:lang w:val="en-US"/>
        </w:rPr>
        <w:t>1620, 1 (1917)</w:t>
      </w:r>
      <w:r>
        <w:rPr>
          <w:lang w:val="en-US"/>
        </w:rPr>
        <w:t>.</w:t>
      </w:r>
    </w:p>
  </w:footnote>
  <w:footnote w:id="197">
    <w:p w14:paraId="19BB6562" w14:textId="77777777" w:rsidR="00074551" w:rsidRPr="005145CB" w:rsidRDefault="00074551" w:rsidP="00074551">
      <w:pPr>
        <w:pStyle w:val="Funotentext"/>
        <w:rPr>
          <w:lang w:val="en-US"/>
        </w:rPr>
      </w:pPr>
      <w:r>
        <w:rPr>
          <w:rStyle w:val="Funotenzeichen"/>
        </w:rPr>
        <w:footnoteRef/>
      </w:r>
      <w:r w:rsidRPr="005145CB">
        <w:rPr>
          <w:lang w:val="en-US"/>
        </w:rPr>
        <w:t xml:space="preserve"> </w:t>
      </w:r>
      <w:r w:rsidRPr="001F38CE">
        <w:rPr>
          <w:i/>
          <w:lang w:val="en-IE"/>
        </w:rPr>
        <w:t>New York C. R. Co. v. Winfield</w:t>
      </w:r>
      <w:r w:rsidRPr="00B45592">
        <w:rPr>
          <w:lang w:val="en-IE"/>
        </w:rPr>
        <w:t>, 244 U.S. 147, 147</w:t>
      </w:r>
      <w:r>
        <w:rPr>
          <w:lang w:val="en-IE"/>
        </w:rPr>
        <w:t xml:space="preserve"> = 37 S. Ct. </w:t>
      </w:r>
      <w:r w:rsidRPr="00B45592">
        <w:rPr>
          <w:lang w:val="en-IE"/>
        </w:rPr>
        <w:t>546, 546</w:t>
      </w:r>
      <w:r>
        <w:rPr>
          <w:lang w:val="en-IE"/>
        </w:rPr>
        <w:t xml:space="preserve"> = 61 L. Ed. </w:t>
      </w:r>
      <w:r w:rsidRPr="00B45592">
        <w:rPr>
          <w:lang w:val="en-IE"/>
        </w:rPr>
        <w:t>1045, 1047</w:t>
      </w:r>
      <w:r>
        <w:rPr>
          <w:lang w:val="en-IE"/>
        </w:rPr>
        <w:t xml:space="preserve"> = 1917 U.S. LEXIS </w:t>
      </w:r>
      <w:r w:rsidRPr="00B45592">
        <w:rPr>
          <w:lang w:val="en-IE"/>
        </w:rPr>
        <w:t>1620, 1 (1917)</w:t>
      </w:r>
      <w:r>
        <w:rPr>
          <w:lang w:val="en-US"/>
        </w:rPr>
        <w:t>.</w:t>
      </w:r>
    </w:p>
  </w:footnote>
  <w:footnote w:id="198">
    <w:p w14:paraId="452D29F5" w14:textId="77777777" w:rsidR="00074551" w:rsidRPr="008E5A66" w:rsidRDefault="00074551" w:rsidP="00074551">
      <w:pPr>
        <w:pStyle w:val="Funotentext"/>
        <w:rPr>
          <w:lang w:val="en-US"/>
        </w:rPr>
      </w:pPr>
      <w:r>
        <w:rPr>
          <w:rStyle w:val="Funotenzeichen"/>
        </w:rPr>
        <w:footnoteRef/>
      </w:r>
      <w:r w:rsidRPr="008E5A66">
        <w:rPr>
          <w:lang w:val="en-US"/>
        </w:rPr>
        <w:t xml:space="preserve"> </w:t>
      </w:r>
      <w:r w:rsidRPr="001F38CE">
        <w:rPr>
          <w:i/>
          <w:lang w:val="en-US"/>
        </w:rPr>
        <w:t>New York C. R. Co. v. Winfield</w:t>
      </w:r>
      <w:r w:rsidRPr="008E5A66">
        <w:rPr>
          <w:lang w:val="en-US"/>
        </w:rPr>
        <w:t>, 244 U.S. 147, 150</w:t>
      </w:r>
      <w:r>
        <w:rPr>
          <w:lang w:val="en-US"/>
        </w:rPr>
        <w:t xml:space="preserve"> = 37 S. Ct. </w:t>
      </w:r>
      <w:r w:rsidRPr="008E5A66">
        <w:rPr>
          <w:lang w:val="en-US"/>
        </w:rPr>
        <w:t>546, 548</w:t>
      </w:r>
      <w:r>
        <w:rPr>
          <w:lang w:val="en-US"/>
        </w:rPr>
        <w:t xml:space="preserve"> = 61 L. Ed. </w:t>
      </w:r>
      <w:r w:rsidRPr="008E5A66">
        <w:rPr>
          <w:lang w:val="en-US"/>
        </w:rPr>
        <w:t>1045, 1048</w:t>
      </w:r>
      <w:r>
        <w:rPr>
          <w:lang w:val="en-US"/>
        </w:rPr>
        <w:t xml:space="preserve"> = 1917 U.S. LEXIS </w:t>
      </w:r>
      <w:r w:rsidRPr="008E5A66">
        <w:rPr>
          <w:lang w:val="en-US"/>
        </w:rPr>
        <w:t>1620, 7 (1917)</w:t>
      </w:r>
      <w:r>
        <w:rPr>
          <w:lang w:val="en-US"/>
        </w:rPr>
        <w:t>.</w:t>
      </w:r>
    </w:p>
  </w:footnote>
  <w:footnote w:id="199">
    <w:p w14:paraId="70AF6F2C" w14:textId="77777777" w:rsidR="00074551" w:rsidRPr="001A5D35" w:rsidRDefault="00074551" w:rsidP="00074551">
      <w:pPr>
        <w:pStyle w:val="Funotentext"/>
        <w:rPr>
          <w:lang w:val="en-US"/>
        </w:rPr>
      </w:pPr>
      <w:r>
        <w:rPr>
          <w:rStyle w:val="Funotenzeichen"/>
        </w:rPr>
        <w:footnoteRef/>
      </w:r>
      <w:r w:rsidRPr="001A5D35">
        <w:rPr>
          <w:lang w:val="en-US"/>
        </w:rPr>
        <w:t xml:space="preserve"> </w:t>
      </w:r>
      <w:r w:rsidRPr="001F38CE">
        <w:rPr>
          <w:i/>
          <w:lang w:val="en-US"/>
        </w:rPr>
        <w:t>New York C. R. Co. v. Winfield</w:t>
      </w:r>
      <w:r w:rsidRPr="001A5D35">
        <w:rPr>
          <w:lang w:val="en-US"/>
        </w:rPr>
        <w:t>, 244 U.S. 147, 165</w:t>
      </w:r>
      <w:r>
        <w:rPr>
          <w:lang w:val="en-US"/>
        </w:rPr>
        <w:t xml:space="preserve"> = 37 S. Ct. </w:t>
      </w:r>
      <w:r w:rsidRPr="001A5D35">
        <w:rPr>
          <w:lang w:val="en-US"/>
        </w:rPr>
        <w:t>546, 554</w:t>
      </w:r>
      <w:r>
        <w:rPr>
          <w:lang w:val="en-US"/>
        </w:rPr>
        <w:t xml:space="preserve"> = 61 L. Ed. </w:t>
      </w:r>
      <w:r w:rsidRPr="001A5D35">
        <w:rPr>
          <w:lang w:val="en-US"/>
        </w:rPr>
        <w:t>1045, 1055</w:t>
      </w:r>
      <w:r>
        <w:rPr>
          <w:lang w:val="en-US"/>
        </w:rPr>
        <w:t xml:space="preserve"> = 1917 U.S. LEXIS </w:t>
      </w:r>
      <w:r w:rsidRPr="001A5D35">
        <w:rPr>
          <w:lang w:val="en-US"/>
        </w:rPr>
        <w:t>1620, 25 (1917)</w:t>
      </w:r>
      <w:r>
        <w:rPr>
          <w:lang w:val="en-US"/>
        </w:rPr>
        <w:t>.</w:t>
      </w:r>
    </w:p>
  </w:footnote>
  <w:footnote w:id="200">
    <w:p w14:paraId="1548DCA7" w14:textId="77777777" w:rsidR="00074551" w:rsidRPr="00460DE7" w:rsidRDefault="00074551" w:rsidP="00074551">
      <w:pPr>
        <w:pStyle w:val="Funotentext"/>
        <w:rPr>
          <w:lang w:val="en-US"/>
        </w:rPr>
      </w:pPr>
      <w:r>
        <w:rPr>
          <w:rStyle w:val="Funotenzeichen"/>
        </w:rPr>
        <w:footnoteRef/>
      </w:r>
      <w:r w:rsidRPr="00460DE7">
        <w:rPr>
          <w:lang w:val="en-US"/>
        </w:rPr>
        <w:t xml:space="preserve"> </w:t>
      </w:r>
      <w:r w:rsidRPr="001F38CE">
        <w:rPr>
          <w:i/>
          <w:lang w:val="en-US"/>
        </w:rPr>
        <w:t>New York C. R. Co. v. Winfield</w:t>
      </w:r>
      <w:r w:rsidRPr="00460DE7">
        <w:rPr>
          <w:lang w:val="en-US"/>
        </w:rPr>
        <w:t>, 244 U.S. 147, 166</w:t>
      </w:r>
      <w:r>
        <w:rPr>
          <w:lang w:val="en-US"/>
        </w:rPr>
        <w:t xml:space="preserve"> = 37 S. Ct. </w:t>
      </w:r>
      <w:r w:rsidRPr="00460DE7">
        <w:rPr>
          <w:lang w:val="en-US"/>
        </w:rPr>
        <w:t>546, 554</w:t>
      </w:r>
      <w:r>
        <w:rPr>
          <w:lang w:val="en-US"/>
        </w:rPr>
        <w:t xml:space="preserve"> = 61 L. Ed. </w:t>
      </w:r>
      <w:r w:rsidRPr="00460DE7">
        <w:rPr>
          <w:lang w:val="en-US"/>
        </w:rPr>
        <w:t>1045, 1055</w:t>
      </w:r>
      <w:r>
        <w:rPr>
          <w:lang w:val="en-US"/>
        </w:rPr>
        <w:t xml:space="preserve"> = 1917 U.S. LEXIS </w:t>
      </w:r>
      <w:r w:rsidRPr="00460DE7">
        <w:rPr>
          <w:lang w:val="en-US"/>
        </w:rPr>
        <w:t>1620, 27 (1917)</w:t>
      </w:r>
      <w:r>
        <w:rPr>
          <w:lang w:val="en-US"/>
        </w:rPr>
        <w:t>.</w:t>
      </w:r>
    </w:p>
  </w:footnote>
  <w:footnote w:id="201">
    <w:p w14:paraId="2745BB46" w14:textId="77777777" w:rsidR="00074551" w:rsidRPr="00460DE7" w:rsidRDefault="00074551" w:rsidP="00074551">
      <w:pPr>
        <w:pStyle w:val="Funotentext"/>
        <w:rPr>
          <w:lang w:val="en-US"/>
        </w:rPr>
      </w:pPr>
      <w:r>
        <w:rPr>
          <w:rStyle w:val="Funotenzeichen"/>
        </w:rPr>
        <w:footnoteRef/>
      </w:r>
      <w:r w:rsidRPr="00460DE7">
        <w:rPr>
          <w:lang w:val="en-US"/>
        </w:rPr>
        <w:t xml:space="preserve"> </w:t>
      </w:r>
      <w:r w:rsidRPr="001F38CE">
        <w:rPr>
          <w:i/>
          <w:lang w:val="en-US"/>
        </w:rPr>
        <w:t>New York C. R. Co. v. Winfield</w:t>
      </w:r>
      <w:r w:rsidRPr="00460DE7">
        <w:rPr>
          <w:lang w:val="en-US"/>
        </w:rPr>
        <w:t>, 244 U.S. 147, 166</w:t>
      </w:r>
      <w:r>
        <w:rPr>
          <w:lang w:val="en-US"/>
        </w:rPr>
        <w:t xml:space="preserve"> = 37 S. Ct. </w:t>
      </w:r>
      <w:r w:rsidRPr="00460DE7">
        <w:rPr>
          <w:lang w:val="en-US"/>
        </w:rPr>
        <w:t>546, 554</w:t>
      </w:r>
      <w:r>
        <w:rPr>
          <w:lang w:val="en-US"/>
        </w:rPr>
        <w:t xml:space="preserve"> = 61 L. Ed. </w:t>
      </w:r>
      <w:r w:rsidRPr="00460DE7">
        <w:rPr>
          <w:lang w:val="en-US"/>
        </w:rPr>
        <w:t>1045, 1055</w:t>
      </w:r>
      <w:r>
        <w:rPr>
          <w:lang w:val="en-US"/>
        </w:rPr>
        <w:t xml:space="preserve"> = 1917 U.S. LEXIS </w:t>
      </w:r>
      <w:r w:rsidRPr="00460DE7">
        <w:rPr>
          <w:lang w:val="en-US"/>
        </w:rPr>
        <w:t>1620, 27 (1917)</w:t>
      </w:r>
      <w:r>
        <w:rPr>
          <w:lang w:val="en-US"/>
        </w:rPr>
        <w:t>.</w:t>
      </w:r>
    </w:p>
  </w:footnote>
  <w:footnote w:id="202">
    <w:p w14:paraId="392E46A5" w14:textId="77777777" w:rsidR="00074551" w:rsidRPr="00460DE7" w:rsidRDefault="00074551" w:rsidP="00074551">
      <w:pPr>
        <w:pStyle w:val="Funotentext"/>
        <w:rPr>
          <w:lang w:val="en-US"/>
        </w:rPr>
      </w:pPr>
      <w:r>
        <w:rPr>
          <w:rStyle w:val="Funotenzeichen"/>
        </w:rPr>
        <w:footnoteRef/>
      </w:r>
      <w:r w:rsidRPr="00460DE7">
        <w:rPr>
          <w:lang w:val="en-US"/>
        </w:rPr>
        <w:t xml:space="preserve"> </w:t>
      </w:r>
      <w:r w:rsidRPr="001F38CE">
        <w:rPr>
          <w:i/>
          <w:lang w:val="en-US"/>
        </w:rPr>
        <w:t>New York C. R. Co. v. Winfield</w:t>
      </w:r>
      <w:r w:rsidRPr="00460DE7">
        <w:rPr>
          <w:lang w:val="en-US"/>
        </w:rPr>
        <w:t>, 244 U.S. 147, 166</w:t>
      </w:r>
      <w:r>
        <w:rPr>
          <w:lang w:val="en-US"/>
        </w:rPr>
        <w:t xml:space="preserve"> = 37 S. Ct. </w:t>
      </w:r>
      <w:r w:rsidRPr="00460DE7">
        <w:rPr>
          <w:lang w:val="en-US"/>
        </w:rPr>
        <w:t>546, 554</w:t>
      </w:r>
      <w:r>
        <w:rPr>
          <w:lang w:val="en-US"/>
        </w:rPr>
        <w:t xml:space="preserve"> = 61 L. Ed. </w:t>
      </w:r>
      <w:r w:rsidRPr="00460DE7">
        <w:rPr>
          <w:lang w:val="en-US"/>
        </w:rPr>
        <w:t>1045, 1055</w:t>
      </w:r>
      <w:r>
        <w:rPr>
          <w:lang w:val="en-US"/>
        </w:rPr>
        <w:t xml:space="preserve"> = 1917 U.S. LEXIS </w:t>
      </w:r>
      <w:r w:rsidRPr="00460DE7">
        <w:rPr>
          <w:lang w:val="en-US"/>
        </w:rPr>
        <w:t>1620, 27 (1917)</w:t>
      </w:r>
      <w:r>
        <w:rPr>
          <w:lang w:val="en-US"/>
        </w:rPr>
        <w:t>.</w:t>
      </w:r>
    </w:p>
  </w:footnote>
  <w:footnote w:id="203">
    <w:p w14:paraId="3F58F618" w14:textId="77777777" w:rsidR="00074551" w:rsidRPr="00B059AC" w:rsidRDefault="00074551" w:rsidP="00074551">
      <w:pPr>
        <w:pStyle w:val="Funotentext"/>
        <w:rPr>
          <w:lang w:val="en-US"/>
        </w:rPr>
      </w:pPr>
      <w:r>
        <w:rPr>
          <w:rStyle w:val="Funotenzeichen"/>
        </w:rPr>
        <w:footnoteRef/>
      </w:r>
      <w:r w:rsidRPr="00B059AC">
        <w:rPr>
          <w:lang w:val="en-US"/>
        </w:rPr>
        <w:t xml:space="preserve"> </w:t>
      </w:r>
      <w:r>
        <w:rPr>
          <w:lang w:val="en-US"/>
        </w:rPr>
        <w:t>„[A]</w:t>
      </w:r>
      <w:proofErr w:type="spellStart"/>
      <w:r w:rsidRPr="00B059AC">
        <w:rPr>
          <w:lang w:val="en-US"/>
        </w:rPr>
        <w:t>ct</w:t>
      </w:r>
      <w:proofErr w:type="spellEnd"/>
      <w:r w:rsidRPr="00B059AC">
        <w:rPr>
          <w:lang w:val="en-US"/>
        </w:rPr>
        <w:t xml:space="preserve"> of the legislature of Pennsylvania, passed in 1836, whereby wagons, carriages, stages, and other modes of conveyance, carrying the United States mail, with passengers or the goods of other persons, are charged with half the toll levied upon other vehicles of the like description</w:t>
      </w:r>
      <w:r>
        <w:rPr>
          <w:lang w:val="en-US"/>
        </w:rPr>
        <w:t xml:space="preserve">“, </w:t>
      </w:r>
      <w:r w:rsidRPr="001F38CE">
        <w:rPr>
          <w:i/>
          <w:lang w:val="en-US"/>
        </w:rPr>
        <w:t>Searight v. Stokes</w:t>
      </w:r>
      <w:r w:rsidRPr="00B059AC">
        <w:rPr>
          <w:lang w:val="en-US"/>
        </w:rPr>
        <w:t>, 44 U.S. 151, 163</w:t>
      </w:r>
      <w:r>
        <w:rPr>
          <w:lang w:val="en-US"/>
        </w:rPr>
        <w:t xml:space="preserve"> = 11 L. Ed. </w:t>
      </w:r>
      <w:r w:rsidRPr="00B059AC">
        <w:rPr>
          <w:lang w:val="en-US"/>
        </w:rPr>
        <w:t>537, 543</w:t>
      </w:r>
      <w:r>
        <w:rPr>
          <w:lang w:val="en-US"/>
        </w:rPr>
        <w:t xml:space="preserve"> = 1845 U.S. LEXIS </w:t>
      </w:r>
      <w:r w:rsidRPr="00B059AC">
        <w:rPr>
          <w:lang w:val="en-US"/>
        </w:rPr>
        <w:t>428, 29</w:t>
      </w:r>
      <w:r>
        <w:rPr>
          <w:lang w:val="en-US"/>
        </w:rPr>
        <w:t>–</w:t>
      </w:r>
      <w:r w:rsidRPr="00B059AC">
        <w:rPr>
          <w:lang w:val="en-US"/>
        </w:rPr>
        <w:t>30</w:t>
      </w:r>
      <w:r>
        <w:rPr>
          <w:lang w:val="en-US"/>
        </w:rPr>
        <w:t xml:space="preserve"> = 3 HOW </w:t>
      </w:r>
      <w:r w:rsidRPr="00B059AC">
        <w:rPr>
          <w:lang w:val="en-US"/>
        </w:rPr>
        <w:t>151 (1845)</w:t>
      </w:r>
      <w:r>
        <w:rPr>
          <w:lang w:val="en-US"/>
        </w:rPr>
        <w:t xml:space="preserve">; </w:t>
      </w:r>
      <w:r w:rsidRPr="00B059AC">
        <w:rPr>
          <w:lang w:val="en-US"/>
        </w:rPr>
        <w:t xml:space="preserve">1st section: </w:t>
      </w:r>
      <w:r>
        <w:rPr>
          <w:lang w:val="en-US"/>
        </w:rPr>
        <w:t>„</w:t>
      </w:r>
      <w:r w:rsidRPr="00B059AC">
        <w:rPr>
          <w:lang w:val="en-US"/>
        </w:rPr>
        <w:t>That all wagons, carriages, or other modes of conveyance, passing upon that part of the Cumberland road which passes through Pennsylvania, carrying goods, cannon, or military stores belonging to the United States, or to any individual state of the union, which are excepted from the payment of toll by the 2d section of an act passed the fourth of April, anno Domini eighteen hundred and thirty-one, shall extend only so far as to relieve such wagons, carriages, and other modes of conveyance from the payment of toll to the proportional amount of such goods so carried belonging to the United States or to any of the individual states of the union; and that in all cases of wagons, carriages, stages, or other modes of conveyance, carrying the United States</w:t>
      </w:r>
      <w:r>
        <w:rPr>
          <w:lang w:val="en-US"/>
        </w:rPr>
        <w:t>’</w:t>
      </w:r>
      <w:r w:rsidRPr="00B059AC">
        <w:rPr>
          <w:lang w:val="en-US"/>
        </w:rPr>
        <w:t xml:space="preserve"> mail, with passengers or goods, such wagon, stage, or other mode of conveyance, shall pay half toll upon such modes of conveyance.</w:t>
      </w:r>
      <w:r>
        <w:rPr>
          <w:lang w:val="en-US"/>
        </w:rPr>
        <w:t xml:space="preserve">“, </w:t>
      </w:r>
      <w:r w:rsidRPr="001F38CE">
        <w:rPr>
          <w:i/>
          <w:lang w:val="en-US"/>
        </w:rPr>
        <w:t>Searight v. Stokes</w:t>
      </w:r>
      <w:r w:rsidRPr="00B059AC">
        <w:rPr>
          <w:lang w:val="en-US"/>
        </w:rPr>
        <w:t>, 44 U.S. 151, 162</w:t>
      </w:r>
      <w:r>
        <w:rPr>
          <w:lang w:val="en-US"/>
        </w:rPr>
        <w:t xml:space="preserve"> = 11 L. Ed. </w:t>
      </w:r>
      <w:r w:rsidRPr="00B059AC">
        <w:rPr>
          <w:lang w:val="en-US"/>
        </w:rPr>
        <w:t>537, 543</w:t>
      </w:r>
      <w:r>
        <w:rPr>
          <w:lang w:val="en-US"/>
        </w:rPr>
        <w:t xml:space="preserve"> = 1845 U.S. LEXIS </w:t>
      </w:r>
      <w:r w:rsidRPr="00B059AC">
        <w:rPr>
          <w:lang w:val="en-US"/>
        </w:rPr>
        <w:t>428, 6</w:t>
      </w:r>
      <w:r>
        <w:rPr>
          <w:lang w:val="en-US"/>
        </w:rPr>
        <w:t>–</w:t>
      </w:r>
      <w:r w:rsidRPr="00B059AC">
        <w:rPr>
          <w:lang w:val="en-US"/>
        </w:rPr>
        <w:t>7</w:t>
      </w:r>
      <w:r>
        <w:rPr>
          <w:lang w:val="en-US"/>
        </w:rPr>
        <w:t xml:space="preserve"> = 3 HOW </w:t>
      </w:r>
      <w:r w:rsidRPr="00B059AC">
        <w:rPr>
          <w:lang w:val="en-US"/>
        </w:rPr>
        <w:t>151 (1845)</w:t>
      </w:r>
      <w:r>
        <w:rPr>
          <w:lang w:val="en-US"/>
        </w:rPr>
        <w:t>.</w:t>
      </w:r>
    </w:p>
  </w:footnote>
  <w:footnote w:id="204">
    <w:p w14:paraId="52E5BB81" w14:textId="77777777" w:rsidR="00074551" w:rsidRPr="00B059AC" w:rsidRDefault="00074551" w:rsidP="00074551">
      <w:pPr>
        <w:pStyle w:val="Funotentext"/>
        <w:rPr>
          <w:lang w:val="en-US"/>
        </w:rPr>
      </w:pPr>
      <w:r>
        <w:rPr>
          <w:rStyle w:val="Funotenzeichen"/>
        </w:rPr>
        <w:footnoteRef/>
      </w:r>
      <w:r w:rsidRPr="00B059AC">
        <w:rPr>
          <w:lang w:val="en-US"/>
        </w:rPr>
        <w:t xml:space="preserve"> </w:t>
      </w:r>
      <w:r w:rsidRPr="001F38CE">
        <w:rPr>
          <w:i/>
          <w:lang w:val="en-US"/>
        </w:rPr>
        <w:t>Searight v. Stokes</w:t>
      </w:r>
      <w:r w:rsidRPr="00B059AC">
        <w:rPr>
          <w:lang w:val="en-US"/>
        </w:rPr>
        <w:t>, 44 U.S. 151, 162</w:t>
      </w:r>
      <w:r>
        <w:rPr>
          <w:lang w:val="en-US"/>
        </w:rPr>
        <w:t xml:space="preserve"> = 11 L. Ed. </w:t>
      </w:r>
      <w:r w:rsidRPr="00B059AC">
        <w:rPr>
          <w:lang w:val="en-US"/>
        </w:rPr>
        <w:t>537, 543</w:t>
      </w:r>
      <w:r>
        <w:rPr>
          <w:lang w:val="en-US"/>
        </w:rPr>
        <w:t xml:space="preserve"> = 1845 U.S. LEXIS </w:t>
      </w:r>
      <w:r w:rsidRPr="00B059AC">
        <w:rPr>
          <w:lang w:val="en-US"/>
        </w:rPr>
        <w:t>428, 12</w:t>
      </w:r>
      <w:r>
        <w:rPr>
          <w:lang w:val="en-US"/>
        </w:rPr>
        <w:t xml:space="preserve"> = 3 HOW </w:t>
      </w:r>
      <w:r w:rsidRPr="00B059AC">
        <w:rPr>
          <w:lang w:val="en-US"/>
        </w:rPr>
        <w:t>151 (1845)</w:t>
      </w:r>
      <w:r>
        <w:rPr>
          <w:lang w:val="en-US"/>
        </w:rPr>
        <w:t>.</w:t>
      </w:r>
    </w:p>
  </w:footnote>
  <w:footnote w:id="205">
    <w:p w14:paraId="525713F6" w14:textId="77777777" w:rsidR="00074551" w:rsidRPr="003334BA" w:rsidRDefault="00074551" w:rsidP="00074551">
      <w:pPr>
        <w:pStyle w:val="Funotentext"/>
        <w:rPr>
          <w:lang w:val="en-US"/>
        </w:rPr>
      </w:pPr>
      <w:r>
        <w:rPr>
          <w:rStyle w:val="Funotenzeichen"/>
        </w:rPr>
        <w:footnoteRef/>
      </w:r>
      <w:r w:rsidRPr="003334BA">
        <w:rPr>
          <w:lang w:val="en-US"/>
        </w:rPr>
        <w:t xml:space="preserve"> </w:t>
      </w:r>
      <w:r w:rsidRPr="001F38CE">
        <w:rPr>
          <w:i/>
          <w:lang w:val="en-US"/>
        </w:rPr>
        <w:t>Searight v. Stokes</w:t>
      </w:r>
      <w:r w:rsidRPr="003334BA">
        <w:rPr>
          <w:lang w:val="en-US"/>
        </w:rPr>
        <w:t>, 44 U.S. 151, 163</w:t>
      </w:r>
      <w:r>
        <w:rPr>
          <w:lang w:val="en-US"/>
        </w:rPr>
        <w:t xml:space="preserve"> = 11 L. Ed. </w:t>
      </w:r>
      <w:r w:rsidRPr="003334BA">
        <w:rPr>
          <w:lang w:val="en-US"/>
        </w:rPr>
        <w:t>537, 543</w:t>
      </w:r>
      <w:r>
        <w:rPr>
          <w:lang w:val="en-US"/>
        </w:rPr>
        <w:t xml:space="preserve"> = 1845 U.S. LEXIS </w:t>
      </w:r>
      <w:r w:rsidRPr="003334BA">
        <w:rPr>
          <w:lang w:val="en-US"/>
        </w:rPr>
        <w:t>428, 30</w:t>
      </w:r>
      <w:r>
        <w:rPr>
          <w:lang w:val="en-US"/>
        </w:rPr>
        <w:t xml:space="preserve"> = 3 HOW </w:t>
      </w:r>
      <w:r w:rsidRPr="003334BA">
        <w:rPr>
          <w:lang w:val="en-US"/>
        </w:rPr>
        <w:t>151 (1845)</w:t>
      </w:r>
      <w:r>
        <w:rPr>
          <w:lang w:val="en-US"/>
        </w:rPr>
        <w:t>.</w:t>
      </w:r>
    </w:p>
  </w:footnote>
  <w:footnote w:id="206">
    <w:p w14:paraId="71A5A4DF" w14:textId="77777777" w:rsidR="00074551" w:rsidRPr="00710C2F" w:rsidRDefault="00074551" w:rsidP="00074551">
      <w:pPr>
        <w:pStyle w:val="Funotentext"/>
        <w:rPr>
          <w:lang w:val="en-US"/>
        </w:rPr>
      </w:pPr>
      <w:r>
        <w:rPr>
          <w:rStyle w:val="Funotenzeichen"/>
        </w:rPr>
        <w:footnoteRef/>
      </w:r>
      <w:r w:rsidRPr="00710C2F">
        <w:rPr>
          <w:lang w:val="en-US"/>
        </w:rPr>
        <w:t xml:space="preserve"> </w:t>
      </w:r>
      <w:r w:rsidRPr="001F38CE">
        <w:rPr>
          <w:i/>
          <w:lang w:val="en-US"/>
        </w:rPr>
        <w:t>Searight v. Stokes</w:t>
      </w:r>
      <w:r w:rsidRPr="00710C2F">
        <w:rPr>
          <w:lang w:val="en-US"/>
        </w:rPr>
        <w:t>, 44 U.S. 151, 167</w:t>
      </w:r>
      <w:r>
        <w:rPr>
          <w:lang w:val="en-US"/>
        </w:rPr>
        <w:t xml:space="preserve"> = 11 L. Ed. </w:t>
      </w:r>
      <w:r w:rsidRPr="00710C2F">
        <w:rPr>
          <w:lang w:val="en-US"/>
        </w:rPr>
        <w:t>537, 545</w:t>
      </w:r>
      <w:r>
        <w:rPr>
          <w:lang w:val="en-US"/>
        </w:rPr>
        <w:t xml:space="preserve"> = 1845 U.S. LEXIS </w:t>
      </w:r>
      <w:r w:rsidRPr="00710C2F">
        <w:rPr>
          <w:lang w:val="en-US"/>
        </w:rPr>
        <w:t>428, 41</w:t>
      </w:r>
      <w:r>
        <w:rPr>
          <w:lang w:val="en-US"/>
        </w:rPr>
        <w:t xml:space="preserve"> = 3 HOW </w:t>
      </w:r>
      <w:r w:rsidRPr="00710C2F">
        <w:rPr>
          <w:lang w:val="en-US"/>
        </w:rPr>
        <w:t>151 (1845)</w:t>
      </w:r>
      <w:r>
        <w:rPr>
          <w:lang w:val="en-US"/>
        </w:rPr>
        <w:t>.</w:t>
      </w:r>
    </w:p>
  </w:footnote>
  <w:footnote w:id="207">
    <w:p w14:paraId="7AB2FD6A" w14:textId="77777777" w:rsidR="00074551" w:rsidRPr="00710C2F" w:rsidRDefault="00074551" w:rsidP="00074551">
      <w:pPr>
        <w:pStyle w:val="Funotentext"/>
        <w:rPr>
          <w:lang w:val="en-US"/>
        </w:rPr>
      </w:pPr>
      <w:r>
        <w:rPr>
          <w:rStyle w:val="Funotenzeichen"/>
        </w:rPr>
        <w:footnoteRef/>
      </w:r>
      <w:r w:rsidRPr="00710C2F">
        <w:rPr>
          <w:lang w:val="en-US"/>
        </w:rPr>
        <w:t xml:space="preserve"> </w:t>
      </w:r>
      <w:r w:rsidRPr="001F38CE">
        <w:rPr>
          <w:i/>
          <w:lang w:val="en-US"/>
        </w:rPr>
        <w:t>Searight v. Stokes</w:t>
      </w:r>
      <w:r w:rsidRPr="00710C2F">
        <w:rPr>
          <w:lang w:val="en-US"/>
        </w:rPr>
        <w:t>, 44 U.S. 151, 167</w:t>
      </w:r>
      <w:r>
        <w:rPr>
          <w:lang w:val="en-US"/>
        </w:rPr>
        <w:t xml:space="preserve"> = 11 L. Ed. </w:t>
      </w:r>
      <w:r w:rsidRPr="00710C2F">
        <w:rPr>
          <w:lang w:val="en-US"/>
        </w:rPr>
        <w:t>537, 545</w:t>
      </w:r>
      <w:r>
        <w:rPr>
          <w:lang w:val="en-US"/>
        </w:rPr>
        <w:t xml:space="preserve"> = 1845 U.S. LEXIS </w:t>
      </w:r>
      <w:r w:rsidRPr="00710C2F">
        <w:rPr>
          <w:lang w:val="en-US"/>
        </w:rPr>
        <w:t>428, 41</w:t>
      </w:r>
      <w:r>
        <w:rPr>
          <w:lang w:val="en-US"/>
        </w:rPr>
        <w:t xml:space="preserve"> = 3 HOW </w:t>
      </w:r>
      <w:r w:rsidRPr="00710C2F">
        <w:rPr>
          <w:lang w:val="en-US"/>
        </w:rPr>
        <w:t>151 (1845)</w:t>
      </w:r>
      <w:r>
        <w:rPr>
          <w:lang w:val="en-US"/>
        </w:rPr>
        <w:t>.</w:t>
      </w:r>
    </w:p>
  </w:footnote>
  <w:footnote w:id="208">
    <w:p w14:paraId="3FB0B5D5" w14:textId="77777777" w:rsidR="00074551" w:rsidRPr="00BC78BA" w:rsidRDefault="00074551" w:rsidP="00074551">
      <w:pPr>
        <w:pStyle w:val="Funotentext"/>
        <w:rPr>
          <w:lang w:val="en-US"/>
        </w:rPr>
      </w:pPr>
      <w:r>
        <w:rPr>
          <w:rStyle w:val="Funotenzeichen"/>
        </w:rPr>
        <w:footnoteRef/>
      </w:r>
      <w:r w:rsidRPr="00BC78BA">
        <w:rPr>
          <w:lang w:val="en-US"/>
        </w:rPr>
        <w:t xml:space="preserve"> </w:t>
      </w:r>
      <w:r>
        <w:rPr>
          <w:lang w:val="en-US"/>
        </w:rPr>
        <w:t>„[N]</w:t>
      </w:r>
      <w:r w:rsidRPr="00BC78BA">
        <w:rPr>
          <w:lang w:val="en-US"/>
        </w:rPr>
        <w:t xml:space="preserve">o state shall levy any imposts or duties on imports or </w:t>
      </w:r>
      <w:proofErr w:type="gramStart"/>
      <w:r w:rsidRPr="00BC78BA">
        <w:rPr>
          <w:lang w:val="en-US"/>
        </w:rPr>
        <w:t>exports</w:t>
      </w:r>
      <w:r>
        <w:rPr>
          <w:lang w:val="en-US"/>
        </w:rPr>
        <w:t>“</w:t>
      </w:r>
      <w:proofErr w:type="gramEnd"/>
      <w:r>
        <w:rPr>
          <w:lang w:val="en-US"/>
        </w:rPr>
        <w:t xml:space="preserve">, </w:t>
      </w:r>
      <w:r w:rsidRPr="001F38CE">
        <w:rPr>
          <w:i/>
          <w:lang w:val="en-US"/>
        </w:rPr>
        <w:t>Woodruff v. Parham</w:t>
      </w:r>
      <w:r w:rsidRPr="00BC78BA">
        <w:rPr>
          <w:lang w:val="en-US"/>
        </w:rPr>
        <w:t>, 75 U.S. 123, 130</w:t>
      </w:r>
      <w:r>
        <w:rPr>
          <w:lang w:val="en-US"/>
        </w:rPr>
        <w:t xml:space="preserve"> = 19 L. Ed. </w:t>
      </w:r>
      <w:r w:rsidRPr="00BC78BA">
        <w:rPr>
          <w:lang w:val="en-US"/>
        </w:rPr>
        <w:t>382, 384</w:t>
      </w:r>
      <w:r>
        <w:rPr>
          <w:lang w:val="en-US"/>
        </w:rPr>
        <w:t xml:space="preserve"> = 1868 U.S. LEXIS </w:t>
      </w:r>
      <w:r w:rsidRPr="00BC78BA">
        <w:rPr>
          <w:lang w:val="en-US"/>
        </w:rPr>
        <w:t>1088, 2</w:t>
      </w:r>
      <w:r>
        <w:rPr>
          <w:lang w:val="en-US"/>
        </w:rPr>
        <w:t xml:space="preserve"> = 8 Wall. </w:t>
      </w:r>
      <w:r w:rsidRPr="00BC78BA">
        <w:rPr>
          <w:lang w:val="en-US"/>
        </w:rPr>
        <w:t>123 (1869)</w:t>
      </w:r>
      <w:r>
        <w:rPr>
          <w:lang w:val="en-US"/>
        </w:rPr>
        <w:t>.</w:t>
      </w:r>
    </w:p>
  </w:footnote>
  <w:footnote w:id="209">
    <w:p w14:paraId="793C7CA0" w14:textId="77777777" w:rsidR="00074551" w:rsidRPr="00D15B4B" w:rsidRDefault="00074551" w:rsidP="00074551">
      <w:pPr>
        <w:pStyle w:val="Funotentext"/>
        <w:rPr>
          <w:lang w:val="en-US"/>
        </w:rPr>
      </w:pPr>
      <w:r>
        <w:rPr>
          <w:rStyle w:val="Funotenzeichen"/>
        </w:rPr>
        <w:footnoteRef/>
      </w:r>
      <w:r w:rsidRPr="00D15B4B">
        <w:rPr>
          <w:lang w:val="en-US"/>
        </w:rPr>
        <w:t xml:space="preserve"> </w:t>
      </w:r>
      <w:r w:rsidRPr="001F38CE">
        <w:rPr>
          <w:i/>
          <w:lang w:val="en-US"/>
        </w:rPr>
        <w:t>Woodruff v. Parham</w:t>
      </w:r>
      <w:r w:rsidRPr="00D15B4B">
        <w:rPr>
          <w:lang w:val="en-US"/>
        </w:rPr>
        <w:t>, 75 U.S. 123, 130</w:t>
      </w:r>
      <w:r>
        <w:rPr>
          <w:lang w:val="en-US"/>
        </w:rPr>
        <w:t xml:space="preserve"> = 19 L. Ed. </w:t>
      </w:r>
      <w:r w:rsidRPr="00D15B4B">
        <w:rPr>
          <w:lang w:val="en-US"/>
        </w:rPr>
        <w:t>382, 384</w:t>
      </w:r>
      <w:r>
        <w:rPr>
          <w:lang w:val="en-US"/>
        </w:rPr>
        <w:t xml:space="preserve"> = 1868 U.S. LEXIS </w:t>
      </w:r>
      <w:r w:rsidRPr="00D15B4B">
        <w:rPr>
          <w:lang w:val="en-US"/>
        </w:rPr>
        <w:t>1088, 2</w:t>
      </w:r>
      <w:r>
        <w:rPr>
          <w:lang w:val="en-US"/>
        </w:rPr>
        <w:t xml:space="preserve"> = 8 Wall. </w:t>
      </w:r>
      <w:r w:rsidRPr="00D15B4B">
        <w:rPr>
          <w:lang w:val="en-US"/>
        </w:rPr>
        <w:t>123 (1869)</w:t>
      </w:r>
      <w:r>
        <w:rPr>
          <w:lang w:val="en-US"/>
        </w:rPr>
        <w:t>.</w:t>
      </w:r>
    </w:p>
  </w:footnote>
  <w:footnote w:id="210">
    <w:p w14:paraId="2085F492" w14:textId="77777777" w:rsidR="00074551" w:rsidRPr="00BE1D71" w:rsidRDefault="00074551" w:rsidP="00074551">
      <w:pPr>
        <w:pStyle w:val="Funotentext"/>
        <w:rPr>
          <w:lang w:val="en-US"/>
        </w:rPr>
      </w:pPr>
      <w:r>
        <w:rPr>
          <w:rStyle w:val="Funotenzeichen"/>
        </w:rPr>
        <w:footnoteRef/>
      </w:r>
      <w:r w:rsidRPr="00BE1D71">
        <w:rPr>
          <w:lang w:val="en-US"/>
        </w:rPr>
        <w:t xml:space="preserve"> </w:t>
      </w:r>
      <w:r w:rsidRPr="001F38CE">
        <w:rPr>
          <w:i/>
          <w:lang w:val="en-US"/>
        </w:rPr>
        <w:t>Woodruff v. Parham</w:t>
      </w:r>
      <w:r w:rsidRPr="00BE1D71">
        <w:rPr>
          <w:lang w:val="en-US"/>
        </w:rPr>
        <w:t>, 75 U.S. 123, 140</w:t>
      </w:r>
      <w:r>
        <w:rPr>
          <w:lang w:val="en-US"/>
        </w:rPr>
        <w:t xml:space="preserve"> = 19 L. Ed. </w:t>
      </w:r>
      <w:r w:rsidRPr="00BE1D71">
        <w:rPr>
          <w:lang w:val="en-US"/>
        </w:rPr>
        <w:t>382, 387</w:t>
      </w:r>
      <w:r>
        <w:rPr>
          <w:lang w:val="en-US"/>
        </w:rPr>
        <w:t xml:space="preserve"> = 1868 U.S. LEXIS </w:t>
      </w:r>
      <w:r w:rsidRPr="00BE1D71">
        <w:rPr>
          <w:lang w:val="en-US"/>
        </w:rPr>
        <w:t>1088, 30</w:t>
      </w:r>
      <w:r>
        <w:rPr>
          <w:lang w:val="en-US"/>
        </w:rPr>
        <w:t xml:space="preserve"> = 8 Wall. </w:t>
      </w:r>
      <w:r w:rsidRPr="00BE1D71">
        <w:rPr>
          <w:lang w:val="en-US"/>
        </w:rPr>
        <w:t>123 (1869)</w:t>
      </w:r>
      <w:r>
        <w:rPr>
          <w:lang w:val="en-US"/>
        </w:rPr>
        <w:t>.</w:t>
      </w:r>
    </w:p>
  </w:footnote>
  <w:footnote w:id="211">
    <w:p w14:paraId="4E0454D6" w14:textId="77777777" w:rsidR="00074551" w:rsidRPr="00C6324C" w:rsidRDefault="00074551" w:rsidP="00074551">
      <w:pPr>
        <w:pStyle w:val="Funotentext"/>
        <w:rPr>
          <w:lang w:val="en-US"/>
        </w:rPr>
      </w:pPr>
      <w:r>
        <w:rPr>
          <w:rStyle w:val="Funotenzeichen"/>
        </w:rPr>
        <w:footnoteRef/>
      </w:r>
      <w:r w:rsidRPr="00C6324C">
        <w:rPr>
          <w:lang w:val="en-US"/>
        </w:rPr>
        <w:t xml:space="preserve"> </w:t>
      </w:r>
      <w:r w:rsidRPr="001F38CE">
        <w:rPr>
          <w:i/>
          <w:lang w:val="en-US"/>
        </w:rPr>
        <w:t>Woodruff v. Parham</w:t>
      </w:r>
      <w:r w:rsidRPr="00C6324C">
        <w:rPr>
          <w:lang w:val="en-US"/>
        </w:rPr>
        <w:t>, 75 U.S. 123, 143</w:t>
      </w:r>
      <w:r>
        <w:rPr>
          <w:lang w:val="en-US"/>
        </w:rPr>
        <w:t xml:space="preserve"> = 19 L. Ed. </w:t>
      </w:r>
      <w:r w:rsidRPr="00C6324C">
        <w:rPr>
          <w:lang w:val="en-US"/>
        </w:rPr>
        <w:t>382, 387</w:t>
      </w:r>
      <w:r>
        <w:rPr>
          <w:lang w:val="en-US"/>
        </w:rPr>
        <w:t xml:space="preserve"> = 1868 U.S. LEXIS </w:t>
      </w:r>
      <w:r w:rsidRPr="00C6324C">
        <w:rPr>
          <w:lang w:val="en-US"/>
        </w:rPr>
        <w:t>1088, 36</w:t>
      </w:r>
      <w:r>
        <w:rPr>
          <w:lang w:val="en-US"/>
        </w:rPr>
        <w:t xml:space="preserve"> = 8 Wall. </w:t>
      </w:r>
      <w:r w:rsidRPr="00C6324C">
        <w:rPr>
          <w:lang w:val="en-US"/>
        </w:rPr>
        <w:t>123 (1869)</w:t>
      </w:r>
      <w:r>
        <w:rPr>
          <w:lang w:val="en-US"/>
        </w:rPr>
        <w:t>.</w:t>
      </w:r>
    </w:p>
  </w:footnote>
  <w:footnote w:id="212">
    <w:p w14:paraId="173780BE" w14:textId="77777777" w:rsidR="00074551" w:rsidRPr="00C6324C" w:rsidRDefault="00074551" w:rsidP="00074551">
      <w:pPr>
        <w:pStyle w:val="Funotentext"/>
        <w:rPr>
          <w:lang w:val="en-US"/>
        </w:rPr>
      </w:pPr>
      <w:r>
        <w:rPr>
          <w:rStyle w:val="Funotenzeichen"/>
        </w:rPr>
        <w:footnoteRef/>
      </w:r>
      <w:r w:rsidRPr="00C6324C">
        <w:rPr>
          <w:lang w:val="en-US"/>
        </w:rPr>
        <w:t xml:space="preserve"> </w:t>
      </w:r>
      <w:r w:rsidRPr="001F38CE">
        <w:rPr>
          <w:i/>
          <w:lang w:val="en-US"/>
        </w:rPr>
        <w:t>Woodruff v. Parham</w:t>
      </w:r>
      <w:r w:rsidRPr="00C6324C">
        <w:rPr>
          <w:lang w:val="en-US"/>
        </w:rPr>
        <w:t>, 75 U.S. 123, 143</w:t>
      </w:r>
      <w:r>
        <w:rPr>
          <w:lang w:val="en-US"/>
        </w:rPr>
        <w:t xml:space="preserve"> = 19 L. Ed. </w:t>
      </w:r>
      <w:r w:rsidRPr="00C6324C">
        <w:rPr>
          <w:lang w:val="en-US"/>
        </w:rPr>
        <w:t>382, 387</w:t>
      </w:r>
      <w:r>
        <w:rPr>
          <w:lang w:val="en-US"/>
        </w:rPr>
        <w:t xml:space="preserve"> = 1868 U.S. LEXIS </w:t>
      </w:r>
      <w:r w:rsidRPr="00C6324C">
        <w:rPr>
          <w:lang w:val="en-US"/>
        </w:rPr>
        <w:t>1088, 36</w:t>
      </w:r>
      <w:r>
        <w:rPr>
          <w:lang w:val="en-US"/>
        </w:rPr>
        <w:t xml:space="preserve"> = 8 Wall. </w:t>
      </w:r>
      <w:r w:rsidRPr="00C6324C">
        <w:rPr>
          <w:lang w:val="en-US"/>
        </w:rPr>
        <w:t>123 (1869)</w:t>
      </w:r>
      <w:r>
        <w:rPr>
          <w:lang w:val="en-US"/>
        </w:rPr>
        <w:t>.</w:t>
      </w:r>
    </w:p>
  </w:footnote>
  <w:footnote w:id="213">
    <w:p w14:paraId="4752BB2F" w14:textId="77777777" w:rsidR="00074551" w:rsidRPr="00AB40B8" w:rsidRDefault="00074551" w:rsidP="00074551">
      <w:pPr>
        <w:pStyle w:val="Funotentext"/>
        <w:rPr>
          <w:lang w:val="en-US"/>
        </w:rPr>
      </w:pPr>
      <w:r>
        <w:rPr>
          <w:rStyle w:val="Funotenzeichen"/>
        </w:rPr>
        <w:footnoteRef/>
      </w:r>
      <w:r w:rsidRPr="00AB40B8">
        <w:rPr>
          <w:lang w:val="en-US"/>
        </w:rPr>
        <w:t xml:space="preserve"> </w:t>
      </w:r>
      <w:r w:rsidRPr="00B45592">
        <w:rPr>
          <w:i/>
          <w:lang w:val="en-US"/>
        </w:rPr>
        <w:t>Public Works Employment Act</w:t>
      </w:r>
      <w:r w:rsidRPr="00AB40B8">
        <w:rPr>
          <w:lang w:val="en-US"/>
        </w:rPr>
        <w:t xml:space="preserve">, 42 U.S.C.S. </w:t>
      </w:r>
      <w:r>
        <w:rPr>
          <w:lang w:val="en-US"/>
        </w:rPr>
        <w:t>§ </w:t>
      </w:r>
      <w:r w:rsidRPr="00AB40B8">
        <w:rPr>
          <w:lang w:val="en-US"/>
        </w:rPr>
        <w:t>6705(f)(2)</w:t>
      </w:r>
      <w:r>
        <w:rPr>
          <w:lang w:val="en-US"/>
        </w:rPr>
        <w:t>.</w:t>
      </w:r>
    </w:p>
  </w:footnote>
  <w:footnote w:id="214">
    <w:p w14:paraId="4BE3E2D3" w14:textId="77777777" w:rsidR="00074551" w:rsidRPr="000102C0" w:rsidRDefault="00074551" w:rsidP="00074551">
      <w:pPr>
        <w:pStyle w:val="Funotentext"/>
        <w:rPr>
          <w:lang w:val="en-US"/>
        </w:rPr>
      </w:pPr>
      <w:r>
        <w:rPr>
          <w:rStyle w:val="Funotenzeichen"/>
          <w:rFonts w:eastAsiaTheme="majorEastAsia"/>
        </w:rPr>
        <w:footnoteRef/>
      </w:r>
      <w:r w:rsidRPr="000102C0">
        <w:rPr>
          <w:lang w:val="en-US"/>
        </w:rPr>
        <w:t xml:space="preserve"> </w:t>
      </w:r>
      <w:r w:rsidRPr="001F38CE">
        <w:rPr>
          <w:i/>
          <w:lang w:val="en-US"/>
        </w:rPr>
        <w:t xml:space="preserve">Fullilove v. </w:t>
      </w:r>
      <w:proofErr w:type="spellStart"/>
      <w:r w:rsidRPr="001F38CE">
        <w:rPr>
          <w:i/>
          <w:lang w:val="en-US"/>
        </w:rPr>
        <w:t>Klutznick</w:t>
      </w:r>
      <w:proofErr w:type="spellEnd"/>
      <w:r w:rsidRPr="000102C0">
        <w:rPr>
          <w:lang w:val="en-US"/>
        </w:rPr>
        <w:t>, 448 U.S. 448, 473</w:t>
      </w:r>
      <w:r>
        <w:rPr>
          <w:lang w:val="en-US"/>
        </w:rPr>
        <w:t xml:space="preserve"> = 100 S. Ct.</w:t>
      </w:r>
      <w:r w:rsidRPr="000102C0">
        <w:rPr>
          <w:lang w:val="en-US"/>
        </w:rPr>
        <w:t xml:space="preserve"> 2758, 2772</w:t>
      </w:r>
      <w:r>
        <w:rPr>
          <w:lang w:val="en-US"/>
        </w:rPr>
        <w:t xml:space="preserve"> = 65 L. Ed. </w:t>
      </w:r>
      <w:r w:rsidRPr="000102C0">
        <w:rPr>
          <w:lang w:val="en-US"/>
        </w:rPr>
        <w:t>2d 902, 921</w:t>
      </w:r>
      <w:r>
        <w:rPr>
          <w:lang w:val="en-US"/>
        </w:rPr>
        <w:t xml:space="preserve"> = 1980 U.S. LEXIS </w:t>
      </w:r>
      <w:r w:rsidRPr="000102C0">
        <w:rPr>
          <w:lang w:val="en-US"/>
        </w:rPr>
        <w:t>8, 47</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0102C0">
        <w:rPr>
          <w:lang w:val="en-US"/>
        </w:rPr>
        <w:t>(CCH) P31,026</w:t>
      </w:r>
      <w:r>
        <w:rPr>
          <w:lang w:val="en-US"/>
        </w:rPr>
        <w:t xml:space="preserve"> = 27 Cont. Cas. Fed. </w:t>
      </w:r>
      <w:r w:rsidRPr="000102C0">
        <w:rPr>
          <w:lang w:val="en-US"/>
        </w:rPr>
        <w:t>(CCH) P80,496 (1980).</w:t>
      </w:r>
    </w:p>
  </w:footnote>
  <w:footnote w:id="215">
    <w:p w14:paraId="00818FF3" w14:textId="77777777" w:rsidR="00074551" w:rsidRPr="000102C0" w:rsidRDefault="00074551" w:rsidP="00074551">
      <w:pPr>
        <w:pStyle w:val="Funotentext"/>
        <w:rPr>
          <w:lang w:val="en-US"/>
        </w:rPr>
      </w:pPr>
      <w:r>
        <w:rPr>
          <w:rStyle w:val="Funotenzeichen"/>
          <w:rFonts w:eastAsiaTheme="majorEastAsia"/>
        </w:rPr>
        <w:footnoteRef/>
      </w:r>
      <w:r w:rsidRPr="000102C0">
        <w:rPr>
          <w:lang w:val="en-US"/>
        </w:rPr>
        <w:t xml:space="preserve"> </w:t>
      </w:r>
      <w:r w:rsidRPr="001F38CE">
        <w:rPr>
          <w:i/>
          <w:lang w:val="en-US"/>
        </w:rPr>
        <w:t>Buckley v. Valeo</w:t>
      </w:r>
      <w:r w:rsidRPr="000102C0">
        <w:rPr>
          <w:lang w:val="en-US"/>
        </w:rPr>
        <w:t>, 424 U.S. 1, 90</w:t>
      </w:r>
      <w:r>
        <w:rPr>
          <w:lang w:val="en-US"/>
        </w:rPr>
        <w:t>–</w:t>
      </w:r>
      <w:r w:rsidRPr="000102C0">
        <w:rPr>
          <w:lang w:val="en-US"/>
        </w:rPr>
        <w:t xml:space="preserve">91 (1976); </w:t>
      </w:r>
      <w:r w:rsidRPr="00B45592">
        <w:rPr>
          <w:i/>
          <w:lang w:val="en-US"/>
        </w:rPr>
        <w:t>United States v. Butler</w:t>
      </w:r>
      <w:r w:rsidRPr="000102C0">
        <w:rPr>
          <w:lang w:val="en-US"/>
        </w:rPr>
        <w:t>, 297 U.S. 1, 65</w:t>
      </w:r>
      <w:r>
        <w:rPr>
          <w:lang w:val="en-US"/>
        </w:rPr>
        <w:t>–</w:t>
      </w:r>
      <w:r w:rsidRPr="000102C0">
        <w:rPr>
          <w:lang w:val="en-US"/>
        </w:rPr>
        <w:t xml:space="preserve">66 (1936); </w:t>
      </w:r>
      <w:r w:rsidRPr="001F38CE">
        <w:rPr>
          <w:i/>
          <w:lang w:val="en-US"/>
        </w:rPr>
        <w:t xml:space="preserve">Fullilove v. </w:t>
      </w:r>
      <w:proofErr w:type="spellStart"/>
      <w:r w:rsidRPr="001F38CE">
        <w:rPr>
          <w:i/>
          <w:lang w:val="en-US"/>
        </w:rPr>
        <w:t>Klutznick</w:t>
      </w:r>
      <w:proofErr w:type="spellEnd"/>
      <w:r w:rsidRPr="000102C0">
        <w:rPr>
          <w:lang w:val="en-US"/>
        </w:rPr>
        <w:t>, 448 U.S. 448, 474</w:t>
      </w:r>
      <w:r>
        <w:rPr>
          <w:lang w:val="en-US"/>
        </w:rPr>
        <w:t xml:space="preserve"> = 100 S. Ct.</w:t>
      </w:r>
      <w:r w:rsidRPr="000102C0">
        <w:rPr>
          <w:lang w:val="en-US"/>
        </w:rPr>
        <w:t xml:space="preserve"> 2758, 2772</w:t>
      </w:r>
      <w:r>
        <w:rPr>
          <w:lang w:val="en-US"/>
        </w:rPr>
        <w:t xml:space="preserve"> = 65 L. Ed. </w:t>
      </w:r>
      <w:r w:rsidRPr="000102C0">
        <w:rPr>
          <w:lang w:val="en-US"/>
        </w:rPr>
        <w:t>2d 902, 921</w:t>
      </w:r>
      <w:r>
        <w:rPr>
          <w:lang w:val="en-US"/>
        </w:rPr>
        <w:t xml:space="preserve"> = 1980 U.S. LEXIS </w:t>
      </w:r>
      <w:r w:rsidRPr="000102C0">
        <w:rPr>
          <w:lang w:val="en-US"/>
        </w:rPr>
        <w:t>8, 47</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0102C0">
        <w:rPr>
          <w:lang w:val="en-US"/>
        </w:rPr>
        <w:t>(CCH) P31,026</w:t>
      </w:r>
      <w:r>
        <w:rPr>
          <w:lang w:val="en-US"/>
        </w:rPr>
        <w:t xml:space="preserve"> = 27 Cont. Cas. Fed. </w:t>
      </w:r>
      <w:r w:rsidRPr="000102C0">
        <w:rPr>
          <w:lang w:val="en-US"/>
        </w:rPr>
        <w:t>(CCH) P80,496 (1980).</w:t>
      </w:r>
    </w:p>
  </w:footnote>
  <w:footnote w:id="216">
    <w:p w14:paraId="057C01D9" w14:textId="77777777" w:rsidR="00074551" w:rsidRPr="000102C0" w:rsidRDefault="00074551" w:rsidP="00074551">
      <w:pPr>
        <w:pStyle w:val="Funotentext"/>
        <w:rPr>
          <w:lang w:val="en-US"/>
        </w:rPr>
      </w:pPr>
      <w:r>
        <w:rPr>
          <w:rStyle w:val="Funotenzeichen"/>
          <w:rFonts w:eastAsiaTheme="majorEastAsia"/>
        </w:rPr>
        <w:footnoteRef/>
      </w:r>
      <w:r w:rsidRPr="000102C0">
        <w:rPr>
          <w:lang w:val="en-US"/>
        </w:rPr>
        <w:t xml:space="preserve"> </w:t>
      </w:r>
      <w:r w:rsidRPr="001F38CE">
        <w:rPr>
          <w:i/>
          <w:lang w:val="en-US"/>
        </w:rPr>
        <w:t xml:space="preserve">Fullilove v. </w:t>
      </w:r>
      <w:proofErr w:type="spellStart"/>
      <w:r w:rsidRPr="001F38CE">
        <w:rPr>
          <w:i/>
          <w:lang w:val="en-US"/>
        </w:rPr>
        <w:t>Klutznick</w:t>
      </w:r>
      <w:proofErr w:type="spellEnd"/>
      <w:r w:rsidRPr="000102C0">
        <w:rPr>
          <w:lang w:val="en-US"/>
        </w:rPr>
        <w:t>, 448 U.S. 448, 474</w:t>
      </w:r>
      <w:r>
        <w:rPr>
          <w:lang w:val="en-US"/>
        </w:rPr>
        <w:t xml:space="preserve"> = 100 S. Ct.</w:t>
      </w:r>
      <w:r w:rsidRPr="000102C0">
        <w:rPr>
          <w:lang w:val="en-US"/>
        </w:rPr>
        <w:t xml:space="preserve"> 2758, 2772</w:t>
      </w:r>
      <w:r>
        <w:rPr>
          <w:lang w:val="en-US"/>
        </w:rPr>
        <w:t xml:space="preserve"> = 65 L. Ed. </w:t>
      </w:r>
      <w:r w:rsidRPr="000102C0">
        <w:rPr>
          <w:lang w:val="en-US"/>
        </w:rPr>
        <w:t>2d 902, 921</w:t>
      </w:r>
      <w:r>
        <w:rPr>
          <w:lang w:val="en-US"/>
        </w:rPr>
        <w:t xml:space="preserve"> = 1980 U.S. LEXIS </w:t>
      </w:r>
      <w:r w:rsidRPr="000102C0">
        <w:rPr>
          <w:lang w:val="en-US"/>
        </w:rPr>
        <w:t>8, 48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0102C0">
        <w:rPr>
          <w:lang w:val="en-US"/>
        </w:rPr>
        <w:t>(CCH) P31,026</w:t>
      </w:r>
      <w:r>
        <w:rPr>
          <w:lang w:val="en-US"/>
        </w:rPr>
        <w:t xml:space="preserve"> = 27 Cont. Cas. Fed. </w:t>
      </w:r>
      <w:r w:rsidRPr="000102C0">
        <w:rPr>
          <w:lang w:val="en-US"/>
        </w:rPr>
        <w:t>(CCH) P80,496 (1980)</w:t>
      </w:r>
      <w:r>
        <w:rPr>
          <w:lang w:val="en-US"/>
        </w:rPr>
        <w:t>.</w:t>
      </w:r>
    </w:p>
  </w:footnote>
  <w:footnote w:id="217">
    <w:p w14:paraId="015F8787" w14:textId="77777777" w:rsidR="00074551" w:rsidRPr="00F537AD" w:rsidRDefault="00074551" w:rsidP="00074551">
      <w:pPr>
        <w:pStyle w:val="Funotentext"/>
        <w:rPr>
          <w:lang w:val="en-US"/>
        </w:rPr>
      </w:pPr>
      <w:r>
        <w:rPr>
          <w:rStyle w:val="Funotenzeichen"/>
          <w:rFonts w:eastAsiaTheme="majorEastAsia"/>
        </w:rPr>
        <w:footnoteRef/>
      </w:r>
      <w:r w:rsidRPr="00F537AD">
        <w:rPr>
          <w:lang w:val="en-US"/>
        </w:rPr>
        <w:t xml:space="preserve"> </w:t>
      </w:r>
      <w:proofErr w:type="spellStart"/>
      <w:r>
        <w:rPr>
          <w:lang w:val="en-US"/>
        </w:rPr>
        <w:t>Beispielsweise</w:t>
      </w:r>
      <w:proofErr w:type="spellEnd"/>
      <w:r w:rsidRPr="00F537AD">
        <w:rPr>
          <w:lang w:val="en-US"/>
        </w:rPr>
        <w:t xml:space="preserve"> </w:t>
      </w:r>
      <w:r w:rsidRPr="00B45592">
        <w:rPr>
          <w:i/>
          <w:lang w:val="en-US"/>
        </w:rPr>
        <w:t>California Bankers Assn. v. Shultz</w:t>
      </w:r>
      <w:r w:rsidRPr="00F537AD">
        <w:rPr>
          <w:lang w:val="en-US"/>
        </w:rPr>
        <w:t xml:space="preserve">, 416 U.S. 21 (1974); </w:t>
      </w:r>
      <w:r w:rsidRPr="00B45592">
        <w:rPr>
          <w:i/>
          <w:lang w:val="en-US"/>
        </w:rPr>
        <w:t>Lau v. Nichols</w:t>
      </w:r>
      <w:r w:rsidRPr="00F537AD">
        <w:rPr>
          <w:lang w:val="en-US"/>
        </w:rPr>
        <w:t xml:space="preserve">, 414 U.S. 563 (1974); </w:t>
      </w:r>
      <w:r w:rsidRPr="00B45592">
        <w:rPr>
          <w:i/>
          <w:lang w:val="en-US"/>
        </w:rPr>
        <w:t>Oklahoma v. CSC</w:t>
      </w:r>
      <w:r w:rsidRPr="00F537AD">
        <w:rPr>
          <w:lang w:val="en-US"/>
        </w:rPr>
        <w:t xml:space="preserve">, 330 U.S. 127 (1947); </w:t>
      </w:r>
      <w:proofErr w:type="spellStart"/>
      <w:r w:rsidRPr="00B45592">
        <w:rPr>
          <w:i/>
          <w:lang w:val="en-US"/>
        </w:rPr>
        <w:t>Helvering</w:t>
      </w:r>
      <w:proofErr w:type="spellEnd"/>
      <w:r w:rsidRPr="00B45592">
        <w:rPr>
          <w:i/>
          <w:lang w:val="en-US"/>
        </w:rPr>
        <w:t xml:space="preserve"> v. Davis</w:t>
      </w:r>
      <w:r w:rsidRPr="00F537AD">
        <w:rPr>
          <w:lang w:val="en-US"/>
        </w:rPr>
        <w:t xml:space="preserve">, 301 U.S. 619 (1937); </w:t>
      </w:r>
      <w:r w:rsidRPr="001F38CE">
        <w:rPr>
          <w:i/>
          <w:lang w:val="en-US"/>
        </w:rPr>
        <w:t>Steward Machine Co. v. Davis</w:t>
      </w:r>
      <w:r w:rsidRPr="00F537AD">
        <w:rPr>
          <w:lang w:val="en-US"/>
        </w:rPr>
        <w:t>, 301 U.S. 548 (1937)</w:t>
      </w:r>
      <w:r>
        <w:rPr>
          <w:lang w:val="en-US"/>
        </w:rPr>
        <w:t xml:space="preserve">; </w:t>
      </w:r>
      <w:r w:rsidRPr="001F38CE">
        <w:rPr>
          <w:i/>
          <w:lang w:val="en-US"/>
        </w:rPr>
        <w:t xml:space="preserve">Fullilove v. </w:t>
      </w:r>
      <w:proofErr w:type="spellStart"/>
      <w:r w:rsidRPr="001F38CE">
        <w:rPr>
          <w:i/>
          <w:lang w:val="en-US"/>
        </w:rPr>
        <w:t>Klutznick</w:t>
      </w:r>
      <w:proofErr w:type="spellEnd"/>
      <w:r w:rsidRPr="00F537AD">
        <w:rPr>
          <w:lang w:val="en-US"/>
        </w:rPr>
        <w:t>, 448 U.S. 448, 474</w:t>
      </w:r>
      <w:r>
        <w:rPr>
          <w:lang w:val="en-US"/>
        </w:rPr>
        <w:t xml:space="preserve"> = 100 S. Ct.</w:t>
      </w:r>
      <w:r w:rsidRPr="00F537AD">
        <w:rPr>
          <w:lang w:val="en-US"/>
        </w:rPr>
        <w:t xml:space="preserve"> 2758, 2772</w:t>
      </w:r>
      <w:r>
        <w:rPr>
          <w:lang w:val="en-US"/>
        </w:rPr>
        <w:t xml:space="preserve"> = 65 L. Ed. </w:t>
      </w:r>
      <w:r w:rsidRPr="00F537AD">
        <w:rPr>
          <w:lang w:val="en-US"/>
        </w:rPr>
        <w:t>2d 902, 921</w:t>
      </w:r>
      <w:r>
        <w:rPr>
          <w:lang w:val="en-US"/>
        </w:rPr>
        <w:t xml:space="preserve"> = 1980 U.S. LEXIS </w:t>
      </w:r>
      <w:r w:rsidRPr="00F537AD">
        <w:rPr>
          <w:lang w:val="en-US"/>
        </w:rPr>
        <w:t>8, 48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537AD">
        <w:rPr>
          <w:lang w:val="en-US"/>
        </w:rPr>
        <w:t>(CCH) P31,026</w:t>
      </w:r>
      <w:r>
        <w:rPr>
          <w:lang w:val="en-US"/>
        </w:rPr>
        <w:t xml:space="preserve"> = 27 Cont. Cas. Fed. </w:t>
      </w:r>
      <w:r w:rsidRPr="00F537AD">
        <w:rPr>
          <w:lang w:val="en-US"/>
        </w:rPr>
        <w:t>(CCH) P80,496 (1980)</w:t>
      </w:r>
      <w:r>
        <w:rPr>
          <w:lang w:val="en-US"/>
        </w:rPr>
        <w:t>.</w:t>
      </w:r>
    </w:p>
  </w:footnote>
  <w:footnote w:id="218">
    <w:p w14:paraId="48DEECAB" w14:textId="77777777" w:rsidR="00074551" w:rsidRPr="000A22EB" w:rsidRDefault="00074551" w:rsidP="00074551">
      <w:pPr>
        <w:pStyle w:val="Funotentext"/>
        <w:rPr>
          <w:lang w:val="en-US"/>
        </w:rPr>
      </w:pPr>
      <w:r>
        <w:rPr>
          <w:rStyle w:val="Funotenzeichen"/>
          <w:rFonts w:eastAsiaTheme="majorEastAsia"/>
        </w:rPr>
        <w:footnoteRef/>
      </w:r>
      <w:r w:rsidRPr="000A22EB">
        <w:rPr>
          <w:lang w:val="en-US"/>
        </w:rPr>
        <w:t xml:space="preserve"> </w:t>
      </w:r>
      <w:r w:rsidRPr="00A15962">
        <w:rPr>
          <w:i/>
          <w:lang w:val="en-US"/>
        </w:rPr>
        <w:t>Hirabayashi v. United States</w:t>
      </w:r>
      <w:r w:rsidRPr="000A22EB">
        <w:rPr>
          <w:lang w:val="en-US"/>
        </w:rPr>
        <w:t>, 320 U.S. 81, 100</w:t>
      </w:r>
      <w:r>
        <w:rPr>
          <w:lang w:val="en-US"/>
        </w:rPr>
        <w:t xml:space="preserve">; </w:t>
      </w:r>
      <w:r w:rsidRPr="001F38CE">
        <w:rPr>
          <w:i/>
          <w:lang w:val="en-US"/>
        </w:rPr>
        <w:t xml:space="preserve">Fullilove v. </w:t>
      </w:r>
      <w:proofErr w:type="spellStart"/>
      <w:r w:rsidRPr="001F38CE">
        <w:rPr>
          <w:i/>
          <w:lang w:val="en-US"/>
        </w:rPr>
        <w:t>Klutznick</w:t>
      </w:r>
      <w:proofErr w:type="spellEnd"/>
      <w:r w:rsidRPr="000A22EB">
        <w:rPr>
          <w:lang w:val="en-US"/>
        </w:rPr>
        <w:t>, 448 U.S. 448, 533</w:t>
      </w:r>
      <w:r>
        <w:rPr>
          <w:lang w:val="en-US"/>
        </w:rPr>
        <w:t xml:space="preserve"> = 100 S. Ct.</w:t>
      </w:r>
      <w:r w:rsidRPr="000A22EB">
        <w:rPr>
          <w:lang w:val="en-US"/>
        </w:rPr>
        <w:t xml:space="preserve"> 2758, 2803</w:t>
      </w:r>
      <w:r>
        <w:rPr>
          <w:lang w:val="en-US"/>
        </w:rPr>
        <w:t xml:space="preserve"> = 65 L. Ed. </w:t>
      </w:r>
      <w:r w:rsidRPr="000A22EB">
        <w:rPr>
          <w:lang w:val="en-US"/>
        </w:rPr>
        <w:t>2d 902, 960</w:t>
      </w:r>
      <w:r>
        <w:rPr>
          <w:lang w:val="en-US"/>
        </w:rPr>
        <w:t xml:space="preserve"> = 1980 U.S. LEXIS </w:t>
      </w:r>
      <w:r w:rsidRPr="000A22EB">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0A22EB">
        <w:rPr>
          <w:lang w:val="en-US"/>
        </w:rPr>
        <w:t>(CCH) P31,026</w:t>
      </w:r>
      <w:r>
        <w:rPr>
          <w:lang w:val="en-US"/>
        </w:rPr>
        <w:t xml:space="preserve"> = 27 Cont. Cas. Fed. </w:t>
      </w:r>
      <w:r w:rsidRPr="000A22EB">
        <w:rPr>
          <w:lang w:val="en-US"/>
        </w:rPr>
        <w:t>(CCH) P80,496 (1980)</w:t>
      </w:r>
      <w:r>
        <w:rPr>
          <w:lang w:val="en-US"/>
        </w:rPr>
        <w:t>.</w:t>
      </w:r>
    </w:p>
  </w:footnote>
  <w:footnote w:id="219">
    <w:p w14:paraId="2B2A3B2C" w14:textId="77777777" w:rsidR="00074551" w:rsidRPr="00B45592" w:rsidRDefault="00074551" w:rsidP="00074551">
      <w:pPr>
        <w:pStyle w:val="Funotentext"/>
      </w:pPr>
      <w:r>
        <w:rPr>
          <w:rStyle w:val="Funotenzeichen"/>
          <w:rFonts w:eastAsiaTheme="majorEastAsia"/>
        </w:rPr>
        <w:footnoteRef/>
      </w:r>
      <w:r w:rsidRPr="00F537AD">
        <w:rPr>
          <w:lang w:val="en-US"/>
        </w:rPr>
        <w:t xml:space="preserve"> </w:t>
      </w:r>
      <w:r w:rsidRPr="001F38CE">
        <w:rPr>
          <w:i/>
          <w:lang w:val="en-US"/>
        </w:rPr>
        <w:t xml:space="preserve">Fullilove v. </w:t>
      </w:r>
      <w:proofErr w:type="spellStart"/>
      <w:r w:rsidRPr="001F38CE">
        <w:rPr>
          <w:i/>
          <w:lang w:val="en-US"/>
        </w:rPr>
        <w:t>Klutznick</w:t>
      </w:r>
      <w:proofErr w:type="spellEnd"/>
      <w:r w:rsidRPr="00F537AD">
        <w:rPr>
          <w:lang w:val="en-US"/>
        </w:rPr>
        <w:t>, 448 U.S. 448, 533</w:t>
      </w:r>
      <w:r>
        <w:rPr>
          <w:lang w:val="en-US"/>
        </w:rPr>
        <w:t xml:space="preserve"> = 100 S. Ct.</w:t>
      </w:r>
      <w:r w:rsidRPr="00F537AD">
        <w:rPr>
          <w:lang w:val="en-US"/>
        </w:rPr>
        <w:t xml:space="preserve"> 2758, 2803</w:t>
      </w:r>
      <w:r>
        <w:rPr>
          <w:lang w:val="en-US"/>
        </w:rPr>
        <w:t xml:space="preserve"> = 65 L. Ed. </w:t>
      </w:r>
      <w:r w:rsidRPr="00F537AD">
        <w:rPr>
          <w:lang w:val="en-US"/>
        </w:rPr>
        <w:t>2d 902, 960</w:t>
      </w:r>
      <w:r>
        <w:rPr>
          <w:lang w:val="en-US"/>
        </w:rPr>
        <w:t xml:space="preserve"> = 1980 U.S. LEXIS </w:t>
      </w:r>
      <w:r w:rsidRPr="00F537AD">
        <w:rPr>
          <w:lang w:val="en-US"/>
        </w:rPr>
        <w:t>8, 148</w:t>
      </w:r>
      <w:r>
        <w:rPr>
          <w:lang w:val="en-US"/>
        </w:rPr>
        <w:t xml:space="preserve"> = 23 </w:t>
      </w:r>
      <w:proofErr w:type="spellStart"/>
      <w:r>
        <w:rPr>
          <w:lang w:val="en-US"/>
        </w:rPr>
        <w:t>Empl</w:t>
      </w:r>
      <w:proofErr w:type="spellEnd"/>
      <w:r>
        <w:rPr>
          <w:lang w:val="en-US"/>
        </w:rPr>
        <w:t xml:space="preserve">. </w:t>
      </w:r>
      <w:proofErr w:type="spellStart"/>
      <w:r w:rsidRPr="00B45592">
        <w:t>Prac</w:t>
      </w:r>
      <w:proofErr w:type="spellEnd"/>
      <w:r w:rsidRPr="00B45592">
        <w:t xml:space="preserve">. </w:t>
      </w:r>
      <w:proofErr w:type="spellStart"/>
      <w:r w:rsidRPr="00B45592">
        <w:t>Dec</w:t>
      </w:r>
      <w:proofErr w:type="spellEnd"/>
      <w:r w:rsidRPr="00B45592">
        <w:t>. (CCH) P31,026</w:t>
      </w:r>
      <w:r>
        <w:t xml:space="preserve"> = 27 </w:t>
      </w:r>
      <w:proofErr w:type="spellStart"/>
      <w:r>
        <w:t>Cont</w:t>
      </w:r>
      <w:proofErr w:type="spellEnd"/>
      <w:r>
        <w:t xml:space="preserve">. Cas. Fed. </w:t>
      </w:r>
      <w:r w:rsidRPr="00B45592">
        <w:t>(CCH) P80,496 (1980).</w:t>
      </w:r>
    </w:p>
  </w:footnote>
  <w:footnote w:id="220">
    <w:p w14:paraId="0E2CC28E" w14:textId="77777777" w:rsidR="00074551" w:rsidRPr="002E1FAB" w:rsidRDefault="00074551" w:rsidP="00074551">
      <w:pPr>
        <w:pStyle w:val="Funotentext"/>
        <w:rPr>
          <w:lang w:val="en-US"/>
        </w:rPr>
      </w:pPr>
      <w:r>
        <w:rPr>
          <w:rStyle w:val="Funotenzeichen"/>
          <w:rFonts w:eastAsiaTheme="majorEastAsia"/>
        </w:rPr>
        <w:footnoteRef/>
      </w:r>
      <w:r>
        <w:t xml:space="preserve"> </w:t>
      </w:r>
      <w:r w:rsidRPr="002E1FAB">
        <w:t>D</w:t>
      </w:r>
      <w:r>
        <w:t>ies</w:t>
      </w:r>
      <w:r w:rsidRPr="002E1FAB">
        <w:t>er setzt voraus, dass niemand sog. berau</w:t>
      </w:r>
      <w:r>
        <w:t>s</w:t>
      </w:r>
      <w:r w:rsidRPr="002E1FAB">
        <w:t>chenden Malzalkohol herstellen, verkaufen, tauschen, transportieren, importieren, exportieren, liefern, bereitstellen oder besitzen darf</w:t>
      </w:r>
      <w:r>
        <w:t> </w:t>
      </w:r>
      <w:r w:rsidRPr="002E1FAB">
        <w:t>– es sei denn, das Gesetz regelt eine Ausnahme. Zudem seien alle Paragrafen des Gesetzes weit auszulegen</w:t>
      </w:r>
      <w:r>
        <w:t>, d</w:t>
      </w:r>
      <w:r w:rsidRPr="002E1FAB">
        <w:t xml:space="preserve">amit </w:t>
      </w:r>
      <w:r>
        <w:t xml:space="preserve">eine </w:t>
      </w:r>
      <w:r w:rsidRPr="002E1FAB">
        <w:t>sog. berau</w:t>
      </w:r>
      <w:r>
        <w:t>s</w:t>
      </w:r>
      <w:r w:rsidRPr="002E1FAB">
        <w:t xml:space="preserve">chende Alkoholabgabe verhindert wird. Wenn Alkohol für andere Zwecke als Getränke hergestellt, verkauft usw. werden darf, dann nur im Rahmen der gesetzlichen Ausnahmen. Der </w:t>
      </w:r>
      <w:r w:rsidRPr="00B45592">
        <w:rPr>
          <w:i/>
        </w:rPr>
        <w:t>Commissioner of Internal Revenue</w:t>
      </w:r>
      <w:r w:rsidRPr="002E1FAB">
        <w:t xml:space="preserve"> </w:t>
      </w:r>
      <w:r>
        <w:t xml:space="preserve">(Steuerkommissar) </w:t>
      </w:r>
      <w:r w:rsidRPr="002E1FAB">
        <w:t xml:space="preserve">kann dafür Genehmigungen ausstellen nach 41 Stat. 305, tit. II, </w:t>
      </w:r>
      <w:r>
        <w:t>§ </w:t>
      </w:r>
      <w:r w:rsidRPr="002E1FAB">
        <w:t xml:space="preserve">3. D.h. niemand darf berauschenden Alkohol herstellen, verkaufen oder verschreiben, ohne zuvor eine Erlaubnis des Kommissars einzuholen. Zudem darf keine Erlaubnis für den Verkauf von berauschendem Alkohol im Einzelhandel erteilt werden, außer durch einen Apotheker, der zur Abgabe von ärztlich verschriebenen Medikamenten zugelassen ist nach 41 Stat. 305, tit. II, </w:t>
      </w:r>
      <w:r>
        <w:t>§ </w:t>
      </w:r>
      <w:r w:rsidRPr="002E1FAB">
        <w:t xml:space="preserve">6. Und niemandem darf eine Genehmigung zur Verschreibung von berauschenden Getränken erteilt werden, außer einem lizenzierten praktizierenden Arzt nach 41 Stat. 305, tit. II, </w:t>
      </w:r>
      <w:r>
        <w:t>§ </w:t>
      </w:r>
      <w:r w:rsidRPr="002E1FAB">
        <w:t xml:space="preserve">6. Zudem darf niemand außer einem Arzt, der eine solche Erlaubnis besitzt, ein Rezept für berauschenden Alkohol ausstellen. Und innerhalb eines Zeitraums von 10 Tagen darf nicht mehr als ein Pint eines alkoholischen Getränks für dieselbe Person verschrieben werden nach 41 Stat. 305, tit. </w:t>
      </w:r>
      <w:r w:rsidRPr="002E1FAB">
        <w:rPr>
          <w:lang w:val="en-US"/>
        </w:rPr>
        <w:t xml:space="preserve">II, </w:t>
      </w:r>
      <w:r>
        <w:rPr>
          <w:lang w:val="en-US"/>
        </w:rPr>
        <w:t>§ </w:t>
      </w:r>
      <w:r w:rsidRPr="002E1FAB">
        <w:rPr>
          <w:lang w:val="en-US"/>
        </w:rPr>
        <w:t xml:space="preserve">7, so </w:t>
      </w:r>
      <w:proofErr w:type="spellStart"/>
      <w:r>
        <w:rPr>
          <w:lang w:val="en-US"/>
        </w:rPr>
        <w:t>aufgeführt</w:t>
      </w:r>
      <w:proofErr w:type="spellEnd"/>
      <w:r>
        <w:rPr>
          <w:lang w:val="en-US"/>
        </w:rPr>
        <w:t xml:space="preserve"> in</w:t>
      </w:r>
      <w:r w:rsidRPr="002E1FAB">
        <w:rPr>
          <w:lang w:val="en-US"/>
        </w:rPr>
        <w:t xml:space="preserve"> </w:t>
      </w:r>
      <w:r w:rsidRPr="00B45592">
        <w:rPr>
          <w:i/>
          <w:lang w:val="en-US"/>
        </w:rPr>
        <w:t>James Everard’s Breweries v. Day</w:t>
      </w:r>
      <w:r w:rsidRPr="002E1FAB">
        <w:rPr>
          <w:lang w:val="en-US"/>
        </w:rPr>
        <w:t>, 265 U.S. 545, 554</w:t>
      </w:r>
      <w:r>
        <w:rPr>
          <w:lang w:val="en-US"/>
        </w:rPr>
        <w:t xml:space="preserve"> = 44 S. Ct. </w:t>
      </w:r>
      <w:r w:rsidRPr="002E1FAB">
        <w:rPr>
          <w:lang w:val="en-US"/>
        </w:rPr>
        <w:t>628, 629</w:t>
      </w:r>
      <w:r>
        <w:rPr>
          <w:lang w:val="en-US"/>
        </w:rPr>
        <w:t xml:space="preserve"> = 68 L. Ed</w:t>
      </w:r>
      <w:r w:rsidRPr="002E1FAB">
        <w:rPr>
          <w:lang w:val="en-US"/>
        </w:rPr>
        <w:t>. 1174, 1177</w:t>
      </w:r>
      <w:r>
        <w:rPr>
          <w:lang w:val="en-US"/>
        </w:rPr>
        <w:t xml:space="preserve"> = 1924 U.S. LEXIS </w:t>
      </w:r>
      <w:r w:rsidRPr="002E1FAB">
        <w:rPr>
          <w:lang w:val="en-US"/>
        </w:rPr>
        <w:t>2635, 15 (1924)</w:t>
      </w:r>
      <w:r>
        <w:rPr>
          <w:lang w:val="en-US"/>
        </w:rPr>
        <w:t>.</w:t>
      </w:r>
    </w:p>
  </w:footnote>
  <w:footnote w:id="221">
    <w:p w14:paraId="66308492"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B45592">
        <w:rPr>
          <w:i/>
          <w:lang w:val="en-US"/>
        </w:rPr>
        <w:t>Necessary and Proper Clause</w:t>
      </w:r>
      <w:r>
        <w:rPr>
          <w:lang w:val="en-US"/>
        </w:rPr>
        <w:t>: „</w:t>
      </w:r>
      <w:r w:rsidRPr="006D4066">
        <w:rPr>
          <w:lang w:val="en-US"/>
        </w:rPr>
        <w:t xml:space="preserve">To make all Laws which shall be necessary and proper for carrying into Execution the foregoing Powers, and all other Powers vested by this Constitution in the Government of the United States, or in any Department or Officer </w:t>
      </w:r>
      <w:proofErr w:type="gramStart"/>
      <w:r w:rsidRPr="006D4066">
        <w:rPr>
          <w:lang w:val="en-US"/>
        </w:rPr>
        <w:t>thereof.</w:t>
      </w:r>
      <w:r>
        <w:rPr>
          <w:lang w:val="en-US"/>
        </w:rPr>
        <w:t>“</w:t>
      </w:r>
      <w:proofErr w:type="gramEnd"/>
    </w:p>
  </w:footnote>
  <w:footnote w:id="222">
    <w:p w14:paraId="6E5ABDB6" w14:textId="77777777" w:rsidR="00074551" w:rsidRPr="00C73787" w:rsidRDefault="00074551" w:rsidP="00074551">
      <w:pPr>
        <w:pStyle w:val="Funotentext"/>
        <w:rPr>
          <w:lang w:val="en-US"/>
        </w:rPr>
      </w:pPr>
      <w:r>
        <w:rPr>
          <w:rStyle w:val="Funotenzeichen"/>
          <w:rFonts w:eastAsiaTheme="majorEastAsia"/>
        </w:rPr>
        <w:footnoteRef/>
      </w:r>
      <w:r w:rsidRPr="00C73787">
        <w:rPr>
          <w:lang w:val="en-US"/>
        </w:rPr>
        <w:t xml:space="preserve"> </w:t>
      </w:r>
      <w:r w:rsidRPr="00B45592">
        <w:rPr>
          <w:i/>
          <w:lang w:val="en-US"/>
        </w:rPr>
        <w:t>United States v. Doremus</w:t>
      </w:r>
      <w:r w:rsidRPr="00C73787">
        <w:rPr>
          <w:lang w:val="en-US"/>
        </w:rPr>
        <w:t>, 249 U.S. 86, 94</w:t>
      </w:r>
      <w:r>
        <w:rPr>
          <w:lang w:val="en-US"/>
        </w:rPr>
        <w:t xml:space="preserve">; </w:t>
      </w:r>
      <w:r w:rsidRPr="00B45592">
        <w:rPr>
          <w:i/>
          <w:lang w:val="en-US"/>
        </w:rPr>
        <w:t>James Everard’s Breweries v. Day</w:t>
      </w:r>
      <w:r w:rsidRPr="00C73787">
        <w:rPr>
          <w:lang w:val="en-US"/>
        </w:rPr>
        <w:t>, 265 U.S. 545, 561</w:t>
      </w:r>
      <w:r>
        <w:rPr>
          <w:lang w:val="en-US"/>
        </w:rPr>
        <w:t xml:space="preserve"> = 44 S. Ct. </w:t>
      </w:r>
      <w:r w:rsidRPr="00C73787">
        <w:rPr>
          <w:lang w:val="en-US"/>
        </w:rPr>
        <w:t>628, 632</w:t>
      </w:r>
      <w:r>
        <w:rPr>
          <w:lang w:val="en-US"/>
        </w:rPr>
        <w:t xml:space="preserve"> = 68 L. Ed</w:t>
      </w:r>
      <w:r w:rsidRPr="00C73787">
        <w:rPr>
          <w:lang w:val="en-US"/>
        </w:rPr>
        <w:t>. 1174, 1180</w:t>
      </w:r>
      <w:r>
        <w:rPr>
          <w:lang w:val="en-US"/>
        </w:rPr>
        <w:t xml:space="preserve"> = 1924 U.S. LEXIS </w:t>
      </w:r>
      <w:r w:rsidRPr="00C73787">
        <w:rPr>
          <w:lang w:val="en-US"/>
        </w:rPr>
        <w:t>2635, 25 (1924)</w:t>
      </w:r>
      <w:r>
        <w:rPr>
          <w:lang w:val="en-US"/>
        </w:rPr>
        <w:t>.</w:t>
      </w:r>
    </w:p>
  </w:footnote>
  <w:footnote w:id="223">
    <w:p w14:paraId="2A2CE5CE" w14:textId="77777777" w:rsidR="00074551" w:rsidRPr="00557412" w:rsidRDefault="00074551" w:rsidP="00074551">
      <w:pPr>
        <w:pStyle w:val="Funotentext"/>
        <w:rPr>
          <w:lang w:val="en-US"/>
        </w:rPr>
      </w:pPr>
      <w:r>
        <w:rPr>
          <w:rStyle w:val="Funotenzeichen"/>
          <w:rFonts w:eastAsiaTheme="majorEastAsia"/>
        </w:rPr>
        <w:footnoteRef/>
      </w:r>
      <w:r w:rsidRPr="00557412">
        <w:rPr>
          <w:lang w:val="en-US"/>
        </w:rPr>
        <w:t xml:space="preserve"> </w:t>
      </w:r>
      <w:r w:rsidRPr="00B45592">
        <w:rPr>
          <w:i/>
          <w:lang w:val="en-US"/>
        </w:rPr>
        <w:t>James Everard’s Breweries v. Day</w:t>
      </w:r>
      <w:r w:rsidRPr="00557412">
        <w:rPr>
          <w:lang w:val="en-US"/>
        </w:rPr>
        <w:t>, 265 U.S. 545, 554</w:t>
      </w:r>
      <w:r>
        <w:rPr>
          <w:lang w:val="en-US"/>
        </w:rPr>
        <w:t xml:space="preserve"> = 44 S. Ct. </w:t>
      </w:r>
      <w:r w:rsidRPr="00557412">
        <w:rPr>
          <w:lang w:val="en-US"/>
        </w:rPr>
        <w:t>628, 629</w:t>
      </w:r>
      <w:r>
        <w:rPr>
          <w:lang w:val="en-US"/>
        </w:rPr>
        <w:t xml:space="preserve"> = 68 L. Ed</w:t>
      </w:r>
      <w:r w:rsidRPr="00557412">
        <w:rPr>
          <w:lang w:val="en-US"/>
        </w:rPr>
        <w:t>. 1174, 1177</w:t>
      </w:r>
      <w:r>
        <w:rPr>
          <w:lang w:val="en-US"/>
        </w:rPr>
        <w:t xml:space="preserve"> = 1924 U.S. LEXIS </w:t>
      </w:r>
      <w:r w:rsidRPr="00557412">
        <w:rPr>
          <w:lang w:val="en-US"/>
        </w:rPr>
        <w:t>2635, 10 (1924)</w:t>
      </w:r>
      <w:r>
        <w:rPr>
          <w:lang w:val="en-US"/>
        </w:rPr>
        <w:t>.</w:t>
      </w:r>
    </w:p>
  </w:footnote>
  <w:footnote w:id="224">
    <w:p w14:paraId="1778DEE3" w14:textId="77777777" w:rsidR="00074551" w:rsidRPr="00C643D9" w:rsidRDefault="00074551" w:rsidP="00074551">
      <w:pPr>
        <w:pStyle w:val="Funotentext"/>
        <w:rPr>
          <w:lang w:val="en-US"/>
        </w:rPr>
      </w:pPr>
      <w:r>
        <w:rPr>
          <w:rStyle w:val="Funotenzeichen"/>
        </w:rPr>
        <w:footnoteRef/>
      </w:r>
      <w:r w:rsidRPr="00C643D9">
        <w:rPr>
          <w:lang w:val="en-US"/>
        </w:rPr>
        <w:t xml:space="preserve"> </w:t>
      </w:r>
      <w:r w:rsidRPr="00B45592">
        <w:rPr>
          <w:i/>
          <w:lang w:val="en-US"/>
        </w:rPr>
        <w:t>James Everard’s Breweries v. Day</w:t>
      </w:r>
      <w:r w:rsidRPr="00C643D9">
        <w:rPr>
          <w:lang w:val="en-US"/>
        </w:rPr>
        <w:t>, 265 U.S. 545, 554</w:t>
      </w:r>
      <w:r>
        <w:rPr>
          <w:lang w:val="en-US"/>
        </w:rPr>
        <w:t xml:space="preserve"> = 44 S. Ct. </w:t>
      </w:r>
      <w:r w:rsidRPr="00C643D9">
        <w:rPr>
          <w:lang w:val="en-US"/>
        </w:rPr>
        <w:t>628, 629</w:t>
      </w:r>
      <w:r>
        <w:rPr>
          <w:lang w:val="en-US"/>
        </w:rPr>
        <w:t xml:space="preserve"> = 68 L. Ed</w:t>
      </w:r>
      <w:r w:rsidRPr="00C643D9">
        <w:rPr>
          <w:lang w:val="en-US"/>
        </w:rPr>
        <w:t>. 1174, 1177</w:t>
      </w:r>
      <w:r>
        <w:rPr>
          <w:lang w:val="en-US"/>
        </w:rPr>
        <w:t xml:space="preserve"> = 1924 U.S. LEXIS </w:t>
      </w:r>
      <w:r w:rsidRPr="00C643D9">
        <w:rPr>
          <w:lang w:val="en-US"/>
        </w:rPr>
        <w:t>2635, 11 (1924)</w:t>
      </w:r>
      <w:r>
        <w:rPr>
          <w:lang w:val="en-US"/>
        </w:rPr>
        <w:t>.</w:t>
      </w:r>
    </w:p>
  </w:footnote>
  <w:footnote w:id="225">
    <w:p w14:paraId="130B7625" w14:textId="77777777" w:rsidR="00074551" w:rsidRPr="00E21E03" w:rsidRDefault="00074551" w:rsidP="00074551">
      <w:pPr>
        <w:pStyle w:val="Funotentext"/>
        <w:rPr>
          <w:lang w:val="en-US"/>
        </w:rPr>
      </w:pPr>
      <w:r>
        <w:rPr>
          <w:rStyle w:val="Funotenzeichen"/>
          <w:rFonts w:eastAsiaTheme="majorEastAsia"/>
        </w:rPr>
        <w:footnoteRef/>
      </w:r>
      <w:r w:rsidRPr="00E21E03">
        <w:rPr>
          <w:lang w:val="en-US"/>
        </w:rPr>
        <w:t xml:space="preserve"> </w:t>
      </w:r>
      <w:r w:rsidRPr="001F38CE">
        <w:rPr>
          <w:i/>
          <w:lang w:val="en-US"/>
        </w:rPr>
        <w:t>Marshall v. Gordon</w:t>
      </w:r>
      <w:r w:rsidRPr="00E21E03">
        <w:rPr>
          <w:lang w:val="en-US"/>
        </w:rPr>
        <w:t>, 243 U.S. 521</w:t>
      </w:r>
      <w:r>
        <w:rPr>
          <w:lang w:val="en-US"/>
        </w:rPr>
        <w:t xml:space="preserve">; </w:t>
      </w:r>
      <w:r w:rsidRPr="00B45592">
        <w:rPr>
          <w:i/>
          <w:lang w:val="en-US"/>
        </w:rPr>
        <w:t>James Everard’s Breweries v. Day</w:t>
      </w:r>
      <w:r w:rsidRPr="00E21E03">
        <w:rPr>
          <w:lang w:val="en-US"/>
        </w:rPr>
        <w:t>, 265 U.S. 545, 554</w:t>
      </w:r>
      <w:r>
        <w:rPr>
          <w:lang w:val="en-US"/>
        </w:rPr>
        <w:t xml:space="preserve"> = 44 S. Ct. </w:t>
      </w:r>
      <w:r w:rsidRPr="00E21E03">
        <w:rPr>
          <w:lang w:val="en-US"/>
        </w:rPr>
        <w:t>628, 629</w:t>
      </w:r>
      <w:r>
        <w:rPr>
          <w:lang w:val="en-US"/>
        </w:rPr>
        <w:t xml:space="preserve"> = 68 L. Ed</w:t>
      </w:r>
      <w:r w:rsidRPr="00E21E03">
        <w:rPr>
          <w:lang w:val="en-US"/>
        </w:rPr>
        <w:t>. 1174, 1177</w:t>
      </w:r>
      <w:r>
        <w:rPr>
          <w:lang w:val="en-US"/>
        </w:rPr>
        <w:t xml:space="preserve"> = 1924 U.S. LEXIS </w:t>
      </w:r>
      <w:r w:rsidRPr="00E21E03">
        <w:rPr>
          <w:lang w:val="en-US"/>
        </w:rPr>
        <w:t>2635, 11 (1924)</w:t>
      </w:r>
      <w:r>
        <w:rPr>
          <w:lang w:val="en-US"/>
        </w:rPr>
        <w:t>.</w:t>
      </w:r>
    </w:p>
  </w:footnote>
  <w:footnote w:id="226">
    <w:p w14:paraId="39C02E73" w14:textId="77777777" w:rsidR="00074551" w:rsidRPr="00CB7204" w:rsidRDefault="00074551" w:rsidP="00074551">
      <w:pPr>
        <w:pStyle w:val="Funotentext"/>
        <w:rPr>
          <w:lang w:val="en-US"/>
        </w:rPr>
      </w:pPr>
      <w:r>
        <w:rPr>
          <w:rStyle w:val="Funotenzeichen"/>
          <w:rFonts w:eastAsiaTheme="majorEastAsia"/>
        </w:rPr>
        <w:footnoteRef/>
      </w:r>
      <w:r w:rsidRPr="00CB7204">
        <w:rPr>
          <w:lang w:val="en-US"/>
        </w:rPr>
        <w:t xml:space="preserve"> </w:t>
      </w:r>
      <w:r w:rsidRPr="001F38CE">
        <w:rPr>
          <w:i/>
          <w:lang w:val="en-US"/>
        </w:rPr>
        <w:t>Steward Machine Co. v. Davis</w:t>
      </w:r>
      <w:r w:rsidRPr="00CB7204">
        <w:rPr>
          <w:lang w:val="en-US"/>
        </w:rPr>
        <w:t>, 301 U.S. 548, 578</w:t>
      </w:r>
      <w:r>
        <w:rPr>
          <w:lang w:val="en-US"/>
        </w:rPr>
        <w:t xml:space="preserve"> = 57 S. Ct. </w:t>
      </w:r>
      <w:r w:rsidRPr="00CB7204">
        <w:rPr>
          <w:lang w:val="en-US"/>
        </w:rPr>
        <w:t>883, 887</w:t>
      </w:r>
      <w:r>
        <w:rPr>
          <w:lang w:val="en-US"/>
        </w:rPr>
        <w:t xml:space="preserve"> = 81 L. Ed. </w:t>
      </w:r>
      <w:r w:rsidRPr="00CB7204">
        <w:rPr>
          <w:lang w:val="en-US"/>
        </w:rPr>
        <w:t>1279, 1286</w:t>
      </w:r>
      <w:r>
        <w:rPr>
          <w:lang w:val="en-US"/>
        </w:rPr>
        <w:t xml:space="preserve"> = 1937 U.S. LEXIS </w:t>
      </w:r>
      <w:r w:rsidRPr="00CB7204">
        <w:rPr>
          <w:lang w:val="en-US"/>
        </w:rPr>
        <w:t>1199, 50</w:t>
      </w:r>
      <w:r>
        <w:rPr>
          <w:lang w:val="en-US"/>
        </w:rPr>
        <w:t xml:space="preserve"> = 19 A.F.T.R</w:t>
      </w:r>
      <w:r w:rsidRPr="00CB7204">
        <w:rPr>
          <w:lang w:val="en-US"/>
        </w:rPr>
        <w:t>. (P-H) 510</w:t>
      </w:r>
      <w:r>
        <w:rPr>
          <w:lang w:val="en-US"/>
        </w:rPr>
        <w:t xml:space="preserve"> = 1937-1 C.B. 444 =</w:t>
      </w:r>
      <w:r w:rsidRPr="00CB7204">
        <w:rPr>
          <w:lang w:val="en-US"/>
        </w:rPr>
        <w:t xml:space="preserve"> 109 A.L.R. 1293, 1937 P.H. P738 (1937)</w:t>
      </w:r>
      <w:r>
        <w:rPr>
          <w:lang w:val="en-US"/>
        </w:rPr>
        <w:t>.</w:t>
      </w:r>
    </w:p>
  </w:footnote>
  <w:footnote w:id="227">
    <w:p w14:paraId="1CC2D6C8" w14:textId="77777777" w:rsidR="00074551" w:rsidRPr="007B1448" w:rsidRDefault="00074551" w:rsidP="00074551">
      <w:pPr>
        <w:pStyle w:val="Funotentext"/>
        <w:rPr>
          <w:lang w:val="en-US"/>
        </w:rPr>
      </w:pPr>
      <w:r>
        <w:rPr>
          <w:rStyle w:val="Funotenzeichen"/>
          <w:rFonts w:eastAsiaTheme="majorEastAsia"/>
        </w:rPr>
        <w:footnoteRef/>
      </w:r>
      <w:r w:rsidRPr="007B1448">
        <w:rPr>
          <w:lang w:val="en-US"/>
        </w:rPr>
        <w:t xml:space="preserve"> </w:t>
      </w:r>
      <w:r w:rsidRPr="001F38CE">
        <w:rPr>
          <w:i/>
          <w:lang w:val="en-US"/>
        </w:rPr>
        <w:t>Steward Machine Co. v. Davis</w:t>
      </w:r>
      <w:r w:rsidRPr="007B1448">
        <w:rPr>
          <w:lang w:val="en-US"/>
        </w:rPr>
        <w:t>, 301 U.S. 548, 580</w:t>
      </w:r>
      <w:r>
        <w:rPr>
          <w:lang w:val="en-US"/>
        </w:rPr>
        <w:t xml:space="preserve"> = 57 S. Ct. </w:t>
      </w:r>
      <w:r w:rsidRPr="007B1448">
        <w:rPr>
          <w:lang w:val="en-US"/>
        </w:rPr>
        <w:t>883, 887</w:t>
      </w:r>
      <w:r>
        <w:rPr>
          <w:lang w:val="en-US"/>
        </w:rPr>
        <w:t xml:space="preserve"> = 81 L. Ed. </w:t>
      </w:r>
      <w:r w:rsidRPr="007B1448">
        <w:rPr>
          <w:lang w:val="en-US"/>
        </w:rPr>
        <w:t>1279, 1287</w:t>
      </w:r>
      <w:r>
        <w:rPr>
          <w:lang w:val="en-US"/>
        </w:rPr>
        <w:t xml:space="preserve"> = 1937 U.S. LEXIS </w:t>
      </w:r>
      <w:r w:rsidRPr="007B1448">
        <w:rPr>
          <w:lang w:val="en-US"/>
        </w:rPr>
        <w:t>1199, 53</w:t>
      </w:r>
      <w:r>
        <w:rPr>
          <w:lang w:val="en-US"/>
        </w:rPr>
        <w:t>–</w:t>
      </w:r>
      <w:r w:rsidRPr="007B1448">
        <w:rPr>
          <w:lang w:val="en-US"/>
        </w:rPr>
        <w:t>52</w:t>
      </w:r>
      <w:r>
        <w:rPr>
          <w:lang w:val="en-US"/>
        </w:rPr>
        <w:t xml:space="preserve"> = 19 A.F.T.R</w:t>
      </w:r>
      <w:r w:rsidRPr="007B1448">
        <w:rPr>
          <w:lang w:val="en-US"/>
        </w:rPr>
        <w:t>. (P-H) 510</w:t>
      </w:r>
      <w:r>
        <w:rPr>
          <w:lang w:val="en-US"/>
        </w:rPr>
        <w:t xml:space="preserve"> = 1937-1 C.B. 444 =</w:t>
      </w:r>
      <w:r w:rsidRPr="007B1448">
        <w:rPr>
          <w:lang w:val="en-US"/>
        </w:rPr>
        <w:t xml:space="preserve"> 109 A.L.R. 1293</w:t>
      </w:r>
      <w:r>
        <w:rPr>
          <w:lang w:val="en-US"/>
        </w:rPr>
        <w:t xml:space="preserve"> = 1937 P.H.</w:t>
      </w:r>
      <w:r w:rsidRPr="007B1448">
        <w:rPr>
          <w:lang w:val="en-US"/>
        </w:rPr>
        <w:t>P738 (1937)</w:t>
      </w:r>
      <w:r>
        <w:rPr>
          <w:lang w:val="en-US"/>
        </w:rPr>
        <w:t>.</w:t>
      </w:r>
    </w:p>
  </w:footnote>
  <w:footnote w:id="228">
    <w:p w14:paraId="79B68ACC" w14:textId="77777777" w:rsidR="00074551" w:rsidRPr="007B1448" w:rsidRDefault="00074551" w:rsidP="00074551">
      <w:pPr>
        <w:pStyle w:val="Funotentext"/>
        <w:rPr>
          <w:lang w:val="en-US"/>
        </w:rPr>
      </w:pPr>
      <w:r>
        <w:rPr>
          <w:rStyle w:val="Funotenzeichen"/>
          <w:rFonts w:eastAsiaTheme="majorEastAsia"/>
        </w:rPr>
        <w:footnoteRef/>
      </w:r>
      <w:r w:rsidRPr="007B1448">
        <w:rPr>
          <w:lang w:val="en-US"/>
        </w:rPr>
        <w:t xml:space="preserve"> </w:t>
      </w:r>
      <w:proofErr w:type="spellStart"/>
      <w:r w:rsidRPr="00B45592">
        <w:rPr>
          <w:lang w:val="en-US"/>
        </w:rPr>
        <w:t>Siehe</w:t>
      </w:r>
      <w:proofErr w:type="spellEnd"/>
      <w:r w:rsidRPr="00B45592">
        <w:rPr>
          <w:lang w:val="en-US"/>
        </w:rPr>
        <w:t xml:space="preserve"> </w:t>
      </w:r>
      <w:r w:rsidRPr="00F41900">
        <w:rPr>
          <w:i/>
          <w:iCs/>
          <w:lang w:val="en-US"/>
        </w:rPr>
        <w:t>Opinion of the Justices</w:t>
      </w:r>
      <w:r>
        <w:rPr>
          <w:lang w:val="en-US"/>
        </w:rPr>
        <w:t xml:space="preserve">, </w:t>
      </w:r>
      <w:r w:rsidRPr="001F38CE">
        <w:rPr>
          <w:lang w:val="en-US"/>
        </w:rPr>
        <w:t>196 Mass. 603, 609; 85 N.E. 545;</w:t>
      </w:r>
      <w:r>
        <w:rPr>
          <w:lang w:val="en-US"/>
        </w:rPr>
        <w:t xml:space="preserve"> </w:t>
      </w:r>
      <w:r w:rsidRPr="001F38CE">
        <w:rPr>
          <w:i/>
          <w:lang w:val="en-US"/>
        </w:rPr>
        <w:t>Steward Machine Co. v. Davis</w:t>
      </w:r>
      <w:r w:rsidRPr="007B1448">
        <w:rPr>
          <w:lang w:val="en-US"/>
        </w:rPr>
        <w:t>, 301 U.S. 548, 579</w:t>
      </w:r>
      <w:r>
        <w:rPr>
          <w:lang w:val="en-US"/>
        </w:rPr>
        <w:t xml:space="preserve"> = 57 S. Ct. </w:t>
      </w:r>
      <w:r w:rsidRPr="007B1448">
        <w:rPr>
          <w:lang w:val="en-US"/>
        </w:rPr>
        <w:t>883, 887</w:t>
      </w:r>
      <w:r>
        <w:rPr>
          <w:lang w:val="en-US"/>
        </w:rPr>
        <w:t xml:space="preserve"> = 81 L. Ed. </w:t>
      </w:r>
      <w:r w:rsidRPr="007B1448">
        <w:rPr>
          <w:lang w:val="en-US"/>
        </w:rPr>
        <w:t>1279, 1286</w:t>
      </w:r>
      <w:r>
        <w:rPr>
          <w:lang w:val="en-US"/>
        </w:rPr>
        <w:t xml:space="preserve"> = 1937 U.S. LEXIS </w:t>
      </w:r>
      <w:r w:rsidRPr="007B1448">
        <w:rPr>
          <w:lang w:val="en-US"/>
        </w:rPr>
        <w:t>1199, 51</w:t>
      </w:r>
      <w:r>
        <w:rPr>
          <w:lang w:val="en-US"/>
        </w:rPr>
        <w:t xml:space="preserve"> = 19 A.F.T.R</w:t>
      </w:r>
      <w:r w:rsidRPr="007B1448">
        <w:rPr>
          <w:lang w:val="en-US"/>
        </w:rPr>
        <w:t>. (P-H) 510</w:t>
      </w:r>
      <w:r>
        <w:rPr>
          <w:lang w:val="en-US"/>
        </w:rPr>
        <w:t xml:space="preserve"> = 1937-1 C.B. 444 =</w:t>
      </w:r>
      <w:r w:rsidRPr="007B1448">
        <w:rPr>
          <w:lang w:val="en-US"/>
        </w:rPr>
        <w:t xml:space="preserve"> 109 A.L.R. 1293</w:t>
      </w:r>
      <w:r>
        <w:rPr>
          <w:lang w:val="en-US"/>
        </w:rPr>
        <w:t xml:space="preserve"> = 1937 P.H.</w:t>
      </w:r>
      <w:r w:rsidRPr="007B1448">
        <w:rPr>
          <w:lang w:val="en-US"/>
        </w:rPr>
        <w:t>P738 (1937)</w:t>
      </w:r>
      <w:r>
        <w:rPr>
          <w:lang w:val="en-US"/>
        </w:rPr>
        <w:t>.</w:t>
      </w:r>
    </w:p>
  </w:footnote>
  <w:footnote w:id="229">
    <w:p w14:paraId="6AF7B3A3" w14:textId="77777777" w:rsidR="00074551" w:rsidRPr="0024355F" w:rsidRDefault="00074551" w:rsidP="00074551">
      <w:pPr>
        <w:pStyle w:val="Funotentext"/>
        <w:rPr>
          <w:lang w:val="en-US"/>
        </w:rPr>
      </w:pPr>
      <w:r>
        <w:rPr>
          <w:rStyle w:val="Funotenzeichen"/>
          <w:rFonts w:eastAsiaTheme="majorEastAsia"/>
        </w:rPr>
        <w:footnoteRef/>
      </w:r>
      <w:r>
        <w:t xml:space="preserve"> </w:t>
      </w:r>
      <w:r w:rsidRPr="007B1448">
        <w:t>Das Gesetz</w:t>
      </w:r>
      <w:r>
        <w:t xml:space="preserve"> blieb in der </w:t>
      </w:r>
      <w:r w:rsidRPr="007B1448">
        <w:t>Grundstruktur unverändert</w:t>
      </w:r>
      <w:r>
        <w:t xml:space="preserve"> und </w:t>
      </w:r>
      <w:r w:rsidRPr="007B1448">
        <w:t>ist</w:t>
      </w:r>
      <w:r>
        <w:t xml:space="preserve"> noch heute</w:t>
      </w:r>
      <w:r w:rsidRPr="007B1448">
        <w:t xml:space="preserve"> in Kraft</w:t>
      </w:r>
      <w:r>
        <w:t xml:space="preserve">: </w:t>
      </w:r>
      <w:r w:rsidRPr="007B1448">
        <w:t xml:space="preserve">Gesetz von 1803, 43 George III, c. 161; Gesetz von 1812, 52 George III, c. 93; Gesetz von 1853, 16 &amp; 17 Vict., c. 90; Gesetz von 1869, 32 &amp; 33 Vict., c. 14. </w:t>
      </w:r>
      <w:r w:rsidRPr="0024355F">
        <w:rPr>
          <w:lang w:val="en-US"/>
        </w:rPr>
        <w:t xml:space="preserve">24 </w:t>
      </w:r>
      <w:r w:rsidRPr="001F38CE">
        <w:rPr>
          <w:lang w:val="en-US"/>
        </w:rPr>
        <w:t>Halsbury’s Laws of England</w:t>
      </w:r>
      <w:r w:rsidRPr="0024355F">
        <w:rPr>
          <w:lang w:val="en-US"/>
        </w:rPr>
        <w:t xml:space="preserve">, 1. </w:t>
      </w:r>
      <w:proofErr w:type="spellStart"/>
      <w:r w:rsidRPr="0024355F">
        <w:rPr>
          <w:lang w:val="en-US"/>
        </w:rPr>
        <w:t>Aufl</w:t>
      </w:r>
      <w:proofErr w:type="spellEnd"/>
      <w:r w:rsidRPr="0024355F">
        <w:rPr>
          <w:lang w:val="en-US"/>
        </w:rPr>
        <w:t>., 692 ff.</w:t>
      </w:r>
    </w:p>
  </w:footnote>
  <w:footnote w:id="230">
    <w:p w14:paraId="3BB353E6" w14:textId="77777777" w:rsidR="00074551" w:rsidRPr="00CB7204" w:rsidRDefault="00074551" w:rsidP="00074551">
      <w:pPr>
        <w:pStyle w:val="Funotentext"/>
        <w:rPr>
          <w:lang w:val="en-US"/>
        </w:rPr>
      </w:pPr>
      <w:r>
        <w:rPr>
          <w:rStyle w:val="Funotenzeichen"/>
          <w:rFonts w:eastAsiaTheme="majorEastAsia"/>
        </w:rPr>
        <w:footnoteRef/>
      </w:r>
      <w:r w:rsidRPr="00CB7204">
        <w:rPr>
          <w:lang w:val="en-US"/>
        </w:rPr>
        <w:t xml:space="preserve"> </w:t>
      </w:r>
      <w:proofErr w:type="spellStart"/>
      <w:r w:rsidRPr="00CB7204">
        <w:rPr>
          <w:lang w:val="en-US"/>
        </w:rPr>
        <w:t>Siehe</w:t>
      </w:r>
      <w:proofErr w:type="spellEnd"/>
      <w:r w:rsidRPr="00CB7204">
        <w:rPr>
          <w:lang w:val="en-US"/>
        </w:rPr>
        <w:t xml:space="preserve"> </w:t>
      </w:r>
      <w:r w:rsidRPr="00B45592">
        <w:rPr>
          <w:i/>
          <w:iCs/>
          <w:lang w:val="en-US"/>
        </w:rPr>
        <w:t>MacArthur Maguire</w:t>
      </w:r>
      <w:r w:rsidRPr="00CB7204">
        <w:rPr>
          <w:lang w:val="en-US"/>
        </w:rPr>
        <w:t xml:space="preserve"> in </w:t>
      </w:r>
      <w:r>
        <w:rPr>
          <w:lang w:val="en-US"/>
        </w:rPr>
        <w:t>„</w:t>
      </w:r>
      <w:r w:rsidRPr="00CB7204">
        <w:rPr>
          <w:lang w:val="en-US"/>
        </w:rPr>
        <w:t xml:space="preserve">Taxing the Exercise of Natural </w:t>
      </w:r>
      <w:proofErr w:type="gramStart"/>
      <w:r w:rsidRPr="00CB7204">
        <w:rPr>
          <w:lang w:val="en-US"/>
        </w:rPr>
        <w:t>Rights</w:t>
      </w:r>
      <w:r>
        <w:rPr>
          <w:lang w:val="en-US"/>
        </w:rPr>
        <w:t>“</w:t>
      </w:r>
      <w:r w:rsidRPr="00CB7204">
        <w:rPr>
          <w:lang w:val="en-US"/>
        </w:rPr>
        <w:t xml:space="preserve"> (</w:t>
      </w:r>
      <w:proofErr w:type="gramEnd"/>
      <w:r w:rsidRPr="00CB7204">
        <w:rPr>
          <w:lang w:val="en-US"/>
        </w:rPr>
        <w:t xml:space="preserve">Harvard Legal Essays, 1934, 273, 322); </w:t>
      </w:r>
      <w:proofErr w:type="spellStart"/>
      <w:r w:rsidRPr="00CB7204">
        <w:rPr>
          <w:lang w:val="en-US"/>
        </w:rPr>
        <w:t>siehe</w:t>
      </w:r>
      <w:proofErr w:type="spellEnd"/>
      <w:r w:rsidRPr="00CB7204">
        <w:rPr>
          <w:lang w:val="en-US"/>
        </w:rPr>
        <w:t xml:space="preserve"> für Massachusetts</w:t>
      </w:r>
      <w:r>
        <w:rPr>
          <w:lang w:val="en-US"/>
        </w:rPr>
        <w:t xml:space="preserve">: </w:t>
      </w:r>
      <w:r w:rsidRPr="00B45592">
        <w:rPr>
          <w:i/>
          <w:iCs/>
          <w:lang w:val="en-US"/>
        </w:rPr>
        <w:t>Opinion of the Justices</w:t>
      </w:r>
      <w:r w:rsidRPr="00CB7204">
        <w:rPr>
          <w:lang w:val="en-US"/>
        </w:rPr>
        <w:t xml:space="preserve">, 282 Mass. 619, 622; 186 N.E. 490; 266 Mass. 590, 593; 165 N.E. 904. Und </w:t>
      </w:r>
      <w:proofErr w:type="spellStart"/>
      <w:r w:rsidRPr="00CB7204">
        <w:rPr>
          <w:lang w:val="en-US"/>
        </w:rPr>
        <w:t>siehe</w:t>
      </w:r>
      <w:proofErr w:type="spellEnd"/>
      <w:r w:rsidRPr="00CB7204">
        <w:rPr>
          <w:lang w:val="en-US"/>
        </w:rPr>
        <w:t xml:space="preserve"> </w:t>
      </w:r>
      <w:r w:rsidRPr="00B45592">
        <w:rPr>
          <w:i/>
          <w:iCs/>
          <w:lang w:val="en-US"/>
        </w:rPr>
        <w:t>Howes Brothers Co. v. Massachusetts Unemployment Compensation Comm’n</w:t>
      </w:r>
      <w:r w:rsidRPr="00CB7204">
        <w:rPr>
          <w:lang w:val="en-US"/>
        </w:rPr>
        <w:t xml:space="preserve">, </w:t>
      </w:r>
      <w:r w:rsidRPr="00B45592">
        <w:rPr>
          <w:lang w:val="en-IE"/>
        </w:rPr>
        <w:t>5 N.E. 2d 720, 730–</w:t>
      </w:r>
      <w:r w:rsidRPr="00CB7204">
        <w:rPr>
          <w:lang w:val="en-US"/>
        </w:rPr>
        <w:t>731</w:t>
      </w:r>
      <w:r>
        <w:rPr>
          <w:lang w:val="en-US"/>
        </w:rPr>
        <w:t xml:space="preserve">, </w:t>
      </w:r>
      <w:proofErr w:type="spellStart"/>
      <w:r>
        <w:rPr>
          <w:lang w:val="en-US"/>
        </w:rPr>
        <w:t>kompiliert</w:t>
      </w:r>
      <w:proofErr w:type="spellEnd"/>
      <w:r>
        <w:rPr>
          <w:lang w:val="en-US"/>
        </w:rPr>
        <w:t xml:space="preserve"> in </w:t>
      </w:r>
      <w:r w:rsidRPr="001F38CE">
        <w:rPr>
          <w:i/>
          <w:lang w:val="en-US"/>
        </w:rPr>
        <w:t>Steward Machine Co. v. Davis</w:t>
      </w:r>
      <w:r w:rsidRPr="00CB7204">
        <w:rPr>
          <w:lang w:val="en-US"/>
        </w:rPr>
        <w:t>, 301 U.S. 548, 580</w:t>
      </w:r>
      <w:r>
        <w:rPr>
          <w:lang w:val="en-US"/>
        </w:rPr>
        <w:t xml:space="preserve"> = 57 S. Ct. </w:t>
      </w:r>
      <w:r w:rsidRPr="00CB7204">
        <w:rPr>
          <w:lang w:val="en-US"/>
        </w:rPr>
        <w:t>883, 888</w:t>
      </w:r>
      <w:r>
        <w:rPr>
          <w:lang w:val="en-US"/>
        </w:rPr>
        <w:t xml:space="preserve"> = 81 L. Ed. </w:t>
      </w:r>
      <w:r w:rsidRPr="00CB7204">
        <w:rPr>
          <w:lang w:val="en-US"/>
        </w:rPr>
        <w:t>1279, 1287</w:t>
      </w:r>
      <w:r>
        <w:rPr>
          <w:lang w:val="en-US"/>
        </w:rPr>
        <w:t xml:space="preserve"> = 1937 U.S. LEXIS </w:t>
      </w:r>
      <w:r w:rsidRPr="00CB7204">
        <w:rPr>
          <w:lang w:val="en-US"/>
        </w:rPr>
        <w:t>1199, 52</w:t>
      </w:r>
      <w:r>
        <w:rPr>
          <w:lang w:val="en-US"/>
        </w:rPr>
        <w:t xml:space="preserve"> = 19 A.F.T.R</w:t>
      </w:r>
      <w:r w:rsidRPr="00CB7204">
        <w:rPr>
          <w:lang w:val="en-US"/>
        </w:rPr>
        <w:t>. (P-H) 510</w:t>
      </w:r>
      <w:r>
        <w:rPr>
          <w:lang w:val="en-US"/>
        </w:rPr>
        <w:t xml:space="preserve"> = 1937-1 C.B. 444 =</w:t>
      </w:r>
      <w:r w:rsidRPr="00CB7204">
        <w:rPr>
          <w:lang w:val="en-US"/>
        </w:rPr>
        <w:t xml:space="preserve"> 109 A.L.R. 1293</w:t>
      </w:r>
      <w:r>
        <w:rPr>
          <w:lang w:val="en-US"/>
        </w:rPr>
        <w:t xml:space="preserve"> = 1937 P.H.</w:t>
      </w:r>
      <w:r w:rsidRPr="00CB7204">
        <w:rPr>
          <w:lang w:val="en-US"/>
        </w:rPr>
        <w:t>P738 (1937)</w:t>
      </w:r>
      <w:r>
        <w:rPr>
          <w:lang w:val="en-US"/>
        </w:rPr>
        <w:t>.</w:t>
      </w:r>
    </w:p>
  </w:footnote>
  <w:footnote w:id="231">
    <w:p w14:paraId="69A676BE" w14:textId="77777777" w:rsidR="00074551" w:rsidRPr="00CB7204" w:rsidRDefault="00074551" w:rsidP="00074551">
      <w:pPr>
        <w:pStyle w:val="Funotentext"/>
        <w:rPr>
          <w:lang w:val="en-US"/>
        </w:rPr>
      </w:pPr>
      <w:r>
        <w:rPr>
          <w:rStyle w:val="Funotenzeichen"/>
          <w:rFonts w:eastAsiaTheme="majorEastAsia"/>
        </w:rPr>
        <w:footnoteRef/>
      </w:r>
      <w:r w:rsidRPr="00CB7204">
        <w:rPr>
          <w:lang w:val="en-US"/>
        </w:rPr>
        <w:t xml:space="preserve"> </w:t>
      </w:r>
      <w:proofErr w:type="spellStart"/>
      <w:r w:rsidRPr="00CB7204">
        <w:rPr>
          <w:lang w:val="en-US"/>
        </w:rPr>
        <w:t>Siehe</w:t>
      </w:r>
      <w:proofErr w:type="spellEnd"/>
      <w:r w:rsidRPr="00CB7204">
        <w:rPr>
          <w:lang w:val="en-US"/>
        </w:rPr>
        <w:t xml:space="preserve"> </w:t>
      </w:r>
      <w:r w:rsidRPr="00EC5BEB">
        <w:rPr>
          <w:i/>
          <w:lang w:val="en-US"/>
        </w:rPr>
        <w:t xml:space="preserve">MacArthur Maguire </w:t>
      </w:r>
      <w:r w:rsidRPr="00CB7204">
        <w:rPr>
          <w:lang w:val="en-US"/>
        </w:rPr>
        <w:t xml:space="preserve">in </w:t>
      </w:r>
      <w:r>
        <w:rPr>
          <w:lang w:val="en-US"/>
        </w:rPr>
        <w:t>„</w:t>
      </w:r>
      <w:r w:rsidRPr="00CB7204">
        <w:rPr>
          <w:lang w:val="en-US"/>
        </w:rPr>
        <w:t xml:space="preserve">Taxing the Exercise of Natural </w:t>
      </w:r>
      <w:proofErr w:type="gramStart"/>
      <w:r w:rsidRPr="00CB7204">
        <w:rPr>
          <w:lang w:val="en-US"/>
        </w:rPr>
        <w:t>Rights</w:t>
      </w:r>
      <w:r>
        <w:rPr>
          <w:lang w:val="en-US"/>
        </w:rPr>
        <w:t>“</w:t>
      </w:r>
      <w:r w:rsidRPr="00CB7204">
        <w:rPr>
          <w:lang w:val="en-US"/>
        </w:rPr>
        <w:t xml:space="preserve"> (</w:t>
      </w:r>
      <w:proofErr w:type="gramEnd"/>
      <w:r w:rsidRPr="00CB7204">
        <w:rPr>
          <w:lang w:val="en-US"/>
        </w:rPr>
        <w:t xml:space="preserve">Harvard Legal Essays, 1934, 273, 322); </w:t>
      </w:r>
      <w:proofErr w:type="spellStart"/>
      <w:r w:rsidRPr="00CB7204">
        <w:rPr>
          <w:lang w:val="en-US"/>
        </w:rPr>
        <w:t>siehe</w:t>
      </w:r>
      <w:proofErr w:type="spellEnd"/>
      <w:r w:rsidRPr="00CB7204">
        <w:rPr>
          <w:lang w:val="en-US"/>
        </w:rPr>
        <w:t xml:space="preserve"> für Massachusetts</w:t>
      </w:r>
      <w:r>
        <w:rPr>
          <w:lang w:val="en-US"/>
        </w:rPr>
        <w:t xml:space="preserve">: </w:t>
      </w:r>
      <w:r w:rsidRPr="00B45592">
        <w:rPr>
          <w:i/>
          <w:lang w:val="en-US"/>
        </w:rPr>
        <w:t>Opinion of the Justices</w:t>
      </w:r>
      <w:r w:rsidRPr="00CB7204">
        <w:rPr>
          <w:lang w:val="en-US"/>
        </w:rPr>
        <w:t xml:space="preserve">, 282 Mass. 619, 622; 186 N.E. 490; 266 Mass. 590, 593; 165 N.E. 904. Und </w:t>
      </w:r>
      <w:proofErr w:type="spellStart"/>
      <w:r w:rsidRPr="00CB7204">
        <w:rPr>
          <w:lang w:val="en-US"/>
        </w:rPr>
        <w:t>siehe</w:t>
      </w:r>
      <w:proofErr w:type="spellEnd"/>
      <w:r w:rsidRPr="00CB7204">
        <w:rPr>
          <w:lang w:val="en-US"/>
        </w:rPr>
        <w:t xml:space="preserve"> </w:t>
      </w:r>
      <w:r w:rsidRPr="00B45592">
        <w:rPr>
          <w:i/>
          <w:lang w:val="en-US"/>
        </w:rPr>
        <w:t>Howes Brothers Co. v. Massachusetts Unemployment Compensation Comm’n</w:t>
      </w:r>
      <w:r w:rsidRPr="00CB7204">
        <w:rPr>
          <w:lang w:val="en-US"/>
        </w:rPr>
        <w:t xml:space="preserve">, </w:t>
      </w:r>
      <w:r w:rsidRPr="00B45592">
        <w:rPr>
          <w:lang w:val="en-IE"/>
        </w:rPr>
        <w:t xml:space="preserve">5 </w:t>
      </w:r>
      <w:r>
        <w:rPr>
          <w:lang w:val="en-IE"/>
        </w:rPr>
        <w:t xml:space="preserve">N.E.2d </w:t>
      </w:r>
      <w:r w:rsidRPr="00B45592">
        <w:rPr>
          <w:lang w:val="en-IE"/>
        </w:rPr>
        <w:t>720, 730–</w:t>
      </w:r>
      <w:r w:rsidRPr="00CB7204">
        <w:rPr>
          <w:lang w:val="en-US"/>
        </w:rPr>
        <w:t>731</w:t>
      </w:r>
      <w:r>
        <w:rPr>
          <w:lang w:val="en-US"/>
        </w:rPr>
        <w:t xml:space="preserve">, </w:t>
      </w:r>
      <w:proofErr w:type="spellStart"/>
      <w:r>
        <w:rPr>
          <w:lang w:val="en-US"/>
        </w:rPr>
        <w:t>kompiliert</w:t>
      </w:r>
      <w:proofErr w:type="spellEnd"/>
      <w:r>
        <w:rPr>
          <w:lang w:val="en-US"/>
        </w:rPr>
        <w:t xml:space="preserve"> in </w:t>
      </w:r>
      <w:r w:rsidRPr="001F38CE">
        <w:rPr>
          <w:i/>
          <w:lang w:val="en-US"/>
        </w:rPr>
        <w:t>Steward Machine Co. v. Davis</w:t>
      </w:r>
      <w:r w:rsidRPr="00CB7204">
        <w:rPr>
          <w:lang w:val="en-US"/>
        </w:rPr>
        <w:t>, 301 U.S. 548, 580</w:t>
      </w:r>
      <w:r>
        <w:rPr>
          <w:lang w:val="en-US"/>
        </w:rPr>
        <w:t xml:space="preserve"> = 57 S. Ct. </w:t>
      </w:r>
      <w:r w:rsidRPr="00CB7204">
        <w:rPr>
          <w:lang w:val="en-US"/>
        </w:rPr>
        <w:t>883, 888</w:t>
      </w:r>
      <w:r>
        <w:rPr>
          <w:lang w:val="en-US"/>
        </w:rPr>
        <w:t xml:space="preserve"> = 81 L. Ed. </w:t>
      </w:r>
      <w:r w:rsidRPr="00CB7204">
        <w:rPr>
          <w:lang w:val="en-US"/>
        </w:rPr>
        <w:t>1279, 1287</w:t>
      </w:r>
      <w:r>
        <w:rPr>
          <w:lang w:val="en-US"/>
        </w:rPr>
        <w:t xml:space="preserve"> = 1937 U.S. LEXIS </w:t>
      </w:r>
      <w:r w:rsidRPr="00CB7204">
        <w:rPr>
          <w:lang w:val="en-US"/>
        </w:rPr>
        <w:t>1199, 52</w:t>
      </w:r>
      <w:r>
        <w:rPr>
          <w:lang w:val="en-US"/>
        </w:rPr>
        <w:t xml:space="preserve"> = 19 A.F.T.R</w:t>
      </w:r>
      <w:r w:rsidRPr="00CB7204">
        <w:rPr>
          <w:lang w:val="en-US"/>
        </w:rPr>
        <w:t>. (P-H) 510</w:t>
      </w:r>
      <w:r>
        <w:rPr>
          <w:lang w:val="en-US"/>
        </w:rPr>
        <w:t xml:space="preserve"> = 1937-1 C.B. 444 =</w:t>
      </w:r>
      <w:r w:rsidRPr="00CB7204">
        <w:rPr>
          <w:lang w:val="en-US"/>
        </w:rPr>
        <w:t xml:space="preserve"> 109 A.L.R. 1293</w:t>
      </w:r>
      <w:r>
        <w:rPr>
          <w:lang w:val="en-US"/>
        </w:rPr>
        <w:t xml:space="preserve"> = 1937 P.H.</w:t>
      </w:r>
      <w:r w:rsidRPr="00CB7204">
        <w:rPr>
          <w:lang w:val="en-US"/>
        </w:rPr>
        <w:t>P738 (1937)</w:t>
      </w:r>
      <w:r>
        <w:rPr>
          <w:lang w:val="en-US"/>
        </w:rPr>
        <w:t>.</w:t>
      </w:r>
    </w:p>
  </w:footnote>
  <w:footnote w:id="232">
    <w:p w14:paraId="32264F36" w14:textId="77777777" w:rsidR="00074551" w:rsidRPr="00CB7204" w:rsidRDefault="00074551" w:rsidP="00074551">
      <w:pPr>
        <w:pStyle w:val="Funotentext"/>
        <w:rPr>
          <w:lang w:val="en-US"/>
        </w:rPr>
      </w:pPr>
      <w:r>
        <w:rPr>
          <w:rStyle w:val="Funotenzeichen"/>
          <w:rFonts w:eastAsiaTheme="majorEastAsia"/>
        </w:rPr>
        <w:footnoteRef/>
      </w:r>
      <w:r w:rsidRPr="00CB7204">
        <w:rPr>
          <w:lang w:val="en-US"/>
        </w:rPr>
        <w:t xml:space="preserve"> </w:t>
      </w:r>
      <w:proofErr w:type="spellStart"/>
      <w:r w:rsidRPr="00CB7204">
        <w:rPr>
          <w:lang w:val="en-US"/>
        </w:rPr>
        <w:t>Siehe</w:t>
      </w:r>
      <w:proofErr w:type="spellEnd"/>
      <w:r w:rsidRPr="00CB7204">
        <w:rPr>
          <w:lang w:val="en-US"/>
        </w:rPr>
        <w:t xml:space="preserve"> </w:t>
      </w:r>
      <w:r w:rsidRPr="00EC5BEB">
        <w:rPr>
          <w:i/>
          <w:lang w:val="en-US"/>
        </w:rPr>
        <w:t xml:space="preserve">MacArthur Maguire </w:t>
      </w:r>
      <w:r w:rsidRPr="00CB7204">
        <w:rPr>
          <w:lang w:val="en-US"/>
        </w:rPr>
        <w:t xml:space="preserve">in </w:t>
      </w:r>
      <w:r>
        <w:rPr>
          <w:lang w:val="en-US"/>
        </w:rPr>
        <w:t>„</w:t>
      </w:r>
      <w:r w:rsidRPr="00CB7204">
        <w:rPr>
          <w:lang w:val="en-US"/>
        </w:rPr>
        <w:t xml:space="preserve">Taxing the Exercise of Natural </w:t>
      </w:r>
      <w:proofErr w:type="gramStart"/>
      <w:r w:rsidRPr="00CB7204">
        <w:rPr>
          <w:lang w:val="en-US"/>
        </w:rPr>
        <w:t>Rights</w:t>
      </w:r>
      <w:r>
        <w:rPr>
          <w:lang w:val="en-US"/>
        </w:rPr>
        <w:t>“</w:t>
      </w:r>
      <w:r w:rsidRPr="00CB7204">
        <w:rPr>
          <w:lang w:val="en-US"/>
        </w:rPr>
        <w:t xml:space="preserve"> (</w:t>
      </w:r>
      <w:proofErr w:type="gramEnd"/>
      <w:r w:rsidRPr="00CB7204">
        <w:rPr>
          <w:lang w:val="en-US"/>
        </w:rPr>
        <w:t xml:space="preserve">Harvard Legal Essays, 1934, 273, 322); </w:t>
      </w:r>
      <w:proofErr w:type="spellStart"/>
      <w:r w:rsidRPr="00CB7204">
        <w:rPr>
          <w:lang w:val="en-US"/>
        </w:rPr>
        <w:t>siehe</w:t>
      </w:r>
      <w:proofErr w:type="spellEnd"/>
      <w:r w:rsidRPr="00CB7204">
        <w:rPr>
          <w:lang w:val="en-US"/>
        </w:rPr>
        <w:t xml:space="preserve"> für Massachusetts</w:t>
      </w:r>
      <w:r>
        <w:rPr>
          <w:lang w:val="en-US"/>
        </w:rPr>
        <w:t xml:space="preserve">: </w:t>
      </w:r>
      <w:r w:rsidRPr="00B45592">
        <w:rPr>
          <w:i/>
          <w:lang w:val="en-US"/>
        </w:rPr>
        <w:t>Opinion of the Justices</w:t>
      </w:r>
      <w:r w:rsidRPr="00CB7204">
        <w:rPr>
          <w:lang w:val="en-US"/>
        </w:rPr>
        <w:t xml:space="preserve">, 282 Mass. 619, 622; 186 N.E. 490; 266 Mass. 590, 593; 165 N.E. 904. Und </w:t>
      </w:r>
      <w:proofErr w:type="spellStart"/>
      <w:r w:rsidRPr="00CB7204">
        <w:rPr>
          <w:lang w:val="en-US"/>
        </w:rPr>
        <w:t>siehe</w:t>
      </w:r>
      <w:proofErr w:type="spellEnd"/>
      <w:r w:rsidRPr="00CB7204">
        <w:rPr>
          <w:lang w:val="en-US"/>
        </w:rPr>
        <w:t xml:space="preserve"> </w:t>
      </w:r>
      <w:r w:rsidRPr="00B45592">
        <w:rPr>
          <w:i/>
          <w:lang w:val="en-US"/>
        </w:rPr>
        <w:t>Howes Brothers Co. v. Massachusetts Unemployment Compensation Comm’n</w:t>
      </w:r>
      <w:r w:rsidRPr="00CB7204">
        <w:rPr>
          <w:lang w:val="en-US"/>
        </w:rPr>
        <w:t xml:space="preserve">, </w:t>
      </w:r>
      <w:r w:rsidRPr="00B45592">
        <w:rPr>
          <w:lang w:val="en-IE"/>
        </w:rPr>
        <w:t xml:space="preserve">5 </w:t>
      </w:r>
      <w:r>
        <w:rPr>
          <w:lang w:val="en-IE"/>
        </w:rPr>
        <w:t xml:space="preserve">N.E.2d </w:t>
      </w:r>
      <w:r w:rsidRPr="00B45592">
        <w:rPr>
          <w:lang w:val="en-IE"/>
        </w:rPr>
        <w:t>720, 730–</w:t>
      </w:r>
      <w:r w:rsidRPr="00CB7204">
        <w:rPr>
          <w:lang w:val="en-US"/>
        </w:rPr>
        <w:t>731</w:t>
      </w:r>
      <w:r>
        <w:rPr>
          <w:lang w:val="en-US"/>
        </w:rPr>
        <w:t xml:space="preserve">, </w:t>
      </w:r>
      <w:proofErr w:type="spellStart"/>
      <w:r>
        <w:rPr>
          <w:lang w:val="en-US"/>
        </w:rPr>
        <w:t>kompiliert</w:t>
      </w:r>
      <w:proofErr w:type="spellEnd"/>
      <w:r>
        <w:rPr>
          <w:lang w:val="en-US"/>
        </w:rPr>
        <w:t xml:space="preserve"> in </w:t>
      </w:r>
      <w:r w:rsidRPr="001F38CE">
        <w:rPr>
          <w:i/>
          <w:lang w:val="en-US"/>
        </w:rPr>
        <w:t>Steward Machine Co. v. Davis</w:t>
      </w:r>
      <w:r w:rsidRPr="00CB7204">
        <w:rPr>
          <w:lang w:val="en-US"/>
        </w:rPr>
        <w:t>, 301 U.S. 548, 580</w:t>
      </w:r>
      <w:r>
        <w:rPr>
          <w:lang w:val="en-US"/>
        </w:rPr>
        <w:t xml:space="preserve"> = 57 S. Ct. </w:t>
      </w:r>
      <w:r w:rsidRPr="00CB7204">
        <w:rPr>
          <w:lang w:val="en-US"/>
        </w:rPr>
        <w:t>883, 888</w:t>
      </w:r>
      <w:r>
        <w:rPr>
          <w:lang w:val="en-US"/>
        </w:rPr>
        <w:t xml:space="preserve"> = 81 L. Ed. </w:t>
      </w:r>
      <w:r w:rsidRPr="00CB7204">
        <w:rPr>
          <w:lang w:val="en-US"/>
        </w:rPr>
        <w:t>1279, 1287</w:t>
      </w:r>
      <w:r>
        <w:rPr>
          <w:lang w:val="en-US"/>
        </w:rPr>
        <w:t xml:space="preserve"> = 1937 U.S. LEXIS </w:t>
      </w:r>
      <w:r w:rsidRPr="00CB7204">
        <w:rPr>
          <w:lang w:val="en-US"/>
        </w:rPr>
        <w:t>1199, 52</w:t>
      </w:r>
      <w:r>
        <w:rPr>
          <w:lang w:val="en-US"/>
        </w:rPr>
        <w:t xml:space="preserve"> = 19 A.F.T.R</w:t>
      </w:r>
      <w:r w:rsidRPr="00CB7204">
        <w:rPr>
          <w:lang w:val="en-US"/>
        </w:rPr>
        <w:t>. (P-H) 510</w:t>
      </w:r>
      <w:r>
        <w:rPr>
          <w:lang w:val="en-US"/>
        </w:rPr>
        <w:t xml:space="preserve"> = 1937-1 C.B. 444 =</w:t>
      </w:r>
      <w:r w:rsidRPr="00CB7204">
        <w:rPr>
          <w:lang w:val="en-US"/>
        </w:rPr>
        <w:t xml:space="preserve"> 109 A.L.R. 1293</w:t>
      </w:r>
      <w:r>
        <w:rPr>
          <w:lang w:val="en-US"/>
        </w:rPr>
        <w:t xml:space="preserve"> = 1937 P.H.</w:t>
      </w:r>
      <w:r w:rsidRPr="00CB7204">
        <w:rPr>
          <w:lang w:val="en-US"/>
        </w:rPr>
        <w:t>P738 (1937)</w:t>
      </w:r>
      <w:r>
        <w:rPr>
          <w:lang w:val="en-US"/>
        </w:rPr>
        <w:t>.</w:t>
      </w:r>
    </w:p>
  </w:footnote>
  <w:footnote w:id="233">
    <w:p w14:paraId="02B98B96" w14:textId="77777777" w:rsidR="00074551" w:rsidRPr="00CB7204" w:rsidRDefault="00074551" w:rsidP="00074551">
      <w:pPr>
        <w:pStyle w:val="Funotentext"/>
        <w:rPr>
          <w:lang w:val="en-US"/>
        </w:rPr>
      </w:pPr>
      <w:r>
        <w:rPr>
          <w:rStyle w:val="Funotenzeichen"/>
          <w:rFonts w:eastAsiaTheme="majorEastAsia"/>
        </w:rPr>
        <w:footnoteRef/>
      </w:r>
      <w:r w:rsidRPr="00CB7204">
        <w:rPr>
          <w:lang w:val="en-US"/>
        </w:rPr>
        <w:t xml:space="preserve"> </w:t>
      </w:r>
      <w:proofErr w:type="spellStart"/>
      <w:r w:rsidRPr="00CB7204">
        <w:rPr>
          <w:lang w:val="en-US"/>
        </w:rPr>
        <w:t>Siehe</w:t>
      </w:r>
      <w:proofErr w:type="spellEnd"/>
      <w:r w:rsidRPr="00CB7204">
        <w:rPr>
          <w:lang w:val="en-US"/>
        </w:rPr>
        <w:t xml:space="preserve"> </w:t>
      </w:r>
      <w:r w:rsidRPr="00EC5BEB">
        <w:rPr>
          <w:i/>
          <w:lang w:val="en-US"/>
        </w:rPr>
        <w:t xml:space="preserve">MacArthur Maguire </w:t>
      </w:r>
      <w:r w:rsidRPr="00CB7204">
        <w:rPr>
          <w:lang w:val="en-US"/>
        </w:rPr>
        <w:t xml:space="preserve">in </w:t>
      </w:r>
      <w:r>
        <w:rPr>
          <w:lang w:val="en-US"/>
        </w:rPr>
        <w:t>„</w:t>
      </w:r>
      <w:r w:rsidRPr="00CB7204">
        <w:rPr>
          <w:lang w:val="en-US"/>
        </w:rPr>
        <w:t xml:space="preserve">Taxing the Exercise of Natural </w:t>
      </w:r>
      <w:proofErr w:type="gramStart"/>
      <w:r w:rsidRPr="00CB7204">
        <w:rPr>
          <w:lang w:val="en-US"/>
        </w:rPr>
        <w:t>Rights</w:t>
      </w:r>
      <w:r>
        <w:rPr>
          <w:lang w:val="en-US"/>
        </w:rPr>
        <w:t>“</w:t>
      </w:r>
      <w:r w:rsidRPr="00CB7204" w:rsidDel="007D0A66">
        <w:rPr>
          <w:lang w:val="en-US"/>
        </w:rPr>
        <w:t xml:space="preserve"> </w:t>
      </w:r>
      <w:r w:rsidRPr="00CB7204">
        <w:rPr>
          <w:lang w:val="en-US"/>
        </w:rPr>
        <w:t>(</w:t>
      </w:r>
      <w:proofErr w:type="gramEnd"/>
      <w:r w:rsidRPr="00CB7204">
        <w:rPr>
          <w:lang w:val="en-US"/>
        </w:rPr>
        <w:t xml:space="preserve">Harvard Legal Essays, 1934, 273, 322); </w:t>
      </w:r>
      <w:proofErr w:type="spellStart"/>
      <w:r w:rsidRPr="00CB7204">
        <w:rPr>
          <w:lang w:val="en-US"/>
        </w:rPr>
        <w:t>siehe</w:t>
      </w:r>
      <w:proofErr w:type="spellEnd"/>
      <w:r w:rsidRPr="00CB7204">
        <w:rPr>
          <w:lang w:val="en-US"/>
        </w:rPr>
        <w:t xml:space="preserve"> für Massachusetts</w:t>
      </w:r>
      <w:r>
        <w:rPr>
          <w:lang w:val="en-US"/>
        </w:rPr>
        <w:t xml:space="preserve">: </w:t>
      </w:r>
      <w:bookmarkStart w:id="25" w:name="_Hlk228721283"/>
      <w:r w:rsidRPr="00B45592">
        <w:rPr>
          <w:i/>
          <w:lang w:val="en-US"/>
        </w:rPr>
        <w:t>Opinion of the Justices</w:t>
      </w:r>
      <w:r w:rsidRPr="00CB7204">
        <w:rPr>
          <w:lang w:val="en-US"/>
        </w:rPr>
        <w:t>, 282 Mass. 619</w:t>
      </w:r>
      <w:bookmarkEnd w:id="25"/>
      <w:r w:rsidRPr="00CB7204">
        <w:rPr>
          <w:lang w:val="en-US"/>
        </w:rPr>
        <w:t xml:space="preserve">, 622; 186 N.E. 490; 266 Mass. 590, 593; 165 N.E. 904. Und </w:t>
      </w:r>
      <w:proofErr w:type="spellStart"/>
      <w:r w:rsidRPr="00CB7204">
        <w:rPr>
          <w:lang w:val="en-US"/>
        </w:rPr>
        <w:t>siehe</w:t>
      </w:r>
      <w:proofErr w:type="spellEnd"/>
      <w:r w:rsidRPr="00CB7204">
        <w:rPr>
          <w:lang w:val="en-US"/>
        </w:rPr>
        <w:t xml:space="preserve"> </w:t>
      </w:r>
      <w:r w:rsidRPr="00B45592">
        <w:rPr>
          <w:i/>
          <w:lang w:val="en-US"/>
        </w:rPr>
        <w:t>Howes Brothers Co. v. Massachusetts Unemployment Compensation Comm’n</w:t>
      </w:r>
      <w:r w:rsidRPr="00CB7204">
        <w:rPr>
          <w:lang w:val="en-US"/>
        </w:rPr>
        <w:t xml:space="preserve">, </w:t>
      </w:r>
      <w:r w:rsidRPr="00B45592">
        <w:rPr>
          <w:lang w:val="en-IE"/>
        </w:rPr>
        <w:t xml:space="preserve">5 </w:t>
      </w:r>
      <w:r>
        <w:rPr>
          <w:lang w:val="en-IE"/>
        </w:rPr>
        <w:t xml:space="preserve">N.E.2d </w:t>
      </w:r>
      <w:r w:rsidRPr="00B45592">
        <w:rPr>
          <w:lang w:val="en-IE"/>
        </w:rPr>
        <w:t>720, 730–</w:t>
      </w:r>
      <w:r w:rsidRPr="00CB7204">
        <w:rPr>
          <w:lang w:val="en-US"/>
        </w:rPr>
        <w:t>731</w:t>
      </w:r>
      <w:r>
        <w:rPr>
          <w:lang w:val="en-US"/>
        </w:rPr>
        <w:t xml:space="preserve">, </w:t>
      </w:r>
      <w:proofErr w:type="spellStart"/>
      <w:r>
        <w:rPr>
          <w:lang w:val="en-US"/>
        </w:rPr>
        <w:t>kompiliert</w:t>
      </w:r>
      <w:proofErr w:type="spellEnd"/>
      <w:r>
        <w:rPr>
          <w:lang w:val="en-US"/>
        </w:rPr>
        <w:t xml:space="preserve"> in </w:t>
      </w:r>
      <w:r w:rsidRPr="001F38CE">
        <w:rPr>
          <w:i/>
          <w:lang w:val="en-US"/>
        </w:rPr>
        <w:t>Steward Machine Co. v. Davis</w:t>
      </w:r>
      <w:r w:rsidRPr="00CB7204">
        <w:rPr>
          <w:lang w:val="en-US"/>
        </w:rPr>
        <w:t>, 301 U.S. 548, 580</w:t>
      </w:r>
      <w:r>
        <w:rPr>
          <w:lang w:val="en-US"/>
        </w:rPr>
        <w:t xml:space="preserve"> = 57 S. Ct. </w:t>
      </w:r>
      <w:r w:rsidRPr="00CB7204">
        <w:rPr>
          <w:lang w:val="en-US"/>
        </w:rPr>
        <w:t>883, 888</w:t>
      </w:r>
      <w:r>
        <w:rPr>
          <w:lang w:val="en-US"/>
        </w:rPr>
        <w:t xml:space="preserve"> = 81 L. Ed. </w:t>
      </w:r>
      <w:r w:rsidRPr="00CB7204">
        <w:rPr>
          <w:lang w:val="en-US"/>
        </w:rPr>
        <w:t>1279, 1287</w:t>
      </w:r>
      <w:r>
        <w:rPr>
          <w:lang w:val="en-US"/>
        </w:rPr>
        <w:t xml:space="preserve"> = 1937 U.S. LEXIS </w:t>
      </w:r>
      <w:r w:rsidRPr="00CB7204">
        <w:rPr>
          <w:lang w:val="en-US"/>
        </w:rPr>
        <w:t>1199, 52</w:t>
      </w:r>
      <w:r>
        <w:rPr>
          <w:lang w:val="en-US"/>
        </w:rPr>
        <w:t xml:space="preserve"> = 19 A.F.T.R</w:t>
      </w:r>
      <w:r w:rsidRPr="00CB7204">
        <w:rPr>
          <w:lang w:val="en-US"/>
        </w:rPr>
        <w:t>. (P-H) 510</w:t>
      </w:r>
      <w:r>
        <w:rPr>
          <w:lang w:val="en-US"/>
        </w:rPr>
        <w:t xml:space="preserve"> = 1937-1 C.B. 444 =</w:t>
      </w:r>
      <w:r w:rsidRPr="00CB7204">
        <w:rPr>
          <w:lang w:val="en-US"/>
        </w:rPr>
        <w:t xml:space="preserve"> 109 A.L.R. 1293</w:t>
      </w:r>
      <w:r>
        <w:rPr>
          <w:lang w:val="en-US"/>
        </w:rPr>
        <w:t xml:space="preserve"> = 1937 P.H.</w:t>
      </w:r>
      <w:r w:rsidRPr="00CB7204">
        <w:rPr>
          <w:lang w:val="en-US"/>
        </w:rPr>
        <w:t>P738 (1937)</w:t>
      </w:r>
      <w:r>
        <w:rPr>
          <w:lang w:val="en-US"/>
        </w:rPr>
        <w:t>.</w:t>
      </w:r>
    </w:p>
  </w:footnote>
  <w:footnote w:id="234">
    <w:p w14:paraId="232C991D" w14:textId="77777777" w:rsidR="00074551" w:rsidRPr="0079699C" w:rsidRDefault="00074551" w:rsidP="00074551">
      <w:pPr>
        <w:pStyle w:val="Funotentext"/>
        <w:rPr>
          <w:lang w:val="en-US"/>
        </w:rPr>
      </w:pPr>
      <w:r>
        <w:rPr>
          <w:rStyle w:val="Funotenzeichen"/>
          <w:rFonts w:eastAsiaTheme="majorEastAsia"/>
        </w:rPr>
        <w:footnoteRef/>
      </w:r>
      <w:r w:rsidRPr="0079699C">
        <w:rPr>
          <w:lang w:val="en-US"/>
        </w:rPr>
        <w:t xml:space="preserve"> </w:t>
      </w:r>
      <w:r w:rsidRPr="001F38CE">
        <w:rPr>
          <w:i/>
          <w:lang w:val="en-US"/>
        </w:rPr>
        <w:t>Machine Co. v. Davis</w:t>
      </w:r>
      <w:r w:rsidRPr="0079699C">
        <w:rPr>
          <w:lang w:val="en-US"/>
        </w:rPr>
        <w:t>, 301 U.S. 548, 581</w:t>
      </w:r>
      <w:r>
        <w:rPr>
          <w:lang w:val="en-US"/>
        </w:rPr>
        <w:t xml:space="preserve"> = 57 S. Ct. </w:t>
      </w:r>
      <w:r w:rsidRPr="0079699C">
        <w:rPr>
          <w:lang w:val="en-US"/>
        </w:rPr>
        <w:t>883, 888</w:t>
      </w:r>
      <w:r>
        <w:rPr>
          <w:lang w:val="en-US"/>
        </w:rPr>
        <w:t xml:space="preserve"> = 81 L. Ed. </w:t>
      </w:r>
      <w:r w:rsidRPr="0079699C">
        <w:rPr>
          <w:lang w:val="en-US"/>
        </w:rPr>
        <w:t>1279, 1287</w:t>
      </w:r>
      <w:r>
        <w:rPr>
          <w:lang w:val="en-US"/>
        </w:rPr>
        <w:t xml:space="preserve"> = 1937 U.S. LEXIS </w:t>
      </w:r>
      <w:r w:rsidRPr="0079699C">
        <w:rPr>
          <w:lang w:val="en-US"/>
        </w:rPr>
        <w:t>1199, 54</w:t>
      </w:r>
      <w:r>
        <w:rPr>
          <w:lang w:val="en-US"/>
        </w:rPr>
        <w:t xml:space="preserve"> = 19 A.F.T.R</w:t>
      </w:r>
      <w:r w:rsidRPr="0079699C">
        <w:rPr>
          <w:lang w:val="en-US"/>
        </w:rPr>
        <w:t>. (P-H) 510</w:t>
      </w:r>
      <w:r>
        <w:rPr>
          <w:lang w:val="en-US"/>
        </w:rPr>
        <w:t xml:space="preserve"> = 1937-1 C.B. 444 =</w:t>
      </w:r>
      <w:r w:rsidRPr="0079699C">
        <w:rPr>
          <w:lang w:val="en-US"/>
        </w:rPr>
        <w:t xml:space="preserve"> 109 A.L.R. 1293</w:t>
      </w:r>
      <w:r>
        <w:rPr>
          <w:lang w:val="en-US"/>
        </w:rPr>
        <w:t xml:space="preserve"> = 1937 P.H.</w:t>
      </w:r>
      <w:r w:rsidRPr="0079699C">
        <w:rPr>
          <w:lang w:val="en-US"/>
        </w:rPr>
        <w:t>P738 (1937)</w:t>
      </w:r>
      <w:r>
        <w:rPr>
          <w:lang w:val="en-US"/>
        </w:rPr>
        <w:t>.</w:t>
      </w:r>
    </w:p>
  </w:footnote>
  <w:footnote w:id="235">
    <w:p w14:paraId="00FABA0B" w14:textId="77777777" w:rsidR="00074551" w:rsidRPr="0079699C" w:rsidRDefault="00074551" w:rsidP="00074551">
      <w:pPr>
        <w:pStyle w:val="Funotentext"/>
        <w:rPr>
          <w:lang w:val="en-US"/>
        </w:rPr>
      </w:pPr>
      <w:r>
        <w:rPr>
          <w:rStyle w:val="Funotenzeichen"/>
          <w:rFonts w:eastAsiaTheme="majorEastAsia"/>
        </w:rPr>
        <w:footnoteRef/>
      </w:r>
      <w:r w:rsidRPr="0079699C">
        <w:rPr>
          <w:lang w:val="en-US"/>
        </w:rPr>
        <w:t xml:space="preserve"> </w:t>
      </w:r>
      <w:r w:rsidRPr="00B45592">
        <w:rPr>
          <w:i/>
          <w:lang w:val="en-US"/>
        </w:rPr>
        <w:t>Newton v. Atchison</w:t>
      </w:r>
      <w:r w:rsidRPr="0079699C">
        <w:rPr>
          <w:lang w:val="en-US"/>
        </w:rPr>
        <w:t xml:space="preserve">, 31 Kan. 151, 154 </w:t>
      </w:r>
      <w:bookmarkStart w:id="26" w:name="_Hlk228721506"/>
      <w:r w:rsidRPr="000B343C">
        <w:rPr>
          <w:lang w:val="en-US"/>
        </w:rPr>
        <w:t>(</w:t>
      </w:r>
      <w:proofErr w:type="spellStart"/>
      <w:r w:rsidRPr="00B45592">
        <w:rPr>
          <w:lang w:val="en-US"/>
        </w:rPr>
        <w:t>nach</w:t>
      </w:r>
      <w:proofErr w:type="spellEnd"/>
      <w:r w:rsidRPr="00B45592">
        <w:rPr>
          <w:lang w:val="en-US"/>
        </w:rPr>
        <w:t xml:space="preserve"> Richter</w:t>
      </w:r>
      <w:r w:rsidRPr="000B343C">
        <w:rPr>
          <w:lang w:val="en-US"/>
        </w:rPr>
        <w:t xml:space="preserve"> </w:t>
      </w:r>
      <w:r w:rsidRPr="00B45592">
        <w:rPr>
          <w:i/>
          <w:lang w:val="en-US"/>
        </w:rPr>
        <w:t>Brewer</w:t>
      </w:r>
      <w:r w:rsidRPr="000B343C">
        <w:rPr>
          <w:lang w:val="en-US"/>
        </w:rPr>
        <w:t>);</w:t>
      </w:r>
      <w:r w:rsidRPr="0079699C">
        <w:rPr>
          <w:lang w:val="en-US"/>
        </w:rPr>
        <w:t xml:space="preserve"> </w:t>
      </w:r>
      <w:bookmarkEnd w:id="26"/>
      <w:r w:rsidRPr="0079699C">
        <w:rPr>
          <w:lang w:val="en-US"/>
        </w:rPr>
        <w:t>1 Pac. 288</w:t>
      </w:r>
      <w:r>
        <w:rPr>
          <w:lang w:val="en-US"/>
        </w:rPr>
        <w:t xml:space="preserve">; </w:t>
      </w:r>
      <w:r w:rsidRPr="001F38CE">
        <w:rPr>
          <w:i/>
          <w:lang w:val="en-US"/>
        </w:rPr>
        <w:t>Steward Machine Co. v. Davis</w:t>
      </w:r>
      <w:r w:rsidRPr="0079699C">
        <w:rPr>
          <w:lang w:val="en-US"/>
        </w:rPr>
        <w:t>, 301 U.S. 548, 581</w:t>
      </w:r>
      <w:r>
        <w:rPr>
          <w:lang w:val="en-US"/>
        </w:rPr>
        <w:t xml:space="preserve"> = 57 S. Ct. </w:t>
      </w:r>
      <w:r w:rsidRPr="0079699C">
        <w:rPr>
          <w:lang w:val="en-US"/>
        </w:rPr>
        <w:t>883, 888</w:t>
      </w:r>
      <w:r>
        <w:rPr>
          <w:lang w:val="en-US"/>
        </w:rPr>
        <w:t xml:space="preserve"> = 81 L. Ed. </w:t>
      </w:r>
      <w:r w:rsidRPr="0079699C">
        <w:rPr>
          <w:lang w:val="en-US"/>
        </w:rPr>
        <w:t>1279, 1287</w:t>
      </w:r>
      <w:r>
        <w:rPr>
          <w:lang w:val="en-US"/>
        </w:rPr>
        <w:t xml:space="preserve"> = 1937 U.S. LEXIS </w:t>
      </w:r>
      <w:r w:rsidRPr="0079699C">
        <w:rPr>
          <w:lang w:val="en-US"/>
        </w:rPr>
        <w:t>1199, 54</w:t>
      </w:r>
      <w:r>
        <w:rPr>
          <w:lang w:val="en-US"/>
        </w:rPr>
        <w:t xml:space="preserve"> = 19 A.F.T.R</w:t>
      </w:r>
      <w:r w:rsidRPr="0079699C">
        <w:rPr>
          <w:lang w:val="en-US"/>
        </w:rPr>
        <w:t>. (P-H) 510</w:t>
      </w:r>
      <w:r>
        <w:rPr>
          <w:lang w:val="en-US"/>
        </w:rPr>
        <w:t xml:space="preserve"> = 1937-1 C.B. 444 =</w:t>
      </w:r>
      <w:r w:rsidRPr="0079699C">
        <w:rPr>
          <w:lang w:val="en-US"/>
        </w:rPr>
        <w:t xml:space="preserve"> 109 A.L.R. 1293</w:t>
      </w:r>
      <w:r>
        <w:rPr>
          <w:lang w:val="en-US"/>
        </w:rPr>
        <w:t xml:space="preserve"> = 1937 P.H.</w:t>
      </w:r>
      <w:r w:rsidRPr="0079699C">
        <w:rPr>
          <w:lang w:val="en-US"/>
        </w:rPr>
        <w:t>P738 (1937)</w:t>
      </w:r>
      <w:r>
        <w:rPr>
          <w:lang w:val="en-US"/>
        </w:rPr>
        <w:t>.</w:t>
      </w:r>
    </w:p>
  </w:footnote>
  <w:footnote w:id="236">
    <w:p w14:paraId="2DBFED92" w14:textId="77777777" w:rsidR="00074551" w:rsidRPr="003A5942" w:rsidRDefault="00074551" w:rsidP="00074551">
      <w:pPr>
        <w:pStyle w:val="Funotentext"/>
        <w:rPr>
          <w:lang w:val="en-US"/>
        </w:rPr>
      </w:pPr>
      <w:r>
        <w:rPr>
          <w:rStyle w:val="Funotenzeichen"/>
          <w:rFonts w:eastAsiaTheme="majorEastAsia"/>
        </w:rPr>
        <w:footnoteRef/>
      </w:r>
      <w:r w:rsidRPr="003A5942">
        <w:rPr>
          <w:lang w:val="en-US"/>
        </w:rPr>
        <w:t xml:space="preserve"> </w:t>
      </w:r>
      <w:proofErr w:type="spellStart"/>
      <w:r w:rsidRPr="00B45592">
        <w:rPr>
          <w:i/>
          <w:lang w:val="en-US"/>
        </w:rPr>
        <w:t>Henneford</w:t>
      </w:r>
      <w:proofErr w:type="spellEnd"/>
      <w:r w:rsidRPr="00B45592">
        <w:rPr>
          <w:i/>
          <w:lang w:val="en-US"/>
        </w:rPr>
        <w:t xml:space="preserve"> v. Silas Mason</w:t>
      </w:r>
      <w:r w:rsidRPr="003A5942">
        <w:rPr>
          <w:lang w:val="en-US"/>
        </w:rPr>
        <w:t xml:space="preserve"> Co., 300 U.S. 577</w:t>
      </w:r>
      <w:r>
        <w:rPr>
          <w:lang w:val="en-US"/>
        </w:rPr>
        <w:t xml:space="preserve">; </w:t>
      </w:r>
      <w:r w:rsidRPr="001F38CE">
        <w:rPr>
          <w:i/>
          <w:lang w:val="en-US"/>
        </w:rPr>
        <w:t>Steward Machine Co. v. Davis</w:t>
      </w:r>
      <w:r w:rsidRPr="003A5942">
        <w:rPr>
          <w:lang w:val="en-US"/>
        </w:rPr>
        <w:t>, 301 U.S. 548, 581</w:t>
      </w:r>
      <w:r>
        <w:rPr>
          <w:lang w:val="en-US"/>
        </w:rPr>
        <w:t xml:space="preserve"> = 57 S. Ct. </w:t>
      </w:r>
      <w:r w:rsidRPr="003A5942">
        <w:rPr>
          <w:lang w:val="en-US"/>
        </w:rPr>
        <w:t>883, 888</w:t>
      </w:r>
      <w:r>
        <w:rPr>
          <w:lang w:val="en-US"/>
        </w:rPr>
        <w:t xml:space="preserve"> = 81 L. Ed. </w:t>
      </w:r>
      <w:r w:rsidRPr="003A5942">
        <w:rPr>
          <w:lang w:val="en-US"/>
        </w:rPr>
        <w:t>1279, 1287</w:t>
      </w:r>
      <w:r>
        <w:rPr>
          <w:lang w:val="en-US"/>
        </w:rPr>
        <w:t xml:space="preserve"> = 1937 U.S. LEXIS </w:t>
      </w:r>
      <w:r w:rsidRPr="003A5942">
        <w:rPr>
          <w:lang w:val="en-US"/>
        </w:rPr>
        <w:t>1199, 54</w:t>
      </w:r>
      <w:r>
        <w:rPr>
          <w:lang w:val="en-US"/>
        </w:rPr>
        <w:t xml:space="preserve"> = 19 A.F.T.R</w:t>
      </w:r>
      <w:r w:rsidRPr="003A5942">
        <w:rPr>
          <w:lang w:val="en-US"/>
        </w:rPr>
        <w:t>. (P-H) 510</w:t>
      </w:r>
      <w:r>
        <w:rPr>
          <w:lang w:val="en-US"/>
        </w:rPr>
        <w:t xml:space="preserve"> = 1937-1 C.B. 444 =</w:t>
      </w:r>
      <w:r w:rsidRPr="003A5942">
        <w:rPr>
          <w:lang w:val="en-US"/>
        </w:rPr>
        <w:t xml:space="preserve"> 109 A.L.R. 1293</w:t>
      </w:r>
      <w:r>
        <w:rPr>
          <w:lang w:val="en-US"/>
        </w:rPr>
        <w:t xml:space="preserve"> = 1937 P.H.</w:t>
      </w:r>
      <w:r w:rsidRPr="003A5942">
        <w:rPr>
          <w:lang w:val="en-US"/>
        </w:rPr>
        <w:t>P738 (1937)</w:t>
      </w:r>
      <w:r>
        <w:rPr>
          <w:lang w:val="en-US"/>
        </w:rPr>
        <w:t>.</w:t>
      </w:r>
    </w:p>
  </w:footnote>
  <w:footnote w:id="237">
    <w:p w14:paraId="3709CF03" w14:textId="77777777" w:rsidR="00074551" w:rsidRPr="003A5942" w:rsidRDefault="00074551" w:rsidP="00074551">
      <w:pPr>
        <w:pStyle w:val="Funotentext"/>
        <w:rPr>
          <w:lang w:val="en-US"/>
        </w:rPr>
      </w:pPr>
      <w:r>
        <w:rPr>
          <w:rStyle w:val="Funotenzeichen"/>
          <w:rFonts w:eastAsiaTheme="majorEastAsia"/>
        </w:rPr>
        <w:footnoteRef/>
      </w:r>
      <w:r w:rsidRPr="0024355F">
        <w:rPr>
          <w:lang w:val="en-US"/>
        </w:rPr>
        <w:t xml:space="preserve"> </w:t>
      </w:r>
      <w:r w:rsidRPr="001F38CE">
        <w:rPr>
          <w:i/>
          <w:lang w:val="en-US"/>
        </w:rPr>
        <w:t>Steward Machine Co. v. Davis</w:t>
      </w:r>
      <w:r w:rsidRPr="003A5942">
        <w:rPr>
          <w:lang w:val="en-US"/>
        </w:rPr>
        <w:t>, 301 U.S. 548, 581</w:t>
      </w:r>
      <w:r>
        <w:rPr>
          <w:lang w:val="en-US"/>
        </w:rPr>
        <w:t xml:space="preserve"> = 57 S. Ct. </w:t>
      </w:r>
      <w:r w:rsidRPr="003A5942">
        <w:rPr>
          <w:lang w:val="en-US"/>
        </w:rPr>
        <w:t>883, 888</w:t>
      </w:r>
      <w:r>
        <w:rPr>
          <w:lang w:val="en-US"/>
        </w:rPr>
        <w:t xml:space="preserve"> = 81 L. Ed. </w:t>
      </w:r>
      <w:r w:rsidRPr="003A5942">
        <w:rPr>
          <w:lang w:val="en-US"/>
        </w:rPr>
        <w:t>1279, 1288</w:t>
      </w:r>
      <w:r>
        <w:rPr>
          <w:lang w:val="en-US"/>
        </w:rPr>
        <w:t xml:space="preserve"> = 1937 U.S. LEXIS </w:t>
      </w:r>
      <w:r w:rsidRPr="003A5942">
        <w:rPr>
          <w:lang w:val="en-US"/>
        </w:rPr>
        <w:t>1199, 56</w:t>
      </w:r>
      <w:r>
        <w:rPr>
          <w:lang w:val="en-US"/>
        </w:rPr>
        <w:t xml:space="preserve"> = 19 A.F.T.R</w:t>
      </w:r>
      <w:r w:rsidRPr="003A5942">
        <w:rPr>
          <w:lang w:val="en-US"/>
        </w:rPr>
        <w:t>. (P-H) 510</w:t>
      </w:r>
      <w:r>
        <w:rPr>
          <w:lang w:val="en-US"/>
        </w:rPr>
        <w:t xml:space="preserve"> = 1937-1 C.B. 444 =</w:t>
      </w:r>
      <w:r w:rsidRPr="003A5942">
        <w:rPr>
          <w:lang w:val="en-US"/>
        </w:rPr>
        <w:t xml:space="preserve"> 109 A.L.R. 1293</w:t>
      </w:r>
      <w:r>
        <w:rPr>
          <w:lang w:val="en-US"/>
        </w:rPr>
        <w:t xml:space="preserve"> = 1937 P.H.</w:t>
      </w:r>
      <w:r w:rsidRPr="003A5942">
        <w:rPr>
          <w:lang w:val="en-US"/>
        </w:rPr>
        <w:t>P738 (1937)</w:t>
      </w:r>
      <w:r>
        <w:rPr>
          <w:lang w:val="en-US"/>
        </w:rPr>
        <w:t>.</w:t>
      </w:r>
    </w:p>
  </w:footnote>
  <w:footnote w:id="238">
    <w:p w14:paraId="0E576452" w14:textId="77777777" w:rsidR="00074551" w:rsidRPr="006976F2" w:rsidRDefault="00074551" w:rsidP="00074551">
      <w:pPr>
        <w:pStyle w:val="Funotentext"/>
        <w:rPr>
          <w:lang w:val="en-US"/>
        </w:rPr>
      </w:pPr>
      <w:r>
        <w:rPr>
          <w:rStyle w:val="Funotenzeichen"/>
        </w:rPr>
        <w:footnoteRef/>
      </w:r>
      <w:r w:rsidRPr="006976F2">
        <w:rPr>
          <w:lang w:val="en-US"/>
        </w:rPr>
        <w:t xml:space="preserve"> </w:t>
      </w:r>
      <w:r w:rsidRPr="001F38CE">
        <w:rPr>
          <w:i/>
          <w:lang w:val="en-US"/>
        </w:rPr>
        <w:t xml:space="preserve">Fullilove v. </w:t>
      </w:r>
      <w:proofErr w:type="spellStart"/>
      <w:r w:rsidRPr="001F38CE">
        <w:rPr>
          <w:i/>
          <w:lang w:val="en-US"/>
        </w:rPr>
        <w:t>Klutznick</w:t>
      </w:r>
      <w:proofErr w:type="spellEnd"/>
      <w:r w:rsidRPr="006976F2">
        <w:rPr>
          <w:lang w:val="en-US"/>
        </w:rPr>
        <w:t>, 448 U.S. 448, 472</w:t>
      </w:r>
      <w:r>
        <w:rPr>
          <w:lang w:val="en-US"/>
        </w:rPr>
        <w:t xml:space="preserve"> = 100 S. Ct.</w:t>
      </w:r>
      <w:r w:rsidRPr="006976F2">
        <w:rPr>
          <w:lang w:val="en-US"/>
        </w:rPr>
        <w:t xml:space="preserve"> 2758, 2771</w:t>
      </w:r>
      <w:r>
        <w:rPr>
          <w:lang w:val="en-US"/>
        </w:rPr>
        <w:t xml:space="preserve"> = 65 L. Ed. </w:t>
      </w:r>
      <w:r w:rsidRPr="006976F2">
        <w:rPr>
          <w:lang w:val="en-US"/>
        </w:rPr>
        <w:t>2d 902, 920</w:t>
      </w:r>
      <w:r>
        <w:rPr>
          <w:lang w:val="en-US"/>
        </w:rPr>
        <w:t xml:space="preserve"> = 1980 U.S. LEXIS </w:t>
      </w:r>
      <w:r w:rsidRPr="006976F2">
        <w:rPr>
          <w:lang w:val="en-US"/>
        </w:rPr>
        <w:t>8, 45</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6976F2">
        <w:rPr>
          <w:lang w:val="en-US"/>
        </w:rPr>
        <w:t>(CCH) P31,026</w:t>
      </w:r>
      <w:r>
        <w:rPr>
          <w:lang w:val="en-US"/>
        </w:rPr>
        <w:t xml:space="preserve"> = 27 Cont. Cas. Fed. </w:t>
      </w:r>
      <w:r w:rsidRPr="006976F2">
        <w:rPr>
          <w:lang w:val="en-US"/>
        </w:rPr>
        <w:t>(CCH) P80,496 (1980).</w:t>
      </w:r>
    </w:p>
  </w:footnote>
  <w:footnote w:id="239">
    <w:p w14:paraId="49B05ED4" w14:textId="77777777" w:rsidR="00074551" w:rsidRPr="00B45592" w:rsidRDefault="00074551" w:rsidP="00074551">
      <w:pPr>
        <w:rPr>
          <w:lang w:val="en-IE"/>
        </w:rPr>
      </w:pPr>
      <w:r>
        <w:rPr>
          <w:rStyle w:val="Funotenzeichen"/>
          <w:rFonts w:eastAsiaTheme="majorEastAsia"/>
        </w:rPr>
        <w:footnoteRef/>
      </w:r>
      <w:r w:rsidRPr="00FB0E5A">
        <w:rPr>
          <w:lang w:val="en-US"/>
        </w:rPr>
        <w:t xml:space="preserve"> </w:t>
      </w:r>
      <w:r w:rsidRPr="00051D11">
        <w:rPr>
          <w:i/>
          <w:sz w:val="20"/>
          <w:szCs w:val="20"/>
          <w:lang w:val="en-IE"/>
        </w:rPr>
        <w:t>Meyer v. Nebraska</w:t>
      </w:r>
      <w:r w:rsidRPr="00051D11">
        <w:rPr>
          <w:sz w:val="20"/>
          <w:szCs w:val="20"/>
          <w:lang w:val="en-IE"/>
        </w:rPr>
        <w:t>, 262 U.S. 390, 392 (1923) (</w:t>
      </w:r>
      <w:r w:rsidRPr="00051D11">
        <w:rPr>
          <w:i/>
          <w:sz w:val="20"/>
          <w:szCs w:val="20"/>
          <w:lang w:val="en-IE"/>
        </w:rPr>
        <w:t>Argument for Plaintiff in Error</w:t>
      </w:r>
      <w:r w:rsidRPr="00051D11">
        <w:rPr>
          <w:sz w:val="20"/>
          <w:szCs w:val="20"/>
          <w:lang w:val="en-IE"/>
        </w:rPr>
        <w:t xml:space="preserve">); </w:t>
      </w:r>
      <w:proofErr w:type="spellStart"/>
      <w:r w:rsidRPr="00051D11">
        <w:rPr>
          <w:sz w:val="20"/>
          <w:szCs w:val="20"/>
          <w:lang w:val="en-IE"/>
        </w:rPr>
        <w:t>dort</w:t>
      </w:r>
      <w:proofErr w:type="spellEnd"/>
      <w:r w:rsidRPr="00051D11">
        <w:rPr>
          <w:sz w:val="20"/>
          <w:szCs w:val="20"/>
          <w:lang w:val="en-IE"/>
        </w:rPr>
        <w:t xml:space="preserve"> </w:t>
      </w:r>
      <w:proofErr w:type="spellStart"/>
      <w:r w:rsidRPr="00051D11">
        <w:rPr>
          <w:sz w:val="20"/>
          <w:szCs w:val="20"/>
          <w:lang w:val="en-IE"/>
        </w:rPr>
        <w:t>unter</w:t>
      </w:r>
      <w:proofErr w:type="spellEnd"/>
      <w:r w:rsidRPr="00051D11">
        <w:rPr>
          <w:sz w:val="20"/>
          <w:szCs w:val="20"/>
          <w:lang w:val="en-IE"/>
        </w:rPr>
        <w:t xml:space="preserve"> </w:t>
      </w:r>
      <w:proofErr w:type="spellStart"/>
      <w:r w:rsidRPr="00051D11">
        <w:rPr>
          <w:sz w:val="20"/>
          <w:szCs w:val="20"/>
          <w:lang w:val="en-IE"/>
        </w:rPr>
        <w:t>Verweis</w:t>
      </w:r>
      <w:proofErr w:type="spellEnd"/>
      <w:r w:rsidRPr="00051D11">
        <w:rPr>
          <w:sz w:val="20"/>
          <w:szCs w:val="20"/>
          <w:lang w:val="en-IE"/>
        </w:rPr>
        <w:t xml:space="preserve"> auf </w:t>
      </w:r>
      <w:r w:rsidRPr="00051D11">
        <w:rPr>
          <w:i/>
          <w:sz w:val="20"/>
          <w:szCs w:val="20"/>
          <w:lang w:val="en-IE"/>
        </w:rPr>
        <w:t>State v. Redmon</w:t>
      </w:r>
      <w:r w:rsidRPr="00051D11">
        <w:rPr>
          <w:sz w:val="20"/>
          <w:szCs w:val="20"/>
          <w:lang w:val="en-IE"/>
        </w:rPr>
        <w:t xml:space="preserve">, 134 Wis. 89; </w:t>
      </w:r>
      <w:r w:rsidRPr="00051D11">
        <w:rPr>
          <w:i/>
          <w:sz w:val="20"/>
          <w:szCs w:val="20"/>
          <w:lang w:val="en-IE"/>
        </w:rPr>
        <w:t>Mugler v. Kansas</w:t>
      </w:r>
      <w:r w:rsidRPr="00051D11">
        <w:rPr>
          <w:sz w:val="20"/>
          <w:szCs w:val="20"/>
          <w:lang w:val="en-IE"/>
        </w:rPr>
        <w:t xml:space="preserve">, 123 U.S. 623; </w:t>
      </w:r>
      <w:r w:rsidRPr="00051D11">
        <w:rPr>
          <w:i/>
          <w:sz w:val="20"/>
          <w:szCs w:val="20"/>
          <w:lang w:val="en-IE"/>
        </w:rPr>
        <w:t>Wyeth v. Cambridge Bd. of Health</w:t>
      </w:r>
      <w:r w:rsidRPr="00051D11">
        <w:rPr>
          <w:sz w:val="20"/>
          <w:szCs w:val="20"/>
          <w:lang w:val="en-IE"/>
        </w:rPr>
        <w:t xml:space="preserve">, 200 Mass. 474; </w:t>
      </w:r>
      <w:r w:rsidRPr="00051D11">
        <w:rPr>
          <w:i/>
          <w:sz w:val="20"/>
          <w:szCs w:val="20"/>
          <w:lang w:val="en-IE"/>
        </w:rPr>
        <w:t>State v. Sperry</w:t>
      </w:r>
      <w:r w:rsidRPr="00051D11">
        <w:rPr>
          <w:sz w:val="20"/>
          <w:szCs w:val="20"/>
          <w:lang w:val="en-IE"/>
        </w:rPr>
        <w:t>, 94 Neb. 785.</w:t>
      </w:r>
    </w:p>
  </w:footnote>
  <w:footnote w:id="240">
    <w:p w14:paraId="0E32B7F8" w14:textId="77777777" w:rsidR="00074551" w:rsidRPr="00B45592" w:rsidRDefault="00074551" w:rsidP="00074551">
      <w:pPr>
        <w:rPr>
          <w:lang w:val="en-IE"/>
        </w:rPr>
      </w:pPr>
      <w:r w:rsidRPr="00D83E4F">
        <w:rPr>
          <w:rStyle w:val="Funotenzeichen"/>
          <w:rFonts w:eastAsiaTheme="majorEastAsia"/>
        </w:rPr>
        <w:footnoteRef/>
      </w:r>
      <w:r w:rsidRPr="00D83E4F">
        <w:rPr>
          <w:lang w:val="en-US"/>
        </w:rPr>
        <w:t xml:space="preserve"> </w:t>
      </w:r>
      <w:r w:rsidRPr="00051D11">
        <w:rPr>
          <w:i/>
          <w:sz w:val="20"/>
          <w:szCs w:val="20"/>
          <w:lang w:val="en-IE"/>
        </w:rPr>
        <w:t xml:space="preserve">Home Bldg. &amp; Loan </w:t>
      </w:r>
      <w:proofErr w:type="spellStart"/>
      <w:r w:rsidRPr="00051D11">
        <w:rPr>
          <w:i/>
          <w:sz w:val="20"/>
          <w:szCs w:val="20"/>
          <w:lang w:val="en-IE"/>
        </w:rPr>
        <w:t>Ass’n</w:t>
      </w:r>
      <w:proofErr w:type="spellEnd"/>
      <w:r w:rsidRPr="00051D11">
        <w:rPr>
          <w:i/>
          <w:sz w:val="20"/>
          <w:szCs w:val="20"/>
          <w:lang w:val="en-IE"/>
        </w:rPr>
        <w:t xml:space="preserve"> v. Blaisdell</w:t>
      </w:r>
      <w:r w:rsidRPr="00051D11">
        <w:rPr>
          <w:sz w:val="20"/>
          <w:szCs w:val="20"/>
          <w:lang w:val="en-IE"/>
        </w:rPr>
        <w:t>, 290 U.S. 398, 412 (1934) (</w:t>
      </w:r>
      <w:r w:rsidRPr="00051D11">
        <w:rPr>
          <w:i/>
          <w:sz w:val="20"/>
          <w:szCs w:val="20"/>
          <w:lang w:val="en-IE"/>
        </w:rPr>
        <w:t xml:space="preserve">Argument for </w:t>
      </w:r>
      <w:proofErr w:type="spellStart"/>
      <w:r w:rsidRPr="00051D11">
        <w:rPr>
          <w:i/>
          <w:sz w:val="20"/>
          <w:szCs w:val="20"/>
          <w:lang w:val="en-IE"/>
        </w:rPr>
        <w:t>Appellees</w:t>
      </w:r>
      <w:proofErr w:type="spellEnd"/>
      <w:r w:rsidRPr="00051D11">
        <w:rPr>
          <w:sz w:val="20"/>
          <w:szCs w:val="20"/>
          <w:lang w:val="en-IE"/>
        </w:rPr>
        <w:t>) (</w:t>
      </w:r>
      <w:proofErr w:type="spellStart"/>
      <w:r w:rsidRPr="00051D11">
        <w:rPr>
          <w:sz w:val="20"/>
          <w:szCs w:val="20"/>
          <w:lang w:val="en-IE"/>
        </w:rPr>
        <w:t>unter</w:t>
      </w:r>
      <w:proofErr w:type="spellEnd"/>
      <w:r w:rsidRPr="00051D11">
        <w:rPr>
          <w:sz w:val="20"/>
          <w:szCs w:val="20"/>
          <w:lang w:val="en-IE"/>
        </w:rPr>
        <w:t xml:space="preserve"> </w:t>
      </w:r>
      <w:proofErr w:type="spellStart"/>
      <w:r w:rsidRPr="00051D11">
        <w:rPr>
          <w:sz w:val="20"/>
          <w:szCs w:val="20"/>
          <w:lang w:val="en-IE"/>
        </w:rPr>
        <w:t>Verweis</w:t>
      </w:r>
      <w:proofErr w:type="spellEnd"/>
      <w:r w:rsidRPr="00051D11">
        <w:rPr>
          <w:sz w:val="20"/>
          <w:szCs w:val="20"/>
          <w:lang w:val="en-IE"/>
        </w:rPr>
        <w:t xml:space="preserve"> </w:t>
      </w:r>
      <w:proofErr w:type="spellStart"/>
      <w:r w:rsidRPr="00051D11">
        <w:rPr>
          <w:sz w:val="20"/>
          <w:szCs w:val="20"/>
          <w:lang w:val="en-IE"/>
        </w:rPr>
        <w:t>u.a.</w:t>
      </w:r>
      <w:proofErr w:type="spellEnd"/>
      <w:r w:rsidRPr="00051D11">
        <w:rPr>
          <w:sz w:val="20"/>
          <w:szCs w:val="20"/>
          <w:lang w:val="en-IE"/>
        </w:rPr>
        <w:t xml:space="preserve"> auf </w:t>
      </w:r>
      <w:r w:rsidRPr="00051D11">
        <w:rPr>
          <w:i/>
          <w:sz w:val="20"/>
          <w:szCs w:val="20"/>
          <w:lang w:val="en-IE"/>
        </w:rPr>
        <w:t>Black</w:t>
      </w:r>
      <w:r w:rsidRPr="00051D11">
        <w:rPr>
          <w:sz w:val="20"/>
          <w:szCs w:val="20"/>
          <w:lang w:val="en-IE"/>
        </w:rPr>
        <w:t>, Constitutional Law</w:t>
      </w:r>
      <w:r>
        <w:rPr>
          <w:sz w:val="20"/>
          <w:szCs w:val="20"/>
          <w:lang w:val="en-IE"/>
        </w:rPr>
        <w:t>,</w:t>
      </w:r>
      <w:r w:rsidRPr="00051D11">
        <w:rPr>
          <w:sz w:val="20"/>
          <w:szCs w:val="20"/>
          <w:lang w:val="en-IE"/>
        </w:rPr>
        <w:t xml:space="preserve"> 366</w:t>
      </w:r>
      <w:r>
        <w:rPr>
          <w:sz w:val="20"/>
          <w:szCs w:val="20"/>
          <w:lang w:val="en-IE"/>
        </w:rPr>
        <w:t>,</w:t>
      </w:r>
      <w:r w:rsidRPr="00051D11">
        <w:rPr>
          <w:sz w:val="20"/>
          <w:szCs w:val="20"/>
          <w:lang w:val="en-IE"/>
        </w:rPr>
        <w:t xml:space="preserve"> 4. </w:t>
      </w:r>
      <w:proofErr w:type="spellStart"/>
      <w:r w:rsidRPr="00051D11">
        <w:rPr>
          <w:sz w:val="20"/>
          <w:szCs w:val="20"/>
          <w:lang w:val="en-IE"/>
        </w:rPr>
        <w:t>Aufl</w:t>
      </w:r>
      <w:proofErr w:type="spellEnd"/>
      <w:r w:rsidRPr="00051D11">
        <w:rPr>
          <w:sz w:val="20"/>
          <w:szCs w:val="20"/>
          <w:lang w:val="en-IE"/>
        </w:rPr>
        <w:t xml:space="preserve">.; </w:t>
      </w:r>
      <w:r w:rsidRPr="00051D11">
        <w:rPr>
          <w:i/>
          <w:sz w:val="20"/>
          <w:szCs w:val="20"/>
          <w:lang w:val="en-IE"/>
        </w:rPr>
        <w:t>Barbier v. Connolly</w:t>
      </w:r>
      <w:r w:rsidRPr="00051D11">
        <w:rPr>
          <w:sz w:val="20"/>
          <w:szCs w:val="20"/>
          <w:lang w:val="en-IE"/>
        </w:rPr>
        <w:t xml:space="preserve">, 113 U.S. 27; </w:t>
      </w:r>
      <w:r w:rsidRPr="00051D11">
        <w:rPr>
          <w:i/>
          <w:sz w:val="20"/>
          <w:szCs w:val="20"/>
          <w:lang w:val="en-IE"/>
        </w:rPr>
        <w:t>Mugler v. Kansas</w:t>
      </w:r>
      <w:r w:rsidRPr="00051D11">
        <w:rPr>
          <w:sz w:val="20"/>
          <w:szCs w:val="20"/>
          <w:lang w:val="en-IE"/>
        </w:rPr>
        <w:t xml:space="preserve">, 123 U.S. 623; </w:t>
      </w:r>
      <w:r w:rsidRPr="00051D11">
        <w:rPr>
          <w:i/>
          <w:sz w:val="20"/>
          <w:szCs w:val="20"/>
          <w:lang w:val="en-IE"/>
        </w:rPr>
        <w:t xml:space="preserve">Blaisdell v. Home Bldg. </w:t>
      </w:r>
      <w:r w:rsidRPr="00B45592">
        <w:rPr>
          <w:i/>
          <w:sz w:val="20"/>
          <w:szCs w:val="20"/>
          <w:lang w:val="en-IE"/>
        </w:rPr>
        <w:t>&amp; Loan Assn.</w:t>
      </w:r>
      <w:r w:rsidRPr="00B45592">
        <w:rPr>
          <w:sz w:val="20"/>
          <w:szCs w:val="20"/>
          <w:lang w:val="en-IE"/>
        </w:rPr>
        <w:t>, 189 Minn. 422, 448).</w:t>
      </w:r>
    </w:p>
  </w:footnote>
  <w:footnote w:id="241">
    <w:p w14:paraId="4AC86D79" w14:textId="77777777" w:rsidR="00074551" w:rsidRPr="007E4757" w:rsidRDefault="00074551" w:rsidP="00074551">
      <w:pPr>
        <w:pStyle w:val="Funotentext"/>
        <w:rPr>
          <w:lang w:val="en-US"/>
        </w:rPr>
      </w:pPr>
      <w:r w:rsidRPr="001624B3">
        <w:rPr>
          <w:rStyle w:val="Funotenzeichen"/>
          <w:rFonts w:eastAsiaTheme="majorEastAsia"/>
        </w:rPr>
        <w:footnoteRef/>
      </w:r>
      <w:r w:rsidRPr="001624B3">
        <w:rPr>
          <w:lang w:val="en-US"/>
        </w:rPr>
        <w:t xml:space="preserve"> </w:t>
      </w:r>
      <w:r w:rsidRPr="00F41F2E">
        <w:rPr>
          <w:i/>
          <w:lang w:val="en-US"/>
        </w:rPr>
        <w:t xml:space="preserve">Fullilove v. </w:t>
      </w:r>
      <w:proofErr w:type="spellStart"/>
      <w:r w:rsidRPr="00F41F2E">
        <w:rPr>
          <w:i/>
          <w:lang w:val="en-US"/>
        </w:rPr>
        <w:t>Klutznick</w:t>
      </w:r>
      <w:proofErr w:type="spellEnd"/>
      <w:r w:rsidRPr="00F41F2E">
        <w:rPr>
          <w:lang w:val="en-US"/>
        </w:rPr>
        <w:t>, 448 U.S. 448, 473 = 100 S. Ct. 2758, 2772 = 65 L. Ed. 2d 902, 921 = 1980 U.S</w:t>
      </w:r>
      <w:r>
        <w:rPr>
          <w:lang w:val="en-US"/>
        </w:rPr>
        <w:t xml:space="preserve">. LEXIS </w:t>
      </w:r>
      <w:r w:rsidRPr="007E4757">
        <w:rPr>
          <w:lang w:val="en-US"/>
        </w:rPr>
        <w:t>8, 47</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7E4757">
        <w:rPr>
          <w:lang w:val="en-US"/>
        </w:rPr>
        <w:t>(CCH) P31,026</w:t>
      </w:r>
      <w:r>
        <w:rPr>
          <w:lang w:val="en-US"/>
        </w:rPr>
        <w:t xml:space="preserve"> = 27 Cont. Cas. Fed. </w:t>
      </w:r>
      <w:r w:rsidRPr="007E4757">
        <w:rPr>
          <w:lang w:val="en-US"/>
        </w:rPr>
        <w:t>(CCH) P80,496 (1980).</w:t>
      </w:r>
    </w:p>
  </w:footnote>
  <w:footnote w:id="242">
    <w:p w14:paraId="061CA6A2" w14:textId="77777777" w:rsidR="00074551" w:rsidRPr="006976F2" w:rsidRDefault="00074551" w:rsidP="00074551">
      <w:pPr>
        <w:pStyle w:val="Funotentext"/>
        <w:rPr>
          <w:lang w:val="en-US"/>
        </w:rPr>
      </w:pPr>
      <w:r>
        <w:rPr>
          <w:rStyle w:val="Funotenzeichen"/>
        </w:rPr>
        <w:footnoteRef/>
      </w:r>
      <w:r w:rsidRPr="006976F2">
        <w:rPr>
          <w:lang w:val="en-US"/>
        </w:rPr>
        <w:t xml:space="preserve"> </w:t>
      </w:r>
      <w:r w:rsidRPr="00A15962">
        <w:rPr>
          <w:i/>
          <w:lang w:val="en-US"/>
        </w:rPr>
        <w:t>Mathews v. Lucas</w:t>
      </w:r>
      <w:r w:rsidRPr="006976F2">
        <w:rPr>
          <w:lang w:val="en-US"/>
        </w:rPr>
        <w:t>, 427 U.S. 495, 520</w:t>
      </w:r>
      <w:r>
        <w:rPr>
          <w:lang w:val="en-US"/>
        </w:rPr>
        <w:t>–</w:t>
      </w:r>
      <w:r w:rsidRPr="006976F2">
        <w:rPr>
          <w:lang w:val="en-US"/>
        </w:rPr>
        <w:t xml:space="preserve">521, n. </w:t>
      </w:r>
      <w:r w:rsidRPr="00E14D21">
        <w:rPr>
          <w:lang w:val="en-US"/>
        </w:rPr>
        <w:t xml:space="preserve">3 (Dissens von Richter </w:t>
      </w:r>
      <w:r w:rsidRPr="00B45592">
        <w:rPr>
          <w:i/>
          <w:lang w:val="en-US"/>
        </w:rPr>
        <w:t>Stevens</w:t>
      </w:r>
      <w:r w:rsidRPr="00E14D21">
        <w:rPr>
          <w:lang w:val="en-US"/>
        </w:rPr>
        <w:t>);</w:t>
      </w:r>
      <w:r w:rsidRPr="006976F2">
        <w:rPr>
          <w:lang w:val="en-US"/>
        </w:rPr>
        <w:t xml:space="preserve"> </w:t>
      </w:r>
      <w:r w:rsidRPr="001F38CE">
        <w:rPr>
          <w:i/>
          <w:lang w:val="en-US"/>
        </w:rPr>
        <w:t xml:space="preserve">Fullilove v. </w:t>
      </w:r>
      <w:proofErr w:type="spellStart"/>
      <w:r w:rsidRPr="001F38CE">
        <w:rPr>
          <w:i/>
          <w:lang w:val="en-US"/>
        </w:rPr>
        <w:t>Klutznick</w:t>
      </w:r>
      <w:proofErr w:type="spellEnd"/>
      <w:r w:rsidRPr="006976F2">
        <w:rPr>
          <w:lang w:val="en-US"/>
        </w:rPr>
        <w:t>, 448 U.S. 448, 533</w:t>
      </w:r>
      <w:r>
        <w:rPr>
          <w:lang w:val="en-US"/>
        </w:rPr>
        <w:t xml:space="preserve"> = 100 S. Ct.</w:t>
      </w:r>
      <w:r w:rsidRPr="006976F2">
        <w:rPr>
          <w:lang w:val="en-US"/>
        </w:rPr>
        <w:t xml:space="preserve"> 2758, 2803</w:t>
      </w:r>
      <w:r>
        <w:rPr>
          <w:lang w:val="en-US"/>
        </w:rPr>
        <w:t xml:space="preserve"> = 65 L. Ed. </w:t>
      </w:r>
      <w:r w:rsidRPr="006976F2">
        <w:rPr>
          <w:lang w:val="en-US"/>
        </w:rPr>
        <w:t>2d 902, 960</w:t>
      </w:r>
      <w:r>
        <w:rPr>
          <w:lang w:val="en-US"/>
        </w:rPr>
        <w:t xml:space="preserve"> = 1980 U.S. LEXIS </w:t>
      </w:r>
      <w:r w:rsidRPr="006976F2">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6976F2">
        <w:rPr>
          <w:lang w:val="en-US"/>
        </w:rPr>
        <w:t>(CCH) P31,026</w:t>
      </w:r>
      <w:r>
        <w:rPr>
          <w:lang w:val="en-US"/>
        </w:rPr>
        <w:t xml:space="preserve"> = 27 Cont. Cas. Fed. </w:t>
      </w:r>
      <w:r w:rsidRPr="006976F2">
        <w:rPr>
          <w:lang w:val="en-US"/>
        </w:rPr>
        <w:t>(CCH) P80,496 (1980).</w:t>
      </w:r>
    </w:p>
  </w:footnote>
  <w:footnote w:id="243">
    <w:p w14:paraId="14314901" w14:textId="77777777" w:rsidR="00074551" w:rsidRPr="00870B93" w:rsidRDefault="00074551" w:rsidP="00074551">
      <w:pPr>
        <w:pStyle w:val="Funotentext"/>
        <w:rPr>
          <w:lang w:val="en-US"/>
        </w:rPr>
      </w:pPr>
      <w:r>
        <w:rPr>
          <w:rStyle w:val="Funotenzeichen"/>
        </w:rPr>
        <w:footnoteRef/>
      </w:r>
      <w:r w:rsidRPr="00870B93">
        <w:rPr>
          <w:lang w:val="en-US"/>
        </w:rPr>
        <w:t xml:space="preserve"> „An act creating an Industrial Commission of North Dakota [Laws, 1919, c. 151] which is authorized to conduct and manage on behalf of that State certain utilities, industries, enterprises and business projects, to be established by law. The act gives authority to the Commission to manage, operate, control and govern all utilities, enterprises and business projects, owned, undertaken, administered or operated by the State of North Dakota, except those carried on in penal, charitable or educational </w:t>
      </w:r>
      <w:proofErr w:type="gramStart"/>
      <w:r w:rsidRPr="00870B93">
        <w:rPr>
          <w:lang w:val="en-US"/>
        </w:rPr>
        <w:t>institutions“</w:t>
      </w:r>
      <w:proofErr w:type="gramEnd"/>
      <w:r>
        <w:rPr>
          <w:lang w:val="en-US"/>
        </w:rPr>
        <w:t xml:space="preserve">, </w:t>
      </w:r>
      <w:r w:rsidRPr="00B45592">
        <w:rPr>
          <w:i/>
          <w:lang w:val="en-US"/>
        </w:rPr>
        <w:t>Green v. Frazier</w:t>
      </w:r>
      <w:r>
        <w:rPr>
          <w:lang w:val="en-US"/>
        </w:rPr>
        <w:t>,</w:t>
      </w:r>
      <w:r w:rsidRPr="00EC5BEB">
        <w:rPr>
          <w:lang w:val="en-US"/>
        </w:rPr>
        <w:t xml:space="preserve"> </w:t>
      </w:r>
      <w:r w:rsidRPr="00870B93">
        <w:rPr>
          <w:lang w:val="en-US"/>
        </w:rPr>
        <w:t>253 U.S. 233, 234</w:t>
      </w:r>
      <w:r w:rsidRPr="00EC5BEB">
        <w:rPr>
          <w:lang w:val="en-US"/>
        </w:rPr>
        <w:t xml:space="preserve"> = 40 S. Ct. </w:t>
      </w:r>
      <w:r w:rsidRPr="00870B93">
        <w:rPr>
          <w:lang w:val="en-US"/>
        </w:rPr>
        <w:t>499, 500</w:t>
      </w:r>
      <w:r>
        <w:rPr>
          <w:lang w:val="en-US"/>
        </w:rPr>
        <w:t xml:space="preserve"> = 64 L. Ed. </w:t>
      </w:r>
      <w:r w:rsidRPr="00870B93">
        <w:rPr>
          <w:lang w:val="en-US"/>
        </w:rPr>
        <w:t xml:space="preserve">878, 879 </w:t>
      </w:r>
      <w:r w:rsidRPr="00EC5BEB">
        <w:rPr>
          <w:lang w:val="en-US"/>
        </w:rPr>
        <w:t xml:space="preserve">= 1920 U.S. LEXIS </w:t>
      </w:r>
      <w:r w:rsidRPr="00870B93">
        <w:rPr>
          <w:lang w:val="en-US"/>
        </w:rPr>
        <w:t>1418, 3</w:t>
      </w:r>
      <w:r>
        <w:rPr>
          <w:lang w:val="en-US"/>
        </w:rPr>
        <w:t>–</w:t>
      </w:r>
      <w:r w:rsidRPr="00870B93">
        <w:rPr>
          <w:lang w:val="en-US"/>
        </w:rPr>
        <w:t>4 (1920)</w:t>
      </w:r>
      <w:r>
        <w:rPr>
          <w:lang w:val="en-US"/>
        </w:rPr>
        <w:t>.</w:t>
      </w:r>
    </w:p>
  </w:footnote>
  <w:footnote w:id="244">
    <w:p w14:paraId="41CA6F06" w14:textId="77777777" w:rsidR="00074551" w:rsidRPr="00253E8C" w:rsidRDefault="00074551" w:rsidP="00074551">
      <w:pPr>
        <w:pStyle w:val="Funotentext"/>
        <w:rPr>
          <w:lang w:val="en-US"/>
        </w:rPr>
      </w:pPr>
      <w:r>
        <w:rPr>
          <w:rStyle w:val="Funotenzeichen"/>
        </w:rPr>
        <w:footnoteRef/>
      </w:r>
      <w:r w:rsidRPr="00253E8C">
        <w:rPr>
          <w:lang w:val="en-US"/>
        </w:rPr>
        <w:t xml:space="preserve"> </w:t>
      </w:r>
      <w:r>
        <w:rPr>
          <w:lang w:val="en-US"/>
        </w:rPr>
        <w:t xml:space="preserve">Richter </w:t>
      </w:r>
      <w:r w:rsidRPr="00B45592">
        <w:rPr>
          <w:i/>
          <w:lang w:val="en-US"/>
        </w:rPr>
        <w:t>Cooley</w:t>
      </w:r>
      <w:r w:rsidRPr="00253E8C">
        <w:rPr>
          <w:lang w:val="en-US"/>
        </w:rPr>
        <w:t xml:space="preserve"> in </w:t>
      </w:r>
      <w:r w:rsidRPr="00B45592">
        <w:rPr>
          <w:i/>
          <w:lang w:val="en-US"/>
        </w:rPr>
        <w:t>People v. Salem</w:t>
      </w:r>
      <w:r w:rsidRPr="00253E8C">
        <w:rPr>
          <w:lang w:val="en-US"/>
        </w:rPr>
        <w:t>, 20 Michigan, 452</w:t>
      </w:r>
      <w:r>
        <w:rPr>
          <w:lang w:val="en-US"/>
        </w:rPr>
        <w:t xml:space="preserve">; </w:t>
      </w:r>
      <w:r w:rsidRPr="00546F93">
        <w:rPr>
          <w:i/>
          <w:lang w:val="en-US"/>
        </w:rPr>
        <w:t>Green v. Frazier</w:t>
      </w:r>
      <w:r w:rsidRPr="00253E8C">
        <w:rPr>
          <w:lang w:val="en-US"/>
        </w:rPr>
        <w:t>, 253 U.S. 233, 240</w:t>
      </w:r>
      <w:r w:rsidRPr="00EC5BEB">
        <w:rPr>
          <w:lang w:val="en-US"/>
        </w:rPr>
        <w:t xml:space="preserve"> = 40 S. Ct. </w:t>
      </w:r>
      <w:r w:rsidRPr="00253E8C">
        <w:rPr>
          <w:lang w:val="en-US"/>
        </w:rPr>
        <w:t>499, 502</w:t>
      </w:r>
      <w:r>
        <w:rPr>
          <w:lang w:val="en-US"/>
        </w:rPr>
        <w:t xml:space="preserve"> = 64 L. Ed. </w:t>
      </w:r>
      <w:r w:rsidRPr="00253E8C">
        <w:rPr>
          <w:lang w:val="en-US"/>
        </w:rPr>
        <w:t>878, 882</w:t>
      </w:r>
      <w:r w:rsidRPr="00EC5BEB">
        <w:rPr>
          <w:lang w:val="en-US"/>
        </w:rPr>
        <w:t xml:space="preserve"> = 1920 U.S. LEXIS </w:t>
      </w:r>
      <w:r w:rsidRPr="00253E8C">
        <w:rPr>
          <w:lang w:val="en-US"/>
        </w:rPr>
        <w:t>1418, 13 (1920)</w:t>
      </w:r>
      <w:r>
        <w:rPr>
          <w:lang w:val="en-US"/>
        </w:rPr>
        <w:t>.</w:t>
      </w:r>
    </w:p>
  </w:footnote>
  <w:footnote w:id="245">
    <w:p w14:paraId="0E1213D9" w14:textId="77777777" w:rsidR="00074551" w:rsidRPr="00253E8C" w:rsidRDefault="00074551" w:rsidP="00074551">
      <w:pPr>
        <w:pStyle w:val="Funotentext"/>
        <w:rPr>
          <w:lang w:val="en-US"/>
        </w:rPr>
      </w:pPr>
      <w:r>
        <w:rPr>
          <w:rStyle w:val="Funotenzeichen"/>
        </w:rPr>
        <w:footnoteRef/>
      </w:r>
      <w:r w:rsidRPr="00253E8C">
        <w:rPr>
          <w:lang w:val="en-US"/>
        </w:rPr>
        <w:t xml:space="preserve"> </w:t>
      </w:r>
      <w:r w:rsidRPr="00B45592">
        <w:rPr>
          <w:i/>
          <w:lang w:val="en-US"/>
        </w:rPr>
        <w:t>Chicago, Burlington &amp; Quincy R.R. Co. v. McGuire</w:t>
      </w:r>
      <w:r w:rsidRPr="00253E8C">
        <w:rPr>
          <w:lang w:val="en-US"/>
        </w:rPr>
        <w:t xml:space="preserve">, 219 U.S. 549, 569; </w:t>
      </w:r>
      <w:r w:rsidRPr="00B45592">
        <w:rPr>
          <w:i/>
          <w:lang w:val="en-US"/>
        </w:rPr>
        <w:t>German Alliance Insurance Co. v. Lewis</w:t>
      </w:r>
      <w:r w:rsidRPr="00253E8C">
        <w:rPr>
          <w:lang w:val="en-US"/>
        </w:rPr>
        <w:t>, 233 U.S. 389</w:t>
      </w:r>
      <w:r>
        <w:rPr>
          <w:lang w:val="en-US"/>
        </w:rPr>
        <w:t xml:space="preserve">; </w:t>
      </w:r>
      <w:r w:rsidRPr="00546F93">
        <w:rPr>
          <w:i/>
          <w:lang w:val="en-US"/>
        </w:rPr>
        <w:t>Green v. Frazier</w:t>
      </w:r>
      <w:r w:rsidRPr="00253E8C">
        <w:rPr>
          <w:lang w:val="en-US"/>
        </w:rPr>
        <w:t>, 253 U.S. 233, 240</w:t>
      </w:r>
      <w:r w:rsidRPr="00EC5BEB">
        <w:rPr>
          <w:lang w:val="en-US"/>
        </w:rPr>
        <w:t xml:space="preserve"> = 40 S. Ct. </w:t>
      </w:r>
      <w:r w:rsidRPr="00253E8C">
        <w:rPr>
          <w:lang w:val="en-US"/>
        </w:rPr>
        <w:t>499, 502</w:t>
      </w:r>
      <w:r>
        <w:rPr>
          <w:lang w:val="en-US"/>
        </w:rPr>
        <w:t xml:space="preserve"> = 64 L. Ed. </w:t>
      </w:r>
      <w:r w:rsidRPr="00253E8C">
        <w:rPr>
          <w:lang w:val="en-US"/>
        </w:rPr>
        <w:t>878, 882</w:t>
      </w:r>
      <w:r w:rsidRPr="00EC5BEB">
        <w:rPr>
          <w:lang w:val="en-US"/>
        </w:rPr>
        <w:t xml:space="preserve"> = 1920 U.S. LEXIS </w:t>
      </w:r>
      <w:r w:rsidRPr="00253E8C">
        <w:rPr>
          <w:lang w:val="en-US"/>
        </w:rPr>
        <w:t>1418, 13 (1920)</w:t>
      </w:r>
      <w:r>
        <w:rPr>
          <w:lang w:val="en-US"/>
        </w:rPr>
        <w:t>.</w:t>
      </w:r>
    </w:p>
  </w:footnote>
  <w:footnote w:id="246">
    <w:p w14:paraId="1D2DAE66" w14:textId="04B34CC2" w:rsidR="002310E1" w:rsidRPr="0052785C" w:rsidRDefault="002310E1" w:rsidP="002310E1">
      <w:pPr>
        <w:pStyle w:val="Funotentext"/>
        <w:rPr>
          <w:lang w:val="en-US"/>
        </w:rPr>
      </w:pPr>
      <w:r>
        <w:rPr>
          <w:rStyle w:val="Funotenzeichen"/>
        </w:rPr>
        <w:footnoteRef/>
      </w:r>
      <w:r w:rsidRPr="0052785C">
        <w:rPr>
          <w:lang w:val="en-US"/>
        </w:rPr>
        <w:t xml:space="preserve"> </w:t>
      </w:r>
      <w:r w:rsidRPr="00546F93">
        <w:rPr>
          <w:i/>
          <w:lang w:val="en-US"/>
        </w:rPr>
        <w:t>Springfield v. Quick</w:t>
      </w:r>
      <w:r w:rsidRPr="0052785C">
        <w:rPr>
          <w:lang w:val="en-US"/>
        </w:rPr>
        <w:t xml:space="preserve">, 63 U.S. 56, </w:t>
      </w:r>
      <w:r w:rsidR="00871EA3" w:rsidRPr="00871EA3">
        <w:t>57–59, 68–69</w:t>
      </w:r>
      <w:r w:rsidRPr="00EC5BEB">
        <w:rPr>
          <w:lang w:val="en-US"/>
        </w:rPr>
        <w:t xml:space="preserve"> = 16 L. Ed. </w:t>
      </w:r>
      <w:r w:rsidRPr="0052785C">
        <w:rPr>
          <w:lang w:val="en-US"/>
        </w:rPr>
        <w:t>256, 258</w:t>
      </w:r>
      <w:r w:rsidRPr="00EC5BEB">
        <w:rPr>
          <w:lang w:val="en-US"/>
        </w:rPr>
        <w:t xml:space="preserve"> = 1859 U.S. LEXIS </w:t>
      </w:r>
      <w:r w:rsidRPr="0052785C">
        <w:rPr>
          <w:lang w:val="en-US"/>
        </w:rPr>
        <w:t>697, 4</w:t>
      </w:r>
      <w:r w:rsidRPr="00EC5BEB">
        <w:rPr>
          <w:lang w:val="en-US"/>
        </w:rPr>
        <w:t xml:space="preserve"> = 22 HOW </w:t>
      </w:r>
      <w:r w:rsidRPr="0052785C">
        <w:rPr>
          <w:lang w:val="en-US"/>
        </w:rPr>
        <w:t>56 (1860)</w:t>
      </w:r>
      <w:r>
        <w:rPr>
          <w:lang w:val="en-US"/>
        </w:rPr>
        <w:t>.</w:t>
      </w:r>
    </w:p>
  </w:footnote>
  <w:footnote w:id="247">
    <w:p w14:paraId="40D1B999" w14:textId="77777777" w:rsidR="00074551" w:rsidRPr="00CE18DE" w:rsidRDefault="00074551" w:rsidP="00074551">
      <w:pPr>
        <w:pStyle w:val="Funotentext"/>
        <w:rPr>
          <w:lang w:val="en-US"/>
        </w:rPr>
      </w:pPr>
      <w:r>
        <w:rPr>
          <w:rStyle w:val="Funotenzeichen"/>
        </w:rPr>
        <w:footnoteRef/>
      </w:r>
      <w:r w:rsidRPr="00CE18DE">
        <w:rPr>
          <w:lang w:val="en-US"/>
        </w:rPr>
        <w:t xml:space="preserve"> </w:t>
      </w:r>
      <w:r w:rsidRPr="00546F93">
        <w:rPr>
          <w:i/>
          <w:lang w:val="en-US"/>
        </w:rPr>
        <w:t>Springfield v. Quick</w:t>
      </w:r>
      <w:r w:rsidRPr="00CE18DE">
        <w:rPr>
          <w:lang w:val="en-US"/>
        </w:rPr>
        <w:t>, 63 U.S. 56, 69</w:t>
      </w:r>
      <w:r w:rsidRPr="00EC5BEB">
        <w:rPr>
          <w:lang w:val="en-US"/>
        </w:rPr>
        <w:t xml:space="preserve"> = 16 L. Ed. </w:t>
      </w:r>
      <w:r w:rsidRPr="00CE18DE">
        <w:rPr>
          <w:lang w:val="en-US"/>
        </w:rPr>
        <w:t>256, 258</w:t>
      </w:r>
      <w:r w:rsidRPr="00EC5BEB">
        <w:rPr>
          <w:lang w:val="en-US"/>
        </w:rPr>
        <w:t xml:space="preserve"> = 1859 U.S. LEXIS </w:t>
      </w:r>
      <w:r w:rsidRPr="00CE18DE">
        <w:rPr>
          <w:lang w:val="en-US"/>
        </w:rPr>
        <w:t>697, 22</w:t>
      </w:r>
      <w:r w:rsidRPr="00EC5BEB">
        <w:rPr>
          <w:lang w:val="en-US"/>
        </w:rPr>
        <w:t xml:space="preserve"> = 22 HOW </w:t>
      </w:r>
      <w:r w:rsidRPr="00CE18DE">
        <w:rPr>
          <w:lang w:val="en-US"/>
        </w:rPr>
        <w:t>56 (1860)</w:t>
      </w:r>
      <w:r>
        <w:rPr>
          <w:lang w:val="en-US"/>
        </w:rPr>
        <w:t>.</w:t>
      </w:r>
    </w:p>
  </w:footnote>
  <w:footnote w:id="248">
    <w:p w14:paraId="48C9F4EE" w14:textId="6C7507E9" w:rsidR="00074551" w:rsidRPr="00565BDE" w:rsidRDefault="00074551" w:rsidP="00074551">
      <w:pPr>
        <w:pStyle w:val="Funotentext"/>
        <w:rPr>
          <w:lang w:val="en-US"/>
        </w:rPr>
      </w:pPr>
      <w:r>
        <w:rPr>
          <w:rStyle w:val="Funotenzeichen"/>
        </w:rPr>
        <w:footnoteRef/>
      </w:r>
      <w:r w:rsidRPr="00565BDE">
        <w:rPr>
          <w:lang w:val="en-US"/>
        </w:rPr>
        <w:t xml:space="preserve"> </w:t>
      </w:r>
      <w:r w:rsidRPr="008C773A">
        <w:rPr>
          <w:i/>
          <w:lang w:val="en-IE"/>
        </w:rPr>
        <w:t>Springfield v. Quick</w:t>
      </w:r>
      <w:r w:rsidRPr="008C773A">
        <w:rPr>
          <w:lang w:val="en-IE"/>
        </w:rPr>
        <w:t xml:space="preserve">, 63 U.S. 56, </w:t>
      </w:r>
      <w:r w:rsidR="00871EA3">
        <w:rPr>
          <w:lang w:val="en-IE"/>
        </w:rPr>
        <w:t xml:space="preserve">65–66, </w:t>
      </w:r>
      <w:r w:rsidRPr="008C773A">
        <w:rPr>
          <w:lang w:val="en-IE"/>
        </w:rPr>
        <w:t>68 = 16 L. Ed. 256, 258 = 1859 U.S. LEXIS 697, 16</w:t>
      </w:r>
      <w:r w:rsidRPr="008C773A">
        <w:rPr>
          <w:rFonts w:eastAsiaTheme="majorEastAsia"/>
          <w:lang w:val="en-IE"/>
        </w:rPr>
        <w:t>–</w:t>
      </w:r>
      <w:r w:rsidRPr="008C773A">
        <w:rPr>
          <w:lang w:val="en-IE"/>
        </w:rPr>
        <w:t>17 = 22 HOW 56 (1860).</w:t>
      </w:r>
    </w:p>
  </w:footnote>
  <w:footnote w:id="249">
    <w:p w14:paraId="5D83E09A" w14:textId="77777777" w:rsidR="00871EA3" w:rsidRPr="00565BDE" w:rsidRDefault="00871EA3" w:rsidP="00871EA3">
      <w:pPr>
        <w:pStyle w:val="Funotentext"/>
        <w:rPr>
          <w:lang w:val="en-US"/>
        </w:rPr>
      </w:pPr>
      <w:r>
        <w:rPr>
          <w:rStyle w:val="Funotenzeichen"/>
        </w:rPr>
        <w:footnoteRef/>
      </w:r>
      <w:r w:rsidRPr="00565BDE">
        <w:rPr>
          <w:lang w:val="en-US"/>
        </w:rPr>
        <w:t xml:space="preserve"> </w:t>
      </w:r>
      <w:r w:rsidRPr="00546F93">
        <w:rPr>
          <w:i/>
          <w:lang w:val="en-US"/>
        </w:rPr>
        <w:t>Springfield v. Quick</w:t>
      </w:r>
      <w:r w:rsidRPr="00565BDE">
        <w:rPr>
          <w:lang w:val="en-US"/>
        </w:rPr>
        <w:t>, 63 U.S. 56, 6</w:t>
      </w:r>
      <w:r>
        <w:rPr>
          <w:lang w:val="en-US"/>
        </w:rPr>
        <w:t>5</w:t>
      </w:r>
      <w:r w:rsidRPr="00EC5BEB">
        <w:rPr>
          <w:lang w:val="en-US"/>
        </w:rPr>
        <w:t xml:space="preserve"> = 16 L. Ed. </w:t>
      </w:r>
      <w:r w:rsidRPr="00565BDE">
        <w:rPr>
          <w:lang w:val="en-US"/>
        </w:rPr>
        <w:t>256, 258</w:t>
      </w:r>
      <w:r w:rsidRPr="00EC5BEB">
        <w:rPr>
          <w:lang w:val="en-US"/>
        </w:rPr>
        <w:t xml:space="preserve"> = 1859 U.S. LEXIS </w:t>
      </w:r>
      <w:r w:rsidRPr="00565BDE">
        <w:rPr>
          <w:lang w:val="en-US"/>
        </w:rPr>
        <w:t>697, 16</w:t>
      </w:r>
      <w:r w:rsidRPr="00EC5BEB">
        <w:rPr>
          <w:lang w:val="en-US"/>
        </w:rPr>
        <w:t xml:space="preserve"> = 22 HOW </w:t>
      </w:r>
      <w:r w:rsidRPr="00565BDE">
        <w:rPr>
          <w:lang w:val="en-US"/>
        </w:rPr>
        <w:t>56 (1860)</w:t>
      </w:r>
      <w:r>
        <w:rPr>
          <w:lang w:val="en-US"/>
        </w:rPr>
        <w:t>.</w:t>
      </w:r>
    </w:p>
  </w:footnote>
  <w:footnote w:id="250">
    <w:p w14:paraId="752456F7" w14:textId="77777777" w:rsidR="00871EA3" w:rsidRPr="00AE7992" w:rsidRDefault="00871EA3" w:rsidP="00871EA3">
      <w:pPr>
        <w:pStyle w:val="Funotentext"/>
        <w:rPr>
          <w:lang w:val="en-US"/>
        </w:rPr>
      </w:pPr>
      <w:r>
        <w:rPr>
          <w:rStyle w:val="Funotenzeichen"/>
        </w:rPr>
        <w:footnoteRef/>
      </w:r>
      <w:r w:rsidRPr="00AE7992">
        <w:rPr>
          <w:lang w:val="en-US"/>
        </w:rPr>
        <w:t xml:space="preserve"> </w:t>
      </w:r>
      <w:r>
        <w:rPr>
          <w:lang w:val="en-US"/>
        </w:rPr>
        <w:t>„[P]</w:t>
      </w:r>
      <w:proofErr w:type="spellStart"/>
      <w:r w:rsidRPr="00AE7992">
        <w:rPr>
          <w:lang w:val="en-US"/>
        </w:rPr>
        <w:t>roviding</w:t>
      </w:r>
      <w:proofErr w:type="spellEnd"/>
      <w:r w:rsidRPr="00AE7992">
        <w:rPr>
          <w:lang w:val="en-US"/>
        </w:rPr>
        <w:t xml:space="preserve"> for supporting common schools, and for the preservation of the school </w:t>
      </w:r>
      <w:proofErr w:type="gramStart"/>
      <w:r w:rsidRPr="00AE7992">
        <w:rPr>
          <w:lang w:val="en-US"/>
        </w:rPr>
        <w:t>fund</w:t>
      </w:r>
      <w:r>
        <w:rPr>
          <w:lang w:val="en-US"/>
        </w:rPr>
        <w:t>“</w:t>
      </w:r>
      <w:proofErr w:type="gramEnd"/>
      <w:r>
        <w:rPr>
          <w:lang w:val="en-US"/>
        </w:rPr>
        <w:t>,</w:t>
      </w:r>
      <w:r w:rsidRPr="00AE7992">
        <w:rPr>
          <w:lang w:val="en-US"/>
        </w:rPr>
        <w:t xml:space="preserve"> </w:t>
      </w:r>
      <w:r w:rsidRPr="00546F93">
        <w:rPr>
          <w:i/>
          <w:lang w:val="en-US"/>
        </w:rPr>
        <w:t>Springfield v. Quick</w:t>
      </w:r>
      <w:r w:rsidRPr="00AE7992">
        <w:rPr>
          <w:lang w:val="en-US"/>
        </w:rPr>
        <w:t>, 63 U.S. 56, 6</w:t>
      </w:r>
      <w:r>
        <w:rPr>
          <w:lang w:val="en-US"/>
        </w:rPr>
        <w:t>5</w:t>
      </w:r>
      <w:r w:rsidRPr="00EC5BEB">
        <w:rPr>
          <w:lang w:val="en-US"/>
        </w:rPr>
        <w:t xml:space="preserve"> = 16 L. Ed. </w:t>
      </w:r>
      <w:r w:rsidRPr="00AE7992">
        <w:rPr>
          <w:lang w:val="en-US"/>
        </w:rPr>
        <w:t>256, 258</w:t>
      </w:r>
      <w:r w:rsidRPr="00EC5BEB">
        <w:rPr>
          <w:lang w:val="en-US"/>
        </w:rPr>
        <w:t xml:space="preserve"> = 1859 U.S. LEXIS </w:t>
      </w:r>
      <w:r w:rsidRPr="00AE7992">
        <w:rPr>
          <w:lang w:val="en-US"/>
        </w:rPr>
        <w:t>697, 15</w:t>
      </w:r>
      <w:r w:rsidRPr="00EC5BEB">
        <w:rPr>
          <w:lang w:val="en-US"/>
        </w:rPr>
        <w:t xml:space="preserve"> = 22 HOW </w:t>
      </w:r>
      <w:r w:rsidRPr="00AE7992">
        <w:rPr>
          <w:lang w:val="en-US"/>
        </w:rPr>
        <w:t>56 (1860).</w:t>
      </w:r>
    </w:p>
  </w:footnote>
  <w:footnote w:id="251">
    <w:p w14:paraId="6288356E" w14:textId="77777777" w:rsidR="00074551" w:rsidRPr="00610B9E" w:rsidRDefault="00074551" w:rsidP="00074551">
      <w:pPr>
        <w:pStyle w:val="Funotentext"/>
        <w:rPr>
          <w:lang w:val="en-US"/>
        </w:rPr>
      </w:pPr>
      <w:r>
        <w:rPr>
          <w:rStyle w:val="Funotenzeichen"/>
        </w:rPr>
        <w:footnoteRef/>
      </w:r>
      <w:r w:rsidRPr="00610B9E">
        <w:rPr>
          <w:lang w:val="en-US"/>
        </w:rPr>
        <w:t xml:space="preserve"> </w:t>
      </w:r>
      <w:r>
        <w:rPr>
          <w:lang w:val="en-US"/>
        </w:rPr>
        <w:t>„§ </w:t>
      </w:r>
      <w:r w:rsidRPr="00610B9E">
        <w:rPr>
          <w:lang w:val="en-US"/>
        </w:rPr>
        <w:t>32 of an act for providing revenues, approved March 31, 1911 (Session Acts, p. 180</w:t>
      </w:r>
      <w:proofErr w:type="gramStart"/>
      <w:r w:rsidRPr="00610B9E">
        <w:rPr>
          <w:lang w:val="en-US"/>
        </w:rPr>
        <w:t>)</w:t>
      </w:r>
      <w:r>
        <w:rPr>
          <w:lang w:val="en-US"/>
        </w:rPr>
        <w:t xml:space="preserve"> </w:t>
      </w:r>
      <w:r w:rsidRPr="00610B9E">
        <w:rPr>
          <w:lang w:val="en-US"/>
        </w:rPr>
        <w:t>:</w:t>
      </w:r>
      <w:proofErr w:type="gramEnd"/>
      <w:r w:rsidRPr="00610B9E">
        <w:rPr>
          <w:lang w:val="en-US"/>
        </w:rPr>
        <w:t xml:space="preserve"> </w:t>
      </w:r>
      <w:r>
        <w:rPr>
          <w:lang w:val="en-US"/>
        </w:rPr>
        <w:t>,</w:t>
      </w:r>
      <w:r w:rsidRPr="00610B9E">
        <w:rPr>
          <w:lang w:val="en-US"/>
        </w:rPr>
        <w:t>Sec. 32. Sewing Machines.</w:t>
      </w:r>
      <w:r>
        <w:rPr>
          <w:lang w:val="en-US"/>
        </w:rPr>
        <w:t> –</w:t>
      </w:r>
      <w:r w:rsidRPr="00610B9E">
        <w:rPr>
          <w:lang w:val="en-US"/>
        </w:rPr>
        <w:t xml:space="preserve"> Each person, firm or corporation selling or delivering sewing machines either in person or through agents, shall pay fifty dollars annually, for each county in which they may sell or deliver said articles. And for each wagon and team used in delivering or displaying the same an additional sum in each county of twenty-five dollars annually; but this section shall not apply to merchants selling the above enumerated articles at their regularly established places of </w:t>
      </w:r>
      <w:proofErr w:type="gramStart"/>
      <w:r w:rsidRPr="00610B9E">
        <w:rPr>
          <w:lang w:val="en-US"/>
        </w:rPr>
        <w:t>business.</w:t>
      </w:r>
      <w:r>
        <w:rPr>
          <w:lang w:val="en-US"/>
        </w:rPr>
        <w:t>‘</w:t>
      </w:r>
      <w:proofErr w:type="gramEnd"/>
      <w:r w:rsidRPr="00610B9E">
        <w:rPr>
          <w:lang w:val="en-US"/>
        </w:rPr>
        <w:t>“</w:t>
      </w:r>
      <w:r>
        <w:rPr>
          <w:lang w:val="en-US"/>
        </w:rPr>
        <w:t>,</w:t>
      </w:r>
      <w:r w:rsidRPr="00610B9E">
        <w:rPr>
          <w:lang w:val="en-US"/>
        </w:rPr>
        <w:t xml:space="preserve"> in </w:t>
      </w:r>
      <w:r w:rsidRPr="00546F93">
        <w:rPr>
          <w:i/>
          <w:lang w:val="en-US"/>
        </w:rPr>
        <w:t>Singer Sewing Machine Co. v. Brickell</w:t>
      </w:r>
      <w:r w:rsidRPr="00610B9E">
        <w:rPr>
          <w:lang w:val="en-US"/>
        </w:rPr>
        <w:t>, 233 U.S. 304, 312</w:t>
      </w:r>
      <w:r w:rsidRPr="00EC5BEB">
        <w:rPr>
          <w:lang w:val="en-US"/>
        </w:rPr>
        <w:t xml:space="preserve"> = 34 S. Ct. </w:t>
      </w:r>
      <w:r w:rsidRPr="00610B9E">
        <w:rPr>
          <w:lang w:val="en-US"/>
        </w:rPr>
        <w:t>493, 496</w:t>
      </w:r>
      <w:r w:rsidRPr="00EC5BEB">
        <w:rPr>
          <w:lang w:val="en-US"/>
        </w:rPr>
        <w:t xml:space="preserve"> = 58 L. Ed. </w:t>
      </w:r>
      <w:r w:rsidRPr="00610B9E">
        <w:rPr>
          <w:lang w:val="en-US"/>
        </w:rPr>
        <w:t>974, 978</w:t>
      </w:r>
      <w:r>
        <w:rPr>
          <w:lang w:val="en-US"/>
        </w:rPr>
        <w:t xml:space="preserve"> = 1914 U.S. LEXIS </w:t>
      </w:r>
      <w:r w:rsidRPr="00610B9E">
        <w:rPr>
          <w:lang w:val="en-US"/>
        </w:rPr>
        <w:t>1290, 3</w:t>
      </w:r>
      <w:r>
        <w:rPr>
          <w:lang w:val="en-US"/>
        </w:rPr>
        <w:t>–</w:t>
      </w:r>
      <w:r w:rsidRPr="00610B9E">
        <w:rPr>
          <w:lang w:val="en-US"/>
        </w:rPr>
        <w:t>4 (1914)</w:t>
      </w:r>
      <w:r>
        <w:rPr>
          <w:lang w:val="en-US"/>
        </w:rPr>
        <w:t>.</w:t>
      </w:r>
    </w:p>
  </w:footnote>
  <w:footnote w:id="252">
    <w:p w14:paraId="1E76B5F9" w14:textId="77777777" w:rsidR="00074551" w:rsidRPr="000E13B3" w:rsidRDefault="00074551" w:rsidP="00074551">
      <w:pPr>
        <w:pStyle w:val="Funotentext"/>
        <w:rPr>
          <w:lang w:val="en-US"/>
        </w:rPr>
      </w:pPr>
      <w:r>
        <w:rPr>
          <w:rStyle w:val="Funotenzeichen"/>
        </w:rPr>
        <w:footnoteRef/>
      </w:r>
      <w:r w:rsidRPr="000E13B3">
        <w:rPr>
          <w:lang w:val="en-US"/>
        </w:rPr>
        <w:t xml:space="preserve"> </w:t>
      </w:r>
      <w:r w:rsidRPr="00546F93">
        <w:rPr>
          <w:i/>
          <w:lang w:val="en-US"/>
        </w:rPr>
        <w:t>Singer Sewing Machine Co. v. Brickell</w:t>
      </w:r>
      <w:r w:rsidRPr="000E13B3">
        <w:rPr>
          <w:lang w:val="en-US"/>
        </w:rPr>
        <w:t>, 233 U.S. 304, 312</w:t>
      </w:r>
      <w:r w:rsidRPr="00EC5BEB">
        <w:rPr>
          <w:lang w:val="en-US"/>
        </w:rPr>
        <w:t xml:space="preserve"> = 34 S. Ct. </w:t>
      </w:r>
      <w:r w:rsidRPr="000E13B3">
        <w:rPr>
          <w:lang w:val="en-US"/>
        </w:rPr>
        <w:t>493, 496</w:t>
      </w:r>
      <w:r w:rsidRPr="00EC5BEB">
        <w:rPr>
          <w:lang w:val="en-US"/>
        </w:rPr>
        <w:t xml:space="preserve"> = 58 L. Ed. </w:t>
      </w:r>
      <w:r w:rsidRPr="000E13B3">
        <w:rPr>
          <w:lang w:val="en-US"/>
        </w:rPr>
        <w:t>974, 978</w:t>
      </w:r>
      <w:r>
        <w:rPr>
          <w:lang w:val="en-US"/>
        </w:rPr>
        <w:t xml:space="preserve"> = 1914 U.S. LEXIS </w:t>
      </w:r>
      <w:r w:rsidRPr="000E13B3">
        <w:rPr>
          <w:lang w:val="en-US"/>
        </w:rPr>
        <w:t>1290, 1 (1914)</w:t>
      </w:r>
      <w:r>
        <w:rPr>
          <w:lang w:val="en-US"/>
        </w:rPr>
        <w:t>.</w:t>
      </w:r>
    </w:p>
  </w:footnote>
  <w:footnote w:id="253">
    <w:p w14:paraId="4B2FD258" w14:textId="77777777" w:rsidR="00074551" w:rsidRPr="003751FA" w:rsidRDefault="00074551" w:rsidP="00074551">
      <w:pPr>
        <w:pStyle w:val="Funotentext"/>
        <w:rPr>
          <w:lang w:val="en-US"/>
        </w:rPr>
      </w:pPr>
      <w:r>
        <w:rPr>
          <w:rStyle w:val="Funotenzeichen"/>
          <w:rFonts w:eastAsiaTheme="majorEastAsia"/>
        </w:rPr>
        <w:footnoteRef/>
      </w:r>
      <w:r w:rsidRPr="003751FA">
        <w:rPr>
          <w:lang w:val="en-US"/>
        </w:rPr>
        <w:t xml:space="preserve"> </w:t>
      </w:r>
      <w:r w:rsidRPr="00546F93">
        <w:rPr>
          <w:i/>
          <w:lang w:val="en-US"/>
        </w:rPr>
        <w:t>Singer Sewing Machine Co. v. Brickell</w:t>
      </w:r>
      <w:r w:rsidRPr="003751FA">
        <w:rPr>
          <w:lang w:val="en-US"/>
        </w:rPr>
        <w:t>, 233 U.S. 304, 316</w:t>
      </w:r>
      <w:r w:rsidRPr="00EC5BEB">
        <w:rPr>
          <w:lang w:val="en-US"/>
        </w:rPr>
        <w:t xml:space="preserve"> = 34 S. Ct. </w:t>
      </w:r>
      <w:r w:rsidRPr="003751FA">
        <w:rPr>
          <w:lang w:val="en-US"/>
        </w:rPr>
        <w:t>493, 497</w:t>
      </w:r>
      <w:r w:rsidRPr="00EC5BEB">
        <w:rPr>
          <w:lang w:val="en-US"/>
        </w:rPr>
        <w:t xml:space="preserve"> = 58 L. Ed. </w:t>
      </w:r>
      <w:r w:rsidRPr="003751FA">
        <w:rPr>
          <w:lang w:val="en-US"/>
        </w:rPr>
        <w:t>974, 979</w:t>
      </w:r>
      <w:r>
        <w:rPr>
          <w:lang w:val="en-US"/>
        </w:rPr>
        <w:t xml:space="preserve"> = 1914 U.S. LEXIS </w:t>
      </w:r>
      <w:r w:rsidRPr="003751FA">
        <w:rPr>
          <w:lang w:val="en-US"/>
        </w:rPr>
        <w:t>1290, 21 (1914)</w:t>
      </w:r>
      <w:r>
        <w:rPr>
          <w:lang w:val="en-US"/>
        </w:rPr>
        <w:t>.</w:t>
      </w:r>
    </w:p>
  </w:footnote>
  <w:footnote w:id="254">
    <w:p w14:paraId="04A55F5A" w14:textId="77777777" w:rsidR="00074551" w:rsidRPr="003751FA" w:rsidRDefault="00074551" w:rsidP="00074551">
      <w:pPr>
        <w:pStyle w:val="Funotentext"/>
        <w:rPr>
          <w:lang w:val="en-US"/>
        </w:rPr>
      </w:pPr>
      <w:r>
        <w:rPr>
          <w:rStyle w:val="Funotenzeichen"/>
          <w:rFonts w:eastAsiaTheme="majorEastAsia"/>
        </w:rPr>
        <w:footnoteRef/>
      </w:r>
      <w:r w:rsidRPr="003751FA">
        <w:rPr>
          <w:lang w:val="en-US"/>
        </w:rPr>
        <w:t xml:space="preserve"> </w:t>
      </w:r>
      <w:r w:rsidRPr="00546F93">
        <w:rPr>
          <w:i/>
          <w:lang w:val="en-US"/>
        </w:rPr>
        <w:t>Singer Sewing Machine Co. v. Brickell</w:t>
      </w:r>
      <w:r w:rsidRPr="003751FA">
        <w:rPr>
          <w:lang w:val="en-US"/>
        </w:rPr>
        <w:t>, 233 U.S. 304, 316</w:t>
      </w:r>
      <w:r w:rsidRPr="00EC5BEB">
        <w:rPr>
          <w:lang w:val="en-US"/>
        </w:rPr>
        <w:t xml:space="preserve"> = 34 S. Ct. </w:t>
      </w:r>
      <w:r w:rsidRPr="003751FA">
        <w:rPr>
          <w:lang w:val="en-US"/>
        </w:rPr>
        <w:t>493, 497</w:t>
      </w:r>
      <w:r w:rsidRPr="00EC5BEB">
        <w:rPr>
          <w:lang w:val="en-US"/>
        </w:rPr>
        <w:t xml:space="preserve"> = 58 L. Ed. </w:t>
      </w:r>
      <w:r w:rsidRPr="003751FA">
        <w:rPr>
          <w:lang w:val="en-US"/>
        </w:rPr>
        <w:t>974, 980</w:t>
      </w:r>
      <w:r>
        <w:rPr>
          <w:lang w:val="en-US"/>
        </w:rPr>
        <w:t xml:space="preserve"> = 1914 U.S. LEXIS </w:t>
      </w:r>
      <w:r w:rsidRPr="003751FA">
        <w:rPr>
          <w:lang w:val="en-US"/>
        </w:rPr>
        <w:t>1290, 21 (1914)</w:t>
      </w:r>
      <w:r>
        <w:rPr>
          <w:lang w:val="en-US"/>
        </w:rPr>
        <w:t>.</w:t>
      </w:r>
    </w:p>
  </w:footnote>
  <w:footnote w:id="255">
    <w:p w14:paraId="5747A9F4" w14:textId="77777777" w:rsidR="00074551" w:rsidRPr="00104B02" w:rsidRDefault="00074551" w:rsidP="00074551">
      <w:pPr>
        <w:pStyle w:val="Funotentext"/>
        <w:rPr>
          <w:lang w:val="en-US"/>
        </w:rPr>
      </w:pPr>
      <w:r>
        <w:rPr>
          <w:rStyle w:val="Funotenzeichen"/>
        </w:rPr>
        <w:footnoteRef/>
      </w:r>
      <w:r w:rsidRPr="00104B02">
        <w:rPr>
          <w:lang w:val="en-US"/>
        </w:rPr>
        <w:t xml:space="preserve"> </w:t>
      </w:r>
      <w:r w:rsidRPr="00B45592">
        <w:rPr>
          <w:i/>
          <w:lang w:val="en-US"/>
        </w:rPr>
        <w:t>Bell’s G. R. Co. v. Pennsylvania</w:t>
      </w:r>
      <w:r w:rsidRPr="00104B02">
        <w:rPr>
          <w:lang w:val="en-US"/>
        </w:rPr>
        <w:t>, 134 U.S. 232, 233</w:t>
      </w:r>
      <w:r w:rsidRPr="00EC5BEB">
        <w:rPr>
          <w:lang w:val="en-US"/>
        </w:rPr>
        <w:t xml:space="preserve"> = 10 S. Ct. </w:t>
      </w:r>
      <w:r w:rsidRPr="00104B02">
        <w:rPr>
          <w:lang w:val="en-US"/>
        </w:rPr>
        <w:t>533, 534</w:t>
      </w:r>
      <w:r w:rsidRPr="00EC5BEB">
        <w:rPr>
          <w:lang w:val="en-US"/>
        </w:rPr>
        <w:t xml:space="preserve"> = 33 L. Ed. </w:t>
      </w:r>
      <w:r w:rsidRPr="00104B02">
        <w:rPr>
          <w:lang w:val="en-US"/>
        </w:rPr>
        <w:t>892, 894</w:t>
      </w:r>
      <w:r w:rsidRPr="00EC5BEB">
        <w:rPr>
          <w:lang w:val="en-US"/>
        </w:rPr>
        <w:t xml:space="preserve"> = 1890 U.S. LEXIS </w:t>
      </w:r>
      <w:r w:rsidRPr="00104B02">
        <w:rPr>
          <w:lang w:val="en-US"/>
        </w:rPr>
        <w:t>1963, 1 (1890)</w:t>
      </w:r>
      <w:r>
        <w:rPr>
          <w:lang w:val="en-US"/>
        </w:rPr>
        <w:t>.</w:t>
      </w:r>
    </w:p>
  </w:footnote>
  <w:footnote w:id="256">
    <w:p w14:paraId="734FE08F" w14:textId="77777777" w:rsidR="00074551" w:rsidRPr="00104B02" w:rsidRDefault="00074551" w:rsidP="00074551">
      <w:pPr>
        <w:pStyle w:val="Funotentext"/>
        <w:rPr>
          <w:lang w:val="en-US"/>
        </w:rPr>
      </w:pPr>
      <w:r>
        <w:rPr>
          <w:rStyle w:val="Funotenzeichen"/>
        </w:rPr>
        <w:footnoteRef/>
      </w:r>
      <w:r w:rsidRPr="00104B02">
        <w:rPr>
          <w:lang w:val="en-US"/>
        </w:rPr>
        <w:t xml:space="preserve"> </w:t>
      </w:r>
      <w:r w:rsidRPr="004F13B1">
        <w:rPr>
          <w:i/>
          <w:lang w:val="en-US"/>
        </w:rPr>
        <w:t>Barbier v. Connolly</w:t>
      </w:r>
      <w:r w:rsidRPr="00104B02">
        <w:rPr>
          <w:lang w:val="en-US"/>
        </w:rPr>
        <w:t>, 113 U.S. 27, 31</w:t>
      </w:r>
      <w:r>
        <w:rPr>
          <w:lang w:val="en-US"/>
        </w:rPr>
        <w:t xml:space="preserve">; </w:t>
      </w:r>
      <w:r w:rsidRPr="00B45592">
        <w:rPr>
          <w:i/>
          <w:lang w:val="en-US"/>
        </w:rPr>
        <w:t>Bell’s G. R. Co. v. Pennsylvania</w:t>
      </w:r>
      <w:r w:rsidRPr="00104B02">
        <w:rPr>
          <w:lang w:val="en-US"/>
        </w:rPr>
        <w:t>, 134 U.S. 232, 238</w:t>
      </w:r>
      <w:r w:rsidRPr="00EC5BEB">
        <w:rPr>
          <w:lang w:val="en-US"/>
        </w:rPr>
        <w:t xml:space="preserve"> = 10 S. Ct. </w:t>
      </w:r>
      <w:r w:rsidRPr="00104B02">
        <w:rPr>
          <w:lang w:val="en-US"/>
        </w:rPr>
        <w:t>533, 535</w:t>
      </w:r>
      <w:r w:rsidRPr="00EC5BEB">
        <w:rPr>
          <w:lang w:val="en-US"/>
        </w:rPr>
        <w:t xml:space="preserve"> = 33 L. Ed. </w:t>
      </w:r>
      <w:r w:rsidRPr="00104B02">
        <w:rPr>
          <w:lang w:val="en-US"/>
        </w:rPr>
        <w:t>892, 895</w:t>
      </w:r>
      <w:r w:rsidRPr="00EC5BEB">
        <w:rPr>
          <w:lang w:val="en-US"/>
        </w:rPr>
        <w:t xml:space="preserve"> = 1890 U.S. LEXIS </w:t>
      </w:r>
      <w:r w:rsidRPr="00104B02">
        <w:rPr>
          <w:lang w:val="en-US"/>
        </w:rPr>
        <w:t>1963, 11 (1890)</w:t>
      </w:r>
      <w:r>
        <w:rPr>
          <w:lang w:val="en-US"/>
        </w:rPr>
        <w:t>.</w:t>
      </w:r>
    </w:p>
  </w:footnote>
  <w:footnote w:id="257">
    <w:p w14:paraId="5A66D5DE" w14:textId="77777777" w:rsidR="00074551" w:rsidRPr="00104B02" w:rsidRDefault="00074551" w:rsidP="00074551">
      <w:pPr>
        <w:pStyle w:val="Funotentext"/>
        <w:rPr>
          <w:lang w:val="en-US"/>
        </w:rPr>
      </w:pPr>
      <w:r>
        <w:rPr>
          <w:rStyle w:val="Funotenzeichen"/>
        </w:rPr>
        <w:footnoteRef/>
      </w:r>
      <w:r w:rsidRPr="00104B02">
        <w:rPr>
          <w:lang w:val="en-US"/>
        </w:rPr>
        <w:t xml:space="preserve"> </w:t>
      </w:r>
      <w:r w:rsidRPr="004F13B1">
        <w:rPr>
          <w:i/>
          <w:lang w:val="en-US"/>
        </w:rPr>
        <w:t>Barbier v. Connolly</w:t>
      </w:r>
      <w:r w:rsidRPr="00104B02">
        <w:rPr>
          <w:lang w:val="en-US"/>
        </w:rPr>
        <w:t>, 113 U.S. 27, 31</w:t>
      </w:r>
      <w:r>
        <w:rPr>
          <w:lang w:val="en-US"/>
        </w:rPr>
        <w:t xml:space="preserve">; </w:t>
      </w:r>
      <w:r w:rsidRPr="00B45592">
        <w:rPr>
          <w:i/>
          <w:lang w:val="en-US"/>
        </w:rPr>
        <w:t>Bell’s G. R. Co. v. Pennsylvania</w:t>
      </w:r>
      <w:r w:rsidRPr="00104B02">
        <w:rPr>
          <w:lang w:val="en-US"/>
        </w:rPr>
        <w:t>, 134 U.S. 232, 238</w:t>
      </w:r>
      <w:r w:rsidRPr="00EC5BEB">
        <w:rPr>
          <w:lang w:val="en-US"/>
        </w:rPr>
        <w:t xml:space="preserve"> = 10 S. Ct. </w:t>
      </w:r>
      <w:r w:rsidRPr="00104B02">
        <w:rPr>
          <w:lang w:val="en-US"/>
        </w:rPr>
        <w:t>533, 535</w:t>
      </w:r>
      <w:r w:rsidRPr="00EC5BEB">
        <w:rPr>
          <w:lang w:val="en-US"/>
        </w:rPr>
        <w:t xml:space="preserve"> = 33 L. Ed. </w:t>
      </w:r>
      <w:r w:rsidRPr="00104B02">
        <w:rPr>
          <w:lang w:val="en-US"/>
        </w:rPr>
        <w:t>892, 895</w:t>
      </w:r>
      <w:r w:rsidRPr="00EC5BEB">
        <w:rPr>
          <w:lang w:val="en-US"/>
        </w:rPr>
        <w:t xml:space="preserve"> = 1890 U.S. LEXIS </w:t>
      </w:r>
      <w:r w:rsidRPr="00104B02">
        <w:rPr>
          <w:lang w:val="en-US"/>
        </w:rPr>
        <w:t>1963, 11 (1890)</w:t>
      </w:r>
      <w:r>
        <w:rPr>
          <w:lang w:val="en-US"/>
        </w:rPr>
        <w:t>.</w:t>
      </w:r>
    </w:p>
  </w:footnote>
  <w:footnote w:id="258">
    <w:p w14:paraId="36279285" w14:textId="77777777" w:rsidR="00074551" w:rsidRPr="00CA2BD8" w:rsidRDefault="00074551" w:rsidP="00074551">
      <w:pPr>
        <w:pStyle w:val="Funotentext"/>
        <w:rPr>
          <w:lang w:val="en-US"/>
        </w:rPr>
      </w:pPr>
      <w:r>
        <w:rPr>
          <w:rStyle w:val="Funotenzeichen"/>
        </w:rPr>
        <w:footnoteRef/>
      </w:r>
      <w:r w:rsidRPr="00CA2BD8">
        <w:rPr>
          <w:lang w:val="en-US"/>
        </w:rPr>
        <w:t xml:space="preserve"> </w:t>
      </w:r>
      <w:r w:rsidRPr="00B45592">
        <w:rPr>
          <w:i/>
          <w:lang w:val="en-US"/>
        </w:rPr>
        <w:t>Bell’s G. R. Co. v. Pennsylvania</w:t>
      </w:r>
      <w:r w:rsidRPr="00CA2BD8">
        <w:rPr>
          <w:lang w:val="en-US"/>
        </w:rPr>
        <w:t>, 134 U.S. 232, 237</w:t>
      </w:r>
      <w:r w:rsidRPr="00EC5BEB">
        <w:rPr>
          <w:lang w:val="en-US"/>
        </w:rPr>
        <w:t xml:space="preserve"> = 10 S. Ct. </w:t>
      </w:r>
      <w:r w:rsidRPr="00CA2BD8">
        <w:rPr>
          <w:lang w:val="en-US"/>
        </w:rPr>
        <w:t>533, 535</w:t>
      </w:r>
      <w:r w:rsidRPr="00EC5BEB">
        <w:rPr>
          <w:lang w:val="en-US"/>
        </w:rPr>
        <w:t xml:space="preserve"> = 33 L. Ed. </w:t>
      </w:r>
      <w:r w:rsidRPr="00CA2BD8">
        <w:rPr>
          <w:lang w:val="en-US"/>
        </w:rPr>
        <w:t>892, 895</w:t>
      </w:r>
      <w:r w:rsidRPr="00EC5BEB">
        <w:rPr>
          <w:lang w:val="en-US"/>
        </w:rPr>
        <w:t xml:space="preserve"> = 1890 U.S. LEXIS </w:t>
      </w:r>
      <w:r w:rsidRPr="00CA2BD8">
        <w:rPr>
          <w:lang w:val="en-US"/>
        </w:rPr>
        <w:t>1963, 9 (1890)</w:t>
      </w:r>
      <w:r>
        <w:rPr>
          <w:lang w:val="en-US"/>
        </w:rPr>
        <w:t>.</w:t>
      </w:r>
    </w:p>
  </w:footnote>
  <w:footnote w:id="259">
    <w:p w14:paraId="272CCF3C" w14:textId="77777777" w:rsidR="00074551" w:rsidRPr="00CA3E1E" w:rsidRDefault="00074551" w:rsidP="00074551">
      <w:pPr>
        <w:pStyle w:val="Funotentext"/>
        <w:rPr>
          <w:lang w:val="en-US"/>
        </w:rPr>
      </w:pPr>
      <w:r>
        <w:rPr>
          <w:rStyle w:val="Funotenzeichen"/>
          <w:rFonts w:eastAsiaTheme="majorEastAsia"/>
        </w:rPr>
        <w:footnoteRef/>
      </w:r>
      <w:r w:rsidRPr="0024355F">
        <w:rPr>
          <w:lang w:val="en-US"/>
        </w:rPr>
        <w:t xml:space="preserve"> </w:t>
      </w:r>
      <w:r w:rsidRPr="00546F93">
        <w:rPr>
          <w:i/>
          <w:lang w:val="en-US"/>
        </w:rPr>
        <w:t>Burnet v. Brooks</w:t>
      </w:r>
      <w:r w:rsidRPr="0024355F">
        <w:rPr>
          <w:lang w:val="en-US"/>
        </w:rPr>
        <w:t xml:space="preserve">, 288 U.S. 378, 403, 405; </w:t>
      </w:r>
      <w:r w:rsidRPr="00546F93">
        <w:rPr>
          <w:i/>
          <w:lang w:val="en-US"/>
        </w:rPr>
        <w:t>Brushaber v. Union Pacific R. Co.</w:t>
      </w:r>
      <w:r w:rsidRPr="0024355F">
        <w:rPr>
          <w:lang w:val="en-US"/>
        </w:rPr>
        <w:t>, 240 U.S. 1, 12</w:t>
      </w:r>
      <w:r>
        <w:rPr>
          <w:lang w:val="en-US"/>
        </w:rPr>
        <w:t xml:space="preserve">; </w:t>
      </w:r>
      <w:r w:rsidRPr="001F38CE">
        <w:rPr>
          <w:i/>
          <w:lang w:val="en-US"/>
        </w:rPr>
        <w:t>Steward Machine Co. v. Davis</w:t>
      </w:r>
      <w:r w:rsidRPr="00CA3E1E">
        <w:rPr>
          <w:lang w:val="en-US"/>
        </w:rPr>
        <w:t>, 301 U.S. 548, 581</w:t>
      </w:r>
      <w:r>
        <w:rPr>
          <w:lang w:val="en-US"/>
        </w:rPr>
        <w:t xml:space="preserve"> = 57 S. Ct. </w:t>
      </w:r>
      <w:r w:rsidRPr="00CA3E1E">
        <w:rPr>
          <w:lang w:val="en-US"/>
        </w:rPr>
        <w:t>883, 888</w:t>
      </w:r>
      <w:r>
        <w:rPr>
          <w:lang w:val="en-US"/>
        </w:rPr>
        <w:t xml:space="preserve"> = 81 L. Ed. </w:t>
      </w:r>
      <w:r w:rsidRPr="00CA3E1E">
        <w:rPr>
          <w:lang w:val="en-US"/>
        </w:rPr>
        <w:t>1279, 1288</w:t>
      </w:r>
      <w:r>
        <w:rPr>
          <w:lang w:val="en-US"/>
        </w:rPr>
        <w:t xml:space="preserve"> = 1937 U.S. LEXIS </w:t>
      </w:r>
      <w:r w:rsidRPr="00CA3E1E">
        <w:rPr>
          <w:lang w:val="en-US"/>
        </w:rPr>
        <w:t>1199, 56</w:t>
      </w:r>
      <w:r>
        <w:rPr>
          <w:lang w:val="en-US"/>
        </w:rPr>
        <w:t xml:space="preserve"> = 19 A.F.T.R</w:t>
      </w:r>
      <w:r w:rsidRPr="00CA3E1E">
        <w:rPr>
          <w:lang w:val="en-US"/>
        </w:rPr>
        <w:t>. (P-H) 510</w:t>
      </w:r>
      <w:r>
        <w:rPr>
          <w:lang w:val="en-US"/>
        </w:rPr>
        <w:t xml:space="preserve"> = 1937-1 C.B. 444 =</w:t>
      </w:r>
      <w:r w:rsidRPr="00CA3E1E">
        <w:rPr>
          <w:lang w:val="en-US"/>
        </w:rPr>
        <w:t xml:space="preserve"> 109 A.L.R. 1293</w:t>
      </w:r>
      <w:r>
        <w:rPr>
          <w:lang w:val="en-US"/>
        </w:rPr>
        <w:t xml:space="preserve"> = 1937 P.H.</w:t>
      </w:r>
      <w:r w:rsidRPr="00CA3E1E">
        <w:rPr>
          <w:lang w:val="en-US"/>
        </w:rPr>
        <w:t>P738 (1937)</w:t>
      </w:r>
      <w:r>
        <w:rPr>
          <w:lang w:val="en-US"/>
        </w:rPr>
        <w:t>.</w:t>
      </w:r>
    </w:p>
  </w:footnote>
  <w:footnote w:id="260">
    <w:p w14:paraId="7D16FF3E" w14:textId="77777777" w:rsidR="00074551" w:rsidRPr="00CA3E1E" w:rsidRDefault="00074551" w:rsidP="00074551">
      <w:pPr>
        <w:pStyle w:val="Funotentext"/>
        <w:rPr>
          <w:lang w:val="en-US"/>
        </w:rPr>
      </w:pPr>
      <w:r>
        <w:rPr>
          <w:rStyle w:val="Funotenzeichen"/>
          <w:rFonts w:eastAsiaTheme="majorEastAsia"/>
        </w:rPr>
        <w:footnoteRef/>
      </w:r>
      <w:r w:rsidRPr="0024355F">
        <w:rPr>
          <w:lang w:val="en-US"/>
        </w:rPr>
        <w:t xml:space="preserve"> </w:t>
      </w:r>
      <w:r w:rsidRPr="00546F93">
        <w:rPr>
          <w:i/>
          <w:lang w:val="en-US"/>
        </w:rPr>
        <w:t>Burnet v. Brooks</w:t>
      </w:r>
      <w:r w:rsidRPr="0024355F">
        <w:rPr>
          <w:lang w:val="en-US"/>
        </w:rPr>
        <w:t xml:space="preserve">, 288 U.S. 378, 403, 405; </w:t>
      </w:r>
      <w:r w:rsidRPr="00546F93">
        <w:rPr>
          <w:i/>
          <w:lang w:val="en-US"/>
        </w:rPr>
        <w:t>Brushaber v. Union Pacific R. Co.</w:t>
      </w:r>
      <w:r w:rsidRPr="0024355F">
        <w:rPr>
          <w:lang w:val="en-US"/>
        </w:rPr>
        <w:t>, 240 U.S. 1, 12</w:t>
      </w:r>
      <w:r>
        <w:rPr>
          <w:lang w:val="en-US"/>
        </w:rPr>
        <w:t xml:space="preserve">; </w:t>
      </w:r>
      <w:r w:rsidRPr="001F38CE">
        <w:rPr>
          <w:i/>
          <w:lang w:val="en-US"/>
        </w:rPr>
        <w:t>Steward Machine Co. v. Davis</w:t>
      </w:r>
      <w:r w:rsidRPr="00CA3E1E">
        <w:rPr>
          <w:lang w:val="en-US"/>
        </w:rPr>
        <w:t>, 301 U.S. 548, 581</w:t>
      </w:r>
      <w:r>
        <w:rPr>
          <w:lang w:val="en-US"/>
        </w:rPr>
        <w:t xml:space="preserve"> = 57 S. Ct. </w:t>
      </w:r>
      <w:r w:rsidRPr="00CA3E1E">
        <w:rPr>
          <w:lang w:val="en-US"/>
        </w:rPr>
        <w:t>883, 888</w:t>
      </w:r>
      <w:r>
        <w:rPr>
          <w:lang w:val="en-US"/>
        </w:rPr>
        <w:t xml:space="preserve"> = 81 L. Ed. </w:t>
      </w:r>
      <w:r w:rsidRPr="00CA3E1E">
        <w:rPr>
          <w:lang w:val="en-US"/>
        </w:rPr>
        <w:t>1279, 1288</w:t>
      </w:r>
      <w:r>
        <w:rPr>
          <w:lang w:val="en-US"/>
        </w:rPr>
        <w:t xml:space="preserve"> = 1937 U.S. LEXIS </w:t>
      </w:r>
      <w:r w:rsidRPr="00CA3E1E">
        <w:rPr>
          <w:lang w:val="en-US"/>
        </w:rPr>
        <w:t>1199, 56</w:t>
      </w:r>
      <w:r>
        <w:rPr>
          <w:lang w:val="en-US"/>
        </w:rPr>
        <w:t xml:space="preserve"> = 19 A.F.T.R</w:t>
      </w:r>
      <w:r w:rsidRPr="00CA3E1E">
        <w:rPr>
          <w:lang w:val="en-US"/>
        </w:rPr>
        <w:t>. (P-H) 510</w:t>
      </w:r>
      <w:r>
        <w:rPr>
          <w:lang w:val="en-US"/>
        </w:rPr>
        <w:t xml:space="preserve"> = 1937-1 C.B. 444 =</w:t>
      </w:r>
      <w:r w:rsidRPr="00CA3E1E">
        <w:rPr>
          <w:lang w:val="en-US"/>
        </w:rPr>
        <w:t xml:space="preserve"> 109 A.L.R. 1293</w:t>
      </w:r>
      <w:r>
        <w:rPr>
          <w:lang w:val="en-US"/>
        </w:rPr>
        <w:t xml:space="preserve"> = 1937 P.H.</w:t>
      </w:r>
      <w:r w:rsidRPr="00CA3E1E">
        <w:rPr>
          <w:lang w:val="en-US"/>
        </w:rPr>
        <w:t>P738 (1937)</w:t>
      </w:r>
      <w:r>
        <w:rPr>
          <w:lang w:val="en-US"/>
        </w:rPr>
        <w:t>.</w:t>
      </w:r>
    </w:p>
  </w:footnote>
  <w:footnote w:id="261">
    <w:p w14:paraId="764AF48B" w14:textId="77777777" w:rsidR="00074551" w:rsidRPr="004F3387" w:rsidRDefault="00074551" w:rsidP="00074551">
      <w:pPr>
        <w:pStyle w:val="Funotentext"/>
        <w:rPr>
          <w:lang w:val="en-US"/>
        </w:rPr>
      </w:pPr>
      <w:r>
        <w:rPr>
          <w:rStyle w:val="Funotenzeichen"/>
          <w:rFonts w:eastAsiaTheme="majorEastAsia"/>
        </w:rPr>
        <w:footnoteRef/>
      </w:r>
      <w:r w:rsidRPr="00051533">
        <w:rPr>
          <w:lang w:val="en-US"/>
        </w:rPr>
        <w:t xml:space="preserve"> </w:t>
      </w:r>
      <w:r w:rsidRPr="001F38CE">
        <w:rPr>
          <w:i/>
          <w:lang w:val="en-US"/>
        </w:rPr>
        <w:t>Steward Machine Co. v. Davis</w:t>
      </w:r>
      <w:r w:rsidRPr="00051533">
        <w:rPr>
          <w:lang w:val="en-US"/>
        </w:rPr>
        <w:t>, 301 U.S. 548, 580</w:t>
      </w:r>
      <w:r>
        <w:rPr>
          <w:lang w:val="en-US"/>
        </w:rPr>
        <w:t xml:space="preserve"> = 57 S. Ct. </w:t>
      </w:r>
      <w:r w:rsidRPr="00051533">
        <w:rPr>
          <w:lang w:val="en-US"/>
        </w:rPr>
        <w:t>883, 888</w:t>
      </w:r>
      <w:r>
        <w:rPr>
          <w:lang w:val="en-US"/>
        </w:rPr>
        <w:t xml:space="preserve"> = 81 L. Ed. </w:t>
      </w:r>
      <w:r w:rsidRPr="00051533">
        <w:rPr>
          <w:lang w:val="en-US"/>
        </w:rPr>
        <w:t>1279, 1287</w:t>
      </w:r>
      <w:r>
        <w:rPr>
          <w:lang w:val="en-US"/>
        </w:rPr>
        <w:t xml:space="preserve"> = 1937 U.S. LEXIS </w:t>
      </w:r>
      <w:r w:rsidRPr="00051533">
        <w:rPr>
          <w:lang w:val="en-US"/>
        </w:rPr>
        <w:t>1199, 52</w:t>
      </w:r>
      <w:r>
        <w:rPr>
          <w:lang w:val="en-US"/>
        </w:rPr>
        <w:t xml:space="preserve"> = 19 A.F.T.R</w:t>
      </w:r>
      <w:r w:rsidRPr="00051533">
        <w:rPr>
          <w:lang w:val="en-US"/>
        </w:rPr>
        <w:t>. (P-H) 510</w:t>
      </w:r>
      <w:r>
        <w:rPr>
          <w:lang w:val="en-US"/>
        </w:rPr>
        <w:t xml:space="preserve"> = 1937-1 C.B. 444 =</w:t>
      </w:r>
      <w:r w:rsidRPr="00051533">
        <w:rPr>
          <w:lang w:val="en-US"/>
        </w:rPr>
        <w:t xml:space="preserve"> 109 A.L.R. 1293</w:t>
      </w:r>
      <w:r>
        <w:rPr>
          <w:lang w:val="en-US"/>
        </w:rPr>
        <w:t xml:space="preserve"> = 1937 P.H.</w:t>
      </w:r>
      <w:r w:rsidRPr="00051533">
        <w:rPr>
          <w:lang w:val="en-US"/>
        </w:rPr>
        <w:t>P738 (1937).</w:t>
      </w:r>
    </w:p>
  </w:footnote>
  <w:footnote w:id="262">
    <w:p w14:paraId="34945E79" w14:textId="77777777" w:rsidR="00074551" w:rsidRPr="004F3387" w:rsidRDefault="00074551" w:rsidP="00074551">
      <w:pPr>
        <w:pStyle w:val="Funotentext"/>
        <w:rPr>
          <w:lang w:val="en-US"/>
        </w:rPr>
      </w:pPr>
      <w:r>
        <w:rPr>
          <w:rStyle w:val="Funotenzeichen"/>
          <w:rFonts w:eastAsiaTheme="majorEastAsia"/>
        </w:rPr>
        <w:footnoteRef/>
      </w:r>
      <w:r w:rsidRPr="004F3387">
        <w:rPr>
          <w:lang w:val="en-US"/>
        </w:rPr>
        <w:t xml:space="preserve"> </w:t>
      </w:r>
      <w:r w:rsidRPr="001F38CE">
        <w:rPr>
          <w:i/>
          <w:lang w:val="en-US"/>
        </w:rPr>
        <w:t>Steward Machine Co. v. Davis</w:t>
      </w:r>
      <w:r w:rsidRPr="004F3387">
        <w:rPr>
          <w:lang w:val="en-US"/>
        </w:rPr>
        <w:t>, 301 U.S. 548, 578</w:t>
      </w:r>
      <w:r>
        <w:rPr>
          <w:lang w:val="en-US"/>
        </w:rPr>
        <w:t xml:space="preserve"> = 57 S. Ct. </w:t>
      </w:r>
      <w:r w:rsidRPr="004F3387">
        <w:rPr>
          <w:lang w:val="en-US"/>
        </w:rPr>
        <w:t>883, 887</w:t>
      </w:r>
      <w:r>
        <w:rPr>
          <w:lang w:val="en-US"/>
        </w:rPr>
        <w:t xml:space="preserve"> = 81 L. Ed. </w:t>
      </w:r>
      <w:r w:rsidRPr="004F3387">
        <w:rPr>
          <w:lang w:val="en-US"/>
        </w:rPr>
        <w:t>1279, 1286</w:t>
      </w:r>
      <w:r>
        <w:rPr>
          <w:lang w:val="en-US"/>
        </w:rPr>
        <w:t xml:space="preserve"> = 1937 U.S. LEXIS </w:t>
      </w:r>
      <w:r w:rsidRPr="004F3387">
        <w:rPr>
          <w:lang w:val="en-US"/>
        </w:rPr>
        <w:t>1199, 50</w:t>
      </w:r>
      <w:r>
        <w:rPr>
          <w:lang w:val="en-US"/>
        </w:rPr>
        <w:t xml:space="preserve"> = 19 A.F.T.R</w:t>
      </w:r>
      <w:r w:rsidRPr="004F3387">
        <w:rPr>
          <w:lang w:val="en-US"/>
        </w:rPr>
        <w:t>. (P-H) 510</w:t>
      </w:r>
      <w:r>
        <w:rPr>
          <w:lang w:val="en-US"/>
        </w:rPr>
        <w:t xml:space="preserve"> = 1937-1 C.B. 444 =</w:t>
      </w:r>
      <w:r w:rsidRPr="004F3387">
        <w:rPr>
          <w:lang w:val="en-US"/>
        </w:rPr>
        <w:t xml:space="preserve"> 109 A.L.R. 1293</w:t>
      </w:r>
      <w:r>
        <w:rPr>
          <w:lang w:val="en-US"/>
        </w:rPr>
        <w:t xml:space="preserve"> = 1937 P.H.</w:t>
      </w:r>
      <w:r w:rsidRPr="004F3387">
        <w:rPr>
          <w:lang w:val="en-US"/>
        </w:rPr>
        <w:t>P738 (1937).</w:t>
      </w:r>
    </w:p>
  </w:footnote>
  <w:footnote w:id="263">
    <w:p w14:paraId="3AF92A0A" w14:textId="77777777" w:rsidR="00074551" w:rsidRPr="004F3387" w:rsidRDefault="00074551" w:rsidP="00074551">
      <w:pPr>
        <w:pStyle w:val="Funotentext"/>
        <w:rPr>
          <w:lang w:val="en-US"/>
        </w:rPr>
      </w:pPr>
      <w:r>
        <w:rPr>
          <w:rStyle w:val="Funotenzeichen"/>
          <w:rFonts w:eastAsiaTheme="majorEastAsia"/>
        </w:rPr>
        <w:footnoteRef/>
      </w:r>
      <w:r w:rsidRPr="004F3387">
        <w:rPr>
          <w:lang w:val="en-US"/>
        </w:rPr>
        <w:t xml:space="preserve"> </w:t>
      </w:r>
      <w:r w:rsidRPr="001F38CE">
        <w:rPr>
          <w:i/>
          <w:lang w:val="en-US"/>
        </w:rPr>
        <w:t>Steward Machine Co. v. Davis</w:t>
      </w:r>
      <w:r w:rsidRPr="004F3387">
        <w:rPr>
          <w:lang w:val="en-US"/>
        </w:rPr>
        <w:t>, 301 U.S. 548, 581</w:t>
      </w:r>
      <w:r>
        <w:rPr>
          <w:lang w:val="en-US"/>
        </w:rPr>
        <w:t xml:space="preserve"> = 57 S. Ct. </w:t>
      </w:r>
      <w:r w:rsidRPr="004F3387">
        <w:rPr>
          <w:lang w:val="en-US"/>
        </w:rPr>
        <w:t>883, 888</w:t>
      </w:r>
      <w:r>
        <w:rPr>
          <w:lang w:val="en-US"/>
        </w:rPr>
        <w:t xml:space="preserve"> = 81 L. Ed. </w:t>
      </w:r>
      <w:r w:rsidRPr="004F3387">
        <w:rPr>
          <w:lang w:val="en-US"/>
        </w:rPr>
        <w:t>1279, 1287</w:t>
      </w:r>
      <w:r>
        <w:rPr>
          <w:lang w:val="en-US"/>
        </w:rPr>
        <w:t xml:space="preserve"> = 1937 U.S. LEXIS </w:t>
      </w:r>
      <w:r w:rsidRPr="004F3387">
        <w:rPr>
          <w:lang w:val="en-US"/>
        </w:rPr>
        <w:t>1199, 54</w:t>
      </w:r>
      <w:r>
        <w:rPr>
          <w:lang w:val="en-US"/>
        </w:rPr>
        <w:t xml:space="preserve"> = 19 A.F.T.R</w:t>
      </w:r>
      <w:r w:rsidRPr="004F3387">
        <w:rPr>
          <w:lang w:val="en-US"/>
        </w:rPr>
        <w:t>. (P-H) 510</w:t>
      </w:r>
      <w:r>
        <w:rPr>
          <w:lang w:val="en-US"/>
        </w:rPr>
        <w:t xml:space="preserve"> = 1937-1 C.B. 444 =</w:t>
      </w:r>
      <w:r w:rsidRPr="004F3387">
        <w:rPr>
          <w:lang w:val="en-US"/>
        </w:rPr>
        <w:t xml:space="preserve"> 109 A.L.R. 1293</w:t>
      </w:r>
      <w:r>
        <w:rPr>
          <w:lang w:val="en-US"/>
        </w:rPr>
        <w:t xml:space="preserve"> = 1937 P.H.</w:t>
      </w:r>
      <w:r w:rsidRPr="004F3387">
        <w:rPr>
          <w:lang w:val="en-US"/>
        </w:rPr>
        <w:t>P738 (1937)</w:t>
      </w:r>
    </w:p>
  </w:footnote>
  <w:footnote w:id="264">
    <w:p w14:paraId="03CE928F" w14:textId="77777777" w:rsidR="00074551" w:rsidRPr="004F3387" w:rsidRDefault="00074551" w:rsidP="00074551">
      <w:pPr>
        <w:pStyle w:val="Funotentext"/>
        <w:rPr>
          <w:lang w:val="en-US"/>
        </w:rPr>
      </w:pPr>
      <w:r>
        <w:rPr>
          <w:rStyle w:val="Funotenzeichen"/>
          <w:rFonts w:eastAsiaTheme="majorEastAsia"/>
        </w:rPr>
        <w:footnoteRef/>
      </w:r>
      <w:r w:rsidRPr="004F3387">
        <w:rPr>
          <w:lang w:val="en-US"/>
        </w:rPr>
        <w:t xml:space="preserve"> </w:t>
      </w:r>
      <w:r w:rsidRPr="001F38CE">
        <w:rPr>
          <w:i/>
          <w:lang w:val="en-US"/>
        </w:rPr>
        <w:t>Steward Machine Co. v. Davis</w:t>
      </w:r>
      <w:r w:rsidRPr="004F3387">
        <w:rPr>
          <w:lang w:val="en-US"/>
        </w:rPr>
        <w:t>, 301 U.S. 548, 581</w:t>
      </w:r>
      <w:r>
        <w:rPr>
          <w:lang w:val="en-US"/>
        </w:rPr>
        <w:t xml:space="preserve"> = 57 S. Ct. </w:t>
      </w:r>
      <w:r w:rsidRPr="004F3387">
        <w:rPr>
          <w:lang w:val="en-US"/>
        </w:rPr>
        <w:t>883, 888</w:t>
      </w:r>
      <w:r>
        <w:rPr>
          <w:lang w:val="en-US"/>
        </w:rPr>
        <w:t xml:space="preserve"> = 81 L. Ed. </w:t>
      </w:r>
      <w:r w:rsidRPr="004F3387">
        <w:rPr>
          <w:lang w:val="en-US"/>
        </w:rPr>
        <w:t>1279, 1287</w:t>
      </w:r>
      <w:r>
        <w:rPr>
          <w:lang w:val="en-US"/>
        </w:rPr>
        <w:t xml:space="preserve"> = 1937 U.S. LEXIS </w:t>
      </w:r>
      <w:r w:rsidRPr="004F3387">
        <w:rPr>
          <w:lang w:val="en-US"/>
        </w:rPr>
        <w:t>1199, 54</w:t>
      </w:r>
      <w:r>
        <w:rPr>
          <w:lang w:val="en-US"/>
        </w:rPr>
        <w:t xml:space="preserve"> = 19 A.F.T.R</w:t>
      </w:r>
      <w:r w:rsidRPr="004F3387">
        <w:rPr>
          <w:lang w:val="en-US"/>
        </w:rPr>
        <w:t>. (P-H) 510</w:t>
      </w:r>
      <w:r>
        <w:rPr>
          <w:lang w:val="en-US"/>
        </w:rPr>
        <w:t xml:space="preserve"> = 1937-1 C.B. 444 =</w:t>
      </w:r>
      <w:r w:rsidRPr="004F3387">
        <w:rPr>
          <w:lang w:val="en-US"/>
        </w:rPr>
        <w:t xml:space="preserve"> 109 A.L.R. 1293</w:t>
      </w:r>
      <w:r>
        <w:rPr>
          <w:lang w:val="en-US"/>
        </w:rPr>
        <w:t xml:space="preserve"> = 1937 P.H.</w:t>
      </w:r>
      <w:r w:rsidRPr="004F3387">
        <w:rPr>
          <w:lang w:val="en-US"/>
        </w:rPr>
        <w:t>P738 (1937).</w:t>
      </w:r>
    </w:p>
  </w:footnote>
  <w:footnote w:id="265">
    <w:p w14:paraId="26D93205" w14:textId="77777777" w:rsidR="00074551" w:rsidRPr="00051533" w:rsidRDefault="00074551" w:rsidP="00074551">
      <w:pPr>
        <w:pStyle w:val="Funotentext"/>
        <w:rPr>
          <w:lang w:val="en-US"/>
        </w:rPr>
      </w:pPr>
      <w:r>
        <w:rPr>
          <w:rStyle w:val="Funotenzeichen"/>
          <w:rFonts w:eastAsiaTheme="majorEastAsia"/>
        </w:rPr>
        <w:footnoteRef/>
      </w:r>
      <w:r w:rsidRPr="00051533">
        <w:rPr>
          <w:lang w:val="en-US"/>
        </w:rPr>
        <w:t xml:space="preserve"> </w:t>
      </w:r>
      <w:r w:rsidRPr="001F38CE">
        <w:rPr>
          <w:i/>
          <w:lang w:val="en-US"/>
        </w:rPr>
        <w:t>Steward Machine Co. v. Davis</w:t>
      </w:r>
      <w:r w:rsidRPr="00051533">
        <w:rPr>
          <w:lang w:val="en-US"/>
        </w:rPr>
        <w:t>, 301 U.S. 548, 581</w:t>
      </w:r>
      <w:r>
        <w:rPr>
          <w:lang w:val="en-US"/>
        </w:rPr>
        <w:t xml:space="preserve"> = 57 S. Ct. </w:t>
      </w:r>
      <w:r w:rsidRPr="00051533">
        <w:rPr>
          <w:lang w:val="en-US"/>
        </w:rPr>
        <w:t>883, 888</w:t>
      </w:r>
      <w:r>
        <w:rPr>
          <w:lang w:val="en-US"/>
        </w:rPr>
        <w:t xml:space="preserve"> = 81 L. Ed. </w:t>
      </w:r>
      <w:r w:rsidRPr="00051533">
        <w:rPr>
          <w:lang w:val="en-US"/>
        </w:rPr>
        <w:t>1279, 1288</w:t>
      </w:r>
      <w:r>
        <w:rPr>
          <w:lang w:val="en-US"/>
        </w:rPr>
        <w:t xml:space="preserve"> = 1937 U.S. LEXIS </w:t>
      </w:r>
      <w:r w:rsidRPr="00051533">
        <w:rPr>
          <w:lang w:val="en-US"/>
        </w:rPr>
        <w:t>1199, 55</w:t>
      </w:r>
      <w:r>
        <w:rPr>
          <w:lang w:val="en-US"/>
        </w:rPr>
        <w:t xml:space="preserve"> = 19 A.F.T.R</w:t>
      </w:r>
      <w:r w:rsidRPr="00051533">
        <w:rPr>
          <w:lang w:val="en-US"/>
        </w:rPr>
        <w:t>. (P-H) 510</w:t>
      </w:r>
      <w:r>
        <w:rPr>
          <w:lang w:val="en-US"/>
        </w:rPr>
        <w:t xml:space="preserve"> = 1937-1 C.B. 444 =</w:t>
      </w:r>
      <w:r w:rsidRPr="00051533">
        <w:rPr>
          <w:lang w:val="en-US"/>
        </w:rPr>
        <w:t xml:space="preserve"> 109 A.L.R. 1293</w:t>
      </w:r>
      <w:r>
        <w:rPr>
          <w:lang w:val="en-US"/>
        </w:rPr>
        <w:t xml:space="preserve"> = 1937 P.H.</w:t>
      </w:r>
      <w:r w:rsidRPr="00051533">
        <w:rPr>
          <w:lang w:val="en-US"/>
        </w:rPr>
        <w:t>P738 (1937)</w:t>
      </w:r>
      <w:r>
        <w:rPr>
          <w:lang w:val="en-US"/>
        </w:rPr>
        <w:t>.</w:t>
      </w:r>
    </w:p>
  </w:footnote>
  <w:footnote w:id="266">
    <w:p w14:paraId="7560BAE3" w14:textId="77777777" w:rsidR="00074551" w:rsidRPr="004F3387" w:rsidRDefault="00074551" w:rsidP="00074551">
      <w:pPr>
        <w:pStyle w:val="Funotentext"/>
        <w:rPr>
          <w:lang w:val="en-US"/>
        </w:rPr>
      </w:pPr>
      <w:r>
        <w:rPr>
          <w:rStyle w:val="Funotenzeichen"/>
          <w:rFonts w:eastAsiaTheme="majorEastAsia"/>
        </w:rPr>
        <w:footnoteRef/>
      </w:r>
      <w:r w:rsidRPr="004F3387">
        <w:rPr>
          <w:lang w:val="en-US"/>
        </w:rPr>
        <w:t xml:space="preserve"> </w:t>
      </w:r>
      <w:r w:rsidRPr="00546F93">
        <w:rPr>
          <w:i/>
          <w:lang w:val="en-US"/>
        </w:rPr>
        <w:t>Burnet v. Brooks</w:t>
      </w:r>
      <w:r w:rsidRPr="004F3387">
        <w:rPr>
          <w:lang w:val="en-US"/>
        </w:rPr>
        <w:t xml:space="preserve">, 288 U.S. 378, 403, 405; </w:t>
      </w:r>
      <w:r w:rsidRPr="00546F93">
        <w:rPr>
          <w:i/>
          <w:lang w:val="en-US"/>
        </w:rPr>
        <w:t>Brushaber v. Union Pacific R. Co.</w:t>
      </w:r>
      <w:r w:rsidRPr="004F3387">
        <w:rPr>
          <w:lang w:val="en-US"/>
        </w:rPr>
        <w:t>, 240 U.S. 1, 12</w:t>
      </w:r>
      <w:r>
        <w:rPr>
          <w:lang w:val="en-US"/>
        </w:rPr>
        <w:t xml:space="preserve">; </w:t>
      </w:r>
      <w:r w:rsidRPr="001F38CE">
        <w:rPr>
          <w:i/>
          <w:lang w:val="en-US"/>
        </w:rPr>
        <w:t>Steward Machine Co. v. Davis</w:t>
      </w:r>
      <w:r w:rsidRPr="004F3387">
        <w:rPr>
          <w:lang w:val="en-US"/>
        </w:rPr>
        <w:t>, 301 U.S. 548, 581</w:t>
      </w:r>
      <w:r>
        <w:rPr>
          <w:lang w:val="en-US"/>
        </w:rPr>
        <w:t xml:space="preserve"> = 57 S. Ct. </w:t>
      </w:r>
      <w:r w:rsidRPr="004F3387">
        <w:rPr>
          <w:lang w:val="en-US"/>
        </w:rPr>
        <w:t>883, 888</w:t>
      </w:r>
      <w:r>
        <w:rPr>
          <w:lang w:val="en-US"/>
        </w:rPr>
        <w:t xml:space="preserve"> = 81 L. Ed. </w:t>
      </w:r>
      <w:r w:rsidRPr="004F3387">
        <w:rPr>
          <w:lang w:val="en-US"/>
        </w:rPr>
        <w:t>1279, 1288</w:t>
      </w:r>
      <w:r>
        <w:rPr>
          <w:lang w:val="en-US"/>
        </w:rPr>
        <w:t xml:space="preserve"> = 1937 U.S. LEXIS </w:t>
      </w:r>
      <w:r w:rsidRPr="004F3387">
        <w:rPr>
          <w:lang w:val="en-US"/>
        </w:rPr>
        <w:t>1199, 56</w:t>
      </w:r>
      <w:r>
        <w:rPr>
          <w:lang w:val="en-US"/>
        </w:rPr>
        <w:t xml:space="preserve"> = 19 A.F.T.R</w:t>
      </w:r>
      <w:r w:rsidRPr="004F3387">
        <w:rPr>
          <w:lang w:val="en-US"/>
        </w:rPr>
        <w:t>. (P-H) 510</w:t>
      </w:r>
      <w:r>
        <w:rPr>
          <w:lang w:val="en-US"/>
        </w:rPr>
        <w:t xml:space="preserve"> = 1937-1 C.B. 444 =</w:t>
      </w:r>
      <w:r w:rsidRPr="004F3387">
        <w:rPr>
          <w:lang w:val="en-US"/>
        </w:rPr>
        <w:t xml:space="preserve"> 109 A.L.R. 1293</w:t>
      </w:r>
      <w:r>
        <w:rPr>
          <w:lang w:val="en-US"/>
        </w:rPr>
        <w:t xml:space="preserve"> = 1937 P.H.</w:t>
      </w:r>
      <w:r w:rsidRPr="004F3387">
        <w:rPr>
          <w:lang w:val="en-US"/>
        </w:rPr>
        <w:t>P738 (1937)</w:t>
      </w:r>
      <w:r>
        <w:rPr>
          <w:lang w:val="en-US"/>
        </w:rPr>
        <w:t>.</w:t>
      </w:r>
    </w:p>
  </w:footnote>
  <w:footnote w:id="267">
    <w:p w14:paraId="1AEE84D6" w14:textId="77777777" w:rsidR="00074551" w:rsidRPr="0080076D" w:rsidRDefault="00074551" w:rsidP="00074551">
      <w:pPr>
        <w:pStyle w:val="Funotentext"/>
        <w:rPr>
          <w:lang w:val="en-US"/>
        </w:rPr>
      </w:pPr>
      <w:r>
        <w:rPr>
          <w:rStyle w:val="Funotenzeichen"/>
        </w:rPr>
        <w:footnoteRef/>
      </w:r>
      <w:r w:rsidRPr="0080076D">
        <w:rPr>
          <w:lang w:val="en-US"/>
        </w:rPr>
        <w:t xml:space="preserve"> </w:t>
      </w:r>
      <w:r w:rsidRPr="00546F93">
        <w:rPr>
          <w:i/>
          <w:lang w:val="en-US"/>
        </w:rPr>
        <w:t>Kelly v. Pittsburgh</w:t>
      </w:r>
      <w:r w:rsidRPr="0080076D">
        <w:rPr>
          <w:lang w:val="en-US"/>
        </w:rPr>
        <w:t>, 104 U.S. 78, 78</w:t>
      </w:r>
      <w:r w:rsidRPr="00EC5BEB">
        <w:rPr>
          <w:lang w:val="en-US"/>
        </w:rPr>
        <w:t xml:space="preserve"> = 26 L. Ed. </w:t>
      </w:r>
      <w:r w:rsidRPr="0080076D">
        <w:rPr>
          <w:lang w:val="en-US"/>
        </w:rPr>
        <w:t>658, 658</w:t>
      </w:r>
      <w:r w:rsidRPr="00EC5BEB">
        <w:rPr>
          <w:lang w:val="en-US"/>
        </w:rPr>
        <w:t xml:space="preserve"> = 1881 U.S. LEXIS </w:t>
      </w:r>
      <w:r w:rsidRPr="0080076D">
        <w:rPr>
          <w:lang w:val="en-US"/>
        </w:rPr>
        <w:t>1970, 1</w:t>
      </w:r>
      <w:r w:rsidRPr="00EC5BEB">
        <w:rPr>
          <w:lang w:val="en-US"/>
        </w:rPr>
        <w:t xml:space="preserve"> = 14 Otto </w:t>
      </w:r>
      <w:r w:rsidRPr="0080076D">
        <w:rPr>
          <w:lang w:val="en-US"/>
        </w:rPr>
        <w:t>78 (1881)</w:t>
      </w:r>
      <w:r>
        <w:rPr>
          <w:lang w:val="en-US"/>
        </w:rPr>
        <w:t>.</w:t>
      </w:r>
    </w:p>
  </w:footnote>
  <w:footnote w:id="268">
    <w:p w14:paraId="4B6ACEA6" w14:textId="77777777" w:rsidR="00074551" w:rsidRPr="0015733A" w:rsidRDefault="00074551" w:rsidP="00074551">
      <w:pPr>
        <w:pStyle w:val="Funotentext"/>
        <w:rPr>
          <w:lang w:val="en-US"/>
        </w:rPr>
      </w:pPr>
      <w:r>
        <w:rPr>
          <w:rStyle w:val="Funotenzeichen"/>
        </w:rPr>
        <w:footnoteRef/>
      </w:r>
      <w:r w:rsidRPr="0015733A">
        <w:rPr>
          <w:lang w:val="en-US"/>
        </w:rPr>
        <w:t xml:space="preserve"> </w:t>
      </w:r>
      <w:r w:rsidRPr="00B45592">
        <w:rPr>
          <w:i/>
          <w:lang w:val="en-US"/>
        </w:rPr>
        <w:t>State Railroad Tax Cases</w:t>
      </w:r>
      <w:r w:rsidRPr="0015733A">
        <w:rPr>
          <w:lang w:val="en-US"/>
        </w:rPr>
        <w:t xml:space="preserve">, 92 U.S. 575; </w:t>
      </w:r>
      <w:r w:rsidRPr="00B45592">
        <w:rPr>
          <w:i/>
          <w:lang w:val="en-US"/>
        </w:rPr>
        <w:t>Kennard v. Louisiana</w:t>
      </w:r>
      <w:r w:rsidRPr="0015733A">
        <w:rPr>
          <w:lang w:val="en-US"/>
        </w:rPr>
        <w:t xml:space="preserve">, 92 U.S. 480; </w:t>
      </w:r>
      <w:r w:rsidRPr="00B45592">
        <w:rPr>
          <w:i/>
          <w:lang w:val="en-US"/>
        </w:rPr>
        <w:t>Davidson v. New Orleans</w:t>
      </w:r>
      <w:r w:rsidRPr="0015733A">
        <w:rPr>
          <w:lang w:val="en-US"/>
        </w:rPr>
        <w:t xml:space="preserve">, 96 U.S. 97; </w:t>
      </w:r>
      <w:r w:rsidRPr="00B45592">
        <w:rPr>
          <w:i/>
          <w:lang w:val="en-US"/>
        </w:rPr>
        <w:t>Kirtland v. Hotchkiss</w:t>
      </w:r>
      <w:r w:rsidRPr="0015733A">
        <w:rPr>
          <w:lang w:val="en-US"/>
        </w:rPr>
        <w:t xml:space="preserve">, 100 U.S. 491; </w:t>
      </w:r>
      <w:r w:rsidRPr="00B45592">
        <w:rPr>
          <w:i/>
          <w:lang w:val="en-US"/>
        </w:rPr>
        <w:t>Missouri v. Lewis</w:t>
      </w:r>
      <w:r w:rsidRPr="0015733A">
        <w:rPr>
          <w:lang w:val="en-US"/>
        </w:rPr>
        <w:t xml:space="preserve">, 101 U.S. 22; </w:t>
      </w:r>
      <w:r w:rsidRPr="00B45592">
        <w:rPr>
          <w:i/>
          <w:lang w:val="en-US"/>
        </w:rPr>
        <w:t>National Bank v. Kimball</w:t>
      </w:r>
      <w:r w:rsidRPr="0015733A">
        <w:rPr>
          <w:lang w:val="en-US"/>
        </w:rPr>
        <w:t>, 103 U.S. 732</w:t>
      </w:r>
      <w:r>
        <w:rPr>
          <w:lang w:val="en-US"/>
        </w:rPr>
        <w:t xml:space="preserve">; </w:t>
      </w:r>
      <w:r w:rsidRPr="00546F93">
        <w:rPr>
          <w:i/>
          <w:lang w:val="en-US"/>
        </w:rPr>
        <w:t>Kelly v. Pittsburgh</w:t>
      </w:r>
      <w:r w:rsidRPr="0015733A">
        <w:rPr>
          <w:lang w:val="en-US"/>
        </w:rPr>
        <w:t>, 104 U.S. 78, 80</w:t>
      </w:r>
      <w:r w:rsidRPr="00EC5BEB">
        <w:rPr>
          <w:lang w:val="en-US"/>
        </w:rPr>
        <w:t xml:space="preserve"> = 26 L. Ed. </w:t>
      </w:r>
      <w:r w:rsidRPr="0015733A">
        <w:rPr>
          <w:lang w:val="en-US"/>
        </w:rPr>
        <w:t>658, 659</w:t>
      </w:r>
      <w:r w:rsidRPr="00EC5BEB">
        <w:rPr>
          <w:lang w:val="en-US"/>
        </w:rPr>
        <w:t xml:space="preserve"> = 1881 U.S. LEXIS </w:t>
      </w:r>
      <w:r w:rsidRPr="0015733A">
        <w:rPr>
          <w:lang w:val="en-US"/>
        </w:rPr>
        <w:t>1970, 6</w:t>
      </w:r>
      <w:r w:rsidRPr="00EC5BEB">
        <w:rPr>
          <w:lang w:val="en-US"/>
        </w:rPr>
        <w:t xml:space="preserve"> = 14 Otto </w:t>
      </w:r>
      <w:r w:rsidRPr="0015733A">
        <w:rPr>
          <w:lang w:val="en-US"/>
        </w:rPr>
        <w:t>78 (1881)</w:t>
      </w:r>
      <w:r>
        <w:rPr>
          <w:lang w:val="en-US"/>
        </w:rPr>
        <w:t>.</w:t>
      </w:r>
    </w:p>
  </w:footnote>
  <w:footnote w:id="269">
    <w:p w14:paraId="5B868607" w14:textId="77777777" w:rsidR="00074551" w:rsidRPr="00782130" w:rsidRDefault="00074551" w:rsidP="00074551">
      <w:pPr>
        <w:pStyle w:val="Funotentext"/>
        <w:rPr>
          <w:lang w:val="en-US"/>
        </w:rPr>
      </w:pPr>
      <w:r>
        <w:rPr>
          <w:rStyle w:val="Funotenzeichen"/>
        </w:rPr>
        <w:footnoteRef/>
      </w:r>
      <w:r w:rsidRPr="00782130">
        <w:rPr>
          <w:lang w:val="en-US"/>
        </w:rPr>
        <w:t xml:space="preserve"> </w:t>
      </w:r>
      <w:r w:rsidRPr="00546F93">
        <w:rPr>
          <w:i/>
          <w:lang w:val="en-US"/>
        </w:rPr>
        <w:t>Kelly v. Pittsburgh</w:t>
      </w:r>
      <w:r w:rsidRPr="00782130">
        <w:rPr>
          <w:lang w:val="en-US"/>
        </w:rPr>
        <w:t>, 104 U.S. 78, 82</w:t>
      </w:r>
      <w:r w:rsidRPr="00EC5BEB">
        <w:rPr>
          <w:lang w:val="en-US"/>
        </w:rPr>
        <w:t xml:space="preserve"> = 26 L. Ed. </w:t>
      </w:r>
      <w:r w:rsidRPr="00782130">
        <w:rPr>
          <w:lang w:val="en-US"/>
        </w:rPr>
        <w:t>658, 660</w:t>
      </w:r>
      <w:r w:rsidRPr="00EC5BEB">
        <w:rPr>
          <w:lang w:val="en-US"/>
        </w:rPr>
        <w:t xml:space="preserve"> = 1881 U.S. LEXIS </w:t>
      </w:r>
      <w:r w:rsidRPr="00782130">
        <w:rPr>
          <w:lang w:val="en-US"/>
        </w:rPr>
        <w:t>1970, 9</w:t>
      </w:r>
      <w:r w:rsidRPr="00EC5BEB">
        <w:rPr>
          <w:lang w:val="en-US"/>
        </w:rPr>
        <w:t xml:space="preserve"> = 14 Otto </w:t>
      </w:r>
      <w:r w:rsidRPr="00782130">
        <w:rPr>
          <w:lang w:val="en-US"/>
        </w:rPr>
        <w:t>78 (1881)</w:t>
      </w:r>
      <w:r>
        <w:rPr>
          <w:lang w:val="en-US"/>
        </w:rPr>
        <w:t>.</w:t>
      </w:r>
    </w:p>
  </w:footnote>
  <w:footnote w:id="270">
    <w:p w14:paraId="52D09E92" w14:textId="77777777" w:rsidR="00074551" w:rsidRPr="002E1FAB" w:rsidRDefault="00074551" w:rsidP="00074551">
      <w:pPr>
        <w:pStyle w:val="Funotentext"/>
        <w:rPr>
          <w:lang w:val="en-US"/>
        </w:rPr>
      </w:pPr>
      <w:r>
        <w:rPr>
          <w:rStyle w:val="Funotenzeichen"/>
          <w:rFonts w:eastAsiaTheme="majorEastAsia"/>
        </w:rPr>
        <w:footnoteRef/>
      </w:r>
      <w:r w:rsidRPr="002E1FAB">
        <w:rPr>
          <w:lang w:val="en-US"/>
        </w:rPr>
        <w:t xml:space="preserve"> </w:t>
      </w:r>
      <w:r w:rsidRPr="00B45592">
        <w:rPr>
          <w:i/>
          <w:lang w:val="en-US"/>
        </w:rPr>
        <w:t>James Everard’s Breweries v. Day</w:t>
      </w:r>
      <w:r w:rsidRPr="002E1FAB">
        <w:rPr>
          <w:lang w:val="en-US"/>
        </w:rPr>
        <w:t>, 265 U.S. 545, 554</w:t>
      </w:r>
      <w:r>
        <w:rPr>
          <w:lang w:val="en-US"/>
        </w:rPr>
        <w:t xml:space="preserve"> = 44 S. Ct. </w:t>
      </w:r>
      <w:r w:rsidRPr="002E1FAB">
        <w:rPr>
          <w:lang w:val="en-US"/>
        </w:rPr>
        <w:t>628, 629</w:t>
      </w:r>
      <w:r>
        <w:rPr>
          <w:lang w:val="en-US"/>
        </w:rPr>
        <w:t xml:space="preserve"> = 68 L. Ed</w:t>
      </w:r>
      <w:r w:rsidRPr="002E1FAB">
        <w:rPr>
          <w:lang w:val="en-US"/>
        </w:rPr>
        <w:t>. 1174, 1177</w:t>
      </w:r>
      <w:r>
        <w:rPr>
          <w:lang w:val="en-US"/>
        </w:rPr>
        <w:t xml:space="preserve"> = 1924 U.S. LEXIS </w:t>
      </w:r>
      <w:r w:rsidRPr="002E1FAB">
        <w:rPr>
          <w:lang w:val="en-US"/>
        </w:rPr>
        <w:t>2635, 14 (1924)</w:t>
      </w:r>
      <w:r>
        <w:rPr>
          <w:lang w:val="en-US"/>
        </w:rPr>
        <w:t>.</w:t>
      </w:r>
    </w:p>
  </w:footnote>
  <w:footnote w:id="271">
    <w:p w14:paraId="286033B0" w14:textId="77777777" w:rsidR="00074551" w:rsidRPr="002E1FAB" w:rsidRDefault="00074551" w:rsidP="00074551">
      <w:pPr>
        <w:pStyle w:val="Funotentext"/>
        <w:rPr>
          <w:lang w:val="en-US"/>
        </w:rPr>
      </w:pPr>
      <w:r>
        <w:rPr>
          <w:rStyle w:val="Funotenzeichen"/>
          <w:rFonts w:eastAsiaTheme="majorEastAsia"/>
        </w:rPr>
        <w:footnoteRef/>
      </w:r>
      <w:r w:rsidRPr="002E1FAB">
        <w:rPr>
          <w:lang w:val="en-US"/>
        </w:rPr>
        <w:t xml:space="preserve"> </w:t>
      </w:r>
      <w:r w:rsidRPr="00B45592">
        <w:rPr>
          <w:i/>
          <w:lang w:val="en-US"/>
        </w:rPr>
        <w:t>James Everard’s Breweries v. Day</w:t>
      </w:r>
      <w:r w:rsidRPr="002E1FAB">
        <w:rPr>
          <w:lang w:val="en-US"/>
        </w:rPr>
        <w:t>, 265 U.S. 545, 554</w:t>
      </w:r>
      <w:r>
        <w:rPr>
          <w:lang w:val="en-US"/>
        </w:rPr>
        <w:t xml:space="preserve"> = 44 S. Ct. </w:t>
      </w:r>
      <w:r w:rsidRPr="002E1FAB">
        <w:rPr>
          <w:lang w:val="en-US"/>
        </w:rPr>
        <w:t>628, 629</w:t>
      </w:r>
      <w:r>
        <w:rPr>
          <w:lang w:val="en-US"/>
        </w:rPr>
        <w:t xml:space="preserve"> = 68 L. Ed</w:t>
      </w:r>
      <w:r w:rsidRPr="002E1FAB">
        <w:rPr>
          <w:lang w:val="en-US"/>
        </w:rPr>
        <w:t>. 1174, 1177</w:t>
      </w:r>
      <w:r>
        <w:rPr>
          <w:lang w:val="en-US"/>
        </w:rPr>
        <w:t xml:space="preserve"> = 1924 U.S. LEXIS </w:t>
      </w:r>
      <w:r w:rsidRPr="002E1FAB">
        <w:rPr>
          <w:lang w:val="en-US"/>
        </w:rPr>
        <w:t>2635, 15 (1924)</w:t>
      </w:r>
      <w:r>
        <w:rPr>
          <w:lang w:val="en-US"/>
        </w:rPr>
        <w:t>.</w:t>
      </w:r>
    </w:p>
  </w:footnote>
  <w:footnote w:id="272">
    <w:p w14:paraId="0DABA8F4" w14:textId="77777777" w:rsidR="00074551" w:rsidRPr="002E1FAB" w:rsidRDefault="00074551" w:rsidP="00074551">
      <w:pPr>
        <w:pStyle w:val="Funotentext"/>
        <w:rPr>
          <w:lang w:val="en-US"/>
        </w:rPr>
      </w:pPr>
      <w:r>
        <w:rPr>
          <w:rStyle w:val="Funotenzeichen"/>
          <w:rFonts w:eastAsiaTheme="majorEastAsia"/>
        </w:rPr>
        <w:footnoteRef/>
      </w:r>
      <w:r w:rsidRPr="002E1FAB">
        <w:rPr>
          <w:lang w:val="en-US"/>
        </w:rPr>
        <w:t xml:space="preserve"> </w:t>
      </w:r>
      <w:r w:rsidRPr="00B45592">
        <w:rPr>
          <w:i/>
          <w:lang w:val="en-US"/>
        </w:rPr>
        <w:t>James Everard’s Breweries v. Day</w:t>
      </w:r>
      <w:r w:rsidRPr="002E1FAB">
        <w:rPr>
          <w:lang w:val="en-US"/>
        </w:rPr>
        <w:t>, 265 U.S. 545, 554</w:t>
      </w:r>
      <w:r>
        <w:rPr>
          <w:lang w:val="en-US"/>
        </w:rPr>
        <w:t xml:space="preserve"> = 44 S. Ct. </w:t>
      </w:r>
      <w:r w:rsidRPr="002E1FAB">
        <w:rPr>
          <w:lang w:val="en-US"/>
        </w:rPr>
        <w:t>628, 629</w:t>
      </w:r>
      <w:r>
        <w:rPr>
          <w:lang w:val="en-US"/>
        </w:rPr>
        <w:t xml:space="preserve"> = 68 L. Ed</w:t>
      </w:r>
      <w:r w:rsidRPr="002E1FAB">
        <w:rPr>
          <w:lang w:val="en-US"/>
        </w:rPr>
        <w:t>. 1174, 1177</w:t>
      </w:r>
      <w:r>
        <w:rPr>
          <w:lang w:val="en-US"/>
        </w:rPr>
        <w:t xml:space="preserve"> = 1924 U.S. LEXIS </w:t>
      </w:r>
      <w:r w:rsidRPr="002E1FAB">
        <w:rPr>
          <w:lang w:val="en-US"/>
        </w:rPr>
        <w:t>2635, 14 (1924)</w:t>
      </w:r>
      <w:r>
        <w:rPr>
          <w:lang w:val="en-US"/>
        </w:rPr>
        <w:t>.</w:t>
      </w:r>
    </w:p>
  </w:footnote>
  <w:footnote w:id="273">
    <w:p w14:paraId="0D7D4D18" w14:textId="77777777" w:rsidR="00074551" w:rsidRPr="00B745FD" w:rsidRDefault="00074551" w:rsidP="00074551">
      <w:pPr>
        <w:pStyle w:val="Funotentext"/>
        <w:rPr>
          <w:lang w:val="en-US"/>
        </w:rPr>
      </w:pPr>
      <w:r>
        <w:rPr>
          <w:rStyle w:val="Funotenzeichen"/>
          <w:rFonts w:eastAsiaTheme="majorEastAsia"/>
        </w:rPr>
        <w:footnoteRef/>
      </w:r>
      <w:r w:rsidRPr="00B745FD">
        <w:rPr>
          <w:lang w:val="en-US"/>
        </w:rPr>
        <w:t xml:space="preserve"> </w:t>
      </w:r>
      <w:r w:rsidRPr="00B45592">
        <w:rPr>
          <w:i/>
          <w:lang w:val="en-US"/>
        </w:rPr>
        <w:t>James Everard’s Breweries v. Day</w:t>
      </w:r>
      <w:r w:rsidRPr="00B745FD">
        <w:rPr>
          <w:lang w:val="en-US"/>
        </w:rPr>
        <w:t>, 265 U.S. 545, 554</w:t>
      </w:r>
      <w:r>
        <w:rPr>
          <w:lang w:val="en-US"/>
        </w:rPr>
        <w:t xml:space="preserve"> = 44 S. Ct. </w:t>
      </w:r>
      <w:r w:rsidRPr="00B745FD">
        <w:rPr>
          <w:lang w:val="en-US"/>
        </w:rPr>
        <w:t>628, 629</w:t>
      </w:r>
      <w:r>
        <w:rPr>
          <w:lang w:val="en-US"/>
        </w:rPr>
        <w:t xml:space="preserve"> = 68 L. Ed</w:t>
      </w:r>
      <w:r w:rsidRPr="00B745FD">
        <w:rPr>
          <w:lang w:val="en-US"/>
        </w:rPr>
        <w:t>. 1174, 1177</w:t>
      </w:r>
      <w:r>
        <w:rPr>
          <w:lang w:val="en-US"/>
        </w:rPr>
        <w:t xml:space="preserve"> = 1924 U.S. LEXIS </w:t>
      </w:r>
      <w:r w:rsidRPr="00B745FD">
        <w:rPr>
          <w:lang w:val="en-US"/>
        </w:rPr>
        <w:t>2635, 10 (1924)</w:t>
      </w:r>
      <w:r>
        <w:rPr>
          <w:lang w:val="en-US"/>
        </w:rPr>
        <w:t>.</w:t>
      </w:r>
    </w:p>
  </w:footnote>
  <w:footnote w:id="274">
    <w:p w14:paraId="1B034AE4" w14:textId="77777777" w:rsidR="00074551" w:rsidRPr="00B745FD" w:rsidRDefault="00074551" w:rsidP="00074551">
      <w:pPr>
        <w:pStyle w:val="Funotentext"/>
        <w:rPr>
          <w:lang w:val="en-US"/>
        </w:rPr>
      </w:pPr>
      <w:r>
        <w:rPr>
          <w:rStyle w:val="Funotenzeichen"/>
          <w:rFonts w:eastAsiaTheme="majorEastAsia"/>
        </w:rPr>
        <w:footnoteRef/>
      </w:r>
      <w:r w:rsidRPr="00B745FD">
        <w:rPr>
          <w:lang w:val="en-US"/>
        </w:rPr>
        <w:t xml:space="preserve"> </w:t>
      </w:r>
      <w:r w:rsidRPr="00B45592">
        <w:rPr>
          <w:i/>
          <w:lang w:val="en-US"/>
        </w:rPr>
        <w:t>James Everard’s Breweries v. Day</w:t>
      </w:r>
      <w:r w:rsidRPr="00B745FD">
        <w:rPr>
          <w:lang w:val="en-US"/>
        </w:rPr>
        <w:t>, 265 U.S. 545, 554</w:t>
      </w:r>
      <w:r>
        <w:rPr>
          <w:lang w:val="en-US"/>
        </w:rPr>
        <w:t xml:space="preserve"> = 44 S. Ct. </w:t>
      </w:r>
      <w:r w:rsidRPr="00B745FD">
        <w:rPr>
          <w:lang w:val="en-US"/>
        </w:rPr>
        <w:t>628, 629</w:t>
      </w:r>
      <w:r>
        <w:rPr>
          <w:lang w:val="en-US"/>
        </w:rPr>
        <w:t xml:space="preserve"> = 68 L. Ed</w:t>
      </w:r>
      <w:r w:rsidRPr="00B745FD">
        <w:rPr>
          <w:lang w:val="en-US"/>
        </w:rPr>
        <w:t>. 1174, 1177</w:t>
      </w:r>
      <w:r>
        <w:rPr>
          <w:lang w:val="en-US"/>
        </w:rPr>
        <w:t xml:space="preserve"> = 1924 U.S. LEXIS </w:t>
      </w:r>
      <w:r w:rsidRPr="00B745FD">
        <w:rPr>
          <w:lang w:val="en-US"/>
        </w:rPr>
        <w:t>2635, 10 (1924)</w:t>
      </w:r>
      <w:r>
        <w:rPr>
          <w:lang w:val="en-US"/>
        </w:rPr>
        <w:t>.</w:t>
      </w:r>
    </w:p>
  </w:footnote>
  <w:footnote w:id="275">
    <w:p w14:paraId="685CD701" w14:textId="3AC9FEE0" w:rsidR="00074551" w:rsidRPr="00B45592" w:rsidRDefault="00074551" w:rsidP="00074551">
      <w:pPr>
        <w:pStyle w:val="Funotentext"/>
        <w:rPr>
          <w:lang w:val="en-IE"/>
        </w:rPr>
      </w:pPr>
      <w:r>
        <w:rPr>
          <w:rStyle w:val="Funotenzeichen"/>
        </w:rPr>
        <w:footnoteRef/>
      </w:r>
      <w:r w:rsidRPr="00B45592">
        <w:rPr>
          <w:lang w:val="en-IE"/>
        </w:rPr>
        <w:t xml:space="preserve"> </w:t>
      </w:r>
      <w:r w:rsidRPr="008C773A">
        <w:rPr>
          <w:i/>
          <w:lang w:val="en-IE"/>
        </w:rPr>
        <w:t>Taylor v. Beckham</w:t>
      </w:r>
      <w:r w:rsidRPr="008C773A">
        <w:rPr>
          <w:lang w:val="en-IE"/>
        </w:rPr>
        <w:t xml:space="preserve">, 178 U.S. 548, </w:t>
      </w:r>
      <w:r w:rsidR="00AF124E">
        <w:rPr>
          <w:lang w:val="en-IE"/>
        </w:rPr>
        <w:t>Lawyers’ Edition Display Headnotes</w:t>
      </w:r>
      <w:r w:rsidRPr="008C773A">
        <w:rPr>
          <w:rFonts w:eastAsiaTheme="majorEastAsia"/>
          <w:lang w:val="en-IE"/>
        </w:rPr>
        <w:t xml:space="preserve"> =</w:t>
      </w:r>
      <w:r w:rsidRPr="008C773A">
        <w:rPr>
          <w:lang w:val="en-IE"/>
        </w:rPr>
        <w:t xml:space="preserve"> 20 S. Ct. 890, 898</w:t>
      </w:r>
      <w:r w:rsidRPr="008C773A">
        <w:rPr>
          <w:rFonts w:eastAsiaTheme="majorEastAsia"/>
          <w:lang w:val="en-IE"/>
        </w:rPr>
        <w:t xml:space="preserve"> =</w:t>
      </w:r>
      <w:r w:rsidRPr="008C773A">
        <w:rPr>
          <w:lang w:val="en-IE"/>
        </w:rPr>
        <w:t xml:space="preserve"> 44 L. Ed. 1187, 1198</w:t>
      </w:r>
      <w:r w:rsidRPr="008C773A">
        <w:rPr>
          <w:rFonts w:eastAsiaTheme="majorEastAsia"/>
          <w:lang w:val="en-IE"/>
        </w:rPr>
        <w:t xml:space="preserve"> =</w:t>
      </w:r>
      <w:r w:rsidRPr="008C773A">
        <w:rPr>
          <w:lang w:val="en-IE"/>
        </w:rPr>
        <w:t xml:space="preserve"> 1900 U.S. LEXIS 1702, 33</w:t>
      </w:r>
      <w:r w:rsidRPr="008C773A">
        <w:rPr>
          <w:rFonts w:eastAsiaTheme="majorEastAsia"/>
          <w:lang w:val="en-IE"/>
        </w:rPr>
        <w:t xml:space="preserve"> </w:t>
      </w:r>
      <w:r w:rsidRPr="008C773A">
        <w:rPr>
          <w:lang w:val="en-IE"/>
        </w:rPr>
        <w:t>(1900).</w:t>
      </w:r>
    </w:p>
  </w:footnote>
  <w:footnote w:id="276">
    <w:p w14:paraId="4CB13AD2" w14:textId="7F50D087" w:rsidR="00074551" w:rsidRPr="00B45592" w:rsidRDefault="00074551" w:rsidP="00074551">
      <w:pPr>
        <w:pStyle w:val="Funotentext"/>
        <w:rPr>
          <w:lang w:val="en-IE"/>
        </w:rPr>
      </w:pPr>
      <w:r>
        <w:rPr>
          <w:rStyle w:val="Funotenzeichen"/>
        </w:rPr>
        <w:footnoteRef/>
      </w:r>
      <w:r w:rsidRPr="00B45592">
        <w:rPr>
          <w:lang w:val="en-IE"/>
        </w:rPr>
        <w:t xml:space="preserve"> </w:t>
      </w:r>
      <w:r w:rsidRPr="008C773A">
        <w:rPr>
          <w:i/>
          <w:lang w:val="en-IE"/>
        </w:rPr>
        <w:t>Taylor v. Beckham</w:t>
      </w:r>
      <w:r w:rsidRPr="008C773A">
        <w:rPr>
          <w:lang w:val="en-IE"/>
        </w:rPr>
        <w:t xml:space="preserve">, 178 U.S. 548, </w:t>
      </w:r>
      <w:r w:rsidR="00AF124E">
        <w:rPr>
          <w:lang w:val="en-IE"/>
        </w:rPr>
        <w:t>Lawyers’ Edition Display Headnotes</w:t>
      </w:r>
      <w:r w:rsidR="00AF124E" w:rsidRPr="008C773A">
        <w:rPr>
          <w:rFonts w:eastAsiaTheme="majorEastAsia"/>
          <w:lang w:val="en-IE"/>
        </w:rPr>
        <w:t xml:space="preserve"> </w:t>
      </w:r>
      <w:r w:rsidRPr="008C773A">
        <w:rPr>
          <w:rFonts w:eastAsiaTheme="majorEastAsia"/>
          <w:lang w:val="en-IE"/>
        </w:rPr>
        <w:t xml:space="preserve"> =</w:t>
      </w:r>
      <w:r w:rsidRPr="008C773A">
        <w:rPr>
          <w:lang w:val="en-IE"/>
        </w:rPr>
        <w:t xml:space="preserve"> 20 S. Ct. 890, 898</w:t>
      </w:r>
      <w:r w:rsidRPr="008C773A">
        <w:rPr>
          <w:rFonts w:eastAsiaTheme="majorEastAsia"/>
          <w:lang w:val="en-IE"/>
        </w:rPr>
        <w:t xml:space="preserve"> =</w:t>
      </w:r>
      <w:r w:rsidRPr="008C773A">
        <w:rPr>
          <w:lang w:val="en-IE"/>
        </w:rPr>
        <w:t xml:space="preserve"> 44 L. Ed. 1187, 1198</w:t>
      </w:r>
      <w:r w:rsidRPr="008C773A">
        <w:rPr>
          <w:rFonts w:eastAsiaTheme="majorEastAsia"/>
          <w:lang w:val="en-IE"/>
        </w:rPr>
        <w:t xml:space="preserve"> =</w:t>
      </w:r>
      <w:r w:rsidRPr="008C773A">
        <w:rPr>
          <w:lang w:val="en-IE"/>
        </w:rPr>
        <w:t xml:space="preserve"> 1900 U.S. LEXIS 1702, 33</w:t>
      </w:r>
      <w:r w:rsidRPr="008C773A">
        <w:rPr>
          <w:rFonts w:eastAsiaTheme="majorEastAsia"/>
          <w:lang w:val="en-IE"/>
        </w:rPr>
        <w:t xml:space="preserve"> </w:t>
      </w:r>
      <w:r w:rsidRPr="008C773A">
        <w:rPr>
          <w:lang w:val="en-IE"/>
        </w:rPr>
        <w:t>(1900).</w:t>
      </w:r>
    </w:p>
  </w:footnote>
  <w:footnote w:id="277">
    <w:p w14:paraId="462A74FD" w14:textId="3505009A" w:rsidR="00074551" w:rsidRPr="00B45592" w:rsidRDefault="00074551" w:rsidP="00074551">
      <w:pPr>
        <w:pStyle w:val="Funotentext"/>
        <w:rPr>
          <w:lang w:val="en-IE"/>
        </w:rPr>
      </w:pPr>
      <w:r>
        <w:rPr>
          <w:rStyle w:val="Funotenzeichen"/>
        </w:rPr>
        <w:footnoteRef/>
      </w:r>
      <w:r w:rsidRPr="00B45592">
        <w:rPr>
          <w:lang w:val="en-IE"/>
        </w:rPr>
        <w:t xml:space="preserve"> </w:t>
      </w:r>
      <w:r w:rsidRPr="008C773A">
        <w:rPr>
          <w:i/>
          <w:lang w:val="en-IE"/>
        </w:rPr>
        <w:t>Taylor v. Beckham</w:t>
      </w:r>
      <w:r w:rsidRPr="008C773A">
        <w:rPr>
          <w:lang w:val="en-IE"/>
        </w:rPr>
        <w:t xml:space="preserve">, 178 U.S. 548, </w:t>
      </w:r>
      <w:r w:rsidR="00AF124E">
        <w:rPr>
          <w:lang w:val="en-IE"/>
        </w:rPr>
        <w:t>Lawyers’ Edition Display Headnotes</w:t>
      </w:r>
      <w:r w:rsidR="00AF124E" w:rsidRPr="008C773A">
        <w:rPr>
          <w:rFonts w:eastAsiaTheme="majorEastAsia"/>
          <w:lang w:val="en-IE"/>
        </w:rPr>
        <w:t xml:space="preserve"> </w:t>
      </w:r>
      <w:r w:rsidRPr="008C773A">
        <w:rPr>
          <w:rFonts w:eastAsiaTheme="majorEastAsia"/>
          <w:lang w:val="en-IE"/>
        </w:rPr>
        <w:t xml:space="preserve"> =</w:t>
      </w:r>
      <w:r w:rsidRPr="008C773A">
        <w:rPr>
          <w:lang w:val="en-IE"/>
        </w:rPr>
        <w:t xml:space="preserve"> 20 S. Ct. 890, 898</w:t>
      </w:r>
      <w:r w:rsidRPr="008C773A">
        <w:rPr>
          <w:rFonts w:eastAsiaTheme="majorEastAsia"/>
          <w:lang w:val="en-IE"/>
        </w:rPr>
        <w:t xml:space="preserve"> =</w:t>
      </w:r>
      <w:r w:rsidRPr="008C773A">
        <w:rPr>
          <w:lang w:val="en-IE"/>
        </w:rPr>
        <w:t xml:space="preserve"> 44 L. Ed. 1187, 1198</w:t>
      </w:r>
      <w:r w:rsidRPr="008C773A">
        <w:rPr>
          <w:rFonts w:eastAsiaTheme="majorEastAsia"/>
          <w:lang w:val="en-IE"/>
        </w:rPr>
        <w:t xml:space="preserve"> =</w:t>
      </w:r>
      <w:r w:rsidRPr="008C773A">
        <w:rPr>
          <w:lang w:val="en-IE"/>
        </w:rPr>
        <w:t xml:space="preserve"> 1900 U.S. LEXIS 1702, 33</w:t>
      </w:r>
      <w:r w:rsidRPr="008C773A">
        <w:rPr>
          <w:rFonts w:eastAsiaTheme="majorEastAsia"/>
          <w:lang w:val="en-IE"/>
        </w:rPr>
        <w:t xml:space="preserve"> </w:t>
      </w:r>
      <w:r w:rsidRPr="008C773A">
        <w:rPr>
          <w:lang w:val="en-IE"/>
        </w:rPr>
        <w:t>(1900).</w:t>
      </w:r>
    </w:p>
  </w:footnote>
  <w:footnote w:id="278">
    <w:p w14:paraId="65D6DA8F" w14:textId="6A721EB6" w:rsidR="00074551" w:rsidRPr="00B841B9" w:rsidRDefault="00074551" w:rsidP="00074551">
      <w:pPr>
        <w:pStyle w:val="Funotentext"/>
        <w:rPr>
          <w:lang w:val="en-US"/>
        </w:rPr>
      </w:pPr>
      <w:r>
        <w:rPr>
          <w:rStyle w:val="Funotenzeichen"/>
          <w:rFonts w:eastAsiaTheme="majorEastAsia"/>
        </w:rPr>
        <w:footnoteRef/>
      </w:r>
      <w:r w:rsidRPr="00B841B9">
        <w:rPr>
          <w:lang w:val="en-US"/>
        </w:rPr>
        <w:t xml:space="preserve"> </w:t>
      </w:r>
      <w:r w:rsidRPr="00546F93">
        <w:rPr>
          <w:i/>
          <w:lang w:val="en-US"/>
        </w:rPr>
        <w:t>Taylor v. Beckham</w:t>
      </w:r>
      <w:r w:rsidRPr="00B841B9">
        <w:rPr>
          <w:lang w:val="en-US"/>
        </w:rPr>
        <w:t xml:space="preserve">, 178 U.S. 548, </w:t>
      </w:r>
      <w:r w:rsidR="00AF124E">
        <w:rPr>
          <w:lang w:val="en-US"/>
        </w:rPr>
        <w:t>Prior History</w:t>
      </w:r>
      <w:r>
        <w:rPr>
          <w:lang w:val="en-US"/>
        </w:rPr>
        <w:t xml:space="preserve"> = 20 S. Ct. </w:t>
      </w:r>
      <w:r w:rsidRPr="00B841B9">
        <w:rPr>
          <w:lang w:val="en-US"/>
        </w:rPr>
        <w:t>890, 898</w:t>
      </w:r>
      <w:r>
        <w:rPr>
          <w:lang w:val="en-US"/>
        </w:rPr>
        <w:t xml:space="preserve"> = 44 L. Ed. </w:t>
      </w:r>
      <w:r w:rsidRPr="00B841B9">
        <w:rPr>
          <w:lang w:val="en-US"/>
        </w:rPr>
        <w:t>1187, 1198</w:t>
      </w:r>
      <w:r>
        <w:rPr>
          <w:lang w:val="en-US"/>
        </w:rPr>
        <w:t xml:space="preserve"> = 1900 U.S. LEXIS </w:t>
      </w:r>
      <w:r w:rsidRPr="00B841B9">
        <w:rPr>
          <w:lang w:val="en-US"/>
        </w:rPr>
        <w:t>1702, 13</w:t>
      </w:r>
      <w:r>
        <w:rPr>
          <w:lang w:val="en-US"/>
        </w:rPr>
        <w:t>–14</w:t>
      </w:r>
      <w:r w:rsidRPr="00B841B9">
        <w:rPr>
          <w:lang w:val="en-US"/>
        </w:rPr>
        <w:t xml:space="preserve"> (1900)</w:t>
      </w:r>
      <w:r>
        <w:rPr>
          <w:lang w:val="en-US"/>
        </w:rPr>
        <w:t>.</w:t>
      </w:r>
    </w:p>
  </w:footnote>
  <w:footnote w:id="279">
    <w:p w14:paraId="7E8B992E" w14:textId="77777777" w:rsidR="00074551" w:rsidRPr="000D40C7" w:rsidRDefault="00074551" w:rsidP="00074551">
      <w:pPr>
        <w:pStyle w:val="Funotentext"/>
        <w:rPr>
          <w:lang w:val="en-US"/>
        </w:rPr>
      </w:pPr>
      <w:r>
        <w:rPr>
          <w:rStyle w:val="Funotenzeichen"/>
        </w:rPr>
        <w:footnoteRef/>
      </w:r>
      <w:r w:rsidRPr="000D40C7">
        <w:rPr>
          <w:lang w:val="en-US"/>
        </w:rPr>
        <w:t xml:space="preserve"> </w:t>
      </w:r>
      <w:r w:rsidRPr="00546F93">
        <w:rPr>
          <w:i/>
          <w:lang w:val="en-US"/>
        </w:rPr>
        <w:t>Luther v. Borden</w:t>
      </w:r>
      <w:r w:rsidRPr="000D40C7">
        <w:rPr>
          <w:lang w:val="en-US"/>
        </w:rPr>
        <w:t>, 48 U.S. 1, 34</w:t>
      </w:r>
      <w:r>
        <w:rPr>
          <w:lang w:val="en-US"/>
        </w:rPr>
        <w:t xml:space="preserve"> = 12 L. Ed. </w:t>
      </w:r>
      <w:r w:rsidRPr="000D40C7">
        <w:rPr>
          <w:lang w:val="en-US"/>
        </w:rPr>
        <w:t>581, 595</w:t>
      </w:r>
      <w:r w:rsidRPr="00EC5BEB">
        <w:rPr>
          <w:lang w:val="en-US"/>
        </w:rPr>
        <w:t xml:space="preserve"> = 1849 U.S. LEXIS </w:t>
      </w:r>
      <w:r w:rsidRPr="000D40C7">
        <w:rPr>
          <w:lang w:val="en-US"/>
        </w:rPr>
        <w:t>337, 38</w:t>
      </w:r>
      <w:r w:rsidRPr="00EC5BEB">
        <w:rPr>
          <w:lang w:val="en-US"/>
        </w:rPr>
        <w:t xml:space="preserve"> = 7 HOW </w:t>
      </w:r>
      <w:r w:rsidRPr="000D40C7">
        <w:rPr>
          <w:lang w:val="en-US"/>
        </w:rPr>
        <w:t>1 (1849)</w:t>
      </w:r>
      <w:r>
        <w:rPr>
          <w:lang w:val="en-US"/>
        </w:rPr>
        <w:t>.</w:t>
      </w:r>
    </w:p>
  </w:footnote>
  <w:footnote w:id="280">
    <w:p w14:paraId="4C8075DE" w14:textId="77777777" w:rsidR="00074551" w:rsidRPr="000D40C7" w:rsidRDefault="00074551" w:rsidP="00074551">
      <w:pPr>
        <w:pStyle w:val="Funotentext"/>
        <w:rPr>
          <w:lang w:val="en-US"/>
        </w:rPr>
      </w:pPr>
      <w:r>
        <w:rPr>
          <w:rStyle w:val="Funotenzeichen"/>
        </w:rPr>
        <w:footnoteRef/>
      </w:r>
      <w:r w:rsidRPr="000D40C7">
        <w:rPr>
          <w:lang w:val="en-US"/>
        </w:rPr>
        <w:t xml:space="preserve"> </w:t>
      </w:r>
      <w:r w:rsidRPr="00546F93">
        <w:rPr>
          <w:i/>
          <w:lang w:val="en-US"/>
        </w:rPr>
        <w:t>Luther v. Borden</w:t>
      </w:r>
      <w:r w:rsidRPr="000D40C7">
        <w:rPr>
          <w:lang w:val="en-US"/>
        </w:rPr>
        <w:t>, 48 U.S. 1, 34</w:t>
      </w:r>
      <w:r>
        <w:rPr>
          <w:lang w:val="en-US"/>
        </w:rPr>
        <w:t xml:space="preserve"> = 12 L. Ed. </w:t>
      </w:r>
      <w:r w:rsidRPr="000D40C7">
        <w:rPr>
          <w:lang w:val="en-US"/>
        </w:rPr>
        <w:t>581, 595</w:t>
      </w:r>
      <w:r w:rsidRPr="00EC5BEB">
        <w:rPr>
          <w:lang w:val="en-US"/>
        </w:rPr>
        <w:t xml:space="preserve"> = 1849 U.S. LEXIS </w:t>
      </w:r>
      <w:r w:rsidRPr="000D40C7">
        <w:rPr>
          <w:lang w:val="en-US"/>
        </w:rPr>
        <w:t>337, 38</w:t>
      </w:r>
      <w:r w:rsidRPr="00EC5BEB">
        <w:rPr>
          <w:lang w:val="en-US"/>
        </w:rPr>
        <w:t xml:space="preserve"> = 7 HOW </w:t>
      </w:r>
      <w:r w:rsidRPr="000D40C7">
        <w:rPr>
          <w:lang w:val="en-US"/>
        </w:rPr>
        <w:t>1 (1849)</w:t>
      </w:r>
      <w:r>
        <w:rPr>
          <w:lang w:val="en-US"/>
        </w:rPr>
        <w:t>.</w:t>
      </w:r>
    </w:p>
  </w:footnote>
  <w:footnote w:id="281">
    <w:p w14:paraId="77369EBC" w14:textId="77777777" w:rsidR="00074551" w:rsidRPr="004E0D30" w:rsidRDefault="00074551" w:rsidP="00074551">
      <w:pPr>
        <w:pStyle w:val="Funotentext"/>
        <w:rPr>
          <w:lang w:val="en-US"/>
        </w:rPr>
      </w:pPr>
      <w:r>
        <w:rPr>
          <w:rStyle w:val="Funotenzeichen"/>
        </w:rPr>
        <w:footnoteRef/>
      </w:r>
      <w:r w:rsidRPr="004E0D30">
        <w:rPr>
          <w:lang w:val="en-US"/>
        </w:rPr>
        <w:t xml:space="preserve"> </w:t>
      </w:r>
      <w:r w:rsidRPr="00546F93">
        <w:rPr>
          <w:i/>
          <w:lang w:val="en-US"/>
        </w:rPr>
        <w:t>Luther v. Borden</w:t>
      </w:r>
      <w:r w:rsidRPr="004E0D30">
        <w:rPr>
          <w:lang w:val="en-US"/>
        </w:rPr>
        <w:t>, 48 U.S. 1, 34</w:t>
      </w:r>
      <w:r>
        <w:rPr>
          <w:lang w:val="en-US"/>
        </w:rPr>
        <w:t xml:space="preserve"> = 12 L. Ed. </w:t>
      </w:r>
      <w:r w:rsidRPr="004E0D30">
        <w:rPr>
          <w:lang w:val="en-US"/>
        </w:rPr>
        <w:t>581, 595</w:t>
      </w:r>
      <w:r w:rsidRPr="00EC5BEB">
        <w:rPr>
          <w:lang w:val="en-US"/>
        </w:rPr>
        <w:t xml:space="preserve"> = 1849 U.S. LEXIS </w:t>
      </w:r>
      <w:r w:rsidRPr="004E0D30">
        <w:rPr>
          <w:lang w:val="en-US"/>
        </w:rPr>
        <w:t>337, 38</w:t>
      </w:r>
      <w:r w:rsidRPr="00EC5BEB">
        <w:rPr>
          <w:lang w:val="en-US"/>
        </w:rPr>
        <w:t xml:space="preserve"> = 7 HOW </w:t>
      </w:r>
      <w:r w:rsidRPr="004E0D30">
        <w:rPr>
          <w:lang w:val="en-US"/>
        </w:rPr>
        <w:t>1 (1849)</w:t>
      </w:r>
      <w:r>
        <w:rPr>
          <w:lang w:val="en-US"/>
        </w:rPr>
        <w:t>.</w:t>
      </w:r>
    </w:p>
  </w:footnote>
  <w:footnote w:id="282">
    <w:p w14:paraId="05749161" w14:textId="77777777" w:rsidR="00074551" w:rsidRPr="004B48B2" w:rsidRDefault="00074551" w:rsidP="00074551">
      <w:pPr>
        <w:pStyle w:val="Funotentext"/>
        <w:rPr>
          <w:lang w:val="en-US"/>
        </w:rPr>
      </w:pPr>
      <w:r>
        <w:rPr>
          <w:rStyle w:val="Funotenzeichen"/>
        </w:rPr>
        <w:footnoteRef/>
      </w:r>
      <w:r w:rsidRPr="004B48B2">
        <w:rPr>
          <w:lang w:val="en-US"/>
        </w:rPr>
        <w:t xml:space="preserve"> </w:t>
      </w:r>
      <w:r w:rsidRPr="00546F93">
        <w:rPr>
          <w:i/>
          <w:lang w:val="en-US"/>
        </w:rPr>
        <w:t>Luther v. Borden</w:t>
      </w:r>
      <w:r w:rsidRPr="004B48B2">
        <w:rPr>
          <w:lang w:val="en-US"/>
        </w:rPr>
        <w:t>, 48 U.S. 1, 34</w:t>
      </w:r>
      <w:r>
        <w:rPr>
          <w:lang w:val="en-US"/>
        </w:rPr>
        <w:t xml:space="preserve"> = 12 L. Ed. </w:t>
      </w:r>
      <w:r w:rsidRPr="004B48B2">
        <w:rPr>
          <w:lang w:val="en-US"/>
        </w:rPr>
        <w:t>581, 595</w:t>
      </w:r>
      <w:r w:rsidRPr="00EC5BEB">
        <w:rPr>
          <w:lang w:val="en-US"/>
        </w:rPr>
        <w:t xml:space="preserve"> = 1849 U.S. LEXIS </w:t>
      </w:r>
      <w:r w:rsidRPr="004B48B2">
        <w:rPr>
          <w:lang w:val="en-US"/>
        </w:rPr>
        <w:t>337, 12</w:t>
      </w:r>
      <w:r w:rsidRPr="00EC5BEB">
        <w:rPr>
          <w:lang w:val="en-US"/>
        </w:rPr>
        <w:t xml:space="preserve"> = 7 HOW </w:t>
      </w:r>
      <w:r w:rsidRPr="004B48B2">
        <w:rPr>
          <w:lang w:val="en-US"/>
        </w:rPr>
        <w:t>1 (1849)</w:t>
      </w:r>
      <w:r>
        <w:rPr>
          <w:lang w:val="en-US"/>
        </w:rPr>
        <w:t>.</w:t>
      </w:r>
    </w:p>
  </w:footnote>
  <w:footnote w:id="283">
    <w:p w14:paraId="63F9EC1C" w14:textId="77777777" w:rsidR="00074551" w:rsidRPr="004E0D30" w:rsidRDefault="00074551" w:rsidP="00074551">
      <w:pPr>
        <w:pStyle w:val="Funotentext"/>
        <w:rPr>
          <w:lang w:val="en-US"/>
        </w:rPr>
      </w:pPr>
      <w:r>
        <w:rPr>
          <w:rStyle w:val="Funotenzeichen"/>
        </w:rPr>
        <w:footnoteRef/>
      </w:r>
      <w:r w:rsidRPr="004E0D30">
        <w:rPr>
          <w:lang w:val="en-US"/>
        </w:rPr>
        <w:t xml:space="preserve"> </w:t>
      </w:r>
      <w:r w:rsidRPr="00546F93">
        <w:rPr>
          <w:i/>
          <w:lang w:val="en-US"/>
        </w:rPr>
        <w:t>Luther v. Borden</w:t>
      </w:r>
      <w:r w:rsidRPr="004E0D30">
        <w:rPr>
          <w:lang w:val="en-US"/>
        </w:rPr>
        <w:t>, 48 U.S. 1, 34</w:t>
      </w:r>
      <w:r>
        <w:rPr>
          <w:lang w:val="en-US"/>
        </w:rPr>
        <w:t xml:space="preserve"> = 12 L. Ed. </w:t>
      </w:r>
      <w:r w:rsidRPr="004E0D30">
        <w:rPr>
          <w:lang w:val="en-US"/>
        </w:rPr>
        <w:t>581, 595</w:t>
      </w:r>
      <w:r w:rsidRPr="00EC5BEB">
        <w:rPr>
          <w:lang w:val="en-US"/>
        </w:rPr>
        <w:t xml:space="preserve"> = 1849 U.S. LEXIS </w:t>
      </w:r>
      <w:r w:rsidRPr="004E0D30">
        <w:rPr>
          <w:lang w:val="en-US"/>
        </w:rPr>
        <w:t>337, 43</w:t>
      </w:r>
      <w:r w:rsidRPr="00EC5BEB">
        <w:rPr>
          <w:lang w:val="en-US"/>
        </w:rPr>
        <w:t xml:space="preserve"> = 7 HOW </w:t>
      </w:r>
      <w:r w:rsidRPr="004E0D30">
        <w:rPr>
          <w:lang w:val="en-US"/>
        </w:rPr>
        <w:t>1 (1849)</w:t>
      </w:r>
      <w:r>
        <w:rPr>
          <w:lang w:val="en-US"/>
        </w:rPr>
        <w:t>.</w:t>
      </w:r>
    </w:p>
  </w:footnote>
  <w:footnote w:id="284">
    <w:p w14:paraId="05E3DF05" w14:textId="77777777" w:rsidR="00074551" w:rsidRPr="00070685" w:rsidRDefault="00074551" w:rsidP="00074551">
      <w:pPr>
        <w:pStyle w:val="Funotentext"/>
        <w:rPr>
          <w:lang w:val="en-US"/>
        </w:rPr>
      </w:pPr>
      <w:r>
        <w:rPr>
          <w:rStyle w:val="Funotenzeichen"/>
        </w:rPr>
        <w:footnoteRef/>
      </w:r>
      <w:r w:rsidRPr="00070685">
        <w:rPr>
          <w:lang w:val="en-US"/>
        </w:rPr>
        <w:t xml:space="preserve"> „The act of 1837 purported to carry into effect the injunctions in the constitution. It adopted the words of the constitution, and declared that</w:t>
      </w:r>
      <w:proofErr w:type="gramStart"/>
      <w:r w:rsidRPr="00070685">
        <w:rPr>
          <w:lang w:val="en-US"/>
        </w:rPr>
        <w:t xml:space="preserve">, </w:t>
      </w:r>
      <w:r>
        <w:rPr>
          <w:lang w:val="en-US"/>
        </w:rPr>
        <w:t>,</w:t>
      </w:r>
      <w:r w:rsidRPr="00070685">
        <w:rPr>
          <w:lang w:val="en-US"/>
        </w:rPr>
        <w:t>hereafter</w:t>
      </w:r>
      <w:proofErr w:type="gramEnd"/>
      <w:r w:rsidRPr="00070685">
        <w:rPr>
          <w:lang w:val="en-US"/>
        </w:rPr>
        <w:t xml:space="preserve">, the business of introducing or importing slaves into this state, as merchandise, or for sale, be, and the same is hereby, </w:t>
      </w:r>
      <w:proofErr w:type="gramStart"/>
      <w:r w:rsidRPr="00070685">
        <w:rPr>
          <w:lang w:val="en-US"/>
        </w:rPr>
        <w:t>prohibited.</w:t>
      </w:r>
      <w:r>
        <w:rPr>
          <w:lang w:val="en-US"/>
        </w:rPr>
        <w:t>‘</w:t>
      </w:r>
      <w:proofErr w:type="gramEnd"/>
      <w:r>
        <w:rPr>
          <w:lang w:val="en-US"/>
        </w:rPr>
        <w:t xml:space="preserve">“, </w:t>
      </w:r>
      <w:r w:rsidRPr="00546F93">
        <w:rPr>
          <w:i/>
          <w:lang w:val="en-US"/>
        </w:rPr>
        <w:t>Groves v. Slaughter</w:t>
      </w:r>
      <w:r w:rsidRPr="00070685">
        <w:rPr>
          <w:lang w:val="en-US"/>
        </w:rPr>
        <w:t>, 40 U.S. 449, 496</w:t>
      </w:r>
      <w:r w:rsidRPr="00EC5BEB">
        <w:rPr>
          <w:lang w:val="en-US"/>
        </w:rPr>
        <w:t xml:space="preserve"> = 10 L. Ed. </w:t>
      </w:r>
      <w:r w:rsidRPr="00070685">
        <w:rPr>
          <w:lang w:val="en-US"/>
        </w:rPr>
        <w:t>800, 818</w:t>
      </w:r>
      <w:r w:rsidRPr="00EC5BEB">
        <w:rPr>
          <w:lang w:val="en-US"/>
        </w:rPr>
        <w:t xml:space="preserve"> = 1841 U.S. LEXIS </w:t>
      </w:r>
      <w:r w:rsidRPr="00070685">
        <w:rPr>
          <w:lang w:val="en-US"/>
        </w:rPr>
        <w:t>278, 3 (1841)</w:t>
      </w:r>
      <w:r>
        <w:rPr>
          <w:lang w:val="en-US"/>
        </w:rPr>
        <w:t>.</w:t>
      </w:r>
    </w:p>
  </w:footnote>
  <w:footnote w:id="285">
    <w:p w14:paraId="11EF6510" w14:textId="77777777" w:rsidR="00074551" w:rsidRPr="00F14D95" w:rsidRDefault="00074551" w:rsidP="00074551">
      <w:pPr>
        <w:pStyle w:val="Funotentext"/>
        <w:rPr>
          <w:lang w:val="en-US"/>
        </w:rPr>
      </w:pPr>
      <w:r>
        <w:rPr>
          <w:rStyle w:val="Funotenzeichen"/>
        </w:rPr>
        <w:footnoteRef/>
      </w:r>
      <w:r w:rsidRPr="00F14D95">
        <w:rPr>
          <w:lang w:val="en-US"/>
        </w:rPr>
        <w:t xml:space="preserve"> </w:t>
      </w:r>
      <w:r w:rsidRPr="00546F93">
        <w:rPr>
          <w:i/>
          <w:lang w:val="en-US"/>
        </w:rPr>
        <w:t>Groves v. Slaughter</w:t>
      </w:r>
      <w:r w:rsidRPr="00F14D95">
        <w:rPr>
          <w:lang w:val="en-US"/>
        </w:rPr>
        <w:t>, 40 U.S. 449, 496</w:t>
      </w:r>
      <w:r w:rsidRPr="00EC5BEB">
        <w:rPr>
          <w:lang w:val="en-US"/>
        </w:rPr>
        <w:t xml:space="preserve"> = 10 L. Ed. </w:t>
      </w:r>
      <w:r w:rsidRPr="00F14D95">
        <w:rPr>
          <w:lang w:val="en-US"/>
        </w:rPr>
        <w:t>800, 818</w:t>
      </w:r>
      <w:r w:rsidRPr="00EC5BEB">
        <w:rPr>
          <w:lang w:val="en-US"/>
        </w:rPr>
        <w:t xml:space="preserve"> = 1841 U.S. LEXIS </w:t>
      </w:r>
      <w:r w:rsidRPr="00F14D95">
        <w:rPr>
          <w:lang w:val="en-US"/>
        </w:rPr>
        <w:t>278, 3 (1841)</w:t>
      </w:r>
      <w:r>
        <w:rPr>
          <w:lang w:val="en-US"/>
        </w:rPr>
        <w:t>.</w:t>
      </w:r>
    </w:p>
  </w:footnote>
  <w:footnote w:id="286">
    <w:p w14:paraId="2804CAAA" w14:textId="77777777" w:rsidR="00074551" w:rsidRPr="00146B70" w:rsidRDefault="00074551" w:rsidP="00074551">
      <w:pPr>
        <w:pStyle w:val="Funotentext"/>
        <w:rPr>
          <w:lang w:val="en-US"/>
        </w:rPr>
      </w:pPr>
      <w:r>
        <w:rPr>
          <w:rStyle w:val="Funotenzeichen"/>
        </w:rPr>
        <w:footnoteRef/>
      </w:r>
      <w:r w:rsidRPr="00146B70">
        <w:rPr>
          <w:lang w:val="en-US"/>
        </w:rPr>
        <w:t xml:space="preserve"> </w:t>
      </w:r>
      <w:r w:rsidRPr="00546F93">
        <w:rPr>
          <w:i/>
          <w:lang w:val="en-US"/>
        </w:rPr>
        <w:t>Groves v. Slaughter</w:t>
      </w:r>
      <w:r w:rsidRPr="00146B70">
        <w:rPr>
          <w:lang w:val="en-US"/>
        </w:rPr>
        <w:t>, 40 U.S. 449, 496</w:t>
      </w:r>
      <w:r w:rsidRPr="00EC5BEB">
        <w:rPr>
          <w:lang w:val="en-US"/>
        </w:rPr>
        <w:t xml:space="preserve"> = 10 L. Ed. </w:t>
      </w:r>
      <w:r w:rsidRPr="00146B70">
        <w:rPr>
          <w:lang w:val="en-US"/>
        </w:rPr>
        <w:t>800, 818</w:t>
      </w:r>
      <w:r w:rsidRPr="00EC5BEB">
        <w:rPr>
          <w:lang w:val="en-US"/>
        </w:rPr>
        <w:t xml:space="preserve"> = 1841 U.S. LEXIS </w:t>
      </w:r>
      <w:r w:rsidRPr="00146B70">
        <w:rPr>
          <w:lang w:val="en-US"/>
        </w:rPr>
        <w:t>278, 3 (1841)</w:t>
      </w:r>
      <w:r>
        <w:rPr>
          <w:lang w:val="en-US"/>
        </w:rPr>
        <w:t>.</w:t>
      </w:r>
    </w:p>
  </w:footnote>
  <w:footnote w:id="287">
    <w:p w14:paraId="5ADFA9E8" w14:textId="77777777" w:rsidR="00074551" w:rsidRPr="00A83D0A" w:rsidRDefault="00074551" w:rsidP="00074551">
      <w:pPr>
        <w:pStyle w:val="Funotentext"/>
        <w:rPr>
          <w:lang w:val="en-US"/>
        </w:rPr>
      </w:pPr>
      <w:r>
        <w:rPr>
          <w:rStyle w:val="Funotenzeichen"/>
        </w:rPr>
        <w:footnoteRef/>
      </w:r>
      <w:r w:rsidRPr="00A83D0A">
        <w:rPr>
          <w:lang w:val="en-US"/>
        </w:rPr>
        <w:t xml:space="preserve"> </w:t>
      </w:r>
      <w:r w:rsidRPr="00546F93">
        <w:rPr>
          <w:i/>
          <w:lang w:val="en-US"/>
        </w:rPr>
        <w:t>Groves v. Slaughter</w:t>
      </w:r>
      <w:r w:rsidRPr="00A83D0A">
        <w:rPr>
          <w:lang w:val="en-US"/>
        </w:rPr>
        <w:t>, 40 U.S. 449, 496</w:t>
      </w:r>
      <w:r w:rsidRPr="00EC5BEB">
        <w:rPr>
          <w:lang w:val="en-US"/>
        </w:rPr>
        <w:t xml:space="preserve"> = 10 L. Ed. </w:t>
      </w:r>
      <w:r w:rsidRPr="00A83D0A">
        <w:rPr>
          <w:lang w:val="en-US"/>
        </w:rPr>
        <w:t>800, 818</w:t>
      </w:r>
      <w:r w:rsidRPr="00EC5BEB">
        <w:rPr>
          <w:lang w:val="en-US"/>
        </w:rPr>
        <w:t xml:space="preserve"> = 1841 U.S. LEXIS </w:t>
      </w:r>
      <w:r w:rsidRPr="00A83D0A">
        <w:rPr>
          <w:lang w:val="en-US"/>
        </w:rPr>
        <w:t>278, 270 (1841)</w:t>
      </w:r>
      <w:r>
        <w:rPr>
          <w:lang w:val="en-US"/>
        </w:rPr>
        <w:t>.</w:t>
      </w:r>
    </w:p>
  </w:footnote>
  <w:footnote w:id="288">
    <w:p w14:paraId="5186146E" w14:textId="77777777" w:rsidR="00074551" w:rsidRPr="00A83D0A" w:rsidRDefault="00074551" w:rsidP="00074551">
      <w:pPr>
        <w:pStyle w:val="Funotentext"/>
        <w:rPr>
          <w:lang w:val="en-US"/>
        </w:rPr>
      </w:pPr>
      <w:r>
        <w:rPr>
          <w:rStyle w:val="Funotenzeichen"/>
        </w:rPr>
        <w:footnoteRef/>
      </w:r>
      <w:r w:rsidRPr="00A83D0A">
        <w:rPr>
          <w:lang w:val="en-US"/>
        </w:rPr>
        <w:t xml:space="preserve"> </w:t>
      </w:r>
      <w:r w:rsidRPr="00546F93">
        <w:rPr>
          <w:i/>
          <w:lang w:val="en-US"/>
        </w:rPr>
        <w:t>Groves v. Slaughter</w:t>
      </w:r>
      <w:r w:rsidRPr="00A83D0A">
        <w:rPr>
          <w:lang w:val="en-US"/>
        </w:rPr>
        <w:t>, 40 U.S. 449, 496</w:t>
      </w:r>
      <w:r w:rsidRPr="00EC5BEB">
        <w:rPr>
          <w:lang w:val="en-US"/>
        </w:rPr>
        <w:t xml:space="preserve"> = 10 L. Ed. </w:t>
      </w:r>
      <w:r w:rsidRPr="00A83D0A">
        <w:rPr>
          <w:lang w:val="en-US"/>
        </w:rPr>
        <w:t>800, 818</w:t>
      </w:r>
      <w:r w:rsidRPr="00EC5BEB">
        <w:rPr>
          <w:lang w:val="en-US"/>
        </w:rPr>
        <w:t xml:space="preserve"> = 1841 U.S. LEXIS </w:t>
      </w:r>
      <w:r w:rsidRPr="00A83D0A">
        <w:rPr>
          <w:lang w:val="en-US"/>
        </w:rPr>
        <w:t>278, 270 (1841)</w:t>
      </w:r>
      <w:r>
        <w:rPr>
          <w:lang w:val="en-US"/>
        </w:rPr>
        <w:t>.</w:t>
      </w:r>
    </w:p>
  </w:footnote>
  <w:footnote w:id="289">
    <w:p w14:paraId="1FCA9010" w14:textId="77777777" w:rsidR="00074551" w:rsidRPr="00A83D0A" w:rsidRDefault="00074551" w:rsidP="00074551">
      <w:pPr>
        <w:pStyle w:val="Funotentext"/>
        <w:rPr>
          <w:lang w:val="en-US"/>
        </w:rPr>
      </w:pPr>
      <w:r>
        <w:rPr>
          <w:rStyle w:val="Funotenzeichen"/>
        </w:rPr>
        <w:footnoteRef/>
      </w:r>
      <w:r w:rsidRPr="00A83D0A">
        <w:rPr>
          <w:lang w:val="en-US"/>
        </w:rPr>
        <w:t xml:space="preserve"> </w:t>
      </w:r>
      <w:r w:rsidRPr="00546F93">
        <w:rPr>
          <w:i/>
          <w:lang w:val="en-US"/>
        </w:rPr>
        <w:t>Groves v. Slaughter</w:t>
      </w:r>
      <w:r w:rsidRPr="00A83D0A">
        <w:rPr>
          <w:lang w:val="en-US"/>
        </w:rPr>
        <w:t>, 40 U.S. 449, 496</w:t>
      </w:r>
      <w:r w:rsidRPr="00EC5BEB">
        <w:rPr>
          <w:lang w:val="en-US"/>
        </w:rPr>
        <w:t xml:space="preserve"> = 10 L. Ed. </w:t>
      </w:r>
      <w:r w:rsidRPr="00A83D0A">
        <w:rPr>
          <w:lang w:val="en-US"/>
        </w:rPr>
        <w:t>800, 818</w:t>
      </w:r>
      <w:r w:rsidRPr="00EC5BEB">
        <w:rPr>
          <w:lang w:val="en-US"/>
        </w:rPr>
        <w:t xml:space="preserve"> = 1841 U.S. LEXIS </w:t>
      </w:r>
      <w:r w:rsidRPr="00A83D0A">
        <w:rPr>
          <w:lang w:val="en-US"/>
        </w:rPr>
        <w:t>278, 273 (1841)</w:t>
      </w:r>
      <w:r>
        <w:rPr>
          <w:lang w:val="en-US"/>
        </w:rPr>
        <w:t>.</w:t>
      </w:r>
    </w:p>
  </w:footnote>
  <w:footnote w:id="290">
    <w:p w14:paraId="39056FF5" w14:textId="77777777" w:rsidR="00074551" w:rsidRPr="008032E8" w:rsidRDefault="00074551" w:rsidP="00074551">
      <w:pPr>
        <w:pStyle w:val="Funotentext"/>
        <w:rPr>
          <w:lang w:val="en-US"/>
        </w:rPr>
      </w:pPr>
      <w:r>
        <w:rPr>
          <w:rStyle w:val="Funotenzeichen"/>
          <w:rFonts w:eastAsiaTheme="majorEastAsia"/>
        </w:rPr>
        <w:footnoteRef/>
      </w:r>
      <w:r w:rsidRPr="008032E8">
        <w:rPr>
          <w:lang w:val="en-US"/>
        </w:rPr>
        <w:t xml:space="preserve"> </w:t>
      </w:r>
      <w:proofErr w:type="spellStart"/>
      <w:r>
        <w:rPr>
          <w:lang w:val="en-US"/>
        </w:rPr>
        <w:t>Zuvorderst</w:t>
      </w:r>
      <w:proofErr w:type="spellEnd"/>
      <w:r>
        <w:rPr>
          <w:lang w:val="en-US"/>
        </w:rPr>
        <w:t xml:space="preserve"> </w:t>
      </w:r>
      <w:r w:rsidRPr="00546F93">
        <w:rPr>
          <w:i/>
          <w:lang w:val="en-US"/>
        </w:rPr>
        <w:t>Fong Yue Ting v. United States</w:t>
      </w:r>
      <w:r w:rsidRPr="008032E8">
        <w:rPr>
          <w:lang w:val="en-US"/>
        </w:rPr>
        <w:t xml:space="preserve">, 149 U.S. 698, 712; </w:t>
      </w:r>
      <w:proofErr w:type="spellStart"/>
      <w:r>
        <w:rPr>
          <w:lang w:val="en-US"/>
        </w:rPr>
        <w:t>aber</w:t>
      </w:r>
      <w:proofErr w:type="spellEnd"/>
      <w:r>
        <w:rPr>
          <w:lang w:val="en-US"/>
        </w:rPr>
        <w:t xml:space="preserve"> </w:t>
      </w:r>
      <w:proofErr w:type="spellStart"/>
      <w:r>
        <w:rPr>
          <w:lang w:val="en-US"/>
        </w:rPr>
        <w:t>auch</w:t>
      </w:r>
      <w:proofErr w:type="spellEnd"/>
      <w:r>
        <w:rPr>
          <w:lang w:val="en-US"/>
        </w:rPr>
        <w:t xml:space="preserve">: </w:t>
      </w:r>
      <w:r w:rsidRPr="00B45592">
        <w:rPr>
          <w:i/>
          <w:lang w:val="en-US"/>
        </w:rPr>
        <w:t>United States v. Fisher</w:t>
      </w:r>
      <w:r w:rsidRPr="008032E8">
        <w:rPr>
          <w:lang w:val="en-US"/>
        </w:rPr>
        <w:t xml:space="preserve">, 2 </w:t>
      </w:r>
      <w:proofErr w:type="spellStart"/>
      <w:r w:rsidRPr="008032E8">
        <w:rPr>
          <w:lang w:val="en-US"/>
        </w:rPr>
        <w:t>Cranch</w:t>
      </w:r>
      <w:proofErr w:type="spellEnd"/>
      <w:r w:rsidRPr="008032E8">
        <w:rPr>
          <w:lang w:val="en-US"/>
        </w:rPr>
        <w:t xml:space="preserve">, 358, 395; </w:t>
      </w:r>
      <w:r w:rsidRPr="00B45592">
        <w:rPr>
          <w:i/>
          <w:lang w:val="en-US"/>
        </w:rPr>
        <w:t>Martin v. Hunter’s Lessee</w:t>
      </w:r>
      <w:r w:rsidRPr="008032E8">
        <w:rPr>
          <w:lang w:val="en-US"/>
        </w:rPr>
        <w:t xml:space="preserve">, 1 Wheat. 304, 326; </w:t>
      </w:r>
      <w:r w:rsidRPr="00546F93">
        <w:rPr>
          <w:i/>
          <w:lang w:val="en-US"/>
        </w:rPr>
        <w:t>McCulloch v. Maryland</w:t>
      </w:r>
      <w:r w:rsidRPr="008032E8">
        <w:rPr>
          <w:lang w:val="en-US"/>
        </w:rPr>
        <w:t xml:space="preserve">, </w:t>
      </w:r>
      <w:r w:rsidRPr="00B45592">
        <w:rPr>
          <w:lang w:val="en-IE"/>
        </w:rPr>
        <w:t>17 U.S. 316,</w:t>
      </w:r>
      <w:r w:rsidRPr="00B45592">
        <w:rPr>
          <w:b/>
          <w:bCs/>
          <w:lang w:val="en-IE"/>
        </w:rPr>
        <w:t xml:space="preserve"> </w:t>
      </w:r>
      <w:r w:rsidRPr="008032E8">
        <w:rPr>
          <w:lang w:val="en-US"/>
        </w:rPr>
        <w:t>421</w:t>
      </w:r>
      <w:r>
        <w:rPr>
          <w:lang w:val="en-US"/>
        </w:rPr>
        <w:t>–</w:t>
      </w:r>
      <w:r w:rsidRPr="008032E8">
        <w:rPr>
          <w:lang w:val="en-US"/>
        </w:rPr>
        <w:t xml:space="preserve">422; </w:t>
      </w:r>
      <w:r w:rsidRPr="00546F93">
        <w:rPr>
          <w:i/>
          <w:lang w:val="en-US"/>
        </w:rPr>
        <w:t xml:space="preserve">Ex </w:t>
      </w:r>
      <w:proofErr w:type="spellStart"/>
      <w:r w:rsidRPr="00546F93">
        <w:rPr>
          <w:i/>
          <w:lang w:val="en-US"/>
        </w:rPr>
        <w:t>parte</w:t>
      </w:r>
      <w:proofErr w:type="spellEnd"/>
      <w:r w:rsidRPr="00546F93">
        <w:rPr>
          <w:i/>
          <w:lang w:val="en-US"/>
        </w:rPr>
        <w:t xml:space="preserve"> Curtis</w:t>
      </w:r>
      <w:r w:rsidRPr="008032E8">
        <w:rPr>
          <w:lang w:val="en-US"/>
        </w:rPr>
        <w:t xml:space="preserve">, 106 U.S. 371, 372; </w:t>
      </w:r>
      <w:r w:rsidRPr="00B45592">
        <w:rPr>
          <w:i/>
          <w:lang w:val="en-US"/>
        </w:rPr>
        <w:t>Legal Tender Case</w:t>
      </w:r>
      <w:r w:rsidRPr="008032E8">
        <w:rPr>
          <w:lang w:val="en-US"/>
        </w:rPr>
        <w:t xml:space="preserve">, 110 U.S. 421, 440; </w:t>
      </w:r>
      <w:r w:rsidRPr="00B45592">
        <w:rPr>
          <w:i/>
          <w:lang w:val="en-US"/>
        </w:rPr>
        <w:t>In re Rapier</w:t>
      </w:r>
      <w:r w:rsidRPr="008032E8">
        <w:rPr>
          <w:lang w:val="en-US"/>
        </w:rPr>
        <w:t xml:space="preserve">, 143 U.S. 110, 134; </w:t>
      </w:r>
      <w:r w:rsidRPr="00B45592">
        <w:rPr>
          <w:i/>
          <w:lang w:val="en-US"/>
        </w:rPr>
        <w:t>Logan v. United States</w:t>
      </w:r>
      <w:r w:rsidRPr="008032E8">
        <w:rPr>
          <w:lang w:val="en-US"/>
        </w:rPr>
        <w:t xml:space="preserve">, 144 U.S. 263, 283; </w:t>
      </w:r>
      <w:r w:rsidRPr="00B45592">
        <w:rPr>
          <w:i/>
          <w:lang w:val="en-US"/>
        </w:rPr>
        <w:t>Lottery Case</w:t>
      </w:r>
      <w:r w:rsidRPr="008032E8">
        <w:rPr>
          <w:lang w:val="en-US"/>
        </w:rPr>
        <w:t xml:space="preserve">, </w:t>
      </w:r>
      <w:r w:rsidRPr="00B45592">
        <w:rPr>
          <w:lang w:val="en-IE"/>
        </w:rPr>
        <w:t>188 U.S. 321,</w:t>
      </w:r>
      <w:r w:rsidRPr="00B45592">
        <w:rPr>
          <w:b/>
          <w:bCs/>
          <w:lang w:val="en-IE"/>
        </w:rPr>
        <w:t xml:space="preserve"> </w:t>
      </w:r>
      <w:r w:rsidRPr="00546F93">
        <w:rPr>
          <w:lang w:val="en-US"/>
        </w:rPr>
        <w:t>355;</w:t>
      </w:r>
      <w:r w:rsidRPr="008032E8">
        <w:rPr>
          <w:lang w:val="en-US"/>
        </w:rPr>
        <w:t xml:space="preserve"> </w:t>
      </w:r>
      <w:r w:rsidRPr="00B45592">
        <w:rPr>
          <w:i/>
          <w:lang w:val="en-US"/>
        </w:rPr>
        <w:t>Hoke v. United States</w:t>
      </w:r>
      <w:r w:rsidRPr="008032E8">
        <w:rPr>
          <w:lang w:val="en-US"/>
        </w:rPr>
        <w:t>, 227 U.S. 308, 323</w:t>
      </w:r>
      <w:r>
        <w:rPr>
          <w:lang w:val="en-US"/>
        </w:rPr>
        <w:t xml:space="preserve">; </w:t>
      </w:r>
      <w:r w:rsidRPr="00B45592">
        <w:rPr>
          <w:i/>
          <w:lang w:val="en-US"/>
        </w:rPr>
        <w:t>James Everard’s Breweries v. Day</w:t>
      </w:r>
      <w:r w:rsidRPr="008032E8">
        <w:rPr>
          <w:lang w:val="en-US"/>
        </w:rPr>
        <w:t>, 265 U.S. 545, 559</w:t>
      </w:r>
      <w:r>
        <w:rPr>
          <w:lang w:val="en-US"/>
        </w:rPr>
        <w:t xml:space="preserve"> = 44 S. Ct. </w:t>
      </w:r>
      <w:r w:rsidRPr="008032E8">
        <w:rPr>
          <w:lang w:val="en-US"/>
        </w:rPr>
        <w:t>628, 631</w:t>
      </w:r>
      <w:r>
        <w:rPr>
          <w:lang w:val="en-US"/>
        </w:rPr>
        <w:t xml:space="preserve"> = 68 L. Ed</w:t>
      </w:r>
      <w:r w:rsidRPr="008032E8">
        <w:rPr>
          <w:lang w:val="en-US"/>
        </w:rPr>
        <w:t>. 1174, 1179</w:t>
      </w:r>
      <w:r>
        <w:rPr>
          <w:lang w:val="en-US"/>
        </w:rPr>
        <w:t xml:space="preserve"> = 1924 U.S. LEXIS </w:t>
      </w:r>
      <w:r w:rsidRPr="008032E8">
        <w:rPr>
          <w:lang w:val="en-US"/>
        </w:rPr>
        <w:t>2635, 21</w:t>
      </w:r>
      <w:r>
        <w:rPr>
          <w:lang w:val="en-US"/>
        </w:rPr>
        <w:t>–</w:t>
      </w:r>
      <w:r w:rsidRPr="008032E8">
        <w:rPr>
          <w:lang w:val="en-US"/>
        </w:rPr>
        <w:t>22 (1924)</w:t>
      </w:r>
      <w:r>
        <w:rPr>
          <w:lang w:val="en-US"/>
        </w:rPr>
        <w:t>.</w:t>
      </w:r>
    </w:p>
  </w:footnote>
  <w:footnote w:id="291">
    <w:p w14:paraId="20A4E20C" w14:textId="77777777" w:rsidR="00074551" w:rsidRPr="005B7E15" w:rsidRDefault="00074551" w:rsidP="00074551">
      <w:pPr>
        <w:pStyle w:val="Funotentext"/>
        <w:rPr>
          <w:lang w:val="en-US"/>
        </w:rPr>
      </w:pPr>
      <w:r>
        <w:rPr>
          <w:rStyle w:val="Funotenzeichen"/>
        </w:rPr>
        <w:footnoteRef/>
      </w:r>
      <w:r w:rsidRPr="005B7E15">
        <w:rPr>
          <w:lang w:val="en-US"/>
        </w:rPr>
        <w:t xml:space="preserve"> </w:t>
      </w:r>
      <w:r w:rsidRPr="00B45592">
        <w:rPr>
          <w:i/>
          <w:lang w:val="en-US"/>
        </w:rPr>
        <w:t>Joint Resolution of the Congress, of June 5, 1933</w:t>
      </w:r>
      <w:r>
        <w:rPr>
          <w:lang w:val="en-US"/>
        </w:rPr>
        <w:t>: „</w:t>
      </w:r>
      <w:r w:rsidRPr="005B7E15">
        <w:rPr>
          <w:lang w:val="en-US"/>
        </w:rPr>
        <w:t>JOINT RESOLUTION.</w:t>
      </w:r>
      <w:r>
        <w:rPr>
          <w:lang w:val="en-US"/>
        </w:rPr>
        <w:t xml:space="preserve"> […] ,</w:t>
      </w:r>
      <w:r w:rsidRPr="005B7E15">
        <w:rPr>
          <w:lang w:val="en-US"/>
        </w:rPr>
        <w:t>All coins and currencies of the United States (including Federal Reserve notes and circulating notes of Federal Reserve banks and national banking associations) heretofore or hereafter coined or issued, shall be legal tender for all debts, public and private, public charges, taxes, duties, and dues, except that gold coins, when below the standard weight and limit of tolerance provided by law for the single piece, shall be legal tender only at valuation in proportion to their actual weight.</w:t>
      </w:r>
      <w:r>
        <w:rPr>
          <w:lang w:val="en-US"/>
        </w:rPr>
        <w:t xml:space="preserve"> </w:t>
      </w:r>
      <w:r w:rsidRPr="005B7E15">
        <w:rPr>
          <w:lang w:val="en-US"/>
        </w:rPr>
        <w:t xml:space="preserve">Approved, June 5, 1933, 4:40 </w:t>
      </w:r>
      <w:proofErr w:type="gramStart"/>
      <w:r w:rsidRPr="005B7E15">
        <w:rPr>
          <w:lang w:val="en-US"/>
        </w:rPr>
        <w:t>p.m.</w:t>
      </w:r>
      <w:r>
        <w:rPr>
          <w:lang w:val="en-US"/>
        </w:rPr>
        <w:t>‘</w:t>
      </w:r>
      <w:proofErr w:type="gramEnd"/>
      <w:r>
        <w:rPr>
          <w:lang w:val="en-US"/>
        </w:rPr>
        <w:t xml:space="preserve">“, </w:t>
      </w:r>
      <w:r w:rsidRPr="00B45592">
        <w:rPr>
          <w:i/>
          <w:lang w:val="en-US"/>
        </w:rPr>
        <w:t>Norman v. Baltimore &amp; O. R. Co.</w:t>
      </w:r>
      <w:r w:rsidRPr="005B7E15">
        <w:rPr>
          <w:lang w:val="en-US"/>
        </w:rPr>
        <w:t>, 294 U.S. 240, 291</w:t>
      </w:r>
      <w:r w:rsidRPr="00EC5BEB">
        <w:rPr>
          <w:lang w:val="en-US"/>
        </w:rPr>
        <w:t xml:space="preserve"> = 55 S. Ct. </w:t>
      </w:r>
      <w:r w:rsidRPr="005B7E15">
        <w:rPr>
          <w:lang w:val="en-US"/>
        </w:rPr>
        <w:t>407, 409</w:t>
      </w:r>
      <w:r w:rsidRPr="00EC5BEB">
        <w:rPr>
          <w:lang w:val="en-US"/>
        </w:rPr>
        <w:t xml:space="preserve"> = 79 L. Ed. </w:t>
      </w:r>
      <w:r w:rsidRPr="005B7E15">
        <w:rPr>
          <w:lang w:val="en-US"/>
        </w:rPr>
        <w:t>885, 893</w:t>
      </w:r>
      <w:r w:rsidRPr="00EC5BEB">
        <w:rPr>
          <w:lang w:val="en-US"/>
        </w:rPr>
        <w:t xml:space="preserve"> = 1935 U.S. LEXIS </w:t>
      </w:r>
      <w:r w:rsidRPr="005B7E15">
        <w:rPr>
          <w:lang w:val="en-US"/>
        </w:rPr>
        <w:t>257, 87</w:t>
      </w:r>
      <w:r w:rsidRPr="00EC5BEB">
        <w:rPr>
          <w:lang w:val="en-US"/>
        </w:rPr>
        <w:t xml:space="preserve"> = 95 A.L.R. </w:t>
      </w:r>
      <w:r w:rsidRPr="005B7E15">
        <w:rPr>
          <w:lang w:val="en-US"/>
        </w:rPr>
        <w:t>1352 (1935)</w:t>
      </w:r>
      <w:r>
        <w:rPr>
          <w:lang w:val="en-US"/>
        </w:rPr>
        <w:t>.</w:t>
      </w:r>
    </w:p>
  </w:footnote>
  <w:footnote w:id="292">
    <w:p w14:paraId="7080AA3E" w14:textId="77777777" w:rsidR="00074551" w:rsidRPr="00986120" w:rsidRDefault="00074551" w:rsidP="00074551">
      <w:pPr>
        <w:pStyle w:val="Funotentext"/>
        <w:rPr>
          <w:lang w:val="en-US"/>
        </w:rPr>
      </w:pPr>
      <w:r>
        <w:rPr>
          <w:rStyle w:val="Funotenzeichen"/>
        </w:rPr>
        <w:footnoteRef/>
      </w:r>
      <w:r>
        <w:rPr>
          <w:lang w:val="en-US"/>
        </w:rPr>
        <w:t xml:space="preserve"> </w:t>
      </w:r>
      <w:r w:rsidRPr="00546F93">
        <w:rPr>
          <w:i/>
          <w:lang w:val="en-US"/>
        </w:rPr>
        <w:t>Norman v. Baltimore &amp; O. R. Co.</w:t>
      </w:r>
      <w:r w:rsidRPr="00986120">
        <w:rPr>
          <w:lang w:val="en-US"/>
        </w:rPr>
        <w:t>, 294 U.S. 240, 291</w:t>
      </w:r>
      <w:r w:rsidRPr="00EC5BEB">
        <w:rPr>
          <w:lang w:val="en-US"/>
        </w:rPr>
        <w:t xml:space="preserve"> = 55 S. Ct. </w:t>
      </w:r>
      <w:r w:rsidRPr="00986120">
        <w:rPr>
          <w:lang w:val="en-US"/>
        </w:rPr>
        <w:t>407, 409</w:t>
      </w:r>
      <w:r w:rsidRPr="00EC5BEB">
        <w:rPr>
          <w:lang w:val="en-US"/>
        </w:rPr>
        <w:t xml:space="preserve"> = 79 L. Ed. </w:t>
      </w:r>
      <w:r w:rsidRPr="00986120">
        <w:rPr>
          <w:lang w:val="en-US"/>
        </w:rPr>
        <w:t>885, 893</w:t>
      </w:r>
      <w:r w:rsidRPr="00EC5BEB">
        <w:rPr>
          <w:lang w:val="en-US"/>
        </w:rPr>
        <w:t xml:space="preserve"> = 1935 U.S. LEXIS </w:t>
      </w:r>
      <w:r w:rsidRPr="00986120">
        <w:rPr>
          <w:lang w:val="en-US"/>
        </w:rPr>
        <w:t>257, 1</w:t>
      </w:r>
      <w:r w:rsidRPr="00EC5BEB">
        <w:rPr>
          <w:lang w:val="en-US"/>
        </w:rPr>
        <w:t xml:space="preserve"> = 95 A.L.R. </w:t>
      </w:r>
      <w:r w:rsidRPr="00986120">
        <w:rPr>
          <w:lang w:val="en-US"/>
        </w:rPr>
        <w:t>1352 (1935)</w:t>
      </w:r>
      <w:r>
        <w:rPr>
          <w:lang w:val="en-US"/>
        </w:rPr>
        <w:t>.</w:t>
      </w:r>
    </w:p>
  </w:footnote>
  <w:footnote w:id="293">
    <w:p w14:paraId="130FFC18" w14:textId="77777777" w:rsidR="00074551" w:rsidRPr="0099208F" w:rsidRDefault="00074551" w:rsidP="00074551">
      <w:pPr>
        <w:pStyle w:val="Funotentext"/>
        <w:rPr>
          <w:lang w:val="en-US"/>
        </w:rPr>
      </w:pPr>
      <w:r>
        <w:rPr>
          <w:rStyle w:val="Funotenzeichen"/>
        </w:rPr>
        <w:footnoteRef/>
      </w:r>
      <w:r w:rsidRPr="0099208F">
        <w:rPr>
          <w:lang w:val="en-US"/>
        </w:rPr>
        <w:t xml:space="preserve"> </w:t>
      </w:r>
      <w:r w:rsidRPr="00546F93">
        <w:rPr>
          <w:i/>
          <w:lang w:val="en-US"/>
        </w:rPr>
        <w:t>Norman v. Baltimore &amp; O. R. Co.</w:t>
      </w:r>
      <w:r w:rsidRPr="0099208F">
        <w:rPr>
          <w:lang w:val="en-US"/>
        </w:rPr>
        <w:t>, 294 U.S. 240, 291</w:t>
      </w:r>
      <w:r w:rsidRPr="00EC5BEB">
        <w:rPr>
          <w:lang w:val="en-US"/>
        </w:rPr>
        <w:t xml:space="preserve"> = 55 S. Ct. </w:t>
      </w:r>
      <w:r w:rsidRPr="0099208F">
        <w:rPr>
          <w:lang w:val="en-US"/>
        </w:rPr>
        <w:t>407, 409</w:t>
      </w:r>
      <w:r w:rsidRPr="00EC5BEB">
        <w:rPr>
          <w:lang w:val="en-US"/>
        </w:rPr>
        <w:t xml:space="preserve"> = 79 L. Ed. </w:t>
      </w:r>
      <w:r w:rsidRPr="0099208F">
        <w:rPr>
          <w:lang w:val="en-US"/>
        </w:rPr>
        <w:t>885, 893</w:t>
      </w:r>
      <w:r w:rsidRPr="00EC5BEB">
        <w:rPr>
          <w:lang w:val="en-US"/>
        </w:rPr>
        <w:t xml:space="preserve"> = 1935 U.S. LEXIS </w:t>
      </w:r>
      <w:r w:rsidRPr="0099208F">
        <w:rPr>
          <w:lang w:val="en-US"/>
        </w:rPr>
        <w:t>257, 1</w:t>
      </w:r>
      <w:r w:rsidRPr="00EC5BEB">
        <w:rPr>
          <w:lang w:val="en-US"/>
        </w:rPr>
        <w:t xml:space="preserve"> = 95 A.L.R. </w:t>
      </w:r>
      <w:r w:rsidRPr="0099208F">
        <w:rPr>
          <w:lang w:val="en-US"/>
        </w:rPr>
        <w:t>1352 (1935)</w:t>
      </w:r>
      <w:r>
        <w:rPr>
          <w:lang w:val="en-US"/>
        </w:rPr>
        <w:t>.</w:t>
      </w:r>
    </w:p>
  </w:footnote>
  <w:footnote w:id="294">
    <w:p w14:paraId="6746EA06" w14:textId="77777777" w:rsidR="00074551" w:rsidRPr="003E7984" w:rsidRDefault="00074551" w:rsidP="00074551">
      <w:pPr>
        <w:pStyle w:val="Funotentext"/>
        <w:rPr>
          <w:lang w:val="en-US"/>
        </w:rPr>
      </w:pPr>
      <w:r>
        <w:rPr>
          <w:rStyle w:val="Funotenzeichen"/>
        </w:rPr>
        <w:footnoteRef/>
      </w:r>
      <w:r w:rsidRPr="003E7984">
        <w:rPr>
          <w:lang w:val="en-US"/>
        </w:rPr>
        <w:t xml:space="preserve"> </w:t>
      </w:r>
      <w:r w:rsidRPr="00546F93">
        <w:rPr>
          <w:i/>
          <w:lang w:val="en-US"/>
        </w:rPr>
        <w:t>Norman v. Baltimore &amp; O. R. Co.</w:t>
      </w:r>
      <w:r w:rsidRPr="003E7984">
        <w:rPr>
          <w:lang w:val="en-US"/>
        </w:rPr>
        <w:t>, 294 U.S. 240, 291</w:t>
      </w:r>
      <w:r w:rsidRPr="00EC5BEB">
        <w:rPr>
          <w:lang w:val="en-US"/>
        </w:rPr>
        <w:t xml:space="preserve"> = 55 S. Ct. </w:t>
      </w:r>
      <w:r w:rsidRPr="003E7984">
        <w:rPr>
          <w:lang w:val="en-US"/>
        </w:rPr>
        <w:t>407, 409</w:t>
      </w:r>
      <w:r w:rsidRPr="00EC5BEB">
        <w:rPr>
          <w:lang w:val="en-US"/>
        </w:rPr>
        <w:t xml:space="preserve"> = 79 L. Ed. </w:t>
      </w:r>
      <w:r w:rsidRPr="003E7984">
        <w:rPr>
          <w:lang w:val="en-US"/>
        </w:rPr>
        <w:t>885, 893</w:t>
      </w:r>
      <w:r w:rsidRPr="00EC5BEB">
        <w:rPr>
          <w:lang w:val="en-US"/>
        </w:rPr>
        <w:t xml:space="preserve"> = 1935 U.S. LEXIS </w:t>
      </w:r>
      <w:r w:rsidRPr="003E7984">
        <w:rPr>
          <w:lang w:val="en-US"/>
        </w:rPr>
        <w:t>257, 28</w:t>
      </w:r>
      <w:r w:rsidRPr="00EC5BEB">
        <w:rPr>
          <w:lang w:val="en-US"/>
        </w:rPr>
        <w:t xml:space="preserve"> = 95 A.L.R. </w:t>
      </w:r>
      <w:r w:rsidRPr="003E7984">
        <w:rPr>
          <w:lang w:val="en-US"/>
        </w:rPr>
        <w:t>1352 (1935</w:t>
      </w:r>
      <w:r>
        <w:rPr>
          <w:lang w:val="en-US"/>
        </w:rPr>
        <w:t>).</w:t>
      </w:r>
    </w:p>
  </w:footnote>
  <w:footnote w:id="295">
    <w:p w14:paraId="268CE90F" w14:textId="77777777" w:rsidR="00074551" w:rsidRPr="004F22A9" w:rsidRDefault="00074551" w:rsidP="00074551">
      <w:pPr>
        <w:pStyle w:val="Funotentext"/>
        <w:rPr>
          <w:lang w:val="en-US"/>
        </w:rPr>
      </w:pPr>
      <w:r>
        <w:rPr>
          <w:rStyle w:val="Funotenzeichen"/>
          <w:rFonts w:eastAsiaTheme="majorEastAsia"/>
        </w:rPr>
        <w:footnoteRef/>
      </w:r>
      <w:r>
        <w:rPr>
          <w:lang w:val="en-US"/>
        </w:rPr>
        <w:t xml:space="preserve"> </w:t>
      </w:r>
      <w:r w:rsidRPr="00546F93">
        <w:rPr>
          <w:i/>
          <w:lang w:val="en-US"/>
        </w:rPr>
        <w:t>Blake v. McClung</w:t>
      </w:r>
      <w:r w:rsidRPr="004F22A9">
        <w:rPr>
          <w:lang w:val="en-US"/>
        </w:rPr>
        <w:t>, 172 U.S. 239, 240</w:t>
      </w:r>
      <w:r w:rsidRPr="00EC5BEB">
        <w:rPr>
          <w:lang w:val="en-US"/>
        </w:rPr>
        <w:t xml:space="preserve"> = 19 S. Ct. </w:t>
      </w:r>
      <w:r w:rsidRPr="004F22A9">
        <w:rPr>
          <w:lang w:val="en-US"/>
        </w:rPr>
        <w:t>165, 166</w:t>
      </w:r>
      <w:r w:rsidRPr="00EC5BEB">
        <w:rPr>
          <w:lang w:val="en-US"/>
        </w:rPr>
        <w:t xml:space="preserve"> = 43 L. Ed. </w:t>
      </w:r>
      <w:r w:rsidRPr="004F22A9">
        <w:rPr>
          <w:lang w:val="en-US"/>
        </w:rPr>
        <w:t>432, 433</w:t>
      </w:r>
      <w:r w:rsidRPr="00EC5BEB">
        <w:rPr>
          <w:lang w:val="en-US"/>
        </w:rPr>
        <w:t xml:space="preserve"> = 1898 U.S. LEXIS </w:t>
      </w:r>
      <w:r w:rsidRPr="004F22A9">
        <w:rPr>
          <w:lang w:val="en-US"/>
        </w:rPr>
        <w:t>1651, 1 (1898)</w:t>
      </w:r>
      <w:r>
        <w:rPr>
          <w:lang w:val="en-US"/>
        </w:rPr>
        <w:t>.</w:t>
      </w:r>
    </w:p>
  </w:footnote>
  <w:footnote w:id="296">
    <w:p w14:paraId="06D5A81D" w14:textId="77777777" w:rsidR="00074551" w:rsidRPr="00D97FB6" w:rsidRDefault="00074551" w:rsidP="00074551">
      <w:pPr>
        <w:pStyle w:val="Funotentext"/>
        <w:rPr>
          <w:lang w:val="en-US"/>
        </w:rPr>
      </w:pPr>
      <w:r>
        <w:rPr>
          <w:rStyle w:val="Funotenzeichen"/>
          <w:rFonts w:eastAsiaTheme="majorEastAsia"/>
        </w:rPr>
        <w:footnoteRef/>
      </w:r>
      <w:r w:rsidRPr="00D97FB6">
        <w:rPr>
          <w:lang w:val="en-US"/>
        </w:rPr>
        <w:t xml:space="preserve"> </w:t>
      </w:r>
      <w:r w:rsidRPr="00546F93">
        <w:rPr>
          <w:i/>
          <w:lang w:val="en-US"/>
        </w:rPr>
        <w:t>Blake v. McClung</w:t>
      </w:r>
      <w:r w:rsidRPr="00D97FB6">
        <w:rPr>
          <w:lang w:val="en-US"/>
        </w:rPr>
        <w:t>, 172 U.S. 239, 254</w:t>
      </w:r>
      <w:r w:rsidRPr="00EC5BEB">
        <w:rPr>
          <w:lang w:val="en-US"/>
        </w:rPr>
        <w:t xml:space="preserve"> = 19 S. Ct. </w:t>
      </w:r>
      <w:r w:rsidRPr="00D97FB6">
        <w:rPr>
          <w:lang w:val="en-US"/>
        </w:rPr>
        <w:t>165, 171</w:t>
      </w:r>
      <w:r w:rsidRPr="00EC5BEB">
        <w:rPr>
          <w:lang w:val="en-US"/>
        </w:rPr>
        <w:t xml:space="preserve"> = 43 L. Ed. </w:t>
      </w:r>
      <w:r w:rsidRPr="00D97FB6">
        <w:rPr>
          <w:lang w:val="en-US"/>
        </w:rPr>
        <w:t>432, 438</w:t>
      </w:r>
      <w:r w:rsidRPr="00EC5BEB">
        <w:rPr>
          <w:lang w:val="en-US"/>
        </w:rPr>
        <w:t xml:space="preserve"> = 1898 U.S. LEXIS </w:t>
      </w:r>
      <w:r w:rsidRPr="00D97FB6">
        <w:rPr>
          <w:lang w:val="en-US"/>
        </w:rPr>
        <w:t>1651, 31 (1898)</w:t>
      </w:r>
      <w:r>
        <w:rPr>
          <w:lang w:val="en-US"/>
        </w:rPr>
        <w:t>.</w:t>
      </w:r>
    </w:p>
  </w:footnote>
  <w:footnote w:id="297">
    <w:p w14:paraId="4D9F14D6" w14:textId="77777777" w:rsidR="00074551" w:rsidRPr="00D97FB6" w:rsidRDefault="00074551" w:rsidP="00074551">
      <w:pPr>
        <w:pStyle w:val="Funotentext"/>
        <w:rPr>
          <w:lang w:val="en-US"/>
        </w:rPr>
      </w:pPr>
      <w:r>
        <w:rPr>
          <w:rStyle w:val="Funotenzeichen"/>
          <w:rFonts w:eastAsiaTheme="majorEastAsia"/>
        </w:rPr>
        <w:footnoteRef/>
      </w:r>
      <w:r w:rsidRPr="00D97FB6">
        <w:rPr>
          <w:lang w:val="en-US"/>
        </w:rPr>
        <w:t xml:space="preserve"> </w:t>
      </w:r>
      <w:r w:rsidRPr="00546F93">
        <w:rPr>
          <w:i/>
          <w:lang w:val="en-US"/>
        </w:rPr>
        <w:t>Paul v. Virginia</w:t>
      </w:r>
      <w:r>
        <w:rPr>
          <w:lang w:val="en-US"/>
        </w:rPr>
        <w:t xml:space="preserve">, 8 Wall. </w:t>
      </w:r>
      <w:r w:rsidRPr="00D97FB6">
        <w:rPr>
          <w:lang w:val="en-US"/>
        </w:rPr>
        <w:t xml:space="preserve">168, 180; </w:t>
      </w:r>
      <w:r w:rsidRPr="00546F93">
        <w:rPr>
          <w:i/>
          <w:lang w:val="en-US"/>
        </w:rPr>
        <w:t>Blake v. McClung</w:t>
      </w:r>
      <w:r w:rsidRPr="00D97FB6">
        <w:rPr>
          <w:lang w:val="en-US"/>
        </w:rPr>
        <w:t>, 172 U.S. 239, 250</w:t>
      </w:r>
      <w:r w:rsidRPr="00EC5BEB">
        <w:rPr>
          <w:lang w:val="en-US"/>
        </w:rPr>
        <w:t xml:space="preserve"> = 19 S. Ct. </w:t>
      </w:r>
      <w:r w:rsidRPr="00D97FB6">
        <w:rPr>
          <w:lang w:val="en-US"/>
        </w:rPr>
        <w:t>165, 170</w:t>
      </w:r>
      <w:r w:rsidRPr="00EC5BEB">
        <w:rPr>
          <w:lang w:val="en-US"/>
        </w:rPr>
        <w:t xml:space="preserve"> = 43 L. Ed. </w:t>
      </w:r>
      <w:r w:rsidRPr="00D97FB6">
        <w:rPr>
          <w:lang w:val="en-US"/>
        </w:rPr>
        <w:t>432, 436</w:t>
      </w:r>
      <w:r w:rsidRPr="00EC5BEB">
        <w:rPr>
          <w:lang w:val="en-US"/>
        </w:rPr>
        <w:t xml:space="preserve"> = 1898 U.S. LEXIS </w:t>
      </w:r>
      <w:r w:rsidRPr="00D97FB6">
        <w:rPr>
          <w:lang w:val="en-US"/>
        </w:rPr>
        <w:t>1651, 23 (1898).</w:t>
      </w:r>
    </w:p>
  </w:footnote>
  <w:footnote w:id="298">
    <w:p w14:paraId="6AEF2756" w14:textId="77777777" w:rsidR="00074551" w:rsidRPr="00D97FB6" w:rsidRDefault="00074551" w:rsidP="00074551">
      <w:pPr>
        <w:pStyle w:val="Funotentext"/>
        <w:rPr>
          <w:lang w:val="en-US"/>
        </w:rPr>
      </w:pPr>
      <w:r>
        <w:rPr>
          <w:rStyle w:val="Funotenzeichen"/>
          <w:rFonts w:eastAsiaTheme="majorEastAsia"/>
        </w:rPr>
        <w:footnoteRef/>
      </w:r>
      <w:r w:rsidRPr="00D97FB6">
        <w:rPr>
          <w:lang w:val="en-US"/>
        </w:rPr>
        <w:t xml:space="preserve"> </w:t>
      </w:r>
      <w:r w:rsidRPr="00546F93">
        <w:rPr>
          <w:i/>
          <w:lang w:val="en-US"/>
        </w:rPr>
        <w:t>Chambers v. Baltimore &amp; O. R. Co.</w:t>
      </w:r>
      <w:r w:rsidRPr="00D97FB6">
        <w:rPr>
          <w:lang w:val="en-US"/>
        </w:rPr>
        <w:t>, 207 U.S. 142, 149</w:t>
      </w:r>
      <w:r>
        <w:rPr>
          <w:lang w:val="en-US"/>
        </w:rPr>
        <w:t xml:space="preserve"> = 28 S. Ct. </w:t>
      </w:r>
      <w:r w:rsidRPr="00D97FB6">
        <w:rPr>
          <w:lang w:val="en-US"/>
        </w:rPr>
        <w:t>34, 35</w:t>
      </w:r>
      <w:r>
        <w:rPr>
          <w:lang w:val="en-US"/>
        </w:rPr>
        <w:t xml:space="preserve"> = 52 L. Ed. </w:t>
      </w:r>
      <w:r w:rsidRPr="00D97FB6">
        <w:rPr>
          <w:lang w:val="en-US"/>
        </w:rPr>
        <w:t>143, 146</w:t>
      </w:r>
      <w:r w:rsidRPr="00EC5BEB">
        <w:rPr>
          <w:lang w:val="en-US"/>
        </w:rPr>
        <w:t xml:space="preserve"> = 1907 U.S. LEXIS </w:t>
      </w:r>
      <w:r w:rsidRPr="00D97FB6">
        <w:rPr>
          <w:lang w:val="en-US"/>
        </w:rPr>
        <w:t>1210, 13</w:t>
      </w:r>
      <w:r w:rsidRPr="00EC5BEB">
        <w:rPr>
          <w:lang w:val="en-US"/>
        </w:rPr>
        <w:t xml:space="preserve"> = 6 Ohio L. Rep. </w:t>
      </w:r>
      <w:r w:rsidRPr="00D97FB6">
        <w:rPr>
          <w:lang w:val="en-US"/>
        </w:rPr>
        <w:t>498 (1907)</w:t>
      </w:r>
      <w:r>
        <w:rPr>
          <w:lang w:val="en-US"/>
        </w:rPr>
        <w:t>.</w:t>
      </w:r>
    </w:p>
  </w:footnote>
  <w:footnote w:id="299">
    <w:p w14:paraId="73C50706" w14:textId="3E17C655" w:rsidR="00074551" w:rsidRPr="00D97FB6" w:rsidRDefault="00074551" w:rsidP="00074551">
      <w:pPr>
        <w:pStyle w:val="Funotentext"/>
        <w:rPr>
          <w:lang w:val="en-US"/>
        </w:rPr>
      </w:pPr>
      <w:r>
        <w:rPr>
          <w:rStyle w:val="Funotenzeichen"/>
          <w:rFonts w:eastAsiaTheme="majorEastAsia"/>
        </w:rPr>
        <w:footnoteRef/>
      </w:r>
      <w:r w:rsidRPr="00D97FB6">
        <w:rPr>
          <w:lang w:val="en-US"/>
        </w:rPr>
        <w:t xml:space="preserve"> </w:t>
      </w:r>
      <w:r w:rsidR="005C15A3" w:rsidRPr="00546F93">
        <w:rPr>
          <w:i/>
          <w:lang w:val="en-US"/>
        </w:rPr>
        <w:t>Chambers v. Baltimore &amp; O. R. Co.</w:t>
      </w:r>
      <w:r w:rsidR="005C15A3" w:rsidRPr="00D97FB6">
        <w:rPr>
          <w:lang w:val="en-US"/>
        </w:rPr>
        <w:t>, 207 U.S. 142, 1</w:t>
      </w:r>
      <w:r w:rsidR="007543A5">
        <w:rPr>
          <w:lang w:val="en-US"/>
        </w:rPr>
        <w:t>55</w:t>
      </w:r>
      <w:r w:rsidR="005C15A3">
        <w:rPr>
          <w:lang w:val="en-US"/>
        </w:rPr>
        <w:t xml:space="preserve"> = 28 S. Ct. </w:t>
      </w:r>
      <w:r w:rsidR="005C15A3" w:rsidRPr="00D97FB6">
        <w:rPr>
          <w:lang w:val="en-US"/>
        </w:rPr>
        <w:t>34, 35</w:t>
      </w:r>
      <w:r w:rsidR="005C15A3">
        <w:rPr>
          <w:lang w:val="en-US"/>
        </w:rPr>
        <w:t xml:space="preserve"> = 52 L. Ed. </w:t>
      </w:r>
      <w:r w:rsidR="005C15A3" w:rsidRPr="00D97FB6">
        <w:rPr>
          <w:lang w:val="en-US"/>
        </w:rPr>
        <w:t>143, 146</w:t>
      </w:r>
      <w:r w:rsidR="005C15A3" w:rsidRPr="00EC5BEB">
        <w:rPr>
          <w:lang w:val="en-US"/>
        </w:rPr>
        <w:t xml:space="preserve"> = 1907 U.S. LEXIS </w:t>
      </w:r>
      <w:r w:rsidR="005C15A3" w:rsidRPr="00D97FB6">
        <w:rPr>
          <w:lang w:val="en-US"/>
        </w:rPr>
        <w:t>1210, 13</w:t>
      </w:r>
      <w:r w:rsidR="005C15A3" w:rsidRPr="00EC5BEB">
        <w:rPr>
          <w:lang w:val="en-US"/>
        </w:rPr>
        <w:t xml:space="preserve"> = 6 Ohio L. Rep. </w:t>
      </w:r>
      <w:r w:rsidR="005C15A3" w:rsidRPr="00D97FB6">
        <w:rPr>
          <w:lang w:val="en-US"/>
        </w:rPr>
        <w:t>498 (1907)</w:t>
      </w:r>
      <w:r w:rsidR="005C15A3">
        <w:rPr>
          <w:lang w:val="en-US"/>
        </w:rPr>
        <w:t xml:space="preserve">, </w:t>
      </w:r>
      <w:r w:rsidRPr="00546F93">
        <w:rPr>
          <w:i/>
          <w:lang w:val="en-US"/>
        </w:rPr>
        <w:t>Paul v. Virginia</w:t>
      </w:r>
      <w:r>
        <w:rPr>
          <w:lang w:val="en-US"/>
        </w:rPr>
        <w:t xml:space="preserve">, 8 Wall. </w:t>
      </w:r>
      <w:r w:rsidRPr="00D97FB6">
        <w:rPr>
          <w:lang w:val="en-US"/>
        </w:rPr>
        <w:t xml:space="preserve">168, 180; </w:t>
      </w:r>
      <w:r w:rsidRPr="00546F93">
        <w:rPr>
          <w:i/>
          <w:lang w:val="en-US"/>
        </w:rPr>
        <w:t>Blake v. McClung</w:t>
      </w:r>
      <w:r w:rsidRPr="00D97FB6">
        <w:rPr>
          <w:lang w:val="en-US"/>
        </w:rPr>
        <w:t>, 172 U.S. 239, 250</w:t>
      </w:r>
      <w:r w:rsidRPr="00EC5BEB">
        <w:rPr>
          <w:lang w:val="en-US"/>
        </w:rPr>
        <w:t xml:space="preserve"> = 19 S. Ct. </w:t>
      </w:r>
      <w:r w:rsidRPr="00D97FB6">
        <w:rPr>
          <w:lang w:val="en-US"/>
        </w:rPr>
        <w:t>165, 170</w:t>
      </w:r>
      <w:r w:rsidRPr="00EC5BEB">
        <w:rPr>
          <w:lang w:val="en-US"/>
        </w:rPr>
        <w:t xml:space="preserve"> = 43 L. Ed. </w:t>
      </w:r>
      <w:r w:rsidRPr="00D97FB6">
        <w:rPr>
          <w:lang w:val="en-US"/>
        </w:rPr>
        <w:t>432, 436</w:t>
      </w:r>
      <w:r w:rsidRPr="00EC5BEB">
        <w:rPr>
          <w:lang w:val="en-US"/>
        </w:rPr>
        <w:t xml:space="preserve"> = 1898 U.S. LEXIS </w:t>
      </w:r>
      <w:r w:rsidRPr="00D97FB6">
        <w:rPr>
          <w:lang w:val="en-US"/>
        </w:rPr>
        <w:t>1651, 23 (1898).</w:t>
      </w:r>
    </w:p>
  </w:footnote>
  <w:footnote w:id="300">
    <w:p w14:paraId="68AB69E3" w14:textId="77777777" w:rsidR="00074551" w:rsidRPr="00BF2296" w:rsidRDefault="00074551" w:rsidP="00074551">
      <w:pPr>
        <w:pStyle w:val="Funotentext"/>
        <w:rPr>
          <w:lang w:val="en-US"/>
        </w:rPr>
      </w:pPr>
      <w:r>
        <w:rPr>
          <w:rStyle w:val="Funotenzeichen"/>
        </w:rPr>
        <w:footnoteRef/>
      </w:r>
      <w:r w:rsidRPr="00BF2296">
        <w:rPr>
          <w:lang w:val="en-US"/>
        </w:rPr>
        <w:t xml:space="preserve"> </w:t>
      </w:r>
      <w:r w:rsidRPr="00B45592">
        <w:rPr>
          <w:i/>
          <w:lang w:val="en-US"/>
        </w:rPr>
        <w:t>Laws of Pennsylvania</w:t>
      </w:r>
      <w:r w:rsidRPr="00BF2296">
        <w:rPr>
          <w:lang w:val="en-US"/>
        </w:rPr>
        <w:t>, 1885, p. 22, No. 25: „SECTION 1. That no person, firm, or corporate body shall manufacture out of any oleaginous substance or any compound of the same, other than that produced from unadulterated milk or of cream from the same, any article designed to take the place of butter or cheese produced from pure unadulterated milk or cream from the same, or of any imitation or adulterated butter or cheese, nor shall sell or offer for sale, or have in his, her, or their possession, with intent to sell the same, as an article of food.</w:t>
      </w:r>
      <w:r>
        <w:rPr>
          <w:lang w:val="en-US"/>
        </w:rPr>
        <w:t xml:space="preserve"> </w:t>
      </w:r>
      <w:r w:rsidRPr="00BF2296">
        <w:rPr>
          <w:lang w:val="en-US"/>
        </w:rPr>
        <w:t>SECTION 2. Every sale of such article or substance, which is prohibited by the first section of this act, made after this act shall take effect, is hereby declared to be unlawful and void, and no action shall be maintained in any of the courts in this State to recover upon any contract for the sale of any such article or substance.</w:t>
      </w:r>
      <w:r>
        <w:rPr>
          <w:lang w:val="en-US"/>
        </w:rPr>
        <w:t xml:space="preserve"> </w:t>
      </w:r>
      <w:r w:rsidRPr="00BF2296">
        <w:rPr>
          <w:lang w:val="en-US"/>
        </w:rPr>
        <w:t>SECTION 3. Every person, company, firm, or corporate body who shall manufacture, sell, or offer or expose for sale or have in his, her, or their possession with intent to sell, any substance, the manufacture and sale of which is prohibited by the first section of this act, shall, for every such offence, forfeit and pay the sum of one hundred dollars, which shall be recoverable with costs by any person suing in the name of the Commonwealth as debts of like amounts are by law recoverable; one-half of which sum, when so recovered, shall be paid to the proper county treasurer for the use of the county in which suit is brought and the other half to the person or persons at whose instance such a suit shall or may be commenced and prosecuted to recovery.</w:t>
      </w:r>
      <w:r>
        <w:rPr>
          <w:lang w:val="en-US"/>
        </w:rPr>
        <w:t xml:space="preserve"> </w:t>
      </w:r>
      <w:r w:rsidRPr="00BF2296">
        <w:rPr>
          <w:lang w:val="en-US"/>
        </w:rPr>
        <w:t>SECTION 4. Every person who violates the provisions of the first section of this act, shall be deemed guilty of a misdemeanor, and upon conviction shall be punished by a fine of not less than one hundred dollars, nor more than three hundred, or by imprisonment in the county jail for not less than ten nor more than thirty days, or both such fine and imprisonment for the first offence, and imprisonment for one year for every subsequent offence.“</w:t>
      </w:r>
      <w:r>
        <w:rPr>
          <w:lang w:val="en-US"/>
        </w:rPr>
        <w:t xml:space="preserve">, </w:t>
      </w:r>
      <w:r w:rsidRPr="00A15962">
        <w:rPr>
          <w:i/>
          <w:lang w:val="en-US"/>
        </w:rPr>
        <w:t>Powell v. Pennsylvania</w:t>
      </w:r>
      <w:r w:rsidRPr="00BF2296">
        <w:rPr>
          <w:lang w:val="en-US"/>
        </w:rPr>
        <w:t>, 127 U.S. 678, 679</w:t>
      </w:r>
      <w:r>
        <w:rPr>
          <w:lang w:val="en-US"/>
        </w:rPr>
        <w:t>–</w:t>
      </w:r>
      <w:r w:rsidRPr="00BF2296">
        <w:rPr>
          <w:lang w:val="en-US"/>
        </w:rPr>
        <w:t>680</w:t>
      </w:r>
      <w:r>
        <w:rPr>
          <w:lang w:val="en-US"/>
        </w:rPr>
        <w:t xml:space="preserve"> = 8 S. Ct. </w:t>
      </w:r>
      <w:r w:rsidRPr="00BF2296">
        <w:rPr>
          <w:lang w:val="en-US"/>
        </w:rPr>
        <w:t>992, 993</w:t>
      </w:r>
      <w:r w:rsidRPr="00EC5BEB">
        <w:rPr>
          <w:lang w:val="en-US"/>
        </w:rPr>
        <w:t xml:space="preserve"> = 32 L. Ed. </w:t>
      </w:r>
      <w:r w:rsidRPr="00BF2296">
        <w:rPr>
          <w:lang w:val="en-US"/>
        </w:rPr>
        <w:t>253, 255</w:t>
      </w:r>
      <w:r w:rsidRPr="00EC5BEB">
        <w:rPr>
          <w:lang w:val="en-US"/>
        </w:rPr>
        <w:t xml:space="preserve"> = 1888 U.S. LEXIS </w:t>
      </w:r>
      <w:r w:rsidRPr="00BF2296">
        <w:rPr>
          <w:lang w:val="en-US"/>
        </w:rPr>
        <w:t>2032, 4</w:t>
      </w:r>
      <w:r>
        <w:rPr>
          <w:lang w:val="en-US"/>
        </w:rPr>
        <w:t>–</w:t>
      </w:r>
      <w:r w:rsidRPr="00BF2296">
        <w:rPr>
          <w:lang w:val="en-US"/>
        </w:rPr>
        <w:t>6 (1888)</w:t>
      </w:r>
      <w:r>
        <w:rPr>
          <w:lang w:val="en-US"/>
        </w:rPr>
        <w:t>.</w:t>
      </w:r>
    </w:p>
  </w:footnote>
  <w:footnote w:id="301">
    <w:p w14:paraId="130A1B49" w14:textId="77777777" w:rsidR="00074551" w:rsidRPr="00BF2296" w:rsidRDefault="00074551" w:rsidP="00074551">
      <w:pPr>
        <w:pStyle w:val="Funotentext"/>
        <w:rPr>
          <w:lang w:val="en-US"/>
        </w:rPr>
      </w:pPr>
      <w:r>
        <w:rPr>
          <w:rStyle w:val="Funotenzeichen"/>
        </w:rPr>
        <w:footnoteRef/>
      </w:r>
      <w:r>
        <w:rPr>
          <w:lang w:val="en-US"/>
        </w:rPr>
        <w:t xml:space="preserve"> </w:t>
      </w:r>
      <w:r w:rsidRPr="00A15962">
        <w:rPr>
          <w:i/>
          <w:lang w:val="en-US"/>
        </w:rPr>
        <w:t>Powell v. Pennsylvania</w:t>
      </w:r>
      <w:r w:rsidRPr="00BF2296">
        <w:rPr>
          <w:lang w:val="en-US"/>
        </w:rPr>
        <w:t>, 127 U.S. 678, 685</w:t>
      </w:r>
      <w:r>
        <w:rPr>
          <w:lang w:val="en-US"/>
        </w:rPr>
        <w:t xml:space="preserve"> = 8 S. Ct. </w:t>
      </w:r>
      <w:r w:rsidRPr="00BF2296">
        <w:rPr>
          <w:lang w:val="en-US"/>
        </w:rPr>
        <w:t>992, 996</w:t>
      </w:r>
      <w:r w:rsidRPr="00EC5BEB">
        <w:rPr>
          <w:lang w:val="en-US"/>
        </w:rPr>
        <w:t xml:space="preserve"> = 32 L. Ed. </w:t>
      </w:r>
      <w:r w:rsidRPr="00BF2296">
        <w:rPr>
          <w:lang w:val="en-US"/>
        </w:rPr>
        <w:t>253, 257</w:t>
      </w:r>
      <w:r w:rsidRPr="00EC5BEB">
        <w:rPr>
          <w:lang w:val="en-US"/>
        </w:rPr>
        <w:t xml:space="preserve"> = 1888 U.S. LEXIS </w:t>
      </w:r>
      <w:r w:rsidRPr="00BF2296">
        <w:rPr>
          <w:lang w:val="en-US"/>
        </w:rPr>
        <w:t>2032, 14 (1888)</w:t>
      </w:r>
      <w:r>
        <w:rPr>
          <w:lang w:val="en-US"/>
        </w:rPr>
        <w:t>.</w:t>
      </w:r>
    </w:p>
  </w:footnote>
  <w:footnote w:id="302">
    <w:p w14:paraId="05C56FA1"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A15962">
        <w:rPr>
          <w:i/>
          <w:lang w:val="en-US"/>
        </w:rPr>
        <w:t>Powell v. Pennsylvania</w:t>
      </w:r>
      <w:r w:rsidRPr="006D4066">
        <w:rPr>
          <w:lang w:val="en-US"/>
        </w:rPr>
        <w:t>, 127 U.S. 678, 687</w:t>
      </w:r>
      <w:r>
        <w:rPr>
          <w:lang w:val="en-US"/>
        </w:rPr>
        <w:t xml:space="preserve"> = 8 S. Ct. </w:t>
      </w:r>
      <w:r w:rsidRPr="006D4066">
        <w:rPr>
          <w:lang w:val="en-US"/>
        </w:rPr>
        <w:t>992, 997</w:t>
      </w:r>
      <w:r w:rsidRPr="00EC5BEB">
        <w:rPr>
          <w:lang w:val="en-US"/>
        </w:rPr>
        <w:t xml:space="preserve"> = 32 L. Ed. </w:t>
      </w:r>
      <w:r w:rsidRPr="006D4066">
        <w:rPr>
          <w:lang w:val="en-US"/>
        </w:rPr>
        <w:t>253, 257</w:t>
      </w:r>
      <w:r w:rsidRPr="00EC5BEB">
        <w:rPr>
          <w:lang w:val="en-US"/>
        </w:rPr>
        <w:t xml:space="preserve"> = 1888 U.S. LEXIS </w:t>
      </w:r>
      <w:r w:rsidRPr="006D4066">
        <w:rPr>
          <w:lang w:val="en-US"/>
        </w:rPr>
        <w:t>2032, 17 (1888).</w:t>
      </w:r>
    </w:p>
  </w:footnote>
  <w:footnote w:id="303">
    <w:p w14:paraId="02581822" w14:textId="7982FA64"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005C15A3" w:rsidRPr="00A15962">
        <w:rPr>
          <w:i/>
          <w:lang w:val="en-US"/>
        </w:rPr>
        <w:t>Powell v. Pennsylvania</w:t>
      </w:r>
      <w:r w:rsidR="005C15A3" w:rsidRPr="00BF2296">
        <w:rPr>
          <w:lang w:val="en-US"/>
        </w:rPr>
        <w:t>, 127 U.S. 678, 6</w:t>
      </w:r>
      <w:r w:rsidR="005C15A3">
        <w:rPr>
          <w:lang w:val="en-US"/>
        </w:rPr>
        <w:t xml:space="preserve">87 = 8 S. Ct. </w:t>
      </w:r>
      <w:r w:rsidR="005C15A3" w:rsidRPr="00BF2296">
        <w:rPr>
          <w:lang w:val="en-US"/>
        </w:rPr>
        <w:t>992, 996</w:t>
      </w:r>
      <w:r w:rsidR="005C15A3" w:rsidRPr="00EC5BEB">
        <w:rPr>
          <w:lang w:val="en-US"/>
        </w:rPr>
        <w:t xml:space="preserve"> = 32 L. Ed. </w:t>
      </w:r>
      <w:r w:rsidR="005C15A3" w:rsidRPr="00BF2296">
        <w:rPr>
          <w:lang w:val="en-US"/>
        </w:rPr>
        <w:t>253, 257</w:t>
      </w:r>
      <w:r w:rsidR="005C15A3" w:rsidRPr="00EC5BEB">
        <w:rPr>
          <w:lang w:val="en-US"/>
        </w:rPr>
        <w:t xml:space="preserve"> = 1888 U.S. LEXIS </w:t>
      </w:r>
      <w:r w:rsidR="005C15A3" w:rsidRPr="00BF2296">
        <w:rPr>
          <w:lang w:val="en-US"/>
        </w:rPr>
        <w:t>2032, 14 (1888)</w:t>
      </w:r>
      <w:r w:rsidR="005C15A3">
        <w:rPr>
          <w:lang w:val="en-US"/>
        </w:rPr>
        <w:t xml:space="preserve">, </w:t>
      </w:r>
      <w:r w:rsidRPr="004F13B1">
        <w:rPr>
          <w:i/>
          <w:lang w:val="en-US"/>
        </w:rPr>
        <w:t>Barbier v. Connolly</w:t>
      </w:r>
      <w:r w:rsidRPr="006D4066">
        <w:rPr>
          <w:lang w:val="en-US"/>
        </w:rPr>
        <w:t xml:space="preserve">, 113 U.S. 27; </w:t>
      </w:r>
      <w:r w:rsidRPr="007360B0">
        <w:rPr>
          <w:i/>
          <w:lang w:val="en-US"/>
        </w:rPr>
        <w:t>Soon Hing v. Crowley</w:t>
      </w:r>
      <w:r w:rsidRPr="006D4066">
        <w:rPr>
          <w:lang w:val="en-US"/>
        </w:rPr>
        <w:t xml:space="preserve">, 113 U.S. 703; </w:t>
      </w:r>
      <w:r w:rsidRPr="007360B0">
        <w:rPr>
          <w:i/>
          <w:lang w:val="en-US"/>
        </w:rPr>
        <w:t>Missouri Pacific Railway Co. v. Humes</w:t>
      </w:r>
      <w:r w:rsidRPr="006D4066">
        <w:rPr>
          <w:lang w:val="en-US"/>
        </w:rPr>
        <w:t>, 115 U.S. 512, 519.</w:t>
      </w:r>
    </w:p>
  </w:footnote>
  <w:footnote w:id="304">
    <w:p w14:paraId="08A27D03" w14:textId="77777777" w:rsidR="00074551" w:rsidRPr="001D6A31" w:rsidRDefault="00074551" w:rsidP="00074551">
      <w:pPr>
        <w:pStyle w:val="Funotentext"/>
        <w:rPr>
          <w:lang w:val="en-US"/>
        </w:rPr>
      </w:pPr>
      <w:r>
        <w:rPr>
          <w:rStyle w:val="Funotenzeichen"/>
        </w:rPr>
        <w:footnoteRef/>
      </w:r>
      <w:r w:rsidRPr="001D6A31">
        <w:rPr>
          <w:lang w:val="en-US"/>
        </w:rPr>
        <w:t xml:space="preserve"> </w:t>
      </w:r>
      <w:r w:rsidRPr="00A15962">
        <w:rPr>
          <w:i/>
          <w:lang w:val="en-US"/>
        </w:rPr>
        <w:t>Powell v. Pennsylvania</w:t>
      </w:r>
      <w:r w:rsidRPr="001D6A31">
        <w:rPr>
          <w:lang w:val="en-US"/>
        </w:rPr>
        <w:t>, 127 U.S. 678, 687</w:t>
      </w:r>
      <w:r>
        <w:rPr>
          <w:lang w:val="en-US"/>
        </w:rPr>
        <w:t xml:space="preserve"> = 8 S. Ct. </w:t>
      </w:r>
      <w:r w:rsidRPr="001D6A31">
        <w:rPr>
          <w:lang w:val="en-US"/>
        </w:rPr>
        <w:t>992, 997</w:t>
      </w:r>
      <w:r w:rsidRPr="00EC5BEB">
        <w:rPr>
          <w:lang w:val="en-US"/>
        </w:rPr>
        <w:t xml:space="preserve"> = 32 L. Ed. </w:t>
      </w:r>
      <w:r w:rsidRPr="001D6A31">
        <w:rPr>
          <w:lang w:val="en-US"/>
        </w:rPr>
        <w:t>253, 257</w:t>
      </w:r>
      <w:r w:rsidRPr="00EC5BEB">
        <w:rPr>
          <w:lang w:val="en-US"/>
        </w:rPr>
        <w:t xml:space="preserve"> = 1888 U.S. LEXIS </w:t>
      </w:r>
      <w:r w:rsidRPr="001D6A31">
        <w:rPr>
          <w:lang w:val="en-US"/>
        </w:rPr>
        <w:t>2032, 17 (1888)</w:t>
      </w:r>
      <w:r>
        <w:rPr>
          <w:lang w:val="en-US"/>
        </w:rPr>
        <w:t>.</w:t>
      </w:r>
    </w:p>
  </w:footnote>
  <w:footnote w:id="305">
    <w:p w14:paraId="5CA29975"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Virginia</w:t>
      </w:r>
      <w:r w:rsidRPr="006D4066">
        <w:rPr>
          <w:lang w:val="en-US"/>
        </w:rPr>
        <w:t>, 100 U.S. 339, 366</w:t>
      </w:r>
      <w:r>
        <w:rPr>
          <w:lang w:val="en-US"/>
        </w:rPr>
        <w:t xml:space="preserve">; </w:t>
      </w:r>
      <w:r w:rsidRPr="00A15962">
        <w:rPr>
          <w:i/>
          <w:lang w:val="en-US"/>
        </w:rPr>
        <w:t>Powell v. Pennsylvania</w:t>
      </w:r>
      <w:r w:rsidRPr="006D4066">
        <w:rPr>
          <w:lang w:val="en-US"/>
        </w:rPr>
        <w:t>, 127 U.S. 678, 691</w:t>
      </w:r>
      <w:r>
        <w:rPr>
          <w:lang w:val="en-US"/>
        </w:rPr>
        <w:t xml:space="preserve"> = 8 S. Ct. </w:t>
      </w:r>
      <w:r w:rsidRPr="006D4066">
        <w:rPr>
          <w:lang w:val="en-US"/>
        </w:rPr>
        <w:t>992, 997</w:t>
      </w:r>
      <w:r w:rsidRPr="00EC5BEB">
        <w:rPr>
          <w:lang w:val="en-US"/>
        </w:rPr>
        <w:t xml:space="preserve"> = 32 L. Ed. </w:t>
      </w:r>
      <w:r w:rsidRPr="006D4066">
        <w:rPr>
          <w:lang w:val="en-US"/>
        </w:rPr>
        <w:t>253, 259</w:t>
      </w:r>
      <w:r w:rsidRPr="00EC5BEB">
        <w:rPr>
          <w:lang w:val="en-US"/>
        </w:rPr>
        <w:t xml:space="preserve"> = 1888 U.S. LEXIS </w:t>
      </w:r>
      <w:r w:rsidRPr="006D4066">
        <w:rPr>
          <w:lang w:val="en-US"/>
        </w:rPr>
        <w:t>2032, 27 (1888)</w:t>
      </w:r>
      <w:r>
        <w:rPr>
          <w:lang w:val="en-US"/>
        </w:rPr>
        <w:t>.</w:t>
      </w:r>
    </w:p>
  </w:footnote>
  <w:footnote w:id="306">
    <w:p w14:paraId="64E60545"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Virginia</w:t>
      </w:r>
      <w:r w:rsidRPr="006D4066">
        <w:rPr>
          <w:lang w:val="en-US"/>
        </w:rPr>
        <w:t>, 100 U.S. 339, 366</w:t>
      </w:r>
      <w:r>
        <w:rPr>
          <w:lang w:val="en-US"/>
        </w:rPr>
        <w:t xml:space="preserve">; </w:t>
      </w:r>
      <w:r w:rsidRPr="00A15962">
        <w:rPr>
          <w:i/>
          <w:lang w:val="en-US"/>
        </w:rPr>
        <w:t>Powell v. Pennsylvania</w:t>
      </w:r>
      <w:r w:rsidRPr="006D4066">
        <w:rPr>
          <w:lang w:val="en-US"/>
        </w:rPr>
        <w:t>, 127 U.S. 678, 691</w:t>
      </w:r>
      <w:r>
        <w:rPr>
          <w:lang w:val="en-US"/>
        </w:rPr>
        <w:t xml:space="preserve"> = 8 S. Ct. </w:t>
      </w:r>
      <w:r w:rsidRPr="006D4066">
        <w:rPr>
          <w:lang w:val="en-US"/>
        </w:rPr>
        <w:t>992, 997</w:t>
      </w:r>
      <w:r w:rsidRPr="00EC5BEB">
        <w:rPr>
          <w:lang w:val="en-US"/>
        </w:rPr>
        <w:t xml:space="preserve"> = 32 L. Ed. </w:t>
      </w:r>
      <w:r w:rsidRPr="006D4066">
        <w:rPr>
          <w:lang w:val="en-US"/>
        </w:rPr>
        <w:t>253, 259</w:t>
      </w:r>
      <w:r w:rsidRPr="00EC5BEB">
        <w:rPr>
          <w:lang w:val="en-US"/>
        </w:rPr>
        <w:t xml:space="preserve"> = 1888 U.S. LEXIS </w:t>
      </w:r>
      <w:r w:rsidRPr="006D4066">
        <w:rPr>
          <w:lang w:val="en-US"/>
        </w:rPr>
        <w:t>2032, 27 (1888)</w:t>
      </w:r>
      <w:r>
        <w:rPr>
          <w:lang w:val="en-US"/>
        </w:rPr>
        <w:t>.</w:t>
      </w:r>
    </w:p>
  </w:footnote>
  <w:footnote w:id="307">
    <w:p w14:paraId="67650892"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A15962">
        <w:rPr>
          <w:i/>
          <w:lang w:val="en-US"/>
        </w:rPr>
        <w:t>Powell v. Pennsylvania</w:t>
      </w:r>
      <w:r w:rsidRPr="006D4066">
        <w:rPr>
          <w:lang w:val="en-US"/>
        </w:rPr>
        <w:t>, 127 U.S. 678, 692</w:t>
      </w:r>
      <w:r>
        <w:rPr>
          <w:lang w:val="en-US"/>
        </w:rPr>
        <w:t xml:space="preserve"> = 8 S. Ct. </w:t>
      </w:r>
      <w:r w:rsidRPr="006D4066">
        <w:rPr>
          <w:lang w:val="en-US"/>
        </w:rPr>
        <w:t>992, 997</w:t>
      </w:r>
      <w:r w:rsidRPr="00EC5BEB">
        <w:rPr>
          <w:lang w:val="en-US"/>
        </w:rPr>
        <w:t xml:space="preserve"> = 32 L. Ed. </w:t>
      </w:r>
      <w:r w:rsidRPr="006D4066">
        <w:rPr>
          <w:lang w:val="en-US"/>
        </w:rPr>
        <w:t>253, 259</w:t>
      </w:r>
      <w:r w:rsidRPr="00EC5BEB">
        <w:rPr>
          <w:lang w:val="en-US"/>
        </w:rPr>
        <w:t xml:space="preserve"> = 1888 U.S. LEXIS </w:t>
      </w:r>
      <w:r w:rsidRPr="006D4066">
        <w:rPr>
          <w:lang w:val="en-US"/>
        </w:rPr>
        <w:t>2032, 28 (1888)</w:t>
      </w:r>
      <w:r>
        <w:rPr>
          <w:lang w:val="en-US"/>
        </w:rPr>
        <w:t>.</w:t>
      </w:r>
    </w:p>
  </w:footnote>
  <w:footnote w:id="308">
    <w:p w14:paraId="2A06C772" w14:textId="77777777" w:rsidR="00074551" w:rsidRPr="00516AAC" w:rsidRDefault="00074551" w:rsidP="00074551">
      <w:pPr>
        <w:pStyle w:val="Funotentext"/>
        <w:rPr>
          <w:lang w:val="en-US"/>
        </w:rPr>
      </w:pPr>
      <w:r>
        <w:rPr>
          <w:rStyle w:val="Funotenzeichen"/>
        </w:rPr>
        <w:footnoteRef/>
      </w:r>
      <w:r w:rsidRPr="00516AAC">
        <w:rPr>
          <w:lang w:val="en-US"/>
        </w:rPr>
        <w:t xml:space="preserve"> </w:t>
      </w:r>
      <w:r w:rsidRPr="00D67593">
        <w:rPr>
          <w:lang w:val="en-US"/>
        </w:rPr>
        <w:t>Art. XI.</w:t>
      </w:r>
      <w:r w:rsidRPr="00B45592">
        <w:rPr>
          <w:i/>
          <w:lang w:val="en-US"/>
        </w:rPr>
        <w:t xml:space="preserve"> </w:t>
      </w:r>
      <w:r w:rsidRPr="00B45592">
        <w:rPr>
          <w:lang w:val="en-US"/>
        </w:rPr>
        <w:t>des</w:t>
      </w:r>
      <w:r w:rsidRPr="00B45592">
        <w:rPr>
          <w:i/>
          <w:lang w:val="en-US"/>
        </w:rPr>
        <w:t xml:space="preserve"> Military Code of </w:t>
      </w:r>
      <w:r>
        <w:rPr>
          <w:i/>
          <w:lang w:val="en-US"/>
        </w:rPr>
        <w:t>Illinois</w:t>
      </w:r>
      <w:r w:rsidRPr="00B45592">
        <w:rPr>
          <w:i/>
          <w:lang w:val="en-US"/>
        </w:rPr>
        <w:t>, Act of May 28, 1879</w:t>
      </w:r>
      <w:r w:rsidRPr="00516AAC">
        <w:rPr>
          <w:lang w:val="en-US"/>
        </w:rPr>
        <w:t>, Laws of 1879, 192</w:t>
      </w:r>
      <w:r>
        <w:rPr>
          <w:lang w:val="en-US"/>
        </w:rPr>
        <w:t>: „§ </w:t>
      </w:r>
      <w:r w:rsidRPr="00516AAC">
        <w:rPr>
          <w:lang w:val="en-US"/>
        </w:rPr>
        <w:t xml:space="preserve">5. It shall not be lawful for </w:t>
      </w:r>
      <w:proofErr w:type="spellStart"/>
      <w:r w:rsidRPr="00516AAC">
        <w:rPr>
          <w:lang w:val="en-US"/>
        </w:rPr>
        <w:t>any body</w:t>
      </w:r>
      <w:proofErr w:type="spellEnd"/>
      <w:r w:rsidRPr="00516AAC">
        <w:rPr>
          <w:lang w:val="en-US"/>
        </w:rPr>
        <w:t xml:space="preserve"> of men whatever, other than the regular organized volunteer militia of this State, and the troops of the United States, to associate themselves together as a military company or organization, or to drill or parade with arms in any city, or town, of this State, without the license of the Governor thereof, which license may at any time be revoked: And provided, further, that students in educational institutions, where military science is a part of the course of instruction, may, with the consent of the Governor, drill and parade with arms in public, under the superintendence of their instructors, and may take part in any regimental or brigade encampment, under command of their military instructor; and while so encamped shall be governed by the provisions of this act. They shall be entitled only to transportation and </w:t>
      </w:r>
      <w:proofErr w:type="gramStart"/>
      <w:r w:rsidRPr="00516AAC">
        <w:rPr>
          <w:lang w:val="en-US"/>
        </w:rPr>
        <w:t>subsistence, and</w:t>
      </w:r>
      <w:proofErr w:type="gramEnd"/>
      <w:r w:rsidRPr="00516AAC">
        <w:rPr>
          <w:lang w:val="en-US"/>
        </w:rPr>
        <w:t xml:space="preserve"> shall report and be subject to the commandant of such encampment: Provided, that nothing herein contained shall be construed </w:t>
      </w:r>
      <w:proofErr w:type="gramStart"/>
      <w:r w:rsidRPr="00516AAC">
        <w:rPr>
          <w:lang w:val="en-US"/>
        </w:rPr>
        <w:t>so as to</w:t>
      </w:r>
      <w:proofErr w:type="gramEnd"/>
      <w:r w:rsidRPr="00516AAC">
        <w:rPr>
          <w:lang w:val="en-US"/>
        </w:rPr>
        <w:t xml:space="preserve"> prevent benevolent or social organizations from wearing swords</w:t>
      </w:r>
      <w:r>
        <w:rPr>
          <w:lang w:val="en-US"/>
        </w:rPr>
        <w:t>; § </w:t>
      </w:r>
      <w:r w:rsidRPr="00516AAC">
        <w:rPr>
          <w:lang w:val="en-US"/>
        </w:rPr>
        <w:t xml:space="preserve">6. Whoever offends against the provisions of the preceding section, or belongs to, or parades with, any such unauthorized body of men with arms shall be punished by a fine not exceeding the sum of ten dollars ($10), or by imprisonment in the common jail for a term not exceeding six months, or </w:t>
      </w:r>
      <w:proofErr w:type="gramStart"/>
      <w:r w:rsidRPr="00516AAC">
        <w:rPr>
          <w:lang w:val="en-US"/>
        </w:rPr>
        <w:t>both.</w:t>
      </w:r>
      <w:r>
        <w:rPr>
          <w:lang w:val="en-US"/>
        </w:rPr>
        <w:t>“</w:t>
      </w:r>
      <w:proofErr w:type="gramEnd"/>
      <w:r>
        <w:rPr>
          <w:lang w:val="en-US"/>
        </w:rPr>
        <w:t xml:space="preserve">, </w:t>
      </w:r>
      <w:r w:rsidRPr="007360B0">
        <w:rPr>
          <w:i/>
          <w:lang w:val="en-US"/>
        </w:rPr>
        <w:t>Presser v. Ill.</w:t>
      </w:r>
      <w:r w:rsidRPr="00516AAC">
        <w:rPr>
          <w:lang w:val="en-US"/>
        </w:rPr>
        <w:t>, 116 U.S. 252, 260</w:t>
      </w:r>
      <w:r w:rsidRPr="00EC5BEB">
        <w:rPr>
          <w:lang w:val="en-US"/>
        </w:rPr>
        <w:t xml:space="preserve"> = 6 S. Ct. </w:t>
      </w:r>
      <w:r w:rsidRPr="00516AAC">
        <w:rPr>
          <w:lang w:val="en-US"/>
        </w:rPr>
        <w:t>580, 581</w:t>
      </w:r>
      <w:r w:rsidRPr="00EC5BEB">
        <w:rPr>
          <w:lang w:val="en-US"/>
        </w:rPr>
        <w:t xml:space="preserve"> = 29 L. Ed. </w:t>
      </w:r>
      <w:r w:rsidRPr="00516AAC">
        <w:rPr>
          <w:lang w:val="en-US"/>
        </w:rPr>
        <w:t>615, 617</w:t>
      </w:r>
      <w:r w:rsidRPr="00EC5BEB">
        <w:rPr>
          <w:lang w:val="en-US"/>
        </w:rPr>
        <w:t xml:space="preserve"> = 1886 U.S. LEXIS </w:t>
      </w:r>
      <w:r w:rsidRPr="00516AAC">
        <w:rPr>
          <w:lang w:val="en-US"/>
        </w:rPr>
        <w:t>1760, 1</w:t>
      </w:r>
      <w:r>
        <w:rPr>
          <w:lang w:val="en-US"/>
        </w:rPr>
        <w:t>–</w:t>
      </w:r>
      <w:r w:rsidRPr="00516AAC">
        <w:rPr>
          <w:lang w:val="en-US"/>
        </w:rPr>
        <w:t>2 (1886)</w:t>
      </w:r>
      <w:r>
        <w:rPr>
          <w:lang w:val="en-US"/>
        </w:rPr>
        <w:t>.</w:t>
      </w:r>
    </w:p>
  </w:footnote>
  <w:footnote w:id="309">
    <w:p w14:paraId="611E244C" w14:textId="77777777" w:rsidR="00074551" w:rsidRPr="00EC7EEA" w:rsidRDefault="00074551" w:rsidP="00074551">
      <w:pPr>
        <w:pStyle w:val="Funotentext"/>
        <w:rPr>
          <w:lang w:val="en-US"/>
        </w:rPr>
      </w:pPr>
      <w:r>
        <w:rPr>
          <w:rStyle w:val="Funotenzeichen"/>
        </w:rPr>
        <w:footnoteRef/>
      </w:r>
      <w:r w:rsidRPr="00EC7EEA">
        <w:rPr>
          <w:lang w:val="en-US"/>
        </w:rPr>
        <w:t xml:space="preserve"> </w:t>
      </w:r>
      <w:r w:rsidRPr="007360B0">
        <w:rPr>
          <w:i/>
          <w:lang w:val="en-US"/>
        </w:rPr>
        <w:t>Presser v. Ill.</w:t>
      </w:r>
      <w:r w:rsidRPr="00EC7EEA">
        <w:rPr>
          <w:lang w:val="en-US"/>
        </w:rPr>
        <w:t>, 116 U.S. 252, 260</w:t>
      </w:r>
      <w:r w:rsidRPr="00EC5BEB">
        <w:rPr>
          <w:lang w:val="en-US"/>
        </w:rPr>
        <w:t xml:space="preserve"> = 6 S. Ct. </w:t>
      </w:r>
      <w:r w:rsidRPr="00EC7EEA">
        <w:rPr>
          <w:lang w:val="en-US"/>
        </w:rPr>
        <w:t>580, 581</w:t>
      </w:r>
      <w:r w:rsidRPr="00EC5BEB">
        <w:rPr>
          <w:lang w:val="en-US"/>
        </w:rPr>
        <w:t xml:space="preserve"> = 29 L. Ed. </w:t>
      </w:r>
      <w:r w:rsidRPr="00EC7EEA">
        <w:rPr>
          <w:lang w:val="en-US"/>
        </w:rPr>
        <w:t>615, 617</w:t>
      </w:r>
      <w:r w:rsidRPr="00EC5BEB">
        <w:rPr>
          <w:lang w:val="en-US"/>
        </w:rPr>
        <w:t xml:space="preserve"> = 1886 U.S. LEXIS </w:t>
      </w:r>
      <w:r w:rsidRPr="00EC7EEA">
        <w:rPr>
          <w:lang w:val="en-US"/>
        </w:rPr>
        <w:t>1760, 4 (1886)</w:t>
      </w:r>
      <w:r>
        <w:rPr>
          <w:lang w:val="en-US"/>
        </w:rPr>
        <w:t>.</w:t>
      </w:r>
    </w:p>
  </w:footnote>
  <w:footnote w:id="310">
    <w:p w14:paraId="5C63672D" w14:textId="77777777" w:rsidR="00074551" w:rsidRPr="00A77FE8" w:rsidRDefault="00074551" w:rsidP="00074551">
      <w:pPr>
        <w:pStyle w:val="Funotentext"/>
        <w:rPr>
          <w:lang w:val="en-US"/>
        </w:rPr>
      </w:pPr>
      <w:r>
        <w:rPr>
          <w:rStyle w:val="Funotenzeichen"/>
        </w:rPr>
        <w:footnoteRef/>
      </w:r>
      <w:r w:rsidRPr="00A77FE8">
        <w:rPr>
          <w:lang w:val="en-US"/>
        </w:rPr>
        <w:t xml:space="preserve"> </w:t>
      </w:r>
      <w:r w:rsidRPr="007360B0">
        <w:rPr>
          <w:i/>
          <w:lang w:val="en-US"/>
        </w:rPr>
        <w:t>Presser v. Ill.</w:t>
      </w:r>
      <w:r w:rsidRPr="00A77FE8">
        <w:rPr>
          <w:lang w:val="en-US"/>
        </w:rPr>
        <w:t>, 116 U.S. 252, 268</w:t>
      </w:r>
      <w:r w:rsidRPr="00EC5BEB">
        <w:rPr>
          <w:lang w:val="en-US"/>
        </w:rPr>
        <w:t xml:space="preserve"> = 6 S. Ct. </w:t>
      </w:r>
      <w:r w:rsidRPr="00A77FE8">
        <w:rPr>
          <w:lang w:val="en-US"/>
        </w:rPr>
        <w:t>580, 586</w:t>
      </w:r>
      <w:r w:rsidRPr="00EC5BEB">
        <w:rPr>
          <w:lang w:val="en-US"/>
        </w:rPr>
        <w:t xml:space="preserve"> = 29 L. Ed. </w:t>
      </w:r>
      <w:r w:rsidRPr="00A77FE8">
        <w:rPr>
          <w:lang w:val="en-US"/>
        </w:rPr>
        <w:t>615, 620</w:t>
      </w:r>
      <w:r w:rsidRPr="00EC5BEB">
        <w:rPr>
          <w:lang w:val="en-US"/>
        </w:rPr>
        <w:t xml:space="preserve"> = 1886 U.S. LEXIS </w:t>
      </w:r>
      <w:r w:rsidRPr="00A77FE8">
        <w:rPr>
          <w:lang w:val="en-US"/>
        </w:rPr>
        <w:t>1760, 31 (1886)</w:t>
      </w:r>
      <w:r>
        <w:rPr>
          <w:lang w:val="en-US"/>
        </w:rPr>
        <w:t>.</w:t>
      </w:r>
    </w:p>
  </w:footnote>
  <w:footnote w:id="311">
    <w:p w14:paraId="6C7A14F1" w14:textId="6B872FD3" w:rsidR="00074551" w:rsidRPr="00C771E0" w:rsidRDefault="00074551" w:rsidP="00074551">
      <w:pPr>
        <w:pStyle w:val="Funotentext"/>
        <w:rPr>
          <w:lang w:val="en-US"/>
        </w:rPr>
      </w:pPr>
      <w:r>
        <w:rPr>
          <w:rStyle w:val="Funotenzeichen"/>
        </w:rPr>
        <w:footnoteRef/>
      </w:r>
      <w:r w:rsidRPr="00A77FE8">
        <w:rPr>
          <w:lang w:val="en-US"/>
        </w:rPr>
        <w:t xml:space="preserve"> </w:t>
      </w:r>
      <w:r w:rsidR="005C15A3" w:rsidRPr="007360B0">
        <w:rPr>
          <w:i/>
          <w:lang w:val="en-US"/>
        </w:rPr>
        <w:t>Presser v. Ill.</w:t>
      </w:r>
      <w:r w:rsidR="005C15A3" w:rsidRPr="00EC7EEA">
        <w:rPr>
          <w:lang w:val="en-US"/>
        </w:rPr>
        <w:t>, 116 U.S. 252, 26</w:t>
      </w:r>
      <w:r w:rsidR="005C15A3">
        <w:rPr>
          <w:lang w:val="en-US"/>
        </w:rPr>
        <w:t>8</w:t>
      </w:r>
      <w:r w:rsidR="005C15A3" w:rsidRPr="00EC5BEB">
        <w:rPr>
          <w:lang w:val="en-US"/>
        </w:rPr>
        <w:t xml:space="preserve"> = 6 S. Ct. </w:t>
      </w:r>
      <w:r w:rsidR="005C15A3" w:rsidRPr="00EC7EEA">
        <w:rPr>
          <w:lang w:val="en-US"/>
        </w:rPr>
        <w:t>580, 581</w:t>
      </w:r>
      <w:r w:rsidR="005C15A3" w:rsidRPr="00EC5BEB">
        <w:rPr>
          <w:lang w:val="en-US"/>
        </w:rPr>
        <w:t xml:space="preserve"> = 29 L. Ed. </w:t>
      </w:r>
      <w:r w:rsidR="005C15A3" w:rsidRPr="00EC7EEA">
        <w:rPr>
          <w:lang w:val="en-US"/>
        </w:rPr>
        <w:t>615, 617</w:t>
      </w:r>
      <w:r w:rsidR="005C15A3" w:rsidRPr="00EC5BEB">
        <w:rPr>
          <w:lang w:val="en-US"/>
        </w:rPr>
        <w:t xml:space="preserve"> = 1886 U.S. LEXIS </w:t>
      </w:r>
      <w:r w:rsidR="005C15A3" w:rsidRPr="00EC7EEA">
        <w:rPr>
          <w:lang w:val="en-US"/>
        </w:rPr>
        <w:t>1760, 4 (1886)</w:t>
      </w:r>
      <w:r w:rsidR="005C15A3">
        <w:rPr>
          <w:lang w:val="en-US"/>
        </w:rPr>
        <w:t xml:space="preserve">, </w:t>
      </w:r>
      <w:r w:rsidRPr="001F38CE">
        <w:rPr>
          <w:i/>
          <w:lang w:val="en-US"/>
        </w:rPr>
        <w:t>Gibbons v. Ogden</w:t>
      </w:r>
      <w:r>
        <w:rPr>
          <w:lang w:val="en-US"/>
        </w:rPr>
        <w:t xml:space="preserve">, 9 Wheat. </w:t>
      </w:r>
      <w:r w:rsidRPr="00A77FE8">
        <w:rPr>
          <w:lang w:val="en-US"/>
        </w:rPr>
        <w:t xml:space="preserve">1, 203; </w:t>
      </w:r>
      <w:r w:rsidRPr="00B45592">
        <w:rPr>
          <w:i/>
          <w:lang w:val="en-US"/>
        </w:rPr>
        <w:t>Gilman v. Philadelphia</w:t>
      </w:r>
      <w:r w:rsidRPr="00A77FE8">
        <w:rPr>
          <w:lang w:val="en-US"/>
        </w:rPr>
        <w:t xml:space="preserve">, 3 Wall. 713; </w:t>
      </w:r>
      <w:r w:rsidRPr="00B45592">
        <w:rPr>
          <w:i/>
          <w:lang w:val="en-US"/>
        </w:rPr>
        <w:t>License Tax Cases</w:t>
      </w:r>
      <w:r w:rsidRPr="00A77FE8">
        <w:rPr>
          <w:lang w:val="en-US"/>
        </w:rPr>
        <w:t xml:space="preserve">, 5 Wall. 462; </w:t>
      </w:r>
      <w:r w:rsidRPr="00B45592">
        <w:rPr>
          <w:i/>
          <w:lang w:val="en-US"/>
        </w:rPr>
        <w:t>United States v. Dewitt</w:t>
      </w:r>
      <w:r w:rsidRPr="00A77FE8">
        <w:rPr>
          <w:lang w:val="en-US"/>
        </w:rPr>
        <w:t xml:space="preserve">, 9 Wall. 41; </w:t>
      </w:r>
      <w:r w:rsidRPr="00B45592">
        <w:rPr>
          <w:i/>
          <w:lang w:val="en-US"/>
        </w:rPr>
        <w:t>United. States v. Cruikshank</w:t>
      </w:r>
      <w:r w:rsidRPr="00C771E0">
        <w:rPr>
          <w:lang w:val="en-US"/>
        </w:rPr>
        <w:t>, 92 U.S. 542.</w:t>
      </w:r>
    </w:p>
  </w:footnote>
  <w:footnote w:id="312">
    <w:p w14:paraId="22825B76" w14:textId="77777777" w:rsidR="00074551" w:rsidRPr="003F0402" w:rsidRDefault="00074551" w:rsidP="00074551">
      <w:pPr>
        <w:pStyle w:val="Funotentext"/>
        <w:rPr>
          <w:lang w:val="en-US"/>
        </w:rPr>
      </w:pPr>
      <w:r>
        <w:rPr>
          <w:rStyle w:val="Funotenzeichen"/>
        </w:rPr>
        <w:footnoteRef/>
      </w:r>
      <w:r w:rsidRPr="003F0402">
        <w:rPr>
          <w:lang w:val="en-US"/>
        </w:rPr>
        <w:t xml:space="preserve"> </w:t>
      </w:r>
      <w:r w:rsidRPr="00B45592">
        <w:rPr>
          <w:i/>
          <w:lang w:val="en-US"/>
        </w:rPr>
        <w:t>Parsons v. Bedford</w:t>
      </w:r>
      <w:r w:rsidRPr="003F0402">
        <w:rPr>
          <w:lang w:val="en-US"/>
        </w:rPr>
        <w:t xml:space="preserve">, 3 Pet. 433; </w:t>
      </w:r>
      <w:r w:rsidRPr="00B45592">
        <w:rPr>
          <w:i/>
          <w:lang w:val="en-US"/>
        </w:rPr>
        <w:t>Grenada County Supervisors v. Brogden</w:t>
      </w:r>
      <w:r w:rsidRPr="003F0402">
        <w:rPr>
          <w:lang w:val="en-US"/>
        </w:rPr>
        <w:t xml:space="preserve">, 112 U.S. 261; </w:t>
      </w:r>
      <w:r w:rsidRPr="00B45592">
        <w:rPr>
          <w:i/>
          <w:lang w:val="en-US"/>
        </w:rPr>
        <w:t>Marshall v. Grimes</w:t>
      </w:r>
      <w:r w:rsidRPr="003F0402">
        <w:rPr>
          <w:lang w:val="en-US"/>
        </w:rPr>
        <w:t>, 41 Mississippi, 27</w:t>
      </w:r>
      <w:r>
        <w:rPr>
          <w:lang w:val="en-US"/>
        </w:rPr>
        <w:t xml:space="preserve">; </w:t>
      </w:r>
      <w:r w:rsidRPr="007360B0">
        <w:rPr>
          <w:i/>
          <w:lang w:val="en-US"/>
        </w:rPr>
        <w:t>Presser v. Ill.</w:t>
      </w:r>
      <w:r w:rsidRPr="003F0402">
        <w:rPr>
          <w:lang w:val="en-US"/>
        </w:rPr>
        <w:t>, 116 U.S. 252, 269</w:t>
      </w:r>
      <w:r w:rsidRPr="00EC5BEB">
        <w:rPr>
          <w:lang w:val="en-US"/>
        </w:rPr>
        <w:t xml:space="preserve"> = 6 S. Ct. </w:t>
      </w:r>
      <w:r w:rsidRPr="003F0402">
        <w:rPr>
          <w:lang w:val="en-US"/>
        </w:rPr>
        <w:t>580, 586</w:t>
      </w:r>
      <w:r w:rsidRPr="00EC5BEB">
        <w:rPr>
          <w:lang w:val="en-US"/>
        </w:rPr>
        <w:t xml:space="preserve"> = 29 L. Ed. </w:t>
      </w:r>
      <w:r w:rsidRPr="003F0402">
        <w:rPr>
          <w:lang w:val="en-US"/>
        </w:rPr>
        <w:t>615, 620</w:t>
      </w:r>
      <w:r w:rsidRPr="00EC5BEB">
        <w:rPr>
          <w:lang w:val="en-US"/>
        </w:rPr>
        <w:t xml:space="preserve"> = 1886 U.S. LEXIS </w:t>
      </w:r>
      <w:r w:rsidRPr="003F0402">
        <w:rPr>
          <w:lang w:val="en-US"/>
        </w:rPr>
        <w:t>1760, 32 (1886)</w:t>
      </w:r>
      <w:r>
        <w:rPr>
          <w:lang w:val="en-US"/>
        </w:rPr>
        <w:t>.</w:t>
      </w:r>
    </w:p>
  </w:footnote>
  <w:footnote w:id="313">
    <w:p w14:paraId="7DFB85B8" w14:textId="77777777" w:rsidR="00074551" w:rsidRPr="003F0402" w:rsidRDefault="00074551" w:rsidP="00074551">
      <w:pPr>
        <w:pStyle w:val="Funotentext"/>
        <w:rPr>
          <w:lang w:val="en-US"/>
        </w:rPr>
      </w:pPr>
      <w:r>
        <w:rPr>
          <w:rStyle w:val="Funotenzeichen"/>
        </w:rPr>
        <w:footnoteRef/>
      </w:r>
      <w:r w:rsidRPr="003F0402">
        <w:rPr>
          <w:lang w:val="en-US"/>
        </w:rPr>
        <w:t xml:space="preserve"> </w:t>
      </w:r>
      <w:r w:rsidRPr="007360B0">
        <w:rPr>
          <w:i/>
          <w:lang w:val="en-US"/>
        </w:rPr>
        <w:t>Presser v. Ill.</w:t>
      </w:r>
      <w:r w:rsidRPr="003F0402">
        <w:rPr>
          <w:lang w:val="en-US"/>
        </w:rPr>
        <w:t>, 116 U.S. 252, 269</w:t>
      </w:r>
      <w:r w:rsidRPr="00EC5BEB">
        <w:rPr>
          <w:lang w:val="en-US"/>
        </w:rPr>
        <w:t xml:space="preserve"> = 6 S. Ct. </w:t>
      </w:r>
      <w:r w:rsidRPr="003F0402">
        <w:rPr>
          <w:lang w:val="en-US"/>
        </w:rPr>
        <w:t>580, 586</w:t>
      </w:r>
      <w:r w:rsidRPr="00EC5BEB">
        <w:rPr>
          <w:lang w:val="en-US"/>
        </w:rPr>
        <w:t xml:space="preserve"> = 29 L. Ed. </w:t>
      </w:r>
      <w:r w:rsidRPr="003F0402">
        <w:rPr>
          <w:lang w:val="en-US"/>
        </w:rPr>
        <w:t>615, 620</w:t>
      </w:r>
      <w:r w:rsidRPr="00EC5BEB">
        <w:rPr>
          <w:lang w:val="en-US"/>
        </w:rPr>
        <w:t xml:space="preserve"> = 1886 U.S. LEXIS </w:t>
      </w:r>
      <w:r w:rsidRPr="003F0402">
        <w:rPr>
          <w:lang w:val="en-US"/>
        </w:rPr>
        <w:t>1760, 32 (1886)</w:t>
      </w:r>
      <w:r>
        <w:rPr>
          <w:lang w:val="en-US"/>
        </w:rPr>
        <w:t>.</w:t>
      </w:r>
    </w:p>
  </w:footnote>
  <w:footnote w:id="314">
    <w:p w14:paraId="3545EB77" w14:textId="77777777" w:rsidR="00074551" w:rsidRPr="00B3154E" w:rsidRDefault="00074551" w:rsidP="00074551">
      <w:pPr>
        <w:pStyle w:val="Funotentext"/>
        <w:rPr>
          <w:lang w:val="en-US"/>
        </w:rPr>
      </w:pPr>
      <w:r>
        <w:rPr>
          <w:rStyle w:val="Funotenzeichen"/>
        </w:rPr>
        <w:footnoteRef/>
      </w:r>
      <w:r w:rsidRPr="00B3154E">
        <w:rPr>
          <w:lang w:val="en-US"/>
        </w:rPr>
        <w:t xml:space="preserve"> „</w:t>
      </w:r>
      <w:r>
        <w:rPr>
          <w:lang w:val="en-US"/>
        </w:rPr>
        <w:t>§ </w:t>
      </w:r>
      <w:r w:rsidRPr="00B3154E">
        <w:rPr>
          <w:lang w:val="en-US"/>
        </w:rPr>
        <w:t>2375g. Any person who in any manner, for exhibition or display shall place, or cause to be placed, any word, figure, mark, picture, design, drawing, or any advertisement of any nature, upon any flag, standard, color, or ensign, of the United States of America, or shall expose or cause to be exposed to public view any such flag, standard, color, or ensign, upon which shall be printed, painted, or otherwise placed, or to which shall be attached, appended, affixed, or annexed, any word, figure, mark, picture, design or drawing or any advertisement of any nature, or who shall expose to public view, manufacture, sell, expose for sale, give away, or have in possession for sale, or to give away, or for use for any purpose, any article or substance, being an article of merchandise, or a receptacle of merchandise, upon which shall have been printed, painted, attached or otherwise placed a representation of any such flag, standard, color or ensign, to advertise, call attention to, decorate, mark, or distinguish, the article, or substance on which so placed, or who shall publicly mutilate, deface, defile, or defy, trample upon or cast contempt, either by words, or act, upon any such flag, standard, color or ensign, shall be deemed guilty of a misdemeanor, and shall be punished by a fine not exceeding one hundred dollars, or by imprisonment for not more than thirty days, or both in the discretion of the court.</w:t>
      </w:r>
    </w:p>
    <w:p w14:paraId="5667053A" w14:textId="77777777" w:rsidR="00074551" w:rsidRPr="00B3154E" w:rsidRDefault="00074551" w:rsidP="00074551">
      <w:pPr>
        <w:pStyle w:val="Funotentext"/>
        <w:rPr>
          <w:lang w:val="en-US"/>
        </w:rPr>
      </w:pPr>
      <w:r>
        <w:rPr>
          <w:lang w:val="en-US"/>
        </w:rPr>
        <w:t>§ </w:t>
      </w:r>
      <w:r w:rsidRPr="00B3154E">
        <w:rPr>
          <w:lang w:val="en-US"/>
        </w:rPr>
        <w:t>2375h. The words flag, color, ensign, as used in this act shall include any flag, standard, ensign, or any picture or representation, or either thereof, made of any substance, or represented on any substance, and of any size, evidently purporting to be, either of said flag, standard, color or ensign, of the United States of America, or a picture, or a representation, of either thereof, upon which shall be shown the colors, the stars, and the stripes, in any number of either thereof, or by which the person seeing the same, without deliberation may believe the same to represent the flag, color, or ensign, of the United States of America.</w:t>
      </w:r>
    </w:p>
    <w:p w14:paraId="49406979" w14:textId="77777777" w:rsidR="00074551" w:rsidRPr="00B3154E" w:rsidRDefault="00074551" w:rsidP="00074551">
      <w:pPr>
        <w:pStyle w:val="Funotentext"/>
        <w:rPr>
          <w:lang w:val="en-US"/>
        </w:rPr>
      </w:pPr>
      <w:r>
        <w:rPr>
          <w:lang w:val="en-US"/>
        </w:rPr>
        <w:t>§ </w:t>
      </w:r>
      <w:r w:rsidRPr="00B3154E">
        <w:rPr>
          <w:lang w:val="en-US"/>
        </w:rPr>
        <w:t>2375i. This act shall not apply to any act permitted by the statutes of the United States of America, or by the United States Army and Navy regulations, nor shall it be construed to apply to newspaper, periodical, book, pamphlet, circular, certificate, diploma, warrant, or commission of appointment to office, ornamental picture, article of jewelry, or stationery for use in correspondence, or any of which shall be printed, painted or placed, said flag, disconnected from any advertisement.“</w:t>
      </w:r>
      <w:r>
        <w:rPr>
          <w:lang w:val="en-US"/>
        </w:rPr>
        <w:t>,</w:t>
      </w:r>
      <w:r w:rsidRPr="00B3154E">
        <w:rPr>
          <w:lang w:val="en-US"/>
        </w:rPr>
        <w:t xml:space="preserve"> 1 </w:t>
      </w:r>
      <w:proofErr w:type="spellStart"/>
      <w:r w:rsidRPr="00B3154E">
        <w:rPr>
          <w:lang w:val="en-US"/>
        </w:rPr>
        <w:t>Cobbey</w:t>
      </w:r>
      <w:r>
        <w:rPr>
          <w:lang w:val="en-US"/>
        </w:rPr>
        <w:t>’</w:t>
      </w:r>
      <w:r w:rsidRPr="00B3154E">
        <w:rPr>
          <w:lang w:val="en-US"/>
        </w:rPr>
        <w:t>s</w:t>
      </w:r>
      <w:proofErr w:type="spellEnd"/>
      <w:r w:rsidRPr="00B3154E">
        <w:rPr>
          <w:lang w:val="en-US"/>
        </w:rPr>
        <w:t xml:space="preserve"> Ann. Stat. Neb. 1903, c. 139</w:t>
      </w:r>
      <w:r>
        <w:rPr>
          <w:lang w:val="en-US"/>
        </w:rPr>
        <w:t>,</w:t>
      </w:r>
      <w:r w:rsidRPr="00B3154E">
        <w:rPr>
          <w:lang w:val="en-US"/>
        </w:rPr>
        <w:t xml:space="preserve"> in </w:t>
      </w:r>
      <w:r w:rsidRPr="007360B0">
        <w:rPr>
          <w:i/>
          <w:lang w:val="en-US"/>
        </w:rPr>
        <w:t>Halter v. Nebraska</w:t>
      </w:r>
      <w:r w:rsidRPr="00B3154E">
        <w:rPr>
          <w:lang w:val="en-US"/>
        </w:rPr>
        <w:t>, 205 U.S. 34, 37</w:t>
      </w:r>
      <w:r w:rsidRPr="00EC5BEB">
        <w:rPr>
          <w:lang w:val="en-US"/>
        </w:rPr>
        <w:t xml:space="preserve"> = 27 S. Ct. </w:t>
      </w:r>
      <w:r w:rsidRPr="00B3154E">
        <w:rPr>
          <w:lang w:val="en-US"/>
        </w:rPr>
        <w:t>419, 420</w:t>
      </w:r>
      <w:r w:rsidRPr="00EC5BEB">
        <w:rPr>
          <w:lang w:val="en-US"/>
        </w:rPr>
        <w:t xml:space="preserve"> = 1907 U.S. LEXIS </w:t>
      </w:r>
      <w:r w:rsidRPr="00B3154E">
        <w:rPr>
          <w:lang w:val="en-US"/>
        </w:rPr>
        <w:t>1450, 7</w:t>
      </w:r>
      <w:r w:rsidRPr="00EC5BEB">
        <w:rPr>
          <w:lang w:val="en-US"/>
        </w:rPr>
        <w:t xml:space="preserve"> = 51 L. Ed. </w:t>
      </w:r>
      <w:r w:rsidRPr="00B3154E">
        <w:rPr>
          <w:lang w:val="en-US"/>
        </w:rPr>
        <w:t>696 (1907)</w:t>
      </w:r>
      <w:r>
        <w:rPr>
          <w:lang w:val="en-US"/>
        </w:rPr>
        <w:t>.</w:t>
      </w:r>
    </w:p>
  </w:footnote>
  <w:footnote w:id="315">
    <w:p w14:paraId="471B13E9" w14:textId="373F8592" w:rsidR="00074551" w:rsidRPr="00EC7EEA" w:rsidRDefault="00074551" w:rsidP="00074551">
      <w:pPr>
        <w:pStyle w:val="Funotentext"/>
        <w:rPr>
          <w:lang w:val="en-US"/>
        </w:rPr>
      </w:pPr>
      <w:r>
        <w:rPr>
          <w:rStyle w:val="Funotenzeichen"/>
        </w:rPr>
        <w:footnoteRef/>
      </w:r>
      <w:r w:rsidRPr="00EC7EEA">
        <w:rPr>
          <w:lang w:val="en-US"/>
        </w:rPr>
        <w:t xml:space="preserve"> </w:t>
      </w:r>
      <w:r w:rsidR="006C31B7" w:rsidRPr="007360B0">
        <w:rPr>
          <w:i/>
          <w:lang w:val="en-US"/>
        </w:rPr>
        <w:t>Halter v. Nebraska</w:t>
      </w:r>
      <w:r w:rsidR="006C31B7" w:rsidRPr="00193BDF">
        <w:rPr>
          <w:lang w:val="en-US"/>
        </w:rPr>
        <w:t xml:space="preserve">, 205 U.S. 34, </w:t>
      </w:r>
      <w:r w:rsidR="006C31B7">
        <w:rPr>
          <w:lang w:val="en-US"/>
        </w:rPr>
        <w:t>45-46</w:t>
      </w:r>
      <w:r w:rsidR="006C31B7" w:rsidRPr="00EC5BEB">
        <w:rPr>
          <w:lang w:val="en-US"/>
        </w:rPr>
        <w:t xml:space="preserve"> = 27 S. Ct. </w:t>
      </w:r>
      <w:r w:rsidR="006C31B7" w:rsidRPr="00193BDF">
        <w:rPr>
          <w:lang w:val="en-US"/>
        </w:rPr>
        <w:t>419, 421</w:t>
      </w:r>
      <w:r w:rsidR="006C31B7" w:rsidRPr="00EC5BEB">
        <w:rPr>
          <w:lang w:val="en-US"/>
        </w:rPr>
        <w:t xml:space="preserve"> = 1907 U.S. LEXIS </w:t>
      </w:r>
      <w:r w:rsidR="006C31B7" w:rsidRPr="00193BDF">
        <w:rPr>
          <w:lang w:val="en-US"/>
        </w:rPr>
        <w:t>1450, 12</w:t>
      </w:r>
      <w:r w:rsidR="006C31B7" w:rsidRPr="00EC5BEB">
        <w:rPr>
          <w:lang w:val="en-US"/>
        </w:rPr>
        <w:t xml:space="preserve"> = 51 L. Ed. </w:t>
      </w:r>
      <w:r w:rsidR="006C31B7" w:rsidRPr="00193BDF">
        <w:rPr>
          <w:lang w:val="en-US"/>
        </w:rPr>
        <w:t>696 (1907)</w:t>
      </w:r>
      <w:r w:rsidR="006C31B7">
        <w:rPr>
          <w:lang w:val="en-US"/>
        </w:rPr>
        <w:t>.</w:t>
      </w:r>
    </w:p>
  </w:footnote>
  <w:footnote w:id="316">
    <w:p w14:paraId="74D79A06" w14:textId="77777777" w:rsidR="00074551" w:rsidRPr="00193BDF" w:rsidRDefault="00074551" w:rsidP="00074551">
      <w:pPr>
        <w:pStyle w:val="Funotentext"/>
        <w:rPr>
          <w:lang w:val="en-US"/>
        </w:rPr>
      </w:pPr>
      <w:r>
        <w:rPr>
          <w:rStyle w:val="Funotenzeichen"/>
        </w:rPr>
        <w:footnoteRef/>
      </w:r>
      <w:r w:rsidRPr="00193BDF">
        <w:rPr>
          <w:lang w:val="en-US"/>
        </w:rPr>
        <w:t xml:space="preserve"> </w:t>
      </w:r>
      <w:r w:rsidRPr="007360B0">
        <w:rPr>
          <w:i/>
          <w:lang w:val="en-US"/>
        </w:rPr>
        <w:t>Halter v. Nebraska</w:t>
      </w:r>
      <w:r w:rsidRPr="00193BDF">
        <w:rPr>
          <w:lang w:val="en-US"/>
        </w:rPr>
        <w:t>, 205 U.S. 34, 41</w:t>
      </w:r>
      <w:r w:rsidRPr="00EC5BEB">
        <w:rPr>
          <w:lang w:val="en-US"/>
        </w:rPr>
        <w:t xml:space="preserve"> = 27 S. Ct. </w:t>
      </w:r>
      <w:r w:rsidRPr="00193BDF">
        <w:rPr>
          <w:lang w:val="en-US"/>
        </w:rPr>
        <w:t>419, 421</w:t>
      </w:r>
      <w:r w:rsidRPr="00EC5BEB">
        <w:rPr>
          <w:lang w:val="en-US"/>
        </w:rPr>
        <w:t xml:space="preserve"> = 1907 U.S. LEXIS </w:t>
      </w:r>
      <w:r w:rsidRPr="00193BDF">
        <w:rPr>
          <w:lang w:val="en-US"/>
        </w:rPr>
        <w:t>1450, 12</w:t>
      </w:r>
      <w:r w:rsidRPr="00EC5BEB">
        <w:rPr>
          <w:lang w:val="en-US"/>
        </w:rPr>
        <w:t xml:space="preserve"> = 51 L. Ed. </w:t>
      </w:r>
      <w:r w:rsidRPr="00193BDF">
        <w:rPr>
          <w:lang w:val="en-US"/>
        </w:rPr>
        <w:t>696 (1907)</w:t>
      </w:r>
      <w:r>
        <w:rPr>
          <w:lang w:val="en-US"/>
        </w:rPr>
        <w:t>.</w:t>
      </w:r>
    </w:p>
  </w:footnote>
  <w:footnote w:id="317">
    <w:p w14:paraId="0E3CC3DB" w14:textId="77777777" w:rsidR="00074551" w:rsidRPr="00564A2B" w:rsidRDefault="00074551" w:rsidP="00074551">
      <w:pPr>
        <w:pStyle w:val="Funotentext"/>
        <w:rPr>
          <w:lang w:val="en-US"/>
        </w:rPr>
      </w:pPr>
      <w:r>
        <w:rPr>
          <w:rStyle w:val="Funotenzeichen"/>
        </w:rPr>
        <w:footnoteRef/>
      </w:r>
      <w:r w:rsidRPr="00564A2B">
        <w:rPr>
          <w:lang w:val="en-US"/>
        </w:rPr>
        <w:t xml:space="preserve"> </w:t>
      </w:r>
      <w:r w:rsidRPr="007360B0">
        <w:rPr>
          <w:i/>
          <w:lang w:val="en-US"/>
        </w:rPr>
        <w:t>Halter v. Nebraska</w:t>
      </w:r>
      <w:r w:rsidRPr="00564A2B">
        <w:rPr>
          <w:lang w:val="en-US"/>
        </w:rPr>
        <w:t>, 205 U.S. 34, 41</w:t>
      </w:r>
      <w:r w:rsidRPr="00EC5BEB">
        <w:rPr>
          <w:lang w:val="en-US"/>
        </w:rPr>
        <w:t xml:space="preserve"> = 27 S. Ct. </w:t>
      </w:r>
      <w:r w:rsidRPr="00564A2B">
        <w:rPr>
          <w:lang w:val="en-US"/>
        </w:rPr>
        <w:t>419, 421</w:t>
      </w:r>
      <w:r w:rsidRPr="00EC5BEB">
        <w:rPr>
          <w:lang w:val="en-US"/>
        </w:rPr>
        <w:t xml:space="preserve"> = 1907 U.S. LEXIS </w:t>
      </w:r>
      <w:r w:rsidRPr="00564A2B">
        <w:rPr>
          <w:lang w:val="en-US"/>
        </w:rPr>
        <w:t>1450, 13</w:t>
      </w:r>
      <w:r w:rsidRPr="00EC5BEB">
        <w:rPr>
          <w:lang w:val="en-US"/>
        </w:rPr>
        <w:t xml:space="preserve"> = 51 L. Ed. </w:t>
      </w:r>
      <w:r w:rsidRPr="00564A2B">
        <w:rPr>
          <w:lang w:val="en-US"/>
        </w:rPr>
        <w:t>696 (1907)</w:t>
      </w:r>
      <w:r>
        <w:rPr>
          <w:lang w:val="en-US"/>
        </w:rPr>
        <w:t>.</w:t>
      </w:r>
    </w:p>
  </w:footnote>
  <w:footnote w:id="318">
    <w:p w14:paraId="4C325CC8" w14:textId="77777777" w:rsidR="00074551" w:rsidRPr="00564A2B" w:rsidRDefault="00074551" w:rsidP="00074551">
      <w:pPr>
        <w:pStyle w:val="Funotentext"/>
        <w:rPr>
          <w:lang w:val="en-US"/>
        </w:rPr>
      </w:pPr>
      <w:r>
        <w:rPr>
          <w:rStyle w:val="Funotenzeichen"/>
        </w:rPr>
        <w:footnoteRef/>
      </w:r>
      <w:r w:rsidRPr="00564A2B">
        <w:rPr>
          <w:lang w:val="en-US"/>
        </w:rPr>
        <w:t xml:space="preserve"> </w:t>
      </w:r>
      <w:r w:rsidRPr="007360B0">
        <w:rPr>
          <w:i/>
          <w:lang w:val="en-US"/>
        </w:rPr>
        <w:t>Halter v. Nebraska</w:t>
      </w:r>
      <w:r w:rsidRPr="00564A2B">
        <w:rPr>
          <w:lang w:val="en-US"/>
        </w:rPr>
        <w:t>, 205 U.S. 34, 41</w:t>
      </w:r>
      <w:r w:rsidRPr="00EC5BEB">
        <w:rPr>
          <w:lang w:val="en-US"/>
        </w:rPr>
        <w:t xml:space="preserve"> = 27 S. Ct. </w:t>
      </w:r>
      <w:r w:rsidRPr="00564A2B">
        <w:rPr>
          <w:lang w:val="en-US"/>
        </w:rPr>
        <w:t>419, 421</w:t>
      </w:r>
      <w:r w:rsidRPr="00EC5BEB">
        <w:rPr>
          <w:lang w:val="en-US"/>
        </w:rPr>
        <w:t xml:space="preserve"> = 1907 U.S. LEXIS </w:t>
      </w:r>
      <w:r w:rsidRPr="00564A2B">
        <w:rPr>
          <w:lang w:val="en-US"/>
        </w:rPr>
        <w:t>1450, 13</w:t>
      </w:r>
      <w:r w:rsidRPr="00EC5BEB">
        <w:rPr>
          <w:lang w:val="en-US"/>
        </w:rPr>
        <w:t xml:space="preserve"> = 51 L. Ed. </w:t>
      </w:r>
      <w:r w:rsidRPr="00564A2B">
        <w:rPr>
          <w:lang w:val="en-US"/>
        </w:rPr>
        <w:t>696 (1907)</w:t>
      </w:r>
      <w:r>
        <w:rPr>
          <w:lang w:val="en-US"/>
        </w:rPr>
        <w:t>.</w:t>
      </w:r>
    </w:p>
  </w:footnote>
  <w:footnote w:id="319">
    <w:p w14:paraId="431E55A6" w14:textId="77777777" w:rsidR="00074551" w:rsidRPr="00D75086" w:rsidRDefault="00074551" w:rsidP="00074551">
      <w:pPr>
        <w:pStyle w:val="Funotentext"/>
        <w:rPr>
          <w:lang w:val="en-US"/>
        </w:rPr>
      </w:pPr>
      <w:r>
        <w:rPr>
          <w:rStyle w:val="Funotenzeichen"/>
        </w:rPr>
        <w:footnoteRef/>
      </w:r>
      <w:r w:rsidRPr="00D75086">
        <w:rPr>
          <w:lang w:val="en-US"/>
        </w:rPr>
        <w:t xml:space="preserve"> „</w:t>
      </w:r>
      <w:r>
        <w:rPr>
          <w:lang w:val="en-US"/>
        </w:rPr>
        <w:t xml:space="preserve">[A] </w:t>
      </w:r>
      <w:r w:rsidRPr="00D75086">
        <w:rPr>
          <w:lang w:val="en-US"/>
        </w:rPr>
        <w:t xml:space="preserve">public officer who judges local and less important legal cases, and performs marriage </w:t>
      </w:r>
      <w:proofErr w:type="gramStart"/>
      <w:r w:rsidRPr="00D75086">
        <w:rPr>
          <w:lang w:val="en-US"/>
        </w:rPr>
        <w:t>ceremonies“</w:t>
      </w:r>
      <w:proofErr w:type="gramEnd"/>
      <w:r>
        <w:rPr>
          <w:lang w:val="en-US"/>
        </w:rPr>
        <w:t xml:space="preserve">, </w:t>
      </w:r>
      <w:r w:rsidRPr="00B45592">
        <w:rPr>
          <w:lang w:val="en-IE"/>
        </w:rPr>
        <w:t>https://dictionary.cambridge.org/de/worterbuch/englisch/justice-of-the-peace</w:t>
      </w:r>
      <w:r>
        <w:rPr>
          <w:lang w:val="en-US"/>
        </w:rPr>
        <w:t xml:space="preserve"> (27.04.2026).</w:t>
      </w:r>
    </w:p>
  </w:footnote>
  <w:footnote w:id="320">
    <w:p w14:paraId="7DC897D8" w14:textId="77777777" w:rsidR="00074551" w:rsidRPr="00857778" w:rsidRDefault="00074551" w:rsidP="00074551">
      <w:pPr>
        <w:pStyle w:val="Funotentext"/>
      </w:pPr>
      <w:r>
        <w:rPr>
          <w:rStyle w:val="Funotenzeichen"/>
        </w:rPr>
        <w:footnoteRef/>
      </w:r>
      <w:r w:rsidRPr="00857778">
        <w:t xml:space="preserve"> Für die Zusammenfassung siehe </w:t>
      </w:r>
      <w:r w:rsidRPr="00B45592">
        <w:t>https://www.oyez.org/cases/1789-1850/5us137</w:t>
      </w:r>
      <w:r>
        <w:t xml:space="preserve"> (27.04.2026).</w:t>
      </w:r>
    </w:p>
  </w:footnote>
  <w:footnote w:id="321">
    <w:p w14:paraId="137631CE" w14:textId="77777777" w:rsidR="00074551" w:rsidRPr="007B644B" w:rsidRDefault="00074551" w:rsidP="00074551">
      <w:pPr>
        <w:pStyle w:val="Funotentext"/>
      </w:pPr>
      <w:r>
        <w:rPr>
          <w:rStyle w:val="Funotenzeichen"/>
        </w:rPr>
        <w:footnoteRef/>
      </w:r>
      <w:r w:rsidRPr="007B644B">
        <w:t xml:space="preserve"> </w:t>
      </w:r>
      <w:r w:rsidRPr="00B45592">
        <w:t>https://www.law.cornell.edu/wex/marbury_v_madison_(1803)</w:t>
      </w:r>
      <w:r w:rsidRPr="007B644B">
        <w:t xml:space="preserve"> </w:t>
      </w:r>
      <w:r>
        <w:t>(27.04.2026).</w:t>
      </w:r>
    </w:p>
  </w:footnote>
  <w:footnote w:id="322">
    <w:p w14:paraId="38617ABC" w14:textId="77777777" w:rsidR="00074551" w:rsidRPr="009A73F8" w:rsidRDefault="00074551" w:rsidP="00074551">
      <w:pPr>
        <w:pStyle w:val="Funotentext"/>
        <w:rPr>
          <w:lang w:val="en-US"/>
        </w:rPr>
      </w:pPr>
      <w:r>
        <w:rPr>
          <w:rStyle w:val="Funotenzeichen"/>
        </w:rPr>
        <w:footnoteRef/>
      </w:r>
      <w:r w:rsidRPr="009A73F8">
        <w:rPr>
          <w:lang w:val="en-US"/>
        </w:rPr>
        <w:t xml:space="preserve"> </w:t>
      </w:r>
      <w:r w:rsidRPr="007360B0">
        <w:rPr>
          <w:i/>
          <w:lang w:val="en-US"/>
        </w:rPr>
        <w:t>Marbury v. Madison</w:t>
      </w:r>
      <w:r w:rsidRPr="009A73F8">
        <w:rPr>
          <w:lang w:val="en-US"/>
        </w:rPr>
        <w:t>, 5 U.S. 137, 176</w:t>
      </w:r>
      <w:r>
        <w:rPr>
          <w:lang w:val="en-US"/>
        </w:rPr>
        <w:t xml:space="preserve"> = 2 L. Ed.</w:t>
      </w:r>
      <w:r w:rsidRPr="009A73F8">
        <w:rPr>
          <w:lang w:val="en-US"/>
        </w:rPr>
        <w:t xml:space="preserve"> 60, 73</w:t>
      </w:r>
      <w:r w:rsidRPr="00EC5BEB">
        <w:rPr>
          <w:lang w:val="en-US"/>
        </w:rPr>
        <w:t xml:space="preserve"> = 1803 U.S. LEXIS </w:t>
      </w:r>
      <w:r w:rsidRPr="009A73F8">
        <w:rPr>
          <w:lang w:val="en-US"/>
        </w:rPr>
        <w:t>352, 70</w:t>
      </w:r>
      <w:r w:rsidRPr="00EC5BEB">
        <w:rPr>
          <w:lang w:val="en-US"/>
        </w:rPr>
        <w:t xml:space="preserve"> = 1 </w:t>
      </w:r>
      <w:proofErr w:type="spellStart"/>
      <w:r w:rsidRPr="00EC5BEB">
        <w:rPr>
          <w:lang w:val="en-US"/>
        </w:rPr>
        <w:t>Cranch</w:t>
      </w:r>
      <w:proofErr w:type="spellEnd"/>
      <w:r w:rsidRPr="00EC5BEB">
        <w:rPr>
          <w:lang w:val="en-US"/>
        </w:rPr>
        <w:t xml:space="preserve"> </w:t>
      </w:r>
      <w:r w:rsidRPr="009A73F8">
        <w:rPr>
          <w:lang w:val="en-US"/>
        </w:rPr>
        <w:t>137 (1803)</w:t>
      </w:r>
      <w:r>
        <w:rPr>
          <w:lang w:val="en-US"/>
        </w:rPr>
        <w:t>.</w:t>
      </w:r>
    </w:p>
  </w:footnote>
  <w:footnote w:id="323">
    <w:p w14:paraId="0EAE6268" w14:textId="77777777" w:rsidR="00074551" w:rsidRPr="005F7622" w:rsidRDefault="00074551" w:rsidP="00074551">
      <w:pPr>
        <w:pStyle w:val="Funotentext"/>
        <w:rPr>
          <w:lang w:val="en-US"/>
        </w:rPr>
      </w:pPr>
      <w:r>
        <w:rPr>
          <w:rStyle w:val="Funotenzeichen"/>
        </w:rPr>
        <w:footnoteRef/>
      </w:r>
      <w:r w:rsidRPr="005F7622">
        <w:rPr>
          <w:lang w:val="en-US"/>
        </w:rPr>
        <w:t xml:space="preserve"> </w:t>
      </w:r>
      <w:r w:rsidRPr="007360B0">
        <w:rPr>
          <w:i/>
          <w:lang w:val="en-US"/>
        </w:rPr>
        <w:t>Marbury v. Madison</w:t>
      </w:r>
      <w:r w:rsidRPr="005F7622">
        <w:rPr>
          <w:lang w:val="en-US"/>
        </w:rPr>
        <w:t>, 5 U.S. 137, 153</w:t>
      </w:r>
      <w:r>
        <w:rPr>
          <w:lang w:val="en-US"/>
        </w:rPr>
        <w:t xml:space="preserve"> = 2 L. Ed.</w:t>
      </w:r>
      <w:r w:rsidRPr="005F7622">
        <w:rPr>
          <w:lang w:val="en-US"/>
        </w:rPr>
        <w:t xml:space="preserve"> 60, 66</w:t>
      </w:r>
      <w:r w:rsidRPr="00EC5BEB">
        <w:rPr>
          <w:lang w:val="en-US"/>
        </w:rPr>
        <w:t xml:space="preserve"> = 1803 U.S. LEXIS </w:t>
      </w:r>
      <w:r w:rsidRPr="005F7622">
        <w:rPr>
          <w:lang w:val="en-US"/>
        </w:rPr>
        <w:t>352, 2</w:t>
      </w:r>
      <w:r w:rsidRPr="00EC5BEB">
        <w:rPr>
          <w:lang w:val="en-US"/>
        </w:rPr>
        <w:t xml:space="preserve"> = 1 </w:t>
      </w:r>
      <w:proofErr w:type="spellStart"/>
      <w:r w:rsidRPr="00EC5BEB">
        <w:rPr>
          <w:lang w:val="en-US"/>
        </w:rPr>
        <w:t>Cranch</w:t>
      </w:r>
      <w:proofErr w:type="spellEnd"/>
      <w:r w:rsidRPr="00EC5BEB">
        <w:rPr>
          <w:lang w:val="en-US"/>
        </w:rPr>
        <w:t xml:space="preserve"> </w:t>
      </w:r>
      <w:r w:rsidRPr="005F7622">
        <w:rPr>
          <w:lang w:val="en-US"/>
        </w:rPr>
        <w:t>137 (1803)</w:t>
      </w:r>
      <w:r>
        <w:rPr>
          <w:lang w:val="en-US"/>
        </w:rPr>
        <w:t>.</w:t>
      </w:r>
    </w:p>
  </w:footnote>
  <w:footnote w:id="324">
    <w:p w14:paraId="5301D6AB" w14:textId="77777777" w:rsidR="00074551" w:rsidRPr="001059E3" w:rsidRDefault="00074551" w:rsidP="00074551">
      <w:pPr>
        <w:pStyle w:val="Funotentext"/>
        <w:rPr>
          <w:lang w:val="en-US"/>
        </w:rPr>
      </w:pPr>
      <w:r>
        <w:rPr>
          <w:rStyle w:val="Funotenzeichen"/>
        </w:rPr>
        <w:footnoteRef/>
      </w:r>
      <w:r w:rsidRPr="001059E3">
        <w:rPr>
          <w:lang w:val="en-US"/>
        </w:rPr>
        <w:t xml:space="preserve"> </w:t>
      </w:r>
      <w:r w:rsidRPr="007360B0">
        <w:rPr>
          <w:i/>
          <w:lang w:val="en-US"/>
        </w:rPr>
        <w:t>Marbury v. Madison</w:t>
      </w:r>
      <w:r w:rsidRPr="001059E3">
        <w:rPr>
          <w:lang w:val="en-US"/>
        </w:rPr>
        <w:t>, 5 U.S. 137, 176</w:t>
      </w:r>
      <w:r>
        <w:rPr>
          <w:lang w:val="en-US"/>
        </w:rPr>
        <w:t xml:space="preserve"> = 2 L. Ed.</w:t>
      </w:r>
      <w:r w:rsidRPr="001059E3">
        <w:rPr>
          <w:lang w:val="en-US"/>
        </w:rPr>
        <w:t xml:space="preserve"> 60, 73</w:t>
      </w:r>
      <w:r w:rsidRPr="00EC5BEB">
        <w:rPr>
          <w:lang w:val="en-US"/>
        </w:rPr>
        <w:t xml:space="preserve"> = 1803 U.S. LEXIS </w:t>
      </w:r>
      <w:r w:rsidRPr="001059E3">
        <w:rPr>
          <w:lang w:val="en-US"/>
        </w:rPr>
        <w:t>352, 70</w:t>
      </w:r>
      <w:r w:rsidRPr="00EC5BEB">
        <w:rPr>
          <w:lang w:val="en-US"/>
        </w:rPr>
        <w:t xml:space="preserve"> = 1 </w:t>
      </w:r>
      <w:proofErr w:type="spellStart"/>
      <w:r w:rsidRPr="00EC5BEB">
        <w:rPr>
          <w:lang w:val="en-US"/>
        </w:rPr>
        <w:t>Cranch</w:t>
      </w:r>
      <w:proofErr w:type="spellEnd"/>
      <w:r w:rsidRPr="00EC5BEB">
        <w:rPr>
          <w:lang w:val="en-US"/>
        </w:rPr>
        <w:t xml:space="preserve"> </w:t>
      </w:r>
      <w:r w:rsidRPr="001059E3">
        <w:rPr>
          <w:lang w:val="en-US"/>
        </w:rPr>
        <w:t>137 (1803).</w:t>
      </w:r>
    </w:p>
  </w:footnote>
  <w:footnote w:id="325">
    <w:p w14:paraId="08954261" w14:textId="77777777" w:rsidR="00074551" w:rsidRPr="001059E3" w:rsidRDefault="00074551" w:rsidP="00074551">
      <w:pPr>
        <w:pStyle w:val="Funotentext"/>
        <w:rPr>
          <w:lang w:val="en-US"/>
        </w:rPr>
      </w:pPr>
      <w:r>
        <w:rPr>
          <w:rStyle w:val="Funotenzeichen"/>
        </w:rPr>
        <w:footnoteRef/>
      </w:r>
      <w:r w:rsidRPr="001059E3">
        <w:rPr>
          <w:lang w:val="en-US"/>
        </w:rPr>
        <w:t xml:space="preserve"> </w:t>
      </w:r>
      <w:r w:rsidRPr="007360B0">
        <w:rPr>
          <w:i/>
          <w:lang w:val="en-US"/>
        </w:rPr>
        <w:t>Marbury v. Madison</w:t>
      </w:r>
      <w:r w:rsidRPr="001059E3">
        <w:rPr>
          <w:lang w:val="en-US"/>
        </w:rPr>
        <w:t>, 5 U.S. 137, 176</w:t>
      </w:r>
      <w:r>
        <w:rPr>
          <w:lang w:val="en-US"/>
        </w:rPr>
        <w:t xml:space="preserve"> = 2 L. Ed.</w:t>
      </w:r>
      <w:r w:rsidRPr="001059E3">
        <w:rPr>
          <w:lang w:val="en-US"/>
        </w:rPr>
        <w:t xml:space="preserve"> 60, 73</w:t>
      </w:r>
      <w:r w:rsidRPr="00EC5BEB">
        <w:rPr>
          <w:lang w:val="en-US"/>
        </w:rPr>
        <w:t xml:space="preserve"> = 1803 U.S. LEXIS </w:t>
      </w:r>
      <w:r w:rsidRPr="001059E3">
        <w:rPr>
          <w:lang w:val="en-US"/>
        </w:rPr>
        <w:t>352, 70</w:t>
      </w:r>
      <w:r w:rsidRPr="00EC5BEB">
        <w:rPr>
          <w:lang w:val="en-US"/>
        </w:rPr>
        <w:t xml:space="preserve"> = 1 </w:t>
      </w:r>
      <w:proofErr w:type="spellStart"/>
      <w:r w:rsidRPr="00EC5BEB">
        <w:rPr>
          <w:lang w:val="en-US"/>
        </w:rPr>
        <w:t>Cranch</w:t>
      </w:r>
      <w:proofErr w:type="spellEnd"/>
      <w:r w:rsidRPr="00EC5BEB">
        <w:rPr>
          <w:lang w:val="en-US"/>
        </w:rPr>
        <w:t xml:space="preserve"> </w:t>
      </w:r>
      <w:r w:rsidRPr="001059E3">
        <w:rPr>
          <w:lang w:val="en-US"/>
        </w:rPr>
        <w:t>137 (1803).</w:t>
      </w:r>
    </w:p>
  </w:footnote>
  <w:footnote w:id="326">
    <w:p w14:paraId="61203810" w14:textId="77777777" w:rsidR="00074551" w:rsidRPr="00E744C5" w:rsidRDefault="00074551" w:rsidP="00074551">
      <w:pPr>
        <w:pStyle w:val="Funotentext"/>
        <w:rPr>
          <w:lang w:val="en-US"/>
        </w:rPr>
      </w:pPr>
      <w:r>
        <w:rPr>
          <w:rStyle w:val="Funotenzeichen"/>
        </w:rPr>
        <w:footnoteRef/>
      </w:r>
      <w:r w:rsidRPr="00E744C5">
        <w:rPr>
          <w:lang w:val="en-US"/>
        </w:rPr>
        <w:t xml:space="preserve"> </w:t>
      </w:r>
      <w:r>
        <w:rPr>
          <w:lang w:val="en-US"/>
        </w:rPr>
        <w:t>„[V]</w:t>
      </w:r>
      <w:proofErr w:type="spellStart"/>
      <w:r w:rsidRPr="00E744C5">
        <w:rPr>
          <w:lang w:val="en-US"/>
        </w:rPr>
        <w:t>iolation</w:t>
      </w:r>
      <w:proofErr w:type="spellEnd"/>
      <w:r w:rsidRPr="00E744C5">
        <w:rPr>
          <w:lang w:val="en-US"/>
        </w:rPr>
        <w:t xml:space="preserve"> of the 10th section of the 1st article of the constitution of the United States, which declares that no State shall pass any law impairing the obligation of </w:t>
      </w:r>
      <w:proofErr w:type="gramStart"/>
      <w:r w:rsidRPr="00E744C5">
        <w:rPr>
          <w:lang w:val="en-US"/>
        </w:rPr>
        <w:t>contracts.</w:t>
      </w:r>
      <w:r>
        <w:rPr>
          <w:lang w:val="en-US"/>
        </w:rPr>
        <w:t>“</w:t>
      </w:r>
      <w:proofErr w:type="gramEnd"/>
      <w:r>
        <w:rPr>
          <w:lang w:val="en-US"/>
        </w:rPr>
        <w:t>,</w:t>
      </w:r>
    </w:p>
    <w:p w14:paraId="2C1399D3" w14:textId="77777777" w:rsidR="00074551" w:rsidRPr="00E744C5" w:rsidRDefault="00074551" w:rsidP="00074551">
      <w:pPr>
        <w:pStyle w:val="Funotentext"/>
        <w:rPr>
          <w:lang w:val="en-US"/>
        </w:rPr>
      </w:pPr>
      <w:r w:rsidRPr="007360B0">
        <w:rPr>
          <w:i/>
          <w:lang w:val="en-US"/>
        </w:rPr>
        <w:t>Dodge v. Woolsey</w:t>
      </w:r>
      <w:r w:rsidRPr="00E744C5">
        <w:rPr>
          <w:lang w:val="en-US"/>
        </w:rPr>
        <w:t>, 59 U.S. 331, 339</w:t>
      </w:r>
      <w:r>
        <w:rPr>
          <w:lang w:val="en-US"/>
        </w:rPr>
        <w:t xml:space="preserve"> = 15 L. Ed. </w:t>
      </w:r>
      <w:r w:rsidRPr="00E744C5">
        <w:rPr>
          <w:lang w:val="en-US"/>
        </w:rPr>
        <w:t>401, 404</w:t>
      </w:r>
      <w:r w:rsidRPr="00EC5BEB">
        <w:rPr>
          <w:lang w:val="en-US"/>
        </w:rPr>
        <w:t xml:space="preserve"> = 1855 U.S. LEXIS </w:t>
      </w:r>
      <w:r w:rsidRPr="00E744C5">
        <w:rPr>
          <w:lang w:val="en-US"/>
        </w:rPr>
        <w:t>704, 19</w:t>
      </w:r>
      <w:r>
        <w:rPr>
          <w:lang w:val="en-US"/>
        </w:rPr>
        <w:t xml:space="preserve"> = 4 A.F.T.R</w:t>
      </w:r>
      <w:r w:rsidRPr="00E744C5">
        <w:rPr>
          <w:lang w:val="en-US"/>
        </w:rPr>
        <w:t>. (P-H) 4528</w:t>
      </w:r>
      <w:r w:rsidRPr="00EC5BEB">
        <w:rPr>
          <w:lang w:val="en-US"/>
        </w:rPr>
        <w:t xml:space="preserve"> = 18 HOW </w:t>
      </w:r>
      <w:r w:rsidRPr="00E744C5">
        <w:rPr>
          <w:lang w:val="en-US"/>
        </w:rPr>
        <w:t>331 (1856)</w:t>
      </w:r>
      <w:r>
        <w:rPr>
          <w:lang w:val="en-US"/>
        </w:rPr>
        <w:t>.</w:t>
      </w:r>
    </w:p>
  </w:footnote>
  <w:footnote w:id="327">
    <w:p w14:paraId="07010F98" w14:textId="77777777" w:rsidR="00074551" w:rsidRPr="00173543" w:rsidRDefault="00074551" w:rsidP="00074551">
      <w:pPr>
        <w:pStyle w:val="Funotentext"/>
        <w:rPr>
          <w:lang w:val="en-US"/>
        </w:rPr>
      </w:pPr>
      <w:r>
        <w:rPr>
          <w:rStyle w:val="Funotenzeichen"/>
        </w:rPr>
        <w:footnoteRef/>
      </w:r>
      <w:r w:rsidRPr="00173543">
        <w:rPr>
          <w:lang w:val="en-US"/>
        </w:rPr>
        <w:t xml:space="preserve"> </w:t>
      </w:r>
      <w:r w:rsidRPr="007360B0">
        <w:rPr>
          <w:i/>
          <w:lang w:val="en-US"/>
        </w:rPr>
        <w:t>Dodge v. Woolsey</w:t>
      </w:r>
      <w:r w:rsidRPr="00173543">
        <w:rPr>
          <w:lang w:val="en-US"/>
        </w:rPr>
        <w:t>, 59 U.S. 331, 336</w:t>
      </w:r>
      <w:r>
        <w:rPr>
          <w:lang w:val="en-US"/>
        </w:rPr>
        <w:t xml:space="preserve"> = 15 L. Ed. </w:t>
      </w:r>
      <w:r w:rsidRPr="00173543">
        <w:rPr>
          <w:lang w:val="en-US"/>
        </w:rPr>
        <w:t>401, 402</w:t>
      </w:r>
      <w:r w:rsidRPr="00EC5BEB">
        <w:rPr>
          <w:lang w:val="en-US"/>
        </w:rPr>
        <w:t xml:space="preserve"> = 1855 U.S. LEXIS </w:t>
      </w:r>
      <w:r w:rsidRPr="00173543">
        <w:rPr>
          <w:lang w:val="en-US"/>
        </w:rPr>
        <w:t>704, 1</w:t>
      </w:r>
      <w:r>
        <w:rPr>
          <w:lang w:val="en-US"/>
        </w:rPr>
        <w:t xml:space="preserve"> = 4 A.F.T.R</w:t>
      </w:r>
      <w:r w:rsidRPr="00173543">
        <w:rPr>
          <w:lang w:val="en-US"/>
        </w:rPr>
        <w:t>. (P-H) 4528</w:t>
      </w:r>
      <w:r w:rsidRPr="00EC5BEB">
        <w:rPr>
          <w:lang w:val="en-US"/>
        </w:rPr>
        <w:t xml:space="preserve"> = 18 HOW </w:t>
      </w:r>
      <w:r w:rsidRPr="00173543">
        <w:rPr>
          <w:lang w:val="en-US"/>
        </w:rPr>
        <w:t>331 (1856)</w:t>
      </w:r>
      <w:r>
        <w:rPr>
          <w:lang w:val="en-US"/>
        </w:rPr>
        <w:t>.</w:t>
      </w:r>
    </w:p>
  </w:footnote>
  <w:footnote w:id="328">
    <w:p w14:paraId="4EBFE8D3" w14:textId="77777777" w:rsidR="00074551" w:rsidRPr="004421DD" w:rsidRDefault="00074551" w:rsidP="00074551">
      <w:pPr>
        <w:pStyle w:val="Funotentext"/>
        <w:rPr>
          <w:lang w:val="en-US"/>
        </w:rPr>
      </w:pPr>
      <w:r>
        <w:rPr>
          <w:rStyle w:val="Funotenzeichen"/>
        </w:rPr>
        <w:footnoteRef/>
      </w:r>
      <w:r w:rsidRPr="004421DD">
        <w:rPr>
          <w:lang w:val="en-US"/>
        </w:rPr>
        <w:t xml:space="preserve"> </w:t>
      </w:r>
      <w:r w:rsidRPr="007360B0">
        <w:rPr>
          <w:i/>
          <w:lang w:val="en-US"/>
        </w:rPr>
        <w:t>Dodge v. Woolsey</w:t>
      </w:r>
      <w:r w:rsidRPr="004421DD">
        <w:rPr>
          <w:lang w:val="en-US"/>
        </w:rPr>
        <w:t>, 59 U.S. 331, 336</w:t>
      </w:r>
      <w:r>
        <w:rPr>
          <w:lang w:val="en-US"/>
        </w:rPr>
        <w:t xml:space="preserve"> = 15 L. Ed. </w:t>
      </w:r>
      <w:r w:rsidRPr="004421DD">
        <w:rPr>
          <w:lang w:val="en-US"/>
        </w:rPr>
        <w:t>401, 402</w:t>
      </w:r>
      <w:r w:rsidRPr="00EC5BEB">
        <w:rPr>
          <w:lang w:val="en-US"/>
        </w:rPr>
        <w:t xml:space="preserve"> = 1855 U.S. LEXIS </w:t>
      </w:r>
      <w:r w:rsidRPr="004421DD">
        <w:rPr>
          <w:lang w:val="en-US"/>
        </w:rPr>
        <w:t>704, 1</w:t>
      </w:r>
      <w:r>
        <w:rPr>
          <w:lang w:val="en-US"/>
        </w:rPr>
        <w:t xml:space="preserve"> = 4 A.F.T.R</w:t>
      </w:r>
      <w:r w:rsidRPr="004421DD">
        <w:rPr>
          <w:lang w:val="en-US"/>
        </w:rPr>
        <w:t>. (P-H) 4528</w:t>
      </w:r>
      <w:r w:rsidRPr="00EC5BEB">
        <w:rPr>
          <w:lang w:val="en-US"/>
        </w:rPr>
        <w:t xml:space="preserve"> = 18 HOW </w:t>
      </w:r>
      <w:r w:rsidRPr="004421DD">
        <w:rPr>
          <w:lang w:val="en-US"/>
        </w:rPr>
        <w:t>331 (1856)</w:t>
      </w:r>
      <w:r>
        <w:rPr>
          <w:lang w:val="en-US"/>
        </w:rPr>
        <w:t>.</w:t>
      </w:r>
    </w:p>
  </w:footnote>
  <w:footnote w:id="329">
    <w:p w14:paraId="3353BFBE" w14:textId="77777777" w:rsidR="00074551" w:rsidRPr="00425B31" w:rsidRDefault="00074551" w:rsidP="00074551">
      <w:pPr>
        <w:pStyle w:val="Funotentext"/>
        <w:rPr>
          <w:lang w:val="en-US"/>
        </w:rPr>
      </w:pPr>
      <w:r>
        <w:rPr>
          <w:rStyle w:val="Funotenzeichen"/>
        </w:rPr>
        <w:footnoteRef/>
      </w:r>
      <w:r w:rsidRPr="00425B31">
        <w:rPr>
          <w:lang w:val="en-US"/>
        </w:rPr>
        <w:t xml:space="preserve"> </w:t>
      </w:r>
      <w:r w:rsidRPr="007360B0">
        <w:rPr>
          <w:i/>
          <w:lang w:val="en-US"/>
        </w:rPr>
        <w:t>Dodge v. Woolsey</w:t>
      </w:r>
      <w:r w:rsidRPr="00425B31">
        <w:rPr>
          <w:lang w:val="en-US"/>
        </w:rPr>
        <w:t>, 59 U.S. 331, 374</w:t>
      </w:r>
      <w:r>
        <w:rPr>
          <w:lang w:val="en-US"/>
        </w:rPr>
        <w:t>–</w:t>
      </w:r>
      <w:r w:rsidRPr="00425B31">
        <w:rPr>
          <w:lang w:val="en-US"/>
        </w:rPr>
        <w:t>375</w:t>
      </w:r>
      <w:r>
        <w:rPr>
          <w:lang w:val="en-US"/>
        </w:rPr>
        <w:t xml:space="preserve"> = 15 L. Ed. </w:t>
      </w:r>
      <w:r w:rsidRPr="00425B31">
        <w:rPr>
          <w:lang w:val="en-US"/>
        </w:rPr>
        <w:t>401, 419</w:t>
      </w:r>
      <w:r w:rsidRPr="00EC5BEB">
        <w:rPr>
          <w:lang w:val="en-US"/>
        </w:rPr>
        <w:t xml:space="preserve"> = 1855 U.S. LEXIS </w:t>
      </w:r>
      <w:r w:rsidRPr="00425B31">
        <w:rPr>
          <w:lang w:val="en-US"/>
        </w:rPr>
        <w:t>704, 99</w:t>
      </w:r>
      <w:r>
        <w:rPr>
          <w:lang w:val="en-US"/>
        </w:rPr>
        <w:t xml:space="preserve"> = 4 A.F.T.R</w:t>
      </w:r>
      <w:r w:rsidRPr="00425B31">
        <w:rPr>
          <w:lang w:val="en-US"/>
        </w:rPr>
        <w:t>. (P-H) 4528</w:t>
      </w:r>
      <w:r w:rsidRPr="00EC5BEB">
        <w:rPr>
          <w:lang w:val="en-US"/>
        </w:rPr>
        <w:t xml:space="preserve"> = 18 HOW </w:t>
      </w:r>
      <w:r w:rsidRPr="00425B31">
        <w:rPr>
          <w:lang w:val="en-US"/>
        </w:rPr>
        <w:t>331 (1856)</w:t>
      </w:r>
      <w:r>
        <w:rPr>
          <w:lang w:val="en-US"/>
        </w:rPr>
        <w:t>.</w:t>
      </w:r>
    </w:p>
  </w:footnote>
  <w:footnote w:id="330">
    <w:p w14:paraId="2EEFB4BD" w14:textId="77777777" w:rsidR="00074551" w:rsidRPr="00B85E87" w:rsidRDefault="00074551" w:rsidP="00074551">
      <w:pPr>
        <w:pStyle w:val="Funotentext"/>
        <w:rPr>
          <w:lang w:val="en-US"/>
        </w:rPr>
      </w:pPr>
      <w:r>
        <w:rPr>
          <w:rStyle w:val="Funotenzeichen"/>
        </w:rPr>
        <w:footnoteRef/>
      </w:r>
      <w:r w:rsidRPr="00B85E87">
        <w:rPr>
          <w:lang w:val="en-US"/>
        </w:rPr>
        <w:t xml:space="preserve"> </w:t>
      </w:r>
      <w:r w:rsidRPr="007360B0">
        <w:rPr>
          <w:i/>
          <w:lang w:val="en-US"/>
        </w:rPr>
        <w:t>Dodge v. Woolsey</w:t>
      </w:r>
      <w:r w:rsidRPr="00B85E87">
        <w:rPr>
          <w:lang w:val="en-US"/>
        </w:rPr>
        <w:t>, 59 U.S. 331, 375</w:t>
      </w:r>
      <w:r>
        <w:rPr>
          <w:lang w:val="en-US"/>
        </w:rPr>
        <w:t xml:space="preserve"> = 15 L. Ed. </w:t>
      </w:r>
      <w:r w:rsidRPr="00B85E87">
        <w:rPr>
          <w:lang w:val="en-US"/>
        </w:rPr>
        <w:t>401, 419</w:t>
      </w:r>
      <w:r w:rsidRPr="00EC5BEB">
        <w:rPr>
          <w:lang w:val="en-US"/>
        </w:rPr>
        <w:t xml:space="preserve"> = 1855 U.S. LEXIS </w:t>
      </w:r>
      <w:r w:rsidRPr="00B85E87">
        <w:rPr>
          <w:lang w:val="en-US"/>
        </w:rPr>
        <w:t>704, 100</w:t>
      </w:r>
      <w:r>
        <w:rPr>
          <w:lang w:val="en-US"/>
        </w:rPr>
        <w:t xml:space="preserve"> = 4 A.F.T.R</w:t>
      </w:r>
      <w:r w:rsidRPr="00B85E87">
        <w:rPr>
          <w:lang w:val="en-US"/>
        </w:rPr>
        <w:t>. (P-H) 4528</w:t>
      </w:r>
      <w:r w:rsidRPr="00EC5BEB">
        <w:rPr>
          <w:lang w:val="en-US"/>
        </w:rPr>
        <w:t xml:space="preserve"> = 18 HOW </w:t>
      </w:r>
      <w:r w:rsidRPr="00B85E87">
        <w:rPr>
          <w:lang w:val="en-US"/>
        </w:rPr>
        <w:t>331 (1856)</w:t>
      </w:r>
      <w:r>
        <w:rPr>
          <w:lang w:val="en-US"/>
        </w:rPr>
        <w:t>.</w:t>
      </w:r>
    </w:p>
  </w:footnote>
  <w:footnote w:id="331">
    <w:p w14:paraId="3CF592E6" w14:textId="77777777" w:rsidR="00074551" w:rsidRPr="00404B99" w:rsidRDefault="00074551" w:rsidP="00074551">
      <w:pPr>
        <w:pStyle w:val="Funotentext"/>
        <w:jc w:val="both"/>
        <w:rPr>
          <w:lang w:val="en-US"/>
        </w:rPr>
      </w:pPr>
      <w:r>
        <w:rPr>
          <w:rStyle w:val="Funotenzeichen"/>
        </w:rPr>
        <w:footnoteRef/>
      </w:r>
      <w:r w:rsidRPr="00404B99">
        <w:rPr>
          <w:lang w:val="en-US"/>
        </w:rPr>
        <w:t xml:space="preserve"> </w:t>
      </w:r>
      <w:r w:rsidRPr="00B45592">
        <w:rPr>
          <w:i/>
          <w:lang w:val="en-US"/>
        </w:rPr>
        <w:t>Act to reduce into one, the several acts, and parts of acts, to prevent unlawful gaming</w:t>
      </w:r>
      <w:r>
        <w:rPr>
          <w:lang w:val="en-US"/>
        </w:rPr>
        <w:t>: „</w:t>
      </w:r>
      <w:r w:rsidRPr="007E287B">
        <w:rPr>
          <w:lang w:val="en-US"/>
        </w:rPr>
        <w:t xml:space="preserve">that no person or persons shall buy, or sell, within the said Commonwealth, any lottery, or part or share of a lottery ticket, except in such lottery or lotteries as may be authorized by the laws </w:t>
      </w:r>
      <w:proofErr w:type="gramStart"/>
      <w:r w:rsidRPr="007E287B">
        <w:rPr>
          <w:lang w:val="en-US"/>
        </w:rPr>
        <w:t>thereo</w:t>
      </w:r>
      <w:r>
        <w:rPr>
          <w:lang w:val="en-US"/>
        </w:rPr>
        <w:t>f“</w:t>
      </w:r>
      <w:proofErr w:type="gramEnd"/>
      <w:r>
        <w:rPr>
          <w:lang w:val="en-US"/>
        </w:rPr>
        <w:t xml:space="preserve">, </w:t>
      </w:r>
      <w:r w:rsidRPr="007360B0">
        <w:rPr>
          <w:i/>
          <w:lang w:val="en-US"/>
        </w:rPr>
        <w:t>Cohens v. Virginia</w:t>
      </w:r>
      <w:r w:rsidRPr="007E287B">
        <w:rPr>
          <w:lang w:val="en-US"/>
        </w:rPr>
        <w:t>, 19 U.S. 264, 375</w:t>
      </w:r>
      <w:r>
        <w:rPr>
          <w:lang w:val="en-US"/>
        </w:rPr>
        <w:t xml:space="preserve"> = 5 L. Ed. </w:t>
      </w:r>
      <w:r w:rsidRPr="007E287B">
        <w:rPr>
          <w:lang w:val="en-US"/>
        </w:rPr>
        <w:t>257, 284</w:t>
      </w:r>
      <w:r w:rsidRPr="00EC5BEB">
        <w:rPr>
          <w:lang w:val="en-US"/>
        </w:rPr>
        <w:t xml:space="preserve"> = 1821 U.S. LEXIS </w:t>
      </w:r>
      <w:r w:rsidRPr="007E287B">
        <w:rPr>
          <w:lang w:val="en-US"/>
        </w:rPr>
        <w:t>362, 2</w:t>
      </w:r>
      <w:r>
        <w:rPr>
          <w:lang w:val="en-US"/>
        </w:rPr>
        <w:t>–</w:t>
      </w:r>
      <w:r w:rsidRPr="007E287B">
        <w:rPr>
          <w:lang w:val="en-US"/>
        </w:rPr>
        <w:t>3</w:t>
      </w:r>
      <w:r w:rsidRPr="00EC5BEB">
        <w:rPr>
          <w:lang w:val="en-US"/>
        </w:rPr>
        <w:t xml:space="preserve"> = 6 Wheat. </w:t>
      </w:r>
      <w:r w:rsidRPr="007E287B">
        <w:rPr>
          <w:lang w:val="en-US"/>
        </w:rPr>
        <w:t>264 (1821)</w:t>
      </w:r>
      <w:r>
        <w:rPr>
          <w:lang w:val="en-US"/>
        </w:rPr>
        <w:t>.</w:t>
      </w:r>
    </w:p>
  </w:footnote>
  <w:footnote w:id="332">
    <w:p w14:paraId="34114C09" w14:textId="77777777" w:rsidR="00074551" w:rsidRPr="007E287B" w:rsidRDefault="00074551" w:rsidP="00074551">
      <w:pPr>
        <w:pStyle w:val="Funotentext"/>
        <w:jc w:val="both"/>
        <w:rPr>
          <w:lang w:val="en-US"/>
        </w:rPr>
      </w:pPr>
      <w:r>
        <w:rPr>
          <w:rStyle w:val="Funotenzeichen"/>
        </w:rPr>
        <w:footnoteRef/>
      </w:r>
      <w:r w:rsidRPr="007E287B">
        <w:rPr>
          <w:lang w:val="en-US"/>
        </w:rPr>
        <w:t xml:space="preserve"> </w:t>
      </w:r>
      <w:proofErr w:type="gramStart"/>
      <w:r>
        <w:rPr>
          <w:lang w:val="en-US"/>
        </w:rPr>
        <w:t>„[</w:t>
      </w:r>
      <w:proofErr w:type="gramEnd"/>
      <w:r>
        <w:rPr>
          <w:lang w:val="en-US"/>
        </w:rPr>
        <w:t xml:space="preserve">This section] </w:t>
      </w:r>
      <w:r w:rsidRPr="007E287B">
        <w:rPr>
          <w:lang w:val="en-US"/>
        </w:rPr>
        <w:t xml:space="preserve">defines the extent of the judicial power of the United States. Jurisdiction is given to the Courts of the Union in two classes of cases. In the first, their jurisdiction depends on the character of the cause, whoever may be the parties. This class comprehends all cases in law and equity arising under this constitution, the laws of the United States, and treaties made, or which shall be made, under their authority. In the second class, the jurisdiction depends entirely on the character of the parties. In this are comprehended controversies between two or more States, between a State and citizens of another State, and between a State and foreign States, citizens or </w:t>
      </w:r>
      <w:proofErr w:type="gramStart"/>
      <w:r w:rsidRPr="007E287B">
        <w:rPr>
          <w:lang w:val="en-US"/>
        </w:rPr>
        <w:t>subjects“</w:t>
      </w:r>
      <w:proofErr w:type="gramEnd"/>
      <w:r w:rsidRPr="007E287B">
        <w:rPr>
          <w:lang w:val="en-US"/>
        </w:rPr>
        <w:t>,</w:t>
      </w:r>
      <w:r>
        <w:rPr>
          <w:lang w:val="en-US"/>
        </w:rPr>
        <w:t xml:space="preserve"> </w:t>
      </w:r>
      <w:r w:rsidRPr="007360B0">
        <w:rPr>
          <w:i/>
          <w:lang w:val="en-US"/>
        </w:rPr>
        <w:t>Cohens v. Virginia</w:t>
      </w:r>
      <w:r w:rsidRPr="007E287B">
        <w:rPr>
          <w:lang w:val="en-US"/>
        </w:rPr>
        <w:t>, 19 U.S. 264, 375</w:t>
      </w:r>
      <w:r>
        <w:rPr>
          <w:lang w:val="en-US"/>
        </w:rPr>
        <w:t xml:space="preserve"> = 5 L. Ed. </w:t>
      </w:r>
      <w:r w:rsidRPr="007E287B">
        <w:rPr>
          <w:lang w:val="en-US"/>
        </w:rPr>
        <w:t>257, 284</w:t>
      </w:r>
      <w:r w:rsidRPr="00EC5BEB">
        <w:rPr>
          <w:lang w:val="en-US"/>
        </w:rPr>
        <w:t xml:space="preserve"> = 1821 U.S. LEXIS </w:t>
      </w:r>
      <w:r w:rsidRPr="007E287B">
        <w:rPr>
          <w:lang w:val="en-US"/>
        </w:rPr>
        <w:t>362, 34</w:t>
      </w:r>
      <w:r w:rsidRPr="00EC5BEB">
        <w:rPr>
          <w:lang w:val="en-US"/>
        </w:rPr>
        <w:t xml:space="preserve"> = 6 Wheat. </w:t>
      </w:r>
      <w:r w:rsidRPr="007E287B">
        <w:rPr>
          <w:lang w:val="en-US"/>
        </w:rPr>
        <w:t>264 (1821)</w:t>
      </w:r>
      <w:r>
        <w:rPr>
          <w:lang w:val="en-US"/>
        </w:rPr>
        <w:t>.</w:t>
      </w:r>
    </w:p>
  </w:footnote>
  <w:footnote w:id="333">
    <w:p w14:paraId="169EBDE1" w14:textId="77777777" w:rsidR="00074551" w:rsidRPr="007E287B" w:rsidRDefault="00074551" w:rsidP="00074551">
      <w:pPr>
        <w:pStyle w:val="Funotentext"/>
        <w:jc w:val="both"/>
        <w:rPr>
          <w:lang w:val="en-US"/>
        </w:rPr>
      </w:pPr>
      <w:r>
        <w:rPr>
          <w:rStyle w:val="Funotenzeichen"/>
        </w:rPr>
        <w:footnoteRef/>
      </w:r>
      <w:r w:rsidRPr="007E287B">
        <w:rPr>
          <w:lang w:val="en-US"/>
        </w:rPr>
        <w:t xml:space="preserve"> </w:t>
      </w:r>
      <w:r w:rsidRPr="007360B0">
        <w:rPr>
          <w:i/>
          <w:lang w:val="en-US"/>
        </w:rPr>
        <w:t>Cohens v. Virginia</w:t>
      </w:r>
      <w:r w:rsidRPr="007E287B">
        <w:rPr>
          <w:lang w:val="en-US"/>
        </w:rPr>
        <w:t>, 19 U.S. 264, 375</w:t>
      </w:r>
      <w:r>
        <w:rPr>
          <w:lang w:val="en-US"/>
        </w:rPr>
        <w:t xml:space="preserve"> = 5 L. Ed. </w:t>
      </w:r>
      <w:r w:rsidRPr="007E287B">
        <w:rPr>
          <w:lang w:val="en-US"/>
        </w:rPr>
        <w:t>257, 284</w:t>
      </w:r>
      <w:r w:rsidRPr="00EC5BEB">
        <w:rPr>
          <w:lang w:val="en-US"/>
        </w:rPr>
        <w:t xml:space="preserve"> = 1821 U.S. LEXIS </w:t>
      </w:r>
      <w:r w:rsidRPr="007E287B">
        <w:rPr>
          <w:lang w:val="en-US"/>
        </w:rPr>
        <w:t>362, 34</w:t>
      </w:r>
      <w:r w:rsidRPr="00EC5BEB">
        <w:rPr>
          <w:lang w:val="en-US"/>
        </w:rPr>
        <w:t xml:space="preserve"> = 6 Wheat. </w:t>
      </w:r>
      <w:r w:rsidRPr="007E287B">
        <w:rPr>
          <w:lang w:val="en-US"/>
        </w:rPr>
        <w:t>264 (1821)</w:t>
      </w:r>
      <w:r>
        <w:rPr>
          <w:lang w:val="en-US"/>
        </w:rPr>
        <w:t>.</w:t>
      </w:r>
    </w:p>
  </w:footnote>
  <w:footnote w:id="334">
    <w:p w14:paraId="62E71496" w14:textId="77777777" w:rsidR="00074551" w:rsidRPr="001713A5" w:rsidRDefault="00074551" w:rsidP="00074551">
      <w:pPr>
        <w:pStyle w:val="Funotentext"/>
        <w:jc w:val="both"/>
        <w:rPr>
          <w:lang w:val="en-US"/>
        </w:rPr>
      </w:pPr>
      <w:r>
        <w:rPr>
          <w:rStyle w:val="Funotenzeichen"/>
        </w:rPr>
        <w:footnoteRef/>
      </w:r>
      <w:r w:rsidRPr="001713A5">
        <w:rPr>
          <w:lang w:val="en-US"/>
        </w:rPr>
        <w:t xml:space="preserve"> </w:t>
      </w:r>
      <w:r w:rsidRPr="007360B0">
        <w:rPr>
          <w:i/>
          <w:lang w:val="en-US"/>
        </w:rPr>
        <w:t>Cohens v. Virginia</w:t>
      </w:r>
      <w:r w:rsidRPr="001713A5">
        <w:rPr>
          <w:lang w:val="en-US"/>
        </w:rPr>
        <w:t>, 19 U.S. 264, 375</w:t>
      </w:r>
      <w:r>
        <w:rPr>
          <w:lang w:val="en-US"/>
        </w:rPr>
        <w:t xml:space="preserve"> = 5 L. Ed. </w:t>
      </w:r>
      <w:r w:rsidRPr="001713A5">
        <w:rPr>
          <w:lang w:val="en-US"/>
        </w:rPr>
        <w:t>257, 284</w:t>
      </w:r>
      <w:r w:rsidRPr="00EC5BEB">
        <w:rPr>
          <w:lang w:val="en-US"/>
        </w:rPr>
        <w:t xml:space="preserve"> = 1821 U.S. LEXIS </w:t>
      </w:r>
      <w:r w:rsidRPr="001713A5">
        <w:rPr>
          <w:lang w:val="en-US"/>
        </w:rPr>
        <w:t>362, 34</w:t>
      </w:r>
      <w:r w:rsidRPr="00EC5BEB">
        <w:rPr>
          <w:lang w:val="en-US"/>
        </w:rPr>
        <w:t xml:space="preserve"> = 6 Wheat. </w:t>
      </w:r>
      <w:r w:rsidRPr="001713A5">
        <w:rPr>
          <w:lang w:val="en-US"/>
        </w:rPr>
        <w:t>264 (1821</w:t>
      </w:r>
      <w:r>
        <w:rPr>
          <w:lang w:val="en-US"/>
        </w:rPr>
        <w:t>).</w:t>
      </w:r>
    </w:p>
  </w:footnote>
  <w:footnote w:id="335">
    <w:p w14:paraId="560DB301" w14:textId="77777777" w:rsidR="00074551" w:rsidRPr="001C5013" w:rsidRDefault="00074551" w:rsidP="00074551">
      <w:pPr>
        <w:pStyle w:val="Funotentext"/>
        <w:jc w:val="both"/>
        <w:rPr>
          <w:lang w:val="en-US"/>
        </w:rPr>
      </w:pPr>
      <w:r>
        <w:rPr>
          <w:rStyle w:val="Funotenzeichen"/>
        </w:rPr>
        <w:footnoteRef/>
      </w:r>
      <w:r w:rsidRPr="001C5013">
        <w:rPr>
          <w:lang w:val="en-US"/>
        </w:rPr>
        <w:t xml:space="preserve"> </w:t>
      </w:r>
      <w:r w:rsidRPr="007360B0">
        <w:rPr>
          <w:i/>
          <w:lang w:val="en-US"/>
        </w:rPr>
        <w:t>Cohens v. Virginia</w:t>
      </w:r>
      <w:r w:rsidRPr="001C5013">
        <w:rPr>
          <w:lang w:val="en-US"/>
        </w:rPr>
        <w:t>, 19 U.S. 264, 424</w:t>
      </w:r>
      <w:r>
        <w:rPr>
          <w:lang w:val="en-US"/>
        </w:rPr>
        <w:t xml:space="preserve"> = 5 L. Ed. </w:t>
      </w:r>
      <w:r w:rsidRPr="001C5013">
        <w:rPr>
          <w:lang w:val="en-US"/>
        </w:rPr>
        <w:t>257, 296</w:t>
      </w:r>
      <w:r w:rsidRPr="00EC5BEB">
        <w:rPr>
          <w:lang w:val="en-US"/>
        </w:rPr>
        <w:t xml:space="preserve"> = 1821 U.S. LEXIS </w:t>
      </w:r>
      <w:r w:rsidRPr="001C5013">
        <w:rPr>
          <w:lang w:val="en-US"/>
        </w:rPr>
        <w:t>362, 209</w:t>
      </w:r>
      <w:r w:rsidRPr="00EC5BEB">
        <w:rPr>
          <w:lang w:val="en-US"/>
        </w:rPr>
        <w:t xml:space="preserve"> = 6 Wheat. </w:t>
      </w:r>
      <w:r w:rsidRPr="001C5013">
        <w:rPr>
          <w:lang w:val="en-US"/>
        </w:rPr>
        <w:t>264 (1821)</w:t>
      </w:r>
      <w:r>
        <w:rPr>
          <w:lang w:val="en-US"/>
        </w:rPr>
        <w:t>.</w:t>
      </w:r>
    </w:p>
  </w:footnote>
  <w:footnote w:id="336">
    <w:p w14:paraId="66991882" w14:textId="77777777" w:rsidR="00074551" w:rsidRPr="001C5013" w:rsidRDefault="00074551" w:rsidP="00074551">
      <w:pPr>
        <w:pStyle w:val="Funotentext"/>
        <w:jc w:val="both"/>
        <w:rPr>
          <w:lang w:val="en-US"/>
        </w:rPr>
      </w:pPr>
      <w:r>
        <w:rPr>
          <w:rStyle w:val="Funotenzeichen"/>
        </w:rPr>
        <w:footnoteRef/>
      </w:r>
      <w:r w:rsidRPr="001C5013">
        <w:rPr>
          <w:lang w:val="en-US"/>
        </w:rPr>
        <w:t xml:space="preserve"> </w:t>
      </w:r>
      <w:r w:rsidRPr="007360B0">
        <w:rPr>
          <w:i/>
          <w:lang w:val="en-US"/>
        </w:rPr>
        <w:t>Cohens v. Virginia</w:t>
      </w:r>
      <w:r w:rsidRPr="001C5013">
        <w:rPr>
          <w:lang w:val="en-US"/>
        </w:rPr>
        <w:t>, 19 U.S. 264, 380</w:t>
      </w:r>
      <w:r>
        <w:rPr>
          <w:lang w:val="en-US"/>
        </w:rPr>
        <w:t xml:space="preserve"> = 5 L. Ed. </w:t>
      </w:r>
      <w:r w:rsidRPr="001C5013">
        <w:rPr>
          <w:lang w:val="en-US"/>
        </w:rPr>
        <w:t>257, 285</w:t>
      </w:r>
      <w:r w:rsidRPr="00EC5BEB">
        <w:rPr>
          <w:lang w:val="en-US"/>
        </w:rPr>
        <w:t xml:space="preserve"> = 1821 U.S. LEXIS </w:t>
      </w:r>
      <w:r w:rsidRPr="001C5013">
        <w:rPr>
          <w:lang w:val="en-US"/>
        </w:rPr>
        <w:t>362, 150</w:t>
      </w:r>
      <w:r w:rsidRPr="00EC5BEB">
        <w:rPr>
          <w:lang w:val="en-US"/>
        </w:rPr>
        <w:t xml:space="preserve"> = 6 Wheat. </w:t>
      </w:r>
      <w:r w:rsidRPr="001C5013">
        <w:rPr>
          <w:lang w:val="en-US"/>
        </w:rPr>
        <w:t>264 (1821)</w:t>
      </w:r>
      <w:r>
        <w:rPr>
          <w:lang w:val="en-US"/>
        </w:rPr>
        <w:t>.</w:t>
      </w:r>
    </w:p>
  </w:footnote>
  <w:footnote w:id="337">
    <w:p w14:paraId="1A4E29B1" w14:textId="77777777" w:rsidR="00074551" w:rsidRPr="00A52854" w:rsidRDefault="00074551" w:rsidP="00074551">
      <w:pPr>
        <w:pStyle w:val="Funotentext"/>
        <w:jc w:val="both"/>
        <w:rPr>
          <w:lang w:val="en-US"/>
        </w:rPr>
      </w:pPr>
      <w:r>
        <w:rPr>
          <w:rStyle w:val="Funotenzeichen"/>
        </w:rPr>
        <w:footnoteRef/>
      </w:r>
      <w:r w:rsidRPr="00A52854">
        <w:rPr>
          <w:lang w:val="en-US"/>
        </w:rPr>
        <w:t xml:space="preserve"> </w:t>
      </w:r>
      <w:r w:rsidRPr="007360B0">
        <w:rPr>
          <w:i/>
          <w:lang w:val="en-US"/>
        </w:rPr>
        <w:t>Cohens v. Virginia</w:t>
      </w:r>
      <w:r w:rsidRPr="00A52854">
        <w:rPr>
          <w:lang w:val="en-US"/>
        </w:rPr>
        <w:t>, 19 U.S. 264, 380</w:t>
      </w:r>
      <w:r>
        <w:rPr>
          <w:lang w:val="en-US"/>
        </w:rPr>
        <w:t xml:space="preserve"> = 5 L. Ed. </w:t>
      </w:r>
      <w:r w:rsidRPr="00A52854">
        <w:rPr>
          <w:lang w:val="en-US"/>
        </w:rPr>
        <w:t>257, 285</w:t>
      </w:r>
      <w:r w:rsidRPr="00EC5BEB">
        <w:rPr>
          <w:lang w:val="en-US"/>
        </w:rPr>
        <w:t xml:space="preserve"> = 1821 U.S. LEXIS </w:t>
      </w:r>
      <w:r w:rsidRPr="00A52854">
        <w:rPr>
          <w:lang w:val="en-US"/>
        </w:rPr>
        <w:t>362, 151</w:t>
      </w:r>
      <w:r w:rsidRPr="00EC5BEB">
        <w:rPr>
          <w:lang w:val="en-US"/>
        </w:rPr>
        <w:t xml:space="preserve"> = 6 Wheat. </w:t>
      </w:r>
      <w:r w:rsidRPr="001C5013">
        <w:rPr>
          <w:lang w:val="en-US"/>
        </w:rPr>
        <w:t>264 (1821)</w:t>
      </w:r>
      <w:r>
        <w:rPr>
          <w:lang w:val="en-US"/>
        </w:rPr>
        <w:t>.</w:t>
      </w:r>
    </w:p>
  </w:footnote>
  <w:footnote w:id="338">
    <w:p w14:paraId="43A22572"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B45592">
        <w:rPr>
          <w:i/>
          <w:lang w:val="en-US"/>
        </w:rPr>
        <w:t>James Everard’s Breweries v. Day</w:t>
      </w:r>
      <w:r w:rsidRPr="006D4066">
        <w:rPr>
          <w:lang w:val="en-US"/>
        </w:rPr>
        <w:t>, 265 U.S. 545, 554</w:t>
      </w:r>
      <w:r>
        <w:rPr>
          <w:lang w:val="en-US"/>
        </w:rPr>
        <w:t xml:space="preserve"> = 44 S. Ct. </w:t>
      </w:r>
      <w:r w:rsidRPr="006D4066">
        <w:rPr>
          <w:lang w:val="en-US"/>
        </w:rPr>
        <w:t>628, 629</w:t>
      </w:r>
      <w:r>
        <w:rPr>
          <w:lang w:val="en-US"/>
        </w:rPr>
        <w:t xml:space="preserve"> = 68 L. Ed</w:t>
      </w:r>
      <w:r w:rsidRPr="006D4066">
        <w:rPr>
          <w:lang w:val="en-US"/>
        </w:rPr>
        <w:t>. 1174, 1177</w:t>
      </w:r>
      <w:r>
        <w:rPr>
          <w:lang w:val="en-US"/>
        </w:rPr>
        <w:t xml:space="preserve"> = 1924 U.S. LEXIS </w:t>
      </w:r>
      <w:r w:rsidRPr="006D4066">
        <w:rPr>
          <w:lang w:val="en-US"/>
        </w:rPr>
        <w:t>2635, 11 (1924)</w:t>
      </w:r>
      <w:r>
        <w:rPr>
          <w:lang w:val="en-US"/>
        </w:rPr>
        <w:t>.</w:t>
      </w:r>
    </w:p>
  </w:footnote>
  <w:footnote w:id="339">
    <w:p w14:paraId="3E835E75" w14:textId="3F4E921C" w:rsidR="00074551" w:rsidRPr="00B45592" w:rsidRDefault="00074551" w:rsidP="00074551">
      <w:pPr>
        <w:pStyle w:val="Funotentext"/>
        <w:rPr>
          <w:lang w:val="en-IE"/>
        </w:rPr>
      </w:pPr>
      <w:r>
        <w:rPr>
          <w:rStyle w:val="Funotenzeichen"/>
        </w:rPr>
        <w:footnoteRef/>
      </w:r>
      <w:r w:rsidRPr="00B45592">
        <w:rPr>
          <w:lang w:val="en-IE"/>
        </w:rPr>
        <w:t xml:space="preserve"> </w:t>
      </w:r>
      <w:r w:rsidRPr="003D7603">
        <w:rPr>
          <w:i/>
          <w:lang w:val="en-US"/>
        </w:rPr>
        <w:t>James Everard’s Breweries v. Day</w:t>
      </w:r>
      <w:r w:rsidRPr="006D4066">
        <w:rPr>
          <w:lang w:val="en-US"/>
        </w:rPr>
        <w:t>, 265 U.S. 545</w:t>
      </w:r>
      <w:r w:rsidR="006C31B7">
        <w:rPr>
          <w:lang w:val="en-US"/>
        </w:rPr>
        <w:t xml:space="preserve"> (syllabus) </w:t>
      </w:r>
      <w:r>
        <w:rPr>
          <w:lang w:val="en-US"/>
        </w:rPr>
        <w:t xml:space="preserve">= 44 S. Ct. </w:t>
      </w:r>
      <w:r w:rsidRPr="006D4066">
        <w:rPr>
          <w:lang w:val="en-US"/>
        </w:rPr>
        <w:t>628, 629</w:t>
      </w:r>
      <w:r>
        <w:rPr>
          <w:lang w:val="en-US"/>
        </w:rPr>
        <w:t xml:space="preserve"> = 68 L. Ed</w:t>
      </w:r>
      <w:r w:rsidRPr="006D4066">
        <w:rPr>
          <w:lang w:val="en-US"/>
        </w:rPr>
        <w:t>. 1174, 1177</w:t>
      </w:r>
      <w:r>
        <w:rPr>
          <w:lang w:val="en-US"/>
        </w:rPr>
        <w:t xml:space="preserve"> = 1924 U.S. LEXIS </w:t>
      </w:r>
      <w:r w:rsidRPr="006D4066">
        <w:rPr>
          <w:lang w:val="en-US"/>
        </w:rPr>
        <w:t>2635, 1</w:t>
      </w:r>
      <w:r>
        <w:rPr>
          <w:lang w:val="en-US"/>
        </w:rPr>
        <w:t>0</w:t>
      </w:r>
      <w:r w:rsidRPr="006D4066">
        <w:rPr>
          <w:lang w:val="en-US"/>
        </w:rPr>
        <w:t xml:space="preserve"> (1924)</w:t>
      </w:r>
      <w:r>
        <w:rPr>
          <w:lang w:val="en-US"/>
        </w:rPr>
        <w:t>.</w:t>
      </w:r>
    </w:p>
  </w:footnote>
  <w:footnote w:id="340">
    <w:p w14:paraId="50CB7263"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B45592">
        <w:rPr>
          <w:i/>
          <w:lang w:val="en-US"/>
        </w:rPr>
        <w:t>James Everard’s Breweries v. Day</w:t>
      </w:r>
      <w:r w:rsidRPr="006D4066">
        <w:rPr>
          <w:lang w:val="en-US"/>
        </w:rPr>
        <w:t>, 265 U.S. 545, 554</w:t>
      </w:r>
      <w:r>
        <w:rPr>
          <w:lang w:val="en-US"/>
        </w:rPr>
        <w:t xml:space="preserve"> = 44 S. Ct. </w:t>
      </w:r>
      <w:r w:rsidRPr="006D4066">
        <w:rPr>
          <w:lang w:val="en-US"/>
        </w:rPr>
        <w:t>628, 629</w:t>
      </w:r>
      <w:r>
        <w:rPr>
          <w:lang w:val="en-US"/>
        </w:rPr>
        <w:t xml:space="preserve"> = 68 L. Ed</w:t>
      </w:r>
      <w:r w:rsidRPr="006D4066">
        <w:rPr>
          <w:lang w:val="en-US"/>
        </w:rPr>
        <w:t>. 1174, 1177</w:t>
      </w:r>
      <w:r>
        <w:rPr>
          <w:lang w:val="en-US"/>
        </w:rPr>
        <w:t xml:space="preserve"> = 1924 U.S. LEXIS </w:t>
      </w:r>
      <w:r w:rsidRPr="006D4066">
        <w:rPr>
          <w:lang w:val="en-US"/>
        </w:rPr>
        <w:t>2635, 11 (1924)</w:t>
      </w:r>
      <w:r>
        <w:rPr>
          <w:lang w:val="en-US"/>
        </w:rPr>
        <w:t>.</w:t>
      </w:r>
    </w:p>
  </w:footnote>
  <w:footnote w:id="341">
    <w:p w14:paraId="27F02F89"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B45592">
        <w:rPr>
          <w:i/>
          <w:lang w:val="en-US"/>
        </w:rPr>
        <w:t>James Everard’s Breweries v. Day</w:t>
      </w:r>
      <w:r w:rsidRPr="006D4066">
        <w:rPr>
          <w:lang w:val="en-US"/>
        </w:rPr>
        <w:t>, 265 U.S. 545, 554</w:t>
      </w:r>
      <w:r>
        <w:rPr>
          <w:lang w:val="en-US"/>
        </w:rPr>
        <w:t xml:space="preserve"> = 44 S. Ct. </w:t>
      </w:r>
      <w:r w:rsidRPr="006D4066">
        <w:rPr>
          <w:lang w:val="en-US"/>
        </w:rPr>
        <w:t>628, 629</w:t>
      </w:r>
      <w:r>
        <w:rPr>
          <w:lang w:val="en-US"/>
        </w:rPr>
        <w:t xml:space="preserve"> = 68 L. Ed</w:t>
      </w:r>
      <w:r w:rsidRPr="006D4066">
        <w:rPr>
          <w:lang w:val="en-US"/>
        </w:rPr>
        <w:t>. 1174, 1177</w:t>
      </w:r>
      <w:r>
        <w:rPr>
          <w:lang w:val="en-US"/>
        </w:rPr>
        <w:t xml:space="preserve"> = 1924 U.S. LEXIS </w:t>
      </w:r>
      <w:r w:rsidRPr="006D4066">
        <w:rPr>
          <w:lang w:val="en-US"/>
        </w:rPr>
        <w:t>2635, 11 (1924)</w:t>
      </w:r>
      <w:r>
        <w:rPr>
          <w:lang w:val="en-US"/>
        </w:rPr>
        <w:t>.</w:t>
      </w:r>
    </w:p>
  </w:footnote>
  <w:footnote w:id="342">
    <w:p w14:paraId="445C6001" w14:textId="77777777" w:rsidR="00074551" w:rsidRPr="00514AF7" w:rsidRDefault="00074551" w:rsidP="00074551">
      <w:pPr>
        <w:pStyle w:val="Funotentext"/>
        <w:rPr>
          <w:lang w:val="en-US"/>
        </w:rPr>
      </w:pPr>
      <w:r>
        <w:rPr>
          <w:rStyle w:val="Funotenzeichen"/>
        </w:rPr>
        <w:footnoteRef/>
      </w:r>
      <w:r w:rsidRPr="00514AF7">
        <w:rPr>
          <w:lang w:val="en-US"/>
        </w:rPr>
        <w:t xml:space="preserve"> </w:t>
      </w:r>
      <w:r w:rsidRPr="00B45592">
        <w:rPr>
          <w:i/>
          <w:lang w:val="en-US"/>
        </w:rPr>
        <w:t>Kansas v. Colorado</w:t>
      </w:r>
      <w:r w:rsidRPr="007360B0">
        <w:rPr>
          <w:lang w:val="en-US"/>
        </w:rPr>
        <w:t xml:space="preserve">, </w:t>
      </w:r>
      <w:r w:rsidRPr="00514AF7">
        <w:rPr>
          <w:lang w:val="en-US"/>
        </w:rPr>
        <w:t>206 U.S. 46, 80</w:t>
      </w:r>
      <w:r w:rsidRPr="00EC5BEB">
        <w:rPr>
          <w:lang w:val="en-US"/>
        </w:rPr>
        <w:t xml:space="preserve"> = 27 S. Ct. </w:t>
      </w:r>
      <w:r w:rsidRPr="00514AF7">
        <w:rPr>
          <w:lang w:val="en-US"/>
        </w:rPr>
        <w:t>655, 660</w:t>
      </w:r>
      <w:r w:rsidRPr="00EC5BEB">
        <w:rPr>
          <w:lang w:val="en-US"/>
        </w:rPr>
        <w:t xml:space="preserve"> = 1907 U.S. LEXIS </w:t>
      </w:r>
      <w:r w:rsidRPr="00514AF7">
        <w:rPr>
          <w:lang w:val="en-US"/>
        </w:rPr>
        <w:t>1145, 42</w:t>
      </w:r>
      <w:r w:rsidRPr="00EC5BEB">
        <w:rPr>
          <w:lang w:val="en-US"/>
        </w:rPr>
        <w:t xml:space="preserve"> = 51 L. Ed. </w:t>
      </w:r>
      <w:r w:rsidRPr="00514AF7">
        <w:rPr>
          <w:lang w:val="en-US"/>
        </w:rPr>
        <w:t>956 (1907)</w:t>
      </w:r>
      <w:r>
        <w:rPr>
          <w:lang w:val="en-US"/>
        </w:rPr>
        <w:t>.</w:t>
      </w:r>
    </w:p>
  </w:footnote>
  <w:footnote w:id="343">
    <w:p w14:paraId="26DBD9E9" w14:textId="77777777" w:rsidR="00074551" w:rsidRPr="00480C24" w:rsidRDefault="00074551" w:rsidP="00074551">
      <w:pPr>
        <w:pStyle w:val="Funotentext"/>
        <w:rPr>
          <w:lang w:val="en-US"/>
        </w:rPr>
      </w:pPr>
      <w:r>
        <w:rPr>
          <w:rStyle w:val="Funotenzeichen"/>
        </w:rPr>
        <w:footnoteRef/>
      </w:r>
      <w:r w:rsidRPr="00480C24">
        <w:rPr>
          <w:lang w:val="en-US"/>
        </w:rPr>
        <w:t xml:space="preserve"> </w:t>
      </w:r>
      <w:r>
        <w:rPr>
          <w:lang w:val="en-US"/>
        </w:rPr>
        <w:t>„</w:t>
      </w:r>
      <w:r w:rsidRPr="00B45592">
        <w:rPr>
          <w:lang w:val="en-IE"/>
        </w:rPr>
        <w:t>The act of the Legislature of New York provides,</w:t>
      </w:r>
      <w:r w:rsidRPr="00985B9B">
        <w:rPr>
          <w:lang w:val="en-US"/>
        </w:rPr>
        <w:t xml:space="preserve"> </w:t>
      </w:r>
      <w:r>
        <w:rPr>
          <w:lang w:val="en-US"/>
        </w:rPr>
        <w:t xml:space="preserve">in the </w:t>
      </w:r>
      <w:r w:rsidRPr="00480C24">
        <w:rPr>
          <w:i/>
          <w:iCs/>
          <w:lang w:val="en-US"/>
        </w:rPr>
        <w:t>first section</w:t>
      </w:r>
      <w:r w:rsidRPr="00480C24">
        <w:rPr>
          <w:lang w:val="en-US"/>
        </w:rPr>
        <w:t>, that the master of any ship or vessel arriving in the port of New York from any country out of the United States, or from any other state of the United States, shall, within twenty-four hours after his arrival, make a report, in writing, to the mayor of the city of New York, or, in his absence, to the recorder, on oath or affirmation, of the name, place of birth, and last legal settlement, age and occupation, of every person brought as a passenger in the ship or vessel, or on board of her, on her last voyage, from any country out of the United States, or from any of the United States, into the port of New York, or into any of the United States, and of all persons landed from the ship, during the voyage at any place, or put on board, or suffered to go on board any other vessel, with intention of proceeding to the city of New York; under a penalty, on the master and commander, the owner, consignee or consignees, of seventy-five dollars, for each passenger not reported, and for every person whose name, place of birth, last legal settlement, age, and occupation, shall be falsely reported.</w:t>
      </w:r>
    </w:p>
    <w:p w14:paraId="5B43876D" w14:textId="77777777" w:rsidR="00074551" w:rsidRPr="00480C24" w:rsidRDefault="00074551" w:rsidP="00074551">
      <w:pPr>
        <w:pStyle w:val="Funotentext"/>
        <w:rPr>
          <w:lang w:val="en-US"/>
        </w:rPr>
      </w:pPr>
      <w:r w:rsidRPr="00480C24">
        <w:rPr>
          <w:lang w:val="en-US"/>
        </w:rPr>
        <w:t xml:space="preserve">The </w:t>
      </w:r>
      <w:r w:rsidRPr="00480C24">
        <w:rPr>
          <w:i/>
          <w:iCs/>
          <w:lang w:val="en-US"/>
        </w:rPr>
        <w:t>second section</w:t>
      </w:r>
      <w:r w:rsidRPr="00480C24">
        <w:rPr>
          <w:lang w:val="en-US"/>
        </w:rPr>
        <w:t xml:space="preserve"> authorizes the mayor, &amp;c., to require from every master of such vessel that he be bound with sureties in such sum as the mayor, &amp;c., shall think proper, in a sum not to exceed 300 dollars, for every passenger, to indemnify and save harmless the mayor, &amp;c., of the city of New York, and the overseers of the poor of the city from all expenses of the mainte</w:t>
      </w:r>
      <w:r>
        <w:rPr>
          <w:lang w:val="en-US"/>
        </w:rPr>
        <w:t>n</w:t>
      </w:r>
      <w:r w:rsidRPr="00480C24">
        <w:rPr>
          <w:lang w:val="en-US"/>
        </w:rPr>
        <w:t>ance of such person, or of the child or children of such person, born after such importation; in case such person, child or children, shall become chargeable to the city within two years: and if for three days after arrival, the master of the vessel shall neglect to give such security, the master of the vessel, and the owners, shall severally and respectively, be liable to a penalty of 500 dollars, for each and every person not a citizen of the United States, for whom the mayor or recorder shall determine that bonds should have been given.</w:t>
      </w:r>
    </w:p>
    <w:p w14:paraId="48AF3AE3" w14:textId="77777777" w:rsidR="00074551" w:rsidRPr="00480C24" w:rsidRDefault="00074551" w:rsidP="00074551">
      <w:pPr>
        <w:pStyle w:val="Funotentext"/>
        <w:rPr>
          <w:lang w:val="en-US"/>
        </w:rPr>
      </w:pPr>
      <w:r w:rsidRPr="00480C24">
        <w:rPr>
          <w:lang w:val="en-US"/>
        </w:rPr>
        <w:t xml:space="preserve">The </w:t>
      </w:r>
      <w:r w:rsidRPr="00480C24">
        <w:rPr>
          <w:i/>
          <w:iCs/>
          <w:lang w:val="en-US"/>
        </w:rPr>
        <w:t>third section</w:t>
      </w:r>
      <w:r w:rsidRPr="00480C24">
        <w:rPr>
          <w:lang w:val="en-US"/>
        </w:rPr>
        <w:t xml:space="preserve"> enacts, that whenever any person brought in such vessel, not being a citizen of the United States, shall, by the mayor, &amp;c., be deemed liable to become chargeable on the city, the master of the vessel shall, on an order of the mayor, &amp;c., remove such person, without delay, to the place of his last settlement; and in default, shall incur all the expenses attending the removal of such person and of his maintenance.</w:t>
      </w:r>
    </w:p>
    <w:p w14:paraId="0572EB96" w14:textId="77777777" w:rsidR="00074551" w:rsidRPr="00480C24" w:rsidRDefault="00074551" w:rsidP="00074551">
      <w:pPr>
        <w:pStyle w:val="Funotentext"/>
        <w:rPr>
          <w:lang w:val="en-US"/>
        </w:rPr>
      </w:pPr>
      <w:r w:rsidRPr="00480C24">
        <w:rPr>
          <w:lang w:val="en-US"/>
        </w:rPr>
        <w:t xml:space="preserve">The </w:t>
      </w:r>
      <w:r w:rsidRPr="00480C24">
        <w:rPr>
          <w:i/>
          <w:iCs/>
          <w:lang w:val="en-US"/>
        </w:rPr>
        <w:t>fourth section</w:t>
      </w:r>
      <w:r w:rsidRPr="00480C24">
        <w:rPr>
          <w:lang w:val="en-US"/>
        </w:rPr>
        <w:t xml:space="preserve"> provides that every person, not being a citizen of the United States, entering the city of New York with an intention of residing therein, shall, within twenty-four hours, make a report of himself to the mayor, stating his age, occupation, and the name of the ship or vessel in which he arrived, the place where he landed, and the name of the commander of the vessel.</w:t>
      </w:r>
    </w:p>
    <w:p w14:paraId="24C49A28" w14:textId="77777777" w:rsidR="00074551" w:rsidRPr="00480C24" w:rsidRDefault="00074551" w:rsidP="00074551">
      <w:pPr>
        <w:pStyle w:val="Funotentext"/>
        <w:jc w:val="both"/>
        <w:rPr>
          <w:lang w:val="en-US"/>
        </w:rPr>
      </w:pPr>
      <w:r w:rsidRPr="00480C24">
        <w:rPr>
          <w:lang w:val="en-US"/>
        </w:rPr>
        <w:t xml:space="preserve">The </w:t>
      </w:r>
      <w:r w:rsidRPr="00B45592">
        <w:rPr>
          <w:i/>
          <w:iCs/>
          <w:lang w:val="en-US"/>
        </w:rPr>
        <w:t>sixth section</w:t>
      </w:r>
      <w:r w:rsidRPr="00480C24">
        <w:rPr>
          <w:lang w:val="en-US"/>
        </w:rPr>
        <w:t xml:space="preserve"> subjects the ship or vessel in which such passengers shall have arrived, to the penalties imposed by the former sections, for any neglect of the provisions of the law by the master or owner; and authorizes proceedings by attachment against the ship or vessel for the same, in the courts of New </w:t>
      </w:r>
      <w:proofErr w:type="gramStart"/>
      <w:r w:rsidRPr="00480C24">
        <w:rPr>
          <w:lang w:val="en-US"/>
        </w:rPr>
        <w:t>York</w:t>
      </w:r>
      <w:r>
        <w:rPr>
          <w:lang w:val="en-US"/>
        </w:rPr>
        <w:t>“</w:t>
      </w:r>
      <w:proofErr w:type="gramEnd"/>
      <w:r>
        <w:rPr>
          <w:lang w:val="en-US"/>
        </w:rPr>
        <w:t xml:space="preserve">, </w:t>
      </w:r>
      <w:r w:rsidRPr="007360B0">
        <w:rPr>
          <w:i/>
          <w:lang w:val="en-US"/>
        </w:rPr>
        <w:t xml:space="preserve">New York v. </w:t>
      </w:r>
      <w:proofErr w:type="spellStart"/>
      <w:r w:rsidRPr="007360B0">
        <w:rPr>
          <w:i/>
          <w:lang w:val="en-US"/>
        </w:rPr>
        <w:t>Miln</w:t>
      </w:r>
      <w:proofErr w:type="spellEnd"/>
      <w:r w:rsidRPr="00480C24">
        <w:rPr>
          <w:lang w:val="en-US"/>
        </w:rPr>
        <w:t>, 36 U.S. 102, 130</w:t>
      </w:r>
      <w:r>
        <w:rPr>
          <w:lang w:val="en-US"/>
        </w:rPr>
        <w:t xml:space="preserve"> = 9 L. Ed. </w:t>
      </w:r>
      <w:r w:rsidRPr="00480C24">
        <w:rPr>
          <w:lang w:val="en-US"/>
        </w:rPr>
        <w:t>648, 659</w:t>
      </w:r>
      <w:r>
        <w:rPr>
          <w:lang w:val="en-US"/>
        </w:rPr>
        <w:t xml:space="preserve"> = 1837 U.S. LEXIS </w:t>
      </w:r>
      <w:r w:rsidRPr="00480C24">
        <w:rPr>
          <w:lang w:val="en-US"/>
        </w:rPr>
        <w:t>169, 1</w:t>
      </w:r>
      <w:r>
        <w:rPr>
          <w:lang w:val="en-US"/>
        </w:rPr>
        <w:t>–</w:t>
      </w:r>
      <w:r w:rsidRPr="00480C24">
        <w:rPr>
          <w:lang w:val="en-US"/>
        </w:rPr>
        <w:t>4 (1837)</w:t>
      </w:r>
      <w:r>
        <w:rPr>
          <w:lang w:val="en-US"/>
        </w:rPr>
        <w:t>.</w:t>
      </w:r>
    </w:p>
  </w:footnote>
  <w:footnote w:id="344">
    <w:p w14:paraId="255AC102" w14:textId="77777777" w:rsidR="00074551" w:rsidRPr="00480C24" w:rsidRDefault="00074551" w:rsidP="00074551">
      <w:pPr>
        <w:pStyle w:val="Funotentext"/>
        <w:jc w:val="both"/>
        <w:rPr>
          <w:lang w:val="en-US"/>
        </w:rPr>
      </w:pPr>
      <w:r>
        <w:rPr>
          <w:rStyle w:val="Funotenzeichen"/>
        </w:rPr>
        <w:footnoteRef/>
      </w:r>
      <w:r w:rsidRPr="00480C24">
        <w:rPr>
          <w:lang w:val="en-US"/>
        </w:rPr>
        <w:t xml:space="preserve"> </w:t>
      </w:r>
      <w:r w:rsidRPr="007360B0">
        <w:rPr>
          <w:i/>
          <w:lang w:val="en-US"/>
        </w:rPr>
        <w:t xml:space="preserve">New York v. </w:t>
      </w:r>
      <w:proofErr w:type="spellStart"/>
      <w:r w:rsidRPr="007360B0">
        <w:rPr>
          <w:i/>
          <w:lang w:val="en-US"/>
        </w:rPr>
        <w:t>Miln</w:t>
      </w:r>
      <w:proofErr w:type="spellEnd"/>
      <w:r w:rsidRPr="00480C24">
        <w:rPr>
          <w:lang w:val="en-US"/>
        </w:rPr>
        <w:t>, 36 U.S. 102, 130</w:t>
      </w:r>
      <w:r>
        <w:rPr>
          <w:lang w:val="en-US"/>
        </w:rPr>
        <w:t xml:space="preserve"> = 9 L. Ed. </w:t>
      </w:r>
      <w:r w:rsidRPr="00480C24">
        <w:rPr>
          <w:lang w:val="en-US"/>
        </w:rPr>
        <w:t>648, 659</w:t>
      </w:r>
      <w:r>
        <w:rPr>
          <w:lang w:val="en-US"/>
        </w:rPr>
        <w:t xml:space="preserve"> = 1837 U.S. LEXIS </w:t>
      </w:r>
      <w:r w:rsidRPr="00480C24">
        <w:rPr>
          <w:lang w:val="en-US"/>
        </w:rPr>
        <w:t>169, 4 (1837)</w:t>
      </w:r>
      <w:r>
        <w:rPr>
          <w:lang w:val="en-US"/>
        </w:rPr>
        <w:t>.</w:t>
      </w:r>
    </w:p>
  </w:footnote>
  <w:footnote w:id="345">
    <w:p w14:paraId="25AB205A" w14:textId="77777777" w:rsidR="00074551" w:rsidRPr="00A77FE8" w:rsidRDefault="00074551" w:rsidP="00074551">
      <w:pPr>
        <w:pStyle w:val="Funotentext"/>
        <w:jc w:val="both"/>
        <w:rPr>
          <w:lang w:val="en-US"/>
        </w:rPr>
      </w:pPr>
      <w:r>
        <w:rPr>
          <w:rStyle w:val="Funotenzeichen"/>
        </w:rPr>
        <w:footnoteRef/>
      </w:r>
      <w:r w:rsidRPr="00A77FE8">
        <w:rPr>
          <w:lang w:val="en-US"/>
        </w:rPr>
        <w:t xml:space="preserve"> </w:t>
      </w:r>
      <w:r w:rsidRPr="007360B0">
        <w:rPr>
          <w:i/>
          <w:lang w:val="en-US"/>
        </w:rPr>
        <w:t xml:space="preserve">New York v. </w:t>
      </w:r>
      <w:proofErr w:type="spellStart"/>
      <w:r w:rsidRPr="007360B0">
        <w:rPr>
          <w:i/>
          <w:lang w:val="en-US"/>
        </w:rPr>
        <w:t>Miln</w:t>
      </w:r>
      <w:proofErr w:type="spellEnd"/>
      <w:r w:rsidRPr="002E3069">
        <w:rPr>
          <w:lang w:val="en-US"/>
        </w:rPr>
        <w:t>, 36 U.S. 102, 139</w:t>
      </w:r>
      <w:r>
        <w:rPr>
          <w:lang w:val="en-US"/>
        </w:rPr>
        <w:t xml:space="preserve"> = 9 L. Ed. </w:t>
      </w:r>
      <w:r w:rsidRPr="002E3069">
        <w:rPr>
          <w:lang w:val="en-US"/>
        </w:rPr>
        <w:t>648, 662</w:t>
      </w:r>
      <w:r>
        <w:rPr>
          <w:lang w:val="en-US"/>
        </w:rPr>
        <w:t xml:space="preserve"> = 1837 U.S. LEXIS </w:t>
      </w:r>
      <w:r w:rsidRPr="002E3069">
        <w:rPr>
          <w:lang w:val="en-US"/>
        </w:rPr>
        <w:t>169, 81 (1837)</w:t>
      </w:r>
      <w:r>
        <w:rPr>
          <w:lang w:val="en-US"/>
        </w:rPr>
        <w:t>.</w:t>
      </w:r>
    </w:p>
  </w:footnote>
  <w:footnote w:id="346">
    <w:p w14:paraId="3104E022" w14:textId="77777777" w:rsidR="00074551" w:rsidRPr="002E3069" w:rsidRDefault="00074551" w:rsidP="00074551">
      <w:pPr>
        <w:pStyle w:val="Funotentext"/>
        <w:jc w:val="both"/>
        <w:rPr>
          <w:lang w:val="en-US"/>
        </w:rPr>
      </w:pPr>
      <w:r>
        <w:rPr>
          <w:rStyle w:val="Funotenzeichen"/>
        </w:rPr>
        <w:footnoteRef/>
      </w:r>
      <w:r w:rsidRPr="00A77FE8">
        <w:rPr>
          <w:lang w:val="en-US"/>
        </w:rPr>
        <w:t xml:space="preserve"> </w:t>
      </w:r>
      <w:r w:rsidRPr="007360B0">
        <w:rPr>
          <w:i/>
          <w:lang w:val="en-US"/>
        </w:rPr>
        <w:t xml:space="preserve">New York v. </w:t>
      </w:r>
      <w:proofErr w:type="spellStart"/>
      <w:r w:rsidRPr="007360B0">
        <w:rPr>
          <w:i/>
          <w:lang w:val="en-US"/>
        </w:rPr>
        <w:t>Miln</w:t>
      </w:r>
      <w:proofErr w:type="spellEnd"/>
      <w:r w:rsidRPr="002E3069">
        <w:rPr>
          <w:lang w:val="en-US"/>
        </w:rPr>
        <w:t>, 36 U.S. 102, 139</w:t>
      </w:r>
      <w:r>
        <w:rPr>
          <w:lang w:val="en-US"/>
        </w:rPr>
        <w:t xml:space="preserve"> = 9 L. Ed. </w:t>
      </w:r>
      <w:r w:rsidRPr="002E3069">
        <w:rPr>
          <w:lang w:val="en-US"/>
        </w:rPr>
        <w:t>648, 662</w:t>
      </w:r>
      <w:r>
        <w:rPr>
          <w:lang w:val="en-US"/>
        </w:rPr>
        <w:t xml:space="preserve"> = 1837 U.S. LEXIS </w:t>
      </w:r>
      <w:r w:rsidRPr="002E3069">
        <w:rPr>
          <w:lang w:val="en-US"/>
        </w:rPr>
        <w:t>169, 81 (1837).</w:t>
      </w:r>
    </w:p>
  </w:footnote>
  <w:footnote w:id="347">
    <w:p w14:paraId="23173E1D" w14:textId="77777777" w:rsidR="00074551" w:rsidRPr="00A84B7C" w:rsidRDefault="00074551" w:rsidP="00074551">
      <w:pPr>
        <w:pStyle w:val="Funotentext"/>
        <w:jc w:val="both"/>
        <w:rPr>
          <w:lang w:val="en-US"/>
        </w:rPr>
      </w:pPr>
      <w:r>
        <w:rPr>
          <w:rStyle w:val="Funotenzeichen"/>
        </w:rPr>
        <w:footnoteRef/>
      </w:r>
      <w:r w:rsidRPr="00A84B7C">
        <w:rPr>
          <w:lang w:val="en-US"/>
        </w:rPr>
        <w:t xml:space="preserve"> </w:t>
      </w:r>
      <w:r w:rsidRPr="007360B0">
        <w:rPr>
          <w:i/>
          <w:lang w:val="en-US"/>
        </w:rPr>
        <w:t xml:space="preserve">New York v. </w:t>
      </w:r>
      <w:proofErr w:type="spellStart"/>
      <w:r w:rsidRPr="007360B0">
        <w:rPr>
          <w:i/>
          <w:lang w:val="en-US"/>
        </w:rPr>
        <w:t>Miln</w:t>
      </w:r>
      <w:proofErr w:type="spellEnd"/>
      <w:r w:rsidRPr="00A84B7C">
        <w:rPr>
          <w:lang w:val="en-US"/>
        </w:rPr>
        <w:t>, 36 U.S. 102, 140</w:t>
      </w:r>
      <w:r>
        <w:rPr>
          <w:lang w:val="en-US"/>
        </w:rPr>
        <w:t xml:space="preserve"> = 9 L. Ed. </w:t>
      </w:r>
      <w:r w:rsidRPr="00A84B7C">
        <w:rPr>
          <w:lang w:val="en-US"/>
        </w:rPr>
        <w:t>648, 663</w:t>
      </w:r>
      <w:r>
        <w:rPr>
          <w:lang w:val="en-US"/>
        </w:rPr>
        <w:t xml:space="preserve"> = 1837 U.S. LEXIS </w:t>
      </w:r>
      <w:r w:rsidRPr="00A84B7C">
        <w:rPr>
          <w:lang w:val="en-US"/>
        </w:rPr>
        <w:t>169, 82 (1837)</w:t>
      </w:r>
      <w:r>
        <w:rPr>
          <w:lang w:val="en-US"/>
        </w:rPr>
        <w:t>.</w:t>
      </w:r>
    </w:p>
  </w:footnote>
  <w:footnote w:id="348">
    <w:p w14:paraId="4DB69622" w14:textId="77777777" w:rsidR="00074551" w:rsidRPr="007D263B" w:rsidRDefault="00074551" w:rsidP="00074551">
      <w:pPr>
        <w:pStyle w:val="Funotentext"/>
        <w:jc w:val="both"/>
        <w:rPr>
          <w:lang w:val="en-US"/>
        </w:rPr>
      </w:pPr>
      <w:r>
        <w:rPr>
          <w:rStyle w:val="Funotenzeichen"/>
        </w:rPr>
        <w:footnoteRef/>
      </w:r>
      <w:r w:rsidRPr="007D263B">
        <w:rPr>
          <w:lang w:val="en-US"/>
        </w:rPr>
        <w:t xml:space="preserve"> </w:t>
      </w:r>
      <w:r w:rsidRPr="007360B0">
        <w:rPr>
          <w:i/>
          <w:lang w:val="en-US"/>
        </w:rPr>
        <w:t xml:space="preserve">New York v. </w:t>
      </w:r>
      <w:proofErr w:type="spellStart"/>
      <w:r w:rsidRPr="007360B0">
        <w:rPr>
          <w:i/>
          <w:lang w:val="en-US"/>
        </w:rPr>
        <w:t>Miln</w:t>
      </w:r>
      <w:proofErr w:type="spellEnd"/>
      <w:r w:rsidRPr="007D263B">
        <w:rPr>
          <w:lang w:val="en-US"/>
        </w:rPr>
        <w:t>, 36 U.S. 102, 139</w:t>
      </w:r>
      <w:r>
        <w:rPr>
          <w:lang w:val="en-US"/>
        </w:rPr>
        <w:t xml:space="preserve"> = 9 L. Ed. </w:t>
      </w:r>
      <w:r w:rsidRPr="007D263B">
        <w:rPr>
          <w:lang w:val="en-US"/>
        </w:rPr>
        <w:t>648, 663</w:t>
      </w:r>
      <w:r>
        <w:rPr>
          <w:lang w:val="en-US"/>
        </w:rPr>
        <w:t xml:space="preserve"> = 1837 U.S. LEXIS </w:t>
      </w:r>
      <w:r w:rsidRPr="007D263B">
        <w:rPr>
          <w:lang w:val="en-US"/>
        </w:rPr>
        <w:t>169, 81 (1837)</w:t>
      </w:r>
      <w:r>
        <w:rPr>
          <w:lang w:val="en-US"/>
        </w:rPr>
        <w:t>.</w:t>
      </w:r>
    </w:p>
  </w:footnote>
  <w:footnote w:id="349">
    <w:p w14:paraId="70AA67A5" w14:textId="77777777" w:rsidR="00074551" w:rsidRPr="00726443" w:rsidRDefault="00074551" w:rsidP="00074551">
      <w:pPr>
        <w:pStyle w:val="Funotentext"/>
        <w:jc w:val="both"/>
        <w:rPr>
          <w:lang w:val="en-US"/>
        </w:rPr>
      </w:pPr>
      <w:r>
        <w:rPr>
          <w:rStyle w:val="Funotenzeichen"/>
        </w:rPr>
        <w:footnoteRef/>
      </w:r>
      <w:r w:rsidRPr="00726443">
        <w:rPr>
          <w:lang w:val="en-US"/>
        </w:rPr>
        <w:t xml:space="preserve"> </w:t>
      </w:r>
      <w:r w:rsidRPr="007360B0">
        <w:rPr>
          <w:i/>
          <w:lang w:val="en-US"/>
        </w:rPr>
        <w:t xml:space="preserve">New York v. </w:t>
      </w:r>
      <w:proofErr w:type="spellStart"/>
      <w:r w:rsidRPr="007360B0">
        <w:rPr>
          <w:i/>
          <w:lang w:val="en-US"/>
        </w:rPr>
        <w:t>Miln</w:t>
      </w:r>
      <w:proofErr w:type="spellEnd"/>
      <w:r w:rsidRPr="00726443">
        <w:rPr>
          <w:lang w:val="en-US"/>
        </w:rPr>
        <w:t>, 36 U.S. 102, 130</w:t>
      </w:r>
      <w:r>
        <w:rPr>
          <w:lang w:val="en-US"/>
        </w:rPr>
        <w:t xml:space="preserve"> = 9 L. Ed. </w:t>
      </w:r>
      <w:r w:rsidRPr="00726443">
        <w:rPr>
          <w:lang w:val="en-US"/>
        </w:rPr>
        <w:t>648, 659</w:t>
      </w:r>
      <w:r>
        <w:rPr>
          <w:lang w:val="en-US"/>
        </w:rPr>
        <w:t xml:space="preserve"> = 1837 U.S. LEXIS </w:t>
      </w:r>
      <w:r w:rsidRPr="00726443">
        <w:rPr>
          <w:lang w:val="en-US"/>
        </w:rPr>
        <w:t>169, 4 (1837)</w:t>
      </w:r>
      <w:r>
        <w:rPr>
          <w:lang w:val="en-US"/>
        </w:rPr>
        <w:t>.</w:t>
      </w:r>
    </w:p>
  </w:footnote>
  <w:footnote w:id="350">
    <w:p w14:paraId="54572837" w14:textId="77777777" w:rsidR="00074551" w:rsidRPr="00E61424" w:rsidRDefault="00074551" w:rsidP="00074551">
      <w:pPr>
        <w:pStyle w:val="Funotentext"/>
        <w:rPr>
          <w:lang w:val="en-US"/>
        </w:rPr>
      </w:pPr>
      <w:r>
        <w:rPr>
          <w:rStyle w:val="Funotenzeichen"/>
        </w:rPr>
        <w:footnoteRef/>
      </w:r>
      <w:r w:rsidRPr="00E61424">
        <w:rPr>
          <w:lang w:val="en-US"/>
        </w:rPr>
        <w:t xml:space="preserve"> </w:t>
      </w:r>
      <w:r w:rsidRPr="00546F93">
        <w:rPr>
          <w:i/>
          <w:lang w:val="en-US"/>
        </w:rPr>
        <w:t>McCulloch v. Maryland</w:t>
      </w:r>
      <w:r w:rsidRPr="00E61424">
        <w:rPr>
          <w:lang w:val="en-US"/>
        </w:rPr>
        <w:t>, 17 U.S. 316, 400</w:t>
      </w:r>
      <w:r w:rsidRPr="003B741A">
        <w:rPr>
          <w:lang w:val="en-US"/>
        </w:rPr>
        <w:t xml:space="preserve"> = 4 L. Ed. </w:t>
      </w:r>
      <w:r w:rsidRPr="00E61424">
        <w:rPr>
          <w:lang w:val="en-US"/>
        </w:rPr>
        <w:t>579, 600</w:t>
      </w:r>
      <w:r w:rsidRPr="003B741A">
        <w:rPr>
          <w:lang w:val="en-US"/>
        </w:rPr>
        <w:t xml:space="preserve"> = 1819 U.S. LEXIS </w:t>
      </w:r>
      <w:r w:rsidRPr="00E61424">
        <w:rPr>
          <w:lang w:val="en-US"/>
        </w:rPr>
        <w:t>320, 1</w:t>
      </w:r>
      <w:r>
        <w:rPr>
          <w:lang w:val="en-US"/>
        </w:rPr>
        <w:t xml:space="preserve"> = 4 A.F.T.R</w:t>
      </w:r>
      <w:r w:rsidRPr="00E61424">
        <w:rPr>
          <w:lang w:val="en-US"/>
        </w:rPr>
        <w:t>. (P-H) 4491</w:t>
      </w:r>
      <w:r w:rsidRPr="003B741A">
        <w:rPr>
          <w:lang w:val="en-US"/>
        </w:rPr>
        <w:t xml:space="preserve"> = 4 Wheat. </w:t>
      </w:r>
      <w:r w:rsidRPr="00E61424">
        <w:rPr>
          <w:lang w:val="en-US"/>
        </w:rPr>
        <w:t>316</w:t>
      </w:r>
      <w:r w:rsidRPr="003B741A">
        <w:rPr>
          <w:lang w:val="en-US"/>
        </w:rPr>
        <w:t xml:space="preserve"> = 42 Cont. Cas. Fed. </w:t>
      </w:r>
      <w:r w:rsidRPr="00E61424">
        <w:rPr>
          <w:lang w:val="en-US"/>
        </w:rPr>
        <w:t>(CCH) P77,296 (1819)</w:t>
      </w:r>
      <w:r>
        <w:rPr>
          <w:lang w:val="en-US"/>
        </w:rPr>
        <w:t>.</w:t>
      </w:r>
    </w:p>
  </w:footnote>
  <w:footnote w:id="351">
    <w:p w14:paraId="2EAEA8D0" w14:textId="77777777" w:rsidR="00074551" w:rsidRPr="00E61424" w:rsidRDefault="00074551" w:rsidP="00074551">
      <w:pPr>
        <w:pStyle w:val="Funotentext"/>
        <w:rPr>
          <w:lang w:val="en-US"/>
        </w:rPr>
      </w:pPr>
      <w:r>
        <w:rPr>
          <w:rStyle w:val="Funotenzeichen"/>
        </w:rPr>
        <w:footnoteRef/>
      </w:r>
      <w:r w:rsidRPr="00E61424">
        <w:rPr>
          <w:lang w:val="en-US"/>
        </w:rPr>
        <w:t xml:space="preserve"> </w:t>
      </w:r>
      <w:r>
        <w:rPr>
          <w:lang w:val="en-US"/>
        </w:rPr>
        <w:t>[T]</w:t>
      </w:r>
      <w:r w:rsidRPr="00B45592">
        <w:rPr>
          <w:lang w:val="en-IE"/>
        </w:rPr>
        <w:t xml:space="preserve">here was passed on the </w:t>
      </w:r>
      <w:r w:rsidRPr="00E61424">
        <w:rPr>
          <w:lang w:val="en-US"/>
        </w:rPr>
        <w:t xml:space="preserve">10th day of </w:t>
      </w:r>
      <w:proofErr w:type="gramStart"/>
      <w:r w:rsidRPr="00E61424">
        <w:rPr>
          <w:lang w:val="en-US"/>
        </w:rPr>
        <w:t>April,</w:t>
      </w:r>
      <w:proofErr w:type="gramEnd"/>
      <w:r w:rsidRPr="00E61424">
        <w:rPr>
          <w:lang w:val="en-US"/>
        </w:rPr>
        <w:t xml:space="preserve"> 1816, by the Congress of the United States, an act, entitled</w:t>
      </w:r>
      <w:proofErr w:type="gramStart"/>
      <w:r w:rsidRPr="00E61424">
        <w:rPr>
          <w:lang w:val="en-US"/>
        </w:rPr>
        <w:t xml:space="preserve">, </w:t>
      </w:r>
      <w:r>
        <w:rPr>
          <w:lang w:val="en-US"/>
        </w:rPr>
        <w:t>,</w:t>
      </w:r>
      <w:r w:rsidRPr="00E61424">
        <w:rPr>
          <w:lang w:val="en-US"/>
        </w:rPr>
        <w:t>an</w:t>
      </w:r>
      <w:proofErr w:type="gramEnd"/>
      <w:r w:rsidRPr="00E61424">
        <w:rPr>
          <w:lang w:val="en-US"/>
        </w:rPr>
        <w:t xml:space="preserve"> act to incorporate the subscribers to the Bank of the United </w:t>
      </w:r>
      <w:proofErr w:type="gramStart"/>
      <w:r w:rsidRPr="00E61424">
        <w:rPr>
          <w:lang w:val="en-US"/>
        </w:rPr>
        <w:t>States</w:t>
      </w:r>
      <w:r>
        <w:rPr>
          <w:lang w:val="en-US"/>
        </w:rPr>
        <w:t>‘</w:t>
      </w:r>
      <w:proofErr w:type="gramEnd"/>
      <w:r>
        <w:rPr>
          <w:lang w:val="en-US"/>
        </w:rPr>
        <w:t xml:space="preserve">“, </w:t>
      </w:r>
      <w:r w:rsidRPr="00546F93">
        <w:rPr>
          <w:i/>
          <w:lang w:val="en-US"/>
        </w:rPr>
        <w:t>McCulloch v. Maryland</w:t>
      </w:r>
      <w:r w:rsidRPr="00E61424">
        <w:rPr>
          <w:lang w:val="en-US"/>
        </w:rPr>
        <w:t>, 17 U.S. 316, 400</w:t>
      </w:r>
      <w:r w:rsidRPr="003B741A">
        <w:rPr>
          <w:lang w:val="en-US"/>
        </w:rPr>
        <w:t xml:space="preserve"> = 4 L. Ed. </w:t>
      </w:r>
      <w:r w:rsidRPr="00E61424">
        <w:rPr>
          <w:lang w:val="en-US"/>
        </w:rPr>
        <w:t>579, 600</w:t>
      </w:r>
      <w:r w:rsidRPr="003B741A">
        <w:rPr>
          <w:lang w:val="en-US"/>
        </w:rPr>
        <w:t xml:space="preserve"> = 1819 U.S. LEXIS </w:t>
      </w:r>
      <w:r w:rsidRPr="00E61424">
        <w:rPr>
          <w:lang w:val="en-US"/>
        </w:rPr>
        <w:t>320, 1</w:t>
      </w:r>
      <w:r>
        <w:rPr>
          <w:lang w:val="en-US"/>
        </w:rPr>
        <w:t xml:space="preserve"> = 4 A.F.T.R</w:t>
      </w:r>
      <w:r w:rsidRPr="00E61424">
        <w:rPr>
          <w:lang w:val="en-US"/>
        </w:rPr>
        <w:t>. (P-H) 4491</w:t>
      </w:r>
      <w:r w:rsidRPr="003B741A">
        <w:rPr>
          <w:lang w:val="en-US"/>
        </w:rPr>
        <w:t xml:space="preserve"> = 4 Wheat. </w:t>
      </w:r>
      <w:r w:rsidRPr="00E61424">
        <w:rPr>
          <w:lang w:val="en-US"/>
        </w:rPr>
        <w:t>316</w:t>
      </w:r>
      <w:r w:rsidRPr="003B741A">
        <w:rPr>
          <w:lang w:val="en-US"/>
        </w:rPr>
        <w:t xml:space="preserve"> = 42 Cont. Cas. Fed. </w:t>
      </w:r>
      <w:r w:rsidRPr="00E61424">
        <w:rPr>
          <w:lang w:val="en-US"/>
        </w:rPr>
        <w:t>(CCH) P77,296 (1819)</w:t>
      </w:r>
      <w:r>
        <w:rPr>
          <w:lang w:val="en-US"/>
        </w:rPr>
        <w:t>.</w:t>
      </w:r>
    </w:p>
  </w:footnote>
  <w:footnote w:id="352">
    <w:p w14:paraId="7D8EFD70" w14:textId="77777777" w:rsidR="00074551" w:rsidRPr="00AB2988" w:rsidRDefault="00074551" w:rsidP="00074551">
      <w:pPr>
        <w:pStyle w:val="Funotentext"/>
        <w:rPr>
          <w:lang w:val="en-US"/>
        </w:rPr>
      </w:pPr>
      <w:r>
        <w:rPr>
          <w:rStyle w:val="Funotenzeichen"/>
        </w:rPr>
        <w:footnoteRef/>
      </w:r>
      <w:r w:rsidRPr="00AB2988">
        <w:rPr>
          <w:lang w:val="en-US"/>
        </w:rPr>
        <w:t xml:space="preserve"> </w:t>
      </w:r>
      <w:r>
        <w:rPr>
          <w:lang w:val="en-US"/>
        </w:rPr>
        <w:t>„[T]</w:t>
      </w:r>
      <w:r w:rsidRPr="00B45592">
        <w:rPr>
          <w:lang w:val="en-IE"/>
        </w:rPr>
        <w:t>here was passed</w:t>
      </w:r>
      <w:r>
        <w:rPr>
          <w:lang w:val="en-US"/>
        </w:rPr>
        <w:t>, on the 1</w:t>
      </w:r>
      <w:r w:rsidRPr="00AB2988">
        <w:rPr>
          <w:lang w:val="en-US"/>
        </w:rPr>
        <w:t xml:space="preserve">1th day of </w:t>
      </w:r>
      <w:proofErr w:type="gramStart"/>
      <w:r w:rsidRPr="00AB2988">
        <w:rPr>
          <w:lang w:val="en-US"/>
        </w:rPr>
        <w:t>February,</w:t>
      </w:r>
      <w:proofErr w:type="gramEnd"/>
      <w:r w:rsidRPr="00AB2988">
        <w:rPr>
          <w:lang w:val="en-US"/>
        </w:rPr>
        <w:t xml:space="preserve"> 1818, by the General Assembly of Maryland, an act, entitled</w:t>
      </w:r>
      <w:proofErr w:type="gramStart"/>
      <w:r w:rsidRPr="00AB2988">
        <w:rPr>
          <w:lang w:val="en-US"/>
        </w:rPr>
        <w:t xml:space="preserve">, </w:t>
      </w:r>
      <w:r>
        <w:rPr>
          <w:lang w:val="en-US"/>
        </w:rPr>
        <w:t>,</w:t>
      </w:r>
      <w:r w:rsidRPr="00AB2988">
        <w:rPr>
          <w:lang w:val="en-US"/>
        </w:rPr>
        <w:t>an</w:t>
      </w:r>
      <w:proofErr w:type="gramEnd"/>
      <w:r w:rsidRPr="00AB2988">
        <w:rPr>
          <w:lang w:val="en-US"/>
        </w:rPr>
        <w:t xml:space="preserve"> act to impose a tax on all Banks, or branches thereof, in the State of Maryland, not chartered by the </w:t>
      </w:r>
      <w:proofErr w:type="gramStart"/>
      <w:r w:rsidRPr="00AB2988">
        <w:rPr>
          <w:lang w:val="en-US"/>
        </w:rPr>
        <w:t>legislature</w:t>
      </w:r>
      <w:r>
        <w:rPr>
          <w:lang w:val="en-US"/>
        </w:rPr>
        <w:t>‘</w:t>
      </w:r>
      <w:proofErr w:type="gramEnd"/>
      <w:r>
        <w:rPr>
          <w:lang w:val="en-US"/>
        </w:rPr>
        <w:t xml:space="preserve">“, </w:t>
      </w:r>
      <w:r w:rsidRPr="00546F93">
        <w:rPr>
          <w:i/>
          <w:lang w:val="en-US"/>
        </w:rPr>
        <w:t>McCulloch v. Maryland</w:t>
      </w:r>
      <w:r w:rsidRPr="00AB2988">
        <w:rPr>
          <w:lang w:val="en-US"/>
        </w:rPr>
        <w:t>, 17 U.S. 316, 400</w:t>
      </w:r>
      <w:r w:rsidRPr="003B741A">
        <w:rPr>
          <w:lang w:val="en-US"/>
        </w:rPr>
        <w:t xml:space="preserve"> = 4 L. Ed. </w:t>
      </w:r>
      <w:r w:rsidRPr="00AB2988">
        <w:rPr>
          <w:lang w:val="en-US"/>
        </w:rPr>
        <w:t>579, 600</w:t>
      </w:r>
      <w:r w:rsidRPr="003B741A">
        <w:rPr>
          <w:lang w:val="en-US"/>
        </w:rPr>
        <w:t xml:space="preserve"> = 1819 U.S. LEXIS </w:t>
      </w:r>
      <w:r w:rsidRPr="00AB2988">
        <w:rPr>
          <w:lang w:val="en-US"/>
        </w:rPr>
        <w:t>320, 1</w:t>
      </w:r>
      <w:r>
        <w:rPr>
          <w:lang w:val="en-US"/>
        </w:rPr>
        <w:t xml:space="preserve"> = 4 A.F.T.R</w:t>
      </w:r>
      <w:r w:rsidRPr="00AB2988">
        <w:rPr>
          <w:lang w:val="en-US"/>
        </w:rPr>
        <w:t>. (P-H) 4491</w:t>
      </w:r>
      <w:r w:rsidRPr="003B741A">
        <w:rPr>
          <w:lang w:val="en-US"/>
        </w:rPr>
        <w:t xml:space="preserve"> = 4 Wheat. </w:t>
      </w:r>
      <w:r w:rsidRPr="00AB2988">
        <w:rPr>
          <w:lang w:val="en-US"/>
        </w:rPr>
        <w:t>316</w:t>
      </w:r>
      <w:r w:rsidRPr="003B741A">
        <w:rPr>
          <w:lang w:val="en-US"/>
        </w:rPr>
        <w:t xml:space="preserve"> = 42 Cont. Cas. Fed. </w:t>
      </w:r>
      <w:r w:rsidRPr="00AB2988">
        <w:rPr>
          <w:lang w:val="en-US"/>
        </w:rPr>
        <w:t>(CCH) P77,296 (1819)</w:t>
      </w:r>
      <w:r>
        <w:rPr>
          <w:lang w:val="en-US"/>
        </w:rPr>
        <w:t>.</w:t>
      </w:r>
    </w:p>
  </w:footnote>
  <w:footnote w:id="353">
    <w:p w14:paraId="719DB5A2" w14:textId="77777777" w:rsidR="00074551" w:rsidRPr="00E61424" w:rsidRDefault="00074551" w:rsidP="00074551">
      <w:pPr>
        <w:pStyle w:val="Funotentext"/>
        <w:rPr>
          <w:lang w:val="en-US"/>
        </w:rPr>
      </w:pPr>
      <w:r>
        <w:rPr>
          <w:rStyle w:val="Funotenzeichen"/>
        </w:rPr>
        <w:footnoteRef/>
      </w:r>
      <w:r w:rsidRPr="00E61424">
        <w:rPr>
          <w:lang w:val="en-US"/>
        </w:rPr>
        <w:t xml:space="preserve"> </w:t>
      </w:r>
      <w:r w:rsidRPr="00546F93">
        <w:rPr>
          <w:i/>
          <w:lang w:val="en-US"/>
        </w:rPr>
        <w:t>McCulloch v. Maryland</w:t>
      </w:r>
      <w:r w:rsidRPr="00E61424">
        <w:rPr>
          <w:lang w:val="en-US"/>
        </w:rPr>
        <w:t>, 17 U.S. 316, 400</w:t>
      </w:r>
      <w:r w:rsidRPr="003B741A">
        <w:rPr>
          <w:lang w:val="en-US"/>
        </w:rPr>
        <w:t xml:space="preserve"> = 4 L. Ed. </w:t>
      </w:r>
      <w:r w:rsidRPr="00E61424">
        <w:rPr>
          <w:lang w:val="en-US"/>
        </w:rPr>
        <w:t>579, 600</w:t>
      </w:r>
      <w:r w:rsidRPr="003B741A">
        <w:rPr>
          <w:lang w:val="en-US"/>
        </w:rPr>
        <w:t xml:space="preserve"> = 1819 U.S. LEXIS </w:t>
      </w:r>
      <w:r w:rsidRPr="00E61424">
        <w:rPr>
          <w:lang w:val="en-US"/>
        </w:rPr>
        <w:t>320, 7</w:t>
      </w:r>
      <w:r>
        <w:rPr>
          <w:lang w:val="en-US"/>
        </w:rPr>
        <w:t xml:space="preserve"> = 4 A.F.T.R</w:t>
      </w:r>
      <w:r w:rsidRPr="00E61424">
        <w:rPr>
          <w:lang w:val="en-US"/>
        </w:rPr>
        <w:t>. (P-H) 4491</w:t>
      </w:r>
      <w:r w:rsidRPr="003B741A">
        <w:rPr>
          <w:lang w:val="en-US"/>
        </w:rPr>
        <w:t xml:space="preserve"> = 4 Wheat. </w:t>
      </w:r>
      <w:r w:rsidRPr="00E61424">
        <w:rPr>
          <w:lang w:val="en-US"/>
        </w:rPr>
        <w:t>316</w:t>
      </w:r>
      <w:r w:rsidRPr="003B741A">
        <w:rPr>
          <w:lang w:val="en-US"/>
        </w:rPr>
        <w:t xml:space="preserve"> = 42 Cont. Cas. Fed. </w:t>
      </w:r>
      <w:r w:rsidRPr="00E61424">
        <w:rPr>
          <w:lang w:val="en-US"/>
        </w:rPr>
        <w:t>(CCH) P77,296 (1819)</w:t>
      </w:r>
      <w:r>
        <w:rPr>
          <w:lang w:val="en-US"/>
        </w:rPr>
        <w:t>.</w:t>
      </w:r>
    </w:p>
  </w:footnote>
  <w:footnote w:id="354">
    <w:p w14:paraId="4A4E031C" w14:textId="77777777" w:rsidR="00074551" w:rsidRPr="0052660E" w:rsidRDefault="00074551" w:rsidP="00074551">
      <w:pPr>
        <w:pStyle w:val="Funotentext"/>
        <w:rPr>
          <w:lang w:val="en-US"/>
        </w:rPr>
      </w:pPr>
      <w:r>
        <w:rPr>
          <w:rStyle w:val="Funotenzeichen"/>
        </w:rPr>
        <w:footnoteRef/>
      </w:r>
      <w:r w:rsidRPr="0052660E">
        <w:rPr>
          <w:lang w:val="en-US"/>
        </w:rPr>
        <w:t xml:space="preserve"> </w:t>
      </w:r>
      <w:r w:rsidRPr="00546F93">
        <w:rPr>
          <w:i/>
          <w:lang w:val="en-US"/>
        </w:rPr>
        <w:t>McCulloch v. Maryland</w:t>
      </w:r>
      <w:r w:rsidRPr="0052660E">
        <w:rPr>
          <w:lang w:val="en-US"/>
        </w:rPr>
        <w:t>, 17 U.S. 316, 406</w:t>
      </w:r>
      <w:r w:rsidRPr="003B741A">
        <w:rPr>
          <w:lang w:val="en-US"/>
        </w:rPr>
        <w:t xml:space="preserve"> = 4 L. Ed. </w:t>
      </w:r>
      <w:r w:rsidRPr="0052660E">
        <w:rPr>
          <w:lang w:val="en-US"/>
        </w:rPr>
        <w:t>579, 601</w:t>
      </w:r>
      <w:r w:rsidRPr="003B741A">
        <w:rPr>
          <w:lang w:val="en-US"/>
        </w:rPr>
        <w:t xml:space="preserve"> = 1819 U.S. LEXIS </w:t>
      </w:r>
      <w:r w:rsidRPr="0052660E">
        <w:rPr>
          <w:lang w:val="en-US"/>
        </w:rPr>
        <w:t>320, 124</w:t>
      </w:r>
      <w:r>
        <w:rPr>
          <w:lang w:val="en-US"/>
        </w:rPr>
        <w:t xml:space="preserve"> = 4 A.F.T.R</w:t>
      </w:r>
      <w:r w:rsidRPr="0052660E">
        <w:rPr>
          <w:lang w:val="en-US"/>
        </w:rPr>
        <w:t>. (P-H) 4491</w:t>
      </w:r>
      <w:r w:rsidRPr="003B741A">
        <w:rPr>
          <w:lang w:val="en-US"/>
        </w:rPr>
        <w:t xml:space="preserve"> = 4 Wheat. </w:t>
      </w:r>
      <w:r w:rsidRPr="0052660E">
        <w:rPr>
          <w:lang w:val="en-US"/>
        </w:rPr>
        <w:t>316</w:t>
      </w:r>
      <w:r w:rsidRPr="003B741A">
        <w:rPr>
          <w:lang w:val="en-US"/>
        </w:rPr>
        <w:t xml:space="preserve"> = 42 Cont. Cas. Fed. </w:t>
      </w:r>
      <w:r w:rsidRPr="0052660E">
        <w:rPr>
          <w:lang w:val="en-US"/>
        </w:rPr>
        <w:t>(CCH) P77,296 (1819)</w:t>
      </w:r>
      <w:r>
        <w:rPr>
          <w:lang w:val="en-US"/>
        </w:rPr>
        <w:t>.</w:t>
      </w:r>
    </w:p>
  </w:footnote>
  <w:footnote w:id="355">
    <w:p w14:paraId="2DDA1B5F" w14:textId="77777777" w:rsidR="00074551" w:rsidRPr="009421C8" w:rsidRDefault="00074551" w:rsidP="00074551">
      <w:pPr>
        <w:pStyle w:val="Funotentext"/>
        <w:rPr>
          <w:lang w:val="en-US"/>
        </w:rPr>
      </w:pPr>
      <w:r>
        <w:rPr>
          <w:rStyle w:val="Funotenzeichen"/>
        </w:rPr>
        <w:footnoteRef/>
      </w:r>
      <w:r w:rsidRPr="009421C8">
        <w:rPr>
          <w:lang w:val="en-US"/>
        </w:rPr>
        <w:t xml:space="preserve"> </w:t>
      </w:r>
      <w:r w:rsidRPr="00546F93">
        <w:rPr>
          <w:i/>
          <w:lang w:val="en-US"/>
        </w:rPr>
        <w:t>McCulloch v. Maryland</w:t>
      </w:r>
      <w:r w:rsidRPr="009421C8">
        <w:rPr>
          <w:lang w:val="en-US"/>
        </w:rPr>
        <w:t>, 17 U.S. 316, 408</w:t>
      </w:r>
      <w:r w:rsidRPr="003B741A">
        <w:rPr>
          <w:lang w:val="en-US"/>
        </w:rPr>
        <w:t xml:space="preserve"> = 4 L. Ed. </w:t>
      </w:r>
      <w:r w:rsidRPr="009421C8">
        <w:rPr>
          <w:lang w:val="en-US"/>
        </w:rPr>
        <w:t>579, 602</w:t>
      </w:r>
      <w:r w:rsidRPr="003B741A">
        <w:rPr>
          <w:lang w:val="en-US"/>
        </w:rPr>
        <w:t xml:space="preserve"> = 1819 U.S. LEXIS </w:t>
      </w:r>
      <w:r w:rsidRPr="009421C8">
        <w:rPr>
          <w:lang w:val="en-US"/>
        </w:rPr>
        <w:t>320, 127</w:t>
      </w:r>
      <w:r>
        <w:rPr>
          <w:lang w:val="en-US"/>
        </w:rPr>
        <w:t xml:space="preserve"> = 4 A.F.T.R</w:t>
      </w:r>
      <w:r w:rsidRPr="009421C8">
        <w:rPr>
          <w:lang w:val="en-US"/>
        </w:rPr>
        <w:t>. (P-H) 4491</w:t>
      </w:r>
      <w:r w:rsidRPr="003B741A">
        <w:rPr>
          <w:lang w:val="en-US"/>
        </w:rPr>
        <w:t xml:space="preserve"> = 4 Wheat. </w:t>
      </w:r>
      <w:r w:rsidRPr="009421C8">
        <w:rPr>
          <w:lang w:val="en-US"/>
        </w:rPr>
        <w:t>316</w:t>
      </w:r>
      <w:r w:rsidRPr="003B741A">
        <w:rPr>
          <w:lang w:val="en-US"/>
        </w:rPr>
        <w:t xml:space="preserve"> = 42 Cont. Cas. Fed. </w:t>
      </w:r>
      <w:r w:rsidRPr="009421C8">
        <w:rPr>
          <w:lang w:val="en-US"/>
        </w:rPr>
        <w:t>(CCH) P77,296 (1819)</w:t>
      </w:r>
      <w:r>
        <w:rPr>
          <w:lang w:val="en-US"/>
        </w:rPr>
        <w:t>.</w:t>
      </w:r>
    </w:p>
  </w:footnote>
  <w:footnote w:id="356">
    <w:p w14:paraId="2358C8F4" w14:textId="77777777" w:rsidR="00074551" w:rsidRPr="00257DEF" w:rsidRDefault="00074551" w:rsidP="00074551">
      <w:pPr>
        <w:pStyle w:val="Funotentext"/>
        <w:jc w:val="both"/>
        <w:rPr>
          <w:lang w:val="en-US"/>
        </w:rPr>
      </w:pPr>
      <w:r>
        <w:rPr>
          <w:rStyle w:val="Funotenzeichen"/>
        </w:rPr>
        <w:footnoteRef/>
      </w:r>
      <w:r w:rsidRPr="00257DEF">
        <w:rPr>
          <w:lang w:val="en-US"/>
        </w:rPr>
        <w:t xml:space="preserve"> </w:t>
      </w:r>
      <w:r>
        <w:rPr>
          <w:lang w:val="en-US"/>
        </w:rPr>
        <w:t>„</w:t>
      </w:r>
      <w:r w:rsidRPr="00257DEF">
        <w:rPr>
          <w:lang w:val="en-US"/>
        </w:rPr>
        <w:t xml:space="preserve">15th of February, 1869, the legislature of Nebraska passed an act </w:t>
      </w:r>
      <w:r>
        <w:rPr>
          <w:lang w:val="en-US"/>
        </w:rPr>
        <w:t>,</w:t>
      </w:r>
      <w:r w:rsidRPr="00257DEF">
        <w:rPr>
          <w:lang w:val="en-US"/>
        </w:rPr>
        <w:t>to define the western boundary of Lincoln County</w:t>
      </w:r>
      <w:r>
        <w:rPr>
          <w:lang w:val="en-US"/>
        </w:rPr>
        <w:t>‘ […]: ,</w:t>
      </w:r>
      <w:r w:rsidRPr="00257DEF">
        <w:rPr>
          <w:lang w:val="en-US"/>
        </w:rPr>
        <w:t>That all the unorganized country lying west of the western boundary of Lincoln, and east of the east line of Cheyenne County, and south of the North Platte River be, and the same is hereby, attached to the said county of Lincoln, for judicial and revenue purposes, and that the county of Cheyenne be, and the same is hereby, attached, for judicial and revenue purposes, to said county of Lincoln.</w:t>
      </w:r>
      <w:r>
        <w:rPr>
          <w:lang w:val="en-US"/>
        </w:rPr>
        <w:t xml:space="preserve">‘“, </w:t>
      </w:r>
      <w:r w:rsidRPr="007360B0">
        <w:rPr>
          <w:i/>
          <w:lang w:val="en-US"/>
        </w:rPr>
        <w:t>R.R. Co. v. Peniston</w:t>
      </w:r>
      <w:r w:rsidRPr="00257DEF">
        <w:rPr>
          <w:lang w:val="en-US"/>
        </w:rPr>
        <w:t>, 85 U.S. 5, 29</w:t>
      </w:r>
      <w:r w:rsidRPr="003B741A">
        <w:rPr>
          <w:lang w:val="en-US"/>
        </w:rPr>
        <w:t xml:space="preserve"> = 21 L. Ed. </w:t>
      </w:r>
      <w:r w:rsidRPr="00257DEF">
        <w:rPr>
          <w:lang w:val="en-US"/>
        </w:rPr>
        <w:t>787, 791</w:t>
      </w:r>
      <w:r w:rsidRPr="003B741A">
        <w:rPr>
          <w:lang w:val="en-US"/>
        </w:rPr>
        <w:t xml:space="preserve"> = 1873 U.S. LEXIS </w:t>
      </w:r>
      <w:r w:rsidRPr="00257DEF">
        <w:rPr>
          <w:lang w:val="en-US"/>
        </w:rPr>
        <w:t>1286, 5</w:t>
      </w:r>
      <w:r w:rsidRPr="003B741A">
        <w:rPr>
          <w:lang w:val="en-US"/>
        </w:rPr>
        <w:t xml:space="preserve"> = 18 Wall. </w:t>
      </w:r>
      <w:r w:rsidRPr="00257DEF">
        <w:rPr>
          <w:lang w:val="en-US"/>
        </w:rPr>
        <w:t>5 (1873)</w:t>
      </w:r>
      <w:r>
        <w:rPr>
          <w:lang w:val="en-US"/>
        </w:rPr>
        <w:t>; „</w:t>
      </w:r>
      <w:r w:rsidRPr="00257DEF">
        <w:rPr>
          <w:lang w:val="en-US"/>
        </w:rPr>
        <w:t xml:space="preserve">revenue law of the State, passed on the same 15th of </w:t>
      </w:r>
      <w:proofErr w:type="gramStart"/>
      <w:r w:rsidRPr="00257DEF">
        <w:rPr>
          <w:lang w:val="en-US"/>
        </w:rPr>
        <w:t>February,</w:t>
      </w:r>
      <w:proofErr w:type="gramEnd"/>
      <w:r w:rsidRPr="00257DEF">
        <w:rPr>
          <w:lang w:val="en-US"/>
        </w:rPr>
        <w:t xml:space="preserve"> 1869, laid a tax upon the property of the railroad company, embraced within the taxation, upon the valuation of $16,000 per mile, for a length of one hundred and seventy-six </w:t>
      </w:r>
      <w:proofErr w:type="gramStart"/>
      <w:r w:rsidRPr="00257DEF">
        <w:rPr>
          <w:lang w:val="en-US"/>
        </w:rPr>
        <w:t>miles</w:t>
      </w:r>
      <w:r>
        <w:rPr>
          <w:lang w:val="en-US"/>
        </w:rPr>
        <w:t>“</w:t>
      </w:r>
      <w:proofErr w:type="gramEnd"/>
      <w:r>
        <w:rPr>
          <w:lang w:val="en-US"/>
        </w:rPr>
        <w:t xml:space="preserve">, </w:t>
      </w:r>
      <w:r w:rsidRPr="007360B0">
        <w:rPr>
          <w:i/>
          <w:lang w:val="en-US"/>
        </w:rPr>
        <w:t>R.R. Co. v. Peniston</w:t>
      </w:r>
      <w:r w:rsidRPr="00257DEF">
        <w:rPr>
          <w:lang w:val="en-US"/>
        </w:rPr>
        <w:t>, 85 U.S. 5, 29</w:t>
      </w:r>
      <w:r w:rsidRPr="003B741A">
        <w:rPr>
          <w:lang w:val="en-US"/>
        </w:rPr>
        <w:t xml:space="preserve"> = 21 L. Ed. </w:t>
      </w:r>
      <w:r w:rsidRPr="00257DEF">
        <w:rPr>
          <w:lang w:val="en-US"/>
        </w:rPr>
        <w:t>787, 791</w:t>
      </w:r>
      <w:r w:rsidRPr="003B741A">
        <w:rPr>
          <w:lang w:val="en-US"/>
        </w:rPr>
        <w:t xml:space="preserve"> = 1873 U.S. LEXIS </w:t>
      </w:r>
      <w:r w:rsidRPr="00257DEF">
        <w:rPr>
          <w:lang w:val="en-US"/>
        </w:rPr>
        <w:t>1286, 5</w:t>
      </w:r>
      <w:r>
        <w:rPr>
          <w:lang w:val="en-US"/>
        </w:rPr>
        <w:t>–</w:t>
      </w:r>
      <w:r w:rsidRPr="00257DEF">
        <w:rPr>
          <w:lang w:val="en-US"/>
        </w:rPr>
        <w:t>6</w:t>
      </w:r>
      <w:r w:rsidRPr="003B741A">
        <w:rPr>
          <w:lang w:val="en-US"/>
        </w:rPr>
        <w:t xml:space="preserve"> = 18 Wall. </w:t>
      </w:r>
      <w:r w:rsidRPr="00257DEF">
        <w:rPr>
          <w:lang w:val="en-US"/>
        </w:rPr>
        <w:t>5 (1873)</w:t>
      </w:r>
      <w:r>
        <w:rPr>
          <w:lang w:val="en-US"/>
        </w:rPr>
        <w:t>.</w:t>
      </w:r>
    </w:p>
  </w:footnote>
  <w:footnote w:id="357">
    <w:p w14:paraId="20221062" w14:textId="77777777" w:rsidR="00074551" w:rsidRPr="00B46AE0" w:rsidRDefault="00074551" w:rsidP="00074551">
      <w:pPr>
        <w:pStyle w:val="Funotentext"/>
        <w:jc w:val="both"/>
        <w:rPr>
          <w:lang w:val="en-US"/>
        </w:rPr>
      </w:pPr>
      <w:r>
        <w:rPr>
          <w:rStyle w:val="Funotenzeichen"/>
        </w:rPr>
        <w:footnoteRef/>
      </w:r>
      <w:r w:rsidRPr="00B46AE0">
        <w:rPr>
          <w:lang w:val="en-US"/>
        </w:rPr>
        <w:t xml:space="preserve"> </w:t>
      </w:r>
      <w:r w:rsidRPr="00B45592">
        <w:rPr>
          <w:i/>
          <w:lang w:val="en-US"/>
        </w:rPr>
        <w:t>Act of Congress of July 1st, 1862</w:t>
      </w:r>
      <w:r w:rsidRPr="00B46AE0">
        <w:rPr>
          <w:lang w:val="en-US"/>
        </w:rPr>
        <w:t>, 1</w:t>
      </w:r>
      <w:r>
        <w:rPr>
          <w:lang w:val="en-US"/>
        </w:rPr>
        <w:t>: „</w:t>
      </w:r>
      <w:r w:rsidRPr="00B46AE0">
        <w:rPr>
          <w:lang w:val="en-US"/>
        </w:rPr>
        <w:t xml:space="preserve">An act to aid in the construction of a railroad and telegraph line from the Mississippi River to the Pacific Ocean, and to secure the government the use of the same for postal, military, and other </w:t>
      </w:r>
      <w:proofErr w:type="gramStart"/>
      <w:r w:rsidRPr="00B46AE0">
        <w:rPr>
          <w:lang w:val="en-US"/>
        </w:rPr>
        <w:t>purposes</w:t>
      </w:r>
      <w:r>
        <w:rPr>
          <w:lang w:val="en-US"/>
        </w:rPr>
        <w:t>“</w:t>
      </w:r>
      <w:proofErr w:type="gramEnd"/>
      <w:r>
        <w:rPr>
          <w:lang w:val="en-US"/>
        </w:rPr>
        <w:t xml:space="preserve">, </w:t>
      </w:r>
      <w:r w:rsidRPr="007360B0">
        <w:rPr>
          <w:i/>
          <w:lang w:val="en-US"/>
        </w:rPr>
        <w:t>R.R. Co. v. Peniston</w:t>
      </w:r>
      <w:r w:rsidRPr="00B46AE0">
        <w:rPr>
          <w:lang w:val="en-US"/>
        </w:rPr>
        <w:t>, 85 U.S. 5, 29</w:t>
      </w:r>
      <w:r w:rsidRPr="003B741A">
        <w:rPr>
          <w:lang w:val="en-US"/>
        </w:rPr>
        <w:t xml:space="preserve"> = 21 L. Ed. </w:t>
      </w:r>
      <w:r w:rsidRPr="00B46AE0">
        <w:rPr>
          <w:lang w:val="en-US"/>
        </w:rPr>
        <w:t>787, 791</w:t>
      </w:r>
      <w:r w:rsidRPr="003B741A">
        <w:rPr>
          <w:lang w:val="en-US"/>
        </w:rPr>
        <w:t xml:space="preserve"> = 1873 U.S. LEXIS </w:t>
      </w:r>
      <w:r w:rsidRPr="00B46AE0">
        <w:rPr>
          <w:lang w:val="en-US"/>
        </w:rPr>
        <w:t>1286, 1</w:t>
      </w:r>
      <w:r w:rsidRPr="003B741A">
        <w:rPr>
          <w:lang w:val="en-US"/>
        </w:rPr>
        <w:t xml:space="preserve"> = 18 Wall. </w:t>
      </w:r>
      <w:r w:rsidRPr="00B46AE0">
        <w:rPr>
          <w:lang w:val="en-US"/>
        </w:rPr>
        <w:t>5 (1873)</w:t>
      </w:r>
      <w:r>
        <w:rPr>
          <w:lang w:val="en-US"/>
        </w:rPr>
        <w:t>.</w:t>
      </w:r>
    </w:p>
  </w:footnote>
  <w:footnote w:id="358">
    <w:p w14:paraId="55DB4DFA" w14:textId="77777777" w:rsidR="00074551" w:rsidRPr="00B46AE0" w:rsidRDefault="00074551" w:rsidP="00074551">
      <w:pPr>
        <w:pStyle w:val="Funotentext"/>
        <w:jc w:val="both"/>
        <w:rPr>
          <w:lang w:val="en-US"/>
        </w:rPr>
      </w:pPr>
      <w:r>
        <w:rPr>
          <w:rStyle w:val="Funotenzeichen"/>
        </w:rPr>
        <w:footnoteRef/>
      </w:r>
      <w:r w:rsidRPr="00B46AE0">
        <w:rPr>
          <w:lang w:val="en-US"/>
        </w:rPr>
        <w:t xml:space="preserve"> </w:t>
      </w:r>
      <w:r w:rsidRPr="007360B0">
        <w:rPr>
          <w:i/>
          <w:lang w:val="en-US"/>
        </w:rPr>
        <w:t>R.R. Co. v. Peniston</w:t>
      </w:r>
      <w:r w:rsidRPr="00B46AE0">
        <w:rPr>
          <w:lang w:val="en-US"/>
        </w:rPr>
        <w:t>, 85 U.S. 5, 29</w:t>
      </w:r>
      <w:r w:rsidRPr="003B741A">
        <w:rPr>
          <w:lang w:val="en-US"/>
        </w:rPr>
        <w:t xml:space="preserve"> = 21 L. Ed. </w:t>
      </w:r>
      <w:r w:rsidRPr="00B46AE0">
        <w:rPr>
          <w:lang w:val="en-US"/>
        </w:rPr>
        <w:t>787, 791</w:t>
      </w:r>
      <w:r w:rsidRPr="003B741A">
        <w:rPr>
          <w:lang w:val="en-US"/>
        </w:rPr>
        <w:t xml:space="preserve"> = 1873 U.S. LEXIS </w:t>
      </w:r>
      <w:r w:rsidRPr="00B46AE0">
        <w:rPr>
          <w:lang w:val="en-US"/>
        </w:rPr>
        <w:t>1286, 8</w:t>
      </w:r>
      <w:r w:rsidRPr="003B741A">
        <w:rPr>
          <w:lang w:val="en-US"/>
        </w:rPr>
        <w:t xml:space="preserve"> = 18 Wall. </w:t>
      </w:r>
      <w:r w:rsidRPr="00B46AE0">
        <w:rPr>
          <w:lang w:val="en-US"/>
        </w:rPr>
        <w:t>5 (1873)</w:t>
      </w:r>
      <w:r>
        <w:rPr>
          <w:lang w:val="en-US"/>
        </w:rPr>
        <w:t>.</w:t>
      </w:r>
    </w:p>
  </w:footnote>
  <w:footnote w:id="359">
    <w:p w14:paraId="594B4982" w14:textId="77777777" w:rsidR="00074551" w:rsidRPr="0052660E" w:rsidRDefault="00074551" w:rsidP="00074551">
      <w:pPr>
        <w:pStyle w:val="Funotentext"/>
        <w:rPr>
          <w:lang w:val="en-US"/>
        </w:rPr>
      </w:pPr>
      <w:r>
        <w:rPr>
          <w:rStyle w:val="Funotenzeichen"/>
        </w:rPr>
        <w:footnoteRef/>
      </w:r>
      <w:r w:rsidRPr="0052660E">
        <w:rPr>
          <w:lang w:val="en-US"/>
        </w:rPr>
        <w:t xml:space="preserve"> </w:t>
      </w:r>
      <w:r w:rsidRPr="00546F93">
        <w:rPr>
          <w:i/>
          <w:lang w:val="en-US"/>
        </w:rPr>
        <w:t>McCulloch v. Maryland</w:t>
      </w:r>
      <w:r w:rsidRPr="0052660E">
        <w:rPr>
          <w:lang w:val="en-US"/>
        </w:rPr>
        <w:t>, 17 U.S. 316, 406</w:t>
      </w:r>
      <w:r w:rsidRPr="003B741A">
        <w:rPr>
          <w:lang w:val="en-US"/>
        </w:rPr>
        <w:t xml:space="preserve"> = 4 L. Ed. </w:t>
      </w:r>
      <w:r w:rsidRPr="0052660E">
        <w:rPr>
          <w:lang w:val="en-US"/>
        </w:rPr>
        <w:t>579, 601</w:t>
      </w:r>
      <w:r w:rsidRPr="003B741A">
        <w:rPr>
          <w:lang w:val="en-US"/>
        </w:rPr>
        <w:t xml:space="preserve"> = 1819 U.S. LEXIS </w:t>
      </w:r>
      <w:r w:rsidRPr="0052660E">
        <w:rPr>
          <w:lang w:val="en-US"/>
        </w:rPr>
        <w:t>320, 124</w:t>
      </w:r>
      <w:r>
        <w:rPr>
          <w:lang w:val="en-US"/>
        </w:rPr>
        <w:t xml:space="preserve"> = 4 A.F.T.R</w:t>
      </w:r>
      <w:r w:rsidRPr="0052660E">
        <w:rPr>
          <w:lang w:val="en-US"/>
        </w:rPr>
        <w:t>. (P-H) 4491</w:t>
      </w:r>
      <w:r w:rsidRPr="003B741A">
        <w:rPr>
          <w:lang w:val="en-US"/>
        </w:rPr>
        <w:t xml:space="preserve"> = 4 Wheat. </w:t>
      </w:r>
      <w:r w:rsidRPr="0052660E">
        <w:rPr>
          <w:lang w:val="en-US"/>
        </w:rPr>
        <w:t>316</w:t>
      </w:r>
      <w:r w:rsidRPr="003B741A">
        <w:rPr>
          <w:lang w:val="en-US"/>
        </w:rPr>
        <w:t xml:space="preserve"> = 42 Cont. Cas. Fed. </w:t>
      </w:r>
      <w:r w:rsidRPr="0052660E">
        <w:rPr>
          <w:lang w:val="en-US"/>
        </w:rPr>
        <w:t>(CCH) P77,296 (1819)</w:t>
      </w:r>
      <w:r>
        <w:rPr>
          <w:lang w:val="en-US"/>
        </w:rPr>
        <w:t>.</w:t>
      </w:r>
    </w:p>
  </w:footnote>
  <w:footnote w:id="360">
    <w:p w14:paraId="384FEA53" w14:textId="17BB64BD" w:rsidR="00074551" w:rsidRPr="009421C8" w:rsidRDefault="00074551" w:rsidP="00074551">
      <w:pPr>
        <w:pStyle w:val="Funotentext"/>
        <w:rPr>
          <w:lang w:val="en-US"/>
        </w:rPr>
      </w:pPr>
      <w:r>
        <w:rPr>
          <w:rStyle w:val="Funotenzeichen"/>
        </w:rPr>
        <w:footnoteRef/>
      </w:r>
      <w:r w:rsidRPr="009421C8">
        <w:rPr>
          <w:lang w:val="en-US"/>
        </w:rPr>
        <w:t xml:space="preserve"> </w:t>
      </w:r>
      <w:r w:rsidR="0017623A" w:rsidRPr="007360B0">
        <w:rPr>
          <w:i/>
          <w:lang w:val="en-US"/>
        </w:rPr>
        <w:t>R.R. Co. v. Peniston</w:t>
      </w:r>
      <w:r w:rsidR="0017623A" w:rsidRPr="00D556A7">
        <w:rPr>
          <w:lang w:val="en-US"/>
        </w:rPr>
        <w:t>, 85 U.S. 5, 4</w:t>
      </w:r>
      <w:r w:rsidR="0017623A">
        <w:rPr>
          <w:lang w:val="en-US"/>
        </w:rPr>
        <w:t>5-46</w:t>
      </w:r>
      <w:r w:rsidR="0017623A" w:rsidRPr="003B741A">
        <w:rPr>
          <w:lang w:val="en-US"/>
        </w:rPr>
        <w:t xml:space="preserve"> = 21 L. Ed. </w:t>
      </w:r>
      <w:r w:rsidR="0017623A" w:rsidRPr="00D556A7">
        <w:rPr>
          <w:lang w:val="en-US"/>
        </w:rPr>
        <w:t>787, 797</w:t>
      </w:r>
      <w:r w:rsidR="0017623A" w:rsidRPr="003B741A">
        <w:rPr>
          <w:lang w:val="en-US"/>
        </w:rPr>
        <w:t xml:space="preserve"> = 1873 U.S. LEXIS </w:t>
      </w:r>
      <w:r w:rsidR="0017623A" w:rsidRPr="00D556A7">
        <w:rPr>
          <w:lang w:val="en-US"/>
        </w:rPr>
        <w:t>1286, 75</w:t>
      </w:r>
      <w:r w:rsidR="0017623A" w:rsidRPr="003B741A">
        <w:rPr>
          <w:lang w:val="en-US"/>
        </w:rPr>
        <w:t xml:space="preserve"> = 18 Wall. </w:t>
      </w:r>
      <w:r w:rsidR="0017623A" w:rsidRPr="00D556A7">
        <w:rPr>
          <w:lang w:val="en-US"/>
        </w:rPr>
        <w:t>5 (1873)</w:t>
      </w:r>
      <w:r w:rsidR="0017623A">
        <w:rPr>
          <w:lang w:val="en-US"/>
        </w:rPr>
        <w:t xml:space="preserve">, </w:t>
      </w:r>
      <w:r w:rsidRPr="00546F93">
        <w:rPr>
          <w:i/>
          <w:lang w:val="en-US"/>
        </w:rPr>
        <w:t>McCulloch v. Maryland</w:t>
      </w:r>
      <w:r w:rsidRPr="009421C8">
        <w:rPr>
          <w:lang w:val="en-US"/>
        </w:rPr>
        <w:t>, 17 U.S. 316, 408</w:t>
      </w:r>
      <w:r w:rsidRPr="003B741A">
        <w:rPr>
          <w:lang w:val="en-US"/>
        </w:rPr>
        <w:t xml:space="preserve"> = 4 L. Ed. </w:t>
      </w:r>
      <w:r w:rsidRPr="009421C8">
        <w:rPr>
          <w:lang w:val="en-US"/>
        </w:rPr>
        <w:t>579, 602</w:t>
      </w:r>
      <w:r w:rsidRPr="003B741A">
        <w:rPr>
          <w:lang w:val="en-US"/>
        </w:rPr>
        <w:t xml:space="preserve"> = 1819 U.S. LEXIS </w:t>
      </w:r>
      <w:r w:rsidRPr="009421C8">
        <w:rPr>
          <w:lang w:val="en-US"/>
        </w:rPr>
        <w:t>320, 127</w:t>
      </w:r>
      <w:r>
        <w:rPr>
          <w:lang w:val="en-US"/>
        </w:rPr>
        <w:t xml:space="preserve"> = 4 A.F.T.R</w:t>
      </w:r>
      <w:r w:rsidRPr="009421C8">
        <w:rPr>
          <w:lang w:val="en-US"/>
        </w:rPr>
        <w:t>. (P-H) 4491</w:t>
      </w:r>
      <w:r w:rsidRPr="003B741A">
        <w:rPr>
          <w:lang w:val="en-US"/>
        </w:rPr>
        <w:t xml:space="preserve"> = 4 Wheat. </w:t>
      </w:r>
      <w:r w:rsidRPr="009421C8">
        <w:rPr>
          <w:lang w:val="en-US"/>
        </w:rPr>
        <w:t>316</w:t>
      </w:r>
      <w:r w:rsidRPr="003B741A">
        <w:rPr>
          <w:lang w:val="en-US"/>
        </w:rPr>
        <w:t xml:space="preserve"> = 42 Cont. Cas. Fed. </w:t>
      </w:r>
      <w:r w:rsidRPr="009421C8">
        <w:rPr>
          <w:lang w:val="en-US"/>
        </w:rPr>
        <w:t>(CCH) P77,296 (1819)</w:t>
      </w:r>
      <w:r>
        <w:rPr>
          <w:lang w:val="en-US"/>
        </w:rPr>
        <w:t>.</w:t>
      </w:r>
    </w:p>
  </w:footnote>
  <w:footnote w:id="361">
    <w:p w14:paraId="6CDD53C8" w14:textId="77777777" w:rsidR="00074551" w:rsidRPr="009421C8" w:rsidRDefault="00074551" w:rsidP="00074551">
      <w:pPr>
        <w:pStyle w:val="Funotentext"/>
        <w:rPr>
          <w:lang w:val="en-US"/>
        </w:rPr>
      </w:pPr>
      <w:r>
        <w:rPr>
          <w:rStyle w:val="Funotenzeichen"/>
        </w:rPr>
        <w:footnoteRef/>
      </w:r>
      <w:r w:rsidRPr="009421C8">
        <w:rPr>
          <w:lang w:val="en-US"/>
        </w:rPr>
        <w:t xml:space="preserve"> </w:t>
      </w:r>
      <w:r w:rsidRPr="00546F93">
        <w:rPr>
          <w:i/>
          <w:lang w:val="en-US"/>
        </w:rPr>
        <w:t>McCulloch v. Maryland</w:t>
      </w:r>
      <w:r w:rsidRPr="009421C8">
        <w:rPr>
          <w:lang w:val="en-US"/>
        </w:rPr>
        <w:t>, 17 U.S. 316, 408</w:t>
      </w:r>
      <w:r w:rsidRPr="003B741A">
        <w:rPr>
          <w:lang w:val="en-US"/>
        </w:rPr>
        <w:t xml:space="preserve"> = 4 L. Ed. </w:t>
      </w:r>
      <w:r w:rsidRPr="009421C8">
        <w:rPr>
          <w:lang w:val="en-US"/>
        </w:rPr>
        <w:t>579, 602</w:t>
      </w:r>
      <w:r w:rsidRPr="003B741A">
        <w:rPr>
          <w:lang w:val="en-US"/>
        </w:rPr>
        <w:t xml:space="preserve"> = 1819 U.S. LEXIS </w:t>
      </w:r>
      <w:r w:rsidRPr="009421C8">
        <w:rPr>
          <w:lang w:val="en-US"/>
        </w:rPr>
        <w:t>320, 127</w:t>
      </w:r>
      <w:r>
        <w:rPr>
          <w:lang w:val="en-US"/>
        </w:rPr>
        <w:t xml:space="preserve"> = 4 A.F.T.R</w:t>
      </w:r>
      <w:r w:rsidRPr="009421C8">
        <w:rPr>
          <w:lang w:val="en-US"/>
        </w:rPr>
        <w:t>. (P-H) 4491</w:t>
      </w:r>
      <w:r w:rsidRPr="003B741A">
        <w:rPr>
          <w:lang w:val="en-US"/>
        </w:rPr>
        <w:t xml:space="preserve"> = 4 Wheat. </w:t>
      </w:r>
      <w:r w:rsidRPr="009421C8">
        <w:rPr>
          <w:lang w:val="en-US"/>
        </w:rPr>
        <w:t>316</w:t>
      </w:r>
      <w:r w:rsidRPr="003B741A">
        <w:rPr>
          <w:lang w:val="en-US"/>
        </w:rPr>
        <w:t xml:space="preserve"> = 42 Cont. Cas. Fed. </w:t>
      </w:r>
      <w:r w:rsidRPr="009421C8">
        <w:rPr>
          <w:lang w:val="en-US"/>
        </w:rPr>
        <w:t>(CCH) P77,296 (1819)</w:t>
      </w:r>
      <w:r>
        <w:rPr>
          <w:lang w:val="en-US"/>
        </w:rPr>
        <w:t>.</w:t>
      </w:r>
    </w:p>
  </w:footnote>
  <w:footnote w:id="362">
    <w:p w14:paraId="01E41380" w14:textId="77777777" w:rsidR="00074551" w:rsidRPr="00D556A7" w:rsidRDefault="00074551" w:rsidP="00074551">
      <w:pPr>
        <w:pStyle w:val="Funotentext"/>
        <w:jc w:val="both"/>
        <w:rPr>
          <w:lang w:val="en-US"/>
        </w:rPr>
      </w:pPr>
      <w:r>
        <w:rPr>
          <w:rStyle w:val="Funotenzeichen"/>
        </w:rPr>
        <w:footnoteRef/>
      </w:r>
      <w:r w:rsidRPr="00D556A7">
        <w:rPr>
          <w:lang w:val="en-US"/>
        </w:rPr>
        <w:t xml:space="preserve"> </w:t>
      </w:r>
      <w:r w:rsidRPr="007360B0">
        <w:rPr>
          <w:i/>
          <w:lang w:val="en-US"/>
        </w:rPr>
        <w:t>R.R. Co. v. Peniston</w:t>
      </w:r>
      <w:r w:rsidRPr="00D556A7">
        <w:rPr>
          <w:lang w:val="en-US"/>
        </w:rPr>
        <w:t>, 85 U.S. 5, 47</w:t>
      </w:r>
      <w:r w:rsidRPr="003B741A">
        <w:rPr>
          <w:lang w:val="en-US"/>
        </w:rPr>
        <w:t xml:space="preserve"> = 21 L. Ed. </w:t>
      </w:r>
      <w:r w:rsidRPr="00D556A7">
        <w:rPr>
          <w:lang w:val="en-US"/>
        </w:rPr>
        <w:t>787, 797</w:t>
      </w:r>
      <w:r w:rsidRPr="003B741A">
        <w:rPr>
          <w:lang w:val="en-US"/>
        </w:rPr>
        <w:t xml:space="preserve"> = 1873 U.S. LEXIS </w:t>
      </w:r>
      <w:r w:rsidRPr="00D556A7">
        <w:rPr>
          <w:lang w:val="en-US"/>
        </w:rPr>
        <w:t>1286, 75</w:t>
      </w:r>
      <w:r w:rsidRPr="003B741A">
        <w:rPr>
          <w:lang w:val="en-US"/>
        </w:rPr>
        <w:t xml:space="preserve"> = 18 Wall. </w:t>
      </w:r>
      <w:r w:rsidRPr="00D556A7">
        <w:rPr>
          <w:lang w:val="en-US"/>
        </w:rPr>
        <w:t>5 (1873).</w:t>
      </w:r>
    </w:p>
  </w:footnote>
  <w:footnote w:id="363">
    <w:p w14:paraId="25CCC1EF" w14:textId="77777777" w:rsidR="00074551" w:rsidRPr="006B64A2" w:rsidRDefault="00074551" w:rsidP="00074551">
      <w:pPr>
        <w:pStyle w:val="Funotentext"/>
        <w:jc w:val="both"/>
        <w:rPr>
          <w:lang w:val="en-US"/>
        </w:rPr>
      </w:pPr>
      <w:r>
        <w:rPr>
          <w:rStyle w:val="Funotenzeichen"/>
        </w:rPr>
        <w:footnoteRef/>
      </w:r>
      <w:r w:rsidRPr="006B64A2">
        <w:rPr>
          <w:lang w:val="en-US"/>
        </w:rPr>
        <w:t xml:space="preserve"> </w:t>
      </w:r>
      <w:r>
        <w:rPr>
          <w:lang w:val="en-US"/>
        </w:rPr>
        <w:t xml:space="preserve">„Section </w:t>
      </w:r>
      <w:r w:rsidRPr="006B64A2">
        <w:rPr>
          <w:lang w:val="en-US"/>
        </w:rPr>
        <w:t>1st. When any vessel shall arrive at any port or harbor within this State, from any port or place without the same, with alien passengers on board, the officer or officers whom the mayor and aldermen of the city, or the selectmen of the town, where it is proposed to land such passengers, are hereby authorized and required to appoint, shall go on board such vessels and examine into the condition of said passengers.</w:t>
      </w:r>
      <w:r>
        <w:rPr>
          <w:lang w:val="en-US"/>
        </w:rPr>
        <w:t xml:space="preserve"> Section </w:t>
      </w:r>
      <w:r w:rsidRPr="006B64A2">
        <w:rPr>
          <w:lang w:val="en-US"/>
        </w:rPr>
        <w:t>2d. If, on such examination, there shall be found among said passengers any lunatic, idiot, maimed, aged, or infirm person, incompetent, in the opinion of the officer so examining, to maintain themselves, or who have been paupers in any other country, no such alien passenger shall be permitted to land until the master, owner, consignee, or agent of such vessel shall have given to such city or town a bond in the sum of one thousand dollars, with good and sufficient security, that no such lunatic or indigent passenger shall become a city, town, or State charge within ten years from the date of said bond.</w:t>
      </w:r>
      <w:r>
        <w:rPr>
          <w:lang w:val="en-US"/>
        </w:rPr>
        <w:t xml:space="preserve"> Section </w:t>
      </w:r>
      <w:r w:rsidRPr="006B64A2">
        <w:rPr>
          <w:lang w:val="en-US"/>
        </w:rPr>
        <w:t>3d. No alien passenger, other than those spoken of in the preceding section, shall be permitted to land until the master, owner, consignee, or agent of such vessel shall pay to the regularly appointed boarding officer the sum of two dollars for each passenger so landing; and the money so collected shall be paid into the treasury of the city or town, to be appropriated as the city or town may direct for the support of foreign paupers.</w:t>
      </w:r>
      <w:r>
        <w:rPr>
          <w:lang w:val="en-US"/>
        </w:rPr>
        <w:t xml:space="preserve"> Section </w:t>
      </w:r>
      <w:r w:rsidRPr="006B64A2">
        <w:rPr>
          <w:lang w:val="en-US"/>
        </w:rPr>
        <w:t>4th. The officer or officers required in the first section of this act to be appointed by the mayor and aldermen, or the selectmen, respectively, shall, from time to time, notify the pilots of the port of said city or town of the place or places where the said examination is made, and the said pilots shall be required to anchor all such vessels at the place so appointed, and require said vessels there to remain till such examination shall be made; and any pilot who shall refuse or neglect to perform the duty imposed upon him by this section, or who shall through negligence or design permit any alien passengers to land before such examination shall be had, shall forfeit to the city or town a sum not less than fifty nor more than two thousand dollars.</w:t>
      </w:r>
      <w:r>
        <w:rPr>
          <w:lang w:val="en-US"/>
        </w:rPr>
        <w:t xml:space="preserve"> Section </w:t>
      </w:r>
      <w:r w:rsidRPr="006B64A2">
        <w:rPr>
          <w:lang w:val="en-US"/>
        </w:rPr>
        <w:t>5th. The provisions of this act shall not apply to any vessel coming on shore in distress, or to any alien passengers taken from any wreck when life is in danger.</w:t>
      </w:r>
      <w:r>
        <w:rPr>
          <w:lang w:val="en-US"/>
        </w:rPr>
        <w:t xml:space="preserve"> Section </w:t>
      </w:r>
      <w:r w:rsidRPr="006B64A2">
        <w:rPr>
          <w:lang w:val="en-US"/>
        </w:rPr>
        <w:t>6th. The twenty-seventh section of the forty-sixth chapter of the Revised Statutes is hereby repealed, and the twenty-eighth and twenty-ninth sections of the said chapter shall relate to the provisions of this act in the same manner as they now relate to the section hereby repealed.</w:t>
      </w:r>
      <w:r>
        <w:rPr>
          <w:lang w:val="en-US"/>
        </w:rPr>
        <w:t xml:space="preserve"> Section </w:t>
      </w:r>
      <w:r w:rsidRPr="006B64A2">
        <w:rPr>
          <w:lang w:val="en-US"/>
        </w:rPr>
        <w:t>7th. This act shall take effect from and after the passage of the same, April 20th, 1837.</w:t>
      </w:r>
      <w:r>
        <w:rPr>
          <w:lang w:val="en-US"/>
        </w:rPr>
        <w:t xml:space="preserve"> </w:t>
      </w:r>
      <w:r w:rsidRPr="006B64A2">
        <w:rPr>
          <w:lang w:val="en-US"/>
        </w:rPr>
        <w:t xml:space="preserve">And the jury </w:t>
      </w:r>
      <w:proofErr w:type="gramStart"/>
      <w:r w:rsidRPr="006B64A2">
        <w:rPr>
          <w:lang w:val="en-US"/>
        </w:rPr>
        <w:t>further find,</w:t>
      </w:r>
      <w:proofErr w:type="gramEnd"/>
      <w:r w:rsidRPr="006B64A2">
        <w:rPr>
          <w:lang w:val="en-US"/>
        </w:rPr>
        <w:t xml:space="preserve"> that the twenty-eighth and twenty-ninth sections, above referred to, are in the words following, to wit: </w:t>
      </w:r>
      <w:r>
        <w:rPr>
          <w:lang w:val="en-US"/>
        </w:rPr>
        <w:t xml:space="preserve">[…] Section </w:t>
      </w:r>
      <w:r w:rsidRPr="006B64A2">
        <w:rPr>
          <w:lang w:val="en-US"/>
        </w:rPr>
        <w:t>28th. If any master or commanding officer of any vessel shall land, or permit to be landed, any alien passengers, contrary to the provisions of the preceding section, the master or commanding officer of such vessel, and the owner or consignee thereof, shall forfeit the sum of two hundred dollars for every alien passenger so landed; provided always, that the provisions aforesaid shall not be construed to extend to seamen sent from foreign places by consults or vice-consuls of the United States.</w:t>
      </w:r>
      <w:r>
        <w:rPr>
          <w:lang w:val="en-US"/>
        </w:rPr>
        <w:t xml:space="preserve"> Section </w:t>
      </w:r>
      <w:r w:rsidRPr="006B64A2">
        <w:rPr>
          <w:lang w:val="en-US"/>
        </w:rPr>
        <w:t xml:space="preserve">29th. If any master or commanding officer of any vessel shall land any alien passenger at any place within this State other than that to which such vessel shall be destined, with intention to avoid the requirements aforesaid, such master or commanding officer shall forfeit the sum of one hundred dollars for every alien passenger so </w:t>
      </w:r>
      <w:proofErr w:type="gramStart"/>
      <w:r w:rsidRPr="006B64A2">
        <w:rPr>
          <w:lang w:val="en-US"/>
        </w:rPr>
        <w:t>landed.</w:t>
      </w:r>
      <w:r>
        <w:rPr>
          <w:lang w:val="en-US"/>
        </w:rPr>
        <w:t>“</w:t>
      </w:r>
      <w:proofErr w:type="gramEnd"/>
      <w:r>
        <w:rPr>
          <w:lang w:val="en-US"/>
        </w:rPr>
        <w:t xml:space="preserve">, </w:t>
      </w:r>
      <w:r w:rsidRPr="007360B0">
        <w:rPr>
          <w:i/>
          <w:lang w:val="en-US"/>
        </w:rPr>
        <w:t>Smith v. Turner</w:t>
      </w:r>
      <w:r w:rsidRPr="006B64A2">
        <w:rPr>
          <w:lang w:val="en-US"/>
        </w:rPr>
        <w:t>, 48 U.S. 283, 392</w:t>
      </w:r>
      <w:r>
        <w:rPr>
          <w:lang w:val="en-US"/>
        </w:rPr>
        <w:t xml:space="preserve"> = 12 L. Ed. </w:t>
      </w:r>
      <w:r w:rsidRPr="006B64A2">
        <w:rPr>
          <w:lang w:val="en-US"/>
        </w:rPr>
        <w:t>702, 748</w:t>
      </w:r>
      <w:r w:rsidRPr="00EC5BEB">
        <w:rPr>
          <w:lang w:val="en-US"/>
        </w:rPr>
        <w:t xml:space="preserve"> = 1849 U.S. LEXIS </w:t>
      </w:r>
      <w:r w:rsidRPr="006B64A2">
        <w:rPr>
          <w:lang w:val="en-US"/>
        </w:rPr>
        <w:t>351, 5</w:t>
      </w:r>
      <w:r>
        <w:rPr>
          <w:lang w:val="en-US"/>
        </w:rPr>
        <w:t>–</w:t>
      </w:r>
      <w:r w:rsidRPr="006B64A2">
        <w:rPr>
          <w:lang w:val="en-US"/>
        </w:rPr>
        <w:t>8</w:t>
      </w:r>
      <w:r w:rsidRPr="00EC5BEB">
        <w:rPr>
          <w:lang w:val="en-US"/>
        </w:rPr>
        <w:t xml:space="preserve"> = 7 HOW </w:t>
      </w:r>
      <w:r w:rsidRPr="006B64A2">
        <w:rPr>
          <w:lang w:val="en-US"/>
        </w:rPr>
        <w:t>283 (1849)</w:t>
      </w:r>
      <w:r>
        <w:rPr>
          <w:lang w:val="en-US"/>
        </w:rPr>
        <w:t>.</w:t>
      </w:r>
    </w:p>
  </w:footnote>
  <w:footnote w:id="364">
    <w:p w14:paraId="3B38BCA7" w14:textId="77777777" w:rsidR="00074551" w:rsidRPr="00F87664" w:rsidRDefault="00074551" w:rsidP="00074551">
      <w:pPr>
        <w:pStyle w:val="Funotentext"/>
        <w:jc w:val="both"/>
        <w:rPr>
          <w:lang w:val="en-US"/>
        </w:rPr>
      </w:pPr>
      <w:r>
        <w:rPr>
          <w:rStyle w:val="Funotenzeichen"/>
        </w:rPr>
        <w:footnoteRef/>
      </w:r>
      <w:r w:rsidRPr="00F87664">
        <w:rPr>
          <w:lang w:val="en-US"/>
        </w:rPr>
        <w:t xml:space="preserve"> </w:t>
      </w:r>
      <w:r w:rsidRPr="007360B0">
        <w:rPr>
          <w:i/>
          <w:lang w:val="en-US"/>
        </w:rPr>
        <w:t>Smith v. Turner</w:t>
      </w:r>
      <w:r w:rsidRPr="00F87664">
        <w:rPr>
          <w:lang w:val="en-US"/>
        </w:rPr>
        <w:t>, 48 U.S. 283, 392</w:t>
      </w:r>
      <w:r>
        <w:rPr>
          <w:lang w:val="en-US"/>
        </w:rPr>
        <w:t xml:space="preserve"> = 12 L. Ed. </w:t>
      </w:r>
      <w:r w:rsidRPr="00F87664">
        <w:rPr>
          <w:lang w:val="en-US"/>
        </w:rPr>
        <w:t>702, 748</w:t>
      </w:r>
      <w:r w:rsidRPr="00EC5BEB">
        <w:rPr>
          <w:lang w:val="en-US"/>
        </w:rPr>
        <w:t xml:space="preserve"> = 1849 U.S. LEXIS </w:t>
      </w:r>
      <w:r w:rsidRPr="00F87664">
        <w:rPr>
          <w:lang w:val="en-US"/>
        </w:rPr>
        <w:t>351, 10</w:t>
      </w:r>
      <w:r w:rsidRPr="00EC5BEB">
        <w:rPr>
          <w:lang w:val="en-US"/>
        </w:rPr>
        <w:t xml:space="preserve"> = 7 HOW </w:t>
      </w:r>
      <w:r w:rsidRPr="00F87664">
        <w:rPr>
          <w:lang w:val="en-US"/>
        </w:rPr>
        <w:t>283 (1849)</w:t>
      </w:r>
      <w:r>
        <w:rPr>
          <w:lang w:val="en-US"/>
        </w:rPr>
        <w:t>.</w:t>
      </w:r>
    </w:p>
  </w:footnote>
  <w:footnote w:id="365">
    <w:p w14:paraId="0AAA2072" w14:textId="77777777" w:rsidR="00074551" w:rsidRPr="00E41C3A" w:rsidRDefault="00074551" w:rsidP="00074551">
      <w:pPr>
        <w:pStyle w:val="Funotentext"/>
        <w:jc w:val="both"/>
        <w:rPr>
          <w:lang w:val="en-US"/>
        </w:rPr>
      </w:pPr>
      <w:r>
        <w:rPr>
          <w:rStyle w:val="Funotenzeichen"/>
        </w:rPr>
        <w:footnoteRef/>
      </w:r>
      <w:r w:rsidRPr="00E41C3A">
        <w:rPr>
          <w:lang w:val="en-US"/>
        </w:rPr>
        <w:t xml:space="preserve"> </w:t>
      </w:r>
      <w:r w:rsidRPr="007360B0">
        <w:rPr>
          <w:i/>
          <w:lang w:val="en-US"/>
        </w:rPr>
        <w:t>Smith v. Turner</w:t>
      </w:r>
      <w:r w:rsidRPr="00E41C3A">
        <w:rPr>
          <w:lang w:val="en-US"/>
        </w:rPr>
        <w:t>, 48 U.S. 283, 394</w:t>
      </w:r>
      <w:r>
        <w:rPr>
          <w:lang w:val="en-US"/>
        </w:rPr>
        <w:t xml:space="preserve"> = 12 L. Ed. </w:t>
      </w:r>
      <w:r w:rsidRPr="00E41C3A">
        <w:rPr>
          <w:lang w:val="en-US"/>
        </w:rPr>
        <w:t>702, 748</w:t>
      </w:r>
      <w:r w:rsidRPr="00EC5BEB">
        <w:rPr>
          <w:lang w:val="en-US"/>
        </w:rPr>
        <w:t xml:space="preserve"> = 1849 U.S. LEXIS </w:t>
      </w:r>
      <w:r w:rsidRPr="00E41C3A">
        <w:rPr>
          <w:lang w:val="en-US"/>
        </w:rPr>
        <w:t>351, 245</w:t>
      </w:r>
      <w:r w:rsidRPr="00EC5BEB">
        <w:rPr>
          <w:lang w:val="en-US"/>
        </w:rPr>
        <w:t xml:space="preserve"> = 7 HOW </w:t>
      </w:r>
      <w:r w:rsidRPr="00E41C3A">
        <w:rPr>
          <w:lang w:val="en-US"/>
        </w:rPr>
        <w:t>283 (1849)</w:t>
      </w:r>
      <w:r>
        <w:rPr>
          <w:lang w:val="en-US"/>
        </w:rPr>
        <w:t>.</w:t>
      </w:r>
    </w:p>
  </w:footnote>
  <w:footnote w:id="366">
    <w:p w14:paraId="3BAB7DB8" w14:textId="77777777" w:rsidR="00074551" w:rsidRPr="00172E79" w:rsidRDefault="00074551" w:rsidP="00074551">
      <w:pPr>
        <w:pStyle w:val="Funotentext"/>
        <w:jc w:val="both"/>
        <w:rPr>
          <w:lang w:val="en-US"/>
        </w:rPr>
      </w:pPr>
      <w:r>
        <w:rPr>
          <w:rStyle w:val="Funotenzeichen"/>
        </w:rPr>
        <w:footnoteRef/>
      </w:r>
      <w:r w:rsidRPr="00172E79">
        <w:rPr>
          <w:lang w:val="en-US"/>
        </w:rPr>
        <w:t xml:space="preserve"> </w:t>
      </w:r>
      <w:r w:rsidRPr="007360B0">
        <w:rPr>
          <w:i/>
          <w:lang w:val="en-US"/>
        </w:rPr>
        <w:t>Smith v. Turner</w:t>
      </w:r>
      <w:r w:rsidRPr="00E41C3A">
        <w:rPr>
          <w:lang w:val="en-US"/>
        </w:rPr>
        <w:t>, 48 U.S. 283, 396</w:t>
      </w:r>
      <w:r>
        <w:rPr>
          <w:lang w:val="en-US"/>
        </w:rPr>
        <w:t xml:space="preserve"> = 12 L. Ed. </w:t>
      </w:r>
      <w:r w:rsidRPr="00E41C3A">
        <w:rPr>
          <w:lang w:val="en-US"/>
        </w:rPr>
        <w:t>702, 749</w:t>
      </w:r>
      <w:r w:rsidRPr="00EC5BEB">
        <w:rPr>
          <w:lang w:val="en-US"/>
        </w:rPr>
        <w:t xml:space="preserve"> = 1849 U.S. LEXIS </w:t>
      </w:r>
      <w:r w:rsidRPr="00E41C3A">
        <w:rPr>
          <w:lang w:val="en-US"/>
        </w:rPr>
        <w:t>351, 251</w:t>
      </w:r>
      <w:r w:rsidRPr="00EC5BEB">
        <w:rPr>
          <w:lang w:val="en-US"/>
        </w:rPr>
        <w:t xml:space="preserve"> = 7 HOW </w:t>
      </w:r>
      <w:r w:rsidRPr="00E41C3A">
        <w:rPr>
          <w:lang w:val="en-US"/>
        </w:rPr>
        <w:t>283 (1849)</w:t>
      </w:r>
      <w:r>
        <w:rPr>
          <w:lang w:val="en-US"/>
        </w:rPr>
        <w:t>.</w:t>
      </w:r>
    </w:p>
  </w:footnote>
  <w:footnote w:id="367">
    <w:p w14:paraId="3D02E08C" w14:textId="77777777" w:rsidR="00074551" w:rsidRPr="009E6E89" w:rsidRDefault="00074551" w:rsidP="00074551">
      <w:pPr>
        <w:pStyle w:val="Funotentext"/>
        <w:jc w:val="both"/>
        <w:rPr>
          <w:lang w:val="en-US"/>
        </w:rPr>
      </w:pPr>
      <w:r>
        <w:rPr>
          <w:rStyle w:val="Funotenzeichen"/>
        </w:rPr>
        <w:footnoteRef/>
      </w:r>
      <w:r w:rsidRPr="009E6E89">
        <w:rPr>
          <w:lang w:val="en-US"/>
        </w:rPr>
        <w:t xml:space="preserve"> </w:t>
      </w:r>
      <w:r w:rsidRPr="007360B0">
        <w:rPr>
          <w:i/>
          <w:lang w:val="en-US"/>
        </w:rPr>
        <w:t>Smith v. Turner</w:t>
      </w:r>
      <w:r w:rsidRPr="009E6E89">
        <w:rPr>
          <w:lang w:val="en-US"/>
        </w:rPr>
        <w:t>, 48 U.S. 283, 392</w:t>
      </w:r>
      <w:r>
        <w:rPr>
          <w:lang w:val="en-US"/>
        </w:rPr>
        <w:t xml:space="preserve"> = 12 L. Ed. </w:t>
      </w:r>
      <w:r w:rsidRPr="009E6E89">
        <w:rPr>
          <w:lang w:val="en-US"/>
        </w:rPr>
        <w:t>702, 748</w:t>
      </w:r>
      <w:r w:rsidRPr="00EC5BEB">
        <w:rPr>
          <w:lang w:val="en-US"/>
        </w:rPr>
        <w:t xml:space="preserve"> = 1849 U.S. LEXIS </w:t>
      </w:r>
      <w:r w:rsidRPr="009E6E89">
        <w:rPr>
          <w:lang w:val="en-US"/>
        </w:rPr>
        <w:t>351, 70</w:t>
      </w:r>
      <w:r w:rsidRPr="00EC5BEB">
        <w:rPr>
          <w:lang w:val="en-US"/>
        </w:rPr>
        <w:t xml:space="preserve"> = 7 HOW </w:t>
      </w:r>
      <w:r w:rsidRPr="009E6E89">
        <w:rPr>
          <w:lang w:val="en-US"/>
        </w:rPr>
        <w:t>283 (1849)</w:t>
      </w:r>
      <w:r>
        <w:rPr>
          <w:lang w:val="en-US"/>
        </w:rPr>
        <w:t>.</w:t>
      </w:r>
    </w:p>
  </w:footnote>
  <w:footnote w:id="368">
    <w:p w14:paraId="326D397F" w14:textId="77777777" w:rsidR="00074551" w:rsidRPr="00E81FA7" w:rsidRDefault="00074551" w:rsidP="00074551">
      <w:pPr>
        <w:pStyle w:val="Funotentext"/>
        <w:jc w:val="both"/>
        <w:rPr>
          <w:lang w:val="en-US"/>
        </w:rPr>
      </w:pPr>
      <w:r>
        <w:rPr>
          <w:rStyle w:val="Funotenzeichen"/>
        </w:rPr>
        <w:footnoteRef/>
      </w:r>
      <w:r w:rsidRPr="00E81FA7">
        <w:rPr>
          <w:lang w:val="en-US"/>
        </w:rPr>
        <w:t xml:space="preserve"> </w:t>
      </w:r>
      <w:r w:rsidRPr="007360B0">
        <w:rPr>
          <w:i/>
          <w:lang w:val="en-US"/>
        </w:rPr>
        <w:t>Smith v. Turner</w:t>
      </w:r>
      <w:r w:rsidRPr="00E81FA7">
        <w:rPr>
          <w:lang w:val="en-US"/>
        </w:rPr>
        <w:t>, 48 U.S. 283, 392</w:t>
      </w:r>
      <w:r>
        <w:rPr>
          <w:lang w:val="en-US"/>
        </w:rPr>
        <w:t xml:space="preserve"> = 12 L. Ed. </w:t>
      </w:r>
      <w:r w:rsidRPr="00E81FA7">
        <w:rPr>
          <w:lang w:val="en-US"/>
        </w:rPr>
        <w:t>702, 748</w:t>
      </w:r>
      <w:r w:rsidRPr="00EC5BEB">
        <w:rPr>
          <w:lang w:val="en-US"/>
        </w:rPr>
        <w:t xml:space="preserve"> = 1849 U.S. LEXIS </w:t>
      </w:r>
      <w:r w:rsidRPr="00E81FA7">
        <w:rPr>
          <w:lang w:val="en-US"/>
        </w:rPr>
        <w:t>351, 70</w:t>
      </w:r>
      <w:r w:rsidRPr="00EC5BEB">
        <w:rPr>
          <w:lang w:val="en-US"/>
        </w:rPr>
        <w:t xml:space="preserve"> = 7 HOW </w:t>
      </w:r>
      <w:r w:rsidRPr="00E81FA7">
        <w:rPr>
          <w:lang w:val="en-US"/>
        </w:rPr>
        <w:t>283 (1849)</w:t>
      </w:r>
      <w:r>
        <w:rPr>
          <w:lang w:val="en-US"/>
        </w:rPr>
        <w:t>.</w:t>
      </w:r>
    </w:p>
  </w:footnote>
  <w:footnote w:id="369">
    <w:p w14:paraId="2343806D" w14:textId="77777777" w:rsidR="00074551" w:rsidRPr="00E81FA7" w:rsidRDefault="00074551" w:rsidP="00074551">
      <w:pPr>
        <w:pStyle w:val="Funotentext"/>
        <w:jc w:val="both"/>
        <w:rPr>
          <w:lang w:val="en-US"/>
        </w:rPr>
      </w:pPr>
      <w:r>
        <w:rPr>
          <w:rStyle w:val="Funotenzeichen"/>
        </w:rPr>
        <w:footnoteRef/>
      </w:r>
      <w:r w:rsidRPr="00E81FA7">
        <w:rPr>
          <w:lang w:val="en-US"/>
        </w:rPr>
        <w:t xml:space="preserve"> </w:t>
      </w:r>
      <w:r w:rsidRPr="007360B0">
        <w:rPr>
          <w:i/>
          <w:lang w:val="en-US"/>
        </w:rPr>
        <w:t>Smith v. Turner</w:t>
      </w:r>
      <w:r w:rsidRPr="00E81FA7">
        <w:rPr>
          <w:lang w:val="en-US"/>
        </w:rPr>
        <w:t>, 48 U.S. 283, 392</w:t>
      </w:r>
      <w:r>
        <w:rPr>
          <w:lang w:val="en-US"/>
        </w:rPr>
        <w:t xml:space="preserve"> = 12 L. Ed. </w:t>
      </w:r>
      <w:r w:rsidRPr="00E81FA7">
        <w:rPr>
          <w:lang w:val="en-US"/>
        </w:rPr>
        <w:t>702, 748</w:t>
      </w:r>
      <w:r w:rsidRPr="00EC5BEB">
        <w:rPr>
          <w:lang w:val="en-US"/>
        </w:rPr>
        <w:t xml:space="preserve"> = 1849 U.S. LEXIS </w:t>
      </w:r>
      <w:r w:rsidRPr="00E81FA7">
        <w:rPr>
          <w:lang w:val="en-US"/>
        </w:rPr>
        <w:t>351, 70</w:t>
      </w:r>
      <w:r w:rsidRPr="00EC5BEB">
        <w:rPr>
          <w:lang w:val="en-US"/>
        </w:rPr>
        <w:t xml:space="preserve"> = 7 HOW </w:t>
      </w:r>
      <w:r w:rsidRPr="00E81FA7">
        <w:rPr>
          <w:lang w:val="en-US"/>
        </w:rPr>
        <w:t>283 (1849)</w:t>
      </w:r>
      <w:r>
        <w:rPr>
          <w:lang w:val="en-US"/>
        </w:rPr>
        <w:t>.</w:t>
      </w:r>
    </w:p>
  </w:footnote>
  <w:footnote w:id="370">
    <w:p w14:paraId="6FA28D6B" w14:textId="77777777" w:rsidR="00074551" w:rsidRPr="00172E79" w:rsidRDefault="00074551" w:rsidP="00074551">
      <w:pPr>
        <w:pStyle w:val="Funotentext"/>
        <w:jc w:val="both"/>
        <w:rPr>
          <w:lang w:val="en-US"/>
        </w:rPr>
      </w:pPr>
      <w:r>
        <w:rPr>
          <w:rStyle w:val="Funotenzeichen"/>
        </w:rPr>
        <w:footnoteRef/>
      </w:r>
      <w:r w:rsidRPr="00172E79">
        <w:rPr>
          <w:lang w:val="en-US"/>
        </w:rPr>
        <w:t xml:space="preserve"> </w:t>
      </w:r>
      <w:r w:rsidRPr="007360B0">
        <w:rPr>
          <w:i/>
          <w:lang w:val="en-US"/>
        </w:rPr>
        <w:t>Smith v. Turner</w:t>
      </w:r>
      <w:r w:rsidRPr="00172E79">
        <w:rPr>
          <w:lang w:val="en-US"/>
        </w:rPr>
        <w:t>, 48 U.S. 283, 503</w:t>
      </w:r>
      <w:r>
        <w:rPr>
          <w:lang w:val="en-US"/>
        </w:rPr>
        <w:t xml:space="preserve"> = 12 L. Ed. </w:t>
      </w:r>
      <w:r w:rsidRPr="00172E79">
        <w:rPr>
          <w:lang w:val="en-US"/>
        </w:rPr>
        <w:t>702, 794</w:t>
      </w:r>
      <w:r w:rsidRPr="00EC5BEB">
        <w:rPr>
          <w:lang w:val="en-US"/>
        </w:rPr>
        <w:t xml:space="preserve"> = 1849 U.S. LEXIS </w:t>
      </w:r>
      <w:r w:rsidRPr="00172E79">
        <w:rPr>
          <w:lang w:val="en-US"/>
        </w:rPr>
        <w:t>351, 497</w:t>
      </w:r>
      <w:r w:rsidRPr="00EC5BEB">
        <w:rPr>
          <w:lang w:val="en-US"/>
        </w:rPr>
        <w:t xml:space="preserve"> = 7 HOW </w:t>
      </w:r>
      <w:r w:rsidRPr="00172E79">
        <w:rPr>
          <w:lang w:val="en-US"/>
        </w:rPr>
        <w:t>283 (1849)</w:t>
      </w:r>
      <w:r>
        <w:rPr>
          <w:lang w:val="en-US"/>
        </w:rPr>
        <w:t>.</w:t>
      </w:r>
    </w:p>
  </w:footnote>
  <w:footnote w:id="371">
    <w:p w14:paraId="4A182813" w14:textId="77777777" w:rsidR="00074551" w:rsidRPr="00172E79" w:rsidRDefault="00074551" w:rsidP="00074551">
      <w:pPr>
        <w:pStyle w:val="Funotentext"/>
        <w:jc w:val="both"/>
        <w:rPr>
          <w:lang w:val="en-US"/>
        </w:rPr>
      </w:pPr>
      <w:r>
        <w:rPr>
          <w:rStyle w:val="Funotenzeichen"/>
        </w:rPr>
        <w:footnoteRef/>
      </w:r>
      <w:r w:rsidRPr="00172E79">
        <w:rPr>
          <w:lang w:val="en-US"/>
        </w:rPr>
        <w:t xml:space="preserve"> </w:t>
      </w:r>
      <w:r w:rsidRPr="007360B0">
        <w:rPr>
          <w:i/>
          <w:lang w:val="en-US"/>
        </w:rPr>
        <w:t>Smith v. Turner</w:t>
      </w:r>
      <w:r w:rsidRPr="00172E79">
        <w:rPr>
          <w:lang w:val="en-US"/>
        </w:rPr>
        <w:t>, 48 U.S. 283, 503</w:t>
      </w:r>
      <w:r>
        <w:rPr>
          <w:lang w:val="en-US"/>
        </w:rPr>
        <w:t xml:space="preserve"> = 12 L. Ed. </w:t>
      </w:r>
      <w:r w:rsidRPr="00172E79">
        <w:rPr>
          <w:lang w:val="en-US"/>
        </w:rPr>
        <w:t>702, 794</w:t>
      </w:r>
      <w:r w:rsidRPr="00EC5BEB">
        <w:rPr>
          <w:lang w:val="en-US"/>
        </w:rPr>
        <w:t xml:space="preserve"> = 1849 U.S. LEXIS </w:t>
      </w:r>
      <w:r w:rsidRPr="00172E79">
        <w:rPr>
          <w:lang w:val="en-US"/>
        </w:rPr>
        <w:t>351, 497</w:t>
      </w:r>
      <w:r w:rsidRPr="00EC5BEB">
        <w:rPr>
          <w:lang w:val="en-US"/>
        </w:rPr>
        <w:t xml:space="preserve"> = 7 HOW </w:t>
      </w:r>
      <w:r w:rsidRPr="00172E79">
        <w:rPr>
          <w:lang w:val="en-US"/>
        </w:rPr>
        <w:t>283 (1849)</w:t>
      </w:r>
      <w:r>
        <w:rPr>
          <w:lang w:val="en-US"/>
        </w:rPr>
        <w:t>.</w:t>
      </w:r>
    </w:p>
  </w:footnote>
  <w:footnote w:id="372">
    <w:p w14:paraId="1BC63174" w14:textId="77777777" w:rsidR="00074551" w:rsidRPr="0042046A" w:rsidRDefault="00074551" w:rsidP="00074551">
      <w:pPr>
        <w:pStyle w:val="Funotentext"/>
        <w:rPr>
          <w:lang w:val="en-US"/>
        </w:rPr>
      </w:pPr>
      <w:r>
        <w:rPr>
          <w:rStyle w:val="Funotenzeichen"/>
          <w:rFonts w:eastAsiaTheme="majorEastAsia"/>
        </w:rPr>
        <w:footnoteRef/>
      </w:r>
      <w:r w:rsidRPr="0042046A">
        <w:rPr>
          <w:lang w:val="en-US"/>
        </w:rPr>
        <w:t xml:space="preserve"> </w:t>
      </w:r>
      <w:r w:rsidRPr="00B45592">
        <w:rPr>
          <w:i/>
          <w:lang w:val="en-US"/>
        </w:rPr>
        <w:t>Budd v. New York</w:t>
      </w:r>
      <w:r w:rsidRPr="0042046A">
        <w:rPr>
          <w:lang w:val="en-US"/>
        </w:rPr>
        <w:t>, 143 U.S. 517, 550</w:t>
      </w:r>
      <w:r w:rsidRPr="003B741A">
        <w:rPr>
          <w:lang w:val="en-US"/>
        </w:rPr>
        <w:t xml:space="preserve"> = 12 S. Ct</w:t>
      </w:r>
      <w:r w:rsidRPr="0042046A">
        <w:rPr>
          <w:lang w:val="en-US"/>
        </w:rPr>
        <w:t>. 468, 478</w:t>
      </w:r>
      <w:r w:rsidRPr="003B741A">
        <w:rPr>
          <w:lang w:val="en-US"/>
        </w:rPr>
        <w:t xml:space="preserve"> = 36 L. Ed</w:t>
      </w:r>
      <w:r w:rsidRPr="0042046A">
        <w:rPr>
          <w:lang w:val="en-US"/>
        </w:rPr>
        <w:t>. 247, 258</w:t>
      </w:r>
      <w:r w:rsidRPr="003B741A">
        <w:rPr>
          <w:lang w:val="en-US"/>
        </w:rPr>
        <w:t xml:space="preserve"> = 1892 U.S. LEXIS </w:t>
      </w:r>
      <w:r w:rsidRPr="0042046A">
        <w:rPr>
          <w:lang w:val="en-US"/>
        </w:rPr>
        <w:t>2039, 62 (1892).</w:t>
      </w:r>
    </w:p>
  </w:footnote>
  <w:footnote w:id="373">
    <w:p w14:paraId="1D63ECBC" w14:textId="77777777" w:rsidR="00074551" w:rsidRPr="0042046A" w:rsidRDefault="00074551" w:rsidP="00074551">
      <w:pPr>
        <w:pStyle w:val="Funotentext"/>
        <w:rPr>
          <w:lang w:val="en-US"/>
        </w:rPr>
      </w:pPr>
      <w:r>
        <w:rPr>
          <w:rStyle w:val="Funotenzeichen"/>
          <w:rFonts w:eastAsiaTheme="majorEastAsia"/>
        </w:rPr>
        <w:footnoteRef/>
      </w:r>
      <w:r w:rsidRPr="0042046A">
        <w:rPr>
          <w:lang w:val="en-US"/>
        </w:rPr>
        <w:t xml:space="preserve"> </w:t>
      </w:r>
      <w:r w:rsidRPr="00B45592">
        <w:rPr>
          <w:i/>
          <w:lang w:val="en-US"/>
        </w:rPr>
        <w:t>Budd v. New York</w:t>
      </w:r>
      <w:r w:rsidRPr="0042046A">
        <w:rPr>
          <w:lang w:val="en-US"/>
        </w:rPr>
        <w:t>, 143 U.S. 517, 550</w:t>
      </w:r>
      <w:r w:rsidRPr="003B741A">
        <w:rPr>
          <w:lang w:val="en-US"/>
        </w:rPr>
        <w:t xml:space="preserve"> = 12 S. Ct</w:t>
      </w:r>
      <w:r w:rsidRPr="0042046A">
        <w:rPr>
          <w:lang w:val="en-US"/>
        </w:rPr>
        <w:t>. 468, 478</w:t>
      </w:r>
      <w:r w:rsidRPr="003B741A">
        <w:rPr>
          <w:lang w:val="en-US"/>
        </w:rPr>
        <w:t xml:space="preserve"> = 36 L. Ed</w:t>
      </w:r>
      <w:r w:rsidRPr="0042046A">
        <w:rPr>
          <w:lang w:val="en-US"/>
        </w:rPr>
        <w:t>. 247, 258</w:t>
      </w:r>
      <w:r w:rsidRPr="003B741A">
        <w:rPr>
          <w:lang w:val="en-US"/>
        </w:rPr>
        <w:t xml:space="preserve"> = 1892 U.S. LEXIS </w:t>
      </w:r>
      <w:r w:rsidRPr="0042046A">
        <w:rPr>
          <w:lang w:val="en-US"/>
        </w:rPr>
        <w:t>2039, 63 (1892)</w:t>
      </w:r>
      <w:r>
        <w:rPr>
          <w:lang w:val="en-US"/>
        </w:rPr>
        <w:t>.</w:t>
      </w:r>
    </w:p>
  </w:footnote>
  <w:footnote w:id="374">
    <w:p w14:paraId="1D7DA79D" w14:textId="77777777" w:rsidR="00074551" w:rsidRPr="006976F2" w:rsidRDefault="00074551" w:rsidP="00074551">
      <w:pPr>
        <w:pStyle w:val="Funotentext"/>
        <w:rPr>
          <w:lang w:val="en-US"/>
        </w:rPr>
      </w:pPr>
      <w:r>
        <w:rPr>
          <w:rStyle w:val="Funotenzeichen"/>
        </w:rPr>
        <w:footnoteRef/>
      </w:r>
      <w:r w:rsidRPr="006976F2">
        <w:rPr>
          <w:lang w:val="en-US"/>
        </w:rPr>
        <w:t xml:space="preserve"> </w:t>
      </w:r>
      <w:r w:rsidRPr="001F38CE">
        <w:rPr>
          <w:i/>
          <w:lang w:val="en-US"/>
        </w:rPr>
        <w:t xml:space="preserve">Fullilove v. </w:t>
      </w:r>
      <w:proofErr w:type="spellStart"/>
      <w:r w:rsidRPr="001F38CE">
        <w:rPr>
          <w:i/>
          <w:lang w:val="en-US"/>
        </w:rPr>
        <w:t>Klutznick</w:t>
      </w:r>
      <w:proofErr w:type="spellEnd"/>
      <w:r w:rsidRPr="006976F2">
        <w:rPr>
          <w:lang w:val="en-US"/>
        </w:rPr>
        <w:t>, 448 U.S. 448, 472</w:t>
      </w:r>
      <w:r>
        <w:rPr>
          <w:lang w:val="en-US"/>
        </w:rPr>
        <w:t xml:space="preserve"> = 100 S. Ct.</w:t>
      </w:r>
      <w:r w:rsidRPr="006976F2">
        <w:rPr>
          <w:lang w:val="en-US"/>
        </w:rPr>
        <w:t xml:space="preserve"> 2758, 2771</w:t>
      </w:r>
      <w:r>
        <w:rPr>
          <w:lang w:val="en-US"/>
        </w:rPr>
        <w:t xml:space="preserve"> = 65 L. Ed. </w:t>
      </w:r>
      <w:r w:rsidRPr="006976F2">
        <w:rPr>
          <w:lang w:val="en-US"/>
        </w:rPr>
        <w:t>2d 902, 920</w:t>
      </w:r>
      <w:r>
        <w:rPr>
          <w:lang w:val="en-US"/>
        </w:rPr>
        <w:t xml:space="preserve"> = 1980 U.S. LEXIS </w:t>
      </w:r>
      <w:r w:rsidRPr="006976F2">
        <w:rPr>
          <w:lang w:val="en-US"/>
        </w:rPr>
        <w:t>8, 45</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6976F2">
        <w:rPr>
          <w:lang w:val="en-US"/>
        </w:rPr>
        <w:t>(CCH) P31,026</w:t>
      </w:r>
      <w:r>
        <w:rPr>
          <w:lang w:val="en-US"/>
        </w:rPr>
        <w:t xml:space="preserve"> = 27 Cont. Cas. Fed. </w:t>
      </w:r>
      <w:r w:rsidRPr="006976F2">
        <w:rPr>
          <w:lang w:val="en-US"/>
        </w:rPr>
        <w:t>(CCH) P80,496 (1980).</w:t>
      </w:r>
    </w:p>
  </w:footnote>
  <w:footnote w:id="375">
    <w:p w14:paraId="7893F82A" w14:textId="77777777" w:rsidR="00074551" w:rsidRPr="00B45592" w:rsidRDefault="00074551" w:rsidP="00074551">
      <w:pPr>
        <w:rPr>
          <w:lang w:val="en-IE"/>
        </w:rPr>
      </w:pPr>
      <w:r>
        <w:rPr>
          <w:rStyle w:val="Funotenzeichen"/>
          <w:rFonts w:eastAsiaTheme="majorEastAsia"/>
        </w:rPr>
        <w:footnoteRef/>
      </w:r>
      <w:r w:rsidRPr="00FB0E5A">
        <w:rPr>
          <w:lang w:val="en-US"/>
        </w:rPr>
        <w:t xml:space="preserve"> </w:t>
      </w:r>
      <w:r w:rsidRPr="00051D11">
        <w:rPr>
          <w:i/>
          <w:sz w:val="20"/>
          <w:szCs w:val="20"/>
          <w:lang w:val="en-IE"/>
        </w:rPr>
        <w:t>Meyer v. Nebraska</w:t>
      </w:r>
      <w:r w:rsidRPr="00051D11">
        <w:rPr>
          <w:sz w:val="20"/>
          <w:szCs w:val="20"/>
          <w:lang w:val="en-IE"/>
        </w:rPr>
        <w:t>, 262 U.S. 390, 392 (1923) (</w:t>
      </w:r>
      <w:r w:rsidRPr="00051D11">
        <w:rPr>
          <w:i/>
          <w:sz w:val="20"/>
          <w:szCs w:val="20"/>
          <w:lang w:val="en-IE"/>
        </w:rPr>
        <w:t>Argument for Plaintiff in Error</w:t>
      </w:r>
      <w:r w:rsidRPr="00051D11">
        <w:rPr>
          <w:sz w:val="20"/>
          <w:szCs w:val="20"/>
          <w:lang w:val="en-IE"/>
        </w:rPr>
        <w:t xml:space="preserve">); </w:t>
      </w:r>
      <w:proofErr w:type="spellStart"/>
      <w:r w:rsidRPr="00051D11">
        <w:rPr>
          <w:sz w:val="20"/>
          <w:szCs w:val="20"/>
          <w:lang w:val="en-IE"/>
        </w:rPr>
        <w:t>dort</w:t>
      </w:r>
      <w:proofErr w:type="spellEnd"/>
      <w:r w:rsidRPr="00051D11">
        <w:rPr>
          <w:sz w:val="20"/>
          <w:szCs w:val="20"/>
          <w:lang w:val="en-IE"/>
        </w:rPr>
        <w:t xml:space="preserve"> </w:t>
      </w:r>
      <w:proofErr w:type="spellStart"/>
      <w:r w:rsidRPr="00051D11">
        <w:rPr>
          <w:sz w:val="20"/>
          <w:szCs w:val="20"/>
          <w:lang w:val="en-IE"/>
        </w:rPr>
        <w:t>unter</w:t>
      </w:r>
      <w:proofErr w:type="spellEnd"/>
      <w:r w:rsidRPr="00051D11">
        <w:rPr>
          <w:sz w:val="20"/>
          <w:szCs w:val="20"/>
          <w:lang w:val="en-IE"/>
        </w:rPr>
        <w:t xml:space="preserve"> </w:t>
      </w:r>
      <w:proofErr w:type="spellStart"/>
      <w:r w:rsidRPr="00051D11">
        <w:rPr>
          <w:sz w:val="20"/>
          <w:szCs w:val="20"/>
          <w:lang w:val="en-IE"/>
        </w:rPr>
        <w:t>Verweis</w:t>
      </w:r>
      <w:proofErr w:type="spellEnd"/>
      <w:r w:rsidRPr="00051D11">
        <w:rPr>
          <w:sz w:val="20"/>
          <w:szCs w:val="20"/>
          <w:lang w:val="en-IE"/>
        </w:rPr>
        <w:t xml:space="preserve"> auf </w:t>
      </w:r>
      <w:r w:rsidRPr="00051D11">
        <w:rPr>
          <w:i/>
          <w:sz w:val="20"/>
          <w:szCs w:val="20"/>
          <w:lang w:val="en-IE"/>
        </w:rPr>
        <w:t>State v. Redmon</w:t>
      </w:r>
      <w:r w:rsidRPr="00051D11">
        <w:rPr>
          <w:sz w:val="20"/>
          <w:szCs w:val="20"/>
          <w:lang w:val="en-IE"/>
        </w:rPr>
        <w:t xml:space="preserve">, 134 Wis. 89; </w:t>
      </w:r>
      <w:r w:rsidRPr="00051D11">
        <w:rPr>
          <w:i/>
          <w:sz w:val="20"/>
          <w:szCs w:val="20"/>
          <w:lang w:val="en-IE"/>
        </w:rPr>
        <w:t>Mugler v. Kansas</w:t>
      </w:r>
      <w:r w:rsidRPr="00051D11">
        <w:rPr>
          <w:sz w:val="20"/>
          <w:szCs w:val="20"/>
          <w:lang w:val="en-IE"/>
        </w:rPr>
        <w:t xml:space="preserve">, 123 U.S. 623; </w:t>
      </w:r>
      <w:r w:rsidRPr="00051D11">
        <w:rPr>
          <w:i/>
          <w:sz w:val="20"/>
          <w:szCs w:val="20"/>
          <w:lang w:val="en-IE"/>
        </w:rPr>
        <w:t>Wyeth v. Cambridge Bd. of Health</w:t>
      </w:r>
      <w:r w:rsidRPr="00051D11">
        <w:rPr>
          <w:sz w:val="20"/>
          <w:szCs w:val="20"/>
          <w:lang w:val="en-IE"/>
        </w:rPr>
        <w:t xml:space="preserve">, 200 Mass. 474; </w:t>
      </w:r>
      <w:r w:rsidRPr="00051D11">
        <w:rPr>
          <w:i/>
          <w:sz w:val="20"/>
          <w:szCs w:val="20"/>
          <w:lang w:val="en-IE"/>
        </w:rPr>
        <w:t>State v. Sperry</w:t>
      </w:r>
      <w:r w:rsidRPr="00051D11">
        <w:rPr>
          <w:sz w:val="20"/>
          <w:szCs w:val="20"/>
          <w:lang w:val="en-IE"/>
        </w:rPr>
        <w:t>, 94 Neb. 785.</w:t>
      </w:r>
    </w:p>
  </w:footnote>
  <w:footnote w:id="376">
    <w:p w14:paraId="5FA4640F" w14:textId="77777777" w:rsidR="00074551" w:rsidRPr="00B45592" w:rsidRDefault="00074551" w:rsidP="00074551">
      <w:pPr>
        <w:rPr>
          <w:lang w:val="en-IE"/>
        </w:rPr>
      </w:pPr>
      <w:r>
        <w:rPr>
          <w:rStyle w:val="Funotenzeichen"/>
          <w:rFonts w:eastAsiaTheme="majorEastAsia"/>
        </w:rPr>
        <w:footnoteRef/>
      </w:r>
      <w:r w:rsidRPr="00B10F54">
        <w:rPr>
          <w:lang w:val="en-US"/>
        </w:rPr>
        <w:t xml:space="preserve"> </w:t>
      </w:r>
      <w:r w:rsidRPr="00051D11">
        <w:rPr>
          <w:i/>
          <w:sz w:val="20"/>
          <w:szCs w:val="20"/>
          <w:lang w:val="en-IE"/>
        </w:rPr>
        <w:t xml:space="preserve">Home Bldg. &amp; Loan </w:t>
      </w:r>
      <w:proofErr w:type="spellStart"/>
      <w:r w:rsidRPr="00051D11">
        <w:rPr>
          <w:i/>
          <w:sz w:val="20"/>
          <w:szCs w:val="20"/>
          <w:lang w:val="en-IE"/>
        </w:rPr>
        <w:t>Ass’n</w:t>
      </w:r>
      <w:proofErr w:type="spellEnd"/>
      <w:r w:rsidRPr="00051D11">
        <w:rPr>
          <w:i/>
          <w:sz w:val="20"/>
          <w:szCs w:val="20"/>
          <w:lang w:val="en-IE"/>
        </w:rPr>
        <w:t xml:space="preserve"> v. Blaisdell</w:t>
      </w:r>
      <w:r w:rsidRPr="00051D11">
        <w:rPr>
          <w:sz w:val="20"/>
          <w:szCs w:val="20"/>
          <w:lang w:val="en-IE"/>
        </w:rPr>
        <w:t>, 290 U.S. 398, 412 (1934) (</w:t>
      </w:r>
      <w:r w:rsidRPr="00051D11">
        <w:rPr>
          <w:i/>
          <w:sz w:val="20"/>
          <w:szCs w:val="20"/>
          <w:lang w:val="en-IE"/>
        </w:rPr>
        <w:t xml:space="preserve">Argument for </w:t>
      </w:r>
      <w:proofErr w:type="spellStart"/>
      <w:r w:rsidRPr="00051D11">
        <w:rPr>
          <w:i/>
          <w:sz w:val="20"/>
          <w:szCs w:val="20"/>
          <w:lang w:val="en-IE"/>
        </w:rPr>
        <w:t>Appellees</w:t>
      </w:r>
      <w:proofErr w:type="spellEnd"/>
      <w:r w:rsidRPr="00051D11">
        <w:rPr>
          <w:sz w:val="20"/>
          <w:szCs w:val="20"/>
          <w:lang w:val="en-IE"/>
        </w:rPr>
        <w:t>) (</w:t>
      </w:r>
      <w:proofErr w:type="spellStart"/>
      <w:r w:rsidRPr="00051D11">
        <w:rPr>
          <w:sz w:val="20"/>
          <w:szCs w:val="20"/>
          <w:lang w:val="en-IE"/>
        </w:rPr>
        <w:t>unter</w:t>
      </w:r>
      <w:proofErr w:type="spellEnd"/>
      <w:r w:rsidRPr="00051D11">
        <w:rPr>
          <w:sz w:val="20"/>
          <w:szCs w:val="20"/>
          <w:lang w:val="en-IE"/>
        </w:rPr>
        <w:t xml:space="preserve"> </w:t>
      </w:r>
      <w:proofErr w:type="spellStart"/>
      <w:r w:rsidRPr="00051D11">
        <w:rPr>
          <w:sz w:val="20"/>
          <w:szCs w:val="20"/>
          <w:lang w:val="en-IE"/>
        </w:rPr>
        <w:t>Verweis</w:t>
      </w:r>
      <w:proofErr w:type="spellEnd"/>
      <w:r w:rsidRPr="00051D11">
        <w:rPr>
          <w:sz w:val="20"/>
          <w:szCs w:val="20"/>
          <w:lang w:val="en-IE"/>
        </w:rPr>
        <w:t xml:space="preserve"> </w:t>
      </w:r>
      <w:proofErr w:type="spellStart"/>
      <w:r w:rsidRPr="00051D11">
        <w:rPr>
          <w:sz w:val="20"/>
          <w:szCs w:val="20"/>
          <w:lang w:val="en-IE"/>
        </w:rPr>
        <w:t>u.a.</w:t>
      </w:r>
      <w:proofErr w:type="spellEnd"/>
      <w:r w:rsidRPr="00051D11">
        <w:rPr>
          <w:sz w:val="20"/>
          <w:szCs w:val="20"/>
          <w:lang w:val="en-IE"/>
        </w:rPr>
        <w:t xml:space="preserve"> auf </w:t>
      </w:r>
      <w:r w:rsidRPr="00051D11">
        <w:rPr>
          <w:i/>
          <w:sz w:val="20"/>
          <w:szCs w:val="20"/>
          <w:lang w:val="en-IE"/>
        </w:rPr>
        <w:t>Black</w:t>
      </w:r>
      <w:r w:rsidRPr="00051D11">
        <w:rPr>
          <w:sz w:val="20"/>
          <w:szCs w:val="20"/>
          <w:lang w:val="en-IE"/>
        </w:rPr>
        <w:t>, Constitutional Law</w:t>
      </w:r>
      <w:r>
        <w:rPr>
          <w:sz w:val="20"/>
          <w:szCs w:val="20"/>
          <w:lang w:val="en-IE"/>
        </w:rPr>
        <w:t>,</w:t>
      </w:r>
      <w:r w:rsidRPr="00051D11">
        <w:rPr>
          <w:sz w:val="20"/>
          <w:szCs w:val="20"/>
          <w:lang w:val="en-IE"/>
        </w:rPr>
        <w:t xml:space="preserve"> 366</w:t>
      </w:r>
      <w:r>
        <w:rPr>
          <w:sz w:val="20"/>
          <w:szCs w:val="20"/>
          <w:lang w:val="en-IE"/>
        </w:rPr>
        <w:t>,</w:t>
      </w:r>
      <w:r w:rsidRPr="00051D11">
        <w:rPr>
          <w:sz w:val="20"/>
          <w:szCs w:val="20"/>
          <w:lang w:val="en-IE"/>
        </w:rPr>
        <w:t xml:space="preserve"> 4. </w:t>
      </w:r>
      <w:proofErr w:type="spellStart"/>
      <w:r w:rsidRPr="00051D11">
        <w:rPr>
          <w:sz w:val="20"/>
          <w:szCs w:val="20"/>
          <w:lang w:val="en-IE"/>
        </w:rPr>
        <w:t>Aufl</w:t>
      </w:r>
      <w:proofErr w:type="spellEnd"/>
      <w:r w:rsidRPr="00051D11">
        <w:rPr>
          <w:sz w:val="20"/>
          <w:szCs w:val="20"/>
          <w:lang w:val="en-IE"/>
        </w:rPr>
        <w:t xml:space="preserve">.; </w:t>
      </w:r>
      <w:r w:rsidRPr="00051D11">
        <w:rPr>
          <w:i/>
          <w:sz w:val="20"/>
          <w:szCs w:val="20"/>
          <w:lang w:val="en-IE"/>
        </w:rPr>
        <w:t>Barbier v. Connolly</w:t>
      </w:r>
      <w:r w:rsidRPr="00051D11">
        <w:rPr>
          <w:sz w:val="20"/>
          <w:szCs w:val="20"/>
          <w:lang w:val="en-IE"/>
        </w:rPr>
        <w:t xml:space="preserve">, 113 U.S. 27; </w:t>
      </w:r>
      <w:r w:rsidRPr="00051D11">
        <w:rPr>
          <w:i/>
          <w:sz w:val="20"/>
          <w:szCs w:val="20"/>
          <w:lang w:val="en-IE"/>
        </w:rPr>
        <w:t>Mugler v. Kansas</w:t>
      </w:r>
      <w:r w:rsidRPr="00051D11">
        <w:rPr>
          <w:sz w:val="20"/>
          <w:szCs w:val="20"/>
          <w:lang w:val="en-IE"/>
        </w:rPr>
        <w:t xml:space="preserve">, 123 U.S. 623; </w:t>
      </w:r>
      <w:r w:rsidRPr="00051D11">
        <w:rPr>
          <w:i/>
          <w:sz w:val="20"/>
          <w:szCs w:val="20"/>
          <w:lang w:val="en-IE"/>
        </w:rPr>
        <w:t xml:space="preserve">Blaisdell v. Home Bldg. </w:t>
      </w:r>
      <w:r w:rsidRPr="00B45592">
        <w:rPr>
          <w:i/>
          <w:sz w:val="20"/>
          <w:szCs w:val="20"/>
          <w:lang w:val="en-IE"/>
        </w:rPr>
        <w:t>&amp; Loan Assn.</w:t>
      </w:r>
      <w:r w:rsidRPr="00B45592">
        <w:rPr>
          <w:sz w:val="20"/>
          <w:szCs w:val="20"/>
          <w:lang w:val="en-IE"/>
        </w:rPr>
        <w:t>, 189 Minn. 422, 448).</w:t>
      </w:r>
    </w:p>
  </w:footnote>
  <w:footnote w:id="377">
    <w:p w14:paraId="409F7694" w14:textId="77777777" w:rsidR="00074551" w:rsidRPr="007E4757" w:rsidRDefault="00074551" w:rsidP="00074551">
      <w:pPr>
        <w:pStyle w:val="Funotentext"/>
        <w:rPr>
          <w:lang w:val="en-US"/>
        </w:rPr>
      </w:pPr>
      <w:r>
        <w:rPr>
          <w:rStyle w:val="Funotenzeichen"/>
          <w:rFonts w:eastAsiaTheme="majorEastAsia"/>
        </w:rPr>
        <w:footnoteRef/>
      </w:r>
      <w:r w:rsidRPr="007E4757">
        <w:rPr>
          <w:lang w:val="en-US"/>
        </w:rPr>
        <w:t xml:space="preserve"> </w:t>
      </w:r>
      <w:r w:rsidRPr="001F38CE">
        <w:rPr>
          <w:i/>
          <w:lang w:val="en-US"/>
        </w:rPr>
        <w:t xml:space="preserve">Fullilove v. </w:t>
      </w:r>
      <w:proofErr w:type="spellStart"/>
      <w:r w:rsidRPr="001F38CE">
        <w:rPr>
          <w:i/>
          <w:lang w:val="en-US"/>
        </w:rPr>
        <w:t>Klutznick</w:t>
      </w:r>
      <w:proofErr w:type="spellEnd"/>
      <w:r w:rsidRPr="007E4757">
        <w:rPr>
          <w:lang w:val="en-US"/>
        </w:rPr>
        <w:t>, 448 U.S. 448, 473</w:t>
      </w:r>
      <w:r>
        <w:rPr>
          <w:lang w:val="en-US"/>
        </w:rPr>
        <w:t xml:space="preserve"> = 100 S. Ct.</w:t>
      </w:r>
      <w:r w:rsidRPr="007E4757">
        <w:rPr>
          <w:lang w:val="en-US"/>
        </w:rPr>
        <w:t xml:space="preserve"> 2758, 2772</w:t>
      </w:r>
      <w:r>
        <w:rPr>
          <w:lang w:val="en-US"/>
        </w:rPr>
        <w:t xml:space="preserve"> = 65 L. Ed. </w:t>
      </w:r>
      <w:r w:rsidRPr="007E4757">
        <w:rPr>
          <w:lang w:val="en-US"/>
        </w:rPr>
        <w:t>2d 902, 921</w:t>
      </w:r>
      <w:r>
        <w:rPr>
          <w:lang w:val="en-US"/>
        </w:rPr>
        <w:t xml:space="preserve"> = 1980 U.S. LEXIS </w:t>
      </w:r>
      <w:r w:rsidRPr="007E4757">
        <w:rPr>
          <w:lang w:val="en-US"/>
        </w:rPr>
        <w:t>8, 47</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7E4757">
        <w:rPr>
          <w:lang w:val="en-US"/>
        </w:rPr>
        <w:t>(CCH) P31,026</w:t>
      </w:r>
      <w:r>
        <w:rPr>
          <w:lang w:val="en-US"/>
        </w:rPr>
        <w:t xml:space="preserve"> = 27 Cont. Cas. Fed. </w:t>
      </w:r>
      <w:r w:rsidRPr="007E4757">
        <w:rPr>
          <w:lang w:val="en-US"/>
        </w:rPr>
        <w:t>(CCH) P80,496 (1980).</w:t>
      </w:r>
    </w:p>
  </w:footnote>
  <w:footnote w:id="378">
    <w:p w14:paraId="4094F185" w14:textId="77777777" w:rsidR="00074551" w:rsidRPr="006976F2" w:rsidRDefault="00074551" w:rsidP="00074551">
      <w:pPr>
        <w:pStyle w:val="Funotentext"/>
        <w:rPr>
          <w:lang w:val="en-US"/>
        </w:rPr>
      </w:pPr>
      <w:r>
        <w:rPr>
          <w:rStyle w:val="Funotenzeichen"/>
        </w:rPr>
        <w:footnoteRef/>
      </w:r>
      <w:r w:rsidRPr="006976F2">
        <w:rPr>
          <w:lang w:val="en-US"/>
        </w:rPr>
        <w:t xml:space="preserve"> </w:t>
      </w:r>
      <w:r w:rsidRPr="00A15962">
        <w:rPr>
          <w:i/>
          <w:lang w:val="en-US"/>
        </w:rPr>
        <w:t>Mathews v. Lucas</w:t>
      </w:r>
      <w:r w:rsidRPr="006976F2">
        <w:rPr>
          <w:lang w:val="en-US"/>
        </w:rPr>
        <w:t>, 427 U.S. 495, 520</w:t>
      </w:r>
      <w:r>
        <w:rPr>
          <w:lang w:val="en-US"/>
        </w:rPr>
        <w:t>–</w:t>
      </w:r>
      <w:r w:rsidRPr="006976F2">
        <w:rPr>
          <w:lang w:val="en-US"/>
        </w:rPr>
        <w:t xml:space="preserve">521, </w:t>
      </w:r>
      <w:r w:rsidRPr="007360B0">
        <w:rPr>
          <w:lang w:val="en-US"/>
        </w:rPr>
        <w:t>n.</w:t>
      </w:r>
      <w:r w:rsidRPr="006976F2">
        <w:rPr>
          <w:lang w:val="en-US"/>
        </w:rPr>
        <w:t xml:space="preserve"> 3 (</w:t>
      </w:r>
      <w:r w:rsidRPr="00206140">
        <w:rPr>
          <w:lang w:val="en-US"/>
        </w:rPr>
        <w:t xml:space="preserve">Dissens von Richter </w:t>
      </w:r>
      <w:r w:rsidRPr="00B45592">
        <w:rPr>
          <w:i/>
          <w:lang w:val="en-US"/>
        </w:rPr>
        <w:t>Stevens</w:t>
      </w:r>
      <w:r w:rsidRPr="00DE1296">
        <w:rPr>
          <w:lang w:val="en-US"/>
        </w:rPr>
        <w:t>);</w:t>
      </w:r>
      <w:r w:rsidRPr="006976F2">
        <w:rPr>
          <w:lang w:val="en-US"/>
        </w:rPr>
        <w:t xml:space="preserve"> </w:t>
      </w:r>
      <w:r w:rsidRPr="001F38CE">
        <w:rPr>
          <w:i/>
          <w:lang w:val="en-US"/>
        </w:rPr>
        <w:t xml:space="preserve">Fullilove v. </w:t>
      </w:r>
      <w:proofErr w:type="spellStart"/>
      <w:r w:rsidRPr="001F38CE">
        <w:rPr>
          <w:i/>
          <w:lang w:val="en-US"/>
        </w:rPr>
        <w:t>Klutznick</w:t>
      </w:r>
      <w:proofErr w:type="spellEnd"/>
      <w:r w:rsidRPr="006976F2">
        <w:rPr>
          <w:lang w:val="en-US"/>
        </w:rPr>
        <w:t>, 448 U.S. 448, 533</w:t>
      </w:r>
      <w:r>
        <w:rPr>
          <w:lang w:val="en-US"/>
        </w:rPr>
        <w:t xml:space="preserve"> = 100 S. Ct.</w:t>
      </w:r>
      <w:r w:rsidRPr="006976F2">
        <w:rPr>
          <w:lang w:val="en-US"/>
        </w:rPr>
        <w:t xml:space="preserve"> 2758, 2803</w:t>
      </w:r>
      <w:r>
        <w:rPr>
          <w:lang w:val="en-US"/>
        </w:rPr>
        <w:t xml:space="preserve"> = 65 L. Ed. </w:t>
      </w:r>
      <w:r w:rsidRPr="006976F2">
        <w:rPr>
          <w:lang w:val="en-US"/>
        </w:rPr>
        <w:t>2d 902, 960</w:t>
      </w:r>
      <w:r>
        <w:rPr>
          <w:lang w:val="en-US"/>
        </w:rPr>
        <w:t xml:space="preserve"> = 1980 U.S. LEXIS </w:t>
      </w:r>
      <w:r w:rsidRPr="006976F2">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6976F2">
        <w:rPr>
          <w:lang w:val="en-US"/>
        </w:rPr>
        <w:t>(CCH) P31,026</w:t>
      </w:r>
      <w:r>
        <w:rPr>
          <w:lang w:val="en-US"/>
        </w:rPr>
        <w:t xml:space="preserve"> = 27 Cont. Cas. Fed. </w:t>
      </w:r>
      <w:r w:rsidRPr="006976F2">
        <w:rPr>
          <w:lang w:val="en-US"/>
        </w:rPr>
        <w:t>(CCH) P80,496 (1980).</w:t>
      </w:r>
    </w:p>
  </w:footnote>
  <w:footnote w:id="379">
    <w:p w14:paraId="2D02486B" w14:textId="77777777" w:rsidR="00074551" w:rsidRPr="008D3DFE" w:rsidRDefault="00074551" w:rsidP="00074551">
      <w:pPr>
        <w:pStyle w:val="Funotentext"/>
        <w:rPr>
          <w:lang w:val="en-US"/>
        </w:rPr>
      </w:pPr>
      <w:r>
        <w:rPr>
          <w:rStyle w:val="Funotenzeichen"/>
        </w:rPr>
        <w:footnoteRef/>
      </w:r>
      <w:r w:rsidRPr="008D3DFE">
        <w:rPr>
          <w:lang w:val="en-US"/>
        </w:rPr>
        <w:t xml:space="preserve"> </w:t>
      </w:r>
      <w:r w:rsidRPr="00B45592">
        <w:rPr>
          <w:i/>
          <w:lang w:val="en-US"/>
        </w:rPr>
        <w:t>James Everard’s Breweries v. Day</w:t>
      </w:r>
      <w:r w:rsidRPr="008D3DFE">
        <w:rPr>
          <w:lang w:val="en-US"/>
        </w:rPr>
        <w:t>, 265 U.S. 545, 560</w:t>
      </w:r>
      <w:r>
        <w:rPr>
          <w:lang w:val="en-US"/>
        </w:rPr>
        <w:t xml:space="preserve"> = 44 S. Ct. </w:t>
      </w:r>
      <w:r w:rsidRPr="008D3DFE">
        <w:rPr>
          <w:lang w:val="en-US"/>
        </w:rPr>
        <w:t>628, 631</w:t>
      </w:r>
      <w:r>
        <w:rPr>
          <w:lang w:val="en-US"/>
        </w:rPr>
        <w:t xml:space="preserve"> = 68 L. Ed</w:t>
      </w:r>
      <w:r w:rsidRPr="008D3DFE">
        <w:rPr>
          <w:lang w:val="en-US"/>
        </w:rPr>
        <w:t>. 1174, 1180</w:t>
      </w:r>
      <w:r>
        <w:rPr>
          <w:lang w:val="en-US"/>
        </w:rPr>
        <w:t xml:space="preserve"> = 1924 U.S. LEXIS </w:t>
      </w:r>
      <w:r w:rsidRPr="008D3DFE">
        <w:rPr>
          <w:lang w:val="en-US"/>
        </w:rPr>
        <w:t>2635, 23 (1924)</w:t>
      </w:r>
      <w:r>
        <w:rPr>
          <w:lang w:val="en-US"/>
        </w:rPr>
        <w:t>.</w:t>
      </w:r>
    </w:p>
  </w:footnote>
  <w:footnote w:id="380">
    <w:p w14:paraId="4BA10730" w14:textId="77777777" w:rsidR="00074551" w:rsidRPr="00C34E8B" w:rsidRDefault="00074551" w:rsidP="00074551">
      <w:pPr>
        <w:pStyle w:val="Funotentext"/>
        <w:rPr>
          <w:lang w:val="en-US"/>
        </w:rPr>
      </w:pPr>
      <w:r>
        <w:rPr>
          <w:rStyle w:val="Funotenzeichen"/>
        </w:rPr>
        <w:footnoteRef/>
      </w:r>
      <w:r w:rsidRPr="00C34E8B">
        <w:rPr>
          <w:lang w:val="en-US"/>
        </w:rPr>
        <w:t xml:space="preserve"> </w:t>
      </w:r>
      <w:r w:rsidRPr="00B45592">
        <w:rPr>
          <w:i/>
          <w:lang w:val="en-US"/>
        </w:rPr>
        <w:t>Lottery Case</w:t>
      </w:r>
      <w:r w:rsidRPr="00C34E8B">
        <w:rPr>
          <w:lang w:val="en-US"/>
        </w:rPr>
        <w:t>, 188 U.S. 321, 3</w:t>
      </w:r>
      <w:r>
        <w:rPr>
          <w:lang w:val="en-US"/>
        </w:rPr>
        <w:t>63</w:t>
      </w:r>
      <w:r w:rsidRPr="00C34E8B">
        <w:rPr>
          <w:lang w:val="en-US"/>
        </w:rPr>
        <w:t>;</w:t>
      </w:r>
      <w:r>
        <w:rPr>
          <w:lang w:val="en-US"/>
        </w:rPr>
        <w:t xml:space="preserve"> </w:t>
      </w:r>
      <w:r w:rsidRPr="00B45592">
        <w:rPr>
          <w:i/>
          <w:lang w:val="en-US"/>
        </w:rPr>
        <w:t>Hamilton v. Kentucky Distilleries Co.</w:t>
      </w:r>
      <w:r w:rsidRPr="00C34E8B">
        <w:rPr>
          <w:lang w:val="en-US"/>
        </w:rPr>
        <w:t>, 251 U.S. 146, 1</w:t>
      </w:r>
      <w:r>
        <w:rPr>
          <w:lang w:val="en-US"/>
        </w:rPr>
        <w:t>6</w:t>
      </w:r>
      <w:r w:rsidRPr="00C34E8B">
        <w:rPr>
          <w:lang w:val="en-US"/>
        </w:rPr>
        <w:t>1</w:t>
      </w:r>
      <w:r>
        <w:rPr>
          <w:lang w:val="en-US"/>
        </w:rPr>
        <w:t xml:space="preserve">; </w:t>
      </w:r>
      <w:r w:rsidRPr="00B45592">
        <w:rPr>
          <w:i/>
          <w:lang w:val="en-US"/>
        </w:rPr>
        <w:t>James Everard’s Breweries v. Day</w:t>
      </w:r>
      <w:r w:rsidRPr="00C34E8B">
        <w:rPr>
          <w:lang w:val="en-US"/>
        </w:rPr>
        <w:t>, 265 U.S. 545, 559</w:t>
      </w:r>
      <w:r>
        <w:rPr>
          <w:lang w:val="en-US"/>
        </w:rPr>
        <w:t xml:space="preserve"> = 44 S. Ct. </w:t>
      </w:r>
      <w:r w:rsidRPr="00C34E8B">
        <w:rPr>
          <w:lang w:val="en-US"/>
        </w:rPr>
        <w:t>628, 631</w:t>
      </w:r>
      <w:r>
        <w:rPr>
          <w:lang w:val="en-US"/>
        </w:rPr>
        <w:t xml:space="preserve"> = 68 L. Ed</w:t>
      </w:r>
      <w:r w:rsidRPr="00C34E8B">
        <w:rPr>
          <w:lang w:val="en-US"/>
        </w:rPr>
        <w:t>. 1174, 1180</w:t>
      </w:r>
      <w:r>
        <w:rPr>
          <w:lang w:val="en-US"/>
        </w:rPr>
        <w:t xml:space="preserve"> = 1924 U.S. LEXIS </w:t>
      </w:r>
      <w:r w:rsidRPr="00C34E8B">
        <w:rPr>
          <w:lang w:val="en-US"/>
        </w:rPr>
        <w:t>2635, 22 (1924)</w:t>
      </w:r>
      <w:r>
        <w:rPr>
          <w:lang w:val="en-US"/>
        </w:rPr>
        <w:t>.</w:t>
      </w:r>
    </w:p>
  </w:footnote>
  <w:footnote w:id="381">
    <w:p w14:paraId="7B9D9FDD" w14:textId="77777777" w:rsidR="00074551" w:rsidRPr="00C34E8B" w:rsidRDefault="00074551" w:rsidP="00074551">
      <w:pPr>
        <w:pStyle w:val="Funotentext"/>
        <w:jc w:val="both"/>
        <w:rPr>
          <w:lang w:val="en-US"/>
        </w:rPr>
      </w:pPr>
      <w:r>
        <w:rPr>
          <w:rStyle w:val="Funotenzeichen"/>
        </w:rPr>
        <w:footnoteRef/>
      </w:r>
      <w:r w:rsidRPr="00C34E8B">
        <w:rPr>
          <w:lang w:val="en-US"/>
        </w:rPr>
        <w:t xml:space="preserve"> </w:t>
      </w:r>
      <w:r w:rsidRPr="007360B0">
        <w:rPr>
          <w:i/>
          <w:lang w:val="en-US"/>
        </w:rPr>
        <w:t>Purity Extract Co. v. Lynch</w:t>
      </w:r>
      <w:r w:rsidRPr="00C34E8B">
        <w:rPr>
          <w:lang w:val="en-US"/>
        </w:rPr>
        <w:t xml:space="preserve">, 226 U.S. 192; </w:t>
      </w:r>
      <w:r w:rsidRPr="00B45592">
        <w:rPr>
          <w:i/>
          <w:lang w:val="en-US"/>
        </w:rPr>
        <w:t>Ruppert v. Caffey</w:t>
      </w:r>
      <w:r w:rsidRPr="00C34E8B">
        <w:rPr>
          <w:lang w:val="en-US"/>
        </w:rPr>
        <w:t>, 251 U.S. 264</w:t>
      </w:r>
      <w:r>
        <w:rPr>
          <w:lang w:val="en-US"/>
        </w:rPr>
        <w:t xml:space="preserve">; </w:t>
      </w:r>
      <w:r w:rsidRPr="00B45592">
        <w:rPr>
          <w:i/>
          <w:lang w:val="en-US"/>
        </w:rPr>
        <w:t>James Everard’s Breweries v. Day</w:t>
      </w:r>
      <w:r w:rsidRPr="00C34E8B">
        <w:rPr>
          <w:lang w:val="en-US"/>
        </w:rPr>
        <w:t>, 265 U.S. 545, 560</w:t>
      </w:r>
      <w:r>
        <w:rPr>
          <w:lang w:val="en-US"/>
        </w:rPr>
        <w:t xml:space="preserve"> = 44 S. Ct. </w:t>
      </w:r>
      <w:r w:rsidRPr="00C34E8B">
        <w:rPr>
          <w:lang w:val="en-US"/>
        </w:rPr>
        <w:t>628, 632</w:t>
      </w:r>
      <w:r>
        <w:rPr>
          <w:lang w:val="en-US"/>
        </w:rPr>
        <w:t xml:space="preserve"> = 68 L. Ed</w:t>
      </w:r>
      <w:r w:rsidRPr="00C34E8B">
        <w:rPr>
          <w:lang w:val="en-US"/>
        </w:rPr>
        <w:t>. 1174, 1180</w:t>
      </w:r>
      <w:r>
        <w:rPr>
          <w:lang w:val="en-US"/>
        </w:rPr>
        <w:t xml:space="preserve"> = 1924 U.S. LEXIS </w:t>
      </w:r>
      <w:r w:rsidRPr="00C34E8B">
        <w:rPr>
          <w:lang w:val="en-US"/>
        </w:rPr>
        <w:t>2635, 23 (1924)</w:t>
      </w:r>
      <w:r>
        <w:rPr>
          <w:lang w:val="en-US"/>
        </w:rPr>
        <w:t>.</w:t>
      </w:r>
    </w:p>
  </w:footnote>
  <w:footnote w:id="382">
    <w:p w14:paraId="690AE2E9"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B45592">
        <w:rPr>
          <w:i/>
          <w:lang w:val="en-US"/>
        </w:rPr>
        <w:t>James Everard’s Breweries v. Day</w:t>
      </w:r>
      <w:r w:rsidRPr="006D4066">
        <w:rPr>
          <w:lang w:val="en-US"/>
        </w:rPr>
        <w:t>, 265 U.S. 545, 554</w:t>
      </w:r>
      <w:r>
        <w:rPr>
          <w:lang w:val="en-US"/>
        </w:rPr>
        <w:t xml:space="preserve"> = 44 S. Ct. </w:t>
      </w:r>
      <w:r w:rsidRPr="006D4066">
        <w:rPr>
          <w:lang w:val="en-US"/>
        </w:rPr>
        <w:t>628, 629</w:t>
      </w:r>
      <w:r>
        <w:rPr>
          <w:lang w:val="en-US"/>
        </w:rPr>
        <w:t xml:space="preserve"> = 68 L. Ed</w:t>
      </w:r>
      <w:r w:rsidRPr="006D4066">
        <w:rPr>
          <w:lang w:val="en-US"/>
        </w:rPr>
        <w:t>. 1174, 1177</w:t>
      </w:r>
      <w:r>
        <w:rPr>
          <w:lang w:val="en-US"/>
        </w:rPr>
        <w:t xml:space="preserve"> = 1924 U.S. LEXIS </w:t>
      </w:r>
      <w:r w:rsidRPr="006D4066">
        <w:rPr>
          <w:lang w:val="en-US"/>
        </w:rPr>
        <w:t>2635, 11 (1924)</w:t>
      </w:r>
      <w:r>
        <w:rPr>
          <w:lang w:val="en-US"/>
        </w:rPr>
        <w:t>.</w:t>
      </w:r>
    </w:p>
  </w:footnote>
  <w:footnote w:id="383">
    <w:p w14:paraId="61AFE7A0" w14:textId="77777777" w:rsidR="00074551" w:rsidRPr="00BE2F8D" w:rsidRDefault="00074551" w:rsidP="00074551">
      <w:pPr>
        <w:pStyle w:val="Funotentext"/>
        <w:rPr>
          <w:lang w:val="en-US"/>
        </w:rPr>
      </w:pPr>
      <w:r>
        <w:rPr>
          <w:rStyle w:val="Funotenzeichen"/>
          <w:rFonts w:eastAsiaTheme="majorEastAsia"/>
        </w:rPr>
        <w:footnoteRef/>
      </w:r>
      <w:r w:rsidRPr="00BE2F8D">
        <w:rPr>
          <w:lang w:val="en-US"/>
        </w:rPr>
        <w:t xml:space="preserve"> </w:t>
      </w:r>
      <w:r w:rsidRPr="00B45592">
        <w:rPr>
          <w:i/>
          <w:lang w:val="en-US"/>
        </w:rPr>
        <w:t>James Everard’s Breweries v. Day</w:t>
      </w:r>
      <w:r w:rsidRPr="00BE2F8D">
        <w:rPr>
          <w:lang w:val="en-US"/>
        </w:rPr>
        <w:t>, 265 U.S. 545, 554</w:t>
      </w:r>
      <w:r>
        <w:rPr>
          <w:lang w:val="en-US"/>
        </w:rPr>
        <w:t xml:space="preserve"> = 44 S. Ct. </w:t>
      </w:r>
      <w:r w:rsidRPr="00BE2F8D">
        <w:rPr>
          <w:lang w:val="en-US"/>
        </w:rPr>
        <w:t>628, 629</w:t>
      </w:r>
      <w:r>
        <w:rPr>
          <w:lang w:val="en-US"/>
        </w:rPr>
        <w:t xml:space="preserve"> = 68 L. Ed</w:t>
      </w:r>
      <w:r w:rsidRPr="00BE2F8D">
        <w:rPr>
          <w:lang w:val="en-US"/>
        </w:rPr>
        <w:t>. 1174, 1177</w:t>
      </w:r>
      <w:r>
        <w:rPr>
          <w:lang w:val="en-US"/>
        </w:rPr>
        <w:t xml:space="preserve"> = 1924 U.S. LEXIS </w:t>
      </w:r>
      <w:r w:rsidRPr="00BE2F8D">
        <w:rPr>
          <w:lang w:val="en-US"/>
        </w:rPr>
        <w:t>2635, 11 (1924)</w:t>
      </w:r>
      <w:r>
        <w:rPr>
          <w:lang w:val="en-US"/>
        </w:rPr>
        <w:t>.</w:t>
      </w:r>
    </w:p>
  </w:footnote>
  <w:footnote w:id="384">
    <w:p w14:paraId="3455BCF1" w14:textId="77777777" w:rsidR="00074551" w:rsidRPr="006D4066" w:rsidRDefault="00074551" w:rsidP="00074551">
      <w:pPr>
        <w:pStyle w:val="Funotentext"/>
        <w:rPr>
          <w:lang w:val="en-US"/>
        </w:rPr>
      </w:pPr>
      <w:r>
        <w:rPr>
          <w:rStyle w:val="Funotenzeichen"/>
          <w:rFonts w:eastAsiaTheme="majorEastAsia"/>
        </w:rPr>
        <w:footnoteRef/>
      </w:r>
      <w:r w:rsidRPr="006D4066">
        <w:rPr>
          <w:lang w:val="en-US"/>
        </w:rPr>
        <w:t xml:space="preserve"> </w:t>
      </w:r>
      <w:r w:rsidRPr="00B45592">
        <w:rPr>
          <w:i/>
          <w:lang w:val="en-US"/>
        </w:rPr>
        <w:t>James Everard’s Breweries v. Day</w:t>
      </w:r>
      <w:r w:rsidRPr="006D4066">
        <w:rPr>
          <w:lang w:val="en-US"/>
        </w:rPr>
        <w:t>, 265 U.S. 545, 554</w:t>
      </w:r>
      <w:r>
        <w:rPr>
          <w:lang w:val="en-US"/>
        </w:rPr>
        <w:t xml:space="preserve"> = 44 S. Ct. </w:t>
      </w:r>
      <w:r w:rsidRPr="006D4066">
        <w:rPr>
          <w:lang w:val="en-US"/>
        </w:rPr>
        <w:t>628, 629</w:t>
      </w:r>
      <w:r>
        <w:rPr>
          <w:lang w:val="en-US"/>
        </w:rPr>
        <w:t xml:space="preserve"> = 68 L. Ed</w:t>
      </w:r>
      <w:r w:rsidRPr="006D4066">
        <w:rPr>
          <w:lang w:val="en-US"/>
        </w:rPr>
        <w:t>. 1174, 1177</w:t>
      </w:r>
      <w:r>
        <w:rPr>
          <w:lang w:val="en-US"/>
        </w:rPr>
        <w:t xml:space="preserve"> = 1924 U.S. LEXIS </w:t>
      </w:r>
      <w:r w:rsidRPr="006D4066">
        <w:rPr>
          <w:lang w:val="en-US"/>
        </w:rPr>
        <w:t>2635, 11 (1924)</w:t>
      </w:r>
      <w:r>
        <w:rPr>
          <w:lang w:val="en-US"/>
        </w:rPr>
        <w:t>.</w:t>
      </w:r>
    </w:p>
  </w:footnote>
  <w:footnote w:id="385">
    <w:p w14:paraId="583E3EE5" w14:textId="77777777" w:rsidR="00074551" w:rsidRPr="00BE2F8D" w:rsidRDefault="00074551" w:rsidP="00074551">
      <w:pPr>
        <w:pStyle w:val="Funotentext"/>
        <w:rPr>
          <w:lang w:val="en-US"/>
        </w:rPr>
      </w:pPr>
      <w:r>
        <w:rPr>
          <w:rStyle w:val="Funotenzeichen"/>
          <w:rFonts w:eastAsiaTheme="majorEastAsia"/>
        </w:rPr>
        <w:footnoteRef/>
      </w:r>
      <w:r w:rsidRPr="00BE2F8D">
        <w:rPr>
          <w:lang w:val="en-US"/>
        </w:rPr>
        <w:t xml:space="preserve"> </w:t>
      </w:r>
      <w:r w:rsidRPr="00B45592">
        <w:rPr>
          <w:i/>
          <w:lang w:val="en-US"/>
        </w:rPr>
        <w:t>James Everard’s Breweries v. Day</w:t>
      </w:r>
      <w:r w:rsidRPr="00BE2F8D">
        <w:rPr>
          <w:lang w:val="en-US"/>
        </w:rPr>
        <w:t>, 265 U.S. 545, 554</w:t>
      </w:r>
      <w:r>
        <w:rPr>
          <w:lang w:val="en-US"/>
        </w:rPr>
        <w:t xml:space="preserve"> = 44 S. Ct. </w:t>
      </w:r>
      <w:r w:rsidRPr="00BE2F8D">
        <w:rPr>
          <w:lang w:val="en-US"/>
        </w:rPr>
        <w:t>628, 629</w:t>
      </w:r>
      <w:r>
        <w:rPr>
          <w:lang w:val="en-US"/>
        </w:rPr>
        <w:t xml:space="preserve"> = 68 L. Ed</w:t>
      </w:r>
      <w:r w:rsidRPr="00BE2F8D">
        <w:rPr>
          <w:lang w:val="en-US"/>
        </w:rPr>
        <w:t>. 1174, 1177</w:t>
      </w:r>
      <w:r>
        <w:rPr>
          <w:lang w:val="en-US"/>
        </w:rPr>
        <w:t xml:space="preserve"> = 1924 U.S. LEXIS </w:t>
      </w:r>
      <w:r w:rsidRPr="00BE2F8D">
        <w:rPr>
          <w:lang w:val="en-US"/>
        </w:rPr>
        <w:t>2635, 11 (1924)</w:t>
      </w:r>
      <w:r>
        <w:rPr>
          <w:lang w:val="en-US"/>
        </w:rPr>
        <w:t>.</w:t>
      </w:r>
    </w:p>
  </w:footnote>
  <w:footnote w:id="386">
    <w:p w14:paraId="66FFACC2" w14:textId="77777777" w:rsidR="00074551" w:rsidRPr="009D0A72" w:rsidRDefault="00074551" w:rsidP="00074551">
      <w:pPr>
        <w:pStyle w:val="Funotentext"/>
        <w:jc w:val="both"/>
        <w:rPr>
          <w:lang w:val="en-US"/>
        </w:rPr>
      </w:pPr>
      <w:r>
        <w:rPr>
          <w:rStyle w:val="Funotenzeichen"/>
        </w:rPr>
        <w:footnoteRef/>
      </w:r>
      <w:r w:rsidRPr="009D0A72">
        <w:rPr>
          <w:lang w:val="en-US"/>
        </w:rPr>
        <w:t xml:space="preserve"> </w:t>
      </w:r>
      <w:r w:rsidRPr="007360B0">
        <w:rPr>
          <w:i/>
          <w:lang w:val="en-US"/>
        </w:rPr>
        <w:t>Keegan v. United States</w:t>
      </w:r>
      <w:r w:rsidRPr="009D0A72">
        <w:rPr>
          <w:lang w:val="en-US"/>
        </w:rPr>
        <w:t>, 325 U.S. 478, 479</w:t>
      </w:r>
      <w:r w:rsidRPr="003B741A">
        <w:rPr>
          <w:lang w:val="en-US"/>
        </w:rPr>
        <w:t xml:space="preserve"> = 65 S. Ct. </w:t>
      </w:r>
      <w:r w:rsidRPr="009D0A72">
        <w:rPr>
          <w:lang w:val="en-US"/>
        </w:rPr>
        <w:t>1203, 1203</w:t>
      </w:r>
      <w:r w:rsidRPr="003B741A">
        <w:rPr>
          <w:lang w:val="en-US"/>
        </w:rPr>
        <w:t xml:space="preserve"> = 89 L. Ed. </w:t>
      </w:r>
      <w:r w:rsidRPr="009D0A72">
        <w:rPr>
          <w:lang w:val="en-US"/>
        </w:rPr>
        <w:t>1745, 1746</w:t>
      </w:r>
      <w:r w:rsidRPr="003B741A">
        <w:rPr>
          <w:lang w:val="en-US"/>
        </w:rPr>
        <w:t xml:space="preserve"> = 1945 U.S. LEXIS </w:t>
      </w:r>
      <w:r w:rsidRPr="009D0A72">
        <w:rPr>
          <w:lang w:val="en-US"/>
        </w:rPr>
        <w:t>1941, 1 (1945)</w:t>
      </w:r>
      <w:r>
        <w:rPr>
          <w:lang w:val="en-US"/>
        </w:rPr>
        <w:t>.</w:t>
      </w:r>
    </w:p>
  </w:footnote>
  <w:footnote w:id="387">
    <w:p w14:paraId="799378F2" w14:textId="77777777" w:rsidR="00074551" w:rsidRPr="009D0A72" w:rsidRDefault="00074551" w:rsidP="00074551">
      <w:pPr>
        <w:pStyle w:val="Funotentext"/>
        <w:jc w:val="both"/>
        <w:rPr>
          <w:lang w:val="en-US"/>
        </w:rPr>
      </w:pPr>
      <w:r>
        <w:rPr>
          <w:rStyle w:val="Funotenzeichen"/>
        </w:rPr>
        <w:footnoteRef/>
      </w:r>
      <w:r w:rsidRPr="009D0A72">
        <w:rPr>
          <w:lang w:val="en-US"/>
        </w:rPr>
        <w:t xml:space="preserve"> </w:t>
      </w:r>
      <w:r>
        <w:rPr>
          <w:lang w:val="en-US"/>
        </w:rPr>
        <w:t>§ </w:t>
      </w:r>
      <w:r w:rsidRPr="009D0A72">
        <w:rPr>
          <w:lang w:val="en-US"/>
        </w:rPr>
        <w:t xml:space="preserve">11 </w:t>
      </w:r>
      <w:r>
        <w:rPr>
          <w:lang w:val="en-US"/>
        </w:rPr>
        <w:t>des</w:t>
      </w:r>
      <w:r w:rsidRPr="009D0A72">
        <w:rPr>
          <w:lang w:val="en-US"/>
        </w:rPr>
        <w:t xml:space="preserve"> </w:t>
      </w:r>
      <w:r w:rsidRPr="00B45592">
        <w:rPr>
          <w:i/>
          <w:lang w:val="en-IE"/>
        </w:rPr>
        <w:t>Selective Service Act</w:t>
      </w:r>
      <w:r w:rsidRPr="00B45592">
        <w:rPr>
          <w:lang w:val="en-IE"/>
        </w:rPr>
        <w:t xml:space="preserve"> </w:t>
      </w:r>
      <w:r w:rsidRPr="009D0A72">
        <w:rPr>
          <w:lang w:val="en-US"/>
        </w:rPr>
        <w:t xml:space="preserve">(50 </w:t>
      </w:r>
      <w:r>
        <w:rPr>
          <w:lang w:val="en-US"/>
        </w:rPr>
        <w:t>U.S.</w:t>
      </w:r>
      <w:r w:rsidRPr="009D0A72">
        <w:rPr>
          <w:lang w:val="en-US"/>
        </w:rPr>
        <w:t xml:space="preserve"> C. App. </w:t>
      </w:r>
      <w:r>
        <w:rPr>
          <w:lang w:val="en-US"/>
        </w:rPr>
        <w:t>§ </w:t>
      </w:r>
      <w:r w:rsidRPr="009D0A72">
        <w:rPr>
          <w:lang w:val="en-US"/>
        </w:rPr>
        <w:t>311).</w:t>
      </w:r>
      <w:r>
        <w:rPr>
          <w:lang w:val="en-US"/>
        </w:rPr>
        <w:t xml:space="preserve"> „</w:t>
      </w:r>
      <w:r w:rsidRPr="009D0A72">
        <w:rPr>
          <w:lang w:val="en-US"/>
        </w:rPr>
        <w:t>It subjects to punishment any person:</w:t>
      </w:r>
      <w:r>
        <w:rPr>
          <w:lang w:val="en-US"/>
        </w:rPr>
        <w:t xml:space="preserve"> </w:t>
      </w:r>
      <w:r w:rsidRPr="009D0A72">
        <w:rPr>
          <w:lang w:val="en-US"/>
        </w:rPr>
        <w:t>(1) who shall knowingly make or be a party to making any false registration;</w:t>
      </w:r>
      <w:r>
        <w:rPr>
          <w:lang w:val="en-US"/>
        </w:rPr>
        <w:t xml:space="preserve"> </w:t>
      </w:r>
      <w:r w:rsidRPr="009D0A72">
        <w:rPr>
          <w:lang w:val="en-US"/>
        </w:rPr>
        <w:t>(2) who shall knowingly make or be a party to making any false statement as to his or another</w:t>
      </w:r>
      <w:r>
        <w:rPr>
          <w:lang w:val="en-US"/>
        </w:rPr>
        <w:t>’</w:t>
      </w:r>
      <w:r w:rsidRPr="009D0A72">
        <w:rPr>
          <w:lang w:val="en-US"/>
        </w:rPr>
        <w:t>s fitness or liability for service;</w:t>
      </w:r>
      <w:r>
        <w:rPr>
          <w:lang w:val="en-US"/>
        </w:rPr>
        <w:t xml:space="preserve"> </w:t>
      </w:r>
      <w:r w:rsidRPr="009D0A72">
        <w:rPr>
          <w:lang w:val="en-US"/>
        </w:rPr>
        <w:t>(3) who knowingly counsels, aids, or abets another to evade registration or service;</w:t>
      </w:r>
      <w:r>
        <w:rPr>
          <w:lang w:val="en-US"/>
        </w:rPr>
        <w:t xml:space="preserve"> </w:t>
      </w:r>
      <w:r w:rsidRPr="009D0A72">
        <w:rPr>
          <w:lang w:val="en-US"/>
        </w:rPr>
        <w:t>(4) who in any manner shall knowingly fail or neglect to perform any duty required of him by the Act;</w:t>
      </w:r>
      <w:r>
        <w:rPr>
          <w:lang w:val="en-US"/>
        </w:rPr>
        <w:t xml:space="preserve"> </w:t>
      </w:r>
      <w:r w:rsidRPr="009D0A72">
        <w:rPr>
          <w:lang w:val="en-US"/>
        </w:rPr>
        <w:t>(5) who shall knowingly hinder or interfere by force or violence with the administration of the Act;</w:t>
      </w:r>
      <w:r>
        <w:rPr>
          <w:lang w:val="en-US"/>
        </w:rPr>
        <w:t xml:space="preserve"> </w:t>
      </w:r>
      <w:r w:rsidRPr="009D0A72">
        <w:rPr>
          <w:lang w:val="en-US"/>
        </w:rPr>
        <w:t>(6) who shall conspire so to do</w:t>
      </w:r>
      <w:r>
        <w:rPr>
          <w:lang w:val="en-US"/>
        </w:rPr>
        <w:t xml:space="preserve">“, </w:t>
      </w:r>
      <w:r w:rsidRPr="007360B0">
        <w:rPr>
          <w:i/>
          <w:lang w:val="en-US"/>
        </w:rPr>
        <w:t>Keegan v. United States</w:t>
      </w:r>
      <w:r w:rsidRPr="009D0A72">
        <w:rPr>
          <w:lang w:val="en-US"/>
        </w:rPr>
        <w:t>, 325 U.S. 478, 486</w:t>
      </w:r>
      <w:r w:rsidRPr="003B741A">
        <w:rPr>
          <w:lang w:val="en-US"/>
        </w:rPr>
        <w:t xml:space="preserve"> = 65 S. Ct. </w:t>
      </w:r>
      <w:r w:rsidRPr="009D0A72">
        <w:rPr>
          <w:lang w:val="en-US"/>
        </w:rPr>
        <w:t>1203, 1206</w:t>
      </w:r>
      <w:r w:rsidRPr="003B741A">
        <w:rPr>
          <w:lang w:val="en-US"/>
        </w:rPr>
        <w:t xml:space="preserve"> = 89 L. Ed. </w:t>
      </w:r>
      <w:r w:rsidRPr="009D0A72">
        <w:rPr>
          <w:lang w:val="en-US"/>
        </w:rPr>
        <w:t>1745, 1750</w:t>
      </w:r>
      <w:r w:rsidRPr="003B741A">
        <w:rPr>
          <w:lang w:val="en-US"/>
        </w:rPr>
        <w:t xml:space="preserve"> = 1945 U.S. LEXIS </w:t>
      </w:r>
      <w:r w:rsidRPr="009D0A72">
        <w:rPr>
          <w:lang w:val="en-US"/>
        </w:rPr>
        <w:t>1941, 14 (1945)</w:t>
      </w:r>
      <w:r>
        <w:rPr>
          <w:lang w:val="en-US"/>
        </w:rPr>
        <w:t>.</w:t>
      </w:r>
    </w:p>
  </w:footnote>
  <w:footnote w:id="388">
    <w:p w14:paraId="2993E064" w14:textId="77777777" w:rsidR="00074551" w:rsidRPr="009D0A72" w:rsidRDefault="00074551" w:rsidP="00074551">
      <w:pPr>
        <w:pStyle w:val="Funotentext"/>
        <w:jc w:val="both"/>
        <w:rPr>
          <w:lang w:val="en-US"/>
        </w:rPr>
      </w:pPr>
      <w:r>
        <w:rPr>
          <w:rStyle w:val="Funotenzeichen"/>
        </w:rPr>
        <w:footnoteRef/>
      </w:r>
      <w:r w:rsidRPr="009D0A72">
        <w:rPr>
          <w:lang w:val="en-US"/>
        </w:rPr>
        <w:t xml:space="preserve"> </w:t>
      </w:r>
      <w:r>
        <w:rPr>
          <w:lang w:val="en-US"/>
        </w:rPr>
        <w:t>“</w:t>
      </w:r>
      <w:r w:rsidRPr="009D0A72">
        <w:rPr>
          <w:lang w:val="en-US"/>
        </w:rPr>
        <w:t>Sections 8 (a) (b) of the Selective Service Act, 54 Stat. 885, 890, provides that persons who have been drafted into and honorably discharged from military and naval service shall be accorded high preferential rights in regard to their reemployment by public or by private employers</w:t>
      </w:r>
      <w:r>
        <w:rPr>
          <w:lang w:val="en-US"/>
        </w:rPr>
        <w:t xml:space="preserve">.”, </w:t>
      </w:r>
      <w:proofErr w:type="spellStart"/>
      <w:r>
        <w:rPr>
          <w:lang w:val="en-US"/>
        </w:rPr>
        <w:t>vgl</w:t>
      </w:r>
      <w:proofErr w:type="spellEnd"/>
      <w:r>
        <w:rPr>
          <w:lang w:val="en-US"/>
        </w:rPr>
        <w:t xml:space="preserve">. </w:t>
      </w:r>
      <w:r w:rsidRPr="007360B0">
        <w:rPr>
          <w:i/>
          <w:lang w:val="en-US"/>
        </w:rPr>
        <w:t>Keegan v. United States</w:t>
      </w:r>
      <w:r w:rsidRPr="009D0A72">
        <w:rPr>
          <w:lang w:val="en-US"/>
        </w:rPr>
        <w:t>, 325 U.S. 478, 496</w:t>
      </w:r>
      <w:r w:rsidRPr="003B741A">
        <w:rPr>
          <w:lang w:val="en-US"/>
        </w:rPr>
        <w:t xml:space="preserve"> = 65 S. Ct. </w:t>
      </w:r>
      <w:r w:rsidRPr="009D0A72">
        <w:rPr>
          <w:lang w:val="en-US"/>
        </w:rPr>
        <w:t>1203, 1210</w:t>
      </w:r>
      <w:r w:rsidRPr="003B741A">
        <w:rPr>
          <w:lang w:val="en-US"/>
        </w:rPr>
        <w:t xml:space="preserve"> = 89 L. Ed. </w:t>
      </w:r>
      <w:r w:rsidRPr="009D0A72">
        <w:rPr>
          <w:lang w:val="en-US"/>
        </w:rPr>
        <w:t>1745, 1755</w:t>
      </w:r>
      <w:r w:rsidRPr="003B741A">
        <w:rPr>
          <w:lang w:val="en-US"/>
        </w:rPr>
        <w:t xml:space="preserve"> = 1945 U.S. LEXIS </w:t>
      </w:r>
      <w:r w:rsidRPr="009D0A72">
        <w:rPr>
          <w:lang w:val="en-US"/>
        </w:rPr>
        <w:t>1941, 29 (1945)</w:t>
      </w:r>
      <w:r>
        <w:rPr>
          <w:lang w:val="en-US"/>
        </w:rPr>
        <w:t>.</w:t>
      </w:r>
    </w:p>
  </w:footnote>
  <w:footnote w:id="389">
    <w:p w14:paraId="29141533" w14:textId="77777777" w:rsidR="00074551" w:rsidRPr="00D47365" w:rsidRDefault="00074551" w:rsidP="00074551">
      <w:pPr>
        <w:pStyle w:val="Funotentext"/>
        <w:jc w:val="both"/>
        <w:rPr>
          <w:lang w:val="en-US"/>
        </w:rPr>
      </w:pPr>
      <w:r>
        <w:rPr>
          <w:rStyle w:val="Funotenzeichen"/>
        </w:rPr>
        <w:footnoteRef/>
      </w:r>
      <w:r w:rsidRPr="00D47365">
        <w:rPr>
          <w:lang w:val="en-US"/>
        </w:rPr>
        <w:t xml:space="preserve"> </w:t>
      </w:r>
      <w:r w:rsidRPr="007360B0">
        <w:rPr>
          <w:i/>
          <w:lang w:val="en-US"/>
        </w:rPr>
        <w:t>Keegan v. United States</w:t>
      </w:r>
      <w:r w:rsidRPr="00D47365">
        <w:rPr>
          <w:lang w:val="en-US"/>
        </w:rPr>
        <w:t>, 325 U.S. 478, 497</w:t>
      </w:r>
      <w:r w:rsidRPr="003B741A">
        <w:rPr>
          <w:lang w:val="en-US"/>
        </w:rPr>
        <w:t xml:space="preserve"> = 65 S. Ct. </w:t>
      </w:r>
      <w:r w:rsidRPr="00D47365">
        <w:rPr>
          <w:lang w:val="en-US"/>
        </w:rPr>
        <w:t>1203, 1211</w:t>
      </w:r>
      <w:r w:rsidRPr="003B741A">
        <w:rPr>
          <w:lang w:val="en-US"/>
        </w:rPr>
        <w:t xml:space="preserve"> = 89 L. Ed. </w:t>
      </w:r>
      <w:r w:rsidRPr="00D47365">
        <w:rPr>
          <w:lang w:val="en-US"/>
        </w:rPr>
        <w:t>1745, 1755</w:t>
      </w:r>
      <w:r w:rsidRPr="003B741A">
        <w:rPr>
          <w:lang w:val="en-US"/>
        </w:rPr>
        <w:t xml:space="preserve"> = 1945 U.S. LEXIS </w:t>
      </w:r>
      <w:r w:rsidRPr="00D47365">
        <w:rPr>
          <w:lang w:val="en-US"/>
        </w:rPr>
        <w:t>1941, 31 (1945)</w:t>
      </w:r>
      <w:r>
        <w:rPr>
          <w:lang w:val="en-US"/>
        </w:rPr>
        <w:t>.</w:t>
      </w:r>
    </w:p>
  </w:footnote>
  <w:footnote w:id="390">
    <w:p w14:paraId="027E1A33" w14:textId="77777777" w:rsidR="00074551" w:rsidRPr="0034633C" w:rsidRDefault="00074551" w:rsidP="00074551">
      <w:pPr>
        <w:pStyle w:val="Funotentext"/>
        <w:jc w:val="both"/>
        <w:rPr>
          <w:lang w:val="en-US"/>
        </w:rPr>
      </w:pPr>
      <w:r>
        <w:rPr>
          <w:rStyle w:val="Funotenzeichen"/>
        </w:rPr>
        <w:footnoteRef/>
      </w:r>
      <w:r w:rsidRPr="0034633C">
        <w:rPr>
          <w:lang w:val="en-US"/>
        </w:rPr>
        <w:t xml:space="preserve"> </w:t>
      </w:r>
      <w:r w:rsidRPr="00B45592">
        <w:rPr>
          <w:i/>
          <w:lang w:val="en-US"/>
        </w:rPr>
        <w:t>Smith v. Cahoon</w:t>
      </w:r>
      <w:r w:rsidRPr="0034633C">
        <w:rPr>
          <w:lang w:val="en-US"/>
        </w:rPr>
        <w:t>, 283 U.S. 553, 564</w:t>
      </w:r>
      <w:r>
        <w:rPr>
          <w:lang w:val="en-US"/>
        </w:rPr>
        <w:t xml:space="preserve">; </w:t>
      </w:r>
      <w:r w:rsidRPr="007360B0">
        <w:rPr>
          <w:i/>
          <w:lang w:val="en-US"/>
        </w:rPr>
        <w:t>Keegan v. United States</w:t>
      </w:r>
      <w:r w:rsidRPr="0034633C">
        <w:rPr>
          <w:lang w:val="en-US"/>
        </w:rPr>
        <w:t>, 325 U.S. 478, 497</w:t>
      </w:r>
      <w:r w:rsidRPr="003B741A">
        <w:rPr>
          <w:lang w:val="en-US"/>
        </w:rPr>
        <w:t xml:space="preserve"> = 65 S. Ct. </w:t>
      </w:r>
      <w:r w:rsidRPr="0034633C">
        <w:rPr>
          <w:lang w:val="en-US"/>
        </w:rPr>
        <w:t>1203, 1211</w:t>
      </w:r>
      <w:r w:rsidRPr="003B741A">
        <w:rPr>
          <w:lang w:val="en-US"/>
        </w:rPr>
        <w:t xml:space="preserve"> = 89 L. Ed. </w:t>
      </w:r>
      <w:r w:rsidRPr="0034633C">
        <w:rPr>
          <w:lang w:val="en-US"/>
        </w:rPr>
        <w:t>1745, 1755</w:t>
      </w:r>
      <w:r w:rsidRPr="003B741A">
        <w:rPr>
          <w:lang w:val="en-US"/>
        </w:rPr>
        <w:t xml:space="preserve"> = 1945 U.S. LEXIS </w:t>
      </w:r>
      <w:r w:rsidRPr="0034633C">
        <w:rPr>
          <w:lang w:val="en-US"/>
        </w:rPr>
        <w:t>1941, 31 (1945)</w:t>
      </w:r>
      <w:r>
        <w:rPr>
          <w:lang w:val="en-US"/>
        </w:rPr>
        <w:t>.</w:t>
      </w:r>
    </w:p>
  </w:footnote>
  <w:footnote w:id="391">
    <w:p w14:paraId="3ABFD3BF" w14:textId="77777777" w:rsidR="00074551" w:rsidRPr="00D47365" w:rsidRDefault="00074551" w:rsidP="00074551">
      <w:pPr>
        <w:pStyle w:val="Funotentext"/>
        <w:jc w:val="both"/>
        <w:rPr>
          <w:lang w:val="en-US"/>
        </w:rPr>
      </w:pPr>
      <w:r>
        <w:rPr>
          <w:rStyle w:val="Funotenzeichen"/>
        </w:rPr>
        <w:footnoteRef/>
      </w:r>
      <w:r w:rsidRPr="009747B9">
        <w:rPr>
          <w:lang w:val="en-IE"/>
        </w:rPr>
        <w:t xml:space="preserve"> </w:t>
      </w:r>
      <w:r w:rsidRPr="009747B9">
        <w:rPr>
          <w:i/>
          <w:lang w:val="en-IE"/>
        </w:rPr>
        <w:t>Cummings v. Missouri</w:t>
      </w:r>
      <w:r w:rsidRPr="009747B9">
        <w:rPr>
          <w:lang w:val="en-IE"/>
        </w:rPr>
        <w:t xml:space="preserve">, 4 Wall. 277, 321–323. </w:t>
      </w:r>
      <w:proofErr w:type="spellStart"/>
      <w:r w:rsidRPr="009747B9">
        <w:rPr>
          <w:lang w:val="en-IE"/>
        </w:rPr>
        <w:t>Siehe</w:t>
      </w:r>
      <w:proofErr w:type="spellEnd"/>
      <w:r w:rsidRPr="009747B9">
        <w:rPr>
          <w:lang w:val="en-IE"/>
        </w:rPr>
        <w:t xml:space="preserve"> </w:t>
      </w:r>
      <w:proofErr w:type="spellStart"/>
      <w:r w:rsidRPr="009747B9">
        <w:rPr>
          <w:lang w:val="en-IE"/>
        </w:rPr>
        <w:t>auch</w:t>
      </w:r>
      <w:proofErr w:type="spellEnd"/>
      <w:r w:rsidRPr="009747B9">
        <w:rPr>
          <w:lang w:val="en-IE"/>
        </w:rPr>
        <w:t xml:space="preserve"> </w:t>
      </w:r>
      <w:r w:rsidRPr="009747B9">
        <w:rPr>
          <w:i/>
          <w:lang w:val="en-IE"/>
        </w:rPr>
        <w:t xml:space="preserve">Ex </w:t>
      </w:r>
      <w:proofErr w:type="spellStart"/>
      <w:r w:rsidRPr="009747B9">
        <w:rPr>
          <w:i/>
          <w:lang w:val="en-IE"/>
        </w:rPr>
        <w:t>parte</w:t>
      </w:r>
      <w:proofErr w:type="spellEnd"/>
      <w:r w:rsidRPr="009747B9">
        <w:rPr>
          <w:i/>
          <w:lang w:val="en-IE"/>
        </w:rPr>
        <w:t xml:space="preserve"> Garland</w:t>
      </w:r>
      <w:r w:rsidRPr="009747B9">
        <w:rPr>
          <w:lang w:val="en-IE"/>
        </w:rPr>
        <w:t xml:space="preserve">, 4 Wall. 333; </w:t>
      </w:r>
      <w:r w:rsidRPr="007360B0">
        <w:rPr>
          <w:i/>
          <w:lang w:val="en-US"/>
        </w:rPr>
        <w:t>Keegan v. United States</w:t>
      </w:r>
      <w:r w:rsidRPr="00D47365">
        <w:rPr>
          <w:lang w:val="en-US"/>
        </w:rPr>
        <w:t>, 325 U.S. 478, 498</w:t>
      </w:r>
      <w:r w:rsidRPr="003B741A">
        <w:rPr>
          <w:lang w:val="en-US"/>
        </w:rPr>
        <w:t xml:space="preserve"> = 65 S. Ct. </w:t>
      </w:r>
      <w:r w:rsidRPr="00D47365">
        <w:rPr>
          <w:lang w:val="en-US"/>
        </w:rPr>
        <w:t>1203, 1211</w:t>
      </w:r>
      <w:r w:rsidRPr="003B741A">
        <w:rPr>
          <w:lang w:val="en-US"/>
        </w:rPr>
        <w:t xml:space="preserve"> = 89 L. Ed. </w:t>
      </w:r>
      <w:r w:rsidRPr="00D47365">
        <w:rPr>
          <w:lang w:val="en-US"/>
        </w:rPr>
        <w:t>1745, 1756</w:t>
      </w:r>
      <w:r w:rsidRPr="003B741A">
        <w:rPr>
          <w:lang w:val="en-US"/>
        </w:rPr>
        <w:t xml:space="preserve"> = 1945 U.S. LEXIS </w:t>
      </w:r>
      <w:r w:rsidRPr="00D47365">
        <w:rPr>
          <w:lang w:val="en-US"/>
        </w:rPr>
        <w:t>1941, 32 (1945)</w:t>
      </w:r>
      <w:r>
        <w:rPr>
          <w:lang w:val="en-US"/>
        </w:rPr>
        <w:t>.</w:t>
      </w:r>
    </w:p>
  </w:footnote>
  <w:footnote w:id="392">
    <w:p w14:paraId="6C2B0939" w14:textId="77777777" w:rsidR="00074551" w:rsidRPr="00D47365" w:rsidRDefault="00074551" w:rsidP="00074551">
      <w:pPr>
        <w:pStyle w:val="Funotentext"/>
        <w:jc w:val="both"/>
        <w:rPr>
          <w:lang w:val="en-US"/>
        </w:rPr>
      </w:pPr>
      <w:r>
        <w:rPr>
          <w:rStyle w:val="Funotenzeichen"/>
        </w:rPr>
        <w:footnoteRef/>
      </w:r>
      <w:r w:rsidRPr="00D47365">
        <w:rPr>
          <w:lang w:val="en-US"/>
        </w:rPr>
        <w:t xml:space="preserve"> </w:t>
      </w:r>
      <w:r w:rsidRPr="007360B0">
        <w:rPr>
          <w:i/>
          <w:lang w:val="en-US"/>
        </w:rPr>
        <w:t>Cummings v. Missouri</w:t>
      </w:r>
      <w:r w:rsidRPr="00D47365">
        <w:rPr>
          <w:lang w:val="en-US"/>
        </w:rPr>
        <w:t>, 4 Wall. 277, 321</w:t>
      </w:r>
      <w:r>
        <w:rPr>
          <w:lang w:val="en-US"/>
        </w:rPr>
        <w:t>–</w:t>
      </w:r>
      <w:r w:rsidRPr="00D47365">
        <w:rPr>
          <w:lang w:val="en-US"/>
        </w:rPr>
        <w:t xml:space="preserve">323. </w:t>
      </w:r>
      <w:proofErr w:type="spellStart"/>
      <w:r>
        <w:rPr>
          <w:lang w:val="en-US"/>
        </w:rPr>
        <w:t>Siehe</w:t>
      </w:r>
      <w:proofErr w:type="spellEnd"/>
      <w:r>
        <w:rPr>
          <w:lang w:val="en-US"/>
        </w:rPr>
        <w:t xml:space="preserve"> </w:t>
      </w:r>
      <w:proofErr w:type="spellStart"/>
      <w:r>
        <w:rPr>
          <w:lang w:val="en-US"/>
        </w:rPr>
        <w:t>auch</w:t>
      </w:r>
      <w:proofErr w:type="spellEnd"/>
      <w:r w:rsidRPr="00D47365">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Garland</w:t>
      </w:r>
      <w:r w:rsidRPr="00D47365">
        <w:rPr>
          <w:lang w:val="en-US"/>
        </w:rPr>
        <w:t>, 4 Wall. 333</w:t>
      </w:r>
      <w:r>
        <w:rPr>
          <w:lang w:val="en-US"/>
        </w:rPr>
        <w:t xml:space="preserve">; </w:t>
      </w:r>
      <w:r w:rsidRPr="007360B0">
        <w:rPr>
          <w:i/>
          <w:lang w:val="en-US"/>
        </w:rPr>
        <w:t>Keegan v. United States</w:t>
      </w:r>
      <w:r w:rsidRPr="00D47365">
        <w:rPr>
          <w:lang w:val="en-US"/>
        </w:rPr>
        <w:t>, 325 U.S. 478, 498</w:t>
      </w:r>
      <w:r w:rsidRPr="003B741A">
        <w:rPr>
          <w:lang w:val="en-US"/>
        </w:rPr>
        <w:t xml:space="preserve"> = 65 S. Ct. </w:t>
      </w:r>
      <w:r w:rsidRPr="00D47365">
        <w:rPr>
          <w:lang w:val="en-US"/>
        </w:rPr>
        <w:t>1203, 1211</w:t>
      </w:r>
      <w:r w:rsidRPr="003B741A">
        <w:rPr>
          <w:lang w:val="en-US"/>
        </w:rPr>
        <w:t xml:space="preserve"> = 89 L. Ed. </w:t>
      </w:r>
      <w:r w:rsidRPr="00D47365">
        <w:rPr>
          <w:lang w:val="en-US"/>
        </w:rPr>
        <w:t>1745, 1756</w:t>
      </w:r>
      <w:r w:rsidRPr="003B741A">
        <w:rPr>
          <w:lang w:val="en-US"/>
        </w:rPr>
        <w:t xml:space="preserve"> = 1945 U.S. LEXIS </w:t>
      </w:r>
      <w:r w:rsidRPr="00D47365">
        <w:rPr>
          <w:lang w:val="en-US"/>
        </w:rPr>
        <w:t>1941, 32 (1945)</w:t>
      </w:r>
      <w:r>
        <w:rPr>
          <w:lang w:val="en-US"/>
        </w:rPr>
        <w:t>.</w:t>
      </w:r>
    </w:p>
  </w:footnote>
  <w:footnote w:id="393">
    <w:p w14:paraId="4A0DC173" w14:textId="77777777" w:rsidR="00074551" w:rsidRPr="005132AF" w:rsidRDefault="00074551" w:rsidP="00074551">
      <w:pPr>
        <w:pStyle w:val="Funotentext"/>
        <w:jc w:val="both"/>
        <w:rPr>
          <w:lang w:val="en-US"/>
        </w:rPr>
      </w:pPr>
      <w:r>
        <w:rPr>
          <w:rStyle w:val="Funotenzeichen"/>
        </w:rPr>
        <w:footnoteRef/>
      </w:r>
      <w:r w:rsidRPr="005132AF">
        <w:rPr>
          <w:lang w:val="en-US"/>
        </w:rPr>
        <w:t xml:space="preserve"> </w:t>
      </w:r>
      <w:r w:rsidRPr="007360B0">
        <w:rPr>
          <w:i/>
          <w:lang w:val="en-US"/>
        </w:rPr>
        <w:t>Keegan v. United States</w:t>
      </w:r>
      <w:r w:rsidRPr="005132AF">
        <w:rPr>
          <w:lang w:val="en-US"/>
        </w:rPr>
        <w:t>, 325 U.S. 478, 498</w:t>
      </w:r>
      <w:r w:rsidRPr="003B741A">
        <w:rPr>
          <w:lang w:val="en-US"/>
        </w:rPr>
        <w:t xml:space="preserve"> = 65 S. Ct. </w:t>
      </w:r>
      <w:r w:rsidRPr="005132AF">
        <w:rPr>
          <w:lang w:val="en-US"/>
        </w:rPr>
        <w:t>1203, 1211</w:t>
      </w:r>
      <w:r w:rsidRPr="003B741A">
        <w:rPr>
          <w:lang w:val="en-US"/>
        </w:rPr>
        <w:t xml:space="preserve"> = 89 L. Ed. </w:t>
      </w:r>
      <w:r w:rsidRPr="005132AF">
        <w:rPr>
          <w:lang w:val="en-US"/>
        </w:rPr>
        <w:t>1745, 1756</w:t>
      </w:r>
      <w:r w:rsidRPr="003B741A">
        <w:rPr>
          <w:lang w:val="en-US"/>
        </w:rPr>
        <w:t xml:space="preserve"> = 1945 U.S. LEXIS </w:t>
      </w:r>
      <w:r w:rsidRPr="005132AF">
        <w:rPr>
          <w:lang w:val="en-US"/>
        </w:rPr>
        <w:t>1941, 33 (1945)</w:t>
      </w:r>
      <w:r>
        <w:rPr>
          <w:lang w:val="en-US"/>
        </w:rPr>
        <w:t>.</w:t>
      </w:r>
    </w:p>
  </w:footnote>
  <w:footnote w:id="394">
    <w:p w14:paraId="0CC32848" w14:textId="77777777" w:rsidR="00074551" w:rsidRPr="008924B3" w:rsidRDefault="00074551" w:rsidP="00074551">
      <w:pPr>
        <w:pStyle w:val="Funotentext"/>
        <w:rPr>
          <w:lang w:val="en-US"/>
        </w:rPr>
      </w:pPr>
      <w:r>
        <w:rPr>
          <w:rStyle w:val="Funotenzeichen"/>
        </w:rPr>
        <w:footnoteRef/>
      </w:r>
      <w:r w:rsidRPr="008924B3">
        <w:rPr>
          <w:lang w:val="en-US"/>
        </w:rPr>
        <w:t xml:space="preserve"> „[C]</w:t>
      </w:r>
      <w:proofErr w:type="spellStart"/>
      <w:r w:rsidRPr="008924B3">
        <w:rPr>
          <w:lang w:val="en-US"/>
        </w:rPr>
        <w:t>itywide</w:t>
      </w:r>
      <w:proofErr w:type="spellEnd"/>
      <w:r w:rsidRPr="008924B3">
        <w:rPr>
          <w:lang w:val="en-US"/>
        </w:rPr>
        <w:t xml:space="preserve"> policy of forcing women to take maternity leave after the fifth month of pregnancy unless a city physician and the head of an employee</w:t>
      </w:r>
      <w:r>
        <w:rPr>
          <w:lang w:val="en-US"/>
        </w:rPr>
        <w:t>’</w:t>
      </w:r>
      <w:r w:rsidRPr="008924B3">
        <w:rPr>
          <w:lang w:val="en-US"/>
        </w:rPr>
        <w:t xml:space="preserve">s agency allowed up to an additional two months of </w:t>
      </w:r>
      <w:proofErr w:type="gramStart"/>
      <w:r w:rsidRPr="008924B3">
        <w:rPr>
          <w:lang w:val="en-US"/>
        </w:rPr>
        <w:t>work.“</w:t>
      </w:r>
      <w:proofErr w:type="gramEnd"/>
      <w:r>
        <w:rPr>
          <w:lang w:val="en-US"/>
        </w:rPr>
        <w:t>,</w:t>
      </w:r>
      <w:r w:rsidRPr="008924B3">
        <w:rPr>
          <w:lang w:val="en-US"/>
        </w:rPr>
        <w:t xml:space="preserve"> </w:t>
      </w:r>
      <w:r w:rsidRPr="00B45592">
        <w:rPr>
          <w:i/>
          <w:lang w:val="en-US"/>
        </w:rPr>
        <w:t xml:space="preserve">Monell v. </w:t>
      </w:r>
      <w:proofErr w:type="spellStart"/>
      <w:r w:rsidRPr="00B45592">
        <w:rPr>
          <w:i/>
          <w:lang w:val="en-US"/>
        </w:rPr>
        <w:t>Dep’t</w:t>
      </w:r>
      <w:proofErr w:type="spellEnd"/>
      <w:r w:rsidRPr="00B45592">
        <w:rPr>
          <w:i/>
          <w:lang w:val="en-US"/>
        </w:rPr>
        <w:t xml:space="preserve"> of Soc. Servs</w:t>
      </w:r>
      <w:r w:rsidRPr="008924B3">
        <w:rPr>
          <w:lang w:val="en-US"/>
        </w:rPr>
        <w:t>., 436 U.S. 658, 661</w:t>
      </w:r>
      <w:r w:rsidRPr="003B741A">
        <w:rPr>
          <w:lang w:val="en-US"/>
        </w:rPr>
        <w:t xml:space="preserve"> = 98 S. Ct. </w:t>
      </w:r>
      <w:r w:rsidRPr="008924B3">
        <w:rPr>
          <w:lang w:val="en-US"/>
        </w:rPr>
        <w:t>2018, 2020</w:t>
      </w:r>
      <w:r>
        <w:rPr>
          <w:lang w:val="en-US"/>
        </w:rPr>
        <w:t xml:space="preserve"> = 56 L. Ed. </w:t>
      </w:r>
      <w:r w:rsidRPr="008924B3">
        <w:rPr>
          <w:lang w:val="en-US"/>
        </w:rPr>
        <w:t>2d 611, 617</w:t>
      </w:r>
      <w:r w:rsidRPr="003B741A">
        <w:rPr>
          <w:lang w:val="en-US"/>
        </w:rPr>
        <w:t xml:space="preserve"> = 1978 U.S. LEXIS </w:t>
      </w:r>
      <w:r w:rsidRPr="008924B3">
        <w:rPr>
          <w:lang w:val="en-US"/>
        </w:rPr>
        <w:t>100, 8</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8924B3">
        <w:rPr>
          <w:lang w:val="en-US"/>
        </w:rPr>
        <w:t>Cas. (BNA) 873</w:t>
      </w:r>
      <w:r w:rsidRPr="003B741A">
        <w:rPr>
          <w:lang w:val="en-US"/>
        </w:rPr>
        <w:t xml:space="preserve"> = 16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Dec</w:t>
      </w:r>
      <w:r w:rsidRPr="008924B3">
        <w:rPr>
          <w:lang w:val="en-US"/>
        </w:rPr>
        <w:t>. (CCH) P8345 (1978).</w:t>
      </w:r>
    </w:p>
  </w:footnote>
  <w:footnote w:id="395">
    <w:p w14:paraId="35ECFAEB" w14:textId="77777777" w:rsidR="00074551" w:rsidRPr="00A8335D" w:rsidRDefault="00074551" w:rsidP="00074551">
      <w:pPr>
        <w:pStyle w:val="Funotentext"/>
        <w:rPr>
          <w:lang w:val="en-US"/>
        </w:rPr>
      </w:pPr>
      <w:r>
        <w:rPr>
          <w:rStyle w:val="Funotenzeichen"/>
        </w:rPr>
        <w:footnoteRef/>
      </w:r>
      <w:r w:rsidRPr="00A8335D">
        <w:rPr>
          <w:lang w:val="en-US"/>
        </w:rPr>
        <w:t xml:space="preserve"> Civil Rights Act of 1871, 17 Stat. 13</w:t>
      </w:r>
      <w:r>
        <w:rPr>
          <w:lang w:val="en-US"/>
        </w:rPr>
        <w:t xml:space="preserve"> in </w:t>
      </w:r>
      <w:r w:rsidRPr="00B45592">
        <w:rPr>
          <w:i/>
          <w:lang w:val="en-US"/>
        </w:rPr>
        <w:t xml:space="preserve">Monell v. </w:t>
      </w:r>
      <w:proofErr w:type="spellStart"/>
      <w:r w:rsidRPr="00B45592">
        <w:rPr>
          <w:i/>
          <w:lang w:val="en-US"/>
        </w:rPr>
        <w:t>Dep’t</w:t>
      </w:r>
      <w:proofErr w:type="spellEnd"/>
      <w:r w:rsidRPr="00B45592">
        <w:rPr>
          <w:i/>
          <w:lang w:val="en-US"/>
        </w:rPr>
        <w:t xml:space="preserve"> of Soc. Servs</w:t>
      </w:r>
      <w:r w:rsidRPr="00A8335D">
        <w:rPr>
          <w:lang w:val="en-US"/>
        </w:rPr>
        <w:t>., 436 U.S. 658, 660</w:t>
      </w:r>
      <w:r w:rsidRPr="003B741A">
        <w:rPr>
          <w:lang w:val="en-US"/>
        </w:rPr>
        <w:t xml:space="preserve"> = 98 S. Ct. </w:t>
      </w:r>
      <w:r w:rsidRPr="00A8335D">
        <w:rPr>
          <w:lang w:val="en-US"/>
        </w:rPr>
        <w:t>2018, 2020</w:t>
      </w:r>
      <w:r>
        <w:rPr>
          <w:lang w:val="en-US"/>
        </w:rPr>
        <w:t xml:space="preserve"> = 56 L. Ed. </w:t>
      </w:r>
      <w:r w:rsidRPr="00A8335D">
        <w:rPr>
          <w:lang w:val="en-US"/>
        </w:rPr>
        <w:t>2d 611, 616</w:t>
      </w:r>
      <w:r w:rsidRPr="003B741A">
        <w:rPr>
          <w:lang w:val="en-US"/>
        </w:rPr>
        <w:t xml:space="preserve"> = 1978 U.S. LEXIS </w:t>
      </w:r>
      <w:r w:rsidRPr="00A8335D">
        <w:rPr>
          <w:lang w:val="en-US"/>
        </w:rPr>
        <w:t>100, 1</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A8335D">
        <w:rPr>
          <w:lang w:val="en-US"/>
        </w:rPr>
        <w:t>Cas. (BNA) 873</w:t>
      </w:r>
      <w:r w:rsidRPr="003B741A">
        <w:rPr>
          <w:lang w:val="en-US"/>
        </w:rPr>
        <w:t xml:space="preserve"> = 16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Dec</w:t>
      </w:r>
      <w:r w:rsidRPr="00A8335D">
        <w:rPr>
          <w:lang w:val="en-US"/>
        </w:rPr>
        <w:t>. (CCH) P8345 (1978)</w:t>
      </w:r>
      <w:r>
        <w:rPr>
          <w:lang w:val="en-US"/>
        </w:rPr>
        <w:t>.</w:t>
      </w:r>
    </w:p>
  </w:footnote>
  <w:footnote w:id="396">
    <w:p w14:paraId="5F62DC04" w14:textId="77777777" w:rsidR="00074551" w:rsidRPr="008924B3" w:rsidRDefault="00074551" w:rsidP="00074551">
      <w:pPr>
        <w:pStyle w:val="Funotentext"/>
        <w:rPr>
          <w:lang w:val="en-US"/>
        </w:rPr>
      </w:pPr>
      <w:r>
        <w:rPr>
          <w:rStyle w:val="Funotenzeichen"/>
        </w:rPr>
        <w:footnoteRef/>
      </w:r>
      <w:r w:rsidRPr="008924B3">
        <w:rPr>
          <w:lang w:val="en-US"/>
        </w:rPr>
        <w:t xml:space="preserve"> </w:t>
      </w:r>
      <w:r>
        <w:rPr>
          <w:lang w:val="en-US"/>
        </w:rPr>
        <w:t>§ </w:t>
      </w:r>
      <w:r w:rsidRPr="008924B3">
        <w:rPr>
          <w:lang w:val="en-US"/>
        </w:rPr>
        <w:t>1983. Civil action for deprivation of rights</w:t>
      </w:r>
      <w:r>
        <w:rPr>
          <w:lang w:val="en-US"/>
        </w:rPr>
        <w:t>. “</w:t>
      </w:r>
      <w:r w:rsidRPr="008924B3">
        <w:rPr>
          <w:lang w:val="en-US"/>
        </w:rPr>
        <w:t>Every person who, under color of any statute, ordinance, regulation, custom, or usage, of any State or Territory or the District of Columbia, subjects, or causes to be subjected, any citizen of the United States or other person within the jurisdiction thereof to the deprivation of any rights, privileges, or immunities secured by the Constitution and laws, shall be liable to the party injured in an action at law, suit in equity, or other proper proceeding for redress, except that in any action brought against a judicial officer for an act or omission taken in such officer</w:t>
      </w:r>
      <w:r>
        <w:rPr>
          <w:lang w:val="en-US"/>
        </w:rPr>
        <w:t>’</w:t>
      </w:r>
      <w:r w:rsidRPr="008924B3">
        <w:rPr>
          <w:lang w:val="en-US"/>
        </w:rPr>
        <w:t xml:space="preserve">s judicial capacity, injunctive relief shall not be granted unless a declaratory decree was violated or declaratory relief was unavailable. For the purposes of this section, any Act of Congress applicable exclusively to the District of Columbia shall </w:t>
      </w:r>
      <w:proofErr w:type="gramStart"/>
      <w:r w:rsidRPr="008924B3">
        <w:rPr>
          <w:lang w:val="en-US"/>
        </w:rPr>
        <w:t>be considered to be</w:t>
      </w:r>
      <w:proofErr w:type="gramEnd"/>
      <w:r w:rsidRPr="008924B3">
        <w:rPr>
          <w:lang w:val="en-US"/>
        </w:rPr>
        <w:t xml:space="preserve"> a statute of the District of Columbia.</w:t>
      </w:r>
      <w:r>
        <w:rPr>
          <w:lang w:val="en-US"/>
        </w:rPr>
        <w:t xml:space="preserve">” </w:t>
      </w:r>
      <w:r w:rsidRPr="008924B3">
        <w:rPr>
          <w:lang w:val="en-US"/>
        </w:rPr>
        <w:t xml:space="preserve">42 USCS </w:t>
      </w:r>
      <w:r>
        <w:rPr>
          <w:lang w:val="en-US"/>
        </w:rPr>
        <w:t>§ </w:t>
      </w:r>
      <w:r w:rsidRPr="008924B3">
        <w:rPr>
          <w:lang w:val="en-US"/>
        </w:rPr>
        <w:t>1983</w:t>
      </w:r>
    </w:p>
  </w:footnote>
  <w:footnote w:id="397">
    <w:p w14:paraId="6E9F6CB4" w14:textId="77777777" w:rsidR="00074551" w:rsidRPr="00B45592" w:rsidRDefault="00074551" w:rsidP="00074551">
      <w:pPr>
        <w:pStyle w:val="Funotentext"/>
      </w:pPr>
      <w:r>
        <w:rPr>
          <w:rStyle w:val="Funotenzeichen"/>
        </w:rPr>
        <w:footnoteRef/>
      </w:r>
      <w:r w:rsidRPr="008924B3">
        <w:rPr>
          <w:lang w:val="en-US"/>
        </w:rPr>
        <w:t xml:space="preserve"> </w:t>
      </w:r>
      <w:r w:rsidRPr="00B45592">
        <w:rPr>
          <w:i/>
          <w:lang w:val="en-US"/>
        </w:rPr>
        <w:t>Monroe v. Pape</w:t>
      </w:r>
      <w:r w:rsidRPr="008924B3">
        <w:rPr>
          <w:lang w:val="en-US"/>
        </w:rPr>
        <w:t>, 365 U.S. 167</w:t>
      </w:r>
      <w:r>
        <w:rPr>
          <w:lang w:val="en-US"/>
        </w:rPr>
        <w:t xml:space="preserve">; </w:t>
      </w:r>
      <w:r w:rsidRPr="00B45592">
        <w:rPr>
          <w:i/>
          <w:lang w:val="en-US"/>
        </w:rPr>
        <w:t xml:space="preserve">Monell v. </w:t>
      </w:r>
      <w:proofErr w:type="spellStart"/>
      <w:r w:rsidRPr="00B45592">
        <w:rPr>
          <w:i/>
          <w:lang w:val="en-US"/>
        </w:rPr>
        <w:t>Dep’t</w:t>
      </w:r>
      <w:proofErr w:type="spellEnd"/>
      <w:r w:rsidRPr="00B45592">
        <w:rPr>
          <w:i/>
          <w:lang w:val="en-US"/>
        </w:rPr>
        <w:t xml:space="preserve"> of Soc. Servs.</w:t>
      </w:r>
      <w:r w:rsidRPr="008924B3">
        <w:rPr>
          <w:lang w:val="en-US"/>
        </w:rPr>
        <w:t>, 436 U.S. 658, 660</w:t>
      </w:r>
      <w:r w:rsidRPr="003B741A">
        <w:rPr>
          <w:lang w:val="en-US"/>
        </w:rPr>
        <w:t xml:space="preserve"> = 98 S. Ct. </w:t>
      </w:r>
      <w:r w:rsidRPr="008924B3">
        <w:rPr>
          <w:lang w:val="en-US"/>
        </w:rPr>
        <w:t>2018, 2020</w:t>
      </w:r>
      <w:r>
        <w:rPr>
          <w:lang w:val="en-US"/>
        </w:rPr>
        <w:t xml:space="preserve"> = 56 L. Ed. </w:t>
      </w:r>
      <w:r w:rsidRPr="008924B3">
        <w:rPr>
          <w:lang w:val="en-US"/>
        </w:rPr>
        <w:t>2d 611, 616</w:t>
      </w:r>
      <w:r w:rsidRPr="003B741A">
        <w:rPr>
          <w:lang w:val="en-US"/>
        </w:rPr>
        <w:t xml:space="preserve"> = 1978 U.S. LEXIS </w:t>
      </w:r>
      <w:r w:rsidRPr="008924B3">
        <w:rPr>
          <w:lang w:val="en-US"/>
        </w:rPr>
        <w:t>100, 1</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B45592">
        <w:t>Prac</w:t>
      </w:r>
      <w:proofErr w:type="spellEnd"/>
      <w:r w:rsidRPr="00B45592">
        <w:t>. Cas. (BNA) 873</w:t>
      </w:r>
      <w:r w:rsidRPr="003B741A">
        <w:t xml:space="preserve"> = 16 Empl. </w:t>
      </w:r>
      <w:proofErr w:type="spellStart"/>
      <w:r w:rsidRPr="003B741A">
        <w:t>Prac</w:t>
      </w:r>
      <w:proofErr w:type="spellEnd"/>
      <w:r w:rsidRPr="003B741A">
        <w:t xml:space="preserve">. </w:t>
      </w:r>
      <w:proofErr w:type="spellStart"/>
      <w:r w:rsidRPr="003B741A">
        <w:t>Dec</w:t>
      </w:r>
      <w:proofErr w:type="spellEnd"/>
      <w:r w:rsidRPr="00B45592">
        <w:t>. (CCH) P8345 (1978).</w:t>
      </w:r>
    </w:p>
  </w:footnote>
  <w:footnote w:id="398">
    <w:p w14:paraId="751A1AC4" w14:textId="77777777" w:rsidR="00074551" w:rsidRPr="008924B3" w:rsidRDefault="00074551" w:rsidP="00074551">
      <w:pPr>
        <w:pStyle w:val="Funotentext"/>
      </w:pPr>
      <w:r>
        <w:rPr>
          <w:rStyle w:val="Funotenzeichen"/>
        </w:rPr>
        <w:footnoteRef/>
      </w:r>
      <w:r w:rsidRPr="008924B3">
        <w:t xml:space="preserve"> </w:t>
      </w:r>
      <w:proofErr w:type="spellStart"/>
      <w:r w:rsidRPr="00B45592">
        <w:rPr>
          <w:i/>
        </w:rPr>
        <w:t>Respondeat</w:t>
      </w:r>
      <w:proofErr w:type="spellEnd"/>
      <w:r w:rsidRPr="00B45592">
        <w:rPr>
          <w:i/>
        </w:rPr>
        <w:t xml:space="preserve"> superior</w:t>
      </w:r>
      <w:r w:rsidRPr="008924B3">
        <w:t xml:space="preserve"> ist ein Rechtsprinzip, das einen Arbeitgeber oder Auftraggeber für die rechtswidrigen Handlungen eines Arbeitnehmers oder Beauftragten verantwortlich macht, wenn diese Handlungen im Rahmen der Anstellung oder des Auftrags erfolgen, vgl. </w:t>
      </w:r>
      <w:r w:rsidRPr="00B45592">
        <w:t>https://www.law.cornell.edu/wex/respondeat_superior</w:t>
      </w:r>
      <w:r w:rsidRPr="008924B3">
        <w:t xml:space="preserve"> </w:t>
      </w:r>
      <w:r>
        <w:t>(27.04.2026).</w:t>
      </w:r>
    </w:p>
  </w:footnote>
  <w:footnote w:id="399">
    <w:p w14:paraId="0581C845" w14:textId="77777777" w:rsidR="00074551" w:rsidRDefault="00074551" w:rsidP="00074551">
      <w:pPr>
        <w:pStyle w:val="Funotentext"/>
        <w:ind w:left="227" w:hanging="227"/>
        <w:rPr>
          <w:lang w:val="en-US"/>
        </w:rPr>
      </w:pPr>
      <w:r>
        <w:rPr>
          <w:rStyle w:val="Funotenzeichen"/>
          <w:rFonts w:eastAsiaTheme="majorEastAsia"/>
        </w:rPr>
        <w:footnoteRef/>
      </w:r>
      <w:r w:rsidRPr="00A65D12">
        <w:t xml:space="preserve"> Siehe zur Debatte: </w:t>
      </w:r>
      <w:r w:rsidRPr="00B45592">
        <w:rPr>
          <w:i/>
        </w:rPr>
        <w:t xml:space="preserve">Monell v. </w:t>
      </w:r>
      <w:proofErr w:type="spellStart"/>
      <w:r w:rsidRPr="00B45592">
        <w:rPr>
          <w:i/>
        </w:rPr>
        <w:t>Dep’t</w:t>
      </w:r>
      <w:proofErr w:type="spellEnd"/>
      <w:r w:rsidRPr="00B45592">
        <w:rPr>
          <w:i/>
        </w:rPr>
        <w:t xml:space="preserve"> of Soc. </w:t>
      </w:r>
      <w:r w:rsidRPr="00B45592">
        <w:rPr>
          <w:i/>
          <w:lang w:val="en-US"/>
        </w:rPr>
        <w:t>Servs.</w:t>
      </w:r>
      <w:r w:rsidRPr="00A65D12">
        <w:rPr>
          <w:lang w:val="en-US"/>
        </w:rPr>
        <w:t>, 436 U.S. 658, 669</w:t>
      </w:r>
      <w:r w:rsidRPr="003B741A">
        <w:rPr>
          <w:lang w:val="en-US"/>
        </w:rPr>
        <w:t xml:space="preserve"> = 98 S. Ct. </w:t>
      </w:r>
      <w:r w:rsidRPr="00A65D12">
        <w:rPr>
          <w:lang w:val="en-US"/>
        </w:rPr>
        <w:t>2018, 2025</w:t>
      </w:r>
      <w:r>
        <w:rPr>
          <w:lang w:val="en-US"/>
        </w:rPr>
        <w:t xml:space="preserve"> = 56 L. Ed. </w:t>
      </w:r>
      <w:r w:rsidRPr="00A65D12">
        <w:rPr>
          <w:lang w:val="en-US"/>
        </w:rPr>
        <w:t>2d 611, 622</w:t>
      </w:r>
      <w:r w:rsidRPr="003B741A">
        <w:rPr>
          <w:lang w:val="en-US"/>
        </w:rPr>
        <w:t xml:space="preserve"> = 1978 U.S. LEXIS </w:t>
      </w:r>
      <w:r w:rsidRPr="00A65D12">
        <w:rPr>
          <w:lang w:val="en-US"/>
        </w:rPr>
        <w:t>100, 23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A65D12">
        <w:rPr>
          <w:lang w:val="en-US"/>
        </w:rPr>
        <w:t xml:space="preserve">Cas. (BNA) 873, 16 </w:t>
      </w:r>
    </w:p>
    <w:p w14:paraId="5EECA44E" w14:textId="77777777" w:rsidR="00074551" w:rsidRPr="00A65D12" w:rsidRDefault="00074551" w:rsidP="00074551">
      <w:pPr>
        <w:pStyle w:val="Funotentext"/>
        <w:ind w:left="227" w:hanging="227"/>
        <w:rPr>
          <w:lang w:val="en-US"/>
        </w:rPr>
      </w:pPr>
      <w:proofErr w:type="spellStart"/>
      <w:r w:rsidRPr="00A65D12">
        <w:rPr>
          <w:lang w:val="en-US"/>
        </w:rPr>
        <w:t>Empl</w:t>
      </w:r>
      <w:proofErr w:type="spellEnd"/>
      <w:r w:rsidRPr="00A65D12">
        <w:rPr>
          <w:lang w:val="en-US"/>
        </w:rPr>
        <w:t>.</w:t>
      </w:r>
      <w:r>
        <w:rPr>
          <w:lang w:val="en-US"/>
        </w:rPr>
        <w:t xml:space="preserve"> </w:t>
      </w:r>
      <w:proofErr w:type="spellStart"/>
      <w:r w:rsidRPr="00A65D12">
        <w:rPr>
          <w:lang w:val="en-US"/>
        </w:rPr>
        <w:t>Prac</w:t>
      </w:r>
      <w:proofErr w:type="spellEnd"/>
      <w:r w:rsidRPr="00A65D12">
        <w:rPr>
          <w:lang w:val="en-US"/>
        </w:rPr>
        <w:t>. Dec. (CCH) P8345 (1978)</w:t>
      </w:r>
      <w:r>
        <w:rPr>
          <w:lang w:val="en-US"/>
        </w:rPr>
        <w:t>.</w:t>
      </w:r>
    </w:p>
  </w:footnote>
  <w:footnote w:id="400">
    <w:p w14:paraId="376828BE" w14:textId="77777777" w:rsidR="00074551" w:rsidRPr="00E22748" w:rsidRDefault="00074551" w:rsidP="00074551">
      <w:pPr>
        <w:pStyle w:val="Funotentext"/>
        <w:rPr>
          <w:lang w:val="en-US"/>
        </w:rPr>
      </w:pPr>
      <w:r>
        <w:rPr>
          <w:rStyle w:val="Funotenzeichen"/>
        </w:rPr>
        <w:footnoteRef/>
      </w:r>
      <w:r w:rsidRPr="00E22748">
        <w:rPr>
          <w:lang w:val="en-US"/>
        </w:rPr>
        <w:t xml:space="preserve"> </w:t>
      </w:r>
      <w:r w:rsidRPr="00B45592">
        <w:rPr>
          <w:i/>
          <w:lang w:val="en-US"/>
        </w:rPr>
        <w:t xml:space="preserve">Monell v. </w:t>
      </w:r>
      <w:proofErr w:type="spellStart"/>
      <w:r w:rsidRPr="00B45592">
        <w:rPr>
          <w:i/>
          <w:lang w:val="en-US"/>
        </w:rPr>
        <w:t>Dep’t</w:t>
      </w:r>
      <w:proofErr w:type="spellEnd"/>
      <w:r w:rsidRPr="00B45592">
        <w:rPr>
          <w:i/>
          <w:lang w:val="en-US"/>
        </w:rPr>
        <w:t xml:space="preserve"> of Soc. Servs.</w:t>
      </w:r>
      <w:r w:rsidRPr="00E22748">
        <w:rPr>
          <w:lang w:val="en-US"/>
        </w:rPr>
        <w:t>, 436 U.S. 658, 669</w:t>
      </w:r>
      <w:r w:rsidRPr="003B741A">
        <w:rPr>
          <w:lang w:val="en-US"/>
        </w:rPr>
        <w:t xml:space="preserve"> = 98 S. Ct. </w:t>
      </w:r>
      <w:r w:rsidRPr="00E22748">
        <w:rPr>
          <w:lang w:val="en-US"/>
        </w:rPr>
        <w:t>2018, 2025</w:t>
      </w:r>
      <w:r>
        <w:rPr>
          <w:lang w:val="en-US"/>
        </w:rPr>
        <w:t xml:space="preserve"> = 56 L. Ed. </w:t>
      </w:r>
      <w:r w:rsidRPr="00E22748">
        <w:rPr>
          <w:lang w:val="en-US"/>
        </w:rPr>
        <w:t>2d 611, 622</w:t>
      </w:r>
      <w:r w:rsidRPr="003B741A">
        <w:rPr>
          <w:lang w:val="en-US"/>
        </w:rPr>
        <w:t xml:space="preserve"> = 1978 U.S. LEXIS </w:t>
      </w:r>
      <w:r w:rsidRPr="00E22748">
        <w:rPr>
          <w:lang w:val="en-US"/>
        </w:rPr>
        <w:t>100, 23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E22748">
        <w:rPr>
          <w:lang w:val="en-US"/>
        </w:rPr>
        <w:t>Cas. (BNA) 873</w:t>
      </w:r>
      <w:r w:rsidRPr="003B741A">
        <w:rPr>
          <w:lang w:val="en-US"/>
        </w:rPr>
        <w:t xml:space="preserve"> = 16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Dec</w:t>
      </w:r>
      <w:r w:rsidRPr="00E22748">
        <w:rPr>
          <w:lang w:val="en-US"/>
        </w:rPr>
        <w:t>. (CCH) P8345 (1978)</w:t>
      </w:r>
      <w:r>
        <w:rPr>
          <w:lang w:val="en-US"/>
        </w:rPr>
        <w:t>.</w:t>
      </w:r>
    </w:p>
  </w:footnote>
  <w:footnote w:id="401">
    <w:p w14:paraId="31EFC3C9" w14:textId="77777777" w:rsidR="00074551" w:rsidRPr="0017065F" w:rsidRDefault="00074551" w:rsidP="00074551">
      <w:pPr>
        <w:pStyle w:val="Funotentext"/>
        <w:rPr>
          <w:lang w:val="en-US"/>
        </w:rPr>
      </w:pPr>
      <w:r>
        <w:rPr>
          <w:rStyle w:val="Funotenzeichen"/>
        </w:rPr>
        <w:footnoteRef/>
      </w:r>
      <w:r w:rsidRPr="0017065F">
        <w:rPr>
          <w:lang w:val="en-US"/>
        </w:rPr>
        <w:t xml:space="preserve"> </w:t>
      </w:r>
      <w:r w:rsidRPr="00B45592">
        <w:rPr>
          <w:i/>
          <w:lang w:val="en-US"/>
        </w:rPr>
        <w:t>Corfield v. Coryell</w:t>
      </w:r>
      <w:r w:rsidRPr="0017065F">
        <w:rPr>
          <w:lang w:val="en-US"/>
        </w:rPr>
        <w:t>, 4 Wash. C. C. 371 (CC ED Pa. 1825)</w:t>
      </w:r>
      <w:r>
        <w:rPr>
          <w:lang w:val="en-US"/>
        </w:rPr>
        <w:t xml:space="preserve">; </w:t>
      </w:r>
      <w:r w:rsidRPr="00B45592">
        <w:rPr>
          <w:i/>
          <w:lang w:val="en-US"/>
        </w:rPr>
        <w:t xml:space="preserve">Monell v. </w:t>
      </w:r>
      <w:proofErr w:type="spellStart"/>
      <w:r w:rsidRPr="00B45592">
        <w:rPr>
          <w:i/>
          <w:lang w:val="en-US"/>
        </w:rPr>
        <w:t>Dep’t</w:t>
      </w:r>
      <w:proofErr w:type="spellEnd"/>
      <w:r w:rsidRPr="00B45592">
        <w:rPr>
          <w:i/>
          <w:lang w:val="en-US"/>
        </w:rPr>
        <w:t xml:space="preserve"> of Soc. Servs.</w:t>
      </w:r>
      <w:r w:rsidRPr="0017065F">
        <w:rPr>
          <w:lang w:val="en-US"/>
        </w:rPr>
        <w:t>, 436 U.S. 658, 670</w:t>
      </w:r>
      <w:r w:rsidRPr="003B741A">
        <w:rPr>
          <w:lang w:val="en-US"/>
        </w:rPr>
        <w:t xml:space="preserve"> = 98 S. Ct. </w:t>
      </w:r>
      <w:r w:rsidRPr="0017065F">
        <w:rPr>
          <w:lang w:val="en-US"/>
        </w:rPr>
        <w:t>2018, 2025</w:t>
      </w:r>
      <w:r>
        <w:rPr>
          <w:lang w:val="en-US"/>
        </w:rPr>
        <w:t xml:space="preserve"> = 56 L. Ed. </w:t>
      </w:r>
      <w:r w:rsidRPr="0017065F">
        <w:rPr>
          <w:lang w:val="en-US"/>
        </w:rPr>
        <w:t>2d 611, 622-623</w:t>
      </w:r>
      <w:r w:rsidRPr="003B741A">
        <w:rPr>
          <w:lang w:val="en-US"/>
        </w:rPr>
        <w:t xml:space="preserve"> = 1978 U.S. LEXIS </w:t>
      </w:r>
      <w:r w:rsidRPr="0017065F">
        <w:rPr>
          <w:lang w:val="en-US"/>
        </w:rPr>
        <w:t>100, 24</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17065F">
        <w:rPr>
          <w:lang w:val="en-US"/>
        </w:rPr>
        <w:t>Cas. (BNA) 873</w:t>
      </w:r>
      <w:r w:rsidRPr="003B741A">
        <w:rPr>
          <w:lang w:val="en-US"/>
        </w:rPr>
        <w:t xml:space="preserve"> = 16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Dec</w:t>
      </w:r>
      <w:r w:rsidRPr="0017065F">
        <w:rPr>
          <w:lang w:val="en-US"/>
        </w:rPr>
        <w:t>. (CCH) P8345 (1978)</w:t>
      </w:r>
      <w:r>
        <w:rPr>
          <w:lang w:val="en-US"/>
        </w:rPr>
        <w:t>.</w:t>
      </w:r>
    </w:p>
  </w:footnote>
  <w:footnote w:id="402">
    <w:p w14:paraId="5636C9CA" w14:textId="77777777" w:rsidR="00074551" w:rsidRPr="00CA3E1E" w:rsidRDefault="00074551" w:rsidP="00074551">
      <w:pPr>
        <w:pStyle w:val="Funotentext"/>
        <w:rPr>
          <w:lang w:val="en-US"/>
        </w:rPr>
      </w:pPr>
      <w:r>
        <w:rPr>
          <w:rStyle w:val="Funotenzeichen"/>
          <w:rFonts w:eastAsiaTheme="majorEastAsia"/>
        </w:rPr>
        <w:footnoteRef/>
      </w:r>
      <w:r w:rsidRPr="0024355F">
        <w:rPr>
          <w:lang w:val="en-US"/>
        </w:rPr>
        <w:t xml:space="preserve"> </w:t>
      </w:r>
      <w:r w:rsidRPr="00546F93">
        <w:rPr>
          <w:i/>
          <w:lang w:val="en-US"/>
        </w:rPr>
        <w:t>Burnet v. Brooks</w:t>
      </w:r>
      <w:r w:rsidRPr="0024355F">
        <w:rPr>
          <w:lang w:val="en-US"/>
        </w:rPr>
        <w:t xml:space="preserve">, 288 U.S. 378, 403, 405; </w:t>
      </w:r>
      <w:r w:rsidRPr="00546F93">
        <w:rPr>
          <w:i/>
          <w:lang w:val="en-US"/>
        </w:rPr>
        <w:t>Brushaber v. Union Pacific R. Co.</w:t>
      </w:r>
      <w:r w:rsidRPr="0024355F">
        <w:rPr>
          <w:lang w:val="en-US"/>
        </w:rPr>
        <w:t>, 240 U.S. 1, 12</w:t>
      </w:r>
      <w:r>
        <w:rPr>
          <w:lang w:val="en-US"/>
        </w:rPr>
        <w:t xml:space="preserve">; </w:t>
      </w:r>
      <w:r w:rsidRPr="001F38CE">
        <w:rPr>
          <w:i/>
          <w:lang w:val="en-US"/>
        </w:rPr>
        <w:t>Steward Machine Co. v. Davis</w:t>
      </w:r>
      <w:r w:rsidRPr="00CA3E1E">
        <w:rPr>
          <w:lang w:val="en-US"/>
        </w:rPr>
        <w:t>, 301 U.S. 548, 581</w:t>
      </w:r>
      <w:r>
        <w:rPr>
          <w:lang w:val="en-US"/>
        </w:rPr>
        <w:t xml:space="preserve"> = 57 S. Ct. </w:t>
      </w:r>
      <w:r w:rsidRPr="00CA3E1E">
        <w:rPr>
          <w:lang w:val="en-US"/>
        </w:rPr>
        <w:t>883, 888</w:t>
      </w:r>
      <w:r>
        <w:rPr>
          <w:lang w:val="en-US"/>
        </w:rPr>
        <w:t xml:space="preserve"> = 81 L. Ed. </w:t>
      </w:r>
      <w:r w:rsidRPr="00CA3E1E">
        <w:rPr>
          <w:lang w:val="en-US"/>
        </w:rPr>
        <w:t>1279, 1288</w:t>
      </w:r>
      <w:r>
        <w:rPr>
          <w:lang w:val="en-US"/>
        </w:rPr>
        <w:t xml:space="preserve"> = 1937 U.S. LEXIS </w:t>
      </w:r>
      <w:r w:rsidRPr="00CA3E1E">
        <w:rPr>
          <w:lang w:val="en-US"/>
        </w:rPr>
        <w:t>1199, 56</w:t>
      </w:r>
      <w:r>
        <w:rPr>
          <w:lang w:val="en-US"/>
        </w:rPr>
        <w:t xml:space="preserve"> = 19 A.F.T.R</w:t>
      </w:r>
      <w:r w:rsidRPr="00CA3E1E">
        <w:rPr>
          <w:lang w:val="en-US"/>
        </w:rPr>
        <w:t>. (P-H) 510</w:t>
      </w:r>
      <w:r>
        <w:rPr>
          <w:lang w:val="en-US"/>
        </w:rPr>
        <w:t xml:space="preserve"> = 1937-1 C.B. 444 =</w:t>
      </w:r>
      <w:r w:rsidRPr="00CA3E1E">
        <w:rPr>
          <w:lang w:val="en-US"/>
        </w:rPr>
        <w:t xml:space="preserve"> 109 A.L.R. 1293</w:t>
      </w:r>
      <w:r>
        <w:rPr>
          <w:lang w:val="en-US"/>
        </w:rPr>
        <w:t xml:space="preserve"> = 1937 P.H.</w:t>
      </w:r>
      <w:r w:rsidRPr="00CA3E1E">
        <w:rPr>
          <w:lang w:val="en-US"/>
        </w:rPr>
        <w:t>P738 (1937)</w:t>
      </w:r>
      <w:r>
        <w:rPr>
          <w:lang w:val="en-US"/>
        </w:rPr>
        <w:t>.</w:t>
      </w:r>
    </w:p>
  </w:footnote>
  <w:footnote w:id="403">
    <w:p w14:paraId="0EE82713" w14:textId="77777777" w:rsidR="00074551" w:rsidRPr="00CA3E1E" w:rsidRDefault="00074551" w:rsidP="00074551">
      <w:pPr>
        <w:pStyle w:val="Funotentext"/>
        <w:rPr>
          <w:lang w:val="en-US"/>
        </w:rPr>
      </w:pPr>
      <w:r>
        <w:rPr>
          <w:rStyle w:val="Funotenzeichen"/>
          <w:rFonts w:eastAsiaTheme="majorEastAsia"/>
        </w:rPr>
        <w:footnoteRef/>
      </w:r>
      <w:r w:rsidRPr="0024355F">
        <w:rPr>
          <w:lang w:val="en-US"/>
        </w:rPr>
        <w:t xml:space="preserve"> </w:t>
      </w:r>
      <w:r w:rsidRPr="00546F93">
        <w:rPr>
          <w:i/>
          <w:lang w:val="en-US"/>
        </w:rPr>
        <w:t>Burnet v. Brooks</w:t>
      </w:r>
      <w:r w:rsidRPr="0024355F">
        <w:rPr>
          <w:lang w:val="en-US"/>
        </w:rPr>
        <w:t xml:space="preserve">, 288 U.S. 378, 403, 405; </w:t>
      </w:r>
      <w:r w:rsidRPr="00546F93">
        <w:rPr>
          <w:i/>
          <w:lang w:val="en-US"/>
        </w:rPr>
        <w:t>Brushaber v. Union Pacific R. Co.</w:t>
      </w:r>
      <w:r w:rsidRPr="0024355F">
        <w:rPr>
          <w:lang w:val="en-US"/>
        </w:rPr>
        <w:t>, 240 U.S. 1, 12</w:t>
      </w:r>
      <w:r>
        <w:rPr>
          <w:lang w:val="en-US"/>
        </w:rPr>
        <w:t xml:space="preserve">; </w:t>
      </w:r>
      <w:r w:rsidRPr="001F38CE">
        <w:rPr>
          <w:i/>
          <w:lang w:val="en-US"/>
        </w:rPr>
        <w:t>Steward Machine Co. v. Davis</w:t>
      </w:r>
      <w:r w:rsidRPr="00CA3E1E">
        <w:rPr>
          <w:lang w:val="en-US"/>
        </w:rPr>
        <w:t>, 301 U.S. 548, 581</w:t>
      </w:r>
      <w:r>
        <w:rPr>
          <w:lang w:val="en-US"/>
        </w:rPr>
        <w:t xml:space="preserve"> = 57 S. Ct. </w:t>
      </w:r>
      <w:r w:rsidRPr="00CA3E1E">
        <w:rPr>
          <w:lang w:val="en-US"/>
        </w:rPr>
        <w:t>883, 888</w:t>
      </w:r>
      <w:r>
        <w:rPr>
          <w:lang w:val="en-US"/>
        </w:rPr>
        <w:t xml:space="preserve"> = 81 L. Ed. </w:t>
      </w:r>
      <w:r w:rsidRPr="00CA3E1E">
        <w:rPr>
          <w:lang w:val="en-US"/>
        </w:rPr>
        <w:t>1279, 1288</w:t>
      </w:r>
      <w:r>
        <w:rPr>
          <w:lang w:val="en-US"/>
        </w:rPr>
        <w:t xml:space="preserve"> = 1937 U.S. LEXIS </w:t>
      </w:r>
      <w:r w:rsidRPr="00CA3E1E">
        <w:rPr>
          <w:lang w:val="en-US"/>
        </w:rPr>
        <w:t>1199, 56</w:t>
      </w:r>
      <w:r>
        <w:rPr>
          <w:lang w:val="en-US"/>
        </w:rPr>
        <w:t xml:space="preserve"> = 19 A.F.T.R</w:t>
      </w:r>
      <w:r w:rsidRPr="00CA3E1E">
        <w:rPr>
          <w:lang w:val="en-US"/>
        </w:rPr>
        <w:t>. (P-H) 510</w:t>
      </w:r>
      <w:r>
        <w:rPr>
          <w:lang w:val="en-US"/>
        </w:rPr>
        <w:t xml:space="preserve"> = 1937-1 C.B. 444 =</w:t>
      </w:r>
      <w:r w:rsidRPr="00CA3E1E">
        <w:rPr>
          <w:lang w:val="en-US"/>
        </w:rPr>
        <w:t xml:space="preserve"> 109 A.L.R. 1293</w:t>
      </w:r>
      <w:r>
        <w:rPr>
          <w:lang w:val="en-US"/>
        </w:rPr>
        <w:t xml:space="preserve"> = 1937 P.H.</w:t>
      </w:r>
      <w:r w:rsidRPr="00CA3E1E">
        <w:rPr>
          <w:lang w:val="en-US"/>
        </w:rPr>
        <w:t>P738 (1937)</w:t>
      </w:r>
      <w:r>
        <w:rPr>
          <w:lang w:val="en-US"/>
        </w:rPr>
        <w:t>.</w:t>
      </w:r>
    </w:p>
  </w:footnote>
  <w:footnote w:id="404">
    <w:p w14:paraId="7B2FAB76" w14:textId="77777777" w:rsidR="00074551" w:rsidRPr="00627033" w:rsidRDefault="00074551" w:rsidP="00074551">
      <w:pPr>
        <w:pStyle w:val="Funotentext"/>
        <w:rPr>
          <w:lang w:val="en-US"/>
        </w:rPr>
      </w:pPr>
      <w:r>
        <w:rPr>
          <w:rStyle w:val="Funotenzeichen"/>
          <w:rFonts w:eastAsiaTheme="majorEastAsia"/>
        </w:rPr>
        <w:footnoteRef/>
      </w:r>
      <w:r w:rsidRPr="00627033">
        <w:rPr>
          <w:lang w:val="en-US"/>
        </w:rPr>
        <w:t xml:space="preserve"> </w:t>
      </w:r>
      <w:r w:rsidRPr="001F38CE">
        <w:rPr>
          <w:i/>
          <w:lang w:val="en-US"/>
        </w:rPr>
        <w:t>Steward Machine Co. v. Davis</w:t>
      </w:r>
      <w:r w:rsidRPr="00627033">
        <w:rPr>
          <w:lang w:val="en-US"/>
        </w:rPr>
        <w:t>, 301 U.S. 548, 578</w:t>
      </w:r>
      <w:r>
        <w:rPr>
          <w:lang w:val="en-US"/>
        </w:rPr>
        <w:t xml:space="preserve"> = 57 S. Ct. </w:t>
      </w:r>
      <w:r w:rsidRPr="00627033">
        <w:rPr>
          <w:lang w:val="en-US"/>
        </w:rPr>
        <w:t>883, 887</w:t>
      </w:r>
      <w:r>
        <w:rPr>
          <w:lang w:val="en-US"/>
        </w:rPr>
        <w:t xml:space="preserve"> = 81 L. Ed. </w:t>
      </w:r>
      <w:r w:rsidRPr="00627033">
        <w:rPr>
          <w:lang w:val="en-US"/>
        </w:rPr>
        <w:t>1279, 1286</w:t>
      </w:r>
      <w:r>
        <w:rPr>
          <w:lang w:val="en-US"/>
        </w:rPr>
        <w:t xml:space="preserve"> = 1937 U.S. LEXIS </w:t>
      </w:r>
      <w:r w:rsidRPr="00627033">
        <w:rPr>
          <w:lang w:val="en-US"/>
        </w:rPr>
        <w:t>1199, 50</w:t>
      </w:r>
      <w:r>
        <w:rPr>
          <w:lang w:val="en-US"/>
        </w:rPr>
        <w:t xml:space="preserve"> = 19 A.F.T.R</w:t>
      </w:r>
      <w:r w:rsidRPr="00627033">
        <w:rPr>
          <w:lang w:val="en-US"/>
        </w:rPr>
        <w:t>. (P-H) 510</w:t>
      </w:r>
      <w:r>
        <w:rPr>
          <w:lang w:val="en-US"/>
        </w:rPr>
        <w:t xml:space="preserve"> = 1937-1 C.B. 444 =</w:t>
      </w:r>
      <w:r w:rsidRPr="00627033">
        <w:rPr>
          <w:lang w:val="en-US"/>
        </w:rPr>
        <w:t xml:space="preserve"> 109 A.L.R. 1293</w:t>
      </w:r>
      <w:r>
        <w:rPr>
          <w:lang w:val="en-US"/>
        </w:rPr>
        <w:t xml:space="preserve"> = 1937 P.H.</w:t>
      </w:r>
      <w:r w:rsidRPr="00627033">
        <w:rPr>
          <w:lang w:val="en-US"/>
        </w:rPr>
        <w:t>P738 (1937)</w:t>
      </w:r>
      <w:r>
        <w:rPr>
          <w:lang w:val="en-US"/>
        </w:rPr>
        <w:t>.</w:t>
      </w:r>
    </w:p>
  </w:footnote>
  <w:footnote w:id="405">
    <w:p w14:paraId="6ED1CA78" w14:textId="77777777" w:rsidR="00074551" w:rsidRPr="00FE7D01" w:rsidRDefault="00074551" w:rsidP="00074551">
      <w:pPr>
        <w:pStyle w:val="Funotentext"/>
        <w:rPr>
          <w:lang w:val="en-US"/>
        </w:rPr>
      </w:pPr>
      <w:r>
        <w:rPr>
          <w:rStyle w:val="Funotenzeichen"/>
        </w:rPr>
        <w:footnoteRef/>
      </w:r>
      <w:r w:rsidRPr="00FE7D01">
        <w:rPr>
          <w:lang w:val="en-US"/>
        </w:rPr>
        <w:t xml:space="preserve"> </w:t>
      </w:r>
      <w:r w:rsidRPr="00B45592">
        <w:rPr>
          <w:i/>
          <w:lang w:val="en-US"/>
        </w:rPr>
        <w:t>Kansas v. Colorado</w:t>
      </w:r>
      <w:r w:rsidRPr="00FE7D01">
        <w:rPr>
          <w:lang w:val="en-US"/>
        </w:rPr>
        <w:t>, 206 U.S. 46, 80</w:t>
      </w:r>
      <w:r w:rsidRPr="00EC5BEB">
        <w:rPr>
          <w:lang w:val="en-US"/>
        </w:rPr>
        <w:t xml:space="preserve"> = 27 S. Ct. </w:t>
      </w:r>
      <w:r w:rsidRPr="00FE7D01">
        <w:rPr>
          <w:lang w:val="en-US"/>
        </w:rPr>
        <w:t>655, 660</w:t>
      </w:r>
      <w:r w:rsidRPr="00EC5BEB">
        <w:rPr>
          <w:lang w:val="en-US"/>
        </w:rPr>
        <w:t xml:space="preserve"> = 1907 U.S. LEXIS </w:t>
      </w:r>
      <w:r w:rsidRPr="00FE7D01">
        <w:rPr>
          <w:lang w:val="en-US"/>
        </w:rPr>
        <w:t>1145, 42</w:t>
      </w:r>
      <w:r w:rsidRPr="00EC5BEB">
        <w:rPr>
          <w:lang w:val="en-US"/>
        </w:rPr>
        <w:t xml:space="preserve"> = 51 L. Ed. </w:t>
      </w:r>
      <w:r w:rsidRPr="00FE7D01">
        <w:rPr>
          <w:lang w:val="en-US"/>
        </w:rPr>
        <w:t>956 (1907)</w:t>
      </w:r>
      <w:r>
        <w:rPr>
          <w:lang w:val="en-US"/>
        </w:rPr>
        <w:t>.</w:t>
      </w:r>
    </w:p>
  </w:footnote>
  <w:footnote w:id="406">
    <w:p w14:paraId="0151607F" w14:textId="77777777" w:rsidR="00074551" w:rsidRPr="00EA600C" w:rsidRDefault="00074551" w:rsidP="00074551">
      <w:pPr>
        <w:pStyle w:val="Funotentext"/>
        <w:rPr>
          <w:lang w:val="en-US"/>
        </w:rPr>
      </w:pPr>
      <w:r>
        <w:rPr>
          <w:rStyle w:val="Funotenzeichen"/>
          <w:rFonts w:eastAsiaTheme="majorEastAsia"/>
        </w:rPr>
        <w:footnoteRef/>
      </w:r>
      <w:r w:rsidRPr="00EA600C">
        <w:rPr>
          <w:lang w:val="en-US"/>
        </w:rPr>
        <w:t xml:space="preserve"> </w:t>
      </w:r>
      <w:r w:rsidRPr="00546F93">
        <w:rPr>
          <w:i/>
          <w:lang w:val="en-US"/>
        </w:rPr>
        <w:t>McCulloch v. Maryland</w:t>
      </w:r>
      <w:r>
        <w:rPr>
          <w:lang w:val="en-US"/>
        </w:rPr>
        <w:t>,</w:t>
      </w:r>
      <w:r w:rsidRPr="003B741A">
        <w:rPr>
          <w:lang w:val="en-US"/>
        </w:rPr>
        <w:t xml:space="preserve"> 4 Wheat. </w:t>
      </w:r>
      <w:r w:rsidRPr="00EA600C">
        <w:rPr>
          <w:lang w:val="en-US"/>
        </w:rPr>
        <w:t>406</w:t>
      </w:r>
      <w:r>
        <w:rPr>
          <w:lang w:val="en-US"/>
        </w:rPr>
        <w:t xml:space="preserve">; </w:t>
      </w:r>
      <w:r w:rsidRPr="00B45592">
        <w:rPr>
          <w:i/>
          <w:lang w:val="en-US"/>
        </w:rPr>
        <w:t>Kansas v. Colorado</w:t>
      </w:r>
      <w:r w:rsidRPr="00EA600C">
        <w:rPr>
          <w:lang w:val="en-US"/>
        </w:rPr>
        <w:t>, 206 U.S. 46, 80</w:t>
      </w:r>
      <w:r w:rsidRPr="00EC5BEB">
        <w:rPr>
          <w:lang w:val="en-US"/>
        </w:rPr>
        <w:t xml:space="preserve"> = 27 S. Ct. </w:t>
      </w:r>
      <w:r w:rsidRPr="00EA600C">
        <w:rPr>
          <w:lang w:val="en-US"/>
        </w:rPr>
        <w:t>655, 660</w:t>
      </w:r>
      <w:r w:rsidRPr="00EC5BEB">
        <w:rPr>
          <w:lang w:val="en-US"/>
        </w:rPr>
        <w:t xml:space="preserve"> = 1907 U.S. LEXIS </w:t>
      </w:r>
      <w:r w:rsidRPr="00EA600C">
        <w:rPr>
          <w:lang w:val="en-US"/>
        </w:rPr>
        <w:t>1145, 42</w:t>
      </w:r>
      <w:r w:rsidRPr="00EC5BEB">
        <w:rPr>
          <w:lang w:val="en-US"/>
        </w:rPr>
        <w:t xml:space="preserve"> = 51 L. Ed. </w:t>
      </w:r>
      <w:r w:rsidRPr="00EA600C">
        <w:rPr>
          <w:lang w:val="en-US"/>
        </w:rPr>
        <w:t>956 (1907)</w:t>
      </w:r>
      <w:r>
        <w:rPr>
          <w:lang w:val="en-US"/>
        </w:rPr>
        <w:t>.</w:t>
      </w:r>
    </w:p>
  </w:footnote>
  <w:footnote w:id="407">
    <w:p w14:paraId="29EFA834" w14:textId="77777777" w:rsidR="00074551" w:rsidRPr="004A6F1C" w:rsidRDefault="00074551" w:rsidP="00074551">
      <w:pPr>
        <w:pStyle w:val="Funotentext"/>
        <w:rPr>
          <w:lang w:val="en-US"/>
        </w:rPr>
      </w:pPr>
      <w:r>
        <w:rPr>
          <w:rStyle w:val="Funotenzeichen"/>
        </w:rPr>
        <w:footnoteRef/>
      </w:r>
      <w:r w:rsidRPr="004A6F1C">
        <w:rPr>
          <w:lang w:val="en-US"/>
        </w:rPr>
        <w:t xml:space="preserve"> </w:t>
      </w:r>
      <w:r w:rsidRPr="00546F93">
        <w:rPr>
          <w:i/>
          <w:lang w:val="en-US"/>
        </w:rPr>
        <w:t>Taylor v. Beckham</w:t>
      </w:r>
      <w:r w:rsidRPr="004A6F1C">
        <w:rPr>
          <w:lang w:val="en-US"/>
        </w:rPr>
        <w:t>, 178 U.S. 548, 570</w:t>
      </w:r>
      <w:r>
        <w:rPr>
          <w:lang w:val="en-US"/>
        </w:rPr>
        <w:t xml:space="preserve"> = 20 S. Ct. </w:t>
      </w:r>
      <w:r w:rsidRPr="004A6F1C">
        <w:rPr>
          <w:lang w:val="en-US"/>
        </w:rPr>
        <w:t>890, 898</w:t>
      </w:r>
      <w:r>
        <w:rPr>
          <w:lang w:val="en-US"/>
        </w:rPr>
        <w:t xml:space="preserve"> = 44 L. Ed. </w:t>
      </w:r>
      <w:r w:rsidRPr="004A6F1C">
        <w:rPr>
          <w:lang w:val="en-US"/>
        </w:rPr>
        <w:t>1187, 1198</w:t>
      </w:r>
      <w:r>
        <w:rPr>
          <w:lang w:val="en-US"/>
        </w:rPr>
        <w:t xml:space="preserve"> = 1900 U.S. LEXIS </w:t>
      </w:r>
      <w:r w:rsidRPr="004A6F1C">
        <w:rPr>
          <w:lang w:val="en-US"/>
        </w:rPr>
        <w:t>1702, 14 (1900)</w:t>
      </w:r>
      <w:r>
        <w:rPr>
          <w:lang w:val="en-US"/>
        </w:rPr>
        <w:t>.</w:t>
      </w:r>
    </w:p>
  </w:footnote>
  <w:footnote w:id="408">
    <w:p w14:paraId="6A1491FB" w14:textId="77777777" w:rsidR="00074551" w:rsidRPr="00F94562" w:rsidRDefault="00074551" w:rsidP="00074551">
      <w:pPr>
        <w:pStyle w:val="Funotentext"/>
        <w:ind w:left="227" w:hanging="227"/>
        <w:rPr>
          <w:lang w:val="en-US"/>
        </w:rPr>
      </w:pPr>
      <w:r>
        <w:rPr>
          <w:rStyle w:val="Funotenzeichen"/>
          <w:rFonts w:eastAsiaTheme="majorEastAsia"/>
        </w:rPr>
        <w:footnoteRef/>
      </w:r>
      <w:r w:rsidRPr="00F94562">
        <w:rPr>
          <w:lang w:val="en-US"/>
        </w:rPr>
        <w:t xml:space="preserve"> </w:t>
      </w:r>
      <w:r w:rsidRPr="00546F93">
        <w:rPr>
          <w:i/>
          <w:lang w:val="en-US"/>
        </w:rPr>
        <w:t>Taylor v. Beckham</w:t>
      </w:r>
      <w:r w:rsidRPr="00F94562">
        <w:rPr>
          <w:lang w:val="en-US"/>
        </w:rPr>
        <w:t>, 178 U.S. 548, 570</w:t>
      </w:r>
      <w:r>
        <w:rPr>
          <w:lang w:val="en-US"/>
        </w:rPr>
        <w:t xml:space="preserve"> = 20 S. Ct. </w:t>
      </w:r>
      <w:r w:rsidRPr="00F94562">
        <w:rPr>
          <w:lang w:val="en-US"/>
        </w:rPr>
        <w:t>890, 898</w:t>
      </w:r>
      <w:r>
        <w:rPr>
          <w:lang w:val="en-US"/>
        </w:rPr>
        <w:t xml:space="preserve"> = 44 L. Ed. </w:t>
      </w:r>
      <w:r w:rsidRPr="00F94562">
        <w:rPr>
          <w:lang w:val="en-US"/>
        </w:rPr>
        <w:t>1187, 1198</w:t>
      </w:r>
      <w:r>
        <w:rPr>
          <w:lang w:val="en-US"/>
        </w:rPr>
        <w:t xml:space="preserve"> = 1900 U.S. LEXIS </w:t>
      </w:r>
      <w:r w:rsidRPr="00F94562">
        <w:rPr>
          <w:lang w:val="en-US"/>
        </w:rPr>
        <w:t>1702, 9 (1900)</w:t>
      </w:r>
      <w:r>
        <w:rPr>
          <w:lang w:val="en-US"/>
        </w:rPr>
        <w:t>.</w:t>
      </w:r>
    </w:p>
  </w:footnote>
  <w:footnote w:id="409">
    <w:p w14:paraId="32312D47" w14:textId="77777777" w:rsidR="00074551" w:rsidRPr="003B3855" w:rsidRDefault="00074551" w:rsidP="00074551">
      <w:pPr>
        <w:pStyle w:val="Funotentext"/>
        <w:jc w:val="both"/>
        <w:rPr>
          <w:lang w:val="en-US"/>
        </w:rPr>
      </w:pPr>
      <w:r>
        <w:rPr>
          <w:rStyle w:val="Funotenzeichen"/>
        </w:rPr>
        <w:footnoteRef/>
      </w:r>
      <w:r w:rsidRPr="003B3855">
        <w:rPr>
          <w:lang w:val="en-US"/>
        </w:rPr>
        <w:t xml:space="preserve"> </w:t>
      </w:r>
      <w:proofErr w:type="gramStart"/>
      <w:r w:rsidRPr="003B3855">
        <w:rPr>
          <w:lang w:val="en-US"/>
        </w:rPr>
        <w:t>„</w:t>
      </w:r>
      <w:r>
        <w:rPr>
          <w:lang w:val="en-US"/>
        </w:rPr>
        <w:t>,</w:t>
      </w:r>
      <w:r w:rsidRPr="003B3855">
        <w:rPr>
          <w:lang w:val="en-US"/>
        </w:rPr>
        <w:t>An</w:t>
      </w:r>
      <w:proofErr w:type="gramEnd"/>
      <w:r w:rsidRPr="003B3855">
        <w:rPr>
          <w:lang w:val="en-US"/>
        </w:rPr>
        <w:t xml:space="preserve"> act to authorize Timothy Fanning to establish and keep a ferry across the Mississippi river at the town of </w:t>
      </w:r>
      <w:proofErr w:type="gramStart"/>
      <w:r w:rsidRPr="003B3855">
        <w:rPr>
          <w:lang w:val="en-US"/>
        </w:rPr>
        <w:t>Dubuque,</w:t>
      </w:r>
      <w:r>
        <w:rPr>
          <w:lang w:val="en-US"/>
        </w:rPr>
        <w:t>‘</w:t>
      </w:r>
      <w:proofErr w:type="gramEnd"/>
      <w:r w:rsidRPr="003B3855">
        <w:rPr>
          <w:lang w:val="en-US"/>
        </w:rPr>
        <w:t xml:space="preserve"> approved December 14th, 1838, gave said Fanning an exclusive right as against any other ferry not established by a direct act of the legislature. See that act in vol. 1st of Iowa Statutes, pages 205 and 206“</w:t>
      </w:r>
      <w:r>
        <w:rPr>
          <w:lang w:val="en-US"/>
        </w:rPr>
        <w:t xml:space="preserve">, </w:t>
      </w:r>
      <w:r w:rsidRPr="00584023">
        <w:rPr>
          <w:i/>
          <w:lang w:val="en-US"/>
        </w:rPr>
        <w:t>Fanning v. Gregoire</w:t>
      </w:r>
      <w:r w:rsidRPr="003B3855">
        <w:rPr>
          <w:lang w:val="en-US"/>
        </w:rPr>
        <w:t>, 57 U.S. 524, 530</w:t>
      </w:r>
      <w:r w:rsidRPr="003B741A">
        <w:rPr>
          <w:lang w:val="en-US"/>
        </w:rPr>
        <w:t xml:space="preserve"> = 14 L. Ed. </w:t>
      </w:r>
      <w:r w:rsidRPr="003B3855">
        <w:rPr>
          <w:lang w:val="en-US"/>
        </w:rPr>
        <w:t>1043, 1045</w:t>
      </w:r>
      <w:r w:rsidRPr="003B741A">
        <w:rPr>
          <w:lang w:val="en-US"/>
        </w:rPr>
        <w:t xml:space="preserve"> = 1850 U.S. LEXIS </w:t>
      </w:r>
      <w:r w:rsidRPr="003B3855">
        <w:rPr>
          <w:lang w:val="en-US"/>
        </w:rPr>
        <w:t>1566, 2</w:t>
      </w:r>
      <w:r>
        <w:rPr>
          <w:lang w:val="en-US"/>
        </w:rPr>
        <w:t>–</w:t>
      </w:r>
      <w:r w:rsidRPr="003B3855">
        <w:rPr>
          <w:lang w:val="en-US"/>
        </w:rPr>
        <w:t>3</w:t>
      </w:r>
      <w:r w:rsidRPr="003B741A">
        <w:rPr>
          <w:lang w:val="en-US"/>
        </w:rPr>
        <w:t xml:space="preserve"> = 16 HOW </w:t>
      </w:r>
      <w:r w:rsidRPr="003B3855">
        <w:rPr>
          <w:lang w:val="en-US"/>
        </w:rPr>
        <w:t>524 (1854)</w:t>
      </w:r>
      <w:r>
        <w:rPr>
          <w:lang w:val="en-US"/>
        </w:rPr>
        <w:t>.</w:t>
      </w:r>
    </w:p>
  </w:footnote>
  <w:footnote w:id="410">
    <w:p w14:paraId="23A2CBEB" w14:textId="77777777" w:rsidR="00074551" w:rsidRPr="003B3855" w:rsidRDefault="00074551" w:rsidP="00074551">
      <w:pPr>
        <w:pStyle w:val="Funotentext"/>
        <w:jc w:val="both"/>
        <w:rPr>
          <w:lang w:val="en-US"/>
        </w:rPr>
      </w:pPr>
      <w:r>
        <w:rPr>
          <w:rStyle w:val="Funotenzeichen"/>
        </w:rPr>
        <w:footnoteRef/>
      </w:r>
      <w:r w:rsidRPr="003B3855">
        <w:rPr>
          <w:lang w:val="en-US"/>
        </w:rPr>
        <w:t xml:space="preserve"> </w:t>
      </w:r>
      <w:r>
        <w:rPr>
          <w:lang w:val="en-US"/>
        </w:rPr>
        <w:t>„</w:t>
      </w:r>
      <w:r w:rsidRPr="003B3855">
        <w:rPr>
          <w:lang w:val="en-US"/>
        </w:rPr>
        <w:t>If Fanning</w:t>
      </w:r>
      <w:r>
        <w:rPr>
          <w:lang w:val="en-US"/>
        </w:rPr>
        <w:t>’</w:t>
      </w:r>
      <w:r w:rsidRPr="003B3855">
        <w:rPr>
          <w:lang w:val="en-US"/>
        </w:rPr>
        <w:t xml:space="preserve">s charter was not exclusive, as contended for, and if the city authorities could establish and license another, they can only do so in the manner prescribed by the act creating the city, to wit, by ordinance. See </w:t>
      </w:r>
      <w:r>
        <w:rPr>
          <w:lang w:val="en-US"/>
        </w:rPr>
        <w:t>§ </w:t>
      </w:r>
      <w:r w:rsidRPr="003B3855">
        <w:rPr>
          <w:lang w:val="en-US"/>
        </w:rPr>
        <w:t xml:space="preserve">15 of said city </w:t>
      </w:r>
      <w:proofErr w:type="gramStart"/>
      <w:r w:rsidRPr="003B3855">
        <w:rPr>
          <w:lang w:val="en-US"/>
        </w:rPr>
        <w:t>charter“</w:t>
      </w:r>
      <w:proofErr w:type="gramEnd"/>
      <w:r w:rsidRPr="003B3855">
        <w:rPr>
          <w:lang w:val="en-US"/>
        </w:rPr>
        <w:t>,</w:t>
      </w:r>
      <w:r>
        <w:rPr>
          <w:lang w:val="en-US"/>
        </w:rPr>
        <w:t xml:space="preserve"> </w:t>
      </w:r>
      <w:r w:rsidRPr="00584023">
        <w:rPr>
          <w:i/>
          <w:lang w:val="en-US"/>
        </w:rPr>
        <w:t>Fanning v. Gregoire</w:t>
      </w:r>
      <w:r w:rsidRPr="003B3855">
        <w:rPr>
          <w:lang w:val="en-US"/>
        </w:rPr>
        <w:t>, 57 U.S. 524, 530</w:t>
      </w:r>
      <w:r w:rsidRPr="003B741A">
        <w:rPr>
          <w:lang w:val="en-US"/>
        </w:rPr>
        <w:t xml:space="preserve"> = 14 L. Ed. </w:t>
      </w:r>
      <w:r w:rsidRPr="003B3855">
        <w:rPr>
          <w:lang w:val="en-US"/>
        </w:rPr>
        <w:t>1043, 1045</w:t>
      </w:r>
      <w:r w:rsidRPr="003B741A">
        <w:rPr>
          <w:lang w:val="en-US"/>
        </w:rPr>
        <w:t xml:space="preserve"> = 1850 U.S. LEXIS </w:t>
      </w:r>
      <w:r w:rsidRPr="003B3855">
        <w:rPr>
          <w:lang w:val="en-US"/>
        </w:rPr>
        <w:t>1566, 3</w:t>
      </w:r>
      <w:r>
        <w:rPr>
          <w:lang w:val="en-US"/>
        </w:rPr>
        <w:t>–</w:t>
      </w:r>
      <w:r w:rsidRPr="003B3855">
        <w:rPr>
          <w:lang w:val="en-US"/>
        </w:rPr>
        <w:t>4</w:t>
      </w:r>
      <w:r w:rsidRPr="003B741A">
        <w:rPr>
          <w:lang w:val="en-US"/>
        </w:rPr>
        <w:t xml:space="preserve"> = 16 HOW </w:t>
      </w:r>
      <w:r w:rsidRPr="003B3855">
        <w:rPr>
          <w:lang w:val="en-US"/>
        </w:rPr>
        <w:t>524 (1854)</w:t>
      </w:r>
      <w:r>
        <w:rPr>
          <w:lang w:val="en-US"/>
        </w:rPr>
        <w:t>.</w:t>
      </w:r>
    </w:p>
  </w:footnote>
  <w:footnote w:id="411">
    <w:p w14:paraId="3775C905" w14:textId="77777777" w:rsidR="00074551" w:rsidRPr="003B3855" w:rsidRDefault="00074551" w:rsidP="00074551">
      <w:pPr>
        <w:pStyle w:val="Funotentext"/>
        <w:jc w:val="both"/>
        <w:rPr>
          <w:lang w:val="en-US"/>
        </w:rPr>
      </w:pPr>
      <w:r>
        <w:rPr>
          <w:rStyle w:val="Funotenzeichen"/>
        </w:rPr>
        <w:footnoteRef/>
      </w:r>
      <w:r w:rsidRPr="003B3855">
        <w:rPr>
          <w:lang w:val="en-US"/>
        </w:rPr>
        <w:t xml:space="preserve"> </w:t>
      </w:r>
      <w:r w:rsidRPr="00584023">
        <w:rPr>
          <w:i/>
          <w:lang w:val="en-US"/>
        </w:rPr>
        <w:t>Fanning v. Gregoire</w:t>
      </w:r>
      <w:r w:rsidRPr="003B3855">
        <w:rPr>
          <w:lang w:val="en-US"/>
        </w:rPr>
        <w:t>, 57 U.S. 524, 530</w:t>
      </w:r>
      <w:r w:rsidRPr="003B741A">
        <w:rPr>
          <w:lang w:val="en-US"/>
        </w:rPr>
        <w:t xml:space="preserve"> = 14 L. Ed. </w:t>
      </w:r>
      <w:r w:rsidRPr="003B3855">
        <w:rPr>
          <w:lang w:val="en-US"/>
        </w:rPr>
        <w:t>1043, 1045</w:t>
      </w:r>
      <w:r w:rsidRPr="003B741A">
        <w:rPr>
          <w:lang w:val="en-US"/>
        </w:rPr>
        <w:t xml:space="preserve"> = 1850 U.S. LEXIS </w:t>
      </w:r>
      <w:r w:rsidRPr="003B3855">
        <w:rPr>
          <w:lang w:val="en-US"/>
        </w:rPr>
        <w:t>1566, 1</w:t>
      </w:r>
      <w:r w:rsidRPr="003B741A">
        <w:rPr>
          <w:lang w:val="en-US"/>
        </w:rPr>
        <w:t xml:space="preserve"> = 16 HOW </w:t>
      </w:r>
      <w:r w:rsidRPr="003B3855">
        <w:rPr>
          <w:lang w:val="en-US"/>
        </w:rPr>
        <w:t>524 (1854)</w:t>
      </w:r>
      <w:r>
        <w:rPr>
          <w:lang w:val="en-US"/>
        </w:rPr>
        <w:t>.</w:t>
      </w:r>
    </w:p>
  </w:footnote>
  <w:footnote w:id="412">
    <w:p w14:paraId="3CAD85B4" w14:textId="77777777" w:rsidR="00074551" w:rsidRPr="00EA2431" w:rsidRDefault="00074551" w:rsidP="00074551">
      <w:pPr>
        <w:pStyle w:val="Funotentext"/>
        <w:jc w:val="both"/>
        <w:rPr>
          <w:lang w:val="en-US"/>
        </w:rPr>
      </w:pPr>
      <w:r>
        <w:rPr>
          <w:rStyle w:val="Funotenzeichen"/>
        </w:rPr>
        <w:footnoteRef/>
      </w:r>
      <w:r w:rsidRPr="00EA2431">
        <w:rPr>
          <w:lang w:val="en-US"/>
        </w:rPr>
        <w:t xml:space="preserve"> </w:t>
      </w:r>
      <w:r w:rsidRPr="00584023">
        <w:rPr>
          <w:i/>
          <w:lang w:val="en-US"/>
        </w:rPr>
        <w:t>Fanning v. Gregoire</w:t>
      </w:r>
      <w:r w:rsidRPr="00EA2431">
        <w:rPr>
          <w:lang w:val="en-US"/>
        </w:rPr>
        <w:t>, 57 U.S. 524, 530</w:t>
      </w:r>
      <w:r w:rsidRPr="003B741A">
        <w:rPr>
          <w:lang w:val="en-US"/>
        </w:rPr>
        <w:t xml:space="preserve"> = 14 L. Ed. </w:t>
      </w:r>
      <w:r w:rsidRPr="00EA2431">
        <w:rPr>
          <w:lang w:val="en-US"/>
        </w:rPr>
        <w:t>1043, 1045</w:t>
      </w:r>
      <w:r w:rsidRPr="003B741A">
        <w:rPr>
          <w:lang w:val="en-US"/>
        </w:rPr>
        <w:t xml:space="preserve"> = 1850 U.S. LEXIS </w:t>
      </w:r>
      <w:r w:rsidRPr="00EA2431">
        <w:rPr>
          <w:lang w:val="en-US"/>
        </w:rPr>
        <w:t>1566, 1</w:t>
      </w:r>
      <w:r w:rsidRPr="003B741A">
        <w:rPr>
          <w:lang w:val="en-US"/>
        </w:rPr>
        <w:t xml:space="preserve"> = 16 HOW </w:t>
      </w:r>
      <w:r w:rsidRPr="00EA2431">
        <w:rPr>
          <w:lang w:val="en-US"/>
        </w:rPr>
        <w:t>524 (1854)</w:t>
      </w:r>
      <w:r>
        <w:rPr>
          <w:lang w:val="en-US"/>
        </w:rPr>
        <w:t>.</w:t>
      </w:r>
    </w:p>
  </w:footnote>
  <w:footnote w:id="413">
    <w:p w14:paraId="67EF2FC4" w14:textId="77777777" w:rsidR="00074551" w:rsidRPr="003A1E2F" w:rsidRDefault="00074551" w:rsidP="00074551">
      <w:pPr>
        <w:pStyle w:val="Funotentext"/>
        <w:jc w:val="both"/>
        <w:rPr>
          <w:lang w:val="en-US"/>
        </w:rPr>
      </w:pPr>
      <w:r>
        <w:rPr>
          <w:rStyle w:val="Funotenzeichen"/>
        </w:rPr>
        <w:footnoteRef/>
      </w:r>
      <w:r w:rsidRPr="003A1E2F">
        <w:rPr>
          <w:lang w:val="en-US"/>
        </w:rPr>
        <w:t xml:space="preserve"> </w:t>
      </w:r>
      <w:r w:rsidRPr="00584023">
        <w:rPr>
          <w:i/>
          <w:lang w:val="en-US"/>
        </w:rPr>
        <w:t>Charles River Bridge v. Warren Bridge et al.</w:t>
      </w:r>
      <w:r w:rsidRPr="00B45592">
        <w:rPr>
          <w:iCs/>
          <w:lang w:val="en-US"/>
        </w:rPr>
        <w:t>,</w:t>
      </w:r>
      <w:r w:rsidRPr="003A1E2F">
        <w:rPr>
          <w:lang w:val="en-US"/>
        </w:rPr>
        <w:t xml:space="preserve"> 11 Peters, 420, Ch.</w:t>
      </w:r>
      <w:r>
        <w:rPr>
          <w:lang w:val="en-US"/>
        </w:rPr>
        <w:t xml:space="preserve"> </w:t>
      </w:r>
      <w:r w:rsidRPr="003A1E2F">
        <w:rPr>
          <w:lang w:val="en-US"/>
        </w:rPr>
        <w:t>J.</w:t>
      </w:r>
      <w:r>
        <w:rPr>
          <w:lang w:val="en-US"/>
        </w:rPr>
        <w:t xml:space="preserve">; </w:t>
      </w:r>
      <w:r w:rsidRPr="00584023">
        <w:rPr>
          <w:i/>
          <w:lang w:val="en-US"/>
        </w:rPr>
        <w:t>Fanning v. Gregoire</w:t>
      </w:r>
      <w:r w:rsidRPr="003A1E2F">
        <w:rPr>
          <w:lang w:val="en-US"/>
        </w:rPr>
        <w:t>, 57 U.S. 524, 530</w:t>
      </w:r>
      <w:r w:rsidRPr="003B741A">
        <w:rPr>
          <w:lang w:val="en-US"/>
        </w:rPr>
        <w:t xml:space="preserve"> = 14 L. Ed. </w:t>
      </w:r>
      <w:r w:rsidRPr="003A1E2F">
        <w:rPr>
          <w:lang w:val="en-US"/>
        </w:rPr>
        <w:t>1043, 1045</w:t>
      </w:r>
      <w:r w:rsidRPr="003B741A">
        <w:rPr>
          <w:lang w:val="en-US"/>
        </w:rPr>
        <w:t xml:space="preserve"> = 1850 U.S. LEXIS </w:t>
      </w:r>
      <w:r w:rsidRPr="003A1E2F">
        <w:rPr>
          <w:lang w:val="en-US"/>
        </w:rPr>
        <w:t>1566, 6</w:t>
      </w:r>
      <w:r w:rsidRPr="003B741A">
        <w:rPr>
          <w:lang w:val="en-US"/>
        </w:rPr>
        <w:t xml:space="preserve"> = 16 HOW </w:t>
      </w:r>
      <w:r w:rsidRPr="003A1E2F">
        <w:rPr>
          <w:lang w:val="en-US"/>
        </w:rPr>
        <w:t>524 (1854)</w:t>
      </w:r>
      <w:r>
        <w:rPr>
          <w:lang w:val="en-US"/>
        </w:rPr>
        <w:t>.</w:t>
      </w:r>
    </w:p>
  </w:footnote>
  <w:footnote w:id="414">
    <w:p w14:paraId="5E086930" w14:textId="77777777" w:rsidR="00074551" w:rsidRPr="00491F9F" w:rsidRDefault="00074551" w:rsidP="00074551">
      <w:pPr>
        <w:pStyle w:val="Funotentext"/>
        <w:jc w:val="both"/>
        <w:rPr>
          <w:lang w:val="en-US"/>
        </w:rPr>
      </w:pPr>
      <w:r>
        <w:rPr>
          <w:rStyle w:val="Funotenzeichen"/>
        </w:rPr>
        <w:footnoteRef/>
      </w:r>
      <w:r w:rsidRPr="00491F9F">
        <w:rPr>
          <w:lang w:val="en-US"/>
        </w:rPr>
        <w:t xml:space="preserve"> </w:t>
      </w:r>
      <w:r w:rsidRPr="00584023">
        <w:rPr>
          <w:i/>
          <w:lang w:val="en-US"/>
        </w:rPr>
        <w:t>Fanning v. Gregoire</w:t>
      </w:r>
      <w:r w:rsidRPr="00491F9F">
        <w:rPr>
          <w:lang w:val="en-US"/>
        </w:rPr>
        <w:t>, 57 U.S. 524, 530</w:t>
      </w:r>
      <w:r w:rsidRPr="003B741A">
        <w:rPr>
          <w:lang w:val="en-US"/>
        </w:rPr>
        <w:t xml:space="preserve"> = 14 L. Ed. </w:t>
      </w:r>
      <w:r w:rsidRPr="00491F9F">
        <w:rPr>
          <w:lang w:val="en-US"/>
        </w:rPr>
        <w:t>1043, 1045</w:t>
      </w:r>
      <w:r w:rsidRPr="003B741A">
        <w:rPr>
          <w:lang w:val="en-US"/>
        </w:rPr>
        <w:t xml:space="preserve"> = 1850 U.S. LEXIS </w:t>
      </w:r>
      <w:r w:rsidRPr="00491F9F">
        <w:rPr>
          <w:lang w:val="en-US"/>
        </w:rPr>
        <w:t>1566, 7</w:t>
      </w:r>
      <w:r w:rsidRPr="003B741A">
        <w:rPr>
          <w:lang w:val="en-US"/>
        </w:rPr>
        <w:t xml:space="preserve"> = 16 HOW </w:t>
      </w:r>
      <w:r w:rsidRPr="00491F9F">
        <w:rPr>
          <w:lang w:val="en-US"/>
        </w:rPr>
        <w:t>524 (1854)</w:t>
      </w:r>
      <w:r>
        <w:rPr>
          <w:lang w:val="en-US"/>
        </w:rPr>
        <w:t>.</w:t>
      </w:r>
    </w:p>
  </w:footnote>
  <w:footnote w:id="415">
    <w:p w14:paraId="03B8415D" w14:textId="77777777" w:rsidR="00074551" w:rsidRPr="00092026" w:rsidRDefault="00074551" w:rsidP="00074551">
      <w:pPr>
        <w:pStyle w:val="Funotentext"/>
        <w:jc w:val="both"/>
        <w:rPr>
          <w:lang w:val="en-US"/>
        </w:rPr>
      </w:pPr>
      <w:r>
        <w:rPr>
          <w:rStyle w:val="Funotenzeichen"/>
        </w:rPr>
        <w:footnoteRef/>
      </w:r>
      <w:r w:rsidRPr="00092026">
        <w:rPr>
          <w:lang w:val="en-US"/>
        </w:rPr>
        <w:t xml:space="preserve"> </w:t>
      </w:r>
      <w:r w:rsidRPr="00584023">
        <w:rPr>
          <w:i/>
          <w:lang w:val="en-US"/>
        </w:rPr>
        <w:t>Fanning v. Gregoire</w:t>
      </w:r>
      <w:r w:rsidRPr="00092026">
        <w:rPr>
          <w:lang w:val="en-US"/>
        </w:rPr>
        <w:t>, 57 U.S. 524, 530</w:t>
      </w:r>
      <w:r w:rsidRPr="003B741A">
        <w:rPr>
          <w:lang w:val="en-US"/>
        </w:rPr>
        <w:t xml:space="preserve"> = 14 L. Ed. </w:t>
      </w:r>
      <w:r w:rsidRPr="00092026">
        <w:rPr>
          <w:lang w:val="en-US"/>
        </w:rPr>
        <w:t>1043, 1045</w:t>
      </w:r>
      <w:r w:rsidRPr="003B741A">
        <w:rPr>
          <w:lang w:val="en-US"/>
        </w:rPr>
        <w:t xml:space="preserve"> = 1850 U.S. LEXIS </w:t>
      </w:r>
      <w:r w:rsidRPr="00092026">
        <w:rPr>
          <w:lang w:val="en-US"/>
        </w:rPr>
        <w:t>1566, 8</w:t>
      </w:r>
      <w:r w:rsidRPr="003B741A">
        <w:rPr>
          <w:lang w:val="en-US"/>
        </w:rPr>
        <w:t xml:space="preserve"> = 16 HOW </w:t>
      </w:r>
      <w:r w:rsidRPr="00092026">
        <w:rPr>
          <w:lang w:val="en-US"/>
        </w:rPr>
        <w:t>524 (1854)</w:t>
      </w:r>
      <w:r>
        <w:rPr>
          <w:lang w:val="en-US"/>
        </w:rPr>
        <w:t>.</w:t>
      </w:r>
    </w:p>
  </w:footnote>
  <w:footnote w:id="416">
    <w:p w14:paraId="4EB047FA" w14:textId="77777777" w:rsidR="00074551" w:rsidRPr="00EE6260" w:rsidRDefault="00074551" w:rsidP="00074551">
      <w:pPr>
        <w:pStyle w:val="Funotentext"/>
        <w:jc w:val="both"/>
        <w:rPr>
          <w:lang w:val="en-US"/>
        </w:rPr>
      </w:pPr>
      <w:r>
        <w:rPr>
          <w:rStyle w:val="Funotenzeichen"/>
        </w:rPr>
        <w:footnoteRef/>
      </w:r>
      <w:r w:rsidRPr="00EE6260">
        <w:rPr>
          <w:lang w:val="en-US"/>
        </w:rPr>
        <w:t xml:space="preserve"> </w:t>
      </w:r>
      <w:r w:rsidRPr="00584023">
        <w:rPr>
          <w:i/>
          <w:lang w:val="en-US"/>
        </w:rPr>
        <w:t>Fanning v. Gregoire</w:t>
      </w:r>
      <w:r w:rsidRPr="00EE6260">
        <w:rPr>
          <w:lang w:val="en-US"/>
        </w:rPr>
        <w:t>, 57 U.S. 524, 530</w:t>
      </w:r>
      <w:r w:rsidRPr="003B741A">
        <w:rPr>
          <w:lang w:val="en-US"/>
        </w:rPr>
        <w:t xml:space="preserve"> = 14 L. Ed. </w:t>
      </w:r>
      <w:r w:rsidRPr="00EE6260">
        <w:rPr>
          <w:lang w:val="en-US"/>
        </w:rPr>
        <w:t>1043, 1045</w:t>
      </w:r>
      <w:r w:rsidRPr="003B741A">
        <w:rPr>
          <w:lang w:val="en-US"/>
        </w:rPr>
        <w:t xml:space="preserve"> = 1850 U.S. LEXIS </w:t>
      </w:r>
      <w:r w:rsidRPr="00EE6260">
        <w:rPr>
          <w:lang w:val="en-US"/>
        </w:rPr>
        <w:t>1566, 8</w:t>
      </w:r>
      <w:r w:rsidRPr="003B741A">
        <w:rPr>
          <w:lang w:val="en-US"/>
        </w:rPr>
        <w:t xml:space="preserve"> = 16 HOW </w:t>
      </w:r>
      <w:r w:rsidRPr="00EE6260">
        <w:rPr>
          <w:lang w:val="en-US"/>
        </w:rPr>
        <w:t>524 (1854)</w:t>
      </w:r>
      <w:r>
        <w:rPr>
          <w:lang w:val="en-US"/>
        </w:rPr>
        <w:t>.</w:t>
      </w:r>
    </w:p>
  </w:footnote>
  <w:footnote w:id="417">
    <w:p w14:paraId="5BC62EB1" w14:textId="77777777" w:rsidR="00074551" w:rsidRPr="00377A4A" w:rsidRDefault="00074551" w:rsidP="00074551">
      <w:pPr>
        <w:pStyle w:val="Funotentext"/>
        <w:rPr>
          <w:lang w:val="en-US"/>
        </w:rPr>
      </w:pPr>
      <w:r>
        <w:rPr>
          <w:rStyle w:val="Funotenzeichen"/>
          <w:rFonts w:eastAsiaTheme="majorEastAsia"/>
        </w:rPr>
        <w:footnoteRef/>
      </w:r>
      <w:r w:rsidRPr="00377A4A">
        <w:rPr>
          <w:lang w:val="en-US"/>
        </w:rPr>
        <w:t xml:space="preserve"> </w:t>
      </w:r>
      <w:r>
        <w:rPr>
          <w:lang w:val="en-US"/>
        </w:rPr>
        <w:t>„</w:t>
      </w:r>
      <w:r w:rsidRPr="00377A4A">
        <w:rPr>
          <w:lang w:val="en-US"/>
        </w:rPr>
        <w:t xml:space="preserve">New states may be admitted by the Congress into this union; but no new states shall be formed or erected within the jurisdiction of any other state; nor any state be formed by the junction of two or more states, or parts of states, without the consent of the legislatures of the states concerned as well as of the Congress. </w:t>
      </w:r>
    </w:p>
    <w:p w14:paraId="5CFA1337" w14:textId="77777777" w:rsidR="00074551" w:rsidRPr="00377A4A" w:rsidRDefault="00074551" w:rsidP="00074551">
      <w:pPr>
        <w:pStyle w:val="Funotentext"/>
        <w:rPr>
          <w:lang w:val="en-US"/>
        </w:rPr>
      </w:pPr>
      <w:r w:rsidRPr="00377A4A">
        <w:rPr>
          <w:lang w:val="en-US"/>
        </w:rPr>
        <w:t xml:space="preserve">The Congress shall have power to dispose of and make all needful rules and regulations respecting the territory or other property belonging to the United States; and nothing in this Constitution shall be so construed as to prejudice any claims of the United States, or of any particular </w:t>
      </w:r>
      <w:proofErr w:type="gramStart"/>
      <w:r w:rsidRPr="00377A4A">
        <w:rPr>
          <w:lang w:val="en-US"/>
        </w:rPr>
        <w:t>state.</w:t>
      </w:r>
      <w:r>
        <w:rPr>
          <w:lang w:val="en-US"/>
        </w:rPr>
        <w:t>“</w:t>
      </w:r>
      <w:proofErr w:type="gramEnd"/>
    </w:p>
  </w:footnote>
  <w:footnote w:id="418">
    <w:p w14:paraId="00C019CC" w14:textId="77777777" w:rsidR="00074551" w:rsidRPr="00F32AD0" w:rsidRDefault="00074551" w:rsidP="00074551">
      <w:pPr>
        <w:pStyle w:val="Funotentext"/>
        <w:jc w:val="both"/>
        <w:rPr>
          <w:lang w:val="en-US"/>
        </w:rPr>
      </w:pPr>
      <w:r>
        <w:rPr>
          <w:rStyle w:val="Funotenzeichen"/>
          <w:rFonts w:eastAsiaTheme="majorEastAsia"/>
        </w:rPr>
        <w:footnoteRef/>
      </w:r>
      <w:r w:rsidRPr="00F32AD0">
        <w:rPr>
          <w:lang w:val="en-US"/>
        </w:rPr>
        <w:t xml:space="preserve"> </w:t>
      </w:r>
      <w:r w:rsidRPr="00584023">
        <w:rPr>
          <w:i/>
          <w:lang w:val="en-US"/>
        </w:rPr>
        <w:t>Kansas v. Colorado</w:t>
      </w:r>
      <w:r w:rsidRPr="00F32AD0">
        <w:rPr>
          <w:lang w:val="en-US"/>
        </w:rPr>
        <w:t>, 206 U.S. 46, 80</w:t>
      </w:r>
      <w:r w:rsidRPr="00EC5BEB">
        <w:rPr>
          <w:lang w:val="en-US"/>
        </w:rPr>
        <w:t xml:space="preserve"> = 27 S. Ct. </w:t>
      </w:r>
      <w:r w:rsidRPr="00F32AD0">
        <w:rPr>
          <w:lang w:val="en-US"/>
        </w:rPr>
        <w:t>655, 660</w:t>
      </w:r>
      <w:r w:rsidRPr="00EC5BEB">
        <w:rPr>
          <w:lang w:val="en-US"/>
        </w:rPr>
        <w:t xml:space="preserve"> = 1907 U.S. LEXIS </w:t>
      </w:r>
      <w:r w:rsidRPr="00F32AD0">
        <w:rPr>
          <w:lang w:val="en-US"/>
        </w:rPr>
        <w:t>1145, 42</w:t>
      </w:r>
      <w:r w:rsidRPr="00EC5BEB">
        <w:rPr>
          <w:lang w:val="en-US"/>
        </w:rPr>
        <w:t xml:space="preserve"> = 51 L. Ed. </w:t>
      </w:r>
      <w:r w:rsidRPr="00F32AD0">
        <w:rPr>
          <w:lang w:val="en-US"/>
        </w:rPr>
        <w:t>956 (1907)</w:t>
      </w:r>
      <w:r>
        <w:rPr>
          <w:lang w:val="en-US"/>
        </w:rPr>
        <w:t>.</w:t>
      </w:r>
    </w:p>
  </w:footnote>
  <w:footnote w:id="419">
    <w:p w14:paraId="64AA6167" w14:textId="77777777" w:rsidR="00074551" w:rsidRPr="00F32AD0" w:rsidRDefault="00074551" w:rsidP="00074551">
      <w:pPr>
        <w:pStyle w:val="Funotentext"/>
        <w:jc w:val="both"/>
        <w:rPr>
          <w:lang w:val="en-US"/>
        </w:rPr>
      </w:pPr>
      <w:r>
        <w:rPr>
          <w:rStyle w:val="Funotenzeichen"/>
          <w:rFonts w:eastAsiaTheme="majorEastAsia"/>
        </w:rPr>
        <w:footnoteRef/>
      </w:r>
      <w:r w:rsidRPr="00F32AD0">
        <w:rPr>
          <w:lang w:val="en-US"/>
        </w:rPr>
        <w:t xml:space="preserve"> </w:t>
      </w:r>
      <w:r w:rsidRPr="00584023">
        <w:rPr>
          <w:i/>
          <w:lang w:val="en-US"/>
        </w:rPr>
        <w:t>Kansas v. Colorado</w:t>
      </w:r>
      <w:r w:rsidRPr="00F32AD0">
        <w:rPr>
          <w:lang w:val="en-US"/>
        </w:rPr>
        <w:t>, 206 U.S. 46, 80</w:t>
      </w:r>
      <w:r w:rsidRPr="00EC5BEB">
        <w:rPr>
          <w:lang w:val="en-US"/>
        </w:rPr>
        <w:t xml:space="preserve"> = 27 S. Ct. </w:t>
      </w:r>
      <w:r w:rsidRPr="00F32AD0">
        <w:rPr>
          <w:lang w:val="en-US"/>
        </w:rPr>
        <w:t>655, 660</w:t>
      </w:r>
      <w:r w:rsidRPr="00EC5BEB">
        <w:rPr>
          <w:lang w:val="en-US"/>
        </w:rPr>
        <w:t xml:space="preserve"> = 1907 U.S. LEXIS </w:t>
      </w:r>
      <w:r w:rsidRPr="00F32AD0">
        <w:rPr>
          <w:lang w:val="en-US"/>
        </w:rPr>
        <w:t>1145, 42</w:t>
      </w:r>
      <w:r w:rsidRPr="00EC5BEB">
        <w:rPr>
          <w:lang w:val="en-US"/>
        </w:rPr>
        <w:t xml:space="preserve"> = 51 L. Ed. </w:t>
      </w:r>
      <w:r w:rsidRPr="00F32AD0">
        <w:rPr>
          <w:lang w:val="en-US"/>
        </w:rPr>
        <w:t>956 (1907)</w:t>
      </w:r>
      <w:r>
        <w:rPr>
          <w:lang w:val="en-US"/>
        </w:rPr>
        <w:t>.</w:t>
      </w:r>
    </w:p>
  </w:footnote>
  <w:footnote w:id="420">
    <w:p w14:paraId="77679265" w14:textId="77777777" w:rsidR="00074551" w:rsidRPr="00F144BD" w:rsidRDefault="00074551" w:rsidP="00074551">
      <w:pPr>
        <w:pStyle w:val="Funotentext"/>
        <w:jc w:val="both"/>
        <w:rPr>
          <w:lang w:val="en-US"/>
        </w:rPr>
      </w:pPr>
      <w:r>
        <w:rPr>
          <w:rStyle w:val="Funotenzeichen"/>
          <w:rFonts w:eastAsiaTheme="majorEastAsia"/>
        </w:rPr>
        <w:footnoteRef/>
      </w:r>
      <w:r w:rsidRPr="00F144BD">
        <w:rPr>
          <w:lang w:val="en-US"/>
        </w:rPr>
        <w:t xml:space="preserve"> </w:t>
      </w:r>
      <w:r w:rsidRPr="00584023">
        <w:rPr>
          <w:i/>
          <w:lang w:val="en-US"/>
        </w:rPr>
        <w:t>Kansas v. Colorado</w:t>
      </w:r>
      <w:r w:rsidRPr="00F144BD">
        <w:rPr>
          <w:lang w:val="en-US"/>
        </w:rPr>
        <w:t>, 206 U.S. 46, 80</w:t>
      </w:r>
      <w:r w:rsidRPr="00EC5BEB">
        <w:rPr>
          <w:lang w:val="en-US"/>
        </w:rPr>
        <w:t xml:space="preserve"> = 27 S. Ct. </w:t>
      </w:r>
      <w:r w:rsidRPr="00F144BD">
        <w:rPr>
          <w:lang w:val="en-US"/>
        </w:rPr>
        <w:t>655, 660</w:t>
      </w:r>
      <w:r w:rsidRPr="00EC5BEB">
        <w:rPr>
          <w:lang w:val="en-US"/>
        </w:rPr>
        <w:t xml:space="preserve"> = 1907 U.S. LEXIS </w:t>
      </w:r>
      <w:r w:rsidRPr="00F144BD">
        <w:rPr>
          <w:lang w:val="en-US"/>
        </w:rPr>
        <w:t>1145, 42</w:t>
      </w:r>
      <w:r w:rsidRPr="00EC5BEB">
        <w:rPr>
          <w:lang w:val="en-US"/>
        </w:rPr>
        <w:t xml:space="preserve"> = 51 L. Ed. </w:t>
      </w:r>
      <w:r w:rsidRPr="00F144BD">
        <w:rPr>
          <w:lang w:val="en-US"/>
        </w:rPr>
        <w:t>956 (1907)</w:t>
      </w:r>
      <w:r>
        <w:rPr>
          <w:lang w:val="en-US"/>
        </w:rPr>
        <w:t>.</w:t>
      </w:r>
    </w:p>
  </w:footnote>
  <w:footnote w:id="421">
    <w:p w14:paraId="5B681A29" w14:textId="77777777" w:rsidR="00074551" w:rsidRPr="00F144BD" w:rsidRDefault="00074551" w:rsidP="00074551">
      <w:pPr>
        <w:pStyle w:val="Funotentext"/>
        <w:jc w:val="both"/>
        <w:rPr>
          <w:lang w:val="en-US"/>
        </w:rPr>
      </w:pPr>
      <w:r>
        <w:rPr>
          <w:rStyle w:val="Funotenzeichen"/>
          <w:rFonts w:eastAsiaTheme="majorEastAsia"/>
        </w:rPr>
        <w:footnoteRef/>
      </w:r>
      <w:r w:rsidRPr="00F144BD">
        <w:rPr>
          <w:lang w:val="en-US"/>
        </w:rPr>
        <w:t xml:space="preserve"> </w:t>
      </w:r>
      <w:r w:rsidRPr="00546F93">
        <w:rPr>
          <w:i/>
          <w:lang w:val="en-US"/>
        </w:rPr>
        <w:t>McCulloch v. Maryland</w:t>
      </w:r>
      <w:r>
        <w:rPr>
          <w:lang w:val="en-US"/>
        </w:rPr>
        <w:t>,</w:t>
      </w:r>
      <w:r w:rsidRPr="003B741A">
        <w:rPr>
          <w:lang w:val="en-US"/>
        </w:rPr>
        <w:t xml:space="preserve"> 4 Wheat. </w:t>
      </w:r>
      <w:r w:rsidRPr="00F144BD">
        <w:rPr>
          <w:lang w:val="en-US"/>
        </w:rPr>
        <w:t>406</w:t>
      </w:r>
      <w:r>
        <w:rPr>
          <w:lang w:val="en-US"/>
        </w:rPr>
        <w:t xml:space="preserve">; </w:t>
      </w:r>
      <w:r w:rsidRPr="00584023">
        <w:rPr>
          <w:i/>
          <w:lang w:val="en-US"/>
        </w:rPr>
        <w:t>Kansas v. Colorado</w:t>
      </w:r>
      <w:r w:rsidRPr="00F144BD">
        <w:rPr>
          <w:lang w:val="en-US"/>
        </w:rPr>
        <w:t>, 206 U.S. 46, 80</w:t>
      </w:r>
      <w:r w:rsidRPr="00EC5BEB">
        <w:rPr>
          <w:lang w:val="en-US"/>
        </w:rPr>
        <w:t xml:space="preserve"> = 27 S. Ct. </w:t>
      </w:r>
      <w:r w:rsidRPr="00F144BD">
        <w:rPr>
          <w:lang w:val="en-US"/>
        </w:rPr>
        <w:t>655, 660</w:t>
      </w:r>
      <w:r w:rsidRPr="00EC5BEB">
        <w:rPr>
          <w:lang w:val="en-US"/>
        </w:rPr>
        <w:t xml:space="preserve"> = 1907 U.S. LEXIS </w:t>
      </w:r>
      <w:r w:rsidRPr="00F144BD">
        <w:rPr>
          <w:lang w:val="en-US"/>
        </w:rPr>
        <w:t>1145, 42</w:t>
      </w:r>
      <w:r w:rsidRPr="00EC5BEB">
        <w:rPr>
          <w:lang w:val="en-US"/>
        </w:rPr>
        <w:t xml:space="preserve"> = 51 L. Ed. </w:t>
      </w:r>
      <w:r w:rsidRPr="00F144BD">
        <w:rPr>
          <w:lang w:val="en-US"/>
        </w:rPr>
        <w:t>956 (1907)</w:t>
      </w:r>
      <w:r>
        <w:rPr>
          <w:lang w:val="en-US"/>
        </w:rPr>
        <w:t>.</w:t>
      </w:r>
    </w:p>
  </w:footnote>
  <w:footnote w:id="422">
    <w:p w14:paraId="43C07F45" w14:textId="77777777" w:rsidR="00074551" w:rsidRPr="00F144BD" w:rsidRDefault="00074551" w:rsidP="00074551">
      <w:pPr>
        <w:pStyle w:val="Funotentext"/>
        <w:jc w:val="both"/>
        <w:rPr>
          <w:lang w:val="en-US"/>
        </w:rPr>
      </w:pPr>
      <w:r>
        <w:rPr>
          <w:rStyle w:val="Funotenzeichen"/>
          <w:rFonts w:eastAsiaTheme="majorEastAsia"/>
        </w:rPr>
        <w:footnoteRef/>
      </w:r>
      <w:r w:rsidRPr="00F144BD">
        <w:rPr>
          <w:lang w:val="en-US"/>
        </w:rPr>
        <w:t xml:space="preserve"> </w:t>
      </w:r>
      <w:r w:rsidRPr="00584023">
        <w:rPr>
          <w:i/>
          <w:lang w:val="en-US"/>
        </w:rPr>
        <w:t>Kansas v. Colorado</w:t>
      </w:r>
      <w:r w:rsidRPr="00F144BD">
        <w:rPr>
          <w:lang w:val="en-US"/>
        </w:rPr>
        <w:t>, 206 U.S. 46, 80</w:t>
      </w:r>
      <w:r w:rsidRPr="00EC5BEB">
        <w:rPr>
          <w:lang w:val="en-US"/>
        </w:rPr>
        <w:t xml:space="preserve"> = 27 S. Ct. </w:t>
      </w:r>
      <w:r w:rsidRPr="00F144BD">
        <w:rPr>
          <w:lang w:val="en-US"/>
        </w:rPr>
        <w:t>655, 660</w:t>
      </w:r>
      <w:r w:rsidRPr="00EC5BEB">
        <w:rPr>
          <w:lang w:val="en-US"/>
        </w:rPr>
        <w:t xml:space="preserve"> = 1907 U.S. LEXIS </w:t>
      </w:r>
      <w:r w:rsidRPr="00F144BD">
        <w:rPr>
          <w:lang w:val="en-US"/>
        </w:rPr>
        <w:t>1145, 42</w:t>
      </w:r>
      <w:r w:rsidRPr="00EC5BEB">
        <w:rPr>
          <w:lang w:val="en-US"/>
        </w:rPr>
        <w:t xml:space="preserve"> = 51 L. Ed. </w:t>
      </w:r>
      <w:r w:rsidRPr="00F144BD">
        <w:rPr>
          <w:lang w:val="en-US"/>
        </w:rPr>
        <w:t>956 (1907)</w:t>
      </w:r>
      <w:r>
        <w:rPr>
          <w:lang w:val="en-US"/>
        </w:rPr>
        <w:t>.</w:t>
      </w:r>
    </w:p>
  </w:footnote>
  <w:footnote w:id="423">
    <w:p w14:paraId="4ADF54E1" w14:textId="77777777" w:rsidR="00074551" w:rsidRPr="00F144BD" w:rsidRDefault="00074551" w:rsidP="00074551">
      <w:pPr>
        <w:pStyle w:val="Funotentext"/>
        <w:jc w:val="both"/>
        <w:rPr>
          <w:lang w:val="en-US"/>
        </w:rPr>
      </w:pPr>
      <w:r>
        <w:rPr>
          <w:rStyle w:val="Funotenzeichen"/>
          <w:rFonts w:eastAsiaTheme="majorEastAsia"/>
        </w:rPr>
        <w:footnoteRef/>
      </w:r>
      <w:r w:rsidRPr="00F144BD">
        <w:rPr>
          <w:lang w:val="en-US"/>
        </w:rPr>
        <w:t xml:space="preserve"> </w:t>
      </w:r>
      <w:r w:rsidRPr="00584023">
        <w:rPr>
          <w:i/>
          <w:lang w:val="en-US"/>
        </w:rPr>
        <w:t>Kansas v. Colorado</w:t>
      </w:r>
      <w:r w:rsidRPr="00F144BD">
        <w:rPr>
          <w:lang w:val="en-US"/>
        </w:rPr>
        <w:t>, 206 U.S. 46, 80</w:t>
      </w:r>
      <w:r w:rsidRPr="00EC5BEB">
        <w:rPr>
          <w:lang w:val="en-US"/>
        </w:rPr>
        <w:t xml:space="preserve"> = 27 S. Ct. </w:t>
      </w:r>
      <w:r w:rsidRPr="00F144BD">
        <w:rPr>
          <w:lang w:val="en-US"/>
        </w:rPr>
        <w:t>655, 660</w:t>
      </w:r>
      <w:r w:rsidRPr="00EC5BEB">
        <w:rPr>
          <w:lang w:val="en-US"/>
        </w:rPr>
        <w:t xml:space="preserve"> = 1907 U.S. LEXIS </w:t>
      </w:r>
      <w:r w:rsidRPr="00F144BD">
        <w:rPr>
          <w:lang w:val="en-US"/>
        </w:rPr>
        <w:t>1145, 42</w:t>
      </w:r>
      <w:r w:rsidRPr="00EC5BEB">
        <w:rPr>
          <w:lang w:val="en-US"/>
        </w:rPr>
        <w:t xml:space="preserve"> = 51 L. Ed. </w:t>
      </w:r>
      <w:r w:rsidRPr="00F144BD">
        <w:rPr>
          <w:lang w:val="en-US"/>
        </w:rPr>
        <w:t>956 (1907)</w:t>
      </w:r>
      <w:r>
        <w:rPr>
          <w:lang w:val="en-US"/>
        </w:rPr>
        <w:t>.</w:t>
      </w:r>
    </w:p>
  </w:footnote>
  <w:footnote w:id="424">
    <w:p w14:paraId="74C81B45" w14:textId="77777777" w:rsidR="00074551" w:rsidRPr="009B2F7D" w:rsidRDefault="00074551" w:rsidP="00074551">
      <w:pPr>
        <w:pStyle w:val="Funotentext"/>
        <w:jc w:val="both"/>
        <w:rPr>
          <w:lang w:val="en-US"/>
        </w:rPr>
      </w:pPr>
      <w:r>
        <w:rPr>
          <w:rStyle w:val="Funotenzeichen"/>
        </w:rPr>
        <w:footnoteRef/>
      </w:r>
      <w:r w:rsidRPr="009B2F7D">
        <w:rPr>
          <w:lang w:val="en-US"/>
        </w:rPr>
        <w:t xml:space="preserve"> </w:t>
      </w:r>
      <w:r w:rsidRPr="00584023">
        <w:rPr>
          <w:i/>
          <w:lang w:val="en-US"/>
        </w:rPr>
        <w:t>Holmes v. Jennison</w:t>
      </w:r>
      <w:r w:rsidRPr="009B2F7D">
        <w:rPr>
          <w:lang w:val="en-US"/>
        </w:rPr>
        <w:t>, 39 U.S. 540, 561</w:t>
      </w:r>
      <w:r w:rsidRPr="00EC5BEB">
        <w:rPr>
          <w:lang w:val="en-US"/>
        </w:rPr>
        <w:t xml:space="preserve"> = 10 L. Ed. </w:t>
      </w:r>
      <w:r w:rsidRPr="009B2F7D">
        <w:rPr>
          <w:lang w:val="en-US"/>
        </w:rPr>
        <w:t>579, 589</w:t>
      </w:r>
      <w:r w:rsidRPr="003B741A">
        <w:rPr>
          <w:lang w:val="en-US"/>
        </w:rPr>
        <w:t xml:space="preserve"> = 1840 U.S. LEXIS </w:t>
      </w:r>
      <w:r w:rsidRPr="009B2F7D">
        <w:rPr>
          <w:lang w:val="en-US"/>
        </w:rPr>
        <w:t>387, 4 (1840)</w:t>
      </w:r>
      <w:r>
        <w:rPr>
          <w:lang w:val="en-US"/>
        </w:rPr>
        <w:t>.</w:t>
      </w:r>
    </w:p>
  </w:footnote>
  <w:footnote w:id="425">
    <w:p w14:paraId="3BCB169C" w14:textId="77777777" w:rsidR="00074551" w:rsidRPr="00B15F92" w:rsidRDefault="00074551" w:rsidP="00074551">
      <w:pPr>
        <w:pStyle w:val="Funotentext"/>
        <w:jc w:val="both"/>
        <w:rPr>
          <w:lang w:val="en-US"/>
        </w:rPr>
      </w:pPr>
      <w:r>
        <w:rPr>
          <w:rStyle w:val="Funotenzeichen"/>
        </w:rPr>
        <w:footnoteRef/>
      </w:r>
      <w:r w:rsidRPr="00B15F92">
        <w:rPr>
          <w:lang w:val="en-US"/>
        </w:rPr>
        <w:t xml:space="preserve"> </w:t>
      </w:r>
      <w:r w:rsidRPr="00584023">
        <w:rPr>
          <w:i/>
          <w:lang w:val="en-US"/>
        </w:rPr>
        <w:t>Holmes v. Jennison</w:t>
      </w:r>
      <w:r w:rsidRPr="00B15F92">
        <w:rPr>
          <w:lang w:val="en-US"/>
        </w:rPr>
        <w:t>, 39 U.S. 540, 570</w:t>
      </w:r>
      <w:r w:rsidRPr="00EC5BEB">
        <w:rPr>
          <w:lang w:val="en-US"/>
        </w:rPr>
        <w:t xml:space="preserve"> = 10 L. Ed. </w:t>
      </w:r>
      <w:r w:rsidRPr="00B15F92">
        <w:rPr>
          <w:lang w:val="en-US"/>
        </w:rPr>
        <w:t>579, 595</w:t>
      </w:r>
      <w:r w:rsidRPr="003B741A">
        <w:rPr>
          <w:lang w:val="en-US"/>
        </w:rPr>
        <w:t xml:space="preserve"> = 1840 U.S. LEXIS </w:t>
      </w:r>
      <w:r w:rsidRPr="00B15F92">
        <w:rPr>
          <w:lang w:val="en-US"/>
        </w:rPr>
        <w:t>387, 81 (1840)</w:t>
      </w:r>
      <w:r>
        <w:rPr>
          <w:lang w:val="en-US"/>
        </w:rPr>
        <w:t>.</w:t>
      </w:r>
    </w:p>
  </w:footnote>
  <w:footnote w:id="426">
    <w:p w14:paraId="792F31C4" w14:textId="77777777" w:rsidR="00074551" w:rsidRPr="00B15F92" w:rsidRDefault="00074551" w:rsidP="00074551">
      <w:pPr>
        <w:pStyle w:val="Funotentext"/>
        <w:jc w:val="both"/>
        <w:rPr>
          <w:lang w:val="en-US"/>
        </w:rPr>
      </w:pPr>
      <w:r>
        <w:rPr>
          <w:rStyle w:val="Funotenzeichen"/>
        </w:rPr>
        <w:footnoteRef/>
      </w:r>
      <w:r w:rsidRPr="00B15F92">
        <w:rPr>
          <w:lang w:val="en-US"/>
        </w:rPr>
        <w:t xml:space="preserve"> </w:t>
      </w:r>
      <w:r w:rsidRPr="00584023">
        <w:rPr>
          <w:i/>
          <w:lang w:val="en-US"/>
        </w:rPr>
        <w:t>Holmes v. Jennison</w:t>
      </w:r>
      <w:r w:rsidRPr="00B15F92">
        <w:rPr>
          <w:lang w:val="en-US"/>
        </w:rPr>
        <w:t>, 39 U.S. 540, 574</w:t>
      </w:r>
      <w:r w:rsidRPr="00EC5BEB">
        <w:rPr>
          <w:lang w:val="en-US"/>
        </w:rPr>
        <w:t xml:space="preserve"> = 10 L. Ed. </w:t>
      </w:r>
      <w:r w:rsidRPr="00B15F92">
        <w:rPr>
          <w:lang w:val="en-US"/>
        </w:rPr>
        <w:t>579, 596</w:t>
      </w:r>
      <w:r w:rsidRPr="003B741A">
        <w:rPr>
          <w:lang w:val="en-US"/>
        </w:rPr>
        <w:t xml:space="preserve"> = 1840 U.S. LEXIS </w:t>
      </w:r>
      <w:r w:rsidRPr="00B15F92">
        <w:rPr>
          <w:lang w:val="en-US"/>
        </w:rPr>
        <w:t>387, 90 (1840)</w:t>
      </w:r>
      <w:r>
        <w:rPr>
          <w:lang w:val="en-US"/>
        </w:rPr>
        <w:t>.</w:t>
      </w:r>
    </w:p>
  </w:footnote>
  <w:footnote w:id="427">
    <w:p w14:paraId="229516E7" w14:textId="77777777" w:rsidR="00074551" w:rsidRPr="00265EF9" w:rsidRDefault="00074551" w:rsidP="00074551">
      <w:pPr>
        <w:pStyle w:val="Funotentext"/>
        <w:jc w:val="both"/>
        <w:rPr>
          <w:lang w:val="en-US"/>
        </w:rPr>
      </w:pPr>
      <w:r>
        <w:rPr>
          <w:rStyle w:val="Funotenzeichen"/>
        </w:rPr>
        <w:footnoteRef/>
      </w:r>
      <w:r w:rsidRPr="00265EF9">
        <w:rPr>
          <w:lang w:val="en-US"/>
        </w:rPr>
        <w:t xml:space="preserve"> </w:t>
      </w:r>
      <w:r w:rsidRPr="00584023">
        <w:rPr>
          <w:i/>
          <w:lang w:val="en-US"/>
        </w:rPr>
        <w:t>Holmes v. Jennison</w:t>
      </w:r>
      <w:r w:rsidRPr="00265EF9">
        <w:rPr>
          <w:lang w:val="en-US"/>
        </w:rPr>
        <w:t>, 39 U.S. 540, 617</w:t>
      </w:r>
      <w:r w:rsidRPr="00EC5BEB">
        <w:rPr>
          <w:lang w:val="en-US"/>
        </w:rPr>
        <w:t xml:space="preserve"> = 10 L. Ed. </w:t>
      </w:r>
      <w:r w:rsidRPr="00265EF9">
        <w:rPr>
          <w:lang w:val="en-US"/>
        </w:rPr>
        <w:t>579, 598</w:t>
      </w:r>
      <w:r w:rsidRPr="003B741A">
        <w:rPr>
          <w:lang w:val="en-US"/>
        </w:rPr>
        <w:t xml:space="preserve"> = 1840 U.S. LEXIS </w:t>
      </w:r>
      <w:r w:rsidRPr="00265EF9">
        <w:rPr>
          <w:lang w:val="en-US"/>
        </w:rPr>
        <w:t>387, 115 (1840)</w:t>
      </w:r>
      <w:r>
        <w:rPr>
          <w:lang w:val="en-US"/>
        </w:rPr>
        <w:t>.</w:t>
      </w:r>
    </w:p>
  </w:footnote>
  <w:footnote w:id="428">
    <w:p w14:paraId="4C9C6892" w14:textId="77777777" w:rsidR="00074551" w:rsidRPr="00265EF9" w:rsidRDefault="00074551" w:rsidP="00074551">
      <w:pPr>
        <w:pStyle w:val="Funotentext"/>
        <w:jc w:val="both"/>
        <w:rPr>
          <w:lang w:val="en-US"/>
        </w:rPr>
      </w:pPr>
      <w:r>
        <w:rPr>
          <w:rStyle w:val="Funotenzeichen"/>
        </w:rPr>
        <w:footnoteRef/>
      </w:r>
      <w:r w:rsidRPr="00265EF9">
        <w:rPr>
          <w:lang w:val="en-US"/>
        </w:rPr>
        <w:t xml:space="preserve"> </w:t>
      </w:r>
      <w:r w:rsidRPr="00B45592">
        <w:rPr>
          <w:i/>
          <w:lang w:val="en-US"/>
        </w:rPr>
        <w:t>Gibbons vs. Ogden</w:t>
      </w:r>
      <w:r w:rsidRPr="00584023">
        <w:rPr>
          <w:lang w:val="en-US"/>
        </w:rPr>
        <w:t xml:space="preserve">, </w:t>
      </w:r>
      <w:r w:rsidRPr="00B45592">
        <w:rPr>
          <w:lang w:val="en-IE"/>
        </w:rPr>
        <w:t xml:space="preserve">22 U.S. 1, </w:t>
      </w:r>
      <w:r w:rsidRPr="00584023">
        <w:rPr>
          <w:lang w:val="en-US"/>
        </w:rPr>
        <w:t xml:space="preserve">und </w:t>
      </w:r>
      <w:r w:rsidRPr="00B45592">
        <w:rPr>
          <w:i/>
          <w:lang w:val="en-US"/>
        </w:rPr>
        <w:t>Brown vs. Maryland</w:t>
      </w:r>
      <w:r w:rsidRPr="00584023">
        <w:rPr>
          <w:lang w:val="en-US"/>
        </w:rPr>
        <w:t xml:space="preserve">, </w:t>
      </w:r>
      <w:r w:rsidRPr="00B45592">
        <w:rPr>
          <w:lang w:val="en-IE"/>
        </w:rPr>
        <w:t xml:space="preserve">25 U.S. </w:t>
      </w:r>
      <w:proofErr w:type="gramStart"/>
      <w:r w:rsidRPr="00B45592">
        <w:rPr>
          <w:lang w:val="en-IE"/>
        </w:rPr>
        <w:t>419</w:t>
      </w:r>
      <w:r w:rsidRPr="00B45592">
        <w:rPr>
          <w:b/>
          <w:bCs/>
          <w:lang w:val="en-IE"/>
        </w:rPr>
        <w:t xml:space="preserve"> </w:t>
      </w:r>
      <w:r w:rsidRPr="00584023">
        <w:rPr>
          <w:lang w:val="en-US"/>
        </w:rPr>
        <w:t>;</w:t>
      </w:r>
      <w:proofErr w:type="gramEnd"/>
      <w:r>
        <w:rPr>
          <w:lang w:val="en-US"/>
        </w:rPr>
        <w:t xml:space="preserve"> </w:t>
      </w:r>
      <w:r w:rsidRPr="00584023">
        <w:rPr>
          <w:i/>
          <w:lang w:val="en-US"/>
        </w:rPr>
        <w:t>Holmes v. Jennison</w:t>
      </w:r>
      <w:r w:rsidRPr="00265EF9">
        <w:rPr>
          <w:lang w:val="en-US"/>
        </w:rPr>
        <w:t>, 39 U.S. 540, 617</w:t>
      </w:r>
      <w:r w:rsidRPr="00EC5BEB">
        <w:rPr>
          <w:lang w:val="en-US"/>
        </w:rPr>
        <w:t xml:space="preserve"> = 10 L. Ed. </w:t>
      </w:r>
      <w:r w:rsidRPr="00265EF9">
        <w:rPr>
          <w:lang w:val="en-US"/>
        </w:rPr>
        <w:t>579, 598</w:t>
      </w:r>
      <w:r w:rsidRPr="003B741A">
        <w:rPr>
          <w:lang w:val="en-US"/>
        </w:rPr>
        <w:t xml:space="preserve"> = 1840 U.S. LEXIS </w:t>
      </w:r>
      <w:r w:rsidRPr="00265EF9">
        <w:rPr>
          <w:lang w:val="en-US"/>
        </w:rPr>
        <w:t>387, 114 (1840)</w:t>
      </w:r>
      <w:r>
        <w:rPr>
          <w:lang w:val="en-US"/>
        </w:rPr>
        <w:t>.</w:t>
      </w:r>
    </w:p>
  </w:footnote>
  <w:footnote w:id="429">
    <w:p w14:paraId="27647BE9" w14:textId="77777777" w:rsidR="00074551" w:rsidRPr="003138E6" w:rsidRDefault="00074551" w:rsidP="00074551">
      <w:pPr>
        <w:pStyle w:val="Funotentext"/>
        <w:jc w:val="both"/>
        <w:rPr>
          <w:lang w:val="en-US"/>
        </w:rPr>
      </w:pPr>
      <w:r>
        <w:rPr>
          <w:rStyle w:val="Funotenzeichen"/>
        </w:rPr>
        <w:footnoteRef/>
      </w:r>
      <w:r w:rsidRPr="003138E6">
        <w:rPr>
          <w:lang w:val="en-US"/>
        </w:rPr>
        <w:t xml:space="preserve"> </w:t>
      </w:r>
      <w:r>
        <w:rPr>
          <w:lang w:val="en-US"/>
        </w:rPr>
        <w:t>„</w:t>
      </w:r>
      <w:r w:rsidRPr="003138E6">
        <w:rPr>
          <w:lang w:val="en-US"/>
        </w:rPr>
        <w:t xml:space="preserve">Rev. Stat. </w:t>
      </w:r>
      <w:r>
        <w:rPr>
          <w:lang w:val="en-US"/>
        </w:rPr>
        <w:t>§ </w:t>
      </w:r>
      <w:r w:rsidRPr="003138E6">
        <w:rPr>
          <w:lang w:val="en-US"/>
        </w:rPr>
        <w:t>5440 (1879) provides that if two or more persons conspire either to commit any offence against the United States or to defraud the United States in any manner or for any purpose, and one or more of such parties do any act to effect the object of the conspiracy, all the parties to such conspiracy shall be liable to a penalty of not more than ten thousand dollars, or to imprisonment for not more than two years, or to both fine and imprisonment, in the discretion of the court</w:t>
      </w:r>
      <w:r>
        <w:rPr>
          <w:lang w:val="en-US"/>
        </w:rPr>
        <w:t xml:space="preserve">“, </w:t>
      </w:r>
      <w:r w:rsidRPr="00584023">
        <w:rPr>
          <w:i/>
          <w:lang w:val="en-US"/>
        </w:rPr>
        <w:t>In re Coy</w:t>
      </w:r>
      <w:r w:rsidRPr="003138E6">
        <w:rPr>
          <w:lang w:val="en-US"/>
        </w:rPr>
        <w:t>, 127 U.S. 731, 732</w:t>
      </w:r>
      <w:r>
        <w:rPr>
          <w:lang w:val="en-US"/>
        </w:rPr>
        <w:t xml:space="preserve"> = 8 S. Ct. </w:t>
      </w:r>
      <w:r w:rsidRPr="003138E6">
        <w:rPr>
          <w:lang w:val="en-US"/>
        </w:rPr>
        <w:t>1263, 1264</w:t>
      </w:r>
      <w:r w:rsidRPr="00EC5BEB">
        <w:rPr>
          <w:lang w:val="en-US"/>
        </w:rPr>
        <w:t xml:space="preserve"> = 32 L. Ed. </w:t>
      </w:r>
      <w:r w:rsidRPr="003138E6">
        <w:rPr>
          <w:lang w:val="en-US"/>
        </w:rPr>
        <w:t>274, 275</w:t>
      </w:r>
      <w:r w:rsidRPr="00EC5BEB">
        <w:rPr>
          <w:lang w:val="en-US"/>
        </w:rPr>
        <w:t xml:space="preserve"> = 1888 U.S. LEXIS </w:t>
      </w:r>
      <w:r w:rsidRPr="003138E6">
        <w:rPr>
          <w:lang w:val="en-US"/>
        </w:rPr>
        <w:t>2448, 1 (1888)</w:t>
      </w:r>
      <w:r>
        <w:rPr>
          <w:lang w:val="en-US"/>
        </w:rPr>
        <w:t>.</w:t>
      </w:r>
    </w:p>
  </w:footnote>
  <w:footnote w:id="430">
    <w:p w14:paraId="54F26F70" w14:textId="77777777" w:rsidR="00074551" w:rsidRPr="003138E6" w:rsidRDefault="00074551" w:rsidP="00074551">
      <w:pPr>
        <w:pStyle w:val="Funotentext"/>
        <w:jc w:val="both"/>
        <w:rPr>
          <w:lang w:val="en-US"/>
        </w:rPr>
      </w:pPr>
      <w:r>
        <w:rPr>
          <w:rStyle w:val="Funotenzeichen"/>
        </w:rPr>
        <w:footnoteRef/>
      </w:r>
      <w:r w:rsidRPr="003138E6">
        <w:rPr>
          <w:lang w:val="en-US"/>
        </w:rPr>
        <w:t xml:space="preserve"> </w:t>
      </w:r>
      <w:r>
        <w:rPr>
          <w:lang w:val="en-US"/>
        </w:rPr>
        <w:t>„</w:t>
      </w:r>
      <w:r w:rsidRPr="003138E6">
        <w:rPr>
          <w:lang w:val="en-US"/>
        </w:rPr>
        <w:t xml:space="preserve">Rev. Stat. </w:t>
      </w:r>
      <w:r>
        <w:rPr>
          <w:lang w:val="en-US"/>
        </w:rPr>
        <w:t>§ </w:t>
      </w:r>
      <w:r w:rsidRPr="003138E6">
        <w:rPr>
          <w:lang w:val="en-US"/>
        </w:rPr>
        <w:t>5512, although mainly relating to the registration of voters, makes it an offence for any officer or other person who has any duty to perform in relation to such registration or election, in ascertaining, announcing or declaring the result thereof, or in giving or making any certificate, document or evidence in relation thereto, who knowingly neglects or refuses to perform any duty required by law, or violates any duty imposed by law, or does any act unauthorized by law relating to or affecting such registration or election or the result thereof, or any certificate, document or evidence in relation thereto, or if any person aids, counsels, procures, or advises any such voter, person or officer to do any act hereby made a crime, or to omit any act the omission of which is hereby made a crime, every such person shall be punishable as prescribed in the preceding section.</w:t>
      </w:r>
      <w:r>
        <w:rPr>
          <w:lang w:val="en-US"/>
        </w:rPr>
        <w:t xml:space="preserve">ׅ“, </w:t>
      </w:r>
      <w:r w:rsidRPr="00584023">
        <w:rPr>
          <w:i/>
          <w:lang w:val="en-US"/>
        </w:rPr>
        <w:t>In re Coy</w:t>
      </w:r>
      <w:r w:rsidRPr="003138E6">
        <w:rPr>
          <w:lang w:val="en-US"/>
        </w:rPr>
        <w:t>, 127 U.S. 731, 732</w:t>
      </w:r>
      <w:r>
        <w:rPr>
          <w:lang w:val="en-US"/>
        </w:rPr>
        <w:t xml:space="preserve"> = 8 S. Ct. </w:t>
      </w:r>
      <w:r w:rsidRPr="003138E6">
        <w:rPr>
          <w:lang w:val="en-US"/>
        </w:rPr>
        <w:t>1263, 1264</w:t>
      </w:r>
      <w:r w:rsidRPr="00EC5BEB">
        <w:rPr>
          <w:lang w:val="en-US"/>
        </w:rPr>
        <w:t xml:space="preserve"> = 32 L. Ed. </w:t>
      </w:r>
      <w:r w:rsidRPr="003138E6">
        <w:rPr>
          <w:lang w:val="en-US"/>
        </w:rPr>
        <w:t>274, 275</w:t>
      </w:r>
      <w:r w:rsidRPr="00EC5BEB">
        <w:rPr>
          <w:lang w:val="en-US"/>
        </w:rPr>
        <w:t xml:space="preserve"> = 1888 U.S. LEXIS </w:t>
      </w:r>
      <w:r w:rsidRPr="003138E6">
        <w:rPr>
          <w:lang w:val="en-US"/>
        </w:rPr>
        <w:t>2448, 1 (1888)</w:t>
      </w:r>
      <w:r>
        <w:rPr>
          <w:lang w:val="en-US"/>
        </w:rPr>
        <w:t>.</w:t>
      </w:r>
    </w:p>
  </w:footnote>
  <w:footnote w:id="431">
    <w:p w14:paraId="73A9F4B3" w14:textId="77777777" w:rsidR="00074551" w:rsidRPr="003138E6" w:rsidRDefault="00074551" w:rsidP="00074551">
      <w:pPr>
        <w:pStyle w:val="Funotentext"/>
        <w:jc w:val="both"/>
        <w:rPr>
          <w:lang w:val="en-US"/>
        </w:rPr>
      </w:pPr>
      <w:r>
        <w:rPr>
          <w:rStyle w:val="Funotenzeichen"/>
        </w:rPr>
        <w:footnoteRef/>
      </w:r>
      <w:r w:rsidRPr="003138E6">
        <w:rPr>
          <w:lang w:val="en-US"/>
        </w:rPr>
        <w:t xml:space="preserve"> </w:t>
      </w:r>
      <w:r>
        <w:rPr>
          <w:lang w:val="en-US"/>
        </w:rPr>
        <w:t>„</w:t>
      </w:r>
      <w:r w:rsidRPr="003138E6">
        <w:rPr>
          <w:lang w:val="en-US"/>
        </w:rPr>
        <w:t xml:space="preserve">Rev. Stat. </w:t>
      </w:r>
      <w:r>
        <w:rPr>
          <w:lang w:val="en-US"/>
        </w:rPr>
        <w:t>§ </w:t>
      </w:r>
      <w:r w:rsidRPr="003138E6">
        <w:rPr>
          <w:lang w:val="en-US"/>
        </w:rPr>
        <w:t xml:space="preserve">5515 provides that every officer of an election at which any representative or delegate in Congress is voted for, whether such officer of election be appointed or created by or under any law or authority of the United States, or by or under any state, territorial, district, or municipal law or authority, who neglects or refuses to perform any duty in regard to such election required of him by any law of the United States, or of any state or territory thereof; or who violates any duty so imposed; or who knowingly does any acts thereby unauthorized, with intent to affect any such election or the result thereof; shall be punished as prescribed in Rev. Stat. </w:t>
      </w:r>
      <w:r>
        <w:rPr>
          <w:lang w:val="en-US"/>
        </w:rPr>
        <w:t>§ </w:t>
      </w:r>
      <w:r w:rsidRPr="003138E6">
        <w:rPr>
          <w:lang w:val="en-US"/>
        </w:rPr>
        <w:t>5511</w:t>
      </w:r>
      <w:r>
        <w:rPr>
          <w:lang w:val="en-US"/>
        </w:rPr>
        <w:t xml:space="preserve">“, </w:t>
      </w:r>
      <w:r w:rsidRPr="00584023">
        <w:rPr>
          <w:i/>
          <w:lang w:val="en-US"/>
        </w:rPr>
        <w:t>In re Coy</w:t>
      </w:r>
      <w:r w:rsidRPr="003138E6">
        <w:rPr>
          <w:lang w:val="en-US"/>
        </w:rPr>
        <w:t>, 127 U.S. 731, 732</w:t>
      </w:r>
      <w:r>
        <w:rPr>
          <w:lang w:val="en-US"/>
        </w:rPr>
        <w:t xml:space="preserve"> = 8 S. Ct. </w:t>
      </w:r>
      <w:r w:rsidRPr="003138E6">
        <w:rPr>
          <w:lang w:val="en-US"/>
        </w:rPr>
        <w:t>1263, 1264</w:t>
      </w:r>
      <w:r w:rsidRPr="00EC5BEB">
        <w:rPr>
          <w:lang w:val="en-US"/>
        </w:rPr>
        <w:t xml:space="preserve"> = 32 L. Ed. </w:t>
      </w:r>
      <w:r w:rsidRPr="003138E6">
        <w:rPr>
          <w:lang w:val="en-US"/>
        </w:rPr>
        <w:t>274, 275</w:t>
      </w:r>
      <w:r w:rsidRPr="00EC5BEB">
        <w:rPr>
          <w:lang w:val="en-US"/>
        </w:rPr>
        <w:t xml:space="preserve"> = 1888 U.S. LEXIS </w:t>
      </w:r>
      <w:r w:rsidRPr="003138E6">
        <w:rPr>
          <w:lang w:val="en-US"/>
        </w:rPr>
        <w:t>2448, 1 (1888)</w:t>
      </w:r>
      <w:r>
        <w:rPr>
          <w:lang w:val="en-US"/>
        </w:rPr>
        <w:t>.</w:t>
      </w:r>
    </w:p>
  </w:footnote>
  <w:footnote w:id="432">
    <w:p w14:paraId="5A1D6F23" w14:textId="77777777" w:rsidR="00074551" w:rsidRPr="003138E6" w:rsidRDefault="00074551" w:rsidP="00074551">
      <w:pPr>
        <w:pStyle w:val="Funotentext"/>
        <w:jc w:val="both"/>
        <w:rPr>
          <w:lang w:val="en-US"/>
        </w:rPr>
      </w:pPr>
      <w:r>
        <w:rPr>
          <w:rStyle w:val="Funotenzeichen"/>
        </w:rPr>
        <w:footnoteRef/>
      </w:r>
      <w:r w:rsidRPr="003138E6">
        <w:rPr>
          <w:lang w:val="en-US"/>
        </w:rPr>
        <w:t xml:space="preserve"> </w:t>
      </w:r>
      <w:r>
        <w:rPr>
          <w:lang w:val="en-US"/>
        </w:rPr>
        <w:t>“</w:t>
      </w:r>
      <w:r w:rsidRPr="003138E6">
        <w:rPr>
          <w:lang w:val="en-US"/>
        </w:rPr>
        <w:t xml:space="preserve">Ind. Code </w:t>
      </w:r>
      <w:r>
        <w:rPr>
          <w:lang w:val="en-US"/>
        </w:rPr>
        <w:t>§ </w:t>
      </w:r>
      <w:r w:rsidRPr="003138E6">
        <w:rPr>
          <w:lang w:val="en-US"/>
        </w:rPr>
        <w:t>4713 provides that upon the delivery of such envelope to the clerk, said inspector shall take and subscribe an oath before said clerk, that he has securely kept said envelope, and the ballots and papers therein, and that, after said envelope had been closed and sealed by him in the presence of the judges and clerks, he had not suffered or permitted any person to break the seal or open said envelope, or touch or tamper with said ballot or papers, and that no person has broken such seal or opened said envelope to his knowledge; which oath shall be filed in said clerk</w:t>
      </w:r>
      <w:r>
        <w:rPr>
          <w:lang w:val="en-US"/>
        </w:rPr>
        <w:t>’</w:t>
      </w:r>
      <w:r w:rsidRPr="003138E6">
        <w:rPr>
          <w:lang w:val="en-US"/>
        </w:rPr>
        <w:t xml:space="preserve">s office with the other election papers. […] Ind. Code </w:t>
      </w:r>
      <w:r>
        <w:rPr>
          <w:lang w:val="en-US"/>
        </w:rPr>
        <w:t>§ </w:t>
      </w:r>
      <w:r w:rsidRPr="003138E6">
        <w:rPr>
          <w:lang w:val="en-US"/>
        </w:rPr>
        <w:t xml:space="preserve">4714 provides that the clerk shall securely keep said envelope so sealed, with the ballots and papers therein, in the same condition as it was received by him from the inspector in his office, unless opened by said inspector, in the presence of the board of canvassers, as herein provided, for the period of six months. But, when such election is </w:t>
      </w:r>
      <w:proofErr w:type="gramStart"/>
      <w:r w:rsidRPr="003138E6">
        <w:rPr>
          <w:lang w:val="en-US"/>
        </w:rPr>
        <w:t>contested</w:t>
      </w:r>
      <w:proofErr w:type="gramEnd"/>
      <w:r w:rsidRPr="003138E6">
        <w:rPr>
          <w:lang w:val="en-US"/>
        </w:rPr>
        <w:t xml:space="preserve"> he shall preserve them so long as such contest is undetermined, subject to the order of the court trying such contest. […] Ind. Code </w:t>
      </w:r>
      <w:r>
        <w:rPr>
          <w:lang w:val="en-US"/>
        </w:rPr>
        <w:t>§ </w:t>
      </w:r>
      <w:r w:rsidRPr="003138E6">
        <w:rPr>
          <w:lang w:val="en-US"/>
        </w:rPr>
        <w:t xml:space="preserve">4715 provides that the inspectors of each township or precinct, or the judges of election to whom the certificates, poll-books, and tally papers shall have been delivered as provided for in this act, shall constitute a board of canvassers, who shall canvass and estimate the certificates, poll lists, and tally papers returned by each member of said board: for which purpose they shall assemble at the court-house, on the Thursday next succeeding such election, between the hours of 10 A.M. and 6 P.M. […] Ind. Code </w:t>
      </w:r>
      <w:r>
        <w:rPr>
          <w:lang w:val="en-US"/>
        </w:rPr>
        <w:t>§ </w:t>
      </w:r>
      <w:r w:rsidRPr="003138E6">
        <w:rPr>
          <w:lang w:val="en-US"/>
        </w:rPr>
        <w:t xml:space="preserve">4716 provides that the members of a board of canvassers, who shall assemble at a time and place pursuant to Ind. Code </w:t>
      </w:r>
      <w:r>
        <w:rPr>
          <w:lang w:val="en-US"/>
        </w:rPr>
        <w:t>§ </w:t>
      </w:r>
      <w:r w:rsidRPr="003138E6">
        <w:rPr>
          <w:lang w:val="en-US"/>
        </w:rPr>
        <w:t xml:space="preserve">4716, shall select one of their number as chairman, and the clerk of the Circuit Court shall act as their clerk. […] Ind. Code </w:t>
      </w:r>
      <w:r>
        <w:rPr>
          <w:lang w:val="en-US"/>
        </w:rPr>
        <w:t>§ </w:t>
      </w:r>
      <w:r w:rsidRPr="003138E6">
        <w:rPr>
          <w:lang w:val="en-US"/>
        </w:rPr>
        <w:t>4717 provides that the board of canvassers, when organized, shall carefully compared and examine the papers entrusted to it, and aggregate and tabulate from them the vote of the county; a statement of which shall be drawn up by the clerk, and shall contain the names of the persons voted for, the office, the number of votes given in each township and precinct to each person, the number of votes given to each in the county, and also the aggregate number of votes given; which statement shall be signed by each member of said board; which canvass sheet, together with such certificates, poll-books, and tally papers, shall be delivered to the clerk, and by him filed in his office. The same shall be preserved by him, open to the inspection of any legal voter of the county or district or state</w:t>
      </w:r>
      <w:r>
        <w:rPr>
          <w:lang w:val="en-US"/>
        </w:rPr>
        <w:t xml:space="preserve">,” </w:t>
      </w:r>
      <w:r w:rsidRPr="00584023">
        <w:rPr>
          <w:i/>
          <w:lang w:val="en-US"/>
        </w:rPr>
        <w:t>In re Coy</w:t>
      </w:r>
      <w:r w:rsidRPr="00A501A1">
        <w:rPr>
          <w:lang w:val="en-US"/>
        </w:rPr>
        <w:t>, 127 U.S. 731, 732</w:t>
      </w:r>
      <w:r>
        <w:rPr>
          <w:lang w:val="en-US"/>
        </w:rPr>
        <w:t xml:space="preserve"> = 8 S. Ct. </w:t>
      </w:r>
      <w:r w:rsidRPr="00A501A1">
        <w:rPr>
          <w:lang w:val="en-US"/>
        </w:rPr>
        <w:t>1263, 1264</w:t>
      </w:r>
      <w:r w:rsidRPr="00EC5BEB">
        <w:rPr>
          <w:lang w:val="en-US"/>
        </w:rPr>
        <w:t xml:space="preserve"> = 32 L. Ed. </w:t>
      </w:r>
      <w:r w:rsidRPr="00A501A1">
        <w:rPr>
          <w:lang w:val="en-US"/>
        </w:rPr>
        <w:t>274, 275</w:t>
      </w:r>
      <w:r w:rsidRPr="00EC5BEB">
        <w:rPr>
          <w:lang w:val="en-US"/>
        </w:rPr>
        <w:t xml:space="preserve"> = 1888 U.S. LEXIS </w:t>
      </w:r>
      <w:r w:rsidRPr="00A501A1">
        <w:rPr>
          <w:lang w:val="en-US"/>
        </w:rPr>
        <w:t>2448, 1 (1888)</w:t>
      </w:r>
    </w:p>
  </w:footnote>
  <w:footnote w:id="433">
    <w:p w14:paraId="363D7226" w14:textId="77777777" w:rsidR="00074551" w:rsidRPr="00A501A1" w:rsidRDefault="00074551" w:rsidP="00074551">
      <w:pPr>
        <w:pStyle w:val="Funotentext"/>
        <w:jc w:val="both"/>
        <w:rPr>
          <w:lang w:val="en-US"/>
        </w:rPr>
      </w:pPr>
      <w:r>
        <w:rPr>
          <w:rStyle w:val="Funotenzeichen"/>
        </w:rPr>
        <w:footnoteRef/>
      </w:r>
      <w:r w:rsidRPr="00A501A1">
        <w:rPr>
          <w:lang w:val="en-US"/>
        </w:rPr>
        <w:t xml:space="preserve"> </w:t>
      </w:r>
      <w:r w:rsidRPr="00584023">
        <w:rPr>
          <w:i/>
          <w:lang w:val="en-US"/>
        </w:rPr>
        <w:t>In re Coy</w:t>
      </w:r>
      <w:r w:rsidRPr="00A501A1">
        <w:rPr>
          <w:lang w:val="en-US"/>
        </w:rPr>
        <w:t>, 127 U.S. 731, 732</w:t>
      </w:r>
      <w:r>
        <w:rPr>
          <w:lang w:val="en-US"/>
        </w:rPr>
        <w:t xml:space="preserve"> = 8 S. Ct. </w:t>
      </w:r>
      <w:r w:rsidRPr="00A501A1">
        <w:rPr>
          <w:lang w:val="en-US"/>
        </w:rPr>
        <w:t>1263, 1264</w:t>
      </w:r>
      <w:r w:rsidRPr="00EC5BEB">
        <w:rPr>
          <w:lang w:val="en-US"/>
        </w:rPr>
        <w:t xml:space="preserve"> = 32 L. Ed. </w:t>
      </w:r>
      <w:r w:rsidRPr="00A501A1">
        <w:rPr>
          <w:lang w:val="en-US"/>
        </w:rPr>
        <w:t>274, 275</w:t>
      </w:r>
      <w:r w:rsidRPr="00EC5BEB">
        <w:rPr>
          <w:lang w:val="en-US"/>
        </w:rPr>
        <w:t xml:space="preserve"> = 1888 U.S. LEXIS </w:t>
      </w:r>
      <w:r w:rsidRPr="00A501A1">
        <w:rPr>
          <w:lang w:val="en-US"/>
        </w:rPr>
        <w:t>2448, 1 (1888)</w:t>
      </w:r>
      <w:r>
        <w:rPr>
          <w:lang w:val="en-US"/>
        </w:rPr>
        <w:t>.</w:t>
      </w:r>
    </w:p>
  </w:footnote>
  <w:footnote w:id="434">
    <w:p w14:paraId="6E50ECE0" w14:textId="77777777" w:rsidR="00074551" w:rsidRPr="00D657B4" w:rsidRDefault="00074551" w:rsidP="00074551">
      <w:pPr>
        <w:pStyle w:val="Funotentext"/>
        <w:jc w:val="both"/>
        <w:rPr>
          <w:lang w:val="en-US"/>
        </w:rPr>
      </w:pPr>
      <w:r>
        <w:rPr>
          <w:rStyle w:val="Funotenzeichen"/>
        </w:rPr>
        <w:footnoteRef/>
      </w:r>
      <w:r w:rsidRPr="00D657B4">
        <w:rPr>
          <w:lang w:val="en-US"/>
        </w:rPr>
        <w:t xml:space="preserve"> </w:t>
      </w:r>
      <w:r w:rsidRPr="00584023">
        <w:rPr>
          <w:i/>
          <w:lang w:val="en-US"/>
        </w:rPr>
        <w:t>In re Coy</w:t>
      </w:r>
      <w:r w:rsidRPr="00D657B4">
        <w:rPr>
          <w:lang w:val="en-US"/>
        </w:rPr>
        <w:t>, 127 U.S. 731, 751</w:t>
      </w:r>
      <w:r>
        <w:rPr>
          <w:lang w:val="en-US"/>
        </w:rPr>
        <w:t xml:space="preserve"> = 8 S. Ct. </w:t>
      </w:r>
      <w:r w:rsidRPr="00D657B4">
        <w:rPr>
          <w:lang w:val="en-US"/>
        </w:rPr>
        <w:t>1263, 1268</w:t>
      </w:r>
      <w:r w:rsidRPr="00EC5BEB">
        <w:rPr>
          <w:lang w:val="en-US"/>
        </w:rPr>
        <w:t xml:space="preserve"> = 32 L. Ed. </w:t>
      </w:r>
      <w:r w:rsidRPr="00D657B4">
        <w:rPr>
          <w:lang w:val="en-US"/>
        </w:rPr>
        <w:t>274, 278</w:t>
      </w:r>
      <w:r w:rsidRPr="00EC5BEB">
        <w:rPr>
          <w:lang w:val="en-US"/>
        </w:rPr>
        <w:t xml:space="preserve"> = 1888 U.S. LEXIS </w:t>
      </w:r>
      <w:r w:rsidRPr="00D657B4">
        <w:rPr>
          <w:lang w:val="en-US"/>
        </w:rPr>
        <w:t>2448, 21 (1888)</w:t>
      </w:r>
      <w:r>
        <w:rPr>
          <w:lang w:val="en-US"/>
        </w:rPr>
        <w:t>.</w:t>
      </w:r>
    </w:p>
  </w:footnote>
  <w:footnote w:id="435">
    <w:p w14:paraId="319C3BBF" w14:textId="77777777" w:rsidR="00074551" w:rsidRPr="00997277" w:rsidRDefault="00074551" w:rsidP="00074551">
      <w:pPr>
        <w:pStyle w:val="Funotentext"/>
        <w:jc w:val="both"/>
        <w:rPr>
          <w:lang w:val="en-US"/>
        </w:rPr>
      </w:pPr>
      <w:r>
        <w:rPr>
          <w:rStyle w:val="Funotenzeichen"/>
        </w:rPr>
        <w:footnoteRef/>
      </w:r>
      <w:r w:rsidRPr="00997277">
        <w:rPr>
          <w:lang w:val="en-US"/>
        </w:rPr>
        <w:t xml:space="preserve"> </w:t>
      </w:r>
      <w:r w:rsidRPr="00584023">
        <w:rPr>
          <w:i/>
          <w:lang w:val="en-US"/>
        </w:rPr>
        <w:t>In re Coy</w:t>
      </w:r>
      <w:r w:rsidRPr="00997277">
        <w:rPr>
          <w:lang w:val="en-US"/>
        </w:rPr>
        <w:t>, 127 U.S. 731, 764</w:t>
      </w:r>
      <w:r>
        <w:rPr>
          <w:lang w:val="en-US"/>
        </w:rPr>
        <w:t xml:space="preserve"> = 8 S. Ct. </w:t>
      </w:r>
      <w:r w:rsidRPr="00997277">
        <w:rPr>
          <w:lang w:val="en-US"/>
        </w:rPr>
        <w:t>1263, 1275</w:t>
      </w:r>
      <w:r w:rsidRPr="00EC5BEB">
        <w:rPr>
          <w:lang w:val="en-US"/>
        </w:rPr>
        <w:t xml:space="preserve"> = 32 L. Ed. </w:t>
      </w:r>
      <w:r w:rsidRPr="00997277">
        <w:rPr>
          <w:lang w:val="en-US"/>
        </w:rPr>
        <w:t>274, 283</w:t>
      </w:r>
      <w:r w:rsidRPr="00EC5BEB">
        <w:rPr>
          <w:lang w:val="en-US"/>
        </w:rPr>
        <w:t xml:space="preserve"> = 1888 U.S. LEXIS </w:t>
      </w:r>
      <w:r w:rsidRPr="00997277">
        <w:rPr>
          <w:lang w:val="en-US"/>
        </w:rPr>
        <w:t>2448, 45 (1888)</w:t>
      </w:r>
      <w:r>
        <w:rPr>
          <w:lang w:val="en-US"/>
        </w:rPr>
        <w:t>.</w:t>
      </w:r>
    </w:p>
  </w:footnote>
  <w:footnote w:id="436">
    <w:p w14:paraId="51ACD74B" w14:textId="77777777" w:rsidR="00074551" w:rsidRPr="005A33F3" w:rsidRDefault="00074551" w:rsidP="00074551">
      <w:pPr>
        <w:pStyle w:val="Funotentext"/>
        <w:jc w:val="both"/>
        <w:rPr>
          <w:lang w:val="en-US"/>
        </w:rPr>
      </w:pPr>
      <w:r>
        <w:rPr>
          <w:rStyle w:val="Funotenzeichen"/>
        </w:rPr>
        <w:footnoteRef/>
      </w:r>
      <w:r w:rsidRPr="005A33F3">
        <w:rPr>
          <w:lang w:val="en-US"/>
        </w:rPr>
        <w:t xml:space="preserve"> </w:t>
      </w:r>
      <w:r w:rsidRPr="00584023">
        <w:rPr>
          <w:i/>
          <w:lang w:val="en-US"/>
        </w:rPr>
        <w:t>In re Coy</w:t>
      </w:r>
      <w:r w:rsidRPr="005A33F3">
        <w:rPr>
          <w:lang w:val="en-US"/>
        </w:rPr>
        <w:t>, 127 U.S. 731, 764</w:t>
      </w:r>
      <w:r>
        <w:rPr>
          <w:lang w:val="en-US"/>
        </w:rPr>
        <w:t xml:space="preserve"> = 8 S. Ct. </w:t>
      </w:r>
      <w:r w:rsidRPr="005A33F3">
        <w:rPr>
          <w:lang w:val="en-US"/>
        </w:rPr>
        <w:t>1263, 1275</w:t>
      </w:r>
      <w:r w:rsidRPr="00EC5BEB">
        <w:rPr>
          <w:lang w:val="en-US"/>
        </w:rPr>
        <w:t xml:space="preserve"> = 32 L. Ed. </w:t>
      </w:r>
      <w:r w:rsidRPr="005A33F3">
        <w:rPr>
          <w:lang w:val="en-US"/>
        </w:rPr>
        <w:t>274, 282</w:t>
      </w:r>
      <w:r w:rsidRPr="00EC5BEB">
        <w:rPr>
          <w:lang w:val="en-US"/>
        </w:rPr>
        <w:t xml:space="preserve"> = 1888 U.S. LEXIS </w:t>
      </w:r>
      <w:r w:rsidRPr="005A33F3">
        <w:rPr>
          <w:lang w:val="en-US"/>
        </w:rPr>
        <w:t>2448, 45 (1888)</w:t>
      </w:r>
      <w:r>
        <w:rPr>
          <w:lang w:val="en-US"/>
        </w:rPr>
        <w:t>.</w:t>
      </w:r>
    </w:p>
  </w:footnote>
  <w:footnote w:id="437">
    <w:p w14:paraId="6ECC27F8" w14:textId="77777777" w:rsidR="00074551" w:rsidRPr="00E0019A" w:rsidRDefault="00074551" w:rsidP="00074551">
      <w:pPr>
        <w:pStyle w:val="Funotentext"/>
        <w:rPr>
          <w:lang w:val="en-US"/>
        </w:rPr>
      </w:pPr>
      <w:r>
        <w:rPr>
          <w:rStyle w:val="Funotenzeichen"/>
        </w:rPr>
        <w:footnoteRef/>
      </w:r>
      <w:r w:rsidRPr="00E0019A">
        <w:rPr>
          <w:lang w:val="en-US"/>
        </w:rPr>
        <w:t xml:space="preserve"> </w:t>
      </w:r>
      <w:r>
        <w:rPr>
          <w:lang w:val="en-US"/>
        </w:rPr>
        <w:t>„</w:t>
      </w:r>
      <w:r w:rsidRPr="00E0019A">
        <w:rPr>
          <w:lang w:val="en-US"/>
        </w:rPr>
        <w:t>Effecting insurance on account of foreign companies that have not complied with the laws of this state</w:t>
      </w:r>
      <w:r>
        <w:rPr>
          <w:lang w:val="en-US"/>
        </w:rPr>
        <w:t xml:space="preserve">. </w:t>
      </w:r>
      <w:r w:rsidRPr="00E0019A">
        <w:rPr>
          <w:lang w:val="en-US"/>
        </w:rPr>
        <w:t xml:space="preserve">Every person who in this state procures, or agrees to procure, any insurance for a resident of this state, from any insurance company not incorporated under the laws of this state, unless such company or its agent has filed the bond required by the laws of this state relating to insurance, is guilty of a </w:t>
      </w:r>
      <w:proofErr w:type="gramStart"/>
      <w:r w:rsidRPr="00E0019A">
        <w:rPr>
          <w:lang w:val="en-US"/>
        </w:rPr>
        <w:t>misdemeanor</w:t>
      </w:r>
      <w:r>
        <w:rPr>
          <w:lang w:val="en-US"/>
        </w:rPr>
        <w:t>“</w:t>
      </w:r>
      <w:proofErr w:type="gramEnd"/>
      <w:r>
        <w:rPr>
          <w:lang w:val="en-US"/>
        </w:rPr>
        <w:t xml:space="preserve">, </w:t>
      </w:r>
      <w:r w:rsidRPr="00E0019A">
        <w:rPr>
          <w:lang w:val="en-US"/>
        </w:rPr>
        <w:t>Cal</w:t>
      </w:r>
      <w:r>
        <w:rPr>
          <w:lang w:val="en-US"/>
        </w:rPr>
        <w:t>.</w:t>
      </w:r>
      <w:r w:rsidRPr="00E0019A">
        <w:rPr>
          <w:lang w:val="en-US"/>
        </w:rPr>
        <w:t xml:space="preserve"> Pen</w:t>
      </w:r>
      <w:r>
        <w:rPr>
          <w:lang w:val="en-US"/>
        </w:rPr>
        <w:t>.</w:t>
      </w:r>
      <w:r w:rsidRPr="00E0019A">
        <w:rPr>
          <w:lang w:val="en-US"/>
        </w:rPr>
        <w:t xml:space="preserve"> Code </w:t>
      </w:r>
      <w:r>
        <w:rPr>
          <w:lang w:val="en-US"/>
        </w:rPr>
        <w:t>§ </w:t>
      </w:r>
      <w:r w:rsidRPr="00E0019A">
        <w:rPr>
          <w:lang w:val="en-US"/>
        </w:rPr>
        <w:t>439</w:t>
      </w:r>
      <w:r>
        <w:rPr>
          <w:lang w:val="en-US"/>
        </w:rPr>
        <w:t>.</w:t>
      </w:r>
    </w:p>
  </w:footnote>
  <w:footnote w:id="438">
    <w:p w14:paraId="29263920" w14:textId="77777777" w:rsidR="00074551" w:rsidRPr="00A87844" w:rsidRDefault="00074551" w:rsidP="00074551">
      <w:pPr>
        <w:pStyle w:val="Funotentext"/>
        <w:jc w:val="both"/>
        <w:rPr>
          <w:lang w:val="en-US"/>
        </w:rPr>
      </w:pPr>
      <w:r>
        <w:rPr>
          <w:rStyle w:val="Funotenzeichen"/>
        </w:rPr>
        <w:footnoteRef/>
      </w:r>
      <w:r w:rsidRPr="00A87844">
        <w:rPr>
          <w:lang w:val="en-US"/>
        </w:rPr>
        <w:t xml:space="preserve"> </w:t>
      </w:r>
      <w:r w:rsidRPr="00584023">
        <w:rPr>
          <w:i/>
          <w:lang w:val="en-US"/>
        </w:rPr>
        <w:t>Hooper v. Cal.</w:t>
      </w:r>
      <w:r w:rsidRPr="00A87844">
        <w:rPr>
          <w:lang w:val="en-US"/>
        </w:rPr>
        <w:t>, 155 U.S. 648, 652</w:t>
      </w:r>
      <w:r w:rsidRPr="003B741A">
        <w:rPr>
          <w:lang w:val="en-US"/>
        </w:rPr>
        <w:t xml:space="preserve"> = 15 S. Ct. </w:t>
      </w:r>
      <w:r w:rsidRPr="00A87844">
        <w:rPr>
          <w:lang w:val="en-US"/>
        </w:rPr>
        <w:t>207, 209</w:t>
      </w:r>
      <w:r w:rsidRPr="003B741A">
        <w:rPr>
          <w:lang w:val="en-US"/>
        </w:rPr>
        <w:t xml:space="preserve"> = 39 L. Ed. </w:t>
      </w:r>
      <w:r w:rsidRPr="00A87844">
        <w:rPr>
          <w:lang w:val="en-US"/>
        </w:rPr>
        <w:t>297, 299</w:t>
      </w:r>
      <w:r w:rsidRPr="003B741A">
        <w:rPr>
          <w:lang w:val="en-US"/>
        </w:rPr>
        <w:t xml:space="preserve"> = 1895 U.S. LEXIS </w:t>
      </w:r>
      <w:r w:rsidRPr="00A87844">
        <w:rPr>
          <w:lang w:val="en-US"/>
        </w:rPr>
        <w:t>2113, 7 (1895).</w:t>
      </w:r>
    </w:p>
  </w:footnote>
  <w:footnote w:id="439">
    <w:p w14:paraId="3A6A46FC" w14:textId="77777777" w:rsidR="00074551" w:rsidRPr="00B66130" w:rsidRDefault="00074551" w:rsidP="00074551">
      <w:pPr>
        <w:pStyle w:val="Funotentext"/>
        <w:jc w:val="both"/>
        <w:rPr>
          <w:lang w:val="en-US"/>
        </w:rPr>
      </w:pPr>
      <w:r>
        <w:rPr>
          <w:rStyle w:val="Funotenzeichen"/>
        </w:rPr>
        <w:footnoteRef/>
      </w:r>
      <w:r w:rsidRPr="00B66130">
        <w:rPr>
          <w:lang w:val="en-US"/>
        </w:rPr>
        <w:t xml:space="preserve"> </w:t>
      </w:r>
      <w:r w:rsidRPr="00A15962">
        <w:rPr>
          <w:i/>
          <w:lang w:val="en-US"/>
        </w:rPr>
        <w:t>Powell v. Pennsylvania</w:t>
      </w:r>
      <w:r w:rsidRPr="00B66130">
        <w:rPr>
          <w:lang w:val="en-US"/>
        </w:rPr>
        <w:t>, 127 U.S. 678, 684</w:t>
      </w:r>
      <w:r>
        <w:rPr>
          <w:lang w:val="en-US"/>
        </w:rPr>
        <w:t xml:space="preserve">; </w:t>
      </w:r>
      <w:r w:rsidRPr="00584023">
        <w:rPr>
          <w:i/>
          <w:lang w:val="en-US"/>
        </w:rPr>
        <w:t>Hooper v. Cal.</w:t>
      </w:r>
      <w:r w:rsidRPr="00B66130">
        <w:rPr>
          <w:lang w:val="en-US"/>
        </w:rPr>
        <w:t>, 155 U.S. 648, 662</w:t>
      </w:r>
      <w:r w:rsidRPr="003B741A">
        <w:rPr>
          <w:lang w:val="en-US"/>
        </w:rPr>
        <w:t xml:space="preserve"> = 15 S. Ct. </w:t>
      </w:r>
      <w:r w:rsidRPr="00B66130">
        <w:rPr>
          <w:lang w:val="en-US"/>
        </w:rPr>
        <w:t>207, 213</w:t>
      </w:r>
      <w:r w:rsidRPr="003B741A">
        <w:rPr>
          <w:lang w:val="en-US"/>
        </w:rPr>
        <w:t xml:space="preserve"> = 39 L. Ed. </w:t>
      </w:r>
      <w:r w:rsidRPr="00B66130">
        <w:rPr>
          <w:lang w:val="en-US"/>
        </w:rPr>
        <w:t>297, 303</w:t>
      </w:r>
      <w:r w:rsidRPr="003B741A">
        <w:rPr>
          <w:lang w:val="en-US"/>
        </w:rPr>
        <w:t xml:space="preserve"> = 1895 U.S. LEXIS </w:t>
      </w:r>
      <w:r w:rsidRPr="00B66130">
        <w:rPr>
          <w:lang w:val="en-US"/>
        </w:rPr>
        <w:t>2113, 27 (1895)</w:t>
      </w:r>
      <w:r>
        <w:rPr>
          <w:lang w:val="en-US"/>
        </w:rPr>
        <w:t>.</w:t>
      </w:r>
    </w:p>
  </w:footnote>
  <w:footnote w:id="440">
    <w:p w14:paraId="1A31FA88" w14:textId="77777777" w:rsidR="00074551" w:rsidRPr="00B66130" w:rsidRDefault="00074551" w:rsidP="00074551">
      <w:pPr>
        <w:pStyle w:val="Funotentext"/>
        <w:jc w:val="both"/>
        <w:rPr>
          <w:lang w:val="en-US"/>
        </w:rPr>
      </w:pPr>
      <w:r>
        <w:rPr>
          <w:rStyle w:val="Funotenzeichen"/>
        </w:rPr>
        <w:footnoteRef/>
      </w:r>
      <w:r w:rsidRPr="00B66130">
        <w:rPr>
          <w:lang w:val="en-US"/>
        </w:rPr>
        <w:t xml:space="preserve"> </w:t>
      </w:r>
      <w:r w:rsidRPr="00B45592">
        <w:rPr>
          <w:i/>
          <w:lang w:val="en-US"/>
        </w:rPr>
        <w:t>Butchers’ Union Co. v. Crescent City Co.</w:t>
      </w:r>
      <w:r w:rsidRPr="00B66130">
        <w:rPr>
          <w:lang w:val="en-US"/>
        </w:rPr>
        <w:t>, 111 U.S. 746, 757, 764</w:t>
      </w:r>
      <w:r>
        <w:rPr>
          <w:lang w:val="en-US"/>
        </w:rPr>
        <w:t xml:space="preserve">; </w:t>
      </w:r>
      <w:r w:rsidRPr="00584023">
        <w:rPr>
          <w:i/>
          <w:lang w:val="en-US"/>
        </w:rPr>
        <w:t>Hooper v. Cal.</w:t>
      </w:r>
      <w:r w:rsidRPr="00B66130">
        <w:rPr>
          <w:lang w:val="en-US"/>
        </w:rPr>
        <w:t>, 155 U.S. 648, 662</w:t>
      </w:r>
      <w:r w:rsidRPr="003B741A">
        <w:rPr>
          <w:lang w:val="en-US"/>
        </w:rPr>
        <w:t xml:space="preserve"> = 15 S. Ct. </w:t>
      </w:r>
      <w:r w:rsidRPr="00B66130">
        <w:rPr>
          <w:lang w:val="en-US"/>
        </w:rPr>
        <w:t>207, 213</w:t>
      </w:r>
      <w:r w:rsidRPr="003B741A">
        <w:rPr>
          <w:lang w:val="en-US"/>
        </w:rPr>
        <w:t xml:space="preserve"> = 39 L. Ed. </w:t>
      </w:r>
      <w:r w:rsidRPr="00B66130">
        <w:rPr>
          <w:lang w:val="en-US"/>
        </w:rPr>
        <w:t>297, 303</w:t>
      </w:r>
      <w:r w:rsidRPr="003B741A">
        <w:rPr>
          <w:lang w:val="en-US"/>
        </w:rPr>
        <w:t xml:space="preserve"> = 1895 U.S. LEXIS </w:t>
      </w:r>
      <w:r w:rsidRPr="00B66130">
        <w:rPr>
          <w:lang w:val="en-US"/>
        </w:rPr>
        <w:t>2113, 27 (1895)</w:t>
      </w:r>
      <w:r>
        <w:rPr>
          <w:lang w:val="en-US"/>
        </w:rPr>
        <w:t>.</w:t>
      </w:r>
    </w:p>
  </w:footnote>
  <w:footnote w:id="441">
    <w:p w14:paraId="0A64E3BD" w14:textId="77777777" w:rsidR="00074551" w:rsidRPr="00B66130" w:rsidRDefault="00074551" w:rsidP="00074551">
      <w:pPr>
        <w:pStyle w:val="Funotentext"/>
        <w:jc w:val="both"/>
        <w:rPr>
          <w:lang w:val="en-US"/>
        </w:rPr>
      </w:pPr>
      <w:r>
        <w:rPr>
          <w:rStyle w:val="Funotenzeichen"/>
        </w:rPr>
        <w:footnoteRef/>
      </w:r>
      <w:r w:rsidRPr="00B66130">
        <w:rPr>
          <w:lang w:val="en-US"/>
        </w:rPr>
        <w:t xml:space="preserve"> </w:t>
      </w:r>
      <w:r w:rsidRPr="00B45592">
        <w:rPr>
          <w:i/>
          <w:lang w:val="en-US"/>
        </w:rPr>
        <w:t>Jacob’s case</w:t>
      </w:r>
      <w:r w:rsidRPr="00B66130">
        <w:rPr>
          <w:lang w:val="en-US"/>
        </w:rPr>
        <w:t>, 98 N.Y. 98, 106</w:t>
      </w:r>
      <w:r>
        <w:rPr>
          <w:lang w:val="en-US"/>
        </w:rPr>
        <w:t xml:space="preserve">; </w:t>
      </w:r>
      <w:r w:rsidRPr="00584023">
        <w:rPr>
          <w:i/>
          <w:lang w:val="en-US"/>
        </w:rPr>
        <w:t>Hooper v. Cal.</w:t>
      </w:r>
      <w:r w:rsidRPr="00B66130">
        <w:rPr>
          <w:lang w:val="en-US"/>
        </w:rPr>
        <w:t>, 155 U.S. 648, 662</w:t>
      </w:r>
      <w:r w:rsidRPr="003B741A">
        <w:rPr>
          <w:lang w:val="en-US"/>
        </w:rPr>
        <w:t xml:space="preserve"> = 15 S. Ct. </w:t>
      </w:r>
      <w:r w:rsidRPr="00B66130">
        <w:rPr>
          <w:lang w:val="en-US"/>
        </w:rPr>
        <w:t>207, 213</w:t>
      </w:r>
      <w:r w:rsidRPr="003B741A">
        <w:rPr>
          <w:lang w:val="en-US"/>
        </w:rPr>
        <w:t xml:space="preserve"> = 39 L. Ed. </w:t>
      </w:r>
      <w:r w:rsidRPr="00B66130">
        <w:rPr>
          <w:lang w:val="en-US"/>
        </w:rPr>
        <w:t>297, 303</w:t>
      </w:r>
      <w:r w:rsidRPr="003B741A">
        <w:rPr>
          <w:lang w:val="en-US"/>
        </w:rPr>
        <w:t xml:space="preserve"> = 1895 U.S. LEXIS </w:t>
      </w:r>
      <w:r w:rsidRPr="00B66130">
        <w:rPr>
          <w:lang w:val="en-US"/>
        </w:rPr>
        <w:t>2113, 27 (1895)</w:t>
      </w:r>
      <w:r>
        <w:rPr>
          <w:lang w:val="en-US"/>
        </w:rPr>
        <w:t>.</w:t>
      </w:r>
    </w:p>
  </w:footnote>
  <w:footnote w:id="442">
    <w:p w14:paraId="5B818334"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Pr>
          <w:lang w:val="en-US"/>
        </w:rPr>
        <w:t>„[A]</w:t>
      </w:r>
      <w:proofErr w:type="spellStart"/>
      <w:r w:rsidRPr="00FC2776">
        <w:rPr>
          <w:lang w:val="en-US"/>
        </w:rPr>
        <w:t>ct</w:t>
      </w:r>
      <w:proofErr w:type="spellEnd"/>
      <w:r w:rsidRPr="00FC2776">
        <w:rPr>
          <w:lang w:val="en-US"/>
        </w:rPr>
        <w:t xml:space="preserve"> of South Carolina approved March 2, 1916, </w:t>
      </w:r>
      <w:proofErr w:type="gramStart"/>
      <w:r w:rsidRPr="00FC2776">
        <w:rPr>
          <w:lang w:val="en-US"/>
        </w:rPr>
        <w:t xml:space="preserve">entitled </w:t>
      </w:r>
      <w:r>
        <w:rPr>
          <w:lang w:val="en-US"/>
        </w:rPr>
        <w:t>,</w:t>
      </w:r>
      <w:r w:rsidRPr="00FC2776">
        <w:rPr>
          <w:lang w:val="en-US"/>
        </w:rPr>
        <w:t>An</w:t>
      </w:r>
      <w:proofErr w:type="gramEnd"/>
      <w:r w:rsidRPr="00FC2776">
        <w:rPr>
          <w:lang w:val="en-US"/>
        </w:rPr>
        <w:t xml:space="preserve"> act to provide for the licensing of insurance </w:t>
      </w:r>
      <w:proofErr w:type="gramStart"/>
      <w:r w:rsidRPr="00FC2776">
        <w:rPr>
          <w:lang w:val="en-US"/>
        </w:rPr>
        <w:t>brokers</w:t>
      </w:r>
      <w:r>
        <w:rPr>
          <w:lang w:val="en-US"/>
        </w:rPr>
        <w:t>‘</w:t>
      </w:r>
      <w:proofErr w:type="gramEnd"/>
      <w:r w:rsidRPr="00FC2776">
        <w:rPr>
          <w:lang w:val="en-US"/>
        </w:rPr>
        <w:t xml:space="preserve">, defines in its first section an insurance </w:t>
      </w:r>
      <w:proofErr w:type="gramStart"/>
      <w:r w:rsidRPr="00FC2776">
        <w:rPr>
          <w:lang w:val="en-US"/>
        </w:rPr>
        <w:t xml:space="preserve">broker </w:t>
      </w:r>
      <w:r>
        <w:rPr>
          <w:lang w:val="en-US"/>
        </w:rPr>
        <w:t>,</w:t>
      </w:r>
      <w:r w:rsidRPr="00FC2776">
        <w:rPr>
          <w:lang w:val="en-US"/>
        </w:rPr>
        <w:t>to</w:t>
      </w:r>
      <w:proofErr w:type="gramEnd"/>
      <w:r w:rsidRPr="00FC2776">
        <w:rPr>
          <w:lang w:val="en-US"/>
        </w:rPr>
        <w:t xml:space="preserve"> be such person as shall be licensed by the Insurance Commissioner to represent </w:t>
      </w:r>
      <w:proofErr w:type="gramStart"/>
      <w:r w:rsidRPr="00FC2776">
        <w:rPr>
          <w:lang w:val="en-US"/>
        </w:rPr>
        <w:t>citizens</w:t>
      </w:r>
      <w:r>
        <w:rPr>
          <w:lang w:val="en-US"/>
        </w:rPr>
        <w:t xml:space="preserve">‘ </w:t>
      </w:r>
      <w:r w:rsidRPr="00FC2776">
        <w:rPr>
          <w:lang w:val="en-US"/>
        </w:rPr>
        <w:t>of</w:t>
      </w:r>
      <w:proofErr w:type="gramEnd"/>
      <w:r w:rsidRPr="00FC2776">
        <w:rPr>
          <w:lang w:val="en-US"/>
        </w:rPr>
        <w:t xml:space="preserve"> the </w:t>
      </w:r>
      <w:proofErr w:type="gramStart"/>
      <w:r w:rsidRPr="00FC2776">
        <w:rPr>
          <w:lang w:val="en-US"/>
        </w:rPr>
        <w:t xml:space="preserve">State </w:t>
      </w:r>
      <w:r>
        <w:rPr>
          <w:lang w:val="en-US"/>
        </w:rPr>
        <w:t>,</w:t>
      </w:r>
      <w:r w:rsidRPr="00FC2776">
        <w:rPr>
          <w:lang w:val="en-US"/>
        </w:rPr>
        <w:t>for</w:t>
      </w:r>
      <w:proofErr w:type="gramEnd"/>
      <w:r w:rsidRPr="00FC2776">
        <w:rPr>
          <w:lang w:val="en-US"/>
        </w:rPr>
        <w:t xml:space="preserve"> the placing of insurance in </w:t>
      </w:r>
      <w:proofErr w:type="gramStart"/>
      <w:r w:rsidRPr="00FC2776">
        <w:rPr>
          <w:lang w:val="en-US"/>
        </w:rPr>
        <w:t>insurers</w:t>
      </w:r>
      <w:r>
        <w:rPr>
          <w:lang w:val="en-US"/>
        </w:rPr>
        <w:t>‘</w:t>
      </w:r>
      <w:r w:rsidRPr="00FC2776">
        <w:rPr>
          <w:lang w:val="en-US"/>
        </w:rPr>
        <w:t xml:space="preserve"> in</w:t>
      </w:r>
      <w:proofErr w:type="gramEnd"/>
      <w:r w:rsidRPr="00FC2776">
        <w:rPr>
          <w:lang w:val="en-US"/>
        </w:rPr>
        <w:t xml:space="preserve"> </w:t>
      </w:r>
      <w:proofErr w:type="gramStart"/>
      <w:r w:rsidRPr="00FC2776">
        <w:rPr>
          <w:lang w:val="en-US"/>
        </w:rPr>
        <w:t xml:space="preserve">the </w:t>
      </w:r>
      <w:r>
        <w:rPr>
          <w:lang w:val="en-US"/>
        </w:rPr>
        <w:t>,</w:t>
      </w:r>
      <w:r w:rsidRPr="00FC2776">
        <w:rPr>
          <w:lang w:val="en-US"/>
        </w:rPr>
        <w:t>State</w:t>
      </w:r>
      <w:proofErr w:type="gramEnd"/>
      <w:r w:rsidRPr="00FC2776">
        <w:rPr>
          <w:lang w:val="en-US"/>
        </w:rPr>
        <w:t xml:space="preserve"> or in any other State or </w:t>
      </w:r>
      <w:proofErr w:type="gramStart"/>
      <w:r w:rsidRPr="00FC2776">
        <w:rPr>
          <w:lang w:val="en-US"/>
        </w:rPr>
        <w:t>country</w:t>
      </w:r>
      <w:r>
        <w:rPr>
          <w:lang w:val="en-US"/>
        </w:rPr>
        <w:t>‘</w:t>
      </w:r>
      <w:proofErr w:type="gramEnd"/>
      <w:r>
        <w:rPr>
          <w:lang w:val="en-US"/>
        </w:rPr>
        <w:t>.</w:t>
      </w:r>
      <w:r w:rsidRPr="00FC2776">
        <w:rPr>
          <w:lang w:val="en-US"/>
        </w:rPr>
        <w:t xml:space="preserve"> And it is provided in </w:t>
      </w:r>
      <w:r>
        <w:rPr>
          <w:lang w:val="en-US"/>
        </w:rPr>
        <w:t>§ </w:t>
      </w:r>
      <w:r w:rsidRPr="00FC2776">
        <w:rPr>
          <w:lang w:val="en-US"/>
        </w:rPr>
        <w:t xml:space="preserve">2 of the act, among other conditions, that only such persons may be licensed as are residents of the State and have been licensed insurance agents of the State for at least two </w:t>
      </w:r>
      <w:proofErr w:type="gramStart"/>
      <w:r w:rsidRPr="00FC2776">
        <w:rPr>
          <w:lang w:val="en-US"/>
        </w:rPr>
        <w:t>years.</w:t>
      </w:r>
      <w:r>
        <w:rPr>
          <w:lang w:val="en-US"/>
        </w:rPr>
        <w:t>“</w:t>
      </w:r>
      <w:proofErr w:type="gramEnd"/>
      <w:r>
        <w:rPr>
          <w:lang w:val="en-US"/>
        </w:rPr>
        <w:t xml:space="preserve"> in </w:t>
      </w:r>
      <w:r w:rsidRPr="00584023">
        <w:rPr>
          <w:i/>
          <w:lang w:val="en-US"/>
        </w:rPr>
        <w:t>La Tourette v. McMaster</w:t>
      </w:r>
      <w:r w:rsidRPr="00FC2776">
        <w:rPr>
          <w:lang w:val="en-US"/>
        </w:rPr>
        <w:t>, 248 U.S. 465, 466</w:t>
      </w:r>
      <w:r w:rsidRPr="003B741A">
        <w:rPr>
          <w:lang w:val="en-US"/>
        </w:rPr>
        <w:t xml:space="preserve"> = 39 S. Ct</w:t>
      </w:r>
      <w:r w:rsidRPr="00FC2776">
        <w:rPr>
          <w:lang w:val="en-US"/>
        </w:rPr>
        <w:t>. 160, 161</w:t>
      </w:r>
      <w:r w:rsidRPr="003B741A">
        <w:rPr>
          <w:lang w:val="en-US"/>
        </w:rPr>
        <w:t xml:space="preserve"> = 63 L. Ed. </w:t>
      </w:r>
      <w:r w:rsidRPr="00FC2776">
        <w:rPr>
          <w:lang w:val="en-US"/>
        </w:rPr>
        <w:t>362, 363</w:t>
      </w:r>
      <w:r w:rsidRPr="003B741A">
        <w:rPr>
          <w:lang w:val="en-US"/>
        </w:rPr>
        <w:t xml:space="preserve"> = 1919 U.S. LEXIS </w:t>
      </w:r>
      <w:r w:rsidRPr="00FC2776">
        <w:rPr>
          <w:lang w:val="en-US"/>
        </w:rPr>
        <w:t>2274, 3 (1919)</w:t>
      </w:r>
      <w:r>
        <w:rPr>
          <w:lang w:val="en-US"/>
        </w:rPr>
        <w:t>.</w:t>
      </w:r>
    </w:p>
  </w:footnote>
  <w:footnote w:id="443">
    <w:p w14:paraId="12934EEA"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584023">
        <w:rPr>
          <w:i/>
          <w:lang w:val="en-US"/>
        </w:rPr>
        <w:t>La Tourette v. McMaster</w:t>
      </w:r>
      <w:r w:rsidRPr="00FC2776">
        <w:rPr>
          <w:lang w:val="en-US"/>
        </w:rPr>
        <w:t>, 248 U.S. 465, 466</w:t>
      </w:r>
      <w:r w:rsidRPr="003B741A">
        <w:rPr>
          <w:lang w:val="en-US"/>
        </w:rPr>
        <w:t xml:space="preserve"> = 39 S. Ct</w:t>
      </w:r>
      <w:r w:rsidRPr="00FC2776">
        <w:rPr>
          <w:lang w:val="en-US"/>
        </w:rPr>
        <w:t>. 160, 161</w:t>
      </w:r>
      <w:r w:rsidRPr="003B741A">
        <w:rPr>
          <w:lang w:val="en-US"/>
        </w:rPr>
        <w:t xml:space="preserve"> = 63 L. Ed. </w:t>
      </w:r>
      <w:r w:rsidRPr="00FC2776">
        <w:rPr>
          <w:lang w:val="en-US"/>
        </w:rPr>
        <w:t>362, 363</w:t>
      </w:r>
      <w:r w:rsidRPr="003B741A">
        <w:rPr>
          <w:lang w:val="en-US"/>
        </w:rPr>
        <w:t xml:space="preserve"> = 1919 U.S. LEXIS </w:t>
      </w:r>
      <w:r w:rsidRPr="00FC2776">
        <w:rPr>
          <w:lang w:val="en-US"/>
        </w:rPr>
        <w:t>2274, 1 (1919)</w:t>
      </w:r>
      <w:r>
        <w:rPr>
          <w:lang w:val="en-US"/>
        </w:rPr>
        <w:t>.</w:t>
      </w:r>
    </w:p>
  </w:footnote>
  <w:footnote w:id="444">
    <w:p w14:paraId="38472580"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8F73D7">
        <w:rPr>
          <w:i/>
          <w:lang w:val="en-US"/>
        </w:rPr>
        <w:t>Slaughter-House Cases</w:t>
      </w:r>
      <w:r w:rsidRPr="00FC2776">
        <w:rPr>
          <w:lang w:val="en-US"/>
        </w:rPr>
        <w:t xml:space="preserve">, 16 Wall. 36, </w:t>
      </w:r>
      <w:r w:rsidRPr="00B45592">
        <w:rPr>
          <w:lang w:val="en-US"/>
        </w:rPr>
        <w:t>u</w:t>
      </w:r>
      <w:r w:rsidRPr="00584023">
        <w:rPr>
          <w:lang w:val="en-US"/>
        </w:rPr>
        <w:t>nd</w:t>
      </w:r>
      <w:r w:rsidRPr="00FC2776">
        <w:rPr>
          <w:lang w:val="en-US"/>
        </w:rPr>
        <w:t xml:space="preserve"> </w:t>
      </w:r>
      <w:r w:rsidRPr="00B45592">
        <w:rPr>
          <w:i/>
          <w:lang w:val="en-US"/>
        </w:rPr>
        <w:t>Butchers’ Union Co. v. Crescent City Co.</w:t>
      </w:r>
      <w:r w:rsidRPr="00FC2776">
        <w:rPr>
          <w:lang w:val="en-US"/>
        </w:rPr>
        <w:t>, 111 U.S. 746</w:t>
      </w:r>
      <w:r>
        <w:rPr>
          <w:lang w:val="en-US"/>
        </w:rPr>
        <w:t xml:space="preserve">; </w:t>
      </w:r>
      <w:r w:rsidRPr="00584023">
        <w:rPr>
          <w:i/>
          <w:lang w:val="en-US"/>
        </w:rPr>
        <w:t>La Tourette v. McMaster</w:t>
      </w:r>
      <w:r w:rsidRPr="00FC2776">
        <w:rPr>
          <w:lang w:val="en-US"/>
        </w:rPr>
        <w:t>, 248 U.S. 465, 469</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8 (1919)</w:t>
      </w:r>
      <w:r>
        <w:rPr>
          <w:lang w:val="en-US"/>
        </w:rPr>
        <w:t>.</w:t>
      </w:r>
    </w:p>
  </w:footnote>
  <w:footnote w:id="445">
    <w:p w14:paraId="1C7665B6"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8F73D7">
        <w:rPr>
          <w:i/>
          <w:lang w:val="en-US"/>
        </w:rPr>
        <w:t>Slaughter-House Cases</w:t>
      </w:r>
      <w:r w:rsidRPr="00FC2776">
        <w:rPr>
          <w:lang w:val="en-US"/>
        </w:rPr>
        <w:t xml:space="preserve">, 16 Wall. 36, </w:t>
      </w:r>
      <w:r w:rsidRPr="00F41900">
        <w:rPr>
          <w:lang w:val="en-US"/>
        </w:rPr>
        <w:t>und</w:t>
      </w:r>
      <w:r w:rsidRPr="00FC2776">
        <w:rPr>
          <w:lang w:val="en-US"/>
        </w:rPr>
        <w:t xml:space="preserve"> </w:t>
      </w:r>
      <w:r w:rsidRPr="00B45592">
        <w:rPr>
          <w:i/>
          <w:lang w:val="en-US"/>
        </w:rPr>
        <w:t>Butchers’ Union Co. v. Crescent City Co.</w:t>
      </w:r>
      <w:r w:rsidRPr="00FC2776">
        <w:rPr>
          <w:lang w:val="en-US"/>
        </w:rPr>
        <w:t>, 111 U.S. 746</w:t>
      </w:r>
      <w:r>
        <w:rPr>
          <w:lang w:val="en-US"/>
        </w:rPr>
        <w:t xml:space="preserve">; </w:t>
      </w:r>
      <w:r w:rsidRPr="00584023">
        <w:rPr>
          <w:i/>
          <w:lang w:val="en-US"/>
        </w:rPr>
        <w:t>La Tourette v. McMaster</w:t>
      </w:r>
      <w:r w:rsidRPr="00FC2776">
        <w:rPr>
          <w:lang w:val="en-US"/>
        </w:rPr>
        <w:t>, 248 U.S. 465, 469</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8 (1919)</w:t>
      </w:r>
      <w:r>
        <w:rPr>
          <w:lang w:val="en-US"/>
        </w:rPr>
        <w:t>.</w:t>
      </w:r>
    </w:p>
  </w:footnote>
  <w:footnote w:id="446">
    <w:p w14:paraId="0528B22A"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8F73D7">
        <w:rPr>
          <w:i/>
          <w:lang w:val="en-US"/>
        </w:rPr>
        <w:t>Slaughter-House Cases</w:t>
      </w:r>
      <w:r w:rsidRPr="00FC2776">
        <w:rPr>
          <w:lang w:val="en-US"/>
        </w:rPr>
        <w:t xml:space="preserve">, 16 Wall. 36, </w:t>
      </w:r>
      <w:r w:rsidRPr="00F41900">
        <w:rPr>
          <w:lang w:val="en-US"/>
        </w:rPr>
        <w:t>und</w:t>
      </w:r>
      <w:r w:rsidRPr="00FC2776">
        <w:rPr>
          <w:lang w:val="en-US"/>
        </w:rPr>
        <w:t xml:space="preserve"> </w:t>
      </w:r>
      <w:r w:rsidRPr="00B45592">
        <w:rPr>
          <w:i/>
          <w:lang w:val="en-US"/>
        </w:rPr>
        <w:t>Butchers’ Union Co. v. Crescent City Co.</w:t>
      </w:r>
      <w:r w:rsidRPr="00FC2776">
        <w:rPr>
          <w:lang w:val="en-US"/>
        </w:rPr>
        <w:t>, 111 U.S. 746</w:t>
      </w:r>
      <w:r>
        <w:rPr>
          <w:lang w:val="en-US"/>
        </w:rPr>
        <w:t xml:space="preserve">; </w:t>
      </w:r>
      <w:r w:rsidRPr="00584023">
        <w:rPr>
          <w:i/>
          <w:lang w:val="en-US"/>
        </w:rPr>
        <w:t>La Tourette v. McMaster</w:t>
      </w:r>
      <w:r w:rsidRPr="00FC2776">
        <w:rPr>
          <w:lang w:val="en-US"/>
        </w:rPr>
        <w:t>, 248 U.S. 465, 469</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8 (1919)</w:t>
      </w:r>
      <w:r>
        <w:rPr>
          <w:lang w:val="en-US"/>
        </w:rPr>
        <w:t>.</w:t>
      </w:r>
    </w:p>
  </w:footnote>
  <w:footnote w:id="447">
    <w:p w14:paraId="0547ADD5" w14:textId="77777777" w:rsidR="00074551" w:rsidRPr="001931CD" w:rsidRDefault="00074551" w:rsidP="00074551">
      <w:pPr>
        <w:pStyle w:val="Funotentext"/>
        <w:rPr>
          <w:lang w:val="en-US"/>
        </w:rPr>
      </w:pPr>
      <w:r>
        <w:rPr>
          <w:rStyle w:val="Funotenzeichen"/>
        </w:rPr>
        <w:footnoteRef/>
      </w:r>
      <w:r w:rsidRPr="001931CD">
        <w:rPr>
          <w:lang w:val="en-US"/>
        </w:rPr>
        <w:t xml:space="preserve"> </w:t>
      </w:r>
      <w:r w:rsidRPr="00546F93">
        <w:rPr>
          <w:i/>
          <w:lang w:val="en-US"/>
        </w:rPr>
        <w:t>Blake v. McClung</w:t>
      </w:r>
      <w:r w:rsidRPr="001931CD">
        <w:rPr>
          <w:lang w:val="en-US"/>
        </w:rPr>
        <w:t>, 172 U.S. 239, 249</w:t>
      </w:r>
      <w:r w:rsidRPr="00EC5BEB">
        <w:rPr>
          <w:lang w:val="en-US"/>
        </w:rPr>
        <w:t xml:space="preserve"> = 19 S. Ct. </w:t>
      </w:r>
      <w:r w:rsidRPr="001931CD">
        <w:rPr>
          <w:lang w:val="en-US"/>
        </w:rPr>
        <w:t>165, 169</w:t>
      </w:r>
      <w:r w:rsidRPr="00EC5BEB">
        <w:rPr>
          <w:lang w:val="en-US"/>
        </w:rPr>
        <w:t xml:space="preserve"> = 43 L. Ed. </w:t>
      </w:r>
      <w:r w:rsidRPr="001931CD">
        <w:rPr>
          <w:lang w:val="en-US"/>
        </w:rPr>
        <w:t>432, 436</w:t>
      </w:r>
      <w:r w:rsidRPr="00EC5BEB">
        <w:rPr>
          <w:lang w:val="en-US"/>
        </w:rPr>
        <w:t xml:space="preserve"> = 1898 U.S. LEXIS </w:t>
      </w:r>
      <w:r w:rsidRPr="001931CD">
        <w:rPr>
          <w:lang w:val="en-US"/>
        </w:rPr>
        <w:t>1651, 20 (1898)</w:t>
      </w:r>
      <w:r>
        <w:rPr>
          <w:lang w:val="en-US"/>
        </w:rPr>
        <w:t>.</w:t>
      </w:r>
    </w:p>
  </w:footnote>
  <w:footnote w:id="448">
    <w:p w14:paraId="29E47D2D" w14:textId="77777777" w:rsidR="00074551" w:rsidRPr="001931CD" w:rsidRDefault="00074551" w:rsidP="00074551">
      <w:pPr>
        <w:pStyle w:val="Funotentext"/>
        <w:rPr>
          <w:lang w:val="en-US"/>
        </w:rPr>
      </w:pPr>
      <w:r>
        <w:rPr>
          <w:rStyle w:val="Funotenzeichen"/>
        </w:rPr>
        <w:footnoteRef/>
      </w:r>
      <w:r w:rsidRPr="001931CD">
        <w:rPr>
          <w:lang w:val="en-US"/>
        </w:rPr>
        <w:t xml:space="preserve"> </w:t>
      </w:r>
      <w:r w:rsidRPr="00546F93">
        <w:rPr>
          <w:i/>
          <w:lang w:val="en-US"/>
        </w:rPr>
        <w:t>Blake v. McClung</w:t>
      </w:r>
      <w:r w:rsidRPr="001931CD">
        <w:rPr>
          <w:lang w:val="en-US"/>
        </w:rPr>
        <w:t>, 172 U.S. 239, 249</w:t>
      </w:r>
      <w:r w:rsidRPr="00EC5BEB">
        <w:rPr>
          <w:lang w:val="en-US"/>
        </w:rPr>
        <w:t xml:space="preserve"> = 19 S. Ct. </w:t>
      </w:r>
      <w:r w:rsidRPr="001931CD">
        <w:rPr>
          <w:lang w:val="en-US"/>
        </w:rPr>
        <w:t>165, 169</w:t>
      </w:r>
      <w:r w:rsidRPr="00EC5BEB">
        <w:rPr>
          <w:lang w:val="en-US"/>
        </w:rPr>
        <w:t xml:space="preserve"> = 43 L. Ed. </w:t>
      </w:r>
      <w:r w:rsidRPr="001931CD">
        <w:rPr>
          <w:lang w:val="en-US"/>
        </w:rPr>
        <w:t>432, 436</w:t>
      </w:r>
      <w:r w:rsidRPr="00EC5BEB">
        <w:rPr>
          <w:lang w:val="en-US"/>
        </w:rPr>
        <w:t xml:space="preserve"> = 1898 U.S. LEXIS </w:t>
      </w:r>
      <w:r w:rsidRPr="001931CD">
        <w:rPr>
          <w:lang w:val="en-US"/>
        </w:rPr>
        <w:t>1651, 20 (1898)</w:t>
      </w:r>
      <w:r>
        <w:rPr>
          <w:lang w:val="en-US"/>
        </w:rPr>
        <w:t>.</w:t>
      </w:r>
    </w:p>
  </w:footnote>
  <w:footnote w:id="449">
    <w:p w14:paraId="3DA2F50C" w14:textId="77777777" w:rsidR="00074551" w:rsidRPr="001931CD" w:rsidRDefault="00074551" w:rsidP="00074551">
      <w:pPr>
        <w:pStyle w:val="Funotentext"/>
        <w:rPr>
          <w:lang w:val="en-US"/>
        </w:rPr>
      </w:pPr>
      <w:r>
        <w:rPr>
          <w:rStyle w:val="Funotenzeichen"/>
        </w:rPr>
        <w:footnoteRef/>
      </w:r>
      <w:r w:rsidRPr="001931CD">
        <w:rPr>
          <w:lang w:val="en-US"/>
        </w:rPr>
        <w:t xml:space="preserve"> </w:t>
      </w:r>
      <w:r w:rsidRPr="00546F93">
        <w:rPr>
          <w:i/>
          <w:lang w:val="en-US"/>
        </w:rPr>
        <w:t>Blake v. McClung</w:t>
      </w:r>
      <w:r w:rsidRPr="001931CD">
        <w:rPr>
          <w:lang w:val="en-US"/>
        </w:rPr>
        <w:t>, 172 U.S. 239, 249</w:t>
      </w:r>
      <w:r w:rsidRPr="00EC5BEB">
        <w:rPr>
          <w:lang w:val="en-US"/>
        </w:rPr>
        <w:t xml:space="preserve"> = 19 S. Ct. </w:t>
      </w:r>
      <w:r w:rsidRPr="001931CD">
        <w:rPr>
          <w:lang w:val="en-US"/>
        </w:rPr>
        <w:t>165, 169</w:t>
      </w:r>
      <w:r w:rsidRPr="00EC5BEB">
        <w:rPr>
          <w:lang w:val="en-US"/>
        </w:rPr>
        <w:t xml:space="preserve"> = 43 L. Ed. </w:t>
      </w:r>
      <w:r w:rsidRPr="001931CD">
        <w:rPr>
          <w:lang w:val="en-US"/>
        </w:rPr>
        <w:t>432, 436</w:t>
      </w:r>
      <w:r w:rsidRPr="00EC5BEB">
        <w:rPr>
          <w:lang w:val="en-US"/>
        </w:rPr>
        <w:t xml:space="preserve"> = 1898 U.S. LEXIS </w:t>
      </w:r>
      <w:r w:rsidRPr="001931CD">
        <w:rPr>
          <w:lang w:val="en-US"/>
        </w:rPr>
        <w:t>1651, 20 (1898)</w:t>
      </w:r>
      <w:r>
        <w:rPr>
          <w:lang w:val="en-US"/>
        </w:rPr>
        <w:t>.</w:t>
      </w:r>
    </w:p>
  </w:footnote>
  <w:footnote w:id="450">
    <w:p w14:paraId="2F9FB510" w14:textId="77777777" w:rsidR="00074551" w:rsidRPr="00225A9A" w:rsidRDefault="00074551" w:rsidP="00074551">
      <w:pPr>
        <w:pStyle w:val="Funotentext"/>
        <w:rPr>
          <w:lang w:val="en-US"/>
        </w:rPr>
      </w:pPr>
      <w:r>
        <w:rPr>
          <w:rStyle w:val="Funotenzeichen"/>
          <w:rFonts w:eastAsiaTheme="majorEastAsia"/>
        </w:rPr>
        <w:footnoteRef/>
      </w:r>
      <w:r w:rsidRPr="00225A9A">
        <w:rPr>
          <w:lang w:val="en-US"/>
        </w:rPr>
        <w:t xml:space="preserve"> </w:t>
      </w:r>
      <w:r w:rsidRPr="00546F93">
        <w:rPr>
          <w:i/>
          <w:lang w:val="en-US"/>
        </w:rPr>
        <w:t>Blake v. McClung</w:t>
      </w:r>
      <w:r w:rsidRPr="00225A9A">
        <w:rPr>
          <w:lang w:val="en-US"/>
        </w:rPr>
        <w:t>, 172 U.S. 239, 250</w:t>
      </w:r>
      <w:r w:rsidRPr="00EC5BEB">
        <w:rPr>
          <w:lang w:val="en-US"/>
        </w:rPr>
        <w:t xml:space="preserve"> = 19 S. Ct. </w:t>
      </w:r>
      <w:r w:rsidRPr="00225A9A">
        <w:rPr>
          <w:lang w:val="en-US"/>
        </w:rPr>
        <w:t>165, 170</w:t>
      </w:r>
      <w:r w:rsidRPr="00EC5BEB">
        <w:rPr>
          <w:lang w:val="en-US"/>
        </w:rPr>
        <w:t xml:space="preserve"> = 43 L. Ed. </w:t>
      </w:r>
      <w:r w:rsidRPr="00225A9A">
        <w:rPr>
          <w:lang w:val="en-US"/>
        </w:rPr>
        <w:t>432, 436</w:t>
      </w:r>
      <w:r w:rsidRPr="00EC5BEB">
        <w:rPr>
          <w:lang w:val="en-US"/>
        </w:rPr>
        <w:t xml:space="preserve"> = 1898 U.S. LEXIS </w:t>
      </w:r>
      <w:r w:rsidRPr="00225A9A">
        <w:rPr>
          <w:lang w:val="en-US"/>
        </w:rPr>
        <w:t>1651, 23 (1898)</w:t>
      </w:r>
      <w:r>
        <w:rPr>
          <w:lang w:val="en-US"/>
        </w:rPr>
        <w:t>.</w:t>
      </w:r>
    </w:p>
  </w:footnote>
  <w:footnote w:id="451">
    <w:p w14:paraId="1CF1E947" w14:textId="77777777" w:rsidR="00074551" w:rsidRPr="00E04E0C" w:rsidRDefault="00074551" w:rsidP="00074551">
      <w:pPr>
        <w:pStyle w:val="Funotentext"/>
        <w:rPr>
          <w:lang w:val="en-US"/>
        </w:rPr>
      </w:pPr>
      <w:r>
        <w:rPr>
          <w:rStyle w:val="Funotenzeichen"/>
          <w:rFonts w:eastAsiaTheme="majorEastAsia"/>
        </w:rPr>
        <w:footnoteRef/>
      </w:r>
      <w:r w:rsidRPr="00E04E0C">
        <w:rPr>
          <w:lang w:val="en-US"/>
        </w:rPr>
        <w:t xml:space="preserve"> </w:t>
      </w:r>
      <w:r w:rsidRPr="00546F93">
        <w:rPr>
          <w:i/>
          <w:lang w:val="en-US"/>
        </w:rPr>
        <w:t>Paul v. Virginia</w:t>
      </w:r>
      <w:r>
        <w:rPr>
          <w:lang w:val="en-US"/>
        </w:rPr>
        <w:t xml:space="preserve">, 8 Wall. </w:t>
      </w:r>
      <w:r w:rsidRPr="00E04E0C">
        <w:rPr>
          <w:lang w:val="en-US"/>
        </w:rPr>
        <w:t>168, 180</w:t>
      </w:r>
      <w:r>
        <w:rPr>
          <w:lang w:val="en-US"/>
        </w:rPr>
        <w:t xml:space="preserve">; </w:t>
      </w:r>
      <w:r w:rsidRPr="00546F93">
        <w:rPr>
          <w:i/>
          <w:lang w:val="en-US"/>
        </w:rPr>
        <w:t>Blake v. McClung</w:t>
      </w:r>
      <w:r w:rsidRPr="00E04E0C">
        <w:rPr>
          <w:lang w:val="en-US"/>
        </w:rPr>
        <w:t>, 172 U.S. 239, 250</w:t>
      </w:r>
      <w:r w:rsidRPr="00EC5BEB">
        <w:rPr>
          <w:lang w:val="en-US"/>
        </w:rPr>
        <w:t xml:space="preserve"> = 19 S. Ct. </w:t>
      </w:r>
      <w:r w:rsidRPr="00E04E0C">
        <w:rPr>
          <w:lang w:val="en-US"/>
        </w:rPr>
        <w:t>165, 170</w:t>
      </w:r>
      <w:r w:rsidRPr="00EC5BEB">
        <w:rPr>
          <w:lang w:val="en-US"/>
        </w:rPr>
        <w:t xml:space="preserve"> = 43 L. Ed. </w:t>
      </w:r>
      <w:r w:rsidRPr="00E04E0C">
        <w:rPr>
          <w:lang w:val="en-US"/>
        </w:rPr>
        <w:t>432, 436</w:t>
      </w:r>
      <w:r w:rsidRPr="00EC5BEB">
        <w:rPr>
          <w:lang w:val="en-US"/>
        </w:rPr>
        <w:t xml:space="preserve"> = 1898 U.S. LEXIS </w:t>
      </w:r>
      <w:r w:rsidRPr="00E04E0C">
        <w:rPr>
          <w:lang w:val="en-US"/>
        </w:rPr>
        <w:t>1651, 23 (1898)</w:t>
      </w:r>
      <w:r>
        <w:rPr>
          <w:lang w:val="en-US"/>
        </w:rPr>
        <w:t>.</w:t>
      </w:r>
    </w:p>
  </w:footnote>
  <w:footnote w:id="452">
    <w:p w14:paraId="078F00B1" w14:textId="77777777" w:rsidR="00074551" w:rsidRPr="006B0819" w:rsidRDefault="00074551" w:rsidP="00074551">
      <w:pPr>
        <w:pStyle w:val="Funotentext"/>
        <w:rPr>
          <w:lang w:val="en-US"/>
        </w:rPr>
      </w:pPr>
      <w:r>
        <w:rPr>
          <w:rStyle w:val="Funotenzeichen"/>
          <w:rFonts w:eastAsiaTheme="majorEastAsia"/>
        </w:rPr>
        <w:footnoteRef/>
      </w:r>
      <w:r w:rsidRPr="006B0819">
        <w:rPr>
          <w:lang w:val="en-US"/>
        </w:rPr>
        <w:t xml:space="preserve"> </w:t>
      </w:r>
      <w:r w:rsidRPr="00546F93">
        <w:rPr>
          <w:i/>
          <w:lang w:val="en-US"/>
        </w:rPr>
        <w:t>Taylor v. Beckham</w:t>
      </w:r>
      <w:r w:rsidRPr="006B0819">
        <w:rPr>
          <w:lang w:val="en-US"/>
        </w:rPr>
        <w:t>, 178 U.S. 548, 570</w:t>
      </w:r>
      <w:r>
        <w:rPr>
          <w:lang w:val="en-US"/>
        </w:rPr>
        <w:t xml:space="preserve"> = 20 S. Ct. </w:t>
      </w:r>
      <w:r w:rsidRPr="006B0819">
        <w:rPr>
          <w:lang w:val="en-US"/>
        </w:rPr>
        <w:t>890, 898</w:t>
      </w:r>
      <w:r>
        <w:rPr>
          <w:lang w:val="en-US"/>
        </w:rPr>
        <w:t xml:space="preserve"> = 44 L. Ed. </w:t>
      </w:r>
      <w:r w:rsidRPr="006B0819">
        <w:rPr>
          <w:lang w:val="en-US"/>
        </w:rPr>
        <w:t>1187, 1198</w:t>
      </w:r>
      <w:r>
        <w:rPr>
          <w:lang w:val="en-US"/>
        </w:rPr>
        <w:t xml:space="preserve"> = 1900 U.S. LEXIS </w:t>
      </w:r>
      <w:r w:rsidRPr="006B0819">
        <w:rPr>
          <w:lang w:val="en-US"/>
        </w:rPr>
        <w:t>1702, 14 (1900)</w:t>
      </w:r>
      <w:r>
        <w:rPr>
          <w:lang w:val="en-US"/>
        </w:rPr>
        <w:t>.</w:t>
      </w:r>
    </w:p>
  </w:footnote>
  <w:footnote w:id="453">
    <w:p w14:paraId="141A4D1C" w14:textId="77777777" w:rsidR="00074551" w:rsidRPr="006B0819" w:rsidRDefault="00074551" w:rsidP="00074551">
      <w:pPr>
        <w:pStyle w:val="Funotentext"/>
        <w:rPr>
          <w:lang w:val="en-US"/>
        </w:rPr>
      </w:pPr>
      <w:r>
        <w:rPr>
          <w:rStyle w:val="Funotenzeichen"/>
          <w:rFonts w:eastAsiaTheme="majorEastAsia"/>
        </w:rPr>
        <w:footnoteRef/>
      </w:r>
      <w:r w:rsidRPr="006B0819">
        <w:rPr>
          <w:lang w:val="en-US"/>
        </w:rPr>
        <w:t xml:space="preserve"> </w:t>
      </w:r>
      <w:r w:rsidRPr="00546F93">
        <w:rPr>
          <w:i/>
          <w:lang w:val="en-US"/>
        </w:rPr>
        <w:t>Taylor v. Beckham</w:t>
      </w:r>
      <w:r w:rsidRPr="006B0819">
        <w:rPr>
          <w:lang w:val="en-US"/>
        </w:rPr>
        <w:t>, 178 U.S. 548, 570</w:t>
      </w:r>
      <w:r>
        <w:rPr>
          <w:lang w:val="en-US"/>
        </w:rPr>
        <w:t xml:space="preserve"> = 20 S. Ct. </w:t>
      </w:r>
      <w:r w:rsidRPr="006B0819">
        <w:rPr>
          <w:lang w:val="en-US"/>
        </w:rPr>
        <w:t>890, 898</w:t>
      </w:r>
      <w:r>
        <w:rPr>
          <w:lang w:val="en-US"/>
        </w:rPr>
        <w:t xml:space="preserve"> = 44 L. Ed. </w:t>
      </w:r>
      <w:r w:rsidRPr="006B0819">
        <w:rPr>
          <w:lang w:val="en-US"/>
        </w:rPr>
        <w:t>1187, 1198</w:t>
      </w:r>
      <w:r>
        <w:rPr>
          <w:lang w:val="en-US"/>
        </w:rPr>
        <w:t xml:space="preserve"> = 1900 U.S. LEXIS </w:t>
      </w:r>
      <w:r w:rsidRPr="006B0819">
        <w:rPr>
          <w:lang w:val="en-US"/>
        </w:rPr>
        <w:t>1702, 14 (1900)</w:t>
      </w:r>
      <w:r>
        <w:rPr>
          <w:lang w:val="en-US"/>
        </w:rPr>
        <w:t>.</w:t>
      </w:r>
    </w:p>
  </w:footnote>
  <w:footnote w:id="454">
    <w:p w14:paraId="500CF799" w14:textId="77777777" w:rsidR="00074551" w:rsidRPr="006B0819" w:rsidRDefault="00074551" w:rsidP="00074551">
      <w:pPr>
        <w:pStyle w:val="Funotentext"/>
        <w:rPr>
          <w:lang w:val="en-US"/>
        </w:rPr>
      </w:pPr>
      <w:r>
        <w:rPr>
          <w:rStyle w:val="Funotenzeichen"/>
          <w:rFonts w:eastAsiaTheme="majorEastAsia"/>
        </w:rPr>
        <w:footnoteRef/>
      </w:r>
      <w:r w:rsidRPr="006B0819">
        <w:rPr>
          <w:lang w:val="en-US"/>
        </w:rPr>
        <w:t xml:space="preserve"> </w:t>
      </w:r>
      <w:r w:rsidRPr="00546F93">
        <w:rPr>
          <w:i/>
          <w:lang w:val="en-US"/>
        </w:rPr>
        <w:t>Taylor v. Beckham</w:t>
      </w:r>
      <w:r w:rsidRPr="006B0819">
        <w:rPr>
          <w:lang w:val="en-US"/>
        </w:rPr>
        <w:t>, 178 U.S. 548, 570</w:t>
      </w:r>
      <w:r>
        <w:rPr>
          <w:lang w:val="en-US"/>
        </w:rPr>
        <w:t xml:space="preserve"> = 20 S. Ct. </w:t>
      </w:r>
      <w:r w:rsidRPr="006B0819">
        <w:rPr>
          <w:lang w:val="en-US"/>
        </w:rPr>
        <w:t>890, 898</w:t>
      </w:r>
      <w:r>
        <w:rPr>
          <w:lang w:val="en-US"/>
        </w:rPr>
        <w:t xml:space="preserve"> = 44 L. Ed. </w:t>
      </w:r>
      <w:r w:rsidRPr="006B0819">
        <w:rPr>
          <w:lang w:val="en-US"/>
        </w:rPr>
        <w:t>1187, 1198</w:t>
      </w:r>
      <w:r>
        <w:rPr>
          <w:lang w:val="en-US"/>
        </w:rPr>
        <w:t xml:space="preserve"> = 1900 U.S. LEXIS </w:t>
      </w:r>
      <w:r w:rsidRPr="006B0819">
        <w:rPr>
          <w:lang w:val="en-US"/>
        </w:rPr>
        <w:t>1702, 14 (1900)</w:t>
      </w:r>
      <w:r>
        <w:rPr>
          <w:lang w:val="en-US"/>
        </w:rPr>
        <w:t>.</w:t>
      </w:r>
    </w:p>
  </w:footnote>
  <w:footnote w:id="455">
    <w:p w14:paraId="61A24645" w14:textId="77777777" w:rsidR="001A1BB8" w:rsidRPr="000635DC" w:rsidRDefault="001A1BB8" w:rsidP="001A1BB8">
      <w:pPr>
        <w:pStyle w:val="Funotentext"/>
        <w:jc w:val="both"/>
        <w:rPr>
          <w:lang w:val="en-US"/>
        </w:rPr>
      </w:pPr>
      <w:r>
        <w:rPr>
          <w:rStyle w:val="Funotenzeichen"/>
        </w:rPr>
        <w:footnoteRef/>
      </w:r>
      <w:r w:rsidRPr="000635DC">
        <w:rPr>
          <w:lang w:val="en-US"/>
        </w:rPr>
        <w:t xml:space="preserve"> </w:t>
      </w:r>
      <w:r>
        <w:rPr>
          <w:lang w:val="en-US"/>
        </w:rPr>
        <w:t>„California […]</w:t>
      </w:r>
      <w:r w:rsidRPr="000635DC">
        <w:rPr>
          <w:lang w:val="en-US"/>
        </w:rPr>
        <w:t xml:space="preserve"> enacted in 1992 a statute that limited the amount of welfare benefits for a family that had resided in California for less than 12 months to the amount that would have been received by the family from the state of the family</w:t>
      </w:r>
      <w:r>
        <w:rPr>
          <w:lang w:val="en-US"/>
        </w:rPr>
        <w:t>’</w:t>
      </w:r>
      <w:r w:rsidRPr="000635DC">
        <w:rPr>
          <w:lang w:val="en-US"/>
        </w:rPr>
        <w:t xml:space="preserve">s prior residence. Subsequently, Congress enacted a Personal Responsibility and Work Opportunity Reconciliation Act of 1996 (PRWORA) provision, 42 USCS 604(c), that expressly authorized such durational residency </w:t>
      </w:r>
      <w:proofErr w:type="gramStart"/>
      <w:r w:rsidRPr="000635DC">
        <w:rPr>
          <w:lang w:val="en-US"/>
        </w:rPr>
        <w:t>requirements.</w:t>
      </w:r>
      <w:r>
        <w:rPr>
          <w:lang w:val="en-US"/>
        </w:rPr>
        <w:t>“</w:t>
      </w:r>
      <w:proofErr w:type="gramEnd"/>
      <w:r>
        <w:rPr>
          <w:lang w:val="en-US"/>
        </w:rPr>
        <w:t xml:space="preserve">, </w:t>
      </w:r>
      <w:r w:rsidRPr="00584023">
        <w:rPr>
          <w:i/>
          <w:lang w:val="en-US"/>
        </w:rPr>
        <w:t>Saenz v. Roe</w:t>
      </w:r>
      <w:r w:rsidRPr="000635DC">
        <w:rPr>
          <w:lang w:val="en-US"/>
        </w:rPr>
        <w:t>, 526 U.S. 489, 492</w:t>
      </w:r>
      <w:r w:rsidRPr="003B741A">
        <w:rPr>
          <w:lang w:val="en-US"/>
        </w:rPr>
        <w:t xml:space="preserve"> = 119 S. Ct. </w:t>
      </w:r>
      <w:r w:rsidRPr="000635DC">
        <w:rPr>
          <w:lang w:val="en-US"/>
        </w:rPr>
        <w:t>1518, 1521</w:t>
      </w:r>
      <w:r w:rsidRPr="003B741A">
        <w:rPr>
          <w:lang w:val="en-US"/>
        </w:rPr>
        <w:t xml:space="preserve"> = 143 L. Ed. </w:t>
      </w:r>
      <w:r w:rsidRPr="000635DC">
        <w:rPr>
          <w:lang w:val="en-US"/>
        </w:rPr>
        <w:t>2d 689, 697</w:t>
      </w:r>
      <w:r w:rsidRPr="003B741A">
        <w:rPr>
          <w:lang w:val="en-US"/>
        </w:rPr>
        <w:t xml:space="preserve"> = 1999 U.S. LEXIS </w:t>
      </w:r>
      <w:r w:rsidRPr="000635DC">
        <w:rPr>
          <w:lang w:val="en-US"/>
        </w:rPr>
        <w:t>3174, 1</w:t>
      </w:r>
      <w:r w:rsidRPr="003B741A">
        <w:rPr>
          <w:lang w:val="en-US"/>
        </w:rPr>
        <w:t xml:space="preserve"> = 67 U.S.L.W. </w:t>
      </w:r>
      <w:r w:rsidRPr="000635DC">
        <w:rPr>
          <w:lang w:val="en-US"/>
        </w:rPr>
        <w:t>4291</w:t>
      </w:r>
      <w:r w:rsidRPr="003B741A">
        <w:rPr>
          <w:lang w:val="en-US"/>
        </w:rPr>
        <w:t xml:space="preserve"> = 99 Cal. Daily Op. Service </w:t>
      </w:r>
      <w:r w:rsidRPr="000635DC">
        <w:rPr>
          <w:lang w:val="en-US"/>
        </w:rPr>
        <w:t>3574</w:t>
      </w:r>
      <w:r w:rsidRPr="003B741A">
        <w:rPr>
          <w:lang w:val="en-US"/>
        </w:rPr>
        <w:t xml:space="preserve"> = 99 Daily Journal </w:t>
      </w:r>
      <w:r w:rsidRPr="000635DC">
        <w:rPr>
          <w:lang w:val="en-US"/>
        </w:rPr>
        <w:t>DAR 4559</w:t>
      </w:r>
      <w:r w:rsidRPr="003B741A">
        <w:rPr>
          <w:lang w:val="en-US"/>
        </w:rPr>
        <w:t xml:space="preserve"> = 1999 Colo. J. C.A.R. </w:t>
      </w:r>
      <w:r w:rsidRPr="000635DC">
        <w:rPr>
          <w:lang w:val="en-US"/>
        </w:rPr>
        <w:t>2812</w:t>
      </w:r>
      <w:r w:rsidRPr="003B741A">
        <w:rPr>
          <w:lang w:val="en-US"/>
        </w:rPr>
        <w:t xml:space="preserve"> = 12 Fla. L. Weekly Fed.</w:t>
      </w:r>
      <w:r w:rsidRPr="000635DC">
        <w:rPr>
          <w:lang w:val="en-US"/>
        </w:rPr>
        <w:t xml:space="preserve"> S 227</w:t>
      </w:r>
      <w:r w:rsidRPr="003B741A">
        <w:rPr>
          <w:lang w:val="en-US"/>
        </w:rPr>
        <w:t xml:space="preserve"> = 61 Soc. Sec. Rep. </w:t>
      </w:r>
      <w:r w:rsidRPr="000635DC">
        <w:rPr>
          <w:lang w:val="en-US"/>
        </w:rPr>
        <w:t>Service 75 (1999)</w:t>
      </w:r>
      <w:r>
        <w:rPr>
          <w:lang w:val="en-US"/>
        </w:rPr>
        <w:t>.</w:t>
      </w:r>
    </w:p>
  </w:footnote>
  <w:footnote w:id="456">
    <w:p w14:paraId="7EA0BEE6" w14:textId="77777777" w:rsidR="001A1BB8" w:rsidRPr="000635DC" w:rsidRDefault="001A1BB8" w:rsidP="001A1BB8">
      <w:pPr>
        <w:pStyle w:val="Funotentext"/>
        <w:jc w:val="both"/>
        <w:rPr>
          <w:lang w:val="en-US"/>
        </w:rPr>
      </w:pPr>
      <w:r>
        <w:rPr>
          <w:rStyle w:val="Funotenzeichen"/>
        </w:rPr>
        <w:footnoteRef/>
      </w:r>
      <w:r w:rsidRPr="000635DC">
        <w:rPr>
          <w:lang w:val="en-US"/>
        </w:rPr>
        <w:t xml:space="preserve"> </w:t>
      </w:r>
      <w:r>
        <w:rPr>
          <w:lang w:val="en-US"/>
        </w:rPr>
        <w:t>„</w:t>
      </w:r>
      <w:r w:rsidRPr="000635DC">
        <w:rPr>
          <w:lang w:val="en-US"/>
        </w:rPr>
        <w:t>Personal Responsibility and Work Opportunity Reconciliation Act of 1996 (PRWORA) provision, 42 USCS 604(c</w:t>
      </w:r>
      <w:proofErr w:type="gramStart"/>
      <w:r w:rsidRPr="000635DC">
        <w:rPr>
          <w:lang w:val="en-US"/>
        </w:rPr>
        <w:t>)</w:t>
      </w:r>
      <w:r>
        <w:rPr>
          <w:lang w:val="en-US"/>
        </w:rPr>
        <w:t>“</w:t>
      </w:r>
      <w:proofErr w:type="gramEnd"/>
      <w:r>
        <w:rPr>
          <w:lang w:val="en-US"/>
        </w:rPr>
        <w:t xml:space="preserve">, </w:t>
      </w:r>
      <w:r w:rsidRPr="00584023">
        <w:rPr>
          <w:i/>
          <w:lang w:val="en-US"/>
        </w:rPr>
        <w:t>Saenz v. Roe</w:t>
      </w:r>
      <w:r w:rsidRPr="000635DC">
        <w:rPr>
          <w:lang w:val="en-US"/>
        </w:rPr>
        <w:t>, 526 U.S. 489, 492</w:t>
      </w:r>
      <w:r w:rsidRPr="003B741A">
        <w:rPr>
          <w:lang w:val="en-US"/>
        </w:rPr>
        <w:t xml:space="preserve"> = 119 S. Ct. </w:t>
      </w:r>
      <w:r w:rsidRPr="000635DC">
        <w:rPr>
          <w:lang w:val="en-US"/>
        </w:rPr>
        <w:t>1518, 1521</w:t>
      </w:r>
      <w:r w:rsidRPr="003B741A">
        <w:rPr>
          <w:lang w:val="en-US"/>
        </w:rPr>
        <w:t xml:space="preserve"> = 143 L. Ed. </w:t>
      </w:r>
      <w:r w:rsidRPr="000635DC">
        <w:rPr>
          <w:lang w:val="en-US"/>
        </w:rPr>
        <w:t>2d 689, 697</w:t>
      </w:r>
      <w:r w:rsidRPr="003B741A">
        <w:rPr>
          <w:lang w:val="en-US"/>
        </w:rPr>
        <w:t xml:space="preserve"> = 1999 U.S. LEXIS </w:t>
      </w:r>
      <w:r w:rsidRPr="000635DC">
        <w:rPr>
          <w:lang w:val="en-US"/>
        </w:rPr>
        <w:t>3174, 1</w:t>
      </w:r>
      <w:r w:rsidRPr="003B741A">
        <w:rPr>
          <w:lang w:val="en-US"/>
        </w:rPr>
        <w:t xml:space="preserve"> = 67 U.S.L.W. </w:t>
      </w:r>
      <w:r w:rsidRPr="000635DC">
        <w:rPr>
          <w:lang w:val="en-US"/>
        </w:rPr>
        <w:t>4291</w:t>
      </w:r>
      <w:r w:rsidRPr="003B741A">
        <w:rPr>
          <w:lang w:val="en-US"/>
        </w:rPr>
        <w:t xml:space="preserve"> = 99 Cal. Daily Op. Service </w:t>
      </w:r>
      <w:r w:rsidRPr="000635DC">
        <w:rPr>
          <w:lang w:val="en-US"/>
        </w:rPr>
        <w:t>3574</w:t>
      </w:r>
      <w:r w:rsidRPr="003B741A">
        <w:rPr>
          <w:lang w:val="en-US"/>
        </w:rPr>
        <w:t xml:space="preserve"> = 99 Daily Journal </w:t>
      </w:r>
      <w:r w:rsidRPr="000635DC">
        <w:rPr>
          <w:lang w:val="en-US"/>
        </w:rPr>
        <w:t>DAR 4559</w:t>
      </w:r>
      <w:r w:rsidRPr="003B741A">
        <w:rPr>
          <w:lang w:val="en-US"/>
        </w:rPr>
        <w:t xml:space="preserve"> = 1999 Colo. J. C.A.R. </w:t>
      </w:r>
      <w:r w:rsidRPr="000635DC">
        <w:rPr>
          <w:lang w:val="en-US"/>
        </w:rPr>
        <w:t>2812</w:t>
      </w:r>
      <w:r w:rsidRPr="003B741A">
        <w:rPr>
          <w:lang w:val="en-US"/>
        </w:rPr>
        <w:t xml:space="preserve"> = 12 Fla. L. Weekly Fed.</w:t>
      </w:r>
      <w:r w:rsidRPr="000635DC">
        <w:rPr>
          <w:lang w:val="en-US"/>
        </w:rPr>
        <w:t xml:space="preserve"> S 227</w:t>
      </w:r>
      <w:r w:rsidRPr="003B741A">
        <w:rPr>
          <w:lang w:val="en-US"/>
        </w:rPr>
        <w:t xml:space="preserve"> = 61 Soc. Sec. Rep. </w:t>
      </w:r>
      <w:r w:rsidRPr="000635DC">
        <w:rPr>
          <w:lang w:val="en-US"/>
        </w:rPr>
        <w:t>Service 75 (1999)</w:t>
      </w:r>
      <w:r>
        <w:rPr>
          <w:lang w:val="en-US"/>
        </w:rPr>
        <w:t>.</w:t>
      </w:r>
    </w:p>
  </w:footnote>
  <w:footnote w:id="457">
    <w:p w14:paraId="0975985E" w14:textId="77777777" w:rsidR="00074551" w:rsidRPr="000635DC" w:rsidRDefault="00074551" w:rsidP="00074551">
      <w:pPr>
        <w:pStyle w:val="Funotentext"/>
        <w:jc w:val="both"/>
        <w:rPr>
          <w:lang w:val="en-US"/>
        </w:rPr>
      </w:pPr>
      <w:r>
        <w:rPr>
          <w:rStyle w:val="Funotenzeichen"/>
        </w:rPr>
        <w:footnoteRef/>
      </w:r>
      <w:r w:rsidRPr="000635DC">
        <w:rPr>
          <w:lang w:val="en-US"/>
        </w:rPr>
        <w:t xml:space="preserve"> </w:t>
      </w:r>
      <w:r w:rsidRPr="00584023">
        <w:rPr>
          <w:i/>
          <w:lang w:val="en-US"/>
        </w:rPr>
        <w:t>Saenz v. Roe</w:t>
      </w:r>
      <w:r w:rsidRPr="000635DC">
        <w:rPr>
          <w:lang w:val="en-US"/>
        </w:rPr>
        <w:t>, 526 U.S. 489, 492</w:t>
      </w:r>
      <w:r w:rsidRPr="003B741A">
        <w:rPr>
          <w:lang w:val="en-US"/>
        </w:rPr>
        <w:t xml:space="preserve"> = 119 S. Ct. </w:t>
      </w:r>
      <w:r w:rsidRPr="000635DC">
        <w:rPr>
          <w:lang w:val="en-US"/>
        </w:rPr>
        <w:t>1518, 1521</w:t>
      </w:r>
      <w:r w:rsidRPr="003B741A">
        <w:rPr>
          <w:lang w:val="en-US"/>
        </w:rPr>
        <w:t xml:space="preserve"> = 143 L. Ed. </w:t>
      </w:r>
      <w:r w:rsidRPr="000635DC">
        <w:rPr>
          <w:lang w:val="en-US"/>
        </w:rPr>
        <w:t>2d 689, 697</w:t>
      </w:r>
      <w:r w:rsidRPr="003B741A">
        <w:rPr>
          <w:lang w:val="en-US"/>
        </w:rPr>
        <w:t xml:space="preserve"> = 1999 U.S. LEXIS </w:t>
      </w:r>
      <w:r w:rsidRPr="000635DC">
        <w:rPr>
          <w:lang w:val="en-US"/>
        </w:rPr>
        <w:t>3174, 1</w:t>
      </w:r>
      <w:r w:rsidRPr="003B741A">
        <w:rPr>
          <w:lang w:val="en-US"/>
        </w:rPr>
        <w:t xml:space="preserve"> = 67 U.S.L.W. </w:t>
      </w:r>
      <w:r w:rsidRPr="000635DC">
        <w:rPr>
          <w:lang w:val="en-US"/>
        </w:rPr>
        <w:t>4291</w:t>
      </w:r>
      <w:r w:rsidRPr="003B741A">
        <w:rPr>
          <w:lang w:val="en-US"/>
        </w:rPr>
        <w:t xml:space="preserve"> = 99 Cal. Daily Op. Service </w:t>
      </w:r>
      <w:r w:rsidRPr="000635DC">
        <w:rPr>
          <w:lang w:val="en-US"/>
        </w:rPr>
        <w:t>3574</w:t>
      </w:r>
      <w:r w:rsidRPr="003B741A">
        <w:rPr>
          <w:lang w:val="en-US"/>
        </w:rPr>
        <w:t xml:space="preserve"> = 99 Daily Journal </w:t>
      </w:r>
      <w:r w:rsidRPr="000635DC">
        <w:rPr>
          <w:lang w:val="en-US"/>
        </w:rPr>
        <w:t>DAR 4559</w:t>
      </w:r>
      <w:r w:rsidRPr="003B741A">
        <w:rPr>
          <w:lang w:val="en-US"/>
        </w:rPr>
        <w:t xml:space="preserve"> = 1999 Colo. J. C.A.R. </w:t>
      </w:r>
      <w:r w:rsidRPr="000635DC">
        <w:rPr>
          <w:lang w:val="en-US"/>
        </w:rPr>
        <w:t>2812</w:t>
      </w:r>
      <w:r w:rsidRPr="003B741A">
        <w:rPr>
          <w:lang w:val="en-US"/>
        </w:rPr>
        <w:t xml:space="preserve"> = 12 Fla. L. Weekly Fed.</w:t>
      </w:r>
      <w:r w:rsidRPr="000635DC">
        <w:rPr>
          <w:lang w:val="en-US"/>
        </w:rPr>
        <w:t xml:space="preserve"> S 227</w:t>
      </w:r>
      <w:r w:rsidRPr="003B741A">
        <w:rPr>
          <w:lang w:val="en-US"/>
        </w:rPr>
        <w:t xml:space="preserve"> = 61 Soc. Sec. Rep. </w:t>
      </w:r>
      <w:r w:rsidRPr="000635DC">
        <w:rPr>
          <w:lang w:val="en-US"/>
        </w:rPr>
        <w:t>Service 75 (1999)</w:t>
      </w:r>
      <w:r>
        <w:rPr>
          <w:lang w:val="en-US"/>
        </w:rPr>
        <w:t>.</w:t>
      </w:r>
    </w:p>
  </w:footnote>
  <w:footnote w:id="458">
    <w:p w14:paraId="7F63042B" w14:textId="77777777" w:rsidR="00074551" w:rsidRPr="000635DC" w:rsidRDefault="00074551" w:rsidP="00074551">
      <w:pPr>
        <w:pStyle w:val="Funotentext"/>
        <w:jc w:val="both"/>
        <w:rPr>
          <w:lang w:val="en-US"/>
        </w:rPr>
      </w:pPr>
      <w:r>
        <w:rPr>
          <w:rStyle w:val="Funotenzeichen"/>
        </w:rPr>
        <w:footnoteRef/>
      </w:r>
      <w:r w:rsidRPr="000635DC">
        <w:rPr>
          <w:lang w:val="en-US"/>
        </w:rPr>
        <w:t xml:space="preserve"> </w:t>
      </w:r>
      <w:r>
        <w:rPr>
          <w:lang w:val="en-US"/>
        </w:rPr>
        <w:t>„</w:t>
      </w:r>
      <w:r w:rsidRPr="000635DC">
        <w:rPr>
          <w:lang w:val="en-US"/>
        </w:rPr>
        <w:t>Personal Responsibility and Work Opportunity Reconciliation Act of 1996 (PRWORA) provision, 42 USCS 604(c</w:t>
      </w:r>
      <w:proofErr w:type="gramStart"/>
      <w:r w:rsidRPr="000635DC">
        <w:rPr>
          <w:lang w:val="en-US"/>
        </w:rPr>
        <w:t>)</w:t>
      </w:r>
      <w:r>
        <w:rPr>
          <w:lang w:val="en-US"/>
        </w:rPr>
        <w:t>“</w:t>
      </w:r>
      <w:proofErr w:type="gramEnd"/>
      <w:r>
        <w:rPr>
          <w:lang w:val="en-US"/>
        </w:rPr>
        <w:t xml:space="preserve">, </w:t>
      </w:r>
      <w:r w:rsidRPr="00584023">
        <w:rPr>
          <w:i/>
          <w:lang w:val="en-US"/>
        </w:rPr>
        <w:t>Saenz v. Roe</w:t>
      </w:r>
      <w:r w:rsidRPr="000635DC">
        <w:rPr>
          <w:lang w:val="en-US"/>
        </w:rPr>
        <w:t>, 526 U.S. 489, 492</w:t>
      </w:r>
      <w:r w:rsidRPr="003B741A">
        <w:rPr>
          <w:lang w:val="en-US"/>
        </w:rPr>
        <w:t xml:space="preserve"> = 119 S. Ct. </w:t>
      </w:r>
      <w:r w:rsidRPr="000635DC">
        <w:rPr>
          <w:lang w:val="en-US"/>
        </w:rPr>
        <w:t>1518, 1521</w:t>
      </w:r>
      <w:r w:rsidRPr="003B741A">
        <w:rPr>
          <w:lang w:val="en-US"/>
        </w:rPr>
        <w:t xml:space="preserve"> = 143 L. Ed. </w:t>
      </w:r>
      <w:r w:rsidRPr="000635DC">
        <w:rPr>
          <w:lang w:val="en-US"/>
        </w:rPr>
        <w:t>2d 689, 697</w:t>
      </w:r>
      <w:r w:rsidRPr="003B741A">
        <w:rPr>
          <w:lang w:val="en-US"/>
        </w:rPr>
        <w:t xml:space="preserve"> = 1999 U.S. LEXIS </w:t>
      </w:r>
      <w:r w:rsidRPr="000635DC">
        <w:rPr>
          <w:lang w:val="en-US"/>
        </w:rPr>
        <w:t>3174, 1</w:t>
      </w:r>
      <w:r w:rsidRPr="003B741A">
        <w:rPr>
          <w:lang w:val="en-US"/>
        </w:rPr>
        <w:t xml:space="preserve"> = 67 U.S.L.W. </w:t>
      </w:r>
      <w:r w:rsidRPr="000635DC">
        <w:rPr>
          <w:lang w:val="en-US"/>
        </w:rPr>
        <w:t>4291</w:t>
      </w:r>
      <w:r w:rsidRPr="003B741A">
        <w:rPr>
          <w:lang w:val="en-US"/>
        </w:rPr>
        <w:t xml:space="preserve"> = 99 Cal. Daily Op. Service </w:t>
      </w:r>
      <w:r w:rsidRPr="000635DC">
        <w:rPr>
          <w:lang w:val="en-US"/>
        </w:rPr>
        <w:t>3574</w:t>
      </w:r>
      <w:r w:rsidRPr="003B741A">
        <w:rPr>
          <w:lang w:val="en-US"/>
        </w:rPr>
        <w:t xml:space="preserve"> = 99 Daily Journal </w:t>
      </w:r>
      <w:r w:rsidRPr="000635DC">
        <w:rPr>
          <w:lang w:val="en-US"/>
        </w:rPr>
        <w:t>DAR 4559</w:t>
      </w:r>
      <w:r w:rsidRPr="003B741A">
        <w:rPr>
          <w:lang w:val="en-US"/>
        </w:rPr>
        <w:t xml:space="preserve"> = 1999 Colo. J. C.A.R. </w:t>
      </w:r>
      <w:r w:rsidRPr="000635DC">
        <w:rPr>
          <w:lang w:val="en-US"/>
        </w:rPr>
        <w:t>2812</w:t>
      </w:r>
      <w:r w:rsidRPr="003B741A">
        <w:rPr>
          <w:lang w:val="en-US"/>
        </w:rPr>
        <w:t xml:space="preserve"> = 12 Fla. L. Weekly Fed.</w:t>
      </w:r>
      <w:r w:rsidRPr="000635DC">
        <w:rPr>
          <w:lang w:val="en-US"/>
        </w:rPr>
        <w:t xml:space="preserve"> S 227</w:t>
      </w:r>
      <w:r w:rsidRPr="003B741A">
        <w:rPr>
          <w:lang w:val="en-US"/>
        </w:rPr>
        <w:t xml:space="preserve"> = 61 Soc. Sec. Rep. </w:t>
      </w:r>
      <w:r w:rsidRPr="000635DC">
        <w:rPr>
          <w:lang w:val="en-US"/>
        </w:rPr>
        <w:t>Service 75 (1999)</w:t>
      </w:r>
      <w:r>
        <w:rPr>
          <w:lang w:val="en-US"/>
        </w:rPr>
        <w:t>.</w:t>
      </w:r>
    </w:p>
  </w:footnote>
  <w:footnote w:id="459">
    <w:p w14:paraId="14A3E467" w14:textId="77777777" w:rsidR="00074551" w:rsidRPr="004321CB" w:rsidRDefault="00074551" w:rsidP="00074551">
      <w:pPr>
        <w:pStyle w:val="Funotentext"/>
        <w:jc w:val="both"/>
        <w:rPr>
          <w:lang w:val="en-US"/>
        </w:rPr>
      </w:pPr>
      <w:r>
        <w:rPr>
          <w:rStyle w:val="Funotenzeichen"/>
        </w:rPr>
        <w:footnoteRef/>
      </w:r>
      <w:r w:rsidRPr="00493FCE">
        <w:rPr>
          <w:lang w:val="en-US"/>
        </w:rPr>
        <w:t xml:space="preserve"> </w:t>
      </w:r>
      <w:r w:rsidRPr="00584023">
        <w:rPr>
          <w:i/>
          <w:lang w:val="en-US"/>
        </w:rPr>
        <w:t>Saenz v. Roe</w:t>
      </w:r>
      <w:r w:rsidRPr="00493FCE">
        <w:rPr>
          <w:lang w:val="en-US"/>
        </w:rPr>
        <w:t>, 526 U.S. 489, 527</w:t>
      </w:r>
      <w:r w:rsidRPr="003B741A">
        <w:rPr>
          <w:lang w:val="en-US"/>
        </w:rPr>
        <w:t xml:space="preserve"> = 119 S. Ct. </w:t>
      </w:r>
      <w:r w:rsidRPr="00493FCE">
        <w:rPr>
          <w:lang w:val="en-US"/>
        </w:rPr>
        <w:t>1518, 1538</w:t>
      </w:r>
      <w:r w:rsidRPr="003B741A">
        <w:rPr>
          <w:lang w:val="en-US"/>
        </w:rPr>
        <w:t xml:space="preserve"> = 143 L. Ed. </w:t>
      </w:r>
      <w:r w:rsidRPr="00493FCE">
        <w:rPr>
          <w:lang w:val="en-US"/>
        </w:rPr>
        <w:t>2d 689, 719</w:t>
      </w:r>
      <w:r w:rsidRPr="003B741A">
        <w:rPr>
          <w:lang w:val="en-US"/>
        </w:rPr>
        <w:t xml:space="preserve"> = 1999 U.S. LEXIS </w:t>
      </w:r>
      <w:r w:rsidRPr="00493FCE">
        <w:rPr>
          <w:lang w:val="en-US"/>
        </w:rPr>
        <w:t>3174, 71</w:t>
      </w:r>
      <w:r w:rsidRPr="003B741A">
        <w:rPr>
          <w:lang w:val="en-US"/>
        </w:rPr>
        <w:t xml:space="preserve"> = 67 U.S.L.W. </w:t>
      </w:r>
      <w:r w:rsidRPr="00493FCE">
        <w:rPr>
          <w:lang w:val="en-US"/>
        </w:rPr>
        <w:t>4291</w:t>
      </w:r>
      <w:r w:rsidRPr="003B741A">
        <w:rPr>
          <w:lang w:val="en-US"/>
        </w:rPr>
        <w:t xml:space="preserve"> = 99 Cal. Daily Op. Service </w:t>
      </w:r>
      <w:r w:rsidRPr="00493FCE">
        <w:rPr>
          <w:lang w:val="en-US"/>
        </w:rPr>
        <w:t>3574</w:t>
      </w:r>
      <w:r w:rsidRPr="003B741A">
        <w:rPr>
          <w:lang w:val="en-US"/>
        </w:rPr>
        <w:t xml:space="preserve"> = 99 Daily Journal </w:t>
      </w:r>
      <w:r w:rsidRPr="00493FCE">
        <w:rPr>
          <w:lang w:val="en-US"/>
        </w:rPr>
        <w:t>DAR 4559</w:t>
      </w:r>
      <w:r w:rsidRPr="003B741A">
        <w:rPr>
          <w:lang w:val="en-US"/>
        </w:rPr>
        <w:t xml:space="preserve"> = 1999 Colo. J. C.A.R. </w:t>
      </w:r>
      <w:r w:rsidRPr="00493FCE">
        <w:rPr>
          <w:lang w:val="en-US"/>
        </w:rPr>
        <w:t>2812</w:t>
      </w:r>
      <w:r w:rsidRPr="003B741A">
        <w:rPr>
          <w:lang w:val="en-US"/>
        </w:rPr>
        <w:t xml:space="preserve"> = 12 Fla. L. Weekly Fed.</w:t>
      </w:r>
      <w:r w:rsidRPr="00493FCE">
        <w:rPr>
          <w:lang w:val="en-US"/>
        </w:rPr>
        <w:t xml:space="preserve"> </w:t>
      </w:r>
      <w:r w:rsidRPr="004321CB">
        <w:rPr>
          <w:lang w:val="en-US"/>
        </w:rPr>
        <w:t>S 227</w:t>
      </w:r>
      <w:r w:rsidRPr="003B741A">
        <w:rPr>
          <w:lang w:val="en-US"/>
        </w:rPr>
        <w:t xml:space="preserve"> = 61 Soc. Sec. Rep. </w:t>
      </w:r>
      <w:r w:rsidRPr="004321CB">
        <w:rPr>
          <w:lang w:val="en-US"/>
        </w:rPr>
        <w:t>Service 75 (1999)</w:t>
      </w:r>
      <w:r>
        <w:rPr>
          <w:lang w:val="en-US"/>
        </w:rPr>
        <w:t>.</w:t>
      </w:r>
    </w:p>
  </w:footnote>
  <w:footnote w:id="460">
    <w:p w14:paraId="6E7E03C7" w14:textId="77777777" w:rsidR="00074551" w:rsidRPr="004321CB" w:rsidRDefault="00074551" w:rsidP="00074551">
      <w:pPr>
        <w:pStyle w:val="Funotentext"/>
        <w:jc w:val="both"/>
        <w:rPr>
          <w:lang w:val="en-US"/>
        </w:rPr>
      </w:pPr>
      <w:r>
        <w:rPr>
          <w:rStyle w:val="Funotenzeichen"/>
        </w:rPr>
        <w:footnoteRef/>
      </w:r>
      <w:r w:rsidRPr="004321CB">
        <w:rPr>
          <w:lang w:val="en-US"/>
        </w:rPr>
        <w:t xml:space="preserve"> </w:t>
      </w:r>
      <w:r w:rsidRPr="009747B9">
        <w:rPr>
          <w:i/>
          <w:lang w:val="en-IE"/>
        </w:rPr>
        <w:t>Corfield v. Coryell,</w:t>
      </w:r>
      <w:r w:rsidRPr="009747B9">
        <w:rPr>
          <w:lang w:val="en-IE"/>
        </w:rPr>
        <w:t xml:space="preserve"> 4 </w:t>
      </w:r>
      <w:proofErr w:type="spellStart"/>
      <w:r w:rsidRPr="009747B9">
        <w:rPr>
          <w:lang w:val="en-IE"/>
        </w:rPr>
        <w:t>Wash.C.C</w:t>
      </w:r>
      <w:proofErr w:type="spellEnd"/>
      <w:r w:rsidRPr="009747B9">
        <w:rPr>
          <w:lang w:val="en-IE"/>
        </w:rPr>
        <w:t>. 371 (1825);</w:t>
      </w:r>
      <w:r w:rsidRPr="009747B9">
        <w:rPr>
          <w:lang w:val="en-US"/>
        </w:rPr>
        <w:t xml:space="preserve"> </w:t>
      </w:r>
      <w:r>
        <w:rPr>
          <w:lang w:val="en-US"/>
        </w:rPr>
        <w:t>„</w:t>
      </w:r>
      <w:r w:rsidRPr="004321CB">
        <w:rPr>
          <w:lang w:val="en-US"/>
        </w:rPr>
        <w:t>During the first half of the 19th century, a number of legal scholars and state courts endorsed Washington</w:t>
      </w:r>
      <w:r>
        <w:rPr>
          <w:lang w:val="en-US"/>
        </w:rPr>
        <w:t>’</w:t>
      </w:r>
      <w:r w:rsidRPr="004321CB">
        <w:rPr>
          <w:lang w:val="en-US"/>
        </w:rPr>
        <w:t>s conclusion that the Clause protected only fundamental rights.</w:t>
      </w:r>
      <w:r>
        <w:rPr>
          <w:lang w:val="en-US"/>
        </w:rPr>
        <w:t xml:space="preserve">“, </w:t>
      </w:r>
      <w:r w:rsidRPr="00B45592">
        <w:rPr>
          <w:i/>
          <w:lang w:val="en-US"/>
        </w:rPr>
        <w:t>Campbell v. Morris</w:t>
      </w:r>
      <w:r w:rsidRPr="004321CB">
        <w:rPr>
          <w:lang w:val="en-US"/>
        </w:rPr>
        <w:t>, 3 Harr. &amp; M. 535, 554 (Md. 1797) (</w:t>
      </w:r>
      <w:r>
        <w:rPr>
          <w:lang w:val="en-US"/>
        </w:rPr>
        <w:t xml:space="preserve">Richter </w:t>
      </w:r>
      <w:r w:rsidRPr="00B45592">
        <w:rPr>
          <w:i/>
          <w:lang w:val="en-US"/>
        </w:rPr>
        <w:t>Chase</w:t>
      </w:r>
      <w:r w:rsidRPr="004321CB">
        <w:rPr>
          <w:lang w:val="en-US"/>
        </w:rPr>
        <w:t>) (</w:t>
      </w:r>
      <w:r>
        <w:rPr>
          <w:lang w:val="en-US"/>
        </w:rPr>
        <w:t>„</w:t>
      </w:r>
      <w:r w:rsidRPr="004321CB">
        <w:rPr>
          <w:lang w:val="en-US"/>
        </w:rPr>
        <w:t xml:space="preserve">Clause protects property and personal </w:t>
      </w:r>
      <w:proofErr w:type="gramStart"/>
      <w:r w:rsidRPr="004321CB">
        <w:rPr>
          <w:lang w:val="en-US"/>
        </w:rPr>
        <w:t>rights</w:t>
      </w:r>
      <w:r>
        <w:rPr>
          <w:lang w:val="en-US"/>
        </w:rPr>
        <w:t>“</w:t>
      </w:r>
      <w:proofErr w:type="gramEnd"/>
      <w:r w:rsidRPr="004321CB">
        <w:rPr>
          <w:lang w:val="en-US"/>
        </w:rPr>
        <w:t xml:space="preserve">); </w:t>
      </w:r>
      <w:r w:rsidRPr="00B45592">
        <w:rPr>
          <w:i/>
          <w:lang w:val="en-US"/>
        </w:rPr>
        <w:t>Douglass v. Stephens</w:t>
      </w:r>
      <w:r w:rsidRPr="004321CB">
        <w:rPr>
          <w:lang w:val="en-US"/>
        </w:rPr>
        <w:t>, 1 Del. Ch. 465, 470 (1821) (</w:t>
      </w:r>
      <w:r>
        <w:rPr>
          <w:lang w:val="en-US"/>
        </w:rPr>
        <w:t>„</w:t>
      </w:r>
      <w:r w:rsidRPr="004321CB">
        <w:rPr>
          <w:lang w:val="en-US"/>
        </w:rPr>
        <w:t xml:space="preserve">Clause protects </w:t>
      </w:r>
      <w:proofErr w:type="gramStart"/>
      <w:r w:rsidRPr="004321CB">
        <w:rPr>
          <w:lang w:val="en-US"/>
        </w:rPr>
        <w:t xml:space="preserve">the </w:t>
      </w:r>
      <w:r>
        <w:rPr>
          <w:lang w:val="en-US"/>
        </w:rPr>
        <w:t>,</w:t>
      </w:r>
      <w:r w:rsidRPr="004321CB">
        <w:rPr>
          <w:lang w:val="en-US"/>
        </w:rPr>
        <w:t>absolute</w:t>
      </w:r>
      <w:proofErr w:type="gramEnd"/>
      <w:r w:rsidRPr="004321CB">
        <w:rPr>
          <w:lang w:val="en-US"/>
        </w:rPr>
        <w:t xml:space="preserve"> </w:t>
      </w:r>
      <w:proofErr w:type="gramStart"/>
      <w:r w:rsidRPr="004321CB">
        <w:rPr>
          <w:lang w:val="en-US"/>
        </w:rPr>
        <w:t>rights</w:t>
      </w:r>
      <w:r>
        <w:rPr>
          <w:lang w:val="en-US"/>
        </w:rPr>
        <w:t xml:space="preserve">‘ </w:t>
      </w:r>
      <w:r w:rsidRPr="004321CB">
        <w:rPr>
          <w:lang w:val="en-US"/>
        </w:rPr>
        <w:t xml:space="preserve">that </w:t>
      </w:r>
      <w:r>
        <w:rPr>
          <w:lang w:val="en-US"/>
        </w:rPr>
        <w:t>,</w:t>
      </w:r>
      <w:r w:rsidRPr="004321CB">
        <w:rPr>
          <w:lang w:val="en-US"/>
        </w:rPr>
        <w:t>all</w:t>
      </w:r>
      <w:proofErr w:type="gramEnd"/>
      <w:r w:rsidRPr="004321CB">
        <w:rPr>
          <w:lang w:val="en-US"/>
        </w:rPr>
        <w:t xml:space="preserve"> men by nature </w:t>
      </w:r>
      <w:proofErr w:type="gramStart"/>
      <w:r w:rsidRPr="004321CB">
        <w:rPr>
          <w:lang w:val="en-US"/>
        </w:rPr>
        <w:t>have</w:t>
      </w:r>
      <w:r>
        <w:rPr>
          <w:lang w:val="en-US"/>
        </w:rPr>
        <w:t>‘</w:t>
      </w:r>
      <w:proofErr w:type="gramEnd"/>
      <w:r>
        <w:rPr>
          <w:lang w:val="en-US"/>
        </w:rPr>
        <w:t>“</w:t>
      </w:r>
      <w:r w:rsidRPr="004321CB">
        <w:rPr>
          <w:lang w:val="en-US"/>
        </w:rPr>
        <w:t xml:space="preserve">); 2 </w:t>
      </w:r>
      <w:r w:rsidRPr="00B45592">
        <w:rPr>
          <w:i/>
          <w:lang w:val="en-US"/>
        </w:rPr>
        <w:t>Kent</w:t>
      </w:r>
      <w:r w:rsidRPr="004321CB">
        <w:rPr>
          <w:lang w:val="en-US"/>
        </w:rPr>
        <w:t>, Commentaries on American Law 71</w:t>
      </w:r>
      <w:r>
        <w:rPr>
          <w:lang w:val="en-US"/>
        </w:rPr>
        <w:t>–</w:t>
      </w:r>
      <w:r w:rsidRPr="004321CB">
        <w:rPr>
          <w:lang w:val="en-US"/>
        </w:rPr>
        <w:t>72 (1836) (</w:t>
      </w:r>
      <w:r>
        <w:rPr>
          <w:lang w:val="en-US"/>
        </w:rPr>
        <w:t>„</w:t>
      </w:r>
      <w:proofErr w:type="gramStart"/>
      <w:r w:rsidRPr="004321CB">
        <w:rPr>
          <w:lang w:val="en-US"/>
        </w:rPr>
        <w:t xml:space="preserve">Clause </w:t>
      </w:r>
      <w:r>
        <w:rPr>
          <w:lang w:val="en-US"/>
        </w:rPr>
        <w:t>,</w:t>
      </w:r>
      <w:r w:rsidRPr="004321CB">
        <w:rPr>
          <w:lang w:val="en-US"/>
        </w:rPr>
        <w:t>confined</w:t>
      </w:r>
      <w:proofErr w:type="gramEnd"/>
      <w:r w:rsidRPr="004321CB">
        <w:rPr>
          <w:lang w:val="en-US"/>
        </w:rPr>
        <w:t xml:space="preserve"> to those [rights] which were, in their nature, </w:t>
      </w:r>
      <w:proofErr w:type="gramStart"/>
      <w:r w:rsidRPr="004321CB">
        <w:rPr>
          <w:lang w:val="en-US"/>
        </w:rPr>
        <w:t>fundamental</w:t>
      </w:r>
      <w:r>
        <w:rPr>
          <w:lang w:val="en-US"/>
        </w:rPr>
        <w:t>‘</w:t>
      </w:r>
      <w:proofErr w:type="gramEnd"/>
      <w:r>
        <w:rPr>
          <w:lang w:val="en-US"/>
        </w:rPr>
        <w:t>“</w:t>
      </w:r>
      <w:r w:rsidRPr="004321CB">
        <w:rPr>
          <w:lang w:val="en-US"/>
        </w:rPr>
        <w:t>).</w:t>
      </w:r>
      <w:r>
        <w:rPr>
          <w:lang w:val="en-US"/>
        </w:rPr>
        <w:t xml:space="preserve"> </w:t>
      </w:r>
      <w:r w:rsidRPr="00B45592">
        <w:rPr>
          <w:i/>
          <w:lang w:val="en-US"/>
        </w:rPr>
        <w:t>Antieau</w:t>
      </w:r>
      <w:r w:rsidRPr="004321CB">
        <w:rPr>
          <w:lang w:val="en-US"/>
        </w:rPr>
        <w:t>, Paul</w:t>
      </w:r>
      <w:r>
        <w:rPr>
          <w:lang w:val="en-US"/>
        </w:rPr>
        <w:t>’</w:t>
      </w:r>
      <w:r w:rsidRPr="004321CB">
        <w:rPr>
          <w:lang w:val="en-US"/>
        </w:rPr>
        <w:t>s Perverted Privileges or the True Meaning of the Privileges and Immunities Clause of Article Four, 9 Wm. &amp; Mary L. Rev. 1, 18</w:t>
      </w:r>
      <w:r>
        <w:rPr>
          <w:lang w:val="en-US"/>
        </w:rPr>
        <w:t>–</w:t>
      </w:r>
      <w:r w:rsidRPr="004321CB">
        <w:rPr>
          <w:lang w:val="en-US"/>
        </w:rPr>
        <w:t>21 (1967)</w:t>
      </w:r>
      <w:r>
        <w:rPr>
          <w:lang w:val="en-US"/>
        </w:rPr>
        <w:t xml:space="preserve">; </w:t>
      </w:r>
      <w:r w:rsidRPr="00584023">
        <w:rPr>
          <w:i/>
          <w:lang w:val="en-US"/>
        </w:rPr>
        <w:t>Saenz v. Roe</w:t>
      </w:r>
      <w:r w:rsidRPr="004321CB">
        <w:rPr>
          <w:lang w:val="en-US"/>
        </w:rPr>
        <w:t>, 526 U.S. 489, 526</w:t>
      </w:r>
      <w:r w:rsidRPr="003B741A">
        <w:rPr>
          <w:lang w:val="en-US"/>
        </w:rPr>
        <w:t xml:space="preserve"> = 119 S. Ct. </w:t>
      </w:r>
      <w:r w:rsidRPr="004321CB">
        <w:rPr>
          <w:lang w:val="en-US"/>
        </w:rPr>
        <w:t>1518, 1537</w:t>
      </w:r>
      <w:r w:rsidRPr="003B741A">
        <w:rPr>
          <w:lang w:val="en-US"/>
        </w:rPr>
        <w:t xml:space="preserve"> = 143 L. Ed. </w:t>
      </w:r>
      <w:r w:rsidRPr="004321CB">
        <w:rPr>
          <w:lang w:val="en-US"/>
        </w:rPr>
        <w:t>2d 689, 718</w:t>
      </w:r>
      <w:r w:rsidRPr="003B741A">
        <w:rPr>
          <w:lang w:val="en-US"/>
        </w:rPr>
        <w:t xml:space="preserve"> = 1999 U.S. LEXIS </w:t>
      </w:r>
      <w:r w:rsidRPr="004321CB">
        <w:rPr>
          <w:lang w:val="en-US"/>
        </w:rPr>
        <w:t>3174, 68</w:t>
      </w:r>
      <w:r w:rsidRPr="003B741A">
        <w:rPr>
          <w:lang w:val="en-US"/>
        </w:rPr>
        <w:t xml:space="preserve"> = 67 U.S.L.W. </w:t>
      </w:r>
      <w:r w:rsidRPr="004321CB">
        <w:rPr>
          <w:lang w:val="en-US"/>
        </w:rPr>
        <w:t>4291</w:t>
      </w:r>
      <w:r w:rsidRPr="003B741A">
        <w:rPr>
          <w:lang w:val="en-US"/>
        </w:rPr>
        <w:t xml:space="preserve"> = 99 Cal. Daily Op. Service </w:t>
      </w:r>
      <w:r w:rsidRPr="004321CB">
        <w:rPr>
          <w:lang w:val="en-US"/>
        </w:rPr>
        <w:t>3574</w:t>
      </w:r>
      <w:r w:rsidRPr="003B741A">
        <w:rPr>
          <w:lang w:val="en-US"/>
        </w:rPr>
        <w:t xml:space="preserve"> = 99 Daily Journal </w:t>
      </w:r>
      <w:r w:rsidRPr="004321CB">
        <w:rPr>
          <w:lang w:val="en-US"/>
        </w:rPr>
        <w:t>DAR 4559</w:t>
      </w:r>
      <w:r w:rsidRPr="003B741A">
        <w:rPr>
          <w:lang w:val="en-US"/>
        </w:rPr>
        <w:t xml:space="preserve"> = 1999 Colo. J. C.A.R. </w:t>
      </w:r>
      <w:r w:rsidRPr="004321CB">
        <w:rPr>
          <w:lang w:val="en-US"/>
        </w:rPr>
        <w:t>2812</w:t>
      </w:r>
      <w:r w:rsidRPr="003B741A">
        <w:rPr>
          <w:lang w:val="en-US"/>
        </w:rPr>
        <w:t xml:space="preserve"> = 12 Fla. L. Weekly Fed.</w:t>
      </w:r>
      <w:r w:rsidRPr="004321CB">
        <w:rPr>
          <w:lang w:val="en-US"/>
        </w:rPr>
        <w:t xml:space="preserve"> S 227</w:t>
      </w:r>
      <w:r w:rsidRPr="003B741A">
        <w:rPr>
          <w:lang w:val="en-US"/>
        </w:rPr>
        <w:t xml:space="preserve"> = 61 Soc. Sec. Rep. </w:t>
      </w:r>
      <w:r w:rsidRPr="004321CB">
        <w:rPr>
          <w:lang w:val="en-US"/>
        </w:rPr>
        <w:t>Service 75 (1999)</w:t>
      </w:r>
      <w:r>
        <w:rPr>
          <w:lang w:val="en-US"/>
        </w:rPr>
        <w:t>.</w:t>
      </w:r>
    </w:p>
  </w:footnote>
  <w:footnote w:id="461">
    <w:p w14:paraId="7363EA9E" w14:textId="77777777" w:rsidR="00074551" w:rsidRPr="004321CB" w:rsidRDefault="00074551" w:rsidP="00074551">
      <w:pPr>
        <w:pStyle w:val="Funotentext"/>
        <w:jc w:val="both"/>
        <w:rPr>
          <w:lang w:val="en-US"/>
        </w:rPr>
      </w:pPr>
      <w:r>
        <w:rPr>
          <w:rStyle w:val="Funotenzeichen"/>
        </w:rPr>
        <w:footnoteRef/>
      </w:r>
      <w:r w:rsidRPr="004321CB">
        <w:rPr>
          <w:lang w:val="en-US"/>
        </w:rPr>
        <w:t xml:space="preserve"> </w:t>
      </w:r>
      <w:r w:rsidRPr="00584023">
        <w:rPr>
          <w:i/>
          <w:lang w:val="en-US"/>
        </w:rPr>
        <w:t>Saenz v. Roe</w:t>
      </w:r>
      <w:r w:rsidRPr="004321CB">
        <w:rPr>
          <w:lang w:val="en-US"/>
        </w:rPr>
        <w:t>, 526 U.S. 489, 526</w:t>
      </w:r>
      <w:r w:rsidRPr="003B741A">
        <w:rPr>
          <w:lang w:val="en-US"/>
        </w:rPr>
        <w:t xml:space="preserve"> = 119 S. Ct. </w:t>
      </w:r>
      <w:r w:rsidRPr="004321CB">
        <w:rPr>
          <w:lang w:val="en-US"/>
        </w:rPr>
        <w:t>1518, 1537</w:t>
      </w:r>
      <w:r w:rsidRPr="003B741A">
        <w:rPr>
          <w:lang w:val="en-US"/>
        </w:rPr>
        <w:t xml:space="preserve"> = 143 L. Ed. </w:t>
      </w:r>
      <w:r w:rsidRPr="004321CB">
        <w:rPr>
          <w:lang w:val="en-US"/>
        </w:rPr>
        <w:t>2d 689, 718</w:t>
      </w:r>
      <w:r w:rsidRPr="003B741A">
        <w:rPr>
          <w:lang w:val="en-US"/>
        </w:rPr>
        <w:t xml:space="preserve"> = 1999 U.S. LEXIS </w:t>
      </w:r>
      <w:r w:rsidRPr="004321CB">
        <w:rPr>
          <w:lang w:val="en-US"/>
        </w:rPr>
        <w:t>3174, 70</w:t>
      </w:r>
      <w:r w:rsidRPr="003B741A">
        <w:rPr>
          <w:lang w:val="en-US"/>
        </w:rPr>
        <w:t xml:space="preserve"> = 67 U.S.L.W. </w:t>
      </w:r>
      <w:r w:rsidRPr="004321CB">
        <w:rPr>
          <w:lang w:val="en-US"/>
        </w:rPr>
        <w:t>4291</w:t>
      </w:r>
      <w:r w:rsidRPr="003B741A">
        <w:rPr>
          <w:lang w:val="en-US"/>
        </w:rPr>
        <w:t xml:space="preserve"> = 99 Cal. Daily Op. Service </w:t>
      </w:r>
      <w:r w:rsidRPr="004321CB">
        <w:rPr>
          <w:lang w:val="en-US"/>
        </w:rPr>
        <w:t>3574</w:t>
      </w:r>
      <w:r w:rsidRPr="003B741A">
        <w:rPr>
          <w:lang w:val="en-US"/>
        </w:rPr>
        <w:t xml:space="preserve"> = 99 Daily Journal </w:t>
      </w:r>
      <w:r w:rsidRPr="004321CB">
        <w:rPr>
          <w:lang w:val="en-US"/>
        </w:rPr>
        <w:t>DAR 4559</w:t>
      </w:r>
      <w:r w:rsidRPr="003B741A">
        <w:rPr>
          <w:lang w:val="en-US"/>
        </w:rPr>
        <w:t xml:space="preserve"> = 1999 Colo. J. C.A.R. </w:t>
      </w:r>
      <w:r w:rsidRPr="004321CB">
        <w:rPr>
          <w:lang w:val="en-US"/>
        </w:rPr>
        <w:t>2812</w:t>
      </w:r>
      <w:r w:rsidRPr="003B741A">
        <w:rPr>
          <w:lang w:val="en-US"/>
        </w:rPr>
        <w:t xml:space="preserve"> = 12 Fla. L. Weekly Fed.</w:t>
      </w:r>
      <w:r w:rsidRPr="004321CB">
        <w:rPr>
          <w:lang w:val="en-US"/>
        </w:rPr>
        <w:t xml:space="preserve"> S 227</w:t>
      </w:r>
      <w:r w:rsidRPr="003B741A">
        <w:rPr>
          <w:lang w:val="en-US"/>
        </w:rPr>
        <w:t xml:space="preserve"> = 61 Soc. Sec. Rep. </w:t>
      </w:r>
      <w:r w:rsidRPr="004321CB">
        <w:rPr>
          <w:lang w:val="en-US"/>
        </w:rPr>
        <w:t>Service 75 (1999)</w:t>
      </w:r>
      <w:r>
        <w:rPr>
          <w:lang w:val="en-US"/>
        </w:rPr>
        <w:t>.</w:t>
      </w:r>
    </w:p>
  </w:footnote>
  <w:footnote w:id="462">
    <w:p w14:paraId="5B2C9CDE" w14:textId="77777777" w:rsidR="00074551" w:rsidRPr="0056272A" w:rsidRDefault="00074551" w:rsidP="00074551">
      <w:pPr>
        <w:pStyle w:val="Funotentext"/>
        <w:jc w:val="both"/>
        <w:rPr>
          <w:lang w:val="en-US"/>
        </w:rPr>
      </w:pPr>
      <w:r>
        <w:rPr>
          <w:rStyle w:val="Funotenzeichen"/>
        </w:rPr>
        <w:footnoteRef/>
      </w:r>
      <w:r w:rsidRPr="0056272A">
        <w:rPr>
          <w:lang w:val="en-US"/>
        </w:rPr>
        <w:t xml:space="preserve"> </w:t>
      </w:r>
      <w:r w:rsidRPr="00B45592">
        <w:rPr>
          <w:i/>
          <w:lang w:val="en-US"/>
        </w:rPr>
        <w:t>Corfield v. Coryell</w:t>
      </w:r>
      <w:r>
        <w:rPr>
          <w:lang w:val="en-US"/>
        </w:rPr>
        <w:t>,</w:t>
      </w:r>
      <w:r w:rsidRPr="003B741A">
        <w:rPr>
          <w:lang w:val="en-US"/>
        </w:rPr>
        <w:t xml:space="preserve"> 4 Wash. C. C. </w:t>
      </w:r>
      <w:r w:rsidRPr="0056272A">
        <w:rPr>
          <w:lang w:val="en-US"/>
        </w:rPr>
        <w:t>371, 6 F. Cas. 551</w:t>
      </w:r>
      <w:r>
        <w:rPr>
          <w:lang w:val="en-US"/>
        </w:rPr>
        <w:t xml:space="preserve">–552; </w:t>
      </w:r>
      <w:r w:rsidRPr="00584023">
        <w:rPr>
          <w:i/>
          <w:lang w:val="en-US"/>
        </w:rPr>
        <w:t>Saenz v. Roe</w:t>
      </w:r>
      <w:r w:rsidRPr="0056272A">
        <w:rPr>
          <w:lang w:val="en-US"/>
        </w:rPr>
        <w:t>, 526 U.S. 489, 524</w:t>
      </w:r>
      <w:r w:rsidRPr="003B741A">
        <w:rPr>
          <w:lang w:val="en-US"/>
        </w:rPr>
        <w:t xml:space="preserve"> = 119 S. Ct. </w:t>
      </w:r>
      <w:r w:rsidRPr="0056272A">
        <w:rPr>
          <w:lang w:val="en-US"/>
        </w:rPr>
        <w:t>1518, 1536</w:t>
      </w:r>
      <w:r w:rsidRPr="003B741A">
        <w:rPr>
          <w:lang w:val="en-US"/>
        </w:rPr>
        <w:t xml:space="preserve"> = 143 L. Ed. </w:t>
      </w:r>
      <w:r w:rsidRPr="0056272A">
        <w:rPr>
          <w:lang w:val="en-US"/>
        </w:rPr>
        <w:t>2d 689, 717</w:t>
      </w:r>
      <w:r w:rsidRPr="003B741A">
        <w:rPr>
          <w:lang w:val="en-US"/>
        </w:rPr>
        <w:t xml:space="preserve"> = 1999 U.S. LEXIS </w:t>
      </w:r>
      <w:r w:rsidRPr="0056272A">
        <w:rPr>
          <w:lang w:val="en-US"/>
        </w:rPr>
        <w:t>3174, 66</w:t>
      </w:r>
      <w:r w:rsidRPr="003B741A">
        <w:rPr>
          <w:lang w:val="en-US"/>
        </w:rPr>
        <w:t xml:space="preserve"> = 67 U.S.L.W. </w:t>
      </w:r>
      <w:r w:rsidRPr="0056272A">
        <w:rPr>
          <w:lang w:val="en-US"/>
        </w:rPr>
        <w:t>4291</w:t>
      </w:r>
      <w:r w:rsidRPr="003B741A">
        <w:rPr>
          <w:lang w:val="en-US"/>
        </w:rPr>
        <w:t xml:space="preserve"> = 99 Cal. Daily Op. Service </w:t>
      </w:r>
      <w:r w:rsidRPr="0056272A">
        <w:rPr>
          <w:lang w:val="en-US"/>
        </w:rPr>
        <w:t>3574</w:t>
      </w:r>
      <w:r w:rsidRPr="003B741A">
        <w:rPr>
          <w:lang w:val="en-US"/>
        </w:rPr>
        <w:t xml:space="preserve"> = 99 Daily Journal </w:t>
      </w:r>
      <w:r w:rsidRPr="0056272A">
        <w:rPr>
          <w:lang w:val="en-US"/>
        </w:rPr>
        <w:t>DAR 4559</w:t>
      </w:r>
      <w:r w:rsidRPr="003B741A">
        <w:rPr>
          <w:lang w:val="en-US"/>
        </w:rPr>
        <w:t xml:space="preserve"> = 1999 Colo. J. C.A.R. </w:t>
      </w:r>
      <w:r w:rsidRPr="0056272A">
        <w:rPr>
          <w:lang w:val="en-US"/>
        </w:rPr>
        <w:t>2812</w:t>
      </w:r>
      <w:r w:rsidRPr="003B741A">
        <w:rPr>
          <w:lang w:val="en-US"/>
        </w:rPr>
        <w:t xml:space="preserve"> = 12 Fla. L. Weekly Fed.</w:t>
      </w:r>
      <w:r w:rsidRPr="0056272A">
        <w:rPr>
          <w:lang w:val="en-US"/>
        </w:rPr>
        <w:t xml:space="preserve"> S 227</w:t>
      </w:r>
      <w:r w:rsidRPr="003B741A">
        <w:rPr>
          <w:lang w:val="en-US"/>
        </w:rPr>
        <w:t xml:space="preserve"> = 61 Soc. Sec. Rep. </w:t>
      </w:r>
      <w:r w:rsidRPr="0056272A">
        <w:rPr>
          <w:lang w:val="en-US"/>
        </w:rPr>
        <w:t>Service 75 (1999)</w:t>
      </w:r>
      <w:r>
        <w:rPr>
          <w:lang w:val="en-US"/>
        </w:rPr>
        <w:t>.</w:t>
      </w:r>
    </w:p>
  </w:footnote>
  <w:footnote w:id="463">
    <w:p w14:paraId="598AD906" w14:textId="77777777" w:rsidR="00074551" w:rsidRPr="00D24968" w:rsidRDefault="00074551" w:rsidP="00074551">
      <w:pPr>
        <w:pStyle w:val="Funotentext"/>
        <w:jc w:val="both"/>
        <w:rPr>
          <w:lang w:val="en-US"/>
        </w:rPr>
      </w:pPr>
      <w:r>
        <w:rPr>
          <w:rStyle w:val="Funotenzeichen"/>
          <w:rFonts w:eastAsiaTheme="majorEastAsia"/>
        </w:rPr>
        <w:footnoteRef/>
      </w:r>
      <w:r w:rsidRPr="00D24968">
        <w:rPr>
          <w:lang w:val="en-US"/>
        </w:rPr>
        <w:t xml:space="preserve"> </w:t>
      </w:r>
      <w:r w:rsidRPr="00584023">
        <w:rPr>
          <w:i/>
          <w:lang w:val="en-US"/>
        </w:rPr>
        <w:t>Sosna v. Iowa</w:t>
      </w:r>
      <w:r w:rsidRPr="00D24968">
        <w:rPr>
          <w:lang w:val="en-US"/>
        </w:rPr>
        <w:t>, 419 U.S. 393, 395</w:t>
      </w:r>
      <w:r w:rsidRPr="003B741A">
        <w:rPr>
          <w:lang w:val="en-US"/>
        </w:rPr>
        <w:t xml:space="preserve"> = 95 S. Ct. </w:t>
      </w:r>
      <w:r w:rsidRPr="00D24968">
        <w:rPr>
          <w:lang w:val="en-US"/>
        </w:rPr>
        <w:t>553, 555</w:t>
      </w:r>
      <w:r w:rsidRPr="003B741A">
        <w:rPr>
          <w:lang w:val="en-US"/>
        </w:rPr>
        <w:t xml:space="preserve"> = 42 L. Ed. </w:t>
      </w:r>
      <w:r w:rsidRPr="00D24968">
        <w:rPr>
          <w:lang w:val="en-US"/>
        </w:rPr>
        <w:t>2d 532, 538</w:t>
      </w:r>
      <w:r w:rsidRPr="003B741A">
        <w:rPr>
          <w:lang w:val="en-US"/>
        </w:rPr>
        <w:t xml:space="preserve"> = 1975 U.S. LEXIS </w:t>
      </w:r>
      <w:r w:rsidRPr="00D24968">
        <w:rPr>
          <w:lang w:val="en-US"/>
        </w:rPr>
        <w:t>19, 1</w:t>
      </w:r>
      <w:r w:rsidRPr="003B741A">
        <w:rPr>
          <w:lang w:val="en-US"/>
        </w:rPr>
        <w:t xml:space="preserve"> = 19 Fed. R. Serv. </w:t>
      </w:r>
      <w:r w:rsidRPr="00D24968">
        <w:rPr>
          <w:lang w:val="en-US"/>
        </w:rPr>
        <w:t>2d (Callaghan) 925 (1975)</w:t>
      </w:r>
      <w:r>
        <w:rPr>
          <w:lang w:val="en-US"/>
        </w:rPr>
        <w:t>.</w:t>
      </w:r>
    </w:p>
  </w:footnote>
  <w:footnote w:id="464">
    <w:p w14:paraId="3EB495FE" w14:textId="77777777" w:rsidR="00074551" w:rsidRPr="00D24968" w:rsidRDefault="00074551" w:rsidP="00074551">
      <w:pPr>
        <w:pStyle w:val="Funotentext"/>
        <w:jc w:val="both"/>
        <w:rPr>
          <w:lang w:val="en-US"/>
        </w:rPr>
      </w:pPr>
      <w:r>
        <w:rPr>
          <w:rStyle w:val="Funotenzeichen"/>
          <w:rFonts w:eastAsiaTheme="majorEastAsia"/>
        </w:rPr>
        <w:footnoteRef/>
      </w:r>
      <w:r w:rsidRPr="00D24968">
        <w:rPr>
          <w:lang w:val="en-US"/>
        </w:rPr>
        <w:t xml:space="preserve"> </w:t>
      </w:r>
      <w:r w:rsidRPr="00B45592">
        <w:rPr>
          <w:i/>
          <w:lang w:val="en-US"/>
        </w:rPr>
        <w:t>Williams v. North Carolina</w:t>
      </w:r>
      <w:r w:rsidRPr="00D24968">
        <w:rPr>
          <w:lang w:val="en-US"/>
        </w:rPr>
        <w:t>, 325 U.S. 226, 229 (1945)</w:t>
      </w:r>
      <w:r>
        <w:rPr>
          <w:lang w:val="en-US"/>
        </w:rPr>
        <w:t xml:space="preserve">; </w:t>
      </w:r>
      <w:r w:rsidRPr="00584023">
        <w:rPr>
          <w:i/>
          <w:lang w:val="en-US"/>
        </w:rPr>
        <w:t>Sosna v. Iowa</w:t>
      </w:r>
      <w:r w:rsidRPr="00D24968">
        <w:rPr>
          <w:lang w:val="en-US"/>
        </w:rPr>
        <w:t>, 419 U.S. 393, 407</w:t>
      </w:r>
      <w:r w:rsidRPr="003B741A">
        <w:rPr>
          <w:lang w:val="en-US"/>
        </w:rPr>
        <w:t xml:space="preserve"> = 95 S. Ct. </w:t>
      </w:r>
      <w:r w:rsidRPr="00D24968">
        <w:rPr>
          <w:lang w:val="en-US"/>
        </w:rPr>
        <w:t>553, 561</w:t>
      </w:r>
      <w:r w:rsidRPr="003B741A">
        <w:rPr>
          <w:lang w:val="en-US"/>
        </w:rPr>
        <w:t xml:space="preserve"> = 42 L. Ed. </w:t>
      </w:r>
      <w:r w:rsidRPr="00D24968">
        <w:rPr>
          <w:lang w:val="en-US"/>
        </w:rPr>
        <w:t>2d 532, 545</w:t>
      </w:r>
      <w:r w:rsidRPr="003B741A">
        <w:rPr>
          <w:lang w:val="en-US"/>
        </w:rPr>
        <w:t xml:space="preserve"> = 1975 U.S. LEXIS </w:t>
      </w:r>
      <w:r w:rsidRPr="00D24968">
        <w:rPr>
          <w:lang w:val="en-US"/>
        </w:rPr>
        <w:t>19, 28</w:t>
      </w:r>
      <w:r w:rsidRPr="003B741A">
        <w:rPr>
          <w:lang w:val="en-US"/>
        </w:rPr>
        <w:t xml:space="preserve"> = 19 Fed. R. Serv. </w:t>
      </w:r>
      <w:r w:rsidRPr="00D24968">
        <w:rPr>
          <w:lang w:val="en-US"/>
        </w:rPr>
        <w:t>2d (Callaghan) 925 (1975)</w:t>
      </w:r>
      <w:r>
        <w:rPr>
          <w:lang w:val="en-US"/>
        </w:rPr>
        <w:t>.</w:t>
      </w:r>
    </w:p>
  </w:footnote>
  <w:footnote w:id="465">
    <w:p w14:paraId="30EB10CF" w14:textId="77777777" w:rsidR="00074551" w:rsidRPr="00D24968" w:rsidRDefault="00074551" w:rsidP="00074551">
      <w:pPr>
        <w:pStyle w:val="Funotentext"/>
        <w:jc w:val="both"/>
        <w:rPr>
          <w:lang w:val="en-US"/>
        </w:rPr>
      </w:pPr>
      <w:r>
        <w:rPr>
          <w:rStyle w:val="Funotenzeichen"/>
          <w:rFonts w:eastAsiaTheme="majorEastAsia"/>
        </w:rPr>
        <w:footnoteRef/>
      </w:r>
      <w:r w:rsidRPr="00D24968">
        <w:rPr>
          <w:lang w:val="en-US"/>
        </w:rPr>
        <w:t xml:space="preserve"> </w:t>
      </w:r>
      <w:r w:rsidRPr="00584023">
        <w:rPr>
          <w:i/>
          <w:lang w:val="en-US"/>
        </w:rPr>
        <w:t>Sosna v. Iowa</w:t>
      </w:r>
      <w:r w:rsidRPr="00D24968">
        <w:rPr>
          <w:lang w:val="en-US"/>
        </w:rPr>
        <w:t>, 419 U.S. 393, 407</w:t>
      </w:r>
      <w:r w:rsidRPr="003B741A">
        <w:rPr>
          <w:lang w:val="en-US"/>
        </w:rPr>
        <w:t xml:space="preserve"> = 95 S. Ct. </w:t>
      </w:r>
      <w:r w:rsidRPr="00D24968">
        <w:rPr>
          <w:lang w:val="en-US"/>
        </w:rPr>
        <w:t>553, 561</w:t>
      </w:r>
      <w:r w:rsidRPr="003B741A">
        <w:rPr>
          <w:lang w:val="en-US"/>
        </w:rPr>
        <w:t xml:space="preserve"> = 42 L. Ed. </w:t>
      </w:r>
      <w:r w:rsidRPr="00D24968">
        <w:rPr>
          <w:lang w:val="en-US"/>
        </w:rPr>
        <w:t>2d 532, 545</w:t>
      </w:r>
      <w:r w:rsidRPr="003B741A">
        <w:rPr>
          <w:lang w:val="en-US"/>
        </w:rPr>
        <w:t xml:space="preserve"> = 1975 U.S. LEXIS </w:t>
      </w:r>
      <w:r w:rsidRPr="00D24968">
        <w:rPr>
          <w:lang w:val="en-US"/>
        </w:rPr>
        <w:t>19, 28</w:t>
      </w:r>
      <w:r w:rsidRPr="003B741A">
        <w:rPr>
          <w:lang w:val="en-US"/>
        </w:rPr>
        <w:t xml:space="preserve"> = 19 Fed. R. Serv. </w:t>
      </w:r>
      <w:r w:rsidRPr="00D24968">
        <w:rPr>
          <w:lang w:val="en-US"/>
        </w:rPr>
        <w:t>2d (Callaghan) 925 (1975)</w:t>
      </w:r>
      <w:r>
        <w:rPr>
          <w:lang w:val="en-US"/>
        </w:rPr>
        <w:t>.</w:t>
      </w:r>
    </w:p>
  </w:footnote>
  <w:footnote w:id="466">
    <w:p w14:paraId="44F09F61" w14:textId="77777777" w:rsidR="00074551" w:rsidRPr="00D24968" w:rsidRDefault="00074551" w:rsidP="00074551">
      <w:pPr>
        <w:pStyle w:val="Funotentext"/>
        <w:jc w:val="both"/>
        <w:rPr>
          <w:lang w:val="en-US"/>
        </w:rPr>
      </w:pPr>
      <w:r>
        <w:rPr>
          <w:rStyle w:val="Funotenzeichen"/>
          <w:rFonts w:eastAsiaTheme="majorEastAsia"/>
        </w:rPr>
        <w:footnoteRef/>
      </w:r>
      <w:r w:rsidRPr="00D24968">
        <w:rPr>
          <w:lang w:val="en-US"/>
        </w:rPr>
        <w:t xml:space="preserve"> </w:t>
      </w:r>
      <w:r w:rsidRPr="00B45592">
        <w:rPr>
          <w:i/>
          <w:lang w:val="en-US"/>
        </w:rPr>
        <w:t>Andrews v. Andrews</w:t>
      </w:r>
      <w:r w:rsidRPr="00D24968">
        <w:rPr>
          <w:lang w:val="en-US"/>
        </w:rPr>
        <w:t xml:space="preserve">, 188 U.S. 14 (1903); </w:t>
      </w:r>
      <w:r w:rsidRPr="00B45592">
        <w:rPr>
          <w:i/>
          <w:lang w:val="en-US"/>
        </w:rPr>
        <w:t>Bell v. Bell</w:t>
      </w:r>
      <w:r w:rsidRPr="00D24968">
        <w:rPr>
          <w:lang w:val="en-US"/>
        </w:rPr>
        <w:t>, 181 U.S. 175 (1901)</w:t>
      </w:r>
      <w:r>
        <w:rPr>
          <w:lang w:val="en-US"/>
        </w:rPr>
        <w:t xml:space="preserve">; </w:t>
      </w:r>
      <w:r w:rsidRPr="00584023">
        <w:rPr>
          <w:i/>
          <w:lang w:val="en-US"/>
        </w:rPr>
        <w:t>Sosna v. Iowa</w:t>
      </w:r>
      <w:r w:rsidRPr="00D24968">
        <w:rPr>
          <w:lang w:val="en-US"/>
        </w:rPr>
        <w:t>, 419 U.S. 393, 407</w:t>
      </w:r>
      <w:r w:rsidRPr="003B741A">
        <w:rPr>
          <w:lang w:val="en-US"/>
        </w:rPr>
        <w:t xml:space="preserve"> = 95 S. Ct. </w:t>
      </w:r>
      <w:r w:rsidRPr="00D24968">
        <w:rPr>
          <w:lang w:val="en-US"/>
        </w:rPr>
        <w:t>553, 561</w:t>
      </w:r>
      <w:r w:rsidRPr="003B741A">
        <w:rPr>
          <w:lang w:val="en-US"/>
        </w:rPr>
        <w:t xml:space="preserve"> = 42 L. Ed. </w:t>
      </w:r>
      <w:r w:rsidRPr="00D24968">
        <w:rPr>
          <w:lang w:val="en-US"/>
        </w:rPr>
        <w:t>2d 532, 545</w:t>
      </w:r>
      <w:r w:rsidRPr="003B741A">
        <w:rPr>
          <w:lang w:val="en-US"/>
        </w:rPr>
        <w:t xml:space="preserve"> = 1975 U.S. LEXIS </w:t>
      </w:r>
      <w:r w:rsidRPr="00D24968">
        <w:rPr>
          <w:lang w:val="en-US"/>
        </w:rPr>
        <w:t>19, 28</w:t>
      </w:r>
      <w:r w:rsidRPr="003B741A">
        <w:rPr>
          <w:lang w:val="en-US"/>
        </w:rPr>
        <w:t xml:space="preserve"> = 19 Fed. R. Serv. </w:t>
      </w:r>
      <w:r w:rsidRPr="00D24968">
        <w:rPr>
          <w:lang w:val="en-US"/>
        </w:rPr>
        <w:t>2d (Callaghan) 925 (1975)</w:t>
      </w:r>
      <w:r>
        <w:rPr>
          <w:lang w:val="en-US"/>
        </w:rPr>
        <w:t>.</w:t>
      </w:r>
    </w:p>
  </w:footnote>
  <w:footnote w:id="467">
    <w:p w14:paraId="5E1F1F55" w14:textId="77777777" w:rsidR="00074551" w:rsidRPr="00D24968" w:rsidRDefault="00074551" w:rsidP="00074551">
      <w:pPr>
        <w:pStyle w:val="Funotentext"/>
        <w:jc w:val="both"/>
        <w:rPr>
          <w:lang w:val="en-US"/>
        </w:rPr>
      </w:pPr>
      <w:r>
        <w:rPr>
          <w:rStyle w:val="Funotenzeichen"/>
          <w:rFonts w:eastAsiaTheme="majorEastAsia"/>
        </w:rPr>
        <w:footnoteRef/>
      </w:r>
      <w:r w:rsidRPr="00D24968">
        <w:rPr>
          <w:lang w:val="en-US"/>
        </w:rPr>
        <w:t xml:space="preserve"> </w:t>
      </w:r>
      <w:r w:rsidRPr="00584023">
        <w:rPr>
          <w:i/>
          <w:lang w:val="en-US"/>
        </w:rPr>
        <w:t>Sosna v. Iowa</w:t>
      </w:r>
      <w:r w:rsidRPr="00D24968">
        <w:rPr>
          <w:lang w:val="en-US"/>
        </w:rPr>
        <w:t>, 419 U.S. 393, 408</w:t>
      </w:r>
      <w:r w:rsidRPr="003B741A">
        <w:rPr>
          <w:lang w:val="en-US"/>
        </w:rPr>
        <w:t xml:space="preserve"> = 95 S. Ct. </w:t>
      </w:r>
      <w:r w:rsidRPr="00D24968">
        <w:rPr>
          <w:lang w:val="en-US"/>
        </w:rPr>
        <w:t>553, 562</w:t>
      </w:r>
      <w:r w:rsidRPr="003B741A">
        <w:rPr>
          <w:lang w:val="en-US"/>
        </w:rPr>
        <w:t xml:space="preserve"> = 42 L. Ed. </w:t>
      </w:r>
      <w:r w:rsidRPr="00D24968">
        <w:rPr>
          <w:lang w:val="en-US"/>
        </w:rPr>
        <w:t>2d 532, 546</w:t>
      </w:r>
      <w:r w:rsidRPr="003B741A">
        <w:rPr>
          <w:lang w:val="en-US"/>
        </w:rPr>
        <w:t xml:space="preserve"> = 1975 U.S. LEXIS </w:t>
      </w:r>
      <w:r w:rsidRPr="00D24968">
        <w:rPr>
          <w:lang w:val="en-US"/>
        </w:rPr>
        <w:t>19, 30</w:t>
      </w:r>
      <w:r w:rsidRPr="003B741A">
        <w:rPr>
          <w:lang w:val="en-US"/>
        </w:rPr>
        <w:t xml:space="preserve"> = 19 Fed. R. Serv. </w:t>
      </w:r>
      <w:r w:rsidRPr="00D24968">
        <w:rPr>
          <w:lang w:val="en-US"/>
        </w:rPr>
        <w:t>2d (Callaghan) 925 (1975)</w:t>
      </w:r>
      <w:r>
        <w:rPr>
          <w:lang w:val="en-US"/>
        </w:rPr>
        <w:t>.</w:t>
      </w:r>
    </w:p>
  </w:footnote>
  <w:footnote w:id="468">
    <w:p w14:paraId="6B01EA93" w14:textId="77777777" w:rsidR="00074551" w:rsidRPr="005E4C7B" w:rsidRDefault="00074551" w:rsidP="00074551">
      <w:pPr>
        <w:pStyle w:val="Funotentext"/>
        <w:jc w:val="both"/>
        <w:rPr>
          <w:lang w:val="en-US"/>
        </w:rPr>
      </w:pPr>
      <w:r>
        <w:rPr>
          <w:rStyle w:val="Funotenzeichen"/>
          <w:rFonts w:eastAsiaTheme="majorEastAsia"/>
        </w:rPr>
        <w:footnoteRef/>
      </w:r>
      <w:r w:rsidRPr="005E4C7B">
        <w:rPr>
          <w:lang w:val="en-US"/>
        </w:rPr>
        <w:t xml:space="preserve"> </w:t>
      </w:r>
      <w:r w:rsidRPr="00584023">
        <w:rPr>
          <w:i/>
          <w:lang w:val="en-US"/>
        </w:rPr>
        <w:t>Sosna v. Iowa</w:t>
      </w:r>
      <w:r w:rsidRPr="005E4C7B">
        <w:rPr>
          <w:lang w:val="en-US"/>
        </w:rPr>
        <w:t>, 419 U.S. 393, 420</w:t>
      </w:r>
      <w:r w:rsidRPr="003B741A">
        <w:rPr>
          <w:lang w:val="en-US"/>
        </w:rPr>
        <w:t xml:space="preserve"> = 95 S. Ct. </w:t>
      </w:r>
      <w:r w:rsidRPr="005E4C7B">
        <w:rPr>
          <w:lang w:val="en-US"/>
        </w:rPr>
        <w:t>553, 567-568</w:t>
      </w:r>
      <w:r w:rsidRPr="003B741A">
        <w:rPr>
          <w:lang w:val="en-US"/>
        </w:rPr>
        <w:t xml:space="preserve"> = 42 L. Ed. </w:t>
      </w:r>
      <w:r w:rsidRPr="005E4C7B">
        <w:rPr>
          <w:lang w:val="en-US"/>
        </w:rPr>
        <w:t>2d 532, 553</w:t>
      </w:r>
      <w:r w:rsidRPr="003B741A">
        <w:rPr>
          <w:lang w:val="en-US"/>
        </w:rPr>
        <w:t xml:space="preserve"> = 1975 U.S. LEXIS </w:t>
      </w:r>
      <w:r w:rsidRPr="005E4C7B">
        <w:rPr>
          <w:lang w:val="en-US"/>
        </w:rPr>
        <w:t>19, 49</w:t>
      </w:r>
      <w:r w:rsidRPr="003B741A">
        <w:rPr>
          <w:lang w:val="en-US"/>
        </w:rPr>
        <w:t xml:space="preserve"> = 19 Fed. R. Serv. </w:t>
      </w:r>
      <w:r w:rsidRPr="005E4C7B">
        <w:rPr>
          <w:lang w:val="en-US"/>
        </w:rPr>
        <w:t>2d (Callaghan) 925 (1975).</w:t>
      </w:r>
    </w:p>
  </w:footnote>
  <w:footnote w:id="469">
    <w:p w14:paraId="4390FC6B" w14:textId="77777777" w:rsidR="00074551" w:rsidRPr="00D24968" w:rsidRDefault="00074551" w:rsidP="00074551">
      <w:pPr>
        <w:pStyle w:val="Funotentext"/>
        <w:jc w:val="both"/>
        <w:rPr>
          <w:lang w:val="en-US"/>
        </w:rPr>
      </w:pPr>
      <w:r>
        <w:rPr>
          <w:rStyle w:val="Funotenzeichen"/>
          <w:rFonts w:eastAsiaTheme="majorEastAsia"/>
        </w:rPr>
        <w:footnoteRef/>
      </w:r>
      <w:r w:rsidRPr="00D24968">
        <w:rPr>
          <w:lang w:val="en-US"/>
        </w:rPr>
        <w:t xml:space="preserve"> </w:t>
      </w:r>
      <w:r w:rsidRPr="00584023">
        <w:rPr>
          <w:i/>
          <w:lang w:val="en-US"/>
        </w:rPr>
        <w:t>Loving v. Virginia</w:t>
      </w:r>
      <w:r w:rsidRPr="00D24968">
        <w:rPr>
          <w:lang w:val="en-US"/>
        </w:rPr>
        <w:t>, 388 U.S. 1, 12 (1967)</w:t>
      </w:r>
      <w:r>
        <w:rPr>
          <w:lang w:val="en-US"/>
        </w:rPr>
        <w:t xml:space="preserve">; </w:t>
      </w:r>
      <w:r w:rsidRPr="00584023">
        <w:rPr>
          <w:i/>
          <w:lang w:val="en-US"/>
        </w:rPr>
        <w:t>Sosna v. Iowa</w:t>
      </w:r>
      <w:r w:rsidRPr="00D24968">
        <w:rPr>
          <w:lang w:val="en-US"/>
        </w:rPr>
        <w:t>, 419 U.S. 393, 420</w:t>
      </w:r>
      <w:r w:rsidRPr="003B741A">
        <w:rPr>
          <w:lang w:val="en-US"/>
        </w:rPr>
        <w:t xml:space="preserve"> = 95 S. Ct. </w:t>
      </w:r>
      <w:r w:rsidRPr="00D24968">
        <w:rPr>
          <w:lang w:val="en-US"/>
        </w:rPr>
        <w:t>553, 567</w:t>
      </w:r>
      <w:r w:rsidRPr="003B741A">
        <w:rPr>
          <w:lang w:val="en-US"/>
        </w:rPr>
        <w:t xml:space="preserve"> = 42 L. Ed. </w:t>
      </w:r>
      <w:r w:rsidRPr="00D24968">
        <w:rPr>
          <w:lang w:val="en-US"/>
        </w:rPr>
        <w:t>2d 532, 553</w:t>
      </w:r>
      <w:r w:rsidRPr="003B741A">
        <w:rPr>
          <w:lang w:val="en-US"/>
        </w:rPr>
        <w:t xml:space="preserve"> = 1975 U.S. LEXIS </w:t>
      </w:r>
      <w:r w:rsidRPr="00D24968">
        <w:rPr>
          <w:lang w:val="en-US"/>
        </w:rPr>
        <w:t>19, 49</w:t>
      </w:r>
      <w:r w:rsidRPr="003B741A">
        <w:rPr>
          <w:lang w:val="en-US"/>
        </w:rPr>
        <w:t xml:space="preserve"> = 19 Fed. R. Serv. </w:t>
      </w:r>
      <w:r w:rsidRPr="00D24968">
        <w:rPr>
          <w:lang w:val="en-US"/>
        </w:rPr>
        <w:t>2d (Callaghan) 925 (1975)</w:t>
      </w:r>
      <w:r>
        <w:rPr>
          <w:lang w:val="en-US"/>
        </w:rPr>
        <w:t>.</w:t>
      </w:r>
    </w:p>
  </w:footnote>
  <w:footnote w:id="470">
    <w:p w14:paraId="2C3067D1" w14:textId="77777777" w:rsidR="00074551" w:rsidRPr="00B058F7" w:rsidRDefault="00074551" w:rsidP="00074551">
      <w:pPr>
        <w:pStyle w:val="Funotentext"/>
        <w:jc w:val="both"/>
        <w:rPr>
          <w:lang w:val="en-US"/>
        </w:rPr>
      </w:pPr>
      <w:r>
        <w:rPr>
          <w:rStyle w:val="Funotenzeichen"/>
        </w:rPr>
        <w:footnoteRef/>
      </w:r>
      <w:r w:rsidRPr="00B058F7">
        <w:rPr>
          <w:lang w:val="en-US"/>
        </w:rPr>
        <w:t xml:space="preserve"> </w:t>
      </w:r>
      <w:proofErr w:type="spellStart"/>
      <w:r>
        <w:rPr>
          <w:lang w:val="en-US"/>
        </w:rPr>
        <w:t>Siehe</w:t>
      </w:r>
      <w:proofErr w:type="spellEnd"/>
      <w:r w:rsidRPr="00B058F7">
        <w:rPr>
          <w:lang w:val="en-US"/>
        </w:rPr>
        <w:t xml:space="preserve"> </w:t>
      </w:r>
      <w:r w:rsidRPr="00B45592">
        <w:rPr>
          <w:i/>
          <w:lang w:val="en-US"/>
        </w:rPr>
        <w:t>Godard v. Gray</w:t>
      </w:r>
      <w:r w:rsidRPr="00B058F7">
        <w:rPr>
          <w:lang w:val="en-US"/>
        </w:rPr>
        <w:t xml:space="preserve">, L.R. 6 Q.B. 139; </w:t>
      </w:r>
      <w:r w:rsidRPr="00B45592">
        <w:rPr>
          <w:i/>
          <w:lang w:val="en-US"/>
        </w:rPr>
        <w:t>MacDonald v. Grand Trunk Ry Co.</w:t>
      </w:r>
      <w:r w:rsidRPr="00B058F7">
        <w:rPr>
          <w:lang w:val="en-US"/>
        </w:rPr>
        <w:t xml:space="preserve">, 71 N.H. 448; </w:t>
      </w:r>
      <w:r w:rsidRPr="00B45592">
        <w:rPr>
          <w:i/>
          <w:lang w:val="en-US"/>
        </w:rPr>
        <w:t>Peet v. Hatcher</w:t>
      </w:r>
      <w:r w:rsidRPr="00B058F7">
        <w:rPr>
          <w:lang w:val="en-US"/>
        </w:rPr>
        <w:t>, 112 Alabama, 514</w:t>
      </w:r>
      <w:r>
        <w:rPr>
          <w:lang w:val="en-US"/>
        </w:rPr>
        <w:t xml:space="preserve">; </w:t>
      </w:r>
      <w:r w:rsidRPr="00584023">
        <w:rPr>
          <w:i/>
          <w:lang w:val="en-US"/>
        </w:rPr>
        <w:t>Fauntleroy v. Lum</w:t>
      </w:r>
      <w:r w:rsidRPr="00B058F7">
        <w:rPr>
          <w:lang w:val="en-US"/>
        </w:rPr>
        <w:t>, 210 U.S. 230, 237</w:t>
      </w:r>
      <w:r>
        <w:rPr>
          <w:lang w:val="en-US"/>
        </w:rPr>
        <w:t xml:space="preserve"> = 28 S. Ct. </w:t>
      </w:r>
      <w:r w:rsidRPr="00B058F7">
        <w:rPr>
          <w:lang w:val="en-US"/>
        </w:rPr>
        <w:t>641, 643</w:t>
      </w:r>
      <w:r>
        <w:rPr>
          <w:lang w:val="en-US"/>
        </w:rPr>
        <w:t xml:space="preserve"> = 1908 U.S. LEXIS </w:t>
      </w:r>
      <w:r w:rsidRPr="00B058F7">
        <w:rPr>
          <w:lang w:val="en-US"/>
        </w:rPr>
        <w:t>1506, 13</w:t>
      </w:r>
      <w:r>
        <w:rPr>
          <w:lang w:val="en-US"/>
        </w:rPr>
        <w:t xml:space="preserve"> = 52 L. Ed. </w:t>
      </w:r>
      <w:r w:rsidRPr="00B058F7">
        <w:rPr>
          <w:lang w:val="en-US"/>
        </w:rPr>
        <w:t>1039 (1908)</w:t>
      </w:r>
      <w:r>
        <w:rPr>
          <w:lang w:val="en-US"/>
        </w:rPr>
        <w:t>.</w:t>
      </w:r>
    </w:p>
  </w:footnote>
  <w:footnote w:id="471">
    <w:p w14:paraId="580B99B0" w14:textId="77777777" w:rsidR="00074551" w:rsidRPr="00B058F7" w:rsidRDefault="00074551" w:rsidP="00074551">
      <w:pPr>
        <w:pStyle w:val="Funotentext"/>
        <w:jc w:val="both"/>
        <w:rPr>
          <w:lang w:val="en-US"/>
        </w:rPr>
      </w:pPr>
      <w:r>
        <w:rPr>
          <w:rStyle w:val="Funotenzeichen"/>
        </w:rPr>
        <w:footnoteRef/>
      </w:r>
      <w:r w:rsidRPr="00B058F7">
        <w:rPr>
          <w:lang w:val="en-US"/>
        </w:rPr>
        <w:t xml:space="preserve"> </w:t>
      </w:r>
      <w:r w:rsidRPr="00584023">
        <w:rPr>
          <w:i/>
          <w:lang w:val="en-US"/>
        </w:rPr>
        <w:t>Fauntleroy v. Lum</w:t>
      </w:r>
      <w:r w:rsidRPr="00B058F7">
        <w:rPr>
          <w:lang w:val="en-US"/>
        </w:rPr>
        <w:t>, 210 U.S. 230, 233</w:t>
      </w:r>
      <w:r>
        <w:rPr>
          <w:lang w:val="en-US"/>
        </w:rPr>
        <w:t xml:space="preserve"> = 28 S. Ct. </w:t>
      </w:r>
      <w:r w:rsidRPr="00B058F7">
        <w:rPr>
          <w:lang w:val="en-US"/>
        </w:rPr>
        <w:t>641, 642</w:t>
      </w:r>
      <w:r>
        <w:rPr>
          <w:lang w:val="en-US"/>
        </w:rPr>
        <w:t xml:space="preserve"> = 1908 U.S. LEXIS </w:t>
      </w:r>
      <w:r w:rsidRPr="00B058F7">
        <w:rPr>
          <w:lang w:val="en-US"/>
        </w:rPr>
        <w:t>1506, 1</w:t>
      </w:r>
      <w:r>
        <w:rPr>
          <w:lang w:val="en-US"/>
        </w:rPr>
        <w:t xml:space="preserve"> = 52 L. Ed. </w:t>
      </w:r>
      <w:r w:rsidRPr="00B058F7">
        <w:rPr>
          <w:lang w:val="en-US"/>
        </w:rPr>
        <w:t>1039 (1908)</w:t>
      </w:r>
      <w:r>
        <w:rPr>
          <w:lang w:val="en-US"/>
        </w:rPr>
        <w:t>.</w:t>
      </w:r>
    </w:p>
  </w:footnote>
  <w:footnote w:id="472">
    <w:p w14:paraId="5013C9D5" w14:textId="77777777" w:rsidR="00074551" w:rsidRPr="00F417D6" w:rsidRDefault="00074551" w:rsidP="00074551">
      <w:pPr>
        <w:pStyle w:val="Funotentext"/>
        <w:jc w:val="both"/>
        <w:rPr>
          <w:lang w:val="en-US"/>
        </w:rPr>
      </w:pPr>
      <w:r>
        <w:rPr>
          <w:rStyle w:val="Funotenzeichen"/>
        </w:rPr>
        <w:footnoteRef/>
      </w:r>
      <w:r w:rsidRPr="00F417D6">
        <w:rPr>
          <w:lang w:val="en-US"/>
        </w:rPr>
        <w:t xml:space="preserve"> </w:t>
      </w:r>
      <w:r w:rsidRPr="00B45592">
        <w:rPr>
          <w:i/>
          <w:lang w:val="en-US"/>
        </w:rPr>
        <w:t>Hampton v. McConnel</w:t>
      </w:r>
      <w:r w:rsidRPr="00F417D6">
        <w:rPr>
          <w:lang w:val="en-US"/>
        </w:rPr>
        <w:t>, 3 Wheat. 234</w:t>
      </w:r>
      <w:r>
        <w:rPr>
          <w:lang w:val="en-US"/>
        </w:rPr>
        <w:t xml:space="preserve">; </w:t>
      </w:r>
      <w:r w:rsidRPr="00584023">
        <w:rPr>
          <w:i/>
          <w:lang w:val="en-US"/>
        </w:rPr>
        <w:t>Fauntleroy v. Lum</w:t>
      </w:r>
      <w:r w:rsidRPr="00F417D6">
        <w:rPr>
          <w:lang w:val="en-US"/>
        </w:rPr>
        <w:t>, 210 U.S. 230, 236</w:t>
      </w:r>
      <w:r>
        <w:rPr>
          <w:lang w:val="en-US"/>
        </w:rPr>
        <w:t xml:space="preserve"> = 28 S. Ct. </w:t>
      </w:r>
      <w:r w:rsidRPr="00F417D6">
        <w:rPr>
          <w:lang w:val="en-US"/>
        </w:rPr>
        <w:t>641, 643</w:t>
      </w:r>
      <w:r>
        <w:rPr>
          <w:lang w:val="en-US"/>
        </w:rPr>
        <w:t xml:space="preserve"> = 1908 U.S. LEXIS </w:t>
      </w:r>
      <w:r w:rsidRPr="00F417D6">
        <w:rPr>
          <w:lang w:val="en-US"/>
        </w:rPr>
        <w:t>1506, 11</w:t>
      </w:r>
      <w:r>
        <w:rPr>
          <w:lang w:val="en-US"/>
        </w:rPr>
        <w:t xml:space="preserve"> = 52 L. Ed. </w:t>
      </w:r>
      <w:r w:rsidRPr="00F417D6">
        <w:rPr>
          <w:lang w:val="en-US"/>
        </w:rPr>
        <w:t>1039 (1908)</w:t>
      </w:r>
      <w:r>
        <w:rPr>
          <w:lang w:val="en-US"/>
        </w:rPr>
        <w:t>.</w:t>
      </w:r>
    </w:p>
  </w:footnote>
  <w:footnote w:id="473">
    <w:p w14:paraId="2232C281" w14:textId="77777777" w:rsidR="00074551" w:rsidRPr="006B3621" w:rsidRDefault="00074551" w:rsidP="00074551">
      <w:pPr>
        <w:pStyle w:val="Funotentext"/>
        <w:jc w:val="both"/>
        <w:rPr>
          <w:lang w:val="en-US"/>
        </w:rPr>
      </w:pPr>
      <w:r>
        <w:rPr>
          <w:rStyle w:val="Funotenzeichen"/>
        </w:rPr>
        <w:footnoteRef/>
      </w:r>
      <w:r w:rsidRPr="006B3621">
        <w:rPr>
          <w:lang w:val="en-US"/>
        </w:rPr>
        <w:t xml:space="preserve"> </w:t>
      </w:r>
      <w:r w:rsidRPr="00584023">
        <w:rPr>
          <w:i/>
          <w:lang w:val="en-US"/>
        </w:rPr>
        <w:t>Fauntleroy v. Lum</w:t>
      </w:r>
      <w:r w:rsidRPr="006B3621">
        <w:rPr>
          <w:lang w:val="en-US"/>
        </w:rPr>
        <w:t>, 210 U.S. 230, 240</w:t>
      </w:r>
      <w:r>
        <w:rPr>
          <w:lang w:val="en-US"/>
        </w:rPr>
        <w:t xml:space="preserve"> = 28 S. Ct. </w:t>
      </w:r>
      <w:r w:rsidRPr="006B3621">
        <w:rPr>
          <w:lang w:val="en-US"/>
        </w:rPr>
        <w:t>641, 644</w:t>
      </w:r>
      <w:r>
        <w:rPr>
          <w:lang w:val="en-US"/>
        </w:rPr>
        <w:t xml:space="preserve"> = 1908 U.S. LEXIS </w:t>
      </w:r>
      <w:r w:rsidRPr="006B3621">
        <w:rPr>
          <w:lang w:val="en-US"/>
        </w:rPr>
        <w:t>1506, 17</w:t>
      </w:r>
      <w:r>
        <w:rPr>
          <w:lang w:val="en-US"/>
        </w:rPr>
        <w:t>–</w:t>
      </w:r>
      <w:r w:rsidRPr="006B3621">
        <w:rPr>
          <w:lang w:val="en-US"/>
        </w:rPr>
        <w:t>18</w:t>
      </w:r>
      <w:r>
        <w:rPr>
          <w:lang w:val="en-US"/>
        </w:rPr>
        <w:t xml:space="preserve"> = 52 L. Ed. </w:t>
      </w:r>
      <w:r w:rsidRPr="006B3621">
        <w:rPr>
          <w:lang w:val="en-US"/>
        </w:rPr>
        <w:t>1039 (1908)</w:t>
      </w:r>
      <w:r>
        <w:rPr>
          <w:lang w:val="en-US"/>
        </w:rPr>
        <w:t>.</w:t>
      </w:r>
    </w:p>
  </w:footnote>
  <w:footnote w:id="474">
    <w:p w14:paraId="105C8557" w14:textId="347068C8" w:rsidR="00074551" w:rsidRPr="009F326E" w:rsidRDefault="00074551" w:rsidP="00074551">
      <w:pPr>
        <w:pStyle w:val="Funotentext"/>
        <w:jc w:val="both"/>
        <w:rPr>
          <w:lang w:val="en-US"/>
        </w:rPr>
      </w:pPr>
      <w:r>
        <w:rPr>
          <w:rStyle w:val="Funotenzeichen"/>
        </w:rPr>
        <w:footnoteRef/>
      </w:r>
      <w:r w:rsidRPr="009F326E">
        <w:rPr>
          <w:lang w:val="en-US"/>
        </w:rPr>
        <w:t xml:space="preserve"> </w:t>
      </w:r>
      <w:r w:rsidR="006640BF" w:rsidRPr="00B45592">
        <w:rPr>
          <w:i/>
          <w:lang w:val="en-US"/>
        </w:rPr>
        <w:t>The Antelope</w:t>
      </w:r>
      <w:r w:rsidR="006640BF" w:rsidRPr="00D5664A">
        <w:rPr>
          <w:lang w:val="en-US"/>
        </w:rPr>
        <w:t>, 23 U.S. 66, 1</w:t>
      </w:r>
      <w:r w:rsidR="006640BF">
        <w:rPr>
          <w:lang w:val="en-US"/>
        </w:rPr>
        <w:t xml:space="preserve">28 = 6 L. Ed. </w:t>
      </w:r>
      <w:r w:rsidR="006640BF" w:rsidRPr="00D5664A">
        <w:rPr>
          <w:lang w:val="en-US"/>
        </w:rPr>
        <w:t>268, 280, 1825 U.S. LEXIS 219, 82, 10 Wheat. 66 (1825)</w:t>
      </w:r>
      <w:r w:rsidR="006640BF" w:rsidRPr="00E81FA7">
        <w:rPr>
          <w:lang w:val="en-US"/>
        </w:rPr>
        <w:t>.</w:t>
      </w:r>
    </w:p>
  </w:footnote>
  <w:footnote w:id="475">
    <w:p w14:paraId="279AA9D0" w14:textId="77777777" w:rsidR="00074551" w:rsidRPr="00E81FA7" w:rsidRDefault="00074551" w:rsidP="00074551">
      <w:pPr>
        <w:pStyle w:val="Funotentext"/>
        <w:rPr>
          <w:lang w:val="en-US"/>
        </w:rPr>
      </w:pPr>
      <w:r>
        <w:rPr>
          <w:rStyle w:val="Funotenzeichen"/>
        </w:rPr>
        <w:footnoteRef/>
      </w:r>
      <w:r w:rsidRPr="00D5664A">
        <w:rPr>
          <w:lang w:val="en-US"/>
        </w:rPr>
        <w:t xml:space="preserve"> </w:t>
      </w:r>
      <w:r w:rsidRPr="00B45592">
        <w:rPr>
          <w:i/>
          <w:lang w:val="en-US"/>
        </w:rPr>
        <w:t>The Antelope</w:t>
      </w:r>
      <w:r w:rsidRPr="00D5664A">
        <w:rPr>
          <w:lang w:val="en-US"/>
        </w:rPr>
        <w:t>, 23 U.S. 66, 114</w:t>
      </w:r>
      <w:r>
        <w:rPr>
          <w:lang w:val="en-US"/>
        </w:rPr>
        <w:t xml:space="preserve"> = 6 L. Ed. </w:t>
      </w:r>
      <w:r w:rsidRPr="00D5664A">
        <w:rPr>
          <w:lang w:val="en-US"/>
        </w:rPr>
        <w:t>268, 280, 1825 U.S. LEXIS 219, 82, 10 Wheat. 66 (1825)</w:t>
      </w:r>
      <w:r w:rsidRPr="00E81FA7">
        <w:rPr>
          <w:lang w:val="en-US"/>
        </w:rPr>
        <w:t>.</w:t>
      </w:r>
    </w:p>
  </w:footnote>
  <w:footnote w:id="476">
    <w:p w14:paraId="73714768" w14:textId="77777777" w:rsidR="00074551" w:rsidRPr="008804DD" w:rsidRDefault="00074551" w:rsidP="00074551">
      <w:pPr>
        <w:pStyle w:val="Funotentext"/>
        <w:jc w:val="both"/>
        <w:rPr>
          <w:lang w:val="en-US"/>
        </w:rPr>
      </w:pPr>
      <w:r>
        <w:rPr>
          <w:rStyle w:val="Funotenzeichen"/>
        </w:rPr>
        <w:footnoteRef/>
      </w:r>
      <w:r w:rsidRPr="008804DD">
        <w:rPr>
          <w:lang w:val="en-US"/>
        </w:rPr>
        <w:t xml:space="preserve"> </w:t>
      </w:r>
      <w:r w:rsidRPr="00584023">
        <w:rPr>
          <w:i/>
          <w:lang w:val="en-US"/>
        </w:rPr>
        <w:t>Kennett v. Chambers</w:t>
      </w:r>
      <w:r w:rsidRPr="008804DD">
        <w:rPr>
          <w:lang w:val="en-US"/>
        </w:rPr>
        <w:t>, 55 U.S. 38, 46</w:t>
      </w:r>
      <w:r w:rsidRPr="003B741A">
        <w:rPr>
          <w:lang w:val="en-US"/>
        </w:rPr>
        <w:t xml:space="preserve"> = 14 L. Ed. </w:t>
      </w:r>
      <w:r w:rsidRPr="008804DD">
        <w:rPr>
          <w:lang w:val="en-US"/>
        </w:rPr>
        <w:t>316, 320</w:t>
      </w:r>
      <w:r w:rsidRPr="003B741A">
        <w:rPr>
          <w:lang w:val="en-US"/>
        </w:rPr>
        <w:t xml:space="preserve"> = 1852 U.S. LEXIS </w:t>
      </w:r>
      <w:r w:rsidRPr="008804DD">
        <w:rPr>
          <w:lang w:val="en-US"/>
        </w:rPr>
        <w:t>425, 19</w:t>
      </w:r>
      <w:r w:rsidRPr="003B741A">
        <w:rPr>
          <w:lang w:val="en-US"/>
        </w:rPr>
        <w:t xml:space="preserve"> = 14 HOW </w:t>
      </w:r>
      <w:r w:rsidRPr="008804DD">
        <w:rPr>
          <w:lang w:val="en-US"/>
        </w:rPr>
        <w:t>38 (1852)</w:t>
      </w:r>
      <w:r>
        <w:rPr>
          <w:lang w:val="en-US"/>
        </w:rPr>
        <w:t>.</w:t>
      </w:r>
    </w:p>
  </w:footnote>
  <w:footnote w:id="477">
    <w:p w14:paraId="5BCD5F7C" w14:textId="77777777" w:rsidR="00074551" w:rsidRPr="00D97FB6" w:rsidRDefault="00074551" w:rsidP="00074551">
      <w:pPr>
        <w:pStyle w:val="Funotentext"/>
        <w:jc w:val="both"/>
        <w:rPr>
          <w:lang w:val="en-US"/>
        </w:rPr>
      </w:pPr>
      <w:r>
        <w:rPr>
          <w:rStyle w:val="Funotenzeichen"/>
          <w:rFonts w:eastAsiaTheme="majorEastAsia"/>
        </w:rPr>
        <w:footnoteRef/>
      </w:r>
      <w:r w:rsidRPr="00D97FB6">
        <w:rPr>
          <w:lang w:val="en-US"/>
        </w:rPr>
        <w:t xml:space="preserve"> </w:t>
      </w:r>
      <w:r>
        <w:rPr>
          <w:lang w:val="en-US"/>
        </w:rPr>
        <w:t xml:space="preserve">„[B]y the </w:t>
      </w:r>
      <w:r w:rsidRPr="00D97FB6">
        <w:rPr>
          <w:lang w:val="en-US"/>
        </w:rPr>
        <w:t xml:space="preserve">first article of the treaty of amity, commerce, and navigation, it was declared, </w:t>
      </w:r>
      <w:r>
        <w:rPr>
          <w:lang w:val="en-US"/>
        </w:rPr>
        <w:t>,</w:t>
      </w:r>
      <w:r w:rsidRPr="00D97FB6">
        <w:rPr>
          <w:lang w:val="en-US"/>
        </w:rPr>
        <w:t>that there should be a firm, inviolable, and universal peace, and a true and sincere friendship between the United States of America and the United Mexican States, in all the extent of their possessions and territories, and between their people and citizens respectively, without distinction of persons or place</w:t>
      </w:r>
      <w:r>
        <w:rPr>
          <w:lang w:val="en-US"/>
        </w:rPr>
        <w:t>.‘</w:t>
      </w:r>
      <w:r w:rsidRPr="00D97FB6">
        <w:rPr>
          <w:lang w:val="en-US"/>
        </w:rPr>
        <w:t xml:space="preserve">“, </w:t>
      </w:r>
      <w:r w:rsidRPr="00584023">
        <w:rPr>
          <w:i/>
          <w:lang w:val="en-US"/>
        </w:rPr>
        <w:t>Kennett v. Chambers</w:t>
      </w:r>
      <w:r w:rsidRPr="00D97FB6">
        <w:rPr>
          <w:lang w:val="en-US"/>
        </w:rPr>
        <w:t>, 55 U.S. 38, 46</w:t>
      </w:r>
      <w:r w:rsidRPr="003B741A">
        <w:rPr>
          <w:lang w:val="en-US"/>
        </w:rPr>
        <w:t xml:space="preserve"> = 14 L. Ed. </w:t>
      </w:r>
      <w:r w:rsidRPr="00D97FB6">
        <w:rPr>
          <w:lang w:val="en-US"/>
        </w:rPr>
        <w:t>316, 320</w:t>
      </w:r>
      <w:r w:rsidRPr="003B741A">
        <w:rPr>
          <w:lang w:val="en-US"/>
        </w:rPr>
        <w:t xml:space="preserve"> = 1852 U.S. LEXIS </w:t>
      </w:r>
      <w:r w:rsidRPr="00D97FB6">
        <w:rPr>
          <w:lang w:val="en-US"/>
        </w:rPr>
        <w:t>425, 19</w:t>
      </w:r>
      <w:r w:rsidRPr="003B741A">
        <w:rPr>
          <w:lang w:val="en-US"/>
        </w:rPr>
        <w:t xml:space="preserve"> = 14 HOW </w:t>
      </w:r>
      <w:r w:rsidRPr="00D97FB6">
        <w:rPr>
          <w:lang w:val="en-US"/>
        </w:rPr>
        <w:t>38 (1852)</w:t>
      </w:r>
      <w:r>
        <w:rPr>
          <w:lang w:val="en-US"/>
        </w:rPr>
        <w:t>.</w:t>
      </w:r>
    </w:p>
  </w:footnote>
  <w:footnote w:id="478">
    <w:p w14:paraId="70D4F7E1" w14:textId="77777777" w:rsidR="00074551" w:rsidRPr="00D97FB6" w:rsidRDefault="00074551" w:rsidP="00074551">
      <w:pPr>
        <w:pStyle w:val="Funotentext"/>
        <w:jc w:val="both"/>
        <w:rPr>
          <w:lang w:val="en-US"/>
        </w:rPr>
      </w:pPr>
      <w:r>
        <w:rPr>
          <w:rStyle w:val="Funotenzeichen"/>
          <w:rFonts w:eastAsiaTheme="majorEastAsia"/>
        </w:rPr>
        <w:footnoteRef/>
      </w:r>
      <w:r w:rsidRPr="00D97FB6">
        <w:rPr>
          <w:lang w:val="en-US"/>
        </w:rPr>
        <w:t xml:space="preserve"> </w:t>
      </w:r>
      <w:r w:rsidRPr="00584023">
        <w:rPr>
          <w:i/>
          <w:lang w:val="en-US"/>
        </w:rPr>
        <w:t>Kennett v. Chambers</w:t>
      </w:r>
      <w:r w:rsidRPr="00D97FB6">
        <w:rPr>
          <w:lang w:val="en-US"/>
        </w:rPr>
        <w:t>, 55 U.S. 38, 44</w:t>
      </w:r>
      <w:r w:rsidRPr="003B741A">
        <w:rPr>
          <w:lang w:val="en-US"/>
        </w:rPr>
        <w:t xml:space="preserve"> = 14 L. Ed. </w:t>
      </w:r>
      <w:r w:rsidRPr="00D97FB6">
        <w:rPr>
          <w:lang w:val="en-US"/>
        </w:rPr>
        <w:t>316, 319</w:t>
      </w:r>
      <w:r w:rsidRPr="003B741A">
        <w:rPr>
          <w:lang w:val="en-US"/>
        </w:rPr>
        <w:t xml:space="preserve"> = 1852 U.S. LEXIS </w:t>
      </w:r>
      <w:r w:rsidRPr="00D97FB6">
        <w:rPr>
          <w:lang w:val="en-US"/>
        </w:rPr>
        <w:t>425, 8</w:t>
      </w:r>
      <w:r w:rsidRPr="003B741A">
        <w:rPr>
          <w:lang w:val="en-US"/>
        </w:rPr>
        <w:t xml:space="preserve"> = 14 HOW </w:t>
      </w:r>
      <w:r w:rsidRPr="00D97FB6">
        <w:rPr>
          <w:lang w:val="en-US"/>
        </w:rPr>
        <w:t>38 (1852)</w:t>
      </w:r>
      <w:r>
        <w:rPr>
          <w:lang w:val="en-US"/>
        </w:rPr>
        <w:t>.</w:t>
      </w:r>
    </w:p>
  </w:footnote>
  <w:footnote w:id="479">
    <w:p w14:paraId="353658CB" w14:textId="77777777" w:rsidR="00074551" w:rsidRPr="00D97FB6" w:rsidRDefault="00074551" w:rsidP="00074551">
      <w:pPr>
        <w:pStyle w:val="Funotentext"/>
        <w:jc w:val="both"/>
        <w:rPr>
          <w:lang w:val="en-US"/>
        </w:rPr>
      </w:pPr>
      <w:r>
        <w:rPr>
          <w:rStyle w:val="Funotenzeichen"/>
          <w:rFonts w:eastAsiaTheme="majorEastAsia"/>
        </w:rPr>
        <w:footnoteRef/>
      </w:r>
      <w:r w:rsidRPr="00D97FB6">
        <w:rPr>
          <w:lang w:val="en-US"/>
        </w:rPr>
        <w:t xml:space="preserve"> </w:t>
      </w:r>
      <w:r w:rsidRPr="00584023">
        <w:rPr>
          <w:i/>
          <w:lang w:val="en-US"/>
        </w:rPr>
        <w:t>Kennett v. Chambers</w:t>
      </w:r>
      <w:r w:rsidRPr="00D97FB6">
        <w:rPr>
          <w:lang w:val="en-US"/>
        </w:rPr>
        <w:t>, 55 U.S. 38, 44</w:t>
      </w:r>
      <w:r w:rsidRPr="003B741A">
        <w:rPr>
          <w:lang w:val="en-US"/>
        </w:rPr>
        <w:t xml:space="preserve"> = 14 L. Ed. </w:t>
      </w:r>
      <w:r w:rsidRPr="00D97FB6">
        <w:rPr>
          <w:lang w:val="en-US"/>
        </w:rPr>
        <w:t>316, 319</w:t>
      </w:r>
      <w:r w:rsidRPr="003B741A">
        <w:rPr>
          <w:lang w:val="en-US"/>
        </w:rPr>
        <w:t xml:space="preserve"> = 1852 U.S. LEXIS </w:t>
      </w:r>
      <w:r w:rsidRPr="00D97FB6">
        <w:rPr>
          <w:lang w:val="en-US"/>
        </w:rPr>
        <w:t>425, 8</w:t>
      </w:r>
      <w:r w:rsidRPr="003B741A">
        <w:rPr>
          <w:lang w:val="en-US"/>
        </w:rPr>
        <w:t xml:space="preserve"> = 14 HOW </w:t>
      </w:r>
      <w:r w:rsidRPr="00D97FB6">
        <w:rPr>
          <w:lang w:val="en-US"/>
        </w:rPr>
        <w:t>38 (1852).</w:t>
      </w:r>
    </w:p>
  </w:footnote>
  <w:footnote w:id="480">
    <w:p w14:paraId="00F9265D" w14:textId="77777777" w:rsidR="00074551" w:rsidRPr="00CE4EA8" w:rsidRDefault="00074551" w:rsidP="00074551">
      <w:pPr>
        <w:pStyle w:val="Funotentext"/>
        <w:jc w:val="both"/>
        <w:rPr>
          <w:lang w:val="en-US"/>
        </w:rPr>
      </w:pPr>
      <w:r>
        <w:rPr>
          <w:rStyle w:val="Funotenzeichen"/>
        </w:rPr>
        <w:footnoteRef/>
      </w:r>
      <w:r w:rsidRPr="00CE4EA8">
        <w:rPr>
          <w:lang w:val="en-US"/>
        </w:rPr>
        <w:t xml:space="preserve"> </w:t>
      </w:r>
      <w:r>
        <w:rPr>
          <w:lang w:val="en-US"/>
        </w:rPr>
        <w:t xml:space="preserve">Art. 9 des </w:t>
      </w:r>
      <w:r w:rsidRPr="00B45592">
        <w:rPr>
          <w:i/>
          <w:lang w:val="en-US"/>
        </w:rPr>
        <w:t>Treaty of 27th October, 1795</w:t>
      </w:r>
      <w:r w:rsidRPr="00CE4EA8">
        <w:rPr>
          <w:lang w:val="en-US"/>
        </w:rPr>
        <w:t xml:space="preserve"> (1 Laws of the United States, 268)</w:t>
      </w:r>
      <w:r>
        <w:rPr>
          <w:lang w:val="en-US"/>
        </w:rPr>
        <w:t>:</w:t>
      </w:r>
      <w:r w:rsidRPr="00CE4EA8">
        <w:rPr>
          <w:lang w:val="en-US"/>
        </w:rPr>
        <w:t xml:space="preserve"> </w:t>
      </w:r>
      <w:r>
        <w:rPr>
          <w:lang w:val="en-US"/>
        </w:rPr>
        <w:t>„</w:t>
      </w:r>
      <w:r w:rsidRPr="00CE4EA8">
        <w:rPr>
          <w:lang w:val="en-US"/>
        </w:rPr>
        <w:t>all ships and merchandise of what nature soever, which shall be rescued out of the hands of any pirates or robbers, on the high seas, shall be brought into some port of either state, and shall be delivered into the custody of the officers of that port, in order to be taken care of and restored entire to the true proprietor, as soon as due and sufficient proof shall be made concerning the property thereof.</w:t>
      </w:r>
      <w:r>
        <w:rPr>
          <w:lang w:val="en-US"/>
        </w:rPr>
        <w:t xml:space="preserve">“, in </w:t>
      </w:r>
      <w:r w:rsidRPr="00584023">
        <w:rPr>
          <w:i/>
          <w:lang w:val="en-US"/>
        </w:rPr>
        <w:t>United States v. Libellants &amp; Claimants of The Schooner Amistad</w:t>
      </w:r>
      <w:r w:rsidRPr="00CE4EA8">
        <w:rPr>
          <w:lang w:val="en-US"/>
        </w:rPr>
        <w:t>, 40 U.S. 518, 587</w:t>
      </w:r>
      <w:r w:rsidRPr="00EC5BEB">
        <w:rPr>
          <w:lang w:val="en-US"/>
        </w:rPr>
        <w:t xml:space="preserve"> = 10 L. Ed. </w:t>
      </w:r>
      <w:r w:rsidRPr="00CE4EA8">
        <w:rPr>
          <w:lang w:val="en-US"/>
        </w:rPr>
        <w:t>826, 851</w:t>
      </w:r>
      <w:r w:rsidRPr="00EC5BEB">
        <w:rPr>
          <w:lang w:val="en-US"/>
        </w:rPr>
        <w:t xml:space="preserve"> = 1841 U.S. LEXIS </w:t>
      </w:r>
      <w:r w:rsidRPr="00CE4EA8">
        <w:rPr>
          <w:lang w:val="en-US"/>
        </w:rPr>
        <w:t>279, 48</w:t>
      </w:r>
      <w:r>
        <w:rPr>
          <w:lang w:val="en-US"/>
        </w:rPr>
        <w:t>–</w:t>
      </w:r>
      <w:r w:rsidRPr="00CE4EA8">
        <w:rPr>
          <w:lang w:val="en-US"/>
        </w:rPr>
        <w:t>49</w:t>
      </w:r>
      <w:r w:rsidRPr="003B741A">
        <w:rPr>
          <w:lang w:val="en-US"/>
        </w:rPr>
        <w:t xml:space="preserve"> = 2006 AMC </w:t>
      </w:r>
      <w:r w:rsidRPr="00CE4EA8">
        <w:rPr>
          <w:lang w:val="en-US"/>
        </w:rPr>
        <w:t>2955 (1841)</w:t>
      </w:r>
      <w:r>
        <w:rPr>
          <w:lang w:val="en-US"/>
        </w:rPr>
        <w:t>.</w:t>
      </w:r>
    </w:p>
  </w:footnote>
  <w:footnote w:id="481">
    <w:p w14:paraId="71415D41" w14:textId="77777777" w:rsidR="00074551" w:rsidRPr="00CE4EA8" w:rsidRDefault="00074551" w:rsidP="00074551">
      <w:pPr>
        <w:pStyle w:val="Funotentext"/>
        <w:jc w:val="both"/>
        <w:rPr>
          <w:lang w:val="en-US"/>
        </w:rPr>
      </w:pPr>
      <w:r>
        <w:rPr>
          <w:rStyle w:val="Funotenzeichen"/>
        </w:rPr>
        <w:footnoteRef/>
      </w:r>
      <w:r w:rsidRPr="00CE4EA8">
        <w:rPr>
          <w:lang w:val="en-US"/>
        </w:rPr>
        <w:t xml:space="preserve"> </w:t>
      </w:r>
      <w:r w:rsidRPr="00584023">
        <w:rPr>
          <w:i/>
          <w:lang w:val="en-US"/>
        </w:rPr>
        <w:t>United States v. Libellants &amp; Claimants of The Schooner Amistad</w:t>
      </w:r>
      <w:r w:rsidRPr="00CE4EA8">
        <w:rPr>
          <w:lang w:val="en-US"/>
        </w:rPr>
        <w:t>, 40 U.S. 518, 587</w:t>
      </w:r>
      <w:r w:rsidRPr="00EC5BEB">
        <w:rPr>
          <w:lang w:val="en-US"/>
        </w:rPr>
        <w:t xml:space="preserve"> = 10 L. Ed. </w:t>
      </w:r>
      <w:r w:rsidRPr="00CE4EA8">
        <w:rPr>
          <w:lang w:val="en-US"/>
        </w:rPr>
        <w:t>826, 851</w:t>
      </w:r>
      <w:r w:rsidRPr="00EC5BEB">
        <w:rPr>
          <w:lang w:val="en-US"/>
        </w:rPr>
        <w:t xml:space="preserve"> = 1841 U.S. LEXIS </w:t>
      </w:r>
      <w:r w:rsidRPr="00CE4EA8">
        <w:rPr>
          <w:lang w:val="en-US"/>
        </w:rPr>
        <w:t>279, 34</w:t>
      </w:r>
      <w:r w:rsidRPr="003B741A">
        <w:rPr>
          <w:lang w:val="en-US"/>
        </w:rPr>
        <w:t xml:space="preserve"> = 2006 AMC </w:t>
      </w:r>
      <w:r w:rsidRPr="00CE4EA8">
        <w:rPr>
          <w:lang w:val="en-US"/>
        </w:rPr>
        <w:t>2955 (1841)</w:t>
      </w:r>
      <w:r>
        <w:rPr>
          <w:lang w:val="en-US"/>
        </w:rPr>
        <w:t>.</w:t>
      </w:r>
    </w:p>
  </w:footnote>
  <w:footnote w:id="482">
    <w:p w14:paraId="73A36B8A" w14:textId="77777777" w:rsidR="00074551" w:rsidRPr="00996628" w:rsidRDefault="00074551" w:rsidP="00074551">
      <w:pPr>
        <w:pStyle w:val="Funotentext"/>
        <w:jc w:val="both"/>
        <w:rPr>
          <w:lang w:val="en-US"/>
        </w:rPr>
      </w:pPr>
      <w:r>
        <w:rPr>
          <w:rStyle w:val="Funotenzeichen"/>
        </w:rPr>
        <w:footnoteRef/>
      </w:r>
      <w:r w:rsidRPr="00996628">
        <w:rPr>
          <w:lang w:val="en-US"/>
        </w:rPr>
        <w:t xml:space="preserve"> </w:t>
      </w:r>
      <w:r w:rsidRPr="00584023">
        <w:rPr>
          <w:i/>
          <w:lang w:val="en-US"/>
        </w:rPr>
        <w:t>United States v. Libellants &amp; Claimants of The Schooner Amistad</w:t>
      </w:r>
      <w:r w:rsidRPr="00996628">
        <w:rPr>
          <w:lang w:val="en-US"/>
        </w:rPr>
        <w:t>, 40 U.S. 518, 587</w:t>
      </w:r>
      <w:r w:rsidRPr="00EC5BEB">
        <w:rPr>
          <w:lang w:val="en-US"/>
        </w:rPr>
        <w:t xml:space="preserve"> = 10 L. Ed. </w:t>
      </w:r>
      <w:r w:rsidRPr="00996628">
        <w:rPr>
          <w:lang w:val="en-US"/>
        </w:rPr>
        <w:t>826, 851</w:t>
      </w:r>
      <w:r w:rsidRPr="00EC5BEB">
        <w:rPr>
          <w:lang w:val="en-US"/>
        </w:rPr>
        <w:t xml:space="preserve"> = 1841 U.S. LEXIS </w:t>
      </w:r>
      <w:r w:rsidRPr="00996628">
        <w:rPr>
          <w:lang w:val="en-US"/>
        </w:rPr>
        <w:t>279, 78</w:t>
      </w:r>
      <w:r w:rsidRPr="003B741A">
        <w:rPr>
          <w:lang w:val="en-US"/>
        </w:rPr>
        <w:t xml:space="preserve"> = 2006 AMC </w:t>
      </w:r>
      <w:r w:rsidRPr="00996628">
        <w:rPr>
          <w:lang w:val="en-US"/>
        </w:rPr>
        <w:t>2955 (1841)</w:t>
      </w:r>
      <w:r>
        <w:rPr>
          <w:lang w:val="en-US"/>
        </w:rPr>
        <w:t>.</w:t>
      </w:r>
    </w:p>
  </w:footnote>
  <w:footnote w:id="483">
    <w:p w14:paraId="5F618C22" w14:textId="77777777" w:rsidR="00074551" w:rsidRPr="00996628" w:rsidRDefault="00074551" w:rsidP="00074551">
      <w:pPr>
        <w:pStyle w:val="Funotentext"/>
        <w:jc w:val="both"/>
        <w:rPr>
          <w:lang w:val="en-US"/>
        </w:rPr>
      </w:pPr>
      <w:r>
        <w:rPr>
          <w:rStyle w:val="Funotenzeichen"/>
        </w:rPr>
        <w:footnoteRef/>
      </w:r>
      <w:r w:rsidRPr="00996628">
        <w:rPr>
          <w:lang w:val="en-US"/>
        </w:rPr>
        <w:t xml:space="preserve"> </w:t>
      </w:r>
      <w:r w:rsidRPr="00584023">
        <w:rPr>
          <w:i/>
          <w:lang w:val="en-US"/>
        </w:rPr>
        <w:t>United States v. Libellants &amp; Claimants of The Schooner Amistad</w:t>
      </w:r>
      <w:r w:rsidRPr="00996628">
        <w:rPr>
          <w:lang w:val="en-US"/>
        </w:rPr>
        <w:t>, 40 U.S. 518, 587</w:t>
      </w:r>
      <w:r w:rsidRPr="00EC5BEB">
        <w:rPr>
          <w:lang w:val="en-US"/>
        </w:rPr>
        <w:t xml:space="preserve"> = 10 L. Ed. </w:t>
      </w:r>
      <w:r w:rsidRPr="00996628">
        <w:rPr>
          <w:lang w:val="en-US"/>
        </w:rPr>
        <w:t>826, 851</w:t>
      </w:r>
      <w:r w:rsidRPr="00EC5BEB">
        <w:rPr>
          <w:lang w:val="en-US"/>
        </w:rPr>
        <w:t xml:space="preserve"> = 1841 U.S. LEXIS </w:t>
      </w:r>
      <w:r w:rsidRPr="00996628">
        <w:rPr>
          <w:lang w:val="en-US"/>
        </w:rPr>
        <w:t>279, 78</w:t>
      </w:r>
      <w:r w:rsidRPr="003B741A">
        <w:rPr>
          <w:lang w:val="en-US"/>
        </w:rPr>
        <w:t xml:space="preserve"> = 2006 AMC </w:t>
      </w:r>
      <w:r w:rsidRPr="00996628">
        <w:rPr>
          <w:lang w:val="en-US"/>
        </w:rPr>
        <w:t>2955 (1841)</w:t>
      </w:r>
      <w:r>
        <w:rPr>
          <w:lang w:val="en-US"/>
        </w:rPr>
        <w:t>.</w:t>
      </w:r>
    </w:p>
  </w:footnote>
  <w:footnote w:id="484">
    <w:p w14:paraId="3C49F00F" w14:textId="77777777" w:rsidR="00074551" w:rsidRPr="00996628" w:rsidRDefault="00074551" w:rsidP="00074551">
      <w:pPr>
        <w:pStyle w:val="Funotentext"/>
        <w:jc w:val="both"/>
        <w:rPr>
          <w:lang w:val="en-US"/>
        </w:rPr>
      </w:pPr>
      <w:r>
        <w:rPr>
          <w:rStyle w:val="Funotenzeichen"/>
        </w:rPr>
        <w:footnoteRef/>
      </w:r>
      <w:r w:rsidRPr="00996628">
        <w:rPr>
          <w:lang w:val="en-US"/>
        </w:rPr>
        <w:t xml:space="preserve"> </w:t>
      </w:r>
      <w:r w:rsidRPr="00584023">
        <w:rPr>
          <w:i/>
          <w:lang w:val="en-US"/>
        </w:rPr>
        <w:t>United States v. Libellants &amp; Claimants of The Schooner Amistad</w:t>
      </w:r>
      <w:r w:rsidRPr="00996628">
        <w:rPr>
          <w:lang w:val="en-US"/>
        </w:rPr>
        <w:t>, 40 U.S. 518, 587</w:t>
      </w:r>
      <w:r w:rsidRPr="00EC5BEB">
        <w:rPr>
          <w:lang w:val="en-US"/>
        </w:rPr>
        <w:t xml:space="preserve"> = 10 L. Ed. </w:t>
      </w:r>
      <w:r w:rsidRPr="00996628">
        <w:rPr>
          <w:lang w:val="en-US"/>
        </w:rPr>
        <w:t>826, 851</w:t>
      </w:r>
      <w:r w:rsidRPr="00EC5BEB">
        <w:rPr>
          <w:lang w:val="en-US"/>
        </w:rPr>
        <w:t xml:space="preserve"> = 1841 U.S. LEXIS </w:t>
      </w:r>
      <w:r w:rsidRPr="00996628">
        <w:rPr>
          <w:lang w:val="en-US"/>
        </w:rPr>
        <w:t>279, 78</w:t>
      </w:r>
      <w:r w:rsidRPr="003B741A">
        <w:rPr>
          <w:lang w:val="en-US"/>
        </w:rPr>
        <w:t xml:space="preserve"> = 2006 AMC </w:t>
      </w:r>
      <w:r w:rsidRPr="00996628">
        <w:rPr>
          <w:lang w:val="en-US"/>
        </w:rPr>
        <w:t>2955 (1841)</w:t>
      </w:r>
      <w:r>
        <w:rPr>
          <w:lang w:val="en-US"/>
        </w:rPr>
        <w:t>.</w:t>
      </w:r>
    </w:p>
  </w:footnote>
  <w:footnote w:id="485">
    <w:p w14:paraId="3DD52648" w14:textId="41716871"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Baldwin v. Fish &amp; Game Comm’n</w:t>
      </w:r>
      <w:r w:rsidRPr="00503916">
        <w:rPr>
          <w:lang w:val="en-US"/>
        </w:rPr>
        <w:t>, 436 U.S. 371, 372</w:t>
      </w:r>
      <w:r w:rsidRPr="003B741A">
        <w:rPr>
          <w:lang w:val="en-US"/>
        </w:rPr>
        <w:t xml:space="preserve"> = 98 S. Ct. </w:t>
      </w:r>
      <w:r w:rsidRPr="00503916">
        <w:rPr>
          <w:lang w:val="en-US"/>
        </w:rPr>
        <w:t>1852, 1854</w:t>
      </w:r>
      <w:r>
        <w:rPr>
          <w:lang w:val="en-US"/>
        </w:rPr>
        <w:t xml:space="preserve"> = 56 L. Ed. </w:t>
      </w:r>
      <w:r w:rsidRPr="00503916">
        <w:rPr>
          <w:lang w:val="en-US"/>
        </w:rPr>
        <w:t>2d 354, 358</w:t>
      </w:r>
      <w:r w:rsidRPr="003B741A">
        <w:rPr>
          <w:lang w:val="en-US"/>
        </w:rPr>
        <w:t xml:space="preserve"> = 1978 U.S. LEXIS </w:t>
      </w:r>
      <w:r w:rsidRPr="00503916">
        <w:rPr>
          <w:lang w:val="en-US"/>
        </w:rPr>
        <w:t>27, 1</w:t>
      </w:r>
      <w:r w:rsidRPr="003B741A">
        <w:rPr>
          <w:lang w:val="en-US"/>
        </w:rPr>
        <w:t xml:space="preserve"> = 8 ELR </w:t>
      </w:r>
      <w:r w:rsidRPr="00503916">
        <w:rPr>
          <w:lang w:val="en-US"/>
        </w:rPr>
        <w:t>20425 (1978)</w:t>
      </w:r>
      <w:r>
        <w:rPr>
          <w:lang w:val="en-US"/>
        </w:rPr>
        <w:t>.</w:t>
      </w:r>
    </w:p>
  </w:footnote>
  <w:footnote w:id="486">
    <w:p w14:paraId="352A7E5C" w14:textId="0B3126D5" w:rsidR="00074551" w:rsidRPr="00A3333F" w:rsidRDefault="00074551" w:rsidP="00074551">
      <w:pPr>
        <w:pStyle w:val="Funotentext"/>
        <w:rPr>
          <w:lang w:val="en-US"/>
        </w:rPr>
      </w:pPr>
      <w:r>
        <w:rPr>
          <w:rStyle w:val="Funotenzeichen"/>
        </w:rPr>
        <w:footnoteRef/>
      </w:r>
      <w:r w:rsidRPr="00A3333F">
        <w:rPr>
          <w:lang w:val="en-US"/>
        </w:rPr>
        <w:t xml:space="preserve"> </w:t>
      </w:r>
      <w:r w:rsidR="006640BF" w:rsidRPr="00B45592">
        <w:rPr>
          <w:i/>
          <w:lang w:val="en-US"/>
        </w:rPr>
        <w:t>Baldwin v. Fish &amp; Game Comm’n</w:t>
      </w:r>
      <w:r w:rsidR="006640BF" w:rsidRPr="00A3333F">
        <w:rPr>
          <w:lang w:val="en-US"/>
        </w:rPr>
        <w:t>, 436 U.S. 371, 3</w:t>
      </w:r>
      <w:r w:rsidR="006640BF">
        <w:rPr>
          <w:lang w:val="en-US"/>
        </w:rPr>
        <w:t>88-390</w:t>
      </w:r>
      <w:r w:rsidR="006640BF" w:rsidRPr="003B741A">
        <w:rPr>
          <w:lang w:val="en-US"/>
        </w:rPr>
        <w:t xml:space="preserve"> = 98 S. Ct. </w:t>
      </w:r>
      <w:r w:rsidR="006640BF" w:rsidRPr="00A3333F">
        <w:rPr>
          <w:lang w:val="en-US"/>
        </w:rPr>
        <w:t>1852, 1854</w:t>
      </w:r>
      <w:r w:rsidR="006640BF">
        <w:rPr>
          <w:lang w:val="en-US"/>
        </w:rPr>
        <w:t xml:space="preserve"> = 56 L. Ed. </w:t>
      </w:r>
      <w:r w:rsidR="006640BF" w:rsidRPr="00A3333F">
        <w:rPr>
          <w:lang w:val="en-US"/>
        </w:rPr>
        <w:t>2d 354, 358</w:t>
      </w:r>
      <w:r w:rsidR="006640BF" w:rsidRPr="003B741A">
        <w:rPr>
          <w:lang w:val="en-US"/>
        </w:rPr>
        <w:t xml:space="preserve"> = 1978 U.S. LEXIS </w:t>
      </w:r>
      <w:r w:rsidR="006640BF" w:rsidRPr="00A3333F">
        <w:rPr>
          <w:lang w:val="en-US"/>
        </w:rPr>
        <w:t>27, 1</w:t>
      </w:r>
      <w:r w:rsidR="006640BF" w:rsidRPr="003B741A">
        <w:rPr>
          <w:lang w:val="en-US"/>
        </w:rPr>
        <w:t xml:space="preserve"> = 8 ELR </w:t>
      </w:r>
      <w:r w:rsidR="006640BF" w:rsidRPr="00A3333F">
        <w:rPr>
          <w:lang w:val="en-US"/>
        </w:rPr>
        <w:t>20425 (1978)</w:t>
      </w:r>
      <w:r w:rsidR="006640BF">
        <w:rPr>
          <w:lang w:val="en-US"/>
        </w:rPr>
        <w:t>.</w:t>
      </w:r>
    </w:p>
  </w:footnote>
  <w:footnote w:id="487">
    <w:p w14:paraId="3A3E5FF8"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Baldwin v. Fish &amp; Game Comm’n</w:t>
      </w:r>
      <w:r w:rsidRPr="00A3333F">
        <w:rPr>
          <w:lang w:val="en-US"/>
        </w:rPr>
        <w:t>, 436 U.S. 371, 372</w:t>
      </w:r>
      <w:r w:rsidRPr="003B741A">
        <w:rPr>
          <w:lang w:val="en-US"/>
        </w:rPr>
        <w:t xml:space="preserve"> = 98 S. Ct. </w:t>
      </w:r>
      <w:r w:rsidRPr="00A3333F">
        <w:rPr>
          <w:lang w:val="en-US"/>
        </w:rPr>
        <w:t>1852, 1854</w:t>
      </w:r>
      <w:r>
        <w:rPr>
          <w:lang w:val="en-US"/>
        </w:rPr>
        <w:t xml:space="preserve"> = 56 L. Ed. </w:t>
      </w:r>
      <w:r w:rsidRPr="00A3333F">
        <w:rPr>
          <w:lang w:val="en-US"/>
        </w:rPr>
        <w:t>2d 354, 358</w:t>
      </w:r>
      <w:r w:rsidRPr="003B741A">
        <w:rPr>
          <w:lang w:val="en-US"/>
        </w:rPr>
        <w:t xml:space="preserve"> = 1978 U.S. LEXIS </w:t>
      </w:r>
      <w:r w:rsidRPr="00A3333F">
        <w:rPr>
          <w:lang w:val="en-US"/>
        </w:rPr>
        <w:t>27, 1</w:t>
      </w:r>
      <w:r w:rsidRPr="003B741A">
        <w:rPr>
          <w:lang w:val="en-US"/>
        </w:rPr>
        <w:t xml:space="preserve"> = 8 ELR </w:t>
      </w:r>
      <w:r w:rsidRPr="00A3333F">
        <w:rPr>
          <w:lang w:val="en-US"/>
        </w:rPr>
        <w:t>20425 (1978)</w:t>
      </w:r>
      <w:r>
        <w:rPr>
          <w:lang w:val="en-US"/>
        </w:rPr>
        <w:t>.</w:t>
      </w:r>
    </w:p>
  </w:footnote>
  <w:footnote w:id="488">
    <w:p w14:paraId="05F4910D" w14:textId="77777777" w:rsidR="00074551" w:rsidRPr="0032569F" w:rsidRDefault="00074551" w:rsidP="00074551">
      <w:pPr>
        <w:pStyle w:val="Funotentext"/>
        <w:rPr>
          <w:lang w:val="en-US"/>
        </w:rPr>
      </w:pPr>
      <w:r>
        <w:rPr>
          <w:rStyle w:val="Funotenzeichen"/>
        </w:rPr>
        <w:footnoteRef/>
      </w:r>
      <w:r w:rsidRPr="0032569F">
        <w:rPr>
          <w:lang w:val="en-US"/>
        </w:rPr>
        <w:t xml:space="preserve"> </w:t>
      </w:r>
      <w:r w:rsidRPr="00546F93">
        <w:rPr>
          <w:i/>
          <w:lang w:val="en-US"/>
        </w:rPr>
        <w:t>Paul v. Virginia</w:t>
      </w:r>
      <w:r>
        <w:rPr>
          <w:lang w:val="en-US"/>
        </w:rPr>
        <w:t xml:space="preserve">, 8 Wall. </w:t>
      </w:r>
      <w:r w:rsidRPr="0032569F">
        <w:rPr>
          <w:lang w:val="en-US"/>
        </w:rPr>
        <w:t>168, 180 (1869)</w:t>
      </w:r>
      <w:r>
        <w:rPr>
          <w:lang w:val="en-US"/>
        </w:rPr>
        <w:t xml:space="preserve">; </w:t>
      </w:r>
      <w:r w:rsidRPr="00B45592">
        <w:rPr>
          <w:i/>
          <w:lang w:val="en-US"/>
        </w:rPr>
        <w:t>Baldwin v. Fish &amp; Game Comm’n</w:t>
      </w:r>
      <w:r w:rsidRPr="0032569F">
        <w:rPr>
          <w:lang w:val="en-US"/>
        </w:rPr>
        <w:t>, 436 U.S. 371, 380</w:t>
      </w:r>
      <w:r w:rsidRPr="003B741A">
        <w:rPr>
          <w:lang w:val="en-US"/>
        </w:rPr>
        <w:t xml:space="preserve"> = 98 S. Ct. </w:t>
      </w:r>
      <w:r w:rsidRPr="0032569F">
        <w:rPr>
          <w:lang w:val="en-US"/>
        </w:rPr>
        <w:t>1852, 1858</w:t>
      </w:r>
      <w:r>
        <w:rPr>
          <w:lang w:val="en-US"/>
        </w:rPr>
        <w:t xml:space="preserve"> = 56 L. Ed. </w:t>
      </w:r>
      <w:r w:rsidRPr="0032569F">
        <w:rPr>
          <w:lang w:val="en-US"/>
        </w:rPr>
        <w:t>2d 354, 363</w:t>
      </w:r>
      <w:r w:rsidRPr="003B741A">
        <w:rPr>
          <w:lang w:val="en-US"/>
        </w:rPr>
        <w:t xml:space="preserve"> = 1978 U.S. LEXIS </w:t>
      </w:r>
      <w:r w:rsidRPr="0032569F">
        <w:rPr>
          <w:lang w:val="en-US"/>
        </w:rPr>
        <w:t>27, 17</w:t>
      </w:r>
      <w:r w:rsidRPr="003B741A">
        <w:rPr>
          <w:lang w:val="en-US"/>
        </w:rPr>
        <w:t xml:space="preserve"> = 8 ELR </w:t>
      </w:r>
      <w:r w:rsidRPr="0032569F">
        <w:rPr>
          <w:lang w:val="en-US"/>
        </w:rPr>
        <w:t>20425 (1978)</w:t>
      </w:r>
      <w:r>
        <w:rPr>
          <w:lang w:val="en-US"/>
        </w:rPr>
        <w:t xml:space="preserve">. </w:t>
      </w:r>
    </w:p>
  </w:footnote>
  <w:footnote w:id="489">
    <w:p w14:paraId="126D5F0A" w14:textId="77777777" w:rsidR="00074551" w:rsidRPr="001A4C13" w:rsidRDefault="00074551" w:rsidP="00074551">
      <w:pPr>
        <w:pStyle w:val="Funotentext"/>
        <w:rPr>
          <w:lang w:val="en-US"/>
        </w:rPr>
      </w:pPr>
      <w:r>
        <w:rPr>
          <w:rStyle w:val="Funotenzeichen"/>
          <w:rFonts w:eastAsiaTheme="majorEastAsia"/>
        </w:rPr>
        <w:footnoteRef/>
      </w:r>
      <w:r w:rsidRPr="001A4C13">
        <w:rPr>
          <w:lang w:val="en-US"/>
        </w:rPr>
        <w:t xml:space="preserve"> </w:t>
      </w:r>
      <w:r w:rsidRPr="00B45592">
        <w:rPr>
          <w:i/>
          <w:lang w:val="en-US"/>
        </w:rPr>
        <w:t>Baldwin v. Fish &amp; Game Comm’n</w:t>
      </w:r>
      <w:r w:rsidRPr="001A4C13">
        <w:rPr>
          <w:lang w:val="en-US"/>
        </w:rPr>
        <w:t>, 436 U.S. 371, 380</w:t>
      </w:r>
      <w:r w:rsidRPr="003B741A">
        <w:rPr>
          <w:lang w:val="en-US"/>
        </w:rPr>
        <w:t xml:space="preserve"> = 98 S. Ct. </w:t>
      </w:r>
      <w:r w:rsidRPr="001A4C13">
        <w:rPr>
          <w:lang w:val="en-US"/>
        </w:rPr>
        <w:t>1852, 1859</w:t>
      </w:r>
      <w:r>
        <w:rPr>
          <w:lang w:val="en-US"/>
        </w:rPr>
        <w:t xml:space="preserve"> = 56 L. Ed. </w:t>
      </w:r>
      <w:r w:rsidRPr="001A4C13">
        <w:rPr>
          <w:lang w:val="en-US"/>
        </w:rPr>
        <w:t>2d 354, 363</w:t>
      </w:r>
      <w:r w:rsidRPr="003B741A">
        <w:rPr>
          <w:lang w:val="en-US"/>
        </w:rPr>
        <w:t xml:space="preserve"> = 1978 U.S. LEXIS </w:t>
      </w:r>
      <w:r w:rsidRPr="001A4C13">
        <w:rPr>
          <w:lang w:val="en-US"/>
        </w:rPr>
        <w:t>27, 18</w:t>
      </w:r>
      <w:r w:rsidRPr="003B741A">
        <w:rPr>
          <w:lang w:val="en-US"/>
        </w:rPr>
        <w:t xml:space="preserve"> = 8 ELR </w:t>
      </w:r>
      <w:r w:rsidRPr="001A4C13">
        <w:rPr>
          <w:lang w:val="en-US"/>
        </w:rPr>
        <w:t>20425 (1978)</w:t>
      </w:r>
      <w:r>
        <w:rPr>
          <w:lang w:val="en-US"/>
        </w:rPr>
        <w:t>.</w:t>
      </w:r>
    </w:p>
  </w:footnote>
  <w:footnote w:id="490">
    <w:p w14:paraId="08E3C8C5" w14:textId="77777777" w:rsidR="00074551" w:rsidRPr="001A4C13" w:rsidRDefault="00074551" w:rsidP="00074551">
      <w:pPr>
        <w:pStyle w:val="Funotentext"/>
        <w:rPr>
          <w:lang w:val="en-US"/>
        </w:rPr>
      </w:pPr>
      <w:r>
        <w:rPr>
          <w:rStyle w:val="Funotenzeichen"/>
          <w:rFonts w:eastAsiaTheme="majorEastAsia"/>
        </w:rPr>
        <w:footnoteRef/>
      </w:r>
      <w:r w:rsidRPr="001A4C13">
        <w:rPr>
          <w:lang w:val="en-US"/>
        </w:rPr>
        <w:t xml:space="preserve"> </w:t>
      </w:r>
      <w:r w:rsidRPr="00B45592">
        <w:rPr>
          <w:i/>
          <w:lang w:val="en-US"/>
        </w:rPr>
        <w:t>Baldwin v. Fish &amp; Game Comm’n</w:t>
      </w:r>
      <w:r w:rsidRPr="001A4C13">
        <w:rPr>
          <w:lang w:val="en-US"/>
        </w:rPr>
        <w:t>, 436 U.S. 371, 381</w:t>
      </w:r>
      <w:r w:rsidRPr="003B741A">
        <w:rPr>
          <w:lang w:val="en-US"/>
        </w:rPr>
        <w:t xml:space="preserve"> = 98 S. Ct. </w:t>
      </w:r>
      <w:r w:rsidRPr="001A4C13">
        <w:rPr>
          <w:lang w:val="en-US"/>
        </w:rPr>
        <w:t>1852, 1859</w:t>
      </w:r>
      <w:r>
        <w:rPr>
          <w:lang w:val="en-US"/>
        </w:rPr>
        <w:t xml:space="preserve"> = 56 L. Ed. </w:t>
      </w:r>
      <w:r w:rsidRPr="001A4C13">
        <w:rPr>
          <w:lang w:val="en-US"/>
        </w:rPr>
        <w:t>2d 354, 364</w:t>
      </w:r>
      <w:r w:rsidRPr="003B741A">
        <w:rPr>
          <w:lang w:val="en-US"/>
        </w:rPr>
        <w:t xml:space="preserve"> = 1978 U.S. LEXIS </w:t>
      </w:r>
      <w:r w:rsidRPr="001A4C13">
        <w:rPr>
          <w:lang w:val="en-US"/>
        </w:rPr>
        <w:t>27, 19</w:t>
      </w:r>
      <w:r w:rsidRPr="003B741A">
        <w:rPr>
          <w:lang w:val="en-US"/>
        </w:rPr>
        <w:t xml:space="preserve"> = 8 ELR </w:t>
      </w:r>
      <w:r w:rsidRPr="001A4C13">
        <w:rPr>
          <w:lang w:val="en-US"/>
        </w:rPr>
        <w:t>20425 (1978)</w:t>
      </w:r>
      <w:r>
        <w:rPr>
          <w:lang w:val="en-US"/>
        </w:rPr>
        <w:t>.</w:t>
      </w:r>
    </w:p>
  </w:footnote>
  <w:footnote w:id="491">
    <w:p w14:paraId="2599E1A5" w14:textId="77777777" w:rsidR="00074551" w:rsidRPr="001A4C13" w:rsidRDefault="00074551" w:rsidP="00074551">
      <w:pPr>
        <w:pStyle w:val="Funotentext"/>
        <w:rPr>
          <w:lang w:val="en-US"/>
        </w:rPr>
      </w:pPr>
      <w:r>
        <w:rPr>
          <w:rStyle w:val="Funotenzeichen"/>
          <w:rFonts w:eastAsiaTheme="majorEastAsia"/>
        </w:rPr>
        <w:footnoteRef/>
      </w:r>
      <w:r w:rsidRPr="001A4C13">
        <w:rPr>
          <w:lang w:val="en-US"/>
        </w:rPr>
        <w:t xml:space="preserve"> </w:t>
      </w:r>
      <w:r w:rsidRPr="00B45592">
        <w:rPr>
          <w:i/>
          <w:lang w:val="en-US"/>
        </w:rPr>
        <w:t>Baldwin v. Fish &amp; Game Comm’n</w:t>
      </w:r>
      <w:r w:rsidRPr="001A4C13">
        <w:rPr>
          <w:lang w:val="en-US"/>
        </w:rPr>
        <w:t>, 436 U.S. 371, 381</w:t>
      </w:r>
      <w:r w:rsidRPr="003B741A">
        <w:rPr>
          <w:lang w:val="en-US"/>
        </w:rPr>
        <w:t xml:space="preserve"> = 98 S. Ct. </w:t>
      </w:r>
      <w:r w:rsidRPr="001A4C13">
        <w:rPr>
          <w:lang w:val="en-US"/>
        </w:rPr>
        <w:t>1852, 1859</w:t>
      </w:r>
      <w:r>
        <w:rPr>
          <w:lang w:val="en-US"/>
        </w:rPr>
        <w:t xml:space="preserve"> = 56 L. Ed. </w:t>
      </w:r>
      <w:r w:rsidRPr="001A4C13">
        <w:rPr>
          <w:lang w:val="en-US"/>
        </w:rPr>
        <w:t>2d 354, 364</w:t>
      </w:r>
      <w:r w:rsidRPr="003B741A">
        <w:rPr>
          <w:lang w:val="en-US"/>
        </w:rPr>
        <w:t xml:space="preserve"> = 1978 U.S. LEXIS </w:t>
      </w:r>
      <w:r w:rsidRPr="001A4C13">
        <w:rPr>
          <w:lang w:val="en-US"/>
        </w:rPr>
        <w:t>27, 19</w:t>
      </w:r>
      <w:r w:rsidRPr="003B741A">
        <w:rPr>
          <w:lang w:val="en-US"/>
        </w:rPr>
        <w:t xml:space="preserve"> = 8 ELR </w:t>
      </w:r>
      <w:r w:rsidRPr="001A4C13">
        <w:rPr>
          <w:lang w:val="en-US"/>
        </w:rPr>
        <w:t>20425 (1978)</w:t>
      </w:r>
      <w:r>
        <w:rPr>
          <w:lang w:val="en-US"/>
        </w:rPr>
        <w:t>.</w:t>
      </w:r>
    </w:p>
  </w:footnote>
  <w:footnote w:id="492">
    <w:p w14:paraId="1B7233A3" w14:textId="77777777" w:rsidR="00074551" w:rsidRPr="00CD1600" w:rsidRDefault="00074551" w:rsidP="00074551">
      <w:pPr>
        <w:pStyle w:val="Funotentext"/>
        <w:rPr>
          <w:lang w:val="en-US"/>
        </w:rPr>
      </w:pPr>
      <w:r>
        <w:rPr>
          <w:rStyle w:val="Funotenzeichen"/>
          <w:rFonts w:eastAsiaTheme="majorEastAsia"/>
        </w:rPr>
        <w:footnoteRef/>
      </w:r>
      <w:r w:rsidRPr="00CD1600">
        <w:rPr>
          <w:lang w:val="en-US"/>
        </w:rPr>
        <w:t xml:space="preserve"> </w:t>
      </w:r>
      <w:r w:rsidRPr="00B45592">
        <w:rPr>
          <w:i/>
          <w:lang w:val="en-US"/>
        </w:rPr>
        <w:t>Ward v. Maryland</w:t>
      </w:r>
      <w:r w:rsidRPr="00CD1600">
        <w:rPr>
          <w:lang w:val="en-US"/>
        </w:rPr>
        <w:t>, 12 Wall. 418 (1871)</w:t>
      </w:r>
      <w:r>
        <w:rPr>
          <w:lang w:val="en-US"/>
        </w:rPr>
        <w:t xml:space="preserve">; </w:t>
      </w:r>
      <w:r w:rsidRPr="00B45592">
        <w:rPr>
          <w:i/>
          <w:lang w:val="en-US"/>
        </w:rPr>
        <w:t>Baldwin v. Fish &amp; Game Comm’n</w:t>
      </w:r>
      <w:r w:rsidRPr="00CD1600">
        <w:rPr>
          <w:lang w:val="en-US"/>
        </w:rPr>
        <w:t>, 436 U.S. 371, 383</w:t>
      </w:r>
      <w:r w:rsidRPr="003B741A">
        <w:rPr>
          <w:lang w:val="en-US"/>
        </w:rPr>
        <w:t xml:space="preserve"> = 98 S. Ct. </w:t>
      </w:r>
      <w:r w:rsidRPr="00CD1600">
        <w:rPr>
          <w:lang w:val="en-US"/>
        </w:rPr>
        <w:t>1852, 1860</w:t>
      </w:r>
      <w:r>
        <w:rPr>
          <w:lang w:val="en-US"/>
        </w:rPr>
        <w:t xml:space="preserve"> = 56 L. Ed. </w:t>
      </w:r>
      <w:r w:rsidRPr="00CD1600">
        <w:rPr>
          <w:lang w:val="en-US"/>
        </w:rPr>
        <w:t>2d 354, 364-365</w:t>
      </w:r>
      <w:r w:rsidRPr="003B741A">
        <w:rPr>
          <w:lang w:val="en-US"/>
        </w:rPr>
        <w:t xml:space="preserve"> = 1978 U.S. LEXIS </w:t>
      </w:r>
      <w:r w:rsidRPr="00CD1600">
        <w:rPr>
          <w:lang w:val="en-US"/>
        </w:rPr>
        <w:t>27, 21</w:t>
      </w:r>
      <w:r w:rsidRPr="003B741A">
        <w:rPr>
          <w:lang w:val="en-US"/>
        </w:rPr>
        <w:t xml:space="preserve"> = 8 ELR </w:t>
      </w:r>
      <w:r w:rsidRPr="00CD1600">
        <w:rPr>
          <w:lang w:val="en-US"/>
        </w:rPr>
        <w:t>20425 (1978)</w:t>
      </w:r>
      <w:r>
        <w:rPr>
          <w:lang w:val="en-US"/>
        </w:rPr>
        <w:t>.</w:t>
      </w:r>
    </w:p>
  </w:footnote>
  <w:footnote w:id="493">
    <w:p w14:paraId="0733ACA4" w14:textId="77777777" w:rsidR="00074551" w:rsidRPr="00CD1600" w:rsidRDefault="00074551" w:rsidP="00074551">
      <w:pPr>
        <w:pStyle w:val="Funotentext"/>
        <w:rPr>
          <w:lang w:val="en-US"/>
        </w:rPr>
      </w:pPr>
      <w:r>
        <w:rPr>
          <w:rStyle w:val="Funotenzeichen"/>
          <w:rFonts w:eastAsiaTheme="majorEastAsia"/>
        </w:rPr>
        <w:footnoteRef/>
      </w:r>
      <w:r w:rsidRPr="00CD1600">
        <w:rPr>
          <w:lang w:val="en-US"/>
        </w:rPr>
        <w:t xml:space="preserve"> </w:t>
      </w:r>
      <w:r w:rsidRPr="00546F93">
        <w:rPr>
          <w:i/>
          <w:lang w:val="en-US"/>
        </w:rPr>
        <w:t>Blake v. McClung</w:t>
      </w:r>
      <w:r w:rsidRPr="00CD1600">
        <w:rPr>
          <w:lang w:val="en-US"/>
        </w:rPr>
        <w:t xml:space="preserve">, 172 U.S. 239 (1898); </w:t>
      </w:r>
      <w:r w:rsidRPr="00B45592">
        <w:rPr>
          <w:i/>
          <w:lang w:val="en-US"/>
        </w:rPr>
        <w:t>Baldwin v. Fish &amp; Game Comm’n</w:t>
      </w:r>
      <w:r w:rsidRPr="00CD1600">
        <w:rPr>
          <w:lang w:val="en-US"/>
        </w:rPr>
        <w:t>, 436 U.S. 371, 383</w:t>
      </w:r>
      <w:r w:rsidRPr="003B741A">
        <w:rPr>
          <w:lang w:val="en-US"/>
        </w:rPr>
        <w:t xml:space="preserve"> = 98 S. Ct. </w:t>
      </w:r>
      <w:r w:rsidRPr="00CD1600">
        <w:rPr>
          <w:lang w:val="en-US"/>
        </w:rPr>
        <w:t>1852, 1860</w:t>
      </w:r>
      <w:r>
        <w:rPr>
          <w:lang w:val="en-US"/>
        </w:rPr>
        <w:t xml:space="preserve"> = 56 L. Ed. </w:t>
      </w:r>
      <w:r w:rsidRPr="00CD1600">
        <w:rPr>
          <w:lang w:val="en-US"/>
        </w:rPr>
        <w:t>2d 354, 365</w:t>
      </w:r>
      <w:r w:rsidRPr="003B741A">
        <w:rPr>
          <w:lang w:val="en-US"/>
        </w:rPr>
        <w:t xml:space="preserve"> = 1978 U.S. LEXIS </w:t>
      </w:r>
      <w:r w:rsidRPr="00CD1600">
        <w:rPr>
          <w:lang w:val="en-US"/>
        </w:rPr>
        <w:t>27, 21</w:t>
      </w:r>
      <w:r w:rsidRPr="003B741A">
        <w:rPr>
          <w:lang w:val="en-US"/>
        </w:rPr>
        <w:t xml:space="preserve"> = 8 ELR </w:t>
      </w:r>
      <w:r w:rsidRPr="00CD1600">
        <w:rPr>
          <w:lang w:val="en-US"/>
        </w:rPr>
        <w:t>20425 (1978)</w:t>
      </w:r>
      <w:r>
        <w:rPr>
          <w:lang w:val="en-US"/>
        </w:rPr>
        <w:t>.</w:t>
      </w:r>
    </w:p>
  </w:footnote>
  <w:footnote w:id="494">
    <w:p w14:paraId="6472BA6F" w14:textId="77777777" w:rsidR="00074551" w:rsidRPr="00CD1600" w:rsidRDefault="00074551" w:rsidP="00074551">
      <w:pPr>
        <w:pStyle w:val="Funotentext"/>
        <w:rPr>
          <w:lang w:val="en-US"/>
        </w:rPr>
      </w:pPr>
      <w:r>
        <w:rPr>
          <w:rStyle w:val="Funotenzeichen"/>
          <w:rFonts w:eastAsiaTheme="majorEastAsia"/>
        </w:rPr>
        <w:footnoteRef/>
      </w:r>
      <w:r w:rsidRPr="00CD1600">
        <w:rPr>
          <w:lang w:val="en-US"/>
        </w:rPr>
        <w:t xml:space="preserve"> </w:t>
      </w:r>
      <w:r w:rsidRPr="00B45592">
        <w:rPr>
          <w:i/>
          <w:lang w:val="en-US"/>
        </w:rPr>
        <w:t>Canadian Northern R. Co. v. Eggen</w:t>
      </w:r>
      <w:r w:rsidRPr="00CD1600">
        <w:rPr>
          <w:lang w:val="en-US"/>
        </w:rPr>
        <w:t>, 252 U.S. 553 (1920)</w:t>
      </w:r>
      <w:r>
        <w:rPr>
          <w:lang w:val="en-US"/>
        </w:rPr>
        <w:t xml:space="preserve">; </w:t>
      </w:r>
      <w:r w:rsidRPr="00B45592">
        <w:rPr>
          <w:i/>
          <w:lang w:val="en-US"/>
        </w:rPr>
        <w:t>Baldwin v. Fish &amp; Game Comm’n</w:t>
      </w:r>
      <w:r w:rsidRPr="00CD1600">
        <w:rPr>
          <w:lang w:val="en-US"/>
        </w:rPr>
        <w:t>, 436 U.S. 371, 383</w:t>
      </w:r>
      <w:r w:rsidRPr="003B741A">
        <w:rPr>
          <w:lang w:val="en-US"/>
        </w:rPr>
        <w:t xml:space="preserve"> = 98 S. Ct. </w:t>
      </w:r>
      <w:r w:rsidRPr="00CD1600">
        <w:rPr>
          <w:lang w:val="en-US"/>
        </w:rPr>
        <w:t>1852, 1860</w:t>
      </w:r>
      <w:r>
        <w:rPr>
          <w:lang w:val="en-US"/>
        </w:rPr>
        <w:t xml:space="preserve"> = 56 L. Ed. </w:t>
      </w:r>
      <w:r w:rsidRPr="00CD1600">
        <w:rPr>
          <w:lang w:val="en-US"/>
        </w:rPr>
        <w:t>2d 354, 365</w:t>
      </w:r>
      <w:r w:rsidRPr="003B741A">
        <w:rPr>
          <w:lang w:val="en-US"/>
        </w:rPr>
        <w:t xml:space="preserve"> = 1978 U.S. LEXIS </w:t>
      </w:r>
      <w:r w:rsidRPr="00CD1600">
        <w:rPr>
          <w:lang w:val="en-US"/>
        </w:rPr>
        <w:t>27, 21</w:t>
      </w:r>
      <w:r w:rsidRPr="003B741A">
        <w:rPr>
          <w:lang w:val="en-US"/>
        </w:rPr>
        <w:t xml:space="preserve"> = 8 ELR </w:t>
      </w:r>
      <w:r w:rsidRPr="00CD1600">
        <w:rPr>
          <w:lang w:val="en-US"/>
        </w:rPr>
        <w:t>20425 (1978)</w:t>
      </w:r>
      <w:r>
        <w:rPr>
          <w:lang w:val="en-US"/>
        </w:rPr>
        <w:t>.</w:t>
      </w:r>
    </w:p>
  </w:footnote>
  <w:footnote w:id="495">
    <w:p w14:paraId="206730A2" w14:textId="77777777" w:rsidR="00074551" w:rsidRPr="00CD1600" w:rsidRDefault="00074551" w:rsidP="00074551">
      <w:pPr>
        <w:pStyle w:val="Funotentext"/>
        <w:jc w:val="both"/>
        <w:rPr>
          <w:lang w:val="en-US"/>
        </w:rPr>
      </w:pPr>
      <w:r>
        <w:rPr>
          <w:rStyle w:val="Funotenzeichen"/>
          <w:rFonts w:eastAsiaTheme="majorEastAsia"/>
        </w:rPr>
        <w:footnoteRef/>
      </w:r>
      <w:r w:rsidRPr="00CD1600">
        <w:rPr>
          <w:lang w:val="en-US"/>
        </w:rPr>
        <w:t xml:space="preserve"> </w:t>
      </w:r>
      <w:r w:rsidRPr="00B45592">
        <w:rPr>
          <w:i/>
          <w:lang w:val="en-US"/>
        </w:rPr>
        <w:t>Baldwin v. Fish &amp; Game Comm’n</w:t>
      </w:r>
      <w:r w:rsidRPr="00CD1600">
        <w:rPr>
          <w:lang w:val="en-US"/>
        </w:rPr>
        <w:t>, 436 U.S. 371, 384</w:t>
      </w:r>
      <w:r w:rsidRPr="003B741A">
        <w:rPr>
          <w:lang w:val="en-US"/>
        </w:rPr>
        <w:t xml:space="preserve"> = 98 S. Ct. </w:t>
      </w:r>
      <w:r w:rsidRPr="00CD1600">
        <w:rPr>
          <w:lang w:val="en-US"/>
        </w:rPr>
        <w:t>1852, 1860</w:t>
      </w:r>
      <w:r>
        <w:rPr>
          <w:lang w:val="en-US"/>
        </w:rPr>
        <w:t xml:space="preserve"> = 56 L. Ed. </w:t>
      </w:r>
      <w:r w:rsidRPr="00CD1600">
        <w:rPr>
          <w:lang w:val="en-US"/>
        </w:rPr>
        <w:t>2d 354, 366</w:t>
      </w:r>
      <w:r w:rsidRPr="003B741A">
        <w:rPr>
          <w:lang w:val="en-US"/>
        </w:rPr>
        <w:t xml:space="preserve"> = 1978 U.S. LEXIS </w:t>
      </w:r>
      <w:r w:rsidRPr="00CD1600">
        <w:rPr>
          <w:lang w:val="en-US"/>
        </w:rPr>
        <w:t>27, 24</w:t>
      </w:r>
      <w:r w:rsidRPr="003B741A">
        <w:rPr>
          <w:lang w:val="en-US"/>
        </w:rPr>
        <w:t xml:space="preserve"> = 8 ELR </w:t>
      </w:r>
      <w:r w:rsidRPr="00CD1600">
        <w:rPr>
          <w:lang w:val="en-US"/>
        </w:rPr>
        <w:t>20425 (1978)</w:t>
      </w:r>
      <w:r>
        <w:rPr>
          <w:lang w:val="en-US"/>
        </w:rPr>
        <w:t xml:space="preserve">; </w:t>
      </w:r>
      <w:r w:rsidRPr="001F38CE">
        <w:rPr>
          <w:i/>
          <w:lang w:val="en-US"/>
        </w:rPr>
        <w:t>Gibbons v. Ogden</w:t>
      </w:r>
      <w:r>
        <w:rPr>
          <w:lang w:val="en-US"/>
        </w:rPr>
        <w:t>, 9 Wheat.</w:t>
      </w:r>
      <w:r w:rsidRPr="00CD1600">
        <w:rPr>
          <w:lang w:val="en-US"/>
        </w:rPr>
        <w:t xml:space="preserve"> 1</w:t>
      </w:r>
      <w:r>
        <w:rPr>
          <w:lang w:val="en-US"/>
        </w:rPr>
        <w:t xml:space="preserve">; </w:t>
      </w:r>
      <w:r w:rsidRPr="00584023">
        <w:rPr>
          <w:i/>
          <w:lang w:val="en-US"/>
        </w:rPr>
        <w:t>Corfield v. Coryell</w:t>
      </w:r>
      <w:r w:rsidRPr="00CD1600">
        <w:rPr>
          <w:lang w:val="en-US"/>
        </w:rPr>
        <w:t>, 6 F. Cas. 546, 550</w:t>
      </w:r>
      <w:r w:rsidRPr="003B741A">
        <w:rPr>
          <w:lang w:val="en-US"/>
        </w:rPr>
        <w:t xml:space="preserve"> = 1823 U.S. App. LEXIS </w:t>
      </w:r>
      <w:r w:rsidRPr="00CD1600">
        <w:rPr>
          <w:lang w:val="en-US"/>
        </w:rPr>
        <w:t>239, 11</w:t>
      </w:r>
      <w:r w:rsidRPr="003B741A">
        <w:rPr>
          <w:lang w:val="en-US"/>
        </w:rPr>
        <w:t xml:space="preserve"> = 4 Wash. C. C. </w:t>
      </w:r>
      <w:r w:rsidRPr="00CD1600">
        <w:rPr>
          <w:lang w:val="en-US"/>
        </w:rPr>
        <w:t>371 (C.C.E.D. Pa. April 1, 1823)</w:t>
      </w:r>
      <w:r>
        <w:rPr>
          <w:lang w:val="en-US"/>
        </w:rPr>
        <w:t xml:space="preserve">; </w:t>
      </w:r>
      <w:r w:rsidRPr="00584023">
        <w:rPr>
          <w:i/>
          <w:lang w:val="en-US"/>
        </w:rPr>
        <w:t>Hague v. CIO</w:t>
      </w:r>
      <w:r w:rsidRPr="00CD1600">
        <w:rPr>
          <w:lang w:val="en-US"/>
        </w:rPr>
        <w:t>, 307 U.S.</w:t>
      </w:r>
      <w:r>
        <w:rPr>
          <w:lang w:val="en-US"/>
        </w:rPr>
        <w:t xml:space="preserve"> 496, </w:t>
      </w:r>
      <w:r w:rsidRPr="00CD1600">
        <w:rPr>
          <w:lang w:val="en-US"/>
        </w:rPr>
        <w:t>511</w:t>
      </w:r>
      <w:r>
        <w:rPr>
          <w:lang w:val="en-US"/>
        </w:rPr>
        <w:t xml:space="preserve">; </w:t>
      </w:r>
      <w:r w:rsidRPr="00584023">
        <w:rPr>
          <w:i/>
          <w:lang w:val="en-US"/>
        </w:rPr>
        <w:t>United States v. United States Gypsum Co.</w:t>
      </w:r>
      <w:r w:rsidRPr="00CD1600">
        <w:rPr>
          <w:lang w:val="en-US"/>
        </w:rPr>
        <w:t>, 333 U.S. 364, 381</w:t>
      </w:r>
      <w:r w:rsidRPr="006E67FE">
        <w:rPr>
          <w:lang w:val="en-US"/>
        </w:rPr>
        <w:t xml:space="preserve"> = 68 S. Ct. </w:t>
      </w:r>
      <w:r w:rsidRPr="00CD1600">
        <w:rPr>
          <w:lang w:val="en-US"/>
        </w:rPr>
        <w:t>525, 535</w:t>
      </w:r>
      <w:r w:rsidRPr="006E67FE">
        <w:rPr>
          <w:lang w:val="en-US"/>
        </w:rPr>
        <w:t xml:space="preserve"> = 92 L. Ed. </w:t>
      </w:r>
      <w:r w:rsidRPr="00CD1600">
        <w:rPr>
          <w:lang w:val="en-US"/>
        </w:rPr>
        <w:t>746, 758</w:t>
      </w:r>
      <w:r w:rsidRPr="006E67FE">
        <w:rPr>
          <w:lang w:val="en-US"/>
        </w:rPr>
        <w:t xml:space="preserve"> = 1948 U.S. LEXIS </w:t>
      </w:r>
      <w:r w:rsidRPr="00CD1600">
        <w:rPr>
          <w:lang w:val="en-US"/>
        </w:rPr>
        <w:t>2846, 27</w:t>
      </w:r>
      <w:r w:rsidRPr="006E67FE">
        <w:rPr>
          <w:lang w:val="en-US"/>
        </w:rPr>
        <w:t xml:space="preserve"> = 76 U.S.P.Q. </w:t>
      </w:r>
      <w:r w:rsidRPr="00CD1600">
        <w:rPr>
          <w:lang w:val="en-US"/>
        </w:rPr>
        <w:t>(BNA) 430, 437 (1948)</w:t>
      </w:r>
      <w:r>
        <w:rPr>
          <w:lang w:val="en-US"/>
        </w:rPr>
        <w:t>.</w:t>
      </w:r>
    </w:p>
  </w:footnote>
  <w:footnote w:id="496">
    <w:p w14:paraId="31C17771" w14:textId="77777777" w:rsidR="00074551" w:rsidRPr="00CD1600" w:rsidRDefault="00074551" w:rsidP="00074551">
      <w:pPr>
        <w:pStyle w:val="Funotentext"/>
        <w:jc w:val="both"/>
        <w:rPr>
          <w:lang w:val="en-US"/>
        </w:rPr>
      </w:pPr>
      <w:r>
        <w:rPr>
          <w:rStyle w:val="Funotenzeichen"/>
          <w:rFonts w:eastAsiaTheme="majorEastAsia"/>
        </w:rPr>
        <w:footnoteRef/>
      </w:r>
      <w:r w:rsidRPr="00CD1600">
        <w:rPr>
          <w:lang w:val="en-US"/>
        </w:rPr>
        <w:t xml:space="preserve"> </w:t>
      </w:r>
      <w:r w:rsidRPr="00B45592">
        <w:rPr>
          <w:i/>
          <w:lang w:val="en-US"/>
        </w:rPr>
        <w:t>Baldwin v. Fish &amp; Game Comm’n</w:t>
      </w:r>
      <w:r w:rsidRPr="00CD1600">
        <w:rPr>
          <w:lang w:val="en-US"/>
        </w:rPr>
        <w:t>, 436 U.S. 371, 384</w:t>
      </w:r>
      <w:r w:rsidRPr="003B741A">
        <w:rPr>
          <w:lang w:val="en-US"/>
        </w:rPr>
        <w:t xml:space="preserve"> = 98 S. Ct. </w:t>
      </w:r>
      <w:r w:rsidRPr="00CD1600">
        <w:rPr>
          <w:lang w:val="en-US"/>
        </w:rPr>
        <w:t>1852, 1860</w:t>
      </w:r>
      <w:r>
        <w:rPr>
          <w:lang w:val="en-US"/>
        </w:rPr>
        <w:t xml:space="preserve"> = 56 L. Ed. </w:t>
      </w:r>
      <w:r w:rsidRPr="00CD1600">
        <w:rPr>
          <w:lang w:val="en-US"/>
        </w:rPr>
        <w:t>2d 354, 366</w:t>
      </w:r>
      <w:r w:rsidRPr="003B741A">
        <w:rPr>
          <w:lang w:val="en-US"/>
        </w:rPr>
        <w:t xml:space="preserve"> = 1978 U.S. LEXIS </w:t>
      </w:r>
      <w:r w:rsidRPr="00CD1600">
        <w:rPr>
          <w:lang w:val="en-US"/>
        </w:rPr>
        <w:t>27, 24</w:t>
      </w:r>
      <w:r w:rsidRPr="003B741A">
        <w:rPr>
          <w:lang w:val="en-US"/>
        </w:rPr>
        <w:t xml:space="preserve"> = 8 ELR </w:t>
      </w:r>
      <w:r w:rsidRPr="00CD1600">
        <w:rPr>
          <w:lang w:val="en-US"/>
        </w:rPr>
        <w:t>20425 (1978)</w:t>
      </w:r>
      <w:r>
        <w:rPr>
          <w:lang w:val="en-US"/>
        </w:rPr>
        <w:t xml:space="preserve">; </w:t>
      </w:r>
      <w:r w:rsidRPr="001F38CE">
        <w:rPr>
          <w:i/>
          <w:lang w:val="en-US"/>
        </w:rPr>
        <w:t>Gibbons v. Ogden</w:t>
      </w:r>
      <w:r>
        <w:rPr>
          <w:lang w:val="en-US"/>
        </w:rPr>
        <w:t>, 9 Wheat.</w:t>
      </w:r>
      <w:r w:rsidRPr="00CD1600">
        <w:rPr>
          <w:lang w:val="en-US"/>
        </w:rPr>
        <w:t xml:space="preserve"> 1</w:t>
      </w:r>
      <w:r>
        <w:rPr>
          <w:lang w:val="en-US"/>
        </w:rPr>
        <w:t xml:space="preserve">; </w:t>
      </w:r>
      <w:r w:rsidRPr="00584023">
        <w:rPr>
          <w:i/>
          <w:lang w:val="en-US"/>
        </w:rPr>
        <w:t>Corfield v. Coryell</w:t>
      </w:r>
      <w:r w:rsidRPr="00CD1600">
        <w:rPr>
          <w:lang w:val="en-US"/>
        </w:rPr>
        <w:t>, 6 F. Cas. 546, 550</w:t>
      </w:r>
      <w:r w:rsidRPr="003B741A">
        <w:rPr>
          <w:lang w:val="en-US"/>
        </w:rPr>
        <w:t xml:space="preserve"> = 1823 U.S. App. LEXIS </w:t>
      </w:r>
      <w:r w:rsidRPr="00CD1600">
        <w:rPr>
          <w:lang w:val="en-US"/>
        </w:rPr>
        <w:t>239, 11</w:t>
      </w:r>
      <w:r w:rsidRPr="003B741A">
        <w:rPr>
          <w:lang w:val="en-US"/>
        </w:rPr>
        <w:t xml:space="preserve"> = 4 Wash. C. C. </w:t>
      </w:r>
      <w:r w:rsidRPr="00CD1600">
        <w:rPr>
          <w:lang w:val="en-US"/>
        </w:rPr>
        <w:t>371 (C.C.E.D. Pa. April 1, 1823)</w:t>
      </w:r>
      <w:r>
        <w:rPr>
          <w:lang w:val="en-US"/>
        </w:rPr>
        <w:t xml:space="preserve">; </w:t>
      </w:r>
      <w:r w:rsidRPr="00584023">
        <w:rPr>
          <w:i/>
          <w:lang w:val="en-US"/>
        </w:rPr>
        <w:t>Hague v. CIO</w:t>
      </w:r>
      <w:r w:rsidRPr="00CD1600">
        <w:rPr>
          <w:lang w:val="en-US"/>
        </w:rPr>
        <w:t>, 307 U.S.</w:t>
      </w:r>
      <w:r>
        <w:rPr>
          <w:lang w:val="en-US"/>
        </w:rPr>
        <w:t xml:space="preserve"> 496,</w:t>
      </w:r>
      <w:r w:rsidRPr="00CD1600">
        <w:rPr>
          <w:lang w:val="en-US"/>
        </w:rPr>
        <w:t xml:space="preserve"> 511</w:t>
      </w:r>
      <w:r>
        <w:rPr>
          <w:lang w:val="en-US"/>
        </w:rPr>
        <w:t xml:space="preserve">; </w:t>
      </w:r>
      <w:r w:rsidRPr="00584023">
        <w:rPr>
          <w:i/>
          <w:lang w:val="en-US"/>
        </w:rPr>
        <w:t>United States v. United States Gypsum Co.</w:t>
      </w:r>
      <w:r w:rsidRPr="00CD1600">
        <w:rPr>
          <w:lang w:val="en-US"/>
        </w:rPr>
        <w:t>, 333 U.S. 364, 381</w:t>
      </w:r>
      <w:r w:rsidRPr="006E67FE">
        <w:rPr>
          <w:lang w:val="en-US"/>
        </w:rPr>
        <w:t xml:space="preserve"> = 68 S. Ct. </w:t>
      </w:r>
      <w:r w:rsidRPr="00CD1600">
        <w:rPr>
          <w:lang w:val="en-US"/>
        </w:rPr>
        <w:t>525, 535</w:t>
      </w:r>
      <w:r w:rsidRPr="006E67FE">
        <w:rPr>
          <w:lang w:val="en-US"/>
        </w:rPr>
        <w:t xml:space="preserve"> = 92 L. Ed. </w:t>
      </w:r>
      <w:r w:rsidRPr="00CD1600">
        <w:rPr>
          <w:lang w:val="en-US"/>
        </w:rPr>
        <w:t>746, 758</w:t>
      </w:r>
      <w:r w:rsidRPr="006E67FE">
        <w:rPr>
          <w:lang w:val="en-US"/>
        </w:rPr>
        <w:t xml:space="preserve"> = 1948 U.S. LEXIS </w:t>
      </w:r>
      <w:r w:rsidRPr="00CD1600">
        <w:rPr>
          <w:lang w:val="en-US"/>
        </w:rPr>
        <w:t>2846, 27</w:t>
      </w:r>
      <w:r w:rsidRPr="006E67FE">
        <w:rPr>
          <w:lang w:val="en-US"/>
        </w:rPr>
        <w:t xml:space="preserve"> = 76 U.S.P.Q. </w:t>
      </w:r>
      <w:r w:rsidRPr="00CD1600">
        <w:rPr>
          <w:lang w:val="en-US"/>
        </w:rPr>
        <w:t>(BNA) 430, 437 (1948)</w:t>
      </w:r>
      <w:r>
        <w:rPr>
          <w:lang w:val="en-US"/>
        </w:rPr>
        <w:t>.</w:t>
      </w:r>
    </w:p>
  </w:footnote>
  <w:footnote w:id="497">
    <w:p w14:paraId="660FF38E" w14:textId="77777777" w:rsidR="00074551" w:rsidRPr="00CD1600" w:rsidRDefault="00074551" w:rsidP="00074551">
      <w:pPr>
        <w:pStyle w:val="Funotentext"/>
        <w:jc w:val="both"/>
        <w:rPr>
          <w:lang w:val="en-US"/>
        </w:rPr>
      </w:pPr>
      <w:r>
        <w:rPr>
          <w:rStyle w:val="Funotenzeichen"/>
          <w:rFonts w:eastAsiaTheme="majorEastAsia"/>
        </w:rPr>
        <w:footnoteRef/>
      </w:r>
      <w:r w:rsidRPr="00CD1600">
        <w:rPr>
          <w:lang w:val="en-US"/>
        </w:rPr>
        <w:t xml:space="preserve"> </w:t>
      </w:r>
      <w:r w:rsidRPr="00B45592">
        <w:rPr>
          <w:i/>
          <w:lang w:val="en-US"/>
        </w:rPr>
        <w:t>Baldwin v. Fish &amp; Game Comm’n</w:t>
      </w:r>
      <w:r w:rsidRPr="00CD1600">
        <w:rPr>
          <w:lang w:val="en-US"/>
        </w:rPr>
        <w:t>, 436 U.S. 371, 384</w:t>
      </w:r>
      <w:r w:rsidRPr="003B741A">
        <w:rPr>
          <w:lang w:val="en-US"/>
        </w:rPr>
        <w:t xml:space="preserve"> = 98 S. Ct. </w:t>
      </w:r>
      <w:r w:rsidRPr="00CD1600">
        <w:rPr>
          <w:lang w:val="en-US"/>
        </w:rPr>
        <w:t>1852, 1860</w:t>
      </w:r>
      <w:r>
        <w:rPr>
          <w:lang w:val="en-US"/>
        </w:rPr>
        <w:t xml:space="preserve"> = 56 L. Ed. </w:t>
      </w:r>
      <w:r w:rsidRPr="00CD1600">
        <w:rPr>
          <w:lang w:val="en-US"/>
        </w:rPr>
        <w:t>2d 354, 366</w:t>
      </w:r>
      <w:r w:rsidRPr="003B741A">
        <w:rPr>
          <w:lang w:val="en-US"/>
        </w:rPr>
        <w:t xml:space="preserve"> = 1978 U.S. LEXIS </w:t>
      </w:r>
      <w:r w:rsidRPr="00CD1600">
        <w:rPr>
          <w:lang w:val="en-US"/>
        </w:rPr>
        <w:t>27, 24</w:t>
      </w:r>
      <w:r w:rsidRPr="003B741A">
        <w:rPr>
          <w:lang w:val="en-US"/>
        </w:rPr>
        <w:t xml:space="preserve"> = 8 ELR </w:t>
      </w:r>
      <w:r w:rsidRPr="00CD1600">
        <w:rPr>
          <w:lang w:val="en-US"/>
        </w:rPr>
        <w:t>20425 (1978)</w:t>
      </w:r>
      <w:r>
        <w:rPr>
          <w:lang w:val="en-US"/>
        </w:rPr>
        <w:t xml:space="preserve">; </w:t>
      </w:r>
      <w:r w:rsidRPr="001F38CE">
        <w:rPr>
          <w:i/>
          <w:lang w:val="en-US"/>
        </w:rPr>
        <w:t>Gibbons v. Ogden</w:t>
      </w:r>
      <w:r>
        <w:rPr>
          <w:lang w:val="en-US"/>
        </w:rPr>
        <w:t xml:space="preserve"> = 9 Wheat. </w:t>
      </w:r>
      <w:r w:rsidRPr="00CD1600">
        <w:rPr>
          <w:lang w:val="en-US"/>
        </w:rPr>
        <w:t>1</w:t>
      </w:r>
      <w:r>
        <w:rPr>
          <w:lang w:val="en-US"/>
        </w:rPr>
        <w:t xml:space="preserve">; </w:t>
      </w:r>
      <w:r w:rsidRPr="00584023">
        <w:rPr>
          <w:i/>
          <w:lang w:val="en-US"/>
        </w:rPr>
        <w:t>Corfield v. Coryell</w:t>
      </w:r>
      <w:r w:rsidRPr="00CD1600">
        <w:rPr>
          <w:lang w:val="en-US"/>
        </w:rPr>
        <w:t>, 6 F. Cas. 546, 550</w:t>
      </w:r>
      <w:r w:rsidRPr="003B741A">
        <w:rPr>
          <w:lang w:val="en-US"/>
        </w:rPr>
        <w:t xml:space="preserve"> = 1823 U.S. App. LEXIS </w:t>
      </w:r>
      <w:r w:rsidRPr="00CD1600">
        <w:rPr>
          <w:lang w:val="en-US"/>
        </w:rPr>
        <w:t>239, 11</w:t>
      </w:r>
      <w:r w:rsidRPr="003B741A">
        <w:rPr>
          <w:lang w:val="en-US"/>
        </w:rPr>
        <w:t xml:space="preserve"> = 4 Wash. C. C. </w:t>
      </w:r>
      <w:r w:rsidRPr="00CD1600">
        <w:rPr>
          <w:lang w:val="en-US"/>
        </w:rPr>
        <w:t>371 (C.C.E.D. Pa. April 1, 1823)</w:t>
      </w:r>
      <w:r>
        <w:rPr>
          <w:lang w:val="en-US"/>
        </w:rPr>
        <w:t xml:space="preserve">; </w:t>
      </w:r>
      <w:r w:rsidRPr="00584023">
        <w:rPr>
          <w:i/>
          <w:lang w:val="en-US"/>
        </w:rPr>
        <w:t>Hague v. CIO</w:t>
      </w:r>
      <w:r w:rsidRPr="00CD1600">
        <w:rPr>
          <w:lang w:val="en-US"/>
        </w:rPr>
        <w:t>, 307 U.S.</w:t>
      </w:r>
      <w:r>
        <w:rPr>
          <w:lang w:val="en-US"/>
        </w:rPr>
        <w:t xml:space="preserve"> 496,</w:t>
      </w:r>
      <w:r w:rsidRPr="00CD1600">
        <w:rPr>
          <w:lang w:val="en-US"/>
        </w:rPr>
        <w:t xml:space="preserve"> 511</w:t>
      </w:r>
      <w:r>
        <w:rPr>
          <w:lang w:val="en-US"/>
        </w:rPr>
        <w:t xml:space="preserve">; </w:t>
      </w:r>
      <w:r w:rsidRPr="00584023">
        <w:rPr>
          <w:i/>
          <w:lang w:val="en-US"/>
        </w:rPr>
        <w:t>United States v. United States Gypsum Co.</w:t>
      </w:r>
      <w:r w:rsidRPr="00CD1600">
        <w:rPr>
          <w:lang w:val="en-US"/>
        </w:rPr>
        <w:t>, 333 U.S. 364, 381</w:t>
      </w:r>
      <w:r w:rsidRPr="006E67FE">
        <w:rPr>
          <w:lang w:val="en-US"/>
        </w:rPr>
        <w:t xml:space="preserve"> = 68 S. Ct. </w:t>
      </w:r>
      <w:r w:rsidRPr="00CD1600">
        <w:rPr>
          <w:lang w:val="en-US"/>
        </w:rPr>
        <w:t>525, 535</w:t>
      </w:r>
      <w:r w:rsidRPr="006E67FE">
        <w:rPr>
          <w:lang w:val="en-US"/>
        </w:rPr>
        <w:t xml:space="preserve"> = 92 L. Ed. </w:t>
      </w:r>
      <w:r w:rsidRPr="00CD1600">
        <w:rPr>
          <w:lang w:val="en-US"/>
        </w:rPr>
        <w:t>746, 758</w:t>
      </w:r>
      <w:r w:rsidRPr="006E67FE">
        <w:rPr>
          <w:lang w:val="en-US"/>
        </w:rPr>
        <w:t xml:space="preserve"> = 1948 U.S. LEXIS </w:t>
      </w:r>
      <w:r w:rsidRPr="00CD1600">
        <w:rPr>
          <w:lang w:val="en-US"/>
        </w:rPr>
        <w:t>2846, 27</w:t>
      </w:r>
      <w:r w:rsidRPr="006E67FE">
        <w:rPr>
          <w:lang w:val="en-US"/>
        </w:rPr>
        <w:t xml:space="preserve"> = 76 U.S.P.Q. </w:t>
      </w:r>
      <w:r w:rsidRPr="00CD1600">
        <w:rPr>
          <w:lang w:val="en-US"/>
        </w:rPr>
        <w:t>(BNA) 430, 437 (1948)</w:t>
      </w:r>
      <w:r>
        <w:rPr>
          <w:lang w:val="en-US"/>
        </w:rPr>
        <w:t>.</w:t>
      </w:r>
    </w:p>
  </w:footnote>
  <w:footnote w:id="498">
    <w:p w14:paraId="0CFF6FB2" w14:textId="77777777" w:rsidR="00074551" w:rsidRPr="00CD1600" w:rsidRDefault="00074551" w:rsidP="00074551">
      <w:pPr>
        <w:pStyle w:val="Funotentext"/>
        <w:jc w:val="both"/>
        <w:rPr>
          <w:lang w:val="en-US"/>
        </w:rPr>
      </w:pPr>
      <w:r>
        <w:rPr>
          <w:rStyle w:val="Funotenzeichen"/>
          <w:rFonts w:eastAsiaTheme="majorEastAsia"/>
        </w:rPr>
        <w:footnoteRef/>
      </w:r>
      <w:r w:rsidRPr="00CD1600">
        <w:rPr>
          <w:lang w:val="en-US"/>
        </w:rPr>
        <w:t xml:space="preserve"> </w:t>
      </w:r>
      <w:r w:rsidRPr="00B45592">
        <w:rPr>
          <w:i/>
          <w:lang w:val="en-US"/>
        </w:rPr>
        <w:t>Baldwin v. Fish &amp; Game Comm’n</w:t>
      </w:r>
      <w:r w:rsidRPr="00CD1600">
        <w:rPr>
          <w:lang w:val="en-US"/>
        </w:rPr>
        <w:t>, 436 U.S. 371, 384</w:t>
      </w:r>
      <w:r w:rsidRPr="003B741A">
        <w:rPr>
          <w:lang w:val="en-US"/>
        </w:rPr>
        <w:t xml:space="preserve"> = 98 S. Ct. </w:t>
      </w:r>
      <w:r w:rsidRPr="00CD1600">
        <w:rPr>
          <w:lang w:val="en-US"/>
        </w:rPr>
        <w:t>1852, 1860</w:t>
      </w:r>
      <w:r>
        <w:rPr>
          <w:lang w:val="en-US"/>
        </w:rPr>
        <w:t xml:space="preserve"> = 56 L. Ed. </w:t>
      </w:r>
      <w:r w:rsidRPr="00CD1600">
        <w:rPr>
          <w:lang w:val="en-US"/>
        </w:rPr>
        <w:t>2d 354, 366</w:t>
      </w:r>
      <w:r w:rsidRPr="003B741A">
        <w:rPr>
          <w:lang w:val="en-US"/>
        </w:rPr>
        <w:t xml:space="preserve"> = 1978 U.S. LEXIS </w:t>
      </w:r>
      <w:r w:rsidRPr="00CD1600">
        <w:rPr>
          <w:lang w:val="en-US"/>
        </w:rPr>
        <w:t>27, 24</w:t>
      </w:r>
      <w:r w:rsidRPr="003B741A">
        <w:rPr>
          <w:lang w:val="en-US"/>
        </w:rPr>
        <w:t xml:space="preserve"> = 8 ELR </w:t>
      </w:r>
      <w:r w:rsidRPr="00CD1600">
        <w:rPr>
          <w:lang w:val="en-US"/>
        </w:rPr>
        <w:t>20425 (1978)</w:t>
      </w:r>
      <w:r>
        <w:rPr>
          <w:lang w:val="en-US"/>
        </w:rPr>
        <w:t xml:space="preserve">; </w:t>
      </w:r>
      <w:r w:rsidRPr="001F38CE">
        <w:rPr>
          <w:i/>
          <w:lang w:val="en-US"/>
        </w:rPr>
        <w:t>Gibbons v. Ogden</w:t>
      </w:r>
      <w:r>
        <w:rPr>
          <w:lang w:val="en-US"/>
        </w:rPr>
        <w:t xml:space="preserve"> = 9 Wheat. </w:t>
      </w:r>
      <w:r w:rsidRPr="00CD1600">
        <w:rPr>
          <w:lang w:val="en-US"/>
        </w:rPr>
        <w:t>1</w:t>
      </w:r>
      <w:r>
        <w:rPr>
          <w:lang w:val="en-US"/>
        </w:rPr>
        <w:t xml:space="preserve">; </w:t>
      </w:r>
      <w:r w:rsidRPr="00584023">
        <w:rPr>
          <w:i/>
          <w:lang w:val="en-US"/>
        </w:rPr>
        <w:t>Corfield v. Coryell</w:t>
      </w:r>
      <w:r w:rsidRPr="00CD1600">
        <w:rPr>
          <w:lang w:val="en-US"/>
        </w:rPr>
        <w:t>, 6 F. Cas. 546, 550</w:t>
      </w:r>
      <w:r w:rsidRPr="003B741A">
        <w:rPr>
          <w:lang w:val="en-US"/>
        </w:rPr>
        <w:t xml:space="preserve"> = 1823 U.S. App. LEXIS </w:t>
      </w:r>
      <w:r w:rsidRPr="00CD1600">
        <w:rPr>
          <w:lang w:val="en-US"/>
        </w:rPr>
        <w:t>239, 11</w:t>
      </w:r>
      <w:r w:rsidRPr="003B741A">
        <w:rPr>
          <w:lang w:val="en-US"/>
        </w:rPr>
        <w:t xml:space="preserve"> = 4 Wash. C. C. </w:t>
      </w:r>
      <w:r w:rsidRPr="00CD1600">
        <w:rPr>
          <w:lang w:val="en-US"/>
        </w:rPr>
        <w:t>371 (C.C.E.D. Pa. April 1, 1823)</w:t>
      </w:r>
      <w:r>
        <w:rPr>
          <w:lang w:val="en-US"/>
        </w:rPr>
        <w:t xml:space="preserve">; </w:t>
      </w:r>
      <w:r w:rsidRPr="00584023">
        <w:rPr>
          <w:i/>
          <w:lang w:val="en-US"/>
        </w:rPr>
        <w:t>Hague v. CIO</w:t>
      </w:r>
      <w:r w:rsidRPr="00CD1600">
        <w:rPr>
          <w:lang w:val="en-US"/>
        </w:rPr>
        <w:t>, 307 U.S.</w:t>
      </w:r>
      <w:r>
        <w:rPr>
          <w:lang w:val="en-US"/>
        </w:rPr>
        <w:t xml:space="preserve"> 496,</w:t>
      </w:r>
      <w:r w:rsidRPr="00CD1600">
        <w:rPr>
          <w:lang w:val="en-US"/>
        </w:rPr>
        <w:t xml:space="preserve"> 511</w:t>
      </w:r>
      <w:r>
        <w:rPr>
          <w:lang w:val="en-US"/>
        </w:rPr>
        <w:t xml:space="preserve">; </w:t>
      </w:r>
      <w:r w:rsidRPr="00584023">
        <w:rPr>
          <w:i/>
          <w:lang w:val="en-US"/>
        </w:rPr>
        <w:t>United States v. United States Gypsum Co.</w:t>
      </w:r>
      <w:r w:rsidRPr="00CD1600">
        <w:rPr>
          <w:lang w:val="en-US"/>
        </w:rPr>
        <w:t>, 333 U.S. 364, 381</w:t>
      </w:r>
      <w:r w:rsidRPr="006E67FE">
        <w:rPr>
          <w:lang w:val="en-US"/>
        </w:rPr>
        <w:t xml:space="preserve"> = 68 S. Ct. </w:t>
      </w:r>
      <w:r w:rsidRPr="00CD1600">
        <w:rPr>
          <w:lang w:val="en-US"/>
        </w:rPr>
        <w:t>525, 535</w:t>
      </w:r>
      <w:r w:rsidRPr="006E67FE">
        <w:rPr>
          <w:lang w:val="en-US"/>
        </w:rPr>
        <w:t xml:space="preserve"> = 92 L. Ed. </w:t>
      </w:r>
      <w:r w:rsidRPr="00CD1600">
        <w:rPr>
          <w:lang w:val="en-US"/>
        </w:rPr>
        <w:t>746, 758</w:t>
      </w:r>
      <w:r w:rsidRPr="006E67FE">
        <w:rPr>
          <w:lang w:val="en-US"/>
        </w:rPr>
        <w:t xml:space="preserve"> = 1948 U.S. LEXIS </w:t>
      </w:r>
      <w:r w:rsidRPr="00CD1600">
        <w:rPr>
          <w:lang w:val="en-US"/>
        </w:rPr>
        <w:t>2846, 27</w:t>
      </w:r>
      <w:r w:rsidRPr="006E67FE">
        <w:rPr>
          <w:lang w:val="en-US"/>
        </w:rPr>
        <w:t xml:space="preserve"> = 76 U.S.P.Q. </w:t>
      </w:r>
      <w:r w:rsidRPr="00CD1600">
        <w:rPr>
          <w:lang w:val="en-US"/>
        </w:rPr>
        <w:t>(BNA) 430, 437 (1948)</w:t>
      </w:r>
      <w:r>
        <w:rPr>
          <w:lang w:val="en-US"/>
        </w:rPr>
        <w:t>.</w:t>
      </w:r>
    </w:p>
  </w:footnote>
  <w:footnote w:id="499">
    <w:p w14:paraId="3E6CC2BA" w14:textId="77777777" w:rsidR="00074551" w:rsidRPr="00A75862" w:rsidRDefault="00074551" w:rsidP="00074551">
      <w:pPr>
        <w:pStyle w:val="Funotentext"/>
        <w:jc w:val="both"/>
        <w:rPr>
          <w:lang w:val="en-US"/>
        </w:rPr>
      </w:pPr>
      <w:r>
        <w:rPr>
          <w:rStyle w:val="Funotenzeichen"/>
        </w:rPr>
        <w:footnoteRef/>
      </w:r>
      <w:r w:rsidRPr="00A75862">
        <w:rPr>
          <w:lang w:val="en-US"/>
        </w:rPr>
        <w:t xml:space="preserve"> </w:t>
      </w:r>
      <w:r w:rsidRPr="00584023">
        <w:rPr>
          <w:i/>
          <w:lang w:val="en-US"/>
        </w:rPr>
        <w:t>Bradwell v. State</w:t>
      </w:r>
      <w:r w:rsidRPr="00A75862">
        <w:rPr>
          <w:lang w:val="en-US"/>
        </w:rPr>
        <w:t>, 83 U.S. 130, 137</w:t>
      </w:r>
      <w:r w:rsidRPr="003B741A">
        <w:rPr>
          <w:lang w:val="en-US"/>
        </w:rPr>
        <w:t xml:space="preserve"> = 21 L. Ed. </w:t>
      </w:r>
      <w:r w:rsidRPr="00A75862">
        <w:rPr>
          <w:lang w:val="en-US"/>
        </w:rPr>
        <w:t>442, 445</w:t>
      </w:r>
      <w:r w:rsidRPr="006E67FE">
        <w:rPr>
          <w:lang w:val="en-US"/>
        </w:rPr>
        <w:t xml:space="preserve"> = 1872 U.S. LEXIS </w:t>
      </w:r>
      <w:r w:rsidRPr="00A75862">
        <w:rPr>
          <w:lang w:val="en-US"/>
        </w:rPr>
        <w:t>1140, 6 (1873)</w:t>
      </w:r>
      <w:r>
        <w:rPr>
          <w:lang w:val="en-US"/>
        </w:rPr>
        <w:t>.</w:t>
      </w:r>
    </w:p>
  </w:footnote>
  <w:footnote w:id="500">
    <w:p w14:paraId="6D7722D9" w14:textId="77777777" w:rsidR="00074551" w:rsidRPr="00A75862" w:rsidRDefault="00074551" w:rsidP="00074551">
      <w:pPr>
        <w:pStyle w:val="Funotentext"/>
        <w:jc w:val="both"/>
        <w:rPr>
          <w:lang w:val="en-US"/>
        </w:rPr>
      </w:pPr>
      <w:r>
        <w:rPr>
          <w:rStyle w:val="Funotenzeichen"/>
        </w:rPr>
        <w:footnoteRef/>
      </w:r>
      <w:r w:rsidRPr="00A75862">
        <w:rPr>
          <w:lang w:val="en-US"/>
        </w:rPr>
        <w:t xml:space="preserve"> </w:t>
      </w:r>
      <w:r w:rsidRPr="007360B0">
        <w:rPr>
          <w:i/>
          <w:lang w:val="en-US"/>
        </w:rPr>
        <w:t>Cummings v. Missouri</w:t>
      </w:r>
      <w:r w:rsidRPr="00A75862">
        <w:rPr>
          <w:lang w:val="en-US"/>
        </w:rPr>
        <w:t>, 71 U.S. 277, 321</w:t>
      </w:r>
      <w:r w:rsidRPr="006E67FE">
        <w:rPr>
          <w:lang w:val="en-US"/>
        </w:rPr>
        <w:t xml:space="preserve"> = 18 L. Ed. </w:t>
      </w:r>
      <w:r w:rsidRPr="00A75862">
        <w:rPr>
          <w:lang w:val="en-US"/>
        </w:rPr>
        <w:t>356, 362</w:t>
      </w:r>
      <w:r w:rsidRPr="006E67FE">
        <w:rPr>
          <w:lang w:val="en-US"/>
        </w:rPr>
        <w:t xml:space="preserve"> = 1866 U.S. LEXIS </w:t>
      </w:r>
      <w:r w:rsidRPr="00A75862">
        <w:rPr>
          <w:lang w:val="en-US"/>
        </w:rPr>
        <w:t>885, 80</w:t>
      </w:r>
      <w:r w:rsidRPr="006E67FE">
        <w:rPr>
          <w:lang w:val="en-US"/>
        </w:rPr>
        <w:t xml:space="preserve"> = 4 Wall.</w:t>
      </w:r>
      <w:r w:rsidRPr="00A75862">
        <w:rPr>
          <w:lang w:val="en-US"/>
        </w:rPr>
        <w:t xml:space="preserve"> 277 (1867)</w:t>
      </w:r>
      <w:r>
        <w:rPr>
          <w:lang w:val="en-US"/>
        </w:rPr>
        <w:t>.</w:t>
      </w:r>
    </w:p>
  </w:footnote>
  <w:footnote w:id="501">
    <w:p w14:paraId="0E80D167" w14:textId="77777777" w:rsidR="00074551" w:rsidRPr="00B85311" w:rsidRDefault="00074551" w:rsidP="00074551">
      <w:pPr>
        <w:pStyle w:val="Funotentext"/>
        <w:jc w:val="both"/>
        <w:rPr>
          <w:lang w:val="en-US"/>
        </w:rPr>
      </w:pPr>
      <w:r>
        <w:rPr>
          <w:rStyle w:val="Funotenzeichen"/>
          <w:rFonts w:eastAsiaTheme="majorEastAsia"/>
        </w:rPr>
        <w:footnoteRef/>
      </w:r>
      <w:r w:rsidRPr="00B85311">
        <w:rPr>
          <w:lang w:val="en-US"/>
        </w:rPr>
        <w:t xml:space="preserve"> </w:t>
      </w:r>
      <w:r w:rsidRPr="00584023">
        <w:rPr>
          <w:i/>
          <w:lang w:val="en-US"/>
        </w:rPr>
        <w:t>Bradwell v. State</w:t>
      </w:r>
      <w:r w:rsidRPr="00B85311">
        <w:rPr>
          <w:lang w:val="en-US"/>
        </w:rPr>
        <w:t>, 83 U.S. 130, 137</w:t>
      </w:r>
      <w:r w:rsidRPr="003B741A">
        <w:rPr>
          <w:lang w:val="en-US"/>
        </w:rPr>
        <w:t xml:space="preserve"> = 21 L. Ed. </w:t>
      </w:r>
      <w:r w:rsidRPr="00B85311">
        <w:rPr>
          <w:lang w:val="en-US"/>
        </w:rPr>
        <w:t>442, 445</w:t>
      </w:r>
      <w:r w:rsidRPr="006E67FE">
        <w:rPr>
          <w:lang w:val="en-US"/>
        </w:rPr>
        <w:t xml:space="preserve"> = 1872 U.S. LEXIS </w:t>
      </w:r>
      <w:r w:rsidRPr="00B85311">
        <w:rPr>
          <w:lang w:val="en-US"/>
        </w:rPr>
        <w:t>1140, 8</w:t>
      </w:r>
      <w:r>
        <w:rPr>
          <w:lang w:val="en-US"/>
        </w:rPr>
        <w:t>–</w:t>
      </w:r>
      <w:r w:rsidRPr="00B85311">
        <w:rPr>
          <w:lang w:val="en-US"/>
        </w:rPr>
        <w:t>9 (1873)</w:t>
      </w:r>
      <w:r>
        <w:rPr>
          <w:lang w:val="en-US"/>
        </w:rPr>
        <w:t>.</w:t>
      </w:r>
    </w:p>
  </w:footnote>
  <w:footnote w:id="502">
    <w:p w14:paraId="7EEE058D" w14:textId="77777777" w:rsidR="00074551" w:rsidRPr="00B85311" w:rsidRDefault="00074551" w:rsidP="00074551">
      <w:pPr>
        <w:pStyle w:val="Funotentext"/>
        <w:jc w:val="both"/>
        <w:rPr>
          <w:lang w:val="en-US"/>
        </w:rPr>
      </w:pPr>
      <w:r>
        <w:rPr>
          <w:rStyle w:val="Funotenzeichen"/>
          <w:rFonts w:eastAsiaTheme="majorEastAsia"/>
        </w:rPr>
        <w:footnoteRef/>
      </w:r>
      <w:r w:rsidRPr="00B85311">
        <w:rPr>
          <w:lang w:val="en-US"/>
        </w:rPr>
        <w:t xml:space="preserve"> </w:t>
      </w:r>
      <w:r w:rsidRPr="00584023">
        <w:rPr>
          <w:i/>
          <w:lang w:val="en-US"/>
        </w:rPr>
        <w:t>Bradwell v. State</w:t>
      </w:r>
      <w:r w:rsidRPr="00B85311">
        <w:rPr>
          <w:lang w:val="en-US"/>
        </w:rPr>
        <w:t>, 83 U.S. 130, 137</w:t>
      </w:r>
      <w:r w:rsidRPr="003B741A">
        <w:rPr>
          <w:lang w:val="en-US"/>
        </w:rPr>
        <w:t xml:space="preserve"> = 21 L. Ed. </w:t>
      </w:r>
      <w:r w:rsidRPr="00B85311">
        <w:rPr>
          <w:lang w:val="en-US"/>
        </w:rPr>
        <w:t>442, 445</w:t>
      </w:r>
      <w:r w:rsidRPr="006E67FE">
        <w:rPr>
          <w:lang w:val="en-US"/>
        </w:rPr>
        <w:t xml:space="preserve"> = 1872 U.S. LEXIS </w:t>
      </w:r>
      <w:r w:rsidRPr="00B85311">
        <w:rPr>
          <w:lang w:val="en-US"/>
        </w:rPr>
        <w:t>1140, 8</w:t>
      </w:r>
      <w:r>
        <w:rPr>
          <w:lang w:val="en-US"/>
        </w:rPr>
        <w:t>–</w:t>
      </w:r>
      <w:r w:rsidRPr="00B85311">
        <w:rPr>
          <w:lang w:val="en-US"/>
        </w:rPr>
        <w:t>9 (1873)</w:t>
      </w:r>
      <w:r>
        <w:rPr>
          <w:lang w:val="en-US"/>
        </w:rPr>
        <w:t>.</w:t>
      </w:r>
    </w:p>
  </w:footnote>
  <w:footnote w:id="503">
    <w:p w14:paraId="0C57E7B7" w14:textId="77777777" w:rsidR="00074551" w:rsidRPr="00B85311" w:rsidRDefault="00074551" w:rsidP="00074551">
      <w:pPr>
        <w:pStyle w:val="Funotentext"/>
        <w:jc w:val="both"/>
        <w:rPr>
          <w:lang w:val="en-US"/>
        </w:rPr>
      </w:pPr>
      <w:r>
        <w:rPr>
          <w:rStyle w:val="Funotenzeichen"/>
          <w:rFonts w:eastAsiaTheme="majorEastAsia"/>
        </w:rPr>
        <w:footnoteRef/>
      </w:r>
      <w:r w:rsidRPr="00B85311">
        <w:rPr>
          <w:lang w:val="en-US"/>
        </w:rPr>
        <w:t xml:space="preserve"> </w:t>
      </w:r>
      <w:r w:rsidRPr="00584023">
        <w:rPr>
          <w:i/>
          <w:lang w:val="en-US"/>
        </w:rPr>
        <w:t>Bradwell v. State</w:t>
      </w:r>
      <w:r w:rsidRPr="00B85311">
        <w:rPr>
          <w:lang w:val="en-US"/>
        </w:rPr>
        <w:t>, 83 U.S. 130, 137</w:t>
      </w:r>
      <w:r w:rsidRPr="003B741A">
        <w:rPr>
          <w:lang w:val="en-US"/>
        </w:rPr>
        <w:t xml:space="preserve"> = 21 L. Ed. </w:t>
      </w:r>
      <w:r w:rsidRPr="00B85311">
        <w:rPr>
          <w:lang w:val="en-US"/>
        </w:rPr>
        <w:t>442, 445</w:t>
      </w:r>
      <w:r w:rsidRPr="006E67FE">
        <w:rPr>
          <w:lang w:val="en-US"/>
        </w:rPr>
        <w:t xml:space="preserve"> = 1872 U.S. LEXIS </w:t>
      </w:r>
      <w:r w:rsidRPr="00B85311">
        <w:rPr>
          <w:lang w:val="en-US"/>
        </w:rPr>
        <w:t>1140, 8</w:t>
      </w:r>
      <w:r>
        <w:rPr>
          <w:lang w:val="en-US"/>
        </w:rPr>
        <w:t>–</w:t>
      </w:r>
      <w:r w:rsidRPr="00B85311">
        <w:rPr>
          <w:lang w:val="en-US"/>
        </w:rPr>
        <w:t>9 (1873)</w:t>
      </w:r>
      <w:r>
        <w:rPr>
          <w:lang w:val="en-US"/>
        </w:rPr>
        <w:t>.</w:t>
      </w:r>
    </w:p>
  </w:footnote>
  <w:footnote w:id="504">
    <w:p w14:paraId="236103C4" w14:textId="51A550B0" w:rsidR="00074551" w:rsidRPr="002414E6" w:rsidRDefault="00074551" w:rsidP="00074551">
      <w:pPr>
        <w:pStyle w:val="Funotentext"/>
        <w:jc w:val="both"/>
        <w:rPr>
          <w:lang w:val="en-US"/>
        </w:rPr>
      </w:pPr>
      <w:r>
        <w:rPr>
          <w:rStyle w:val="Funotenzeichen"/>
          <w:rFonts w:eastAsiaTheme="majorEastAsia"/>
        </w:rPr>
        <w:footnoteRef/>
      </w:r>
      <w:r w:rsidRPr="002414E6">
        <w:rPr>
          <w:lang w:val="en-US"/>
        </w:rPr>
        <w:t xml:space="preserve"> </w:t>
      </w:r>
      <w:r w:rsidRPr="00B45592">
        <w:rPr>
          <w:i/>
          <w:lang w:val="en-IE"/>
        </w:rPr>
        <w:t>Cummings v. Missouri</w:t>
      </w:r>
      <w:r w:rsidRPr="00B45592">
        <w:rPr>
          <w:lang w:val="en-IE"/>
        </w:rPr>
        <w:t xml:space="preserve">, </w:t>
      </w:r>
      <w:r w:rsidRPr="00A75862">
        <w:rPr>
          <w:lang w:val="en-US"/>
        </w:rPr>
        <w:t>71 U.S. 277, 321</w:t>
      </w:r>
      <w:r>
        <w:rPr>
          <w:lang w:val="en-US"/>
        </w:rPr>
        <w:t xml:space="preserve">; </w:t>
      </w:r>
      <w:r w:rsidR="0001459C" w:rsidRPr="0001459C">
        <w:t>vgl. auch </w:t>
      </w:r>
      <w:r w:rsidR="0001459C" w:rsidRPr="0001459C">
        <w:rPr>
          <w:i/>
          <w:iCs/>
        </w:rPr>
        <w:t xml:space="preserve">Ex </w:t>
      </w:r>
      <w:proofErr w:type="spellStart"/>
      <w:r w:rsidR="0001459C" w:rsidRPr="0001459C">
        <w:rPr>
          <w:i/>
          <w:iCs/>
        </w:rPr>
        <w:t>parte</w:t>
      </w:r>
      <w:proofErr w:type="spellEnd"/>
      <w:r w:rsidR="0001459C" w:rsidRPr="0001459C">
        <w:rPr>
          <w:i/>
          <w:iCs/>
        </w:rPr>
        <w:t xml:space="preserve"> Garland</w:t>
      </w:r>
      <w:r w:rsidR="0001459C" w:rsidRPr="0001459C">
        <w:t>, 71 U.S. 333, 378;</w:t>
      </w:r>
      <w:r w:rsidR="0001459C">
        <w:rPr>
          <w:b/>
          <w:bCs/>
        </w:rPr>
        <w:t xml:space="preserve"> </w:t>
      </w:r>
      <w:r w:rsidRPr="00584023">
        <w:rPr>
          <w:i/>
          <w:lang w:val="en-US"/>
        </w:rPr>
        <w:t>Bradwell v. State</w:t>
      </w:r>
      <w:r w:rsidRPr="002414E6">
        <w:rPr>
          <w:lang w:val="en-US"/>
        </w:rPr>
        <w:t>, 83 U.S. 130</w:t>
      </w:r>
      <w:r w:rsidRPr="003B741A">
        <w:rPr>
          <w:lang w:val="en-US"/>
        </w:rPr>
        <w:t xml:space="preserve"> = 21 L. Ed. </w:t>
      </w:r>
      <w:r w:rsidRPr="002414E6">
        <w:rPr>
          <w:lang w:val="en-US"/>
        </w:rPr>
        <w:t>442</w:t>
      </w:r>
      <w:r w:rsidRPr="006E67FE">
        <w:rPr>
          <w:lang w:val="en-US"/>
        </w:rPr>
        <w:t xml:space="preserve"> = 1872 U.S. LEXIS </w:t>
      </w:r>
      <w:r w:rsidRPr="002414E6">
        <w:rPr>
          <w:lang w:val="en-US"/>
        </w:rPr>
        <w:t>1140 (1873)</w:t>
      </w:r>
      <w:r>
        <w:rPr>
          <w:lang w:val="en-US"/>
        </w:rPr>
        <w:t>.</w:t>
      </w:r>
    </w:p>
  </w:footnote>
  <w:footnote w:id="505">
    <w:p w14:paraId="5BDA3717" w14:textId="77777777" w:rsidR="00074551" w:rsidRPr="00B45592" w:rsidRDefault="00074551" w:rsidP="00074551">
      <w:pPr>
        <w:pStyle w:val="Funotentext"/>
        <w:jc w:val="both"/>
        <w:rPr>
          <w:b/>
          <w:bCs/>
          <w:i/>
          <w:lang w:val="en-IE"/>
        </w:rPr>
      </w:pPr>
      <w:r>
        <w:rPr>
          <w:rStyle w:val="Funotenzeichen"/>
          <w:rFonts w:eastAsiaTheme="majorEastAsia"/>
        </w:rPr>
        <w:footnoteRef/>
      </w:r>
      <w:r w:rsidRPr="002414E6">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Garland</w:t>
      </w:r>
      <w:r>
        <w:rPr>
          <w:lang w:val="en-US"/>
        </w:rPr>
        <w:t>,</w:t>
      </w:r>
      <w:r>
        <w:rPr>
          <w:i/>
          <w:lang w:val="en-US"/>
        </w:rPr>
        <w:t xml:space="preserve"> </w:t>
      </w:r>
      <w:r w:rsidRPr="00B45592">
        <w:rPr>
          <w:iCs/>
          <w:lang w:val="en-IE"/>
        </w:rPr>
        <w:t>71 U.S. 333</w:t>
      </w:r>
      <w:r>
        <w:rPr>
          <w:lang w:val="en-US"/>
        </w:rPr>
        <w:t xml:space="preserve">; </w:t>
      </w:r>
      <w:r w:rsidRPr="00584023">
        <w:rPr>
          <w:i/>
          <w:lang w:val="en-US"/>
        </w:rPr>
        <w:t>Bradwell v. State</w:t>
      </w:r>
      <w:r w:rsidRPr="002414E6">
        <w:rPr>
          <w:lang w:val="en-US"/>
        </w:rPr>
        <w:t>, 83 U.S. 130, 137</w:t>
      </w:r>
      <w:r w:rsidRPr="003B741A">
        <w:rPr>
          <w:lang w:val="en-US"/>
        </w:rPr>
        <w:t xml:space="preserve"> = 21 L. Ed. </w:t>
      </w:r>
      <w:r w:rsidRPr="002414E6">
        <w:rPr>
          <w:lang w:val="en-US"/>
        </w:rPr>
        <w:t>442, 445</w:t>
      </w:r>
      <w:r w:rsidRPr="006E67FE">
        <w:rPr>
          <w:lang w:val="en-US"/>
        </w:rPr>
        <w:t xml:space="preserve"> = 1872 U.S. LEXIS </w:t>
      </w:r>
      <w:r w:rsidRPr="002414E6">
        <w:rPr>
          <w:lang w:val="en-US"/>
        </w:rPr>
        <w:t>1140, 9 (1873)</w:t>
      </w:r>
      <w:r>
        <w:rPr>
          <w:lang w:val="en-US"/>
        </w:rPr>
        <w:t>.</w:t>
      </w:r>
    </w:p>
  </w:footnote>
  <w:footnote w:id="506">
    <w:p w14:paraId="5D8052BB" w14:textId="77777777" w:rsidR="00074551" w:rsidRPr="002414E6" w:rsidRDefault="00074551" w:rsidP="00074551">
      <w:pPr>
        <w:pStyle w:val="Funotentext"/>
        <w:jc w:val="both"/>
        <w:rPr>
          <w:lang w:val="en-US"/>
        </w:rPr>
      </w:pPr>
      <w:r>
        <w:rPr>
          <w:rStyle w:val="Funotenzeichen"/>
          <w:rFonts w:eastAsiaTheme="majorEastAsia"/>
        </w:rPr>
        <w:footnoteRef/>
      </w:r>
      <w:r w:rsidRPr="002414E6">
        <w:rPr>
          <w:lang w:val="en-US"/>
        </w:rPr>
        <w:t xml:space="preserve"> </w:t>
      </w:r>
      <w:r w:rsidRPr="003D7603">
        <w:rPr>
          <w:i/>
          <w:lang w:val="en-IE"/>
        </w:rPr>
        <w:t>Cummings v. Missouri</w:t>
      </w:r>
      <w:r w:rsidRPr="003D7603">
        <w:rPr>
          <w:lang w:val="en-IE"/>
        </w:rPr>
        <w:t xml:space="preserve">, </w:t>
      </w:r>
      <w:r w:rsidRPr="00A75862">
        <w:rPr>
          <w:lang w:val="en-US"/>
        </w:rPr>
        <w:t>71 U.S. 277, 321</w:t>
      </w:r>
      <w:r>
        <w:rPr>
          <w:lang w:val="en-US"/>
        </w:rPr>
        <w:t xml:space="preserve">; </w:t>
      </w:r>
      <w:r w:rsidRPr="00584023">
        <w:rPr>
          <w:i/>
          <w:lang w:val="en-US"/>
        </w:rPr>
        <w:t>Bradwell v. State</w:t>
      </w:r>
      <w:r w:rsidRPr="002414E6">
        <w:rPr>
          <w:lang w:val="en-US"/>
        </w:rPr>
        <w:t>, 83 U.S. 130</w:t>
      </w:r>
      <w:r w:rsidRPr="003B741A">
        <w:rPr>
          <w:lang w:val="en-US"/>
        </w:rPr>
        <w:t xml:space="preserve"> = 21 L. Ed. </w:t>
      </w:r>
      <w:r w:rsidRPr="002414E6">
        <w:rPr>
          <w:lang w:val="en-US"/>
        </w:rPr>
        <w:t>442</w:t>
      </w:r>
      <w:r w:rsidRPr="006E67FE">
        <w:rPr>
          <w:lang w:val="en-US"/>
        </w:rPr>
        <w:t xml:space="preserve"> = 1872 U.S. LEXIS </w:t>
      </w:r>
      <w:r w:rsidRPr="002414E6">
        <w:rPr>
          <w:lang w:val="en-US"/>
        </w:rPr>
        <w:t>1140 (1873)</w:t>
      </w:r>
      <w:r>
        <w:rPr>
          <w:lang w:val="en-US"/>
        </w:rPr>
        <w:t>.</w:t>
      </w:r>
    </w:p>
  </w:footnote>
  <w:footnote w:id="507">
    <w:p w14:paraId="1EF2C6EC" w14:textId="77777777" w:rsidR="00074551" w:rsidRPr="008F4674" w:rsidRDefault="00074551" w:rsidP="00074551">
      <w:pPr>
        <w:pStyle w:val="Funotentext"/>
        <w:rPr>
          <w:lang w:val="en-US"/>
        </w:rPr>
      </w:pPr>
      <w:r>
        <w:rPr>
          <w:rStyle w:val="Funotenzeichen"/>
        </w:rPr>
        <w:footnoteRef/>
      </w:r>
      <w:r w:rsidRPr="008F4674">
        <w:rPr>
          <w:lang w:val="en-US"/>
        </w:rPr>
        <w:t xml:space="preserve"> </w:t>
      </w:r>
      <w:r w:rsidRPr="00546F93">
        <w:rPr>
          <w:i/>
          <w:lang w:val="en-US"/>
        </w:rPr>
        <w:t>Paul v. Virginia</w:t>
      </w:r>
      <w:r>
        <w:rPr>
          <w:lang w:val="en-US"/>
        </w:rPr>
        <w:t xml:space="preserve">, 8 Wall. </w:t>
      </w:r>
      <w:r w:rsidRPr="008F4674">
        <w:rPr>
          <w:lang w:val="en-US"/>
        </w:rPr>
        <w:t>180</w:t>
      </w:r>
      <w:r>
        <w:rPr>
          <w:lang w:val="en-US"/>
        </w:rPr>
        <w:t xml:space="preserve">; </w:t>
      </w:r>
      <w:r w:rsidRPr="00546F93">
        <w:rPr>
          <w:i/>
          <w:lang w:val="en-US"/>
        </w:rPr>
        <w:t>Chambers v. Baltimore &amp; O. R. Co.</w:t>
      </w:r>
      <w:r w:rsidRPr="008F4674">
        <w:rPr>
          <w:lang w:val="en-US"/>
        </w:rPr>
        <w:t>, 207 U.S. 142, 146</w:t>
      </w:r>
      <w:r>
        <w:rPr>
          <w:lang w:val="en-US"/>
        </w:rPr>
        <w:t xml:space="preserve"> = 28 S. Ct. </w:t>
      </w:r>
      <w:r w:rsidRPr="008F4674">
        <w:rPr>
          <w:lang w:val="en-US"/>
        </w:rPr>
        <w:t>34, 34</w:t>
      </w:r>
      <w:r>
        <w:rPr>
          <w:lang w:val="en-US"/>
        </w:rPr>
        <w:t xml:space="preserve"> = 52 L. Ed. </w:t>
      </w:r>
      <w:r w:rsidRPr="008F4674">
        <w:rPr>
          <w:lang w:val="en-US"/>
        </w:rPr>
        <w:t>143, 145</w:t>
      </w:r>
      <w:r w:rsidRPr="00EC5BEB">
        <w:rPr>
          <w:lang w:val="en-US"/>
        </w:rPr>
        <w:t xml:space="preserve"> = 1907 U.S. LEXIS </w:t>
      </w:r>
      <w:r w:rsidRPr="008F4674">
        <w:rPr>
          <w:lang w:val="en-US"/>
        </w:rPr>
        <w:t>1210, 6</w:t>
      </w:r>
      <w:r w:rsidRPr="00EC5BEB">
        <w:rPr>
          <w:lang w:val="en-US"/>
        </w:rPr>
        <w:t xml:space="preserve"> = 6 Ohio L. Rep. </w:t>
      </w:r>
      <w:r w:rsidRPr="008F4674">
        <w:rPr>
          <w:lang w:val="en-US"/>
        </w:rPr>
        <w:t>498 (1907)</w:t>
      </w:r>
      <w:r>
        <w:rPr>
          <w:lang w:val="en-US"/>
        </w:rPr>
        <w:t xml:space="preserve">; </w:t>
      </w:r>
      <w:r w:rsidRPr="00546F93">
        <w:rPr>
          <w:i/>
          <w:lang w:val="en-US"/>
        </w:rPr>
        <w:t>Paul v. Virginia</w:t>
      </w:r>
      <w:r>
        <w:rPr>
          <w:lang w:val="en-US"/>
        </w:rPr>
        <w:t xml:space="preserve">, 8 Wall. </w:t>
      </w:r>
      <w:r w:rsidRPr="00D65F9B">
        <w:rPr>
          <w:lang w:val="en-US"/>
        </w:rPr>
        <w:t xml:space="preserve">180; </w:t>
      </w:r>
      <w:r w:rsidRPr="00546F93">
        <w:rPr>
          <w:i/>
          <w:lang w:val="en-US"/>
        </w:rPr>
        <w:t>Chambers v. Baltimore &amp; O. R. Co.</w:t>
      </w:r>
      <w:r w:rsidRPr="00D65F9B">
        <w:rPr>
          <w:lang w:val="en-US"/>
        </w:rPr>
        <w:t>, 207 U.S. 142, 146</w:t>
      </w:r>
      <w:r>
        <w:rPr>
          <w:lang w:val="en-US"/>
        </w:rPr>
        <w:t xml:space="preserve"> = 28 S. Ct. </w:t>
      </w:r>
      <w:r w:rsidRPr="00D65F9B">
        <w:rPr>
          <w:lang w:val="en-US"/>
        </w:rPr>
        <w:t>34, 34</w:t>
      </w:r>
      <w:r>
        <w:rPr>
          <w:lang w:val="en-US"/>
        </w:rPr>
        <w:t xml:space="preserve"> = 52 L. Ed. </w:t>
      </w:r>
      <w:r w:rsidRPr="00D65F9B">
        <w:rPr>
          <w:lang w:val="en-US"/>
        </w:rPr>
        <w:t>143, 145</w:t>
      </w:r>
      <w:r w:rsidRPr="00EC5BEB">
        <w:rPr>
          <w:lang w:val="en-US"/>
        </w:rPr>
        <w:t xml:space="preserve"> = 1907 U.S. LEXIS </w:t>
      </w:r>
      <w:r w:rsidRPr="00D65F9B">
        <w:rPr>
          <w:lang w:val="en-US"/>
        </w:rPr>
        <w:t>1210, 6</w:t>
      </w:r>
      <w:r w:rsidRPr="00EC5BEB">
        <w:rPr>
          <w:lang w:val="en-US"/>
        </w:rPr>
        <w:t xml:space="preserve"> = 6 Ohio L. Rep. </w:t>
      </w:r>
      <w:r w:rsidRPr="00D65F9B">
        <w:rPr>
          <w:lang w:val="en-US"/>
        </w:rPr>
        <w:t>498 (1907)</w:t>
      </w:r>
      <w:r>
        <w:rPr>
          <w:lang w:val="en-US"/>
        </w:rPr>
        <w:t>.</w:t>
      </w:r>
    </w:p>
  </w:footnote>
  <w:footnote w:id="508">
    <w:p w14:paraId="62C6104B" w14:textId="77777777" w:rsidR="00074551" w:rsidRPr="00C222FD" w:rsidRDefault="00074551" w:rsidP="00074551">
      <w:pPr>
        <w:pStyle w:val="Funotentext"/>
        <w:rPr>
          <w:lang w:val="en-US"/>
        </w:rPr>
      </w:pPr>
      <w:r>
        <w:rPr>
          <w:rStyle w:val="Funotenzeichen"/>
          <w:rFonts w:eastAsiaTheme="majorEastAsia"/>
        </w:rPr>
        <w:footnoteRef/>
      </w:r>
      <w:r w:rsidRPr="00C222FD">
        <w:rPr>
          <w:lang w:val="en-US"/>
        </w:rPr>
        <w:t xml:space="preserve"> </w:t>
      </w:r>
      <w:r w:rsidRPr="00546F93">
        <w:rPr>
          <w:i/>
          <w:lang w:val="en-US"/>
        </w:rPr>
        <w:t>Paul v. Virginia</w:t>
      </w:r>
      <w:r>
        <w:rPr>
          <w:lang w:val="en-US"/>
        </w:rPr>
        <w:t xml:space="preserve">, 8 Wall. </w:t>
      </w:r>
      <w:r w:rsidRPr="00C222FD">
        <w:rPr>
          <w:lang w:val="en-US"/>
        </w:rPr>
        <w:t>168, 180</w:t>
      </w:r>
      <w:r>
        <w:rPr>
          <w:lang w:val="en-US"/>
        </w:rPr>
        <w:t xml:space="preserve">; </w:t>
      </w:r>
      <w:r w:rsidRPr="00546F93">
        <w:rPr>
          <w:i/>
          <w:lang w:val="en-US"/>
        </w:rPr>
        <w:t>Chambers v. Baltimore &amp; O. R. Co.</w:t>
      </w:r>
      <w:r w:rsidRPr="00C222FD">
        <w:rPr>
          <w:lang w:val="en-US"/>
        </w:rPr>
        <w:t>, 207 U.S. 142, 155</w:t>
      </w:r>
      <w:r>
        <w:rPr>
          <w:lang w:val="en-US"/>
        </w:rPr>
        <w:t xml:space="preserve"> = 28 S. Ct. </w:t>
      </w:r>
      <w:r w:rsidRPr="00C222FD">
        <w:rPr>
          <w:lang w:val="en-US"/>
        </w:rPr>
        <w:t>34, 38</w:t>
      </w:r>
      <w:r>
        <w:rPr>
          <w:lang w:val="en-US"/>
        </w:rPr>
        <w:t xml:space="preserve"> = 52 L. Ed. </w:t>
      </w:r>
      <w:r w:rsidRPr="00C222FD">
        <w:rPr>
          <w:lang w:val="en-US"/>
        </w:rPr>
        <w:t>143, 149</w:t>
      </w:r>
      <w:r w:rsidRPr="00EC5BEB">
        <w:rPr>
          <w:lang w:val="en-US"/>
        </w:rPr>
        <w:t xml:space="preserve"> = 1907 U.S. LEXIS </w:t>
      </w:r>
      <w:r w:rsidRPr="00C222FD">
        <w:rPr>
          <w:lang w:val="en-US"/>
        </w:rPr>
        <w:t>1210, 24</w:t>
      </w:r>
      <w:r w:rsidRPr="00EC5BEB">
        <w:rPr>
          <w:lang w:val="en-US"/>
        </w:rPr>
        <w:t xml:space="preserve"> = 6 Ohio L. Rep. </w:t>
      </w:r>
      <w:r w:rsidRPr="00C222FD">
        <w:rPr>
          <w:lang w:val="en-US"/>
        </w:rPr>
        <w:t>498 (1907)</w:t>
      </w:r>
      <w:r>
        <w:rPr>
          <w:lang w:val="en-US"/>
        </w:rPr>
        <w:t>.</w:t>
      </w:r>
    </w:p>
  </w:footnote>
  <w:footnote w:id="509">
    <w:p w14:paraId="636BEECD" w14:textId="77777777" w:rsidR="00074551" w:rsidRPr="008F4674" w:rsidRDefault="00074551" w:rsidP="00074551">
      <w:pPr>
        <w:pStyle w:val="Funotentext"/>
        <w:rPr>
          <w:lang w:val="en-US"/>
        </w:rPr>
      </w:pPr>
      <w:r>
        <w:rPr>
          <w:rStyle w:val="Funotenzeichen"/>
        </w:rPr>
        <w:footnoteRef/>
      </w:r>
      <w:r w:rsidRPr="008F4674">
        <w:rPr>
          <w:lang w:val="en-US"/>
        </w:rPr>
        <w:t xml:space="preserve"> </w:t>
      </w:r>
      <w:r w:rsidRPr="00B45592">
        <w:rPr>
          <w:i/>
          <w:iCs/>
          <w:lang w:val="en-US"/>
        </w:rPr>
        <w:t>Slaughter-House Cases</w:t>
      </w:r>
      <w:r w:rsidRPr="008F4674">
        <w:rPr>
          <w:lang w:val="en-US"/>
        </w:rPr>
        <w:t xml:space="preserve">, 16 Wall. 36; </w:t>
      </w:r>
      <w:r w:rsidRPr="00546F93">
        <w:rPr>
          <w:i/>
          <w:lang w:val="en-US"/>
        </w:rPr>
        <w:t>Chambers v. Baltimore &amp; O. R. Co.</w:t>
      </w:r>
      <w:r w:rsidRPr="008F4674">
        <w:rPr>
          <w:lang w:val="en-US"/>
        </w:rPr>
        <w:t>, 207 U.S. 142, 146</w:t>
      </w:r>
      <w:r>
        <w:rPr>
          <w:lang w:val="en-US"/>
        </w:rPr>
        <w:t xml:space="preserve"> = 28 S. Ct. </w:t>
      </w:r>
      <w:r w:rsidRPr="008F4674">
        <w:rPr>
          <w:lang w:val="en-US"/>
        </w:rPr>
        <w:t>34, 34</w:t>
      </w:r>
      <w:r>
        <w:rPr>
          <w:lang w:val="en-US"/>
        </w:rPr>
        <w:t xml:space="preserve"> = 52 L. Ed. </w:t>
      </w:r>
      <w:r w:rsidRPr="008F4674">
        <w:rPr>
          <w:lang w:val="en-US"/>
        </w:rPr>
        <w:t>143, 145</w:t>
      </w:r>
      <w:r w:rsidRPr="00EC5BEB">
        <w:rPr>
          <w:lang w:val="en-US"/>
        </w:rPr>
        <w:t xml:space="preserve"> = 1907 U.S. LEXIS </w:t>
      </w:r>
      <w:r w:rsidRPr="008F4674">
        <w:rPr>
          <w:lang w:val="en-US"/>
        </w:rPr>
        <w:t>1210, 6</w:t>
      </w:r>
      <w:r w:rsidRPr="00EC5BEB">
        <w:rPr>
          <w:lang w:val="en-US"/>
        </w:rPr>
        <w:t xml:space="preserve"> = 6 Ohio L. Rep. </w:t>
      </w:r>
      <w:r w:rsidRPr="008F4674">
        <w:rPr>
          <w:lang w:val="en-US"/>
        </w:rPr>
        <w:t>498 (1907)</w:t>
      </w:r>
      <w:r>
        <w:rPr>
          <w:lang w:val="en-US"/>
        </w:rPr>
        <w:t>.</w:t>
      </w:r>
    </w:p>
  </w:footnote>
  <w:footnote w:id="510">
    <w:p w14:paraId="3EB51B58" w14:textId="77777777" w:rsidR="00074551" w:rsidRPr="00C41001" w:rsidRDefault="00074551" w:rsidP="00074551">
      <w:pPr>
        <w:pStyle w:val="Funotentext"/>
        <w:rPr>
          <w:lang w:val="en-US"/>
        </w:rPr>
      </w:pPr>
      <w:r>
        <w:rPr>
          <w:rStyle w:val="Funotenzeichen"/>
          <w:rFonts w:eastAsiaTheme="majorEastAsia"/>
        </w:rPr>
        <w:footnoteRef/>
      </w:r>
      <w:r w:rsidRPr="00C41001">
        <w:rPr>
          <w:lang w:val="en-US"/>
        </w:rPr>
        <w:t xml:space="preserve"> </w:t>
      </w:r>
      <w:r w:rsidRPr="008F73D7">
        <w:rPr>
          <w:i/>
          <w:lang w:val="en-US"/>
        </w:rPr>
        <w:t>Slaughter-House Cases</w:t>
      </w:r>
      <w:r w:rsidRPr="00C41001">
        <w:rPr>
          <w:lang w:val="en-US"/>
        </w:rPr>
        <w:t>, 16 Wall. 36, 77</w:t>
      </w:r>
      <w:r>
        <w:rPr>
          <w:lang w:val="en-US"/>
        </w:rPr>
        <w:t xml:space="preserve">; </w:t>
      </w:r>
      <w:r w:rsidRPr="00546F93">
        <w:rPr>
          <w:i/>
          <w:lang w:val="en-US"/>
        </w:rPr>
        <w:t>Chambers v. Baltimore &amp; O. R. Co.</w:t>
      </w:r>
      <w:r w:rsidRPr="00C41001">
        <w:rPr>
          <w:lang w:val="en-US"/>
        </w:rPr>
        <w:t>, 207 U.S. 142, 156</w:t>
      </w:r>
      <w:r>
        <w:rPr>
          <w:lang w:val="en-US"/>
        </w:rPr>
        <w:t xml:space="preserve"> = 28 S. Ct. </w:t>
      </w:r>
      <w:r w:rsidRPr="00C41001">
        <w:rPr>
          <w:lang w:val="en-US"/>
        </w:rPr>
        <w:t>34, 38</w:t>
      </w:r>
      <w:r>
        <w:rPr>
          <w:lang w:val="en-US"/>
        </w:rPr>
        <w:t xml:space="preserve"> = 52 L. Ed. </w:t>
      </w:r>
      <w:r w:rsidRPr="00C41001">
        <w:rPr>
          <w:lang w:val="en-US"/>
        </w:rPr>
        <w:t>143, 149</w:t>
      </w:r>
      <w:r w:rsidRPr="00EC5BEB">
        <w:rPr>
          <w:lang w:val="en-US"/>
        </w:rPr>
        <w:t xml:space="preserve"> = 1907 U.S. LEXIS </w:t>
      </w:r>
      <w:r w:rsidRPr="00C41001">
        <w:rPr>
          <w:lang w:val="en-US"/>
        </w:rPr>
        <w:t>1210, 25</w:t>
      </w:r>
      <w:r w:rsidRPr="00EC5BEB">
        <w:rPr>
          <w:lang w:val="en-US"/>
        </w:rPr>
        <w:t xml:space="preserve"> = 6 Ohio L. Rep. </w:t>
      </w:r>
      <w:r w:rsidRPr="00C41001">
        <w:rPr>
          <w:lang w:val="en-US"/>
        </w:rPr>
        <w:t>498 (1907)</w:t>
      </w:r>
      <w:r>
        <w:rPr>
          <w:lang w:val="en-US"/>
        </w:rPr>
        <w:t>.</w:t>
      </w:r>
    </w:p>
  </w:footnote>
  <w:footnote w:id="511">
    <w:p w14:paraId="44E6D5E3" w14:textId="77777777" w:rsidR="00074551" w:rsidRPr="00C41001" w:rsidRDefault="00074551" w:rsidP="00074551">
      <w:pPr>
        <w:pStyle w:val="Funotentext"/>
        <w:rPr>
          <w:lang w:val="en-US"/>
        </w:rPr>
      </w:pPr>
      <w:r>
        <w:rPr>
          <w:rStyle w:val="Funotenzeichen"/>
          <w:rFonts w:eastAsiaTheme="majorEastAsia"/>
        </w:rPr>
        <w:footnoteRef/>
      </w:r>
      <w:r w:rsidRPr="00C41001">
        <w:rPr>
          <w:lang w:val="en-US"/>
        </w:rPr>
        <w:t xml:space="preserve"> </w:t>
      </w:r>
      <w:r w:rsidRPr="00546F93">
        <w:rPr>
          <w:i/>
          <w:lang w:val="en-US"/>
        </w:rPr>
        <w:t>Blake v. McClung</w:t>
      </w:r>
      <w:r w:rsidRPr="00C41001">
        <w:rPr>
          <w:lang w:val="en-US"/>
        </w:rPr>
        <w:t>, 172 U.S. 239, 256</w:t>
      </w:r>
      <w:r>
        <w:rPr>
          <w:lang w:val="en-US"/>
        </w:rPr>
        <w:t xml:space="preserve">; </w:t>
      </w:r>
      <w:r w:rsidRPr="00546F93">
        <w:rPr>
          <w:i/>
          <w:lang w:val="en-US"/>
        </w:rPr>
        <w:t>Chambers v. Baltimore &amp; O. R. Co.</w:t>
      </w:r>
      <w:r w:rsidRPr="00C41001">
        <w:rPr>
          <w:lang w:val="en-US"/>
        </w:rPr>
        <w:t>, 207 U.S. 142, 156</w:t>
      </w:r>
      <w:r>
        <w:rPr>
          <w:lang w:val="en-US"/>
        </w:rPr>
        <w:t xml:space="preserve"> = 28 S. Ct. </w:t>
      </w:r>
      <w:r w:rsidRPr="00C41001">
        <w:rPr>
          <w:lang w:val="en-US"/>
        </w:rPr>
        <w:t>34, 38</w:t>
      </w:r>
      <w:r>
        <w:rPr>
          <w:lang w:val="en-US"/>
        </w:rPr>
        <w:t xml:space="preserve"> = 52 L. Ed. </w:t>
      </w:r>
      <w:r w:rsidRPr="00C41001">
        <w:rPr>
          <w:lang w:val="en-US"/>
        </w:rPr>
        <w:t>143, 149</w:t>
      </w:r>
      <w:r w:rsidRPr="00EC5BEB">
        <w:rPr>
          <w:lang w:val="en-US"/>
        </w:rPr>
        <w:t xml:space="preserve"> = 1907 U.S. LEXIS </w:t>
      </w:r>
      <w:r w:rsidRPr="00C41001">
        <w:rPr>
          <w:lang w:val="en-US"/>
        </w:rPr>
        <w:t>1210, 26</w:t>
      </w:r>
      <w:r w:rsidRPr="00EC5BEB">
        <w:rPr>
          <w:lang w:val="en-US"/>
        </w:rPr>
        <w:t xml:space="preserve"> = 6 Ohio L. Rep. </w:t>
      </w:r>
      <w:r w:rsidRPr="00C41001">
        <w:rPr>
          <w:lang w:val="en-US"/>
        </w:rPr>
        <w:t>498 (1907)</w:t>
      </w:r>
      <w:r>
        <w:rPr>
          <w:lang w:val="en-US"/>
        </w:rPr>
        <w:t>.</w:t>
      </w:r>
    </w:p>
  </w:footnote>
  <w:footnote w:id="512">
    <w:p w14:paraId="66A833EA" w14:textId="77777777" w:rsidR="00074551" w:rsidRPr="00C41001" w:rsidRDefault="00074551" w:rsidP="00074551">
      <w:pPr>
        <w:pStyle w:val="Funotentext"/>
        <w:rPr>
          <w:lang w:val="en-US"/>
        </w:rPr>
      </w:pPr>
      <w:r>
        <w:rPr>
          <w:rStyle w:val="Funotenzeichen"/>
          <w:rFonts w:eastAsiaTheme="majorEastAsia"/>
        </w:rPr>
        <w:footnoteRef/>
      </w:r>
      <w:r w:rsidRPr="00C41001">
        <w:rPr>
          <w:lang w:val="en-US"/>
        </w:rPr>
        <w:t xml:space="preserve"> </w:t>
      </w:r>
      <w:r w:rsidRPr="00546F93">
        <w:rPr>
          <w:i/>
          <w:lang w:val="en-US"/>
        </w:rPr>
        <w:t>Blake v. McClung</w:t>
      </w:r>
      <w:r w:rsidRPr="00C41001">
        <w:rPr>
          <w:lang w:val="en-US"/>
        </w:rPr>
        <w:t>, 172 U.S. 239, 256</w:t>
      </w:r>
      <w:r>
        <w:rPr>
          <w:lang w:val="en-US"/>
        </w:rPr>
        <w:t xml:space="preserve">; </w:t>
      </w:r>
      <w:r w:rsidRPr="00546F93">
        <w:rPr>
          <w:i/>
          <w:lang w:val="en-US"/>
        </w:rPr>
        <w:t>Chambers v. Baltimore &amp; O. R. Co.</w:t>
      </w:r>
      <w:r w:rsidRPr="00C41001">
        <w:rPr>
          <w:lang w:val="en-US"/>
        </w:rPr>
        <w:t>, 207 U.S. 142, 156</w:t>
      </w:r>
      <w:r>
        <w:rPr>
          <w:lang w:val="en-US"/>
        </w:rPr>
        <w:t xml:space="preserve"> = 28 S. Ct. </w:t>
      </w:r>
      <w:r w:rsidRPr="00C41001">
        <w:rPr>
          <w:lang w:val="en-US"/>
        </w:rPr>
        <w:t>34, 38</w:t>
      </w:r>
      <w:r>
        <w:rPr>
          <w:lang w:val="en-US"/>
        </w:rPr>
        <w:t xml:space="preserve"> = 52 L. Ed. </w:t>
      </w:r>
      <w:r w:rsidRPr="00C41001">
        <w:rPr>
          <w:lang w:val="en-US"/>
        </w:rPr>
        <w:t>143, 149</w:t>
      </w:r>
      <w:r w:rsidRPr="00EC5BEB">
        <w:rPr>
          <w:lang w:val="en-US"/>
        </w:rPr>
        <w:t xml:space="preserve"> = 1907 U.S. LEXIS </w:t>
      </w:r>
      <w:r w:rsidRPr="00C41001">
        <w:rPr>
          <w:lang w:val="en-US"/>
        </w:rPr>
        <w:t>1210, 26</w:t>
      </w:r>
      <w:r w:rsidRPr="00EC5BEB">
        <w:rPr>
          <w:lang w:val="en-US"/>
        </w:rPr>
        <w:t xml:space="preserve"> = 6 Ohio L. Rep. </w:t>
      </w:r>
      <w:r w:rsidRPr="00C41001">
        <w:rPr>
          <w:lang w:val="en-US"/>
        </w:rPr>
        <w:t>498 (1907)</w:t>
      </w:r>
      <w:r>
        <w:rPr>
          <w:lang w:val="en-US"/>
        </w:rPr>
        <w:t>.</w:t>
      </w:r>
    </w:p>
  </w:footnote>
  <w:footnote w:id="513">
    <w:p w14:paraId="5DDC78AA" w14:textId="77777777" w:rsidR="00074551" w:rsidRPr="00C41001" w:rsidRDefault="00074551" w:rsidP="00074551">
      <w:pPr>
        <w:pStyle w:val="Funotentext"/>
        <w:rPr>
          <w:lang w:val="en-US"/>
        </w:rPr>
      </w:pPr>
      <w:r>
        <w:rPr>
          <w:rStyle w:val="Funotenzeichen"/>
          <w:rFonts w:eastAsiaTheme="majorEastAsia"/>
        </w:rPr>
        <w:footnoteRef/>
      </w:r>
      <w:r w:rsidRPr="00C41001">
        <w:rPr>
          <w:lang w:val="en-US"/>
        </w:rPr>
        <w:t xml:space="preserve"> </w:t>
      </w:r>
      <w:r w:rsidRPr="00546F93">
        <w:rPr>
          <w:i/>
          <w:lang w:val="en-US"/>
        </w:rPr>
        <w:t>Blake v. McClung</w:t>
      </w:r>
      <w:r w:rsidRPr="00C41001">
        <w:rPr>
          <w:lang w:val="en-US"/>
        </w:rPr>
        <w:t>, 172 U.S. 239, 256</w:t>
      </w:r>
      <w:r>
        <w:rPr>
          <w:lang w:val="en-US"/>
        </w:rPr>
        <w:t xml:space="preserve">; </w:t>
      </w:r>
      <w:r w:rsidRPr="00546F93">
        <w:rPr>
          <w:i/>
          <w:lang w:val="en-US"/>
        </w:rPr>
        <w:t>Chambers v. Baltimore &amp; O. R. Co.</w:t>
      </w:r>
      <w:r w:rsidRPr="00C41001">
        <w:rPr>
          <w:lang w:val="en-US"/>
        </w:rPr>
        <w:t>, 207 U.S. 142, 156</w:t>
      </w:r>
      <w:r>
        <w:rPr>
          <w:lang w:val="en-US"/>
        </w:rPr>
        <w:t xml:space="preserve"> = 28 S. Ct. </w:t>
      </w:r>
      <w:r w:rsidRPr="00C41001">
        <w:rPr>
          <w:lang w:val="en-US"/>
        </w:rPr>
        <w:t>34, 38</w:t>
      </w:r>
      <w:r>
        <w:rPr>
          <w:lang w:val="en-US"/>
        </w:rPr>
        <w:t xml:space="preserve"> = 52 L. Ed. </w:t>
      </w:r>
      <w:r w:rsidRPr="00C41001">
        <w:rPr>
          <w:lang w:val="en-US"/>
        </w:rPr>
        <w:t>143, 149</w:t>
      </w:r>
      <w:r w:rsidRPr="00EC5BEB">
        <w:rPr>
          <w:lang w:val="en-US"/>
        </w:rPr>
        <w:t xml:space="preserve"> = 1907 U.S. LEXIS </w:t>
      </w:r>
      <w:r w:rsidRPr="00C41001">
        <w:rPr>
          <w:lang w:val="en-US"/>
        </w:rPr>
        <w:t>1210, 26</w:t>
      </w:r>
      <w:r w:rsidRPr="00EC5BEB">
        <w:rPr>
          <w:lang w:val="en-US"/>
        </w:rPr>
        <w:t xml:space="preserve"> = 6 Ohio L. Rep. </w:t>
      </w:r>
      <w:r w:rsidRPr="00C41001">
        <w:rPr>
          <w:lang w:val="en-US"/>
        </w:rPr>
        <w:t>498 (1907)</w:t>
      </w:r>
      <w:r>
        <w:rPr>
          <w:lang w:val="en-US"/>
        </w:rPr>
        <w:t>.</w:t>
      </w:r>
    </w:p>
  </w:footnote>
  <w:footnote w:id="514">
    <w:p w14:paraId="6E0DF7BC" w14:textId="77777777" w:rsidR="00074551" w:rsidRPr="0059183A" w:rsidRDefault="00074551" w:rsidP="00074551">
      <w:pPr>
        <w:pStyle w:val="Funotentext"/>
        <w:jc w:val="both"/>
        <w:rPr>
          <w:lang w:val="en-US"/>
        </w:rPr>
      </w:pPr>
      <w:r>
        <w:rPr>
          <w:rStyle w:val="Funotenzeichen"/>
          <w:rFonts w:eastAsiaTheme="majorEastAsia"/>
        </w:rPr>
        <w:footnoteRef/>
      </w:r>
      <w:r w:rsidRPr="0059183A">
        <w:rPr>
          <w:lang w:val="en-US"/>
        </w:rPr>
        <w:t xml:space="preserve"> </w:t>
      </w:r>
      <w:r w:rsidRPr="00546F93">
        <w:rPr>
          <w:i/>
          <w:lang w:val="en-US"/>
        </w:rPr>
        <w:t>Paul v. Virginia</w:t>
      </w:r>
      <w:r>
        <w:rPr>
          <w:lang w:val="en-US"/>
        </w:rPr>
        <w:t xml:space="preserve">, 8 Wall. </w:t>
      </w:r>
      <w:r w:rsidRPr="0059183A">
        <w:rPr>
          <w:lang w:val="en-US"/>
        </w:rPr>
        <w:t>168, 180</w:t>
      </w:r>
      <w:r>
        <w:rPr>
          <w:lang w:val="en-US"/>
        </w:rPr>
        <w:t xml:space="preserve">; </w:t>
      </w:r>
      <w:r w:rsidRPr="00584023">
        <w:rPr>
          <w:i/>
          <w:lang w:val="en-US"/>
        </w:rPr>
        <w:t>Travis v. Yale &amp; Towne Mfg. Co.</w:t>
      </w:r>
      <w:r w:rsidRPr="0059183A">
        <w:rPr>
          <w:lang w:val="en-US"/>
        </w:rPr>
        <w:t>, 252 U.S. 60, 78</w:t>
      </w:r>
      <w:r w:rsidRPr="00EC5BEB">
        <w:rPr>
          <w:lang w:val="en-US"/>
        </w:rPr>
        <w:t xml:space="preserve"> = 40 S. Ct. </w:t>
      </w:r>
      <w:r w:rsidRPr="0059183A">
        <w:rPr>
          <w:lang w:val="en-US"/>
        </w:rPr>
        <w:t>228, 231</w:t>
      </w:r>
      <w:r>
        <w:rPr>
          <w:lang w:val="en-US"/>
        </w:rPr>
        <w:t xml:space="preserve"> = 64 L. Ed. </w:t>
      </w:r>
      <w:r w:rsidRPr="0059183A">
        <w:rPr>
          <w:lang w:val="en-US"/>
        </w:rPr>
        <w:t>460, 469</w:t>
      </w:r>
      <w:r w:rsidRPr="00EC5BEB">
        <w:rPr>
          <w:lang w:val="en-US"/>
        </w:rPr>
        <w:t xml:space="preserve"> = 1920 U.S. LEXIS </w:t>
      </w:r>
      <w:r w:rsidRPr="0059183A">
        <w:rPr>
          <w:lang w:val="en-US"/>
        </w:rPr>
        <w:t>1661, 30</w:t>
      </w:r>
      <w:r w:rsidRPr="006E67FE">
        <w:rPr>
          <w:lang w:val="en-US"/>
        </w:rPr>
        <w:t xml:space="preserve"> = 3 A.F.T.R. </w:t>
      </w:r>
      <w:r w:rsidRPr="0059183A">
        <w:rPr>
          <w:lang w:val="en-US"/>
        </w:rPr>
        <w:t>(P-H) 3036 (1920)</w:t>
      </w:r>
      <w:r>
        <w:rPr>
          <w:lang w:val="en-US"/>
        </w:rPr>
        <w:t>.</w:t>
      </w:r>
    </w:p>
  </w:footnote>
  <w:footnote w:id="515">
    <w:p w14:paraId="28E5C94E" w14:textId="77777777" w:rsidR="00074551" w:rsidRPr="00427BC9" w:rsidRDefault="00074551" w:rsidP="00074551">
      <w:pPr>
        <w:pStyle w:val="Funotentext"/>
        <w:jc w:val="both"/>
        <w:rPr>
          <w:lang w:val="en-US"/>
        </w:rPr>
      </w:pPr>
      <w:r>
        <w:rPr>
          <w:rStyle w:val="Funotenzeichen"/>
          <w:rFonts w:eastAsiaTheme="majorEastAsia"/>
        </w:rPr>
        <w:footnoteRef/>
      </w:r>
      <w:r w:rsidRPr="00427BC9">
        <w:rPr>
          <w:lang w:val="en-US"/>
        </w:rPr>
        <w:t xml:space="preserve"> </w:t>
      </w:r>
      <w:r w:rsidRPr="00584023">
        <w:rPr>
          <w:i/>
          <w:lang w:val="en-US"/>
        </w:rPr>
        <w:t>Travis v. Yale &amp; Towne Mfg. Co.</w:t>
      </w:r>
      <w:r w:rsidRPr="00427BC9">
        <w:rPr>
          <w:lang w:val="en-US"/>
        </w:rPr>
        <w:t>, 252 U.S. 60, 78</w:t>
      </w:r>
      <w:r w:rsidRPr="00EC5BEB">
        <w:rPr>
          <w:lang w:val="en-US"/>
        </w:rPr>
        <w:t xml:space="preserve"> = 40 S. Ct. </w:t>
      </w:r>
      <w:r w:rsidRPr="00427BC9">
        <w:rPr>
          <w:lang w:val="en-US"/>
        </w:rPr>
        <w:t>228, 231</w:t>
      </w:r>
      <w:r>
        <w:rPr>
          <w:lang w:val="en-US"/>
        </w:rPr>
        <w:t xml:space="preserve"> = 64 L. Ed. </w:t>
      </w:r>
      <w:r w:rsidRPr="00427BC9">
        <w:rPr>
          <w:lang w:val="en-US"/>
        </w:rPr>
        <w:t>460, 469</w:t>
      </w:r>
      <w:r w:rsidRPr="00EC5BEB">
        <w:rPr>
          <w:lang w:val="en-US"/>
        </w:rPr>
        <w:t xml:space="preserve"> = 1920 U.S. LEXIS </w:t>
      </w:r>
      <w:r w:rsidRPr="00427BC9">
        <w:rPr>
          <w:lang w:val="en-US"/>
        </w:rPr>
        <w:t>1661, 31</w:t>
      </w:r>
      <w:r w:rsidRPr="006E67FE">
        <w:rPr>
          <w:lang w:val="en-US"/>
        </w:rPr>
        <w:t xml:space="preserve"> = 3 A.F.T.R. </w:t>
      </w:r>
      <w:r w:rsidRPr="00427BC9">
        <w:rPr>
          <w:lang w:val="en-US"/>
        </w:rPr>
        <w:t>(P-H) 3036 (1920)</w:t>
      </w:r>
      <w:r>
        <w:rPr>
          <w:lang w:val="en-US"/>
        </w:rPr>
        <w:t>.</w:t>
      </w:r>
    </w:p>
  </w:footnote>
  <w:footnote w:id="516">
    <w:p w14:paraId="12687F4B" w14:textId="77777777" w:rsidR="00074551" w:rsidRPr="00427BC9" w:rsidRDefault="00074551" w:rsidP="00074551">
      <w:pPr>
        <w:pStyle w:val="Funotentext"/>
        <w:jc w:val="both"/>
        <w:rPr>
          <w:lang w:val="en-US"/>
        </w:rPr>
      </w:pPr>
      <w:r>
        <w:rPr>
          <w:rStyle w:val="Funotenzeichen"/>
          <w:rFonts w:eastAsiaTheme="majorEastAsia"/>
        </w:rPr>
        <w:footnoteRef/>
      </w:r>
      <w:r w:rsidRPr="00427BC9">
        <w:rPr>
          <w:lang w:val="en-US"/>
        </w:rPr>
        <w:t xml:space="preserve"> </w:t>
      </w:r>
      <w:r w:rsidRPr="00584023">
        <w:rPr>
          <w:i/>
          <w:lang w:val="en-US"/>
        </w:rPr>
        <w:t>Ward v. Maryland</w:t>
      </w:r>
      <w:r w:rsidRPr="00427BC9">
        <w:rPr>
          <w:lang w:val="en-US"/>
        </w:rPr>
        <w:t>, 12 Wall. 418</w:t>
      </w:r>
      <w:r>
        <w:rPr>
          <w:lang w:val="en-US"/>
        </w:rPr>
        <w:t xml:space="preserve">; </w:t>
      </w:r>
      <w:r w:rsidRPr="00584023">
        <w:rPr>
          <w:i/>
          <w:lang w:val="en-US"/>
        </w:rPr>
        <w:t>Travis v. Yale &amp; Towne Mfg. Co.</w:t>
      </w:r>
      <w:r w:rsidRPr="00427BC9">
        <w:rPr>
          <w:lang w:val="en-US"/>
        </w:rPr>
        <w:t>, 252 U.S. 60, 78</w:t>
      </w:r>
      <w:r w:rsidRPr="00EC5BEB">
        <w:rPr>
          <w:lang w:val="en-US"/>
        </w:rPr>
        <w:t xml:space="preserve"> = 40 S. Ct. </w:t>
      </w:r>
      <w:r w:rsidRPr="00427BC9">
        <w:rPr>
          <w:lang w:val="en-US"/>
        </w:rPr>
        <w:t>228, 231</w:t>
      </w:r>
      <w:r>
        <w:rPr>
          <w:lang w:val="en-US"/>
        </w:rPr>
        <w:t xml:space="preserve"> = 64 L. Ed. </w:t>
      </w:r>
      <w:r w:rsidRPr="00427BC9">
        <w:rPr>
          <w:lang w:val="en-US"/>
        </w:rPr>
        <w:t>460, 469</w:t>
      </w:r>
      <w:r w:rsidRPr="00EC5BEB">
        <w:rPr>
          <w:lang w:val="en-US"/>
        </w:rPr>
        <w:t xml:space="preserve"> = 1920 U.S. LEXIS </w:t>
      </w:r>
      <w:r w:rsidRPr="00427BC9">
        <w:rPr>
          <w:lang w:val="en-US"/>
        </w:rPr>
        <w:t>1661, 31</w:t>
      </w:r>
      <w:r w:rsidRPr="006E67FE">
        <w:rPr>
          <w:lang w:val="en-US"/>
        </w:rPr>
        <w:t xml:space="preserve"> = 3 A.F.T.R. </w:t>
      </w:r>
      <w:r w:rsidRPr="00427BC9">
        <w:rPr>
          <w:lang w:val="en-US"/>
        </w:rPr>
        <w:t>(P-H) 3036 (1920)</w:t>
      </w:r>
      <w:r>
        <w:rPr>
          <w:lang w:val="en-US"/>
        </w:rPr>
        <w:t>.</w:t>
      </w:r>
    </w:p>
  </w:footnote>
  <w:footnote w:id="517">
    <w:p w14:paraId="4DE81E70" w14:textId="77777777" w:rsidR="00074551" w:rsidRPr="00FD6796" w:rsidRDefault="00074551" w:rsidP="00074551">
      <w:pPr>
        <w:pStyle w:val="Funotentext"/>
        <w:jc w:val="both"/>
        <w:rPr>
          <w:lang w:val="en-US"/>
        </w:rPr>
      </w:pPr>
      <w:r>
        <w:rPr>
          <w:rStyle w:val="Funotenzeichen"/>
        </w:rPr>
        <w:footnoteRef/>
      </w:r>
      <w:r w:rsidRPr="00FD6796">
        <w:rPr>
          <w:lang w:val="en-US"/>
        </w:rPr>
        <w:t xml:space="preserve"> „Rights by which one is entitled to protection against the action of </w:t>
      </w:r>
      <w:proofErr w:type="gramStart"/>
      <w:r w:rsidRPr="00FD6796">
        <w:rPr>
          <w:lang w:val="en-US"/>
        </w:rPr>
        <w:t>individuals“</w:t>
      </w:r>
      <w:proofErr w:type="gramEnd"/>
      <w:r w:rsidRPr="00FD6796">
        <w:rPr>
          <w:lang w:val="en-US"/>
        </w:rPr>
        <w:t xml:space="preserve">. </w:t>
      </w:r>
      <w:r>
        <w:rPr>
          <w:lang w:val="en-US"/>
        </w:rPr>
        <w:t>§ </w:t>
      </w:r>
      <w:r w:rsidRPr="00FD6796">
        <w:rPr>
          <w:lang w:val="en-US"/>
        </w:rPr>
        <w:t xml:space="preserve">19, Crim. Code, </w:t>
      </w:r>
      <w:proofErr w:type="spellStart"/>
      <w:r w:rsidRPr="00FD6796">
        <w:rPr>
          <w:lang w:val="en-US"/>
        </w:rPr>
        <w:t>vgl</w:t>
      </w:r>
      <w:proofErr w:type="spellEnd"/>
      <w:r w:rsidRPr="00FD6796">
        <w:rPr>
          <w:lang w:val="en-US"/>
        </w:rPr>
        <w:t xml:space="preserve">. </w:t>
      </w:r>
      <w:r w:rsidRPr="00584023">
        <w:rPr>
          <w:i/>
          <w:lang w:val="en-US"/>
        </w:rPr>
        <w:t>United States v. Wheeler</w:t>
      </w:r>
      <w:r w:rsidRPr="00FD6796">
        <w:rPr>
          <w:lang w:val="en-US"/>
        </w:rPr>
        <w:t>, 254 U.S. 281, 292</w:t>
      </w:r>
      <w:r w:rsidRPr="006E67FE">
        <w:rPr>
          <w:lang w:val="en-US"/>
        </w:rPr>
        <w:t xml:space="preserve"> = 41 S. Ct</w:t>
      </w:r>
      <w:r w:rsidRPr="00FD6796">
        <w:rPr>
          <w:lang w:val="en-US"/>
        </w:rPr>
        <w:t>. 133, 133</w:t>
      </w:r>
      <w:r w:rsidRPr="00EC5BEB">
        <w:rPr>
          <w:lang w:val="en-US"/>
        </w:rPr>
        <w:t xml:space="preserve"> = 1920 U.S. LEXIS </w:t>
      </w:r>
      <w:r w:rsidRPr="00FD6796">
        <w:rPr>
          <w:lang w:val="en-US"/>
        </w:rPr>
        <w:t>1159, 14</w:t>
      </w:r>
      <w:r>
        <w:rPr>
          <w:lang w:val="en-US"/>
        </w:rPr>
        <w:t xml:space="preserve"> = 65 L. Ed. </w:t>
      </w:r>
      <w:r w:rsidRPr="00FD6796">
        <w:rPr>
          <w:lang w:val="en-US"/>
        </w:rPr>
        <w:t>270 (1920).</w:t>
      </w:r>
    </w:p>
  </w:footnote>
  <w:footnote w:id="518">
    <w:p w14:paraId="5CE47F62" w14:textId="77777777" w:rsidR="00074551" w:rsidRPr="00FD6796" w:rsidRDefault="00074551" w:rsidP="00074551">
      <w:pPr>
        <w:pStyle w:val="Funotentext"/>
        <w:jc w:val="both"/>
        <w:rPr>
          <w:lang w:val="en-US"/>
        </w:rPr>
      </w:pPr>
      <w:r>
        <w:rPr>
          <w:rStyle w:val="Funotenzeichen"/>
        </w:rPr>
        <w:footnoteRef/>
      </w:r>
      <w:r w:rsidRPr="00FD6796">
        <w:rPr>
          <w:lang w:val="en-US"/>
        </w:rPr>
        <w:t xml:space="preserve"> </w:t>
      </w:r>
      <w:r w:rsidRPr="00584023">
        <w:rPr>
          <w:i/>
          <w:lang w:val="en-US"/>
        </w:rPr>
        <w:t>United States v. Wheeler</w:t>
      </w:r>
      <w:r w:rsidRPr="00FD6796">
        <w:rPr>
          <w:lang w:val="en-US"/>
        </w:rPr>
        <w:t>, 254 U.S. 281, 292</w:t>
      </w:r>
      <w:r w:rsidRPr="006E67FE">
        <w:rPr>
          <w:lang w:val="en-US"/>
        </w:rPr>
        <w:t xml:space="preserve"> = 41 S. Ct</w:t>
      </w:r>
      <w:r w:rsidRPr="00FD6796">
        <w:rPr>
          <w:lang w:val="en-US"/>
        </w:rPr>
        <w:t>. 133, 133</w:t>
      </w:r>
      <w:r w:rsidRPr="00EC5BEB">
        <w:rPr>
          <w:lang w:val="en-US"/>
        </w:rPr>
        <w:t xml:space="preserve"> = 1920 U.S. LEXIS </w:t>
      </w:r>
      <w:r w:rsidRPr="00FD6796">
        <w:rPr>
          <w:lang w:val="en-US"/>
        </w:rPr>
        <w:t>1159, 1</w:t>
      </w:r>
      <w:r>
        <w:rPr>
          <w:lang w:val="en-US"/>
        </w:rPr>
        <w:t xml:space="preserve"> = 65 L. Ed. </w:t>
      </w:r>
      <w:r w:rsidRPr="00FD6796">
        <w:rPr>
          <w:lang w:val="en-US"/>
        </w:rPr>
        <w:t>270 (1920)</w:t>
      </w:r>
      <w:r>
        <w:rPr>
          <w:lang w:val="en-US"/>
        </w:rPr>
        <w:t>.</w:t>
      </w:r>
    </w:p>
  </w:footnote>
  <w:footnote w:id="519">
    <w:p w14:paraId="44F7C47E" w14:textId="77777777" w:rsidR="00074551" w:rsidRPr="00283B1E" w:rsidRDefault="00074551" w:rsidP="00074551">
      <w:pPr>
        <w:pStyle w:val="Funotentext"/>
        <w:jc w:val="both"/>
        <w:rPr>
          <w:lang w:val="en-US"/>
        </w:rPr>
      </w:pPr>
      <w:r>
        <w:rPr>
          <w:rStyle w:val="Funotenzeichen"/>
          <w:rFonts w:eastAsiaTheme="majorEastAsia"/>
        </w:rPr>
        <w:footnoteRef/>
      </w:r>
      <w:r w:rsidRPr="00283B1E">
        <w:rPr>
          <w:lang w:val="en-US"/>
        </w:rPr>
        <w:t xml:space="preserve"> </w:t>
      </w:r>
      <w:r w:rsidRPr="00584023">
        <w:rPr>
          <w:i/>
          <w:lang w:val="en-US"/>
        </w:rPr>
        <w:t>United States v. Wheeler</w:t>
      </w:r>
      <w:r w:rsidRPr="00283B1E">
        <w:rPr>
          <w:lang w:val="en-US"/>
        </w:rPr>
        <w:t>, 254 U.S. 281, 295</w:t>
      </w:r>
      <w:r w:rsidRPr="006E67FE">
        <w:rPr>
          <w:lang w:val="en-US"/>
        </w:rPr>
        <w:t xml:space="preserve"> = 41 S. Ct</w:t>
      </w:r>
      <w:r w:rsidRPr="00283B1E">
        <w:rPr>
          <w:lang w:val="en-US"/>
        </w:rPr>
        <w:t>. 133, 135</w:t>
      </w:r>
      <w:r w:rsidRPr="00EC5BEB">
        <w:rPr>
          <w:lang w:val="en-US"/>
        </w:rPr>
        <w:t xml:space="preserve"> = 1920 U.S. LEXIS </w:t>
      </w:r>
      <w:r w:rsidRPr="00283B1E">
        <w:rPr>
          <w:lang w:val="en-US"/>
        </w:rPr>
        <w:t>1159, 25</w:t>
      </w:r>
      <w:r>
        <w:rPr>
          <w:lang w:val="en-US"/>
        </w:rPr>
        <w:t xml:space="preserve"> = 65 L. Ed. </w:t>
      </w:r>
      <w:r w:rsidRPr="00283B1E">
        <w:rPr>
          <w:lang w:val="en-US"/>
        </w:rPr>
        <w:t>270 (1920)</w:t>
      </w:r>
      <w:r>
        <w:rPr>
          <w:lang w:val="en-US"/>
        </w:rPr>
        <w:t>.</w:t>
      </w:r>
    </w:p>
  </w:footnote>
  <w:footnote w:id="520">
    <w:p w14:paraId="7039F335" w14:textId="77777777" w:rsidR="00074551" w:rsidRPr="00543FB1" w:rsidRDefault="00074551" w:rsidP="00074551">
      <w:pPr>
        <w:pStyle w:val="Funotentext"/>
        <w:jc w:val="both"/>
        <w:rPr>
          <w:lang w:val="en-US"/>
        </w:rPr>
      </w:pPr>
      <w:r>
        <w:rPr>
          <w:rStyle w:val="Funotenzeichen"/>
          <w:rFonts w:eastAsiaTheme="majorEastAsia"/>
        </w:rPr>
        <w:footnoteRef/>
      </w:r>
      <w:r w:rsidRPr="00D42D7A">
        <w:rPr>
          <w:lang w:val="en-US"/>
        </w:rPr>
        <w:t xml:space="preserve"> </w:t>
      </w:r>
      <w:r w:rsidRPr="00546F93">
        <w:rPr>
          <w:i/>
          <w:lang w:val="en-US"/>
        </w:rPr>
        <w:t>Paul v. Virginia</w:t>
      </w:r>
      <w:r>
        <w:rPr>
          <w:lang w:val="en-US"/>
        </w:rPr>
        <w:t xml:space="preserve">, 8 Wall. </w:t>
      </w:r>
      <w:r w:rsidRPr="00D42D7A">
        <w:rPr>
          <w:lang w:val="en-US"/>
        </w:rPr>
        <w:t>168, 180</w:t>
      </w:r>
      <w:r>
        <w:rPr>
          <w:lang w:val="en-US"/>
        </w:rPr>
        <w:t xml:space="preserve">; </w:t>
      </w:r>
      <w:r w:rsidRPr="00584023">
        <w:rPr>
          <w:i/>
          <w:lang w:val="en-US"/>
        </w:rPr>
        <w:t>United States v. Wheeler</w:t>
      </w:r>
      <w:r w:rsidRPr="00543FB1">
        <w:rPr>
          <w:lang w:val="en-US"/>
        </w:rPr>
        <w:t>, 254 U.S. 281, 295</w:t>
      </w:r>
      <w:r w:rsidRPr="006E67FE">
        <w:rPr>
          <w:lang w:val="en-US"/>
        </w:rPr>
        <w:t xml:space="preserve"> = 41 S. Ct</w:t>
      </w:r>
      <w:r w:rsidRPr="00543FB1">
        <w:rPr>
          <w:lang w:val="en-US"/>
        </w:rPr>
        <w:t>. 133, 134</w:t>
      </w:r>
      <w:r w:rsidRPr="00EC5BEB">
        <w:rPr>
          <w:lang w:val="en-US"/>
        </w:rPr>
        <w:t xml:space="preserve"> = 1920 U.S. LEXIS </w:t>
      </w:r>
      <w:r w:rsidRPr="00543FB1">
        <w:rPr>
          <w:lang w:val="en-US"/>
        </w:rPr>
        <w:t>1159, 24</w:t>
      </w:r>
      <w:r>
        <w:rPr>
          <w:lang w:val="en-US"/>
        </w:rPr>
        <w:t xml:space="preserve"> = 65 L. Ed. </w:t>
      </w:r>
      <w:r w:rsidRPr="00543FB1">
        <w:rPr>
          <w:lang w:val="en-US"/>
        </w:rPr>
        <w:t>270 (1920)</w:t>
      </w:r>
      <w:r>
        <w:rPr>
          <w:lang w:val="en-US"/>
        </w:rPr>
        <w:t>.</w:t>
      </w:r>
    </w:p>
  </w:footnote>
  <w:footnote w:id="521">
    <w:p w14:paraId="7A34257F" w14:textId="77777777" w:rsidR="00074551" w:rsidRPr="00FD6796" w:rsidRDefault="00074551" w:rsidP="00074551">
      <w:pPr>
        <w:pStyle w:val="Funotentext"/>
        <w:jc w:val="both"/>
        <w:rPr>
          <w:lang w:val="en-US"/>
        </w:rPr>
      </w:pPr>
      <w:r>
        <w:rPr>
          <w:rStyle w:val="Funotenzeichen"/>
        </w:rPr>
        <w:footnoteRef/>
      </w:r>
      <w:r w:rsidRPr="00FD6796">
        <w:rPr>
          <w:lang w:val="en-US"/>
        </w:rPr>
        <w:t xml:space="preserve"> </w:t>
      </w:r>
      <w:r w:rsidRPr="00584023">
        <w:rPr>
          <w:i/>
          <w:lang w:val="en-US"/>
        </w:rPr>
        <w:t>United States v. Wheeler</w:t>
      </w:r>
      <w:r w:rsidRPr="00FD6796">
        <w:rPr>
          <w:lang w:val="en-US"/>
        </w:rPr>
        <w:t>, 254 U.S. 281, 296</w:t>
      </w:r>
      <w:r w:rsidRPr="006E67FE">
        <w:rPr>
          <w:lang w:val="en-US"/>
        </w:rPr>
        <w:t xml:space="preserve"> = 41 S. Ct</w:t>
      </w:r>
      <w:r w:rsidRPr="00FD6796">
        <w:rPr>
          <w:lang w:val="en-US"/>
        </w:rPr>
        <w:t>. 133, 135</w:t>
      </w:r>
      <w:r w:rsidRPr="00EC5BEB">
        <w:rPr>
          <w:lang w:val="en-US"/>
        </w:rPr>
        <w:t xml:space="preserve"> = 1920 U.S. LEXIS </w:t>
      </w:r>
      <w:r w:rsidRPr="00FD6796">
        <w:rPr>
          <w:lang w:val="en-US"/>
        </w:rPr>
        <w:t>1159, 27</w:t>
      </w:r>
      <w:r>
        <w:rPr>
          <w:lang w:val="en-US"/>
        </w:rPr>
        <w:t xml:space="preserve"> = 65 L. Ed. </w:t>
      </w:r>
      <w:r w:rsidRPr="00FD6796">
        <w:rPr>
          <w:lang w:val="en-US"/>
        </w:rPr>
        <w:t>270 (1920)</w:t>
      </w:r>
      <w:r>
        <w:rPr>
          <w:lang w:val="en-US"/>
        </w:rPr>
        <w:t>.</w:t>
      </w:r>
    </w:p>
  </w:footnote>
  <w:footnote w:id="522">
    <w:p w14:paraId="3D8F72E5" w14:textId="77777777" w:rsidR="00074551" w:rsidRPr="00813816" w:rsidRDefault="00074551" w:rsidP="00074551">
      <w:pPr>
        <w:pStyle w:val="Funotentext"/>
        <w:jc w:val="both"/>
        <w:rPr>
          <w:lang w:val="en-US"/>
        </w:rPr>
      </w:pPr>
      <w:r>
        <w:rPr>
          <w:rStyle w:val="Funotenzeichen"/>
          <w:rFonts w:eastAsiaTheme="majorEastAsia"/>
        </w:rPr>
        <w:footnoteRef/>
      </w:r>
      <w:r w:rsidRPr="00813816">
        <w:rPr>
          <w:lang w:val="en-US"/>
        </w:rPr>
        <w:t xml:space="preserve"> </w:t>
      </w:r>
      <w:r w:rsidRPr="00584023">
        <w:rPr>
          <w:i/>
          <w:lang w:val="en-US"/>
        </w:rPr>
        <w:t>United States v. Wheeler</w:t>
      </w:r>
      <w:r w:rsidRPr="00813816">
        <w:rPr>
          <w:lang w:val="en-US"/>
        </w:rPr>
        <w:t>, 254 U.S. 281, 296</w:t>
      </w:r>
      <w:r w:rsidRPr="006E67FE">
        <w:rPr>
          <w:lang w:val="en-US"/>
        </w:rPr>
        <w:t xml:space="preserve"> = 41 S. Ct</w:t>
      </w:r>
      <w:r w:rsidRPr="00813816">
        <w:rPr>
          <w:lang w:val="en-US"/>
        </w:rPr>
        <w:t>. 133, 135</w:t>
      </w:r>
      <w:r w:rsidRPr="00EC5BEB">
        <w:rPr>
          <w:lang w:val="en-US"/>
        </w:rPr>
        <w:t xml:space="preserve"> = 1920 U.S. LEXIS </w:t>
      </w:r>
      <w:r w:rsidRPr="00813816">
        <w:rPr>
          <w:lang w:val="en-US"/>
        </w:rPr>
        <w:t>1159, 27</w:t>
      </w:r>
      <w:r>
        <w:rPr>
          <w:lang w:val="en-US"/>
        </w:rPr>
        <w:t xml:space="preserve"> = 65 L. Ed. </w:t>
      </w:r>
      <w:r w:rsidRPr="00813816">
        <w:rPr>
          <w:lang w:val="en-US"/>
        </w:rPr>
        <w:t>270 (1920)</w:t>
      </w:r>
      <w:r>
        <w:rPr>
          <w:lang w:val="en-US"/>
        </w:rPr>
        <w:t>.</w:t>
      </w:r>
    </w:p>
  </w:footnote>
  <w:footnote w:id="523">
    <w:p w14:paraId="43379B79" w14:textId="77777777" w:rsidR="00074551" w:rsidRPr="00813816" w:rsidRDefault="00074551" w:rsidP="00074551">
      <w:pPr>
        <w:pStyle w:val="Funotentext"/>
        <w:jc w:val="both"/>
        <w:rPr>
          <w:lang w:val="en-US"/>
        </w:rPr>
      </w:pPr>
      <w:r>
        <w:rPr>
          <w:rStyle w:val="Funotenzeichen"/>
          <w:rFonts w:eastAsiaTheme="majorEastAsia"/>
        </w:rPr>
        <w:footnoteRef/>
      </w:r>
      <w:r w:rsidRPr="00813816">
        <w:rPr>
          <w:lang w:val="en-US"/>
        </w:rPr>
        <w:t xml:space="preserve"> </w:t>
      </w:r>
      <w:r w:rsidRPr="00584023">
        <w:rPr>
          <w:i/>
          <w:lang w:val="en-US"/>
        </w:rPr>
        <w:t>United States v. Wheeler</w:t>
      </w:r>
      <w:r w:rsidRPr="00813816">
        <w:rPr>
          <w:lang w:val="en-US"/>
        </w:rPr>
        <w:t>, 254 U.S. 281, 296</w:t>
      </w:r>
      <w:r w:rsidRPr="006E67FE">
        <w:rPr>
          <w:lang w:val="en-US"/>
        </w:rPr>
        <w:t xml:space="preserve"> = 41 S. Ct</w:t>
      </w:r>
      <w:r w:rsidRPr="00813816">
        <w:rPr>
          <w:lang w:val="en-US"/>
        </w:rPr>
        <w:t>. 133, 135</w:t>
      </w:r>
      <w:r w:rsidRPr="00EC5BEB">
        <w:rPr>
          <w:lang w:val="en-US"/>
        </w:rPr>
        <w:t xml:space="preserve"> = 1920 U.S. LEXIS </w:t>
      </w:r>
      <w:r w:rsidRPr="00813816">
        <w:rPr>
          <w:lang w:val="en-US"/>
        </w:rPr>
        <w:t>1159, 27</w:t>
      </w:r>
      <w:r>
        <w:rPr>
          <w:lang w:val="en-US"/>
        </w:rPr>
        <w:t xml:space="preserve"> = 65 L. Ed. </w:t>
      </w:r>
      <w:r w:rsidRPr="00813816">
        <w:rPr>
          <w:lang w:val="en-US"/>
        </w:rPr>
        <w:t>270 (1920)</w:t>
      </w:r>
      <w:r>
        <w:rPr>
          <w:lang w:val="en-US"/>
        </w:rPr>
        <w:t>.</w:t>
      </w:r>
    </w:p>
  </w:footnote>
  <w:footnote w:id="524">
    <w:p w14:paraId="47545A75" w14:textId="77777777" w:rsidR="00074551" w:rsidRPr="00FD6796" w:rsidRDefault="00074551" w:rsidP="00074551">
      <w:pPr>
        <w:pStyle w:val="Funotentext"/>
        <w:jc w:val="both"/>
        <w:rPr>
          <w:lang w:val="en-US"/>
        </w:rPr>
      </w:pPr>
      <w:r>
        <w:rPr>
          <w:rStyle w:val="Funotenzeichen"/>
        </w:rPr>
        <w:footnoteRef/>
      </w:r>
      <w:r w:rsidRPr="00FD6796">
        <w:rPr>
          <w:lang w:val="en-US"/>
        </w:rPr>
        <w:t xml:space="preserve"> </w:t>
      </w:r>
      <w:r w:rsidRPr="008F73D7">
        <w:rPr>
          <w:i/>
          <w:lang w:val="en-US"/>
        </w:rPr>
        <w:t>Slaughter-House Cases</w:t>
      </w:r>
      <w:r w:rsidRPr="00FD6796">
        <w:rPr>
          <w:lang w:val="en-US"/>
        </w:rPr>
        <w:t>, 16 Wall. 36, 75</w:t>
      </w:r>
      <w:r>
        <w:rPr>
          <w:lang w:val="en-US"/>
        </w:rPr>
        <w:t>–</w:t>
      </w:r>
      <w:r w:rsidRPr="00FD6796">
        <w:rPr>
          <w:lang w:val="en-US"/>
        </w:rPr>
        <w:t xml:space="preserve">76; </w:t>
      </w:r>
      <w:r w:rsidRPr="00584023">
        <w:rPr>
          <w:i/>
          <w:lang w:val="en-US"/>
        </w:rPr>
        <w:t>United States v. Wheeler</w:t>
      </w:r>
      <w:r w:rsidRPr="00FD6796">
        <w:rPr>
          <w:lang w:val="en-US"/>
        </w:rPr>
        <w:t>, 254 U.S. 281, 296</w:t>
      </w:r>
      <w:r w:rsidRPr="006E67FE">
        <w:rPr>
          <w:lang w:val="en-US"/>
        </w:rPr>
        <w:t xml:space="preserve"> = 41 S. Ct</w:t>
      </w:r>
      <w:r w:rsidRPr="00FD6796">
        <w:rPr>
          <w:lang w:val="en-US"/>
        </w:rPr>
        <w:t>. 133, 135</w:t>
      </w:r>
      <w:r w:rsidRPr="00EC5BEB">
        <w:rPr>
          <w:lang w:val="en-US"/>
        </w:rPr>
        <w:t xml:space="preserve"> = 1920 U.S. LEXIS </w:t>
      </w:r>
      <w:r w:rsidRPr="00FD6796">
        <w:rPr>
          <w:lang w:val="en-US"/>
        </w:rPr>
        <w:t>1159, 26</w:t>
      </w:r>
      <w:r>
        <w:rPr>
          <w:lang w:val="en-US"/>
        </w:rPr>
        <w:t xml:space="preserve"> = 65 L. Ed. </w:t>
      </w:r>
      <w:r w:rsidRPr="00FD6796">
        <w:rPr>
          <w:lang w:val="en-US"/>
        </w:rPr>
        <w:t>270 (1920).</w:t>
      </w:r>
    </w:p>
  </w:footnote>
  <w:footnote w:id="525">
    <w:p w14:paraId="0A1F0AC1" w14:textId="77777777" w:rsidR="00074551" w:rsidRPr="00813816" w:rsidRDefault="00074551" w:rsidP="00074551">
      <w:pPr>
        <w:pStyle w:val="Funotentext"/>
        <w:jc w:val="both"/>
        <w:rPr>
          <w:lang w:val="en-US"/>
        </w:rPr>
      </w:pPr>
      <w:r>
        <w:rPr>
          <w:rStyle w:val="Funotenzeichen"/>
          <w:rFonts w:eastAsiaTheme="majorEastAsia"/>
        </w:rPr>
        <w:footnoteRef/>
      </w:r>
      <w:r w:rsidRPr="00813816">
        <w:rPr>
          <w:lang w:val="en-US"/>
        </w:rPr>
        <w:t xml:space="preserve"> </w:t>
      </w:r>
      <w:r w:rsidRPr="00584023">
        <w:rPr>
          <w:i/>
          <w:lang w:val="en-US"/>
        </w:rPr>
        <w:t>United States v. Wheeler</w:t>
      </w:r>
      <w:r w:rsidRPr="00813816">
        <w:rPr>
          <w:lang w:val="en-US"/>
        </w:rPr>
        <w:t>, 254 U.S. 281, 297</w:t>
      </w:r>
      <w:r w:rsidRPr="006E67FE">
        <w:rPr>
          <w:lang w:val="en-US"/>
        </w:rPr>
        <w:t xml:space="preserve"> = 41 S. Ct</w:t>
      </w:r>
      <w:r w:rsidRPr="00813816">
        <w:rPr>
          <w:lang w:val="en-US"/>
        </w:rPr>
        <w:t>. 133, 135</w:t>
      </w:r>
      <w:r w:rsidRPr="00EC5BEB">
        <w:rPr>
          <w:lang w:val="en-US"/>
        </w:rPr>
        <w:t xml:space="preserve"> = 1920 U.S. LEXIS </w:t>
      </w:r>
      <w:r w:rsidRPr="00813816">
        <w:rPr>
          <w:lang w:val="en-US"/>
        </w:rPr>
        <w:t>1159, 28</w:t>
      </w:r>
      <w:r>
        <w:rPr>
          <w:lang w:val="en-US"/>
        </w:rPr>
        <w:t xml:space="preserve"> = 65 L. Ed. </w:t>
      </w:r>
      <w:r w:rsidRPr="00813816">
        <w:rPr>
          <w:lang w:val="en-US"/>
        </w:rPr>
        <w:t>270 (1920)</w:t>
      </w:r>
      <w:r>
        <w:rPr>
          <w:lang w:val="en-US"/>
        </w:rPr>
        <w:t>.</w:t>
      </w:r>
    </w:p>
  </w:footnote>
  <w:footnote w:id="526">
    <w:p w14:paraId="63EC5631" w14:textId="77777777" w:rsidR="00074551" w:rsidRPr="00FD6796" w:rsidRDefault="00074551" w:rsidP="00074551">
      <w:pPr>
        <w:pStyle w:val="Funotentext"/>
        <w:jc w:val="both"/>
        <w:rPr>
          <w:lang w:val="en-US"/>
        </w:rPr>
      </w:pPr>
      <w:r>
        <w:rPr>
          <w:rStyle w:val="Funotenzeichen"/>
        </w:rPr>
        <w:footnoteRef/>
      </w:r>
      <w:r w:rsidRPr="00FD6796">
        <w:rPr>
          <w:lang w:val="en-US"/>
        </w:rPr>
        <w:t xml:space="preserve"> </w:t>
      </w:r>
      <w:r w:rsidRPr="00584023">
        <w:rPr>
          <w:i/>
          <w:lang w:val="en-US"/>
        </w:rPr>
        <w:t>United States v. Wheeler</w:t>
      </w:r>
      <w:r w:rsidRPr="00FD6796">
        <w:rPr>
          <w:lang w:val="en-US"/>
        </w:rPr>
        <w:t>, 254 U.S. 281, 297</w:t>
      </w:r>
      <w:r w:rsidRPr="006E67FE">
        <w:rPr>
          <w:lang w:val="en-US"/>
        </w:rPr>
        <w:t xml:space="preserve"> = 41 S. Ct</w:t>
      </w:r>
      <w:r w:rsidRPr="00FD6796">
        <w:rPr>
          <w:lang w:val="en-US"/>
        </w:rPr>
        <w:t>. 133, 135</w:t>
      </w:r>
      <w:r w:rsidRPr="00EC5BEB">
        <w:rPr>
          <w:lang w:val="en-US"/>
        </w:rPr>
        <w:t xml:space="preserve"> = 1920 U.S. LEXIS </w:t>
      </w:r>
      <w:r w:rsidRPr="00FD6796">
        <w:rPr>
          <w:lang w:val="en-US"/>
        </w:rPr>
        <w:t>1159, 28</w:t>
      </w:r>
      <w:r>
        <w:rPr>
          <w:lang w:val="en-US"/>
        </w:rPr>
        <w:t xml:space="preserve"> = 65 L. Ed. </w:t>
      </w:r>
      <w:r w:rsidRPr="00FD6796">
        <w:rPr>
          <w:lang w:val="en-US"/>
        </w:rPr>
        <w:t>270 (1920)</w:t>
      </w:r>
      <w:r>
        <w:rPr>
          <w:lang w:val="en-US"/>
        </w:rPr>
        <w:t>.</w:t>
      </w:r>
    </w:p>
  </w:footnote>
  <w:footnote w:id="527">
    <w:p w14:paraId="7CB38BF6" w14:textId="77777777" w:rsidR="00074551" w:rsidRPr="003113EE" w:rsidRDefault="00074551" w:rsidP="00074551">
      <w:pPr>
        <w:pStyle w:val="Funotentext"/>
        <w:jc w:val="both"/>
        <w:rPr>
          <w:lang w:val="en-US"/>
        </w:rPr>
      </w:pPr>
      <w:r>
        <w:rPr>
          <w:rStyle w:val="Funotenzeichen"/>
          <w:rFonts w:eastAsiaTheme="majorEastAsia"/>
        </w:rPr>
        <w:footnoteRef/>
      </w:r>
      <w:r w:rsidRPr="003113EE">
        <w:rPr>
          <w:lang w:val="en-US"/>
        </w:rPr>
        <w:t xml:space="preserve"> </w:t>
      </w:r>
      <w:r w:rsidRPr="00584023">
        <w:rPr>
          <w:i/>
          <w:lang w:val="en-US"/>
        </w:rPr>
        <w:t>United States v. Wheeler</w:t>
      </w:r>
      <w:r w:rsidRPr="003113EE">
        <w:rPr>
          <w:lang w:val="en-US"/>
        </w:rPr>
        <w:t>, 254 U.S. 281, 297</w:t>
      </w:r>
      <w:r w:rsidRPr="006E67FE">
        <w:rPr>
          <w:lang w:val="en-US"/>
        </w:rPr>
        <w:t xml:space="preserve"> = 41 S. Ct</w:t>
      </w:r>
      <w:r w:rsidRPr="003113EE">
        <w:rPr>
          <w:lang w:val="en-US"/>
        </w:rPr>
        <w:t>. 133, 135</w:t>
      </w:r>
      <w:r w:rsidRPr="00EC5BEB">
        <w:rPr>
          <w:lang w:val="en-US"/>
        </w:rPr>
        <w:t xml:space="preserve"> = 1920 U.S. LEXIS </w:t>
      </w:r>
      <w:r w:rsidRPr="003113EE">
        <w:rPr>
          <w:lang w:val="en-US"/>
        </w:rPr>
        <w:t>1159, 28</w:t>
      </w:r>
      <w:r>
        <w:rPr>
          <w:lang w:val="en-US"/>
        </w:rPr>
        <w:t xml:space="preserve"> = 65 L. Ed. </w:t>
      </w:r>
      <w:r w:rsidRPr="003113EE">
        <w:rPr>
          <w:lang w:val="en-US"/>
        </w:rPr>
        <w:t>270 (1920)</w:t>
      </w:r>
      <w:r>
        <w:rPr>
          <w:lang w:val="en-US"/>
        </w:rPr>
        <w:t>.</w:t>
      </w:r>
    </w:p>
  </w:footnote>
  <w:footnote w:id="528">
    <w:p w14:paraId="0F0D475E" w14:textId="77777777" w:rsidR="00074551" w:rsidRPr="00E83E27" w:rsidRDefault="00074551" w:rsidP="00074551">
      <w:pPr>
        <w:pStyle w:val="Funotentext"/>
        <w:jc w:val="both"/>
        <w:rPr>
          <w:lang w:val="en-US"/>
        </w:rPr>
      </w:pPr>
      <w:r>
        <w:rPr>
          <w:rStyle w:val="Funotenzeichen"/>
          <w:rFonts w:eastAsiaTheme="majorEastAsia"/>
        </w:rPr>
        <w:footnoteRef/>
      </w:r>
      <w:r w:rsidRPr="00E83E27">
        <w:rPr>
          <w:lang w:val="en-US"/>
        </w:rPr>
        <w:t xml:space="preserve"> </w:t>
      </w:r>
      <w:r w:rsidRPr="00584023">
        <w:rPr>
          <w:i/>
          <w:lang w:val="en-US"/>
        </w:rPr>
        <w:t>United States v. Wheeler</w:t>
      </w:r>
      <w:r w:rsidRPr="00E83E27">
        <w:rPr>
          <w:lang w:val="en-US"/>
        </w:rPr>
        <w:t>, 254 U.S. 281, 292</w:t>
      </w:r>
      <w:r w:rsidRPr="006E67FE">
        <w:rPr>
          <w:lang w:val="en-US"/>
        </w:rPr>
        <w:t xml:space="preserve"> = 41 S. Ct</w:t>
      </w:r>
      <w:r w:rsidRPr="00E83E27">
        <w:rPr>
          <w:lang w:val="en-US"/>
        </w:rPr>
        <w:t>. 133, 133</w:t>
      </w:r>
      <w:r w:rsidRPr="00EC5BEB">
        <w:rPr>
          <w:lang w:val="en-US"/>
        </w:rPr>
        <w:t xml:space="preserve"> = 1920 U.S. LEXIS </w:t>
      </w:r>
      <w:r w:rsidRPr="00E83E27">
        <w:rPr>
          <w:lang w:val="en-US"/>
        </w:rPr>
        <w:t>1159, 6</w:t>
      </w:r>
      <w:r>
        <w:rPr>
          <w:lang w:val="en-US"/>
        </w:rPr>
        <w:t xml:space="preserve"> = 65 L. Ed. </w:t>
      </w:r>
      <w:r w:rsidRPr="00E83E27">
        <w:rPr>
          <w:lang w:val="en-US"/>
        </w:rPr>
        <w:t>270 (1920)</w:t>
      </w:r>
      <w:r>
        <w:rPr>
          <w:lang w:val="en-US"/>
        </w:rPr>
        <w:t>.</w:t>
      </w:r>
    </w:p>
  </w:footnote>
  <w:footnote w:id="529">
    <w:p w14:paraId="0B77A350" w14:textId="77777777" w:rsidR="00074551" w:rsidRPr="00E83E27" w:rsidRDefault="00074551" w:rsidP="00074551">
      <w:pPr>
        <w:pStyle w:val="Funotentext"/>
        <w:jc w:val="both"/>
        <w:rPr>
          <w:lang w:val="en-US"/>
        </w:rPr>
      </w:pPr>
      <w:r>
        <w:rPr>
          <w:rStyle w:val="Funotenzeichen"/>
          <w:rFonts w:eastAsiaTheme="majorEastAsia"/>
        </w:rPr>
        <w:footnoteRef/>
      </w:r>
      <w:r w:rsidRPr="00E83E27">
        <w:rPr>
          <w:lang w:val="en-US"/>
        </w:rPr>
        <w:t xml:space="preserve"> </w:t>
      </w:r>
      <w:r w:rsidRPr="008F73D7">
        <w:rPr>
          <w:i/>
          <w:lang w:val="en-US"/>
        </w:rPr>
        <w:t>Slaughter-House Cases</w:t>
      </w:r>
      <w:r w:rsidRPr="00E83E27">
        <w:rPr>
          <w:lang w:val="en-US"/>
        </w:rPr>
        <w:t>, 16 Wall. 36, 75</w:t>
      </w:r>
      <w:r>
        <w:rPr>
          <w:lang w:val="en-US"/>
        </w:rPr>
        <w:t xml:space="preserve">; </w:t>
      </w:r>
      <w:r w:rsidRPr="00584023">
        <w:rPr>
          <w:i/>
          <w:lang w:val="en-US"/>
        </w:rPr>
        <w:t>United States v. Wheeler</w:t>
      </w:r>
      <w:r w:rsidRPr="00E83E27">
        <w:rPr>
          <w:lang w:val="en-US"/>
        </w:rPr>
        <w:t>, 254 U.S. 281, 292</w:t>
      </w:r>
      <w:r w:rsidRPr="006E67FE">
        <w:rPr>
          <w:lang w:val="en-US"/>
        </w:rPr>
        <w:t xml:space="preserve"> = 41 S. Ct</w:t>
      </w:r>
      <w:r w:rsidRPr="00E83E27">
        <w:rPr>
          <w:lang w:val="en-US"/>
        </w:rPr>
        <w:t>. 133, 133</w:t>
      </w:r>
      <w:r w:rsidRPr="00EC5BEB">
        <w:rPr>
          <w:lang w:val="en-US"/>
        </w:rPr>
        <w:t xml:space="preserve"> = 1920 U.S. LEXIS </w:t>
      </w:r>
      <w:r w:rsidRPr="00E83E27">
        <w:rPr>
          <w:lang w:val="en-US"/>
        </w:rPr>
        <w:t>1159, 6</w:t>
      </w:r>
      <w:r>
        <w:rPr>
          <w:lang w:val="en-US"/>
        </w:rPr>
        <w:t xml:space="preserve"> = 65 L. Ed. </w:t>
      </w:r>
      <w:r w:rsidRPr="00E83E27">
        <w:rPr>
          <w:lang w:val="en-US"/>
        </w:rPr>
        <w:t>270 (1920)</w:t>
      </w:r>
      <w:r>
        <w:rPr>
          <w:lang w:val="en-US"/>
        </w:rPr>
        <w:t>.</w:t>
      </w:r>
    </w:p>
  </w:footnote>
  <w:footnote w:id="530">
    <w:p w14:paraId="07C0F674" w14:textId="77777777" w:rsidR="00074551" w:rsidRPr="003113EE" w:rsidRDefault="00074551" w:rsidP="00074551">
      <w:pPr>
        <w:pStyle w:val="Funotentext"/>
        <w:jc w:val="both"/>
        <w:rPr>
          <w:lang w:val="en-US"/>
        </w:rPr>
      </w:pPr>
      <w:r>
        <w:rPr>
          <w:rStyle w:val="Funotenzeichen"/>
          <w:rFonts w:eastAsiaTheme="majorEastAsia"/>
        </w:rPr>
        <w:footnoteRef/>
      </w:r>
      <w:r w:rsidRPr="003113EE">
        <w:rPr>
          <w:lang w:val="en-US"/>
        </w:rPr>
        <w:t xml:space="preserve"> </w:t>
      </w:r>
      <w:r w:rsidRPr="00584023">
        <w:rPr>
          <w:i/>
          <w:lang w:val="en-US"/>
        </w:rPr>
        <w:t>Corfield v. Coryell</w:t>
      </w:r>
      <w:r w:rsidRPr="003113EE">
        <w:rPr>
          <w:lang w:val="en-US"/>
        </w:rPr>
        <w:t xml:space="preserve">, 4 Wash. C.C. 371; </w:t>
      </w:r>
      <w:r w:rsidRPr="00546F93">
        <w:rPr>
          <w:i/>
          <w:lang w:val="en-US"/>
        </w:rPr>
        <w:t>Paul v. Virginia</w:t>
      </w:r>
      <w:r>
        <w:rPr>
          <w:lang w:val="en-US"/>
        </w:rPr>
        <w:t xml:space="preserve">, 8 Wall. </w:t>
      </w:r>
      <w:r w:rsidRPr="003113EE">
        <w:rPr>
          <w:lang w:val="en-US"/>
        </w:rPr>
        <w:t xml:space="preserve">168, 180; </w:t>
      </w:r>
      <w:r w:rsidRPr="00584023">
        <w:rPr>
          <w:i/>
          <w:lang w:val="en-US"/>
        </w:rPr>
        <w:t>Ward v. Maryland</w:t>
      </w:r>
      <w:r w:rsidRPr="003113EE">
        <w:rPr>
          <w:lang w:val="en-US"/>
        </w:rPr>
        <w:t xml:space="preserve">, 12 Wall. 418, 430; </w:t>
      </w:r>
      <w:r w:rsidRPr="008F73D7">
        <w:rPr>
          <w:i/>
          <w:lang w:val="en-US"/>
        </w:rPr>
        <w:t>Slaughter-House Cases</w:t>
      </w:r>
      <w:r w:rsidRPr="003113EE">
        <w:rPr>
          <w:lang w:val="en-US"/>
        </w:rPr>
        <w:t>, 16 Wall. 36, 75</w:t>
      </w:r>
      <w:r>
        <w:rPr>
          <w:lang w:val="en-US"/>
        </w:rPr>
        <w:t xml:space="preserve">; </w:t>
      </w:r>
      <w:r w:rsidRPr="00584023">
        <w:rPr>
          <w:i/>
          <w:lang w:val="en-US"/>
        </w:rPr>
        <w:t>United States v. Wheeler</w:t>
      </w:r>
      <w:r w:rsidRPr="003113EE">
        <w:rPr>
          <w:lang w:val="en-US"/>
        </w:rPr>
        <w:t>, 254 U.S. 281, 292</w:t>
      </w:r>
      <w:r w:rsidRPr="006E67FE">
        <w:rPr>
          <w:lang w:val="en-US"/>
        </w:rPr>
        <w:t xml:space="preserve"> = 41 S. Ct</w:t>
      </w:r>
      <w:r w:rsidRPr="003113EE">
        <w:rPr>
          <w:lang w:val="en-US"/>
        </w:rPr>
        <w:t>. 133, 133</w:t>
      </w:r>
      <w:r w:rsidRPr="00EC5BEB">
        <w:rPr>
          <w:lang w:val="en-US"/>
        </w:rPr>
        <w:t xml:space="preserve"> = 1920 U.S. LEXIS </w:t>
      </w:r>
      <w:r w:rsidRPr="003113EE">
        <w:rPr>
          <w:lang w:val="en-US"/>
        </w:rPr>
        <w:t>1159, 6</w:t>
      </w:r>
      <w:r>
        <w:rPr>
          <w:lang w:val="en-US"/>
        </w:rPr>
        <w:t xml:space="preserve"> = 65 L. Ed. </w:t>
      </w:r>
      <w:r w:rsidRPr="003113EE">
        <w:rPr>
          <w:lang w:val="en-US"/>
        </w:rPr>
        <w:t>270 (1920)</w:t>
      </w:r>
      <w:r>
        <w:rPr>
          <w:lang w:val="en-US"/>
        </w:rPr>
        <w:t>.</w:t>
      </w:r>
    </w:p>
  </w:footnote>
  <w:footnote w:id="531">
    <w:p w14:paraId="10BB7112" w14:textId="77777777" w:rsidR="00074551" w:rsidRPr="00E83E27" w:rsidRDefault="00074551" w:rsidP="00074551">
      <w:pPr>
        <w:pStyle w:val="Funotentext"/>
        <w:jc w:val="both"/>
        <w:rPr>
          <w:lang w:val="en-US"/>
        </w:rPr>
      </w:pPr>
      <w:r>
        <w:rPr>
          <w:rStyle w:val="Funotenzeichen"/>
          <w:rFonts w:eastAsiaTheme="majorEastAsia"/>
        </w:rPr>
        <w:footnoteRef/>
      </w:r>
      <w:r w:rsidRPr="00E83E27">
        <w:rPr>
          <w:lang w:val="en-US"/>
        </w:rPr>
        <w:t xml:space="preserve"> </w:t>
      </w:r>
      <w:r w:rsidRPr="00584023">
        <w:rPr>
          <w:i/>
          <w:lang w:val="en-US"/>
        </w:rPr>
        <w:t>United States v. Wheeler</w:t>
      </w:r>
      <w:r w:rsidRPr="00E83E27">
        <w:rPr>
          <w:lang w:val="en-US"/>
        </w:rPr>
        <w:t>, 254 U.S. 281, 292</w:t>
      </w:r>
      <w:r w:rsidRPr="006E67FE">
        <w:rPr>
          <w:lang w:val="en-US"/>
        </w:rPr>
        <w:t xml:space="preserve"> = 41 S. Ct</w:t>
      </w:r>
      <w:r w:rsidRPr="00E83E27">
        <w:rPr>
          <w:lang w:val="en-US"/>
        </w:rPr>
        <w:t>. 133, 133</w:t>
      </w:r>
      <w:r w:rsidRPr="00EC5BEB">
        <w:rPr>
          <w:lang w:val="en-US"/>
        </w:rPr>
        <w:t xml:space="preserve"> = 1920 U.S. LEXIS </w:t>
      </w:r>
      <w:r w:rsidRPr="00E83E27">
        <w:rPr>
          <w:lang w:val="en-US"/>
        </w:rPr>
        <w:t>1159, 7</w:t>
      </w:r>
      <w:r>
        <w:rPr>
          <w:lang w:val="en-US"/>
        </w:rPr>
        <w:t xml:space="preserve"> = 65 L. Ed. </w:t>
      </w:r>
      <w:r w:rsidRPr="00E83E27">
        <w:rPr>
          <w:lang w:val="en-US"/>
        </w:rPr>
        <w:t>270 (1920)</w:t>
      </w:r>
      <w:r>
        <w:rPr>
          <w:lang w:val="en-US"/>
        </w:rPr>
        <w:t>.</w:t>
      </w:r>
    </w:p>
  </w:footnote>
  <w:footnote w:id="532">
    <w:p w14:paraId="01ED8A79" w14:textId="77777777" w:rsidR="00074551" w:rsidRPr="00283B1E" w:rsidRDefault="00074551" w:rsidP="00074551">
      <w:pPr>
        <w:pStyle w:val="Funotentext"/>
        <w:jc w:val="both"/>
        <w:rPr>
          <w:lang w:val="en-US"/>
        </w:rPr>
      </w:pPr>
      <w:r>
        <w:rPr>
          <w:rStyle w:val="Funotenzeichen"/>
          <w:rFonts w:eastAsiaTheme="majorEastAsia"/>
        </w:rPr>
        <w:footnoteRef/>
      </w:r>
      <w:r w:rsidRPr="00283B1E">
        <w:rPr>
          <w:lang w:val="en-US"/>
        </w:rPr>
        <w:t xml:space="preserve"> </w:t>
      </w:r>
      <w:r w:rsidRPr="00584023">
        <w:rPr>
          <w:i/>
          <w:lang w:val="en-US"/>
        </w:rPr>
        <w:t>Travis v. Yale &amp; Towne Mfg. Co.</w:t>
      </w:r>
      <w:r w:rsidRPr="00283B1E">
        <w:rPr>
          <w:lang w:val="en-US"/>
        </w:rPr>
        <w:t xml:space="preserve">, 252 U.S. 60; </w:t>
      </w:r>
      <w:r w:rsidRPr="00584023">
        <w:rPr>
          <w:i/>
          <w:lang w:val="en-US"/>
        </w:rPr>
        <w:t>United States v. Wheeler</w:t>
      </w:r>
      <w:r w:rsidRPr="00283B1E">
        <w:rPr>
          <w:lang w:val="en-US"/>
        </w:rPr>
        <w:t>, 254 U.S. 281, 292</w:t>
      </w:r>
      <w:r w:rsidRPr="006E67FE">
        <w:rPr>
          <w:lang w:val="en-US"/>
        </w:rPr>
        <w:t xml:space="preserve"> = 41 S. Ct</w:t>
      </w:r>
      <w:r w:rsidRPr="00283B1E">
        <w:rPr>
          <w:lang w:val="en-US"/>
        </w:rPr>
        <w:t>. 133, 133</w:t>
      </w:r>
      <w:r w:rsidRPr="00EC5BEB">
        <w:rPr>
          <w:lang w:val="en-US"/>
        </w:rPr>
        <w:t xml:space="preserve"> = 1920 U.S. LEXIS </w:t>
      </w:r>
      <w:r w:rsidRPr="00283B1E">
        <w:rPr>
          <w:lang w:val="en-US"/>
        </w:rPr>
        <w:t>1159, 7</w:t>
      </w:r>
      <w:r>
        <w:rPr>
          <w:lang w:val="en-US"/>
        </w:rPr>
        <w:t xml:space="preserve"> = 65 L. Ed. </w:t>
      </w:r>
      <w:r w:rsidRPr="00283B1E">
        <w:rPr>
          <w:lang w:val="en-US"/>
        </w:rPr>
        <w:t>270 (1920)</w:t>
      </w:r>
      <w:r>
        <w:rPr>
          <w:lang w:val="en-US"/>
        </w:rPr>
        <w:t>.</w:t>
      </w:r>
    </w:p>
  </w:footnote>
  <w:footnote w:id="533">
    <w:p w14:paraId="10E5E9A6" w14:textId="77777777" w:rsidR="00074551" w:rsidRPr="00283B1E" w:rsidRDefault="00074551" w:rsidP="00074551">
      <w:pPr>
        <w:pStyle w:val="Funotentext"/>
        <w:jc w:val="both"/>
        <w:rPr>
          <w:lang w:val="en-US"/>
        </w:rPr>
      </w:pPr>
      <w:r>
        <w:rPr>
          <w:rStyle w:val="Funotenzeichen"/>
          <w:rFonts w:eastAsiaTheme="majorEastAsia"/>
        </w:rPr>
        <w:footnoteRef/>
      </w:r>
      <w:r w:rsidRPr="00283B1E">
        <w:rPr>
          <w:lang w:val="en-US"/>
        </w:rPr>
        <w:t xml:space="preserve"> </w:t>
      </w:r>
      <w:r w:rsidRPr="00584023">
        <w:rPr>
          <w:i/>
          <w:lang w:val="en-US"/>
        </w:rPr>
        <w:t>United States v. Wheeler</w:t>
      </w:r>
      <w:r w:rsidRPr="00283B1E">
        <w:rPr>
          <w:lang w:val="en-US"/>
        </w:rPr>
        <w:t>, 254 U.S. 281, 292</w:t>
      </w:r>
      <w:r w:rsidRPr="006E67FE">
        <w:rPr>
          <w:lang w:val="en-US"/>
        </w:rPr>
        <w:t xml:space="preserve"> = 41 S. Ct</w:t>
      </w:r>
      <w:r w:rsidRPr="00283B1E">
        <w:rPr>
          <w:lang w:val="en-US"/>
        </w:rPr>
        <w:t>. 133, 133</w:t>
      </w:r>
      <w:r w:rsidRPr="00EC5BEB">
        <w:rPr>
          <w:lang w:val="en-US"/>
        </w:rPr>
        <w:t xml:space="preserve"> = 1920 U.S. LEXIS </w:t>
      </w:r>
      <w:r w:rsidRPr="00283B1E">
        <w:rPr>
          <w:lang w:val="en-US"/>
        </w:rPr>
        <w:t>1159, 7</w:t>
      </w:r>
      <w:r>
        <w:rPr>
          <w:lang w:val="en-US"/>
        </w:rPr>
        <w:t xml:space="preserve"> = 65 L. Ed. </w:t>
      </w:r>
      <w:r w:rsidRPr="00283B1E">
        <w:rPr>
          <w:lang w:val="en-US"/>
        </w:rPr>
        <w:t>270 (1920)</w:t>
      </w:r>
      <w:r>
        <w:rPr>
          <w:lang w:val="en-US"/>
        </w:rPr>
        <w:t>.</w:t>
      </w:r>
    </w:p>
  </w:footnote>
  <w:footnote w:id="534">
    <w:p w14:paraId="5F4146CB" w14:textId="77777777" w:rsidR="00074551" w:rsidRPr="00283B1E" w:rsidRDefault="00074551" w:rsidP="00074551">
      <w:pPr>
        <w:pStyle w:val="Funotentext"/>
        <w:jc w:val="both"/>
        <w:rPr>
          <w:lang w:val="en-US"/>
        </w:rPr>
      </w:pPr>
      <w:r>
        <w:rPr>
          <w:rStyle w:val="Funotenzeichen"/>
          <w:rFonts w:eastAsiaTheme="majorEastAsia"/>
        </w:rPr>
        <w:footnoteRef/>
      </w:r>
      <w:r w:rsidRPr="00283B1E">
        <w:rPr>
          <w:lang w:val="en-US"/>
        </w:rPr>
        <w:t xml:space="preserve"> </w:t>
      </w:r>
      <w:r w:rsidRPr="00584023">
        <w:rPr>
          <w:i/>
          <w:lang w:val="en-US"/>
        </w:rPr>
        <w:t>United States v. Wheeler</w:t>
      </w:r>
      <w:r w:rsidRPr="00283B1E">
        <w:rPr>
          <w:lang w:val="en-US"/>
        </w:rPr>
        <w:t>, 254 U.S. 281, 292</w:t>
      </w:r>
      <w:r w:rsidRPr="006E67FE">
        <w:rPr>
          <w:lang w:val="en-US"/>
        </w:rPr>
        <w:t xml:space="preserve"> = 41 S. Ct</w:t>
      </w:r>
      <w:r w:rsidRPr="00283B1E">
        <w:rPr>
          <w:lang w:val="en-US"/>
        </w:rPr>
        <w:t>. 133, 133</w:t>
      </w:r>
      <w:r w:rsidRPr="00EC5BEB">
        <w:rPr>
          <w:lang w:val="en-US"/>
        </w:rPr>
        <w:t xml:space="preserve"> = 1920 U.S. LEXIS </w:t>
      </w:r>
      <w:r w:rsidRPr="00283B1E">
        <w:rPr>
          <w:lang w:val="en-US"/>
        </w:rPr>
        <w:t>1159, 8</w:t>
      </w:r>
      <w:r>
        <w:rPr>
          <w:lang w:val="en-US"/>
        </w:rPr>
        <w:t xml:space="preserve"> = 65 L. Ed. </w:t>
      </w:r>
      <w:r w:rsidRPr="00283B1E">
        <w:rPr>
          <w:lang w:val="en-US"/>
        </w:rPr>
        <w:t>270 (1920)</w:t>
      </w:r>
      <w:r>
        <w:rPr>
          <w:lang w:val="en-US"/>
        </w:rPr>
        <w:t>.</w:t>
      </w:r>
    </w:p>
  </w:footnote>
  <w:footnote w:id="535">
    <w:p w14:paraId="6645C125" w14:textId="77777777" w:rsidR="00074551" w:rsidRPr="00283B1E" w:rsidRDefault="00074551" w:rsidP="00074551">
      <w:pPr>
        <w:pStyle w:val="Funotentext"/>
        <w:jc w:val="both"/>
        <w:rPr>
          <w:lang w:val="en-US"/>
        </w:rPr>
      </w:pPr>
      <w:r>
        <w:rPr>
          <w:rStyle w:val="Funotenzeichen"/>
          <w:rFonts w:eastAsiaTheme="majorEastAsia"/>
        </w:rPr>
        <w:footnoteRef/>
      </w:r>
      <w:r w:rsidRPr="00283B1E">
        <w:rPr>
          <w:lang w:val="en-US"/>
        </w:rPr>
        <w:t xml:space="preserve"> </w:t>
      </w:r>
      <w:r w:rsidRPr="00584023">
        <w:rPr>
          <w:i/>
          <w:lang w:val="en-US"/>
        </w:rPr>
        <w:t>United States v. Wheeler</w:t>
      </w:r>
      <w:r w:rsidRPr="00283B1E">
        <w:rPr>
          <w:lang w:val="en-US"/>
        </w:rPr>
        <w:t>, 254 U.S. 281, 292</w:t>
      </w:r>
      <w:r w:rsidRPr="006E67FE">
        <w:rPr>
          <w:lang w:val="en-US"/>
        </w:rPr>
        <w:t xml:space="preserve"> = 41 S. Ct</w:t>
      </w:r>
      <w:r w:rsidRPr="00283B1E">
        <w:rPr>
          <w:lang w:val="en-US"/>
        </w:rPr>
        <w:t>. 133, 133</w:t>
      </w:r>
      <w:r w:rsidRPr="00EC5BEB">
        <w:rPr>
          <w:lang w:val="en-US"/>
        </w:rPr>
        <w:t xml:space="preserve"> = 1920 U.S. LEXIS </w:t>
      </w:r>
      <w:r w:rsidRPr="00283B1E">
        <w:rPr>
          <w:lang w:val="en-US"/>
        </w:rPr>
        <w:t>1159, 1</w:t>
      </w:r>
      <w:r>
        <w:rPr>
          <w:lang w:val="en-US"/>
        </w:rPr>
        <w:t xml:space="preserve"> = 65 L. Ed. </w:t>
      </w:r>
      <w:r w:rsidRPr="00283B1E">
        <w:rPr>
          <w:lang w:val="en-US"/>
        </w:rPr>
        <w:t>270 (1920)</w:t>
      </w:r>
      <w:r>
        <w:rPr>
          <w:lang w:val="en-US"/>
        </w:rPr>
        <w:t>.</w:t>
      </w:r>
    </w:p>
  </w:footnote>
  <w:footnote w:id="536">
    <w:p w14:paraId="1D0F9BC2" w14:textId="77777777" w:rsidR="00074551" w:rsidRPr="003461C7" w:rsidRDefault="00074551" w:rsidP="00074551">
      <w:pPr>
        <w:pStyle w:val="Funotentext"/>
        <w:jc w:val="both"/>
        <w:rPr>
          <w:lang w:val="en-US"/>
        </w:rPr>
      </w:pPr>
      <w:r>
        <w:rPr>
          <w:rStyle w:val="Funotenzeichen"/>
        </w:rPr>
        <w:footnoteRef/>
      </w:r>
      <w:r w:rsidRPr="003461C7">
        <w:rPr>
          <w:lang w:val="en-US"/>
        </w:rPr>
        <w:t xml:space="preserve"> </w:t>
      </w:r>
      <w:proofErr w:type="spellStart"/>
      <w:r w:rsidRPr="00584023">
        <w:rPr>
          <w:i/>
          <w:lang w:val="en-US"/>
        </w:rPr>
        <w:t>Bartemeyer</w:t>
      </w:r>
      <w:proofErr w:type="spellEnd"/>
      <w:r w:rsidRPr="00584023">
        <w:rPr>
          <w:i/>
          <w:lang w:val="en-US"/>
        </w:rPr>
        <w:t xml:space="preserve"> v. Iowa</w:t>
      </w:r>
      <w:r w:rsidRPr="003461C7">
        <w:rPr>
          <w:lang w:val="en-US"/>
        </w:rPr>
        <w:t>, 85 U.S. 129, 132</w:t>
      </w:r>
      <w:r w:rsidRPr="003B741A">
        <w:rPr>
          <w:lang w:val="en-US"/>
        </w:rPr>
        <w:t xml:space="preserve"> = 21 L. Ed. </w:t>
      </w:r>
      <w:r w:rsidRPr="003461C7">
        <w:rPr>
          <w:lang w:val="en-US"/>
        </w:rPr>
        <w:t>929, 930</w:t>
      </w:r>
      <w:r w:rsidRPr="003B741A">
        <w:rPr>
          <w:lang w:val="en-US"/>
        </w:rPr>
        <w:t xml:space="preserve"> = 1873 U.S. LEXIS </w:t>
      </w:r>
      <w:r w:rsidRPr="003461C7">
        <w:rPr>
          <w:lang w:val="en-US"/>
        </w:rPr>
        <w:t>1297, 7</w:t>
      </w:r>
      <w:r w:rsidRPr="003B741A">
        <w:rPr>
          <w:lang w:val="en-US"/>
        </w:rPr>
        <w:t xml:space="preserve"> = 18 Wall. </w:t>
      </w:r>
      <w:r w:rsidRPr="003461C7">
        <w:rPr>
          <w:lang w:val="en-US"/>
        </w:rPr>
        <w:t>129 (1874)</w:t>
      </w:r>
      <w:r>
        <w:rPr>
          <w:lang w:val="en-US"/>
        </w:rPr>
        <w:t>.</w:t>
      </w:r>
    </w:p>
  </w:footnote>
  <w:footnote w:id="537">
    <w:p w14:paraId="7AD729DB" w14:textId="77777777" w:rsidR="00074551" w:rsidRPr="00091030" w:rsidRDefault="00074551" w:rsidP="00074551">
      <w:pPr>
        <w:pStyle w:val="Funotentext"/>
        <w:jc w:val="both"/>
        <w:rPr>
          <w:lang w:val="en-US"/>
        </w:rPr>
      </w:pPr>
      <w:r>
        <w:rPr>
          <w:rStyle w:val="Funotenzeichen"/>
          <w:rFonts w:eastAsiaTheme="majorEastAsia"/>
        </w:rPr>
        <w:footnoteRef/>
      </w:r>
      <w:r w:rsidRPr="00091030">
        <w:rPr>
          <w:lang w:val="en-US"/>
        </w:rPr>
        <w:t xml:space="preserve"> </w:t>
      </w:r>
      <w:proofErr w:type="spellStart"/>
      <w:r w:rsidRPr="00584023">
        <w:rPr>
          <w:i/>
          <w:lang w:val="en-US"/>
        </w:rPr>
        <w:t>Bartemeyer</w:t>
      </w:r>
      <w:proofErr w:type="spellEnd"/>
      <w:r w:rsidRPr="00584023">
        <w:rPr>
          <w:i/>
          <w:lang w:val="en-US"/>
        </w:rPr>
        <w:t xml:space="preserve"> v. Iowa</w:t>
      </w:r>
      <w:r w:rsidRPr="00091030">
        <w:rPr>
          <w:lang w:val="en-US"/>
        </w:rPr>
        <w:t>, 85 U.S. 129, 132</w:t>
      </w:r>
      <w:r w:rsidRPr="003B741A">
        <w:rPr>
          <w:lang w:val="en-US"/>
        </w:rPr>
        <w:t xml:space="preserve"> = 21 L. Ed. </w:t>
      </w:r>
      <w:r w:rsidRPr="00091030">
        <w:rPr>
          <w:lang w:val="en-US"/>
        </w:rPr>
        <w:t>929, 930</w:t>
      </w:r>
      <w:r w:rsidRPr="003B741A">
        <w:rPr>
          <w:lang w:val="en-US"/>
        </w:rPr>
        <w:t xml:space="preserve"> = 1873 U.S. LEXIS </w:t>
      </w:r>
      <w:r w:rsidRPr="00091030">
        <w:rPr>
          <w:lang w:val="en-US"/>
        </w:rPr>
        <w:t>1297, 4</w:t>
      </w:r>
      <w:r w:rsidRPr="003B741A">
        <w:rPr>
          <w:lang w:val="en-US"/>
        </w:rPr>
        <w:t xml:space="preserve"> = 18 Wall. </w:t>
      </w:r>
      <w:r w:rsidRPr="00091030">
        <w:rPr>
          <w:lang w:val="en-US"/>
        </w:rPr>
        <w:t>129 (1874)</w:t>
      </w:r>
      <w:r>
        <w:rPr>
          <w:lang w:val="en-US"/>
        </w:rPr>
        <w:t>.</w:t>
      </w:r>
    </w:p>
  </w:footnote>
  <w:footnote w:id="538">
    <w:p w14:paraId="2B6DA23B"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proofErr w:type="spellStart"/>
      <w:r w:rsidRPr="00584023">
        <w:rPr>
          <w:i/>
          <w:lang w:val="en-US"/>
        </w:rPr>
        <w:t>Bartemeyer</w:t>
      </w:r>
      <w:proofErr w:type="spellEnd"/>
      <w:r w:rsidRPr="00584023">
        <w:rPr>
          <w:i/>
          <w:lang w:val="en-US"/>
        </w:rPr>
        <w:t xml:space="preserve"> v. Iowa</w:t>
      </w:r>
      <w:r w:rsidRPr="00AC31C5">
        <w:rPr>
          <w:lang w:val="en-US"/>
        </w:rPr>
        <w:t>, 85 U.S. 129, 139</w:t>
      </w:r>
      <w:r w:rsidRPr="003B741A">
        <w:rPr>
          <w:lang w:val="en-US"/>
        </w:rPr>
        <w:t xml:space="preserve"> = 21 L. Ed. </w:t>
      </w:r>
      <w:r w:rsidRPr="00AC31C5">
        <w:rPr>
          <w:lang w:val="en-US"/>
        </w:rPr>
        <w:t>929, 933</w:t>
      </w:r>
      <w:r w:rsidRPr="003B741A">
        <w:rPr>
          <w:lang w:val="en-US"/>
        </w:rPr>
        <w:t xml:space="preserve"> = 1873 U.S. LEXIS </w:t>
      </w:r>
      <w:r w:rsidRPr="00AC31C5">
        <w:rPr>
          <w:lang w:val="en-US"/>
        </w:rPr>
        <w:t>1297, 20</w:t>
      </w:r>
      <w:r w:rsidRPr="003B741A">
        <w:rPr>
          <w:lang w:val="en-US"/>
        </w:rPr>
        <w:t xml:space="preserve"> = 18 Wall. </w:t>
      </w:r>
      <w:r w:rsidRPr="00AC31C5">
        <w:rPr>
          <w:lang w:val="en-US"/>
        </w:rPr>
        <w:t>129 (1874)</w:t>
      </w:r>
      <w:r>
        <w:rPr>
          <w:lang w:val="en-US"/>
        </w:rPr>
        <w:t>.</w:t>
      </w:r>
    </w:p>
  </w:footnote>
  <w:footnote w:id="539">
    <w:p w14:paraId="27F58C06"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proofErr w:type="spellStart"/>
      <w:r w:rsidRPr="00584023">
        <w:rPr>
          <w:i/>
          <w:lang w:val="en-US"/>
        </w:rPr>
        <w:t>Bartemeyer</w:t>
      </w:r>
      <w:proofErr w:type="spellEnd"/>
      <w:r w:rsidRPr="00584023">
        <w:rPr>
          <w:i/>
          <w:lang w:val="en-US"/>
        </w:rPr>
        <w:t xml:space="preserve"> v. Iowa</w:t>
      </w:r>
      <w:r w:rsidRPr="00AC31C5">
        <w:rPr>
          <w:lang w:val="en-US"/>
        </w:rPr>
        <w:t>, 85 U.S. 129, 137</w:t>
      </w:r>
      <w:r w:rsidRPr="003B741A">
        <w:rPr>
          <w:lang w:val="en-US"/>
        </w:rPr>
        <w:t xml:space="preserve"> = 21 L. Ed. </w:t>
      </w:r>
      <w:r w:rsidRPr="00AC31C5">
        <w:rPr>
          <w:lang w:val="en-US"/>
        </w:rPr>
        <w:t>929, 932</w:t>
      </w:r>
      <w:r w:rsidRPr="003B741A">
        <w:rPr>
          <w:lang w:val="en-US"/>
        </w:rPr>
        <w:t xml:space="preserve"> = 1873 U.S. LEXIS </w:t>
      </w:r>
      <w:r w:rsidRPr="00AC31C5">
        <w:rPr>
          <w:lang w:val="en-US"/>
        </w:rPr>
        <w:t>1297, 15</w:t>
      </w:r>
      <w:r w:rsidRPr="003B741A">
        <w:rPr>
          <w:lang w:val="en-US"/>
        </w:rPr>
        <w:t xml:space="preserve"> = 18 Wall. </w:t>
      </w:r>
      <w:r w:rsidRPr="00AC31C5">
        <w:rPr>
          <w:lang w:val="en-US"/>
        </w:rPr>
        <w:t>129 (1874)</w:t>
      </w:r>
      <w:r>
        <w:rPr>
          <w:lang w:val="en-US"/>
        </w:rPr>
        <w:t>.</w:t>
      </w:r>
    </w:p>
  </w:footnote>
  <w:footnote w:id="540">
    <w:p w14:paraId="12098CD0" w14:textId="77777777" w:rsidR="00074551" w:rsidRPr="003461C7" w:rsidRDefault="00074551" w:rsidP="00074551">
      <w:pPr>
        <w:pStyle w:val="Funotentext"/>
        <w:jc w:val="both"/>
        <w:rPr>
          <w:lang w:val="en-US"/>
        </w:rPr>
      </w:pPr>
      <w:r>
        <w:rPr>
          <w:rStyle w:val="Funotenzeichen"/>
        </w:rPr>
        <w:footnoteRef/>
      </w:r>
      <w:r w:rsidRPr="003461C7">
        <w:rPr>
          <w:lang w:val="en-US"/>
        </w:rPr>
        <w:t xml:space="preserve"> </w:t>
      </w:r>
      <w:r w:rsidRPr="008F73D7">
        <w:rPr>
          <w:i/>
          <w:lang w:val="en-US"/>
        </w:rPr>
        <w:t>Slaughter-House Cases</w:t>
      </w:r>
      <w:r w:rsidRPr="003461C7">
        <w:rPr>
          <w:lang w:val="en-US"/>
        </w:rPr>
        <w:t xml:space="preserve">, 16 Wallace, 36; </w:t>
      </w:r>
      <w:proofErr w:type="spellStart"/>
      <w:r w:rsidRPr="00584023">
        <w:rPr>
          <w:i/>
          <w:lang w:val="en-US"/>
        </w:rPr>
        <w:t>Bartemeyer</w:t>
      </w:r>
      <w:proofErr w:type="spellEnd"/>
      <w:r w:rsidRPr="00584023">
        <w:rPr>
          <w:i/>
          <w:lang w:val="en-US"/>
        </w:rPr>
        <w:t xml:space="preserve"> v. Iowa</w:t>
      </w:r>
      <w:r w:rsidRPr="003461C7">
        <w:rPr>
          <w:lang w:val="en-US"/>
        </w:rPr>
        <w:t>, 85 U.S. 129, 133</w:t>
      </w:r>
      <w:r w:rsidRPr="003B741A">
        <w:rPr>
          <w:lang w:val="en-US"/>
        </w:rPr>
        <w:t xml:space="preserve"> = 21 L. Ed. </w:t>
      </w:r>
      <w:r w:rsidRPr="003461C7">
        <w:rPr>
          <w:lang w:val="en-US"/>
        </w:rPr>
        <w:t>929, 931</w:t>
      </w:r>
      <w:r w:rsidRPr="003B741A">
        <w:rPr>
          <w:lang w:val="en-US"/>
        </w:rPr>
        <w:t xml:space="preserve"> = 1873 U.S. LEXIS </w:t>
      </w:r>
      <w:r w:rsidRPr="003461C7">
        <w:rPr>
          <w:lang w:val="en-US"/>
        </w:rPr>
        <w:t>1297, 8</w:t>
      </w:r>
      <w:r w:rsidRPr="003B741A">
        <w:rPr>
          <w:lang w:val="en-US"/>
        </w:rPr>
        <w:t xml:space="preserve"> = 18 Wall. </w:t>
      </w:r>
      <w:r w:rsidRPr="003461C7">
        <w:rPr>
          <w:lang w:val="en-US"/>
        </w:rPr>
        <w:t>129 (1874)</w:t>
      </w:r>
      <w:r>
        <w:rPr>
          <w:lang w:val="en-US"/>
        </w:rPr>
        <w:t>.</w:t>
      </w:r>
    </w:p>
  </w:footnote>
  <w:footnote w:id="541">
    <w:p w14:paraId="136BB7BF"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proofErr w:type="spellStart"/>
      <w:r w:rsidRPr="00584023">
        <w:rPr>
          <w:i/>
          <w:lang w:val="en-US"/>
        </w:rPr>
        <w:t>Bartemeyer</w:t>
      </w:r>
      <w:proofErr w:type="spellEnd"/>
      <w:r w:rsidRPr="00584023">
        <w:rPr>
          <w:i/>
          <w:lang w:val="en-US"/>
        </w:rPr>
        <w:t xml:space="preserve"> v. Iowa</w:t>
      </w:r>
      <w:r w:rsidRPr="00AC31C5">
        <w:rPr>
          <w:lang w:val="en-US"/>
        </w:rPr>
        <w:t>, 85 U.S. 129, 137</w:t>
      </w:r>
      <w:r w:rsidRPr="003B741A">
        <w:rPr>
          <w:lang w:val="en-US"/>
        </w:rPr>
        <w:t xml:space="preserve"> = 21 L. Ed. </w:t>
      </w:r>
      <w:r w:rsidRPr="00AC31C5">
        <w:rPr>
          <w:lang w:val="en-US"/>
        </w:rPr>
        <w:t>929, 932</w:t>
      </w:r>
      <w:r w:rsidRPr="003B741A">
        <w:rPr>
          <w:lang w:val="en-US"/>
        </w:rPr>
        <w:t xml:space="preserve"> = 1873 U.S. LEXIS </w:t>
      </w:r>
      <w:r w:rsidRPr="00AC31C5">
        <w:rPr>
          <w:lang w:val="en-US"/>
        </w:rPr>
        <w:t>1297, 15</w:t>
      </w:r>
      <w:r w:rsidRPr="003B741A">
        <w:rPr>
          <w:lang w:val="en-US"/>
        </w:rPr>
        <w:t xml:space="preserve"> = 18 Wall. </w:t>
      </w:r>
      <w:r w:rsidRPr="00AC31C5">
        <w:rPr>
          <w:lang w:val="en-US"/>
        </w:rPr>
        <w:t>129 (1874)</w:t>
      </w:r>
      <w:r>
        <w:rPr>
          <w:lang w:val="en-US"/>
        </w:rPr>
        <w:t>.</w:t>
      </w:r>
    </w:p>
  </w:footnote>
  <w:footnote w:id="542">
    <w:p w14:paraId="2674C5FF"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proofErr w:type="spellStart"/>
      <w:r w:rsidRPr="00584023">
        <w:rPr>
          <w:i/>
          <w:lang w:val="en-US"/>
        </w:rPr>
        <w:t>Bartemeyer</w:t>
      </w:r>
      <w:proofErr w:type="spellEnd"/>
      <w:r w:rsidRPr="00584023">
        <w:rPr>
          <w:i/>
          <w:lang w:val="en-US"/>
        </w:rPr>
        <w:t xml:space="preserve"> v. Iowa</w:t>
      </w:r>
      <w:r w:rsidRPr="00AC31C5">
        <w:rPr>
          <w:lang w:val="en-US"/>
        </w:rPr>
        <w:t>, 85 U.S. 129, 137</w:t>
      </w:r>
      <w:r w:rsidRPr="003B741A">
        <w:rPr>
          <w:lang w:val="en-US"/>
        </w:rPr>
        <w:t xml:space="preserve"> = 21 L. Ed. </w:t>
      </w:r>
      <w:r w:rsidRPr="00AC31C5">
        <w:rPr>
          <w:lang w:val="en-US"/>
        </w:rPr>
        <w:t>929, 932</w:t>
      </w:r>
      <w:r w:rsidRPr="003B741A">
        <w:rPr>
          <w:lang w:val="en-US"/>
        </w:rPr>
        <w:t xml:space="preserve"> = 1873 U.S. LEXIS </w:t>
      </w:r>
      <w:r w:rsidRPr="00AC31C5">
        <w:rPr>
          <w:lang w:val="en-US"/>
        </w:rPr>
        <w:t>1297, 15</w:t>
      </w:r>
      <w:r w:rsidRPr="003B741A">
        <w:rPr>
          <w:lang w:val="en-US"/>
        </w:rPr>
        <w:t xml:space="preserve"> = 18 Wall. </w:t>
      </w:r>
      <w:r w:rsidRPr="00AC31C5">
        <w:rPr>
          <w:lang w:val="en-US"/>
        </w:rPr>
        <w:t>129 (1874)</w:t>
      </w:r>
      <w:r>
        <w:rPr>
          <w:lang w:val="en-US"/>
        </w:rPr>
        <w:t>.</w:t>
      </w:r>
    </w:p>
  </w:footnote>
  <w:footnote w:id="543">
    <w:p w14:paraId="68DC9689" w14:textId="77777777" w:rsidR="00074551" w:rsidRPr="003461C7" w:rsidRDefault="00074551" w:rsidP="00074551">
      <w:pPr>
        <w:pStyle w:val="Funotentext"/>
        <w:jc w:val="both"/>
        <w:rPr>
          <w:lang w:val="en-US"/>
        </w:rPr>
      </w:pPr>
      <w:r>
        <w:rPr>
          <w:rStyle w:val="Funotenzeichen"/>
        </w:rPr>
        <w:footnoteRef/>
      </w:r>
      <w:r w:rsidRPr="003461C7">
        <w:rPr>
          <w:lang w:val="en-US"/>
        </w:rPr>
        <w:t xml:space="preserve"> </w:t>
      </w:r>
      <w:proofErr w:type="spellStart"/>
      <w:r w:rsidRPr="00584023">
        <w:rPr>
          <w:i/>
          <w:lang w:val="en-US"/>
        </w:rPr>
        <w:t>Bartemeyer</w:t>
      </w:r>
      <w:proofErr w:type="spellEnd"/>
      <w:r w:rsidRPr="00584023">
        <w:rPr>
          <w:i/>
          <w:lang w:val="en-US"/>
        </w:rPr>
        <w:t xml:space="preserve"> v. Iowa</w:t>
      </w:r>
      <w:r w:rsidRPr="003461C7">
        <w:rPr>
          <w:lang w:val="en-US"/>
        </w:rPr>
        <w:t>, 85 U.S. 129, 135</w:t>
      </w:r>
      <w:r w:rsidRPr="003B741A">
        <w:rPr>
          <w:lang w:val="en-US"/>
        </w:rPr>
        <w:t xml:space="preserve"> = 21 L. Ed. </w:t>
      </w:r>
      <w:r w:rsidRPr="003461C7">
        <w:rPr>
          <w:lang w:val="en-US"/>
        </w:rPr>
        <w:t>929, 931</w:t>
      </w:r>
      <w:r w:rsidRPr="003B741A">
        <w:rPr>
          <w:lang w:val="en-US"/>
        </w:rPr>
        <w:t xml:space="preserve"> = 1873 U.S. LEXIS </w:t>
      </w:r>
      <w:r w:rsidRPr="003461C7">
        <w:rPr>
          <w:lang w:val="en-US"/>
        </w:rPr>
        <w:t>1297, 12</w:t>
      </w:r>
      <w:r w:rsidRPr="003B741A">
        <w:rPr>
          <w:lang w:val="en-US"/>
        </w:rPr>
        <w:t xml:space="preserve"> = 18 Wall. </w:t>
      </w:r>
      <w:r w:rsidRPr="003461C7">
        <w:rPr>
          <w:lang w:val="en-US"/>
        </w:rPr>
        <w:t>129 (1874)</w:t>
      </w:r>
      <w:r>
        <w:rPr>
          <w:lang w:val="en-US"/>
        </w:rPr>
        <w:t>.</w:t>
      </w:r>
    </w:p>
  </w:footnote>
  <w:footnote w:id="544">
    <w:p w14:paraId="7187E9DF" w14:textId="77777777" w:rsidR="00074551" w:rsidRPr="0036087A" w:rsidRDefault="00074551" w:rsidP="00074551">
      <w:pPr>
        <w:pStyle w:val="Funotentext"/>
        <w:jc w:val="both"/>
      </w:pPr>
      <w:r>
        <w:rPr>
          <w:rStyle w:val="Funotenzeichen"/>
        </w:rPr>
        <w:footnoteRef/>
      </w:r>
      <w:r w:rsidRPr="0036087A">
        <w:rPr>
          <w:lang w:val="en-US"/>
        </w:rPr>
        <w:t xml:space="preserve"> </w:t>
      </w:r>
      <w:bookmarkStart w:id="34" w:name="_Hlk230007544"/>
      <w:r w:rsidRPr="0036087A">
        <w:rPr>
          <w:lang w:val="en-US"/>
        </w:rPr>
        <w:t>Acts of May 6, 1882, c. 126, 22 Stat. 58; July 5, 1884, c. 220, 23 Stat. 115; September 13, 1888, c. 1015, and October 1, 1888, c. 1064, 25 Stat. 476, 504; May 5, 1892, c. 60, 27 Stat. 25; August 18, 1894, c. 301, 28 Stat. 390</w:t>
      </w:r>
      <w:bookmarkEnd w:id="34"/>
      <w:r>
        <w:rPr>
          <w:lang w:val="en-US"/>
        </w:rPr>
        <w:t xml:space="preserve">, </w:t>
      </w:r>
      <w:proofErr w:type="spellStart"/>
      <w:r>
        <w:rPr>
          <w:lang w:val="en-US"/>
        </w:rPr>
        <w:t>vgl</w:t>
      </w:r>
      <w:proofErr w:type="spellEnd"/>
      <w:r>
        <w:rPr>
          <w:lang w:val="en-US"/>
        </w:rPr>
        <w:t xml:space="preserve">. </w:t>
      </w:r>
      <w:r w:rsidRPr="00584023">
        <w:rPr>
          <w:i/>
          <w:lang w:val="en-US"/>
        </w:rPr>
        <w:t>United States v. Wong Kim Ark</w:t>
      </w:r>
      <w:r w:rsidRPr="0036087A">
        <w:rPr>
          <w:lang w:val="en-US"/>
        </w:rPr>
        <w:t>, 169 U.S. 649</w:t>
      </w:r>
      <w:r w:rsidRPr="006E67FE">
        <w:rPr>
          <w:lang w:val="en-US"/>
        </w:rPr>
        <w:t xml:space="preserve"> = 18 S. Ct. </w:t>
      </w:r>
      <w:r w:rsidRPr="0036087A">
        <w:rPr>
          <w:lang w:val="en-US"/>
        </w:rPr>
        <w:t>456</w:t>
      </w:r>
      <w:r w:rsidRPr="003B741A">
        <w:rPr>
          <w:lang w:val="en-US"/>
        </w:rPr>
        <w:t xml:space="preserve"> = 42 L. Ed. </w:t>
      </w:r>
      <w:r w:rsidRPr="0036087A">
        <w:rPr>
          <w:lang w:val="en-US"/>
        </w:rPr>
        <w:t>890</w:t>
      </w:r>
      <w:r w:rsidRPr="00EC5BEB">
        <w:rPr>
          <w:lang w:val="en-US"/>
        </w:rPr>
        <w:t xml:space="preserve"> = 1898 U.S. LEXIS </w:t>
      </w:r>
      <w:r w:rsidRPr="0036087A">
        <w:rPr>
          <w:lang w:val="en-US"/>
        </w:rPr>
        <w:t>1515 (1898)</w:t>
      </w:r>
      <w:r>
        <w:rPr>
          <w:lang w:val="en-US"/>
        </w:rPr>
        <w:t xml:space="preserve">, </w:t>
      </w:r>
      <w:proofErr w:type="spellStart"/>
      <w:r>
        <w:rPr>
          <w:lang w:val="en-US"/>
        </w:rPr>
        <w:t>im</w:t>
      </w:r>
      <w:proofErr w:type="spellEnd"/>
      <w:r>
        <w:rPr>
          <w:lang w:val="en-US"/>
        </w:rPr>
        <w:t xml:space="preserve"> </w:t>
      </w:r>
      <w:proofErr w:type="spellStart"/>
      <w:r>
        <w:rPr>
          <w:lang w:val="en-US"/>
        </w:rPr>
        <w:t>Wortlaut</w:t>
      </w:r>
      <w:proofErr w:type="spellEnd"/>
      <w:r>
        <w:rPr>
          <w:lang w:val="en-US"/>
        </w:rPr>
        <w:t xml:space="preserve"> </w:t>
      </w:r>
      <w:proofErr w:type="spellStart"/>
      <w:r>
        <w:rPr>
          <w:lang w:val="en-US"/>
        </w:rPr>
        <w:t>u.a.</w:t>
      </w:r>
      <w:proofErr w:type="spellEnd"/>
      <w:r>
        <w:rPr>
          <w:lang w:val="en-US"/>
        </w:rPr>
        <w:t>: „</w:t>
      </w:r>
      <w:r w:rsidRPr="0036087A">
        <w:rPr>
          <w:lang w:val="en-US"/>
        </w:rPr>
        <w:t>An Act to execute certain treaty stipulations relating to Chinese.</w:t>
      </w:r>
      <w:r>
        <w:rPr>
          <w:lang w:val="en-US"/>
        </w:rPr>
        <w:t xml:space="preserve"> </w:t>
      </w:r>
      <w:r w:rsidRPr="0036087A">
        <w:rPr>
          <w:lang w:val="en-US"/>
        </w:rPr>
        <w:t>Whereas in the opinion of the Government of the United States the coming of Chinese laborers to this country endangers the good order of certain localities within the territory thereof: Therefore,</w:t>
      </w:r>
      <w:r>
        <w:rPr>
          <w:lang w:val="en-US"/>
        </w:rPr>
        <w:t xml:space="preserve"> </w:t>
      </w:r>
      <w:r w:rsidRPr="0036087A">
        <w:rPr>
          <w:lang w:val="en-US"/>
        </w:rPr>
        <w:t>Be it enacted by the Senate and House of Representatives of the United States of America in Congress assembled, That from and after the expiration of ninety days next after the passage of this act, and until the expiration of ten years next after the passage of this act, the coming of Chinese laborers to the United States be, and the same is hereby, suspended; and during such suspension it shall not be lawful for any Chinese laborer to come, or having so come after the expiration of said ninety days to remain within the United States.</w:t>
      </w:r>
      <w:r>
        <w:rPr>
          <w:lang w:val="en-US"/>
        </w:rPr>
        <w:t xml:space="preserve"> SECTION </w:t>
      </w:r>
      <w:r w:rsidRPr="0036087A">
        <w:rPr>
          <w:lang w:val="en-US"/>
        </w:rPr>
        <w:t>2. That the master of any vessel who shall knowingly bring within the United States on such vessel, and land or permit to be landed, any Chinese laborer, from any foreign port or place, shall be deemed guilty of a misdemeanor, and on conviction thereof shall be punished by a fine of not more than five hundred dollars for each and every such Chinese laborer so brought, and maybe also imprisoned for a term not exceeding one year.</w:t>
      </w:r>
      <w:r>
        <w:rPr>
          <w:lang w:val="en-US"/>
        </w:rPr>
        <w:t xml:space="preserve">“ </w:t>
      </w:r>
      <w:r w:rsidRPr="0036087A">
        <w:t xml:space="preserve">Siehe ferner: </w:t>
      </w:r>
      <w:r w:rsidRPr="00B45592">
        <w:t>https://www.archives.gov/milestone-documents/chinese-exclusion-act#transcript</w:t>
      </w:r>
      <w:r>
        <w:t xml:space="preserve"> (27.04.2026). </w:t>
      </w:r>
    </w:p>
  </w:footnote>
  <w:footnote w:id="545">
    <w:p w14:paraId="062403A1" w14:textId="77777777" w:rsidR="00074551" w:rsidRPr="00223C94" w:rsidRDefault="00074551" w:rsidP="00074551">
      <w:pPr>
        <w:pStyle w:val="Funotentext"/>
        <w:jc w:val="both"/>
        <w:rPr>
          <w:lang w:val="en-US"/>
        </w:rPr>
      </w:pPr>
      <w:r>
        <w:rPr>
          <w:rStyle w:val="Funotenzeichen"/>
        </w:rPr>
        <w:footnoteRef/>
      </w:r>
      <w:r w:rsidRPr="00223C94">
        <w:rPr>
          <w:lang w:val="en-US"/>
        </w:rPr>
        <w:t xml:space="preserve"> </w:t>
      </w:r>
      <w:r w:rsidRPr="00584023">
        <w:rPr>
          <w:i/>
          <w:lang w:val="en-US"/>
        </w:rPr>
        <w:t>United States v. Wong Kim Ark</w:t>
      </w:r>
      <w:r w:rsidRPr="00223C94">
        <w:rPr>
          <w:lang w:val="en-US"/>
        </w:rPr>
        <w:t>, 169 U.S. 649, 652</w:t>
      </w:r>
      <w:r w:rsidRPr="006E67FE">
        <w:rPr>
          <w:lang w:val="en-US"/>
        </w:rPr>
        <w:t xml:space="preserve"> = 18 S. Ct. </w:t>
      </w:r>
      <w:r w:rsidRPr="00223C94">
        <w:rPr>
          <w:lang w:val="en-US"/>
        </w:rPr>
        <w:t>456, 458</w:t>
      </w:r>
      <w:r w:rsidRPr="003B741A">
        <w:rPr>
          <w:lang w:val="en-US"/>
        </w:rPr>
        <w:t xml:space="preserve"> = 42 L. Ed. </w:t>
      </w:r>
      <w:r w:rsidRPr="00223C94">
        <w:rPr>
          <w:lang w:val="en-US"/>
        </w:rPr>
        <w:t>890, 892</w:t>
      </w:r>
      <w:r w:rsidRPr="00EC5BEB">
        <w:rPr>
          <w:lang w:val="en-US"/>
        </w:rPr>
        <w:t xml:space="preserve"> = 1898 U.S. LEXIS </w:t>
      </w:r>
      <w:r w:rsidRPr="00223C94">
        <w:rPr>
          <w:lang w:val="en-US"/>
        </w:rPr>
        <w:t>1515, 6 (1898)</w:t>
      </w:r>
      <w:r>
        <w:rPr>
          <w:lang w:val="en-US"/>
        </w:rPr>
        <w:t>.</w:t>
      </w:r>
    </w:p>
  </w:footnote>
  <w:footnote w:id="546">
    <w:p w14:paraId="2EABF575" w14:textId="77777777" w:rsidR="00074551" w:rsidRPr="00856112" w:rsidRDefault="00074551" w:rsidP="00074551">
      <w:pPr>
        <w:pStyle w:val="Funotentext"/>
        <w:jc w:val="both"/>
        <w:rPr>
          <w:lang w:val="en-US"/>
        </w:rPr>
      </w:pPr>
      <w:r>
        <w:rPr>
          <w:rStyle w:val="Funotenzeichen"/>
        </w:rPr>
        <w:footnoteRef/>
      </w:r>
      <w:r w:rsidRPr="00856112">
        <w:rPr>
          <w:lang w:val="en-US"/>
        </w:rPr>
        <w:t xml:space="preserve"> </w:t>
      </w:r>
      <w:r w:rsidRPr="00584023">
        <w:rPr>
          <w:i/>
          <w:lang w:val="en-US"/>
        </w:rPr>
        <w:t>United States v. Wong Kim Ark</w:t>
      </w:r>
      <w:r w:rsidRPr="00856112">
        <w:rPr>
          <w:lang w:val="en-US"/>
        </w:rPr>
        <w:t>, 169 U.S. 649, 654</w:t>
      </w:r>
      <w:r w:rsidRPr="006E67FE">
        <w:rPr>
          <w:lang w:val="en-US"/>
        </w:rPr>
        <w:t xml:space="preserve"> = 18 S. Ct. </w:t>
      </w:r>
      <w:r w:rsidRPr="00856112">
        <w:rPr>
          <w:lang w:val="en-US"/>
        </w:rPr>
        <w:t>456, 459</w:t>
      </w:r>
      <w:r w:rsidRPr="003B741A">
        <w:rPr>
          <w:lang w:val="en-US"/>
        </w:rPr>
        <w:t xml:space="preserve"> = 42 L. Ed. </w:t>
      </w:r>
      <w:r w:rsidRPr="00856112">
        <w:rPr>
          <w:lang w:val="en-US"/>
        </w:rPr>
        <w:t>890, 893</w:t>
      </w:r>
      <w:r w:rsidRPr="00EC5BEB">
        <w:rPr>
          <w:lang w:val="en-US"/>
        </w:rPr>
        <w:t xml:space="preserve"> = 1898 U.S. LEXIS </w:t>
      </w:r>
      <w:r w:rsidRPr="00856112">
        <w:rPr>
          <w:lang w:val="en-US"/>
        </w:rPr>
        <w:t>1515, 10 (1898)</w:t>
      </w:r>
      <w:r>
        <w:rPr>
          <w:lang w:val="en-US"/>
        </w:rPr>
        <w:t>.</w:t>
      </w:r>
    </w:p>
  </w:footnote>
  <w:footnote w:id="547">
    <w:p w14:paraId="15F4454D" w14:textId="77777777" w:rsidR="00074551" w:rsidRPr="00C34F1F" w:rsidRDefault="00074551" w:rsidP="00074551">
      <w:pPr>
        <w:pStyle w:val="Funotentext"/>
        <w:jc w:val="both"/>
        <w:rPr>
          <w:lang w:val="en-US"/>
        </w:rPr>
      </w:pPr>
      <w:r>
        <w:rPr>
          <w:rStyle w:val="Funotenzeichen"/>
        </w:rPr>
        <w:footnoteRef/>
      </w:r>
      <w:r w:rsidRPr="00C34F1F">
        <w:rPr>
          <w:lang w:val="en-US"/>
        </w:rPr>
        <w:t xml:space="preserve"> </w:t>
      </w:r>
      <w:r w:rsidRPr="00B45592">
        <w:rPr>
          <w:i/>
          <w:lang w:val="en-US"/>
        </w:rPr>
        <w:t>Royal Commission to inquire into the Laws of Naturalization and Allegiance</w:t>
      </w:r>
      <w:r>
        <w:rPr>
          <w:lang w:val="en-US"/>
        </w:rPr>
        <w:t xml:space="preserve">, </w:t>
      </w:r>
      <w:proofErr w:type="spellStart"/>
      <w:r>
        <w:rPr>
          <w:lang w:val="en-US"/>
        </w:rPr>
        <w:t>siehe</w:t>
      </w:r>
      <w:proofErr w:type="spellEnd"/>
      <w:r>
        <w:rPr>
          <w:lang w:val="en-US"/>
        </w:rPr>
        <w:t xml:space="preserve"> </w:t>
      </w:r>
      <w:r w:rsidRPr="00584023">
        <w:rPr>
          <w:i/>
          <w:lang w:val="en-US"/>
        </w:rPr>
        <w:t>United States v. Wong Kim Ark</w:t>
      </w:r>
      <w:r w:rsidRPr="00C34F1F">
        <w:rPr>
          <w:lang w:val="en-US"/>
        </w:rPr>
        <w:t>, 169 U.S. 649, 711</w:t>
      </w:r>
      <w:r w:rsidRPr="006E67FE">
        <w:rPr>
          <w:lang w:val="en-US"/>
        </w:rPr>
        <w:t xml:space="preserve"> = 18 S. Ct. </w:t>
      </w:r>
      <w:r w:rsidRPr="00C34F1F">
        <w:rPr>
          <w:lang w:val="en-US"/>
        </w:rPr>
        <w:t>456, 480</w:t>
      </w:r>
      <w:r w:rsidRPr="003B741A">
        <w:rPr>
          <w:lang w:val="en-US"/>
        </w:rPr>
        <w:t xml:space="preserve"> = 42 L. Ed. </w:t>
      </w:r>
      <w:r w:rsidRPr="00C34F1F">
        <w:rPr>
          <w:lang w:val="en-US"/>
        </w:rPr>
        <w:t>890, 912</w:t>
      </w:r>
      <w:r w:rsidRPr="00EC5BEB">
        <w:rPr>
          <w:lang w:val="en-US"/>
        </w:rPr>
        <w:t xml:space="preserve"> = 1898 U.S. LEXIS </w:t>
      </w:r>
      <w:r w:rsidRPr="00C34F1F">
        <w:rPr>
          <w:lang w:val="en-US"/>
        </w:rPr>
        <w:t>1515, 117 (1898)</w:t>
      </w:r>
      <w:r>
        <w:rPr>
          <w:lang w:val="en-US"/>
        </w:rPr>
        <w:t>.</w:t>
      </w:r>
    </w:p>
  </w:footnote>
  <w:footnote w:id="548">
    <w:p w14:paraId="57134C80" w14:textId="77777777" w:rsidR="00074551" w:rsidRPr="00F5189B" w:rsidRDefault="00074551" w:rsidP="00074551">
      <w:pPr>
        <w:pStyle w:val="Funotentext"/>
        <w:jc w:val="both"/>
        <w:rPr>
          <w:lang w:val="en-US"/>
        </w:rPr>
      </w:pPr>
      <w:r>
        <w:rPr>
          <w:rStyle w:val="Funotenzeichen"/>
        </w:rPr>
        <w:footnoteRef/>
      </w:r>
      <w:r w:rsidRPr="00F5189B">
        <w:rPr>
          <w:lang w:val="en-US"/>
        </w:rPr>
        <w:t xml:space="preserve"> </w:t>
      </w:r>
      <w:r w:rsidRPr="00584023">
        <w:rPr>
          <w:i/>
          <w:lang w:val="en-US"/>
        </w:rPr>
        <w:t>United States v. Wong Kim Ark</w:t>
      </w:r>
      <w:r w:rsidRPr="00F5189B">
        <w:rPr>
          <w:lang w:val="en-US"/>
        </w:rPr>
        <w:t>, 169 U.S. 649, 711</w:t>
      </w:r>
      <w:r w:rsidRPr="006E67FE">
        <w:rPr>
          <w:lang w:val="en-US"/>
        </w:rPr>
        <w:t xml:space="preserve"> = 18 S. Ct. </w:t>
      </w:r>
      <w:r w:rsidRPr="00F5189B">
        <w:rPr>
          <w:lang w:val="en-US"/>
        </w:rPr>
        <w:t>456, 480</w:t>
      </w:r>
      <w:r w:rsidRPr="003B741A">
        <w:rPr>
          <w:lang w:val="en-US"/>
        </w:rPr>
        <w:t xml:space="preserve"> = 42 L. Ed. </w:t>
      </w:r>
      <w:r w:rsidRPr="00F5189B">
        <w:rPr>
          <w:lang w:val="en-US"/>
        </w:rPr>
        <w:t>890, 912</w:t>
      </w:r>
      <w:r w:rsidRPr="00EC5BEB">
        <w:rPr>
          <w:lang w:val="en-US"/>
        </w:rPr>
        <w:t xml:space="preserve"> = 1898 U.S. LEXIS </w:t>
      </w:r>
      <w:r w:rsidRPr="00F5189B">
        <w:rPr>
          <w:lang w:val="en-US"/>
        </w:rPr>
        <w:t>1515, 117 (1898)</w:t>
      </w:r>
      <w:r>
        <w:rPr>
          <w:lang w:val="en-US"/>
        </w:rPr>
        <w:t>.</w:t>
      </w:r>
    </w:p>
  </w:footnote>
  <w:footnote w:id="549">
    <w:p w14:paraId="1A6AA6D0" w14:textId="77777777" w:rsidR="00074551" w:rsidRPr="00F5189B" w:rsidRDefault="00074551" w:rsidP="00074551">
      <w:pPr>
        <w:pStyle w:val="Funotentext"/>
        <w:jc w:val="both"/>
        <w:rPr>
          <w:lang w:val="en-US"/>
        </w:rPr>
      </w:pPr>
      <w:r>
        <w:rPr>
          <w:rStyle w:val="Funotenzeichen"/>
        </w:rPr>
        <w:footnoteRef/>
      </w:r>
      <w:r w:rsidRPr="00F5189B">
        <w:rPr>
          <w:lang w:val="en-US"/>
        </w:rPr>
        <w:t xml:space="preserve"> </w:t>
      </w:r>
      <w:r w:rsidRPr="00584023">
        <w:rPr>
          <w:i/>
          <w:lang w:val="en-US"/>
        </w:rPr>
        <w:t>United States v. Wong Kim Ark</w:t>
      </w:r>
      <w:r w:rsidRPr="00F5189B">
        <w:rPr>
          <w:lang w:val="en-US"/>
        </w:rPr>
        <w:t>, 169 U.S. 649, 711</w:t>
      </w:r>
      <w:r w:rsidRPr="006E67FE">
        <w:rPr>
          <w:lang w:val="en-US"/>
        </w:rPr>
        <w:t xml:space="preserve"> = 18 S. Ct. </w:t>
      </w:r>
      <w:r w:rsidRPr="00F5189B">
        <w:rPr>
          <w:lang w:val="en-US"/>
        </w:rPr>
        <w:t>456, 480</w:t>
      </w:r>
      <w:r w:rsidRPr="003B741A">
        <w:rPr>
          <w:lang w:val="en-US"/>
        </w:rPr>
        <w:t xml:space="preserve"> = 42 L. Ed. </w:t>
      </w:r>
      <w:r w:rsidRPr="00F5189B">
        <w:rPr>
          <w:lang w:val="en-US"/>
        </w:rPr>
        <w:t>890, 912</w:t>
      </w:r>
      <w:r w:rsidRPr="00EC5BEB">
        <w:rPr>
          <w:lang w:val="en-US"/>
        </w:rPr>
        <w:t xml:space="preserve"> = 1898 U.S. LEXIS </w:t>
      </w:r>
      <w:r w:rsidRPr="00F5189B">
        <w:rPr>
          <w:lang w:val="en-US"/>
        </w:rPr>
        <w:t>1515, 117 (1898)</w:t>
      </w:r>
      <w:r>
        <w:rPr>
          <w:lang w:val="en-US"/>
        </w:rPr>
        <w:t>.</w:t>
      </w:r>
    </w:p>
  </w:footnote>
  <w:footnote w:id="550">
    <w:p w14:paraId="088E4B03" w14:textId="77777777" w:rsidR="00074551" w:rsidRPr="00F167E5" w:rsidRDefault="00074551" w:rsidP="00074551">
      <w:pPr>
        <w:pStyle w:val="Funotentext"/>
        <w:jc w:val="both"/>
        <w:rPr>
          <w:lang w:val="en-US"/>
        </w:rPr>
      </w:pPr>
      <w:r>
        <w:rPr>
          <w:rStyle w:val="Funotenzeichen"/>
        </w:rPr>
        <w:footnoteRef/>
      </w:r>
      <w:r w:rsidRPr="00F167E5">
        <w:rPr>
          <w:lang w:val="en-US"/>
        </w:rPr>
        <w:t xml:space="preserve"> „City ordinance provides </w:t>
      </w:r>
      <w:proofErr w:type="gramStart"/>
      <w:r w:rsidRPr="00F167E5">
        <w:rPr>
          <w:lang w:val="en-US"/>
        </w:rPr>
        <w:t xml:space="preserve">that </w:t>
      </w:r>
      <w:r>
        <w:rPr>
          <w:lang w:val="en-US"/>
        </w:rPr>
        <w:t>,</w:t>
      </w:r>
      <w:proofErr w:type="gramEnd"/>
      <w:r w:rsidRPr="00F167E5">
        <w:rPr>
          <w:lang w:val="en-US"/>
        </w:rPr>
        <w:t xml:space="preserve">[n]o person shall </w:t>
      </w:r>
      <w:r>
        <w:rPr>
          <w:lang w:val="en-US"/>
        </w:rPr>
        <w:t>…</w:t>
      </w:r>
      <w:r w:rsidRPr="00F167E5">
        <w:rPr>
          <w:lang w:val="en-US"/>
        </w:rPr>
        <w:t xml:space="preserve"> possess </w:t>
      </w:r>
      <w:r>
        <w:rPr>
          <w:lang w:val="en-US"/>
        </w:rPr>
        <w:t xml:space="preserve">… </w:t>
      </w:r>
      <w:r w:rsidRPr="00F167E5">
        <w:rPr>
          <w:lang w:val="en-US"/>
        </w:rPr>
        <w:t xml:space="preserve">any firearm unless such person is the holder of a valid registration certificate for such </w:t>
      </w:r>
      <w:proofErr w:type="gramStart"/>
      <w:r w:rsidRPr="00F167E5">
        <w:rPr>
          <w:lang w:val="en-US"/>
        </w:rPr>
        <w:t>firearm.</w:t>
      </w:r>
      <w:r>
        <w:rPr>
          <w:lang w:val="en-US"/>
        </w:rPr>
        <w:t>‘</w:t>
      </w:r>
      <w:proofErr w:type="gramEnd"/>
      <w:r w:rsidRPr="00F167E5">
        <w:rPr>
          <w:lang w:val="en-US"/>
        </w:rPr>
        <w:t xml:space="preserve"> Chicago, Ill., Municipal Code </w:t>
      </w:r>
      <w:r>
        <w:rPr>
          <w:lang w:val="en-US"/>
        </w:rPr>
        <w:t>§ </w:t>
      </w:r>
      <w:r w:rsidRPr="00F167E5">
        <w:rPr>
          <w:lang w:val="en-US"/>
        </w:rPr>
        <w:t xml:space="preserve">8-20-040(a) (2009). The Code then prohibits registration of most handguns, thus effectively banning handgun possession by almost all private citizens who reside in the </w:t>
      </w:r>
      <w:proofErr w:type="gramStart"/>
      <w:r w:rsidRPr="00F167E5">
        <w:rPr>
          <w:lang w:val="en-US"/>
        </w:rPr>
        <w:t>City</w:t>
      </w:r>
      <w:proofErr w:type="gramEnd"/>
      <w:r w:rsidRPr="00F167E5">
        <w:rPr>
          <w:lang w:val="en-US"/>
        </w:rPr>
        <w:t xml:space="preserve">. </w:t>
      </w:r>
      <w:r>
        <w:rPr>
          <w:lang w:val="en-US"/>
        </w:rPr>
        <w:t>§ </w:t>
      </w:r>
      <w:r w:rsidRPr="00F167E5">
        <w:rPr>
          <w:lang w:val="en-US"/>
        </w:rPr>
        <w:t xml:space="preserve">8-20-050(c). Like Chicago, Oak Park makes </w:t>
      </w:r>
      <w:proofErr w:type="gramStart"/>
      <w:r w:rsidRPr="00F167E5">
        <w:rPr>
          <w:lang w:val="en-US"/>
        </w:rPr>
        <w:t xml:space="preserve">it </w:t>
      </w:r>
      <w:r>
        <w:rPr>
          <w:lang w:val="en-US"/>
        </w:rPr>
        <w:t>,</w:t>
      </w:r>
      <w:r w:rsidRPr="00F167E5">
        <w:rPr>
          <w:lang w:val="en-US"/>
        </w:rPr>
        <w:t>unlawful</w:t>
      </w:r>
      <w:proofErr w:type="gramEnd"/>
      <w:r w:rsidRPr="00F167E5">
        <w:rPr>
          <w:lang w:val="en-US"/>
        </w:rPr>
        <w:t xml:space="preserve"> for any person to possess </w:t>
      </w:r>
      <w:r>
        <w:rPr>
          <w:lang w:val="en-US"/>
        </w:rPr>
        <w:t>…</w:t>
      </w:r>
      <w:r w:rsidRPr="00F167E5">
        <w:rPr>
          <w:lang w:val="en-US"/>
        </w:rPr>
        <w:t xml:space="preserve"> any </w:t>
      </w:r>
      <w:proofErr w:type="gramStart"/>
      <w:r w:rsidRPr="00F167E5">
        <w:rPr>
          <w:lang w:val="en-US"/>
        </w:rPr>
        <w:t>firearm,</w:t>
      </w:r>
      <w:r>
        <w:rPr>
          <w:lang w:val="en-US"/>
        </w:rPr>
        <w:t>‘</w:t>
      </w:r>
      <w:proofErr w:type="gramEnd"/>
      <w:r w:rsidRPr="00F167E5">
        <w:rPr>
          <w:lang w:val="en-US"/>
        </w:rPr>
        <w:t xml:space="preserve"> a term that </w:t>
      </w:r>
      <w:proofErr w:type="gramStart"/>
      <w:r w:rsidRPr="00F167E5">
        <w:rPr>
          <w:lang w:val="en-US"/>
        </w:rPr>
        <w:t xml:space="preserve">includes </w:t>
      </w:r>
      <w:r>
        <w:rPr>
          <w:lang w:val="en-US"/>
        </w:rPr>
        <w:t>,</w:t>
      </w:r>
      <w:r w:rsidRPr="00F167E5">
        <w:rPr>
          <w:lang w:val="en-US"/>
        </w:rPr>
        <w:t>pistols</w:t>
      </w:r>
      <w:proofErr w:type="gramEnd"/>
      <w:r w:rsidRPr="00F167E5">
        <w:rPr>
          <w:lang w:val="en-US"/>
        </w:rPr>
        <w:t xml:space="preserve">, revolvers, guns and small arms </w:t>
      </w:r>
      <w:r>
        <w:rPr>
          <w:lang w:val="en-US"/>
        </w:rPr>
        <w:t>…</w:t>
      </w:r>
      <w:r w:rsidRPr="00F167E5">
        <w:rPr>
          <w:lang w:val="en-US"/>
        </w:rPr>
        <w:t xml:space="preserve"> commonly known as </w:t>
      </w:r>
      <w:proofErr w:type="gramStart"/>
      <w:r w:rsidRPr="00F167E5">
        <w:rPr>
          <w:lang w:val="en-US"/>
        </w:rPr>
        <w:t>handguns</w:t>
      </w:r>
      <w:r>
        <w:rPr>
          <w:lang w:val="en-US"/>
        </w:rPr>
        <w:t>‘</w:t>
      </w:r>
      <w:proofErr w:type="gramEnd"/>
      <w:r>
        <w:rPr>
          <w:lang w:val="en-US"/>
        </w:rPr>
        <w:t>.</w:t>
      </w:r>
      <w:r w:rsidRPr="00F167E5">
        <w:rPr>
          <w:lang w:val="en-US"/>
        </w:rPr>
        <w:t xml:space="preserve"> Oak Park, Ill., Village Code §</w:t>
      </w:r>
      <w:r>
        <w:rPr>
          <w:lang w:val="en-US"/>
        </w:rPr>
        <w:t>§ </w:t>
      </w:r>
      <w:r w:rsidRPr="00F167E5">
        <w:rPr>
          <w:lang w:val="en-US"/>
        </w:rPr>
        <w:t>27-2-1 (2007), 27-1-1 (2009</w:t>
      </w:r>
      <w:proofErr w:type="gramStart"/>
      <w:r w:rsidRPr="00F167E5">
        <w:rPr>
          <w:lang w:val="en-US"/>
        </w:rPr>
        <w:t>).</w:t>
      </w:r>
      <w:r>
        <w:rPr>
          <w:lang w:val="en-US"/>
        </w:rPr>
        <w:t>“</w:t>
      </w:r>
      <w:proofErr w:type="gramEnd"/>
      <w:r>
        <w:rPr>
          <w:lang w:val="en-US"/>
        </w:rPr>
        <w:t xml:space="preserve">, </w:t>
      </w:r>
      <w:r w:rsidRPr="00584023">
        <w:rPr>
          <w:i/>
          <w:lang w:val="en-US"/>
        </w:rPr>
        <w:t>McDonald v. City of Chicago</w:t>
      </w:r>
      <w:r w:rsidRPr="00F167E5">
        <w:rPr>
          <w:lang w:val="en-US"/>
        </w:rPr>
        <w:t>, 561 U.S. 742, 750</w:t>
      </w:r>
      <w:r w:rsidRPr="006E67FE">
        <w:rPr>
          <w:lang w:val="en-US"/>
        </w:rPr>
        <w:t xml:space="preserve"> = 130 S. Ct. </w:t>
      </w:r>
      <w:r w:rsidRPr="00F167E5">
        <w:rPr>
          <w:lang w:val="en-US"/>
        </w:rPr>
        <w:t>3020, 3026</w:t>
      </w:r>
      <w:r w:rsidRPr="006E67FE">
        <w:rPr>
          <w:lang w:val="en-US"/>
        </w:rPr>
        <w:t xml:space="preserve"> = 177 L. Ed. </w:t>
      </w:r>
      <w:r w:rsidRPr="00F167E5">
        <w:rPr>
          <w:lang w:val="en-US"/>
        </w:rPr>
        <w:t>2d 894, 904</w:t>
      </w:r>
      <w:r w:rsidRPr="006E67FE">
        <w:rPr>
          <w:lang w:val="en-US"/>
        </w:rPr>
        <w:t xml:space="preserve"> = 2010 U.S. LEXIS </w:t>
      </w:r>
      <w:r w:rsidRPr="00F167E5">
        <w:rPr>
          <w:lang w:val="en-US"/>
        </w:rPr>
        <w:t>5523, 14</w:t>
      </w:r>
      <w:r w:rsidRPr="006E67FE">
        <w:rPr>
          <w:lang w:val="en-US"/>
        </w:rPr>
        <w:t xml:space="preserve"> = 78 U.S.L.W. </w:t>
      </w:r>
      <w:r w:rsidRPr="00F167E5">
        <w:rPr>
          <w:lang w:val="en-US"/>
        </w:rPr>
        <w:t>4844</w:t>
      </w:r>
      <w:r w:rsidRPr="006E67FE">
        <w:rPr>
          <w:lang w:val="en-US"/>
        </w:rPr>
        <w:t xml:space="preserve"> = 22 Fla. L. Weekly Fed. </w:t>
      </w:r>
      <w:r w:rsidRPr="00F167E5">
        <w:rPr>
          <w:lang w:val="en-US"/>
        </w:rPr>
        <w:t>S 619 (2010)</w:t>
      </w:r>
      <w:r>
        <w:rPr>
          <w:lang w:val="en-US"/>
        </w:rPr>
        <w:t>.</w:t>
      </w:r>
    </w:p>
  </w:footnote>
  <w:footnote w:id="551">
    <w:p w14:paraId="55E07693" w14:textId="77777777" w:rsidR="00074551" w:rsidRPr="005F7622" w:rsidRDefault="00074551" w:rsidP="00074551">
      <w:pPr>
        <w:pStyle w:val="Funotentext"/>
        <w:jc w:val="both"/>
        <w:rPr>
          <w:lang w:val="en-US"/>
        </w:rPr>
      </w:pPr>
      <w:r w:rsidRPr="00584023">
        <w:rPr>
          <w:rStyle w:val="Funotenzeichen"/>
        </w:rPr>
        <w:footnoteRef/>
      </w:r>
      <w:r w:rsidRPr="00584023">
        <w:rPr>
          <w:lang w:val="en-US"/>
        </w:rPr>
        <w:t xml:space="preserve"> „The Seventh Circuit affirmed, relying on three 19th-century cases – </w:t>
      </w:r>
      <w:r w:rsidRPr="00B45592">
        <w:rPr>
          <w:i/>
          <w:iCs/>
          <w:lang w:val="en-IE"/>
        </w:rPr>
        <w:t>United States</w:t>
      </w:r>
      <w:r w:rsidRPr="00B45592">
        <w:rPr>
          <w:lang w:val="en-IE"/>
        </w:rPr>
        <w:t xml:space="preserve"> </w:t>
      </w:r>
      <w:r w:rsidRPr="00B45592">
        <w:rPr>
          <w:i/>
          <w:lang w:val="en-IE"/>
        </w:rPr>
        <w:t>v.</w:t>
      </w:r>
      <w:r w:rsidRPr="00B45592">
        <w:rPr>
          <w:lang w:val="en-IE"/>
        </w:rPr>
        <w:t xml:space="preserve"> </w:t>
      </w:r>
      <w:r w:rsidRPr="00B45592">
        <w:rPr>
          <w:i/>
          <w:iCs/>
          <w:lang w:val="en-IE"/>
        </w:rPr>
        <w:t>Cruikshank</w:t>
      </w:r>
      <w:r w:rsidRPr="00B45592">
        <w:rPr>
          <w:lang w:val="en-IE"/>
        </w:rPr>
        <w:t xml:space="preserve">, 92 U.S. 542 (1876), </w:t>
      </w:r>
      <w:r w:rsidRPr="00B45592">
        <w:rPr>
          <w:i/>
          <w:iCs/>
          <w:lang w:val="en-IE"/>
        </w:rPr>
        <w:t>Presser</w:t>
      </w:r>
      <w:r w:rsidRPr="00B45592">
        <w:rPr>
          <w:lang w:val="en-IE"/>
        </w:rPr>
        <w:t xml:space="preserve"> </w:t>
      </w:r>
      <w:r w:rsidRPr="00B45592">
        <w:rPr>
          <w:i/>
          <w:lang w:val="en-IE"/>
        </w:rPr>
        <w:t>v.</w:t>
      </w:r>
      <w:r w:rsidRPr="00B45592">
        <w:rPr>
          <w:lang w:val="en-IE"/>
        </w:rPr>
        <w:t xml:space="preserve"> </w:t>
      </w:r>
      <w:r w:rsidRPr="00B45592">
        <w:rPr>
          <w:i/>
          <w:iCs/>
          <w:lang w:val="en-IE"/>
        </w:rPr>
        <w:t>Illinois</w:t>
      </w:r>
      <w:r w:rsidRPr="00B45592">
        <w:rPr>
          <w:lang w:val="en-IE"/>
        </w:rPr>
        <w:t xml:space="preserve">, 116 U.S. 252 (1886), and </w:t>
      </w:r>
      <w:r w:rsidRPr="00B45592">
        <w:rPr>
          <w:i/>
          <w:iCs/>
          <w:lang w:val="en-IE"/>
        </w:rPr>
        <w:t>Miller</w:t>
      </w:r>
      <w:r w:rsidRPr="00B45592">
        <w:rPr>
          <w:lang w:val="en-IE"/>
        </w:rPr>
        <w:t xml:space="preserve"> </w:t>
      </w:r>
      <w:r w:rsidRPr="00B45592">
        <w:rPr>
          <w:i/>
          <w:lang w:val="en-IE"/>
        </w:rPr>
        <w:t>v.</w:t>
      </w:r>
      <w:r w:rsidRPr="00B45592">
        <w:rPr>
          <w:lang w:val="en-IE"/>
        </w:rPr>
        <w:t xml:space="preserve"> </w:t>
      </w:r>
      <w:r w:rsidRPr="00B45592">
        <w:rPr>
          <w:i/>
          <w:iCs/>
          <w:lang w:val="en-IE"/>
        </w:rPr>
        <w:t>Texas</w:t>
      </w:r>
      <w:r w:rsidRPr="00B45592">
        <w:rPr>
          <w:lang w:val="en-IE"/>
        </w:rPr>
        <w:t>, 153 U.S. 535 (1894)</w:t>
      </w:r>
      <w:r w:rsidRPr="00584023">
        <w:rPr>
          <w:lang w:val="en-US"/>
        </w:rPr>
        <w:t xml:space="preserve"> – which were decided in the wake of this Court’s interpretation of the Fourteenth Amendment’s Privileges or Immunities Clause in the </w:t>
      </w:r>
      <w:r w:rsidRPr="00584023">
        <w:rPr>
          <w:i/>
          <w:lang w:val="en-US"/>
        </w:rPr>
        <w:t>Slaughter-House Cases</w:t>
      </w:r>
      <w:r w:rsidRPr="00584023">
        <w:rPr>
          <w:lang w:val="en-US"/>
        </w:rPr>
        <w:t>, 83 U.S. 36, 16 Wall. 36 = 21 L. Ed. 394“,</w:t>
      </w:r>
      <w:r>
        <w:rPr>
          <w:lang w:val="en-US"/>
        </w:rPr>
        <w:t xml:space="preserve"> </w:t>
      </w:r>
      <w:r w:rsidRPr="00584023">
        <w:rPr>
          <w:i/>
          <w:lang w:val="en-US"/>
        </w:rPr>
        <w:t>McDonald v. City of Chicago</w:t>
      </w:r>
      <w:r w:rsidRPr="005F7622">
        <w:rPr>
          <w:lang w:val="en-US"/>
        </w:rPr>
        <w:t>, 561 U.S. 742, 742</w:t>
      </w:r>
      <w:r w:rsidRPr="006E67FE">
        <w:rPr>
          <w:lang w:val="en-US"/>
        </w:rPr>
        <w:t xml:space="preserve"> = 130 S. Ct. </w:t>
      </w:r>
      <w:r w:rsidRPr="005F7622">
        <w:rPr>
          <w:lang w:val="en-US"/>
        </w:rPr>
        <w:t>3020, 3021</w:t>
      </w:r>
      <w:r w:rsidRPr="006E67FE">
        <w:rPr>
          <w:lang w:val="en-US"/>
        </w:rPr>
        <w:t xml:space="preserve"> = 177 L. Ed. </w:t>
      </w:r>
      <w:r w:rsidRPr="005F7622">
        <w:rPr>
          <w:lang w:val="en-US"/>
        </w:rPr>
        <w:t>2d 894, 899</w:t>
      </w:r>
      <w:r w:rsidRPr="006E67FE">
        <w:rPr>
          <w:lang w:val="en-US"/>
        </w:rPr>
        <w:t xml:space="preserve"> = 2010 U.S. LEXIS </w:t>
      </w:r>
      <w:r w:rsidRPr="005F7622">
        <w:rPr>
          <w:lang w:val="en-US"/>
        </w:rPr>
        <w:t>5523, 2</w:t>
      </w:r>
      <w:r w:rsidRPr="006E67FE">
        <w:rPr>
          <w:lang w:val="en-US"/>
        </w:rPr>
        <w:t xml:space="preserve"> = 78 U.S.L.W. </w:t>
      </w:r>
      <w:r w:rsidRPr="005F7622">
        <w:rPr>
          <w:lang w:val="en-US"/>
        </w:rPr>
        <w:t>4844</w:t>
      </w:r>
      <w:r w:rsidRPr="006E67FE">
        <w:rPr>
          <w:lang w:val="en-US"/>
        </w:rPr>
        <w:t xml:space="preserve"> = 22 Fla. L. Weekly Fed. </w:t>
      </w:r>
      <w:r w:rsidRPr="005F7622">
        <w:rPr>
          <w:lang w:val="en-US"/>
        </w:rPr>
        <w:t>S 619 (2010)</w:t>
      </w:r>
      <w:r>
        <w:rPr>
          <w:lang w:val="en-US"/>
        </w:rPr>
        <w:t>.</w:t>
      </w:r>
    </w:p>
  </w:footnote>
  <w:footnote w:id="552">
    <w:p w14:paraId="1F31BFFE" w14:textId="77777777" w:rsidR="00074551" w:rsidRPr="005F7622" w:rsidRDefault="00074551" w:rsidP="00074551">
      <w:pPr>
        <w:pStyle w:val="Funotentext"/>
        <w:jc w:val="both"/>
        <w:rPr>
          <w:lang w:val="en-US"/>
        </w:rPr>
      </w:pPr>
      <w:r>
        <w:rPr>
          <w:rStyle w:val="Funotenzeichen"/>
        </w:rPr>
        <w:footnoteRef/>
      </w:r>
      <w:r w:rsidRPr="005F7622">
        <w:rPr>
          <w:lang w:val="en-US"/>
        </w:rPr>
        <w:t xml:space="preserve"> </w:t>
      </w:r>
      <w:r>
        <w:rPr>
          <w:lang w:val="en-US"/>
        </w:rPr>
        <w:t>„[S]</w:t>
      </w:r>
      <w:proofErr w:type="spellStart"/>
      <w:r w:rsidRPr="005F7622">
        <w:rPr>
          <w:lang w:val="en-US"/>
        </w:rPr>
        <w:t>cheme</w:t>
      </w:r>
      <w:proofErr w:type="spellEnd"/>
      <w:r w:rsidRPr="005F7622">
        <w:rPr>
          <w:lang w:val="en-US"/>
        </w:rPr>
        <w:t xml:space="preserve"> of ordered </w:t>
      </w:r>
      <w:proofErr w:type="gramStart"/>
      <w:r w:rsidRPr="005F7622">
        <w:rPr>
          <w:lang w:val="en-US"/>
        </w:rPr>
        <w:t>liberty</w:t>
      </w:r>
      <w:r>
        <w:rPr>
          <w:lang w:val="en-US"/>
        </w:rPr>
        <w:t>“</w:t>
      </w:r>
      <w:proofErr w:type="gramEnd"/>
      <w:r>
        <w:rPr>
          <w:lang w:val="en-US"/>
        </w:rPr>
        <w:t xml:space="preserve">, </w:t>
      </w:r>
      <w:r w:rsidRPr="00584023">
        <w:rPr>
          <w:i/>
          <w:lang w:val="en-US"/>
        </w:rPr>
        <w:t>McDonald v. City of Chicago</w:t>
      </w:r>
      <w:r w:rsidRPr="005F7622">
        <w:rPr>
          <w:lang w:val="en-US"/>
        </w:rPr>
        <w:t>, 561 U.S. 742, 764</w:t>
      </w:r>
      <w:r w:rsidRPr="006E67FE">
        <w:rPr>
          <w:lang w:val="en-US"/>
        </w:rPr>
        <w:t xml:space="preserve"> = 130 S. Ct. </w:t>
      </w:r>
      <w:r w:rsidRPr="005F7622">
        <w:rPr>
          <w:lang w:val="en-US"/>
        </w:rPr>
        <w:t>3020, 3034</w:t>
      </w:r>
      <w:r w:rsidRPr="006E67FE">
        <w:rPr>
          <w:lang w:val="en-US"/>
        </w:rPr>
        <w:t xml:space="preserve"> = 177 L. Ed. </w:t>
      </w:r>
      <w:r w:rsidRPr="005F7622">
        <w:rPr>
          <w:lang w:val="en-US"/>
        </w:rPr>
        <w:t>2d 894, 912</w:t>
      </w:r>
      <w:r w:rsidRPr="006E67FE">
        <w:rPr>
          <w:lang w:val="en-US"/>
        </w:rPr>
        <w:t xml:space="preserve"> = 2010 U.S. LEXIS </w:t>
      </w:r>
      <w:r w:rsidRPr="005F7622">
        <w:rPr>
          <w:lang w:val="en-US"/>
        </w:rPr>
        <w:t>5523, 37</w:t>
      </w:r>
      <w:r w:rsidRPr="006E67FE">
        <w:rPr>
          <w:lang w:val="en-US"/>
        </w:rPr>
        <w:t xml:space="preserve"> = 78 U.S.L.W. </w:t>
      </w:r>
      <w:r w:rsidRPr="005F7622">
        <w:rPr>
          <w:lang w:val="en-US"/>
        </w:rPr>
        <w:t>4844</w:t>
      </w:r>
      <w:r w:rsidRPr="006E67FE">
        <w:rPr>
          <w:lang w:val="en-US"/>
        </w:rPr>
        <w:t xml:space="preserve"> = 22 Fla. L. Weekly Fed. </w:t>
      </w:r>
      <w:r w:rsidRPr="005F7622">
        <w:rPr>
          <w:lang w:val="en-US"/>
        </w:rPr>
        <w:t>S 619 (2010)</w:t>
      </w:r>
      <w:r>
        <w:rPr>
          <w:lang w:val="en-US"/>
        </w:rPr>
        <w:t>.</w:t>
      </w:r>
    </w:p>
  </w:footnote>
  <w:footnote w:id="553">
    <w:p w14:paraId="529F3DE7" w14:textId="77777777" w:rsidR="00074551" w:rsidRPr="007150B2" w:rsidRDefault="00074551" w:rsidP="00074551">
      <w:pPr>
        <w:pStyle w:val="Funotentext"/>
        <w:jc w:val="both"/>
        <w:rPr>
          <w:lang w:val="en-US"/>
        </w:rPr>
      </w:pPr>
      <w:r>
        <w:rPr>
          <w:rStyle w:val="Funotenzeichen"/>
        </w:rPr>
        <w:footnoteRef/>
      </w:r>
      <w:r w:rsidRPr="007150B2">
        <w:rPr>
          <w:lang w:val="en-US"/>
        </w:rPr>
        <w:t xml:space="preserve"> </w:t>
      </w:r>
      <w:r w:rsidRPr="00584023">
        <w:rPr>
          <w:i/>
          <w:lang w:val="en-US"/>
        </w:rPr>
        <w:t>McDonald v. City of Chicago</w:t>
      </w:r>
      <w:r w:rsidRPr="007150B2">
        <w:rPr>
          <w:lang w:val="en-US"/>
        </w:rPr>
        <w:t>, 561 U.S. 742, 742</w:t>
      </w:r>
      <w:r w:rsidRPr="006E67FE">
        <w:rPr>
          <w:lang w:val="en-US"/>
        </w:rPr>
        <w:t xml:space="preserve"> = 130 S. Ct. </w:t>
      </w:r>
      <w:r w:rsidRPr="007150B2">
        <w:rPr>
          <w:lang w:val="en-US"/>
        </w:rPr>
        <w:t>3020, 3021</w:t>
      </w:r>
      <w:r w:rsidRPr="006E67FE">
        <w:rPr>
          <w:lang w:val="en-US"/>
        </w:rPr>
        <w:t xml:space="preserve"> = 177 L. Ed. </w:t>
      </w:r>
      <w:r w:rsidRPr="007150B2">
        <w:rPr>
          <w:lang w:val="en-US"/>
        </w:rPr>
        <w:t>2d 894, 894</w:t>
      </w:r>
      <w:r w:rsidRPr="006E67FE">
        <w:rPr>
          <w:lang w:val="en-US"/>
        </w:rPr>
        <w:t xml:space="preserve"> = 2010 U.S. LEXIS </w:t>
      </w:r>
      <w:r w:rsidRPr="007150B2">
        <w:rPr>
          <w:lang w:val="en-US"/>
        </w:rPr>
        <w:t>5523, 1</w:t>
      </w:r>
      <w:r w:rsidRPr="006E67FE">
        <w:rPr>
          <w:lang w:val="en-US"/>
        </w:rPr>
        <w:t xml:space="preserve"> = 78 U.S.L.W. </w:t>
      </w:r>
      <w:r w:rsidRPr="007150B2">
        <w:rPr>
          <w:lang w:val="en-US"/>
        </w:rPr>
        <w:t>4844</w:t>
      </w:r>
      <w:r w:rsidRPr="006E67FE">
        <w:rPr>
          <w:lang w:val="en-US"/>
        </w:rPr>
        <w:t xml:space="preserve"> = 22 Fla. L. Weekly Fed. </w:t>
      </w:r>
      <w:r w:rsidRPr="007150B2">
        <w:rPr>
          <w:lang w:val="en-US"/>
        </w:rPr>
        <w:t>S 619 (2010)</w:t>
      </w:r>
      <w:r>
        <w:rPr>
          <w:lang w:val="en-US"/>
        </w:rPr>
        <w:t>.</w:t>
      </w:r>
    </w:p>
  </w:footnote>
  <w:footnote w:id="554">
    <w:p w14:paraId="42169D76" w14:textId="77777777" w:rsidR="00074551" w:rsidRPr="002D3EF4" w:rsidRDefault="00074551" w:rsidP="00074551">
      <w:pPr>
        <w:pStyle w:val="Funotentext"/>
        <w:jc w:val="both"/>
        <w:rPr>
          <w:lang w:val="en-US"/>
        </w:rPr>
      </w:pPr>
      <w:r>
        <w:rPr>
          <w:rStyle w:val="Funotenzeichen"/>
        </w:rPr>
        <w:footnoteRef/>
      </w:r>
      <w:r w:rsidRPr="002D3EF4">
        <w:rPr>
          <w:lang w:val="en-US"/>
        </w:rPr>
        <w:t xml:space="preserve"> </w:t>
      </w:r>
      <w:r w:rsidRPr="00584023">
        <w:rPr>
          <w:i/>
          <w:lang w:val="en-US"/>
        </w:rPr>
        <w:t>McDonald v. City of Chicago</w:t>
      </w:r>
      <w:r w:rsidRPr="002D3EF4">
        <w:rPr>
          <w:lang w:val="en-US"/>
        </w:rPr>
        <w:t>, 561 U.S. 742, 820</w:t>
      </w:r>
      <w:r w:rsidRPr="006E67FE">
        <w:rPr>
          <w:lang w:val="en-US"/>
        </w:rPr>
        <w:t xml:space="preserve"> = 130 S. Ct. </w:t>
      </w:r>
      <w:r w:rsidRPr="002D3EF4">
        <w:rPr>
          <w:lang w:val="en-US"/>
        </w:rPr>
        <w:t>3020, 3067</w:t>
      </w:r>
      <w:r w:rsidRPr="006E67FE">
        <w:rPr>
          <w:lang w:val="en-US"/>
        </w:rPr>
        <w:t xml:space="preserve"> = 177 L. Ed. </w:t>
      </w:r>
      <w:r w:rsidRPr="002D3EF4">
        <w:rPr>
          <w:lang w:val="en-US"/>
        </w:rPr>
        <w:t>2d 894, 947</w:t>
      </w:r>
      <w:r w:rsidRPr="006E67FE">
        <w:rPr>
          <w:lang w:val="en-US"/>
        </w:rPr>
        <w:t xml:space="preserve"> = 2010 U.S. LEXIS </w:t>
      </w:r>
      <w:r w:rsidRPr="002D3EF4">
        <w:rPr>
          <w:lang w:val="en-US"/>
        </w:rPr>
        <w:t>5523, 138</w:t>
      </w:r>
      <w:r w:rsidRPr="006E67FE">
        <w:rPr>
          <w:lang w:val="en-US"/>
        </w:rPr>
        <w:t xml:space="preserve"> = 78 U.S.L.W. </w:t>
      </w:r>
      <w:r w:rsidRPr="002D3EF4">
        <w:rPr>
          <w:lang w:val="en-US"/>
        </w:rPr>
        <w:t>4844</w:t>
      </w:r>
      <w:r w:rsidRPr="006E67FE">
        <w:rPr>
          <w:lang w:val="en-US"/>
        </w:rPr>
        <w:t xml:space="preserve"> = 22 Fla. L. Weekly Fed. </w:t>
      </w:r>
      <w:r w:rsidRPr="002D3EF4">
        <w:rPr>
          <w:lang w:val="en-US"/>
        </w:rPr>
        <w:t>S 619 (2010)</w:t>
      </w:r>
      <w:r>
        <w:rPr>
          <w:lang w:val="en-US"/>
        </w:rPr>
        <w:t>.</w:t>
      </w:r>
    </w:p>
  </w:footnote>
  <w:footnote w:id="555">
    <w:p w14:paraId="78A389D6" w14:textId="77777777" w:rsidR="00074551" w:rsidRPr="002D3EF4" w:rsidRDefault="00074551" w:rsidP="00074551">
      <w:pPr>
        <w:pStyle w:val="Funotentext"/>
        <w:jc w:val="both"/>
        <w:rPr>
          <w:lang w:val="en-US"/>
        </w:rPr>
      </w:pPr>
      <w:r>
        <w:rPr>
          <w:rStyle w:val="Funotenzeichen"/>
        </w:rPr>
        <w:footnoteRef/>
      </w:r>
      <w:r w:rsidRPr="002D3EF4">
        <w:rPr>
          <w:lang w:val="en-US"/>
        </w:rPr>
        <w:t xml:space="preserve"> </w:t>
      </w:r>
      <w:r w:rsidRPr="00B45592">
        <w:rPr>
          <w:i/>
          <w:lang w:val="en-IE"/>
        </w:rPr>
        <w:t>Corfield v. Coryell</w:t>
      </w:r>
      <w:r w:rsidRPr="00B45592">
        <w:rPr>
          <w:lang w:val="en-IE"/>
        </w:rPr>
        <w:t>, 6 F. Cas. 546,</w:t>
      </w:r>
      <w:r w:rsidRPr="00584023">
        <w:rPr>
          <w:lang w:val="en-US"/>
        </w:rPr>
        <w:t xml:space="preserve"> </w:t>
      </w:r>
      <w:r w:rsidRPr="002D3EF4">
        <w:rPr>
          <w:lang w:val="en-US"/>
        </w:rPr>
        <w:t>551</w:t>
      </w:r>
      <w:r>
        <w:rPr>
          <w:lang w:val="en-US"/>
        </w:rPr>
        <w:t>–</w:t>
      </w:r>
      <w:r w:rsidRPr="002D3EF4">
        <w:rPr>
          <w:lang w:val="en-US"/>
        </w:rPr>
        <w:t>552</w:t>
      </w:r>
      <w:r>
        <w:rPr>
          <w:lang w:val="en-US"/>
        </w:rPr>
        <w:t xml:space="preserve">; </w:t>
      </w:r>
      <w:r w:rsidRPr="00584023">
        <w:rPr>
          <w:i/>
          <w:lang w:val="en-US"/>
        </w:rPr>
        <w:t>McDonald v. City of Chicago</w:t>
      </w:r>
      <w:r w:rsidRPr="002D3EF4">
        <w:rPr>
          <w:lang w:val="en-US"/>
        </w:rPr>
        <w:t>, 561 U.S. 742, 820</w:t>
      </w:r>
      <w:r w:rsidRPr="006E67FE">
        <w:rPr>
          <w:lang w:val="en-US"/>
        </w:rPr>
        <w:t xml:space="preserve"> = 130 S. Ct. </w:t>
      </w:r>
      <w:r w:rsidRPr="002D3EF4">
        <w:rPr>
          <w:lang w:val="en-US"/>
        </w:rPr>
        <w:t>3020, 3067</w:t>
      </w:r>
      <w:r w:rsidRPr="006E67FE">
        <w:rPr>
          <w:lang w:val="en-US"/>
        </w:rPr>
        <w:t xml:space="preserve"> = 177 L. Ed. </w:t>
      </w:r>
      <w:r w:rsidRPr="002D3EF4">
        <w:rPr>
          <w:lang w:val="en-US"/>
        </w:rPr>
        <w:t>2d 894, 948</w:t>
      </w:r>
      <w:r w:rsidRPr="006E67FE">
        <w:rPr>
          <w:lang w:val="en-US"/>
        </w:rPr>
        <w:t xml:space="preserve"> = 2010 U.S. LEXIS </w:t>
      </w:r>
      <w:r w:rsidRPr="002D3EF4">
        <w:rPr>
          <w:lang w:val="en-US"/>
        </w:rPr>
        <w:t>5523, 138</w:t>
      </w:r>
      <w:r w:rsidRPr="006E67FE">
        <w:rPr>
          <w:lang w:val="en-US"/>
        </w:rPr>
        <w:t xml:space="preserve"> = 78 U.S.L.W. </w:t>
      </w:r>
      <w:r w:rsidRPr="002D3EF4">
        <w:rPr>
          <w:lang w:val="en-US"/>
        </w:rPr>
        <w:t>4844</w:t>
      </w:r>
      <w:r w:rsidRPr="006E67FE">
        <w:rPr>
          <w:lang w:val="en-US"/>
        </w:rPr>
        <w:t xml:space="preserve"> = 22 Fla. L. Weekly Fed. </w:t>
      </w:r>
      <w:r w:rsidRPr="002D3EF4">
        <w:rPr>
          <w:lang w:val="en-US"/>
        </w:rPr>
        <w:t>S 619 (2010)</w:t>
      </w:r>
      <w:r>
        <w:rPr>
          <w:lang w:val="en-US"/>
        </w:rPr>
        <w:t>.</w:t>
      </w:r>
    </w:p>
  </w:footnote>
  <w:footnote w:id="556">
    <w:p w14:paraId="34EBCC02" w14:textId="77777777" w:rsidR="00074551" w:rsidRPr="007736BC" w:rsidRDefault="00074551" w:rsidP="00074551">
      <w:pPr>
        <w:pStyle w:val="Funotentext"/>
        <w:jc w:val="both"/>
        <w:rPr>
          <w:lang w:val="en-US"/>
        </w:rPr>
      </w:pPr>
      <w:r>
        <w:rPr>
          <w:rStyle w:val="Funotenzeichen"/>
        </w:rPr>
        <w:footnoteRef/>
      </w:r>
      <w:r w:rsidRPr="007736BC">
        <w:rPr>
          <w:lang w:val="en-US"/>
        </w:rPr>
        <w:t xml:space="preserve"> </w:t>
      </w:r>
      <w:r w:rsidRPr="00584023">
        <w:rPr>
          <w:i/>
          <w:lang w:val="en-US"/>
        </w:rPr>
        <w:t>McDonald v. City of Chicago</w:t>
      </w:r>
      <w:r w:rsidRPr="007736BC">
        <w:rPr>
          <w:lang w:val="en-US"/>
        </w:rPr>
        <w:t>, 561 U.S. 742, 806</w:t>
      </w:r>
      <w:r w:rsidRPr="006E67FE">
        <w:rPr>
          <w:lang w:val="en-US"/>
        </w:rPr>
        <w:t xml:space="preserve"> = 130 S. Ct. </w:t>
      </w:r>
      <w:r w:rsidRPr="007736BC">
        <w:rPr>
          <w:lang w:val="en-US"/>
        </w:rPr>
        <w:t>3020, 3059</w:t>
      </w:r>
      <w:r w:rsidRPr="006E67FE">
        <w:rPr>
          <w:lang w:val="en-US"/>
        </w:rPr>
        <w:t xml:space="preserve"> = 177 L. Ed. </w:t>
      </w:r>
      <w:r w:rsidRPr="007736BC">
        <w:rPr>
          <w:lang w:val="en-US"/>
        </w:rPr>
        <w:t>2d 894, 939</w:t>
      </w:r>
      <w:r w:rsidRPr="006E67FE">
        <w:rPr>
          <w:lang w:val="en-US"/>
        </w:rPr>
        <w:t xml:space="preserve"> = 2010 U.S. LEXIS </w:t>
      </w:r>
      <w:r w:rsidRPr="007736BC">
        <w:rPr>
          <w:lang w:val="en-US"/>
        </w:rPr>
        <w:t>5523, 113</w:t>
      </w:r>
      <w:r w:rsidRPr="006E67FE">
        <w:rPr>
          <w:lang w:val="en-US"/>
        </w:rPr>
        <w:t xml:space="preserve"> = 78 U.S.L.W. </w:t>
      </w:r>
      <w:r w:rsidRPr="007736BC">
        <w:rPr>
          <w:lang w:val="en-US"/>
        </w:rPr>
        <w:t>4844</w:t>
      </w:r>
      <w:r w:rsidRPr="006E67FE">
        <w:rPr>
          <w:lang w:val="en-US"/>
        </w:rPr>
        <w:t xml:space="preserve"> = 22 Fla. L. Weekly Fed. </w:t>
      </w:r>
      <w:r w:rsidRPr="007736BC">
        <w:rPr>
          <w:lang w:val="en-US"/>
        </w:rPr>
        <w:t>S 619 (2010)</w:t>
      </w:r>
      <w:r>
        <w:rPr>
          <w:lang w:val="en-US"/>
        </w:rPr>
        <w:t>.</w:t>
      </w:r>
    </w:p>
  </w:footnote>
  <w:footnote w:id="557">
    <w:p w14:paraId="54FE268B" w14:textId="77777777" w:rsidR="00074551" w:rsidRPr="002C0B6F" w:rsidRDefault="00074551" w:rsidP="00074551">
      <w:pPr>
        <w:pStyle w:val="Funotentext"/>
        <w:jc w:val="both"/>
        <w:rPr>
          <w:lang w:val="en-US"/>
        </w:rPr>
      </w:pPr>
      <w:r>
        <w:rPr>
          <w:rStyle w:val="Funotenzeichen"/>
        </w:rPr>
        <w:footnoteRef/>
      </w:r>
      <w:r w:rsidRPr="007736BC">
        <w:rPr>
          <w:lang w:val="en-US"/>
        </w:rPr>
        <w:t xml:space="preserve"> </w:t>
      </w:r>
      <w:r w:rsidRPr="00B45592">
        <w:rPr>
          <w:i/>
          <w:lang w:val="en-US"/>
        </w:rPr>
        <w:t>Livingston v. Van Ingen</w:t>
      </w:r>
      <w:r w:rsidRPr="007736BC">
        <w:rPr>
          <w:lang w:val="en-US"/>
        </w:rPr>
        <w:t>, 9 Johns. 507, 561 (N.Y. Sup. Ct. 1812) (</w:t>
      </w:r>
      <w:r>
        <w:rPr>
          <w:lang w:val="en-US"/>
        </w:rPr>
        <w:t xml:space="preserve">Richter </w:t>
      </w:r>
      <w:r w:rsidRPr="00B45592">
        <w:rPr>
          <w:i/>
          <w:lang w:val="en-US"/>
        </w:rPr>
        <w:t>Yates</w:t>
      </w:r>
      <w:r w:rsidRPr="007736BC">
        <w:rPr>
          <w:lang w:val="en-US"/>
        </w:rPr>
        <w:t>)</w:t>
      </w:r>
      <w:r>
        <w:rPr>
          <w:lang w:val="en-US"/>
        </w:rPr>
        <w:t xml:space="preserve">; </w:t>
      </w:r>
      <w:r w:rsidRPr="00584023">
        <w:rPr>
          <w:i/>
          <w:lang w:val="en-US"/>
        </w:rPr>
        <w:t>McDonald v. City of Chicago</w:t>
      </w:r>
      <w:r w:rsidRPr="007736BC">
        <w:rPr>
          <w:lang w:val="en-US"/>
        </w:rPr>
        <w:t>, 561 U.S. 742, 821</w:t>
      </w:r>
      <w:r w:rsidRPr="006E67FE">
        <w:rPr>
          <w:lang w:val="en-US"/>
        </w:rPr>
        <w:t xml:space="preserve"> = 130 S. Ct. </w:t>
      </w:r>
      <w:r w:rsidRPr="007736BC">
        <w:rPr>
          <w:lang w:val="en-US"/>
        </w:rPr>
        <w:t>3020, 3068</w:t>
      </w:r>
      <w:r w:rsidRPr="006E67FE">
        <w:rPr>
          <w:lang w:val="en-US"/>
        </w:rPr>
        <w:t xml:space="preserve"> = 177 L. Ed. </w:t>
      </w:r>
      <w:r w:rsidRPr="007736BC">
        <w:rPr>
          <w:lang w:val="en-US"/>
        </w:rPr>
        <w:t>2d 894, 948</w:t>
      </w:r>
      <w:r w:rsidRPr="006E67FE">
        <w:rPr>
          <w:lang w:val="en-US"/>
        </w:rPr>
        <w:t xml:space="preserve"> = 2010 U.S. LEXIS </w:t>
      </w:r>
      <w:r w:rsidRPr="007736BC">
        <w:rPr>
          <w:lang w:val="en-US"/>
        </w:rPr>
        <w:t>5523, 140</w:t>
      </w:r>
      <w:r w:rsidRPr="006E67FE">
        <w:rPr>
          <w:lang w:val="en-US"/>
        </w:rPr>
        <w:t xml:space="preserve"> = 78 U.S.L.W. </w:t>
      </w:r>
      <w:r w:rsidRPr="007736BC">
        <w:rPr>
          <w:lang w:val="en-US"/>
        </w:rPr>
        <w:t>4844</w:t>
      </w:r>
      <w:r w:rsidRPr="006E67FE">
        <w:rPr>
          <w:lang w:val="en-US"/>
        </w:rPr>
        <w:t xml:space="preserve"> = 22 Fla. L. Weekly Fed. </w:t>
      </w:r>
      <w:r w:rsidRPr="007736BC">
        <w:rPr>
          <w:lang w:val="en-US"/>
        </w:rPr>
        <w:t>S 619 (2010)</w:t>
      </w:r>
      <w:r>
        <w:rPr>
          <w:lang w:val="en-US"/>
        </w:rPr>
        <w:t>.</w:t>
      </w:r>
    </w:p>
  </w:footnote>
  <w:footnote w:id="558">
    <w:p w14:paraId="351976B7" w14:textId="77777777" w:rsidR="00074551" w:rsidRPr="004C108C" w:rsidRDefault="00074551" w:rsidP="00074551">
      <w:pPr>
        <w:pStyle w:val="Funotentext"/>
        <w:jc w:val="both"/>
        <w:rPr>
          <w:lang w:val="en-US"/>
        </w:rPr>
      </w:pPr>
      <w:r>
        <w:rPr>
          <w:rStyle w:val="Funotenzeichen"/>
        </w:rPr>
        <w:footnoteRef/>
      </w:r>
      <w:r w:rsidRPr="002C0B6F">
        <w:rPr>
          <w:lang w:val="en-US"/>
        </w:rPr>
        <w:t xml:space="preserve"> </w:t>
      </w:r>
      <w:r w:rsidRPr="00584023">
        <w:rPr>
          <w:i/>
          <w:lang w:val="en-US"/>
        </w:rPr>
        <w:t>McDonald v. City of Chicago</w:t>
      </w:r>
      <w:r w:rsidRPr="002C0B6F">
        <w:rPr>
          <w:lang w:val="en-US"/>
        </w:rPr>
        <w:t>, 561 U.S. 742, 742</w:t>
      </w:r>
      <w:r w:rsidRPr="006E67FE">
        <w:rPr>
          <w:lang w:val="en-US"/>
        </w:rPr>
        <w:t xml:space="preserve"> = 130 S. Ct. </w:t>
      </w:r>
      <w:r w:rsidRPr="002C0B6F">
        <w:rPr>
          <w:lang w:val="en-US"/>
        </w:rPr>
        <w:t>3020, 3021</w:t>
      </w:r>
      <w:r w:rsidRPr="006E67FE">
        <w:rPr>
          <w:lang w:val="en-US"/>
        </w:rPr>
        <w:t xml:space="preserve"> = 177 L. Ed. </w:t>
      </w:r>
      <w:r w:rsidRPr="002C0B6F">
        <w:rPr>
          <w:lang w:val="en-US"/>
        </w:rPr>
        <w:t>2d 894, 894</w:t>
      </w:r>
      <w:r w:rsidRPr="006E67FE">
        <w:rPr>
          <w:lang w:val="en-US"/>
        </w:rPr>
        <w:t xml:space="preserve"> = 2010 U.S. LEXIS </w:t>
      </w:r>
      <w:r w:rsidRPr="002C0B6F">
        <w:rPr>
          <w:lang w:val="en-US"/>
        </w:rPr>
        <w:t>5523, 1</w:t>
      </w:r>
      <w:r w:rsidRPr="006E67FE">
        <w:rPr>
          <w:lang w:val="en-US"/>
        </w:rPr>
        <w:t xml:space="preserve"> = 78 U.S.L.W. </w:t>
      </w:r>
      <w:r w:rsidRPr="002C0B6F">
        <w:rPr>
          <w:lang w:val="en-US"/>
        </w:rPr>
        <w:t>4844</w:t>
      </w:r>
      <w:r w:rsidRPr="006E67FE">
        <w:rPr>
          <w:lang w:val="en-US"/>
        </w:rPr>
        <w:t xml:space="preserve"> = 22 Fla. L. Weekly Fed. </w:t>
      </w:r>
      <w:r w:rsidRPr="002C0B6F">
        <w:rPr>
          <w:lang w:val="en-US"/>
        </w:rPr>
        <w:t>S 619 (2010)</w:t>
      </w:r>
      <w:r>
        <w:rPr>
          <w:lang w:val="en-US"/>
        </w:rPr>
        <w:t>.</w:t>
      </w:r>
    </w:p>
  </w:footnote>
  <w:footnote w:id="559">
    <w:p w14:paraId="2CEC2A9D" w14:textId="77777777" w:rsidR="00074551" w:rsidRPr="000F1ECB" w:rsidRDefault="00074551" w:rsidP="00074551">
      <w:pPr>
        <w:pStyle w:val="Funotentext"/>
        <w:jc w:val="both"/>
        <w:rPr>
          <w:lang w:val="en-US"/>
        </w:rPr>
      </w:pPr>
      <w:r>
        <w:rPr>
          <w:rStyle w:val="Funotenzeichen"/>
        </w:rPr>
        <w:footnoteRef/>
      </w:r>
      <w:r w:rsidRPr="000F1ECB">
        <w:rPr>
          <w:lang w:val="en-US"/>
        </w:rPr>
        <w:t xml:space="preserve"> </w:t>
      </w:r>
      <w:r>
        <w:rPr>
          <w:lang w:val="en-US"/>
        </w:rPr>
        <w:t>„</w:t>
      </w:r>
      <w:r w:rsidRPr="000F1ECB">
        <w:rPr>
          <w:lang w:val="en-US"/>
        </w:rPr>
        <w:t xml:space="preserve">The act of Congress of January 24th, 1865, providing that after its passage no person shall be admitted as an attorney and counsellor to the bar of the Supreme Court, and, after March 4th, 1865, to the bar of any Circuit or District Court of the United States, or Court of Claims, or be allowed to appear and be heard by virtue of any previous admission, or any special power of attorney, unless he shall have first taken and subscribed the oath prescribed in the act of July 2d, 1862 </w:t>
      </w:r>
      <w:r>
        <w:rPr>
          <w:lang w:val="en-US"/>
        </w:rPr>
        <w:t>–</w:t>
      </w:r>
      <w:r w:rsidRPr="000F1ECB">
        <w:rPr>
          <w:lang w:val="en-US"/>
        </w:rPr>
        <w:t xml:space="preserve"> which latter act requires the affiant to swear or affirm that he has never voluntarily borne arms against the United States since he has been a citizen thereof; that he has voluntarily given no aid, countenance, counsel, or encouragement to persons engaged in armed hostility thereto; that he has neither sought nor accepted, nor attempted to exercise the functions of any office whatever, under any authority or pretended authority in hostility to the United States; and that he has not yielded a voluntary support to any pretended government, authority, power, or constitution within the United States, hostile or inimical thereto </w:t>
      </w:r>
      <w:r>
        <w:rPr>
          <w:lang w:val="en-US"/>
        </w:rPr>
        <w:t>–</w:t>
      </w:r>
      <w:r w:rsidRPr="000F1ECB">
        <w:rPr>
          <w:lang w:val="en-US"/>
        </w:rPr>
        <w:t xml:space="preserve"> operates as a legislative decree excluding from the practice of the law in the courts of the United States all parties who have offended in any of the particulars enumerated.</w:t>
      </w:r>
      <w:r>
        <w:rPr>
          <w:lang w:val="en-US"/>
        </w:rPr>
        <w:t xml:space="preserve"> </w:t>
      </w:r>
      <w:r w:rsidRPr="000F1ECB">
        <w:rPr>
          <w:lang w:val="en-US"/>
        </w:rPr>
        <w:t xml:space="preserve">Exclusion from the practice of the law in the Federal courts, or from any of the ordinary avocations of life for past conduct is punishment for such conduct. The exaction of the oath is the made provided for ascertaining the parties upon whom the act is intended to </w:t>
      </w:r>
      <w:proofErr w:type="gramStart"/>
      <w:r w:rsidRPr="000F1ECB">
        <w:rPr>
          <w:lang w:val="en-US"/>
        </w:rPr>
        <w:t>operate.</w:t>
      </w:r>
      <w:r>
        <w:rPr>
          <w:lang w:val="en-US"/>
        </w:rPr>
        <w:t>“</w:t>
      </w:r>
      <w:proofErr w:type="gramEnd"/>
      <w:r>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Garland</w:t>
      </w:r>
      <w:r w:rsidRPr="000F1ECB">
        <w:rPr>
          <w:lang w:val="en-US"/>
        </w:rPr>
        <w:t>, 71 U.S. 333, 374</w:t>
      </w:r>
      <w:r w:rsidRPr="006E67FE">
        <w:rPr>
          <w:lang w:val="en-US"/>
        </w:rPr>
        <w:t xml:space="preserve"> = 18 L. Ed. </w:t>
      </w:r>
      <w:r w:rsidRPr="000F1ECB">
        <w:rPr>
          <w:lang w:val="en-US"/>
        </w:rPr>
        <w:t>366, 369</w:t>
      </w:r>
      <w:r w:rsidRPr="006E67FE">
        <w:rPr>
          <w:lang w:val="en-US"/>
        </w:rPr>
        <w:t xml:space="preserve"> = 1866 U.S. LEXIS </w:t>
      </w:r>
      <w:r w:rsidRPr="000F1ECB">
        <w:rPr>
          <w:lang w:val="en-US"/>
        </w:rPr>
        <w:t>886, 6</w:t>
      </w:r>
      <w:r>
        <w:rPr>
          <w:lang w:val="en-US"/>
        </w:rPr>
        <w:t>–</w:t>
      </w:r>
      <w:r w:rsidRPr="000F1ECB">
        <w:rPr>
          <w:lang w:val="en-US"/>
        </w:rPr>
        <w:t>8</w:t>
      </w:r>
      <w:r w:rsidRPr="006E67FE">
        <w:rPr>
          <w:lang w:val="en-US"/>
        </w:rPr>
        <w:t xml:space="preserve"> = 4 Wall.</w:t>
      </w:r>
      <w:r w:rsidRPr="000F1ECB">
        <w:rPr>
          <w:lang w:val="en-US"/>
        </w:rPr>
        <w:t xml:space="preserve"> 333 (1867)</w:t>
      </w:r>
      <w:r>
        <w:rPr>
          <w:lang w:val="en-US"/>
        </w:rPr>
        <w:t>.</w:t>
      </w:r>
    </w:p>
  </w:footnote>
  <w:footnote w:id="560">
    <w:p w14:paraId="7B2BA498" w14:textId="77777777" w:rsidR="00074551" w:rsidRPr="00A3064F" w:rsidRDefault="00074551" w:rsidP="00074551">
      <w:pPr>
        <w:pStyle w:val="Funotentext"/>
        <w:jc w:val="both"/>
      </w:pPr>
      <w:r>
        <w:rPr>
          <w:rStyle w:val="Funotenzeichen"/>
        </w:rPr>
        <w:footnoteRef/>
      </w:r>
      <w:r w:rsidRPr="00A3064F">
        <w:t xml:space="preserve"> Sie lehnten </w:t>
      </w:r>
      <w:r>
        <w:t xml:space="preserve">ferner </w:t>
      </w:r>
      <w:r w:rsidRPr="00A3064F">
        <w:t xml:space="preserve">ab, dass das Gesetz ein </w:t>
      </w:r>
      <w:proofErr w:type="spellStart"/>
      <w:r w:rsidRPr="00B45592">
        <w:rPr>
          <w:i/>
          <w:iCs/>
        </w:rPr>
        <w:t>bill</w:t>
      </w:r>
      <w:proofErr w:type="spellEnd"/>
      <w:r w:rsidRPr="00B45592">
        <w:rPr>
          <w:i/>
          <w:iCs/>
        </w:rPr>
        <w:t xml:space="preserve"> of </w:t>
      </w:r>
      <w:proofErr w:type="spellStart"/>
      <w:r w:rsidRPr="00B45592">
        <w:rPr>
          <w:i/>
          <w:iCs/>
        </w:rPr>
        <w:t>attainder</w:t>
      </w:r>
      <w:proofErr w:type="spellEnd"/>
      <w:r w:rsidRPr="00A3064F">
        <w:t xml:space="preserve"> oder ein </w:t>
      </w:r>
      <w:r>
        <w:t>E</w:t>
      </w:r>
      <w:r w:rsidRPr="00A3064F">
        <w:t>x</w:t>
      </w:r>
      <w:r>
        <w:t>-</w:t>
      </w:r>
      <w:r w:rsidRPr="00A3064F">
        <w:t>post</w:t>
      </w:r>
      <w:r>
        <w:t>-</w:t>
      </w:r>
      <w:r w:rsidRPr="00A3064F">
        <w:t>facto</w:t>
      </w:r>
      <w:r>
        <w:t>-</w:t>
      </w:r>
      <w:r w:rsidRPr="00A3064F">
        <w:t>Gesetz sei</w:t>
      </w:r>
      <w:r>
        <w:t xml:space="preserve">, vgl. </w:t>
      </w:r>
      <w:r w:rsidRPr="007360B0">
        <w:rPr>
          <w:i/>
        </w:rPr>
        <w:t xml:space="preserve">Ex </w:t>
      </w:r>
      <w:proofErr w:type="spellStart"/>
      <w:r w:rsidRPr="007360B0">
        <w:rPr>
          <w:i/>
        </w:rPr>
        <w:t>parte</w:t>
      </w:r>
      <w:proofErr w:type="spellEnd"/>
      <w:r w:rsidRPr="007360B0">
        <w:rPr>
          <w:i/>
        </w:rPr>
        <w:t xml:space="preserve"> Garland</w:t>
      </w:r>
      <w:r w:rsidRPr="00A3064F">
        <w:t>, 71 U.S. 333, 377</w:t>
      </w:r>
      <w:r w:rsidRPr="006E67FE">
        <w:t xml:space="preserve"> = 18 L. Ed. </w:t>
      </w:r>
      <w:r w:rsidRPr="00A3064F">
        <w:t>366, 370</w:t>
      </w:r>
      <w:r w:rsidRPr="006E67FE">
        <w:t xml:space="preserve"> = 1866 U.S. LEXIS </w:t>
      </w:r>
      <w:r w:rsidRPr="00A3064F">
        <w:t>886, 80</w:t>
      </w:r>
      <w:r w:rsidRPr="006E67FE">
        <w:t xml:space="preserve"> = 4 Wall.</w:t>
      </w:r>
      <w:r w:rsidRPr="00A3064F">
        <w:t xml:space="preserve"> 333 (1867)</w:t>
      </w:r>
      <w:r>
        <w:t>.</w:t>
      </w:r>
    </w:p>
  </w:footnote>
  <w:footnote w:id="561">
    <w:p w14:paraId="54565A12" w14:textId="77777777" w:rsidR="00074551" w:rsidRPr="00037D68" w:rsidRDefault="00074551" w:rsidP="00074551">
      <w:pPr>
        <w:pStyle w:val="Funotentext"/>
        <w:jc w:val="both"/>
        <w:rPr>
          <w:lang w:val="en-US"/>
        </w:rPr>
      </w:pPr>
      <w:r>
        <w:rPr>
          <w:rStyle w:val="Funotenzeichen"/>
        </w:rPr>
        <w:footnoteRef/>
      </w:r>
      <w:r w:rsidRPr="00037D68">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Garland</w:t>
      </w:r>
      <w:r w:rsidRPr="00037D68">
        <w:rPr>
          <w:lang w:val="en-US"/>
        </w:rPr>
        <w:t>, 71 U.S. 333, 384</w:t>
      </w:r>
      <w:r w:rsidRPr="006E67FE">
        <w:rPr>
          <w:lang w:val="en-US"/>
        </w:rPr>
        <w:t xml:space="preserve"> = 18 L. Ed. </w:t>
      </w:r>
      <w:r w:rsidRPr="00037D68">
        <w:rPr>
          <w:lang w:val="en-US"/>
        </w:rPr>
        <w:t>366, 372</w:t>
      </w:r>
      <w:r w:rsidRPr="006E67FE">
        <w:rPr>
          <w:lang w:val="en-US"/>
        </w:rPr>
        <w:t xml:space="preserve"> = 1866 U.S. LEXIS </w:t>
      </w:r>
      <w:r w:rsidRPr="00037D68">
        <w:rPr>
          <w:lang w:val="en-US"/>
        </w:rPr>
        <w:t>886, 92</w:t>
      </w:r>
      <w:r w:rsidRPr="006E67FE">
        <w:rPr>
          <w:lang w:val="en-US"/>
        </w:rPr>
        <w:t xml:space="preserve"> = 4 Wall.</w:t>
      </w:r>
      <w:r w:rsidRPr="00037D68">
        <w:rPr>
          <w:lang w:val="en-US"/>
        </w:rPr>
        <w:t xml:space="preserve"> 333 (1867)</w:t>
      </w:r>
      <w:r>
        <w:rPr>
          <w:lang w:val="en-US"/>
        </w:rPr>
        <w:t>.</w:t>
      </w:r>
    </w:p>
  </w:footnote>
  <w:footnote w:id="562">
    <w:p w14:paraId="0FCA5250" w14:textId="77777777" w:rsidR="00074551" w:rsidRPr="00037D68" w:rsidRDefault="00074551" w:rsidP="00074551">
      <w:pPr>
        <w:pStyle w:val="Funotentext"/>
        <w:jc w:val="both"/>
        <w:rPr>
          <w:lang w:val="en-US"/>
        </w:rPr>
      </w:pPr>
      <w:r>
        <w:rPr>
          <w:rStyle w:val="Funotenzeichen"/>
        </w:rPr>
        <w:footnoteRef/>
      </w:r>
      <w:r w:rsidRPr="00037D68">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Garland</w:t>
      </w:r>
      <w:r w:rsidRPr="00037D68">
        <w:rPr>
          <w:lang w:val="en-US"/>
        </w:rPr>
        <w:t>, 71 U.S. 333, 384</w:t>
      </w:r>
      <w:r w:rsidRPr="006E67FE">
        <w:rPr>
          <w:lang w:val="en-US"/>
        </w:rPr>
        <w:t xml:space="preserve"> = 18 L. Ed. </w:t>
      </w:r>
      <w:r w:rsidRPr="00037D68">
        <w:rPr>
          <w:lang w:val="en-US"/>
        </w:rPr>
        <w:t>366, 372</w:t>
      </w:r>
      <w:r w:rsidRPr="006E67FE">
        <w:rPr>
          <w:lang w:val="en-US"/>
        </w:rPr>
        <w:t xml:space="preserve"> = 1866 U.S. LEXIS </w:t>
      </w:r>
      <w:r w:rsidRPr="00037D68">
        <w:rPr>
          <w:lang w:val="en-US"/>
        </w:rPr>
        <w:t>886, 92</w:t>
      </w:r>
      <w:r w:rsidRPr="006E67FE">
        <w:rPr>
          <w:lang w:val="en-US"/>
        </w:rPr>
        <w:t xml:space="preserve"> = 4 Wall.</w:t>
      </w:r>
      <w:r w:rsidRPr="00037D68">
        <w:rPr>
          <w:lang w:val="en-US"/>
        </w:rPr>
        <w:t xml:space="preserve"> 333 (1867)</w:t>
      </w:r>
      <w:r>
        <w:rPr>
          <w:lang w:val="en-US"/>
        </w:rPr>
        <w:t>.</w:t>
      </w:r>
    </w:p>
  </w:footnote>
  <w:footnote w:id="563">
    <w:p w14:paraId="5FC47E82" w14:textId="77777777" w:rsidR="00074551" w:rsidRPr="00F7303D" w:rsidRDefault="00074551" w:rsidP="00074551">
      <w:pPr>
        <w:pStyle w:val="Funotentext"/>
        <w:rPr>
          <w:lang w:val="en-US"/>
        </w:rPr>
      </w:pPr>
      <w:r>
        <w:rPr>
          <w:rStyle w:val="Funotenzeichen"/>
        </w:rPr>
        <w:footnoteRef/>
      </w:r>
      <w:r w:rsidRPr="00F7303D">
        <w:rPr>
          <w:lang w:val="en-US"/>
        </w:rPr>
        <w:t xml:space="preserve"> </w:t>
      </w:r>
      <w:r w:rsidRPr="008F73D7">
        <w:rPr>
          <w:i/>
          <w:lang w:val="en-US"/>
        </w:rPr>
        <w:t>Slaughter-House Cases</w:t>
      </w:r>
      <w:r w:rsidRPr="00F7303D">
        <w:rPr>
          <w:lang w:val="en-US"/>
        </w:rPr>
        <w:t>, (16 Wall. 36, 76)</w:t>
      </w:r>
      <w:r>
        <w:rPr>
          <w:lang w:val="en-US"/>
        </w:rPr>
        <w:t xml:space="preserve">; </w:t>
      </w:r>
      <w:r w:rsidRPr="008F73D7">
        <w:rPr>
          <w:i/>
          <w:lang w:val="en-US"/>
        </w:rPr>
        <w:t>Marchie Tiger v. Western Inv. Co.</w:t>
      </w:r>
      <w:r w:rsidRPr="00F7303D">
        <w:rPr>
          <w:lang w:val="en-US"/>
        </w:rPr>
        <w:t>, 221 U.S. 286, 315</w:t>
      </w:r>
      <w:r>
        <w:rPr>
          <w:lang w:val="en-US"/>
        </w:rPr>
        <w:t xml:space="preserve"> = 31 S. Ct. </w:t>
      </w:r>
      <w:r w:rsidRPr="00F7303D">
        <w:rPr>
          <w:lang w:val="en-US"/>
        </w:rPr>
        <w:t>578, 586</w:t>
      </w:r>
      <w:r>
        <w:rPr>
          <w:lang w:val="en-US"/>
        </w:rPr>
        <w:t xml:space="preserve"> = 55 L. Ed. </w:t>
      </w:r>
      <w:r w:rsidRPr="00F7303D">
        <w:rPr>
          <w:lang w:val="en-US"/>
        </w:rPr>
        <w:t>738, 749</w:t>
      </w:r>
      <w:r>
        <w:rPr>
          <w:lang w:val="en-US"/>
        </w:rPr>
        <w:t xml:space="preserve"> = 1911 U.S. LEXIS </w:t>
      </w:r>
      <w:r w:rsidRPr="00F7303D">
        <w:rPr>
          <w:lang w:val="en-US"/>
        </w:rPr>
        <w:t>1734, 47 (1911)</w:t>
      </w:r>
      <w:r>
        <w:rPr>
          <w:lang w:val="en-US"/>
        </w:rPr>
        <w:t>.</w:t>
      </w:r>
    </w:p>
  </w:footnote>
  <w:footnote w:id="564">
    <w:p w14:paraId="10362AF4" w14:textId="77777777" w:rsidR="00074551" w:rsidRPr="00F7303D" w:rsidRDefault="00074551" w:rsidP="00074551">
      <w:pPr>
        <w:pStyle w:val="Funotentext"/>
        <w:rPr>
          <w:lang w:val="en-US"/>
        </w:rPr>
      </w:pPr>
      <w:r>
        <w:rPr>
          <w:rStyle w:val="Funotenzeichen"/>
        </w:rPr>
        <w:footnoteRef/>
      </w:r>
      <w:r w:rsidRPr="00F7303D">
        <w:rPr>
          <w:lang w:val="en-US"/>
        </w:rPr>
        <w:t xml:space="preserve"> </w:t>
      </w:r>
      <w:r w:rsidRPr="008F73D7">
        <w:rPr>
          <w:i/>
          <w:lang w:val="en-US"/>
        </w:rPr>
        <w:t>Slaughter-House Cases</w:t>
      </w:r>
      <w:r w:rsidRPr="00F7303D">
        <w:rPr>
          <w:lang w:val="en-US"/>
        </w:rPr>
        <w:t>, (16 Wall. 36, 76)</w:t>
      </w:r>
      <w:r>
        <w:rPr>
          <w:lang w:val="en-US"/>
        </w:rPr>
        <w:t xml:space="preserve">; </w:t>
      </w:r>
      <w:r w:rsidRPr="008F73D7">
        <w:rPr>
          <w:i/>
          <w:lang w:val="en-US"/>
        </w:rPr>
        <w:t>Marchie Tiger v. Western Inv. Co.</w:t>
      </w:r>
      <w:r w:rsidRPr="00F7303D">
        <w:rPr>
          <w:lang w:val="en-US"/>
        </w:rPr>
        <w:t>, 221 U.S. 286, 315</w:t>
      </w:r>
      <w:r>
        <w:rPr>
          <w:lang w:val="en-US"/>
        </w:rPr>
        <w:t xml:space="preserve"> = 31 S. Ct. </w:t>
      </w:r>
      <w:r w:rsidRPr="00F7303D">
        <w:rPr>
          <w:lang w:val="en-US"/>
        </w:rPr>
        <w:t>578, 586</w:t>
      </w:r>
      <w:r>
        <w:rPr>
          <w:lang w:val="en-US"/>
        </w:rPr>
        <w:t xml:space="preserve"> = 55 L. Ed. </w:t>
      </w:r>
      <w:r w:rsidRPr="00F7303D">
        <w:rPr>
          <w:lang w:val="en-US"/>
        </w:rPr>
        <w:t>738, 749</w:t>
      </w:r>
      <w:r>
        <w:rPr>
          <w:lang w:val="en-US"/>
        </w:rPr>
        <w:t xml:space="preserve"> = 1911 U.S. LEXIS </w:t>
      </w:r>
      <w:r w:rsidRPr="00F7303D">
        <w:rPr>
          <w:lang w:val="en-US"/>
        </w:rPr>
        <w:t>1734, 47 (1911)</w:t>
      </w:r>
      <w:r>
        <w:rPr>
          <w:lang w:val="en-US"/>
        </w:rPr>
        <w:t>.</w:t>
      </w:r>
    </w:p>
  </w:footnote>
  <w:footnote w:id="565">
    <w:p w14:paraId="091A916F" w14:textId="77777777" w:rsidR="00074551" w:rsidRPr="00F25C38" w:rsidRDefault="00074551" w:rsidP="00074551">
      <w:pPr>
        <w:pStyle w:val="Funotentext"/>
        <w:jc w:val="both"/>
        <w:rPr>
          <w:lang w:val="en-US"/>
        </w:rPr>
      </w:pPr>
      <w:r>
        <w:rPr>
          <w:rStyle w:val="Funotenzeichen"/>
        </w:rPr>
        <w:footnoteRef/>
      </w:r>
      <w:r w:rsidRPr="00F25C38">
        <w:rPr>
          <w:lang w:val="en-US"/>
        </w:rPr>
        <w:t xml:space="preserve"> </w:t>
      </w:r>
      <w:r w:rsidRPr="00584023">
        <w:rPr>
          <w:i/>
          <w:lang w:val="en-US"/>
        </w:rPr>
        <w:t>Maxwell v. Dow</w:t>
      </w:r>
      <w:r w:rsidRPr="00F25C38">
        <w:rPr>
          <w:lang w:val="en-US"/>
        </w:rPr>
        <w:t>, 176 U.S. 581, 582</w:t>
      </w:r>
      <w:r>
        <w:rPr>
          <w:lang w:val="en-US"/>
        </w:rPr>
        <w:t xml:space="preserve"> = 20 S. Ct. </w:t>
      </w:r>
      <w:r w:rsidRPr="00F25C38">
        <w:rPr>
          <w:lang w:val="en-US"/>
        </w:rPr>
        <w:t>448, 449</w:t>
      </w:r>
      <w:r>
        <w:rPr>
          <w:lang w:val="en-US"/>
        </w:rPr>
        <w:t xml:space="preserve"> = 44 L. Ed. </w:t>
      </w:r>
      <w:r w:rsidRPr="00F25C38">
        <w:rPr>
          <w:lang w:val="en-US"/>
        </w:rPr>
        <w:t>597, 597</w:t>
      </w:r>
      <w:r>
        <w:rPr>
          <w:lang w:val="en-US"/>
        </w:rPr>
        <w:t xml:space="preserve"> = 1900 U.S. LEXIS </w:t>
      </w:r>
      <w:r w:rsidRPr="00F25C38">
        <w:rPr>
          <w:lang w:val="en-US"/>
        </w:rPr>
        <w:t>1759, 1 (1900)</w:t>
      </w:r>
      <w:r>
        <w:rPr>
          <w:lang w:val="en-US"/>
        </w:rPr>
        <w:t>.</w:t>
      </w:r>
    </w:p>
  </w:footnote>
  <w:footnote w:id="566">
    <w:p w14:paraId="5B4A0B0A" w14:textId="77777777" w:rsidR="00074551" w:rsidRPr="00F25C38" w:rsidRDefault="00074551" w:rsidP="00074551">
      <w:pPr>
        <w:pStyle w:val="Funotentext"/>
        <w:jc w:val="both"/>
        <w:rPr>
          <w:lang w:val="en-US"/>
        </w:rPr>
      </w:pPr>
      <w:r>
        <w:rPr>
          <w:rStyle w:val="Funotenzeichen"/>
        </w:rPr>
        <w:footnoteRef/>
      </w:r>
      <w:r w:rsidRPr="00F25C38">
        <w:rPr>
          <w:lang w:val="en-US"/>
        </w:rPr>
        <w:t xml:space="preserve"> </w:t>
      </w:r>
      <w:r w:rsidRPr="00584023">
        <w:rPr>
          <w:i/>
          <w:lang w:val="en-US"/>
        </w:rPr>
        <w:t>Maxwell v. Dow</w:t>
      </w:r>
      <w:r w:rsidRPr="00F25C38">
        <w:rPr>
          <w:lang w:val="en-US"/>
        </w:rPr>
        <w:t>, 176 U.S. 581, 582</w:t>
      </w:r>
      <w:r>
        <w:rPr>
          <w:lang w:val="en-US"/>
        </w:rPr>
        <w:t xml:space="preserve"> = 20 S. Ct. </w:t>
      </w:r>
      <w:r w:rsidRPr="00F25C38">
        <w:rPr>
          <w:lang w:val="en-US"/>
        </w:rPr>
        <w:t>448, 449</w:t>
      </w:r>
      <w:r>
        <w:rPr>
          <w:lang w:val="en-US"/>
        </w:rPr>
        <w:t xml:space="preserve"> = 44 L. Ed. </w:t>
      </w:r>
      <w:r w:rsidRPr="00F25C38">
        <w:rPr>
          <w:lang w:val="en-US"/>
        </w:rPr>
        <w:t>597, 597</w:t>
      </w:r>
      <w:r>
        <w:rPr>
          <w:lang w:val="en-US"/>
        </w:rPr>
        <w:t xml:space="preserve"> = 1900 U.S. LEXIS </w:t>
      </w:r>
      <w:r w:rsidRPr="00F25C38">
        <w:rPr>
          <w:lang w:val="en-US"/>
        </w:rPr>
        <w:t>1759, 1 (1900)</w:t>
      </w:r>
      <w:r>
        <w:rPr>
          <w:lang w:val="en-US"/>
        </w:rPr>
        <w:t>.</w:t>
      </w:r>
    </w:p>
  </w:footnote>
  <w:footnote w:id="567">
    <w:p w14:paraId="429675EB" w14:textId="77777777" w:rsidR="00074551" w:rsidRPr="00F25C38" w:rsidRDefault="00074551" w:rsidP="00074551">
      <w:pPr>
        <w:pStyle w:val="Funotentext"/>
        <w:jc w:val="both"/>
        <w:rPr>
          <w:lang w:val="en-US"/>
        </w:rPr>
      </w:pPr>
      <w:r>
        <w:rPr>
          <w:rStyle w:val="Funotenzeichen"/>
        </w:rPr>
        <w:footnoteRef/>
      </w:r>
      <w:r w:rsidRPr="00F25C38">
        <w:rPr>
          <w:lang w:val="en-US"/>
        </w:rPr>
        <w:t xml:space="preserve"> </w:t>
      </w:r>
      <w:r w:rsidRPr="00584023">
        <w:rPr>
          <w:i/>
          <w:lang w:val="en-US"/>
        </w:rPr>
        <w:t>Maxwell v. Dow</w:t>
      </w:r>
      <w:r w:rsidRPr="00D25377">
        <w:rPr>
          <w:lang w:val="en-US"/>
        </w:rPr>
        <w:t>, 176 U.S. 581, 588</w:t>
      </w:r>
      <w:r>
        <w:rPr>
          <w:lang w:val="en-US"/>
        </w:rPr>
        <w:t xml:space="preserve"> = 20 S. Ct. </w:t>
      </w:r>
      <w:r w:rsidRPr="00D25377">
        <w:rPr>
          <w:lang w:val="en-US"/>
        </w:rPr>
        <w:t>448, 451</w:t>
      </w:r>
      <w:r>
        <w:rPr>
          <w:lang w:val="en-US"/>
        </w:rPr>
        <w:t xml:space="preserve"> = 44 L. Ed. </w:t>
      </w:r>
      <w:r w:rsidRPr="00D25377">
        <w:rPr>
          <w:lang w:val="en-US"/>
        </w:rPr>
        <w:t>597, 600</w:t>
      </w:r>
      <w:r>
        <w:rPr>
          <w:lang w:val="en-US"/>
        </w:rPr>
        <w:t xml:space="preserve"> = 1900 U.S. LEXIS </w:t>
      </w:r>
      <w:r w:rsidRPr="00D25377">
        <w:rPr>
          <w:lang w:val="en-US"/>
        </w:rPr>
        <w:t>1759, 14 (1900)</w:t>
      </w:r>
      <w:r>
        <w:rPr>
          <w:lang w:val="en-US"/>
        </w:rPr>
        <w:t>.</w:t>
      </w:r>
    </w:p>
  </w:footnote>
  <w:footnote w:id="568">
    <w:p w14:paraId="213698CE" w14:textId="77777777" w:rsidR="00074551" w:rsidRPr="00D25377" w:rsidRDefault="00074551" w:rsidP="00074551">
      <w:pPr>
        <w:pStyle w:val="Funotentext"/>
        <w:jc w:val="both"/>
        <w:rPr>
          <w:lang w:val="en-US"/>
        </w:rPr>
      </w:pPr>
      <w:r>
        <w:rPr>
          <w:rStyle w:val="Funotenzeichen"/>
        </w:rPr>
        <w:footnoteRef/>
      </w:r>
      <w:r w:rsidRPr="00D25377">
        <w:rPr>
          <w:lang w:val="en-US"/>
        </w:rPr>
        <w:t xml:space="preserve"> </w:t>
      </w:r>
      <w:r w:rsidRPr="00584023">
        <w:rPr>
          <w:i/>
          <w:lang w:val="en-US"/>
        </w:rPr>
        <w:t>Maxwell v. Dow</w:t>
      </w:r>
      <w:r w:rsidRPr="00D25377">
        <w:rPr>
          <w:lang w:val="en-US"/>
        </w:rPr>
        <w:t>, 176 U.S. 581, 588</w:t>
      </w:r>
      <w:r>
        <w:rPr>
          <w:lang w:val="en-US"/>
        </w:rPr>
        <w:t xml:space="preserve"> = 20 S. Ct. </w:t>
      </w:r>
      <w:r w:rsidRPr="00D25377">
        <w:rPr>
          <w:lang w:val="en-US"/>
        </w:rPr>
        <w:t>448, 451</w:t>
      </w:r>
      <w:r>
        <w:rPr>
          <w:lang w:val="en-US"/>
        </w:rPr>
        <w:t xml:space="preserve"> = 44 L. Ed. </w:t>
      </w:r>
      <w:r w:rsidRPr="00D25377">
        <w:rPr>
          <w:lang w:val="en-US"/>
        </w:rPr>
        <w:t>597, 600</w:t>
      </w:r>
      <w:r>
        <w:rPr>
          <w:lang w:val="en-US"/>
        </w:rPr>
        <w:t xml:space="preserve"> = 1900 U.S. LEXIS </w:t>
      </w:r>
      <w:r w:rsidRPr="00D25377">
        <w:rPr>
          <w:lang w:val="en-US"/>
        </w:rPr>
        <w:t>1759, 14 (1900)</w:t>
      </w:r>
      <w:r>
        <w:rPr>
          <w:lang w:val="en-US"/>
        </w:rPr>
        <w:t xml:space="preserve">; </w:t>
      </w:r>
      <w:r w:rsidRPr="00D25377">
        <w:rPr>
          <w:lang w:val="en-US"/>
        </w:rPr>
        <w:t>Circuit Court for the District of Pennsylvania, 1823, 4 Washington C.C. </w:t>
      </w:r>
    </w:p>
  </w:footnote>
  <w:footnote w:id="569">
    <w:p w14:paraId="4690E7E9" w14:textId="77777777" w:rsidR="00074551" w:rsidRPr="00D25377" w:rsidRDefault="00074551" w:rsidP="00074551">
      <w:pPr>
        <w:pStyle w:val="Funotentext"/>
        <w:jc w:val="both"/>
        <w:rPr>
          <w:lang w:val="en-US"/>
        </w:rPr>
      </w:pPr>
      <w:r>
        <w:rPr>
          <w:rStyle w:val="Funotenzeichen"/>
        </w:rPr>
        <w:footnoteRef/>
      </w:r>
      <w:r w:rsidRPr="00D25377">
        <w:rPr>
          <w:lang w:val="en-US"/>
        </w:rPr>
        <w:t xml:space="preserve"> </w:t>
      </w:r>
      <w:r w:rsidRPr="00584023">
        <w:rPr>
          <w:i/>
          <w:lang w:val="en-US"/>
        </w:rPr>
        <w:t>Maxwell v. Dow</w:t>
      </w:r>
      <w:r w:rsidRPr="00D25377">
        <w:rPr>
          <w:lang w:val="en-US"/>
        </w:rPr>
        <w:t>, 176 U.S. 581, 589</w:t>
      </w:r>
      <w:r>
        <w:rPr>
          <w:lang w:val="en-US"/>
        </w:rPr>
        <w:t xml:space="preserve"> = 20 S. Ct. </w:t>
      </w:r>
      <w:r w:rsidRPr="00D25377">
        <w:rPr>
          <w:lang w:val="en-US"/>
        </w:rPr>
        <w:t>448, 451</w:t>
      </w:r>
      <w:r>
        <w:rPr>
          <w:lang w:val="en-US"/>
        </w:rPr>
        <w:t xml:space="preserve"> = 44 L. Ed. </w:t>
      </w:r>
      <w:r w:rsidRPr="00D25377">
        <w:rPr>
          <w:lang w:val="en-US"/>
        </w:rPr>
        <w:t>597, 600</w:t>
      </w:r>
      <w:r>
        <w:rPr>
          <w:lang w:val="en-US"/>
        </w:rPr>
        <w:t xml:space="preserve"> = 1900 U.S. LEXIS </w:t>
      </w:r>
      <w:r w:rsidRPr="00D25377">
        <w:rPr>
          <w:lang w:val="en-US"/>
        </w:rPr>
        <w:t>1759, 15 (1900)</w:t>
      </w:r>
      <w:r>
        <w:rPr>
          <w:lang w:val="en-US"/>
        </w:rPr>
        <w:t xml:space="preserve">; </w:t>
      </w:r>
      <w:r w:rsidRPr="00D25377">
        <w:rPr>
          <w:lang w:val="en-US"/>
        </w:rPr>
        <w:t>Circuit Court for the District of Pennsylvania, 1823, 4 Washington C.C. </w:t>
      </w:r>
    </w:p>
  </w:footnote>
  <w:footnote w:id="570">
    <w:p w14:paraId="401D9DA7" w14:textId="77777777" w:rsidR="00074551" w:rsidRPr="00D25377" w:rsidRDefault="00074551" w:rsidP="00074551">
      <w:pPr>
        <w:pStyle w:val="Funotentext"/>
        <w:jc w:val="both"/>
        <w:rPr>
          <w:lang w:val="en-US"/>
        </w:rPr>
      </w:pPr>
      <w:r>
        <w:rPr>
          <w:rStyle w:val="Funotenzeichen"/>
        </w:rPr>
        <w:footnoteRef/>
      </w:r>
      <w:r w:rsidRPr="00D25377">
        <w:rPr>
          <w:lang w:val="en-US"/>
        </w:rPr>
        <w:t xml:space="preserve"> </w:t>
      </w:r>
      <w:r w:rsidRPr="00584023">
        <w:rPr>
          <w:i/>
          <w:lang w:val="en-US"/>
        </w:rPr>
        <w:t>Maxwell v. Dow</w:t>
      </w:r>
      <w:r w:rsidRPr="00D25377">
        <w:rPr>
          <w:lang w:val="en-US"/>
        </w:rPr>
        <w:t>, 176 U.S. 581, 589</w:t>
      </w:r>
      <w:r>
        <w:rPr>
          <w:lang w:val="en-US"/>
        </w:rPr>
        <w:t xml:space="preserve"> = 20 S. Ct. </w:t>
      </w:r>
      <w:r w:rsidRPr="00D25377">
        <w:rPr>
          <w:lang w:val="en-US"/>
        </w:rPr>
        <w:t>448, 451</w:t>
      </w:r>
      <w:r>
        <w:rPr>
          <w:lang w:val="en-US"/>
        </w:rPr>
        <w:t>–</w:t>
      </w:r>
      <w:r w:rsidRPr="00D25377">
        <w:rPr>
          <w:lang w:val="en-US"/>
        </w:rPr>
        <w:t>452</w:t>
      </w:r>
      <w:r>
        <w:rPr>
          <w:lang w:val="en-US"/>
        </w:rPr>
        <w:t xml:space="preserve"> = 44 L. Ed. </w:t>
      </w:r>
      <w:r w:rsidRPr="00D25377">
        <w:rPr>
          <w:lang w:val="en-US"/>
        </w:rPr>
        <w:t>597, 600</w:t>
      </w:r>
      <w:r>
        <w:rPr>
          <w:lang w:val="en-US"/>
        </w:rPr>
        <w:t xml:space="preserve"> = 1900 U.S. LEXIS </w:t>
      </w:r>
      <w:r w:rsidRPr="00D25377">
        <w:rPr>
          <w:lang w:val="en-US"/>
        </w:rPr>
        <w:t>1759, 15 (1900)</w:t>
      </w:r>
      <w:r>
        <w:rPr>
          <w:lang w:val="en-US"/>
        </w:rPr>
        <w:t xml:space="preserve">; </w:t>
      </w:r>
      <w:r w:rsidRPr="00D25377">
        <w:rPr>
          <w:lang w:val="en-US"/>
        </w:rPr>
        <w:t>Circuit Court for the District of Pennsylvania, 1823, 4 Washington C.C. </w:t>
      </w:r>
    </w:p>
  </w:footnote>
  <w:footnote w:id="571">
    <w:p w14:paraId="4B35D87F" w14:textId="77777777" w:rsidR="00074551" w:rsidRPr="00D25377" w:rsidRDefault="00074551" w:rsidP="00074551">
      <w:pPr>
        <w:pStyle w:val="Funotentext"/>
        <w:jc w:val="both"/>
        <w:rPr>
          <w:lang w:val="en-US"/>
        </w:rPr>
      </w:pPr>
      <w:r>
        <w:rPr>
          <w:rStyle w:val="Funotenzeichen"/>
        </w:rPr>
        <w:footnoteRef/>
      </w:r>
      <w:r w:rsidRPr="00D25377">
        <w:rPr>
          <w:lang w:val="en-US"/>
        </w:rPr>
        <w:t xml:space="preserve"> </w:t>
      </w:r>
      <w:r w:rsidRPr="00584023">
        <w:rPr>
          <w:i/>
          <w:lang w:val="en-US"/>
        </w:rPr>
        <w:t>Maxwell v. Dow</w:t>
      </w:r>
      <w:r w:rsidRPr="00D25377">
        <w:rPr>
          <w:lang w:val="en-US"/>
        </w:rPr>
        <w:t>, 176 U.S. 581, 589</w:t>
      </w:r>
      <w:r>
        <w:rPr>
          <w:lang w:val="en-US"/>
        </w:rPr>
        <w:t xml:space="preserve"> = 20 S. Ct. </w:t>
      </w:r>
      <w:r w:rsidRPr="00D25377">
        <w:rPr>
          <w:lang w:val="en-US"/>
        </w:rPr>
        <w:t>448, 451</w:t>
      </w:r>
      <w:r>
        <w:rPr>
          <w:lang w:val="en-US"/>
        </w:rPr>
        <w:t>–</w:t>
      </w:r>
      <w:r w:rsidRPr="00D25377">
        <w:rPr>
          <w:lang w:val="en-US"/>
        </w:rPr>
        <w:t>452</w:t>
      </w:r>
      <w:r>
        <w:rPr>
          <w:lang w:val="en-US"/>
        </w:rPr>
        <w:t xml:space="preserve"> = 44 L. Ed. </w:t>
      </w:r>
      <w:r w:rsidRPr="00D25377">
        <w:rPr>
          <w:lang w:val="en-US"/>
        </w:rPr>
        <w:t>597, 600</w:t>
      </w:r>
      <w:r>
        <w:rPr>
          <w:lang w:val="en-US"/>
        </w:rPr>
        <w:t xml:space="preserve"> = 1900 U.S. LEXIS </w:t>
      </w:r>
      <w:r w:rsidRPr="00D25377">
        <w:rPr>
          <w:lang w:val="en-US"/>
        </w:rPr>
        <w:t>1759, 15 (1900)</w:t>
      </w:r>
      <w:r>
        <w:rPr>
          <w:lang w:val="en-US"/>
        </w:rPr>
        <w:t xml:space="preserve">; </w:t>
      </w:r>
      <w:r w:rsidRPr="00D25377">
        <w:rPr>
          <w:lang w:val="en-US"/>
        </w:rPr>
        <w:t>Circuit Court for the District of Pennsylvania, 1823, 4 Washington C.C. </w:t>
      </w:r>
    </w:p>
  </w:footnote>
  <w:footnote w:id="572">
    <w:p w14:paraId="6BBF6F41" w14:textId="77777777" w:rsidR="00074551" w:rsidRPr="008E25E2" w:rsidRDefault="00074551" w:rsidP="00074551">
      <w:pPr>
        <w:pStyle w:val="Funotentext"/>
        <w:rPr>
          <w:lang w:val="en-US"/>
        </w:rPr>
      </w:pPr>
      <w:r>
        <w:rPr>
          <w:rStyle w:val="Funotenzeichen"/>
        </w:rPr>
        <w:footnoteRef/>
      </w:r>
      <w:r w:rsidRPr="008E25E2">
        <w:rPr>
          <w:lang w:val="en-US"/>
        </w:rPr>
        <w:t xml:space="preserve"> </w:t>
      </w:r>
      <w:r w:rsidRPr="00B45592">
        <w:rPr>
          <w:i/>
          <w:lang w:val="en-US"/>
        </w:rPr>
        <w:t>Baldwin v. Fish &amp; Game Comm’n</w:t>
      </w:r>
      <w:r w:rsidRPr="008E25E2">
        <w:rPr>
          <w:lang w:val="en-US"/>
        </w:rPr>
        <w:t>, 436 U.S. 371, 378</w:t>
      </w:r>
      <w:r w:rsidRPr="003B741A">
        <w:rPr>
          <w:lang w:val="en-US"/>
        </w:rPr>
        <w:t xml:space="preserve"> = 98 S. Ct. </w:t>
      </w:r>
      <w:r w:rsidRPr="008E25E2">
        <w:rPr>
          <w:lang w:val="en-US"/>
        </w:rPr>
        <w:t>1852, 1858</w:t>
      </w:r>
      <w:r>
        <w:rPr>
          <w:lang w:val="en-US"/>
        </w:rPr>
        <w:t xml:space="preserve"> = 56 L. Ed. </w:t>
      </w:r>
      <w:r w:rsidRPr="008E25E2">
        <w:rPr>
          <w:lang w:val="en-US"/>
        </w:rPr>
        <w:t>2d 354, 362</w:t>
      </w:r>
      <w:r w:rsidRPr="003B741A">
        <w:rPr>
          <w:lang w:val="en-US"/>
        </w:rPr>
        <w:t xml:space="preserve"> = 1978 U.S. LEXIS </w:t>
      </w:r>
      <w:r w:rsidRPr="008E25E2">
        <w:rPr>
          <w:lang w:val="en-US"/>
        </w:rPr>
        <w:t>27, 14</w:t>
      </w:r>
      <w:r w:rsidRPr="003B741A">
        <w:rPr>
          <w:lang w:val="en-US"/>
        </w:rPr>
        <w:t xml:space="preserve"> = 8 ELR </w:t>
      </w:r>
      <w:r w:rsidRPr="008E25E2">
        <w:rPr>
          <w:lang w:val="en-US"/>
        </w:rPr>
        <w:t>20425 (1978)</w:t>
      </w:r>
      <w:r>
        <w:rPr>
          <w:lang w:val="en-US"/>
        </w:rPr>
        <w:t>.</w:t>
      </w:r>
    </w:p>
  </w:footnote>
  <w:footnote w:id="573">
    <w:p w14:paraId="2A1BF8C4" w14:textId="77777777" w:rsidR="00074551" w:rsidRPr="008E25E2" w:rsidRDefault="00074551" w:rsidP="00074551">
      <w:pPr>
        <w:pStyle w:val="Funotentext"/>
        <w:rPr>
          <w:lang w:val="en-US"/>
        </w:rPr>
      </w:pPr>
      <w:r>
        <w:rPr>
          <w:rStyle w:val="Funotenzeichen"/>
        </w:rPr>
        <w:footnoteRef/>
      </w:r>
      <w:r w:rsidRPr="008E25E2">
        <w:rPr>
          <w:lang w:val="en-US"/>
        </w:rPr>
        <w:t xml:space="preserve"> </w:t>
      </w:r>
      <w:r w:rsidRPr="00B45592">
        <w:rPr>
          <w:i/>
          <w:lang w:val="en-US"/>
        </w:rPr>
        <w:t>Baldwin v. Fish &amp; Game Comm’n</w:t>
      </w:r>
      <w:r w:rsidRPr="008E25E2">
        <w:rPr>
          <w:lang w:val="en-US"/>
        </w:rPr>
        <w:t>, 436 U.S. 371, 379</w:t>
      </w:r>
      <w:r w:rsidRPr="003B741A">
        <w:rPr>
          <w:lang w:val="en-US"/>
        </w:rPr>
        <w:t xml:space="preserve"> = 98 S. Ct. </w:t>
      </w:r>
      <w:r w:rsidRPr="008E25E2">
        <w:rPr>
          <w:lang w:val="en-US"/>
        </w:rPr>
        <w:t>1852, 1858</w:t>
      </w:r>
      <w:r>
        <w:rPr>
          <w:lang w:val="en-US"/>
        </w:rPr>
        <w:t xml:space="preserve"> = 56 L. Ed. </w:t>
      </w:r>
      <w:r w:rsidRPr="008E25E2">
        <w:rPr>
          <w:lang w:val="en-US"/>
        </w:rPr>
        <w:t>2d 354, 362</w:t>
      </w:r>
      <w:r w:rsidRPr="003B741A">
        <w:rPr>
          <w:lang w:val="en-US"/>
        </w:rPr>
        <w:t xml:space="preserve"> = 1978 U.S. LEXIS </w:t>
      </w:r>
      <w:r w:rsidRPr="008E25E2">
        <w:rPr>
          <w:lang w:val="en-US"/>
        </w:rPr>
        <w:t>27, 15</w:t>
      </w:r>
      <w:r w:rsidRPr="003B741A">
        <w:rPr>
          <w:lang w:val="en-US"/>
        </w:rPr>
        <w:t xml:space="preserve"> = 8 ELR </w:t>
      </w:r>
      <w:r w:rsidRPr="008E25E2">
        <w:rPr>
          <w:lang w:val="en-US"/>
        </w:rPr>
        <w:t>20425 (1978)</w:t>
      </w:r>
      <w:r>
        <w:rPr>
          <w:lang w:val="en-US"/>
        </w:rPr>
        <w:t>.</w:t>
      </w:r>
    </w:p>
  </w:footnote>
  <w:footnote w:id="574">
    <w:p w14:paraId="0E233D1D"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Baldwin v. Fish &amp; Game Comm’n</w:t>
      </w:r>
      <w:r w:rsidRPr="00503916">
        <w:rPr>
          <w:lang w:val="en-US"/>
        </w:rPr>
        <w:t>, 436 U.S. 371, 380</w:t>
      </w:r>
      <w:r w:rsidRPr="003B741A">
        <w:rPr>
          <w:lang w:val="en-US"/>
        </w:rPr>
        <w:t xml:space="preserve"> = 98 S. Ct. </w:t>
      </w:r>
      <w:r w:rsidRPr="00503916">
        <w:rPr>
          <w:lang w:val="en-US"/>
        </w:rPr>
        <w:t>1852, 1859</w:t>
      </w:r>
      <w:r>
        <w:rPr>
          <w:lang w:val="en-US"/>
        </w:rPr>
        <w:t xml:space="preserve"> = 56 L. Ed. </w:t>
      </w:r>
      <w:r w:rsidRPr="00503916">
        <w:rPr>
          <w:lang w:val="en-US"/>
        </w:rPr>
        <w:t>2d 354, 363</w:t>
      </w:r>
      <w:r w:rsidRPr="003B741A">
        <w:rPr>
          <w:lang w:val="en-US"/>
        </w:rPr>
        <w:t xml:space="preserve"> = 1978 U.S. LEXIS </w:t>
      </w:r>
      <w:r w:rsidRPr="00503916">
        <w:rPr>
          <w:lang w:val="en-US"/>
        </w:rPr>
        <w:t>27, 18</w:t>
      </w:r>
      <w:r w:rsidRPr="003B741A">
        <w:rPr>
          <w:lang w:val="en-US"/>
        </w:rPr>
        <w:t xml:space="preserve"> = 8 ELR </w:t>
      </w:r>
      <w:r w:rsidRPr="00503916">
        <w:rPr>
          <w:lang w:val="en-US"/>
        </w:rPr>
        <w:t>20425 (1978)</w:t>
      </w:r>
      <w:r>
        <w:rPr>
          <w:lang w:val="en-US"/>
        </w:rPr>
        <w:t>.</w:t>
      </w:r>
    </w:p>
  </w:footnote>
  <w:footnote w:id="575">
    <w:p w14:paraId="78EC4711" w14:textId="4C200D90" w:rsidR="00074551" w:rsidRPr="00B45592" w:rsidRDefault="00074551" w:rsidP="00074551">
      <w:pPr>
        <w:pStyle w:val="Funotentext"/>
        <w:rPr>
          <w:lang w:val="en-IE"/>
        </w:rPr>
      </w:pPr>
      <w:r>
        <w:rPr>
          <w:rStyle w:val="Funotenzeichen"/>
          <w:rFonts w:eastAsiaTheme="majorEastAsia"/>
        </w:rPr>
        <w:footnoteRef/>
      </w:r>
      <w:r>
        <w:t xml:space="preserve"> </w:t>
      </w:r>
      <w:r w:rsidRPr="00AC31C5">
        <w:t>Da sie Bürgerin</w:t>
      </w:r>
      <w:r>
        <w:t xml:space="preserve"> von</w:t>
      </w:r>
      <w:r w:rsidRPr="00AC31C5">
        <w:t xml:space="preserve"> Illinois war, konnte sie sich hier nicht auf zwischenstaatliche Diskriminierung zulasten der Bürger Vermonts</w:t>
      </w:r>
      <w:r>
        <w:t xml:space="preserve"> </w:t>
      </w:r>
      <w:r w:rsidRPr="00AC31C5">
        <w:t xml:space="preserve">berufen nach </w:t>
      </w:r>
      <w:r w:rsidR="00023A37">
        <w:t xml:space="preserve">U.S. </w:t>
      </w:r>
      <w:proofErr w:type="spellStart"/>
      <w:r w:rsidR="00023A37">
        <w:t>Const</w:t>
      </w:r>
      <w:proofErr w:type="spellEnd"/>
      <w:r w:rsidR="00023A37">
        <w:t>. art. IV, § 2, cl. 1.</w:t>
      </w:r>
    </w:p>
  </w:footnote>
  <w:footnote w:id="576">
    <w:p w14:paraId="1B6F4699"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r w:rsidRPr="008F73D7">
        <w:rPr>
          <w:i/>
          <w:lang w:val="en-US"/>
        </w:rPr>
        <w:t>Slaughter-House Cases</w:t>
      </w:r>
      <w:r>
        <w:rPr>
          <w:lang w:val="en-US"/>
        </w:rPr>
        <w:t xml:space="preserve">; </w:t>
      </w:r>
      <w:r w:rsidRPr="00584023">
        <w:rPr>
          <w:i/>
          <w:lang w:val="en-US"/>
        </w:rPr>
        <w:t>Bradwell v. State</w:t>
      </w:r>
      <w:r w:rsidRPr="006E67FE">
        <w:rPr>
          <w:lang w:val="en-US"/>
        </w:rPr>
        <w:t xml:space="preserve"> = 1872 U.S. LEXIS </w:t>
      </w:r>
      <w:r w:rsidRPr="00AC31C5">
        <w:rPr>
          <w:lang w:val="en-US"/>
        </w:rPr>
        <w:t>1140, 17, 83 U.S. 130, 139</w:t>
      </w:r>
      <w:r w:rsidRPr="003B741A">
        <w:rPr>
          <w:lang w:val="en-US"/>
        </w:rPr>
        <w:t xml:space="preserve"> = 21 L. Ed. </w:t>
      </w:r>
      <w:r w:rsidRPr="00AC31C5">
        <w:rPr>
          <w:lang w:val="en-US"/>
        </w:rPr>
        <w:t>442, 445 (1873)</w:t>
      </w:r>
      <w:r>
        <w:rPr>
          <w:lang w:val="en-US"/>
        </w:rPr>
        <w:t>.</w:t>
      </w:r>
    </w:p>
  </w:footnote>
  <w:footnote w:id="577">
    <w:p w14:paraId="16F412F5"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r w:rsidRPr="00584023">
        <w:rPr>
          <w:i/>
          <w:lang w:val="en-US"/>
        </w:rPr>
        <w:t>Bradwell v. State</w:t>
      </w:r>
      <w:r w:rsidRPr="00AC31C5">
        <w:rPr>
          <w:lang w:val="en-US"/>
        </w:rPr>
        <w:t>, 83 U.S. 130, 137</w:t>
      </w:r>
      <w:r w:rsidRPr="003B741A">
        <w:rPr>
          <w:lang w:val="en-US"/>
        </w:rPr>
        <w:t xml:space="preserve"> = 21 L. Ed. </w:t>
      </w:r>
      <w:r w:rsidRPr="00AC31C5">
        <w:rPr>
          <w:lang w:val="en-US"/>
        </w:rPr>
        <w:t xml:space="preserve">442, 445 </w:t>
      </w:r>
      <w:r w:rsidRPr="006E67FE">
        <w:rPr>
          <w:lang w:val="en-US"/>
        </w:rPr>
        <w:t xml:space="preserve">= 1872 U.S. LEXIS </w:t>
      </w:r>
      <w:r w:rsidRPr="00AC31C5">
        <w:rPr>
          <w:lang w:val="en-US"/>
        </w:rPr>
        <w:t>1140, 12 (1873)</w:t>
      </w:r>
      <w:r>
        <w:rPr>
          <w:lang w:val="en-US"/>
        </w:rPr>
        <w:t>.</w:t>
      </w:r>
    </w:p>
  </w:footnote>
  <w:footnote w:id="578">
    <w:p w14:paraId="2C87FD66" w14:textId="538BE098" w:rsidR="00074551" w:rsidRPr="00B45592" w:rsidRDefault="00074551" w:rsidP="00074551">
      <w:pPr>
        <w:pStyle w:val="Funotentext"/>
        <w:rPr>
          <w:lang w:val="en-IE"/>
        </w:rPr>
      </w:pPr>
      <w:r>
        <w:rPr>
          <w:rStyle w:val="Funotenzeichen"/>
        </w:rPr>
        <w:footnoteRef/>
      </w:r>
      <w:r w:rsidR="5B67C1D2" w:rsidRPr="00B45592">
        <w:rPr>
          <w:lang w:val="en-IE"/>
        </w:rPr>
        <w:t xml:space="preserve"> </w:t>
      </w:r>
      <w:r w:rsidR="5B67C1D2" w:rsidRPr="5B67C1D2">
        <w:rPr>
          <w:i/>
          <w:iCs/>
          <w:lang w:val="en-IE"/>
        </w:rPr>
        <w:t>Loving v. Virginia</w:t>
      </w:r>
      <w:r w:rsidR="5B67C1D2" w:rsidRPr="002E1FEE">
        <w:rPr>
          <w:lang w:val="en-IE"/>
        </w:rPr>
        <w:t>, 388 U.S. 1, 2</w:t>
      </w:r>
      <w:r w:rsidR="5B67C1D2" w:rsidRPr="5B67C1D2">
        <w:rPr>
          <w:rFonts w:eastAsiaTheme="majorEastAsia"/>
          <w:lang w:val="en-IE"/>
        </w:rPr>
        <w:t xml:space="preserve"> =</w:t>
      </w:r>
      <w:r w:rsidR="5B67C1D2" w:rsidRPr="002E1FEE">
        <w:rPr>
          <w:lang w:val="en-IE"/>
        </w:rPr>
        <w:t xml:space="preserve"> 87 S. Ct. 1817, </w:t>
      </w:r>
      <w:r w:rsidR="5B67C1D2" w:rsidRPr="5B67C1D2">
        <w:rPr>
          <w:lang w:val="en-IE"/>
        </w:rPr>
        <w:t>Headnote 3</w:t>
      </w:r>
      <w:r w:rsidR="5B67C1D2" w:rsidRPr="5B67C1D2">
        <w:rPr>
          <w:rFonts w:eastAsiaTheme="majorEastAsia"/>
          <w:lang w:val="en-IE"/>
        </w:rPr>
        <w:t xml:space="preserve"> =</w:t>
      </w:r>
      <w:r w:rsidR="5B67C1D2" w:rsidRPr="5B67C1D2">
        <w:rPr>
          <w:lang w:val="en-IE"/>
        </w:rPr>
        <w:t xml:space="preserve"> 18 L. Ed. 2d 1010, 1012</w:t>
      </w:r>
      <w:r w:rsidR="5B67C1D2" w:rsidRPr="5B67C1D2">
        <w:rPr>
          <w:rFonts w:eastAsiaTheme="majorEastAsia"/>
          <w:lang w:val="en-IE"/>
        </w:rPr>
        <w:t xml:space="preserve"> =</w:t>
      </w:r>
      <w:r w:rsidR="5B67C1D2" w:rsidRPr="5B67C1D2">
        <w:rPr>
          <w:lang w:val="en-IE"/>
        </w:rPr>
        <w:t xml:space="preserve"> 1967 U.S. LEXIS 1082, 1 (1967).</w:t>
      </w:r>
    </w:p>
  </w:footnote>
  <w:footnote w:id="579">
    <w:p w14:paraId="7810F4F6"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2E1FEE">
        <w:rPr>
          <w:i/>
          <w:lang w:val="en-IE"/>
        </w:rPr>
        <w:t>Loving v. Virginia</w:t>
      </w:r>
      <w:r w:rsidRPr="002E1FEE">
        <w:rPr>
          <w:lang w:val="en-IE"/>
        </w:rPr>
        <w:t>, 388 U.S. 1, 11 = 87 S. Ct. 1817, 1823 = 18 L. Ed. 2d 1010, 1017 = 1967 U.S. LEXIS 1082, 16 (1967).</w:t>
      </w:r>
    </w:p>
  </w:footnote>
  <w:footnote w:id="580">
    <w:p w14:paraId="3D928970"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r w:rsidRPr="009572B5">
        <w:rPr>
          <w:i/>
          <w:lang w:val="en-US"/>
        </w:rPr>
        <w:t>Skinner v. Oklahoma</w:t>
      </w:r>
      <w:r w:rsidRPr="00AC31C5">
        <w:rPr>
          <w:lang w:val="en-US"/>
        </w:rPr>
        <w:t>, 316 U.S. 535, 541 (1942).</w:t>
      </w:r>
      <w:r>
        <w:rPr>
          <w:lang w:val="en-US"/>
        </w:rPr>
        <w:t xml:space="preserve"> </w:t>
      </w:r>
      <w:proofErr w:type="spellStart"/>
      <w:r>
        <w:rPr>
          <w:lang w:val="en-US"/>
        </w:rPr>
        <w:t>Siehe</w:t>
      </w:r>
      <w:proofErr w:type="spellEnd"/>
      <w:r>
        <w:rPr>
          <w:lang w:val="en-US"/>
        </w:rPr>
        <w:t xml:space="preserve"> </w:t>
      </w:r>
      <w:proofErr w:type="spellStart"/>
      <w:r>
        <w:rPr>
          <w:lang w:val="en-US"/>
        </w:rPr>
        <w:t>auch</w:t>
      </w:r>
      <w:proofErr w:type="spellEnd"/>
      <w:r w:rsidRPr="00AC31C5">
        <w:rPr>
          <w:lang w:val="en-US"/>
        </w:rPr>
        <w:t xml:space="preserve"> </w:t>
      </w:r>
      <w:r w:rsidRPr="00B45592">
        <w:rPr>
          <w:i/>
          <w:lang w:val="en-US"/>
        </w:rPr>
        <w:t>Maynard v. Hill</w:t>
      </w:r>
      <w:r w:rsidRPr="00AC31C5">
        <w:rPr>
          <w:lang w:val="en-US"/>
        </w:rPr>
        <w:t>, 125 U.S. 190 (1888)</w:t>
      </w:r>
      <w:r>
        <w:rPr>
          <w:lang w:val="en-US"/>
        </w:rPr>
        <w:t xml:space="preserve">; </w:t>
      </w:r>
      <w:r w:rsidRPr="00584023">
        <w:rPr>
          <w:i/>
          <w:lang w:val="en-US"/>
        </w:rPr>
        <w:t>Loving v. Virginia</w:t>
      </w:r>
      <w:r w:rsidRPr="00AC31C5">
        <w:rPr>
          <w:lang w:val="en-US"/>
        </w:rPr>
        <w:t>, 388 U.S. 1, 12</w:t>
      </w:r>
      <w:r w:rsidRPr="006E67FE">
        <w:rPr>
          <w:lang w:val="en-US"/>
        </w:rPr>
        <w:t xml:space="preserve"> = 87 S. Ct. </w:t>
      </w:r>
      <w:r w:rsidRPr="00AC31C5">
        <w:rPr>
          <w:lang w:val="en-US"/>
        </w:rPr>
        <w:t>1817, 1824</w:t>
      </w:r>
      <w:r w:rsidRPr="006E67FE">
        <w:rPr>
          <w:lang w:val="en-US"/>
        </w:rPr>
        <w:t xml:space="preserve"> = 18 L. Ed. </w:t>
      </w:r>
      <w:r w:rsidRPr="00AC31C5">
        <w:rPr>
          <w:lang w:val="en-US"/>
        </w:rPr>
        <w:t>2d 1010, 1018</w:t>
      </w:r>
      <w:r w:rsidRPr="006E67FE">
        <w:rPr>
          <w:lang w:val="en-US"/>
        </w:rPr>
        <w:t xml:space="preserve"> = 1967 U.S. LEXIS </w:t>
      </w:r>
      <w:r w:rsidRPr="00AC31C5">
        <w:rPr>
          <w:lang w:val="en-US"/>
        </w:rPr>
        <w:t>1082, 18 (1967)</w:t>
      </w:r>
      <w:r>
        <w:rPr>
          <w:lang w:val="en-US"/>
        </w:rPr>
        <w:t>.</w:t>
      </w:r>
    </w:p>
  </w:footnote>
  <w:footnote w:id="581">
    <w:p w14:paraId="39AF6222" w14:textId="77777777" w:rsidR="00074551" w:rsidRPr="00AC31C5" w:rsidRDefault="00074551" w:rsidP="00074551">
      <w:pPr>
        <w:pStyle w:val="Funotentext"/>
        <w:jc w:val="both"/>
        <w:rPr>
          <w:lang w:val="en-US"/>
        </w:rPr>
      </w:pPr>
      <w:r>
        <w:rPr>
          <w:rStyle w:val="Funotenzeichen"/>
          <w:rFonts w:eastAsiaTheme="majorEastAsia"/>
        </w:rPr>
        <w:footnoteRef/>
      </w:r>
      <w:r w:rsidRPr="00AC31C5">
        <w:rPr>
          <w:lang w:val="en-US"/>
        </w:rPr>
        <w:t xml:space="preserve"> </w:t>
      </w:r>
      <w:r w:rsidRPr="00584023">
        <w:rPr>
          <w:i/>
          <w:lang w:val="en-US"/>
        </w:rPr>
        <w:t>Loving v. Virginia</w:t>
      </w:r>
      <w:r w:rsidRPr="00AC31C5">
        <w:rPr>
          <w:lang w:val="en-US"/>
        </w:rPr>
        <w:t>, 388 U.S. 1, 12</w:t>
      </w:r>
      <w:r w:rsidRPr="006E67FE">
        <w:rPr>
          <w:lang w:val="en-US"/>
        </w:rPr>
        <w:t xml:space="preserve"> = 87 S. Ct. </w:t>
      </w:r>
      <w:r w:rsidRPr="00AC31C5">
        <w:rPr>
          <w:lang w:val="en-US"/>
        </w:rPr>
        <w:t>1817, 1824</w:t>
      </w:r>
      <w:r w:rsidRPr="006E67FE">
        <w:rPr>
          <w:lang w:val="en-US"/>
        </w:rPr>
        <w:t xml:space="preserve"> = 18 L. Ed. </w:t>
      </w:r>
      <w:r w:rsidRPr="00AC31C5">
        <w:rPr>
          <w:lang w:val="en-US"/>
        </w:rPr>
        <w:t>2d 1010, 1018</w:t>
      </w:r>
      <w:r w:rsidRPr="006E67FE">
        <w:rPr>
          <w:lang w:val="en-US"/>
        </w:rPr>
        <w:t xml:space="preserve"> = 1967 U.S. LEXIS </w:t>
      </w:r>
      <w:r w:rsidRPr="00AC31C5">
        <w:rPr>
          <w:lang w:val="en-US"/>
        </w:rPr>
        <w:t>1082, 18 (1967)</w:t>
      </w:r>
      <w:r>
        <w:rPr>
          <w:lang w:val="en-US"/>
        </w:rPr>
        <w:t>.</w:t>
      </w:r>
    </w:p>
  </w:footnote>
  <w:footnote w:id="582">
    <w:p w14:paraId="18548107" w14:textId="77777777" w:rsidR="00074551" w:rsidRPr="00627BD7" w:rsidRDefault="00074551" w:rsidP="00074551">
      <w:pPr>
        <w:pStyle w:val="Funotentext"/>
        <w:rPr>
          <w:lang w:val="en-US"/>
        </w:rPr>
      </w:pPr>
      <w:r>
        <w:rPr>
          <w:rStyle w:val="Funotenzeichen"/>
        </w:rPr>
        <w:footnoteRef/>
      </w:r>
      <w:r w:rsidRPr="00627BD7">
        <w:rPr>
          <w:lang w:val="en-US"/>
        </w:rPr>
        <w:t xml:space="preserve"> </w:t>
      </w:r>
      <w:proofErr w:type="spellStart"/>
      <w:r w:rsidRPr="00584023">
        <w:rPr>
          <w:i/>
          <w:lang w:val="en-US"/>
        </w:rPr>
        <w:t>Mandoli</w:t>
      </w:r>
      <w:proofErr w:type="spellEnd"/>
      <w:r w:rsidRPr="00584023">
        <w:rPr>
          <w:i/>
          <w:lang w:val="en-US"/>
        </w:rPr>
        <w:t xml:space="preserve"> v. Acheson</w:t>
      </w:r>
      <w:r w:rsidRPr="00627BD7">
        <w:rPr>
          <w:lang w:val="en-US"/>
        </w:rPr>
        <w:t>, 344 U.S. 133, 134</w:t>
      </w:r>
      <w:r w:rsidRPr="006E67FE">
        <w:rPr>
          <w:lang w:val="en-US"/>
        </w:rPr>
        <w:t xml:space="preserve"> = 73 S. Ct. </w:t>
      </w:r>
      <w:r w:rsidRPr="00627BD7">
        <w:rPr>
          <w:lang w:val="en-US"/>
        </w:rPr>
        <w:t>135, 135</w:t>
      </w:r>
      <w:r w:rsidRPr="006E67FE">
        <w:rPr>
          <w:lang w:val="en-US"/>
        </w:rPr>
        <w:t xml:space="preserve"> = 97 L. Ed. </w:t>
      </w:r>
      <w:r w:rsidRPr="00627BD7">
        <w:rPr>
          <w:lang w:val="en-US"/>
        </w:rPr>
        <w:t>146, 148</w:t>
      </w:r>
      <w:r w:rsidRPr="006E67FE">
        <w:rPr>
          <w:lang w:val="en-US"/>
        </w:rPr>
        <w:t xml:space="preserve"> = 1952 U.S. LEXIS </w:t>
      </w:r>
      <w:r w:rsidRPr="00627BD7">
        <w:rPr>
          <w:lang w:val="en-US"/>
        </w:rPr>
        <w:t>1496, 1 (1952)</w:t>
      </w:r>
      <w:r>
        <w:rPr>
          <w:lang w:val="en-US"/>
        </w:rPr>
        <w:t>.</w:t>
      </w:r>
    </w:p>
  </w:footnote>
  <w:footnote w:id="583">
    <w:p w14:paraId="7CE6B8BD" w14:textId="77777777" w:rsidR="00074551" w:rsidRPr="00627BD7" w:rsidRDefault="00074551" w:rsidP="00074551">
      <w:pPr>
        <w:pStyle w:val="Funotentext"/>
        <w:rPr>
          <w:lang w:val="en-US"/>
        </w:rPr>
      </w:pPr>
      <w:r>
        <w:rPr>
          <w:rStyle w:val="Funotenzeichen"/>
        </w:rPr>
        <w:footnoteRef/>
      </w:r>
      <w:r w:rsidRPr="00627BD7">
        <w:rPr>
          <w:lang w:val="en-US"/>
        </w:rPr>
        <w:t xml:space="preserve"> </w:t>
      </w:r>
      <w:proofErr w:type="spellStart"/>
      <w:r w:rsidRPr="00584023">
        <w:rPr>
          <w:i/>
          <w:lang w:val="en-US"/>
        </w:rPr>
        <w:t>Mandoli</w:t>
      </w:r>
      <w:proofErr w:type="spellEnd"/>
      <w:r w:rsidRPr="00584023">
        <w:rPr>
          <w:i/>
          <w:lang w:val="en-US"/>
        </w:rPr>
        <w:t xml:space="preserve"> v. Acheson</w:t>
      </w:r>
      <w:r w:rsidRPr="00627BD7">
        <w:rPr>
          <w:lang w:val="en-US"/>
        </w:rPr>
        <w:t>, 344 U.S. 133, 136</w:t>
      </w:r>
      <w:r w:rsidRPr="006E67FE">
        <w:rPr>
          <w:lang w:val="en-US"/>
        </w:rPr>
        <w:t xml:space="preserve"> = 73 S. Ct. </w:t>
      </w:r>
      <w:r w:rsidRPr="00627BD7">
        <w:rPr>
          <w:lang w:val="en-US"/>
        </w:rPr>
        <w:t>135, 136</w:t>
      </w:r>
      <w:r w:rsidRPr="006E67FE">
        <w:rPr>
          <w:lang w:val="en-US"/>
        </w:rPr>
        <w:t xml:space="preserve"> = 97 L. Ed. </w:t>
      </w:r>
      <w:r w:rsidRPr="00627BD7">
        <w:rPr>
          <w:lang w:val="en-US"/>
        </w:rPr>
        <w:t>146, 149</w:t>
      </w:r>
      <w:r w:rsidRPr="006E67FE">
        <w:rPr>
          <w:lang w:val="en-US"/>
        </w:rPr>
        <w:t xml:space="preserve"> = 1952 U.S. LEXIS </w:t>
      </w:r>
      <w:r w:rsidRPr="00627BD7">
        <w:rPr>
          <w:lang w:val="en-US"/>
        </w:rPr>
        <w:t>1496, 6 (1952)</w:t>
      </w:r>
      <w:r>
        <w:rPr>
          <w:lang w:val="en-US"/>
        </w:rPr>
        <w:t>.</w:t>
      </w:r>
    </w:p>
  </w:footnote>
  <w:footnote w:id="584">
    <w:p w14:paraId="3A4A2AA3" w14:textId="77777777" w:rsidR="00074551" w:rsidRPr="00AC31C5" w:rsidRDefault="00074551" w:rsidP="00074551">
      <w:pPr>
        <w:pStyle w:val="Funotentext"/>
        <w:rPr>
          <w:lang w:val="en-US"/>
        </w:rPr>
      </w:pPr>
      <w:r>
        <w:rPr>
          <w:rStyle w:val="Funotenzeichen"/>
          <w:rFonts w:eastAsiaTheme="majorEastAsia"/>
        </w:rPr>
        <w:footnoteRef/>
      </w:r>
      <w:r w:rsidRPr="00AC31C5">
        <w:rPr>
          <w:lang w:val="en-US"/>
        </w:rPr>
        <w:t xml:space="preserve"> 15 Stat. 223, 8 </w:t>
      </w:r>
      <w:r>
        <w:rPr>
          <w:lang w:val="en-US"/>
        </w:rPr>
        <w:t>U.S.</w:t>
      </w:r>
      <w:r w:rsidRPr="00AC31C5">
        <w:rPr>
          <w:lang w:val="en-US"/>
        </w:rPr>
        <w:t xml:space="preserve"> C. </w:t>
      </w:r>
      <w:r>
        <w:rPr>
          <w:lang w:val="en-US"/>
        </w:rPr>
        <w:t>§ </w:t>
      </w:r>
      <w:r w:rsidRPr="00AC31C5">
        <w:rPr>
          <w:lang w:val="en-US"/>
        </w:rPr>
        <w:t>800</w:t>
      </w:r>
      <w:r>
        <w:rPr>
          <w:lang w:val="en-US"/>
        </w:rPr>
        <w:t xml:space="preserve">; </w:t>
      </w:r>
      <w:proofErr w:type="spellStart"/>
      <w:r w:rsidRPr="00584023">
        <w:rPr>
          <w:i/>
          <w:lang w:val="en-US"/>
        </w:rPr>
        <w:t>Mandoli</w:t>
      </w:r>
      <w:proofErr w:type="spellEnd"/>
      <w:r w:rsidRPr="00584023">
        <w:rPr>
          <w:i/>
          <w:lang w:val="en-US"/>
        </w:rPr>
        <w:t xml:space="preserve"> v. Acheson</w:t>
      </w:r>
      <w:r w:rsidRPr="00AC31C5">
        <w:rPr>
          <w:lang w:val="en-US"/>
        </w:rPr>
        <w:t>, 344 U.S. 133, 136</w:t>
      </w:r>
      <w:r w:rsidRPr="006E67FE">
        <w:rPr>
          <w:lang w:val="en-US"/>
        </w:rPr>
        <w:t xml:space="preserve"> = 73 S. Ct. </w:t>
      </w:r>
      <w:r w:rsidRPr="00AC31C5">
        <w:rPr>
          <w:lang w:val="en-US"/>
        </w:rPr>
        <w:t>135, 136</w:t>
      </w:r>
      <w:r w:rsidRPr="006E67FE">
        <w:rPr>
          <w:lang w:val="en-US"/>
        </w:rPr>
        <w:t xml:space="preserve"> = 97 L. Ed. </w:t>
      </w:r>
      <w:r w:rsidRPr="00AC31C5">
        <w:rPr>
          <w:lang w:val="en-US"/>
        </w:rPr>
        <w:t>146, 149</w:t>
      </w:r>
      <w:r w:rsidRPr="006E67FE">
        <w:rPr>
          <w:lang w:val="en-US"/>
        </w:rPr>
        <w:t xml:space="preserve"> = 1952 U.S. LEXIS </w:t>
      </w:r>
      <w:r w:rsidRPr="00AC31C5">
        <w:rPr>
          <w:lang w:val="en-US"/>
        </w:rPr>
        <w:t>1496, 6 (1952)</w:t>
      </w:r>
      <w:r>
        <w:rPr>
          <w:lang w:val="en-US"/>
        </w:rPr>
        <w:t>.</w:t>
      </w:r>
    </w:p>
  </w:footnote>
  <w:footnote w:id="585">
    <w:p w14:paraId="4A529258" w14:textId="77777777" w:rsidR="00074551" w:rsidRPr="00075192" w:rsidRDefault="00074551" w:rsidP="00074551">
      <w:pPr>
        <w:pStyle w:val="Funotentext"/>
      </w:pPr>
      <w:r>
        <w:rPr>
          <w:rStyle w:val="Funotenzeichen"/>
          <w:rFonts w:eastAsiaTheme="majorEastAsia"/>
        </w:rPr>
        <w:footnoteRef/>
      </w:r>
      <w:r w:rsidRPr="00075192">
        <w:t xml:space="preserve"> </w:t>
      </w:r>
      <w:proofErr w:type="spellStart"/>
      <w:r w:rsidRPr="00B45592">
        <w:rPr>
          <w:i/>
        </w:rPr>
        <w:t>Revised</w:t>
      </w:r>
      <w:proofErr w:type="spellEnd"/>
      <w:r w:rsidRPr="00B45592">
        <w:rPr>
          <w:i/>
        </w:rPr>
        <w:t xml:space="preserve"> Statutes</w:t>
      </w:r>
      <w:r w:rsidRPr="00075192">
        <w:t xml:space="preserve"> </w:t>
      </w:r>
      <w:r>
        <w:t>§ </w:t>
      </w:r>
      <w:r w:rsidRPr="00075192">
        <w:t xml:space="preserve">1999 8 USCS </w:t>
      </w:r>
      <w:r>
        <w:t>§ </w:t>
      </w:r>
      <w:r w:rsidRPr="00075192">
        <w:t>148.</w:t>
      </w:r>
    </w:p>
  </w:footnote>
  <w:footnote w:id="586">
    <w:p w14:paraId="5CC51FB8" w14:textId="77777777" w:rsidR="00074551" w:rsidRPr="00503916" w:rsidRDefault="00074551" w:rsidP="00074551">
      <w:pPr>
        <w:pStyle w:val="Funotentext"/>
      </w:pPr>
      <w:r>
        <w:rPr>
          <w:rStyle w:val="Funotenzeichen"/>
          <w:rFonts w:eastAsiaTheme="majorEastAsia"/>
        </w:rPr>
        <w:footnoteRef/>
      </w:r>
      <w:r w:rsidRPr="00503916">
        <w:t xml:space="preserve"> Vgl. zur Zusammenfassung auch </w:t>
      </w:r>
      <w:r w:rsidRPr="00B45592">
        <w:t>https://www.oyez.org/cases/1850-1900/123us623</w:t>
      </w:r>
      <w:r>
        <w:rPr>
          <w:rStyle w:val="Hyperlink"/>
          <w:color w:val="auto"/>
          <w:u w:val="none"/>
        </w:rPr>
        <w:t xml:space="preserve"> (</w:t>
      </w:r>
      <w:r w:rsidRPr="00B45592">
        <w:rPr>
          <w:rStyle w:val="Hyperlink"/>
          <w:color w:val="auto"/>
          <w:u w:val="none"/>
        </w:rPr>
        <w:t>27.04.2026</w:t>
      </w:r>
      <w:r>
        <w:rPr>
          <w:rStyle w:val="Hyperlink"/>
          <w:color w:val="auto"/>
          <w:u w:val="none"/>
        </w:rPr>
        <w:t>)</w:t>
      </w:r>
      <w:r w:rsidRPr="00B45592">
        <w:rPr>
          <w:rStyle w:val="Hyperlink"/>
          <w:color w:val="auto"/>
          <w:u w:val="none"/>
        </w:rPr>
        <w:t>.</w:t>
      </w:r>
      <w:r w:rsidRPr="00C773F4">
        <w:t xml:space="preserve"> </w:t>
      </w:r>
    </w:p>
  </w:footnote>
  <w:footnote w:id="587">
    <w:p w14:paraId="115EC950"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4F13B1">
        <w:rPr>
          <w:i/>
          <w:lang w:val="en-US"/>
        </w:rPr>
        <w:t>Mugler v. Kansas</w:t>
      </w:r>
      <w:r w:rsidRPr="00503916">
        <w:rPr>
          <w:lang w:val="en-US"/>
        </w:rPr>
        <w:t>, 123 U.S. 623, 653</w:t>
      </w:r>
      <w:r>
        <w:rPr>
          <w:lang w:val="en-US"/>
        </w:rPr>
        <w:t xml:space="preserve"> = 8 S. Ct. </w:t>
      </w:r>
      <w:r w:rsidRPr="00503916">
        <w:rPr>
          <w:lang w:val="en-US"/>
        </w:rPr>
        <w:t>273, 293</w:t>
      </w:r>
      <w:r>
        <w:rPr>
          <w:lang w:val="en-US"/>
        </w:rPr>
        <w:t xml:space="preserve"> = 31 L. Ed. </w:t>
      </w:r>
      <w:r w:rsidRPr="00503916">
        <w:rPr>
          <w:lang w:val="en-US"/>
        </w:rPr>
        <w:t>205, 207</w:t>
      </w:r>
      <w:r>
        <w:rPr>
          <w:lang w:val="en-US"/>
        </w:rPr>
        <w:t xml:space="preserve"> = 1887 U.S. LEXIS </w:t>
      </w:r>
      <w:r w:rsidRPr="00503916">
        <w:rPr>
          <w:lang w:val="en-US"/>
        </w:rPr>
        <w:t>2204, 15 (1887)</w:t>
      </w:r>
      <w:r>
        <w:rPr>
          <w:lang w:val="en-US"/>
        </w:rPr>
        <w:t>.</w:t>
      </w:r>
    </w:p>
  </w:footnote>
  <w:footnote w:id="588">
    <w:p w14:paraId="7C5DB203"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4F13B1">
        <w:rPr>
          <w:i/>
          <w:lang w:val="en-US"/>
        </w:rPr>
        <w:t>Mugler v. Kansas</w:t>
      </w:r>
      <w:r w:rsidRPr="00503916">
        <w:rPr>
          <w:lang w:val="en-US"/>
        </w:rPr>
        <w:t>, 123 U.S. 623</w:t>
      </w:r>
      <w:r>
        <w:rPr>
          <w:lang w:val="en-US"/>
        </w:rPr>
        <w:t xml:space="preserve"> = 8 S. Ct. </w:t>
      </w:r>
      <w:r w:rsidRPr="00503916">
        <w:rPr>
          <w:lang w:val="en-US"/>
        </w:rPr>
        <w:t>273</w:t>
      </w:r>
      <w:r>
        <w:rPr>
          <w:lang w:val="en-US"/>
        </w:rPr>
        <w:t xml:space="preserve"> = 31 L. Ed. </w:t>
      </w:r>
      <w:r w:rsidRPr="00503916">
        <w:rPr>
          <w:lang w:val="en-US"/>
        </w:rPr>
        <w:t>205</w:t>
      </w:r>
      <w:r>
        <w:rPr>
          <w:lang w:val="en-US"/>
        </w:rPr>
        <w:t xml:space="preserve"> = 1887 U.S. LEXIS </w:t>
      </w:r>
      <w:r w:rsidRPr="00503916">
        <w:rPr>
          <w:lang w:val="en-US"/>
        </w:rPr>
        <w:t>2204 (1887)</w:t>
      </w:r>
      <w:r>
        <w:rPr>
          <w:lang w:val="en-US"/>
        </w:rPr>
        <w:t>.</w:t>
      </w:r>
    </w:p>
  </w:footnote>
  <w:footnote w:id="589">
    <w:p w14:paraId="318326E2" w14:textId="77777777" w:rsidR="00074551" w:rsidRPr="00AC31C5" w:rsidRDefault="00074551" w:rsidP="00074551">
      <w:pPr>
        <w:pStyle w:val="Funotentext"/>
        <w:rPr>
          <w:lang w:val="en-US"/>
        </w:rPr>
      </w:pPr>
      <w:r>
        <w:rPr>
          <w:rStyle w:val="Funotenzeichen"/>
          <w:rFonts w:eastAsiaTheme="majorEastAsia"/>
        </w:rPr>
        <w:footnoteRef/>
      </w:r>
      <w:r w:rsidRPr="00AC31C5">
        <w:rPr>
          <w:lang w:val="en-US"/>
        </w:rPr>
        <w:t xml:space="preserve"> </w:t>
      </w:r>
      <w:r w:rsidRPr="008F73D7">
        <w:rPr>
          <w:i/>
          <w:lang w:val="en-US"/>
        </w:rPr>
        <w:t>Munn v. Ill.</w:t>
      </w:r>
      <w:r w:rsidRPr="00AC31C5">
        <w:rPr>
          <w:lang w:val="en-US"/>
        </w:rPr>
        <w:t>, 94 U.S. 113, 142</w:t>
      </w:r>
      <w:r>
        <w:rPr>
          <w:lang w:val="en-US"/>
        </w:rPr>
        <w:t xml:space="preserve"> = 24 L. Ed.</w:t>
      </w:r>
      <w:r w:rsidRPr="00AC31C5">
        <w:rPr>
          <w:lang w:val="en-US"/>
        </w:rPr>
        <w:t xml:space="preserve"> 77, 90</w:t>
      </w:r>
      <w:r>
        <w:rPr>
          <w:lang w:val="en-US"/>
        </w:rPr>
        <w:t xml:space="preserve"> = 1876 U.S. LEXIS </w:t>
      </w:r>
      <w:r w:rsidRPr="00AC31C5">
        <w:rPr>
          <w:lang w:val="en-US"/>
        </w:rPr>
        <w:t>1842, 58</w:t>
      </w:r>
      <w:r>
        <w:rPr>
          <w:lang w:val="en-US"/>
        </w:rPr>
        <w:t xml:space="preserve"> = 4 Otto </w:t>
      </w:r>
      <w:r w:rsidRPr="00AC31C5">
        <w:rPr>
          <w:lang w:val="en-US"/>
        </w:rPr>
        <w:t>113 (1877).</w:t>
      </w:r>
    </w:p>
  </w:footnote>
  <w:footnote w:id="590">
    <w:p w14:paraId="0F778771" w14:textId="77777777" w:rsidR="00074551" w:rsidRPr="00AC31C5" w:rsidRDefault="00074551" w:rsidP="00074551">
      <w:pPr>
        <w:pStyle w:val="Funotentext"/>
        <w:rPr>
          <w:lang w:val="en-US"/>
        </w:rPr>
      </w:pPr>
      <w:r>
        <w:rPr>
          <w:rStyle w:val="Funotenzeichen"/>
          <w:rFonts w:eastAsiaTheme="majorEastAsia"/>
        </w:rPr>
        <w:footnoteRef/>
      </w:r>
      <w:r w:rsidRPr="00AC31C5">
        <w:rPr>
          <w:lang w:val="en-US"/>
        </w:rPr>
        <w:t xml:space="preserve"> </w:t>
      </w:r>
      <w:r w:rsidRPr="008F73D7">
        <w:rPr>
          <w:i/>
          <w:lang w:val="en-US"/>
        </w:rPr>
        <w:t>Munn v. Ill.</w:t>
      </w:r>
      <w:r w:rsidRPr="00AC31C5">
        <w:rPr>
          <w:lang w:val="en-US"/>
        </w:rPr>
        <w:t>, 94 U.S. 113, 142</w:t>
      </w:r>
      <w:r>
        <w:rPr>
          <w:lang w:val="en-US"/>
        </w:rPr>
        <w:t xml:space="preserve"> = 24 L. Ed.</w:t>
      </w:r>
      <w:r w:rsidRPr="00AC31C5">
        <w:rPr>
          <w:lang w:val="en-US"/>
        </w:rPr>
        <w:t xml:space="preserve"> 77, 90</w:t>
      </w:r>
      <w:r>
        <w:rPr>
          <w:lang w:val="en-US"/>
        </w:rPr>
        <w:t xml:space="preserve"> = 1876 U.S. LEXIS </w:t>
      </w:r>
      <w:r w:rsidRPr="00AC31C5">
        <w:rPr>
          <w:lang w:val="en-US"/>
        </w:rPr>
        <w:t>1842, 58</w:t>
      </w:r>
      <w:r>
        <w:rPr>
          <w:lang w:val="en-US"/>
        </w:rPr>
        <w:t xml:space="preserve"> = 4 Otto </w:t>
      </w:r>
      <w:r w:rsidRPr="00AC31C5">
        <w:rPr>
          <w:lang w:val="en-US"/>
        </w:rPr>
        <w:t>113 (1877).</w:t>
      </w:r>
    </w:p>
  </w:footnote>
  <w:footnote w:id="591">
    <w:p w14:paraId="7793BDA2" w14:textId="77777777" w:rsidR="00074551" w:rsidRPr="009035EA" w:rsidRDefault="00074551" w:rsidP="00074551">
      <w:pPr>
        <w:pStyle w:val="Funotentext"/>
        <w:rPr>
          <w:lang w:val="en-US"/>
        </w:rPr>
      </w:pPr>
      <w:r>
        <w:rPr>
          <w:rStyle w:val="Funotenzeichen"/>
        </w:rPr>
        <w:footnoteRef/>
      </w:r>
      <w:r w:rsidRPr="009035EA">
        <w:rPr>
          <w:lang w:val="en-US"/>
        </w:rPr>
        <w:t xml:space="preserve"> „The requirements for expatriation under </w:t>
      </w:r>
      <w:r>
        <w:rPr>
          <w:lang w:val="en-US"/>
        </w:rPr>
        <w:t>§ </w:t>
      </w:r>
      <w:r w:rsidRPr="009035EA">
        <w:rPr>
          <w:lang w:val="en-US"/>
        </w:rPr>
        <w:t xml:space="preserve">2 of the Citizenship Act of 1907, 8 U.S.C.S. </w:t>
      </w:r>
      <w:r>
        <w:rPr>
          <w:lang w:val="en-US"/>
        </w:rPr>
        <w:t>§ </w:t>
      </w:r>
      <w:r w:rsidRPr="009035EA">
        <w:rPr>
          <w:lang w:val="en-US"/>
        </w:rPr>
        <w:t xml:space="preserve">735, are objective. That section provides that any American citizen shall be deemed to have expatriated himself when he has been naturalized in any foreign state in conformity with its laws, or when he has taken an oath of allegiance to any foreign </w:t>
      </w:r>
      <w:proofErr w:type="gramStart"/>
      <w:r w:rsidRPr="009035EA">
        <w:rPr>
          <w:lang w:val="en-US"/>
        </w:rPr>
        <w:t>state“</w:t>
      </w:r>
      <w:proofErr w:type="gramEnd"/>
      <w:r w:rsidRPr="009035EA">
        <w:rPr>
          <w:lang w:val="en-US"/>
        </w:rPr>
        <w:t xml:space="preserve">, </w:t>
      </w:r>
      <w:r w:rsidRPr="00584023">
        <w:rPr>
          <w:i/>
          <w:lang w:val="en-US"/>
        </w:rPr>
        <w:t>Savorgnan v. United States</w:t>
      </w:r>
      <w:r w:rsidRPr="009035EA">
        <w:rPr>
          <w:lang w:val="en-US"/>
        </w:rPr>
        <w:t>, 338 U.S. 491, 492</w:t>
      </w:r>
      <w:r>
        <w:rPr>
          <w:lang w:val="en-US"/>
        </w:rPr>
        <w:t xml:space="preserve"> = 70 S. Ct. </w:t>
      </w:r>
      <w:r w:rsidRPr="009035EA">
        <w:rPr>
          <w:lang w:val="en-US"/>
        </w:rPr>
        <w:t>292, 293</w:t>
      </w:r>
      <w:r>
        <w:rPr>
          <w:lang w:val="en-US"/>
        </w:rPr>
        <w:t xml:space="preserve"> = 94 L. Ed. </w:t>
      </w:r>
      <w:r w:rsidRPr="009035EA">
        <w:rPr>
          <w:lang w:val="en-US"/>
        </w:rPr>
        <w:t>287, 291</w:t>
      </w:r>
      <w:r>
        <w:rPr>
          <w:lang w:val="en-US"/>
        </w:rPr>
        <w:t xml:space="preserve"> = 1950 U.S. LEXIS </w:t>
      </w:r>
      <w:r w:rsidRPr="009035EA">
        <w:rPr>
          <w:lang w:val="en-US"/>
        </w:rPr>
        <w:t>2420, 1</w:t>
      </w:r>
      <w:r w:rsidRPr="006E67FE">
        <w:rPr>
          <w:lang w:val="en-US"/>
        </w:rPr>
        <w:t xml:space="preserve"> = 15 A.L.R. 2d </w:t>
      </w:r>
      <w:r w:rsidRPr="009035EA">
        <w:rPr>
          <w:lang w:val="en-US"/>
        </w:rPr>
        <w:t>538 (1950).</w:t>
      </w:r>
    </w:p>
  </w:footnote>
  <w:footnote w:id="592">
    <w:p w14:paraId="79DEE9E8" w14:textId="77777777" w:rsidR="00074551" w:rsidRPr="009035EA" w:rsidRDefault="00074551" w:rsidP="00074551">
      <w:pPr>
        <w:pStyle w:val="Funotentext"/>
        <w:rPr>
          <w:lang w:val="en-US"/>
        </w:rPr>
      </w:pPr>
      <w:r>
        <w:rPr>
          <w:rStyle w:val="Funotenzeichen"/>
        </w:rPr>
        <w:footnoteRef/>
      </w:r>
      <w:r>
        <w:rPr>
          <w:lang w:val="en-US"/>
        </w:rPr>
        <w:t xml:space="preserve"> “</w:t>
      </w:r>
      <w:r w:rsidRPr="00DA36DB">
        <w:rPr>
          <w:lang w:val="en-US"/>
        </w:rPr>
        <w:t>The requirements for expatriation under 2 of the Citizenship Act of 1907 (34 Stat 1228) and under 401(a)(b) and 403(a) of the Nationality Act of 1940 (8 USC 801(a)(b) and 803(a)) are objective, and hence an American citizen who has performed an overt act which spells expatriation under the wording of the statute, cannot preserve for himself his American citizenship by showing his intent or understanding to have been contrary to the usual legal consequences of such an act</w:t>
      </w:r>
      <w:r>
        <w:rPr>
          <w:lang w:val="en-US"/>
        </w:rPr>
        <w:t>”</w:t>
      </w:r>
      <w:r w:rsidRPr="00DA36DB">
        <w:rPr>
          <w:lang w:val="en-US"/>
        </w:rPr>
        <w:t xml:space="preserve">, </w:t>
      </w:r>
      <w:proofErr w:type="spellStart"/>
      <w:r w:rsidRPr="00DA36DB">
        <w:rPr>
          <w:lang w:val="en-US"/>
        </w:rPr>
        <w:t>vgl</w:t>
      </w:r>
      <w:proofErr w:type="spellEnd"/>
      <w:r w:rsidRPr="00DA36DB">
        <w:rPr>
          <w:lang w:val="en-US"/>
        </w:rPr>
        <w:t xml:space="preserve">. </w:t>
      </w:r>
      <w:r w:rsidRPr="00584023">
        <w:rPr>
          <w:i/>
          <w:lang w:val="en-US"/>
        </w:rPr>
        <w:t>Savorgnan v. United States</w:t>
      </w:r>
      <w:r w:rsidRPr="00DA36DB">
        <w:rPr>
          <w:lang w:val="en-US"/>
        </w:rPr>
        <w:t>, 338 U.S. 491, 492</w:t>
      </w:r>
      <w:r>
        <w:rPr>
          <w:lang w:val="en-US"/>
        </w:rPr>
        <w:t xml:space="preserve"> = 70 S. Ct. </w:t>
      </w:r>
      <w:r w:rsidRPr="00DA36DB">
        <w:rPr>
          <w:lang w:val="en-US"/>
        </w:rPr>
        <w:t>292, 293</w:t>
      </w:r>
      <w:r>
        <w:rPr>
          <w:lang w:val="en-US"/>
        </w:rPr>
        <w:t xml:space="preserve"> = 94 L. Ed. </w:t>
      </w:r>
      <w:r w:rsidRPr="00DA36DB">
        <w:rPr>
          <w:lang w:val="en-US"/>
        </w:rPr>
        <w:t>287, 291</w:t>
      </w:r>
      <w:r>
        <w:rPr>
          <w:lang w:val="en-US"/>
        </w:rPr>
        <w:t xml:space="preserve"> = 1950 U.S. LEXIS </w:t>
      </w:r>
      <w:r w:rsidRPr="00DA36DB">
        <w:rPr>
          <w:lang w:val="en-US"/>
        </w:rPr>
        <w:t>2420, 1</w:t>
      </w:r>
      <w:r w:rsidRPr="006E67FE">
        <w:rPr>
          <w:lang w:val="en-US"/>
        </w:rPr>
        <w:t xml:space="preserve"> = 15 A.L.R. 2d </w:t>
      </w:r>
      <w:r w:rsidRPr="00DA36DB">
        <w:rPr>
          <w:lang w:val="en-US"/>
        </w:rPr>
        <w:t>538 (1950).</w:t>
      </w:r>
    </w:p>
  </w:footnote>
  <w:footnote w:id="593">
    <w:p w14:paraId="77C0656F" w14:textId="77777777" w:rsidR="00074551" w:rsidRPr="00DA36DB" w:rsidRDefault="00074551" w:rsidP="00074551">
      <w:pPr>
        <w:pStyle w:val="Funotentext"/>
        <w:rPr>
          <w:lang w:val="en-US"/>
        </w:rPr>
      </w:pPr>
      <w:r>
        <w:rPr>
          <w:rStyle w:val="Funotenzeichen"/>
        </w:rPr>
        <w:footnoteRef/>
      </w:r>
      <w:r w:rsidRPr="00DA36DB">
        <w:rPr>
          <w:lang w:val="en-US"/>
        </w:rPr>
        <w:t xml:space="preserve"> </w:t>
      </w:r>
      <w:r w:rsidRPr="00584023">
        <w:rPr>
          <w:i/>
          <w:lang w:val="en-US"/>
        </w:rPr>
        <w:t>Savorgnan v. United States</w:t>
      </w:r>
      <w:r w:rsidRPr="00DA36DB">
        <w:rPr>
          <w:lang w:val="en-US"/>
        </w:rPr>
        <w:t>, 338 U.S. 491, 492</w:t>
      </w:r>
      <w:r>
        <w:rPr>
          <w:lang w:val="en-US"/>
        </w:rPr>
        <w:t xml:space="preserve"> = 70 S. Ct. </w:t>
      </w:r>
      <w:r w:rsidRPr="00DA36DB">
        <w:rPr>
          <w:lang w:val="en-US"/>
        </w:rPr>
        <w:t>292, 293</w:t>
      </w:r>
      <w:r>
        <w:rPr>
          <w:lang w:val="en-US"/>
        </w:rPr>
        <w:t xml:space="preserve"> = 94 L. Ed. </w:t>
      </w:r>
      <w:r w:rsidRPr="00DA36DB">
        <w:rPr>
          <w:lang w:val="en-US"/>
        </w:rPr>
        <w:t>287, 291</w:t>
      </w:r>
      <w:r>
        <w:rPr>
          <w:lang w:val="en-US"/>
        </w:rPr>
        <w:t xml:space="preserve"> = 1950 U.S. LEXIS </w:t>
      </w:r>
      <w:r w:rsidRPr="00DA36DB">
        <w:rPr>
          <w:lang w:val="en-US"/>
        </w:rPr>
        <w:t>2420, 1</w:t>
      </w:r>
      <w:r w:rsidRPr="006E67FE">
        <w:rPr>
          <w:lang w:val="en-US"/>
        </w:rPr>
        <w:t xml:space="preserve"> = 15 A.L.R. 2d </w:t>
      </w:r>
      <w:r w:rsidRPr="00DA36DB">
        <w:rPr>
          <w:lang w:val="en-US"/>
        </w:rPr>
        <w:t>538 (1950)</w:t>
      </w:r>
    </w:p>
  </w:footnote>
  <w:footnote w:id="594">
    <w:p w14:paraId="2B0052C7" w14:textId="77777777" w:rsidR="00074551" w:rsidRPr="00DA36DB" w:rsidRDefault="00074551" w:rsidP="00074551">
      <w:pPr>
        <w:pStyle w:val="Funotentext"/>
        <w:rPr>
          <w:lang w:val="en-US"/>
        </w:rPr>
      </w:pPr>
      <w:r>
        <w:rPr>
          <w:rStyle w:val="Funotenzeichen"/>
        </w:rPr>
        <w:footnoteRef/>
      </w:r>
      <w:r w:rsidRPr="00DA36DB">
        <w:rPr>
          <w:lang w:val="en-US"/>
        </w:rPr>
        <w:t xml:space="preserve"> </w:t>
      </w:r>
      <w:r w:rsidRPr="00B45592">
        <w:rPr>
          <w:i/>
          <w:lang w:val="en-US"/>
        </w:rPr>
        <w:t>The Santissima Trinidad</w:t>
      </w:r>
      <w:r w:rsidRPr="00DA36DB">
        <w:rPr>
          <w:lang w:val="en-US"/>
        </w:rPr>
        <w:t xml:space="preserve">, 7 Wheat. 283; </w:t>
      </w:r>
      <w:r w:rsidRPr="00B45592">
        <w:rPr>
          <w:i/>
          <w:lang w:val="en-US"/>
        </w:rPr>
        <w:t>Murray v. The Charming Betsy</w:t>
      </w:r>
      <w:r w:rsidRPr="00DA36DB">
        <w:rPr>
          <w:lang w:val="en-US"/>
        </w:rPr>
        <w:t xml:space="preserve">, 2 </w:t>
      </w:r>
      <w:proofErr w:type="spellStart"/>
      <w:r w:rsidRPr="00DA36DB">
        <w:rPr>
          <w:lang w:val="en-US"/>
        </w:rPr>
        <w:t>Cranch</w:t>
      </w:r>
      <w:proofErr w:type="spellEnd"/>
      <w:r w:rsidRPr="00DA36DB">
        <w:rPr>
          <w:lang w:val="en-US"/>
        </w:rPr>
        <w:t xml:space="preserve"> 64; </w:t>
      </w:r>
      <w:r w:rsidRPr="00B45592">
        <w:rPr>
          <w:i/>
          <w:lang w:val="en-US"/>
        </w:rPr>
        <w:t>Case of Isaac Williams, opinion of Ellsworth, C. J.</w:t>
      </w:r>
      <w:r w:rsidRPr="00DA36DB">
        <w:rPr>
          <w:lang w:val="en-US"/>
        </w:rPr>
        <w:t xml:space="preserve">, 2 </w:t>
      </w:r>
      <w:proofErr w:type="spellStart"/>
      <w:r w:rsidRPr="00DA36DB">
        <w:rPr>
          <w:lang w:val="en-US"/>
        </w:rPr>
        <w:t>Cranch</w:t>
      </w:r>
      <w:proofErr w:type="spellEnd"/>
      <w:r w:rsidRPr="00DA36DB">
        <w:rPr>
          <w:lang w:val="en-US"/>
        </w:rPr>
        <w:t xml:space="preserve"> 82</w:t>
      </w:r>
      <w:r>
        <w:rPr>
          <w:lang w:val="en-US"/>
        </w:rPr>
        <w:t>–</w:t>
      </w:r>
      <w:r w:rsidRPr="00DA36DB">
        <w:rPr>
          <w:lang w:val="en-US"/>
        </w:rPr>
        <w:t xml:space="preserve">83, n.; </w:t>
      </w:r>
      <w:r w:rsidRPr="004F13B1">
        <w:rPr>
          <w:i/>
          <w:lang w:val="en-US"/>
        </w:rPr>
        <w:t>Talbot v. Janson</w:t>
      </w:r>
      <w:r>
        <w:rPr>
          <w:lang w:val="en-US"/>
        </w:rPr>
        <w:t xml:space="preserve">, 3 Dall. </w:t>
      </w:r>
      <w:r w:rsidRPr="00DA36DB">
        <w:rPr>
          <w:lang w:val="en-US"/>
        </w:rPr>
        <w:t xml:space="preserve">133; </w:t>
      </w:r>
      <w:r w:rsidRPr="00B45592">
        <w:rPr>
          <w:i/>
          <w:lang w:val="en-US"/>
        </w:rPr>
        <w:t xml:space="preserve">Ex </w:t>
      </w:r>
      <w:proofErr w:type="spellStart"/>
      <w:r w:rsidRPr="00B45592">
        <w:rPr>
          <w:i/>
          <w:lang w:val="en-US"/>
        </w:rPr>
        <w:t>parte</w:t>
      </w:r>
      <w:proofErr w:type="spellEnd"/>
      <w:r w:rsidRPr="00B45592">
        <w:rPr>
          <w:i/>
          <w:lang w:val="en-US"/>
        </w:rPr>
        <w:t xml:space="preserve"> Griffin</w:t>
      </w:r>
      <w:r w:rsidRPr="00DA36DB">
        <w:rPr>
          <w:lang w:val="en-US"/>
        </w:rPr>
        <w:t xml:space="preserve">, 237 F. 445 (N. D. N. Y.); </w:t>
      </w:r>
      <w:proofErr w:type="spellStart"/>
      <w:r w:rsidRPr="00B45592">
        <w:rPr>
          <w:i/>
          <w:lang w:val="en-US"/>
        </w:rPr>
        <w:t>Comitis</w:t>
      </w:r>
      <w:proofErr w:type="spellEnd"/>
      <w:r w:rsidRPr="00B45592">
        <w:rPr>
          <w:i/>
          <w:lang w:val="en-US"/>
        </w:rPr>
        <w:t xml:space="preserve"> v. Parkerson</w:t>
      </w:r>
      <w:r w:rsidRPr="00DA36DB">
        <w:rPr>
          <w:lang w:val="en-US"/>
        </w:rPr>
        <w:t xml:space="preserve">, 56 F. 556 (C. C. E. D. La.); 14 Op. </w:t>
      </w:r>
      <w:r w:rsidRPr="001C5275">
        <w:rPr>
          <w:lang w:val="en-US"/>
        </w:rPr>
        <w:t>Atty. Gen. 295 (1872</w:t>
      </w:r>
      <w:r>
        <w:rPr>
          <w:lang w:val="en-US"/>
        </w:rPr>
        <w:t>–</w:t>
      </w:r>
      <w:r w:rsidRPr="001C5275">
        <w:rPr>
          <w:lang w:val="en-US"/>
        </w:rPr>
        <w:t>1874); 8 Op. Atty. Gen. 139 (1856</w:t>
      </w:r>
      <w:r>
        <w:rPr>
          <w:lang w:val="en-US"/>
        </w:rPr>
        <w:t>–</w:t>
      </w:r>
      <w:r w:rsidRPr="001C5275">
        <w:rPr>
          <w:lang w:val="en-US"/>
        </w:rPr>
        <w:t>1857)</w:t>
      </w:r>
      <w:r>
        <w:rPr>
          <w:lang w:val="en-US"/>
        </w:rPr>
        <w:t xml:space="preserve">; </w:t>
      </w:r>
      <w:r w:rsidRPr="00584023">
        <w:rPr>
          <w:i/>
          <w:lang w:val="en-US"/>
        </w:rPr>
        <w:t>Savorgnan v. United States</w:t>
      </w:r>
      <w:r w:rsidRPr="00DA36DB">
        <w:rPr>
          <w:lang w:val="en-US"/>
        </w:rPr>
        <w:t>, 338 U.S. 491, 497</w:t>
      </w:r>
      <w:r>
        <w:rPr>
          <w:lang w:val="en-US"/>
        </w:rPr>
        <w:t xml:space="preserve"> = 70 S. Ct. </w:t>
      </w:r>
      <w:r w:rsidRPr="00DA36DB">
        <w:rPr>
          <w:lang w:val="en-US"/>
        </w:rPr>
        <w:t>292, 295</w:t>
      </w:r>
      <w:r>
        <w:rPr>
          <w:lang w:val="en-US"/>
        </w:rPr>
        <w:t xml:space="preserve"> = 94 L. Ed. </w:t>
      </w:r>
      <w:r w:rsidRPr="00DA36DB">
        <w:rPr>
          <w:lang w:val="en-US"/>
        </w:rPr>
        <w:t>287, 294</w:t>
      </w:r>
      <w:r>
        <w:rPr>
          <w:lang w:val="en-US"/>
        </w:rPr>
        <w:t xml:space="preserve"> = 1950 U.S. LEXIS </w:t>
      </w:r>
      <w:r w:rsidRPr="00DA36DB">
        <w:rPr>
          <w:lang w:val="en-US"/>
        </w:rPr>
        <w:t>2420, 13</w:t>
      </w:r>
      <w:r w:rsidRPr="006E67FE">
        <w:rPr>
          <w:lang w:val="en-US"/>
        </w:rPr>
        <w:t xml:space="preserve"> = 15 A.L.R. 2d </w:t>
      </w:r>
      <w:r w:rsidRPr="00DA36DB">
        <w:rPr>
          <w:lang w:val="en-US"/>
        </w:rPr>
        <w:t>538 (1950)</w:t>
      </w:r>
      <w:r>
        <w:rPr>
          <w:lang w:val="en-US"/>
        </w:rPr>
        <w:t>.</w:t>
      </w:r>
    </w:p>
  </w:footnote>
  <w:footnote w:id="595">
    <w:p w14:paraId="46747515" w14:textId="77777777" w:rsidR="00074551" w:rsidRPr="00DA36DB" w:rsidRDefault="00074551" w:rsidP="00074551">
      <w:pPr>
        <w:pStyle w:val="Funotentext"/>
        <w:rPr>
          <w:lang w:val="en-US"/>
        </w:rPr>
      </w:pPr>
      <w:r>
        <w:rPr>
          <w:rStyle w:val="Funotenzeichen"/>
        </w:rPr>
        <w:footnoteRef/>
      </w:r>
      <w:r w:rsidRPr="00DA36DB">
        <w:rPr>
          <w:lang w:val="en-US"/>
        </w:rPr>
        <w:t xml:space="preserve"> </w:t>
      </w:r>
      <w:r>
        <w:rPr>
          <w:lang w:val="en-US"/>
        </w:rPr>
        <w:t>„</w:t>
      </w:r>
      <w:r w:rsidRPr="00DA36DB">
        <w:rPr>
          <w:lang w:val="en-US"/>
        </w:rPr>
        <w:t xml:space="preserve">Be it enacted by the Senate and House of Representatives of the United States of America in Congress assembled, </w:t>
      </w:r>
      <w:proofErr w:type="gramStart"/>
      <w:r w:rsidRPr="00DA36DB">
        <w:rPr>
          <w:lang w:val="en-US"/>
        </w:rPr>
        <w:t>That</w:t>
      </w:r>
      <w:proofErr w:type="gramEnd"/>
      <w:r w:rsidRPr="00DA36DB">
        <w:rPr>
          <w:lang w:val="en-US"/>
        </w:rPr>
        <w:t xml:space="preserve"> any declaration, instruction, opinion, order, or decision of any officers of this government which denies, restricts, impairs, or questions the right of expatriation, is hereby declared inconsistent with the fundamental principles of this government.</w:t>
      </w:r>
      <w:r>
        <w:rPr>
          <w:lang w:val="en-US"/>
        </w:rPr>
        <w:t xml:space="preserve">”, </w:t>
      </w:r>
      <w:proofErr w:type="spellStart"/>
      <w:r>
        <w:rPr>
          <w:lang w:val="en-US"/>
        </w:rPr>
        <w:t>vgl</w:t>
      </w:r>
      <w:proofErr w:type="spellEnd"/>
      <w:r>
        <w:rPr>
          <w:lang w:val="en-US"/>
        </w:rPr>
        <w:t>.</w:t>
      </w:r>
      <w:r w:rsidRPr="00DA36DB">
        <w:rPr>
          <w:lang w:val="en-US"/>
        </w:rPr>
        <w:t xml:space="preserve"> 15 Stat. 223</w:t>
      </w:r>
      <w:r>
        <w:rPr>
          <w:lang w:val="en-US"/>
        </w:rPr>
        <w:t>–</w:t>
      </w:r>
      <w:r w:rsidRPr="00DA36DB">
        <w:rPr>
          <w:lang w:val="en-US"/>
        </w:rPr>
        <w:t xml:space="preserve">224, R. S. </w:t>
      </w:r>
      <w:r>
        <w:rPr>
          <w:lang w:val="en-US"/>
        </w:rPr>
        <w:t>§ </w:t>
      </w:r>
      <w:r w:rsidRPr="00DA36DB">
        <w:rPr>
          <w:lang w:val="en-US"/>
        </w:rPr>
        <w:t xml:space="preserve">1999, 8 </w:t>
      </w:r>
      <w:r>
        <w:rPr>
          <w:lang w:val="en-US"/>
        </w:rPr>
        <w:t>U.S.</w:t>
      </w:r>
      <w:r w:rsidRPr="00DA36DB">
        <w:rPr>
          <w:lang w:val="en-US"/>
        </w:rPr>
        <w:t xml:space="preserve"> C. </w:t>
      </w:r>
      <w:r>
        <w:rPr>
          <w:lang w:val="en-US"/>
        </w:rPr>
        <w:t>§ </w:t>
      </w:r>
      <w:r w:rsidRPr="00DA36DB">
        <w:rPr>
          <w:lang w:val="en-US"/>
        </w:rPr>
        <w:t xml:space="preserve">800; </w:t>
      </w:r>
      <w:r w:rsidRPr="00584023">
        <w:rPr>
          <w:i/>
          <w:lang w:val="en-US"/>
        </w:rPr>
        <w:t>Savorgnan v. United States</w:t>
      </w:r>
      <w:r w:rsidRPr="00DA36DB">
        <w:rPr>
          <w:lang w:val="en-US"/>
        </w:rPr>
        <w:t>, 338 U.S. 491, 498</w:t>
      </w:r>
      <w:r>
        <w:rPr>
          <w:lang w:val="en-US"/>
        </w:rPr>
        <w:t xml:space="preserve"> = 70 S. Ct. </w:t>
      </w:r>
      <w:r w:rsidRPr="00DA36DB">
        <w:rPr>
          <w:lang w:val="en-US"/>
        </w:rPr>
        <w:t>292, 296</w:t>
      </w:r>
      <w:r>
        <w:rPr>
          <w:lang w:val="en-US"/>
        </w:rPr>
        <w:t xml:space="preserve"> = 94 L. Ed. </w:t>
      </w:r>
      <w:r w:rsidRPr="00DA36DB">
        <w:rPr>
          <w:lang w:val="en-US"/>
        </w:rPr>
        <w:t>287, 294</w:t>
      </w:r>
      <w:r>
        <w:rPr>
          <w:lang w:val="en-US"/>
        </w:rPr>
        <w:t xml:space="preserve"> = 1950 U.S. LEXIS </w:t>
      </w:r>
      <w:r w:rsidRPr="00DA36DB">
        <w:rPr>
          <w:lang w:val="en-US"/>
        </w:rPr>
        <w:t>2420, 13</w:t>
      </w:r>
      <w:r w:rsidRPr="006E67FE">
        <w:rPr>
          <w:lang w:val="en-US"/>
        </w:rPr>
        <w:t xml:space="preserve"> = 15 A.L.R. 2d </w:t>
      </w:r>
      <w:r w:rsidRPr="00DA36DB">
        <w:rPr>
          <w:lang w:val="en-US"/>
        </w:rPr>
        <w:t>538 (1950).</w:t>
      </w:r>
    </w:p>
  </w:footnote>
  <w:footnote w:id="596">
    <w:p w14:paraId="7CBC89D5" w14:textId="77777777" w:rsidR="00074551" w:rsidRPr="00DA36DB" w:rsidRDefault="00074551" w:rsidP="00074551">
      <w:pPr>
        <w:pStyle w:val="Funotentext"/>
        <w:rPr>
          <w:lang w:val="en-US"/>
        </w:rPr>
      </w:pPr>
      <w:r>
        <w:rPr>
          <w:rStyle w:val="Funotenzeichen"/>
        </w:rPr>
        <w:footnoteRef/>
      </w:r>
      <w:r w:rsidRPr="00DA36DB">
        <w:rPr>
          <w:lang w:val="en-US"/>
        </w:rPr>
        <w:t xml:space="preserve"> </w:t>
      </w:r>
      <w:r w:rsidRPr="00584023">
        <w:rPr>
          <w:i/>
          <w:lang w:val="en-US"/>
        </w:rPr>
        <w:t>Savorgnan v. United States</w:t>
      </w:r>
      <w:r w:rsidRPr="00DA36DB">
        <w:rPr>
          <w:lang w:val="en-US"/>
        </w:rPr>
        <w:t>, 338 U.S. 491, 498</w:t>
      </w:r>
      <w:r>
        <w:rPr>
          <w:lang w:val="en-US"/>
        </w:rPr>
        <w:t xml:space="preserve"> = 70 S. Ct. </w:t>
      </w:r>
      <w:r w:rsidRPr="00DA36DB">
        <w:rPr>
          <w:lang w:val="en-US"/>
        </w:rPr>
        <w:t>292, 296</w:t>
      </w:r>
      <w:r>
        <w:rPr>
          <w:lang w:val="en-US"/>
        </w:rPr>
        <w:t xml:space="preserve"> = 94 L. Ed. </w:t>
      </w:r>
      <w:r w:rsidRPr="00DA36DB">
        <w:rPr>
          <w:lang w:val="en-US"/>
        </w:rPr>
        <w:t>287, 294</w:t>
      </w:r>
      <w:r>
        <w:rPr>
          <w:lang w:val="en-US"/>
        </w:rPr>
        <w:t xml:space="preserve"> = 1950 U.S. LEXIS </w:t>
      </w:r>
      <w:r w:rsidRPr="00DA36DB">
        <w:rPr>
          <w:lang w:val="en-US"/>
        </w:rPr>
        <w:t>2420, 13</w:t>
      </w:r>
      <w:r w:rsidRPr="006E67FE">
        <w:rPr>
          <w:lang w:val="en-US"/>
        </w:rPr>
        <w:t xml:space="preserve"> = 15 A.L.R. 2d </w:t>
      </w:r>
      <w:r w:rsidRPr="00DA36DB">
        <w:rPr>
          <w:lang w:val="en-US"/>
        </w:rPr>
        <w:t>538 (1950).</w:t>
      </w:r>
    </w:p>
  </w:footnote>
  <w:footnote w:id="597">
    <w:p w14:paraId="68009D19" w14:textId="77777777" w:rsidR="00074551" w:rsidRPr="0044327A" w:rsidRDefault="00074551" w:rsidP="00074551">
      <w:pPr>
        <w:pStyle w:val="Funotentext"/>
        <w:rPr>
          <w:lang w:val="en-US"/>
        </w:rPr>
      </w:pPr>
      <w:r>
        <w:rPr>
          <w:rStyle w:val="Funotenzeichen"/>
        </w:rPr>
        <w:footnoteRef/>
      </w:r>
      <w:r w:rsidRPr="0044327A">
        <w:rPr>
          <w:lang w:val="en-US"/>
        </w:rPr>
        <w:t xml:space="preserve"> </w:t>
      </w:r>
      <w:r>
        <w:rPr>
          <w:lang w:val="en-US"/>
        </w:rPr>
        <w:t>„,</w:t>
      </w:r>
      <w:r w:rsidRPr="001C5275">
        <w:rPr>
          <w:lang w:val="en-US"/>
        </w:rPr>
        <w:t>the right of expatriation is a natural and inherent right of all people, indispensable to the enjoyment of the rights of life, liberty, and the pursuit of happiness</w:t>
      </w:r>
      <w:r>
        <w:rPr>
          <w:lang w:val="en-US"/>
        </w:rPr>
        <w:t>‘</w:t>
      </w:r>
      <w:r w:rsidRPr="001C5275">
        <w:rPr>
          <w:lang w:val="en-US"/>
        </w:rPr>
        <w:t xml:space="preserve"> and that </w:t>
      </w:r>
      <w:r>
        <w:rPr>
          <w:lang w:val="en-US"/>
        </w:rPr>
        <w:t>,</w:t>
      </w:r>
      <w:r w:rsidRPr="001C5275">
        <w:rPr>
          <w:lang w:val="en-US"/>
        </w:rPr>
        <w:t>any declaration, instruction, opinion, order, or decision of any officers of this government which denies, restricts, impairs, or questions the right of expatriation, is hereby declared inconsistent with the fundamental principles of this government</w:t>
      </w:r>
      <w:r>
        <w:rPr>
          <w:lang w:val="en-US"/>
        </w:rPr>
        <w:t xml:space="preserve">’“, </w:t>
      </w:r>
      <w:proofErr w:type="spellStart"/>
      <w:r w:rsidRPr="00584023">
        <w:rPr>
          <w:i/>
          <w:lang w:val="en-US"/>
        </w:rPr>
        <w:t>Mandoli</w:t>
      </w:r>
      <w:proofErr w:type="spellEnd"/>
      <w:r w:rsidRPr="00584023">
        <w:rPr>
          <w:i/>
          <w:lang w:val="en-US"/>
        </w:rPr>
        <w:t xml:space="preserve"> v. Acheson</w:t>
      </w:r>
      <w:r w:rsidRPr="001C5275">
        <w:rPr>
          <w:lang w:val="en-US"/>
        </w:rPr>
        <w:t>, 344 U.S. 133, 136</w:t>
      </w:r>
      <w:r w:rsidRPr="006E67FE">
        <w:rPr>
          <w:lang w:val="en-US"/>
        </w:rPr>
        <w:t xml:space="preserve"> = 73 S. Ct. </w:t>
      </w:r>
      <w:r w:rsidRPr="001C5275">
        <w:rPr>
          <w:lang w:val="en-US"/>
        </w:rPr>
        <w:t>135, 136</w:t>
      </w:r>
      <w:r w:rsidRPr="006E67FE">
        <w:rPr>
          <w:lang w:val="en-US"/>
        </w:rPr>
        <w:t xml:space="preserve"> = 97 L. Ed. </w:t>
      </w:r>
      <w:r w:rsidRPr="001C5275">
        <w:rPr>
          <w:lang w:val="en-US"/>
        </w:rPr>
        <w:t>146, 149</w:t>
      </w:r>
      <w:r w:rsidRPr="006E67FE">
        <w:rPr>
          <w:lang w:val="en-US"/>
        </w:rPr>
        <w:t xml:space="preserve"> = 1952 U.S. LEXIS </w:t>
      </w:r>
      <w:r w:rsidRPr="001C5275">
        <w:rPr>
          <w:lang w:val="en-US"/>
        </w:rPr>
        <w:t>1496, 6 (1952)</w:t>
      </w:r>
      <w:r>
        <w:rPr>
          <w:lang w:val="en-US"/>
        </w:rPr>
        <w:t>.</w:t>
      </w:r>
    </w:p>
  </w:footnote>
  <w:footnote w:id="598">
    <w:p w14:paraId="7A97B77F" w14:textId="77777777" w:rsidR="00074551" w:rsidRPr="00EC4BA3" w:rsidRDefault="00074551" w:rsidP="00074551">
      <w:pPr>
        <w:pStyle w:val="Funotentext"/>
        <w:rPr>
          <w:lang w:val="en-US"/>
        </w:rPr>
      </w:pPr>
      <w:r>
        <w:rPr>
          <w:rStyle w:val="Funotenzeichen"/>
          <w:rFonts w:eastAsiaTheme="majorEastAsia"/>
        </w:rPr>
        <w:footnoteRef/>
      </w:r>
      <w:r w:rsidRPr="00EC4BA3">
        <w:rPr>
          <w:lang w:val="en-US"/>
        </w:rPr>
        <w:t xml:space="preserve"> </w:t>
      </w:r>
      <w:r w:rsidRPr="00584023">
        <w:rPr>
          <w:i/>
          <w:lang w:val="en-US"/>
        </w:rPr>
        <w:t>Savorgnan v. United States</w:t>
      </w:r>
      <w:r w:rsidRPr="00EC4BA3">
        <w:rPr>
          <w:lang w:val="en-US"/>
        </w:rPr>
        <w:t>, 338 U.S. 491, 498</w:t>
      </w:r>
      <w:r>
        <w:rPr>
          <w:lang w:val="en-US"/>
        </w:rPr>
        <w:t xml:space="preserve"> = 70 S. Ct. </w:t>
      </w:r>
      <w:r w:rsidRPr="00EC4BA3">
        <w:rPr>
          <w:lang w:val="en-US"/>
        </w:rPr>
        <w:t>292, 296</w:t>
      </w:r>
      <w:r>
        <w:rPr>
          <w:lang w:val="en-US"/>
        </w:rPr>
        <w:t xml:space="preserve"> = 94 L. Ed. </w:t>
      </w:r>
      <w:r w:rsidRPr="00EC4BA3">
        <w:rPr>
          <w:lang w:val="en-US"/>
        </w:rPr>
        <w:t>287, 294</w:t>
      </w:r>
      <w:r>
        <w:rPr>
          <w:lang w:val="en-US"/>
        </w:rPr>
        <w:t xml:space="preserve"> = 1950 U.S. LEXIS </w:t>
      </w:r>
      <w:r w:rsidRPr="00EC4BA3">
        <w:rPr>
          <w:lang w:val="en-US"/>
        </w:rPr>
        <w:t>2420, 15</w:t>
      </w:r>
      <w:r w:rsidRPr="006E67FE">
        <w:rPr>
          <w:lang w:val="en-US"/>
        </w:rPr>
        <w:t xml:space="preserve"> = 15 A.L.R. 2d </w:t>
      </w:r>
      <w:r w:rsidRPr="00EC4BA3">
        <w:rPr>
          <w:lang w:val="en-US"/>
        </w:rPr>
        <w:t>538 (1950)</w:t>
      </w:r>
      <w:r>
        <w:rPr>
          <w:lang w:val="en-US"/>
        </w:rPr>
        <w:t>.</w:t>
      </w:r>
    </w:p>
  </w:footnote>
  <w:footnote w:id="599">
    <w:p w14:paraId="29678729" w14:textId="77777777" w:rsidR="00074551" w:rsidRPr="00EC4BA3" w:rsidRDefault="00074551" w:rsidP="00074551">
      <w:pPr>
        <w:pStyle w:val="Funotentext"/>
        <w:rPr>
          <w:lang w:val="en-US"/>
        </w:rPr>
      </w:pPr>
      <w:r>
        <w:rPr>
          <w:rStyle w:val="Funotenzeichen"/>
          <w:rFonts w:eastAsiaTheme="majorEastAsia"/>
        </w:rPr>
        <w:footnoteRef/>
      </w:r>
      <w:r w:rsidRPr="00EC4BA3">
        <w:rPr>
          <w:lang w:val="en-US"/>
        </w:rPr>
        <w:t xml:space="preserve"> </w:t>
      </w:r>
      <w:r w:rsidRPr="00B45592">
        <w:rPr>
          <w:i/>
          <w:iCs/>
          <w:lang w:val="en-US"/>
        </w:rPr>
        <w:t>Hackworth</w:t>
      </w:r>
      <w:r w:rsidRPr="008C698C">
        <w:rPr>
          <w:lang w:val="en-US"/>
        </w:rPr>
        <w:t>, Digest of International Law §</w:t>
      </w:r>
      <w:r>
        <w:rPr>
          <w:lang w:val="en-US"/>
        </w:rPr>
        <w:t>§ </w:t>
      </w:r>
      <w:r w:rsidRPr="008C698C">
        <w:rPr>
          <w:lang w:val="en-US"/>
        </w:rPr>
        <w:t>242</w:t>
      </w:r>
      <w:r>
        <w:rPr>
          <w:lang w:val="en-US"/>
        </w:rPr>
        <w:t>–</w:t>
      </w:r>
      <w:r w:rsidRPr="008C698C">
        <w:rPr>
          <w:lang w:val="en-US"/>
        </w:rPr>
        <w:t>250 (1942)</w:t>
      </w:r>
      <w:r>
        <w:rPr>
          <w:lang w:val="en-US"/>
        </w:rPr>
        <w:t xml:space="preserve">; </w:t>
      </w:r>
      <w:r w:rsidRPr="00584023">
        <w:rPr>
          <w:i/>
          <w:lang w:val="en-US"/>
        </w:rPr>
        <w:t>Savorgnan v. United States</w:t>
      </w:r>
      <w:r w:rsidRPr="008C698C">
        <w:rPr>
          <w:lang w:val="en-US"/>
        </w:rPr>
        <w:t>, 338 U.S. 491, 499</w:t>
      </w:r>
      <w:r>
        <w:rPr>
          <w:lang w:val="en-US"/>
        </w:rPr>
        <w:t xml:space="preserve"> = 70 S. Ct. </w:t>
      </w:r>
      <w:r w:rsidRPr="008C698C">
        <w:rPr>
          <w:lang w:val="en-US"/>
        </w:rPr>
        <w:t>292, 296</w:t>
      </w:r>
      <w:r>
        <w:rPr>
          <w:lang w:val="en-US"/>
        </w:rPr>
        <w:t xml:space="preserve"> = 94 L. Ed. </w:t>
      </w:r>
      <w:r w:rsidRPr="008C698C">
        <w:rPr>
          <w:lang w:val="en-US"/>
        </w:rPr>
        <w:t>287, 294</w:t>
      </w:r>
      <w:r>
        <w:rPr>
          <w:lang w:val="en-US"/>
        </w:rPr>
        <w:t xml:space="preserve"> = 1950 U.S. LEXIS </w:t>
      </w:r>
      <w:r w:rsidRPr="008C698C">
        <w:rPr>
          <w:lang w:val="en-US"/>
        </w:rPr>
        <w:t>2420, 15</w:t>
      </w:r>
      <w:r w:rsidRPr="006E67FE">
        <w:rPr>
          <w:lang w:val="en-US"/>
        </w:rPr>
        <w:t xml:space="preserve"> = 15 A.L.R. 2d </w:t>
      </w:r>
      <w:r w:rsidRPr="008C698C">
        <w:rPr>
          <w:lang w:val="en-US"/>
        </w:rPr>
        <w:t>538 (1950)</w:t>
      </w:r>
      <w:r>
        <w:rPr>
          <w:lang w:val="en-US"/>
        </w:rPr>
        <w:t>.</w:t>
      </w:r>
    </w:p>
  </w:footnote>
  <w:footnote w:id="600">
    <w:p w14:paraId="03B90BB0" w14:textId="77777777" w:rsidR="00074551" w:rsidRPr="00EC4BA3" w:rsidRDefault="00074551" w:rsidP="00074551">
      <w:pPr>
        <w:pStyle w:val="Funotentext"/>
      </w:pPr>
      <w:r>
        <w:rPr>
          <w:rStyle w:val="Funotenzeichen"/>
          <w:rFonts w:eastAsiaTheme="majorEastAsia"/>
        </w:rPr>
        <w:footnoteRef/>
      </w:r>
      <w:r>
        <w:t xml:space="preserve"> Vgl. generell dazu </w:t>
      </w:r>
      <w:r w:rsidRPr="00B45592">
        <w:rPr>
          <w:i/>
          <w:iCs/>
        </w:rPr>
        <w:t>Hackworth</w:t>
      </w:r>
      <w:r w:rsidRPr="00EC4BA3">
        <w:t xml:space="preserve">, </w:t>
      </w:r>
      <w:r w:rsidRPr="005D5028">
        <w:t>Digest of International Law</w:t>
      </w:r>
      <w:r w:rsidRPr="00EC4BA3">
        <w:t xml:space="preserve"> von 19</w:t>
      </w:r>
      <w:r>
        <w:t>06, 1940 und 1942.</w:t>
      </w:r>
    </w:p>
  </w:footnote>
  <w:footnote w:id="601">
    <w:p w14:paraId="6D01FF9B" w14:textId="77777777" w:rsidR="00074551" w:rsidRPr="006156D2" w:rsidRDefault="00074551" w:rsidP="00074551">
      <w:pPr>
        <w:pStyle w:val="Funotentext"/>
        <w:rPr>
          <w:lang w:val="en-US"/>
        </w:rPr>
      </w:pPr>
      <w:r>
        <w:rPr>
          <w:rStyle w:val="Funotenzeichen"/>
        </w:rPr>
        <w:footnoteRef/>
      </w:r>
      <w:proofErr w:type="spellStart"/>
      <w:r>
        <w:rPr>
          <w:lang w:val="en-US"/>
        </w:rPr>
        <w:t>Insbesondere</w:t>
      </w:r>
      <w:proofErr w:type="spellEnd"/>
      <w:r>
        <w:rPr>
          <w:lang w:val="en-US"/>
        </w:rPr>
        <w:t xml:space="preserve"> die </w:t>
      </w:r>
      <w:proofErr w:type="spellStart"/>
      <w:r>
        <w:rPr>
          <w:lang w:val="en-US"/>
        </w:rPr>
        <w:t>folgenden</w:t>
      </w:r>
      <w:proofErr w:type="spellEnd"/>
      <w:r>
        <w:rPr>
          <w:lang w:val="en-US"/>
        </w:rPr>
        <w:t xml:space="preserve"> </w:t>
      </w:r>
      <w:proofErr w:type="spellStart"/>
      <w:r>
        <w:rPr>
          <w:lang w:val="en-US"/>
        </w:rPr>
        <w:t>Abschnitte</w:t>
      </w:r>
      <w:proofErr w:type="spellEnd"/>
      <w:r>
        <w:rPr>
          <w:lang w:val="en-US"/>
        </w:rPr>
        <w:t>: „</w:t>
      </w:r>
      <w:r w:rsidRPr="006156D2">
        <w:rPr>
          <w:lang w:val="en-US"/>
        </w:rPr>
        <w:t>[The] nonresident may be retained only if no resident employee is qualified to fill the position.</w:t>
      </w:r>
      <w:r>
        <w:rPr>
          <w:lang w:val="en-US"/>
        </w:rPr>
        <w:t xml:space="preserve">“, </w:t>
      </w:r>
      <w:proofErr w:type="spellStart"/>
      <w:r>
        <w:rPr>
          <w:lang w:val="en-US"/>
        </w:rPr>
        <w:t>siehe</w:t>
      </w:r>
      <w:proofErr w:type="spellEnd"/>
      <w:r>
        <w:rPr>
          <w:lang w:val="en-US"/>
        </w:rPr>
        <w:t xml:space="preserve"> </w:t>
      </w:r>
      <w:r w:rsidRPr="006156D2">
        <w:rPr>
          <w:lang w:val="en-US"/>
        </w:rPr>
        <w:t>8 Alaska Admin. Code 35.011 (1977)</w:t>
      </w:r>
      <w:r>
        <w:rPr>
          <w:lang w:val="en-US"/>
        </w:rPr>
        <w:t xml:space="preserve"> und </w:t>
      </w:r>
      <w:r w:rsidRPr="006156D2">
        <w:rPr>
          <w:lang w:val="en-US"/>
        </w:rPr>
        <w:t>8 Alaska Admin. Code 35.042 (4) (1977)</w:t>
      </w:r>
      <w:r>
        <w:rPr>
          <w:lang w:val="en-US"/>
        </w:rPr>
        <w:t xml:space="preserve">; </w:t>
      </w:r>
      <w:proofErr w:type="spellStart"/>
      <w:r>
        <w:rPr>
          <w:lang w:val="en-US"/>
        </w:rPr>
        <w:t>sowie</w:t>
      </w:r>
      <w:proofErr w:type="spellEnd"/>
      <w:r w:rsidRPr="006156D2">
        <w:rPr>
          <w:lang w:val="en-US"/>
        </w:rPr>
        <w:t xml:space="preserve"> </w:t>
      </w:r>
      <w:r>
        <w:rPr>
          <w:lang w:val="en-US"/>
        </w:rPr>
        <w:t>§ </w:t>
      </w:r>
      <w:r w:rsidRPr="006156D2">
        <w:rPr>
          <w:lang w:val="en-US"/>
        </w:rPr>
        <w:t xml:space="preserve">38.40.030 (a): </w:t>
      </w:r>
      <w:r>
        <w:rPr>
          <w:lang w:val="en-US"/>
        </w:rPr>
        <w:t>„</w:t>
      </w:r>
      <w:r w:rsidRPr="006156D2">
        <w:rPr>
          <w:lang w:val="en-US"/>
        </w:rPr>
        <w:t>In order to create, protect and preserve the right of Alaska residents to employment, the commissioner of natural resources shall incorporate into all oil and gas leases, easements or right-of-way permits for oil or gas pipeline purposes, unitization agreements, or any renegotiation of any of the preceding to which the state is a party, provisions requiring the lessee to comply with applicable laws and regulations with regard to the employment of Alaska residents, a provision requiring the employment of qualified Alaska residents, a provision prohibiting discrimination against Alaska residents and, when in the determination of the commissioner of natural resources it is practicable, a provision requiring compliance with the Alaska Plan, all in accordance with the provisions of this chapter.</w:t>
      </w:r>
      <w:r>
        <w:rPr>
          <w:lang w:val="en-US"/>
        </w:rPr>
        <w:t xml:space="preserve">“, in </w:t>
      </w:r>
      <w:r w:rsidRPr="009167A5">
        <w:rPr>
          <w:i/>
          <w:lang w:val="en-US"/>
        </w:rPr>
        <w:t>Hicklin v. Orbeck</w:t>
      </w:r>
      <w:r w:rsidRPr="006156D2">
        <w:rPr>
          <w:lang w:val="en-US"/>
        </w:rPr>
        <w:t>, 437 U.S. 518, 520</w:t>
      </w:r>
      <w:r w:rsidRPr="003B741A">
        <w:rPr>
          <w:lang w:val="en-US"/>
        </w:rPr>
        <w:t xml:space="preserve"> = 98 S. Ct. </w:t>
      </w:r>
      <w:r w:rsidRPr="006156D2">
        <w:rPr>
          <w:lang w:val="en-US"/>
        </w:rPr>
        <w:t>2482, 2484</w:t>
      </w:r>
      <w:r w:rsidRPr="006E67FE">
        <w:rPr>
          <w:lang w:val="en-US"/>
        </w:rPr>
        <w:t xml:space="preserve"> = 57 L. Ed. </w:t>
      </w:r>
      <w:r w:rsidRPr="006156D2">
        <w:rPr>
          <w:lang w:val="en-US"/>
        </w:rPr>
        <w:t>2d 397, 401</w:t>
      </w:r>
      <w:r w:rsidRPr="003B741A">
        <w:rPr>
          <w:lang w:val="en-US"/>
        </w:rPr>
        <w:t xml:space="preserve"> = 1978 U.S. LEXIS </w:t>
      </w:r>
      <w:r w:rsidRPr="006156D2">
        <w:rPr>
          <w:lang w:val="en-US"/>
        </w:rPr>
        <w:t>36, 5</w:t>
      </w:r>
      <w:r w:rsidRPr="006E67FE">
        <w:rPr>
          <w:lang w:val="en-US"/>
        </w:rPr>
        <w:t xml:space="preserve"> = 83 Lab. Cas. </w:t>
      </w:r>
      <w:r w:rsidRPr="006156D2">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6156D2">
        <w:rPr>
          <w:lang w:val="en-US"/>
        </w:rPr>
        <w:t>(CCH) P8375 (1978)</w:t>
      </w:r>
      <w:r>
        <w:rPr>
          <w:lang w:val="en-US"/>
        </w:rPr>
        <w:t>.</w:t>
      </w:r>
    </w:p>
  </w:footnote>
  <w:footnote w:id="602">
    <w:p w14:paraId="00B7BEA5" w14:textId="77777777" w:rsidR="00074551" w:rsidRPr="002957FD" w:rsidRDefault="00074551" w:rsidP="00074551">
      <w:pPr>
        <w:pStyle w:val="Funotentext"/>
        <w:rPr>
          <w:lang w:val="en-US"/>
        </w:rPr>
      </w:pPr>
      <w:r>
        <w:rPr>
          <w:rStyle w:val="Funotenzeichen"/>
        </w:rPr>
        <w:footnoteRef/>
      </w:r>
      <w:r w:rsidRPr="002957FD">
        <w:rPr>
          <w:lang w:val="en-US"/>
        </w:rPr>
        <w:t xml:space="preserve"> </w:t>
      </w:r>
      <w:r w:rsidRPr="009167A5">
        <w:rPr>
          <w:i/>
          <w:lang w:val="en-US"/>
        </w:rPr>
        <w:t>Hicklin v. Orbeck</w:t>
      </w:r>
      <w:r w:rsidRPr="002957FD">
        <w:rPr>
          <w:lang w:val="en-US"/>
        </w:rPr>
        <w:t>, 437 U.S. 518, 520</w:t>
      </w:r>
      <w:r w:rsidRPr="003B741A">
        <w:rPr>
          <w:lang w:val="en-US"/>
        </w:rPr>
        <w:t xml:space="preserve"> = 98 S. Ct. </w:t>
      </w:r>
      <w:r w:rsidRPr="002957FD">
        <w:rPr>
          <w:lang w:val="en-US"/>
        </w:rPr>
        <w:t>2482, 2484</w:t>
      </w:r>
      <w:r w:rsidRPr="006E67FE">
        <w:rPr>
          <w:lang w:val="en-US"/>
        </w:rPr>
        <w:t xml:space="preserve"> = 57 L. Ed. </w:t>
      </w:r>
      <w:r w:rsidRPr="002957FD">
        <w:rPr>
          <w:lang w:val="en-US"/>
        </w:rPr>
        <w:t>2d 397, 401</w:t>
      </w:r>
      <w:r w:rsidRPr="003B741A">
        <w:rPr>
          <w:lang w:val="en-US"/>
        </w:rPr>
        <w:t xml:space="preserve"> = 1978 U.S. LEXIS </w:t>
      </w:r>
      <w:r w:rsidRPr="002957FD">
        <w:rPr>
          <w:lang w:val="en-US"/>
        </w:rPr>
        <w:t>36, 1</w:t>
      </w:r>
      <w:r w:rsidRPr="006E67FE">
        <w:rPr>
          <w:lang w:val="en-US"/>
        </w:rPr>
        <w:t xml:space="preserve"> = 83 Lab. Cas. </w:t>
      </w:r>
      <w:r w:rsidRPr="002957FD">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2957FD">
        <w:rPr>
          <w:lang w:val="en-US"/>
        </w:rPr>
        <w:t>(CCH) P8375 (1978)</w:t>
      </w:r>
    </w:p>
  </w:footnote>
  <w:footnote w:id="603">
    <w:p w14:paraId="2419719F" w14:textId="77777777" w:rsidR="00074551" w:rsidRPr="006156D2" w:rsidRDefault="00074551" w:rsidP="00074551">
      <w:pPr>
        <w:pStyle w:val="Funotentext"/>
        <w:rPr>
          <w:lang w:val="en-US"/>
        </w:rPr>
      </w:pPr>
      <w:r>
        <w:rPr>
          <w:rStyle w:val="Funotenzeichen"/>
        </w:rPr>
        <w:footnoteRef/>
      </w:r>
      <w:proofErr w:type="spellStart"/>
      <w:r>
        <w:rPr>
          <w:lang w:val="en-US"/>
        </w:rPr>
        <w:t>Insbesondere</w:t>
      </w:r>
      <w:proofErr w:type="spellEnd"/>
      <w:r>
        <w:rPr>
          <w:lang w:val="en-US"/>
        </w:rPr>
        <w:t xml:space="preserve"> die </w:t>
      </w:r>
      <w:proofErr w:type="spellStart"/>
      <w:r>
        <w:rPr>
          <w:lang w:val="en-US"/>
        </w:rPr>
        <w:t>folgenden</w:t>
      </w:r>
      <w:proofErr w:type="spellEnd"/>
      <w:r>
        <w:rPr>
          <w:lang w:val="en-US"/>
        </w:rPr>
        <w:t xml:space="preserve"> </w:t>
      </w:r>
      <w:proofErr w:type="spellStart"/>
      <w:r>
        <w:rPr>
          <w:lang w:val="en-US"/>
        </w:rPr>
        <w:t>Abschnitte</w:t>
      </w:r>
      <w:proofErr w:type="spellEnd"/>
      <w:r>
        <w:rPr>
          <w:lang w:val="en-US"/>
        </w:rPr>
        <w:t>: „</w:t>
      </w:r>
      <w:r w:rsidRPr="006156D2">
        <w:rPr>
          <w:lang w:val="en-US"/>
        </w:rPr>
        <w:t>[The] nonresident may be retained only if no resident employee is qualified to fill the position.</w:t>
      </w:r>
      <w:r>
        <w:rPr>
          <w:lang w:val="en-US"/>
        </w:rPr>
        <w:t>“,</w:t>
      </w:r>
      <w:r w:rsidRPr="006156D2">
        <w:rPr>
          <w:lang w:val="en-US"/>
        </w:rPr>
        <w:t xml:space="preserve"> </w:t>
      </w:r>
      <w:proofErr w:type="spellStart"/>
      <w:r>
        <w:rPr>
          <w:lang w:val="en-US"/>
        </w:rPr>
        <w:t>siehe</w:t>
      </w:r>
      <w:proofErr w:type="spellEnd"/>
      <w:r>
        <w:rPr>
          <w:lang w:val="en-US"/>
        </w:rPr>
        <w:t xml:space="preserve"> </w:t>
      </w:r>
      <w:r w:rsidRPr="006156D2">
        <w:rPr>
          <w:lang w:val="en-US"/>
        </w:rPr>
        <w:t>8 Alaska Admin. Code 35.011 (1977)</w:t>
      </w:r>
      <w:r>
        <w:rPr>
          <w:lang w:val="en-US"/>
        </w:rPr>
        <w:t xml:space="preserve"> und </w:t>
      </w:r>
      <w:r w:rsidRPr="006156D2">
        <w:rPr>
          <w:lang w:val="en-US"/>
        </w:rPr>
        <w:t>8 Alaska Admin. Code 35.042 (4) (1977)</w:t>
      </w:r>
      <w:r>
        <w:rPr>
          <w:lang w:val="en-US"/>
        </w:rPr>
        <w:t xml:space="preserve">; </w:t>
      </w:r>
      <w:proofErr w:type="spellStart"/>
      <w:r>
        <w:rPr>
          <w:lang w:val="en-US"/>
        </w:rPr>
        <w:t>sowie</w:t>
      </w:r>
      <w:proofErr w:type="spellEnd"/>
      <w:r w:rsidRPr="006156D2">
        <w:rPr>
          <w:lang w:val="en-US"/>
        </w:rPr>
        <w:t xml:space="preserve"> </w:t>
      </w:r>
      <w:r>
        <w:rPr>
          <w:lang w:val="en-US"/>
        </w:rPr>
        <w:t>§ </w:t>
      </w:r>
      <w:r w:rsidRPr="006156D2">
        <w:rPr>
          <w:lang w:val="en-US"/>
        </w:rPr>
        <w:t xml:space="preserve">38.40.030 (a): </w:t>
      </w:r>
      <w:r>
        <w:rPr>
          <w:lang w:val="en-US"/>
        </w:rPr>
        <w:t>„</w:t>
      </w:r>
      <w:r w:rsidRPr="006156D2">
        <w:rPr>
          <w:lang w:val="en-US"/>
        </w:rPr>
        <w:t>In order to create, protect and preserve the right of Alaska residents to employment, the commissioner of natural resources shall incorporate into all oil and gas leases, easements or right-of-way permits for oil or gas pipeline purposes, unitization agreements, or any renegotiation of any of the preceding to which the state is a party, provisions requiring the lessee to comply with applicable laws and regulations with regard to the employment of Alaska residents, a provision requiring the employment of qualified Alaska residents, a provision prohibiting discrimination against Alaska residents and, when in the determination of the commissioner of natural resources it is practicable, a provision requiring compliance with the Alaska Plan, all in accordance with the provisions of this chapter.</w:t>
      </w:r>
      <w:r>
        <w:rPr>
          <w:lang w:val="en-US"/>
        </w:rPr>
        <w:t xml:space="preserve">“, in </w:t>
      </w:r>
      <w:r w:rsidRPr="009167A5">
        <w:rPr>
          <w:i/>
          <w:lang w:val="en-US"/>
        </w:rPr>
        <w:t>Hicklin v. Orbeck</w:t>
      </w:r>
      <w:r w:rsidRPr="006156D2">
        <w:rPr>
          <w:lang w:val="en-US"/>
        </w:rPr>
        <w:t>, 437 U.S. 518, 520</w:t>
      </w:r>
      <w:r w:rsidRPr="003B741A">
        <w:rPr>
          <w:lang w:val="en-US"/>
        </w:rPr>
        <w:t xml:space="preserve"> = 98 S. Ct. </w:t>
      </w:r>
      <w:r w:rsidRPr="006156D2">
        <w:rPr>
          <w:lang w:val="en-US"/>
        </w:rPr>
        <w:t>2482, 2484</w:t>
      </w:r>
      <w:r w:rsidRPr="006E67FE">
        <w:rPr>
          <w:lang w:val="en-US"/>
        </w:rPr>
        <w:t xml:space="preserve"> = 57 L. Ed. </w:t>
      </w:r>
      <w:r w:rsidRPr="006156D2">
        <w:rPr>
          <w:lang w:val="en-US"/>
        </w:rPr>
        <w:t>2d 397, 401</w:t>
      </w:r>
      <w:r w:rsidRPr="003B741A">
        <w:rPr>
          <w:lang w:val="en-US"/>
        </w:rPr>
        <w:t xml:space="preserve"> = 1978 U.S. LEXIS </w:t>
      </w:r>
      <w:r w:rsidRPr="006156D2">
        <w:rPr>
          <w:lang w:val="en-US"/>
        </w:rPr>
        <w:t>36, 5</w:t>
      </w:r>
      <w:r w:rsidRPr="006E67FE">
        <w:rPr>
          <w:lang w:val="en-US"/>
        </w:rPr>
        <w:t xml:space="preserve"> = 83 Lab. Cas. </w:t>
      </w:r>
      <w:r w:rsidRPr="006156D2">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6156D2">
        <w:rPr>
          <w:lang w:val="en-US"/>
        </w:rPr>
        <w:t>(CCH) P8375 (1978)</w:t>
      </w:r>
      <w:r>
        <w:rPr>
          <w:lang w:val="en-US"/>
        </w:rPr>
        <w:t>.</w:t>
      </w:r>
    </w:p>
  </w:footnote>
  <w:footnote w:id="604">
    <w:p w14:paraId="7F28A4A5" w14:textId="77777777" w:rsidR="00074551" w:rsidRPr="002957FD" w:rsidRDefault="00074551" w:rsidP="00074551">
      <w:pPr>
        <w:pStyle w:val="Funotentext"/>
        <w:rPr>
          <w:lang w:val="en-US"/>
        </w:rPr>
      </w:pPr>
      <w:r>
        <w:rPr>
          <w:rStyle w:val="Funotenzeichen"/>
        </w:rPr>
        <w:footnoteRef/>
      </w:r>
      <w:r w:rsidRPr="002957FD">
        <w:rPr>
          <w:lang w:val="en-US"/>
        </w:rPr>
        <w:t xml:space="preserve"> </w:t>
      </w:r>
      <w:r w:rsidRPr="009167A5">
        <w:rPr>
          <w:i/>
          <w:lang w:val="en-US"/>
        </w:rPr>
        <w:t>Hicklin v. Orbeck</w:t>
      </w:r>
      <w:r w:rsidRPr="002957FD">
        <w:rPr>
          <w:lang w:val="en-US"/>
        </w:rPr>
        <w:t>, 437 U.S. 518, 520</w:t>
      </w:r>
      <w:r w:rsidRPr="003B741A">
        <w:rPr>
          <w:lang w:val="en-US"/>
        </w:rPr>
        <w:t xml:space="preserve"> = 98 S. Ct. </w:t>
      </w:r>
      <w:r w:rsidRPr="002957FD">
        <w:rPr>
          <w:lang w:val="en-US"/>
        </w:rPr>
        <w:t>2482, 2484</w:t>
      </w:r>
      <w:r w:rsidRPr="006E67FE">
        <w:rPr>
          <w:lang w:val="en-US"/>
        </w:rPr>
        <w:t xml:space="preserve"> = 57 L. Ed. </w:t>
      </w:r>
      <w:r w:rsidRPr="002957FD">
        <w:rPr>
          <w:lang w:val="en-US"/>
        </w:rPr>
        <w:t>2d 397, 401</w:t>
      </w:r>
      <w:r w:rsidRPr="003B741A">
        <w:rPr>
          <w:lang w:val="en-US"/>
        </w:rPr>
        <w:t xml:space="preserve"> = 1978 U.S. LEXIS </w:t>
      </w:r>
      <w:r w:rsidRPr="002957FD">
        <w:rPr>
          <w:lang w:val="en-US"/>
        </w:rPr>
        <w:t>36, 1</w:t>
      </w:r>
      <w:r w:rsidRPr="006E67FE">
        <w:rPr>
          <w:lang w:val="en-US"/>
        </w:rPr>
        <w:t xml:space="preserve"> = 83 Lab. Cas. </w:t>
      </w:r>
      <w:r w:rsidRPr="002957FD">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2957FD">
        <w:rPr>
          <w:lang w:val="en-US"/>
        </w:rPr>
        <w:t>(CCH) P8375 (1978)</w:t>
      </w:r>
      <w:r>
        <w:rPr>
          <w:lang w:val="en-US"/>
        </w:rPr>
        <w:t>.</w:t>
      </w:r>
    </w:p>
  </w:footnote>
  <w:footnote w:id="605">
    <w:p w14:paraId="55414903" w14:textId="77777777" w:rsidR="00074551" w:rsidRPr="008C360C" w:rsidRDefault="00074551" w:rsidP="00074551">
      <w:pPr>
        <w:pStyle w:val="Funotentext"/>
        <w:rPr>
          <w:lang w:val="en-US"/>
        </w:rPr>
      </w:pPr>
      <w:r>
        <w:rPr>
          <w:rStyle w:val="Funotenzeichen"/>
        </w:rPr>
        <w:footnoteRef/>
      </w:r>
      <w:r w:rsidRPr="008C360C">
        <w:rPr>
          <w:lang w:val="en-US"/>
        </w:rPr>
        <w:t xml:space="preserve"> </w:t>
      </w:r>
      <w:r w:rsidRPr="00546F93">
        <w:rPr>
          <w:i/>
          <w:lang w:val="en-US"/>
        </w:rPr>
        <w:t>Paul v. Virginia</w:t>
      </w:r>
      <w:r>
        <w:rPr>
          <w:lang w:val="en-US"/>
        </w:rPr>
        <w:t xml:space="preserve">, 8 Wall. </w:t>
      </w:r>
      <w:r w:rsidRPr="008C360C">
        <w:rPr>
          <w:lang w:val="en-US"/>
        </w:rPr>
        <w:t>168, 180 (1869)</w:t>
      </w:r>
      <w:r>
        <w:rPr>
          <w:lang w:val="en-US"/>
        </w:rPr>
        <w:t xml:space="preserve">; </w:t>
      </w:r>
      <w:r w:rsidRPr="009167A5">
        <w:rPr>
          <w:i/>
          <w:lang w:val="en-US"/>
        </w:rPr>
        <w:t>Hicklin v. Orbeck</w:t>
      </w:r>
      <w:r w:rsidRPr="008C360C">
        <w:rPr>
          <w:lang w:val="en-US"/>
        </w:rPr>
        <w:t>, 437 U.S. 518, 524</w:t>
      </w:r>
      <w:r w:rsidRPr="003B741A">
        <w:rPr>
          <w:lang w:val="en-US"/>
        </w:rPr>
        <w:t xml:space="preserve"> = 98 S. Ct. </w:t>
      </w:r>
      <w:r w:rsidRPr="008C360C">
        <w:rPr>
          <w:lang w:val="en-US"/>
        </w:rPr>
        <w:t>2482, 2486</w:t>
      </w:r>
      <w:r w:rsidRPr="006E67FE">
        <w:rPr>
          <w:lang w:val="en-US"/>
        </w:rPr>
        <w:t xml:space="preserve"> = 57 L. Ed. </w:t>
      </w:r>
      <w:r w:rsidRPr="008C360C">
        <w:rPr>
          <w:lang w:val="en-US"/>
        </w:rPr>
        <w:t>2d 397, 403</w:t>
      </w:r>
      <w:r w:rsidRPr="003B741A">
        <w:rPr>
          <w:lang w:val="en-US"/>
        </w:rPr>
        <w:t xml:space="preserve"> = 1978 U.S. LEXIS </w:t>
      </w:r>
      <w:r w:rsidRPr="008C360C">
        <w:rPr>
          <w:lang w:val="en-US"/>
        </w:rPr>
        <w:t>36, 12</w:t>
      </w:r>
      <w:r w:rsidRPr="006E67FE">
        <w:rPr>
          <w:lang w:val="en-US"/>
        </w:rPr>
        <w:t xml:space="preserve"> = 83 Lab. Cas. </w:t>
      </w:r>
      <w:r w:rsidRPr="008C360C">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8C360C">
        <w:rPr>
          <w:lang w:val="en-US"/>
        </w:rPr>
        <w:t>(CCH) P8375 (1978)</w:t>
      </w:r>
      <w:r>
        <w:rPr>
          <w:lang w:val="en-US"/>
        </w:rPr>
        <w:t>.</w:t>
      </w:r>
    </w:p>
  </w:footnote>
  <w:footnote w:id="606">
    <w:p w14:paraId="449ACBEF" w14:textId="77777777" w:rsidR="00074551" w:rsidRPr="008C360C" w:rsidRDefault="00074551" w:rsidP="00074551">
      <w:pPr>
        <w:pStyle w:val="Funotentext"/>
        <w:rPr>
          <w:lang w:val="en-US"/>
        </w:rPr>
      </w:pPr>
      <w:r>
        <w:rPr>
          <w:rStyle w:val="Funotenzeichen"/>
        </w:rPr>
        <w:footnoteRef/>
      </w:r>
      <w:r w:rsidRPr="008C360C">
        <w:rPr>
          <w:lang w:val="en-US"/>
        </w:rPr>
        <w:t xml:space="preserve"> </w:t>
      </w:r>
      <w:r w:rsidRPr="009167A5">
        <w:rPr>
          <w:i/>
          <w:lang w:val="en-US"/>
        </w:rPr>
        <w:t>Hicklin v. Orbeck</w:t>
      </w:r>
      <w:r w:rsidRPr="008C360C">
        <w:rPr>
          <w:lang w:val="en-US"/>
        </w:rPr>
        <w:t>, 437 U.S. 518, 524</w:t>
      </w:r>
      <w:r w:rsidRPr="003B741A">
        <w:rPr>
          <w:lang w:val="en-US"/>
        </w:rPr>
        <w:t xml:space="preserve"> = 98 S. Ct. </w:t>
      </w:r>
      <w:r w:rsidRPr="008C360C">
        <w:rPr>
          <w:lang w:val="en-US"/>
        </w:rPr>
        <w:t>2482, 2487</w:t>
      </w:r>
      <w:r w:rsidRPr="006E67FE">
        <w:rPr>
          <w:lang w:val="en-US"/>
        </w:rPr>
        <w:t xml:space="preserve"> = 57 L. Ed. </w:t>
      </w:r>
      <w:r w:rsidRPr="008C360C">
        <w:rPr>
          <w:lang w:val="en-US"/>
        </w:rPr>
        <w:t>2d 397, 403</w:t>
      </w:r>
      <w:r w:rsidRPr="003B741A">
        <w:rPr>
          <w:lang w:val="en-US"/>
        </w:rPr>
        <w:t xml:space="preserve"> = 1978 U.S. LEXIS </w:t>
      </w:r>
      <w:r w:rsidRPr="008C360C">
        <w:rPr>
          <w:lang w:val="en-US"/>
        </w:rPr>
        <w:t>36, 13</w:t>
      </w:r>
      <w:r w:rsidRPr="006E67FE">
        <w:rPr>
          <w:lang w:val="en-US"/>
        </w:rPr>
        <w:t xml:space="preserve"> = 83 Lab. Cas. </w:t>
      </w:r>
      <w:r w:rsidRPr="008C360C">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8C360C">
        <w:rPr>
          <w:lang w:val="en-US"/>
        </w:rPr>
        <w:t>(CCH) P8375 (1978)</w:t>
      </w:r>
      <w:r>
        <w:rPr>
          <w:lang w:val="en-US"/>
        </w:rPr>
        <w:t>.</w:t>
      </w:r>
    </w:p>
  </w:footnote>
  <w:footnote w:id="607">
    <w:p w14:paraId="018E737C" w14:textId="77777777" w:rsidR="00074551" w:rsidRPr="0045674A" w:rsidRDefault="00074551" w:rsidP="00074551">
      <w:pPr>
        <w:pStyle w:val="Funotentext"/>
        <w:rPr>
          <w:lang w:val="en-US"/>
        </w:rPr>
      </w:pPr>
      <w:r>
        <w:rPr>
          <w:rStyle w:val="Funotenzeichen"/>
        </w:rPr>
        <w:footnoteRef/>
      </w:r>
      <w:r w:rsidRPr="0045674A">
        <w:rPr>
          <w:lang w:val="en-US"/>
        </w:rPr>
        <w:t xml:space="preserve"> </w:t>
      </w:r>
      <w:r w:rsidRPr="009167A5">
        <w:rPr>
          <w:i/>
          <w:lang w:val="en-US"/>
        </w:rPr>
        <w:t>Hicklin v. Orbeck</w:t>
      </w:r>
      <w:r w:rsidRPr="0045674A">
        <w:rPr>
          <w:lang w:val="en-US"/>
        </w:rPr>
        <w:t>, 437 U.S. 518, 524</w:t>
      </w:r>
      <w:r w:rsidRPr="003B741A">
        <w:rPr>
          <w:lang w:val="en-US"/>
        </w:rPr>
        <w:t xml:space="preserve"> = 98 S. Ct. </w:t>
      </w:r>
      <w:r w:rsidRPr="0045674A">
        <w:rPr>
          <w:lang w:val="en-US"/>
        </w:rPr>
        <w:t>2482, 2487</w:t>
      </w:r>
      <w:r w:rsidRPr="006E67FE">
        <w:rPr>
          <w:lang w:val="en-US"/>
        </w:rPr>
        <w:t xml:space="preserve"> = 57 L. Ed. </w:t>
      </w:r>
      <w:r w:rsidRPr="0045674A">
        <w:rPr>
          <w:lang w:val="en-US"/>
        </w:rPr>
        <w:t>2d 397, 404</w:t>
      </w:r>
      <w:r w:rsidRPr="003B741A">
        <w:rPr>
          <w:lang w:val="en-US"/>
        </w:rPr>
        <w:t xml:space="preserve"> = 1978 U.S. LEXIS </w:t>
      </w:r>
      <w:r w:rsidRPr="0045674A">
        <w:rPr>
          <w:lang w:val="en-US"/>
        </w:rPr>
        <w:t>36, 14</w:t>
      </w:r>
      <w:r w:rsidRPr="006E67FE">
        <w:rPr>
          <w:lang w:val="en-US"/>
        </w:rPr>
        <w:t xml:space="preserve"> = 83 Lab. Cas. </w:t>
      </w:r>
      <w:r w:rsidRPr="0045674A">
        <w:rPr>
          <w:lang w:val="en-US"/>
        </w:rPr>
        <w:t>(CCH) P55,126</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45674A">
        <w:rPr>
          <w:lang w:val="en-US"/>
        </w:rPr>
        <w:t>(CCH) P8375 (1978)</w:t>
      </w:r>
      <w:r>
        <w:rPr>
          <w:lang w:val="en-US"/>
        </w:rPr>
        <w:t>.</w:t>
      </w:r>
    </w:p>
  </w:footnote>
  <w:footnote w:id="608">
    <w:p w14:paraId="50F0FF7D"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Pr>
          <w:lang w:val="en-US"/>
        </w:rPr>
        <w:t>„[A]</w:t>
      </w:r>
      <w:proofErr w:type="spellStart"/>
      <w:r w:rsidRPr="00FC2776">
        <w:rPr>
          <w:lang w:val="en-US"/>
        </w:rPr>
        <w:t>ct</w:t>
      </w:r>
      <w:proofErr w:type="spellEnd"/>
      <w:r w:rsidRPr="00FC2776">
        <w:rPr>
          <w:lang w:val="en-US"/>
        </w:rPr>
        <w:t xml:space="preserve"> of South Carolina approved March 2, 1916, </w:t>
      </w:r>
      <w:proofErr w:type="gramStart"/>
      <w:r w:rsidRPr="00FC2776">
        <w:rPr>
          <w:lang w:val="en-US"/>
        </w:rPr>
        <w:t xml:space="preserve">entitled </w:t>
      </w:r>
      <w:r>
        <w:rPr>
          <w:lang w:val="en-US"/>
        </w:rPr>
        <w:t>,</w:t>
      </w:r>
      <w:r w:rsidRPr="00FC2776">
        <w:rPr>
          <w:lang w:val="en-US"/>
        </w:rPr>
        <w:t>An</w:t>
      </w:r>
      <w:proofErr w:type="gramEnd"/>
      <w:r w:rsidRPr="00FC2776">
        <w:rPr>
          <w:lang w:val="en-US"/>
        </w:rPr>
        <w:t xml:space="preserve"> act to provide for the licensing of insurance </w:t>
      </w:r>
      <w:proofErr w:type="gramStart"/>
      <w:r w:rsidRPr="00FC2776">
        <w:rPr>
          <w:lang w:val="en-US"/>
        </w:rPr>
        <w:t>brokers</w:t>
      </w:r>
      <w:r>
        <w:rPr>
          <w:lang w:val="en-US"/>
        </w:rPr>
        <w:t>‘</w:t>
      </w:r>
      <w:proofErr w:type="gramEnd"/>
      <w:r w:rsidRPr="00FC2776">
        <w:rPr>
          <w:lang w:val="en-US"/>
        </w:rPr>
        <w:t xml:space="preserve">, defines in its first section an insurance </w:t>
      </w:r>
      <w:proofErr w:type="gramStart"/>
      <w:r w:rsidRPr="00FC2776">
        <w:rPr>
          <w:lang w:val="en-US"/>
        </w:rPr>
        <w:t xml:space="preserve">broker </w:t>
      </w:r>
      <w:r>
        <w:rPr>
          <w:lang w:val="en-US"/>
        </w:rPr>
        <w:t>,</w:t>
      </w:r>
      <w:r w:rsidRPr="00FC2776">
        <w:rPr>
          <w:lang w:val="en-US"/>
        </w:rPr>
        <w:t>to</w:t>
      </w:r>
      <w:proofErr w:type="gramEnd"/>
      <w:r w:rsidRPr="00FC2776">
        <w:rPr>
          <w:lang w:val="en-US"/>
        </w:rPr>
        <w:t xml:space="preserve"> be such person as shall be licensed by the Insurance Commissioner to represent </w:t>
      </w:r>
      <w:proofErr w:type="gramStart"/>
      <w:r w:rsidRPr="00FC2776">
        <w:rPr>
          <w:lang w:val="en-US"/>
        </w:rPr>
        <w:t>citizens</w:t>
      </w:r>
      <w:r>
        <w:rPr>
          <w:lang w:val="en-US"/>
        </w:rPr>
        <w:t xml:space="preserve">‘ </w:t>
      </w:r>
      <w:r w:rsidRPr="00FC2776">
        <w:rPr>
          <w:lang w:val="en-US"/>
        </w:rPr>
        <w:t>of</w:t>
      </w:r>
      <w:proofErr w:type="gramEnd"/>
      <w:r w:rsidRPr="00FC2776">
        <w:rPr>
          <w:lang w:val="en-US"/>
        </w:rPr>
        <w:t xml:space="preserve"> the </w:t>
      </w:r>
      <w:proofErr w:type="gramStart"/>
      <w:r w:rsidRPr="00FC2776">
        <w:rPr>
          <w:lang w:val="en-US"/>
        </w:rPr>
        <w:t xml:space="preserve">State </w:t>
      </w:r>
      <w:r>
        <w:rPr>
          <w:lang w:val="en-US"/>
        </w:rPr>
        <w:t>,</w:t>
      </w:r>
      <w:r w:rsidRPr="00FC2776">
        <w:rPr>
          <w:lang w:val="en-US"/>
        </w:rPr>
        <w:t>for</w:t>
      </w:r>
      <w:proofErr w:type="gramEnd"/>
      <w:r w:rsidRPr="00FC2776">
        <w:rPr>
          <w:lang w:val="en-US"/>
        </w:rPr>
        <w:t xml:space="preserve"> the placing of insurance in </w:t>
      </w:r>
      <w:proofErr w:type="gramStart"/>
      <w:r w:rsidRPr="00FC2776">
        <w:rPr>
          <w:lang w:val="en-US"/>
        </w:rPr>
        <w:t>insurers</w:t>
      </w:r>
      <w:r>
        <w:rPr>
          <w:lang w:val="en-US"/>
        </w:rPr>
        <w:t>‘</w:t>
      </w:r>
      <w:r w:rsidRPr="00FC2776">
        <w:rPr>
          <w:lang w:val="en-US"/>
        </w:rPr>
        <w:t xml:space="preserve"> in</w:t>
      </w:r>
      <w:proofErr w:type="gramEnd"/>
      <w:r w:rsidRPr="00FC2776">
        <w:rPr>
          <w:lang w:val="en-US"/>
        </w:rPr>
        <w:t xml:space="preserve"> </w:t>
      </w:r>
      <w:proofErr w:type="gramStart"/>
      <w:r w:rsidRPr="00FC2776">
        <w:rPr>
          <w:lang w:val="en-US"/>
        </w:rPr>
        <w:t xml:space="preserve">the </w:t>
      </w:r>
      <w:r>
        <w:rPr>
          <w:lang w:val="en-US"/>
        </w:rPr>
        <w:t>,</w:t>
      </w:r>
      <w:r w:rsidRPr="00FC2776">
        <w:rPr>
          <w:lang w:val="en-US"/>
        </w:rPr>
        <w:t>State</w:t>
      </w:r>
      <w:proofErr w:type="gramEnd"/>
      <w:r w:rsidRPr="00FC2776">
        <w:rPr>
          <w:lang w:val="en-US"/>
        </w:rPr>
        <w:t xml:space="preserve"> or in any other State or </w:t>
      </w:r>
      <w:proofErr w:type="gramStart"/>
      <w:r w:rsidRPr="00FC2776">
        <w:rPr>
          <w:lang w:val="en-US"/>
        </w:rPr>
        <w:t>country</w:t>
      </w:r>
      <w:r>
        <w:rPr>
          <w:lang w:val="en-US"/>
        </w:rPr>
        <w:t>‘</w:t>
      </w:r>
      <w:proofErr w:type="gramEnd"/>
      <w:r>
        <w:rPr>
          <w:lang w:val="en-US"/>
        </w:rPr>
        <w:t>.</w:t>
      </w:r>
      <w:r w:rsidRPr="00FC2776">
        <w:rPr>
          <w:lang w:val="en-US"/>
        </w:rPr>
        <w:t xml:space="preserve"> And it is provided in </w:t>
      </w:r>
      <w:r>
        <w:rPr>
          <w:lang w:val="en-US"/>
        </w:rPr>
        <w:t>§ </w:t>
      </w:r>
      <w:r w:rsidRPr="00FC2776">
        <w:rPr>
          <w:lang w:val="en-US"/>
        </w:rPr>
        <w:t xml:space="preserve">2 of the act, among other conditions, that only such persons may be licensed as are residents of the State and have been licensed insurance agents of the State for at least two </w:t>
      </w:r>
      <w:proofErr w:type="gramStart"/>
      <w:r w:rsidRPr="00FC2776">
        <w:rPr>
          <w:lang w:val="en-US"/>
        </w:rPr>
        <w:t>years.</w:t>
      </w:r>
      <w:r>
        <w:rPr>
          <w:lang w:val="en-US"/>
        </w:rPr>
        <w:t>“</w:t>
      </w:r>
      <w:proofErr w:type="gramEnd"/>
      <w:r>
        <w:rPr>
          <w:lang w:val="en-US"/>
        </w:rPr>
        <w:t xml:space="preserve">, </w:t>
      </w:r>
      <w:r w:rsidRPr="00584023">
        <w:rPr>
          <w:i/>
          <w:lang w:val="en-US"/>
        </w:rPr>
        <w:t>La Tourette v. McMaster</w:t>
      </w:r>
      <w:r w:rsidRPr="00FC2776">
        <w:rPr>
          <w:lang w:val="en-US"/>
        </w:rPr>
        <w:t>, 248 U.S. 465, 466</w:t>
      </w:r>
      <w:r w:rsidRPr="003B741A">
        <w:rPr>
          <w:lang w:val="en-US"/>
        </w:rPr>
        <w:t xml:space="preserve"> = 39 S. Ct</w:t>
      </w:r>
      <w:r w:rsidRPr="00FC2776">
        <w:rPr>
          <w:lang w:val="en-US"/>
        </w:rPr>
        <w:t>. 160, 161</w:t>
      </w:r>
      <w:r w:rsidRPr="003B741A">
        <w:rPr>
          <w:lang w:val="en-US"/>
        </w:rPr>
        <w:t xml:space="preserve"> = 63 L. Ed. </w:t>
      </w:r>
      <w:r w:rsidRPr="00FC2776">
        <w:rPr>
          <w:lang w:val="en-US"/>
        </w:rPr>
        <w:t>362, 363</w:t>
      </w:r>
      <w:r w:rsidRPr="003B741A">
        <w:rPr>
          <w:lang w:val="en-US"/>
        </w:rPr>
        <w:t xml:space="preserve"> = 1919 U.S. LEXIS </w:t>
      </w:r>
      <w:r w:rsidRPr="00FC2776">
        <w:rPr>
          <w:lang w:val="en-US"/>
        </w:rPr>
        <w:t>2274, 3 (1919)</w:t>
      </w:r>
      <w:r>
        <w:rPr>
          <w:lang w:val="en-US"/>
        </w:rPr>
        <w:t>.</w:t>
      </w:r>
    </w:p>
  </w:footnote>
  <w:footnote w:id="609">
    <w:p w14:paraId="48863507"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8F73D7">
        <w:rPr>
          <w:i/>
          <w:lang w:val="en-US"/>
        </w:rPr>
        <w:t>Slaughter-House Cases</w:t>
      </w:r>
      <w:r w:rsidRPr="00FC2776">
        <w:rPr>
          <w:lang w:val="en-US"/>
        </w:rPr>
        <w:t xml:space="preserve">, 16 Wall. 36, </w:t>
      </w:r>
      <w:r>
        <w:rPr>
          <w:lang w:val="en-US"/>
        </w:rPr>
        <w:t>und</w:t>
      </w:r>
      <w:r w:rsidRPr="00FC2776">
        <w:rPr>
          <w:lang w:val="en-US"/>
        </w:rPr>
        <w:t xml:space="preserve"> </w:t>
      </w:r>
      <w:r w:rsidRPr="00B45592">
        <w:rPr>
          <w:i/>
          <w:lang w:val="en-US"/>
        </w:rPr>
        <w:t>Butchers’ Union Co. v. Crescent City Co.</w:t>
      </w:r>
      <w:r w:rsidRPr="00FC2776">
        <w:rPr>
          <w:lang w:val="en-US"/>
        </w:rPr>
        <w:t>, 111 U.S. 746</w:t>
      </w:r>
      <w:r>
        <w:rPr>
          <w:lang w:val="en-US"/>
        </w:rPr>
        <w:t xml:space="preserve">; </w:t>
      </w:r>
      <w:r w:rsidRPr="00584023">
        <w:rPr>
          <w:i/>
          <w:lang w:val="en-US"/>
        </w:rPr>
        <w:t>La Tourette v. McMaster</w:t>
      </w:r>
      <w:r w:rsidRPr="00FC2776">
        <w:rPr>
          <w:lang w:val="en-US"/>
        </w:rPr>
        <w:t>, 248 U.S. 465, 469</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8 (1919)</w:t>
      </w:r>
      <w:r>
        <w:rPr>
          <w:lang w:val="en-US"/>
        </w:rPr>
        <w:t>.</w:t>
      </w:r>
    </w:p>
  </w:footnote>
  <w:footnote w:id="610">
    <w:p w14:paraId="5FAD31F2"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8F73D7">
        <w:rPr>
          <w:i/>
          <w:lang w:val="en-US"/>
        </w:rPr>
        <w:t>Slaughter-House Cases</w:t>
      </w:r>
      <w:r w:rsidRPr="00FC2776">
        <w:rPr>
          <w:lang w:val="en-US"/>
        </w:rPr>
        <w:t xml:space="preserve">, 16 Wall. 36, </w:t>
      </w:r>
      <w:r>
        <w:rPr>
          <w:lang w:val="en-US"/>
        </w:rPr>
        <w:t>und</w:t>
      </w:r>
      <w:r w:rsidRPr="00FC2776">
        <w:rPr>
          <w:lang w:val="en-US"/>
        </w:rPr>
        <w:t xml:space="preserve"> </w:t>
      </w:r>
      <w:r w:rsidRPr="00B45592">
        <w:rPr>
          <w:i/>
          <w:lang w:val="en-US"/>
        </w:rPr>
        <w:t>Butchers’ Union Co. v. Crescent City Co.</w:t>
      </w:r>
      <w:r w:rsidRPr="00FC2776">
        <w:rPr>
          <w:lang w:val="en-US"/>
        </w:rPr>
        <w:t>, 111 U.S. 746</w:t>
      </w:r>
      <w:r>
        <w:rPr>
          <w:lang w:val="en-US"/>
        </w:rPr>
        <w:t xml:space="preserve">; </w:t>
      </w:r>
      <w:r w:rsidRPr="00584023">
        <w:rPr>
          <w:i/>
          <w:lang w:val="en-US"/>
        </w:rPr>
        <w:t>La Tourette v. McMaster</w:t>
      </w:r>
      <w:r w:rsidRPr="00FC2776">
        <w:rPr>
          <w:lang w:val="en-US"/>
        </w:rPr>
        <w:t>, 248 U.S. 465, 469</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8 (1919)</w:t>
      </w:r>
      <w:r>
        <w:rPr>
          <w:lang w:val="en-US"/>
        </w:rPr>
        <w:t>.</w:t>
      </w:r>
    </w:p>
  </w:footnote>
  <w:footnote w:id="611">
    <w:p w14:paraId="1261FA0B"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8F73D7">
        <w:rPr>
          <w:i/>
          <w:lang w:val="en-US"/>
        </w:rPr>
        <w:t>Slaughter-House Cases</w:t>
      </w:r>
      <w:r w:rsidRPr="00FC2776">
        <w:rPr>
          <w:lang w:val="en-US"/>
        </w:rPr>
        <w:t xml:space="preserve">, 16 Wall. 36, </w:t>
      </w:r>
      <w:r>
        <w:rPr>
          <w:lang w:val="en-US"/>
        </w:rPr>
        <w:t>u</w:t>
      </w:r>
      <w:r w:rsidRPr="00FC2776">
        <w:rPr>
          <w:lang w:val="en-US"/>
        </w:rPr>
        <w:t xml:space="preserve">nd </w:t>
      </w:r>
      <w:r w:rsidRPr="00B45592">
        <w:rPr>
          <w:i/>
          <w:lang w:val="en-US"/>
        </w:rPr>
        <w:t>Butchers’ Union Co. v. Crescent City Co.</w:t>
      </w:r>
      <w:r w:rsidRPr="00FC2776">
        <w:rPr>
          <w:lang w:val="en-US"/>
        </w:rPr>
        <w:t>, 111 U.S. 746</w:t>
      </w:r>
      <w:r>
        <w:rPr>
          <w:lang w:val="en-US"/>
        </w:rPr>
        <w:t xml:space="preserve">; </w:t>
      </w:r>
      <w:r w:rsidRPr="00584023">
        <w:rPr>
          <w:i/>
          <w:lang w:val="en-US"/>
        </w:rPr>
        <w:t>La Tourette v. McMaster</w:t>
      </w:r>
      <w:r w:rsidRPr="00FC2776">
        <w:rPr>
          <w:lang w:val="en-US"/>
        </w:rPr>
        <w:t>, 248 U.S. 465, 469</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8 (1919)</w:t>
      </w:r>
      <w:r>
        <w:rPr>
          <w:lang w:val="en-US"/>
        </w:rPr>
        <w:t>.</w:t>
      </w:r>
    </w:p>
  </w:footnote>
  <w:footnote w:id="612">
    <w:p w14:paraId="53C22567" w14:textId="77777777" w:rsidR="00074551" w:rsidRPr="00FC2776" w:rsidRDefault="00074551" w:rsidP="00074551">
      <w:pPr>
        <w:pStyle w:val="Funotentext"/>
        <w:jc w:val="both"/>
        <w:rPr>
          <w:lang w:val="en-US"/>
        </w:rPr>
      </w:pPr>
      <w:r>
        <w:rPr>
          <w:rStyle w:val="Funotenzeichen"/>
        </w:rPr>
        <w:footnoteRef/>
      </w:r>
      <w:r w:rsidRPr="00FC2776">
        <w:rPr>
          <w:lang w:val="en-US"/>
        </w:rPr>
        <w:t xml:space="preserve"> </w:t>
      </w:r>
      <w:r w:rsidRPr="00B45592">
        <w:rPr>
          <w:i/>
          <w:lang w:val="en-US"/>
        </w:rPr>
        <w:t>Cummings v. Wingo</w:t>
      </w:r>
      <w:r w:rsidRPr="00FC2776">
        <w:rPr>
          <w:lang w:val="en-US"/>
        </w:rPr>
        <w:t>, 31 S.C. 427, 435</w:t>
      </w:r>
      <w:r w:rsidRPr="006E67FE">
        <w:rPr>
          <w:lang w:val="en-US"/>
        </w:rPr>
        <w:t xml:space="preserve"> = 10 S. E. </w:t>
      </w:r>
      <w:r w:rsidRPr="00FC2776">
        <w:rPr>
          <w:lang w:val="en-US"/>
        </w:rPr>
        <w:t>107</w:t>
      </w:r>
      <w:r>
        <w:rPr>
          <w:lang w:val="en-US"/>
        </w:rPr>
        <w:t xml:space="preserve">; </w:t>
      </w:r>
      <w:r w:rsidRPr="00584023">
        <w:rPr>
          <w:i/>
          <w:lang w:val="en-US"/>
        </w:rPr>
        <w:t>La Tourette v. McMaster</w:t>
      </w:r>
      <w:r w:rsidRPr="00FC2776">
        <w:rPr>
          <w:lang w:val="en-US"/>
        </w:rPr>
        <w:t>, 248 U.S. 465, 470</w:t>
      </w:r>
      <w:r w:rsidRPr="003B741A">
        <w:rPr>
          <w:lang w:val="en-US"/>
        </w:rPr>
        <w:t xml:space="preserve"> = 39 S. Ct</w:t>
      </w:r>
      <w:r w:rsidRPr="00FC2776">
        <w:rPr>
          <w:lang w:val="en-US"/>
        </w:rPr>
        <w:t>. 160, 162</w:t>
      </w:r>
      <w:r w:rsidRPr="003B741A">
        <w:rPr>
          <w:lang w:val="en-US"/>
        </w:rPr>
        <w:t xml:space="preserve"> = 63 L. Ed. </w:t>
      </w:r>
      <w:r w:rsidRPr="00FC2776">
        <w:rPr>
          <w:lang w:val="en-US"/>
        </w:rPr>
        <w:t>362, 365</w:t>
      </w:r>
      <w:r w:rsidRPr="003B741A">
        <w:rPr>
          <w:lang w:val="en-US"/>
        </w:rPr>
        <w:t xml:space="preserve"> = 1919 U.S. LEXIS </w:t>
      </w:r>
      <w:r w:rsidRPr="00FC2776">
        <w:rPr>
          <w:lang w:val="en-US"/>
        </w:rPr>
        <w:t>2274, 9 (1919)</w:t>
      </w:r>
      <w:r>
        <w:rPr>
          <w:lang w:val="en-US"/>
        </w:rPr>
        <w:t>.</w:t>
      </w:r>
    </w:p>
  </w:footnote>
  <w:footnote w:id="613">
    <w:p w14:paraId="5A21BD1A" w14:textId="77777777" w:rsidR="00074551" w:rsidRPr="00294BE3" w:rsidRDefault="00074551" w:rsidP="00074551">
      <w:pPr>
        <w:pStyle w:val="Funotentext"/>
        <w:rPr>
          <w:lang w:val="en-US"/>
        </w:rPr>
      </w:pPr>
      <w:r>
        <w:rPr>
          <w:rStyle w:val="Funotenzeichen"/>
        </w:rPr>
        <w:footnoteRef/>
      </w:r>
      <w:r w:rsidRPr="00294BE3">
        <w:rPr>
          <w:lang w:val="en-US"/>
        </w:rPr>
        <w:t xml:space="preserve"> </w:t>
      </w:r>
      <w:r w:rsidRPr="00B45592">
        <w:rPr>
          <w:lang w:val="en-IE"/>
        </w:rPr>
        <w:t xml:space="preserve">§ 15 des </w:t>
      </w:r>
      <w:r w:rsidRPr="00B45592">
        <w:rPr>
          <w:i/>
          <w:lang w:val="en-IE"/>
        </w:rPr>
        <w:t>Act of June 29, 1906</w:t>
      </w:r>
      <w:r w:rsidRPr="00294BE3">
        <w:rPr>
          <w:lang w:val="en-US"/>
        </w:rPr>
        <w:t xml:space="preserve"> (34 Stat. 601): </w:t>
      </w:r>
      <w:r>
        <w:rPr>
          <w:lang w:val="en-US"/>
        </w:rPr>
        <w:t xml:space="preserve">„SECTION </w:t>
      </w:r>
      <w:r w:rsidRPr="00294BE3">
        <w:rPr>
          <w:lang w:val="en-US"/>
        </w:rPr>
        <w:t xml:space="preserve">15. […] </w:t>
      </w:r>
      <w:r>
        <w:rPr>
          <w:lang w:val="en-US"/>
        </w:rPr>
        <w:t>,</w:t>
      </w:r>
      <w:r w:rsidRPr="00294BE3">
        <w:rPr>
          <w:lang w:val="en-US"/>
        </w:rPr>
        <w:t>If any alien who shall have secured a certificate of citizenship under the provisions of this Act shall, within five years after the issuance of such certificate, return to the country of his nativity, or go to any other foreign country, and take permanent residence therein, it shall be considered prima facie evidence of a lack of intention on the part of such alien to become a permanent citizen of the United States at the time of filing his application for citizenship, and, in the absence of countervailing evidence, it shall be sufficient in the proper proceeding to authorize the cancellation of his certificate of citizenship as fraudulent, and the diplomatic and consular officers of the United States in foreign countries shall from time to time, through the Department of State, furnish the Department of Justice with the names of those within their respective jurisdictions who have such certificates of citizenship and who have taken permanent residence in the country of their nativity, or in any other foreign country, and such statements, duly certified, shall be admissible in evidence in all courts in proceedings to cancel certificates of citizenship.</w:t>
      </w:r>
      <w:r>
        <w:rPr>
          <w:lang w:val="en-US"/>
        </w:rPr>
        <w:t>‘</w:t>
      </w:r>
      <w:r w:rsidRPr="00294BE3">
        <w:rPr>
          <w:lang w:val="en-US"/>
        </w:rPr>
        <w:t xml:space="preserve"> […] </w:t>
      </w:r>
      <w:r>
        <w:rPr>
          <w:lang w:val="en-US"/>
        </w:rPr>
        <w:t>,</w:t>
      </w:r>
      <w:r w:rsidRPr="00294BE3">
        <w:rPr>
          <w:lang w:val="en-US"/>
        </w:rPr>
        <w:t>The provisions of this section shall apply not only to certificates of citizenship issued under the provisions of this act, but to all certificates of citizenship which may have been issued heretofore by any court exercising jurisdiction in naturalization proceedings under prior laws.</w:t>
      </w:r>
      <w:r>
        <w:rPr>
          <w:lang w:val="en-US"/>
        </w:rPr>
        <w:t xml:space="preserve">‘“, </w:t>
      </w:r>
      <w:r w:rsidRPr="009167A5">
        <w:rPr>
          <w:i/>
          <w:lang w:val="en-IE"/>
        </w:rPr>
        <w:t>Luria v. United States</w:t>
      </w:r>
      <w:r w:rsidRPr="00B45592">
        <w:rPr>
          <w:lang w:val="en-IE"/>
        </w:rPr>
        <w:t>, 231 U.S. 9, 19–21</w:t>
      </w:r>
      <w:r w:rsidRPr="00EC5BEB">
        <w:rPr>
          <w:lang w:val="en-IE"/>
        </w:rPr>
        <w:t xml:space="preserve"> = 34 S. Ct. </w:t>
      </w:r>
      <w:r w:rsidRPr="00B45592">
        <w:rPr>
          <w:lang w:val="en-IE"/>
        </w:rPr>
        <w:t>10, 12</w:t>
      </w:r>
      <w:r w:rsidRPr="00EC5BEB">
        <w:rPr>
          <w:lang w:val="en-IE"/>
        </w:rPr>
        <w:t xml:space="preserve"> = 58 L. Ed. </w:t>
      </w:r>
      <w:r w:rsidRPr="00B45592">
        <w:rPr>
          <w:lang w:val="en-IE"/>
        </w:rPr>
        <w:t>101, 104–105</w:t>
      </w:r>
      <w:r w:rsidRPr="006E67FE">
        <w:rPr>
          <w:lang w:val="en-IE"/>
        </w:rPr>
        <w:t xml:space="preserve"> = 1913 U.S. LEXIS </w:t>
      </w:r>
      <w:r w:rsidRPr="00B45592">
        <w:rPr>
          <w:lang w:val="en-IE"/>
        </w:rPr>
        <w:t>2637, 19–21 (1913</w:t>
      </w:r>
      <w:r>
        <w:rPr>
          <w:lang w:val="en-US"/>
        </w:rPr>
        <w:t>).</w:t>
      </w:r>
    </w:p>
  </w:footnote>
  <w:footnote w:id="614">
    <w:p w14:paraId="5B6082BC" w14:textId="77777777" w:rsidR="00074551" w:rsidRPr="00294BE3" w:rsidRDefault="00074551" w:rsidP="00074551">
      <w:pPr>
        <w:pStyle w:val="Funotentext"/>
        <w:rPr>
          <w:lang w:val="en-US"/>
        </w:rPr>
      </w:pPr>
      <w:r>
        <w:rPr>
          <w:rStyle w:val="Funotenzeichen"/>
        </w:rPr>
        <w:footnoteRef/>
      </w:r>
      <w:r w:rsidRPr="00294BE3">
        <w:rPr>
          <w:lang w:val="en-US"/>
        </w:rPr>
        <w:t xml:space="preserve"> </w:t>
      </w:r>
      <w:r w:rsidRPr="009167A5">
        <w:rPr>
          <w:i/>
          <w:lang w:val="en-US"/>
        </w:rPr>
        <w:t>Luria v. United States</w:t>
      </w:r>
      <w:r w:rsidRPr="00294BE3">
        <w:rPr>
          <w:lang w:val="en-US"/>
        </w:rPr>
        <w:t>, 231 U.S. 9, 17</w:t>
      </w:r>
      <w:r w:rsidRPr="00EC5BEB">
        <w:rPr>
          <w:lang w:val="en-US"/>
        </w:rPr>
        <w:t xml:space="preserve"> = 34 S. Ct. </w:t>
      </w:r>
      <w:r w:rsidRPr="00294BE3">
        <w:rPr>
          <w:lang w:val="en-US"/>
        </w:rPr>
        <w:t>10, 11</w:t>
      </w:r>
      <w:r w:rsidRPr="00EC5BEB">
        <w:rPr>
          <w:lang w:val="en-US"/>
        </w:rPr>
        <w:t xml:space="preserve"> = 58 L. Ed. </w:t>
      </w:r>
      <w:r w:rsidRPr="00294BE3">
        <w:rPr>
          <w:lang w:val="en-US"/>
        </w:rPr>
        <w:t>101, 103</w:t>
      </w:r>
      <w:r w:rsidRPr="006E67FE">
        <w:rPr>
          <w:lang w:val="en-US"/>
        </w:rPr>
        <w:t xml:space="preserve"> = 1913 U.S. LEXIS </w:t>
      </w:r>
      <w:r w:rsidRPr="00294BE3">
        <w:rPr>
          <w:lang w:val="en-US"/>
        </w:rPr>
        <w:t>2637, 1 (1913)</w:t>
      </w:r>
      <w:r>
        <w:rPr>
          <w:lang w:val="en-US"/>
        </w:rPr>
        <w:t>.</w:t>
      </w:r>
    </w:p>
  </w:footnote>
  <w:footnote w:id="615">
    <w:p w14:paraId="20843C8B" w14:textId="77777777" w:rsidR="00074551" w:rsidRPr="00420A1F" w:rsidRDefault="00074551" w:rsidP="00074551">
      <w:pPr>
        <w:pStyle w:val="Funotentext"/>
        <w:rPr>
          <w:lang w:val="en-US"/>
        </w:rPr>
      </w:pPr>
      <w:r>
        <w:rPr>
          <w:rStyle w:val="Funotenzeichen"/>
        </w:rPr>
        <w:footnoteRef/>
      </w:r>
      <w:r w:rsidRPr="00420A1F">
        <w:rPr>
          <w:lang w:val="en-US"/>
        </w:rPr>
        <w:t xml:space="preserve"> </w:t>
      </w:r>
      <w:r w:rsidRPr="00B45592">
        <w:rPr>
          <w:i/>
          <w:lang w:val="en-US"/>
        </w:rPr>
        <w:t>Minor v. Happersett</w:t>
      </w:r>
      <w:r w:rsidRPr="00420A1F">
        <w:rPr>
          <w:lang w:val="en-US"/>
        </w:rPr>
        <w:t xml:space="preserve">, 21 Wall. 162, 165; </w:t>
      </w:r>
      <w:r w:rsidRPr="00B45592">
        <w:rPr>
          <w:i/>
          <w:lang w:val="en-US"/>
        </w:rPr>
        <w:t>Elk v. Wilkins</w:t>
      </w:r>
      <w:r w:rsidRPr="00420A1F">
        <w:rPr>
          <w:lang w:val="en-US"/>
        </w:rPr>
        <w:t xml:space="preserve">, 112 U.S. 94, 101; </w:t>
      </w:r>
      <w:r w:rsidRPr="00B45592">
        <w:rPr>
          <w:i/>
          <w:lang w:val="en-US"/>
        </w:rPr>
        <w:t>Osborn v. Bank</w:t>
      </w:r>
      <w:r>
        <w:rPr>
          <w:lang w:val="en-US"/>
        </w:rPr>
        <w:t xml:space="preserve">, 9 Wheat. </w:t>
      </w:r>
      <w:r w:rsidRPr="00420A1F">
        <w:rPr>
          <w:lang w:val="en-US"/>
        </w:rPr>
        <w:t>738, 827</w:t>
      </w:r>
      <w:r>
        <w:rPr>
          <w:lang w:val="en-US"/>
        </w:rPr>
        <w:t xml:space="preserve">; </w:t>
      </w:r>
      <w:r w:rsidRPr="009167A5">
        <w:rPr>
          <w:i/>
          <w:lang w:val="en-US"/>
        </w:rPr>
        <w:t>Luria v. United States</w:t>
      </w:r>
      <w:r w:rsidRPr="00420A1F">
        <w:rPr>
          <w:lang w:val="en-US"/>
        </w:rPr>
        <w:t>, 231 U.S. 9, 22</w:t>
      </w:r>
      <w:r w:rsidRPr="00EC5BEB">
        <w:rPr>
          <w:lang w:val="en-US"/>
        </w:rPr>
        <w:t xml:space="preserve"> = 34 S. Ct. </w:t>
      </w:r>
      <w:r w:rsidRPr="00420A1F">
        <w:rPr>
          <w:lang w:val="en-US"/>
        </w:rPr>
        <w:t>10, 13</w:t>
      </w:r>
      <w:r w:rsidRPr="00EC5BEB">
        <w:rPr>
          <w:lang w:val="en-US"/>
        </w:rPr>
        <w:t xml:space="preserve"> = 58 L. Ed. </w:t>
      </w:r>
      <w:r w:rsidRPr="00420A1F">
        <w:rPr>
          <w:lang w:val="en-US"/>
        </w:rPr>
        <w:t>101, 105</w:t>
      </w:r>
      <w:r w:rsidRPr="006E67FE">
        <w:rPr>
          <w:lang w:val="en-US"/>
        </w:rPr>
        <w:t xml:space="preserve"> = 1913 U.S. LEXIS </w:t>
      </w:r>
      <w:r w:rsidRPr="00420A1F">
        <w:rPr>
          <w:lang w:val="en-US"/>
        </w:rPr>
        <w:t>2637, 24 (1913)</w:t>
      </w:r>
      <w:r>
        <w:rPr>
          <w:lang w:val="en-US"/>
        </w:rPr>
        <w:t>.</w:t>
      </w:r>
    </w:p>
  </w:footnote>
  <w:footnote w:id="616">
    <w:p w14:paraId="0C135699" w14:textId="77777777" w:rsidR="00074551" w:rsidRPr="005A2ADA" w:rsidRDefault="00074551" w:rsidP="00074551">
      <w:pPr>
        <w:pStyle w:val="Funotentext"/>
        <w:rPr>
          <w:lang w:val="en-US"/>
        </w:rPr>
      </w:pPr>
      <w:r>
        <w:rPr>
          <w:rStyle w:val="Funotenzeichen"/>
        </w:rPr>
        <w:footnoteRef/>
      </w:r>
      <w:r w:rsidRPr="005A2ADA">
        <w:rPr>
          <w:lang w:val="en-US"/>
        </w:rPr>
        <w:t xml:space="preserve"> </w:t>
      </w:r>
      <w:r w:rsidRPr="009167A5">
        <w:rPr>
          <w:i/>
          <w:lang w:val="en-US"/>
        </w:rPr>
        <w:t>Luria v. United States</w:t>
      </w:r>
      <w:r w:rsidRPr="005A2ADA">
        <w:rPr>
          <w:lang w:val="en-US"/>
        </w:rPr>
        <w:t>, 231 U.S. 9, 23</w:t>
      </w:r>
      <w:r w:rsidRPr="00EC5BEB">
        <w:rPr>
          <w:lang w:val="en-US"/>
        </w:rPr>
        <w:t xml:space="preserve"> = 34 S. Ct. </w:t>
      </w:r>
      <w:r w:rsidRPr="005A2ADA">
        <w:rPr>
          <w:lang w:val="en-US"/>
        </w:rPr>
        <w:t>10, 13</w:t>
      </w:r>
      <w:r w:rsidRPr="00EC5BEB">
        <w:rPr>
          <w:lang w:val="en-US"/>
        </w:rPr>
        <w:t xml:space="preserve"> = 58 L. Ed. </w:t>
      </w:r>
      <w:r w:rsidRPr="005A2ADA">
        <w:rPr>
          <w:lang w:val="en-US"/>
        </w:rPr>
        <w:t>101, 105</w:t>
      </w:r>
      <w:r w:rsidRPr="006E67FE">
        <w:rPr>
          <w:lang w:val="en-US"/>
        </w:rPr>
        <w:t xml:space="preserve"> = 1913 U.S. LEXIS </w:t>
      </w:r>
      <w:r w:rsidRPr="005A2ADA">
        <w:rPr>
          <w:lang w:val="en-US"/>
        </w:rPr>
        <w:t>2637, 25 (1913)</w:t>
      </w:r>
      <w:r>
        <w:rPr>
          <w:lang w:val="en-US"/>
        </w:rPr>
        <w:t>.</w:t>
      </w:r>
    </w:p>
  </w:footnote>
  <w:footnote w:id="617">
    <w:p w14:paraId="5CEDE49A" w14:textId="77777777" w:rsidR="00074551" w:rsidRPr="00F46ED3" w:rsidRDefault="00074551" w:rsidP="00074551">
      <w:pPr>
        <w:pStyle w:val="Funotentext"/>
        <w:rPr>
          <w:lang w:val="en-US"/>
        </w:rPr>
      </w:pPr>
      <w:r>
        <w:rPr>
          <w:rStyle w:val="Funotenzeichen"/>
        </w:rPr>
        <w:footnoteRef/>
      </w:r>
      <w:r w:rsidRPr="00F46ED3">
        <w:rPr>
          <w:lang w:val="en-US"/>
        </w:rPr>
        <w:t xml:space="preserve"> </w:t>
      </w:r>
      <w:r>
        <w:rPr>
          <w:lang w:val="en-US"/>
        </w:rPr>
        <w:t>„</w:t>
      </w:r>
      <w:r w:rsidRPr="00F46ED3">
        <w:rPr>
          <w:lang w:val="en-US"/>
        </w:rPr>
        <w:t>(a) Concealment of material evidence; refusal to testify. It shall be the duty of the United States attorneys for the respective districts, upon affidavit showing good cause therefor, to institute proceedings in any district court of the United States in the judicial district in which the naturalized citizen may reside at the time of bringing suit, for the purpose of revoking and setting aside the order admitting such person to citizenship and canceling the certificate of naturalization on the ground that such order and certificate of naturalization were illegally procured or were procured by concealment of a material fact or by willful misrepresentation, and such revocation and setting aside of the order admitting such person to citizenship and such canceling of certificate of naturalization shall be effective as of the original date of the order and certificate, respectively: Provided, That refusal on the part of a naturalized citizen within a period of ten years following his naturalization to testify as a witness in any proceeding before a congressional committee concerning his subversive activities, in a case where such person has been convicted of contempt for such refusal, shall be held to constitute a ground for revocation of such person</w:t>
      </w:r>
      <w:r>
        <w:rPr>
          <w:lang w:val="en-US"/>
        </w:rPr>
        <w:t>’</w:t>
      </w:r>
      <w:r w:rsidRPr="00F46ED3">
        <w:rPr>
          <w:lang w:val="en-US"/>
        </w:rPr>
        <w:t xml:space="preserve">s naturalization under this subsection as having been procured by concealment of a material fact or by willful misrepresentation. If the naturalized citizen does not reside in any judicial district in the United States at the time of bringing such suit, the proceedings may be instituted in the United States District Court for the District of Columbia or in the United States district court in the judicial district in which such person last had his </w:t>
      </w:r>
      <w:proofErr w:type="gramStart"/>
      <w:r w:rsidRPr="00F46ED3">
        <w:rPr>
          <w:lang w:val="en-US"/>
        </w:rPr>
        <w:t>residence</w:t>
      </w:r>
      <w:r>
        <w:rPr>
          <w:lang w:val="en-US"/>
        </w:rPr>
        <w:t>“</w:t>
      </w:r>
      <w:proofErr w:type="gramEnd"/>
      <w:r>
        <w:rPr>
          <w:lang w:val="en-US"/>
        </w:rPr>
        <w:t xml:space="preserve">, </w:t>
      </w:r>
      <w:r w:rsidRPr="00F46ED3">
        <w:rPr>
          <w:lang w:val="en-US"/>
        </w:rPr>
        <w:t xml:space="preserve">8 USCS </w:t>
      </w:r>
      <w:r>
        <w:rPr>
          <w:lang w:val="en-US"/>
        </w:rPr>
        <w:t>§ </w:t>
      </w:r>
      <w:r w:rsidRPr="00F46ED3">
        <w:rPr>
          <w:lang w:val="en-US"/>
        </w:rPr>
        <w:t>1451</w:t>
      </w:r>
      <w:r>
        <w:rPr>
          <w:lang w:val="en-US"/>
        </w:rPr>
        <w:t>.</w:t>
      </w:r>
    </w:p>
  </w:footnote>
  <w:footnote w:id="618">
    <w:p w14:paraId="2D67CA8D" w14:textId="77777777" w:rsidR="00074551" w:rsidRPr="00F46ED3" w:rsidRDefault="00074551" w:rsidP="00074551">
      <w:pPr>
        <w:pStyle w:val="Funotentext"/>
        <w:rPr>
          <w:lang w:val="en-US"/>
        </w:rPr>
      </w:pPr>
      <w:r>
        <w:rPr>
          <w:rStyle w:val="Funotenzeichen"/>
        </w:rPr>
        <w:footnoteRef/>
      </w:r>
      <w:r w:rsidRPr="00F46ED3">
        <w:rPr>
          <w:lang w:val="en-US"/>
        </w:rPr>
        <w:t xml:space="preserve"> </w:t>
      </w:r>
      <w:r w:rsidRPr="009167A5">
        <w:rPr>
          <w:i/>
          <w:lang w:val="en-US"/>
        </w:rPr>
        <w:t>United States v. Zucca</w:t>
      </w:r>
      <w:r w:rsidRPr="00F46ED3">
        <w:rPr>
          <w:lang w:val="en-US"/>
        </w:rPr>
        <w:t>, 351 U.S. 91, 91</w:t>
      </w:r>
      <w:r w:rsidRPr="006E67FE">
        <w:rPr>
          <w:lang w:val="en-US"/>
        </w:rPr>
        <w:t xml:space="preserve"> = 76 S. Ct. </w:t>
      </w:r>
      <w:r w:rsidRPr="00F46ED3">
        <w:rPr>
          <w:lang w:val="en-US"/>
        </w:rPr>
        <w:t>671, 672</w:t>
      </w:r>
      <w:r w:rsidRPr="006E67FE">
        <w:rPr>
          <w:lang w:val="en-US"/>
        </w:rPr>
        <w:t xml:space="preserve"> = 100 L. Ed. </w:t>
      </w:r>
      <w:r w:rsidRPr="00F46ED3">
        <w:rPr>
          <w:lang w:val="en-US"/>
        </w:rPr>
        <w:t>964, 968</w:t>
      </w:r>
      <w:r w:rsidRPr="006E67FE">
        <w:rPr>
          <w:lang w:val="en-US"/>
        </w:rPr>
        <w:t xml:space="preserve"> = 1956 U.S. LEXIS </w:t>
      </w:r>
      <w:r w:rsidRPr="00F46ED3">
        <w:rPr>
          <w:lang w:val="en-US"/>
        </w:rPr>
        <w:t>1038, 1 (1956)</w:t>
      </w:r>
      <w:r>
        <w:rPr>
          <w:lang w:val="en-US"/>
        </w:rPr>
        <w:t>.</w:t>
      </w:r>
    </w:p>
  </w:footnote>
  <w:footnote w:id="619">
    <w:p w14:paraId="01D25E90" w14:textId="77777777" w:rsidR="00074551" w:rsidRPr="004A3CBF" w:rsidRDefault="00074551" w:rsidP="00074551">
      <w:pPr>
        <w:pStyle w:val="Funotentext"/>
        <w:rPr>
          <w:lang w:val="en-US"/>
        </w:rPr>
      </w:pPr>
      <w:r>
        <w:rPr>
          <w:rStyle w:val="Funotenzeichen"/>
        </w:rPr>
        <w:footnoteRef/>
      </w:r>
      <w:r w:rsidRPr="004A3CBF">
        <w:rPr>
          <w:lang w:val="en-US"/>
        </w:rPr>
        <w:t xml:space="preserve"> </w:t>
      </w:r>
      <w:r w:rsidRPr="009167A5">
        <w:rPr>
          <w:i/>
          <w:lang w:val="en-US"/>
        </w:rPr>
        <w:t>United States v. Zucca</w:t>
      </w:r>
      <w:r w:rsidRPr="004A3CBF">
        <w:rPr>
          <w:lang w:val="en-US"/>
        </w:rPr>
        <w:t>, 351 U.S. 91, 94</w:t>
      </w:r>
      <w:r w:rsidRPr="006E67FE">
        <w:rPr>
          <w:lang w:val="en-US"/>
        </w:rPr>
        <w:t xml:space="preserve"> = 76 S. Ct. </w:t>
      </w:r>
      <w:r w:rsidRPr="004A3CBF">
        <w:rPr>
          <w:lang w:val="en-US"/>
        </w:rPr>
        <w:t>671, 673</w:t>
      </w:r>
      <w:r w:rsidRPr="006E67FE">
        <w:rPr>
          <w:lang w:val="en-US"/>
        </w:rPr>
        <w:t xml:space="preserve"> = 100 L. Ed. </w:t>
      </w:r>
      <w:r w:rsidRPr="004A3CBF">
        <w:rPr>
          <w:lang w:val="en-US"/>
        </w:rPr>
        <w:t>964, 969</w:t>
      </w:r>
      <w:r w:rsidRPr="006E67FE">
        <w:rPr>
          <w:lang w:val="en-US"/>
        </w:rPr>
        <w:t xml:space="preserve"> = 1956 U.S. LEXIS </w:t>
      </w:r>
      <w:r w:rsidRPr="004A3CBF">
        <w:rPr>
          <w:lang w:val="en-US"/>
        </w:rPr>
        <w:t>1038, 5 (1956)</w:t>
      </w:r>
      <w:r>
        <w:rPr>
          <w:lang w:val="en-US"/>
        </w:rPr>
        <w:t>.</w:t>
      </w:r>
    </w:p>
  </w:footnote>
  <w:footnote w:id="620">
    <w:p w14:paraId="7E827DE5" w14:textId="77777777" w:rsidR="00074551" w:rsidRPr="004A3CBF" w:rsidRDefault="00074551" w:rsidP="00074551">
      <w:pPr>
        <w:pStyle w:val="Funotentext"/>
        <w:rPr>
          <w:lang w:val="en-US"/>
        </w:rPr>
      </w:pPr>
      <w:r>
        <w:rPr>
          <w:rStyle w:val="Funotenzeichen"/>
        </w:rPr>
        <w:footnoteRef/>
      </w:r>
      <w:r w:rsidRPr="004A3CBF">
        <w:rPr>
          <w:lang w:val="en-US"/>
        </w:rPr>
        <w:t xml:space="preserve"> </w:t>
      </w:r>
      <w:r w:rsidRPr="009167A5">
        <w:rPr>
          <w:i/>
          <w:lang w:val="en-US"/>
        </w:rPr>
        <w:t>United States v. Zucca</w:t>
      </w:r>
      <w:r w:rsidRPr="004A3CBF">
        <w:rPr>
          <w:lang w:val="en-US"/>
        </w:rPr>
        <w:t>, 351 U.S. 91, 94</w:t>
      </w:r>
      <w:r w:rsidRPr="006E67FE">
        <w:rPr>
          <w:lang w:val="en-US"/>
        </w:rPr>
        <w:t xml:space="preserve"> = 76 S. Ct. </w:t>
      </w:r>
      <w:r w:rsidRPr="004A3CBF">
        <w:rPr>
          <w:lang w:val="en-US"/>
        </w:rPr>
        <w:t>671, 673</w:t>
      </w:r>
      <w:r w:rsidRPr="006E67FE">
        <w:rPr>
          <w:lang w:val="en-US"/>
        </w:rPr>
        <w:t xml:space="preserve"> = 100 L. Ed. </w:t>
      </w:r>
      <w:r w:rsidRPr="004A3CBF">
        <w:rPr>
          <w:lang w:val="en-US"/>
        </w:rPr>
        <w:t>964, 969</w:t>
      </w:r>
      <w:r w:rsidRPr="006E67FE">
        <w:rPr>
          <w:lang w:val="en-US"/>
        </w:rPr>
        <w:t xml:space="preserve"> = 1956 U.S. LEXIS </w:t>
      </w:r>
      <w:r w:rsidRPr="004A3CBF">
        <w:rPr>
          <w:lang w:val="en-US"/>
        </w:rPr>
        <w:t>1038, 5 (1956)</w:t>
      </w:r>
      <w:r>
        <w:rPr>
          <w:lang w:val="en-US"/>
        </w:rPr>
        <w:t>.</w:t>
      </w:r>
    </w:p>
  </w:footnote>
  <w:footnote w:id="621">
    <w:p w14:paraId="6F24B440" w14:textId="77777777" w:rsidR="00074551" w:rsidRPr="004A3CBF" w:rsidRDefault="00074551" w:rsidP="00074551">
      <w:pPr>
        <w:pStyle w:val="Funotentext"/>
        <w:rPr>
          <w:lang w:val="en-US"/>
        </w:rPr>
      </w:pPr>
      <w:r>
        <w:rPr>
          <w:rStyle w:val="Funotenzeichen"/>
        </w:rPr>
        <w:footnoteRef/>
      </w:r>
      <w:r w:rsidRPr="004A3CBF">
        <w:rPr>
          <w:lang w:val="en-US"/>
        </w:rPr>
        <w:t xml:space="preserve"> </w:t>
      </w:r>
      <w:r w:rsidRPr="009167A5">
        <w:rPr>
          <w:i/>
          <w:lang w:val="en-US"/>
        </w:rPr>
        <w:t>United States v. Zucca</w:t>
      </w:r>
      <w:r w:rsidRPr="004A3CBF">
        <w:rPr>
          <w:lang w:val="en-US"/>
        </w:rPr>
        <w:t>, 351 U.S. 91, 94</w:t>
      </w:r>
      <w:r w:rsidRPr="006E67FE">
        <w:rPr>
          <w:lang w:val="en-US"/>
        </w:rPr>
        <w:t xml:space="preserve"> = 76 S. Ct. </w:t>
      </w:r>
      <w:r w:rsidRPr="004A3CBF">
        <w:rPr>
          <w:lang w:val="en-US"/>
        </w:rPr>
        <w:t>671, 673</w:t>
      </w:r>
      <w:r w:rsidRPr="006E67FE">
        <w:rPr>
          <w:lang w:val="en-US"/>
        </w:rPr>
        <w:t xml:space="preserve"> = 100 L. Ed. </w:t>
      </w:r>
      <w:r w:rsidRPr="004A3CBF">
        <w:rPr>
          <w:lang w:val="en-US"/>
        </w:rPr>
        <w:t>964, 969</w:t>
      </w:r>
      <w:r w:rsidRPr="006E67FE">
        <w:rPr>
          <w:lang w:val="en-US"/>
        </w:rPr>
        <w:t xml:space="preserve"> = 1956 U.S. LEXIS </w:t>
      </w:r>
      <w:r w:rsidRPr="004A3CBF">
        <w:rPr>
          <w:lang w:val="en-US"/>
        </w:rPr>
        <w:t>1038, 5 (1956)</w:t>
      </w:r>
      <w:r>
        <w:rPr>
          <w:lang w:val="en-US"/>
        </w:rPr>
        <w:t>.</w:t>
      </w:r>
    </w:p>
  </w:footnote>
  <w:footnote w:id="622">
    <w:p w14:paraId="6E23E7F8" w14:textId="77777777" w:rsidR="00074551" w:rsidRPr="00A70DB3" w:rsidRDefault="00074551" w:rsidP="00074551">
      <w:pPr>
        <w:pStyle w:val="Funotentext"/>
        <w:rPr>
          <w:lang w:val="en-US"/>
        </w:rPr>
      </w:pPr>
      <w:r>
        <w:rPr>
          <w:rStyle w:val="Funotenzeichen"/>
        </w:rPr>
        <w:footnoteRef/>
      </w:r>
      <w:r w:rsidRPr="00A70DB3">
        <w:rPr>
          <w:lang w:val="en-US"/>
        </w:rPr>
        <w:t xml:space="preserve"> </w:t>
      </w:r>
      <w:r>
        <w:rPr>
          <w:lang w:val="en-US"/>
        </w:rPr>
        <w:t>„</w:t>
      </w:r>
      <w:r w:rsidRPr="00A70DB3">
        <w:rPr>
          <w:lang w:val="en-US"/>
        </w:rPr>
        <w:t>There exists a world Communist movement which, in its origins, its development, and its present practice, is a world-wide revolutionary movement whose purpose it is, by treachery, deceit, infiltration into other groups (governmental and otherwise), espionage, sabotage, terrorism, and any other means deemed necessary, to establish a Communist totalitarian dictatorship in the countries throughout the world through the medium of a world-wide Communist organization.</w:t>
      </w:r>
      <w:r>
        <w:rPr>
          <w:lang w:val="en-US"/>
        </w:rPr>
        <w:t xml:space="preserve">“, </w:t>
      </w:r>
      <w:r w:rsidRPr="009167A5">
        <w:rPr>
          <w:i/>
          <w:lang w:val="en-US"/>
        </w:rPr>
        <w:t>Communist Party of United States v. Subversive Activities Control Bd.</w:t>
      </w:r>
      <w:r w:rsidRPr="00A70DB3">
        <w:rPr>
          <w:lang w:val="en-US"/>
        </w:rPr>
        <w:t>, 367 U.S. 1, 5</w:t>
      </w:r>
      <w:r w:rsidRPr="006E67FE">
        <w:rPr>
          <w:lang w:val="en-US"/>
        </w:rPr>
        <w:t xml:space="preserve"> = 81 S. Ct. </w:t>
      </w:r>
      <w:r w:rsidRPr="00A70DB3">
        <w:rPr>
          <w:lang w:val="en-US"/>
        </w:rPr>
        <w:t>1357, 1363</w:t>
      </w:r>
      <w:r>
        <w:rPr>
          <w:lang w:val="en-US"/>
        </w:rPr>
        <w:t xml:space="preserve"> = 6 L. Ed. </w:t>
      </w:r>
      <w:r w:rsidRPr="00A70DB3">
        <w:rPr>
          <w:lang w:val="en-US"/>
        </w:rPr>
        <w:t>2d 625, 637</w:t>
      </w:r>
      <w:r w:rsidRPr="006E67FE">
        <w:rPr>
          <w:lang w:val="en-US"/>
        </w:rPr>
        <w:t xml:space="preserve"> = 1961 U.S. LEXIS </w:t>
      </w:r>
      <w:r w:rsidRPr="00A70DB3">
        <w:rPr>
          <w:lang w:val="en-US"/>
        </w:rPr>
        <w:t>1934, 8</w:t>
      </w:r>
      <w:r>
        <w:rPr>
          <w:lang w:val="en-US"/>
        </w:rPr>
        <w:t>–</w:t>
      </w:r>
      <w:r w:rsidRPr="00A70DB3">
        <w:rPr>
          <w:lang w:val="en-US"/>
        </w:rPr>
        <w:t>9 (1961)</w:t>
      </w:r>
      <w:r>
        <w:rPr>
          <w:lang w:val="en-US"/>
        </w:rPr>
        <w:t>.</w:t>
      </w:r>
    </w:p>
  </w:footnote>
  <w:footnote w:id="623">
    <w:p w14:paraId="72870482" w14:textId="77777777" w:rsidR="00074551" w:rsidRPr="00A70DB3" w:rsidRDefault="00074551" w:rsidP="00074551">
      <w:pPr>
        <w:pStyle w:val="Funotentext"/>
        <w:rPr>
          <w:lang w:val="en-US"/>
        </w:rPr>
      </w:pPr>
      <w:r>
        <w:rPr>
          <w:rStyle w:val="Funotenzeichen"/>
        </w:rPr>
        <w:footnoteRef/>
      </w:r>
      <w:r w:rsidRPr="00A70DB3">
        <w:rPr>
          <w:lang w:val="en-US"/>
        </w:rPr>
        <w:t xml:space="preserve"> </w:t>
      </w:r>
      <w:r>
        <w:rPr>
          <w:lang w:val="en-US"/>
        </w:rPr>
        <w:t>„</w:t>
      </w:r>
      <w:r w:rsidRPr="00A70DB3">
        <w:rPr>
          <w:lang w:val="en-US"/>
        </w:rPr>
        <w:t xml:space="preserve">Communist-action organization is defined by </w:t>
      </w:r>
      <w:r>
        <w:rPr>
          <w:lang w:val="en-US"/>
        </w:rPr>
        <w:t>§ </w:t>
      </w:r>
      <w:r w:rsidRPr="00A70DB3">
        <w:rPr>
          <w:lang w:val="en-US"/>
        </w:rPr>
        <w:t xml:space="preserve">3(3) of the Subversive Activities Control Act, 50 U.S.C.S. </w:t>
      </w:r>
      <w:r>
        <w:rPr>
          <w:lang w:val="en-US"/>
        </w:rPr>
        <w:t>§ </w:t>
      </w:r>
      <w:r w:rsidRPr="00A70DB3">
        <w:rPr>
          <w:lang w:val="en-US"/>
        </w:rPr>
        <w:t>781as (a) any organization in the United States (other than a diplomatic representative or mission of a foreign government accredited as such by the Department of State) which (</w:t>
      </w:r>
      <w:proofErr w:type="spellStart"/>
      <w:r w:rsidRPr="00A70DB3">
        <w:rPr>
          <w:lang w:val="en-US"/>
        </w:rPr>
        <w:t>i</w:t>
      </w:r>
      <w:proofErr w:type="spellEnd"/>
      <w:r w:rsidRPr="00A70DB3">
        <w:rPr>
          <w:lang w:val="en-US"/>
        </w:rPr>
        <w:t>) is substantially directed, dominated, or controlled by the foreign government or foreign organization controlling the world Communist movement referred to in section 2 of this title, and (ii) operates primarily to advance the objectives of such world Communist movement as referred to in section 2 of this title; and (b) any section, branch, fraction, or cell of any organization defined in subparagraph (a) of this paragraph which has not complied with the registration requirements of this title</w:t>
      </w:r>
      <w:r>
        <w:rPr>
          <w:lang w:val="en-US"/>
        </w:rPr>
        <w:t xml:space="preserve">.“, </w:t>
      </w:r>
      <w:r w:rsidRPr="009167A5">
        <w:rPr>
          <w:i/>
          <w:lang w:val="en-US"/>
        </w:rPr>
        <w:t>Communist Party of United States v. Subversive Activities Control Bd.</w:t>
      </w:r>
      <w:r w:rsidRPr="00A70DB3">
        <w:rPr>
          <w:lang w:val="en-US"/>
        </w:rPr>
        <w:t>, 367 U.S. 1, 4</w:t>
      </w:r>
      <w:r w:rsidRPr="006E67FE">
        <w:rPr>
          <w:lang w:val="en-US"/>
        </w:rPr>
        <w:t xml:space="preserve"> = 81 S. Ct. </w:t>
      </w:r>
      <w:r w:rsidRPr="00A70DB3">
        <w:rPr>
          <w:lang w:val="en-US"/>
        </w:rPr>
        <w:t>1357, 1363</w:t>
      </w:r>
      <w:r>
        <w:rPr>
          <w:lang w:val="en-US"/>
        </w:rPr>
        <w:t xml:space="preserve"> = 6 L. Ed. </w:t>
      </w:r>
      <w:r w:rsidRPr="00A70DB3">
        <w:rPr>
          <w:lang w:val="en-US"/>
        </w:rPr>
        <w:t>2d 625, 636</w:t>
      </w:r>
      <w:r w:rsidRPr="006E67FE">
        <w:rPr>
          <w:lang w:val="en-US"/>
        </w:rPr>
        <w:t xml:space="preserve"> = 1961 U.S. LEXIS </w:t>
      </w:r>
      <w:r w:rsidRPr="00A70DB3">
        <w:rPr>
          <w:lang w:val="en-US"/>
        </w:rPr>
        <w:t>1934, 1 (1961)</w:t>
      </w:r>
      <w:r>
        <w:rPr>
          <w:lang w:val="en-US"/>
        </w:rPr>
        <w:t>.</w:t>
      </w:r>
    </w:p>
  </w:footnote>
  <w:footnote w:id="624">
    <w:p w14:paraId="40C4F353" w14:textId="77777777" w:rsidR="00074551" w:rsidRPr="009B07CB" w:rsidRDefault="00074551" w:rsidP="00074551">
      <w:pPr>
        <w:pStyle w:val="Funotentext"/>
        <w:rPr>
          <w:lang w:val="en-US"/>
        </w:rPr>
      </w:pPr>
      <w:r>
        <w:rPr>
          <w:rStyle w:val="Funotenzeichen"/>
        </w:rPr>
        <w:footnoteRef/>
      </w:r>
      <w:r w:rsidRPr="009B07CB">
        <w:rPr>
          <w:lang w:val="en-US"/>
        </w:rPr>
        <w:t xml:space="preserve"> </w:t>
      </w:r>
      <w:r w:rsidRPr="009167A5">
        <w:rPr>
          <w:i/>
          <w:lang w:val="en-US"/>
        </w:rPr>
        <w:t>Communist Party of United States v. Subversive Activities Control Bd.</w:t>
      </w:r>
      <w:r w:rsidRPr="009B07CB">
        <w:rPr>
          <w:lang w:val="en-US"/>
        </w:rPr>
        <w:t>, 367 U.S. 1, 4</w:t>
      </w:r>
      <w:r w:rsidRPr="006E67FE">
        <w:rPr>
          <w:lang w:val="en-US"/>
        </w:rPr>
        <w:t xml:space="preserve"> = 81 S. Ct. </w:t>
      </w:r>
      <w:r w:rsidRPr="009B07CB">
        <w:rPr>
          <w:lang w:val="en-US"/>
        </w:rPr>
        <w:t>1357, 1363</w:t>
      </w:r>
      <w:r>
        <w:rPr>
          <w:lang w:val="en-US"/>
        </w:rPr>
        <w:t xml:space="preserve"> = 6 L. Ed. </w:t>
      </w:r>
      <w:r w:rsidRPr="009B07CB">
        <w:rPr>
          <w:lang w:val="en-US"/>
        </w:rPr>
        <w:t>2d 625, 636</w:t>
      </w:r>
      <w:r w:rsidRPr="006E67FE">
        <w:rPr>
          <w:lang w:val="en-US"/>
        </w:rPr>
        <w:t xml:space="preserve"> = 1961 U.S. LEXIS </w:t>
      </w:r>
      <w:r w:rsidRPr="009B07CB">
        <w:rPr>
          <w:lang w:val="en-US"/>
        </w:rPr>
        <w:t>1934, 1 (1961)</w:t>
      </w:r>
      <w:r>
        <w:rPr>
          <w:lang w:val="en-US"/>
        </w:rPr>
        <w:t>.</w:t>
      </w:r>
    </w:p>
  </w:footnote>
  <w:footnote w:id="625">
    <w:p w14:paraId="5EB799FB" w14:textId="77777777" w:rsidR="00074551" w:rsidRPr="00A70DB3" w:rsidRDefault="00074551" w:rsidP="00074551">
      <w:pPr>
        <w:pStyle w:val="Funotentext"/>
        <w:rPr>
          <w:lang w:val="en-US"/>
        </w:rPr>
      </w:pPr>
      <w:r>
        <w:rPr>
          <w:rStyle w:val="Funotenzeichen"/>
        </w:rPr>
        <w:footnoteRef/>
      </w:r>
      <w:r w:rsidRPr="00A70DB3">
        <w:rPr>
          <w:lang w:val="en-US"/>
        </w:rPr>
        <w:t xml:space="preserve"> </w:t>
      </w:r>
      <w:r w:rsidRPr="009167A5">
        <w:rPr>
          <w:i/>
          <w:lang w:val="en-US"/>
        </w:rPr>
        <w:t>Communist Party of United States v. Subversive Activities Control Bd.</w:t>
      </w:r>
      <w:r w:rsidRPr="00A70DB3">
        <w:rPr>
          <w:lang w:val="en-US"/>
        </w:rPr>
        <w:t>, 367 U.S. 1, 4</w:t>
      </w:r>
      <w:r w:rsidRPr="006E67FE">
        <w:rPr>
          <w:lang w:val="en-US"/>
        </w:rPr>
        <w:t xml:space="preserve"> = 81 S. Ct. </w:t>
      </w:r>
      <w:r w:rsidRPr="00A70DB3">
        <w:rPr>
          <w:lang w:val="en-US"/>
        </w:rPr>
        <w:t>1357, 1363</w:t>
      </w:r>
      <w:r>
        <w:rPr>
          <w:lang w:val="en-US"/>
        </w:rPr>
        <w:t xml:space="preserve"> = 6 L. Ed. </w:t>
      </w:r>
      <w:r w:rsidRPr="00A70DB3">
        <w:rPr>
          <w:lang w:val="en-US"/>
        </w:rPr>
        <w:t>2d 625, 636</w:t>
      </w:r>
      <w:r w:rsidRPr="006E67FE">
        <w:rPr>
          <w:lang w:val="en-US"/>
        </w:rPr>
        <w:t xml:space="preserve"> = 1961 U.S. LEXIS </w:t>
      </w:r>
      <w:r w:rsidRPr="00A70DB3">
        <w:rPr>
          <w:lang w:val="en-US"/>
        </w:rPr>
        <w:t>1934, 1 (1961)</w:t>
      </w:r>
      <w:r>
        <w:rPr>
          <w:lang w:val="en-US"/>
        </w:rPr>
        <w:t>.</w:t>
      </w:r>
    </w:p>
  </w:footnote>
  <w:footnote w:id="626">
    <w:p w14:paraId="449B226D" w14:textId="77777777" w:rsidR="00074551" w:rsidRPr="00C3209E" w:rsidRDefault="00074551" w:rsidP="00074551">
      <w:pPr>
        <w:pStyle w:val="Funotentext"/>
        <w:rPr>
          <w:lang w:val="en-US"/>
        </w:rPr>
      </w:pPr>
      <w:r>
        <w:rPr>
          <w:rStyle w:val="Funotenzeichen"/>
        </w:rPr>
        <w:footnoteRef/>
      </w:r>
      <w:r w:rsidRPr="00C3209E">
        <w:rPr>
          <w:lang w:val="en-US"/>
        </w:rPr>
        <w:t xml:space="preserve"> </w:t>
      </w:r>
      <w:r w:rsidRPr="009167A5">
        <w:rPr>
          <w:i/>
          <w:lang w:val="en-US"/>
        </w:rPr>
        <w:t>Communist Party of United States v. Subversive Activities Control Bd.</w:t>
      </w:r>
      <w:r w:rsidRPr="00C3209E">
        <w:rPr>
          <w:lang w:val="en-US"/>
        </w:rPr>
        <w:t>, 367 U.S. 1, 18</w:t>
      </w:r>
      <w:r w:rsidRPr="006E67FE">
        <w:rPr>
          <w:lang w:val="en-US"/>
        </w:rPr>
        <w:t xml:space="preserve"> = 81 S. Ct. </w:t>
      </w:r>
      <w:r w:rsidRPr="00C3209E">
        <w:rPr>
          <w:lang w:val="en-US"/>
        </w:rPr>
        <w:t>1357, 1370</w:t>
      </w:r>
      <w:r>
        <w:rPr>
          <w:lang w:val="en-US"/>
        </w:rPr>
        <w:t xml:space="preserve"> = 6 L. Ed. </w:t>
      </w:r>
      <w:r w:rsidRPr="00C3209E">
        <w:rPr>
          <w:lang w:val="en-US"/>
        </w:rPr>
        <w:t>2d 625, 644</w:t>
      </w:r>
      <w:r w:rsidRPr="006E67FE">
        <w:rPr>
          <w:lang w:val="en-US"/>
        </w:rPr>
        <w:t xml:space="preserve"> = 1961 U.S. LEXIS </w:t>
      </w:r>
      <w:r w:rsidRPr="00C3209E">
        <w:rPr>
          <w:lang w:val="en-US"/>
        </w:rPr>
        <w:t>1934, 30 (1961)</w:t>
      </w:r>
      <w:r>
        <w:rPr>
          <w:lang w:val="en-US"/>
        </w:rPr>
        <w:t>.</w:t>
      </w:r>
    </w:p>
  </w:footnote>
  <w:footnote w:id="627">
    <w:p w14:paraId="0E848D30" w14:textId="77777777" w:rsidR="00074551" w:rsidRPr="005768F5" w:rsidRDefault="00074551" w:rsidP="00074551">
      <w:pPr>
        <w:pStyle w:val="Funotentext"/>
        <w:rPr>
          <w:lang w:val="en-US"/>
        </w:rPr>
      </w:pPr>
      <w:r>
        <w:rPr>
          <w:rStyle w:val="Funotenzeichen"/>
        </w:rPr>
        <w:footnoteRef/>
      </w:r>
      <w:r w:rsidRPr="005768F5">
        <w:rPr>
          <w:lang w:val="en-US"/>
        </w:rPr>
        <w:t xml:space="preserve"> </w:t>
      </w:r>
      <w:r>
        <w:rPr>
          <w:lang w:val="en-US"/>
        </w:rPr>
        <w:t>§ </w:t>
      </w:r>
      <w:r w:rsidRPr="005768F5">
        <w:rPr>
          <w:lang w:val="en-US"/>
        </w:rPr>
        <w:t xml:space="preserve">338 (a): </w:t>
      </w:r>
      <w:r>
        <w:rPr>
          <w:lang w:val="en-US"/>
        </w:rPr>
        <w:t>„</w:t>
      </w:r>
      <w:r w:rsidRPr="005768F5">
        <w:rPr>
          <w:lang w:val="en-US"/>
        </w:rPr>
        <w:t>It shall be the duty of the United States district attorneys for the respective districts, upon affidavit showing good cause therefor, to institute proceedings . . . for the purpose of revoking and setting aside the order admitting such person to citizenship and canceling the certificate of naturalization on the ground of fraud or on the ground that such order and certificate of naturalization were illegally procured.</w:t>
      </w:r>
      <w:r>
        <w:rPr>
          <w:lang w:val="en-US"/>
        </w:rPr>
        <w:t xml:space="preserve">“, in </w:t>
      </w:r>
      <w:r w:rsidRPr="009167A5">
        <w:rPr>
          <w:i/>
          <w:lang w:val="en-US"/>
        </w:rPr>
        <w:t>Baumgartner v. United States</w:t>
      </w:r>
      <w:r w:rsidRPr="005768F5">
        <w:rPr>
          <w:lang w:val="en-US"/>
        </w:rPr>
        <w:t>, 322 U.S. 665, 666</w:t>
      </w:r>
      <w:r w:rsidRPr="006E67FE">
        <w:rPr>
          <w:lang w:val="en-US"/>
        </w:rPr>
        <w:t xml:space="preserve"> = 64 S. Ct. </w:t>
      </w:r>
      <w:r w:rsidRPr="005768F5">
        <w:rPr>
          <w:lang w:val="en-US"/>
        </w:rPr>
        <w:t>1240, 1241</w:t>
      </w:r>
      <w:r w:rsidRPr="006E67FE">
        <w:rPr>
          <w:lang w:val="en-US"/>
        </w:rPr>
        <w:t xml:space="preserve"> = 88 L. Ed. </w:t>
      </w:r>
      <w:r w:rsidRPr="005768F5">
        <w:rPr>
          <w:lang w:val="en-US"/>
        </w:rPr>
        <w:t>1525, 1527</w:t>
      </w:r>
      <w:r w:rsidRPr="006E67FE">
        <w:rPr>
          <w:lang w:val="en-US"/>
        </w:rPr>
        <w:t xml:space="preserve"> = 1944 U.S. LEXIS </w:t>
      </w:r>
      <w:r w:rsidRPr="005768F5">
        <w:rPr>
          <w:lang w:val="en-US"/>
        </w:rPr>
        <w:t>1209, 3 (1944)</w:t>
      </w:r>
      <w:r>
        <w:rPr>
          <w:lang w:val="en-US"/>
        </w:rPr>
        <w:t>.</w:t>
      </w:r>
    </w:p>
  </w:footnote>
  <w:footnote w:id="628">
    <w:p w14:paraId="0E2918E5" w14:textId="77777777" w:rsidR="00074551" w:rsidRPr="005768F5" w:rsidRDefault="00074551" w:rsidP="00074551">
      <w:pPr>
        <w:pStyle w:val="Funotentext"/>
        <w:rPr>
          <w:lang w:val="en-US"/>
        </w:rPr>
      </w:pPr>
      <w:r>
        <w:rPr>
          <w:rStyle w:val="Funotenzeichen"/>
        </w:rPr>
        <w:footnoteRef/>
      </w:r>
      <w:r w:rsidRPr="005768F5">
        <w:rPr>
          <w:lang w:val="en-US"/>
        </w:rPr>
        <w:t xml:space="preserve"> </w:t>
      </w:r>
      <w:r w:rsidRPr="009167A5">
        <w:rPr>
          <w:i/>
          <w:lang w:val="en-US"/>
        </w:rPr>
        <w:t>Baumgartner v. United States</w:t>
      </w:r>
      <w:r w:rsidRPr="005768F5">
        <w:rPr>
          <w:lang w:val="en-US"/>
        </w:rPr>
        <w:t>, 322 U.S. 665, 665</w:t>
      </w:r>
      <w:r w:rsidRPr="006E67FE">
        <w:rPr>
          <w:lang w:val="en-US"/>
        </w:rPr>
        <w:t xml:space="preserve"> = 64 S. Ct. </w:t>
      </w:r>
      <w:r w:rsidRPr="005768F5">
        <w:rPr>
          <w:lang w:val="en-US"/>
        </w:rPr>
        <w:t>1240, 1241</w:t>
      </w:r>
      <w:r w:rsidRPr="006E67FE">
        <w:rPr>
          <w:lang w:val="en-US"/>
        </w:rPr>
        <w:t xml:space="preserve"> = 88 L. Ed. </w:t>
      </w:r>
      <w:r w:rsidRPr="005768F5">
        <w:rPr>
          <w:lang w:val="en-US"/>
        </w:rPr>
        <w:t>1525, 1526</w:t>
      </w:r>
      <w:r w:rsidRPr="006E67FE">
        <w:rPr>
          <w:lang w:val="en-US"/>
        </w:rPr>
        <w:t xml:space="preserve"> = 1944 U.S. LEXIS </w:t>
      </w:r>
      <w:r w:rsidRPr="005768F5">
        <w:rPr>
          <w:lang w:val="en-US"/>
        </w:rPr>
        <w:t>1209, 1 (1944)</w:t>
      </w:r>
      <w:r>
        <w:rPr>
          <w:lang w:val="en-US"/>
        </w:rPr>
        <w:t>.</w:t>
      </w:r>
    </w:p>
  </w:footnote>
  <w:footnote w:id="629">
    <w:p w14:paraId="59ACD458" w14:textId="77777777" w:rsidR="00074551" w:rsidRPr="002E3069" w:rsidRDefault="00074551" w:rsidP="00074551">
      <w:pPr>
        <w:pStyle w:val="Funotentext"/>
        <w:rPr>
          <w:lang w:val="en-US"/>
        </w:rPr>
      </w:pPr>
      <w:r>
        <w:rPr>
          <w:rStyle w:val="Funotenzeichen"/>
        </w:rPr>
        <w:footnoteRef/>
      </w:r>
      <w:r w:rsidRPr="002E3069">
        <w:rPr>
          <w:lang w:val="en-US"/>
        </w:rPr>
        <w:t xml:space="preserve"> </w:t>
      </w:r>
      <w:r w:rsidRPr="00B45592">
        <w:rPr>
          <w:i/>
          <w:lang w:val="en-US"/>
        </w:rPr>
        <w:t>Schneiderman v. United States</w:t>
      </w:r>
      <w:r w:rsidRPr="002E3069">
        <w:rPr>
          <w:lang w:val="en-US"/>
        </w:rPr>
        <w:t>, 320 U.S. 118</w:t>
      </w:r>
      <w:r>
        <w:rPr>
          <w:lang w:val="en-US"/>
        </w:rPr>
        <w:t xml:space="preserve">; </w:t>
      </w:r>
      <w:r w:rsidRPr="009167A5">
        <w:rPr>
          <w:i/>
          <w:lang w:val="en-US"/>
        </w:rPr>
        <w:t>Baumgartner v. United States</w:t>
      </w:r>
      <w:r w:rsidRPr="002E3069">
        <w:rPr>
          <w:lang w:val="en-US"/>
        </w:rPr>
        <w:t>, 322 U.S. 665, 670</w:t>
      </w:r>
      <w:r w:rsidRPr="006E67FE">
        <w:rPr>
          <w:lang w:val="en-US"/>
        </w:rPr>
        <w:t xml:space="preserve"> = 64 S. Ct. </w:t>
      </w:r>
      <w:r w:rsidRPr="002E3069">
        <w:rPr>
          <w:lang w:val="en-US"/>
        </w:rPr>
        <w:t>1240, 1243</w:t>
      </w:r>
      <w:r w:rsidRPr="006E67FE">
        <w:rPr>
          <w:lang w:val="en-US"/>
        </w:rPr>
        <w:t xml:space="preserve"> = 88 L. Ed. </w:t>
      </w:r>
      <w:r w:rsidRPr="002E3069">
        <w:rPr>
          <w:lang w:val="en-US"/>
        </w:rPr>
        <w:t>1525, 1529</w:t>
      </w:r>
      <w:r w:rsidRPr="006E67FE">
        <w:rPr>
          <w:lang w:val="en-US"/>
        </w:rPr>
        <w:t xml:space="preserve"> = 1944 U.S. LEXIS </w:t>
      </w:r>
      <w:r w:rsidRPr="002E3069">
        <w:rPr>
          <w:lang w:val="en-US"/>
        </w:rPr>
        <w:t>1209, 10 (1944)</w:t>
      </w:r>
      <w:r>
        <w:rPr>
          <w:lang w:val="en-US"/>
        </w:rPr>
        <w:t>.</w:t>
      </w:r>
    </w:p>
  </w:footnote>
  <w:footnote w:id="630">
    <w:p w14:paraId="565B14ED" w14:textId="77777777" w:rsidR="00074551" w:rsidRPr="007744E0" w:rsidRDefault="00074551" w:rsidP="00074551">
      <w:pPr>
        <w:pStyle w:val="Funotentext"/>
        <w:rPr>
          <w:lang w:val="en-US"/>
        </w:rPr>
      </w:pPr>
      <w:r>
        <w:rPr>
          <w:rStyle w:val="Funotenzeichen"/>
        </w:rPr>
        <w:footnoteRef/>
      </w:r>
      <w:r w:rsidRPr="007744E0">
        <w:rPr>
          <w:lang w:val="en-US"/>
        </w:rPr>
        <w:t xml:space="preserve"> </w:t>
      </w:r>
      <w:r w:rsidRPr="00B45592">
        <w:rPr>
          <w:i/>
          <w:lang w:val="en-US"/>
        </w:rPr>
        <w:t>Schneiderman v. United States</w:t>
      </w:r>
      <w:r w:rsidRPr="007744E0">
        <w:rPr>
          <w:lang w:val="en-US"/>
        </w:rPr>
        <w:t>, 320 U.S. 118, 125, 158</w:t>
      </w:r>
      <w:r>
        <w:rPr>
          <w:lang w:val="en-US"/>
        </w:rPr>
        <w:t xml:space="preserve">; </w:t>
      </w:r>
      <w:r w:rsidRPr="009167A5">
        <w:rPr>
          <w:i/>
          <w:lang w:val="en-US"/>
        </w:rPr>
        <w:t>Baumgartner v. United States</w:t>
      </w:r>
      <w:r w:rsidRPr="007744E0">
        <w:rPr>
          <w:lang w:val="en-US"/>
        </w:rPr>
        <w:t>, 322 U.S. 665, 678</w:t>
      </w:r>
      <w:r w:rsidRPr="006E67FE">
        <w:rPr>
          <w:lang w:val="en-US"/>
        </w:rPr>
        <w:t xml:space="preserve"> = 64 S. Ct. </w:t>
      </w:r>
      <w:r w:rsidRPr="007744E0">
        <w:rPr>
          <w:lang w:val="en-US"/>
        </w:rPr>
        <w:t>1240, 1247</w:t>
      </w:r>
      <w:r w:rsidRPr="006E67FE">
        <w:rPr>
          <w:lang w:val="en-US"/>
        </w:rPr>
        <w:t xml:space="preserve"> = 88 L. Ed. </w:t>
      </w:r>
      <w:r w:rsidRPr="007744E0">
        <w:rPr>
          <w:lang w:val="en-US"/>
        </w:rPr>
        <w:t>1525, 1533</w:t>
      </w:r>
      <w:r w:rsidRPr="006E67FE">
        <w:rPr>
          <w:lang w:val="en-US"/>
        </w:rPr>
        <w:t xml:space="preserve"> = 1944 U.S. LEXIS </w:t>
      </w:r>
      <w:r w:rsidRPr="007744E0">
        <w:rPr>
          <w:lang w:val="en-US"/>
        </w:rPr>
        <w:t>1209, 23 (1944)</w:t>
      </w:r>
      <w:r>
        <w:rPr>
          <w:lang w:val="en-US"/>
        </w:rPr>
        <w:t>.</w:t>
      </w:r>
    </w:p>
  </w:footnote>
  <w:footnote w:id="631">
    <w:p w14:paraId="7F3EA395" w14:textId="77777777" w:rsidR="00074551" w:rsidRPr="00FD5FA6" w:rsidRDefault="00074551" w:rsidP="00074551">
      <w:pPr>
        <w:pStyle w:val="Funotentext"/>
        <w:rPr>
          <w:lang w:val="en-US"/>
        </w:rPr>
      </w:pPr>
      <w:r>
        <w:rPr>
          <w:rStyle w:val="Funotenzeichen"/>
        </w:rPr>
        <w:footnoteRef/>
      </w:r>
      <w:r w:rsidRPr="00FD5FA6">
        <w:rPr>
          <w:lang w:val="en-US"/>
        </w:rPr>
        <w:t xml:space="preserve"> </w:t>
      </w:r>
      <w:r w:rsidRPr="009167A5">
        <w:rPr>
          <w:i/>
          <w:lang w:val="en-US"/>
        </w:rPr>
        <w:t>Baumgartner v. United States</w:t>
      </w:r>
      <w:r w:rsidRPr="00FD5FA6">
        <w:rPr>
          <w:lang w:val="en-US"/>
        </w:rPr>
        <w:t>, 322 U.S. 665, 679</w:t>
      </w:r>
      <w:r w:rsidRPr="006E67FE">
        <w:rPr>
          <w:lang w:val="en-US"/>
        </w:rPr>
        <w:t xml:space="preserve"> = 64 S. Ct. </w:t>
      </w:r>
      <w:r w:rsidRPr="00FD5FA6">
        <w:rPr>
          <w:lang w:val="en-US"/>
        </w:rPr>
        <w:t>1240, 1247</w:t>
      </w:r>
      <w:r w:rsidRPr="006E67FE">
        <w:rPr>
          <w:lang w:val="en-US"/>
        </w:rPr>
        <w:t xml:space="preserve"> = 88 L. Ed. </w:t>
      </w:r>
      <w:r w:rsidRPr="00FD5FA6">
        <w:rPr>
          <w:lang w:val="en-US"/>
        </w:rPr>
        <w:t>1525, 1533</w:t>
      </w:r>
      <w:r w:rsidRPr="006E67FE">
        <w:rPr>
          <w:lang w:val="en-US"/>
        </w:rPr>
        <w:t xml:space="preserve"> = 1944 U.S. LEXIS </w:t>
      </w:r>
      <w:r w:rsidRPr="00FD5FA6">
        <w:rPr>
          <w:lang w:val="en-US"/>
        </w:rPr>
        <w:t>1209, 24 (1944)</w:t>
      </w:r>
      <w:r>
        <w:rPr>
          <w:lang w:val="en-US"/>
        </w:rPr>
        <w:t>.</w:t>
      </w:r>
    </w:p>
  </w:footnote>
  <w:footnote w:id="632">
    <w:p w14:paraId="21168304" w14:textId="77777777" w:rsidR="00074551" w:rsidRPr="00FD5FA6" w:rsidRDefault="00074551" w:rsidP="00074551">
      <w:pPr>
        <w:pStyle w:val="Funotentext"/>
        <w:rPr>
          <w:lang w:val="en-US"/>
        </w:rPr>
      </w:pPr>
      <w:r>
        <w:rPr>
          <w:rStyle w:val="Funotenzeichen"/>
        </w:rPr>
        <w:footnoteRef/>
      </w:r>
      <w:r w:rsidRPr="00FD5FA6">
        <w:rPr>
          <w:lang w:val="en-US"/>
        </w:rPr>
        <w:t xml:space="preserve"> </w:t>
      </w:r>
      <w:r w:rsidRPr="009167A5">
        <w:rPr>
          <w:i/>
          <w:lang w:val="en-US"/>
        </w:rPr>
        <w:t>Baumgartner v. United States</w:t>
      </w:r>
      <w:r w:rsidRPr="00FD5FA6">
        <w:rPr>
          <w:lang w:val="en-US"/>
        </w:rPr>
        <w:t>, 322 U.S. 665, 679</w:t>
      </w:r>
      <w:r w:rsidRPr="006E67FE">
        <w:rPr>
          <w:lang w:val="en-US"/>
        </w:rPr>
        <w:t xml:space="preserve"> = 64 S. Ct. </w:t>
      </w:r>
      <w:r w:rsidRPr="00FD5FA6">
        <w:rPr>
          <w:lang w:val="en-US"/>
        </w:rPr>
        <w:t>1240, 1247</w:t>
      </w:r>
      <w:r w:rsidRPr="006E67FE">
        <w:rPr>
          <w:lang w:val="en-US"/>
        </w:rPr>
        <w:t xml:space="preserve"> = 88 L. Ed. </w:t>
      </w:r>
      <w:r w:rsidRPr="00FD5FA6">
        <w:rPr>
          <w:lang w:val="en-US"/>
        </w:rPr>
        <w:t>1525, 1533</w:t>
      </w:r>
      <w:r w:rsidRPr="006E67FE">
        <w:rPr>
          <w:lang w:val="en-US"/>
        </w:rPr>
        <w:t xml:space="preserve"> = 1944 U.S. LEXIS </w:t>
      </w:r>
      <w:r w:rsidRPr="00FD5FA6">
        <w:rPr>
          <w:lang w:val="en-US"/>
        </w:rPr>
        <w:t>1209, 25 (1944)</w:t>
      </w:r>
      <w:r>
        <w:rPr>
          <w:lang w:val="en-US"/>
        </w:rPr>
        <w:t>.</w:t>
      </w:r>
    </w:p>
  </w:footnote>
  <w:footnote w:id="633">
    <w:p w14:paraId="77ACFBE7" w14:textId="77777777" w:rsidR="00074551" w:rsidRPr="00F56A55" w:rsidRDefault="00074551" w:rsidP="00074551">
      <w:pPr>
        <w:pStyle w:val="Funotentext"/>
        <w:rPr>
          <w:lang w:val="en-US"/>
        </w:rPr>
      </w:pPr>
      <w:r>
        <w:rPr>
          <w:rStyle w:val="Funotenzeichen"/>
        </w:rPr>
        <w:footnoteRef/>
      </w:r>
      <w:r w:rsidRPr="00F56A55">
        <w:rPr>
          <w:lang w:val="en-US"/>
        </w:rPr>
        <w:t xml:space="preserve"> </w:t>
      </w:r>
      <w:r>
        <w:rPr>
          <w:lang w:val="en-US"/>
        </w:rPr>
        <w:t>„</w:t>
      </w:r>
      <w:r w:rsidRPr="00F56A55">
        <w:rPr>
          <w:lang w:val="en-US"/>
        </w:rPr>
        <w:t>(b) Grounds for Relief from a Final Judgment, Order, or Proceeding. On motion and just terms, the court may relieve a party or its legal representative from a final judgment, order, or proceeding for the following reasons:</w:t>
      </w:r>
      <w:r>
        <w:rPr>
          <w:lang w:val="en-US"/>
        </w:rPr>
        <w:t xml:space="preserve"> </w:t>
      </w:r>
      <w:r w:rsidRPr="00F56A55">
        <w:rPr>
          <w:lang w:val="en-US"/>
        </w:rPr>
        <w:t>(1) mistake, inadvertence, surprise, or excusable neglect;</w:t>
      </w:r>
      <w:r>
        <w:rPr>
          <w:lang w:val="en-US"/>
        </w:rPr>
        <w:t xml:space="preserve"> </w:t>
      </w:r>
      <w:r w:rsidRPr="00F56A55">
        <w:rPr>
          <w:lang w:val="en-US"/>
        </w:rPr>
        <w:t>(2) newly discovered evidence that, with reasonable diligence, could not have been discovered in time to move for a new trial under Rule 59(b);</w:t>
      </w:r>
      <w:r>
        <w:rPr>
          <w:lang w:val="en-US"/>
        </w:rPr>
        <w:t xml:space="preserve"> </w:t>
      </w:r>
      <w:r w:rsidRPr="00F56A55">
        <w:rPr>
          <w:lang w:val="en-US"/>
        </w:rPr>
        <w:t>(3) fraud (whether previously called intrinsic or extrinsic), misrepresentation, or misconduct by an opposing party;</w:t>
      </w:r>
      <w:r>
        <w:rPr>
          <w:lang w:val="en-US"/>
        </w:rPr>
        <w:t xml:space="preserve"> </w:t>
      </w:r>
      <w:r w:rsidRPr="00F56A55">
        <w:rPr>
          <w:lang w:val="en-US"/>
        </w:rPr>
        <w:t>(4) the judgment is void;</w:t>
      </w:r>
      <w:r>
        <w:rPr>
          <w:lang w:val="en-US"/>
        </w:rPr>
        <w:t xml:space="preserve"> </w:t>
      </w:r>
      <w:r w:rsidRPr="00F56A55">
        <w:rPr>
          <w:lang w:val="en-US"/>
        </w:rPr>
        <w:t>(5) the judgment has been satisfied, released, or discharged; it is based on an earlier judgment that has been reversed or vacated; or applying it prospectively is no longer equitable; or</w:t>
      </w:r>
      <w:r>
        <w:rPr>
          <w:lang w:val="en-US"/>
        </w:rPr>
        <w:t xml:space="preserve"> </w:t>
      </w:r>
      <w:r w:rsidRPr="00F56A55">
        <w:rPr>
          <w:lang w:val="en-US"/>
        </w:rPr>
        <w:t>(6) any other reason that justifies relief</w:t>
      </w:r>
      <w:r>
        <w:rPr>
          <w:lang w:val="en-US"/>
        </w:rPr>
        <w:t xml:space="preserve">“, </w:t>
      </w:r>
      <w:r w:rsidRPr="00F56A55">
        <w:rPr>
          <w:lang w:val="en-US"/>
        </w:rPr>
        <w:t>USCS Fed</w:t>
      </w:r>
      <w:r>
        <w:rPr>
          <w:lang w:val="en-US"/>
        </w:rPr>
        <w:t>.</w:t>
      </w:r>
      <w:r w:rsidRPr="00F56A55">
        <w:rPr>
          <w:lang w:val="en-US"/>
        </w:rPr>
        <w:t xml:space="preserve"> Rules Civ</w:t>
      </w:r>
      <w:r>
        <w:rPr>
          <w:lang w:val="en-US"/>
        </w:rPr>
        <w:t>.</w:t>
      </w:r>
      <w:r w:rsidRPr="00F56A55">
        <w:rPr>
          <w:lang w:val="en-US"/>
        </w:rPr>
        <w:t xml:space="preserve"> Proc</w:t>
      </w:r>
      <w:r>
        <w:rPr>
          <w:lang w:val="en-US"/>
        </w:rPr>
        <w:t>.</w:t>
      </w:r>
      <w:r w:rsidRPr="00F56A55">
        <w:rPr>
          <w:lang w:val="en-US"/>
        </w:rPr>
        <w:t xml:space="preserve"> R</w:t>
      </w:r>
      <w:r>
        <w:rPr>
          <w:lang w:val="en-US"/>
        </w:rPr>
        <w:t>.</w:t>
      </w:r>
      <w:r w:rsidRPr="00F56A55">
        <w:rPr>
          <w:lang w:val="en-US"/>
        </w:rPr>
        <w:t xml:space="preserve"> 60</w:t>
      </w:r>
      <w:r>
        <w:rPr>
          <w:lang w:val="en-US"/>
        </w:rPr>
        <w:t>.</w:t>
      </w:r>
    </w:p>
  </w:footnote>
  <w:footnote w:id="634">
    <w:p w14:paraId="4248C9C0" w14:textId="77777777" w:rsidR="00074551" w:rsidRPr="00EB2161" w:rsidRDefault="00074551" w:rsidP="00074551">
      <w:pPr>
        <w:pStyle w:val="Funotentext"/>
        <w:rPr>
          <w:lang w:val="en-US"/>
        </w:rPr>
      </w:pPr>
      <w:r>
        <w:rPr>
          <w:rStyle w:val="Funotenzeichen"/>
        </w:rPr>
        <w:footnoteRef/>
      </w:r>
      <w:r w:rsidRPr="00EB2161">
        <w:rPr>
          <w:lang w:val="en-US"/>
        </w:rPr>
        <w:t xml:space="preserve"> </w:t>
      </w:r>
      <w:proofErr w:type="spellStart"/>
      <w:r w:rsidRPr="009167A5">
        <w:rPr>
          <w:i/>
          <w:lang w:val="en-US"/>
        </w:rPr>
        <w:t>Klapprott</w:t>
      </w:r>
      <w:proofErr w:type="spellEnd"/>
      <w:r w:rsidRPr="009167A5">
        <w:rPr>
          <w:i/>
          <w:lang w:val="en-US"/>
        </w:rPr>
        <w:t xml:space="preserve"> v. United States</w:t>
      </w:r>
      <w:r w:rsidRPr="00EB2161">
        <w:rPr>
          <w:lang w:val="en-US"/>
        </w:rPr>
        <w:t>, 335 U.S. 601, 602</w:t>
      </w:r>
      <w:r w:rsidRPr="006E67FE">
        <w:rPr>
          <w:lang w:val="en-US"/>
        </w:rPr>
        <w:t xml:space="preserve"> = 69 S. Ct. </w:t>
      </w:r>
      <w:r w:rsidRPr="00EB2161">
        <w:rPr>
          <w:lang w:val="en-US"/>
        </w:rPr>
        <w:t>384, 384</w:t>
      </w:r>
      <w:r w:rsidRPr="006E67FE">
        <w:rPr>
          <w:lang w:val="en-US"/>
        </w:rPr>
        <w:t xml:space="preserve"> = 93 L. Ed. </w:t>
      </w:r>
      <w:r w:rsidRPr="00EB2161">
        <w:rPr>
          <w:lang w:val="en-US"/>
        </w:rPr>
        <w:t>266, 270</w:t>
      </w:r>
      <w:r w:rsidRPr="006E67FE">
        <w:rPr>
          <w:lang w:val="en-US"/>
        </w:rPr>
        <w:t xml:space="preserve"> = 1949 U.S. LEXIS </w:t>
      </w:r>
      <w:r w:rsidRPr="00EB2161">
        <w:rPr>
          <w:lang w:val="en-US"/>
        </w:rPr>
        <w:t>3019, 1 (1949)</w:t>
      </w:r>
      <w:r>
        <w:rPr>
          <w:lang w:val="en-US"/>
        </w:rPr>
        <w:t>.</w:t>
      </w:r>
    </w:p>
  </w:footnote>
  <w:footnote w:id="635">
    <w:p w14:paraId="7D7095C0" w14:textId="77777777" w:rsidR="00074551" w:rsidRPr="00042E0E" w:rsidRDefault="00074551" w:rsidP="00074551">
      <w:pPr>
        <w:pStyle w:val="Funotentext"/>
        <w:rPr>
          <w:lang w:val="en-US"/>
        </w:rPr>
      </w:pPr>
      <w:r>
        <w:rPr>
          <w:rStyle w:val="Funotenzeichen"/>
        </w:rPr>
        <w:footnoteRef/>
      </w:r>
      <w:r w:rsidRPr="00042E0E">
        <w:rPr>
          <w:lang w:val="en-US"/>
        </w:rPr>
        <w:t xml:space="preserve"> </w:t>
      </w:r>
      <w:r w:rsidRPr="00B45592">
        <w:rPr>
          <w:i/>
          <w:lang w:val="en-US"/>
        </w:rPr>
        <w:t>Schneiderman v. United States</w:t>
      </w:r>
      <w:r w:rsidRPr="00042E0E">
        <w:rPr>
          <w:lang w:val="en-US"/>
        </w:rPr>
        <w:t>, 320 U.S. 118, 158</w:t>
      </w:r>
      <w:r>
        <w:rPr>
          <w:lang w:val="en-US"/>
        </w:rPr>
        <w:t xml:space="preserve">; </w:t>
      </w:r>
      <w:proofErr w:type="spellStart"/>
      <w:r w:rsidRPr="009167A5">
        <w:rPr>
          <w:i/>
          <w:lang w:val="en-US"/>
        </w:rPr>
        <w:t>Klapprott</w:t>
      </w:r>
      <w:proofErr w:type="spellEnd"/>
      <w:r w:rsidRPr="009167A5">
        <w:rPr>
          <w:i/>
          <w:lang w:val="en-US"/>
        </w:rPr>
        <w:t xml:space="preserve"> v. United States</w:t>
      </w:r>
      <w:r w:rsidRPr="00042E0E">
        <w:rPr>
          <w:lang w:val="en-US"/>
        </w:rPr>
        <w:t>, 335 U.S. 601, 612</w:t>
      </w:r>
      <w:r w:rsidRPr="006E67FE">
        <w:rPr>
          <w:lang w:val="en-US"/>
        </w:rPr>
        <w:t xml:space="preserve"> = 69 S. Ct. </w:t>
      </w:r>
      <w:r w:rsidRPr="00042E0E">
        <w:rPr>
          <w:lang w:val="en-US"/>
        </w:rPr>
        <w:t>384, 389</w:t>
      </w:r>
      <w:r w:rsidRPr="006E67FE">
        <w:rPr>
          <w:lang w:val="en-US"/>
        </w:rPr>
        <w:t xml:space="preserve"> = 93 L. Ed. </w:t>
      </w:r>
      <w:r w:rsidRPr="00042E0E">
        <w:rPr>
          <w:lang w:val="en-US"/>
        </w:rPr>
        <w:t>266, 276</w:t>
      </w:r>
      <w:r w:rsidRPr="006E67FE">
        <w:rPr>
          <w:lang w:val="en-US"/>
        </w:rPr>
        <w:t xml:space="preserve"> = 1949 U.S. LEXIS </w:t>
      </w:r>
      <w:r w:rsidRPr="00042E0E">
        <w:rPr>
          <w:lang w:val="en-US"/>
        </w:rPr>
        <w:t>3019, 14 (1949)</w:t>
      </w:r>
      <w:r>
        <w:rPr>
          <w:lang w:val="en-US"/>
        </w:rPr>
        <w:t>.</w:t>
      </w:r>
    </w:p>
  </w:footnote>
  <w:footnote w:id="636">
    <w:p w14:paraId="632DE022" w14:textId="77777777" w:rsidR="00074551" w:rsidRPr="00042E0E" w:rsidRDefault="00074551" w:rsidP="00074551">
      <w:pPr>
        <w:pStyle w:val="Funotentext"/>
        <w:rPr>
          <w:lang w:val="en-US"/>
        </w:rPr>
      </w:pPr>
      <w:r>
        <w:rPr>
          <w:rStyle w:val="Funotenzeichen"/>
        </w:rPr>
        <w:footnoteRef/>
      </w:r>
      <w:r w:rsidRPr="00042E0E">
        <w:rPr>
          <w:lang w:val="en-US"/>
        </w:rPr>
        <w:t xml:space="preserve"> </w:t>
      </w:r>
      <w:proofErr w:type="spellStart"/>
      <w:r w:rsidRPr="009167A5">
        <w:rPr>
          <w:i/>
          <w:lang w:val="en-US"/>
        </w:rPr>
        <w:t>Klapprott</w:t>
      </w:r>
      <w:proofErr w:type="spellEnd"/>
      <w:r w:rsidRPr="009167A5">
        <w:rPr>
          <w:i/>
          <w:lang w:val="en-US"/>
        </w:rPr>
        <w:t xml:space="preserve"> v. United States</w:t>
      </w:r>
      <w:r w:rsidRPr="00042E0E">
        <w:rPr>
          <w:lang w:val="en-US"/>
        </w:rPr>
        <w:t>, 335 U.S. 601, 612</w:t>
      </w:r>
      <w:r w:rsidRPr="006E67FE">
        <w:rPr>
          <w:lang w:val="en-US"/>
        </w:rPr>
        <w:t xml:space="preserve"> = 69 S. Ct. </w:t>
      </w:r>
      <w:r w:rsidRPr="00042E0E">
        <w:rPr>
          <w:lang w:val="en-US"/>
        </w:rPr>
        <w:t>384, 389</w:t>
      </w:r>
      <w:r w:rsidRPr="006E67FE">
        <w:rPr>
          <w:lang w:val="en-US"/>
        </w:rPr>
        <w:t xml:space="preserve"> = 93 L. Ed. </w:t>
      </w:r>
      <w:r w:rsidRPr="00042E0E">
        <w:rPr>
          <w:lang w:val="en-US"/>
        </w:rPr>
        <w:t>266, 276</w:t>
      </w:r>
      <w:r w:rsidRPr="006E67FE">
        <w:rPr>
          <w:lang w:val="en-US"/>
        </w:rPr>
        <w:t xml:space="preserve"> = 1949 U.S. LEXIS </w:t>
      </w:r>
      <w:r w:rsidRPr="00042E0E">
        <w:rPr>
          <w:lang w:val="en-US"/>
        </w:rPr>
        <w:t>3019, 14 (1949)</w:t>
      </w:r>
      <w:r>
        <w:rPr>
          <w:lang w:val="en-US"/>
        </w:rPr>
        <w:t>.</w:t>
      </w:r>
    </w:p>
  </w:footnote>
  <w:footnote w:id="637">
    <w:p w14:paraId="71FC5C14" w14:textId="77777777" w:rsidR="00074551" w:rsidRPr="00DE3676" w:rsidRDefault="00074551" w:rsidP="00074551">
      <w:pPr>
        <w:pStyle w:val="Funotentext"/>
        <w:rPr>
          <w:lang w:val="en-US"/>
        </w:rPr>
      </w:pPr>
      <w:r>
        <w:rPr>
          <w:rStyle w:val="Funotenzeichen"/>
        </w:rPr>
        <w:footnoteRef/>
      </w:r>
      <w:r w:rsidRPr="00DE3676">
        <w:rPr>
          <w:lang w:val="en-US"/>
        </w:rPr>
        <w:t xml:space="preserve"> </w:t>
      </w:r>
      <w:proofErr w:type="spellStart"/>
      <w:r w:rsidRPr="009167A5">
        <w:rPr>
          <w:i/>
          <w:lang w:val="en-US"/>
        </w:rPr>
        <w:t>Klapprott</w:t>
      </w:r>
      <w:proofErr w:type="spellEnd"/>
      <w:r w:rsidRPr="009167A5">
        <w:rPr>
          <w:i/>
          <w:lang w:val="en-US"/>
        </w:rPr>
        <w:t xml:space="preserve"> v. United States</w:t>
      </w:r>
      <w:r w:rsidRPr="00DE3676">
        <w:rPr>
          <w:lang w:val="en-US"/>
        </w:rPr>
        <w:t>, 335 U.S. 601, 602</w:t>
      </w:r>
      <w:r>
        <w:rPr>
          <w:lang w:val="en-US"/>
        </w:rPr>
        <w:t>–</w:t>
      </w:r>
      <w:r w:rsidRPr="00DE3676">
        <w:rPr>
          <w:lang w:val="en-US"/>
        </w:rPr>
        <w:t>603</w:t>
      </w:r>
      <w:r w:rsidRPr="006E67FE">
        <w:rPr>
          <w:lang w:val="en-US"/>
        </w:rPr>
        <w:t xml:space="preserve"> = 69 S. Ct. </w:t>
      </w:r>
      <w:r w:rsidRPr="00DE3676">
        <w:rPr>
          <w:lang w:val="en-US"/>
        </w:rPr>
        <w:t>384, 384</w:t>
      </w:r>
      <w:r w:rsidRPr="006E67FE">
        <w:rPr>
          <w:lang w:val="en-US"/>
        </w:rPr>
        <w:t xml:space="preserve"> = 93 L. Ed. </w:t>
      </w:r>
      <w:r w:rsidRPr="00DE3676">
        <w:rPr>
          <w:lang w:val="en-US"/>
        </w:rPr>
        <w:t>266, 271</w:t>
      </w:r>
      <w:r w:rsidRPr="006E67FE">
        <w:rPr>
          <w:lang w:val="en-US"/>
        </w:rPr>
        <w:t xml:space="preserve"> = 1949 U.S. LEXIS </w:t>
      </w:r>
      <w:r w:rsidRPr="00DE3676">
        <w:rPr>
          <w:lang w:val="en-US"/>
        </w:rPr>
        <w:t>3019, 4</w:t>
      </w:r>
      <w:r>
        <w:rPr>
          <w:lang w:val="en-US"/>
        </w:rPr>
        <w:t>–</w:t>
      </w:r>
      <w:r w:rsidRPr="00DE3676">
        <w:rPr>
          <w:lang w:val="en-US"/>
        </w:rPr>
        <w:t>5 (1949)</w:t>
      </w:r>
      <w:r>
        <w:rPr>
          <w:lang w:val="en-US"/>
        </w:rPr>
        <w:t>.</w:t>
      </w:r>
    </w:p>
  </w:footnote>
  <w:footnote w:id="638">
    <w:p w14:paraId="79656266" w14:textId="77777777" w:rsidR="00074551" w:rsidRDefault="00074551" w:rsidP="00074551">
      <w:pPr>
        <w:pStyle w:val="Funotentext"/>
      </w:pPr>
      <w:r>
        <w:rPr>
          <w:rStyle w:val="Funotenzeichen"/>
        </w:rPr>
        <w:footnoteRef/>
      </w:r>
      <w:r>
        <w:t xml:space="preserve"> (1) Anwendung der geänderten Regel 60 (b) („Rule 60 (b) of the Federal Rules of </w:t>
      </w:r>
      <w:proofErr w:type="spellStart"/>
      <w:r>
        <w:t>Civil</w:t>
      </w:r>
      <w:proofErr w:type="spellEnd"/>
      <w:r>
        <w:t xml:space="preserve"> </w:t>
      </w:r>
      <w:proofErr w:type="spellStart"/>
      <w:r>
        <w:t>Procedure</w:t>
      </w:r>
      <w:proofErr w:type="spellEnd"/>
      <w:r>
        <w:t>“): Nach dieser Regel, die am 19. März 1948 in Kraft trat, haben Gerichte eine erweiterte Befugnis, Urteile aufzuheben. Hier würde die Anwendung der geänderten Regel dem Kläger gerechterweise die Möglichkeit geben, sein Verfahren neu zu prüfen.</w:t>
      </w:r>
    </w:p>
    <w:p w14:paraId="417CDBEA" w14:textId="77777777" w:rsidR="00074551" w:rsidRDefault="00074551" w:rsidP="00074551">
      <w:pPr>
        <w:pStyle w:val="Funotentext"/>
      </w:pPr>
      <w:r>
        <w:t>(2) Nichtigkeit des Urteils wegen fehlender Beweisaufnahme: Das Urteil ist nichtig, wenn die Anhörung von Beweisen eine rechtliche Voraussetzung für die Erteilung eines gültigen Versäumnisurteils in Ausbürgerungsverfahren ist. Das Gesetz 8 U.S.C. § 738 erlaubt zwar die Aberkennung der Staatsbürgerschaft nach Benachrichtigung und Anhörung. Aber es regelt nicht, Versäumnisurteile ohne Beweis zu treffen. Insbesondere erfordern Verfahren, die den Verlust der Staatsbürgerschaft und anschließende Abschiebung nach sich ziehen, aufgrund der schwerwiegenden Folgen einen höheren Beweisstandard.</w:t>
      </w:r>
    </w:p>
    <w:p w14:paraId="6E0D7965" w14:textId="77777777" w:rsidR="00074551" w:rsidRDefault="00074551" w:rsidP="00074551">
      <w:pPr>
        <w:pStyle w:val="Funotentext"/>
      </w:pPr>
      <w:r>
        <w:t xml:space="preserve">(3) Außergewöhnliche Umstände des Klägers: Der Kläger befand sich vor, während und nach dem Erlass des Versäumnisurteils in Haft und hatte keine realistische Möglichkeit, sich zu verteidigen. Diese Umstände fallen nicht unter die sog. entschuldbare Vernachlässigung, sondern stellen einen anderen triftigen Grund dar, der die Anwendung der Regel 60 (b) ohne die </w:t>
      </w:r>
      <w:proofErr w:type="spellStart"/>
      <w:r>
        <w:t>Einjahresfrist</w:t>
      </w:r>
      <w:proofErr w:type="spellEnd"/>
      <w:r>
        <w:t xml:space="preserve"> rechtfertigt.</w:t>
      </w:r>
    </w:p>
    <w:p w14:paraId="15F70C48" w14:textId="77777777" w:rsidR="00074551" w:rsidRDefault="5B67C1D2" w:rsidP="00074551">
      <w:pPr>
        <w:pStyle w:val="Funotentext"/>
      </w:pPr>
      <w:r>
        <w:t>(4) Die Aufhebung des Versäumnisurteils sei nötig, um dem Kläger überhaupt eine faire Verhandlung zu ermöglichen. Die Forderung nach einer fairen Anhörung stehe im Einklang mit grundlegenden Gerechtigkeitskonzepten, und die Anwendung der Regel 60 (b) ermögliche es dem Gericht, das Urteil aufzuheben und eine faire Verhandlung zu gewähren.</w:t>
      </w:r>
    </w:p>
    <w:p w14:paraId="2F16D203" w14:textId="4533EFE7" w:rsidR="5B67C1D2" w:rsidRDefault="5B67C1D2" w:rsidP="5B67C1D2">
      <w:pPr>
        <w:pStyle w:val="Funotentext"/>
        <w:rPr>
          <w:lang w:val="en-US"/>
        </w:rPr>
      </w:pPr>
      <w:r>
        <w:t xml:space="preserve">Vgl. </w:t>
      </w:r>
      <w:proofErr w:type="spellStart"/>
      <w:r w:rsidRPr="5B67C1D2">
        <w:rPr>
          <w:i/>
          <w:iCs/>
          <w:lang w:val="en-US"/>
        </w:rPr>
        <w:t>Klapprott</w:t>
      </w:r>
      <w:proofErr w:type="spellEnd"/>
      <w:r w:rsidRPr="5B67C1D2">
        <w:rPr>
          <w:i/>
          <w:iCs/>
          <w:lang w:val="en-US"/>
        </w:rPr>
        <w:t xml:space="preserve"> v. United States</w:t>
      </w:r>
      <w:r w:rsidRPr="5B67C1D2">
        <w:rPr>
          <w:lang w:val="en-US"/>
        </w:rPr>
        <w:t>, 335 U.S. 601, 602 ff. = 69 S. Ct. 384, 384 = 93 L. Ed. 266, 271 = 1949 U.S. LEXIS 3019, 4–5 (1949).</w:t>
      </w:r>
    </w:p>
  </w:footnote>
  <w:footnote w:id="639">
    <w:p w14:paraId="419EF1E9" w14:textId="77777777" w:rsidR="00074551" w:rsidRPr="004F50F9" w:rsidRDefault="00074551" w:rsidP="00074551">
      <w:pPr>
        <w:pStyle w:val="Funotentext"/>
        <w:rPr>
          <w:lang w:val="en-US"/>
        </w:rPr>
      </w:pPr>
      <w:r>
        <w:rPr>
          <w:rStyle w:val="Funotenzeichen"/>
        </w:rPr>
        <w:footnoteRef/>
      </w:r>
      <w:r w:rsidRPr="004F50F9">
        <w:rPr>
          <w:lang w:val="en-US"/>
        </w:rPr>
        <w:t xml:space="preserve"> </w:t>
      </w:r>
      <w:r w:rsidRPr="00B45592">
        <w:rPr>
          <w:i/>
          <w:lang w:val="en-US"/>
        </w:rPr>
        <w:t>Brown v. United States</w:t>
      </w:r>
      <w:r w:rsidRPr="004F50F9">
        <w:rPr>
          <w:lang w:val="en-US"/>
        </w:rPr>
        <w:t>, 356 U.S. 148, 149</w:t>
      </w:r>
      <w:r w:rsidRPr="006E67FE">
        <w:rPr>
          <w:lang w:val="en-US"/>
        </w:rPr>
        <w:t xml:space="preserve"> = 78 S. Ct. </w:t>
      </w:r>
      <w:r w:rsidRPr="004F50F9">
        <w:rPr>
          <w:lang w:val="en-US"/>
        </w:rPr>
        <w:t>622, 623</w:t>
      </w:r>
      <w:r>
        <w:rPr>
          <w:lang w:val="en-US"/>
        </w:rPr>
        <w:t xml:space="preserve"> = 2 L. Ed.</w:t>
      </w:r>
      <w:r w:rsidRPr="004F50F9">
        <w:rPr>
          <w:lang w:val="en-US"/>
        </w:rPr>
        <w:t xml:space="preserve"> 2d 589, 593</w:t>
      </w:r>
      <w:r w:rsidRPr="006E67FE">
        <w:rPr>
          <w:lang w:val="en-US"/>
        </w:rPr>
        <w:t xml:space="preserve"> = 1958 U.S. LEXIS </w:t>
      </w:r>
      <w:r w:rsidRPr="004F50F9">
        <w:rPr>
          <w:lang w:val="en-US"/>
        </w:rPr>
        <w:t>1286, 1</w:t>
      </w:r>
      <w:r w:rsidRPr="006E67FE">
        <w:rPr>
          <w:lang w:val="en-US"/>
        </w:rPr>
        <w:t xml:space="preserve"> = 72 A.L.R. 2d </w:t>
      </w:r>
      <w:r w:rsidRPr="004F50F9">
        <w:rPr>
          <w:lang w:val="en-US"/>
        </w:rPr>
        <w:t>818 (1958)</w:t>
      </w:r>
      <w:r>
        <w:rPr>
          <w:lang w:val="en-US"/>
        </w:rPr>
        <w:t>.</w:t>
      </w:r>
    </w:p>
  </w:footnote>
  <w:footnote w:id="640">
    <w:p w14:paraId="09B343A0" w14:textId="77777777" w:rsidR="00074551" w:rsidRPr="00325775" w:rsidRDefault="00074551" w:rsidP="00074551">
      <w:pPr>
        <w:pStyle w:val="Funotentext"/>
        <w:rPr>
          <w:lang w:val="en-IE"/>
        </w:rPr>
      </w:pPr>
      <w:r>
        <w:rPr>
          <w:rStyle w:val="Funotenzeichen"/>
        </w:rPr>
        <w:footnoteRef/>
      </w:r>
      <w:r w:rsidRPr="00325775">
        <w:rPr>
          <w:lang w:val="en-IE"/>
        </w:rPr>
        <w:t xml:space="preserve"> </w:t>
      </w:r>
      <w:r w:rsidRPr="00B45592">
        <w:rPr>
          <w:i/>
          <w:lang w:val="en-US"/>
        </w:rPr>
        <w:t>Graham v. Connor</w:t>
      </w:r>
      <w:r w:rsidRPr="001841D2">
        <w:rPr>
          <w:lang w:val="en-US"/>
        </w:rPr>
        <w:t xml:space="preserve">, </w:t>
      </w:r>
      <w:r w:rsidRPr="00B45592">
        <w:rPr>
          <w:lang w:val="en-IE"/>
        </w:rPr>
        <w:t xml:space="preserve">490 US 386, </w:t>
      </w:r>
      <w:r w:rsidRPr="001841D2">
        <w:rPr>
          <w:lang w:val="en-US"/>
        </w:rPr>
        <w:t xml:space="preserve">395; </w:t>
      </w:r>
      <w:r w:rsidRPr="009167A5">
        <w:rPr>
          <w:i/>
          <w:lang w:val="en-US"/>
        </w:rPr>
        <w:t>Albright v. Oliver</w:t>
      </w:r>
      <w:r w:rsidRPr="001841D2">
        <w:rPr>
          <w:lang w:val="en-US"/>
        </w:rPr>
        <w:t>, 510 U.S. 266, 273</w:t>
      </w:r>
      <w:r w:rsidRPr="006E67FE">
        <w:rPr>
          <w:lang w:val="en-US"/>
        </w:rPr>
        <w:t xml:space="preserve"> = 114 S. Ct. </w:t>
      </w:r>
      <w:r w:rsidRPr="001841D2">
        <w:rPr>
          <w:lang w:val="en-US"/>
        </w:rPr>
        <w:t>807, 813</w:t>
      </w:r>
      <w:r w:rsidRPr="006E67FE">
        <w:rPr>
          <w:lang w:val="en-US"/>
        </w:rPr>
        <w:t xml:space="preserve"> = 127 L. Ed. </w:t>
      </w:r>
      <w:r w:rsidRPr="001841D2">
        <w:rPr>
          <w:lang w:val="en-US"/>
        </w:rPr>
        <w:t>2d 114, 124</w:t>
      </w:r>
      <w:r w:rsidRPr="006E67FE">
        <w:rPr>
          <w:lang w:val="en-US"/>
        </w:rPr>
        <w:t xml:space="preserve"> = 1994 U.S. LEXIS </w:t>
      </w:r>
      <w:r w:rsidRPr="001841D2">
        <w:rPr>
          <w:lang w:val="en-US"/>
        </w:rPr>
        <w:t>1319, 16</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6E25AF">
        <w:rPr>
          <w:lang w:val="en-US"/>
        </w:rPr>
        <w:t>S 717 (1994)</w:t>
      </w:r>
      <w:r>
        <w:rPr>
          <w:lang w:val="en-US"/>
        </w:rPr>
        <w:t>.</w:t>
      </w:r>
    </w:p>
  </w:footnote>
  <w:footnote w:id="641">
    <w:p w14:paraId="3D360BA5" w14:textId="77777777" w:rsidR="00074551" w:rsidRPr="001841D2" w:rsidRDefault="00074551" w:rsidP="00074551">
      <w:pPr>
        <w:pStyle w:val="Funotentext"/>
        <w:rPr>
          <w:lang w:val="en-US"/>
        </w:rPr>
      </w:pPr>
      <w:r>
        <w:rPr>
          <w:rStyle w:val="Funotenzeichen"/>
          <w:rFonts w:eastAsiaTheme="majorEastAsia"/>
        </w:rPr>
        <w:footnoteRef/>
      </w:r>
      <w:r w:rsidRPr="001841D2">
        <w:rPr>
          <w:lang w:val="en-US"/>
        </w:rPr>
        <w:t xml:space="preserve"> </w:t>
      </w:r>
      <w:r w:rsidRPr="009167A5">
        <w:rPr>
          <w:i/>
          <w:lang w:val="en-US"/>
        </w:rPr>
        <w:t>Albright v. Oliver</w:t>
      </w:r>
      <w:r w:rsidRPr="001841D2">
        <w:rPr>
          <w:lang w:val="en-US"/>
        </w:rPr>
        <w:t>, 510 U.S. 266, 274</w:t>
      </w:r>
      <w:r w:rsidRPr="006E67FE">
        <w:rPr>
          <w:lang w:val="en-US"/>
        </w:rPr>
        <w:t xml:space="preserve"> = 114 S. Ct. </w:t>
      </w:r>
      <w:r w:rsidRPr="001841D2">
        <w:rPr>
          <w:lang w:val="en-US"/>
        </w:rPr>
        <w:t>807, 813</w:t>
      </w:r>
      <w:r w:rsidRPr="006E67FE">
        <w:rPr>
          <w:lang w:val="en-US"/>
        </w:rPr>
        <w:t xml:space="preserve"> = 127 L. Ed. </w:t>
      </w:r>
      <w:r w:rsidRPr="001841D2">
        <w:rPr>
          <w:lang w:val="en-US"/>
        </w:rPr>
        <w:t>2d 114, 124</w:t>
      </w:r>
      <w:r w:rsidRPr="006E67FE">
        <w:rPr>
          <w:lang w:val="en-US"/>
        </w:rPr>
        <w:t xml:space="preserve"> = 1994 U.S. LEXIS </w:t>
      </w:r>
      <w:r w:rsidRPr="001841D2">
        <w:rPr>
          <w:lang w:val="en-US"/>
        </w:rPr>
        <w:t>1319, 17</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1841D2">
        <w:rPr>
          <w:lang w:val="en-US"/>
        </w:rPr>
        <w:t>S 717 (1994).</w:t>
      </w:r>
    </w:p>
  </w:footnote>
  <w:footnote w:id="642">
    <w:p w14:paraId="5D698D76" w14:textId="77777777" w:rsidR="00074551" w:rsidRPr="006E25AF" w:rsidRDefault="00074551" w:rsidP="00074551">
      <w:pPr>
        <w:pStyle w:val="Funotentext"/>
        <w:rPr>
          <w:lang w:val="en-US"/>
        </w:rPr>
      </w:pPr>
      <w:r>
        <w:rPr>
          <w:rStyle w:val="Funotenzeichen"/>
          <w:rFonts w:eastAsiaTheme="majorEastAsia"/>
        </w:rPr>
        <w:footnoteRef/>
      </w:r>
      <w:r w:rsidRPr="001841D2">
        <w:rPr>
          <w:lang w:val="en-US"/>
        </w:rPr>
        <w:t xml:space="preserve"> </w:t>
      </w:r>
      <w:r w:rsidRPr="00B45592">
        <w:rPr>
          <w:i/>
          <w:lang w:val="en-US"/>
        </w:rPr>
        <w:t>Graham v. Connor</w:t>
      </w:r>
      <w:r w:rsidRPr="001841D2">
        <w:rPr>
          <w:lang w:val="en-US"/>
        </w:rPr>
        <w:t xml:space="preserve">, </w:t>
      </w:r>
      <w:r w:rsidRPr="00B45592">
        <w:rPr>
          <w:lang w:val="en-IE"/>
        </w:rPr>
        <w:t xml:space="preserve">490 US 386, </w:t>
      </w:r>
      <w:r w:rsidRPr="001841D2">
        <w:rPr>
          <w:lang w:val="en-US"/>
        </w:rPr>
        <w:t xml:space="preserve">395; </w:t>
      </w:r>
      <w:r w:rsidRPr="009167A5">
        <w:rPr>
          <w:i/>
          <w:lang w:val="en-US"/>
        </w:rPr>
        <w:t>Albright v. Oliver</w:t>
      </w:r>
      <w:r w:rsidRPr="001841D2">
        <w:rPr>
          <w:lang w:val="en-US"/>
        </w:rPr>
        <w:t>, 510 U.S. 266, 273</w:t>
      </w:r>
      <w:r w:rsidRPr="006E67FE">
        <w:rPr>
          <w:lang w:val="en-US"/>
        </w:rPr>
        <w:t xml:space="preserve"> = 114 S. Ct. </w:t>
      </w:r>
      <w:r w:rsidRPr="001841D2">
        <w:rPr>
          <w:lang w:val="en-US"/>
        </w:rPr>
        <w:t>807, 813</w:t>
      </w:r>
      <w:r w:rsidRPr="006E67FE">
        <w:rPr>
          <w:lang w:val="en-US"/>
        </w:rPr>
        <w:t xml:space="preserve"> = 127 L. Ed. </w:t>
      </w:r>
      <w:r w:rsidRPr="001841D2">
        <w:rPr>
          <w:lang w:val="en-US"/>
        </w:rPr>
        <w:t>2d 114, 124</w:t>
      </w:r>
      <w:r w:rsidRPr="006E67FE">
        <w:rPr>
          <w:lang w:val="en-US"/>
        </w:rPr>
        <w:t xml:space="preserve"> = 1994 U.S. LEXIS </w:t>
      </w:r>
      <w:r w:rsidRPr="001841D2">
        <w:rPr>
          <w:lang w:val="en-US"/>
        </w:rPr>
        <w:t>1319, 16</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6E25AF">
        <w:rPr>
          <w:lang w:val="en-US"/>
        </w:rPr>
        <w:t>S 717 (1994)</w:t>
      </w:r>
      <w:r>
        <w:rPr>
          <w:lang w:val="en-US"/>
        </w:rPr>
        <w:t>.</w:t>
      </w:r>
    </w:p>
  </w:footnote>
  <w:footnote w:id="643">
    <w:p w14:paraId="3564BD83" w14:textId="77777777" w:rsidR="00074551" w:rsidRPr="00035998" w:rsidRDefault="00074551" w:rsidP="00074551">
      <w:pPr>
        <w:pStyle w:val="Funotentext"/>
        <w:rPr>
          <w:lang w:val="en-IE"/>
        </w:rPr>
      </w:pPr>
      <w:r>
        <w:rPr>
          <w:rStyle w:val="Funotenzeichen"/>
        </w:rPr>
        <w:footnoteRef/>
      </w:r>
      <w:r w:rsidRPr="00BD2B7F">
        <w:rPr>
          <w:lang w:val="en-US"/>
        </w:rPr>
        <w:t xml:space="preserve"> </w:t>
      </w:r>
      <w:r w:rsidRPr="009167A5">
        <w:rPr>
          <w:i/>
          <w:lang w:val="en-US"/>
        </w:rPr>
        <w:t>Albright v. Oliver</w:t>
      </w:r>
      <w:r w:rsidRPr="00BD2B7F">
        <w:rPr>
          <w:lang w:val="en-US"/>
        </w:rPr>
        <w:t>, 510 U.S. 266, 268</w:t>
      </w:r>
      <w:r w:rsidRPr="006E67FE">
        <w:rPr>
          <w:lang w:val="en-US"/>
        </w:rPr>
        <w:t xml:space="preserve"> = 114 S. Ct. </w:t>
      </w:r>
      <w:r w:rsidRPr="00BD2B7F">
        <w:rPr>
          <w:lang w:val="en-US"/>
        </w:rPr>
        <w:t>807, 810</w:t>
      </w:r>
      <w:r w:rsidRPr="006E67FE">
        <w:rPr>
          <w:lang w:val="en-US"/>
        </w:rPr>
        <w:t xml:space="preserve"> = 127 L. Ed. </w:t>
      </w:r>
      <w:r w:rsidRPr="00BD2B7F">
        <w:rPr>
          <w:lang w:val="en-US"/>
        </w:rPr>
        <w:t>2d 114, 120</w:t>
      </w:r>
      <w:r w:rsidRPr="006E67FE">
        <w:rPr>
          <w:lang w:val="en-US"/>
        </w:rPr>
        <w:t xml:space="preserve"> = 1994 U.S. LEXIS </w:t>
      </w:r>
      <w:r w:rsidRPr="00BD2B7F">
        <w:rPr>
          <w:lang w:val="en-US"/>
        </w:rPr>
        <w:t>1319, 1</w:t>
      </w:r>
      <w:r w:rsidRPr="006E67FE">
        <w:rPr>
          <w:lang w:val="en-US"/>
        </w:rPr>
        <w:t xml:space="preserve"> = 62 U.S.L.W. </w:t>
      </w:r>
      <w:r w:rsidRPr="00BD2B7F">
        <w:rPr>
          <w:lang w:val="en-US"/>
        </w:rPr>
        <w:t>4078</w:t>
      </w:r>
      <w:r w:rsidRPr="006E67FE">
        <w:rPr>
          <w:lang w:val="en-US"/>
        </w:rPr>
        <w:t xml:space="preserve"> = 94 Cal. Daily Op. Service </w:t>
      </w:r>
      <w:r w:rsidRPr="00BD2B7F">
        <w:rPr>
          <w:lang w:val="en-US"/>
        </w:rPr>
        <w:t>457</w:t>
      </w:r>
      <w:r w:rsidRPr="006E67FE">
        <w:rPr>
          <w:lang w:val="en-US"/>
        </w:rPr>
        <w:t xml:space="preserve"> = 94 Daily Journal </w:t>
      </w:r>
      <w:r w:rsidRPr="00BD2B7F">
        <w:rPr>
          <w:lang w:val="en-US"/>
        </w:rPr>
        <w:t>DAR 855</w:t>
      </w:r>
      <w:r w:rsidRPr="006E67FE">
        <w:rPr>
          <w:lang w:val="en-US"/>
        </w:rPr>
        <w:t xml:space="preserve"> = 7 Fla. L. Weekly Fed. </w:t>
      </w:r>
      <w:r w:rsidRPr="00035998">
        <w:rPr>
          <w:lang w:val="en-IE"/>
        </w:rPr>
        <w:t>S 717 (1994).</w:t>
      </w:r>
    </w:p>
  </w:footnote>
  <w:footnote w:id="644">
    <w:p w14:paraId="74C715AA" w14:textId="77777777" w:rsidR="00074551" w:rsidRDefault="00074551" w:rsidP="00074551">
      <w:pPr>
        <w:pStyle w:val="Funotentext"/>
      </w:pPr>
      <w:r>
        <w:rPr>
          <w:rStyle w:val="Funotenzeichen"/>
        </w:rPr>
        <w:footnoteRef/>
      </w:r>
      <w:r w:rsidRPr="00035998">
        <w:rPr>
          <w:lang w:val="en-IE"/>
        </w:rPr>
        <w:t xml:space="preserve"> </w:t>
      </w:r>
      <w:r w:rsidRPr="00035998">
        <w:rPr>
          <w:i/>
          <w:lang w:val="en-IE"/>
        </w:rPr>
        <w:t>Albright v. Oliver</w:t>
      </w:r>
      <w:r w:rsidRPr="00035998">
        <w:rPr>
          <w:lang w:val="en-IE"/>
        </w:rPr>
        <w:t xml:space="preserve">, 510 U.S. 266, 268 = 114 S. Ct. 807, 810 = 127 L. Ed. 2d 114, 120 = 1994 U.S. LEXIS 1319, 1 = 62 U.S.L.W. 4078 = 94 Cal. </w:t>
      </w:r>
      <w:r w:rsidRPr="00B45592">
        <w:rPr>
          <w:lang w:val="en-IE"/>
        </w:rPr>
        <w:t xml:space="preserve">Daily Op. Service </w:t>
      </w:r>
      <w:r w:rsidRPr="00503916">
        <w:rPr>
          <w:lang w:val="en-US"/>
        </w:rPr>
        <w:t>457</w:t>
      </w:r>
      <w:r w:rsidRPr="006E67FE">
        <w:rPr>
          <w:lang w:val="en-US"/>
        </w:rPr>
        <w:t xml:space="preserve"> = 94 Daily Journal </w:t>
      </w:r>
      <w:r w:rsidRPr="00503916">
        <w:rPr>
          <w:lang w:val="en-US"/>
        </w:rPr>
        <w:t>DAR 855</w:t>
      </w:r>
      <w:r w:rsidRPr="006E67FE">
        <w:rPr>
          <w:lang w:val="en-US"/>
        </w:rPr>
        <w:t xml:space="preserve"> = 7 Fla. L. Weekly Fed. </w:t>
      </w:r>
      <w:r w:rsidRPr="00035998">
        <w:t>S 717 (1994).</w:t>
      </w:r>
    </w:p>
  </w:footnote>
  <w:footnote w:id="645">
    <w:p w14:paraId="14971B1D" w14:textId="77777777" w:rsidR="00074551" w:rsidRDefault="00074551" w:rsidP="00074551">
      <w:pPr>
        <w:pStyle w:val="Funotentext"/>
      </w:pPr>
      <w:r>
        <w:rPr>
          <w:rStyle w:val="Funotenzeichen"/>
        </w:rPr>
        <w:footnoteRef/>
      </w:r>
      <w:r>
        <w:t xml:space="preserve"> </w:t>
      </w:r>
      <w:r w:rsidRPr="00BD2B7F">
        <w:t xml:space="preserve">Eine </w:t>
      </w:r>
      <w:proofErr w:type="spellStart"/>
      <w:r w:rsidRPr="00B45592">
        <w:rPr>
          <w:i/>
          <w:iCs/>
        </w:rPr>
        <w:t>petition</w:t>
      </w:r>
      <w:proofErr w:type="spellEnd"/>
      <w:r w:rsidRPr="00B45592">
        <w:rPr>
          <w:i/>
          <w:iCs/>
        </w:rPr>
        <w:t xml:space="preserve"> for </w:t>
      </w:r>
      <w:proofErr w:type="spellStart"/>
      <w:r w:rsidRPr="00B45592">
        <w:rPr>
          <w:i/>
          <w:iCs/>
        </w:rPr>
        <w:t>certiorari</w:t>
      </w:r>
      <w:proofErr w:type="spellEnd"/>
      <w:r w:rsidRPr="00BD2B7F">
        <w:t xml:space="preserve"> bezeichnet eine Eingabe, die ein Berufungsgericht dazu auffordert, einen Antrag auf Erlass einer Verfügung auf Überprüfung zu genehmigen. Diese Art von Petition argumentiert </w:t>
      </w:r>
      <w:r>
        <w:t>in der Regel</w:t>
      </w:r>
      <w:r w:rsidRPr="00BD2B7F">
        <w:t>, dass ein untergeordnetes Gericht eine wichtige Rechtsfrage falsch entschieden ha</w:t>
      </w:r>
      <w:r>
        <w:t>be</w:t>
      </w:r>
      <w:r w:rsidRPr="00BD2B7F">
        <w:t xml:space="preserve"> und dass dieser Fehler korrigiert werden solle, </w:t>
      </w:r>
      <w:r>
        <w:t xml:space="preserve">vgl. </w:t>
      </w:r>
      <w:r w:rsidRPr="00B45592">
        <w:t>https://www.law.cornell.edu/wex/petition_for_certiorari#:~:text=Petition%20for%20certiorari%20refers%20to,prevent%20confusion%20in%20similar%20cases</w:t>
      </w:r>
      <w:r>
        <w:t xml:space="preserve"> (27.04.2026).</w:t>
      </w:r>
    </w:p>
  </w:footnote>
  <w:footnote w:id="646">
    <w:p w14:paraId="03F7E0DC" w14:textId="77777777" w:rsidR="00074551" w:rsidRPr="00035998" w:rsidRDefault="00074551" w:rsidP="00074551">
      <w:pPr>
        <w:rPr>
          <w:sz w:val="20"/>
          <w:szCs w:val="20"/>
          <w:lang w:val="en-US"/>
        </w:rPr>
      </w:pPr>
      <w:r>
        <w:rPr>
          <w:rStyle w:val="Funotenzeichen"/>
        </w:rPr>
        <w:footnoteRef/>
      </w:r>
      <w:r w:rsidRPr="00035998">
        <w:rPr>
          <w:lang w:val="en-IE"/>
        </w:rPr>
        <w:t xml:space="preserve"> </w:t>
      </w:r>
      <w:r w:rsidRPr="0098539E">
        <w:rPr>
          <w:i/>
          <w:sz w:val="20"/>
          <w:szCs w:val="20"/>
          <w:lang w:val="en-US"/>
        </w:rPr>
        <w:t>Graham v. Connor</w:t>
      </w:r>
      <w:r w:rsidRPr="0098539E">
        <w:rPr>
          <w:sz w:val="20"/>
          <w:szCs w:val="20"/>
          <w:lang w:val="en-US"/>
        </w:rPr>
        <w:t xml:space="preserve">, </w:t>
      </w:r>
      <w:r w:rsidRPr="0098539E">
        <w:rPr>
          <w:sz w:val="20"/>
          <w:szCs w:val="20"/>
          <w:lang w:val="en-IE"/>
        </w:rPr>
        <w:t xml:space="preserve">490 US 386, </w:t>
      </w:r>
      <w:r w:rsidRPr="0098539E">
        <w:rPr>
          <w:sz w:val="20"/>
          <w:szCs w:val="20"/>
          <w:lang w:val="en-US"/>
        </w:rPr>
        <w:t xml:space="preserve">395; </w:t>
      </w:r>
      <w:r w:rsidRPr="0098539E">
        <w:rPr>
          <w:i/>
          <w:sz w:val="20"/>
          <w:szCs w:val="20"/>
          <w:lang w:val="en-US"/>
        </w:rPr>
        <w:t>Albright v. Oliver</w:t>
      </w:r>
      <w:r w:rsidRPr="0098539E">
        <w:rPr>
          <w:sz w:val="20"/>
          <w:szCs w:val="20"/>
          <w:lang w:val="en-US"/>
        </w:rPr>
        <w:t>, 510 U.S. 266, 273 = 114 S. Ct. 807, 813 = 127 L. Ed. 2d 114, 124 = 1994 U.S. LEXIS 1319, 16 = 62 U.S.L.W. 4078 = 94 Cal. Daily Op. Service 457 = 94 Daily Journal DAR 855 = 7 Fla. L. Weekly Fed. S 717 (1994).</w:t>
      </w:r>
    </w:p>
  </w:footnote>
  <w:footnote w:id="647">
    <w:p w14:paraId="577A09AC" w14:textId="77777777" w:rsidR="00074551" w:rsidRPr="00035998" w:rsidRDefault="00074551" w:rsidP="00074551">
      <w:pPr>
        <w:pStyle w:val="Funotentext"/>
        <w:rPr>
          <w:lang w:val="en-US"/>
        </w:rPr>
      </w:pPr>
      <w:r>
        <w:rPr>
          <w:rStyle w:val="Funotenzeichen"/>
        </w:rPr>
        <w:footnoteRef/>
      </w:r>
      <w:r w:rsidRPr="00CE4DFD">
        <w:rPr>
          <w:lang w:val="en-IE"/>
        </w:rPr>
        <w:t xml:space="preserve"> </w:t>
      </w:r>
      <w:r w:rsidRPr="009167A5">
        <w:rPr>
          <w:i/>
          <w:lang w:val="en-US"/>
        </w:rPr>
        <w:t>Albright v. Oliver</w:t>
      </w:r>
      <w:r w:rsidRPr="001841D2">
        <w:rPr>
          <w:lang w:val="en-US"/>
        </w:rPr>
        <w:t>, 510 U.S. 266, 294</w:t>
      </w:r>
      <w:r w:rsidRPr="006E67FE">
        <w:rPr>
          <w:lang w:val="en-US"/>
        </w:rPr>
        <w:t xml:space="preserve"> = 114 S. Ct. </w:t>
      </w:r>
      <w:r w:rsidRPr="001841D2">
        <w:rPr>
          <w:lang w:val="en-US"/>
        </w:rPr>
        <w:t>807, 824</w:t>
      </w:r>
      <w:r w:rsidRPr="006E67FE">
        <w:rPr>
          <w:lang w:val="en-US"/>
        </w:rPr>
        <w:t xml:space="preserve"> = 127 L. Ed. </w:t>
      </w:r>
      <w:r w:rsidRPr="001841D2">
        <w:rPr>
          <w:lang w:val="en-US"/>
        </w:rPr>
        <w:t>2d 114, 137</w:t>
      </w:r>
      <w:r w:rsidRPr="006E67FE">
        <w:rPr>
          <w:lang w:val="en-US"/>
        </w:rPr>
        <w:t xml:space="preserve"> = 1994 U.S. LEXIS </w:t>
      </w:r>
      <w:r w:rsidRPr="001841D2">
        <w:rPr>
          <w:lang w:val="en-US"/>
        </w:rPr>
        <w:t>1319, 53</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1841D2">
        <w:rPr>
          <w:lang w:val="en-US"/>
        </w:rPr>
        <w:t>S 717 (1994)</w:t>
      </w:r>
      <w:r>
        <w:rPr>
          <w:lang w:val="en-US"/>
        </w:rPr>
        <w:t>;</w:t>
      </w:r>
      <w:r w:rsidRPr="001841D2">
        <w:rPr>
          <w:lang w:val="en-US"/>
        </w:rPr>
        <w:t xml:space="preserve"> </w:t>
      </w:r>
      <w:proofErr w:type="spellStart"/>
      <w:r w:rsidRPr="001841D2">
        <w:rPr>
          <w:lang w:val="en-US"/>
        </w:rPr>
        <w:t>sie</w:t>
      </w:r>
      <w:r>
        <w:rPr>
          <w:lang w:val="en-US"/>
        </w:rPr>
        <w:t>he</w:t>
      </w:r>
      <w:proofErr w:type="spellEnd"/>
      <w:r w:rsidRPr="001841D2">
        <w:rPr>
          <w:lang w:val="en-US"/>
        </w:rPr>
        <w:t xml:space="preserve"> </w:t>
      </w:r>
      <w:proofErr w:type="spellStart"/>
      <w:r w:rsidRPr="001841D2">
        <w:rPr>
          <w:lang w:val="en-US"/>
        </w:rPr>
        <w:t>dazu</w:t>
      </w:r>
      <w:proofErr w:type="spellEnd"/>
      <w:r w:rsidRPr="001841D2">
        <w:rPr>
          <w:lang w:val="en-US"/>
        </w:rPr>
        <w:t xml:space="preserve"> </w:t>
      </w:r>
      <w:r w:rsidRPr="009E57E1">
        <w:rPr>
          <w:i/>
          <w:lang w:val="en-US"/>
        </w:rPr>
        <w:t>Meyer v. Nebraska</w:t>
      </w:r>
      <w:r w:rsidRPr="001841D2">
        <w:rPr>
          <w:lang w:val="en-US"/>
        </w:rPr>
        <w:t>, 262 U.S. 390</w:t>
      </w:r>
      <w:r w:rsidRPr="00EC5BEB">
        <w:rPr>
          <w:lang w:val="en-US"/>
        </w:rPr>
        <w:t xml:space="preserve"> = 67 L. Ed. </w:t>
      </w:r>
      <w:r w:rsidRPr="001841D2">
        <w:rPr>
          <w:lang w:val="en-US"/>
        </w:rPr>
        <w:t>1042</w:t>
      </w:r>
      <w:r w:rsidRPr="00EC5BEB">
        <w:rPr>
          <w:lang w:val="en-US"/>
        </w:rPr>
        <w:t xml:space="preserve"> = 43 S. Ct. </w:t>
      </w:r>
      <w:r w:rsidRPr="001841D2">
        <w:rPr>
          <w:lang w:val="en-US"/>
        </w:rPr>
        <w:t>625 (1923).</w:t>
      </w:r>
    </w:p>
  </w:footnote>
  <w:footnote w:id="648">
    <w:p w14:paraId="7FD1FCB3" w14:textId="77777777" w:rsidR="00074551" w:rsidRPr="001841D2" w:rsidRDefault="00074551" w:rsidP="00074551">
      <w:pPr>
        <w:pStyle w:val="Funotentext"/>
        <w:rPr>
          <w:lang w:val="en-US"/>
        </w:rPr>
      </w:pPr>
      <w:r>
        <w:rPr>
          <w:rStyle w:val="Funotenzeichen"/>
          <w:rFonts w:eastAsiaTheme="majorEastAsia"/>
        </w:rPr>
        <w:footnoteRef/>
      </w:r>
      <w:r w:rsidRPr="001841D2">
        <w:rPr>
          <w:lang w:val="en-US"/>
        </w:rPr>
        <w:t xml:space="preserve"> </w:t>
      </w:r>
      <w:bookmarkStart w:id="38" w:name="_Hlk231464117"/>
      <w:r w:rsidRPr="009167A5">
        <w:rPr>
          <w:i/>
          <w:lang w:val="en-US"/>
        </w:rPr>
        <w:t>Albright v. Oliver</w:t>
      </w:r>
      <w:r w:rsidRPr="001841D2">
        <w:rPr>
          <w:lang w:val="en-US"/>
        </w:rPr>
        <w:t>, 510 U.S. 266, 294</w:t>
      </w:r>
      <w:r w:rsidRPr="006E67FE">
        <w:rPr>
          <w:lang w:val="en-US"/>
        </w:rPr>
        <w:t xml:space="preserve"> = 114 S. Ct. </w:t>
      </w:r>
      <w:r w:rsidRPr="001841D2">
        <w:rPr>
          <w:lang w:val="en-US"/>
        </w:rPr>
        <w:t>807, 824</w:t>
      </w:r>
      <w:r w:rsidRPr="006E67FE">
        <w:rPr>
          <w:lang w:val="en-US"/>
        </w:rPr>
        <w:t xml:space="preserve"> = 127 L. Ed. </w:t>
      </w:r>
      <w:r w:rsidRPr="001841D2">
        <w:rPr>
          <w:lang w:val="en-US"/>
        </w:rPr>
        <w:t>2d 114, 137</w:t>
      </w:r>
      <w:r w:rsidRPr="006E67FE">
        <w:rPr>
          <w:lang w:val="en-US"/>
        </w:rPr>
        <w:t xml:space="preserve"> = 1994 U.S. LEXIS </w:t>
      </w:r>
      <w:r w:rsidRPr="001841D2">
        <w:rPr>
          <w:lang w:val="en-US"/>
        </w:rPr>
        <w:t>1319, 53</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1841D2">
        <w:rPr>
          <w:lang w:val="en-US"/>
        </w:rPr>
        <w:t>S 717 (1994)</w:t>
      </w:r>
      <w:r>
        <w:rPr>
          <w:lang w:val="en-US"/>
        </w:rPr>
        <w:t>;</w:t>
      </w:r>
      <w:r w:rsidRPr="001841D2">
        <w:rPr>
          <w:lang w:val="en-US"/>
        </w:rPr>
        <w:t xml:space="preserve"> </w:t>
      </w:r>
      <w:proofErr w:type="spellStart"/>
      <w:r w:rsidRPr="001841D2">
        <w:rPr>
          <w:lang w:val="en-US"/>
        </w:rPr>
        <w:t>sie</w:t>
      </w:r>
      <w:r>
        <w:rPr>
          <w:lang w:val="en-US"/>
        </w:rPr>
        <w:t>he</w:t>
      </w:r>
      <w:proofErr w:type="spellEnd"/>
      <w:r w:rsidRPr="001841D2">
        <w:rPr>
          <w:lang w:val="en-US"/>
        </w:rPr>
        <w:t xml:space="preserve"> </w:t>
      </w:r>
      <w:proofErr w:type="spellStart"/>
      <w:r w:rsidRPr="001841D2">
        <w:rPr>
          <w:lang w:val="en-US"/>
        </w:rPr>
        <w:t>dazu</w:t>
      </w:r>
      <w:proofErr w:type="spellEnd"/>
      <w:r w:rsidRPr="001841D2">
        <w:rPr>
          <w:lang w:val="en-US"/>
        </w:rPr>
        <w:t xml:space="preserve"> </w:t>
      </w:r>
      <w:r w:rsidRPr="009E57E1">
        <w:rPr>
          <w:i/>
          <w:lang w:val="en-US"/>
        </w:rPr>
        <w:t>Meyer v. Nebraska</w:t>
      </w:r>
      <w:r w:rsidRPr="001841D2">
        <w:rPr>
          <w:lang w:val="en-US"/>
        </w:rPr>
        <w:t>, 262 U.S. 390</w:t>
      </w:r>
      <w:r w:rsidRPr="00EC5BEB">
        <w:rPr>
          <w:lang w:val="en-US"/>
        </w:rPr>
        <w:t xml:space="preserve"> = 67 L. Ed. </w:t>
      </w:r>
      <w:r w:rsidRPr="001841D2">
        <w:rPr>
          <w:lang w:val="en-US"/>
        </w:rPr>
        <w:t>1042</w:t>
      </w:r>
      <w:r w:rsidRPr="00EC5BEB">
        <w:rPr>
          <w:lang w:val="en-US"/>
        </w:rPr>
        <w:t xml:space="preserve"> = 43 S. Ct. </w:t>
      </w:r>
      <w:r w:rsidRPr="001841D2">
        <w:rPr>
          <w:lang w:val="en-US"/>
        </w:rPr>
        <w:t>625 (1923).</w:t>
      </w:r>
    </w:p>
    <w:bookmarkEnd w:id="38"/>
  </w:footnote>
  <w:footnote w:id="649">
    <w:p w14:paraId="35D84A7A" w14:textId="77777777" w:rsidR="00074551" w:rsidRPr="001841D2" w:rsidRDefault="00074551" w:rsidP="00074551">
      <w:pPr>
        <w:pStyle w:val="Funotentext"/>
        <w:rPr>
          <w:lang w:val="en-US"/>
        </w:rPr>
      </w:pPr>
      <w:r>
        <w:rPr>
          <w:rStyle w:val="Funotenzeichen"/>
          <w:rFonts w:eastAsiaTheme="majorEastAsia"/>
        </w:rPr>
        <w:footnoteRef/>
      </w:r>
      <w:r w:rsidRPr="001841D2">
        <w:rPr>
          <w:lang w:val="en-US"/>
        </w:rPr>
        <w:t xml:space="preserve"> </w:t>
      </w:r>
      <w:r w:rsidRPr="004F13B1">
        <w:rPr>
          <w:i/>
          <w:lang w:val="en-US"/>
        </w:rPr>
        <w:t>Meachum v. Fano</w:t>
      </w:r>
      <w:r w:rsidRPr="001841D2">
        <w:rPr>
          <w:lang w:val="en-US"/>
        </w:rPr>
        <w:t>, 427 U.S. 215</w:t>
      </w:r>
      <w:r w:rsidRPr="006E67FE">
        <w:rPr>
          <w:lang w:val="en-US"/>
        </w:rPr>
        <w:t xml:space="preserve"> = 49 L. Ed. </w:t>
      </w:r>
      <w:r w:rsidRPr="001841D2">
        <w:rPr>
          <w:lang w:val="en-US"/>
        </w:rPr>
        <w:t>2d 451</w:t>
      </w:r>
      <w:r w:rsidRPr="006E67FE">
        <w:rPr>
          <w:lang w:val="en-US"/>
        </w:rPr>
        <w:t xml:space="preserve"> = 96 S. Ct. </w:t>
      </w:r>
      <w:r w:rsidRPr="001841D2">
        <w:rPr>
          <w:lang w:val="en-US"/>
        </w:rPr>
        <w:t>2532 (1976)</w:t>
      </w:r>
      <w:r>
        <w:rPr>
          <w:lang w:val="en-US"/>
        </w:rPr>
        <w:t xml:space="preserve">; </w:t>
      </w:r>
      <w:r w:rsidRPr="009167A5">
        <w:rPr>
          <w:i/>
          <w:lang w:val="en-US"/>
        </w:rPr>
        <w:t>Albright v. Oliver</w:t>
      </w:r>
      <w:r w:rsidRPr="001841D2">
        <w:rPr>
          <w:lang w:val="en-US"/>
        </w:rPr>
        <w:t>, 510 U.S. 266, 295</w:t>
      </w:r>
      <w:r w:rsidRPr="006E67FE">
        <w:rPr>
          <w:lang w:val="en-US"/>
        </w:rPr>
        <w:t xml:space="preserve"> = 114 S. Ct. </w:t>
      </w:r>
      <w:r w:rsidRPr="001841D2">
        <w:rPr>
          <w:lang w:val="en-US"/>
        </w:rPr>
        <w:t>807, 824</w:t>
      </w:r>
      <w:r w:rsidRPr="006E67FE">
        <w:rPr>
          <w:lang w:val="en-US"/>
        </w:rPr>
        <w:t xml:space="preserve"> = 127 L. Ed. </w:t>
      </w:r>
      <w:r w:rsidRPr="001841D2">
        <w:rPr>
          <w:lang w:val="en-US"/>
        </w:rPr>
        <w:t>2d 114, 137</w:t>
      </w:r>
      <w:r w:rsidRPr="006E67FE">
        <w:rPr>
          <w:lang w:val="en-US"/>
        </w:rPr>
        <w:t xml:space="preserve"> = 1994 U.S. LEXIS </w:t>
      </w:r>
      <w:r w:rsidRPr="001841D2">
        <w:rPr>
          <w:lang w:val="en-US"/>
        </w:rPr>
        <w:t>1319, 54</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1841D2">
        <w:rPr>
          <w:lang w:val="en-US"/>
        </w:rPr>
        <w:t>S 717 (1994)</w:t>
      </w:r>
      <w:r>
        <w:rPr>
          <w:lang w:val="en-US"/>
        </w:rPr>
        <w:t>.</w:t>
      </w:r>
    </w:p>
  </w:footnote>
  <w:footnote w:id="650">
    <w:p w14:paraId="45ADEFEE" w14:textId="77777777" w:rsidR="00074551" w:rsidRPr="001841D2" w:rsidRDefault="00074551" w:rsidP="00074551">
      <w:pPr>
        <w:pStyle w:val="Funotentext"/>
        <w:rPr>
          <w:lang w:val="en-US"/>
        </w:rPr>
      </w:pPr>
      <w:r>
        <w:rPr>
          <w:rStyle w:val="Funotenzeichen"/>
          <w:rFonts w:eastAsiaTheme="majorEastAsia"/>
        </w:rPr>
        <w:footnoteRef/>
      </w:r>
      <w:r w:rsidRPr="001841D2">
        <w:rPr>
          <w:lang w:val="en-US"/>
        </w:rPr>
        <w:t xml:space="preserve"> </w:t>
      </w:r>
      <w:proofErr w:type="spellStart"/>
      <w:r>
        <w:rPr>
          <w:lang w:val="en-US"/>
        </w:rPr>
        <w:t>Siehe</w:t>
      </w:r>
      <w:proofErr w:type="spellEnd"/>
      <w:r>
        <w:rPr>
          <w:lang w:val="en-US"/>
        </w:rPr>
        <w:t xml:space="preserve"> </w:t>
      </w:r>
      <w:proofErr w:type="spellStart"/>
      <w:r>
        <w:rPr>
          <w:lang w:val="en-US"/>
        </w:rPr>
        <w:t>z.B.</w:t>
      </w:r>
      <w:proofErr w:type="spellEnd"/>
      <w:r w:rsidRPr="001841D2">
        <w:rPr>
          <w:lang w:val="en-US"/>
        </w:rPr>
        <w:t xml:space="preserve"> </w:t>
      </w:r>
      <w:r w:rsidRPr="00B45592">
        <w:rPr>
          <w:i/>
          <w:lang w:val="en-US"/>
        </w:rPr>
        <w:t>Cleveland Bd. of Ed. v. Loudermill</w:t>
      </w:r>
      <w:r w:rsidRPr="001841D2">
        <w:rPr>
          <w:lang w:val="en-US"/>
        </w:rPr>
        <w:t>, 470 U.S. 532, 542</w:t>
      </w:r>
      <w:r>
        <w:rPr>
          <w:lang w:val="en-US"/>
        </w:rPr>
        <w:t xml:space="preserve"> = 84 L. Ed. </w:t>
      </w:r>
      <w:r w:rsidRPr="001841D2">
        <w:rPr>
          <w:lang w:val="en-US"/>
        </w:rPr>
        <w:t>2d 494</w:t>
      </w:r>
      <w:r>
        <w:rPr>
          <w:lang w:val="en-US"/>
        </w:rPr>
        <w:t xml:space="preserve"> = 105 S. Ct. </w:t>
      </w:r>
      <w:r w:rsidRPr="001841D2">
        <w:rPr>
          <w:lang w:val="en-US"/>
        </w:rPr>
        <w:t>1487 (1985)</w:t>
      </w:r>
      <w:r>
        <w:rPr>
          <w:lang w:val="en-US"/>
        </w:rPr>
        <w:t xml:space="preserve">; </w:t>
      </w:r>
      <w:r w:rsidRPr="00B45592">
        <w:rPr>
          <w:i/>
          <w:lang w:val="en-US"/>
        </w:rPr>
        <w:t>Wisconsin v. Constantineau</w:t>
      </w:r>
      <w:r w:rsidRPr="001841D2">
        <w:rPr>
          <w:lang w:val="en-US"/>
        </w:rPr>
        <w:t>, 400 U.S. 433, 436</w:t>
      </w:r>
      <w:r>
        <w:rPr>
          <w:lang w:val="en-US"/>
        </w:rPr>
        <w:t>–</w:t>
      </w:r>
      <w:r w:rsidRPr="001841D2">
        <w:rPr>
          <w:lang w:val="en-US"/>
        </w:rPr>
        <w:t>437</w:t>
      </w:r>
      <w:r w:rsidRPr="006E67FE">
        <w:rPr>
          <w:lang w:val="en-US"/>
        </w:rPr>
        <w:t xml:space="preserve"> = 27 L. Ed. </w:t>
      </w:r>
      <w:r w:rsidRPr="001841D2">
        <w:rPr>
          <w:lang w:val="en-US"/>
        </w:rPr>
        <w:t>2d 515</w:t>
      </w:r>
      <w:r w:rsidRPr="006E67FE">
        <w:rPr>
          <w:lang w:val="en-US"/>
        </w:rPr>
        <w:t xml:space="preserve"> = 91 S. Ct. </w:t>
      </w:r>
      <w:r w:rsidRPr="001841D2">
        <w:rPr>
          <w:lang w:val="en-US"/>
        </w:rPr>
        <w:t>507 (1971)</w:t>
      </w:r>
      <w:r>
        <w:rPr>
          <w:lang w:val="en-US"/>
        </w:rPr>
        <w:t xml:space="preserve">; </w:t>
      </w:r>
      <w:r w:rsidRPr="009167A5">
        <w:rPr>
          <w:i/>
          <w:lang w:val="en-US"/>
        </w:rPr>
        <w:t>Albright v. Oliver</w:t>
      </w:r>
      <w:r w:rsidRPr="001841D2">
        <w:rPr>
          <w:lang w:val="en-US"/>
        </w:rPr>
        <w:t>, 510 U.S. 266, 295</w:t>
      </w:r>
      <w:r w:rsidRPr="006E67FE">
        <w:rPr>
          <w:lang w:val="en-US"/>
        </w:rPr>
        <w:t xml:space="preserve"> = 114 S. Ct. </w:t>
      </w:r>
      <w:r w:rsidRPr="001841D2">
        <w:rPr>
          <w:lang w:val="en-US"/>
        </w:rPr>
        <w:t>807, 824</w:t>
      </w:r>
      <w:r w:rsidRPr="006E67FE">
        <w:rPr>
          <w:lang w:val="en-US"/>
        </w:rPr>
        <w:t xml:space="preserve"> = 127 L. Ed. </w:t>
      </w:r>
      <w:r w:rsidRPr="001841D2">
        <w:rPr>
          <w:lang w:val="en-US"/>
        </w:rPr>
        <w:t>2d 114, 137</w:t>
      </w:r>
      <w:r w:rsidRPr="006E67FE">
        <w:rPr>
          <w:lang w:val="en-US"/>
        </w:rPr>
        <w:t xml:space="preserve"> = 1994 U.S. LEXIS </w:t>
      </w:r>
      <w:r w:rsidRPr="001841D2">
        <w:rPr>
          <w:lang w:val="en-US"/>
        </w:rPr>
        <w:t>1319, 54</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1841D2">
        <w:rPr>
          <w:lang w:val="en-US"/>
        </w:rPr>
        <w:t>S 717 (1994)</w:t>
      </w:r>
      <w:r>
        <w:rPr>
          <w:lang w:val="en-US"/>
        </w:rPr>
        <w:t>.</w:t>
      </w:r>
    </w:p>
  </w:footnote>
  <w:footnote w:id="651">
    <w:p w14:paraId="3CDA4D7C" w14:textId="77777777" w:rsidR="00074551" w:rsidRPr="00A64303" w:rsidRDefault="00074551" w:rsidP="00074551">
      <w:pPr>
        <w:pStyle w:val="Funotentext"/>
        <w:rPr>
          <w:lang w:val="en-US"/>
        </w:rPr>
      </w:pPr>
      <w:r>
        <w:rPr>
          <w:rStyle w:val="Funotenzeichen"/>
          <w:rFonts w:eastAsiaTheme="majorEastAsia"/>
        </w:rPr>
        <w:footnoteRef/>
      </w:r>
      <w:r w:rsidRPr="001841D2">
        <w:rPr>
          <w:lang w:val="en-US"/>
        </w:rPr>
        <w:t xml:space="preserve"> </w:t>
      </w:r>
      <w:r w:rsidRPr="00B45592">
        <w:rPr>
          <w:i/>
          <w:lang w:val="en-US"/>
        </w:rPr>
        <w:t>Mullane v. Central Hanover Bank &amp; Trust Co.</w:t>
      </w:r>
      <w:r w:rsidRPr="001841D2">
        <w:rPr>
          <w:lang w:val="en-US"/>
        </w:rPr>
        <w:t>, 339 U.S. 306, 313</w:t>
      </w:r>
      <w:r>
        <w:rPr>
          <w:lang w:val="en-US"/>
        </w:rPr>
        <w:t xml:space="preserve"> = 94 L. Ed. </w:t>
      </w:r>
      <w:r w:rsidRPr="001841D2">
        <w:rPr>
          <w:lang w:val="en-US"/>
        </w:rPr>
        <w:t>865</w:t>
      </w:r>
      <w:r>
        <w:rPr>
          <w:lang w:val="en-US"/>
        </w:rPr>
        <w:t xml:space="preserve"> = 70 S. Ct. </w:t>
      </w:r>
      <w:r w:rsidRPr="001841D2">
        <w:rPr>
          <w:lang w:val="en-US"/>
        </w:rPr>
        <w:t xml:space="preserve">652 (1950); </w:t>
      </w:r>
      <w:r w:rsidRPr="00B45592">
        <w:rPr>
          <w:i/>
          <w:lang w:val="en-US"/>
        </w:rPr>
        <w:t>Goss v. Lopez</w:t>
      </w:r>
      <w:r w:rsidRPr="001841D2">
        <w:rPr>
          <w:lang w:val="en-US"/>
        </w:rPr>
        <w:t>, 419 U.S. 565, 581</w:t>
      </w:r>
      <w:r w:rsidRPr="003B741A">
        <w:rPr>
          <w:lang w:val="en-US"/>
        </w:rPr>
        <w:t xml:space="preserve"> = 42 L. Ed. </w:t>
      </w:r>
      <w:r w:rsidRPr="001841D2">
        <w:rPr>
          <w:lang w:val="en-US"/>
        </w:rPr>
        <w:t>2d 725</w:t>
      </w:r>
      <w:r w:rsidRPr="003B741A">
        <w:rPr>
          <w:lang w:val="en-US"/>
        </w:rPr>
        <w:t xml:space="preserve"> = 95 S. Ct. </w:t>
      </w:r>
      <w:r w:rsidRPr="001841D2">
        <w:rPr>
          <w:lang w:val="en-US"/>
        </w:rPr>
        <w:t>729 (1975)</w:t>
      </w:r>
      <w:r>
        <w:rPr>
          <w:lang w:val="en-US"/>
        </w:rPr>
        <w:t xml:space="preserve">; </w:t>
      </w:r>
      <w:r w:rsidRPr="009167A5">
        <w:rPr>
          <w:i/>
          <w:lang w:val="en-US"/>
        </w:rPr>
        <w:t>Albright v. Oliver</w:t>
      </w:r>
      <w:r w:rsidRPr="001841D2">
        <w:rPr>
          <w:lang w:val="en-US"/>
        </w:rPr>
        <w:t>, 510 U.S. 266, 295</w:t>
      </w:r>
      <w:r w:rsidRPr="006E67FE">
        <w:rPr>
          <w:lang w:val="en-US"/>
        </w:rPr>
        <w:t xml:space="preserve"> = 114 S. Ct. </w:t>
      </w:r>
      <w:r w:rsidRPr="001841D2">
        <w:rPr>
          <w:lang w:val="en-US"/>
        </w:rPr>
        <w:t>807, 824</w:t>
      </w:r>
      <w:r w:rsidRPr="006E67FE">
        <w:rPr>
          <w:lang w:val="en-US"/>
        </w:rPr>
        <w:t xml:space="preserve"> = 127 L. Ed. </w:t>
      </w:r>
      <w:r w:rsidRPr="001841D2">
        <w:rPr>
          <w:lang w:val="en-US"/>
        </w:rPr>
        <w:t>2d 114, 137</w:t>
      </w:r>
      <w:r w:rsidRPr="006E67FE">
        <w:rPr>
          <w:lang w:val="en-US"/>
        </w:rPr>
        <w:t xml:space="preserve"> = 1994 U.S. LEXIS </w:t>
      </w:r>
      <w:r w:rsidRPr="001841D2">
        <w:rPr>
          <w:lang w:val="en-US"/>
        </w:rPr>
        <w:t>1319, 54</w:t>
      </w:r>
      <w:r w:rsidRPr="006E67FE">
        <w:rPr>
          <w:lang w:val="en-US"/>
        </w:rPr>
        <w:t xml:space="preserve"> = 62 U.S.L.W. </w:t>
      </w:r>
      <w:r w:rsidRPr="001841D2">
        <w:rPr>
          <w:lang w:val="en-US"/>
        </w:rPr>
        <w:t>4078</w:t>
      </w:r>
      <w:r w:rsidRPr="006E67FE">
        <w:rPr>
          <w:lang w:val="en-US"/>
        </w:rPr>
        <w:t xml:space="preserve"> = 94 Cal. Daily Op. Service </w:t>
      </w:r>
      <w:r w:rsidRPr="001841D2">
        <w:rPr>
          <w:lang w:val="en-US"/>
        </w:rPr>
        <w:t>457</w:t>
      </w:r>
      <w:r w:rsidRPr="006E67FE">
        <w:rPr>
          <w:lang w:val="en-US"/>
        </w:rPr>
        <w:t xml:space="preserve"> = 94 Daily Journal </w:t>
      </w:r>
      <w:r w:rsidRPr="001841D2">
        <w:rPr>
          <w:lang w:val="en-US"/>
        </w:rPr>
        <w:t>DAR 855</w:t>
      </w:r>
      <w:r w:rsidRPr="006E67FE">
        <w:rPr>
          <w:lang w:val="en-US"/>
        </w:rPr>
        <w:t xml:space="preserve"> = 7 Fla. L. Weekly Fed. </w:t>
      </w:r>
      <w:r w:rsidRPr="00A64303">
        <w:rPr>
          <w:lang w:val="en-US"/>
        </w:rPr>
        <w:t>S 717 (1994)</w:t>
      </w:r>
      <w:r>
        <w:rPr>
          <w:lang w:val="en-US"/>
        </w:rPr>
        <w:t>.</w:t>
      </w:r>
    </w:p>
  </w:footnote>
  <w:footnote w:id="652">
    <w:p w14:paraId="1DDB6797"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45592">
        <w:rPr>
          <w:i/>
          <w:lang w:val="en-US"/>
        </w:rPr>
        <w:t>Butchers’ Union Company v. Crescent City Company</w:t>
      </w:r>
      <w:r w:rsidRPr="007E70BF">
        <w:rPr>
          <w:lang w:val="en-US"/>
        </w:rPr>
        <w:t>, 111 U.S. 746</w:t>
      </w:r>
      <w:r>
        <w:rPr>
          <w:lang w:val="en-US"/>
        </w:rPr>
        <w:t xml:space="preserve">; </w:t>
      </w:r>
      <w:r w:rsidRPr="004F13B1">
        <w:rPr>
          <w:i/>
          <w:lang w:val="en-US"/>
        </w:rPr>
        <w:t>Allgeyer v. Louisiana</w:t>
      </w:r>
      <w:r w:rsidRPr="007E70BF">
        <w:rPr>
          <w:lang w:val="en-US"/>
        </w:rPr>
        <w:t>, 165 U.S. 578, 589</w:t>
      </w:r>
      <w:r>
        <w:rPr>
          <w:lang w:val="en-US"/>
        </w:rPr>
        <w:t xml:space="preserve"> = 17 S. Ct. </w:t>
      </w:r>
      <w:r w:rsidRPr="007E70BF">
        <w:rPr>
          <w:lang w:val="en-US"/>
        </w:rPr>
        <w:t>427, 431</w:t>
      </w:r>
      <w:r>
        <w:rPr>
          <w:lang w:val="en-US"/>
        </w:rPr>
        <w:t xml:space="preserve"> = 41 L. Ed. </w:t>
      </w:r>
      <w:r w:rsidRPr="007E70BF">
        <w:rPr>
          <w:lang w:val="en-US"/>
        </w:rPr>
        <w:t>832, 836</w:t>
      </w:r>
      <w:r>
        <w:rPr>
          <w:lang w:val="en-US"/>
        </w:rPr>
        <w:t xml:space="preserve"> = 1897 U.S. LEXIS </w:t>
      </w:r>
      <w:r w:rsidRPr="007E70BF">
        <w:rPr>
          <w:lang w:val="en-US"/>
        </w:rPr>
        <w:t>1998, 20 (1897)</w:t>
      </w:r>
      <w:r>
        <w:rPr>
          <w:lang w:val="en-US"/>
        </w:rPr>
        <w:t>.</w:t>
      </w:r>
    </w:p>
  </w:footnote>
  <w:footnote w:id="653">
    <w:p w14:paraId="0521C1A8"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4F13B1">
        <w:rPr>
          <w:i/>
          <w:lang w:val="en-US"/>
        </w:rPr>
        <w:t>Allgeyer v. Louisiana</w:t>
      </w:r>
      <w:r w:rsidRPr="007E70BF">
        <w:rPr>
          <w:lang w:val="en-US"/>
        </w:rPr>
        <w:t>, 165 U.S. 578, 589</w:t>
      </w:r>
      <w:r>
        <w:rPr>
          <w:lang w:val="en-US"/>
        </w:rPr>
        <w:t xml:space="preserve"> = 17 S. Ct. </w:t>
      </w:r>
      <w:r w:rsidRPr="007E70BF">
        <w:rPr>
          <w:lang w:val="en-US"/>
        </w:rPr>
        <w:t>427, 431</w:t>
      </w:r>
      <w:r>
        <w:rPr>
          <w:lang w:val="en-US"/>
        </w:rPr>
        <w:t xml:space="preserve"> = 41 L. Ed. </w:t>
      </w:r>
      <w:r w:rsidRPr="007E70BF">
        <w:rPr>
          <w:lang w:val="en-US"/>
        </w:rPr>
        <w:t>832, 836</w:t>
      </w:r>
      <w:r>
        <w:rPr>
          <w:lang w:val="en-US"/>
        </w:rPr>
        <w:t xml:space="preserve"> = 1897 U.S. LEXIS </w:t>
      </w:r>
      <w:r w:rsidRPr="007E70BF">
        <w:rPr>
          <w:lang w:val="en-US"/>
        </w:rPr>
        <w:t>1998, 20 (1897)</w:t>
      </w:r>
      <w:r>
        <w:rPr>
          <w:lang w:val="en-US"/>
        </w:rPr>
        <w:t>.</w:t>
      </w:r>
    </w:p>
  </w:footnote>
  <w:footnote w:id="654">
    <w:p w14:paraId="7B0F0D8A"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4F13B1">
        <w:rPr>
          <w:i/>
          <w:lang w:val="en-US"/>
        </w:rPr>
        <w:t>Allgeyer v. Louisiana</w:t>
      </w:r>
      <w:r w:rsidRPr="007E70BF">
        <w:rPr>
          <w:lang w:val="en-US"/>
        </w:rPr>
        <w:t>, 165 U.S. 578, 589</w:t>
      </w:r>
      <w:r>
        <w:rPr>
          <w:lang w:val="en-US"/>
        </w:rPr>
        <w:t xml:space="preserve"> = 17 S. Ct. </w:t>
      </w:r>
      <w:r w:rsidRPr="007E70BF">
        <w:rPr>
          <w:lang w:val="en-US"/>
        </w:rPr>
        <w:t>427, 431</w:t>
      </w:r>
      <w:r>
        <w:rPr>
          <w:lang w:val="en-US"/>
        </w:rPr>
        <w:t xml:space="preserve"> = 41 L. Ed. </w:t>
      </w:r>
      <w:r w:rsidRPr="007E70BF">
        <w:rPr>
          <w:lang w:val="en-US"/>
        </w:rPr>
        <w:t>832, 836</w:t>
      </w:r>
      <w:r>
        <w:rPr>
          <w:lang w:val="en-US"/>
        </w:rPr>
        <w:t xml:space="preserve"> = 1897 U.S. LEXIS </w:t>
      </w:r>
      <w:r w:rsidRPr="007E70BF">
        <w:rPr>
          <w:lang w:val="en-US"/>
        </w:rPr>
        <w:t>1998, 20 (1897)</w:t>
      </w:r>
      <w:r>
        <w:rPr>
          <w:lang w:val="en-US"/>
        </w:rPr>
        <w:t>.</w:t>
      </w:r>
    </w:p>
  </w:footnote>
  <w:footnote w:id="655">
    <w:p w14:paraId="0B875A3A"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4F13B1">
        <w:rPr>
          <w:i/>
          <w:lang w:val="en-US"/>
        </w:rPr>
        <w:t>Allgeyer v. Louisiana</w:t>
      </w:r>
      <w:r w:rsidRPr="007E70BF">
        <w:rPr>
          <w:lang w:val="en-US"/>
        </w:rPr>
        <w:t>, 165 U.S. 578, 589</w:t>
      </w:r>
      <w:r>
        <w:rPr>
          <w:lang w:val="en-US"/>
        </w:rPr>
        <w:t xml:space="preserve"> = 17 S. Ct. </w:t>
      </w:r>
      <w:r w:rsidRPr="007E70BF">
        <w:rPr>
          <w:lang w:val="en-US"/>
        </w:rPr>
        <w:t>427, 431</w:t>
      </w:r>
      <w:r>
        <w:rPr>
          <w:lang w:val="en-US"/>
        </w:rPr>
        <w:t xml:space="preserve"> = 41 L. Ed. </w:t>
      </w:r>
      <w:r w:rsidRPr="007E70BF">
        <w:rPr>
          <w:lang w:val="en-US"/>
        </w:rPr>
        <w:t>832, 836</w:t>
      </w:r>
      <w:r>
        <w:rPr>
          <w:lang w:val="en-US"/>
        </w:rPr>
        <w:t xml:space="preserve"> = 1897 U.S. LEXIS </w:t>
      </w:r>
      <w:r w:rsidRPr="007E70BF">
        <w:rPr>
          <w:lang w:val="en-US"/>
        </w:rPr>
        <w:t>1998, 20 (1897)</w:t>
      </w:r>
      <w:r>
        <w:rPr>
          <w:lang w:val="en-US"/>
        </w:rPr>
        <w:t>.</w:t>
      </w:r>
    </w:p>
  </w:footnote>
  <w:footnote w:id="656">
    <w:p w14:paraId="629D168B"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45592">
        <w:rPr>
          <w:i/>
          <w:lang w:val="en-US"/>
        </w:rPr>
        <w:t>Butchers’ Union Company v. Crescent City Company</w:t>
      </w:r>
      <w:r w:rsidRPr="007E70BF">
        <w:rPr>
          <w:lang w:val="en-US"/>
        </w:rPr>
        <w:t>, 111 U.S. 746</w:t>
      </w:r>
      <w:r>
        <w:rPr>
          <w:lang w:val="en-US"/>
        </w:rPr>
        <w:t xml:space="preserve">; </w:t>
      </w:r>
      <w:r w:rsidRPr="004F13B1">
        <w:rPr>
          <w:i/>
          <w:lang w:val="en-US"/>
        </w:rPr>
        <w:t>Allgeyer v. Louisiana</w:t>
      </w:r>
      <w:r w:rsidRPr="007E70BF">
        <w:rPr>
          <w:lang w:val="en-US"/>
        </w:rPr>
        <w:t>, 165 U.S. 578, 589</w:t>
      </w:r>
      <w:r>
        <w:rPr>
          <w:lang w:val="en-US"/>
        </w:rPr>
        <w:t xml:space="preserve"> = 17 S. Ct. </w:t>
      </w:r>
      <w:r w:rsidRPr="007E70BF">
        <w:rPr>
          <w:lang w:val="en-US"/>
        </w:rPr>
        <w:t>427, 431</w:t>
      </w:r>
      <w:r>
        <w:rPr>
          <w:lang w:val="en-US"/>
        </w:rPr>
        <w:t xml:space="preserve"> = 41 L. Ed. </w:t>
      </w:r>
      <w:r w:rsidRPr="007E70BF">
        <w:rPr>
          <w:lang w:val="en-US"/>
        </w:rPr>
        <w:t>832, 836</w:t>
      </w:r>
      <w:r>
        <w:rPr>
          <w:lang w:val="en-US"/>
        </w:rPr>
        <w:t xml:space="preserve"> = 1897 U.S. LEXIS </w:t>
      </w:r>
      <w:r w:rsidRPr="007E70BF">
        <w:rPr>
          <w:lang w:val="en-US"/>
        </w:rPr>
        <w:t>1998, 20 (1897)</w:t>
      </w:r>
      <w:r>
        <w:rPr>
          <w:lang w:val="en-US"/>
        </w:rPr>
        <w:t>.</w:t>
      </w:r>
    </w:p>
  </w:footnote>
  <w:footnote w:id="657">
    <w:p w14:paraId="3F76CA88"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Griswold v. Connecticut</w:t>
      </w:r>
      <w:r w:rsidRPr="00BA1E56">
        <w:rPr>
          <w:lang w:val="en-US"/>
        </w:rPr>
        <w:t>, 381 U.S. 479, 480</w:t>
      </w:r>
      <w:r w:rsidRPr="006E67FE">
        <w:rPr>
          <w:lang w:val="en-US"/>
        </w:rPr>
        <w:t xml:space="preserve"> = 85 S. Ct. </w:t>
      </w:r>
      <w:r w:rsidRPr="00BA1E56">
        <w:rPr>
          <w:lang w:val="en-US"/>
        </w:rPr>
        <w:t>1678, 1679</w:t>
      </w:r>
      <w:r w:rsidRPr="003B741A">
        <w:rPr>
          <w:lang w:val="en-US"/>
        </w:rPr>
        <w:t xml:space="preserve"> = 14 L. Ed. </w:t>
      </w:r>
      <w:r w:rsidRPr="00BA1E56">
        <w:rPr>
          <w:lang w:val="en-US"/>
        </w:rPr>
        <w:t>2d 510, 512</w:t>
      </w:r>
      <w:r w:rsidRPr="006E67FE">
        <w:rPr>
          <w:lang w:val="en-US"/>
        </w:rPr>
        <w:t xml:space="preserve"> = 1965 U.S. LEXIS </w:t>
      </w:r>
      <w:r w:rsidRPr="00BA1E56">
        <w:rPr>
          <w:lang w:val="en-US"/>
        </w:rPr>
        <w:t>2282, 1 (1965)</w:t>
      </w:r>
      <w:r>
        <w:rPr>
          <w:lang w:val="en-US"/>
        </w:rPr>
        <w:t>.</w:t>
      </w:r>
    </w:p>
  </w:footnote>
  <w:footnote w:id="658">
    <w:p w14:paraId="4B449CCC"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Olmstead v. United States</w:t>
      </w:r>
      <w:r w:rsidRPr="00BA1E56">
        <w:rPr>
          <w:lang w:val="en-US"/>
        </w:rPr>
        <w:t>, 277 U.S. 438, 478</w:t>
      </w:r>
      <w:r w:rsidRPr="006E67FE">
        <w:rPr>
          <w:lang w:val="en-US"/>
        </w:rPr>
        <w:t xml:space="preserve"> = 48 S. Ct. </w:t>
      </w:r>
      <w:r w:rsidRPr="00BA1E56">
        <w:rPr>
          <w:lang w:val="en-US"/>
        </w:rPr>
        <w:t>564, 572</w:t>
      </w:r>
      <w:r w:rsidRPr="006E67FE">
        <w:rPr>
          <w:lang w:val="en-US"/>
        </w:rPr>
        <w:t xml:space="preserve"> = 72 L. Ed. </w:t>
      </w:r>
      <w:r w:rsidRPr="00BA1E56">
        <w:rPr>
          <w:lang w:val="en-US"/>
        </w:rPr>
        <w:t>944, 956</w:t>
      </w:r>
      <w:r w:rsidRPr="006E67FE">
        <w:rPr>
          <w:lang w:val="en-US"/>
        </w:rPr>
        <w:t xml:space="preserve"> = 1928 U.S. LEXIS </w:t>
      </w:r>
      <w:r w:rsidRPr="00BA1E56">
        <w:rPr>
          <w:lang w:val="en-US"/>
        </w:rPr>
        <w:t>694, 66</w:t>
      </w:r>
      <w:r w:rsidRPr="006E67FE">
        <w:rPr>
          <w:lang w:val="en-US"/>
        </w:rPr>
        <w:t xml:space="preserve"> = 66 A.L.R. </w:t>
      </w:r>
      <w:r w:rsidRPr="00BA1E56">
        <w:rPr>
          <w:lang w:val="en-US"/>
        </w:rPr>
        <w:t>376 (1928)</w:t>
      </w:r>
      <w:r>
        <w:rPr>
          <w:lang w:val="en-US"/>
        </w:rPr>
        <w:t>.</w:t>
      </w:r>
    </w:p>
  </w:footnote>
  <w:footnote w:id="659">
    <w:p w14:paraId="22400C56"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Griswold v. Connecticut</w:t>
      </w:r>
      <w:r w:rsidRPr="00BA1E56">
        <w:rPr>
          <w:lang w:val="en-US"/>
        </w:rPr>
        <w:t>, 381 U.S. 479, 494</w:t>
      </w:r>
      <w:r w:rsidRPr="006E67FE">
        <w:rPr>
          <w:lang w:val="en-US"/>
        </w:rPr>
        <w:t xml:space="preserve"> = 85 S. Ct. </w:t>
      </w:r>
      <w:r w:rsidRPr="00BA1E56">
        <w:rPr>
          <w:lang w:val="en-US"/>
        </w:rPr>
        <w:t>1678, 1687</w:t>
      </w:r>
      <w:r w:rsidRPr="003B741A">
        <w:rPr>
          <w:lang w:val="en-US"/>
        </w:rPr>
        <w:t xml:space="preserve"> = 14 L. Ed. </w:t>
      </w:r>
      <w:r w:rsidRPr="00BA1E56">
        <w:rPr>
          <w:lang w:val="en-US"/>
        </w:rPr>
        <w:t>2d 510, 521</w:t>
      </w:r>
      <w:r w:rsidRPr="006E67FE">
        <w:rPr>
          <w:lang w:val="en-US"/>
        </w:rPr>
        <w:t xml:space="preserve"> = 1965 U.S. LEXIS </w:t>
      </w:r>
      <w:r w:rsidRPr="00BA1E56">
        <w:rPr>
          <w:lang w:val="en-US"/>
        </w:rPr>
        <w:t>2282, 25 (1965)</w:t>
      </w:r>
      <w:r>
        <w:rPr>
          <w:lang w:val="en-US"/>
        </w:rPr>
        <w:t>.</w:t>
      </w:r>
    </w:p>
  </w:footnote>
  <w:footnote w:id="660">
    <w:p w14:paraId="0E260B00"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Griswold v. Connecticut</w:t>
      </w:r>
      <w:r w:rsidRPr="00BA1E56">
        <w:rPr>
          <w:lang w:val="en-US"/>
        </w:rPr>
        <w:t>, 381 U.S. 479, 480</w:t>
      </w:r>
      <w:r w:rsidRPr="006E67FE">
        <w:rPr>
          <w:lang w:val="en-US"/>
        </w:rPr>
        <w:t xml:space="preserve"> = 85 S. Ct. </w:t>
      </w:r>
      <w:r w:rsidRPr="00BA1E56">
        <w:rPr>
          <w:lang w:val="en-US"/>
        </w:rPr>
        <w:t>1678, 1679</w:t>
      </w:r>
      <w:r w:rsidRPr="003B741A">
        <w:rPr>
          <w:lang w:val="en-US"/>
        </w:rPr>
        <w:t xml:space="preserve"> = 14 L. Ed. </w:t>
      </w:r>
      <w:r w:rsidRPr="00BA1E56">
        <w:rPr>
          <w:lang w:val="en-US"/>
        </w:rPr>
        <w:t>2d 510, 512</w:t>
      </w:r>
      <w:r w:rsidRPr="006E67FE">
        <w:rPr>
          <w:lang w:val="en-US"/>
        </w:rPr>
        <w:t xml:space="preserve"> = 1965 U.S. LEXIS </w:t>
      </w:r>
      <w:r w:rsidRPr="00BA1E56">
        <w:rPr>
          <w:lang w:val="en-US"/>
        </w:rPr>
        <w:t>2282, 1 (1965</w:t>
      </w:r>
      <w:r>
        <w:rPr>
          <w:lang w:val="en-US"/>
        </w:rPr>
        <w:t>).</w:t>
      </w:r>
    </w:p>
  </w:footnote>
  <w:footnote w:id="661">
    <w:p w14:paraId="6480A49D" w14:textId="77777777" w:rsidR="00074551" w:rsidRPr="00F17C48" w:rsidRDefault="00074551" w:rsidP="00074551">
      <w:pPr>
        <w:pStyle w:val="Funotentext"/>
        <w:rPr>
          <w:lang w:val="en-US"/>
        </w:rPr>
      </w:pPr>
      <w:r>
        <w:rPr>
          <w:rStyle w:val="Funotenzeichen"/>
        </w:rPr>
        <w:footnoteRef/>
      </w:r>
      <w:r w:rsidRPr="00F17C48">
        <w:rPr>
          <w:lang w:val="en-US"/>
        </w:rPr>
        <w:t xml:space="preserve"> </w:t>
      </w:r>
      <w:r w:rsidRPr="009167A5">
        <w:rPr>
          <w:i/>
          <w:lang w:val="en-US"/>
        </w:rPr>
        <w:t>Griswold v. Connecticut</w:t>
      </w:r>
      <w:r w:rsidRPr="006D347A">
        <w:rPr>
          <w:lang w:val="en-US"/>
        </w:rPr>
        <w:t>, 381 U.S. 479, 494</w:t>
      </w:r>
      <w:r w:rsidRPr="006E67FE">
        <w:rPr>
          <w:lang w:val="en-US"/>
        </w:rPr>
        <w:t xml:space="preserve"> = 85 S. Ct. </w:t>
      </w:r>
      <w:r w:rsidRPr="006D347A">
        <w:rPr>
          <w:lang w:val="en-US"/>
        </w:rPr>
        <w:t>1678, 1687</w:t>
      </w:r>
      <w:r w:rsidRPr="003B741A">
        <w:rPr>
          <w:lang w:val="en-US"/>
        </w:rPr>
        <w:t xml:space="preserve"> = 14 L. Ed. </w:t>
      </w:r>
      <w:r w:rsidRPr="006D347A">
        <w:rPr>
          <w:lang w:val="en-US"/>
        </w:rPr>
        <w:t>2d 510, 521</w:t>
      </w:r>
      <w:r w:rsidRPr="006E67FE">
        <w:rPr>
          <w:lang w:val="en-US"/>
        </w:rPr>
        <w:t xml:space="preserve"> = 1965 U.S. LEXIS </w:t>
      </w:r>
      <w:r w:rsidRPr="006D347A">
        <w:rPr>
          <w:lang w:val="en-US"/>
        </w:rPr>
        <w:t>2282, 25 (1965)</w:t>
      </w:r>
      <w:r>
        <w:rPr>
          <w:lang w:val="en-US"/>
        </w:rPr>
        <w:t>.</w:t>
      </w:r>
    </w:p>
  </w:footnote>
  <w:footnote w:id="662">
    <w:p w14:paraId="3637FBEB"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Griswold v. Connecticut</w:t>
      </w:r>
      <w:r w:rsidRPr="00BA1E56">
        <w:rPr>
          <w:lang w:val="en-US"/>
        </w:rPr>
        <w:t>, 381 U.S. 479, 494</w:t>
      </w:r>
      <w:r w:rsidRPr="006E67FE">
        <w:rPr>
          <w:lang w:val="en-US"/>
        </w:rPr>
        <w:t xml:space="preserve"> = 85 S. Ct. </w:t>
      </w:r>
      <w:r w:rsidRPr="00BA1E56">
        <w:rPr>
          <w:lang w:val="en-US"/>
        </w:rPr>
        <w:t>1678, 1687</w:t>
      </w:r>
      <w:r w:rsidRPr="003B741A">
        <w:rPr>
          <w:lang w:val="en-US"/>
        </w:rPr>
        <w:t xml:space="preserve"> = 14 L. Ed. </w:t>
      </w:r>
      <w:r w:rsidRPr="00BA1E56">
        <w:rPr>
          <w:lang w:val="en-US"/>
        </w:rPr>
        <w:t>2d 510, 521</w:t>
      </w:r>
      <w:r w:rsidRPr="006E67FE">
        <w:rPr>
          <w:lang w:val="en-US"/>
        </w:rPr>
        <w:t xml:space="preserve"> = 1965 U.S. LEXIS </w:t>
      </w:r>
      <w:r w:rsidRPr="00BA1E56">
        <w:rPr>
          <w:lang w:val="en-US"/>
        </w:rPr>
        <w:t>2282, 25 (1965)</w:t>
      </w:r>
      <w:r>
        <w:rPr>
          <w:lang w:val="en-US"/>
        </w:rPr>
        <w:t>.</w:t>
      </w:r>
    </w:p>
  </w:footnote>
  <w:footnote w:id="663">
    <w:p w14:paraId="1CC83AE5" w14:textId="77777777" w:rsidR="00074551" w:rsidRPr="00380265" w:rsidRDefault="00074551" w:rsidP="00074551">
      <w:pPr>
        <w:pStyle w:val="Funotentext"/>
        <w:rPr>
          <w:lang w:val="en-US"/>
        </w:rPr>
      </w:pPr>
      <w:r>
        <w:rPr>
          <w:rStyle w:val="Funotenzeichen"/>
          <w:rFonts w:eastAsiaTheme="majorEastAsia"/>
        </w:rPr>
        <w:footnoteRef/>
      </w:r>
      <w:r w:rsidRPr="00380265">
        <w:rPr>
          <w:lang w:val="en-US"/>
        </w:rPr>
        <w:t xml:space="preserve"> </w:t>
      </w:r>
      <w:r w:rsidRPr="009167A5">
        <w:rPr>
          <w:i/>
          <w:lang w:val="en-US"/>
        </w:rPr>
        <w:t>Griswold v. Connecticut</w:t>
      </w:r>
      <w:r w:rsidRPr="00380265">
        <w:rPr>
          <w:lang w:val="en-US"/>
        </w:rPr>
        <w:t>, 381 U.S. 479, 494</w:t>
      </w:r>
      <w:r w:rsidRPr="006E67FE">
        <w:rPr>
          <w:lang w:val="en-US"/>
        </w:rPr>
        <w:t xml:space="preserve"> = 85 S. Ct. </w:t>
      </w:r>
      <w:r w:rsidRPr="00380265">
        <w:rPr>
          <w:lang w:val="en-US"/>
        </w:rPr>
        <w:t>1678, 1687</w:t>
      </w:r>
      <w:r w:rsidRPr="003B741A">
        <w:rPr>
          <w:lang w:val="en-US"/>
        </w:rPr>
        <w:t xml:space="preserve"> = 14 L. Ed. </w:t>
      </w:r>
      <w:r w:rsidRPr="00380265">
        <w:rPr>
          <w:lang w:val="en-US"/>
        </w:rPr>
        <w:t>2d 510, 521</w:t>
      </w:r>
      <w:r w:rsidRPr="006E67FE">
        <w:rPr>
          <w:lang w:val="en-US"/>
        </w:rPr>
        <w:t xml:space="preserve"> = 1965 U.S. LEXIS </w:t>
      </w:r>
      <w:r w:rsidRPr="00380265">
        <w:rPr>
          <w:lang w:val="en-US"/>
        </w:rPr>
        <w:t>2282, 25 (1965)</w:t>
      </w:r>
      <w:r>
        <w:rPr>
          <w:lang w:val="en-US"/>
        </w:rPr>
        <w:t>.</w:t>
      </w:r>
    </w:p>
  </w:footnote>
  <w:footnote w:id="664">
    <w:p w14:paraId="48881279" w14:textId="77777777" w:rsidR="00074551" w:rsidRPr="00704062" w:rsidRDefault="00074551" w:rsidP="00074551">
      <w:pPr>
        <w:pStyle w:val="Funotentext"/>
        <w:rPr>
          <w:lang w:val="en-US"/>
        </w:rPr>
      </w:pPr>
      <w:r>
        <w:rPr>
          <w:rStyle w:val="Funotenzeichen"/>
          <w:rFonts w:eastAsiaTheme="majorEastAsia"/>
        </w:rPr>
        <w:footnoteRef/>
      </w:r>
      <w:r w:rsidRPr="00704062">
        <w:rPr>
          <w:lang w:val="en-US"/>
        </w:rPr>
        <w:t xml:space="preserve"> </w:t>
      </w:r>
      <w:r w:rsidRPr="009167A5">
        <w:rPr>
          <w:i/>
          <w:lang w:val="en-US"/>
        </w:rPr>
        <w:t>Moore v. East Cleveland</w:t>
      </w:r>
      <w:r w:rsidRPr="00704062">
        <w:rPr>
          <w:lang w:val="en-US"/>
        </w:rPr>
        <w:t>, 431 U.S. 494, 495</w:t>
      </w:r>
      <w:r w:rsidRPr="006E67FE">
        <w:rPr>
          <w:lang w:val="en-US"/>
        </w:rPr>
        <w:t xml:space="preserve"> = 97 S. Ct. </w:t>
      </w:r>
      <w:r w:rsidRPr="00704062">
        <w:rPr>
          <w:lang w:val="en-US"/>
        </w:rPr>
        <w:t>1932, 1934</w:t>
      </w:r>
      <w:r>
        <w:rPr>
          <w:lang w:val="en-US"/>
        </w:rPr>
        <w:t xml:space="preserve"> = 52 L. Ed. </w:t>
      </w:r>
      <w:r w:rsidRPr="00704062">
        <w:rPr>
          <w:lang w:val="en-US"/>
        </w:rPr>
        <w:t>2d 531, 535</w:t>
      </w:r>
      <w:r w:rsidRPr="006E67FE">
        <w:rPr>
          <w:lang w:val="en-US"/>
        </w:rPr>
        <w:t xml:space="preserve"> = 1977 U.S. LEXIS </w:t>
      </w:r>
      <w:r w:rsidRPr="00704062">
        <w:rPr>
          <w:lang w:val="en-US"/>
        </w:rPr>
        <w:t>17, 1 (1977)</w:t>
      </w:r>
      <w:r>
        <w:rPr>
          <w:lang w:val="en-US"/>
        </w:rPr>
        <w:t>.</w:t>
      </w:r>
    </w:p>
  </w:footnote>
  <w:footnote w:id="665">
    <w:p w14:paraId="27397709"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r w:rsidRPr="009167A5">
        <w:rPr>
          <w:i/>
          <w:lang w:val="en-US"/>
        </w:rPr>
        <w:t>Moore v. East Cleveland</w:t>
      </w:r>
      <w:r w:rsidRPr="0012686A">
        <w:rPr>
          <w:lang w:val="en-US"/>
        </w:rPr>
        <w:t>, 431 U.S. 494, 502</w:t>
      </w:r>
      <w:r w:rsidRPr="006E67FE">
        <w:rPr>
          <w:lang w:val="en-US"/>
        </w:rPr>
        <w:t xml:space="preserve"> = 97 S. Ct. </w:t>
      </w:r>
      <w:r w:rsidRPr="0012686A">
        <w:rPr>
          <w:lang w:val="en-US"/>
        </w:rPr>
        <w:t>1932, 1937</w:t>
      </w:r>
      <w:r>
        <w:rPr>
          <w:lang w:val="en-US"/>
        </w:rPr>
        <w:t xml:space="preserve"> = 52 L. Ed. </w:t>
      </w:r>
      <w:r w:rsidRPr="0012686A">
        <w:rPr>
          <w:lang w:val="en-US"/>
        </w:rPr>
        <w:t>2d 531, 539</w:t>
      </w:r>
      <w:r w:rsidRPr="006E67FE">
        <w:rPr>
          <w:lang w:val="en-US"/>
        </w:rPr>
        <w:t xml:space="preserve"> = 1977 U.S. LEXIS </w:t>
      </w:r>
      <w:r w:rsidRPr="0012686A">
        <w:rPr>
          <w:lang w:val="en-US"/>
        </w:rPr>
        <w:t>17, 16 (1977)</w:t>
      </w:r>
      <w:r>
        <w:rPr>
          <w:lang w:val="en-US"/>
        </w:rPr>
        <w:t>.</w:t>
      </w:r>
    </w:p>
  </w:footnote>
  <w:footnote w:id="666">
    <w:p w14:paraId="62986E42" w14:textId="77777777" w:rsidR="00074551" w:rsidRPr="00A87520" w:rsidRDefault="00074551" w:rsidP="00074551">
      <w:pPr>
        <w:pStyle w:val="Funotentext"/>
        <w:rPr>
          <w:lang w:val="en-US"/>
        </w:rPr>
      </w:pPr>
      <w:r>
        <w:rPr>
          <w:rStyle w:val="Funotenzeichen"/>
        </w:rPr>
        <w:footnoteRef/>
      </w:r>
      <w:r w:rsidRPr="00A87520">
        <w:rPr>
          <w:lang w:val="en-US"/>
        </w:rPr>
        <w:t xml:space="preserve"> </w:t>
      </w:r>
      <w:r>
        <w:rPr>
          <w:lang w:val="en-US"/>
        </w:rPr>
        <w:t>„</w:t>
      </w:r>
      <w:r w:rsidRPr="00A87520">
        <w:rPr>
          <w:lang w:val="en-US"/>
        </w:rPr>
        <w:t>These interests have included a wide range of freedoms in the purely commercial area such as the freedom to contract and the right to set one</w:t>
      </w:r>
      <w:r>
        <w:rPr>
          <w:lang w:val="en-US"/>
        </w:rPr>
        <w:t>’</w:t>
      </w:r>
      <w:r w:rsidRPr="00A87520">
        <w:rPr>
          <w:lang w:val="en-US"/>
        </w:rPr>
        <w:t xml:space="preserve">s own prices and </w:t>
      </w:r>
      <w:proofErr w:type="gramStart"/>
      <w:r w:rsidRPr="00A87520">
        <w:rPr>
          <w:lang w:val="en-US"/>
        </w:rPr>
        <w:t>wages</w:t>
      </w:r>
      <w:r>
        <w:rPr>
          <w:lang w:val="en-US"/>
        </w:rPr>
        <w:t>“</w:t>
      </w:r>
      <w:proofErr w:type="gramEnd"/>
      <w:r>
        <w:rPr>
          <w:lang w:val="en-US"/>
        </w:rPr>
        <w:t xml:space="preserve">, in </w:t>
      </w:r>
      <w:r w:rsidRPr="009167A5">
        <w:rPr>
          <w:i/>
          <w:lang w:val="en-US"/>
        </w:rPr>
        <w:t>Moore v. East Cleveland</w:t>
      </w:r>
      <w:r w:rsidRPr="00A87520">
        <w:rPr>
          <w:lang w:val="en-US"/>
        </w:rPr>
        <w:t>, 431 U.S. 494, 545</w:t>
      </w:r>
      <w:r w:rsidRPr="006E67FE">
        <w:rPr>
          <w:lang w:val="en-US"/>
        </w:rPr>
        <w:t xml:space="preserve"> = 97 S. Ct. </w:t>
      </w:r>
      <w:r w:rsidRPr="00A87520">
        <w:rPr>
          <w:lang w:val="en-US"/>
        </w:rPr>
        <w:t>1932, 1959</w:t>
      </w:r>
      <w:r>
        <w:rPr>
          <w:lang w:val="en-US"/>
        </w:rPr>
        <w:t xml:space="preserve"> = 52 L. Ed. </w:t>
      </w:r>
      <w:r w:rsidRPr="00A87520">
        <w:rPr>
          <w:lang w:val="en-US"/>
        </w:rPr>
        <w:t>2d 531, 566</w:t>
      </w:r>
      <w:r w:rsidRPr="006E67FE">
        <w:rPr>
          <w:lang w:val="en-US"/>
        </w:rPr>
        <w:t xml:space="preserve"> = 1977 U.S. LEXIS </w:t>
      </w:r>
      <w:r w:rsidRPr="00A87520">
        <w:rPr>
          <w:lang w:val="en-US"/>
        </w:rPr>
        <w:t>17, 77</w:t>
      </w:r>
      <w:r>
        <w:rPr>
          <w:lang w:val="en-US"/>
        </w:rPr>
        <w:t>–</w:t>
      </w:r>
      <w:r w:rsidRPr="00A87520">
        <w:rPr>
          <w:lang w:val="en-US"/>
        </w:rPr>
        <w:t>78 (1977)</w:t>
      </w:r>
      <w:r>
        <w:rPr>
          <w:lang w:val="en-US"/>
        </w:rPr>
        <w:t>.</w:t>
      </w:r>
    </w:p>
  </w:footnote>
  <w:footnote w:id="667">
    <w:p w14:paraId="0CCAB997" w14:textId="77777777" w:rsidR="00074551" w:rsidRPr="00A87520" w:rsidRDefault="00074551" w:rsidP="00074551">
      <w:pPr>
        <w:pStyle w:val="Funotentext"/>
        <w:rPr>
          <w:lang w:val="en-US"/>
        </w:rPr>
      </w:pPr>
      <w:r>
        <w:rPr>
          <w:rStyle w:val="Funotenzeichen"/>
        </w:rPr>
        <w:footnoteRef/>
      </w:r>
      <w:r w:rsidRPr="00A87520">
        <w:rPr>
          <w:lang w:val="en-US"/>
        </w:rPr>
        <w:t xml:space="preserve"> </w:t>
      </w:r>
      <w:r w:rsidRPr="009E57E1">
        <w:rPr>
          <w:i/>
          <w:lang w:val="en-US"/>
        </w:rPr>
        <w:t>Meyer v. Nebraska</w:t>
      </w:r>
      <w:r w:rsidRPr="00A87520">
        <w:rPr>
          <w:lang w:val="en-US"/>
        </w:rPr>
        <w:t>, 262 U.S. 390, 398</w:t>
      </w:r>
      <w:r w:rsidRPr="00EC5BEB">
        <w:rPr>
          <w:lang w:val="en-US"/>
        </w:rPr>
        <w:t xml:space="preserve"> = 43 S. Ct. </w:t>
      </w:r>
      <w:r w:rsidRPr="00A87520">
        <w:rPr>
          <w:lang w:val="en-US"/>
        </w:rPr>
        <w:t>625, 626</w:t>
      </w:r>
      <w:r w:rsidRPr="00EC5BEB">
        <w:rPr>
          <w:lang w:val="en-US"/>
        </w:rPr>
        <w:t xml:space="preserve"> = 67 L. Ed. </w:t>
      </w:r>
      <w:r w:rsidRPr="00A87520">
        <w:rPr>
          <w:lang w:val="en-US"/>
        </w:rPr>
        <w:t>1042, 1045</w:t>
      </w:r>
      <w:r w:rsidRPr="00EC5BEB">
        <w:rPr>
          <w:lang w:val="en-US"/>
        </w:rPr>
        <w:t xml:space="preserve"> = 1923 U.S. LEXIS </w:t>
      </w:r>
      <w:r w:rsidRPr="00A87520">
        <w:rPr>
          <w:lang w:val="en-US"/>
        </w:rPr>
        <w:t>2655, 13</w:t>
      </w:r>
      <w:r w:rsidRPr="003B741A">
        <w:rPr>
          <w:lang w:val="en-US"/>
        </w:rPr>
        <w:t xml:space="preserve"> = 29 A.L.R.</w:t>
      </w:r>
      <w:r w:rsidRPr="006E67FE">
        <w:rPr>
          <w:lang w:val="en-US"/>
        </w:rPr>
        <w:t xml:space="preserve"> </w:t>
      </w:r>
      <w:r w:rsidRPr="00A87520">
        <w:rPr>
          <w:lang w:val="en-US"/>
        </w:rPr>
        <w:t>1446 (1923)</w:t>
      </w:r>
      <w:r>
        <w:rPr>
          <w:lang w:val="en-US"/>
        </w:rPr>
        <w:t>.</w:t>
      </w:r>
    </w:p>
  </w:footnote>
  <w:footnote w:id="668">
    <w:p w14:paraId="583E80A3" w14:textId="77777777" w:rsidR="00074551" w:rsidRPr="00DE7BEB" w:rsidRDefault="00074551" w:rsidP="00074551">
      <w:pPr>
        <w:pStyle w:val="Funotentext"/>
        <w:rPr>
          <w:lang w:val="en-US"/>
        </w:rPr>
      </w:pPr>
      <w:r>
        <w:rPr>
          <w:rStyle w:val="Funotenzeichen"/>
        </w:rPr>
        <w:footnoteRef/>
      </w:r>
      <w:r w:rsidRPr="00DE7BEB">
        <w:rPr>
          <w:lang w:val="en-US"/>
        </w:rPr>
        <w:t xml:space="preserve"> </w:t>
      </w:r>
      <w:proofErr w:type="spellStart"/>
      <w:r w:rsidRPr="00DE7BEB">
        <w:rPr>
          <w:lang w:val="en-US"/>
        </w:rPr>
        <w:t>Diese</w:t>
      </w:r>
      <w:proofErr w:type="spellEnd"/>
      <w:r w:rsidRPr="00DE7BEB">
        <w:rPr>
          <w:lang w:val="en-US"/>
        </w:rPr>
        <w:t xml:space="preserve"> </w:t>
      </w:r>
      <w:proofErr w:type="spellStart"/>
      <w:r w:rsidRPr="00DE7BEB">
        <w:rPr>
          <w:lang w:val="en-US"/>
        </w:rPr>
        <w:t>lauten</w:t>
      </w:r>
      <w:proofErr w:type="spellEnd"/>
      <w:r w:rsidRPr="00DE7BEB">
        <w:rPr>
          <w:lang w:val="en-US"/>
        </w:rPr>
        <w:t xml:space="preserve">: </w:t>
      </w:r>
      <w:r>
        <w:rPr>
          <w:lang w:val="en-US"/>
        </w:rPr>
        <w:t>„</w:t>
      </w:r>
      <w:r w:rsidRPr="00DE7BEB">
        <w:rPr>
          <w:lang w:val="en-US"/>
        </w:rPr>
        <w:t xml:space="preserve">Without doubt, it denotes not merely freedom from bodily restraint but also the right of the individual to contract, to engage in any of the common occupations of life, to acquire useful knowledge, to marry, establish a home and bring up children, to worship God according to the dictates of his own conscience, and generally to enjoy those privileges long recognized at common law as essential to the orderly pursuit of happiness by free men“, </w:t>
      </w:r>
      <w:r w:rsidRPr="009167A5">
        <w:rPr>
          <w:i/>
          <w:lang w:val="en-US"/>
        </w:rPr>
        <w:t>Moore v. East Cleveland</w:t>
      </w:r>
      <w:r w:rsidRPr="00DE7BEB">
        <w:rPr>
          <w:lang w:val="en-US"/>
        </w:rPr>
        <w:t>, 431 U.S. 494, 545</w:t>
      </w:r>
      <w:r w:rsidRPr="006E67FE">
        <w:rPr>
          <w:lang w:val="en-US"/>
        </w:rPr>
        <w:t xml:space="preserve"> = 97 S. Ct. </w:t>
      </w:r>
      <w:r w:rsidRPr="00DE7BEB">
        <w:rPr>
          <w:lang w:val="en-US"/>
        </w:rPr>
        <w:t>1932, 1959</w:t>
      </w:r>
      <w:r>
        <w:rPr>
          <w:lang w:val="en-US"/>
        </w:rPr>
        <w:t xml:space="preserve"> = 52 L. Ed. </w:t>
      </w:r>
      <w:r w:rsidRPr="00DE7BEB">
        <w:rPr>
          <w:lang w:val="en-US"/>
        </w:rPr>
        <w:t>2d 531, 566</w:t>
      </w:r>
      <w:r w:rsidRPr="006E67FE">
        <w:rPr>
          <w:lang w:val="en-US"/>
        </w:rPr>
        <w:t xml:space="preserve"> = 1977 U.S. LEXIS </w:t>
      </w:r>
      <w:r w:rsidRPr="00DE7BEB">
        <w:rPr>
          <w:lang w:val="en-US"/>
        </w:rPr>
        <w:t>17, 77</w:t>
      </w:r>
      <w:r>
        <w:rPr>
          <w:lang w:val="en-US"/>
        </w:rPr>
        <w:t>–</w:t>
      </w:r>
      <w:r w:rsidRPr="00DE7BEB">
        <w:rPr>
          <w:lang w:val="en-US"/>
        </w:rPr>
        <w:t>78 (1977)</w:t>
      </w:r>
      <w:r>
        <w:rPr>
          <w:lang w:val="en-US"/>
        </w:rPr>
        <w:t>.</w:t>
      </w:r>
    </w:p>
  </w:footnote>
  <w:footnote w:id="669">
    <w:p w14:paraId="70D9E28D" w14:textId="77777777" w:rsidR="00074551" w:rsidRPr="00A87520" w:rsidRDefault="00074551" w:rsidP="00074551">
      <w:pPr>
        <w:pStyle w:val="Funotentext"/>
        <w:rPr>
          <w:lang w:val="en-US"/>
        </w:rPr>
      </w:pPr>
      <w:r>
        <w:rPr>
          <w:rStyle w:val="Funotenzeichen"/>
        </w:rPr>
        <w:footnoteRef/>
      </w:r>
      <w:r w:rsidRPr="00A87520">
        <w:rPr>
          <w:lang w:val="en-US"/>
        </w:rPr>
        <w:t xml:space="preserve"> </w:t>
      </w:r>
      <w:r w:rsidRPr="009167A5">
        <w:rPr>
          <w:i/>
          <w:lang w:val="en-US"/>
        </w:rPr>
        <w:t>Moore v. East Cleveland</w:t>
      </w:r>
      <w:r w:rsidRPr="00A87520">
        <w:rPr>
          <w:lang w:val="en-US"/>
        </w:rPr>
        <w:t>, 431 U.S. 494, 545</w:t>
      </w:r>
      <w:r w:rsidRPr="006E67FE">
        <w:rPr>
          <w:lang w:val="en-US"/>
        </w:rPr>
        <w:t xml:space="preserve"> = 97 S. Ct. </w:t>
      </w:r>
      <w:r w:rsidRPr="00A87520">
        <w:rPr>
          <w:lang w:val="en-US"/>
        </w:rPr>
        <w:t>1932, 1959</w:t>
      </w:r>
      <w:r>
        <w:rPr>
          <w:lang w:val="en-US"/>
        </w:rPr>
        <w:t xml:space="preserve"> = 52 L. Ed. </w:t>
      </w:r>
      <w:r w:rsidRPr="00A87520">
        <w:rPr>
          <w:lang w:val="en-US"/>
        </w:rPr>
        <w:t>2d 531, 566</w:t>
      </w:r>
      <w:r w:rsidRPr="006E67FE">
        <w:rPr>
          <w:lang w:val="en-US"/>
        </w:rPr>
        <w:t xml:space="preserve"> = 1977 U.S. LEXIS </w:t>
      </w:r>
      <w:r w:rsidRPr="00A87520">
        <w:rPr>
          <w:lang w:val="en-US"/>
        </w:rPr>
        <w:t>17, 78 (1977)</w:t>
      </w:r>
      <w:r>
        <w:rPr>
          <w:lang w:val="en-US"/>
        </w:rPr>
        <w:t>.</w:t>
      </w:r>
    </w:p>
  </w:footnote>
  <w:footnote w:id="670">
    <w:p w14:paraId="71D5264B"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r w:rsidRPr="009167A5">
        <w:rPr>
          <w:i/>
          <w:lang w:val="en-US"/>
        </w:rPr>
        <w:t>Moore v. East Cleveland</w:t>
      </w:r>
      <w:r w:rsidRPr="0012686A">
        <w:rPr>
          <w:lang w:val="en-US"/>
        </w:rPr>
        <w:t>, 431 U.S. 494, 502</w:t>
      </w:r>
      <w:r w:rsidRPr="006E67FE">
        <w:rPr>
          <w:lang w:val="en-US"/>
        </w:rPr>
        <w:t xml:space="preserve"> = 97 S. Ct. </w:t>
      </w:r>
      <w:r w:rsidRPr="0012686A">
        <w:rPr>
          <w:lang w:val="en-US"/>
        </w:rPr>
        <w:t>1932, 1937</w:t>
      </w:r>
      <w:r>
        <w:rPr>
          <w:lang w:val="en-US"/>
        </w:rPr>
        <w:t xml:space="preserve"> = 52 L. Ed. </w:t>
      </w:r>
      <w:r w:rsidRPr="0012686A">
        <w:rPr>
          <w:lang w:val="en-US"/>
        </w:rPr>
        <w:t>2d 531, 539</w:t>
      </w:r>
      <w:r w:rsidRPr="006E67FE">
        <w:rPr>
          <w:lang w:val="en-US"/>
        </w:rPr>
        <w:t xml:space="preserve"> = 1977 U.S. LEXIS </w:t>
      </w:r>
      <w:r w:rsidRPr="0012686A">
        <w:rPr>
          <w:lang w:val="en-US"/>
        </w:rPr>
        <w:t>17, 16 (1977)</w:t>
      </w:r>
      <w:r>
        <w:rPr>
          <w:lang w:val="en-US"/>
        </w:rPr>
        <w:t>.</w:t>
      </w:r>
    </w:p>
  </w:footnote>
  <w:footnote w:id="671">
    <w:p w14:paraId="192AFAD1"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r w:rsidRPr="009167A5">
        <w:rPr>
          <w:i/>
          <w:lang w:val="en-US"/>
        </w:rPr>
        <w:t>Griswold v. Connecticut</w:t>
      </w:r>
      <w:r w:rsidRPr="0012686A">
        <w:rPr>
          <w:lang w:val="en-US"/>
        </w:rPr>
        <w:t xml:space="preserve">, </w:t>
      </w:r>
      <w:r w:rsidRPr="00BA1E56">
        <w:rPr>
          <w:lang w:val="en-US"/>
        </w:rPr>
        <w:t>381 U.S. 479</w:t>
      </w:r>
      <w:r w:rsidRPr="009167A5">
        <w:rPr>
          <w:lang w:val="en-US"/>
        </w:rPr>
        <w:t>,</w:t>
      </w:r>
      <w:r w:rsidRPr="00B45592">
        <w:rPr>
          <w:lang w:val="en-US"/>
        </w:rPr>
        <w:t xml:space="preserve"> </w:t>
      </w:r>
      <w:r w:rsidRPr="009167A5">
        <w:rPr>
          <w:lang w:val="en-US"/>
        </w:rPr>
        <w:t>50</w:t>
      </w:r>
      <w:r w:rsidRPr="00DE1296">
        <w:rPr>
          <w:lang w:val="en-US"/>
        </w:rPr>
        <w:t>1 (</w:t>
      </w:r>
      <w:r w:rsidRPr="00B45592">
        <w:rPr>
          <w:i/>
          <w:lang w:val="en-US"/>
        </w:rPr>
        <w:t>concurring opinion</w:t>
      </w:r>
      <w:r w:rsidRPr="00B45592">
        <w:rPr>
          <w:lang w:val="en-US"/>
        </w:rPr>
        <w:t xml:space="preserve"> von Richter </w:t>
      </w:r>
      <w:r w:rsidRPr="00B45592">
        <w:rPr>
          <w:i/>
          <w:lang w:val="en-US"/>
        </w:rPr>
        <w:t>Harlan</w:t>
      </w:r>
      <w:r w:rsidRPr="00DE1296">
        <w:rPr>
          <w:lang w:val="en-US"/>
        </w:rPr>
        <w:t>);</w:t>
      </w:r>
      <w:r>
        <w:rPr>
          <w:lang w:val="en-US"/>
        </w:rPr>
        <w:t xml:space="preserve"> </w:t>
      </w:r>
      <w:r w:rsidRPr="009167A5">
        <w:rPr>
          <w:i/>
          <w:lang w:val="en-US"/>
        </w:rPr>
        <w:t>Moore v. East Cleveland</w:t>
      </w:r>
      <w:r w:rsidRPr="0012686A">
        <w:rPr>
          <w:lang w:val="en-US"/>
        </w:rPr>
        <w:t>, 431 U.S. 494, 503</w:t>
      </w:r>
      <w:r w:rsidRPr="006E67FE">
        <w:rPr>
          <w:lang w:val="en-US"/>
        </w:rPr>
        <w:t xml:space="preserve"> = 97 S. Ct. </w:t>
      </w:r>
      <w:r w:rsidRPr="0012686A">
        <w:rPr>
          <w:lang w:val="en-US"/>
        </w:rPr>
        <w:t>1932, 1937</w:t>
      </w:r>
      <w:r>
        <w:rPr>
          <w:lang w:val="en-US"/>
        </w:rPr>
        <w:t xml:space="preserve"> = 52 L. Ed. </w:t>
      </w:r>
      <w:r w:rsidRPr="0012686A">
        <w:rPr>
          <w:lang w:val="en-US"/>
        </w:rPr>
        <w:t>2d 531, 539</w:t>
      </w:r>
      <w:r w:rsidRPr="006E67FE">
        <w:rPr>
          <w:lang w:val="en-US"/>
        </w:rPr>
        <w:t xml:space="preserve"> = 1977 U.S. LEXIS </w:t>
      </w:r>
      <w:r w:rsidRPr="0012686A">
        <w:rPr>
          <w:lang w:val="en-US"/>
        </w:rPr>
        <w:t>17, 17 (1977)</w:t>
      </w:r>
      <w:r>
        <w:rPr>
          <w:lang w:val="en-US"/>
        </w:rPr>
        <w:t>.</w:t>
      </w:r>
    </w:p>
  </w:footnote>
  <w:footnote w:id="672">
    <w:p w14:paraId="20E4E93D"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r w:rsidRPr="004F13B1">
        <w:rPr>
          <w:i/>
          <w:lang w:val="en-US"/>
        </w:rPr>
        <w:t>Ingraham v. Wright</w:t>
      </w:r>
      <w:r w:rsidRPr="0012686A">
        <w:rPr>
          <w:lang w:val="en-US"/>
        </w:rPr>
        <w:t>, 430 U.S. 651, 672</w:t>
      </w:r>
      <w:r>
        <w:rPr>
          <w:lang w:val="en-US"/>
        </w:rPr>
        <w:t>–</w:t>
      </w:r>
      <w:r w:rsidRPr="0012686A">
        <w:rPr>
          <w:lang w:val="en-US"/>
        </w:rPr>
        <w:t>674</w:t>
      </w:r>
      <w:r>
        <w:rPr>
          <w:lang w:val="en-US"/>
        </w:rPr>
        <w:t xml:space="preserve">; </w:t>
      </w:r>
      <w:r w:rsidRPr="009167A5">
        <w:rPr>
          <w:i/>
          <w:lang w:val="en-US"/>
        </w:rPr>
        <w:t>Moore v. East Cleveland</w:t>
      </w:r>
      <w:r w:rsidRPr="0012686A">
        <w:rPr>
          <w:lang w:val="en-US"/>
        </w:rPr>
        <w:t>, 431 U.S. 494, 503</w:t>
      </w:r>
      <w:r w:rsidRPr="006E67FE">
        <w:rPr>
          <w:lang w:val="en-US"/>
        </w:rPr>
        <w:t xml:space="preserve"> = 97 S. Ct. </w:t>
      </w:r>
      <w:r w:rsidRPr="0012686A">
        <w:rPr>
          <w:lang w:val="en-US"/>
        </w:rPr>
        <w:t>1932, 1937</w:t>
      </w:r>
      <w:r>
        <w:rPr>
          <w:lang w:val="en-US"/>
        </w:rPr>
        <w:t xml:space="preserve"> = 52 L. Ed. </w:t>
      </w:r>
      <w:r w:rsidRPr="0012686A">
        <w:rPr>
          <w:lang w:val="en-US"/>
        </w:rPr>
        <w:t>2d 531, 539</w:t>
      </w:r>
      <w:r w:rsidRPr="006E67FE">
        <w:rPr>
          <w:lang w:val="en-US"/>
        </w:rPr>
        <w:t xml:space="preserve"> = 1977 U.S. LEXIS </w:t>
      </w:r>
      <w:r w:rsidRPr="0012686A">
        <w:rPr>
          <w:lang w:val="en-US"/>
        </w:rPr>
        <w:t>17, 17 (1977)</w:t>
      </w:r>
      <w:r>
        <w:rPr>
          <w:lang w:val="en-US"/>
        </w:rPr>
        <w:t>.</w:t>
      </w:r>
    </w:p>
  </w:footnote>
  <w:footnote w:id="673">
    <w:p w14:paraId="08D47D50" w14:textId="77777777" w:rsidR="00074551" w:rsidRPr="00F954EF" w:rsidRDefault="00074551" w:rsidP="00074551">
      <w:pPr>
        <w:pStyle w:val="Funotentext"/>
      </w:pPr>
      <w:r>
        <w:rPr>
          <w:rStyle w:val="Funotenzeichen"/>
          <w:rFonts w:eastAsiaTheme="majorEastAsia"/>
        </w:rPr>
        <w:footnoteRef/>
      </w:r>
      <w:r w:rsidRPr="00217952">
        <w:rPr>
          <w:lang w:val="en-US"/>
        </w:rPr>
        <w:t xml:space="preserve"> </w:t>
      </w:r>
      <w:r w:rsidRPr="009167A5">
        <w:rPr>
          <w:i/>
          <w:lang w:val="en-US"/>
        </w:rPr>
        <w:t>Obergefell v. Hodges</w:t>
      </w:r>
      <w:r w:rsidRPr="00217952">
        <w:rPr>
          <w:lang w:val="en-US"/>
        </w:rPr>
        <w:t>, 576 U.S. 644, 644</w:t>
      </w:r>
      <w:r w:rsidRPr="006E67FE">
        <w:rPr>
          <w:lang w:val="en-US"/>
        </w:rPr>
        <w:t xml:space="preserve"> = 135 S. Ct. </w:t>
      </w:r>
      <w:r w:rsidRPr="00217952">
        <w:rPr>
          <w:lang w:val="en-US"/>
        </w:rPr>
        <w:t>2584, 2588</w:t>
      </w:r>
      <w:r w:rsidRPr="006E67FE">
        <w:rPr>
          <w:lang w:val="en-US"/>
        </w:rPr>
        <w:t xml:space="preserve"> = 192 L. Ed. </w:t>
      </w:r>
      <w:r w:rsidRPr="00217952">
        <w:rPr>
          <w:lang w:val="en-US"/>
        </w:rPr>
        <w:t>2d 609, 609</w:t>
      </w:r>
      <w:r w:rsidRPr="006E67FE">
        <w:rPr>
          <w:lang w:val="en-US"/>
        </w:rPr>
        <w:t xml:space="preserve"> = 2015 U.S. LEXIS </w:t>
      </w:r>
      <w:r w:rsidRPr="00217952">
        <w:rPr>
          <w:lang w:val="en-US"/>
        </w:rPr>
        <w:t>4250, 1</w:t>
      </w:r>
      <w:r w:rsidRPr="006E67FE">
        <w:rPr>
          <w:lang w:val="en-US"/>
        </w:rPr>
        <w:t xml:space="preserve"> = 83 U.S.L.W. </w:t>
      </w:r>
      <w:r w:rsidRPr="00217952">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217952">
        <w:rPr>
          <w:lang w:val="en-US"/>
        </w:rPr>
        <w:t>Dec. (CCH) P45,341</w:t>
      </w:r>
      <w:r w:rsidRPr="006E67FE">
        <w:rPr>
          <w:lang w:val="en-US"/>
        </w:rPr>
        <w:t xml:space="preserve"> = 115 A.F.T.R. 2d </w:t>
      </w:r>
      <w:r w:rsidRPr="00217952">
        <w:rPr>
          <w:lang w:val="en-US"/>
        </w:rPr>
        <w:t>(RIA) 2015-2309</w:t>
      </w:r>
      <w:r w:rsidRPr="006E67FE">
        <w:rPr>
          <w:lang w:val="en-US"/>
        </w:rPr>
        <w:t xml:space="preserve"> = 25 Fla. L. Weekly Fed. </w:t>
      </w:r>
      <w:r w:rsidRPr="00F954EF">
        <w:t>S 472 (2015).</w:t>
      </w:r>
    </w:p>
  </w:footnote>
  <w:footnote w:id="674">
    <w:p w14:paraId="5AD829B9" w14:textId="328CE8FC" w:rsidR="00074551" w:rsidRPr="00F954EF" w:rsidRDefault="00074551" w:rsidP="00074551">
      <w:pPr>
        <w:pStyle w:val="Funotentext"/>
        <w:rPr>
          <w:lang w:val="en-US"/>
        </w:rPr>
      </w:pPr>
      <w:r>
        <w:rPr>
          <w:rStyle w:val="Funotenzeichen"/>
          <w:rFonts w:eastAsiaTheme="majorEastAsia"/>
        </w:rPr>
        <w:footnoteRef/>
      </w:r>
      <w:r>
        <w:t xml:space="preserve"> Vgl. zur Fallzusammenfassung unter </w:t>
      </w:r>
      <w:r w:rsidR="00352229">
        <w:t>Kapitel 2: § </w:t>
      </w:r>
      <w:proofErr w:type="gramStart"/>
      <w:r w:rsidR="00352229">
        <w:t>1:A.II</w:t>
      </w:r>
      <w:proofErr w:type="gramEnd"/>
      <w:r w:rsidR="00352229">
        <w:t xml:space="preserve">.2.f. </w:t>
      </w:r>
      <w:r>
        <w:t xml:space="preserve">und die </w:t>
      </w:r>
      <w:r w:rsidRPr="00B45592">
        <w:rPr>
          <w:i/>
        </w:rPr>
        <w:t>Case Summary</w:t>
      </w:r>
      <w:r>
        <w:t xml:space="preserve"> </w:t>
      </w:r>
      <w:r w:rsidR="00352229">
        <w:t xml:space="preserve">zu diesem Fall </w:t>
      </w:r>
      <w:r>
        <w:t xml:space="preserve">auf LexisNexis: </w:t>
      </w:r>
      <w:r w:rsidRPr="00F954EF">
        <w:t xml:space="preserve">Die dem Fall zugrunde liegenden Gesetze der Bundesstaaten Michigan, Kentucky, Ohio und Tennessee erklärte der </w:t>
      </w:r>
      <w:r>
        <w:t>U.S. Supreme Court</w:t>
      </w:r>
      <w:r w:rsidRPr="00F954EF">
        <w:t xml:space="preserve"> für verfassungswidrig, soweit sie gleichgeschlechtliche Paare von der zivilen Eheschließung unter den gleichen Bedingungen wie verschiedengeschlechtliche Paare ausschlossen. Da gleichgeschlechtliche Paare das Grundrecht auf Eheschließung in allen Staaten ausüben können müssen, gebe es keine gesetzliche Grundlage für einen Staat, die Anerkennung einer in einem anderen Staat geschlossenen rechtmäßigen gleichgeschlechtlichen Ehe aufgrund ihres gleichgeschlechtlichen Charakters zu verweigern</w:t>
      </w:r>
      <w:r>
        <w:t xml:space="preserve">, vgl. </w:t>
      </w:r>
      <w:r w:rsidRPr="009167A5">
        <w:rPr>
          <w:i/>
        </w:rPr>
        <w:t>Obergefell v. Hodges</w:t>
      </w:r>
      <w:r w:rsidRPr="00F954EF">
        <w:t>, 576 U.S. 644, 644</w:t>
      </w:r>
      <w:r w:rsidRPr="006E67FE">
        <w:t xml:space="preserve"> = 135 S. Ct. </w:t>
      </w:r>
      <w:r w:rsidRPr="00F954EF">
        <w:t>2584, 2588</w:t>
      </w:r>
      <w:r w:rsidRPr="006E67FE">
        <w:t xml:space="preserve"> = 192 L. Ed. </w:t>
      </w:r>
      <w:r w:rsidRPr="00F954EF">
        <w:t>2d 609, 609</w:t>
      </w:r>
      <w:r w:rsidRPr="006E67FE">
        <w:t xml:space="preserve"> = 2015 U.S. LEXIS </w:t>
      </w:r>
      <w:r w:rsidRPr="00F954EF">
        <w:t>4250, 1</w:t>
      </w:r>
      <w:r w:rsidRPr="006E67FE">
        <w:t xml:space="preserve"> = 83 U.S.L.W. </w:t>
      </w:r>
      <w:r w:rsidRPr="00F954EF">
        <w:t>4592</w:t>
      </w:r>
      <w:r w:rsidRPr="006E67FE">
        <w:t xml:space="preserve"> = 99 Empl. </w:t>
      </w:r>
      <w:proofErr w:type="spellStart"/>
      <w:r w:rsidRPr="00B45592">
        <w:rPr>
          <w:lang w:val="en-IE"/>
        </w:rPr>
        <w:t>Prac</w:t>
      </w:r>
      <w:proofErr w:type="spellEnd"/>
      <w:r w:rsidRPr="00B45592">
        <w:rPr>
          <w:lang w:val="en-IE"/>
        </w:rPr>
        <w:t xml:space="preserve">. </w:t>
      </w:r>
      <w:r w:rsidRPr="00F954EF">
        <w:rPr>
          <w:lang w:val="en-US"/>
        </w:rPr>
        <w:t>Dec. (CCH) P45,341</w:t>
      </w:r>
      <w:r w:rsidRPr="006E67FE">
        <w:rPr>
          <w:lang w:val="en-US"/>
        </w:rPr>
        <w:t xml:space="preserve"> = 115 A.F.T.R. 2d </w:t>
      </w:r>
      <w:r w:rsidRPr="00F954EF">
        <w:rPr>
          <w:lang w:val="en-US"/>
        </w:rPr>
        <w:t>(RIA) 2015-2309</w:t>
      </w:r>
      <w:r w:rsidRPr="006E67FE">
        <w:rPr>
          <w:lang w:val="en-US"/>
        </w:rPr>
        <w:t xml:space="preserve"> = 25 Fla. L. Weekly Fed. </w:t>
      </w:r>
      <w:r w:rsidRPr="00F954EF">
        <w:rPr>
          <w:lang w:val="en-US"/>
        </w:rPr>
        <w:t>S 472 (2015).</w:t>
      </w:r>
    </w:p>
  </w:footnote>
  <w:footnote w:id="675">
    <w:p w14:paraId="31C578DF" w14:textId="77777777" w:rsidR="00074551" w:rsidRPr="00B45592" w:rsidRDefault="00074551" w:rsidP="00074551">
      <w:pPr>
        <w:pStyle w:val="Funotentext"/>
        <w:rPr>
          <w:lang w:val="en-IE"/>
        </w:rPr>
      </w:pPr>
      <w:r>
        <w:rPr>
          <w:rStyle w:val="Funotenzeichen"/>
        </w:rPr>
        <w:footnoteRef/>
      </w:r>
      <w:r w:rsidRPr="00B45592">
        <w:rPr>
          <w:lang w:val="en-IE"/>
        </w:rPr>
        <w:t xml:space="preserve"> Wie </w:t>
      </w:r>
      <w:r w:rsidRPr="00B45592">
        <w:rPr>
          <w:i/>
          <w:lang w:val="en-IE"/>
        </w:rPr>
        <w:t>Baker v. Nelson</w:t>
      </w:r>
      <w:r w:rsidRPr="00B45592">
        <w:rPr>
          <w:lang w:val="en-IE"/>
        </w:rPr>
        <w:t xml:space="preserve">, 409 U.S. 810 </w:t>
      </w:r>
      <w:r>
        <w:rPr>
          <w:lang w:val="en-IE"/>
        </w:rPr>
        <w:t>(</w:t>
      </w:r>
      <w:r w:rsidRPr="00B45592">
        <w:rPr>
          <w:lang w:val="en-IE"/>
        </w:rPr>
        <w:t>1972</w:t>
      </w:r>
      <w:r>
        <w:rPr>
          <w:lang w:val="en-IE"/>
        </w:rPr>
        <w:t>)</w:t>
      </w:r>
      <w:r w:rsidRPr="00B45592">
        <w:rPr>
          <w:lang w:val="en-IE"/>
        </w:rPr>
        <w:t>.</w:t>
      </w:r>
    </w:p>
  </w:footnote>
  <w:footnote w:id="676">
    <w:p w14:paraId="7FBAD49B" w14:textId="77777777" w:rsidR="00074551" w:rsidRPr="00696299" w:rsidRDefault="00074551" w:rsidP="00074551">
      <w:pPr>
        <w:pStyle w:val="Funotentext"/>
        <w:rPr>
          <w:lang w:val="en-US"/>
        </w:rPr>
      </w:pPr>
      <w:r>
        <w:rPr>
          <w:rStyle w:val="Funotenzeichen"/>
        </w:rPr>
        <w:footnoteRef/>
      </w:r>
      <w:r w:rsidRPr="00B45592">
        <w:rPr>
          <w:lang w:val="en-IE"/>
        </w:rPr>
        <w:t xml:space="preserve"> Wie Mich. </w:t>
      </w:r>
      <w:r w:rsidRPr="00696299">
        <w:rPr>
          <w:lang w:val="en-US"/>
        </w:rPr>
        <w:t xml:space="preserve">Const. </w:t>
      </w:r>
      <w:r>
        <w:rPr>
          <w:lang w:val="en-US"/>
        </w:rPr>
        <w:t>A</w:t>
      </w:r>
      <w:r w:rsidRPr="00696299">
        <w:rPr>
          <w:lang w:val="en-US"/>
        </w:rPr>
        <w:t xml:space="preserve">rt. I, </w:t>
      </w:r>
      <w:r>
        <w:rPr>
          <w:lang w:val="en-US"/>
        </w:rPr>
        <w:t>§ </w:t>
      </w:r>
      <w:r w:rsidRPr="00696299">
        <w:rPr>
          <w:lang w:val="en-US"/>
        </w:rPr>
        <w:t xml:space="preserve">25, Ky. Const. </w:t>
      </w:r>
      <w:r>
        <w:rPr>
          <w:lang w:val="en-US"/>
        </w:rPr>
        <w:t>§ </w:t>
      </w:r>
      <w:r w:rsidRPr="00696299">
        <w:rPr>
          <w:lang w:val="en-US"/>
        </w:rPr>
        <w:t xml:space="preserve">233a, Ohio Rev. Code Ann. </w:t>
      </w:r>
      <w:r>
        <w:rPr>
          <w:lang w:val="en-US"/>
        </w:rPr>
        <w:t>§ </w:t>
      </w:r>
      <w:r w:rsidRPr="00696299">
        <w:rPr>
          <w:lang w:val="en-US"/>
        </w:rPr>
        <w:t xml:space="preserve">3101.01 (2008); Tenn. Const. </w:t>
      </w:r>
      <w:r>
        <w:rPr>
          <w:lang w:val="en-US"/>
        </w:rPr>
        <w:t>A</w:t>
      </w:r>
      <w:r w:rsidRPr="00696299">
        <w:rPr>
          <w:lang w:val="en-US"/>
        </w:rPr>
        <w:t xml:space="preserve">rt. XI, </w:t>
      </w:r>
      <w:r>
        <w:rPr>
          <w:lang w:val="en-US"/>
        </w:rPr>
        <w:t>§ </w:t>
      </w:r>
      <w:r w:rsidRPr="00696299">
        <w:rPr>
          <w:lang w:val="en-US"/>
        </w:rPr>
        <w:t>18.</w:t>
      </w:r>
    </w:p>
  </w:footnote>
  <w:footnote w:id="677">
    <w:p w14:paraId="3D7B3718" w14:textId="77777777" w:rsidR="00074551" w:rsidRPr="00110110" w:rsidRDefault="00074551" w:rsidP="00074551">
      <w:pPr>
        <w:pStyle w:val="Funotentext"/>
        <w:rPr>
          <w:lang w:val="en-US"/>
        </w:rPr>
      </w:pPr>
      <w:r>
        <w:rPr>
          <w:rStyle w:val="Funotenzeichen"/>
          <w:rFonts w:eastAsiaTheme="majorEastAsia"/>
        </w:rPr>
        <w:footnoteRef/>
      </w:r>
      <w:r w:rsidRPr="00FC5C57">
        <w:rPr>
          <w:lang w:val="en-US"/>
        </w:rPr>
        <w:t xml:space="preserve"> </w:t>
      </w:r>
      <w:r w:rsidRPr="009167A5">
        <w:rPr>
          <w:i/>
          <w:lang w:val="en-US"/>
        </w:rPr>
        <w:t>Obergefell v. Hodges</w:t>
      </w:r>
      <w:r w:rsidRPr="00FC5C57">
        <w:rPr>
          <w:lang w:val="en-US"/>
        </w:rPr>
        <w:t>, 576 U.S. 644, 675</w:t>
      </w:r>
      <w:r w:rsidRPr="006E67FE">
        <w:rPr>
          <w:lang w:val="en-US"/>
        </w:rPr>
        <w:t xml:space="preserve"> = 135 S. Ct. </w:t>
      </w:r>
      <w:r w:rsidRPr="00FC5C57">
        <w:rPr>
          <w:lang w:val="en-US"/>
        </w:rPr>
        <w:t>2584, 2605</w:t>
      </w:r>
      <w:r w:rsidRPr="006E67FE">
        <w:rPr>
          <w:lang w:val="en-US"/>
        </w:rPr>
        <w:t xml:space="preserve"> = 192 L. Ed. </w:t>
      </w:r>
      <w:r w:rsidRPr="00FC5C57">
        <w:rPr>
          <w:lang w:val="en-US"/>
        </w:rPr>
        <w:t>2d 609, 631</w:t>
      </w:r>
      <w:r w:rsidRPr="006E67FE">
        <w:rPr>
          <w:lang w:val="en-US"/>
        </w:rPr>
        <w:t xml:space="preserve"> = 2015 U.S. LEXIS </w:t>
      </w:r>
      <w:r w:rsidRPr="00FC5C57">
        <w:rPr>
          <w:lang w:val="en-US"/>
        </w:rPr>
        <w:t>4250, 43</w:t>
      </w:r>
      <w:r w:rsidRPr="006E67FE">
        <w:rPr>
          <w:lang w:val="en-US"/>
        </w:rPr>
        <w:t xml:space="preserve"> = 83 U.S.L.W. </w:t>
      </w:r>
      <w:r w:rsidRPr="00FC5C57">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FC5C57">
        <w:rPr>
          <w:lang w:val="en-US"/>
        </w:rPr>
        <w:t>Dec. (CCH) P45,341</w:t>
      </w:r>
      <w:r w:rsidRPr="006E67FE">
        <w:rPr>
          <w:lang w:val="en-US"/>
        </w:rPr>
        <w:t xml:space="preserve"> = 115 A.F.T.R. 2d </w:t>
      </w:r>
      <w:r w:rsidRPr="00FC5C57">
        <w:rPr>
          <w:lang w:val="en-US"/>
        </w:rPr>
        <w:t>(RIA) 2015-2309</w:t>
      </w:r>
      <w:r w:rsidRPr="006E67FE">
        <w:rPr>
          <w:lang w:val="en-US"/>
        </w:rPr>
        <w:t xml:space="preserve"> = 25 Fla. L. Weekly Fed. </w:t>
      </w:r>
      <w:r w:rsidRPr="00110110">
        <w:rPr>
          <w:lang w:val="en-US"/>
        </w:rPr>
        <w:t>S 472 (2015)</w:t>
      </w:r>
      <w:r>
        <w:rPr>
          <w:lang w:val="en-US"/>
        </w:rPr>
        <w:t>.</w:t>
      </w:r>
    </w:p>
  </w:footnote>
  <w:footnote w:id="678">
    <w:p w14:paraId="3AFD6611"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r w:rsidRPr="009167A5">
        <w:rPr>
          <w:i/>
          <w:lang w:val="en-US"/>
        </w:rPr>
        <w:t>Poe v. Ullman</w:t>
      </w:r>
      <w:r w:rsidRPr="0012686A">
        <w:rPr>
          <w:lang w:val="en-US"/>
        </w:rPr>
        <w:t>, 367 U.S. 497, 542</w:t>
      </w:r>
      <w:r w:rsidRPr="006E67FE">
        <w:rPr>
          <w:lang w:val="en-US"/>
        </w:rPr>
        <w:t xml:space="preserve"> = 81 S. Ct. </w:t>
      </w:r>
      <w:r w:rsidRPr="0012686A">
        <w:rPr>
          <w:lang w:val="en-US"/>
        </w:rPr>
        <w:t>1752</w:t>
      </w:r>
      <w:r>
        <w:rPr>
          <w:lang w:val="en-US"/>
        </w:rPr>
        <w:t xml:space="preserve"> = 6 L. Ed. </w:t>
      </w:r>
      <w:r w:rsidRPr="0012686A">
        <w:rPr>
          <w:lang w:val="en-US"/>
        </w:rPr>
        <w:t>2d 989 (1961) (</w:t>
      </w:r>
      <w:r w:rsidRPr="00206140">
        <w:rPr>
          <w:lang w:val="en-US"/>
        </w:rPr>
        <w:t xml:space="preserve">Dissens von Richter </w:t>
      </w:r>
      <w:r w:rsidRPr="00B45592">
        <w:rPr>
          <w:i/>
          <w:lang w:val="en-US"/>
        </w:rPr>
        <w:t>Harlan</w:t>
      </w:r>
      <w:r w:rsidRPr="0012686A">
        <w:rPr>
          <w:lang w:val="en-US"/>
        </w:rPr>
        <w:t xml:space="preserve">); </w:t>
      </w:r>
      <w:r w:rsidRPr="009167A5">
        <w:rPr>
          <w:i/>
          <w:lang w:val="en-US"/>
        </w:rPr>
        <w:t>Obergefell v. Hodges</w:t>
      </w:r>
      <w:r w:rsidRPr="0012686A">
        <w:rPr>
          <w:lang w:val="en-US"/>
        </w:rPr>
        <w:t>, 576 U.S. 644, 664</w:t>
      </w:r>
      <w:r w:rsidRPr="006E67FE">
        <w:rPr>
          <w:lang w:val="en-US"/>
        </w:rPr>
        <w:t xml:space="preserve"> = 135 S. Ct. </w:t>
      </w:r>
      <w:r w:rsidRPr="0012686A">
        <w:rPr>
          <w:lang w:val="en-US"/>
        </w:rPr>
        <w:t>2584, 2598</w:t>
      </w:r>
      <w:r w:rsidRPr="006E67FE">
        <w:rPr>
          <w:lang w:val="en-US"/>
        </w:rPr>
        <w:t xml:space="preserve"> = 192 L. Ed. </w:t>
      </w:r>
      <w:r w:rsidRPr="0012686A">
        <w:rPr>
          <w:lang w:val="en-US"/>
        </w:rPr>
        <w:t>2d 609, 623</w:t>
      </w:r>
      <w:r w:rsidRPr="006E67FE">
        <w:rPr>
          <w:lang w:val="en-US"/>
        </w:rPr>
        <w:t xml:space="preserve"> = 2015 U.S. LEXIS </w:t>
      </w:r>
      <w:r w:rsidRPr="0012686A">
        <w:rPr>
          <w:lang w:val="en-US"/>
        </w:rPr>
        <w:t>4250, 24</w:t>
      </w:r>
      <w:r w:rsidRPr="006E67FE">
        <w:rPr>
          <w:lang w:val="en-US"/>
        </w:rPr>
        <w:t xml:space="preserve"> = 83 U.S.L.W. </w:t>
      </w:r>
      <w:r w:rsidRPr="0012686A">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2686A">
        <w:rPr>
          <w:lang w:val="en-US"/>
        </w:rPr>
        <w:t>Dec. (CCH) P45,341</w:t>
      </w:r>
      <w:r w:rsidRPr="006E67FE">
        <w:rPr>
          <w:lang w:val="en-US"/>
        </w:rPr>
        <w:t xml:space="preserve"> = 115 A.F.T.R. 2d </w:t>
      </w:r>
      <w:r w:rsidRPr="0012686A">
        <w:rPr>
          <w:lang w:val="en-US"/>
        </w:rPr>
        <w:t>(RIA) 2015-2309</w:t>
      </w:r>
      <w:r w:rsidRPr="006E67FE">
        <w:rPr>
          <w:lang w:val="en-US"/>
        </w:rPr>
        <w:t xml:space="preserve"> = 25 Fla. L. Weekly Fed. </w:t>
      </w:r>
      <w:r w:rsidRPr="0012686A">
        <w:rPr>
          <w:lang w:val="en-US"/>
        </w:rPr>
        <w:t>S 472 (2015).</w:t>
      </w:r>
    </w:p>
  </w:footnote>
  <w:footnote w:id="679">
    <w:p w14:paraId="2641658E" w14:textId="77777777" w:rsidR="00074551" w:rsidRPr="0012686A" w:rsidRDefault="00074551" w:rsidP="00074551">
      <w:pPr>
        <w:pStyle w:val="Funotentext"/>
        <w:jc w:val="both"/>
        <w:rPr>
          <w:lang w:val="en-US"/>
        </w:rPr>
      </w:pPr>
      <w:r>
        <w:rPr>
          <w:rStyle w:val="Funotenzeichen"/>
          <w:rFonts w:eastAsiaTheme="majorEastAsia"/>
        </w:rPr>
        <w:footnoteRef/>
      </w:r>
      <w:r w:rsidRPr="0012686A">
        <w:rPr>
          <w:lang w:val="en-US"/>
        </w:rPr>
        <w:t xml:space="preserve"> </w:t>
      </w:r>
      <w:r w:rsidRPr="00584023">
        <w:rPr>
          <w:i/>
          <w:lang w:val="en-US"/>
        </w:rPr>
        <w:t>Loving v. Virginia</w:t>
      </w:r>
      <w:r w:rsidRPr="0012686A">
        <w:rPr>
          <w:lang w:val="en-US"/>
        </w:rPr>
        <w:t>, 388 U.S. 1, 12</w:t>
      </w:r>
      <w:r w:rsidRPr="006E67FE">
        <w:rPr>
          <w:lang w:val="en-US"/>
        </w:rPr>
        <w:t xml:space="preserve"> = 87 S. Ct. </w:t>
      </w:r>
      <w:r w:rsidRPr="0012686A">
        <w:rPr>
          <w:lang w:val="en-US"/>
        </w:rPr>
        <w:t>1817</w:t>
      </w:r>
      <w:r w:rsidRPr="006E67FE">
        <w:rPr>
          <w:lang w:val="en-US"/>
        </w:rPr>
        <w:t xml:space="preserve"> = 18 L. Ed. </w:t>
      </w:r>
      <w:r w:rsidRPr="0012686A">
        <w:rPr>
          <w:lang w:val="en-US"/>
        </w:rPr>
        <w:t>2d 1010 (1967)</w:t>
      </w:r>
      <w:r>
        <w:rPr>
          <w:lang w:val="en-US"/>
        </w:rPr>
        <w:t xml:space="preserve">; </w:t>
      </w:r>
      <w:r w:rsidRPr="009167A5">
        <w:rPr>
          <w:i/>
          <w:lang w:val="en-US"/>
        </w:rPr>
        <w:t>Obergefell v. Hodges</w:t>
      </w:r>
      <w:r w:rsidRPr="0012686A">
        <w:rPr>
          <w:lang w:val="en-US"/>
        </w:rPr>
        <w:t>, 576 U.S. 644, 664</w:t>
      </w:r>
      <w:r w:rsidRPr="006E67FE">
        <w:rPr>
          <w:lang w:val="en-US"/>
        </w:rPr>
        <w:t xml:space="preserve"> = 135 S. Ct. </w:t>
      </w:r>
      <w:r w:rsidRPr="0012686A">
        <w:rPr>
          <w:lang w:val="en-US"/>
        </w:rPr>
        <w:t>2584, 2598</w:t>
      </w:r>
      <w:r w:rsidRPr="006E67FE">
        <w:rPr>
          <w:lang w:val="en-US"/>
        </w:rPr>
        <w:t xml:space="preserve"> = 192 L. Ed. </w:t>
      </w:r>
      <w:r w:rsidRPr="0012686A">
        <w:rPr>
          <w:lang w:val="en-US"/>
        </w:rPr>
        <w:t>2d 609, 624</w:t>
      </w:r>
      <w:r w:rsidRPr="006E67FE">
        <w:rPr>
          <w:lang w:val="en-US"/>
        </w:rPr>
        <w:t xml:space="preserve"> = 2015 U.S. LEXIS </w:t>
      </w:r>
      <w:r w:rsidRPr="0012686A">
        <w:rPr>
          <w:lang w:val="en-US"/>
        </w:rPr>
        <w:t>4250, 25</w:t>
      </w:r>
      <w:r w:rsidRPr="006E67FE">
        <w:rPr>
          <w:lang w:val="en-US"/>
        </w:rPr>
        <w:t xml:space="preserve"> = 83 U.S.L.W. </w:t>
      </w:r>
      <w:r w:rsidRPr="0012686A">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2686A">
        <w:rPr>
          <w:lang w:val="en-US"/>
        </w:rPr>
        <w:t>Dec. (CCH) P45,341</w:t>
      </w:r>
      <w:r w:rsidRPr="006E67FE">
        <w:rPr>
          <w:lang w:val="en-US"/>
        </w:rPr>
        <w:t xml:space="preserve"> = 115 A.F.T.R. 2d </w:t>
      </w:r>
      <w:r w:rsidRPr="0012686A">
        <w:rPr>
          <w:lang w:val="en-US"/>
        </w:rPr>
        <w:t>(RIA) 2015-2309</w:t>
      </w:r>
      <w:r w:rsidRPr="006E67FE">
        <w:rPr>
          <w:lang w:val="en-US"/>
        </w:rPr>
        <w:t xml:space="preserve"> = 25 Fla. L. Weekly Fed. </w:t>
      </w:r>
      <w:r w:rsidRPr="0012686A">
        <w:rPr>
          <w:lang w:val="en-US"/>
        </w:rPr>
        <w:t>S 472 (2015)</w:t>
      </w:r>
      <w:r>
        <w:rPr>
          <w:lang w:val="en-US"/>
        </w:rPr>
        <w:t>.</w:t>
      </w:r>
    </w:p>
  </w:footnote>
  <w:footnote w:id="680">
    <w:p w14:paraId="35E1C816"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r w:rsidRPr="009167A5">
        <w:rPr>
          <w:i/>
          <w:lang w:val="en-US"/>
        </w:rPr>
        <w:t>Obergefell v. Hodges</w:t>
      </w:r>
      <w:r w:rsidRPr="0012686A">
        <w:rPr>
          <w:lang w:val="en-US"/>
        </w:rPr>
        <w:t>, 576 U.S. 644, 664</w:t>
      </w:r>
      <w:r w:rsidRPr="006E67FE">
        <w:rPr>
          <w:lang w:val="en-US"/>
        </w:rPr>
        <w:t xml:space="preserve"> = 135 S. Ct. </w:t>
      </w:r>
      <w:r w:rsidRPr="0012686A">
        <w:rPr>
          <w:lang w:val="en-US"/>
        </w:rPr>
        <w:t>2584, 2598</w:t>
      </w:r>
      <w:r w:rsidRPr="006E67FE">
        <w:rPr>
          <w:lang w:val="en-US"/>
        </w:rPr>
        <w:t xml:space="preserve"> = 192 L. Ed. </w:t>
      </w:r>
      <w:r w:rsidRPr="0012686A">
        <w:rPr>
          <w:lang w:val="en-US"/>
        </w:rPr>
        <w:t>2d 609, 624</w:t>
      </w:r>
      <w:r w:rsidRPr="006E67FE">
        <w:rPr>
          <w:lang w:val="en-US"/>
        </w:rPr>
        <w:t xml:space="preserve"> = 2015 U.S. LEXIS </w:t>
      </w:r>
      <w:r w:rsidRPr="0012686A">
        <w:rPr>
          <w:lang w:val="en-US"/>
        </w:rPr>
        <w:t>4250, 25</w:t>
      </w:r>
      <w:r w:rsidRPr="006E67FE">
        <w:rPr>
          <w:lang w:val="en-US"/>
        </w:rPr>
        <w:t xml:space="preserve"> = 83 U.S.L.W. </w:t>
      </w:r>
      <w:r w:rsidRPr="0012686A">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2686A">
        <w:rPr>
          <w:lang w:val="en-US"/>
        </w:rPr>
        <w:t>Dec. (CCH) P45,341</w:t>
      </w:r>
      <w:r w:rsidRPr="006E67FE">
        <w:rPr>
          <w:lang w:val="en-US"/>
        </w:rPr>
        <w:t xml:space="preserve"> = 115 A.F.T.R. 2d </w:t>
      </w:r>
      <w:r w:rsidRPr="0012686A">
        <w:rPr>
          <w:lang w:val="en-US"/>
        </w:rPr>
        <w:t>(RIA) 2015-2309</w:t>
      </w:r>
      <w:r w:rsidRPr="006E67FE">
        <w:rPr>
          <w:lang w:val="en-US"/>
        </w:rPr>
        <w:t xml:space="preserve"> = 25 Fla. L. Weekly Fed. </w:t>
      </w:r>
      <w:r w:rsidRPr="0012686A">
        <w:rPr>
          <w:lang w:val="en-US"/>
        </w:rPr>
        <w:t>S 472 (2015)</w:t>
      </w:r>
      <w:r>
        <w:rPr>
          <w:lang w:val="en-US"/>
        </w:rPr>
        <w:t>.</w:t>
      </w:r>
    </w:p>
  </w:footnote>
  <w:footnote w:id="681">
    <w:p w14:paraId="31C5C31E" w14:textId="77777777" w:rsidR="00074551" w:rsidRPr="0012686A" w:rsidRDefault="00074551" w:rsidP="00074551">
      <w:pPr>
        <w:pStyle w:val="Funotentext"/>
        <w:rPr>
          <w:lang w:val="en-US"/>
        </w:rPr>
      </w:pPr>
      <w:r>
        <w:rPr>
          <w:rStyle w:val="Funotenzeichen"/>
          <w:rFonts w:eastAsiaTheme="majorEastAsia"/>
        </w:rPr>
        <w:footnoteRef/>
      </w:r>
      <w:r w:rsidRPr="0012686A">
        <w:rPr>
          <w:lang w:val="en-US"/>
        </w:rPr>
        <w:t xml:space="preserve"> </w:t>
      </w:r>
      <w:proofErr w:type="spellStart"/>
      <w:r>
        <w:rPr>
          <w:lang w:val="en-US"/>
        </w:rPr>
        <w:t>Siehe</w:t>
      </w:r>
      <w:proofErr w:type="spellEnd"/>
      <w:r w:rsidRPr="0012686A">
        <w:rPr>
          <w:lang w:val="en-US"/>
        </w:rPr>
        <w:t xml:space="preserve"> </w:t>
      </w:r>
      <w:r w:rsidRPr="00B45592">
        <w:rPr>
          <w:i/>
          <w:iCs/>
          <w:lang w:val="en-IE"/>
        </w:rPr>
        <w:t>Lawrence v. Texas</w:t>
      </w:r>
      <w:r w:rsidRPr="00B45592">
        <w:rPr>
          <w:lang w:val="en-IE"/>
        </w:rPr>
        <w:t>, 539 U.S. 558,</w:t>
      </w:r>
      <w:r w:rsidRPr="00B45592">
        <w:rPr>
          <w:b/>
          <w:bCs/>
          <w:lang w:val="en-IE"/>
        </w:rPr>
        <w:t xml:space="preserve"> </w:t>
      </w:r>
      <w:r w:rsidRPr="0012686A">
        <w:rPr>
          <w:lang w:val="en-US"/>
        </w:rPr>
        <w:t>572</w:t>
      </w:r>
      <w:r w:rsidRPr="006E67FE">
        <w:rPr>
          <w:lang w:val="en-US"/>
        </w:rPr>
        <w:t xml:space="preserve"> = 123 S. Ct. </w:t>
      </w:r>
      <w:r w:rsidRPr="0012686A">
        <w:rPr>
          <w:lang w:val="en-US"/>
        </w:rPr>
        <w:t>2472</w:t>
      </w:r>
      <w:r w:rsidRPr="006E67FE">
        <w:rPr>
          <w:lang w:val="en-US"/>
        </w:rPr>
        <w:t xml:space="preserve"> = 156 L. Ed. </w:t>
      </w:r>
      <w:r w:rsidRPr="0012686A">
        <w:rPr>
          <w:lang w:val="en-US"/>
        </w:rPr>
        <w:t>2d 508.</w:t>
      </w:r>
      <w:r>
        <w:rPr>
          <w:lang w:val="en-US"/>
        </w:rPr>
        <w:t xml:space="preserve"> </w:t>
      </w:r>
      <w:r w:rsidRPr="009167A5">
        <w:rPr>
          <w:i/>
          <w:lang w:val="en-US"/>
        </w:rPr>
        <w:t>Obergefell v. Hodges</w:t>
      </w:r>
      <w:r w:rsidRPr="0012686A">
        <w:rPr>
          <w:lang w:val="en-US"/>
        </w:rPr>
        <w:t>, 576 U.S. 644, 664</w:t>
      </w:r>
      <w:r w:rsidRPr="006E67FE">
        <w:rPr>
          <w:lang w:val="en-US"/>
        </w:rPr>
        <w:t xml:space="preserve"> = 135 S. Ct. </w:t>
      </w:r>
      <w:r w:rsidRPr="0012686A">
        <w:rPr>
          <w:lang w:val="en-US"/>
        </w:rPr>
        <w:t>2584, 2598</w:t>
      </w:r>
      <w:r w:rsidRPr="006E67FE">
        <w:rPr>
          <w:lang w:val="en-US"/>
        </w:rPr>
        <w:t xml:space="preserve"> = 192 L. Ed. </w:t>
      </w:r>
      <w:r w:rsidRPr="0012686A">
        <w:rPr>
          <w:lang w:val="en-US"/>
        </w:rPr>
        <w:t>2d 609, 624</w:t>
      </w:r>
      <w:r w:rsidRPr="006E67FE">
        <w:rPr>
          <w:lang w:val="en-US"/>
        </w:rPr>
        <w:t xml:space="preserve"> = 2015 U.S. LEXIS </w:t>
      </w:r>
      <w:r w:rsidRPr="0012686A">
        <w:rPr>
          <w:lang w:val="en-US"/>
        </w:rPr>
        <w:t>4250, 25</w:t>
      </w:r>
      <w:r w:rsidRPr="006E67FE">
        <w:rPr>
          <w:lang w:val="en-US"/>
        </w:rPr>
        <w:t xml:space="preserve"> = 83 U.S.L.W. </w:t>
      </w:r>
      <w:r w:rsidRPr="0012686A">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2686A">
        <w:rPr>
          <w:lang w:val="en-US"/>
        </w:rPr>
        <w:t>Dec. (CCH) P45,341</w:t>
      </w:r>
      <w:r w:rsidRPr="006E67FE">
        <w:rPr>
          <w:lang w:val="en-US"/>
        </w:rPr>
        <w:t xml:space="preserve"> = 115 A.F.T.R. 2d </w:t>
      </w:r>
      <w:r w:rsidRPr="0012686A">
        <w:rPr>
          <w:lang w:val="en-US"/>
        </w:rPr>
        <w:t>(RIA) 2015-2309</w:t>
      </w:r>
      <w:r w:rsidRPr="006E67FE">
        <w:rPr>
          <w:lang w:val="en-US"/>
        </w:rPr>
        <w:t xml:space="preserve"> = 25 Fla. L. Weekly Fed. </w:t>
      </w:r>
      <w:r w:rsidRPr="0012686A">
        <w:rPr>
          <w:lang w:val="en-US"/>
        </w:rPr>
        <w:t>S 472 (2015)</w:t>
      </w:r>
      <w:r>
        <w:rPr>
          <w:lang w:val="en-US"/>
        </w:rPr>
        <w:t>.</w:t>
      </w:r>
    </w:p>
  </w:footnote>
  <w:footnote w:id="682">
    <w:p w14:paraId="0ADB288C" w14:textId="77777777" w:rsidR="00074551" w:rsidRPr="00800E61" w:rsidRDefault="00074551" w:rsidP="00074551">
      <w:pPr>
        <w:pStyle w:val="Funotentext"/>
        <w:rPr>
          <w:lang w:val="en-US"/>
        </w:rPr>
      </w:pPr>
      <w:r>
        <w:rPr>
          <w:rStyle w:val="Funotenzeichen"/>
        </w:rPr>
        <w:footnoteRef/>
      </w:r>
      <w:r w:rsidRPr="00800E61">
        <w:rPr>
          <w:lang w:val="en-US"/>
        </w:rPr>
        <w:t xml:space="preserve"> </w:t>
      </w:r>
      <w:r w:rsidRPr="009167A5">
        <w:rPr>
          <w:i/>
          <w:lang w:val="en-US"/>
        </w:rPr>
        <w:t>Obergefell v. Hodges</w:t>
      </w:r>
      <w:r w:rsidRPr="00800E61">
        <w:rPr>
          <w:lang w:val="en-US"/>
        </w:rPr>
        <w:t>, 576 U.S. 644, 664</w:t>
      </w:r>
      <w:r w:rsidRPr="006E67FE">
        <w:rPr>
          <w:lang w:val="en-US"/>
        </w:rPr>
        <w:t xml:space="preserve"> = 135 S. Ct. </w:t>
      </w:r>
      <w:r w:rsidRPr="00800E61">
        <w:rPr>
          <w:lang w:val="en-US"/>
        </w:rPr>
        <w:t>2584, 2598</w:t>
      </w:r>
      <w:r w:rsidRPr="006E67FE">
        <w:rPr>
          <w:lang w:val="en-US"/>
        </w:rPr>
        <w:t xml:space="preserve"> = 192 L. Ed. </w:t>
      </w:r>
      <w:r w:rsidRPr="00800E61">
        <w:rPr>
          <w:lang w:val="en-US"/>
        </w:rPr>
        <w:t>2d 609, 624</w:t>
      </w:r>
      <w:r w:rsidRPr="006E67FE">
        <w:rPr>
          <w:lang w:val="en-US"/>
        </w:rPr>
        <w:t xml:space="preserve"> = 2015 U.S. LEXIS </w:t>
      </w:r>
      <w:r w:rsidRPr="00800E61">
        <w:rPr>
          <w:lang w:val="en-US"/>
        </w:rPr>
        <w:t>4250, 25</w:t>
      </w:r>
      <w:r w:rsidRPr="006E67FE">
        <w:rPr>
          <w:lang w:val="en-US"/>
        </w:rPr>
        <w:t xml:space="preserve"> = 83 U.S.L.W. </w:t>
      </w:r>
      <w:r w:rsidRPr="00800E61">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800E61">
        <w:rPr>
          <w:lang w:val="en-US"/>
        </w:rPr>
        <w:t>Dec. (CCH) P45,341</w:t>
      </w:r>
      <w:r w:rsidRPr="006E67FE">
        <w:rPr>
          <w:lang w:val="en-US"/>
        </w:rPr>
        <w:t xml:space="preserve"> = 115 A.F.T.R. 2d </w:t>
      </w:r>
      <w:r w:rsidRPr="00800E61">
        <w:rPr>
          <w:lang w:val="en-US"/>
        </w:rPr>
        <w:t>(RIA) 2015-2309</w:t>
      </w:r>
      <w:r w:rsidRPr="006E67FE">
        <w:rPr>
          <w:lang w:val="en-US"/>
        </w:rPr>
        <w:t xml:space="preserve"> = 25 Fla. L. Weekly Fed. </w:t>
      </w:r>
      <w:r w:rsidRPr="00800E61">
        <w:rPr>
          <w:lang w:val="en-US"/>
        </w:rPr>
        <w:t>S 472 (2015).</w:t>
      </w:r>
    </w:p>
  </w:footnote>
  <w:footnote w:id="683">
    <w:p w14:paraId="14AF43C0" w14:textId="77777777" w:rsidR="00074551" w:rsidRPr="00444BF9" w:rsidRDefault="00074551" w:rsidP="00074551">
      <w:pPr>
        <w:pStyle w:val="Funotentext"/>
        <w:jc w:val="both"/>
        <w:rPr>
          <w:lang w:val="en-US"/>
        </w:rPr>
      </w:pPr>
      <w:r>
        <w:rPr>
          <w:rStyle w:val="Funotenzeichen"/>
          <w:rFonts w:eastAsiaTheme="majorEastAsia"/>
        </w:rPr>
        <w:footnoteRef/>
      </w:r>
      <w:r w:rsidRPr="0012686A">
        <w:rPr>
          <w:lang w:val="en-US"/>
        </w:rPr>
        <w:t xml:space="preserve"> </w:t>
      </w:r>
      <w:r w:rsidRPr="00584023">
        <w:rPr>
          <w:i/>
          <w:lang w:val="en-US"/>
        </w:rPr>
        <w:t>Loving v. Virginia</w:t>
      </w:r>
      <w:r w:rsidRPr="0012686A">
        <w:rPr>
          <w:lang w:val="en-US"/>
        </w:rPr>
        <w:t>, 388 U.S. 1, 12</w:t>
      </w:r>
      <w:r w:rsidRPr="006E67FE">
        <w:rPr>
          <w:lang w:val="en-US"/>
        </w:rPr>
        <w:t xml:space="preserve"> = 87 S. Ct. </w:t>
      </w:r>
      <w:r w:rsidRPr="0012686A">
        <w:rPr>
          <w:lang w:val="en-US"/>
        </w:rPr>
        <w:t>1817</w:t>
      </w:r>
      <w:r w:rsidRPr="006E67FE">
        <w:rPr>
          <w:lang w:val="en-US"/>
        </w:rPr>
        <w:t xml:space="preserve"> = 18 L. Ed. </w:t>
      </w:r>
      <w:r w:rsidRPr="0012686A">
        <w:rPr>
          <w:lang w:val="en-US"/>
        </w:rPr>
        <w:t>2d 1010 (1967)</w:t>
      </w:r>
      <w:r>
        <w:rPr>
          <w:lang w:val="en-US"/>
        </w:rPr>
        <w:t xml:space="preserve">; </w:t>
      </w:r>
      <w:r w:rsidRPr="009167A5">
        <w:rPr>
          <w:i/>
          <w:lang w:val="en-US"/>
        </w:rPr>
        <w:t>Obergefell v. Hodges</w:t>
      </w:r>
      <w:r w:rsidRPr="0012686A">
        <w:rPr>
          <w:lang w:val="en-US"/>
        </w:rPr>
        <w:t>, 576 U.S. 644, 664</w:t>
      </w:r>
      <w:r w:rsidRPr="006E67FE">
        <w:rPr>
          <w:lang w:val="en-US"/>
        </w:rPr>
        <w:t xml:space="preserve"> = 135 S. Ct. </w:t>
      </w:r>
      <w:r w:rsidRPr="0012686A">
        <w:rPr>
          <w:lang w:val="en-US"/>
        </w:rPr>
        <w:t>2584, 2598</w:t>
      </w:r>
      <w:r w:rsidRPr="006E67FE">
        <w:rPr>
          <w:lang w:val="en-US"/>
        </w:rPr>
        <w:t xml:space="preserve"> = 192 L. Ed. </w:t>
      </w:r>
      <w:r w:rsidRPr="0012686A">
        <w:rPr>
          <w:lang w:val="en-US"/>
        </w:rPr>
        <w:t>2d 609, 624</w:t>
      </w:r>
      <w:r w:rsidRPr="006E67FE">
        <w:rPr>
          <w:lang w:val="en-US"/>
        </w:rPr>
        <w:t xml:space="preserve"> = 2015 U.S. LEXIS </w:t>
      </w:r>
      <w:r w:rsidRPr="0012686A">
        <w:rPr>
          <w:lang w:val="en-US"/>
        </w:rPr>
        <w:t>4250, 25</w:t>
      </w:r>
      <w:r w:rsidRPr="006E67FE">
        <w:rPr>
          <w:lang w:val="en-US"/>
        </w:rPr>
        <w:t xml:space="preserve"> = 83 U.S.L.W. </w:t>
      </w:r>
      <w:r w:rsidRPr="0012686A">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2686A">
        <w:rPr>
          <w:lang w:val="en-US"/>
        </w:rPr>
        <w:t>Dec. (CCH) P45,341</w:t>
      </w:r>
      <w:r w:rsidRPr="006E67FE">
        <w:rPr>
          <w:lang w:val="en-US"/>
        </w:rPr>
        <w:t xml:space="preserve"> = 115 A.F.T.R. 2d </w:t>
      </w:r>
      <w:r w:rsidRPr="0012686A">
        <w:rPr>
          <w:lang w:val="en-US"/>
        </w:rPr>
        <w:t>(RIA) 2015-2309</w:t>
      </w:r>
      <w:r w:rsidRPr="006E67FE">
        <w:rPr>
          <w:lang w:val="en-US"/>
        </w:rPr>
        <w:t xml:space="preserve"> = 25 Fla. L. Weekly Fed. </w:t>
      </w:r>
      <w:r w:rsidRPr="00444BF9">
        <w:rPr>
          <w:lang w:val="en-US"/>
        </w:rPr>
        <w:t>S 472 (2015)</w:t>
      </w:r>
      <w:r>
        <w:rPr>
          <w:lang w:val="en-US"/>
        </w:rPr>
        <w:t>.</w:t>
      </w:r>
    </w:p>
  </w:footnote>
  <w:footnote w:id="684">
    <w:p w14:paraId="22C6DBC4" w14:textId="77777777" w:rsidR="00074551" w:rsidRPr="00BC0F7E" w:rsidRDefault="00074551" w:rsidP="00074551">
      <w:pPr>
        <w:pStyle w:val="Funotentext"/>
        <w:rPr>
          <w:lang w:val="en-US"/>
        </w:rPr>
      </w:pPr>
      <w:r>
        <w:rPr>
          <w:rStyle w:val="Funotenzeichen"/>
          <w:rFonts w:eastAsiaTheme="majorEastAsia"/>
        </w:rPr>
        <w:footnoteRef/>
      </w:r>
      <w:r w:rsidRPr="00BC0F7E">
        <w:rPr>
          <w:lang w:val="en-US"/>
        </w:rPr>
        <w:t xml:space="preserve"> Wash. Rev. Code </w:t>
      </w:r>
      <w:r>
        <w:rPr>
          <w:lang w:val="en-US"/>
        </w:rPr>
        <w:t>§ </w:t>
      </w:r>
      <w:r w:rsidRPr="00BC0F7E">
        <w:rPr>
          <w:lang w:val="en-US"/>
        </w:rPr>
        <w:t>9A.36.060(1) (1994).</w:t>
      </w:r>
    </w:p>
  </w:footnote>
  <w:footnote w:id="685">
    <w:p w14:paraId="1F4933EB" w14:textId="06C94DCA" w:rsidR="5B67C1D2" w:rsidRDefault="5B67C1D2" w:rsidP="5B67C1D2">
      <w:pPr>
        <w:pStyle w:val="Funotentext"/>
        <w:spacing w:before="195" w:after="195"/>
      </w:pPr>
      <w:r w:rsidRPr="5B67C1D2">
        <w:rPr>
          <w:rStyle w:val="Funotenzeichen"/>
        </w:rPr>
        <w:footnoteRef/>
      </w:r>
      <w:r w:rsidRPr="006F4315">
        <w:rPr>
          <w:lang w:val="en-US"/>
        </w:rPr>
        <w:t xml:space="preserve"> </w:t>
      </w:r>
      <w:r w:rsidRPr="006F4315">
        <w:rPr>
          <w:rFonts w:ascii="Helvetica Neue" w:eastAsia="Helvetica Neue" w:hAnsi="Helvetica Neue" w:cs="Helvetica Neue"/>
          <w:i/>
          <w:iCs/>
          <w:sz w:val="19"/>
          <w:szCs w:val="19"/>
          <w:lang w:val="en-US"/>
        </w:rPr>
        <w:t xml:space="preserve">Wash. v. Glucksberg, </w:t>
      </w:r>
      <w:r w:rsidRPr="006F4315">
        <w:rPr>
          <w:rFonts w:ascii="Helvetica Neue" w:eastAsia="Helvetica Neue" w:hAnsi="Helvetica Neue" w:cs="Helvetica Neue"/>
          <w:sz w:val="19"/>
          <w:szCs w:val="19"/>
          <w:lang w:val="en-US"/>
        </w:rPr>
        <w:t xml:space="preserve">521 U.S. 702, 735, 117 S. Ct. 2258, 117 S. Ct. 2302, 138 L. Ed. 2d 772, 1997 U.S. LEXIS 4039, 65 U.S.L.W. 4669, 97 Cal. </w:t>
      </w:r>
      <w:r w:rsidRPr="5B67C1D2">
        <w:rPr>
          <w:rFonts w:ascii="Helvetica Neue" w:eastAsia="Helvetica Neue" w:hAnsi="Helvetica Neue" w:cs="Helvetica Neue"/>
          <w:sz w:val="19"/>
          <w:szCs w:val="19"/>
        </w:rPr>
        <w:t xml:space="preserve">Daily Op. Service 5008, 97 Daily Journal DAR 8150, 11 </w:t>
      </w:r>
      <w:proofErr w:type="spellStart"/>
      <w:r w:rsidRPr="5B67C1D2">
        <w:rPr>
          <w:rFonts w:ascii="Helvetica Neue" w:eastAsia="Helvetica Neue" w:hAnsi="Helvetica Neue" w:cs="Helvetica Neue"/>
          <w:sz w:val="19"/>
          <w:szCs w:val="19"/>
        </w:rPr>
        <w:t>Fla</w:t>
      </w:r>
      <w:proofErr w:type="spellEnd"/>
      <w:r w:rsidRPr="5B67C1D2">
        <w:rPr>
          <w:rFonts w:ascii="Helvetica Neue" w:eastAsia="Helvetica Neue" w:hAnsi="Helvetica Neue" w:cs="Helvetica Neue"/>
          <w:sz w:val="19"/>
          <w:szCs w:val="19"/>
        </w:rPr>
        <w:t>. L. Weekly Fed. S 190 (1997).</w:t>
      </w:r>
    </w:p>
  </w:footnote>
  <w:footnote w:id="686">
    <w:p w14:paraId="41E9BED4"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B45592">
        <w:rPr>
          <w:i/>
          <w:lang w:val="en-US"/>
        </w:rPr>
        <w:t>Collins v. Harker Heights</w:t>
      </w:r>
      <w:r w:rsidRPr="00444BF9">
        <w:rPr>
          <w:lang w:val="en-US"/>
        </w:rPr>
        <w:t>, 503 U.S. 115, 125 (1992)</w:t>
      </w:r>
      <w:r>
        <w:rPr>
          <w:lang w:val="en-US"/>
        </w:rPr>
        <w:t xml:space="preserve">; </w:t>
      </w:r>
      <w:r w:rsidRPr="009167A5">
        <w:rPr>
          <w:i/>
          <w:lang w:val="en-US"/>
        </w:rPr>
        <w:t>Wash. v. Glucksberg</w:t>
      </w:r>
      <w:r w:rsidRPr="003A4BAE">
        <w:rPr>
          <w:lang w:val="en-US"/>
        </w:rPr>
        <w:t>, 521 U.S. 702, 719</w:t>
      </w:r>
      <w:r w:rsidRPr="006E67FE">
        <w:rPr>
          <w:lang w:val="en-US"/>
        </w:rPr>
        <w:t xml:space="preserve"> = 117 S. Ct. </w:t>
      </w:r>
      <w:r w:rsidRPr="003A4BAE">
        <w:rPr>
          <w:lang w:val="en-US"/>
        </w:rPr>
        <w:t>2258, 2267, 2267</w:t>
      </w:r>
      <w:r w:rsidRPr="006E67FE">
        <w:rPr>
          <w:lang w:val="en-US"/>
        </w:rPr>
        <w:t xml:space="preserve"> = 117 S. Ct. </w:t>
      </w:r>
      <w:r w:rsidRPr="003A4BAE">
        <w:rPr>
          <w:lang w:val="en-US"/>
        </w:rPr>
        <w:t>2302</w:t>
      </w:r>
      <w:r w:rsidRPr="006E67FE">
        <w:rPr>
          <w:lang w:val="en-US"/>
        </w:rPr>
        <w:t xml:space="preserve"> = 138 L. Ed. </w:t>
      </w:r>
      <w:r w:rsidRPr="003A4BAE">
        <w:rPr>
          <w:lang w:val="en-US"/>
        </w:rPr>
        <w:t>2d 772, 787</w:t>
      </w:r>
      <w:r w:rsidRPr="006E67FE">
        <w:rPr>
          <w:lang w:val="en-US"/>
        </w:rPr>
        <w:t xml:space="preserve"> = 1997 U.S. LEXIS </w:t>
      </w:r>
      <w:r w:rsidRPr="003A4BAE">
        <w:rPr>
          <w:lang w:val="en-US"/>
        </w:rPr>
        <w:t>4039, 29</w:t>
      </w:r>
      <w:r w:rsidRPr="006E67FE">
        <w:rPr>
          <w:lang w:val="en-US"/>
        </w:rPr>
        <w:t xml:space="preserve"> = 65 U.S.L.W. </w:t>
      </w:r>
      <w:r w:rsidRPr="003A4BAE">
        <w:rPr>
          <w:lang w:val="en-US"/>
        </w:rPr>
        <w:t>4669</w:t>
      </w:r>
      <w:r w:rsidRPr="006E67FE">
        <w:rPr>
          <w:lang w:val="en-US"/>
        </w:rPr>
        <w:t xml:space="preserve"> = 97 Cal. Daily Op. </w:t>
      </w:r>
      <w:r w:rsidRPr="003A4BAE">
        <w:rPr>
          <w:lang w:val="en-US"/>
        </w:rPr>
        <w:t>Service 5008</w:t>
      </w:r>
      <w:r w:rsidRPr="006E67FE">
        <w:rPr>
          <w:lang w:val="en-US"/>
        </w:rPr>
        <w:t xml:space="preserve"> = 97 Daily Journal </w:t>
      </w:r>
      <w:r w:rsidRPr="003A4BAE">
        <w:rPr>
          <w:lang w:val="en-US"/>
        </w:rPr>
        <w:t>DAR 8150</w:t>
      </w:r>
      <w:r w:rsidRPr="006E67FE">
        <w:rPr>
          <w:lang w:val="en-US"/>
        </w:rPr>
        <w:t xml:space="preserve"> = 11 Fla. L. Weekly </w:t>
      </w:r>
      <w:r w:rsidRPr="003A4BAE">
        <w:rPr>
          <w:lang w:val="en-US"/>
        </w:rPr>
        <w:t xml:space="preserve">Fed. </w:t>
      </w:r>
      <w:r w:rsidRPr="00444BF9">
        <w:rPr>
          <w:lang w:val="en-US"/>
        </w:rPr>
        <w:t>S 190 (1997)</w:t>
      </w:r>
      <w:r>
        <w:rPr>
          <w:lang w:val="en-US"/>
        </w:rPr>
        <w:t>.</w:t>
      </w:r>
    </w:p>
  </w:footnote>
  <w:footnote w:id="687">
    <w:p w14:paraId="3F4A8F93"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584023">
        <w:rPr>
          <w:i/>
          <w:lang w:val="en-US"/>
        </w:rPr>
        <w:t>Loving v. Virginia</w:t>
      </w:r>
      <w:r w:rsidRPr="00444BF9">
        <w:rPr>
          <w:lang w:val="en-US"/>
        </w:rPr>
        <w:t>, 388 U.S. 1 (1967)</w:t>
      </w:r>
      <w:r>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4039, 29</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88">
    <w:p w14:paraId="2A72DBF6" w14:textId="77777777" w:rsidR="00074551" w:rsidRPr="00444BF9" w:rsidRDefault="00074551" w:rsidP="00074551">
      <w:pPr>
        <w:pStyle w:val="Funotentext"/>
        <w:rPr>
          <w:lang w:val="en-US"/>
        </w:rPr>
      </w:pPr>
      <w:r>
        <w:rPr>
          <w:rStyle w:val="Funotenzeichen"/>
          <w:rFonts w:eastAsiaTheme="majorEastAsia"/>
        </w:rPr>
        <w:footnoteRef/>
      </w:r>
      <w:r w:rsidRPr="00B45592">
        <w:rPr>
          <w:lang w:val="fr-FR"/>
        </w:rPr>
        <w:t xml:space="preserve"> </w:t>
      </w:r>
      <w:r w:rsidRPr="00B45592">
        <w:rPr>
          <w:i/>
          <w:lang w:val="fr-FR"/>
        </w:rPr>
        <w:t>Skinner v. Oklahoma</w:t>
      </w:r>
      <w:r w:rsidRPr="006820B8">
        <w:rPr>
          <w:i/>
          <w:lang w:val="fr-FR"/>
        </w:rPr>
        <w:t xml:space="preserve"> ex rel. </w:t>
      </w:r>
      <w:r w:rsidRPr="00B45592">
        <w:rPr>
          <w:i/>
          <w:lang w:val="en-IE"/>
        </w:rPr>
        <w:t>Williamson</w:t>
      </w:r>
      <w:r w:rsidRPr="00444BF9">
        <w:rPr>
          <w:lang w:val="en-US"/>
        </w:rPr>
        <w:t>, 316 U.S. 535 (1942</w:t>
      </w:r>
      <w:proofErr w:type="gramStart"/>
      <w:r w:rsidRPr="00444BF9">
        <w:rPr>
          <w:lang w:val="en-US"/>
        </w:rPr>
        <w:t>)</w:t>
      </w:r>
      <w:r>
        <w:rPr>
          <w:lang w:val="en-US"/>
        </w:rPr>
        <w:t>;</w:t>
      </w:r>
      <w:proofErr w:type="gramEnd"/>
      <w:r>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4039, 29</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89">
    <w:p w14:paraId="136D32E1"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9E57E1">
        <w:rPr>
          <w:i/>
          <w:lang w:val="en-US"/>
        </w:rPr>
        <w:t>Meyer v. Nebraska</w:t>
      </w:r>
      <w:r w:rsidRPr="00444BF9">
        <w:rPr>
          <w:lang w:val="en-US"/>
        </w:rPr>
        <w:t xml:space="preserve">, 262 U.S. 390 (1923); </w:t>
      </w:r>
      <w:r w:rsidRPr="009167A5">
        <w:rPr>
          <w:i/>
          <w:lang w:val="en-US"/>
        </w:rPr>
        <w:t>Pierce v. Society of Sisters</w:t>
      </w:r>
      <w:r w:rsidRPr="00444BF9">
        <w:rPr>
          <w:lang w:val="en-US"/>
        </w:rPr>
        <w:t>, 268 U.S. 510 (1925);</w:t>
      </w:r>
      <w:r>
        <w:rPr>
          <w:lang w:val="en-US"/>
        </w:rPr>
        <w:t xml:space="preserve"> </w:t>
      </w:r>
    </w:p>
    <w:p w14:paraId="5F45924A" w14:textId="77777777" w:rsidR="00074551" w:rsidRPr="00444BF9" w:rsidRDefault="00074551" w:rsidP="00074551">
      <w:pPr>
        <w:pStyle w:val="Funotentext"/>
        <w:rPr>
          <w:lang w:val="en-US"/>
        </w:rPr>
      </w:pP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4039, 30</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90">
    <w:p w14:paraId="0B0A15B3"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9167A5">
        <w:rPr>
          <w:i/>
          <w:lang w:val="en-US"/>
        </w:rPr>
        <w:t>Griswold v. Connecticut</w:t>
      </w:r>
      <w:r w:rsidRPr="00444BF9">
        <w:rPr>
          <w:lang w:val="en-US"/>
        </w:rPr>
        <w:t>, 381 U.S. 479 (1965)</w:t>
      </w:r>
      <w:r>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4039, 30</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91">
    <w:p w14:paraId="1CEF2E53"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9167A5">
        <w:rPr>
          <w:i/>
          <w:lang w:val="en-US"/>
        </w:rPr>
        <w:t>Griswold v. Connecticut</w:t>
      </w:r>
      <w:r w:rsidRPr="00444BF9">
        <w:rPr>
          <w:lang w:val="en-US"/>
        </w:rPr>
        <w:t>, 381 U.S. 479 (1965)</w:t>
      </w:r>
      <w:r>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4039, 30</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92">
    <w:p w14:paraId="1ED0E5C5"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B45592">
        <w:rPr>
          <w:i/>
          <w:lang w:val="en-US"/>
        </w:rPr>
        <w:t>Rochin v. California</w:t>
      </w:r>
      <w:r w:rsidRPr="00444BF9">
        <w:rPr>
          <w:lang w:val="en-US"/>
        </w:rPr>
        <w:t>, 342 U.S. 165 (1952)</w:t>
      </w:r>
      <w:r>
        <w:rPr>
          <w:lang w:val="en-US"/>
        </w:rPr>
        <w:t>;</w:t>
      </w:r>
      <w:r w:rsidRPr="00444BF9">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4039, 30</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93">
    <w:p w14:paraId="4F0B7235" w14:textId="77777777" w:rsidR="00074551" w:rsidRPr="00444BF9" w:rsidRDefault="00074551" w:rsidP="00074551">
      <w:pPr>
        <w:pStyle w:val="Funotentext"/>
        <w:rPr>
          <w:lang w:val="en-US"/>
        </w:rPr>
      </w:pPr>
      <w:r>
        <w:rPr>
          <w:rStyle w:val="Funotenzeichen"/>
          <w:rFonts w:eastAsiaTheme="majorEastAsia"/>
        </w:rPr>
        <w:footnoteRef/>
      </w:r>
      <w:r w:rsidRPr="00444BF9">
        <w:rPr>
          <w:lang w:val="en-US"/>
        </w:rPr>
        <w:t xml:space="preserve"> </w:t>
      </w:r>
      <w:r w:rsidRPr="00B45592">
        <w:rPr>
          <w:i/>
          <w:iCs/>
          <w:lang w:val="en-IE"/>
        </w:rPr>
        <w:t>Planned Parenthood of Southeastern Pa. v. Casey</w:t>
      </w:r>
      <w:r w:rsidRPr="00B45592">
        <w:rPr>
          <w:lang w:val="en-IE"/>
        </w:rPr>
        <w:t>, 505 U.S. 833,</w:t>
      </w:r>
      <w:r w:rsidRPr="00B45592">
        <w:rPr>
          <w:b/>
          <w:bCs/>
          <w:lang w:val="en-IE"/>
        </w:rPr>
        <w:t xml:space="preserve"> </w:t>
      </w:r>
      <w:r w:rsidRPr="009167A5">
        <w:rPr>
          <w:lang w:val="en-US"/>
        </w:rPr>
        <w:t>851</w:t>
      </w:r>
      <w:r>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4039, 29</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Fed. S 190 (1997)</w:t>
      </w:r>
      <w:r>
        <w:rPr>
          <w:lang w:val="en-US"/>
        </w:rPr>
        <w:t>.</w:t>
      </w:r>
    </w:p>
  </w:footnote>
  <w:footnote w:id="694">
    <w:p w14:paraId="05294B93" w14:textId="77777777" w:rsidR="00074551" w:rsidRPr="00AB6C48" w:rsidRDefault="00074551" w:rsidP="00074551">
      <w:pPr>
        <w:pStyle w:val="Funotentext"/>
        <w:rPr>
          <w:lang w:val="en-US"/>
        </w:rPr>
      </w:pPr>
      <w:r>
        <w:rPr>
          <w:rStyle w:val="Funotenzeichen"/>
          <w:rFonts w:eastAsiaTheme="majorEastAsia"/>
        </w:rPr>
        <w:footnoteRef/>
      </w:r>
      <w:r w:rsidRPr="00444BF9">
        <w:rPr>
          <w:lang w:val="en-US"/>
        </w:rPr>
        <w:t xml:space="preserve"> </w:t>
      </w:r>
      <w:r w:rsidRPr="00B45592">
        <w:rPr>
          <w:i/>
          <w:iCs/>
          <w:lang w:val="en-IE"/>
        </w:rPr>
        <w:t xml:space="preserve">Cruzan v. Director, Missouri </w:t>
      </w:r>
      <w:proofErr w:type="spellStart"/>
      <w:r w:rsidRPr="00B45592">
        <w:rPr>
          <w:i/>
          <w:iCs/>
          <w:lang w:val="en-IE"/>
        </w:rPr>
        <w:t>Dep’t</w:t>
      </w:r>
      <w:proofErr w:type="spellEnd"/>
      <w:r w:rsidRPr="00B45592">
        <w:rPr>
          <w:i/>
          <w:iCs/>
          <w:lang w:val="en-IE"/>
        </w:rPr>
        <w:t xml:space="preserve"> of Health</w:t>
      </w:r>
      <w:r w:rsidRPr="00B45592">
        <w:rPr>
          <w:lang w:val="en-IE"/>
        </w:rPr>
        <w:t>, 497 U.S. 261</w:t>
      </w:r>
      <w:r>
        <w:rPr>
          <w:lang w:val="en-US"/>
        </w:rPr>
        <w:t xml:space="preserve">, </w:t>
      </w:r>
      <w:r w:rsidRPr="00444BF9">
        <w:rPr>
          <w:lang w:val="en-US"/>
        </w:rPr>
        <w:t>278</w:t>
      </w:r>
      <w:r>
        <w:rPr>
          <w:lang w:val="en-US"/>
        </w:rPr>
        <w:t>–</w:t>
      </w:r>
      <w:r w:rsidRPr="00444BF9">
        <w:rPr>
          <w:lang w:val="en-US"/>
        </w:rPr>
        <w:t>279</w:t>
      </w:r>
      <w:r>
        <w:rPr>
          <w:lang w:val="en-US"/>
        </w:rPr>
        <w:t xml:space="preserve">; </w:t>
      </w:r>
      <w:r w:rsidRPr="009167A5">
        <w:rPr>
          <w:i/>
          <w:lang w:val="en-US"/>
        </w:rPr>
        <w:t>Wash. v. Glucksberg</w:t>
      </w:r>
      <w:r w:rsidRPr="00444BF9">
        <w:rPr>
          <w:lang w:val="en-US"/>
        </w:rPr>
        <w:t>, 521 U.S. 702, 720</w:t>
      </w:r>
      <w:r w:rsidRPr="006E67FE">
        <w:rPr>
          <w:lang w:val="en-US"/>
        </w:rPr>
        <w:t xml:space="preserve"> = 117 S. Ct. </w:t>
      </w:r>
      <w:r w:rsidRPr="00444BF9">
        <w:rPr>
          <w:lang w:val="en-US"/>
        </w:rPr>
        <w:t>2258, 2267, 2267</w:t>
      </w:r>
      <w:r w:rsidRPr="006E67FE">
        <w:rPr>
          <w:lang w:val="en-US"/>
        </w:rPr>
        <w:t xml:space="preserve"> = 117 S. Ct. </w:t>
      </w:r>
      <w:r w:rsidRPr="00444BF9">
        <w:rPr>
          <w:lang w:val="en-US"/>
        </w:rPr>
        <w:t>2302</w:t>
      </w:r>
      <w:r w:rsidRPr="006E67FE">
        <w:rPr>
          <w:lang w:val="en-US"/>
        </w:rPr>
        <w:t xml:space="preserve"> = 138 L. Ed. </w:t>
      </w:r>
      <w:r w:rsidRPr="00444BF9">
        <w:rPr>
          <w:lang w:val="en-US"/>
        </w:rPr>
        <w:t>2d 772, 787</w:t>
      </w:r>
      <w:r w:rsidRPr="006E67FE">
        <w:rPr>
          <w:lang w:val="en-US"/>
        </w:rPr>
        <w:t xml:space="preserve"> = 1997 U.S. LEXIS </w:t>
      </w:r>
      <w:r w:rsidRPr="00444BF9">
        <w:rPr>
          <w:lang w:val="en-US"/>
        </w:rPr>
        <w:t>4039, 30</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 xml:space="preserve">Fed. </w:t>
      </w:r>
      <w:r w:rsidRPr="00AB6C48">
        <w:rPr>
          <w:lang w:val="en-US"/>
        </w:rPr>
        <w:t>S 190 (1997)</w:t>
      </w:r>
      <w:r>
        <w:rPr>
          <w:lang w:val="en-US"/>
        </w:rPr>
        <w:t>.</w:t>
      </w:r>
    </w:p>
  </w:footnote>
  <w:footnote w:id="695">
    <w:p w14:paraId="1C450498" w14:textId="77777777" w:rsidR="00074551" w:rsidRPr="00CF7AE2" w:rsidRDefault="00074551" w:rsidP="00074551">
      <w:pPr>
        <w:pStyle w:val="Funotentext"/>
        <w:rPr>
          <w:lang w:val="en-US"/>
        </w:rPr>
      </w:pPr>
      <w:r>
        <w:rPr>
          <w:rStyle w:val="Funotenzeichen"/>
          <w:rFonts w:eastAsiaTheme="majorEastAsia"/>
        </w:rPr>
        <w:footnoteRef/>
      </w:r>
      <w:r w:rsidRPr="00444BF9">
        <w:rPr>
          <w:lang w:val="en-US"/>
        </w:rPr>
        <w:t> </w:t>
      </w:r>
      <w:r w:rsidRPr="009E57E1">
        <w:rPr>
          <w:i/>
          <w:lang w:val="en-US"/>
        </w:rPr>
        <w:t>Meyer v. Nebraska</w:t>
      </w:r>
      <w:r w:rsidRPr="00444BF9">
        <w:rPr>
          <w:lang w:val="en-US"/>
        </w:rPr>
        <w:t>, 262 U.S. 39</w:t>
      </w:r>
      <w:r>
        <w:rPr>
          <w:lang w:val="en-US"/>
        </w:rPr>
        <w:t xml:space="preserve">9; </w:t>
      </w:r>
      <w:r w:rsidRPr="009167A5">
        <w:rPr>
          <w:i/>
          <w:lang w:val="en-US"/>
        </w:rPr>
        <w:t>Wash. v. Glucksberg</w:t>
      </w:r>
      <w:r w:rsidRPr="00444BF9">
        <w:rPr>
          <w:lang w:val="en-US"/>
        </w:rPr>
        <w:t>, 521 U.S. 702, 761</w:t>
      </w:r>
      <w:r w:rsidRPr="006E67FE">
        <w:rPr>
          <w:lang w:val="en-US"/>
        </w:rPr>
        <w:t xml:space="preserve"> = 117 S. Ct. </w:t>
      </w:r>
      <w:r w:rsidRPr="00444BF9">
        <w:rPr>
          <w:lang w:val="en-US"/>
        </w:rPr>
        <w:t>2258, 2280, 2280</w:t>
      </w:r>
      <w:r w:rsidRPr="006E67FE">
        <w:rPr>
          <w:lang w:val="en-US"/>
        </w:rPr>
        <w:t xml:space="preserve"> = 117 S. Ct. </w:t>
      </w:r>
      <w:r w:rsidRPr="00444BF9">
        <w:rPr>
          <w:lang w:val="en-US"/>
        </w:rPr>
        <w:t>2302</w:t>
      </w:r>
      <w:r w:rsidRPr="006E67FE">
        <w:rPr>
          <w:lang w:val="en-US"/>
        </w:rPr>
        <w:t xml:space="preserve"> = 138 L. Ed. </w:t>
      </w:r>
      <w:r w:rsidRPr="00444BF9">
        <w:rPr>
          <w:lang w:val="en-US"/>
        </w:rPr>
        <w:t>2d 772, 813</w:t>
      </w:r>
      <w:r w:rsidRPr="006E67FE">
        <w:rPr>
          <w:lang w:val="en-US"/>
        </w:rPr>
        <w:t xml:space="preserve"> = 1997 U.S. LEXIS </w:t>
      </w:r>
      <w:r w:rsidRPr="00444BF9">
        <w:rPr>
          <w:lang w:val="en-US"/>
        </w:rPr>
        <w:t>4039, 100</w:t>
      </w:r>
      <w:r w:rsidRPr="006E67FE">
        <w:rPr>
          <w:lang w:val="en-US"/>
        </w:rPr>
        <w:t xml:space="preserve"> = 65 U.S.L.W. </w:t>
      </w:r>
      <w:r w:rsidRPr="00444BF9">
        <w:rPr>
          <w:lang w:val="en-US"/>
        </w:rPr>
        <w:t>4669</w:t>
      </w:r>
      <w:r w:rsidRPr="006E67FE">
        <w:rPr>
          <w:lang w:val="en-US"/>
        </w:rPr>
        <w:t xml:space="preserve"> = 97 Cal. Daily Op. </w:t>
      </w:r>
      <w:r w:rsidRPr="00444BF9">
        <w:rPr>
          <w:lang w:val="en-US"/>
        </w:rPr>
        <w:t>Service 5008</w:t>
      </w:r>
      <w:r w:rsidRPr="006E67FE">
        <w:rPr>
          <w:lang w:val="en-US"/>
        </w:rPr>
        <w:t xml:space="preserve"> = 97 Daily Journal </w:t>
      </w:r>
      <w:r w:rsidRPr="00444BF9">
        <w:rPr>
          <w:lang w:val="en-US"/>
        </w:rPr>
        <w:t>DAR 8150</w:t>
      </w:r>
      <w:r w:rsidRPr="006E67FE">
        <w:rPr>
          <w:lang w:val="en-US"/>
        </w:rPr>
        <w:t xml:space="preserve"> = 11 Fla. L. Weekly </w:t>
      </w:r>
      <w:r w:rsidRPr="00444BF9">
        <w:rPr>
          <w:lang w:val="en-US"/>
        </w:rPr>
        <w:t xml:space="preserve">Fed. </w:t>
      </w:r>
      <w:r w:rsidRPr="00CF7AE2">
        <w:rPr>
          <w:lang w:val="en-US"/>
        </w:rPr>
        <w:t>S 190 (1997).</w:t>
      </w:r>
      <w:r w:rsidRPr="00CF7AE2">
        <w:rPr>
          <w:lang w:val="en-US"/>
        </w:rPr>
        <w:br/>
      </w:r>
    </w:p>
  </w:footnote>
  <w:footnote w:id="696">
    <w:p w14:paraId="1ECE0BEB" w14:textId="77777777" w:rsidR="00074551" w:rsidRPr="001C7C4A" w:rsidRDefault="00074551" w:rsidP="00074551">
      <w:pPr>
        <w:pStyle w:val="Funotentext"/>
        <w:rPr>
          <w:lang w:val="en-US"/>
        </w:rPr>
      </w:pPr>
      <w:r>
        <w:rPr>
          <w:rStyle w:val="Funotenzeichen"/>
        </w:rPr>
        <w:footnoteRef/>
      </w:r>
      <w:r w:rsidRPr="001C7C4A">
        <w:rPr>
          <w:lang w:val="en-US"/>
        </w:rPr>
        <w:t xml:space="preserve"> </w:t>
      </w:r>
      <w:r>
        <w:rPr>
          <w:lang w:val="en-US"/>
        </w:rPr>
        <w:t>„</w:t>
      </w:r>
      <w:r w:rsidRPr="001C7C4A">
        <w:rPr>
          <w:lang w:val="en-US"/>
        </w:rPr>
        <w:t xml:space="preserve">Chinese Bookkeeping Act, Act No. 2972, which made it unlawful for any Chinese merchant to keep account books in any language other than English, Spanish, or a Philippine </w:t>
      </w:r>
      <w:proofErr w:type="gramStart"/>
      <w:r w:rsidRPr="001C7C4A">
        <w:rPr>
          <w:lang w:val="en-US"/>
        </w:rPr>
        <w:t>dialect</w:t>
      </w:r>
      <w:r>
        <w:rPr>
          <w:lang w:val="en-US"/>
        </w:rPr>
        <w:t>“</w:t>
      </w:r>
      <w:proofErr w:type="gramEnd"/>
      <w:r w:rsidRPr="001C7C4A">
        <w:rPr>
          <w:lang w:val="en-US"/>
        </w:rPr>
        <w:t>,</w:t>
      </w:r>
      <w:r>
        <w:rPr>
          <w:lang w:val="en-US"/>
        </w:rPr>
        <w:t xml:space="preserve"> </w:t>
      </w:r>
      <w:r w:rsidRPr="009167A5">
        <w:rPr>
          <w:i/>
          <w:lang w:val="en-US"/>
        </w:rPr>
        <w:t>Yu Cong Eng v. Trinidad</w:t>
      </w:r>
      <w:r w:rsidRPr="001C7C4A">
        <w:rPr>
          <w:lang w:val="en-US"/>
        </w:rPr>
        <w:t>, 271 U.S. 500, 506</w:t>
      </w:r>
      <w:r w:rsidRPr="006E67FE">
        <w:rPr>
          <w:lang w:val="en-US"/>
        </w:rPr>
        <w:t xml:space="preserve"> = 46 S. Ct</w:t>
      </w:r>
      <w:r w:rsidRPr="001C7C4A">
        <w:rPr>
          <w:lang w:val="en-US"/>
        </w:rPr>
        <w:t>. 619, 619</w:t>
      </w:r>
      <w:r w:rsidRPr="006E67FE">
        <w:rPr>
          <w:lang w:val="en-US"/>
        </w:rPr>
        <w:t xml:space="preserve"> = 70 L. Ed. </w:t>
      </w:r>
      <w:r w:rsidRPr="001C7C4A">
        <w:rPr>
          <w:lang w:val="en-US"/>
        </w:rPr>
        <w:t>1059, 1062</w:t>
      </w:r>
      <w:r w:rsidRPr="006E67FE">
        <w:rPr>
          <w:lang w:val="en-US"/>
        </w:rPr>
        <w:t xml:space="preserve"> = 1926 U.S. LEXIS </w:t>
      </w:r>
      <w:r w:rsidRPr="001C7C4A">
        <w:rPr>
          <w:lang w:val="en-US"/>
        </w:rPr>
        <w:t>642, 1 (1926).</w:t>
      </w:r>
    </w:p>
  </w:footnote>
  <w:footnote w:id="697">
    <w:p w14:paraId="61AC01E6"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167A5">
        <w:rPr>
          <w:i/>
          <w:lang w:val="en-US"/>
        </w:rPr>
        <w:t>Yu Cong Eng v. Trinidad</w:t>
      </w:r>
      <w:r w:rsidRPr="00E44BD0">
        <w:rPr>
          <w:lang w:val="en-US"/>
        </w:rPr>
        <w:t>, 271 U.S. 500, 506</w:t>
      </w:r>
      <w:r w:rsidRPr="006E67FE">
        <w:rPr>
          <w:lang w:val="en-US"/>
        </w:rPr>
        <w:t xml:space="preserve"> = 46 S. Ct</w:t>
      </w:r>
      <w:r w:rsidRPr="00E44BD0">
        <w:rPr>
          <w:lang w:val="en-US"/>
        </w:rPr>
        <w:t>. 619, 619</w:t>
      </w:r>
      <w:r w:rsidRPr="006E67FE">
        <w:rPr>
          <w:lang w:val="en-US"/>
        </w:rPr>
        <w:t xml:space="preserve"> = 70 L. Ed. </w:t>
      </w:r>
      <w:r w:rsidRPr="00E44BD0">
        <w:rPr>
          <w:lang w:val="en-US"/>
        </w:rPr>
        <w:t>1059, 1062</w:t>
      </w:r>
      <w:r w:rsidRPr="006E67FE">
        <w:rPr>
          <w:lang w:val="en-US"/>
        </w:rPr>
        <w:t xml:space="preserve"> = 1926 U.S. LEXIS </w:t>
      </w:r>
      <w:r w:rsidRPr="00E44BD0">
        <w:rPr>
          <w:lang w:val="en-US"/>
        </w:rPr>
        <w:t>642, 1 (1926)</w:t>
      </w:r>
      <w:r>
        <w:rPr>
          <w:lang w:val="en-US"/>
        </w:rPr>
        <w:t>.</w:t>
      </w:r>
    </w:p>
  </w:footnote>
  <w:footnote w:id="698">
    <w:p w14:paraId="1ED1B1FE"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167A5">
        <w:rPr>
          <w:i/>
          <w:lang w:val="en-US"/>
        </w:rPr>
        <w:t>Yu Cong Eng v. Trinidad</w:t>
      </w:r>
      <w:r w:rsidRPr="00E44BD0">
        <w:rPr>
          <w:lang w:val="en-US"/>
        </w:rPr>
        <w:t>, 271 U.S. 500, 506</w:t>
      </w:r>
      <w:r w:rsidRPr="006E67FE">
        <w:rPr>
          <w:lang w:val="en-US"/>
        </w:rPr>
        <w:t xml:space="preserve"> = 46 S. Ct</w:t>
      </w:r>
      <w:r w:rsidRPr="00E44BD0">
        <w:rPr>
          <w:lang w:val="en-US"/>
        </w:rPr>
        <w:t>. 619, 619</w:t>
      </w:r>
      <w:r w:rsidRPr="006E67FE">
        <w:rPr>
          <w:lang w:val="en-US"/>
        </w:rPr>
        <w:t xml:space="preserve"> = 70 L. Ed. </w:t>
      </w:r>
      <w:r w:rsidRPr="00E44BD0">
        <w:rPr>
          <w:lang w:val="en-US"/>
        </w:rPr>
        <w:t>1059, 1062</w:t>
      </w:r>
      <w:r w:rsidRPr="006E67FE">
        <w:rPr>
          <w:lang w:val="en-US"/>
        </w:rPr>
        <w:t xml:space="preserve"> = 1926 U.S. LEXIS </w:t>
      </w:r>
      <w:r w:rsidRPr="00E44BD0">
        <w:rPr>
          <w:lang w:val="en-US"/>
        </w:rPr>
        <w:t>642, 1 (1926)</w:t>
      </w:r>
      <w:r>
        <w:rPr>
          <w:lang w:val="en-US"/>
        </w:rPr>
        <w:t>.</w:t>
      </w:r>
    </w:p>
  </w:footnote>
  <w:footnote w:id="699">
    <w:p w14:paraId="6DA62427" w14:textId="77777777" w:rsidR="00074551" w:rsidRPr="001C7C4A" w:rsidRDefault="00074551" w:rsidP="00074551">
      <w:pPr>
        <w:pStyle w:val="Funotentext"/>
        <w:rPr>
          <w:lang w:val="en-US"/>
        </w:rPr>
      </w:pPr>
      <w:r>
        <w:rPr>
          <w:rStyle w:val="Funotenzeichen"/>
        </w:rPr>
        <w:footnoteRef/>
      </w:r>
      <w:r w:rsidRPr="001C7C4A">
        <w:rPr>
          <w:lang w:val="en-US"/>
        </w:rPr>
        <w:t xml:space="preserve"> Hier </w:t>
      </w:r>
      <w:proofErr w:type="spellStart"/>
      <w:r w:rsidRPr="001C7C4A">
        <w:rPr>
          <w:lang w:val="en-US"/>
        </w:rPr>
        <w:t>z.B.</w:t>
      </w:r>
      <w:proofErr w:type="spellEnd"/>
      <w:r w:rsidRPr="001C7C4A">
        <w:rPr>
          <w:lang w:val="en-US"/>
        </w:rPr>
        <w:t xml:space="preserve"> „Congress for the Philippine Islands, 32 Stat. 691, 692, that guarantees equivalent to the due process and equal protection of the law clause of the Fourteenth </w:t>
      </w:r>
      <w:proofErr w:type="gramStart"/>
      <w:r w:rsidRPr="001C7C4A">
        <w:rPr>
          <w:lang w:val="en-US"/>
        </w:rPr>
        <w:t>Amendment“</w:t>
      </w:r>
      <w:proofErr w:type="gramEnd"/>
      <w:r>
        <w:rPr>
          <w:lang w:val="en-US"/>
        </w:rPr>
        <w:t>,</w:t>
      </w:r>
      <w:r w:rsidRPr="001C7C4A">
        <w:rPr>
          <w:lang w:val="en-US"/>
        </w:rPr>
        <w:t xml:space="preserve"> in</w:t>
      </w:r>
    </w:p>
    <w:p w14:paraId="19C5E5EE" w14:textId="77777777" w:rsidR="00074551" w:rsidRPr="001C7C4A" w:rsidRDefault="00074551" w:rsidP="00074551">
      <w:pPr>
        <w:pStyle w:val="Funotentext"/>
        <w:rPr>
          <w:lang w:val="en-US"/>
        </w:rPr>
      </w:pPr>
      <w:r w:rsidRPr="009167A5">
        <w:rPr>
          <w:i/>
          <w:lang w:val="en-US"/>
        </w:rPr>
        <w:t>Yu Cong Eng v. Trinidad</w:t>
      </w:r>
      <w:r w:rsidRPr="001C7C4A">
        <w:rPr>
          <w:lang w:val="en-US"/>
        </w:rPr>
        <w:t>, 271 U.S. 500, 524</w:t>
      </w:r>
      <w:r w:rsidRPr="006E67FE">
        <w:rPr>
          <w:lang w:val="en-US"/>
        </w:rPr>
        <w:t xml:space="preserve"> = 46 S. Ct</w:t>
      </w:r>
      <w:r w:rsidRPr="001C7C4A">
        <w:rPr>
          <w:lang w:val="en-US"/>
        </w:rPr>
        <w:t>. 619, 625</w:t>
      </w:r>
      <w:r w:rsidRPr="006E67FE">
        <w:rPr>
          <w:lang w:val="en-US"/>
        </w:rPr>
        <w:t xml:space="preserve"> = 70 L. Ed. </w:t>
      </w:r>
      <w:r w:rsidRPr="001C7C4A">
        <w:rPr>
          <w:lang w:val="en-US"/>
        </w:rPr>
        <w:t>1059, 1069</w:t>
      </w:r>
      <w:r w:rsidRPr="006E67FE">
        <w:rPr>
          <w:lang w:val="en-US"/>
        </w:rPr>
        <w:t xml:space="preserve"> = 1926 U.S. LEXIS </w:t>
      </w:r>
      <w:r w:rsidRPr="001C7C4A">
        <w:rPr>
          <w:lang w:val="en-US"/>
        </w:rPr>
        <w:t>642, 42 (1926).</w:t>
      </w:r>
    </w:p>
  </w:footnote>
  <w:footnote w:id="700">
    <w:p w14:paraId="58129561" w14:textId="77777777" w:rsidR="00074551" w:rsidRPr="001C7C4A" w:rsidRDefault="00074551" w:rsidP="00074551">
      <w:pPr>
        <w:pStyle w:val="Funotentext"/>
        <w:rPr>
          <w:lang w:val="en-US"/>
        </w:rPr>
      </w:pPr>
      <w:r>
        <w:rPr>
          <w:rStyle w:val="Funotenzeichen"/>
        </w:rPr>
        <w:footnoteRef/>
      </w:r>
      <w:r w:rsidRPr="001C7C4A">
        <w:rPr>
          <w:lang w:val="en-US"/>
        </w:rPr>
        <w:t xml:space="preserve"> </w:t>
      </w:r>
      <w:r w:rsidRPr="009167A5">
        <w:rPr>
          <w:i/>
          <w:lang w:val="en-US"/>
        </w:rPr>
        <w:t>Yu Cong Eng v. Trinidad</w:t>
      </w:r>
      <w:r w:rsidRPr="001C7C4A">
        <w:rPr>
          <w:lang w:val="en-US"/>
        </w:rPr>
        <w:t>, 271 U.S. 500, 523</w:t>
      </w:r>
      <w:r w:rsidRPr="006E67FE">
        <w:rPr>
          <w:lang w:val="en-US"/>
        </w:rPr>
        <w:t xml:space="preserve"> = 46 S. Ct</w:t>
      </w:r>
      <w:r w:rsidRPr="001C7C4A">
        <w:rPr>
          <w:lang w:val="en-US"/>
        </w:rPr>
        <w:t>. 619, 625</w:t>
      </w:r>
      <w:r w:rsidRPr="006E67FE">
        <w:rPr>
          <w:lang w:val="en-US"/>
        </w:rPr>
        <w:t xml:space="preserve"> = 70 L. Ed. </w:t>
      </w:r>
      <w:r w:rsidRPr="001C7C4A">
        <w:rPr>
          <w:lang w:val="en-US"/>
        </w:rPr>
        <w:t>1059, 1069</w:t>
      </w:r>
      <w:r w:rsidRPr="006E67FE">
        <w:rPr>
          <w:lang w:val="en-US"/>
        </w:rPr>
        <w:t xml:space="preserve"> = 1926 U.S. LEXIS </w:t>
      </w:r>
      <w:r w:rsidRPr="001C7C4A">
        <w:rPr>
          <w:lang w:val="en-US"/>
        </w:rPr>
        <w:t>642, 41 (1926).</w:t>
      </w:r>
    </w:p>
  </w:footnote>
  <w:footnote w:id="701">
    <w:p w14:paraId="5BF993BC" w14:textId="77777777" w:rsidR="00074551" w:rsidRPr="001C7C4A" w:rsidRDefault="00074551" w:rsidP="00074551">
      <w:pPr>
        <w:pStyle w:val="Funotentext"/>
        <w:rPr>
          <w:lang w:val="en-US"/>
        </w:rPr>
      </w:pPr>
      <w:r>
        <w:rPr>
          <w:rStyle w:val="Funotenzeichen"/>
        </w:rPr>
        <w:footnoteRef/>
      </w:r>
      <w:r w:rsidRPr="001C7C4A">
        <w:rPr>
          <w:lang w:val="en-US"/>
        </w:rPr>
        <w:t xml:space="preserve"> </w:t>
      </w:r>
      <w:r w:rsidRPr="009167A5">
        <w:rPr>
          <w:i/>
          <w:lang w:val="en-US"/>
        </w:rPr>
        <w:t>Yu Cong Eng v. Trinidad</w:t>
      </w:r>
      <w:r w:rsidRPr="001C7C4A">
        <w:rPr>
          <w:lang w:val="en-US"/>
        </w:rPr>
        <w:t>, 271 U.S. 500, 524</w:t>
      </w:r>
      <w:r w:rsidRPr="006E67FE">
        <w:rPr>
          <w:lang w:val="en-US"/>
        </w:rPr>
        <w:t xml:space="preserve"> = 46 S. Ct</w:t>
      </w:r>
      <w:r w:rsidRPr="001C7C4A">
        <w:rPr>
          <w:lang w:val="en-US"/>
        </w:rPr>
        <w:t>. 619, 625</w:t>
      </w:r>
      <w:r w:rsidRPr="006E67FE">
        <w:rPr>
          <w:lang w:val="en-US"/>
        </w:rPr>
        <w:t xml:space="preserve"> = 70 L. Ed. </w:t>
      </w:r>
      <w:r w:rsidRPr="001C7C4A">
        <w:rPr>
          <w:lang w:val="en-US"/>
        </w:rPr>
        <w:t>1059, 1069</w:t>
      </w:r>
      <w:r w:rsidRPr="006E67FE">
        <w:rPr>
          <w:lang w:val="en-US"/>
        </w:rPr>
        <w:t xml:space="preserve"> = 1926 U.S. LEXIS </w:t>
      </w:r>
      <w:r w:rsidRPr="001C7C4A">
        <w:rPr>
          <w:lang w:val="en-US"/>
        </w:rPr>
        <w:t>642, 42 (1926)</w:t>
      </w:r>
      <w:r>
        <w:rPr>
          <w:lang w:val="en-US"/>
        </w:rPr>
        <w:t>.</w:t>
      </w:r>
    </w:p>
  </w:footnote>
  <w:footnote w:id="702">
    <w:p w14:paraId="10A589E9" w14:textId="77777777" w:rsidR="00074551" w:rsidRPr="001C7C4A" w:rsidRDefault="00074551" w:rsidP="00074551">
      <w:pPr>
        <w:pStyle w:val="Funotentext"/>
        <w:rPr>
          <w:lang w:val="en-US"/>
        </w:rPr>
      </w:pPr>
      <w:r>
        <w:rPr>
          <w:rStyle w:val="Funotenzeichen"/>
        </w:rPr>
        <w:footnoteRef/>
      </w:r>
      <w:r w:rsidRPr="001C7C4A">
        <w:rPr>
          <w:lang w:val="en-US"/>
        </w:rPr>
        <w:t xml:space="preserve"> </w:t>
      </w:r>
      <w:r w:rsidRPr="009167A5">
        <w:rPr>
          <w:i/>
          <w:lang w:val="en-US"/>
        </w:rPr>
        <w:t>Yu Cong Eng v. Trinidad</w:t>
      </w:r>
      <w:r w:rsidRPr="001C7C4A">
        <w:rPr>
          <w:lang w:val="en-US"/>
        </w:rPr>
        <w:t>, 271 U.S. 500, 525</w:t>
      </w:r>
      <w:r w:rsidRPr="006E67FE">
        <w:rPr>
          <w:lang w:val="en-US"/>
        </w:rPr>
        <w:t xml:space="preserve"> = 46 S. Ct</w:t>
      </w:r>
      <w:r w:rsidRPr="001C7C4A">
        <w:rPr>
          <w:lang w:val="en-US"/>
        </w:rPr>
        <w:t>. 619, 625</w:t>
      </w:r>
      <w:r w:rsidRPr="006E67FE">
        <w:rPr>
          <w:lang w:val="en-US"/>
        </w:rPr>
        <w:t xml:space="preserve"> = 70 L. Ed. </w:t>
      </w:r>
      <w:r w:rsidRPr="001C7C4A">
        <w:rPr>
          <w:lang w:val="en-US"/>
        </w:rPr>
        <w:t>1059, 1069</w:t>
      </w:r>
      <w:r w:rsidRPr="006E67FE">
        <w:rPr>
          <w:lang w:val="en-US"/>
        </w:rPr>
        <w:t xml:space="preserve"> = 1926 U.S. LEXIS </w:t>
      </w:r>
      <w:r w:rsidRPr="001C7C4A">
        <w:rPr>
          <w:lang w:val="en-US"/>
        </w:rPr>
        <w:t>642, 43 (1926)</w:t>
      </w:r>
      <w:r>
        <w:rPr>
          <w:lang w:val="en-US"/>
        </w:rPr>
        <w:t>.</w:t>
      </w:r>
    </w:p>
  </w:footnote>
  <w:footnote w:id="703">
    <w:p w14:paraId="39A877BA" w14:textId="77777777" w:rsidR="00074551" w:rsidRPr="002705E9" w:rsidRDefault="00074551" w:rsidP="00074551">
      <w:pPr>
        <w:pStyle w:val="Funotentext"/>
        <w:rPr>
          <w:lang w:val="en-US"/>
        </w:rPr>
      </w:pPr>
      <w:r>
        <w:rPr>
          <w:rStyle w:val="Funotenzeichen"/>
          <w:rFonts w:eastAsiaTheme="majorEastAsia"/>
        </w:rPr>
        <w:footnoteRef/>
      </w:r>
      <w:r w:rsidRPr="002705E9">
        <w:rPr>
          <w:lang w:val="en-US"/>
        </w:rPr>
        <w:t xml:space="preserve"> </w:t>
      </w:r>
      <w:r w:rsidRPr="009E57E1">
        <w:rPr>
          <w:i/>
          <w:lang w:val="en-US"/>
        </w:rPr>
        <w:t>Meyer v. Nebraska</w:t>
      </w:r>
      <w:r w:rsidRPr="002705E9">
        <w:rPr>
          <w:lang w:val="en-US"/>
        </w:rPr>
        <w:t>, 262 U.S. 390</w:t>
      </w:r>
      <w:r>
        <w:rPr>
          <w:lang w:val="en-US"/>
        </w:rPr>
        <w:t xml:space="preserve">; </w:t>
      </w:r>
      <w:r w:rsidRPr="009167A5">
        <w:rPr>
          <w:i/>
          <w:lang w:val="en-US"/>
        </w:rPr>
        <w:t>Yu Cong Eng v. Trinidad</w:t>
      </w:r>
      <w:r w:rsidRPr="002705E9">
        <w:rPr>
          <w:lang w:val="en-US"/>
        </w:rPr>
        <w:t>, 271 U.S. 500, 526</w:t>
      </w:r>
      <w:r w:rsidRPr="006E67FE">
        <w:rPr>
          <w:lang w:val="en-US"/>
        </w:rPr>
        <w:t xml:space="preserve"> = 46 S. Ct</w:t>
      </w:r>
      <w:r w:rsidRPr="002705E9">
        <w:rPr>
          <w:lang w:val="en-US"/>
        </w:rPr>
        <w:t>. 619, 626</w:t>
      </w:r>
      <w:r w:rsidRPr="006E67FE">
        <w:rPr>
          <w:lang w:val="en-US"/>
        </w:rPr>
        <w:t xml:space="preserve"> = 70 L. Ed. </w:t>
      </w:r>
      <w:r w:rsidRPr="002705E9">
        <w:rPr>
          <w:lang w:val="en-US"/>
        </w:rPr>
        <w:t>1059, 1070</w:t>
      </w:r>
      <w:r w:rsidRPr="006E67FE">
        <w:rPr>
          <w:lang w:val="en-US"/>
        </w:rPr>
        <w:t xml:space="preserve"> = 1926 U.S. LEXIS </w:t>
      </w:r>
      <w:r w:rsidRPr="002705E9">
        <w:rPr>
          <w:lang w:val="en-US"/>
        </w:rPr>
        <w:t>642, 45 (1926)</w:t>
      </w:r>
      <w:r>
        <w:rPr>
          <w:lang w:val="en-US"/>
        </w:rPr>
        <w:t>.</w:t>
      </w:r>
    </w:p>
  </w:footnote>
  <w:footnote w:id="704">
    <w:p w14:paraId="0F05EA5F" w14:textId="77777777" w:rsidR="00074551" w:rsidRPr="002705E9" w:rsidRDefault="00074551" w:rsidP="00074551">
      <w:pPr>
        <w:pStyle w:val="Funotentext"/>
        <w:rPr>
          <w:lang w:val="en-US"/>
        </w:rPr>
      </w:pPr>
      <w:r>
        <w:rPr>
          <w:rStyle w:val="Funotenzeichen"/>
          <w:rFonts w:eastAsiaTheme="majorEastAsia"/>
        </w:rPr>
        <w:footnoteRef/>
      </w:r>
      <w:r w:rsidRPr="002705E9">
        <w:rPr>
          <w:lang w:val="en-US"/>
        </w:rPr>
        <w:t xml:space="preserve"> </w:t>
      </w:r>
      <w:r w:rsidRPr="009E57E1">
        <w:rPr>
          <w:i/>
          <w:lang w:val="en-US"/>
        </w:rPr>
        <w:t>Meyer v. Nebraska</w:t>
      </w:r>
      <w:r w:rsidRPr="002705E9">
        <w:rPr>
          <w:lang w:val="en-US"/>
        </w:rPr>
        <w:t>, 262 U.S. 390</w:t>
      </w:r>
      <w:r>
        <w:rPr>
          <w:lang w:val="en-US"/>
        </w:rPr>
        <w:t xml:space="preserve">; </w:t>
      </w:r>
      <w:r w:rsidRPr="009167A5">
        <w:rPr>
          <w:i/>
          <w:lang w:val="en-US"/>
        </w:rPr>
        <w:t>Yu Cong Eng v. Trinidad</w:t>
      </w:r>
      <w:r w:rsidRPr="002705E9">
        <w:rPr>
          <w:lang w:val="en-US"/>
        </w:rPr>
        <w:t>, 271 U.S. 500, 526</w:t>
      </w:r>
      <w:r w:rsidRPr="006E67FE">
        <w:rPr>
          <w:lang w:val="en-US"/>
        </w:rPr>
        <w:t xml:space="preserve"> = 46 S. Ct</w:t>
      </w:r>
      <w:r w:rsidRPr="002705E9">
        <w:rPr>
          <w:lang w:val="en-US"/>
        </w:rPr>
        <w:t>. 619, 626</w:t>
      </w:r>
      <w:r w:rsidRPr="006E67FE">
        <w:rPr>
          <w:lang w:val="en-US"/>
        </w:rPr>
        <w:t xml:space="preserve"> = 70 L. Ed. </w:t>
      </w:r>
      <w:r w:rsidRPr="002705E9">
        <w:rPr>
          <w:lang w:val="en-US"/>
        </w:rPr>
        <w:t>1059, 1070</w:t>
      </w:r>
      <w:r w:rsidRPr="006E67FE">
        <w:rPr>
          <w:lang w:val="en-US"/>
        </w:rPr>
        <w:t xml:space="preserve"> = 1926 U.S. LEXIS </w:t>
      </w:r>
      <w:r w:rsidRPr="002705E9">
        <w:rPr>
          <w:lang w:val="en-US"/>
        </w:rPr>
        <w:t>642, 45 (1926)</w:t>
      </w:r>
      <w:r>
        <w:rPr>
          <w:lang w:val="en-US"/>
        </w:rPr>
        <w:t>.</w:t>
      </w:r>
    </w:p>
  </w:footnote>
  <w:footnote w:id="705">
    <w:p w14:paraId="70FD0325" w14:textId="77777777" w:rsidR="00074551" w:rsidRPr="002705E9" w:rsidRDefault="00074551" w:rsidP="00074551">
      <w:pPr>
        <w:pStyle w:val="Funotentext"/>
        <w:rPr>
          <w:lang w:val="en-US"/>
        </w:rPr>
      </w:pPr>
      <w:r>
        <w:rPr>
          <w:rStyle w:val="Funotenzeichen"/>
          <w:rFonts w:eastAsiaTheme="majorEastAsia"/>
        </w:rPr>
        <w:footnoteRef/>
      </w:r>
      <w:r w:rsidRPr="002705E9">
        <w:rPr>
          <w:lang w:val="en-US"/>
        </w:rPr>
        <w:t xml:space="preserve"> </w:t>
      </w:r>
      <w:r w:rsidRPr="009E57E1">
        <w:rPr>
          <w:i/>
          <w:lang w:val="en-US"/>
        </w:rPr>
        <w:t>Meyer v. Nebraska</w:t>
      </w:r>
      <w:r w:rsidRPr="002705E9">
        <w:rPr>
          <w:lang w:val="en-US"/>
        </w:rPr>
        <w:t>, 262 U.S. 390</w:t>
      </w:r>
      <w:r>
        <w:rPr>
          <w:lang w:val="en-US"/>
        </w:rPr>
        <w:t xml:space="preserve">; </w:t>
      </w:r>
      <w:r w:rsidRPr="009167A5">
        <w:rPr>
          <w:i/>
          <w:lang w:val="en-US"/>
        </w:rPr>
        <w:t>Yu Cong Eng v. Trinidad</w:t>
      </w:r>
      <w:r w:rsidRPr="002705E9">
        <w:rPr>
          <w:lang w:val="en-US"/>
        </w:rPr>
        <w:t>, 271 U.S. 500, 526</w:t>
      </w:r>
      <w:r w:rsidRPr="006E67FE">
        <w:rPr>
          <w:lang w:val="en-US"/>
        </w:rPr>
        <w:t xml:space="preserve"> = 46 S. Ct</w:t>
      </w:r>
      <w:r w:rsidRPr="002705E9">
        <w:rPr>
          <w:lang w:val="en-US"/>
        </w:rPr>
        <w:t>. 619, 626</w:t>
      </w:r>
      <w:r w:rsidRPr="006E67FE">
        <w:rPr>
          <w:lang w:val="en-US"/>
        </w:rPr>
        <w:t xml:space="preserve"> = 70 L. Ed. </w:t>
      </w:r>
      <w:r w:rsidRPr="002705E9">
        <w:rPr>
          <w:lang w:val="en-US"/>
        </w:rPr>
        <w:t>1059, 1070</w:t>
      </w:r>
      <w:r w:rsidRPr="006E67FE">
        <w:rPr>
          <w:lang w:val="en-US"/>
        </w:rPr>
        <w:t xml:space="preserve"> = 1926 U.S. LEXIS </w:t>
      </w:r>
      <w:r w:rsidRPr="002705E9">
        <w:rPr>
          <w:lang w:val="en-US"/>
        </w:rPr>
        <w:t>642, 45 (1926)</w:t>
      </w:r>
      <w:r>
        <w:rPr>
          <w:lang w:val="en-US"/>
        </w:rPr>
        <w:t>.</w:t>
      </w:r>
    </w:p>
  </w:footnote>
  <w:footnote w:id="706">
    <w:p w14:paraId="356E8AF8" w14:textId="77777777" w:rsidR="00074551" w:rsidRPr="001C7C4A" w:rsidRDefault="00074551" w:rsidP="00074551">
      <w:pPr>
        <w:pStyle w:val="Funotentext"/>
        <w:rPr>
          <w:lang w:val="en-US"/>
        </w:rPr>
      </w:pPr>
      <w:r>
        <w:rPr>
          <w:rStyle w:val="Funotenzeichen"/>
        </w:rPr>
        <w:footnoteRef/>
      </w:r>
      <w:r w:rsidRPr="001C7C4A">
        <w:rPr>
          <w:lang w:val="en-US"/>
        </w:rPr>
        <w:t xml:space="preserve"> </w:t>
      </w:r>
      <w:r>
        <w:rPr>
          <w:lang w:val="en-US"/>
        </w:rPr>
        <w:t>„</w:t>
      </w:r>
      <w:r w:rsidRPr="001C7C4A">
        <w:rPr>
          <w:lang w:val="en-US"/>
        </w:rPr>
        <w:t xml:space="preserve">Chinese Bookkeeping Act, Act No. 2972, which made it unlawful for any Chinese merchant to keep account books in any language other than English, Spanish, or a Philippine </w:t>
      </w:r>
      <w:proofErr w:type="gramStart"/>
      <w:r w:rsidRPr="001C7C4A">
        <w:rPr>
          <w:lang w:val="en-US"/>
        </w:rPr>
        <w:t>dialect</w:t>
      </w:r>
      <w:r>
        <w:rPr>
          <w:lang w:val="en-US"/>
        </w:rPr>
        <w:t>“</w:t>
      </w:r>
      <w:proofErr w:type="gramEnd"/>
      <w:r w:rsidRPr="001C7C4A">
        <w:rPr>
          <w:lang w:val="en-US"/>
        </w:rPr>
        <w:t xml:space="preserve">, </w:t>
      </w:r>
      <w:r w:rsidRPr="009167A5">
        <w:rPr>
          <w:i/>
          <w:lang w:val="en-US"/>
        </w:rPr>
        <w:t>Yu Cong Eng v. Trinidad</w:t>
      </w:r>
      <w:r w:rsidRPr="001C7C4A">
        <w:rPr>
          <w:lang w:val="en-US"/>
        </w:rPr>
        <w:t>, 271 U.S. 500, 506</w:t>
      </w:r>
      <w:r w:rsidRPr="006E67FE">
        <w:rPr>
          <w:lang w:val="en-US"/>
        </w:rPr>
        <w:t xml:space="preserve"> = 46 S. Ct</w:t>
      </w:r>
      <w:r w:rsidRPr="001C7C4A">
        <w:rPr>
          <w:lang w:val="en-US"/>
        </w:rPr>
        <w:t>. 619, 619</w:t>
      </w:r>
      <w:r w:rsidRPr="006E67FE">
        <w:rPr>
          <w:lang w:val="en-US"/>
        </w:rPr>
        <w:t xml:space="preserve"> = 70 L. Ed. </w:t>
      </w:r>
      <w:r w:rsidRPr="001C7C4A">
        <w:rPr>
          <w:lang w:val="en-US"/>
        </w:rPr>
        <w:t>1059, 1062</w:t>
      </w:r>
      <w:r w:rsidRPr="006E67FE">
        <w:rPr>
          <w:lang w:val="en-US"/>
        </w:rPr>
        <w:t xml:space="preserve"> = 1926 U.S. LEXIS </w:t>
      </w:r>
      <w:r w:rsidRPr="001C7C4A">
        <w:rPr>
          <w:lang w:val="en-US"/>
        </w:rPr>
        <w:t>642, 1 (1926).</w:t>
      </w:r>
    </w:p>
  </w:footnote>
  <w:footnote w:id="707">
    <w:p w14:paraId="6CD60E8E"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4F13B1">
        <w:rPr>
          <w:i/>
          <w:lang w:val="en-US"/>
        </w:rPr>
        <w:t>Pruneyard Shopping Ctr. v. Robins</w:t>
      </w:r>
      <w:r w:rsidRPr="00BA1E56">
        <w:rPr>
          <w:lang w:val="en-US"/>
        </w:rPr>
        <w:t>, 447 U.S. 74, 94</w:t>
      </w:r>
      <w:r>
        <w:rPr>
          <w:lang w:val="en-US"/>
        </w:rPr>
        <w:t xml:space="preserve"> = 100 S. Ct.</w:t>
      </w:r>
      <w:r w:rsidRPr="00BA1E56">
        <w:rPr>
          <w:lang w:val="en-US"/>
        </w:rPr>
        <w:t xml:space="preserve"> 2035, 2047</w:t>
      </w:r>
      <w:r>
        <w:rPr>
          <w:lang w:val="en-US"/>
        </w:rPr>
        <w:t xml:space="preserve"> = 64 L. Ed. </w:t>
      </w:r>
      <w:r w:rsidRPr="00BA1E56">
        <w:rPr>
          <w:lang w:val="en-US"/>
        </w:rPr>
        <w:t>2d 741, 760</w:t>
      </w:r>
      <w:r>
        <w:rPr>
          <w:lang w:val="en-US"/>
        </w:rPr>
        <w:t xml:space="preserve"> = 1980 U.S. LEXIS </w:t>
      </w:r>
      <w:r w:rsidRPr="00BA1E56">
        <w:rPr>
          <w:lang w:val="en-US"/>
        </w:rPr>
        <w:t>129, 37</w:t>
      </w:r>
      <w:r>
        <w:rPr>
          <w:lang w:val="en-US"/>
        </w:rPr>
        <w:t xml:space="preserve"> = 6 Media L. Rep. </w:t>
      </w:r>
      <w:r w:rsidRPr="00BA1E56">
        <w:rPr>
          <w:lang w:val="en-US"/>
        </w:rPr>
        <w:t>1311 (1980)</w:t>
      </w:r>
      <w:r>
        <w:rPr>
          <w:lang w:val="en-US"/>
        </w:rPr>
        <w:t>.</w:t>
      </w:r>
    </w:p>
  </w:footnote>
  <w:footnote w:id="708">
    <w:p w14:paraId="6AF93BD8"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4F13B1">
        <w:rPr>
          <w:i/>
          <w:lang w:val="en-US"/>
        </w:rPr>
        <w:t>Pruneyard Shopping Ctr. v. Robins</w:t>
      </w:r>
      <w:r w:rsidRPr="00BA1E56">
        <w:rPr>
          <w:lang w:val="en-US"/>
        </w:rPr>
        <w:t>, 447 U.S. 74, 93</w:t>
      </w:r>
      <w:r>
        <w:rPr>
          <w:lang w:val="en-US"/>
        </w:rPr>
        <w:t xml:space="preserve"> = 100 S. Ct.</w:t>
      </w:r>
      <w:r w:rsidRPr="00BA1E56">
        <w:rPr>
          <w:lang w:val="en-US"/>
        </w:rPr>
        <w:t xml:space="preserve"> 2035, 2047</w:t>
      </w:r>
      <w:r>
        <w:rPr>
          <w:lang w:val="en-US"/>
        </w:rPr>
        <w:t xml:space="preserve"> = 64 L. Ed. </w:t>
      </w:r>
      <w:r w:rsidRPr="00BA1E56">
        <w:rPr>
          <w:lang w:val="en-US"/>
        </w:rPr>
        <w:t>2d 741, 760</w:t>
      </w:r>
      <w:r>
        <w:rPr>
          <w:lang w:val="en-US"/>
        </w:rPr>
        <w:t xml:space="preserve"> = 1980 U.S. LEXIS </w:t>
      </w:r>
      <w:r w:rsidRPr="00BA1E56">
        <w:rPr>
          <w:lang w:val="en-US"/>
        </w:rPr>
        <w:t>129, 36</w:t>
      </w:r>
      <w:r>
        <w:rPr>
          <w:lang w:val="en-US"/>
        </w:rPr>
        <w:t xml:space="preserve"> = 6 Media L. Rep. </w:t>
      </w:r>
      <w:r w:rsidRPr="00BA1E56">
        <w:rPr>
          <w:lang w:val="en-US"/>
        </w:rPr>
        <w:t>1311 (1980)</w:t>
      </w:r>
      <w:r>
        <w:rPr>
          <w:lang w:val="en-US"/>
        </w:rPr>
        <w:t>.</w:t>
      </w:r>
    </w:p>
  </w:footnote>
  <w:footnote w:id="709">
    <w:p w14:paraId="7679BAA3" w14:textId="77777777" w:rsidR="00074551" w:rsidRPr="004363E5" w:rsidRDefault="00074551" w:rsidP="00074551">
      <w:pPr>
        <w:pStyle w:val="Funotentext"/>
        <w:rPr>
          <w:lang w:val="en-US"/>
        </w:rPr>
      </w:pPr>
      <w:r>
        <w:rPr>
          <w:rStyle w:val="Funotenzeichen"/>
          <w:rFonts w:eastAsiaTheme="majorEastAsia"/>
        </w:rPr>
        <w:footnoteRef/>
      </w:r>
      <w:r w:rsidRPr="004363E5">
        <w:rPr>
          <w:lang w:val="en-US"/>
        </w:rPr>
        <w:t xml:space="preserve"> </w:t>
      </w:r>
      <w:r w:rsidRPr="004F13B1">
        <w:rPr>
          <w:i/>
          <w:lang w:val="en-US"/>
        </w:rPr>
        <w:t>Pruneyard Shopping Ctr. v. Robins</w:t>
      </w:r>
      <w:r>
        <w:rPr>
          <w:lang w:val="en-US"/>
        </w:rPr>
        <w:t xml:space="preserve">, </w:t>
      </w:r>
      <w:r w:rsidRPr="004363E5">
        <w:rPr>
          <w:lang w:val="en-US"/>
        </w:rPr>
        <w:t>447 U.S. 74</w:t>
      </w:r>
      <w:r>
        <w:rPr>
          <w:lang w:val="en-US"/>
        </w:rPr>
        <w:t xml:space="preserve"> </w:t>
      </w:r>
      <w:r w:rsidRPr="00BA1E56">
        <w:rPr>
          <w:lang w:val="en-US"/>
        </w:rPr>
        <w:t>(1980)</w:t>
      </w:r>
      <w:r>
        <w:rPr>
          <w:lang w:val="en-US"/>
        </w:rPr>
        <w:t>.</w:t>
      </w:r>
    </w:p>
  </w:footnote>
  <w:footnote w:id="710">
    <w:p w14:paraId="36F9F215"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4F13B1">
        <w:rPr>
          <w:i/>
          <w:lang w:val="en-US"/>
        </w:rPr>
        <w:t>Pruneyard Shopping Ctr. v. Robins</w:t>
      </w:r>
      <w:r w:rsidRPr="00BA1E56">
        <w:rPr>
          <w:lang w:val="en-US"/>
        </w:rPr>
        <w:t>, 447 U.S. 74, 95</w:t>
      </w:r>
      <w:r>
        <w:rPr>
          <w:lang w:val="en-US"/>
        </w:rPr>
        <w:t xml:space="preserve"> = 100 S. Ct.</w:t>
      </w:r>
      <w:r w:rsidRPr="00BA1E56">
        <w:rPr>
          <w:lang w:val="en-US"/>
        </w:rPr>
        <w:t xml:space="preserve"> 2035, 2048</w:t>
      </w:r>
      <w:r>
        <w:rPr>
          <w:lang w:val="en-US"/>
        </w:rPr>
        <w:t xml:space="preserve"> = 64 L. Ed. </w:t>
      </w:r>
      <w:r w:rsidRPr="00BA1E56">
        <w:rPr>
          <w:lang w:val="en-US"/>
        </w:rPr>
        <w:t>2d 741, 760</w:t>
      </w:r>
      <w:r>
        <w:rPr>
          <w:lang w:val="en-US"/>
        </w:rPr>
        <w:t xml:space="preserve"> = 1980 U.S. LEXIS </w:t>
      </w:r>
      <w:r w:rsidRPr="00BA1E56">
        <w:rPr>
          <w:lang w:val="en-US"/>
        </w:rPr>
        <w:t>129, 38</w:t>
      </w:r>
      <w:r>
        <w:rPr>
          <w:lang w:val="en-US"/>
        </w:rPr>
        <w:t xml:space="preserve"> = 6 Media L. Rep. </w:t>
      </w:r>
      <w:r w:rsidRPr="00BA1E56">
        <w:rPr>
          <w:lang w:val="en-US"/>
        </w:rPr>
        <w:t>1311 (1980)</w:t>
      </w:r>
      <w:r>
        <w:rPr>
          <w:lang w:val="en-US"/>
        </w:rPr>
        <w:t>.</w:t>
      </w:r>
    </w:p>
  </w:footnote>
  <w:footnote w:id="711">
    <w:p w14:paraId="2DC8D4A4" w14:textId="77777777" w:rsidR="00074551" w:rsidRPr="009B7859" w:rsidRDefault="00074551" w:rsidP="00074551">
      <w:pPr>
        <w:pStyle w:val="Funotentext"/>
        <w:rPr>
          <w:lang w:val="en-US"/>
        </w:rPr>
      </w:pPr>
      <w:r>
        <w:rPr>
          <w:rStyle w:val="Funotenzeichen"/>
          <w:rFonts w:eastAsiaTheme="majorEastAsia"/>
        </w:rPr>
        <w:footnoteRef/>
      </w:r>
      <w:r w:rsidRPr="009B7859">
        <w:rPr>
          <w:lang w:val="en-US"/>
        </w:rPr>
        <w:t xml:space="preserve"> </w:t>
      </w:r>
      <w:r w:rsidRPr="00B45592">
        <w:rPr>
          <w:i/>
          <w:lang w:val="en-US"/>
        </w:rPr>
        <w:t>Duke Power Co. v. Carolina Environmental Study Group</w:t>
      </w:r>
      <w:r w:rsidRPr="009B7859">
        <w:rPr>
          <w:lang w:val="en-US"/>
        </w:rPr>
        <w:t>, 438 U.S. 59, 88 (1978)</w:t>
      </w:r>
      <w:r>
        <w:rPr>
          <w:lang w:val="en-US"/>
        </w:rPr>
        <w:t>.</w:t>
      </w:r>
    </w:p>
  </w:footnote>
  <w:footnote w:id="712">
    <w:p w14:paraId="0C925639" w14:textId="77777777" w:rsidR="00074551" w:rsidRPr="00735460" w:rsidRDefault="00074551" w:rsidP="00074551">
      <w:pPr>
        <w:pStyle w:val="Funotentext"/>
        <w:rPr>
          <w:lang w:val="en-US"/>
        </w:rPr>
      </w:pPr>
      <w:r>
        <w:rPr>
          <w:rStyle w:val="Funotenzeichen"/>
        </w:rPr>
        <w:footnoteRef/>
      </w:r>
      <w:r w:rsidRPr="00735460">
        <w:rPr>
          <w:lang w:val="en-US"/>
        </w:rPr>
        <w:t xml:space="preserve"> Nach 24 Stat. 379, ch. 104; 25 Stat. 855, ch. 382; 26 Stat. 743, ch. 128; 1 Supp. Rev. Stat. 529, 684, 891</w:t>
      </w:r>
      <w:r>
        <w:rPr>
          <w:lang w:val="en-US"/>
        </w:rPr>
        <w:t xml:space="preserve">, </w:t>
      </w:r>
      <w:proofErr w:type="spellStart"/>
      <w:r>
        <w:rPr>
          <w:lang w:val="en-US"/>
        </w:rPr>
        <w:t>vgl</w:t>
      </w:r>
      <w:proofErr w:type="spellEnd"/>
      <w:r>
        <w:rPr>
          <w:lang w:val="en-US"/>
        </w:rPr>
        <w:t xml:space="preserve">. </w:t>
      </w:r>
      <w:proofErr w:type="spellStart"/>
      <w:r>
        <w:rPr>
          <w:lang w:val="en-US"/>
        </w:rPr>
        <w:t>auch</w:t>
      </w:r>
      <w:proofErr w:type="spellEnd"/>
      <w:r>
        <w:rPr>
          <w:lang w:val="en-US"/>
        </w:rPr>
        <w:t xml:space="preserve"> </w:t>
      </w:r>
      <w:r w:rsidRPr="00B45592">
        <w:rPr>
          <w:i/>
          <w:iCs/>
          <w:lang w:val="en-US"/>
        </w:rPr>
        <w:t>ICC v. Brimson</w:t>
      </w:r>
      <w:r w:rsidRPr="00735460">
        <w:rPr>
          <w:lang w:val="en-US"/>
        </w:rPr>
        <w:t>, 154 U.S. 447, 456</w:t>
      </w:r>
      <w:r>
        <w:rPr>
          <w:lang w:val="en-US"/>
        </w:rPr>
        <w:t xml:space="preserve"> = 14 S. Ct. </w:t>
      </w:r>
      <w:r w:rsidRPr="00735460">
        <w:rPr>
          <w:lang w:val="en-US"/>
        </w:rPr>
        <w:t>1125, 1125</w:t>
      </w:r>
      <w:r>
        <w:rPr>
          <w:lang w:val="en-US"/>
        </w:rPr>
        <w:t xml:space="preserve"> = 38 L. Ed. </w:t>
      </w:r>
      <w:r w:rsidRPr="00735460">
        <w:rPr>
          <w:lang w:val="en-US"/>
        </w:rPr>
        <w:t>1047, 1050</w:t>
      </w:r>
      <w:r>
        <w:rPr>
          <w:lang w:val="en-US"/>
        </w:rPr>
        <w:t xml:space="preserve"> = 1894 U.S. LEXIS </w:t>
      </w:r>
      <w:r w:rsidRPr="00735460">
        <w:rPr>
          <w:lang w:val="en-US"/>
        </w:rPr>
        <w:t>2243, 1 (1894)</w:t>
      </w:r>
      <w:r>
        <w:rPr>
          <w:lang w:val="en-US"/>
        </w:rPr>
        <w:t>.</w:t>
      </w:r>
    </w:p>
  </w:footnote>
  <w:footnote w:id="713">
    <w:p w14:paraId="6502767C" w14:textId="77777777" w:rsidR="00074551" w:rsidRPr="00735460" w:rsidRDefault="00074551" w:rsidP="00074551">
      <w:pPr>
        <w:pStyle w:val="Funotentext"/>
        <w:rPr>
          <w:lang w:val="en-US"/>
        </w:rPr>
      </w:pPr>
      <w:r>
        <w:rPr>
          <w:rStyle w:val="Funotenzeichen"/>
        </w:rPr>
        <w:footnoteRef/>
      </w:r>
      <w:r w:rsidRPr="00735460">
        <w:rPr>
          <w:lang w:val="en-US"/>
        </w:rPr>
        <w:t xml:space="preserve"> </w:t>
      </w:r>
      <w:r>
        <w:rPr>
          <w:lang w:val="en-US"/>
        </w:rPr>
        <w:t>§ 12</w:t>
      </w:r>
      <w:r w:rsidRPr="00735460">
        <w:rPr>
          <w:lang w:val="en-US"/>
        </w:rPr>
        <w:t>, 26 Stat. 743, c. 128:</w:t>
      </w:r>
      <w:r>
        <w:rPr>
          <w:lang w:val="en-US"/>
        </w:rPr>
        <w:t xml:space="preserve"> „,</w:t>
      </w:r>
      <w:r w:rsidRPr="00735460">
        <w:rPr>
          <w:lang w:val="en-US"/>
        </w:rPr>
        <w:t>That the Commission hereby created shall have authority to inquire into the management of the business of all common carriers subject to the provisions of this act, and shall keep itself informed as to the manner and method in which the same is conducted, and shall have the right to obtain from such common carriers full and complete information necessary to enable the Commission to perform the duties and carry out the objects for which it was created; and the Commission is hereby authorized and required to execute and enforce the provisions of this act; and, upon the request of the Commission, it shall be the duty of any district attorney of the United States to whom the Commission may apply to institute in the proper court and to prosecute under the direction of the Attorney General of the United States all necessary proceedings for the enforcement of the provisions of this act and for the punishment of all violations thereof, and the costs and expenses of such prosecution shall be paid out of the appropriation for the expenses of the courts of the United States; and for the purposes of this act the Commission shall have power to require, by subpoena, the attendance and testimony of witnesses and the production of all books, papers, tariffs, contracts, agreements, and documents relating to any matter under investigation.</w:t>
      </w:r>
      <w:r>
        <w:rPr>
          <w:lang w:val="en-US"/>
        </w:rPr>
        <w:t>‘ […] ,</w:t>
      </w:r>
      <w:r w:rsidRPr="00735460">
        <w:rPr>
          <w:lang w:val="en-US"/>
        </w:rPr>
        <w:t>Witnesses whose depositions are taken pursuant to this act, and the magistrate or other officer taking the same, shall severally be entitled to the same fees as are paid for like services in the courts of the United States.</w:t>
      </w:r>
      <w:r>
        <w:rPr>
          <w:lang w:val="en-US"/>
        </w:rPr>
        <w:t>‘</w:t>
      </w:r>
      <w:r w:rsidRPr="00735460">
        <w:rPr>
          <w:lang w:val="en-US"/>
        </w:rPr>
        <w:t>“</w:t>
      </w:r>
      <w:r>
        <w:rPr>
          <w:lang w:val="en-US"/>
        </w:rPr>
        <w:t>,</w:t>
      </w:r>
      <w:r w:rsidRPr="00735460">
        <w:rPr>
          <w:lang w:val="en-US"/>
        </w:rPr>
        <w:t xml:space="preserve"> </w:t>
      </w:r>
      <w:r w:rsidRPr="009167A5">
        <w:rPr>
          <w:i/>
          <w:lang w:val="en-US"/>
        </w:rPr>
        <w:t>ICC v. Brimson</w:t>
      </w:r>
      <w:r w:rsidRPr="00735460">
        <w:rPr>
          <w:lang w:val="en-US"/>
        </w:rPr>
        <w:t>, 154 U.S. 447, 461</w:t>
      </w:r>
      <w:r>
        <w:rPr>
          <w:lang w:val="en-US"/>
        </w:rPr>
        <w:t>–</w:t>
      </w:r>
      <w:r w:rsidRPr="00735460">
        <w:rPr>
          <w:lang w:val="en-US"/>
        </w:rPr>
        <w:t>463</w:t>
      </w:r>
      <w:r>
        <w:rPr>
          <w:lang w:val="en-US"/>
        </w:rPr>
        <w:t xml:space="preserve"> = 14 S. Ct. </w:t>
      </w:r>
      <w:r w:rsidRPr="00735460">
        <w:rPr>
          <w:lang w:val="en-US"/>
        </w:rPr>
        <w:t>1125, 1127</w:t>
      </w:r>
      <w:r>
        <w:rPr>
          <w:lang w:val="en-US"/>
        </w:rPr>
        <w:t>–</w:t>
      </w:r>
      <w:r w:rsidRPr="00735460">
        <w:rPr>
          <w:lang w:val="en-US"/>
        </w:rPr>
        <w:t>1128</w:t>
      </w:r>
      <w:r>
        <w:rPr>
          <w:lang w:val="en-US"/>
        </w:rPr>
        <w:t xml:space="preserve"> = 38 L. Ed. </w:t>
      </w:r>
      <w:r w:rsidRPr="00735460">
        <w:rPr>
          <w:lang w:val="en-US"/>
        </w:rPr>
        <w:t>1047, 1051</w:t>
      </w:r>
      <w:r>
        <w:rPr>
          <w:lang w:val="en-US"/>
        </w:rPr>
        <w:t>–</w:t>
      </w:r>
      <w:r w:rsidRPr="00735460">
        <w:rPr>
          <w:lang w:val="en-US"/>
        </w:rPr>
        <w:t>1052</w:t>
      </w:r>
      <w:r>
        <w:rPr>
          <w:lang w:val="en-US"/>
        </w:rPr>
        <w:t xml:space="preserve"> = 1894 U.S. LEXIS </w:t>
      </w:r>
      <w:r w:rsidRPr="00735460">
        <w:rPr>
          <w:lang w:val="en-US"/>
        </w:rPr>
        <w:t>2243, 26</w:t>
      </w:r>
      <w:r>
        <w:rPr>
          <w:lang w:val="en-US"/>
        </w:rPr>
        <w:t>–</w:t>
      </w:r>
      <w:r w:rsidRPr="00735460">
        <w:rPr>
          <w:lang w:val="en-US"/>
        </w:rPr>
        <w:t>31 (1894)</w:t>
      </w:r>
      <w:r>
        <w:rPr>
          <w:lang w:val="en-US"/>
        </w:rPr>
        <w:t>.</w:t>
      </w:r>
    </w:p>
  </w:footnote>
  <w:footnote w:id="714">
    <w:p w14:paraId="2A887294" w14:textId="77777777" w:rsidR="00074551" w:rsidRPr="004F7BA6" w:rsidRDefault="00074551" w:rsidP="00074551">
      <w:pPr>
        <w:pStyle w:val="Funotentext"/>
        <w:rPr>
          <w:lang w:val="en-US"/>
        </w:rPr>
      </w:pPr>
      <w:r>
        <w:rPr>
          <w:rStyle w:val="Funotenzeichen"/>
        </w:rPr>
        <w:footnoteRef/>
      </w:r>
      <w:r w:rsidRPr="004F7BA6">
        <w:rPr>
          <w:lang w:val="en-US"/>
        </w:rPr>
        <w:t xml:space="preserve"> </w:t>
      </w:r>
      <w:r w:rsidRPr="009167A5">
        <w:rPr>
          <w:i/>
          <w:lang w:val="en-US"/>
        </w:rPr>
        <w:t>ICC v. Brimson</w:t>
      </w:r>
      <w:r w:rsidRPr="004A658E">
        <w:rPr>
          <w:lang w:val="en-US"/>
        </w:rPr>
        <w:t>, 154 U.S. 447, 478</w:t>
      </w:r>
      <w:r>
        <w:rPr>
          <w:lang w:val="en-US"/>
        </w:rPr>
        <w:t>–</w:t>
      </w:r>
      <w:r w:rsidRPr="004A658E">
        <w:rPr>
          <w:lang w:val="en-US"/>
        </w:rPr>
        <w:t>479</w:t>
      </w:r>
      <w:r>
        <w:rPr>
          <w:lang w:val="en-US"/>
        </w:rPr>
        <w:t xml:space="preserve"> = 14 S. Ct. </w:t>
      </w:r>
      <w:r w:rsidRPr="004A658E">
        <w:rPr>
          <w:lang w:val="en-US"/>
        </w:rPr>
        <w:t>1125, 1134</w:t>
      </w:r>
      <w:r>
        <w:rPr>
          <w:lang w:val="en-US"/>
        </w:rPr>
        <w:t xml:space="preserve"> = 38 L. Ed. </w:t>
      </w:r>
      <w:r w:rsidRPr="004A658E">
        <w:rPr>
          <w:lang w:val="en-US"/>
        </w:rPr>
        <w:t>1047, 1058</w:t>
      </w:r>
      <w:r>
        <w:rPr>
          <w:lang w:val="en-US"/>
        </w:rPr>
        <w:t xml:space="preserve"> = 1894 U.S. LEXIS </w:t>
      </w:r>
      <w:r w:rsidRPr="004A658E">
        <w:rPr>
          <w:lang w:val="en-US"/>
        </w:rPr>
        <w:t>2243, 59 (1894)</w:t>
      </w:r>
      <w:r>
        <w:rPr>
          <w:lang w:val="en-US"/>
        </w:rPr>
        <w:t>.</w:t>
      </w:r>
    </w:p>
  </w:footnote>
  <w:footnote w:id="715">
    <w:p w14:paraId="4FA05116" w14:textId="77777777" w:rsidR="00074551" w:rsidRPr="004A658E" w:rsidRDefault="00074551" w:rsidP="00074551">
      <w:pPr>
        <w:pStyle w:val="Funotentext"/>
        <w:rPr>
          <w:lang w:val="en-US"/>
        </w:rPr>
      </w:pPr>
      <w:r>
        <w:rPr>
          <w:rStyle w:val="Funotenzeichen"/>
        </w:rPr>
        <w:footnoteRef/>
      </w:r>
      <w:r w:rsidRPr="004A658E">
        <w:rPr>
          <w:lang w:val="en-US"/>
        </w:rPr>
        <w:t xml:space="preserve"> </w:t>
      </w:r>
      <w:r w:rsidRPr="00B45592">
        <w:rPr>
          <w:i/>
          <w:lang w:val="en-US"/>
        </w:rPr>
        <w:t>Kilbourn v. Thompson</w:t>
      </w:r>
      <w:r w:rsidRPr="004A658E">
        <w:rPr>
          <w:lang w:val="en-US"/>
        </w:rPr>
        <w:t>, 103 U.S. 168, 190</w:t>
      </w:r>
      <w:r>
        <w:rPr>
          <w:lang w:val="en-US"/>
        </w:rPr>
        <w:t>;</w:t>
      </w:r>
      <w:r w:rsidRPr="004A658E">
        <w:rPr>
          <w:lang w:val="en-US"/>
        </w:rPr>
        <w:t xml:space="preserve"> </w:t>
      </w:r>
      <w:r w:rsidRPr="00B45592">
        <w:rPr>
          <w:i/>
          <w:lang w:val="en-US"/>
        </w:rPr>
        <w:t>Boyd v. United States</w:t>
      </w:r>
      <w:r w:rsidRPr="004A658E">
        <w:rPr>
          <w:lang w:val="en-US"/>
        </w:rPr>
        <w:t>, 116 U.S. 616, 630</w:t>
      </w:r>
      <w:r>
        <w:rPr>
          <w:lang w:val="en-US"/>
        </w:rPr>
        <w:t xml:space="preserve">; </w:t>
      </w:r>
      <w:r w:rsidRPr="009167A5">
        <w:rPr>
          <w:i/>
          <w:lang w:val="en-US"/>
        </w:rPr>
        <w:t>ICC v. Brimson</w:t>
      </w:r>
      <w:r w:rsidRPr="004A658E">
        <w:rPr>
          <w:lang w:val="en-US"/>
        </w:rPr>
        <w:t>, 154 U.S. 447, 478</w:t>
      </w:r>
      <w:r>
        <w:rPr>
          <w:lang w:val="en-US"/>
        </w:rPr>
        <w:t>–</w:t>
      </w:r>
      <w:r w:rsidRPr="004A658E">
        <w:rPr>
          <w:lang w:val="en-US"/>
        </w:rPr>
        <w:t>479</w:t>
      </w:r>
      <w:r>
        <w:rPr>
          <w:lang w:val="en-US"/>
        </w:rPr>
        <w:t xml:space="preserve"> = 14 S. Ct. </w:t>
      </w:r>
      <w:r w:rsidRPr="004A658E">
        <w:rPr>
          <w:lang w:val="en-US"/>
        </w:rPr>
        <w:t>1125, 1134</w:t>
      </w:r>
      <w:r>
        <w:rPr>
          <w:lang w:val="en-US"/>
        </w:rPr>
        <w:t xml:space="preserve"> = 38 L. Ed. </w:t>
      </w:r>
      <w:r w:rsidRPr="004A658E">
        <w:rPr>
          <w:lang w:val="en-US"/>
        </w:rPr>
        <w:t>1047, 1058</w:t>
      </w:r>
      <w:r>
        <w:rPr>
          <w:lang w:val="en-US"/>
        </w:rPr>
        <w:t xml:space="preserve"> = 1894 U.S. LEXIS </w:t>
      </w:r>
      <w:r w:rsidRPr="004A658E">
        <w:rPr>
          <w:lang w:val="en-US"/>
        </w:rPr>
        <w:t>2243, 59 (1894)</w:t>
      </w:r>
      <w:r>
        <w:rPr>
          <w:lang w:val="en-US"/>
        </w:rPr>
        <w:t>.</w:t>
      </w:r>
    </w:p>
  </w:footnote>
  <w:footnote w:id="716">
    <w:p w14:paraId="5453911B" w14:textId="77777777" w:rsidR="00074551" w:rsidRPr="00EE22D7" w:rsidRDefault="00074551" w:rsidP="00074551">
      <w:pPr>
        <w:pStyle w:val="Funotentext"/>
        <w:rPr>
          <w:lang w:val="en-US"/>
        </w:rPr>
      </w:pPr>
      <w:r>
        <w:rPr>
          <w:rStyle w:val="Funotenzeichen"/>
        </w:rPr>
        <w:footnoteRef/>
      </w:r>
      <w:r w:rsidRPr="00EE22D7">
        <w:rPr>
          <w:lang w:val="en-US"/>
        </w:rPr>
        <w:t xml:space="preserve"> </w:t>
      </w:r>
      <w:r w:rsidRPr="00B45592">
        <w:rPr>
          <w:i/>
          <w:lang w:val="en-US"/>
        </w:rPr>
        <w:t>Kilbourn v. Thompson</w:t>
      </w:r>
      <w:r w:rsidRPr="00EE22D7">
        <w:rPr>
          <w:lang w:val="en-US"/>
        </w:rPr>
        <w:t>, 103 U.S. 168, 190</w:t>
      </w:r>
      <w:r>
        <w:rPr>
          <w:lang w:val="en-US"/>
        </w:rPr>
        <w:t>;</w:t>
      </w:r>
      <w:r w:rsidRPr="00EE22D7">
        <w:rPr>
          <w:lang w:val="en-US"/>
        </w:rPr>
        <w:t xml:space="preserve"> </w:t>
      </w:r>
      <w:r w:rsidRPr="00B45592">
        <w:rPr>
          <w:i/>
          <w:lang w:val="en-US"/>
        </w:rPr>
        <w:t>Boyd v. United States</w:t>
      </w:r>
      <w:r w:rsidRPr="00EE22D7">
        <w:rPr>
          <w:lang w:val="en-US"/>
        </w:rPr>
        <w:t>, 116 U.S. 616, 630</w:t>
      </w:r>
      <w:r>
        <w:rPr>
          <w:lang w:val="en-US"/>
        </w:rPr>
        <w:t xml:space="preserve">; </w:t>
      </w:r>
      <w:r w:rsidRPr="009167A5">
        <w:rPr>
          <w:i/>
          <w:lang w:val="en-US"/>
        </w:rPr>
        <w:t>ICC v. Brimson</w:t>
      </w:r>
      <w:r w:rsidRPr="00EE22D7">
        <w:rPr>
          <w:lang w:val="en-US"/>
        </w:rPr>
        <w:t>, 154 U.S. 447, 478</w:t>
      </w:r>
      <w:r>
        <w:rPr>
          <w:lang w:val="en-US"/>
        </w:rPr>
        <w:t>–</w:t>
      </w:r>
      <w:r w:rsidRPr="00EE22D7">
        <w:rPr>
          <w:lang w:val="en-US"/>
        </w:rPr>
        <w:t>479</w:t>
      </w:r>
      <w:r>
        <w:rPr>
          <w:lang w:val="en-US"/>
        </w:rPr>
        <w:t xml:space="preserve"> = 14 S. Ct. </w:t>
      </w:r>
      <w:r w:rsidRPr="00EE22D7">
        <w:rPr>
          <w:lang w:val="en-US"/>
        </w:rPr>
        <w:t>1125, 1134</w:t>
      </w:r>
      <w:r>
        <w:rPr>
          <w:lang w:val="en-US"/>
        </w:rPr>
        <w:t xml:space="preserve"> = 38 L. Ed. </w:t>
      </w:r>
      <w:r w:rsidRPr="00EE22D7">
        <w:rPr>
          <w:lang w:val="en-US"/>
        </w:rPr>
        <w:t>1047, 1058</w:t>
      </w:r>
      <w:r>
        <w:rPr>
          <w:lang w:val="en-US"/>
        </w:rPr>
        <w:t xml:space="preserve"> = 1894 U.S. LEXIS </w:t>
      </w:r>
      <w:r w:rsidRPr="00EE22D7">
        <w:rPr>
          <w:lang w:val="en-US"/>
        </w:rPr>
        <w:t>2243, 59 (1894)</w:t>
      </w:r>
      <w:r>
        <w:rPr>
          <w:lang w:val="en-US"/>
        </w:rPr>
        <w:t>.</w:t>
      </w:r>
    </w:p>
  </w:footnote>
  <w:footnote w:id="717">
    <w:p w14:paraId="24F2AA07" w14:textId="77777777" w:rsidR="00074551" w:rsidRPr="004A658E" w:rsidRDefault="00074551" w:rsidP="00074551">
      <w:pPr>
        <w:pStyle w:val="Funotentext"/>
        <w:rPr>
          <w:lang w:val="en-US"/>
        </w:rPr>
      </w:pPr>
      <w:r>
        <w:rPr>
          <w:rStyle w:val="Funotenzeichen"/>
        </w:rPr>
        <w:footnoteRef/>
      </w:r>
      <w:r w:rsidRPr="004A658E">
        <w:rPr>
          <w:lang w:val="en-US"/>
        </w:rPr>
        <w:t xml:space="preserve"> </w:t>
      </w:r>
      <w:r w:rsidRPr="009167A5">
        <w:rPr>
          <w:i/>
          <w:lang w:val="en-US"/>
        </w:rPr>
        <w:t>ICC v. Brimson</w:t>
      </w:r>
      <w:r w:rsidRPr="004A658E">
        <w:rPr>
          <w:lang w:val="en-US"/>
        </w:rPr>
        <w:t>, 154 U.S. 447, 479</w:t>
      </w:r>
      <w:r>
        <w:rPr>
          <w:lang w:val="en-US"/>
        </w:rPr>
        <w:t xml:space="preserve"> = 14 S. Ct. </w:t>
      </w:r>
      <w:r w:rsidRPr="004A658E">
        <w:rPr>
          <w:lang w:val="en-US"/>
        </w:rPr>
        <w:t>1125, 1134</w:t>
      </w:r>
      <w:r>
        <w:rPr>
          <w:lang w:val="en-US"/>
        </w:rPr>
        <w:t xml:space="preserve"> = 38 L. Ed. </w:t>
      </w:r>
      <w:r w:rsidRPr="004A658E">
        <w:rPr>
          <w:lang w:val="en-US"/>
        </w:rPr>
        <w:t>1047, 1058</w:t>
      </w:r>
      <w:r>
        <w:rPr>
          <w:lang w:val="en-US"/>
        </w:rPr>
        <w:t xml:space="preserve"> = 1894 U.S. LEXIS </w:t>
      </w:r>
      <w:r w:rsidRPr="004A658E">
        <w:rPr>
          <w:lang w:val="en-US"/>
        </w:rPr>
        <w:t>2243, 60 (1894)</w:t>
      </w:r>
      <w:r>
        <w:rPr>
          <w:lang w:val="en-US"/>
        </w:rPr>
        <w:t>.</w:t>
      </w:r>
    </w:p>
  </w:footnote>
  <w:footnote w:id="718">
    <w:p w14:paraId="0C7193A1" w14:textId="77777777" w:rsidR="00074551" w:rsidRPr="004A658E" w:rsidRDefault="00074551" w:rsidP="00074551">
      <w:pPr>
        <w:pStyle w:val="Funotentext"/>
        <w:rPr>
          <w:lang w:val="en-US"/>
        </w:rPr>
      </w:pPr>
      <w:r>
        <w:rPr>
          <w:rStyle w:val="Funotenzeichen"/>
        </w:rPr>
        <w:footnoteRef/>
      </w:r>
      <w:r w:rsidRPr="004A658E">
        <w:rPr>
          <w:lang w:val="en-US"/>
        </w:rPr>
        <w:t xml:space="preserve"> </w:t>
      </w:r>
      <w:r w:rsidRPr="009167A5">
        <w:rPr>
          <w:i/>
          <w:lang w:val="en-US"/>
        </w:rPr>
        <w:t>ICC v. Brimson</w:t>
      </w:r>
      <w:r w:rsidRPr="004A658E">
        <w:rPr>
          <w:lang w:val="en-US"/>
        </w:rPr>
        <w:t>, 154 U.S. 447, 479</w:t>
      </w:r>
      <w:r>
        <w:rPr>
          <w:lang w:val="en-US"/>
        </w:rPr>
        <w:t xml:space="preserve"> = 14 S. Ct. </w:t>
      </w:r>
      <w:r w:rsidRPr="004A658E">
        <w:rPr>
          <w:lang w:val="en-US"/>
        </w:rPr>
        <w:t>1125, 1134</w:t>
      </w:r>
      <w:r>
        <w:rPr>
          <w:lang w:val="en-US"/>
        </w:rPr>
        <w:t xml:space="preserve"> = 38 L. Ed. </w:t>
      </w:r>
      <w:r w:rsidRPr="004A658E">
        <w:rPr>
          <w:lang w:val="en-US"/>
        </w:rPr>
        <w:t>1047, 1058</w:t>
      </w:r>
      <w:r>
        <w:rPr>
          <w:lang w:val="en-US"/>
        </w:rPr>
        <w:t xml:space="preserve"> = 1894 U.S. LEXIS </w:t>
      </w:r>
      <w:r w:rsidRPr="004A658E">
        <w:rPr>
          <w:lang w:val="en-US"/>
        </w:rPr>
        <w:t>2243, 60 (1894)</w:t>
      </w:r>
      <w:r>
        <w:rPr>
          <w:lang w:val="en-US"/>
        </w:rPr>
        <w:t>.</w:t>
      </w:r>
    </w:p>
  </w:footnote>
  <w:footnote w:id="719">
    <w:p w14:paraId="7C394D18" w14:textId="77777777" w:rsidR="00074551" w:rsidRPr="00EE22D7" w:rsidRDefault="00074551" w:rsidP="00074551">
      <w:pPr>
        <w:pStyle w:val="Funotentext"/>
        <w:rPr>
          <w:lang w:val="en-US"/>
        </w:rPr>
      </w:pPr>
      <w:r>
        <w:rPr>
          <w:rStyle w:val="Funotenzeichen"/>
        </w:rPr>
        <w:footnoteRef/>
      </w:r>
      <w:r w:rsidRPr="00EE22D7">
        <w:rPr>
          <w:lang w:val="en-US"/>
        </w:rPr>
        <w:t xml:space="preserve"> </w:t>
      </w:r>
      <w:r w:rsidRPr="00B45592">
        <w:rPr>
          <w:i/>
          <w:lang w:val="en-US"/>
        </w:rPr>
        <w:t>In re Pacific Railway Commission</w:t>
      </w:r>
      <w:r w:rsidRPr="00EE22D7">
        <w:rPr>
          <w:lang w:val="en-US"/>
        </w:rPr>
        <w:t>, 32 Fed. Rep. 241, 250</w:t>
      </w:r>
      <w:r>
        <w:rPr>
          <w:lang w:val="en-US"/>
        </w:rPr>
        <w:t xml:space="preserve">; </w:t>
      </w:r>
      <w:r w:rsidRPr="009167A5">
        <w:rPr>
          <w:i/>
          <w:lang w:val="en-US"/>
        </w:rPr>
        <w:t>ICC v. Brimson</w:t>
      </w:r>
      <w:r w:rsidRPr="00EE22D7">
        <w:rPr>
          <w:lang w:val="en-US"/>
        </w:rPr>
        <w:t>, 154 U.S. 447, 479</w:t>
      </w:r>
      <w:r>
        <w:rPr>
          <w:lang w:val="en-US"/>
        </w:rPr>
        <w:t xml:space="preserve"> = 14 S. Ct. </w:t>
      </w:r>
      <w:r w:rsidRPr="00EE22D7">
        <w:rPr>
          <w:lang w:val="en-US"/>
        </w:rPr>
        <w:t>1125, 1134</w:t>
      </w:r>
      <w:r>
        <w:rPr>
          <w:lang w:val="en-US"/>
        </w:rPr>
        <w:t xml:space="preserve"> = 38 L. Ed. </w:t>
      </w:r>
      <w:r w:rsidRPr="00EE22D7">
        <w:rPr>
          <w:lang w:val="en-US"/>
        </w:rPr>
        <w:t>1047, 1058</w:t>
      </w:r>
      <w:r>
        <w:rPr>
          <w:lang w:val="en-US"/>
        </w:rPr>
        <w:t xml:space="preserve"> = 1894 U.S. LEXIS </w:t>
      </w:r>
      <w:r w:rsidRPr="00EE22D7">
        <w:rPr>
          <w:lang w:val="en-US"/>
        </w:rPr>
        <w:t>2243, 60 (1894)</w:t>
      </w:r>
      <w:r>
        <w:rPr>
          <w:lang w:val="en-US"/>
        </w:rPr>
        <w:t>.</w:t>
      </w:r>
    </w:p>
  </w:footnote>
  <w:footnote w:id="720">
    <w:p w14:paraId="3D4F881B" w14:textId="77777777" w:rsidR="00074551" w:rsidRPr="00DD7E18" w:rsidRDefault="00074551" w:rsidP="00074551">
      <w:pPr>
        <w:pStyle w:val="Funotentext"/>
        <w:rPr>
          <w:lang w:val="en-US"/>
        </w:rPr>
      </w:pPr>
      <w:r>
        <w:rPr>
          <w:rStyle w:val="Funotenzeichen"/>
        </w:rPr>
        <w:footnoteRef/>
      </w:r>
      <w:r w:rsidRPr="00DD7E18">
        <w:rPr>
          <w:lang w:val="en-US"/>
        </w:rPr>
        <w:t xml:space="preserve"> </w:t>
      </w:r>
      <w:r>
        <w:rPr>
          <w:lang w:val="en-US"/>
        </w:rPr>
        <w:t>§ </w:t>
      </w:r>
      <w:r w:rsidRPr="00DD7E18">
        <w:rPr>
          <w:lang w:val="en-US"/>
        </w:rPr>
        <w:t xml:space="preserve">6513 </w:t>
      </w:r>
      <w:r>
        <w:rPr>
          <w:lang w:val="en-US"/>
        </w:rPr>
        <w:t>der</w:t>
      </w:r>
      <w:r w:rsidRPr="00DD7E18">
        <w:rPr>
          <w:lang w:val="en-US"/>
        </w:rPr>
        <w:t xml:space="preserve"> </w:t>
      </w:r>
      <w:r w:rsidRPr="00B45592">
        <w:rPr>
          <w:i/>
          <w:lang w:val="en-US"/>
        </w:rPr>
        <w:t>General Statutes of Minnesota for 1894</w:t>
      </w:r>
      <w:r>
        <w:rPr>
          <w:lang w:val="en-US"/>
        </w:rPr>
        <w:t>: „</w:t>
      </w:r>
      <w:r w:rsidRPr="00DD7E18">
        <w:rPr>
          <w:lang w:val="en-US"/>
        </w:rPr>
        <w:t xml:space="preserve">All labor on Sunday is prohibited, excepting the works of necessity or charity. In works of necessity or charity is included whatever is needful during the day for the good order, health or comfort of the community; Provided, however, That keeping open a barber shop on Sunday for the purpose of cutting hair and shaving beards, shall not be deemed a work of necessity or </w:t>
      </w:r>
      <w:proofErr w:type="gramStart"/>
      <w:r w:rsidRPr="00DD7E18">
        <w:rPr>
          <w:lang w:val="en-US"/>
        </w:rPr>
        <w:t>charity.</w:t>
      </w:r>
      <w:r>
        <w:rPr>
          <w:lang w:val="en-US"/>
        </w:rPr>
        <w:t>“</w:t>
      </w:r>
      <w:proofErr w:type="gramEnd"/>
      <w:r>
        <w:rPr>
          <w:lang w:val="en-US"/>
        </w:rPr>
        <w:t xml:space="preserve">, in </w:t>
      </w:r>
      <w:r w:rsidRPr="00B45592">
        <w:rPr>
          <w:i/>
          <w:lang w:val="en-IE"/>
        </w:rPr>
        <w:t xml:space="preserve">Petit v. </w:t>
      </w:r>
      <w:proofErr w:type="gramStart"/>
      <w:r w:rsidRPr="00B45592">
        <w:rPr>
          <w:i/>
          <w:lang w:val="en-IE"/>
        </w:rPr>
        <w:t>Minnesota</w:t>
      </w:r>
      <w:r w:rsidRPr="00DD7E18" w:rsidDel="009167A5">
        <w:rPr>
          <w:lang w:val="en-US"/>
        </w:rPr>
        <w:t xml:space="preserve"> </w:t>
      </w:r>
      <w:r w:rsidRPr="00DD7E18">
        <w:rPr>
          <w:lang w:val="en-US"/>
        </w:rPr>
        <w:t>,</w:t>
      </w:r>
      <w:proofErr w:type="gramEnd"/>
      <w:r w:rsidRPr="00DD7E18">
        <w:rPr>
          <w:lang w:val="en-US"/>
        </w:rPr>
        <w:t xml:space="preserve"> 177 U.S. 164, 164</w:t>
      </w:r>
      <w:r>
        <w:rPr>
          <w:lang w:val="en-US"/>
        </w:rPr>
        <w:t xml:space="preserve"> = 20 S. Ct. </w:t>
      </w:r>
      <w:r w:rsidRPr="00DD7E18">
        <w:rPr>
          <w:lang w:val="en-US"/>
        </w:rPr>
        <w:t>666, 666</w:t>
      </w:r>
      <w:r>
        <w:rPr>
          <w:lang w:val="en-US"/>
        </w:rPr>
        <w:t xml:space="preserve"> = 44 L. Ed. </w:t>
      </w:r>
      <w:r w:rsidRPr="00DD7E18">
        <w:rPr>
          <w:lang w:val="en-US"/>
        </w:rPr>
        <w:t>716, 718</w:t>
      </w:r>
      <w:r>
        <w:rPr>
          <w:lang w:val="en-US"/>
        </w:rPr>
        <w:t xml:space="preserve"> = 1900 U.S. LEXIS </w:t>
      </w:r>
      <w:r w:rsidRPr="00DD7E18">
        <w:rPr>
          <w:lang w:val="en-US"/>
        </w:rPr>
        <w:t>1781, 1 (1900)</w:t>
      </w:r>
      <w:r>
        <w:rPr>
          <w:lang w:val="en-US"/>
        </w:rPr>
        <w:t>.</w:t>
      </w:r>
    </w:p>
  </w:footnote>
  <w:footnote w:id="721">
    <w:p w14:paraId="2F254D59" w14:textId="77777777" w:rsidR="00074551" w:rsidRPr="00DD7E18" w:rsidRDefault="00074551" w:rsidP="00074551">
      <w:pPr>
        <w:pStyle w:val="Funotentext"/>
        <w:rPr>
          <w:lang w:val="en-US"/>
        </w:rPr>
      </w:pPr>
      <w:r>
        <w:rPr>
          <w:rStyle w:val="Funotenzeichen"/>
        </w:rPr>
        <w:footnoteRef/>
      </w:r>
      <w:r w:rsidRPr="00DD7E18">
        <w:rPr>
          <w:lang w:val="en-US"/>
        </w:rPr>
        <w:t xml:space="preserve"> </w:t>
      </w:r>
      <w:r w:rsidRPr="00B45592">
        <w:rPr>
          <w:i/>
          <w:lang w:val="en-US"/>
        </w:rPr>
        <w:t>Petit v. Minnesota</w:t>
      </w:r>
      <w:r w:rsidRPr="00DD7E18">
        <w:rPr>
          <w:lang w:val="en-US"/>
        </w:rPr>
        <w:t>, 177 U.S. 164, 164</w:t>
      </w:r>
      <w:r>
        <w:rPr>
          <w:lang w:val="en-US"/>
        </w:rPr>
        <w:t xml:space="preserve"> = 20 S. Ct. </w:t>
      </w:r>
      <w:r w:rsidRPr="00DD7E18">
        <w:rPr>
          <w:lang w:val="en-US"/>
        </w:rPr>
        <w:t>666, 666</w:t>
      </w:r>
      <w:r>
        <w:rPr>
          <w:lang w:val="en-US"/>
        </w:rPr>
        <w:t xml:space="preserve"> = 44 L. Ed. </w:t>
      </w:r>
      <w:r w:rsidRPr="00DD7E18">
        <w:rPr>
          <w:lang w:val="en-US"/>
        </w:rPr>
        <w:t>716, 718</w:t>
      </w:r>
      <w:r>
        <w:rPr>
          <w:lang w:val="en-US"/>
        </w:rPr>
        <w:t xml:space="preserve"> = 1900 U.S. LEXIS </w:t>
      </w:r>
      <w:r w:rsidRPr="00DD7E18">
        <w:rPr>
          <w:lang w:val="en-US"/>
        </w:rPr>
        <w:t>1781, 1 (1900)</w:t>
      </w:r>
      <w:r>
        <w:rPr>
          <w:lang w:val="en-US"/>
        </w:rPr>
        <w:t>.</w:t>
      </w:r>
    </w:p>
  </w:footnote>
  <w:footnote w:id="722">
    <w:p w14:paraId="45152B7E" w14:textId="77777777" w:rsidR="00074551" w:rsidRPr="0008513F" w:rsidRDefault="00074551" w:rsidP="00074551">
      <w:pPr>
        <w:pStyle w:val="Funotentext"/>
        <w:rPr>
          <w:lang w:val="en-US"/>
        </w:rPr>
      </w:pPr>
      <w:r>
        <w:rPr>
          <w:rStyle w:val="Funotenzeichen"/>
        </w:rPr>
        <w:footnoteRef/>
      </w:r>
      <w:r w:rsidRPr="0008513F">
        <w:rPr>
          <w:lang w:val="en-US"/>
        </w:rPr>
        <w:t xml:space="preserve"> </w:t>
      </w:r>
      <w:r w:rsidRPr="00B45592">
        <w:rPr>
          <w:i/>
          <w:lang w:val="en-US"/>
        </w:rPr>
        <w:t>Petit v. Minnesota</w:t>
      </w:r>
      <w:r w:rsidRPr="0008513F">
        <w:rPr>
          <w:lang w:val="en-US"/>
        </w:rPr>
        <w:t>, 177 U.S. 164, 164</w:t>
      </w:r>
      <w:r>
        <w:rPr>
          <w:lang w:val="en-US"/>
        </w:rPr>
        <w:t xml:space="preserve"> = 20 S. Ct. </w:t>
      </w:r>
      <w:r w:rsidRPr="0008513F">
        <w:rPr>
          <w:lang w:val="en-US"/>
        </w:rPr>
        <w:t>666, 666</w:t>
      </w:r>
      <w:r>
        <w:rPr>
          <w:lang w:val="en-US"/>
        </w:rPr>
        <w:t xml:space="preserve"> = 44 L. Ed. </w:t>
      </w:r>
      <w:r w:rsidRPr="0008513F">
        <w:rPr>
          <w:lang w:val="en-US"/>
        </w:rPr>
        <w:t>716, 718</w:t>
      </w:r>
      <w:r>
        <w:rPr>
          <w:lang w:val="en-US"/>
        </w:rPr>
        <w:t xml:space="preserve"> = 1900 U.S. LEXIS </w:t>
      </w:r>
      <w:r w:rsidRPr="0008513F">
        <w:rPr>
          <w:lang w:val="en-US"/>
        </w:rPr>
        <w:t>1781, 1 (1900)</w:t>
      </w:r>
      <w:r>
        <w:rPr>
          <w:lang w:val="en-US"/>
        </w:rPr>
        <w:t>.</w:t>
      </w:r>
    </w:p>
  </w:footnote>
  <w:footnote w:id="723">
    <w:p w14:paraId="58326AA5" w14:textId="77777777" w:rsidR="00074551" w:rsidRPr="008A2CC5" w:rsidRDefault="00074551" w:rsidP="00074551">
      <w:pPr>
        <w:pStyle w:val="Funotentext"/>
        <w:rPr>
          <w:lang w:val="en-US"/>
        </w:rPr>
      </w:pPr>
      <w:r>
        <w:rPr>
          <w:rStyle w:val="Funotenzeichen"/>
        </w:rPr>
        <w:footnoteRef/>
      </w:r>
      <w:r w:rsidRPr="008A2CC5">
        <w:rPr>
          <w:lang w:val="en-US"/>
        </w:rPr>
        <w:t xml:space="preserve"> </w:t>
      </w:r>
      <w:r w:rsidRPr="00B45592">
        <w:rPr>
          <w:i/>
          <w:lang w:val="en-US"/>
        </w:rPr>
        <w:t>Hennington v. Georgia</w:t>
      </w:r>
      <w:r w:rsidRPr="008A2CC5">
        <w:rPr>
          <w:lang w:val="en-US"/>
        </w:rPr>
        <w:t>, 163 U.S. 299</w:t>
      </w:r>
      <w:r>
        <w:rPr>
          <w:lang w:val="en-US"/>
        </w:rPr>
        <w:t xml:space="preserve">; </w:t>
      </w:r>
      <w:r w:rsidRPr="00B45592">
        <w:rPr>
          <w:i/>
          <w:lang w:val="en-US"/>
        </w:rPr>
        <w:t>Petit v. Minnesota</w:t>
      </w:r>
      <w:r w:rsidRPr="008A2CC5">
        <w:rPr>
          <w:lang w:val="en-US"/>
        </w:rPr>
        <w:t>, 177 U.S. 164, 165</w:t>
      </w:r>
      <w:r>
        <w:rPr>
          <w:lang w:val="en-US"/>
        </w:rPr>
        <w:t xml:space="preserve"> = 20 S. Ct. </w:t>
      </w:r>
      <w:r w:rsidRPr="008A2CC5">
        <w:rPr>
          <w:lang w:val="en-US"/>
        </w:rPr>
        <w:t>666, 666</w:t>
      </w:r>
      <w:r>
        <w:rPr>
          <w:lang w:val="en-US"/>
        </w:rPr>
        <w:t xml:space="preserve"> = 44 L. Ed. </w:t>
      </w:r>
      <w:r w:rsidRPr="008A2CC5">
        <w:rPr>
          <w:lang w:val="en-US"/>
        </w:rPr>
        <w:t>716, 718</w:t>
      </w:r>
      <w:r>
        <w:rPr>
          <w:lang w:val="en-US"/>
        </w:rPr>
        <w:t xml:space="preserve"> = 1900 U.S. LEXIS </w:t>
      </w:r>
      <w:r w:rsidRPr="008A2CC5">
        <w:rPr>
          <w:lang w:val="en-US"/>
        </w:rPr>
        <w:t>1781, 2 (1900)</w:t>
      </w:r>
      <w:r>
        <w:rPr>
          <w:lang w:val="en-US"/>
        </w:rPr>
        <w:t>.</w:t>
      </w:r>
    </w:p>
  </w:footnote>
  <w:footnote w:id="724">
    <w:p w14:paraId="21322F09" w14:textId="77777777" w:rsidR="00074551" w:rsidRPr="00860F21" w:rsidRDefault="00074551" w:rsidP="00074551">
      <w:pPr>
        <w:pStyle w:val="Funotentext"/>
        <w:rPr>
          <w:lang w:val="en-US"/>
        </w:rPr>
      </w:pPr>
      <w:r>
        <w:rPr>
          <w:rStyle w:val="Funotenzeichen"/>
        </w:rPr>
        <w:footnoteRef/>
      </w:r>
      <w:r w:rsidRPr="00860F21">
        <w:rPr>
          <w:lang w:val="en-US"/>
        </w:rPr>
        <w:t xml:space="preserve"> </w:t>
      </w:r>
      <w:r>
        <w:rPr>
          <w:lang w:val="en-US"/>
        </w:rPr>
        <w:t>„</w:t>
      </w:r>
      <w:r w:rsidRPr="00860F21">
        <w:rPr>
          <w:lang w:val="en-US"/>
        </w:rPr>
        <w:t xml:space="preserve">On the 1st of </w:t>
      </w:r>
      <w:proofErr w:type="gramStart"/>
      <w:r w:rsidRPr="00860F21">
        <w:rPr>
          <w:lang w:val="en-US"/>
        </w:rPr>
        <w:t>July,</w:t>
      </w:r>
      <w:proofErr w:type="gramEnd"/>
      <w:r w:rsidRPr="00860F21">
        <w:rPr>
          <w:lang w:val="en-US"/>
        </w:rPr>
        <w:t xml:space="preserve"> 1862</w:t>
      </w:r>
      <w:r>
        <w:rPr>
          <w:lang w:val="en-US"/>
        </w:rPr>
        <w:t xml:space="preserve"> […]</w:t>
      </w:r>
      <w:proofErr w:type="gramStart"/>
      <w:r w:rsidRPr="00860F21">
        <w:rPr>
          <w:lang w:val="en-US"/>
        </w:rPr>
        <w:t>:</w:t>
      </w:r>
      <w:r>
        <w:rPr>
          <w:lang w:val="en-US"/>
        </w:rPr>
        <w:t xml:space="preserve"> ,</w:t>
      </w:r>
      <w:r w:rsidRPr="00860F21">
        <w:rPr>
          <w:lang w:val="en-US"/>
        </w:rPr>
        <w:t>An</w:t>
      </w:r>
      <w:proofErr w:type="gramEnd"/>
      <w:r w:rsidRPr="00860F21">
        <w:rPr>
          <w:lang w:val="en-US"/>
        </w:rPr>
        <w:t xml:space="preserve"> act to punish and prevent the Practice of Polygamy in the Territories of the United States, and other Places, and disapproving and annulling Certain Acts of the Legislative Assembly of the Territory of </w:t>
      </w:r>
      <w:proofErr w:type="gramStart"/>
      <w:r w:rsidRPr="00860F21">
        <w:rPr>
          <w:lang w:val="en-US"/>
        </w:rPr>
        <w:t>Utah</w:t>
      </w:r>
      <w:r>
        <w:rPr>
          <w:lang w:val="en-US"/>
        </w:rPr>
        <w:t>‘</w:t>
      </w:r>
      <w:proofErr w:type="gramEnd"/>
      <w:r>
        <w:rPr>
          <w:lang w:val="en-US"/>
        </w:rPr>
        <w:t xml:space="preserve">“, </w:t>
      </w:r>
      <w:r w:rsidRPr="009167A5">
        <w:rPr>
          <w:i/>
          <w:lang w:val="en-US"/>
        </w:rPr>
        <w:t>Late Corp. of Church of Jesus Christ v. United States</w:t>
      </w:r>
      <w:r w:rsidRPr="00860F21">
        <w:rPr>
          <w:lang w:val="en-US"/>
        </w:rPr>
        <w:t>, 136 U.S. 1, 20</w:t>
      </w:r>
      <w:r w:rsidRPr="00EC5BEB">
        <w:rPr>
          <w:lang w:val="en-US"/>
        </w:rPr>
        <w:t xml:space="preserve"> = 10 S. Ct. </w:t>
      </w:r>
      <w:r w:rsidRPr="00860F21">
        <w:rPr>
          <w:lang w:val="en-US"/>
        </w:rPr>
        <w:t>792, 792</w:t>
      </w:r>
      <w:r w:rsidRPr="006E67FE">
        <w:rPr>
          <w:lang w:val="en-US"/>
        </w:rPr>
        <w:t xml:space="preserve"> = 34 L. Ed. </w:t>
      </w:r>
      <w:r w:rsidRPr="00860F21">
        <w:rPr>
          <w:lang w:val="en-US"/>
        </w:rPr>
        <w:t>478, 490</w:t>
      </w:r>
      <w:r w:rsidRPr="00EC5BEB">
        <w:rPr>
          <w:lang w:val="en-US"/>
        </w:rPr>
        <w:t xml:space="preserve"> = 1890 U.S. LEXIS </w:t>
      </w:r>
      <w:r w:rsidRPr="00860F21">
        <w:rPr>
          <w:lang w:val="en-US"/>
        </w:rPr>
        <w:t>2199, 5 (1890)</w:t>
      </w:r>
      <w:r>
        <w:rPr>
          <w:lang w:val="en-US"/>
        </w:rPr>
        <w:t>.</w:t>
      </w:r>
    </w:p>
  </w:footnote>
  <w:footnote w:id="725">
    <w:p w14:paraId="1D431FBF" w14:textId="77777777" w:rsidR="00074551" w:rsidRPr="0032388B" w:rsidRDefault="00074551" w:rsidP="00074551">
      <w:pPr>
        <w:pStyle w:val="Funotentext"/>
        <w:rPr>
          <w:lang w:val="en-US"/>
        </w:rPr>
      </w:pPr>
      <w:r>
        <w:rPr>
          <w:rStyle w:val="Funotenzeichen"/>
        </w:rPr>
        <w:footnoteRef/>
      </w:r>
      <w:r w:rsidRPr="0032388B">
        <w:rPr>
          <w:lang w:val="en-US"/>
        </w:rPr>
        <w:t xml:space="preserve"> </w:t>
      </w:r>
      <w:r w:rsidRPr="009167A5">
        <w:rPr>
          <w:i/>
          <w:lang w:val="en-IE"/>
        </w:rPr>
        <w:t>Late Corp. of Church of Jesus Christ v. United States</w:t>
      </w:r>
      <w:r w:rsidRPr="00B45592">
        <w:rPr>
          <w:lang w:val="en-IE"/>
        </w:rPr>
        <w:t>, 136 U.S. 1, 21</w:t>
      </w:r>
      <w:r w:rsidRPr="00EC5BEB">
        <w:rPr>
          <w:lang w:val="en-IE"/>
        </w:rPr>
        <w:t xml:space="preserve"> = 10 S. Ct. </w:t>
      </w:r>
      <w:r w:rsidRPr="00B45592">
        <w:rPr>
          <w:lang w:val="en-IE"/>
        </w:rPr>
        <w:t>792, 792</w:t>
      </w:r>
      <w:r w:rsidRPr="006E67FE">
        <w:rPr>
          <w:lang w:val="en-IE"/>
        </w:rPr>
        <w:t xml:space="preserve"> = 34 L. Ed. </w:t>
      </w:r>
      <w:r w:rsidRPr="00B45592">
        <w:rPr>
          <w:lang w:val="en-IE"/>
        </w:rPr>
        <w:t>478, 490</w:t>
      </w:r>
      <w:r w:rsidRPr="00EC5BEB">
        <w:rPr>
          <w:lang w:val="en-IE"/>
        </w:rPr>
        <w:t xml:space="preserve"> = 1890 U.S. LEXIS </w:t>
      </w:r>
      <w:r w:rsidRPr="00B45592">
        <w:rPr>
          <w:lang w:val="en-IE"/>
        </w:rPr>
        <w:t>2199, 55 (1890)</w:t>
      </w:r>
      <w:r>
        <w:rPr>
          <w:lang w:val="en-US"/>
        </w:rPr>
        <w:t>.</w:t>
      </w:r>
    </w:p>
  </w:footnote>
  <w:footnote w:id="726">
    <w:p w14:paraId="3325B40F" w14:textId="77777777" w:rsidR="00074551" w:rsidRPr="00034991" w:rsidRDefault="00074551" w:rsidP="00074551">
      <w:pPr>
        <w:pStyle w:val="Funotentext"/>
        <w:rPr>
          <w:lang w:val="en-US"/>
        </w:rPr>
      </w:pPr>
      <w:r>
        <w:rPr>
          <w:rStyle w:val="Funotenzeichen"/>
        </w:rPr>
        <w:footnoteRef/>
      </w:r>
      <w:r>
        <w:rPr>
          <w:lang w:val="en-US"/>
        </w:rPr>
        <w:t xml:space="preserve"> </w:t>
      </w:r>
      <w:r w:rsidRPr="009167A5">
        <w:rPr>
          <w:i/>
          <w:lang w:val="en-US"/>
        </w:rPr>
        <w:t>Late Corp. of Church of Jesus Christ v. United States</w:t>
      </w:r>
      <w:r w:rsidRPr="00034991">
        <w:rPr>
          <w:lang w:val="en-US"/>
        </w:rPr>
        <w:t>, 136 U.S. 1, 21</w:t>
      </w:r>
      <w:r w:rsidRPr="00EC5BEB">
        <w:rPr>
          <w:lang w:val="en-US"/>
        </w:rPr>
        <w:t xml:space="preserve"> = 10 S. Ct. </w:t>
      </w:r>
      <w:r w:rsidRPr="00034991">
        <w:rPr>
          <w:lang w:val="en-US"/>
        </w:rPr>
        <w:t>792, 792</w:t>
      </w:r>
      <w:r w:rsidRPr="006E67FE">
        <w:rPr>
          <w:lang w:val="en-US"/>
        </w:rPr>
        <w:t xml:space="preserve"> = 34 L. Ed. </w:t>
      </w:r>
      <w:r w:rsidRPr="00034991">
        <w:rPr>
          <w:lang w:val="en-US"/>
        </w:rPr>
        <w:t>478, 490</w:t>
      </w:r>
      <w:r w:rsidRPr="00EC5BEB">
        <w:rPr>
          <w:lang w:val="en-US"/>
        </w:rPr>
        <w:t xml:space="preserve"> = 1890 U.S. LEXIS </w:t>
      </w:r>
      <w:r w:rsidRPr="00034991">
        <w:rPr>
          <w:lang w:val="en-US"/>
        </w:rPr>
        <w:t>2199, 55 (1890)</w:t>
      </w:r>
      <w:r>
        <w:rPr>
          <w:lang w:val="en-US"/>
        </w:rPr>
        <w:t>.</w:t>
      </w:r>
    </w:p>
  </w:footnote>
  <w:footnote w:id="727">
    <w:p w14:paraId="48797CD7" w14:textId="77777777" w:rsidR="00074551" w:rsidRPr="00034991" w:rsidRDefault="00074551" w:rsidP="00074551">
      <w:pPr>
        <w:pStyle w:val="Funotentext"/>
        <w:rPr>
          <w:lang w:val="en-US"/>
        </w:rPr>
      </w:pPr>
      <w:r>
        <w:rPr>
          <w:rStyle w:val="Funotenzeichen"/>
        </w:rPr>
        <w:footnoteRef/>
      </w:r>
      <w:r w:rsidRPr="00034991">
        <w:rPr>
          <w:lang w:val="en-US"/>
        </w:rPr>
        <w:t xml:space="preserve"> </w:t>
      </w:r>
      <w:r w:rsidRPr="009167A5">
        <w:rPr>
          <w:i/>
          <w:lang w:val="en-US"/>
        </w:rPr>
        <w:t>Late Corp. of Church of Jesus Christ v. United States</w:t>
      </w:r>
      <w:r w:rsidRPr="00034991">
        <w:rPr>
          <w:lang w:val="en-US"/>
        </w:rPr>
        <w:t>, 136 U.S. 1, 59</w:t>
      </w:r>
      <w:r w:rsidRPr="00EC5BEB">
        <w:rPr>
          <w:lang w:val="en-US"/>
        </w:rPr>
        <w:t xml:space="preserve"> = 10 S. Ct. </w:t>
      </w:r>
      <w:r w:rsidRPr="00034991">
        <w:rPr>
          <w:lang w:val="en-US"/>
        </w:rPr>
        <w:t>792, 808</w:t>
      </w:r>
      <w:r w:rsidRPr="006E67FE">
        <w:rPr>
          <w:lang w:val="en-US"/>
        </w:rPr>
        <w:t xml:space="preserve"> = 34 L. Ed. </w:t>
      </w:r>
      <w:r w:rsidRPr="00034991">
        <w:rPr>
          <w:lang w:val="en-US"/>
        </w:rPr>
        <w:t>478, 496</w:t>
      </w:r>
      <w:r w:rsidRPr="00EC5BEB">
        <w:rPr>
          <w:lang w:val="en-US"/>
        </w:rPr>
        <w:t xml:space="preserve"> = 1890 U.S. LEXIS </w:t>
      </w:r>
      <w:r w:rsidRPr="00034991">
        <w:rPr>
          <w:lang w:val="en-US"/>
        </w:rPr>
        <w:t>2199, 109 (1890)</w:t>
      </w:r>
      <w:r>
        <w:rPr>
          <w:lang w:val="en-US"/>
        </w:rPr>
        <w:t>.</w:t>
      </w:r>
    </w:p>
  </w:footnote>
  <w:footnote w:id="728">
    <w:p w14:paraId="77B71254" w14:textId="77777777" w:rsidR="00074551" w:rsidRPr="00034991" w:rsidRDefault="00074551" w:rsidP="00074551">
      <w:pPr>
        <w:pStyle w:val="Funotentext"/>
        <w:rPr>
          <w:lang w:val="en-US"/>
        </w:rPr>
      </w:pPr>
      <w:r>
        <w:rPr>
          <w:rStyle w:val="Funotenzeichen"/>
        </w:rPr>
        <w:footnoteRef/>
      </w:r>
      <w:r w:rsidRPr="00034991">
        <w:rPr>
          <w:lang w:val="en-US"/>
        </w:rPr>
        <w:t xml:space="preserve"> </w:t>
      </w:r>
      <w:r w:rsidRPr="009167A5">
        <w:rPr>
          <w:i/>
          <w:lang w:val="en-US"/>
        </w:rPr>
        <w:t>Late Corp. of Church of Jesus Christ v. United States</w:t>
      </w:r>
      <w:r w:rsidRPr="00034991">
        <w:rPr>
          <w:lang w:val="en-US"/>
        </w:rPr>
        <w:t>, 136 U.S. 1, 59</w:t>
      </w:r>
      <w:r w:rsidRPr="00EC5BEB">
        <w:rPr>
          <w:lang w:val="en-US"/>
        </w:rPr>
        <w:t xml:space="preserve"> = 10 S. Ct. </w:t>
      </w:r>
      <w:r w:rsidRPr="00034991">
        <w:rPr>
          <w:lang w:val="en-US"/>
        </w:rPr>
        <w:t>792, 808</w:t>
      </w:r>
      <w:r w:rsidRPr="006E67FE">
        <w:rPr>
          <w:lang w:val="en-US"/>
        </w:rPr>
        <w:t xml:space="preserve"> = 34 L. Ed. </w:t>
      </w:r>
      <w:r w:rsidRPr="00034991">
        <w:rPr>
          <w:lang w:val="en-US"/>
        </w:rPr>
        <w:t>478, 496</w:t>
      </w:r>
      <w:r w:rsidRPr="00EC5BEB">
        <w:rPr>
          <w:lang w:val="en-US"/>
        </w:rPr>
        <w:t xml:space="preserve"> = 1890 U.S. LEXIS </w:t>
      </w:r>
      <w:r w:rsidRPr="00034991">
        <w:rPr>
          <w:lang w:val="en-US"/>
        </w:rPr>
        <w:t>2199, 109 (1890)</w:t>
      </w:r>
      <w:r>
        <w:rPr>
          <w:lang w:val="en-US"/>
        </w:rPr>
        <w:t>.</w:t>
      </w:r>
    </w:p>
  </w:footnote>
  <w:footnote w:id="729">
    <w:p w14:paraId="454712A2" w14:textId="77777777" w:rsidR="00074551" w:rsidRPr="00986FAD" w:rsidRDefault="00074551" w:rsidP="00074551">
      <w:pPr>
        <w:pStyle w:val="Funotentext"/>
        <w:rPr>
          <w:lang w:val="en-US"/>
        </w:rPr>
      </w:pPr>
      <w:r>
        <w:rPr>
          <w:rStyle w:val="Funotenzeichen"/>
        </w:rPr>
        <w:footnoteRef/>
      </w:r>
      <w:r w:rsidRPr="00986FAD">
        <w:rPr>
          <w:lang w:val="en-US"/>
        </w:rPr>
        <w:t xml:space="preserve"> </w:t>
      </w:r>
      <w:r w:rsidRPr="009167A5">
        <w:rPr>
          <w:i/>
          <w:lang w:val="en-US"/>
        </w:rPr>
        <w:t>Late Corp. of Church of Jesus Christ v. United States</w:t>
      </w:r>
      <w:r w:rsidRPr="00986FAD">
        <w:rPr>
          <w:lang w:val="en-US"/>
        </w:rPr>
        <w:t>, 136 U.S. 1, 59</w:t>
      </w:r>
      <w:r w:rsidRPr="00EC5BEB">
        <w:rPr>
          <w:lang w:val="en-US"/>
        </w:rPr>
        <w:t xml:space="preserve"> = 10 S. Ct. </w:t>
      </w:r>
      <w:r w:rsidRPr="00986FAD">
        <w:rPr>
          <w:lang w:val="en-US"/>
        </w:rPr>
        <w:t>792, 808</w:t>
      </w:r>
      <w:r w:rsidRPr="006E67FE">
        <w:rPr>
          <w:lang w:val="en-US"/>
        </w:rPr>
        <w:t xml:space="preserve"> = 34 L. Ed. </w:t>
      </w:r>
      <w:r w:rsidRPr="00986FAD">
        <w:rPr>
          <w:lang w:val="en-US"/>
        </w:rPr>
        <w:t>478, 496</w:t>
      </w:r>
      <w:r w:rsidRPr="00EC5BEB">
        <w:rPr>
          <w:lang w:val="en-US"/>
        </w:rPr>
        <w:t xml:space="preserve"> = 1890 U.S. LEXIS </w:t>
      </w:r>
      <w:r w:rsidRPr="00986FAD">
        <w:rPr>
          <w:lang w:val="en-US"/>
        </w:rPr>
        <w:t>2199, 109 (1890)</w:t>
      </w:r>
      <w:r>
        <w:rPr>
          <w:lang w:val="en-US"/>
        </w:rPr>
        <w:t>.</w:t>
      </w:r>
    </w:p>
  </w:footnote>
  <w:footnote w:id="730">
    <w:p w14:paraId="52A29CE7" w14:textId="77777777" w:rsidR="00074551" w:rsidRPr="00034991" w:rsidRDefault="00074551" w:rsidP="00074551">
      <w:pPr>
        <w:pStyle w:val="Funotentext"/>
        <w:rPr>
          <w:lang w:val="en-US"/>
        </w:rPr>
      </w:pPr>
      <w:r>
        <w:rPr>
          <w:rStyle w:val="Funotenzeichen"/>
        </w:rPr>
        <w:footnoteRef/>
      </w:r>
      <w:r w:rsidRPr="00034991">
        <w:rPr>
          <w:lang w:val="en-US"/>
        </w:rPr>
        <w:t xml:space="preserve"> </w:t>
      </w:r>
      <w:r w:rsidRPr="009167A5">
        <w:rPr>
          <w:i/>
          <w:lang w:val="en-US"/>
        </w:rPr>
        <w:t>Late Corp. of Church of Jesus Christ v. United States</w:t>
      </w:r>
      <w:r w:rsidRPr="00034991">
        <w:rPr>
          <w:lang w:val="en-US"/>
        </w:rPr>
        <w:t>, 136 U.S. 1, 59</w:t>
      </w:r>
      <w:r w:rsidRPr="00EC5BEB">
        <w:rPr>
          <w:lang w:val="en-US"/>
        </w:rPr>
        <w:t xml:space="preserve"> = 10 S. Ct. </w:t>
      </w:r>
      <w:r w:rsidRPr="00034991">
        <w:rPr>
          <w:lang w:val="en-US"/>
        </w:rPr>
        <w:t>792, 808</w:t>
      </w:r>
      <w:r w:rsidRPr="006E67FE">
        <w:rPr>
          <w:lang w:val="en-US"/>
        </w:rPr>
        <w:t xml:space="preserve"> = 34 L. Ed. </w:t>
      </w:r>
      <w:r w:rsidRPr="00034991">
        <w:rPr>
          <w:lang w:val="en-US"/>
        </w:rPr>
        <w:t>478, 496</w:t>
      </w:r>
      <w:r w:rsidRPr="00EC5BEB">
        <w:rPr>
          <w:lang w:val="en-US"/>
        </w:rPr>
        <w:t xml:space="preserve"> = 1890 U.S. LEXIS </w:t>
      </w:r>
      <w:r w:rsidRPr="00034991">
        <w:rPr>
          <w:lang w:val="en-US"/>
        </w:rPr>
        <w:t>2199, 109 (1890)</w:t>
      </w:r>
      <w:r>
        <w:rPr>
          <w:lang w:val="en-US"/>
        </w:rPr>
        <w:t>.</w:t>
      </w:r>
    </w:p>
  </w:footnote>
  <w:footnote w:id="731">
    <w:p w14:paraId="436A31C5" w14:textId="77777777" w:rsidR="00074551" w:rsidRPr="00B74649" w:rsidRDefault="00074551" w:rsidP="00074551">
      <w:pPr>
        <w:pStyle w:val="Funotentext"/>
        <w:rPr>
          <w:lang w:val="en-US"/>
        </w:rPr>
      </w:pPr>
      <w:r w:rsidRPr="005D5028">
        <w:rPr>
          <w:rStyle w:val="Funotenzeichen"/>
        </w:rPr>
        <w:footnoteRef/>
      </w:r>
      <w:r w:rsidRPr="005D5028">
        <w:rPr>
          <w:lang w:val="en-US"/>
        </w:rPr>
        <w:t xml:space="preserve"> </w:t>
      </w:r>
      <w:r w:rsidRPr="009167A5">
        <w:rPr>
          <w:i/>
          <w:lang w:val="en-US"/>
        </w:rPr>
        <w:t>Brennan v. Titusville</w:t>
      </w:r>
      <w:r w:rsidRPr="00B74649">
        <w:rPr>
          <w:lang w:val="en-US"/>
        </w:rPr>
        <w:t>, 153 U.S. 289, 297</w:t>
      </w:r>
      <w:r>
        <w:rPr>
          <w:lang w:val="en-US"/>
        </w:rPr>
        <w:t xml:space="preserve"> = 14 S. Ct. </w:t>
      </w:r>
      <w:r w:rsidRPr="00B74649">
        <w:rPr>
          <w:lang w:val="en-US"/>
        </w:rPr>
        <w:t>829, 831</w:t>
      </w:r>
      <w:r>
        <w:rPr>
          <w:lang w:val="en-US"/>
        </w:rPr>
        <w:t xml:space="preserve"> = 38 L. Ed. </w:t>
      </w:r>
      <w:r w:rsidRPr="00B74649">
        <w:rPr>
          <w:lang w:val="en-US"/>
        </w:rPr>
        <w:t>719, 721</w:t>
      </w:r>
      <w:r>
        <w:rPr>
          <w:lang w:val="en-US"/>
        </w:rPr>
        <w:t xml:space="preserve"> = 1894 U.S. LEXIS </w:t>
      </w:r>
      <w:r w:rsidRPr="00B74649">
        <w:rPr>
          <w:lang w:val="en-US"/>
        </w:rPr>
        <w:t>2184, 5</w:t>
      </w:r>
      <w:r w:rsidRPr="006E67FE">
        <w:rPr>
          <w:lang w:val="en-US"/>
        </w:rPr>
        <w:t xml:space="preserve"> = 3 A.F.T.R. </w:t>
      </w:r>
      <w:r w:rsidRPr="00B74649">
        <w:rPr>
          <w:lang w:val="en-US"/>
        </w:rPr>
        <w:t>(P-H) 2550 (1894)</w:t>
      </w:r>
      <w:r>
        <w:rPr>
          <w:lang w:val="en-US"/>
        </w:rPr>
        <w:t>.</w:t>
      </w:r>
    </w:p>
  </w:footnote>
  <w:footnote w:id="732">
    <w:p w14:paraId="5C0422F7" w14:textId="77777777" w:rsidR="00074551" w:rsidRPr="005A6817" w:rsidRDefault="00074551" w:rsidP="00074551">
      <w:pPr>
        <w:pStyle w:val="Funotentext"/>
        <w:rPr>
          <w:lang w:val="en-US"/>
        </w:rPr>
      </w:pPr>
      <w:r>
        <w:rPr>
          <w:rStyle w:val="Funotenzeichen"/>
        </w:rPr>
        <w:footnoteRef/>
      </w:r>
      <w:r w:rsidRPr="005A6817">
        <w:rPr>
          <w:lang w:val="en-US"/>
        </w:rPr>
        <w:t xml:space="preserve"> </w:t>
      </w:r>
      <w:r w:rsidRPr="00B45592">
        <w:rPr>
          <w:i/>
          <w:lang w:val="en-US"/>
        </w:rPr>
        <w:t>Railroad Co. v. Husen</w:t>
      </w:r>
      <w:r w:rsidRPr="005A6817">
        <w:rPr>
          <w:lang w:val="en-US"/>
        </w:rPr>
        <w:t>, 95 U.S. 465</w:t>
      </w:r>
      <w:r>
        <w:rPr>
          <w:lang w:val="en-US"/>
        </w:rPr>
        <w:t xml:space="preserve"> (Richter</w:t>
      </w:r>
      <w:r w:rsidRPr="005A6817">
        <w:rPr>
          <w:lang w:val="en-US"/>
        </w:rPr>
        <w:t xml:space="preserve"> </w:t>
      </w:r>
      <w:r w:rsidRPr="00B45592">
        <w:rPr>
          <w:i/>
          <w:lang w:val="en-US"/>
        </w:rPr>
        <w:t>Strong</w:t>
      </w:r>
      <w:r>
        <w:rPr>
          <w:lang w:val="en-US"/>
        </w:rPr>
        <w:t xml:space="preserve">); </w:t>
      </w:r>
      <w:r w:rsidRPr="009167A5">
        <w:rPr>
          <w:i/>
          <w:lang w:val="en-US"/>
        </w:rPr>
        <w:t>Brennan v. Titusville</w:t>
      </w:r>
      <w:r w:rsidRPr="005A6817">
        <w:rPr>
          <w:lang w:val="en-US"/>
        </w:rPr>
        <w:t>, 153 U.S. 289, 300</w:t>
      </w:r>
      <w:r>
        <w:rPr>
          <w:lang w:val="en-US"/>
        </w:rPr>
        <w:t xml:space="preserve"> = 14 S. Ct. </w:t>
      </w:r>
      <w:r w:rsidRPr="005A6817">
        <w:rPr>
          <w:lang w:val="en-US"/>
        </w:rPr>
        <w:t>829, 832</w:t>
      </w:r>
      <w:r>
        <w:rPr>
          <w:lang w:val="en-US"/>
        </w:rPr>
        <w:t xml:space="preserve"> = 38 L. Ed. </w:t>
      </w:r>
      <w:r w:rsidRPr="005A6817">
        <w:rPr>
          <w:lang w:val="en-US"/>
        </w:rPr>
        <w:t>719, 722</w:t>
      </w:r>
      <w:r>
        <w:rPr>
          <w:lang w:val="en-US"/>
        </w:rPr>
        <w:t xml:space="preserve"> = 1894 U.S. LEXIS </w:t>
      </w:r>
      <w:r w:rsidRPr="005A6817">
        <w:rPr>
          <w:lang w:val="en-US"/>
        </w:rPr>
        <w:t>2184, 21</w:t>
      </w:r>
      <w:r w:rsidRPr="006E67FE">
        <w:rPr>
          <w:lang w:val="en-US"/>
        </w:rPr>
        <w:t xml:space="preserve"> = 3 A.F.T.R. </w:t>
      </w:r>
      <w:r w:rsidRPr="005A6817">
        <w:rPr>
          <w:lang w:val="en-US"/>
        </w:rPr>
        <w:t>(P-H) 2550 (1894)</w:t>
      </w:r>
      <w:r>
        <w:rPr>
          <w:lang w:val="en-US"/>
        </w:rPr>
        <w:t>.</w:t>
      </w:r>
    </w:p>
  </w:footnote>
  <w:footnote w:id="733">
    <w:p w14:paraId="25BE33C0" w14:textId="77777777" w:rsidR="00074551" w:rsidRPr="00510F01" w:rsidRDefault="00074551" w:rsidP="00074551">
      <w:pPr>
        <w:pStyle w:val="Funotentext"/>
        <w:rPr>
          <w:lang w:val="en-US"/>
        </w:rPr>
      </w:pPr>
      <w:r>
        <w:rPr>
          <w:rStyle w:val="Funotenzeichen"/>
        </w:rPr>
        <w:footnoteRef/>
      </w:r>
      <w:r w:rsidRPr="00510F01">
        <w:rPr>
          <w:lang w:val="en-US"/>
        </w:rPr>
        <w:t xml:space="preserve"> </w:t>
      </w:r>
      <w:r w:rsidRPr="00B45592">
        <w:rPr>
          <w:i/>
          <w:lang w:val="en-US"/>
        </w:rPr>
        <w:t>Robbins v. Shelby Taxing District</w:t>
      </w:r>
      <w:r w:rsidRPr="00510F01">
        <w:rPr>
          <w:lang w:val="en-US"/>
        </w:rPr>
        <w:t>, 120 U.S. 489</w:t>
      </w:r>
      <w:r>
        <w:rPr>
          <w:lang w:val="en-US"/>
        </w:rPr>
        <w:t xml:space="preserve">; </w:t>
      </w:r>
      <w:r w:rsidRPr="009167A5">
        <w:rPr>
          <w:i/>
          <w:lang w:val="en-US"/>
        </w:rPr>
        <w:t>Brennan v. Titusville</w:t>
      </w:r>
      <w:r w:rsidRPr="00510F01">
        <w:rPr>
          <w:lang w:val="en-US"/>
        </w:rPr>
        <w:t>, 153 U.S. 289, 297</w:t>
      </w:r>
      <w:r>
        <w:rPr>
          <w:lang w:val="en-US"/>
        </w:rPr>
        <w:t xml:space="preserve"> = 14 S. Ct. </w:t>
      </w:r>
      <w:r w:rsidRPr="00510F01">
        <w:rPr>
          <w:lang w:val="en-US"/>
        </w:rPr>
        <w:t>829, 831</w:t>
      </w:r>
      <w:r>
        <w:rPr>
          <w:lang w:val="en-US"/>
        </w:rPr>
        <w:t xml:space="preserve"> = 38 L. Ed. </w:t>
      </w:r>
      <w:r w:rsidRPr="00510F01">
        <w:rPr>
          <w:lang w:val="en-US"/>
        </w:rPr>
        <w:t>719, 721</w:t>
      </w:r>
      <w:r>
        <w:rPr>
          <w:lang w:val="en-US"/>
        </w:rPr>
        <w:t xml:space="preserve"> = 1894 U.S. LEXIS </w:t>
      </w:r>
      <w:r w:rsidRPr="00510F01">
        <w:rPr>
          <w:lang w:val="en-US"/>
        </w:rPr>
        <w:t>2184, 14</w:t>
      </w:r>
      <w:r w:rsidRPr="006E67FE">
        <w:rPr>
          <w:lang w:val="en-US"/>
        </w:rPr>
        <w:t xml:space="preserve"> = 3 A.F.T.R. </w:t>
      </w:r>
      <w:r w:rsidRPr="00510F01">
        <w:rPr>
          <w:lang w:val="en-US"/>
        </w:rPr>
        <w:t>(P-H) 2550 (1894)</w:t>
      </w:r>
      <w:r>
        <w:rPr>
          <w:lang w:val="en-US"/>
        </w:rPr>
        <w:t>.</w:t>
      </w:r>
    </w:p>
  </w:footnote>
  <w:footnote w:id="734">
    <w:p w14:paraId="0CD4144F" w14:textId="77777777" w:rsidR="00074551" w:rsidRPr="001524A5" w:rsidRDefault="00074551" w:rsidP="00074551">
      <w:pPr>
        <w:pStyle w:val="Funotentext"/>
        <w:rPr>
          <w:lang w:val="en-US"/>
        </w:rPr>
      </w:pPr>
      <w:r w:rsidRPr="005D5028">
        <w:rPr>
          <w:rStyle w:val="Funotenzeichen"/>
        </w:rPr>
        <w:footnoteRef/>
      </w:r>
      <w:r w:rsidRPr="005D5028">
        <w:rPr>
          <w:lang w:val="en-US"/>
        </w:rPr>
        <w:t xml:space="preserve"> </w:t>
      </w:r>
      <w:r w:rsidRPr="009167A5">
        <w:rPr>
          <w:i/>
          <w:lang w:val="en-US"/>
        </w:rPr>
        <w:t>Brennan v. Titusville</w:t>
      </w:r>
      <w:r w:rsidRPr="001524A5">
        <w:rPr>
          <w:lang w:val="en-US"/>
        </w:rPr>
        <w:t>, 153 U.S. 289, 297</w:t>
      </w:r>
      <w:r>
        <w:rPr>
          <w:lang w:val="en-US"/>
        </w:rPr>
        <w:t xml:space="preserve"> = 14 S. Ct. </w:t>
      </w:r>
      <w:r w:rsidRPr="001524A5">
        <w:rPr>
          <w:lang w:val="en-US"/>
        </w:rPr>
        <w:t>829, 831</w:t>
      </w:r>
      <w:r>
        <w:rPr>
          <w:lang w:val="en-US"/>
        </w:rPr>
        <w:t xml:space="preserve"> = 38 L. Ed. </w:t>
      </w:r>
      <w:r w:rsidRPr="001524A5">
        <w:rPr>
          <w:lang w:val="en-US"/>
        </w:rPr>
        <w:t>719, 721</w:t>
      </w:r>
      <w:r>
        <w:rPr>
          <w:lang w:val="en-US"/>
        </w:rPr>
        <w:t xml:space="preserve"> = 1894 U.S. LEXIS </w:t>
      </w:r>
      <w:r w:rsidRPr="001524A5">
        <w:rPr>
          <w:lang w:val="en-US"/>
        </w:rPr>
        <w:t>2184, 14</w:t>
      </w:r>
      <w:r w:rsidRPr="006E67FE">
        <w:rPr>
          <w:lang w:val="en-US"/>
        </w:rPr>
        <w:t xml:space="preserve"> = 3 A.F.T.R. </w:t>
      </w:r>
      <w:r w:rsidRPr="001524A5">
        <w:rPr>
          <w:lang w:val="en-US"/>
        </w:rPr>
        <w:t>(P-H) 2550 (1894)</w:t>
      </w:r>
      <w:r>
        <w:rPr>
          <w:lang w:val="en-US"/>
        </w:rPr>
        <w:t>.</w:t>
      </w:r>
    </w:p>
  </w:footnote>
  <w:footnote w:id="735">
    <w:p w14:paraId="3F1BE015" w14:textId="77777777" w:rsidR="00074551" w:rsidRPr="0099370E" w:rsidRDefault="00074551" w:rsidP="00074551">
      <w:pPr>
        <w:pStyle w:val="Funotentext"/>
        <w:rPr>
          <w:lang w:val="en-US"/>
        </w:rPr>
      </w:pPr>
      <w:r>
        <w:rPr>
          <w:rStyle w:val="Funotenzeichen"/>
        </w:rPr>
        <w:footnoteRef/>
      </w:r>
      <w:r w:rsidRPr="0099370E">
        <w:rPr>
          <w:lang w:val="en-US"/>
        </w:rPr>
        <w:t xml:space="preserve"> </w:t>
      </w:r>
      <w:r>
        <w:rPr>
          <w:lang w:val="en-US"/>
        </w:rPr>
        <w:t>„</w:t>
      </w:r>
      <w:r w:rsidRPr="0099370E">
        <w:rPr>
          <w:lang w:val="en-US"/>
        </w:rPr>
        <w:t xml:space="preserve">The Wilson Act (Act), 26 Stat. 313 (1890), provides that intoxicating liquors, when transported into another state or territory, should, upon arrival therein, be subject to the operation and effect of the laws of such state or territory, enacted in the exercise of its police powers, to the same extent and in the same manner as though such liquors are produced in said state or territory. By virtue of said Act, state statutes might operate upon the original packages of intoxicating liquors before sale in the state. A state statute must permit the delivery of the liquors to the party to whom they are consigned within the state, but, after such delivery, the state has power to prevent the sale of the liquors, even in the original </w:t>
      </w:r>
      <w:proofErr w:type="gramStart"/>
      <w:r w:rsidRPr="0099370E">
        <w:rPr>
          <w:lang w:val="en-US"/>
        </w:rPr>
        <w:t>package“</w:t>
      </w:r>
      <w:proofErr w:type="gramEnd"/>
      <w:r w:rsidRPr="0099370E">
        <w:rPr>
          <w:lang w:val="en-US"/>
        </w:rPr>
        <w:t>,</w:t>
      </w:r>
      <w:r>
        <w:rPr>
          <w:lang w:val="en-US"/>
        </w:rPr>
        <w:t xml:space="preserve"> </w:t>
      </w:r>
      <w:r w:rsidRPr="009167A5">
        <w:rPr>
          <w:i/>
          <w:lang w:val="en-US"/>
        </w:rPr>
        <w:t>Foppiano v. Speed</w:t>
      </w:r>
      <w:r w:rsidRPr="0099370E">
        <w:rPr>
          <w:lang w:val="en-US"/>
        </w:rPr>
        <w:t>, 199 U.S. 501, 516</w:t>
      </w:r>
      <w:r w:rsidRPr="006E67FE">
        <w:rPr>
          <w:lang w:val="en-US"/>
        </w:rPr>
        <w:t xml:space="preserve"> = 26 S. Ct. </w:t>
      </w:r>
      <w:r w:rsidRPr="0099370E">
        <w:rPr>
          <w:lang w:val="en-US"/>
        </w:rPr>
        <w:t>138, 140</w:t>
      </w:r>
      <w:r w:rsidRPr="006E67FE">
        <w:rPr>
          <w:lang w:val="en-US"/>
        </w:rPr>
        <w:t xml:space="preserve"> = 50 L. Ed. </w:t>
      </w:r>
      <w:r w:rsidRPr="0099370E">
        <w:rPr>
          <w:lang w:val="en-US"/>
        </w:rPr>
        <w:t>288, 290</w:t>
      </w:r>
      <w:r w:rsidRPr="006E67FE">
        <w:rPr>
          <w:lang w:val="en-US"/>
        </w:rPr>
        <w:t xml:space="preserve"> = 1905 U.S. LEXIS </w:t>
      </w:r>
      <w:r w:rsidRPr="0099370E">
        <w:rPr>
          <w:lang w:val="en-US"/>
        </w:rPr>
        <w:t>994, 1 (1905)</w:t>
      </w:r>
      <w:r>
        <w:rPr>
          <w:lang w:val="en-US"/>
        </w:rPr>
        <w:t>.</w:t>
      </w:r>
    </w:p>
  </w:footnote>
  <w:footnote w:id="736">
    <w:p w14:paraId="2B70671D" w14:textId="77777777" w:rsidR="00074551" w:rsidRPr="0099370E" w:rsidRDefault="00074551" w:rsidP="00074551">
      <w:pPr>
        <w:pStyle w:val="Funotentext"/>
        <w:rPr>
          <w:lang w:val="en-US"/>
        </w:rPr>
      </w:pPr>
      <w:r>
        <w:rPr>
          <w:rStyle w:val="Funotenzeichen"/>
        </w:rPr>
        <w:footnoteRef/>
      </w:r>
      <w:r w:rsidRPr="0099370E">
        <w:rPr>
          <w:lang w:val="en-US"/>
        </w:rPr>
        <w:t xml:space="preserve"> </w:t>
      </w:r>
      <w:r w:rsidRPr="009167A5">
        <w:rPr>
          <w:i/>
          <w:lang w:val="en-US"/>
        </w:rPr>
        <w:t>Foppiano v. Speed</w:t>
      </w:r>
      <w:r w:rsidRPr="0099370E">
        <w:rPr>
          <w:lang w:val="en-US"/>
        </w:rPr>
        <w:t>, 199 U.S. 501, 516</w:t>
      </w:r>
      <w:r w:rsidRPr="006E67FE">
        <w:rPr>
          <w:lang w:val="en-US"/>
        </w:rPr>
        <w:t xml:space="preserve"> = 26 S. Ct. </w:t>
      </w:r>
      <w:r w:rsidRPr="0099370E">
        <w:rPr>
          <w:lang w:val="en-US"/>
        </w:rPr>
        <w:t>138, 140</w:t>
      </w:r>
      <w:r w:rsidRPr="006E67FE">
        <w:rPr>
          <w:lang w:val="en-US"/>
        </w:rPr>
        <w:t xml:space="preserve"> = 50 L. Ed. </w:t>
      </w:r>
      <w:r w:rsidRPr="0099370E">
        <w:rPr>
          <w:lang w:val="en-US"/>
        </w:rPr>
        <w:t>288, 290</w:t>
      </w:r>
      <w:r w:rsidRPr="006E67FE">
        <w:rPr>
          <w:lang w:val="en-US"/>
        </w:rPr>
        <w:t xml:space="preserve"> = 1905 U.S. LEXIS </w:t>
      </w:r>
      <w:r w:rsidRPr="0099370E">
        <w:rPr>
          <w:lang w:val="en-US"/>
        </w:rPr>
        <w:t>994, 28 (1905)</w:t>
      </w:r>
      <w:r>
        <w:rPr>
          <w:lang w:val="en-US"/>
        </w:rPr>
        <w:t>.</w:t>
      </w:r>
    </w:p>
  </w:footnote>
  <w:footnote w:id="737">
    <w:p w14:paraId="12308314" w14:textId="77777777" w:rsidR="00074551" w:rsidRPr="007D5826" w:rsidRDefault="00074551" w:rsidP="00074551">
      <w:pPr>
        <w:pStyle w:val="Funotentext"/>
        <w:rPr>
          <w:lang w:val="en-US"/>
        </w:rPr>
      </w:pPr>
      <w:r>
        <w:rPr>
          <w:rStyle w:val="Funotenzeichen"/>
        </w:rPr>
        <w:footnoteRef/>
      </w:r>
      <w:r w:rsidRPr="007D5826">
        <w:rPr>
          <w:lang w:val="en-US"/>
        </w:rPr>
        <w:t xml:space="preserve"> </w:t>
      </w:r>
      <w:r w:rsidRPr="009167A5">
        <w:rPr>
          <w:i/>
          <w:lang w:val="en-US"/>
        </w:rPr>
        <w:t>Foppiano v. Speed</w:t>
      </w:r>
      <w:r w:rsidRPr="007D5826">
        <w:rPr>
          <w:lang w:val="en-US"/>
        </w:rPr>
        <w:t>, 199 U.S. 501, 517</w:t>
      </w:r>
      <w:r w:rsidRPr="006E67FE">
        <w:rPr>
          <w:lang w:val="en-US"/>
        </w:rPr>
        <w:t xml:space="preserve"> = 26 S. Ct. </w:t>
      </w:r>
      <w:r w:rsidRPr="007D5826">
        <w:rPr>
          <w:lang w:val="en-US"/>
        </w:rPr>
        <w:t>138, 140</w:t>
      </w:r>
      <w:r w:rsidRPr="006E67FE">
        <w:rPr>
          <w:lang w:val="en-US"/>
        </w:rPr>
        <w:t xml:space="preserve"> = 50 L. Ed. </w:t>
      </w:r>
      <w:r w:rsidRPr="007D5826">
        <w:rPr>
          <w:lang w:val="en-US"/>
        </w:rPr>
        <w:t>288, 291</w:t>
      </w:r>
      <w:r w:rsidRPr="006E67FE">
        <w:rPr>
          <w:lang w:val="en-US"/>
        </w:rPr>
        <w:t xml:space="preserve"> = 1905 U.S. LEXIS </w:t>
      </w:r>
      <w:r w:rsidRPr="007D5826">
        <w:rPr>
          <w:lang w:val="en-US"/>
        </w:rPr>
        <w:t>994, 30 (1905)</w:t>
      </w:r>
      <w:r>
        <w:rPr>
          <w:lang w:val="en-US"/>
        </w:rPr>
        <w:t>.</w:t>
      </w:r>
    </w:p>
  </w:footnote>
  <w:footnote w:id="738">
    <w:p w14:paraId="6A214AF0" w14:textId="77777777" w:rsidR="00074551" w:rsidRPr="00736561" w:rsidRDefault="00074551" w:rsidP="00074551">
      <w:pPr>
        <w:pStyle w:val="Funotentext"/>
        <w:rPr>
          <w:lang w:val="en-US"/>
        </w:rPr>
      </w:pPr>
      <w:r>
        <w:rPr>
          <w:rStyle w:val="Funotenzeichen"/>
        </w:rPr>
        <w:footnoteRef/>
      </w:r>
      <w:r w:rsidRPr="00736561">
        <w:rPr>
          <w:lang w:val="en-US"/>
        </w:rPr>
        <w:t xml:space="preserve"> </w:t>
      </w:r>
      <w:r w:rsidRPr="009167A5">
        <w:rPr>
          <w:i/>
          <w:lang w:val="en-US"/>
        </w:rPr>
        <w:t>Foppiano v. Speed</w:t>
      </w:r>
      <w:r w:rsidRPr="00736561">
        <w:rPr>
          <w:lang w:val="en-US"/>
        </w:rPr>
        <w:t>, 199 U.S. 501, 516</w:t>
      </w:r>
      <w:r w:rsidRPr="006E67FE">
        <w:rPr>
          <w:lang w:val="en-US"/>
        </w:rPr>
        <w:t xml:space="preserve"> = 26 S. Ct. </w:t>
      </w:r>
      <w:r w:rsidRPr="00736561">
        <w:rPr>
          <w:lang w:val="en-US"/>
        </w:rPr>
        <w:t>138, 140</w:t>
      </w:r>
      <w:r w:rsidRPr="006E67FE">
        <w:rPr>
          <w:lang w:val="en-US"/>
        </w:rPr>
        <w:t xml:space="preserve"> = 50 L. Ed. </w:t>
      </w:r>
      <w:r w:rsidRPr="00736561">
        <w:rPr>
          <w:lang w:val="en-US"/>
        </w:rPr>
        <w:t>288, 290</w:t>
      </w:r>
      <w:r w:rsidRPr="006E67FE">
        <w:rPr>
          <w:lang w:val="en-US"/>
        </w:rPr>
        <w:t xml:space="preserve"> = 1905 U.S. LEXIS </w:t>
      </w:r>
      <w:r w:rsidRPr="00736561">
        <w:rPr>
          <w:lang w:val="en-US"/>
        </w:rPr>
        <w:t>994, 22 (1905)</w:t>
      </w:r>
      <w:r>
        <w:rPr>
          <w:lang w:val="en-US"/>
        </w:rPr>
        <w:t>.</w:t>
      </w:r>
    </w:p>
  </w:footnote>
  <w:footnote w:id="739">
    <w:p w14:paraId="1A44CDA1" w14:textId="77777777" w:rsidR="00074551" w:rsidRPr="00736561" w:rsidRDefault="00074551" w:rsidP="00074551">
      <w:pPr>
        <w:pStyle w:val="Funotentext"/>
        <w:jc w:val="both"/>
        <w:rPr>
          <w:lang w:val="en-US"/>
        </w:rPr>
      </w:pPr>
      <w:r>
        <w:rPr>
          <w:rStyle w:val="Funotenzeichen"/>
        </w:rPr>
        <w:footnoteRef/>
      </w:r>
      <w:r w:rsidRPr="00736561">
        <w:rPr>
          <w:lang w:val="en-US"/>
        </w:rPr>
        <w:t xml:space="preserve"> </w:t>
      </w:r>
      <w:proofErr w:type="spellStart"/>
      <w:r w:rsidRPr="00584023">
        <w:rPr>
          <w:i/>
          <w:lang w:val="en-US"/>
        </w:rPr>
        <w:t>Bartemeyer</w:t>
      </w:r>
      <w:proofErr w:type="spellEnd"/>
      <w:r w:rsidRPr="00584023">
        <w:rPr>
          <w:i/>
          <w:lang w:val="en-US"/>
        </w:rPr>
        <w:t xml:space="preserve"> v. Iowa</w:t>
      </w:r>
      <w:r>
        <w:rPr>
          <w:lang w:val="en-US"/>
        </w:rPr>
        <w:t>,</w:t>
      </w:r>
      <w:r w:rsidRPr="003B741A">
        <w:rPr>
          <w:lang w:val="en-US"/>
        </w:rPr>
        <w:t xml:space="preserve"> 18 Wall. </w:t>
      </w:r>
      <w:r w:rsidRPr="00736561">
        <w:rPr>
          <w:lang w:val="en-US"/>
        </w:rPr>
        <w:t xml:space="preserve">133; </w:t>
      </w:r>
      <w:proofErr w:type="spellStart"/>
      <w:r w:rsidRPr="00B45592">
        <w:rPr>
          <w:i/>
          <w:lang w:val="en-US"/>
        </w:rPr>
        <w:t>Giozza</w:t>
      </w:r>
      <w:proofErr w:type="spellEnd"/>
      <w:r w:rsidRPr="00B45592">
        <w:rPr>
          <w:i/>
          <w:lang w:val="en-US"/>
        </w:rPr>
        <w:t xml:space="preserve"> v. Tiernan</w:t>
      </w:r>
      <w:r w:rsidRPr="00736561">
        <w:rPr>
          <w:lang w:val="en-US"/>
        </w:rPr>
        <w:t>, 148 U.S. 661</w:t>
      </w:r>
      <w:r>
        <w:rPr>
          <w:lang w:val="en-US"/>
        </w:rPr>
        <w:t xml:space="preserve">; </w:t>
      </w:r>
      <w:r w:rsidRPr="009167A5">
        <w:rPr>
          <w:i/>
          <w:lang w:val="en-US"/>
        </w:rPr>
        <w:t>Foppiano v. Speed</w:t>
      </w:r>
      <w:r w:rsidRPr="00736561">
        <w:rPr>
          <w:lang w:val="en-US"/>
        </w:rPr>
        <w:t>, 199 U.S. 501, 516</w:t>
      </w:r>
      <w:r w:rsidRPr="006E67FE">
        <w:rPr>
          <w:lang w:val="en-US"/>
        </w:rPr>
        <w:t xml:space="preserve"> = 26 S. Ct. </w:t>
      </w:r>
      <w:r w:rsidRPr="00736561">
        <w:rPr>
          <w:lang w:val="en-US"/>
        </w:rPr>
        <w:t>138, 140</w:t>
      </w:r>
      <w:r w:rsidRPr="006E67FE">
        <w:rPr>
          <w:lang w:val="en-US"/>
        </w:rPr>
        <w:t xml:space="preserve"> = 50 L. Ed. </w:t>
      </w:r>
      <w:r w:rsidRPr="00736561">
        <w:rPr>
          <w:lang w:val="en-US"/>
        </w:rPr>
        <w:t>288, 290</w:t>
      </w:r>
      <w:r w:rsidRPr="006E67FE">
        <w:rPr>
          <w:lang w:val="en-US"/>
        </w:rPr>
        <w:t xml:space="preserve"> = 1905 U.S. LEXIS </w:t>
      </w:r>
      <w:r w:rsidRPr="00736561">
        <w:rPr>
          <w:lang w:val="en-US"/>
        </w:rPr>
        <w:t>994, 23 (1905)</w:t>
      </w:r>
      <w:r>
        <w:rPr>
          <w:lang w:val="en-US"/>
        </w:rPr>
        <w:t>.</w:t>
      </w:r>
    </w:p>
  </w:footnote>
  <w:footnote w:id="740">
    <w:p w14:paraId="5C91574D" w14:textId="77777777" w:rsidR="00074551" w:rsidRPr="0082227B" w:rsidRDefault="00074551" w:rsidP="00074551">
      <w:pPr>
        <w:pStyle w:val="Funotentext"/>
        <w:jc w:val="both"/>
        <w:rPr>
          <w:lang w:val="en-US"/>
        </w:rPr>
      </w:pPr>
      <w:r>
        <w:rPr>
          <w:rStyle w:val="Funotenzeichen"/>
        </w:rPr>
        <w:footnoteRef/>
      </w:r>
      <w:r w:rsidRPr="0082227B">
        <w:rPr>
          <w:lang w:val="en-US"/>
        </w:rPr>
        <w:t xml:space="preserve"> </w:t>
      </w:r>
      <w:proofErr w:type="spellStart"/>
      <w:r w:rsidRPr="00B45592">
        <w:rPr>
          <w:i/>
          <w:lang w:val="en-US"/>
        </w:rPr>
        <w:t>Theilan</w:t>
      </w:r>
      <w:proofErr w:type="spellEnd"/>
      <w:r w:rsidRPr="00B45592">
        <w:rPr>
          <w:i/>
          <w:lang w:val="en-US"/>
        </w:rPr>
        <w:t xml:space="preserve"> v. Porter</w:t>
      </w:r>
      <w:r w:rsidRPr="0082227B">
        <w:rPr>
          <w:lang w:val="en-US"/>
        </w:rPr>
        <w:t xml:space="preserve">, 14 Lea (Tenn.), 626; </w:t>
      </w:r>
      <w:r w:rsidRPr="00B45592">
        <w:rPr>
          <w:i/>
          <w:lang w:val="en-US"/>
        </w:rPr>
        <w:t>Webster v. State</w:t>
      </w:r>
      <w:r w:rsidRPr="0082227B">
        <w:rPr>
          <w:lang w:val="en-US"/>
        </w:rPr>
        <w:t xml:space="preserve">, 110 Tennessee, 491, 504, 505; </w:t>
      </w:r>
      <w:proofErr w:type="spellStart"/>
      <w:r w:rsidRPr="00584023">
        <w:rPr>
          <w:i/>
          <w:lang w:val="en-US"/>
        </w:rPr>
        <w:t>Bartemeyer</w:t>
      </w:r>
      <w:proofErr w:type="spellEnd"/>
      <w:r w:rsidRPr="00584023">
        <w:rPr>
          <w:i/>
          <w:lang w:val="en-US"/>
        </w:rPr>
        <w:t xml:space="preserve"> v. Iowa</w:t>
      </w:r>
      <w:r>
        <w:rPr>
          <w:lang w:val="en-US"/>
        </w:rPr>
        <w:t>,</w:t>
      </w:r>
      <w:r w:rsidRPr="003B741A">
        <w:rPr>
          <w:lang w:val="en-US"/>
        </w:rPr>
        <w:t xml:space="preserve"> 18 Wall. </w:t>
      </w:r>
      <w:r w:rsidRPr="0082227B">
        <w:rPr>
          <w:lang w:val="en-US"/>
        </w:rPr>
        <w:t xml:space="preserve">133; </w:t>
      </w:r>
      <w:r w:rsidRPr="00B45592">
        <w:rPr>
          <w:i/>
          <w:lang w:val="en-US"/>
        </w:rPr>
        <w:t>Boston Beer Co. v. Massachusetts</w:t>
      </w:r>
      <w:r w:rsidRPr="0082227B">
        <w:rPr>
          <w:lang w:val="en-US"/>
        </w:rPr>
        <w:t xml:space="preserve">, 97 U.S. 25; </w:t>
      </w:r>
      <w:proofErr w:type="spellStart"/>
      <w:r w:rsidRPr="00B45592">
        <w:rPr>
          <w:i/>
          <w:lang w:val="en-US"/>
        </w:rPr>
        <w:t>Eilenbacker</w:t>
      </w:r>
      <w:proofErr w:type="spellEnd"/>
      <w:r w:rsidRPr="00B45592">
        <w:rPr>
          <w:i/>
          <w:lang w:val="en-US"/>
        </w:rPr>
        <w:t xml:space="preserve"> v. Plymouth Co.</w:t>
      </w:r>
      <w:r w:rsidRPr="0082227B">
        <w:rPr>
          <w:lang w:val="en-US"/>
        </w:rPr>
        <w:t>, 134 U.S. 31</w:t>
      </w:r>
      <w:r>
        <w:rPr>
          <w:lang w:val="en-US"/>
        </w:rPr>
        <w:t xml:space="preserve">; </w:t>
      </w:r>
      <w:r w:rsidRPr="009167A5">
        <w:rPr>
          <w:i/>
          <w:lang w:val="en-US"/>
        </w:rPr>
        <w:t>Foppiano v. Speed</w:t>
      </w:r>
      <w:r w:rsidRPr="0082227B">
        <w:rPr>
          <w:lang w:val="en-US"/>
        </w:rPr>
        <w:t>, 199 U.S. 501, 516</w:t>
      </w:r>
      <w:r w:rsidRPr="006E67FE">
        <w:rPr>
          <w:lang w:val="en-US"/>
        </w:rPr>
        <w:t xml:space="preserve"> = 26 S. Ct. </w:t>
      </w:r>
      <w:r w:rsidRPr="0082227B">
        <w:rPr>
          <w:lang w:val="en-US"/>
        </w:rPr>
        <w:t>138, 140</w:t>
      </w:r>
      <w:r w:rsidRPr="006E67FE">
        <w:rPr>
          <w:lang w:val="en-US"/>
        </w:rPr>
        <w:t xml:space="preserve"> = 50 L. Ed. </w:t>
      </w:r>
      <w:r w:rsidRPr="0082227B">
        <w:rPr>
          <w:lang w:val="en-US"/>
        </w:rPr>
        <w:t>288, 290</w:t>
      </w:r>
      <w:r w:rsidRPr="006E67FE">
        <w:rPr>
          <w:lang w:val="en-US"/>
        </w:rPr>
        <w:t xml:space="preserve"> = 1905 U.S. LEXIS </w:t>
      </w:r>
      <w:r w:rsidRPr="0082227B">
        <w:rPr>
          <w:lang w:val="en-US"/>
        </w:rPr>
        <w:t>994, 24 (1905)</w:t>
      </w:r>
      <w:r>
        <w:rPr>
          <w:lang w:val="en-US"/>
        </w:rPr>
        <w:t>.</w:t>
      </w:r>
    </w:p>
  </w:footnote>
  <w:footnote w:id="741">
    <w:p w14:paraId="4ECF1F8E" w14:textId="77777777" w:rsidR="00074551" w:rsidRPr="002B5872" w:rsidRDefault="00074551" w:rsidP="00074551">
      <w:pPr>
        <w:pStyle w:val="Funotentext"/>
        <w:rPr>
          <w:lang w:val="en-US"/>
        </w:rPr>
      </w:pPr>
      <w:r>
        <w:rPr>
          <w:rStyle w:val="Funotenzeichen"/>
        </w:rPr>
        <w:footnoteRef/>
      </w:r>
      <w:r w:rsidRPr="002B5872">
        <w:rPr>
          <w:lang w:val="en-US"/>
        </w:rPr>
        <w:t xml:space="preserve"> </w:t>
      </w:r>
      <w:r>
        <w:rPr>
          <w:lang w:val="en-US"/>
        </w:rPr>
        <w:t>„</w:t>
      </w:r>
      <w:r w:rsidRPr="002B5872">
        <w:rPr>
          <w:lang w:val="en-US"/>
        </w:rPr>
        <w:t xml:space="preserve">March 8th, 1869, </w:t>
      </w:r>
      <w:proofErr w:type="gramStart"/>
      <w:r w:rsidRPr="002B5872">
        <w:rPr>
          <w:lang w:val="en-US"/>
        </w:rPr>
        <w:t xml:space="preserve">entitled </w:t>
      </w:r>
      <w:r>
        <w:rPr>
          <w:lang w:val="en-US"/>
        </w:rPr>
        <w:t>,</w:t>
      </w:r>
      <w:r w:rsidRPr="002B5872">
        <w:rPr>
          <w:lang w:val="en-US"/>
        </w:rPr>
        <w:t>An</w:t>
      </w:r>
      <w:proofErr w:type="gramEnd"/>
      <w:r w:rsidRPr="002B5872">
        <w:rPr>
          <w:lang w:val="en-US"/>
        </w:rPr>
        <w:t xml:space="preserve"> act to protect the health of the city of New Orleans, to locate the stock-landing and slaughter-houses, and to incorporate the Crescent City Live-Stock Landing and Slaughter-House </w:t>
      </w:r>
      <w:proofErr w:type="gramStart"/>
      <w:r w:rsidRPr="002B5872">
        <w:rPr>
          <w:lang w:val="en-US"/>
        </w:rPr>
        <w:t>Company.</w:t>
      </w:r>
      <w:r>
        <w:rPr>
          <w:lang w:val="en-US"/>
        </w:rPr>
        <w:t>‘</w:t>
      </w:r>
      <w:proofErr w:type="gramEnd"/>
      <w:r>
        <w:rPr>
          <w:lang w:val="en-US"/>
        </w:rPr>
        <w:t xml:space="preserve">“, </w:t>
      </w:r>
      <w:r w:rsidRPr="00B45592">
        <w:rPr>
          <w:i/>
          <w:lang w:val="en-US"/>
        </w:rPr>
        <w:t>Butchers’ Union Slaughter-House &amp; Live-Stock Landing Co. v. Crescent City Live-Stock Landing &amp; Slaughter-House Co.</w:t>
      </w:r>
      <w:r w:rsidRPr="002B5872">
        <w:rPr>
          <w:lang w:val="en-US"/>
        </w:rPr>
        <w:t>, 111 U.S. 746, 747</w:t>
      </w:r>
      <w:r w:rsidRPr="006E67FE">
        <w:rPr>
          <w:lang w:val="en-US"/>
        </w:rPr>
        <w:t xml:space="preserve"> = 4 S. Ct. </w:t>
      </w:r>
      <w:r w:rsidRPr="002B5872">
        <w:rPr>
          <w:lang w:val="en-US"/>
        </w:rPr>
        <w:t>652, 652</w:t>
      </w:r>
      <w:r w:rsidRPr="006E67FE">
        <w:rPr>
          <w:lang w:val="en-US"/>
        </w:rPr>
        <w:t xml:space="preserve"> = 28 L. Ed. </w:t>
      </w:r>
      <w:r w:rsidRPr="002B5872">
        <w:rPr>
          <w:lang w:val="en-US"/>
        </w:rPr>
        <w:t>585, 585</w:t>
      </w:r>
      <w:r w:rsidRPr="006E67FE">
        <w:rPr>
          <w:lang w:val="en-US"/>
        </w:rPr>
        <w:t xml:space="preserve"> = 1884 U.S. LEXIS </w:t>
      </w:r>
      <w:r w:rsidRPr="002B5872">
        <w:rPr>
          <w:lang w:val="en-US"/>
        </w:rPr>
        <w:t>1831, 2 (1884)</w:t>
      </w:r>
      <w:r>
        <w:rPr>
          <w:lang w:val="en-US"/>
        </w:rPr>
        <w:t>.</w:t>
      </w:r>
    </w:p>
  </w:footnote>
  <w:footnote w:id="742">
    <w:p w14:paraId="7AFA6AB7" w14:textId="77777777" w:rsidR="00074551" w:rsidRPr="002B5872" w:rsidRDefault="00074551" w:rsidP="00074551">
      <w:pPr>
        <w:pStyle w:val="Funotentext"/>
        <w:rPr>
          <w:lang w:val="en-US"/>
        </w:rPr>
      </w:pPr>
      <w:r>
        <w:rPr>
          <w:rStyle w:val="Funotenzeichen"/>
        </w:rPr>
        <w:footnoteRef/>
      </w:r>
      <w:r w:rsidRPr="002B587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2B5872">
        <w:rPr>
          <w:lang w:val="en-US"/>
        </w:rPr>
        <w:t>, 111 U.S. 746, 746</w:t>
      </w:r>
      <w:r w:rsidRPr="006E67FE">
        <w:rPr>
          <w:lang w:val="en-US"/>
        </w:rPr>
        <w:t xml:space="preserve"> = 4 S. Ct. </w:t>
      </w:r>
      <w:r w:rsidRPr="002B5872">
        <w:rPr>
          <w:lang w:val="en-US"/>
        </w:rPr>
        <w:t>652, 652</w:t>
      </w:r>
      <w:r w:rsidRPr="006E67FE">
        <w:rPr>
          <w:lang w:val="en-US"/>
        </w:rPr>
        <w:t xml:space="preserve"> = 28 L. Ed. </w:t>
      </w:r>
      <w:r w:rsidRPr="002B5872">
        <w:rPr>
          <w:lang w:val="en-US"/>
        </w:rPr>
        <w:t>585, 585</w:t>
      </w:r>
      <w:r w:rsidRPr="006E67FE">
        <w:rPr>
          <w:lang w:val="en-US"/>
        </w:rPr>
        <w:t xml:space="preserve"> = 1884 U.S. LEXIS </w:t>
      </w:r>
      <w:r w:rsidRPr="002B5872">
        <w:rPr>
          <w:lang w:val="en-US"/>
        </w:rPr>
        <w:t>1831, 1 (1884)</w:t>
      </w:r>
      <w:r>
        <w:rPr>
          <w:lang w:val="en-US"/>
        </w:rPr>
        <w:t>.</w:t>
      </w:r>
    </w:p>
  </w:footnote>
  <w:footnote w:id="743">
    <w:p w14:paraId="73DCF067" w14:textId="77777777" w:rsidR="00074551" w:rsidRPr="00BD6179" w:rsidRDefault="00074551" w:rsidP="00074551">
      <w:pPr>
        <w:pStyle w:val="Funotentext"/>
        <w:rPr>
          <w:lang w:val="en-US"/>
        </w:rPr>
      </w:pPr>
      <w:r>
        <w:rPr>
          <w:rStyle w:val="Funotenzeichen"/>
        </w:rPr>
        <w:footnoteRef/>
      </w:r>
      <w:r w:rsidRPr="00BD6179">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BD6179">
        <w:rPr>
          <w:lang w:val="en-US"/>
        </w:rPr>
        <w:t>, 111 U.S. 746, 762</w:t>
      </w:r>
      <w:r w:rsidRPr="006E67FE">
        <w:rPr>
          <w:lang w:val="en-US"/>
        </w:rPr>
        <w:t xml:space="preserve"> = 4 S. Ct. </w:t>
      </w:r>
      <w:r w:rsidRPr="00BD6179">
        <w:rPr>
          <w:lang w:val="en-US"/>
        </w:rPr>
        <w:t>652, 657</w:t>
      </w:r>
      <w:r w:rsidRPr="006E67FE">
        <w:rPr>
          <w:lang w:val="en-US"/>
        </w:rPr>
        <w:t xml:space="preserve"> = 28 L. Ed. </w:t>
      </w:r>
      <w:r w:rsidRPr="00BD6179">
        <w:rPr>
          <w:lang w:val="en-US"/>
        </w:rPr>
        <w:t>585, 589</w:t>
      </w:r>
      <w:r w:rsidRPr="006E67FE">
        <w:rPr>
          <w:lang w:val="en-US"/>
        </w:rPr>
        <w:t xml:space="preserve"> = 1884 U.S. LEXIS </w:t>
      </w:r>
      <w:r w:rsidRPr="00BD6179">
        <w:rPr>
          <w:lang w:val="en-US"/>
        </w:rPr>
        <w:t>1831, 32 (1884)</w:t>
      </w:r>
      <w:r>
        <w:rPr>
          <w:lang w:val="en-US"/>
        </w:rPr>
        <w:t>.</w:t>
      </w:r>
    </w:p>
  </w:footnote>
  <w:footnote w:id="744">
    <w:p w14:paraId="7DFF9E45" w14:textId="77777777" w:rsidR="00074551" w:rsidRPr="00503C97" w:rsidRDefault="00074551" w:rsidP="00074551">
      <w:pPr>
        <w:pStyle w:val="Funotentext"/>
        <w:rPr>
          <w:lang w:val="en-US"/>
        </w:rPr>
      </w:pPr>
      <w:r>
        <w:rPr>
          <w:rStyle w:val="Funotenzeichen"/>
        </w:rPr>
        <w:footnoteRef/>
      </w:r>
      <w:r w:rsidRPr="00503C97">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503C97">
        <w:rPr>
          <w:lang w:val="en-US"/>
        </w:rPr>
        <w:t>, 111 U.S. 746, 759</w:t>
      </w:r>
      <w:r w:rsidRPr="006E67FE">
        <w:rPr>
          <w:lang w:val="en-US"/>
        </w:rPr>
        <w:t xml:space="preserve"> = 4 S. Ct. </w:t>
      </w:r>
      <w:r w:rsidRPr="00503C97">
        <w:rPr>
          <w:lang w:val="en-US"/>
        </w:rPr>
        <w:t>652, 662</w:t>
      </w:r>
      <w:r w:rsidRPr="006E67FE">
        <w:rPr>
          <w:lang w:val="en-US"/>
        </w:rPr>
        <w:t xml:space="preserve"> = 28 L. Ed. </w:t>
      </w:r>
      <w:r w:rsidRPr="00503C97">
        <w:rPr>
          <w:lang w:val="en-US"/>
        </w:rPr>
        <w:t>585, 592</w:t>
      </w:r>
      <w:r w:rsidRPr="006E67FE">
        <w:rPr>
          <w:lang w:val="en-US"/>
        </w:rPr>
        <w:t xml:space="preserve"> = 1884 U.S. LEXIS </w:t>
      </w:r>
      <w:r w:rsidRPr="00503C97">
        <w:rPr>
          <w:lang w:val="en-US"/>
        </w:rPr>
        <w:t>1831, 26 (1884)</w:t>
      </w:r>
      <w:r>
        <w:rPr>
          <w:lang w:val="en-US"/>
        </w:rPr>
        <w:t>.</w:t>
      </w:r>
    </w:p>
  </w:footnote>
  <w:footnote w:id="745">
    <w:p w14:paraId="5267AAD6" w14:textId="77777777" w:rsidR="00074551" w:rsidRPr="00503C97" w:rsidRDefault="00074551" w:rsidP="00074551">
      <w:pPr>
        <w:pStyle w:val="Funotentext"/>
        <w:rPr>
          <w:lang w:val="en-US"/>
        </w:rPr>
      </w:pPr>
      <w:r>
        <w:rPr>
          <w:rStyle w:val="Funotenzeichen"/>
        </w:rPr>
        <w:footnoteRef/>
      </w:r>
      <w:r w:rsidRPr="00503C97">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503C97">
        <w:rPr>
          <w:lang w:val="en-US"/>
        </w:rPr>
        <w:t>, 111 U.S. 746, 758</w:t>
      </w:r>
      <w:r w:rsidRPr="006E67FE">
        <w:rPr>
          <w:lang w:val="en-US"/>
        </w:rPr>
        <w:t xml:space="preserve"> = 4 S. Ct. </w:t>
      </w:r>
      <w:r w:rsidRPr="00503C97">
        <w:rPr>
          <w:lang w:val="en-US"/>
        </w:rPr>
        <w:t>652, 661</w:t>
      </w:r>
      <w:r w:rsidRPr="006E67FE">
        <w:rPr>
          <w:lang w:val="en-US"/>
        </w:rPr>
        <w:t xml:space="preserve"> = 28 L. Ed. </w:t>
      </w:r>
      <w:r w:rsidRPr="00503C97">
        <w:rPr>
          <w:lang w:val="en-US"/>
        </w:rPr>
        <w:t>585, 591</w:t>
      </w:r>
      <w:r w:rsidRPr="006E67FE">
        <w:rPr>
          <w:lang w:val="en-US"/>
        </w:rPr>
        <w:t xml:space="preserve"> = 1884 U.S. LEXIS </w:t>
      </w:r>
      <w:r w:rsidRPr="00503C97">
        <w:rPr>
          <w:lang w:val="en-US"/>
        </w:rPr>
        <w:t>1831, 23 (1884)</w:t>
      </w:r>
      <w:r>
        <w:rPr>
          <w:lang w:val="en-US"/>
        </w:rPr>
        <w:t>.</w:t>
      </w:r>
    </w:p>
  </w:footnote>
  <w:footnote w:id="746">
    <w:p w14:paraId="6E11B1A0" w14:textId="77777777" w:rsidR="00074551" w:rsidRPr="00190132" w:rsidRDefault="00074551" w:rsidP="00074551">
      <w:pPr>
        <w:pStyle w:val="Funotentext"/>
        <w:rPr>
          <w:lang w:val="en-US"/>
        </w:rPr>
      </w:pPr>
      <w:r>
        <w:rPr>
          <w:rStyle w:val="Funotenzeichen"/>
        </w:rPr>
        <w:footnoteRef/>
      </w:r>
      <w:r w:rsidRPr="0019013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90132">
        <w:rPr>
          <w:lang w:val="en-US"/>
        </w:rPr>
        <w:t>, 111 U.S. 746, 757</w:t>
      </w:r>
      <w:r w:rsidRPr="006E67FE">
        <w:rPr>
          <w:lang w:val="en-US"/>
        </w:rPr>
        <w:t xml:space="preserve"> = 4 S. Ct. </w:t>
      </w:r>
      <w:r w:rsidRPr="00190132">
        <w:rPr>
          <w:lang w:val="en-US"/>
        </w:rPr>
        <w:t>652, 660</w:t>
      </w:r>
      <w:r w:rsidRPr="006E67FE">
        <w:rPr>
          <w:lang w:val="en-US"/>
        </w:rPr>
        <w:t xml:space="preserve"> = 28 L. Ed. </w:t>
      </w:r>
      <w:r w:rsidRPr="00190132">
        <w:rPr>
          <w:lang w:val="en-US"/>
        </w:rPr>
        <w:t>585, 591</w:t>
      </w:r>
      <w:r w:rsidRPr="006E67FE">
        <w:rPr>
          <w:lang w:val="en-US"/>
        </w:rPr>
        <w:t xml:space="preserve"> = 1884 U.S. LEXIS </w:t>
      </w:r>
      <w:r w:rsidRPr="00190132">
        <w:rPr>
          <w:lang w:val="en-US"/>
        </w:rPr>
        <w:t>1831, 21 (1884)</w:t>
      </w:r>
      <w:r>
        <w:rPr>
          <w:lang w:val="en-US"/>
        </w:rPr>
        <w:t>.</w:t>
      </w:r>
    </w:p>
  </w:footnote>
  <w:footnote w:id="747">
    <w:p w14:paraId="37D837D1" w14:textId="77777777" w:rsidR="00074551" w:rsidRPr="009F103D" w:rsidRDefault="00074551" w:rsidP="00074551">
      <w:pPr>
        <w:pStyle w:val="Funotentext"/>
        <w:rPr>
          <w:lang w:val="en-US"/>
        </w:rPr>
      </w:pPr>
      <w:r>
        <w:rPr>
          <w:rStyle w:val="Funotenzeichen"/>
        </w:rPr>
        <w:footnoteRef/>
      </w:r>
      <w:r w:rsidRPr="009F103D">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9F103D">
        <w:rPr>
          <w:lang w:val="en-US"/>
        </w:rPr>
        <w:t>, 111 U.S. 746, 757</w:t>
      </w:r>
      <w:r w:rsidRPr="006E67FE">
        <w:rPr>
          <w:lang w:val="en-US"/>
        </w:rPr>
        <w:t xml:space="preserve"> = 4 S. Ct. </w:t>
      </w:r>
      <w:r w:rsidRPr="009F103D">
        <w:rPr>
          <w:lang w:val="en-US"/>
        </w:rPr>
        <w:t>652, 660</w:t>
      </w:r>
      <w:r w:rsidRPr="006E67FE">
        <w:rPr>
          <w:lang w:val="en-US"/>
        </w:rPr>
        <w:t xml:space="preserve"> = 28 L. Ed. </w:t>
      </w:r>
      <w:r w:rsidRPr="009F103D">
        <w:rPr>
          <w:lang w:val="en-US"/>
        </w:rPr>
        <w:t>585, 591</w:t>
      </w:r>
      <w:r w:rsidRPr="006E67FE">
        <w:rPr>
          <w:lang w:val="en-US"/>
        </w:rPr>
        <w:t xml:space="preserve"> = 1884 U.S. LEXIS </w:t>
      </w:r>
      <w:r w:rsidRPr="009F103D">
        <w:rPr>
          <w:lang w:val="en-US"/>
        </w:rPr>
        <w:t>1831, 21 (1884)</w:t>
      </w:r>
      <w:r>
        <w:rPr>
          <w:lang w:val="en-US"/>
        </w:rPr>
        <w:t>.</w:t>
      </w:r>
    </w:p>
  </w:footnote>
  <w:footnote w:id="748">
    <w:p w14:paraId="7CE22DF4"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3D7603">
        <w:rPr>
          <w:i/>
          <w:lang w:val="en-US"/>
        </w:rPr>
        <w:t xml:space="preserve">Butchers’ Union </w:t>
      </w:r>
      <w:proofErr w:type="gramStart"/>
      <w:r w:rsidRPr="003D7603">
        <w:rPr>
          <w:i/>
          <w:lang w:val="en-US"/>
        </w:rPr>
        <w:t>Slaughter-House</w:t>
      </w:r>
      <w:proofErr w:type="gramEnd"/>
      <w:r w:rsidRPr="003D7603">
        <w:rPr>
          <w:i/>
          <w:lang w:val="en-US"/>
        </w:rPr>
        <w:t xml:space="preserve"> &amp; Live-Stock Landing Co. v. Crescent City Live-Stock Landing &amp; Slaughter-House Co.</w:t>
      </w:r>
      <w:r w:rsidRPr="00190132">
        <w:rPr>
          <w:lang w:val="en-US"/>
        </w:rPr>
        <w:t xml:space="preserve">, </w:t>
      </w:r>
      <w:r w:rsidRPr="002E1FEE">
        <w:rPr>
          <w:lang w:val="en-IE"/>
        </w:rPr>
        <w:t>111 U.S. 746, 757</w:t>
      </w:r>
      <w:r w:rsidRPr="002E1FEE">
        <w:rPr>
          <w:rFonts w:eastAsiaTheme="majorEastAsia"/>
          <w:lang w:val="en-IE"/>
        </w:rPr>
        <w:t xml:space="preserve"> =</w:t>
      </w:r>
      <w:r w:rsidRPr="002E1FEE">
        <w:rPr>
          <w:lang w:val="en-IE"/>
        </w:rPr>
        <w:t xml:space="preserve"> 4 S. Ct. 652, 660</w:t>
      </w:r>
      <w:r w:rsidRPr="002E1FEE">
        <w:rPr>
          <w:rFonts w:eastAsiaTheme="majorEastAsia"/>
          <w:lang w:val="en-IE"/>
        </w:rPr>
        <w:t xml:space="preserve"> =</w:t>
      </w:r>
      <w:r w:rsidRPr="002E1FEE">
        <w:rPr>
          <w:lang w:val="en-IE"/>
        </w:rPr>
        <w:t xml:space="preserve"> 28 L. Ed. 585, 591</w:t>
      </w:r>
      <w:r w:rsidRPr="002E1FEE">
        <w:rPr>
          <w:rFonts w:eastAsiaTheme="majorEastAsia"/>
          <w:lang w:val="en-IE"/>
        </w:rPr>
        <w:t xml:space="preserve"> =</w:t>
      </w:r>
      <w:r w:rsidRPr="002E1FEE">
        <w:rPr>
          <w:lang w:val="en-IE"/>
        </w:rPr>
        <w:t xml:space="preserve"> 1884 U.S. LEXIS 1831, 21</w:t>
      </w:r>
      <w:r w:rsidRPr="002E1FEE">
        <w:rPr>
          <w:rFonts w:eastAsiaTheme="majorEastAsia"/>
          <w:lang w:val="en-IE"/>
        </w:rPr>
        <w:t>–</w:t>
      </w:r>
      <w:r w:rsidRPr="002E1FEE">
        <w:rPr>
          <w:lang w:val="en-IE"/>
        </w:rPr>
        <w:t>22 (1884).</w:t>
      </w:r>
    </w:p>
  </w:footnote>
  <w:footnote w:id="749">
    <w:p w14:paraId="0C09F277" w14:textId="77777777" w:rsidR="00074551" w:rsidRPr="00190132" w:rsidRDefault="00074551" w:rsidP="00074551">
      <w:pPr>
        <w:pStyle w:val="Funotentext"/>
        <w:rPr>
          <w:lang w:val="en-US"/>
        </w:rPr>
      </w:pPr>
      <w:r>
        <w:rPr>
          <w:rStyle w:val="Funotenzeichen"/>
        </w:rPr>
        <w:footnoteRef/>
      </w:r>
      <w:r w:rsidRPr="0019013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90132">
        <w:rPr>
          <w:lang w:val="en-US"/>
        </w:rPr>
        <w:t>, 111 U.S. 746, 757</w:t>
      </w:r>
      <w:r w:rsidRPr="006E67FE">
        <w:rPr>
          <w:lang w:val="en-US"/>
        </w:rPr>
        <w:t xml:space="preserve"> = 4 S. Ct. </w:t>
      </w:r>
      <w:r w:rsidRPr="00190132">
        <w:rPr>
          <w:lang w:val="en-US"/>
        </w:rPr>
        <w:t>652, 660</w:t>
      </w:r>
      <w:r w:rsidRPr="006E67FE">
        <w:rPr>
          <w:lang w:val="en-US"/>
        </w:rPr>
        <w:t xml:space="preserve"> = 28 L. Ed. </w:t>
      </w:r>
      <w:r w:rsidRPr="00190132">
        <w:rPr>
          <w:lang w:val="en-US"/>
        </w:rPr>
        <w:t>585, 591</w:t>
      </w:r>
      <w:r w:rsidRPr="006E67FE">
        <w:rPr>
          <w:lang w:val="en-US"/>
        </w:rPr>
        <w:t xml:space="preserve"> = 1884 U.S. LEXIS </w:t>
      </w:r>
      <w:r w:rsidRPr="00190132">
        <w:rPr>
          <w:lang w:val="en-US"/>
        </w:rPr>
        <w:t>1831, 21 (1884)</w:t>
      </w:r>
      <w:r>
        <w:rPr>
          <w:lang w:val="en-US"/>
        </w:rPr>
        <w:t>.</w:t>
      </w:r>
    </w:p>
  </w:footnote>
  <w:footnote w:id="750">
    <w:p w14:paraId="74A76644" w14:textId="77777777" w:rsidR="00074551" w:rsidRPr="00894689" w:rsidRDefault="00074551" w:rsidP="00074551">
      <w:pPr>
        <w:pStyle w:val="Funotentext"/>
        <w:rPr>
          <w:lang w:val="en-US"/>
        </w:rPr>
      </w:pPr>
      <w:r>
        <w:rPr>
          <w:rStyle w:val="Funotenzeichen"/>
        </w:rPr>
        <w:footnoteRef/>
      </w:r>
      <w:r w:rsidRPr="00894689">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894689">
        <w:rPr>
          <w:lang w:val="en-US"/>
        </w:rPr>
        <w:t>, 111 U.S. 746, 762</w:t>
      </w:r>
      <w:r w:rsidRPr="006E67FE">
        <w:rPr>
          <w:lang w:val="en-US"/>
        </w:rPr>
        <w:t xml:space="preserve"> = 4 S. Ct. </w:t>
      </w:r>
      <w:r w:rsidRPr="00894689">
        <w:rPr>
          <w:lang w:val="en-US"/>
        </w:rPr>
        <w:t>652, 657</w:t>
      </w:r>
      <w:r w:rsidRPr="006E67FE">
        <w:rPr>
          <w:lang w:val="en-US"/>
        </w:rPr>
        <w:t xml:space="preserve"> = 28 L. Ed. </w:t>
      </w:r>
      <w:r w:rsidRPr="00894689">
        <w:rPr>
          <w:lang w:val="en-US"/>
        </w:rPr>
        <w:t>585, 589</w:t>
      </w:r>
      <w:r w:rsidRPr="006E67FE">
        <w:rPr>
          <w:lang w:val="en-US"/>
        </w:rPr>
        <w:t xml:space="preserve"> = 1884 U.S. LEXIS </w:t>
      </w:r>
      <w:r w:rsidRPr="00894689">
        <w:rPr>
          <w:lang w:val="en-US"/>
        </w:rPr>
        <w:t>1831, 32 (1884)</w:t>
      </w:r>
      <w:r>
        <w:rPr>
          <w:lang w:val="en-US"/>
        </w:rPr>
        <w:t>.</w:t>
      </w:r>
    </w:p>
  </w:footnote>
  <w:footnote w:id="751">
    <w:p w14:paraId="550B30E5" w14:textId="77777777" w:rsidR="00074551" w:rsidRPr="00190132" w:rsidRDefault="00074551" w:rsidP="00074551">
      <w:pPr>
        <w:pStyle w:val="Funotentext"/>
        <w:rPr>
          <w:lang w:val="en-US"/>
        </w:rPr>
      </w:pPr>
      <w:r>
        <w:rPr>
          <w:rStyle w:val="Funotenzeichen"/>
        </w:rPr>
        <w:footnoteRef/>
      </w:r>
      <w:r w:rsidRPr="0019013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90132">
        <w:rPr>
          <w:lang w:val="en-US"/>
        </w:rPr>
        <w:t>, 111 U.S. 746, 758</w:t>
      </w:r>
      <w:r w:rsidRPr="006E67FE">
        <w:rPr>
          <w:lang w:val="en-US"/>
        </w:rPr>
        <w:t xml:space="preserve"> = 4 S. Ct. </w:t>
      </w:r>
      <w:r w:rsidRPr="00190132">
        <w:rPr>
          <w:lang w:val="en-US"/>
        </w:rPr>
        <w:t>652, 661</w:t>
      </w:r>
      <w:r w:rsidRPr="006E67FE">
        <w:rPr>
          <w:lang w:val="en-US"/>
        </w:rPr>
        <w:t xml:space="preserve"> = 28 L. Ed. </w:t>
      </w:r>
      <w:r w:rsidRPr="00190132">
        <w:rPr>
          <w:lang w:val="en-US"/>
        </w:rPr>
        <w:t>585, 591</w:t>
      </w:r>
      <w:r w:rsidRPr="006E67FE">
        <w:rPr>
          <w:lang w:val="en-US"/>
        </w:rPr>
        <w:t xml:space="preserve"> = 1884 U.S. LEXIS </w:t>
      </w:r>
      <w:r w:rsidRPr="00190132">
        <w:rPr>
          <w:lang w:val="en-US"/>
        </w:rPr>
        <w:t>1831, 23 (1884)</w:t>
      </w:r>
      <w:r>
        <w:rPr>
          <w:lang w:val="en-US"/>
        </w:rPr>
        <w:t>.</w:t>
      </w:r>
    </w:p>
  </w:footnote>
  <w:footnote w:id="752">
    <w:p w14:paraId="295F9424" w14:textId="77777777" w:rsidR="00074551" w:rsidRPr="00190132" w:rsidRDefault="00074551" w:rsidP="00074551">
      <w:pPr>
        <w:pStyle w:val="Funotentext"/>
        <w:rPr>
          <w:lang w:val="en-US"/>
        </w:rPr>
      </w:pPr>
      <w:r>
        <w:rPr>
          <w:rStyle w:val="Funotenzeichen"/>
        </w:rPr>
        <w:footnoteRef/>
      </w:r>
      <w:r w:rsidRPr="0019013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90132">
        <w:rPr>
          <w:lang w:val="en-US"/>
        </w:rPr>
        <w:t>, 111 U.S. 746, 757</w:t>
      </w:r>
      <w:r w:rsidRPr="006E67FE">
        <w:rPr>
          <w:lang w:val="en-US"/>
        </w:rPr>
        <w:t xml:space="preserve"> = 4 S. Ct. </w:t>
      </w:r>
      <w:r w:rsidRPr="00190132">
        <w:rPr>
          <w:lang w:val="en-US"/>
        </w:rPr>
        <w:t>652, 661</w:t>
      </w:r>
      <w:r w:rsidRPr="006E67FE">
        <w:rPr>
          <w:lang w:val="en-US"/>
        </w:rPr>
        <w:t xml:space="preserve"> = 28 L. Ed. </w:t>
      </w:r>
      <w:r w:rsidRPr="00190132">
        <w:rPr>
          <w:lang w:val="en-US"/>
        </w:rPr>
        <w:t>585, 591</w:t>
      </w:r>
      <w:r w:rsidRPr="006E67FE">
        <w:rPr>
          <w:lang w:val="en-US"/>
        </w:rPr>
        <w:t xml:space="preserve"> = 1884 U.S. LEXIS </w:t>
      </w:r>
      <w:r w:rsidRPr="00190132">
        <w:rPr>
          <w:lang w:val="en-US"/>
        </w:rPr>
        <w:t>1831, 23 (1884)</w:t>
      </w:r>
      <w:r>
        <w:rPr>
          <w:lang w:val="en-US"/>
        </w:rPr>
        <w:t>.</w:t>
      </w:r>
    </w:p>
  </w:footnote>
  <w:footnote w:id="753">
    <w:p w14:paraId="52C2DF7A" w14:textId="77777777" w:rsidR="00074551" w:rsidRPr="00190132" w:rsidRDefault="00074551" w:rsidP="00074551">
      <w:pPr>
        <w:pStyle w:val="Funotentext"/>
        <w:rPr>
          <w:lang w:val="en-US"/>
        </w:rPr>
      </w:pPr>
      <w:r>
        <w:rPr>
          <w:rStyle w:val="Funotenzeichen"/>
        </w:rPr>
        <w:footnoteRef/>
      </w:r>
      <w:r w:rsidRPr="0019013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90132">
        <w:rPr>
          <w:lang w:val="en-US"/>
        </w:rPr>
        <w:t>, 111 U.S. 746, 758</w:t>
      </w:r>
      <w:r w:rsidRPr="006E67FE">
        <w:rPr>
          <w:lang w:val="en-US"/>
        </w:rPr>
        <w:t xml:space="preserve"> = 4 S. Ct. </w:t>
      </w:r>
      <w:r w:rsidRPr="00190132">
        <w:rPr>
          <w:lang w:val="en-US"/>
        </w:rPr>
        <w:t>652, 661</w:t>
      </w:r>
      <w:r w:rsidRPr="006E67FE">
        <w:rPr>
          <w:lang w:val="en-US"/>
        </w:rPr>
        <w:t xml:space="preserve"> = 28 L. Ed. </w:t>
      </w:r>
      <w:r w:rsidRPr="00190132">
        <w:rPr>
          <w:lang w:val="en-US"/>
        </w:rPr>
        <w:t>585, 591</w:t>
      </w:r>
      <w:r w:rsidRPr="006E67FE">
        <w:rPr>
          <w:lang w:val="en-US"/>
        </w:rPr>
        <w:t xml:space="preserve"> = 1884 U.S. LEXIS </w:t>
      </w:r>
      <w:r w:rsidRPr="00190132">
        <w:rPr>
          <w:lang w:val="en-US"/>
        </w:rPr>
        <w:t>1831, 23 (1884)</w:t>
      </w:r>
      <w:r>
        <w:rPr>
          <w:lang w:val="en-US"/>
        </w:rPr>
        <w:t>.</w:t>
      </w:r>
    </w:p>
  </w:footnote>
  <w:footnote w:id="754">
    <w:p w14:paraId="19042037" w14:textId="77777777" w:rsidR="00074551" w:rsidRPr="001D2CA6" w:rsidRDefault="00074551" w:rsidP="00074551">
      <w:pPr>
        <w:pStyle w:val="Funotentext"/>
        <w:rPr>
          <w:lang w:val="en-US"/>
        </w:rPr>
      </w:pPr>
      <w:r>
        <w:rPr>
          <w:rStyle w:val="Funotenzeichen"/>
        </w:rPr>
        <w:footnoteRef/>
      </w:r>
      <w:r w:rsidRPr="001D2CA6">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D2CA6">
        <w:rPr>
          <w:lang w:val="en-US"/>
        </w:rPr>
        <w:t>, 111 U.S. 746, 759</w:t>
      </w:r>
      <w:r w:rsidRPr="006E67FE">
        <w:rPr>
          <w:lang w:val="en-US"/>
        </w:rPr>
        <w:t xml:space="preserve"> = 4 S. Ct. </w:t>
      </w:r>
      <w:r w:rsidRPr="001D2CA6">
        <w:rPr>
          <w:lang w:val="en-US"/>
        </w:rPr>
        <w:t>652, 662</w:t>
      </w:r>
      <w:r w:rsidRPr="006E67FE">
        <w:rPr>
          <w:lang w:val="en-US"/>
        </w:rPr>
        <w:t xml:space="preserve"> = 28 L. Ed. </w:t>
      </w:r>
      <w:r w:rsidRPr="001D2CA6">
        <w:rPr>
          <w:lang w:val="en-US"/>
        </w:rPr>
        <w:t>585, 592</w:t>
      </w:r>
      <w:r w:rsidRPr="006E67FE">
        <w:rPr>
          <w:lang w:val="en-US"/>
        </w:rPr>
        <w:t xml:space="preserve"> = 1884 U.S. LEXIS </w:t>
      </w:r>
      <w:r w:rsidRPr="001D2CA6">
        <w:rPr>
          <w:lang w:val="en-US"/>
        </w:rPr>
        <w:t>1831, 26 (1884)</w:t>
      </w:r>
      <w:r>
        <w:rPr>
          <w:lang w:val="en-US"/>
        </w:rPr>
        <w:t>.</w:t>
      </w:r>
    </w:p>
  </w:footnote>
  <w:footnote w:id="755">
    <w:p w14:paraId="4E54B01A" w14:textId="77777777" w:rsidR="00074551" w:rsidRPr="001D2CA6" w:rsidRDefault="00074551" w:rsidP="00074551">
      <w:pPr>
        <w:pStyle w:val="Funotentext"/>
        <w:rPr>
          <w:lang w:val="en-US"/>
        </w:rPr>
      </w:pPr>
      <w:r>
        <w:rPr>
          <w:rStyle w:val="Funotenzeichen"/>
        </w:rPr>
        <w:footnoteRef/>
      </w:r>
      <w:r w:rsidRPr="001D2CA6">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D2CA6">
        <w:rPr>
          <w:lang w:val="en-US"/>
        </w:rPr>
        <w:t>, 111 U.S. 746, 759</w:t>
      </w:r>
      <w:r w:rsidRPr="006E67FE">
        <w:rPr>
          <w:lang w:val="en-US"/>
        </w:rPr>
        <w:t xml:space="preserve"> = 4 S. Ct. </w:t>
      </w:r>
      <w:r w:rsidRPr="001D2CA6">
        <w:rPr>
          <w:lang w:val="en-US"/>
        </w:rPr>
        <w:t>652, 662</w:t>
      </w:r>
      <w:r w:rsidRPr="006E67FE">
        <w:rPr>
          <w:lang w:val="en-US"/>
        </w:rPr>
        <w:t xml:space="preserve"> = 28 L. Ed. </w:t>
      </w:r>
      <w:r w:rsidRPr="001D2CA6">
        <w:rPr>
          <w:lang w:val="en-US"/>
        </w:rPr>
        <w:t>585, 592</w:t>
      </w:r>
      <w:r w:rsidRPr="006E67FE">
        <w:rPr>
          <w:lang w:val="en-US"/>
        </w:rPr>
        <w:t xml:space="preserve"> = 1884 U.S. LEXIS </w:t>
      </w:r>
      <w:r w:rsidRPr="001D2CA6">
        <w:rPr>
          <w:lang w:val="en-US"/>
        </w:rPr>
        <w:t>1831, 26 (1884)</w:t>
      </w:r>
      <w:r>
        <w:rPr>
          <w:lang w:val="en-US"/>
        </w:rPr>
        <w:t>.</w:t>
      </w:r>
    </w:p>
  </w:footnote>
  <w:footnote w:id="756">
    <w:p w14:paraId="21F4B249" w14:textId="77777777" w:rsidR="00074551" w:rsidRPr="001D2CA6" w:rsidRDefault="00074551" w:rsidP="00074551">
      <w:pPr>
        <w:pStyle w:val="Funotentext"/>
        <w:rPr>
          <w:lang w:val="en-US"/>
        </w:rPr>
      </w:pPr>
      <w:r>
        <w:rPr>
          <w:rStyle w:val="Funotenzeichen"/>
        </w:rPr>
        <w:footnoteRef/>
      </w:r>
      <w:r w:rsidRPr="001D2CA6">
        <w:rPr>
          <w:lang w:val="en-US"/>
        </w:rPr>
        <w:t xml:space="preserve"> </w:t>
      </w:r>
      <w:r w:rsidRPr="008F73D7">
        <w:rPr>
          <w:i/>
          <w:lang w:val="en-US"/>
        </w:rPr>
        <w:t>Slaughter-House Cases</w:t>
      </w:r>
      <w:r w:rsidRPr="001D2CA6">
        <w:rPr>
          <w:lang w:val="en-US"/>
        </w:rPr>
        <w:t>, 16 Wall. 36, 57</w:t>
      </w:r>
      <w:r>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D2CA6">
        <w:rPr>
          <w:lang w:val="en-US"/>
        </w:rPr>
        <w:t>, 111 U.S. 746, 764</w:t>
      </w:r>
      <w:r w:rsidRPr="006E67FE">
        <w:rPr>
          <w:lang w:val="en-US"/>
        </w:rPr>
        <w:t xml:space="preserve"> = 4 S. Ct. </w:t>
      </w:r>
      <w:r w:rsidRPr="001D2CA6">
        <w:rPr>
          <w:lang w:val="en-US"/>
        </w:rPr>
        <w:t>652, 658</w:t>
      </w:r>
      <w:r w:rsidRPr="006E67FE">
        <w:rPr>
          <w:lang w:val="en-US"/>
        </w:rPr>
        <w:t xml:space="preserve"> = 28 L. Ed. </w:t>
      </w:r>
      <w:r w:rsidRPr="001D2CA6">
        <w:rPr>
          <w:lang w:val="en-US"/>
        </w:rPr>
        <w:t>585, 589</w:t>
      </w:r>
      <w:r w:rsidRPr="006E67FE">
        <w:rPr>
          <w:lang w:val="en-US"/>
        </w:rPr>
        <w:t xml:space="preserve"> = 1884 U.S. LEXIS </w:t>
      </w:r>
      <w:r w:rsidRPr="001D2CA6">
        <w:rPr>
          <w:lang w:val="en-US"/>
        </w:rPr>
        <w:t>1831, 35 (1884)</w:t>
      </w:r>
      <w:r>
        <w:rPr>
          <w:lang w:val="en-US"/>
        </w:rPr>
        <w:t>.</w:t>
      </w:r>
    </w:p>
  </w:footnote>
  <w:footnote w:id="757">
    <w:p w14:paraId="43685005" w14:textId="77777777" w:rsidR="00074551" w:rsidRPr="001D2CA6" w:rsidRDefault="00074551" w:rsidP="00074551">
      <w:pPr>
        <w:pStyle w:val="Funotentext"/>
        <w:rPr>
          <w:lang w:val="en-US"/>
        </w:rPr>
      </w:pPr>
      <w:r>
        <w:rPr>
          <w:rStyle w:val="Funotenzeichen"/>
        </w:rPr>
        <w:footnoteRef/>
      </w:r>
      <w:r w:rsidRPr="001D2CA6">
        <w:rPr>
          <w:lang w:val="en-US"/>
        </w:rPr>
        <w:t xml:space="preserve"> </w:t>
      </w:r>
      <w:r w:rsidRPr="00B45592">
        <w:rPr>
          <w:i/>
          <w:lang w:val="en-US"/>
        </w:rPr>
        <w:t xml:space="preserve">Corfield v. </w:t>
      </w:r>
      <w:proofErr w:type="spellStart"/>
      <w:r w:rsidRPr="00B45592">
        <w:rPr>
          <w:i/>
          <w:lang w:val="en-US"/>
        </w:rPr>
        <w:t>Corryell</w:t>
      </w:r>
      <w:proofErr w:type="spellEnd"/>
      <w:r w:rsidRPr="001D2CA6">
        <w:rPr>
          <w:lang w:val="en-US"/>
        </w:rPr>
        <w:t>, 4 Wash. C.C. 371, 381</w:t>
      </w:r>
      <w:r>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1D2CA6">
        <w:rPr>
          <w:lang w:val="en-US"/>
        </w:rPr>
        <w:t>, 111 U.S. 746, 764</w:t>
      </w:r>
      <w:r w:rsidRPr="006E67FE">
        <w:rPr>
          <w:lang w:val="en-US"/>
        </w:rPr>
        <w:t xml:space="preserve"> = 4 S. Ct. </w:t>
      </w:r>
      <w:r w:rsidRPr="001D2CA6">
        <w:rPr>
          <w:lang w:val="en-US"/>
        </w:rPr>
        <w:t>652, 658</w:t>
      </w:r>
      <w:r w:rsidRPr="006E67FE">
        <w:rPr>
          <w:lang w:val="en-US"/>
        </w:rPr>
        <w:t xml:space="preserve"> = 28 L. Ed. </w:t>
      </w:r>
      <w:r w:rsidRPr="001D2CA6">
        <w:rPr>
          <w:lang w:val="en-US"/>
        </w:rPr>
        <w:t>585, 589</w:t>
      </w:r>
      <w:r w:rsidRPr="006E67FE">
        <w:rPr>
          <w:lang w:val="en-US"/>
        </w:rPr>
        <w:t xml:space="preserve"> = 1884 U.S. LEXIS </w:t>
      </w:r>
      <w:r w:rsidRPr="001D2CA6">
        <w:rPr>
          <w:lang w:val="en-US"/>
        </w:rPr>
        <w:t>1831, 36 (1884)</w:t>
      </w:r>
      <w:r>
        <w:rPr>
          <w:lang w:val="en-US"/>
        </w:rPr>
        <w:t>.</w:t>
      </w:r>
    </w:p>
  </w:footnote>
  <w:footnote w:id="758">
    <w:p w14:paraId="13D29DD2" w14:textId="77777777" w:rsidR="00074551" w:rsidRPr="007D0262" w:rsidRDefault="00074551" w:rsidP="00074551">
      <w:pPr>
        <w:pStyle w:val="Funotentext"/>
        <w:rPr>
          <w:lang w:val="en-US"/>
        </w:rPr>
      </w:pPr>
      <w:r>
        <w:rPr>
          <w:rStyle w:val="Funotenzeichen"/>
        </w:rPr>
        <w:footnoteRef/>
      </w:r>
      <w:r w:rsidRPr="007D0262">
        <w:rPr>
          <w:lang w:val="en-US"/>
        </w:rPr>
        <w:t xml:space="preserve"> </w:t>
      </w:r>
      <w:r w:rsidRPr="00B45592">
        <w:rPr>
          <w:i/>
          <w:lang w:val="en-US"/>
        </w:rPr>
        <w:t xml:space="preserve">Butchers’ Union </w:t>
      </w:r>
      <w:proofErr w:type="gramStart"/>
      <w:r w:rsidRPr="00B45592">
        <w:rPr>
          <w:i/>
          <w:lang w:val="en-US"/>
        </w:rPr>
        <w:t>Slaughter-House</w:t>
      </w:r>
      <w:proofErr w:type="gramEnd"/>
      <w:r w:rsidRPr="00B45592">
        <w:rPr>
          <w:i/>
          <w:lang w:val="en-US"/>
        </w:rPr>
        <w:t xml:space="preserve"> &amp; Live-Stock Landing Co. v. Crescent City Live-Stock Landing &amp; Slaughter-House Co.</w:t>
      </w:r>
      <w:r w:rsidRPr="007D0262">
        <w:rPr>
          <w:lang w:val="en-US"/>
        </w:rPr>
        <w:t>, 111 U.S. 746, 764-765</w:t>
      </w:r>
      <w:r w:rsidRPr="006E67FE">
        <w:rPr>
          <w:lang w:val="en-US"/>
        </w:rPr>
        <w:t xml:space="preserve"> = 4 S. Ct. </w:t>
      </w:r>
      <w:r w:rsidRPr="007D0262">
        <w:rPr>
          <w:lang w:val="en-US"/>
        </w:rPr>
        <w:t>652, 658</w:t>
      </w:r>
      <w:r w:rsidRPr="006E67FE">
        <w:rPr>
          <w:lang w:val="en-US"/>
        </w:rPr>
        <w:t xml:space="preserve"> = 28 L. Ed. </w:t>
      </w:r>
      <w:r w:rsidRPr="007D0262">
        <w:rPr>
          <w:lang w:val="en-US"/>
        </w:rPr>
        <w:t>585, 589</w:t>
      </w:r>
      <w:r w:rsidRPr="006E67FE">
        <w:rPr>
          <w:lang w:val="en-US"/>
        </w:rPr>
        <w:t xml:space="preserve"> = 1884 U.S. LEXIS </w:t>
      </w:r>
      <w:r w:rsidRPr="007D0262">
        <w:rPr>
          <w:lang w:val="en-US"/>
        </w:rPr>
        <w:t>1831, 36</w:t>
      </w:r>
      <w:r>
        <w:rPr>
          <w:lang w:val="en-US"/>
        </w:rPr>
        <w:t>–</w:t>
      </w:r>
      <w:r w:rsidRPr="007D0262">
        <w:rPr>
          <w:lang w:val="en-US"/>
        </w:rPr>
        <w:t>37 (1884)</w:t>
      </w:r>
      <w:r>
        <w:rPr>
          <w:lang w:val="en-US"/>
        </w:rPr>
        <w:t>.</w:t>
      </w:r>
    </w:p>
  </w:footnote>
  <w:footnote w:id="759">
    <w:p w14:paraId="11FD3824" w14:textId="77777777" w:rsidR="00074551" w:rsidRPr="00104B02" w:rsidRDefault="00074551" w:rsidP="00074551">
      <w:pPr>
        <w:pStyle w:val="Funotentext"/>
        <w:rPr>
          <w:lang w:val="en-US"/>
        </w:rPr>
      </w:pPr>
      <w:r>
        <w:rPr>
          <w:rStyle w:val="Funotenzeichen"/>
        </w:rPr>
        <w:footnoteRef/>
      </w:r>
      <w:r w:rsidRPr="00104B02">
        <w:rPr>
          <w:lang w:val="en-US"/>
        </w:rPr>
        <w:t xml:space="preserve"> </w:t>
      </w:r>
      <w:r w:rsidRPr="004F13B1">
        <w:rPr>
          <w:i/>
          <w:lang w:val="en-US"/>
        </w:rPr>
        <w:t>Barbier v. Connolly</w:t>
      </w:r>
      <w:r w:rsidRPr="00104B02">
        <w:rPr>
          <w:lang w:val="en-US"/>
        </w:rPr>
        <w:t>, 113 U.S. 27, 31</w:t>
      </w:r>
      <w:r>
        <w:rPr>
          <w:lang w:val="en-US"/>
        </w:rPr>
        <w:t xml:space="preserve">; </w:t>
      </w:r>
      <w:r w:rsidRPr="00B45592">
        <w:rPr>
          <w:i/>
          <w:lang w:val="en-US"/>
        </w:rPr>
        <w:t>Bell’s G. R. Co. v. Pennsylvania</w:t>
      </w:r>
      <w:r w:rsidRPr="00104B02">
        <w:rPr>
          <w:lang w:val="en-US"/>
        </w:rPr>
        <w:t>, 134 U.S. 232, 238</w:t>
      </w:r>
      <w:r w:rsidRPr="00EC5BEB">
        <w:rPr>
          <w:lang w:val="en-US"/>
        </w:rPr>
        <w:t xml:space="preserve"> = 10 S. Ct. </w:t>
      </w:r>
      <w:r w:rsidRPr="00104B02">
        <w:rPr>
          <w:lang w:val="en-US"/>
        </w:rPr>
        <w:t>533, 535</w:t>
      </w:r>
      <w:r w:rsidRPr="00EC5BEB">
        <w:rPr>
          <w:lang w:val="en-US"/>
        </w:rPr>
        <w:t xml:space="preserve"> = 33 L. Ed. </w:t>
      </w:r>
      <w:r w:rsidRPr="00104B02">
        <w:rPr>
          <w:lang w:val="en-US"/>
        </w:rPr>
        <w:t>892, 895</w:t>
      </w:r>
      <w:r w:rsidRPr="00EC5BEB">
        <w:rPr>
          <w:lang w:val="en-US"/>
        </w:rPr>
        <w:t xml:space="preserve"> = 1890 U.S. LEXIS </w:t>
      </w:r>
      <w:r w:rsidRPr="00104B02">
        <w:rPr>
          <w:lang w:val="en-US"/>
        </w:rPr>
        <w:t>1963, 11 (1890)</w:t>
      </w:r>
      <w:r>
        <w:rPr>
          <w:lang w:val="en-US"/>
        </w:rPr>
        <w:t>.</w:t>
      </w:r>
    </w:p>
  </w:footnote>
  <w:footnote w:id="760">
    <w:p w14:paraId="3A5F6F0E" w14:textId="77777777" w:rsidR="00074551" w:rsidRPr="006347E9" w:rsidRDefault="00074551" w:rsidP="00074551">
      <w:pPr>
        <w:pStyle w:val="Funotentext"/>
        <w:ind w:left="227" w:hanging="227"/>
        <w:rPr>
          <w:lang w:val="en-US"/>
        </w:rPr>
      </w:pPr>
      <w:r>
        <w:rPr>
          <w:rStyle w:val="Funotenzeichen"/>
          <w:rFonts w:eastAsiaTheme="majorEastAsia"/>
        </w:rPr>
        <w:footnoteRef/>
      </w:r>
      <w:r w:rsidRPr="006347E9">
        <w:rPr>
          <w:lang w:val="en-US"/>
        </w:rPr>
        <w:t xml:space="preserve"> </w:t>
      </w:r>
      <w:r w:rsidRPr="00B45592">
        <w:rPr>
          <w:i/>
          <w:lang w:val="en-US"/>
        </w:rPr>
        <w:t>Bell’s G. R. Co. v. Pennsylvania</w:t>
      </w:r>
      <w:r w:rsidRPr="006347E9">
        <w:rPr>
          <w:lang w:val="en-US"/>
        </w:rPr>
        <w:t>, 134 U.S. 232, 233</w:t>
      </w:r>
      <w:r w:rsidRPr="00EC5BEB">
        <w:rPr>
          <w:lang w:val="en-US"/>
        </w:rPr>
        <w:t xml:space="preserve"> = 10 S. Ct. </w:t>
      </w:r>
      <w:r w:rsidRPr="006347E9">
        <w:rPr>
          <w:lang w:val="en-US"/>
        </w:rPr>
        <w:t>533, 534</w:t>
      </w:r>
      <w:r w:rsidRPr="00EC5BEB">
        <w:rPr>
          <w:lang w:val="en-US"/>
        </w:rPr>
        <w:t xml:space="preserve"> = 33 L. Ed. </w:t>
      </w:r>
      <w:r w:rsidRPr="006347E9">
        <w:rPr>
          <w:lang w:val="en-US"/>
        </w:rPr>
        <w:t>892, 894</w:t>
      </w:r>
      <w:r w:rsidRPr="00EC5BEB">
        <w:rPr>
          <w:lang w:val="en-US"/>
        </w:rPr>
        <w:t xml:space="preserve"> = 1890 U.S. LEXIS </w:t>
      </w:r>
      <w:r w:rsidRPr="006347E9">
        <w:rPr>
          <w:lang w:val="en-US"/>
        </w:rPr>
        <w:t>1963, 1 (1890)</w:t>
      </w:r>
      <w:r>
        <w:rPr>
          <w:lang w:val="en-US"/>
        </w:rPr>
        <w:t>.</w:t>
      </w:r>
    </w:p>
  </w:footnote>
  <w:footnote w:id="761">
    <w:p w14:paraId="7A344BD7" w14:textId="77777777" w:rsidR="00074551" w:rsidRPr="00104B02" w:rsidRDefault="00074551" w:rsidP="00074551">
      <w:pPr>
        <w:pStyle w:val="Funotentext"/>
        <w:rPr>
          <w:lang w:val="en-US"/>
        </w:rPr>
      </w:pPr>
      <w:r>
        <w:rPr>
          <w:rStyle w:val="Funotenzeichen"/>
        </w:rPr>
        <w:footnoteRef/>
      </w:r>
      <w:r w:rsidRPr="00104B02">
        <w:rPr>
          <w:lang w:val="en-US"/>
        </w:rPr>
        <w:t xml:space="preserve"> </w:t>
      </w:r>
      <w:r w:rsidRPr="004F13B1">
        <w:rPr>
          <w:i/>
          <w:lang w:val="en-US"/>
        </w:rPr>
        <w:t>Barbier v. Connolly</w:t>
      </w:r>
      <w:r w:rsidRPr="00104B02">
        <w:rPr>
          <w:lang w:val="en-US"/>
        </w:rPr>
        <w:t>, 113 U.S. 27, 31</w:t>
      </w:r>
      <w:r>
        <w:rPr>
          <w:lang w:val="en-US"/>
        </w:rPr>
        <w:t xml:space="preserve">; </w:t>
      </w:r>
      <w:r w:rsidRPr="00B45592">
        <w:rPr>
          <w:i/>
          <w:lang w:val="en-US"/>
        </w:rPr>
        <w:t>Bell’s G. R. Co. v. Pennsylvania</w:t>
      </w:r>
      <w:r w:rsidRPr="00104B02">
        <w:rPr>
          <w:lang w:val="en-US"/>
        </w:rPr>
        <w:t>, 134 U.S. 232, 238</w:t>
      </w:r>
      <w:r w:rsidRPr="00EC5BEB">
        <w:rPr>
          <w:lang w:val="en-US"/>
        </w:rPr>
        <w:t xml:space="preserve"> = 10 S. Ct. </w:t>
      </w:r>
      <w:r w:rsidRPr="00104B02">
        <w:rPr>
          <w:lang w:val="en-US"/>
        </w:rPr>
        <w:t>533, 535</w:t>
      </w:r>
      <w:r w:rsidRPr="00EC5BEB">
        <w:rPr>
          <w:lang w:val="en-US"/>
        </w:rPr>
        <w:t xml:space="preserve"> = 33 L. Ed. </w:t>
      </w:r>
      <w:r w:rsidRPr="00104B02">
        <w:rPr>
          <w:lang w:val="en-US"/>
        </w:rPr>
        <w:t>892, 895</w:t>
      </w:r>
      <w:r w:rsidRPr="00EC5BEB">
        <w:rPr>
          <w:lang w:val="en-US"/>
        </w:rPr>
        <w:t xml:space="preserve"> = 1890 U.S. LEXIS </w:t>
      </w:r>
      <w:r w:rsidRPr="00104B02">
        <w:rPr>
          <w:lang w:val="en-US"/>
        </w:rPr>
        <w:t>1963, 11 (1890)</w:t>
      </w:r>
      <w:r>
        <w:rPr>
          <w:lang w:val="en-US"/>
        </w:rPr>
        <w:t>.</w:t>
      </w:r>
    </w:p>
  </w:footnote>
  <w:footnote w:id="762">
    <w:p w14:paraId="434E7C8E" w14:textId="77777777" w:rsidR="00074551" w:rsidRPr="00CA2BD8" w:rsidRDefault="00074551" w:rsidP="00074551">
      <w:pPr>
        <w:pStyle w:val="Funotentext"/>
        <w:rPr>
          <w:lang w:val="en-US"/>
        </w:rPr>
      </w:pPr>
      <w:r>
        <w:rPr>
          <w:rStyle w:val="Funotenzeichen"/>
        </w:rPr>
        <w:footnoteRef/>
      </w:r>
      <w:r w:rsidRPr="00CA2BD8">
        <w:rPr>
          <w:lang w:val="en-US"/>
        </w:rPr>
        <w:t xml:space="preserve"> </w:t>
      </w:r>
      <w:r w:rsidRPr="00B45592">
        <w:rPr>
          <w:i/>
          <w:lang w:val="en-US"/>
        </w:rPr>
        <w:t>Bell’s G. R. Co. v. Pennsylvania</w:t>
      </w:r>
      <w:r w:rsidRPr="00CA2BD8">
        <w:rPr>
          <w:lang w:val="en-US"/>
        </w:rPr>
        <w:t>, 134 U.S. 232, 237</w:t>
      </w:r>
      <w:r w:rsidRPr="00EC5BEB">
        <w:rPr>
          <w:lang w:val="en-US"/>
        </w:rPr>
        <w:t xml:space="preserve"> = 10 S. Ct. </w:t>
      </w:r>
      <w:r w:rsidRPr="00CA2BD8">
        <w:rPr>
          <w:lang w:val="en-US"/>
        </w:rPr>
        <w:t>533, 535</w:t>
      </w:r>
      <w:r w:rsidRPr="00EC5BEB">
        <w:rPr>
          <w:lang w:val="en-US"/>
        </w:rPr>
        <w:t xml:space="preserve"> = 33 L. Ed. </w:t>
      </w:r>
      <w:r w:rsidRPr="00CA2BD8">
        <w:rPr>
          <w:lang w:val="en-US"/>
        </w:rPr>
        <w:t>892, 895</w:t>
      </w:r>
      <w:r w:rsidRPr="00EC5BEB">
        <w:rPr>
          <w:lang w:val="en-US"/>
        </w:rPr>
        <w:t xml:space="preserve"> = 1890 U.S. LEXIS </w:t>
      </w:r>
      <w:r w:rsidRPr="00CA2BD8">
        <w:rPr>
          <w:lang w:val="en-US"/>
        </w:rPr>
        <w:t>1963, 9 (1890)</w:t>
      </w:r>
      <w:r>
        <w:rPr>
          <w:lang w:val="en-US"/>
        </w:rPr>
        <w:t>.</w:t>
      </w:r>
    </w:p>
  </w:footnote>
  <w:footnote w:id="763">
    <w:p w14:paraId="350D1A65"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Hudson v. Palmer</w:t>
      </w:r>
      <w:r w:rsidRPr="00BA1E56">
        <w:rPr>
          <w:lang w:val="en-US"/>
        </w:rPr>
        <w:t>, 468 U.S. 517, 519</w:t>
      </w:r>
      <w:r w:rsidRPr="006E67FE">
        <w:rPr>
          <w:lang w:val="en-US"/>
        </w:rPr>
        <w:t xml:space="preserve"> = 104 S. Ct. </w:t>
      </w:r>
      <w:r w:rsidRPr="00BA1E56">
        <w:rPr>
          <w:lang w:val="en-US"/>
        </w:rPr>
        <w:t>3194, 3196</w:t>
      </w:r>
      <w:r w:rsidRPr="006E67FE">
        <w:rPr>
          <w:lang w:val="en-US"/>
        </w:rPr>
        <w:t xml:space="preserve"> = 82 L. Ed. </w:t>
      </w:r>
      <w:r w:rsidRPr="00BA1E56">
        <w:rPr>
          <w:lang w:val="en-US"/>
        </w:rPr>
        <w:t>2d 393, 398</w:t>
      </w:r>
      <w:r w:rsidRPr="006E67FE">
        <w:rPr>
          <w:lang w:val="en-US"/>
        </w:rPr>
        <w:t xml:space="preserve"> = 1984 U.S. LEXIS </w:t>
      </w:r>
      <w:r w:rsidRPr="00BA1E56">
        <w:rPr>
          <w:lang w:val="en-US"/>
        </w:rPr>
        <w:t>143, 1</w:t>
      </w:r>
      <w:r w:rsidRPr="006E67FE">
        <w:rPr>
          <w:lang w:val="en-US"/>
        </w:rPr>
        <w:t xml:space="preserve"> = 52 U.S.L.W. </w:t>
      </w:r>
      <w:r w:rsidRPr="00BA1E56">
        <w:rPr>
          <w:lang w:val="en-US"/>
        </w:rPr>
        <w:t>5052 (1984)</w:t>
      </w:r>
      <w:r>
        <w:rPr>
          <w:lang w:val="en-US"/>
        </w:rPr>
        <w:t>.</w:t>
      </w:r>
    </w:p>
  </w:footnote>
  <w:footnote w:id="764">
    <w:p w14:paraId="52BA611E"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Hudson v. Palmer</w:t>
      </w:r>
      <w:r w:rsidRPr="00BA1E56">
        <w:rPr>
          <w:lang w:val="en-US"/>
        </w:rPr>
        <w:t>, 468 U.S. 517, 530</w:t>
      </w:r>
      <w:r w:rsidRPr="006E67FE">
        <w:rPr>
          <w:lang w:val="en-US"/>
        </w:rPr>
        <w:t xml:space="preserve"> = 104 S. Ct. </w:t>
      </w:r>
      <w:r w:rsidRPr="00BA1E56">
        <w:rPr>
          <w:lang w:val="en-US"/>
        </w:rPr>
        <w:t>3194, 3202</w:t>
      </w:r>
      <w:r w:rsidRPr="006E67FE">
        <w:rPr>
          <w:lang w:val="en-US"/>
        </w:rPr>
        <w:t xml:space="preserve"> = 82 L. Ed. </w:t>
      </w:r>
      <w:r w:rsidRPr="00BA1E56">
        <w:rPr>
          <w:lang w:val="en-US"/>
        </w:rPr>
        <w:t>2d 393, 405</w:t>
      </w:r>
      <w:r w:rsidRPr="006E67FE">
        <w:rPr>
          <w:lang w:val="en-US"/>
        </w:rPr>
        <w:t xml:space="preserve"> = 1984 U.S. LEXIS </w:t>
      </w:r>
      <w:r w:rsidRPr="00BA1E56">
        <w:rPr>
          <w:lang w:val="en-US"/>
        </w:rPr>
        <w:t>143, 24</w:t>
      </w:r>
      <w:r w:rsidRPr="006E67FE">
        <w:rPr>
          <w:lang w:val="en-US"/>
        </w:rPr>
        <w:t xml:space="preserve"> = 52 U.S.L.W. </w:t>
      </w:r>
      <w:r w:rsidRPr="00BA1E56">
        <w:rPr>
          <w:lang w:val="en-US"/>
        </w:rPr>
        <w:t>5052 (1984)</w:t>
      </w:r>
      <w:r>
        <w:rPr>
          <w:lang w:val="en-US"/>
        </w:rPr>
        <w:t>.</w:t>
      </w:r>
    </w:p>
  </w:footnote>
  <w:footnote w:id="765">
    <w:p w14:paraId="532CA03A" w14:textId="77777777" w:rsidR="00074551" w:rsidRPr="00F34447" w:rsidRDefault="00074551" w:rsidP="00074551">
      <w:pPr>
        <w:pStyle w:val="Funotentext"/>
        <w:ind w:left="227" w:hanging="227"/>
        <w:rPr>
          <w:lang w:val="en-US"/>
        </w:rPr>
      </w:pPr>
      <w:r>
        <w:rPr>
          <w:rStyle w:val="Funotenzeichen"/>
          <w:rFonts w:eastAsiaTheme="majorEastAsia"/>
        </w:rPr>
        <w:footnoteRef/>
      </w:r>
      <w:r w:rsidRPr="00F34447">
        <w:rPr>
          <w:lang w:val="en-US"/>
        </w:rPr>
        <w:t xml:space="preserve"> </w:t>
      </w:r>
      <w:r w:rsidRPr="009E57E1">
        <w:rPr>
          <w:i/>
          <w:lang w:val="en-US"/>
        </w:rPr>
        <w:t>Hudson v. Palmer</w:t>
      </w:r>
      <w:r w:rsidRPr="00F34447">
        <w:rPr>
          <w:lang w:val="en-US"/>
        </w:rPr>
        <w:t>, 468 U.S. 517, 556</w:t>
      </w:r>
      <w:r w:rsidRPr="006E67FE">
        <w:rPr>
          <w:lang w:val="en-US"/>
        </w:rPr>
        <w:t xml:space="preserve"> = 104 S. Ct. </w:t>
      </w:r>
      <w:r w:rsidRPr="00F34447">
        <w:rPr>
          <w:lang w:val="en-US"/>
        </w:rPr>
        <w:t>3194, 3216</w:t>
      </w:r>
      <w:r w:rsidRPr="006E67FE">
        <w:rPr>
          <w:lang w:val="en-US"/>
        </w:rPr>
        <w:t xml:space="preserve"> = 82 L. Ed. </w:t>
      </w:r>
      <w:r w:rsidRPr="00F34447">
        <w:rPr>
          <w:lang w:val="en-US"/>
        </w:rPr>
        <w:t>2d 393, 422</w:t>
      </w:r>
      <w:r w:rsidRPr="006E67FE">
        <w:rPr>
          <w:lang w:val="en-US"/>
        </w:rPr>
        <w:t xml:space="preserve"> = 1984 U.S. LEXIS </w:t>
      </w:r>
      <w:r w:rsidRPr="00F34447">
        <w:rPr>
          <w:lang w:val="en-US"/>
        </w:rPr>
        <w:t>143, 74</w:t>
      </w:r>
      <w:r w:rsidRPr="006E67FE">
        <w:rPr>
          <w:lang w:val="en-US"/>
        </w:rPr>
        <w:t xml:space="preserve"> = 52 U.S.L.W. </w:t>
      </w:r>
      <w:r w:rsidRPr="00F34447">
        <w:rPr>
          <w:lang w:val="en-US"/>
        </w:rPr>
        <w:t>5052 (1984)</w:t>
      </w:r>
      <w:r>
        <w:rPr>
          <w:lang w:val="en-US"/>
        </w:rPr>
        <w:t>.</w:t>
      </w:r>
    </w:p>
  </w:footnote>
  <w:footnote w:id="766">
    <w:p w14:paraId="720BB339"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Hudson v. Palmer</w:t>
      </w:r>
      <w:r w:rsidRPr="00BA1E56">
        <w:rPr>
          <w:lang w:val="en-US"/>
        </w:rPr>
        <w:t>, 468 U.S. 517, 523</w:t>
      </w:r>
      <w:r w:rsidRPr="006E67FE">
        <w:rPr>
          <w:lang w:val="en-US"/>
        </w:rPr>
        <w:t xml:space="preserve"> = 104 S. Ct. </w:t>
      </w:r>
      <w:r w:rsidRPr="00BA1E56">
        <w:rPr>
          <w:lang w:val="en-US"/>
        </w:rPr>
        <w:t>3194, 3198</w:t>
      </w:r>
      <w:r w:rsidRPr="006E67FE">
        <w:rPr>
          <w:lang w:val="en-US"/>
        </w:rPr>
        <w:t xml:space="preserve"> = 82 L. Ed. </w:t>
      </w:r>
      <w:r w:rsidRPr="00BA1E56">
        <w:rPr>
          <w:lang w:val="en-US"/>
        </w:rPr>
        <w:t>2d 393, 401</w:t>
      </w:r>
      <w:r w:rsidRPr="006E67FE">
        <w:rPr>
          <w:lang w:val="en-US"/>
        </w:rPr>
        <w:t xml:space="preserve"> = 1984 U.S. LEXIS </w:t>
      </w:r>
      <w:r w:rsidRPr="00BA1E56">
        <w:rPr>
          <w:lang w:val="en-US"/>
        </w:rPr>
        <w:t>143, 12</w:t>
      </w:r>
      <w:r w:rsidRPr="006E67FE">
        <w:rPr>
          <w:lang w:val="en-US"/>
        </w:rPr>
        <w:t xml:space="preserve"> = 52 U.S.L.W. </w:t>
      </w:r>
      <w:r w:rsidRPr="00BA1E56">
        <w:rPr>
          <w:lang w:val="en-US"/>
        </w:rPr>
        <w:t>5052 (1984)</w:t>
      </w:r>
      <w:r>
        <w:rPr>
          <w:lang w:val="en-US"/>
        </w:rPr>
        <w:t>.</w:t>
      </w:r>
    </w:p>
  </w:footnote>
  <w:footnote w:id="767">
    <w:p w14:paraId="45E78FF6" w14:textId="77777777" w:rsidR="00074551" w:rsidRPr="00172374" w:rsidRDefault="00074551" w:rsidP="00074551">
      <w:pPr>
        <w:pStyle w:val="Funotentext"/>
        <w:rPr>
          <w:lang w:val="en-US"/>
        </w:rPr>
      </w:pPr>
      <w:r>
        <w:rPr>
          <w:rStyle w:val="Funotenzeichen"/>
          <w:rFonts w:eastAsiaTheme="majorEastAsia"/>
        </w:rPr>
        <w:footnoteRef/>
      </w:r>
      <w:r w:rsidRPr="00172374">
        <w:rPr>
          <w:lang w:val="en-US"/>
        </w:rPr>
        <w:t xml:space="preserve"> </w:t>
      </w:r>
      <w:r w:rsidRPr="009747B9">
        <w:rPr>
          <w:lang w:val="en-US"/>
        </w:rPr>
        <w:t>https://law.justia.com/codes/south-carolina/2013/title-10/chapter-1/section-10-1-168</w:t>
      </w:r>
      <w:r w:rsidRPr="00B45592">
        <w:rPr>
          <w:rStyle w:val="Hyperlink"/>
          <w:color w:val="auto"/>
          <w:u w:val="none"/>
          <w:lang w:val="en-US"/>
        </w:rPr>
        <w:t xml:space="preserve"> (27.04.2026).</w:t>
      </w:r>
    </w:p>
  </w:footnote>
  <w:footnote w:id="768">
    <w:p w14:paraId="5F8AACC1"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Olmstead v. United States</w:t>
      </w:r>
      <w:r w:rsidRPr="00BA1E56">
        <w:rPr>
          <w:lang w:val="en-US"/>
        </w:rPr>
        <w:t>, 277 U.S. 438, 478 (1928) (</w:t>
      </w:r>
      <w:r w:rsidRPr="009E57E1">
        <w:rPr>
          <w:lang w:val="en-US"/>
        </w:rPr>
        <w:t xml:space="preserve">Dissens von Richter </w:t>
      </w:r>
      <w:r w:rsidRPr="00B45592">
        <w:rPr>
          <w:i/>
          <w:lang w:val="en-US"/>
        </w:rPr>
        <w:t>Brandeis</w:t>
      </w:r>
      <w:r w:rsidRPr="00BA1E56">
        <w:rPr>
          <w:lang w:val="en-US"/>
        </w:rPr>
        <w:t>)</w:t>
      </w:r>
      <w:r>
        <w:rPr>
          <w:lang w:val="en-US"/>
        </w:rPr>
        <w:t xml:space="preserve">; </w:t>
      </w:r>
      <w:r w:rsidRPr="009E57E1">
        <w:rPr>
          <w:i/>
          <w:lang w:val="en-US"/>
        </w:rPr>
        <w:t>Hudson v. Palmer</w:t>
      </w:r>
      <w:r w:rsidRPr="00BA1E56">
        <w:rPr>
          <w:lang w:val="en-US"/>
        </w:rPr>
        <w:t>, 468 U.S. 517, 556</w:t>
      </w:r>
      <w:r w:rsidRPr="006E67FE">
        <w:rPr>
          <w:lang w:val="en-US"/>
        </w:rPr>
        <w:t xml:space="preserve"> = 104 S. Ct. </w:t>
      </w:r>
      <w:r w:rsidRPr="00BA1E56">
        <w:rPr>
          <w:lang w:val="en-US"/>
        </w:rPr>
        <w:t>3194, 3216</w:t>
      </w:r>
      <w:r w:rsidRPr="006E67FE">
        <w:rPr>
          <w:lang w:val="en-US"/>
        </w:rPr>
        <w:t xml:space="preserve"> = 82 L. Ed. </w:t>
      </w:r>
      <w:r w:rsidRPr="00BA1E56">
        <w:rPr>
          <w:lang w:val="en-US"/>
        </w:rPr>
        <w:t>2d 393, 422</w:t>
      </w:r>
      <w:r w:rsidRPr="006E67FE">
        <w:rPr>
          <w:lang w:val="en-US"/>
        </w:rPr>
        <w:t xml:space="preserve"> = 1984 U.S. LEXIS </w:t>
      </w:r>
      <w:r w:rsidRPr="00BA1E56">
        <w:rPr>
          <w:lang w:val="en-US"/>
        </w:rPr>
        <w:t>143, 74</w:t>
      </w:r>
      <w:r w:rsidRPr="006E67FE">
        <w:rPr>
          <w:lang w:val="en-US"/>
        </w:rPr>
        <w:t xml:space="preserve"> = 52 U.S.L.W. </w:t>
      </w:r>
      <w:r w:rsidRPr="00BA1E56">
        <w:rPr>
          <w:lang w:val="en-US"/>
        </w:rPr>
        <w:t>5052 (1984)</w:t>
      </w:r>
      <w:r>
        <w:rPr>
          <w:lang w:val="en-US"/>
        </w:rPr>
        <w:t>.</w:t>
      </w:r>
    </w:p>
  </w:footnote>
  <w:footnote w:id="769">
    <w:p w14:paraId="66124087" w14:textId="77777777" w:rsidR="00074551" w:rsidRPr="009F01E7" w:rsidRDefault="00074551" w:rsidP="00074551">
      <w:pPr>
        <w:pStyle w:val="Funotentext"/>
        <w:rPr>
          <w:lang w:val="en-US"/>
        </w:rPr>
      </w:pPr>
      <w:r>
        <w:rPr>
          <w:rStyle w:val="Funotenzeichen"/>
          <w:rFonts w:eastAsiaTheme="majorEastAsia"/>
        </w:rPr>
        <w:footnoteRef/>
      </w:r>
      <w:r w:rsidRPr="009F01E7">
        <w:rPr>
          <w:lang w:val="en-US"/>
        </w:rPr>
        <w:t xml:space="preserve"> </w:t>
      </w:r>
      <w:r w:rsidRPr="009E57E1">
        <w:rPr>
          <w:i/>
          <w:lang w:val="en-US"/>
        </w:rPr>
        <w:t>Hudson v. Palmer</w:t>
      </w:r>
      <w:r w:rsidRPr="006646FC">
        <w:rPr>
          <w:lang w:val="en-US"/>
        </w:rPr>
        <w:t>, 468 U.S. 517</w:t>
      </w:r>
      <w:r>
        <w:rPr>
          <w:lang w:val="en-US"/>
        </w:rPr>
        <w:t xml:space="preserve"> (1984).</w:t>
      </w:r>
    </w:p>
  </w:footnote>
  <w:footnote w:id="770">
    <w:p w14:paraId="654261C5" w14:textId="77777777" w:rsidR="00074551" w:rsidRPr="00B45592" w:rsidRDefault="00074551" w:rsidP="00074551">
      <w:pPr>
        <w:pStyle w:val="Funotentext"/>
        <w:rPr>
          <w:lang w:val="en-IE"/>
        </w:rPr>
      </w:pPr>
      <w:r>
        <w:rPr>
          <w:rStyle w:val="Funotenzeichen"/>
          <w:rFonts w:eastAsiaTheme="majorEastAsia"/>
        </w:rPr>
        <w:footnoteRef/>
      </w:r>
      <w:r w:rsidRPr="000E3660">
        <w:rPr>
          <w:lang w:val="en-US"/>
        </w:rPr>
        <w:t xml:space="preserve"> </w:t>
      </w:r>
      <w:r>
        <w:rPr>
          <w:lang w:val="en-US"/>
        </w:rPr>
        <w:t>„</w:t>
      </w:r>
      <w:r w:rsidRPr="000E3660">
        <w:rPr>
          <w:lang w:val="en-US"/>
        </w:rPr>
        <w:t xml:space="preserve">The Ten Commandments have profoundly influenced the formation of Western legal thought and the formation of our country. That influence is clearly seen in the Declaration of Independence, which declared that </w:t>
      </w:r>
      <w:r>
        <w:rPr>
          <w:lang w:val="en-US"/>
        </w:rPr>
        <w:t>,</w:t>
      </w:r>
      <w:r w:rsidRPr="000E3660">
        <w:rPr>
          <w:lang w:val="en-US"/>
        </w:rPr>
        <w:t>We hold these truths to be self-evident, that all men are created equal, that they are endowed by their Creator with certain unalienable Rights, that among these are Life, Liberty, and the pursuit of Happiness.</w:t>
      </w:r>
      <w:r>
        <w:rPr>
          <w:lang w:val="en-US"/>
        </w:rPr>
        <w:t>‘</w:t>
      </w:r>
      <w:r w:rsidRPr="000E3660">
        <w:rPr>
          <w:lang w:val="en-US"/>
        </w:rPr>
        <w:t xml:space="preserve"> The Ten Commandments provide the moral background of the Declaration of Independence and the foundation of our legal tradition.</w:t>
      </w:r>
      <w:r>
        <w:rPr>
          <w:lang w:val="en-US"/>
        </w:rPr>
        <w:t xml:space="preserve">“, </w:t>
      </w:r>
      <w:r w:rsidRPr="009167A5">
        <w:rPr>
          <w:i/>
          <w:lang w:val="en-US"/>
        </w:rPr>
        <w:t>McCreary County v. ACLU</w:t>
      </w:r>
      <w:r w:rsidRPr="000E3660">
        <w:rPr>
          <w:lang w:val="en-US"/>
        </w:rPr>
        <w:t>, 545 U.S. 844, 856</w:t>
      </w:r>
      <w:r w:rsidRPr="006E67FE">
        <w:rPr>
          <w:lang w:val="en-US"/>
        </w:rPr>
        <w:t xml:space="preserve"> = 125 S. Ct. </w:t>
      </w:r>
      <w:r w:rsidRPr="000E3660">
        <w:rPr>
          <w:lang w:val="en-US"/>
        </w:rPr>
        <w:t>2722, 2731</w:t>
      </w:r>
      <w:r w:rsidRPr="006E67FE">
        <w:rPr>
          <w:lang w:val="en-US"/>
        </w:rPr>
        <w:t xml:space="preserve"> = 162 L. Ed. </w:t>
      </w:r>
      <w:r w:rsidRPr="000E3660">
        <w:rPr>
          <w:lang w:val="en-US"/>
        </w:rPr>
        <w:t>2d 729, 744</w:t>
      </w:r>
      <w:r w:rsidRPr="006E67FE">
        <w:rPr>
          <w:lang w:val="en-US"/>
        </w:rPr>
        <w:t xml:space="preserve"> = 2005 U.S. LEXIS </w:t>
      </w:r>
      <w:r w:rsidRPr="000E3660">
        <w:rPr>
          <w:lang w:val="en-US"/>
        </w:rPr>
        <w:t>5211, 23</w:t>
      </w:r>
      <w:r w:rsidRPr="006E67FE">
        <w:rPr>
          <w:lang w:val="en-US"/>
        </w:rPr>
        <w:t xml:space="preserve"> = 15 A.L.R. </w:t>
      </w:r>
      <w:r w:rsidRPr="000E3660">
        <w:rPr>
          <w:lang w:val="en-US"/>
        </w:rPr>
        <w:t>Fed. 2d 865</w:t>
      </w:r>
      <w:r w:rsidRPr="006E67FE">
        <w:rPr>
          <w:lang w:val="en-US"/>
        </w:rPr>
        <w:t xml:space="preserve"> = 18 Fla. L. </w:t>
      </w:r>
      <w:r w:rsidRPr="000E3660">
        <w:rPr>
          <w:lang w:val="en-US"/>
        </w:rPr>
        <w:t xml:space="preserve">Weekly Fed. </w:t>
      </w:r>
      <w:r w:rsidRPr="00B45592">
        <w:rPr>
          <w:lang w:val="en-IE"/>
        </w:rPr>
        <w:t>S 532 (2005).</w:t>
      </w:r>
    </w:p>
  </w:footnote>
  <w:footnote w:id="771">
    <w:p w14:paraId="3EAD9D88" w14:textId="1D007794" w:rsidR="00074551" w:rsidRPr="000E3660" w:rsidRDefault="00074551" w:rsidP="00074551">
      <w:pPr>
        <w:pStyle w:val="Funotentext"/>
      </w:pPr>
      <w:r>
        <w:rPr>
          <w:rStyle w:val="Funotenzeichen"/>
          <w:rFonts w:eastAsiaTheme="majorEastAsia"/>
        </w:rPr>
        <w:footnoteRef/>
      </w:r>
      <w:r w:rsidRPr="004F6665">
        <w:t xml:space="preserve"> Zum Schutz der Religion regelt </w:t>
      </w:r>
      <w:r w:rsidR="00023A37">
        <w:t xml:space="preserve">U.S. </w:t>
      </w:r>
      <w:proofErr w:type="spellStart"/>
      <w:r w:rsidR="00023A37">
        <w:t>Const</w:t>
      </w:r>
      <w:proofErr w:type="spellEnd"/>
      <w:r w:rsidR="00023A37">
        <w:t xml:space="preserve">. </w:t>
      </w:r>
      <w:proofErr w:type="spellStart"/>
      <w:r w:rsidR="00023A37">
        <w:t>amend</w:t>
      </w:r>
      <w:proofErr w:type="spellEnd"/>
      <w:r w:rsidR="00023A37">
        <w:t>. I</w:t>
      </w:r>
      <w:r w:rsidRPr="000E3660">
        <w:rPr>
          <w:lang w:val="en-US"/>
        </w:rPr>
        <w:t xml:space="preserve"> </w:t>
      </w:r>
      <w:proofErr w:type="spellStart"/>
      <w:r w:rsidRPr="000E3660">
        <w:rPr>
          <w:lang w:val="en-US"/>
        </w:rPr>
        <w:t>grundsätzlich</w:t>
      </w:r>
      <w:proofErr w:type="spellEnd"/>
      <w:r w:rsidRPr="000E3660">
        <w:rPr>
          <w:lang w:val="en-US"/>
        </w:rPr>
        <w:t>: „the Congress shall make no law respecting an establishment of religion,</w:t>
      </w:r>
      <w:r>
        <w:rPr>
          <w:lang w:val="en-US"/>
        </w:rPr>
        <w:t xml:space="preserve"> </w:t>
      </w:r>
      <w:r w:rsidRPr="000E3660">
        <w:rPr>
          <w:lang w:val="en-US"/>
        </w:rPr>
        <w:t>or prohibiting the free exercise thereof.</w:t>
      </w:r>
      <w:r>
        <w:rPr>
          <w:lang w:val="en-US"/>
        </w:rPr>
        <w:t>“</w:t>
      </w:r>
      <w:r w:rsidRPr="000E3660">
        <w:rPr>
          <w:lang w:val="en-US"/>
        </w:rPr>
        <w:t xml:space="preserve"> </w:t>
      </w:r>
      <w:r w:rsidRPr="000E3660">
        <w:t>Diese Beschränkung für Gesetze meint einerseits, es darf keine Staatsreligion geben (</w:t>
      </w:r>
      <w:r w:rsidRPr="00B45592">
        <w:rPr>
          <w:i/>
        </w:rPr>
        <w:t xml:space="preserve">Establishment </w:t>
      </w:r>
      <w:proofErr w:type="spellStart"/>
      <w:r w:rsidRPr="00B45592">
        <w:rPr>
          <w:i/>
        </w:rPr>
        <w:t>Clause</w:t>
      </w:r>
      <w:proofErr w:type="spellEnd"/>
      <w:r w:rsidRPr="000E3660">
        <w:t>)</w:t>
      </w:r>
      <w:r>
        <w:t>,</w:t>
      </w:r>
      <w:r w:rsidRPr="000E3660">
        <w:t xml:space="preserve"> und andererseits, der Staat solle die Religionsausübungsfreiheit sichern (</w:t>
      </w:r>
      <w:proofErr w:type="spellStart"/>
      <w:r w:rsidRPr="00B45592">
        <w:rPr>
          <w:i/>
        </w:rPr>
        <w:t>Compelling</w:t>
      </w:r>
      <w:proofErr w:type="spellEnd"/>
      <w:r w:rsidRPr="00B45592">
        <w:rPr>
          <w:i/>
        </w:rPr>
        <w:t xml:space="preserve"> Interest Doctrine</w:t>
      </w:r>
      <w:r w:rsidRPr="000E3660">
        <w:t>). Mit anderen Worten: Einerseits darf der Staat keine Religion oder eine nicht religiöse Haltung bevorzugen und andererseits ist die Religionsfreiheit gegen staatliche Eingriffe geschützt. Aus beidem leitet sich das Neutralitätsgebot für den Staats ab</w:t>
      </w:r>
      <w:r>
        <w:t xml:space="preserve">. </w:t>
      </w:r>
      <w:r w:rsidRPr="000E3660">
        <w:t xml:space="preserve">Dieses Gebot sichert </w:t>
      </w:r>
      <w:r>
        <w:t>das</w:t>
      </w:r>
      <w:r w:rsidRPr="000E3660">
        <w:t xml:space="preserve"> </w:t>
      </w:r>
      <w:proofErr w:type="spellStart"/>
      <w:r w:rsidRPr="000E3660">
        <w:rPr>
          <w:i/>
          <w:iCs/>
        </w:rPr>
        <w:t>pursuit</w:t>
      </w:r>
      <w:proofErr w:type="spellEnd"/>
      <w:r w:rsidRPr="000E3660">
        <w:rPr>
          <w:i/>
          <w:iCs/>
        </w:rPr>
        <w:t xml:space="preserve"> of </w:t>
      </w:r>
      <w:r>
        <w:rPr>
          <w:i/>
          <w:iCs/>
        </w:rPr>
        <w:t>H</w:t>
      </w:r>
      <w:r w:rsidRPr="000E3660">
        <w:rPr>
          <w:i/>
          <w:iCs/>
        </w:rPr>
        <w:t>appiness</w:t>
      </w:r>
      <w:r w:rsidRPr="000E3660">
        <w:t xml:space="preserve"> als Abwehrelement ab. Dabei räumt e</w:t>
      </w:r>
      <w:r>
        <w:t>s</w:t>
      </w:r>
      <w:r w:rsidRPr="000E3660">
        <w:t xml:space="preserve"> dem Einzelnen das Recht ein, seine Religion unabhängig </w:t>
      </w:r>
      <w:r>
        <w:t>vom</w:t>
      </w:r>
      <w:r w:rsidRPr="000E3660">
        <w:t xml:space="preserve"> Staat frei zu wählen und auszuüben – oder nicht. Eine weitere Folge des Neutralitätsgebots i</w:t>
      </w:r>
      <w:r>
        <w:t xml:space="preserve">n Verbindung mit </w:t>
      </w:r>
      <w:r w:rsidRPr="000E3660">
        <w:t>dem Recht, in Ruhe gelassen zu werden</w:t>
      </w:r>
      <w:r>
        <w:t>,</w:t>
      </w:r>
      <w:r w:rsidRPr="000E3660">
        <w:t xml:space="preserve"> ist: </w:t>
      </w:r>
      <w:r>
        <w:t>W</w:t>
      </w:r>
      <w:r w:rsidRPr="000E3660">
        <w:t xml:space="preserve">eder eine staatliche Förderung noch eine staatliche Beschränkung für Religionen </w:t>
      </w:r>
      <w:r>
        <w:t>ist</w:t>
      </w:r>
      <w:r w:rsidRPr="000E3660">
        <w:t xml:space="preserve"> im Grundsatz möglich. Denn der Staat hat dem Bürger Freiheit in seinen privaten Angelegenheiten zu gewähren. Und zivile Intoleranzen und Spaltungen sind zu verhüten, indem des Staats als objektiver und neutraler Beobachter agiert. Förderungen müssen daher einen säkularen Zweck verfolgen</w:t>
      </w:r>
      <w:r>
        <w:t>.</w:t>
      </w:r>
      <w:r w:rsidRPr="000E3660">
        <w:t xml:space="preserve"> Zwar darf der Staat sich zu </w:t>
      </w:r>
      <w:r>
        <w:t>r</w:t>
      </w:r>
      <w:r w:rsidRPr="000E3660">
        <w:t>eligiösen Vorgängen äußern und diese regeln. Dabei muss er aber neutral und vorrangig aus säkularem Zweck handeln</w:t>
      </w:r>
      <w:r>
        <w:t xml:space="preserve">; </w:t>
      </w:r>
      <w:r w:rsidRPr="000E3660">
        <w:t xml:space="preserve">vgl. </w:t>
      </w:r>
      <w:r w:rsidRPr="009167A5">
        <w:rPr>
          <w:i/>
        </w:rPr>
        <w:t>McCreary County v. ACLU</w:t>
      </w:r>
      <w:r w:rsidRPr="000E3660">
        <w:t>, 545 U.S. 844</w:t>
      </w:r>
      <w:r>
        <w:t xml:space="preserve"> </w:t>
      </w:r>
      <w:r w:rsidRPr="00B45592">
        <w:t>(2005).</w:t>
      </w:r>
    </w:p>
  </w:footnote>
  <w:footnote w:id="772">
    <w:p w14:paraId="25813184" w14:textId="77777777" w:rsidR="00074551" w:rsidRPr="004B7584" w:rsidRDefault="00074551" w:rsidP="00074551">
      <w:pPr>
        <w:pStyle w:val="Funotentext"/>
        <w:rPr>
          <w:lang w:val="en-US"/>
        </w:rPr>
      </w:pPr>
      <w:r>
        <w:rPr>
          <w:rStyle w:val="Funotenzeichen"/>
          <w:rFonts w:eastAsiaTheme="majorEastAsia"/>
        </w:rPr>
        <w:footnoteRef/>
      </w:r>
      <w:r w:rsidRPr="004B7584">
        <w:rPr>
          <w:lang w:val="en-US"/>
        </w:rPr>
        <w:t xml:space="preserve"> </w:t>
      </w:r>
      <w:r w:rsidRPr="009167A5">
        <w:rPr>
          <w:i/>
          <w:lang w:val="en-US"/>
        </w:rPr>
        <w:t>McCreary County v. ACLU</w:t>
      </w:r>
      <w:r w:rsidRPr="004B7584">
        <w:rPr>
          <w:lang w:val="en-US"/>
        </w:rPr>
        <w:t>, 545 U.S. 844</w:t>
      </w:r>
      <w:r>
        <w:rPr>
          <w:lang w:val="en-US"/>
        </w:rPr>
        <w:t xml:space="preserve"> </w:t>
      </w:r>
      <w:r w:rsidRPr="003A4369">
        <w:rPr>
          <w:lang w:val="en-US"/>
        </w:rPr>
        <w:t>(2005)</w:t>
      </w:r>
      <w:r>
        <w:rPr>
          <w:lang w:val="en-US"/>
        </w:rPr>
        <w:t>.</w:t>
      </w:r>
    </w:p>
  </w:footnote>
  <w:footnote w:id="773">
    <w:p w14:paraId="685556E3" w14:textId="77777777" w:rsidR="00074551" w:rsidRPr="003A4369" w:rsidRDefault="00074551" w:rsidP="00074551">
      <w:pPr>
        <w:pStyle w:val="Funotentext"/>
        <w:rPr>
          <w:lang w:val="en-US"/>
        </w:rPr>
      </w:pPr>
      <w:r>
        <w:rPr>
          <w:rStyle w:val="Funotenzeichen"/>
          <w:rFonts w:eastAsiaTheme="majorEastAsia"/>
        </w:rPr>
        <w:footnoteRef/>
      </w:r>
      <w:r w:rsidRPr="003A4369">
        <w:rPr>
          <w:lang w:val="en-US"/>
        </w:rPr>
        <w:t xml:space="preserve"> </w:t>
      </w:r>
      <w:proofErr w:type="gramStart"/>
      <w:r w:rsidRPr="003A4369">
        <w:rPr>
          <w:lang w:val="en-US"/>
        </w:rPr>
        <w:t>„</w:t>
      </w:r>
      <w:r>
        <w:rPr>
          <w:lang w:val="en-US"/>
        </w:rPr>
        <w:t>,</w:t>
      </w:r>
      <w:r w:rsidRPr="003A4369">
        <w:rPr>
          <w:lang w:val="en-US"/>
        </w:rPr>
        <w:t>The</w:t>
      </w:r>
      <w:proofErr w:type="gramEnd"/>
      <w:r w:rsidRPr="003A4369">
        <w:rPr>
          <w:lang w:val="en-US"/>
        </w:rPr>
        <w:t xml:space="preserve"> Foundations of American Law and Government </w:t>
      </w:r>
      <w:proofErr w:type="gramStart"/>
      <w:r w:rsidRPr="003A4369">
        <w:rPr>
          <w:lang w:val="en-US"/>
        </w:rPr>
        <w:t>Display</w:t>
      </w:r>
      <w:r>
        <w:rPr>
          <w:lang w:val="en-US"/>
        </w:rPr>
        <w:t>‘</w:t>
      </w:r>
      <w:r w:rsidRPr="003A4369">
        <w:rPr>
          <w:lang w:val="en-US"/>
        </w:rPr>
        <w:t xml:space="preserve"> consists</w:t>
      </w:r>
      <w:proofErr w:type="gramEnd"/>
      <w:r w:rsidRPr="003A4369">
        <w:rPr>
          <w:lang w:val="en-US"/>
        </w:rPr>
        <w:t xml:space="preserve"> of nine framed documents of equal size. One sets out the Commandments explicitly identified as </w:t>
      </w:r>
      <w:proofErr w:type="gramStart"/>
      <w:r w:rsidRPr="003A4369">
        <w:rPr>
          <w:lang w:val="en-US"/>
        </w:rPr>
        <w:t xml:space="preserve">the </w:t>
      </w:r>
      <w:r>
        <w:rPr>
          <w:lang w:val="en-US"/>
        </w:rPr>
        <w:t>,</w:t>
      </w:r>
      <w:r w:rsidRPr="003A4369">
        <w:rPr>
          <w:lang w:val="en-US"/>
        </w:rPr>
        <w:t>King</w:t>
      </w:r>
      <w:proofErr w:type="gramEnd"/>
      <w:r w:rsidRPr="003A4369">
        <w:rPr>
          <w:lang w:val="en-US"/>
        </w:rPr>
        <w:t xml:space="preserve"> James </w:t>
      </w:r>
      <w:proofErr w:type="gramStart"/>
      <w:r w:rsidRPr="003A4369">
        <w:rPr>
          <w:lang w:val="en-US"/>
        </w:rPr>
        <w:t>Version</w:t>
      </w:r>
      <w:r>
        <w:rPr>
          <w:lang w:val="en-US"/>
        </w:rPr>
        <w:t>‘</w:t>
      </w:r>
      <w:proofErr w:type="gramEnd"/>
      <w:r>
        <w:rPr>
          <w:lang w:val="en-US"/>
        </w:rPr>
        <w:t>,</w:t>
      </w:r>
      <w:r w:rsidRPr="003A4369">
        <w:rPr>
          <w:lang w:val="en-US"/>
        </w:rPr>
        <w:t xml:space="preserve"> quotes them at greater length, and explains that they have profoundly influenced the formation of Western legal thought and this Nation. With the Commandments are framed copies of, e.g., the </w:t>
      </w:r>
      <w:proofErr w:type="gramStart"/>
      <w:r w:rsidRPr="003A4369">
        <w:rPr>
          <w:lang w:val="en-US"/>
        </w:rPr>
        <w:t>Star Spangled</w:t>
      </w:r>
      <w:proofErr w:type="gramEnd"/>
      <w:r w:rsidRPr="003A4369">
        <w:rPr>
          <w:lang w:val="en-US"/>
        </w:rPr>
        <w:t xml:space="preserve"> Banner</w:t>
      </w:r>
      <w:r>
        <w:rPr>
          <w:lang w:val="en-US"/>
        </w:rPr>
        <w:t>’</w:t>
      </w:r>
      <w:r w:rsidRPr="003A4369">
        <w:rPr>
          <w:lang w:val="en-US"/>
        </w:rPr>
        <w:t>s lyrics and the Declaration of Independence, accompanied by statements about their historical and legal significance. On the ACLU</w:t>
      </w:r>
      <w:r>
        <w:rPr>
          <w:lang w:val="en-US"/>
        </w:rPr>
        <w:t>’</w:t>
      </w:r>
      <w:r w:rsidRPr="003A4369">
        <w:rPr>
          <w:lang w:val="en-US"/>
        </w:rPr>
        <w:t>s motion, the District Court included this third display in the injunction despite the Counties</w:t>
      </w:r>
      <w:r>
        <w:rPr>
          <w:lang w:val="en-US"/>
        </w:rPr>
        <w:t>’</w:t>
      </w:r>
      <w:r w:rsidRPr="003A4369">
        <w:rPr>
          <w:lang w:val="en-US"/>
        </w:rPr>
        <w:t xml:space="preserve"> professed intent to show that the Commandments were part of the foundation of American Law and Government and to educate county citizens as to the </w:t>
      </w:r>
      <w:proofErr w:type="gramStart"/>
      <w:r w:rsidRPr="003A4369">
        <w:rPr>
          <w:lang w:val="en-US"/>
        </w:rPr>
        <w:t>documents</w:t>
      </w:r>
      <w:r>
        <w:rPr>
          <w:lang w:val="en-US"/>
        </w:rPr>
        <w:t>“</w:t>
      </w:r>
      <w:proofErr w:type="gramEnd"/>
      <w:r>
        <w:rPr>
          <w:lang w:val="en-US"/>
        </w:rPr>
        <w:t>;</w:t>
      </w:r>
      <w:r w:rsidRPr="003A4369">
        <w:rPr>
          <w:lang w:val="en-US"/>
        </w:rPr>
        <w:t xml:space="preserve"> </w:t>
      </w:r>
      <w:r w:rsidRPr="009167A5">
        <w:rPr>
          <w:i/>
          <w:lang w:val="en-US"/>
        </w:rPr>
        <w:t>McCreary County v. ACLU</w:t>
      </w:r>
      <w:r w:rsidRPr="003A4369">
        <w:rPr>
          <w:lang w:val="en-US"/>
        </w:rPr>
        <w:t>, 545 U.S. 844, 850</w:t>
      </w:r>
      <w:r w:rsidRPr="006E67FE">
        <w:rPr>
          <w:lang w:val="en-US"/>
        </w:rPr>
        <w:t xml:space="preserve"> = 125 S. Ct. </w:t>
      </w:r>
      <w:r w:rsidRPr="003A4369">
        <w:rPr>
          <w:lang w:val="en-US"/>
        </w:rPr>
        <w:t>2722, 2727</w:t>
      </w:r>
      <w:r w:rsidRPr="006E67FE">
        <w:rPr>
          <w:lang w:val="en-US"/>
        </w:rPr>
        <w:t xml:space="preserve"> = 162 L. Ed. </w:t>
      </w:r>
      <w:r w:rsidRPr="003A4369">
        <w:rPr>
          <w:lang w:val="en-US"/>
        </w:rPr>
        <w:t>2d 729, 736-737</w:t>
      </w:r>
      <w:r w:rsidRPr="006E67FE">
        <w:rPr>
          <w:lang w:val="en-US"/>
        </w:rPr>
        <w:t xml:space="preserve"> = 2005 U.S. LEXIS </w:t>
      </w:r>
      <w:r w:rsidRPr="003A4369">
        <w:rPr>
          <w:lang w:val="en-US"/>
        </w:rPr>
        <w:t>5211, 2</w:t>
      </w:r>
      <w:r>
        <w:rPr>
          <w:lang w:val="en-US"/>
        </w:rPr>
        <w:t>–</w:t>
      </w:r>
      <w:r w:rsidRPr="003A4369">
        <w:rPr>
          <w:lang w:val="en-US"/>
        </w:rPr>
        <w:t>3</w:t>
      </w:r>
      <w:r w:rsidRPr="006E67FE">
        <w:rPr>
          <w:lang w:val="en-US"/>
        </w:rPr>
        <w:t xml:space="preserve"> = 15 A.L.R. </w:t>
      </w:r>
      <w:r w:rsidRPr="003A4369">
        <w:rPr>
          <w:lang w:val="en-US"/>
        </w:rPr>
        <w:t>Fed. 2d 865</w:t>
      </w:r>
      <w:r w:rsidRPr="006E67FE">
        <w:rPr>
          <w:lang w:val="en-US"/>
        </w:rPr>
        <w:t xml:space="preserve"> = 18 Fla. L. </w:t>
      </w:r>
      <w:r w:rsidRPr="003A4369">
        <w:rPr>
          <w:lang w:val="en-US"/>
        </w:rPr>
        <w:t>Weekly Fed. S 532 (2005)</w:t>
      </w:r>
      <w:r>
        <w:rPr>
          <w:lang w:val="en-US"/>
        </w:rPr>
        <w:t>.</w:t>
      </w:r>
    </w:p>
  </w:footnote>
  <w:footnote w:id="774">
    <w:p w14:paraId="2CF33CAD" w14:textId="77777777" w:rsidR="00074551" w:rsidRPr="00483017" w:rsidRDefault="00074551" w:rsidP="00074551">
      <w:pPr>
        <w:pStyle w:val="Funotentext"/>
        <w:rPr>
          <w:lang w:val="en-US"/>
        </w:rPr>
      </w:pPr>
      <w:r>
        <w:rPr>
          <w:rStyle w:val="Funotenzeichen"/>
          <w:rFonts w:eastAsiaTheme="majorEastAsia"/>
        </w:rPr>
        <w:footnoteRef/>
      </w:r>
      <w:r w:rsidRPr="00483017">
        <w:rPr>
          <w:lang w:val="en-US"/>
        </w:rPr>
        <w:t xml:space="preserve"> </w:t>
      </w:r>
      <w:r w:rsidRPr="009167A5">
        <w:rPr>
          <w:i/>
          <w:lang w:val="en-US"/>
        </w:rPr>
        <w:t>McCreary County v. ACLU</w:t>
      </w:r>
      <w:r w:rsidRPr="00483017">
        <w:rPr>
          <w:lang w:val="en-US"/>
        </w:rPr>
        <w:t>, 545 U.S. 844, 873</w:t>
      </w:r>
      <w:r w:rsidRPr="006E67FE">
        <w:rPr>
          <w:lang w:val="en-US"/>
        </w:rPr>
        <w:t xml:space="preserve"> = 125 S. Ct. </w:t>
      </w:r>
      <w:r w:rsidRPr="00483017">
        <w:rPr>
          <w:lang w:val="en-US"/>
        </w:rPr>
        <w:t>2722, 2741</w:t>
      </w:r>
      <w:r w:rsidRPr="006E67FE">
        <w:rPr>
          <w:lang w:val="en-US"/>
        </w:rPr>
        <w:t xml:space="preserve"> = 162 L. Ed. </w:t>
      </w:r>
      <w:r w:rsidRPr="00483017">
        <w:rPr>
          <w:lang w:val="en-US"/>
        </w:rPr>
        <w:t>2d 729, 755</w:t>
      </w:r>
      <w:r w:rsidRPr="006E67FE">
        <w:rPr>
          <w:lang w:val="en-US"/>
        </w:rPr>
        <w:t xml:space="preserve"> = 2005 U.S. LEXIS </w:t>
      </w:r>
      <w:r w:rsidRPr="00483017">
        <w:rPr>
          <w:lang w:val="en-US"/>
        </w:rPr>
        <w:t>5211, 52</w:t>
      </w:r>
      <w:r w:rsidRPr="006E67FE">
        <w:rPr>
          <w:lang w:val="en-US"/>
        </w:rPr>
        <w:t xml:space="preserve"> = 15 A.L.R. </w:t>
      </w:r>
      <w:r w:rsidRPr="00483017">
        <w:rPr>
          <w:lang w:val="en-US"/>
        </w:rPr>
        <w:t>Fed. 2d 865</w:t>
      </w:r>
      <w:r w:rsidRPr="006E67FE">
        <w:rPr>
          <w:lang w:val="en-US"/>
        </w:rPr>
        <w:t xml:space="preserve"> = 18 Fla. L. </w:t>
      </w:r>
      <w:r w:rsidRPr="00483017">
        <w:rPr>
          <w:lang w:val="en-US"/>
        </w:rPr>
        <w:t>Weekly Fed. S 532 (2005)</w:t>
      </w:r>
      <w:r>
        <w:rPr>
          <w:lang w:val="en-US"/>
        </w:rPr>
        <w:t>.</w:t>
      </w:r>
    </w:p>
  </w:footnote>
  <w:footnote w:id="775">
    <w:p w14:paraId="0A6B7625" w14:textId="77777777" w:rsidR="00074551" w:rsidRPr="00483017" w:rsidRDefault="00074551" w:rsidP="00074551">
      <w:pPr>
        <w:pStyle w:val="Funotentext"/>
        <w:rPr>
          <w:lang w:val="en-US"/>
        </w:rPr>
      </w:pPr>
      <w:r>
        <w:rPr>
          <w:rStyle w:val="Funotenzeichen"/>
          <w:rFonts w:eastAsiaTheme="majorEastAsia"/>
        </w:rPr>
        <w:footnoteRef/>
      </w:r>
      <w:r w:rsidRPr="00483017">
        <w:rPr>
          <w:lang w:val="en-US"/>
        </w:rPr>
        <w:t xml:space="preserve"> </w:t>
      </w:r>
      <w:r w:rsidRPr="009167A5">
        <w:rPr>
          <w:i/>
          <w:lang w:val="en-US"/>
        </w:rPr>
        <w:t>McCreary County v. ACLU</w:t>
      </w:r>
      <w:r w:rsidRPr="00483017">
        <w:rPr>
          <w:lang w:val="en-US"/>
        </w:rPr>
        <w:t>, 545 U.S. 844, 872</w:t>
      </w:r>
      <w:r w:rsidRPr="006E67FE">
        <w:rPr>
          <w:lang w:val="en-US"/>
        </w:rPr>
        <w:t xml:space="preserve"> = 125 S. Ct. </w:t>
      </w:r>
      <w:r w:rsidRPr="00483017">
        <w:rPr>
          <w:lang w:val="en-US"/>
        </w:rPr>
        <w:t>2722, 2740</w:t>
      </w:r>
      <w:r w:rsidRPr="006E67FE">
        <w:rPr>
          <w:lang w:val="en-US"/>
        </w:rPr>
        <w:t xml:space="preserve"> = 162 L. Ed. </w:t>
      </w:r>
      <w:r w:rsidRPr="00483017">
        <w:rPr>
          <w:lang w:val="en-US"/>
        </w:rPr>
        <w:t>2d 729, 754</w:t>
      </w:r>
      <w:r w:rsidRPr="006E67FE">
        <w:rPr>
          <w:lang w:val="en-US"/>
        </w:rPr>
        <w:t xml:space="preserve"> = 2005 U.S. LEXIS </w:t>
      </w:r>
      <w:r w:rsidRPr="00483017">
        <w:rPr>
          <w:lang w:val="en-US"/>
        </w:rPr>
        <w:t>5211, 52</w:t>
      </w:r>
      <w:r w:rsidRPr="006E67FE">
        <w:rPr>
          <w:lang w:val="en-US"/>
        </w:rPr>
        <w:t xml:space="preserve"> = 15 A.L.R. </w:t>
      </w:r>
      <w:r w:rsidRPr="00483017">
        <w:rPr>
          <w:lang w:val="en-US"/>
        </w:rPr>
        <w:t>Fed. 2d 865</w:t>
      </w:r>
      <w:r w:rsidRPr="006E67FE">
        <w:rPr>
          <w:lang w:val="en-US"/>
        </w:rPr>
        <w:t xml:space="preserve"> = 18 Fla. L. </w:t>
      </w:r>
      <w:r w:rsidRPr="00483017">
        <w:rPr>
          <w:lang w:val="en-US"/>
        </w:rPr>
        <w:t>Weekly Fed. S 532 (2005)</w:t>
      </w:r>
      <w:r>
        <w:rPr>
          <w:lang w:val="en-US"/>
        </w:rPr>
        <w:t>.</w:t>
      </w:r>
    </w:p>
  </w:footnote>
  <w:footnote w:id="776">
    <w:p w14:paraId="57A00CE2" w14:textId="77777777" w:rsidR="00074551" w:rsidRPr="000E3660" w:rsidRDefault="00074551" w:rsidP="00074551">
      <w:pPr>
        <w:pStyle w:val="Funotentext"/>
        <w:rPr>
          <w:lang w:val="en-US"/>
        </w:rPr>
      </w:pPr>
      <w:r>
        <w:rPr>
          <w:rStyle w:val="Funotenzeichen"/>
          <w:rFonts w:eastAsiaTheme="majorEastAsia"/>
        </w:rPr>
        <w:footnoteRef/>
      </w:r>
      <w:r w:rsidRPr="00483017">
        <w:rPr>
          <w:lang w:val="en-US"/>
        </w:rPr>
        <w:t xml:space="preserve"> </w:t>
      </w:r>
      <w:r w:rsidRPr="009167A5">
        <w:rPr>
          <w:i/>
          <w:lang w:val="en-US"/>
        </w:rPr>
        <w:t>McCreary County v. ACLU</w:t>
      </w:r>
      <w:r w:rsidRPr="00483017">
        <w:rPr>
          <w:lang w:val="en-US"/>
        </w:rPr>
        <w:t>, 545 U.S. 844, 873</w:t>
      </w:r>
      <w:r w:rsidRPr="006E67FE">
        <w:rPr>
          <w:lang w:val="en-US"/>
        </w:rPr>
        <w:t xml:space="preserve"> = 125 S. Ct. </w:t>
      </w:r>
      <w:r w:rsidRPr="00483017">
        <w:rPr>
          <w:lang w:val="en-US"/>
        </w:rPr>
        <w:t>2722, 2741</w:t>
      </w:r>
      <w:r w:rsidRPr="006E67FE">
        <w:rPr>
          <w:lang w:val="en-US"/>
        </w:rPr>
        <w:t xml:space="preserve"> = 162 L. Ed. </w:t>
      </w:r>
      <w:r w:rsidRPr="00483017">
        <w:rPr>
          <w:lang w:val="en-US"/>
        </w:rPr>
        <w:t>2d 729, 755</w:t>
      </w:r>
      <w:r w:rsidRPr="006E67FE">
        <w:rPr>
          <w:lang w:val="en-US"/>
        </w:rPr>
        <w:t xml:space="preserve"> = 2005 U.S. LEXIS </w:t>
      </w:r>
      <w:r w:rsidRPr="00483017">
        <w:rPr>
          <w:lang w:val="en-US"/>
        </w:rPr>
        <w:t>5211, 52</w:t>
      </w:r>
      <w:r w:rsidRPr="006E67FE">
        <w:rPr>
          <w:lang w:val="en-US"/>
        </w:rPr>
        <w:t xml:space="preserve"> = 15 A.L.R. </w:t>
      </w:r>
      <w:r w:rsidRPr="00483017">
        <w:rPr>
          <w:lang w:val="en-US"/>
        </w:rPr>
        <w:t>Fed. 2d 865</w:t>
      </w:r>
      <w:r w:rsidRPr="006E67FE">
        <w:rPr>
          <w:lang w:val="en-US"/>
        </w:rPr>
        <w:t xml:space="preserve"> = 18 Fla. L. </w:t>
      </w:r>
      <w:r w:rsidRPr="00483017">
        <w:rPr>
          <w:lang w:val="en-US"/>
        </w:rPr>
        <w:t xml:space="preserve">Weekly Fed. </w:t>
      </w:r>
      <w:r w:rsidRPr="000E3660">
        <w:rPr>
          <w:lang w:val="en-US"/>
        </w:rPr>
        <w:t>S 532 (2005</w:t>
      </w:r>
      <w:r>
        <w:rPr>
          <w:lang w:val="en-US"/>
        </w:rPr>
        <w:t>)</w:t>
      </w:r>
      <w:r w:rsidRPr="000E3660">
        <w:rPr>
          <w:lang w:val="en-US"/>
        </w:rPr>
        <w:t>.</w:t>
      </w:r>
    </w:p>
  </w:footnote>
  <w:footnote w:id="777">
    <w:p w14:paraId="321B10B8"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Pr>
          <w:lang w:val="en-US"/>
        </w:rPr>
        <w:t>„</w:t>
      </w:r>
      <w:r w:rsidRPr="00BA1E56">
        <w:rPr>
          <w:lang w:val="en-US"/>
        </w:rPr>
        <w:t xml:space="preserve">Be it enacted by the Senate and House of Representatives of the United States of America in Congress assembled, that from and after the passage of this act it shall be unlawful for any person, company, partnership, or corporation, in any manner whatsoever, to prepay the transportation, or in any way assist or encourage the importation or migration of any alien or aliens, any foreigner or foreigners, into the United States, its territories, or the District of Columbia, under contract or agreement, </w:t>
      </w:r>
      <w:proofErr w:type="spellStart"/>
      <w:r w:rsidRPr="00BA1E56">
        <w:rPr>
          <w:lang w:val="en-US"/>
        </w:rPr>
        <w:t>parol</w:t>
      </w:r>
      <w:proofErr w:type="spellEnd"/>
      <w:r w:rsidRPr="00BA1E56">
        <w:rPr>
          <w:lang w:val="en-US"/>
        </w:rPr>
        <w:t xml:space="preserve"> or special, express or implied, made previous to the importation or migration of such alien or aliens, foreigner or foreigners, to perform labor or service of any kind in the United States, its territories, or the District of Columbia</w:t>
      </w:r>
      <w:r>
        <w:rPr>
          <w:lang w:val="en-US"/>
        </w:rPr>
        <w:t xml:space="preserve">.“, </w:t>
      </w:r>
      <w:r w:rsidRPr="009167A5">
        <w:rPr>
          <w:i/>
          <w:lang w:val="en-US"/>
        </w:rPr>
        <w:t>Church of the Holy Trinity v. United States</w:t>
      </w:r>
      <w:r w:rsidRPr="00BA1E56">
        <w:rPr>
          <w:lang w:val="en-US"/>
        </w:rPr>
        <w:t>, 143 U.S. 457, 457</w:t>
      </w:r>
      <w:r w:rsidRPr="003B741A">
        <w:rPr>
          <w:lang w:val="en-US"/>
        </w:rPr>
        <w:t xml:space="preserve"> = 12 S. Ct</w:t>
      </w:r>
      <w:r w:rsidRPr="00BA1E56">
        <w:rPr>
          <w:lang w:val="en-US"/>
        </w:rPr>
        <w:t>. 511, 511</w:t>
      </w:r>
      <w:r w:rsidRPr="003B741A">
        <w:rPr>
          <w:lang w:val="en-US"/>
        </w:rPr>
        <w:t xml:space="preserve"> = 36 L. Ed</w:t>
      </w:r>
      <w:r w:rsidRPr="00BA1E56">
        <w:rPr>
          <w:lang w:val="en-US"/>
        </w:rPr>
        <w:t>. 226, 227</w:t>
      </w:r>
      <w:r w:rsidRPr="003B741A">
        <w:rPr>
          <w:lang w:val="en-US"/>
        </w:rPr>
        <w:t xml:space="preserve"> = 1892 U.S. LEXIS </w:t>
      </w:r>
      <w:r w:rsidRPr="00BA1E56">
        <w:rPr>
          <w:lang w:val="en-US"/>
        </w:rPr>
        <w:t>2036, 1 (1892)</w:t>
      </w:r>
      <w:r>
        <w:rPr>
          <w:lang w:val="en-US"/>
        </w:rPr>
        <w:t>.</w:t>
      </w:r>
    </w:p>
  </w:footnote>
  <w:footnote w:id="778">
    <w:p w14:paraId="535D3BC8" w14:textId="77777777" w:rsidR="00074551" w:rsidRPr="0015398C" w:rsidRDefault="00074551" w:rsidP="00074551">
      <w:pPr>
        <w:pStyle w:val="Funotentext"/>
        <w:rPr>
          <w:lang w:val="en-US"/>
        </w:rPr>
      </w:pPr>
      <w:r>
        <w:rPr>
          <w:rStyle w:val="Funotenzeichen"/>
        </w:rPr>
        <w:footnoteRef/>
      </w:r>
      <w:r w:rsidRPr="0015398C">
        <w:rPr>
          <w:lang w:val="en-US"/>
        </w:rPr>
        <w:t xml:space="preserve"> </w:t>
      </w:r>
      <w:r w:rsidRPr="009167A5">
        <w:rPr>
          <w:i/>
          <w:lang w:val="en-US"/>
        </w:rPr>
        <w:t>Church of the Holy Trinity v. United States</w:t>
      </w:r>
      <w:r w:rsidRPr="0015398C">
        <w:rPr>
          <w:lang w:val="en-US"/>
        </w:rPr>
        <w:t>, 143 U.S. 457, 457</w:t>
      </w:r>
      <w:r w:rsidRPr="003B741A">
        <w:rPr>
          <w:lang w:val="en-US"/>
        </w:rPr>
        <w:t xml:space="preserve"> = 12 S. Ct</w:t>
      </w:r>
      <w:r w:rsidRPr="0015398C">
        <w:rPr>
          <w:lang w:val="en-US"/>
        </w:rPr>
        <w:t>. 511, 511</w:t>
      </w:r>
      <w:r w:rsidRPr="003B741A">
        <w:rPr>
          <w:lang w:val="en-US"/>
        </w:rPr>
        <w:t xml:space="preserve"> = 36 L. Ed</w:t>
      </w:r>
      <w:r w:rsidRPr="0015398C">
        <w:rPr>
          <w:lang w:val="en-US"/>
        </w:rPr>
        <w:t>. 226, 227</w:t>
      </w:r>
      <w:r w:rsidRPr="003B741A">
        <w:rPr>
          <w:lang w:val="en-US"/>
        </w:rPr>
        <w:t xml:space="preserve"> = 1892 U.S. LEXIS </w:t>
      </w:r>
      <w:r w:rsidRPr="0015398C">
        <w:rPr>
          <w:lang w:val="en-US"/>
        </w:rPr>
        <w:t>2036, 1 (1892).</w:t>
      </w:r>
    </w:p>
  </w:footnote>
  <w:footnote w:id="779">
    <w:p w14:paraId="3ACB58CC" w14:textId="77777777" w:rsidR="00074551" w:rsidRPr="0015398C" w:rsidRDefault="00074551" w:rsidP="00074551">
      <w:pPr>
        <w:pStyle w:val="Funotentext"/>
        <w:rPr>
          <w:lang w:val="en-US"/>
        </w:rPr>
      </w:pPr>
      <w:r>
        <w:rPr>
          <w:rStyle w:val="Funotenzeichen"/>
        </w:rPr>
        <w:footnoteRef/>
      </w:r>
      <w:r w:rsidRPr="0015398C">
        <w:rPr>
          <w:lang w:val="en-US"/>
        </w:rPr>
        <w:t xml:space="preserve"> </w:t>
      </w:r>
      <w:r w:rsidRPr="009167A5">
        <w:rPr>
          <w:i/>
          <w:lang w:val="en-US"/>
        </w:rPr>
        <w:t>Church of the Holy Trinity v. United States</w:t>
      </w:r>
      <w:r w:rsidRPr="0015398C">
        <w:rPr>
          <w:lang w:val="en-US"/>
        </w:rPr>
        <w:t>, 143 U.S. 457, 457</w:t>
      </w:r>
      <w:r w:rsidRPr="003B741A">
        <w:rPr>
          <w:lang w:val="en-US"/>
        </w:rPr>
        <w:t xml:space="preserve"> = 12 S. Ct</w:t>
      </w:r>
      <w:r w:rsidRPr="0015398C">
        <w:rPr>
          <w:lang w:val="en-US"/>
        </w:rPr>
        <w:t>. 511, 511</w:t>
      </w:r>
      <w:r w:rsidRPr="003B741A">
        <w:rPr>
          <w:lang w:val="en-US"/>
        </w:rPr>
        <w:t xml:space="preserve"> = 36 L. Ed</w:t>
      </w:r>
      <w:r w:rsidRPr="0015398C">
        <w:rPr>
          <w:lang w:val="en-US"/>
        </w:rPr>
        <w:t>. 226, 227</w:t>
      </w:r>
      <w:r w:rsidRPr="003B741A">
        <w:rPr>
          <w:lang w:val="en-US"/>
        </w:rPr>
        <w:t xml:space="preserve"> = 1892 U.S. LEXIS </w:t>
      </w:r>
      <w:r w:rsidRPr="0015398C">
        <w:rPr>
          <w:lang w:val="en-US"/>
        </w:rPr>
        <w:t>2036, 1 (1892)</w:t>
      </w:r>
      <w:r>
        <w:rPr>
          <w:lang w:val="en-US"/>
        </w:rPr>
        <w:t>.</w:t>
      </w:r>
    </w:p>
  </w:footnote>
  <w:footnote w:id="780">
    <w:p w14:paraId="261A6E97"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Pr>
          <w:lang w:val="en-US"/>
        </w:rPr>
        <w:t>„</w:t>
      </w:r>
      <w:r w:rsidRPr="00BA1E56">
        <w:rPr>
          <w:lang w:val="en-US"/>
        </w:rPr>
        <w:t xml:space="preserve">We hold these truths to be self-evident, that all men are created equal, that they are endowed by their Creator with certain unalienable Rights, that among these are Life, Liberty, and the pursuit of </w:t>
      </w:r>
      <w:proofErr w:type="gramStart"/>
      <w:r w:rsidRPr="00BA1E56">
        <w:rPr>
          <w:lang w:val="en-US"/>
        </w:rPr>
        <w:t>Happiness.</w:t>
      </w:r>
      <w:r>
        <w:rPr>
          <w:lang w:val="en-US"/>
        </w:rPr>
        <w:t>“</w:t>
      </w:r>
      <w:proofErr w:type="gramEnd"/>
      <w:r>
        <w:rPr>
          <w:lang w:val="en-US"/>
        </w:rPr>
        <w:t xml:space="preserve">, </w:t>
      </w:r>
      <w:r w:rsidRPr="009167A5">
        <w:rPr>
          <w:i/>
          <w:lang w:val="en-US"/>
        </w:rPr>
        <w:t>Church of the Holy Trinity v. United States</w:t>
      </w:r>
      <w:r w:rsidRPr="00BA1E56">
        <w:rPr>
          <w:lang w:val="en-US"/>
        </w:rPr>
        <w:t>, 143 U.S. 457, 467</w:t>
      </w:r>
      <w:r w:rsidRPr="003B741A">
        <w:rPr>
          <w:lang w:val="en-US"/>
        </w:rPr>
        <w:t xml:space="preserve"> = 12 S. Ct</w:t>
      </w:r>
      <w:r w:rsidRPr="00BA1E56">
        <w:rPr>
          <w:lang w:val="en-US"/>
        </w:rPr>
        <w:t>. 511, 515</w:t>
      </w:r>
      <w:r w:rsidRPr="003B741A">
        <w:rPr>
          <w:lang w:val="en-US"/>
        </w:rPr>
        <w:t xml:space="preserve"> = 36 L. Ed</w:t>
      </w:r>
      <w:r w:rsidRPr="00BA1E56">
        <w:rPr>
          <w:lang w:val="en-US"/>
        </w:rPr>
        <w:t>. 226, 231</w:t>
      </w:r>
      <w:r w:rsidRPr="003B741A">
        <w:rPr>
          <w:lang w:val="en-US"/>
        </w:rPr>
        <w:t xml:space="preserve"> = 1892 U.S. LEXIS </w:t>
      </w:r>
      <w:r w:rsidRPr="00BA1E56">
        <w:rPr>
          <w:lang w:val="en-US"/>
        </w:rPr>
        <w:t>2036, 20 (1892)</w:t>
      </w:r>
      <w:r>
        <w:rPr>
          <w:lang w:val="en-US"/>
        </w:rPr>
        <w:t>.</w:t>
      </w:r>
    </w:p>
  </w:footnote>
  <w:footnote w:id="781">
    <w:p w14:paraId="5F116095"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Pr>
          <w:lang w:val="en-US"/>
        </w:rPr>
        <w:t>„</w:t>
      </w:r>
      <w:r w:rsidRPr="00BA1E56">
        <w:rPr>
          <w:lang w:val="en-US"/>
        </w:rPr>
        <w:t xml:space="preserve">We, therefore, the Representatives of the United States of America, in General Congress, Assembled, appealing to the Supreme Judge of the world for the rectitude of our intentions, do, in the Name and by Authority of the good People of these Colonies, solemnly publish and </w:t>
      </w:r>
      <w:proofErr w:type="gramStart"/>
      <w:r w:rsidRPr="00BA1E56">
        <w:rPr>
          <w:lang w:val="en-US"/>
        </w:rPr>
        <w:t>declare</w:t>
      </w:r>
      <w:r>
        <w:rPr>
          <w:lang w:val="en-US"/>
        </w:rPr>
        <w:t>“</w:t>
      </w:r>
      <w:proofErr w:type="gramEnd"/>
      <w:r w:rsidRPr="00BA1E56">
        <w:rPr>
          <w:lang w:val="en-US"/>
        </w:rPr>
        <w:t>,</w:t>
      </w:r>
      <w:r>
        <w:rPr>
          <w:lang w:val="en-US"/>
        </w:rPr>
        <w:t xml:space="preserve"> </w:t>
      </w:r>
      <w:r w:rsidRPr="009167A5">
        <w:rPr>
          <w:i/>
          <w:lang w:val="en-US"/>
        </w:rPr>
        <w:t>Church of the Holy Trinity v. United States</w:t>
      </w:r>
      <w:r w:rsidRPr="00BA1E56">
        <w:rPr>
          <w:lang w:val="en-US"/>
        </w:rPr>
        <w:t>, 143 U.S. 457, 467</w:t>
      </w:r>
      <w:r w:rsidRPr="003B741A">
        <w:rPr>
          <w:lang w:val="en-US"/>
        </w:rPr>
        <w:t xml:space="preserve"> = 12 S. Ct</w:t>
      </w:r>
      <w:r w:rsidRPr="00BA1E56">
        <w:rPr>
          <w:lang w:val="en-US"/>
        </w:rPr>
        <w:t>. 511, 515</w:t>
      </w:r>
      <w:r w:rsidRPr="003B741A">
        <w:rPr>
          <w:lang w:val="en-US"/>
        </w:rPr>
        <w:t xml:space="preserve"> = 36 L. Ed</w:t>
      </w:r>
      <w:r w:rsidRPr="00BA1E56">
        <w:rPr>
          <w:lang w:val="en-US"/>
        </w:rPr>
        <w:t>. 226, 231</w:t>
      </w:r>
      <w:r w:rsidRPr="003B741A">
        <w:rPr>
          <w:lang w:val="en-US"/>
        </w:rPr>
        <w:t xml:space="preserve"> = 1892 U.S. LEXIS </w:t>
      </w:r>
      <w:r w:rsidRPr="00BA1E56">
        <w:rPr>
          <w:lang w:val="en-US"/>
        </w:rPr>
        <w:t>2036, 20 (1892)</w:t>
      </w:r>
      <w:r>
        <w:rPr>
          <w:lang w:val="en-US"/>
        </w:rPr>
        <w:t>.</w:t>
      </w:r>
    </w:p>
  </w:footnote>
  <w:footnote w:id="782">
    <w:p w14:paraId="38B32A24"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Pr>
          <w:lang w:val="en-US"/>
        </w:rPr>
        <w:t>„</w:t>
      </w:r>
      <w:r w:rsidRPr="00BA1E56">
        <w:rPr>
          <w:lang w:val="en-US"/>
        </w:rPr>
        <w:t xml:space="preserve">And for the support of this Declaration, with a firm reliance on the Protection of Divine Providence, we mutually pledge to each other our Lives, our Fortunes, and our sacred </w:t>
      </w:r>
      <w:proofErr w:type="gramStart"/>
      <w:r w:rsidRPr="00BA1E56">
        <w:rPr>
          <w:lang w:val="en-US"/>
        </w:rPr>
        <w:t>Honor</w:t>
      </w:r>
      <w:r>
        <w:rPr>
          <w:lang w:val="en-US"/>
        </w:rPr>
        <w:t>“</w:t>
      </w:r>
      <w:proofErr w:type="gramEnd"/>
      <w:r>
        <w:rPr>
          <w:lang w:val="en-US"/>
        </w:rPr>
        <w:t xml:space="preserve">, </w:t>
      </w:r>
      <w:r w:rsidRPr="009167A5">
        <w:rPr>
          <w:i/>
          <w:lang w:val="en-US"/>
        </w:rPr>
        <w:t>Church of the Holy Trinity v. United States</w:t>
      </w:r>
      <w:r w:rsidRPr="00BA1E56">
        <w:rPr>
          <w:lang w:val="en-US"/>
        </w:rPr>
        <w:t>, 143 U.S. 457, 467</w:t>
      </w:r>
      <w:r w:rsidRPr="003B741A">
        <w:rPr>
          <w:lang w:val="en-US"/>
        </w:rPr>
        <w:t xml:space="preserve"> = 12 S. Ct</w:t>
      </w:r>
      <w:r w:rsidRPr="00BA1E56">
        <w:rPr>
          <w:lang w:val="en-US"/>
        </w:rPr>
        <w:t>. 511, 515</w:t>
      </w:r>
      <w:r w:rsidRPr="003B741A">
        <w:rPr>
          <w:lang w:val="en-US"/>
        </w:rPr>
        <w:t xml:space="preserve"> = 36 L. Ed</w:t>
      </w:r>
      <w:r w:rsidRPr="00BA1E56">
        <w:rPr>
          <w:lang w:val="en-US"/>
        </w:rPr>
        <w:t>. 226, 231</w:t>
      </w:r>
      <w:r w:rsidRPr="003B741A">
        <w:rPr>
          <w:lang w:val="en-US"/>
        </w:rPr>
        <w:t xml:space="preserve"> = 1892 U.S. LEXIS </w:t>
      </w:r>
      <w:r w:rsidRPr="00BA1E56">
        <w:rPr>
          <w:lang w:val="en-US"/>
        </w:rPr>
        <w:t>2036, 20 (1892)</w:t>
      </w:r>
      <w:r>
        <w:rPr>
          <w:lang w:val="en-US"/>
        </w:rPr>
        <w:t>.</w:t>
      </w:r>
    </w:p>
  </w:footnote>
  <w:footnote w:id="783">
    <w:p w14:paraId="4C648423" w14:textId="77777777" w:rsidR="00074551" w:rsidRPr="0015398C" w:rsidRDefault="00074551" w:rsidP="00074551">
      <w:pPr>
        <w:pStyle w:val="Funotentext"/>
        <w:rPr>
          <w:lang w:val="en-US"/>
        </w:rPr>
      </w:pPr>
      <w:r>
        <w:rPr>
          <w:rStyle w:val="Funotenzeichen"/>
        </w:rPr>
        <w:footnoteRef/>
      </w:r>
      <w:r w:rsidRPr="0015398C">
        <w:rPr>
          <w:lang w:val="en-US"/>
        </w:rPr>
        <w:t xml:space="preserve"> </w:t>
      </w:r>
      <w:r w:rsidRPr="009167A5">
        <w:rPr>
          <w:i/>
          <w:lang w:val="en-US"/>
        </w:rPr>
        <w:t>Church of the Holy Trinity v. United States</w:t>
      </w:r>
      <w:r w:rsidRPr="0015398C">
        <w:rPr>
          <w:lang w:val="en-US"/>
        </w:rPr>
        <w:t>, 143 U.S. 457, 469</w:t>
      </w:r>
      <w:r w:rsidRPr="003B741A">
        <w:rPr>
          <w:lang w:val="en-US"/>
        </w:rPr>
        <w:t xml:space="preserve"> = 12 S. Ct</w:t>
      </w:r>
      <w:r w:rsidRPr="0015398C">
        <w:rPr>
          <w:lang w:val="en-US"/>
        </w:rPr>
        <w:t>. 511, 515</w:t>
      </w:r>
      <w:r w:rsidRPr="003B741A">
        <w:rPr>
          <w:lang w:val="en-US"/>
        </w:rPr>
        <w:t xml:space="preserve"> = 36 L. Ed</w:t>
      </w:r>
      <w:r w:rsidRPr="0015398C">
        <w:rPr>
          <w:lang w:val="en-US"/>
        </w:rPr>
        <w:t>. 226, 231</w:t>
      </w:r>
      <w:r w:rsidRPr="003B741A">
        <w:rPr>
          <w:lang w:val="en-US"/>
        </w:rPr>
        <w:t xml:space="preserve"> = 1892 U.S. LEXIS </w:t>
      </w:r>
      <w:r w:rsidRPr="0015398C">
        <w:rPr>
          <w:lang w:val="en-US"/>
        </w:rPr>
        <w:t>2036, 23 (1892).</w:t>
      </w:r>
    </w:p>
  </w:footnote>
  <w:footnote w:id="784">
    <w:p w14:paraId="472E237B"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Church of the Holy Trinity v. United States</w:t>
      </w:r>
      <w:r w:rsidRPr="00BA1E56">
        <w:rPr>
          <w:lang w:val="en-US"/>
        </w:rPr>
        <w:t>, 143 U.S. 457, 468</w:t>
      </w:r>
      <w:r w:rsidRPr="003B741A">
        <w:rPr>
          <w:lang w:val="en-US"/>
        </w:rPr>
        <w:t xml:space="preserve"> = 12 S. Ct</w:t>
      </w:r>
      <w:r w:rsidRPr="00BA1E56">
        <w:rPr>
          <w:lang w:val="en-US"/>
        </w:rPr>
        <w:t>. 511, 515</w:t>
      </w:r>
      <w:r w:rsidRPr="003B741A">
        <w:rPr>
          <w:lang w:val="en-US"/>
        </w:rPr>
        <w:t xml:space="preserve"> = 36 L. Ed</w:t>
      </w:r>
      <w:r w:rsidRPr="00BA1E56">
        <w:rPr>
          <w:lang w:val="en-US"/>
        </w:rPr>
        <w:t>. 226, 231</w:t>
      </w:r>
      <w:r w:rsidRPr="003B741A">
        <w:rPr>
          <w:lang w:val="en-US"/>
        </w:rPr>
        <w:t xml:space="preserve"> = 1892 U.S. LEXIS </w:t>
      </w:r>
      <w:r w:rsidRPr="00BA1E56">
        <w:rPr>
          <w:lang w:val="en-US"/>
        </w:rPr>
        <w:t>2036, 21 (1892)</w:t>
      </w:r>
      <w:r>
        <w:rPr>
          <w:lang w:val="en-US"/>
        </w:rPr>
        <w:t>.</w:t>
      </w:r>
    </w:p>
  </w:footnote>
  <w:footnote w:id="785">
    <w:p w14:paraId="50140DAF"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Church of the Holy Trinity v. United States</w:t>
      </w:r>
      <w:r w:rsidRPr="00BA1E56">
        <w:rPr>
          <w:lang w:val="en-US"/>
        </w:rPr>
        <w:t>, 143 U.S. 457, 457</w:t>
      </w:r>
      <w:r w:rsidRPr="003B741A">
        <w:rPr>
          <w:lang w:val="en-US"/>
        </w:rPr>
        <w:t xml:space="preserve"> = 12 S. Ct</w:t>
      </w:r>
      <w:r w:rsidRPr="00BA1E56">
        <w:rPr>
          <w:lang w:val="en-US"/>
        </w:rPr>
        <w:t>. 511, 511</w:t>
      </w:r>
      <w:r w:rsidRPr="003B741A">
        <w:rPr>
          <w:lang w:val="en-US"/>
        </w:rPr>
        <w:t xml:space="preserve"> = 36 L. Ed</w:t>
      </w:r>
      <w:r w:rsidRPr="00BA1E56">
        <w:rPr>
          <w:lang w:val="en-US"/>
        </w:rPr>
        <w:t>. 226, 227</w:t>
      </w:r>
      <w:r w:rsidRPr="003B741A">
        <w:rPr>
          <w:lang w:val="en-US"/>
        </w:rPr>
        <w:t xml:space="preserve"> = 1892 U.S. LEXIS </w:t>
      </w:r>
      <w:r w:rsidRPr="00BA1E56">
        <w:rPr>
          <w:lang w:val="en-US"/>
        </w:rPr>
        <w:t>2036, 1 (1892</w:t>
      </w:r>
      <w:r>
        <w:rPr>
          <w:lang w:val="en-US"/>
        </w:rPr>
        <w:t>).</w:t>
      </w:r>
    </w:p>
  </w:footnote>
  <w:footnote w:id="786">
    <w:p w14:paraId="2C5DD0E9" w14:textId="77777777" w:rsidR="00074551" w:rsidRPr="00D0366C" w:rsidRDefault="00074551" w:rsidP="00074551">
      <w:pPr>
        <w:pStyle w:val="Funotentext"/>
        <w:rPr>
          <w:lang w:val="en-US"/>
        </w:rPr>
      </w:pPr>
      <w:r>
        <w:rPr>
          <w:rStyle w:val="Funotenzeichen"/>
        </w:rPr>
        <w:footnoteRef/>
      </w:r>
      <w:r w:rsidRPr="00D0366C">
        <w:rPr>
          <w:lang w:val="en-US"/>
        </w:rPr>
        <w:t xml:space="preserve"> </w:t>
      </w:r>
      <w:r w:rsidRPr="009167A5">
        <w:rPr>
          <w:i/>
          <w:lang w:val="en-US"/>
        </w:rPr>
        <w:t>Church of the Holy Trinity v. United States</w:t>
      </w:r>
      <w:r w:rsidRPr="00D0366C">
        <w:rPr>
          <w:lang w:val="en-US"/>
        </w:rPr>
        <w:t>, 143 U.S. 457, 469</w:t>
      </w:r>
      <w:r w:rsidRPr="003B741A">
        <w:rPr>
          <w:lang w:val="en-US"/>
        </w:rPr>
        <w:t xml:space="preserve"> = 12 S. Ct</w:t>
      </w:r>
      <w:r w:rsidRPr="00D0366C">
        <w:rPr>
          <w:lang w:val="en-US"/>
        </w:rPr>
        <w:t>. 511, 515</w:t>
      </w:r>
      <w:r w:rsidRPr="003B741A">
        <w:rPr>
          <w:lang w:val="en-US"/>
        </w:rPr>
        <w:t xml:space="preserve"> = 36 L. Ed</w:t>
      </w:r>
      <w:r w:rsidRPr="00D0366C">
        <w:rPr>
          <w:lang w:val="en-US"/>
        </w:rPr>
        <w:t>. 226, 231</w:t>
      </w:r>
      <w:r w:rsidRPr="003B741A">
        <w:rPr>
          <w:lang w:val="en-US"/>
        </w:rPr>
        <w:t xml:space="preserve"> = 1892 U.S. LEXIS </w:t>
      </w:r>
      <w:r w:rsidRPr="00D0366C">
        <w:rPr>
          <w:lang w:val="en-US"/>
        </w:rPr>
        <w:t>2036, 24 (1892)</w:t>
      </w:r>
      <w:r>
        <w:rPr>
          <w:lang w:val="en-US"/>
        </w:rPr>
        <w:t>.</w:t>
      </w:r>
    </w:p>
  </w:footnote>
  <w:footnote w:id="787">
    <w:p w14:paraId="2624486C" w14:textId="77777777" w:rsidR="00074551" w:rsidRPr="00D0366C" w:rsidRDefault="00074551" w:rsidP="00074551">
      <w:pPr>
        <w:pStyle w:val="Funotentext"/>
      </w:pPr>
      <w:r>
        <w:rPr>
          <w:rStyle w:val="Funotenzeichen"/>
        </w:rPr>
        <w:footnoteRef/>
      </w:r>
      <w:r w:rsidRPr="00D0366C">
        <w:t xml:space="preserve"> </w:t>
      </w:r>
      <w:r w:rsidRPr="009167A5">
        <w:rPr>
          <w:i/>
        </w:rPr>
        <w:t>Church of the Holy Trinity v. United States</w:t>
      </w:r>
      <w:r w:rsidRPr="00D0366C">
        <w:t>, 143 U.S. 457, 469</w:t>
      </w:r>
      <w:r w:rsidRPr="003B741A">
        <w:t xml:space="preserve"> = 12 S. Ct</w:t>
      </w:r>
      <w:r w:rsidRPr="00D0366C">
        <w:t>. 511, 515</w:t>
      </w:r>
      <w:r w:rsidRPr="003B741A">
        <w:t xml:space="preserve"> = 36 L. Ed</w:t>
      </w:r>
      <w:r w:rsidRPr="00D0366C">
        <w:t>. 226, 231</w:t>
      </w:r>
      <w:r w:rsidRPr="003B741A">
        <w:t xml:space="preserve"> = 1892 U.S. LEXIS </w:t>
      </w:r>
      <w:r w:rsidRPr="00D0366C">
        <w:t>2036, 23</w:t>
      </w:r>
      <w:r>
        <w:t>–</w:t>
      </w:r>
      <w:r w:rsidRPr="00D0366C">
        <w:t>24 (1892)</w:t>
      </w:r>
      <w:r>
        <w:t>;</w:t>
      </w:r>
      <w:r w:rsidRPr="00D0366C">
        <w:t xml:space="preserve"> die Idee fand sich im Urteil vor allem angedockt an die Verfassung Del</w:t>
      </w:r>
      <w:r>
        <w:t>a</w:t>
      </w:r>
      <w:r w:rsidRPr="00D0366C">
        <w:t>wares</w:t>
      </w:r>
      <w:r>
        <w:t xml:space="preserve"> von</w:t>
      </w:r>
      <w:r w:rsidRPr="00D0366C">
        <w:t xml:space="preserve"> 1776</w:t>
      </w:r>
      <w:r>
        <w:t>,</w:t>
      </w:r>
      <w:r w:rsidRPr="00D0366C">
        <w:t xml:space="preserve"> aber au</w:t>
      </w:r>
      <w:r>
        <w:t xml:space="preserve">fgrund der zeitlichen Nähe zur </w:t>
      </w:r>
      <w:r w:rsidRPr="00A142D9">
        <w:rPr>
          <w:i/>
        </w:rPr>
        <w:t>Declaration of Independence</w:t>
      </w:r>
      <w:r>
        <w:t xml:space="preserve"> und der Gesamtschau des Urteils ist hier der Begriff des </w:t>
      </w:r>
      <w:proofErr w:type="spellStart"/>
      <w:r w:rsidRPr="00B45592">
        <w:rPr>
          <w:i/>
          <w:iCs/>
        </w:rPr>
        <w:t>pursuit</w:t>
      </w:r>
      <w:proofErr w:type="spellEnd"/>
      <w:r w:rsidRPr="00B45592">
        <w:rPr>
          <w:i/>
          <w:iCs/>
        </w:rPr>
        <w:t xml:space="preserve"> of Happiness</w:t>
      </w:r>
      <w:r>
        <w:t xml:space="preserve"> wohl einheitlich anhand seines Ursprungs zu verstehen, also der </w:t>
      </w:r>
      <w:r w:rsidRPr="00A142D9">
        <w:rPr>
          <w:i/>
        </w:rPr>
        <w:t>Declaration of Independence</w:t>
      </w:r>
      <w:r>
        <w:t>.</w:t>
      </w:r>
    </w:p>
  </w:footnote>
  <w:footnote w:id="788">
    <w:p w14:paraId="58FB1F8A" w14:textId="77777777" w:rsidR="00074551" w:rsidRPr="000D0132" w:rsidRDefault="00074551" w:rsidP="00074551">
      <w:pPr>
        <w:pStyle w:val="Funotentext"/>
        <w:rPr>
          <w:lang w:val="en-US"/>
        </w:rPr>
      </w:pPr>
      <w:r>
        <w:rPr>
          <w:rStyle w:val="Funotenzeichen"/>
          <w:rFonts w:eastAsiaTheme="majorEastAsia"/>
        </w:rPr>
        <w:footnoteRef/>
      </w:r>
      <w:r>
        <w:t xml:space="preserve"> Die Gesetze untersagten, am Sonntag verbotene Waren an Privatpersonen zu verkaufen. Die Kläger fochten ihre Verurteilungen mit dem Argument an, es lägen keine Ausnahmen vor für Waren und Personen, die am Sonntag Waren verkaufen können. Die Petenten machten außerdem geltend, dass die Gesetze gegen die </w:t>
      </w:r>
      <w:proofErr w:type="spellStart"/>
      <w:r w:rsidRPr="00A142D9">
        <w:rPr>
          <w:i/>
        </w:rPr>
        <w:t>Equal</w:t>
      </w:r>
      <w:proofErr w:type="spellEnd"/>
      <w:r w:rsidRPr="00A142D9">
        <w:rPr>
          <w:i/>
        </w:rPr>
        <w:t xml:space="preserve"> </w:t>
      </w:r>
      <w:proofErr w:type="spellStart"/>
      <w:r w:rsidRPr="00A142D9">
        <w:rPr>
          <w:i/>
        </w:rPr>
        <w:t>Protection</w:t>
      </w:r>
      <w:proofErr w:type="spellEnd"/>
      <w:r w:rsidRPr="00A142D9">
        <w:rPr>
          <w:i/>
        </w:rPr>
        <w:t xml:space="preserve"> </w:t>
      </w:r>
      <w:proofErr w:type="spellStart"/>
      <w:r w:rsidRPr="00A142D9">
        <w:rPr>
          <w:i/>
        </w:rPr>
        <w:t>Clause</w:t>
      </w:r>
      <w:proofErr w:type="spellEnd"/>
      <w:r w:rsidRPr="00867AD1">
        <w:t xml:space="preserve"> </w:t>
      </w:r>
      <w:r>
        <w:t>u</w:t>
      </w:r>
      <w:r w:rsidRPr="00867AD1">
        <w:t xml:space="preserve">nd </w:t>
      </w:r>
      <w:r w:rsidRPr="00A142D9">
        <w:rPr>
          <w:i/>
        </w:rPr>
        <w:t xml:space="preserve">Establishment </w:t>
      </w:r>
      <w:proofErr w:type="spellStart"/>
      <w:r w:rsidRPr="00A142D9">
        <w:rPr>
          <w:i/>
        </w:rPr>
        <w:t>Clause</w:t>
      </w:r>
      <w:proofErr w:type="spellEnd"/>
      <w:r w:rsidRPr="00867AD1">
        <w:t xml:space="preserve"> </w:t>
      </w:r>
      <w:r>
        <w:t xml:space="preserve">verstießen. Das Gericht bestätigte die Verurteilungen der Petenten und stellte fest, dass die Gesetze säkularer Natur waren, da es das Ziel des Staates war, seinen Bürgern einen Ruhetag zu gewähren. Das Gericht stellte außerdem fest, dass die Gleichheitsklausel nicht betroffen sei, da ein Staat seine Bürger mit Gesetzen diskriminieren dürfe, solange ein zweckmäßiges Ziel des Staates erreicht würde. Das Gericht kam zu dem Schluss, dass die Gesetze keinen religiösen Schutz im Sinne der </w:t>
      </w:r>
      <w:r w:rsidRPr="00A142D9">
        <w:rPr>
          <w:i/>
        </w:rPr>
        <w:t xml:space="preserve">Establishment </w:t>
      </w:r>
      <w:proofErr w:type="spellStart"/>
      <w:r w:rsidRPr="00A142D9">
        <w:rPr>
          <w:i/>
        </w:rPr>
        <w:t>Clause</w:t>
      </w:r>
      <w:proofErr w:type="spellEnd"/>
      <w:r>
        <w:t xml:space="preserve"> darstellten, auch wenn der Ruhetag zufällig mit dem religiösen Tag zusammenfalle; siehe zusammenfassend unter </w:t>
      </w:r>
      <w:proofErr w:type="spellStart"/>
      <w:r w:rsidRPr="00B45592">
        <w:rPr>
          <w:i/>
        </w:rPr>
        <w:t>Overview</w:t>
      </w:r>
      <w:proofErr w:type="spellEnd"/>
      <w:r>
        <w:t xml:space="preserve"> bei LexisNexis, </w:t>
      </w:r>
      <w:r w:rsidRPr="009167A5">
        <w:rPr>
          <w:i/>
        </w:rPr>
        <w:t>McGowan v. Maryland</w:t>
      </w:r>
      <w:r w:rsidRPr="00867AD1">
        <w:t>, 366 U.S. 420, 422</w:t>
      </w:r>
      <w:r w:rsidRPr="006E67FE">
        <w:t xml:space="preserve"> = 81 S. Ct. </w:t>
      </w:r>
      <w:r w:rsidRPr="00867AD1">
        <w:t>1101, 1103</w:t>
      </w:r>
      <w:r>
        <w:t xml:space="preserve"> = 6 L. Ed. </w:t>
      </w:r>
      <w:r w:rsidRPr="00867AD1">
        <w:t>2d 393, 397</w:t>
      </w:r>
      <w:r w:rsidRPr="006E67FE">
        <w:t xml:space="preserve"> = 1961 U.S. LEXIS </w:t>
      </w:r>
      <w:r w:rsidRPr="00867AD1">
        <w:t>2008, 1</w:t>
      </w:r>
      <w:r w:rsidRPr="006E67FE">
        <w:t xml:space="preserve"> = 42 Lab. Cas. </w:t>
      </w:r>
      <w:r w:rsidRPr="00867AD1">
        <w:rPr>
          <w:lang w:val="en-US"/>
        </w:rPr>
        <w:t>(CCH) P50,258</w:t>
      </w:r>
      <w:r w:rsidRPr="006E67FE">
        <w:rPr>
          <w:lang w:val="en-US"/>
        </w:rPr>
        <w:t xml:space="preserve"> = 17 Ohio Op. </w:t>
      </w:r>
      <w:r w:rsidRPr="00867AD1">
        <w:rPr>
          <w:lang w:val="en-US"/>
        </w:rPr>
        <w:t>2d 151 (1961)</w:t>
      </w:r>
      <w:r>
        <w:rPr>
          <w:lang w:val="en-US"/>
        </w:rPr>
        <w:t>.</w:t>
      </w:r>
    </w:p>
  </w:footnote>
  <w:footnote w:id="789">
    <w:p w14:paraId="34F5D5D6" w14:textId="77777777" w:rsidR="00074551" w:rsidRPr="006A018C" w:rsidRDefault="00074551" w:rsidP="00074551">
      <w:pPr>
        <w:pStyle w:val="Funotentext"/>
        <w:rPr>
          <w:lang w:val="en-US"/>
        </w:rPr>
      </w:pPr>
      <w:r>
        <w:rPr>
          <w:rStyle w:val="Funotenzeichen"/>
        </w:rPr>
        <w:footnoteRef/>
      </w:r>
      <w:r w:rsidRPr="006A018C">
        <w:rPr>
          <w:lang w:val="en-US"/>
        </w:rPr>
        <w:t xml:space="preserve"> </w:t>
      </w:r>
      <w:r w:rsidRPr="009167A5">
        <w:rPr>
          <w:i/>
          <w:lang w:val="en-US"/>
        </w:rPr>
        <w:t>McGowan v. Maryland</w:t>
      </w:r>
      <w:r w:rsidRPr="006A018C">
        <w:rPr>
          <w:lang w:val="en-US"/>
        </w:rPr>
        <w:t>, 366 U.S. 420, 422</w:t>
      </w:r>
      <w:r w:rsidRPr="006E67FE">
        <w:rPr>
          <w:lang w:val="en-US"/>
        </w:rPr>
        <w:t xml:space="preserve"> = 81 S. Ct. </w:t>
      </w:r>
      <w:r w:rsidRPr="006A018C">
        <w:rPr>
          <w:lang w:val="en-US"/>
        </w:rPr>
        <w:t>1101, 1103</w:t>
      </w:r>
      <w:r>
        <w:rPr>
          <w:lang w:val="en-US"/>
        </w:rPr>
        <w:t xml:space="preserve"> = 6 L. Ed. </w:t>
      </w:r>
      <w:r w:rsidRPr="006A018C">
        <w:rPr>
          <w:lang w:val="en-US"/>
        </w:rPr>
        <w:t>2d 393, 397</w:t>
      </w:r>
      <w:r w:rsidRPr="006E67FE">
        <w:rPr>
          <w:lang w:val="en-US"/>
        </w:rPr>
        <w:t xml:space="preserve"> = 1961 U.S. LEXIS </w:t>
      </w:r>
      <w:r w:rsidRPr="006A018C">
        <w:rPr>
          <w:lang w:val="en-US"/>
        </w:rPr>
        <w:t>2008, 1</w:t>
      </w:r>
      <w:r w:rsidRPr="006E67FE">
        <w:rPr>
          <w:lang w:val="en-US"/>
        </w:rPr>
        <w:t xml:space="preserve"> = 42 Lab. Cas. </w:t>
      </w:r>
      <w:r w:rsidRPr="006A018C">
        <w:rPr>
          <w:lang w:val="en-US"/>
        </w:rPr>
        <w:t>(CCH) P50,258</w:t>
      </w:r>
      <w:r w:rsidRPr="006E67FE">
        <w:rPr>
          <w:lang w:val="en-US"/>
        </w:rPr>
        <w:t xml:space="preserve"> = 17 Ohio Op. </w:t>
      </w:r>
      <w:r w:rsidRPr="006A018C">
        <w:rPr>
          <w:lang w:val="en-US"/>
        </w:rPr>
        <w:t>2d 151 (1961)</w:t>
      </w:r>
      <w:r>
        <w:rPr>
          <w:lang w:val="en-US"/>
        </w:rPr>
        <w:t>.</w:t>
      </w:r>
    </w:p>
  </w:footnote>
  <w:footnote w:id="790">
    <w:p w14:paraId="56195160" w14:textId="77777777" w:rsidR="00074551" w:rsidRPr="00B079B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McGowan v. Maryland</w:t>
      </w:r>
      <w:r w:rsidRPr="00BA1E56">
        <w:rPr>
          <w:lang w:val="en-US"/>
        </w:rPr>
        <w:t>, 366 U.S. 420, 562</w:t>
      </w:r>
      <w:r w:rsidRPr="006E67FE">
        <w:rPr>
          <w:lang w:val="en-US"/>
        </w:rPr>
        <w:t xml:space="preserve"> = 81 S. Ct. </w:t>
      </w:r>
      <w:r w:rsidRPr="00BA1E56">
        <w:rPr>
          <w:lang w:val="en-US"/>
        </w:rPr>
        <w:t>1101, 1122</w:t>
      </w:r>
      <w:r>
        <w:rPr>
          <w:lang w:val="en-US"/>
        </w:rPr>
        <w:t xml:space="preserve"> = 6 L. Ed. </w:t>
      </w:r>
      <w:r w:rsidRPr="00BA1E56">
        <w:rPr>
          <w:lang w:val="en-US"/>
        </w:rPr>
        <w:t>2d 393, 525</w:t>
      </w:r>
      <w:r w:rsidRPr="006E67FE">
        <w:rPr>
          <w:lang w:val="en-US"/>
        </w:rPr>
        <w:t xml:space="preserve"> = 1961 U.S. LEXIS </w:t>
      </w:r>
      <w:r w:rsidRPr="00BA1E56">
        <w:rPr>
          <w:lang w:val="en-US"/>
        </w:rPr>
        <w:t>2008, 201</w:t>
      </w:r>
      <w:r w:rsidRPr="006E67FE">
        <w:rPr>
          <w:lang w:val="en-US"/>
        </w:rPr>
        <w:t xml:space="preserve"> = 42 Lab. Cas. </w:t>
      </w:r>
      <w:r w:rsidRPr="00B079B6">
        <w:rPr>
          <w:lang w:val="en-US"/>
        </w:rPr>
        <w:t>(CCH) P50,258</w:t>
      </w:r>
      <w:r w:rsidRPr="006E67FE">
        <w:rPr>
          <w:lang w:val="en-US"/>
        </w:rPr>
        <w:t xml:space="preserve"> = 17 Ohio Op. </w:t>
      </w:r>
      <w:r w:rsidRPr="00B079B6">
        <w:rPr>
          <w:lang w:val="en-US"/>
        </w:rPr>
        <w:t>2d 151 (1961)</w:t>
      </w:r>
      <w:r>
        <w:rPr>
          <w:lang w:val="en-US"/>
        </w:rPr>
        <w:t>.</w:t>
      </w:r>
    </w:p>
  </w:footnote>
  <w:footnote w:id="791">
    <w:p w14:paraId="2453B987" w14:textId="77777777" w:rsidR="00074551" w:rsidRDefault="00074551" w:rsidP="00074551">
      <w:pPr>
        <w:pStyle w:val="Funotentext"/>
      </w:pPr>
      <w:r>
        <w:rPr>
          <w:rStyle w:val="Funotenzeichen"/>
          <w:rFonts w:eastAsiaTheme="majorEastAsia"/>
        </w:rPr>
        <w:footnoteRef/>
      </w:r>
      <w:r w:rsidRPr="00BA1E56">
        <w:rPr>
          <w:lang w:val="en-US"/>
        </w:rPr>
        <w:t xml:space="preserve"> </w:t>
      </w:r>
      <w:r w:rsidRPr="009167A5">
        <w:rPr>
          <w:i/>
          <w:lang w:val="en-US"/>
        </w:rPr>
        <w:t>McGowan v. Maryland</w:t>
      </w:r>
      <w:r w:rsidRPr="00BA1E56">
        <w:rPr>
          <w:lang w:val="en-US"/>
        </w:rPr>
        <w:t>, 366 U.S. 420, 563</w:t>
      </w:r>
      <w:r w:rsidRPr="006E67FE">
        <w:rPr>
          <w:lang w:val="en-US"/>
        </w:rPr>
        <w:t xml:space="preserve"> = 81 S. Ct. </w:t>
      </w:r>
      <w:r w:rsidRPr="00BA1E56">
        <w:rPr>
          <w:lang w:val="en-US"/>
        </w:rPr>
        <w:t>1101, 1122</w:t>
      </w:r>
      <w:r>
        <w:rPr>
          <w:lang w:val="en-US"/>
        </w:rPr>
        <w:t xml:space="preserve"> = 6 L. Ed. </w:t>
      </w:r>
      <w:r w:rsidRPr="00BA1E56">
        <w:rPr>
          <w:lang w:val="en-US"/>
        </w:rPr>
        <w:t>2d 393, 525</w:t>
      </w:r>
      <w:r w:rsidRPr="006E67FE">
        <w:rPr>
          <w:lang w:val="en-US"/>
        </w:rPr>
        <w:t xml:space="preserve"> = 1961 U.S. LEXIS </w:t>
      </w:r>
      <w:r w:rsidRPr="00BA1E56">
        <w:rPr>
          <w:lang w:val="en-US"/>
        </w:rPr>
        <w:t>2008, 202</w:t>
      </w:r>
      <w:r w:rsidRPr="006E67FE">
        <w:rPr>
          <w:lang w:val="en-US"/>
        </w:rPr>
        <w:t xml:space="preserve"> = 42 Lab. Cas. </w:t>
      </w:r>
      <w:r w:rsidRPr="00B079B6">
        <w:t>(CCH) P50,258</w:t>
      </w:r>
      <w:r w:rsidRPr="006E67FE">
        <w:t xml:space="preserve"> = 17 Ohio Op. </w:t>
      </w:r>
      <w:r w:rsidRPr="00B079B6">
        <w:t>2d 151 (1961</w:t>
      </w:r>
      <w:r>
        <w:t>)</w:t>
      </w:r>
      <w:r w:rsidRPr="00B079B6">
        <w:t>.</w:t>
      </w:r>
    </w:p>
  </w:footnote>
  <w:footnote w:id="792">
    <w:p w14:paraId="3B0127DD" w14:textId="77777777" w:rsidR="00074551" w:rsidRDefault="00074551" w:rsidP="00074551">
      <w:pPr>
        <w:pStyle w:val="Funotentext"/>
      </w:pPr>
      <w:r>
        <w:rPr>
          <w:rStyle w:val="Funotenzeichen"/>
          <w:rFonts w:eastAsiaTheme="majorEastAsia"/>
        </w:rPr>
        <w:footnoteRef/>
      </w:r>
      <w:r>
        <w:t xml:space="preserve"> Dies war eine Bewegung, die darauf abzielte, die Kirche nach evangelisch-reformierten bzw. calvinistischen Grundsätzen zu reformieren. Sie s</w:t>
      </w:r>
      <w:r w:rsidRPr="00BA1E56">
        <w:t>tammt v</w:t>
      </w:r>
      <w:r>
        <w:t>om</w:t>
      </w:r>
      <w:r w:rsidRPr="00BA1E56">
        <w:t xml:space="preserve"> Bestreben, die Kirche von „papistischen“, das heißt römisch-katholischen Lehren, zu „reinigen“ (engl. </w:t>
      </w:r>
      <w:proofErr w:type="spellStart"/>
      <w:r w:rsidRPr="00BA1E56">
        <w:t>purification</w:t>
      </w:r>
      <w:proofErr w:type="spellEnd"/>
      <w:r w:rsidRPr="00BA1E56">
        <w:t>).</w:t>
      </w:r>
    </w:p>
  </w:footnote>
  <w:footnote w:id="793">
    <w:p w14:paraId="36632F7D" w14:textId="77777777" w:rsidR="00074551" w:rsidRPr="00347F58" w:rsidRDefault="00074551" w:rsidP="00074551">
      <w:pPr>
        <w:pStyle w:val="Funotentext"/>
        <w:rPr>
          <w:lang w:val="en-US"/>
        </w:rPr>
      </w:pPr>
      <w:r>
        <w:rPr>
          <w:rStyle w:val="Funotenzeichen"/>
          <w:rFonts w:eastAsiaTheme="majorEastAsia"/>
        </w:rPr>
        <w:footnoteRef/>
      </w:r>
      <w:r w:rsidRPr="00347F58">
        <w:rPr>
          <w:lang w:val="en-US"/>
        </w:rPr>
        <w:t xml:space="preserve"> </w:t>
      </w:r>
      <w:r w:rsidRPr="009167A5">
        <w:rPr>
          <w:i/>
          <w:lang w:val="en-US"/>
        </w:rPr>
        <w:t>McGowan v. Maryland</w:t>
      </w:r>
      <w:r w:rsidRPr="00347F58">
        <w:rPr>
          <w:lang w:val="en-US"/>
        </w:rPr>
        <w:t>, 366 U.S. 420</w:t>
      </w:r>
      <w:r>
        <w:rPr>
          <w:lang w:val="en-US"/>
        </w:rPr>
        <w:t xml:space="preserve"> </w:t>
      </w:r>
      <w:r w:rsidRPr="006A018C">
        <w:rPr>
          <w:lang w:val="en-US"/>
        </w:rPr>
        <w:t>(1961)</w:t>
      </w:r>
      <w:r>
        <w:rPr>
          <w:lang w:val="en-US"/>
        </w:rPr>
        <w:t>.</w:t>
      </w:r>
    </w:p>
  </w:footnote>
  <w:footnote w:id="794">
    <w:p w14:paraId="16219EF6" w14:textId="77777777" w:rsidR="00074551" w:rsidRPr="00347F58" w:rsidRDefault="00074551" w:rsidP="00074551">
      <w:pPr>
        <w:pStyle w:val="Funotentext"/>
        <w:rPr>
          <w:lang w:val="en-US"/>
        </w:rPr>
      </w:pPr>
      <w:r>
        <w:rPr>
          <w:rStyle w:val="Funotenzeichen"/>
          <w:rFonts w:eastAsiaTheme="majorEastAsia"/>
        </w:rPr>
        <w:footnoteRef/>
      </w:r>
      <w:r w:rsidRPr="00347F58">
        <w:rPr>
          <w:lang w:val="en-US"/>
        </w:rPr>
        <w:t xml:space="preserve"> </w:t>
      </w:r>
      <w:r w:rsidRPr="00B45592">
        <w:rPr>
          <w:i/>
          <w:iCs/>
          <w:lang w:val="en-US"/>
        </w:rPr>
        <w:t>Pound</w:t>
      </w:r>
      <w:r>
        <w:rPr>
          <w:lang w:val="en-US"/>
        </w:rPr>
        <w:t xml:space="preserve">, </w:t>
      </w:r>
      <w:r w:rsidRPr="00347F58">
        <w:rPr>
          <w:lang w:val="en-US"/>
        </w:rPr>
        <w:t>The Spirit of the Common Law, 42</w:t>
      </w:r>
      <w:r>
        <w:rPr>
          <w:lang w:val="en-US"/>
        </w:rPr>
        <w:t xml:space="preserve"> </w:t>
      </w:r>
      <w:r w:rsidRPr="00347F58">
        <w:rPr>
          <w:lang w:val="en-US"/>
        </w:rPr>
        <w:t>(1921).</w:t>
      </w:r>
    </w:p>
  </w:footnote>
  <w:footnote w:id="795">
    <w:p w14:paraId="22DC00F6" w14:textId="77777777" w:rsidR="00074551" w:rsidRPr="00EB28CA" w:rsidRDefault="00074551" w:rsidP="00074551">
      <w:pPr>
        <w:pStyle w:val="Funotentext"/>
        <w:rPr>
          <w:lang w:val="en-US"/>
        </w:rPr>
      </w:pPr>
      <w:r>
        <w:rPr>
          <w:rStyle w:val="Funotenzeichen"/>
          <w:rFonts w:eastAsiaTheme="majorEastAsia"/>
        </w:rPr>
        <w:footnoteRef/>
      </w:r>
      <w:r w:rsidRPr="00EB28CA">
        <w:rPr>
          <w:lang w:val="en-US"/>
        </w:rPr>
        <w:t xml:space="preserve"> </w:t>
      </w:r>
      <w:r w:rsidRPr="009167A5">
        <w:rPr>
          <w:i/>
          <w:lang w:val="en-US"/>
        </w:rPr>
        <w:t>McGowan v. Maryland</w:t>
      </w:r>
      <w:r w:rsidRPr="00EB28CA">
        <w:rPr>
          <w:lang w:val="en-US"/>
        </w:rPr>
        <w:t>, 366 U.S. 420</w:t>
      </w:r>
      <w:r>
        <w:rPr>
          <w:lang w:val="en-US"/>
        </w:rPr>
        <w:t xml:space="preserve"> </w:t>
      </w:r>
      <w:r w:rsidRPr="006A018C">
        <w:rPr>
          <w:lang w:val="en-US"/>
        </w:rPr>
        <w:t>(1961)</w:t>
      </w:r>
      <w:r>
        <w:rPr>
          <w:lang w:val="en-US"/>
        </w:rPr>
        <w:t>.</w:t>
      </w:r>
    </w:p>
  </w:footnote>
  <w:footnote w:id="796">
    <w:p w14:paraId="6D1D9CAE" w14:textId="77777777" w:rsidR="00074551" w:rsidRPr="001110E7" w:rsidRDefault="00074551" w:rsidP="00074551">
      <w:pPr>
        <w:pStyle w:val="Funotentext"/>
        <w:rPr>
          <w:lang w:val="en-US"/>
        </w:rPr>
      </w:pPr>
      <w:r>
        <w:rPr>
          <w:rStyle w:val="Funotenzeichen"/>
          <w:rFonts w:eastAsiaTheme="majorEastAsia"/>
        </w:rPr>
        <w:footnoteRef/>
      </w:r>
      <w:r>
        <w:rPr>
          <w:lang w:val="en-US"/>
        </w:rPr>
        <w:t xml:space="preserve"> </w:t>
      </w:r>
      <w:r w:rsidRPr="009167A5">
        <w:rPr>
          <w:i/>
          <w:lang w:val="en-US"/>
        </w:rPr>
        <w:t>McGowan v. Maryland</w:t>
      </w:r>
      <w:r w:rsidRPr="001110E7">
        <w:rPr>
          <w:lang w:val="en-US"/>
        </w:rPr>
        <w:t>, 366 U.S. 420</w:t>
      </w:r>
      <w:r>
        <w:rPr>
          <w:lang w:val="en-US"/>
        </w:rPr>
        <w:t xml:space="preserve"> </w:t>
      </w:r>
      <w:r w:rsidRPr="006A018C">
        <w:rPr>
          <w:lang w:val="en-US"/>
        </w:rPr>
        <w:t>(1961)</w:t>
      </w:r>
      <w:r>
        <w:rPr>
          <w:lang w:val="en-US"/>
        </w:rPr>
        <w:t>.</w:t>
      </w:r>
    </w:p>
  </w:footnote>
  <w:footnote w:id="797">
    <w:p w14:paraId="2410ABB6" w14:textId="77777777" w:rsidR="00074551" w:rsidRPr="00806C29" w:rsidRDefault="00074551" w:rsidP="00074551">
      <w:pPr>
        <w:pStyle w:val="Funotentext"/>
        <w:rPr>
          <w:lang w:val="en-US"/>
        </w:rPr>
      </w:pPr>
      <w:r>
        <w:rPr>
          <w:rStyle w:val="Funotenzeichen"/>
        </w:rPr>
        <w:footnoteRef/>
      </w:r>
      <w:r w:rsidRPr="00806C29">
        <w:rPr>
          <w:lang w:val="en-US"/>
        </w:rPr>
        <w:t xml:space="preserve"> </w:t>
      </w:r>
      <w:r w:rsidRPr="009167A5">
        <w:rPr>
          <w:i/>
          <w:lang w:val="en-US"/>
        </w:rPr>
        <w:t>Walz v. Tax Com. of New York</w:t>
      </w:r>
      <w:r w:rsidRPr="00806C29">
        <w:rPr>
          <w:lang w:val="en-US"/>
        </w:rPr>
        <w:t>, 397 U.S. 664, 666</w:t>
      </w:r>
      <w:r w:rsidRPr="006E67FE">
        <w:rPr>
          <w:lang w:val="en-US"/>
        </w:rPr>
        <w:t xml:space="preserve"> = 90 S. Ct. </w:t>
      </w:r>
      <w:r w:rsidRPr="00806C29">
        <w:rPr>
          <w:lang w:val="en-US"/>
        </w:rPr>
        <w:t>1409, 1410</w:t>
      </w:r>
      <w:r w:rsidRPr="006E67FE">
        <w:rPr>
          <w:lang w:val="en-US"/>
        </w:rPr>
        <w:t xml:space="preserve"> = 25 L. Ed. </w:t>
      </w:r>
      <w:r w:rsidRPr="00806C29">
        <w:rPr>
          <w:lang w:val="en-US"/>
        </w:rPr>
        <w:t>2d 697, 700</w:t>
      </w:r>
      <w:r w:rsidRPr="006E67FE">
        <w:rPr>
          <w:lang w:val="en-US"/>
        </w:rPr>
        <w:t xml:space="preserve"> = 1970 U.S. LEXIS </w:t>
      </w:r>
      <w:r w:rsidRPr="00806C29">
        <w:rPr>
          <w:lang w:val="en-US"/>
        </w:rPr>
        <w:t>43, 1 (1970)</w:t>
      </w:r>
      <w:r>
        <w:rPr>
          <w:lang w:val="en-US"/>
        </w:rPr>
        <w:t>.</w:t>
      </w:r>
    </w:p>
  </w:footnote>
  <w:footnote w:id="798">
    <w:p w14:paraId="2E981932" w14:textId="77777777" w:rsidR="00074551" w:rsidRPr="005F379D" w:rsidRDefault="00074551" w:rsidP="00074551">
      <w:pPr>
        <w:pStyle w:val="Funotentext"/>
        <w:rPr>
          <w:lang w:val="en-US"/>
        </w:rPr>
      </w:pPr>
      <w:r>
        <w:rPr>
          <w:rStyle w:val="Funotenzeichen"/>
        </w:rPr>
        <w:footnoteRef/>
      </w:r>
      <w:r w:rsidRPr="005F379D">
        <w:rPr>
          <w:lang w:val="en-US"/>
        </w:rPr>
        <w:t xml:space="preserve"> </w:t>
      </w:r>
      <w:r w:rsidRPr="009167A5">
        <w:rPr>
          <w:i/>
          <w:lang w:val="en-US"/>
        </w:rPr>
        <w:t>Walz v. Tax Com. of New York</w:t>
      </w:r>
      <w:r w:rsidRPr="005F379D">
        <w:rPr>
          <w:lang w:val="en-US"/>
        </w:rPr>
        <w:t>, 397 U.S. 664, 670</w:t>
      </w:r>
      <w:r w:rsidRPr="006E67FE">
        <w:rPr>
          <w:lang w:val="en-US"/>
        </w:rPr>
        <w:t xml:space="preserve"> = 90 S. Ct. </w:t>
      </w:r>
      <w:r w:rsidRPr="005F379D">
        <w:rPr>
          <w:lang w:val="en-US"/>
        </w:rPr>
        <w:t>1409, 1412</w:t>
      </w:r>
      <w:r w:rsidRPr="006E67FE">
        <w:rPr>
          <w:lang w:val="en-US"/>
        </w:rPr>
        <w:t xml:space="preserve"> = 25 L. Ed. </w:t>
      </w:r>
      <w:r w:rsidRPr="005F379D">
        <w:rPr>
          <w:lang w:val="en-US"/>
        </w:rPr>
        <w:t>2d 697, 702</w:t>
      </w:r>
      <w:r w:rsidRPr="006E67FE">
        <w:rPr>
          <w:lang w:val="en-US"/>
        </w:rPr>
        <w:t xml:space="preserve"> = 1970 U.S. LEXIS </w:t>
      </w:r>
      <w:r w:rsidRPr="005F379D">
        <w:rPr>
          <w:lang w:val="en-US"/>
        </w:rPr>
        <w:t>43, 10 (1970)</w:t>
      </w:r>
      <w:r>
        <w:rPr>
          <w:lang w:val="en-US"/>
        </w:rPr>
        <w:t>.</w:t>
      </w:r>
    </w:p>
  </w:footnote>
  <w:footnote w:id="799">
    <w:p w14:paraId="1C0B4FDC" w14:textId="77777777" w:rsidR="00074551" w:rsidRPr="003330D5" w:rsidRDefault="00074551" w:rsidP="00074551">
      <w:pPr>
        <w:pStyle w:val="Funotentext"/>
        <w:rPr>
          <w:lang w:val="en-US"/>
        </w:rPr>
      </w:pPr>
      <w:r>
        <w:rPr>
          <w:rStyle w:val="Funotenzeichen"/>
        </w:rPr>
        <w:footnoteRef/>
      </w:r>
      <w:r w:rsidRPr="003330D5">
        <w:rPr>
          <w:lang w:val="en-US"/>
        </w:rPr>
        <w:t xml:space="preserve"> </w:t>
      </w:r>
      <w:r w:rsidRPr="009167A5">
        <w:rPr>
          <w:i/>
          <w:lang w:val="en-US"/>
        </w:rPr>
        <w:t>Walz v. Tax Com. of New York</w:t>
      </w:r>
      <w:r w:rsidRPr="003330D5">
        <w:rPr>
          <w:lang w:val="en-US"/>
        </w:rPr>
        <w:t>, 397 U.S. 664, 727</w:t>
      </w:r>
      <w:r w:rsidRPr="006E67FE">
        <w:rPr>
          <w:lang w:val="en-US"/>
        </w:rPr>
        <w:t xml:space="preserve"> = 90 S. Ct. </w:t>
      </w:r>
      <w:r w:rsidRPr="003330D5">
        <w:rPr>
          <w:lang w:val="en-US"/>
        </w:rPr>
        <w:t>1409, 1441</w:t>
      </w:r>
      <w:r w:rsidRPr="006E67FE">
        <w:rPr>
          <w:lang w:val="en-US"/>
        </w:rPr>
        <w:t xml:space="preserve"> = 25 L. Ed. </w:t>
      </w:r>
      <w:r w:rsidRPr="003330D5">
        <w:rPr>
          <w:lang w:val="en-US"/>
        </w:rPr>
        <w:t>2d 697, 735</w:t>
      </w:r>
      <w:r w:rsidRPr="006E67FE">
        <w:rPr>
          <w:lang w:val="en-US"/>
        </w:rPr>
        <w:t xml:space="preserve"> = 1970 U.S. LEXIS </w:t>
      </w:r>
      <w:r w:rsidRPr="003330D5">
        <w:rPr>
          <w:lang w:val="en-US"/>
        </w:rPr>
        <w:t>43, 99 (1970)</w:t>
      </w:r>
      <w:r>
        <w:rPr>
          <w:lang w:val="en-US"/>
        </w:rPr>
        <w:t>.</w:t>
      </w:r>
    </w:p>
  </w:footnote>
  <w:footnote w:id="800">
    <w:p w14:paraId="79036357" w14:textId="77777777" w:rsidR="00074551" w:rsidRPr="007656AD" w:rsidRDefault="00074551" w:rsidP="00074551">
      <w:pPr>
        <w:pStyle w:val="Funotentext"/>
        <w:rPr>
          <w:lang w:val="en-US"/>
        </w:rPr>
      </w:pPr>
      <w:r>
        <w:rPr>
          <w:rStyle w:val="Funotenzeichen"/>
        </w:rPr>
        <w:footnoteRef/>
      </w:r>
      <w:r w:rsidRPr="007656AD">
        <w:rPr>
          <w:lang w:val="en-US"/>
        </w:rPr>
        <w:t xml:space="preserve"> </w:t>
      </w:r>
      <w:r w:rsidRPr="009167A5">
        <w:rPr>
          <w:i/>
          <w:lang w:val="en-US"/>
        </w:rPr>
        <w:t>Rosenberger v. Rector &amp; Visitors of the Univ. of Va.</w:t>
      </w:r>
      <w:r w:rsidRPr="007656AD">
        <w:rPr>
          <w:lang w:val="en-US"/>
        </w:rPr>
        <w:t>, 515 U.S. 819, 822</w:t>
      </w:r>
      <w:r w:rsidRPr="005D5028">
        <w:rPr>
          <w:lang w:val="en-US"/>
        </w:rPr>
        <w:t xml:space="preserve"> = 115 S. Ct. </w:t>
      </w:r>
      <w:r w:rsidRPr="007656AD">
        <w:rPr>
          <w:lang w:val="en-US"/>
        </w:rPr>
        <w:t>2510, 2513</w:t>
      </w:r>
      <w:r w:rsidRPr="005D5028">
        <w:rPr>
          <w:lang w:val="en-US"/>
        </w:rPr>
        <w:t xml:space="preserve"> = 132 L. Ed. </w:t>
      </w:r>
      <w:r w:rsidRPr="007656AD">
        <w:rPr>
          <w:lang w:val="en-US"/>
        </w:rPr>
        <w:t>2d 700, 711</w:t>
      </w:r>
      <w:r w:rsidRPr="005D5028">
        <w:rPr>
          <w:lang w:val="en-US"/>
        </w:rPr>
        <w:t xml:space="preserve"> = 1995 U.S. LEXIS </w:t>
      </w:r>
      <w:r w:rsidRPr="007656AD">
        <w:rPr>
          <w:lang w:val="en-US"/>
        </w:rPr>
        <w:t>4461, 1</w:t>
      </w:r>
      <w:r w:rsidRPr="005D5028">
        <w:rPr>
          <w:lang w:val="en-US"/>
        </w:rPr>
        <w:t xml:space="preserve"> = 63 U.S.L.W. </w:t>
      </w:r>
      <w:r w:rsidRPr="007656AD">
        <w:rPr>
          <w:lang w:val="en-US"/>
        </w:rPr>
        <w:t>4702</w:t>
      </w:r>
      <w:r w:rsidRPr="005D5028">
        <w:rPr>
          <w:lang w:val="en-US"/>
        </w:rPr>
        <w:t xml:space="preserve"> = 95 Cal. Daily Op. </w:t>
      </w:r>
      <w:r w:rsidRPr="007656AD">
        <w:rPr>
          <w:lang w:val="en-US"/>
        </w:rPr>
        <w:t>Service 5005</w:t>
      </w:r>
      <w:r w:rsidRPr="005D5028">
        <w:rPr>
          <w:lang w:val="en-US"/>
        </w:rPr>
        <w:t xml:space="preserve"> = 95 Daily Journal DAR </w:t>
      </w:r>
      <w:r w:rsidRPr="007656AD">
        <w:rPr>
          <w:lang w:val="en-US"/>
        </w:rPr>
        <w:t>8512</w:t>
      </w:r>
      <w:r w:rsidRPr="005D5028">
        <w:rPr>
          <w:lang w:val="en-US"/>
        </w:rPr>
        <w:t xml:space="preserve"> = 9 Fla. L. Weekly </w:t>
      </w:r>
      <w:r w:rsidRPr="007656AD">
        <w:rPr>
          <w:lang w:val="en-US"/>
        </w:rPr>
        <w:t>Fed. S 272 (1995)</w:t>
      </w:r>
      <w:r>
        <w:rPr>
          <w:lang w:val="en-US"/>
        </w:rPr>
        <w:t>.</w:t>
      </w:r>
    </w:p>
  </w:footnote>
  <w:footnote w:id="801">
    <w:p w14:paraId="1206F832" w14:textId="77777777" w:rsidR="00074551" w:rsidRPr="00E43068" w:rsidRDefault="00074551" w:rsidP="00074551">
      <w:pPr>
        <w:pStyle w:val="Funotentext"/>
        <w:rPr>
          <w:lang w:val="en-US"/>
        </w:rPr>
      </w:pPr>
      <w:r>
        <w:rPr>
          <w:rStyle w:val="Funotenzeichen"/>
        </w:rPr>
        <w:footnoteRef/>
      </w:r>
      <w:r w:rsidRPr="00E43068">
        <w:rPr>
          <w:lang w:val="en-US"/>
        </w:rPr>
        <w:t xml:space="preserve"> </w:t>
      </w:r>
      <w:r w:rsidRPr="009167A5">
        <w:rPr>
          <w:i/>
          <w:lang w:val="en-US"/>
        </w:rPr>
        <w:t>Rosenberger v. Rector &amp; Visitors of the Univ. of Va.</w:t>
      </w:r>
      <w:r w:rsidRPr="00E43068">
        <w:rPr>
          <w:lang w:val="en-US"/>
        </w:rPr>
        <w:t>, 515 U.S. 819, 839</w:t>
      </w:r>
      <w:r w:rsidRPr="005D5028">
        <w:rPr>
          <w:lang w:val="en-US"/>
        </w:rPr>
        <w:t xml:space="preserve"> = 115 S. Ct. </w:t>
      </w:r>
      <w:r w:rsidRPr="00E43068">
        <w:rPr>
          <w:lang w:val="en-US"/>
        </w:rPr>
        <w:t>2510, 2521</w:t>
      </w:r>
      <w:r w:rsidRPr="005D5028">
        <w:rPr>
          <w:lang w:val="en-US"/>
        </w:rPr>
        <w:t xml:space="preserve"> = 132 L. Ed. </w:t>
      </w:r>
      <w:r w:rsidRPr="00E43068">
        <w:rPr>
          <w:lang w:val="en-US"/>
        </w:rPr>
        <w:t>2d 700, 722</w:t>
      </w:r>
      <w:r w:rsidRPr="005D5028">
        <w:rPr>
          <w:lang w:val="en-US"/>
        </w:rPr>
        <w:t xml:space="preserve"> = 1995 U.S. LEXIS </w:t>
      </w:r>
      <w:r w:rsidRPr="00E43068">
        <w:rPr>
          <w:lang w:val="en-US"/>
        </w:rPr>
        <w:t>4461, 38</w:t>
      </w:r>
      <w:r w:rsidRPr="005D5028">
        <w:rPr>
          <w:lang w:val="en-US"/>
        </w:rPr>
        <w:t xml:space="preserve"> = 63 U.S.L.W. </w:t>
      </w:r>
      <w:r w:rsidRPr="00E43068">
        <w:rPr>
          <w:lang w:val="en-US"/>
        </w:rPr>
        <w:t>4702</w:t>
      </w:r>
      <w:r w:rsidRPr="005D5028">
        <w:rPr>
          <w:lang w:val="en-US"/>
        </w:rPr>
        <w:t xml:space="preserve"> = 95 Cal. Daily Op. </w:t>
      </w:r>
      <w:r w:rsidRPr="00E43068">
        <w:rPr>
          <w:lang w:val="en-US"/>
        </w:rPr>
        <w:t>Service 5005</w:t>
      </w:r>
      <w:r w:rsidRPr="005D5028">
        <w:rPr>
          <w:lang w:val="en-US"/>
        </w:rPr>
        <w:t xml:space="preserve"> = 95 Daily Journal DAR </w:t>
      </w:r>
      <w:r w:rsidRPr="00E43068">
        <w:rPr>
          <w:lang w:val="en-US"/>
        </w:rPr>
        <w:t>8512</w:t>
      </w:r>
      <w:r w:rsidRPr="005D5028">
        <w:rPr>
          <w:lang w:val="en-US"/>
        </w:rPr>
        <w:t xml:space="preserve"> = 9 Fla. L. Weekly </w:t>
      </w:r>
      <w:r w:rsidRPr="00E43068">
        <w:rPr>
          <w:lang w:val="en-US"/>
        </w:rPr>
        <w:t>Fed. S 272 (1995)</w:t>
      </w:r>
      <w:r>
        <w:rPr>
          <w:lang w:val="en-US"/>
        </w:rPr>
        <w:t>.</w:t>
      </w:r>
    </w:p>
  </w:footnote>
  <w:footnote w:id="802">
    <w:p w14:paraId="306C45BF" w14:textId="77777777" w:rsidR="00074551" w:rsidRPr="00E43068" w:rsidRDefault="00074551" w:rsidP="00074551">
      <w:pPr>
        <w:pStyle w:val="Funotentext"/>
        <w:rPr>
          <w:lang w:val="en-US"/>
        </w:rPr>
      </w:pPr>
      <w:r>
        <w:rPr>
          <w:rStyle w:val="Funotenzeichen"/>
        </w:rPr>
        <w:footnoteRef/>
      </w:r>
      <w:r w:rsidRPr="00E43068">
        <w:rPr>
          <w:lang w:val="en-US"/>
        </w:rPr>
        <w:t xml:space="preserve"> </w:t>
      </w:r>
      <w:proofErr w:type="spellStart"/>
      <w:r w:rsidRPr="00E43068">
        <w:rPr>
          <w:lang w:val="en-US"/>
        </w:rPr>
        <w:t>S</w:t>
      </w:r>
      <w:r>
        <w:rPr>
          <w:lang w:val="en-US"/>
        </w:rPr>
        <w:t>iehe</w:t>
      </w:r>
      <w:proofErr w:type="spellEnd"/>
      <w:r w:rsidRPr="00E43068">
        <w:rPr>
          <w:lang w:val="en-US"/>
        </w:rPr>
        <w:t xml:space="preserve"> </w:t>
      </w:r>
      <w:r w:rsidRPr="00B45592">
        <w:rPr>
          <w:i/>
          <w:lang w:val="en-US"/>
        </w:rPr>
        <w:t>Board of Ed. of Kiryas Joel Village School Dist. v. Grumet</w:t>
      </w:r>
      <w:r w:rsidRPr="00E43068">
        <w:rPr>
          <w:lang w:val="en-US"/>
        </w:rPr>
        <w:t>, 512 U.S. 687, 704</w:t>
      </w:r>
      <w:r w:rsidRPr="005D5028">
        <w:rPr>
          <w:lang w:val="en-US"/>
        </w:rPr>
        <w:t xml:space="preserve"> = 129 L. Ed. </w:t>
      </w:r>
      <w:r w:rsidRPr="00E43068">
        <w:rPr>
          <w:lang w:val="en-US"/>
        </w:rPr>
        <w:t>2d 546</w:t>
      </w:r>
      <w:r w:rsidRPr="006E67FE">
        <w:rPr>
          <w:lang w:val="en-US"/>
        </w:rPr>
        <w:t xml:space="preserve"> = 114 S. Ct. </w:t>
      </w:r>
      <w:r w:rsidRPr="00E43068">
        <w:rPr>
          <w:lang w:val="en-US"/>
        </w:rPr>
        <w:t>2481 (1994)</w:t>
      </w:r>
      <w:r>
        <w:rPr>
          <w:lang w:val="en-US"/>
        </w:rPr>
        <w:t xml:space="preserve">; </w:t>
      </w:r>
      <w:r w:rsidRPr="009167A5">
        <w:rPr>
          <w:i/>
          <w:lang w:val="en-US"/>
        </w:rPr>
        <w:t>Rosenberger v. Rector &amp; Visitors of the Univ. of Va.</w:t>
      </w:r>
      <w:r w:rsidRPr="00E43068">
        <w:rPr>
          <w:lang w:val="en-US"/>
        </w:rPr>
        <w:t>, 515 U.S. 819, 839</w:t>
      </w:r>
      <w:r w:rsidRPr="005D5028">
        <w:rPr>
          <w:lang w:val="en-US"/>
        </w:rPr>
        <w:t xml:space="preserve"> = 115 S. Ct. </w:t>
      </w:r>
      <w:r w:rsidRPr="00E43068">
        <w:rPr>
          <w:lang w:val="en-US"/>
        </w:rPr>
        <w:t>2510, 2521</w:t>
      </w:r>
      <w:r w:rsidRPr="005D5028">
        <w:rPr>
          <w:lang w:val="en-US"/>
        </w:rPr>
        <w:t xml:space="preserve"> = 132 L. Ed. </w:t>
      </w:r>
      <w:r w:rsidRPr="00E43068">
        <w:rPr>
          <w:lang w:val="en-US"/>
        </w:rPr>
        <w:t>2d 700, 722</w:t>
      </w:r>
      <w:r w:rsidRPr="005D5028">
        <w:rPr>
          <w:lang w:val="en-US"/>
        </w:rPr>
        <w:t xml:space="preserve"> = 1995 U.S. LEXIS </w:t>
      </w:r>
      <w:r w:rsidRPr="00E43068">
        <w:rPr>
          <w:lang w:val="en-US"/>
        </w:rPr>
        <w:t>4461, 38</w:t>
      </w:r>
      <w:r w:rsidRPr="005D5028">
        <w:rPr>
          <w:lang w:val="en-US"/>
        </w:rPr>
        <w:t xml:space="preserve"> = 63 U.S.L.W. </w:t>
      </w:r>
      <w:r w:rsidRPr="00E43068">
        <w:rPr>
          <w:lang w:val="en-US"/>
        </w:rPr>
        <w:t>4702</w:t>
      </w:r>
      <w:r w:rsidRPr="005D5028">
        <w:rPr>
          <w:lang w:val="en-US"/>
        </w:rPr>
        <w:t xml:space="preserve"> = 95 Cal. Daily Op. </w:t>
      </w:r>
      <w:r w:rsidRPr="00E43068">
        <w:rPr>
          <w:lang w:val="en-US"/>
        </w:rPr>
        <w:t>Service 5005</w:t>
      </w:r>
      <w:r w:rsidRPr="005D5028">
        <w:rPr>
          <w:lang w:val="en-US"/>
        </w:rPr>
        <w:t xml:space="preserve"> = 95 Daily Journal DAR </w:t>
      </w:r>
      <w:r w:rsidRPr="00E43068">
        <w:rPr>
          <w:lang w:val="en-US"/>
        </w:rPr>
        <w:t>8512</w:t>
      </w:r>
      <w:r w:rsidRPr="005D5028">
        <w:rPr>
          <w:lang w:val="en-US"/>
        </w:rPr>
        <w:t xml:space="preserve"> = 9 Fla. L. Weekly </w:t>
      </w:r>
      <w:r w:rsidRPr="00E43068">
        <w:rPr>
          <w:lang w:val="en-US"/>
        </w:rPr>
        <w:t>Fed. S 272 (1995)</w:t>
      </w:r>
      <w:r>
        <w:rPr>
          <w:lang w:val="en-US"/>
        </w:rPr>
        <w:t>.</w:t>
      </w:r>
    </w:p>
  </w:footnote>
  <w:footnote w:id="803">
    <w:p w14:paraId="44BC70FA" w14:textId="77777777" w:rsidR="00074551" w:rsidRPr="00E43068" w:rsidRDefault="00074551" w:rsidP="00074551">
      <w:pPr>
        <w:pStyle w:val="Funotentext"/>
        <w:rPr>
          <w:lang w:val="en-US"/>
        </w:rPr>
      </w:pPr>
      <w:r>
        <w:rPr>
          <w:rStyle w:val="Funotenzeichen"/>
        </w:rPr>
        <w:footnoteRef/>
      </w:r>
      <w:r w:rsidRPr="00E43068">
        <w:rPr>
          <w:lang w:val="en-US"/>
        </w:rPr>
        <w:t xml:space="preserve"> </w:t>
      </w:r>
      <w:r w:rsidRPr="009167A5">
        <w:rPr>
          <w:i/>
          <w:lang w:val="en-US"/>
        </w:rPr>
        <w:t>Rosenberger v. Rector &amp; Visitors of the Univ. of Va.</w:t>
      </w:r>
      <w:r w:rsidRPr="00E43068">
        <w:rPr>
          <w:lang w:val="en-US"/>
        </w:rPr>
        <w:t>, 515 U.S. 819, 862</w:t>
      </w:r>
      <w:r w:rsidRPr="005D5028">
        <w:rPr>
          <w:lang w:val="en-US"/>
        </w:rPr>
        <w:t xml:space="preserve"> = 115 S. Ct. </w:t>
      </w:r>
      <w:r w:rsidRPr="00E43068">
        <w:rPr>
          <w:lang w:val="en-US"/>
        </w:rPr>
        <w:t>2510, 2533</w:t>
      </w:r>
      <w:r w:rsidRPr="005D5028">
        <w:rPr>
          <w:lang w:val="en-US"/>
        </w:rPr>
        <w:t xml:space="preserve"> = 132 L. Ed. </w:t>
      </w:r>
      <w:r w:rsidRPr="00E43068">
        <w:rPr>
          <w:lang w:val="en-US"/>
        </w:rPr>
        <w:t>2d 700, 736</w:t>
      </w:r>
      <w:r w:rsidRPr="005D5028">
        <w:rPr>
          <w:lang w:val="en-US"/>
        </w:rPr>
        <w:t xml:space="preserve"> = 1995 U.S. LEXIS </w:t>
      </w:r>
      <w:r w:rsidRPr="00E43068">
        <w:rPr>
          <w:lang w:val="en-US"/>
        </w:rPr>
        <w:t>4461, 77</w:t>
      </w:r>
      <w:r w:rsidRPr="005D5028">
        <w:rPr>
          <w:lang w:val="en-US"/>
        </w:rPr>
        <w:t xml:space="preserve"> = 63 U.S.L.W. </w:t>
      </w:r>
      <w:r w:rsidRPr="00E43068">
        <w:rPr>
          <w:lang w:val="en-US"/>
        </w:rPr>
        <w:t>4702</w:t>
      </w:r>
      <w:r w:rsidRPr="005D5028">
        <w:rPr>
          <w:lang w:val="en-US"/>
        </w:rPr>
        <w:t xml:space="preserve"> = 95 Cal. Daily Op. </w:t>
      </w:r>
      <w:r w:rsidRPr="00E43068">
        <w:rPr>
          <w:lang w:val="en-US"/>
        </w:rPr>
        <w:t>Service 5005</w:t>
      </w:r>
      <w:r w:rsidRPr="005D5028">
        <w:rPr>
          <w:lang w:val="en-US"/>
        </w:rPr>
        <w:t xml:space="preserve"> = 95 Daily Journal DAR </w:t>
      </w:r>
      <w:r w:rsidRPr="00E43068">
        <w:rPr>
          <w:lang w:val="en-US"/>
        </w:rPr>
        <w:t>8512</w:t>
      </w:r>
      <w:r w:rsidRPr="005D5028">
        <w:rPr>
          <w:lang w:val="en-US"/>
        </w:rPr>
        <w:t xml:space="preserve"> = 9 Fla. L. Weekly </w:t>
      </w:r>
      <w:r w:rsidRPr="00E43068">
        <w:rPr>
          <w:lang w:val="en-US"/>
        </w:rPr>
        <w:t>Fed. S 272 (1995)</w:t>
      </w:r>
      <w:r>
        <w:rPr>
          <w:lang w:val="en-US"/>
        </w:rPr>
        <w:t>.</w:t>
      </w:r>
    </w:p>
  </w:footnote>
  <w:footnote w:id="804">
    <w:p w14:paraId="0C46F054" w14:textId="77777777" w:rsidR="00074551" w:rsidRPr="007656AD" w:rsidRDefault="00074551" w:rsidP="00074551">
      <w:pPr>
        <w:pStyle w:val="Funotentext"/>
        <w:rPr>
          <w:lang w:val="en-US"/>
        </w:rPr>
      </w:pPr>
      <w:r>
        <w:rPr>
          <w:rStyle w:val="Funotenzeichen"/>
        </w:rPr>
        <w:footnoteRef/>
      </w:r>
      <w:r w:rsidRPr="007656AD">
        <w:rPr>
          <w:lang w:val="en-US"/>
        </w:rPr>
        <w:t xml:space="preserve"> </w:t>
      </w:r>
      <w:r w:rsidRPr="009167A5">
        <w:rPr>
          <w:i/>
          <w:lang w:val="en-US"/>
        </w:rPr>
        <w:t>Rosenberger v. Rector &amp; Visitors of the Univ. of Va.</w:t>
      </w:r>
      <w:r w:rsidRPr="007656AD">
        <w:rPr>
          <w:lang w:val="en-US"/>
        </w:rPr>
        <w:t>, 515 U.S. 819, 862</w:t>
      </w:r>
      <w:r w:rsidRPr="005D5028">
        <w:rPr>
          <w:lang w:val="en-US"/>
        </w:rPr>
        <w:t xml:space="preserve"> = 115 S. Ct. </w:t>
      </w:r>
      <w:r w:rsidRPr="007656AD">
        <w:rPr>
          <w:lang w:val="en-US"/>
        </w:rPr>
        <w:t>2510, 2533</w:t>
      </w:r>
      <w:r w:rsidRPr="005D5028">
        <w:rPr>
          <w:lang w:val="en-US"/>
        </w:rPr>
        <w:t xml:space="preserve"> = 132 L. Ed. </w:t>
      </w:r>
      <w:r w:rsidRPr="007656AD">
        <w:rPr>
          <w:lang w:val="en-US"/>
        </w:rPr>
        <w:t>2d 700, 737</w:t>
      </w:r>
      <w:r w:rsidRPr="005D5028">
        <w:rPr>
          <w:lang w:val="en-US"/>
        </w:rPr>
        <w:t xml:space="preserve"> = 1995 U.S. LEXIS </w:t>
      </w:r>
      <w:r w:rsidRPr="007656AD">
        <w:rPr>
          <w:lang w:val="en-US"/>
        </w:rPr>
        <w:t>4461, 77</w:t>
      </w:r>
      <w:r w:rsidRPr="005D5028">
        <w:rPr>
          <w:lang w:val="en-US"/>
        </w:rPr>
        <w:t xml:space="preserve"> = 63 U.S.L.W. </w:t>
      </w:r>
      <w:r w:rsidRPr="007656AD">
        <w:rPr>
          <w:lang w:val="en-US"/>
        </w:rPr>
        <w:t>4702</w:t>
      </w:r>
      <w:r w:rsidRPr="005D5028">
        <w:rPr>
          <w:lang w:val="en-US"/>
        </w:rPr>
        <w:t xml:space="preserve"> = 95 Cal. Daily Op. </w:t>
      </w:r>
      <w:r w:rsidRPr="007656AD">
        <w:rPr>
          <w:lang w:val="en-US"/>
        </w:rPr>
        <w:t>Service 5005</w:t>
      </w:r>
      <w:r w:rsidRPr="005D5028">
        <w:rPr>
          <w:lang w:val="en-US"/>
        </w:rPr>
        <w:t xml:space="preserve"> = 95 Daily Journal DAR </w:t>
      </w:r>
      <w:r w:rsidRPr="007656AD">
        <w:rPr>
          <w:lang w:val="en-US"/>
        </w:rPr>
        <w:t>8512</w:t>
      </w:r>
      <w:r w:rsidRPr="005D5028">
        <w:rPr>
          <w:lang w:val="en-US"/>
        </w:rPr>
        <w:t xml:space="preserve"> = 9 Fla. L. Weekly </w:t>
      </w:r>
      <w:r w:rsidRPr="007656AD">
        <w:rPr>
          <w:lang w:val="en-US"/>
        </w:rPr>
        <w:t xml:space="preserve">Fed. </w:t>
      </w:r>
      <w:r w:rsidRPr="004C108C">
        <w:rPr>
          <w:lang w:val="en-US"/>
        </w:rPr>
        <w:t>S 272 (1995).</w:t>
      </w:r>
    </w:p>
  </w:footnote>
  <w:footnote w:id="805">
    <w:p w14:paraId="187E8143" w14:textId="77777777" w:rsidR="00074551" w:rsidRPr="004C108C" w:rsidRDefault="00074551" w:rsidP="00074551">
      <w:pPr>
        <w:pStyle w:val="Funotentext"/>
        <w:rPr>
          <w:lang w:val="en-US"/>
        </w:rPr>
      </w:pPr>
      <w:r>
        <w:rPr>
          <w:rStyle w:val="Funotenzeichen"/>
        </w:rPr>
        <w:footnoteRef/>
      </w:r>
      <w:r w:rsidRPr="007656AD">
        <w:rPr>
          <w:lang w:val="en-US"/>
        </w:rPr>
        <w:t xml:space="preserve"> </w:t>
      </w:r>
      <w:r w:rsidRPr="009167A5">
        <w:rPr>
          <w:i/>
          <w:lang w:val="en-US"/>
        </w:rPr>
        <w:t>Rosenberger v. Rector &amp; Visitors of the Univ. of Va.</w:t>
      </w:r>
      <w:r w:rsidRPr="007656AD">
        <w:rPr>
          <w:lang w:val="en-US"/>
        </w:rPr>
        <w:t>, 515 U.S. 819, 862</w:t>
      </w:r>
      <w:r w:rsidRPr="005D5028">
        <w:rPr>
          <w:lang w:val="en-US"/>
        </w:rPr>
        <w:t xml:space="preserve"> = 115 S. Ct. </w:t>
      </w:r>
      <w:r w:rsidRPr="007656AD">
        <w:rPr>
          <w:lang w:val="en-US"/>
        </w:rPr>
        <w:t>2510, 2533</w:t>
      </w:r>
      <w:r w:rsidRPr="005D5028">
        <w:rPr>
          <w:lang w:val="en-US"/>
        </w:rPr>
        <w:t xml:space="preserve"> = 132 L. Ed. </w:t>
      </w:r>
      <w:r w:rsidRPr="007656AD">
        <w:rPr>
          <w:lang w:val="en-US"/>
        </w:rPr>
        <w:t>2d 700, 736</w:t>
      </w:r>
      <w:r w:rsidRPr="005D5028">
        <w:rPr>
          <w:lang w:val="en-US"/>
        </w:rPr>
        <w:t xml:space="preserve"> = 1995 U.S. LEXIS </w:t>
      </w:r>
      <w:r w:rsidRPr="007656AD">
        <w:rPr>
          <w:lang w:val="en-US"/>
        </w:rPr>
        <w:t>4461, 77</w:t>
      </w:r>
      <w:r w:rsidRPr="005D5028">
        <w:rPr>
          <w:lang w:val="en-US"/>
        </w:rPr>
        <w:t xml:space="preserve"> = 63 U.S.L.W. </w:t>
      </w:r>
      <w:r w:rsidRPr="007656AD">
        <w:rPr>
          <w:lang w:val="en-US"/>
        </w:rPr>
        <w:t>4702</w:t>
      </w:r>
      <w:r w:rsidRPr="005D5028">
        <w:rPr>
          <w:lang w:val="en-US"/>
        </w:rPr>
        <w:t xml:space="preserve"> = 95 Cal. Daily Op. </w:t>
      </w:r>
      <w:r w:rsidRPr="007656AD">
        <w:rPr>
          <w:lang w:val="en-US"/>
        </w:rPr>
        <w:t>Service 5005</w:t>
      </w:r>
      <w:r w:rsidRPr="005D5028">
        <w:rPr>
          <w:lang w:val="en-US"/>
        </w:rPr>
        <w:t xml:space="preserve"> = 95 Daily Journal DAR </w:t>
      </w:r>
      <w:r w:rsidRPr="007656AD">
        <w:rPr>
          <w:lang w:val="en-US"/>
        </w:rPr>
        <w:t>8512</w:t>
      </w:r>
      <w:r w:rsidRPr="005D5028">
        <w:rPr>
          <w:lang w:val="en-US"/>
        </w:rPr>
        <w:t xml:space="preserve"> = 9 Fla. L. Weekly </w:t>
      </w:r>
      <w:r w:rsidRPr="007656AD">
        <w:rPr>
          <w:lang w:val="en-US"/>
        </w:rPr>
        <w:t>Fed. S 272 (1995)</w:t>
      </w:r>
      <w:r>
        <w:rPr>
          <w:lang w:val="en-US"/>
        </w:rPr>
        <w:t>.</w:t>
      </w:r>
    </w:p>
  </w:footnote>
  <w:footnote w:id="806">
    <w:p w14:paraId="3F89CF16" w14:textId="078B9FF5" w:rsidR="005E6A47" w:rsidRPr="005E6A47" w:rsidRDefault="00074551" w:rsidP="005E6A47">
      <w:pPr>
        <w:pStyle w:val="Funotentext"/>
      </w:pPr>
      <w:r>
        <w:rPr>
          <w:rStyle w:val="Funotenzeichen"/>
          <w:rFonts w:eastAsiaTheme="majorEastAsia"/>
        </w:rPr>
        <w:footnoteRef/>
      </w:r>
      <w:r w:rsidRPr="003E41EC">
        <w:rPr>
          <w:lang w:val="en-US"/>
        </w:rPr>
        <w:t xml:space="preserve"> </w:t>
      </w:r>
      <w:r w:rsidR="005E6A47" w:rsidRPr="005E6A47">
        <w:rPr>
          <w:i/>
          <w:iCs/>
          <w:lang w:val="en-US"/>
        </w:rPr>
        <w:t>A</w:t>
      </w:r>
      <w:proofErr w:type="spellStart"/>
      <w:r w:rsidR="005E6A47" w:rsidRPr="005E6A47">
        <w:rPr>
          <w:i/>
          <w:iCs/>
        </w:rPr>
        <w:t>llen</w:t>
      </w:r>
      <w:proofErr w:type="spellEnd"/>
      <w:r w:rsidR="005E6A47" w:rsidRPr="005E6A47">
        <w:t xml:space="preserve">, The Declaration of Independence and </w:t>
      </w:r>
      <w:proofErr w:type="spellStart"/>
      <w:r w:rsidR="005E6A47" w:rsidRPr="005E6A47">
        <w:t>its</w:t>
      </w:r>
      <w:proofErr w:type="spellEnd"/>
      <w:r w:rsidR="005E6A47" w:rsidRPr="005E6A47">
        <w:t xml:space="preserve"> </w:t>
      </w:r>
      <w:proofErr w:type="spellStart"/>
      <w:r w:rsidR="005E6A47" w:rsidRPr="005E6A47">
        <w:t>Influence</w:t>
      </w:r>
      <w:proofErr w:type="spellEnd"/>
      <w:r w:rsidR="005E6A47" w:rsidRPr="005E6A47">
        <w:t xml:space="preserve"> on the </w:t>
      </w:r>
      <w:proofErr w:type="spellStart"/>
      <w:r w:rsidR="005E6A47" w:rsidRPr="005E6A47">
        <w:t>Constitution</w:t>
      </w:r>
      <w:proofErr w:type="spellEnd"/>
      <w:r w:rsidR="005E6A47" w:rsidRPr="005E6A47">
        <w:t>, 2019, https://constitutioncenter.org/news-de-</w:t>
      </w:r>
    </w:p>
    <w:p w14:paraId="4831AA67" w14:textId="59395556" w:rsidR="00074551" w:rsidRPr="005E6A47" w:rsidRDefault="005E6A47" w:rsidP="00074551">
      <w:pPr>
        <w:pStyle w:val="Funotentext"/>
      </w:pPr>
      <w:r w:rsidRPr="005E6A47">
        <w:t>bate/podcasts/the-declaration-of-independence-and-its-influence-on-the-constitution (14.07.2026).</w:t>
      </w:r>
    </w:p>
  </w:footnote>
  <w:footnote w:id="807">
    <w:p w14:paraId="3462FAB3"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BA1E56">
        <w:rPr>
          <w:lang w:val="en-US"/>
        </w:rPr>
        <w:t>, 339 U.S. 382, 389</w:t>
      </w:r>
      <w:r>
        <w:rPr>
          <w:lang w:val="en-US"/>
        </w:rPr>
        <w:t xml:space="preserve"> = 70 S. Ct. </w:t>
      </w:r>
      <w:r w:rsidRPr="00BA1E56">
        <w:rPr>
          <w:lang w:val="en-US"/>
        </w:rPr>
        <w:t>674, 679</w:t>
      </w:r>
      <w:r>
        <w:rPr>
          <w:lang w:val="en-US"/>
        </w:rPr>
        <w:t xml:space="preserve"> = 94 L. Ed. </w:t>
      </w:r>
      <w:r w:rsidRPr="00BA1E56">
        <w:rPr>
          <w:lang w:val="en-US"/>
        </w:rPr>
        <w:t>925, 938</w:t>
      </w:r>
      <w:r>
        <w:rPr>
          <w:lang w:val="en-US"/>
        </w:rPr>
        <w:t xml:space="preserve"> = 1950 U.S. LEXIS </w:t>
      </w:r>
      <w:r w:rsidRPr="00BA1E56">
        <w:rPr>
          <w:lang w:val="en-US"/>
        </w:rPr>
        <w:t>2530, 13</w:t>
      </w:r>
      <w:r>
        <w:rPr>
          <w:lang w:val="en-US"/>
        </w:rPr>
        <w:t xml:space="preserve"> = 18 Lab. Cas.</w:t>
      </w:r>
      <w:r w:rsidRPr="00BA1E56">
        <w:rPr>
          <w:lang w:val="en-US"/>
        </w:rPr>
        <w:t xml:space="preserve"> (CCH) P65,760</w:t>
      </w:r>
      <w:r>
        <w:rPr>
          <w:lang w:val="en-US"/>
        </w:rPr>
        <w:t xml:space="preserve"> = 26 L.R.R.M. 2084 </w:t>
      </w:r>
      <w:r w:rsidRPr="00BA1E56">
        <w:rPr>
          <w:lang w:val="en-US"/>
        </w:rPr>
        <w:t>(1950)</w:t>
      </w:r>
      <w:r>
        <w:rPr>
          <w:lang w:val="en-US"/>
        </w:rPr>
        <w:t>.</w:t>
      </w:r>
    </w:p>
  </w:footnote>
  <w:footnote w:id="808">
    <w:p w14:paraId="5438713A" w14:textId="77777777" w:rsidR="00074551" w:rsidRPr="00D6134C" w:rsidRDefault="00074551" w:rsidP="00074551">
      <w:pPr>
        <w:pStyle w:val="Funotentext"/>
        <w:rPr>
          <w:lang w:val="en-US"/>
        </w:rPr>
      </w:pPr>
      <w:r>
        <w:rPr>
          <w:rStyle w:val="Funotenzeichen"/>
          <w:rFonts w:eastAsiaTheme="majorEastAsia"/>
        </w:rPr>
        <w:footnoteRef/>
      </w:r>
      <w:r w:rsidRPr="00D6134C">
        <w:rPr>
          <w:lang w:val="en-US"/>
        </w:rPr>
        <w:t xml:space="preserve"> </w:t>
      </w:r>
      <w:r w:rsidRPr="00B45592">
        <w:rPr>
          <w:rFonts w:eastAsia="Arial"/>
          <w:i/>
          <w:iCs/>
          <w:color w:val="000000"/>
          <w:szCs w:val="22"/>
          <w:lang w:val="en-US"/>
        </w:rPr>
        <w:t>Mencken</w:t>
      </w:r>
      <w:r w:rsidRPr="00B45592">
        <w:rPr>
          <w:rFonts w:eastAsia="Arial"/>
          <w:color w:val="000000"/>
          <w:szCs w:val="22"/>
          <w:lang w:val="en-US"/>
        </w:rPr>
        <w:t xml:space="preserve">, </w:t>
      </w:r>
      <w:r w:rsidRPr="00B45592">
        <w:rPr>
          <w:rFonts w:eastAsia="Arial"/>
          <w:iCs/>
          <w:color w:val="000000"/>
          <w:szCs w:val="22"/>
          <w:lang w:val="en-US"/>
        </w:rPr>
        <w:t>A New Dictionary of Quotations,</w:t>
      </w:r>
      <w:r w:rsidRPr="00B45592">
        <w:rPr>
          <w:rFonts w:eastAsia="Arial"/>
          <w:color w:val="000000"/>
          <w:szCs w:val="22"/>
          <w:lang w:val="en-US"/>
        </w:rPr>
        <w:t xml:space="preserve"> </w:t>
      </w:r>
      <w:proofErr w:type="spellStart"/>
      <w:r>
        <w:rPr>
          <w:rFonts w:eastAsia="Arial"/>
          <w:color w:val="000000"/>
          <w:szCs w:val="22"/>
          <w:lang w:val="en-US"/>
        </w:rPr>
        <w:t>unter</w:t>
      </w:r>
      <w:proofErr w:type="spellEnd"/>
      <w:r>
        <w:rPr>
          <w:rFonts w:eastAsia="Arial"/>
          <w:color w:val="000000"/>
          <w:szCs w:val="22"/>
          <w:lang w:val="en-US"/>
        </w:rPr>
        <w:t xml:space="preserve"> der Rubrik</w:t>
      </w:r>
      <w:r w:rsidRPr="00B45592">
        <w:rPr>
          <w:rFonts w:eastAsia="Arial"/>
          <w:color w:val="000000"/>
          <w:szCs w:val="22"/>
          <w:lang w:val="en-US"/>
        </w:rPr>
        <w:t xml:space="preserve"> „</w:t>
      </w:r>
      <w:proofErr w:type="gramStart"/>
      <w:r w:rsidRPr="00B45592">
        <w:rPr>
          <w:rFonts w:eastAsia="Arial"/>
          <w:color w:val="000000"/>
          <w:szCs w:val="22"/>
          <w:lang w:val="en-US"/>
        </w:rPr>
        <w:t>Revolution“</w:t>
      </w:r>
      <w:proofErr w:type="gramEnd"/>
      <w:r w:rsidRPr="00B45592">
        <w:rPr>
          <w:rFonts w:eastAsia="Arial"/>
          <w:color w:val="000000"/>
          <w:szCs w:val="22"/>
          <w:lang w:val="en-US"/>
        </w:rPr>
        <w:t>.</w:t>
      </w:r>
    </w:p>
  </w:footnote>
  <w:footnote w:id="809">
    <w:p w14:paraId="145CB3DC" w14:textId="77777777" w:rsidR="00074551" w:rsidRPr="00D6134C" w:rsidRDefault="00074551" w:rsidP="00074551">
      <w:pPr>
        <w:pStyle w:val="Funotentext"/>
        <w:rPr>
          <w:lang w:val="en-US"/>
        </w:rPr>
      </w:pPr>
      <w:r>
        <w:rPr>
          <w:rStyle w:val="Funotenzeichen"/>
          <w:rFonts w:eastAsiaTheme="majorEastAsia"/>
        </w:rPr>
        <w:footnoteRef/>
      </w:r>
      <w:r w:rsidRPr="00D6134C">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403632">
        <w:rPr>
          <w:lang w:val="en-US"/>
        </w:rPr>
        <w:t>, 339 U.S. 382</w:t>
      </w:r>
      <w:r>
        <w:rPr>
          <w:lang w:val="en-US"/>
        </w:rPr>
        <w:t xml:space="preserve"> </w:t>
      </w:r>
      <w:r w:rsidRPr="00BA1E56">
        <w:rPr>
          <w:lang w:val="en-US"/>
        </w:rPr>
        <w:t>(1950)</w:t>
      </w:r>
      <w:r>
        <w:rPr>
          <w:lang w:val="en-US"/>
        </w:rPr>
        <w:t>.</w:t>
      </w:r>
    </w:p>
  </w:footnote>
  <w:footnote w:id="810">
    <w:p w14:paraId="436CC714" w14:textId="77777777" w:rsidR="00074551" w:rsidRPr="00A07C56" w:rsidRDefault="00074551" w:rsidP="00074551">
      <w:pPr>
        <w:pStyle w:val="Funotentext"/>
      </w:pPr>
      <w:r>
        <w:rPr>
          <w:rStyle w:val="Funotenzeichen"/>
          <w:rFonts w:eastAsiaTheme="majorEastAsia"/>
        </w:rPr>
        <w:footnoteRef/>
      </w:r>
      <w:r w:rsidRPr="00A07C56">
        <w:t xml:space="preserve"> Niedergelegt z.B. in der </w:t>
      </w:r>
      <w:r w:rsidRPr="00B45592">
        <w:rPr>
          <w:i/>
        </w:rPr>
        <w:t>Declaration of Rights of Maryland</w:t>
      </w:r>
      <w:r>
        <w:t xml:space="preserve"> von</w:t>
      </w:r>
      <w:r w:rsidRPr="00A07C56">
        <w:t xml:space="preserve"> 1867, aber, laut </w:t>
      </w:r>
      <w:r>
        <w:t>U.S. Supreme Court</w:t>
      </w:r>
      <w:r w:rsidRPr="00A07C56">
        <w:t>, als all</w:t>
      </w:r>
      <w:r>
        <w:t>gemeiner Rechtsgedanke.</w:t>
      </w:r>
    </w:p>
  </w:footnote>
  <w:footnote w:id="811">
    <w:p w14:paraId="3F1E2108" w14:textId="77777777" w:rsidR="00074551" w:rsidRPr="00D6134C" w:rsidRDefault="00074551" w:rsidP="00074551">
      <w:pPr>
        <w:pStyle w:val="Funotentext"/>
        <w:rPr>
          <w:lang w:val="en-US"/>
        </w:rPr>
      </w:pPr>
      <w:r>
        <w:rPr>
          <w:rStyle w:val="Funotenzeichen"/>
          <w:rFonts w:eastAsiaTheme="majorEastAsia"/>
        </w:rPr>
        <w:footnoteRef/>
      </w:r>
      <w:r w:rsidRPr="00D6134C">
        <w:rPr>
          <w:lang w:val="en-US"/>
        </w:rPr>
        <w:t xml:space="preserve"> </w:t>
      </w:r>
      <w:r>
        <w:rPr>
          <w:lang w:val="en-US"/>
        </w:rPr>
        <w:t>„</w:t>
      </w:r>
      <w:r w:rsidRPr="00D6134C">
        <w:rPr>
          <w:lang w:val="en-US"/>
        </w:rPr>
        <w:t xml:space="preserve">A surprising catalogue of statements could be compiled. The following are selected from Mencken, A New Dictionary of Quotations, under the rubric </w:t>
      </w:r>
      <w:r>
        <w:rPr>
          <w:lang w:val="en-US"/>
        </w:rPr>
        <w:t>,</w:t>
      </w:r>
      <w:r w:rsidRPr="00D6134C">
        <w:rPr>
          <w:lang w:val="en-US"/>
        </w:rPr>
        <w:t>Revolution</w:t>
      </w:r>
      <w:r>
        <w:rPr>
          <w:lang w:val="en-US"/>
        </w:rPr>
        <w:t>‘</w:t>
      </w:r>
      <w:r w:rsidRPr="00D6134C">
        <w:rPr>
          <w:lang w:val="en-US"/>
        </w:rPr>
        <w:t xml:space="preserve">: </w:t>
      </w:r>
      <w:r>
        <w:rPr>
          <w:lang w:val="en-US"/>
        </w:rPr>
        <w:t>,</w:t>
      </w:r>
      <w:r w:rsidRPr="00D6134C">
        <w:rPr>
          <w:lang w:val="en-US"/>
        </w:rPr>
        <w:t xml:space="preserve">Whenever any government becomes destructive of these ends [life, liberty and the pursuit of happiness] it is the right of the people to alter or abolish it, and to institute a new government, laying its foundations on such principles, and organizing its powers in such form, as to them shall seem most likely to </w:t>
      </w:r>
      <w:proofErr w:type="spellStart"/>
      <w:r w:rsidRPr="00D6134C">
        <w:rPr>
          <w:lang w:val="en-US"/>
        </w:rPr>
        <w:t>effect</w:t>
      </w:r>
      <w:proofErr w:type="spellEnd"/>
      <w:r w:rsidRPr="00D6134C">
        <w:rPr>
          <w:lang w:val="en-US"/>
        </w:rPr>
        <w:t xml:space="preserve"> their safety and happiness.</w:t>
      </w:r>
      <w:r>
        <w:rPr>
          <w:lang w:val="en-US"/>
        </w:rPr>
        <w:t>‘</w:t>
      </w:r>
      <w:r w:rsidRPr="00D6134C">
        <w:rPr>
          <w:lang w:val="en-US"/>
        </w:rPr>
        <w:t xml:space="preserve"> Thomas Jefferson, The Declaration of Independence, July 4, 1776.</w:t>
      </w:r>
      <w:r>
        <w:rPr>
          <w:lang w:val="en-US"/>
        </w:rPr>
        <w:t xml:space="preserve"> </w:t>
      </w:r>
      <w:proofErr w:type="gramStart"/>
      <w:r>
        <w:rPr>
          <w:lang w:val="en-US"/>
        </w:rPr>
        <w:t>,</w:t>
      </w:r>
      <w:r w:rsidRPr="00D6134C">
        <w:rPr>
          <w:lang w:val="en-US"/>
        </w:rPr>
        <w:t>The</w:t>
      </w:r>
      <w:proofErr w:type="gramEnd"/>
      <w:r w:rsidRPr="00D6134C">
        <w:rPr>
          <w:lang w:val="en-US"/>
        </w:rPr>
        <w:t xml:space="preserve"> community hath an indubitable, inalienable, and indefeasible right to reform, alter or abolish government, in such manner as shall be by that community judged most conducive to the public </w:t>
      </w:r>
      <w:proofErr w:type="gramStart"/>
      <w:r w:rsidRPr="00D6134C">
        <w:rPr>
          <w:lang w:val="en-US"/>
        </w:rPr>
        <w:t>weal.</w:t>
      </w:r>
      <w:r>
        <w:rPr>
          <w:lang w:val="en-US"/>
        </w:rPr>
        <w:t>‘</w:t>
      </w:r>
      <w:proofErr w:type="gramEnd"/>
      <w:r w:rsidRPr="00D6134C">
        <w:rPr>
          <w:lang w:val="en-US"/>
        </w:rPr>
        <w:t xml:space="preserve"> The Pennsylvania Declaration of Rights, 1776. </w:t>
      </w:r>
      <w:proofErr w:type="gramStart"/>
      <w:r>
        <w:rPr>
          <w:lang w:val="en-US"/>
        </w:rPr>
        <w:t>,</w:t>
      </w:r>
      <w:r w:rsidRPr="00D6134C">
        <w:rPr>
          <w:lang w:val="en-US"/>
        </w:rPr>
        <w:t>It</w:t>
      </w:r>
      <w:proofErr w:type="gramEnd"/>
      <w:r w:rsidRPr="00D6134C">
        <w:rPr>
          <w:lang w:val="en-US"/>
        </w:rPr>
        <w:t xml:space="preserve"> is an observation of one of the profoundest inquirers into human affairs that a revolution of government is the strongest proof that can be given by a people of their virtue and good </w:t>
      </w:r>
      <w:proofErr w:type="gramStart"/>
      <w:r w:rsidRPr="00D6134C">
        <w:rPr>
          <w:lang w:val="en-US"/>
        </w:rPr>
        <w:t>sense.</w:t>
      </w:r>
      <w:r>
        <w:rPr>
          <w:lang w:val="en-US"/>
        </w:rPr>
        <w:t>‘</w:t>
      </w:r>
      <w:proofErr w:type="gramEnd"/>
      <w:r w:rsidRPr="00D6134C">
        <w:rPr>
          <w:lang w:val="en-US"/>
        </w:rPr>
        <w:t xml:space="preserve"> John Adams, Diary, 1786. </w:t>
      </w:r>
      <w:proofErr w:type="gramStart"/>
      <w:r>
        <w:rPr>
          <w:lang w:val="en-US"/>
        </w:rPr>
        <w:t>,</w:t>
      </w:r>
      <w:r w:rsidRPr="00D6134C">
        <w:rPr>
          <w:lang w:val="en-US"/>
        </w:rPr>
        <w:t>What</w:t>
      </w:r>
      <w:proofErr w:type="gramEnd"/>
      <w:r w:rsidRPr="00D6134C">
        <w:rPr>
          <w:lang w:val="en-US"/>
        </w:rPr>
        <w:t xml:space="preserve"> country can preserve its liberties if their rulers are not warned from time to time that their people preserve the spirit of resistance? Let them take </w:t>
      </w:r>
      <w:proofErr w:type="gramStart"/>
      <w:r w:rsidRPr="00D6134C">
        <w:rPr>
          <w:lang w:val="en-US"/>
        </w:rPr>
        <w:t>arms.</w:t>
      </w:r>
      <w:r>
        <w:rPr>
          <w:lang w:val="en-US"/>
        </w:rPr>
        <w:t>‘</w:t>
      </w:r>
      <w:proofErr w:type="gramEnd"/>
      <w:r w:rsidRPr="00D6134C">
        <w:rPr>
          <w:lang w:val="en-US"/>
        </w:rPr>
        <w:t xml:space="preserve"> Thomas Jefferson, Letter to W. S. Smith, Nov. 13, 1787. </w:t>
      </w:r>
      <w:proofErr w:type="gramStart"/>
      <w:r>
        <w:rPr>
          <w:lang w:val="en-US"/>
        </w:rPr>
        <w:t>,</w:t>
      </w:r>
      <w:r w:rsidRPr="00D6134C">
        <w:rPr>
          <w:lang w:val="en-US"/>
        </w:rPr>
        <w:t>An</w:t>
      </w:r>
      <w:proofErr w:type="gramEnd"/>
      <w:r w:rsidRPr="00D6134C">
        <w:rPr>
          <w:lang w:val="en-US"/>
        </w:rPr>
        <w:t xml:space="preserve"> oppressed people are authorized whenever they can to rise and break their </w:t>
      </w:r>
      <w:proofErr w:type="gramStart"/>
      <w:r w:rsidRPr="00D6134C">
        <w:rPr>
          <w:lang w:val="en-US"/>
        </w:rPr>
        <w:t>fetters.</w:t>
      </w:r>
      <w:r>
        <w:rPr>
          <w:lang w:val="en-US"/>
        </w:rPr>
        <w:t>‘</w:t>
      </w:r>
      <w:proofErr w:type="gramEnd"/>
      <w:r w:rsidRPr="00D6134C">
        <w:rPr>
          <w:lang w:val="en-US"/>
        </w:rPr>
        <w:t xml:space="preserve"> Henry Clay, Speech in the House of Representatives, March 4, 1818. </w:t>
      </w:r>
      <w:proofErr w:type="gramStart"/>
      <w:r>
        <w:rPr>
          <w:lang w:val="en-US"/>
        </w:rPr>
        <w:t>,</w:t>
      </w:r>
      <w:r w:rsidRPr="00D6134C">
        <w:rPr>
          <w:lang w:val="en-US"/>
        </w:rPr>
        <w:t>Any</w:t>
      </w:r>
      <w:proofErr w:type="gramEnd"/>
      <w:r w:rsidRPr="00D6134C">
        <w:rPr>
          <w:lang w:val="en-US"/>
        </w:rPr>
        <w:t xml:space="preserve"> people anywhere, being inclined and having the power, have the right to </w:t>
      </w:r>
      <w:proofErr w:type="gramStart"/>
      <w:r w:rsidRPr="00D6134C">
        <w:rPr>
          <w:lang w:val="en-US"/>
        </w:rPr>
        <w:t>rise up</w:t>
      </w:r>
      <w:proofErr w:type="gramEnd"/>
      <w:r w:rsidRPr="00D6134C">
        <w:rPr>
          <w:lang w:val="en-US"/>
        </w:rPr>
        <w:t xml:space="preserve"> and shake off the existing government and form a new one that suits them </w:t>
      </w:r>
      <w:proofErr w:type="gramStart"/>
      <w:r w:rsidRPr="00D6134C">
        <w:rPr>
          <w:lang w:val="en-US"/>
        </w:rPr>
        <w:t>better.</w:t>
      </w:r>
      <w:r>
        <w:rPr>
          <w:lang w:val="en-US"/>
        </w:rPr>
        <w:t>‘</w:t>
      </w:r>
      <w:proofErr w:type="gramEnd"/>
      <w:r w:rsidRPr="00D6134C">
        <w:rPr>
          <w:lang w:val="en-US"/>
        </w:rPr>
        <w:t xml:space="preserve"> Abraham Lincoln, Speech in the House of Representatives, 1848.</w:t>
      </w:r>
      <w:r>
        <w:rPr>
          <w:lang w:val="en-US"/>
        </w:rPr>
        <w:t xml:space="preserve"> </w:t>
      </w:r>
      <w:proofErr w:type="gramStart"/>
      <w:r>
        <w:rPr>
          <w:lang w:val="en-US"/>
        </w:rPr>
        <w:t>,</w:t>
      </w:r>
      <w:r w:rsidRPr="00D6134C">
        <w:rPr>
          <w:lang w:val="en-US"/>
        </w:rPr>
        <w:t>All</w:t>
      </w:r>
      <w:proofErr w:type="gramEnd"/>
      <w:r w:rsidRPr="00D6134C">
        <w:rPr>
          <w:lang w:val="en-US"/>
        </w:rPr>
        <w:t xml:space="preserve"> men recognize the right of revolution: that is, the right to refuse allegiance to, and to resist, the government when its tyranny or its inefficiency </w:t>
      </w:r>
      <w:proofErr w:type="gramStart"/>
      <w:r w:rsidRPr="00D6134C">
        <w:rPr>
          <w:lang w:val="en-US"/>
        </w:rPr>
        <w:t>are</w:t>
      </w:r>
      <w:proofErr w:type="gramEnd"/>
      <w:r w:rsidRPr="00D6134C">
        <w:rPr>
          <w:lang w:val="en-US"/>
        </w:rPr>
        <w:t xml:space="preserve"> great and </w:t>
      </w:r>
      <w:proofErr w:type="gramStart"/>
      <w:r w:rsidRPr="00D6134C">
        <w:rPr>
          <w:lang w:val="en-US"/>
        </w:rPr>
        <w:t>unendurable.</w:t>
      </w:r>
      <w:r>
        <w:rPr>
          <w:lang w:val="en-US"/>
        </w:rPr>
        <w:t>‘</w:t>
      </w:r>
      <w:proofErr w:type="gramEnd"/>
      <w:r w:rsidRPr="00D6134C">
        <w:rPr>
          <w:lang w:val="en-US"/>
        </w:rPr>
        <w:t xml:space="preserve"> H. D. Thoreau, An Essay on Civil Disobedience, 1849.</w:t>
      </w:r>
      <w:r>
        <w:rPr>
          <w:lang w:val="en-US"/>
        </w:rPr>
        <w:t xml:space="preserve"> </w:t>
      </w:r>
      <w:proofErr w:type="gramStart"/>
      <w:r>
        <w:rPr>
          <w:lang w:val="en-US"/>
        </w:rPr>
        <w:t>,</w:t>
      </w:r>
      <w:r w:rsidRPr="00D6134C">
        <w:rPr>
          <w:lang w:val="en-US"/>
        </w:rPr>
        <w:t>This</w:t>
      </w:r>
      <w:proofErr w:type="gramEnd"/>
      <w:r w:rsidRPr="00D6134C">
        <w:rPr>
          <w:lang w:val="en-US"/>
        </w:rPr>
        <w:t xml:space="preserve"> country, with its institutions, belongs to the people who inhabit it. Whenever they shall grow weary of the existing </w:t>
      </w:r>
      <w:proofErr w:type="gramStart"/>
      <w:r w:rsidRPr="00D6134C">
        <w:rPr>
          <w:lang w:val="en-US"/>
        </w:rPr>
        <w:t>government</w:t>
      </w:r>
      <w:proofErr w:type="gramEnd"/>
      <w:r w:rsidRPr="00D6134C">
        <w:rPr>
          <w:lang w:val="en-US"/>
        </w:rPr>
        <w:t xml:space="preserve"> they can exercise their constitutional right of amending it, or their revolutionary right to dismember or overthrow </w:t>
      </w:r>
      <w:proofErr w:type="gramStart"/>
      <w:r w:rsidRPr="00D6134C">
        <w:rPr>
          <w:lang w:val="en-US"/>
        </w:rPr>
        <w:t>it.</w:t>
      </w:r>
      <w:r>
        <w:rPr>
          <w:lang w:val="en-US"/>
        </w:rPr>
        <w:t>‘</w:t>
      </w:r>
      <w:proofErr w:type="gramEnd"/>
      <w:r w:rsidRPr="00D6134C">
        <w:rPr>
          <w:lang w:val="en-US"/>
        </w:rPr>
        <w:t xml:space="preserve"> Abraham Lincoln, Inaugural Address, March 4, 1861. </w:t>
      </w:r>
      <w:proofErr w:type="gramStart"/>
      <w:r>
        <w:rPr>
          <w:lang w:val="en-US"/>
        </w:rPr>
        <w:t>,</w:t>
      </w:r>
      <w:r w:rsidRPr="00D6134C">
        <w:rPr>
          <w:lang w:val="en-US"/>
        </w:rPr>
        <w:t>Whenever</w:t>
      </w:r>
      <w:proofErr w:type="gramEnd"/>
      <w:r w:rsidRPr="00D6134C">
        <w:rPr>
          <w:lang w:val="en-US"/>
        </w:rPr>
        <w:t xml:space="preserve"> the ends of government are perverted, and public liberty manifestly endangered, and all other means of redress are ineffectual, the people may, and of a right ought to reform the old, or establish a new government; the doctrine of non-resistance against arbitrary power and oppression is absurd, slavish and destructive of the good and happiness of </w:t>
      </w:r>
      <w:proofErr w:type="gramStart"/>
      <w:r w:rsidRPr="00D6134C">
        <w:rPr>
          <w:lang w:val="en-US"/>
        </w:rPr>
        <w:t>mankind.</w:t>
      </w:r>
      <w:r>
        <w:rPr>
          <w:lang w:val="en-US"/>
        </w:rPr>
        <w:t>‘</w:t>
      </w:r>
      <w:proofErr w:type="gramEnd"/>
      <w:r w:rsidRPr="00D6134C">
        <w:rPr>
          <w:lang w:val="en-US"/>
        </w:rPr>
        <w:t xml:space="preserve"> Declaration of Rights of Maryland, 1867. </w:t>
      </w:r>
      <w:proofErr w:type="gramStart"/>
      <w:r>
        <w:rPr>
          <w:lang w:val="en-US"/>
        </w:rPr>
        <w:t>,</w:t>
      </w:r>
      <w:r w:rsidRPr="00D6134C">
        <w:rPr>
          <w:lang w:val="en-US"/>
        </w:rPr>
        <w:t>The</w:t>
      </w:r>
      <w:proofErr w:type="gramEnd"/>
      <w:r w:rsidRPr="00D6134C">
        <w:rPr>
          <w:lang w:val="en-US"/>
        </w:rPr>
        <w:t xml:space="preserve"> right of revolution is an inherent one.</w:t>
      </w:r>
      <w:r>
        <w:rPr>
          <w:lang w:val="en-US"/>
        </w:rPr>
        <w:t xml:space="preserve"> </w:t>
      </w:r>
      <w:r w:rsidRPr="00D6134C">
        <w:rPr>
          <w:lang w:val="en-US"/>
        </w:rPr>
        <w:t xml:space="preserve">When people are oppressed by their government, it is a natural right they enjoy to relieve themselves of the oppression, if they are strong enough, either by withdrawal from it, or by overthrowing it and substituting a government more </w:t>
      </w:r>
      <w:proofErr w:type="gramStart"/>
      <w:r w:rsidRPr="00D6134C">
        <w:rPr>
          <w:lang w:val="en-US"/>
        </w:rPr>
        <w:t>acceptable.</w:t>
      </w:r>
      <w:r>
        <w:rPr>
          <w:lang w:val="en-US"/>
        </w:rPr>
        <w:t>‘</w:t>
      </w:r>
      <w:proofErr w:type="gramEnd"/>
      <w:r w:rsidRPr="00D6134C">
        <w:rPr>
          <w:lang w:val="en-US"/>
        </w:rPr>
        <w:t xml:space="preserve"> </w:t>
      </w:r>
      <w:r>
        <w:rPr>
          <w:lang w:val="en-US"/>
        </w:rPr>
        <w:t>U.S.</w:t>
      </w:r>
      <w:r w:rsidRPr="00D6134C">
        <w:rPr>
          <w:lang w:val="en-US"/>
        </w:rPr>
        <w:t xml:space="preserve"> Grant, Personal Memoirs, I, </w:t>
      </w:r>
      <w:proofErr w:type="gramStart"/>
      <w:r w:rsidRPr="00D6134C">
        <w:rPr>
          <w:lang w:val="en-US"/>
        </w:rPr>
        <w:t>1885.</w:t>
      </w:r>
      <w:r>
        <w:rPr>
          <w:lang w:val="en-US"/>
        </w:rPr>
        <w:t>“</w:t>
      </w:r>
      <w:proofErr w:type="gramEnd"/>
      <w:r>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9167A5">
        <w:rPr>
          <w:lang w:val="en-US"/>
        </w:rPr>
        <w:t xml:space="preserve">, </w:t>
      </w:r>
      <w:r w:rsidRPr="00B45592">
        <w:rPr>
          <w:lang w:val="en-IE"/>
        </w:rPr>
        <w:t>339 U.S. 382, 440</w:t>
      </w:r>
      <w:r w:rsidRPr="00B45592">
        <w:rPr>
          <w:rFonts w:eastAsiaTheme="majorEastAsia"/>
          <w:lang w:val="en-IE"/>
        </w:rPr>
        <w:t xml:space="preserve"> =</w:t>
      </w:r>
      <w:r w:rsidRPr="00B45592">
        <w:rPr>
          <w:lang w:val="en-IE"/>
        </w:rPr>
        <w:t xml:space="preserve"> 70 S. Ct. 674, 704</w:t>
      </w:r>
      <w:r w:rsidRPr="00B45592">
        <w:rPr>
          <w:rFonts w:eastAsiaTheme="majorEastAsia"/>
          <w:lang w:val="en-IE"/>
        </w:rPr>
        <w:t xml:space="preserve"> =</w:t>
      </w:r>
      <w:r w:rsidRPr="00B45592">
        <w:rPr>
          <w:lang w:val="en-IE"/>
        </w:rPr>
        <w:t xml:space="preserve"> 94 L. Ed. 925, 965</w:t>
      </w:r>
      <w:r w:rsidRPr="00B45592">
        <w:rPr>
          <w:rFonts w:eastAsiaTheme="majorEastAsia"/>
          <w:lang w:val="en-IE"/>
        </w:rPr>
        <w:t xml:space="preserve"> =</w:t>
      </w:r>
      <w:r w:rsidRPr="00B45592">
        <w:rPr>
          <w:lang w:val="en-IE"/>
        </w:rPr>
        <w:t xml:space="preserve"> 1950 U.S. LEXIS 2530, 99</w:t>
      </w:r>
      <w:r w:rsidRPr="00B45592">
        <w:rPr>
          <w:rFonts w:eastAsiaTheme="majorEastAsia"/>
          <w:lang w:val="en-IE"/>
        </w:rPr>
        <w:t xml:space="preserve"> =</w:t>
      </w:r>
      <w:r w:rsidRPr="00B45592">
        <w:rPr>
          <w:lang w:val="en-IE"/>
        </w:rPr>
        <w:t xml:space="preserve"> 18 Lab. Cas. (CCH) P65,760</w:t>
      </w:r>
      <w:r w:rsidRPr="00B45592">
        <w:rPr>
          <w:rFonts w:eastAsiaTheme="majorEastAsia"/>
          <w:lang w:val="en-IE"/>
        </w:rPr>
        <w:t xml:space="preserve"> =</w:t>
      </w:r>
      <w:r w:rsidRPr="00B45592">
        <w:rPr>
          <w:lang w:val="en-IE"/>
        </w:rPr>
        <w:t xml:space="preserve"> 26 L.R.R.M. 2084 (1950)</w:t>
      </w:r>
      <w:r>
        <w:rPr>
          <w:lang w:val="en-US"/>
        </w:rPr>
        <w:t>.</w:t>
      </w:r>
    </w:p>
  </w:footnote>
  <w:footnote w:id="812">
    <w:p w14:paraId="01E616C9" w14:textId="77777777" w:rsidR="00074551" w:rsidRPr="00BD4E04" w:rsidRDefault="00074551" w:rsidP="00074551">
      <w:pPr>
        <w:pStyle w:val="Funotentext"/>
        <w:rPr>
          <w:lang w:val="en-US"/>
        </w:rPr>
      </w:pPr>
      <w:r>
        <w:rPr>
          <w:rStyle w:val="Funotenzeichen"/>
          <w:rFonts w:eastAsiaTheme="majorEastAsia"/>
        </w:rPr>
        <w:footnoteRef/>
      </w:r>
      <w:r w:rsidRPr="00BD4E04">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BD4E04">
        <w:rPr>
          <w:lang w:val="en-US"/>
        </w:rPr>
        <w:t>, 339 U.S. 382</w:t>
      </w:r>
      <w:r>
        <w:rPr>
          <w:lang w:val="en-US"/>
        </w:rPr>
        <w:t xml:space="preserve"> </w:t>
      </w:r>
      <w:r w:rsidRPr="00BA1E56">
        <w:rPr>
          <w:lang w:val="en-US"/>
        </w:rPr>
        <w:t>(1950)</w:t>
      </w:r>
      <w:r>
        <w:rPr>
          <w:lang w:val="en-US"/>
        </w:rPr>
        <w:t>.</w:t>
      </w:r>
    </w:p>
  </w:footnote>
  <w:footnote w:id="813">
    <w:p w14:paraId="7304DF8E" w14:textId="77777777" w:rsidR="00074551" w:rsidRPr="003445B5" w:rsidRDefault="00074551" w:rsidP="00074551">
      <w:pPr>
        <w:pStyle w:val="Funotentext"/>
        <w:rPr>
          <w:lang w:val="en-US"/>
        </w:rPr>
      </w:pPr>
      <w:r>
        <w:rPr>
          <w:rStyle w:val="Funotenzeichen"/>
          <w:rFonts w:eastAsiaTheme="majorEastAsia"/>
        </w:rPr>
        <w:footnoteRef/>
      </w:r>
      <w:r w:rsidRPr="003445B5">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03483D">
        <w:rPr>
          <w:lang w:val="en-US"/>
        </w:rPr>
        <w:t>, 339 U.S. 382</w:t>
      </w:r>
      <w:r>
        <w:rPr>
          <w:lang w:val="en-US"/>
        </w:rPr>
        <w:t xml:space="preserve"> </w:t>
      </w:r>
      <w:r w:rsidRPr="00BA1E56">
        <w:rPr>
          <w:lang w:val="en-US"/>
        </w:rPr>
        <w:t>(1950)</w:t>
      </w:r>
      <w:r>
        <w:rPr>
          <w:lang w:val="en-US"/>
        </w:rPr>
        <w:t>.</w:t>
      </w:r>
    </w:p>
  </w:footnote>
  <w:footnote w:id="814">
    <w:p w14:paraId="1D012FD2"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Regents of Univ. of Cal. v. Bakke</w:t>
      </w:r>
      <w:r w:rsidRPr="00BA1E56">
        <w:rPr>
          <w:lang w:val="en-US"/>
        </w:rPr>
        <w:t>, 438 U.S. 265, 388</w:t>
      </w:r>
      <w:r w:rsidRPr="003B741A">
        <w:rPr>
          <w:lang w:val="en-US"/>
        </w:rPr>
        <w:t xml:space="preserve"> = 98 S. Ct. </w:t>
      </w:r>
      <w:r w:rsidRPr="00BA1E56">
        <w:rPr>
          <w:lang w:val="en-US"/>
        </w:rPr>
        <w:t>2733, 2798</w:t>
      </w:r>
      <w:r w:rsidRPr="006E67FE">
        <w:rPr>
          <w:lang w:val="en-US"/>
        </w:rPr>
        <w:t xml:space="preserve"> = 57 L. Ed. </w:t>
      </w:r>
      <w:r w:rsidRPr="00BA1E56">
        <w:rPr>
          <w:lang w:val="en-US"/>
        </w:rPr>
        <w:t>2d 750, 832</w:t>
      </w:r>
      <w:r w:rsidRPr="003B741A">
        <w:rPr>
          <w:lang w:val="en-US"/>
        </w:rPr>
        <w:t xml:space="preserve"> = 1978 U.S. LEXIS </w:t>
      </w:r>
      <w:r w:rsidRPr="00BA1E56">
        <w:rPr>
          <w:lang w:val="en-US"/>
        </w:rPr>
        <w:t>5, 203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BA1E56">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BA1E56">
        <w:rPr>
          <w:lang w:val="en-US"/>
        </w:rPr>
        <w:t>(CCH) P8402 (1978)</w:t>
      </w:r>
      <w:r>
        <w:rPr>
          <w:lang w:val="en-US"/>
        </w:rPr>
        <w:t>.</w:t>
      </w:r>
    </w:p>
  </w:footnote>
  <w:footnote w:id="815">
    <w:p w14:paraId="51943E9D"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Regents of Univ. of Cal. v. Bakke</w:t>
      </w:r>
      <w:r w:rsidRPr="00BA1E56">
        <w:rPr>
          <w:lang w:val="en-US"/>
        </w:rPr>
        <w:t>, 438 U.S. 265, 388</w:t>
      </w:r>
      <w:r w:rsidRPr="003B741A">
        <w:rPr>
          <w:lang w:val="en-US"/>
        </w:rPr>
        <w:t xml:space="preserve"> = 98 S. Ct. </w:t>
      </w:r>
      <w:r w:rsidRPr="00BA1E56">
        <w:rPr>
          <w:lang w:val="en-US"/>
        </w:rPr>
        <w:t>2733, 2798</w:t>
      </w:r>
      <w:r w:rsidRPr="006E67FE">
        <w:rPr>
          <w:lang w:val="en-US"/>
        </w:rPr>
        <w:t xml:space="preserve"> = 57 L. Ed. </w:t>
      </w:r>
      <w:r w:rsidRPr="00BA1E56">
        <w:rPr>
          <w:lang w:val="en-US"/>
        </w:rPr>
        <w:t>2d 750, 832</w:t>
      </w:r>
      <w:r w:rsidRPr="003B741A">
        <w:rPr>
          <w:lang w:val="en-US"/>
        </w:rPr>
        <w:t xml:space="preserve"> = 1978 U.S. LEXIS </w:t>
      </w:r>
      <w:r w:rsidRPr="00BA1E56">
        <w:rPr>
          <w:lang w:val="en-US"/>
        </w:rPr>
        <w:t>5, 202-203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BA1E56">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BA1E56">
        <w:rPr>
          <w:lang w:val="en-US"/>
        </w:rPr>
        <w:t>(CCH) P8402 (1978)</w:t>
      </w:r>
      <w:r>
        <w:rPr>
          <w:lang w:val="en-US"/>
        </w:rPr>
        <w:t>.</w:t>
      </w:r>
    </w:p>
  </w:footnote>
  <w:footnote w:id="816">
    <w:p w14:paraId="3F32F722" w14:textId="77777777" w:rsidR="00074551" w:rsidRPr="00976F97" w:rsidRDefault="00074551" w:rsidP="00074551">
      <w:pPr>
        <w:pStyle w:val="Funotentext"/>
        <w:rPr>
          <w:lang w:val="en-US"/>
        </w:rPr>
      </w:pPr>
      <w:r>
        <w:rPr>
          <w:rStyle w:val="Funotenzeichen"/>
          <w:rFonts w:eastAsiaTheme="majorEastAsia"/>
        </w:rPr>
        <w:footnoteRef/>
      </w:r>
      <w:r w:rsidRPr="00976F97">
        <w:rPr>
          <w:lang w:val="en-US"/>
        </w:rPr>
        <w:t xml:space="preserve"> </w:t>
      </w:r>
      <w:r w:rsidRPr="009167A5">
        <w:rPr>
          <w:i/>
          <w:lang w:val="en-US"/>
        </w:rPr>
        <w:t>Regents of Univ. of Cal. v. Bakke</w:t>
      </w:r>
      <w:r>
        <w:rPr>
          <w:lang w:val="en-US"/>
        </w:rPr>
        <w:t xml:space="preserve"> </w:t>
      </w:r>
      <w:r w:rsidRPr="00976F97">
        <w:rPr>
          <w:lang w:val="en-US"/>
        </w:rPr>
        <w:t>438 U.S. 265</w:t>
      </w:r>
      <w:r>
        <w:rPr>
          <w:lang w:val="en-US"/>
        </w:rPr>
        <w:t xml:space="preserve"> </w:t>
      </w:r>
      <w:r w:rsidRPr="00BA1E56">
        <w:rPr>
          <w:lang w:val="en-US"/>
        </w:rPr>
        <w:t>(1978)</w:t>
      </w:r>
      <w:r>
        <w:rPr>
          <w:lang w:val="en-US"/>
        </w:rPr>
        <w:t>.</w:t>
      </w:r>
    </w:p>
  </w:footnote>
  <w:footnote w:id="817">
    <w:p w14:paraId="213FB4FC" w14:textId="77777777" w:rsidR="00074551" w:rsidRPr="00202DB7" w:rsidRDefault="00074551" w:rsidP="00074551">
      <w:pPr>
        <w:pStyle w:val="Funotentext"/>
        <w:rPr>
          <w:lang w:val="en-IE"/>
        </w:rPr>
      </w:pPr>
      <w:r>
        <w:rPr>
          <w:rStyle w:val="Funotenzeichen"/>
        </w:rPr>
        <w:footnoteRef/>
      </w:r>
      <w:r w:rsidRPr="00202DB7">
        <w:rPr>
          <w:lang w:val="en-IE"/>
        </w:rPr>
        <w:t xml:space="preserve"> </w:t>
      </w:r>
      <w:bookmarkStart w:id="45" w:name="_Hlk231466317"/>
      <w:r w:rsidRPr="009167A5">
        <w:rPr>
          <w:i/>
          <w:lang w:val="en-US"/>
        </w:rPr>
        <w:t>Regents of Univ. of Cal. v. Bakke</w:t>
      </w:r>
      <w:r w:rsidRPr="00BA1E56">
        <w:rPr>
          <w:lang w:val="en-US"/>
        </w:rPr>
        <w:t>, 438 U.S. 265, 388</w:t>
      </w:r>
      <w:r w:rsidRPr="003B741A">
        <w:rPr>
          <w:lang w:val="en-US"/>
        </w:rPr>
        <w:t xml:space="preserve"> = 98 S. Ct. </w:t>
      </w:r>
      <w:r w:rsidRPr="00BA1E56">
        <w:rPr>
          <w:lang w:val="en-US"/>
        </w:rPr>
        <w:t>2733, 2798</w:t>
      </w:r>
      <w:r w:rsidRPr="006E67FE">
        <w:rPr>
          <w:lang w:val="en-US"/>
        </w:rPr>
        <w:t xml:space="preserve"> = 57 L. Ed. </w:t>
      </w:r>
      <w:r w:rsidRPr="00BA1E56">
        <w:rPr>
          <w:lang w:val="en-US"/>
        </w:rPr>
        <w:t>2d 750, 832</w:t>
      </w:r>
      <w:r w:rsidRPr="003B741A">
        <w:rPr>
          <w:lang w:val="en-US"/>
        </w:rPr>
        <w:t xml:space="preserve"> = 1978 U.S. LEXIS </w:t>
      </w:r>
      <w:r w:rsidRPr="00BA1E56">
        <w:rPr>
          <w:lang w:val="en-US"/>
        </w:rPr>
        <w:t>5, 203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BA1E56">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BA1E56">
        <w:rPr>
          <w:lang w:val="en-US"/>
        </w:rPr>
        <w:t>(CCH) P8402 (1978)</w:t>
      </w:r>
      <w:r>
        <w:rPr>
          <w:lang w:val="en-US"/>
        </w:rPr>
        <w:t>.</w:t>
      </w:r>
      <w:bookmarkEnd w:id="45"/>
    </w:p>
  </w:footnote>
  <w:footnote w:id="818">
    <w:p w14:paraId="240EF506" w14:textId="77777777" w:rsidR="00074551" w:rsidRPr="00EE3BA7" w:rsidRDefault="00074551" w:rsidP="00074551">
      <w:pPr>
        <w:pStyle w:val="Funotentext"/>
        <w:rPr>
          <w:lang w:val="en-US"/>
        </w:rPr>
      </w:pPr>
      <w:r>
        <w:rPr>
          <w:rStyle w:val="Funotenzeichen"/>
        </w:rPr>
        <w:footnoteRef/>
      </w:r>
      <w:r w:rsidRPr="00AA26F0">
        <w:rPr>
          <w:lang w:val="en-US"/>
        </w:rPr>
        <w:t xml:space="preserve"> </w:t>
      </w:r>
      <w:r w:rsidRPr="009167A5">
        <w:rPr>
          <w:i/>
          <w:lang w:val="en-US"/>
        </w:rPr>
        <w:t>Regents of Univ. of Cal. v. Bakke</w:t>
      </w:r>
      <w:r w:rsidRPr="00AA26F0">
        <w:rPr>
          <w:lang w:val="en-US"/>
        </w:rPr>
        <w:t>, 438 U.S. 265, 311</w:t>
      </w:r>
      <w:r>
        <w:rPr>
          <w:lang w:val="en-US"/>
        </w:rPr>
        <w:t>–</w:t>
      </w:r>
      <w:r w:rsidRPr="00AA26F0">
        <w:rPr>
          <w:lang w:val="en-US"/>
        </w:rPr>
        <w:t>312</w:t>
      </w:r>
      <w:r w:rsidRPr="003B741A">
        <w:rPr>
          <w:lang w:val="en-US"/>
        </w:rPr>
        <w:t xml:space="preserve"> = 98 S. Ct. </w:t>
      </w:r>
      <w:r w:rsidRPr="00AA26F0">
        <w:rPr>
          <w:lang w:val="en-US"/>
        </w:rPr>
        <w:t>2733, 2759</w:t>
      </w:r>
      <w:r w:rsidRPr="006E67FE">
        <w:rPr>
          <w:lang w:val="en-US"/>
        </w:rPr>
        <w:t xml:space="preserve"> = 57 L. Ed. </w:t>
      </w:r>
      <w:r w:rsidRPr="00AA26F0">
        <w:rPr>
          <w:lang w:val="en-US"/>
        </w:rPr>
        <w:t>2d 750, 785</w:t>
      </w:r>
      <w:r w:rsidRPr="003B741A">
        <w:rPr>
          <w:lang w:val="en-US"/>
        </w:rPr>
        <w:t xml:space="preserve"> = 1978 U.S. LEXIS </w:t>
      </w:r>
      <w:r w:rsidRPr="00AA26F0">
        <w:rPr>
          <w:lang w:val="en-US"/>
        </w:rPr>
        <w:t>5, 78</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EE3BA7">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EE3BA7">
        <w:rPr>
          <w:lang w:val="en-US"/>
        </w:rPr>
        <w:t>(CCH) P8402 (1978).</w:t>
      </w:r>
    </w:p>
  </w:footnote>
  <w:footnote w:id="819">
    <w:p w14:paraId="6CDAB9F9" w14:textId="77777777" w:rsidR="00074551" w:rsidRPr="00EE3BA7" w:rsidRDefault="00074551" w:rsidP="00074551">
      <w:pPr>
        <w:pStyle w:val="Funotentext"/>
        <w:rPr>
          <w:lang w:val="en-US"/>
        </w:rPr>
      </w:pPr>
      <w:r>
        <w:rPr>
          <w:rStyle w:val="Funotenzeichen"/>
        </w:rPr>
        <w:footnoteRef/>
      </w:r>
      <w:r w:rsidRPr="00EE3BA7">
        <w:rPr>
          <w:lang w:val="en-US"/>
        </w:rPr>
        <w:t xml:space="preserve"> </w:t>
      </w:r>
      <w:r w:rsidRPr="00B45592">
        <w:rPr>
          <w:i/>
          <w:lang w:val="en-US"/>
        </w:rPr>
        <w:t>Sweezy v. New Hampshire</w:t>
      </w:r>
      <w:r w:rsidRPr="00EE3BA7">
        <w:rPr>
          <w:lang w:val="en-US"/>
        </w:rPr>
        <w:t xml:space="preserve">, 354 U.S. 234, 263 (1957); </w:t>
      </w:r>
      <w:r w:rsidRPr="009167A5">
        <w:rPr>
          <w:i/>
          <w:lang w:val="en-US"/>
        </w:rPr>
        <w:t>Regents of Univ. of Cal. v. Bakke</w:t>
      </w:r>
      <w:r w:rsidRPr="00EE3BA7">
        <w:rPr>
          <w:lang w:val="en-US"/>
        </w:rPr>
        <w:t>, 438 U.S. 265, 312</w:t>
      </w:r>
      <w:r w:rsidRPr="003B741A">
        <w:rPr>
          <w:lang w:val="en-US"/>
        </w:rPr>
        <w:t xml:space="preserve"> = 98 S. Ct. </w:t>
      </w:r>
      <w:r w:rsidRPr="00EE3BA7">
        <w:rPr>
          <w:lang w:val="en-US"/>
        </w:rPr>
        <w:t>2733, 2759</w:t>
      </w:r>
      <w:r w:rsidRPr="006E67FE">
        <w:rPr>
          <w:lang w:val="en-US"/>
        </w:rPr>
        <w:t xml:space="preserve"> = 57 L. Ed. </w:t>
      </w:r>
      <w:r w:rsidRPr="00EE3BA7">
        <w:rPr>
          <w:lang w:val="en-US"/>
        </w:rPr>
        <w:t>2d 750, 785</w:t>
      </w:r>
      <w:r w:rsidRPr="003B741A">
        <w:rPr>
          <w:lang w:val="en-US"/>
        </w:rPr>
        <w:t xml:space="preserve"> = 1978 U.S. LEXIS </w:t>
      </w:r>
      <w:r w:rsidRPr="00EE3BA7">
        <w:rPr>
          <w:lang w:val="en-US"/>
        </w:rPr>
        <w:t>5, 78</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EE3BA7">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EE3BA7">
        <w:rPr>
          <w:lang w:val="en-US"/>
        </w:rPr>
        <w:t>(CCH) P8402 (1978).</w:t>
      </w:r>
    </w:p>
  </w:footnote>
  <w:footnote w:id="820">
    <w:p w14:paraId="1E1D7AA6" w14:textId="77777777" w:rsidR="00074551" w:rsidRPr="000A0B38" w:rsidRDefault="00074551" w:rsidP="00074551">
      <w:pPr>
        <w:pStyle w:val="Funotentext"/>
        <w:rPr>
          <w:lang w:val="en-US"/>
        </w:rPr>
      </w:pPr>
      <w:r>
        <w:rPr>
          <w:rStyle w:val="Funotenzeichen"/>
          <w:rFonts w:eastAsiaTheme="majorEastAsia"/>
        </w:rPr>
        <w:footnoteRef/>
      </w:r>
      <w:r w:rsidRPr="000A0B38">
        <w:rPr>
          <w:lang w:val="en-US"/>
        </w:rPr>
        <w:t xml:space="preserve"> </w:t>
      </w:r>
      <w:r w:rsidRPr="009167A5">
        <w:rPr>
          <w:i/>
          <w:lang w:val="en-US"/>
        </w:rPr>
        <w:t>Regents of Univ. of Cal. v. Bakke</w:t>
      </w:r>
      <w:r w:rsidRPr="000A0B38">
        <w:rPr>
          <w:lang w:val="en-US"/>
        </w:rPr>
        <w:t xml:space="preserve"> 438 U.S. 265</w:t>
      </w:r>
      <w:r>
        <w:rPr>
          <w:lang w:val="en-US"/>
        </w:rPr>
        <w:t xml:space="preserve"> </w:t>
      </w:r>
      <w:r w:rsidRPr="00BA1E56">
        <w:rPr>
          <w:lang w:val="en-US"/>
        </w:rPr>
        <w:t>(1978)</w:t>
      </w:r>
      <w:r>
        <w:rPr>
          <w:lang w:val="en-US"/>
        </w:rPr>
        <w:t>.</w:t>
      </w:r>
    </w:p>
  </w:footnote>
  <w:footnote w:id="821">
    <w:p w14:paraId="6BF6E913" w14:textId="77777777" w:rsidR="00074551" w:rsidRPr="009905DE" w:rsidRDefault="00074551" w:rsidP="00074551">
      <w:pPr>
        <w:pStyle w:val="Funotentext"/>
        <w:rPr>
          <w:lang w:val="en-US"/>
        </w:rPr>
      </w:pPr>
      <w:r>
        <w:rPr>
          <w:rStyle w:val="Funotenzeichen"/>
        </w:rPr>
        <w:footnoteRef/>
      </w:r>
      <w:r w:rsidRPr="009905DE">
        <w:rPr>
          <w:lang w:val="en-US"/>
        </w:rPr>
        <w:t xml:space="preserve"> </w:t>
      </w:r>
      <w:proofErr w:type="gramStart"/>
      <w:r>
        <w:rPr>
          <w:lang w:val="en-US"/>
        </w:rPr>
        <w:t>„</w:t>
      </w:r>
      <w:r w:rsidRPr="009905DE">
        <w:rPr>
          <w:lang w:val="en-US"/>
        </w:rPr>
        <w:t>(</w:t>
      </w:r>
      <w:proofErr w:type="gramEnd"/>
      <w:r w:rsidRPr="009905DE">
        <w:rPr>
          <w:lang w:val="en-US"/>
        </w:rPr>
        <w:t>1) The following acts, whether performed singly or in concert, shall be considered legal:</w:t>
      </w:r>
      <w:r>
        <w:rPr>
          <w:lang w:val="en-US"/>
        </w:rPr>
        <w:t xml:space="preserve"> </w:t>
      </w:r>
      <w:r w:rsidRPr="009905DE">
        <w:rPr>
          <w:lang w:val="en-US"/>
        </w:rPr>
        <w:t>(a) Ceasing or refusing to perform any work or to remain in any relation of employment regardless of any promise, undertaking, contract or agreement in violation of the public policy declared in s. 103.52.</w:t>
      </w:r>
      <w:r>
        <w:rPr>
          <w:lang w:val="en-US"/>
        </w:rPr>
        <w:t xml:space="preserve"> </w:t>
      </w:r>
      <w:r w:rsidRPr="009905DE">
        <w:rPr>
          <w:lang w:val="en-US"/>
        </w:rPr>
        <w:t>(b) Becoming or remaining a member of any labor organization or of any employer organization, regardless of any undertaking or promise as is described in s. 103.52.</w:t>
      </w:r>
      <w:r>
        <w:rPr>
          <w:lang w:val="en-US"/>
        </w:rPr>
        <w:t xml:space="preserve"> </w:t>
      </w:r>
      <w:r w:rsidRPr="009905DE">
        <w:rPr>
          <w:lang w:val="en-US"/>
        </w:rPr>
        <w:t>(c) Paying or giving to any person any strike or unemployment benefits or insurance or other moneys or things of value.</w:t>
      </w:r>
      <w:r>
        <w:rPr>
          <w:lang w:val="en-US"/>
        </w:rPr>
        <w:t xml:space="preserve"> </w:t>
      </w:r>
      <w:r w:rsidRPr="009905DE">
        <w:rPr>
          <w:lang w:val="en-US"/>
        </w:rPr>
        <w:t>(d) Aiding, by lawful means, any person who is being proceeded against in, or is prosecuting, any action or suit in any court of the United States or of any state.</w:t>
      </w:r>
      <w:r>
        <w:rPr>
          <w:lang w:val="en-US"/>
        </w:rPr>
        <w:t xml:space="preserve"> </w:t>
      </w:r>
      <w:r w:rsidRPr="009905DE">
        <w:rPr>
          <w:lang w:val="en-US"/>
        </w:rPr>
        <w:t>(e) Giving publicity to and obtaining or communicating information regarding the existence of, or the facts involved in, any dispute, whether by advertising, speaking, patrolling any public street or any place where any person may lawfully be, without intimidation or coercion, or by any other method not involving fraud, violence, breach of the peace, or threat of fraud, violence or breach of the peace.</w:t>
      </w:r>
      <w:r>
        <w:rPr>
          <w:lang w:val="en-US"/>
        </w:rPr>
        <w:t xml:space="preserve"> </w:t>
      </w:r>
      <w:r w:rsidRPr="009905DE">
        <w:rPr>
          <w:lang w:val="en-US"/>
        </w:rPr>
        <w:t>(f) Ceasing to patronize or to employ any person, except that nothing in this paragraph shall be construed to legalize a secondary boycott.</w:t>
      </w:r>
      <w:r>
        <w:rPr>
          <w:lang w:val="en-US"/>
        </w:rPr>
        <w:t xml:space="preserve"> </w:t>
      </w:r>
      <w:r w:rsidRPr="009905DE">
        <w:rPr>
          <w:lang w:val="en-US"/>
        </w:rPr>
        <w:t>(g) Assembling peaceably to do or to organize to do any of the acts specified in pars. (a) to (f) or to promote lawful interests.</w:t>
      </w:r>
      <w:r>
        <w:rPr>
          <w:lang w:val="en-US"/>
        </w:rPr>
        <w:t xml:space="preserve"> </w:t>
      </w:r>
      <w:r w:rsidRPr="009905DE">
        <w:rPr>
          <w:lang w:val="en-US"/>
        </w:rPr>
        <w:t>(h) Advising or notifying any person or persons of an intention to do any of the acts specified in pars. (a) to (g).</w:t>
      </w:r>
      <w:r>
        <w:rPr>
          <w:lang w:val="en-US"/>
        </w:rPr>
        <w:t xml:space="preserve"> </w:t>
      </w:r>
      <w:r w:rsidRPr="009905DE">
        <w:rPr>
          <w:lang w:val="en-US"/>
        </w:rPr>
        <w:t>(</w:t>
      </w:r>
      <w:proofErr w:type="spellStart"/>
      <w:r w:rsidRPr="009905DE">
        <w:rPr>
          <w:lang w:val="en-US"/>
        </w:rPr>
        <w:t>i</w:t>
      </w:r>
      <w:proofErr w:type="spellEnd"/>
      <w:r w:rsidRPr="009905DE">
        <w:rPr>
          <w:lang w:val="en-US"/>
        </w:rPr>
        <w:t>) Agreeing with other persons to do or not to do any of the acts specified in pars. (a) to (h).</w:t>
      </w:r>
      <w:r>
        <w:rPr>
          <w:lang w:val="en-US"/>
        </w:rPr>
        <w:t xml:space="preserve"> </w:t>
      </w:r>
      <w:r w:rsidRPr="009905DE">
        <w:rPr>
          <w:lang w:val="en-US"/>
        </w:rPr>
        <w:t>(j) Advising, urging, or inducing without fraud, violence, or threat of fraud or violence, others to do the acts specified in pars. (a) to (</w:t>
      </w:r>
      <w:proofErr w:type="spellStart"/>
      <w:r w:rsidRPr="009905DE">
        <w:rPr>
          <w:lang w:val="en-US"/>
        </w:rPr>
        <w:t>i</w:t>
      </w:r>
      <w:proofErr w:type="spellEnd"/>
      <w:r w:rsidRPr="009905DE">
        <w:rPr>
          <w:lang w:val="en-US"/>
        </w:rPr>
        <w:t>), regardless of any undertaking or promise as described in s. 103.52.</w:t>
      </w:r>
      <w:r>
        <w:rPr>
          <w:lang w:val="en-US"/>
        </w:rPr>
        <w:t xml:space="preserve"> </w:t>
      </w:r>
      <w:r w:rsidRPr="009905DE">
        <w:rPr>
          <w:lang w:val="en-US"/>
        </w:rPr>
        <w:t>(k) Doing in concert any of the acts specified in pars. (a) to (j).</w:t>
      </w:r>
      <w:r>
        <w:rPr>
          <w:lang w:val="en-US"/>
        </w:rPr>
        <w:t xml:space="preserve"> </w:t>
      </w:r>
      <w:r w:rsidRPr="009905DE">
        <w:rPr>
          <w:lang w:val="en-US"/>
        </w:rPr>
        <w:t>(L) Peaceful picketing or patrolling.</w:t>
      </w:r>
      <w:r>
        <w:rPr>
          <w:lang w:val="en-US"/>
        </w:rPr>
        <w:t xml:space="preserve"> </w:t>
      </w:r>
      <w:r w:rsidRPr="009905DE">
        <w:rPr>
          <w:lang w:val="en-US"/>
        </w:rPr>
        <w:t>(2) No court shall have jurisdiction to issue any restraining order or temporary or permanent injunction which, in specific or general terms, prohibits any person from doing, whether singly or in concert, any of the acts specified in sub. (1</w:t>
      </w:r>
      <w:proofErr w:type="gramStart"/>
      <w:r w:rsidRPr="009905DE">
        <w:rPr>
          <w:lang w:val="en-US"/>
        </w:rPr>
        <w:t>)</w:t>
      </w:r>
      <w:r>
        <w:rPr>
          <w:lang w:val="en-US"/>
        </w:rPr>
        <w:t>.“</w:t>
      </w:r>
      <w:proofErr w:type="gramEnd"/>
      <w:r>
        <w:rPr>
          <w:lang w:val="en-US"/>
        </w:rPr>
        <w:t xml:space="preserve">, </w:t>
      </w:r>
      <w:r w:rsidRPr="009905DE">
        <w:rPr>
          <w:lang w:val="en-US"/>
        </w:rPr>
        <w:t xml:space="preserve">Wis. Stat. </w:t>
      </w:r>
      <w:r>
        <w:rPr>
          <w:lang w:val="en-US"/>
        </w:rPr>
        <w:t>§ </w:t>
      </w:r>
      <w:r w:rsidRPr="009905DE">
        <w:rPr>
          <w:lang w:val="en-US"/>
        </w:rPr>
        <w:t>103.53</w:t>
      </w:r>
      <w:r>
        <w:rPr>
          <w:lang w:val="en-US"/>
        </w:rPr>
        <w:t>.</w:t>
      </w:r>
    </w:p>
  </w:footnote>
  <w:footnote w:id="822">
    <w:p w14:paraId="7A5875A2" w14:textId="77777777" w:rsidR="00074551" w:rsidRPr="00282EB2" w:rsidRDefault="00074551" w:rsidP="00074551">
      <w:pPr>
        <w:pStyle w:val="Funotentext"/>
        <w:rPr>
          <w:lang w:val="en-US"/>
        </w:rPr>
      </w:pPr>
      <w:r>
        <w:rPr>
          <w:rStyle w:val="Funotenzeichen"/>
        </w:rPr>
        <w:footnoteRef/>
      </w:r>
      <w:r w:rsidRPr="009905DE">
        <w:rPr>
          <w:lang w:val="en-US"/>
        </w:rPr>
        <w:t xml:space="preserve"> </w:t>
      </w:r>
      <w:r w:rsidRPr="009167A5">
        <w:rPr>
          <w:i/>
          <w:lang w:val="en-US"/>
        </w:rPr>
        <w:t>Senn v. Tile Layers Protective Union</w:t>
      </w:r>
      <w:r w:rsidRPr="009905DE">
        <w:rPr>
          <w:lang w:val="en-US"/>
        </w:rPr>
        <w:t>, 301 U.S. 468, 470</w:t>
      </w:r>
      <w:r>
        <w:rPr>
          <w:lang w:val="en-US"/>
        </w:rPr>
        <w:t xml:space="preserve"> = 57 S. Ct. </w:t>
      </w:r>
      <w:r w:rsidRPr="009905DE">
        <w:rPr>
          <w:lang w:val="en-US"/>
        </w:rPr>
        <w:t>857, 859</w:t>
      </w:r>
      <w:r>
        <w:rPr>
          <w:lang w:val="en-US"/>
        </w:rPr>
        <w:t xml:space="preserve"> = 81 L. Ed. </w:t>
      </w:r>
      <w:r w:rsidRPr="009905DE">
        <w:rPr>
          <w:lang w:val="en-US"/>
        </w:rPr>
        <w:t>1229, 1233</w:t>
      </w:r>
      <w:r>
        <w:rPr>
          <w:lang w:val="en-US"/>
        </w:rPr>
        <w:t xml:space="preserve"> = 1937 U.S. LEXIS </w:t>
      </w:r>
      <w:r w:rsidRPr="009905DE">
        <w:rPr>
          <w:lang w:val="en-US"/>
        </w:rPr>
        <w:t>1197, 1</w:t>
      </w:r>
      <w:r w:rsidRPr="005D5028">
        <w:rPr>
          <w:lang w:val="en-US"/>
        </w:rPr>
        <w:t xml:space="preserve"> = 1 Lab. Cas. </w:t>
      </w:r>
      <w:r w:rsidRPr="00282EB2">
        <w:rPr>
          <w:lang w:val="en-US"/>
        </w:rPr>
        <w:t>(CCH) P17,023 (1937).</w:t>
      </w:r>
    </w:p>
  </w:footnote>
  <w:footnote w:id="823">
    <w:p w14:paraId="2EA5D218" w14:textId="77777777" w:rsidR="00074551" w:rsidRPr="00F625B4" w:rsidRDefault="00074551" w:rsidP="00074551">
      <w:pPr>
        <w:pStyle w:val="Funotentext"/>
        <w:rPr>
          <w:lang w:val="en-US"/>
        </w:rPr>
      </w:pPr>
      <w:r>
        <w:rPr>
          <w:rStyle w:val="Funotenzeichen"/>
          <w:rFonts w:eastAsiaTheme="majorEastAsia"/>
        </w:rPr>
        <w:footnoteRef/>
      </w:r>
      <w:r w:rsidRPr="00F625B4">
        <w:rPr>
          <w:lang w:val="en-US"/>
        </w:rPr>
        <w:t xml:space="preserve"> </w:t>
      </w:r>
      <w:r w:rsidRPr="009167A5">
        <w:rPr>
          <w:i/>
          <w:lang w:val="en-US"/>
        </w:rPr>
        <w:t>Senn v. Tile Layers Protective Union</w:t>
      </w:r>
      <w:r w:rsidRPr="00F625B4">
        <w:rPr>
          <w:lang w:val="en-US"/>
        </w:rPr>
        <w:t>, 301 U.S. 468, 470</w:t>
      </w:r>
      <w:r>
        <w:rPr>
          <w:lang w:val="en-US"/>
        </w:rPr>
        <w:t xml:space="preserve"> = 57 S. Ct. </w:t>
      </w:r>
      <w:r w:rsidRPr="00F625B4">
        <w:rPr>
          <w:lang w:val="en-US"/>
        </w:rPr>
        <w:t>857, 859</w:t>
      </w:r>
      <w:r>
        <w:rPr>
          <w:lang w:val="en-US"/>
        </w:rPr>
        <w:t xml:space="preserve"> = 81 L. Ed. </w:t>
      </w:r>
      <w:r w:rsidRPr="00F625B4">
        <w:rPr>
          <w:lang w:val="en-US"/>
        </w:rPr>
        <w:t>1229, 1233</w:t>
      </w:r>
      <w:r>
        <w:rPr>
          <w:lang w:val="en-US"/>
        </w:rPr>
        <w:t xml:space="preserve"> = 1937 U.S. LEXIS </w:t>
      </w:r>
      <w:r w:rsidRPr="00F625B4">
        <w:rPr>
          <w:lang w:val="en-US"/>
        </w:rPr>
        <w:t>1197, 1</w:t>
      </w:r>
      <w:r w:rsidRPr="005D5028">
        <w:rPr>
          <w:lang w:val="en-US"/>
        </w:rPr>
        <w:t xml:space="preserve"> = 1 Lab. Cas. </w:t>
      </w:r>
      <w:r w:rsidRPr="00F625B4">
        <w:rPr>
          <w:lang w:val="en-US"/>
        </w:rPr>
        <w:t>(CCH) P17,023 (1937)</w:t>
      </w:r>
      <w:r>
        <w:rPr>
          <w:lang w:val="en-US"/>
        </w:rPr>
        <w:t>.</w:t>
      </w:r>
    </w:p>
  </w:footnote>
  <w:footnote w:id="824">
    <w:p w14:paraId="2A79C181" w14:textId="77777777" w:rsidR="00074551" w:rsidRPr="00F625B4" w:rsidRDefault="00074551" w:rsidP="00074551">
      <w:pPr>
        <w:pStyle w:val="Funotentext"/>
        <w:rPr>
          <w:lang w:val="en-US"/>
        </w:rPr>
      </w:pPr>
      <w:r>
        <w:rPr>
          <w:rStyle w:val="Funotenzeichen"/>
          <w:rFonts w:eastAsiaTheme="majorEastAsia"/>
        </w:rPr>
        <w:footnoteRef/>
      </w:r>
      <w:r w:rsidRPr="00F625B4">
        <w:rPr>
          <w:lang w:val="en-US"/>
        </w:rPr>
        <w:t xml:space="preserve"> </w:t>
      </w:r>
      <w:r w:rsidRPr="009167A5">
        <w:rPr>
          <w:i/>
          <w:lang w:val="en-US"/>
        </w:rPr>
        <w:t>Senn v. Tile Layers Protective Union</w:t>
      </w:r>
      <w:r w:rsidRPr="00F625B4">
        <w:rPr>
          <w:lang w:val="en-US"/>
        </w:rPr>
        <w:t>, 301 U.S. 468, 486</w:t>
      </w:r>
      <w:r>
        <w:rPr>
          <w:lang w:val="en-US"/>
        </w:rPr>
        <w:t xml:space="preserve"> = 57 S. Ct. </w:t>
      </w:r>
      <w:r w:rsidRPr="00F625B4">
        <w:rPr>
          <w:lang w:val="en-US"/>
        </w:rPr>
        <w:t>857, 865</w:t>
      </w:r>
      <w:r>
        <w:rPr>
          <w:lang w:val="en-US"/>
        </w:rPr>
        <w:t xml:space="preserve"> = 81 L. Ed. </w:t>
      </w:r>
      <w:r w:rsidRPr="00F625B4">
        <w:rPr>
          <w:lang w:val="en-US"/>
        </w:rPr>
        <w:t>1229, 1240</w:t>
      </w:r>
      <w:r>
        <w:rPr>
          <w:lang w:val="en-US"/>
        </w:rPr>
        <w:t xml:space="preserve"> = 1937 U.S. LEXIS </w:t>
      </w:r>
      <w:r w:rsidRPr="00F625B4">
        <w:rPr>
          <w:lang w:val="en-US"/>
        </w:rPr>
        <w:t>1197, 30</w:t>
      </w:r>
      <w:r w:rsidRPr="005D5028">
        <w:rPr>
          <w:lang w:val="en-US"/>
        </w:rPr>
        <w:t xml:space="preserve"> = 1 Lab. Cas. </w:t>
      </w:r>
      <w:r w:rsidRPr="00F625B4">
        <w:rPr>
          <w:lang w:val="en-US"/>
        </w:rPr>
        <w:t>(CCH) P17,023 (1937)</w:t>
      </w:r>
      <w:r>
        <w:rPr>
          <w:lang w:val="en-US"/>
        </w:rPr>
        <w:t>.</w:t>
      </w:r>
    </w:p>
  </w:footnote>
  <w:footnote w:id="825">
    <w:p w14:paraId="1C014317" w14:textId="77777777" w:rsidR="00074551" w:rsidRPr="00EB026E" w:rsidRDefault="00074551" w:rsidP="00074551">
      <w:pPr>
        <w:pStyle w:val="Funotentext"/>
        <w:rPr>
          <w:lang w:val="en-US"/>
        </w:rPr>
      </w:pPr>
      <w:r>
        <w:rPr>
          <w:rStyle w:val="Funotenzeichen"/>
          <w:rFonts w:eastAsiaTheme="majorEastAsia"/>
        </w:rPr>
        <w:footnoteRef/>
      </w:r>
      <w:r w:rsidRPr="00EB026E">
        <w:rPr>
          <w:lang w:val="en-US"/>
        </w:rPr>
        <w:t xml:space="preserve"> </w:t>
      </w:r>
      <w:r w:rsidRPr="009E57E1">
        <w:rPr>
          <w:i/>
          <w:lang w:val="en-US"/>
        </w:rPr>
        <w:t>Meyer v. Nebraska</w:t>
      </w:r>
      <w:r w:rsidRPr="00107157">
        <w:rPr>
          <w:lang w:val="en-US"/>
        </w:rPr>
        <w:t>, 262 U.S. 390, 399</w:t>
      </w:r>
      <w:r>
        <w:rPr>
          <w:lang w:val="en-US"/>
        </w:rPr>
        <w:t xml:space="preserve">; </w:t>
      </w:r>
      <w:r w:rsidRPr="009167A5">
        <w:rPr>
          <w:i/>
          <w:lang w:val="en-US"/>
        </w:rPr>
        <w:t>Senn v. Tile Layers Protective Union</w:t>
      </w:r>
      <w:r w:rsidRPr="00107157">
        <w:rPr>
          <w:lang w:val="en-US"/>
        </w:rPr>
        <w:t>, 301 U.S. 468, 487</w:t>
      </w:r>
      <w:r>
        <w:rPr>
          <w:lang w:val="en-US"/>
        </w:rPr>
        <w:t xml:space="preserve"> = 57 S. Ct. </w:t>
      </w:r>
      <w:r w:rsidRPr="00107157">
        <w:rPr>
          <w:lang w:val="en-US"/>
        </w:rPr>
        <w:t>857, 866</w:t>
      </w:r>
      <w:r>
        <w:rPr>
          <w:lang w:val="en-US"/>
        </w:rPr>
        <w:t xml:space="preserve"> = 81 L. Ed. </w:t>
      </w:r>
      <w:r w:rsidRPr="00107157">
        <w:rPr>
          <w:lang w:val="en-US"/>
        </w:rPr>
        <w:t>1229, 1240</w:t>
      </w:r>
      <w:r>
        <w:rPr>
          <w:lang w:val="en-US"/>
        </w:rPr>
        <w:t xml:space="preserve"> = 1937 U.S. LEXIS </w:t>
      </w:r>
      <w:r w:rsidRPr="00107157">
        <w:rPr>
          <w:lang w:val="en-US"/>
        </w:rPr>
        <w:t>1197, 31</w:t>
      </w:r>
      <w:r w:rsidRPr="005D5028">
        <w:rPr>
          <w:lang w:val="en-US"/>
        </w:rPr>
        <w:t xml:space="preserve"> = 1 Lab. Cas. </w:t>
      </w:r>
      <w:r w:rsidRPr="00107157">
        <w:rPr>
          <w:lang w:val="en-US"/>
        </w:rPr>
        <w:t>(CCH) P17,023 (1937)</w:t>
      </w:r>
      <w:r>
        <w:rPr>
          <w:lang w:val="en-US"/>
        </w:rPr>
        <w:t>.</w:t>
      </w:r>
    </w:p>
  </w:footnote>
  <w:footnote w:id="826">
    <w:p w14:paraId="777778EF" w14:textId="77777777" w:rsidR="00074551" w:rsidRPr="007D59E5" w:rsidRDefault="00074551" w:rsidP="00074551">
      <w:pPr>
        <w:pStyle w:val="Funotentext"/>
        <w:rPr>
          <w:lang w:val="en-US"/>
        </w:rPr>
      </w:pPr>
      <w:r>
        <w:rPr>
          <w:rStyle w:val="Funotenzeichen"/>
        </w:rPr>
        <w:footnoteRef/>
      </w:r>
      <w:r w:rsidRPr="007D59E5">
        <w:rPr>
          <w:lang w:val="en-US"/>
        </w:rPr>
        <w:t xml:space="preserve"> </w:t>
      </w:r>
      <w:bookmarkStart w:id="46" w:name="_Hlk228744383"/>
      <w:r w:rsidRPr="00B45592">
        <w:rPr>
          <w:i/>
          <w:lang w:val="en-US"/>
        </w:rPr>
        <w:t>Smith Act</w:t>
      </w:r>
      <w:r w:rsidRPr="007D59E5">
        <w:rPr>
          <w:lang w:val="en-US"/>
        </w:rPr>
        <w:t xml:space="preserve">, 18 U.S.C.S. </w:t>
      </w:r>
      <w:r>
        <w:rPr>
          <w:lang w:val="en-US"/>
        </w:rPr>
        <w:t>§ </w:t>
      </w:r>
      <w:r w:rsidRPr="007D59E5">
        <w:rPr>
          <w:lang w:val="en-US"/>
        </w:rPr>
        <w:t>2385</w:t>
      </w:r>
      <w:bookmarkEnd w:id="46"/>
      <w:r w:rsidRPr="007D59E5">
        <w:rPr>
          <w:lang w:val="en-US"/>
        </w:rPr>
        <w:t>,</w:t>
      </w:r>
      <w:r>
        <w:rPr>
          <w:lang w:val="en-US"/>
        </w:rPr>
        <w:t xml:space="preserve"> </w:t>
      </w:r>
      <w:proofErr w:type="spellStart"/>
      <w:r>
        <w:rPr>
          <w:lang w:val="en-US"/>
        </w:rPr>
        <w:t>vgl</w:t>
      </w:r>
      <w:proofErr w:type="spellEnd"/>
      <w:r>
        <w:rPr>
          <w:lang w:val="en-US"/>
        </w:rPr>
        <w:t xml:space="preserve">. </w:t>
      </w:r>
      <w:r w:rsidRPr="009E57E1">
        <w:rPr>
          <w:i/>
          <w:lang w:val="en-US"/>
        </w:rPr>
        <w:t>Scales v. United States</w:t>
      </w:r>
      <w:r w:rsidRPr="007D59E5">
        <w:rPr>
          <w:lang w:val="en-US"/>
        </w:rPr>
        <w:t>, 367 U.S. 203, 205</w:t>
      </w:r>
      <w:r w:rsidRPr="006E67FE">
        <w:rPr>
          <w:lang w:val="en-US"/>
        </w:rPr>
        <w:t xml:space="preserve"> = 81 S. Ct. </w:t>
      </w:r>
      <w:r w:rsidRPr="007D59E5">
        <w:rPr>
          <w:lang w:val="en-US"/>
        </w:rPr>
        <w:t>1469, 1473</w:t>
      </w:r>
      <w:r>
        <w:rPr>
          <w:lang w:val="en-US"/>
        </w:rPr>
        <w:t xml:space="preserve"> = 6 L. Ed. </w:t>
      </w:r>
      <w:r w:rsidRPr="007D59E5">
        <w:rPr>
          <w:lang w:val="en-US"/>
        </w:rPr>
        <w:t>2d 782, 787</w:t>
      </w:r>
      <w:r w:rsidRPr="006E67FE">
        <w:rPr>
          <w:lang w:val="en-US"/>
        </w:rPr>
        <w:t xml:space="preserve"> = 1961 U.S. LEXIS </w:t>
      </w:r>
      <w:r w:rsidRPr="007D59E5">
        <w:rPr>
          <w:lang w:val="en-US"/>
        </w:rPr>
        <w:t>2003, 1 (1961)</w:t>
      </w:r>
      <w:r>
        <w:rPr>
          <w:lang w:val="en-US"/>
        </w:rPr>
        <w:t>.</w:t>
      </w:r>
    </w:p>
  </w:footnote>
  <w:footnote w:id="827">
    <w:p w14:paraId="3D674FC7" w14:textId="77777777" w:rsidR="00074551" w:rsidRPr="007D59E5" w:rsidRDefault="00074551" w:rsidP="00074551">
      <w:pPr>
        <w:pStyle w:val="Funotentext"/>
        <w:rPr>
          <w:lang w:val="en-US"/>
        </w:rPr>
      </w:pPr>
      <w:r>
        <w:rPr>
          <w:rStyle w:val="Funotenzeichen"/>
        </w:rPr>
        <w:footnoteRef/>
      </w:r>
      <w:r w:rsidRPr="007D59E5">
        <w:rPr>
          <w:lang w:val="en-US"/>
        </w:rPr>
        <w:t xml:space="preserve"> </w:t>
      </w:r>
      <w:bookmarkStart w:id="47" w:name="_Hlk228744395"/>
      <w:r>
        <w:rPr>
          <w:lang w:val="en-US"/>
        </w:rPr>
        <w:t>§ </w:t>
      </w:r>
      <w:r w:rsidRPr="004E284F">
        <w:rPr>
          <w:lang w:val="en-US"/>
        </w:rPr>
        <w:t xml:space="preserve">4(f) </w:t>
      </w:r>
      <w:r>
        <w:rPr>
          <w:lang w:val="en-US"/>
        </w:rPr>
        <w:t>des</w:t>
      </w:r>
      <w:r w:rsidRPr="004E284F">
        <w:rPr>
          <w:lang w:val="en-US"/>
        </w:rPr>
        <w:t xml:space="preserve"> </w:t>
      </w:r>
      <w:r w:rsidRPr="00B45592">
        <w:rPr>
          <w:i/>
          <w:lang w:val="en-US"/>
        </w:rPr>
        <w:t>Internal Security Act</w:t>
      </w:r>
      <w:r w:rsidRPr="004E284F">
        <w:rPr>
          <w:lang w:val="en-US"/>
        </w:rPr>
        <w:t xml:space="preserve"> </w:t>
      </w:r>
      <w:r>
        <w:rPr>
          <w:lang w:val="en-US"/>
        </w:rPr>
        <w:t>von</w:t>
      </w:r>
      <w:r w:rsidRPr="004E284F">
        <w:rPr>
          <w:lang w:val="en-US"/>
        </w:rPr>
        <w:t xml:space="preserve"> 1950</w:t>
      </w:r>
      <w:bookmarkEnd w:id="47"/>
      <w:r w:rsidRPr="004E284F">
        <w:rPr>
          <w:lang w:val="en-US"/>
        </w:rPr>
        <w:t xml:space="preserve">, 50 U.S.C.S. </w:t>
      </w:r>
      <w:r>
        <w:rPr>
          <w:lang w:val="en-US"/>
        </w:rPr>
        <w:t>§ </w:t>
      </w:r>
      <w:r w:rsidRPr="004E284F">
        <w:rPr>
          <w:lang w:val="en-US"/>
        </w:rPr>
        <w:t>781 et seq.,</w:t>
      </w:r>
      <w:r>
        <w:rPr>
          <w:lang w:val="en-US"/>
        </w:rPr>
        <w:t xml:space="preserve"> </w:t>
      </w:r>
      <w:proofErr w:type="spellStart"/>
      <w:r>
        <w:rPr>
          <w:lang w:val="en-US"/>
        </w:rPr>
        <w:t>vgl</w:t>
      </w:r>
      <w:proofErr w:type="spellEnd"/>
      <w:r>
        <w:rPr>
          <w:lang w:val="en-US"/>
        </w:rPr>
        <w:t xml:space="preserve">. </w:t>
      </w:r>
      <w:r w:rsidRPr="009E57E1">
        <w:rPr>
          <w:i/>
          <w:lang w:val="en-US"/>
        </w:rPr>
        <w:t>Scales v. United States</w:t>
      </w:r>
      <w:r w:rsidRPr="004E284F">
        <w:rPr>
          <w:lang w:val="en-US"/>
        </w:rPr>
        <w:t>, 367 U.S. 203, 205</w:t>
      </w:r>
      <w:r w:rsidRPr="006E67FE">
        <w:rPr>
          <w:lang w:val="en-US"/>
        </w:rPr>
        <w:t xml:space="preserve"> = 81 S. Ct. </w:t>
      </w:r>
      <w:r w:rsidRPr="004E284F">
        <w:rPr>
          <w:lang w:val="en-US"/>
        </w:rPr>
        <w:t>1469, 1473</w:t>
      </w:r>
      <w:r>
        <w:rPr>
          <w:lang w:val="en-US"/>
        </w:rPr>
        <w:t xml:space="preserve"> = 6 L. Ed. </w:t>
      </w:r>
      <w:r w:rsidRPr="004E284F">
        <w:rPr>
          <w:lang w:val="en-US"/>
        </w:rPr>
        <w:t>2d 782, 787</w:t>
      </w:r>
      <w:r w:rsidRPr="006E67FE">
        <w:rPr>
          <w:lang w:val="en-US"/>
        </w:rPr>
        <w:t xml:space="preserve"> = 1961 U.S. LEXIS </w:t>
      </w:r>
      <w:r w:rsidRPr="004E284F">
        <w:rPr>
          <w:lang w:val="en-US"/>
        </w:rPr>
        <w:t>2003, 1 (1961)</w:t>
      </w:r>
      <w:r>
        <w:rPr>
          <w:lang w:val="en-US"/>
        </w:rPr>
        <w:t>.</w:t>
      </w:r>
    </w:p>
  </w:footnote>
  <w:footnote w:id="828">
    <w:p w14:paraId="3F6C4ECC" w14:textId="77777777" w:rsidR="00074551" w:rsidRPr="007D59E5" w:rsidRDefault="00074551" w:rsidP="00074551">
      <w:pPr>
        <w:pStyle w:val="Funotentext"/>
        <w:rPr>
          <w:lang w:val="en-US"/>
        </w:rPr>
      </w:pPr>
      <w:r>
        <w:rPr>
          <w:rStyle w:val="Funotenzeichen"/>
        </w:rPr>
        <w:footnoteRef/>
      </w:r>
      <w:r w:rsidRPr="007D59E5">
        <w:rPr>
          <w:lang w:val="en-US"/>
        </w:rPr>
        <w:t xml:space="preserve"> </w:t>
      </w:r>
      <w:r>
        <w:rPr>
          <w:lang w:val="en-US"/>
        </w:rPr>
        <w:t>„</w:t>
      </w:r>
      <w:r w:rsidRPr="007D59E5">
        <w:rPr>
          <w:lang w:val="en-US"/>
        </w:rPr>
        <w:t>Jencks Act (18 USC 3500) by which a criminal defendant</w:t>
      </w:r>
      <w:r>
        <w:rPr>
          <w:lang w:val="en-US"/>
        </w:rPr>
        <w:t>’</w:t>
      </w:r>
      <w:r w:rsidRPr="007D59E5">
        <w:rPr>
          <w:lang w:val="en-US"/>
        </w:rPr>
        <w:t xml:space="preserve">s right to inspection of statements of a government witness is limited to written statements signed or adopted by the witness or to any form of substantially verbatim transcription of an oral statement by the </w:t>
      </w:r>
      <w:proofErr w:type="gramStart"/>
      <w:r w:rsidRPr="007D59E5">
        <w:rPr>
          <w:lang w:val="en-US"/>
        </w:rPr>
        <w:t>witness</w:t>
      </w:r>
      <w:r>
        <w:rPr>
          <w:lang w:val="en-US"/>
        </w:rPr>
        <w:t>“</w:t>
      </w:r>
      <w:proofErr w:type="gramEnd"/>
      <w:r>
        <w:rPr>
          <w:lang w:val="en-US"/>
        </w:rPr>
        <w:t xml:space="preserve">, </w:t>
      </w:r>
      <w:r w:rsidRPr="009E57E1">
        <w:rPr>
          <w:i/>
          <w:lang w:val="en-US"/>
        </w:rPr>
        <w:t>Scales v. United States</w:t>
      </w:r>
      <w:r w:rsidRPr="007D59E5">
        <w:rPr>
          <w:lang w:val="en-US"/>
        </w:rPr>
        <w:t>, 367 U.S. 203, 205</w:t>
      </w:r>
      <w:r w:rsidRPr="006E67FE">
        <w:rPr>
          <w:lang w:val="en-US"/>
        </w:rPr>
        <w:t xml:space="preserve"> = 81 S. Ct. </w:t>
      </w:r>
      <w:r w:rsidRPr="007D59E5">
        <w:rPr>
          <w:lang w:val="en-US"/>
        </w:rPr>
        <w:t>1469, 1473</w:t>
      </w:r>
      <w:r>
        <w:rPr>
          <w:lang w:val="en-US"/>
        </w:rPr>
        <w:t xml:space="preserve"> = 6 L. Ed. </w:t>
      </w:r>
      <w:r w:rsidRPr="007D59E5">
        <w:rPr>
          <w:lang w:val="en-US"/>
        </w:rPr>
        <w:t>2d 782, 787</w:t>
      </w:r>
      <w:r w:rsidRPr="006E67FE">
        <w:rPr>
          <w:lang w:val="en-US"/>
        </w:rPr>
        <w:t xml:space="preserve"> = 1961 U.S. LEXIS </w:t>
      </w:r>
      <w:r w:rsidRPr="007D59E5">
        <w:rPr>
          <w:lang w:val="en-US"/>
        </w:rPr>
        <w:t>2003, 1 (1961)</w:t>
      </w:r>
      <w:r>
        <w:rPr>
          <w:lang w:val="en-US"/>
        </w:rPr>
        <w:t>.</w:t>
      </w:r>
    </w:p>
  </w:footnote>
  <w:footnote w:id="829">
    <w:p w14:paraId="3917C938" w14:textId="77777777" w:rsidR="00074551" w:rsidRPr="004E284F" w:rsidRDefault="00074551" w:rsidP="00074551">
      <w:pPr>
        <w:pStyle w:val="Funotentext"/>
        <w:rPr>
          <w:lang w:val="en-US"/>
        </w:rPr>
      </w:pPr>
      <w:r>
        <w:rPr>
          <w:rStyle w:val="Funotenzeichen"/>
        </w:rPr>
        <w:footnoteRef/>
      </w:r>
      <w:r w:rsidRPr="004E284F">
        <w:rPr>
          <w:lang w:val="en-US"/>
        </w:rPr>
        <w:t xml:space="preserve"> </w:t>
      </w:r>
      <w:r w:rsidRPr="009E57E1">
        <w:rPr>
          <w:i/>
          <w:lang w:val="en-US"/>
        </w:rPr>
        <w:t>Scales v. United States</w:t>
      </w:r>
      <w:r w:rsidRPr="004E284F">
        <w:rPr>
          <w:lang w:val="en-US"/>
        </w:rPr>
        <w:t>, 367 U.S. 203, 205</w:t>
      </w:r>
      <w:r w:rsidRPr="006E67FE">
        <w:rPr>
          <w:lang w:val="en-US"/>
        </w:rPr>
        <w:t xml:space="preserve"> = 81 S. Ct. </w:t>
      </w:r>
      <w:r w:rsidRPr="004E284F">
        <w:rPr>
          <w:lang w:val="en-US"/>
        </w:rPr>
        <w:t>1469, 1473</w:t>
      </w:r>
      <w:r>
        <w:rPr>
          <w:lang w:val="en-US"/>
        </w:rPr>
        <w:t xml:space="preserve"> = 6 L. Ed. </w:t>
      </w:r>
      <w:r w:rsidRPr="004E284F">
        <w:rPr>
          <w:lang w:val="en-US"/>
        </w:rPr>
        <w:t>2d 782, 787</w:t>
      </w:r>
      <w:r w:rsidRPr="006E67FE">
        <w:rPr>
          <w:lang w:val="en-US"/>
        </w:rPr>
        <w:t xml:space="preserve"> = 1961 U.S. LEXIS </w:t>
      </w:r>
      <w:r w:rsidRPr="004E284F">
        <w:rPr>
          <w:lang w:val="en-US"/>
        </w:rPr>
        <w:t>2003, 1 (1961)</w:t>
      </w:r>
      <w:r>
        <w:rPr>
          <w:lang w:val="en-US"/>
        </w:rPr>
        <w:t>.</w:t>
      </w:r>
    </w:p>
  </w:footnote>
  <w:footnote w:id="830">
    <w:p w14:paraId="608F2C67" w14:textId="77777777" w:rsidR="00074551" w:rsidRPr="004E284F" w:rsidRDefault="00074551" w:rsidP="00074551">
      <w:pPr>
        <w:pStyle w:val="Funotentext"/>
        <w:rPr>
          <w:lang w:val="en-US"/>
        </w:rPr>
      </w:pPr>
      <w:r>
        <w:rPr>
          <w:rStyle w:val="Funotenzeichen"/>
        </w:rPr>
        <w:footnoteRef/>
      </w:r>
      <w:r w:rsidRPr="004E284F">
        <w:rPr>
          <w:lang w:val="en-US"/>
        </w:rPr>
        <w:t xml:space="preserve"> T</w:t>
      </w:r>
    </w:p>
    <w:p w14:paraId="6FA75B0F" w14:textId="77777777" w:rsidR="00074551" w:rsidRPr="004E284F" w:rsidRDefault="00074551" w:rsidP="00074551">
      <w:pPr>
        <w:pStyle w:val="Funotentext"/>
        <w:rPr>
          <w:lang w:val="en-US"/>
        </w:rPr>
      </w:pPr>
      <w:r w:rsidRPr="009E57E1">
        <w:rPr>
          <w:i/>
          <w:lang w:val="en-US"/>
        </w:rPr>
        <w:t>Scales v. United States</w:t>
      </w:r>
      <w:r w:rsidRPr="004E284F">
        <w:rPr>
          <w:lang w:val="en-US"/>
        </w:rPr>
        <w:t>, 367 U.S. 203, 205</w:t>
      </w:r>
      <w:r w:rsidRPr="006E67FE">
        <w:rPr>
          <w:lang w:val="en-US"/>
        </w:rPr>
        <w:t xml:space="preserve"> = 81 S. Ct. </w:t>
      </w:r>
      <w:r w:rsidRPr="004E284F">
        <w:rPr>
          <w:lang w:val="en-US"/>
        </w:rPr>
        <w:t>1469, 1473</w:t>
      </w:r>
      <w:r>
        <w:rPr>
          <w:lang w:val="en-US"/>
        </w:rPr>
        <w:t xml:space="preserve"> = 6 L. Ed. </w:t>
      </w:r>
      <w:r w:rsidRPr="004E284F">
        <w:rPr>
          <w:lang w:val="en-US"/>
        </w:rPr>
        <w:t>2d 782, 787</w:t>
      </w:r>
      <w:r w:rsidRPr="006E67FE">
        <w:rPr>
          <w:lang w:val="en-US"/>
        </w:rPr>
        <w:t xml:space="preserve"> = 1961 U.S. LEXIS </w:t>
      </w:r>
      <w:r w:rsidRPr="004E284F">
        <w:rPr>
          <w:lang w:val="en-US"/>
        </w:rPr>
        <w:t>2003, 1 (1961)</w:t>
      </w:r>
    </w:p>
  </w:footnote>
  <w:footnote w:id="831">
    <w:p w14:paraId="025D4105" w14:textId="77777777" w:rsidR="00074551" w:rsidRPr="00E05FB8" w:rsidRDefault="00074551" w:rsidP="00074551">
      <w:pPr>
        <w:pStyle w:val="Funotentext"/>
        <w:rPr>
          <w:lang w:val="en-US"/>
        </w:rPr>
      </w:pPr>
      <w:r>
        <w:rPr>
          <w:rStyle w:val="Funotenzeichen"/>
        </w:rPr>
        <w:footnoteRef/>
      </w:r>
      <w:r w:rsidRPr="00E05FB8">
        <w:rPr>
          <w:lang w:val="en-US"/>
        </w:rPr>
        <w:t xml:space="preserve"> </w:t>
      </w:r>
      <w:r w:rsidRPr="009E57E1">
        <w:rPr>
          <w:i/>
          <w:lang w:val="en-US"/>
        </w:rPr>
        <w:t>Scales v. United States</w:t>
      </w:r>
      <w:r w:rsidRPr="00E05FB8">
        <w:rPr>
          <w:lang w:val="en-US"/>
        </w:rPr>
        <w:t>, 367 U.S. 203, 229</w:t>
      </w:r>
      <w:r w:rsidRPr="006E67FE">
        <w:rPr>
          <w:lang w:val="en-US"/>
        </w:rPr>
        <w:t xml:space="preserve"> = 81 S. Ct. </w:t>
      </w:r>
      <w:r w:rsidRPr="00E05FB8">
        <w:rPr>
          <w:lang w:val="en-US"/>
        </w:rPr>
        <w:t>1469, 1486</w:t>
      </w:r>
      <w:r>
        <w:rPr>
          <w:lang w:val="en-US"/>
        </w:rPr>
        <w:t xml:space="preserve"> = 6 L. Ed. </w:t>
      </w:r>
      <w:r w:rsidRPr="00E05FB8">
        <w:rPr>
          <w:lang w:val="en-US"/>
        </w:rPr>
        <w:t>2d 782, 801</w:t>
      </w:r>
      <w:r w:rsidRPr="006E67FE">
        <w:rPr>
          <w:lang w:val="en-US"/>
        </w:rPr>
        <w:t xml:space="preserve"> = 1961 U.S. LEXIS </w:t>
      </w:r>
      <w:r w:rsidRPr="00E05FB8">
        <w:rPr>
          <w:lang w:val="en-US"/>
        </w:rPr>
        <w:t>2003, 42 (1961)</w:t>
      </w:r>
      <w:r>
        <w:rPr>
          <w:lang w:val="en-US"/>
        </w:rPr>
        <w:t>.</w:t>
      </w:r>
    </w:p>
  </w:footnote>
  <w:footnote w:id="832">
    <w:p w14:paraId="4E9405F4" w14:textId="77777777" w:rsidR="00074551" w:rsidRPr="00911F16" w:rsidRDefault="00074551" w:rsidP="00074551">
      <w:pPr>
        <w:pStyle w:val="Funotentext"/>
        <w:rPr>
          <w:lang w:val="en-US"/>
        </w:rPr>
      </w:pPr>
      <w:r>
        <w:rPr>
          <w:rStyle w:val="Funotenzeichen"/>
        </w:rPr>
        <w:footnoteRef/>
      </w:r>
      <w:r w:rsidRPr="00911F16">
        <w:rPr>
          <w:lang w:val="en-US"/>
        </w:rPr>
        <w:t xml:space="preserve"> Following the Equator (1903), Vol. I, 198</w:t>
      </w:r>
      <w:r>
        <w:rPr>
          <w:lang w:val="en-US"/>
        </w:rPr>
        <w:t xml:space="preserve">; </w:t>
      </w:r>
      <w:r w:rsidRPr="009E57E1">
        <w:rPr>
          <w:i/>
          <w:lang w:val="en-US"/>
        </w:rPr>
        <w:t>Scales v. United States</w:t>
      </w:r>
      <w:r w:rsidRPr="00911F16">
        <w:rPr>
          <w:lang w:val="en-US"/>
        </w:rPr>
        <w:t>, 367 U.S. 203, 263</w:t>
      </w:r>
      <w:r w:rsidRPr="006E67FE">
        <w:rPr>
          <w:lang w:val="en-US"/>
        </w:rPr>
        <w:t xml:space="preserve"> = 81 S. Ct. </w:t>
      </w:r>
      <w:r w:rsidRPr="00911F16">
        <w:rPr>
          <w:lang w:val="en-US"/>
        </w:rPr>
        <w:t>1469, 1503</w:t>
      </w:r>
      <w:r>
        <w:rPr>
          <w:lang w:val="en-US"/>
        </w:rPr>
        <w:t xml:space="preserve"> = 6 L. Ed. </w:t>
      </w:r>
      <w:r w:rsidRPr="00911F16">
        <w:rPr>
          <w:lang w:val="en-US"/>
        </w:rPr>
        <w:t>2d 782, 820</w:t>
      </w:r>
      <w:r w:rsidRPr="006E67FE">
        <w:rPr>
          <w:lang w:val="en-US"/>
        </w:rPr>
        <w:t xml:space="preserve"> = 1961 U.S. LEXIS </w:t>
      </w:r>
      <w:r w:rsidRPr="00911F16">
        <w:rPr>
          <w:lang w:val="en-US"/>
        </w:rPr>
        <w:t>2003, 95 (1961)</w:t>
      </w:r>
      <w:r>
        <w:rPr>
          <w:lang w:val="en-US"/>
        </w:rPr>
        <w:t>.</w:t>
      </w:r>
    </w:p>
  </w:footnote>
  <w:footnote w:id="833">
    <w:p w14:paraId="1FB530C5" w14:textId="77777777" w:rsidR="00074551" w:rsidRPr="00BB7420" w:rsidRDefault="00074551" w:rsidP="00074551">
      <w:pPr>
        <w:pStyle w:val="Funotentext"/>
        <w:rPr>
          <w:lang w:val="en-US"/>
        </w:rPr>
      </w:pPr>
      <w:r>
        <w:rPr>
          <w:rStyle w:val="Funotenzeichen"/>
        </w:rPr>
        <w:footnoteRef/>
      </w:r>
      <w:r w:rsidRPr="00BB7420">
        <w:rPr>
          <w:lang w:val="en-US"/>
        </w:rPr>
        <w:t xml:space="preserve"> </w:t>
      </w:r>
      <w:proofErr w:type="spellStart"/>
      <w:r>
        <w:rPr>
          <w:lang w:val="en-US"/>
        </w:rPr>
        <w:t>Siehe</w:t>
      </w:r>
      <w:proofErr w:type="spellEnd"/>
      <w:r w:rsidRPr="00BB7420">
        <w:rPr>
          <w:lang w:val="en-US"/>
        </w:rPr>
        <w:t xml:space="preserve"> </w:t>
      </w:r>
      <w:proofErr w:type="spellStart"/>
      <w:r w:rsidRPr="009E57E1">
        <w:rPr>
          <w:i/>
          <w:lang w:val="en-US"/>
        </w:rPr>
        <w:t>Barenblatt</w:t>
      </w:r>
      <w:proofErr w:type="spellEnd"/>
      <w:r w:rsidRPr="009E57E1">
        <w:rPr>
          <w:i/>
          <w:lang w:val="en-US"/>
        </w:rPr>
        <w:t xml:space="preserve"> v. United States</w:t>
      </w:r>
      <w:r w:rsidRPr="00BB7420">
        <w:rPr>
          <w:lang w:val="en-US"/>
        </w:rPr>
        <w:t>, 360 U.S. 109, 145</w:t>
      </w:r>
      <w:r>
        <w:rPr>
          <w:lang w:val="en-US"/>
        </w:rPr>
        <w:t>–</w:t>
      </w:r>
      <w:r w:rsidRPr="00BB7420">
        <w:rPr>
          <w:lang w:val="en-US"/>
        </w:rPr>
        <w:t>152 (</w:t>
      </w:r>
      <w:r>
        <w:rPr>
          <w:lang w:val="en-US"/>
        </w:rPr>
        <w:t>Dissens</w:t>
      </w:r>
      <w:r w:rsidRPr="00BB7420">
        <w:rPr>
          <w:lang w:val="en-US"/>
        </w:rPr>
        <w:t>)</w:t>
      </w:r>
      <w:r>
        <w:rPr>
          <w:lang w:val="en-US"/>
        </w:rPr>
        <w:t xml:space="preserve">; </w:t>
      </w:r>
      <w:r w:rsidRPr="009E57E1">
        <w:rPr>
          <w:i/>
          <w:lang w:val="en-US"/>
        </w:rPr>
        <w:t>Scales v. United States</w:t>
      </w:r>
      <w:r w:rsidRPr="00BB7420">
        <w:rPr>
          <w:lang w:val="en-US"/>
        </w:rPr>
        <w:t>, 367 U.S. 203, 268</w:t>
      </w:r>
      <w:r w:rsidRPr="006E67FE">
        <w:rPr>
          <w:lang w:val="en-US"/>
        </w:rPr>
        <w:t xml:space="preserve"> = 81 S. Ct. </w:t>
      </w:r>
      <w:r w:rsidRPr="00BB7420">
        <w:rPr>
          <w:lang w:val="en-US"/>
        </w:rPr>
        <w:t>1469, 1506</w:t>
      </w:r>
      <w:r>
        <w:rPr>
          <w:lang w:val="en-US"/>
        </w:rPr>
        <w:t xml:space="preserve"> = 6 L. Ed. </w:t>
      </w:r>
      <w:r w:rsidRPr="00BB7420">
        <w:rPr>
          <w:lang w:val="en-US"/>
        </w:rPr>
        <w:t>2d 782, 823</w:t>
      </w:r>
      <w:r w:rsidRPr="006E67FE">
        <w:rPr>
          <w:lang w:val="en-US"/>
        </w:rPr>
        <w:t xml:space="preserve"> = 1961 U.S. LEXIS </w:t>
      </w:r>
      <w:r w:rsidRPr="00BB7420">
        <w:rPr>
          <w:lang w:val="en-US"/>
        </w:rPr>
        <w:t>2003, 103 (1961)</w:t>
      </w:r>
      <w:r>
        <w:rPr>
          <w:lang w:val="en-US"/>
        </w:rPr>
        <w:t>.</w:t>
      </w:r>
    </w:p>
  </w:footnote>
  <w:footnote w:id="834">
    <w:p w14:paraId="051CB8DB" w14:textId="77777777" w:rsidR="00074551" w:rsidRPr="00BB7420" w:rsidRDefault="00074551" w:rsidP="00074551">
      <w:pPr>
        <w:pStyle w:val="Funotentext"/>
        <w:rPr>
          <w:lang w:val="en-US"/>
        </w:rPr>
      </w:pPr>
      <w:r>
        <w:rPr>
          <w:rStyle w:val="Funotenzeichen"/>
        </w:rPr>
        <w:footnoteRef/>
      </w:r>
      <w:r w:rsidRPr="00BB7420">
        <w:rPr>
          <w:lang w:val="en-US"/>
        </w:rPr>
        <w:t xml:space="preserve"> </w:t>
      </w:r>
      <w:r w:rsidRPr="00B45592">
        <w:rPr>
          <w:i/>
          <w:iCs/>
          <w:lang w:val="en-US"/>
        </w:rPr>
        <w:t>Becker</w:t>
      </w:r>
      <w:r w:rsidRPr="00BB7420">
        <w:rPr>
          <w:lang w:val="en-US"/>
        </w:rPr>
        <w:t>, The Declaration of Independence (1942), 277</w:t>
      </w:r>
      <w:r>
        <w:rPr>
          <w:lang w:val="en-US"/>
        </w:rPr>
        <w:t>–</w:t>
      </w:r>
      <w:r w:rsidRPr="00BB7420">
        <w:rPr>
          <w:lang w:val="en-US"/>
        </w:rPr>
        <w:t>278</w:t>
      </w:r>
      <w:r>
        <w:rPr>
          <w:lang w:val="en-US"/>
        </w:rPr>
        <w:t xml:space="preserve">; </w:t>
      </w:r>
      <w:r w:rsidRPr="009E57E1">
        <w:rPr>
          <w:i/>
          <w:lang w:val="en-US"/>
        </w:rPr>
        <w:t>Scales v. United States</w:t>
      </w:r>
      <w:r w:rsidRPr="00BB7420">
        <w:rPr>
          <w:lang w:val="en-US"/>
        </w:rPr>
        <w:t>, 367 U.S. 203, 268</w:t>
      </w:r>
      <w:r w:rsidRPr="006E67FE">
        <w:rPr>
          <w:lang w:val="en-US"/>
        </w:rPr>
        <w:t xml:space="preserve"> = 81 S. Ct. </w:t>
      </w:r>
      <w:r w:rsidRPr="00BB7420">
        <w:rPr>
          <w:lang w:val="en-US"/>
        </w:rPr>
        <w:t>1469, 1506</w:t>
      </w:r>
      <w:r>
        <w:rPr>
          <w:lang w:val="en-US"/>
        </w:rPr>
        <w:t xml:space="preserve"> = 6 L. Ed. </w:t>
      </w:r>
      <w:r w:rsidRPr="00BB7420">
        <w:rPr>
          <w:lang w:val="en-US"/>
        </w:rPr>
        <w:t>2d 782, 823</w:t>
      </w:r>
      <w:r w:rsidRPr="006E67FE">
        <w:rPr>
          <w:lang w:val="en-US"/>
        </w:rPr>
        <w:t xml:space="preserve"> = 1961 U.S. LEXIS </w:t>
      </w:r>
      <w:r w:rsidRPr="00BB7420">
        <w:rPr>
          <w:lang w:val="en-US"/>
        </w:rPr>
        <w:t>2003, 104 (1961)</w:t>
      </w:r>
      <w:r>
        <w:rPr>
          <w:lang w:val="en-US"/>
        </w:rPr>
        <w:t>.</w:t>
      </w:r>
    </w:p>
  </w:footnote>
  <w:footnote w:id="835">
    <w:p w14:paraId="39EC6162" w14:textId="77777777" w:rsidR="00074551" w:rsidRPr="00BB7420" w:rsidRDefault="00074551" w:rsidP="00074551">
      <w:pPr>
        <w:pStyle w:val="Funotentext"/>
        <w:rPr>
          <w:lang w:val="en-US"/>
        </w:rPr>
      </w:pPr>
      <w:r>
        <w:rPr>
          <w:rStyle w:val="Funotenzeichen"/>
        </w:rPr>
        <w:footnoteRef/>
      </w:r>
      <w:r w:rsidRPr="00BB7420">
        <w:rPr>
          <w:lang w:val="en-US"/>
        </w:rPr>
        <w:t xml:space="preserve"> </w:t>
      </w:r>
      <w:r w:rsidRPr="009E57E1">
        <w:rPr>
          <w:i/>
          <w:lang w:val="en-US"/>
        </w:rPr>
        <w:t>Scales v. United States</w:t>
      </w:r>
      <w:r w:rsidRPr="00BB7420">
        <w:rPr>
          <w:lang w:val="en-US"/>
        </w:rPr>
        <w:t>, 367 U.S. 203, 269</w:t>
      </w:r>
      <w:r w:rsidRPr="006E67FE">
        <w:rPr>
          <w:lang w:val="en-US"/>
        </w:rPr>
        <w:t xml:space="preserve"> = 81 S. Ct. </w:t>
      </w:r>
      <w:r w:rsidRPr="00BB7420">
        <w:rPr>
          <w:lang w:val="en-US"/>
        </w:rPr>
        <w:t>1469, 1506</w:t>
      </w:r>
      <w:r>
        <w:rPr>
          <w:lang w:val="en-US"/>
        </w:rPr>
        <w:t xml:space="preserve"> = 6 L. Ed. </w:t>
      </w:r>
      <w:r w:rsidRPr="00BB7420">
        <w:rPr>
          <w:lang w:val="en-US"/>
        </w:rPr>
        <w:t>2d 782, 824</w:t>
      </w:r>
      <w:r w:rsidRPr="006E67FE">
        <w:rPr>
          <w:lang w:val="en-US"/>
        </w:rPr>
        <w:t xml:space="preserve"> = 1961 U.S. LEXIS </w:t>
      </w:r>
      <w:r w:rsidRPr="00BB7420">
        <w:rPr>
          <w:lang w:val="en-US"/>
        </w:rPr>
        <w:t>2003, 104 (1961)</w:t>
      </w:r>
      <w:r>
        <w:rPr>
          <w:lang w:val="en-US"/>
        </w:rPr>
        <w:t>.</w:t>
      </w:r>
    </w:p>
  </w:footnote>
  <w:footnote w:id="836">
    <w:p w14:paraId="3C60AC71" w14:textId="77777777" w:rsidR="00074551" w:rsidRPr="00E05FB8" w:rsidRDefault="00074551" w:rsidP="00074551">
      <w:pPr>
        <w:pStyle w:val="Funotentext"/>
        <w:rPr>
          <w:lang w:val="en-US"/>
        </w:rPr>
      </w:pPr>
      <w:r>
        <w:rPr>
          <w:rStyle w:val="Funotenzeichen"/>
        </w:rPr>
        <w:footnoteRef/>
      </w:r>
      <w:r w:rsidRPr="00E05FB8">
        <w:rPr>
          <w:lang w:val="en-US"/>
        </w:rPr>
        <w:t xml:space="preserve"> </w:t>
      </w:r>
      <w:r>
        <w:rPr>
          <w:lang w:val="en-US"/>
        </w:rPr>
        <w:t>„</w:t>
      </w:r>
      <w:r w:rsidRPr="00E05FB8">
        <w:rPr>
          <w:lang w:val="en-US"/>
        </w:rPr>
        <w:t xml:space="preserve">New Hampshire Const., Pt. I, Art. 10, recites. The same language may be found in Maryland Const., Dec. of Rights, Art. 6; Tennessee Const., Art. I, </w:t>
      </w:r>
      <w:r>
        <w:rPr>
          <w:lang w:val="en-US"/>
        </w:rPr>
        <w:t>§ </w:t>
      </w:r>
      <w:proofErr w:type="gramStart"/>
      <w:r w:rsidRPr="00E05FB8">
        <w:rPr>
          <w:lang w:val="en-US"/>
        </w:rPr>
        <w:t>2.</w:t>
      </w:r>
      <w:r>
        <w:rPr>
          <w:lang w:val="en-US"/>
        </w:rPr>
        <w:t>“</w:t>
      </w:r>
      <w:proofErr w:type="gramEnd"/>
      <w:r>
        <w:rPr>
          <w:lang w:val="en-US"/>
        </w:rPr>
        <w:t xml:space="preserve">; </w:t>
      </w:r>
      <w:r w:rsidRPr="009E57E1">
        <w:rPr>
          <w:i/>
          <w:lang w:val="en-US"/>
        </w:rPr>
        <w:t>Scales v. United States</w:t>
      </w:r>
      <w:r w:rsidRPr="00E05FB8">
        <w:rPr>
          <w:lang w:val="en-US"/>
        </w:rPr>
        <w:t>, 367 U.S. 203, 276</w:t>
      </w:r>
      <w:r w:rsidRPr="006E67FE">
        <w:rPr>
          <w:lang w:val="en-US"/>
        </w:rPr>
        <w:t xml:space="preserve"> = 81 S. Ct. </w:t>
      </w:r>
      <w:r w:rsidRPr="00E05FB8">
        <w:rPr>
          <w:lang w:val="en-US"/>
        </w:rPr>
        <w:t>1469, 1510</w:t>
      </w:r>
      <w:r>
        <w:rPr>
          <w:lang w:val="en-US"/>
        </w:rPr>
        <w:t xml:space="preserve"> = 6 L. Ed. </w:t>
      </w:r>
      <w:r w:rsidRPr="00E05FB8">
        <w:rPr>
          <w:lang w:val="en-US"/>
        </w:rPr>
        <w:t>2d 782, 828</w:t>
      </w:r>
      <w:r w:rsidRPr="006E67FE">
        <w:rPr>
          <w:lang w:val="en-US"/>
        </w:rPr>
        <w:t xml:space="preserve"> = 1961 U.S. LEXIS </w:t>
      </w:r>
      <w:r w:rsidRPr="00E05FB8">
        <w:rPr>
          <w:lang w:val="en-US"/>
        </w:rPr>
        <w:t>2003, 114</w:t>
      </w:r>
      <w:r>
        <w:rPr>
          <w:lang w:val="en-US"/>
        </w:rPr>
        <w:t>–</w:t>
      </w:r>
      <w:r w:rsidRPr="00E05FB8">
        <w:rPr>
          <w:lang w:val="en-US"/>
        </w:rPr>
        <w:t>115 (1961)</w:t>
      </w:r>
      <w:r>
        <w:rPr>
          <w:lang w:val="en-US"/>
        </w:rPr>
        <w:t>.</w:t>
      </w:r>
    </w:p>
  </w:footnote>
  <w:footnote w:id="837">
    <w:p w14:paraId="63C43B99" w14:textId="77777777" w:rsidR="00074551" w:rsidRPr="00E05FB8" w:rsidRDefault="00074551" w:rsidP="00074551">
      <w:pPr>
        <w:pStyle w:val="Funotentext"/>
        <w:rPr>
          <w:lang w:val="en-US"/>
        </w:rPr>
      </w:pPr>
      <w:r>
        <w:rPr>
          <w:rStyle w:val="Funotenzeichen"/>
        </w:rPr>
        <w:footnoteRef/>
      </w:r>
      <w:r w:rsidRPr="00E05FB8">
        <w:rPr>
          <w:lang w:val="en-US"/>
        </w:rPr>
        <w:t xml:space="preserve"> </w:t>
      </w:r>
      <w:r>
        <w:rPr>
          <w:lang w:val="en-US"/>
        </w:rPr>
        <w:t>„</w:t>
      </w:r>
      <w:r w:rsidRPr="00E05FB8">
        <w:rPr>
          <w:lang w:val="en-US"/>
        </w:rPr>
        <w:t xml:space="preserve">Pennsylvania Const. of 1873, Art. I, </w:t>
      </w:r>
      <w:r>
        <w:rPr>
          <w:lang w:val="en-US"/>
        </w:rPr>
        <w:t>§ </w:t>
      </w:r>
      <w:r w:rsidRPr="00E05FB8">
        <w:rPr>
          <w:lang w:val="en-US"/>
        </w:rPr>
        <w:t xml:space="preserve">2; Maryland Const. of 1867, Dec. of Rights, Art. I; Virginia Const. of 1902, Art. I, </w:t>
      </w:r>
      <w:r>
        <w:rPr>
          <w:lang w:val="en-US"/>
        </w:rPr>
        <w:t>§ </w:t>
      </w:r>
      <w:r w:rsidRPr="00E05FB8">
        <w:rPr>
          <w:lang w:val="en-US"/>
        </w:rPr>
        <w:t xml:space="preserve">3; Alabama Const. of 1865, Art. I, </w:t>
      </w:r>
      <w:r>
        <w:rPr>
          <w:lang w:val="en-US"/>
        </w:rPr>
        <w:t>§ </w:t>
      </w:r>
      <w:r w:rsidRPr="00E05FB8">
        <w:rPr>
          <w:lang w:val="en-US"/>
        </w:rPr>
        <w:t xml:space="preserve">2; Arkansas Const. of 1874, Art. II, </w:t>
      </w:r>
      <w:r>
        <w:rPr>
          <w:lang w:val="en-US"/>
        </w:rPr>
        <w:t>§ </w:t>
      </w:r>
      <w:r w:rsidRPr="00E05FB8">
        <w:rPr>
          <w:lang w:val="en-US"/>
        </w:rPr>
        <w:t xml:space="preserve">1; Idaho Const. of 1889, Art. I, </w:t>
      </w:r>
      <w:r>
        <w:rPr>
          <w:lang w:val="en-US"/>
        </w:rPr>
        <w:t>§ </w:t>
      </w:r>
      <w:r w:rsidRPr="00E05FB8">
        <w:rPr>
          <w:lang w:val="en-US"/>
        </w:rPr>
        <w:t xml:space="preserve">2; Kansas Const. of 1858, Art. I, </w:t>
      </w:r>
      <w:r>
        <w:rPr>
          <w:lang w:val="en-US"/>
        </w:rPr>
        <w:t>§ </w:t>
      </w:r>
      <w:r w:rsidRPr="00E05FB8">
        <w:rPr>
          <w:lang w:val="en-US"/>
        </w:rPr>
        <w:t xml:space="preserve">2; Kentucky Const. of 1890, Bill of Rights, </w:t>
      </w:r>
      <w:r>
        <w:rPr>
          <w:lang w:val="en-US"/>
        </w:rPr>
        <w:t>§ </w:t>
      </w:r>
      <w:r w:rsidRPr="00E05FB8">
        <w:rPr>
          <w:lang w:val="en-US"/>
        </w:rPr>
        <w:t xml:space="preserve">4; Ohio Const. of 1851, Art. I, </w:t>
      </w:r>
      <w:r>
        <w:rPr>
          <w:lang w:val="en-US"/>
        </w:rPr>
        <w:t>§ </w:t>
      </w:r>
      <w:r w:rsidRPr="00E05FB8">
        <w:rPr>
          <w:lang w:val="en-US"/>
        </w:rPr>
        <w:t xml:space="preserve">2; Oregon Const. of 1857, Art. I, </w:t>
      </w:r>
      <w:r>
        <w:rPr>
          <w:lang w:val="en-US"/>
        </w:rPr>
        <w:t>§ </w:t>
      </w:r>
      <w:r w:rsidRPr="00E05FB8">
        <w:rPr>
          <w:lang w:val="en-US"/>
        </w:rPr>
        <w:t xml:space="preserve">1; Tennessee Const. of 1870, Art. I, </w:t>
      </w:r>
      <w:r>
        <w:rPr>
          <w:lang w:val="en-US"/>
        </w:rPr>
        <w:t>§ </w:t>
      </w:r>
      <w:r w:rsidRPr="00E05FB8">
        <w:rPr>
          <w:lang w:val="en-US"/>
        </w:rPr>
        <w:t xml:space="preserve">1; Texas Const. of 1876, Art. I, </w:t>
      </w:r>
      <w:r>
        <w:rPr>
          <w:lang w:val="en-US"/>
        </w:rPr>
        <w:t>§ </w:t>
      </w:r>
      <w:r w:rsidRPr="00E05FB8">
        <w:rPr>
          <w:lang w:val="en-US"/>
        </w:rPr>
        <w:t xml:space="preserve">2; Vermont Const. of 1793, c. 1, Art. 7; West Virginia Const. of 1872, Art. 3, </w:t>
      </w:r>
      <w:r>
        <w:rPr>
          <w:lang w:val="en-US"/>
        </w:rPr>
        <w:t>§ </w:t>
      </w:r>
      <w:r w:rsidRPr="00E05FB8">
        <w:rPr>
          <w:lang w:val="en-US"/>
        </w:rPr>
        <w:t xml:space="preserve">3; Wyoming Const. of 1889, Art. I, </w:t>
      </w:r>
      <w:r>
        <w:rPr>
          <w:lang w:val="en-US"/>
        </w:rPr>
        <w:t>§ </w:t>
      </w:r>
      <w:r w:rsidRPr="00E05FB8">
        <w:rPr>
          <w:lang w:val="en-US"/>
        </w:rPr>
        <w:t>1</w:t>
      </w:r>
      <w:r>
        <w:rPr>
          <w:lang w:val="en-US"/>
        </w:rPr>
        <w:t xml:space="preserve">. Some </w:t>
      </w:r>
      <w:r w:rsidRPr="00E05FB8">
        <w:rPr>
          <w:lang w:val="en-US"/>
        </w:rPr>
        <w:t>24 other States have, or have had, slightly varying forms of the same provision</w:t>
      </w:r>
      <w:r>
        <w:rPr>
          <w:lang w:val="en-US"/>
        </w:rPr>
        <w:t>. See</w:t>
      </w:r>
      <w:r w:rsidRPr="00E05FB8">
        <w:rPr>
          <w:lang w:val="en-US"/>
        </w:rPr>
        <w:t xml:space="preserve"> New Hampshire Const., Pt. I, Art. 10; Massachusetts Const.,</w:t>
      </w:r>
      <w:r>
        <w:rPr>
          <w:lang w:val="en-US"/>
        </w:rPr>
        <w:t xml:space="preserve"> </w:t>
      </w:r>
      <w:r w:rsidRPr="00E05FB8">
        <w:rPr>
          <w:lang w:val="en-US"/>
        </w:rPr>
        <w:t xml:space="preserve">Part the First, Article VII; Connecticut Const., Article First, </w:t>
      </w:r>
      <w:r>
        <w:rPr>
          <w:lang w:val="en-US"/>
        </w:rPr>
        <w:t>§ </w:t>
      </w:r>
      <w:r w:rsidRPr="00E05FB8">
        <w:rPr>
          <w:lang w:val="en-US"/>
        </w:rPr>
        <w:t xml:space="preserve">2; New Jersey Const., Art. I, para. 2; Delaware Const., Preamble; North Carolina Const., Art. I, </w:t>
      </w:r>
      <w:r>
        <w:rPr>
          <w:lang w:val="en-US"/>
        </w:rPr>
        <w:t>§ </w:t>
      </w:r>
      <w:r w:rsidRPr="00E05FB8">
        <w:rPr>
          <w:lang w:val="en-US"/>
        </w:rPr>
        <w:t xml:space="preserve">3; South Carolina Const., Art. 1, </w:t>
      </w:r>
      <w:r>
        <w:rPr>
          <w:lang w:val="en-US"/>
        </w:rPr>
        <w:t>§ </w:t>
      </w:r>
      <w:r w:rsidRPr="00E05FB8">
        <w:rPr>
          <w:lang w:val="en-US"/>
        </w:rPr>
        <w:t xml:space="preserve">1; Rhode Island Const., Art. I, </w:t>
      </w:r>
      <w:r>
        <w:rPr>
          <w:lang w:val="en-US"/>
        </w:rPr>
        <w:t>§ </w:t>
      </w:r>
      <w:r w:rsidRPr="00E05FB8">
        <w:rPr>
          <w:lang w:val="en-US"/>
        </w:rPr>
        <w:t xml:space="preserve">1; California Const., Art. I, </w:t>
      </w:r>
      <w:r>
        <w:rPr>
          <w:lang w:val="en-US"/>
        </w:rPr>
        <w:t>§ </w:t>
      </w:r>
      <w:r w:rsidRPr="00E05FB8">
        <w:rPr>
          <w:lang w:val="en-US"/>
        </w:rPr>
        <w:t xml:space="preserve">2; Colorado Const., Art. II, </w:t>
      </w:r>
      <w:r>
        <w:rPr>
          <w:lang w:val="en-US"/>
        </w:rPr>
        <w:t>§ </w:t>
      </w:r>
      <w:r w:rsidRPr="00E05FB8">
        <w:rPr>
          <w:lang w:val="en-US"/>
        </w:rPr>
        <w:t xml:space="preserve">2; Florida Const., Dec. of Rights, </w:t>
      </w:r>
      <w:r>
        <w:rPr>
          <w:lang w:val="en-US"/>
        </w:rPr>
        <w:t>§ </w:t>
      </w:r>
      <w:r w:rsidRPr="00E05FB8">
        <w:rPr>
          <w:lang w:val="en-US"/>
        </w:rPr>
        <w:t xml:space="preserve">2; Indiana Const., Art. I, </w:t>
      </w:r>
      <w:r>
        <w:rPr>
          <w:lang w:val="en-US"/>
        </w:rPr>
        <w:t>§ </w:t>
      </w:r>
      <w:r w:rsidRPr="00E05FB8">
        <w:rPr>
          <w:lang w:val="en-US"/>
        </w:rPr>
        <w:t xml:space="preserve">1; Iowa Const., Art. I, </w:t>
      </w:r>
      <w:r>
        <w:rPr>
          <w:lang w:val="en-US"/>
        </w:rPr>
        <w:t>§ </w:t>
      </w:r>
      <w:r w:rsidRPr="00E05FB8">
        <w:rPr>
          <w:lang w:val="en-US"/>
        </w:rPr>
        <w:t xml:space="preserve">2; Maine Const., Art. I, </w:t>
      </w:r>
      <w:r>
        <w:rPr>
          <w:lang w:val="en-US"/>
        </w:rPr>
        <w:t>§ </w:t>
      </w:r>
      <w:r w:rsidRPr="00E05FB8">
        <w:rPr>
          <w:lang w:val="en-US"/>
        </w:rPr>
        <w:t xml:space="preserve">2; Michigan Const. of 1835, Art. I, </w:t>
      </w:r>
      <w:r>
        <w:rPr>
          <w:lang w:val="en-US"/>
        </w:rPr>
        <w:t>§ </w:t>
      </w:r>
      <w:r w:rsidRPr="00E05FB8">
        <w:rPr>
          <w:lang w:val="en-US"/>
        </w:rPr>
        <w:t xml:space="preserve">2; Minnesota Const., Art. I, </w:t>
      </w:r>
      <w:r>
        <w:rPr>
          <w:lang w:val="en-US"/>
        </w:rPr>
        <w:t>§ </w:t>
      </w:r>
      <w:r w:rsidRPr="00E05FB8">
        <w:rPr>
          <w:lang w:val="en-US"/>
        </w:rPr>
        <w:t xml:space="preserve">1; Mississippi Const., Art. 3, </w:t>
      </w:r>
      <w:r>
        <w:rPr>
          <w:lang w:val="en-US"/>
        </w:rPr>
        <w:t>§ </w:t>
      </w:r>
      <w:r w:rsidRPr="00E05FB8">
        <w:rPr>
          <w:lang w:val="en-US"/>
        </w:rPr>
        <w:t xml:space="preserve">6; Missouri Const., Art. I, </w:t>
      </w:r>
      <w:r>
        <w:rPr>
          <w:lang w:val="en-US"/>
        </w:rPr>
        <w:t>§ </w:t>
      </w:r>
      <w:r w:rsidRPr="00E05FB8">
        <w:rPr>
          <w:lang w:val="en-US"/>
        </w:rPr>
        <w:t xml:space="preserve">3; Montana Const., Art. III, </w:t>
      </w:r>
      <w:r>
        <w:rPr>
          <w:lang w:val="en-US"/>
        </w:rPr>
        <w:t>§ </w:t>
      </w:r>
      <w:r w:rsidRPr="00E05FB8">
        <w:rPr>
          <w:lang w:val="en-US"/>
        </w:rPr>
        <w:t xml:space="preserve">2; Nevada Const., Art. I, </w:t>
      </w:r>
      <w:r>
        <w:rPr>
          <w:lang w:val="en-US"/>
        </w:rPr>
        <w:t>§ </w:t>
      </w:r>
      <w:r w:rsidRPr="00E05FB8">
        <w:rPr>
          <w:lang w:val="en-US"/>
        </w:rPr>
        <w:t xml:space="preserve">2; North Dakota Const., Art. I, </w:t>
      </w:r>
      <w:r>
        <w:rPr>
          <w:lang w:val="en-US"/>
        </w:rPr>
        <w:t>§ </w:t>
      </w:r>
      <w:r w:rsidRPr="00E05FB8">
        <w:rPr>
          <w:lang w:val="en-US"/>
        </w:rPr>
        <w:t xml:space="preserve">2; Oklahoma Const., Art. II, </w:t>
      </w:r>
      <w:r>
        <w:rPr>
          <w:lang w:val="en-US"/>
        </w:rPr>
        <w:t>§ </w:t>
      </w:r>
      <w:r w:rsidRPr="00E05FB8">
        <w:rPr>
          <w:lang w:val="en-US"/>
        </w:rPr>
        <w:t xml:space="preserve">1; South Dakota Const., Art. VI, </w:t>
      </w:r>
      <w:r>
        <w:rPr>
          <w:lang w:val="en-US"/>
        </w:rPr>
        <w:t>§ </w:t>
      </w:r>
      <w:r w:rsidRPr="00E05FB8">
        <w:rPr>
          <w:lang w:val="en-US"/>
        </w:rPr>
        <w:t xml:space="preserve">26; Utah Const., Art. I, </w:t>
      </w:r>
      <w:r>
        <w:rPr>
          <w:lang w:val="en-US"/>
        </w:rPr>
        <w:t>§ </w:t>
      </w:r>
      <w:proofErr w:type="gramStart"/>
      <w:r w:rsidRPr="00E05FB8">
        <w:rPr>
          <w:lang w:val="en-US"/>
        </w:rPr>
        <w:t>2.</w:t>
      </w:r>
      <w:r>
        <w:rPr>
          <w:lang w:val="en-US"/>
        </w:rPr>
        <w:t>“</w:t>
      </w:r>
      <w:proofErr w:type="gramEnd"/>
      <w:r>
        <w:rPr>
          <w:lang w:val="en-US"/>
        </w:rPr>
        <w:t xml:space="preserve">, </w:t>
      </w:r>
      <w:r w:rsidRPr="009E57E1">
        <w:rPr>
          <w:i/>
          <w:lang w:val="en-US"/>
        </w:rPr>
        <w:t>Scales v. United States</w:t>
      </w:r>
      <w:r w:rsidRPr="00E05FB8">
        <w:rPr>
          <w:lang w:val="en-US"/>
        </w:rPr>
        <w:t>, 367 U.S. 203, 275</w:t>
      </w:r>
      <w:r>
        <w:rPr>
          <w:lang w:val="en-US"/>
        </w:rPr>
        <w:t>–</w:t>
      </w:r>
      <w:r w:rsidRPr="00E05FB8">
        <w:rPr>
          <w:lang w:val="en-US"/>
        </w:rPr>
        <w:t>276</w:t>
      </w:r>
      <w:r w:rsidRPr="006E67FE">
        <w:rPr>
          <w:lang w:val="en-US"/>
        </w:rPr>
        <w:t xml:space="preserve"> = 81 S. Ct. </w:t>
      </w:r>
      <w:r w:rsidRPr="00E05FB8">
        <w:rPr>
          <w:lang w:val="en-US"/>
        </w:rPr>
        <w:t>1469, 1510</w:t>
      </w:r>
      <w:r>
        <w:rPr>
          <w:lang w:val="en-US"/>
        </w:rPr>
        <w:t xml:space="preserve"> = 6 L. Ed. </w:t>
      </w:r>
      <w:r w:rsidRPr="00E05FB8">
        <w:rPr>
          <w:lang w:val="en-US"/>
        </w:rPr>
        <w:t>2d 782, 827</w:t>
      </w:r>
      <w:r>
        <w:rPr>
          <w:lang w:val="en-US"/>
        </w:rPr>
        <w:t>–</w:t>
      </w:r>
      <w:r w:rsidRPr="00E05FB8">
        <w:rPr>
          <w:lang w:val="en-US"/>
        </w:rPr>
        <w:t>828</w:t>
      </w:r>
      <w:r w:rsidRPr="006E67FE">
        <w:rPr>
          <w:lang w:val="en-US"/>
        </w:rPr>
        <w:t xml:space="preserve"> = 1961 U.S. LEXIS </w:t>
      </w:r>
      <w:r w:rsidRPr="00E05FB8">
        <w:rPr>
          <w:lang w:val="en-US"/>
        </w:rPr>
        <w:t>2003, 113</w:t>
      </w:r>
      <w:r>
        <w:rPr>
          <w:lang w:val="en-US"/>
        </w:rPr>
        <w:t>–</w:t>
      </w:r>
      <w:r w:rsidRPr="00E05FB8">
        <w:rPr>
          <w:lang w:val="en-US"/>
        </w:rPr>
        <w:t>114 (1961)</w:t>
      </w:r>
      <w:r>
        <w:rPr>
          <w:lang w:val="en-US"/>
        </w:rPr>
        <w:t>.</w:t>
      </w:r>
    </w:p>
  </w:footnote>
  <w:footnote w:id="838">
    <w:p w14:paraId="7A2F4088" w14:textId="77777777" w:rsidR="00074551" w:rsidRPr="005853E9" w:rsidRDefault="00074551" w:rsidP="00074551">
      <w:pPr>
        <w:pStyle w:val="Funotentext"/>
        <w:rPr>
          <w:lang w:val="en-US"/>
        </w:rPr>
      </w:pPr>
      <w:r>
        <w:rPr>
          <w:rStyle w:val="Funotenzeichen"/>
        </w:rPr>
        <w:footnoteRef/>
      </w:r>
      <w:r w:rsidRPr="008C41C9">
        <w:rPr>
          <w:lang w:val="en-US"/>
        </w:rPr>
        <w:t xml:space="preserve"> </w:t>
      </w:r>
      <w:r w:rsidRPr="009E57E1">
        <w:rPr>
          <w:i/>
          <w:lang w:val="en-US"/>
        </w:rPr>
        <w:t>Paul v. Davis</w:t>
      </w:r>
      <w:r w:rsidRPr="008C41C9">
        <w:rPr>
          <w:lang w:val="en-US"/>
        </w:rPr>
        <w:t>, 424 U.S. 693, 694</w:t>
      </w:r>
      <w:r w:rsidRPr="006E67FE">
        <w:rPr>
          <w:lang w:val="en-US"/>
        </w:rPr>
        <w:t xml:space="preserve"> = 96 S. Ct. </w:t>
      </w:r>
      <w:r w:rsidRPr="008C41C9">
        <w:rPr>
          <w:lang w:val="en-US"/>
        </w:rPr>
        <w:t>1155, 1157</w:t>
      </w:r>
      <w:r w:rsidRPr="005D5028">
        <w:rPr>
          <w:lang w:val="en-US"/>
        </w:rPr>
        <w:t xml:space="preserve"> = 47 L. Ed. </w:t>
      </w:r>
      <w:r w:rsidRPr="008C41C9">
        <w:rPr>
          <w:lang w:val="en-US"/>
        </w:rPr>
        <w:t>2d 405, 410</w:t>
      </w:r>
      <w:r w:rsidRPr="005D5028">
        <w:rPr>
          <w:lang w:val="en-US"/>
        </w:rPr>
        <w:t xml:space="preserve"> = 1976 U.S. LEXIS </w:t>
      </w:r>
      <w:r w:rsidRPr="008C41C9">
        <w:rPr>
          <w:lang w:val="en-US"/>
        </w:rPr>
        <w:t>112, 1</w:t>
      </w:r>
      <w:r w:rsidRPr="005D5028">
        <w:rPr>
          <w:lang w:val="en-US"/>
        </w:rPr>
        <w:t xml:space="preserve"> = 1 I.E.R. </w:t>
      </w:r>
      <w:r w:rsidRPr="008C41C9">
        <w:rPr>
          <w:lang w:val="en-US"/>
        </w:rPr>
        <w:t xml:space="preserve">Cas. </w:t>
      </w:r>
      <w:r w:rsidRPr="005853E9">
        <w:rPr>
          <w:lang w:val="en-US"/>
        </w:rPr>
        <w:t>(BNA) 1827 (1976)</w:t>
      </w:r>
      <w:r>
        <w:rPr>
          <w:lang w:val="en-US"/>
        </w:rPr>
        <w:t>.</w:t>
      </w:r>
    </w:p>
  </w:footnote>
  <w:footnote w:id="839">
    <w:p w14:paraId="01CBAD74" w14:textId="77777777" w:rsidR="00074551" w:rsidRPr="00017D98" w:rsidRDefault="00074551" w:rsidP="00074551">
      <w:pPr>
        <w:pStyle w:val="Funotentext"/>
        <w:rPr>
          <w:lang w:val="en-US"/>
        </w:rPr>
      </w:pPr>
      <w:r>
        <w:rPr>
          <w:rStyle w:val="Funotenzeichen"/>
          <w:rFonts w:eastAsiaTheme="majorEastAsia"/>
        </w:rPr>
        <w:footnoteRef/>
      </w:r>
      <w:r w:rsidRPr="00017D98">
        <w:rPr>
          <w:lang w:val="en-US"/>
        </w:rPr>
        <w:t xml:space="preserve"> </w:t>
      </w:r>
      <w:r w:rsidRPr="009E57E1">
        <w:rPr>
          <w:i/>
          <w:lang w:val="en-US"/>
        </w:rPr>
        <w:t>Paul v. Davis</w:t>
      </w:r>
      <w:r w:rsidRPr="00017D98">
        <w:rPr>
          <w:lang w:val="en-US"/>
        </w:rPr>
        <w:t>, 424 U.S. 693, 712</w:t>
      </w:r>
      <w:r w:rsidRPr="006E67FE">
        <w:rPr>
          <w:lang w:val="en-US"/>
        </w:rPr>
        <w:t xml:space="preserve"> = 96 S. Ct. </w:t>
      </w:r>
      <w:r w:rsidRPr="00017D98">
        <w:rPr>
          <w:lang w:val="en-US"/>
        </w:rPr>
        <w:t>1155, 1166</w:t>
      </w:r>
      <w:r w:rsidRPr="005D5028">
        <w:rPr>
          <w:lang w:val="en-US"/>
        </w:rPr>
        <w:t xml:space="preserve"> = 47 L. Ed. </w:t>
      </w:r>
      <w:r w:rsidRPr="00017D98">
        <w:rPr>
          <w:lang w:val="en-US"/>
        </w:rPr>
        <w:t>2d 405, 420</w:t>
      </w:r>
      <w:r w:rsidRPr="005D5028">
        <w:rPr>
          <w:lang w:val="en-US"/>
        </w:rPr>
        <w:t xml:space="preserve"> = 1976 U.S. LEXIS </w:t>
      </w:r>
      <w:r w:rsidRPr="00017D98">
        <w:rPr>
          <w:lang w:val="en-US"/>
        </w:rPr>
        <w:t>112, 30</w:t>
      </w:r>
      <w:r w:rsidRPr="005D5028">
        <w:rPr>
          <w:lang w:val="en-US"/>
        </w:rPr>
        <w:t xml:space="preserve"> = 1 I.E.R. </w:t>
      </w:r>
      <w:r w:rsidRPr="00017D98">
        <w:rPr>
          <w:lang w:val="en-US"/>
        </w:rPr>
        <w:t>Cas. (BNA) 1827 (1976)</w:t>
      </w:r>
      <w:r>
        <w:rPr>
          <w:lang w:val="en-US"/>
        </w:rPr>
        <w:t>.</w:t>
      </w:r>
    </w:p>
  </w:footnote>
  <w:footnote w:id="840">
    <w:p w14:paraId="7DC9DAFB" w14:textId="77777777" w:rsidR="00074551" w:rsidRPr="00EB606D" w:rsidRDefault="00074551" w:rsidP="00074551">
      <w:pPr>
        <w:pStyle w:val="Funotentext"/>
        <w:rPr>
          <w:lang w:val="en-US"/>
        </w:rPr>
      </w:pPr>
      <w:r>
        <w:rPr>
          <w:rStyle w:val="Funotenzeichen"/>
          <w:rFonts w:eastAsiaTheme="majorEastAsia"/>
        </w:rPr>
        <w:footnoteRef/>
      </w:r>
      <w:r w:rsidRPr="00EB606D">
        <w:rPr>
          <w:lang w:val="en-US"/>
        </w:rPr>
        <w:t xml:space="preserve"> </w:t>
      </w:r>
      <w:r w:rsidRPr="009E57E1">
        <w:rPr>
          <w:i/>
          <w:lang w:val="en-US"/>
        </w:rPr>
        <w:t>Paul v. Davis</w:t>
      </w:r>
      <w:r w:rsidRPr="00EB606D">
        <w:rPr>
          <w:lang w:val="en-US"/>
        </w:rPr>
        <w:t>, 424 U.S. 693, 723</w:t>
      </w:r>
      <w:r w:rsidRPr="006E67FE">
        <w:rPr>
          <w:lang w:val="en-US"/>
        </w:rPr>
        <w:t xml:space="preserve"> = 96 S. Ct. </w:t>
      </w:r>
      <w:r w:rsidRPr="00EB606D">
        <w:rPr>
          <w:lang w:val="en-US"/>
        </w:rPr>
        <w:t>1155, 1171</w:t>
      </w:r>
      <w:r w:rsidRPr="005D5028">
        <w:rPr>
          <w:lang w:val="en-US"/>
        </w:rPr>
        <w:t xml:space="preserve"> = 47 L. Ed. </w:t>
      </w:r>
      <w:r w:rsidRPr="00EB606D">
        <w:rPr>
          <w:lang w:val="en-US"/>
        </w:rPr>
        <w:t>2d 405 (1976).</w:t>
      </w:r>
    </w:p>
  </w:footnote>
  <w:footnote w:id="841">
    <w:p w14:paraId="43E2D6F5" w14:textId="77777777" w:rsidR="00074551" w:rsidRPr="00B45592" w:rsidRDefault="00074551" w:rsidP="00074551">
      <w:pPr>
        <w:pStyle w:val="Funotentext"/>
        <w:rPr>
          <w:lang w:val="en-IE"/>
        </w:rPr>
      </w:pPr>
      <w:r>
        <w:rPr>
          <w:rStyle w:val="Funotenzeichen"/>
          <w:rFonts w:eastAsiaTheme="majorEastAsia"/>
        </w:rPr>
        <w:footnoteRef/>
      </w:r>
      <w:r w:rsidRPr="00B45592">
        <w:rPr>
          <w:lang w:val="en-IE"/>
        </w:rPr>
        <w:t xml:space="preserve"> </w:t>
      </w:r>
      <w:r w:rsidRPr="00B45592">
        <w:rPr>
          <w:i/>
          <w:lang w:val="en-IE"/>
        </w:rPr>
        <w:t>Meyer v. Nebraska</w:t>
      </w:r>
      <w:r w:rsidRPr="00B45592">
        <w:rPr>
          <w:lang w:val="en-IE"/>
        </w:rPr>
        <w:t>, 262 U.S. 390, 399 (1923).</w:t>
      </w:r>
    </w:p>
  </w:footnote>
  <w:footnote w:id="842">
    <w:p w14:paraId="705D4480" w14:textId="77777777" w:rsidR="00074551" w:rsidRPr="00A11807" w:rsidRDefault="00074551" w:rsidP="00074551">
      <w:pPr>
        <w:pStyle w:val="Funotentext"/>
        <w:rPr>
          <w:lang w:val="en-US"/>
        </w:rPr>
      </w:pPr>
      <w:r>
        <w:rPr>
          <w:rStyle w:val="Funotenzeichen"/>
          <w:rFonts w:eastAsiaTheme="majorEastAsia"/>
        </w:rPr>
        <w:footnoteRef/>
      </w:r>
      <w:r w:rsidRPr="00A11807">
        <w:rPr>
          <w:lang w:val="en-US"/>
        </w:rPr>
        <w:t xml:space="preserve"> </w:t>
      </w:r>
      <w:r w:rsidRPr="009167A5">
        <w:rPr>
          <w:i/>
          <w:lang w:val="en-US"/>
        </w:rPr>
        <w:t>Senn v. Tile Layers Protective Union</w:t>
      </w:r>
      <w:r w:rsidRPr="00095DBF">
        <w:rPr>
          <w:lang w:val="en-US"/>
        </w:rPr>
        <w:t xml:space="preserve"> 301 U.S. 468</w:t>
      </w:r>
      <w:r>
        <w:rPr>
          <w:lang w:val="en-US"/>
        </w:rPr>
        <w:t xml:space="preserve"> (1937).</w:t>
      </w:r>
    </w:p>
  </w:footnote>
  <w:footnote w:id="843">
    <w:p w14:paraId="4519D7FD" w14:textId="77777777" w:rsidR="00074551" w:rsidRPr="00EB606D" w:rsidRDefault="00074551" w:rsidP="00074551">
      <w:pPr>
        <w:pStyle w:val="Funotentext"/>
        <w:rPr>
          <w:lang w:val="en-US"/>
        </w:rPr>
      </w:pPr>
      <w:r>
        <w:rPr>
          <w:rStyle w:val="Funotenzeichen"/>
          <w:rFonts w:eastAsiaTheme="majorEastAsia"/>
        </w:rPr>
        <w:footnoteRef/>
      </w:r>
      <w:r w:rsidRPr="00EB606D">
        <w:rPr>
          <w:lang w:val="en-US"/>
        </w:rPr>
        <w:t xml:space="preserve"> </w:t>
      </w:r>
      <w:r w:rsidRPr="009E57E1">
        <w:rPr>
          <w:i/>
          <w:lang w:val="en-US"/>
        </w:rPr>
        <w:t>Paul v. Davis</w:t>
      </w:r>
      <w:r w:rsidRPr="00EB606D">
        <w:rPr>
          <w:lang w:val="en-US"/>
        </w:rPr>
        <w:t>, 424 U.S. 693, 723</w:t>
      </w:r>
      <w:r w:rsidRPr="006E67FE">
        <w:rPr>
          <w:lang w:val="en-US"/>
        </w:rPr>
        <w:t xml:space="preserve"> = 96 S. Ct. </w:t>
      </w:r>
      <w:r w:rsidRPr="00EB606D">
        <w:rPr>
          <w:lang w:val="en-US"/>
        </w:rPr>
        <w:t>1155, 1171</w:t>
      </w:r>
      <w:r w:rsidRPr="005D5028">
        <w:rPr>
          <w:lang w:val="en-US"/>
        </w:rPr>
        <w:t xml:space="preserve"> = 47 L. Ed. </w:t>
      </w:r>
      <w:r w:rsidRPr="00EB606D">
        <w:rPr>
          <w:lang w:val="en-US"/>
        </w:rPr>
        <w:t>2d 405 (1976).</w:t>
      </w:r>
    </w:p>
  </w:footnote>
  <w:footnote w:id="844">
    <w:p w14:paraId="0B7FD78F" w14:textId="77777777" w:rsidR="00074551" w:rsidRPr="008F6F09" w:rsidRDefault="00074551" w:rsidP="00074551">
      <w:pPr>
        <w:pStyle w:val="Funotentext"/>
        <w:rPr>
          <w:lang w:val="en-US"/>
        </w:rPr>
      </w:pPr>
      <w:r>
        <w:rPr>
          <w:rStyle w:val="Funotenzeichen"/>
          <w:rFonts w:eastAsiaTheme="majorEastAsia"/>
        </w:rPr>
        <w:footnoteRef/>
      </w:r>
      <w:r w:rsidRPr="008F6F09">
        <w:rPr>
          <w:lang w:val="en-US"/>
        </w:rPr>
        <w:t xml:space="preserve"> </w:t>
      </w:r>
      <w:r w:rsidRPr="009E57E1">
        <w:rPr>
          <w:i/>
          <w:lang w:val="en-US"/>
        </w:rPr>
        <w:t>Paul v. Davis</w:t>
      </w:r>
      <w:r w:rsidRPr="008F6F09">
        <w:rPr>
          <w:lang w:val="en-US"/>
        </w:rPr>
        <w:t>, 424 U.S. 693, 723</w:t>
      </w:r>
      <w:r w:rsidRPr="006E67FE">
        <w:rPr>
          <w:lang w:val="en-US"/>
        </w:rPr>
        <w:t xml:space="preserve"> = 96 S. Ct. </w:t>
      </w:r>
      <w:r w:rsidRPr="008F6F09">
        <w:rPr>
          <w:lang w:val="en-US"/>
        </w:rPr>
        <w:t>1155, 1171</w:t>
      </w:r>
      <w:r w:rsidRPr="005D5028">
        <w:rPr>
          <w:lang w:val="en-US"/>
        </w:rPr>
        <w:t xml:space="preserve"> = 47 L. Ed. </w:t>
      </w:r>
      <w:r w:rsidRPr="008F6F09">
        <w:rPr>
          <w:lang w:val="en-US"/>
        </w:rPr>
        <w:t>2d 405, 427</w:t>
      </w:r>
      <w:r w:rsidRPr="005D5028">
        <w:rPr>
          <w:lang w:val="en-US"/>
        </w:rPr>
        <w:t xml:space="preserve"> = 1976 U.S. LEXIS </w:t>
      </w:r>
      <w:r w:rsidRPr="008F6F09">
        <w:rPr>
          <w:lang w:val="en-US"/>
        </w:rPr>
        <w:t>112, 45</w:t>
      </w:r>
      <w:r w:rsidRPr="005D5028">
        <w:rPr>
          <w:lang w:val="en-US"/>
        </w:rPr>
        <w:t xml:space="preserve"> = 1 I.E.R. </w:t>
      </w:r>
      <w:r w:rsidRPr="008F6F09">
        <w:rPr>
          <w:lang w:val="en-US"/>
        </w:rPr>
        <w:t>Cas. (BNA) 1827 (1976)</w:t>
      </w:r>
      <w:r>
        <w:rPr>
          <w:lang w:val="en-US"/>
        </w:rPr>
        <w:t>.</w:t>
      </w:r>
    </w:p>
  </w:footnote>
  <w:footnote w:id="845">
    <w:p w14:paraId="427D49D6" w14:textId="77777777" w:rsidR="00074551" w:rsidRPr="00EB606D" w:rsidRDefault="00074551" w:rsidP="00074551">
      <w:pPr>
        <w:pStyle w:val="Funotentext"/>
        <w:rPr>
          <w:lang w:val="en-US"/>
        </w:rPr>
      </w:pPr>
      <w:r>
        <w:rPr>
          <w:rStyle w:val="Funotenzeichen"/>
          <w:rFonts w:eastAsiaTheme="majorEastAsia"/>
        </w:rPr>
        <w:footnoteRef/>
      </w:r>
      <w:r w:rsidRPr="00EB606D">
        <w:rPr>
          <w:lang w:val="en-US"/>
        </w:rPr>
        <w:t xml:space="preserve"> </w:t>
      </w:r>
      <w:r w:rsidRPr="009E57E1">
        <w:rPr>
          <w:i/>
          <w:lang w:val="en-US"/>
        </w:rPr>
        <w:t>Paul v. Davis</w:t>
      </w:r>
      <w:r w:rsidRPr="00EB606D">
        <w:rPr>
          <w:lang w:val="en-US"/>
        </w:rPr>
        <w:t>, 424 U.S. 693, 721</w:t>
      </w:r>
      <w:r w:rsidRPr="006E67FE">
        <w:rPr>
          <w:lang w:val="en-US"/>
        </w:rPr>
        <w:t xml:space="preserve"> = 96 S. Ct. </w:t>
      </w:r>
      <w:r w:rsidRPr="00EB606D">
        <w:rPr>
          <w:lang w:val="en-US"/>
        </w:rPr>
        <w:t>1155, 1170</w:t>
      </w:r>
      <w:r w:rsidRPr="005D5028">
        <w:rPr>
          <w:lang w:val="en-US"/>
        </w:rPr>
        <w:t xml:space="preserve"> = 47 L. Ed. </w:t>
      </w:r>
      <w:r w:rsidRPr="00EB606D">
        <w:rPr>
          <w:lang w:val="en-US"/>
        </w:rPr>
        <w:t>2d 405 (1976)</w:t>
      </w:r>
      <w:r>
        <w:rPr>
          <w:lang w:val="en-US"/>
        </w:rPr>
        <w:t xml:space="preserve"> (</w:t>
      </w:r>
      <w:r w:rsidRPr="00B45592">
        <w:rPr>
          <w:i/>
          <w:iCs/>
          <w:lang w:val="en-US"/>
        </w:rPr>
        <w:t>concurring opinion</w:t>
      </w:r>
      <w:r>
        <w:rPr>
          <w:lang w:val="en-US"/>
        </w:rPr>
        <w:t>).</w:t>
      </w:r>
    </w:p>
  </w:footnote>
  <w:footnote w:id="846">
    <w:p w14:paraId="5B867C1E" w14:textId="77777777" w:rsidR="00074551" w:rsidRPr="00EB606D" w:rsidRDefault="00074551" w:rsidP="00074551">
      <w:pPr>
        <w:pStyle w:val="Funotentext"/>
        <w:rPr>
          <w:lang w:val="en-US"/>
        </w:rPr>
      </w:pPr>
      <w:r>
        <w:rPr>
          <w:rStyle w:val="Funotenzeichen"/>
          <w:rFonts w:eastAsiaTheme="majorEastAsia"/>
        </w:rPr>
        <w:footnoteRef/>
      </w:r>
      <w:r w:rsidRPr="00EB606D">
        <w:rPr>
          <w:lang w:val="en-US"/>
        </w:rPr>
        <w:t xml:space="preserve"> </w:t>
      </w:r>
      <w:r w:rsidRPr="009E57E1">
        <w:rPr>
          <w:i/>
          <w:lang w:val="en-US"/>
        </w:rPr>
        <w:t>Paul v. Davis</w:t>
      </w:r>
      <w:r w:rsidRPr="00EB606D">
        <w:rPr>
          <w:lang w:val="en-US"/>
        </w:rPr>
        <w:t>, 424 U.S. 693, 734</w:t>
      </w:r>
      <w:r w:rsidRPr="006E67FE">
        <w:rPr>
          <w:lang w:val="en-US"/>
        </w:rPr>
        <w:t xml:space="preserve"> = 96 S. Ct. </w:t>
      </w:r>
      <w:r w:rsidRPr="00EB606D">
        <w:rPr>
          <w:lang w:val="en-US"/>
        </w:rPr>
        <w:t>1155, 1177</w:t>
      </w:r>
      <w:r w:rsidRPr="005D5028">
        <w:rPr>
          <w:lang w:val="en-US"/>
        </w:rPr>
        <w:t xml:space="preserve"> = 47 L. Ed. </w:t>
      </w:r>
      <w:r w:rsidRPr="00EB606D">
        <w:rPr>
          <w:lang w:val="en-US"/>
        </w:rPr>
        <w:t>2d 405 (1976)</w:t>
      </w:r>
      <w:r>
        <w:rPr>
          <w:lang w:val="en-US"/>
        </w:rPr>
        <w:t xml:space="preserve"> (</w:t>
      </w:r>
      <w:r w:rsidRPr="00B45592">
        <w:rPr>
          <w:i/>
          <w:iCs/>
          <w:lang w:val="en-US"/>
        </w:rPr>
        <w:t>concurring opinion</w:t>
      </w:r>
      <w:r>
        <w:rPr>
          <w:lang w:val="en-US"/>
        </w:rPr>
        <w:t>).</w:t>
      </w:r>
    </w:p>
    <w:p w14:paraId="515481E2" w14:textId="77777777" w:rsidR="00074551" w:rsidRPr="00800EB0" w:rsidRDefault="00074551" w:rsidP="00074551">
      <w:pPr>
        <w:pStyle w:val="Funotentext"/>
        <w:rPr>
          <w:lang w:val="en-US"/>
        </w:rPr>
      </w:pPr>
    </w:p>
  </w:footnote>
  <w:footnote w:id="847">
    <w:p w14:paraId="3207A607" w14:textId="77777777" w:rsidR="00074551" w:rsidRPr="000E17FE" w:rsidRDefault="00074551" w:rsidP="00074551">
      <w:pPr>
        <w:pStyle w:val="Funotentext"/>
        <w:ind w:left="227" w:hanging="227"/>
        <w:rPr>
          <w:lang w:val="en-US"/>
        </w:rPr>
      </w:pPr>
      <w:r>
        <w:rPr>
          <w:rStyle w:val="Funotenzeichen"/>
          <w:rFonts w:eastAsiaTheme="majorEastAsia"/>
        </w:rPr>
        <w:footnoteRef/>
      </w:r>
      <w:r w:rsidRPr="000E17FE">
        <w:rPr>
          <w:lang w:val="en-US"/>
        </w:rPr>
        <w:t xml:space="preserve"> </w:t>
      </w:r>
      <w:r w:rsidRPr="00B45592">
        <w:rPr>
          <w:i/>
          <w:lang w:val="en-US"/>
        </w:rPr>
        <w:t>Wieman v. Updegraff</w:t>
      </w:r>
      <w:r w:rsidRPr="000E17FE">
        <w:rPr>
          <w:lang w:val="en-US"/>
        </w:rPr>
        <w:t>, 344 U.S. 183 (1952)</w:t>
      </w:r>
      <w:r>
        <w:rPr>
          <w:lang w:val="en-US"/>
        </w:rPr>
        <w:t xml:space="preserve">; </w:t>
      </w:r>
      <w:r w:rsidRPr="009E57E1">
        <w:rPr>
          <w:i/>
          <w:lang w:val="en-US"/>
        </w:rPr>
        <w:t>Paul v. Davis</w:t>
      </w:r>
      <w:r w:rsidRPr="000E17FE">
        <w:rPr>
          <w:lang w:val="en-US"/>
        </w:rPr>
        <w:t>, 424 U.S. 693, 705</w:t>
      </w:r>
      <w:r w:rsidRPr="006E67FE">
        <w:rPr>
          <w:lang w:val="en-US"/>
        </w:rPr>
        <w:t xml:space="preserve"> = 96 S. Ct. </w:t>
      </w:r>
      <w:r w:rsidRPr="000E17FE">
        <w:rPr>
          <w:lang w:val="en-US"/>
        </w:rPr>
        <w:t>1155, 1162</w:t>
      </w:r>
      <w:r w:rsidRPr="005D5028">
        <w:rPr>
          <w:lang w:val="en-US"/>
        </w:rPr>
        <w:t xml:space="preserve"> = 47 L. Ed. </w:t>
      </w:r>
      <w:r w:rsidRPr="000E17FE">
        <w:rPr>
          <w:lang w:val="en-US"/>
        </w:rPr>
        <w:t>2d 405, 416</w:t>
      </w:r>
      <w:r w:rsidRPr="005D5028">
        <w:rPr>
          <w:lang w:val="en-US"/>
        </w:rPr>
        <w:t xml:space="preserve"> = 1976 U.S. LEXIS </w:t>
      </w:r>
      <w:r w:rsidRPr="000E17FE">
        <w:rPr>
          <w:lang w:val="en-US"/>
        </w:rPr>
        <w:t>112, 19</w:t>
      </w:r>
      <w:r w:rsidRPr="005D5028">
        <w:rPr>
          <w:lang w:val="en-US"/>
        </w:rPr>
        <w:t xml:space="preserve"> = 1 I.E.R. </w:t>
      </w:r>
      <w:r w:rsidRPr="000E17FE">
        <w:rPr>
          <w:lang w:val="en-US"/>
        </w:rPr>
        <w:t>Cas. (BNA) 1827 (1976)</w:t>
      </w:r>
      <w:r>
        <w:rPr>
          <w:lang w:val="en-US"/>
        </w:rPr>
        <w:t>.</w:t>
      </w:r>
    </w:p>
  </w:footnote>
  <w:footnote w:id="848">
    <w:p w14:paraId="6A7915BC" w14:textId="77777777" w:rsidR="00074551" w:rsidRPr="008F6F09" w:rsidRDefault="00074551" w:rsidP="00074551">
      <w:pPr>
        <w:pStyle w:val="Funotentext"/>
        <w:rPr>
          <w:lang w:val="en-US"/>
        </w:rPr>
      </w:pPr>
      <w:r>
        <w:rPr>
          <w:rStyle w:val="Funotenzeichen"/>
          <w:rFonts w:eastAsiaTheme="majorEastAsia"/>
        </w:rPr>
        <w:footnoteRef/>
      </w:r>
      <w:r w:rsidRPr="008F6F09">
        <w:rPr>
          <w:lang w:val="en-US"/>
        </w:rPr>
        <w:t xml:space="preserve"> </w:t>
      </w:r>
      <w:r w:rsidRPr="009E57E1">
        <w:rPr>
          <w:i/>
          <w:lang w:val="en-US"/>
        </w:rPr>
        <w:t>Paul v. Davis</w:t>
      </w:r>
      <w:r w:rsidRPr="008F6F09">
        <w:rPr>
          <w:lang w:val="en-US"/>
        </w:rPr>
        <w:t>, 424 U.S. 693, 723</w:t>
      </w:r>
      <w:r w:rsidRPr="006E67FE">
        <w:rPr>
          <w:lang w:val="en-US"/>
        </w:rPr>
        <w:t xml:space="preserve"> = 96 S. Ct. </w:t>
      </w:r>
      <w:r w:rsidRPr="008F6F09">
        <w:rPr>
          <w:lang w:val="en-US"/>
        </w:rPr>
        <w:t>1155, 1171</w:t>
      </w:r>
      <w:r w:rsidRPr="005D5028">
        <w:rPr>
          <w:lang w:val="en-US"/>
        </w:rPr>
        <w:t xml:space="preserve"> = 47 L. Ed. </w:t>
      </w:r>
      <w:r w:rsidRPr="008F6F09">
        <w:rPr>
          <w:lang w:val="en-US"/>
        </w:rPr>
        <w:t>2d 405, 427</w:t>
      </w:r>
      <w:r w:rsidRPr="005D5028">
        <w:rPr>
          <w:lang w:val="en-US"/>
        </w:rPr>
        <w:t xml:space="preserve"> = 1976 U.S. LEXIS </w:t>
      </w:r>
      <w:r w:rsidRPr="008F6F09">
        <w:rPr>
          <w:lang w:val="en-US"/>
        </w:rPr>
        <w:t>112, 45</w:t>
      </w:r>
      <w:r w:rsidRPr="005D5028">
        <w:rPr>
          <w:lang w:val="en-US"/>
        </w:rPr>
        <w:t xml:space="preserve"> = 1 I.E.R. </w:t>
      </w:r>
      <w:r w:rsidRPr="008F6F09">
        <w:rPr>
          <w:lang w:val="en-US"/>
        </w:rPr>
        <w:t>Cas. (BNA) 1827 (1976)</w:t>
      </w:r>
      <w:r>
        <w:rPr>
          <w:lang w:val="en-US"/>
        </w:rPr>
        <w:t>.</w:t>
      </w:r>
    </w:p>
  </w:footnote>
  <w:footnote w:id="849">
    <w:p w14:paraId="4243BA2B" w14:textId="77777777" w:rsidR="00074551" w:rsidRPr="00017D98" w:rsidRDefault="00074551" w:rsidP="00074551">
      <w:pPr>
        <w:pStyle w:val="Funotentext"/>
        <w:rPr>
          <w:lang w:val="en-US"/>
        </w:rPr>
      </w:pPr>
      <w:r>
        <w:rPr>
          <w:rStyle w:val="Funotenzeichen"/>
          <w:rFonts w:eastAsiaTheme="majorEastAsia"/>
        </w:rPr>
        <w:footnoteRef/>
      </w:r>
      <w:r w:rsidRPr="00017D98">
        <w:rPr>
          <w:lang w:val="en-US"/>
        </w:rPr>
        <w:t xml:space="preserve"> </w:t>
      </w:r>
      <w:r w:rsidRPr="009E57E1">
        <w:rPr>
          <w:i/>
          <w:lang w:val="en-US"/>
        </w:rPr>
        <w:t>Paul v. Davis</w:t>
      </w:r>
      <w:r w:rsidRPr="00017D98">
        <w:rPr>
          <w:lang w:val="en-US"/>
        </w:rPr>
        <w:t>, 424 U.S. 693, 712</w:t>
      </w:r>
      <w:r w:rsidRPr="006E67FE">
        <w:rPr>
          <w:lang w:val="en-US"/>
        </w:rPr>
        <w:t xml:space="preserve"> = 96 S. Ct. </w:t>
      </w:r>
      <w:r w:rsidRPr="00017D98">
        <w:rPr>
          <w:lang w:val="en-US"/>
        </w:rPr>
        <w:t>1155, 1166</w:t>
      </w:r>
      <w:r w:rsidRPr="005D5028">
        <w:rPr>
          <w:lang w:val="en-US"/>
        </w:rPr>
        <w:t xml:space="preserve"> = 47 L. Ed. </w:t>
      </w:r>
      <w:r w:rsidRPr="00017D98">
        <w:rPr>
          <w:lang w:val="en-US"/>
        </w:rPr>
        <w:t>2d 405, 420</w:t>
      </w:r>
      <w:r w:rsidRPr="005D5028">
        <w:rPr>
          <w:lang w:val="en-US"/>
        </w:rPr>
        <w:t xml:space="preserve"> = 1976 U.S. LEXIS </w:t>
      </w:r>
      <w:r w:rsidRPr="00017D98">
        <w:rPr>
          <w:lang w:val="en-US"/>
        </w:rPr>
        <w:t>112, 30</w:t>
      </w:r>
      <w:r w:rsidRPr="005D5028">
        <w:rPr>
          <w:lang w:val="en-US"/>
        </w:rPr>
        <w:t xml:space="preserve"> = 1 I.E.R. </w:t>
      </w:r>
      <w:r w:rsidRPr="00017D98">
        <w:rPr>
          <w:lang w:val="en-US"/>
        </w:rPr>
        <w:t>Cas. (BNA) 1827 (1976)</w:t>
      </w:r>
      <w:r>
        <w:rPr>
          <w:lang w:val="en-US"/>
        </w:rPr>
        <w:t>.</w:t>
      </w:r>
    </w:p>
  </w:footnote>
  <w:footnote w:id="850">
    <w:p w14:paraId="3B49DA8A" w14:textId="77777777" w:rsidR="00074551" w:rsidRPr="00556434" w:rsidRDefault="00074551" w:rsidP="00074551">
      <w:pPr>
        <w:pStyle w:val="Funotentext"/>
        <w:rPr>
          <w:lang w:val="en-US"/>
        </w:rPr>
      </w:pPr>
      <w:r>
        <w:rPr>
          <w:rStyle w:val="Funotenzeichen"/>
          <w:rFonts w:eastAsiaTheme="majorEastAsia"/>
        </w:rPr>
        <w:footnoteRef/>
      </w:r>
      <w:r w:rsidRPr="00556434">
        <w:rPr>
          <w:lang w:val="en-US"/>
        </w:rPr>
        <w:t xml:space="preserve"> </w:t>
      </w:r>
      <w:proofErr w:type="gramStart"/>
      <w:r w:rsidRPr="00556434">
        <w:rPr>
          <w:lang w:val="en-US"/>
        </w:rPr>
        <w:t>„</w:t>
      </w:r>
      <w:r>
        <w:rPr>
          <w:lang w:val="en-US"/>
        </w:rPr>
        <w:t>,</w:t>
      </w:r>
      <w:r w:rsidRPr="00556434">
        <w:rPr>
          <w:lang w:val="en-US"/>
        </w:rPr>
        <w:t>liberty</w:t>
      </w:r>
      <w:r>
        <w:rPr>
          <w:lang w:val="en-US"/>
        </w:rPr>
        <w:t>‘</w:t>
      </w:r>
      <w:r w:rsidRPr="00556434">
        <w:rPr>
          <w:lang w:val="en-US"/>
        </w:rPr>
        <w:t xml:space="preserve"> or </w:t>
      </w:r>
      <w:r>
        <w:rPr>
          <w:lang w:val="en-US"/>
        </w:rPr>
        <w:t>,</w:t>
      </w:r>
      <w:r w:rsidRPr="00556434">
        <w:rPr>
          <w:lang w:val="en-US"/>
        </w:rPr>
        <w:t>property</w:t>
      </w:r>
      <w:r>
        <w:rPr>
          <w:lang w:val="en-US"/>
        </w:rPr>
        <w:t>‘</w:t>
      </w:r>
      <w:r w:rsidRPr="00556434">
        <w:rPr>
          <w:lang w:val="en-US"/>
        </w:rPr>
        <w:t xml:space="preserve"> interests</w:t>
      </w:r>
      <w:proofErr w:type="gramEnd"/>
      <w:r w:rsidRPr="00556434">
        <w:rPr>
          <w:lang w:val="en-US"/>
        </w:rPr>
        <w:t xml:space="preserve"> are protected only if they are recognized under state law or protected by one of the specific guarantees of the Bill of </w:t>
      </w:r>
      <w:proofErr w:type="gramStart"/>
      <w:r w:rsidRPr="00556434">
        <w:rPr>
          <w:lang w:val="en-US"/>
        </w:rPr>
        <w:t>Rights</w:t>
      </w:r>
      <w:r>
        <w:rPr>
          <w:lang w:val="en-US"/>
        </w:rPr>
        <w:t>“</w:t>
      </w:r>
      <w:proofErr w:type="gramEnd"/>
      <w:r>
        <w:rPr>
          <w:lang w:val="en-US"/>
        </w:rPr>
        <w:t xml:space="preserve">, </w:t>
      </w:r>
      <w:r w:rsidRPr="009E57E1">
        <w:rPr>
          <w:i/>
          <w:lang w:val="en-US"/>
        </w:rPr>
        <w:t>Paul v. Davis</w:t>
      </w:r>
      <w:r w:rsidRPr="00556434">
        <w:rPr>
          <w:lang w:val="en-US"/>
        </w:rPr>
        <w:t>, 424 U.S. 693, 722</w:t>
      </w:r>
      <w:r w:rsidRPr="006E67FE">
        <w:rPr>
          <w:lang w:val="en-US"/>
        </w:rPr>
        <w:t xml:space="preserve"> = 96 S. Ct. </w:t>
      </w:r>
      <w:r w:rsidRPr="00556434">
        <w:rPr>
          <w:lang w:val="en-US"/>
        </w:rPr>
        <w:t>1155, 1170</w:t>
      </w:r>
      <w:r w:rsidRPr="005D5028">
        <w:rPr>
          <w:lang w:val="en-US"/>
        </w:rPr>
        <w:t xml:space="preserve"> = 47 L. Ed. </w:t>
      </w:r>
      <w:r w:rsidRPr="00556434">
        <w:rPr>
          <w:lang w:val="en-US"/>
        </w:rPr>
        <w:t>2d 405, 426</w:t>
      </w:r>
      <w:r w:rsidRPr="005D5028">
        <w:rPr>
          <w:lang w:val="en-US"/>
        </w:rPr>
        <w:t xml:space="preserve"> = 1976 U.S. LEXIS </w:t>
      </w:r>
      <w:r w:rsidRPr="00556434">
        <w:rPr>
          <w:lang w:val="en-US"/>
        </w:rPr>
        <w:t>112, 45</w:t>
      </w:r>
      <w:r w:rsidRPr="005D5028">
        <w:rPr>
          <w:lang w:val="en-US"/>
        </w:rPr>
        <w:t xml:space="preserve"> = 1 I.E.R. </w:t>
      </w:r>
      <w:r w:rsidRPr="00556434">
        <w:rPr>
          <w:lang w:val="en-US"/>
        </w:rPr>
        <w:t>Cas. (BNA) 1827 (1976)</w:t>
      </w:r>
    </w:p>
  </w:footnote>
  <w:footnote w:id="851">
    <w:p w14:paraId="1B51AE96" w14:textId="77777777" w:rsidR="00074551" w:rsidRPr="00033E03" w:rsidRDefault="00074551" w:rsidP="00074551">
      <w:pPr>
        <w:pStyle w:val="Funotentext"/>
        <w:rPr>
          <w:lang w:val="en-US"/>
        </w:rPr>
      </w:pPr>
      <w:r>
        <w:rPr>
          <w:rStyle w:val="Funotenzeichen"/>
          <w:rFonts w:eastAsiaTheme="majorEastAsia"/>
        </w:rPr>
        <w:footnoteRef/>
      </w:r>
      <w:r w:rsidRPr="00033E03">
        <w:rPr>
          <w:lang w:val="en-US"/>
        </w:rPr>
        <w:t xml:space="preserve"> </w:t>
      </w:r>
      <w:r w:rsidRPr="009E57E1">
        <w:rPr>
          <w:i/>
          <w:lang w:val="en-US"/>
        </w:rPr>
        <w:t>Paul v. Davis</w:t>
      </w:r>
      <w:r w:rsidRPr="00033E03">
        <w:rPr>
          <w:lang w:val="en-US"/>
        </w:rPr>
        <w:t>, 424 U.S. 693, 722</w:t>
      </w:r>
      <w:r w:rsidRPr="006E67FE">
        <w:rPr>
          <w:lang w:val="en-US"/>
        </w:rPr>
        <w:t xml:space="preserve"> = 96 S. Ct. </w:t>
      </w:r>
      <w:r w:rsidRPr="00033E03">
        <w:rPr>
          <w:lang w:val="en-US"/>
        </w:rPr>
        <w:t>1155, 1170</w:t>
      </w:r>
      <w:r w:rsidRPr="005D5028">
        <w:rPr>
          <w:lang w:val="en-US"/>
        </w:rPr>
        <w:t xml:space="preserve"> = 47 L. Ed. </w:t>
      </w:r>
      <w:r w:rsidRPr="00033E03">
        <w:rPr>
          <w:lang w:val="en-US"/>
        </w:rPr>
        <w:t>2d 405, 426</w:t>
      </w:r>
      <w:r w:rsidRPr="005D5028">
        <w:rPr>
          <w:lang w:val="en-US"/>
        </w:rPr>
        <w:t xml:space="preserve"> = 1976 U.S. LEXIS </w:t>
      </w:r>
      <w:r w:rsidRPr="00033E03">
        <w:rPr>
          <w:lang w:val="en-US"/>
        </w:rPr>
        <w:t>112, 45</w:t>
      </w:r>
      <w:r w:rsidRPr="005D5028">
        <w:rPr>
          <w:lang w:val="en-US"/>
        </w:rPr>
        <w:t xml:space="preserve"> = 1 I.E.R. </w:t>
      </w:r>
      <w:r w:rsidRPr="00033E03">
        <w:rPr>
          <w:lang w:val="en-US"/>
        </w:rPr>
        <w:t>Cas. (BNA) 1827 (1976)</w:t>
      </w:r>
    </w:p>
  </w:footnote>
  <w:footnote w:id="852">
    <w:p w14:paraId="27A36ACA" w14:textId="77777777" w:rsidR="00074551" w:rsidRPr="000E17FE" w:rsidRDefault="00074551" w:rsidP="00074551">
      <w:pPr>
        <w:pStyle w:val="Funotentext"/>
        <w:ind w:left="227" w:hanging="227"/>
        <w:rPr>
          <w:lang w:val="en-US"/>
        </w:rPr>
      </w:pPr>
      <w:r>
        <w:rPr>
          <w:rStyle w:val="Funotenzeichen"/>
          <w:rFonts w:eastAsiaTheme="majorEastAsia"/>
        </w:rPr>
        <w:footnoteRef/>
      </w:r>
      <w:r w:rsidRPr="000E17FE">
        <w:rPr>
          <w:lang w:val="en-US"/>
        </w:rPr>
        <w:t xml:space="preserve"> </w:t>
      </w:r>
      <w:proofErr w:type="spellStart"/>
      <w:r>
        <w:rPr>
          <w:lang w:val="en-US"/>
        </w:rPr>
        <w:t>Im</w:t>
      </w:r>
      <w:proofErr w:type="spellEnd"/>
      <w:r>
        <w:rPr>
          <w:lang w:val="en-US"/>
        </w:rPr>
        <w:t xml:space="preserve"> </w:t>
      </w:r>
      <w:r w:rsidRPr="00B45592">
        <w:rPr>
          <w:i/>
          <w:iCs/>
          <w:lang w:val="en-US"/>
        </w:rPr>
        <w:t>Overview</w:t>
      </w:r>
      <w:r>
        <w:rPr>
          <w:lang w:val="en-US"/>
        </w:rPr>
        <w:t xml:space="preserve"> </w:t>
      </w:r>
      <w:proofErr w:type="spellStart"/>
      <w:r>
        <w:rPr>
          <w:lang w:val="en-US"/>
        </w:rPr>
        <w:t>zu</w:t>
      </w:r>
      <w:proofErr w:type="spellEnd"/>
      <w:r>
        <w:rPr>
          <w:lang w:val="en-US"/>
        </w:rPr>
        <w:t xml:space="preserve"> </w:t>
      </w:r>
      <w:r w:rsidRPr="009E57E1">
        <w:rPr>
          <w:i/>
          <w:lang w:val="en-US"/>
        </w:rPr>
        <w:t>Paul v. Davis</w:t>
      </w:r>
      <w:r w:rsidRPr="000E17FE">
        <w:rPr>
          <w:lang w:val="en-US"/>
        </w:rPr>
        <w:t>, 424 U.S. 693, 694</w:t>
      </w:r>
      <w:r w:rsidRPr="006E67FE">
        <w:rPr>
          <w:lang w:val="en-US"/>
        </w:rPr>
        <w:t xml:space="preserve"> = 96 S. Ct. </w:t>
      </w:r>
      <w:r w:rsidRPr="000E17FE">
        <w:rPr>
          <w:lang w:val="en-US"/>
        </w:rPr>
        <w:t>1155, 1157</w:t>
      </w:r>
      <w:r w:rsidRPr="005D5028">
        <w:rPr>
          <w:lang w:val="en-US"/>
        </w:rPr>
        <w:t xml:space="preserve"> = 47 L. Ed. </w:t>
      </w:r>
      <w:r w:rsidRPr="000E17FE">
        <w:rPr>
          <w:lang w:val="en-US"/>
        </w:rPr>
        <w:t>2d 405, 410</w:t>
      </w:r>
      <w:r w:rsidRPr="005D5028">
        <w:rPr>
          <w:lang w:val="en-US"/>
        </w:rPr>
        <w:t xml:space="preserve"> = 1976 U.S. LEXIS </w:t>
      </w:r>
      <w:r w:rsidRPr="000E17FE">
        <w:rPr>
          <w:lang w:val="en-US"/>
        </w:rPr>
        <w:t>112, 1</w:t>
      </w:r>
      <w:r w:rsidRPr="005D5028">
        <w:rPr>
          <w:lang w:val="en-US"/>
        </w:rPr>
        <w:t xml:space="preserve"> = 1 I.E.R. </w:t>
      </w:r>
      <w:r w:rsidRPr="000E17FE">
        <w:rPr>
          <w:lang w:val="en-US"/>
        </w:rPr>
        <w:t>Cas. (BNA) 1827 (1976)</w:t>
      </w:r>
      <w:r>
        <w:rPr>
          <w:lang w:val="en-US"/>
        </w:rPr>
        <w:t>.</w:t>
      </w:r>
    </w:p>
  </w:footnote>
  <w:footnote w:id="853">
    <w:p w14:paraId="434486FF" w14:textId="77777777" w:rsidR="00074551" w:rsidRPr="007F76E4" w:rsidRDefault="00074551" w:rsidP="00074551">
      <w:pPr>
        <w:pStyle w:val="Funotentext"/>
      </w:pPr>
      <w:r>
        <w:rPr>
          <w:rStyle w:val="Funotenzeichen"/>
          <w:rFonts w:eastAsiaTheme="majorEastAsia"/>
        </w:rPr>
        <w:footnoteRef/>
      </w:r>
      <w:r>
        <w:rPr>
          <w:lang w:val="en-US"/>
        </w:rPr>
        <w:t xml:space="preserve"> </w:t>
      </w:r>
      <w:r w:rsidRPr="009E57E1">
        <w:rPr>
          <w:i/>
          <w:lang w:val="en-US"/>
        </w:rPr>
        <w:t>Meyer v. Nebraska</w:t>
      </w:r>
      <w:r w:rsidRPr="00017D98">
        <w:rPr>
          <w:lang w:val="en-US"/>
        </w:rPr>
        <w:t xml:space="preserve">, 262 U.S. 390, 399. </w:t>
      </w:r>
      <w:r w:rsidRPr="009E57E1">
        <w:rPr>
          <w:i/>
          <w:lang w:val="en-US"/>
        </w:rPr>
        <w:t xml:space="preserve">Board of Regents v. </w:t>
      </w:r>
      <w:r w:rsidRPr="00B45592">
        <w:rPr>
          <w:lang w:val="en-US"/>
        </w:rPr>
        <w:t>Roth</w:t>
      </w:r>
      <w:r>
        <w:rPr>
          <w:lang w:val="en-US"/>
        </w:rPr>
        <w:t xml:space="preserve">, </w:t>
      </w:r>
      <w:r w:rsidRPr="009E57E1">
        <w:rPr>
          <w:lang w:val="en-US"/>
        </w:rPr>
        <w:t>408</w:t>
      </w:r>
      <w:r w:rsidRPr="00230BEB">
        <w:rPr>
          <w:lang w:val="en-US"/>
        </w:rPr>
        <w:t xml:space="preserve"> U.S. 564,</w:t>
      </w:r>
      <w:r>
        <w:rPr>
          <w:lang w:val="en-US"/>
        </w:rPr>
        <w:t xml:space="preserve"> </w:t>
      </w:r>
      <w:r w:rsidRPr="009E57E1">
        <w:rPr>
          <w:lang w:val="en-US"/>
        </w:rPr>
        <w:t xml:space="preserve">572. </w:t>
      </w:r>
      <w:proofErr w:type="spellStart"/>
      <w:r w:rsidRPr="00B45592">
        <w:rPr>
          <w:lang w:val="en-US"/>
        </w:rPr>
        <w:t>Siehe</w:t>
      </w:r>
      <w:proofErr w:type="spellEnd"/>
      <w:r w:rsidRPr="00B45592">
        <w:rPr>
          <w:lang w:val="en-US"/>
        </w:rPr>
        <w:t xml:space="preserve"> </w:t>
      </w:r>
      <w:proofErr w:type="spellStart"/>
      <w:r w:rsidRPr="00B45592">
        <w:rPr>
          <w:lang w:val="en-US"/>
        </w:rPr>
        <w:t>auch</w:t>
      </w:r>
      <w:proofErr w:type="spellEnd"/>
      <w:r w:rsidRPr="00B45592">
        <w:rPr>
          <w:lang w:val="en-US"/>
        </w:rPr>
        <w:t xml:space="preserve"> </w:t>
      </w:r>
      <w:proofErr w:type="spellStart"/>
      <w:r w:rsidRPr="00B45592">
        <w:rPr>
          <w:lang w:val="en-US"/>
        </w:rPr>
        <w:t>z.B.</w:t>
      </w:r>
      <w:proofErr w:type="spellEnd"/>
      <w:r w:rsidRPr="009E57E1">
        <w:rPr>
          <w:lang w:val="en-US"/>
        </w:rPr>
        <w:t xml:space="preserve"> </w:t>
      </w:r>
      <w:r w:rsidRPr="00B45592">
        <w:rPr>
          <w:i/>
          <w:lang w:val="en-US"/>
        </w:rPr>
        <w:t>Arnett v. Kennedy</w:t>
      </w:r>
      <w:r w:rsidRPr="009E57E1">
        <w:rPr>
          <w:lang w:val="en-US"/>
        </w:rPr>
        <w:t>, 416 U.S. 134, 157 (1974</w:t>
      </w:r>
      <w:r w:rsidRPr="00DE1296">
        <w:rPr>
          <w:lang w:val="en-US"/>
        </w:rPr>
        <w:t>) (</w:t>
      </w:r>
      <w:bookmarkStart w:id="49" w:name="_Hlk228822940"/>
      <w:r w:rsidRPr="00B45592">
        <w:rPr>
          <w:lang w:val="en-US"/>
        </w:rPr>
        <w:t xml:space="preserve">Meinung von Richter </w:t>
      </w:r>
      <w:r w:rsidRPr="00B45592">
        <w:rPr>
          <w:i/>
          <w:lang w:val="en-US"/>
        </w:rPr>
        <w:t>Rehnquist</w:t>
      </w:r>
      <w:r w:rsidRPr="00DE1296">
        <w:rPr>
          <w:lang w:val="en-US"/>
        </w:rPr>
        <w:t>);</w:t>
      </w:r>
      <w:r>
        <w:rPr>
          <w:lang w:val="en-US"/>
        </w:rPr>
        <w:t xml:space="preserve"> </w:t>
      </w:r>
      <w:bookmarkEnd w:id="49"/>
      <w:r w:rsidRPr="009E57E1">
        <w:rPr>
          <w:i/>
          <w:lang w:val="en-US"/>
        </w:rPr>
        <w:t>Paul v. Davis</w:t>
      </w:r>
      <w:r w:rsidRPr="00017D98">
        <w:rPr>
          <w:lang w:val="en-US"/>
        </w:rPr>
        <w:t>, 424 U.S. 693, 722</w:t>
      </w:r>
      <w:r w:rsidRPr="006E67FE">
        <w:rPr>
          <w:lang w:val="en-US"/>
        </w:rPr>
        <w:t xml:space="preserve"> = 96 S. Ct. </w:t>
      </w:r>
      <w:r w:rsidRPr="00017D98">
        <w:rPr>
          <w:lang w:val="en-US"/>
        </w:rPr>
        <w:t>1155, 1170</w:t>
      </w:r>
      <w:r w:rsidRPr="005D5028">
        <w:rPr>
          <w:lang w:val="en-US"/>
        </w:rPr>
        <w:t xml:space="preserve"> = 47 L. Ed. </w:t>
      </w:r>
      <w:r w:rsidRPr="00017D98">
        <w:rPr>
          <w:lang w:val="en-US"/>
        </w:rPr>
        <w:t>2d 405, 426</w:t>
      </w:r>
      <w:r w:rsidRPr="005D5028">
        <w:rPr>
          <w:lang w:val="en-US"/>
        </w:rPr>
        <w:t xml:space="preserve"> = 1976 U.S. LEXIS </w:t>
      </w:r>
      <w:r w:rsidRPr="00017D98">
        <w:rPr>
          <w:lang w:val="en-US"/>
        </w:rPr>
        <w:t>112, 45</w:t>
      </w:r>
      <w:r w:rsidRPr="005D5028">
        <w:rPr>
          <w:lang w:val="en-US"/>
        </w:rPr>
        <w:t xml:space="preserve"> = 1 I.E.R. </w:t>
      </w:r>
      <w:r w:rsidRPr="00017D98">
        <w:rPr>
          <w:lang w:val="en-US"/>
        </w:rPr>
        <w:t xml:space="preserve">Cas. </w:t>
      </w:r>
      <w:r w:rsidRPr="007F76E4">
        <w:t>(BNA) 1827 (1976).</w:t>
      </w:r>
    </w:p>
  </w:footnote>
  <w:footnote w:id="854">
    <w:p w14:paraId="36FBC6A5" w14:textId="77777777" w:rsidR="00074551" w:rsidRPr="00AC7D41" w:rsidRDefault="00074551" w:rsidP="00074551">
      <w:pPr>
        <w:pStyle w:val="Funotentext"/>
        <w:rPr>
          <w:lang w:val="en-US"/>
        </w:rPr>
      </w:pPr>
      <w:r>
        <w:rPr>
          <w:rStyle w:val="Funotenzeichen"/>
          <w:rFonts w:eastAsiaTheme="majorEastAsia"/>
        </w:rPr>
        <w:footnoteRef/>
      </w:r>
      <w:r w:rsidRPr="00BA1E56">
        <w:t xml:space="preserve"> Die Wisconsin State University-Oshkosh stellte für ein Jahr befristet einen Juniorprofessor namens Roth ein. Ihm wurde mitgeteilt, dass er nach Ablauf seines Vertrags nicht wieder eingestellt werden würde. Roth erhob Klage gegen die Universität. Er machte geltend, dass ihm sein Recht auf ein ordnungsgemäßes Verfahren nach Ams. XIV </w:t>
      </w:r>
      <w:r>
        <w:t>U.S.</w:t>
      </w:r>
      <w:r w:rsidRPr="00BA1E56">
        <w:t xml:space="preserve"> </w:t>
      </w:r>
      <w:proofErr w:type="spellStart"/>
      <w:r w:rsidRPr="00BA1E56">
        <w:t>Const</w:t>
      </w:r>
      <w:proofErr w:type="spellEnd"/>
      <w:r w:rsidRPr="00BA1E56">
        <w:t>. verweigert worden sei. Denn die Universität habe ihm nie einen Grund für ihre Entscheidung genannt. Zudem habe ihm die Universität keine Gelegenheit eingeräumt, die Entscheidung in einer Anhörung anzufechten</w:t>
      </w:r>
      <w:r>
        <w:t xml:space="preserve">, vgl. </w:t>
      </w:r>
      <w:r w:rsidRPr="009E57E1">
        <w:rPr>
          <w:i/>
        </w:rPr>
        <w:t xml:space="preserve">Bd. of </w:t>
      </w:r>
      <w:proofErr w:type="spellStart"/>
      <w:r w:rsidRPr="009E57E1">
        <w:rPr>
          <w:i/>
        </w:rPr>
        <w:t>Regents</w:t>
      </w:r>
      <w:proofErr w:type="spellEnd"/>
      <w:r w:rsidRPr="009E57E1">
        <w:rPr>
          <w:i/>
        </w:rPr>
        <w:t xml:space="preserve"> v. Roth</w:t>
      </w:r>
      <w:r w:rsidRPr="00BA1E56">
        <w:t>, 408 U.S. 564, 566</w:t>
      </w:r>
      <w:r>
        <w:t xml:space="preserve"> = 92 S. Ct. </w:t>
      </w:r>
      <w:r w:rsidRPr="00BA1E56">
        <w:t>2701, 2703</w:t>
      </w:r>
      <w:r w:rsidRPr="00EC5BEB">
        <w:t xml:space="preserve"> = 33 L. Ed. </w:t>
      </w:r>
      <w:r w:rsidRPr="00BA1E56">
        <w:t>2d 548, 554</w:t>
      </w:r>
      <w:r>
        <w:t xml:space="preserve"> = 1972 U.S. LEXIS </w:t>
      </w:r>
      <w:r w:rsidRPr="00BA1E56">
        <w:t>131, 1</w:t>
      </w:r>
      <w:r w:rsidRPr="005D5028">
        <w:t xml:space="preserve"> = 1 I.E.R. </w:t>
      </w:r>
      <w:r w:rsidRPr="00BA1E56">
        <w:t xml:space="preserve">Cas. </w:t>
      </w:r>
      <w:r w:rsidRPr="00AC7D41">
        <w:rPr>
          <w:lang w:val="en-US"/>
        </w:rPr>
        <w:t>(BNA) 23 (1972).</w:t>
      </w:r>
    </w:p>
  </w:footnote>
  <w:footnote w:id="855">
    <w:p w14:paraId="740071E5" w14:textId="77777777" w:rsidR="00074551" w:rsidRPr="00006EEB" w:rsidRDefault="00074551" w:rsidP="00074551">
      <w:pPr>
        <w:pStyle w:val="Funotentext"/>
        <w:rPr>
          <w:lang w:val="en-US"/>
        </w:rPr>
      </w:pPr>
      <w:r>
        <w:rPr>
          <w:rStyle w:val="Funotenzeichen"/>
        </w:rPr>
        <w:footnoteRef/>
      </w:r>
      <w:r w:rsidRPr="00006EEB">
        <w:rPr>
          <w:lang w:val="en-US"/>
        </w:rPr>
        <w:t xml:space="preserve"> </w:t>
      </w:r>
      <w:r w:rsidRPr="009E57E1">
        <w:rPr>
          <w:i/>
          <w:lang w:val="en-US"/>
        </w:rPr>
        <w:t>Bd. of Regents v. Roth</w:t>
      </w:r>
      <w:r w:rsidRPr="00006EEB">
        <w:rPr>
          <w:lang w:val="en-US"/>
        </w:rPr>
        <w:t>, 408 U.S. 564, 566</w:t>
      </w:r>
      <w:r>
        <w:rPr>
          <w:lang w:val="en-US"/>
        </w:rPr>
        <w:t xml:space="preserve"> = 92 S. Ct. </w:t>
      </w:r>
      <w:r w:rsidRPr="00006EEB">
        <w:rPr>
          <w:lang w:val="en-US"/>
        </w:rPr>
        <w:t>2701, 2703</w:t>
      </w:r>
      <w:r w:rsidRPr="00EC5BEB">
        <w:rPr>
          <w:lang w:val="en-US"/>
        </w:rPr>
        <w:t xml:space="preserve"> = 33 L. Ed. </w:t>
      </w:r>
      <w:r w:rsidRPr="00006EEB">
        <w:rPr>
          <w:lang w:val="en-US"/>
        </w:rPr>
        <w:t>2d 548, 554</w:t>
      </w:r>
      <w:r>
        <w:rPr>
          <w:lang w:val="en-US"/>
        </w:rPr>
        <w:t xml:space="preserve"> = 1972 U.S. LEXIS </w:t>
      </w:r>
      <w:r w:rsidRPr="00006EEB">
        <w:rPr>
          <w:lang w:val="en-US"/>
        </w:rPr>
        <w:t>131, 1</w:t>
      </w:r>
      <w:r w:rsidRPr="005D5028">
        <w:rPr>
          <w:lang w:val="en-US"/>
        </w:rPr>
        <w:t xml:space="preserve"> = 1 I.E.R. </w:t>
      </w:r>
      <w:r w:rsidRPr="00006EEB">
        <w:rPr>
          <w:lang w:val="en-US"/>
        </w:rPr>
        <w:t>Cas. (BNA) 23 (1972)</w:t>
      </w:r>
      <w:r>
        <w:rPr>
          <w:lang w:val="en-US"/>
        </w:rPr>
        <w:t>.</w:t>
      </w:r>
    </w:p>
  </w:footnote>
  <w:footnote w:id="856">
    <w:p w14:paraId="501E42BF" w14:textId="77777777" w:rsidR="00074551" w:rsidRPr="00230BEB" w:rsidRDefault="00074551" w:rsidP="00074551">
      <w:pPr>
        <w:pStyle w:val="Funotentext"/>
        <w:rPr>
          <w:lang w:val="en-US"/>
        </w:rPr>
      </w:pPr>
      <w:r>
        <w:rPr>
          <w:rStyle w:val="Funotenzeichen"/>
          <w:rFonts w:eastAsiaTheme="majorEastAsia"/>
        </w:rPr>
        <w:footnoteRef/>
      </w:r>
      <w:r w:rsidRPr="00230BEB">
        <w:rPr>
          <w:lang w:val="en-US"/>
        </w:rPr>
        <w:t xml:space="preserve"> </w:t>
      </w:r>
      <w:r w:rsidRPr="009E57E1">
        <w:rPr>
          <w:i/>
          <w:lang w:val="en-US"/>
        </w:rPr>
        <w:t>Bd. of Regents of State Colleges v. Roth</w:t>
      </w:r>
      <w:r w:rsidRPr="00230BEB">
        <w:rPr>
          <w:lang w:val="en-US"/>
        </w:rPr>
        <w:t>, 408 U.S. 564, 573</w:t>
      </w:r>
      <w:r>
        <w:rPr>
          <w:lang w:val="en-US"/>
        </w:rPr>
        <w:t xml:space="preserve"> = 92 S. Ct. </w:t>
      </w:r>
      <w:r w:rsidRPr="00230BEB">
        <w:rPr>
          <w:lang w:val="en-US"/>
        </w:rPr>
        <w:t>2701, 2707</w:t>
      </w:r>
      <w:r w:rsidRPr="00EC5BEB">
        <w:rPr>
          <w:lang w:val="en-US"/>
        </w:rPr>
        <w:t xml:space="preserve"> = 33 L. Ed. </w:t>
      </w:r>
      <w:r w:rsidRPr="00230BEB">
        <w:rPr>
          <w:lang w:val="en-US"/>
        </w:rPr>
        <w:t>2d 548 (1972)</w:t>
      </w:r>
    </w:p>
  </w:footnote>
  <w:footnote w:id="857">
    <w:p w14:paraId="33F36A16"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Bd. of Regents of State Colleges v. Roth</w:t>
      </w:r>
      <w:r w:rsidRPr="00BA1E56">
        <w:rPr>
          <w:lang w:val="en-US"/>
        </w:rPr>
        <w:t>, 408 U.S. 564, 572</w:t>
      </w:r>
      <w:r w:rsidRPr="00EC5BEB">
        <w:rPr>
          <w:lang w:val="en-US"/>
        </w:rPr>
        <w:t xml:space="preserve"> = 33 L. Ed. </w:t>
      </w:r>
      <w:r w:rsidRPr="00BA1E56">
        <w:rPr>
          <w:lang w:val="en-US"/>
        </w:rPr>
        <w:t>2d 548</w:t>
      </w:r>
      <w:r>
        <w:rPr>
          <w:lang w:val="en-US"/>
        </w:rPr>
        <w:t xml:space="preserve"> = 92 S. Ct. </w:t>
      </w:r>
      <w:r w:rsidRPr="00BA1E56">
        <w:rPr>
          <w:lang w:val="en-US"/>
        </w:rPr>
        <w:t xml:space="preserve">2701 (1972), </w:t>
      </w:r>
      <w:proofErr w:type="spellStart"/>
      <w:r>
        <w:rPr>
          <w:lang w:val="en-US"/>
        </w:rPr>
        <w:t>zitierend</w:t>
      </w:r>
      <w:proofErr w:type="spellEnd"/>
      <w:r>
        <w:rPr>
          <w:lang w:val="en-US"/>
        </w:rPr>
        <w:t xml:space="preserve"> </w:t>
      </w:r>
      <w:proofErr w:type="spellStart"/>
      <w:r>
        <w:rPr>
          <w:lang w:val="en-US"/>
        </w:rPr>
        <w:t>aus</w:t>
      </w:r>
      <w:proofErr w:type="spellEnd"/>
      <w:r w:rsidRPr="00BA1E56">
        <w:rPr>
          <w:lang w:val="en-US"/>
        </w:rPr>
        <w:t xml:space="preserve"> </w:t>
      </w:r>
      <w:r w:rsidRPr="009E57E1">
        <w:rPr>
          <w:i/>
          <w:lang w:val="en-US"/>
        </w:rPr>
        <w:t>Meyer v. Nebraska</w:t>
      </w:r>
      <w:r w:rsidRPr="00BA1E56">
        <w:rPr>
          <w:lang w:val="en-US"/>
        </w:rPr>
        <w:t>, 262 U.S. 390, 399</w:t>
      </w:r>
      <w:r w:rsidRPr="00EC5BEB">
        <w:rPr>
          <w:lang w:val="en-US"/>
        </w:rPr>
        <w:t xml:space="preserve"> = 67 L. Ed. </w:t>
      </w:r>
      <w:r w:rsidRPr="00BA1E56">
        <w:rPr>
          <w:lang w:val="en-US"/>
        </w:rPr>
        <w:t>1042</w:t>
      </w:r>
      <w:r w:rsidRPr="00EC5BEB">
        <w:rPr>
          <w:lang w:val="en-US"/>
        </w:rPr>
        <w:t xml:space="preserve"> = 43 S. Ct. </w:t>
      </w:r>
      <w:r w:rsidRPr="00BA1E56">
        <w:rPr>
          <w:lang w:val="en-US"/>
        </w:rPr>
        <w:t>625 (1923)</w:t>
      </w:r>
      <w:r>
        <w:rPr>
          <w:lang w:val="en-US"/>
        </w:rPr>
        <w:t xml:space="preserve">; </w:t>
      </w:r>
      <w:r w:rsidRPr="009E57E1">
        <w:rPr>
          <w:i/>
          <w:lang w:val="en-US"/>
        </w:rPr>
        <w:t>Siegert v. Gilley</w:t>
      </w:r>
      <w:r w:rsidRPr="00BA1E56">
        <w:rPr>
          <w:lang w:val="en-US"/>
        </w:rPr>
        <w:t>, 500 U.S. 226, 241</w:t>
      </w:r>
      <w:r>
        <w:rPr>
          <w:lang w:val="en-US"/>
        </w:rPr>
        <w:t xml:space="preserve"> = 111 S. Ct. </w:t>
      </w:r>
      <w:r w:rsidRPr="00BA1E56">
        <w:rPr>
          <w:lang w:val="en-US"/>
        </w:rPr>
        <w:t>1789, 1798</w:t>
      </w:r>
      <w:r>
        <w:rPr>
          <w:lang w:val="en-US"/>
        </w:rPr>
        <w:t xml:space="preserve"> = 114 L. Ed. </w:t>
      </w:r>
      <w:r w:rsidRPr="00BA1E56">
        <w:rPr>
          <w:lang w:val="en-US"/>
        </w:rPr>
        <w:t>2d 277, 293</w:t>
      </w:r>
      <w:r>
        <w:rPr>
          <w:lang w:val="en-US"/>
        </w:rPr>
        <w:t xml:space="preserve"> = 1991 U.S. LEXIS </w:t>
      </w:r>
      <w:r w:rsidRPr="00BA1E56">
        <w:rPr>
          <w:lang w:val="en-US"/>
        </w:rPr>
        <w:t>2909, 30</w:t>
      </w:r>
      <w:r>
        <w:rPr>
          <w:lang w:val="en-US"/>
        </w:rPr>
        <w:t xml:space="preserve"> = 59 U.S.L.W</w:t>
      </w:r>
      <w:r w:rsidRPr="00BA1E56">
        <w:rPr>
          <w:lang w:val="en-US"/>
        </w:rPr>
        <w:t>. 4465</w:t>
      </w:r>
      <w:r>
        <w:rPr>
          <w:lang w:val="en-US"/>
        </w:rPr>
        <w:t xml:space="preserve"> = 6 I.E.R. </w:t>
      </w:r>
      <w:r w:rsidRPr="00BA1E56">
        <w:rPr>
          <w:lang w:val="en-US"/>
        </w:rPr>
        <w:t>Cas. (BNA) 705</w:t>
      </w:r>
      <w:r>
        <w:rPr>
          <w:lang w:val="en-US"/>
        </w:rPr>
        <w:t xml:space="preserve"> = 91 Cal. Daily Op</w:t>
      </w:r>
      <w:r w:rsidRPr="00BA1E56">
        <w:rPr>
          <w:lang w:val="en-US"/>
        </w:rPr>
        <w:t>. Service 3724</w:t>
      </w:r>
      <w:r>
        <w:rPr>
          <w:lang w:val="en-US"/>
        </w:rPr>
        <w:t xml:space="preserve"> = 91 Daily Journal DAR </w:t>
      </w:r>
      <w:r w:rsidRPr="00BA1E56">
        <w:rPr>
          <w:lang w:val="en-US"/>
        </w:rPr>
        <w:t>6023 (1991)</w:t>
      </w:r>
    </w:p>
  </w:footnote>
  <w:footnote w:id="858">
    <w:p w14:paraId="1C399986" w14:textId="77777777" w:rsidR="00074551" w:rsidRPr="00230BEB" w:rsidRDefault="00074551" w:rsidP="00074551">
      <w:pPr>
        <w:pStyle w:val="Funotentext"/>
        <w:rPr>
          <w:lang w:val="en-US"/>
        </w:rPr>
      </w:pPr>
      <w:r>
        <w:rPr>
          <w:rStyle w:val="Funotenzeichen"/>
          <w:rFonts w:eastAsiaTheme="majorEastAsia"/>
        </w:rPr>
        <w:footnoteRef/>
      </w:r>
      <w:r w:rsidRPr="00230BEB">
        <w:rPr>
          <w:lang w:val="en-US"/>
        </w:rPr>
        <w:t xml:space="preserve"> </w:t>
      </w:r>
      <w:r w:rsidRPr="009E57E1">
        <w:rPr>
          <w:i/>
          <w:lang w:val="en-US"/>
        </w:rPr>
        <w:t>Bd. of Regents of State Colleges v. Roth</w:t>
      </w:r>
      <w:r w:rsidRPr="00230BEB">
        <w:rPr>
          <w:lang w:val="en-US"/>
        </w:rPr>
        <w:t>, 408 U.S. 564, 573</w:t>
      </w:r>
      <w:r>
        <w:rPr>
          <w:lang w:val="en-US"/>
        </w:rPr>
        <w:t xml:space="preserve"> = 92 S. Ct. </w:t>
      </w:r>
      <w:r w:rsidRPr="00230BEB">
        <w:rPr>
          <w:lang w:val="en-US"/>
        </w:rPr>
        <w:t>2701, 2707</w:t>
      </w:r>
      <w:r w:rsidRPr="00EC5BEB">
        <w:rPr>
          <w:lang w:val="en-US"/>
        </w:rPr>
        <w:t xml:space="preserve"> = 33 L. Ed. </w:t>
      </w:r>
      <w:r w:rsidRPr="00230BEB">
        <w:rPr>
          <w:lang w:val="en-US"/>
        </w:rPr>
        <w:t>2d 548 (1972)</w:t>
      </w:r>
      <w:r>
        <w:rPr>
          <w:lang w:val="en-US"/>
        </w:rPr>
        <w:t>.</w:t>
      </w:r>
    </w:p>
  </w:footnote>
  <w:footnote w:id="859">
    <w:p w14:paraId="68C360C0" w14:textId="77777777" w:rsidR="00074551" w:rsidRPr="00E80587" w:rsidRDefault="00074551" w:rsidP="00074551">
      <w:pPr>
        <w:pStyle w:val="Funotentext"/>
        <w:rPr>
          <w:lang w:val="en-US"/>
        </w:rPr>
      </w:pPr>
      <w:r>
        <w:rPr>
          <w:rStyle w:val="Funotenzeichen"/>
        </w:rPr>
        <w:footnoteRef/>
      </w:r>
      <w:r w:rsidRPr="00E80587">
        <w:rPr>
          <w:lang w:val="en-US"/>
        </w:rPr>
        <w:t xml:space="preserve"> </w:t>
      </w:r>
      <w:r>
        <w:rPr>
          <w:lang w:val="en-US"/>
        </w:rPr>
        <w:t>„</w:t>
      </w:r>
      <w:r w:rsidRPr="00E80587">
        <w:rPr>
          <w:lang w:val="en-US"/>
        </w:rPr>
        <w:t xml:space="preserve">Any person who shall knowingly bring or cause to be brought into this State for sale or exhibition, or who shall knowingly sell or offer to sell, or who shall knowingly lend or give away or offer to lend or give away, or who shall knowingly have possession of, or who shall knowingly exhibit or transmit to another, any obscene matter, or who shall knowingly advertise for sale by any form of notice, printed, written, or verbal, any obscene matter, or who shall knowingly manufacture, draw, duplicate or print any obscene matter with intent to sell, expose or circulate the same, shall, if such person has knowledge or reasonably should know of the obscene nature of such matter, be guilty of a felony, and, upon conviction thereof, shall be punished by confinement in the penitentiary for not less than one year nor more than five years: Provided, however, in the event the jury so recommends, such person may be punished as for a misdemeanor. As used herein, a matter is obscene if, considered as a whole, applying contemporary community standards, its predominant appeal is to prurient interest, </w:t>
      </w:r>
      <w:proofErr w:type="spellStart"/>
      <w:r w:rsidRPr="00E80587">
        <w:rPr>
          <w:lang w:val="en-US"/>
        </w:rPr>
        <w:t>i</w:t>
      </w:r>
      <w:proofErr w:type="spellEnd"/>
      <w:r w:rsidRPr="00E80587">
        <w:rPr>
          <w:lang w:val="en-US"/>
        </w:rPr>
        <w:t xml:space="preserve">. e., a shameful or morbid interest in nudity, sex or </w:t>
      </w:r>
      <w:proofErr w:type="gramStart"/>
      <w:r w:rsidRPr="00E80587">
        <w:rPr>
          <w:lang w:val="en-US"/>
        </w:rPr>
        <w:t>excretion.“</w:t>
      </w:r>
      <w:proofErr w:type="gramEnd"/>
      <w:r>
        <w:rPr>
          <w:lang w:val="en-US"/>
        </w:rPr>
        <w:t>,</w:t>
      </w:r>
      <w:r w:rsidRPr="00E80587">
        <w:rPr>
          <w:lang w:val="en-US"/>
        </w:rPr>
        <w:t xml:space="preserve"> Ga. Code Ann. </w:t>
      </w:r>
      <w:r>
        <w:rPr>
          <w:lang w:val="en-US"/>
        </w:rPr>
        <w:t>§ </w:t>
      </w:r>
      <w:r w:rsidRPr="00E80587">
        <w:rPr>
          <w:lang w:val="en-US"/>
        </w:rPr>
        <w:t xml:space="preserve">26-6301 (Supp. 1968) in </w:t>
      </w:r>
      <w:r w:rsidRPr="009E57E1">
        <w:rPr>
          <w:i/>
          <w:lang w:val="en-US"/>
        </w:rPr>
        <w:t>Stanley v. Georgia</w:t>
      </w:r>
      <w:r w:rsidRPr="00E80587">
        <w:rPr>
          <w:lang w:val="en-US"/>
        </w:rPr>
        <w:t>, 394 U.S. 557, 558</w:t>
      </w:r>
      <w:r>
        <w:rPr>
          <w:lang w:val="en-US"/>
        </w:rPr>
        <w:t xml:space="preserve"> = 89 S. Ct</w:t>
      </w:r>
      <w:r w:rsidRPr="00E80587">
        <w:rPr>
          <w:lang w:val="en-US"/>
        </w:rPr>
        <w:t>. 1243, 1244</w:t>
      </w:r>
      <w:r>
        <w:rPr>
          <w:lang w:val="en-US"/>
        </w:rPr>
        <w:t xml:space="preserve"> = 22 L. Ed. </w:t>
      </w:r>
      <w:r w:rsidRPr="00E80587">
        <w:rPr>
          <w:lang w:val="en-US"/>
        </w:rPr>
        <w:t>2d 542, 545</w:t>
      </w:r>
      <w:r>
        <w:rPr>
          <w:lang w:val="en-US"/>
        </w:rPr>
        <w:t xml:space="preserve"> = 1969 U.S. LEXIS </w:t>
      </w:r>
      <w:r w:rsidRPr="00E80587">
        <w:rPr>
          <w:lang w:val="en-US"/>
        </w:rPr>
        <w:t>1972, 3 (1969).</w:t>
      </w:r>
    </w:p>
  </w:footnote>
  <w:footnote w:id="860">
    <w:p w14:paraId="2A6392FF"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Stanley v. Georgia</w:t>
      </w:r>
      <w:r w:rsidRPr="00BA1E56">
        <w:rPr>
          <w:lang w:val="en-US"/>
        </w:rPr>
        <w:t>, 394 U.S. 557, 558</w:t>
      </w:r>
      <w:r>
        <w:rPr>
          <w:lang w:val="en-US"/>
        </w:rPr>
        <w:t xml:space="preserve"> = 89 S. Ct</w:t>
      </w:r>
      <w:r w:rsidRPr="00BA1E56">
        <w:rPr>
          <w:lang w:val="en-US"/>
        </w:rPr>
        <w:t>. 1243, 1244</w:t>
      </w:r>
      <w:r>
        <w:rPr>
          <w:lang w:val="en-US"/>
        </w:rPr>
        <w:t xml:space="preserve"> = 22 L. Ed. </w:t>
      </w:r>
      <w:r w:rsidRPr="00BA1E56">
        <w:rPr>
          <w:lang w:val="en-US"/>
        </w:rPr>
        <w:t>2d 542, 545</w:t>
      </w:r>
      <w:r>
        <w:rPr>
          <w:lang w:val="en-US"/>
        </w:rPr>
        <w:t xml:space="preserve"> = 1969 U.S. LEXIS </w:t>
      </w:r>
      <w:r w:rsidRPr="00BA1E56">
        <w:rPr>
          <w:lang w:val="en-US"/>
        </w:rPr>
        <w:t>1972, 1 (1969).</w:t>
      </w:r>
    </w:p>
  </w:footnote>
  <w:footnote w:id="861">
    <w:p w14:paraId="490B1408" w14:textId="77777777" w:rsidR="00074551" w:rsidRPr="007117B8" w:rsidRDefault="00074551" w:rsidP="00074551">
      <w:pPr>
        <w:pStyle w:val="Funotentext"/>
        <w:rPr>
          <w:lang w:val="en-US"/>
        </w:rPr>
      </w:pPr>
      <w:r>
        <w:rPr>
          <w:rStyle w:val="Funotenzeichen"/>
          <w:rFonts w:eastAsiaTheme="majorEastAsia"/>
        </w:rPr>
        <w:footnoteRef/>
      </w:r>
      <w:r w:rsidRPr="007117B8">
        <w:rPr>
          <w:lang w:val="en-US"/>
        </w:rPr>
        <w:t xml:space="preserve"> </w:t>
      </w:r>
      <w:r w:rsidRPr="009167A5">
        <w:rPr>
          <w:i/>
          <w:lang w:val="en-US"/>
        </w:rPr>
        <w:t>Olmstead v. United States</w:t>
      </w:r>
      <w:r w:rsidRPr="007117B8">
        <w:rPr>
          <w:lang w:val="en-US"/>
        </w:rPr>
        <w:t>, 277 U.S. 438, 478</w:t>
      </w:r>
      <w:r w:rsidRPr="006E67FE">
        <w:rPr>
          <w:lang w:val="en-US"/>
        </w:rPr>
        <w:t xml:space="preserve"> = 48 S. Ct. </w:t>
      </w:r>
      <w:r w:rsidRPr="007117B8">
        <w:rPr>
          <w:lang w:val="en-US"/>
        </w:rPr>
        <w:t>564, 572</w:t>
      </w:r>
      <w:r w:rsidRPr="006E67FE">
        <w:rPr>
          <w:lang w:val="en-US"/>
        </w:rPr>
        <w:t xml:space="preserve"> = 72 L. Ed. </w:t>
      </w:r>
      <w:r w:rsidRPr="007117B8">
        <w:rPr>
          <w:lang w:val="en-US"/>
        </w:rPr>
        <w:t>944 (1928) (</w:t>
      </w:r>
      <w:r w:rsidRPr="009E57E1">
        <w:rPr>
          <w:lang w:val="en-US"/>
        </w:rPr>
        <w:t xml:space="preserve">Dissens von </w:t>
      </w:r>
      <w:r w:rsidRPr="00B45592">
        <w:rPr>
          <w:lang w:val="en-US"/>
        </w:rPr>
        <w:t>Richter</w:t>
      </w:r>
      <w:r w:rsidRPr="00D67593">
        <w:rPr>
          <w:i/>
          <w:lang w:val="en-US"/>
        </w:rPr>
        <w:t xml:space="preserve"> Brandeis</w:t>
      </w:r>
      <w:r w:rsidRPr="007117B8">
        <w:rPr>
          <w:lang w:val="en-US"/>
        </w:rPr>
        <w:t>)</w:t>
      </w:r>
      <w:r>
        <w:rPr>
          <w:lang w:val="en-US"/>
        </w:rPr>
        <w:t xml:space="preserve">; </w:t>
      </w:r>
      <w:r w:rsidRPr="009E57E1">
        <w:rPr>
          <w:i/>
          <w:lang w:val="en-US"/>
        </w:rPr>
        <w:t>Stanley v. Georgia</w:t>
      </w:r>
      <w:r w:rsidRPr="007117B8">
        <w:rPr>
          <w:lang w:val="en-US"/>
        </w:rPr>
        <w:t>, 394 U.S. 557, 564</w:t>
      </w:r>
      <w:r>
        <w:rPr>
          <w:lang w:val="en-US"/>
        </w:rPr>
        <w:t xml:space="preserve"> = 89 S. Ct</w:t>
      </w:r>
      <w:r w:rsidRPr="007117B8">
        <w:rPr>
          <w:lang w:val="en-US"/>
        </w:rPr>
        <w:t>. 1243, 1248</w:t>
      </w:r>
      <w:r>
        <w:rPr>
          <w:lang w:val="en-US"/>
        </w:rPr>
        <w:t xml:space="preserve"> = 22 L. Ed. </w:t>
      </w:r>
      <w:r w:rsidRPr="007117B8">
        <w:rPr>
          <w:lang w:val="en-US"/>
        </w:rPr>
        <w:t>2d 542 (1969)</w:t>
      </w:r>
      <w:r>
        <w:rPr>
          <w:lang w:val="en-US"/>
        </w:rPr>
        <w:t>.</w:t>
      </w:r>
    </w:p>
  </w:footnote>
  <w:footnote w:id="862">
    <w:p w14:paraId="490C571D" w14:textId="77777777" w:rsidR="00074551" w:rsidRDefault="00074551" w:rsidP="00074551">
      <w:pPr>
        <w:pStyle w:val="Funotentext"/>
        <w:ind w:left="227" w:hanging="227"/>
        <w:rPr>
          <w:lang w:val="en-US"/>
        </w:rPr>
      </w:pPr>
      <w:r>
        <w:rPr>
          <w:rStyle w:val="Funotenzeichen"/>
          <w:rFonts w:eastAsiaTheme="majorEastAsia"/>
        </w:rPr>
        <w:footnoteRef/>
      </w:r>
      <w:r w:rsidRPr="0094243C">
        <w:rPr>
          <w:lang w:val="en-US"/>
        </w:rPr>
        <w:t xml:space="preserve"> </w:t>
      </w:r>
      <w:r w:rsidRPr="009167A5">
        <w:rPr>
          <w:i/>
          <w:lang w:val="en-US"/>
        </w:rPr>
        <w:t>Olmstead v. United States</w:t>
      </w:r>
      <w:r w:rsidRPr="0094243C">
        <w:rPr>
          <w:lang w:val="en-US"/>
        </w:rPr>
        <w:t>, 277 U.S. 438, 478 (1928) (</w:t>
      </w:r>
      <w:r w:rsidRPr="009E57E1">
        <w:rPr>
          <w:lang w:val="en-US"/>
        </w:rPr>
        <w:t xml:space="preserve">Dissens von Richter </w:t>
      </w:r>
      <w:r w:rsidRPr="00B45592">
        <w:rPr>
          <w:i/>
          <w:lang w:val="en-US"/>
        </w:rPr>
        <w:t>Brandeis</w:t>
      </w:r>
      <w:r w:rsidRPr="0094243C">
        <w:rPr>
          <w:lang w:val="en-US"/>
        </w:rPr>
        <w:t>)</w:t>
      </w:r>
      <w:r>
        <w:rPr>
          <w:lang w:val="en-US"/>
        </w:rPr>
        <w:t xml:space="preserve">; </w:t>
      </w:r>
      <w:r w:rsidRPr="009167A5">
        <w:rPr>
          <w:i/>
          <w:lang w:val="en-US"/>
        </w:rPr>
        <w:t>Griswold v. Connecticut</w:t>
      </w:r>
      <w:r w:rsidRPr="00541EBA">
        <w:rPr>
          <w:lang w:val="en-US"/>
        </w:rPr>
        <w:t>, 381 U.S. 479, 482 (1965)</w:t>
      </w:r>
      <w:r w:rsidRPr="0094243C">
        <w:rPr>
          <w:lang w:val="en-US"/>
        </w:rPr>
        <w:t xml:space="preserve">; </w:t>
      </w:r>
      <w:proofErr w:type="spellStart"/>
      <w:r>
        <w:rPr>
          <w:lang w:val="en-US"/>
        </w:rPr>
        <w:t>vgl</w:t>
      </w:r>
      <w:proofErr w:type="spellEnd"/>
      <w:r>
        <w:rPr>
          <w:lang w:val="en-US"/>
        </w:rPr>
        <w:t>.</w:t>
      </w:r>
      <w:r w:rsidRPr="0094243C">
        <w:rPr>
          <w:lang w:val="en-US"/>
        </w:rPr>
        <w:t xml:space="preserve"> </w:t>
      </w:r>
      <w:r w:rsidRPr="009E57E1">
        <w:rPr>
          <w:i/>
          <w:lang w:val="en-US"/>
        </w:rPr>
        <w:t>NAACP v. Alabama</w:t>
      </w:r>
      <w:r w:rsidRPr="0094243C">
        <w:rPr>
          <w:lang w:val="en-US"/>
        </w:rPr>
        <w:t xml:space="preserve">, 357 U.S. 449, 462 </w:t>
      </w:r>
    </w:p>
    <w:p w14:paraId="7976D610" w14:textId="77777777" w:rsidR="00074551" w:rsidRPr="0094243C" w:rsidRDefault="00074551" w:rsidP="00074551">
      <w:pPr>
        <w:pStyle w:val="Funotentext"/>
        <w:ind w:left="227" w:hanging="227"/>
        <w:rPr>
          <w:lang w:val="en-US"/>
        </w:rPr>
      </w:pPr>
      <w:r w:rsidRPr="0094243C">
        <w:rPr>
          <w:lang w:val="en-US"/>
        </w:rPr>
        <w:t>(1958)</w:t>
      </w:r>
      <w:r>
        <w:rPr>
          <w:lang w:val="en-US"/>
        </w:rPr>
        <w:t xml:space="preserve">; </w:t>
      </w:r>
      <w:r w:rsidRPr="009E57E1">
        <w:rPr>
          <w:i/>
          <w:lang w:val="en-US"/>
        </w:rPr>
        <w:t>Stanley v. Georgia</w:t>
      </w:r>
      <w:r w:rsidRPr="0094243C">
        <w:rPr>
          <w:lang w:val="en-US"/>
        </w:rPr>
        <w:t>, 394 U.S. 557, 564</w:t>
      </w:r>
      <w:r>
        <w:rPr>
          <w:lang w:val="en-US"/>
        </w:rPr>
        <w:t>–</w:t>
      </w:r>
      <w:r w:rsidRPr="0094243C">
        <w:rPr>
          <w:lang w:val="en-US"/>
        </w:rPr>
        <w:t>565</w:t>
      </w:r>
      <w:r>
        <w:rPr>
          <w:lang w:val="en-US"/>
        </w:rPr>
        <w:t xml:space="preserve"> = 89 S. Ct</w:t>
      </w:r>
      <w:r w:rsidRPr="0094243C">
        <w:rPr>
          <w:lang w:val="en-US"/>
        </w:rPr>
        <w:t>. 1243, 1248</w:t>
      </w:r>
      <w:r>
        <w:rPr>
          <w:lang w:val="en-US"/>
        </w:rPr>
        <w:t xml:space="preserve"> = 22 L. Ed. </w:t>
      </w:r>
      <w:r w:rsidRPr="0094243C">
        <w:rPr>
          <w:lang w:val="en-US"/>
        </w:rPr>
        <w:t>2d 542, 549</w:t>
      </w:r>
      <w:r>
        <w:rPr>
          <w:lang w:val="en-US"/>
        </w:rPr>
        <w:t xml:space="preserve"> = 1969 U.S. LEXIS </w:t>
      </w:r>
      <w:r w:rsidRPr="0094243C">
        <w:rPr>
          <w:lang w:val="en-US"/>
        </w:rPr>
        <w:t>1972, 15 (1969)</w:t>
      </w:r>
      <w:r>
        <w:rPr>
          <w:lang w:val="en-US"/>
        </w:rPr>
        <w:t>.</w:t>
      </w:r>
    </w:p>
  </w:footnote>
  <w:footnote w:id="863">
    <w:p w14:paraId="5EFF1E8B" w14:textId="77777777" w:rsidR="00074551" w:rsidRDefault="00074551" w:rsidP="00074551">
      <w:pPr>
        <w:pStyle w:val="Funotentext"/>
        <w:ind w:left="227" w:hanging="227"/>
        <w:rPr>
          <w:lang w:val="en-US"/>
        </w:rPr>
      </w:pPr>
      <w:r>
        <w:rPr>
          <w:rStyle w:val="Funotenzeichen"/>
          <w:rFonts w:eastAsiaTheme="majorEastAsia"/>
        </w:rPr>
        <w:footnoteRef/>
      </w:r>
      <w:r w:rsidRPr="0094243C">
        <w:rPr>
          <w:lang w:val="en-US"/>
        </w:rPr>
        <w:t xml:space="preserve"> </w:t>
      </w:r>
      <w:r w:rsidRPr="009167A5">
        <w:rPr>
          <w:i/>
          <w:lang w:val="en-US"/>
        </w:rPr>
        <w:t>Olmstead v. United States</w:t>
      </w:r>
      <w:r w:rsidRPr="0094243C">
        <w:rPr>
          <w:lang w:val="en-US"/>
        </w:rPr>
        <w:t>, 277 U.S. 438, 478 (1928) (</w:t>
      </w:r>
      <w:r w:rsidRPr="009E57E1">
        <w:rPr>
          <w:lang w:val="en-US"/>
        </w:rPr>
        <w:t xml:space="preserve">Dissens von Richter </w:t>
      </w:r>
      <w:r w:rsidRPr="00B45592">
        <w:rPr>
          <w:i/>
          <w:lang w:val="en-US"/>
        </w:rPr>
        <w:t>Brandeis</w:t>
      </w:r>
      <w:r w:rsidRPr="0094243C">
        <w:rPr>
          <w:lang w:val="en-US"/>
        </w:rPr>
        <w:t>)</w:t>
      </w:r>
      <w:r>
        <w:rPr>
          <w:lang w:val="en-US"/>
        </w:rPr>
        <w:t xml:space="preserve">; </w:t>
      </w:r>
      <w:r w:rsidRPr="009167A5">
        <w:rPr>
          <w:i/>
          <w:lang w:val="en-US"/>
        </w:rPr>
        <w:t>Griswold v. Connecticut</w:t>
      </w:r>
      <w:r w:rsidRPr="00541EBA">
        <w:rPr>
          <w:lang w:val="en-US"/>
        </w:rPr>
        <w:t>, 381 U.S. 479, 482 (1965)</w:t>
      </w:r>
      <w:r w:rsidRPr="0094243C">
        <w:rPr>
          <w:lang w:val="en-US"/>
        </w:rPr>
        <w:t xml:space="preserve">; </w:t>
      </w:r>
      <w:proofErr w:type="spellStart"/>
      <w:r>
        <w:rPr>
          <w:lang w:val="en-US"/>
        </w:rPr>
        <w:t>vgl</w:t>
      </w:r>
      <w:proofErr w:type="spellEnd"/>
      <w:r>
        <w:rPr>
          <w:lang w:val="en-US"/>
        </w:rPr>
        <w:t>.</w:t>
      </w:r>
      <w:r w:rsidRPr="0094243C">
        <w:rPr>
          <w:lang w:val="en-US"/>
        </w:rPr>
        <w:t xml:space="preserve"> </w:t>
      </w:r>
      <w:r w:rsidRPr="009E57E1">
        <w:rPr>
          <w:i/>
          <w:lang w:val="en-US"/>
        </w:rPr>
        <w:t>NAACP v. Alabama</w:t>
      </w:r>
      <w:r w:rsidRPr="0094243C">
        <w:rPr>
          <w:lang w:val="en-US"/>
        </w:rPr>
        <w:t xml:space="preserve">, 357 U.S. 449, 462 </w:t>
      </w:r>
    </w:p>
    <w:p w14:paraId="7C43A890" w14:textId="77777777" w:rsidR="00074551" w:rsidRPr="0094243C" w:rsidRDefault="00074551" w:rsidP="00074551">
      <w:pPr>
        <w:pStyle w:val="Funotentext"/>
        <w:ind w:left="227" w:hanging="227"/>
        <w:rPr>
          <w:lang w:val="en-US"/>
        </w:rPr>
      </w:pPr>
      <w:r w:rsidRPr="0094243C">
        <w:rPr>
          <w:lang w:val="en-US"/>
        </w:rPr>
        <w:t>(1958)</w:t>
      </w:r>
      <w:r>
        <w:rPr>
          <w:lang w:val="en-US"/>
        </w:rPr>
        <w:t xml:space="preserve">; </w:t>
      </w:r>
      <w:r w:rsidRPr="009E57E1">
        <w:rPr>
          <w:i/>
          <w:lang w:val="en-US"/>
        </w:rPr>
        <w:t>Stanley v. Georgia</w:t>
      </w:r>
      <w:r w:rsidRPr="0094243C">
        <w:rPr>
          <w:lang w:val="en-US"/>
        </w:rPr>
        <w:t>, 394 U.S. 557, 564</w:t>
      </w:r>
      <w:r>
        <w:rPr>
          <w:lang w:val="en-US"/>
        </w:rPr>
        <w:t>–</w:t>
      </w:r>
      <w:r w:rsidRPr="0094243C">
        <w:rPr>
          <w:lang w:val="en-US"/>
        </w:rPr>
        <w:t>565</w:t>
      </w:r>
      <w:r>
        <w:rPr>
          <w:lang w:val="en-US"/>
        </w:rPr>
        <w:t xml:space="preserve"> = 89 S. Ct</w:t>
      </w:r>
      <w:r w:rsidRPr="0094243C">
        <w:rPr>
          <w:lang w:val="en-US"/>
        </w:rPr>
        <w:t>. 1243, 1248</w:t>
      </w:r>
      <w:r>
        <w:rPr>
          <w:lang w:val="en-US"/>
        </w:rPr>
        <w:t xml:space="preserve"> = 22 L. Ed. </w:t>
      </w:r>
      <w:r w:rsidRPr="0094243C">
        <w:rPr>
          <w:lang w:val="en-US"/>
        </w:rPr>
        <w:t>2d 542, 549</w:t>
      </w:r>
      <w:r>
        <w:rPr>
          <w:lang w:val="en-US"/>
        </w:rPr>
        <w:t xml:space="preserve"> = 1969 U.S. LEXIS </w:t>
      </w:r>
      <w:r w:rsidRPr="0094243C">
        <w:rPr>
          <w:lang w:val="en-US"/>
        </w:rPr>
        <w:t>1972, 15 (1969)</w:t>
      </w:r>
      <w:r>
        <w:rPr>
          <w:lang w:val="en-US"/>
        </w:rPr>
        <w:t>.</w:t>
      </w:r>
    </w:p>
  </w:footnote>
  <w:footnote w:id="864">
    <w:p w14:paraId="4AA695FF" w14:textId="77777777" w:rsidR="00074551" w:rsidRPr="005B7D3D" w:rsidRDefault="00074551" w:rsidP="00074551">
      <w:pPr>
        <w:pStyle w:val="Funotentext"/>
        <w:rPr>
          <w:lang w:val="en-US"/>
        </w:rPr>
      </w:pPr>
      <w:r>
        <w:rPr>
          <w:rStyle w:val="Funotenzeichen"/>
          <w:rFonts w:eastAsiaTheme="majorEastAsia"/>
        </w:rPr>
        <w:footnoteRef/>
      </w:r>
      <w:r w:rsidRPr="005B7D3D">
        <w:rPr>
          <w:lang w:val="en-US"/>
        </w:rPr>
        <w:t xml:space="preserve"> </w:t>
      </w:r>
      <w:r w:rsidRPr="009E57E1">
        <w:rPr>
          <w:i/>
          <w:lang w:val="en-US"/>
        </w:rPr>
        <w:t>Stanley v. Georgia</w:t>
      </w:r>
      <w:r w:rsidRPr="005B7D3D">
        <w:rPr>
          <w:lang w:val="en-US"/>
        </w:rPr>
        <w:t>, 394 U.S. 557, 564</w:t>
      </w:r>
      <w:r>
        <w:rPr>
          <w:lang w:val="en-US"/>
        </w:rPr>
        <w:t xml:space="preserve"> = 89 S. Ct</w:t>
      </w:r>
      <w:r w:rsidRPr="005B7D3D">
        <w:rPr>
          <w:lang w:val="en-US"/>
        </w:rPr>
        <w:t>. 1243, 1248</w:t>
      </w:r>
      <w:r>
        <w:rPr>
          <w:lang w:val="en-US"/>
        </w:rPr>
        <w:t xml:space="preserve"> = 22 L. Ed. </w:t>
      </w:r>
      <w:r w:rsidRPr="005B7D3D">
        <w:rPr>
          <w:lang w:val="en-US"/>
        </w:rPr>
        <w:t>2d 542 (1969).</w:t>
      </w:r>
    </w:p>
  </w:footnote>
  <w:footnote w:id="865">
    <w:p w14:paraId="73D530E0" w14:textId="77777777" w:rsidR="00074551" w:rsidRPr="007117B8" w:rsidRDefault="00074551" w:rsidP="00074551">
      <w:pPr>
        <w:pStyle w:val="Funotentext"/>
        <w:spacing w:before="240"/>
        <w:rPr>
          <w:lang w:val="en-US"/>
        </w:rPr>
      </w:pPr>
      <w:r>
        <w:rPr>
          <w:rStyle w:val="Funotenzeichen"/>
          <w:rFonts w:eastAsiaTheme="majorEastAsia"/>
        </w:rPr>
        <w:footnoteRef/>
      </w:r>
      <w:r w:rsidRPr="007117B8">
        <w:rPr>
          <w:lang w:val="en-US"/>
        </w:rPr>
        <w:t xml:space="preserve"> </w:t>
      </w:r>
      <w:r w:rsidRPr="009167A5">
        <w:rPr>
          <w:i/>
          <w:lang w:val="en-US"/>
        </w:rPr>
        <w:t>Olmstead v. United States</w:t>
      </w:r>
      <w:r w:rsidRPr="007117B8">
        <w:rPr>
          <w:lang w:val="en-US"/>
        </w:rPr>
        <w:t>, 277 U.S. 438, 478</w:t>
      </w:r>
      <w:r>
        <w:rPr>
          <w:lang w:val="en-US"/>
        </w:rPr>
        <w:t xml:space="preserve"> = 48 S. Ct. </w:t>
      </w:r>
      <w:r w:rsidRPr="007117B8">
        <w:rPr>
          <w:lang w:val="en-US"/>
        </w:rPr>
        <w:t>564, 572</w:t>
      </w:r>
      <w:r>
        <w:rPr>
          <w:lang w:val="en-US"/>
        </w:rPr>
        <w:t xml:space="preserve"> =</w:t>
      </w:r>
      <w:r w:rsidRPr="007117B8">
        <w:rPr>
          <w:lang w:val="en-US"/>
        </w:rPr>
        <w:t xml:space="preserve"> 72 </w:t>
      </w:r>
      <w:r>
        <w:rPr>
          <w:lang w:val="en-US"/>
        </w:rPr>
        <w:t>L. Ed.</w:t>
      </w:r>
      <w:r w:rsidRPr="007117B8">
        <w:rPr>
          <w:lang w:val="en-US"/>
        </w:rPr>
        <w:t xml:space="preserve"> 944 (1928) (</w:t>
      </w:r>
      <w:r w:rsidRPr="009E57E1">
        <w:rPr>
          <w:lang w:val="en-US"/>
        </w:rPr>
        <w:t xml:space="preserve">Dissens von Richter </w:t>
      </w:r>
      <w:r w:rsidRPr="00B45592">
        <w:rPr>
          <w:i/>
          <w:lang w:val="en-US"/>
        </w:rPr>
        <w:t>Brandeis</w:t>
      </w:r>
      <w:r w:rsidRPr="007117B8">
        <w:rPr>
          <w:lang w:val="en-US"/>
        </w:rPr>
        <w:t>).</w:t>
      </w:r>
    </w:p>
  </w:footnote>
  <w:footnote w:id="866">
    <w:p w14:paraId="54C0E807" w14:textId="77777777" w:rsidR="00074551" w:rsidRPr="007117B8" w:rsidRDefault="00074551" w:rsidP="00074551">
      <w:pPr>
        <w:pStyle w:val="Funotentext"/>
        <w:rPr>
          <w:lang w:val="en-US"/>
        </w:rPr>
      </w:pPr>
      <w:r>
        <w:rPr>
          <w:rStyle w:val="Funotenzeichen"/>
          <w:rFonts w:eastAsiaTheme="majorEastAsia"/>
        </w:rPr>
        <w:footnoteRef/>
      </w:r>
      <w:r w:rsidRPr="007117B8">
        <w:rPr>
          <w:lang w:val="en-US"/>
        </w:rPr>
        <w:t xml:space="preserve"> Harvard Law Review (</w:t>
      </w:r>
      <w:proofErr w:type="spellStart"/>
      <w:r w:rsidRPr="007117B8">
        <w:rPr>
          <w:lang w:val="en-US"/>
        </w:rPr>
        <w:t>Jahrgang</w:t>
      </w:r>
      <w:proofErr w:type="spellEnd"/>
      <w:r w:rsidRPr="007117B8">
        <w:rPr>
          <w:lang w:val="en-US"/>
        </w:rPr>
        <w:t xml:space="preserve"> 4, Nr. 5).</w:t>
      </w:r>
    </w:p>
  </w:footnote>
  <w:footnote w:id="867">
    <w:p w14:paraId="0792288B" w14:textId="77777777" w:rsidR="00074551" w:rsidRPr="007117B8" w:rsidRDefault="00074551" w:rsidP="00074551">
      <w:pPr>
        <w:pStyle w:val="Funotentext"/>
        <w:rPr>
          <w:lang w:val="en-US"/>
        </w:rPr>
      </w:pPr>
      <w:r>
        <w:rPr>
          <w:rStyle w:val="Funotenzeichen"/>
          <w:rFonts w:eastAsiaTheme="majorEastAsia"/>
        </w:rPr>
        <w:footnoteRef/>
      </w:r>
      <w:r w:rsidRPr="007117B8">
        <w:rPr>
          <w:lang w:val="en-US"/>
        </w:rPr>
        <w:t xml:space="preserve"> </w:t>
      </w:r>
      <w:r w:rsidRPr="009167A5">
        <w:rPr>
          <w:i/>
          <w:lang w:val="en-US"/>
        </w:rPr>
        <w:t>Olmstead v. United States</w:t>
      </w:r>
      <w:r w:rsidRPr="007117B8">
        <w:rPr>
          <w:lang w:val="en-US"/>
        </w:rPr>
        <w:t>, 277 U.S. 438, 478</w:t>
      </w:r>
      <w:r>
        <w:rPr>
          <w:lang w:val="en-US"/>
        </w:rPr>
        <w:t xml:space="preserve"> = 48 S. Ct. </w:t>
      </w:r>
      <w:r w:rsidRPr="007117B8">
        <w:rPr>
          <w:lang w:val="en-US"/>
        </w:rPr>
        <w:t>564, 572</w:t>
      </w:r>
      <w:r>
        <w:rPr>
          <w:lang w:val="en-US"/>
        </w:rPr>
        <w:t xml:space="preserve"> =</w:t>
      </w:r>
      <w:r w:rsidRPr="007117B8">
        <w:rPr>
          <w:lang w:val="en-US"/>
        </w:rPr>
        <w:t xml:space="preserve"> 72 </w:t>
      </w:r>
      <w:r>
        <w:rPr>
          <w:lang w:val="en-US"/>
        </w:rPr>
        <w:t>L. Ed.</w:t>
      </w:r>
      <w:r w:rsidRPr="007117B8">
        <w:rPr>
          <w:lang w:val="en-US"/>
        </w:rPr>
        <w:t xml:space="preserve"> 944 (1928) (</w:t>
      </w:r>
      <w:r w:rsidRPr="009E57E1">
        <w:rPr>
          <w:lang w:val="en-US"/>
        </w:rPr>
        <w:t xml:space="preserve">Dissens von Richter </w:t>
      </w:r>
      <w:r w:rsidRPr="00B45592">
        <w:rPr>
          <w:i/>
          <w:lang w:val="en-US"/>
        </w:rPr>
        <w:t>Brandeis</w:t>
      </w:r>
      <w:r w:rsidRPr="007117B8">
        <w:rPr>
          <w:lang w:val="en-US"/>
        </w:rPr>
        <w:t>)</w:t>
      </w:r>
      <w:r>
        <w:rPr>
          <w:lang w:val="en-US"/>
        </w:rPr>
        <w:t xml:space="preserve">; </w:t>
      </w:r>
      <w:r w:rsidRPr="009E57E1">
        <w:rPr>
          <w:i/>
          <w:lang w:val="en-US"/>
        </w:rPr>
        <w:t>Stanley v. Georgia</w:t>
      </w:r>
      <w:r w:rsidRPr="007117B8">
        <w:rPr>
          <w:lang w:val="en-US"/>
        </w:rPr>
        <w:t>, 394 U.S. 557, 564</w:t>
      </w:r>
      <w:r>
        <w:rPr>
          <w:lang w:val="en-US"/>
        </w:rPr>
        <w:t xml:space="preserve"> = 89 S. Ct</w:t>
      </w:r>
      <w:r w:rsidRPr="007117B8">
        <w:rPr>
          <w:lang w:val="en-US"/>
        </w:rPr>
        <w:t>. 1243, 1248</w:t>
      </w:r>
      <w:r>
        <w:rPr>
          <w:lang w:val="en-US"/>
        </w:rPr>
        <w:t xml:space="preserve"> = 22 L. Ed. </w:t>
      </w:r>
      <w:r w:rsidRPr="007117B8">
        <w:rPr>
          <w:lang w:val="en-US"/>
        </w:rPr>
        <w:t>2d 542 (1969)</w:t>
      </w:r>
      <w:r>
        <w:rPr>
          <w:lang w:val="en-US"/>
        </w:rPr>
        <w:t>.</w:t>
      </w:r>
    </w:p>
  </w:footnote>
  <w:footnote w:id="868">
    <w:p w14:paraId="0D2A015D" w14:textId="77777777" w:rsidR="00074551" w:rsidRPr="00CC2534" w:rsidRDefault="00074551" w:rsidP="00074551">
      <w:pPr>
        <w:pStyle w:val="Funotentext"/>
        <w:rPr>
          <w:lang w:val="en-US"/>
        </w:rPr>
      </w:pPr>
      <w:r>
        <w:rPr>
          <w:rStyle w:val="Funotenzeichen"/>
          <w:rFonts w:eastAsiaTheme="majorEastAsia"/>
        </w:rPr>
        <w:footnoteRef/>
      </w:r>
      <w:r w:rsidRPr="00CC2534">
        <w:rPr>
          <w:lang w:val="en-US"/>
        </w:rPr>
        <w:t xml:space="preserve"> </w:t>
      </w:r>
      <w:r w:rsidRPr="009E57E1">
        <w:rPr>
          <w:i/>
          <w:lang w:val="en-US"/>
        </w:rPr>
        <w:t>Stanley v. Georgia</w:t>
      </w:r>
      <w:r w:rsidRPr="00CC2534">
        <w:rPr>
          <w:lang w:val="en-US"/>
        </w:rPr>
        <w:t xml:space="preserve"> 394 U.S. 557</w:t>
      </w:r>
      <w:r>
        <w:rPr>
          <w:lang w:val="en-US"/>
        </w:rPr>
        <w:t xml:space="preserve"> </w:t>
      </w:r>
      <w:r w:rsidRPr="007117B8">
        <w:rPr>
          <w:lang w:val="en-US"/>
        </w:rPr>
        <w:t>(1969)</w:t>
      </w:r>
      <w:r>
        <w:rPr>
          <w:lang w:val="en-US"/>
        </w:rPr>
        <w:t>.</w:t>
      </w:r>
    </w:p>
  </w:footnote>
  <w:footnote w:id="869">
    <w:p w14:paraId="1F830E5A" w14:textId="77777777" w:rsidR="00074551" w:rsidRPr="00CC2534" w:rsidRDefault="00074551" w:rsidP="00074551">
      <w:pPr>
        <w:pStyle w:val="Funotentext"/>
        <w:rPr>
          <w:lang w:val="en-US"/>
        </w:rPr>
      </w:pPr>
      <w:r>
        <w:rPr>
          <w:rStyle w:val="Funotenzeichen"/>
          <w:rFonts w:eastAsiaTheme="majorEastAsia"/>
        </w:rPr>
        <w:footnoteRef/>
      </w:r>
      <w:r w:rsidRPr="00CC2534">
        <w:rPr>
          <w:lang w:val="en-US"/>
        </w:rPr>
        <w:t xml:space="preserve"> </w:t>
      </w:r>
      <w:r w:rsidRPr="009E57E1">
        <w:rPr>
          <w:i/>
          <w:lang w:val="en-US"/>
        </w:rPr>
        <w:t>Stanley v. Georgia</w:t>
      </w:r>
      <w:r w:rsidRPr="00CC2534">
        <w:rPr>
          <w:lang w:val="en-US"/>
        </w:rPr>
        <w:t xml:space="preserve"> 394 U.S. 557</w:t>
      </w:r>
      <w:r>
        <w:rPr>
          <w:lang w:val="en-US"/>
        </w:rPr>
        <w:t xml:space="preserve"> </w:t>
      </w:r>
      <w:r w:rsidRPr="007117B8">
        <w:rPr>
          <w:lang w:val="en-US"/>
        </w:rPr>
        <w:t>(1969)</w:t>
      </w:r>
      <w:r>
        <w:rPr>
          <w:lang w:val="en-US"/>
        </w:rPr>
        <w:t>.</w:t>
      </w:r>
    </w:p>
  </w:footnote>
  <w:footnote w:id="870">
    <w:p w14:paraId="01CA43B4" w14:textId="77777777" w:rsidR="00074551" w:rsidRPr="00F32029" w:rsidRDefault="00074551" w:rsidP="00074551">
      <w:pPr>
        <w:pStyle w:val="Funotentext"/>
        <w:rPr>
          <w:lang w:val="en-US"/>
        </w:rPr>
      </w:pPr>
      <w:r>
        <w:rPr>
          <w:rStyle w:val="Funotenzeichen"/>
        </w:rPr>
        <w:footnoteRef/>
      </w:r>
      <w:r w:rsidRPr="00F32029">
        <w:rPr>
          <w:lang w:val="en-US"/>
        </w:rPr>
        <w:t xml:space="preserve"> </w:t>
      </w:r>
      <w:r w:rsidRPr="009E57E1">
        <w:rPr>
          <w:i/>
          <w:lang w:val="en-US"/>
        </w:rPr>
        <w:t>Herbert v. Lando</w:t>
      </w:r>
      <w:r w:rsidRPr="00F32029">
        <w:rPr>
          <w:lang w:val="en-US"/>
        </w:rPr>
        <w:t>, 441 U.S. 153, 155</w:t>
      </w:r>
      <w:r>
        <w:rPr>
          <w:lang w:val="en-US"/>
        </w:rPr>
        <w:t xml:space="preserve"> = 99 S. Ct. </w:t>
      </w:r>
      <w:r w:rsidRPr="00F32029">
        <w:rPr>
          <w:lang w:val="en-US"/>
        </w:rPr>
        <w:t>1635, 1638</w:t>
      </w:r>
      <w:r>
        <w:rPr>
          <w:lang w:val="en-US"/>
        </w:rPr>
        <w:t xml:space="preserve"> = 60 L. Ed. </w:t>
      </w:r>
      <w:r w:rsidRPr="00F32029">
        <w:rPr>
          <w:lang w:val="en-US"/>
        </w:rPr>
        <w:t>2d 115, 121</w:t>
      </w:r>
      <w:r>
        <w:rPr>
          <w:lang w:val="en-US"/>
        </w:rPr>
        <w:t xml:space="preserve"> = 1979 U.S. LEXIS </w:t>
      </w:r>
      <w:r w:rsidRPr="00F32029">
        <w:rPr>
          <w:lang w:val="en-US"/>
        </w:rPr>
        <w:t>88, 1</w:t>
      </w:r>
      <w:r>
        <w:rPr>
          <w:lang w:val="en-US"/>
        </w:rPr>
        <w:t xml:space="preserve"> = 27 Fed. R. </w:t>
      </w:r>
      <w:r w:rsidRPr="00F32029">
        <w:rPr>
          <w:lang w:val="en-US"/>
        </w:rPr>
        <w:t>Serv. 2d (Callaghan) 1</w:t>
      </w:r>
      <w:r>
        <w:rPr>
          <w:lang w:val="en-US"/>
        </w:rPr>
        <w:t xml:space="preserve"> = 3 Fed. R. </w:t>
      </w:r>
      <w:r w:rsidRPr="00F32029">
        <w:rPr>
          <w:lang w:val="en-US"/>
        </w:rPr>
        <w:t>Evid. Serv. (Callaghan) 822</w:t>
      </w:r>
      <w:r>
        <w:rPr>
          <w:lang w:val="en-US"/>
        </w:rPr>
        <w:t xml:space="preserve"> = 4 Media L. </w:t>
      </w:r>
      <w:r w:rsidRPr="00F32029">
        <w:rPr>
          <w:lang w:val="en-US"/>
        </w:rPr>
        <w:t>Rep. 2575 (1979)</w:t>
      </w:r>
      <w:r>
        <w:rPr>
          <w:lang w:val="en-US"/>
        </w:rPr>
        <w:t>.</w:t>
      </w:r>
    </w:p>
  </w:footnote>
  <w:footnote w:id="871">
    <w:p w14:paraId="4793FBED" w14:textId="77777777" w:rsidR="00074551" w:rsidRPr="00F32029" w:rsidRDefault="00074551" w:rsidP="00074551">
      <w:pPr>
        <w:pStyle w:val="Funotentext"/>
        <w:rPr>
          <w:lang w:val="en-US"/>
        </w:rPr>
      </w:pPr>
      <w:r>
        <w:rPr>
          <w:rStyle w:val="Funotenzeichen"/>
        </w:rPr>
        <w:footnoteRef/>
      </w:r>
      <w:r w:rsidRPr="00F32029">
        <w:rPr>
          <w:lang w:val="en-US"/>
        </w:rPr>
        <w:t xml:space="preserve"> </w:t>
      </w:r>
      <w:r w:rsidRPr="009E57E1">
        <w:rPr>
          <w:i/>
          <w:lang w:val="en-US"/>
        </w:rPr>
        <w:t>Herbert v. Lando</w:t>
      </w:r>
      <w:r w:rsidRPr="00F32029">
        <w:rPr>
          <w:lang w:val="en-US"/>
        </w:rPr>
        <w:t>, 441 U.S. 153, 160</w:t>
      </w:r>
      <w:r>
        <w:rPr>
          <w:lang w:val="en-US"/>
        </w:rPr>
        <w:t xml:space="preserve"> = 99 S. Ct. </w:t>
      </w:r>
      <w:r w:rsidRPr="00F32029">
        <w:rPr>
          <w:lang w:val="en-US"/>
        </w:rPr>
        <w:t>1635, 1641</w:t>
      </w:r>
      <w:r>
        <w:rPr>
          <w:lang w:val="en-US"/>
        </w:rPr>
        <w:t xml:space="preserve"> = 60 L. Ed. </w:t>
      </w:r>
      <w:r w:rsidRPr="00F32029">
        <w:rPr>
          <w:lang w:val="en-US"/>
        </w:rPr>
        <w:t>2d 115, 124</w:t>
      </w:r>
      <w:r>
        <w:rPr>
          <w:lang w:val="en-US"/>
        </w:rPr>
        <w:t xml:space="preserve"> = 1979 U.S. LEXIS </w:t>
      </w:r>
      <w:r w:rsidRPr="00F32029">
        <w:rPr>
          <w:lang w:val="en-US"/>
        </w:rPr>
        <w:t>88, 15</w:t>
      </w:r>
      <w:r>
        <w:rPr>
          <w:lang w:val="en-US"/>
        </w:rPr>
        <w:t xml:space="preserve"> = 27 Fed. R. </w:t>
      </w:r>
      <w:r w:rsidRPr="00F32029">
        <w:rPr>
          <w:lang w:val="en-US"/>
        </w:rPr>
        <w:t>Serv. 2d (Callaghan) 1</w:t>
      </w:r>
      <w:r>
        <w:rPr>
          <w:lang w:val="en-US"/>
        </w:rPr>
        <w:t xml:space="preserve"> = 3 Fed. R. </w:t>
      </w:r>
      <w:r w:rsidRPr="00F32029">
        <w:rPr>
          <w:lang w:val="en-US"/>
        </w:rPr>
        <w:t>Evid. Serv. (Callaghan) 822</w:t>
      </w:r>
      <w:r>
        <w:rPr>
          <w:lang w:val="en-US"/>
        </w:rPr>
        <w:t xml:space="preserve"> = 4 Media L. </w:t>
      </w:r>
      <w:r w:rsidRPr="00F32029">
        <w:rPr>
          <w:lang w:val="en-US"/>
        </w:rPr>
        <w:t>Rep. 2575 (1979)</w:t>
      </w:r>
      <w:r>
        <w:rPr>
          <w:lang w:val="en-US"/>
        </w:rPr>
        <w:t>.</w:t>
      </w:r>
    </w:p>
  </w:footnote>
  <w:footnote w:id="872">
    <w:p w14:paraId="13347B09" w14:textId="77777777" w:rsidR="00074551" w:rsidRPr="00FF4E3F" w:rsidRDefault="00074551" w:rsidP="00074551">
      <w:pPr>
        <w:pStyle w:val="Funotentext"/>
        <w:rPr>
          <w:lang w:val="en-US"/>
        </w:rPr>
      </w:pPr>
      <w:r>
        <w:rPr>
          <w:rStyle w:val="Funotenzeichen"/>
        </w:rPr>
        <w:footnoteRef/>
      </w:r>
      <w:r w:rsidRPr="00FF4E3F">
        <w:rPr>
          <w:lang w:val="en-US"/>
        </w:rPr>
        <w:t xml:space="preserve"> </w:t>
      </w:r>
      <w:r w:rsidRPr="009E57E1">
        <w:rPr>
          <w:i/>
          <w:lang w:val="en-US"/>
        </w:rPr>
        <w:t>Herbert v. Lando</w:t>
      </w:r>
      <w:r w:rsidRPr="00FF4E3F">
        <w:rPr>
          <w:lang w:val="en-US"/>
        </w:rPr>
        <w:t>, 441 U.S. 153, 163</w:t>
      </w:r>
      <w:r>
        <w:rPr>
          <w:lang w:val="en-US"/>
        </w:rPr>
        <w:t xml:space="preserve"> = 99 S. Ct. </w:t>
      </w:r>
      <w:r w:rsidRPr="00FF4E3F">
        <w:rPr>
          <w:lang w:val="en-US"/>
        </w:rPr>
        <w:t>1635, 1642</w:t>
      </w:r>
      <w:r>
        <w:rPr>
          <w:lang w:val="en-US"/>
        </w:rPr>
        <w:t xml:space="preserve"> = 60 L. Ed. </w:t>
      </w:r>
      <w:r w:rsidRPr="00FF4E3F">
        <w:rPr>
          <w:lang w:val="en-US"/>
        </w:rPr>
        <w:t>2d 115, 125</w:t>
      </w:r>
      <w:r>
        <w:rPr>
          <w:lang w:val="en-US"/>
        </w:rPr>
        <w:t xml:space="preserve"> = 1979 U.S. LEXIS </w:t>
      </w:r>
      <w:r w:rsidRPr="00FF4E3F">
        <w:rPr>
          <w:lang w:val="en-US"/>
        </w:rPr>
        <w:t>88, 18</w:t>
      </w:r>
      <w:r>
        <w:rPr>
          <w:lang w:val="en-US"/>
        </w:rPr>
        <w:t xml:space="preserve"> = 27 Fed. R. </w:t>
      </w:r>
      <w:r w:rsidRPr="00FF4E3F">
        <w:rPr>
          <w:lang w:val="en-US"/>
        </w:rPr>
        <w:t>Serv. 2d (Callaghan) 1</w:t>
      </w:r>
      <w:r>
        <w:rPr>
          <w:lang w:val="en-US"/>
        </w:rPr>
        <w:t xml:space="preserve"> = 3 Fed. R. </w:t>
      </w:r>
      <w:r w:rsidRPr="00FF4E3F">
        <w:rPr>
          <w:lang w:val="en-US"/>
        </w:rPr>
        <w:t>Evid. Serv. (Callaghan) 822</w:t>
      </w:r>
      <w:r>
        <w:rPr>
          <w:lang w:val="en-US"/>
        </w:rPr>
        <w:t xml:space="preserve"> = 4 Media L. </w:t>
      </w:r>
      <w:r w:rsidRPr="00FF4E3F">
        <w:rPr>
          <w:lang w:val="en-US"/>
        </w:rPr>
        <w:t>Rep. 2575 (1979)</w:t>
      </w:r>
      <w:r>
        <w:rPr>
          <w:lang w:val="en-US"/>
        </w:rPr>
        <w:t>.</w:t>
      </w:r>
    </w:p>
  </w:footnote>
  <w:footnote w:id="873">
    <w:p w14:paraId="5F60BAC5" w14:textId="77777777" w:rsidR="00074551" w:rsidRPr="00737C14" w:rsidRDefault="00074551" w:rsidP="00074551">
      <w:pPr>
        <w:pStyle w:val="Funotentext"/>
        <w:rPr>
          <w:lang w:val="en-US"/>
        </w:rPr>
      </w:pPr>
      <w:r>
        <w:rPr>
          <w:rStyle w:val="Funotenzeichen"/>
        </w:rPr>
        <w:footnoteRef/>
      </w:r>
      <w:r w:rsidRPr="00737C14">
        <w:rPr>
          <w:lang w:val="en-US"/>
        </w:rPr>
        <w:t xml:space="preserve"> </w:t>
      </w:r>
      <w:r w:rsidRPr="009E57E1">
        <w:rPr>
          <w:i/>
          <w:lang w:val="en-US"/>
        </w:rPr>
        <w:t>Herbert v. Lando</w:t>
      </w:r>
      <w:r w:rsidRPr="00737C14">
        <w:rPr>
          <w:lang w:val="en-US"/>
        </w:rPr>
        <w:t>, 441 U.S. 153, 163</w:t>
      </w:r>
      <w:r>
        <w:rPr>
          <w:lang w:val="en-US"/>
        </w:rPr>
        <w:t xml:space="preserve"> = 99 S. Ct. </w:t>
      </w:r>
      <w:r w:rsidRPr="00737C14">
        <w:rPr>
          <w:lang w:val="en-US"/>
        </w:rPr>
        <w:t>1635, 1642</w:t>
      </w:r>
      <w:r>
        <w:rPr>
          <w:lang w:val="en-US"/>
        </w:rPr>
        <w:t xml:space="preserve"> = 60 L. Ed. </w:t>
      </w:r>
      <w:r w:rsidRPr="00737C14">
        <w:rPr>
          <w:lang w:val="en-US"/>
        </w:rPr>
        <w:t>2d 115, 125</w:t>
      </w:r>
      <w:r>
        <w:rPr>
          <w:lang w:val="en-US"/>
        </w:rPr>
        <w:t xml:space="preserve"> = 1979 U.S. LEXIS </w:t>
      </w:r>
      <w:r w:rsidRPr="00737C14">
        <w:rPr>
          <w:lang w:val="en-US"/>
        </w:rPr>
        <w:t>88, 18</w:t>
      </w:r>
      <w:r>
        <w:rPr>
          <w:lang w:val="en-US"/>
        </w:rPr>
        <w:t xml:space="preserve"> = 27 Fed. R. </w:t>
      </w:r>
      <w:r w:rsidRPr="00737C14">
        <w:rPr>
          <w:lang w:val="en-US"/>
        </w:rPr>
        <w:t>Serv. 2d (Callaghan) 1</w:t>
      </w:r>
      <w:r>
        <w:rPr>
          <w:lang w:val="en-US"/>
        </w:rPr>
        <w:t xml:space="preserve"> = 3 Fed. R. </w:t>
      </w:r>
      <w:r w:rsidRPr="00737C14">
        <w:rPr>
          <w:lang w:val="en-US"/>
        </w:rPr>
        <w:t>Evid. Serv. (Callaghan) 822</w:t>
      </w:r>
      <w:r>
        <w:rPr>
          <w:lang w:val="en-US"/>
        </w:rPr>
        <w:t xml:space="preserve"> = 4 Media L. </w:t>
      </w:r>
      <w:r w:rsidRPr="00737C14">
        <w:rPr>
          <w:lang w:val="en-US"/>
        </w:rPr>
        <w:t>Rep. 2575 (1979)</w:t>
      </w:r>
      <w:r>
        <w:rPr>
          <w:lang w:val="en-US"/>
        </w:rPr>
        <w:t>.</w:t>
      </w:r>
    </w:p>
  </w:footnote>
  <w:footnote w:id="874">
    <w:p w14:paraId="1CEA01BE" w14:textId="77777777" w:rsidR="00074551" w:rsidRPr="00FF4E3F" w:rsidRDefault="00074551" w:rsidP="00074551">
      <w:pPr>
        <w:pStyle w:val="Funotentext"/>
        <w:rPr>
          <w:lang w:val="en-US"/>
        </w:rPr>
      </w:pPr>
      <w:r>
        <w:rPr>
          <w:rStyle w:val="Funotenzeichen"/>
        </w:rPr>
        <w:footnoteRef/>
      </w:r>
      <w:r w:rsidRPr="00FF4E3F">
        <w:rPr>
          <w:lang w:val="en-US"/>
        </w:rPr>
        <w:t xml:space="preserve"> </w:t>
      </w:r>
      <w:r w:rsidRPr="00B45592">
        <w:rPr>
          <w:i/>
          <w:lang w:val="en-US"/>
        </w:rPr>
        <w:t>Nalle v. Oyster</w:t>
      </w:r>
      <w:r w:rsidRPr="00FF4E3F">
        <w:rPr>
          <w:lang w:val="en-US"/>
        </w:rPr>
        <w:t>, 230 U.S. 165, 179</w:t>
      </w:r>
      <w:r>
        <w:rPr>
          <w:lang w:val="en-US"/>
        </w:rPr>
        <w:t>–</w:t>
      </w:r>
      <w:r w:rsidRPr="00FF4E3F">
        <w:rPr>
          <w:lang w:val="en-US"/>
        </w:rPr>
        <w:t xml:space="preserve">180 (1913); </w:t>
      </w:r>
      <w:r w:rsidRPr="009E57E1">
        <w:rPr>
          <w:i/>
          <w:lang w:val="en-US"/>
        </w:rPr>
        <w:t>White v. Nicholls</w:t>
      </w:r>
      <w:r w:rsidRPr="00FF4E3F">
        <w:rPr>
          <w:lang w:val="en-US"/>
        </w:rPr>
        <w:t>, 3 How. 266, 286</w:t>
      </w:r>
      <w:r>
        <w:rPr>
          <w:lang w:val="en-US"/>
        </w:rPr>
        <w:t>–</w:t>
      </w:r>
      <w:r w:rsidRPr="00FF4E3F">
        <w:rPr>
          <w:lang w:val="en-US"/>
        </w:rPr>
        <w:t>292 (1845</w:t>
      </w:r>
      <w:r w:rsidRPr="009E57E1">
        <w:rPr>
          <w:lang w:val="en-US"/>
        </w:rPr>
        <w:t xml:space="preserve">); </w:t>
      </w:r>
      <w:proofErr w:type="spellStart"/>
      <w:r w:rsidRPr="00B45592">
        <w:rPr>
          <w:i/>
          <w:lang w:val="en-US"/>
        </w:rPr>
        <w:t>Plucknett</w:t>
      </w:r>
      <w:proofErr w:type="spellEnd"/>
      <w:r w:rsidRPr="009E57E1">
        <w:rPr>
          <w:lang w:val="en-US"/>
        </w:rPr>
        <w:t>,</w:t>
      </w:r>
      <w:r w:rsidRPr="00FF4E3F">
        <w:rPr>
          <w:lang w:val="en-US"/>
        </w:rPr>
        <w:t xml:space="preserve"> A Concise History of the Common Law 502 (</w:t>
      </w:r>
      <w:r>
        <w:rPr>
          <w:lang w:val="en-US"/>
        </w:rPr>
        <w:t xml:space="preserve">5. </w:t>
      </w:r>
      <w:proofErr w:type="spellStart"/>
      <w:r>
        <w:rPr>
          <w:lang w:val="en-US"/>
        </w:rPr>
        <w:t>Aufl</w:t>
      </w:r>
      <w:proofErr w:type="spellEnd"/>
      <w:r>
        <w:rPr>
          <w:lang w:val="en-US"/>
        </w:rPr>
        <w:t>.,</w:t>
      </w:r>
      <w:r w:rsidRPr="00FF4E3F">
        <w:rPr>
          <w:lang w:val="en-US"/>
        </w:rPr>
        <w:t xml:space="preserve"> 1956); </w:t>
      </w:r>
      <w:r w:rsidRPr="00B45592">
        <w:rPr>
          <w:i/>
          <w:lang w:val="en-US"/>
        </w:rPr>
        <w:t>Hallen</w:t>
      </w:r>
      <w:r w:rsidRPr="00FF4E3F">
        <w:rPr>
          <w:lang w:val="en-US"/>
        </w:rPr>
        <w:t xml:space="preserve">, Character of Belief Necessary for the Conditional Privilege in Defamation, 25 Ill. L. Rev. 865 (1931). In </w:t>
      </w:r>
      <w:r w:rsidRPr="009E57E1">
        <w:rPr>
          <w:i/>
          <w:lang w:val="en-US"/>
        </w:rPr>
        <w:t>White v. Nicholls</w:t>
      </w:r>
      <w:r w:rsidRPr="00FF4E3F">
        <w:rPr>
          <w:lang w:val="en-US"/>
        </w:rPr>
        <w:t xml:space="preserve">, </w:t>
      </w:r>
      <w:r w:rsidRPr="00B45592">
        <w:rPr>
          <w:lang w:val="en-IE"/>
        </w:rPr>
        <w:t xml:space="preserve">44 U.S. 266, </w:t>
      </w:r>
      <w:r w:rsidRPr="00FF4E3F">
        <w:rPr>
          <w:lang w:val="en-US"/>
        </w:rPr>
        <w:t>290</w:t>
      </w:r>
      <w:r>
        <w:rPr>
          <w:lang w:val="en-US"/>
        </w:rPr>
        <w:t>–</w:t>
      </w:r>
      <w:r w:rsidRPr="00FF4E3F">
        <w:rPr>
          <w:lang w:val="en-US"/>
        </w:rPr>
        <w:t>291</w:t>
      </w:r>
      <w:r>
        <w:rPr>
          <w:lang w:val="en-US"/>
        </w:rPr>
        <w:t xml:space="preserve">; </w:t>
      </w:r>
      <w:r w:rsidRPr="009E57E1">
        <w:rPr>
          <w:i/>
          <w:lang w:val="en-US"/>
        </w:rPr>
        <w:t>Herbert v. Lando</w:t>
      </w:r>
      <w:r w:rsidRPr="00FF4E3F">
        <w:rPr>
          <w:lang w:val="en-US"/>
        </w:rPr>
        <w:t>, 441 U.S. 153, 163</w:t>
      </w:r>
      <w:r>
        <w:rPr>
          <w:lang w:val="en-US"/>
        </w:rPr>
        <w:t xml:space="preserve"> = 99 S. Ct. </w:t>
      </w:r>
      <w:r w:rsidRPr="00FF4E3F">
        <w:rPr>
          <w:lang w:val="en-US"/>
        </w:rPr>
        <w:t>1635, 1642</w:t>
      </w:r>
      <w:r>
        <w:rPr>
          <w:lang w:val="en-US"/>
        </w:rPr>
        <w:t xml:space="preserve"> = 60 L. Ed. </w:t>
      </w:r>
      <w:r w:rsidRPr="00FF4E3F">
        <w:rPr>
          <w:lang w:val="en-US"/>
        </w:rPr>
        <w:t>2d 115, 125</w:t>
      </w:r>
      <w:r>
        <w:rPr>
          <w:lang w:val="en-US"/>
        </w:rPr>
        <w:t xml:space="preserve"> = 1979 U.S. LEXIS </w:t>
      </w:r>
      <w:r w:rsidRPr="00FF4E3F">
        <w:rPr>
          <w:lang w:val="en-US"/>
        </w:rPr>
        <w:t>88, 18</w:t>
      </w:r>
      <w:r>
        <w:rPr>
          <w:lang w:val="en-US"/>
        </w:rPr>
        <w:t xml:space="preserve"> = 27 Fed. R. </w:t>
      </w:r>
      <w:r w:rsidRPr="00FF4E3F">
        <w:rPr>
          <w:lang w:val="en-US"/>
        </w:rPr>
        <w:t>Serv. 2d (Callaghan) 1</w:t>
      </w:r>
      <w:r>
        <w:rPr>
          <w:lang w:val="en-US"/>
        </w:rPr>
        <w:t xml:space="preserve"> = 3 Fed. R. </w:t>
      </w:r>
      <w:r w:rsidRPr="00FF4E3F">
        <w:rPr>
          <w:lang w:val="en-US"/>
        </w:rPr>
        <w:t>Evid. Serv. (Callaghan) 822</w:t>
      </w:r>
      <w:r>
        <w:rPr>
          <w:lang w:val="en-US"/>
        </w:rPr>
        <w:t xml:space="preserve"> = 4 Media L. </w:t>
      </w:r>
      <w:r w:rsidRPr="00FF4E3F">
        <w:rPr>
          <w:lang w:val="en-US"/>
        </w:rPr>
        <w:t>Rep. 2575 (1979)</w:t>
      </w:r>
      <w:r>
        <w:rPr>
          <w:lang w:val="en-US"/>
        </w:rPr>
        <w:t>.</w:t>
      </w:r>
    </w:p>
  </w:footnote>
  <w:footnote w:id="875">
    <w:p w14:paraId="58519842" w14:textId="77777777" w:rsidR="00074551" w:rsidRPr="00A06CF9" w:rsidRDefault="00074551" w:rsidP="00074551">
      <w:pPr>
        <w:pStyle w:val="Funotentext"/>
        <w:rPr>
          <w:lang w:val="en-US"/>
        </w:rPr>
      </w:pPr>
      <w:r>
        <w:rPr>
          <w:rStyle w:val="Funotenzeichen"/>
        </w:rPr>
        <w:footnoteRef/>
      </w:r>
      <w:r w:rsidRPr="00A06CF9">
        <w:rPr>
          <w:lang w:val="en-US"/>
        </w:rPr>
        <w:t xml:space="preserve"> </w:t>
      </w:r>
      <w:r w:rsidRPr="009E57E1">
        <w:rPr>
          <w:i/>
          <w:lang w:val="en-US"/>
        </w:rPr>
        <w:t>Siegert v. Gilley</w:t>
      </w:r>
      <w:r w:rsidRPr="00A06CF9">
        <w:rPr>
          <w:lang w:val="en-US"/>
        </w:rPr>
        <w:t>, 500 U.S. 226, 227</w:t>
      </w:r>
      <w:r>
        <w:rPr>
          <w:lang w:val="en-US"/>
        </w:rPr>
        <w:t xml:space="preserve"> = 111 S. Ct. </w:t>
      </w:r>
      <w:r w:rsidRPr="00A06CF9">
        <w:rPr>
          <w:lang w:val="en-US"/>
        </w:rPr>
        <w:t>1789, 1791</w:t>
      </w:r>
      <w:r>
        <w:rPr>
          <w:lang w:val="en-US"/>
        </w:rPr>
        <w:t xml:space="preserve"> = 114 L. Ed. </w:t>
      </w:r>
      <w:r w:rsidRPr="00A06CF9">
        <w:rPr>
          <w:lang w:val="en-US"/>
        </w:rPr>
        <w:t>2d 277, 284</w:t>
      </w:r>
      <w:r>
        <w:rPr>
          <w:lang w:val="en-US"/>
        </w:rPr>
        <w:t xml:space="preserve"> = 1991 U.S. LEXIS </w:t>
      </w:r>
      <w:r w:rsidRPr="00A06CF9">
        <w:rPr>
          <w:lang w:val="en-US"/>
        </w:rPr>
        <w:t>2909, 1</w:t>
      </w:r>
      <w:r>
        <w:rPr>
          <w:lang w:val="en-US"/>
        </w:rPr>
        <w:t xml:space="preserve"> = 59 U.S.L.W</w:t>
      </w:r>
      <w:r w:rsidRPr="00A06CF9">
        <w:rPr>
          <w:lang w:val="en-US"/>
        </w:rPr>
        <w:t>. 4465</w:t>
      </w:r>
      <w:r>
        <w:rPr>
          <w:lang w:val="en-US"/>
        </w:rPr>
        <w:t xml:space="preserve"> = 6 I.E.R. </w:t>
      </w:r>
      <w:r w:rsidRPr="00A06CF9">
        <w:rPr>
          <w:lang w:val="en-US"/>
        </w:rPr>
        <w:t>Cas. (BNA) 705</w:t>
      </w:r>
      <w:r>
        <w:rPr>
          <w:lang w:val="en-US"/>
        </w:rPr>
        <w:t xml:space="preserve"> = 91 Cal. Daily Op</w:t>
      </w:r>
      <w:r w:rsidRPr="00A06CF9">
        <w:rPr>
          <w:lang w:val="en-US"/>
        </w:rPr>
        <w:t>. Service 3724</w:t>
      </w:r>
      <w:r>
        <w:rPr>
          <w:lang w:val="en-US"/>
        </w:rPr>
        <w:t xml:space="preserve"> = 91 Daily Journal DAR </w:t>
      </w:r>
      <w:r w:rsidRPr="00A06CF9">
        <w:rPr>
          <w:lang w:val="en-US"/>
        </w:rPr>
        <w:t>6023 (1991)</w:t>
      </w:r>
      <w:r>
        <w:rPr>
          <w:lang w:val="en-US"/>
        </w:rPr>
        <w:t>.</w:t>
      </w:r>
    </w:p>
  </w:footnote>
  <w:footnote w:id="876">
    <w:p w14:paraId="4D4B0BB2" w14:textId="77777777" w:rsidR="00074551" w:rsidRPr="00A06CF9" w:rsidRDefault="00074551" w:rsidP="00074551">
      <w:pPr>
        <w:pStyle w:val="Funotentext"/>
        <w:rPr>
          <w:lang w:val="en-US"/>
        </w:rPr>
      </w:pPr>
      <w:r>
        <w:rPr>
          <w:rStyle w:val="Funotenzeichen"/>
        </w:rPr>
        <w:footnoteRef/>
      </w:r>
      <w:r w:rsidRPr="00A06CF9">
        <w:rPr>
          <w:lang w:val="en-US"/>
        </w:rPr>
        <w:t xml:space="preserve"> </w:t>
      </w:r>
      <w:r w:rsidRPr="009E57E1">
        <w:rPr>
          <w:i/>
          <w:lang w:val="en-US"/>
        </w:rPr>
        <w:t>Siegert v. Gilley</w:t>
      </w:r>
      <w:r w:rsidRPr="00A06CF9">
        <w:rPr>
          <w:lang w:val="en-US"/>
        </w:rPr>
        <w:t>, 500 U.S. 226, 227</w:t>
      </w:r>
      <w:r>
        <w:rPr>
          <w:lang w:val="en-US"/>
        </w:rPr>
        <w:t xml:space="preserve"> = 111 S. Ct. </w:t>
      </w:r>
      <w:r w:rsidRPr="00A06CF9">
        <w:rPr>
          <w:lang w:val="en-US"/>
        </w:rPr>
        <w:t>1789, 1791</w:t>
      </w:r>
      <w:r>
        <w:rPr>
          <w:lang w:val="en-US"/>
        </w:rPr>
        <w:t xml:space="preserve"> = 114 L. Ed. </w:t>
      </w:r>
      <w:r w:rsidRPr="00A06CF9">
        <w:rPr>
          <w:lang w:val="en-US"/>
        </w:rPr>
        <w:t>2d 277, 284</w:t>
      </w:r>
      <w:r>
        <w:rPr>
          <w:lang w:val="en-US"/>
        </w:rPr>
        <w:t xml:space="preserve"> = 1991 U.S. LEXIS </w:t>
      </w:r>
      <w:r w:rsidRPr="00A06CF9">
        <w:rPr>
          <w:lang w:val="en-US"/>
        </w:rPr>
        <w:t>2909, 1</w:t>
      </w:r>
      <w:r>
        <w:rPr>
          <w:lang w:val="en-US"/>
        </w:rPr>
        <w:t xml:space="preserve"> = 59 U.S.L.W</w:t>
      </w:r>
      <w:r w:rsidRPr="00A06CF9">
        <w:rPr>
          <w:lang w:val="en-US"/>
        </w:rPr>
        <w:t>. 4465</w:t>
      </w:r>
      <w:r>
        <w:rPr>
          <w:lang w:val="en-US"/>
        </w:rPr>
        <w:t xml:space="preserve"> = 6 I.E.R. </w:t>
      </w:r>
      <w:r w:rsidRPr="00A06CF9">
        <w:rPr>
          <w:lang w:val="en-US"/>
        </w:rPr>
        <w:t>Cas. (BNA) 705</w:t>
      </w:r>
      <w:r>
        <w:rPr>
          <w:lang w:val="en-US"/>
        </w:rPr>
        <w:t xml:space="preserve"> = 91 Cal. Daily Op</w:t>
      </w:r>
      <w:r w:rsidRPr="00A06CF9">
        <w:rPr>
          <w:lang w:val="en-US"/>
        </w:rPr>
        <w:t>. Service 3724</w:t>
      </w:r>
      <w:r>
        <w:rPr>
          <w:lang w:val="en-US"/>
        </w:rPr>
        <w:t xml:space="preserve"> = 91 Daily Journal DAR </w:t>
      </w:r>
      <w:r w:rsidRPr="00A06CF9">
        <w:rPr>
          <w:lang w:val="en-US"/>
        </w:rPr>
        <w:t>6023 (1991)</w:t>
      </w:r>
      <w:r>
        <w:rPr>
          <w:lang w:val="en-US"/>
        </w:rPr>
        <w:t>.</w:t>
      </w:r>
    </w:p>
  </w:footnote>
  <w:footnote w:id="877">
    <w:p w14:paraId="530C7ED5" w14:textId="77777777" w:rsidR="00074551" w:rsidRPr="00D7602F" w:rsidRDefault="00074551" w:rsidP="00074551">
      <w:pPr>
        <w:pStyle w:val="Funotentext"/>
        <w:rPr>
          <w:lang w:val="en-US"/>
        </w:rPr>
      </w:pPr>
      <w:r>
        <w:rPr>
          <w:rStyle w:val="Funotenzeichen"/>
        </w:rPr>
        <w:footnoteRef/>
      </w:r>
      <w:r w:rsidRPr="00D7602F">
        <w:rPr>
          <w:lang w:val="en-US"/>
        </w:rPr>
        <w:t xml:space="preserve"> </w:t>
      </w:r>
      <w:r w:rsidRPr="009E57E1">
        <w:rPr>
          <w:i/>
          <w:lang w:val="en-US"/>
        </w:rPr>
        <w:t>Siegert v. Gilley</w:t>
      </w:r>
      <w:r w:rsidRPr="00D7602F">
        <w:rPr>
          <w:lang w:val="en-US"/>
        </w:rPr>
        <w:t>, 500 U.S. 226, 241</w:t>
      </w:r>
      <w:r>
        <w:rPr>
          <w:lang w:val="en-US"/>
        </w:rPr>
        <w:t xml:space="preserve"> = 111 S. Ct. </w:t>
      </w:r>
      <w:r w:rsidRPr="00D7602F">
        <w:rPr>
          <w:lang w:val="en-US"/>
        </w:rPr>
        <w:t>1789, 1798</w:t>
      </w:r>
      <w:r>
        <w:rPr>
          <w:lang w:val="en-US"/>
        </w:rPr>
        <w:t xml:space="preserve"> = 114 L. Ed. </w:t>
      </w:r>
      <w:r w:rsidRPr="00D7602F">
        <w:rPr>
          <w:lang w:val="en-US"/>
        </w:rPr>
        <w:t>2d 277, 293</w:t>
      </w:r>
      <w:r>
        <w:rPr>
          <w:lang w:val="en-US"/>
        </w:rPr>
        <w:t xml:space="preserve"> = 1991 U.S. LEXIS </w:t>
      </w:r>
      <w:r w:rsidRPr="00D7602F">
        <w:rPr>
          <w:lang w:val="en-US"/>
        </w:rPr>
        <w:t>2909, 30</w:t>
      </w:r>
      <w:r>
        <w:rPr>
          <w:lang w:val="en-US"/>
        </w:rPr>
        <w:t xml:space="preserve"> = 59 U.S.L.W</w:t>
      </w:r>
      <w:r w:rsidRPr="00D7602F">
        <w:rPr>
          <w:lang w:val="en-US"/>
        </w:rPr>
        <w:t>. 4465</w:t>
      </w:r>
      <w:r>
        <w:rPr>
          <w:lang w:val="en-US"/>
        </w:rPr>
        <w:t xml:space="preserve"> = 6 I.E.R. </w:t>
      </w:r>
      <w:r w:rsidRPr="00D7602F">
        <w:rPr>
          <w:lang w:val="en-US"/>
        </w:rPr>
        <w:t>Cas. (BNA) 705</w:t>
      </w:r>
      <w:r>
        <w:rPr>
          <w:lang w:val="en-US"/>
        </w:rPr>
        <w:t xml:space="preserve"> = 91 Cal. Daily Op</w:t>
      </w:r>
      <w:r w:rsidRPr="00D7602F">
        <w:rPr>
          <w:lang w:val="en-US"/>
        </w:rPr>
        <w:t>. Service 3724</w:t>
      </w:r>
      <w:r>
        <w:rPr>
          <w:lang w:val="en-US"/>
        </w:rPr>
        <w:t xml:space="preserve"> = 91 Daily Journal DAR </w:t>
      </w:r>
      <w:r w:rsidRPr="00D7602F">
        <w:rPr>
          <w:lang w:val="en-US"/>
        </w:rPr>
        <w:t>6023 (1991)</w:t>
      </w:r>
      <w:r>
        <w:rPr>
          <w:lang w:val="en-US"/>
        </w:rPr>
        <w:t>.</w:t>
      </w:r>
    </w:p>
  </w:footnote>
  <w:footnote w:id="878">
    <w:p w14:paraId="216AA30C" w14:textId="77777777" w:rsidR="00074551" w:rsidRPr="002D1944" w:rsidRDefault="00074551" w:rsidP="00074551">
      <w:pPr>
        <w:pStyle w:val="Funotentext"/>
        <w:rPr>
          <w:lang w:val="en-US"/>
        </w:rPr>
      </w:pPr>
      <w:r>
        <w:rPr>
          <w:rStyle w:val="Funotenzeichen"/>
        </w:rPr>
        <w:footnoteRef/>
      </w:r>
      <w:r w:rsidRPr="002D1944">
        <w:rPr>
          <w:lang w:val="en-US"/>
        </w:rPr>
        <w:t xml:space="preserve"> </w:t>
      </w:r>
      <w:r w:rsidRPr="009E57E1">
        <w:rPr>
          <w:i/>
          <w:lang w:val="en-US"/>
        </w:rPr>
        <w:t>Paul v. Davis</w:t>
      </w:r>
      <w:r w:rsidRPr="002D1944">
        <w:rPr>
          <w:lang w:val="en-US"/>
        </w:rPr>
        <w:t xml:space="preserve">, </w:t>
      </w:r>
      <w:r w:rsidRPr="00B45592">
        <w:rPr>
          <w:lang w:val="en-IE"/>
        </w:rPr>
        <w:t>424 U.S. 693</w:t>
      </w:r>
      <w:r w:rsidRPr="00B45592">
        <w:rPr>
          <w:b/>
          <w:bCs/>
          <w:lang w:val="en-IE"/>
        </w:rPr>
        <w:t xml:space="preserve">, </w:t>
      </w:r>
      <w:r w:rsidRPr="002D1944">
        <w:rPr>
          <w:lang w:val="en-US"/>
        </w:rPr>
        <w:t xml:space="preserve">705, </w:t>
      </w:r>
      <w:proofErr w:type="spellStart"/>
      <w:r>
        <w:rPr>
          <w:lang w:val="en-US"/>
        </w:rPr>
        <w:t>zitierend</w:t>
      </w:r>
      <w:proofErr w:type="spellEnd"/>
      <w:r>
        <w:rPr>
          <w:lang w:val="en-US"/>
        </w:rPr>
        <w:t xml:space="preserve"> </w:t>
      </w:r>
      <w:proofErr w:type="spellStart"/>
      <w:r>
        <w:rPr>
          <w:lang w:val="en-US"/>
        </w:rPr>
        <w:t>aus</w:t>
      </w:r>
      <w:proofErr w:type="spellEnd"/>
      <w:r w:rsidRPr="002D1944">
        <w:rPr>
          <w:lang w:val="en-US"/>
        </w:rPr>
        <w:t xml:space="preserve"> </w:t>
      </w:r>
      <w:r w:rsidRPr="00B45592">
        <w:rPr>
          <w:i/>
          <w:lang w:val="en-US"/>
        </w:rPr>
        <w:t>Cafeteria Workers v. McElroy</w:t>
      </w:r>
      <w:r w:rsidRPr="002D1944">
        <w:rPr>
          <w:lang w:val="en-US"/>
        </w:rPr>
        <w:t>, 367 U.S. 886, 898</w:t>
      </w:r>
      <w:r>
        <w:rPr>
          <w:lang w:val="en-US"/>
        </w:rPr>
        <w:t xml:space="preserve"> = 6 L. Ed. </w:t>
      </w:r>
      <w:r w:rsidRPr="002D1944">
        <w:rPr>
          <w:lang w:val="en-US"/>
        </w:rPr>
        <w:t>2d 1230</w:t>
      </w:r>
      <w:r w:rsidRPr="006E67FE">
        <w:rPr>
          <w:lang w:val="en-US"/>
        </w:rPr>
        <w:t xml:space="preserve"> = 81 S. Ct. </w:t>
      </w:r>
      <w:r w:rsidRPr="002D1944">
        <w:rPr>
          <w:lang w:val="en-US"/>
        </w:rPr>
        <w:t>1743 (1961)</w:t>
      </w:r>
      <w:r>
        <w:rPr>
          <w:lang w:val="en-US"/>
        </w:rPr>
        <w:t xml:space="preserve">; </w:t>
      </w:r>
      <w:r w:rsidRPr="009E57E1">
        <w:rPr>
          <w:i/>
          <w:lang w:val="en-US"/>
        </w:rPr>
        <w:t>Siegert v. Gilley</w:t>
      </w:r>
      <w:r w:rsidRPr="002D1944">
        <w:rPr>
          <w:lang w:val="en-US"/>
        </w:rPr>
        <w:t>, 500 U.S. 226, 241</w:t>
      </w:r>
      <w:r>
        <w:rPr>
          <w:lang w:val="en-US"/>
        </w:rPr>
        <w:t xml:space="preserve"> = 111 S. Ct. </w:t>
      </w:r>
      <w:r w:rsidRPr="002D1944">
        <w:rPr>
          <w:lang w:val="en-US"/>
        </w:rPr>
        <w:t>1789, 1798</w:t>
      </w:r>
      <w:r>
        <w:rPr>
          <w:lang w:val="en-US"/>
        </w:rPr>
        <w:t xml:space="preserve"> = 114 L. Ed. </w:t>
      </w:r>
      <w:r w:rsidRPr="002D1944">
        <w:rPr>
          <w:lang w:val="en-US"/>
        </w:rPr>
        <w:t>2d 277, 293</w:t>
      </w:r>
      <w:r>
        <w:rPr>
          <w:lang w:val="en-US"/>
        </w:rPr>
        <w:t xml:space="preserve"> = 1991 U.S. LEXIS </w:t>
      </w:r>
      <w:r w:rsidRPr="002D1944">
        <w:rPr>
          <w:lang w:val="en-US"/>
        </w:rPr>
        <w:t>2909, 30</w:t>
      </w:r>
      <w:r>
        <w:rPr>
          <w:lang w:val="en-US"/>
        </w:rPr>
        <w:t xml:space="preserve"> = 59 U.S.L.W</w:t>
      </w:r>
      <w:r w:rsidRPr="002D1944">
        <w:rPr>
          <w:lang w:val="en-US"/>
        </w:rPr>
        <w:t>. 4465</w:t>
      </w:r>
      <w:r>
        <w:rPr>
          <w:lang w:val="en-US"/>
        </w:rPr>
        <w:t xml:space="preserve"> = 6 I.E.R. </w:t>
      </w:r>
      <w:r w:rsidRPr="002D1944">
        <w:rPr>
          <w:lang w:val="en-US"/>
        </w:rPr>
        <w:t>Cas. (BNA) 705</w:t>
      </w:r>
      <w:r>
        <w:rPr>
          <w:lang w:val="en-US"/>
        </w:rPr>
        <w:t xml:space="preserve"> = 91 Cal. Daily Op</w:t>
      </w:r>
      <w:r w:rsidRPr="002D1944">
        <w:rPr>
          <w:lang w:val="en-US"/>
        </w:rPr>
        <w:t>. Service 3724</w:t>
      </w:r>
      <w:r>
        <w:rPr>
          <w:lang w:val="en-US"/>
        </w:rPr>
        <w:t xml:space="preserve"> = 91 Daily Journal DAR </w:t>
      </w:r>
      <w:r w:rsidRPr="002D1944">
        <w:rPr>
          <w:lang w:val="en-US"/>
        </w:rPr>
        <w:t>6023 (1991)</w:t>
      </w:r>
      <w:r>
        <w:rPr>
          <w:lang w:val="en-US"/>
        </w:rPr>
        <w:t>.</w:t>
      </w:r>
    </w:p>
  </w:footnote>
  <w:footnote w:id="879">
    <w:p w14:paraId="12FDCBE5" w14:textId="77777777" w:rsidR="00074551" w:rsidRPr="002D1944" w:rsidRDefault="00074551" w:rsidP="00074551">
      <w:pPr>
        <w:pStyle w:val="Funotentext"/>
        <w:rPr>
          <w:lang w:val="en-US"/>
        </w:rPr>
      </w:pPr>
      <w:r>
        <w:rPr>
          <w:rStyle w:val="Funotenzeichen"/>
        </w:rPr>
        <w:footnoteRef/>
      </w:r>
      <w:r w:rsidRPr="002D1944">
        <w:rPr>
          <w:lang w:val="en-US"/>
        </w:rPr>
        <w:t xml:space="preserve"> </w:t>
      </w:r>
      <w:r w:rsidRPr="009E57E1">
        <w:rPr>
          <w:i/>
          <w:lang w:val="en-US"/>
        </w:rPr>
        <w:t>Board of Regents of State Colleges v. Roth</w:t>
      </w:r>
      <w:r w:rsidRPr="002D1944">
        <w:rPr>
          <w:lang w:val="en-US"/>
        </w:rPr>
        <w:t>, 408 U.S. 564</w:t>
      </w:r>
      <w:r w:rsidRPr="00EC5BEB">
        <w:rPr>
          <w:lang w:val="en-US"/>
        </w:rPr>
        <w:t xml:space="preserve"> = 33 L. Ed. </w:t>
      </w:r>
      <w:r w:rsidRPr="002D1944">
        <w:rPr>
          <w:lang w:val="en-US"/>
        </w:rPr>
        <w:t>2d 548</w:t>
      </w:r>
      <w:r>
        <w:rPr>
          <w:lang w:val="en-US"/>
        </w:rPr>
        <w:t xml:space="preserve"> = 92 S. Ct. </w:t>
      </w:r>
      <w:r w:rsidRPr="002D1944">
        <w:rPr>
          <w:lang w:val="en-US"/>
        </w:rPr>
        <w:t>2701 (1972)</w:t>
      </w:r>
      <w:r>
        <w:rPr>
          <w:lang w:val="en-US"/>
        </w:rPr>
        <w:t xml:space="preserve">; </w:t>
      </w:r>
      <w:r w:rsidRPr="009E57E1">
        <w:rPr>
          <w:i/>
          <w:lang w:val="en-US"/>
        </w:rPr>
        <w:t>Siegert v. Gilley</w:t>
      </w:r>
      <w:r w:rsidRPr="002D1944">
        <w:rPr>
          <w:lang w:val="en-US"/>
        </w:rPr>
        <w:t>, 500 U.S. 226, 241</w:t>
      </w:r>
      <w:r>
        <w:rPr>
          <w:lang w:val="en-US"/>
        </w:rPr>
        <w:t xml:space="preserve"> = 111 S. Ct. </w:t>
      </w:r>
      <w:r w:rsidRPr="002D1944">
        <w:rPr>
          <w:lang w:val="en-US"/>
        </w:rPr>
        <w:t>1789, 1798</w:t>
      </w:r>
      <w:r>
        <w:rPr>
          <w:lang w:val="en-US"/>
        </w:rPr>
        <w:t xml:space="preserve"> = 114 L. Ed. </w:t>
      </w:r>
      <w:r w:rsidRPr="002D1944">
        <w:rPr>
          <w:lang w:val="en-US"/>
        </w:rPr>
        <w:t>2d 277, 293</w:t>
      </w:r>
      <w:r>
        <w:rPr>
          <w:lang w:val="en-US"/>
        </w:rPr>
        <w:t xml:space="preserve"> = 1991 U.S. LEXIS </w:t>
      </w:r>
      <w:r w:rsidRPr="002D1944">
        <w:rPr>
          <w:lang w:val="en-US"/>
        </w:rPr>
        <w:t>2909, 30</w:t>
      </w:r>
      <w:r>
        <w:rPr>
          <w:lang w:val="en-US"/>
        </w:rPr>
        <w:t xml:space="preserve"> = 59 U.S.L.W</w:t>
      </w:r>
      <w:r w:rsidRPr="002D1944">
        <w:rPr>
          <w:lang w:val="en-US"/>
        </w:rPr>
        <w:t>. 4465</w:t>
      </w:r>
      <w:r>
        <w:rPr>
          <w:lang w:val="en-US"/>
        </w:rPr>
        <w:t xml:space="preserve"> = 6 I.E.R. </w:t>
      </w:r>
      <w:r w:rsidRPr="002D1944">
        <w:rPr>
          <w:lang w:val="en-US"/>
        </w:rPr>
        <w:t>Cas. (BNA) 705</w:t>
      </w:r>
      <w:r>
        <w:rPr>
          <w:lang w:val="en-US"/>
        </w:rPr>
        <w:t xml:space="preserve"> = 91 Cal. Daily Op</w:t>
      </w:r>
      <w:r w:rsidRPr="002D1944">
        <w:rPr>
          <w:lang w:val="en-US"/>
        </w:rPr>
        <w:t>. Service 3724</w:t>
      </w:r>
      <w:r>
        <w:rPr>
          <w:lang w:val="en-US"/>
        </w:rPr>
        <w:t xml:space="preserve"> = 91 Daily Journal DAR </w:t>
      </w:r>
      <w:r w:rsidRPr="002D1944">
        <w:rPr>
          <w:lang w:val="en-US"/>
        </w:rPr>
        <w:t>6023 (1991)</w:t>
      </w:r>
      <w:r>
        <w:rPr>
          <w:lang w:val="en-US"/>
        </w:rPr>
        <w:t>.</w:t>
      </w:r>
    </w:p>
  </w:footnote>
  <w:footnote w:id="880">
    <w:p w14:paraId="2D83BD13" w14:textId="77777777" w:rsidR="00074551" w:rsidRPr="002D7915" w:rsidRDefault="00074551" w:rsidP="00074551">
      <w:pPr>
        <w:pStyle w:val="Funotentext"/>
        <w:rPr>
          <w:lang w:val="en-US"/>
        </w:rPr>
      </w:pPr>
      <w:r>
        <w:rPr>
          <w:rStyle w:val="Funotenzeichen"/>
        </w:rPr>
        <w:footnoteRef/>
      </w:r>
      <w:r w:rsidRPr="002D7915">
        <w:rPr>
          <w:lang w:val="en-US"/>
        </w:rPr>
        <w:t xml:space="preserve"> </w:t>
      </w:r>
      <w:r w:rsidRPr="009E57E1">
        <w:rPr>
          <w:i/>
          <w:lang w:val="en-US"/>
        </w:rPr>
        <w:t>Board of Regents of State Colleges v. Roth</w:t>
      </w:r>
      <w:r w:rsidRPr="002D7915">
        <w:rPr>
          <w:lang w:val="en-US"/>
        </w:rPr>
        <w:t>, 408 U.S. 564, 572</w:t>
      </w:r>
      <w:r w:rsidRPr="00EC5BEB">
        <w:rPr>
          <w:lang w:val="en-US"/>
        </w:rPr>
        <w:t xml:space="preserve"> = 33 L. Ed. </w:t>
      </w:r>
      <w:r w:rsidRPr="002D7915">
        <w:rPr>
          <w:lang w:val="en-US"/>
        </w:rPr>
        <w:t>2d 548</w:t>
      </w:r>
      <w:r>
        <w:rPr>
          <w:lang w:val="en-US"/>
        </w:rPr>
        <w:t xml:space="preserve"> = 92 S. Ct. </w:t>
      </w:r>
      <w:r w:rsidRPr="002D7915">
        <w:rPr>
          <w:lang w:val="en-US"/>
        </w:rPr>
        <w:t xml:space="preserve">2701 (1972), quoting </w:t>
      </w:r>
      <w:r w:rsidRPr="009E57E1">
        <w:rPr>
          <w:i/>
          <w:lang w:val="en-US"/>
        </w:rPr>
        <w:t>Meyer v. Nebraska</w:t>
      </w:r>
      <w:r w:rsidRPr="002D7915">
        <w:rPr>
          <w:lang w:val="en-US"/>
        </w:rPr>
        <w:t>, 262 U.S. 390, 399</w:t>
      </w:r>
      <w:r w:rsidRPr="00EC5BEB">
        <w:rPr>
          <w:lang w:val="en-US"/>
        </w:rPr>
        <w:t xml:space="preserve"> = 67 L. Ed. </w:t>
      </w:r>
      <w:r w:rsidRPr="002D7915">
        <w:rPr>
          <w:lang w:val="en-US"/>
        </w:rPr>
        <w:t>1042</w:t>
      </w:r>
      <w:r w:rsidRPr="00EC5BEB">
        <w:rPr>
          <w:lang w:val="en-US"/>
        </w:rPr>
        <w:t xml:space="preserve"> = 43 S. Ct. </w:t>
      </w:r>
      <w:r w:rsidRPr="002D7915">
        <w:rPr>
          <w:lang w:val="en-US"/>
        </w:rPr>
        <w:t>625 (1923)</w:t>
      </w:r>
      <w:r>
        <w:rPr>
          <w:lang w:val="en-US"/>
        </w:rPr>
        <w:t xml:space="preserve">; </w:t>
      </w:r>
      <w:r w:rsidRPr="009E57E1">
        <w:rPr>
          <w:i/>
          <w:lang w:val="en-US"/>
        </w:rPr>
        <w:t>Siegert v. Gilley</w:t>
      </w:r>
      <w:r w:rsidRPr="002D7915">
        <w:rPr>
          <w:lang w:val="en-US"/>
        </w:rPr>
        <w:t>, 500 U.S. 226, 241</w:t>
      </w:r>
      <w:r>
        <w:rPr>
          <w:lang w:val="en-US"/>
        </w:rPr>
        <w:t xml:space="preserve"> = 111 S. Ct. </w:t>
      </w:r>
      <w:r w:rsidRPr="002D7915">
        <w:rPr>
          <w:lang w:val="en-US"/>
        </w:rPr>
        <w:t>1789, 1798</w:t>
      </w:r>
      <w:r>
        <w:rPr>
          <w:lang w:val="en-US"/>
        </w:rPr>
        <w:t xml:space="preserve"> = 114 L. Ed. </w:t>
      </w:r>
      <w:r w:rsidRPr="002D7915">
        <w:rPr>
          <w:lang w:val="en-US"/>
        </w:rPr>
        <w:t>2d 277, 293</w:t>
      </w:r>
      <w:r>
        <w:rPr>
          <w:lang w:val="en-US"/>
        </w:rPr>
        <w:t xml:space="preserve"> = 1991 U.S. LEXIS </w:t>
      </w:r>
      <w:r w:rsidRPr="002D7915">
        <w:rPr>
          <w:lang w:val="en-US"/>
        </w:rPr>
        <w:t>2909, 30</w:t>
      </w:r>
      <w:r>
        <w:rPr>
          <w:lang w:val="en-US"/>
        </w:rPr>
        <w:t xml:space="preserve"> = 59 U.S.L.W</w:t>
      </w:r>
      <w:r w:rsidRPr="002D7915">
        <w:rPr>
          <w:lang w:val="en-US"/>
        </w:rPr>
        <w:t>. 4465</w:t>
      </w:r>
      <w:r>
        <w:rPr>
          <w:lang w:val="en-US"/>
        </w:rPr>
        <w:t xml:space="preserve"> = 6 I.E.R. </w:t>
      </w:r>
      <w:r w:rsidRPr="002D7915">
        <w:rPr>
          <w:lang w:val="en-US"/>
        </w:rPr>
        <w:t>Cas. (BNA) 705</w:t>
      </w:r>
      <w:r>
        <w:rPr>
          <w:lang w:val="en-US"/>
        </w:rPr>
        <w:t xml:space="preserve"> = 91 Cal. Daily Op</w:t>
      </w:r>
      <w:r w:rsidRPr="002D7915">
        <w:rPr>
          <w:lang w:val="en-US"/>
        </w:rPr>
        <w:t>. Service 3724</w:t>
      </w:r>
      <w:r>
        <w:rPr>
          <w:lang w:val="en-US"/>
        </w:rPr>
        <w:t xml:space="preserve"> = 91 Daily Journal DAR </w:t>
      </w:r>
      <w:r w:rsidRPr="002D7915">
        <w:rPr>
          <w:lang w:val="en-US"/>
        </w:rPr>
        <w:t>6023 (1991)</w:t>
      </w:r>
      <w:r>
        <w:rPr>
          <w:lang w:val="en-US"/>
        </w:rPr>
        <w:t>.</w:t>
      </w:r>
    </w:p>
  </w:footnote>
  <w:footnote w:id="881">
    <w:p w14:paraId="31F9542D" w14:textId="77777777" w:rsidR="00074551" w:rsidRPr="00E97A87" w:rsidRDefault="00074551" w:rsidP="00074551">
      <w:pPr>
        <w:pStyle w:val="Funotentext"/>
        <w:rPr>
          <w:lang w:val="en-US"/>
        </w:rPr>
      </w:pPr>
      <w:r>
        <w:rPr>
          <w:rStyle w:val="Funotenzeichen"/>
        </w:rPr>
        <w:footnoteRef/>
      </w:r>
      <w:r w:rsidRPr="00E97A87">
        <w:rPr>
          <w:lang w:val="en-US"/>
        </w:rPr>
        <w:t xml:space="preserve"> </w:t>
      </w:r>
      <w:r w:rsidRPr="009E57E1">
        <w:rPr>
          <w:i/>
          <w:lang w:val="en-US"/>
        </w:rPr>
        <w:t>White v. Nicholls</w:t>
      </w:r>
      <w:r w:rsidRPr="00E97A87">
        <w:rPr>
          <w:lang w:val="en-US"/>
        </w:rPr>
        <w:t>, 44 U.S. 266, 284</w:t>
      </w:r>
      <w:r>
        <w:rPr>
          <w:lang w:val="en-US"/>
        </w:rPr>
        <w:t xml:space="preserve"> = 11 L. Ed. </w:t>
      </w:r>
      <w:r w:rsidRPr="00E97A87">
        <w:rPr>
          <w:lang w:val="en-US"/>
        </w:rPr>
        <w:t>591, 599</w:t>
      </w:r>
      <w:r>
        <w:rPr>
          <w:lang w:val="en-US"/>
        </w:rPr>
        <w:t xml:space="preserve"> = 1845 U.S. LEXIS </w:t>
      </w:r>
      <w:r w:rsidRPr="00E97A87">
        <w:rPr>
          <w:lang w:val="en-US"/>
        </w:rPr>
        <w:t>433, 26</w:t>
      </w:r>
      <w:r>
        <w:rPr>
          <w:lang w:val="en-US"/>
        </w:rPr>
        <w:t xml:space="preserve"> = 3 HOW </w:t>
      </w:r>
      <w:r w:rsidRPr="00E97A87">
        <w:rPr>
          <w:lang w:val="en-US"/>
        </w:rPr>
        <w:t>266 (1845)</w:t>
      </w:r>
      <w:r>
        <w:rPr>
          <w:lang w:val="en-US"/>
        </w:rPr>
        <w:t>.</w:t>
      </w:r>
    </w:p>
  </w:footnote>
  <w:footnote w:id="882">
    <w:p w14:paraId="451F06C2" w14:textId="77777777" w:rsidR="00074551" w:rsidRPr="00120DD5" w:rsidRDefault="00074551" w:rsidP="00074551">
      <w:pPr>
        <w:pStyle w:val="Funotentext"/>
        <w:rPr>
          <w:lang w:val="en-US"/>
        </w:rPr>
      </w:pPr>
      <w:r>
        <w:rPr>
          <w:rStyle w:val="Funotenzeichen"/>
        </w:rPr>
        <w:footnoteRef/>
      </w:r>
      <w:r w:rsidRPr="00120DD5">
        <w:rPr>
          <w:lang w:val="en-US"/>
        </w:rPr>
        <w:t xml:space="preserve"> </w:t>
      </w:r>
      <w:r w:rsidRPr="009E57E1">
        <w:rPr>
          <w:i/>
          <w:lang w:val="en-US"/>
        </w:rPr>
        <w:t>White v. Nicholls</w:t>
      </w:r>
      <w:r w:rsidRPr="00120DD5">
        <w:rPr>
          <w:lang w:val="en-US"/>
        </w:rPr>
        <w:t>, 44 U.S. 266, 290</w:t>
      </w:r>
      <w:r>
        <w:rPr>
          <w:lang w:val="en-US"/>
        </w:rPr>
        <w:t xml:space="preserve"> = 11 L. Ed. </w:t>
      </w:r>
      <w:r w:rsidRPr="00120DD5">
        <w:rPr>
          <w:lang w:val="en-US"/>
        </w:rPr>
        <w:t>591, 602</w:t>
      </w:r>
      <w:r>
        <w:rPr>
          <w:lang w:val="en-US"/>
        </w:rPr>
        <w:t xml:space="preserve"> = 1845 U.S. LEXIS </w:t>
      </w:r>
      <w:r w:rsidRPr="00120DD5">
        <w:rPr>
          <w:lang w:val="en-US"/>
        </w:rPr>
        <w:t>433, 58</w:t>
      </w:r>
      <w:r>
        <w:rPr>
          <w:lang w:val="en-US"/>
        </w:rPr>
        <w:t xml:space="preserve"> = 3 HOW </w:t>
      </w:r>
      <w:r w:rsidRPr="00120DD5">
        <w:rPr>
          <w:lang w:val="en-US"/>
        </w:rPr>
        <w:t>266 (1845)</w:t>
      </w:r>
      <w:r>
        <w:rPr>
          <w:lang w:val="en-US"/>
        </w:rPr>
        <w:t>.</w:t>
      </w:r>
    </w:p>
  </w:footnote>
  <w:footnote w:id="883">
    <w:p w14:paraId="52531419" w14:textId="77777777" w:rsidR="00074551" w:rsidRPr="00120DD5" w:rsidRDefault="00074551" w:rsidP="00074551">
      <w:pPr>
        <w:pStyle w:val="Funotentext"/>
        <w:rPr>
          <w:lang w:val="en-US"/>
        </w:rPr>
      </w:pPr>
      <w:r>
        <w:rPr>
          <w:rStyle w:val="Funotenzeichen"/>
        </w:rPr>
        <w:footnoteRef/>
      </w:r>
      <w:r w:rsidRPr="00120DD5">
        <w:rPr>
          <w:lang w:val="en-US"/>
        </w:rPr>
        <w:t xml:space="preserve"> </w:t>
      </w:r>
      <w:r w:rsidRPr="009E57E1">
        <w:rPr>
          <w:i/>
          <w:lang w:val="en-US"/>
        </w:rPr>
        <w:t>White v. Nicholls</w:t>
      </w:r>
      <w:r w:rsidRPr="00120DD5">
        <w:rPr>
          <w:lang w:val="en-US"/>
        </w:rPr>
        <w:t>, 44 U.S. 266, 291</w:t>
      </w:r>
      <w:r>
        <w:rPr>
          <w:lang w:val="en-US"/>
        </w:rPr>
        <w:t xml:space="preserve"> = 11 L. Ed. </w:t>
      </w:r>
      <w:r w:rsidRPr="00120DD5">
        <w:rPr>
          <w:lang w:val="en-US"/>
        </w:rPr>
        <w:t>591, 602</w:t>
      </w:r>
      <w:r>
        <w:rPr>
          <w:lang w:val="en-US"/>
        </w:rPr>
        <w:t xml:space="preserve"> = 1845 U.S. LEXIS </w:t>
      </w:r>
      <w:r w:rsidRPr="00120DD5">
        <w:rPr>
          <w:lang w:val="en-US"/>
        </w:rPr>
        <w:t>433, 58</w:t>
      </w:r>
      <w:r>
        <w:rPr>
          <w:lang w:val="en-US"/>
        </w:rPr>
        <w:t xml:space="preserve"> = 3 HOW </w:t>
      </w:r>
      <w:r w:rsidRPr="00120DD5">
        <w:rPr>
          <w:lang w:val="en-US"/>
        </w:rPr>
        <w:t>266 (1845)</w:t>
      </w:r>
      <w:r>
        <w:rPr>
          <w:lang w:val="en-US"/>
        </w:rPr>
        <w:t>.</w:t>
      </w:r>
    </w:p>
  </w:footnote>
  <w:footnote w:id="884">
    <w:p w14:paraId="5836D1D5" w14:textId="77777777" w:rsidR="00074551" w:rsidRPr="00120DD5" w:rsidRDefault="00074551" w:rsidP="00074551">
      <w:pPr>
        <w:pStyle w:val="Funotentext"/>
        <w:rPr>
          <w:lang w:val="en-US"/>
        </w:rPr>
      </w:pPr>
      <w:r>
        <w:rPr>
          <w:rStyle w:val="Funotenzeichen"/>
        </w:rPr>
        <w:footnoteRef/>
      </w:r>
      <w:r w:rsidRPr="00120DD5">
        <w:rPr>
          <w:lang w:val="en-US"/>
        </w:rPr>
        <w:t xml:space="preserve"> </w:t>
      </w:r>
      <w:r w:rsidRPr="009E57E1">
        <w:rPr>
          <w:i/>
          <w:lang w:val="en-US"/>
        </w:rPr>
        <w:t>White v. Nicholls</w:t>
      </w:r>
      <w:r w:rsidRPr="00120DD5">
        <w:rPr>
          <w:lang w:val="en-US"/>
        </w:rPr>
        <w:t>, 44 U.S. 266, 291</w:t>
      </w:r>
      <w:r>
        <w:rPr>
          <w:lang w:val="en-US"/>
        </w:rPr>
        <w:t xml:space="preserve"> = 11 L. Ed. </w:t>
      </w:r>
      <w:r w:rsidRPr="00120DD5">
        <w:rPr>
          <w:lang w:val="en-US"/>
        </w:rPr>
        <w:t>591, 602</w:t>
      </w:r>
      <w:r>
        <w:rPr>
          <w:lang w:val="en-US"/>
        </w:rPr>
        <w:t xml:space="preserve"> = 1845 U.S. LEXIS </w:t>
      </w:r>
      <w:r w:rsidRPr="00120DD5">
        <w:rPr>
          <w:lang w:val="en-US"/>
        </w:rPr>
        <w:t>433, 58</w:t>
      </w:r>
      <w:r>
        <w:rPr>
          <w:lang w:val="en-US"/>
        </w:rPr>
        <w:t xml:space="preserve"> = 3 HOW </w:t>
      </w:r>
      <w:r w:rsidRPr="00120DD5">
        <w:rPr>
          <w:lang w:val="en-US"/>
        </w:rPr>
        <w:t>266 (1845)</w:t>
      </w:r>
      <w:r>
        <w:rPr>
          <w:lang w:val="en-US"/>
        </w:rPr>
        <w:t>.</w:t>
      </w:r>
    </w:p>
  </w:footnote>
  <w:footnote w:id="885">
    <w:p w14:paraId="4A1CAE8C" w14:textId="7E4F6022" w:rsidR="00074551" w:rsidRPr="00840AF7" w:rsidRDefault="00074551" w:rsidP="00074551">
      <w:pPr>
        <w:pStyle w:val="Funotentext"/>
        <w:rPr>
          <w:lang w:val="en-US"/>
        </w:rPr>
      </w:pPr>
      <w:r>
        <w:rPr>
          <w:rStyle w:val="Funotenzeichen"/>
          <w:rFonts w:eastAsiaTheme="majorEastAsia"/>
        </w:rPr>
        <w:footnoteRef/>
      </w:r>
      <w:r w:rsidRPr="00840AF7">
        <w:rPr>
          <w:lang w:val="en-US"/>
        </w:rPr>
        <w:t xml:space="preserve"> </w:t>
      </w:r>
      <w:proofErr w:type="spellStart"/>
      <w:r w:rsidRPr="00B45592">
        <w:rPr>
          <w:lang w:val="en-US"/>
        </w:rPr>
        <w:t>Bspw</w:t>
      </w:r>
      <w:proofErr w:type="spellEnd"/>
      <w:r w:rsidRPr="00B45592">
        <w:rPr>
          <w:lang w:val="en-US"/>
        </w:rPr>
        <w:t>.</w:t>
      </w:r>
      <w:r w:rsidRPr="009E57E1">
        <w:rPr>
          <w:lang w:val="en-US"/>
        </w:rPr>
        <w:t xml:space="preserve"> </w:t>
      </w:r>
      <w:r w:rsidRPr="00B45592">
        <w:rPr>
          <w:i/>
          <w:lang w:val="en-US"/>
        </w:rPr>
        <w:t>Meiklejohn</w:t>
      </w:r>
      <w:r w:rsidRPr="009E57E1">
        <w:rPr>
          <w:lang w:val="en-US"/>
        </w:rPr>
        <w:t>, Political Freedom</w:t>
      </w:r>
      <w:r w:rsidR="00961F39">
        <w:rPr>
          <w:lang w:val="en-US"/>
        </w:rPr>
        <w:t xml:space="preserve">, </w:t>
      </w:r>
      <w:r w:rsidRPr="009E57E1">
        <w:rPr>
          <w:lang w:val="en-US"/>
        </w:rPr>
        <w:t xml:space="preserve">1960; </w:t>
      </w:r>
      <w:r w:rsidRPr="00B45592">
        <w:rPr>
          <w:i/>
          <w:lang w:val="en-US"/>
        </w:rPr>
        <w:t>Bork</w:t>
      </w:r>
      <w:r w:rsidRPr="009E57E1">
        <w:rPr>
          <w:lang w:val="en-US"/>
        </w:rPr>
        <w:t xml:space="preserve">, Neutral Principles and Some First Amendment Problems, 47 Ind. L.J. 1 (1971); </w:t>
      </w:r>
      <w:proofErr w:type="spellStart"/>
      <w:r w:rsidRPr="00B45592">
        <w:rPr>
          <w:i/>
          <w:lang w:val="en-US"/>
        </w:rPr>
        <w:t>BeVier</w:t>
      </w:r>
      <w:proofErr w:type="spellEnd"/>
      <w:r w:rsidRPr="009E57E1">
        <w:rPr>
          <w:lang w:val="en-US"/>
        </w:rPr>
        <w:t xml:space="preserve">, The First Amendment and Political Speech: An Inquiry </w:t>
      </w:r>
      <w:proofErr w:type="gramStart"/>
      <w:r w:rsidRPr="009E57E1">
        <w:rPr>
          <w:lang w:val="en-US"/>
        </w:rPr>
        <w:t>Into</w:t>
      </w:r>
      <w:proofErr w:type="gramEnd"/>
      <w:r w:rsidRPr="009E57E1">
        <w:rPr>
          <w:lang w:val="en-US"/>
        </w:rPr>
        <w:t xml:space="preserve"> the Substance and Limits of Principle, 30 STAN. L. REV. 299 (1978). </w:t>
      </w:r>
      <w:r w:rsidRPr="00B45592">
        <w:t xml:space="preserve">Diese Sichtweise wird vom U.S. Supreme Court nicht geteilt. </w:t>
      </w:r>
      <w:r>
        <w:rPr>
          <w:lang w:val="en-US"/>
        </w:rPr>
        <w:t>„</w:t>
      </w:r>
      <w:r w:rsidRPr="00840AF7">
        <w:rPr>
          <w:lang w:val="en-US"/>
        </w:rPr>
        <w:t xml:space="preserve">It is no doubt true that a central purpose of the First </w:t>
      </w:r>
      <w:proofErr w:type="gramStart"/>
      <w:r w:rsidRPr="00840AF7">
        <w:rPr>
          <w:lang w:val="en-US"/>
        </w:rPr>
        <w:t xml:space="preserve">Amendment </w:t>
      </w:r>
      <w:r>
        <w:rPr>
          <w:lang w:val="en-US"/>
        </w:rPr>
        <w:t>,</w:t>
      </w:r>
      <w:r w:rsidRPr="00840AF7">
        <w:rPr>
          <w:lang w:val="en-US"/>
        </w:rPr>
        <w:t>was</w:t>
      </w:r>
      <w:proofErr w:type="gramEnd"/>
      <w:r w:rsidRPr="00840AF7">
        <w:rPr>
          <w:lang w:val="en-US"/>
        </w:rPr>
        <w:t xml:space="preserve"> to protect the free discussion of governmental </w:t>
      </w:r>
      <w:proofErr w:type="gramStart"/>
      <w:r w:rsidRPr="00840AF7">
        <w:rPr>
          <w:lang w:val="en-US"/>
        </w:rPr>
        <w:t>affairs.</w:t>
      </w:r>
      <w:r>
        <w:rPr>
          <w:lang w:val="en-US"/>
        </w:rPr>
        <w:t>‘</w:t>
      </w:r>
      <w:proofErr w:type="gramEnd"/>
      <w:r w:rsidRPr="00840AF7">
        <w:rPr>
          <w:lang w:val="en-US"/>
        </w:rPr>
        <w:t xml:space="preserve"> </w:t>
      </w:r>
      <w:r>
        <w:rPr>
          <w:lang w:val="en-US"/>
        </w:rPr>
        <w:t>…</w:t>
      </w:r>
      <w:r w:rsidRPr="00840AF7">
        <w:rPr>
          <w:lang w:val="en-US"/>
        </w:rPr>
        <w:t xml:space="preserve"> But our cases have never suggested that expression about philosophical, social, artistic, economic, literary, or ethical matters</w:t>
      </w:r>
      <w:r>
        <w:rPr>
          <w:lang w:val="en-US"/>
        </w:rPr>
        <w:t xml:space="preserve"> – </w:t>
      </w:r>
      <w:r w:rsidRPr="00840AF7">
        <w:rPr>
          <w:lang w:val="en-US"/>
        </w:rPr>
        <w:t>to take a nonexclusive list of labels</w:t>
      </w:r>
      <w:r>
        <w:rPr>
          <w:lang w:val="en-US"/>
        </w:rPr>
        <w:t xml:space="preserve"> – </w:t>
      </w:r>
      <w:r w:rsidRPr="00840AF7">
        <w:rPr>
          <w:lang w:val="en-US"/>
        </w:rPr>
        <w:t xml:space="preserve">is not entitled to full First Amendment </w:t>
      </w:r>
      <w:proofErr w:type="gramStart"/>
      <w:r w:rsidRPr="00840AF7">
        <w:rPr>
          <w:lang w:val="en-US"/>
        </w:rPr>
        <w:t>protection.</w:t>
      </w:r>
      <w:r>
        <w:rPr>
          <w:lang w:val="en-US"/>
        </w:rPr>
        <w:t>“</w:t>
      </w:r>
      <w:proofErr w:type="gramEnd"/>
      <w:r w:rsidR="00961F39">
        <w:rPr>
          <w:lang w:val="en-US"/>
        </w:rPr>
        <w:t>;</w:t>
      </w:r>
      <w:r w:rsidR="00961F39" w:rsidRPr="00961F39">
        <w:t xml:space="preserve"> </w:t>
      </w:r>
      <w:proofErr w:type="spellStart"/>
      <w:r w:rsidR="00961F39" w:rsidRPr="00961F39">
        <w:rPr>
          <w:lang w:val="en-US"/>
        </w:rPr>
        <w:t>gegen</w:t>
      </w:r>
      <w:proofErr w:type="spellEnd"/>
      <w:r w:rsidR="00961F39" w:rsidRPr="00961F39">
        <w:rPr>
          <w:lang w:val="en-US"/>
        </w:rPr>
        <w:t xml:space="preserve"> </w:t>
      </w:r>
      <w:proofErr w:type="spellStart"/>
      <w:r w:rsidR="00961F39" w:rsidRPr="00961F39">
        <w:rPr>
          <w:lang w:val="en-US"/>
        </w:rPr>
        <w:t>eine</w:t>
      </w:r>
      <w:proofErr w:type="spellEnd"/>
      <w:r w:rsidR="00961F39" w:rsidRPr="00961F39">
        <w:rPr>
          <w:lang w:val="en-US"/>
        </w:rPr>
        <w:t xml:space="preserve"> </w:t>
      </w:r>
      <w:proofErr w:type="spellStart"/>
      <w:r w:rsidR="00961F39" w:rsidRPr="00961F39">
        <w:rPr>
          <w:lang w:val="en-US"/>
        </w:rPr>
        <w:t>Beschränkung</w:t>
      </w:r>
      <w:proofErr w:type="spellEnd"/>
      <w:r w:rsidR="00961F39" w:rsidRPr="00961F39">
        <w:rPr>
          <w:lang w:val="en-US"/>
        </w:rPr>
        <w:t xml:space="preserve"> des </w:t>
      </w:r>
      <w:proofErr w:type="spellStart"/>
      <w:r w:rsidR="00961F39" w:rsidRPr="00961F39">
        <w:rPr>
          <w:lang w:val="en-US"/>
        </w:rPr>
        <w:t>Schutzbereichs</w:t>
      </w:r>
      <w:proofErr w:type="spellEnd"/>
      <w:r w:rsidR="00961F39" w:rsidRPr="00961F39">
        <w:rPr>
          <w:lang w:val="en-US"/>
        </w:rPr>
        <w:t xml:space="preserve"> auf </w:t>
      </w:r>
      <w:proofErr w:type="spellStart"/>
      <w:r w:rsidR="00961F39" w:rsidRPr="00961F39">
        <w:rPr>
          <w:lang w:val="en-US"/>
        </w:rPr>
        <w:t>politische</w:t>
      </w:r>
      <w:proofErr w:type="spellEnd"/>
      <w:r w:rsidR="00961F39" w:rsidRPr="00961F39">
        <w:rPr>
          <w:lang w:val="en-US"/>
        </w:rPr>
        <w:t xml:space="preserve"> </w:t>
      </w:r>
      <w:proofErr w:type="spellStart"/>
      <w:r w:rsidR="00961F39" w:rsidRPr="00961F39">
        <w:rPr>
          <w:lang w:val="en-US"/>
        </w:rPr>
        <w:t>Äußerungen</w:t>
      </w:r>
      <w:proofErr w:type="spellEnd"/>
      <w:r w:rsidR="00961F39">
        <w:rPr>
          <w:lang w:val="en-US"/>
        </w:rPr>
        <w:t>,</w:t>
      </w:r>
      <w:r w:rsidRPr="00840AF7">
        <w:rPr>
          <w:lang w:val="en-US"/>
        </w:rPr>
        <w:t xml:space="preserve"> </w:t>
      </w:r>
      <w:r w:rsidRPr="009E57E1">
        <w:rPr>
          <w:i/>
          <w:lang w:val="en-US"/>
        </w:rPr>
        <w:t>Abood v. Detroit Bd. of Educ.</w:t>
      </w:r>
      <w:r w:rsidRPr="00840AF7">
        <w:rPr>
          <w:lang w:val="en-US"/>
        </w:rPr>
        <w:t>, 431 U.S. 209, 231 (1977)</w:t>
      </w:r>
      <w:r>
        <w:rPr>
          <w:lang w:val="en-US"/>
        </w:rPr>
        <w:t>.</w:t>
      </w:r>
    </w:p>
  </w:footnote>
  <w:footnote w:id="886">
    <w:p w14:paraId="4961065A" w14:textId="77777777" w:rsidR="00074551" w:rsidRPr="000E0DD2" w:rsidRDefault="00074551" w:rsidP="00074551">
      <w:pPr>
        <w:pStyle w:val="Funotentext"/>
        <w:rPr>
          <w:lang w:val="en-US"/>
        </w:rPr>
      </w:pPr>
      <w:r>
        <w:rPr>
          <w:rStyle w:val="Funotenzeichen"/>
          <w:rFonts w:eastAsiaTheme="majorEastAsia"/>
        </w:rPr>
        <w:footnoteRef/>
      </w:r>
      <w:r w:rsidRPr="000E0DD2">
        <w:rPr>
          <w:lang w:val="en-US"/>
        </w:rPr>
        <w:t xml:space="preserve"> </w:t>
      </w:r>
      <w:r w:rsidRPr="004F13B1">
        <w:rPr>
          <w:i/>
          <w:lang w:val="en-US"/>
        </w:rPr>
        <w:t>Pruneyard Shopping Ctr. v. Robins</w:t>
      </w:r>
      <w:r>
        <w:rPr>
          <w:lang w:val="en-US"/>
        </w:rPr>
        <w:t>,</w:t>
      </w:r>
      <w:r w:rsidRPr="000E0DD2">
        <w:rPr>
          <w:lang w:val="en-US"/>
        </w:rPr>
        <w:t xml:space="preserve"> 447 U.S. 74</w:t>
      </w:r>
      <w:r>
        <w:rPr>
          <w:lang w:val="en-US"/>
        </w:rPr>
        <w:t xml:space="preserve"> </w:t>
      </w:r>
      <w:r w:rsidRPr="00BA1E56">
        <w:rPr>
          <w:lang w:val="en-US"/>
        </w:rPr>
        <w:t>(1980)</w:t>
      </w:r>
      <w:r>
        <w:rPr>
          <w:lang w:val="en-US"/>
        </w:rPr>
        <w:t>.</w:t>
      </w:r>
    </w:p>
  </w:footnote>
  <w:footnote w:id="887">
    <w:p w14:paraId="2A3D8E34"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4F13B1">
        <w:rPr>
          <w:i/>
          <w:lang w:val="en-US"/>
        </w:rPr>
        <w:t>Pruneyard Shopping Ctr. v. Robins</w:t>
      </w:r>
      <w:r w:rsidRPr="00BA1E56">
        <w:rPr>
          <w:lang w:val="en-US"/>
        </w:rPr>
        <w:t>, 447 U.S. 74, 94</w:t>
      </w:r>
      <w:r>
        <w:rPr>
          <w:lang w:val="en-US"/>
        </w:rPr>
        <w:t xml:space="preserve"> = 100 S. Ct.</w:t>
      </w:r>
      <w:r w:rsidRPr="00BA1E56">
        <w:rPr>
          <w:lang w:val="en-US"/>
        </w:rPr>
        <w:t xml:space="preserve"> 2035, 2047</w:t>
      </w:r>
      <w:r>
        <w:rPr>
          <w:lang w:val="en-US"/>
        </w:rPr>
        <w:t xml:space="preserve"> = 64 L. Ed. </w:t>
      </w:r>
      <w:r w:rsidRPr="00BA1E56">
        <w:rPr>
          <w:lang w:val="en-US"/>
        </w:rPr>
        <w:t>2d 741, 760</w:t>
      </w:r>
      <w:r>
        <w:rPr>
          <w:lang w:val="en-US"/>
        </w:rPr>
        <w:t xml:space="preserve"> = 1980 U.S. LEXIS </w:t>
      </w:r>
      <w:r w:rsidRPr="00BA1E56">
        <w:rPr>
          <w:lang w:val="en-US"/>
        </w:rPr>
        <w:t>129, 37</w:t>
      </w:r>
      <w:r>
        <w:rPr>
          <w:lang w:val="en-US"/>
        </w:rPr>
        <w:t xml:space="preserve"> = 6 Media L. Rep. </w:t>
      </w:r>
      <w:r w:rsidRPr="00BA1E56">
        <w:rPr>
          <w:lang w:val="en-US"/>
        </w:rPr>
        <w:t>1311 (1980)</w:t>
      </w:r>
      <w:r>
        <w:rPr>
          <w:lang w:val="en-US"/>
        </w:rPr>
        <w:t>.</w:t>
      </w:r>
    </w:p>
  </w:footnote>
  <w:footnote w:id="888">
    <w:p w14:paraId="16851CC3"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4F13B1">
        <w:rPr>
          <w:i/>
          <w:lang w:val="en-US"/>
        </w:rPr>
        <w:t>Pruneyard Shopping Ctr. v. Robins</w:t>
      </w:r>
      <w:r w:rsidRPr="00BA1E56">
        <w:rPr>
          <w:lang w:val="en-US"/>
        </w:rPr>
        <w:t>, 447 U.S. 74, 94</w:t>
      </w:r>
      <w:r>
        <w:rPr>
          <w:lang w:val="en-US"/>
        </w:rPr>
        <w:t xml:space="preserve"> = 100 S. Ct.</w:t>
      </w:r>
      <w:r w:rsidRPr="00BA1E56">
        <w:rPr>
          <w:lang w:val="en-US"/>
        </w:rPr>
        <w:t xml:space="preserve"> 2035, 2047</w:t>
      </w:r>
      <w:r>
        <w:rPr>
          <w:lang w:val="en-US"/>
        </w:rPr>
        <w:t xml:space="preserve"> = 64 L. Ed. </w:t>
      </w:r>
      <w:r w:rsidRPr="00BA1E56">
        <w:rPr>
          <w:lang w:val="en-US"/>
        </w:rPr>
        <w:t>2d 741, 760</w:t>
      </w:r>
      <w:r>
        <w:rPr>
          <w:lang w:val="en-US"/>
        </w:rPr>
        <w:t xml:space="preserve"> = 1980 U.S. LEXIS </w:t>
      </w:r>
      <w:r w:rsidRPr="00BA1E56">
        <w:rPr>
          <w:lang w:val="en-US"/>
        </w:rPr>
        <w:t>129, 37</w:t>
      </w:r>
      <w:r>
        <w:rPr>
          <w:lang w:val="en-US"/>
        </w:rPr>
        <w:t xml:space="preserve"> = 6 Media L. Rep. </w:t>
      </w:r>
      <w:r w:rsidRPr="00BA1E56">
        <w:rPr>
          <w:lang w:val="en-US"/>
        </w:rPr>
        <w:t>1311 (1980)</w:t>
      </w:r>
      <w:r>
        <w:rPr>
          <w:lang w:val="en-US"/>
        </w:rPr>
        <w:t>.</w:t>
      </w:r>
    </w:p>
  </w:footnote>
  <w:footnote w:id="889">
    <w:p w14:paraId="0BAD1D57"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4F13B1">
        <w:rPr>
          <w:i/>
          <w:lang w:val="en-US"/>
        </w:rPr>
        <w:t>Pruneyard Shopping Ctr. v. Robins</w:t>
      </w:r>
      <w:r w:rsidRPr="00BA1E56">
        <w:rPr>
          <w:lang w:val="en-US"/>
        </w:rPr>
        <w:t>, 447 U.S. 74, 94</w:t>
      </w:r>
      <w:r>
        <w:rPr>
          <w:lang w:val="en-US"/>
        </w:rPr>
        <w:t xml:space="preserve"> = 100 S. Ct.</w:t>
      </w:r>
      <w:r w:rsidRPr="00BA1E56">
        <w:rPr>
          <w:lang w:val="en-US"/>
        </w:rPr>
        <w:t xml:space="preserve"> 2035, 2047</w:t>
      </w:r>
      <w:r>
        <w:rPr>
          <w:lang w:val="en-US"/>
        </w:rPr>
        <w:t xml:space="preserve"> = 64 L. Ed. </w:t>
      </w:r>
      <w:r w:rsidRPr="00BA1E56">
        <w:rPr>
          <w:lang w:val="en-US"/>
        </w:rPr>
        <w:t>2d 741, 760</w:t>
      </w:r>
      <w:r>
        <w:rPr>
          <w:lang w:val="en-US"/>
        </w:rPr>
        <w:t xml:space="preserve"> = 1980 U.S. LEXIS </w:t>
      </w:r>
      <w:r w:rsidRPr="00BA1E56">
        <w:rPr>
          <w:lang w:val="en-US"/>
        </w:rPr>
        <w:t>129, 37</w:t>
      </w:r>
      <w:r>
        <w:rPr>
          <w:lang w:val="en-US"/>
        </w:rPr>
        <w:t xml:space="preserve"> = 6 Media L. Rep. </w:t>
      </w:r>
      <w:r w:rsidRPr="00BA1E56">
        <w:rPr>
          <w:lang w:val="en-US"/>
        </w:rPr>
        <w:t>1311 (1980)</w:t>
      </w:r>
      <w:r>
        <w:rPr>
          <w:lang w:val="en-US"/>
        </w:rPr>
        <w:t>.</w:t>
      </w:r>
    </w:p>
  </w:footnote>
  <w:footnote w:id="890">
    <w:p w14:paraId="0B4B4470" w14:textId="77777777" w:rsidR="00074551" w:rsidRPr="003D518C" w:rsidRDefault="00074551" w:rsidP="00074551">
      <w:pPr>
        <w:pStyle w:val="Funotentext"/>
        <w:rPr>
          <w:lang w:val="en-US"/>
        </w:rPr>
      </w:pPr>
      <w:r>
        <w:rPr>
          <w:rStyle w:val="Funotenzeichen"/>
        </w:rPr>
        <w:footnoteRef/>
      </w:r>
      <w:r w:rsidRPr="003D518C">
        <w:rPr>
          <w:lang w:val="en-US"/>
        </w:rPr>
        <w:t xml:space="preserve"> </w:t>
      </w:r>
      <w:r w:rsidRPr="009E57E1">
        <w:rPr>
          <w:i/>
          <w:lang w:val="en-US"/>
        </w:rPr>
        <w:t>Gravel v. United States</w:t>
      </w:r>
      <w:r w:rsidRPr="003D518C">
        <w:rPr>
          <w:lang w:val="en-US"/>
        </w:rPr>
        <w:t>, 408 U.S. 606, 608</w:t>
      </w:r>
      <w:r>
        <w:rPr>
          <w:lang w:val="en-US"/>
        </w:rPr>
        <w:t xml:space="preserve"> = 92 S. Ct. </w:t>
      </w:r>
      <w:r w:rsidRPr="003D518C">
        <w:rPr>
          <w:lang w:val="en-US"/>
        </w:rPr>
        <w:t>2614, 2618</w:t>
      </w:r>
      <w:r w:rsidRPr="00EC5BEB">
        <w:rPr>
          <w:lang w:val="en-US"/>
        </w:rPr>
        <w:t xml:space="preserve"> = 33 L. Ed. </w:t>
      </w:r>
      <w:r w:rsidRPr="003D518C">
        <w:rPr>
          <w:lang w:val="en-US"/>
        </w:rPr>
        <w:t>2d 583, 592</w:t>
      </w:r>
      <w:r>
        <w:rPr>
          <w:lang w:val="en-US"/>
        </w:rPr>
        <w:t xml:space="preserve"> = 1972 U.S. LEXIS </w:t>
      </w:r>
      <w:r w:rsidRPr="003D518C">
        <w:rPr>
          <w:lang w:val="en-US"/>
        </w:rPr>
        <w:t>21, 1 (1972)</w:t>
      </w:r>
      <w:r>
        <w:rPr>
          <w:lang w:val="en-US"/>
        </w:rPr>
        <w:t>.</w:t>
      </w:r>
    </w:p>
  </w:footnote>
  <w:footnote w:id="891">
    <w:p w14:paraId="618D2825" w14:textId="77777777" w:rsidR="00074551" w:rsidRPr="003D518C" w:rsidRDefault="00074551" w:rsidP="00074551">
      <w:pPr>
        <w:pStyle w:val="Funotentext"/>
        <w:rPr>
          <w:lang w:val="en-US"/>
        </w:rPr>
      </w:pPr>
      <w:r>
        <w:rPr>
          <w:rStyle w:val="Funotenzeichen"/>
        </w:rPr>
        <w:footnoteRef/>
      </w:r>
      <w:r w:rsidRPr="003D518C">
        <w:rPr>
          <w:lang w:val="en-US"/>
        </w:rPr>
        <w:t xml:space="preserve"> </w:t>
      </w:r>
      <w:r w:rsidRPr="009E57E1">
        <w:rPr>
          <w:i/>
          <w:lang w:val="en-US"/>
        </w:rPr>
        <w:t>Gravel v. United States</w:t>
      </w:r>
      <w:r w:rsidRPr="003D518C">
        <w:rPr>
          <w:lang w:val="en-US"/>
        </w:rPr>
        <w:t>, 408 U.S. 606, 608</w:t>
      </w:r>
      <w:r>
        <w:rPr>
          <w:lang w:val="en-US"/>
        </w:rPr>
        <w:t xml:space="preserve"> = 92 S. Ct. </w:t>
      </w:r>
      <w:r w:rsidRPr="003D518C">
        <w:rPr>
          <w:lang w:val="en-US"/>
        </w:rPr>
        <w:t>2614, 2618</w:t>
      </w:r>
      <w:r w:rsidRPr="00EC5BEB">
        <w:rPr>
          <w:lang w:val="en-US"/>
        </w:rPr>
        <w:t xml:space="preserve"> = 33 L. Ed. </w:t>
      </w:r>
      <w:r w:rsidRPr="003D518C">
        <w:rPr>
          <w:lang w:val="en-US"/>
        </w:rPr>
        <w:t>2d 583, 592</w:t>
      </w:r>
      <w:r>
        <w:rPr>
          <w:lang w:val="en-US"/>
        </w:rPr>
        <w:t xml:space="preserve"> = 1972 U.S. LEXIS </w:t>
      </w:r>
      <w:r w:rsidRPr="003D518C">
        <w:rPr>
          <w:lang w:val="en-US"/>
        </w:rPr>
        <w:t>21, 1 (1972)</w:t>
      </w:r>
      <w:r>
        <w:rPr>
          <w:lang w:val="en-US"/>
        </w:rPr>
        <w:t>.</w:t>
      </w:r>
    </w:p>
  </w:footnote>
  <w:footnote w:id="892">
    <w:p w14:paraId="7F49FAC4" w14:textId="77777777" w:rsidR="00074551" w:rsidRPr="006F6AEE" w:rsidRDefault="00074551" w:rsidP="00074551">
      <w:pPr>
        <w:pStyle w:val="Funotentext"/>
        <w:rPr>
          <w:lang w:val="en-US"/>
        </w:rPr>
      </w:pPr>
      <w:r>
        <w:rPr>
          <w:rStyle w:val="Funotenzeichen"/>
        </w:rPr>
        <w:footnoteRef/>
      </w:r>
      <w:r w:rsidRPr="006F6AEE">
        <w:rPr>
          <w:lang w:val="en-US"/>
        </w:rPr>
        <w:t xml:space="preserve"> </w:t>
      </w:r>
      <w:r w:rsidRPr="00B45592">
        <w:rPr>
          <w:i/>
          <w:lang w:val="en-US"/>
        </w:rPr>
        <w:t>Long v. Ansell</w:t>
      </w:r>
      <w:r w:rsidRPr="006F6AEE">
        <w:rPr>
          <w:lang w:val="en-US"/>
        </w:rPr>
        <w:t>, 293 U.S. 76, 83 (1934)</w:t>
      </w:r>
      <w:r>
        <w:rPr>
          <w:lang w:val="en-US"/>
        </w:rPr>
        <w:t xml:space="preserve">; </w:t>
      </w:r>
      <w:r w:rsidRPr="009E57E1">
        <w:rPr>
          <w:i/>
          <w:lang w:val="en-US"/>
        </w:rPr>
        <w:t>Gravel v. United States</w:t>
      </w:r>
      <w:r w:rsidRPr="006F6AEE">
        <w:rPr>
          <w:lang w:val="en-US"/>
        </w:rPr>
        <w:t>, 408 U.S. 606, 614</w:t>
      </w:r>
      <w:r>
        <w:rPr>
          <w:lang w:val="en-US"/>
        </w:rPr>
        <w:t xml:space="preserve"> = 92 S. Ct. </w:t>
      </w:r>
      <w:r w:rsidRPr="006F6AEE">
        <w:rPr>
          <w:lang w:val="en-US"/>
        </w:rPr>
        <w:t>2614, 2621</w:t>
      </w:r>
      <w:r w:rsidRPr="00EC5BEB">
        <w:rPr>
          <w:lang w:val="en-US"/>
        </w:rPr>
        <w:t xml:space="preserve"> = 33 L. Ed. </w:t>
      </w:r>
      <w:r w:rsidRPr="006F6AEE">
        <w:rPr>
          <w:lang w:val="en-US"/>
        </w:rPr>
        <w:t>2d 583, 596</w:t>
      </w:r>
      <w:r>
        <w:rPr>
          <w:lang w:val="en-US"/>
        </w:rPr>
        <w:t xml:space="preserve"> = 1972 U.S. LEXIS </w:t>
      </w:r>
      <w:r w:rsidRPr="006F6AEE">
        <w:rPr>
          <w:lang w:val="en-US"/>
        </w:rPr>
        <w:t>21, 13 (1972)</w:t>
      </w:r>
      <w:r>
        <w:rPr>
          <w:lang w:val="en-US"/>
        </w:rPr>
        <w:t>.</w:t>
      </w:r>
    </w:p>
  </w:footnote>
  <w:footnote w:id="893">
    <w:p w14:paraId="54261D8C" w14:textId="77777777" w:rsidR="00074551" w:rsidRPr="006F6AEE" w:rsidRDefault="00074551" w:rsidP="00074551">
      <w:pPr>
        <w:pStyle w:val="Funotentext"/>
        <w:rPr>
          <w:lang w:val="en-US"/>
        </w:rPr>
      </w:pPr>
      <w:r>
        <w:rPr>
          <w:rStyle w:val="Funotenzeichen"/>
        </w:rPr>
        <w:footnoteRef/>
      </w:r>
      <w:r w:rsidRPr="006F6AEE">
        <w:rPr>
          <w:lang w:val="en-US"/>
        </w:rPr>
        <w:t xml:space="preserve"> </w:t>
      </w:r>
      <w:r w:rsidRPr="00B45592">
        <w:rPr>
          <w:i/>
          <w:lang w:val="en-US"/>
        </w:rPr>
        <w:t>Williamson v. United States</w:t>
      </w:r>
      <w:r w:rsidRPr="006F6AEE">
        <w:rPr>
          <w:lang w:val="en-US"/>
        </w:rPr>
        <w:t>, 207 U.S. 425, 446 (1908)</w:t>
      </w:r>
      <w:r>
        <w:rPr>
          <w:lang w:val="en-US"/>
        </w:rPr>
        <w:t xml:space="preserve">; </w:t>
      </w:r>
      <w:r w:rsidRPr="009E57E1">
        <w:rPr>
          <w:i/>
          <w:lang w:val="en-US"/>
        </w:rPr>
        <w:t>Gravel v. United States</w:t>
      </w:r>
      <w:r w:rsidRPr="006F6AEE">
        <w:rPr>
          <w:lang w:val="en-US"/>
        </w:rPr>
        <w:t>, 408 U.S. 606, 614</w:t>
      </w:r>
      <w:r>
        <w:rPr>
          <w:lang w:val="en-US"/>
        </w:rPr>
        <w:t xml:space="preserve"> = 92 S. Ct. </w:t>
      </w:r>
      <w:r w:rsidRPr="006F6AEE">
        <w:rPr>
          <w:lang w:val="en-US"/>
        </w:rPr>
        <w:t>2614, 2622</w:t>
      </w:r>
      <w:r w:rsidRPr="00EC5BEB">
        <w:rPr>
          <w:lang w:val="en-US"/>
        </w:rPr>
        <w:t xml:space="preserve"> = 33 L. Ed. </w:t>
      </w:r>
      <w:r w:rsidRPr="006F6AEE">
        <w:rPr>
          <w:lang w:val="en-US"/>
        </w:rPr>
        <w:t>2d 583, 596</w:t>
      </w:r>
      <w:r>
        <w:rPr>
          <w:lang w:val="en-US"/>
        </w:rPr>
        <w:t xml:space="preserve"> = 1972 U.S. LEXIS </w:t>
      </w:r>
      <w:r w:rsidRPr="006F6AEE">
        <w:rPr>
          <w:lang w:val="en-US"/>
        </w:rPr>
        <w:t>21, 14 (1972)</w:t>
      </w:r>
      <w:r>
        <w:rPr>
          <w:lang w:val="en-US"/>
        </w:rPr>
        <w:t>.</w:t>
      </w:r>
    </w:p>
  </w:footnote>
  <w:footnote w:id="894">
    <w:p w14:paraId="554876B9" w14:textId="77777777" w:rsidR="00074551" w:rsidRPr="00964CB7" w:rsidRDefault="00074551" w:rsidP="00074551">
      <w:pPr>
        <w:pStyle w:val="Funotentext"/>
        <w:rPr>
          <w:lang w:val="en-US"/>
        </w:rPr>
      </w:pPr>
      <w:r>
        <w:rPr>
          <w:rStyle w:val="Funotenzeichen"/>
        </w:rPr>
        <w:footnoteRef/>
      </w:r>
      <w:r w:rsidRPr="00964CB7">
        <w:rPr>
          <w:lang w:val="en-US"/>
        </w:rPr>
        <w:t xml:space="preserve"> </w:t>
      </w:r>
      <w:r w:rsidRPr="009E57E1">
        <w:rPr>
          <w:i/>
          <w:lang w:val="en-US"/>
        </w:rPr>
        <w:t>Gravel v. United States</w:t>
      </w:r>
      <w:r w:rsidRPr="00964CB7">
        <w:rPr>
          <w:lang w:val="en-US"/>
        </w:rPr>
        <w:t>, 408 U.S. 606, 653</w:t>
      </w:r>
      <w:r>
        <w:rPr>
          <w:lang w:val="en-US"/>
        </w:rPr>
        <w:t xml:space="preserve"> = 92 S. Ct. </w:t>
      </w:r>
      <w:r w:rsidRPr="00964CB7">
        <w:rPr>
          <w:lang w:val="en-US"/>
        </w:rPr>
        <w:t>2614, 2639</w:t>
      </w:r>
      <w:r w:rsidRPr="00EC5BEB">
        <w:rPr>
          <w:lang w:val="en-US"/>
        </w:rPr>
        <w:t xml:space="preserve"> = 33 L. Ed. </w:t>
      </w:r>
      <w:r w:rsidRPr="00964CB7">
        <w:rPr>
          <w:lang w:val="en-US"/>
        </w:rPr>
        <w:t>2d 583, 618</w:t>
      </w:r>
      <w:r>
        <w:rPr>
          <w:lang w:val="en-US"/>
        </w:rPr>
        <w:t xml:space="preserve"> = 1972 U.S. LEXIS </w:t>
      </w:r>
      <w:r w:rsidRPr="00964CB7">
        <w:rPr>
          <w:lang w:val="en-US"/>
        </w:rPr>
        <w:t>21, 76 (1972)</w:t>
      </w:r>
      <w:r>
        <w:rPr>
          <w:lang w:val="en-US"/>
        </w:rPr>
        <w:t>.</w:t>
      </w:r>
    </w:p>
  </w:footnote>
  <w:footnote w:id="895">
    <w:p w14:paraId="57FF8281" w14:textId="77777777" w:rsidR="00074551" w:rsidRPr="008D069E" w:rsidRDefault="00074551" w:rsidP="00074551">
      <w:pPr>
        <w:pStyle w:val="Funotentext"/>
        <w:rPr>
          <w:lang w:val="en-US"/>
        </w:rPr>
      </w:pPr>
      <w:r>
        <w:rPr>
          <w:rStyle w:val="Funotenzeichen"/>
        </w:rPr>
        <w:footnoteRef/>
      </w:r>
      <w:r w:rsidRPr="008D069E">
        <w:rPr>
          <w:lang w:val="en-US"/>
        </w:rPr>
        <w:t xml:space="preserve"> </w:t>
      </w:r>
      <w:r w:rsidRPr="009E57E1">
        <w:rPr>
          <w:i/>
          <w:lang w:val="en-US"/>
        </w:rPr>
        <w:t>Gravel v. United States</w:t>
      </w:r>
      <w:r w:rsidRPr="008D069E">
        <w:rPr>
          <w:lang w:val="en-US"/>
        </w:rPr>
        <w:t>, 408 U.S. 606, 653</w:t>
      </w:r>
      <w:r>
        <w:rPr>
          <w:lang w:val="en-US"/>
        </w:rPr>
        <w:t xml:space="preserve"> = 92 S. Ct. </w:t>
      </w:r>
      <w:r w:rsidRPr="008D069E">
        <w:rPr>
          <w:lang w:val="en-US"/>
        </w:rPr>
        <w:t>2614, 2639</w:t>
      </w:r>
      <w:r w:rsidRPr="00EC5BEB">
        <w:rPr>
          <w:lang w:val="en-US"/>
        </w:rPr>
        <w:t xml:space="preserve"> = 33 L. Ed. </w:t>
      </w:r>
      <w:r w:rsidRPr="008D069E">
        <w:rPr>
          <w:lang w:val="en-US"/>
        </w:rPr>
        <w:t>2d 583, 619</w:t>
      </w:r>
      <w:r>
        <w:rPr>
          <w:lang w:val="en-US"/>
        </w:rPr>
        <w:t xml:space="preserve"> = 1972 U.S. LEXIS </w:t>
      </w:r>
      <w:r w:rsidRPr="008D069E">
        <w:rPr>
          <w:lang w:val="en-US"/>
        </w:rPr>
        <w:t>21, 76 (1972)</w:t>
      </w:r>
      <w:r>
        <w:rPr>
          <w:lang w:val="en-US"/>
        </w:rPr>
        <w:t>.</w:t>
      </w:r>
    </w:p>
  </w:footnote>
  <w:footnote w:id="896">
    <w:p w14:paraId="003E6CE7" w14:textId="77777777" w:rsidR="00074551" w:rsidRPr="00D67352" w:rsidRDefault="00074551" w:rsidP="00074551">
      <w:pPr>
        <w:pStyle w:val="Funotentext"/>
        <w:rPr>
          <w:lang w:val="en-US"/>
        </w:rPr>
      </w:pPr>
      <w:r>
        <w:rPr>
          <w:rStyle w:val="Funotenzeichen"/>
        </w:rPr>
        <w:footnoteRef/>
      </w:r>
      <w:r w:rsidRPr="00D67352">
        <w:rPr>
          <w:lang w:val="en-US"/>
        </w:rPr>
        <w:t xml:space="preserve"> </w:t>
      </w:r>
      <w:r>
        <w:rPr>
          <w:lang w:val="en-US"/>
        </w:rPr>
        <w:t>„</w:t>
      </w:r>
      <w:r w:rsidRPr="00D67352">
        <w:rPr>
          <w:lang w:val="en-US"/>
        </w:rPr>
        <w:t>Every person who having been summoned as a witness by the authority of either House of Congress to give testimony or to produce papers upon any matter under inquiry before either House, or any joint committee established by a joint or concurrent resolution of the two Houses of Congress, or any committee of either House of Congress, willfully makes default, or who, having appeared, refuses to answer any question pertinent to the question under inquiry, shall be deemed guilty of a misdemeanor, punishable by a fine of not more than $1,000 nor less than $100 and imprisonment in a common jail for not less than one month nor more than twelve months</w:t>
      </w:r>
      <w:r>
        <w:rPr>
          <w:lang w:val="en-US"/>
        </w:rPr>
        <w:t xml:space="preserve">“, </w:t>
      </w:r>
      <w:r w:rsidRPr="00D67352">
        <w:rPr>
          <w:lang w:val="en-US"/>
        </w:rPr>
        <w:t>2 U</w:t>
      </w:r>
      <w:r>
        <w:rPr>
          <w:lang w:val="en-US"/>
        </w:rPr>
        <w:t>.</w:t>
      </w:r>
      <w:r w:rsidRPr="00D67352">
        <w:rPr>
          <w:lang w:val="en-US"/>
        </w:rPr>
        <w:t>S</w:t>
      </w:r>
      <w:r>
        <w:rPr>
          <w:lang w:val="en-US"/>
        </w:rPr>
        <w:t>.</w:t>
      </w:r>
      <w:r w:rsidRPr="00D67352">
        <w:rPr>
          <w:lang w:val="en-US"/>
        </w:rPr>
        <w:t>C</w:t>
      </w:r>
      <w:r>
        <w:rPr>
          <w:lang w:val="en-US"/>
        </w:rPr>
        <w:t>.</w:t>
      </w:r>
      <w:r w:rsidRPr="00D67352">
        <w:rPr>
          <w:lang w:val="en-US"/>
        </w:rPr>
        <w:t>S</w:t>
      </w:r>
      <w:r>
        <w:rPr>
          <w:lang w:val="en-US"/>
        </w:rPr>
        <w:t>.</w:t>
      </w:r>
      <w:r w:rsidRPr="00D67352">
        <w:rPr>
          <w:lang w:val="en-US"/>
        </w:rPr>
        <w:t xml:space="preserve"> </w:t>
      </w:r>
      <w:r>
        <w:rPr>
          <w:lang w:val="en-US"/>
        </w:rPr>
        <w:t>§ </w:t>
      </w:r>
      <w:r w:rsidRPr="00D67352">
        <w:rPr>
          <w:lang w:val="en-US"/>
        </w:rPr>
        <w:t>192</w:t>
      </w:r>
      <w:r>
        <w:rPr>
          <w:lang w:val="en-US"/>
        </w:rPr>
        <w:t>.</w:t>
      </w:r>
    </w:p>
  </w:footnote>
  <w:footnote w:id="897">
    <w:p w14:paraId="75E48BD1" w14:textId="77777777" w:rsidR="00074551" w:rsidRPr="00D67352" w:rsidRDefault="00074551" w:rsidP="00074551">
      <w:pPr>
        <w:pStyle w:val="Funotentext"/>
        <w:rPr>
          <w:lang w:val="en-US"/>
        </w:rPr>
      </w:pPr>
      <w:r>
        <w:rPr>
          <w:rStyle w:val="Funotenzeichen"/>
        </w:rPr>
        <w:footnoteRef/>
      </w:r>
      <w:r w:rsidRPr="00D67352">
        <w:rPr>
          <w:lang w:val="en-US"/>
        </w:rPr>
        <w:t xml:space="preserve"> </w:t>
      </w:r>
      <w:proofErr w:type="spellStart"/>
      <w:r w:rsidRPr="00B45592">
        <w:rPr>
          <w:i/>
          <w:lang w:val="en-US"/>
        </w:rPr>
        <w:t>Barenblatt</w:t>
      </w:r>
      <w:proofErr w:type="spellEnd"/>
      <w:r w:rsidRPr="00B45592">
        <w:rPr>
          <w:i/>
          <w:lang w:val="en-US"/>
        </w:rPr>
        <w:t xml:space="preserve"> v. United States</w:t>
      </w:r>
      <w:r w:rsidRPr="00D67352">
        <w:rPr>
          <w:lang w:val="en-US"/>
        </w:rPr>
        <w:t>, 360 US 109, 3 L ed 2d 1115, 79 S Ct 1081</w:t>
      </w:r>
      <w:r>
        <w:rPr>
          <w:lang w:val="en-US"/>
        </w:rPr>
        <w:t xml:space="preserve">; </w:t>
      </w:r>
      <w:r w:rsidRPr="009E57E1">
        <w:rPr>
          <w:i/>
          <w:lang w:val="en-US"/>
        </w:rPr>
        <w:t>Wilkinson v. United States</w:t>
      </w:r>
      <w:r w:rsidRPr="00D67352">
        <w:rPr>
          <w:lang w:val="en-US"/>
        </w:rPr>
        <w:t>, 365 U.S. 399, 400</w:t>
      </w:r>
      <w:r w:rsidRPr="006E67FE">
        <w:rPr>
          <w:lang w:val="en-US"/>
        </w:rPr>
        <w:t xml:space="preserve"> = 81 S. Ct. </w:t>
      </w:r>
      <w:r w:rsidRPr="00D67352">
        <w:rPr>
          <w:lang w:val="en-US"/>
        </w:rPr>
        <w:t>567, 568</w:t>
      </w:r>
      <w:r>
        <w:rPr>
          <w:lang w:val="en-US"/>
        </w:rPr>
        <w:t xml:space="preserve"> = 5 L. Ed. </w:t>
      </w:r>
      <w:r w:rsidRPr="00D67352">
        <w:rPr>
          <w:lang w:val="en-US"/>
        </w:rPr>
        <w:t>2d 633, 635</w:t>
      </w:r>
      <w:r w:rsidRPr="006E67FE">
        <w:rPr>
          <w:lang w:val="en-US"/>
        </w:rPr>
        <w:t xml:space="preserve"> = 1961 U.S. LEXIS </w:t>
      </w:r>
      <w:r w:rsidRPr="00D67352">
        <w:rPr>
          <w:lang w:val="en-US"/>
        </w:rPr>
        <w:t>1648, 1 (1961)</w:t>
      </w:r>
      <w:r>
        <w:rPr>
          <w:lang w:val="en-US"/>
        </w:rPr>
        <w:t>.</w:t>
      </w:r>
    </w:p>
  </w:footnote>
  <w:footnote w:id="898">
    <w:p w14:paraId="5BD4D014" w14:textId="77777777" w:rsidR="00074551" w:rsidRPr="00D67352" w:rsidRDefault="00074551" w:rsidP="00074551">
      <w:pPr>
        <w:pStyle w:val="Funotentext"/>
        <w:rPr>
          <w:lang w:val="en-US"/>
        </w:rPr>
      </w:pPr>
      <w:r>
        <w:rPr>
          <w:rStyle w:val="Funotenzeichen"/>
        </w:rPr>
        <w:footnoteRef/>
      </w:r>
      <w:r w:rsidRPr="00D67352">
        <w:rPr>
          <w:lang w:val="en-US"/>
        </w:rPr>
        <w:t xml:space="preserve"> </w:t>
      </w:r>
      <w:r w:rsidRPr="009E57E1">
        <w:rPr>
          <w:i/>
          <w:lang w:val="en-US"/>
        </w:rPr>
        <w:t>Wilkinson v. United States</w:t>
      </w:r>
      <w:r w:rsidRPr="00D67352">
        <w:rPr>
          <w:lang w:val="en-US"/>
        </w:rPr>
        <w:t>, 365 U.S. 399, 400</w:t>
      </w:r>
      <w:r w:rsidRPr="006E67FE">
        <w:rPr>
          <w:lang w:val="en-US"/>
        </w:rPr>
        <w:t xml:space="preserve"> = 81 S. Ct. </w:t>
      </w:r>
      <w:r w:rsidRPr="00D67352">
        <w:rPr>
          <w:lang w:val="en-US"/>
        </w:rPr>
        <w:t>567, 568</w:t>
      </w:r>
      <w:r>
        <w:rPr>
          <w:lang w:val="en-US"/>
        </w:rPr>
        <w:t xml:space="preserve"> = 5 L. Ed. </w:t>
      </w:r>
      <w:r w:rsidRPr="00D67352">
        <w:rPr>
          <w:lang w:val="en-US"/>
        </w:rPr>
        <w:t>2d 633, 635</w:t>
      </w:r>
      <w:r w:rsidRPr="006E67FE">
        <w:rPr>
          <w:lang w:val="en-US"/>
        </w:rPr>
        <w:t xml:space="preserve"> = 1961 U.S. LEXIS </w:t>
      </w:r>
      <w:r w:rsidRPr="00D67352">
        <w:rPr>
          <w:lang w:val="en-US"/>
        </w:rPr>
        <w:t>1648, 1 (1961)</w:t>
      </w:r>
      <w:r>
        <w:rPr>
          <w:lang w:val="en-US"/>
        </w:rPr>
        <w:t>.</w:t>
      </w:r>
    </w:p>
  </w:footnote>
  <w:footnote w:id="899">
    <w:p w14:paraId="0E3F80C9" w14:textId="77777777" w:rsidR="00074551" w:rsidRPr="00C3779C" w:rsidRDefault="00074551" w:rsidP="00074551">
      <w:pPr>
        <w:pStyle w:val="Funotentext"/>
        <w:rPr>
          <w:lang w:val="en-US"/>
        </w:rPr>
      </w:pPr>
      <w:r>
        <w:rPr>
          <w:rStyle w:val="Funotenzeichen"/>
        </w:rPr>
        <w:footnoteRef/>
      </w:r>
      <w:r w:rsidRPr="00C3779C">
        <w:rPr>
          <w:lang w:val="en-US"/>
        </w:rPr>
        <w:t xml:space="preserve"> </w:t>
      </w:r>
      <w:proofErr w:type="spellStart"/>
      <w:r w:rsidRPr="009E57E1">
        <w:rPr>
          <w:i/>
          <w:lang w:val="en-US"/>
        </w:rPr>
        <w:t>Barenblatt</w:t>
      </w:r>
      <w:proofErr w:type="spellEnd"/>
      <w:r w:rsidRPr="009E57E1">
        <w:rPr>
          <w:i/>
          <w:lang w:val="en-US"/>
        </w:rPr>
        <w:t xml:space="preserve"> v. United States</w:t>
      </w:r>
      <w:r w:rsidRPr="008B435B">
        <w:rPr>
          <w:lang w:val="en-US"/>
        </w:rPr>
        <w:t xml:space="preserve">, </w:t>
      </w:r>
      <w:r w:rsidRPr="00C3779C">
        <w:rPr>
          <w:lang w:val="en-US"/>
        </w:rPr>
        <w:t xml:space="preserve">360 U.S. </w:t>
      </w:r>
      <w:r w:rsidRPr="008B435B">
        <w:rPr>
          <w:lang w:val="en-US"/>
        </w:rPr>
        <w:t>109</w:t>
      </w:r>
      <w:r>
        <w:rPr>
          <w:lang w:val="en-US"/>
        </w:rPr>
        <w:t xml:space="preserve">, </w:t>
      </w:r>
      <w:r w:rsidRPr="00C3779C">
        <w:rPr>
          <w:lang w:val="en-US"/>
        </w:rPr>
        <w:t>125</w:t>
      </w:r>
      <w:r>
        <w:rPr>
          <w:lang w:val="en-US"/>
        </w:rPr>
        <w:t>–</w:t>
      </w:r>
      <w:r w:rsidRPr="00C3779C">
        <w:rPr>
          <w:lang w:val="en-US"/>
        </w:rPr>
        <w:t>134</w:t>
      </w:r>
      <w:r>
        <w:rPr>
          <w:lang w:val="en-US"/>
        </w:rPr>
        <w:t xml:space="preserve">; </w:t>
      </w:r>
      <w:r w:rsidRPr="009E57E1">
        <w:rPr>
          <w:i/>
          <w:lang w:val="en-US"/>
        </w:rPr>
        <w:t>Wilkinson v. United States</w:t>
      </w:r>
      <w:r w:rsidRPr="00C3779C">
        <w:rPr>
          <w:lang w:val="en-US"/>
        </w:rPr>
        <w:t>, 365 U.S. 399, 414</w:t>
      </w:r>
      <w:r w:rsidRPr="006E67FE">
        <w:rPr>
          <w:lang w:val="en-US"/>
        </w:rPr>
        <w:t xml:space="preserve"> = 81 S. Ct. </w:t>
      </w:r>
      <w:r w:rsidRPr="00C3779C">
        <w:rPr>
          <w:lang w:val="en-US"/>
        </w:rPr>
        <w:t>567, 575</w:t>
      </w:r>
      <w:r>
        <w:rPr>
          <w:lang w:val="en-US"/>
        </w:rPr>
        <w:t xml:space="preserve"> = 5 L. Ed. </w:t>
      </w:r>
      <w:r w:rsidRPr="00C3779C">
        <w:rPr>
          <w:lang w:val="en-US"/>
        </w:rPr>
        <w:t>2d 633, 643</w:t>
      </w:r>
      <w:r w:rsidRPr="006E67FE">
        <w:rPr>
          <w:lang w:val="en-US"/>
        </w:rPr>
        <w:t xml:space="preserve"> = 1961 U.S. LEXIS </w:t>
      </w:r>
      <w:r w:rsidRPr="00C3779C">
        <w:rPr>
          <w:lang w:val="en-US"/>
        </w:rPr>
        <w:t>1648, 22 (1961)</w:t>
      </w:r>
      <w:r>
        <w:rPr>
          <w:lang w:val="en-US"/>
        </w:rPr>
        <w:t>.</w:t>
      </w:r>
    </w:p>
  </w:footnote>
  <w:footnote w:id="900">
    <w:p w14:paraId="353C599D" w14:textId="77777777" w:rsidR="00074551" w:rsidRPr="008B435B" w:rsidRDefault="00074551" w:rsidP="00074551">
      <w:pPr>
        <w:pStyle w:val="Funotentext"/>
        <w:rPr>
          <w:lang w:val="en-US"/>
        </w:rPr>
      </w:pPr>
      <w:r>
        <w:rPr>
          <w:rStyle w:val="Funotenzeichen"/>
        </w:rPr>
        <w:footnoteRef/>
      </w:r>
      <w:r w:rsidRPr="008B435B">
        <w:rPr>
          <w:lang w:val="en-US"/>
        </w:rPr>
        <w:t xml:space="preserve"> </w:t>
      </w:r>
      <w:proofErr w:type="spellStart"/>
      <w:r w:rsidRPr="009E57E1">
        <w:rPr>
          <w:i/>
          <w:lang w:val="en-US"/>
        </w:rPr>
        <w:t>Barenblatt</w:t>
      </w:r>
      <w:proofErr w:type="spellEnd"/>
      <w:r w:rsidRPr="009E57E1">
        <w:rPr>
          <w:i/>
          <w:lang w:val="en-US"/>
        </w:rPr>
        <w:t xml:space="preserve"> v. United States</w:t>
      </w:r>
      <w:r w:rsidRPr="008B435B">
        <w:rPr>
          <w:lang w:val="en-US"/>
        </w:rPr>
        <w:t>, 360 U.S. 109, 127</w:t>
      </w:r>
      <w:r>
        <w:rPr>
          <w:lang w:val="en-US"/>
        </w:rPr>
        <w:t xml:space="preserve"> = 79 S. Ct. </w:t>
      </w:r>
      <w:r w:rsidRPr="008B435B">
        <w:rPr>
          <w:lang w:val="en-US"/>
        </w:rPr>
        <w:t>1081, 1093</w:t>
      </w:r>
      <w:r>
        <w:rPr>
          <w:lang w:val="en-US"/>
        </w:rPr>
        <w:t xml:space="preserve"> = 3 L. Ed. </w:t>
      </w:r>
      <w:r w:rsidRPr="008B435B">
        <w:rPr>
          <w:lang w:val="en-US"/>
        </w:rPr>
        <w:t>2d 1115, 1129</w:t>
      </w:r>
      <w:r>
        <w:rPr>
          <w:lang w:val="en-US"/>
        </w:rPr>
        <w:t xml:space="preserve"> = 1959 U.S. LEXIS </w:t>
      </w:r>
      <w:r w:rsidRPr="008B435B">
        <w:rPr>
          <w:lang w:val="en-US"/>
        </w:rPr>
        <w:t>1809, 32 (1959)</w:t>
      </w:r>
      <w:r>
        <w:rPr>
          <w:lang w:val="en-US"/>
        </w:rPr>
        <w:t>.</w:t>
      </w:r>
    </w:p>
  </w:footnote>
  <w:footnote w:id="901">
    <w:p w14:paraId="6746B785" w14:textId="77777777" w:rsidR="00074551" w:rsidRPr="00B308F3" w:rsidRDefault="00074551" w:rsidP="00074551">
      <w:pPr>
        <w:pStyle w:val="Funotentext"/>
      </w:pPr>
      <w:r>
        <w:rPr>
          <w:rStyle w:val="Funotenzeichen"/>
        </w:rPr>
        <w:footnoteRef/>
      </w:r>
      <w:r w:rsidRPr="00B308F3">
        <w:t xml:space="preserve"> Der </w:t>
      </w:r>
      <w:r>
        <w:t>U.S. Supreme Court</w:t>
      </w:r>
      <w:r w:rsidRPr="00B308F3">
        <w:t xml:space="preserve"> verwies im Fall auf die </w:t>
      </w:r>
      <w:r>
        <w:t xml:space="preserve">ständige </w:t>
      </w:r>
      <w:r w:rsidRPr="00B308F3">
        <w:t xml:space="preserve">Rechtsprechung nach </w:t>
      </w:r>
      <w:proofErr w:type="spellStart"/>
      <w:r w:rsidRPr="009E57E1">
        <w:rPr>
          <w:i/>
        </w:rPr>
        <w:t>Barenblatt</w:t>
      </w:r>
      <w:proofErr w:type="spellEnd"/>
      <w:r w:rsidRPr="009E57E1">
        <w:rPr>
          <w:i/>
        </w:rPr>
        <w:t xml:space="preserve"> v. United States</w:t>
      </w:r>
      <w:r w:rsidRPr="00B308F3">
        <w:t>, 360 U.S. 109, 127</w:t>
      </w:r>
      <w:r>
        <w:t xml:space="preserve"> = 79 S. Ct. </w:t>
      </w:r>
      <w:r w:rsidRPr="00B308F3">
        <w:t>1081, 1093</w:t>
      </w:r>
      <w:r>
        <w:t xml:space="preserve"> = 3 L. Ed. </w:t>
      </w:r>
      <w:r w:rsidRPr="00B308F3">
        <w:t>2d 1115, 1129</w:t>
      </w:r>
      <w:r>
        <w:t xml:space="preserve"> = 1959 U.S. LEXIS </w:t>
      </w:r>
      <w:r w:rsidRPr="00B308F3">
        <w:t>1809, 33 (1959)</w:t>
      </w:r>
      <w:r>
        <w:t>.</w:t>
      </w:r>
    </w:p>
  </w:footnote>
  <w:footnote w:id="902">
    <w:p w14:paraId="1EFB6134" w14:textId="77777777" w:rsidR="00074551" w:rsidRPr="00084652" w:rsidRDefault="00074551" w:rsidP="00074551">
      <w:pPr>
        <w:pStyle w:val="Funotentext"/>
        <w:rPr>
          <w:lang w:val="en-US"/>
        </w:rPr>
      </w:pPr>
      <w:r>
        <w:rPr>
          <w:rStyle w:val="Funotenzeichen"/>
        </w:rPr>
        <w:footnoteRef/>
      </w:r>
      <w:r w:rsidRPr="00084652">
        <w:rPr>
          <w:lang w:val="en-US"/>
        </w:rPr>
        <w:t xml:space="preserve"> </w:t>
      </w:r>
      <w:r w:rsidRPr="009E57E1">
        <w:rPr>
          <w:i/>
          <w:lang w:val="en-US"/>
        </w:rPr>
        <w:t>Wilkinson v. United States</w:t>
      </w:r>
      <w:r w:rsidRPr="00084652">
        <w:rPr>
          <w:lang w:val="en-US"/>
        </w:rPr>
        <w:t>, 365 U.S. 399, 415</w:t>
      </w:r>
      <w:r w:rsidRPr="006E67FE">
        <w:rPr>
          <w:lang w:val="en-US"/>
        </w:rPr>
        <w:t xml:space="preserve"> = 81 S. Ct. </w:t>
      </w:r>
      <w:r w:rsidRPr="00084652">
        <w:rPr>
          <w:lang w:val="en-US"/>
        </w:rPr>
        <w:t>567, 576</w:t>
      </w:r>
      <w:r>
        <w:rPr>
          <w:lang w:val="en-US"/>
        </w:rPr>
        <w:t xml:space="preserve"> = 5 L. Ed. </w:t>
      </w:r>
      <w:r w:rsidRPr="00084652">
        <w:rPr>
          <w:lang w:val="en-US"/>
        </w:rPr>
        <w:t>2d 633, 644</w:t>
      </w:r>
      <w:r w:rsidRPr="006E67FE">
        <w:rPr>
          <w:lang w:val="en-US"/>
        </w:rPr>
        <w:t xml:space="preserve"> = 1961 U.S. LEXIS </w:t>
      </w:r>
      <w:r w:rsidRPr="00084652">
        <w:rPr>
          <w:lang w:val="en-US"/>
        </w:rPr>
        <w:t>1648, 26 (1961)</w:t>
      </w:r>
      <w:r>
        <w:rPr>
          <w:lang w:val="en-US"/>
        </w:rPr>
        <w:t>.</w:t>
      </w:r>
    </w:p>
  </w:footnote>
  <w:footnote w:id="903">
    <w:p w14:paraId="2CCCD358" w14:textId="77777777" w:rsidR="00074551" w:rsidRPr="00CE7493" w:rsidRDefault="00074551" w:rsidP="00074551">
      <w:pPr>
        <w:pStyle w:val="Funotentext"/>
        <w:rPr>
          <w:lang w:val="en-US"/>
        </w:rPr>
      </w:pPr>
      <w:r>
        <w:rPr>
          <w:rStyle w:val="Funotenzeichen"/>
        </w:rPr>
        <w:footnoteRef/>
      </w:r>
      <w:r w:rsidRPr="00CE7493">
        <w:rPr>
          <w:lang w:val="en-US"/>
        </w:rPr>
        <w:t xml:space="preserve"> </w:t>
      </w:r>
      <w:r w:rsidRPr="009E57E1">
        <w:rPr>
          <w:i/>
          <w:lang w:val="en-US"/>
        </w:rPr>
        <w:t>Wilkinson v. United States</w:t>
      </w:r>
      <w:r w:rsidRPr="00CE7493">
        <w:rPr>
          <w:lang w:val="en-US"/>
        </w:rPr>
        <w:t>, 365 U.S. 399, 422</w:t>
      </w:r>
      <w:r w:rsidRPr="006E67FE">
        <w:rPr>
          <w:lang w:val="en-US"/>
        </w:rPr>
        <w:t xml:space="preserve"> = 81 S. Ct. </w:t>
      </w:r>
      <w:r w:rsidRPr="00CE7493">
        <w:rPr>
          <w:lang w:val="en-US"/>
        </w:rPr>
        <w:t>567, 580</w:t>
      </w:r>
      <w:r>
        <w:rPr>
          <w:lang w:val="en-US"/>
        </w:rPr>
        <w:t xml:space="preserve"> = 5 L. Ed. </w:t>
      </w:r>
      <w:r w:rsidRPr="00CE7493">
        <w:rPr>
          <w:lang w:val="en-US"/>
        </w:rPr>
        <w:t>2d 633, 648</w:t>
      </w:r>
      <w:r w:rsidRPr="006E67FE">
        <w:rPr>
          <w:lang w:val="en-US"/>
        </w:rPr>
        <w:t xml:space="preserve"> = 1961 U.S. LEXIS </w:t>
      </w:r>
      <w:r w:rsidRPr="00CE7493">
        <w:rPr>
          <w:lang w:val="en-US"/>
        </w:rPr>
        <w:t>1648, 36 (1961)</w:t>
      </w:r>
      <w:r>
        <w:rPr>
          <w:lang w:val="en-US"/>
        </w:rPr>
        <w:t>.</w:t>
      </w:r>
    </w:p>
  </w:footnote>
  <w:footnote w:id="904">
    <w:p w14:paraId="48D4AD70" w14:textId="77777777" w:rsidR="00074551" w:rsidRPr="00CE7493" w:rsidRDefault="00074551" w:rsidP="00074551">
      <w:pPr>
        <w:pStyle w:val="Funotentext"/>
        <w:rPr>
          <w:lang w:val="en-US"/>
        </w:rPr>
      </w:pPr>
      <w:r>
        <w:rPr>
          <w:rStyle w:val="Funotenzeichen"/>
        </w:rPr>
        <w:footnoteRef/>
      </w:r>
      <w:r w:rsidRPr="00CE7493">
        <w:rPr>
          <w:lang w:val="en-US"/>
        </w:rPr>
        <w:t xml:space="preserve"> </w:t>
      </w:r>
      <w:r w:rsidRPr="00B45592">
        <w:rPr>
          <w:i/>
          <w:lang w:val="en-US"/>
        </w:rPr>
        <w:t>Whitney v. California</w:t>
      </w:r>
      <w:r>
        <w:rPr>
          <w:lang w:val="en-US"/>
        </w:rPr>
        <w:t xml:space="preserve">, </w:t>
      </w:r>
      <w:r w:rsidRPr="00CE7493">
        <w:rPr>
          <w:lang w:val="en-US"/>
        </w:rPr>
        <w:t>274 U.S. 357, 375</w:t>
      </w:r>
      <w:r>
        <w:rPr>
          <w:lang w:val="en-US"/>
        </w:rPr>
        <w:t xml:space="preserve">; </w:t>
      </w:r>
      <w:r w:rsidRPr="009E57E1">
        <w:rPr>
          <w:i/>
          <w:lang w:val="en-US"/>
        </w:rPr>
        <w:t>Wilkinson v. United States</w:t>
      </w:r>
      <w:r w:rsidRPr="00CE7493">
        <w:rPr>
          <w:lang w:val="en-US"/>
        </w:rPr>
        <w:t>, 365 U.S. 399, 422</w:t>
      </w:r>
      <w:r w:rsidRPr="006E67FE">
        <w:rPr>
          <w:lang w:val="en-US"/>
        </w:rPr>
        <w:t xml:space="preserve"> = 81 S. Ct. </w:t>
      </w:r>
      <w:r w:rsidRPr="00CE7493">
        <w:rPr>
          <w:lang w:val="en-US"/>
        </w:rPr>
        <w:t>567, 580</w:t>
      </w:r>
      <w:r>
        <w:rPr>
          <w:lang w:val="en-US"/>
        </w:rPr>
        <w:t xml:space="preserve"> = 5 L. Ed. </w:t>
      </w:r>
      <w:r w:rsidRPr="00CE7493">
        <w:rPr>
          <w:lang w:val="en-US"/>
        </w:rPr>
        <w:t>2d 633, 647</w:t>
      </w:r>
      <w:r w:rsidRPr="006E67FE">
        <w:rPr>
          <w:lang w:val="en-US"/>
        </w:rPr>
        <w:t xml:space="preserve"> = 1961 U.S. LEXIS </w:t>
      </w:r>
      <w:r w:rsidRPr="00CE7493">
        <w:rPr>
          <w:lang w:val="en-US"/>
        </w:rPr>
        <w:t>1648, 35 (1961)</w:t>
      </w:r>
      <w:r>
        <w:rPr>
          <w:lang w:val="en-US"/>
        </w:rPr>
        <w:t>.</w:t>
      </w:r>
    </w:p>
  </w:footnote>
  <w:footnote w:id="905">
    <w:p w14:paraId="220E6CB1" w14:textId="77777777" w:rsidR="00074551" w:rsidRPr="003B2AD6" w:rsidRDefault="00074551" w:rsidP="00074551">
      <w:pPr>
        <w:pStyle w:val="Funotentext"/>
        <w:rPr>
          <w:lang w:val="en-US"/>
        </w:rPr>
      </w:pPr>
      <w:r>
        <w:rPr>
          <w:rStyle w:val="Funotenzeichen"/>
        </w:rPr>
        <w:footnoteRef/>
      </w:r>
      <w:r w:rsidRPr="003B2AD6">
        <w:rPr>
          <w:lang w:val="en-US"/>
        </w:rPr>
        <w:t xml:space="preserve"> </w:t>
      </w:r>
      <w:r w:rsidRPr="009E57E1">
        <w:rPr>
          <w:i/>
          <w:lang w:val="en-US"/>
        </w:rPr>
        <w:t>Wilkinson v. United States</w:t>
      </w:r>
      <w:r w:rsidRPr="003B2AD6">
        <w:rPr>
          <w:lang w:val="en-US"/>
        </w:rPr>
        <w:t>, 365 U.S. 399, 422</w:t>
      </w:r>
      <w:r w:rsidRPr="006E67FE">
        <w:rPr>
          <w:lang w:val="en-US"/>
        </w:rPr>
        <w:t xml:space="preserve"> = 81 S. Ct. </w:t>
      </w:r>
      <w:r w:rsidRPr="003B2AD6">
        <w:rPr>
          <w:lang w:val="en-US"/>
        </w:rPr>
        <w:t>567, 580</w:t>
      </w:r>
      <w:r>
        <w:rPr>
          <w:lang w:val="en-US"/>
        </w:rPr>
        <w:t xml:space="preserve"> = 5 L. Ed. </w:t>
      </w:r>
      <w:r w:rsidRPr="003B2AD6">
        <w:rPr>
          <w:lang w:val="en-US"/>
        </w:rPr>
        <w:t>2d 633, 648</w:t>
      </w:r>
      <w:r w:rsidRPr="006E67FE">
        <w:rPr>
          <w:lang w:val="en-US"/>
        </w:rPr>
        <w:t xml:space="preserve"> = 1961 U.S. LEXIS </w:t>
      </w:r>
      <w:r w:rsidRPr="003B2AD6">
        <w:rPr>
          <w:lang w:val="en-US"/>
        </w:rPr>
        <w:t>1648, 36 (1961)</w:t>
      </w:r>
      <w:r>
        <w:rPr>
          <w:lang w:val="en-US"/>
        </w:rPr>
        <w:t>.</w:t>
      </w:r>
    </w:p>
  </w:footnote>
  <w:footnote w:id="906">
    <w:p w14:paraId="1E6C9553" w14:textId="77777777" w:rsidR="00074551" w:rsidRPr="00CE7493" w:rsidRDefault="00074551" w:rsidP="00074551">
      <w:pPr>
        <w:pStyle w:val="Funotentext"/>
        <w:rPr>
          <w:lang w:val="en-US"/>
        </w:rPr>
      </w:pPr>
      <w:r>
        <w:rPr>
          <w:rStyle w:val="Funotenzeichen"/>
        </w:rPr>
        <w:footnoteRef/>
      </w:r>
      <w:r w:rsidRPr="00CE7493">
        <w:rPr>
          <w:lang w:val="en-US"/>
        </w:rPr>
        <w:t xml:space="preserve"> </w:t>
      </w:r>
      <w:r w:rsidRPr="009E57E1">
        <w:rPr>
          <w:i/>
          <w:lang w:val="en-US"/>
        </w:rPr>
        <w:t>Wilkinson v. United States</w:t>
      </w:r>
      <w:r w:rsidRPr="00CE7493">
        <w:rPr>
          <w:lang w:val="en-US"/>
        </w:rPr>
        <w:t>, 365 U.S. 399, 422</w:t>
      </w:r>
      <w:r>
        <w:rPr>
          <w:lang w:val="en-US"/>
        </w:rPr>
        <w:t>–</w:t>
      </w:r>
      <w:r w:rsidRPr="00CE7493">
        <w:rPr>
          <w:lang w:val="en-US"/>
        </w:rPr>
        <w:t>423</w:t>
      </w:r>
      <w:r w:rsidRPr="006E67FE">
        <w:rPr>
          <w:lang w:val="en-US"/>
        </w:rPr>
        <w:t xml:space="preserve"> = 81 S. Ct. </w:t>
      </w:r>
      <w:r w:rsidRPr="00CE7493">
        <w:rPr>
          <w:lang w:val="en-US"/>
        </w:rPr>
        <w:t>567, 580</w:t>
      </w:r>
      <w:r>
        <w:rPr>
          <w:lang w:val="en-US"/>
        </w:rPr>
        <w:t xml:space="preserve"> = 5 L. Ed. </w:t>
      </w:r>
      <w:r w:rsidRPr="00CE7493">
        <w:rPr>
          <w:lang w:val="en-US"/>
        </w:rPr>
        <w:t>2d 633, 648</w:t>
      </w:r>
      <w:r w:rsidRPr="006E67FE">
        <w:rPr>
          <w:lang w:val="en-US"/>
        </w:rPr>
        <w:t xml:space="preserve"> = 1961 U.S. LEXIS </w:t>
      </w:r>
      <w:r w:rsidRPr="00CE7493">
        <w:rPr>
          <w:lang w:val="en-US"/>
        </w:rPr>
        <w:t>1648, 36 (1961)</w:t>
      </w:r>
      <w:r>
        <w:rPr>
          <w:lang w:val="en-US"/>
        </w:rPr>
        <w:t>.</w:t>
      </w:r>
    </w:p>
  </w:footnote>
  <w:footnote w:id="907">
    <w:p w14:paraId="46A94E85" w14:textId="77777777" w:rsidR="00074551" w:rsidRPr="00CE7493" w:rsidRDefault="00074551" w:rsidP="00074551">
      <w:pPr>
        <w:pStyle w:val="Funotentext"/>
        <w:rPr>
          <w:lang w:val="en-US"/>
        </w:rPr>
      </w:pPr>
      <w:r>
        <w:rPr>
          <w:rStyle w:val="Funotenzeichen"/>
        </w:rPr>
        <w:footnoteRef/>
      </w:r>
      <w:r w:rsidRPr="00CE7493">
        <w:rPr>
          <w:lang w:val="en-US"/>
        </w:rPr>
        <w:t xml:space="preserve"> </w:t>
      </w:r>
      <w:r w:rsidRPr="009E57E1">
        <w:rPr>
          <w:i/>
          <w:lang w:val="en-US"/>
        </w:rPr>
        <w:t>Wilkinson v. United States</w:t>
      </w:r>
      <w:r w:rsidRPr="00CE7493">
        <w:rPr>
          <w:lang w:val="en-US"/>
        </w:rPr>
        <w:t>, 365 U.S. 399, 422</w:t>
      </w:r>
      <w:r w:rsidRPr="006E67FE">
        <w:rPr>
          <w:lang w:val="en-US"/>
        </w:rPr>
        <w:t xml:space="preserve"> = 81 S. Ct. </w:t>
      </w:r>
      <w:r w:rsidRPr="00CE7493">
        <w:rPr>
          <w:lang w:val="en-US"/>
        </w:rPr>
        <w:t>567, 580</w:t>
      </w:r>
      <w:r>
        <w:rPr>
          <w:lang w:val="en-US"/>
        </w:rPr>
        <w:t xml:space="preserve"> = 5 L. Ed. </w:t>
      </w:r>
      <w:r w:rsidRPr="00CE7493">
        <w:rPr>
          <w:lang w:val="en-US"/>
        </w:rPr>
        <w:t>2d 633, 648</w:t>
      </w:r>
      <w:r w:rsidRPr="006E67FE">
        <w:rPr>
          <w:lang w:val="en-US"/>
        </w:rPr>
        <w:t xml:space="preserve"> = 1961 U.S. LEXIS </w:t>
      </w:r>
      <w:r w:rsidRPr="00CE7493">
        <w:rPr>
          <w:lang w:val="en-US"/>
        </w:rPr>
        <w:t>1648, 36 (1961)</w:t>
      </w:r>
      <w:r>
        <w:rPr>
          <w:lang w:val="en-US"/>
        </w:rPr>
        <w:t>.</w:t>
      </w:r>
    </w:p>
  </w:footnote>
  <w:footnote w:id="908">
    <w:p w14:paraId="68361516" w14:textId="17519325" w:rsidR="00074551" w:rsidRPr="00BF6946" w:rsidRDefault="00074551" w:rsidP="00074551">
      <w:pPr>
        <w:pStyle w:val="Funotentext"/>
        <w:rPr>
          <w:lang w:val="en-US"/>
        </w:rPr>
      </w:pPr>
      <w:r>
        <w:rPr>
          <w:rStyle w:val="Funotenzeichen"/>
        </w:rPr>
        <w:footnoteRef/>
      </w:r>
      <w:r w:rsidR="5B67C1D2" w:rsidRPr="00BF6946">
        <w:rPr>
          <w:lang w:val="en-US"/>
        </w:rPr>
        <w:t xml:space="preserve"> </w:t>
      </w:r>
      <w:r w:rsidR="5B67C1D2" w:rsidRPr="5B67C1D2">
        <w:rPr>
          <w:lang w:val="en-US"/>
        </w:rPr>
        <w:t xml:space="preserve">§9 [a]. und § 61h </w:t>
      </w:r>
      <w:proofErr w:type="spellStart"/>
      <w:r w:rsidR="5B67C1D2" w:rsidRPr="5B67C1D2">
        <w:rPr>
          <w:lang w:val="en-US"/>
        </w:rPr>
        <w:t>bezeichnen</w:t>
      </w:r>
      <w:proofErr w:type="spellEnd"/>
      <w:r w:rsidR="5B67C1D2" w:rsidRPr="5B67C1D2">
        <w:rPr>
          <w:lang w:val="en-US"/>
        </w:rPr>
        <w:t xml:space="preserve"> </w:t>
      </w:r>
      <w:proofErr w:type="spellStart"/>
      <w:r w:rsidR="5B67C1D2" w:rsidRPr="5B67C1D2">
        <w:rPr>
          <w:lang w:val="en-US"/>
        </w:rPr>
        <w:t>dabei</w:t>
      </w:r>
      <w:proofErr w:type="spellEnd"/>
      <w:r w:rsidR="5B67C1D2" w:rsidRPr="5B67C1D2">
        <w:rPr>
          <w:lang w:val="en-US"/>
        </w:rPr>
        <w:t xml:space="preserve"> </w:t>
      </w:r>
      <w:proofErr w:type="spellStart"/>
      <w:r w:rsidR="5B67C1D2" w:rsidRPr="5B67C1D2">
        <w:rPr>
          <w:lang w:val="en-US"/>
        </w:rPr>
        <w:t>dieselbe</w:t>
      </w:r>
      <w:proofErr w:type="spellEnd"/>
      <w:r w:rsidR="5B67C1D2" w:rsidRPr="5B67C1D2">
        <w:rPr>
          <w:lang w:val="en-US"/>
        </w:rPr>
        <w:t xml:space="preserve"> Norm. 18 U.S.C.S. § 61h: </w:t>
      </w:r>
      <w:proofErr w:type="gramStart"/>
      <w:r w:rsidR="5B67C1D2" w:rsidRPr="5B67C1D2">
        <w:rPr>
          <w:lang w:val="en-US"/>
        </w:rPr>
        <w:t>„,(</w:t>
      </w:r>
      <w:proofErr w:type="gramEnd"/>
      <w:r w:rsidR="5B67C1D2" w:rsidRPr="5B67C1D2">
        <w:rPr>
          <w:lang w:val="en-US"/>
        </w:rPr>
        <w:t xml:space="preserve">a) It shall be unlawful for any person employed in the executive branch of the Federal Government, or any agency or department thereof, to use his official authority or influence for the purpose of interfering with an election or affecting the result thereof. No officer or employee in the executive branch of the Federal Government, or any agency or department thereof, except a part-time officer or part-time employee without compensation or with nominal compensation serving in connection with the existing war effort, other than in any capacity relating to the procurement or manufacture of war material shall take any active part in political management or in political campaigns. All such persons shall retain the right to vote as they may choose and to express their opinions on all political subjects and candidates. For the purposes of this section the term ,officer‘ or ,employee‘ shall not be construed to include (1) the President and Vice President of the United States; (2) persons whose compensation is paid from the appropriation for the office of the President; (3) heads and assistant heads of executive departments; (4) officers who are appointed by the President, by and with the advice and consent of the Senate, and who determine policies to be pursued by the United States in its relations with foreign powers or in the Nationwide administration of Federal laws.‘ […] ,(b) Any person violating the provisions of this section shall be immediately removed from the position or office held by him, and thereafter no part of the funds appropriated by any Act of Congress for such position or office shall be used to pay the compensation of such person.‘ 53 Stat. 1147, 1148; 54 Stat. 767; 56 Stat. 181.“, </w:t>
      </w:r>
      <w:r w:rsidR="5B67C1D2" w:rsidRPr="5B67C1D2">
        <w:rPr>
          <w:i/>
          <w:iCs/>
          <w:lang w:val="en-US"/>
        </w:rPr>
        <w:t>United Public Workers v. Mitchell</w:t>
      </w:r>
      <w:r w:rsidR="5B67C1D2" w:rsidRPr="5B67C1D2">
        <w:rPr>
          <w:lang w:val="en-US"/>
        </w:rPr>
        <w:t>, 330 U.S. 75, 78 = 67 S. Ct. 556, 558 = 91 L. Ed. 754, 761 = 1947 U.S. LEXIS 2960, 5 (1947).</w:t>
      </w:r>
    </w:p>
  </w:footnote>
  <w:footnote w:id="909">
    <w:p w14:paraId="7DD3E5D9" w14:textId="77777777" w:rsidR="00074551" w:rsidRPr="0093634A" w:rsidRDefault="00074551" w:rsidP="00074551">
      <w:pPr>
        <w:pStyle w:val="Funotentext"/>
        <w:rPr>
          <w:lang w:val="en-US"/>
        </w:rPr>
      </w:pPr>
      <w:r>
        <w:rPr>
          <w:rStyle w:val="Funotenzeichen"/>
        </w:rPr>
        <w:footnoteRef/>
      </w:r>
      <w:r w:rsidRPr="0093634A">
        <w:rPr>
          <w:lang w:val="en-US"/>
        </w:rPr>
        <w:t xml:space="preserve"> </w:t>
      </w:r>
      <w:r w:rsidRPr="009E57E1">
        <w:rPr>
          <w:i/>
          <w:lang w:val="en-US"/>
        </w:rPr>
        <w:t>United Public Workers v. Mitchell</w:t>
      </w:r>
      <w:r w:rsidRPr="0093634A">
        <w:rPr>
          <w:lang w:val="en-US"/>
        </w:rPr>
        <w:t>, 330 U.S. 75, 78</w:t>
      </w:r>
      <w:r>
        <w:rPr>
          <w:lang w:val="en-US"/>
        </w:rPr>
        <w:t xml:space="preserve"> = 67 S. Ct. </w:t>
      </w:r>
      <w:r w:rsidRPr="0093634A">
        <w:rPr>
          <w:lang w:val="en-US"/>
        </w:rPr>
        <w:t>556, 558</w:t>
      </w:r>
      <w:r>
        <w:rPr>
          <w:lang w:val="en-US"/>
        </w:rPr>
        <w:t xml:space="preserve"> = 91 L. Ed. </w:t>
      </w:r>
      <w:r w:rsidRPr="0093634A">
        <w:rPr>
          <w:lang w:val="en-US"/>
        </w:rPr>
        <w:t>754, 760</w:t>
      </w:r>
      <w:r>
        <w:rPr>
          <w:lang w:val="en-US"/>
        </w:rPr>
        <w:t xml:space="preserve"> = 1947 U.S. LEXIS </w:t>
      </w:r>
      <w:r w:rsidRPr="0093634A">
        <w:rPr>
          <w:lang w:val="en-US"/>
        </w:rPr>
        <w:t>2960, 6 (1947)</w:t>
      </w:r>
      <w:r>
        <w:rPr>
          <w:lang w:val="en-US"/>
        </w:rPr>
        <w:t>.</w:t>
      </w:r>
    </w:p>
  </w:footnote>
  <w:footnote w:id="910">
    <w:p w14:paraId="4525B583" w14:textId="77777777" w:rsidR="00074551" w:rsidRPr="00034AD4" w:rsidRDefault="00074551" w:rsidP="00074551">
      <w:pPr>
        <w:pStyle w:val="Funotentext"/>
        <w:rPr>
          <w:lang w:val="en-US"/>
        </w:rPr>
      </w:pPr>
      <w:r>
        <w:rPr>
          <w:rStyle w:val="Funotenzeichen"/>
        </w:rPr>
        <w:footnoteRef/>
      </w:r>
      <w:r w:rsidRPr="00034AD4">
        <w:rPr>
          <w:lang w:val="en-US"/>
        </w:rPr>
        <w:t xml:space="preserve"> </w:t>
      </w:r>
      <w:r>
        <w:rPr>
          <w:lang w:val="en-US"/>
        </w:rPr>
        <w:t>„</w:t>
      </w:r>
      <w:r w:rsidRPr="00034AD4">
        <w:rPr>
          <w:lang w:val="en-US"/>
        </w:rPr>
        <w:t xml:space="preserve">Several states have similar provisions. </w:t>
      </w:r>
      <w:r w:rsidRPr="00B45592">
        <w:rPr>
          <w:lang w:val="fr-FR"/>
        </w:rPr>
        <w:t xml:space="preserve">Ala. Code (1940), Tit. 12, </w:t>
      </w:r>
      <w:r>
        <w:rPr>
          <w:lang w:val="fr-FR"/>
        </w:rPr>
        <w:t>§ </w:t>
      </w:r>
      <w:proofErr w:type="gramStart"/>
      <w:r w:rsidRPr="00B45592">
        <w:rPr>
          <w:lang w:val="fr-FR"/>
        </w:rPr>
        <w:t>157;</w:t>
      </w:r>
      <w:proofErr w:type="gramEnd"/>
      <w:r w:rsidRPr="00B45592">
        <w:rPr>
          <w:lang w:val="fr-FR"/>
        </w:rPr>
        <w:t xml:space="preserve"> Conn. Gen. Stat. </w:t>
      </w:r>
      <w:r w:rsidRPr="00034AD4">
        <w:rPr>
          <w:lang w:val="en-US"/>
        </w:rPr>
        <w:t xml:space="preserve">(Supp. 1939), c. 105a </w:t>
      </w:r>
      <w:r>
        <w:rPr>
          <w:lang w:val="en-US"/>
        </w:rPr>
        <w:t>§ </w:t>
      </w:r>
      <w:r w:rsidRPr="00034AD4">
        <w:rPr>
          <w:lang w:val="en-US"/>
        </w:rPr>
        <w:t xml:space="preserve">698e; Ohio Gen. Code (Page, 1937), </w:t>
      </w:r>
      <w:r>
        <w:rPr>
          <w:lang w:val="en-US"/>
        </w:rPr>
        <w:t>§ </w:t>
      </w:r>
      <w:r w:rsidRPr="00034AD4">
        <w:rPr>
          <w:lang w:val="en-US"/>
        </w:rPr>
        <w:t xml:space="preserve">486-23; Pa. Stat. Ann. (Purdon, 1942), Tit. 71, </w:t>
      </w:r>
      <w:r>
        <w:rPr>
          <w:lang w:val="en-US"/>
        </w:rPr>
        <w:t>§ </w:t>
      </w:r>
      <w:r w:rsidRPr="00034AD4">
        <w:rPr>
          <w:lang w:val="en-US"/>
        </w:rPr>
        <w:t xml:space="preserve">741.904; R. I. Acts &amp; Resolves, 1939, p. </w:t>
      </w:r>
      <w:proofErr w:type="gramStart"/>
      <w:r w:rsidRPr="00034AD4">
        <w:rPr>
          <w:lang w:val="en-US"/>
        </w:rPr>
        <w:t>118.</w:t>
      </w:r>
      <w:r>
        <w:rPr>
          <w:lang w:val="en-US"/>
        </w:rPr>
        <w:t>“</w:t>
      </w:r>
      <w:proofErr w:type="gramEnd"/>
      <w:r>
        <w:rPr>
          <w:lang w:val="en-US"/>
        </w:rPr>
        <w:t xml:space="preserve">, </w:t>
      </w:r>
      <w:r w:rsidRPr="009E57E1">
        <w:rPr>
          <w:i/>
          <w:lang w:val="en-US"/>
        </w:rPr>
        <w:t>United Public Workers v. Mitchell</w:t>
      </w:r>
      <w:r w:rsidRPr="00034AD4">
        <w:rPr>
          <w:lang w:val="en-US"/>
        </w:rPr>
        <w:t>, 330 U.S. 75, 99</w:t>
      </w:r>
      <w:r>
        <w:rPr>
          <w:lang w:val="en-US"/>
        </w:rPr>
        <w:t xml:space="preserve"> = 67 S. Ct. </w:t>
      </w:r>
      <w:r w:rsidRPr="00034AD4">
        <w:rPr>
          <w:lang w:val="en-US"/>
        </w:rPr>
        <w:t>556, 569</w:t>
      </w:r>
      <w:r>
        <w:rPr>
          <w:lang w:val="en-US"/>
        </w:rPr>
        <w:t xml:space="preserve"> = 91 L. Ed. </w:t>
      </w:r>
      <w:r w:rsidRPr="00034AD4">
        <w:rPr>
          <w:lang w:val="en-US"/>
        </w:rPr>
        <w:t>754, 772</w:t>
      </w:r>
      <w:r>
        <w:rPr>
          <w:lang w:val="en-US"/>
        </w:rPr>
        <w:t xml:space="preserve"> = 1947 U.S. LEXIS </w:t>
      </w:r>
      <w:r w:rsidRPr="00034AD4">
        <w:rPr>
          <w:lang w:val="en-US"/>
        </w:rPr>
        <w:t>2960, 39 (1947)</w:t>
      </w:r>
      <w:r>
        <w:rPr>
          <w:lang w:val="en-US"/>
        </w:rPr>
        <w:t>.</w:t>
      </w:r>
    </w:p>
  </w:footnote>
  <w:footnote w:id="911">
    <w:p w14:paraId="52B129D9" w14:textId="77777777" w:rsidR="00074551" w:rsidRPr="00034AD4" w:rsidRDefault="00074551" w:rsidP="00074551">
      <w:pPr>
        <w:pStyle w:val="Funotentext"/>
        <w:rPr>
          <w:lang w:val="en-US"/>
        </w:rPr>
      </w:pPr>
      <w:r>
        <w:rPr>
          <w:rStyle w:val="Funotenzeichen"/>
        </w:rPr>
        <w:footnoteRef/>
      </w:r>
      <w:r w:rsidRPr="00034AD4">
        <w:rPr>
          <w:lang w:val="en-US"/>
        </w:rPr>
        <w:t xml:space="preserve"> </w:t>
      </w:r>
      <w:r w:rsidRPr="009E57E1">
        <w:rPr>
          <w:i/>
          <w:lang w:val="en-US"/>
        </w:rPr>
        <w:t>United Public Workers v. Mitchell</w:t>
      </w:r>
      <w:r w:rsidRPr="00034AD4">
        <w:rPr>
          <w:lang w:val="en-US"/>
        </w:rPr>
        <w:t>, 330 U.S. 75, 99</w:t>
      </w:r>
      <w:r>
        <w:rPr>
          <w:lang w:val="en-US"/>
        </w:rPr>
        <w:t xml:space="preserve"> = 67 S. Ct. </w:t>
      </w:r>
      <w:r w:rsidRPr="00034AD4">
        <w:rPr>
          <w:lang w:val="en-US"/>
        </w:rPr>
        <w:t>556, 569</w:t>
      </w:r>
      <w:r>
        <w:rPr>
          <w:lang w:val="en-US"/>
        </w:rPr>
        <w:t xml:space="preserve"> = 91 L. Ed. </w:t>
      </w:r>
      <w:r w:rsidRPr="00034AD4">
        <w:rPr>
          <w:lang w:val="en-US"/>
        </w:rPr>
        <w:t>754, 772</w:t>
      </w:r>
      <w:r>
        <w:rPr>
          <w:lang w:val="en-US"/>
        </w:rPr>
        <w:t xml:space="preserve"> = 1947 U.S. LEXIS </w:t>
      </w:r>
      <w:r w:rsidRPr="00034AD4">
        <w:rPr>
          <w:lang w:val="en-US"/>
        </w:rPr>
        <w:t>2960, 40 (1947)</w:t>
      </w:r>
      <w:r>
        <w:rPr>
          <w:lang w:val="en-US"/>
        </w:rPr>
        <w:t>.</w:t>
      </w:r>
    </w:p>
  </w:footnote>
  <w:footnote w:id="912">
    <w:p w14:paraId="719F39B4" w14:textId="77777777" w:rsidR="00074551" w:rsidRPr="00034AD4" w:rsidRDefault="00074551" w:rsidP="00074551">
      <w:pPr>
        <w:pStyle w:val="Funotentext"/>
        <w:rPr>
          <w:lang w:val="en-US"/>
        </w:rPr>
      </w:pPr>
      <w:r>
        <w:rPr>
          <w:rStyle w:val="Funotenzeichen"/>
        </w:rPr>
        <w:footnoteRef/>
      </w:r>
      <w:r w:rsidRPr="00034AD4">
        <w:rPr>
          <w:lang w:val="en-US"/>
        </w:rPr>
        <w:t xml:space="preserve"> </w:t>
      </w:r>
      <w:r w:rsidRPr="009E57E1">
        <w:rPr>
          <w:i/>
          <w:lang w:val="en-US"/>
        </w:rPr>
        <w:t>United Public Workers v. Mitchell</w:t>
      </w:r>
      <w:r w:rsidRPr="00034AD4">
        <w:rPr>
          <w:lang w:val="en-US"/>
        </w:rPr>
        <w:t>, 330 U.S. 75, 107</w:t>
      </w:r>
      <w:r>
        <w:rPr>
          <w:lang w:val="en-US"/>
        </w:rPr>
        <w:t xml:space="preserve"> = 67 S. Ct. </w:t>
      </w:r>
      <w:r w:rsidRPr="00034AD4">
        <w:rPr>
          <w:lang w:val="en-US"/>
        </w:rPr>
        <w:t>556, 573</w:t>
      </w:r>
      <w:r>
        <w:rPr>
          <w:lang w:val="en-US"/>
        </w:rPr>
        <w:t xml:space="preserve"> = 91 L. Ed. </w:t>
      </w:r>
      <w:r w:rsidRPr="00034AD4">
        <w:rPr>
          <w:lang w:val="en-US"/>
        </w:rPr>
        <w:t>754, 776</w:t>
      </w:r>
      <w:r>
        <w:rPr>
          <w:lang w:val="en-US"/>
        </w:rPr>
        <w:t xml:space="preserve"> = 1947 U.S. LEXIS </w:t>
      </w:r>
      <w:r w:rsidRPr="00034AD4">
        <w:rPr>
          <w:lang w:val="en-US"/>
        </w:rPr>
        <w:t>2960, 50 (1947)</w:t>
      </w:r>
      <w:r>
        <w:rPr>
          <w:lang w:val="en-US"/>
        </w:rPr>
        <w:t>.</w:t>
      </w:r>
    </w:p>
  </w:footnote>
  <w:footnote w:id="913">
    <w:p w14:paraId="0475A05C" w14:textId="77777777" w:rsidR="00074551" w:rsidRPr="004B7BB4" w:rsidRDefault="00074551" w:rsidP="00074551">
      <w:pPr>
        <w:pStyle w:val="Funotentext"/>
        <w:rPr>
          <w:lang w:val="en-US"/>
        </w:rPr>
      </w:pPr>
      <w:r>
        <w:rPr>
          <w:rStyle w:val="Funotenzeichen"/>
        </w:rPr>
        <w:footnoteRef/>
      </w:r>
      <w:r w:rsidRPr="004B7BB4">
        <w:rPr>
          <w:lang w:val="en-US"/>
        </w:rPr>
        <w:t xml:space="preserve"> </w:t>
      </w:r>
      <w:r w:rsidRPr="009E57E1">
        <w:rPr>
          <w:i/>
          <w:lang w:val="en-US"/>
        </w:rPr>
        <w:t>Bethel Sch. Dist. v. Fraser</w:t>
      </w:r>
      <w:r w:rsidRPr="004B7BB4">
        <w:rPr>
          <w:lang w:val="en-US"/>
        </w:rPr>
        <w:t>, 478 U.S. 675, 677</w:t>
      </w:r>
      <w:r>
        <w:rPr>
          <w:lang w:val="en-US"/>
        </w:rPr>
        <w:t xml:space="preserve"> = 106 S. Ct. </w:t>
      </w:r>
      <w:r w:rsidRPr="004B7BB4">
        <w:rPr>
          <w:lang w:val="en-US"/>
        </w:rPr>
        <w:t>3159, 3161</w:t>
      </w:r>
      <w:r w:rsidRPr="006E67FE">
        <w:rPr>
          <w:lang w:val="en-US"/>
        </w:rPr>
        <w:t xml:space="preserve"> = 92 L. Ed. </w:t>
      </w:r>
      <w:r w:rsidRPr="004B7BB4">
        <w:rPr>
          <w:lang w:val="en-US"/>
        </w:rPr>
        <w:t>2d 549, 554</w:t>
      </w:r>
      <w:r>
        <w:rPr>
          <w:lang w:val="en-US"/>
        </w:rPr>
        <w:t xml:space="preserve"> = 1986 U.S. LEXIS </w:t>
      </w:r>
      <w:r w:rsidRPr="004B7BB4">
        <w:rPr>
          <w:lang w:val="en-US"/>
        </w:rPr>
        <w:t>139, 1</w:t>
      </w:r>
      <w:r>
        <w:rPr>
          <w:lang w:val="en-US"/>
        </w:rPr>
        <w:t xml:space="preserve"> = 54 U.S.L.W</w:t>
      </w:r>
      <w:r w:rsidRPr="004B7BB4">
        <w:rPr>
          <w:lang w:val="en-US"/>
        </w:rPr>
        <w:t>. 5054 (1986)</w:t>
      </w:r>
      <w:r>
        <w:rPr>
          <w:lang w:val="en-US"/>
        </w:rPr>
        <w:t>.</w:t>
      </w:r>
    </w:p>
  </w:footnote>
  <w:footnote w:id="914">
    <w:p w14:paraId="2F95A78A" w14:textId="77777777" w:rsidR="00074551" w:rsidRPr="00260234" w:rsidRDefault="00074551" w:rsidP="00074551">
      <w:pPr>
        <w:pStyle w:val="Funotentext"/>
        <w:rPr>
          <w:lang w:val="en-US"/>
        </w:rPr>
      </w:pPr>
      <w:r>
        <w:rPr>
          <w:rStyle w:val="Funotenzeichen"/>
        </w:rPr>
        <w:footnoteRef/>
      </w:r>
      <w:r w:rsidRPr="00260234">
        <w:rPr>
          <w:lang w:val="en-US"/>
        </w:rPr>
        <w:t xml:space="preserve"> </w:t>
      </w:r>
      <w:r w:rsidRPr="00B45592">
        <w:rPr>
          <w:i/>
          <w:lang w:val="en-US"/>
        </w:rPr>
        <w:t>Thomas v. Board of Education, Granville Central School Dist.</w:t>
      </w:r>
      <w:r w:rsidRPr="00260234">
        <w:rPr>
          <w:lang w:val="en-US"/>
        </w:rPr>
        <w:t>, 607 F.2d 1043, 1057 (CA2 1979) (</w:t>
      </w:r>
      <w:bookmarkStart w:id="51" w:name="_Hlk228824352"/>
      <w:r w:rsidRPr="00B45592">
        <w:rPr>
          <w:i/>
          <w:lang w:val="en-US"/>
        </w:rPr>
        <w:t>concurring opinion</w:t>
      </w:r>
      <w:bookmarkEnd w:id="51"/>
      <w:r w:rsidRPr="00260234">
        <w:rPr>
          <w:lang w:val="en-US"/>
        </w:rPr>
        <w:t>)</w:t>
      </w:r>
      <w:r>
        <w:rPr>
          <w:lang w:val="en-US"/>
        </w:rPr>
        <w:t xml:space="preserve">; </w:t>
      </w:r>
      <w:r w:rsidRPr="009E57E1">
        <w:rPr>
          <w:i/>
          <w:lang w:val="en-US"/>
        </w:rPr>
        <w:t>Bethel Sch. Dist. v. Fraser</w:t>
      </w:r>
      <w:r w:rsidRPr="00260234">
        <w:rPr>
          <w:lang w:val="en-US"/>
        </w:rPr>
        <w:t>, 478 U.S. 675, 682</w:t>
      </w:r>
      <w:r>
        <w:rPr>
          <w:lang w:val="en-US"/>
        </w:rPr>
        <w:t>–</w:t>
      </w:r>
      <w:r w:rsidRPr="00260234">
        <w:rPr>
          <w:lang w:val="en-US"/>
        </w:rPr>
        <w:t>683</w:t>
      </w:r>
      <w:r>
        <w:rPr>
          <w:lang w:val="en-US"/>
        </w:rPr>
        <w:t xml:space="preserve"> = 106 S. Ct. </w:t>
      </w:r>
      <w:r w:rsidRPr="00260234">
        <w:rPr>
          <w:lang w:val="en-US"/>
        </w:rPr>
        <w:t>3159, 3164</w:t>
      </w:r>
      <w:r w:rsidRPr="006E67FE">
        <w:rPr>
          <w:lang w:val="en-US"/>
        </w:rPr>
        <w:t xml:space="preserve"> = 92 L. Ed. </w:t>
      </w:r>
      <w:r w:rsidRPr="00260234">
        <w:rPr>
          <w:lang w:val="en-US"/>
        </w:rPr>
        <w:t>2d 549, 558</w:t>
      </w:r>
      <w:r>
        <w:rPr>
          <w:lang w:val="en-US"/>
        </w:rPr>
        <w:t xml:space="preserve"> = 1986 U.S. LEXIS </w:t>
      </w:r>
      <w:r w:rsidRPr="00260234">
        <w:rPr>
          <w:lang w:val="en-US"/>
        </w:rPr>
        <w:t>139, 15</w:t>
      </w:r>
      <w:r>
        <w:rPr>
          <w:lang w:val="en-US"/>
        </w:rPr>
        <w:t xml:space="preserve"> = 54 U.S.L.W</w:t>
      </w:r>
      <w:r w:rsidRPr="00260234">
        <w:rPr>
          <w:lang w:val="en-US"/>
        </w:rPr>
        <w:t>. 5054 (1986)</w:t>
      </w:r>
      <w:r>
        <w:rPr>
          <w:lang w:val="en-US"/>
        </w:rPr>
        <w:t>.</w:t>
      </w:r>
    </w:p>
  </w:footnote>
  <w:footnote w:id="915">
    <w:p w14:paraId="1B4922DD" w14:textId="77777777" w:rsidR="00074551" w:rsidRPr="00DF0CD6" w:rsidRDefault="00074551" w:rsidP="00074551">
      <w:pPr>
        <w:pStyle w:val="Funotentext"/>
        <w:rPr>
          <w:lang w:val="en-US"/>
        </w:rPr>
      </w:pPr>
      <w:r>
        <w:rPr>
          <w:rStyle w:val="Funotenzeichen"/>
        </w:rPr>
        <w:footnoteRef/>
      </w:r>
      <w:r w:rsidRPr="00DF0CD6">
        <w:rPr>
          <w:lang w:val="en-US"/>
        </w:rPr>
        <w:t xml:space="preserve"> </w:t>
      </w:r>
      <w:r w:rsidRPr="009E57E1">
        <w:rPr>
          <w:i/>
          <w:lang w:val="en-US"/>
        </w:rPr>
        <w:t>Bethel Sch. Dist. v. Fraser</w:t>
      </w:r>
      <w:r w:rsidRPr="00DF0CD6">
        <w:rPr>
          <w:lang w:val="en-US"/>
        </w:rPr>
        <w:t>, 478 U.S. 675, 681</w:t>
      </w:r>
      <w:r>
        <w:rPr>
          <w:lang w:val="en-US"/>
        </w:rPr>
        <w:t xml:space="preserve"> = 106 S. Ct. </w:t>
      </w:r>
      <w:r w:rsidRPr="00DF0CD6">
        <w:rPr>
          <w:lang w:val="en-US"/>
        </w:rPr>
        <w:t>3159, 3163</w:t>
      </w:r>
      <w:r w:rsidRPr="006E67FE">
        <w:rPr>
          <w:lang w:val="en-US"/>
        </w:rPr>
        <w:t xml:space="preserve"> = 92 L. Ed. </w:t>
      </w:r>
      <w:r w:rsidRPr="00DF0CD6">
        <w:rPr>
          <w:lang w:val="en-US"/>
        </w:rPr>
        <w:t>2d 549, 557</w:t>
      </w:r>
      <w:r>
        <w:rPr>
          <w:lang w:val="en-US"/>
        </w:rPr>
        <w:t xml:space="preserve"> = 1986 U.S. LEXIS </w:t>
      </w:r>
      <w:r w:rsidRPr="00DF0CD6">
        <w:rPr>
          <w:lang w:val="en-US"/>
        </w:rPr>
        <w:t>139, 12</w:t>
      </w:r>
      <w:r>
        <w:rPr>
          <w:lang w:val="en-US"/>
        </w:rPr>
        <w:t xml:space="preserve"> = 54 U.S.L.W</w:t>
      </w:r>
      <w:r w:rsidRPr="00DF0CD6">
        <w:rPr>
          <w:lang w:val="en-US"/>
        </w:rPr>
        <w:t>. 5054 (1986)</w:t>
      </w:r>
      <w:r>
        <w:rPr>
          <w:lang w:val="en-US"/>
        </w:rPr>
        <w:t>.</w:t>
      </w:r>
    </w:p>
  </w:footnote>
  <w:footnote w:id="916">
    <w:p w14:paraId="5FCB47EF" w14:textId="77777777" w:rsidR="00074551" w:rsidRPr="00DF0CD6" w:rsidRDefault="00074551" w:rsidP="00074551">
      <w:pPr>
        <w:pStyle w:val="Funotentext"/>
        <w:rPr>
          <w:lang w:val="en-US"/>
        </w:rPr>
      </w:pPr>
      <w:r>
        <w:rPr>
          <w:rStyle w:val="Funotenzeichen"/>
        </w:rPr>
        <w:footnoteRef/>
      </w:r>
      <w:r w:rsidRPr="00DF0CD6">
        <w:rPr>
          <w:lang w:val="en-US"/>
        </w:rPr>
        <w:t xml:space="preserve"> </w:t>
      </w:r>
      <w:r w:rsidRPr="00B45592">
        <w:rPr>
          <w:i/>
          <w:lang w:val="en-US"/>
        </w:rPr>
        <w:t>C. Beard &amp; M. Beard</w:t>
      </w:r>
      <w:r w:rsidRPr="00DF0CD6">
        <w:rPr>
          <w:lang w:val="en-US"/>
        </w:rPr>
        <w:t>, New Basic History of the United States 228 (1968)</w:t>
      </w:r>
      <w:r>
        <w:rPr>
          <w:lang w:val="en-US"/>
        </w:rPr>
        <w:t xml:space="preserve">; </w:t>
      </w:r>
      <w:r w:rsidRPr="009E57E1">
        <w:rPr>
          <w:i/>
          <w:lang w:val="en-US"/>
        </w:rPr>
        <w:t>Bethel Sch. Dist. v. Fraser</w:t>
      </w:r>
      <w:r w:rsidRPr="00DF0CD6">
        <w:rPr>
          <w:lang w:val="en-US"/>
        </w:rPr>
        <w:t>, 478 U.S. 675, 681</w:t>
      </w:r>
      <w:r>
        <w:rPr>
          <w:lang w:val="en-US"/>
        </w:rPr>
        <w:t xml:space="preserve"> = 106 S. Ct. </w:t>
      </w:r>
      <w:r w:rsidRPr="00DF0CD6">
        <w:rPr>
          <w:lang w:val="en-US"/>
        </w:rPr>
        <w:t>3159, 3163</w:t>
      </w:r>
      <w:r w:rsidRPr="006E67FE">
        <w:rPr>
          <w:lang w:val="en-US"/>
        </w:rPr>
        <w:t xml:space="preserve"> = 92 L. Ed. </w:t>
      </w:r>
      <w:r w:rsidRPr="00DF0CD6">
        <w:rPr>
          <w:lang w:val="en-US"/>
        </w:rPr>
        <w:t>2d 549, 557</w:t>
      </w:r>
      <w:r>
        <w:rPr>
          <w:lang w:val="en-US"/>
        </w:rPr>
        <w:t xml:space="preserve"> = 1986 U.S. LEXIS </w:t>
      </w:r>
      <w:r w:rsidRPr="00DF0CD6">
        <w:rPr>
          <w:lang w:val="en-US"/>
        </w:rPr>
        <w:t>139, 12</w:t>
      </w:r>
      <w:r>
        <w:rPr>
          <w:lang w:val="en-US"/>
        </w:rPr>
        <w:t xml:space="preserve"> = 54 U.S.L.W</w:t>
      </w:r>
      <w:r w:rsidRPr="00DF0CD6">
        <w:rPr>
          <w:lang w:val="en-US"/>
        </w:rPr>
        <w:t>. 5054 (1986)</w:t>
      </w:r>
      <w:r>
        <w:rPr>
          <w:lang w:val="en-US"/>
        </w:rPr>
        <w:t>.</w:t>
      </w:r>
    </w:p>
  </w:footnote>
  <w:footnote w:id="917">
    <w:p w14:paraId="149378E3" w14:textId="77777777" w:rsidR="00074551" w:rsidRPr="00DF0CD6" w:rsidRDefault="00074551" w:rsidP="00074551">
      <w:pPr>
        <w:pStyle w:val="Funotentext"/>
        <w:rPr>
          <w:lang w:val="en-US"/>
        </w:rPr>
      </w:pPr>
      <w:r>
        <w:rPr>
          <w:rStyle w:val="Funotenzeichen"/>
        </w:rPr>
        <w:footnoteRef/>
      </w:r>
      <w:r w:rsidRPr="00DF0CD6">
        <w:rPr>
          <w:lang w:val="en-US"/>
        </w:rPr>
        <w:t xml:space="preserve"> </w:t>
      </w:r>
      <w:r w:rsidRPr="00B45592">
        <w:rPr>
          <w:i/>
          <w:lang w:val="en-US"/>
        </w:rPr>
        <w:t xml:space="preserve">Ambach v. </w:t>
      </w:r>
      <w:proofErr w:type="spellStart"/>
      <w:r w:rsidRPr="00B45592">
        <w:rPr>
          <w:i/>
          <w:lang w:val="en-US"/>
        </w:rPr>
        <w:t>Norwick</w:t>
      </w:r>
      <w:proofErr w:type="spellEnd"/>
      <w:r w:rsidRPr="00DF0CD6">
        <w:rPr>
          <w:lang w:val="en-US"/>
        </w:rPr>
        <w:t>, 441 U.S. 68, 76</w:t>
      </w:r>
      <w:r>
        <w:rPr>
          <w:lang w:val="en-US"/>
        </w:rPr>
        <w:t>–</w:t>
      </w:r>
      <w:r w:rsidRPr="00DF0CD6">
        <w:rPr>
          <w:lang w:val="en-US"/>
        </w:rPr>
        <w:t>77 (1979)</w:t>
      </w:r>
      <w:r>
        <w:rPr>
          <w:lang w:val="en-US"/>
        </w:rPr>
        <w:t xml:space="preserve">; </w:t>
      </w:r>
      <w:r w:rsidRPr="009E57E1">
        <w:rPr>
          <w:i/>
          <w:lang w:val="en-US"/>
        </w:rPr>
        <w:t>Bethel Sch. Dist. v. Fraser</w:t>
      </w:r>
      <w:r w:rsidRPr="00DF0CD6">
        <w:rPr>
          <w:lang w:val="en-US"/>
        </w:rPr>
        <w:t>, 478 U.S. 675, 681</w:t>
      </w:r>
      <w:r>
        <w:rPr>
          <w:lang w:val="en-US"/>
        </w:rPr>
        <w:t xml:space="preserve"> = 106 S. Ct. </w:t>
      </w:r>
      <w:r w:rsidRPr="00DF0CD6">
        <w:rPr>
          <w:lang w:val="en-US"/>
        </w:rPr>
        <w:t>3159, 3163</w:t>
      </w:r>
      <w:r w:rsidRPr="006E67FE">
        <w:rPr>
          <w:lang w:val="en-US"/>
        </w:rPr>
        <w:t xml:space="preserve"> = 92 L. Ed. </w:t>
      </w:r>
      <w:r w:rsidRPr="00DF0CD6">
        <w:rPr>
          <w:lang w:val="en-US"/>
        </w:rPr>
        <w:t>2d 549, 557</w:t>
      </w:r>
      <w:r>
        <w:rPr>
          <w:lang w:val="en-US"/>
        </w:rPr>
        <w:t xml:space="preserve"> = 1986 U.S. LEXIS </w:t>
      </w:r>
      <w:r w:rsidRPr="00DF0CD6">
        <w:rPr>
          <w:lang w:val="en-US"/>
        </w:rPr>
        <w:t>139, 12</w:t>
      </w:r>
      <w:r>
        <w:rPr>
          <w:lang w:val="en-US"/>
        </w:rPr>
        <w:t xml:space="preserve"> = 54 U.S.L.W</w:t>
      </w:r>
      <w:r w:rsidRPr="00DF0CD6">
        <w:rPr>
          <w:lang w:val="en-US"/>
        </w:rPr>
        <w:t>. 5054 (1986)</w:t>
      </w:r>
      <w:r>
        <w:rPr>
          <w:lang w:val="en-US"/>
        </w:rPr>
        <w:t>.</w:t>
      </w:r>
    </w:p>
  </w:footnote>
  <w:footnote w:id="918">
    <w:p w14:paraId="789166DE" w14:textId="77777777" w:rsidR="00074551" w:rsidRPr="00DF0CD6" w:rsidRDefault="00074551" w:rsidP="00074551">
      <w:pPr>
        <w:pStyle w:val="Funotentext"/>
        <w:rPr>
          <w:lang w:val="en-US"/>
        </w:rPr>
      </w:pPr>
      <w:r>
        <w:rPr>
          <w:rStyle w:val="Funotenzeichen"/>
        </w:rPr>
        <w:footnoteRef/>
      </w:r>
      <w:r w:rsidRPr="00DF0CD6">
        <w:rPr>
          <w:lang w:val="en-US"/>
        </w:rPr>
        <w:t xml:space="preserve"> </w:t>
      </w:r>
      <w:proofErr w:type="spellStart"/>
      <w:r>
        <w:rPr>
          <w:lang w:val="en-US"/>
        </w:rPr>
        <w:t>Siehe</w:t>
      </w:r>
      <w:proofErr w:type="spellEnd"/>
      <w:r w:rsidRPr="00DF0CD6">
        <w:rPr>
          <w:lang w:val="en-US"/>
        </w:rPr>
        <w:t xml:space="preserve"> </w:t>
      </w:r>
      <w:r w:rsidRPr="00B45592">
        <w:rPr>
          <w:i/>
          <w:lang w:val="en-US"/>
        </w:rPr>
        <w:t>Cohen v. California</w:t>
      </w:r>
      <w:r w:rsidRPr="00DF0CD6">
        <w:rPr>
          <w:lang w:val="en-US"/>
        </w:rPr>
        <w:t>, 403 U.S. 15 (1971)</w:t>
      </w:r>
      <w:r>
        <w:rPr>
          <w:lang w:val="en-US"/>
        </w:rPr>
        <w:t xml:space="preserve">; </w:t>
      </w:r>
      <w:r w:rsidRPr="009E57E1">
        <w:rPr>
          <w:i/>
          <w:lang w:val="en-US"/>
        </w:rPr>
        <w:t>Bethel Sch. Dist. v. Fraser</w:t>
      </w:r>
      <w:r w:rsidRPr="00DF0CD6">
        <w:rPr>
          <w:lang w:val="en-US"/>
        </w:rPr>
        <w:t>, 478 U.S. 675, 682</w:t>
      </w:r>
      <w:r>
        <w:rPr>
          <w:lang w:val="en-US"/>
        </w:rPr>
        <w:t xml:space="preserve"> = 106 S. Ct. </w:t>
      </w:r>
      <w:r w:rsidRPr="00DF0CD6">
        <w:rPr>
          <w:lang w:val="en-US"/>
        </w:rPr>
        <w:t>3159, 3164</w:t>
      </w:r>
      <w:r w:rsidRPr="006E67FE">
        <w:rPr>
          <w:lang w:val="en-US"/>
        </w:rPr>
        <w:t xml:space="preserve"> = 92 L. Ed. </w:t>
      </w:r>
      <w:r w:rsidRPr="00DF0CD6">
        <w:rPr>
          <w:lang w:val="en-US"/>
        </w:rPr>
        <w:t>2d 549, 558</w:t>
      </w:r>
      <w:r>
        <w:rPr>
          <w:lang w:val="en-US"/>
        </w:rPr>
        <w:t xml:space="preserve"> = 1986 U.S. LEXIS </w:t>
      </w:r>
      <w:r w:rsidRPr="00DF0CD6">
        <w:rPr>
          <w:lang w:val="en-US"/>
        </w:rPr>
        <w:t>139, 14</w:t>
      </w:r>
      <w:r>
        <w:rPr>
          <w:lang w:val="en-US"/>
        </w:rPr>
        <w:t xml:space="preserve"> = 54 U.S.L.W</w:t>
      </w:r>
      <w:r w:rsidRPr="00DF0CD6">
        <w:rPr>
          <w:lang w:val="en-US"/>
        </w:rPr>
        <w:t>. 5054 (1986)</w:t>
      </w:r>
      <w:r>
        <w:rPr>
          <w:lang w:val="en-US"/>
        </w:rPr>
        <w:t>.</w:t>
      </w:r>
    </w:p>
  </w:footnote>
  <w:footnote w:id="919">
    <w:p w14:paraId="7D243AA5" w14:textId="77777777" w:rsidR="00074551" w:rsidRPr="00260234" w:rsidRDefault="00074551" w:rsidP="00074551">
      <w:pPr>
        <w:pStyle w:val="Funotentext"/>
        <w:rPr>
          <w:lang w:val="en-US"/>
        </w:rPr>
      </w:pPr>
      <w:r>
        <w:rPr>
          <w:rStyle w:val="Funotenzeichen"/>
        </w:rPr>
        <w:footnoteRef/>
      </w:r>
      <w:r w:rsidRPr="00260234">
        <w:rPr>
          <w:lang w:val="en-US"/>
        </w:rPr>
        <w:t xml:space="preserve"> </w:t>
      </w:r>
      <w:r w:rsidRPr="00B45592">
        <w:rPr>
          <w:i/>
          <w:lang w:val="en-US"/>
        </w:rPr>
        <w:t>Thomas v. Board of Education, Granville Central School Dist.</w:t>
      </w:r>
      <w:r w:rsidRPr="00260234">
        <w:rPr>
          <w:lang w:val="en-US"/>
        </w:rPr>
        <w:t>, 607 F.2d 1043, 1057 (CA2 1979) (opinion concurring in result)</w:t>
      </w:r>
      <w:r>
        <w:rPr>
          <w:lang w:val="en-US"/>
        </w:rPr>
        <w:t xml:space="preserve">; </w:t>
      </w:r>
      <w:r w:rsidRPr="009E57E1">
        <w:rPr>
          <w:i/>
          <w:lang w:val="en-US"/>
        </w:rPr>
        <w:t>Bethel Sch. Dist. v. Fraser</w:t>
      </w:r>
      <w:r w:rsidRPr="00260234">
        <w:rPr>
          <w:lang w:val="en-US"/>
        </w:rPr>
        <w:t>, 478 U.S. 675, 682</w:t>
      </w:r>
      <w:r>
        <w:rPr>
          <w:lang w:val="en-US"/>
        </w:rPr>
        <w:t>–</w:t>
      </w:r>
      <w:r w:rsidRPr="00260234">
        <w:rPr>
          <w:lang w:val="en-US"/>
        </w:rPr>
        <w:t>683</w:t>
      </w:r>
      <w:r>
        <w:rPr>
          <w:lang w:val="en-US"/>
        </w:rPr>
        <w:t xml:space="preserve"> = 106 S. Ct. </w:t>
      </w:r>
      <w:r w:rsidRPr="00260234">
        <w:rPr>
          <w:lang w:val="en-US"/>
        </w:rPr>
        <w:t>3159, 3164</w:t>
      </w:r>
      <w:r w:rsidRPr="006E67FE">
        <w:rPr>
          <w:lang w:val="en-US"/>
        </w:rPr>
        <w:t xml:space="preserve"> = 92 L. Ed. </w:t>
      </w:r>
      <w:r w:rsidRPr="00260234">
        <w:rPr>
          <w:lang w:val="en-US"/>
        </w:rPr>
        <w:t>2d 549, 558</w:t>
      </w:r>
      <w:r>
        <w:rPr>
          <w:lang w:val="en-US"/>
        </w:rPr>
        <w:t xml:space="preserve"> = 1986 U.S. LEXIS </w:t>
      </w:r>
      <w:r w:rsidRPr="00260234">
        <w:rPr>
          <w:lang w:val="en-US"/>
        </w:rPr>
        <w:t>139, 15</w:t>
      </w:r>
      <w:r>
        <w:rPr>
          <w:lang w:val="en-US"/>
        </w:rPr>
        <w:t xml:space="preserve"> = 54 U.S.L.W</w:t>
      </w:r>
      <w:r w:rsidRPr="00260234">
        <w:rPr>
          <w:lang w:val="en-US"/>
        </w:rPr>
        <w:t>. 5054 (1986)</w:t>
      </w:r>
      <w:r>
        <w:rPr>
          <w:lang w:val="en-US"/>
        </w:rPr>
        <w:t>.</w:t>
      </w:r>
    </w:p>
  </w:footnote>
  <w:footnote w:id="920">
    <w:p w14:paraId="71EAD0A3" w14:textId="77777777" w:rsidR="00074551" w:rsidRPr="00273DFA" w:rsidRDefault="00074551" w:rsidP="00074551">
      <w:pPr>
        <w:pStyle w:val="Funotentext"/>
        <w:rPr>
          <w:lang w:val="en-US"/>
        </w:rPr>
      </w:pPr>
      <w:r>
        <w:rPr>
          <w:rStyle w:val="Funotenzeichen"/>
        </w:rPr>
        <w:footnoteRef/>
      </w:r>
      <w:r w:rsidRPr="00273DFA">
        <w:rPr>
          <w:lang w:val="en-US"/>
        </w:rPr>
        <w:t xml:space="preserve"> </w:t>
      </w:r>
      <w:proofErr w:type="spellStart"/>
      <w:r>
        <w:rPr>
          <w:lang w:val="en-US"/>
        </w:rPr>
        <w:t>Siehe</w:t>
      </w:r>
      <w:proofErr w:type="spellEnd"/>
      <w:r w:rsidRPr="00273DFA">
        <w:rPr>
          <w:lang w:val="en-US"/>
        </w:rPr>
        <w:t xml:space="preserve"> </w:t>
      </w:r>
      <w:r w:rsidRPr="00B45592">
        <w:rPr>
          <w:i/>
          <w:lang w:val="en-US"/>
        </w:rPr>
        <w:t>Freeman v. Pitts</w:t>
      </w:r>
      <w:r w:rsidRPr="00273DFA">
        <w:rPr>
          <w:lang w:val="en-US"/>
        </w:rPr>
        <w:t>, 503 U.S. 467, 494</w:t>
      </w:r>
      <w:r>
        <w:rPr>
          <w:lang w:val="en-US"/>
        </w:rPr>
        <w:t xml:space="preserve"> = 112 S. Ct. </w:t>
      </w:r>
      <w:r w:rsidRPr="00273DFA">
        <w:rPr>
          <w:lang w:val="en-US"/>
        </w:rPr>
        <w:t>1430</w:t>
      </w:r>
      <w:r>
        <w:rPr>
          <w:lang w:val="en-US"/>
        </w:rPr>
        <w:t xml:space="preserve"> = 118 L. Ed. </w:t>
      </w:r>
      <w:r w:rsidRPr="00273DFA">
        <w:rPr>
          <w:lang w:val="en-US"/>
        </w:rPr>
        <w:t>2d 108 (1992)</w:t>
      </w:r>
      <w:r>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273DFA">
        <w:rPr>
          <w:lang w:val="en-US"/>
        </w:rPr>
        <w:t>, 551 U.S. 701, 720</w:t>
      </w:r>
      <w:r>
        <w:rPr>
          <w:lang w:val="en-US"/>
        </w:rPr>
        <w:t xml:space="preserve"> = 127 S. Ct. </w:t>
      </w:r>
      <w:r w:rsidRPr="00273DFA">
        <w:rPr>
          <w:lang w:val="en-US"/>
        </w:rPr>
        <w:t>2738, 2752</w:t>
      </w:r>
      <w:r>
        <w:rPr>
          <w:lang w:val="en-US"/>
        </w:rPr>
        <w:t xml:space="preserve"> = 168 L. Ed. </w:t>
      </w:r>
      <w:r w:rsidRPr="00273DFA">
        <w:rPr>
          <w:lang w:val="en-US"/>
        </w:rPr>
        <w:t>2d 508, 523</w:t>
      </w:r>
      <w:r>
        <w:rPr>
          <w:lang w:val="en-US"/>
        </w:rPr>
        <w:t xml:space="preserve"> = 2007 U.S. LEXIS </w:t>
      </w:r>
      <w:r w:rsidRPr="00273DFA">
        <w:rPr>
          <w:lang w:val="en-US"/>
        </w:rPr>
        <w:t>8670, 38</w:t>
      </w:r>
      <w:r>
        <w:rPr>
          <w:lang w:val="en-US"/>
        </w:rPr>
        <w:t xml:space="preserve"> = 75 U.S.L.W. </w:t>
      </w:r>
      <w:r w:rsidRPr="00273DFA">
        <w:rPr>
          <w:lang w:val="en-US"/>
        </w:rPr>
        <w:t>4577</w:t>
      </w:r>
      <w:r>
        <w:rPr>
          <w:lang w:val="en-US"/>
        </w:rPr>
        <w:t xml:space="preserve"> = 20 Fla. L. Weekly </w:t>
      </w:r>
      <w:r w:rsidRPr="00273DFA">
        <w:rPr>
          <w:lang w:val="en-US"/>
        </w:rPr>
        <w:t>Fed. S 490 (2007)</w:t>
      </w:r>
      <w:r>
        <w:rPr>
          <w:lang w:val="en-US"/>
        </w:rPr>
        <w:t>.</w:t>
      </w:r>
    </w:p>
  </w:footnote>
  <w:footnote w:id="921">
    <w:p w14:paraId="5852F16D" w14:textId="77777777" w:rsidR="00074551" w:rsidRPr="00EF5D28" w:rsidRDefault="00074551" w:rsidP="00074551">
      <w:pPr>
        <w:pStyle w:val="Funotentext"/>
        <w:rPr>
          <w:lang w:val="en-US"/>
        </w:rPr>
      </w:pPr>
      <w:r>
        <w:rPr>
          <w:rStyle w:val="Funotenzeichen"/>
        </w:rPr>
        <w:footnoteRef/>
      </w:r>
      <w:r w:rsidRPr="00774988">
        <w:rPr>
          <w:lang w:val="en-US"/>
        </w:rPr>
        <w:t xml:space="preserve"> </w:t>
      </w:r>
      <w:r w:rsidRPr="00B45592">
        <w:rPr>
          <w:i/>
          <w:lang w:val="en-US"/>
        </w:rPr>
        <w:t>Brown v. Board of Education</w:t>
      </w:r>
      <w:r w:rsidRPr="00774988">
        <w:rPr>
          <w:lang w:val="en-US"/>
        </w:rPr>
        <w:t>, O.T. 1952, N</w:t>
      </w:r>
      <w:r>
        <w:rPr>
          <w:lang w:val="en-US"/>
        </w:rPr>
        <w:t>r</w:t>
      </w:r>
      <w:r w:rsidRPr="00774988">
        <w:rPr>
          <w:lang w:val="en-US"/>
        </w:rPr>
        <w:t>. 8, 29</w:t>
      </w:r>
      <w:r>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774988">
        <w:rPr>
          <w:lang w:val="en-US"/>
        </w:rPr>
        <w:t>, 551 U.S. 701, 775</w:t>
      </w:r>
      <w:r>
        <w:rPr>
          <w:lang w:val="en-US"/>
        </w:rPr>
        <w:t xml:space="preserve"> = 127 S. Ct. </w:t>
      </w:r>
      <w:r w:rsidRPr="00774988">
        <w:rPr>
          <w:lang w:val="en-US"/>
        </w:rPr>
        <w:t>2738, 2784</w:t>
      </w:r>
      <w:r>
        <w:rPr>
          <w:lang w:val="en-US"/>
        </w:rPr>
        <w:t xml:space="preserve"> = 168 L. Ed. </w:t>
      </w:r>
      <w:r w:rsidRPr="00774988">
        <w:rPr>
          <w:lang w:val="en-US"/>
        </w:rPr>
        <w:t>2d 508, 558</w:t>
      </w:r>
      <w:r>
        <w:rPr>
          <w:lang w:val="en-US"/>
        </w:rPr>
        <w:t xml:space="preserve"> = 2007 U.S. LEXIS </w:t>
      </w:r>
      <w:r w:rsidRPr="00774988">
        <w:rPr>
          <w:lang w:val="en-US"/>
        </w:rPr>
        <w:t>8670, 138</w:t>
      </w:r>
      <w:r>
        <w:rPr>
          <w:lang w:val="en-US"/>
        </w:rPr>
        <w:t xml:space="preserve"> = 75 U.S.L.W. </w:t>
      </w:r>
      <w:r w:rsidRPr="00774988">
        <w:rPr>
          <w:lang w:val="en-US"/>
        </w:rPr>
        <w:t>4577</w:t>
      </w:r>
      <w:r>
        <w:rPr>
          <w:lang w:val="en-US"/>
        </w:rPr>
        <w:t xml:space="preserve"> = 20 Fla. L. Weekly </w:t>
      </w:r>
      <w:r w:rsidRPr="00774988">
        <w:rPr>
          <w:lang w:val="en-US"/>
        </w:rPr>
        <w:t>Fed. S 490 (2007)</w:t>
      </w:r>
      <w:r>
        <w:rPr>
          <w:lang w:val="en-US"/>
        </w:rPr>
        <w:t>.</w:t>
      </w:r>
    </w:p>
  </w:footnote>
  <w:footnote w:id="922">
    <w:p w14:paraId="0104D850" w14:textId="77777777" w:rsidR="00074551" w:rsidRPr="00EF5D28" w:rsidRDefault="00074551" w:rsidP="00074551">
      <w:pPr>
        <w:pStyle w:val="Funotentext"/>
        <w:rPr>
          <w:lang w:val="en-US"/>
        </w:rPr>
      </w:pPr>
      <w:r>
        <w:rPr>
          <w:rStyle w:val="Funotenzeichen"/>
        </w:rPr>
        <w:footnoteRef/>
      </w:r>
      <w:r w:rsidRPr="00EF5D28">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EF5D28">
        <w:rPr>
          <w:lang w:val="en-US"/>
        </w:rPr>
        <w:t>, 551 U.S. 701, 775</w:t>
      </w:r>
      <w:r>
        <w:rPr>
          <w:lang w:val="en-US"/>
        </w:rPr>
        <w:t xml:space="preserve"> = 127 S. Ct. </w:t>
      </w:r>
      <w:r w:rsidRPr="00EF5D28">
        <w:rPr>
          <w:lang w:val="en-US"/>
        </w:rPr>
        <w:t>2738, 2784</w:t>
      </w:r>
      <w:r>
        <w:rPr>
          <w:lang w:val="en-US"/>
        </w:rPr>
        <w:t xml:space="preserve"> = 168 L. Ed. </w:t>
      </w:r>
      <w:r w:rsidRPr="00EF5D28">
        <w:rPr>
          <w:lang w:val="en-US"/>
        </w:rPr>
        <w:t>2d 508, 558</w:t>
      </w:r>
      <w:r>
        <w:rPr>
          <w:lang w:val="en-US"/>
        </w:rPr>
        <w:t xml:space="preserve"> = 2007 U.S. LEXIS </w:t>
      </w:r>
      <w:r w:rsidRPr="00EF5D28">
        <w:rPr>
          <w:lang w:val="en-US"/>
        </w:rPr>
        <w:t>8670, 138</w:t>
      </w:r>
      <w:r>
        <w:rPr>
          <w:lang w:val="en-US"/>
        </w:rPr>
        <w:t xml:space="preserve"> = 75 U.S.L.W. </w:t>
      </w:r>
      <w:r w:rsidRPr="00EF5D28">
        <w:rPr>
          <w:lang w:val="en-US"/>
        </w:rPr>
        <w:t>4577</w:t>
      </w:r>
      <w:r>
        <w:rPr>
          <w:lang w:val="en-US"/>
        </w:rPr>
        <w:t xml:space="preserve"> = 20 Fla. L. Weekly </w:t>
      </w:r>
      <w:r w:rsidRPr="00EF5D28">
        <w:rPr>
          <w:lang w:val="en-US"/>
        </w:rPr>
        <w:t xml:space="preserve">Fed. </w:t>
      </w:r>
      <w:r w:rsidRPr="004C108C">
        <w:rPr>
          <w:lang w:val="en-US"/>
        </w:rPr>
        <w:t>S 490 (2007)</w:t>
      </w:r>
      <w:r>
        <w:rPr>
          <w:lang w:val="en-US"/>
        </w:rPr>
        <w:t>.</w:t>
      </w:r>
    </w:p>
  </w:footnote>
  <w:footnote w:id="923">
    <w:p w14:paraId="31EB3640" w14:textId="77777777" w:rsidR="00074551" w:rsidRPr="00774988" w:rsidRDefault="00074551" w:rsidP="00074551">
      <w:pPr>
        <w:pStyle w:val="Funotentext"/>
        <w:rPr>
          <w:lang w:val="en-US"/>
        </w:rPr>
      </w:pPr>
      <w:r>
        <w:rPr>
          <w:rStyle w:val="Funotenzeichen"/>
        </w:rPr>
        <w:footnoteRef/>
      </w:r>
      <w:r w:rsidRPr="00774988">
        <w:rPr>
          <w:lang w:val="en-US"/>
        </w:rPr>
        <w:t xml:space="preserve"> </w:t>
      </w:r>
      <w:r w:rsidRPr="00B45592">
        <w:rPr>
          <w:i/>
          <w:lang w:val="en-US"/>
        </w:rPr>
        <w:t>Briggs v. Elliott</w:t>
      </w:r>
      <w:r w:rsidRPr="00774988">
        <w:rPr>
          <w:lang w:val="en-US"/>
        </w:rPr>
        <w:t>, 98 F. Supp. 529, 532 (EDSC 1951)</w:t>
      </w:r>
      <w:r>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774988">
        <w:rPr>
          <w:lang w:val="en-US"/>
        </w:rPr>
        <w:t>, 551 U.S. 701, 775</w:t>
      </w:r>
      <w:r>
        <w:rPr>
          <w:lang w:val="en-US"/>
        </w:rPr>
        <w:t xml:space="preserve"> = 127 S. Ct. </w:t>
      </w:r>
      <w:r w:rsidRPr="00774988">
        <w:rPr>
          <w:lang w:val="en-US"/>
        </w:rPr>
        <w:t>2738, 2784</w:t>
      </w:r>
      <w:r>
        <w:rPr>
          <w:lang w:val="en-US"/>
        </w:rPr>
        <w:t xml:space="preserve"> = 168 L. Ed. </w:t>
      </w:r>
      <w:r w:rsidRPr="00774988">
        <w:rPr>
          <w:lang w:val="en-US"/>
        </w:rPr>
        <w:t>2d 508, 558</w:t>
      </w:r>
      <w:r>
        <w:rPr>
          <w:lang w:val="en-US"/>
        </w:rPr>
        <w:t xml:space="preserve"> = 2007 U.S. LEXIS </w:t>
      </w:r>
      <w:r w:rsidRPr="00774988">
        <w:rPr>
          <w:lang w:val="en-US"/>
        </w:rPr>
        <w:t>8670, 138</w:t>
      </w:r>
      <w:r>
        <w:rPr>
          <w:lang w:val="en-US"/>
        </w:rPr>
        <w:t xml:space="preserve"> = 75 U.S.L.W. </w:t>
      </w:r>
      <w:r w:rsidRPr="00774988">
        <w:rPr>
          <w:lang w:val="en-US"/>
        </w:rPr>
        <w:t>4577</w:t>
      </w:r>
      <w:r>
        <w:rPr>
          <w:lang w:val="en-US"/>
        </w:rPr>
        <w:t xml:space="preserve"> = 20 Fla. L. Weekly </w:t>
      </w:r>
      <w:r w:rsidRPr="00774988">
        <w:rPr>
          <w:lang w:val="en-US"/>
        </w:rPr>
        <w:t>Fed. S 490 (2007)</w:t>
      </w:r>
      <w:r>
        <w:rPr>
          <w:lang w:val="en-US"/>
        </w:rPr>
        <w:t>.</w:t>
      </w:r>
    </w:p>
  </w:footnote>
  <w:footnote w:id="924">
    <w:p w14:paraId="278D1024" w14:textId="77777777" w:rsidR="00074551" w:rsidRPr="00AC00D7" w:rsidRDefault="00074551" w:rsidP="00074551">
      <w:pPr>
        <w:pStyle w:val="Funotentext"/>
        <w:rPr>
          <w:lang w:val="en-US"/>
        </w:rPr>
      </w:pPr>
      <w:r>
        <w:rPr>
          <w:rStyle w:val="Funotenzeichen"/>
          <w:rFonts w:eastAsiaTheme="majorEastAsia"/>
        </w:rPr>
        <w:footnoteRef/>
      </w:r>
      <w:r w:rsidRPr="00AC00D7">
        <w:rPr>
          <w:lang w:val="en-US"/>
        </w:rPr>
        <w:t xml:space="preserve"> </w:t>
      </w:r>
      <w:r w:rsidRPr="009E57E1">
        <w:rPr>
          <w:i/>
          <w:lang w:val="en-US"/>
        </w:rPr>
        <w:t>Ferrell v. Dallas Independent School Dist.</w:t>
      </w:r>
      <w:r w:rsidRPr="00AC00D7">
        <w:rPr>
          <w:lang w:val="en-US"/>
        </w:rPr>
        <w:t>, 393 U.S. 856</w:t>
      </w:r>
      <w:r>
        <w:rPr>
          <w:lang w:val="en-US"/>
        </w:rPr>
        <w:t xml:space="preserve"> </w:t>
      </w:r>
      <w:r w:rsidRPr="0055499B">
        <w:rPr>
          <w:lang w:val="en-US"/>
        </w:rPr>
        <w:t>(1968</w:t>
      </w:r>
      <w:r>
        <w:rPr>
          <w:lang w:val="en-US"/>
        </w:rPr>
        <w:t>).</w:t>
      </w:r>
    </w:p>
  </w:footnote>
  <w:footnote w:id="925">
    <w:p w14:paraId="69B100B7" w14:textId="77777777" w:rsidR="00074551" w:rsidRPr="008D133B" w:rsidRDefault="00074551" w:rsidP="00074551">
      <w:pPr>
        <w:pStyle w:val="Funotentext"/>
        <w:rPr>
          <w:lang w:val="en-US"/>
        </w:rPr>
      </w:pPr>
      <w:r>
        <w:rPr>
          <w:rStyle w:val="Funotenzeichen"/>
          <w:rFonts w:eastAsiaTheme="majorEastAsia"/>
        </w:rPr>
        <w:footnoteRef/>
      </w:r>
      <w:r w:rsidRPr="008D133B">
        <w:rPr>
          <w:lang w:val="en-US"/>
        </w:rPr>
        <w:t xml:space="preserve"> </w:t>
      </w:r>
      <w:r w:rsidRPr="009E57E1">
        <w:rPr>
          <w:i/>
          <w:lang w:val="en-IE"/>
        </w:rPr>
        <w:t>Ferrell v. Dallas Independent School Dist.</w:t>
      </w:r>
      <w:r w:rsidRPr="00B45592">
        <w:rPr>
          <w:lang w:val="en-IE"/>
        </w:rPr>
        <w:t>, 393 U.S. 856</w:t>
      </w:r>
      <w:r w:rsidRPr="008D133B">
        <w:rPr>
          <w:lang w:val="en-US"/>
        </w:rPr>
        <w:t xml:space="preserve">; </w:t>
      </w:r>
      <w:r w:rsidRPr="00B45592">
        <w:rPr>
          <w:i/>
          <w:lang w:val="en-IE"/>
        </w:rPr>
        <w:t>Freeman v. Flake</w:t>
      </w:r>
      <w:r w:rsidRPr="00B45592">
        <w:rPr>
          <w:lang w:val="en-IE"/>
        </w:rPr>
        <w:t>, 405 U.S. 1032</w:t>
      </w:r>
      <w:r>
        <w:rPr>
          <w:lang w:val="en-US"/>
        </w:rPr>
        <w:t xml:space="preserve"> (1972); </w:t>
      </w:r>
      <w:r w:rsidRPr="00B45592">
        <w:rPr>
          <w:i/>
          <w:lang w:val="en-IE"/>
        </w:rPr>
        <w:t>Kelley v. Johnson,</w:t>
      </w:r>
      <w:r w:rsidRPr="00B45592">
        <w:rPr>
          <w:lang w:val="en-IE"/>
        </w:rPr>
        <w:t xml:space="preserve"> 425 U.S. 238</w:t>
      </w:r>
      <w:r>
        <w:rPr>
          <w:lang w:val="en-US"/>
        </w:rPr>
        <w:t xml:space="preserve"> (1976); </w:t>
      </w:r>
      <w:r w:rsidRPr="00B45592">
        <w:rPr>
          <w:i/>
          <w:lang w:val="en-IE"/>
        </w:rPr>
        <w:t>Olff v. East Side Union High School Dist.</w:t>
      </w:r>
      <w:r w:rsidRPr="00B45592">
        <w:rPr>
          <w:lang w:val="en-IE"/>
        </w:rPr>
        <w:t>, 404 U.S. 1042</w:t>
      </w:r>
      <w:r>
        <w:rPr>
          <w:lang w:val="en-US"/>
        </w:rPr>
        <w:t xml:space="preserve"> (1972); </w:t>
      </w:r>
      <w:r w:rsidRPr="00B45592">
        <w:rPr>
          <w:i/>
          <w:lang w:val="en-IE"/>
        </w:rPr>
        <w:t xml:space="preserve">Tinker v. Des Moines </w:t>
      </w:r>
      <w:proofErr w:type="spellStart"/>
      <w:r w:rsidRPr="00B45592">
        <w:rPr>
          <w:i/>
          <w:lang w:val="en-IE"/>
        </w:rPr>
        <w:t>Indep</w:t>
      </w:r>
      <w:proofErr w:type="spellEnd"/>
      <w:r w:rsidRPr="00B45592">
        <w:rPr>
          <w:i/>
          <w:lang w:val="en-IE"/>
        </w:rPr>
        <w:t xml:space="preserve">. </w:t>
      </w:r>
      <w:proofErr w:type="spellStart"/>
      <w:r w:rsidRPr="00B45592">
        <w:rPr>
          <w:i/>
          <w:lang w:val="en-IE"/>
        </w:rPr>
        <w:t>Cmty</w:t>
      </w:r>
      <w:proofErr w:type="spellEnd"/>
      <w:r w:rsidRPr="00B45592">
        <w:rPr>
          <w:i/>
          <w:lang w:val="en-IE"/>
        </w:rPr>
        <w:t>. Sch. Dist.</w:t>
      </w:r>
      <w:r w:rsidRPr="00B45592">
        <w:rPr>
          <w:lang w:val="en-IE"/>
        </w:rPr>
        <w:t>, 393 U.S. 503</w:t>
      </w:r>
      <w:r>
        <w:rPr>
          <w:lang w:val="en-US"/>
        </w:rPr>
        <w:t xml:space="preserve"> (1969).</w:t>
      </w:r>
    </w:p>
  </w:footnote>
  <w:footnote w:id="926">
    <w:p w14:paraId="4675678D" w14:textId="77777777" w:rsidR="00074551" w:rsidRPr="00C011D5" w:rsidRDefault="00074551" w:rsidP="00074551">
      <w:pPr>
        <w:pStyle w:val="Funotentext"/>
        <w:rPr>
          <w:lang w:val="en-US"/>
        </w:rPr>
      </w:pPr>
      <w:r>
        <w:rPr>
          <w:rStyle w:val="Funotenzeichen"/>
          <w:rFonts w:eastAsiaTheme="majorEastAsia"/>
        </w:rPr>
        <w:footnoteRef/>
      </w:r>
      <w:r w:rsidRPr="00C011D5">
        <w:rPr>
          <w:lang w:val="en-US"/>
        </w:rPr>
        <w:t xml:space="preserve"> </w:t>
      </w:r>
      <w:proofErr w:type="spellStart"/>
      <w:r w:rsidRPr="00B45592">
        <w:rPr>
          <w:i/>
          <w:lang w:val="en-US"/>
        </w:rPr>
        <w:t>Trespacz</w:t>
      </w:r>
      <w:proofErr w:type="spellEnd"/>
      <w:r w:rsidRPr="00B45592">
        <w:rPr>
          <w:i/>
          <w:lang w:val="en-US"/>
        </w:rPr>
        <w:t>, Karen L., Ferrell V. Dallas I.S.D</w:t>
      </w:r>
      <w:r w:rsidRPr="00C011D5">
        <w:rPr>
          <w:lang w:val="en-US"/>
        </w:rPr>
        <w:t>: Hairstyles in Schools (Landmark Supreme Court Cases)</w:t>
      </w:r>
      <w:r>
        <w:rPr>
          <w:lang w:val="en-US"/>
        </w:rPr>
        <w:t>, 1998.</w:t>
      </w:r>
    </w:p>
  </w:footnote>
  <w:footnote w:id="927">
    <w:p w14:paraId="21126025" w14:textId="77777777" w:rsidR="00074551" w:rsidRPr="00AC00D7" w:rsidRDefault="00074551" w:rsidP="00074551">
      <w:pPr>
        <w:pStyle w:val="Funotentext"/>
        <w:rPr>
          <w:lang w:val="en-US"/>
        </w:rPr>
      </w:pPr>
      <w:r>
        <w:rPr>
          <w:rStyle w:val="Funotenzeichen"/>
          <w:rFonts w:eastAsiaTheme="majorEastAsia"/>
        </w:rPr>
        <w:footnoteRef/>
      </w:r>
      <w:r>
        <w:rPr>
          <w:lang w:val="en-US"/>
        </w:rPr>
        <w:t xml:space="preserve"> </w:t>
      </w:r>
      <w:r w:rsidRPr="009E57E1">
        <w:rPr>
          <w:i/>
          <w:lang w:val="en-US"/>
        </w:rPr>
        <w:t>Ferrell v. Dallas Independent School Dist.</w:t>
      </w:r>
      <w:r w:rsidRPr="00AC00D7">
        <w:rPr>
          <w:lang w:val="en-US"/>
        </w:rPr>
        <w:t>, 393 U.S. 856</w:t>
      </w:r>
      <w:r>
        <w:rPr>
          <w:lang w:val="en-US"/>
        </w:rPr>
        <w:t xml:space="preserve"> </w:t>
      </w:r>
      <w:r w:rsidRPr="0055499B">
        <w:rPr>
          <w:lang w:val="en-US"/>
        </w:rPr>
        <w:t>(1968</w:t>
      </w:r>
      <w:r>
        <w:rPr>
          <w:lang w:val="en-US"/>
        </w:rPr>
        <w:t>).</w:t>
      </w:r>
    </w:p>
  </w:footnote>
  <w:footnote w:id="928">
    <w:p w14:paraId="58FF2FB3" w14:textId="60D85094" w:rsidR="00074551" w:rsidRPr="00142C70" w:rsidRDefault="00074551" w:rsidP="00074551">
      <w:pPr>
        <w:pStyle w:val="Funotentext"/>
      </w:pPr>
      <w:r>
        <w:rPr>
          <w:rStyle w:val="Funotenzeichen"/>
          <w:rFonts w:eastAsiaTheme="majorEastAsia"/>
        </w:rPr>
        <w:footnoteRef/>
      </w:r>
      <w:r w:rsidRPr="008D133B">
        <w:t xml:space="preserve"> </w:t>
      </w:r>
      <w:r>
        <w:t xml:space="preserve">159-mal wurde der Fall aufgegriffen und weiterentwickelt. Beispielsweise wurde siebenmal die Idee des Falls, den Zugang zur Schule aufgrund der Haarlänge nicht zu verwehren, positiv aufgegriffen, in </w:t>
      </w:r>
      <w:r w:rsidRPr="00B45592">
        <w:rPr>
          <w:i/>
        </w:rPr>
        <w:t>Brooks v. Wainwright</w:t>
      </w:r>
      <w:r w:rsidRPr="00142C70">
        <w:t>, 428 F.2d 652</w:t>
      </w:r>
      <w:r>
        <w:t xml:space="preserve"> =</w:t>
      </w:r>
      <w:r w:rsidRPr="00142C70">
        <w:t xml:space="preserve"> 1970 U.S. App. </w:t>
      </w:r>
      <w:r w:rsidRPr="00901083">
        <w:rPr>
          <w:lang w:val="en-US"/>
        </w:rPr>
        <w:t xml:space="preserve">LEXIS 8696; </w:t>
      </w:r>
      <w:r w:rsidRPr="00B45592">
        <w:rPr>
          <w:i/>
          <w:lang w:val="en-US"/>
        </w:rPr>
        <w:t>Davis v. Firment</w:t>
      </w:r>
      <w:r w:rsidRPr="00142C70">
        <w:rPr>
          <w:lang w:val="en-US"/>
        </w:rPr>
        <w:t>, 408 F.2d 1085</w:t>
      </w:r>
      <w:r>
        <w:rPr>
          <w:lang w:val="en-US"/>
        </w:rPr>
        <w:t xml:space="preserve"> =</w:t>
      </w:r>
      <w:r w:rsidRPr="00142C70">
        <w:rPr>
          <w:lang w:val="en-US"/>
        </w:rPr>
        <w:t xml:space="preserve"> 1969 U.S. App. LEXIS 13069; </w:t>
      </w:r>
      <w:r w:rsidRPr="00B45592">
        <w:rPr>
          <w:i/>
          <w:lang w:val="en-US"/>
        </w:rPr>
        <w:t>Pound v. Holladay</w:t>
      </w:r>
      <w:r w:rsidRPr="00142C70">
        <w:rPr>
          <w:lang w:val="en-US"/>
        </w:rPr>
        <w:t>, 322 F. Supp. 1000</w:t>
      </w:r>
      <w:r>
        <w:rPr>
          <w:lang w:val="en-US"/>
        </w:rPr>
        <w:t xml:space="preserve"> =</w:t>
      </w:r>
      <w:r w:rsidRPr="00142C70">
        <w:rPr>
          <w:lang w:val="en-US"/>
        </w:rPr>
        <w:t xml:space="preserve"> 1971 U.S. Dist. LEXIS 14585; </w:t>
      </w:r>
      <w:r w:rsidRPr="00B45592">
        <w:rPr>
          <w:i/>
          <w:lang w:val="en-US"/>
        </w:rPr>
        <w:t>Jackson v. Dorrier</w:t>
      </w:r>
      <w:r w:rsidRPr="00142C70">
        <w:rPr>
          <w:lang w:val="en-US"/>
        </w:rPr>
        <w:t>, 424 F.2d 213</w:t>
      </w:r>
      <w:r>
        <w:rPr>
          <w:lang w:val="en-US"/>
        </w:rPr>
        <w:t xml:space="preserve"> =</w:t>
      </w:r>
      <w:r w:rsidRPr="00142C70">
        <w:rPr>
          <w:lang w:val="en-US"/>
        </w:rPr>
        <w:t xml:space="preserve"> 1970 U.S. App. LEXIS 9964</w:t>
      </w:r>
      <w:r>
        <w:rPr>
          <w:lang w:val="en-US"/>
        </w:rPr>
        <w:t xml:space="preserve">; </w:t>
      </w:r>
      <w:r w:rsidRPr="00B45592">
        <w:rPr>
          <w:i/>
          <w:lang w:val="en-US"/>
        </w:rPr>
        <w:t>Giangreco v. Center School Dist.</w:t>
      </w:r>
      <w:r w:rsidRPr="00142C70">
        <w:rPr>
          <w:lang w:val="en-US"/>
        </w:rPr>
        <w:t>, 313 F. Supp. 776</w:t>
      </w:r>
      <w:r>
        <w:rPr>
          <w:lang w:val="en-US"/>
        </w:rPr>
        <w:t xml:space="preserve"> =</w:t>
      </w:r>
      <w:r w:rsidRPr="00142C70">
        <w:rPr>
          <w:lang w:val="en-US"/>
        </w:rPr>
        <w:t xml:space="preserve"> 1969 U.S. Dist. LEXIS 13777</w:t>
      </w:r>
      <w:r>
        <w:rPr>
          <w:lang w:val="en-US"/>
        </w:rPr>
        <w:t xml:space="preserve">; </w:t>
      </w:r>
      <w:r w:rsidRPr="00B45592">
        <w:rPr>
          <w:i/>
          <w:lang w:val="en-US"/>
        </w:rPr>
        <w:t>Brick v. Board of Education</w:t>
      </w:r>
      <w:r w:rsidRPr="00142C70">
        <w:rPr>
          <w:lang w:val="en-US"/>
        </w:rPr>
        <w:t>, 305 F. Supp. 1316</w:t>
      </w:r>
      <w:r>
        <w:rPr>
          <w:lang w:val="en-US"/>
        </w:rPr>
        <w:t xml:space="preserve"> =</w:t>
      </w:r>
      <w:r w:rsidRPr="00142C70">
        <w:rPr>
          <w:lang w:val="en-US"/>
        </w:rPr>
        <w:t xml:space="preserve"> 1969 U.S. Dist. LEXIS 10133</w:t>
      </w:r>
      <w:r>
        <w:rPr>
          <w:lang w:val="en-US"/>
        </w:rPr>
        <w:t xml:space="preserve">; </w:t>
      </w:r>
      <w:r w:rsidRPr="00B45592">
        <w:rPr>
          <w:i/>
          <w:lang w:val="en-US"/>
        </w:rPr>
        <w:t xml:space="preserve">Barber v. Colorado </w:t>
      </w:r>
      <w:proofErr w:type="spellStart"/>
      <w:r w:rsidRPr="00B45592">
        <w:rPr>
          <w:i/>
          <w:lang w:val="en-US"/>
        </w:rPr>
        <w:t>Indep</w:t>
      </w:r>
      <w:proofErr w:type="spellEnd"/>
      <w:r w:rsidRPr="00B45592">
        <w:rPr>
          <w:i/>
          <w:lang w:val="en-US"/>
        </w:rPr>
        <w:t xml:space="preserve">. </w:t>
      </w:r>
      <w:proofErr w:type="spellStart"/>
      <w:r w:rsidRPr="00B45592">
        <w:rPr>
          <w:i/>
        </w:rPr>
        <w:t>Sch</w:t>
      </w:r>
      <w:proofErr w:type="spellEnd"/>
      <w:r w:rsidRPr="00B45592">
        <w:rPr>
          <w:i/>
        </w:rPr>
        <w:t xml:space="preserve">. </w:t>
      </w:r>
      <w:proofErr w:type="spellStart"/>
      <w:r w:rsidRPr="00B45592">
        <w:rPr>
          <w:i/>
        </w:rPr>
        <w:t>Dist</w:t>
      </w:r>
      <w:proofErr w:type="spellEnd"/>
      <w:r w:rsidRPr="00B45592">
        <w:rPr>
          <w:i/>
        </w:rPr>
        <w:t>.</w:t>
      </w:r>
      <w:r w:rsidRPr="009E32DD">
        <w:t>, 901 S.W.2d 447</w:t>
      </w:r>
      <w:r>
        <w:t xml:space="preserve"> =</w:t>
      </w:r>
      <w:r w:rsidRPr="009E32DD">
        <w:t xml:space="preserve"> 1995 Tex. </w:t>
      </w:r>
      <w:r w:rsidRPr="00142C70">
        <w:t xml:space="preserve">LEXIS 111, 38 Tex. Sup. Ct. J. 902, 58 A.L.R.5th 799; vgl. zur Übersicht </w:t>
      </w:r>
      <w:hyperlink r:id="rId1" w:history="1">
        <w:r w:rsidRPr="00B45592">
          <w:t>https://scholar.valpo.edu/cgi/viewcontent.cgi?referer=&amp;httpsredir=1&amp;article=1804&amp;context=vulr</w:t>
        </w:r>
      </w:hyperlink>
      <w:r w:rsidRPr="00142C70">
        <w:t xml:space="preserve"> </w:t>
      </w:r>
      <w:r>
        <w:t>(27.04.2026).</w:t>
      </w:r>
    </w:p>
  </w:footnote>
  <w:footnote w:id="929">
    <w:p w14:paraId="50D5D213" w14:textId="77777777" w:rsidR="00074551" w:rsidRPr="00C0216B" w:rsidRDefault="00074551" w:rsidP="00074551">
      <w:pPr>
        <w:pStyle w:val="Funotentext"/>
        <w:rPr>
          <w:lang w:val="en-US"/>
        </w:rPr>
      </w:pPr>
      <w:r>
        <w:rPr>
          <w:rStyle w:val="Funotenzeichen"/>
          <w:rFonts w:eastAsiaTheme="majorEastAsia"/>
        </w:rPr>
        <w:footnoteRef/>
      </w:r>
      <w:r w:rsidRPr="00C0216B">
        <w:rPr>
          <w:lang w:val="en-US"/>
        </w:rPr>
        <w:t xml:space="preserve"> </w:t>
      </w:r>
      <w:r w:rsidRPr="009E57E1">
        <w:rPr>
          <w:i/>
          <w:lang w:val="en-US"/>
        </w:rPr>
        <w:t>Ferrell v. Dallas Independent School Dist.</w:t>
      </w:r>
      <w:r w:rsidRPr="0055499B">
        <w:rPr>
          <w:lang w:val="en-US"/>
        </w:rPr>
        <w:t>, 393 U.S. 856</w:t>
      </w:r>
      <w:r>
        <w:rPr>
          <w:lang w:val="en-US"/>
        </w:rPr>
        <w:t xml:space="preserve"> = 89 S. Ct</w:t>
      </w:r>
      <w:r w:rsidRPr="0055499B">
        <w:rPr>
          <w:lang w:val="en-US"/>
        </w:rPr>
        <w:t>. 98</w:t>
      </w:r>
      <w:r w:rsidRPr="003B741A">
        <w:rPr>
          <w:lang w:val="en-US"/>
        </w:rPr>
        <w:t xml:space="preserve"> = 21 L. Ed. </w:t>
      </w:r>
      <w:r w:rsidRPr="0055499B">
        <w:rPr>
          <w:lang w:val="en-US"/>
        </w:rPr>
        <w:t>2d 125</w:t>
      </w:r>
      <w:r>
        <w:rPr>
          <w:lang w:val="en-US"/>
        </w:rPr>
        <w:t xml:space="preserve"> = </w:t>
      </w:r>
      <w:r w:rsidRPr="0055499B">
        <w:rPr>
          <w:lang w:val="en-US"/>
        </w:rPr>
        <w:t>1968 U.S. LEXIS 790, 1 (1968</w:t>
      </w:r>
      <w:r>
        <w:rPr>
          <w:lang w:val="en-US"/>
        </w:rPr>
        <w:t>).</w:t>
      </w:r>
    </w:p>
  </w:footnote>
  <w:footnote w:id="930">
    <w:p w14:paraId="35E8F9E5" w14:textId="77777777" w:rsidR="00074551" w:rsidRPr="00394B04" w:rsidRDefault="00074551" w:rsidP="00074551">
      <w:pPr>
        <w:pStyle w:val="Funotentext"/>
        <w:rPr>
          <w:lang w:val="en-US"/>
        </w:rPr>
      </w:pPr>
      <w:r>
        <w:rPr>
          <w:rStyle w:val="Funotenzeichen"/>
          <w:rFonts w:eastAsiaTheme="majorEastAsia"/>
        </w:rPr>
        <w:footnoteRef/>
      </w:r>
      <w:r w:rsidRPr="00394B04">
        <w:rPr>
          <w:lang w:val="en-US"/>
        </w:rPr>
        <w:t xml:space="preserve"> </w:t>
      </w:r>
      <w:r w:rsidRPr="009E57E1">
        <w:rPr>
          <w:i/>
          <w:lang w:val="en-US"/>
        </w:rPr>
        <w:t>Ferrell v. Dallas Independent School Dist.</w:t>
      </w:r>
      <w:r w:rsidRPr="00394B04">
        <w:rPr>
          <w:lang w:val="en-US"/>
        </w:rPr>
        <w:t>, 393 U.S. 856</w:t>
      </w:r>
      <w:r>
        <w:rPr>
          <w:lang w:val="en-US"/>
        </w:rPr>
        <w:t xml:space="preserve"> </w:t>
      </w:r>
      <w:r w:rsidRPr="0055499B">
        <w:rPr>
          <w:lang w:val="en-US"/>
        </w:rPr>
        <w:t>(1968</w:t>
      </w:r>
      <w:r>
        <w:rPr>
          <w:lang w:val="en-US"/>
        </w:rPr>
        <w:t>).</w:t>
      </w:r>
    </w:p>
  </w:footnote>
  <w:footnote w:id="931">
    <w:p w14:paraId="45C79B9C" w14:textId="77777777" w:rsidR="00074551" w:rsidRPr="00763D44" w:rsidRDefault="00074551" w:rsidP="00074551">
      <w:pPr>
        <w:pStyle w:val="Funotentext"/>
        <w:rPr>
          <w:lang w:val="en-US"/>
        </w:rPr>
      </w:pPr>
      <w:r>
        <w:rPr>
          <w:rStyle w:val="Funotenzeichen"/>
          <w:rFonts w:eastAsiaTheme="majorEastAsia"/>
        </w:rPr>
        <w:footnoteRef/>
      </w:r>
      <w:r w:rsidRPr="00763D44">
        <w:rPr>
          <w:lang w:val="en-US"/>
        </w:rPr>
        <w:t xml:space="preserve"> </w:t>
      </w:r>
      <w:r w:rsidRPr="009E57E1">
        <w:rPr>
          <w:i/>
          <w:lang w:val="en-IE"/>
        </w:rPr>
        <w:t>Hudson v. Palmer</w:t>
      </w:r>
      <w:r w:rsidRPr="00B45592">
        <w:rPr>
          <w:lang w:val="en-IE"/>
        </w:rPr>
        <w:t>, 468 U.S. 517, 557</w:t>
      </w:r>
      <w:r w:rsidRPr="006E67FE">
        <w:rPr>
          <w:lang w:val="en-IE"/>
        </w:rPr>
        <w:t xml:space="preserve"> = 104 S. Ct. </w:t>
      </w:r>
      <w:r w:rsidRPr="00B45592">
        <w:rPr>
          <w:lang w:val="en-IE"/>
        </w:rPr>
        <w:t>3194, 3216</w:t>
      </w:r>
      <w:r w:rsidRPr="006E67FE">
        <w:rPr>
          <w:lang w:val="en-IE"/>
        </w:rPr>
        <w:t xml:space="preserve"> = 82 L. Ed. </w:t>
      </w:r>
      <w:r w:rsidRPr="00B45592">
        <w:rPr>
          <w:lang w:val="en-IE"/>
        </w:rPr>
        <w:t>2d 393, 422</w:t>
      </w:r>
      <w:r>
        <w:rPr>
          <w:lang w:val="en-IE"/>
        </w:rPr>
        <w:t>–</w:t>
      </w:r>
      <w:r w:rsidRPr="00B45592">
        <w:rPr>
          <w:lang w:val="en-IE"/>
        </w:rPr>
        <w:t>423</w:t>
      </w:r>
      <w:r w:rsidRPr="006E67FE">
        <w:rPr>
          <w:lang w:val="en-IE"/>
        </w:rPr>
        <w:t xml:space="preserve"> = 1984 U.S. LEXIS </w:t>
      </w:r>
      <w:r w:rsidRPr="00B45592">
        <w:rPr>
          <w:lang w:val="en-IE"/>
        </w:rPr>
        <w:t>143, 74</w:t>
      </w:r>
      <w:r w:rsidRPr="006E67FE">
        <w:rPr>
          <w:lang w:val="en-IE"/>
        </w:rPr>
        <w:t xml:space="preserve"> = 52 U.S.L.W. </w:t>
      </w:r>
      <w:r w:rsidRPr="00B45592">
        <w:rPr>
          <w:lang w:val="en-IE"/>
        </w:rPr>
        <w:t>5052 (1984)</w:t>
      </w:r>
      <w:r>
        <w:rPr>
          <w:lang w:val="en-US"/>
        </w:rPr>
        <w:t>.</w:t>
      </w:r>
    </w:p>
  </w:footnote>
  <w:footnote w:id="932">
    <w:p w14:paraId="15A98C36" w14:textId="77777777" w:rsidR="00074551" w:rsidRPr="00763D44" w:rsidRDefault="00074551" w:rsidP="00074551">
      <w:pPr>
        <w:pStyle w:val="Funotentext"/>
        <w:rPr>
          <w:lang w:val="en-US"/>
        </w:rPr>
      </w:pPr>
      <w:r>
        <w:rPr>
          <w:rStyle w:val="Funotenzeichen"/>
          <w:rFonts w:eastAsiaTheme="majorEastAsia"/>
        </w:rPr>
        <w:footnoteRef/>
      </w:r>
      <w:r w:rsidRPr="00763D44">
        <w:rPr>
          <w:lang w:val="en-US"/>
        </w:rPr>
        <w:t xml:space="preserve"> </w:t>
      </w:r>
      <w:r w:rsidRPr="009E57E1">
        <w:rPr>
          <w:i/>
          <w:lang w:val="en-IE"/>
        </w:rPr>
        <w:t>Hudson v. Palmer</w:t>
      </w:r>
      <w:r w:rsidRPr="00B45592">
        <w:rPr>
          <w:lang w:val="en-IE"/>
        </w:rPr>
        <w:t>, 468 U.S. 517, 557</w:t>
      </w:r>
      <w:r w:rsidRPr="006E67FE">
        <w:rPr>
          <w:lang w:val="en-IE"/>
        </w:rPr>
        <w:t xml:space="preserve"> = 104 S. Ct. </w:t>
      </w:r>
      <w:r w:rsidRPr="00B45592">
        <w:rPr>
          <w:lang w:val="en-IE"/>
        </w:rPr>
        <w:t>3194, 3216</w:t>
      </w:r>
      <w:r w:rsidRPr="006E67FE">
        <w:rPr>
          <w:lang w:val="en-IE"/>
        </w:rPr>
        <w:t xml:space="preserve"> = 82 L. Ed. </w:t>
      </w:r>
      <w:r w:rsidRPr="00B45592">
        <w:rPr>
          <w:lang w:val="en-IE"/>
        </w:rPr>
        <w:t>2d 393, 422</w:t>
      </w:r>
      <w:r>
        <w:rPr>
          <w:lang w:val="en-IE"/>
        </w:rPr>
        <w:t>–</w:t>
      </w:r>
      <w:r w:rsidRPr="00B45592">
        <w:rPr>
          <w:lang w:val="en-IE"/>
        </w:rPr>
        <w:t>423</w:t>
      </w:r>
      <w:r w:rsidRPr="006E67FE">
        <w:rPr>
          <w:lang w:val="en-IE"/>
        </w:rPr>
        <w:t xml:space="preserve"> = 1984 U.S. LEXIS </w:t>
      </w:r>
      <w:r w:rsidRPr="00B45592">
        <w:rPr>
          <w:lang w:val="en-IE"/>
        </w:rPr>
        <w:t>143, 74</w:t>
      </w:r>
      <w:r w:rsidRPr="006E67FE">
        <w:rPr>
          <w:lang w:val="en-IE"/>
        </w:rPr>
        <w:t xml:space="preserve"> = 52 U.S.L.W. </w:t>
      </w:r>
      <w:r w:rsidRPr="00B45592">
        <w:rPr>
          <w:lang w:val="en-IE"/>
        </w:rPr>
        <w:t>5052 (1984)</w:t>
      </w:r>
      <w:r>
        <w:rPr>
          <w:lang w:val="en-US"/>
        </w:rPr>
        <w:t>.</w:t>
      </w:r>
    </w:p>
  </w:footnote>
  <w:footnote w:id="933">
    <w:p w14:paraId="2474B39C" w14:textId="77777777" w:rsidR="00074551" w:rsidRDefault="00074551" w:rsidP="00074551">
      <w:pPr>
        <w:pStyle w:val="Funotentext"/>
        <w:ind w:left="227" w:hanging="227"/>
        <w:rPr>
          <w:lang w:val="en-US"/>
        </w:rPr>
      </w:pPr>
      <w:r>
        <w:rPr>
          <w:rStyle w:val="Funotenzeichen"/>
          <w:rFonts w:eastAsiaTheme="majorEastAsia"/>
        </w:rPr>
        <w:footnoteRef/>
      </w:r>
      <w:r w:rsidRPr="002205DF">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2205DF">
        <w:rPr>
          <w:lang w:val="en-US"/>
        </w:rPr>
        <w:t>, 339 U.S. 382, 439</w:t>
      </w:r>
      <w:r>
        <w:rPr>
          <w:lang w:val="en-US"/>
        </w:rPr>
        <w:t xml:space="preserve"> = 70 S. Ct. </w:t>
      </w:r>
      <w:r w:rsidRPr="002205DF">
        <w:rPr>
          <w:lang w:val="en-US"/>
        </w:rPr>
        <w:t>674, 704</w:t>
      </w:r>
      <w:r>
        <w:rPr>
          <w:lang w:val="en-US"/>
        </w:rPr>
        <w:t xml:space="preserve"> = 94 L. Ed. </w:t>
      </w:r>
      <w:r w:rsidRPr="002205DF">
        <w:rPr>
          <w:lang w:val="en-US"/>
        </w:rPr>
        <w:t>925, 965</w:t>
      </w:r>
      <w:r>
        <w:rPr>
          <w:lang w:val="en-US"/>
        </w:rPr>
        <w:t xml:space="preserve"> = 1950 U.S. LEXIS </w:t>
      </w:r>
      <w:r w:rsidRPr="002205DF">
        <w:rPr>
          <w:lang w:val="en-US"/>
        </w:rPr>
        <w:t>2530, 99</w:t>
      </w:r>
      <w:r>
        <w:rPr>
          <w:lang w:val="en-US"/>
        </w:rPr>
        <w:t xml:space="preserve"> = 18 Lab. Cas.</w:t>
      </w:r>
      <w:r w:rsidRPr="002205DF">
        <w:rPr>
          <w:lang w:val="en-US"/>
        </w:rPr>
        <w:t xml:space="preserve"> (CCH) P65,760</w:t>
      </w:r>
      <w:r>
        <w:rPr>
          <w:lang w:val="en-US"/>
        </w:rPr>
        <w:t xml:space="preserve"> = 26 L.R.R.M. 2084 </w:t>
      </w:r>
    </w:p>
    <w:p w14:paraId="2C1B1FCB" w14:textId="77777777" w:rsidR="00074551" w:rsidRPr="002205DF" w:rsidRDefault="00074551" w:rsidP="00074551">
      <w:pPr>
        <w:pStyle w:val="Funotentext"/>
        <w:ind w:left="227" w:hanging="227"/>
        <w:rPr>
          <w:lang w:val="en-US"/>
        </w:rPr>
      </w:pPr>
      <w:r w:rsidRPr="002205DF">
        <w:rPr>
          <w:lang w:val="en-US"/>
        </w:rPr>
        <w:t>(1950)</w:t>
      </w:r>
      <w:r>
        <w:rPr>
          <w:lang w:val="en-US"/>
        </w:rPr>
        <w:t>.</w:t>
      </w:r>
    </w:p>
  </w:footnote>
  <w:footnote w:id="934">
    <w:p w14:paraId="279F8A76" w14:textId="77777777" w:rsidR="00074551" w:rsidRPr="0039686E" w:rsidRDefault="00074551" w:rsidP="00074551">
      <w:pPr>
        <w:pStyle w:val="Funotentext"/>
        <w:rPr>
          <w:lang w:val="en-US"/>
        </w:rPr>
      </w:pPr>
      <w:r w:rsidRPr="00376A32">
        <w:rPr>
          <w:rStyle w:val="Funotenzeichen"/>
          <w:rFonts w:eastAsiaTheme="majorEastAsia"/>
        </w:rPr>
        <w:footnoteRef/>
      </w:r>
      <w:r w:rsidRPr="00376A32">
        <w:rPr>
          <w:lang w:val="en-US"/>
        </w:rPr>
        <w:t xml:space="preserve"> </w:t>
      </w:r>
      <w:r w:rsidRPr="00B45592">
        <w:rPr>
          <w:i/>
          <w:lang w:val="en-IE"/>
        </w:rPr>
        <w:t xml:space="preserve">American Communications </w:t>
      </w:r>
      <w:proofErr w:type="spellStart"/>
      <w:r w:rsidRPr="00B45592">
        <w:rPr>
          <w:i/>
          <w:lang w:val="en-IE"/>
        </w:rPr>
        <w:t>Ass’n</w:t>
      </w:r>
      <w:proofErr w:type="spellEnd"/>
      <w:r w:rsidRPr="00B45592">
        <w:rPr>
          <w:i/>
          <w:lang w:val="en-IE"/>
        </w:rPr>
        <w:t xml:space="preserve"> v. Douds</w:t>
      </w:r>
      <w:r w:rsidRPr="00B45592">
        <w:rPr>
          <w:lang w:val="en-IE"/>
        </w:rPr>
        <w:t>, 339 U.S. 382, 440</w:t>
      </w:r>
      <w:r w:rsidRPr="00376A32">
        <w:rPr>
          <w:lang w:val="en-IE"/>
        </w:rPr>
        <w:t xml:space="preserve"> = 70 S. Ct. </w:t>
      </w:r>
      <w:r w:rsidRPr="00B45592">
        <w:rPr>
          <w:lang w:val="en-IE"/>
        </w:rPr>
        <w:t>674, 704</w:t>
      </w:r>
      <w:r w:rsidRPr="00376A32">
        <w:rPr>
          <w:lang w:val="en-IE"/>
        </w:rPr>
        <w:t xml:space="preserve"> = 94 L. Ed. </w:t>
      </w:r>
      <w:r w:rsidRPr="00B45592">
        <w:rPr>
          <w:lang w:val="en-IE"/>
        </w:rPr>
        <w:t>925, 965</w:t>
      </w:r>
      <w:r w:rsidRPr="00376A32">
        <w:rPr>
          <w:lang w:val="en-IE"/>
        </w:rPr>
        <w:t xml:space="preserve"> = 1950 U.S. LEXIS </w:t>
      </w:r>
      <w:r w:rsidRPr="00B45592">
        <w:rPr>
          <w:lang w:val="en-IE"/>
        </w:rPr>
        <w:t>2530, 99</w:t>
      </w:r>
      <w:r w:rsidRPr="00376A32">
        <w:rPr>
          <w:lang w:val="en-IE"/>
        </w:rPr>
        <w:t xml:space="preserve"> = 18 Lab. Cas.</w:t>
      </w:r>
      <w:r w:rsidRPr="00B45592">
        <w:rPr>
          <w:lang w:val="en-IE"/>
        </w:rPr>
        <w:t xml:space="preserve"> (CCH) P65,760</w:t>
      </w:r>
      <w:r w:rsidRPr="00376A32">
        <w:rPr>
          <w:lang w:val="en-IE"/>
        </w:rPr>
        <w:t xml:space="preserve"> = 26 L.R.R.M. 2084 </w:t>
      </w:r>
      <w:r w:rsidRPr="00B45592">
        <w:rPr>
          <w:lang w:val="en-IE"/>
        </w:rPr>
        <w:t>(1950)</w:t>
      </w:r>
      <w:r w:rsidRPr="00B45592">
        <w:rPr>
          <w:rStyle w:val="Hyperlink"/>
          <w:color w:val="auto"/>
          <w:u w:val="none"/>
          <w:lang w:val="en-US"/>
        </w:rPr>
        <w:t>.</w:t>
      </w:r>
    </w:p>
  </w:footnote>
  <w:footnote w:id="935">
    <w:p w14:paraId="2E8F90EF" w14:textId="77777777" w:rsidR="00074551" w:rsidRPr="005945A2" w:rsidRDefault="00074551" w:rsidP="00074551">
      <w:pPr>
        <w:pStyle w:val="Funotentext"/>
        <w:rPr>
          <w:lang w:val="en-US"/>
        </w:rPr>
      </w:pPr>
      <w:r>
        <w:rPr>
          <w:rStyle w:val="Funotenzeichen"/>
          <w:rFonts w:eastAsiaTheme="majorEastAsia"/>
        </w:rPr>
        <w:footnoteRef/>
      </w:r>
      <w:r w:rsidRPr="005945A2">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5945A2">
        <w:rPr>
          <w:lang w:val="en-US"/>
        </w:rPr>
        <w:t>, 339 U.S. 382, 385</w:t>
      </w:r>
      <w:r>
        <w:rPr>
          <w:lang w:val="en-US"/>
        </w:rPr>
        <w:t xml:space="preserve"> = 70 S. Ct. </w:t>
      </w:r>
      <w:r w:rsidRPr="005945A2">
        <w:rPr>
          <w:lang w:val="en-US"/>
        </w:rPr>
        <w:t>674, 677</w:t>
      </w:r>
      <w:r>
        <w:rPr>
          <w:lang w:val="en-US"/>
        </w:rPr>
        <w:t xml:space="preserve"> = 94 L. Ed. </w:t>
      </w:r>
      <w:r w:rsidRPr="005945A2">
        <w:rPr>
          <w:lang w:val="en-US"/>
        </w:rPr>
        <w:t>925, 936</w:t>
      </w:r>
      <w:r>
        <w:rPr>
          <w:lang w:val="en-US"/>
        </w:rPr>
        <w:t xml:space="preserve"> = 1950 U.S. LEXIS </w:t>
      </w:r>
      <w:r w:rsidRPr="005945A2">
        <w:rPr>
          <w:lang w:val="en-US"/>
        </w:rPr>
        <w:t>2530, 2</w:t>
      </w:r>
      <w:r>
        <w:rPr>
          <w:lang w:val="en-US"/>
        </w:rPr>
        <w:t xml:space="preserve"> = 18 Lab. Cas.</w:t>
      </w:r>
      <w:r w:rsidRPr="005945A2">
        <w:rPr>
          <w:lang w:val="en-US"/>
        </w:rPr>
        <w:t xml:space="preserve"> (CCH) P65,760</w:t>
      </w:r>
      <w:r>
        <w:rPr>
          <w:lang w:val="en-US"/>
        </w:rPr>
        <w:t xml:space="preserve"> = 26 L.R.R.M. 2084 </w:t>
      </w:r>
      <w:r w:rsidRPr="005945A2">
        <w:rPr>
          <w:lang w:val="en-US"/>
        </w:rPr>
        <w:t>(1950)</w:t>
      </w:r>
      <w:r>
        <w:rPr>
          <w:lang w:val="en-US"/>
        </w:rPr>
        <w:t>.</w:t>
      </w:r>
    </w:p>
  </w:footnote>
  <w:footnote w:id="936">
    <w:p w14:paraId="54B7DFEA" w14:textId="77777777" w:rsidR="00074551" w:rsidRPr="002C21F1" w:rsidRDefault="00074551" w:rsidP="00074551">
      <w:pPr>
        <w:pStyle w:val="Funotentext"/>
        <w:ind w:left="227" w:hanging="227"/>
        <w:rPr>
          <w:lang w:val="en-US"/>
        </w:rPr>
      </w:pPr>
      <w:r>
        <w:rPr>
          <w:rStyle w:val="Funotenzeichen"/>
          <w:rFonts w:eastAsiaTheme="majorEastAsia"/>
        </w:rPr>
        <w:footnoteRef/>
      </w:r>
      <w:r w:rsidRPr="002C21F1">
        <w:rPr>
          <w:lang w:val="en-US"/>
        </w:rPr>
        <w:t xml:space="preserve"> </w:t>
      </w:r>
      <w:r w:rsidRPr="009167A5">
        <w:rPr>
          <w:i/>
          <w:lang w:val="en-US"/>
        </w:rPr>
        <w:t>Griswold v. Connecticut</w:t>
      </w:r>
      <w:r w:rsidRPr="002C21F1">
        <w:rPr>
          <w:lang w:val="en-US"/>
        </w:rPr>
        <w:t>, 381 U.S. 479, 494</w:t>
      </w:r>
      <w:r w:rsidRPr="006E67FE">
        <w:rPr>
          <w:lang w:val="en-US"/>
        </w:rPr>
        <w:t xml:space="preserve"> = 85 S. Ct. </w:t>
      </w:r>
      <w:r w:rsidRPr="002C21F1">
        <w:rPr>
          <w:lang w:val="en-US"/>
        </w:rPr>
        <w:t>1678, 1687</w:t>
      </w:r>
      <w:r w:rsidRPr="003B741A">
        <w:rPr>
          <w:lang w:val="en-US"/>
        </w:rPr>
        <w:t xml:space="preserve"> = 14 L. Ed. </w:t>
      </w:r>
      <w:r w:rsidRPr="002C21F1">
        <w:rPr>
          <w:lang w:val="en-US"/>
        </w:rPr>
        <w:t>2d 510, 521</w:t>
      </w:r>
      <w:r w:rsidRPr="006E67FE">
        <w:rPr>
          <w:lang w:val="en-US"/>
        </w:rPr>
        <w:t xml:space="preserve"> = 1965 U.S. LEXIS </w:t>
      </w:r>
      <w:r w:rsidRPr="002C21F1">
        <w:rPr>
          <w:lang w:val="en-US"/>
        </w:rPr>
        <w:t>2282, 25 (1965)</w:t>
      </w:r>
      <w:r>
        <w:rPr>
          <w:lang w:val="en-US"/>
        </w:rPr>
        <w:t>.</w:t>
      </w:r>
    </w:p>
  </w:footnote>
  <w:footnote w:id="937">
    <w:p w14:paraId="2D15EB9A" w14:textId="77777777" w:rsidR="00074551" w:rsidRPr="00380265" w:rsidRDefault="00074551" w:rsidP="00074551">
      <w:pPr>
        <w:pStyle w:val="Funotentext"/>
        <w:rPr>
          <w:lang w:val="en-US"/>
        </w:rPr>
      </w:pPr>
      <w:r>
        <w:rPr>
          <w:rStyle w:val="Funotenzeichen"/>
          <w:rFonts w:eastAsiaTheme="majorEastAsia"/>
        </w:rPr>
        <w:footnoteRef/>
      </w:r>
      <w:r w:rsidRPr="00380265">
        <w:rPr>
          <w:lang w:val="en-US"/>
        </w:rPr>
        <w:t xml:space="preserve"> </w:t>
      </w:r>
      <w:r w:rsidRPr="009167A5">
        <w:rPr>
          <w:i/>
          <w:lang w:val="en-US"/>
        </w:rPr>
        <w:t>Griswold v. Connecticut</w:t>
      </w:r>
      <w:r w:rsidRPr="00380265">
        <w:rPr>
          <w:lang w:val="en-US"/>
        </w:rPr>
        <w:t>, 381 U.S. 479, 494</w:t>
      </w:r>
      <w:r w:rsidRPr="006E67FE">
        <w:rPr>
          <w:lang w:val="en-US"/>
        </w:rPr>
        <w:t xml:space="preserve"> = 85 S. Ct. </w:t>
      </w:r>
      <w:r w:rsidRPr="00380265">
        <w:rPr>
          <w:lang w:val="en-US"/>
        </w:rPr>
        <w:t>1678, 1687</w:t>
      </w:r>
      <w:r w:rsidRPr="003B741A">
        <w:rPr>
          <w:lang w:val="en-US"/>
        </w:rPr>
        <w:t xml:space="preserve"> = 14 L. Ed. </w:t>
      </w:r>
      <w:r w:rsidRPr="00380265">
        <w:rPr>
          <w:lang w:val="en-US"/>
        </w:rPr>
        <w:t>2d 510, 521</w:t>
      </w:r>
      <w:r w:rsidRPr="006E67FE">
        <w:rPr>
          <w:lang w:val="en-US"/>
        </w:rPr>
        <w:t xml:space="preserve"> = 1965 U.S. LEXIS </w:t>
      </w:r>
      <w:r w:rsidRPr="00380265">
        <w:rPr>
          <w:lang w:val="en-US"/>
        </w:rPr>
        <w:t>2282, 25 (1965)</w:t>
      </w:r>
      <w:r>
        <w:rPr>
          <w:lang w:val="en-US"/>
        </w:rPr>
        <w:t>.</w:t>
      </w:r>
    </w:p>
  </w:footnote>
  <w:footnote w:id="938">
    <w:p w14:paraId="3CFC3362" w14:textId="77777777" w:rsidR="00074551" w:rsidRPr="009A48AA" w:rsidRDefault="00074551" w:rsidP="00074551">
      <w:pPr>
        <w:pStyle w:val="Funotentext"/>
        <w:rPr>
          <w:lang w:val="en-US"/>
        </w:rPr>
      </w:pPr>
      <w:r>
        <w:rPr>
          <w:rStyle w:val="Funotenzeichen"/>
          <w:rFonts w:eastAsiaTheme="majorEastAsia"/>
        </w:rPr>
        <w:footnoteRef/>
      </w:r>
      <w:r w:rsidRPr="00B45592">
        <w:rPr>
          <w:lang w:val="en-US"/>
        </w:rPr>
        <w:t xml:space="preserve"> </w:t>
      </w:r>
      <w:r w:rsidRPr="009747B9">
        <w:rPr>
          <w:lang w:val="en-US"/>
        </w:rPr>
        <w:t>https://scholarship.law.upenn.edu/cgi/viewcontent.cgi?article=3696&amp;context=penn_law_review</w:t>
      </w:r>
      <w:r w:rsidRPr="00B45592">
        <w:rPr>
          <w:rStyle w:val="Hyperlink"/>
          <w:u w:val="none"/>
          <w:lang w:val="en-US"/>
        </w:rPr>
        <w:t xml:space="preserve"> </w:t>
      </w:r>
      <w:r>
        <w:rPr>
          <w:lang w:val="en-US"/>
        </w:rPr>
        <w:t>(27.04.2026).</w:t>
      </w:r>
    </w:p>
  </w:footnote>
  <w:footnote w:id="939">
    <w:p w14:paraId="324C1889" w14:textId="7362B65C" w:rsidR="00074551" w:rsidRPr="00B45592" w:rsidRDefault="00074551" w:rsidP="00074551">
      <w:pPr>
        <w:pStyle w:val="Funotentext"/>
        <w:rPr>
          <w:lang w:val="en-IE"/>
        </w:rPr>
      </w:pPr>
      <w:r>
        <w:rPr>
          <w:rStyle w:val="Funotenzeichen"/>
          <w:rFonts w:eastAsiaTheme="majorEastAsia"/>
        </w:rPr>
        <w:footnoteRef/>
      </w:r>
      <w:r w:rsidRPr="00226584">
        <w:rPr>
          <w:lang w:val="en-US"/>
        </w:rPr>
        <w:t xml:space="preserve"> </w:t>
      </w:r>
      <w:r w:rsidR="00370142">
        <w:rPr>
          <w:lang w:val="en-US"/>
        </w:rPr>
        <w:t xml:space="preserve">U.S. Const. </w:t>
      </w:r>
      <w:proofErr w:type="gramStart"/>
      <w:r w:rsidR="00370142">
        <w:rPr>
          <w:lang w:val="en-US"/>
        </w:rPr>
        <w:t>amend</w:t>
      </w:r>
      <w:proofErr w:type="gramEnd"/>
      <w:r w:rsidR="00370142">
        <w:rPr>
          <w:lang w:val="en-US"/>
        </w:rPr>
        <w:t>.</w:t>
      </w:r>
      <w:r w:rsidRPr="00450853">
        <w:rPr>
          <w:lang w:val="en-US"/>
        </w:rPr>
        <w:t xml:space="preserve"> (</w:t>
      </w:r>
      <w:r>
        <w:rPr>
          <w:lang w:val="en-US"/>
        </w:rPr>
        <w:t>„</w:t>
      </w:r>
      <w:r w:rsidRPr="00450853">
        <w:rPr>
          <w:lang w:val="en-US"/>
        </w:rPr>
        <w:t>right</w:t>
      </w:r>
      <w:r>
        <w:rPr>
          <w:lang w:val="en-US"/>
        </w:rPr>
        <w:t xml:space="preserve"> </w:t>
      </w:r>
      <w:r w:rsidRPr="00450853">
        <w:rPr>
          <w:lang w:val="en-US"/>
        </w:rPr>
        <w:t xml:space="preserve">of the people peaceably to </w:t>
      </w:r>
      <w:proofErr w:type="gramStart"/>
      <w:r w:rsidRPr="00450853">
        <w:rPr>
          <w:lang w:val="en-US"/>
        </w:rPr>
        <w:t>assemble</w:t>
      </w:r>
      <w:r>
        <w:rPr>
          <w:lang w:val="en-US"/>
        </w:rPr>
        <w:t>“</w:t>
      </w:r>
      <w:proofErr w:type="gramEnd"/>
      <w:r w:rsidRPr="00450853">
        <w:rPr>
          <w:lang w:val="en-US"/>
        </w:rPr>
        <w:t xml:space="preserve">), III (Schutz </w:t>
      </w:r>
      <w:proofErr w:type="spellStart"/>
      <w:r w:rsidRPr="00450853">
        <w:rPr>
          <w:lang w:val="en-US"/>
        </w:rPr>
        <w:t>gegen</w:t>
      </w:r>
      <w:proofErr w:type="spellEnd"/>
      <w:r w:rsidRPr="00450853">
        <w:rPr>
          <w:lang w:val="en-US"/>
        </w:rPr>
        <w:t xml:space="preserve"> </w:t>
      </w:r>
      <w:proofErr w:type="spellStart"/>
      <w:r w:rsidRPr="00450853">
        <w:rPr>
          <w:lang w:val="en-US"/>
        </w:rPr>
        <w:t>Einweisungen</w:t>
      </w:r>
      <w:proofErr w:type="spellEnd"/>
      <w:r w:rsidRPr="00450853">
        <w:rPr>
          <w:lang w:val="en-US"/>
        </w:rPr>
        <w:t xml:space="preserve">), IV (Schutz </w:t>
      </w:r>
      <w:proofErr w:type="spellStart"/>
      <w:r w:rsidRPr="00450853">
        <w:rPr>
          <w:lang w:val="en-US"/>
        </w:rPr>
        <w:t>gegen</w:t>
      </w:r>
      <w:proofErr w:type="spellEnd"/>
      <w:r w:rsidRPr="00450853">
        <w:rPr>
          <w:lang w:val="en-US"/>
        </w:rPr>
        <w:t xml:space="preserve"> </w:t>
      </w:r>
      <w:proofErr w:type="spellStart"/>
      <w:r w:rsidRPr="00450853">
        <w:rPr>
          <w:lang w:val="en-US"/>
        </w:rPr>
        <w:t>Durchsuchungen</w:t>
      </w:r>
      <w:proofErr w:type="spellEnd"/>
      <w:r w:rsidRPr="00450853">
        <w:rPr>
          <w:lang w:val="en-US"/>
        </w:rPr>
        <w:t>), V (</w:t>
      </w:r>
      <w:proofErr w:type="spellStart"/>
      <w:r w:rsidRPr="00450853">
        <w:rPr>
          <w:lang w:val="en-US"/>
        </w:rPr>
        <w:t>Selbstbegünstigungsprivileg</w:t>
      </w:r>
      <w:proofErr w:type="spellEnd"/>
      <w:r w:rsidRPr="00450853">
        <w:rPr>
          <w:lang w:val="en-US"/>
        </w:rPr>
        <w:t xml:space="preserve">, </w:t>
      </w:r>
      <w:r w:rsidRPr="00B45592">
        <w:rPr>
          <w:i/>
          <w:lang w:val="en-US"/>
        </w:rPr>
        <w:t>ne bis in idem</w:t>
      </w:r>
      <w:r w:rsidRPr="00450853">
        <w:rPr>
          <w:lang w:val="en-US"/>
        </w:rPr>
        <w:t>) und IX (</w:t>
      </w:r>
      <w:r>
        <w:rPr>
          <w:lang w:val="en-US"/>
        </w:rPr>
        <w:t>„</w:t>
      </w:r>
      <w:r w:rsidRPr="00450853">
        <w:rPr>
          <w:lang w:val="en-US"/>
        </w:rPr>
        <w:t xml:space="preserve">rights of the people are not limited to just the rights listed in the </w:t>
      </w:r>
      <w:proofErr w:type="gramStart"/>
      <w:r w:rsidRPr="00450853">
        <w:rPr>
          <w:lang w:val="en-US"/>
        </w:rPr>
        <w:t>Constitution</w:t>
      </w:r>
      <w:r>
        <w:rPr>
          <w:lang w:val="en-US"/>
        </w:rPr>
        <w:t>“</w:t>
      </w:r>
      <w:proofErr w:type="gramEnd"/>
      <w:r w:rsidRPr="00450853">
        <w:rPr>
          <w:lang w:val="en-US"/>
        </w:rPr>
        <w:t>)</w:t>
      </w:r>
      <w:r w:rsidRPr="00B45592">
        <w:rPr>
          <w:lang w:val="en-IE"/>
        </w:rPr>
        <w:t xml:space="preserve"> </w:t>
      </w:r>
      <w:proofErr w:type="spellStart"/>
      <w:r w:rsidRPr="00B45592">
        <w:rPr>
          <w:lang w:val="en-IE"/>
        </w:rPr>
        <w:t>implizieren</w:t>
      </w:r>
      <w:proofErr w:type="spellEnd"/>
      <w:r w:rsidRPr="00B45592">
        <w:rPr>
          <w:lang w:val="en-IE"/>
        </w:rPr>
        <w:t xml:space="preserve"> </w:t>
      </w:r>
      <w:proofErr w:type="spellStart"/>
      <w:r w:rsidRPr="00B45592">
        <w:rPr>
          <w:lang w:val="en-IE"/>
        </w:rPr>
        <w:t>dabei</w:t>
      </w:r>
      <w:proofErr w:type="spellEnd"/>
      <w:r w:rsidRPr="00B45592">
        <w:rPr>
          <w:lang w:val="en-IE"/>
        </w:rPr>
        <w:t xml:space="preserve"> die </w:t>
      </w:r>
      <w:proofErr w:type="spellStart"/>
      <w:r w:rsidRPr="00B45592">
        <w:rPr>
          <w:lang w:val="en-IE"/>
        </w:rPr>
        <w:t>Existenz</w:t>
      </w:r>
      <w:proofErr w:type="spellEnd"/>
      <w:r w:rsidRPr="00B45592">
        <w:rPr>
          <w:lang w:val="en-IE"/>
        </w:rPr>
        <w:t xml:space="preserve"> </w:t>
      </w:r>
      <w:proofErr w:type="spellStart"/>
      <w:r w:rsidRPr="00B45592">
        <w:rPr>
          <w:lang w:val="en-IE"/>
        </w:rPr>
        <w:t>eines</w:t>
      </w:r>
      <w:proofErr w:type="spellEnd"/>
      <w:r w:rsidRPr="00B45592">
        <w:rPr>
          <w:lang w:val="en-IE"/>
        </w:rPr>
        <w:t xml:space="preserve"> </w:t>
      </w:r>
      <w:proofErr w:type="spellStart"/>
      <w:r w:rsidRPr="00B45592">
        <w:rPr>
          <w:lang w:val="en-IE"/>
        </w:rPr>
        <w:t>Rechts</w:t>
      </w:r>
      <w:proofErr w:type="spellEnd"/>
      <w:r w:rsidRPr="00B45592">
        <w:rPr>
          <w:lang w:val="en-IE"/>
        </w:rPr>
        <w:t xml:space="preserve"> auf </w:t>
      </w:r>
      <w:proofErr w:type="spellStart"/>
      <w:r w:rsidRPr="00B45592">
        <w:rPr>
          <w:lang w:val="en-IE"/>
        </w:rPr>
        <w:t>Privatsphäre</w:t>
      </w:r>
      <w:proofErr w:type="spellEnd"/>
      <w:r w:rsidRPr="00B45592">
        <w:rPr>
          <w:lang w:val="en-IE"/>
        </w:rPr>
        <w:t xml:space="preserve">; </w:t>
      </w:r>
      <w:proofErr w:type="spellStart"/>
      <w:r w:rsidRPr="00B45592">
        <w:rPr>
          <w:lang w:val="en-IE"/>
        </w:rPr>
        <w:t>vgl</w:t>
      </w:r>
      <w:proofErr w:type="spellEnd"/>
      <w:r w:rsidRPr="00B45592">
        <w:rPr>
          <w:lang w:val="en-IE"/>
        </w:rPr>
        <w:t xml:space="preserve">. </w:t>
      </w:r>
      <w:r w:rsidRPr="009167A5">
        <w:rPr>
          <w:i/>
          <w:lang w:val="en-IE"/>
        </w:rPr>
        <w:t>Griswold v. Connecticut</w:t>
      </w:r>
      <w:r w:rsidRPr="00B45592">
        <w:rPr>
          <w:lang w:val="en-IE"/>
        </w:rPr>
        <w:t>, 381 U.S. 479, 494</w:t>
      </w:r>
      <w:r w:rsidRPr="006E67FE">
        <w:rPr>
          <w:lang w:val="en-IE"/>
        </w:rPr>
        <w:t xml:space="preserve"> = 85 S. Ct. </w:t>
      </w:r>
      <w:r w:rsidRPr="00B45592">
        <w:rPr>
          <w:lang w:val="en-IE"/>
        </w:rPr>
        <w:t>1678, 1687</w:t>
      </w:r>
      <w:r w:rsidRPr="003B741A">
        <w:rPr>
          <w:lang w:val="en-IE"/>
        </w:rPr>
        <w:t xml:space="preserve"> = 14 L. Ed. </w:t>
      </w:r>
      <w:r w:rsidRPr="00B45592">
        <w:rPr>
          <w:lang w:val="en-IE"/>
        </w:rPr>
        <w:t>2d 510, 521</w:t>
      </w:r>
      <w:r w:rsidRPr="006E67FE">
        <w:rPr>
          <w:lang w:val="en-IE"/>
        </w:rPr>
        <w:t xml:space="preserve"> = 1965 U.S. LEXIS </w:t>
      </w:r>
      <w:r w:rsidRPr="00B45592">
        <w:rPr>
          <w:lang w:val="en-IE"/>
        </w:rPr>
        <w:t>2282, 25 (1965).</w:t>
      </w:r>
    </w:p>
  </w:footnote>
  <w:footnote w:id="940">
    <w:p w14:paraId="2C5602C2"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Griswold v. Connecticut</w:t>
      </w:r>
      <w:r w:rsidRPr="00BA1E56">
        <w:rPr>
          <w:lang w:val="en-US"/>
        </w:rPr>
        <w:t>, 381 U.S. 479, 484</w:t>
      </w:r>
      <w:r w:rsidRPr="006E67FE">
        <w:rPr>
          <w:lang w:val="en-US"/>
        </w:rPr>
        <w:t xml:space="preserve"> = 85 S. Ct. </w:t>
      </w:r>
      <w:r w:rsidRPr="00BA1E56">
        <w:rPr>
          <w:lang w:val="en-US"/>
        </w:rPr>
        <w:t>1678, 1681</w:t>
      </w:r>
      <w:r w:rsidRPr="003B741A">
        <w:rPr>
          <w:lang w:val="en-US"/>
        </w:rPr>
        <w:t xml:space="preserve"> = 14 L. Ed. </w:t>
      </w:r>
      <w:r w:rsidRPr="00BA1E56">
        <w:rPr>
          <w:lang w:val="en-US"/>
        </w:rPr>
        <w:t>2d 510, 514</w:t>
      </w:r>
      <w:r>
        <w:rPr>
          <w:lang w:val="en-US"/>
        </w:rPr>
        <w:t>–</w:t>
      </w:r>
      <w:r w:rsidRPr="00BA1E56">
        <w:rPr>
          <w:lang w:val="en-US"/>
        </w:rPr>
        <w:t>515</w:t>
      </w:r>
      <w:r w:rsidRPr="006E67FE">
        <w:rPr>
          <w:lang w:val="en-US"/>
        </w:rPr>
        <w:t xml:space="preserve"> = 1965 U.S. LEXIS </w:t>
      </w:r>
      <w:r w:rsidRPr="00BA1E56">
        <w:rPr>
          <w:lang w:val="en-US"/>
        </w:rPr>
        <w:t>2282, 9 (1965)</w:t>
      </w:r>
      <w:r>
        <w:rPr>
          <w:lang w:val="en-US"/>
        </w:rPr>
        <w:t>.</w:t>
      </w:r>
    </w:p>
  </w:footnote>
  <w:footnote w:id="941">
    <w:p w14:paraId="7AB48EC9" w14:textId="1BADEEDB" w:rsidR="00074551" w:rsidRPr="00BA1E56" w:rsidRDefault="00074551" w:rsidP="00074551">
      <w:pPr>
        <w:pStyle w:val="Funotentext"/>
        <w:rPr>
          <w:lang w:val="en-US"/>
        </w:rPr>
      </w:pPr>
      <w:r>
        <w:rPr>
          <w:rStyle w:val="Funotenzeichen"/>
          <w:rFonts w:eastAsiaTheme="majorEastAsia"/>
        </w:rPr>
        <w:footnoteRef/>
      </w:r>
      <w:r w:rsidRPr="00A02CB2">
        <w:rPr>
          <w:lang w:val="en-US"/>
        </w:rPr>
        <w:t xml:space="preserve"> </w:t>
      </w:r>
      <w:r w:rsidRPr="009167A5">
        <w:rPr>
          <w:i/>
          <w:lang w:val="en-IE"/>
        </w:rPr>
        <w:t>Griswold v. Connecticut</w:t>
      </w:r>
      <w:r w:rsidRPr="00B45592">
        <w:rPr>
          <w:lang w:val="en-IE"/>
        </w:rPr>
        <w:t>, 381 U.S. 479, 482</w:t>
      </w:r>
      <w:r w:rsidRPr="006E67FE">
        <w:rPr>
          <w:lang w:val="en-IE"/>
        </w:rPr>
        <w:t xml:space="preserve"> = 85 S. Ct. </w:t>
      </w:r>
      <w:r w:rsidRPr="00B45592">
        <w:rPr>
          <w:lang w:val="en-IE"/>
        </w:rPr>
        <w:t>1678, 1680</w:t>
      </w:r>
      <w:r w:rsidRPr="003B741A">
        <w:rPr>
          <w:lang w:val="en-IE"/>
        </w:rPr>
        <w:t xml:space="preserve"> = 14 L. Ed. </w:t>
      </w:r>
      <w:r w:rsidRPr="00B45592">
        <w:rPr>
          <w:lang w:val="en-IE"/>
        </w:rPr>
        <w:t>2d 510, 513</w:t>
      </w:r>
      <w:r w:rsidRPr="006E67FE">
        <w:rPr>
          <w:lang w:val="en-IE"/>
        </w:rPr>
        <w:t xml:space="preserve"> = 1965 U.S. LEXIS </w:t>
      </w:r>
      <w:r w:rsidRPr="00B45592">
        <w:rPr>
          <w:lang w:val="en-IE"/>
        </w:rPr>
        <w:t>2282, 6 (1965)</w:t>
      </w:r>
      <w:r w:rsidRPr="00C31BDE">
        <w:rPr>
          <w:lang w:val="en-US"/>
        </w:rPr>
        <w:t>,</w:t>
      </w:r>
      <w:r w:rsidRPr="00B45592">
        <w:rPr>
          <w:rStyle w:val="Hyperlink"/>
          <w:u w:val="none"/>
          <w:lang w:val="en-US"/>
        </w:rPr>
        <w:t xml:space="preserve"> </w:t>
      </w:r>
      <w:proofErr w:type="spellStart"/>
      <w:r w:rsidRPr="00B45592">
        <w:rPr>
          <w:rStyle w:val="Hyperlink"/>
          <w:color w:val="auto"/>
          <w:u w:val="none"/>
          <w:lang w:val="en-US"/>
        </w:rPr>
        <w:t>wie</w:t>
      </w:r>
      <w:proofErr w:type="spellEnd"/>
      <w:r w:rsidRPr="00B45592">
        <w:rPr>
          <w:rStyle w:val="Hyperlink"/>
          <w:color w:val="auto"/>
          <w:u w:val="none"/>
          <w:lang w:val="en-US"/>
        </w:rPr>
        <w:t xml:space="preserve"> </w:t>
      </w:r>
      <w:proofErr w:type="spellStart"/>
      <w:r w:rsidRPr="00B45592">
        <w:rPr>
          <w:rStyle w:val="Hyperlink"/>
          <w:color w:val="auto"/>
          <w:u w:val="none"/>
          <w:lang w:val="en-US"/>
        </w:rPr>
        <w:t>auch</w:t>
      </w:r>
      <w:proofErr w:type="spellEnd"/>
      <w:r w:rsidRPr="00B45592">
        <w:rPr>
          <w:rStyle w:val="Hyperlink"/>
          <w:color w:val="auto"/>
          <w:u w:val="none"/>
          <w:lang w:val="en-US"/>
        </w:rPr>
        <w:t>: „T</w:t>
      </w:r>
      <w:r w:rsidRPr="00B45592">
        <w:rPr>
          <w:lang w:val="en-US"/>
        </w:rPr>
        <w:t>he right to educate a child in a school of the parents</w:t>
      </w:r>
      <w:r>
        <w:rPr>
          <w:lang w:val="en-US"/>
        </w:rPr>
        <w:t>’</w:t>
      </w:r>
      <w:r w:rsidRPr="00B45592">
        <w:rPr>
          <w:lang w:val="en-US"/>
        </w:rPr>
        <w:t xml:space="preserve"> choice – whether public or private or parochial – is also not mentioned. Nor is the right to study any </w:t>
      </w:r>
      <w:proofErr w:type="gramStart"/>
      <w:r w:rsidRPr="00B45592">
        <w:rPr>
          <w:lang w:val="en-US"/>
        </w:rPr>
        <w:t>particular subject</w:t>
      </w:r>
      <w:proofErr w:type="gramEnd"/>
      <w:r w:rsidRPr="00B45592">
        <w:rPr>
          <w:lang w:val="en-US"/>
        </w:rPr>
        <w:t xml:space="preserve"> or any foreign language. Yet the </w:t>
      </w:r>
      <w:hyperlink r:id="rId2" w:history="1">
        <w:r w:rsidRPr="00B45592">
          <w:rPr>
            <w:rStyle w:val="Hyperlink"/>
            <w:color w:val="auto"/>
            <w:u w:val="none"/>
            <w:lang w:val="en-US"/>
          </w:rPr>
          <w:t>First Amendment</w:t>
        </w:r>
      </w:hyperlink>
      <w:r w:rsidRPr="00B45592">
        <w:rPr>
          <w:lang w:val="en-US"/>
        </w:rPr>
        <w:t xml:space="preserve"> has been construed to include certain of those </w:t>
      </w:r>
      <w:proofErr w:type="gramStart"/>
      <w:r w:rsidRPr="00B45592">
        <w:rPr>
          <w:lang w:val="en-US"/>
        </w:rPr>
        <w:t>rights.“</w:t>
      </w:r>
      <w:proofErr w:type="gramEnd"/>
    </w:p>
  </w:footnote>
  <w:footnote w:id="942">
    <w:p w14:paraId="7BD6ABB4" w14:textId="77777777" w:rsidR="00074551" w:rsidRPr="00B92960" w:rsidRDefault="00074551" w:rsidP="00074551">
      <w:pPr>
        <w:pStyle w:val="Funotentext"/>
        <w:rPr>
          <w:lang w:val="en-US"/>
        </w:rPr>
      </w:pPr>
      <w:r>
        <w:rPr>
          <w:rStyle w:val="Funotenzeichen"/>
          <w:rFonts w:eastAsiaTheme="majorEastAsia"/>
        </w:rPr>
        <w:footnoteRef/>
      </w:r>
      <w:r>
        <w:rPr>
          <w:lang w:val="en-US"/>
        </w:rPr>
        <w:t xml:space="preserve"> </w:t>
      </w:r>
      <w:r w:rsidRPr="009167A5">
        <w:rPr>
          <w:i/>
          <w:lang w:val="en-US"/>
        </w:rPr>
        <w:t>Griswold v. Connecticut</w:t>
      </w:r>
      <w:r w:rsidRPr="00B92960">
        <w:rPr>
          <w:lang w:val="en-US"/>
        </w:rPr>
        <w:t>, 381 U.S. 479</w:t>
      </w:r>
      <w:r>
        <w:rPr>
          <w:lang w:val="en-US"/>
        </w:rPr>
        <w:t xml:space="preserve"> </w:t>
      </w:r>
      <w:r w:rsidRPr="00BA1E56">
        <w:rPr>
          <w:lang w:val="en-US"/>
        </w:rPr>
        <w:t>(1965)</w:t>
      </w:r>
      <w:r>
        <w:rPr>
          <w:lang w:val="en-US"/>
        </w:rPr>
        <w:t>.</w:t>
      </w:r>
    </w:p>
  </w:footnote>
  <w:footnote w:id="943">
    <w:p w14:paraId="2A27F26A" w14:textId="6A24C538" w:rsidR="5B67C1D2" w:rsidRDefault="5B67C1D2" w:rsidP="5B67C1D2">
      <w:pPr>
        <w:pStyle w:val="Funotentext"/>
        <w:rPr>
          <w:lang w:val="en-US"/>
        </w:rPr>
      </w:pPr>
      <w:r w:rsidRPr="5B67C1D2">
        <w:rPr>
          <w:rStyle w:val="Funotenzeichen"/>
        </w:rPr>
        <w:footnoteRef/>
      </w:r>
      <w:r w:rsidRPr="006F4315">
        <w:rPr>
          <w:lang w:val="en-US"/>
        </w:rPr>
        <w:t xml:space="preserve"> </w:t>
      </w:r>
      <w:r w:rsidRPr="5B67C1D2">
        <w:rPr>
          <w:i/>
          <w:iCs/>
          <w:lang w:val="en-US"/>
        </w:rPr>
        <w:t>Griswold v. Connecticut</w:t>
      </w:r>
      <w:r w:rsidRPr="5B67C1D2">
        <w:rPr>
          <w:lang w:val="en-US"/>
        </w:rPr>
        <w:t xml:space="preserve">, 381 U.S. 479, 488 = 85 S. Ct. 1678, 1687 = 14 L. Ed. 2d 510, 521 = 1965 U.S. LEXIS 2282, 25 (1965), </w:t>
      </w:r>
      <w:r w:rsidRPr="5B67C1D2">
        <w:rPr>
          <w:i/>
          <w:iCs/>
          <w:lang w:val="en-US"/>
        </w:rPr>
        <w:t>Meyer v. Nebraska</w:t>
      </w:r>
      <w:r w:rsidRPr="5B67C1D2">
        <w:rPr>
          <w:lang w:val="en-US"/>
        </w:rPr>
        <w:t>, 262 U.S. 390, 399 = 43 S. Ct. 625, 626 = 67 L. Ed. 1042, 1044 = 1923 U.S. LEXIS 2655, 1 = 29 A.L.R. 1446 (1923).</w:t>
      </w:r>
    </w:p>
  </w:footnote>
  <w:footnote w:id="944">
    <w:p w14:paraId="276B8315" w14:textId="0C27CC34" w:rsidR="00074551" w:rsidRPr="00226584" w:rsidRDefault="00074551" w:rsidP="00074551">
      <w:pPr>
        <w:pStyle w:val="Funotentext"/>
      </w:pPr>
      <w:r w:rsidRPr="5B67C1D2">
        <w:rPr>
          <w:rStyle w:val="Funotenzeichen"/>
          <w:rFonts w:eastAsiaTheme="majorEastAsia"/>
        </w:rPr>
        <w:footnoteRef/>
      </w:r>
      <w:r w:rsidR="5B67C1D2" w:rsidRPr="00226584">
        <w:rPr>
          <w:lang w:val="en-US"/>
        </w:rPr>
        <w:t xml:space="preserve"> </w:t>
      </w:r>
      <w:proofErr w:type="spellStart"/>
      <w:r w:rsidR="5B67C1D2" w:rsidRPr="5B67C1D2">
        <w:rPr>
          <w:i/>
          <w:iCs/>
          <w:color w:val="212121"/>
          <w:lang w:val="en-US"/>
        </w:rPr>
        <w:t>lmstead</w:t>
      </w:r>
      <w:proofErr w:type="spellEnd"/>
      <w:r w:rsidR="5B67C1D2" w:rsidRPr="5B67C1D2">
        <w:rPr>
          <w:i/>
          <w:iCs/>
          <w:color w:val="212121"/>
          <w:lang w:val="en-US"/>
        </w:rPr>
        <w:t xml:space="preserve"> v. United States, </w:t>
      </w:r>
      <w:r w:rsidR="5B67C1D2" w:rsidRPr="5B67C1D2">
        <w:rPr>
          <w:color w:val="212121"/>
          <w:lang w:val="en-US"/>
        </w:rPr>
        <w:t>277 U.S. 438, 494, 48 S. Ct. 564, 72 L. Ed. 944, 1928 U.S. LEXIS 694, 66 A.L.R. 376 (1928).</w:t>
      </w:r>
    </w:p>
    <w:p w14:paraId="75860DCD" w14:textId="7A3E35C2" w:rsidR="00074551" w:rsidRPr="00226584" w:rsidRDefault="00074551" w:rsidP="00074551">
      <w:pPr>
        <w:pStyle w:val="Funotentext"/>
      </w:pPr>
    </w:p>
  </w:footnote>
  <w:footnote w:id="945">
    <w:p w14:paraId="32CC6397" w14:textId="77777777" w:rsidR="00074551" w:rsidRPr="005F5970" w:rsidRDefault="00074551" w:rsidP="00074551">
      <w:pPr>
        <w:pStyle w:val="Funotentext"/>
        <w:rPr>
          <w:lang w:val="en-US"/>
        </w:rPr>
      </w:pPr>
      <w:r>
        <w:rPr>
          <w:rStyle w:val="Funotenzeichen"/>
        </w:rPr>
        <w:footnoteRef/>
      </w:r>
      <w:r w:rsidRPr="005F5970">
        <w:rPr>
          <w:lang w:val="en-US"/>
        </w:rPr>
        <w:t xml:space="preserve"> </w:t>
      </w:r>
      <w:r w:rsidRPr="009E57E1">
        <w:rPr>
          <w:i/>
          <w:lang w:val="en-US"/>
        </w:rPr>
        <w:t>Gibson v. Fla. Legislative Investigation Comm.</w:t>
      </w:r>
      <w:r w:rsidRPr="005F5970">
        <w:rPr>
          <w:lang w:val="en-US"/>
        </w:rPr>
        <w:t>, 372 U.S. 539, 540</w:t>
      </w:r>
      <w:r>
        <w:rPr>
          <w:lang w:val="en-US"/>
        </w:rPr>
        <w:t xml:space="preserve"> = 83 S. Ct</w:t>
      </w:r>
      <w:r w:rsidRPr="005F5970">
        <w:rPr>
          <w:lang w:val="en-US"/>
        </w:rPr>
        <w:t>. 889, 890</w:t>
      </w:r>
      <w:r>
        <w:rPr>
          <w:lang w:val="en-US"/>
        </w:rPr>
        <w:t xml:space="preserve"> = 9 L. Ed. </w:t>
      </w:r>
      <w:r w:rsidRPr="005F5970">
        <w:rPr>
          <w:lang w:val="en-US"/>
        </w:rPr>
        <w:t>2d 929, 932</w:t>
      </w:r>
      <w:r>
        <w:rPr>
          <w:lang w:val="en-US"/>
        </w:rPr>
        <w:t xml:space="preserve"> = 1963 U.S. LEXIS </w:t>
      </w:r>
      <w:r w:rsidRPr="005F5970">
        <w:rPr>
          <w:lang w:val="en-US"/>
        </w:rPr>
        <w:t>2503, 1 (1963)</w:t>
      </w:r>
      <w:r>
        <w:rPr>
          <w:lang w:val="en-US"/>
        </w:rPr>
        <w:t>.</w:t>
      </w:r>
    </w:p>
  </w:footnote>
  <w:footnote w:id="946">
    <w:p w14:paraId="661563E8" w14:textId="77777777" w:rsidR="00074551" w:rsidRPr="005F5970" w:rsidRDefault="00074551" w:rsidP="00074551">
      <w:pPr>
        <w:pStyle w:val="Funotentext"/>
        <w:rPr>
          <w:lang w:val="en-US"/>
        </w:rPr>
      </w:pPr>
      <w:r>
        <w:rPr>
          <w:rStyle w:val="Funotenzeichen"/>
        </w:rPr>
        <w:footnoteRef/>
      </w:r>
      <w:r w:rsidRPr="005F5970">
        <w:rPr>
          <w:lang w:val="en-US"/>
        </w:rPr>
        <w:t xml:space="preserve"> </w:t>
      </w:r>
      <w:r w:rsidRPr="00B45592">
        <w:rPr>
          <w:i/>
          <w:lang w:val="en-US"/>
        </w:rPr>
        <w:t>NAACP v. Button</w:t>
      </w:r>
      <w:r w:rsidRPr="005F5970">
        <w:rPr>
          <w:lang w:val="en-US"/>
        </w:rPr>
        <w:t>, 371 U.S. 415, 433</w:t>
      </w:r>
      <w:r>
        <w:rPr>
          <w:lang w:val="en-US"/>
        </w:rPr>
        <w:t xml:space="preserve">; </w:t>
      </w:r>
      <w:r w:rsidRPr="009E57E1">
        <w:rPr>
          <w:i/>
          <w:lang w:val="en-US"/>
        </w:rPr>
        <w:t>Gibson v. Fla. Legislative Investigation Comm.</w:t>
      </w:r>
      <w:r w:rsidRPr="005F5970">
        <w:rPr>
          <w:lang w:val="en-US"/>
        </w:rPr>
        <w:t>, 372 U.S. 539, 544</w:t>
      </w:r>
      <w:r>
        <w:rPr>
          <w:lang w:val="en-US"/>
        </w:rPr>
        <w:t xml:space="preserve"> = 83 S. Ct</w:t>
      </w:r>
      <w:r w:rsidRPr="005F5970">
        <w:rPr>
          <w:lang w:val="en-US"/>
        </w:rPr>
        <w:t>. 889, 892</w:t>
      </w:r>
      <w:r>
        <w:rPr>
          <w:lang w:val="en-US"/>
        </w:rPr>
        <w:t xml:space="preserve"> = 9 L. Ed. </w:t>
      </w:r>
      <w:r w:rsidRPr="005F5970">
        <w:rPr>
          <w:lang w:val="en-US"/>
        </w:rPr>
        <w:t>2d 929, 934</w:t>
      </w:r>
      <w:r>
        <w:rPr>
          <w:lang w:val="en-US"/>
        </w:rPr>
        <w:t xml:space="preserve"> = 1963 U.S. LEXIS </w:t>
      </w:r>
      <w:r w:rsidRPr="005F5970">
        <w:rPr>
          <w:lang w:val="en-US"/>
        </w:rPr>
        <w:t>2503, 9 (1963)</w:t>
      </w:r>
      <w:r>
        <w:rPr>
          <w:lang w:val="en-US"/>
        </w:rPr>
        <w:t>.</w:t>
      </w:r>
    </w:p>
  </w:footnote>
  <w:footnote w:id="947">
    <w:p w14:paraId="5DA6A321" w14:textId="77777777" w:rsidR="00074551" w:rsidRPr="005F5970" w:rsidRDefault="00074551" w:rsidP="00074551">
      <w:pPr>
        <w:pStyle w:val="Funotentext"/>
        <w:rPr>
          <w:lang w:val="en-US"/>
        </w:rPr>
      </w:pPr>
      <w:r>
        <w:rPr>
          <w:rStyle w:val="Funotenzeichen"/>
        </w:rPr>
        <w:footnoteRef/>
      </w:r>
      <w:r w:rsidRPr="005F5970">
        <w:rPr>
          <w:lang w:val="en-US"/>
        </w:rPr>
        <w:t xml:space="preserve"> </w:t>
      </w:r>
      <w:r w:rsidRPr="00B45592">
        <w:rPr>
          <w:i/>
          <w:lang w:val="en-US"/>
        </w:rPr>
        <w:t>Bates v. Little Rock</w:t>
      </w:r>
      <w:r w:rsidRPr="009E57E1">
        <w:rPr>
          <w:lang w:val="en-US"/>
        </w:rPr>
        <w:t xml:space="preserve">, </w:t>
      </w:r>
      <w:r w:rsidRPr="00B45592">
        <w:rPr>
          <w:lang w:val="en-IE"/>
        </w:rPr>
        <w:t>361 U.S. 516,</w:t>
      </w:r>
      <w:r w:rsidRPr="009E57E1" w:rsidDel="009E57E1">
        <w:rPr>
          <w:lang w:val="en-US"/>
        </w:rPr>
        <w:t xml:space="preserve"> </w:t>
      </w:r>
      <w:r w:rsidRPr="009E57E1">
        <w:rPr>
          <w:lang w:val="en-US"/>
        </w:rPr>
        <w:t xml:space="preserve">523. </w:t>
      </w:r>
      <w:r w:rsidRPr="00B45592">
        <w:t xml:space="preserve">Und wie erklärt in </w:t>
      </w:r>
      <w:r w:rsidRPr="00B45592">
        <w:rPr>
          <w:i/>
        </w:rPr>
        <w:t>NAACP v. Alabama</w:t>
      </w:r>
      <w:r w:rsidRPr="00B45592">
        <w:t xml:space="preserve">, 357 U.S. 449, 462; </w:t>
      </w:r>
      <w:r w:rsidRPr="00B45592">
        <w:rPr>
          <w:i/>
        </w:rPr>
        <w:t xml:space="preserve">Gibson v. </w:t>
      </w:r>
      <w:proofErr w:type="spellStart"/>
      <w:r w:rsidRPr="00B45592">
        <w:rPr>
          <w:i/>
        </w:rPr>
        <w:t>Fla</w:t>
      </w:r>
      <w:proofErr w:type="spellEnd"/>
      <w:r w:rsidRPr="00B45592">
        <w:rPr>
          <w:i/>
        </w:rPr>
        <w:t xml:space="preserve">. </w:t>
      </w:r>
      <w:r w:rsidRPr="009E57E1">
        <w:rPr>
          <w:i/>
          <w:lang w:val="en-US"/>
        </w:rPr>
        <w:t>Legislative Investigation Comm.</w:t>
      </w:r>
      <w:r w:rsidRPr="005F5970">
        <w:rPr>
          <w:lang w:val="en-US"/>
        </w:rPr>
        <w:t>, 372 U.S. 539, 544</w:t>
      </w:r>
      <w:r>
        <w:rPr>
          <w:lang w:val="en-US"/>
        </w:rPr>
        <w:t xml:space="preserve"> = 83 S. Ct</w:t>
      </w:r>
      <w:r w:rsidRPr="005F5970">
        <w:rPr>
          <w:lang w:val="en-US"/>
        </w:rPr>
        <w:t>. 889, 892</w:t>
      </w:r>
      <w:r>
        <w:rPr>
          <w:lang w:val="en-US"/>
        </w:rPr>
        <w:t xml:space="preserve"> = 9 L. Ed. </w:t>
      </w:r>
      <w:r w:rsidRPr="005F5970">
        <w:rPr>
          <w:lang w:val="en-US"/>
        </w:rPr>
        <w:t>2d 929, 934</w:t>
      </w:r>
      <w:r>
        <w:rPr>
          <w:lang w:val="en-US"/>
        </w:rPr>
        <w:t xml:space="preserve"> = 1963 U.S. LEXIS </w:t>
      </w:r>
      <w:r w:rsidRPr="005F5970">
        <w:rPr>
          <w:lang w:val="en-US"/>
        </w:rPr>
        <w:t>2503, 9</w:t>
      </w:r>
      <w:r>
        <w:rPr>
          <w:lang w:val="en-US"/>
        </w:rPr>
        <w:t>–</w:t>
      </w:r>
      <w:r w:rsidRPr="005F5970">
        <w:rPr>
          <w:lang w:val="en-US"/>
        </w:rPr>
        <w:t>10 (1963)</w:t>
      </w:r>
      <w:r>
        <w:rPr>
          <w:lang w:val="en-US"/>
        </w:rPr>
        <w:t>.</w:t>
      </w:r>
    </w:p>
  </w:footnote>
  <w:footnote w:id="948">
    <w:p w14:paraId="5CCD1FC0" w14:textId="77777777" w:rsidR="00074551" w:rsidRPr="005F5970" w:rsidRDefault="00074551" w:rsidP="00074551">
      <w:pPr>
        <w:pStyle w:val="Funotentext"/>
        <w:rPr>
          <w:lang w:val="en-US"/>
        </w:rPr>
      </w:pPr>
      <w:r>
        <w:rPr>
          <w:rStyle w:val="Funotenzeichen"/>
        </w:rPr>
        <w:footnoteRef/>
      </w:r>
      <w:r w:rsidRPr="005F5970">
        <w:rPr>
          <w:lang w:val="en-US"/>
        </w:rPr>
        <w:t xml:space="preserve"> </w:t>
      </w:r>
      <w:r w:rsidRPr="009E57E1">
        <w:rPr>
          <w:i/>
          <w:lang w:val="en-US"/>
        </w:rPr>
        <w:t>Gibson v. Fla. Legislative Investigation Comm.</w:t>
      </w:r>
      <w:r w:rsidRPr="005F5970">
        <w:rPr>
          <w:lang w:val="en-US"/>
        </w:rPr>
        <w:t>, 372 U.S. 539, 544</w:t>
      </w:r>
      <w:r>
        <w:rPr>
          <w:lang w:val="en-US"/>
        </w:rPr>
        <w:t xml:space="preserve"> = 83 S. Ct</w:t>
      </w:r>
      <w:r w:rsidRPr="005F5970">
        <w:rPr>
          <w:lang w:val="en-US"/>
        </w:rPr>
        <w:t>. 889, 893</w:t>
      </w:r>
      <w:r>
        <w:rPr>
          <w:lang w:val="en-US"/>
        </w:rPr>
        <w:t xml:space="preserve"> = 9 L. Ed. </w:t>
      </w:r>
      <w:r w:rsidRPr="005F5970">
        <w:rPr>
          <w:lang w:val="en-US"/>
        </w:rPr>
        <w:t>2d 929, 934</w:t>
      </w:r>
      <w:r>
        <w:rPr>
          <w:lang w:val="en-US"/>
        </w:rPr>
        <w:t xml:space="preserve"> = 1963 U.S. LEXIS </w:t>
      </w:r>
      <w:r w:rsidRPr="005F5970">
        <w:rPr>
          <w:lang w:val="en-US"/>
        </w:rPr>
        <w:t>2503, 10 (1963)</w:t>
      </w:r>
      <w:r>
        <w:rPr>
          <w:lang w:val="en-US"/>
        </w:rPr>
        <w:t>.</w:t>
      </w:r>
    </w:p>
  </w:footnote>
  <w:footnote w:id="949">
    <w:p w14:paraId="4447DEC5" w14:textId="77777777" w:rsidR="00074551" w:rsidRPr="00CC6C93" w:rsidRDefault="00074551" w:rsidP="00074551">
      <w:pPr>
        <w:pStyle w:val="Funotentext"/>
        <w:rPr>
          <w:lang w:val="en-US"/>
        </w:rPr>
      </w:pPr>
      <w:r>
        <w:rPr>
          <w:rStyle w:val="Funotenzeichen"/>
        </w:rPr>
        <w:footnoteRef/>
      </w:r>
      <w:r w:rsidRPr="00CC6C93">
        <w:rPr>
          <w:lang w:val="en-US"/>
        </w:rPr>
        <w:t xml:space="preserve"> </w:t>
      </w:r>
      <w:r w:rsidRPr="009E57E1">
        <w:rPr>
          <w:i/>
          <w:lang w:val="en-US"/>
        </w:rPr>
        <w:t>Gibson v. Fla. Legislative Investigation Comm.</w:t>
      </w:r>
      <w:r w:rsidRPr="00CC6C93">
        <w:rPr>
          <w:lang w:val="en-US"/>
        </w:rPr>
        <w:t>, 372 U.S. 539, 576</w:t>
      </w:r>
      <w:r>
        <w:rPr>
          <w:lang w:val="en-US"/>
        </w:rPr>
        <w:t xml:space="preserve"> = 83 S. Ct</w:t>
      </w:r>
      <w:r w:rsidRPr="00CC6C93">
        <w:rPr>
          <w:lang w:val="en-US"/>
        </w:rPr>
        <w:t>. 889, 909</w:t>
      </w:r>
      <w:r>
        <w:rPr>
          <w:lang w:val="en-US"/>
        </w:rPr>
        <w:t xml:space="preserve"> = 9 L. Ed. </w:t>
      </w:r>
      <w:r w:rsidRPr="00CC6C93">
        <w:rPr>
          <w:lang w:val="en-US"/>
        </w:rPr>
        <w:t>2d 929, 952</w:t>
      </w:r>
      <w:r>
        <w:rPr>
          <w:lang w:val="en-US"/>
        </w:rPr>
        <w:t xml:space="preserve"> = 1963 U.S. LEXIS </w:t>
      </w:r>
      <w:r w:rsidRPr="00CC6C93">
        <w:rPr>
          <w:lang w:val="en-US"/>
        </w:rPr>
        <w:t>2503, 57 (1963)</w:t>
      </w:r>
      <w:r>
        <w:rPr>
          <w:lang w:val="en-US"/>
        </w:rPr>
        <w:t>.</w:t>
      </w:r>
    </w:p>
  </w:footnote>
  <w:footnote w:id="950">
    <w:p w14:paraId="1439F320" w14:textId="77777777" w:rsidR="00074551" w:rsidRPr="00CC6C93" w:rsidRDefault="00074551" w:rsidP="00074551">
      <w:pPr>
        <w:pStyle w:val="Funotentext"/>
        <w:rPr>
          <w:lang w:val="en-US"/>
        </w:rPr>
      </w:pPr>
      <w:r>
        <w:rPr>
          <w:rStyle w:val="Funotenzeichen"/>
        </w:rPr>
        <w:footnoteRef/>
      </w:r>
      <w:r w:rsidRPr="00CC6C93">
        <w:rPr>
          <w:lang w:val="en-US"/>
        </w:rPr>
        <w:t xml:space="preserve"> </w:t>
      </w:r>
      <w:r w:rsidRPr="009E57E1">
        <w:rPr>
          <w:i/>
          <w:lang w:val="en-US"/>
        </w:rPr>
        <w:t>Gibson v. Fla. Legislative Investigation Comm.</w:t>
      </w:r>
      <w:r w:rsidRPr="00CC6C93">
        <w:rPr>
          <w:lang w:val="en-US"/>
        </w:rPr>
        <w:t>, 372 U.S. 539, 576</w:t>
      </w:r>
      <w:r>
        <w:rPr>
          <w:lang w:val="en-US"/>
        </w:rPr>
        <w:t xml:space="preserve"> = 83 S. Ct</w:t>
      </w:r>
      <w:r w:rsidRPr="00CC6C93">
        <w:rPr>
          <w:lang w:val="en-US"/>
        </w:rPr>
        <w:t>. 889, 909</w:t>
      </w:r>
      <w:r>
        <w:rPr>
          <w:lang w:val="en-US"/>
        </w:rPr>
        <w:t xml:space="preserve"> = 9 L. Ed. </w:t>
      </w:r>
      <w:r w:rsidRPr="00CC6C93">
        <w:rPr>
          <w:lang w:val="en-US"/>
        </w:rPr>
        <w:t>2d 929, 952</w:t>
      </w:r>
      <w:r>
        <w:rPr>
          <w:lang w:val="en-US"/>
        </w:rPr>
        <w:t xml:space="preserve"> = 1963 U.S. LEXIS </w:t>
      </w:r>
      <w:r w:rsidRPr="00CC6C93">
        <w:rPr>
          <w:lang w:val="en-US"/>
        </w:rPr>
        <w:t>2503, 57 (1963)</w:t>
      </w:r>
      <w:r>
        <w:rPr>
          <w:lang w:val="en-US"/>
        </w:rPr>
        <w:t>.</w:t>
      </w:r>
    </w:p>
  </w:footnote>
  <w:footnote w:id="951">
    <w:p w14:paraId="0E30D803" w14:textId="77777777" w:rsidR="00074551" w:rsidRPr="00CC6C93" w:rsidRDefault="00074551" w:rsidP="00074551">
      <w:pPr>
        <w:pStyle w:val="Funotentext"/>
        <w:rPr>
          <w:lang w:val="en-US"/>
        </w:rPr>
      </w:pPr>
      <w:r>
        <w:rPr>
          <w:rStyle w:val="Funotenzeichen"/>
        </w:rPr>
        <w:footnoteRef/>
      </w:r>
      <w:r w:rsidRPr="00CC6C93">
        <w:rPr>
          <w:lang w:val="en-US"/>
        </w:rPr>
        <w:t xml:space="preserve"> </w:t>
      </w:r>
      <w:r w:rsidRPr="009E57E1">
        <w:rPr>
          <w:i/>
          <w:lang w:val="en-US"/>
        </w:rPr>
        <w:t>Gibson v. Fla. Legislative Investigation Comm.</w:t>
      </w:r>
      <w:r w:rsidRPr="00CC6C93">
        <w:rPr>
          <w:lang w:val="en-US"/>
        </w:rPr>
        <w:t>, 372 U.S. 539, 576</w:t>
      </w:r>
      <w:r>
        <w:rPr>
          <w:lang w:val="en-US"/>
        </w:rPr>
        <w:t xml:space="preserve"> = 83 S. Ct</w:t>
      </w:r>
      <w:r w:rsidRPr="00CC6C93">
        <w:rPr>
          <w:lang w:val="en-US"/>
        </w:rPr>
        <w:t>. 889, 909</w:t>
      </w:r>
      <w:r>
        <w:rPr>
          <w:lang w:val="en-US"/>
        </w:rPr>
        <w:t xml:space="preserve"> = 9 L. Ed. </w:t>
      </w:r>
      <w:r w:rsidRPr="00CC6C93">
        <w:rPr>
          <w:lang w:val="en-US"/>
        </w:rPr>
        <w:t>2d 929, 952</w:t>
      </w:r>
      <w:r>
        <w:rPr>
          <w:lang w:val="en-US"/>
        </w:rPr>
        <w:t xml:space="preserve"> = 1963 U.S. LEXIS </w:t>
      </w:r>
      <w:r w:rsidRPr="00CC6C93">
        <w:rPr>
          <w:lang w:val="en-US"/>
        </w:rPr>
        <w:t>2503, 57 (1963)</w:t>
      </w:r>
      <w:r>
        <w:rPr>
          <w:lang w:val="en-US"/>
        </w:rPr>
        <w:t>.</w:t>
      </w:r>
    </w:p>
  </w:footnote>
  <w:footnote w:id="952">
    <w:p w14:paraId="02DBA636" w14:textId="77777777" w:rsidR="00074551" w:rsidRPr="000366FB" w:rsidRDefault="00074551" w:rsidP="00074551">
      <w:pPr>
        <w:pStyle w:val="Funotentext"/>
        <w:rPr>
          <w:lang w:val="en-US"/>
        </w:rPr>
      </w:pPr>
      <w:r>
        <w:rPr>
          <w:rStyle w:val="Funotenzeichen"/>
        </w:rPr>
        <w:footnoteRef/>
      </w:r>
      <w:r w:rsidRPr="000366FB">
        <w:rPr>
          <w:lang w:val="en-US"/>
        </w:rPr>
        <w:t xml:space="preserve"> „Section 3(e) of the Food Stamp Act (7 USCS 2012(e)), which excludes from participation in the food stamp program any household containing an individual who is unrelated to any other member of the </w:t>
      </w:r>
      <w:proofErr w:type="gramStart"/>
      <w:r w:rsidRPr="000366FB">
        <w:rPr>
          <w:lang w:val="en-US"/>
        </w:rPr>
        <w:t>household“</w:t>
      </w:r>
      <w:proofErr w:type="gramEnd"/>
      <w:r w:rsidRPr="000366FB">
        <w:rPr>
          <w:lang w:val="en-US"/>
        </w:rPr>
        <w:t>,</w:t>
      </w:r>
      <w:r>
        <w:rPr>
          <w:lang w:val="en-US"/>
        </w:rPr>
        <w:t xml:space="preserve"> </w:t>
      </w:r>
      <w:r w:rsidRPr="00B45592">
        <w:rPr>
          <w:i/>
          <w:lang w:val="en-US"/>
        </w:rPr>
        <w:t xml:space="preserve">United States </w:t>
      </w:r>
      <w:proofErr w:type="spellStart"/>
      <w:r w:rsidRPr="00B45592">
        <w:rPr>
          <w:i/>
          <w:lang w:val="en-US"/>
        </w:rPr>
        <w:t>Dep’t</w:t>
      </w:r>
      <w:proofErr w:type="spellEnd"/>
      <w:r w:rsidRPr="00B45592">
        <w:rPr>
          <w:i/>
          <w:lang w:val="en-US"/>
        </w:rPr>
        <w:t xml:space="preserve"> of Agric. v. Moreno</w:t>
      </w:r>
      <w:r w:rsidRPr="000366FB">
        <w:rPr>
          <w:lang w:val="en-US"/>
        </w:rPr>
        <w:t>, 413 U.S. 528, 529</w:t>
      </w:r>
      <w:r>
        <w:rPr>
          <w:lang w:val="en-US"/>
        </w:rPr>
        <w:t xml:space="preserve"> = 93 S. Ct. </w:t>
      </w:r>
      <w:r w:rsidRPr="000366FB">
        <w:rPr>
          <w:lang w:val="en-US"/>
        </w:rPr>
        <w:t>2821, 2823</w:t>
      </w:r>
      <w:r>
        <w:rPr>
          <w:lang w:val="en-US"/>
        </w:rPr>
        <w:t xml:space="preserve"> = 37 L. Ed. </w:t>
      </w:r>
      <w:r w:rsidRPr="000366FB">
        <w:rPr>
          <w:lang w:val="en-US"/>
        </w:rPr>
        <w:t>2d 782, 785</w:t>
      </w:r>
      <w:r>
        <w:rPr>
          <w:lang w:val="en-US"/>
        </w:rPr>
        <w:t xml:space="preserve"> = 1973 U.S. LEXIS </w:t>
      </w:r>
      <w:r w:rsidRPr="000366FB">
        <w:rPr>
          <w:lang w:val="en-US"/>
        </w:rPr>
        <w:t>33, 1 (1973)</w:t>
      </w:r>
      <w:r>
        <w:rPr>
          <w:lang w:val="en-US"/>
        </w:rPr>
        <w:t>.</w:t>
      </w:r>
    </w:p>
  </w:footnote>
  <w:footnote w:id="953">
    <w:p w14:paraId="3F842528" w14:textId="77777777" w:rsidR="00074551" w:rsidRPr="0011337E" w:rsidRDefault="00074551" w:rsidP="00074551">
      <w:pPr>
        <w:pStyle w:val="Funotentext"/>
        <w:rPr>
          <w:lang w:val="en-US"/>
        </w:rPr>
      </w:pPr>
      <w:r>
        <w:rPr>
          <w:rStyle w:val="Funotenzeichen"/>
        </w:rPr>
        <w:footnoteRef/>
      </w:r>
      <w:r w:rsidRPr="0011337E">
        <w:rPr>
          <w:lang w:val="en-US"/>
        </w:rPr>
        <w:t xml:space="preserve"> </w:t>
      </w:r>
      <w:r w:rsidRPr="00B45592">
        <w:rPr>
          <w:i/>
          <w:lang w:val="en-US"/>
        </w:rPr>
        <w:t xml:space="preserve">United States </w:t>
      </w:r>
      <w:proofErr w:type="spellStart"/>
      <w:r w:rsidRPr="00B45592">
        <w:rPr>
          <w:i/>
          <w:lang w:val="en-US"/>
        </w:rPr>
        <w:t>Dep’t</w:t>
      </w:r>
      <w:proofErr w:type="spellEnd"/>
      <w:r w:rsidRPr="00B45592">
        <w:rPr>
          <w:i/>
          <w:lang w:val="en-US"/>
        </w:rPr>
        <w:t xml:space="preserve"> of Agric. v. Moreno</w:t>
      </w:r>
      <w:r w:rsidRPr="0011337E">
        <w:rPr>
          <w:lang w:val="en-US"/>
        </w:rPr>
        <w:t>, 413 U.S. 528, 529</w:t>
      </w:r>
      <w:r>
        <w:rPr>
          <w:lang w:val="en-US"/>
        </w:rPr>
        <w:t xml:space="preserve"> = 93 S. Ct. </w:t>
      </w:r>
      <w:r w:rsidRPr="0011337E">
        <w:rPr>
          <w:lang w:val="en-US"/>
        </w:rPr>
        <w:t>2821, 2823</w:t>
      </w:r>
      <w:r>
        <w:rPr>
          <w:lang w:val="en-US"/>
        </w:rPr>
        <w:t xml:space="preserve"> = 37 L. Ed. </w:t>
      </w:r>
      <w:r w:rsidRPr="0011337E">
        <w:rPr>
          <w:lang w:val="en-US"/>
        </w:rPr>
        <w:t>2d 782, 785</w:t>
      </w:r>
      <w:r>
        <w:rPr>
          <w:lang w:val="en-US"/>
        </w:rPr>
        <w:t xml:space="preserve"> = 1973 U.S. LEXIS </w:t>
      </w:r>
      <w:r w:rsidRPr="0011337E">
        <w:rPr>
          <w:lang w:val="en-US"/>
        </w:rPr>
        <w:t>33, 1 (1973)</w:t>
      </w:r>
      <w:r>
        <w:rPr>
          <w:lang w:val="en-US"/>
        </w:rPr>
        <w:t>.</w:t>
      </w:r>
    </w:p>
  </w:footnote>
  <w:footnote w:id="954">
    <w:p w14:paraId="4B924A92" w14:textId="77777777" w:rsidR="00074551" w:rsidRPr="00AF54D3" w:rsidRDefault="00074551" w:rsidP="00074551">
      <w:pPr>
        <w:pStyle w:val="Funotentext"/>
        <w:rPr>
          <w:lang w:val="en-US"/>
        </w:rPr>
      </w:pPr>
      <w:r>
        <w:rPr>
          <w:rStyle w:val="Funotenzeichen"/>
        </w:rPr>
        <w:footnoteRef/>
      </w:r>
      <w:r w:rsidRPr="00AF54D3">
        <w:rPr>
          <w:lang w:val="en-US"/>
        </w:rPr>
        <w:t xml:space="preserve"> </w:t>
      </w:r>
      <w:r w:rsidRPr="00B45592">
        <w:rPr>
          <w:i/>
          <w:lang w:val="en-US"/>
        </w:rPr>
        <w:t>Jefferson v. Hackney</w:t>
      </w:r>
      <w:r w:rsidRPr="00AF54D3">
        <w:rPr>
          <w:lang w:val="en-US"/>
        </w:rPr>
        <w:t>, 406 U.S. 535, 546 (1972);</w:t>
      </w:r>
      <w:r>
        <w:rPr>
          <w:lang w:val="en-US"/>
        </w:rPr>
        <w:t xml:space="preserve"> </w:t>
      </w:r>
      <w:r w:rsidRPr="00B45592">
        <w:rPr>
          <w:i/>
          <w:lang w:val="en-US"/>
        </w:rPr>
        <w:t>Richardson v. Belcher</w:t>
      </w:r>
      <w:r w:rsidRPr="00AF54D3">
        <w:rPr>
          <w:lang w:val="en-US"/>
        </w:rPr>
        <w:t>, 404 U.S. 78, 81 (1971);</w:t>
      </w:r>
      <w:r>
        <w:rPr>
          <w:lang w:val="en-US"/>
        </w:rPr>
        <w:t xml:space="preserve"> </w:t>
      </w:r>
      <w:r w:rsidRPr="00B45592">
        <w:rPr>
          <w:i/>
          <w:lang w:val="en-US"/>
        </w:rPr>
        <w:t>Dandridge v. Williams</w:t>
      </w:r>
      <w:r w:rsidRPr="00AF54D3">
        <w:rPr>
          <w:lang w:val="en-US"/>
        </w:rPr>
        <w:t>, 397 U.S. 471, 485 (1970);</w:t>
      </w:r>
      <w:r>
        <w:rPr>
          <w:lang w:val="en-US"/>
        </w:rPr>
        <w:t xml:space="preserve"> </w:t>
      </w:r>
      <w:r w:rsidRPr="009167A5">
        <w:rPr>
          <w:i/>
          <w:lang w:val="en-US"/>
        </w:rPr>
        <w:t>McGowan v. Maryland</w:t>
      </w:r>
      <w:r w:rsidRPr="00AF54D3">
        <w:rPr>
          <w:lang w:val="en-US"/>
        </w:rPr>
        <w:t>, 366 U.S. 420, 426 (1961)</w:t>
      </w:r>
      <w:r>
        <w:rPr>
          <w:lang w:val="en-US"/>
        </w:rPr>
        <w:t xml:space="preserve">; </w:t>
      </w:r>
      <w:r w:rsidRPr="00B45592">
        <w:rPr>
          <w:i/>
          <w:lang w:val="en-US"/>
        </w:rPr>
        <w:t xml:space="preserve">United States </w:t>
      </w:r>
      <w:proofErr w:type="spellStart"/>
      <w:r w:rsidRPr="00B45592">
        <w:rPr>
          <w:i/>
          <w:lang w:val="en-US"/>
        </w:rPr>
        <w:t>Dep’t</w:t>
      </w:r>
      <w:proofErr w:type="spellEnd"/>
      <w:r w:rsidRPr="00B45592">
        <w:rPr>
          <w:i/>
          <w:lang w:val="en-US"/>
        </w:rPr>
        <w:t xml:space="preserve"> of Agric. v. Moreno</w:t>
      </w:r>
      <w:r w:rsidRPr="00AF54D3">
        <w:rPr>
          <w:lang w:val="en-US"/>
        </w:rPr>
        <w:t>, 413 U.S. 528, 533</w:t>
      </w:r>
      <w:r>
        <w:rPr>
          <w:lang w:val="en-US"/>
        </w:rPr>
        <w:t xml:space="preserve"> = 93 S. Ct. </w:t>
      </w:r>
      <w:r w:rsidRPr="00AF54D3">
        <w:rPr>
          <w:lang w:val="en-US"/>
        </w:rPr>
        <w:t>2821, 2825</w:t>
      </w:r>
      <w:r>
        <w:rPr>
          <w:lang w:val="en-US"/>
        </w:rPr>
        <w:t xml:space="preserve"> = 37 L. Ed. </w:t>
      </w:r>
      <w:r w:rsidRPr="00AF54D3">
        <w:rPr>
          <w:lang w:val="en-US"/>
        </w:rPr>
        <w:t>2d 782, 787</w:t>
      </w:r>
      <w:r>
        <w:rPr>
          <w:lang w:val="en-US"/>
        </w:rPr>
        <w:t xml:space="preserve"> = 1973 U.S. LEXIS </w:t>
      </w:r>
      <w:r w:rsidRPr="00AF54D3">
        <w:rPr>
          <w:lang w:val="en-US"/>
        </w:rPr>
        <w:t>33, 10 (1973)</w:t>
      </w:r>
      <w:r>
        <w:rPr>
          <w:lang w:val="en-US"/>
        </w:rPr>
        <w:t>.</w:t>
      </w:r>
    </w:p>
  </w:footnote>
  <w:footnote w:id="955">
    <w:p w14:paraId="4643A81E" w14:textId="77777777" w:rsidR="00074551" w:rsidRPr="00424EA7" w:rsidRDefault="00074551" w:rsidP="00074551">
      <w:pPr>
        <w:pStyle w:val="Funotentext"/>
        <w:rPr>
          <w:lang w:val="en-US"/>
        </w:rPr>
      </w:pPr>
      <w:r>
        <w:rPr>
          <w:rStyle w:val="Funotenzeichen"/>
        </w:rPr>
        <w:footnoteRef/>
      </w:r>
      <w:r w:rsidRPr="00424EA7">
        <w:rPr>
          <w:lang w:val="en-US"/>
        </w:rPr>
        <w:t xml:space="preserve"> </w:t>
      </w:r>
      <w:r w:rsidRPr="00B45592">
        <w:rPr>
          <w:i/>
          <w:lang w:val="en-US"/>
        </w:rPr>
        <w:t xml:space="preserve">United States </w:t>
      </w:r>
      <w:proofErr w:type="spellStart"/>
      <w:r w:rsidRPr="00B45592">
        <w:rPr>
          <w:i/>
          <w:lang w:val="en-US"/>
        </w:rPr>
        <w:t>Dep’t</w:t>
      </w:r>
      <w:proofErr w:type="spellEnd"/>
      <w:r w:rsidRPr="00B45592">
        <w:rPr>
          <w:i/>
          <w:lang w:val="en-US"/>
        </w:rPr>
        <w:t xml:space="preserve"> of Agric. v. Moreno</w:t>
      </w:r>
      <w:r w:rsidRPr="00424EA7">
        <w:rPr>
          <w:lang w:val="en-US"/>
        </w:rPr>
        <w:t>, 413 U.S. 528, 541</w:t>
      </w:r>
      <w:r>
        <w:rPr>
          <w:lang w:val="en-US"/>
        </w:rPr>
        <w:t xml:space="preserve"> = 93 S. Ct. </w:t>
      </w:r>
      <w:r w:rsidRPr="00424EA7">
        <w:rPr>
          <w:lang w:val="en-US"/>
        </w:rPr>
        <w:t>2821, 2829</w:t>
      </w:r>
      <w:r>
        <w:rPr>
          <w:lang w:val="en-US"/>
        </w:rPr>
        <w:t xml:space="preserve"> = 37 L. Ed. </w:t>
      </w:r>
      <w:r w:rsidRPr="00424EA7">
        <w:rPr>
          <w:lang w:val="en-US"/>
        </w:rPr>
        <w:t>2d 782, 792</w:t>
      </w:r>
      <w:r>
        <w:rPr>
          <w:lang w:val="en-US"/>
        </w:rPr>
        <w:t xml:space="preserve"> = 1973 U.S. LEXIS </w:t>
      </w:r>
      <w:r w:rsidRPr="00424EA7">
        <w:rPr>
          <w:lang w:val="en-US"/>
        </w:rPr>
        <w:t>33, 21 (1973)</w:t>
      </w:r>
      <w:r>
        <w:rPr>
          <w:lang w:val="en-US"/>
        </w:rPr>
        <w:t>.</w:t>
      </w:r>
    </w:p>
  </w:footnote>
  <w:footnote w:id="956">
    <w:p w14:paraId="2C956203" w14:textId="77777777" w:rsidR="00074551" w:rsidRPr="00424EA7" w:rsidRDefault="00074551" w:rsidP="00074551">
      <w:pPr>
        <w:pStyle w:val="Funotentext"/>
        <w:rPr>
          <w:lang w:val="en-US"/>
        </w:rPr>
      </w:pPr>
      <w:r>
        <w:rPr>
          <w:rStyle w:val="Funotenzeichen"/>
        </w:rPr>
        <w:footnoteRef/>
      </w:r>
      <w:r w:rsidRPr="00424EA7">
        <w:rPr>
          <w:lang w:val="en-US"/>
        </w:rPr>
        <w:t xml:space="preserve"> </w:t>
      </w:r>
      <w:r w:rsidRPr="009167A5">
        <w:rPr>
          <w:i/>
          <w:lang w:val="en-US"/>
        </w:rPr>
        <w:t>Griswold v. Connecticut</w:t>
      </w:r>
      <w:r w:rsidRPr="00424EA7">
        <w:rPr>
          <w:lang w:val="en-US"/>
        </w:rPr>
        <w:t>, 381 U.S. 479, 482</w:t>
      </w:r>
      <w:r>
        <w:rPr>
          <w:lang w:val="en-US"/>
        </w:rPr>
        <w:t>–</w:t>
      </w:r>
      <w:r w:rsidRPr="00424EA7">
        <w:rPr>
          <w:lang w:val="en-US"/>
        </w:rPr>
        <w:t>483</w:t>
      </w:r>
      <w:r>
        <w:rPr>
          <w:lang w:val="en-US"/>
        </w:rPr>
        <w:t xml:space="preserve">; </w:t>
      </w:r>
      <w:r w:rsidRPr="00B45592">
        <w:rPr>
          <w:i/>
          <w:lang w:val="en-US"/>
        </w:rPr>
        <w:t xml:space="preserve">United States </w:t>
      </w:r>
      <w:proofErr w:type="spellStart"/>
      <w:r w:rsidRPr="00B45592">
        <w:rPr>
          <w:i/>
          <w:lang w:val="en-US"/>
        </w:rPr>
        <w:t>Dep’t</w:t>
      </w:r>
      <w:proofErr w:type="spellEnd"/>
      <w:r w:rsidRPr="00B45592">
        <w:rPr>
          <w:i/>
          <w:lang w:val="en-US"/>
        </w:rPr>
        <w:t xml:space="preserve"> of Agric. v. Moreno</w:t>
      </w:r>
      <w:r w:rsidRPr="00424EA7">
        <w:rPr>
          <w:lang w:val="en-US"/>
        </w:rPr>
        <w:t>, 413 U.S. 528, 542</w:t>
      </w:r>
      <w:r>
        <w:rPr>
          <w:lang w:val="en-US"/>
        </w:rPr>
        <w:t xml:space="preserve"> = 93 S. Ct. </w:t>
      </w:r>
      <w:r w:rsidRPr="00424EA7">
        <w:rPr>
          <w:lang w:val="en-US"/>
        </w:rPr>
        <w:t>2821, 2829</w:t>
      </w:r>
      <w:r>
        <w:rPr>
          <w:lang w:val="en-US"/>
        </w:rPr>
        <w:t xml:space="preserve"> = 37 L. Ed. </w:t>
      </w:r>
      <w:r w:rsidRPr="00424EA7">
        <w:rPr>
          <w:lang w:val="en-US"/>
        </w:rPr>
        <w:t>2d 782, 792</w:t>
      </w:r>
      <w:r>
        <w:rPr>
          <w:lang w:val="en-US"/>
        </w:rPr>
        <w:t xml:space="preserve"> = 1973 U.S. LEXIS </w:t>
      </w:r>
      <w:r w:rsidRPr="00424EA7">
        <w:rPr>
          <w:lang w:val="en-US"/>
        </w:rPr>
        <w:t>33, 22 (1973)</w:t>
      </w:r>
      <w:r>
        <w:rPr>
          <w:lang w:val="en-US"/>
        </w:rPr>
        <w:t>.</w:t>
      </w:r>
    </w:p>
  </w:footnote>
  <w:footnote w:id="957">
    <w:p w14:paraId="79DDE221" w14:textId="77777777" w:rsidR="00074551" w:rsidRPr="00D47763" w:rsidRDefault="00074551" w:rsidP="00074551">
      <w:pPr>
        <w:pStyle w:val="Funotentext"/>
        <w:rPr>
          <w:lang w:val="en-US"/>
        </w:rPr>
      </w:pPr>
      <w:r>
        <w:rPr>
          <w:rStyle w:val="Funotenzeichen"/>
        </w:rPr>
        <w:footnoteRef/>
      </w:r>
      <w:r w:rsidRPr="00D47763">
        <w:rPr>
          <w:lang w:val="en-US"/>
        </w:rPr>
        <w:t xml:space="preserve"> </w:t>
      </w:r>
      <w:r w:rsidRPr="00B45592">
        <w:rPr>
          <w:i/>
          <w:lang w:val="en-US"/>
        </w:rPr>
        <w:t xml:space="preserve">United States </w:t>
      </w:r>
      <w:proofErr w:type="spellStart"/>
      <w:r w:rsidRPr="00B45592">
        <w:rPr>
          <w:i/>
          <w:lang w:val="en-US"/>
        </w:rPr>
        <w:t>Dep’t</w:t>
      </w:r>
      <w:proofErr w:type="spellEnd"/>
      <w:r w:rsidRPr="00B45592">
        <w:rPr>
          <w:i/>
          <w:lang w:val="en-US"/>
        </w:rPr>
        <w:t xml:space="preserve"> of Agric. v. Moreno</w:t>
      </w:r>
      <w:r w:rsidRPr="00D47763">
        <w:rPr>
          <w:lang w:val="en-US"/>
        </w:rPr>
        <w:t>, 413 U.S. 528, 542</w:t>
      </w:r>
      <w:r>
        <w:rPr>
          <w:lang w:val="en-US"/>
        </w:rPr>
        <w:t xml:space="preserve"> = 93 S. Ct. </w:t>
      </w:r>
      <w:r w:rsidRPr="00D47763">
        <w:rPr>
          <w:lang w:val="en-US"/>
        </w:rPr>
        <w:t>2821, 2829</w:t>
      </w:r>
      <w:r>
        <w:rPr>
          <w:lang w:val="en-US"/>
        </w:rPr>
        <w:t xml:space="preserve"> = 37 L. Ed. </w:t>
      </w:r>
      <w:r w:rsidRPr="00D47763">
        <w:rPr>
          <w:lang w:val="en-US"/>
        </w:rPr>
        <w:t>2d 782, 792</w:t>
      </w:r>
      <w:r>
        <w:rPr>
          <w:lang w:val="en-US"/>
        </w:rPr>
        <w:t xml:space="preserve"> = 1973 U.S. LEXIS </w:t>
      </w:r>
      <w:r w:rsidRPr="00D47763">
        <w:rPr>
          <w:lang w:val="en-US"/>
        </w:rPr>
        <w:t>33, 22 (1973)</w:t>
      </w:r>
      <w:r>
        <w:rPr>
          <w:lang w:val="en-US"/>
        </w:rPr>
        <w:t>.</w:t>
      </w:r>
    </w:p>
  </w:footnote>
  <w:footnote w:id="958">
    <w:p w14:paraId="50391269" w14:textId="77777777" w:rsidR="00074551" w:rsidRPr="004772D7" w:rsidRDefault="00074551" w:rsidP="00074551">
      <w:pPr>
        <w:pStyle w:val="Funotentext"/>
        <w:rPr>
          <w:lang w:val="en-US"/>
        </w:rPr>
      </w:pPr>
      <w:r>
        <w:rPr>
          <w:rStyle w:val="Funotenzeichen"/>
        </w:rPr>
        <w:footnoteRef/>
      </w:r>
      <w:r w:rsidRPr="004772D7">
        <w:rPr>
          <w:lang w:val="en-US"/>
        </w:rPr>
        <w:t xml:space="preserve"> </w:t>
      </w:r>
      <w:r w:rsidRPr="009E57E1">
        <w:rPr>
          <w:i/>
          <w:lang w:val="en-US"/>
        </w:rPr>
        <w:t xml:space="preserve">In re </w:t>
      </w:r>
      <w:proofErr w:type="spellStart"/>
      <w:r w:rsidRPr="009E57E1">
        <w:rPr>
          <w:i/>
          <w:lang w:val="en-US"/>
        </w:rPr>
        <w:t>Anastaplo</w:t>
      </w:r>
      <w:proofErr w:type="spellEnd"/>
      <w:r w:rsidRPr="004772D7">
        <w:rPr>
          <w:lang w:val="en-US"/>
        </w:rPr>
        <w:t>, 366 U.S. 82, 99</w:t>
      </w:r>
      <w:r w:rsidRPr="006E67FE">
        <w:rPr>
          <w:lang w:val="en-US"/>
        </w:rPr>
        <w:t xml:space="preserve"> = 81 S. Ct. </w:t>
      </w:r>
      <w:r w:rsidRPr="004772D7">
        <w:rPr>
          <w:lang w:val="en-US"/>
        </w:rPr>
        <w:t>978, 988</w:t>
      </w:r>
      <w:r>
        <w:rPr>
          <w:lang w:val="en-US"/>
        </w:rPr>
        <w:t xml:space="preserve"> = 6 L. Ed. </w:t>
      </w:r>
      <w:r w:rsidRPr="004772D7">
        <w:rPr>
          <w:lang w:val="en-US"/>
        </w:rPr>
        <w:t>2d 135, 146</w:t>
      </w:r>
      <w:r w:rsidRPr="006E67FE">
        <w:rPr>
          <w:lang w:val="en-US"/>
        </w:rPr>
        <w:t xml:space="preserve"> = 1961 U.S. LEXIS </w:t>
      </w:r>
      <w:r w:rsidRPr="004772D7">
        <w:rPr>
          <w:lang w:val="en-US"/>
        </w:rPr>
        <w:t>1268, 28 (1961)</w:t>
      </w:r>
      <w:r>
        <w:rPr>
          <w:lang w:val="en-US"/>
        </w:rPr>
        <w:t>.</w:t>
      </w:r>
    </w:p>
  </w:footnote>
  <w:footnote w:id="959">
    <w:p w14:paraId="38841ABD" w14:textId="77777777" w:rsidR="00074551" w:rsidRPr="004772D7" w:rsidRDefault="00074551" w:rsidP="00074551">
      <w:pPr>
        <w:pStyle w:val="Funotentext"/>
        <w:rPr>
          <w:lang w:val="en-US"/>
        </w:rPr>
      </w:pPr>
      <w:r>
        <w:rPr>
          <w:rStyle w:val="Funotenzeichen"/>
        </w:rPr>
        <w:footnoteRef/>
      </w:r>
      <w:r w:rsidRPr="004772D7">
        <w:rPr>
          <w:lang w:val="en-US"/>
        </w:rPr>
        <w:t xml:space="preserve"> </w:t>
      </w:r>
      <w:r w:rsidRPr="009E57E1">
        <w:rPr>
          <w:i/>
          <w:lang w:val="en-US"/>
        </w:rPr>
        <w:t xml:space="preserve">In re </w:t>
      </w:r>
      <w:proofErr w:type="spellStart"/>
      <w:r w:rsidRPr="009E57E1">
        <w:rPr>
          <w:i/>
          <w:lang w:val="en-US"/>
        </w:rPr>
        <w:t>Anastaplo</w:t>
      </w:r>
      <w:proofErr w:type="spellEnd"/>
      <w:r w:rsidRPr="004772D7">
        <w:rPr>
          <w:lang w:val="en-US"/>
        </w:rPr>
        <w:t>, 366 U.S. 82, 99</w:t>
      </w:r>
      <w:r w:rsidRPr="006E67FE">
        <w:rPr>
          <w:lang w:val="en-US"/>
        </w:rPr>
        <w:t xml:space="preserve"> = 81 S. Ct. </w:t>
      </w:r>
      <w:r w:rsidRPr="004772D7">
        <w:rPr>
          <w:lang w:val="en-US"/>
        </w:rPr>
        <w:t>978, 988</w:t>
      </w:r>
      <w:r>
        <w:rPr>
          <w:lang w:val="en-US"/>
        </w:rPr>
        <w:t xml:space="preserve"> = 6 L. Ed. </w:t>
      </w:r>
      <w:r w:rsidRPr="004772D7">
        <w:rPr>
          <w:lang w:val="en-US"/>
        </w:rPr>
        <w:t>2d 135, 146</w:t>
      </w:r>
      <w:r w:rsidRPr="006E67FE">
        <w:rPr>
          <w:lang w:val="en-US"/>
        </w:rPr>
        <w:t xml:space="preserve"> = 1961 U.S. LEXIS </w:t>
      </w:r>
      <w:r w:rsidRPr="004772D7">
        <w:rPr>
          <w:lang w:val="en-US"/>
        </w:rPr>
        <w:t>1268, 28</w:t>
      </w:r>
      <w:r>
        <w:rPr>
          <w:lang w:val="en-US"/>
        </w:rPr>
        <w:t>–</w:t>
      </w:r>
      <w:r w:rsidRPr="004772D7">
        <w:rPr>
          <w:lang w:val="en-US"/>
        </w:rPr>
        <w:t>29 (1961)</w:t>
      </w:r>
      <w:r>
        <w:rPr>
          <w:lang w:val="en-US"/>
        </w:rPr>
        <w:t>.</w:t>
      </w:r>
    </w:p>
  </w:footnote>
  <w:footnote w:id="960">
    <w:p w14:paraId="3F02A146" w14:textId="77777777" w:rsidR="00074551" w:rsidRPr="004772D7" w:rsidRDefault="00074551" w:rsidP="00074551">
      <w:pPr>
        <w:pStyle w:val="Funotentext"/>
        <w:rPr>
          <w:lang w:val="en-US"/>
        </w:rPr>
      </w:pPr>
      <w:r>
        <w:rPr>
          <w:rStyle w:val="Funotenzeichen"/>
        </w:rPr>
        <w:footnoteRef/>
      </w:r>
      <w:r w:rsidRPr="004772D7">
        <w:rPr>
          <w:lang w:val="en-US"/>
        </w:rPr>
        <w:t xml:space="preserve"> </w:t>
      </w:r>
      <w:r w:rsidRPr="009E57E1">
        <w:rPr>
          <w:i/>
          <w:lang w:val="en-US"/>
        </w:rPr>
        <w:t xml:space="preserve">In re </w:t>
      </w:r>
      <w:proofErr w:type="spellStart"/>
      <w:r w:rsidRPr="009E57E1">
        <w:rPr>
          <w:i/>
          <w:lang w:val="en-US"/>
        </w:rPr>
        <w:t>Anastaplo</w:t>
      </w:r>
      <w:proofErr w:type="spellEnd"/>
      <w:r w:rsidRPr="004772D7">
        <w:rPr>
          <w:lang w:val="en-US"/>
        </w:rPr>
        <w:t>, 366 U.S. 82, 99</w:t>
      </w:r>
      <w:r w:rsidRPr="006E67FE">
        <w:rPr>
          <w:lang w:val="en-US"/>
        </w:rPr>
        <w:t xml:space="preserve"> = 81 S. Ct. </w:t>
      </w:r>
      <w:r w:rsidRPr="004772D7">
        <w:rPr>
          <w:lang w:val="en-US"/>
        </w:rPr>
        <w:t>978, 988</w:t>
      </w:r>
      <w:r>
        <w:rPr>
          <w:lang w:val="en-US"/>
        </w:rPr>
        <w:t xml:space="preserve"> = 6 L. Ed. </w:t>
      </w:r>
      <w:r w:rsidRPr="004772D7">
        <w:rPr>
          <w:lang w:val="en-US"/>
        </w:rPr>
        <w:t>2d 135, 146</w:t>
      </w:r>
      <w:r w:rsidRPr="006E67FE">
        <w:rPr>
          <w:lang w:val="en-US"/>
        </w:rPr>
        <w:t xml:space="preserve"> = 1961 U.S. LEXIS </w:t>
      </w:r>
      <w:r w:rsidRPr="004772D7">
        <w:rPr>
          <w:lang w:val="en-US"/>
        </w:rPr>
        <w:t>1268, 29 (1961)</w:t>
      </w:r>
      <w:r>
        <w:rPr>
          <w:lang w:val="en-US"/>
        </w:rPr>
        <w:t>.</w:t>
      </w:r>
    </w:p>
  </w:footnote>
  <w:footnote w:id="961">
    <w:p w14:paraId="62F1C163" w14:textId="77777777" w:rsidR="00074551" w:rsidRPr="00D7602F" w:rsidRDefault="00074551" w:rsidP="00074551">
      <w:pPr>
        <w:pStyle w:val="Funotentext"/>
        <w:rPr>
          <w:lang w:val="en-US"/>
        </w:rPr>
      </w:pPr>
      <w:r>
        <w:rPr>
          <w:rStyle w:val="Funotenzeichen"/>
        </w:rPr>
        <w:footnoteRef/>
      </w:r>
      <w:r w:rsidRPr="00D7602F">
        <w:rPr>
          <w:lang w:val="en-US"/>
        </w:rPr>
        <w:t xml:space="preserve"> </w:t>
      </w:r>
      <w:r>
        <w:rPr>
          <w:lang w:val="en-US"/>
        </w:rPr>
        <w:t>„C</w:t>
      </w:r>
      <w:r w:rsidRPr="00D7602F">
        <w:rPr>
          <w:lang w:val="en-US"/>
        </w:rPr>
        <w:t>hapter 10, p. 66, Laws Neb. 1909</w:t>
      </w:r>
      <w:r>
        <w:rPr>
          <w:lang w:val="en-US"/>
        </w:rPr>
        <w:t>:</w:t>
      </w:r>
      <w:r w:rsidRPr="00D7602F">
        <w:rPr>
          <w:lang w:val="en-US"/>
        </w:rPr>
        <w:t xml:space="preserve"> This act purports to be a comprehensive regulation of the business named and to repeal existing laws upon that subject. It prohibits individuals from engaging in the banking business, unless they do so through the agency of a corporation, and also conditions the right to engage in that business upon the making of enforced contributions to a separate fund, called </w:t>
      </w:r>
      <w:proofErr w:type="gramStart"/>
      <w:r w:rsidRPr="00D7602F">
        <w:rPr>
          <w:lang w:val="en-US"/>
        </w:rPr>
        <w:t xml:space="preserve">a </w:t>
      </w:r>
      <w:r>
        <w:rPr>
          <w:lang w:val="en-US"/>
        </w:rPr>
        <w:t>,</w:t>
      </w:r>
      <w:r w:rsidRPr="00D7602F">
        <w:rPr>
          <w:lang w:val="en-US"/>
        </w:rPr>
        <w:t>depositors</w:t>
      </w:r>
      <w:proofErr w:type="gramEnd"/>
      <w:r>
        <w:rPr>
          <w:lang w:val="en-US"/>
        </w:rPr>
        <w:t>’</w:t>
      </w:r>
      <w:r w:rsidRPr="00D7602F">
        <w:rPr>
          <w:lang w:val="en-US"/>
        </w:rPr>
        <w:t xml:space="preserve"> guaranty </w:t>
      </w:r>
      <w:proofErr w:type="gramStart"/>
      <w:r w:rsidRPr="00D7602F">
        <w:rPr>
          <w:lang w:val="en-US"/>
        </w:rPr>
        <w:t>fund</w:t>
      </w:r>
      <w:r>
        <w:rPr>
          <w:lang w:val="en-US"/>
        </w:rPr>
        <w:t>‘</w:t>
      </w:r>
      <w:proofErr w:type="gramEnd"/>
      <w:r w:rsidRPr="00D7602F">
        <w:rPr>
          <w:lang w:val="en-US"/>
        </w:rPr>
        <w:t xml:space="preserve">, to be used for the payment of the claims of depositors of any bank organized under the state law, which shall become insolvent. The state banking board is given authority to draw the money out of this fund to discharge the obligations of the insolvent bank to its </w:t>
      </w:r>
      <w:proofErr w:type="gramStart"/>
      <w:r w:rsidRPr="00D7602F">
        <w:rPr>
          <w:lang w:val="en-US"/>
        </w:rPr>
        <w:t>depositors.</w:t>
      </w:r>
      <w:r>
        <w:rPr>
          <w:lang w:val="en-US"/>
        </w:rPr>
        <w:t>“</w:t>
      </w:r>
      <w:proofErr w:type="gramEnd"/>
      <w:r>
        <w:rPr>
          <w:lang w:val="en-US"/>
        </w:rPr>
        <w:t xml:space="preserve">, in </w:t>
      </w:r>
      <w:r w:rsidRPr="009E57E1">
        <w:rPr>
          <w:i/>
          <w:lang w:val="en-US"/>
        </w:rPr>
        <w:t>Shallenberger v. First State Bank</w:t>
      </w:r>
      <w:r w:rsidRPr="00D7602F">
        <w:rPr>
          <w:lang w:val="en-US"/>
        </w:rPr>
        <w:t>, 172 F. 999, 1000</w:t>
      </w:r>
      <w:r>
        <w:rPr>
          <w:lang w:val="en-US"/>
        </w:rPr>
        <w:t xml:space="preserve"> = 1909 U.S. App. LEXIS </w:t>
      </w:r>
      <w:r w:rsidRPr="00D7602F">
        <w:rPr>
          <w:lang w:val="en-US"/>
        </w:rPr>
        <w:t>5856, 1 (C.C.D. Neb. October 16, 1909)</w:t>
      </w:r>
      <w:r>
        <w:rPr>
          <w:lang w:val="en-US"/>
        </w:rPr>
        <w:t>.</w:t>
      </w:r>
    </w:p>
  </w:footnote>
  <w:footnote w:id="962">
    <w:p w14:paraId="6F94CD53" w14:textId="77777777" w:rsidR="00074551" w:rsidRPr="00D7602F" w:rsidRDefault="00074551" w:rsidP="00074551">
      <w:pPr>
        <w:pStyle w:val="Funotentext"/>
        <w:rPr>
          <w:lang w:val="en-US"/>
        </w:rPr>
      </w:pPr>
      <w:r>
        <w:rPr>
          <w:rStyle w:val="Funotenzeichen"/>
        </w:rPr>
        <w:footnoteRef/>
      </w:r>
      <w:r w:rsidRPr="00D7602F">
        <w:rPr>
          <w:lang w:val="en-US"/>
        </w:rPr>
        <w:t xml:space="preserve"> </w:t>
      </w:r>
      <w:r w:rsidRPr="00B45592">
        <w:rPr>
          <w:i/>
          <w:lang w:val="en-US"/>
        </w:rPr>
        <w:t>Noble State Bank v. Haskell</w:t>
      </w:r>
      <w:r>
        <w:rPr>
          <w:lang w:val="en-US"/>
        </w:rPr>
        <w:t>,</w:t>
      </w:r>
      <w:r w:rsidRPr="00D7602F">
        <w:rPr>
          <w:lang w:val="en-US"/>
        </w:rPr>
        <w:t xml:space="preserve"> </w:t>
      </w:r>
      <w:r w:rsidRPr="00B45592">
        <w:rPr>
          <w:lang w:val="en-IE"/>
        </w:rPr>
        <w:t>219 U.S. 104 (1911),</w:t>
      </w:r>
      <w:r w:rsidRPr="00376A32">
        <w:rPr>
          <w:lang w:val="en-US"/>
        </w:rPr>
        <w:t xml:space="preserve"> </w:t>
      </w:r>
      <w:r w:rsidRPr="00D7602F">
        <w:rPr>
          <w:lang w:val="en-US"/>
        </w:rPr>
        <w:t xml:space="preserve">in </w:t>
      </w:r>
      <w:r w:rsidRPr="009E57E1">
        <w:rPr>
          <w:i/>
          <w:lang w:val="en-US"/>
        </w:rPr>
        <w:t>Shallenberger v. First State Bank</w:t>
      </w:r>
      <w:r w:rsidRPr="00D7602F">
        <w:rPr>
          <w:lang w:val="en-US"/>
        </w:rPr>
        <w:t>, 219 U.S. 114</w:t>
      </w:r>
      <w:r>
        <w:rPr>
          <w:lang w:val="en-US"/>
        </w:rPr>
        <w:t xml:space="preserve"> = 55 L. Ed. </w:t>
      </w:r>
      <w:r w:rsidRPr="00D7602F">
        <w:rPr>
          <w:lang w:val="en-US"/>
        </w:rPr>
        <w:t>117</w:t>
      </w:r>
      <w:r>
        <w:rPr>
          <w:lang w:val="en-US"/>
        </w:rPr>
        <w:t xml:space="preserve"> = 1911 U.S. LEXIS </w:t>
      </w:r>
      <w:r w:rsidRPr="00D7602F">
        <w:rPr>
          <w:lang w:val="en-US"/>
        </w:rPr>
        <w:t>1623</w:t>
      </w:r>
      <w:r>
        <w:rPr>
          <w:lang w:val="en-US"/>
        </w:rPr>
        <w:t xml:space="preserve"> = 31 S. Ct. </w:t>
      </w:r>
      <w:r w:rsidRPr="00D7602F">
        <w:rPr>
          <w:lang w:val="en-US"/>
        </w:rPr>
        <w:t>189 (1911)</w:t>
      </w:r>
      <w:r>
        <w:rPr>
          <w:lang w:val="en-US"/>
        </w:rPr>
        <w:t>.</w:t>
      </w:r>
    </w:p>
  </w:footnote>
  <w:footnote w:id="963">
    <w:p w14:paraId="3A95EB9A" w14:textId="77777777" w:rsidR="00074551" w:rsidRPr="00D7602F" w:rsidRDefault="00074551" w:rsidP="00074551">
      <w:pPr>
        <w:pStyle w:val="Funotentext"/>
        <w:rPr>
          <w:lang w:val="en-US"/>
        </w:rPr>
      </w:pPr>
      <w:r>
        <w:rPr>
          <w:rStyle w:val="Funotenzeichen"/>
        </w:rPr>
        <w:footnoteRef/>
      </w:r>
      <w:r w:rsidRPr="00D7602F">
        <w:rPr>
          <w:lang w:val="en-US"/>
        </w:rPr>
        <w:t xml:space="preserve"> </w:t>
      </w:r>
      <w:r w:rsidRPr="009E57E1">
        <w:rPr>
          <w:i/>
          <w:lang w:val="en-US"/>
        </w:rPr>
        <w:t>Shallenberger v. First State Bank</w:t>
      </w:r>
      <w:r w:rsidRPr="00D7602F">
        <w:rPr>
          <w:lang w:val="en-US"/>
        </w:rPr>
        <w:t>, 219 U.S. 114, 120</w:t>
      </w:r>
      <w:r>
        <w:rPr>
          <w:lang w:val="en-US"/>
        </w:rPr>
        <w:t xml:space="preserve"> = 55 L. Ed. </w:t>
      </w:r>
      <w:r w:rsidRPr="00D7602F">
        <w:rPr>
          <w:lang w:val="en-US"/>
        </w:rPr>
        <w:t>117, 123</w:t>
      </w:r>
      <w:r>
        <w:rPr>
          <w:lang w:val="en-US"/>
        </w:rPr>
        <w:t xml:space="preserve"> = 1911 U.S. LEXIS </w:t>
      </w:r>
      <w:r w:rsidRPr="00D7602F">
        <w:rPr>
          <w:lang w:val="en-US"/>
        </w:rPr>
        <w:t>1623, 11</w:t>
      </w:r>
      <w:r>
        <w:rPr>
          <w:lang w:val="en-US"/>
        </w:rPr>
        <w:t xml:space="preserve"> = 31 S. Ct. </w:t>
      </w:r>
      <w:r w:rsidRPr="00D7602F">
        <w:rPr>
          <w:lang w:val="en-US"/>
        </w:rPr>
        <w:t>189 (1911)</w:t>
      </w:r>
      <w:r>
        <w:rPr>
          <w:lang w:val="en-US"/>
        </w:rPr>
        <w:t>.</w:t>
      </w:r>
    </w:p>
  </w:footnote>
  <w:footnote w:id="964">
    <w:p w14:paraId="247C55ED" w14:textId="77777777" w:rsidR="00074551" w:rsidRPr="009D5E65" w:rsidRDefault="00074551" w:rsidP="00074551">
      <w:pPr>
        <w:pStyle w:val="Funotentext"/>
        <w:rPr>
          <w:lang w:val="en-US"/>
        </w:rPr>
      </w:pPr>
      <w:r>
        <w:rPr>
          <w:rStyle w:val="Funotenzeichen"/>
        </w:rPr>
        <w:footnoteRef/>
      </w:r>
      <w:r w:rsidRPr="009D5E65">
        <w:rPr>
          <w:lang w:val="en-US"/>
        </w:rPr>
        <w:t xml:space="preserve"> </w:t>
      </w:r>
      <w:r w:rsidRPr="00B45592">
        <w:rPr>
          <w:i/>
          <w:lang w:val="en-US"/>
        </w:rPr>
        <w:t>Slaughter-House Cases</w:t>
      </w:r>
      <w:r w:rsidRPr="009D5E65">
        <w:rPr>
          <w:lang w:val="en-US"/>
        </w:rPr>
        <w:t xml:space="preserve">, 16 Wall. 97; </w:t>
      </w:r>
      <w:r w:rsidRPr="00B45592">
        <w:rPr>
          <w:i/>
          <w:lang w:val="en-US"/>
        </w:rPr>
        <w:t>Butchers’ Union Co. v. Crescent City Co.</w:t>
      </w:r>
      <w:r w:rsidRPr="009D5E65">
        <w:rPr>
          <w:lang w:val="en-US"/>
        </w:rPr>
        <w:t xml:space="preserve">, 111 U.S. 746; </w:t>
      </w:r>
      <w:r w:rsidRPr="004F13B1">
        <w:rPr>
          <w:i/>
          <w:lang w:val="en-US"/>
        </w:rPr>
        <w:t>Allgeyer v. Louisiana</w:t>
      </w:r>
      <w:r w:rsidRPr="009D5E65">
        <w:rPr>
          <w:lang w:val="en-US"/>
        </w:rPr>
        <w:t>, 165 U.S. 578</w:t>
      </w:r>
      <w:r>
        <w:rPr>
          <w:lang w:val="en-US"/>
        </w:rPr>
        <w:t xml:space="preserve">; </w:t>
      </w:r>
      <w:r w:rsidRPr="009E57E1">
        <w:rPr>
          <w:i/>
          <w:lang w:val="en-US"/>
        </w:rPr>
        <w:t>Shallenberger v. First State Bank</w:t>
      </w:r>
      <w:r w:rsidRPr="009D5E65">
        <w:rPr>
          <w:lang w:val="en-US"/>
        </w:rPr>
        <w:t>, 219 U.S. 114, 120</w:t>
      </w:r>
      <w:r>
        <w:rPr>
          <w:lang w:val="en-US"/>
        </w:rPr>
        <w:t xml:space="preserve"> = 55 L. Ed. </w:t>
      </w:r>
      <w:r w:rsidRPr="009D5E65">
        <w:rPr>
          <w:lang w:val="en-US"/>
        </w:rPr>
        <w:t>117, 123</w:t>
      </w:r>
      <w:r>
        <w:rPr>
          <w:lang w:val="en-US"/>
        </w:rPr>
        <w:t xml:space="preserve"> = 1911 U.S. LEXIS </w:t>
      </w:r>
      <w:r w:rsidRPr="009D5E65">
        <w:rPr>
          <w:lang w:val="en-US"/>
        </w:rPr>
        <w:t>1623, 6</w:t>
      </w:r>
      <w:r>
        <w:rPr>
          <w:lang w:val="en-US"/>
        </w:rPr>
        <w:t xml:space="preserve"> = 31 S. Ct. </w:t>
      </w:r>
      <w:r w:rsidRPr="009D5E65">
        <w:rPr>
          <w:lang w:val="en-US"/>
        </w:rPr>
        <w:t>189 (1911)</w:t>
      </w:r>
      <w:r>
        <w:rPr>
          <w:lang w:val="en-US"/>
        </w:rPr>
        <w:t>.</w:t>
      </w:r>
    </w:p>
  </w:footnote>
  <w:footnote w:id="965">
    <w:p w14:paraId="50F93CEA" w14:textId="77777777" w:rsidR="00074551" w:rsidRPr="00DC1F00" w:rsidRDefault="00074551" w:rsidP="00074551">
      <w:pPr>
        <w:pStyle w:val="Funotentext"/>
        <w:rPr>
          <w:lang w:val="en-US"/>
        </w:rPr>
      </w:pPr>
      <w:r>
        <w:rPr>
          <w:rStyle w:val="Funotenzeichen"/>
        </w:rPr>
        <w:footnoteRef/>
      </w:r>
      <w:r w:rsidRPr="00DC1F00">
        <w:rPr>
          <w:lang w:val="en-US"/>
        </w:rPr>
        <w:t xml:space="preserve"> </w:t>
      </w:r>
      <w:r w:rsidRPr="00B45592">
        <w:rPr>
          <w:i/>
          <w:lang w:val="en-US"/>
        </w:rPr>
        <w:t xml:space="preserve">State v. </w:t>
      </w:r>
      <w:proofErr w:type="spellStart"/>
      <w:r w:rsidRPr="00B45592">
        <w:rPr>
          <w:i/>
          <w:lang w:val="en-US"/>
        </w:rPr>
        <w:t>Scougal</w:t>
      </w:r>
      <w:proofErr w:type="spellEnd"/>
      <w:r w:rsidRPr="00DC1F00">
        <w:rPr>
          <w:lang w:val="en-US"/>
        </w:rPr>
        <w:t xml:space="preserve">, 3 S. Dak. 55; </w:t>
      </w:r>
      <w:r w:rsidRPr="00B45592">
        <w:rPr>
          <w:i/>
          <w:lang w:val="en-US"/>
        </w:rPr>
        <w:t>Matter of Jacobs</w:t>
      </w:r>
      <w:r w:rsidRPr="00DC1F00">
        <w:rPr>
          <w:lang w:val="en-US"/>
        </w:rPr>
        <w:t xml:space="preserve">, 98 N.Y. 98; </w:t>
      </w:r>
      <w:r w:rsidRPr="00B45592">
        <w:rPr>
          <w:i/>
          <w:lang w:val="en-US"/>
        </w:rPr>
        <w:t>Gillespie v. The People</w:t>
      </w:r>
      <w:r w:rsidRPr="00DC1F00">
        <w:rPr>
          <w:lang w:val="en-US"/>
        </w:rPr>
        <w:t xml:space="preserve">, 188 Illinois, 183; </w:t>
      </w:r>
      <w:proofErr w:type="spellStart"/>
      <w:r w:rsidRPr="00B45592">
        <w:rPr>
          <w:i/>
          <w:lang w:val="en-US"/>
        </w:rPr>
        <w:t>Braceville</w:t>
      </w:r>
      <w:proofErr w:type="spellEnd"/>
      <w:r w:rsidRPr="00B45592">
        <w:rPr>
          <w:i/>
          <w:lang w:val="en-US"/>
        </w:rPr>
        <w:t xml:space="preserve"> v. Marx</w:t>
      </w:r>
      <w:r w:rsidRPr="00DC1F00">
        <w:rPr>
          <w:lang w:val="en-US"/>
        </w:rPr>
        <w:t xml:space="preserve">, 99 N.Y. 377; </w:t>
      </w:r>
      <w:r w:rsidRPr="00B45592">
        <w:rPr>
          <w:i/>
          <w:lang w:val="en-US"/>
        </w:rPr>
        <w:t>Wyeth v. Cambridge Board of Health</w:t>
      </w:r>
      <w:r w:rsidRPr="00DC1F00">
        <w:rPr>
          <w:lang w:val="en-US"/>
        </w:rPr>
        <w:t>, 200 Massachusetts, 474</w:t>
      </w:r>
      <w:r>
        <w:rPr>
          <w:lang w:val="en-US"/>
        </w:rPr>
        <w:t xml:space="preserve">; </w:t>
      </w:r>
      <w:r w:rsidRPr="009E57E1">
        <w:rPr>
          <w:i/>
          <w:lang w:val="en-US"/>
        </w:rPr>
        <w:t>Shallenberger v. First State Bank</w:t>
      </w:r>
      <w:r w:rsidRPr="00DC1F00">
        <w:rPr>
          <w:lang w:val="en-US"/>
        </w:rPr>
        <w:t>, 219 U.S. 114, 120</w:t>
      </w:r>
      <w:r>
        <w:rPr>
          <w:lang w:val="en-US"/>
        </w:rPr>
        <w:t xml:space="preserve"> = 55 L. Ed. </w:t>
      </w:r>
      <w:r w:rsidRPr="00DC1F00">
        <w:rPr>
          <w:lang w:val="en-US"/>
        </w:rPr>
        <w:t>117, 123</w:t>
      </w:r>
      <w:r>
        <w:rPr>
          <w:lang w:val="en-US"/>
        </w:rPr>
        <w:t xml:space="preserve"> = 1911 U.S. LEXIS </w:t>
      </w:r>
      <w:r w:rsidRPr="00DC1F00">
        <w:rPr>
          <w:lang w:val="en-US"/>
        </w:rPr>
        <w:t>1623, 6-7</w:t>
      </w:r>
      <w:r>
        <w:rPr>
          <w:lang w:val="en-US"/>
        </w:rPr>
        <w:t xml:space="preserve"> = 31 S. Ct. </w:t>
      </w:r>
      <w:r w:rsidRPr="00DC1F00">
        <w:rPr>
          <w:lang w:val="en-US"/>
        </w:rPr>
        <w:t>189 (1911)</w:t>
      </w:r>
      <w:r>
        <w:rPr>
          <w:lang w:val="en-US"/>
        </w:rPr>
        <w:t>.</w:t>
      </w:r>
    </w:p>
  </w:footnote>
  <w:footnote w:id="966">
    <w:p w14:paraId="04A2B25B" w14:textId="77777777" w:rsidR="00074551" w:rsidRPr="00DC1F00" w:rsidRDefault="00074551" w:rsidP="00074551">
      <w:pPr>
        <w:pStyle w:val="Funotentext"/>
        <w:rPr>
          <w:lang w:val="en-US"/>
        </w:rPr>
      </w:pPr>
      <w:r>
        <w:rPr>
          <w:rStyle w:val="Funotenzeichen"/>
        </w:rPr>
        <w:footnoteRef/>
      </w:r>
      <w:r w:rsidRPr="00DC1F00">
        <w:rPr>
          <w:lang w:val="en-US"/>
        </w:rPr>
        <w:t xml:space="preserve"> </w:t>
      </w:r>
      <w:r w:rsidRPr="009E57E1">
        <w:rPr>
          <w:i/>
          <w:lang w:val="en-US"/>
        </w:rPr>
        <w:t xml:space="preserve">State v. </w:t>
      </w:r>
      <w:proofErr w:type="spellStart"/>
      <w:r w:rsidRPr="009E57E1">
        <w:rPr>
          <w:i/>
          <w:lang w:val="en-US"/>
        </w:rPr>
        <w:t>Scougal</w:t>
      </w:r>
      <w:proofErr w:type="spellEnd"/>
      <w:r w:rsidRPr="00DC1F00">
        <w:rPr>
          <w:lang w:val="en-US"/>
        </w:rPr>
        <w:t>, 3 S.D. 55, 59</w:t>
      </w:r>
      <w:r>
        <w:rPr>
          <w:lang w:val="en-US"/>
        </w:rPr>
        <w:t xml:space="preserve"> = 51 N.W. </w:t>
      </w:r>
      <w:r w:rsidRPr="00DC1F00">
        <w:rPr>
          <w:lang w:val="en-US"/>
        </w:rPr>
        <w:t>858, 859</w:t>
      </w:r>
      <w:r>
        <w:rPr>
          <w:lang w:val="en-US"/>
        </w:rPr>
        <w:t xml:space="preserve"> = 1892 S.D. </w:t>
      </w:r>
      <w:r w:rsidRPr="00DC1F00">
        <w:rPr>
          <w:lang w:val="en-US"/>
        </w:rPr>
        <w:t>LEXIS 34, 1 (1892)</w:t>
      </w:r>
      <w:r>
        <w:rPr>
          <w:lang w:val="en-US"/>
        </w:rPr>
        <w:t>.</w:t>
      </w:r>
    </w:p>
  </w:footnote>
  <w:footnote w:id="967">
    <w:p w14:paraId="70A0FC43" w14:textId="77777777" w:rsidR="00074551" w:rsidRPr="00DC1F00" w:rsidRDefault="00074551" w:rsidP="00074551">
      <w:pPr>
        <w:pStyle w:val="Funotentext"/>
        <w:rPr>
          <w:lang w:val="en-US"/>
        </w:rPr>
      </w:pPr>
      <w:r>
        <w:rPr>
          <w:rStyle w:val="Funotenzeichen"/>
        </w:rPr>
        <w:footnoteRef/>
      </w:r>
      <w:r w:rsidRPr="00DC1F00">
        <w:rPr>
          <w:lang w:val="en-US"/>
        </w:rPr>
        <w:t xml:space="preserve"> </w:t>
      </w:r>
      <w:r w:rsidRPr="009E57E1">
        <w:rPr>
          <w:i/>
          <w:lang w:val="en-US"/>
        </w:rPr>
        <w:t xml:space="preserve">State v. </w:t>
      </w:r>
      <w:proofErr w:type="spellStart"/>
      <w:r w:rsidRPr="009E57E1">
        <w:rPr>
          <w:i/>
          <w:lang w:val="en-US"/>
        </w:rPr>
        <w:t>Scougal</w:t>
      </w:r>
      <w:proofErr w:type="spellEnd"/>
      <w:r w:rsidRPr="00DC1F00">
        <w:rPr>
          <w:lang w:val="en-US"/>
        </w:rPr>
        <w:t>, 3 S.D. 55, 69</w:t>
      </w:r>
      <w:r>
        <w:rPr>
          <w:lang w:val="en-US"/>
        </w:rPr>
        <w:t xml:space="preserve"> = 51 N.W. </w:t>
      </w:r>
      <w:r w:rsidRPr="00DC1F00">
        <w:rPr>
          <w:lang w:val="en-US"/>
        </w:rPr>
        <w:t>858, 863</w:t>
      </w:r>
      <w:r>
        <w:rPr>
          <w:lang w:val="en-US"/>
        </w:rPr>
        <w:t xml:space="preserve"> = 1892 S.D. </w:t>
      </w:r>
      <w:r w:rsidRPr="00DC1F00">
        <w:rPr>
          <w:lang w:val="en-US"/>
        </w:rPr>
        <w:t>LEXIS 34, 26 (1892)</w:t>
      </w:r>
      <w:r>
        <w:rPr>
          <w:lang w:val="en-US"/>
        </w:rPr>
        <w:t>.</w:t>
      </w:r>
      <w:r w:rsidRPr="00DC1F00" w:rsidDel="00376A32">
        <w:rPr>
          <w:lang w:val="en-US"/>
        </w:rPr>
        <w:t xml:space="preserve"> </w:t>
      </w:r>
    </w:p>
  </w:footnote>
  <w:footnote w:id="968">
    <w:p w14:paraId="6AFA80D0" w14:textId="77777777" w:rsidR="00074551" w:rsidRPr="00DC1F00" w:rsidRDefault="00074551" w:rsidP="00074551">
      <w:pPr>
        <w:pStyle w:val="Funotentext"/>
        <w:rPr>
          <w:lang w:val="en-US"/>
        </w:rPr>
      </w:pPr>
      <w:r>
        <w:rPr>
          <w:rStyle w:val="Funotenzeichen"/>
        </w:rPr>
        <w:footnoteRef/>
      </w:r>
      <w:r w:rsidRPr="00DC1F00">
        <w:rPr>
          <w:lang w:val="en-US"/>
        </w:rPr>
        <w:t xml:space="preserve"> </w:t>
      </w:r>
      <w:r w:rsidRPr="009E57E1">
        <w:rPr>
          <w:i/>
          <w:lang w:val="en-US"/>
        </w:rPr>
        <w:t xml:space="preserve">State v. </w:t>
      </w:r>
      <w:proofErr w:type="spellStart"/>
      <w:r w:rsidRPr="009E57E1">
        <w:rPr>
          <w:i/>
          <w:lang w:val="en-US"/>
        </w:rPr>
        <w:t>Scougal</w:t>
      </w:r>
      <w:proofErr w:type="spellEnd"/>
      <w:r w:rsidRPr="00DC1F00">
        <w:rPr>
          <w:lang w:val="en-US"/>
        </w:rPr>
        <w:t>, 3 S.D. 55, 59</w:t>
      </w:r>
      <w:r>
        <w:rPr>
          <w:lang w:val="en-US"/>
        </w:rPr>
        <w:t xml:space="preserve"> = 51 N.W. </w:t>
      </w:r>
      <w:r w:rsidRPr="00DC1F00">
        <w:rPr>
          <w:lang w:val="en-US"/>
        </w:rPr>
        <w:t>858, 859</w:t>
      </w:r>
      <w:r>
        <w:rPr>
          <w:lang w:val="en-US"/>
        </w:rPr>
        <w:t xml:space="preserve"> = 1892 S.D. </w:t>
      </w:r>
      <w:r w:rsidRPr="00DC1F00">
        <w:rPr>
          <w:lang w:val="en-US"/>
        </w:rPr>
        <w:t>LEXIS 34, 1 (1892)</w:t>
      </w:r>
      <w:r>
        <w:rPr>
          <w:lang w:val="en-US"/>
        </w:rPr>
        <w:t>.</w:t>
      </w:r>
      <w:r w:rsidRPr="00DC1F00" w:rsidDel="00376A32">
        <w:rPr>
          <w:lang w:val="en-US"/>
        </w:rPr>
        <w:t xml:space="preserve"> </w:t>
      </w:r>
    </w:p>
  </w:footnote>
  <w:footnote w:id="969">
    <w:p w14:paraId="272C89C0" w14:textId="77777777" w:rsidR="00074551" w:rsidRPr="001F2FBC" w:rsidRDefault="00074551" w:rsidP="00074551">
      <w:pPr>
        <w:pStyle w:val="Funotentext"/>
        <w:rPr>
          <w:lang w:val="en-US"/>
        </w:rPr>
      </w:pPr>
      <w:r>
        <w:rPr>
          <w:rStyle w:val="Funotenzeichen"/>
          <w:rFonts w:eastAsiaTheme="majorEastAsia"/>
        </w:rPr>
        <w:footnoteRef/>
      </w:r>
      <w:r w:rsidRPr="001F2FBC">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1F2FBC">
        <w:rPr>
          <w:lang w:val="en-US"/>
        </w:rPr>
        <w:t>, 339 U.S. 382, 440</w:t>
      </w:r>
      <w:r>
        <w:rPr>
          <w:lang w:val="en-US"/>
        </w:rPr>
        <w:t xml:space="preserve"> = 70 S. Ct. </w:t>
      </w:r>
      <w:r w:rsidRPr="001F2FBC">
        <w:rPr>
          <w:lang w:val="en-US"/>
        </w:rPr>
        <w:t>674, 704</w:t>
      </w:r>
      <w:r>
        <w:rPr>
          <w:lang w:val="en-US"/>
        </w:rPr>
        <w:t xml:space="preserve"> = 94 L. Ed. </w:t>
      </w:r>
      <w:r w:rsidRPr="001F2FBC">
        <w:rPr>
          <w:lang w:val="en-US"/>
        </w:rPr>
        <w:t>925, 965</w:t>
      </w:r>
      <w:r>
        <w:rPr>
          <w:lang w:val="en-US"/>
        </w:rPr>
        <w:t xml:space="preserve"> = 1950 U.S. LEXIS </w:t>
      </w:r>
      <w:r w:rsidRPr="001F2FBC">
        <w:rPr>
          <w:lang w:val="en-US"/>
        </w:rPr>
        <w:t>2530, 99</w:t>
      </w:r>
      <w:r>
        <w:rPr>
          <w:lang w:val="en-US"/>
        </w:rPr>
        <w:t xml:space="preserve"> = 18 Lab. Cas.</w:t>
      </w:r>
      <w:r w:rsidRPr="001F2FBC">
        <w:rPr>
          <w:lang w:val="en-US"/>
        </w:rPr>
        <w:t xml:space="preserve"> (CCH) P65,760</w:t>
      </w:r>
      <w:r>
        <w:rPr>
          <w:lang w:val="en-US"/>
        </w:rPr>
        <w:t xml:space="preserve"> = 26 L.R.R.M. 2084 </w:t>
      </w:r>
      <w:r w:rsidRPr="001F2FBC">
        <w:rPr>
          <w:lang w:val="en-US"/>
        </w:rPr>
        <w:t>(1950)</w:t>
      </w:r>
      <w:r>
        <w:rPr>
          <w:lang w:val="en-US"/>
        </w:rPr>
        <w:t>.</w:t>
      </w:r>
    </w:p>
  </w:footnote>
  <w:footnote w:id="970">
    <w:p w14:paraId="72AD4AA9" w14:textId="77777777" w:rsidR="00074551" w:rsidRDefault="00074551" w:rsidP="00074551">
      <w:pPr>
        <w:pStyle w:val="Funotentext"/>
        <w:ind w:left="227" w:hanging="227"/>
        <w:rPr>
          <w:lang w:val="en-US"/>
        </w:rPr>
      </w:pPr>
      <w:r>
        <w:rPr>
          <w:rStyle w:val="Funotenzeichen"/>
          <w:rFonts w:eastAsiaTheme="majorEastAsia"/>
        </w:rPr>
        <w:footnoteRef/>
      </w:r>
      <w:r w:rsidRPr="00624B07">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624B07">
        <w:rPr>
          <w:lang w:val="en-US"/>
        </w:rPr>
        <w:t>, 339 U.S. 382, 385</w:t>
      </w:r>
      <w:r>
        <w:rPr>
          <w:lang w:val="en-US"/>
        </w:rPr>
        <w:t xml:space="preserve"> = 70 S. Ct. </w:t>
      </w:r>
      <w:r w:rsidRPr="00624B07">
        <w:rPr>
          <w:lang w:val="en-US"/>
        </w:rPr>
        <w:t>674, 677</w:t>
      </w:r>
      <w:r>
        <w:rPr>
          <w:lang w:val="en-US"/>
        </w:rPr>
        <w:t xml:space="preserve"> = 94 L. Ed. </w:t>
      </w:r>
      <w:r w:rsidRPr="00624B07">
        <w:rPr>
          <w:lang w:val="en-US"/>
        </w:rPr>
        <w:t>925, 936</w:t>
      </w:r>
      <w:r>
        <w:rPr>
          <w:lang w:val="en-US"/>
        </w:rPr>
        <w:t xml:space="preserve"> = 1950 U.S. LEXIS </w:t>
      </w:r>
      <w:r w:rsidRPr="00624B07">
        <w:rPr>
          <w:lang w:val="en-US"/>
        </w:rPr>
        <w:t>2530, 2</w:t>
      </w:r>
      <w:r>
        <w:rPr>
          <w:lang w:val="en-US"/>
        </w:rPr>
        <w:t xml:space="preserve"> = 18 Lab. Cas.</w:t>
      </w:r>
      <w:r w:rsidRPr="00624B07">
        <w:rPr>
          <w:lang w:val="en-US"/>
        </w:rPr>
        <w:t xml:space="preserve"> (CCH) P65,760</w:t>
      </w:r>
      <w:r>
        <w:rPr>
          <w:lang w:val="en-US"/>
        </w:rPr>
        <w:t xml:space="preserve"> = 26 L.R.R.M. 2084</w:t>
      </w:r>
    </w:p>
    <w:p w14:paraId="7D163345" w14:textId="77777777" w:rsidR="00074551" w:rsidRPr="00624B07" w:rsidRDefault="00074551" w:rsidP="00074551">
      <w:pPr>
        <w:pStyle w:val="Funotentext"/>
        <w:ind w:left="227" w:hanging="227"/>
        <w:rPr>
          <w:lang w:val="en-US"/>
        </w:rPr>
      </w:pPr>
      <w:r w:rsidRPr="00624B07">
        <w:rPr>
          <w:lang w:val="en-US"/>
        </w:rPr>
        <w:t>(1950)</w:t>
      </w:r>
      <w:r>
        <w:rPr>
          <w:lang w:val="en-US"/>
        </w:rPr>
        <w:t>.</w:t>
      </w:r>
    </w:p>
  </w:footnote>
  <w:footnote w:id="971">
    <w:p w14:paraId="57B9E443" w14:textId="77777777" w:rsidR="00074551" w:rsidRPr="00C84A7B" w:rsidRDefault="00074551" w:rsidP="00074551">
      <w:pPr>
        <w:pStyle w:val="Funotentext"/>
        <w:rPr>
          <w:lang w:val="en-US"/>
        </w:rPr>
      </w:pPr>
      <w:r>
        <w:rPr>
          <w:rStyle w:val="Funotenzeichen"/>
          <w:rFonts w:eastAsiaTheme="majorEastAsia"/>
        </w:rPr>
        <w:footnoteRef/>
      </w:r>
      <w:r w:rsidRPr="0039686E">
        <w:rPr>
          <w:lang w:val="en-US"/>
        </w:rPr>
        <w:t xml:space="preserve"> </w:t>
      </w:r>
      <w:r w:rsidRPr="00B45592">
        <w:rPr>
          <w:i/>
          <w:lang w:val="en-IE"/>
        </w:rPr>
        <w:t xml:space="preserve">American Communications </w:t>
      </w:r>
      <w:proofErr w:type="spellStart"/>
      <w:r w:rsidRPr="00B45592">
        <w:rPr>
          <w:i/>
          <w:lang w:val="en-IE"/>
        </w:rPr>
        <w:t>Ass’n</w:t>
      </w:r>
      <w:proofErr w:type="spellEnd"/>
      <w:r w:rsidRPr="00B45592">
        <w:rPr>
          <w:i/>
          <w:lang w:val="en-IE"/>
        </w:rPr>
        <w:t xml:space="preserve"> v. Douds</w:t>
      </w:r>
      <w:r w:rsidRPr="00B45592">
        <w:rPr>
          <w:lang w:val="en-IE"/>
        </w:rPr>
        <w:t>, 339 U.S. 382, 440–441</w:t>
      </w:r>
      <w:r>
        <w:rPr>
          <w:lang w:val="en-IE"/>
        </w:rPr>
        <w:t xml:space="preserve"> = 70 S. Ct. </w:t>
      </w:r>
      <w:r w:rsidRPr="00B45592">
        <w:rPr>
          <w:lang w:val="en-IE"/>
        </w:rPr>
        <w:t>674, 705</w:t>
      </w:r>
      <w:r>
        <w:rPr>
          <w:lang w:val="en-IE"/>
        </w:rPr>
        <w:t xml:space="preserve"> = 94 L. Ed. </w:t>
      </w:r>
      <w:r w:rsidRPr="00B45592">
        <w:rPr>
          <w:lang w:val="en-IE"/>
        </w:rPr>
        <w:t>925, 966</w:t>
      </w:r>
      <w:r>
        <w:rPr>
          <w:lang w:val="en-IE"/>
        </w:rPr>
        <w:t xml:space="preserve"> = 1950 U.S. LEXIS </w:t>
      </w:r>
      <w:r w:rsidRPr="00B45592">
        <w:rPr>
          <w:lang w:val="en-IE"/>
        </w:rPr>
        <w:t>2530, 99</w:t>
      </w:r>
      <w:r>
        <w:rPr>
          <w:lang w:val="en-IE"/>
        </w:rPr>
        <w:t xml:space="preserve"> = 18 Lab. Cas.</w:t>
      </w:r>
      <w:r w:rsidRPr="00B45592">
        <w:rPr>
          <w:lang w:val="en-IE"/>
        </w:rPr>
        <w:t xml:space="preserve"> (CCH) P65,760</w:t>
      </w:r>
      <w:r>
        <w:rPr>
          <w:lang w:val="en-IE"/>
        </w:rPr>
        <w:t xml:space="preserve"> = 26 L.R.R.M. 2084 </w:t>
      </w:r>
      <w:r w:rsidRPr="00B45592">
        <w:rPr>
          <w:lang w:val="en-IE"/>
        </w:rPr>
        <w:t>(1950)</w:t>
      </w:r>
      <w:r w:rsidRPr="00C84A7B">
        <w:rPr>
          <w:lang w:val="en-US"/>
        </w:rPr>
        <w:t xml:space="preserve">, </w:t>
      </w:r>
      <w:proofErr w:type="spellStart"/>
      <w:r w:rsidRPr="00C84A7B">
        <w:rPr>
          <w:lang w:val="en-US"/>
        </w:rPr>
        <w:t>dort</w:t>
      </w:r>
      <w:proofErr w:type="spellEnd"/>
      <w:r w:rsidRPr="00C84A7B">
        <w:rPr>
          <w:lang w:val="en-US"/>
        </w:rPr>
        <w:t>. Fn. 12.</w:t>
      </w:r>
    </w:p>
  </w:footnote>
  <w:footnote w:id="972">
    <w:p w14:paraId="1176C478" w14:textId="77777777" w:rsidR="00074551" w:rsidRPr="00891EAE" w:rsidRDefault="00074551" w:rsidP="00074551">
      <w:pPr>
        <w:pStyle w:val="Funotentext"/>
        <w:ind w:left="227" w:hanging="227"/>
        <w:jc w:val="both"/>
        <w:rPr>
          <w:lang w:val="en-US"/>
        </w:rPr>
      </w:pPr>
      <w:r>
        <w:rPr>
          <w:rStyle w:val="Funotenzeichen"/>
          <w:rFonts w:eastAsiaTheme="majorEastAsia"/>
        </w:rPr>
        <w:footnoteRef/>
      </w:r>
      <w:r w:rsidRPr="00891EAE">
        <w:rPr>
          <w:lang w:val="en-US"/>
        </w:rPr>
        <w:t xml:space="preserve"> </w:t>
      </w:r>
      <w:r w:rsidRPr="00584023">
        <w:rPr>
          <w:i/>
          <w:lang w:val="en-US"/>
        </w:rPr>
        <w:t>Sosna v. Iowa</w:t>
      </w:r>
      <w:r w:rsidRPr="00891EAE">
        <w:rPr>
          <w:lang w:val="en-US"/>
        </w:rPr>
        <w:t>, 419 U.S. 393, 395</w:t>
      </w:r>
      <w:r w:rsidRPr="003B741A">
        <w:rPr>
          <w:lang w:val="en-US"/>
        </w:rPr>
        <w:t xml:space="preserve"> = 95 S. Ct. </w:t>
      </w:r>
      <w:r w:rsidRPr="00891EAE">
        <w:rPr>
          <w:lang w:val="en-US"/>
        </w:rPr>
        <w:t>553, 555</w:t>
      </w:r>
      <w:r w:rsidRPr="003B741A">
        <w:rPr>
          <w:lang w:val="en-US"/>
        </w:rPr>
        <w:t xml:space="preserve"> = 42 L. Ed. </w:t>
      </w:r>
      <w:r w:rsidRPr="00891EAE">
        <w:rPr>
          <w:lang w:val="en-US"/>
        </w:rPr>
        <w:t>2d 532, 538</w:t>
      </w:r>
      <w:r w:rsidRPr="003B741A">
        <w:rPr>
          <w:lang w:val="en-US"/>
        </w:rPr>
        <w:t xml:space="preserve"> = 1975 U.S. LEXIS </w:t>
      </w:r>
      <w:r w:rsidRPr="00891EAE">
        <w:rPr>
          <w:lang w:val="en-US"/>
        </w:rPr>
        <w:t>19, 1</w:t>
      </w:r>
      <w:r w:rsidRPr="003B741A">
        <w:rPr>
          <w:lang w:val="en-US"/>
        </w:rPr>
        <w:t xml:space="preserve"> = 19 Fed. R. Serv. </w:t>
      </w:r>
      <w:r w:rsidRPr="00891EAE">
        <w:rPr>
          <w:lang w:val="en-US"/>
        </w:rPr>
        <w:t>2d (Callaghan) 925 (1975)</w:t>
      </w:r>
      <w:r>
        <w:rPr>
          <w:lang w:val="en-US"/>
        </w:rPr>
        <w:t>.</w:t>
      </w:r>
    </w:p>
  </w:footnote>
  <w:footnote w:id="973">
    <w:p w14:paraId="145BF92D" w14:textId="77777777" w:rsidR="00074551" w:rsidRPr="001841D2" w:rsidRDefault="00074551" w:rsidP="00074551">
      <w:pPr>
        <w:pStyle w:val="Funotentext"/>
        <w:jc w:val="both"/>
        <w:rPr>
          <w:lang w:val="en-US"/>
        </w:rPr>
      </w:pPr>
      <w:r>
        <w:rPr>
          <w:rStyle w:val="Funotenzeichen"/>
          <w:rFonts w:eastAsiaTheme="majorEastAsia"/>
        </w:rPr>
        <w:footnoteRef/>
      </w:r>
      <w:r w:rsidRPr="001841D2">
        <w:rPr>
          <w:lang w:val="en-US"/>
        </w:rPr>
        <w:t xml:space="preserve"> </w:t>
      </w:r>
      <w:r w:rsidRPr="00584023">
        <w:rPr>
          <w:i/>
          <w:lang w:val="en-US"/>
        </w:rPr>
        <w:t>Loving v. Virginia</w:t>
      </w:r>
      <w:r w:rsidRPr="001841D2">
        <w:rPr>
          <w:lang w:val="en-US"/>
        </w:rPr>
        <w:t>, 388 U.S. 1, 12 (1967)</w:t>
      </w:r>
      <w:r>
        <w:rPr>
          <w:lang w:val="en-US"/>
        </w:rPr>
        <w:t xml:space="preserve">; </w:t>
      </w:r>
      <w:r w:rsidRPr="00584023">
        <w:rPr>
          <w:i/>
          <w:lang w:val="en-US"/>
        </w:rPr>
        <w:t>Sosna v. Iowa</w:t>
      </w:r>
      <w:r w:rsidRPr="001841D2">
        <w:rPr>
          <w:lang w:val="en-US"/>
        </w:rPr>
        <w:t>, 419 U.S. 393, 420</w:t>
      </w:r>
      <w:r w:rsidRPr="003B741A">
        <w:rPr>
          <w:lang w:val="en-US"/>
        </w:rPr>
        <w:t xml:space="preserve"> = 95 S. Ct. </w:t>
      </w:r>
      <w:r w:rsidRPr="001841D2">
        <w:rPr>
          <w:lang w:val="en-US"/>
        </w:rPr>
        <w:t>553, 567</w:t>
      </w:r>
      <w:r w:rsidRPr="003B741A">
        <w:rPr>
          <w:lang w:val="en-US"/>
        </w:rPr>
        <w:t xml:space="preserve"> = 42 L. Ed. </w:t>
      </w:r>
      <w:r w:rsidRPr="001841D2">
        <w:rPr>
          <w:lang w:val="en-US"/>
        </w:rPr>
        <w:t>2d 532, 553</w:t>
      </w:r>
      <w:r w:rsidRPr="003B741A">
        <w:rPr>
          <w:lang w:val="en-US"/>
        </w:rPr>
        <w:t xml:space="preserve"> = 1975 U.S. LEXIS </w:t>
      </w:r>
      <w:r w:rsidRPr="001841D2">
        <w:rPr>
          <w:lang w:val="en-US"/>
        </w:rPr>
        <w:t>19, 49</w:t>
      </w:r>
      <w:r w:rsidRPr="003B741A">
        <w:rPr>
          <w:lang w:val="en-US"/>
        </w:rPr>
        <w:t xml:space="preserve"> = 19 Fed. R. Serv. </w:t>
      </w:r>
      <w:r w:rsidRPr="001841D2">
        <w:rPr>
          <w:lang w:val="en-US"/>
        </w:rPr>
        <w:t>2d (Callaghan) 925 (1975)</w:t>
      </w:r>
      <w:r>
        <w:rPr>
          <w:lang w:val="en-US"/>
        </w:rPr>
        <w:t>.</w:t>
      </w:r>
    </w:p>
  </w:footnote>
  <w:footnote w:id="974">
    <w:p w14:paraId="2772F510" w14:textId="77777777" w:rsidR="00074551" w:rsidRPr="001841D2" w:rsidRDefault="00074551" w:rsidP="00074551">
      <w:pPr>
        <w:pStyle w:val="Funotentext"/>
        <w:jc w:val="both"/>
        <w:rPr>
          <w:lang w:val="en-US"/>
        </w:rPr>
      </w:pPr>
      <w:r>
        <w:rPr>
          <w:rStyle w:val="Funotenzeichen"/>
          <w:rFonts w:eastAsiaTheme="majorEastAsia"/>
        </w:rPr>
        <w:footnoteRef/>
      </w:r>
      <w:r w:rsidRPr="001841D2">
        <w:rPr>
          <w:lang w:val="en-US"/>
        </w:rPr>
        <w:t xml:space="preserve"> </w:t>
      </w:r>
      <w:r w:rsidRPr="00584023">
        <w:rPr>
          <w:i/>
          <w:lang w:val="en-US"/>
        </w:rPr>
        <w:t>Sosna v. Iowa</w:t>
      </w:r>
      <w:r w:rsidRPr="001841D2">
        <w:rPr>
          <w:lang w:val="en-US"/>
        </w:rPr>
        <w:t>, 419 U.S. 393, 420</w:t>
      </w:r>
      <w:r w:rsidRPr="003B741A">
        <w:rPr>
          <w:lang w:val="en-US"/>
        </w:rPr>
        <w:t xml:space="preserve"> = 95 S. Ct. </w:t>
      </w:r>
      <w:r w:rsidRPr="001841D2">
        <w:rPr>
          <w:lang w:val="en-US"/>
        </w:rPr>
        <w:t>553, 567</w:t>
      </w:r>
      <w:r w:rsidRPr="003B741A">
        <w:rPr>
          <w:lang w:val="en-US"/>
        </w:rPr>
        <w:t xml:space="preserve"> = 42 L. Ed. </w:t>
      </w:r>
      <w:r w:rsidRPr="001841D2">
        <w:rPr>
          <w:lang w:val="en-US"/>
        </w:rPr>
        <w:t>2d 532, 553</w:t>
      </w:r>
      <w:r w:rsidRPr="003B741A">
        <w:rPr>
          <w:lang w:val="en-US"/>
        </w:rPr>
        <w:t xml:space="preserve"> = 1975 U.S. LEXIS </w:t>
      </w:r>
      <w:r w:rsidRPr="001841D2">
        <w:rPr>
          <w:lang w:val="en-US"/>
        </w:rPr>
        <w:t>19, 49</w:t>
      </w:r>
      <w:r w:rsidRPr="003B741A">
        <w:rPr>
          <w:lang w:val="en-US"/>
        </w:rPr>
        <w:t xml:space="preserve"> = 19 Fed. R. Serv. </w:t>
      </w:r>
      <w:r w:rsidRPr="001841D2">
        <w:rPr>
          <w:lang w:val="en-US"/>
        </w:rPr>
        <w:t>2d (Callaghan) 925 (1975)</w:t>
      </w:r>
      <w:r>
        <w:rPr>
          <w:lang w:val="en-US"/>
        </w:rPr>
        <w:t>.</w:t>
      </w:r>
    </w:p>
  </w:footnote>
  <w:footnote w:id="975">
    <w:p w14:paraId="003025C2" w14:textId="77777777" w:rsidR="00074551" w:rsidRPr="00811D9E" w:rsidRDefault="00074551" w:rsidP="00074551">
      <w:pPr>
        <w:pStyle w:val="Funotentext"/>
        <w:ind w:left="227" w:hanging="227"/>
        <w:jc w:val="both"/>
        <w:rPr>
          <w:lang w:val="en-US"/>
        </w:rPr>
      </w:pPr>
      <w:r>
        <w:rPr>
          <w:rStyle w:val="Funotenzeichen"/>
          <w:rFonts w:eastAsiaTheme="majorEastAsia"/>
        </w:rPr>
        <w:footnoteRef/>
      </w:r>
      <w:r w:rsidRPr="00811D9E">
        <w:rPr>
          <w:lang w:val="en-US"/>
        </w:rPr>
        <w:t xml:space="preserve"> </w:t>
      </w:r>
      <w:r w:rsidRPr="00584023">
        <w:rPr>
          <w:i/>
          <w:lang w:val="en-US"/>
        </w:rPr>
        <w:t>Sosna v. Iowa</w:t>
      </w:r>
      <w:r w:rsidRPr="00811D9E">
        <w:rPr>
          <w:lang w:val="en-US"/>
        </w:rPr>
        <w:t>, 419 U.S. 393, 395</w:t>
      </w:r>
      <w:r w:rsidRPr="003B741A">
        <w:rPr>
          <w:lang w:val="en-US"/>
        </w:rPr>
        <w:t xml:space="preserve"> = 95 S. Ct. </w:t>
      </w:r>
      <w:r w:rsidRPr="00811D9E">
        <w:rPr>
          <w:lang w:val="en-US"/>
        </w:rPr>
        <w:t>553, 555</w:t>
      </w:r>
      <w:r w:rsidRPr="003B741A">
        <w:rPr>
          <w:lang w:val="en-US"/>
        </w:rPr>
        <w:t xml:space="preserve"> = 42 L. Ed. </w:t>
      </w:r>
      <w:r w:rsidRPr="00811D9E">
        <w:rPr>
          <w:lang w:val="en-US"/>
        </w:rPr>
        <w:t>2d 532, 538</w:t>
      </w:r>
      <w:r w:rsidRPr="003B741A">
        <w:rPr>
          <w:lang w:val="en-US"/>
        </w:rPr>
        <w:t xml:space="preserve"> = 1975 U.S. LEXIS </w:t>
      </w:r>
      <w:r w:rsidRPr="00811D9E">
        <w:rPr>
          <w:lang w:val="en-US"/>
        </w:rPr>
        <w:t>19, 1</w:t>
      </w:r>
      <w:r w:rsidRPr="003B741A">
        <w:rPr>
          <w:lang w:val="en-US"/>
        </w:rPr>
        <w:t xml:space="preserve"> = 19 Fed. R. Serv. </w:t>
      </w:r>
      <w:r w:rsidRPr="00811D9E">
        <w:rPr>
          <w:lang w:val="en-US"/>
        </w:rPr>
        <w:t>2d (Callaghan) 925 (1975)</w:t>
      </w:r>
      <w:r>
        <w:rPr>
          <w:lang w:val="en-US"/>
        </w:rPr>
        <w:t>.</w:t>
      </w:r>
    </w:p>
  </w:footnote>
  <w:footnote w:id="976">
    <w:p w14:paraId="522526C4" w14:textId="77777777" w:rsidR="00074551" w:rsidRPr="00946F54" w:rsidRDefault="00074551" w:rsidP="00074551">
      <w:pPr>
        <w:pStyle w:val="Funotentext"/>
        <w:rPr>
          <w:lang w:val="en-US"/>
        </w:rPr>
      </w:pPr>
      <w:r>
        <w:rPr>
          <w:rStyle w:val="Funotenzeichen"/>
        </w:rPr>
        <w:footnoteRef/>
      </w:r>
      <w:r w:rsidRPr="00946F54">
        <w:rPr>
          <w:lang w:val="en-US"/>
        </w:rPr>
        <w:t xml:space="preserve"> </w:t>
      </w:r>
      <w:r w:rsidRPr="009E57E1">
        <w:rPr>
          <w:i/>
          <w:lang w:val="en-US"/>
        </w:rPr>
        <w:t>Maynard v. Hill</w:t>
      </w:r>
      <w:r w:rsidRPr="00946F54">
        <w:rPr>
          <w:lang w:val="en-US"/>
        </w:rPr>
        <w:t>, 125 U.S. 190, 203</w:t>
      </w:r>
      <w:r>
        <w:rPr>
          <w:lang w:val="en-US"/>
        </w:rPr>
        <w:t xml:space="preserve"> = 8 S. Ct. </w:t>
      </w:r>
      <w:r w:rsidRPr="00946F54">
        <w:rPr>
          <w:lang w:val="en-US"/>
        </w:rPr>
        <w:t>723, 725</w:t>
      </w:r>
      <w:r>
        <w:rPr>
          <w:lang w:val="en-US"/>
        </w:rPr>
        <w:t xml:space="preserve"> = 31 L. Ed. </w:t>
      </w:r>
      <w:r w:rsidRPr="00946F54">
        <w:rPr>
          <w:lang w:val="en-US"/>
        </w:rPr>
        <w:t>654, 656</w:t>
      </w:r>
      <w:r w:rsidRPr="00EC5BEB">
        <w:rPr>
          <w:lang w:val="en-US"/>
        </w:rPr>
        <w:t xml:space="preserve"> = 1888 U.S. LEXIS </w:t>
      </w:r>
      <w:r w:rsidRPr="00946F54">
        <w:rPr>
          <w:lang w:val="en-US"/>
        </w:rPr>
        <w:t>1927, 7 (1888)</w:t>
      </w:r>
      <w:r>
        <w:rPr>
          <w:lang w:val="en-US"/>
        </w:rPr>
        <w:t>.</w:t>
      </w:r>
    </w:p>
  </w:footnote>
  <w:footnote w:id="977">
    <w:p w14:paraId="764D1C3F" w14:textId="77777777" w:rsidR="00074551" w:rsidRPr="00777A81" w:rsidRDefault="00074551" w:rsidP="00074551">
      <w:pPr>
        <w:pStyle w:val="Funotentext"/>
        <w:rPr>
          <w:lang w:val="en-US"/>
        </w:rPr>
      </w:pPr>
      <w:r>
        <w:rPr>
          <w:rStyle w:val="Funotenzeichen"/>
        </w:rPr>
        <w:footnoteRef/>
      </w:r>
      <w:r w:rsidRPr="00777A81">
        <w:rPr>
          <w:lang w:val="en-US"/>
        </w:rPr>
        <w:t xml:space="preserve"> </w:t>
      </w:r>
      <w:r w:rsidRPr="009E57E1">
        <w:rPr>
          <w:i/>
          <w:lang w:val="en-US"/>
        </w:rPr>
        <w:t>Maynard v. Hill</w:t>
      </w:r>
      <w:r w:rsidRPr="00777A81">
        <w:rPr>
          <w:lang w:val="en-US"/>
        </w:rPr>
        <w:t>, 125 U.S. 190, 211</w:t>
      </w:r>
      <w:r>
        <w:rPr>
          <w:lang w:val="en-US"/>
        </w:rPr>
        <w:t xml:space="preserve"> = 8 S. Ct. </w:t>
      </w:r>
      <w:r w:rsidRPr="00777A81">
        <w:rPr>
          <w:lang w:val="en-US"/>
        </w:rPr>
        <w:t>723, 729</w:t>
      </w:r>
      <w:r>
        <w:rPr>
          <w:lang w:val="en-US"/>
        </w:rPr>
        <w:t xml:space="preserve"> = 31 L. Ed. </w:t>
      </w:r>
      <w:r w:rsidRPr="00777A81">
        <w:rPr>
          <w:lang w:val="en-US"/>
        </w:rPr>
        <w:t>654, 659</w:t>
      </w:r>
      <w:r w:rsidRPr="00EC5BEB">
        <w:rPr>
          <w:lang w:val="en-US"/>
        </w:rPr>
        <w:t xml:space="preserve"> = 1888 U.S. LEXIS </w:t>
      </w:r>
      <w:r w:rsidRPr="00777A81">
        <w:rPr>
          <w:lang w:val="en-US"/>
        </w:rPr>
        <w:t>1927, 39 (1888)</w:t>
      </w:r>
      <w:r>
        <w:rPr>
          <w:lang w:val="en-US"/>
        </w:rPr>
        <w:t>.</w:t>
      </w:r>
    </w:p>
  </w:footnote>
  <w:footnote w:id="978">
    <w:p w14:paraId="07418C75" w14:textId="77777777" w:rsidR="00074551" w:rsidRPr="007249A0" w:rsidRDefault="00074551" w:rsidP="00074551">
      <w:pPr>
        <w:pStyle w:val="Funotentext"/>
        <w:rPr>
          <w:lang w:val="en-US"/>
        </w:rPr>
      </w:pPr>
      <w:r>
        <w:rPr>
          <w:rStyle w:val="Funotenzeichen"/>
        </w:rPr>
        <w:footnoteRef/>
      </w:r>
      <w:r w:rsidRPr="007249A0">
        <w:rPr>
          <w:lang w:val="en-US"/>
        </w:rPr>
        <w:t xml:space="preserve"> Supreme Court of Maine in </w:t>
      </w:r>
      <w:r w:rsidRPr="00B45592">
        <w:rPr>
          <w:i/>
          <w:lang w:val="en-US"/>
        </w:rPr>
        <w:t>Adams v. Palmer</w:t>
      </w:r>
      <w:r w:rsidRPr="007249A0">
        <w:rPr>
          <w:lang w:val="en-US"/>
        </w:rPr>
        <w:t>, 51 Maine, 48</w:t>
      </w:r>
      <w:r>
        <w:rPr>
          <w:lang w:val="en-US"/>
        </w:rPr>
        <w:t>4</w:t>
      </w:r>
      <w:r w:rsidRPr="007249A0">
        <w:rPr>
          <w:lang w:val="en-US"/>
        </w:rPr>
        <w:t>, 48</w:t>
      </w:r>
      <w:r>
        <w:rPr>
          <w:lang w:val="en-US"/>
        </w:rPr>
        <w:t xml:space="preserve">5; </w:t>
      </w:r>
      <w:r w:rsidRPr="009E57E1">
        <w:rPr>
          <w:i/>
          <w:lang w:val="en-US"/>
        </w:rPr>
        <w:t>Maynard v. Hill</w:t>
      </w:r>
      <w:r w:rsidRPr="007249A0">
        <w:rPr>
          <w:lang w:val="en-US"/>
        </w:rPr>
        <w:t>, 125 U.S. 190, 211</w:t>
      </w:r>
      <w:r>
        <w:rPr>
          <w:lang w:val="en-US"/>
        </w:rPr>
        <w:t xml:space="preserve"> = 8 S. Ct. </w:t>
      </w:r>
      <w:r w:rsidRPr="007249A0">
        <w:rPr>
          <w:lang w:val="en-US"/>
        </w:rPr>
        <w:t>723, 729</w:t>
      </w:r>
      <w:r>
        <w:rPr>
          <w:lang w:val="en-US"/>
        </w:rPr>
        <w:t xml:space="preserve"> = 31 L. Ed. </w:t>
      </w:r>
      <w:r w:rsidRPr="007249A0">
        <w:rPr>
          <w:lang w:val="en-US"/>
        </w:rPr>
        <w:t>654, 659</w:t>
      </w:r>
      <w:r w:rsidRPr="00EC5BEB">
        <w:rPr>
          <w:lang w:val="en-US"/>
        </w:rPr>
        <w:t xml:space="preserve"> = 1888 U.S. LEXIS </w:t>
      </w:r>
      <w:r w:rsidRPr="007249A0">
        <w:rPr>
          <w:lang w:val="en-US"/>
        </w:rPr>
        <w:t>1927, 39 (1888)</w:t>
      </w:r>
      <w:r>
        <w:rPr>
          <w:lang w:val="en-US"/>
        </w:rPr>
        <w:t>.</w:t>
      </w:r>
    </w:p>
  </w:footnote>
  <w:footnote w:id="979">
    <w:p w14:paraId="78B629CF" w14:textId="77777777" w:rsidR="00074551" w:rsidRPr="007249A0" w:rsidRDefault="00074551" w:rsidP="00074551">
      <w:pPr>
        <w:pStyle w:val="Funotentext"/>
        <w:rPr>
          <w:lang w:val="en-US"/>
        </w:rPr>
      </w:pPr>
      <w:r>
        <w:rPr>
          <w:rStyle w:val="Funotenzeichen"/>
        </w:rPr>
        <w:footnoteRef/>
      </w:r>
      <w:r w:rsidRPr="007249A0">
        <w:rPr>
          <w:lang w:val="en-US"/>
        </w:rPr>
        <w:t xml:space="preserve"> </w:t>
      </w:r>
      <w:r w:rsidRPr="009E57E1">
        <w:rPr>
          <w:i/>
          <w:lang w:val="en-US"/>
        </w:rPr>
        <w:t>Maynard v. Hill</w:t>
      </w:r>
      <w:r w:rsidRPr="007249A0">
        <w:rPr>
          <w:lang w:val="en-US"/>
        </w:rPr>
        <w:t>, 125 U.S. 190, 212</w:t>
      </w:r>
      <w:r>
        <w:rPr>
          <w:lang w:val="en-US"/>
        </w:rPr>
        <w:t xml:space="preserve"> = 8 S. Ct. </w:t>
      </w:r>
      <w:r w:rsidRPr="007249A0">
        <w:rPr>
          <w:lang w:val="en-US"/>
        </w:rPr>
        <w:t>723, 730</w:t>
      </w:r>
      <w:r>
        <w:rPr>
          <w:lang w:val="en-US"/>
        </w:rPr>
        <w:t xml:space="preserve"> = 31 L. Ed. </w:t>
      </w:r>
      <w:r w:rsidRPr="007249A0">
        <w:rPr>
          <w:lang w:val="en-US"/>
        </w:rPr>
        <w:t>654, 659</w:t>
      </w:r>
      <w:r w:rsidRPr="00EC5BEB">
        <w:rPr>
          <w:lang w:val="en-US"/>
        </w:rPr>
        <w:t xml:space="preserve"> = 1888 U.S. LEXIS </w:t>
      </w:r>
      <w:r w:rsidRPr="007249A0">
        <w:rPr>
          <w:lang w:val="en-US"/>
        </w:rPr>
        <w:t>1927, 41 (1888)</w:t>
      </w:r>
      <w:r>
        <w:rPr>
          <w:lang w:val="en-US"/>
        </w:rPr>
        <w:t>.</w:t>
      </w:r>
    </w:p>
  </w:footnote>
  <w:footnote w:id="980">
    <w:p w14:paraId="7F6EEB13" w14:textId="77777777" w:rsidR="00074551" w:rsidRPr="00E15D0F" w:rsidRDefault="00074551" w:rsidP="00074551">
      <w:pPr>
        <w:pStyle w:val="Funotentext"/>
        <w:rPr>
          <w:lang w:val="en-US"/>
        </w:rPr>
      </w:pPr>
      <w:r>
        <w:rPr>
          <w:rStyle w:val="Funotenzeichen"/>
        </w:rPr>
        <w:footnoteRef/>
      </w:r>
      <w:r w:rsidRPr="00E15D0F">
        <w:rPr>
          <w:lang w:val="en-US"/>
        </w:rPr>
        <w:t xml:space="preserve"> </w:t>
      </w:r>
      <w:r w:rsidRPr="009E57E1">
        <w:rPr>
          <w:i/>
          <w:lang w:val="en-US"/>
        </w:rPr>
        <w:t>Randall v. Kreiger</w:t>
      </w:r>
      <w:r w:rsidRPr="00E15D0F">
        <w:rPr>
          <w:lang w:val="en-US"/>
        </w:rPr>
        <w:t>, 90 U.S. 137, 146</w:t>
      </w:r>
      <w:r>
        <w:rPr>
          <w:lang w:val="en-US"/>
        </w:rPr>
        <w:t xml:space="preserve"> = 23 L. Ed. </w:t>
      </w:r>
      <w:r w:rsidRPr="00E15D0F">
        <w:rPr>
          <w:lang w:val="en-US"/>
        </w:rPr>
        <w:t>124, 125</w:t>
      </w:r>
      <w:r>
        <w:rPr>
          <w:lang w:val="en-US"/>
        </w:rPr>
        <w:t xml:space="preserve"> = 1874 U.S. LEXIS </w:t>
      </w:r>
      <w:r w:rsidRPr="00E15D0F">
        <w:rPr>
          <w:lang w:val="en-US"/>
        </w:rPr>
        <w:t>1301, 5</w:t>
      </w:r>
      <w:r>
        <w:rPr>
          <w:lang w:val="en-US"/>
        </w:rPr>
        <w:t xml:space="preserve"> = 23 Wall. </w:t>
      </w:r>
      <w:r w:rsidRPr="00E15D0F">
        <w:rPr>
          <w:lang w:val="en-US"/>
        </w:rPr>
        <w:t>137 (1875)</w:t>
      </w:r>
      <w:r>
        <w:rPr>
          <w:lang w:val="en-US"/>
        </w:rPr>
        <w:t>.</w:t>
      </w:r>
    </w:p>
  </w:footnote>
  <w:footnote w:id="981">
    <w:p w14:paraId="5D3D21ED" w14:textId="77777777" w:rsidR="00074551" w:rsidRPr="00630426" w:rsidRDefault="00074551" w:rsidP="00074551">
      <w:pPr>
        <w:pStyle w:val="Funotentext"/>
        <w:rPr>
          <w:lang w:val="en-US"/>
        </w:rPr>
      </w:pPr>
      <w:r>
        <w:rPr>
          <w:rStyle w:val="Funotenzeichen"/>
        </w:rPr>
        <w:footnoteRef/>
      </w:r>
      <w:r w:rsidRPr="00630426">
        <w:rPr>
          <w:lang w:val="en-US"/>
        </w:rPr>
        <w:t xml:space="preserve"> </w:t>
      </w:r>
      <w:r w:rsidRPr="009E57E1">
        <w:rPr>
          <w:i/>
          <w:lang w:val="en-US"/>
        </w:rPr>
        <w:t>Randall v. Kreiger</w:t>
      </w:r>
      <w:r w:rsidRPr="00630426">
        <w:rPr>
          <w:lang w:val="en-US"/>
        </w:rPr>
        <w:t>, 90 U.S. 137, 147</w:t>
      </w:r>
      <w:r>
        <w:rPr>
          <w:lang w:val="en-US"/>
        </w:rPr>
        <w:t xml:space="preserve"> = 23 L. Ed. </w:t>
      </w:r>
      <w:r w:rsidRPr="00630426">
        <w:rPr>
          <w:lang w:val="en-US"/>
        </w:rPr>
        <w:t>124, 126</w:t>
      </w:r>
      <w:r>
        <w:rPr>
          <w:lang w:val="en-US"/>
        </w:rPr>
        <w:t xml:space="preserve"> = 1874 U.S. LEXIS </w:t>
      </w:r>
      <w:r w:rsidRPr="00630426">
        <w:rPr>
          <w:lang w:val="en-US"/>
        </w:rPr>
        <w:t>1301, 17</w:t>
      </w:r>
      <w:r>
        <w:rPr>
          <w:lang w:val="en-US"/>
        </w:rPr>
        <w:t xml:space="preserve"> = 23 Wall. </w:t>
      </w:r>
      <w:r w:rsidRPr="00630426">
        <w:rPr>
          <w:lang w:val="en-US"/>
        </w:rPr>
        <w:t>137 (1875)</w:t>
      </w:r>
      <w:r>
        <w:rPr>
          <w:lang w:val="en-US"/>
        </w:rPr>
        <w:t>.</w:t>
      </w:r>
    </w:p>
  </w:footnote>
  <w:footnote w:id="982">
    <w:p w14:paraId="0D4B5BD7" w14:textId="77777777" w:rsidR="00074551" w:rsidRPr="00630426" w:rsidRDefault="00074551" w:rsidP="00074551">
      <w:pPr>
        <w:pStyle w:val="Funotentext"/>
        <w:rPr>
          <w:lang w:val="en-US"/>
        </w:rPr>
      </w:pPr>
      <w:r>
        <w:rPr>
          <w:rStyle w:val="Funotenzeichen"/>
        </w:rPr>
        <w:footnoteRef/>
      </w:r>
      <w:r w:rsidRPr="00630426">
        <w:rPr>
          <w:lang w:val="en-US"/>
        </w:rPr>
        <w:t xml:space="preserve"> </w:t>
      </w:r>
      <w:r w:rsidRPr="009E57E1">
        <w:rPr>
          <w:i/>
          <w:lang w:val="en-US"/>
        </w:rPr>
        <w:t>Randall v. Kreiger</w:t>
      </w:r>
      <w:r w:rsidRPr="00630426">
        <w:rPr>
          <w:lang w:val="en-US"/>
        </w:rPr>
        <w:t>, 90 U.S. 137, 147</w:t>
      </w:r>
      <w:r>
        <w:rPr>
          <w:lang w:val="en-US"/>
        </w:rPr>
        <w:t xml:space="preserve"> = 23 L. Ed. </w:t>
      </w:r>
      <w:r w:rsidRPr="00630426">
        <w:rPr>
          <w:lang w:val="en-US"/>
        </w:rPr>
        <w:t>124, 126</w:t>
      </w:r>
      <w:r>
        <w:rPr>
          <w:lang w:val="en-US"/>
        </w:rPr>
        <w:t xml:space="preserve"> = 1874 U.S. LEXIS </w:t>
      </w:r>
      <w:r w:rsidRPr="00630426">
        <w:rPr>
          <w:lang w:val="en-US"/>
        </w:rPr>
        <w:t>1301, 18</w:t>
      </w:r>
      <w:r>
        <w:rPr>
          <w:lang w:val="en-US"/>
        </w:rPr>
        <w:t xml:space="preserve"> = 23 Wall. </w:t>
      </w:r>
      <w:r w:rsidRPr="00630426">
        <w:rPr>
          <w:lang w:val="en-US"/>
        </w:rPr>
        <w:t>137 (1875)</w:t>
      </w:r>
      <w:r>
        <w:rPr>
          <w:lang w:val="en-US"/>
        </w:rPr>
        <w:t xml:space="preserve">, </w:t>
      </w:r>
      <w:proofErr w:type="spellStart"/>
      <w:r>
        <w:rPr>
          <w:lang w:val="en-US"/>
        </w:rPr>
        <w:t>basierend</w:t>
      </w:r>
      <w:proofErr w:type="spellEnd"/>
      <w:r>
        <w:rPr>
          <w:lang w:val="en-US"/>
        </w:rPr>
        <w:t xml:space="preserve"> auf </w:t>
      </w:r>
      <w:r w:rsidRPr="00630426">
        <w:rPr>
          <w:lang w:val="en-US"/>
        </w:rPr>
        <w:t>Story</w:t>
      </w:r>
      <w:r>
        <w:rPr>
          <w:lang w:val="en-US"/>
        </w:rPr>
        <w:t>’</w:t>
      </w:r>
      <w:r w:rsidRPr="00630426">
        <w:rPr>
          <w:lang w:val="en-US"/>
        </w:rPr>
        <w:t xml:space="preserve">s Conflict of Laws, </w:t>
      </w:r>
      <w:r>
        <w:rPr>
          <w:lang w:val="en-US"/>
        </w:rPr>
        <w:t>§ </w:t>
      </w:r>
      <w:r w:rsidRPr="00630426">
        <w:rPr>
          <w:lang w:val="en-US"/>
        </w:rPr>
        <w:t>109</w:t>
      </w:r>
      <w:r>
        <w:rPr>
          <w:lang w:val="en-US"/>
        </w:rPr>
        <w:t>.</w:t>
      </w:r>
    </w:p>
  </w:footnote>
  <w:footnote w:id="983">
    <w:p w14:paraId="1F0EF94F" w14:textId="77777777" w:rsidR="00074551" w:rsidRPr="00630426" w:rsidRDefault="00074551" w:rsidP="00074551">
      <w:pPr>
        <w:pStyle w:val="Funotentext"/>
        <w:rPr>
          <w:lang w:val="en-US"/>
        </w:rPr>
      </w:pPr>
      <w:r>
        <w:rPr>
          <w:rStyle w:val="Funotenzeichen"/>
        </w:rPr>
        <w:footnoteRef/>
      </w:r>
      <w:r w:rsidRPr="00630426">
        <w:rPr>
          <w:lang w:val="en-US"/>
        </w:rPr>
        <w:t xml:space="preserve"> </w:t>
      </w:r>
      <w:r w:rsidRPr="009E57E1">
        <w:rPr>
          <w:i/>
          <w:lang w:val="en-US"/>
        </w:rPr>
        <w:t>Randall v. Kreiger</w:t>
      </w:r>
      <w:r w:rsidRPr="00630426">
        <w:rPr>
          <w:lang w:val="en-US"/>
        </w:rPr>
        <w:t>, 90 U.S. 137, 146</w:t>
      </w:r>
      <w:r>
        <w:rPr>
          <w:lang w:val="en-US"/>
        </w:rPr>
        <w:t xml:space="preserve"> = 23 L. Ed. </w:t>
      </w:r>
      <w:r w:rsidRPr="00630426">
        <w:rPr>
          <w:lang w:val="en-US"/>
        </w:rPr>
        <w:t>124, 125</w:t>
      </w:r>
      <w:r>
        <w:rPr>
          <w:lang w:val="en-US"/>
        </w:rPr>
        <w:t xml:space="preserve"> = 1874 U.S. LEXIS </w:t>
      </w:r>
      <w:r w:rsidRPr="00630426">
        <w:rPr>
          <w:lang w:val="en-US"/>
        </w:rPr>
        <w:t>1301, 5</w:t>
      </w:r>
      <w:r>
        <w:rPr>
          <w:lang w:val="en-US"/>
        </w:rPr>
        <w:t xml:space="preserve"> = 23 Wall. </w:t>
      </w:r>
      <w:r w:rsidRPr="00630426">
        <w:rPr>
          <w:lang w:val="en-US"/>
        </w:rPr>
        <w:t>137 (1875)</w:t>
      </w:r>
      <w:r>
        <w:rPr>
          <w:lang w:val="en-US"/>
        </w:rPr>
        <w:t>.</w:t>
      </w:r>
    </w:p>
  </w:footnote>
  <w:footnote w:id="984">
    <w:p w14:paraId="1C7F1A00" w14:textId="77777777" w:rsidR="00074551" w:rsidRPr="008A6045" w:rsidRDefault="00074551" w:rsidP="00074551">
      <w:pPr>
        <w:pStyle w:val="Funotentext"/>
        <w:rPr>
          <w:lang w:val="en-US"/>
        </w:rPr>
      </w:pPr>
      <w:r w:rsidRPr="00376A32">
        <w:rPr>
          <w:rStyle w:val="Funotenzeichen"/>
        </w:rPr>
        <w:footnoteRef/>
      </w:r>
      <w:r w:rsidRPr="00376A32">
        <w:rPr>
          <w:lang w:val="en-US"/>
        </w:rPr>
        <w:t xml:space="preserve"> </w:t>
      </w:r>
      <w:r w:rsidRPr="00B45592">
        <w:rPr>
          <w:i/>
          <w:lang w:val="en-IE"/>
        </w:rPr>
        <w:t>Drury v. Foster</w:t>
      </w:r>
      <w:r w:rsidRPr="00B45592">
        <w:rPr>
          <w:lang w:val="en-IE"/>
        </w:rPr>
        <w:t>, 69 U.S. 24, 33</w:t>
      </w:r>
      <w:r>
        <w:rPr>
          <w:lang w:val="en-IE"/>
        </w:rPr>
        <w:t xml:space="preserve"> = 17 L. Ed. </w:t>
      </w:r>
      <w:r w:rsidRPr="00B45592">
        <w:rPr>
          <w:lang w:val="en-IE"/>
        </w:rPr>
        <w:t>780, 781</w:t>
      </w:r>
      <w:r>
        <w:rPr>
          <w:lang w:val="en-IE"/>
        </w:rPr>
        <w:t xml:space="preserve"> = 1864 U.S. LEXIS</w:t>
      </w:r>
      <w:r w:rsidRPr="00B45592">
        <w:rPr>
          <w:lang w:val="en-IE"/>
        </w:rPr>
        <w:t xml:space="preserve"> 404, 3</w:t>
      </w:r>
      <w:r>
        <w:rPr>
          <w:lang w:val="en-IE"/>
        </w:rPr>
        <w:t xml:space="preserve"> = 2 Wall. </w:t>
      </w:r>
      <w:r w:rsidRPr="00B45592">
        <w:rPr>
          <w:lang w:val="en-IE"/>
        </w:rPr>
        <w:t>24 (1865)</w:t>
      </w:r>
      <w:r>
        <w:rPr>
          <w:lang w:val="en-US"/>
        </w:rPr>
        <w:t>.</w:t>
      </w:r>
    </w:p>
  </w:footnote>
  <w:footnote w:id="985">
    <w:p w14:paraId="531544B8" w14:textId="77777777" w:rsidR="00074551" w:rsidRPr="00DA183B" w:rsidRDefault="00074551" w:rsidP="00074551">
      <w:pPr>
        <w:pStyle w:val="Funotentext"/>
        <w:rPr>
          <w:lang w:val="en-US"/>
        </w:rPr>
      </w:pPr>
      <w:r>
        <w:rPr>
          <w:rStyle w:val="Funotenzeichen"/>
        </w:rPr>
        <w:footnoteRef/>
      </w:r>
      <w:r w:rsidRPr="00DA183B">
        <w:rPr>
          <w:lang w:val="en-US"/>
        </w:rPr>
        <w:t xml:space="preserve"> </w:t>
      </w:r>
      <w:r w:rsidRPr="00B45592">
        <w:rPr>
          <w:i/>
          <w:lang w:val="en-US"/>
        </w:rPr>
        <w:t>Drury v. Foster</w:t>
      </w:r>
      <w:r w:rsidRPr="00DA183B">
        <w:rPr>
          <w:lang w:val="en-US"/>
        </w:rPr>
        <w:t>, 69 U.S. 24, 33</w:t>
      </w:r>
      <w:r>
        <w:rPr>
          <w:lang w:val="en-US"/>
        </w:rPr>
        <w:t xml:space="preserve"> = 17 L. Ed. </w:t>
      </w:r>
      <w:r w:rsidRPr="00DA183B">
        <w:rPr>
          <w:lang w:val="en-US"/>
        </w:rPr>
        <w:t>780, 781</w:t>
      </w:r>
      <w:r>
        <w:rPr>
          <w:lang w:val="en-US"/>
        </w:rPr>
        <w:t xml:space="preserve"> = 1864 U.S. LEXIS</w:t>
      </w:r>
      <w:r w:rsidRPr="00DA183B">
        <w:rPr>
          <w:lang w:val="en-US"/>
        </w:rPr>
        <w:t xml:space="preserve"> 404, 18</w:t>
      </w:r>
      <w:r>
        <w:rPr>
          <w:lang w:val="en-US"/>
        </w:rPr>
        <w:t xml:space="preserve"> = 2 Wall. </w:t>
      </w:r>
      <w:r w:rsidRPr="00DA183B">
        <w:rPr>
          <w:lang w:val="en-US"/>
        </w:rPr>
        <w:t>24 (1865)</w:t>
      </w:r>
      <w:r>
        <w:rPr>
          <w:lang w:val="en-US"/>
        </w:rPr>
        <w:t>.</w:t>
      </w:r>
    </w:p>
  </w:footnote>
  <w:footnote w:id="986">
    <w:p w14:paraId="71FA350F" w14:textId="77777777" w:rsidR="00074551" w:rsidRPr="005F7F1C" w:rsidRDefault="00074551" w:rsidP="00074551">
      <w:pPr>
        <w:pStyle w:val="Funotentext"/>
        <w:rPr>
          <w:lang w:val="en-US"/>
        </w:rPr>
      </w:pPr>
      <w:r>
        <w:rPr>
          <w:rStyle w:val="Funotenzeichen"/>
        </w:rPr>
        <w:footnoteRef/>
      </w:r>
      <w:r w:rsidRPr="005F7F1C">
        <w:rPr>
          <w:lang w:val="en-US"/>
        </w:rPr>
        <w:t xml:space="preserve"> Marshall, C.J., in </w:t>
      </w:r>
      <w:r w:rsidRPr="00B45592">
        <w:rPr>
          <w:i/>
          <w:lang w:val="en-US"/>
        </w:rPr>
        <w:t>Sexton v. Wheaton</w:t>
      </w:r>
      <w:r>
        <w:rPr>
          <w:lang w:val="en-US"/>
        </w:rPr>
        <w:t xml:space="preserve">, </w:t>
      </w:r>
      <w:r w:rsidRPr="005F7F1C">
        <w:rPr>
          <w:lang w:val="en-US"/>
        </w:rPr>
        <w:t>8 Wheaton, 229; 1 American Leading Cases, 42</w:t>
      </w:r>
      <w:r>
        <w:rPr>
          <w:lang w:val="en-US"/>
        </w:rPr>
        <w:t xml:space="preserve">; </w:t>
      </w:r>
      <w:r w:rsidRPr="00B45592">
        <w:rPr>
          <w:i/>
          <w:lang w:val="en-US"/>
        </w:rPr>
        <w:t>Drury v. Foster</w:t>
      </w:r>
      <w:r w:rsidRPr="005F7F1C">
        <w:rPr>
          <w:lang w:val="en-US"/>
        </w:rPr>
        <w:t>, 69 U.S. 24, 33</w:t>
      </w:r>
      <w:r>
        <w:rPr>
          <w:lang w:val="en-US"/>
        </w:rPr>
        <w:t xml:space="preserve"> = 17 L. Ed. </w:t>
      </w:r>
      <w:r w:rsidRPr="005F7F1C">
        <w:rPr>
          <w:lang w:val="en-US"/>
        </w:rPr>
        <w:t>780, 781</w:t>
      </w:r>
      <w:r>
        <w:rPr>
          <w:lang w:val="en-US"/>
        </w:rPr>
        <w:t xml:space="preserve"> = 1864 U.S. LEXIS</w:t>
      </w:r>
      <w:r w:rsidRPr="005F7F1C">
        <w:rPr>
          <w:lang w:val="en-US"/>
        </w:rPr>
        <w:t xml:space="preserve"> 404, 15</w:t>
      </w:r>
      <w:r>
        <w:rPr>
          <w:lang w:val="en-US"/>
        </w:rPr>
        <w:t xml:space="preserve"> = 2 Wall. </w:t>
      </w:r>
      <w:r w:rsidRPr="005F7F1C">
        <w:rPr>
          <w:lang w:val="en-US"/>
        </w:rPr>
        <w:t>24 (1865)</w:t>
      </w:r>
      <w:r>
        <w:rPr>
          <w:lang w:val="en-US"/>
        </w:rPr>
        <w:t>.</w:t>
      </w:r>
    </w:p>
  </w:footnote>
  <w:footnote w:id="987">
    <w:p w14:paraId="26D28812" w14:textId="77777777" w:rsidR="00074551" w:rsidRPr="00776197" w:rsidRDefault="00074551" w:rsidP="00074551">
      <w:pPr>
        <w:pStyle w:val="Funotentext"/>
        <w:rPr>
          <w:lang w:val="en-US"/>
        </w:rPr>
      </w:pPr>
      <w:r>
        <w:rPr>
          <w:rStyle w:val="Funotenzeichen"/>
        </w:rPr>
        <w:footnoteRef/>
      </w:r>
      <w:r w:rsidRPr="00776197">
        <w:rPr>
          <w:lang w:val="en-US"/>
        </w:rPr>
        <w:t xml:space="preserve"> </w:t>
      </w:r>
      <w:r w:rsidRPr="00B45592">
        <w:rPr>
          <w:i/>
          <w:lang w:val="en-US"/>
        </w:rPr>
        <w:t>Sexton v. Wheaton</w:t>
      </w:r>
      <w:r w:rsidRPr="00776197">
        <w:rPr>
          <w:lang w:val="en-US"/>
        </w:rPr>
        <w:t>, 21 U.S. 229, 238</w:t>
      </w:r>
      <w:r>
        <w:rPr>
          <w:lang w:val="en-US"/>
        </w:rPr>
        <w:t xml:space="preserve"> = 5 L. Ed. </w:t>
      </w:r>
      <w:r w:rsidRPr="00776197">
        <w:rPr>
          <w:lang w:val="en-US"/>
        </w:rPr>
        <w:t>603, 606</w:t>
      </w:r>
      <w:r>
        <w:rPr>
          <w:lang w:val="en-US"/>
        </w:rPr>
        <w:t xml:space="preserve"> = 1823 U.S. LEXIS </w:t>
      </w:r>
      <w:r w:rsidRPr="00776197">
        <w:rPr>
          <w:lang w:val="en-US"/>
        </w:rPr>
        <w:t>275, 6</w:t>
      </w:r>
      <w:r>
        <w:rPr>
          <w:lang w:val="en-US"/>
        </w:rPr>
        <w:t xml:space="preserve"> = 8 Wheat. </w:t>
      </w:r>
      <w:r w:rsidRPr="00776197">
        <w:rPr>
          <w:lang w:val="en-US"/>
        </w:rPr>
        <w:t>229 (1823)</w:t>
      </w:r>
      <w:r>
        <w:rPr>
          <w:lang w:val="en-US"/>
        </w:rPr>
        <w:t>.</w:t>
      </w:r>
    </w:p>
  </w:footnote>
  <w:footnote w:id="988">
    <w:p w14:paraId="75BAEB89" w14:textId="77777777" w:rsidR="00074551" w:rsidRPr="00C771E0" w:rsidRDefault="00074551" w:rsidP="00074551">
      <w:pPr>
        <w:pStyle w:val="Funotentext"/>
        <w:rPr>
          <w:lang w:val="en-US"/>
        </w:rPr>
      </w:pPr>
      <w:r>
        <w:rPr>
          <w:rStyle w:val="Funotenzeichen"/>
        </w:rPr>
        <w:footnoteRef/>
      </w:r>
      <w:r w:rsidRPr="00183BCE">
        <w:rPr>
          <w:lang w:val="en-US"/>
        </w:rPr>
        <w:t xml:space="preserve"> </w:t>
      </w:r>
      <w:r w:rsidRPr="00B45592">
        <w:rPr>
          <w:i/>
          <w:lang w:val="en-US"/>
        </w:rPr>
        <w:t>Sexton v. Wheaton</w:t>
      </w:r>
      <w:r w:rsidRPr="00183BCE">
        <w:rPr>
          <w:lang w:val="en-US"/>
        </w:rPr>
        <w:t>, 21 U.S. 229, 239</w:t>
      </w:r>
      <w:r>
        <w:rPr>
          <w:lang w:val="en-US"/>
        </w:rPr>
        <w:t xml:space="preserve"> = 5 L. Ed. </w:t>
      </w:r>
      <w:r w:rsidRPr="00183BCE">
        <w:rPr>
          <w:lang w:val="en-US"/>
        </w:rPr>
        <w:t>603, 607</w:t>
      </w:r>
      <w:r>
        <w:rPr>
          <w:lang w:val="en-US"/>
        </w:rPr>
        <w:t xml:space="preserve"> = 1823 U.S. LEXIS </w:t>
      </w:r>
      <w:r w:rsidRPr="00183BCE">
        <w:rPr>
          <w:lang w:val="en-US"/>
        </w:rPr>
        <w:t>275, 14</w:t>
      </w:r>
      <w:r>
        <w:rPr>
          <w:lang w:val="en-US"/>
        </w:rPr>
        <w:t xml:space="preserve"> = 8 Wheat. </w:t>
      </w:r>
      <w:r w:rsidRPr="00C771E0">
        <w:rPr>
          <w:lang w:val="en-US"/>
        </w:rPr>
        <w:t>229 (1823)</w:t>
      </w:r>
      <w:r>
        <w:rPr>
          <w:lang w:val="en-US"/>
        </w:rPr>
        <w:t>.</w:t>
      </w:r>
    </w:p>
  </w:footnote>
  <w:footnote w:id="989">
    <w:p w14:paraId="1EEACE2C" w14:textId="77777777" w:rsidR="00074551" w:rsidRPr="00B405A1" w:rsidRDefault="00074551" w:rsidP="00074551">
      <w:pPr>
        <w:pStyle w:val="Funotentext"/>
        <w:rPr>
          <w:lang w:val="en-US"/>
        </w:rPr>
      </w:pPr>
      <w:r>
        <w:rPr>
          <w:rStyle w:val="Funotenzeichen"/>
        </w:rPr>
        <w:footnoteRef/>
      </w:r>
      <w:r w:rsidRPr="00B405A1">
        <w:rPr>
          <w:lang w:val="en-US"/>
        </w:rPr>
        <w:t xml:space="preserve"> </w:t>
      </w:r>
      <w:r>
        <w:rPr>
          <w:lang w:val="en-US"/>
        </w:rPr>
        <w:t>„[P]</w:t>
      </w:r>
      <w:proofErr w:type="spellStart"/>
      <w:r w:rsidRPr="00B405A1">
        <w:rPr>
          <w:lang w:val="en-US"/>
        </w:rPr>
        <w:t>rovision</w:t>
      </w:r>
      <w:proofErr w:type="spellEnd"/>
      <w:r w:rsidRPr="00B405A1">
        <w:rPr>
          <w:lang w:val="en-US"/>
        </w:rPr>
        <w:t xml:space="preserve"> in </w:t>
      </w:r>
      <w:r>
        <w:rPr>
          <w:lang w:val="en-US"/>
        </w:rPr>
        <w:t>§ </w:t>
      </w:r>
      <w:r w:rsidRPr="00B405A1">
        <w:rPr>
          <w:lang w:val="en-US"/>
        </w:rPr>
        <w:t>1783 of the Code of Georgia, (ed. 1882)</w:t>
      </w:r>
      <w:r>
        <w:rPr>
          <w:lang w:val="en-US"/>
        </w:rPr>
        <w:t xml:space="preserve"> that</w:t>
      </w:r>
      <w:r w:rsidRPr="00B405A1">
        <w:rPr>
          <w:lang w:val="en-US"/>
        </w:rPr>
        <w:t xml:space="preserve"> </w:t>
      </w:r>
      <w:r>
        <w:rPr>
          <w:lang w:val="en-US"/>
        </w:rPr>
        <w:t>,</w:t>
      </w:r>
      <w:r w:rsidRPr="00B405A1">
        <w:rPr>
          <w:lang w:val="en-US"/>
        </w:rPr>
        <w:t>the wife is a feme sole as to her separate estate, unless controlled by the settlement,</w:t>
      </w:r>
      <w:r>
        <w:rPr>
          <w:lang w:val="en-US"/>
        </w:rPr>
        <w:t>’</w:t>
      </w:r>
      <w:r w:rsidRPr="00B405A1">
        <w:rPr>
          <w:lang w:val="en-US"/>
        </w:rPr>
        <w:t xml:space="preserve"> and that </w:t>
      </w:r>
      <w:r>
        <w:rPr>
          <w:lang w:val="en-US"/>
        </w:rPr>
        <w:t>,</w:t>
      </w:r>
      <w:r w:rsidRPr="00B405A1">
        <w:rPr>
          <w:lang w:val="en-US"/>
        </w:rPr>
        <w:t>while the wife may contract she cannot bind her separate estate by […] any assumption of the debts of her husband, and any sale of her separate estate made to a creditor of her husband in extinguishment of his debt shall also be void</w:t>
      </w:r>
      <w:r>
        <w:rPr>
          <w:lang w:val="en-US"/>
        </w:rPr>
        <w:t>‘</w:t>
      </w:r>
      <w:r w:rsidRPr="00B405A1">
        <w:rPr>
          <w:lang w:val="en-US"/>
        </w:rPr>
        <w:t>“,</w:t>
      </w:r>
      <w:r>
        <w:rPr>
          <w:lang w:val="en-US"/>
        </w:rPr>
        <w:t xml:space="preserve"> </w:t>
      </w:r>
      <w:r w:rsidRPr="009E57E1">
        <w:rPr>
          <w:i/>
          <w:lang w:val="en-US"/>
        </w:rPr>
        <w:t>Brodnax v. Aetna Ins. Co.</w:t>
      </w:r>
      <w:r w:rsidRPr="00B405A1">
        <w:rPr>
          <w:lang w:val="en-US"/>
        </w:rPr>
        <w:t>, 128 U.S. 236, 240</w:t>
      </w:r>
      <w:r>
        <w:rPr>
          <w:lang w:val="en-US"/>
        </w:rPr>
        <w:t xml:space="preserve"> = 9 S. Ct. </w:t>
      </w:r>
      <w:r w:rsidRPr="00B405A1">
        <w:rPr>
          <w:lang w:val="en-US"/>
        </w:rPr>
        <w:t>61, 62</w:t>
      </w:r>
      <w:r w:rsidRPr="00EC5BEB">
        <w:rPr>
          <w:lang w:val="en-US"/>
        </w:rPr>
        <w:t xml:space="preserve"> = 32 L. Ed. </w:t>
      </w:r>
      <w:r w:rsidRPr="00B405A1">
        <w:rPr>
          <w:lang w:val="en-US"/>
        </w:rPr>
        <w:t>445, 447</w:t>
      </w:r>
      <w:r w:rsidRPr="00EC5BEB">
        <w:rPr>
          <w:lang w:val="en-US"/>
        </w:rPr>
        <w:t xml:space="preserve"> = 1888 U.S. LEXIS </w:t>
      </w:r>
      <w:r w:rsidRPr="00B405A1">
        <w:rPr>
          <w:lang w:val="en-US"/>
        </w:rPr>
        <w:t>2215, 5 (1888)</w:t>
      </w:r>
      <w:r>
        <w:rPr>
          <w:lang w:val="en-US"/>
        </w:rPr>
        <w:t>.</w:t>
      </w:r>
    </w:p>
  </w:footnote>
  <w:footnote w:id="990">
    <w:p w14:paraId="30F43AF0" w14:textId="77777777" w:rsidR="00074551" w:rsidRPr="00B405A1" w:rsidRDefault="00074551" w:rsidP="00074551">
      <w:pPr>
        <w:pStyle w:val="Funotentext"/>
        <w:rPr>
          <w:lang w:val="en-US"/>
        </w:rPr>
      </w:pPr>
      <w:r>
        <w:rPr>
          <w:rStyle w:val="Funotenzeichen"/>
        </w:rPr>
        <w:footnoteRef/>
      </w:r>
      <w:r w:rsidRPr="00B405A1">
        <w:rPr>
          <w:lang w:val="en-US"/>
        </w:rPr>
        <w:t xml:space="preserve"> </w:t>
      </w:r>
      <w:r w:rsidRPr="009E57E1">
        <w:rPr>
          <w:i/>
          <w:lang w:val="en-US"/>
        </w:rPr>
        <w:t>Brodnax v. Aetna Ins. Co.</w:t>
      </w:r>
      <w:r w:rsidRPr="00B405A1">
        <w:rPr>
          <w:lang w:val="en-US"/>
        </w:rPr>
        <w:t>, 128 U.S. 236, 240</w:t>
      </w:r>
      <w:r>
        <w:rPr>
          <w:lang w:val="en-US"/>
        </w:rPr>
        <w:t xml:space="preserve"> = 9 S. Ct. </w:t>
      </w:r>
      <w:r w:rsidRPr="00B405A1">
        <w:rPr>
          <w:lang w:val="en-US"/>
        </w:rPr>
        <w:t>61, 62</w:t>
      </w:r>
      <w:r w:rsidRPr="00EC5BEB">
        <w:rPr>
          <w:lang w:val="en-US"/>
        </w:rPr>
        <w:t xml:space="preserve"> = 32 L. Ed. </w:t>
      </w:r>
      <w:r w:rsidRPr="00B405A1">
        <w:rPr>
          <w:lang w:val="en-US"/>
        </w:rPr>
        <w:t>445, 447</w:t>
      </w:r>
      <w:r w:rsidRPr="00EC5BEB">
        <w:rPr>
          <w:lang w:val="en-US"/>
        </w:rPr>
        <w:t xml:space="preserve"> = 1888 U.S. LEXIS </w:t>
      </w:r>
      <w:r w:rsidRPr="00B405A1">
        <w:rPr>
          <w:lang w:val="en-US"/>
        </w:rPr>
        <w:t>2215, 5 (1888)</w:t>
      </w:r>
      <w:r>
        <w:rPr>
          <w:lang w:val="en-US"/>
        </w:rPr>
        <w:t>.</w:t>
      </w:r>
    </w:p>
  </w:footnote>
  <w:footnote w:id="991">
    <w:p w14:paraId="2485D192" w14:textId="77777777" w:rsidR="00074551" w:rsidRPr="000F07EE" w:rsidRDefault="00074551" w:rsidP="00074551">
      <w:pPr>
        <w:pStyle w:val="Funotentext"/>
        <w:rPr>
          <w:lang w:val="en-US"/>
        </w:rPr>
      </w:pPr>
      <w:r>
        <w:rPr>
          <w:rStyle w:val="Funotenzeichen"/>
        </w:rPr>
        <w:footnoteRef/>
      </w:r>
      <w:r w:rsidRPr="000F07EE">
        <w:rPr>
          <w:lang w:val="en-US"/>
        </w:rPr>
        <w:t xml:space="preserve"> </w:t>
      </w:r>
      <w:r w:rsidRPr="009E57E1">
        <w:rPr>
          <w:i/>
          <w:lang w:val="en-US"/>
        </w:rPr>
        <w:t>Brodnax v. Aetna Ins. Co.</w:t>
      </w:r>
      <w:r w:rsidRPr="000F07EE">
        <w:rPr>
          <w:lang w:val="en-US"/>
        </w:rPr>
        <w:t>, 128 U.S. 236, 240</w:t>
      </w:r>
      <w:r>
        <w:rPr>
          <w:lang w:val="en-US"/>
        </w:rPr>
        <w:t xml:space="preserve"> = 9 S. Ct. </w:t>
      </w:r>
      <w:r w:rsidRPr="000F07EE">
        <w:rPr>
          <w:lang w:val="en-US"/>
        </w:rPr>
        <w:t>61, 62</w:t>
      </w:r>
      <w:r w:rsidRPr="00EC5BEB">
        <w:rPr>
          <w:lang w:val="en-US"/>
        </w:rPr>
        <w:t xml:space="preserve"> = 32 L. Ed. </w:t>
      </w:r>
      <w:r w:rsidRPr="000F07EE">
        <w:rPr>
          <w:lang w:val="en-US"/>
        </w:rPr>
        <w:t>445, 447</w:t>
      </w:r>
      <w:r w:rsidRPr="00EC5BEB">
        <w:rPr>
          <w:lang w:val="en-US"/>
        </w:rPr>
        <w:t xml:space="preserve"> = 1888 U.S. LEXIS </w:t>
      </w:r>
      <w:r w:rsidRPr="000F07EE">
        <w:rPr>
          <w:lang w:val="en-US"/>
        </w:rPr>
        <w:t>2215, 5 (1888)</w:t>
      </w:r>
      <w:r>
        <w:rPr>
          <w:lang w:val="en-US"/>
        </w:rPr>
        <w:t>.</w:t>
      </w:r>
    </w:p>
  </w:footnote>
  <w:footnote w:id="992">
    <w:p w14:paraId="3CC59359" w14:textId="77777777" w:rsidR="00074551" w:rsidRPr="004F4B74" w:rsidRDefault="00074551" w:rsidP="00074551">
      <w:pPr>
        <w:pStyle w:val="Funotentext"/>
        <w:rPr>
          <w:lang w:val="en-US"/>
        </w:rPr>
      </w:pPr>
      <w:r>
        <w:rPr>
          <w:rStyle w:val="Funotenzeichen"/>
        </w:rPr>
        <w:footnoteRef/>
      </w:r>
      <w:r w:rsidRPr="004F4B74">
        <w:rPr>
          <w:lang w:val="en-US"/>
        </w:rPr>
        <w:t xml:space="preserve"> </w:t>
      </w:r>
      <w:r w:rsidRPr="009E57E1">
        <w:rPr>
          <w:i/>
          <w:lang w:val="en-US"/>
        </w:rPr>
        <w:t>Brodnax v. Aetna Ins. Co.</w:t>
      </w:r>
      <w:r w:rsidRPr="004F4B74">
        <w:rPr>
          <w:lang w:val="en-US"/>
        </w:rPr>
        <w:t>, 128 U.S. 236, 242</w:t>
      </w:r>
      <w:r>
        <w:rPr>
          <w:lang w:val="en-US"/>
        </w:rPr>
        <w:t xml:space="preserve"> = 9 S. Ct. </w:t>
      </w:r>
      <w:r w:rsidRPr="004F4B74">
        <w:rPr>
          <w:lang w:val="en-US"/>
        </w:rPr>
        <w:t>61, 62</w:t>
      </w:r>
      <w:r w:rsidRPr="00EC5BEB">
        <w:rPr>
          <w:lang w:val="en-US"/>
        </w:rPr>
        <w:t xml:space="preserve"> = 32 L. Ed. </w:t>
      </w:r>
      <w:r w:rsidRPr="004F4B74">
        <w:rPr>
          <w:lang w:val="en-US"/>
        </w:rPr>
        <w:t>445, 447</w:t>
      </w:r>
      <w:r w:rsidRPr="00EC5BEB">
        <w:rPr>
          <w:lang w:val="en-US"/>
        </w:rPr>
        <w:t xml:space="preserve"> = 1888 U.S. LEXIS </w:t>
      </w:r>
      <w:r w:rsidRPr="004F4B74">
        <w:rPr>
          <w:lang w:val="en-US"/>
        </w:rPr>
        <w:t>2215, 12 (1888)</w:t>
      </w:r>
      <w:r>
        <w:rPr>
          <w:lang w:val="en-US"/>
        </w:rPr>
        <w:t>.</w:t>
      </w:r>
    </w:p>
  </w:footnote>
  <w:footnote w:id="993">
    <w:p w14:paraId="02B297D9" w14:textId="77777777" w:rsidR="00074551" w:rsidRPr="00646584" w:rsidRDefault="00074551" w:rsidP="00074551">
      <w:pPr>
        <w:pStyle w:val="Funotentext"/>
        <w:rPr>
          <w:lang w:val="en-US"/>
        </w:rPr>
      </w:pPr>
      <w:r>
        <w:rPr>
          <w:rStyle w:val="Funotenzeichen"/>
        </w:rPr>
        <w:footnoteRef/>
      </w:r>
      <w:r w:rsidRPr="00646584">
        <w:rPr>
          <w:lang w:val="en-US"/>
        </w:rPr>
        <w:t xml:space="preserve"> </w:t>
      </w:r>
      <w:r w:rsidRPr="00B45592">
        <w:rPr>
          <w:i/>
          <w:lang w:val="en-US"/>
        </w:rPr>
        <w:t>Sutton v. Aiken, Trustee</w:t>
      </w:r>
      <w:r w:rsidRPr="00646584">
        <w:rPr>
          <w:lang w:val="en-US"/>
        </w:rPr>
        <w:t>, 62 Georgia, 733, 741</w:t>
      </w:r>
      <w:r>
        <w:rPr>
          <w:lang w:val="en-US"/>
        </w:rPr>
        <w:t xml:space="preserve">; </w:t>
      </w:r>
      <w:r w:rsidRPr="009E57E1">
        <w:rPr>
          <w:i/>
          <w:lang w:val="en-US"/>
        </w:rPr>
        <w:t>Brodnax v. Aetna Ins. Co.</w:t>
      </w:r>
      <w:r w:rsidRPr="00646584">
        <w:rPr>
          <w:lang w:val="en-US"/>
        </w:rPr>
        <w:t>, 128 U.S. 236, 242</w:t>
      </w:r>
      <w:r>
        <w:rPr>
          <w:lang w:val="en-US"/>
        </w:rPr>
        <w:t xml:space="preserve"> = 9 S. Ct. </w:t>
      </w:r>
      <w:r w:rsidRPr="00646584">
        <w:rPr>
          <w:lang w:val="en-US"/>
        </w:rPr>
        <w:t>61, 62</w:t>
      </w:r>
      <w:r w:rsidRPr="00EC5BEB">
        <w:rPr>
          <w:lang w:val="en-US"/>
        </w:rPr>
        <w:t xml:space="preserve"> = 32 L. Ed. </w:t>
      </w:r>
      <w:r w:rsidRPr="00646584">
        <w:rPr>
          <w:lang w:val="en-US"/>
        </w:rPr>
        <w:t>445, 447</w:t>
      </w:r>
      <w:r w:rsidRPr="00EC5BEB">
        <w:rPr>
          <w:lang w:val="en-US"/>
        </w:rPr>
        <w:t xml:space="preserve"> = 1888 U.S. LEXIS </w:t>
      </w:r>
      <w:r w:rsidRPr="00646584">
        <w:rPr>
          <w:lang w:val="en-US"/>
        </w:rPr>
        <w:t>2215, 12 (1888)</w:t>
      </w:r>
      <w:r>
        <w:rPr>
          <w:lang w:val="en-US"/>
        </w:rPr>
        <w:t>.</w:t>
      </w:r>
    </w:p>
  </w:footnote>
  <w:footnote w:id="994">
    <w:p w14:paraId="1878237F" w14:textId="77777777" w:rsidR="00074551" w:rsidRPr="009747B9" w:rsidRDefault="00074551" w:rsidP="00074551">
      <w:pPr>
        <w:pStyle w:val="Funotentext"/>
      </w:pPr>
      <w:r>
        <w:rPr>
          <w:rStyle w:val="Funotenzeichen"/>
        </w:rPr>
        <w:footnoteRef/>
      </w:r>
      <w:r w:rsidRPr="00B45592">
        <w:t xml:space="preserve"> </w:t>
      </w:r>
      <w:r>
        <w:t>§ </w:t>
      </w:r>
      <w:r w:rsidRPr="00B45592">
        <w:t xml:space="preserve">1773 der Ausgabe von 1867, </w:t>
      </w:r>
      <w:r>
        <w:t>§ </w:t>
      </w:r>
      <w:r w:rsidRPr="00B45592">
        <w:t xml:space="preserve">1783 der Ausgabe von 1882; </w:t>
      </w:r>
      <w:r w:rsidRPr="009747B9">
        <w:rPr>
          <w:i/>
        </w:rPr>
        <w:t>Brodnax v. Aetna Ins. Co.</w:t>
      </w:r>
      <w:r w:rsidRPr="009747B9">
        <w:t>, 128 U.S. 236, 241 = 9 S. Ct. 61, 62 = 32 L. Ed. 445, 447 = 1888 U.S. LEXIS 2215, 11 (1888).</w:t>
      </w:r>
    </w:p>
  </w:footnote>
  <w:footnote w:id="995">
    <w:p w14:paraId="53F67370" w14:textId="77777777" w:rsidR="00074551" w:rsidRPr="004F4B74" w:rsidRDefault="00074551" w:rsidP="00074551">
      <w:pPr>
        <w:pStyle w:val="Funotentext"/>
        <w:rPr>
          <w:lang w:val="en-US"/>
        </w:rPr>
      </w:pPr>
      <w:r>
        <w:rPr>
          <w:rStyle w:val="Funotenzeichen"/>
        </w:rPr>
        <w:footnoteRef/>
      </w:r>
      <w:r w:rsidRPr="004F4B74">
        <w:rPr>
          <w:lang w:val="en-US"/>
        </w:rPr>
        <w:t xml:space="preserve"> </w:t>
      </w:r>
      <w:r w:rsidRPr="00B45592">
        <w:rPr>
          <w:i/>
          <w:lang w:val="en-US"/>
        </w:rPr>
        <w:t>Sutton v. Aiken, Trustee</w:t>
      </w:r>
      <w:r w:rsidRPr="004F4B74">
        <w:rPr>
          <w:lang w:val="en-US"/>
        </w:rPr>
        <w:t>, 62 Georgia, 733, 741</w:t>
      </w:r>
      <w:r>
        <w:rPr>
          <w:lang w:val="en-US"/>
        </w:rPr>
        <w:t xml:space="preserve">; </w:t>
      </w:r>
      <w:r w:rsidRPr="009E57E1">
        <w:rPr>
          <w:i/>
          <w:lang w:val="en-US"/>
        </w:rPr>
        <w:t>Brodnax v. Aetna Ins. Co.</w:t>
      </w:r>
      <w:r w:rsidRPr="004F4B74">
        <w:rPr>
          <w:lang w:val="en-US"/>
        </w:rPr>
        <w:t>, 128 U.S. 236, 242</w:t>
      </w:r>
      <w:r>
        <w:rPr>
          <w:lang w:val="en-US"/>
        </w:rPr>
        <w:t xml:space="preserve"> = 9 S. Ct. </w:t>
      </w:r>
      <w:r w:rsidRPr="004F4B74">
        <w:rPr>
          <w:lang w:val="en-US"/>
        </w:rPr>
        <w:t>61, 62</w:t>
      </w:r>
      <w:r w:rsidRPr="00EC5BEB">
        <w:rPr>
          <w:lang w:val="en-US"/>
        </w:rPr>
        <w:t xml:space="preserve"> = 32 L. Ed. </w:t>
      </w:r>
      <w:r w:rsidRPr="004F4B74">
        <w:rPr>
          <w:lang w:val="en-US"/>
        </w:rPr>
        <w:t>445, 447</w:t>
      </w:r>
      <w:r w:rsidRPr="00EC5BEB">
        <w:rPr>
          <w:lang w:val="en-US"/>
        </w:rPr>
        <w:t xml:space="preserve"> = 1888 U.S. LEXIS </w:t>
      </w:r>
      <w:r w:rsidRPr="004F4B74">
        <w:rPr>
          <w:lang w:val="en-US"/>
        </w:rPr>
        <w:t>2215, 12 (1888)</w:t>
      </w:r>
      <w:r>
        <w:rPr>
          <w:lang w:val="en-US"/>
        </w:rPr>
        <w:t>.</w:t>
      </w:r>
    </w:p>
  </w:footnote>
  <w:footnote w:id="996">
    <w:p w14:paraId="30B7784A" w14:textId="77777777" w:rsidR="00074551" w:rsidRPr="003548F8" w:rsidRDefault="00074551" w:rsidP="00074551">
      <w:pPr>
        <w:pStyle w:val="Funotentext"/>
        <w:rPr>
          <w:lang w:val="en-US"/>
        </w:rPr>
      </w:pPr>
      <w:r>
        <w:rPr>
          <w:rStyle w:val="Funotenzeichen"/>
        </w:rPr>
        <w:footnoteRef/>
      </w:r>
      <w:r w:rsidRPr="003548F8">
        <w:rPr>
          <w:lang w:val="en-US"/>
        </w:rPr>
        <w:t xml:space="preserve"> </w:t>
      </w:r>
      <w:r w:rsidRPr="009E57E1">
        <w:rPr>
          <w:i/>
          <w:lang w:val="en-US"/>
        </w:rPr>
        <w:t>Prewit v. Wilson</w:t>
      </w:r>
      <w:r w:rsidRPr="003548F8">
        <w:rPr>
          <w:lang w:val="en-US"/>
        </w:rPr>
        <w:t>, 103 U.S. 22, 22</w:t>
      </w:r>
      <w:r w:rsidRPr="00EC5BEB">
        <w:rPr>
          <w:lang w:val="en-US"/>
        </w:rPr>
        <w:t xml:space="preserve"> = 26 L. Ed. </w:t>
      </w:r>
      <w:r w:rsidRPr="003548F8">
        <w:rPr>
          <w:lang w:val="en-US"/>
        </w:rPr>
        <w:t>360, 363</w:t>
      </w:r>
      <w:r>
        <w:rPr>
          <w:lang w:val="en-US"/>
        </w:rPr>
        <w:t xml:space="preserve"> = 1880 U.S. LEXIS </w:t>
      </w:r>
      <w:r w:rsidRPr="003548F8">
        <w:rPr>
          <w:lang w:val="en-US"/>
        </w:rPr>
        <w:t>2085, 1</w:t>
      </w:r>
      <w:r>
        <w:rPr>
          <w:lang w:val="en-US"/>
        </w:rPr>
        <w:t xml:space="preserve"> = 13 Otto </w:t>
      </w:r>
      <w:r w:rsidRPr="003548F8">
        <w:rPr>
          <w:lang w:val="en-US"/>
        </w:rPr>
        <w:t>22 (1881)</w:t>
      </w:r>
      <w:r>
        <w:rPr>
          <w:lang w:val="en-US"/>
        </w:rPr>
        <w:t>.</w:t>
      </w:r>
    </w:p>
  </w:footnote>
  <w:footnote w:id="997">
    <w:p w14:paraId="098E783E" w14:textId="77777777" w:rsidR="00074551" w:rsidRPr="00AE196F" w:rsidRDefault="00074551" w:rsidP="00074551">
      <w:pPr>
        <w:pStyle w:val="Funotentext"/>
        <w:rPr>
          <w:lang w:val="en-US"/>
        </w:rPr>
      </w:pPr>
      <w:r>
        <w:rPr>
          <w:rStyle w:val="Funotenzeichen"/>
        </w:rPr>
        <w:footnoteRef/>
      </w:r>
      <w:r w:rsidRPr="00AE196F">
        <w:rPr>
          <w:lang w:val="en-US"/>
        </w:rPr>
        <w:t xml:space="preserve"> </w:t>
      </w:r>
      <w:r w:rsidRPr="00B45592">
        <w:rPr>
          <w:i/>
          <w:lang w:val="en-US"/>
        </w:rPr>
        <w:t>Barrow v. Barrow</w:t>
      </w:r>
      <w:r w:rsidRPr="00AE196F">
        <w:rPr>
          <w:lang w:val="en-US"/>
        </w:rPr>
        <w:t xml:space="preserve">, 2 Dick. 504; </w:t>
      </w:r>
      <w:r w:rsidRPr="00B45592">
        <w:rPr>
          <w:i/>
          <w:lang w:val="en-US"/>
        </w:rPr>
        <w:t>Nairn v. Prowse</w:t>
      </w:r>
      <w:r w:rsidRPr="00AE196F">
        <w:rPr>
          <w:lang w:val="en-US"/>
        </w:rPr>
        <w:t xml:space="preserve">, 6 Ves. Jr. 752; </w:t>
      </w:r>
      <w:r w:rsidRPr="00B45592">
        <w:rPr>
          <w:i/>
          <w:lang w:val="en-US"/>
        </w:rPr>
        <w:t>Campion v. Cotton</w:t>
      </w:r>
      <w:r w:rsidRPr="00AE196F">
        <w:rPr>
          <w:lang w:val="en-US"/>
        </w:rPr>
        <w:t xml:space="preserve">, 17 </w:t>
      </w:r>
      <w:proofErr w:type="gramStart"/>
      <w:r w:rsidRPr="009E57E1">
        <w:rPr>
          <w:lang w:val="en-US"/>
        </w:rPr>
        <w:t>id</w:t>
      </w:r>
      <w:proofErr w:type="gramEnd"/>
      <w:r w:rsidRPr="009E57E1">
        <w:rPr>
          <w:lang w:val="en-US"/>
        </w:rPr>
        <w:t>.</w:t>
      </w:r>
      <w:r w:rsidRPr="00AE196F">
        <w:rPr>
          <w:lang w:val="en-US"/>
        </w:rPr>
        <w:t xml:space="preserve"> 264; </w:t>
      </w:r>
      <w:r w:rsidRPr="00B45592">
        <w:rPr>
          <w:i/>
          <w:lang w:val="en-US"/>
        </w:rPr>
        <w:t>Sterry v. Arden</w:t>
      </w:r>
      <w:r w:rsidRPr="00AE196F">
        <w:rPr>
          <w:lang w:val="en-US"/>
        </w:rPr>
        <w:t xml:space="preserve">, 1 Johns. (N.Y) Ch. 261; </w:t>
      </w:r>
      <w:r w:rsidRPr="00B45592">
        <w:rPr>
          <w:i/>
          <w:lang w:val="en-US"/>
        </w:rPr>
        <w:t>Herring v. Wickham</w:t>
      </w:r>
      <w:r w:rsidRPr="00AE196F">
        <w:rPr>
          <w:lang w:val="en-US"/>
        </w:rPr>
        <w:t>, 29 Gratt. (Va.) 628</w:t>
      </w:r>
      <w:r>
        <w:rPr>
          <w:lang w:val="en-US"/>
        </w:rPr>
        <w:t>;</w:t>
      </w:r>
    </w:p>
    <w:p w14:paraId="39A78F55" w14:textId="77777777" w:rsidR="00074551" w:rsidRPr="00AE196F" w:rsidRDefault="00074551" w:rsidP="00074551">
      <w:pPr>
        <w:pStyle w:val="Funotentext"/>
        <w:rPr>
          <w:lang w:val="en-US"/>
        </w:rPr>
      </w:pPr>
      <w:r w:rsidRPr="009E57E1">
        <w:rPr>
          <w:i/>
          <w:lang w:val="en-US"/>
        </w:rPr>
        <w:t>Prewit v. Wilson</w:t>
      </w:r>
      <w:r w:rsidRPr="00AE196F">
        <w:rPr>
          <w:lang w:val="en-US"/>
        </w:rPr>
        <w:t>, 103 U.S. 22, 24</w:t>
      </w:r>
      <w:r w:rsidRPr="00EC5BEB">
        <w:rPr>
          <w:lang w:val="en-US"/>
        </w:rPr>
        <w:t xml:space="preserve"> = 26 L. Ed. </w:t>
      </w:r>
      <w:r w:rsidRPr="00AE196F">
        <w:rPr>
          <w:lang w:val="en-US"/>
        </w:rPr>
        <w:t>360, 363</w:t>
      </w:r>
      <w:r>
        <w:rPr>
          <w:lang w:val="en-US"/>
        </w:rPr>
        <w:t xml:space="preserve"> = 1880 U.S. LEXIS </w:t>
      </w:r>
      <w:r w:rsidRPr="00AE196F">
        <w:rPr>
          <w:lang w:val="en-US"/>
        </w:rPr>
        <w:t>2085, 5</w:t>
      </w:r>
      <w:r>
        <w:rPr>
          <w:lang w:val="en-US"/>
        </w:rPr>
        <w:t>–</w:t>
      </w:r>
      <w:r w:rsidRPr="00AE196F">
        <w:rPr>
          <w:lang w:val="en-US"/>
        </w:rPr>
        <w:t>6</w:t>
      </w:r>
      <w:r>
        <w:rPr>
          <w:lang w:val="en-US"/>
        </w:rPr>
        <w:t xml:space="preserve"> = 13 Otto </w:t>
      </w:r>
      <w:r w:rsidRPr="00AE196F">
        <w:rPr>
          <w:lang w:val="en-US"/>
        </w:rPr>
        <w:t>22 (1881).</w:t>
      </w:r>
    </w:p>
  </w:footnote>
  <w:footnote w:id="998">
    <w:p w14:paraId="6C327B2E" w14:textId="52448059" w:rsidR="00074551" w:rsidRPr="003548F8" w:rsidRDefault="00074551" w:rsidP="00074551">
      <w:pPr>
        <w:pStyle w:val="Funotentext"/>
        <w:rPr>
          <w:lang w:val="en-US"/>
        </w:rPr>
      </w:pPr>
      <w:r>
        <w:rPr>
          <w:rStyle w:val="Funotenzeichen"/>
        </w:rPr>
        <w:footnoteRef/>
      </w:r>
      <w:r w:rsidR="5B67C1D2" w:rsidRPr="003548F8">
        <w:rPr>
          <w:lang w:val="en-US"/>
        </w:rPr>
        <w:t xml:space="preserve"> </w:t>
      </w:r>
      <w:r w:rsidR="5B67C1D2" w:rsidRPr="5B67C1D2">
        <w:rPr>
          <w:i/>
          <w:iCs/>
          <w:lang w:val="en-US"/>
        </w:rPr>
        <w:t>Ford v. Ford</w:t>
      </w:r>
      <w:r w:rsidR="5B67C1D2" w:rsidRPr="5B67C1D2">
        <w:rPr>
          <w:lang w:val="en-US"/>
        </w:rPr>
        <w:t>, 371 U.S. 187, 193-194 = 83 S. Ct. 273, 277 = 9 L. Ed. 2d 240, 244 = 1962 U.S. LEXIS 39, 10–12 (1962).</w:t>
      </w:r>
    </w:p>
  </w:footnote>
  <w:footnote w:id="999">
    <w:p w14:paraId="67AC829A" w14:textId="77777777" w:rsidR="00074551" w:rsidRPr="00333809" w:rsidRDefault="00074551" w:rsidP="00074551">
      <w:pPr>
        <w:pStyle w:val="Funotentext"/>
        <w:rPr>
          <w:lang w:val="en-US"/>
        </w:rPr>
      </w:pPr>
      <w:r>
        <w:rPr>
          <w:rStyle w:val="Funotenzeichen"/>
        </w:rPr>
        <w:footnoteRef/>
      </w:r>
      <w:r w:rsidRPr="00333809">
        <w:rPr>
          <w:lang w:val="en-US"/>
        </w:rPr>
        <w:t xml:space="preserve"> </w:t>
      </w:r>
      <w:r w:rsidRPr="00B45592">
        <w:rPr>
          <w:i/>
          <w:lang w:val="en-US"/>
        </w:rPr>
        <w:t>Ford v. Ford</w:t>
      </w:r>
      <w:r w:rsidRPr="00333809">
        <w:rPr>
          <w:lang w:val="en-US"/>
        </w:rPr>
        <w:t>, 371 U.S. 187, 193</w:t>
      </w:r>
      <w:r>
        <w:rPr>
          <w:lang w:val="en-US"/>
        </w:rPr>
        <w:t xml:space="preserve"> = 83 S. Ct</w:t>
      </w:r>
      <w:r w:rsidRPr="00333809">
        <w:rPr>
          <w:lang w:val="en-US"/>
        </w:rPr>
        <w:t>. 273, 277</w:t>
      </w:r>
      <w:r>
        <w:rPr>
          <w:lang w:val="en-US"/>
        </w:rPr>
        <w:t xml:space="preserve"> = 9 L. Ed. </w:t>
      </w:r>
      <w:r w:rsidRPr="00333809">
        <w:rPr>
          <w:lang w:val="en-US"/>
        </w:rPr>
        <w:t>2d 240, 244</w:t>
      </w:r>
      <w:r>
        <w:rPr>
          <w:lang w:val="en-US"/>
        </w:rPr>
        <w:t xml:space="preserve"> = 1962 U.S. LEXIS </w:t>
      </w:r>
      <w:r w:rsidRPr="00333809">
        <w:rPr>
          <w:lang w:val="en-US"/>
        </w:rPr>
        <w:t>39, 10</w:t>
      </w:r>
      <w:r>
        <w:rPr>
          <w:lang w:val="en-US"/>
        </w:rPr>
        <w:t>–</w:t>
      </w:r>
      <w:r w:rsidRPr="00333809">
        <w:rPr>
          <w:lang w:val="en-US"/>
        </w:rPr>
        <w:t>12 (1962)</w:t>
      </w:r>
      <w:r>
        <w:rPr>
          <w:lang w:val="en-US"/>
        </w:rPr>
        <w:t>.</w:t>
      </w:r>
    </w:p>
  </w:footnote>
  <w:footnote w:id="1000">
    <w:p w14:paraId="601B478D" w14:textId="77777777" w:rsidR="00074551" w:rsidRPr="00333809" w:rsidRDefault="00074551" w:rsidP="00074551">
      <w:pPr>
        <w:pStyle w:val="Funotentext"/>
        <w:rPr>
          <w:lang w:val="en-US"/>
        </w:rPr>
      </w:pPr>
      <w:r>
        <w:rPr>
          <w:rStyle w:val="Funotenzeichen"/>
        </w:rPr>
        <w:footnoteRef/>
      </w:r>
      <w:r w:rsidRPr="009747B9">
        <w:rPr>
          <w:lang w:val="en-IE"/>
        </w:rPr>
        <w:t xml:space="preserve"> </w:t>
      </w:r>
      <w:r w:rsidRPr="009747B9">
        <w:rPr>
          <w:i/>
          <w:lang w:val="en-IE"/>
        </w:rPr>
        <w:t>Buchanan v. Buchanan</w:t>
      </w:r>
      <w:r w:rsidRPr="009747B9">
        <w:rPr>
          <w:lang w:val="en-IE"/>
        </w:rPr>
        <w:t xml:space="preserve">, 170 Va. 458, 477, 197 S. E. 426, 434 (1938); </w:t>
      </w:r>
      <w:r w:rsidRPr="00B45592">
        <w:rPr>
          <w:i/>
          <w:lang w:val="en-US"/>
        </w:rPr>
        <w:t>Ford v. Ford</w:t>
      </w:r>
      <w:r w:rsidRPr="00333809">
        <w:rPr>
          <w:lang w:val="en-US"/>
        </w:rPr>
        <w:t>, 371 U.S. 187, 193</w:t>
      </w:r>
      <w:r>
        <w:rPr>
          <w:lang w:val="en-US"/>
        </w:rPr>
        <w:t xml:space="preserve"> = 83 S. Ct</w:t>
      </w:r>
      <w:r w:rsidRPr="00333809">
        <w:rPr>
          <w:lang w:val="en-US"/>
        </w:rPr>
        <w:t>. 273, 277</w:t>
      </w:r>
      <w:r>
        <w:rPr>
          <w:lang w:val="en-US"/>
        </w:rPr>
        <w:t xml:space="preserve"> = 9 L. Ed. </w:t>
      </w:r>
      <w:r w:rsidRPr="00333809">
        <w:rPr>
          <w:lang w:val="en-US"/>
        </w:rPr>
        <w:t>2d 240, 245</w:t>
      </w:r>
      <w:r>
        <w:rPr>
          <w:lang w:val="en-US"/>
        </w:rPr>
        <w:t xml:space="preserve"> = 1962 U.S. LEXIS </w:t>
      </w:r>
      <w:r w:rsidRPr="00333809">
        <w:rPr>
          <w:lang w:val="en-US"/>
        </w:rPr>
        <w:t>39, 12 (1962).</w:t>
      </w:r>
    </w:p>
  </w:footnote>
  <w:footnote w:id="1001">
    <w:p w14:paraId="1194E4DC" w14:textId="77777777" w:rsidR="00074551" w:rsidRPr="00067AC4" w:rsidRDefault="00074551" w:rsidP="00074551">
      <w:pPr>
        <w:pStyle w:val="Funotentext"/>
        <w:rPr>
          <w:lang w:val="en-US"/>
        </w:rPr>
      </w:pPr>
      <w:r>
        <w:rPr>
          <w:rStyle w:val="Funotenzeichen"/>
        </w:rPr>
        <w:footnoteRef/>
      </w:r>
      <w:r w:rsidRPr="00067AC4">
        <w:rPr>
          <w:lang w:val="en-US"/>
        </w:rPr>
        <w:t xml:space="preserve"> </w:t>
      </w:r>
      <w:proofErr w:type="spellStart"/>
      <w:r w:rsidRPr="00067AC4">
        <w:rPr>
          <w:lang w:val="en-US"/>
        </w:rPr>
        <w:t>Vgl</w:t>
      </w:r>
      <w:proofErr w:type="spellEnd"/>
      <w:r w:rsidRPr="00067AC4">
        <w:rPr>
          <w:lang w:val="en-US"/>
        </w:rPr>
        <w:t xml:space="preserve">. </w:t>
      </w:r>
      <w:proofErr w:type="spellStart"/>
      <w:r w:rsidRPr="00067AC4">
        <w:rPr>
          <w:lang w:val="en-US"/>
        </w:rPr>
        <w:t>zur</w:t>
      </w:r>
      <w:proofErr w:type="spellEnd"/>
      <w:r w:rsidRPr="00067AC4">
        <w:rPr>
          <w:lang w:val="en-US"/>
        </w:rPr>
        <w:t xml:space="preserve"> </w:t>
      </w:r>
      <w:proofErr w:type="spellStart"/>
      <w:r w:rsidRPr="00067AC4">
        <w:rPr>
          <w:lang w:val="en-US"/>
        </w:rPr>
        <w:t>Aufzählung</w:t>
      </w:r>
      <w:proofErr w:type="spellEnd"/>
      <w:r w:rsidRPr="00067AC4">
        <w:rPr>
          <w:lang w:val="en-US"/>
        </w:rPr>
        <w:t xml:space="preserve"> und </w:t>
      </w:r>
      <w:proofErr w:type="spellStart"/>
      <w:r w:rsidRPr="00067AC4">
        <w:rPr>
          <w:lang w:val="en-US"/>
        </w:rPr>
        <w:t>Zitation</w:t>
      </w:r>
      <w:proofErr w:type="spellEnd"/>
      <w:r w:rsidRPr="00067AC4">
        <w:rPr>
          <w:lang w:val="en-US"/>
        </w:rPr>
        <w:t xml:space="preserve"> der </w:t>
      </w:r>
      <w:proofErr w:type="spellStart"/>
      <w:r>
        <w:rPr>
          <w:lang w:val="en-US"/>
        </w:rPr>
        <w:t>Paragrafen</w:t>
      </w:r>
      <w:proofErr w:type="spellEnd"/>
      <w:r w:rsidRPr="00067AC4">
        <w:rPr>
          <w:lang w:val="en-US"/>
        </w:rPr>
        <w:t xml:space="preserve"> </w:t>
      </w:r>
      <w:r w:rsidRPr="009E57E1">
        <w:rPr>
          <w:i/>
          <w:lang w:val="en-US"/>
        </w:rPr>
        <w:t>Cummings v. Mo.</w:t>
      </w:r>
      <w:r w:rsidRPr="00067AC4">
        <w:rPr>
          <w:lang w:val="en-US"/>
        </w:rPr>
        <w:t>, 71 U.S. 277, 316</w:t>
      </w:r>
      <w:r w:rsidRPr="006E67FE">
        <w:rPr>
          <w:lang w:val="en-US"/>
        </w:rPr>
        <w:t xml:space="preserve"> = 18 L. Ed. </w:t>
      </w:r>
      <w:r w:rsidRPr="00067AC4">
        <w:rPr>
          <w:lang w:val="en-US"/>
        </w:rPr>
        <w:t>356, 360</w:t>
      </w:r>
      <w:r w:rsidRPr="006E67FE">
        <w:rPr>
          <w:lang w:val="en-US"/>
        </w:rPr>
        <w:t xml:space="preserve"> = 1866 U.S. LEXIS </w:t>
      </w:r>
      <w:r w:rsidRPr="00067AC4">
        <w:rPr>
          <w:lang w:val="en-US"/>
        </w:rPr>
        <w:t>885, 1</w:t>
      </w:r>
      <w:r w:rsidRPr="006E67FE">
        <w:rPr>
          <w:lang w:val="en-US"/>
        </w:rPr>
        <w:t xml:space="preserve"> = 4 Wall.</w:t>
      </w:r>
      <w:r w:rsidRPr="00067AC4">
        <w:rPr>
          <w:lang w:val="en-US"/>
        </w:rPr>
        <w:t xml:space="preserve"> 277 (1867), </w:t>
      </w:r>
      <w:proofErr w:type="spellStart"/>
      <w:r w:rsidRPr="00067AC4">
        <w:rPr>
          <w:lang w:val="en-US"/>
        </w:rPr>
        <w:t>dort</w:t>
      </w:r>
      <w:proofErr w:type="spellEnd"/>
      <w:r w:rsidRPr="00067AC4">
        <w:rPr>
          <w:lang w:val="en-US"/>
        </w:rPr>
        <w:t xml:space="preserve"> </w:t>
      </w:r>
      <w:proofErr w:type="spellStart"/>
      <w:r w:rsidRPr="00067AC4">
        <w:rPr>
          <w:lang w:val="en-US"/>
        </w:rPr>
        <w:t>heißt</w:t>
      </w:r>
      <w:proofErr w:type="spellEnd"/>
      <w:r w:rsidRPr="00067AC4">
        <w:rPr>
          <w:lang w:val="en-US"/>
        </w:rPr>
        <w:t xml:space="preserve"> es: </w:t>
      </w:r>
      <w:r>
        <w:rPr>
          <w:lang w:val="en-US"/>
        </w:rPr>
        <w:t>„</w:t>
      </w:r>
      <w:r w:rsidRPr="00067AC4">
        <w:rPr>
          <w:lang w:val="en-US"/>
        </w:rPr>
        <w:t>I</w:t>
      </w:r>
      <w:r>
        <w:rPr>
          <w:lang w:val="en-US"/>
        </w:rPr>
        <w:t>n</w:t>
      </w:r>
      <w:r w:rsidRPr="00067AC4">
        <w:rPr>
          <w:lang w:val="en-US"/>
        </w:rPr>
        <w:t xml:space="preserve"> </w:t>
      </w:r>
      <w:proofErr w:type="gramStart"/>
      <w:r w:rsidRPr="00067AC4">
        <w:rPr>
          <w:lang w:val="en-US"/>
        </w:rPr>
        <w:t>January,</w:t>
      </w:r>
      <w:proofErr w:type="gramEnd"/>
      <w:r w:rsidRPr="00067AC4">
        <w:rPr>
          <w:lang w:val="en-US"/>
        </w:rPr>
        <w:t xml:space="preserve"> 1865, a convention of representatives of the people of Missouri assembled at St. Louis, for the purpose of amending the constitution of the State. The representatives had been elected in </w:t>
      </w:r>
      <w:proofErr w:type="gramStart"/>
      <w:r w:rsidRPr="00067AC4">
        <w:rPr>
          <w:lang w:val="en-US"/>
        </w:rPr>
        <w:t>November,</w:t>
      </w:r>
      <w:proofErr w:type="gramEnd"/>
      <w:r w:rsidRPr="00067AC4">
        <w:rPr>
          <w:lang w:val="en-US"/>
        </w:rPr>
        <w:t xml:space="preserve"> 1864. In </w:t>
      </w:r>
      <w:proofErr w:type="gramStart"/>
      <w:r w:rsidRPr="00067AC4">
        <w:rPr>
          <w:lang w:val="en-US"/>
        </w:rPr>
        <w:t>April,</w:t>
      </w:r>
      <w:proofErr w:type="gramEnd"/>
      <w:r w:rsidRPr="00067AC4">
        <w:rPr>
          <w:lang w:val="en-US"/>
        </w:rPr>
        <w:t xml:space="preserve"> 1865, the present constitution </w:t>
      </w:r>
      <w:r>
        <w:rPr>
          <w:lang w:val="en-US"/>
        </w:rPr>
        <w:t>–</w:t>
      </w:r>
      <w:r w:rsidRPr="00067AC4">
        <w:rPr>
          <w:lang w:val="en-US"/>
        </w:rPr>
        <w:t xml:space="preserve"> amended and revised from the previous one </w:t>
      </w:r>
      <w:r>
        <w:rPr>
          <w:lang w:val="en-US"/>
        </w:rPr>
        <w:t>–</w:t>
      </w:r>
      <w:r w:rsidRPr="00067AC4">
        <w:rPr>
          <w:lang w:val="en-US"/>
        </w:rPr>
        <w:t xml:space="preserve"> was adopted by the convention; and in </w:t>
      </w:r>
      <w:proofErr w:type="gramStart"/>
      <w:r w:rsidRPr="00067AC4">
        <w:rPr>
          <w:lang w:val="en-US"/>
        </w:rPr>
        <w:t>June,</w:t>
      </w:r>
      <w:proofErr w:type="gramEnd"/>
      <w:r w:rsidRPr="00067AC4">
        <w:rPr>
          <w:lang w:val="en-US"/>
        </w:rPr>
        <w:t xml:space="preserve"> 1865, by a vote of the people. The following are the third, sixth, seventh, ninth, and fourteenth sections of the second article of the </w:t>
      </w:r>
      <w:proofErr w:type="gramStart"/>
      <w:r w:rsidRPr="00067AC4">
        <w:rPr>
          <w:lang w:val="en-US"/>
        </w:rPr>
        <w:t>constitution:“</w:t>
      </w:r>
      <w:proofErr w:type="gramEnd"/>
      <w:r w:rsidRPr="00067AC4">
        <w:rPr>
          <w:lang w:val="en-US"/>
        </w:rPr>
        <w:t xml:space="preserve"> – </w:t>
      </w:r>
      <w:proofErr w:type="spellStart"/>
      <w:r w:rsidRPr="00067AC4">
        <w:rPr>
          <w:lang w:val="en-US"/>
        </w:rPr>
        <w:t>dann</w:t>
      </w:r>
      <w:proofErr w:type="spellEnd"/>
      <w:r w:rsidRPr="00067AC4">
        <w:rPr>
          <w:lang w:val="en-US"/>
        </w:rPr>
        <w:t xml:space="preserve"> </w:t>
      </w:r>
      <w:proofErr w:type="spellStart"/>
      <w:r w:rsidRPr="00067AC4">
        <w:rPr>
          <w:lang w:val="en-US"/>
        </w:rPr>
        <w:t>folgt</w:t>
      </w:r>
      <w:proofErr w:type="spellEnd"/>
      <w:r w:rsidRPr="00067AC4">
        <w:rPr>
          <w:lang w:val="en-US"/>
        </w:rPr>
        <w:t xml:space="preserve"> die </w:t>
      </w:r>
      <w:proofErr w:type="spellStart"/>
      <w:r w:rsidRPr="00067AC4">
        <w:rPr>
          <w:lang w:val="en-US"/>
        </w:rPr>
        <w:t>Aufzählung</w:t>
      </w:r>
      <w:proofErr w:type="spellEnd"/>
      <w:r w:rsidRPr="00067AC4">
        <w:rPr>
          <w:lang w:val="en-US"/>
        </w:rPr>
        <w:t xml:space="preserve"> der Sections.</w:t>
      </w:r>
    </w:p>
  </w:footnote>
  <w:footnote w:id="1002">
    <w:p w14:paraId="181C9056" w14:textId="77777777" w:rsidR="00074551" w:rsidRPr="003107AF" w:rsidRDefault="00074551" w:rsidP="00074551">
      <w:pPr>
        <w:pStyle w:val="Funotentext"/>
        <w:rPr>
          <w:lang w:val="en-US"/>
        </w:rPr>
      </w:pPr>
      <w:r>
        <w:rPr>
          <w:rStyle w:val="Funotenzeichen"/>
          <w:rFonts w:eastAsiaTheme="majorEastAsia"/>
        </w:rPr>
        <w:footnoteRef/>
      </w:r>
      <w:r w:rsidRPr="003107AF">
        <w:rPr>
          <w:lang w:val="en-US"/>
        </w:rPr>
        <w:t xml:space="preserve"> </w:t>
      </w:r>
      <w:r w:rsidRPr="009747B9">
        <w:rPr>
          <w:lang w:val="en-US"/>
        </w:rPr>
        <w:t>https://www.law.cornell.edu/wex/bill_of_attainder</w:t>
      </w:r>
      <w:r w:rsidRPr="003107AF">
        <w:rPr>
          <w:lang w:val="en-US"/>
        </w:rPr>
        <w:t xml:space="preserve"> </w:t>
      </w:r>
      <w:r>
        <w:rPr>
          <w:lang w:val="en-US"/>
        </w:rPr>
        <w:t>(27.04.2026).</w:t>
      </w:r>
    </w:p>
  </w:footnote>
  <w:footnote w:id="1003">
    <w:p w14:paraId="1AD9E080" w14:textId="77777777" w:rsidR="00074551" w:rsidRPr="003107AF" w:rsidRDefault="00074551" w:rsidP="00074551">
      <w:pPr>
        <w:pStyle w:val="Funotentext"/>
        <w:rPr>
          <w:lang w:val="en-US"/>
        </w:rPr>
      </w:pPr>
      <w:r>
        <w:rPr>
          <w:rStyle w:val="Funotenzeichen"/>
          <w:rFonts w:eastAsiaTheme="majorEastAsia"/>
        </w:rPr>
        <w:footnoteRef/>
      </w:r>
      <w:r w:rsidRPr="003107AF">
        <w:rPr>
          <w:lang w:val="en-US"/>
        </w:rPr>
        <w:t xml:space="preserve"> </w:t>
      </w:r>
      <w:r w:rsidRPr="009E57E1">
        <w:rPr>
          <w:i/>
          <w:lang w:val="en-US"/>
        </w:rPr>
        <w:t>Cummings v. Mo.</w:t>
      </w:r>
      <w:r w:rsidRPr="003107AF">
        <w:rPr>
          <w:lang w:val="en-US"/>
        </w:rPr>
        <w:t>, 71 U.S. 277</w:t>
      </w:r>
      <w:r>
        <w:rPr>
          <w:lang w:val="en-US"/>
        </w:rPr>
        <w:t xml:space="preserve"> </w:t>
      </w:r>
      <w:r w:rsidRPr="003107AF">
        <w:rPr>
          <w:lang w:val="en-US"/>
        </w:rPr>
        <w:t>(1867).</w:t>
      </w:r>
    </w:p>
  </w:footnote>
  <w:footnote w:id="1004">
    <w:p w14:paraId="33865D40" w14:textId="77777777" w:rsidR="00074551" w:rsidRPr="00067AC4" w:rsidRDefault="00074551" w:rsidP="00074551">
      <w:pPr>
        <w:pStyle w:val="Funotentext"/>
        <w:rPr>
          <w:lang w:val="en-US"/>
        </w:rPr>
      </w:pPr>
      <w:r>
        <w:rPr>
          <w:rStyle w:val="Funotenzeichen"/>
        </w:rPr>
        <w:footnoteRef/>
      </w:r>
      <w:r w:rsidRPr="00067AC4">
        <w:rPr>
          <w:lang w:val="en-US"/>
        </w:rPr>
        <w:t xml:space="preserve"> </w:t>
      </w:r>
      <w:r w:rsidRPr="009E57E1">
        <w:rPr>
          <w:i/>
          <w:lang w:val="en-US"/>
        </w:rPr>
        <w:t>Cummings v. Mo.</w:t>
      </w:r>
      <w:r w:rsidRPr="00067AC4">
        <w:rPr>
          <w:lang w:val="en-US"/>
        </w:rPr>
        <w:t>, 71 U.S. 277, 316</w:t>
      </w:r>
      <w:r w:rsidRPr="006E67FE">
        <w:rPr>
          <w:lang w:val="en-US"/>
        </w:rPr>
        <w:t xml:space="preserve"> = 18 L. Ed. </w:t>
      </w:r>
      <w:r w:rsidRPr="00067AC4">
        <w:rPr>
          <w:lang w:val="en-US"/>
        </w:rPr>
        <w:t>356, 360</w:t>
      </w:r>
      <w:r w:rsidRPr="006E67FE">
        <w:rPr>
          <w:lang w:val="en-US"/>
        </w:rPr>
        <w:t xml:space="preserve"> = 1866 U.S. LEXIS </w:t>
      </w:r>
      <w:r w:rsidRPr="00067AC4">
        <w:rPr>
          <w:lang w:val="en-US"/>
        </w:rPr>
        <w:t>885, 7</w:t>
      </w:r>
      <w:r w:rsidRPr="006E67FE">
        <w:rPr>
          <w:lang w:val="en-US"/>
        </w:rPr>
        <w:t xml:space="preserve"> = 4 Wall.</w:t>
      </w:r>
      <w:r w:rsidRPr="00067AC4">
        <w:rPr>
          <w:lang w:val="en-US"/>
        </w:rPr>
        <w:t xml:space="preserve"> 277 (1867)</w:t>
      </w:r>
    </w:p>
  </w:footnote>
  <w:footnote w:id="1005">
    <w:p w14:paraId="44B4366B" w14:textId="77777777" w:rsidR="00074551" w:rsidRPr="003107AF" w:rsidRDefault="00074551" w:rsidP="00074551">
      <w:pPr>
        <w:pStyle w:val="Funotentext"/>
        <w:rPr>
          <w:lang w:val="en-US"/>
        </w:rPr>
      </w:pPr>
      <w:r>
        <w:rPr>
          <w:rStyle w:val="Funotenzeichen"/>
          <w:rFonts w:eastAsiaTheme="majorEastAsia"/>
        </w:rPr>
        <w:footnoteRef/>
      </w:r>
      <w:r w:rsidRPr="003107AF">
        <w:rPr>
          <w:lang w:val="en-US"/>
        </w:rPr>
        <w:t xml:space="preserve"> </w:t>
      </w:r>
      <w:r w:rsidRPr="009E57E1">
        <w:rPr>
          <w:i/>
          <w:lang w:val="en-US"/>
        </w:rPr>
        <w:t>Cummings v. Mo.</w:t>
      </w:r>
      <w:r w:rsidRPr="003107AF">
        <w:rPr>
          <w:lang w:val="en-US"/>
        </w:rPr>
        <w:t>, 71 U.S. 277, 316</w:t>
      </w:r>
      <w:r w:rsidRPr="006E67FE">
        <w:rPr>
          <w:lang w:val="en-US"/>
        </w:rPr>
        <w:t xml:space="preserve"> = 18 L. Ed. </w:t>
      </w:r>
      <w:r w:rsidRPr="003107AF">
        <w:rPr>
          <w:lang w:val="en-US"/>
        </w:rPr>
        <w:t>356, 360</w:t>
      </w:r>
      <w:r w:rsidRPr="006E67FE">
        <w:rPr>
          <w:lang w:val="en-US"/>
        </w:rPr>
        <w:t xml:space="preserve"> = 1866 U.S. LEXIS </w:t>
      </w:r>
      <w:r w:rsidRPr="003107AF">
        <w:rPr>
          <w:lang w:val="en-US"/>
        </w:rPr>
        <w:t>885, 1</w:t>
      </w:r>
      <w:r w:rsidRPr="006E67FE">
        <w:rPr>
          <w:lang w:val="en-US"/>
        </w:rPr>
        <w:t xml:space="preserve"> = 4 Wall.</w:t>
      </w:r>
      <w:r w:rsidRPr="003107AF">
        <w:rPr>
          <w:lang w:val="en-US"/>
        </w:rPr>
        <w:t xml:space="preserve"> 277 (1867).</w:t>
      </w:r>
    </w:p>
  </w:footnote>
  <w:footnote w:id="1006">
    <w:p w14:paraId="50987C5D" w14:textId="77777777" w:rsidR="00074551" w:rsidRPr="00A37493" w:rsidRDefault="00074551" w:rsidP="00074551">
      <w:pPr>
        <w:pStyle w:val="Funotentext"/>
        <w:rPr>
          <w:lang w:val="en-US"/>
        </w:rPr>
      </w:pPr>
      <w:r>
        <w:rPr>
          <w:rStyle w:val="Funotenzeichen"/>
          <w:rFonts w:eastAsiaTheme="majorEastAsia"/>
        </w:rPr>
        <w:footnoteRef/>
      </w:r>
      <w:r w:rsidRPr="00A37493">
        <w:rPr>
          <w:lang w:val="en-US"/>
        </w:rPr>
        <w:t xml:space="preserve"> </w:t>
      </w:r>
      <w:r w:rsidRPr="009E57E1">
        <w:rPr>
          <w:i/>
          <w:lang w:val="en-US"/>
        </w:rPr>
        <w:t>Cummings v. Mo.</w:t>
      </w:r>
      <w:r w:rsidRPr="00A37493">
        <w:rPr>
          <w:lang w:val="en-US"/>
        </w:rPr>
        <w:t>, 71 U.S. 277, 316</w:t>
      </w:r>
      <w:r w:rsidRPr="006E67FE">
        <w:rPr>
          <w:lang w:val="en-US"/>
        </w:rPr>
        <w:t xml:space="preserve"> = 18 L. Ed. </w:t>
      </w:r>
      <w:r w:rsidRPr="00A37493">
        <w:rPr>
          <w:lang w:val="en-US"/>
        </w:rPr>
        <w:t>356, 360</w:t>
      </w:r>
      <w:r w:rsidRPr="006E67FE">
        <w:rPr>
          <w:lang w:val="en-US"/>
        </w:rPr>
        <w:t xml:space="preserve"> = 1866 U.S. LEXIS </w:t>
      </w:r>
      <w:r w:rsidRPr="00A37493">
        <w:rPr>
          <w:lang w:val="en-US"/>
        </w:rPr>
        <w:t>885, 7</w:t>
      </w:r>
      <w:r w:rsidRPr="006E67FE">
        <w:rPr>
          <w:lang w:val="en-US"/>
        </w:rPr>
        <w:t xml:space="preserve"> = 4 Wall.</w:t>
      </w:r>
      <w:r w:rsidRPr="00A37493">
        <w:rPr>
          <w:lang w:val="en-US"/>
        </w:rPr>
        <w:t xml:space="preserve"> 277 (1867)</w:t>
      </w:r>
      <w:r>
        <w:rPr>
          <w:lang w:val="en-US"/>
        </w:rPr>
        <w:t>.</w:t>
      </w:r>
    </w:p>
  </w:footnote>
  <w:footnote w:id="1007">
    <w:p w14:paraId="04E7DF4B" w14:textId="77777777" w:rsidR="00074551" w:rsidRPr="00192238" w:rsidRDefault="00074551" w:rsidP="00074551">
      <w:pPr>
        <w:pStyle w:val="Funotentext"/>
        <w:rPr>
          <w:lang w:val="en-US"/>
        </w:rPr>
      </w:pPr>
      <w:r>
        <w:rPr>
          <w:rStyle w:val="Funotenzeichen"/>
          <w:rFonts w:eastAsiaTheme="majorEastAsia"/>
        </w:rPr>
        <w:footnoteRef/>
      </w:r>
      <w:r w:rsidRPr="00192238">
        <w:rPr>
          <w:lang w:val="en-US"/>
        </w:rPr>
        <w:t xml:space="preserve"> </w:t>
      </w:r>
      <w:r w:rsidRPr="009E57E1">
        <w:rPr>
          <w:i/>
          <w:lang w:val="en-IE"/>
        </w:rPr>
        <w:t>Cummings v. Mo.</w:t>
      </w:r>
      <w:r w:rsidRPr="00B45592">
        <w:rPr>
          <w:lang w:val="en-IE"/>
        </w:rPr>
        <w:t>, 71 U.S. 277, 321</w:t>
      </w:r>
      <w:r w:rsidRPr="006E67FE">
        <w:rPr>
          <w:lang w:val="en-IE"/>
        </w:rPr>
        <w:t xml:space="preserve"> = 18 L. Ed. </w:t>
      </w:r>
      <w:r w:rsidRPr="00B45592">
        <w:rPr>
          <w:lang w:val="en-IE"/>
        </w:rPr>
        <w:t>356, 362</w:t>
      </w:r>
      <w:r w:rsidRPr="006E67FE">
        <w:rPr>
          <w:lang w:val="en-IE"/>
        </w:rPr>
        <w:t xml:space="preserve"> = 1866 U.S. LEXIS </w:t>
      </w:r>
      <w:r w:rsidRPr="00B45592">
        <w:rPr>
          <w:lang w:val="en-IE"/>
        </w:rPr>
        <w:t>885, 80</w:t>
      </w:r>
      <w:r w:rsidRPr="006E67FE">
        <w:rPr>
          <w:lang w:val="en-IE"/>
        </w:rPr>
        <w:t xml:space="preserve"> = 4 Wall.</w:t>
      </w:r>
      <w:r w:rsidRPr="00B45592">
        <w:rPr>
          <w:lang w:val="en-IE"/>
        </w:rPr>
        <w:t xml:space="preserve"> 277 (1867)</w:t>
      </w:r>
      <w:r w:rsidRPr="00192238">
        <w:rPr>
          <w:lang w:val="en-US"/>
        </w:rPr>
        <w:t>.</w:t>
      </w:r>
    </w:p>
  </w:footnote>
  <w:footnote w:id="1008">
    <w:p w14:paraId="4E6DFC1D" w14:textId="77777777" w:rsidR="00074551" w:rsidRPr="00192238" w:rsidRDefault="00074551" w:rsidP="00074551">
      <w:pPr>
        <w:pStyle w:val="Funotentext"/>
        <w:rPr>
          <w:lang w:val="en-US"/>
        </w:rPr>
      </w:pPr>
      <w:r>
        <w:rPr>
          <w:rStyle w:val="Funotenzeichen"/>
          <w:rFonts w:eastAsiaTheme="majorEastAsia"/>
        </w:rPr>
        <w:footnoteRef/>
      </w:r>
      <w:r w:rsidRPr="00192238">
        <w:rPr>
          <w:lang w:val="en-US"/>
        </w:rPr>
        <w:t xml:space="preserve"> </w:t>
      </w:r>
      <w:r w:rsidRPr="009E57E1">
        <w:rPr>
          <w:i/>
          <w:lang w:val="en-IE"/>
        </w:rPr>
        <w:t>Cummings v. Mo.</w:t>
      </w:r>
      <w:r w:rsidRPr="00B45592">
        <w:rPr>
          <w:lang w:val="en-IE"/>
        </w:rPr>
        <w:t>, 71 U.S. 277, 321</w:t>
      </w:r>
      <w:r w:rsidRPr="006E67FE">
        <w:rPr>
          <w:lang w:val="en-IE"/>
        </w:rPr>
        <w:t xml:space="preserve"> = 18 L. Ed. </w:t>
      </w:r>
      <w:r w:rsidRPr="00B45592">
        <w:rPr>
          <w:lang w:val="en-IE"/>
        </w:rPr>
        <w:t>356, 362</w:t>
      </w:r>
      <w:r w:rsidRPr="006E67FE">
        <w:rPr>
          <w:lang w:val="en-IE"/>
        </w:rPr>
        <w:t xml:space="preserve"> = 1866 U.S. LEXIS </w:t>
      </w:r>
      <w:r w:rsidRPr="00B45592">
        <w:rPr>
          <w:lang w:val="en-IE"/>
        </w:rPr>
        <w:t>885, 80</w:t>
      </w:r>
      <w:r w:rsidRPr="006E67FE">
        <w:rPr>
          <w:lang w:val="en-IE"/>
        </w:rPr>
        <w:t xml:space="preserve"> = 4 Wall.</w:t>
      </w:r>
      <w:r w:rsidRPr="00B45592">
        <w:rPr>
          <w:lang w:val="en-IE"/>
        </w:rPr>
        <w:t xml:space="preserve"> 277 (1867)</w:t>
      </w:r>
      <w:r w:rsidRPr="00192238">
        <w:rPr>
          <w:lang w:val="en-US"/>
        </w:rPr>
        <w:t>.</w:t>
      </w:r>
    </w:p>
  </w:footnote>
  <w:footnote w:id="1009">
    <w:p w14:paraId="6C6DC364" w14:textId="77777777" w:rsidR="00074551" w:rsidRPr="00192238" w:rsidRDefault="00074551" w:rsidP="00074551">
      <w:pPr>
        <w:pStyle w:val="Funotentext"/>
        <w:rPr>
          <w:lang w:val="en-US"/>
        </w:rPr>
      </w:pPr>
      <w:r>
        <w:rPr>
          <w:rStyle w:val="Funotenzeichen"/>
          <w:rFonts w:eastAsiaTheme="majorEastAsia"/>
        </w:rPr>
        <w:footnoteRef/>
      </w:r>
      <w:r w:rsidRPr="00192238">
        <w:rPr>
          <w:lang w:val="en-US"/>
        </w:rPr>
        <w:t xml:space="preserve"> </w:t>
      </w:r>
      <w:r w:rsidRPr="009E57E1">
        <w:rPr>
          <w:i/>
          <w:lang w:val="en-IE"/>
        </w:rPr>
        <w:t>Cummings v. Mo.</w:t>
      </w:r>
      <w:r w:rsidRPr="00B45592">
        <w:rPr>
          <w:lang w:val="en-IE"/>
        </w:rPr>
        <w:t>, 71 U.S. 277, 321</w:t>
      </w:r>
      <w:r w:rsidRPr="006E67FE">
        <w:rPr>
          <w:lang w:val="en-IE"/>
        </w:rPr>
        <w:t xml:space="preserve"> = 18 L. Ed. </w:t>
      </w:r>
      <w:r w:rsidRPr="00B45592">
        <w:rPr>
          <w:lang w:val="en-IE"/>
        </w:rPr>
        <w:t>356, 362</w:t>
      </w:r>
      <w:r w:rsidRPr="006E67FE">
        <w:rPr>
          <w:lang w:val="en-IE"/>
        </w:rPr>
        <w:t xml:space="preserve"> = 1866 U.S. LEXIS </w:t>
      </w:r>
      <w:r w:rsidRPr="00B45592">
        <w:rPr>
          <w:lang w:val="en-IE"/>
        </w:rPr>
        <w:t>885, 80</w:t>
      </w:r>
      <w:r w:rsidRPr="006E67FE">
        <w:rPr>
          <w:lang w:val="en-IE"/>
        </w:rPr>
        <w:t xml:space="preserve"> = 4 Wall.</w:t>
      </w:r>
      <w:r w:rsidRPr="00B45592">
        <w:rPr>
          <w:lang w:val="en-IE"/>
        </w:rPr>
        <w:t xml:space="preserve"> 277 (1867)</w:t>
      </w:r>
      <w:r w:rsidRPr="00192238">
        <w:rPr>
          <w:lang w:val="en-US"/>
        </w:rPr>
        <w:t>.</w:t>
      </w:r>
    </w:p>
  </w:footnote>
  <w:footnote w:id="1010">
    <w:p w14:paraId="49EDD1E2" w14:textId="77777777" w:rsidR="00074551" w:rsidRPr="00A37493" w:rsidRDefault="00074551" w:rsidP="00074551">
      <w:pPr>
        <w:pStyle w:val="Funotentext"/>
        <w:rPr>
          <w:lang w:val="en-US"/>
        </w:rPr>
      </w:pPr>
      <w:r>
        <w:rPr>
          <w:rStyle w:val="Funotenzeichen"/>
          <w:rFonts w:eastAsiaTheme="majorEastAsia"/>
        </w:rPr>
        <w:footnoteRef/>
      </w:r>
      <w:r w:rsidRPr="00A37493">
        <w:rPr>
          <w:lang w:val="en-US"/>
        </w:rPr>
        <w:t xml:space="preserve"> </w:t>
      </w:r>
      <w:r w:rsidRPr="009E57E1">
        <w:rPr>
          <w:i/>
          <w:lang w:val="en-US"/>
        </w:rPr>
        <w:t>Cummings v. Mo.</w:t>
      </w:r>
      <w:r w:rsidRPr="00A37493">
        <w:rPr>
          <w:lang w:val="en-US"/>
        </w:rPr>
        <w:t>, 71 U.S. 277, 316</w:t>
      </w:r>
      <w:r w:rsidRPr="006E67FE">
        <w:rPr>
          <w:lang w:val="en-US"/>
        </w:rPr>
        <w:t xml:space="preserve"> = 18 L. Ed. </w:t>
      </w:r>
      <w:r w:rsidRPr="00A37493">
        <w:rPr>
          <w:lang w:val="en-US"/>
        </w:rPr>
        <w:t>356, 360</w:t>
      </w:r>
      <w:r w:rsidRPr="006E67FE">
        <w:rPr>
          <w:lang w:val="en-US"/>
        </w:rPr>
        <w:t xml:space="preserve"> = 1866 U.S. LEXIS </w:t>
      </w:r>
      <w:r w:rsidRPr="00A37493">
        <w:rPr>
          <w:lang w:val="en-US"/>
        </w:rPr>
        <w:t>885, 7</w:t>
      </w:r>
      <w:r w:rsidRPr="006E67FE">
        <w:rPr>
          <w:lang w:val="en-US"/>
        </w:rPr>
        <w:t xml:space="preserve"> = 4 Wall.</w:t>
      </w:r>
      <w:r w:rsidRPr="00A37493">
        <w:rPr>
          <w:lang w:val="en-US"/>
        </w:rPr>
        <w:t xml:space="preserve"> 277 (1867)</w:t>
      </w:r>
      <w:r>
        <w:rPr>
          <w:lang w:val="en-US"/>
        </w:rPr>
        <w:t>.</w:t>
      </w:r>
    </w:p>
  </w:footnote>
  <w:footnote w:id="1011">
    <w:p w14:paraId="43999D00" w14:textId="77777777" w:rsidR="00074551" w:rsidRPr="00E85A71" w:rsidRDefault="00074551" w:rsidP="00074551">
      <w:pPr>
        <w:pStyle w:val="Funotentext"/>
        <w:rPr>
          <w:lang w:val="en-US"/>
        </w:rPr>
      </w:pPr>
      <w:r>
        <w:rPr>
          <w:rStyle w:val="Funotenzeichen"/>
          <w:rFonts w:eastAsiaTheme="majorEastAsia"/>
        </w:rPr>
        <w:footnoteRef/>
      </w:r>
      <w:r w:rsidRPr="00D63372">
        <w:rPr>
          <w:lang w:val="en-US"/>
        </w:rPr>
        <w:t xml:space="preserve"> </w:t>
      </w:r>
      <w:r>
        <w:rPr>
          <w:lang w:val="en-US"/>
        </w:rPr>
        <w:t>„</w:t>
      </w:r>
      <w:r w:rsidRPr="00E85A71">
        <w:rPr>
          <w:lang w:val="en-US"/>
        </w:rPr>
        <w:t>Section 1. No person, individually or as a teacher, shall, in any private, denominational, parochial or public school, teach any subject to any person in any language other than the English language.</w:t>
      </w:r>
    </w:p>
    <w:p w14:paraId="7728D0EE" w14:textId="77777777" w:rsidR="00074551" w:rsidRPr="00E85A71" w:rsidRDefault="00074551" w:rsidP="00074551">
      <w:pPr>
        <w:pStyle w:val="Funotentext"/>
        <w:rPr>
          <w:lang w:val="en-US"/>
        </w:rPr>
      </w:pPr>
      <w:r w:rsidRPr="00E85A71">
        <w:rPr>
          <w:lang w:val="en-US"/>
        </w:rPr>
        <w:t>Sec. 2. Languages, other than the English language, may be taught as languages only after a pupil shall have attained and successfully passed the eighth grade as evidenced by a certificate of graduation issued by the county superintendent of the county in which the child resides.</w:t>
      </w:r>
    </w:p>
    <w:p w14:paraId="73E422AF" w14:textId="77777777" w:rsidR="00074551" w:rsidRPr="00E85A71" w:rsidRDefault="00074551" w:rsidP="00074551">
      <w:pPr>
        <w:pStyle w:val="Funotentext"/>
        <w:rPr>
          <w:lang w:val="en-US"/>
        </w:rPr>
      </w:pPr>
      <w:r w:rsidRPr="00E85A71">
        <w:rPr>
          <w:lang w:val="en-US"/>
        </w:rPr>
        <w:t>Sec. 3. Any person who violates any of the provisions of this act shall be deemed guilty of a misdemeanor and upon conviction, shall be subject to a fine of not less than twenty-five dollars ($25), nor more than one hundred dollars ($100) or be confined in the county jail for any period not exceeding thirty days for each offense.</w:t>
      </w:r>
    </w:p>
    <w:p w14:paraId="121386E4" w14:textId="77777777" w:rsidR="00074551" w:rsidRPr="00045434" w:rsidRDefault="00074551" w:rsidP="00074551">
      <w:pPr>
        <w:pStyle w:val="Funotentext"/>
        <w:rPr>
          <w:lang w:val="en-IE"/>
        </w:rPr>
      </w:pPr>
      <w:r w:rsidRPr="00E85A71">
        <w:rPr>
          <w:lang w:val="en-US"/>
        </w:rPr>
        <w:t xml:space="preserve">Sec. 4. Whereas, an emergency exists, this act shall be in force from and after its passage and </w:t>
      </w:r>
      <w:proofErr w:type="gramStart"/>
      <w:r w:rsidRPr="00E85A71">
        <w:rPr>
          <w:lang w:val="en-US"/>
        </w:rPr>
        <w:t>approval.</w:t>
      </w:r>
      <w:r>
        <w:rPr>
          <w:lang w:val="en-US"/>
        </w:rPr>
        <w:t>“</w:t>
      </w:r>
      <w:proofErr w:type="gramEnd"/>
      <w:r>
        <w:rPr>
          <w:lang w:val="en-US"/>
        </w:rPr>
        <w:t xml:space="preserve">, </w:t>
      </w:r>
      <w:r w:rsidRPr="009E57E1">
        <w:rPr>
          <w:i/>
          <w:lang w:val="en-US"/>
        </w:rPr>
        <w:t>Meyer v. Nebraska</w:t>
      </w:r>
      <w:r w:rsidRPr="00E85A71">
        <w:rPr>
          <w:lang w:val="en-US"/>
        </w:rPr>
        <w:t>, 262 U.S. 390, 397</w:t>
      </w:r>
      <w:r w:rsidRPr="00EC5BEB">
        <w:rPr>
          <w:lang w:val="en-US"/>
        </w:rPr>
        <w:t xml:space="preserve"> = 43 S. Ct. </w:t>
      </w:r>
      <w:r w:rsidRPr="00E85A71">
        <w:rPr>
          <w:lang w:val="en-US"/>
        </w:rPr>
        <w:t>625, 626</w:t>
      </w:r>
      <w:r w:rsidRPr="00EC5BEB">
        <w:rPr>
          <w:lang w:val="en-US"/>
        </w:rPr>
        <w:t xml:space="preserve"> = 67 L. Ed. </w:t>
      </w:r>
      <w:r w:rsidRPr="00E85A71">
        <w:rPr>
          <w:lang w:val="en-US"/>
        </w:rPr>
        <w:t>1042, 1044</w:t>
      </w:r>
      <w:r w:rsidRPr="00EC5BEB">
        <w:rPr>
          <w:lang w:val="en-US"/>
        </w:rPr>
        <w:t xml:space="preserve"> = 1923 U.S. LEXIS </w:t>
      </w:r>
      <w:r w:rsidRPr="00E85A71">
        <w:rPr>
          <w:lang w:val="en-US"/>
        </w:rPr>
        <w:t>2655, 10</w:t>
      </w:r>
      <w:r>
        <w:rPr>
          <w:lang w:val="en-US"/>
        </w:rPr>
        <w:t>–</w:t>
      </w:r>
      <w:r w:rsidRPr="00E85A71">
        <w:rPr>
          <w:lang w:val="en-US"/>
        </w:rPr>
        <w:t>11</w:t>
      </w:r>
      <w:r w:rsidRPr="003B741A">
        <w:rPr>
          <w:lang w:val="en-US"/>
        </w:rPr>
        <w:t xml:space="preserve"> = 29 A.L.R.</w:t>
      </w:r>
      <w:r w:rsidRPr="006E67FE">
        <w:rPr>
          <w:lang w:val="en-US"/>
        </w:rPr>
        <w:t xml:space="preserve"> </w:t>
      </w:r>
      <w:r w:rsidRPr="00045434">
        <w:rPr>
          <w:lang w:val="en-IE"/>
        </w:rPr>
        <w:t>1446 (1923).</w:t>
      </w:r>
    </w:p>
  </w:footnote>
  <w:footnote w:id="1012">
    <w:p w14:paraId="122AA149" w14:textId="3046F972" w:rsidR="00074551" w:rsidRPr="002E1085" w:rsidRDefault="00074551" w:rsidP="00074551">
      <w:pPr>
        <w:pStyle w:val="Funotentext"/>
      </w:pPr>
      <w:r>
        <w:rPr>
          <w:rStyle w:val="Funotenzeichen"/>
          <w:rFonts w:eastAsiaTheme="majorEastAsia"/>
        </w:rPr>
        <w:footnoteRef/>
      </w:r>
      <w:r>
        <w:t xml:space="preserve"> Vgl. zur Darstellung des Urteils, </w:t>
      </w:r>
      <w:r>
        <w:fldChar w:fldCharType="begin"/>
      </w:r>
      <w:r>
        <w:instrText xml:space="preserve"> REF _Ref151844041 \r \h </w:instrText>
      </w:r>
      <w:r>
        <w:fldChar w:fldCharType="separate"/>
      </w:r>
      <w:r w:rsidR="0019007B">
        <w:rPr>
          <w:b/>
          <w:bCs/>
        </w:rPr>
        <w:t>Fehler! Verweisquelle konnte nicht gefunden werden.</w:t>
      </w:r>
      <w:r>
        <w:fldChar w:fldCharType="end"/>
      </w:r>
      <w:r w:rsidRPr="002E1085">
        <w:t>.</w:t>
      </w:r>
    </w:p>
  </w:footnote>
  <w:footnote w:id="1013">
    <w:p w14:paraId="087A39CD" w14:textId="77777777" w:rsidR="00074551" w:rsidRPr="002E1085" w:rsidRDefault="00074551" w:rsidP="00074551">
      <w:pPr>
        <w:pStyle w:val="Funotentext"/>
      </w:pPr>
      <w:r>
        <w:rPr>
          <w:rStyle w:val="Funotenzeichen"/>
          <w:rFonts w:eastAsiaTheme="majorEastAsia"/>
        </w:rPr>
        <w:footnoteRef/>
      </w:r>
      <w:r w:rsidRPr="002E1085">
        <w:t xml:space="preserve"> </w:t>
      </w:r>
      <w:r w:rsidRPr="002E1085">
        <w:rPr>
          <w:i/>
        </w:rPr>
        <w:t>Meyer v. Nebraska</w:t>
      </w:r>
      <w:r w:rsidRPr="002E1085">
        <w:t>, 262 U.S. 390 = 43 S. Ct. 625 = 67 L. Ed. 1042 = 1923 U.S. LEXIS 2655 = 29 A.L.R. 1446 (1923).</w:t>
      </w:r>
    </w:p>
  </w:footnote>
  <w:footnote w:id="1014">
    <w:p w14:paraId="54081D80" w14:textId="77777777" w:rsidR="00074551" w:rsidRPr="00CF287C" w:rsidRDefault="00074551" w:rsidP="00074551">
      <w:pPr>
        <w:pStyle w:val="Funotentext"/>
        <w:rPr>
          <w:lang w:val="en-US"/>
        </w:rPr>
      </w:pPr>
      <w:r>
        <w:rPr>
          <w:rStyle w:val="Funotenzeichen"/>
          <w:rFonts w:eastAsiaTheme="majorEastAsia"/>
        </w:rPr>
        <w:footnoteRef/>
      </w:r>
      <w:r w:rsidRPr="00CF287C">
        <w:rPr>
          <w:lang w:val="en-US"/>
        </w:rPr>
        <w:t xml:space="preserve"> </w:t>
      </w:r>
      <w:r w:rsidRPr="009E57E1">
        <w:rPr>
          <w:i/>
          <w:lang w:val="en-US"/>
        </w:rPr>
        <w:t>Meyer v. Nebraska</w:t>
      </w:r>
      <w:r w:rsidRPr="00825C98">
        <w:rPr>
          <w:lang w:val="en-US"/>
        </w:rPr>
        <w:t>, 262 U.S. 390, 399</w:t>
      </w:r>
      <w:r w:rsidRPr="00EC5BEB">
        <w:rPr>
          <w:lang w:val="en-US"/>
        </w:rPr>
        <w:t xml:space="preserve"> = 43 S. Ct. </w:t>
      </w:r>
      <w:r w:rsidRPr="00825C98">
        <w:rPr>
          <w:lang w:val="en-US"/>
        </w:rPr>
        <w:t>625, 626</w:t>
      </w:r>
      <w:r>
        <w:rPr>
          <w:lang w:val="en-US"/>
        </w:rPr>
        <w:t>–</w:t>
      </w:r>
      <w:r w:rsidRPr="00825C98">
        <w:rPr>
          <w:lang w:val="en-US"/>
        </w:rPr>
        <w:t>627</w:t>
      </w:r>
      <w:r w:rsidRPr="00EC5BEB">
        <w:rPr>
          <w:lang w:val="en-US"/>
        </w:rPr>
        <w:t xml:space="preserve"> = 67 L. Ed. </w:t>
      </w:r>
      <w:r w:rsidRPr="00825C98">
        <w:rPr>
          <w:lang w:val="en-US"/>
        </w:rPr>
        <w:t>1042, 1045</w:t>
      </w:r>
      <w:r w:rsidRPr="00EC5BEB">
        <w:rPr>
          <w:lang w:val="en-US"/>
        </w:rPr>
        <w:t xml:space="preserve"> = 1923 U.S. LEXIS </w:t>
      </w:r>
      <w:r w:rsidRPr="00825C98">
        <w:rPr>
          <w:lang w:val="en-US"/>
        </w:rPr>
        <w:t>2655, 15</w:t>
      </w:r>
      <w:r w:rsidRPr="003B741A">
        <w:rPr>
          <w:lang w:val="en-US"/>
        </w:rPr>
        <w:t xml:space="preserve"> = 29 A.L.R.</w:t>
      </w:r>
      <w:r w:rsidRPr="006E67FE">
        <w:rPr>
          <w:lang w:val="en-US"/>
        </w:rPr>
        <w:t xml:space="preserve"> </w:t>
      </w:r>
      <w:r w:rsidRPr="00825C98">
        <w:rPr>
          <w:lang w:val="en-US"/>
        </w:rPr>
        <w:t>1446 (1923)</w:t>
      </w:r>
      <w:r>
        <w:rPr>
          <w:lang w:val="en-US"/>
        </w:rPr>
        <w:t>.</w:t>
      </w:r>
    </w:p>
  </w:footnote>
  <w:footnote w:id="1015">
    <w:p w14:paraId="5660A1E6" w14:textId="77777777" w:rsidR="00074551" w:rsidRPr="00825C98" w:rsidRDefault="00074551" w:rsidP="00074551">
      <w:pPr>
        <w:pStyle w:val="Funotentext"/>
        <w:rPr>
          <w:lang w:val="en-US"/>
        </w:rPr>
      </w:pPr>
      <w:r>
        <w:rPr>
          <w:rStyle w:val="Funotenzeichen"/>
          <w:rFonts w:eastAsiaTheme="majorEastAsia"/>
        </w:rPr>
        <w:footnoteRef/>
      </w:r>
      <w:r w:rsidRPr="00825C98">
        <w:rPr>
          <w:lang w:val="en-US"/>
        </w:rPr>
        <w:t xml:space="preserve"> </w:t>
      </w:r>
      <w:r w:rsidRPr="008F73D7">
        <w:rPr>
          <w:i/>
          <w:lang w:val="en-US"/>
        </w:rPr>
        <w:t>Slaughter-House Cases</w:t>
      </w:r>
      <w:r w:rsidRPr="00825C98">
        <w:rPr>
          <w:lang w:val="en-US"/>
        </w:rPr>
        <w:t xml:space="preserve">, 16 Wall. 36; </w:t>
      </w:r>
      <w:r w:rsidRPr="00B45592">
        <w:rPr>
          <w:i/>
          <w:lang w:val="en-US"/>
        </w:rPr>
        <w:t>Butchers’ Union Co. v. Crescent City Co.</w:t>
      </w:r>
      <w:r w:rsidRPr="00825C98">
        <w:rPr>
          <w:lang w:val="en-US"/>
        </w:rPr>
        <w:t xml:space="preserve">, 111 U.S. 746; </w:t>
      </w:r>
      <w:r w:rsidRPr="00B45592">
        <w:rPr>
          <w:i/>
          <w:lang w:val="en-US"/>
        </w:rPr>
        <w:t>Yick Wo v. Hopkins</w:t>
      </w:r>
      <w:r w:rsidRPr="00825C98">
        <w:rPr>
          <w:lang w:val="en-US"/>
        </w:rPr>
        <w:t xml:space="preserve">, 118 U.S. 356; </w:t>
      </w:r>
      <w:r w:rsidRPr="00B45592">
        <w:rPr>
          <w:i/>
          <w:lang w:val="en-US"/>
        </w:rPr>
        <w:t>Minnesota v. Barber</w:t>
      </w:r>
      <w:r w:rsidRPr="00825C98">
        <w:rPr>
          <w:lang w:val="en-US"/>
        </w:rPr>
        <w:t xml:space="preserve">, 136 U.S. 313; </w:t>
      </w:r>
      <w:r w:rsidRPr="004F13B1">
        <w:rPr>
          <w:i/>
          <w:lang w:val="en-US"/>
        </w:rPr>
        <w:t>Allgeyer v. Louisiana</w:t>
      </w:r>
      <w:r w:rsidRPr="00825C98">
        <w:rPr>
          <w:lang w:val="en-US"/>
        </w:rPr>
        <w:t xml:space="preserve">, 165 U.S. 578; </w:t>
      </w:r>
      <w:r w:rsidRPr="00B45592">
        <w:rPr>
          <w:i/>
          <w:lang w:val="en-US"/>
        </w:rPr>
        <w:t>Lochner v. New York</w:t>
      </w:r>
      <w:r w:rsidRPr="00825C98">
        <w:rPr>
          <w:lang w:val="en-US"/>
        </w:rPr>
        <w:t xml:space="preserve">, 198 U.S. 45; </w:t>
      </w:r>
      <w:r w:rsidRPr="00B45592">
        <w:rPr>
          <w:i/>
          <w:lang w:val="en-US"/>
        </w:rPr>
        <w:t>Twining v. New Jersey</w:t>
      </w:r>
      <w:r w:rsidRPr="00825C98">
        <w:rPr>
          <w:lang w:val="en-US"/>
        </w:rPr>
        <w:t xml:space="preserve">, 211 U.S. 78; </w:t>
      </w:r>
      <w:r w:rsidRPr="00B45592">
        <w:rPr>
          <w:i/>
          <w:lang w:val="en-US"/>
        </w:rPr>
        <w:t>Chicago, Burlington &amp; Quincy R.R. Co. v. McGuire</w:t>
      </w:r>
      <w:r w:rsidRPr="00825C98">
        <w:rPr>
          <w:lang w:val="en-US"/>
        </w:rPr>
        <w:t xml:space="preserve">, 219 U.S. 549; </w:t>
      </w:r>
      <w:r w:rsidRPr="00B45592">
        <w:rPr>
          <w:i/>
          <w:lang w:val="en-US"/>
        </w:rPr>
        <w:t>Truax v. Raich</w:t>
      </w:r>
      <w:r w:rsidRPr="00825C98">
        <w:rPr>
          <w:lang w:val="en-US"/>
        </w:rPr>
        <w:t xml:space="preserve">, 239 U.S. 33; </w:t>
      </w:r>
      <w:r w:rsidRPr="009E57E1">
        <w:rPr>
          <w:i/>
          <w:lang w:val="en-US"/>
        </w:rPr>
        <w:t>Adams v. Tanner</w:t>
      </w:r>
      <w:r w:rsidRPr="00825C98">
        <w:rPr>
          <w:lang w:val="en-US"/>
        </w:rPr>
        <w:t xml:space="preserve">, 244 U.S. 590; </w:t>
      </w:r>
      <w:r w:rsidRPr="00B45592">
        <w:rPr>
          <w:i/>
          <w:lang w:val="en-US"/>
        </w:rPr>
        <w:t>New York Life Ins. Co. v. Dodge</w:t>
      </w:r>
      <w:r w:rsidRPr="00825C98">
        <w:rPr>
          <w:lang w:val="en-US"/>
        </w:rPr>
        <w:t xml:space="preserve">, 246 U.S. 357; </w:t>
      </w:r>
      <w:r w:rsidRPr="00B45592">
        <w:rPr>
          <w:i/>
          <w:lang w:val="en-US"/>
        </w:rPr>
        <w:t>Truax v. Corrigan</w:t>
      </w:r>
      <w:r w:rsidRPr="00825C98">
        <w:rPr>
          <w:lang w:val="en-US"/>
        </w:rPr>
        <w:t xml:space="preserve">, 257 U.S. 312; </w:t>
      </w:r>
      <w:r w:rsidRPr="00B45592">
        <w:rPr>
          <w:i/>
          <w:lang w:val="en-US"/>
        </w:rPr>
        <w:t>Adkins v. Children’s Hospital</w:t>
      </w:r>
      <w:r w:rsidRPr="00825C98">
        <w:rPr>
          <w:lang w:val="en-US"/>
        </w:rPr>
        <w:t xml:space="preserve">, 216 U.S. 525; </w:t>
      </w:r>
      <w:r w:rsidRPr="00B45592">
        <w:rPr>
          <w:i/>
          <w:lang w:val="en-US"/>
        </w:rPr>
        <w:t>Wyeth v. Cambridge Board of Health</w:t>
      </w:r>
      <w:r w:rsidRPr="00825C98">
        <w:rPr>
          <w:lang w:val="en-US"/>
        </w:rPr>
        <w:t>, 200 Mass. 474</w:t>
      </w:r>
      <w:r>
        <w:rPr>
          <w:lang w:val="en-US"/>
        </w:rPr>
        <w:t xml:space="preserve">; </w:t>
      </w:r>
      <w:r w:rsidRPr="009E57E1">
        <w:rPr>
          <w:i/>
          <w:lang w:val="en-US"/>
        </w:rPr>
        <w:t>Meyer v. Nebraska</w:t>
      </w:r>
      <w:r w:rsidRPr="00825C98">
        <w:rPr>
          <w:lang w:val="en-US"/>
        </w:rPr>
        <w:t>, 262 U.S. 390, 399</w:t>
      </w:r>
      <w:r w:rsidRPr="00EC5BEB">
        <w:rPr>
          <w:lang w:val="en-US"/>
        </w:rPr>
        <w:t xml:space="preserve"> = 43 S. Ct. </w:t>
      </w:r>
      <w:r w:rsidRPr="00825C98">
        <w:rPr>
          <w:lang w:val="en-US"/>
        </w:rPr>
        <w:t>625, 626</w:t>
      </w:r>
      <w:r>
        <w:rPr>
          <w:lang w:val="en-US"/>
        </w:rPr>
        <w:t>–</w:t>
      </w:r>
      <w:r w:rsidRPr="00825C98">
        <w:rPr>
          <w:lang w:val="en-US"/>
        </w:rPr>
        <w:t>627</w:t>
      </w:r>
      <w:r w:rsidRPr="00EC5BEB">
        <w:rPr>
          <w:lang w:val="en-US"/>
        </w:rPr>
        <w:t xml:space="preserve"> = 67 L. Ed. </w:t>
      </w:r>
      <w:r w:rsidRPr="00825C98">
        <w:rPr>
          <w:lang w:val="en-US"/>
        </w:rPr>
        <w:t>1042, 1045</w:t>
      </w:r>
      <w:r w:rsidRPr="00EC5BEB">
        <w:rPr>
          <w:lang w:val="en-US"/>
        </w:rPr>
        <w:t xml:space="preserve"> = 1923 U.S. LEXIS </w:t>
      </w:r>
      <w:r w:rsidRPr="00825C98">
        <w:rPr>
          <w:lang w:val="en-US"/>
        </w:rPr>
        <w:t>2655, 15</w:t>
      </w:r>
      <w:r w:rsidRPr="003B741A">
        <w:rPr>
          <w:lang w:val="en-US"/>
        </w:rPr>
        <w:t xml:space="preserve"> = 29 A.L.R.</w:t>
      </w:r>
      <w:r w:rsidRPr="006E67FE">
        <w:rPr>
          <w:lang w:val="en-US"/>
        </w:rPr>
        <w:t xml:space="preserve"> </w:t>
      </w:r>
      <w:r w:rsidRPr="00825C98">
        <w:rPr>
          <w:lang w:val="en-US"/>
        </w:rPr>
        <w:t>1446 (1923)</w:t>
      </w:r>
      <w:r>
        <w:rPr>
          <w:lang w:val="en-US"/>
        </w:rPr>
        <w:t>.</w:t>
      </w:r>
    </w:p>
  </w:footnote>
  <w:footnote w:id="1016">
    <w:p w14:paraId="542FCBB2" w14:textId="77777777" w:rsidR="00074551" w:rsidRPr="009E57E1" w:rsidRDefault="00074551" w:rsidP="00074551">
      <w:pPr>
        <w:pStyle w:val="Funotentext"/>
        <w:rPr>
          <w:lang w:val="en-US"/>
        </w:rPr>
      </w:pPr>
      <w:r>
        <w:rPr>
          <w:rStyle w:val="Funotenzeichen"/>
          <w:rFonts w:eastAsiaTheme="majorEastAsia"/>
        </w:rPr>
        <w:footnoteRef/>
      </w:r>
      <w:r w:rsidRPr="00825C98">
        <w:rPr>
          <w:lang w:val="en-US"/>
        </w:rPr>
        <w:t xml:space="preserve"> </w:t>
      </w:r>
      <w:r w:rsidRPr="00B45592">
        <w:rPr>
          <w:i/>
          <w:lang w:val="en-US"/>
        </w:rPr>
        <w:t>Lawton vs. Steele</w:t>
      </w:r>
      <w:r w:rsidRPr="009E57E1">
        <w:rPr>
          <w:lang w:val="en-US"/>
        </w:rPr>
        <w:t>, 152 U.S. 133, 137 (1894).</w:t>
      </w:r>
    </w:p>
  </w:footnote>
  <w:footnote w:id="1017">
    <w:p w14:paraId="48A64F05" w14:textId="5A53A478" w:rsidR="00074551" w:rsidRPr="009E57E1" w:rsidRDefault="00074551" w:rsidP="00074551">
      <w:pPr>
        <w:pStyle w:val="Funotentext"/>
        <w:rPr>
          <w:lang w:val="en-US"/>
        </w:rPr>
      </w:pPr>
      <w:r w:rsidRPr="5B67C1D2">
        <w:rPr>
          <w:rStyle w:val="Funotenzeichen"/>
          <w:rFonts w:eastAsiaTheme="majorEastAsia"/>
        </w:rPr>
        <w:footnoteRef/>
      </w:r>
      <w:r w:rsidR="5B67C1D2" w:rsidRPr="009E57E1">
        <w:rPr>
          <w:lang w:val="en-US"/>
        </w:rPr>
        <w:t xml:space="preserve"> </w:t>
      </w:r>
      <w:r w:rsidR="5B67C1D2" w:rsidRPr="5B67C1D2">
        <w:rPr>
          <w:i/>
          <w:iCs/>
          <w:lang w:val="en-US"/>
        </w:rPr>
        <w:t>Meyer v. Nebraska</w:t>
      </w:r>
      <w:r w:rsidR="5B67C1D2" w:rsidRPr="009E57E1">
        <w:rPr>
          <w:lang w:val="en-US"/>
        </w:rPr>
        <w:t xml:space="preserve">, 262 U.S. 390, </w:t>
      </w:r>
      <w:r w:rsidR="5B67C1D2" w:rsidRPr="5B67C1D2">
        <w:rPr>
          <w:lang w:val="en-US"/>
        </w:rPr>
        <w:t xml:space="preserve">(syllabus) = 43 S. Ct. 625, 626 = 67 L. Ed. 1042, 1044 = 1923 U.S. LEXIS 2655, 3 = 29 A.L.R. 1446 (1923), </w:t>
      </w:r>
      <w:proofErr w:type="spellStart"/>
      <w:r w:rsidR="5B67C1D2" w:rsidRPr="5B67C1D2">
        <w:rPr>
          <w:lang w:val="en-US"/>
        </w:rPr>
        <w:t>unter</w:t>
      </w:r>
      <w:proofErr w:type="spellEnd"/>
      <w:r w:rsidR="5B67C1D2" w:rsidRPr="5B67C1D2">
        <w:rPr>
          <w:lang w:val="en-US"/>
        </w:rPr>
        <w:t xml:space="preserve"> </w:t>
      </w:r>
      <w:proofErr w:type="spellStart"/>
      <w:r w:rsidR="5B67C1D2" w:rsidRPr="5B67C1D2">
        <w:rPr>
          <w:lang w:val="en-US"/>
        </w:rPr>
        <w:t>Verweis</w:t>
      </w:r>
      <w:proofErr w:type="spellEnd"/>
      <w:r w:rsidR="5B67C1D2" w:rsidRPr="5B67C1D2">
        <w:rPr>
          <w:lang w:val="en-US"/>
        </w:rPr>
        <w:t xml:space="preserve"> auf </w:t>
      </w:r>
      <w:r w:rsidR="5B67C1D2" w:rsidRPr="5B67C1D2">
        <w:rPr>
          <w:i/>
          <w:iCs/>
          <w:lang w:val="en-US"/>
        </w:rPr>
        <w:t>State v. Redmon</w:t>
      </w:r>
      <w:r w:rsidR="5B67C1D2" w:rsidRPr="5B67C1D2">
        <w:rPr>
          <w:lang w:val="en-US"/>
        </w:rPr>
        <w:t xml:space="preserve">, </w:t>
      </w:r>
      <w:r w:rsidR="5B67C1D2" w:rsidRPr="5B67C1D2">
        <w:rPr>
          <w:lang w:val="en-IE"/>
        </w:rPr>
        <w:t>134 Wis. 89</w:t>
      </w:r>
      <w:r w:rsidR="5B67C1D2" w:rsidRPr="5B67C1D2">
        <w:rPr>
          <w:lang w:val="en-US"/>
        </w:rPr>
        <w:t xml:space="preserve">; </w:t>
      </w:r>
      <w:r w:rsidR="5B67C1D2" w:rsidRPr="5B67C1D2">
        <w:rPr>
          <w:i/>
          <w:iCs/>
          <w:lang w:val="en-US"/>
        </w:rPr>
        <w:t>Mugler v. Kansas</w:t>
      </w:r>
      <w:r w:rsidR="5B67C1D2" w:rsidRPr="5B67C1D2">
        <w:rPr>
          <w:lang w:val="en-US"/>
        </w:rPr>
        <w:t xml:space="preserve">, 123 U.S. 623; </w:t>
      </w:r>
      <w:r w:rsidR="5B67C1D2" w:rsidRPr="5B67C1D2">
        <w:rPr>
          <w:i/>
          <w:iCs/>
          <w:lang w:val="en-US"/>
        </w:rPr>
        <w:t>Wyeth v. Cambridge Board of Health</w:t>
      </w:r>
      <w:r w:rsidR="5B67C1D2" w:rsidRPr="5B67C1D2">
        <w:rPr>
          <w:lang w:val="en-US"/>
        </w:rPr>
        <w:t xml:space="preserve">, 200 Mass. 474; </w:t>
      </w:r>
      <w:r w:rsidR="5B67C1D2" w:rsidRPr="5B67C1D2">
        <w:rPr>
          <w:i/>
          <w:iCs/>
          <w:lang w:val="en-US"/>
        </w:rPr>
        <w:t>State v. Sperry</w:t>
      </w:r>
      <w:r w:rsidR="5B67C1D2" w:rsidRPr="5B67C1D2">
        <w:rPr>
          <w:lang w:val="en-US"/>
        </w:rPr>
        <w:t>, 94 Neb. 785.</w:t>
      </w:r>
    </w:p>
  </w:footnote>
  <w:footnote w:id="1018">
    <w:p w14:paraId="2F32471D" w14:textId="2343EAF9" w:rsidR="00074551" w:rsidRPr="00912160" w:rsidRDefault="00074551" w:rsidP="00074551">
      <w:pPr>
        <w:pStyle w:val="Funotentext"/>
        <w:rPr>
          <w:lang w:val="en-US"/>
        </w:rPr>
      </w:pPr>
      <w:r w:rsidRPr="5B67C1D2">
        <w:rPr>
          <w:rStyle w:val="Funotenzeichen"/>
          <w:rFonts w:eastAsiaTheme="majorEastAsia"/>
        </w:rPr>
        <w:footnoteRef/>
      </w:r>
      <w:r w:rsidR="5B67C1D2" w:rsidRPr="009E57E1">
        <w:rPr>
          <w:lang w:val="en-US"/>
        </w:rPr>
        <w:t xml:space="preserve"> </w:t>
      </w:r>
      <w:r w:rsidR="5B67C1D2" w:rsidRPr="5B67C1D2">
        <w:rPr>
          <w:i/>
          <w:iCs/>
          <w:lang w:val="en-US"/>
        </w:rPr>
        <w:t>Meyer v. Nebraska</w:t>
      </w:r>
      <w:r w:rsidR="5B67C1D2" w:rsidRPr="009E57E1">
        <w:rPr>
          <w:lang w:val="en-US"/>
        </w:rPr>
        <w:t xml:space="preserve">, 262 U.S. 390, </w:t>
      </w:r>
      <w:r w:rsidR="5B67C1D2" w:rsidRPr="5B67C1D2">
        <w:rPr>
          <w:sz w:val="19"/>
          <w:szCs w:val="19"/>
          <w:lang w:val="en-US"/>
        </w:rPr>
        <w:t>(syllabus)</w:t>
      </w:r>
      <w:r w:rsidR="5B67C1D2" w:rsidRPr="5B67C1D2">
        <w:rPr>
          <w:lang w:val="en-US"/>
        </w:rPr>
        <w:t xml:space="preserve"> = 43 S. Ct. 625, 626 = 67 L. Ed. 1042, 1044 = 1923 U.S. LEXIS 2655, 3 = 29 A.L.R. 1446 (1923), </w:t>
      </w:r>
      <w:proofErr w:type="spellStart"/>
      <w:r w:rsidR="5B67C1D2" w:rsidRPr="5B67C1D2">
        <w:rPr>
          <w:lang w:val="en-US"/>
        </w:rPr>
        <w:t>unter</w:t>
      </w:r>
      <w:proofErr w:type="spellEnd"/>
      <w:r w:rsidR="5B67C1D2" w:rsidRPr="5B67C1D2">
        <w:rPr>
          <w:lang w:val="en-US"/>
        </w:rPr>
        <w:t xml:space="preserve"> </w:t>
      </w:r>
      <w:proofErr w:type="spellStart"/>
      <w:r w:rsidR="5B67C1D2" w:rsidRPr="5B67C1D2">
        <w:rPr>
          <w:lang w:val="en-US"/>
        </w:rPr>
        <w:t>Verweis</w:t>
      </w:r>
      <w:proofErr w:type="spellEnd"/>
      <w:r w:rsidR="5B67C1D2" w:rsidRPr="5B67C1D2">
        <w:rPr>
          <w:lang w:val="en-US"/>
        </w:rPr>
        <w:t xml:space="preserve"> auf </w:t>
      </w:r>
      <w:r w:rsidR="5B67C1D2" w:rsidRPr="5B67C1D2">
        <w:rPr>
          <w:i/>
          <w:iCs/>
          <w:lang w:val="en-US"/>
        </w:rPr>
        <w:t>State v. Redmon</w:t>
      </w:r>
      <w:r w:rsidR="5B67C1D2" w:rsidRPr="5B67C1D2">
        <w:rPr>
          <w:lang w:val="en-US"/>
        </w:rPr>
        <w:t xml:space="preserve">, </w:t>
      </w:r>
      <w:r w:rsidR="5B67C1D2" w:rsidRPr="5B67C1D2">
        <w:rPr>
          <w:lang w:val="en-IE"/>
        </w:rPr>
        <w:t>134 Wis. 89</w:t>
      </w:r>
      <w:r w:rsidR="5B67C1D2" w:rsidRPr="5B67C1D2">
        <w:rPr>
          <w:lang w:val="en-US"/>
        </w:rPr>
        <w:t xml:space="preserve">; </w:t>
      </w:r>
      <w:r w:rsidR="5B67C1D2" w:rsidRPr="5B67C1D2">
        <w:rPr>
          <w:i/>
          <w:iCs/>
          <w:lang w:val="en-US"/>
        </w:rPr>
        <w:t>Mugler v. Kansas</w:t>
      </w:r>
      <w:r w:rsidR="5B67C1D2" w:rsidRPr="5B67C1D2">
        <w:rPr>
          <w:lang w:val="en-US"/>
        </w:rPr>
        <w:t xml:space="preserve">, 123 U.S. 623; </w:t>
      </w:r>
      <w:r w:rsidR="5B67C1D2" w:rsidRPr="5B67C1D2">
        <w:rPr>
          <w:i/>
          <w:iCs/>
          <w:lang w:val="en-US"/>
        </w:rPr>
        <w:t>Wyeth v. Cambridge Board of Health</w:t>
      </w:r>
      <w:r w:rsidR="5B67C1D2" w:rsidRPr="5B67C1D2">
        <w:rPr>
          <w:lang w:val="en-US"/>
        </w:rPr>
        <w:t xml:space="preserve">, 200 Mass. 474; </w:t>
      </w:r>
      <w:r w:rsidR="5B67C1D2" w:rsidRPr="5B67C1D2">
        <w:rPr>
          <w:i/>
          <w:iCs/>
          <w:lang w:val="en-US"/>
        </w:rPr>
        <w:t>State v. Sperry</w:t>
      </w:r>
      <w:r w:rsidR="5B67C1D2" w:rsidRPr="5B67C1D2">
        <w:rPr>
          <w:lang w:val="en-US"/>
        </w:rPr>
        <w:t>, 94 Neb. 785.</w:t>
      </w:r>
    </w:p>
  </w:footnote>
  <w:footnote w:id="1019">
    <w:p w14:paraId="36DEE446" w14:textId="77777777" w:rsidR="00074551" w:rsidRPr="0040264F" w:rsidRDefault="00074551" w:rsidP="00074551">
      <w:pPr>
        <w:pStyle w:val="Funotentext"/>
        <w:ind w:left="227" w:hanging="227"/>
        <w:rPr>
          <w:lang w:val="en-US"/>
        </w:rPr>
      </w:pPr>
      <w:r>
        <w:rPr>
          <w:rStyle w:val="Funotenzeichen"/>
          <w:rFonts w:eastAsiaTheme="majorEastAsia"/>
        </w:rPr>
        <w:footnoteRef/>
      </w:r>
      <w:r w:rsidRPr="0040264F">
        <w:rPr>
          <w:lang w:val="en-US"/>
        </w:rPr>
        <w:t xml:space="preserve"> </w:t>
      </w:r>
      <w:r w:rsidRPr="00B45592">
        <w:rPr>
          <w:i/>
          <w:lang w:val="en-US"/>
        </w:rPr>
        <w:t>Supreme Court of the State</w:t>
      </w:r>
      <w:r>
        <w:rPr>
          <w:lang w:val="en-US"/>
        </w:rPr>
        <w:t xml:space="preserve">, </w:t>
      </w:r>
      <w:r w:rsidRPr="0040264F">
        <w:rPr>
          <w:lang w:val="en-US"/>
        </w:rPr>
        <w:t>107 Neb. 657</w:t>
      </w:r>
      <w:r>
        <w:rPr>
          <w:lang w:val="en-US"/>
        </w:rPr>
        <w:t>: „</w:t>
      </w:r>
      <w:r w:rsidRPr="0040264F">
        <w:rPr>
          <w:lang w:val="en-US"/>
        </w:rPr>
        <w:t xml:space="preserve">It was to educate them so that they must always think in that language, and, as a consequence, naturally inculcate in them the ideas and sentiments foreign to the best interests of this </w:t>
      </w:r>
      <w:proofErr w:type="gramStart"/>
      <w:r w:rsidRPr="0040264F">
        <w:rPr>
          <w:lang w:val="en-US"/>
        </w:rPr>
        <w:t>country.</w:t>
      </w:r>
      <w:r>
        <w:rPr>
          <w:lang w:val="en-US"/>
        </w:rPr>
        <w:t>“</w:t>
      </w:r>
      <w:proofErr w:type="gramEnd"/>
      <w:r>
        <w:rPr>
          <w:lang w:val="en-US"/>
        </w:rPr>
        <w:t xml:space="preserve">, </w:t>
      </w:r>
      <w:proofErr w:type="spellStart"/>
      <w:r>
        <w:rPr>
          <w:lang w:val="en-US"/>
        </w:rPr>
        <w:t>zitiert</w:t>
      </w:r>
      <w:proofErr w:type="spellEnd"/>
      <w:r>
        <w:rPr>
          <w:lang w:val="en-US"/>
        </w:rPr>
        <w:t xml:space="preserve"> in </w:t>
      </w:r>
      <w:r w:rsidRPr="009E57E1">
        <w:rPr>
          <w:i/>
          <w:lang w:val="en-US"/>
        </w:rPr>
        <w:t>Meyer v. Nebraska</w:t>
      </w:r>
      <w:r w:rsidRPr="0040264F">
        <w:rPr>
          <w:lang w:val="en-US"/>
        </w:rPr>
        <w:t>, 262 U.S. 390, 398</w:t>
      </w:r>
      <w:r w:rsidRPr="00EC5BEB">
        <w:rPr>
          <w:lang w:val="en-US"/>
        </w:rPr>
        <w:t xml:space="preserve"> = 43 S. Ct. </w:t>
      </w:r>
      <w:r w:rsidRPr="0040264F">
        <w:rPr>
          <w:lang w:val="en-US"/>
        </w:rPr>
        <w:t>625, 626</w:t>
      </w:r>
      <w:r w:rsidRPr="00EC5BEB">
        <w:rPr>
          <w:lang w:val="en-US"/>
        </w:rPr>
        <w:t xml:space="preserve"> = 67 L. Ed. </w:t>
      </w:r>
      <w:r w:rsidRPr="0040264F">
        <w:rPr>
          <w:lang w:val="en-US"/>
        </w:rPr>
        <w:t>1042, 1044</w:t>
      </w:r>
      <w:r w:rsidRPr="00EC5BEB">
        <w:rPr>
          <w:lang w:val="en-US"/>
        </w:rPr>
        <w:t xml:space="preserve"> = 1923 U.S. LEXIS </w:t>
      </w:r>
      <w:r w:rsidRPr="0040264F">
        <w:rPr>
          <w:lang w:val="en-US"/>
        </w:rPr>
        <w:t>2655, 12</w:t>
      </w:r>
      <w:r w:rsidRPr="003B741A">
        <w:rPr>
          <w:lang w:val="en-US"/>
        </w:rPr>
        <w:t xml:space="preserve"> = 29 A.L.R.</w:t>
      </w:r>
      <w:r w:rsidRPr="006E67FE">
        <w:rPr>
          <w:lang w:val="en-US"/>
        </w:rPr>
        <w:t xml:space="preserve"> </w:t>
      </w:r>
      <w:r w:rsidRPr="0040264F">
        <w:rPr>
          <w:lang w:val="en-US"/>
        </w:rPr>
        <w:t>1446 (1923)</w:t>
      </w:r>
      <w:r>
        <w:rPr>
          <w:lang w:val="en-US"/>
        </w:rPr>
        <w:t>.</w:t>
      </w:r>
    </w:p>
  </w:footnote>
  <w:footnote w:id="1020">
    <w:p w14:paraId="1FE828E0" w14:textId="77777777" w:rsidR="00074551" w:rsidRPr="00304A70" w:rsidRDefault="00074551" w:rsidP="00074551">
      <w:pPr>
        <w:pStyle w:val="Funotentext"/>
        <w:jc w:val="both"/>
        <w:rPr>
          <w:lang w:val="en-US"/>
        </w:rPr>
      </w:pPr>
      <w:r>
        <w:rPr>
          <w:rStyle w:val="Funotenzeichen"/>
          <w:rFonts w:eastAsiaTheme="majorEastAsia"/>
        </w:rPr>
        <w:footnoteRef/>
      </w:r>
      <w:r w:rsidRPr="00304A70">
        <w:rPr>
          <w:lang w:val="en-US"/>
        </w:rPr>
        <w:t xml:space="preserve"> </w:t>
      </w:r>
      <w:proofErr w:type="spellStart"/>
      <w:r w:rsidRPr="00584023">
        <w:rPr>
          <w:i/>
          <w:lang w:val="en-US"/>
        </w:rPr>
        <w:t>Bartemeyer</w:t>
      </w:r>
      <w:proofErr w:type="spellEnd"/>
      <w:r w:rsidRPr="00584023">
        <w:rPr>
          <w:i/>
          <w:lang w:val="en-US"/>
        </w:rPr>
        <w:t xml:space="preserve"> v. Iowa</w:t>
      </w:r>
      <w:r w:rsidRPr="00304A70">
        <w:rPr>
          <w:lang w:val="en-US"/>
        </w:rPr>
        <w:t>, 85 U.S. 129, 132</w:t>
      </w:r>
      <w:r w:rsidRPr="003B741A">
        <w:rPr>
          <w:lang w:val="en-US"/>
        </w:rPr>
        <w:t xml:space="preserve"> = 21 L. Ed. </w:t>
      </w:r>
      <w:r w:rsidRPr="00304A70">
        <w:rPr>
          <w:lang w:val="en-US"/>
        </w:rPr>
        <w:t>929, 930</w:t>
      </w:r>
      <w:r w:rsidRPr="003B741A">
        <w:rPr>
          <w:lang w:val="en-US"/>
        </w:rPr>
        <w:t xml:space="preserve"> = 1873 U.S. LEXIS </w:t>
      </w:r>
      <w:r w:rsidRPr="00304A70">
        <w:rPr>
          <w:lang w:val="en-US"/>
        </w:rPr>
        <w:t>1297, 1</w:t>
      </w:r>
      <w:r w:rsidRPr="003B741A">
        <w:rPr>
          <w:lang w:val="en-US"/>
        </w:rPr>
        <w:t xml:space="preserve"> = 18 Wall. </w:t>
      </w:r>
      <w:r w:rsidRPr="00304A70">
        <w:rPr>
          <w:lang w:val="en-US"/>
        </w:rPr>
        <w:t>129 (1874)</w:t>
      </w:r>
      <w:r>
        <w:rPr>
          <w:lang w:val="en-US"/>
        </w:rPr>
        <w:t>.</w:t>
      </w:r>
    </w:p>
  </w:footnote>
  <w:footnote w:id="1021">
    <w:p w14:paraId="2874CBE1" w14:textId="383BE14D" w:rsidR="00074551" w:rsidRPr="00091030" w:rsidRDefault="00074551" w:rsidP="00062821">
      <w:pPr>
        <w:pStyle w:val="Funotentext"/>
        <w:jc w:val="both"/>
      </w:pPr>
      <w:r>
        <w:rPr>
          <w:rStyle w:val="Funotenzeichen"/>
          <w:rFonts w:eastAsiaTheme="majorEastAsia"/>
        </w:rPr>
        <w:footnoteRef/>
      </w:r>
      <w:r w:rsidRPr="00091030">
        <w:t xml:space="preserve"> </w:t>
      </w:r>
      <w:proofErr w:type="spellStart"/>
      <w:r w:rsidR="00062821" w:rsidRPr="00DA59F0">
        <w:rPr>
          <w:i/>
        </w:rPr>
        <w:t>Bartemeyer</w:t>
      </w:r>
      <w:proofErr w:type="spellEnd"/>
      <w:r w:rsidR="00062821" w:rsidRPr="00DA59F0">
        <w:rPr>
          <w:i/>
        </w:rPr>
        <w:t xml:space="preserve"> v. Iowa</w:t>
      </w:r>
      <w:r w:rsidR="00062821" w:rsidRPr="00DA59F0">
        <w:t>, 85 U.S. 129</w:t>
      </w:r>
      <w:r w:rsidR="00062821">
        <w:t>, 137–141 </w:t>
      </w:r>
      <w:r w:rsidR="00062821" w:rsidRPr="00DA59F0">
        <w:t>= 21 L. Ed. 929 = 1873 U.S. LEXIS 1297 = 18 Wall. 129 (1874).</w:t>
      </w:r>
    </w:p>
  </w:footnote>
  <w:footnote w:id="1022">
    <w:p w14:paraId="23BE3A8D" w14:textId="77777777" w:rsidR="00074551" w:rsidRPr="00DA59F0" w:rsidRDefault="00074551" w:rsidP="00074551">
      <w:pPr>
        <w:pStyle w:val="Funotentext"/>
        <w:jc w:val="both"/>
      </w:pPr>
      <w:r>
        <w:rPr>
          <w:rStyle w:val="Funotenzeichen"/>
          <w:rFonts w:eastAsiaTheme="majorEastAsia"/>
        </w:rPr>
        <w:footnoteRef/>
      </w:r>
      <w:r w:rsidRPr="00DA59F0">
        <w:t xml:space="preserve"> </w:t>
      </w:r>
      <w:proofErr w:type="spellStart"/>
      <w:r w:rsidRPr="00DA59F0">
        <w:rPr>
          <w:i/>
        </w:rPr>
        <w:t>Bartemeyer</w:t>
      </w:r>
      <w:proofErr w:type="spellEnd"/>
      <w:r w:rsidRPr="00DA59F0">
        <w:rPr>
          <w:i/>
        </w:rPr>
        <w:t xml:space="preserve"> v. Iowa</w:t>
      </w:r>
      <w:r w:rsidRPr="00DA59F0">
        <w:t>, 85 U.S. 129 = 21 L. Ed. 929 = 1873 U.S. LEXIS 1297 = 18 Wall. 129 (1874).</w:t>
      </w:r>
    </w:p>
  </w:footnote>
  <w:footnote w:id="1023">
    <w:p w14:paraId="53D8F575" w14:textId="77777777" w:rsidR="00074551" w:rsidRPr="00E84010" w:rsidRDefault="00074551" w:rsidP="00074551">
      <w:pPr>
        <w:pStyle w:val="Funotentext"/>
        <w:jc w:val="both"/>
        <w:rPr>
          <w:lang w:val="en-US"/>
        </w:rPr>
      </w:pPr>
      <w:r>
        <w:rPr>
          <w:rStyle w:val="Funotenzeichen"/>
          <w:rFonts w:eastAsiaTheme="majorEastAsia"/>
        </w:rPr>
        <w:footnoteRef/>
      </w:r>
      <w:r w:rsidRPr="00E84010">
        <w:rPr>
          <w:lang w:val="en-US"/>
        </w:rPr>
        <w:t xml:space="preserve"> </w:t>
      </w:r>
      <w:proofErr w:type="spellStart"/>
      <w:r w:rsidRPr="00584023">
        <w:rPr>
          <w:i/>
          <w:lang w:val="en-US"/>
        </w:rPr>
        <w:t>Bartemeyer</w:t>
      </w:r>
      <w:proofErr w:type="spellEnd"/>
      <w:r w:rsidRPr="00584023">
        <w:rPr>
          <w:i/>
          <w:lang w:val="en-US"/>
        </w:rPr>
        <w:t xml:space="preserve"> v. Iowa</w:t>
      </w:r>
      <w:r w:rsidRPr="00E84010">
        <w:rPr>
          <w:lang w:val="en-US"/>
        </w:rPr>
        <w:t>, 85 U.S. 129</w:t>
      </w:r>
      <w:r w:rsidRPr="003B741A">
        <w:rPr>
          <w:lang w:val="en-US"/>
        </w:rPr>
        <w:t xml:space="preserve"> = 21 L. Ed. </w:t>
      </w:r>
      <w:r w:rsidRPr="00E84010">
        <w:rPr>
          <w:lang w:val="en-US"/>
        </w:rPr>
        <w:t>929</w:t>
      </w:r>
      <w:r w:rsidRPr="003B741A">
        <w:rPr>
          <w:lang w:val="en-US"/>
        </w:rPr>
        <w:t xml:space="preserve"> = 1873 U.S. LEXIS </w:t>
      </w:r>
      <w:r w:rsidRPr="00E84010">
        <w:rPr>
          <w:lang w:val="en-US"/>
        </w:rPr>
        <w:t>1297</w:t>
      </w:r>
      <w:r w:rsidRPr="003B741A">
        <w:rPr>
          <w:lang w:val="en-US"/>
        </w:rPr>
        <w:t xml:space="preserve"> = 18 Wall. </w:t>
      </w:r>
      <w:r w:rsidRPr="00E84010">
        <w:rPr>
          <w:lang w:val="en-US"/>
        </w:rPr>
        <w:t>129 (1874)</w:t>
      </w:r>
      <w:r>
        <w:rPr>
          <w:lang w:val="en-US"/>
        </w:rPr>
        <w:t>.</w:t>
      </w:r>
    </w:p>
  </w:footnote>
  <w:footnote w:id="1024">
    <w:p w14:paraId="454D7939" w14:textId="77777777" w:rsidR="00074551" w:rsidRPr="00E84010" w:rsidRDefault="00074551" w:rsidP="00074551">
      <w:pPr>
        <w:pStyle w:val="Funotentext"/>
        <w:jc w:val="both"/>
        <w:rPr>
          <w:lang w:val="en-US"/>
        </w:rPr>
      </w:pPr>
      <w:r>
        <w:rPr>
          <w:rStyle w:val="Funotenzeichen"/>
          <w:rFonts w:eastAsiaTheme="majorEastAsia"/>
        </w:rPr>
        <w:footnoteRef/>
      </w:r>
      <w:r w:rsidRPr="00E84010">
        <w:rPr>
          <w:lang w:val="en-US"/>
        </w:rPr>
        <w:t xml:space="preserve"> </w:t>
      </w:r>
      <w:proofErr w:type="spellStart"/>
      <w:r w:rsidRPr="00584023">
        <w:rPr>
          <w:i/>
          <w:lang w:val="en-US"/>
        </w:rPr>
        <w:t>Bartemeyer</w:t>
      </w:r>
      <w:proofErr w:type="spellEnd"/>
      <w:r w:rsidRPr="00584023">
        <w:rPr>
          <w:i/>
          <w:lang w:val="en-US"/>
        </w:rPr>
        <w:t xml:space="preserve"> v. Iowa</w:t>
      </w:r>
      <w:r w:rsidRPr="00E84010">
        <w:rPr>
          <w:lang w:val="en-US"/>
        </w:rPr>
        <w:t>, 85 U.S. 129</w:t>
      </w:r>
      <w:r w:rsidRPr="003B741A">
        <w:rPr>
          <w:lang w:val="en-US"/>
        </w:rPr>
        <w:t xml:space="preserve"> = 21 L. Ed. </w:t>
      </w:r>
      <w:r w:rsidRPr="00E84010">
        <w:rPr>
          <w:lang w:val="en-US"/>
        </w:rPr>
        <w:t>929</w:t>
      </w:r>
      <w:r w:rsidRPr="003B741A">
        <w:rPr>
          <w:lang w:val="en-US"/>
        </w:rPr>
        <w:t xml:space="preserve"> = 1873 U.S. LEXIS </w:t>
      </w:r>
      <w:r w:rsidRPr="00E84010">
        <w:rPr>
          <w:lang w:val="en-US"/>
        </w:rPr>
        <w:t>1297</w:t>
      </w:r>
      <w:r w:rsidRPr="003B741A">
        <w:rPr>
          <w:lang w:val="en-US"/>
        </w:rPr>
        <w:t xml:space="preserve"> = 18 Wall. </w:t>
      </w:r>
      <w:r w:rsidRPr="00E84010">
        <w:rPr>
          <w:lang w:val="en-US"/>
        </w:rPr>
        <w:t>129 (1874)</w:t>
      </w:r>
      <w:r>
        <w:rPr>
          <w:lang w:val="en-US"/>
        </w:rPr>
        <w:t>.</w:t>
      </w:r>
    </w:p>
  </w:footnote>
  <w:footnote w:id="1025">
    <w:p w14:paraId="483052E1" w14:textId="77777777" w:rsidR="00074551" w:rsidRPr="00033DAB" w:rsidRDefault="00074551" w:rsidP="00074551">
      <w:pPr>
        <w:pStyle w:val="Funotentext"/>
        <w:jc w:val="both"/>
        <w:rPr>
          <w:lang w:val="en-US"/>
        </w:rPr>
      </w:pPr>
      <w:r>
        <w:rPr>
          <w:rStyle w:val="Funotenzeichen"/>
        </w:rPr>
        <w:footnoteRef/>
      </w:r>
      <w:r w:rsidRPr="00033DAB">
        <w:rPr>
          <w:lang w:val="en-US"/>
        </w:rPr>
        <w:t xml:space="preserve"> </w:t>
      </w:r>
      <w:proofErr w:type="spellStart"/>
      <w:r w:rsidRPr="00584023">
        <w:rPr>
          <w:i/>
          <w:lang w:val="en-US"/>
        </w:rPr>
        <w:t>Bartemeyer</w:t>
      </w:r>
      <w:proofErr w:type="spellEnd"/>
      <w:r w:rsidRPr="00584023">
        <w:rPr>
          <w:i/>
          <w:lang w:val="en-US"/>
        </w:rPr>
        <w:t xml:space="preserve"> v. Iowa</w:t>
      </w:r>
      <w:r w:rsidRPr="00033DAB">
        <w:rPr>
          <w:lang w:val="en-US"/>
        </w:rPr>
        <w:t>, 85 U.S. 129, 135</w:t>
      </w:r>
      <w:r w:rsidRPr="003B741A">
        <w:rPr>
          <w:lang w:val="en-US"/>
        </w:rPr>
        <w:t xml:space="preserve"> = 21 L. Ed. </w:t>
      </w:r>
      <w:r w:rsidRPr="00033DAB">
        <w:rPr>
          <w:lang w:val="en-US"/>
        </w:rPr>
        <w:t>929, 931</w:t>
      </w:r>
      <w:r w:rsidRPr="003B741A">
        <w:rPr>
          <w:lang w:val="en-US"/>
        </w:rPr>
        <w:t xml:space="preserve"> = 1873 U.S. LEXIS </w:t>
      </w:r>
      <w:r w:rsidRPr="00033DAB">
        <w:rPr>
          <w:lang w:val="en-US"/>
        </w:rPr>
        <w:t>1297, 12</w:t>
      </w:r>
      <w:r w:rsidRPr="003B741A">
        <w:rPr>
          <w:lang w:val="en-US"/>
        </w:rPr>
        <w:t xml:space="preserve"> = 18 Wall. </w:t>
      </w:r>
      <w:r w:rsidRPr="00033DAB">
        <w:rPr>
          <w:lang w:val="en-US"/>
        </w:rPr>
        <w:t>129 (1874)</w:t>
      </w:r>
      <w:r>
        <w:rPr>
          <w:lang w:val="en-US"/>
        </w:rPr>
        <w:t>.</w:t>
      </w:r>
    </w:p>
  </w:footnote>
  <w:footnote w:id="1026">
    <w:p w14:paraId="00E84D0C"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Pr>
          <w:lang w:val="en-US"/>
        </w:rPr>
        <w:t>§ </w:t>
      </w:r>
      <w:r w:rsidRPr="00503916">
        <w:rPr>
          <w:lang w:val="en-US"/>
        </w:rPr>
        <w:t>459.010. Definitions</w:t>
      </w:r>
      <w:r>
        <w:rPr>
          <w:lang w:val="en-US"/>
        </w:rPr>
        <w:t xml:space="preserve"> a</w:t>
      </w:r>
      <w:r w:rsidRPr="00503916">
        <w:rPr>
          <w:lang w:val="en-US"/>
        </w:rPr>
        <w:t>s used in sections 459.010 to 459.055, the following terms mean:</w:t>
      </w:r>
      <w:r>
        <w:rPr>
          <w:lang w:val="en-US"/>
        </w:rPr>
        <w:t xml:space="preserve"> </w:t>
      </w:r>
      <w:r w:rsidRPr="00503916">
        <w:rPr>
          <w:lang w:val="en-US"/>
        </w:rPr>
        <w:t>(1) “Attending physician”, the physician selected by, or assigned to, the patient who has primary responsibility for the treatment and care of the patient;</w:t>
      </w:r>
      <w:r>
        <w:rPr>
          <w:lang w:val="en-US"/>
        </w:rPr>
        <w:t xml:space="preserve"> </w:t>
      </w:r>
      <w:r w:rsidRPr="00503916">
        <w:rPr>
          <w:lang w:val="en-US"/>
        </w:rPr>
        <w:t>(2) “Competent person”, a person eighteen years of age or older of sound mind who is able to receive and evaluate information and to communicate a decision;</w:t>
      </w:r>
      <w:r>
        <w:rPr>
          <w:lang w:val="en-US"/>
        </w:rPr>
        <w:t xml:space="preserve"> </w:t>
      </w:r>
      <w:r w:rsidRPr="00503916">
        <w:rPr>
          <w:lang w:val="en-US"/>
        </w:rPr>
        <w:t>(3) “Death-prolonging procedure”, any medical procedure or intervention which, when applied to a patient, would serve only to prolong artificially the dying process and where, in the judgment of the attending physician pursuant to usual and customary medical standards, death will occur within a short time whether or not such procedure or intervention is utilized. Death-prolonging procedure shall not include the administration of medication or the performance of medical procedure deemed necessary to provide comfort, care or to alleviate pain nor the performance of any procedure to provide nutrition or hydration;</w:t>
      </w:r>
      <w:r>
        <w:rPr>
          <w:lang w:val="en-US"/>
        </w:rPr>
        <w:t xml:space="preserve"> </w:t>
      </w:r>
      <w:r w:rsidRPr="00503916">
        <w:rPr>
          <w:lang w:val="en-US"/>
        </w:rPr>
        <w:t>(4) “Declaration”, a document executed in accordance with the requirements of section 459.015;</w:t>
      </w:r>
      <w:r>
        <w:rPr>
          <w:lang w:val="en-US"/>
        </w:rPr>
        <w:t xml:space="preserve"> </w:t>
      </w:r>
      <w:r w:rsidRPr="00503916">
        <w:rPr>
          <w:lang w:val="en-US"/>
        </w:rPr>
        <w:t>(5) “Physician”, a person licensed to practice medicine and surgery by the state board of registration for the healing arts;</w:t>
      </w:r>
      <w:r>
        <w:rPr>
          <w:lang w:val="en-US"/>
        </w:rPr>
        <w:t xml:space="preserve"> </w:t>
      </w:r>
      <w:r w:rsidRPr="00503916">
        <w:rPr>
          <w:lang w:val="en-US"/>
        </w:rPr>
        <w:t>(6) “Terminal condition”, an incurable or irreversible condition which, in the opinion of the attending physician, is such that death will occur within a short time regardless of the application of medical procedures.</w:t>
      </w:r>
    </w:p>
  </w:footnote>
  <w:footnote w:id="1027">
    <w:p w14:paraId="6AE06786" w14:textId="77777777" w:rsidR="00074551" w:rsidRPr="007A7A15" w:rsidRDefault="00074551" w:rsidP="00074551">
      <w:pPr>
        <w:pStyle w:val="Funotentext"/>
        <w:rPr>
          <w:lang w:val="en-US"/>
        </w:rPr>
      </w:pPr>
      <w:r>
        <w:rPr>
          <w:rStyle w:val="Funotenzeichen"/>
        </w:rPr>
        <w:footnoteRef/>
      </w:r>
      <w:r w:rsidRPr="007A7A15">
        <w:rPr>
          <w:lang w:val="en-US"/>
        </w:rPr>
        <w:t xml:space="preserve"> Cruzan v. Dir., Mo. </w:t>
      </w:r>
      <w:proofErr w:type="spellStart"/>
      <w:r w:rsidRPr="007A7A15">
        <w:rPr>
          <w:lang w:val="en-US"/>
        </w:rPr>
        <w:t>Dep</w:t>
      </w:r>
      <w:r>
        <w:rPr>
          <w:lang w:val="en-US"/>
        </w:rPr>
        <w:t>’</w:t>
      </w:r>
      <w:r w:rsidRPr="007A7A15">
        <w:rPr>
          <w:lang w:val="en-US"/>
        </w:rPr>
        <w:t>t</w:t>
      </w:r>
      <w:proofErr w:type="spellEnd"/>
      <w:r w:rsidRPr="007A7A15">
        <w:rPr>
          <w:lang w:val="en-US"/>
        </w:rPr>
        <w:t xml:space="preserve"> of Health, 497 U.S. 261, 265, 110 S. Ct. 2841, 2844, 111 L. Ed. 2d 224, 234, 1990 U.S. LEXIS 3301, 1, 58 U.S.L.W. 4916 (1990)</w:t>
      </w:r>
    </w:p>
  </w:footnote>
  <w:footnote w:id="1028">
    <w:p w14:paraId="3DF0794A"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331</w:t>
      </w:r>
      <w:r>
        <w:rPr>
          <w:lang w:val="en-US"/>
        </w:rPr>
        <w:t xml:space="preserve"> = 110 S. Ct</w:t>
      </w:r>
      <w:r w:rsidRPr="00BA1E56">
        <w:rPr>
          <w:lang w:val="en-US"/>
        </w:rPr>
        <w:t>. 2841, 2879</w:t>
      </w:r>
      <w:r>
        <w:rPr>
          <w:lang w:val="en-US"/>
        </w:rPr>
        <w:t xml:space="preserve"> = 111 L. Ed. </w:t>
      </w:r>
      <w:r w:rsidRPr="00BA1E56">
        <w:rPr>
          <w:lang w:val="en-US"/>
        </w:rPr>
        <w:t>2d 224, 275</w:t>
      </w:r>
      <w:r>
        <w:rPr>
          <w:lang w:val="en-US"/>
        </w:rPr>
        <w:t xml:space="preserve"> = 1990 U.S. LEXIS </w:t>
      </w:r>
      <w:r w:rsidRPr="00BA1E56">
        <w:rPr>
          <w:lang w:val="en-US"/>
        </w:rPr>
        <w:t>3301, 122</w:t>
      </w:r>
      <w:r>
        <w:rPr>
          <w:lang w:val="en-US"/>
        </w:rPr>
        <w:t xml:space="preserve"> = 58 U.S.L.W. </w:t>
      </w:r>
      <w:r w:rsidRPr="00BA1E56">
        <w:rPr>
          <w:lang w:val="en-US"/>
        </w:rPr>
        <w:t>4916 (1990)</w:t>
      </w:r>
      <w:r>
        <w:rPr>
          <w:lang w:val="en-US"/>
        </w:rPr>
        <w:t>.</w:t>
      </w:r>
    </w:p>
  </w:footnote>
  <w:footnote w:id="1029">
    <w:p w14:paraId="4D69E99E"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503916">
        <w:rPr>
          <w:lang w:val="en-US"/>
        </w:rPr>
        <w:t>, 497 U.S. 261, 330</w:t>
      </w:r>
      <w:r>
        <w:rPr>
          <w:lang w:val="en-US"/>
        </w:rPr>
        <w:t xml:space="preserve"> = 110 S. Ct</w:t>
      </w:r>
      <w:r w:rsidRPr="00503916">
        <w:rPr>
          <w:lang w:val="en-US"/>
        </w:rPr>
        <w:t>. 2841, 2878</w:t>
      </w:r>
      <w:r>
        <w:rPr>
          <w:lang w:val="en-US"/>
        </w:rPr>
        <w:t xml:space="preserve"> = 111 L. Ed. </w:t>
      </w:r>
      <w:r w:rsidRPr="00503916">
        <w:rPr>
          <w:lang w:val="en-US"/>
        </w:rPr>
        <w:t>2d 224, 275</w:t>
      </w:r>
      <w:r>
        <w:rPr>
          <w:lang w:val="en-US"/>
        </w:rPr>
        <w:t xml:space="preserve"> = 1990 U.S. LEXIS </w:t>
      </w:r>
      <w:r w:rsidRPr="00503916">
        <w:rPr>
          <w:lang w:val="en-US"/>
        </w:rPr>
        <w:t>3301, 122</w:t>
      </w:r>
      <w:r>
        <w:rPr>
          <w:lang w:val="en-US"/>
        </w:rPr>
        <w:t xml:space="preserve"> = 58 U.S.L.W. </w:t>
      </w:r>
      <w:r w:rsidRPr="00503916">
        <w:rPr>
          <w:lang w:val="en-US"/>
        </w:rPr>
        <w:t>4916 (1990)</w:t>
      </w:r>
      <w:r>
        <w:rPr>
          <w:lang w:val="en-US"/>
        </w:rPr>
        <w:t>.</w:t>
      </w:r>
    </w:p>
  </w:footnote>
  <w:footnote w:id="1030">
    <w:p w14:paraId="73343527"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503916">
        <w:rPr>
          <w:lang w:val="en-US"/>
        </w:rPr>
        <w:t>, 497 U.S. 261, 330</w:t>
      </w:r>
      <w:r>
        <w:rPr>
          <w:lang w:val="en-US"/>
        </w:rPr>
        <w:t xml:space="preserve"> = 110 S. Ct</w:t>
      </w:r>
      <w:r w:rsidRPr="00503916">
        <w:rPr>
          <w:lang w:val="en-US"/>
        </w:rPr>
        <w:t>. 2841, 2878</w:t>
      </w:r>
      <w:r>
        <w:rPr>
          <w:lang w:val="en-US"/>
        </w:rPr>
        <w:t xml:space="preserve"> = 111 L. Ed. </w:t>
      </w:r>
      <w:r w:rsidRPr="00503916">
        <w:rPr>
          <w:lang w:val="en-US"/>
        </w:rPr>
        <w:t>2d 224, 275</w:t>
      </w:r>
      <w:r>
        <w:rPr>
          <w:lang w:val="en-US"/>
        </w:rPr>
        <w:t xml:space="preserve"> = 1990 U.S. LEXIS </w:t>
      </w:r>
      <w:r w:rsidRPr="00503916">
        <w:rPr>
          <w:lang w:val="en-US"/>
        </w:rPr>
        <w:t>3301, 122</w:t>
      </w:r>
      <w:r>
        <w:rPr>
          <w:lang w:val="en-US"/>
        </w:rPr>
        <w:t xml:space="preserve"> = 58 U.S.L.W. </w:t>
      </w:r>
      <w:r w:rsidRPr="00503916">
        <w:rPr>
          <w:lang w:val="en-US"/>
        </w:rPr>
        <w:t>4916 (1990)</w:t>
      </w:r>
      <w:r>
        <w:rPr>
          <w:lang w:val="en-US"/>
        </w:rPr>
        <w:t>.</w:t>
      </w:r>
    </w:p>
  </w:footnote>
  <w:footnote w:id="1031">
    <w:p w14:paraId="34E80271"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503916">
        <w:rPr>
          <w:lang w:val="en-US"/>
        </w:rPr>
        <w:t>, 497 U.S. 261</w:t>
      </w:r>
      <w:r>
        <w:rPr>
          <w:lang w:val="en-US"/>
        </w:rPr>
        <w:t xml:space="preserve">, </w:t>
      </w:r>
      <w:r w:rsidRPr="00503916">
        <w:rPr>
          <w:lang w:val="en-US"/>
        </w:rPr>
        <w:t>278</w:t>
      </w:r>
      <w:r>
        <w:rPr>
          <w:lang w:val="en-US"/>
        </w:rPr>
        <w:t>–</w:t>
      </w:r>
      <w:r w:rsidRPr="00503916">
        <w:rPr>
          <w:lang w:val="en-US"/>
        </w:rPr>
        <w:t>279</w:t>
      </w:r>
      <w:r>
        <w:rPr>
          <w:lang w:val="en-US"/>
        </w:rPr>
        <w:t xml:space="preserve"> </w:t>
      </w:r>
      <w:r w:rsidRPr="00503916">
        <w:rPr>
          <w:lang w:val="en-US"/>
        </w:rPr>
        <w:t>(1990)</w:t>
      </w:r>
      <w:r>
        <w:rPr>
          <w:lang w:val="en-US"/>
        </w:rPr>
        <w:t>.</w:t>
      </w:r>
    </w:p>
  </w:footnote>
  <w:footnote w:id="1032">
    <w:p w14:paraId="43B28AD5"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503916">
        <w:rPr>
          <w:lang w:val="en-US"/>
        </w:rPr>
        <w:t>, 497 U.S. 261</w:t>
      </w:r>
      <w:r>
        <w:rPr>
          <w:lang w:val="en-US"/>
        </w:rPr>
        <w:t xml:space="preserve">, </w:t>
      </w:r>
      <w:r w:rsidRPr="00503916">
        <w:rPr>
          <w:lang w:val="en-US"/>
        </w:rPr>
        <w:t>2</w:t>
      </w:r>
      <w:r>
        <w:rPr>
          <w:lang w:val="en-US"/>
        </w:rPr>
        <w:t xml:space="preserve">84–285 </w:t>
      </w:r>
      <w:r w:rsidRPr="00503916">
        <w:rPr>
          <w:lang w:val="en-US"/>
        </w:rPr>
        <w:t>(1990)</w:t>
      </w:r>
      <w:r>
        <w:rPr>
          <w:lang w:val="en-US"/>
        </w:rPr>
        <w:t>.</w:t>
      </w:r>
    </w:p>
  </w:footnote>
  <w:footnote w:id="1033">
    <w:p w14:paraId="3384E8CB"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503916">
        <w:rPr>
          <w:lang w:val="en-US"/>
        </w:rPr>
        <w:t>, 497 U.S. 261</w:t>
      </w:r>
      <w:r>
        <w:rPr>
          <w:lang w:val="en-US"/>
        </w:rPr>
        <w:t xml:space="preserve">, </w:t>
      </w:r>
      <w:r w:rsidRPr="00503916">
        <w:rPr>
          <w:lang w:val="en-US"/>
        </w:rPr>
        <w:t>278</w:t>
      </w:r>
      <w:r>
        <w:rPr>
          <w:lang w:val="en-US"/>
        </w:rPr>
        <w:t xml:space="preserve"> </w:t>
      </w:r>
      <w:r w:rsidRPr="00503916">
        <w:rPr>
          <w:lang w:val="en-US"/>
        </w:rPr>
        <w:t>(1990)</w:t>
      </w:r>
      <w:r>
        <w:rPr>
          <w:lang w:val="en-US"/>
        </w:rPr>
        <w:t>.</w:t>
      </w:r>
    </w:p>
  </w:footnote>
  <w:footnote w:id="1034">
    <w:p w14:paraId="0CE37E4E"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503916">
        <w:rPr>
          <w:lang w:val="en-US"/>
        </w:rPr>
        <w:t>, 497 U.S. 261, 330</w:t>
      </w:r>
      <w:r>
        <w:rPr>
          <w:lang w:val="en-US"/>
        </w:rPr>
        <w:t xml:space="preserve"> = 110 S. Ct</w:t>
      </w:r>
      <w:r w:rsidRPr="00503916">
        <w:rPr>
          <w:lang w:val="en-US"/>
        </w:rPr>
        <w:t>. 2841, 2878</w:t>
      </w:r>
      <w:r>
        <w:rPr>
          <w:lang w:val="en-US"/>
        </w:rPr>
        <w:t xml:space="preserve"> = 111 L. Ed. </w:t>
      </w:r>
      <w:r w:rsidRPr="00503916">
        <w:rPr>
          <w:lang w:val="en-US"/>
        </w:rPr>
        <w:t>2d 224, 275</w:t>
      </w:r>
      <w:r>
        <w:rPr>
          <w:lang w:val="en-US"/>
        </w:rPr>
        <w:t xml:space="preserve"> = 1990 U.S. LEXIS </w:t>
      </w:r>
      <w:r w:rsidRPr="00503916">
        <w:rPr>
          <w:lang w:val="en-US"/>
        </w:rPr>
        <w:t>3301, 122</w:t>
      </w:r>
      <w:r>
        <w:rPr>
          <w:lang w:val="en-US"/>
        </w:rPr>
        <w:t xml:space="preserve"> = 58 U.S.L.W. </w:t>
      </w:r>
      <w:r w:rsidRPr="00503916">
        <w:rPr>
          <w:lang w:val="en-US"/>
        </w:rPr>
        <w:t>4916 (1990)</w:t>
      </w:r>
      <w:r>
        <w:rPr>
          <w:lang w:val="en-US"/>
        </w:rPr>
        <w:t>.</w:t>
      </w:r>
    </w:p>
  </w:footnote>
  <w:footnote w:id="1035">
    <w:p w14:paraId="0E711F8D" w14:textId="77777777" w:rsidR="00074551" w:rsidRPr="00B079B6" w:rsidRDefault="00074551" w:rsidP="00074551">
      <w:pPr>
        <w:pStyle w:val="Funotentext"/>
        <w:rPr>
          <w:lang w:val="en-US"/>
        </w:rPr>
      </w:pPr>
      <w:r>
        <w:rPr>
          <w:rStyle w:val="Funotenzeichen"/>
          <w:rFonts w:eastAsiaTheme="majorEastAsia"/>
        </w:rPr>
        <w:footnoteRef/>
      </w:r>
      <w:r w:rsidRPr="00B079B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355</w:t>
      </w:r>
      <w:r>
        <w:rPr>
          <w:lang w:val="en-US"/>
        </w:rPr>
        <w:t xml:space="preserve"> = 110 S. Ct</w:t>
      </w:r>
      <w:r w:rsidRPr="00BA1E56">
        <w:rPr>
          <w:lang w:val="en-US"/>
        </w:rPr>
        <w:t>. 2841, 2891</w:t>
      </w:r>
      <w:r>
        <w:rPr>
          <w:lang w:val="en-US"/>
        </w:rPr>
        <w:t xml:space="preserve"> = 111 L. Ed. </w:t>
      </w:r>
      <w:r w:rsidRPr="00BA1E56">
        <w:rPr>
          <w:lang w:val="en-US"/>
        </w:rPr>
        <w:t>2d 224, 290</w:t>
      </w:r>
      <w:r>
        <w:rPr>
          <w:lang w:val="en-US"/>
        </w:rPr>
        <w:t xml:space="preserve"> = 1990 U.S. LEXIS </w:t>
      </w:r>
      <w:r w:rsidRPr="00BA1E56">
        <w:rPr>
          <w:lang w:val="en-US"/>
        </w:rPr>
        <w:t>3301, 162</w:t>
      </w:r>
      <w:r>
        <w:rPr>
          <w:lang w:val="en-US"/>
        </w:rPr>
        <w:t xml:space="preserve"> = 58 U.S.L.W. </w:t>
      </w:r>
      <w:r w:rsidRPr="00BA1E56">
        <w:rPr>
          <w:lang w:val="en-US"/>
        </w:rPr>
        <w:t>4916 (1990)</w:t>
      </w:r>
      <w:r>
        <w:rPr>
          <w:lang w:val="en-US"/>
        </w:rPr>
        <w:t>.</w:t>
      </w:r>
    </w:p>
  </w:footnote>
  <w:footnote w:id="1036">
    <w:p w14:paraId="24D413F4"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355</w:t>
      </w:r>
      <w:r>
        <w:rPr>
          <w:lang w:val="en-US"/>
        </w:rPr>
        <w:t xml:space="preserve"> = 110 S. Ct</w:t>
      </w:r>
      <w:r w:rsidRPr="00BA1E56">
        <w:rPr>
          <w:lang w:val="en-US"/>
        </w:rPr>
        <w:t>. 2841, 2891</w:t>
      </w:r>
      <w:r>
        <w:rPr>
          <w:lang w:val="en-US"/>
        </w:rPr>
        <w:t xml:space="preserve"> = 111 L. Ed. </w:t>
      </w:r>
      <w:r w:rsidRPr="00BA1E56">
        <w:rPr>
          <w:lang w:val="en-US"/>
        </w:rPr>
        <w:t>2d 224, 290</w:t>
      </w:r>
      <w:r>
        <w:rPr>
          <w:lang w:val="en-US"/>
        </w:rPr>
        <w:t xml:space="preserve"> = 1990 U.S. LEXIS </w:t>
      </w:r>
      <w:r w:rsidRPr="00BA1E56">
        <w:rPr>
          <w:lang w:val="en-US"/>
        </w:rPr>
        <w:t>3301, 162</w:t>
      </w:r>
      <w:r>
        <w:rPr>
          <w:lang w:val="en-US"/>
        </w:rPr>
        <w:t xml:space="preserve"> = 58 U.S.L.W. </w:t>
      </w:r>
      <w:r w:rsidRPr="00BA1E56">
        <w:rPr>
          <w:lang w:val="en-US"/>
        </w:rPr>
        <w:t>4916 (1990)</w:t>
      </w:r>
      <w:r>
        <w:rPr>
          <w:lang w:val="en-US"/>
        </w:rPr>
        <w:t>.</w:t>
      </w:r>
    </w:p>
  </w:footnote>
  <w:footnote w:id="1037">
    <w:p w14:paraId="770E462A"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355</w:t>
      </w:r>
      <w:r>
        <w:rPr>
          <w:lang w:val="en-US"/>
        </w:rPr>
        <w:t xml:space="preserve"> = 110 S. Ct</w:t>
      </w:r>
      <w:r w:rsidRPr="00BA1E56">
        <w:rPr>
          <w:lang w:val="en-US"/>
        </w:rPr>
        <w:t>. 2841, 2891</w:t>
      </w:r>
      <w:r>
        <w:rPr>
          <w:lang w:val="en-US"/>
        </w:rPr>
        <w:t xml:space="preserve"> = 111 L. Ed. </w:t>
      </w:r>
      <w:r w:rsidRPr="00BA1E56">
        <w:rPr>
          <w:lang w:val="en-US"/>
        </w:rPr>
        <w:t>2d 224, 290</w:t>
      </w:r>
      <w:r>
        <w:rPr>
          <w:lang w:val="en-US"/>
        </w:rPr>
        <w:t xml:space="preserve"> = 1990 U.S. LEXIS </w:t>
      </w:r>
      <w:r w:rsidRPr="00BA1E56">
        <w:rPr>
          <w:lang w:val="en-US"/>
        </w:rPr>
        <w:t>3301, 162</w:t>
      </w:r>
      <w:r>
        <w:rPr>
          <w:lang w:val="en-US"/>
        </w:rPr>
        <w:t xml:space="preserve"> = 58 U.S.L.W. </w:t>
      </w:r>
      <w:r w:rsidRPr="00BA1E56">
        <w:rPr>
          <w:lang w:val="en-US"/>
        </w:rPr>
        <w:t>4916 (1990)</w:t>
      </w:r>
      <w:r>
        <w:rPr>
          <w:lang w:val="en-US"/>
        </w:rPr>
        <w:t>.</w:t>
      </w:r>
    </w:p>
  </w:footnote>
  <w:footnote w:id="1038">
    <w:p w14:paraId="79A6A0E1"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330</w:t>
      </w:r>
      <w:r>
        <w:rPr>
          <w:lang w:val="en-US"/>
        </w:rPr>
        <w:t xml:space="preserve"> = 110 S. Ct</w:t>
      </w:r>
      <w:r w:rsidRPr="00BA1E56">
        <w:rPr>
          <w:lang w:val="en-US"/>
        </w:rPr>
        <w:t>. 2841, 2878</w:t>
      </w:r>
      <w:r>
        <w:rPr>
          <w:lang w:val="en-US"/>
        </w:rPr>
        <w:t xml:space="preserve"> = 111 L. Ed. </w:t>
      </w:r>
      <w:r w:rsidRPr="00BA1E56">
        <w:rPr>
          <w:lang w:val="en-US"/>
        </w:rPr>
        <w:t>2d 224, 275</w:t>
      </w:r>
      <w:r>
        <w:rPr>
          <w:lang w:val="en-US"/>
        </w:rPr>
        <w:t xml:space="preserve"> = 1990 U.S. LEXIS </w:t>
      </w:r>
      <w:r w:rsidRPr="00BA1E56">
        <w:rPr>
          <w:lang w:val="en-US"/>
        </w:rPr>
        <w:t>3301, 122</w:t>
      </w:r>
      <w:r>
        <w:rPr>
          <w:lang w:val="en-US"/>
        </w:rPr>
        <w:t xml:space="preserve"> = 58 U.S.L.W. </w:t>
      </w:r>
      <w:r w:rsidRPr="00BA1E56">
        <w:rPr>
          <w:lang w:val="en-US"/>
        </w:rPr>
        <w:t>4916 (1990)</w:t>
      </w:r>
      <w:r>
        <w:rPr>
          <w:lang w:val="en-US"/>
        </w:rPr>
        <w:t>.</w:t>
      </w:r>
    </w:p>
  </w:footnote>
  <w:footnote w:id="1039">
    <w:p w14:paraId="0876E009" w14:textId="77777777" w:rsidR="00074551" w:rsidRPr="007A100A" w:rsidRDefault="00074551" w:rsidP="00074551">
      <w:pPr>
        <w:pStyle w:val="Funotentext"/>
        <w:rPr>
          <w:lang w:val="en-US"/>
        </w:rPr>
      </w:pPr>
      <w:r>
        <w:rPr>
          <w:rStyle w:val="Funotenzeichen"/>
        </w:rPr>
        <w:footnoteRef/>
      </w:r>
      <w:r w:rsidRPr="007A100A">
        <w:t xml:space="preserve"> Vgl. hie</w:t>
      </w:r>
      <w:r>
        <w:t>r</w:t>
      </w:r>
      <w:r w:rsidRPr="007A100A">
        <w:t xml:space="preserve"> im Ausschnitt vorgetragen: „App. to </w:t>
      </w:r>
      <w:proofErr w:type="spellStart"/>
      <w:r w:rsidRPr="007A100A">
        <w:t>Pet</w:t>
      </w:r>
      <w:proofErr w:type="spellEnd"/>
      <w:r w:rsidRPr="007A100A">
        <w:t xml:space="preserve">. for </w:t>
      </w:r>
      <w:proofErr w:type="spellStart"/>
      <w:r w:rsidRPr="007A100A">
        <w:t>Cert</w:t>
      </w:r>
      <w:proofErr w:type="spellEnd"/>
      <w:r w:rsidRPr="007A100A">
        <w:t xml:space="preserve">. </w:t>
      </w:r>
      <w:r w:rsidRPr="007A100A">
        <w:rPr>
          <w:lang w:val="en-US"/>
        </w:rPr>
        <w:t xml:space="preserve">B-3. </w:t>
      </w:r>
      <w:proofErr w:type="gramStart"/>
      <w:r>
        <w:rPr>
          <w:lang w:val="en-US"/>
        </w:rPr>
        <w:t>,</w:t>
      </w:r>
      <w:r w:rsidRPr="007A100A">
        <w:rPr>
          <w:lang w:val="en-US"/>
        </w:rPr>
        <w:t>Mental</w:t>
      </w:r>
      <w:proofErr w:type="gramEnd"/>
      <w:r w:rsidRPr="007A100A">
        <w:rPr>
          <w:lang w:val="en-US"/>
        </w:rPr>
        <w:t xml:space="preserve"> </w:t>
      </w:r>
      <w:proofErr w:type="gramStart"/>
      <w:r w:rsidRPr="007A100A">
        <w:rPr>
          <w:lang w:val="en-US"/>
        </w:rPr>
        <w:t>disorder</w:t>
      </w:r>
      <w:r>
        <w:rPr>
          <w:lang w:val="en-US"/>
        </w:rPr>
        <w:t>‘</w:t>
      </w:r>
      <w:r w:rsidRPr="007A100A">
        <w:rPr>
          <w:lang w:val="en-US"/>
        </w:rPr>
        <w:t xml:space="preserve"> means </w:t>
      </w:r>
      <w:r>
        <w:rPr>
          <w:lang w:val="en-US"/>
        </w:rPr>
        <w:t>,</w:t>
      </w:r>
      <w:r w:rsidRPr="007A100A">
        <w:rPr>
          <w:lang w:val="en-US"/>
        </w:rPr>
        <w:t>any</w:t>
      </w:r>
      <w:proofErr w:type="gramEnd"/>
      <w:r w:rsidRPr="007A100A">
        <w:rPr>
          <w:lang w:val="en-US"/>
        </w:rPr>
        <w:t xml:space="preserve"> organic, mental, or emotional impairment which has substantial adverse effects on an individual</w:t>
      </w:r>
      <w:r>
        <w:rPr>
          <w:lang w:val="en-US"/>
        </w:rPr>
        <w:t>’</w:t>
      </w:r>
      <w:r w:rsidRPr="007A100A">
        <w:rPr>
          <w:lang w:val="en-US"/>
        </w:rPr>
        <w:t xml:space="preserve">s cognitive or volitional </w:t>
      </w:r>
      <w:proofErr w:type="gramStart"/>
      <w:r w:rsidRPr="007A100A">
        <w:rPr>
          <w:lang w:val="en-US"/>
        </w:rPr>
        <w:t>functions</w:t>
      </w:r>
      <w:r>
        <w:rPr>
          <w:lang w:val="en-US"/>
        </w:rPr>
        <w:t>‘</w:t>
      </w:r>
      <w:proofErr w:type="gramEnd"/>
      <w:r w:rsidRPr="007A100A">
        <w:rPr>
          <w:lang w:val="en-US"/>
        </w:rPr>
        <w:t xml:space="preserve">. Wash. Rev. Code </w:t>
      </w:r>
      <w:r>
        <w:rPr>
          <w:lang w:val="en-US"/>
        </w:rPr>
        <w:t>§ </w:t>
      </w:r>
      <w:r w:rsidRPr="007A100A">
        <w:rPr>
          <w:lang w:val="en-US"/>
        </w:rPr>
        <w:t xml:space="preserve">71.05.020(2) (1987). </w:t>
      </w:r>
      <w:proofErr w:type="gramStart"/>
      <w:r>
        <w:rPr>
          <w:lang w:val="en-US"/>
        </w:rPr>
        <w:t>,</w:t>
      </w:r>
      <w:r w:rsidRPr="007A100A">
        <w:rPr>
          <w:lang w:val="en-US"/>
        </w:rPr>
        <w:t>Gravely</w:t>
      </w:r>
      <w:proofErr w:type="gramEnd"/>
      <w:r w:rsidRPr="007A100A">
        <w:rPr>
          <w:lang w:val="en-US"/>
        </w:rPr>
        <w:t xml:space="preserve"> </w:t>
      </w:r>
      <w:proofErr w:type="gramStart"/>
      <w:r w:rsidRPr="007A100A">
        <w:rPr>
          <w:lang w:val="en-US"/>
        </w:rPr>
        <w:t>disabled</w:t>
      </w:r>
      <w:r>
        <w:rPr>
          <w:lang w:val="en-US"/>
        </w:rPr>
        <w:t>‘</w:t>
      </w:r>
      <w:r w:rsidRPr="007A100A">
        <w:rPr>
          <w:lang w:val="en-US"/>
        </w:rPr>
        <w:t xml:space="preserve"> means </w:t>
      </w:r>
      <w:r>
        <w:rPr>
          <w:lang w:val="en-US"/>
        </w:rPr>
        <w:t>,</w:t>
      </w:r>
      <w:r w:rsidRPr="007A100A">
        <w:rPr>
          <w:lang w:val="en-US"/>
        </w:rPr>
        <w:t>a</w:t>
      </w:r>
      <w:proofErr w:type="gramEnd"/>
      <w:r w:rsidRPr="007A100A">
        <w:rPr>
          <w:lang w:val="en-US"/>
        </w:rPr>
        <w:t xml:space="preserve"> condition in which a person, as a result of a mental disorder: (a) is in danger of serious physical harm resulting from a failure to provide for his essential human needs of health or safety, or (b) manifests severe deterioration in routine functioning evidenced by repeated and escalating loss of cognitive or volitional control over his or her actions and is not receiving such care as is essential for his or her health or </w:t>
      </w:r>
      <w:proofErr w:type="gramStart"/>
      <w:r w:rsidRPr="007A100A">
        <w:rPr>
          <w:lang w:val="en-US"/>
        </w:rPr>
        <w:t>safety.</w:t>
      </w:r>
      <w:r>
        <w:rPr>
          <w:lang w:val="en-US"/>
        </w:rPr>
        <w:t>‘</w:t>
      </w:r>
      <w:proofErr w:type="gramEnd"/>
      <w:r w:rsidRPr="007A100A">
        <w:rPr>
          <w:lang w:val="en-US"/>
        </w:rPr>
        <w:t xml:space="preserve"> </w:t>
      </w:r>
      <w:r>
        <w:rPr>
          <w:lang w:val="en-US"/>
        </w:rPr>
        <w:t>§ </w:t>
      </w:r>
      <w:r w:rsidRPr="007A100A">
        <w:rPr>
          <w:lang w:val="en-US"/>
        </w:rPr>
        <w:t xml:space="preserve">71.05.020(1). </w:t>
      </w:r>
      <w:r>
        <w:rPr>
          <w:lang w:val="en-US"/>
        </w:rPr>
        <w:t>,</w:t>
      </w:r>
      <w:r w:rsidRPr="007A100A">
        <w:rPr>
          <w:lang w:val="en-US"/>
        </w:rPr>
        <w:t>Likelihood of serious harm</w:t>
      </w:r>
      <w:r>
        <w:rPr>
          <w:lang w:val="en-US"/>
        </w:rPr>
        <w:t>‘</w:t>
      </w:r>
      <w:r w:rsidRPr="007A100A">
        <w:rPr>
          <w:lang w:val="en-US"/>
        </w:rPr>
        <w:t xml:space="preserve"> means </w:t>
      </w:r>
      <w:r>
        <w:rPr>
          <w:lang w:val="en-US"/>
        </w:rPr>
        <w:t>,</w:t>
      </w:r>
      <w:r w:rsidRPr="007A100A">
        <w:rPr>
          <w:lang w:val="en-US"/>
        </w:rPr>
        <w:t>either: (a) [a] substantial risk that physical harm will be inflicted by an individual upon his own person, as evidenced by threats or attempts to commit suicide or inflict physical harm on one</w:t>
      </w:r>
      <w:r>
        <w:rPr>
          <w:lang w:val="en-US"/>
        </w:rPr>
        <w:t>’</w:t>
      </w:r>
      <w:r w:rsidRPr="007A100A">
        <w:rPr>
          <w:lang w:val="en-US"/>
        </w:rPr>
        <w:t>s self, (b) a substantial risk that physical harm will be inflicted by an individual upon another, as evidenced by behavior which has caused such harm or which places another person or persons in reasonable fear of sustaining such harm, or (c) a substantial risk that physical harm will be inflicted by an individual upon the property of others, as evidenced by behavior which has caused substantial loss or damage to the property of others.</w:t>
      </w:r>
      <w:r>
        <w:rPr>
          <w:lang w:val="en-US"/>
        </w:rPr>
        <w:t>‘</w:t>
      </w:r>
      <w:r w:rsidRPr="007A100A">
        <w:rPr>
          <w:lang w:val="en-US"/>
        </w:rPr>
        <w:t xml:space="preserve"> </w:t>
      </w:r>
      <w:r>
        <w:rPr>
          <w:lang w:val="en-US"/>
        </w:rPr>
        <w:t>§ </w:t>
      </w:r>
      <w:r w:rsidRPr="007A100A">
        <w:rPr>
          <w:lang w:val="en-US"/>
        </w:rPr>
        <w:t xml:space="preserve">71.05.020(3)“, </w:t>
      </w:r>
      <w:r w:rsidRPr="009E57E1">
        <w:rPr>
          <w:i/>
          <w:lang w:val="en-US"/>
        </w:rPr>
        <w:t>Washington v. Harper</w:t>
      </w:r>
      <w:r w:rsidRPr="007A100A">
        <w:rPr>
          <w:lang w:val="en-US"/>
        </w:rPr>
        <w:t>, 494 U.S. 210, 215</w:t>
      </w:r>
      <w:r>
        <w:rPr>
          <w:lang w:val="en-US"/>
        </w:rPr>
        <w:t xml:space="preserve"> = 110 S. Ct</w:t>
      </w:r>
      <w:r w:rsidRPr="007A100A">
        <w:rPr>
          <w:lang w:val="en-US"/>
        </w:rPr>
        <w:t>. 1028, 1033</w:t>
      </w:r>
      <w:r>
        <w:rPr>
          <w:lang w:val="en-US"/>
        </w:rPr>
        <w:t xml:space="preserve"> = 108 L. Ed. </w:t>
      </w:r>
      <w:r w:rsidRPr="007A100A">
        <w:rPr>
          <w:lang w:val="en-US"/>
        </w:rPr>
        <w:t>2d 178, 194</w:t>
      </w:r>
      <w:r>
        <w:rPr>
          <w:lang w:val="en-US"/>
        </w:rPr>
        <w:t xml:space="preserve"> = 1990 U.S. LEXIS </w:t>
      </w:r>
      <w:r w:rsidRPr="007A100A">
        <w:rPr>
          <w:lang w:val="en-US"/>
        </w:rPr>
        <w:t>1174, 12</w:t>
      </w:r>
      <w:r>
        <w:rPr>
          <w:lang w:val="en-US"/>
        </w:rPr>
        <w:t xml:space="preserve"> = 58 U.S.L.W. </w:t>
      </w:r>
      <w:r w:rsidRPr="007A100A">
        <w:rPr>
          <w:lang w:val="en-US"/>
        </w:rPr>
        <w:t>4249 (1990)</w:t>
      </w:r>
      <w:r>
        <w:rPr>
          <w:lang w:val="en-US"/>
        </w:rPr>
        <w:t>.</w:t>
      </w:r>
    </w:p>
  </w:footnote>
  <w:footnote w:id="1040">
    <w:p w14:paraId="537D7C54" w14:textId="77777777" w:rsidR="00074551" w:rsidRPr="007A7A15" w:rsidRDefault="00074551" w:rsidP="00074551">
      <w:pPr>
        <w:pStyle w:val="Funotentext"/>
        <w:rPr>
          <w:lang w:val="en-US"/>
        </w:rPr>
      </w:pPr>
      <w:r>
        <w:rPr>
          <w:rStyle w:val="Funotenzeichen"/>
        </w:rPr>
        <w:footnoteRef/>
      </w:r>
      <w:r w:rsidRPr="007A7A15">
        <w:rPr>
          <w:lang w:val="en-US"/>
        </w:rPr>
        <w:t xml:space="preserve"> </w:t>
      </w:r>
      <w:r w:rsidRPr="009E57E1">
        <w:rPr>
          <w:i/>
          <w:lang w:val="en-US"/>
        </w:rPr>
        <w:t>Washington v. Harper</w:t>
      </w:r>
      <w:r w:rsidRPr="007A7A15">
        <w:rPr>
          <w:lang w:val="en-US"/>
        </w:rPr>
        <w:t>, 494 U.S. 210, 213</w:t>
      </w:r>
      <w:r>
        <w:rPr>
          <w:lang w:val="en-US"/>
        </w:rPr>
        <w:t xml:space="preserve"> = 110 S. Ct</w:t>
      </w:r>
      <w:r w:rsidRPr="007A7A15">
        <w:rPr>
          <w:lang w:val="en-US"/>
        </w:rPr>
        <w:t>. 1028, 1032</w:t>
      </w:r>
      <w:r>
        <w:rPr>
          <w:lang w:val="en-US"/>
        </w:rPr>
        <w:t xml:space="preserve"> = 108 L. Ed. </w:t>
      </w:r>
      <w:r w:rsidRPr="007A7A15">
        <w:rPr>
          <w:lang w:val="en-US"/>
        </w:rPr>
        <w:t>2d 178, 193</w:t>
      </w:r>
      <w:r>
        <w:rPr>
          <w:lang w:val="en-US"/>
        </w:rPr>
        <w:t xml:space="preserve"> = 1990 U.S. LEXIS </w:t>
      </w:r>
      <w:r w:rsidRPr="007A7A15">
        <w:rPr>
          <w:lang w:val="en-US"/>
        </w:rPr>
        <w:t>1174, 1</w:t>
      </w:r>
      <w:r>
        <w:rPr>
          <w:lang w:val="en-US"/>
        </w:rPr>
        <w:t xml:space="preserve"> = 58 U.S.L.W. </w:t>
      </w:r>
      <w:r w:rsidRPr="007A7A15">
        <w:rPr>
          <w:lang w:val="en-US"/>
        </w:rPr>
        <w:t>4249 (1990)</w:t>
      </w:r>
    </w:p>
  </w:footnote>
  <w:footnote w:id="1041">
    <w:p w14:paraId="10179229" w14:textId="77777777" w:rsidR="00074551" w:rsidRPr="007D7A85" w:rsidRDefault="00074551" w:rsidP="00074551">
      <w:pPr>
        <w:pStyle w:val="Funotentext"/>
        <w:rPr>
          <w:lang w:val="en-US"/>
        </w:rPr>
      </w:pPr>
      <w:r>
        <w:rPr>
          <w:rStyle w:val="Funotenzeichen"/>
          <w:rFonts w:eastAsiaTheme="majorEastAsia"/>
        </w:rPr>
        <w:footnoteRef/>
      </w:r>
      <w:r w:rsidRPr="007D7A85">
        <w:rPr>
          <w:lang w:val="en-US"/>
        </w:rPr>
        <w:t xml:space="preserve"> </w:t>
      </w:r>
      <w:r w:rsidRPr="009E57E1">
        <w:rPr>
          <w:i/>
          <w:lang w:val="en-US"/>
        </w:rPr>
        <w:t>Washington v. Harper</w:t>
      </w:r>
      <w:r w:rsidRPr="007D7A85">
        <w:rPr>
          <w:lang w:val="en-US"/>
        </w:rPr>
        <w:t>, 494 U.S. 210</w:t>
      </w:r>
      <w:r>
        <w:rPr>
          <w:lang w:val="en-US"/>
        </w:rPr>
        <w:t xml:space="preserve"> = 110 S. Ct</w:t>
      </w:r>
      <w:r w:rsidRPr="007D7A85">
        <w:rPr>
          <w:lang w:val="en-US"/>
        </w:rPr>
        <w:t>. 1028</w:t>
      </w:r>
      <w:r>
        <w:rPr>
          <w:lang w:val="en-US"/>
        </w:rPr>
        <w:t xml:space="preserve"> = 108 L. Ed. </w:t>
      </w:r>
      <w:r w:rsidRPr="007D7A85">
        <w:rPr>
          <w:lang w:val="en-US"/>
        </w:rPr>
        <w:t>2d 178</w:t>
      </w:r>
      <w:r>
        <w:rPr>
          <w:lang w:val="en-US"/>
        </w:rPr>
        <w:t xml:space="preserve"> = 1990 U.S. LEXIS </w:t>
      </w:r>
      <w:r w:rsidRPr="007D7A85">
        <w:rPr>
          <w:lang w:val="en-US"/>
        </w:rPr>
        <w:t>1174</w:t>
      </w:r>
      <w:r>
        <w:rPr>
          <w:lang w:val="en-US"/>
        </w:rPr>
        <w:t xml:space="preserve"> = 58 U.S.L.W. </w:t>
      </w:r>
      <w:r w:rsidRPr="007D7A85">
        <w:rPr>
          <w:lang w:val="en-US"/>
        </w:rPr>
        <w:t>4249 (1990)</w:t>
      </w:r>
      <w:r>
        <w:rPr>
          <w:lang w:val="en-US"/>
        </w:rPr>
        <w:t>.</w:t>
      </w:r>
    </w:p>
  </w:footnote>
  <w:footnote w:id="1042">
    <w:p w14:paraId="734EFB18" w14:textId="77777777" w:rsidR="00074551" w:rsidRPr="0059675B" w:rsidRDefault="00074551" w:rsidP="00074551">
      <w:pPr>
        <w:pStyle w:val="Funotentext"/>
        <w:rPr>
          <w:lang w:val="en-US"/>
        </w:rPr>
      </w:pPr>
      <w:r>
        <w:rPr>
          <w:rStyle w:val="Funotenzeichen"/>
          <w:rFonts w:eastAsiaTheme="majorEastAsia"/>
        </w:rPr>
        <w:footnoteRef/>
      </w:r>
      <w:r w:rsidRPr="0059675B">
        <w:rPr>
          <w:lang w:val="en-US"/>
        </w:rPr>
        <w:t xml:space="preserve"> </w:t>
      </w:r>
      <w:r w:rsidRPr="009E57E1">
        <w:rPr>
          <w:i/>
          <w:lang w:val="en-US"/>
        </w:rPr>
        <w:t>Washington v. Harper</w:t>
      </w:r>
      <w:r w:rsidRPr="0059675B">
        <w:rPr>
          <w:lang w:val="en-US"/>
        </w:rPr>
        <w:t>, 494 U.S. 210, 238</w:t>
      </w:r>
      <w:r>
        <w:rPr>
          <w:lang w:val="en-US"/>
        </w:rPr>
        <w:t xml:space="preserve"> = 110 S. Ct</w:t>
      </w:r>
      <w:r w:rsidRPr="0059675B">
        <w:rPr>
          <w:lang w:val="en-US"/>
        </w:rPr>
        <w:t>. 1028, 1045</w:t>
      </w:r>
      <w:r>
        <w:rPr>
          <w:lang w:val="en-US"/>
        </w:rPr>
        <w:t xml:space="preserve"> = 108 L. Ed. </w:t>
      </w:r>
      <w:r w:rsidRPr="0059675B">
        <w:rPr>
          <w:lang w:val="en-US"/>
        </w:rPr>
        <w:t>2d 178, 208</w:t>
      </w:r>
      <w:r>
        <w:rPr>
          <w:lang w:val="en-US"/>
        </w:rPr>
        <w:t xml:space="preserve"> = 1990 U.S. LEXIS </w:t>
      </w:r>
      <w:r w:rsidRPr="0059675B">
        <w:rPr>
          <w:lang w:val="en-US"/>
        </w:rPr>
        <w:t>1174, 53</w:t>
      </w:r>
      <w:r>
        <w:rPr>
          <w:lang w:val="en-US"/>
        </w:rPr>
        <w:t xml:space="preserve"> = 58 U.S.L.W. </w:t>
      </w:r>
      <w:r w:rsidRPr="0059675B">
        <w:rPr>
          <w:lang w:val="en-US"/>
        </w:rPr>
        <w:t>4249 (1990)</w:t>
      </w:r>
      <w:r>
        <w:rPr>
          <w:lang w:val="en-US"/>
        </w:rPr>
        <w:t>.</w:t>
      </w:r>
    </w:p>
  </w:footnote>
  <w:footnote w:id="1043">
    <w:p w14:paraId="3803BD82" w14:textId="77777777" w:rsidR="00074551" w:rsidRPr="0059675B" w:rsidRDefault="00074551" w:rsidP="00074551">
      <w:pPr>
        <w:pStyle w:val="Funotentext"/>
        <w:rPr>
          <w:lang w:val="en-US"/>
        </w:rPr>
      </w:pPr>
      <w:r>
        <w:rPr>
          <w:rStyle w:val="Funotenzeichen"/>
          <w:rFonts w:eastAsiaTheme="majorEastAsia"/>
        </w:rPr>
        <w:footnoteRef/>
      </w:r>
      <w:r w:rsidRPr="0059675B">
        <w:rPr>
          <w:lang w:val="en-US"/>
        </w:rPr>
        <w:t xml:space="preserve"> </w:t>
      </w:r>
      <w:r w:rsidRPr="009E57E1">
        <w:rPr>
          <w:i/>
          <w:lang w:val="en-US"/>
        </w:rPr>
        <w:t>Washington v. Harper</w:t>
      </w:r>
      <w:r w:rsidRPr="0059675B">
        <w:rPr>
          <w:lang w:val="en-US"/>
        </w:rPr>
        <w:t>, 494 U.S. 210, 238</w:t>
      </w:r>
      <w:r>
        <w:rPr>
          <w:lang w:val="en-US"/>
        </w:rPr>
        <w:t xml:space="preserve"> = 110 S. Ct</w:t>
      </w:r>
      <w:r w:rsidRPr="0059675B">
        <w:rPr>
          <w:lang w:val="en-US"/>
        </w:rPr>
        <w:t>. 1028, 1045</w:t>
      </w:r>
      <w:r>
        <w:rPr>
          <w:lang w:val="en-US"/>
        </w:rPr>
        <w:t xml:space="preserve"> = 108 L. Ed. </w:t>
      </w:r>
      <w:r w:rsidRPr="0059675B">
        <w:rPr>
          <w:lang w:val="en-US"/>
        </w:rPr>
        <w:t>2d 178, 208</w:t>
      </w:r>
      <w:r>
        <w:rPr>
          <w:lang w:val="en-US"/>
        </w:rPr>
        <w:t xml:space="preserve"> = 1990 U.S. LEXIS </w:t>
      </w:r>
      <w:r w:rsidRPr="0059675B">
        <w:rPr>
          <w:lang w:val="en-US"/>
        </w:rPr>
        <w:t>1174, 53</w:t>
      </w:r>
      <w:r>
        <w:rPr>
          <w:lang w:val="en-US"/>
        </w:rPr>
        <w:t xml:space="preserve"> = 58 U.S.L.W. </w:t>
      </w:r>
      <w:r w:rsidRPr="0059675B">
        <w:rPr>
          <w:lang w:val="en-US"/>
        </w:rPr>
        <w:t>4249 (1990)</w:t>
      </w:r>
      <w:r>
        <w:rPr>
          <w:lang w:val="en-US"/>
        </w:rPr>
        <w:t>.</w:t>
      </w:r>
    </w:p>
  </w:footnote>
  <w:footnote w:id="1044">
    <w:p w14:paraId="0289EC63" w14:textId="77777777" w:rsidR="00074551" w:rsidRPr="0059675B" w:rsidRDefault="00074551" w:rsidP="00074551">
      <w:pPr>
        <w:pStyle w:val="Funotentext"/>
        <w:rPr>
          <w:lang w:val="en-US"/>
        </w:rPr>
      </w:pPr>
      <w:r>
        <w:rPr>
          <w:rStyle w:val="Funotenzeichen"/>
          <w:rFonts w:eastAsiaTheme="majorEastAsia"/>
        </w:rPr>
        <w:footnoteRef/>
      </w:r>
      <w:r w:rsidRPr="0059675B">
        <w:rPr>
          <w:lang w:val="en-US"/>
        </w:rPr>
        <w:t xml:space="preserve"> </w:t>
      </w:r>
      <w:r w:rsidRPr="009E57E1">
        <w:rPr>
          <w:i/>
          <w:lang w:val="en-US"/>
        </w:rPr>
        <w:t>Washington v. Harper</w:t>
      </w:r>
      <w:r w:rsidRPr="0059675B">
        <w:rPr>
          <w:lang w:val="en-US"/>
        </w:rPr>
        <w:t>, 494 U.S. 210, 238</w:t>
      </w:r>
      <w:r>
        <w:rPr>
          <w:lang w:val="en-US"/>
        </w:rPr>
        <w:t xml:space="preserve"> = 110 S. Ct</w:t>
      </w:r>
      <w:r w:rsidRPr="0059675B">
        <w:rPr>
          <w:lang w:val="en-US"/>
        </w:rPr>
        <w:t>. 1028, 1045</w:t>
      </w:r>
      <w:r>
        <w:rPr>
          <w:lang w:val="en-US"/>
        </w:rPr>
        <w:t xml:space="preserve"> = 108 L. Ed. </w:t>
      </w:r>
      <w:r w:rsidRPr="0059675B">
        <w:rPr>
          <w:lang w:val="en-US"/>
        </w:rPr>
        <w:t>2d 178, 208</w:t>
      </w:r>
      <w:r>
        <w:rPr>
          <w:lang w:val="en-US"/>
        </w:rPr>
        <w:t xml:space="preserve"> = 1990 U.S. LEXIS </w:t>
      </w:r>
      <w:r w:rsidRPr="0059675B">
        <w:rPr>
          <w:lang w:val="en-US"/>
        </w:rPr>
        <w:t>1174, 53</w:t>
      </w:r>
      <w:r>
        <w:rPr>
          <w:lang w:val="en-US"/>
        </w:rPr>
        <w:t xml:space="preserve"> = 58 U.S.L.W. </w:t>
      </w:r>
      <w:r w:rsidRPr="0059675B">
        <w:rPr>
          <w:lang w:val="en-US"/>
        </w:rPr>
        <w:t>4249 (1990)</w:t>
      </w:r>
      <w:r>
        <w:rPr>
          <w:lang w:val="en-US"/>
        </w:rPr>
        <w:t>.</w:t>
      </w:r>
    </w:p>
  </w:footnote>
  <w:footnote w:id="1045">
    <w:p w14:paraId="003E425F" w14:textId="77777777" w:rsidR="00074551" w:rsidRPr="0059675B" w:rsidRDefault="00074551" w:rsidP="00074551">
      <w:pPr>
        <w:pStyle w:val="Funotentext"/>
        <w:rPr>
          <w:lang w:val="en-US"/>
        </w:rPr>
      </w:pPr>
      <w:r>
        <w:rPr>
          <w:rStyle w:val="Funotenzeichen"/>
          <w:rFonts w:eastAsiaTheme="majorEastAsia"/>
        </w:rPr>
        <w:footnoteRef/>
      </w:r>
      <w:r w:rsidRPr="0059675B">
        <w:rPr>
          <w:lang w:val="en-US"/>
        </w:rPr>
        <w:t xml:space="preserve"> </w:t>
      </w:r>
      <w:r w:rsidRPr="009E57E1">
        <w:rPr>
          <w:i/>
          <w:lang w:val="en-US"/>
        </w:rPr>
        <w:t>Washington v. Harper</w:t>
      </w:r>
      <w:r w:rsidRPr="0059675B">
        <w:rPr>
          <w:lang w:val="en-US"/>
        </w:rPr>
        <w:t>, 494 U.S. 210, 238</w:t>
      </w:r>
      <w:r>
        <w:rPr>
          <w:lang w:val="en-US"/>
        </w:rPr>
        <w:t xml:space="preserve"> = 110 S. Ct</w:t>
      </w:r>
      <w:r w:rsidRPr="0059675B">
        <w:rPr>
          <w:lang w:val="en-US"/>
        </w:rPr>
        <w:t>. 1028, 1045</w:t>
      </w:r>
      <w:r>
        <w:rPr>
          <w:lang w:val="en-US"/>
        </w:rPr>
        <w:t xml:space="preserve"> = 108 L. Ed. </w:t>
      </w:r>
      <w:r w:rsidRPr="0059675B">
        <w:rPr>
          <w:lang w:val="en-US"/>
        </w:rPr>
        <w:t>2d 178, 208</w:t>
      </w:r>
      <w:r>
        <w:rPr>
          <w:lang w:val="en-US"/>
        </w:rPr>
        <w:t xml:space="preserve"> = 1990 U.S. LEXIS </w:t>
      </w:r>
      <w:r w:rsidRPr="0059675B">
        <w:rPr>
          <w:lang w:val="en-US"/>
        </w:rPr>
        <w:t>1174, 53</w:t>
      </w:r>
      <w:r>
        <w:rPr>
          <w:lang w:val="en-US"/>
        </w:rPr>
        <w:t xml:space="preserve"> = 58 U.S.L.W. </w:t>
      </w:r>
      <w:r w:rsidRPr="0059675B">
        <w:rPr>
          <w:lang w:val="en-US"/>
        </w:rPr>
        <w:t>4249 (1990)</w:t>
      </w:r>
      <w:r>
        <w:rPr>
          <w:lang w:val="en-US"/>
        </w:rPr>
        <w:t>.</w:t>
      </w:r>
    </w:p>
  </w:footnote>
  <w:footnote w:id="1046">
    <w:p w14:paraId="6F84F706" w14:textId="77777777" w:rsidR="00074551" w:rsidRDefault="00074551" w:rsidP="00074551">
      <w:pPr>
        <w:pStyle w:val="Funotentext"/>
        <w:ind w:left="227" w:hanging="227"/>
        <w:rPr>
          <w:lang w:val="en-US"/>
        </w:rPr>
      </w:pPr>
      <w:r>
        <w:rPr>
          <w:rStyle w:val="Funotenzeichen"/>
          <w:rFonts w:eastAsiaTheme="majorEastAsia"/>
        </w:rPr>
        <w:footnoteRef/>
      </w:r>
      <w:r w:rsidRPr="007912B5">
        <w:rPr>
          <w:lang w:val="en-US"/>
        </w:rPr>
        <w:t xml:space="preserve"> </w:t>
      </w:r>
      <w:r w:rsidRPr="009E57E1">
        <w:rPr>
          <w:i/>
          <w:lang w:val="en-US"/>
        </w:rPr>
        <w:t>Meyer v. Nebraska</w:t>
      </w:r>
      <w:r w:rsidRPr="007912B5">
        <w:rPr>
          <w:lang w:val="en-US"/>
        </w:rPr>
        <w:t>, 262 U.S. 390</w:t>
      </w:r>
      <w:r w:rsidRPr="00EC5BEB">
        <w:rPr>
          <w:lang w:val="en-US"/>
        </w:rPr>
        <w:t xml:space="preserve"> = 67 L. Ed. </w:t>
      </w:r>
      <w:r w:rsidRPr="007912B5">
        <w:rPr>
          <w:lang w:val="en-US"/>
        </w:rPr>
        <w:t>1042</w:t>
      </w:r>
      <w:r w:rsidRPr="00EC5BEB">
        <w:rPr>
          <w:lang w:val="en-US"/>
        </w:rPr>
        <w:t xml:space="preserve"> = 43 S. Ct. </w:t>
      </w:r>
      <w:r w:rsidRPr="007912B5">
        <w:rPr>
          <w:lang w:val="en-US"/>
        </w:rPr>
        <w:t>625 (1923)</w:t>
      </w:r>
      <w:r>
        <w:rPr>
          <w:lang w:val="en-US"/>
        </w:rPr>
        <w:t xml:space="preserve">; </w:t>
      </w:r>
      <w:r w:rsidRPr="009167A5">
        <w:rPr>
          <w:i/>
          <w:lang w:val="en-US"/>
        </w:rPr>
        <w:t>Albright v. Oliver</w:t>
      </w:r>
      <w:r w:rsidRPr="007912B5">
        <w:rPr>
          <w:lang w:val="en-US"/>
        </w:rPr>
        <w:t>, 510 U.S. 266, 294</w:t>
      </w:r>
      <w:r w:rsidRPr="006E67FE">
        <w:rPr>
          <w:lang w:val="en-US"/>
        </w:rPr>
        <w:t xml:space="preserve"> = 114 S. Ct. </w:t>
      </w:r>
      <w:r w:rsidRPr="007912B5">
        <w:rPr>
          <w:lang w:val="en-US"/>
        </w:rPr>
        <w:t>807, 824</w:t>
      </w:r>
      <w:r w:rsidRPr="006E67FE">
        <w:rPr>
          <w:lang w:val="en-US"/>
        </w:rPr>
        <w:t xml:space="preserve"> = 127 L. Ed. </w:t>
      </w:r>
      <w:r w:rsidRPr="007912B5">
        <w:rPr>
          <w:lang w:val="en-US"/>
        </w:rPr>
        <w:t>2d 114, 137</w:t>
      </w:r>
      <w:r w:rsidRPr="006E67FE">
        <w:rPr>
          <w:lang w:val="en-US"/>
        </w:rPr>
        <w:t xml:space="preserve"> = 1994 U.S. LEXIS </w:t>
      </w:r>
      <w:r w:rsidRPr="007912B5">
        <w:rPr>
          <w:lang w:val="en-US"/>
        </w:rPr>
        <w:t xml:space="preserve">1319, </w:t>
      </w:r>
    </w:p>
    <w:p w14:paraId="5B05A113" w14:textId="77777777" w:rsidR="00074551" w:rsidRPr="007912B5" w:rsidRDefault="00074551" w:rsidP="00074551">
      <w:pPr>
        <w:pStyle w:val="Funotentext"/>
        <w:ind w:left="227" w:hanging="227"/>
        <w:rPr>
          <w:lang w:val="en-US"/>
        </w:rPr>
      </w:pPr>
      <w:r w:rsidRPr="007912B5">
        <w:rPr>
          <w:lang w:val="en-US"/>
        </w:rPr>
        <w:t>53</w:t>
      </w:r>
      <w:r>
        <w:rPr>
          <w:lang w:val="en-US"/>
        </w:rPr>
        <w:t xml:space="preserve"> =</w:t>
      </w:r>
      <w:r w:rsidRPr="007912B5">
        <w:rPr>
          <w:lang w:val="en-US"/>
        </w:rPr>
        <w:t xml:space="preserve"> 62</w:t>
      </w:r>
      <w:r>
        <w:rPr>
          <w:lang w:val="en-US"/>
        </w:rPr>
        <w:t xml:space="preserve"> </w:t>
      </w:r>
      <w:r w:rsidRPr="007912B5">
        <w:rPr>
          <w:lang w:val="en-US"/>
        </w:rPr>
        <w:t>U.S.L.W. 4078</w:t>
      </w:r>
      <w:r w:rsidRPr="006E67FE">
        <w:rPr>
          <w:lang w:val="en-US"/>
        </w:rPr>
        <w:t xml:space="preserve"> = 94 Cal. Daily Op. Service </w:t>
      </w:r>
      <w:r w:rsidRPr="007912B5">
        <w:rPr>
          <w:lang w:val="en-US"/>
        </w:rPr>
        <w:t>457</w:t>
      </w:r>
      <w:r w:rsidRPr="006E67FE">
        <w:rPr>
          <w:lang w:val="en-US"/>
        </w:rPr>
        <w:t xml:space="preserve"> = 94 Daily Journal </w:t>
      </w:r>
      <w:r w:rsidRPr="007912B5">
        <w:rPr>
          <w:lang w:val="en-US"/>
        </w:rPr>
        <w:t>DAR 855</w:t>
      </w:r>
      <w:r w:rsidRPr="006E67FE">
        <w:rPr>
          <w:lang w:val="en-US"/>
        </w:rPr>
        <w:t xml:space="preserve"> = 7 Fla. L. Weekly Fed. </w:t>
      </w:r>
      <w:r w:rsidRPr="007912B5">
        <w:rPr>
          <w:lang w:val="en-US"/>
        </w:rPr>
        <w:t>S 717 (1994)</w:t>
      </w:r>
      <w:r>
        <w:rPr>
          <w:lang w:val="en-US"/>
        </w:rPr>
        <w:t>.</w:t>
      </w:r>
    </w:p>
  </w:footnote>
  <w:footnote w:id="1047">
    <w:p w14:paraId="0201482C"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9167A5">
        <w:rPr>
          <w:i/>
          <w:lang w:val="en-US"/>
        </w:rPr>
        <w:t>Albright v. Oliver</w:t>
      </w:r>
      <w:r w:rsidRPr="00503916">
        <w:rPr>
          <w:lang w:val="en-US"/>
        </w:rPr>
        <w:t>, 510 U.S. 266, 295</w:t>
      </w:r>
      <w:r w:rsidRPr="006E67FE">
        <w:rPr>
          <w:lang w:val="en-US"/>
        </w:rPr>
        <w:t xml:space="preserve"> = 114 S. Ct. </w:t>
      </w:r>
      <w:r w:rsidRPr="00503916">
        <w:rPr>
          <w:lang w:val="en-US"/>
        </w:rPr>
        <w:t>807, 824</w:t>
      </w:r>
      <w:r w:rsidRPr="006E67FE">
        <w:rPr>
          <w:lang w:val="en-US"/>
        </w:rPr>
        <w:t xml:space="preserve"> = 127 L. Ed. </w:t>
      </w:r>
      <w:r w:rsidRPr="00503916">
        <w:rPr>
          <w:lang w:val="en-US"/>
        </w:rPr>
        <w:t>2d 114, 137</w:t>
      </w:r>
      <w:r w:rsidRPr="006E67FE">
        <w:rPr>
          <w:lang w:val="en-US"/>
        </w:rPr>
        <w:t xml:space="preserve"> = 1994 U.S. LEXIS </w:t>
      </w:r>
      <w:r w:rsidRPr="00503916">
        <w:rPr>
          <w:lang w:val="en-US"/>
        </w:rPr>
        <w:t>1319, 54</w:t>
      </w:r>
      <w:r w:rsidRPr="006E67FE">
        <w:rPr>
          <w:lang w:val="en-US"/>
        </w:rPr>
        <w:t xml:space="preserve"> = 62 U.S.L.W. </w:t>
      </w:r>
      <w:r w:rsidRPr="00503916">
        <w:rPr>
          <w:lang w:val="en-US"/>
        </w:rPr>
        <w:t>4078</w:t>
      </w:r>
      <w:r w:rsidRPr="006E67FE">
        <w:rPr>
          <w:lang w:val="en-US"/>
        </w:rPr>
        <w:t xml:space="preserve"> = 94 Cal. Daily Op. Service </w:t>
      </w:r>
      <w:r w:rsidRPr="00503916">
        <w:rPr>
          <w:lang w:val="en-US"/>
        </w:rPr>
        <w:t>457</w:t>
      </w:r>
      <w:r w:rsidRPr="006E67FE">
        <w:rPr>
          <w:lang w:val="en-US"/>
        </w:rPr>
        <w:t xml:space="preserve"> = 94 Daily Journal </w:t>
      </w:r>
      <w:r w:rsidRPr="00503916">
        <w:rPr>
          <w:lang w:val="en-US"/>
        </w:rPr>
        <w:t>DAR 855</w:t>
      </w:r>
      <w:r w:rsidRPr="006E67FE">
        <w:rPr>
          <w:lang w:val="en-US"/>
        </w:rPr>
        <w:t xml:space="preserve"> = 7 Fla. L. Weekly Fed. </w:t>
      </w:r>
      <w:r w:rsidRPr="00503916">
        <w:rPr>
          <w:lang w:val="en-US"/>
        </w:rPr>
        <w:t>S 717 (1994).</w:t>
      </w:r>
    </w:p>
  </w:footnote>
  <w:footnote w:id="1048">
    <w:p w14:paraId="063A738A"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bookmarkStart w:id="53" w:name="_Hlk228826894"/>
      <w:r>
        <w:rPr>
          <w:lang w:val="en-US"/>
        </w:rPr>
        <w:t xml:space="preserve">In </w:t>
      </w:r>
      <w:r w:rsidRPr="009167A5">
        <w:rPr>
          <w:i/>
          <w:lang w:val="en-US"/>
        </w:rPr>
        <w:t>Albright v. Oliver</w:t>
      </w:r>
      <w:r w:rsidRPr="00503916">
        <w:rPr>
          <w:lang w:val="en-US"/>
        </w:rPr>
        <w:t>, 510 U.S. 266, 295</w:t>
      </w:r>
      <w:r w:rsidRPr="006E67FE">
        <w:rPr>
          <w:lang w:val="en-US"/>
        </w:rPr>
        <w:t xml:space="preserve"> = 114 S. Ct. </w:t>
      </w:r>
      <w:r w:rsidRPr="00503916">
        <w:rPr>
          <w:lang w:val="en-US"/>
        </w:rPr>
        <w:t>807, 824</w:t>
      </w:r>
      <w:r w:rsidRPr="006E67FE">
        <w:rPr>
          <w:lang w:val="en-US"/>
        </w:rPr>
        <w:t xml:space="preserve"> = 127 L. Ed. </w:t>
      </w:r>
      <w:r w:rsidRPr="00503916">
        <w:rPr>
          <w:lang w:val="en-US"/>
        </w:rPr>
        <w:t>2d 114, 137</w:t>
      </w:r>
      <w:r w:rsidRPr="006E67FE">
        <w:rPr>
          <w:lang w:val="en-US"/>
        </w:rPr>
        <w:t xml:space="preserve"> = 1994 U.S. LEXIS </w:t>
      </w:r>
      <w:r w:rsidRPr="00503916">
        <w:rPr>
          <w:lang w:val="en-US"/>
        </w:rPr>
        <w:t>1319, 54</w:t>
      </w:r>
      <w:r w:rsidRPr="006E67FE">
        <w:rPr>
          <w:lang w:val="en-US"/>
        </w:rPr>
        <w:t xml:space="preserve"> = 62 U.S.L.W. </w:t>
      </w:r>
      <w:r w:rsidRPr="00503916">
        <w:rPr>
          <w:lang w:val="en-US"/>
        </w:rPr>
        <w:t>4078</w:t>
      </w:r>
      <w:r w:rsidRPr="006E67FE">
        <w:rPr>
          <w:lang w:val="en-US"/>
        </w:rPr>
        <w:t xml:space="preserve"> = 94 Cal. Daily Op. Service </w:t>
      </w:r>
      <w:r w:rsidRPr="00503916">
        <w:rPr>
          <w:lang w:val="en-US"/>
        </w:rPr>
        <w:t>457</w:t>
      </w:r>
      <w:r w:rsidRPr="006E67FE">
        <w:rPr>
          <w:lang w:val="en-US"/>
        </w:rPr>
        <w:t xml:space="preserve"> = 94 Daily Journal </w:t>
      </w:r>
      <w:r w:rsidRPr="00503916">
        <w:rPr>
          <w:lang w:val="en-US"/>
        </w:rPr>
        <w:t>DAR 855</w:t>
      </w:r>
      <w:r w:rsidRPr="006E67FE">
        <w:rPr>
          <w:lang w:val="en-US"/>
        </w:rPr>
        <w:t xml:space="preserve"> = 7 Fla. L. Weekly Fed. </w:t>
      </w:r>
      <w:r w:rsidRPr="00503916">
        <w:rPr>
          <w:lang w:val="en-US"/>
        </w:rPr>
        <w:t>S 717 (1994)</w:t>
      </w:r>
      <w:bookmarkEnd w:id="53"/>
      <w:r w:rsidRPr="00D9341F">
        <w:rPr>
          <w:lang w:val="en-US"/>
        </w:rPr>
        <w:t xml:space="preserve"> </w:t>
      </w:r>
      <w:proofErr w:type="spellStart"/>
      <w:r w:rsidRPr="00D9341F">
        <w:rPr>
          <w:lang w:val="en-US"/>
        </w:rPr>
        <w:t>werden</w:t>
      </w:r>
      <w:proofErr w:type="spellEnd"/>
      <w:r w:rsidRPr="00D9341F">
        <w:rPr>
          <w:lang w:val="en-US"/>
        </w:rPr>
        <w:t xml:space="preserve"> </w:t>
      </w:r>
      <w:proofErr w:type="spellStart"/>
      <w:r w:rsidRPr="00D9341F">
        <w:rPr>
          <w:lang w:val="en-US"/>
        </w:rPr>
        <w:t>dazu</w:t>
      </w:r>
      <w:proofErr w:type="spellEnd"/>
      <w:r w:rsidRPr="00D9341F">
        <w:rPr>
          <w:lang w:val="en-US"/>
        </w:rPr>
        <w:t xml:space="preserve"> </w:t>
      </w:r>
      <w:proofErr w:type="spellStart"/>
      <w:r w:rsidRPr="00D9341F">
        <w:rPr>
          <w:lang w:val="en-US"/>
        </w:rPr>
        <w:t>zitiert</w:t>
      </w:r>
      <w:proofErr w:type="spellEnd"/>
      <w:r w:rsidRPr="00D9341F">
        <w:rPr>
          <w:lang w:val="en-US"/>
        </w:rPr>
        <w:t>: „</w:t>
      </w:r>
      <w:r w:rsidRPr="00D9341F">
        <w:rPr>
          <w:i/>
          <w:lang w:val="en-US"/>
        </w:rPr>
        <w:t>Turner v. Safley</w:t>
      </w:r>
      <w:r w:rsidRPr="00D9341F">
        <w:rPr>
          <w:lang w:val="en-US"/>
        </w:rPr>
        <w:t xml:space="preserve">, 482 U.S. 78, 94–99, 96 L. Ed. 2d 64, 107 S. Ct. 2254 (1987) (invalidating prison regulation of inmate marriages); </w:t>
      </w:r>
      <w:r w:rsidRPr="00D9341F">
        <w:rPr>
          <w:i/>
          <w:lang w:val="en-US"/>
        </w:rPr>
        <w:t>Moore v. East Cleveland</w:t>
      </w:r>
      <w:r w:rsidRPr="00D9341F">
        <w:rPr>
          <w:lang w:val="en-US"/>
        </w:rPr>
        <w:t xml:space="preserve">, 431 U.S. 494, 500, 52 L. Ed. 2d 531, 97 S. Ct. 1932 (1977) (striking down ordinance that prohibited certain relatives from residing together because it had only a „tenuous relation“ to its goals); </w:t>
      </w:r>
      <w:r w:rsidRPr="00D9341F">
        <w:rPr>
          <w:i/>
          <w:lang w:val="en-US"/>
        </w:rPr>
        <w:t>Wieman v. Updegraff</w:t>
      </w:r>
      <w:r w:rsidRPr="00D9341F">
        <w:rPr>
          <w:lang w:val="en-US"/>
        </w:rPr>
        <w:t xml:space="preserve">, 344 U.S. 183, 191, 97 L. Ed. 216, 73 S. Ct. 215 (1952) (requiring loyalty oaths of public employees violates due process because ,indiscriminate classification of innocent with knowing activity must fall as an assertion of arbitrary power‘); </w:t>
      </w:r>
      <w:r w:rsidRPr="00D9341F">
        <w:rPr>
          <w:i/>
          <w:lang w:val="en-US"/>
        </w:rPr>
        <w:t>Pierce v. Society of Sisters</w:t>
      </w:r>
      <w:r w:rsidRPr="00D9341F">
        <w:rPr>
          <w:lang w:val="en-US"/>
        </w:rPr>
        <w:t>, 268 U.S. 510, 534–535, 69 L. Ed. 1070, 45 S. Ct. 571 (1925) (state law requiring parents to send children to public school violates due process because ,rights guaranteed by the Constitution may not be abridged by legislation which has no reasonable relation to some purpose within the competency of the State‘)</w:t>
      </w:r>
      <w:r>
        <w:rPr>
          <w:lang w:val="en-US"/>
        </w:rPr>
        <w:t>“</w:t>
      </w:r>
      <w:r w:rsidRPr="00D9341F">
        <w:rPr>
          <w:lang w:val="en-US"/>
        </w:rPr>
        <w:t>.</w:t>
      </w:r>
    </w:p>
  </w:footnote>
  <w:footnote w:id="1049">
    <w:p w14:paraId="0B6F276A" w14:textId="77777777" w:rsidR="00074551" w:rsidRPr="00D9341F" w:rsidRDefault="00074551" w:rsidP="00074551">
      <w:pPr>
        <w:pStyle w:val="Funotentext"/>
        <w:rPr>
          <w:lang w:val="en-IE"/>
        </w:rPr>
      </w:pPr>
      <w:r>
        <w:rPr>
          <w:rStyle w:val="Funotenzeichen"/>
          <w:rFonts w:eastAsiaTheme="majorEastAsia"/>
        </w:rPr>
        <w:footnoteRef/>
      </w:r>
      <w:r>
        <w:rPr>
          <w:lang w:val="en-US"/>
        </w:rPr>
        <w:t xml:space="preserve"> </w:t>
      </w:r>
      <w:r w:rsidRPr="009167A5">
        <w:rPr>
          <w:i/>
          <w:lang w:val="en-US"/>
        </w:rPr>
        <w:t>Albright v. Oliver</w:t>
      </w:r>
      <w:r w:rsidRPr="00503916">
        <w:rPr>
          <w:lang w:val="en-US"/>
        </w:rPr>
        <w:t>, 510 U.S. 266, 295</w:t>
      </w:r>
      <w:r w:rsidRPr="006E67FE">
        <w:rPr>
          <w:lang w:val="en-US"/>
        </w:rPr>
        <w:t xml:space="preserve"> = 114 S. Ct. </w:t>
      </w:r>
      <w:r w:rsidRPr="00503916">
        <w:rPr>
          <w:lang w:val="en-US"/>
        </w:rPr>
        <w:t>807, 824</w:t>
      </w:r>
      <w:r w:rsidRPr="006E67FE">
        <w:rPr>
          <w:lang w:val="en-US"/>
        </w:rPr>
        <w:t xml:space="preserve"> = 127 L. Ed. </w:t>
      </w:r>
      <w:r w:rsidRPr="00503916">
        <w:rPr>
          <w:lang w:val="en-US"/>
        </w:rPr>
        <w:t>2d 114, 137</w:t>
      </w:r>
      <w:r w:rsidRPr="006E67FE">
        <w:rPr>
          <w:lang w:val="en-US"/>
        </w:rPr>
        <w:t xml:space="preserve"> = 1994 U.S. LEXIS </w:t>
      </w:r>
      <w:r w:rsidRPr="00503916">
        <w:rPr>
          <w:lang w:val="en-US"/>
        </w:rPr>
        <w:t>1319, 54</w:t>
      </w:r>
      <w:r w:rsidRPr="006E67FE">
        <w:rPr>
          <w:lang w:val="en-US"/>
        </w:rPr>
        <w:t xml:space="preserve"> = 62 U.S.L.W. </w:t>
      </w:r>
      <w:r w:rsidRPr="00503916">
        <w:rPr>
          <w:lang w:val="en-US"/>
        </w:rPr>
        <w:t>4078</w:t>
      </w:r>
      <w:r w:rsidRPr="006E67FE">
        <w:rPr>
          <w:lang w:val="en-US"/>
        </w:rPr>
        <w:t xml:space="preserve"> = 94 Cal. Daily Op. Service </w:t>
      </w:r>
      <w:r w:rsidRPr="00503916">
        <w:rPr>
          <w:lang w:val="en-US"/>
        </w:rPr>
        <w:t>457</w:t>
      </w:r>
      <w:r w:rsidRPr="006E67FE">
        <w:rPr>
          <w:lang w:val="en-US"/>
        </w:rPr>
        <w:t xml:space="preserve"> = 94 Daily Journal </w:t>
      </w:r>
      <w:r w:rsidRPr="00503916">
        <w:rPr>
          <w:lang w:val="en-US"/>
        </w:rPr>
        <w:t>DAR 855</w:t>
      </w:r>
      <w:r w:rsidRPr="006E67FE">
        <w:rPr>
          <w:lang w:val="en-US"/>
        </w:rPr>
        <w:t xml:space="preserve"> = 7 Fla. L. Weekly Fed. </w:t>
      </w:r>
      <w:r w:rsidRPr="00503916">
        <w:rPr>
          <w:lang w:val="en-US"/>
        </w:rPr>
        <w:t>S 717 (1994)</w:t>
      </w:r>
      <w:r>
        <w:rPr>
          <w:lang w:val="en-US"/>
        </w:rPr>
        <w:t xml:space="preserve"> </w:t>
      </w:r>
      <w:proofErr w:type="spellStart"/>
      <w:r w:rsidRPr="00D9341F">
        <w:rPr>
          <w:lang w:val="en-US"/>
        </w:rPr>
        <w:t>zitiert</w:t>
      </w:r>
      <w:proofErr w:type="spellEnd"/>
      <w:r w:rsidRPr="00D9341F">
        <w:rPr>
          <w:lang w:val="en-US"/>
        </w:rPr>
        <w:t xml:space="preserve"> </w:t>
      </w:r>
      <w:proofErr w:type="spellStart"/>
      <w:r w:rsidRPr="00D9341F">
        <w:rPr>
          <w:lang w:val="en-US"/>
        </w:rPr>
        <w:t>dazu</w:t>
      </w:r>
      <w:proofErr w:type="spellEnd"/>
      <w:r w:rsidRPr="00D9341F">
        <w:rPr>
          <w:lang w:val="en-US"/>
        </w:rPr>
        <w:t>: „</w:t>
      </w:r>
      <w:r w:rsidRPr="00D9341F">
        <w:rPr>
          <w:i/>
          <w:iCs/>
          <w:lang w:val="en-IE"/>
        </w:rPr>
        <w:t>Cleveland Bd. of Ed.</w:t>
      </w:r>
      <w:r w:rsidRPr="00D9341F">
        <w:rPr>
          <w:lang w:val="en-IE"/>
        </w:rPr>
        <w:t xml:space="preserve"> v. </w:t>
      </w:r>
      <w:r w:rsidRPr="00D9341F">
        <w:rPr>
          <w:i/>
          <w:iCs/>
          <w:lang w:val="en-IE"/>
        </w:rPr>
        <w:t>Loudermill,</w:t>
      </w:r>
      <w:r w:rsidRPr="00D9341F">
        <w:rPr>
          <w:lang w:val="en-IE"/>
        </w:rPr>
        <w:t xml:space="preserve"> 470 U.S. 532, 542 (1985) („An essential principle of due process is that a deprivation of life, liberty, or property ,be preceded by notice and opportunity for hearing appropriate to the nature of the case‘“) (quoting </w:t>
      </w:r>
      <w:r w:rsidRPr="00D9341F">
        <w:rPr>
          <w:i/>
          <w:iCs/>
          <w:lang w:val="en-IE"/>
        </w:rPr>
        <w:t>Mullane</w:t>
      </w:r>
      <w:r w:rsidRPr="00D9341F">
        <w:rPr>
          <w:lang w:val="en-IE"/>
        </w:rPr>
        <w:t xml:space="preserve"> v. </w:t>
      </w:r>
      <w:r w:rsidRPr="00D9341F">
        <w:rPr>
          <w:i/>
          <w:iCs/>
          <w:lang w:val="en-IE"/>
        </w:rPr>
        <w:t>Central Hanover Bank</w:t>
      </w:r>
      <w:r w:rsidRPr="00D9341F">
        <w:rPr>
          <w:lang w:val="en-IE"/>
        </w:rPr>
        <w:t xml:space="preserve"> &amp; </w:t>
      </w:r>
      <w:r w:rsidRPr="00D9341F">
        <w:rPr>
          <w:i/>
          <w:iCs/>
          <w:lang w:val="en-IE"/>
        </w:rPr>
        <w:t>Trust Co.,</w:t>
      </w:r>
      <w:r w:rsidRPr="00D9341F">
        <w:rPr>
          <w:lang w:val="en-IE"/>
        </w:rPr>
        <w:t xml:space="preserve"> 339 U.S. 306, 313 (1950)); </w:t>
      </w:r>
      <w:r w:rsidRPr="00D9341F">
        <w:rPr>
          <w:i/>
          <w:iCs/>
          <w:lang w:val="en-IE"/>
        </w:rPr>
        <w:t>Goss</w:t>
      </w:r>
      <w:r w:rsidRPr="00D9341F">
        <w:rPr>
          <w:lang w:val="en-IE"/>
        </w:rPr>
        <w:t xml:space="preserve"> v. </w:t>
      </w:r>
      <w:r w:rsidRPr="00D9341F">
        <w:rPr>
          <w:i/>
          <w:iCs/>
          <w:lang w:val="en-IE"/>
        </w:rPr>
        <w:t>Lopez,</w:t>
      </w:r>
      <w:r w:rsidRPr="00D9341F">
        <w:rPr>
          <w:lang w:val="en-IE"/>
        </w:rPr>
        <w:t xml:space="preserve"> 419 U.S. 565, 581 (1975) (,[D]</w:t>
      </w:r>
      <w:proofErr w:type="spellStart"/>
      <w:r w:rsidRPr="00D9341F">
        <w:rPr>
          <w:lang w:val="en-IE"/>
        </w:rPr>
        <w:t>ue</w:t>
      </w:r>
      <w:proofErr w:type="spellEnd"/>
      <w:r w:rsidRPr="00D9341F">
        <w:rPr>
          <w:lang w:val="en-IE"/>
        </w:rPr>
        <w:t xml:space="preserve"> process requires, in connection with a suspension of 10 days or less, that the student be given oral or written notice of the charges against him and, if he denies them, an explanation of the evidence the authorities have and an opportunity to present his side of the story‘); </w:t>
      </w:r>
      <w:r w:rsidRPr="00D9341F">
        <w:rPr>
          <w:i/>
          <w:iCs/>
          <w:lang w:val="en-IE"/>
        </w:rPr>
        <w:t>Wisconsin</w:t>
      </w:r>
      <w:r w:rsidRPr="00D9341F">
        <w:rPr>
          <w:lang w:val="en-IE"/>
        </w:rPr>
        <w:t xml:space="preserve"> v. </w:t>
      </w:r>
      <w:r w:rsidRPr="00D9341F">
        <w:rPr>
          <w:i/>
          <w:iCs/>
          <w:lang w:val="en-IE"/>
        </w:rPr>
        <w:t>Constantineau,</w:t>
      </w:r>
      <w:r w:rsidRPr="00D9341F">
        <w:rPr>
          <w:lang w:val="en-IE"/>
        </w:rPr>
        <w:t xml:space="preserve"> 400 U. S. 433, 436–437 (1971) (,Where a person's good name, reputation, </w:t>
      </w:r>
      <w:proofErr w:type="spellStart"/>
      <w:r w:rsidRPr="00D9341F">
        <w:rPr>
          <w:lang w:val="en-IE"/>
        </w:rPr>
        <w:t>honor</w:t>
      </w:r>
      <w:proofErr w:type="spellEnd"/>
      <w:r w:rsidRPr="00D9341F">
        <w:rPr>
          <w:lang w:val="en-IE"/>
        </w:rPr>
        <w:t>, or integrity is at stake because of what the government is doing to him, notice and an opportunity to be heard are essential‘).“</w:t>
      </w:r>
    </w:p>
    <w:p w14:paraId="4247D369" w14:textId="77777777" w:rsidR="00074551" w:rsidRPr="00503916" w:rsidRDefault="00074551" w:rsidP="00074551">
      <w:pPr>
        <w:pStyle w:val="Funotentext"/>
        <w:rPr>
          <w:lang w:val="en-US"/>
        </w:rPr>
      </w:pPr>
      <w:r w:rsidRPr="00D9341F">
        <w:rPr>
          <w:vertAlign w:val="superscript"/>
        </w:rPr>
        <w:footnoteRef/>
      </w:r>
      <w:r w:rsidRPr="00D9341F">
        <w:rPr>
          <w:lang w:val="en-US"/>
        </w:rPr>
        <w:t xml:space="preserve"> </w:t>
      </w:r>
      <w:r w:rsidRPr="00D9341F">
        <w:rPr>
          <w:i/>
          <w:lang w:val="en-US"/>
        </w:rPr>
        <w:t>Young v. United States ex rel. Vuitton et Fils S. A.</w:t>
      </w:r>
      <w:r w:rsidRPr="00D9341F">
        <w:rPr>
          <w:lang w:val="en-US"/>
        </w:rPr>
        <w:t xml:space="preserve">, 481 U.S. 787, 814 = 107 S. Ct. 2124 = 95 L. Ed. 2d 740 (1987), </w:t>
      </w:r>
      <w:r w:rsidRPr="00D9341F">
        <w:rPr>
          <w:i/>
          <w:lang w:val="en-US"/>
        </w:rPr>
        <w:t>Albright v. Oliver</w:t>
      </w:r>
      <w:r w:rsidRPr="00D9341F">
        <w:rPr>
          <w:lang w:val="en-US"/>
        </w:rPr>
        <w:t>, 510 U.S. 266, 296 = 114 S. Ct. 807, 824 = 127 L. Ed. 2d 114, 138 = 1994 U.S. LEXIS 1319, 55 = 62 U.S.L.W. 4078 = 94 Cal. Daily Op. Service 457 = 94 Daily Journal DAR 855 = 7 Fla. L. Weekly Fed. S 717 (1994).</w:t>
      </w:r>
    </w:p>
  </w:footnote>
  <w:footnote w:id="1050">
    <w:p w14:paraId="5886476B"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Young v. United States ex rel. Vuitton et Fils S. A.</w:t>
      </w:r>
      <w:r w:rsidRPr="00503916">
        <w:rPr>
          <w:lang w:val="en-US"/>
        </w:rPr>
        <w:t>, 481 U.S. 787, 814</w:t>
      </w:r>
      <w:r>
        <w:rPr>
          <w:lang w:val="en-US"/>
        </w:rPr>
        <w:t xml:space="preserve"> = 107 S. Ct. </w:t>
      </w:r>
      <w:r w:rsidRPr="00503916">
        <w:rPr>
          <w:lang w:val="en-US"/>
        </w:rPr>
        <w:t>2124</w:t>
      </w:r>
      <w:r>
        <w:rPr>
          <w:lang w:val="en-US"/>
        </w:rPr>
        <w:t xml:space="preserve"> = 95 L. Ed. </w:t>
      </w:r>
      <w:r w:rsidRPr="00503916">
        <w:rPr>
          <w:lang w:val="en-US"/>
        </w:rPr>
        <w:t>2d 740 (1987)</w:t>
      </w:r>
      <w:r>
        <w:rPr>
          <w:lang w:val="en-US"/>
        </w:rPr>
        <w:t xml:space="preserve">, </w:t>
      </w:r>
      <w:r w:rsidRPr="009167A5">
        <w:rPr>
          <w:i/>
          <w:lang w:val="en-US"/>
        </w:rPr>
        <w:t>Albright v. Oliver</w:t>
      </w:r>
      <w:r w:rsidRPr="00503916">
        <w:rPr>
          <w:lang w:val="en-US"/>
        </w:rPr>
        <w:t>, 510 U.S. 266, 296</w:t>
      </w:r>
      <w:r w:rsidRPr="006E67FE">
        <w:rPr>
          <w:lang w:val="en-US"/>
        </w:rPr>
        <w:t xml:space="preserve"> = 114 S. Ct. </w:t>
      </w:r>
      <w:r w:rsidRPr="00503916">
        <w:rPr>
          <w:lang w:val="en-US"/>
        </w:rPr>
        <w:t>807, 824</w:t>
      </w:r>
      <w:r w:rsidRPr="006E67FE">
        <w:rPr>
          <w:lang w:val="en-US"/>
        </w:rPr>
        <w:t xml:space="preserve"> = 127 L. Ed. </w:t>
      </w:r>
      <w:r w:rsidRPr="00503916">
        <w:rPr>
          <w:lang w:val="en-US"/>
        </w:rPr>
        <w:t>2d 114, 138</w:t>
      </w:r>
      <w:r w:rsidRPr="006E67FE">
        <w:rPr>
          <w:lang w:val="en-US"/>
        </w:rPr>
        <w:t xml:space="preserve"> = 1994 U.S. LEXIS </w:t>
      </w:r>
      <w:r w:rsidRPr="00503916">
        <w:rPr>
          <w:lang w:val="en-US"/>
        </w:rPr>
        <w:t>1319, 55</w:t>
      </w:r>
      <w:r w:rsidRPr="006E67FE">
        <w:rPr>
          <w:lang w:val="en-US"/>
        </w:rPr>
        <w:t xml:space="preserve"> = 62 U.S.L.W. </w:t>
      </w:r>
      <w:r w:rsidRPr="00503916">
        <w:rPr>
          <w:lang w:val="en-US"/>
        </w:rPr>
        <w:t>4078</w:t>
      </w:r>
      <w:r w:rsidRPr="006E67FE">
        <w:rPr>
          <w:lang w:val="en-US"/>
        </w:rPr>
        <w:t xml:space="preserve"> = 94 Cal. Daily Op. Service </w:t>
      </w:r>
      <w:r w:rsidRPr="00503916">
        <w:rPr>
          <w:lang w:val="en-US"/>
        </w:rPr>
        <w:t>457</w:t>
      </w:r>
      <w:r w:rsidRPr="006E67FE">
        <w:rPr>
          <w:lang w:val="en-US"/>
        </w:rPr>
        <w:t xml:space="preserve"> = 94 Daily Journal </w:t>
      </w:r>
      <w:r w:rsidRPr="00503916">
        <w:rPr>
          <w:lang w:val="en-US"/>
        </w:rPr>
        <w:t>DAR 855</w:t>
      </w:r>
      <w:r w:rsidRPr="006E67FE">
        <w:rPr>
          <w:lang w:val="en-US"/>
        </w:rPr>
        <w:t xml:space="preserve"> = 7 Fla. L. Weekly Fed. </w:t>
      </w:r>
      <w:r w:rsidRPr="00503916">
        <w:rPr>
          <w:lang w:val="en-US"/>
        </w:rPr>
        <w:t>S 717 (1994).</w:t>
      </w:r>
    </w:p>
  </w:footnote>
  <w:footnote w:id="1051">
    <w:p w14:paraId="326EA731" w14:textId="6CFFCBB9" w:rsidR="00074551" w:rsidRPr="00503916" w:rsidRDefault="00074551" w:rsidP="00074551">
      <w:pPr>
        <w:pStyle w:val="Funotentext"/>
        <w:rPr>
          <w:lang w:val="en-US"/>
        </w:rPr>
      </w:pPr>
      <w:r w:rsidRPr="5B67C1D2">
        <w:rPr>
          <w:rStyle w:val="Funotenzeichen"/>
          <w:rFonts w:eastAsiaTheme="majorEastAsia"/>
        </w:rPr>
        <w:footnoteRef/>
      </w:r>
      <w:r w:rsidR="5B67C1D2" w:rsidRPr="00503916">
        <w:rPr>
          <w:lang w:val="en-US"/>
        </w:rPr>
        <w:t xml:space="preserve"> </w:t>
      </w:r>
      <w:r w:rsidR="5B67C1D2" w:rsidRPr="5B67C1D2">
        <w:rPr>
          <w:i/>
          <w:iCs/>
          <w:lang w:val="en-US"/>
        </w:rPr>
        <w:t>Albright v. Oliver</w:t>
      </w:r>
      <w:r w:rsidR="5B67C1D2" w:rsidRPr="5B67C1D2">
        <w:rPr>
          <w:lang w:val="en-US"/>
        </w:rPr>
        <w:t xml:space="preserve">, 510 U.S. 266, 296 = 114 S. Ct. 807, 824 = 127 L. Ed. 2d 114, 137 = 1994 U.S. LEXIS 1319, 54 = 62 U.S.L.W. 4078 = 94 Cal. Daily Op. Service 457 = 94 Daily Journal DAR 855 = 7 Fla. L. Weekly Fed. S 717 (1994), </w:t>
      </w:r>
      <w:r w:rsidR="5B67C1D2" w:rsidRPr="5B67C1D2">
        <w:rPr>
          <w:i/>
          <w:iCs/>
          <w:lang w:val="en-US"/>
        </w:rPr>
        <w:t>United States v. Marion</w:t>
      </w:r>
      <w:r w:rsidR="5B67C1D2" w:rsidRPr="5B67C1D2">
        <w:rPr>
          <w:lang w:val="en-US"/>
        </w:rPr>
        <w:t>, 404 U.S. 307, 320 = 30 L. Ed. 2d 468 = 92 S. Ct. 455 (1971).</w:t>
      </w:r>
    </w:p>
  </w:footnote>
  <w:footnote w:id="1052">
    <w:p w14:paraId="5A10DC0A" w14:textId="3A48EAD5" w:rsidR="00074551" w:rsidRPr="00503916" w:rsidRDefault="00074551" w:rsidP="00074551">
      <w:pPr>
        <w:pStyle w:val="Funotentext"/>
        <w:rPr>
          <w:lang w:val="en-US"/>
        </w:rPr>
      </w:pPr>
      <w:r w:rsidRPr="5B67C1D2">
        <w:rPr>
          <w:rStyle w:val="Funotenzeichen"/>
          <w:rFonts w:eastAsiaTheme="majorEastAsia"/>
        </w:rPr>
        <w:footnoteRef/>
      </w:r>
      <w:r w:rsidR="5B67C1D2" w:rsidRPr="00503916">
        <w:rPr>
          <w:lang w:val="en-US"/>
        </w:rPr>
        <w:t xml:space="preserve"> </w:t>
      </w:r>
      <w:r w:rsidR="5B67C1D2" w:rsidRPr="5B67C1D2">
        <w:rPr>
          <w:i/>
          <w:iCs/>
          <w:lang w:val="en-US"/>
        </w:rPr>
        <w:t>Albright v. Oliver</w:t>
      </w:r>
      <w:r w:rsidR="5B67C1D2" w:rsidRPr="5B67C1D2">
        <w:rPr>
          <w:lang w:val="en-US"/>
        </w:rPr>
        <w:t>, 510 U.S. 266, 300-301 = 114 S. Ct. 807, 824 = 127 L. Ed. 2d 114, 137 = 1994 U.S. LEXIS 1319, 54 = 62 U.S.L.W. 4078 = 94 Cal. Daily Op. Service 457 = 94 Daily Journal DAR 855 = 7 Fla. L. Weekly Fed. S 717 (1994)</w:t>
      </w:r>
    </w:p>
  </w:footnote>
  <w:footnote w:id="1053">
    <w:p w14:paraId="53D65249"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B45592">
        <w:rPr>
          <w:i/>
          <w:lang w:val="en-US"/>
        </w:rPr>
        <w:t>Budd v. New York</w:t>
      </w:r>
      <w:r w:rsidRPr="00503916">
        <w:rPr>
          <w:lang w:val="en-US"/>
        </w:rPr>
        <w:t>, 143 U.S. 517, 550</w:t>
      </w:r>
      <w:r w:rsidRPr="003B741A">
        <w:rPr>
          <w:lang w:val="en-US"/>
        </w:rPr>
        <w:t xml:space="preserve"> = 12 S. Ct</w:t>
      </w:r>
      <w:r w:rsidRPr="00503916">
        <w:rPr>
          <w:lang w:val="en-US"/>
        </w:rPr>
        <w:t>. 468, 478</w:t>
      </w:r>
      <w:r w:rsidRPr="003B741A">
        <w:rPr>
          <w:lang w:val="en-US"/>
        </w:rPr>
        <w:t xml:space="preserve"> = 36 L. Ed</w:t>
      </w:r>
      <w:r w:rsidRPr="00503916">
        <w:rPr>
          <w:lang w:val="en-US"/>
        </w:rPr>
        <w:t>. 247, 258</w:t>
      </w:r>
      <w:r w:rsidRPr="003B741A">
        <w:rPr>
          <w:lang w:val="en-US"/>
        </w:rPr>
        <w:t xml:space="preserve"> = 1892 U.S. LEXIS </w:t>
      </w:r>
      <w:r w:rsidRPr="00503916">
        <w:rPr>
          <w:lang w:val="en-US"/>
        </w:rPr>
        <w:t>2039, 63 (1892)</w:t>
      </w:r>
      <w:r>
        <w:rPr>
          <w:lang w:val="en-US"/>
        </w:rPr>
        <w:t>.</w:t>
      </w:r>
    </w:p>
  </w:footnote>
  <w:footnote w:id="1054">
    <w:p w14:paraId="601F8E83"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9E57E1">
        <w:rPr>
          <w:i/>
          <w:lang w:val="en-US"/>
        </w:rPr>
        <w:t>Conn v. Gabbert</w:t>
      </w:r>
      <w:r w:rsidRPr="00503916">
        <w:rPr>
          <w:lang w:val="en-US"/>
        </w:rPr>
        <w:t>, 526 U.S. 286, 287</w:t>
      </w:r>
      <w:r w:rsidRPr="003B741A">
        <w:rPr>
          <w:lang w:val="en-US"/>
        </w:rPr>
        <w:t xml:space="preserve"> = 119 S. Ct. </w:t>
      </w:r>
      <w:r w:rsidRPr="00503916">
        <w:rPr>
          <w:lang w:val="en-US"/>
        </w:rPr>
        <w:t>1292, 1294</w:t>
      </w:r>
      <w:r w:rsidRPr="003B741A">
        <w:rPr>
          <w:lang w:val="en-US"/>
        </w:rPr>
        <w:t xml:space="preserve"> = 143 L. Ed. </w:t>
      </w:r>
      <w:r w:rsidRPr="00503916">
        <w:rPr>
          <w:lang w:val="en-US"/>
        </w:rPr>
        <w:t>2d 399, 403</w:t>
      </w:r>
      <w:r w:rsidRPr="003B741A">
        <w:rPr>
          <w:lang w:val="en-US"/>
        </w:rPr>
        <w:t xml:space="preserve"> = 1999 U.S. LEXIS </w:t>
      </w:r>
      <w:r w:rsidRPr="00503916">
        <w:rPr>
          <w:lang w:val="en-US"/>
        </w:rPr>
        <w:t>2345, 1</w:t>
      </w:r>
      <w:r w:rsidRPr="003B741A">
        <w:rPr>
          <w:lang w:val="en-US"/>
        </w:rPr>
        <w:t xml:space="preserve"> = 67 U.S.L.W. </w:t>
      </w:r>
      <w:r w:rsidRPr="00503916">
        <w:rPr>
          <w:lang w:val="en-US"/>
        </w:rPr>
        <w:t>4222</w:t>
      </w:r>
      <w:r w:rsidRPr="003B741A">
        <w:rPr>
          <w:lang w:val="en-US"/>
        </w:rPr>
        <w:t xml:space="preserve"> = 99 Cal. Daily Op. Service </w:t>
      </w:r>
      <w:r w:rsidRPr="00503916">
        <w:rPr>
          <w:lang w:val="en-US"/>
        </w:rPr>
        <w:t>2466</w:t>
      </w:r>
      <w:r w:rsidRPr="003B741A">
        <w:rPr>
          <w:lang w:val="en-US"/>
        </w:rPr>
        <w:t xml:space="preserve"> = 99 Daily Journal </w:t>
      </w:r>
      <w:r w:rsidRPr="00503916">
        <w:rPr>
          <w:lang w:val="en-US"/>
        </w:rPr>
        <w:t>DAR 3227</w:t>
      </w:r>
      <w:r w:rsidRPr="003B741A">
        <w:rPr>
          <w:lang w:val="en-US"/>
        </w:rPr>
        <w:t xml:space="preserve"> = 1999 Colo. J. C.A.R. </w:t>
      </w:r>
      <w:r w:rsidRPr="00503916">
        <w:rPr>
          <w:lang w:val="en-US"/>
        </w:rPr>
        <w:t>1921</w:t>
      </w:r>
      <w:r w:rsidRPr="003B741A">
        <w:rPr>
          <w:lang w:val="en-US"/>
        </w:rPr>
        <w:t xml:space="preserve"> = 12 Fla. L. Weekly Fed.</w:t>
      </w:r>
      <w:r w:rsidRPr="00503916">
        <w:rPr>
          <w:lang w:val="en-US"/>
        </w:rPr>
        <w:t xml:space="preserve"> </w:t>
      </w:r>
      <w:r w:rsidRPr="00410EAE">
        <w:rPr>
          <w:lang w:val="en-US"/>
        </w:rPr>
        <w:t>S 193 (1999).</w:t>
      </w:r>
    </w:p>
  </w:footnote>
  <w:footnote w:id="1055">
    <w:p w14:paraId="35AB292F" w14:textId="77777777" w:rsidR="00074551" w:rsidRPr="00AD75E3" w:rsidRDefault="00074551" w:rsidP="00074551">
      <w:pPr>
        <w:pStyle w:val="Funotentext"/>
        <w:rPr>
          <w:lang w:val="en-US"/>
        </w:rPr>
      </w:pPr>
      <w:r>
        <w:rPr>
          <w:rStyle w:val="Funotenzeichen"/>
        </w:rPr>
        <w:footnoteRef/>
      </w:r>
      <w:r w:rsidRPr="00AD75E3">
        <w:rPr>
          <w:lang w:val="en-US"/>
        </w:rPr>
        <w:t xml:space="preserve"> </w:t>
      </w:r>
      <w:r w:rsidRPr="009E57E1">
        <w:rPr>
          <w:i/>
          <w:lang w:val="en-US"/>
        </w:rPr>
        <w:t>Conn v. Gabbert</w:t>
      </w:r>
      <w:r w:rsidRPr="00AD75E3">
        <w:rPr>
          <w:lang w:val="en-US"/>
        </w:rPr>
        <w:t>, 526 U.S. 286, 287</w:t>
      </w:r>
      <w:r w:rsidRPr="003B741A">
        <w:rPr>
          <w:lang w:val="en-US"/>
        </w:rPr>
        <w:t xml:space="preserve"> = 119 S. Ct. </w:t>
      </w:r>
      <w:r w:rsidRPr="00AD75E3">
        <w:rPr>
          <w:lang w:val="en-US"/>
        </w:rPr>
        <w:t>1292, 1294</w:t>
      </w:r>
      <w:r w:rsidRPr="003B741A">
        <w:rPr>
          <w:lang w:val="en-US"/>
        </w:rPr>
        <w:t xml:space="preserve"> = 143 L. Ed. </w:t>
      </w:r>
      <w:r w:rsidRPr="00AD75E3">
        <w:rPr>
          <w:lang w:val="en-US"/>
        </w:rPr>
        <w:t>2d 399, 403</w:t>
      </w:r>
      <w:r w:rsidRPr="003B741A">
        <w:rPr>
          <w:lang w:val="en-US"/>
        </w:rPr>
        <w:t xml:space="preserve"> = 1999 U.S. LEXIS </w:t>
      </w:r>
      <w:r w:rsidRPr="00AD75E3">
        <w:rPr>
          <w:lang w:val="en-US"/>
        </w:rPr>
        <w:t>2345, 1</w:t>
      </w:r>
      <w:r w:rsidRPr="003B741A">
        <w:rPr>
          <w:lang w:val="en-US"/>
        </w:rPr>
        <w:t xml:space="preserve"> = 67 U.S.L.W. </w:t>
      </w:r>
      <w:r w:rsidRPr="00AD75E3">
        <w:rPr>
          <w:lang w:val="en-US"/>
        </w:rPr>
        <w:t>4222</w:t>
      </w:r>
      <w:r w:rsidRPr="003B741A">
        <w:rPr>
          <w:lang w:val="en-US"/>
        </w:rPr>
        <w:t xml:space="preserve"> = 99 Cal. Daily Op. Service </w:t>
      </w:r>
      <w:r w:rsidRPr="00AD75E3">
        <w:rPr>
          <w:lang w:val="en-US"/>
        </w:rPr>
        <w:t>2466</w:t>
      </w:r>
      <w:r w:rsidRPr="003B741A">
        <w:rPr>
          <w:lang w:val="en-US"/>
        </w:rPr>
        <w:t xml:space="preserve"> = 99 Daily Journal </w:t>
      </w:r>
      <w:r w:rsidRPr="00AD75E3">
        <w:rPr>
          <w:lang w:val="en-US"/>
        </w:rPr>
        <w:t>DAR 3227</w:t>
      </w:r>
      <w:r w:rsidRPr="003B741A">
        <w:rPr>
          <w:lang w:val="en-US"/>
        </w:rPr>
        <w:t xml:space="preserve"> = 1999 Colo. J. C.A.R. </w:t>
      </w:r>
      <w:r w:rsidRPr="00AD75E3">
        <w:rPr>
          <w:lang w:val="en-US"/>
        </w:rPr>
        <w:t>1921</w:t>
      </w:r>
      <w:r w:rsidRPr="003B741A">
        <w:rPr>
          <w:lang w:val="en-US"/>
        </w:rPr>
        <w:t xml:space="preserve"> = 12 Fla. L. Weekly Fed.</w:t>
      </w:r>
      <w:r w:rsidRPr="00AD75E3">
        <w:rPr>
          <w:lang w:val="en-US"/>
        </w:rPr>
        <w:t xml:space="preserve"> S 193 (1999).</w:t>
      </w:r>
    </w:p>
  </w:footnote>
  <w:footnote w:id="1056">
    <w:p w14:paraId="0257B1A4" w14:textId="77777777" w:rsidR="00074551" w:rsidRPr="00503916" w:rsidRDefault="00074551" w:rsidP="00074551">
      <w:pPr>
        <w:pStyle w:val="Funotentext"/>
        <w:rPr>
          <w:lang w:val="en-US"/>
        </w:rPr>
      </w:pPr>
      <w:r>
        <w:rPr>
          <w:rStyle w:val="Funotenzeichen"/>
          <w:rFonts w:eastAsiaTheme="majorEastAsia"/>
        </w:rPr>
        <w:footnoteRef/>
      </w:r>
      <w:r w:rsidRPr="00503916">
        <w:rPr>
          <w:lang w:val="en-US"/>
        </w:rPr>
        <w:t xml:space="preserve"> </w:t>
      </w:r>
      <w:r w:rsidRPr="009E57E1">
        <w:rPr>
          <w:i/>
          <w:lang w:val="en-US"/>
        </w:rPr>
        <w:t>Meyer v. Nebraska</w:t>
      </w:r>
      <w:r w:rsidRPr="00503916">
        <w:rPr>
          <w:lang w:val="en-US"/>
        </w:rPr>
        <w:t>, 262 U.S. 390, 399</w:t>
      </w:r>
      <w:r w:rsidRPr="00EC5BEB">
        <w:rPr>
          <w:lang w:val="en-US"/>
        </w:rPr>
        <w:t xml:space="preserve"> = 67 L. Ed. </w:t>
      </w:r>
      <w:r w:rsidRPr="00503916">
        <w:rPr>
          <w:lang w:val="en-US"/>
        </w:rPr>
        <w:t>1042</w:t>
      </w:r>
      <w:r w:rsidRPr="00EC5BEB">
        <w:rPr>
          <w:lang w:val="en-US"/>
        </w:rPr>
        <w:t xml:space="preserve"> = 43 S. Ct. </w:t>
      </w:r>
      <w:r w:rsidRPr="00503916">
        <w:rPr>
          <w:lang w:val="en-US"/>
        </w:rPr>
        <w:t>625 (1923)</w:t>
      </w:r>
      <w:r>
        <w:rPr>
          <w:lang w:val="en-US"/>
        </w:rPr>
        <w:t>.</w:t>
      </w:r>
    </w:p>
  </w:footnote>
  <w:footnote w:id="1057">
    <w:p w14:paraId="79469194" w14:textId="77777777" w:rsidR="00074551" w:rsidRPr="00902FAD" w:rsidRDefault="00074551" w:rsidP="00074551">
      <w:pPr>
        <w:pStyle w:val="Funotentext"/>
      </w:pPr>
      <w:r>
        <w:rPr>
          <w:rStyle w:val="Funotenzeichen"/>
          <w:rFonts w:eastAsiaTheme="majorEastAsia"/>
        </w:rPr>
        <w:footnoteRef/>
      </w:r>
      <w:r w:rsidRPr="00503916">
        <w:rPr>
          <w:lang w:val="en-US"/>
        </w:rPr>
        <w:t xml:space="preserve"> </w:t>
      </w:r>
      <w:r w:rsidRPr="009E57E1">
        <w:rPr>
          <w:i/>
          <w:lang w:val="en-US"/>
        </w:rPr>
        <w:t>Bd. of Regents v. Roth</w:t>
      </w:r>
      <w:r w:rsidRPr="00503916">
        <w:rPr>
          <w:lang w:val="en-US"/>
        </w:rPr>
        <w:t>, 408 U.S. 564, 572</w:t>
      </w:r>
      <w:r>
        <w:rPr>
          <w:lang w:val="en-US"/>
        </w:rPr>
        <w:t xml:space="preserve"> = 92 S. Ct. </w:t>
      </w:r>
      <w:r w:rsidRPr="00503916">
        <w:rPr>
          <w:lang w:val="en-US"/>
        </w:rPr>
        <w:t>2701, 2707</w:t>
      </w:r>
      <w:r w:rsidRPr="00EC5BEB">
        <w:rPr>
          <w:lang w:val="en-US"/>
        </w:rPr>
        <w:t xml:space="preserve"> = 33 L. Ed. </w:t>
      </w:r>
      <w:r w:rsidRPr="00503916">
        <w:rPr>
          <w:lang w:val="en-US"/>
        </w:rPr>
        <w:t>2d 548, 558</w:t>
      </w:r>
      <w:r>
        <w:rPr>
          <w:lang w:val="en-US"/>
        </w:rPr>
        <w:t xml:space="preserve"> = 1972 U.S. LEXIS </w:t>
      </w:r>
      <w:r w:rsidRPr="00503916">
        <w:rPr>
          <w:lang w:val="en-US"/>
        </w:rPr>
        <w:t>131, 15</w:t>
      </w:r>
      <w:r w:rsidRPr="005D5028">
        <w:rPr>
          <w:lang w:val="en-US"/>
        </w:rPr>
        <w:t xml:space="preserve"> = 1 I.E.R. </w:t>
      </w:r>
      <w:r w:rsidRPr="00503916">
        <w:rPr>
          <w:lang w:val="en-US"/>
        </w:rPr>
        <w:t xml:space="preserve">Cas. </w:t>
      </w:r>
      <w:r w:rsidRPr="00902FAD">
        <w:t>(BNA) 23 (1972).</w:t>
      </w:r>
    </w:p>
  </w:footnote>
  <w:footnote w:id="1058">
    <w:p w14:paraId="234BD308" w14:textId="2F84AC75" w:rsidR="00074551" w:rsidRPr="00503916" w:rsidRDefault="00074551" w:rsidP="00074551">
      <w:pPr>
        <w:pStyle w:val="Funotentext"/>
      </w:pPr>
      <w:r>
        <w:rPr>
          <w:rStyle w:val="Funotenzeichen"/>
          <w:rFonts w:eastAsiaTheme="majorEastAsia"/>
        </w:rPr>
        <w:footnoteRef/>
      </w:r>
      <w:r w:rsidRPr="00503916">
        <w:t xml:space="preserve"> </w:t>
      </w:r>
      <w:proofErr w:type="spellStart"/>
      <w:r w:rsidR="00062821">
        <w:rPr>
          <w:lang w:val="en-US"/>
        </w:rPr>
        <w:t>Kapitel</w:t>
      </w:r>
      <w:proofErr w:type="spellEnd"/>
      <w:r w:rsidR="00062821">
        <w:rPr>
          <w:lang w:val="en-US"/>
        </w:rPr>
        <w:t xml:space="preserve"> 2: §</w:t>
      </w:r>
      <w:proofErr w:type="gramStart"/>
      <w:r w:rsidR="00062821">
        <w:rPr>
          <w:lang w:val="en-US"/>
        </w:rPr>
        <w:t>1:A</w:t>
      </w:r>
      <w:proofErr w:type="gramEnd"/>
      <w:r w:rsidR="00062821">
        <w:rPr>
          <w:lang w:val="en-US"/>
        </w:rPr>
        <w:t xml:space="preserve">.II.2d. und </w:t>
      </w:r>
      <w:proofErr w:type="spellStart"/>
      <w:r w:rsidR="00062821">
        <w:rPr>
          <w:lang w:val="en-US"/>
        </w:rPr>
        <w:t>Kapitel</w:t>
      </w:r>
      <w:proofErr w:type="spellEnd"/>
      <w:r w:rsidR="00062821">
        <w:rPr>
          <w:lang w:val="en-US"/>
        </w:rPr>
        <w:t xml:space="preserve"> 2: § 1:D.IV.3a.cc.</w:t>
      </w:r>
    </w:p>
  </w:footnote>
  <w:footnote w:id="1059">
    <w:p w14:paraId="2EEB927A" w14:textId="0AE23D47" w:rsidR="00074551" w:rsidRPr="00A22B6C" w:rsidRDefault="00074551" w:rsidP="00074551">
      <w:pPr>
        <w:pStyle w:val="Funotentext"/>
        <w:rPr>
          <w:lang w:val="en-US"/>
        </w:rPr>
      </w:pPr>
      <w:r w:rsidRPr="5B67C1D2">
        <w:rPr>
          <w:rStyle w:val="Funotenzeichen"/>
          <w:rFonts w:eastAsiaTheme="majorEastAsia"/>
        </w:rPr>
        <w:footnoteRef/>
      </w:r>
      <w:r w:rsidR="5B67C1D2" w:rsidRPr="006820B8">
        <w:t xml:space="preserve"> </w:t>
      </w:r>
      <w:proofErr w:type="spellStart"/>
      <w:r w:rsidR="5B67C1D2" w:rsidRPr="5B67C1D2">
        <w:rPr>
          <w:i/>
          <w:iCs/>
        </w:rPr>
        <w:t>Conn</w:t>
      </w:r>
      <w:proofErr w:type="spellEnd"/>
      <w:r w:rsidR="5B67C1D2" w:rsidRPr="5B67C1D2">
        <w:rPr>
          <w:i/>
          <w:iCs/>
        </w:rPr>
        <w:t xml:space="preserve"> v. Gabbert</w:t>
      </w:r>
      <w:r w:rsidR="5B67C1D2" w:rsidRPr="006820B8">
        <w:t>, 526 U.S. 286, 291 = 119 S. Ct. 1292, 1295</w:t>
      </w:r>
      <w:r w:rsidR="5B67C1D2" w:rsidRPr="00B45592">
        <w:t xml:space="preserve"> = 143 L. Ed. </w:t>
      </w:r>
      <w:r w:rsidR="5B67C1D2" w:rsidRPr="006820B8">
        <w:t>2d 399, 405</w:t>
      </w:r>
      <w:r w:rsidR="5B67C1D2" w:rsidRPr="00B45592">
        <w:t xml:space="preserve"> = 1999 U.S. LEXIS </w:t>
      </w:r>
      <w:r w:rsidR="5B67C1D2" w:rsidRPr="006820B8">
        <w:t>2345, 9</w:t>
      </w:r>
      <w:r w:rsidR="5B67C1D2" w:rsidRPr="00B45592">
        <w:t xml:space="preserve"> = 67 U.S.L.W. </w:t>
      </w:r>
      <w:r w:rsidR="5B67C1D2" w:rsidRPr="006820B8">
        <w:t>4222</w:t>
      </w:r>
      <w:r w:rsidR="5B67C1D2" w:rsidRPr="00B45592">
        <w:t xml:space="preserve"> = 99 Cal. </w:t>
      </w:r>
      <w:r w:rsidR="5B67C1D2" w:rsidRPr="003B741A">
        <w:rPr>
          <w:lang w:val="en-IE"/>
        </w:rPr>
        <w:t xml:space="preserve">Daily Op. Service </w:t>
      </w:r>
      <w:r w:rsidR="5B67C1D2" w:rsidRPr="00503916">
        <w:rPr>
          <w:lang w:val="en-US"/>
        </w:rPr>
        <w:t>2466</w:t>
      </w:r>
      <w:r w:rsidR="5B67C1D2" w:rsidRPr="003B741A">
        <w:rPr>
          <w:lang w:val="en-US"/>
        </w:rPr>
        <w:t xml:space="preserve"> = 99 Daily Journal </w:t>
      </w:r>
      <w:r w:rsidR="5B67C1D2" w:rsidRPr="00503916">
        <w:rPr>
          <w:lang w:val="en-US"/>
        </w:rPr>
        <w:t>DAR 3227</w:t>
      </w:r>
      <w:r w:rsidR="5B67C1D2" w:rsidRPr="003B741A">
        <w:rPr>
          <w:lang w:val="en-US"/>
        </w:rPr>
        <w:t xml:space="preserve"> = 1999 Colo. J. C.A.R. </w:t>
      </w:r>
      <w:r w:rsidR="5B67C1D2" w:rsidRPr="00503916">
        <w:rPr>
          <w:lang w:val="en-US"/>
        </w:rPr>
        <w:t>1921</w:t>
      </w:r>
      <w:r w:rsidR="5B67C1D2" w:rsidRPr="003B741A">
        <w:rPr>
          <w:lang w:val="en-US"/>
        </w:rPr>
        <w:t xml:space="preserve"> = 12 Fla. L. Weekly Fed.</w:t>
      </w:r>
      <w:r w:rsidR="5B67C1D2" w:rsidRPr="00503916">
        <w:rPr>
          <w:lang w:val="en-US"/>
        </w:rPr>
        <w:t xml:space="preserve"> </w:t>
      </w:r>
      <w:r w:rsidR="5B67C1D2" w:rsidRPr="00A22B6C">
        <w:rPr>
          <w:lang w:val="en-US"/>
        </w:rPr>
        <w:t>S 193 (1999)</w:t>
      </w:r>
      <w:r w:rsidR="5B67C1D2" w:rsidRPr="5B67C1D2">
        <w:rPr>
          <w:lang w:val="en-US"/>
        </w:rPr>
        <w:t xml:space="preserve">, </w:t>
      </w:r>
      <w:r w:rsidR="5B67C1D2" w:rsidRPr="5B67C1D2">
        <w:rPr>
          <w:i/>
          <w:iCs/>
          <w:lang w:val="en-US"/>
        </w:rPr>
        <w:t>Bd. of Regents v. Roth</w:t>
      </w:r>
      <w:r w:rsidR="5B67C1D2" w:rsidRPr="5B67C1D2">
        <w:rPr>
          <w:lang w:val="en-US"/>
        </w:rPr>
        <w:t xml:space="preserve">, 408 U.S. 564, 573-574 = 92 S. Ct. 2701, 2707 = 33 L. Ed. 2d 548, 558 = 1972 U.S. LEXIS 131, 15 = 1 I.E.R. Cas. </w:t>
      </w:r>
      <w:r w:rsidR="5B67C1D2" w:rsidRPr="00716500">
        <w:rPr>
          <w:lang w:val="en-US"/>
        </w:rPr>
        <w:t>(BNA) 23 (1972).</w:t>
      </w:r>
      <w:proofErr w:type="gramStart"/>
      <w:r w:rsidR="5B67C1D2" w:rsidRPr="5B67C1D2">
        <w:rPr>
          <w:lang w:val="en-US"/>
        </w:rPr>
        <w:t>.</w:t>
      </w:r>
      <w:proofErr w:type="gramEnd"/>
    </w:p>
  </w:footnote>
  <w:footnote w:id="1060">
    <w:p w14:paraId="1E5F317B" w14:textId="77777777" w:rsidR="00074551" w:rsidRPr="004D0469" w:rsidRDefault="00074551" w:rsidP="00074551">
      <w:pPr>
        <w:pStyle w:val="Funotentext"/>
        <w:rPr>
          <w:lang w:val="en-US"/>
        </w:rPr>
      </w:pPr>
      <w:r>
        <w:rPr>
          <w:rStyle w:val="Funotenzeichen"/>
        </w:rPr>
        <w:footnoteRef/>
      </w:r>
      <w:r w:rsidRPr="004D0469">
        <w:rPr>
          <w:lang w:val="en-US"/>
        </w:rPr>
        <w:t xml:space="preserve"> </w:t>
      </w:r>
      <w:proofErr w:type="spellStart"/>
      <w:r w:rsidRPr="004D0469">
        <w:rPr>
          <w:lang w:val="en-US"/>
        </w:rPr>
        <w:t>Vgl</w:t>
      </w:r>
      <w:proofErr w:type="spellEnd"/>
      <w:r w:rsidRPr="004D0469">
        <w:rPr>
          <w:lang w:val="en-US"/>
        </w:rPr>
        <w:t xml:space="preserve">. die </w:t>
      </w:r>
      <w:proofErr w:type="spellStart"/>
      <w:r w:rsidRPr="004D0469">
        <w:rPr>
          <w:lang w:val="en-US"/>
        </w:rPr>
        <w:t>strafrechtliche</w:t>
      </w:r>
      <w:proofErr w:type="spellEnd"/>
      <w:r w:rsidRPr="004D0469">
        <w:rPr>
          <w:lang w:val="en-US"/>
        </w:rPr>
        <w:t xml:space="preserve"> </w:t>
      </w:r>
      <w:proofErr w:type="spellStart"/>
      <w:r w:rsidRPr="004D0469">
        <w:rPr>
          <w:lang w:val="en-US"/>
        </w:rPr>
        <w:t>Privil</w:t>
      </w:r>
      <w:r>
        <w:rPr>
          <w:lang w:val="en-US"/>
        </w:rPr>
        <w:t>e</w:t>
      </w:r>
      <w:r w:rsidRPr="004D0469">
        <w:rPr>
          <w:lang w:val="en-US"/>
        </w:rPr>
        <w:t>gierung</w:t>
      </w:r>
      <w:proofErr w:type="spellEnd"/>
      <w:r w:rsidRPr="004D0469">
        <w:rPr>
          <w:lang w:val="en-US"/>
        </w:rPr>
        <w:t xml:space="preserve">, Restatement (Second) of Torts </w:t>
      </w:r>
      <w:r>
        <w:rPr>
          <w:lang w:val="en-US"/>
        </w:rPr>
        <w:t>§ </w:t>
      </w:r>
      <w:r w:rsidRPr="004D0469">
        <w:rPr>
          <w:lang w:val="en-US"/>
        </w:rPr>
        <w:t xml:space="preserve">147 (2) (1965); </w:t>
      </w:r>
      <w:proofErr w:type="spellStart"/>
      <w:r>
        <w:rPr>
          <w:lang w:val="en-US"/>
        </w:rPr>
        <w:t>siehe</w:t>
      </w:r>
      <w:proofErr w:type="spellEnd"/>
      <w:r w:rsidRPr="004D0469">
        <w:rPr>
          <w:lang w:val="en-US"/>
        </w:rPr>
        <w:t xml:space="preserve"> </w:t>
      </w:r>
      <w:r w:rsidRPr="009E57E1">
        <w:rPr>
          <w:lang w:val="en-US"/>
        </w:rPr>
        <w:t>id.,</w:t>
      </w:r>
      <w:r w:rsidRPr="004D0469">
        <w:rPr>
          <w:lang w:val="en-US"/>
        </w:rPr>
        <w:t xml:space="preserve"> </w:t>
      </w:r>
      <w:r>
        <w:rPr>
          <w:lang w:val="en-US"/>
        </w:rPr>
        <w:t>§ </w:t>
      </w:r>
      <w:r w:rsidRPr="004D0469">
        <w:rPr>
          <w:lang w:val="en-US"/>
        </w:rPr>
        <w:t xml:space="preserve">153 (2) in </w:t>
      </w:r>
      <w:r w:rsidRPr="004F13B1">
        <w:rPr>
          <w:i/>
          <w:lang w:val="en-US"/>
        </w:rPr>
        <w:t>Ingraham v. Wright</w:t>
      </w:r>
      <w:r w:rsidRPr="004D0469">
        <w:rPr>
          <w:lang w:val="en-US"/>
        </w:rPr>
        <w:t>, 430 U.S. 651, 661</w:t>
      </w:r>
      <w:r w:rsidRPr="006E67FE">
        <w:rPr>
          <w:lang w:val="en-US"/>
        </w:rPr>
        <w:t xml:space="preserve"> = 97 S. Ct. </w:t>
      </w:r>
      <w:r w:rsidRPr="004D0469">
        <w:rPr>
          <w:lang w:val="en-US"/>
        </w:rPr>
        <w:t>1401, 1407</w:t>
      </w:r>
      <w:r w:rsidRPr="00EC5BEB">
        <w:rPr>
          <w:lang w:val="en-US"/>
        </w:rPr>
        <w:t xml:space="preserve"> = 51 L. Ed. </w:t>
      </w:r>
      <w:r w:rsidRPr="004D0469">
        <w:rPr>
          <w:lang w:val="en-US"/>
        </w:rPr>
        <w:t>2d 711, 724</w:t>
      </w:r>
      <w:r w:rsidRPr="006E67FE">
        <w:rPr>
          <w:lang w:val="en-US"/>
        </w:rPr>
        <w:t xml:space="preserve"> = 1977 U.S. LEXIS </w:t>
      </w:r>
      <w:r w:rsidRPr="004D0469">
        <w:rPr>
          <w:lang w:val="en-US"/>
        </w:rPr>
        <w:t>74, 21 (1977).</w:t>
      </w:r>
    </w:p>
  </w:footnote>
  <w:footnote w:id="1061">
    <w:p w14:paraId="44FA0962" w14:textId="77777777" w:rsidR="00074551" w:rsidRPr="00BA52C4" w:rsidRDefault="00074551" w:rsidP="00074551">
      <w:pPr>
        <w:pStyle w:val="Funotentext"/>
        <w:rPr>
          <w:lang w:val="en-US"/>
        </w:rPr>
      </w:pPr>
      <w:r>
        <w:rPr>
          <w:rStyle w:val="Funotenzeichen"/>
          <w:rFonts w:eastAsiaTheme="majorEastAsia"/>
        </w:rPr>
        <w:footnoteRef/>
      </w:r>
      <w:r w:rsidRPr="00BA52C4">
        <w:rPr>
          <w:lang w:val="en-US"/>
        </w:rPr>
        <w:t xml:space="preserve"> </w:t>
      </w:r>
      <w:r w:rsidRPr="004F13B1">
        <w:rPr>
          <w:i/>
          <w:lang w:val="en-US"/>
        </w:rPr>
        <w:t>Ingraham v. Wright</w:t>
      </w:r>
      <w:r w:rsidRPr="00BA52C4">
        <w:rPr>
          <w:lang w:val="en-US"/>
        </w:rPr>
        <w:t>, 430 U.S. 651, 653</w:t>
      </w:r>
      <w:r w:rsidRPr="006E67FE">
        <w:rPr>
          <w:lang w:val="en-US"/>
        </w:rPr>
        <w:t xml:space="preserve"> = 97 S. Ct. </w:t>
      </w:r>
      <w:r w:rsidRPr="00BA52C4">
        <w:rPr>
          <w:lang w:val="en-US"/>
        </w:rPr>
        <w:t>1401, 1403</w:t>
      </w:r>
      <w:r w:rsidRPr="00EC5BEB">
        <w:rPr>
          <w:lang w:val="en-US"/>
        </w:rPr>
        <w:t xml:space="preserve"> = 51 L. Ed. </w:t>
      </w:r>
      <w:r w:rsidRPr="00BA52C4">
        <w:rPr>
          <w:lang w:val="en-US"/>
        </w:rPr>
        <w:t>2d 711, 719</w:t>
      </w:r>
      <w:r w:rsidRPr="006E67FE">
        <w:rPr>
          <w:lang w:val="en-US"/>
        </w:rPr>
        <w:t xml:space="preserve"> = 1977 U.S. LEXIS </w:t>
      </w:r>
      <w:r w:rsidRPr="00BA52C4">
        <w:rPr>
          <w:lang w:val="en-US"/>
        </w:rPr>
        <w:t>74, 1 (1977).</w:t>
      </w:r>
    </w:p>
  </w:footnote>
  <w:footnote w:id="1062">
    <w:p w14:paraId="4746DC4D" w14:textId="77777777" w:rsidR="00074551" w:rsidRPr="00C74260" w:rsidRDefault="00074551" w:rsidP="00074551">
      <w:pPr>
        <w:pStyle w:val="Funotentext"/>
        <w:rPr>
          <w:lang w:val="en-US"/>
        </w:rPr>
      </w:pPr>
      <w:r>
        <w:rPr>
          <w:rStyle w:val="Funotenzeichen"/>
          <w:rFonts w:eastAsiaTheme="majorEastAsia"/>
        </w:rPr>
        <w:footnoteRef/>
      </w:r>
      <w:r w:rsidRPr="00C74260">
        <w:rPr>
          <w:lang w:val="en-US"/>
        </w:rPr>
        <w:t xml:space="preserve"> </w:t>
      </w:r>
      <w:r w:rsidRPr="004F13B1">
        <w:rPr>
          <w:i/>
          <w:lang w:val="en-US"/>
        </w:rPr>
        <w:t>Meachum v. Fano</w:t>
      </w:r>
      <w:r w:rsidRPr="00C74260">
        <w:rPr>
          <w:lang w:val="en-US"/>
        </w:rPr>
        <w:t>, 427 U.S.</w:t>
      </w:r>
      <w:r>
        <w:rPr>
          <w:lang w:val="en-US"/>
        </w:rPr>
        <w:t xml:space="preserve"> 215</w:t>
      </w:r>
      <w:r w:rsidRPr="00C74260">
        <w:rPr>
          <w:lang w:val="en-US"/>
        </w:rPr>
        <w:t>, 224</w:t>
      </w:r>
      <w:r>
        <w:rPr>
          <w:lang w:val="en-US"/>
        </w:rPr>
        <w:t xml:space="preserve">; </w:t>
      </w:r>
      <w:r w:rsidRPr="004F13B1">
        <w:rPr>
          <w:i/>
          <w:lang w:val="en-US"/>
        </w:rPr>
        <w:t>Ingraham v. Wright</w:t>
      </w:r>
      <w:r w:rsidRPr="00C74260">
        <w:rPr>
          <w:lang w:val="en-US"/>
        </w:rPr>
        <w:t>, 430 U.S. 651, 672</w:t>
      </w:r>
      <w:r w:rsidRPr="006E67FE">
        <w:rPr>
          <w:lang w:val="en-US"/>
        </w:rPr>
        <w:t xml:space="preserve"> = 97 S. Ct. </w:t>
      </w:r>
      <w:r w:rsidRPr="00C74260">
        <w:rPr>
          <w:lang w:val="en-US"/>
        </w:rPr>
        <w:t>1401, 1413</w:t>
      </w:r>
      <w:r w:rsidRPr="00EC5BEB">
        <w:rPr>
          <w:lang w:val="en-US"/>
        </w:rPr>
        <w:t xml:space="preserve"> = 51 L. Ed. </w:t>
      </w:r>
      <w:r w:rsidRPr="00C74260">
        <w:rPr>
          <w:lang w:val="en-US"/>
        </w:rPr>
        <w:t>2d 711, 731</w:t>
      </w:r>
      <w:r w:rsidRPr="006E67FE">
        <w:rPr>
          <w:lang w:val="en-US"/>
        </w:rPr>
        <w:t xml:space="preserve"> = 1977 U.S. LEXIS </w:t>
      </w:r>
      <w:r w:rsidRPr="00C74260">
        <w:rPr>
          <w:lang w:val="en-US"/>
        </w:rPr>
        <w:t>74, 41 (1977)</w:t>
      </w:r>
    </w:p>
  </w:footnote>
  <w:footnote w:id="1063">
    <w:p w14:paraId="047E5ECD" w14:textId="77777777" w:rsidR="00074551" w:rsidRPr="00C74260" w:rsidRDefault="00074551" w:rsidP="00074551">
      <w:pPr>
        <w:pStyle w:val="Funotentext"/>
        <w:rPr>
          <w:lang w:val="en-US"/>
        </w:rPr>
      </w:pPr>
      <w:r>
        <w:rPr>
          <w:rStyle w:val="Funotenzeichen"/>
          <w:rFonts w:eastAsiaTheme="majorEastAsia"/>
        </w:rPr>
        <w:footnoteRef/>
      </w:r>
      <w:r w:rsidRPr="00C74260">
        <w:rPr>
          <w:lang w:val="en-US"/>
        </w:rPr>
        <w:t xml:space="preserve"> </w:t>
      </w:r>
      <w:r w:rsidRPr="00B45592">
        <w:rPr>
          <w:i/>
          <w:lang w:val="en-US"/>
        </w:rPr>
        <w:t>Morrissey v. Brewer</w:t>
      </w:r>
      <w:r w:rsidRPr="00C74260">
        <w:rPr>
          <w:lang w:val="en-US"/>
        </w:rPr>
        <w:t>, 408 U.S.</w:t>
      </w:r>
      <w:r>
        <w:rPr>
          <w:lang w:val="en-US"/>
        </w:rPr>
        <w:t xml:space="preserve"> 471,</w:t>
      </w:r>
      <w:r w:rsidRPr="00C74260">
        <w:rPr>
          <w:lang w:val="en-US"/>
        </w:rPr>
        <w:t xml:space="preserve"> 481; </w:t>
      </w:r>
      <w:r w:rsidRPr="009E57E1">
        <w:rPr>
          <w:i/>
          <w:lang w:val="en-US"/>
        </w:rPr>
        <w:t>Board of Regents v. Roth</w:t>
      </w:r>
      <w:r w:rsidRPr="00C74260">
        <w:rPr>
          <w:lang w:val="en-US"/>
        </w:rPr>
        <w:t xml:space="preserve">, 408 U.S. 564, 569-572 (1972). </w:t>
      </w:r>
      <w:proofErr w:type="spellStart"/>
      <w:r>
        <w:rPr>
          <w:lang w:val="en-US"/>
        </w:rPr>
        <w:t>Siehe</w:t>
      </w:r>
      <w:proofErr w:type="spellEnd"/>
      <w:r w:rsidRPr="00C74260">
        <w:rPr>
          <w:lang w:val="en-US"/>
        </w:rPr>
        <w:t xml:space="preserve"> </w:t>
      </w:r>
      <w:r w:rsidRPr="00B45592">
        <w:rPr>
          <w:i/>
          <w:iCs/>
          <w:lang w:val="en-US"/>
        </w:rPr>
        <w:t>Friendly, Some Kind of Hearing</w:t>
      </w:r>
      <w:r w:rsidRPr="00C74260">
        <w:rPr>
          <w:lang w:val="en-US"/>
        </w:rPr>
        <w:t>, 123 U. Pa. L. Rev. 1267 (1975)</w:t>
      </w:r>
      <w:r>
        <w:rPr>
          <w:lang w:val="en-US"/>
        </w:rPr>
        <w:t xml:space="preserve">; </w:t>
      </w:r>
      <w:r w:rsidRPr="004F13B1">
        <w:rPr>
          <w:i/>
          <w:lang w:val="en-US"/>
        </w:rPr>
        <w:t>Ingraham v. Wright</w:t>
      </w:r>
      <w:r w:rsidRPr="00C74260">
        <w:rPr>
          <w:lang w:val="en-US"/>
        </w:rPr>
        <w:t>, 430 U.S. 651, 672</w:t>
      </w:r>
      <w:r w:rsidRPr="006E67FE">
        <w:rPr>
          <w:lang w:val="en-US"/>
        </w:rPr>
        <w:t xml:space="preserve"> = 97 S. Ct. </w:t>
      </w:r>
      <w:r w:rsidRPr="00C74260">
        <w:rPr>
          <w:lang w:val="en-US"/>
        </w:rPr>
        <w:t>1401, 1413</w:t>
      </w:r>
      <w:r w:rsidRPr="00EC5BEB">
        <w:rPr>
          <w:lang w:val="en-US"/>
        </w:rPr>
        <w:t xml:space="preserve"> = 51 L. Ed. </w:t>
      </w:r>
      <w:r w:rsidRPr="00C74260">
        <w:rPr>
          <w:lang w:val="en-US"/>
        </w:rPr>
        <w:t>2d 711, 731</w:t>
      </w:r>
      <w:r w:rsidRPr="006E67FE">
        <w:rPr>
          <w:lang w:val="en-US"/>
        </w:rPr>
        <w:t xml:space="preserve"> = 1977 U.S. LEXIS </w:t>
      </w:r>
      <w:r w:rsidRPr="00C74260">
        <w:rPr>
          <w:lang w:val="en-US"/>
        </w:rPr>
        <w:t>74, 40 (1977)</w:t>
      </w:r>
      <w:r>
        <w:rPr>
          <w:lang w:val="en-US"/>
        </w:rPr>
        <w:t>.</w:t>
      </w:r>
    </w:p>
  </w:footnote>
  <w:footnote w:id="1064">
    <w:p w14:paraId="7F07965E" w14:textId="77777777" w:rsidR="00074551" w:rsidRPr="00C74260" w:rsidRDefault="00074551" w:rsidP="00074551">
      <w:pPr>
        <w:pStyle w:val="Funotentext"/>
        <w:rPr>
          <w:lang w:val="en-US"/>
        </w:rPr>
      </w:pPr>
      <w:r>
        <w:rPr>
          <w:rStyle w:val="Funotenzeichen"/>
          <w:rFonts w:eastAsiaTheme="majorEastAsia"/>
        </w:rPr>
        <w:footnoteRef/>
      </w:r>
      <w:r w:rsidRPr="00C74260">
        <w:rPr>
          <w:lang w:val="en-US"/>
        </w:rPr>
        <w:t xml:space="preserve"> </w:t>
      </w:r>
      <w:r w:rsidRPr="009E57E1">
        <w:rPr>
          <w:i/>
          <w:lang w:val="en-US"/>
        </w:rPr>
        <w:t>Meyer v. Nebraska</w:t>
      </w:r>
      <w:r w:rsidRPr="00C74260">
        <w:rPr>
          <w:lang w:val="en-US"/>
        </w:rPr>
        <w:t xml:space="preserve">, 262 U.S. 390, 399 (1923); </w:t>
      </w:r>
      <w:proofErr w:type="spellStart"/>
      <w:r>
        <w:rPr>
          <w:lang w:val="en-US"/>
        </w:rPr>
        <w:t>siehe</w:t>
      </w:r>
      <w:proofErr w:type="spellEnd"/>
      <w:r w:rsidRPr="00C74260">
        <w:rPr>
          <w:lang w:val="en-US"/>
        </w:rPr>
        <w:t xml:space="preserve"> </w:t>
      </w:r>
      <w:r w:rsidRPr="00B45592">
        <w:rPr>
          <w:i/>
          <w:lang w:val="en-US"/>
        </w:rPr>
        <w:t>Dent v. West Virginia</w:t>
      </w:r>
      <w:r w:rsidRPr="00C74260">
        <w:rPr>
          <w:lang w:val="en-US"/>
        </w:rPr>
        <w:t>, 129 U.S. 114, 123</w:t>
      </w:r>
      <w:r>
        <w:rPr>
          <w:lang w:val="en-US"/>
        </w:rPr>
        <w:t>–</w:t>
      </w:r>
      <w:r w:rsidRPr="00C74260">
        <w:rPr>
          <w:lang w:val="en-US"/>
        </w:rPr>
        <w:t>124 (1889)</w:t>
      </w:r>
      <w:r>
        <w:rPr>
          <w:lang w:val="en-US"/>
        </w:rPr>
        <w:t xml:space="preserve">; </w:t>
      </w:r>
      <w:r w:rsidRPr="004F13B1">
        <w:rPr>
          <w:i/>
          <w:lang w:val="en-US"/>
        </w:rPr>
        <w:t>Ingraham v. Wright</w:t>
      </w:r>
      <w:r w:rsidRPr="00C74260">
        <w:rPr>
          <w:lang w:val="en-US"/>
        </w:rPr>
        <w:t>, 430 U.S. 651, 673</w:t>
      </w:r>
      <w:r w:rsidRPr="006E67FE">
        <w:rPr>
          <w:lang w:val="en-US"/>
        </w:rPr>
        <w:t xml:space="preserve"> = 97 S. Ct. </w:t>
      </w:r>
      <w:r w:rsidRPr="00C74260">
        <w:rPr>
          <w:lang w:val="en-US"/>
        </w:rPr>
        <w:t>1401, 1413</w:t>
      </w:r>
      <w:r w:rsidRPr="00EC5BEB">
        <w:rPr>
          <w:lang w:val="en-US"/>
        </w:rPr>
        <w:t xml:space="preserve"> = 51 L. Ed. </w:t>
      </w:r>
      <w:r w:rsidRPr="00C74260">
        <w:rPr>
          <w:lang w:val="en-US"/>
        </w:rPr>
        <w:t>2d 711, 731</w:t>
      </w:r>
      <w:r w:rsidRPr="006E67FE">
        <w:rPr>
          <w:lang w:val="en-US"/>
        </w:rPr>
        <w:t xml:space="preserve"> = 1977 U.S. LEXIS </w:t>
      </w:r>
      <w:r w:rsidRPr="00C74260">
        <w:rPr>
          <w:lang w:val="en-US"/>
        </w:rPr>
        <w:t>74, 42 (1977)</w:t>
      </w:r>
      <w:r>
        <w:rPr>
          <w:lang w:val="en-US"/>
        </w:rPr>
        <w:t>.</w:t>
      </w:r>
    </w:p>
  </w:footnote>
  <w:footnote w:id="1065">
    <w:p w14:paraId="61208151" w14:textId="77777777" w:rsidR="00074551" w:rsidRPr="0074367D" w:rsidRDefault="00074551" w:rsidP="00074551">
      <w:pPr>
        <w:pStyle w:val="Funotentext"/>
        <w:rPr>
          <w:lang w:val="en-US"/>
        </w:rPr>
      </w:pPr>
      <w:r>
        <w:rPr>
          <w:rStyle w:val="Funotenzeichen"/>
          <w:rFonts w:eastAsiaTheme="majorEastAsia"/>
        </w:rPr>
        <w:footnoteRef/>
      </w:r>
      <w:r w:rsidRPr="0074367D">
        <w:rPr>
          <w:lang w:val="en-US"/>
        </w:rPr>
        <w:t xml:space="preserve"> </w:t>
      </w:r>
      <w:r w:rsidRPr="004F13B1">
        <w:rPr>
          <w:i/>
          <w:lang w:val="en-US"/>
        </w:rPr>
        <w:t>Ingraham v. Wright</w:t>
      </w:r>
      <w:r w:rsidRPr="0074367D">
        <w:rPr>
          <w:lang w:val="en-US"/>
        </w:rPr>
        <w:t>, 430 U.S. 651, 673</w:t>
      </w:r>
      <w:r w:rsidRPr="006E67FE">
        <w:rPr>
          <w:lang w:val="en-US"/>
        </w:rPr>
        <w:t xml:space="preserve"> = 97 S. Ct. </w:t>
      </w:r>
      <w:r w:rsidRPr="0074367D">
        <w:rPr>
          <w:lang w:val="en-US"/>
        </w:rPr>
        <w:t>1401, 1413</w:t>
      </w:r>
      <w:r w:rsidRPr="00EC5BEB">
        <w:rPr>
          <w:lang w:val="en-US"/>
        </w:rPr>
        <w:t xml:space="preserve"> = 51 L. Ed. </w:t>
      </w:r>
      <w:r w:rsidRPr="0074367D">
        <w:rPr>
          <w:lang w:val="en-US"/>
        </w:rPr>
        <w:t>2d 711, 731</w:t>
      </w:r>
      <w:r w:rsidRPr="006E67FE">
        <w:rPr>
          <w:lang w:val="en-US"/>
        </w:rPr>
        <w:t xml:space="preserve"> = 1977 U.S. LEXIS </w:t>
      </w:r>
      <w:r w:rsidRPr="0074367D">
        <w:rPr>
          <w:lang w:val="en-US"/>
        </w:rPr>
        <w:t>74, 41 (1977)</w:t>
      </w:r>
      <w:r>
        <w:rPr>
          <w:lang w:val="en-US"/>
        </w:rPr>
        <w:t>.</w:t>
      </w:r>
    </w:p>
  </w:footnote>
  <w:footnote w:id="1066">
    <w:p w14:paraId="370DF34B" w14:textId="77777777" w:rsidR="00074551" w:rsidRPr="00C82FB6" w:rsidRDefault="00074551" w:rsidP="00074551">
      <w:pPr>
        <w:pStyle w:val="Funotentext"/>
        <w:rPr>
          <w:lang w:val="en-US"/>
        </w:rPr>
      </w:pPr>
      <w:r>
        <w:rPr>
          <w:rStyle w:val="Funotenzeichen"/>
        </w:rPr>
        <w:footnoteRef/>
      </w:r>
      <w:r w:rsidRPr="00C82FB6">
        <w:rPr>
          <w:lang w:val="en-US"/>
        </w:rPr>
        <w:t xml:space="preserve"> </w:t>
      </w:r>
      <w:r w:rsidRPr="004F13B1">
        <w:rPr>
          <w:i/>
          <w:lang w:val="en-US"/>
        </w:rPr>
        <w:t>Ingraham v. Wright</w:t>
      </w:r>
      <w:r w:rsidRPr="00C82FB6">
        <w:rPr>
          <w:lang w:val="en-US"/>
        </w:rPr>
        <w:t>, 430 U.S. 651, 653</w:t>
      </w:r>
      <w:r w:rsidRPr="006E67FE">
        <w:rPr>
          <w:lang w:val="en-US"/>
        </w:rPr>
        <w:t xml:space="preserve"> = 97 S. Ct. </w:t>
      </w:r>
      <w:r w:rsidRPr="00C82FB6">
        <w:rPr>
          <w:lang w:val="en-US"/>
        </w:rPr>
        <w:t>1401, 1403</w:t>
      </w:r>
      <w:r w:rsidRPr="00EC5BEB">
        <w:rPr>
          <w:lang w:val="en-US"/>
        </w:rPr>
        <w:t xml:space="preserve"> = 51 L. Ed. </w:t>
      </w:r>
      <w:r w:rsidRPr="00C82FB6">
        <w:rPr>
          <w:lang w:val="en-US"/>
        </w:rPr>
        <w:t>2d 711, 719</w:t>
      </w:r>
      <w:r w:rsidRPr="006E67FE">
        <w:rPr>
          <w:lang w:val="en-US"/>
        </w:rPr>
        <w:t xml:space="preserve"> = 1977 U.S. LEXIS </w:t>
      </w:r>
      <w:r w:rsidRPr="00C82FB6">
        <w:rPr>
          <w:lang w:val="en-US"/>
        </w:rPr>
        <w:t>74, 1 (1977)</w:t>
      </w:r>
      <w:r>
        <w:rPr>
          <w:lang w:val="en-US"/>
        </w:rPr>
        <w:t>.</w:t>
      </w:r>
    </w:p>
  </w:footnote>
  <w:footnote w:id="1067">
    <w:p w14:paraId="2D3B492E" w14:textId="77777777" w:rsidR="00074551" w:rsidRPr="00447737" w:rsidRDefault="00074551" w:rsidP="00074551">
      <w:pPr>
        <w:pStyle w:val="Funotentext"/>
        <w:ind w:left="227" w:hanging="227"/>
        <w:rPr>
          <w:lang w:val="en-US"/>
        </w:rPr>
      </w:pPr>
      <w:bookmarkStart w:id="54" w:name="_Hlk228827442"/>
      <w:r>
        <w:rPr>
          <w:rStyle w:val="Funotenzeichen"/>
          <w:rFonts w:eastAsiaTheme="majorEastAsia"/>
        </w:rPr>
        <w:footnoteRef/>
      </w:r>
      <w:r w:rsidRPr="00447737">
        <w:rPr>
          <w:lang w:val="en-US"/>
        </w:rPr>
        <w:t xml:space="preserve"> </w:t>
      </w:r>
      <w:r>
        <w:rPr>
          <w:lang w:val="en-US"/>
        </w:rPr>
        <w:t>„</w:t>
      </w:r>
      <w:proofErr w:type="gramStart"/>
      <w:r w:rsidRPr="00447737">
        <w:rPr>
          <w:lang w:val="en-US"/>
        </w:rPr>
        <w:t>whether</w:t>
      </w:r>
      <w:proofErr w:type="gramEnd"/>
      <w:r w:rsidRPr="00447737">
        <w:rPr>
          <w:lang w:val="en-US"/>
        </w:rPr>
        <w:t xml:space="preserve"> a punishment </w:t>
      </w:r>
      <w:proofErr w:type="gramStart"/>
      <w:r w:rsidRPr="00447737">
        <w:rPr>
          <w:lang w:val="en-US"/>
        </w:rPr>
        <w:t xml:space="preserve">is </w:t>
      </w:r>
      <w:r>
        <w:rPr>
          <w:lang w:val="en-US"/>
        </w:rPr>
        <w:t>,</w:t>
      </w:r>
      <w:r w:rsidRPr="00447737">
        <w:rPr>
          <w:lang w:val="en-US"/>
        </w:rPr>
        <w:t>cruel</w:t>
      </w:r>
      <w:proofErr w:type="gramEnd"/>
      <w:r w:rsidRPr="00447737">
        <w:rPr>
          <w:lang w:val="en-US"/>
        </w:rPr>
        <w:t xml:space="preserve"> and </w:t>
      </w:r>
      <w:proofErr w:type="gramStart"/>
      <w:r w:rsidRPr="00447737">
        <w:rPr>
          <w:lang w:val="en-US"/>
        </w:rPr>
        <w:t>unusual</w:t>
      </w:r>
      <w:r>
        <w:rPr>
          <w:lang w:val="en-US"/>
        </w:rPr>
        <w:t>‘</w:t>
      </w:r>
      <w:r w:rsidRPr="00447737">
        <w:rPr>
          <w:lang w:val="en-US"/>
        </w:rPr>
        <w:t xml:space="preserve"> within</w:t>
      </w:r>
      <w:proofErr w:type="gramEnd"/>
      <w:r w:rsidRPr="00447737">
        <w:rPr>
          <w:lang w:val="en-US"/>
        </w:rPr>
        <w:t xml:space="preserve"> the meaning of the Eighth and Fourteenth Amendments has dealt with a criminal punishment. </w:t>
      </w:r>
      <w:r>
        <w:rPr>
          <w:lang w:val="en-US"/>
        </w:rPr>
        <w:t xml:space="preserve">[…] </w:t>
      </w:r>
      <w:r w:rsidRPr="00B45592">
        <w:rPr>
          <w:i/>
          <w:lang w:val="en-US"/>
        </w:rPr>
        <w:t>Estelle v. Gamble</w:t>
      </w:r>
      <w:r w:rsidRPr="00447737">
        <w:rPr>
          <w:lang w:val="en-US"/>
        </w:rPr>
        <w:t xml:space="preserve">, 429 U.S. 97 (1976) (incarceration without medical care); </w:t>
      </w:r>
      <w:r w:rsidRPr="00B45592">
        <w:rPr>
          <w:i/>
          <w:lang w:val="en-US"/>
        </w:rPr>
        <w:t>Gregg v. Georgia</w:t>
      </w:r>
      <w:r w:rsidRPr="00447737">
        <w:rPr>
          <w:lang w:val="en-US"/>
        </w:rPr>
        <w:t xml:space="preserve">, 428 U.S. 153 (1976) (execution for murder); </w:t>
      </w:r>
      <w:r w:rsidRPr="00B45592">
        <w:rPr>
          <w:i/>
          <w:lang w:val="en-US"/>
        </w:rPr>
        <w:t>Furman v. Georgia</w:t>
      </w:r>
      <w:r w:rsidRPr="00447737">
        <w:rPr>
          <w:lang w:val="en-US"/>
        </w:rPr>
        <w:t xml:space="preserve">, supra (execution for murder); </w:t>
      </w:r>
      <w:r w:rsidRPr="00B45592">
        <w:rPr>
          <w:i/>
          <w:lang w:val="en-US"/>
        </w:rPr>
        <w:t>Powell v. Texas</w:t>
      </w:r>
      <w:r w:rsidRPr="00447737">
        <w:rPr>
          <w:lang w:val="en-US"/>
        </w:rPr>
        <w:t xml:space="preserve">, 392 U.S. 514 (1968) (plurality opinion) ( $ 20 fine for public drunkenness); </w:t>
      </w:r>
      <w:r w:rsidRPr="00B45592">
        <w:rPr>
          <w:i/>
          <w:lang w:val="en-US"/>
        </w:rPr>
        <w:t>Robinson v. California</w:t>
      </w:r>
      <w:r w:rsidRPr="00447737">
        <w:rPr>
          <w:lang w:val="en-US"/>
        </w:rPr>
        <w:t xml:space="preserve">, 370 U.S. 660 (1962) (incarceration as a criminal for addiction to narcotics); </w:t>
      </w:r>
      <w:r w:rsidRPr="00B45592">
        <w:rPr>
          <w:i/>
          <w:lang w:val="en-US"/>
        </w:rPr>
        <w:t>Trop v. Dulles</w:t>
      </w:r>
      <w:r w:rsidRPr="00447737">
        <w:rPr>
          <w:lang w:val="en-US"/>
        </w:rPr>
        <w:t xml:space="preserve">, 356 U.S. 86 (1958) (plurality opinion) (expatriation for desertion); </w:t>
      </w:r>
      <w:r w:rsidRPr="00B45592">
        <w:rPr>
          <w:i/>
          <w:lang w:val="en-US"/>
        </w:rPr>
        <w:t>Louisiana ex rel. Francis v. Resweber</w:t>
      </w:r>
      <w:r w:rsidRPr="00447737">
        <w:rPr>
          <w:lang w:val="en-US"/>
        </w:rPr>
        <w:t xml:space="preserve">, 329 U.S. 459 (1947) (execution by electrocution after a failed first attempt); </w:t>
      </w:r>
      <w:r w:rsidRPr="00B45592">
        <w:rPr>
          <w:i/>
          <w:lang w:val="en-US"/>
        </w:rPr>
        <w:t>Weems v. United States</w:t>
      </w:r>
      <w:r>
        <w:rPr>
          <w:lang w:val="en-US"/>
        </w:rPr>
        <w:t xml:space="preserve"> </w:t>
      </w:r>
      <w:r w:rsidRPr="00447737">
        <w:rPr>
          <w:lang w:val="en-US"/>
        </w:rPr>
        <w:t>(15 years</w:t>
      </w:r>
      <w:r>
        <w:rPr>
          <w:lang w:val="en-US"/>
        </w:rPr>
        <w:t>’</w:t>
      </w:r>
      <w:r w:rsidRPr="00447737">
        <w:rPr>
          <w:lang w:val="en-US"/>
        </w:rPr>
        <w:t xml:space="preserve"> imprisonment and other penalties for falsifying an official document); </w:t>
      </w:r>
      <w:r w:rsidRPr="00B45592">
        <w:rPr>
          <w:i/>
          <w:lang w:val="en-US"/>
        </w:rPr>
        <w:t>Howard v. Fleming</w:t>
      </w:r>
      <w:r w:rsidRPr="00447737">
        <w:rPr>
          <w:lang w:val="en-US"/>
        </w:rPr>
        <w:t>, 191 U.S. 126 (1903) (10 years</w:t>
      </w:r>
      <w:r>
        <w:rPr>
          <w:lang w:val="en-US"/>
        </w:rPr>
        <w:t>’</w:t>
      </w:r>
      <w:r w:rsidRPr="00447737">
        <w:rPr>
          <w:lang w:val="en-US"/>
        </w:rPr>
        <w:t xml:space="preserve"> imprisonment for conspiracy to defraud); </w:t>
      </w:r>
      <w:r w:rsidRPr="00B45592">
        <w:rPr>
          <w:i/>
          <w:lang w:val="en-US"/>
        </w:rPr>
        <w:t>In re Kemmler</w:t>
      </w:r>
      <w:r>
        <w:rPr>
          <w:lang w:val="en-US"/>
        </w:rPr>
        <w:t xml:space="preserve"> </w:t>
      </w:r>
      <w:r w:rsidRPr="00447737">
        <w:rPr>
          <w:lang w:val="en-US"/>
        </w:rPr>
        <w:t xml:space="preserve">(execution by electrocution); </w:t>
      </w:r>
      <w:r w:rsidRPr="00B45592">
        <w:rPr>
          <w:i/>
          <w:lang w:val="en-US"/>
        </w:rPr>
        <w:t>Wilkerson v. Utah</w:t>
      </w:r>
      <w:r w:rsidRPr="00447737">
        <w:rPr>
          <w:lang w:val="en-US"/>
        </w:rPr>
        <w:t xml:space="preserve">, 99 U.S. 130 (1879) (execution by firing squad); </w:t>
      </w:r>
      <w:proofErr w:type="spellStart"/>
      <w:r w:rsidRPr="00B45592">
        <w:rPr>
          <w:i/>
          <w:lang w:val="en-US"/>
        </w:rPr>
        <w:t>Pervear</w:t>
      </w:r>
      <w:proofErr w:type="spellEnd"/>
      <w:r w:rsidRPr="00B45592">
        <w:rPr>
          <w:i/>
          <w:lang w:val="en-US"/>
        </w:rPr>
        <w:t xml:space="preserve"> v. Commonwealth</w:t>
      </w:r>
      <w:r w:rsidRPr="00447737">
        <w:rPr>
          <w:lang w:val="en-US"/>
        </w:rPr>
        <w:t xml:space="preserve">, 5 Wall. 475 (1867) (fine and imprisonment at hard labor for </w:t>
      </w:r>
      <w:proofErr w:type="gramStart"/>
      <w:r w:rsidRPr="00447737">
        <w:rPr>
          <w:lang w:val="en-US"/>
        </w:rPr>
        <w:t>bootlegging)</w:t>
      </w:r>
      <w:r>
        <w:rPr>
          <w:lang w:val="en-US"/>
        </w:rPr>
        <w:t>“</w:t>
      </w:r>
      <w:proofErr w:type="gramEnd"/>
      <w:r w:rsidRPr="00447737">
        <w:rPr>
          <w:lang w:val="en-US"/>
        </w:rPr>
        <w:t xml:space="preserve">, in: </w:t>
      </w:r>
      <w:r w:rsidRPr="004F13B1">
        <w:rPr>
          <w:i/>
          <w:lang w:val="en-US"/>
        </w:rPr>
        <w:t>Ingraham v. Wright</w:t>
      </w:r>
      <w:r w:rsidRPr="00447737">
        <w:rPr>
          <w:lang w:val="en-US"/>
        </w:rPr>
        <w:t>, 430 U.S. 651, 666</w:t>
      </w:r>
      <w:r>
        <w:rPr>
          <w:lang w:val="en-US"/>
        </w:rPr>
        <w:t>–</w:t>
      </w:r>
      <w:r w:rsidRPr="00447737">
        <w:rPr>
          <w:lang w:val="en-US"/>
        </w:rPr>
        <w:t>667</w:t>
      </w:r>
      <w:r w:rsidRPr="006E67FE">
        <w:rPr>
          <w:lang w:val="en-US"/>
        </w:rPr>
        <w:t xml:space="preserve"> = 97 S. Ct. </w:t>
      </w:r>
      <w:r w:rsidRPr="00447737">
        <w:rPr>
          <w:lang w:val="en-US"/>
        </w:rPr>
        <w:t>1401, 1410</w:t>
      </w:r>
      <w:r w:rsidRPr="00EC5BEB">
        <w:rPr>
          <w:lang w:val="en-US"/>
        </w:rPr>
        <w:t xml:space="preserve"> = 51 L. Ed. </w:t>
      </w:r>
      <w:r w:rsidRPr="00447737">
        <w:rPr>
          <w:lang w:val="en-US"/>
        </w:rPr>
        <w:t>2d 711, 727</w:t>
      </w:r>
      <w:r w:rsidRPr="006E67FE">
        <w:rPr>
          <w:lang w:val="en-US"/>
        </w:rPr>
        <w:t xml:space="preserve"> = 1977 U.S. LEXIS </w:t>
      </w:r>
      <w:r w:rsidRPr="00447737">
        <w:rPr>
          <w:lang w:val="en-US"/>
        </w:rPr>
        <w:t>74, 30</w:t>
      </w:r>
      <w:r>
        <w:rPr>
          <w:lang w:val="en-US"/>
        </w:rPr>
        <w:t>–</w:t>
      </w:r>
      <w:r w:rsidRPr="00447737">
        <w:rPr>
          <w:lang w:val="en-US"/>
        </w:rPr>
        <w:t>31 (1977)</w:t>
      </w:r>
      <w:r>
        <w:rPr>
          <w:lang w:val="en-US"/>
        </w:rPr>
        <w:t>.</w:t>
      </w:r>
      <w:bookmarkEnd w:id="54"/>
    </w:p>
  </w:footnote>
  <w:footnote w:id="1068">
    <w:p w14:paraId="567347BF" w14:textId="77777777" w:rsidR="00074551" w:rsidRPr="00954ABB" w:rsidRDefault="00074551" w:rsidP="00074551">
      <w:pPr>
        <w:pStyle w:val="Funotentext"/>
        <w:rPr>
          <w:lang w:val="en-US"/>
        </w:rPr>
      </w:pPr>
      <w:r>
        <w:rPr>
          <w:rStyle w:val="Funotenzeichen"/>
        </w:rPr>
        <w:footnoteRef/>
      </w:r>
      <w:r w:rsidRPr="00954ABB">
        <w:rPr>
          <w:lang w:val="en-US"/>
        </w:rPr>
        <w:t xml:space="preserve"> „Sec. 21.06. Homosexual Conduct. (a) A person commits an offense if he engages in deviate sexual intercourse with another individual of the same </w:t>
      </w:r>
      <w:proofErr w:type="gramStart"/>
      <w:r w:rsidRPr="00954ABB">
        <w:rPr>
          <w:lang w:val="en-US"/>
        </w:rPr>
        <w:t>sex.“</w:t>
      </w:r>
      <w:proofErr w:type="gramEnd"/>
      <w:r w:rsidRPr="00954ABB">
        <w:rPr>
          <w:lang w:val="en-US"/>
        </w:rPr>
        <w:t xml:space="preserve">, Tex. Penal Code </w:t>
      </w:r>
      <w:r>
        <w:rPr>
          <w:lang w:val="en-US"/>
        </w:rPr>
        <w:t>§ </w:t>
      </w:r>
      <w:r w:rsidRPr="00954ABB">
        <w:rPr>
          <w:lang w:val="en-US"/>
        </w:rPr>
        <w:t>21.06.</w:t>
      </w:r>
    </w:p>
  </w:footnote>
  <w:footnote w:id="1069">
    <w:p w14:paraId="1F9442A8" w14:textId="77777777" w:rsidR="00074551" w:rsidRPr="001254B0" w:rsidRDefault="00074551" w:rsidP="00074551">
      <w:pPr>
        <w:pStyle w:val="Funotentext"/>
        <w:rPr>
          <w:lang w:val="en-US"/>
        </w:rPr>
      </w:pPr>
      <w:r>
        <w:rPr>
          <w:rStyle w:val="Funotenzeichen"/>
          <w:rFonts w:eastAsiaTheme="majorEastAsia"/>
        </w:rPr>
        <w:footnoteRef/>
      </w:r>
      <w:r w:rsidRPr="001254B0">
        <w:rPr>
          <w:lang w:val="en-US"/>
        </w:rPr>
        <w:t xml:space="preserve"> </w:t>
      </w:r>
      <w:r w:rsidRPr="009E57E1">
        <w:rPr>
          <w:i/>
          <w:lang w:val="en-US"/>
        </w:rPr>
        <w:t>Lawrence v. Texas</w:t>
      </w:r>
      <w:r w:rsidRPr="001254B0">
        <w:rPr>
          <w:lang w:val="en-US"/>
        </w:rPr>
        <w:t>, 539 U.S. 558, 562</w:t>
      </w:r>
      <w:r w:rsidRPr="006E67FE">
        <w:rPr>
          <w:lang w:val="en-US"/>
        </w:rPr>
        <w:t xml:space="preserve"> = 123 S. Ct. </w:t>
      </w:r>
      <w:r w:rsidRPr="001254B0">
        <w:rPr>
          <w:lang w:val="en-US"/>
        </w:rPr>
        <w:t>2472, 2475</w:t>
      </w:r>
      <w:r w:rsidRPr="006E67FE">
        <w:rPr>
          <w:lang w:val="en-US"/>
        </w:rPr>
        <w:t xml:space="preserve"> = 156 L. Ed. </w:t>
      </w:r>
      <w:r w:rsidRPr="001254B0">
        <w:rPr>
          <w:lang w:val="en-US"/>
        </w:rPr>
        <w:t>2d 508, 508</w:t>
      </w:r>
      <w:r>
        <w:rPr>
          <w:lang w:val="en-US"/>
        </w:rPr>
        <w:t xml:space="preserve"> = 2003 U.S. LEXIS </w:t>
      </w:r>
      <w:r w:rsidRPr="001254B0">
        <w:rPr>
          <w:lang w:val="en-US"/>
        </w:rPr>
        <w:t>5013, 1</w:t>
      </w:r>
      <w:r>
        <w:rPr>
          <w:lang w:val="en-US"/>
        </w:rPr>
        <w:t xml:space="preserve"> = 71 U.S.L.W. </w:t>
      </w:r>
      <w:r w:rsidRPr="001254B0">
        <w:rPr>
          <w:lang w:val="en-US"/>
        </w:rPr>
        <w:t>4574</w:t>
      </w:r>
      <w:r>
        <w:rPr>
          <w:lang w:val="en-US"/>
        </w:rPr>
        <w:t xml:space="preserve"> = 2003 Cal. Daily </w:t>
      </w:r>
      <w:r w:rsidRPr="001254B0">
        <w:rPr>
          <w:lang w:val="en-US"/>
        </w:rPr>
        <w:t>Op. Service 5559</w:t>
      </w:r>
      <w:r>
        <w:rPr>
          <w:lang w:val="en-US"/>
        </w:rPr>
        <w:t xml:space="preserve"> = 2003 Daily </w:t>
      </w:r>
      <w:r w:rsidRPr="001254B0">
        <w:rPr>
          <w:lang w:val="en-US"/>
        </w:rPr>
        <w:t>Journal DAR 7036</w:t>
      </w:r>
      <w:r>
        <w:rPr>
          <w:lang w:val="en-US"/>
        </w:rPr>
        <w:t xml:space="preserve"> = 16 Fla. L. Weekly </w:t>
      </w:r>
      <w:r w:rsidRPr="001254B0">
        <w:rPr>
          <w:lang w:val="en-US"/>
        </w:rPr>
        <w:t>Fed. S 427 (2003)</w:t>
      </w:r>
      <w:r>
        <w:rPr>
          <w:lang w:val="en-US"/>
        </w:rPr>
        <w:t>.</w:t>
      </w:r>
    </w:p>
  </w:footnote>
  <w:footnote w:id="1070">
    <w:p w14:paraId="15CDD976" w14:textId="77777777" w:rsidR="00074551" w:rsidRPr="00B5355D" w:rsidRDefault="00074551" w:rsidP="00074551">
      <w:pPr>
        <w:pStyle w:val="Funotentext"/>
        <w:rPr>
          <w:lang w:val="en-US"/>
        </w:rPr>
      </w:pPr>
      <w:r>
        <w:rPr>
          <w:rStyle w:val="Funotenzeichen"/>
          <w:rFonts w:eastAsiaTheme="majorEastAsia"/>
        </w:rPr>
        <w:footnoteRef/>
      </w:r>
      <w:r w:rsidRPr="00B5355D">
        <w:rPr>
          <w:lang w:val="en-US"/>
        </w:rPr>
        <w:t xml:space="preserve"> </w:t>
      </w:r>
      <w:r w:rsidRPr="009E57E1">
        <w:rPr>
          <w:i/>
          <w:lang w:val="en-US"/>
        </w:rPr>
        <w:t>Lawrence v. Texas</w:t>
      </w:r>
      <w:r w:rsidRPr="00B5355D">
        <w:rPr>
          <w:lang w:val="en-US"/>
        </w:rPr>
        <w:t>, 539 U.S. 558, 593</w:t>
      </w:r>
      <w:r w:rsidRPr="006E67FE">
        <w:rPr>
          <w:lang w:val="en-US"/>
        </w:rPr>
        <w:t xml:space="preserve"> = 123 S. Ct. </w:t>
      </w:r>
      <w:r w:rsidRPr="00B5355D">
        <w:rPr>
          <w:lang w:val="en-US"/>
        </w:rPr>
        <w:t>2472, 2492</w:t>
      </w:r>
      <w:r w:rsidRPr="006E67FE">
        <w:rPr>
          <w:lang w:val="en-US"/>
        </w:rPr>
        <w:t xml:space="preserve"> = 156 L. Ed. </w:t>
      </w:r>
      <w:r w:rsidRPr="00B5355D">
        <w:rPr>
          <w:lang w:val="en-US"/>
        </w:rPr>
        <w:t>2d 508, 535</w:t>
      </w:r>
      <w:r>
        <w:rPr>
          <w:lang w:val="en-US"/>
        </w:rPr>
        <w:t xml:space="preserve"> = 2003 U.S. LEXIS </w:t>
      </w:r>
      <w:r w:rsidRPr="00B5355D">
        <w:rPr>
          <w:lang w:val="en-US"/>
        </w:rPr>
        <w:t>5013, 62</w:t>
      </w:r>
      <w:r>
        <w:rPr>
          <w:lang w:val="en-US"/>
        </w:rPr>
        <w:t xml:space="preserve"> = 71 U.S.L.W. </w:t>
      </w:r>
      <w:r w:rsidRPr="00B5355D">
        <w:rPr>
          <w:lang w:val="en-US"/>
        </w:rPr>
        <w:t>4574</w:t>
      </w:r>
      <w:r>
        <w:rPr>
          <w:lang w:val="en-US"/>
        </w:rPr>
        <w:t xml:space="preserve"> = 2003 Cal. Daily </w:t>
      </w:r>
      <w:r w:rsidRPr="00B5355D">
        <w:rPr>
          <w:lang w:val="en-US"/>
        </w:rPr>
        <w:t>Op. Service 5559</w:t>
      </w:r>
      <w:r>
        <w:rPr>
          <w:lang w:val="en-US"/>
        </w:rPr>
        <w:t xml:space="preserve"> = 2003 Daily </w:t>
      </w:r>
      <w:r w:rsidRPr="00B5355D">
        <w:rPr>
          <w:lang w:val="en-US"/>
        </w:rPr>
        <w:t>Journal DAR 7036</w:t>
      </w:r>
      <w:r>
        <w:rPr>
          <w:lang w:val="en-US"/>
        </w:rPr>
        <w:t xml:space="preserve"> = 16 Fla. L. Weekly </w:t>
      </w:r>
      <w:r w:rsidRPr="00B5355D">
        <w:rPr>
          <w:lang w:val="en-US"/>
        </w:rPr>
        <w:t>Fed. S 427 (2003)</w:t>
      </w:r>
      <w:r>
        <w:rPr>
          <w:lang w:val="en-US"/>
        </w:rPr>
        <w:t>.</w:t>
      </w:r>
    </w:p>
  </w:footnote>
  <w:footnote w:id="1071">
    <w:p w14:paraId="151C40B6" w14:textId="77777777" w:rsidR="00074551" w:rsidRDefault="00074551" w:rsidP="00074551">
      <w:pPr>
        <w:pStyle w:val="Funotentext"/>
        <w:ind w:left="227" w:hanging="227"/>
        <w:rPr>
          <w:lang w:val="en-US"/>
        </w:rPr>
      </w:pPr>
      <w:r>
        <w:rPr>
          <w:rStyle w:val="Funotenzeichen"/>
          <w:rFonts w:eastAsiaTheme="majorEastAsia"/>
        </w:rPr>
        <w:footnoteRef/>
      </w:r>
      <w:r w:rsidRPr="006E2512">
        <w:rPr>
          <w:lang w:val="en-US"/>
        </w:rPr>
        <w:t xml:space="preserve"> </w:t>
      </w:r>
      <w:r w:rsidRPr="009E57E1">
        <w:rPr>
          <w:i/>
          <w:lang w:val="en-US"/>
        </w:rPr>
        <w:t>Lawrence v. Texas</w:t>
      </w:r>
      <w:r w:rsidRPr="006E2512">
        <w:rPr>
          <w:lang w:val="en-US"/>
        </w:rPr>
        <w:t>, 539 U.S. 558, 592</w:t>
      </w:r>
      <w:r w:rsidRPr="006E67FE">
        <w:rPr>
          <w:lang w:val="en-US"/>
        </w:rPr>
        <w:t xml:space="preserve"> = 123 S. Ct. </w:t>
      </w:r>
      <w:r w:rsidRPr="006E2512">
        <w:rPr>
          <w:lang w:val="en-US"/>
        </w:rPr>
        <w:t>2472, 2491</w:t>
      </w:r>
      <w:r w:rsidRPr="006E67FE">
        <w:rPr>
          <w:lang w:val="en-US"/>
        </w:rPr>
        <w:t xml:space="preserve"> = 156 L. Ed. </w:t>
      </w:r>
      <w:r w:rsidRPr="006E2512">
        <w:rPr>
          <w:lang w:val="en-US"/>
        </w:rPr>
        <w:t>2d 508, 535</w:t>
      </w:r>
      <w:r>
        <w:rPr>
          <w:lang w:val="en-US"/>
        </w:rPr>
        <w:t xml:space="preserve"> = 2003 U.S. LEXIS </w:t>
      </w:r>
      <w:r w:rsidRPr="006E2512">
        <w:rPr>
          <w:lang w:val="en-US"/>
        </w:rPr>
        <w:t>5013, 61</w:t>
      </w:r>
      <w:r>
        <w:rPr>
          <w:lang w:val="en-US"/>
        </w:rPr>
        <w:t xml:space="preserve"> = 71 U.S.L.W. </w:t>
      </w:r>
      <w:r w:rsidRPr="006E2512">
        <w:rPr>
          <w:lang w:val="en-US"/>
        </w:rPr>
        <w:t>4574</w:t>
      </w:r>
      <w:r>
        <w:rPr>
          <w:lang w:val="en-US"/>
        </w:rPr>
        <w:t xml:space="preserve"> = 2003 Cal. Daily </w:t>
      </w:r>
      <w:r w:rsidRPr="006E2512">
        <w:rPr>
          <w:lang w:val="en-US"/>
        </w:rPr>
        <w:t>Op. Service 5559</w:t>
      </w:r>
      <w:r>
        <w:rPr>
          <w:lang w:val="en-US"/>
        </w:rPr>
        <w:t xml:space="preserve"> = 2003 </w:t>
      </w:r>
    </w:p>
    <w:p w14:paraId="77EB4C79" w14:textId="77777777" w:rsidR="00074551" w:rsidRPr="006E2512" w:rsidRDefault="00074551" w:rsidP="00074551">
      <w:pPr>
        <w:pStyle w:val="Funotentext"/>
        <w:ind w:left="227" w:hanging="227"/>
        <w:rPr>
          <w:lang w:val="en-US"/>
        </w:rPr>
      </w:pPr>
      <w:r>
        <w:rPr>
          <w:lang w:val="en-US"/>
        </w:rPr>
        <w:t xml:space="preserve">Daily </w:t>
      </w:r>
      <w:r w:rsidRPr="006E2512">
        <w:rPr>
          <w:lang w:val="en-US"/>
        </w:rPr>
        <w:t>Journal DAR 7036</w:t>
      </w:r>
      <w:r>
        <w:rPr>
          <w:lang w:val="en-US"/>
        </w:rPr>
        <w:t xml:space="preserve"> = 16 Fla. L. Weekly </w:t>
      </w:r>
      <w:r w:rsidRPr="006E2512">
        <w:rPr>
          <w:lang w:val="en-US"/>
        </w:rPr>
        <w:t>Fed. S 427 (2003)</w:t>
      </w:r>
      <w:r>
        <w:rPr>
          <w:lang w:val="en-US"/>
        </w:rPr>
        <w:t>.</w:t>
      </w:r>
    </w:p>
  </w:footnote>
  <w:footnote w:id="1072">
    <w:p w14:paraId="18E1AD4E" w14:textId="77777777" w:rsidR="00074551" w:rsidRDefault="00074551" w:rsidP="00074551">
      <w:pPr>
        <w:pStyle w:val="Funotentext"/>
        <w:rPr>
          <w:lang w:val="en-US"/>
        </w:rPr>
      </w:pPr>
      <w:r>
        <w:rPr>
          <w:rStyle w:val="Funotenzeichen"/>
          <w:rFonts w:eastAsiaTheme="majorEastAsia"/>
        </w:rPr>
        <w:footnoteRef/>
      </w:r>
      <w:r w:rsidRPr="00881B5C">
        <w:rPr>
          <w:lang w:val="en-US"/>
        </w:rPr>
        <w:t xml:space="preserve"> </w:t>
      </w:r>
      <w:r w:rsidRPr="009E57E1">
        <w:rPr>
          <w:i/>
          <w:lang w:val="en-US"/>
        </w:rPr>
        <w:t>Lawrence v. Texas</w:t>
      </w:r>
      <w:r w:rsidRPr="00881B5C">
        <w:rPr>
          <w:lang w:val="en-US"/>
        </w:rPr>
        <w:t>, 539 U.S. 558, 593</w:t>
      </w:r>
      <w:r w:rsidRPr="006E67FE">
        <w:rPr>
          <w:lang w:val="en-US"/>
        </w:rPr>
        <w:t xml:space="preserve"> = 123 S. Ct. </w:t>
      </w:r>
      <w:r w:rsidRPr="00881B5C">
        <w:rPr>
          <w:lang w:val="en-US"/>
        </w:rPr>
        <w:t>2472, 2491</w:t>
      </w:r>
      <w:r w:rsidRPr="006E67FE">
        <w:rPr>
          <w:lang w:val="en-US"/>
        </w:rPr>
        <w:t xml:space="preserve"> = 156 L. Ed. </w:t>
      </w:r>
      <w:r w:rsidRPr="00881B5C">
        <w:rPr>
          <w:lang w:val="en-US"/>
        </w:rPr>
        <w:t>2d 508, 535</w:t>
      </w:r>
      <w:r>
        <w:rPr>
          <w:lang w:val="en-US"/>
        </w:rPr>
        <w:t xml:space="preserve"> = 2003 U.S. LEXIS </w:t>
      </w:r>
      <w:r w:rsidRPr="00881B5C">
        <w:rPr>
          <w:lang w:val="en-US"/>
        </w:rPr>
        <w:t>5013, 61</w:t>
      </w:r>
      <w:r>
        <w:rPr>
          <w:lang w:val="en-US"/>
        </w:rPr>
        <w:t xml:space="preserve"> = 71 U.S.L.W. </w:t>
      </w:r>
      <w:r w:rsidRPr="00881B5C">
        <w:rPr>
          <w:lang w:val="en-US"/>
        </w:rPr>
        <w:t>4574</w:t>
      </w:r>
      <w:r>
        <w:rPr>
          <w:lang w:val="en-US"/>
        </w:rPr>
        <w:t xml:space="preserve"> = 2003 Cal. Daily </w:t>
      </w:r>
      <w:r w:rsidRPr="00881B5C">
        <w:rPr>
          <w:lang w:val="en-US"/>
        </w:rPr>
        <w:t>Op. Service 5559</w:t>
      </w:r>
      <w:r>
        <w:rPr>
          <w:lang w:val="en-US"/>
        </w:rPr>
        <w:t xml:space="preserve"> = 2003</w:t>
      </w:r>
    </w:p>
    <w:p w14:paraId="24C239AB" w14:textId="77777777" w:rsidR="00074551" w:rsidRPr="00B5355D" w:rsidRDefault="00074551" w:rsidP="00074551">
      <w:pPr>
        <w:pStyle w:val="Funotentext"/>
        <w:rPr>
          <w:lang w:val="en-US"/>
        </w:rPr>
      </w:pPr>
      <w:r>
        <w:rPr>
          <w:lang w:val="en-US"/>
        </w:rPr>
        <w:t xml:space="preserve"> Daily </w:t>
      </w:r>
      <w:r w:rsidRPr="00881B5C">
        <w:rPr>
          <w:lang w:val="en-US"/>
        </w:rPr>
        <w:t>Journal DAR 7036</w:t>
      </w:r>
      <w:r>
        <w:rPr>
          <w:lang w:val="en-US"/>
        </w:rPr>
        <w:t xml:space="preserve"> = 16 Fla. L. Weekly </w:t>
      </w:r>
      <w:r w:rsidRPr="00881B5C">
        <w:rPr>
          <w:lang w:val="en-US"/>
        </w:rPr>
        <w:t>Fed. S 427 (2003)</w:t>
      </w:r>
      <w:r>
        <w:rPr>
          <w:lang w:val="en-US"/>
        </w:rPr>
        <w:t>.</w:t>
      </w:r>
    </w:p>
  </w:footnote>
  <w:footnote w:id="1073">
    <w:p w14:paraId="4A2B0EAA" w14:textId="77777777" w:rsidR="00074551" w:rsidRDefault="00074551" w:rsidP="00074551">
      <w:pPr>
        <w:pStyle w:val="Funotentext"/>
        <w:rPr>
          <w:lang w:val="en-US"/>
        </w:rPr>
      </w:pPr>
      <w:r>
        <w:rPr>
          <w:rStyle w:val="Funotenzeichen"/>
          <w:rFonts w:eastAsiaTheme="majorEastAsia"/>
        </w:rPr>
        <w:footnoteRef/>
      </w:r>
      <w:r w:rsidRPr="00B5355D">
        <w:rPr>
          <w:lang w:val="en-US"/>
        </w:rPr>
        <w:t xml:space="preserve"> </w:t>
      </w:r>
      <w:r w:rsidRPr="009E57E1">
        <w:rPr>
          <w:i/>
          <w:lang w:val="en-US"/>
        </w:rPr>
        <w:t>Lawrence v. Texas</w:t>
      </w:r>
      <w:r w:rsidRPr="00B5355D">
        <w:rPr>
          <w:lang w:val="en-US"/>
        </w:rPr>
        <w:t>, 539 U.S. 558, 593</w:t>
      </w:r>
      <w:r w:rsidRPr="006E67FE">
        <w:rPr>
          <w:lang w:val="en-US"/>
        </w:rPr>
        <w:t xml:space="preserve"> = 123 S. Ct. </w:t>
      </w:r>
      <w:r w:rsidRPr="00B5355D">
        <w:rPr>
          <w:lang w:val="en-US"/>
        </w:rPr>
        <w:t>2472, 2492</w:t>
      </w:r>
      <w:r w:rsidRPr="006E67FE">
        <w:rPr>
          <w:lang w:val="en-US"/>
        </w:rPr>
        <w:t xml:space="preserve"> = 156 L. Ed. </w:t>
      </w:r>
      <w:r w:rsidRPr="00B5355D">
        <w:rPr>
          <w:lang w:val="en-US"/>
        </w:rPr>
        <w:t>2d 508, 535</w:t>
      </w:r>
      <w:r>
        <w:rPr>
          <w:lang w:val="en-US"/>
        </w:rPr>
        <w:t xml:space="preserve"> = 2003 U.S. LEXIS </w:t>
      </w:r>
      <w:r w:rsidRPr="00B5355D">
        <w:rPr>
          <w:lang w:val="en-US"/>
        </w:rPr>
        <w:t>5013, 62</w:t>
      </w:r>
      <w:r>
        <w:rPr>
          <w:lang w:val="en-US"/>
        </w:rPr>
        <w:t xml:space="preserve"> = 71 U.S.L.W. </w:t>
      </w:r>
      <w:r w:rsidRPr="00B5355D">
        <w:rPr>
          <w:lang w:val="en-US"/>
        </w:rPr>
        <w:t>4574</w:t>
      </w:r>
      <w:r>
        <w:rPr>
          <w:lang w:val="en-US"/>
        </w:rPr>
        <w:t xml:space="preserve"> = 2003 Cal. Daily </w:t>
      </w:r>
      <w:r w:rsidRPr="00B5355D">
        <w:rPr>
          <w:lang w:val="en-US"/>
        </w:rPr>
        <w:t>Op. Service 5559</w:t>
      </w:r>
      <w:r>
        <w:rPr>
          <w:lang w:val="en-US"/>
        </w:rPr>
        <w:t xml:space="preserve"> = 2003 </w:t>
      </w:r>
    </w:p>
    <w:p w14:paraId="70DE7CC7" w14:textId="77777777" w:rsidR="00074551" w:rsidRPr="00B5355D" w:rsidRDefault="00074551" w:rsidP="00074551">
      <w:pPr>
        <w:pStyle w:val="Funotentext"/>
        <w:rPr>
          <w:lang w:val="en-US"/>
        </w:rPr>
      </w:pPr>
      <w:r>
        <w:rPr>
          <w:lang w:val="en-US"/>
        </w:rPr>
        <w:t xml:space="preserve">Daily </w:t>
      </w:r>
      <w:r w:rsidRPr="00B5355D">
        <w:rPr>
          <w:lang w:val="en-US"/>
        </w:rPr>
        <w:t>Journal DAR 7036</w:t>
      </w:r>
      <w:r>
        <w:rPr>
          <w:lang w:val="en-US"/>
        </w:rPr>
        <w:t xml:space="preserve"> = 16 Fla. L. Weekly </w:t>
      </w:r>
      <w:r w:rsidRPr="00B5355D">
        <w:rPr>
          <w:lang w:val="en-US"/>
        </w:rPr>
        <w:t>Fed. S 427 (2003)</w:t>
      </w:r>
      <w:r>
        <w:rPr>
          <w:lang w:val="en-US"/>
        </w:rPr>
        <w:t>.</w:t>
      </w:r>
    </w:p>
  </w:footnote>
  <w:footnote w:id="1074">
    <w:p w14:paraId="2265C326" w14:textId="77777777" w:rsidR="00074551" w:rsidRPr="00954ABB" w:rsidRDefault="00074551" w:rsidP="00074551">
      <w:pPr>
        <w:pStyle w:val="Funotentext"/>
        <w:rPr>
          <w:lang w:val="en-US"/>
        </w:rPr>
      </w:pPr>
      <w:r>
        <w:rPr>
          <w:rStyle w:val="Funotenzeichen"/>
        </w:rPr>
        <w:footnoteRef/>
      </w:r>
      <w:r w:rsidRPr="00954ABB">
        <w:rPr>
          <w:lang w:val="en-US"/>
        </w:rPr>
        <w:t xml:space="preserve"> </w:t>
      </w:r>
      <w:r w:rsidRPr="009E57E1">
        <w:rPr>
          <w:i/>
          <w:lang w:val="en-US"/>
        </w:rPr>
        <w:t>Lawrence v. Texas</w:t>
      </w:r>
      <w:r w:rsidRPr="00954ABB">
        <w:rPr>
          <w:lang w:val="en-US"/>
        </w:rPr>
        <w:t>, 539 U.S. 558, 593</w:t>
      </w:r>
      <w:r w:rsidRPr="006E67FE">
        <w:rPr>
          <w:lang w:val="en-US"/>
        </w:rPr>
        <w:t xml:space="preserve"> = 123 S. Ct. </w:t>
      </w:r>
      <w:r w:rsidRPr="00954ABB">
        <w:rPr>
          <w:lang w:val="en-US"/>
        </w:rPr>
        <w:t>2472, 2492</w:t>
      </w:r>
      <w:r w:rsidRPr="006E67FE">
        <w:rPr>
          <w:lang w:val="en-US"/>
        </w:rPr>
        <w:t xml:space="preserve"> = 156 L. Ed. </w:t>
      </w:r>
      <w:r w:rsidRPr="00954ABB">
        <w:rPr>
          <w:lang w:val="en-US"/>
        </w:rPr>
        <w:t>2d 508, 535</w:t>
      </w:r>
      <w:r>
        <w:rPr>
          <w:lang w:val="en-US"/>
        </w:rPr>
        <w:t xml:space="preserve"> = 2003 U.S. LEXIS </w:t>
      </w:r>
      <w:r w:rsidRPr="00954ABB">
        <w:rPr>
          <w:lang w:val="en-US"/>
        </w:rPr>
        <w:t>5013, 61</w:t>
      </w:r>
      <w:r>
        <w:rPr>
          <w:lang w:val="en-US"/>
        </w:rPr>
        <w:t xml:space="preserve"> = 71 U.S.L.W. </w:t>
      </w:r>
      <w:r w:rsidRPr="00954ABB">
        <w:rPr>
          <w:lang w:val="en-US"/>
        </w:rPr>
        <w:t>4574</w:t>
      </w:r>
      <w:r>
        <w:rPr>
          <w:lang w:val="en-US"/>
        </w:rPr>
        <w:t xml:space="preserve"> = 2003 Cal. Daily </w:t>
      </w:r>
      <w:r w:rsidRPr="00954ABB">
        <w:rPr>
          <w:lang w:val="en-US"/>
        </w:rPr>
        <w:t>Op. Service 5559</w:t>
      </w:r>
      <w:r>
        <w:rPr>
          <w:lang w:val="en-US"/>
        </w:rPr>
        <w:t xml:space="preserve"> = 2003 Daily </w:t>
      </w:r>
      <w:r w:rsidRPr="00954ABB">
        <w:rPr>
          <w:lang w:val="en-US"/>
        </w:rPr>
        <w:t>Journal DAR 7036</w:t>
      </w:r>
      <w:r>
        <w:rPr>
          <w:lang w:val="en-US"/>
        </w:rPr>
        <w:t xml:space="preserve"> = 16 Fla. L. Weekly </w:t>
      </w:r>
      <w:r w:rsidRPr="00954ABB">
        <w:rPr>
          <w:lang w:val="en-US"/>
        </w:rPr>
        <w:t>Fed. S 427 (2003)</w:t>
      </w:r>
      <w:r>
        <w:rPr>
          <w:lang w:val="en-US"/>
        </w:rPr>
        <w:t>.</w:t>
      </w:r>
    </w:p>
  </w:footnote>
  <w:footnote w:id="1075">
    <w:p w14:paraId="34FC4F03" w14:textId="77777777" w:rsidR="00074551" w:rsidRPr="00B5355D" w:rsidRDefault="00074551" w:rsidP="00074551">
      <w:pPr>
        <w:pStyle w:val="Funotentext"/>
        <w:rPr>
          <w:lang w:val="en-US"/>
        </w:rPr>
      </w:pPr>
      <w:r>
        <w:rPr>
          <w:rStyle w:val="Funotenzeichen"/>
          <w:rFonts w:eastAsiaTheme="majorEastAsia"/>
        </w:rPr>
        <w:footnoteRef/>
      </w:r>
      <w:r w:rsidRPr="00B5355D">
        <w:rPr>
          <w:lang w:val="en-US"/>
        </w:rPr>
        <w:t xml:space="preserve"> </w:t>
      </w:r>
      <w:r w:rsidRPr="009E57E1">
        <w:rPr>
          <w:i/>
          <w:lang w:val="en-US"/>
        </w:rPr>
        <w:t>Lawrence v. Texas</w:t>
      </w:r>
      <w:r w:rsidRPr="00B5355D">
        <w:rPr>
          <w:lang w:val="en-US"/>
        </w:rPr>
        <w:t>, 539 U.S. 558, 593</w:t>
      </w:r>
      <w:r w:rsidRPr="006E67FE">
        <w:rPr>
          <w:lang w:val="en-US"/>
        </w:rPr>
        <w:t xml:space="preserve"> = 123 S. Ct. </w:t>
      </w:r>
      <w:r w:rsidRPr="00B5355D">
        <w:rPr>
          <w:lang w:val="en-US"/>
        </w:rPr>
        <w:t>2472, 2492</w:t>
      </w:r>
      <w:r w:rsidRPr="006E67FE">
        <w:rPr>
          <w:lang w:val="en-US"/>
        </w:rPr>
        <w:t xml:space="preserve"> = 156 L. Ed. </w:t>
      </w:r>
      <w:r w:rsidRPr="00B5355D">
        <w:rPr>
          <w:lang w:val="en-US"/>
        </w:rPr>
        <w:t>2d 508, 535</w:t>
      </w:r>
      <w:r>
        <w:rPr>
          <w:lang w:val="en-US"/>
        </w:rPr>
        <w:t xml:space="preserve"> = 2003 U.S. LEXIS </w:t>
      </w:r>
      <w:r w:rsidRPr="00B5355D">
        <w:rPr>
          <w:lang w:val="en-US"/>
        </w:rPr>
        <w:t>5013, 62</w:t>
      </w:r>
      <w:r>
        <w:rPr>
          <w:lang w:val="en-US"/>
        </w:rPr>
        <w:t xml:space="preserve"> = 71 U.S.L.W. </w:t>
      </w:r>
      <w:r w:rsidRPr="00B5355D">
        <w:rPr>
          <w:lang w:val="en-US"/>
        </w:rPr>
        <w:t>4574</w:t>
      </w:r>
      <w:r>
        <w:rPr>
          <w:lang w:val="en-US"/>
        </w:rPr>
        <w:t xml:space="preserve"> = 2003 Cal. Daily </w:t>
      </w:r>
      <w:r w:rsidRPr="00B5355D">
        <w:rPr>
          <w:lang w:val="en-US"/>
        </w:rPr>
        <w:t>Op. Service 5559</w:t>
      </w:r>
      <w:r>
        <w:rPr>
          <w:lang w:val="en-US"/>
        </w:rPr>
        <w:t xml:space="preserve"> = 2003 Daily </w:t>
      </w:r>
      <w:r w:rsidRPr="00B5355D">
        <w:rPr>
          <w:lang w:val="en-US"/>
        </w:rPr>
        <w:t>Journal DAR 7036</w:t>
      </w:r>
      <w:r>
        <w:rPr>
          <w:lang w:val="en-US"/>
        </w:rPr>
        <w:t xml:space="preserve"> = 16 Fla. L. Weekly </w:t>
      </w:r>
      <w:r w:rsidRPr="00B5355D">
        <w:rPr>
          <w:lang w:val="en-US"/>
        </w:rPr>
        <w:t>Fed. S 427 (2003)</w:t>
      </w:r>
      <w:r>
        <w:rPr>
          <w:lang w:val="en-US"/>
        </w:rPr>
        <w:t>.</w:t>
      </w:r>
    </w:p>
  </w:footnote>
  <w:footnote w:id="1076">
    <w:p w14:paraId="4E70077F" w14:textId="77777777" w:rsidR="00074551" w:rsidRPr="003078C1" w:rsidRDefault="00074551" w:rsidP="00074551">
      <w:pPr>
        <w:pStyle w:val="Funotentext"/>
        <w:rPr>
          <w:lang w:val="en-US"/>
        </w:rPr>
      </w:pPr>
      <w:r>
        <w:rPr>
          <w:rStyle w:val="Funotenzeichen"/>
          <w:rFonts w:eastAsiaTheme="majorEastAsia"/>
        </w:rPr>
        <w:footnoteRef/>
      </w:r>
      <w:r w:rsidRPr="003078C1">
        <w:rPr>
          <w:lang w:val="en-US"/>
        </w:rPr>
        <w:t xml:space="preserve"> </w:t>
      </w:r>
      <w:r w:rsidRPr="009E57E1">
        <w:rPr>
          <w:i/>
          <w:lang w:val="en-US"/>
        </w:rPr>
        <w:t>Leis v. Flynt</w:t>
      </w:r>
      <w:r w:rsidRPr="003078C1">
        <w:rPr>
          <w:lang w:val="en-US"/>
        </w:rPr>
        <w:t>, 439 U.S. 438, 445</w:t>
      </w:r>
      <w:r>
        <w:rPr>
          <w:lang w:val="en-US"/>
        </w:rPr>
        <w:t xml:space="preserve"> = 99 S. Ct. </w:t>
      </w:r>
      <w:r w:rsidRPr="003078C1">
        <w:rPr>
          <w:lang w:val="en-US"/>
        </w:rPr>
        <w:t>698, 702</w:t>
      </w:r>
      <w:r w:rsidRPr="00EC5BEB">
        <w:rPr>
          <w:lang w:val="en-US"/>
        </w:rPr>
        <w:t xml:space="preserve"> = 58 L. Ed. </w:t>
      </w:r>
      <w:r w:rsidRPr="003078C1">
        <w:rPr>
          <w:lang w:val="en-US"/>
        </w:rPr>
        <w:t>2d 717, 724</w:t>
      </w:r>
      <w:r>
        <w:rPr>
          <w:lang w:val="en-US"/>
        </w:rPr>
        <w:t xml:space="preserve"> = 1979 U.S. LEXIS </w:t>
      </w:r>
      <w:r w:rsidRPr="003078C1">
        <w:rPr>
          <w:lang w:val="en-US"/>
        </w:rPr>
        <w:t>52, 12</w:t>
      </w:r>
      <w:r>
        <w:rPr>
          <w:lang w:val="en-US"/>
        </w:rPr>
        <w:t xml:space="preserve"> = 11 Ohio Op. </w:t>
      </w:r>
      <w:r w:rsidRPr="003078C1">
        <w:rPr>
          <w:lang w:val="en-US"/>
        </w:rPr>
        <w:t>3d 302 (1979)</w:t>
      </w:r>
      <w:r>
        <w:rPr>
          <w:lang w:val="en-US"/>
        </w:rPr>
        <w:t>.</w:t>
      </w:r>
    </w:p>
  </w:footnote>
  <w:footnote w:id="1077">
    <w:p w14:paraId="3ADC7212" w14:textId="77777777" w:rsidR="00074551" w:rsidRPr="00A84FA9" w:rsidRDefault="00074551" w:rsidP="00074551">
      <w:pPr>
        <w:pStyle w:val="Funotentext"/>
        <w:rPr>
          <w:lang w:val="en-US"/>
        </w:rPr>
      </w:pPr>
      <w:r>
        <w:rPr>
          <w:rStyle w:val="Funotenzeichen"/>
        </w:rPr>
        <w:footnoteRef/>
      </w:r>
      <w:r w:rsidRPr="00A84FA9">
        <w:rPr>
          <w:lang w:val="en-US"/>
        </w:rPr>
        <w:t xml:space="preserve"> </w:t>
      </w:r>
      <w:r>
        <w:rPr>
          <w:lang w:val="en-US"/>
        </w:rPr>
        <w:t>§ </w:t>
      </w:r>
      <w:r w:rsidRPr="00A84FA9">
        <w:rPr>
          <w:lang w:val="en-US"/>
        </w:rPr>
        <w:t>2907.31 Disseminating matter harmful to juveniles</w:t>
      </w:r>
      <w:r>
        <w:rPr>
          <w:lang w:val="en-US"/>
        </w:rPr>
        <w:t xml:space="preserve">, </w:t>
      </w:r>
      <w:proofErr w:type="spellStart"/>
      <w:r>
        <w:rPr>
          <w:lang w:val="en-US"/>
        </w:rPr>
        <w:t>vgl</w:t>
      </w:r>
      <w:proofErr w:type="spellEnd"/>
      <w:r>
        <w:rPr>
          <w:lang w:val="en-US"/>
        </w:rPr>
        <w:t xml:space="preserve">. </w:t>
      </w:r>
      <w:r w:rsidRPr="00A84FA9">
        <w:rPr>
          <w:lang w:val="en-US"/>
        </w:rPr>
        <w:t>ORC Ann. 2907.31</w:t>
      </w:r>
      <w:r>
        <w:rPr>
          <w:lang w:val="en-US"/>
        </w:rPr>
        <w:t>.</w:t>
      </w:r>
    </w:p>
  </w:footnote>
  <w:footnote w:id="1078">
    <w:p w14:paraId="3610FBB3" w14:textId="77777777" w:rsidR="00074551" w:rsidRPr="00A84FA9" w:rsidRDefault="00074551" w:rsidP="00074551">
      <w:pPr>
        <w:pStyle w:val="Funotentext"/>
        <w:rPr>
          <w:lang w:val="en-US"/>
        </w:rPr>
      </w:pPr>
      <w:r>
        <w:rPr>
          <w:rStyle w:val="Funotenzeichen"/>
        </w:rPr>
        <w:footnoteRef/>
      </w:r>
      <w:r w:rsidRPr="00A84FA9">
        <w:rPr>
          <w:lang w:val="en-US"/>
        </w:rPr>
        <w:t xml:space="preserve"> </w:t>
      </w:r>
      <w:r>
        <w:rPr>
          <w:lang w:val="en-US"/>
        </w:rPr>
        <w:t>§ </w:t>
      </w:r>
      <w:r w:rsidRPr="00A84FA9">
        <w:rPr>
          <w:lang w:val="en-US"/>
        </w:rPr>
        <w:t>4705.01 Practice of law; prohibitions.</w:t>
      </w:r>
    </w:p>
  </w:footnote>
  <w:footnote w:id="1079">
    <w:p w14:paraId="4494CFBA" w14:textId="77777777" w:rsidR="00074551" w:rsidRPr="00A84FA9" w:rsidRDefault="00074551" w:rsidP="00074551">
      <w:pPr>
        <w:pStyle w:val="Funotentext"/>
        <w:rPr>
          <w:lang w:val="en-US"/>
        </w:rPr>
      </w:pPr>
      <w:r>
        <w:rPr>
          <w:rStyle w:val="Funotenzeichen"/>
        </w:rPr>
        <w:footnoteRef/>
      </w:r>
      <w:r w:rsidRPr="00A84FA9">
        <w:rPr>
          <w:lang w:val="en-US"/>
        </w:rPr>
        <w:t xml:space="preserve"> </w:t>
      </w:r>
      <w:r>
        <w:rPr>
          <w:lang w:val="en-US"/>
        </w:rPr>
        <w:t>„</w:t>
      </w:r>
      <w:proofErr w:type="gramStart"/>
      <w:r w:rsidRPr="00A84FA9">
        <w:rPr>
          <w:lang w:val="en-US"/>
        </w:rPr>
        <w:t>pro</w:t>
      </w:r>
      <w:proofErr w:type="gramEnd"/>
      <w:r w:rsidRPr="00A84FA9">
        <w:rPr>
          <w:lang w:val="en-US"/>
        </w:rPr>
        <w:t xml:space="preserve"> hac </w:t>
      </w:r>
      <w:proofErr w:type="gramStart"/>
      <w:r w:rsidRPr="00A84FA9">
        <w:rPr>
          <w:lang w:val="en-US"/>
        </w:rPr>
        <w:t>vice</w:t>
      </w:r>
      <w:r>
        <w:rPr>
          <w:lang w:val="en-US"/>
        </w:rPr>
        <w:t>“</w:t>
      </w:r>
      <w:proofErr w:type="gramEnd"/>
      <w:r>
        <w:rPr>
          <w:lang w:val="en-US"/>
        </w:rPr>
        <w:t xml:space="preserve">, </w:t>
      </w:r>
      <w:proofErr w:type="spellStart"/>
      <w:r>
        <w:rPr>
          <w:lang w:val="en-US"/>
        </w:rPr>
        <w:t>vgl</w:t>
      </w:r>
      <w:proofErr w:type="spellEnd"/>
      <w:r>
        <w:rPr>
          <w:lang w:val="en-US"/>
        </w:rPr>
        <w:t xml:space="preserve">. </w:t>
      </w:r>
      <w:r w:rsidRPr="009E57E1">
        <w:rPr>
          <w:i/>
          <w:lang w:val="en-US"/>
        </w:rPr>
        <w:t>Leis v. Flynt</w:t>
      </w:r>
      <w:r w:rsidRPr="00A84FA9">
        <w:rPr>
          <w:lang w:val="en-US"/>
        </w:rPr>
        <w:t>, 439 U.S. 438, 438</w:t>
      </w:r>
      <w:r>
        <w:rPr>
          <w:lang w:val="en-US"/>
        </w:rPr>
        <w:t xml:space="preserve"> = 99 S. Ct. </w:t>
      </w:r>
      <w:r w:rsidRPr="00A84FA9">
        <w:rPr>
          <w:lang w:val="en-US"/>
        </w:rPr>
        <w:t>698, 699</w:t>
      </w:r>
      <w:r w:rsidRPr="00EC5BEB">
        <w:rPr>
          <w:lang w:val="en-US"/>
        </w:rPr>
        <w:t xml:space="preserve"> = 58 L. Ed. </w:t>
      </w:r>
      <w:r w:rsidRPr="00A84FA9">
        <w:rPr>
          <w:lang w:val="en-US"/>
        </w:rPr>
        <w:t>2d 717, 719</w:t>
      </w:r>
      <w:r>
        <w:rPr>
          <w:lang w:val="en-US"/>
        </w:rPr>
        <w:t xml:space="preserve"> = 1979 U.S. LEXIS </w:t>
      </w:r>
      <w:r w:rsidRPr="00A84FA9">
        <w:rPr>
          <w:lang w:val="en-US"/>
        </w:rPr>
        <w:t>52, 1</w:t>
      </w:r>
      <w:r>
        <w:rPr>
          <w:lang w:val="en-US"/>
        </w:rPr>
        <w:t xml:space="preserve"> = 11 Ohio Op. </w:t>
      </w:r>
      <w:r w:rsidRPr="00A84FA9">
        <w:rPr>
          <w:lang w:val="en-US"/>
        </w:rPr>
        <w:t>3d 302 (1979)</w:t>
      </w:r>
      <w:r>
        <w:rPr>
          <w:lang w:val="en-US"/>
        </w:rPr>
        <w:t>.</w:t>
      </w:r>
    </w:p>
  </w:footnote>
  <w:footnote w:id="1080">
    <w:p w14:paraId="1BF1FA46" w14:textId="77777777" w:rsidR="00074551" w:rsidRPr="00A84FA9" w:rsidRDefault="00074551" w:rsidP="00074551">
      <w:pPr>
        <w:pStyle w:val="Funotentext"/>
        <w:rPr>
          <w:lang w:val="en-US"/>
        </w:rPr>
      </w:pPr>
      <w:r>
        <w:rPr>
          <w:rStyle w:val="Funotenzeichen"/>
        </w:rPr>
        <w:footnoteRef/>
      </w:r>
      <w:r w:rsidRPr="00A84FA9">
        <w:rPr>
          <w:lang w:val="en-US"/>
        </w:rPr>
        <w:t xml:space="preserve"> </w:t>
      </w:r>
      <w:r>
        <w:rPr>
          <w:lang w:val="en-US"/>
        </w:rPr>
        <w:t>„</w:t>
      </w:r>
      <w:proofErr w:type="gramStart"/>
      <w:r w:rsidRPr="00A84FA9">
        <w:rPr>
          <w:lang w:val="en-US"/>
        </w:rPr>
        <w:t>pro</w:t>
      </w:r>
      <w:proofErr w:type="gramEnd"/>
      <w:r w:rsidRPr="00A84FA9">
        <w:rPr>
          <w:lang w:val="en-US"/>
        </w:rPr>
        <w:t xml:space="preserve"> hac </w:t>
      </w:r>
      <w:proofErr w:type="gramStart"/>
      <w:r w:rsidRPr="00A84FA9">
        <w:rPr>
          <w:lang w:val="en-US"/>
        </w:rPr>
        <w:t>vice</w:t>
      </w:r>
      <w:r>
        <w:rPr>
          <w:lang w:val="en-US"/>
        </w:rPr>
        <w:t>“</w:t>
      </w:r>
      <w:proofErr w:type="gramEnd"/>
      <w:r>
        <w:rPr>
          <w:lang w:val="en-US"/>
        </w:rPr>
        <w:t xml:space="preserve">, </w:t>
      </w:r>
      <w:proofErr w:type="spellStart"/>
      <w:r>
        <w:rPr>
          <w:lang w:val="en-US"/>
        </w:rPr>
        <w:t>vgl</w:t>
      </w:r>
      <w:proofErr w:type="spellEnd"/>
      <w:r>
        <w:rPr>
          <w:lang w:val="en-US"/>
        </w:rPr>
        <w:t xml:space="preserve">. </w:t>
      </w:r>
      <w:r w:rsidRPr="009E57E1">
        <w:rPr>
          <w:i/>
          <w:lang w:val="en-US"/>
        </w:rPr>
        <w:t>Leis v. Flynt</w:t>
      </w:r>
      <w:r w:rsidRPr="00A84FA9">
        <w:rPr>
          <w:lang w:val="en-US"/>
        </w:rPr>
        <w:t>, 439 U.S. 438, 438</w:t>
      </w:r>
      <w:r>
        <w:rPr>
          <w:lang w:val="en-US"/>
        </w:rPr>
        <w:t xml:space="preserve"> = 99 S. Ct. </w:t>
      </w:r>
      <w:r w:rsidRPr="00A84FA9">
        <w:rPr>
          <w:lang w:val="en-US"/>
        </w:rPr>
        <w:t>698, 699</w:t>
      </w:r>
      <w:r w:rsidRPr="00EC5BEB">
        <w:rPr>
          <w:lang w:val="en-US"/>
        </w:rPr>
        <w:t xml:space="preserve"> = 58 L. Ed. </w:t>
      </w:r>
      <w:r w:rsidRPr="00A84FA9">
        <w:rPr>
          <w:lang w:val="en-US"/>
        </w:rPr>
        <w:t>2d 717, 719</w:t>
      </w:r>
      <w:r>
        <w:rPr>
          <w:lang w:val="en-US"/>
        </w:rPr>
        <w:t xml:space="preserve"> = 1979 U.S. LEXIS </w:t>
      </w:r>
      <w:r w:rsidRPr="00A84FA9">
        <w:rPr>
          <w:lang w:val="en-US"/>
        </w:rPr>
        <w:t>52, 1</w:t>
      </w:r>
      <w:r>
        <w:rPr>
          <w:lang w:val="en-US"/>
        </w:rPr>
        <w:t xml:space="preserve"> = 11 Ohio Op. </w:t>
      </w:r>
      <w:r w:rsidRPr="00A84FA9">
        <w:rPr>
          <w:lang w:val="en-US"/>
        </w:rPr>
        <w:t>3d 302 (1979)</w:t>
      </w:r>
      <w:r>
        <w:rPr>
          <w:lang w:val="en-US"/>
        </w:rPr>
        <w:t>.</w:t>
      </w:r>
    </w:p>
  </w:footnote>
  <w:footnote w:id="1081">
    <w:p w14:paraId="2D1B11E4" w14:textId="77777777" w:rsidR="00074551" w:rsidRPr="00F84175" w:rsidRDefault="00074551" w:rsidP="00074551">
      <w:pPr>
        <w:pStyle w:val="Funotentext"/>
        <w:rPr>
          <w:lang w:val="en-US"/>
        </w:rPr>
      </w:pPr>
      <w:r>
        <w:rPr>
          <w:rStyle w:val="Funotenzeichen"/>
          <w:rFonts w:eastAsiaTheme="majorEastAsia"/>
        </w:rPr>
        <w:footnoteRef/>
      </w:r>
      <w:r w:rsidRPr="00F84175">
        <w:rPr>
          <w:lang w:val="en-US"/>
        </w:rPr>
        <w:t xml:space="preserve"> </w:t>
      </w:r>
      <w:r w:rsidRPr="009747B9">
        <w:rPr>
          <w:lang w:val="en-US"/>
        </w:rPr>
        <w:t>https://www.law.cornell.edu/wex/pro_hac_vice</w:t>
      </w:r>
      <w:r w:rsidRPr="00F84175">
        <w:rPr>
          <w:lang w:val="en-US"/>
        </w:rPr>
        <w:t xml:space="preserve"> </w:t>
      </w:r>
      <w:r>
        <w:rPr>
          <w:lang w:val="en-US"/>
        </w:rPr>
        <w:t>(27.04.2026).</w:t>
      </w:r>
    </w:p>
  </w:footnote>
  <w:footnote w:id="1082">
    <w:p w14:paraId="028A3618" w14:textId="77777777" w:rsidR="00074551" w:rsidRPr="009E57E1" w:rsidRDefault="00074551" w:rsidP="00074551">
      <w:pPr>
        <w:pStyle w:val="Funotentext"/>
        <w:rPr>
          <w:lang w:val="en-US"/>
        </w:rPr>
      </w:pPr>
      <w:r w:rsidRPr="009E57E1">
        <w:rPr>
          <w:rStyle w:val="Funotenzeichen"/>
          <w:rFonts w:eastAsiaTheme="majorEastAsia"/>
        </w:rPr>
        <w:footnoteRef/>
      </w:r>
      <w:r w:rsidRPr="009E57E1">
        <w:rPr>
          <w:lang w:val="en-US"/>
        </w:rPr>
        <w:t xml:space="preserve"> </w:t>
      </w:r>
      <w:r w:rsidRPr="00B45592">
        <w:rPr>
          <w:i/>
          <w:lang w:val="en-US"/>
        </w:rPr>
        <w:t>Board of Regents v. Roth</w:t>
      </w:r>
      <w:r w:rsidRPr="009E57E1">
        <w:rPr>
          <w:lang w:val="en-US"/>
        </w:rPr>
        <w:t>, 408 U.S. 564, 572</w:t>
      </w:r>
      <w:r w:rsidRPr="00B45592">
        <w:rPr>
          <w:lang w:val="en-US"/>
        </w:rPr>
        <w:t xml:space="preserve"> (1972).</w:t>
      </w:r>
    </w:p>
  </w:footnote>
  <w:footnote w:id="1083">
    <w:p w14:paraId="0B49D72B" w14:textId="77777777" w:rsidR="00074551" w:rsidRPr="009E57E1" w:rsidRDefault="00074551" w:rsidP="00074551">
      <w:pPr>
        <w:pStyle w:val="Funotentext"/>
        <w:rPr>
          <w:lang w:val="en-US"/>
        </w:rPr>
      </w:pPr>
      <w:r w:rsidRPr="009E57E1">
        <w:rPr>
          <w:rStyle w:val="Funotenzeichen"/>
          <w:rFonts w:eastAsiaTheme="majorEastAsia"/>
        </w:rPr>
        <w:footnoteRef/>
      </w:r>
      <w:r w:rsidRPr="009E57E1">
        <w:rPr>
          <w:lang w:val="en-US"/>
        </w:rPr>
        <w:t xml:space="preserve"> </w:t>
      </w:r>
      <w:r w:rsidRPr="00B45592">
        <w:rPr>
          <w:i/>
          <w:lang w:val="en-US"/>
        </w:rPr>
        <w:t>Meyer v. Nebraska</w:t>
      </w:r>
      <w:r w:rsidRPr="009E57E1">
        <w:rPr>
          <w:lang w:val="en-US"/>
        </w:rPr>
        <w:t>, 262 U.S. 390, 399</w:t>
      </w:r>
      <w:r w:rsidRPr="00B45592">
        <w:rPr>
          <w:lang w:val="en-US"/>
        </w:rPr>
        <w:t xml:space="preserve"> (1923).</w:t>
      </w:r>
    </w:p>
  </w:footnote>
  <w:footnote w:id="1084">
    <w:p w14:paraId="2AD032B0" w14:textId="77777777" w:rsidR="00074551" w:rsidRPr="001314B9" w:rsidRDefault="00074551" w:rsidP="00074551">
      <w:pPr>
        <w:pStyle w:val="Funotentext"/>
        <w:rPr>
          <w:lang w:val="en-US"/>
        </w:rPr>
      </w:pPr>
      <w:r w:rsidRPr="009E57E1">
        <w:rPr>
          <w:rStyle w:val="Funotenzeichen"/>
          <w:rFonts w:eastAsiaTheme="majorEastAsia"/>
        </w:rPr>
        <w:footnoteRef/>
      </w:r>
      <w:r w:rsidRPr="009E57E1">
        <w:rPr>
          <w:lang w:val="en-US"/>
        </w:rPr>
        <w:t xml:space="preserve"> </w:t>
      </w:r>
      <w:r w:rsidRPr="009E57E1">
        <w:rPr>
          <w:i/>
          <w:lang w:val="en-US"/>
        </w:rPr>
        <w:t>Ingraham v. Wright</w:t>
      </w:r>
      <w:r w:rsidRPr="009E57E1">
        <w:rPr>
          <w:lang w:val="en-US"/>
        </w:rPr>
        <w:t xml:space="preserve">, 430 U.S. 651, 673, </w:t>
      </w:r>
      <w:proofErr w:type="spellStart"/>
      <w:r w:rsidRPr="00B45592">
        <w:rPr>
          <w:lang w:val="en-US"/>
        </w:rPr>
        <w:t>zitierend</w:t>
      </w:r>
      <w:proofErr w:type="spellEnd"/>
      <w:r w:rsidRPr="00B45592">
        <w:rPr>
          <w:lang w:val="en-US"/>
        </w:rPr>
        <w:t xml:space="preserve"> </w:t>
      </w:r>
      <w:proofErr w:type="spellStart"/>
      <w:r w:rsidRPr="00B45592">
        <w:rPr>
          <w:lang w:val="en-US"/>
        </w:rPr>
        <w:t>aus</w:t>
      </w:r>
      <w:proofErr w:type="spellEnd"/>
      <w:r w:rsidRPr="009E57E1">
        <w:rPr>
          <w:lang w:val="en-US"/>
        </w:rPr>
        <w:t xml:space="preserve"> </w:t>
      </w:r>
      <w:r w:rsidRPr="00B45592">
        <w:rPr>
          <w:i/>
          <w:lang w:val="en-US"/>
        </w:rPr>
        <w:t>Meyer v. Nebraska</w:t>
      </w:r>
      <w:r w:rsidRPr="009E57E1">
        <w:rPr>
          <w:lang w:val="en-US"/>
        </w:rPr>
        <w:t xml:space="preserve">, </w:t>
      </w:r>
      <w:r w:rsidRPr="00B45592">
        <w:rPr>
          <w:lang w:val="en-US"/>
        </w:rPr>
        <w:t xml:space="preserve">262 U.S. 390, </w:t>
      </w:r>
      <w:r w:rsidRPr="009E57E1">
        <w:rPr>
          <w:lang w:val="en-US"/>
        </w:rPr>
        <w:t xml:space="preserve">399. </w:t>
      </w:r>
      <w:proofErr w:type="spellStart"/>
      <w:r>
        <w:rPr>
          <w:lang w:val="en-US"/>
        </w:rPr>
        <w:t>Siehe</w:t>
      </w:r>
      <w:proofErr w:type="spellEnd"/>
      <w:r w:rsidRPr="001314B9">
        <w:rPr>
          <w:lang w:val="en-US"/>
        </w:rPr>
        <w:t xml:space="preserve"> </w:t>
      </w:r>
      <w:r w:rsidRPr="00B45592">
        <w:rPr>
          <w:i/>
          <w:lang w:val="en-US"/>
        </w:rPr>
        <w:t>Smith v. Organization of Foster Families</w:t>
      </w:r>
      <w:r w:rsidRPr="001314B9">
        <w:rPr>
          <w:lang w:val="en-US"/>
        </w:rPr>
        <w:t>, 431 U.S. 816, 845;</w:t>
      </w:r>
      <w:r>
        <w:rPr>
          <w:lang w:val="en-US"/>
        </w:rPr>
        <w:t xml:space="preserve"> </w:t>
      </w:r>
      <w:r w:rsidRPr="009E57E1">
        <w:rPr>
          <w:i/>
          <w:lang w:val="en-US"/>
        </w:rPr>
        <w:t>Leis v. Flynt</w:t>
      </w:r>
      <w:r w:rsidRPr="001314B9">
        <w:rPr>
          <w:lang w:val="en-US"/>
        </w:rPr>
        <w:t>, 439 U.S. 438, 452</w:t>
      </w:r>
      <w:r>
        <w:rPr>
          <w:lang w:val="en-US"/>
        </w:rPr>
        <w:t xml:space="preserve"> = 99 S. Ct. </w:t>
      </w:r>
      <w:r w:rsidRPr="001314B9">
        <w:rPr>
          <w:lang w:val="en-US"/>
        </w:rPr>
        <w:t>698, 706</w:t>
      </w:r>
      <w:r w:rsidRPr="00EC5BEB">
        <w:rPr>
          <w:lang w:val="en-US"/>
        </w:rPr>
        <w:t xml:space="preserve"> = 58 L. Ed. </w:t>
      </w:r>
      <w:r w:rsidRPr="001314B9">
        <w:rPr>
          <w:lang w:val="en-US"/>
        </w:rPr>
        <w:t>2d 717, 728</w:t>
      </w:r>
      <w:r>
        <w:rPr>
          <w:lang w:val="en-US"/>
        </w:rPr>
        <w:t xml:space="preserve"> = 1979 U.S. LEXIS </w:t>
      </w:r>
      <w:r w:rsidRPr="001314B9">
        <w:rPr>
          <w:lang w:val="en-US"/>
        </w:rPr>
        <w:t>52, 23</w:t>
      </w:r>
      <w:r>
        <w:rPr>
          <w:lang w:val="en-US"/>
        </w:rPr>
        <w:t xml:space="preserve"> = 11 Ohio Op. </w:t>
      </w:r>
      <w:r w:rsidRPr="001314B9">
        <w:rPr>
          <w:lang w:val="en-US"/>
        </w:rPr>
        <w:t>3d 302 (1979)</w:t>
      </w:r>
      <w:r>
        <w:rPr>
          <w:lang w:val="en-US"/>
        </w:rPr>
        <w:t>.</w:t>
      </w:r>
    </w:p>
  </w:footnote>
  <w:footnote w:id="1085">
    <w:p w14:paraId="10355EE6" w14:textId="77777777" w:rsidR="00074551" w:rsidRPr="001314B9" w:rsidRDefault="00074551" w:rsidP="00074551">
      <w:pPr>
        <w:pStyle w:val="Funotentext"/>
        <w:rPr>
          <w:lang w:val="en-US"/>
        </w:rPr>
      </w:pPr>
      <w:r>
        <w:rPr>
          <w:rStyle w:val="Funotenzeichen"/>
          <w:rFonts w:eastAsiaTheme="majorEastAsia"/>
        </w:rPr>
        <w:footnoteRef/>
      </w:r>
      <w:r w:rsidRPr="001314B9">
        <w:rPr>
          <w:lang w:val="en-US"/>
        </w:rPr>
        <w:t xml:space="preserve"> </w:t>
      </w:r>
      <w:r w:rsidRPr="00B45592">
        <w:rPr>
          <w:i/>
          <w:lang w:val="en-US"/>
        </w:rPr>
        <w:t>Greene v. McElroy</w:t>
      </w:r>
      <w:r w:rsidRPr="001314B9">
        <w:rPr>
          <w:lang w:val="en-US"/>
        </w:rPr>
        <w:t>, 360 U.S. 474, 492,</w:t>
      </w:r>
      <w:r>
        <w:rPr>
          <w:lang w:val="en-US"/>
        </w:rPr>
        <w:t xml:space="preserve"> </w:t>
      </w:r>
      <w:r w:rsidRPr="009E57E1">
        <w:rPr>
          <w:i/>
          <w:lang w:val="en-US"/>
        </w:rPr>
        <w:t>Leis v. Flynt</w:t>
      </w:r>
      <w:r w:rsidRPr="001314B9">
        <w:rPr>
          <w:lang w:val="en-US"/>
        </w:rPr>
        <w:t>, 439 U.S. 438, 452</w:t>
      </w:r>
      <w:r>
        <w:rPr>
          <w:lang w:val="en-US"/>
        </w:rPr>
        <w:t xml:space="preserve"> = 99 S. Ct. </w:t>
      </w:r>
      <w:r w:rsidRPr="001314B9">
        <w:rPr>
          <w:lang w:val="en-US"/>
        </w:rPr>
        <w:t>698, 706</w:t>
      </w:r>
      <w:r w:rsidRPr="00EC5BEB">
        <w:rPr>
          <w:lang w:val="en-US"/>
        </w:rPr>
        <w:t xml:space="preserve"> = 58 L. Ed. </w:t>
      </w:r>
      <w:r w:rsidRPr="001314B9">
        <w:rPr>
          <w:lang w:val="en-US"/>
        </w:rPr>
        <w:t>2d 717, 728</w:t>
      </w:r>
      <w:r>
        <w:rPr>
          <w:lang w:val="en-US"/>
        </w:rPr>
        <w:t xml:space="preserve"> = 1979 U.S. LEXIS </w:t>
      </w:r>
      <w:r w:rsidRPr="001314B9">
        <w:rPr>
          <w:lang w:val="en-US"/>
        </w:rPr>
        <w:t>52, 23</w:t>
      </w:r>
      <w:r>
        <w:rPr>
          <w:lang w:val="en-US"/>
        </w:rPr>
        <w:t xml:space="preserve"> = 11 Ohio Op. </w:t>
      </w:r>
      <w:r w:rsidRPr="001314B9">
        <w:rPr>
          <w:lang w:val="en-US"/>
        </w:rPr>
        <w:t>3d 302 (1979)</w:t>
      </w:r>
      <w:r>
        <w:rPr>
          <w:lang w:val="en-US"/>
        </w:rPr>
        <w:t>.</w:t>
      </w:r>
    </w:p>
  </w:footnote>
  <w:footnote w:id="1086">
    <w:p w14:paraId="6A866765" w14:textId="77777777" w:rsidR="00074551" w:rsidRPr="001314B9" w:rsidRDefault="00074551" w:rsidP="00074551">
      <w:pPr>
        <w:pStyle w:val="Funotentext"/>
        <w:rPr>
          <w:lang w:val="en-US"/>
        </w:rPr>
      </w:pPr>
      <w:r>
        <w:rPr>
          <w:rStyle w:val="Funotenzeichen"/>
          <w:rFonts w:eastAsiaTheme="majorEastAsia"/>
        </w:rPr>
        <w:footnoteRef/>
      </w:r>
      <w:r w:rsidRPr="001314B9">
        <w:rPr>
          <w:lang w:val="en-US"/>
        </w:rPr>
        <w:t xml:space="preserve"> </w:t>
      </w:r>
      <w:proofErr w:type="spellStart"/>
      <w:r w:rsidRPr="00B45592">
        <w:rPr>
          <w:i/>
          <w:lang w:val="en-US"/>
        </w:rPr>
        <w:t>Schware</w:t>
      </w:r>
      <w:proofErr w:type="spellEnd"/>
      <w:r w:rsidRPr="00B45592">
        <w:rPr>
          <w:i/>
          <w:lang w:val="en-US"/>
        </w:rPr>
        <w:t xml:space="preserve"> v. Board of Bar Examiners</w:t>
      </w:r>
      <w:r w:rsidRPr="001314B9">
        <w:rPr>
          <w:lang w:val="en-US"/>
        </w:rPr>
        <w:t>, 353 U.S.</w:t>
      </w:r>
      <w:r>
        <w:rPr>
          <w:lang w:val="en-US"/>
        </w:rPr>
        <w:t xml:space="preserve"> 232,</w:t>
      </w:r>
      <w:r w:rsidRPr="001314B9">
        <w:rPr>
          <w:lang w:val="en-US"/>
        </w:rPr>
        <w:t xml:space="preserve"> 238</w:t>
      </w:r>
      <w:r>
        <w:rPr>
          <w:lang w:val="en-US"/>
        </w:rPr>
        <w:t xml:space="preserve">; </w:t>
      </w:r>
      <w:r w:rsidRPr="009E57E1">
        <w:rPr>
          <w:i/>
          <w:lang w:val="en-US"/>
        </w:rPr>
        <w:t>Leis v. Flynt</w:t>
      </w:r>
      <w:r w:rsidRPr="001314B9">
        <w:rPr>
          <w:lang w:val="en-US"/>
        </w:rPr>
        <w:t>, 439 U.S. 438, 452</w:t>
      </w:r>
      <w:r>
        <w:rPr>
          <w:lang w:val="en-US"/>
        </w:rPr>
        <w:t xml:space="preserve"> = 99 S. Ct. </w:t>
      </w:r>
      <w:r w:rsidRPr="001314B9">
        <w:rPr>
          <w:lang w:val="en-US"/>
        </w:rPr>
        <w:t>698, 706</w:t>
      </w:r>
      <w:r w:rsidRPr="00EC5BEB">
        <w:rPr>
          <w:lang w:val="en-US"/>
        </w:rPr>
        <w:t xml:space="preserve"> = 58 L. Ed. </w:t>
      </w:r>
      <w:r w:rsidRPr="001314B9">
        <w:rPr>
          <w:lang w:val="en-US"/>
        </w:rPr>
        <w:t>2d 717, 728</w:t>
      </w:r>
      <w:r>
        <w:rPr>
          <w:lang w:val="en-US"/>
        </w:rPr>
        <w:t xml:space="preserve"> = 1979 U.S. LEXIS </w:t>
      </w:r>
      <w:r w:rsidRPr="001314B9">
        <w:rPr>
          <w:lang w:val="en-US"/>
        </w:rPr>
        <w:t>52, 23</w:t>
      </w:r>
      <w:r>
        <w:rPr>
          <w:lang w:val="en-US"/>
        </w:rPr>
        <w:t xml:space="preserve"> = 11 Ohio Op. </w:t>
      </w:r>
      <w:r w:rsidRPr="001314B9">
        <w:rPr>
          <w:lang w:val="en-US"/>
        </w:rPr>
        <w:t>3d 302 (1979)</w:t>
      </w:r>
      <w:r>
        <w:rPr>
          <w:lang w:val="en-US"/>
        </w:rPr>
        <w:t>.</w:t>
      </w:r>
    </w:p>
  </w:footnote>
  <w:footnote w:id="1087">
    <w:p w14:paraId="41397AF9" w14:textId="77777777" w:rsidR="00074551" w:rsidRPr="00A22B6C" w:rsidRDefault="00074551" w:rsidP="00074551">
      <w:pPr>
        <w:pStyle w:val="Funotentext"/>
        <w:rPr>
          <w:lang w:val="en-US"/>
        </w:rPr>
      </w:pPr>
      <w:r>
        <w:rPr>
          <w:rStyle w:val="Funotenzeichen"/>
          <w:rFonts w:eastAsiaTheme="majorEastAsia"/>
        </w:rPr>
        <w:footnoteRef/>
      </w:r>
      <w:r w:rsidRPr="000D0132">
        <w:rPr>
          <w:lang w:val="en-US"/>
        </w:rPr>
        <w:t xml:space="preserve"> </w:t>
      </w:r>
      <w:r w:rsidRPr="009167A5">
        <w:rPr>
          <w:i/>
          <w:lang w:val="en-US"/>
        </w:rPr>
        <w:t>McGowan v. Maryland</w:t>
      </w:r>
      <w:r w:rsidRPr="000D0132">
        <w:rPr>
          <w:lang w:val="en-US"/>
        </w:rPr>
        <w:t>, 366 U.S. 420, 563</w:t>
      </w:r>
      <w:r w:rsidRPr="006E67FE">
        <w:rPr>
          <w:lang w:val="en-US"/>
        </w:rPr>
        <w:t xml:space="preserve"> = 81 S. Ct. </w:t>
      </w:r>
      <w:r w:rsidRPr="000D0132">
        <w:rPr>
          <w:lang w:val="en-US"/>
        </w:rPr>
        <w:t>1101, 1122</w:t>
      </w:r>
      <w:r>
        <w:rPr>
          <w:lang w:val="en-US"/>
        </w:rPr>
        <w:t xml:space="preserve"> = 6 L. Ed. </w:t>
      </w:r>
      <w:r w:rsidRPr="000D0132">
        <w:rPr>
          <w:lang w:val="en-US"/>
        </w:rPr>
        <w:t>2d 393, 525</w:t>
      </w:r>
      <w:r w:rsidRPr="006E67FE">
        <w:rPr>
          <w:lang w:val="en-US"/>
        </w:rPr>
        <w:t xml:space="preserve"> = 1961 U.S. LEXIS </w:t>
      </w:r>
      <w:r w:rsidRPr="000D0132">
        <w:rPr>
          <w:lang w:val="en-US"/>
        </w:rPr>
        <w:t>2008, 202</w:t>
      </w:r>
      <w:r w:rsidRPr="006E67FE">
        <w:rPr>
          <w:lang w:val="en-US"/>
        </w:rPr>
        <w:t xml:space="preserve"> = 42 Lab. Cas. </w:t>
      </w:r>
      <w:r w:rsidRPr="000D0132">
        <w:rPr>
          <w:lang w:val="en-US"/>
        </w:rPr>
        <w:t>(CCH) P50,258</w:t>
      </w:r>
      <w:r w:rsidRPr="006E67FE">
        <w:rPr>
          <w:lang w:val="en-US"/>
        </w:rPr>
        <w:t xml:space="preserve"> = 17 Ohio Op. </w:t>
      </w:r>
      <w:r w:rsidRPr="000D0132">
        <w:rPr>
          <w:lang w:val="en-US"/>
        </w:rPr>
        <w:t>2d 151 (1961).</w:t>
      </w:r>
    </w:p>
  </w:footnote>
  <w:footnote w:id="1088">
    <w:p w14:paraId="552F8C8E" w14:textId="77777777" w:rsidR="00074551" w:rsidRPr="000D0132" w:rsidRDefault="00074551" w:rsidP="00074551">
      <w:pPr>
        <w:pStyle w:val="Funotentext"/>
        <w:rPr>
          <w:lang w:val="en-US"/>
        </w:rPr>
      </w:pPr>
      <w:r>
        <w:rPr>
          <w:rStyle w:val="Funotenzeichen"/>
          <w:rFonts w:eastAsiaTheme="majorEastAsia"/>
        </w:rPr>
        <w:footnoteRef/>
      </w:r>
      <w:r w:rsidRPr="000D0132">
        <w:rPr>
          <w:lang w:val="en-US"/>
        </w:rPr>
        <w:t xml:space="preserve"> </w:t>
      </w:r>
      <w:r w:rsidRPr="009167A5">
        <w:rPr>
          <w:i/>
          <w:lang w:val="en-US"/>
        </w:rPr>
        <w:t>McGowan v. Maryland</w:t>
      </w:r>
      <w:r w:rsidRPr="000D0132">
        <w:rPr>
          <w:lang w:val="en-US"/>
        </w:rPr>
        <w:t>, 366 U.S. 420, 563</w:t>
      </w:r>
      <w:r w:rsidRPr="006E67FE">
        <w:rPr>
          <w:lang w:val="en-US"/>
        </w:rPr>
        <w:t xml:space="preserve"> = 81 S. Ct. </w:t>
      </w:r>
      <w:r w:rsidRPr="000D0132">
        <w:rPr>
          <w:lang w:val="en-US"/>
        </w:rPr>
        <w:t>1101, 1122</w:t>
      </w:r>
      <w:r>
        <w:rPr>
          <w:lang w:val="en-US"/>
        </w:rPr>
        <w:t xml:space="preserve"> = 6 L. Ed. </w:t>
      </w:r>
      <w:r w:rsidRPr="000D0132">
        <w:rPr>
          <w:lang w:val="en-US"/>
        </w:rPr>
        <w:t>2d 393, 525</w:t>
      </w:r>
      <w:r w:rsidRPr="006E67FE">
        <w:rPr>
          <w:lang w:val="en-US"/>
        </w:rPr>
        <w:t xml:space="preserve"> = 1961 U.S. LEXIS </w:t>
      </w:r>
      <w:r w:rsidRPr="000D0132">
        <w:rPr>
          <w:lang w:val="en-US"/>
        </w:rPr>
        <w:t>2008, 202</w:t>
      </w:r>
      <w:r w:rsidRPr="006E67FE">
        <w:rPr>
          <w:lang w:val="en-US"/>
        </w:rPr>
        <w:t xml:space="preserve"> = 42 Lab. Cas. </w:t>
      </w:r>
      <w:r w:rsidRPr="000D0132">
        <w:rPr>
          <w:lang w:val="en-US"/>
        </w:rPr>
        <w:t>(CCH) P50,258</w:t>
      </w:r>
      <w:r w:rsidRPr="006E67FE">
        <w:rPr>
          <w:lang w:val="en-US"/>
        </w:rPr>
        <w:t xml:space="preserve"> = 17 Ohio Op. </w:t>
      </w:r>
      <w:r w:rsidRPr="000D0132">
        <w:rPr>
          <w:lang w:val="en-US"/>
        </w:rPr>
        <w:t>2d 151 (1961)</w:t>
      </w:r>
      <w:r>
        <w:rPr>
          <w:lang w:val="en-US"/>
        </w:rPr>
        <w:t>.</w:t>
      </w:r>
    </w:p>
  </w:footnote>
  <w:footnote w:id="1089">
    <w:p w14:paraId="1C300538" w14:textId="77777777" w:rsidR="00074551" w:rsidRPr="000D0132" w:rsidRDefault="00074551" w:rsidP="00074551">
      <w:pPr>
        <w:pStyle w:val="Funotentext"/>
        <w:rPr>
          <w:lang w:val="en-US"/>
        </w:rPr>
      </w:pPr>
      <w:r>
        <w:rPr>
          <w:rStyle w:val="Funotenzeichen"/>
          <w:rFonts w:eastAsiaTheme="majorEastAsia"/>
        </w:rPr>
        <w:footnoteRef/>
      </w:r>
      <w:r w:rsidRPr="000D0132">
        <w:rPr>
          <w:lang w:val="en-US"/>
        </w:rPr>
        <w:t xml:space="preserve"> </w:t>
      </w:r>
      <w:r w:rsidRPr="00B45592">
        <w:rPr>
          <w:i/>
          <w:lang w:val="en-US"/>
        </w:rPr>
        <w:t>Board of Education v. Barnette</w:t>
      </w:r>
      <w:r w:rsidRPr="000D0132">
        <w:rPr>
          <w:lang w:val="en-US"/>
        </w:rPr>
        <w:t xml:space="preserve">, </w:t>
      </w:r>
      <w:r w:rsidRPr="00B45592">
        <w:rPr>
          <w:lang w:val="en-IE"/>
        </w:rPr>
        <w:t>319 U.S. 624</w:t>
      </w:r>
      <w:r w:rsidRPr="000D0132">
        <w:rPr>
          <w:lang w:val="en-US"/>
        </w:rPr>
        <w:t xml:space="preserve">; </w:t>
      </w:r>
      <w:r w:rsidRPr="00B45592">
        <w:rPr>
          <w:i/>
          <w:lang w:val="en-US"/>
        </w:rPr>
        <w:t>McCollum v. Board of Education</w:t>
      </w:r>
      <w:r w:rsidRPr="000D0132">
        <w:rPr>
          <w:lang w:val="en-US"/>
        </w:rPr>
        <w:t>, 333 U.S. 203,</w:t>
      </w:r>
      <w:r>
        <w:rPr>
          <w:lang w:val="en-US"/>
        </w:rPr>
        <w:t xml:space="preserve"> </w:t>
      </w:r>
      <w:r w:rsidRPr="009167A5">
        <w:rPr>
          <w:i/>
          <w:lang w:val="en-US"/>
        </w:rPr>
        <w:t>McGowan v. Maryland</w:t>
      </w:r>
      <w:r w:rsidRPr="000D0132">
        <w:rPr>
          <w:lang w:val="en-US"/>
        </w:rPr>
        <w:t>, 366 U.S. 420, 563</w:t>
      </w:r>
      <w:r>
        <w:rPr>
          <w:lang w:val="en-US"/>
        </w:rPr>
        <w:t>–</w:t>
      </w:r>
      <w:r w:rsidRPr="000D0132">
        <w:rPr>
          <w:lang w:val="en-US"/>
        </w:rPr>
        <w:t>564</w:t>
      </w:r>
      <w:r w:rsidRPr="006E67FE">
        <w:rPr>
          <w:lang w:val="en-US"/>
        </w:rPr>
        <w:t xml:space="preserve"> = 81 S. Ct. </w:t>
      </w:r>
      <w:r w:rsidRPr="000D0132">
        <w:rPr>
          <w:lang w:val="en-US"/>
        </w:rPr>
        <w:t>1101, 1122</w:t>
      </w:r>
      <w:r>
        <w:rPr>
          <w:lang w:val="en-US"/>
        </w:rPr>
        <w:t xml:space="preserve"> = 6 L. Ed. </w:t>
      </w:r>
      <w:r w:rsidRPr="000D0132">
        <w:rPr>
          <w:lang w:val="en-US"/>
        </w:rPr>
        <w:t>2d 393, 525</w:t>
      </w:r>
      <w:r w:rsidRPr="006E67FE">
        <w:rPr>
          <w:lang w:val="en-US"/>
        </w:rPr>
        <w:t xml:space="preserve"> = 1961 U.S. LEXIS </w:t>
      </w:r>
      <w:r w:rsidRPr="000D0132">
        <w:rPr>
          <w:lang w:val="en-US"/>
        </w:rPr>
        <w:t>2008, 203</w:t>
      </w:r>
      <w:r w:rsidRPr="006E67FE">
        <w:rPr>
          <w:lang w:val="en-US"/>
        </w:rPr>
        <w:t xml:space="preserve"> = 42 Lab. Cas. </w:t>
      </w:r>
      <w:r w:rsidRPr="000D0132">
        <w:rPr>
          <w:lang w:val="en-US"/>
        </w:rPr>
        <w:t>(CCH) P50,258</w:t>
      </w:r>
      <w:r w:rsidRPr="006E67FE">
        <w:rPr>
          <w:lang w:val="en-US"/>
        </w:rPr>
        <w:t xml:space="preserve"> = 17 Ohio Op. </w:t>
      </w:r>
      <w:r w:rsidRPr="000D0132">
        <w:rPr>
          <w:lang w:val="en-US"/>
        </w:rPr>
        <w:t>2d 151 (1961)</w:t>
      </w:r>
      <w:r>
        <w:rPr>
          <w:lang w:val="en-US"/>
        </w:rPr>
        <w:t>.</w:t>
      </w:r>
    </w:p>
  </w:footnote>
  <w:footnote w:id="1090">
    <w:p w14:paraId="794502D1" w14:textId="77777777" w:rsidR="00074551" w:rsidRPr="006D0578" w:rsidRDefault="00074551" w:rsidP="00074551">
      <w:pPr>
        <w:pStyle w:val="Funotentext"/>
        <w:rPr>
          <w:lang w:val="en-US"/>
        </w:rPr>
      </w:pPr>
      <w:r>
        <w:rPr>
          <w:rStyle w:val="Funotenzeichen"/>
          <w:rFonts w:eastAsiaTheme="majorEastAsia"/>
        </w:rPr>
        <w:footnoteRef/>
      </w:r>
      <w:r w:rsidRPr="006D0578">
        <w:rPr>
          <w:lang w:val="en-US"/>
        </w:rPr>
        <w:t xml:space="preserve"> </w:t>
      </w:r>
      <w:r w:rsidRPr="009167A5">
        <w:rPr>
          <w:i/>
          <w:lang w:val="en-US"/>
        </w:rPr>
        <w:t>McGowan v. Maryland</w:t>
      </w:r>
      <w:r w:rsidRPr="006D0578">
        <w:rPr>
          <w:lang w:val="en-US"/>
        </w:rPr>
        <w:t>, 366 U.S. 420, 563</w:t>
      </w:r>
      <w:r w:rsidRPr="006E67FE">
        <w:rPr>
          <w:lang w:val="en-US"/>
        </w:rPr>
        <w:t xml:space="preserve"> = 81 S. Ct. </w:t>
      </w:r>
      <w:r w:rsidRPr="006D0578">
        <w:rPr>
          <w:lang w:val="en-US"/>
        </w:rPr>
        <w:t>1101, 1122</w:t>
      </w:r>
      <w:r>
        <w:rPr>
          <w:lang w:val="en-US"/>
        </w:rPr>
        <w:t xml:space="preserve"> = 6 L. Ed. </w:t>
      </w:r>
      <w:r w:rsidRPr="006D0578">
        <w:rPr>
          <w:lang w:val="en-US"/>
        </w:rPr>
        <w:t>2d 393, 525</w:t>
      </w:r>
      <w:r w:rsidRPr="006E67FE">
        <w:rPr>
          <w:lang w:val="en-US"/>
        </w:rPr>
        <w:t xml:space="preserve"> = 1961 U.S. LEXIS </w:t>
      </w:r>
      <w:r w:rsidRPr="006D0578">
        <w:rPr>
          <w:lang w:val="en-US"/>
        </w:rPr>
        <w:t>2008, 202</w:t>
      </w:r>
      <w:r w:rsidRPr="006E67FE">
        <w:rPr>
          <w:lang w:val="en-US"/>
        </w:rPr>
        <w:t xml:space="preserve"> = 42 Lab. Cas. </w:t>
      </w:r>
      <w:r w:rsidRPr="006D0578">
        <w:rPr>
          <w:lang w:val="en-US"/>
        </w:rPr>
        <w:t>(CCH) P50,258</w:t>
      </w:r>
      <w:r w:rsidRPr="006E67FE">
        <w:rPr>
          <w:lang w:val="en-US"/>
        </w:rPr>
        <w:t xml:space="preserve"> = 17 Ohio Op. </w:t>
      </w:r>
      <w:r w:rsidRPr="006D0578">
        <w:rPr>
          <w:lang w:val="en-US"/>
        </w:rPr>
        <w:t>2d 151 (1961)</w:t>
      </w:r>
      <w:r>
        <w:rPr>
          <w:lang w:val="en-US"/>
        </w:rPr>
        <w:t>.</w:t>
      </w:r>
    </w:p>
  </w:footnote>
  <w:footnote w:id="1091">
    <w:p w14:paraId="678A0515" w14:textId="77777777" w:rsidR="00074551" w:rsidRPr="003B2960" w:rsidRDefault="00074551" w:rsidP="00074551">
      <w:pPr>
        <w:pStyle w:val="Funotentext"/>
        <w:rPr>
          <w:lang w:val="en-US"/>
        </w:rPr>
      </w:pPr>
      <w:r>
        <w:rPr>
          <w:rStyle w:val="Funotenzeichen"/>
          <w:rFonts w:eastAsiaTheme="majorEastAsia"/>
        </w:rPr>
        <w:footnoteRef/>
      </w:r>
      <w:r w:rsidRPr="003B2960">
        <w:rPr>
          <w:lang w:val="en-US"/>
        </w:rPr>
        <w:t xml:space="preserve"> </w:t>
      </w:r>
      <w:r w:rsidRPr="00B45592">
        <w:rPr>
          <w:i/>
          <w:lang w:val="en-US"/>
        </w:rPr>
        <w:t>Zorach v. Clauson</w:t>
      </w:r>
      <w:r w:rsidRPr="003B2960">
        <w:rPr>
          <w:lang w:val="en-US"/>
        </w:rPr>
        <w:t>, 343 U.S. 306, 313</w:t>
      </w:r>
      <w:r>
        <w:rPr>
          <w:lang w:val="en-US"/>
        </w:rPr>
        <w:t xml:space="preserve">; </w:t>
      </w:r>
      <w:r w:rsidRPr="009167A5">
        <w:rPr>
          <w:i/>
          <w:lang w:val="en-US"/>
        </w:rPr>
        <w:t>McGowan v. Maryland</w:t>
      </w:r>
      <w:r w:rsidRPr="003B2960">
        <w:rPr>
          <w:lang w:val="en-US"/>
        </w:rPr>
        <w:t>, 366 U.S. 420, 563</w:t>
      </w:r>
      <w:r w:rsidRPr="006E67FE">
        <w:rPr>
          <w:lang w:val="en-US"/>
        </w:rPr>
        <w:t xml:space="preserve"> = 81 S. Ct. </w:t>
      </w:r>
      <w:r w:rsidRPr="003B2960">
        <w:rPr>
          <w:lang w:val="en-US"/>
        </w:rPr>
        <w:t>1101, 1122</w:t>
      </w:r>
      <w:r>
        <w:rPr>
          <w:lang w:val="en-US"/>
        </w:rPr>
        <w:t xml:space="preserve"> = 6 L. Ed. </w:t>
      </w:r>
      <w:r w:rsidRPr="003B2960">
        <w:rPr>
          <w:lang w:val="en-US"/>
        </w:rPr>
        <w:t>2d 393, 525</w:t>
      </w:r>
      <w:r w:rsidRPr="006E67FE">
        <w:rPr>
          <w:lang w:val="en-US"/>
        </w:rPr>
        <w:t xml:space="preserve"> = 1961 U.S. LEXIS </w:t>
      </w:r>
      <w:r w:rsidRPr="003B2960">
        <w:rPr>
          <w:lang w:val="en-US"/>
        </w:rPr>
        <w:t>2008, 202</w:t>
      </w:r>
      <w:r w:rsidRPr="006E67FE">
        <w:rPr>
          <w:lang w:val="en-US"/>
        </w:rPr>
        <w:t xml:space="preserve"> = 42 Lab. Cas. </w:t>
      </w:r>
      <w:r w:rsidRPr="003B2960">
        <w:rPr>
          <w:lang w:val="en-US"/>
        </w:rPr>
        <w:t>(CCH) P50,258</w:t>
      </w:r>
      <w:r w:rsidRPr="006E67FE">
        <w:rPr>
          <w:lang w:val="en-US"/>
        </w:rPr>
        <w:t xml:space="preserve"> = 17 Ohio Op. </w:t>
      </w:r>
      <w:r w:rsidRPr="003B2960">
        <w:rPr>
          <w:lang w:val="en-US"/>
        </w:rPr>
        <w:t>2d 151 (1961)</w:t>
      </w:r>
      <w:r>
        <w:rPr>
          <w:lang w:val="en-US"/>
        </w:rPr>
        <w:t>.</w:t>
      </w:r>
    </w:p>
  </w:footnote>
  <w:footnote w:id="1092">
    <w:p w14:paraId="34F1EBE5" w14:textId="77777777" w:rsidR="00074551" w:rsidRPr="00A214DF" w:rsidRDefault="00074551" w:rsidP="00074551">
      <w:pPr>
        <w:pStyle w:val="Funotentext"/>
        <w:rPr>
          <w:lang w:val="en-US"/>
        </w:rPr>
      </w:pPr>
      <w:r>
        <w:rPr>
          <w:rStyle w:val="Funotenzeichen"/>
          <w:rFonts w:eastAsiaTheme="majorEastAsia"/>
        </w:rPr>
        <w:footnoteRef/>
      </w:r>
      <w:r w:rsidRPr="00A214DF">
        <w:rPr>
          <w:lang w:val="en-US"/>
        </w:rPr>
        <w:t xml:space="preserve"> </w:t>
      </w:r>
      <w:r w:rsidRPr="00DB2649">
        <w:rPr>
          <w:i/>
          <w:lang w:val="en-US"/>
        </w:rPr>
        <w:t>San Antonio Independent School Dist.</w:t>
      </w:r>
      <w:r w:rsidRPr="00B45592">
        <w:rPr>
          <w:i/>
          <w:lang w:val="en-US"/>
        </w:rPr>
        <w:t> v. </w:t>
      </w:r>
      <w:r w:rsidRPr="00DB2649">
        <w:rPr>
          <w:i/>
          <w:lang w:val="en-US"/>
        </w:rPr>
        <w:t>Rodriguez</w:t>
      </w:r>
      <w:r w:rsidRPr="00B45592">
        <w:rPr>
          <w:lang w:val="en-US"/>
        </w:rPr>
        <w:t>,</w:t>
      </w:r>
      <w:r w:rsidRPr="00A214DF">
        <w:rPr>
          <w:lang w:val="en-US"/>
        </w:rPr>
        <w:t> 411 U.S. 1, 33</w:t>
      </w:r>
      <w:r>
        <w:rPr>
          <w:lang w:val="en-US"/>
        </w:rPr>
        <w:t>–</w:t>
      </w:r>
      <w:r w:rsidRPr="00A214DF">
        <w:rPr>
          <w:lang w:val="en-US"/>
        </w:rPr>
        <w:t>34 (1973)</w:t>
      </w:r>
      <w:r>
        <w:rPr>
          <w:lang w:val="en-US"/>
        </w:rPr>
        <w:t xml:space="preserve">; </w:t>
      </w:r>
      <w:r w:rsidRPr="009167A5">
        <w:rPr>
          <w:i/>
          <w:lang w:val="en-IE"/>
        </w:rPr>
        <w:t>Moore v. East Cleveland</w:t>
      </w:r>
      <w:r w:rsidRPr="00B45592">
        <w:rPr>
          <w:lang w:val="en-IE"/>
        </w:rPr>
        <w:t>, 431 U.S. 494, 503</w:t>
      </w:r>
      <w:r w:rsidRPr="006E67FE">
        <w:rPr>
          <w:lang w:val="en-IE"/>
        </w:rPr>
        <w:t xml:space="preserve"> = 97 S. Ct. </w:t>
      </w:r>
      <w:r w:rsidRPr="00B45592">
        <w:rPr>
          <w:lang w:val="en-IE"/>
        </w:rPr>
        <w:t>1932, 1937</w:t>
      </w:r>
      <w:r>
        <w:rPr>
          <w:lang w:val="en-IE"/>
        </w:rPr>
        <w:t xml:space="preserve"> = 52 L. Ed. </w:t>
      </w:r>
      <w:r w:rsidRPr="00B45592">
        <w:rPr>
          <w:lang w:val="en-IE"/>
        </w:rPr>
        <w:t>2d 531, 539</w:t>
      </w:r>
      <w:r w:rsidRPr="006E67FE">
        <w:rPr>
          <w:lang w:val="en-IE"/>
        </w:rPr>
        <w:t xml:space="preserve"> = 1977 U.S. LEXIS </w:t>
      </w:r>
      <w:r w:rsidRPr="00B45592">
        <w:rPr>
          <w:lang w:val="en-IE"/>
        </w:rPr>
        <w:t>17, 17 (1977)</w:t>
      </w:r>
      <w:r>
        <w:rPr>
          <w:lang w:val="en-US"/>
        </w:rPr>
        <w:t xml:space="preserve">; </w:t>
      </w:r>
      <w:r w:rsidRPr="009167A5">
        <w:rPr>
          <w:i/>
          <w:lang w:val="en-US"/>
        </w:rPr>
        <w:t>Griswold v. Connecticut</w:t>
      </w:r>
      <w:r w:rsidRPr="00B45592">
        <w:rPr>
          <w:lang w:val="en-US"/>
        </w:rPr>
        <w:t>,</w:t>
      </w:r>
      <w:r w:rsidRPr="00A214DF">
        <w:rPr>
          <w:lang w:val="en-US"/>
        </w:rPr>
        <w:t> 381 U.S.</w:t>
      </w:r>
      <w:r>
        <w:rPr>
          <w:lang w:val="en-US"/>
        </w:rPr>
        <w:t xml:space="preserve"> 479,</w:t>
      </w:r>
      <w:r w:rsidRPr="00A214DF">
        <w:rPr>
          <w:lang w:val="en-US"/>
        </w:rPr>
        <w:t xml:space="preserve"> 501 </w:t>
      </w:r>
      <w:bookmarkStart w:id="55" w:name="_Hlk228828084"/>
      <w:r w:rsidRPr="00DE1296">
        <w:rPr>
          <w:lang w:val="en-US"/>
        </w:rPr>
        <w:t>(</w:t>
      </w:r>
      <w:r w:rsidRPr="00B45592">
        <w:rPr>
          <w:i/>
          <w:lang w:val="en-US"/>
        </w:rPr>
        <w:t>concurring opinion</w:t>
      </w:r>
      <w:r w:rsidRPr="00B45592">
        <w:rPr>
          <w:lang w:val="en-US"/>
        </w:rPr>
        <w:t xml:space="preserve"> von Richter </w:t>
      </w:r>
      <w:r w:rsidRPr="00B45592">
        <w:rPr>
          <w:i/>
          <w:lang w:val="en-US"/>
        </w:rPr>
        <w:t>Harlan</w:t>
      </w:r>
      <w:r w:rsidRPr="00DE1296">
        <w:rPr>
          <w:lang w:val="en-US"/>
        </w:rPr>
        <w:t>)</w:t>
      </w:r>
      <w:r>
        <w:rPr>
          <w:lang w:val="en-US"/>
        </w:rPr>
        <w:t xml:space="preserve"> (1965)</w:t>
      </w:r>
      <w:r w:rsidRPr="00DE1296">
        <w:rPr>
          <w:lang w:val="en-US"/>
        </w:rPr>
        <w:t>.</w:t>
      </w:r>
      <w:bookmarkEnd w:id="55"/>
    </w:p>
  </w:footnote>
  <w:footnote w:id="1093">
    <w:p w14:paraId="3FF36DEF" w14:textId="77777777" w:rsidR="00074551" w:rsidRPr="00A214DF" w:rsidRDefault="00074551" w:rsidP="00074551">
      <w:pPr>
        <w:pStyle w:val="Funotentext"/>
        <w:rPr>
          <w:lang w:val="en-US"/>
        </w:rPr>
      </w:pPr>
      <w:r>
        <w:rPr>
          <w:rStyle w:val="Funotenzeichen"/>
          <w:rFonts w:eastAsiaTheme="majorEastAsia"/>
        </w:rPr>
        <w:footnoteRef/>
      </w:r>
      <w:r w:rsidRPr="00A214DF">
        <w:rPr>
          <w:lang w:val="en-US"/>
        </w:rPr>
        <w:t xml:space="preserve"> </w:t>
      </w:r>
      <w:r w:rsidRPr="00B45592">
        <w:rPr>
          <w:i/>
          <w:lang w:val="en-US"/>
        </w:rPr>
        <w:t>San Antonio Independent School Dist. v. Rodriguez</w:t>
      </w:r>
      <w:r w:rsidRPr="00DF520F">
        <w:rPr>
          <w:lang w:val="en-US"/>
        </w:rPr>
        <w:t>,</w:t>
      </w:r>
      <w:r w:rsidRPr="00A214DF">
        <w:rPr>
          <w:lang w:val="en-US"/>
        </w:rPr>
        <w:t> 411 U.S. 1, 33</w:t>
      </w:r>
      <w:r>
        <w:rPr>
          <w:lang w:val="en-US"/>
        </w:rPr>
        <w:t>–</w:t>
      </w:r>
      <w:r w:rsidRPr="00A214DF">
        <w:rPr>
          <w:lang w:val="en-US"/>
        </w:rPr>
        <w:t>34 (1973)</w:t>
      </w:r>
      <w:r>
        <w:rPr>
          <w:lang w:val="en-US"/>
        </w:rPr>
        <w:t xml:space="preserve">; </w:t>
      </w:r>
      <w:r w:rsidRPr="009167A5">
        <w:rPr>
          <w:i/>
          <w:lang w:val="en-US"/>
        </w:rPr>
        <w:t>Moore v. East Cleveland</w:t>
      </w:r>
      <w:r w:rsidRPr="00DF520F">
        <w:rPr>
          <w:lang w:val="en-US"/>
        </w:rPr>
        <w:t>, 431 U.S. 494, 503</w:t>
      </w:r>
      <w:r w:rsidRPr="006E67FE">
        <w:rPr>
          <w:lang w:val="en-US"/>
        </w:rPr>
        <w:t xml:space="preserve"> = 97 S. Ct. </w:t>
      </w:r>
      <w:r w:rsidRPr="00DF520F">
        <w:rPr>
          <w:lang w:val="en-US"/>
        </w:rPr>
        <w:t>1932, 1937</w:t>
      </w:r>
      <w:r>
        <w:rPr>
          <w:lang w:val="en-US"/>
        </w:rPr>
        <w:t xml:space="preserve"> = 52 L. Ed. </w:t>
      </w:r>
      <w:r w:rsidRPr="00DF520F">
        <w:rPr>
          <w:lang w:val="en-US"/>
        </w:rPr>
        <w:t>2d 531, 539</w:t>
      </w:r>
      <w:r w:rsidRPr="006E67FE">
        <w:rPr>
          <w:lang w:val="en-US"/>
        </w:rPr>
        <w:t xml:space="preserve"> = 1977 U.S. LEXIS </w:t>
      </w:r>
      <w:r w:rsidRPr="00DF520F">
        <w:rPr>
          <w:lang w:val="en-US"/>
        </w:rPr>
        <w:t>17, 17 (1977)</w:t>
      </w:r>
      <w:r>
        <w:rPr>
          <w:lang w:val="en-US"/>
        </w:rPr>
        <w:t xml:space="preserve">; </w:t>
      </w:r>
      <w:r w:rsidRPr="009167A5">
        <w:rPr>
          <w:i/>
          <w:lang w:val="en-US"/>
        </w:rPr>
        <w:t>Griswold v. Connecticut</w:t>
      </w:r>
      <w:r w:rsidRPr="00A214DF">
        <w:rPr>
          <w:i/>
          <w:iCs/>
          <w:lang w:val="en-US"/>
        </w:rPr>
        <w:t>,</w:t>
      </w:r>
      <w:r w:rsidRPr="00A214DF">
        <w:rPr>
          <w:lang w:val="en-US"/>
        </w:rPr>
        <w:t> 381 U.S.</w:t>
      </w:r>
      <w:r>
        <w:rPr>
          <w:lang w:val="en-US"/>
        </w:rPr>
        <w:t xml:space="preserve"> 479,</w:t>
      </w:r>
      <w:r w:rsidRPr="00A214DF">
        <w:rPr>
          <w:lang w:val="en-US"/>
        </w:rPr>
        <w:t xml:space="preserve"> 501 </w:t>
      </w:r>
      <w:r w:rsidRPr="00206140">
        <w:rPr>
          <w:lang w:val="en-US"/>
        </w:rPr>
        <w:t>(</w:t>
      </w:r>
      <w:r w:rsidRPr="00206140">
        <w:rPr>
          <w:i/>
          <w:lang w:val="en-US"/>
        </w:rPr>
        <w:t>concurring opinion</w:t>
      </w:r>
      <w:r w:rsidRPr="00206140">
        <w:rPr>
          <w:lang w:val="en-US"/>
        </w:rPr>
        <w:t xml:space="preserve"> von Richter </w:t>
      </w:r>
      <w:r w:rsidRPr="00B45592">
        <w:rPr>
          <w:i/>
          <w:lang w:val="en-US"/>
        </w:rPr>
        <w:t>Harlan</w:t>
      </w:r>
      <w:r w:rsidRPr="00206140">
        <w:rPr>
          <w:lang w:val="en-US"/>
        </w:rPr>
        <w:t>)</w:t>
      </w:r>
      <w:r>
        <w:rPr>
          <w:lang w:val="en-US"/>
        </w:rPr>
        <w:t xml:space="preserve"> (1965)</w:t>
      </w:r>
      <w:r w:rsidRPr="00206140">
        <w:rPr>
          <w:lang w:val="en-US"/>
        </w:rPr>
        <w:t>.</w:t>
      </w:r>
    </w:p>
  </w:footnote>
  <w:footnote w:id="1094">
    <w:p w14:paraId="78CD3712" w14:textId="77777777" w:rsidR="00074551" w:rsidRPr="00E25839" w:rsidRDefault="00074551" w:rsidP="00074551">
      <w:pPr>
        <w:pStyle w:val="Funotentext"/>
        <w:rPr>
          <w:lang w:val="en-US"/>
        </w:rPr>
      </w:pPr>
      <w:r>
        <w:rPr>
          <w:rStyle w:val="Funotenzeichen"/>
          <w:rFonts w:eastAsiaTheme="majorEastAsia"/>
        </w:rPr>
        <w:footnoteRef/>
      </w:r>
      <w:r w:rsidRPr="00E25839">
        <w:rPr>
          <w:lang w:val="en-US"/>
        </w:rPr>
        <w:t xml:space="preserve"> </w:t>
      </w:r>
      <w:r w:rsidRPr="009167A5">
        <w:rPr>
          <w:i/>
          <w:lang w:val="en-US"/>
        </w:rPr>
        <w:t>Moore v. East Cleveland</w:t>
      </w:r>
      <w:r w:rsidRPr="00E25839">
        <w:rPr>
          <w:lang w:val="en-US"/>
        </w:rPr>
        <w:t>, 431 U.S. 494, 495</w:t>
      </w:r>
      <w:r w:rsidRPr="006E67FE">
        <w:rPr>
          <w:lang w:val="en-US"/>
        </w:rPr>
        <w:t xml:space="preserve"> = 97 S. Ct. </w:t>
      </w:r>
      <w:r w:rsidRPr="00E25839">
        <w:rPr>
          <w:lang w:val="en-US"/>
        </w:rPr>
        <w:t>1932, 1934</w:t>
      </w:r>
      <w:r>
        <w:rPr>
          <w:lang w:val="en-US"/>
        </w:rPr>
        <w:t xml:space="preserve"> = 52 L. Ed. </w:t>
      </w:r>
      <w:r w:rsidRPr="00E25839">
        <w:rPr>
          <w:lang w:val="en-US"/>
        </w:rPr>
        <w:t>2d 531, 535</w:t>
      </w:r>
      <w:r w:rsidRPr="006E67FE">
        <w:rPr>
          <w:lang w:val="en-US"/>
        </w:rPr>
        <w:t xml:space="preserve"> = 1977 U.S. LEXIS </w:t>
      </w:r>
      <w:r w:rsidRPr="00E25839">
        <w:rPr>
          <w:lang w:val="en-US"/>
        </w:rPr>
        <w:t>17, 1 (1977)</w:t>
      </w:r>
      <w:r>
        <w:rPr>
          <w:lang w:val="en-US"/>
        </w:rPr>
        <w:t>.</w:t>
      </w:r>
    </w:p>
  </w:footnote>
  <w:footnote w:id="1095">
    <w:p w14:paraId="73C6B827" w14:textId="77777777" w:rsidR="00074551" w:rsidRPr="00E25839" w:rsidRDefault="00074551" w:rsidP="00074551">
      <w:pPr>
        <w:pStyle w:val="Funotentext"/>
        <w:rPr>
          <w:lang w:val="en-US"/>
        </w:rPr>
      </w:pPr>
      <w:r>
        <w:rPr>
          <w:rStyle w:val="Funotenzeichen"/>
          <w:rFonts w:eastAsiaTheme="majorEastAsia"/>
        </w:rPr>
        <w:footnoteRef/>
      </w:r>
      <w:r w:rsidRPr="00E25839">
        <w:rPr>
          <w:lang w:val="en-US"/>
        </w:rPr>
        <w:t xml:space="preserve"> </w:t>
      </w:r>
      <w:r w:rsidRPr="009167A5">
        <w:rPr>
          <w:i/>
          <w:lang w:val="en-US"/>
        </w:rPr>
        <w:t>Griswold v. Connecticut</w:t>
      </w:r>
      <w:r w:rsidRPr="00E25839">
        <w:rPr>
          <w:lang w:val="en-US"/>
        </w:rPr>
        <w:t>, 381 U.S</w:t>
      </w:r>
      <w:r>
        <w:rPr>
          <w:lang w:val="en-US"/>
        </w:rPr>
        <w:t>. 479,</w:t>
      </w:r>
      <w:r w:rsidRPr="00A214DF">
        <w:rPr>
          <w:lang w:val="en-US"/>
        </w:rPr>
        <w:t xml:space="preserve"> 501</w:t>
      </w:r>
      <w:r w:rsidRPr="00E25839">
        <w:rPr>
          <w:lang w:val="en-US"/>
        </w:rPr>
        <w:t xml:space="preserve"> (</w:t>
      </w:r>
      <w:r w:rsidRPr="00206140">
        <w:rPr>
          <w:i/>
          <w:lang w:val="en-US"/>
        </w:rPr>
        <w:t>concurring opinion</w:t>
      </w:r>
      <w:r w:rsidRPr="00206140">
        <w:rPr>
          <w:lang w:val="en-US"/>
        </w:rPr>
        <w:t xml:space="preserve"> von Richter </w:t>
      </w:r>
      <w:r w:rsidRPr="00B45592">
        <w:rPr>
          <w:i/>
          <w:lang w:val="en-US"/>
        </w:rPr>
        <w:t>Harlan</w:t>
      </w:r>
      <w:r w:rsidRPr="00E25839">
        <w:rPr>
          <w:lang w:val="en-US"/>
        </w:rPr>
        <w:t>)</w:t>
      </w:r>
      <w:r>
        <w:rPr>
          <w:lang w:val="en-US"/>
        </w:rPr>
        <w:t xml:space="preserve">; </w:t>
      </w:r>
      <w:r w:rsidRPr="009167A5">
        <w:rPr>
          <w:i/>
          <w:lang w:val="en-US"/>
        </w:rPr>
        <w:t>Moore v. East Cleveland</w:t>
      </w:r>
      <w:r w:rsidRPr="00E25839">
        <w:rPr>
          <w:lang w:val="en-US"/>
        </w:rPr>
        <w:t>, 431 U.S. 494, 503</w:t>
      </w:r>
      <w:r w:rsidRPr="006E67FE">
        <w:rPr>
          <w:lang w:val="en-US"/>
        </w:rPr>
        <w:t xml:space="preserve"> = 97 S. Ct. </w:t>
      </w:r>
      <w:r w:rsidRPr="00E25839">
        <w:rPr>
          <w:lang w:val="en-US"/>
        </w:rPr>
        <w:t>1932, 1937</w:t>
      </w:r>
      <w:r>
        <w:rPr>
          <w:lang w:val="en-US"/>
        </w:rPr>
        <w:t xml:space="preserve"> = 52 L. Ed. </w:t>
      </w:r>
      <w:r w:rsidRPr="00E25839">
        <w:rPr>
          <w:lang w:val="en-US"/>
        </w:rPr>
        <w:t>2d 531, 539</w:t>
      </w:r>
      <w:r w:rsidRPr="006E67FE">
        <w:rPr>
          <w:lang w:val="en-US"/>
        </w:rPr>
        <w:t xml:space="preserve"> = 1977 U.S. LEXIS </w:t>
      </w:r>
      <w:r w:rsidRPr="00E25839">
        <w:rPr>
          <w:lang w:val="en-US"/>
        </w:rPr>
        <w:t>17, 17 (1977)</w:t>
      </w:r>
      <w:r>
        <w:rPr>
          <w:lang w:val="en-US"/>
        </w:rPr>
        <w:t>.</w:t>
      </w:r>
    </w:p>
  </w:footnote>
  <w:footnote w:id="1096">
    <w:p w14:paraId="2993B1B8" w14:textId="77777777" w:rsidR="00074551" w:rsidRPr="00A628E6" w:rsidRDefault="00074551" w:rsidP="00074551">
      <w:pPr>
        <w:pStyle w:val="Funotentext"/>
        <w:ind w:left="227" w:hanging="227"/>
        <w:rPr>
          <w:lang w:val="en-US"/>
        </w:rPr>
      </w:pPr>
      <w:r>
        <w:rPr>
          <w:rStyle w:val="Funotenzeichen"/>
          <w:rFonts w:eastAsiaTheme="majorEastAsia"/>
        </w:rPr>
        <w:footnoteRef/>
      </w:r>
      <w:r w:rsidRPr="00A628E6">
        <w:rPr>
          <w:lang w:val="en-US"/>
        </w:rPr>
        <w:t xml:space="preserve"> </w:t>
      </w:r>
      <w:r w:rsidRPr="008F73D7">
        <w:rPr>
          <w:i/>
          <w:lang w:val="en-US"/>
        </w:rPr>
        <w:t>Munn v. Ill.</w:t>
      </w:r>
      <w:r w:rsidRPr="00A628E6">
        <w:rPr>
          <w:lang w:val="en-US"/>
        </w:rPr>
        <w:t>, 94 U.S. 113, 123</w:t>
      </w:r>
      <w:r>
        <w:rPr>
          <w:lang w:val="en-US"/>
        </w:rPr>
        <w:t xml:space="preserve"> = 24 L. Ed.</w:t>
      </w:r>
      <w:r w:rsidRPr="00A628E6">
        <w:rPr>
          <w:lang w:val="en-US"/>
        </w:rPr>
        <w:t xml:space="preserve"> 77, 83</w:t>
      </w:r>
      <w:r>
        <w:rPr>
          <w:lang w:val="en-US"/>
        </w:rPr>
        <w:t xml:space="preserve"> = 1876 U.S. LEXIS </w:t>
      </w:r>
      <w:r w:rsidRPr="00A628E6">
        <w:rPr>
          <w:lang w:val="en-US"/>
        </w:rPr>
        <w:t>1842, 1</w:t>
      </w:r>
      <w:r>
        <w:rPr>
          <w:lang w:val="en-US"/>
        </w:rPr>
        <w:t xml:space="preserve"> = 4 Otto </w:t>
      </w:r>
      <w:r w:rsidRPr="00A628E6">
        <w:rPr>
          <w:lang w:val="en-US"/>
        </w:rPr>
        <w:t>113 (1877)</w:t>
      </w:r>
      <w:r>
        <w:rPr>
          <w:lang w:val="en-US"/>
        </w:rPr>
        <w:t>.</w:t>
      </w:r>
    </w:p>
  </w:footnote>
  <w:footnote w:id="1097">
    <w:p w14:paraId="2215BBEF" w14:textId="77777777" w:rsidR="00074551" w:rsidRPr="00F541B1" w:rsidRDefault="00074551" w:rsidP="00074551">
      <w:pPr>
        <w:pStyle w:val="Funotentext"/>
        <w:ind w:left="227" w:hanging="227"/>
        <w:rPr>
          <w:lang w:val="en-US"/>
        </w:rPr>
      </w:pPr>
      <w:r>
        <w:rPr>
          <w:rStyle w:val="Funotenzeichen"/>
          <w:rFonts w:eastAsiaTheme="majorEastAsia"/>
        </w:rPr>
        <w:footnoteRef/>
      </w:r>
      <w:r w:rsidRPr="00F541B1">
        <w:rPr>
          <w:lang w:val="en-US"/>
        </w:rPr>
        <w:t xml:space="preserve"> </w:t>
      </w:r>
      <w:r>
        <w:rPr>
          <w:lang w:val="en-US"/>
        </w:rPr>
        <w:t>„T</w:t>
      </w:r>
      <w:r w:rsidRPr="00F541B1">
        <w:rPr>
          <w:lang w:val="en-US"/>
        </w:rPr>
        <w:t xml:space="preserve">he provision has been supposed to secure to every individual the essential conditions for the pursuit of </w:t>
      </w:r>
      <w:proofErr w:type="gramStart"/>
      <w:r w:rsidRPr="00F541B1">
        <w:rPr>
          <w:lang w:val="en-US"/>
        </w:rPr>
        <w:t>happiness</w:t>
      </w:r>
      <w:r>
        <w:rPr>
          <w:lang w:val="en-US"/>
        </w:rPr>
        <w:t>“</w:t>
      </w:r>
      <w:proofErr w:type="gramEnd"/>
      <w:r>
        <w:rPr>
          <w:lang w:val="en-US"/>
        </w:rPr>
        <w:t xml:space="preserve">, </w:t>
      </w:r>
      <w:r w:rsidRPr="008F73D7">
        <w:rPr>
          <w:i/>
          <w:lang w:val="en-US"/>
        </w:rPr>
        <w:t>Munn v. Ill.</w:t>
      </w:r>
      <w:r w:rsidRPr="00F541B1">
        <w:rPr>
          <w:lang w:val="en-US"/>
        </w:rPr>
        <w:t>, 94 U.S. 113, 142</w:t>
      </w:r>
      <w:r>
        <w:rPr>
          <w:lang w:val="en-US"/>
        </w:rPr>
        <w:t xml:space="preserve"> = 24 L. Ed.</w:t>
      </w:r>
      <w:r w:rsidRPr="00F541B1">
        <w:rPr>
          <w:lang w:val="en-US"/>
        </w:rPr>
        <w:t xml:space="preserve"> 77, 90</w:t>
      </w:r>
      <w:r>
        <w:rPr>
          <w:lang w:val="en-US"/>
        </w:rPr>
        <w:t xml:space="preserve"> = 1876 U.S. LEXIS </w:t>
      </w:r>
      <w:r w:rsidRPr="00F541B1">
        <w:rPr>
          <w:lang w:val="en-US"/>
        </w:rPr>
        <w:t>1842, 58</w:t>
      </w:r>
      <w:r>
        <w:rPr>
          <w:lang w:val="en-US"/>
        </w:rPr>
        <w:t xml:space="preserve"> = 4 Otto </w:t>
      </w:r>
      <w:r w:rsidRPr="00F541B1">
        <w:rPr>
          <w:lang w:val="en-US"/>
        </w:rPr>
        <w:t>113 (1877)</w:t>
      </w:r>
      <w:r>
        <w:rPr>
          <w:lang w:val="en-US"/>
        </w:rPr>
        <w:t>.</w:t>
      </w:r>
    </w:p>
  </w:footnote>
  <w:footnote w:id="1098">
    <w:p w14:paraId="36D77C5E" w14:textId="77777777" w:rsidR="00074551" w:rsidRPr="00F541B1" w:rsidRDefault="00074551" w:rsidP="00074551">
      <w:pPr>
        <w:pStyle w:val="Funotentext"/>
        <w:rPr>
          <w:lang w:val="en-US"/>
        </w:rPr>
      </w:pPr>
      <w:r>
        <w:rPr>
          <w:rStyle w:val="Funotenzeichen"/>
          <w:rFonts w:eastAsiaTheme="majorEastAsia"/>
        </w:rPr>
        <w:footnoteRef/>
      </w:r>
      <w:r w:rsidRPr="00F541B1">
        <w:rPr>
          <w:lang w:val="en-US"/>
        </w:rPr>
        <w:t xml:space="preserve"> </w:t>
      </w:r>
      <w:r w:rsidRPr="008F73D7">
        <w:rPr>
          <w:i/>
          <w:lang w:val="en-US"/>
        </w:rPr>
        <w:t>Munn v. Ill.</w:t>
      </w:r>
      <w:r w:rsidRPr="00F541B1">
        <w:rPr>
          <w:lang w:val="en-US"/>
        </w:rPr>
        <w:t>, 94 U.S. 113, 141</w:t>
      </w:r>
      <w:r>
        <w:rPr>
          <w:lang w:val="en-US"/>
        </w:rPr>
        <w:t xml:space="preserve"> = 24 L. Ed.</w:t>
      </w:r>
      <w:r w:rsidRPr="00F541B1">
        <w:rPr>
          <w:lang w:val="en-US"/>
        </w:rPr>
        <w:t xml:space="preserve"> 77, 89</w:t>
      </w:r>
      <w:r>
        <w:rPr>
          <w:lang w:val="en-US"/>
        </w:rPr>
        <w:t xml:space="preserve"> = 1876 U.S. LEXIS </w:t>
      </w:r>
      <w:r w:rsidRPr="00F541B1">
        <w:rPr>
          <w:lang w:val="en-US"/>
        </w:rPr>
        <w:t>1842, 57</w:t>
      </w:r>
      <w:r>
        <w:rPr>
          <w:lang w:val="en-US"/>
        </w:rPr>
        <w:t xml:space="preserve"> = 4 Otto </w:t>
      </w:r>
      <w:r w:rsidRPr="00F541B1">
        <w:rPr>
          <w:lang w:val="en-US"/>
        </w:rPr>
        <w:t>113 (1877)</w:t>
      </w:r>
      <w:r>
        <w:rPr>
          <w:lang w:val="en-US"/>
        </w:rPr>
        <w:t>.</w:t>
      </w:r>
    </w:p>
  </w:footnote>
  <w:footnote w:id="1099">
    <w:p w14:paraId="03CAF300" w14:textId="77777777" w:rsidR="00074551" w:rsidRDefault="00074551" w:rsidP="00074551">
      <w:pPr>
        <w:pStyle w:val="Funotentext"/>
        <w:ind w:left="227" w:hanging="227"/>
        <w:rPr>
          <w:lang w:val="en-US"/>
        </w:rPr>
      </w:pPr>
      <w:r>
        <w:rPr>
          <w:rStyle w:val="Funotenzeichen"/>
          <w:rFonts w:eastAsiaTheme="majorEastAsia"/>
        </w:rPr>
        <w:footnoteRef/>
      </w:r>
      <w:r w:rsidRPr="00F541B1">
        <w:rPr>
          <w:lang w:val="en-US"/>
        </w:rPr>
        <w:t xml:space="preserve"> </w:t>
      </w:r>
      <w:r>
        <w:rPr>
          <w:lang w:val="en-US"/>
        </w:rPr>
        <w:t>„</w:t>
      </w:r>
      <w:r w:rsidRPr="00466181">
        <w:rPr>
          <w:lang w:val="en-US"/>
        </w:rPr>
        <w:t xml:space="preserve">Except by due process of law, </w:t>
      </w:r>
      <w:r w:rsidRPr="00F541B1">
        <w:rPr>
          <w:lang w:val="en-US"/>
        </w:rPr>
        <w:t xml:space="preserve">no State can deprive any person of either. The provision has been supposed to secure to every individual the essential conditions for the pursuit of </w:t>
      </w:r>
    </w:p>
    <w:p w14:paraId="1BD8FA1B" w14:textId="77777777" w:rsidR="00074551" w:rsidRPr="00F541B1" w:rsidRDefault="00074551" w:rsidP="00074551">
      <w:pPr>
        <w:pStyle w:val="Funotentext"/>
        <w:ind w:left="227" w:hanging="227"/>
        <w:rPr>
          <w:lang w:val="en-US"/>
        </w:rPr>
      </w:pPr>
      <w:proofErr w:type="gramStart"/>
      <w:r w:rsidRPr="00F541B1">
        <w:rPr>
          <w:lang w:val="en-US"/>
        </w:rPr>
        <w:t>happiness</w:t>
      </w:r>
      <w:r>
        <w:rPr>
          <w:lang w:val="en-US"/>
        </w:rPr>
        <w:t>“</w:t>
      </w:r>
      <w:proofErr w:type="gramEnd"/>
      <w:r>
        <w:rPr>
          <w:lang w:val="en-US"/>
        </w:rPr>
        <w:t xml:space="preserve">, </w:t>
      </w:r>
      <w:r w:rsidRPr="008F73D7">
        <w:rPr>
          <w:i/>
          <w:lang w:val="en-US"/>
        </w:rPr>
        <w:t>Munn v. Ill.</w:t>
      </w:r>
      <w:r w:rsidRPr="00F541B1">
        <w:rPr>
          <w:lang w:val="en-US"/>
        </w:rPr>
        <w:t>, 94 U.S. 113, 141</w:t>
      </w:r>
      <w:r>
        <w:rPr>
          <w:lang w:val="en-US"/>
        </w:rPr>
        <w:t>–</w:t>
      </w:r>
      <w:r w:rsidRPr="00F541B1">
        <w:rPr>
          <w:lang w:val="en-US"/>
        </w:rPr>
        <w:t>142</w:t>
      </w:r>
      <w:r>
        <w:rPr>
          <w:lang w:val="en-US"/>
        </w:rPr>
        <w:t xml:space="preserve"> = 24 L. Ed.</w:t>
      </w:r>
      <w:r w:rsidRPr="00F541B1">
        <w:rPr>
          <w:lang w:val="en-US"/>
        </w:rPr>
        <w:t xml:space="preserve"> 77, 90</w:t>
      </w:r>
      <w:r>
        <w:rPr>
          <w:lang w:val="en-US"/>
        </w:rPr>
        <w:t xml:space="preserve"> = 1876 U.S. LEXIS </w:t>
      </w:r>
      <w:r w:rsidRPr="00F541B1">
        <w:rPr>
          <w:lang w:val="en-US"/>
        </w:rPr>
        <w:t>1842, 58</w:t>
      </w:r>
      <w:r>
        <w:rPr>
          <w:lang w:val="en-US"/>
        </w:rPr>
        <w:t xml:space="preserve"> = 4 Otto </w:t>
      </w:r>
      <w:r w:rsidRPr="00F541B1">
        <w:rPr>
          <w:lang w:val="en-US"/>
        </w:rPr>
        <w:t>113 (1877)</w:t>
      </w:r>
      <w:r>
        <w:rPr>
          <w:lang w:val="en-US"/>
        </w:rPr>
        <w:t>.</w:t>
      </w:r>
    </w:p>
  </w:footnote>
  <w:footnote w:id="1100">
    <w:p w14:paraId="6DFF8CA3" w14:textId="77777777" w:rsidR="00074551" w:rsidRPr="003D6842" w:rsidRDefault="00074551" w:rsidP="00074551">
      <w:pPr>
        <w:pStyle w:val="Funotentext"/>
        <w:rPr>
          <w:lang w:val="en-US"/>
        </w:rPr>
      </w:pPr>
      <w:r>
        <w:rPr>
          <w:rStyle w:val="Funotenzeichen"/>
          <w:rFonts w:eastAsiaTheme="majorEastAsia"/>
        </w:rPr>
        <w:footnoteRef/>
      </w:r>
      <w:r w:rsidRPr="003D6842">
        <w:rPr>
          <w:lang w:val="en-US"/>
        </w:rPr>
        <w:t xml:space="preserve"> </w:t>
      </w:r>
      <w:r w:rsidRPr="008F73D7">
        <w:rPr>
          <w:i/>
          <w:lang w:val="en-US"/>
        </w:rPr>
        <w:t>Munn v. Ill.</w:t>
      </w:r>
      <w:r w:rsidRPr="003D6842">
        <w:rPr>
          <w:lang w:val="en-US"/>
        </w:rPr>
        <w:t>, 94 U.S. 113, 142</w:t>
      </w:r>
      <w:r>
        <w:rPr>
          <w:lang w:val="en-US"/>
        </w:rPr>
        <w:t xml:space="preserve"> = 24 L. Ed.</w:t>
      </w:r>
      <w:r w:rsidRPr="003D6842">
        <w:rPr>
          <w:lang w:val="en-US"/>
        </w:rPr>
        <w:t xml:space="preserve"> 77, 90</w:t>
      </w:r>
      <w:r>
        <w:rPr>
          <w:lang w:val="en-US"/>
        </w:rPr>
        <w:t xml:space="preserve"> = 1876 U.S. LEXIS </w:t>
      </w:r>
      <w:r w:rsidRPr="003D6842">
        <w:rPr>
          <w:lang w:val="en-US"/>
        </w:rPr>
        <w:t>1842, 58</w:t>
      </w:r>
      <w:r>
        <w:rPr>
          <w:lang w:val="en-US"/>
        </w:rPr>
        <w:t xml:space="preserve"> = 4 Otto </w:t>
      </w:r>
      <w:r w:rsidRPr="003D6842">
        <w:rPr>
          <w:lang w:val="en-US"/>
        </w:rPr>
        <w:t>113 (1877)</w:t>
      </w:r>
      <w:r>
        <w:rPr>
          <w:lang w:val="en-US"/>
        </w:rPr>
        <w:t>.</w:t>
      </w:r>
    </w:p>
  </w:footnote>
  <w:footnote w:id="1101">
    <w:p w14:paraId="7FC33735" w14:textId="77777777" w:rsidR="00074551" w:rsidRPr="00396C13" w:rsidRDefault="00074551" w:rsidP="00074551">
      <w:pPr>
        <w:pStyle w:val="Funotentext"/>
        <w:rPr>
          <w:lang w:val="en-US"/>
        </w:rPr>
      </w:pPr>
      <w:r>
        <w:rPr>
          <w:rStyle w:val="Funotenzeichen"/>
        </w:rPr>
        <w:footnoteRef/>
      </w:r>
      <w:r w:rsidRPr="00396C13">
        <w:rPr>
          <w:lang w:val="en-US"/>
        </w:rPr>
        <w:t xml:space="preserve"> </w:t>
      </w:r>
      <w:r w:rsidRPr="008F73D7">
        <w:rPr>
          <w:i/>
          <w:lang w:val="en-US"/>
        </w:rPr>
        <w:t>Munn v. Ill.</w:t>
      </w:r>
      <w:r w:rsidRPr="00396C13">
        <w:rPr>
          <w:lang w:val="en-US"/>
        </w:rPr>
        <w:t>, 94 U.S. 113, 142</w:t>
      </w:r>
      <w:r>
        <w:rPr>
          <w:lang w:val="en-US"/>
        </w:rPr>
        <w:t xml:space="preserve"> = 24 L. Ed.</w:t>
      </w:r>
      <w:r w:rsidRPr="00396C13">
        <w:rPr>
          <w:lang w:val="en-US"/>
        </w:rPr>
        <w:t xml:space="preserve"> 77, 90</w:t>
      </w:r>
      <w:r>
        <w:rPr>
          <w:lang w:val="en-US"/>
        </w:rPr>
        <w:t xml:space="preserve"> = 1876 U.S. LEXIS </w:t>
      </w:r>
      <w:r w:rsidRPr="00396C13">
        <w:rPr>
          <w:lang w:val="en-US"/>
        </w:rPr>
        <w:t>1842, 58</w:t>
      </w:r>
      <w:r>
        <w:rPr>
          <w:lang w:val="en-US"/>
        </w:rPr>
        <w:t xml:space="preserve"> = 4 Otto </w:t>
      </w:r>
      <w:r w:rsidRPr="00396C13">
        <w:rPr>
          <w:lang w:val="en-US"/>
        </w:rPr>
        <w:t>113 (1877)</w:t>
      </w:r>
      <w:r>
        <w:rPr>
          <w:lang w:val="en-US"/>
        </w:rPr>
        <w:t>.</w:t>
      </w:r>
    </w:p>
  </w:footnote>
  <w:footnote w:id="1102">
    <w:p w14:paraId="7F29DEF7" w14:textId="77777777" w:rsidR="00074551" w:rsidRPr="009942E8" w:rsidRDefault="00074551" w:rsidP="00074551">
      <w:pPr>
        <w:pStyle w:val="Funotentext"/>
        <w:rPr>
          <w:lang w:val="en-US"/>
        </w:rPr>
      </w:pPr>
      <w:r>
        <w:rPr>
          <w:rStyle w:val="Funotenzeichen"/>
          <w:rFonts w:eastAsiaTheme="majorEastAsia"/>
        </w:rPr>
        <w:footnoteRef/>
      </w:r>
      <w:r w:rsidRPr="009942E8">
        <w:rPr>
          <w:lang w:val="en-US"/>
        </w:rPr>
        <w:t xml:space="preserve"> </w:t>
      </w:r>
      <w:r w:rsidRPr="008F73D7">
        <w:rPr>
          <w:i/>
          <w:lang w:val="en-US"/>
        </w:rPr>
        <w:t>Munn v. Ill.</w:t>
      </w:r>
      <w:r w:rsidRPr="009942E8">
        <w:rPr>
          <w:lang w:val="en-US"/>
        </w:rPr>
        <w:t>, 94 U.S. 113, 142</w:t>
      </w:r>
      <w:r>
        <w:rPr>
          <w:lang w:val="en-US"/>
        </w:rPr>
        <w:t xml:space="preserve"> = 24 L. Ed.</w:t>
      </w:r>
      <w:r w:rsidRPr="009942E8">
        <w:rPr>
          <w:lang w:val="en-US"/>
        </w:rPr>
        <w:t xml:space="preserve"> 77, 90</w:t>
      </w:r>
      <w:r>
        <w:rPr>
          <w:lang w:val="en-US"/>
        </w:rPr>
        <w:t xml:space="preserve"> = 1876 U.S. LEXIS </w:t>
      </w:r>
      <w:r w:rsidRPr="009942E8">
        <w:rPr>
          <w:lang w:val="en-US"/>
        </w:rPr>
        <w:t>1842, 58</w:t>
      </w:r>
      <w:r>
        <w:rPr>
          <w:lang w:val="en-US"/>
        </w:rPr>
        <w:t>–</w:t>
      </w:r>
      <w:r w:rsidRPr="009942E8">
        <w:rPr>
          <w:lang w:val="en-US"/>
        </w:rPr>
        <w:t>59</w:t>
      </w:r>
      <w:r>
        <w:rPr>
          <w:lang w:val="en-US"/>
        </w:rPr>
        <w:t xml:space="preserve"> = 4 Otto </w:t>
      </w:r>
      <w:r w:rsidRPr="009942E8">
        <w:rPr>
          <w:lang w:val="en-US"/>
        </w:rPr>
        <w:t>113 (1877)</w:t>
      </w:r>
      <w:r>
        <w:rPr>
          <w:lang w:val="en-US"/>
        </w:rPr>
        <w:t>: „</w:t>
      </w:r>
      <w:r w:rsidRPr="009942E8">
        <w:rPr>
          <w:lang w:val="en-US"/>
        </w:rPr>
        <w:t xml:space="preserve">No </w:t>
      </w:r>
      <w:proofErr w:type="gramStart"/>
      <w:r w:rsidRPr="009942E8">
        <w:rPr>
          <w:lang w:val="en-US"/>
        </w:rPr>
        <w:t xml:space="preserve">State </w:t>
      </w:r>
      <w:r>
        <w:rPr>
          <w:lang w:val="en-US"/>
        </w:rPr>
        <w:t>,</w:t>
      </w:r>
      <w:r w:rsidRPr="009942E8">
        <w:rPr>
          <w:lang w:val="en-US"/>
        </w:rPr>
        <w:t>shall</w:t>
      </w:r>
      <w:proofErr w:type="gramEnd"/>
      <w:r w:rsidRPr="009942E8">
        <w:rPr>
          <w:lang w:val="en-US"/>
        </w:rPr>
        <w:t xml:space="preserve"> deprive any person of life, liberty, or property without due process of </w:t>
      </w:r>
      <w:proofErr w:type="gramStart"/>
      <w:r w:rsidRPr="009942E8">
        <w:rPr>
          <w:lang w:val="en-US"/>
        </w:rPr>
        <w:t>law</w:t>
      </w:r>
      <w:r>
        <w:rPr>
          <w:lang w:val="en-US"/>
        </w:rPr>
        <w:t>‘</w:t>
      </w:r>
      <w:proofErr w:type="gramEnd"/>
      <w:r w:rsidRPr="009942E8">
        <w:rPr>
          <w:lang w:val="en-US"/>
        </w:rPr>
        <w:t xml:space="preserve">, says the Fourteenth Amendment to the Constitution. By the </w:t>
      </w:r>
      <w:proofErr w:type="gramStart"/>
      <w:r w:rsidRPr="009942E8">
        <w:rPr>
          <w:lang w:val="en-US"/>
        </w:rPr>
        <w:t xml:space="preserve">term </w:t>
      </w:r>
      <w:r>
        <w:rPr>
          <w:lang w:val="en-US"/>
        </w:rPr>
        <w:t>,</w:t>
      </w:r>
      <w:r w:rsidRPr="009942E8">
        <w:rPr>
          <w:lang w:val="en-US"/>
        </w:rPr>
        <w:t>life</w:t>
      </w:r>
      <w:proofErr w:type="gramEnd"/>
      <w:r>
        <w:rPr>
          <w:lang w:val="en-US"/>
        </w:rPr>
        <w:t>‘</w:t>
      </w:r>
      <w:r w:rsidRPr="009942E8">
        <w:rPr>
          <w:lang w:val="en-US"/>
        </w:rPr>
        <w:t xml:space="preserve">, as here used, something more is meant than mere animal existence. The inhibition against its deprivation extends to all those limbs and faculties by which life is enjoyed. </w:t>
      </w:r>
      <w:r w:rsidRPr="00466181">
        <w:rPr>
          <w:lang w:val="en-US"/>
        </w:rPr>
        <w:t xml:space="preserve">[…] </w:t>
      </w:r>
      <w:r w:rsidRPr="009942E8">
        <w:rPr>
          <w:lang w:val="en-US"/>
        </w:rPr>
        <w:t xml:space="preserve">By the </w:t>
      </w:r>
      <w:proofErr w:type="gramStart"/>
      <w:r w:rsidRPr="009942E8">
        <w:rPr>
          <w:lang w:val="en-US"/>
        </w:rPr>
        <w:t xml:space="preserve">term </w:t>
      </w:r>
      <w:r>
        <w:rPr>
          <w:lang w:val="en-US"/>
        </w:rPr>
        <w:t>,</w:t>
      </w:r>
      <w:r w:rsidRPr="009942E8">
        <w:rPr>
          <w:lang w:val="en-US"/>
        </w:rPr>
        <w:t>liberty</w:t>
      </w:r>
      <w:proofErr w:type="gramEnd"/>
      <w:r>
        <w:rPr>
          <w:lang w:val="en-US"/>
        </w:rPr>
        <w:t>‘</w:t>
      </w:r>
      <w:r w:rsidRPr="009942E8">
        <w:rPr>
          <w:lang w:val="en-US"/>
        </w:rPr>
        <w:t xml:space="preserve">, as used in the provision, something more is meant than mere freedom from physical restraint or the bounds of a prison. It means freedom to go where one may choose, and to act in such manner, not inconsistent with the equal rights of others, as his judgment may dictate for the promotion of his </w:t>
      </w:r>
      <w:proofErr w:type="gramStart"/>
      <w:r w:rsidRPr="009942E8">
        <w:rPr>
          <w:lang w:val="en-US"/>
        </w:rPr>
        <w:t>happiness</w:t>
      </w:r>
      <w:r>
        <w:rPr>
          <w:lang w:val="en-US"/>
        </w:rPr>
        <w:t>.“</w:t>
      </w:r>
      <w:proofErr w:type="gramEnd"/>
    </w:p>
  </w:footnote>
  <w:footnote w:id="1103">
    <w:p w14:paraId="045BAD89" w14:textId="77777777" w:rsidR="00074551" w:rsidRPr="00230AD1" w:rsidRDefault="00074551" w:rsidP="00074551">
      <w:pPr>
        <w:pStyle w:val="Funotentext"/>
        <w:rPr>
          <w:lang w:val="en-US"/>
        </w:rPr>
      </w:pPr>
      <w:r>
        <w:rPr>
          <w:rStyle w:val="Funotenzeichen"/>
          <w:rFonts w:eastAsiaTheme="majorEastAsia"/>
        </w:rPr>
        <w:footnoteRef/>
      </w:r>
      <w:r w:rsidRPr="00230AD1">
        <w:rPr>
          <w:lang w:val="en-US"/>
        </w:rPr>
        <w:t xml:space="preserve"> </w:t>
      </w:r>
      <w:r w:rsidRPr="008F73D7">
        <w:rPr>
          <w:i/>
          <w:lang w:val="en-US"/>
        </w:rPr>
        <w:t>Munn v. Ill.</w:t>
      </w:r>
      <w:r w:rsidRPr="00230AD1">
        <w:rPr>
          <w:lang w:val="en-US"/>
        </w:rPr>
        <w:t>, 94 U.S. 113, 142</w:t>
      </w:r>
      <w:r>
        <w:rPr>
          <w:lang w:val="en-US"/>
        </w:rPr>
        <w:t xml:space="preserve"> = 24 L. Ed.</w:t>
      </w:r>
      <w:r w:rsidRPr="00230AD1">
        <w:rPr>
          <w:lang w:val="en-US"/>
        </w:rPr>
        <w:t xml:space="preserve"> 77, 90</w:t>
      </w:r>
      <w:r>
        <w:rPr>
          <w:lang w:val="en-US"/>
        </w:rPr>
        <w:t xml:space="preserve"> = 1876 U.S. LEXIS </w:t>
      </w:r>
      <w:r w:rsidRPr="00230AD1">
        <w:rPr>
          <w:lang w:val="en-US"/>
        </w:rPr>
        <w:t>1842, 59</w:t>
      </w:r>
      <w:r>
        <w:rPr>
          <w:lang w:val="en-US"/>
        </w:rPr>
        <w:t xml:space="preserve"> = 4 Otto </w:t>
      </w:r>
      <w:r w:rsidRPr="00230AD1">
        <w:rPr>
          <w:lang w:val="en-US"/>
        </w:rPr>
        <w:t>113 (1877).</w:t>
      </w:r>
    </w:p>
  </w:footnote>
  <w:footnote w:id="1104">
    <w:p w14:paraId="4C1D015D" w14:textId="77777777" w:rsidR="00074551" w:rsidRPr="00012DD5" w:rsidRDefault="00074551" w:rsidP="00074551">
      <w:pPr>
        <w:pStyle w:val="Funotentext"/>
        <w:rPr>
          <w:lang w:val="en-US"/>
        </w:rPr>
      </w:pPr>
      <w:r>
        <w:rPr>
          <w:rStyle w:val="Funotenzeichen"/>
          <w:rFonts w:eastAsiaTheme="majorEastAsia"/>
        </w:rPr>
        <w:footnoteRef/>
      </w:r>
      <w:r w:rsidRPr="00012DD5">
        <w:rPr>
          <w:lang w:val="en-US"/>
        </w:rPr>
        <w:t xml:space="preserve"> </w:t>
      </w:r>
      <w:r w:rsidRPr="008F73D7">
        <w:rPr>
          <w:i/>
          <w:lang w:val="en-US"/>
        </w:rPr>
        <w:t>Munn v. Ill.</w:t>
      </w:r>
      <w:r w:rsidRPr="00012DD5">
        <w:rPr>
          <w:lang w:val="en-US"/>
        </w:rPr>
        <w:t>, 94 U.S. 113, 142</w:t>
      </w:r>
      <w:r>
        <w:rPr>
          <w:lang w:val="en-US"/>
        </w:rPr>
        <w:t xml:space="preserve"> = 24 L. Ed.</w:t>
      </w:r>
      <w:r w:rsidRPr="00012DD5">
        <w:rPr>
          <w:lang w:val="en-US"/>
        </w:rPr>
        <w:t xml:space="preserve"> 77, 90</w:t>
      </w:r>
      <w:r>
        <w:rPr>
          <w:lang w:val="en-US"/>
        </w:rPr>
        <w:t xml:space="preserve"> = 1876 U.S. LEXIS </w:t>
      </w:r>
      <w:r w:rsidRPr="00012DD5">
        <w:rPr>
          <w:lang w:val="en-US"/>
        </w:rPr>
        <w:t>1842, 59</w:t>
      </w:r>
      <w:r>
        <w:rPr>
          <w:lang w:val="en-US"/>
        </w:rPr>
        <w:t xml:space="preserve"> = 4 Otto </w:t>
      </w:r>
      <w:r w:rsidRPr="00012DD5">
        <w:rPr>
          <w:lang w:val="en-US"/>
        </w:rPr>
        <w:t>113 (1877)</w:t>
      </w:r>
      <w:r>
        <w:rPr>
          <w:lang w:val="en-US"/>
        </w:rPr>
        <w:t>.</w:t>
      </w:r>
    </w:p>
  </w:footnote>
  <w:footnote w:id="1105">
    <w:p w14:paraId="0FCA2727" w14:textId="77777777" w:rsidR="00074551" w:rsidRPr="00012DD5" w:rsidRDefault="00074551" w:rsidP="00074551">
      <w:pPr>
        <w:pStyle w:val="Funotentext"/>
        <w:rPr>
          <w:lang w:val="en-US"/>
        </w:rPr>
      </w:pPr>
      <w:r>
        <w:rPr>
          <w:rStyle w:val="Funotenzeichen"/>
          <w:rFonts w:eastAsiaTheme="majorEastAsia"/>
        </w:rPr>
        <w:footnoteRef/>
      </w:r>
      <w:r w:rsidRPr="00012DD5">
        <w:rPr>
          <w:lang w:val="en-US"/>
        </w:rPr>
        <w:t xml:space="preserve"> </w:t>
      </w:r>
      <w:r w:rsidRPr="008F73D7">
        <w:rPr>
          <w:i/>
          <w:lang w:val="en-US"/>
        </w:rPr>
        <w:t>Munn v. Ill.</w:t>
      </w:r>
      <w:r w:rsidRPr="00012DD5">
        <w:rPr>
          <w:lang w:val="en-US"/>
        </w:rPr>
        <w:t>, 94 U.S. 113, 142</w:t>
      </w:r>
      <w:r>
        <w:rPr>
          <w:lang w:val="en-US"/>
        </w:rPr>
        <w:t xml:space="preserve"> = 24 L. Ed.</w:t>
      </w:r>
      <w:r w:rsidRPr="00012DD5">
        <w:rPr>
          <w:lang w:val="en-US"/>
        </w:rPr>
        <w:t xml:space="preserve"> 77, 90</w:t>
      </w:r>
      <w:r>
        <w:rPr>
          <w:lang w:val="en-US"/>
        </w:rPr>
        <w:t xml:space="preserve"> = 1876 U.S. LEXIS </w:t>
      </w:r>
      <w:r w:rsidRPr="00012DD5">
        <w:rPr>
          <w:lang w:val="en-US"/>
        </w:rPr>
        <w:t>1842, 59</w:t>
      </w:r>
      <w:r>
        <w:rPr>
          <w:lang w:val="en-US"/>
        </w:rPr>
        <w:t xml:space="preserve"> = 4 Otto </w:t>
      </w:r>
      <w:r w:rsidRPr="00012DD5">
        <w:rPr>
          <w:lang w:val="en-US"/>
        </w:rPr>
        <w:t>113 (1877)</w:t>
      </w:r>
      <w:r>
        <w:rPr>
          <w:lang w:val="en-US"/>
        </w:rPr>
        <w:t>.</w:t>
      </w:r>
    </w:p>
  </w:footnote>
  <w:footnote w:id="1106">
    <w:p w14:paraId="594CB8E4" w14:textId="77777777" w:rsidR="00074551" w:rsidRPr="00012DD5" w:rsidRDefault="00074551" w:rsidP="00074551">
      <w:pPr>
        <w:pStyle w:val="Funotentext"/>
        <w:rPr>
          <w:lang w:val="en-US"/>
        </w:rPr>
      </w:pPr>
      <w:r>
        <w:rPr>
          <w:rStyle w:val="Funotenzeichen"/>
          <w:rFonts w:eastAsiaTheme="majorEastAsia"/>
        </w:rPr>
        <w:footnoteRef/>
      </w:r>
      <w:r w:rsidRPr="00012DD5">
        <w:rPr>
          <w:lang w:val="en-US"/>
        </w:rPr>
        <w:t xml:space="preserve"> </w:t>
      </w:r>
      <w:r w:rsidRPr="008F73D7">
        <w:rPr>
          <w:i/>
          <w:lang w:val="en-US"/>
        </w:rPr>
        <w:t>Munn v. Ill.</w:t>
      </w:r>
      <w:r w:rsidRPr="00012DD5">
        <w:rPr>
          <w:lang w:val="en-US"/>
        </w:rPr>
        <w:t>, 94 U.S. 113, 142</w:t>
      </w:r>
      <w:r>
        <w:rPr>
          <w:lang w:val="en-US"/>
        </w:rPr>
        <w:t xml:space="preserve"> = 24 L. Ed.</w:t>
      </w:r>
      <w:r w:rsidRPr="00012DD5">
        <w:rPr>
          <w:lang w:val="en-US"/>
        </w:rPr>
        <w:t xml:space="preserve"> 77, 90</w:t>
      </w:r>
      <w:r>
        <w:rPr>
          <w:lang w:val="en-US"/>
        </w:rPr>
        <w:t xml:space="preserve"> = 1876 U.S. LEXIS </w:t>
      </w:r>
      <w:r w:rsidRPr="00012DD5">
        <w:rPr>
          <w:lang w:val="en-US"/>
        </w:rPr>
        <w:t>1842, 59</w:t>
      </w:r>
      <w:r>
        <w:rPr>
          <w:lang w:val="en-US"/>
        </w:rPr>
        <w:t xml:space="preserve"> = 4 Otto </w:t>
      </w:r>
      <w:r w:rsidRPr="00012DD5">
        <w:rPr>
          <w:lang w:val="en-US"/>
        </w:rPr>
        <w:t>113 (1877)</w:t>
      </w:r>
      <w:r>
        <w:rPr>
          <w:lang w:val="en-US"/>
        </w:rPr>
        <w:t>.</w:t>
      </w:r>
    </w:p>
  </w:footnote>
  <w:footnote w:id="1107">
    <w:p w14:paraId="6F5DE5BB" w14:textId="77777777" w:rsidR="00074551" w:rsidRPr="00012DD5" w:rsidRDefault="00074551" w:rsidP="00074551">
      <w:pPr>
        <w:pStyle w:val="Funotentext"/>
        <w:rPr>
          <w:lang w:val="en-US"/>
        </w:rPr>
      </w:pPr>
      <w:r>
        <w:rPr>
          <w:rStyle w:val="Funotenzeichen"/>
          <w:rFonts w:eastAsiaTheme="majorEastAsia"/>
        </w:rPr>
        <w:footnoteRef/>
      </w:r>
      <w:r w:rsidRPr="00012DD5">
        <w:rPr>
          <w:lang w:val="en-US"/>
        </w:rPr>
        <w:t xml:space="preserve"> </w:t>
      </w:r>
      <w:r w:rsidRPr="008F73D7">
        <w:rPr>
          <w:i/>
          <w:lang w:val="en-US"/>
        </w:rPr>
        <w:t>Munn v. Ill.</w:t>
      </w:r>
      <w:r w:rsidRPr="00012DD5">
        <w:rPr>
          <w:lang w:val="en-US"/>
        </w:rPr>
        <w:t>, 94 U.S. 113, 142</w:t>
      </w:r>
      <w:r>
        <w:rPr>
          <w:lang w:val="en-US"/>
        </w:rPr>
        <w:t xml:space="preserve"> = 24 L. Ed.</w:t>
      </w:r>
      <w:r w:rsidRPr="00012DD5">
        <w:rPr>
          <w:lang w:val="en-US"/>
        </w:rPr>
        <w:t xml:space="preserve"> 77, 90</w:t>
      </w:r>
      <w:r>
        <w:rPr>
          <w:lang w:val="en-US"/>
        </w:rPr>
        <w:t xml:space="preserve"> = 1876 U.S. LEXIS </w:t>
      </w:r>
      <w:r w:rsidRPr="00012DD5">
        <w:rPr>
          <w:lang w:val="en-US"/>
        </w:rPr>
        <w:t>1842, 59</w:t>
      </w:r>
      <w:r>
        <w:rPr>
          <w:lang w:val="en-US"/>
        </w:rPr>
        <w:t xml:space="preserve"> = 4 Otto </w:t>
      </w:r>
      <w:r w:rsidRPr="00012DD5">
        <w:rPr>
          <w:lang w:val="en-US"/>
        </w:rPr>
        <w:t>113 (1877)</w:t>
      </w:r>
      <w:r>
        <w:rPr>
          <w:lang w:val="en-US"/>
        </w:rPr>
        <w:t>.</w:t>
      </w:r>
    </w:p>
  </w:footnote>
  <w:footnote w:id="1108">
    <w:p w14:paraId="00432E26" w14:textId="77777777" w:rsidR="00074551" w:rsidRPr="00611BB7" w:rsidRDefault="00074551" w:rsidP="00074551">
      <w:pPr>
        <w:pStyle w:val="Funotentext"/>
        <w:ind w:left="227" w:hanging="227"/>
        <w:rPr>
          <w:lang w:val="en-US"/>
        </w:rPr>
      </w:pPr>
      <w:r>
        <w:rPr>
          <w:rStyle w:val="Funotenzeichen"/>
          <w:rFonts w:eastAsiaTheme="majorEastAsia"/>
        </w:rPr>
        <w:footnoteRef/>
      </w:r>
      <w:r w:rsidRPr="00611BB7">
        <w:rPr>
          <w:lang w:val="en-US"/>
        </w:rPr>
        <w:t xml:space="preserve"> </w:t>
      </w:r>
      <w:r>
        <w:rPr>
          <w:lang w:val="en-US"/>
        </w:rPr>
        <w:t>„[E]</w:t>
      </w:r>
      <w:r w:rsidRPr="00611BB7">
        <w:rPr>
          <w:lang w:val="en-US"/>
        </w:rPr>
        <w:t xml:space="preserve">very one must use and enjoy his property subject to the restrictions which such legislation </w:t>
      </w:r>
      <w:proofErr w:type="gramStart"/>
      <w:r w:rsidRPr="00611BB7">
        <w:rPr>
          <w:lang w:val="en-US"/>
        </w:rPr>
        <w:t>imposes</w:t>
      </w:r>
      <w:r>
        <w:rPr>
          <w:lang w:val="en-US"/>
        </w:rPr>
        <w:t>“</w:t>
      </w:r>
      <w:proofErr w:type="gramEnd"/>
      <w:r>
        <w:rPr>
          <w:lang w:val="en-US"/>
        </w:rPr>
        <w:t xml:space="preserve">, </w:t>
      </w:r>
      <w:r w:rsidRPr="008F73D7">
        <w:rPr>
          <w:i/>
          <w:lang w:val="en-US"/>
        </w:rPr>
        <w:t>Munn v. Ill.</w:t>
      </w:r>
      <w:r w:rsidRPr="00611BB7">
        <w:rPr>
          <w:lang w:val="en-US"/>
        </w:rPr>
        <w:t>, 94 U.S. 113, 145</w:t>
      </w:r>
      <w:r>
        <w:rPr>
          <w:lang w:val="en-US"/>
        </w:rPr>
        <w:t xml:space="preserve"> = 24 L. Ed.</w:t>
      </w:r>
      <w:r w:rsidRPr="00611BB7">
        <w:rPr>
          <w:lang w:val="en-US"/>
        </w:rPr>
        <w:t xml:space="preserve"> 77, 91</w:t>
      </w:r>
      <w:r>
        <w:rPr>
          <w:lang w:val="en-US"/>
        </w:rPr>
        <w:t xml:space="preserve"> = 1876 U.S. LEXIS </w:t>
      </w:r>
      <w:r w:rsidRPr="00611BB7">
        <w:rPr>
          <w:lang w:val="en-US"/>
        </w:rPr>
        <w:t>1842, 65</w:t>
      </w:r>
      <w:r>
        <w:rPr>
          <w:lang w:val="en-US"/>
        </w:rPr>
        <w:t xml:space="preserve"> = 4 Otto </w:t>
      </w:r>
      <w:r w:rsidRPr="00611BB7">
        <w:rPr>
          <w:lang w:val="en-US"/>
        </w:rPr>
        <w:t>113 (1877)</w:t>
      </w:r>
      <w:r>
        <w:rPr>
          <w:lang w:val="en-US"/>
        </w:rPr>
        <w:t>.</w:t>
      </w:r>
    </w:p>
  </w:footnote>
  <w:footnote w:id="1109">
    <w:p w14:paraId="2C4E1AFB" w14:textId="77777777" w:rsidR="00074551" w:rsidRPr="00611BB7" w:rsidRDefault="00074551" w:rsidP="00074551">
      <w:pPr>
        <w:pStyle w:val="Funotentext"/>
        <w:ind w:left="227" w:hanging="227"/>
        <w:rPr>
          <w:lang w:val="en-US"/>
        </w:rPr>
      </w:pPr>
      <w:r>
        <w:rPr>
          <w:rStyle w:val="Funotenzeichen"/>
          <w:rFonts w:eastAsiaTheme="majorEastAsia"/>
        </w:rPr>
        <w:footnoteRef/>
      </w:r>
      <w:r w:rsidRPr="00611BB7">
        <w:rPr>
          <w:lang w:val="en-US"/>
        </w:rPr>
        <w:t xml:space="preserve"> </w:t>
      </w:r>
      <w:r>
        <w:rPr>
          <w:lang w:val="en-US"/>
        </w:rPr>
        <w:t>„</w:t>
      </w:r>
      <w:r w:rsidRPr="00611BB7">
        <w:rPr>
          <w:lang w:val="en-US"/>
        </w:rPr>
        <w:t xml:space="preserve">It means freedom to go where one may choose, and to act in such manner, not inconsistent with the equal rights of others, as his judgment may dictate for the promotion of his happiness; that is, to pursue such callings and avocations as may be most suitable to develop his </w:t>
      </w:r>
      <w:proofErr w:type="gramStart"/>
      <w:r w:rsidRPr="00611BB7">
        <w:rPr>
          <w:lang w:val="en-US"/>
        </w:rPr>
        <w:t>capacities, and</w:t>
      </w:r>
      <w:proofErr w:type="gramEnd"/>
      <w:r w:rsidRPr="00611BB7">
        <w:rPr>
          <w:lang w:val="en-US"/>
        </w:rPr>
        <w:t xml:space="preserve"> give to them their highest enjoyment.</w:t>
      </w:r>
      <w:r>
        <w:rPr>
          <w:lang w:val="en-US"/>
        </w:rPr>
        <w:t xml:space="preserve"> </w:t>
      </w:r>
      <w:r w:rsidRPr="00611BB7">
        <w:rPr>
          <w:lang w:val="en-US"/>
        </w:rPr>
        <w:t xml:space="preserve">The same liberal construction which is required for the protection of life and liberty, in all particulars in which life and liberty are of any value, should be applied to the protection of private </w:t>
      </w:r>
      <w:proofErr w:type="gramStart"/>
      <w:r w:rsidRPr="00611BB7">
        <w:rPr>
          <w:lang w:val="en-US"/>
        </w:rPr>
        <w:t>property.</w:t>
      </w:r>
      <w:r>
        <w:rPr>
          <w:lang w:val="en-US"/>
        </w:rPr>
        <w:t>“</w:t>
      </w:r>
      <w:proofErr w:type="gramEnd"/>
      <w:r>
        <w:rPr>
          <w:lang w:val="en-US"/>
        </w:rPr>
        <w:t xml:space="preserve">, </w:t>
      </w:r>
      <w:r w:rsidRPr="008F73D7">
        <w:rPr>
          <w:i/>
          <w:lang w:val="en-US"/>
        </w:rPr>
        <w:t>Munn v. Ill.</w:t>
      </w:r>
      <w:r w:rsidRPr="00611BB7">
        <w:rPr>
          <w:lang w:val="en-US"/>
        </w:rPr>
        <w:t>, 94 U.S. 113, 142</w:t>
      </w:r>
      <w:r>
        <w:rPr>
          <w:lang w:val="en-US"/>
        </w:rPr>
        <w:t xml:space="preserve"> = 24 L. Ed.</w:t>
      </w:r>
      <w:r w:rsidRPr="00611BB7">
        <w:rPr>
          <w:lang w:val="en-US"/>
        </w:rPr>
        <w:t xml:space="preserve"> 77, 90</w:t>
      </w:r>
      <w:r>
        <w:rPr>
          <w:lang w:val="en-US"/>
        </w:rPr>
        <w:t xml:space="preserve"> = 1876 U.S. LEXIS </w:t>
      </w:r>
      <w:r w:rsidRPr="00611BB7">
        <w:rPr>
          <w:lang w:val="en-US"/>
        </w:rPr>
        <w:t>1842, 59</w:t>
      </w:r>
      <w:r>
        <w:rPr>
          <w:lang w:val="en-US"/>
        </w:rPr>
        <w:t xml:space="preserve"> = 4 Otto </w:t>
      </w:r>
      <w:r w:rsidRPr="00611BB7">
        <w:rPr>
          <w:lang w:val="en-US"/>
        </w:rPr>
        <w:t>113 (1877)</w:t>
      </w:r>
      <w:r>
        <w:rPr>
          <w:lang w:val="en-US"/>
        </w:rPr>
        <w:t>.</w:t>
      </w:r>
    </w:p>
  </w:footnote>
  <w:footnote w:id="1110">
    <w:p w14:paraId="4B6DEB59" w14:textId="77777777" w:rsidR="00074551" w:rsidRPr="00230AD1" w:rsidRDefault="00074551" w:rsidP="00074551">
      <w:pPr>
        <w:pStyle w:val="Funotentext"/>
        <w:rPr>
          <w:lang w:val="en-US"/>
        </w:rPr>
      </w:pPr>
      <w:r>
        <w:rPr>
          <w:rStyle w:val="Funotenzeichen"/>
          <w:rFonts w:eastAsiaTheme="majorEastAsia"/>
        </w:rPr>
        <w:footnoteRef/>
      </w:r>
      <w:r w:rsidRPr="00230AD1">
        <w:rPr>
          <w:lang w:val="en-US"/>
        </w:rPr>
        <w:t xml:space="preserve"> </w:t>
      </w:r>
      <w:r w:rsidRPr="008F73D7">
        <w:rPr>
          <w:i/>
          <w:lang w:val="en-US"/>
        </w:rPr>
        <w:t>Munn v. Ill.</w:t>
      </w:r>
      <w:r w:rsidRPr="00230AD1">
        <w:rPr>
          <w:lang w:val="en-US"/>
        </w:rPr>
        <w:t>, 94 U.S. 113, 142</w:t>
      </w:r>
      <w:r>
        <w:rPr>
          <w:lang w:val="en-US"/>
        </w:rPr>
        <w:t xml:space="preserve"> = 24 L. Ed.</w:t>
      </w:r>
      <w:r w:rsidRPr="00230AD1">
        <w:rPr>
          <w:lang w:val="en-US"/>
        </w:rPr>
        <w:t xml:space="preserve"> 77, 90</w:t>
      </w:r>
      <w:r>
        <w:rPr>
          <w:lang w:val="en-US"/>
        </w:rPr>
        <w:t xml:space="preserve"> = 1876 U.S. LEXIS </w:t>
      </w:r>
      <w:r w:rsidRPr="00230AD1">
        <w:rPr>
          <w:lang w:val="en-US"/>
        </w:rPr>
        <w:t>1842, 59</w:t>
      </w:r>
      <w:r>
        <w:rPr>
          <w:lang w:val="en-US"/>
        </w:rPr>
        <w:t xml:space="preserve"> = 4 Otto </w:t>
      </w:r>
      <w:r w:rsidRPr="00230AD1">
        <w:rPr>
          <w:lang w:val="en-US"/>
        </w:rPr>
        <w:t>113 (1877).</w:t>
      </w:r>
    </w:p>
  </w:footnote>
  <w:footnote w:id="1111">
    <w:p w14:paraId="52EA873A" w14:textId="77777777" w:rsidR="00074551" w:rsidRPr="00611BB7" w:rsidRDefault="00074551" w:rsidP="00074551">
      <w:pPr>
        <w:pStyle w:val="Funotentext"/>
        <w:ind w:left="227" w:hanging="227"/>
        <w:rPr>
          <w:lang w:val="en-US"/>
        </w:rPr>
      </w:pPr>
      <w:r>
        <w:rPr>
          <w:rStyle w:val="Funotenzeichen"/>
          <w:rFonts w:eastAsiaTheme="majorEastAsia"/>
        </w:rPr>
        <w:footnoteRef/>
      </w:r>
      <w:r w:rsidRPr="00611BB7">
        <w:rPr>
          <w:lang w:val="en-US"/>
        </w:rPr>
        <w:t xml:space="preserve"> </w:t>
      </w:r>
      <w:r w:rsidRPr="008F73D7">
        <w:rPr>
          <w:i/>
          <w:lang w:val="en-US"/>
        </w:rPr>
        <w:t>Munn v. Ill.</w:t>
      </w:r>
      <w:r w:rsidRPr="003D6842">
        <w:rPr>
          <w:lang w:val="en-US"/>
        </w:rPr>
        <w:t>, 94 U.S. 113, 142</w:t>
      </w:r>
      <w:r>
        <w:rPr>
          <w:lang w:val="en-US"/>
        </w:rPr>
        <w:t xml:space="preserve"> = 24 L. Ed.</w:t>
      </w:r>
      <w:r w:rsidRPr="003D6842">
        <w:rPr>
          <w:lang w:val="en-US"/>
        </w:rPr>
        <w:t xml:space="preserve"> 77, 90</w:t>
      </w:r>
      <w:r>
        <w:rPr>
          <w:lang w:val="en-US"/>
        </w:rPr>
        <w:t xml:space="preserve"> = 1876 U.S. LEXIS </w:t>
      </w:r>
      <w:r w:rsidRPr="003D6842">
        <w:rPr>
          <w:lang w:val="en-US"/>
        </w:rPr>
        <w:t>1842, 58</w:t>
      </w:r>
      <w:r>
        <w:rPr>
          <w:lang w:val="en-US"/>
        </w:rPr>
        <w:t xml:space="preserve"> = 4 Otto </w:t>
      </w:r>
      <w:r w:rsidRPr="003D6842">
        <w:rPr>
          <w:lang w:val="en-US"/>
        </w:rPr>
        <w:t>113 (1877)</w:t>
      </w:r>
      <w:r>
        <w:rPr>
          <w:lang w:val="en-US"/>
        </w:rPr>
        <w:t>.</w:t>
      </w:r>
    </w:p>
  </w:footnote>
  <w:footnote w:id="1112">
    <w:p w14:paraId="0A52AA5E" w14:textId="77777777" w:rsidR="00074551" w:rsidRPr="007E2B10" w:rsidRDefault="00074551" w:rsidP="00074551">
      <w:pPr>
        <w:pStyle w:val="Funotentext"/>
        <w:rPr>
          <w:lang w:val="en-US"/>
        </w:rPr>
      </w:pPr>
      <w:r>
        <w:rPr>
          <w:rStyle w:val="Funotenzeichen"/>
          <w:rFonts w:eastAsiaTheme="majorEastAsia"/>
        </w:rPr>
        <w:footnoteRef/>
      </w:r>
      <w:r w:rsidRPr="007E2B10">
        <w:rPr>
          <w:lang w:val="en-US"/>
        </w:rPr>
        <w:t xml:space="preserve"> </w:t>
      </w:r>
      <w:r w:rsidRPr="009E57E1">
        <w:rPr>
          <w:i/>
          <w:lang w:val="en-US"/>
        </w:rPr>
        <w:t>Nebbia v. New York</w:t>
      </w:r>
      <w:r w:rsidRPr="007E2B10">
        <w:rPr>
          <w:lang w:val="en-US"/>
        </w:rPr>
        <w:t>, 291 U.S. 502, 515</w:t>
      </w:r>
      <w:r>
        <w:rPr>
          <w:lang w:val="en-US"/>
        </w:rPr>
        <w:t xml:space="preserve"> = 54 S. Ct. </w:t>
      </w:r>
      <w:r w:rsidRPr="007E2B10">
        <w:rPr>
          <w:lang w:val="en-US"/>
        </w:rPr>
        <w:t>505, 506</w:t>
      </w:r>
      <w:r>
        <w:rPr>
          <w:lang w:val="en-US"/>
        </w:rPr>
        <w:t xml:space="preserve"> = 78 L. Ed. </w:t>
      </w:r>
      <w:r w:rsidRPr="007E2B10">
        <w:rPr>
          <w:lang w:val="en-US"/>
        </w:rPr>
        <w:t>940, 944</w:t>
      </w:r>
      <w:r>
        <w:rPr>
          <w:lang w:val="en-US"/>
        </w:rPr>
        <w:t xml:space="preserve"> = 1934 U.S. LEXIS </w:t>
      </w:r>
      <w:r w:rsidRPr="007E2B10">
        <w:rPr>
          <w:lang w:val="en-US"/>
        </w:rPr>
        <w:t>962, 1</w:t>
      </w:r>
      <w:r>
        <w:rPr>
          <w:lang w:val="en-US"/>
        </w:rPr>
        <w:t xml:space="preserve"> = 89 A.L.R. </w:t>
      </w:r>
      <w:r w:rsidRPr="007E2B10">
        <w:rPr>
          <w:lang w:val="en-US"/>
        </w:rPr>
        <w:t>1469 (1934)</w:t>
      </w:r>
      <w:r>
        <w:rPr>
          <w:lang w:val="en-US"/>
        </w:rPr>
        <w:t>.</w:t>
      </w:r>
    </w:p>
  </w:footnote>
  <w:footnote w:id="1113">
    <w:p w14:paraId="205E9A03" w14:textId="77777777" w:rsidR="00074551" w:rsidRPr="009932C9" w:rsidRDefault="00074551" w:rsidP="00074551">
      <w:pPr>
        <w:pStyle w:val="Funotentext"/>
        <w:rPr>
          <w:lang w:val="en-US"/>
        </w:rPr>
      </w:pPr>
      <w:r>
        <w:rPr>
          <w:rStyle w:val="Funotenzeichen"/>
          <w:rFonts w:eastAsiaTheme="majorEastAsia"/>
        </w:rPr>
        <w:footnoteRef/>
      </w:r>
      <w:r w:rsidRPr="009932C9">
        <w:rPr>
          <w:lang w:val="en-US"/>
        </w:rPr>
        <w:t xml:space="preserve"> </w:t>
      </w:r>
      <w:r w:rsidRPr="009E57E1">
        <w:rPr>
          <w:i/>
          <w:lang w:val="en-US"/>
        </w:rPr>
        <w:t>Nebbia v. New York</w:t>
      </w:r>
      <w:r w:rsidRPr="009932C9">
        <w:rPr>
          <w:lang w:val="en-US"/>
        </w:rPr>
        <w:t>, 291 U.S. 502, 523</w:t>
      </w:r>
      <w:r>
        <w:rPr>
          <w:lang w:val="en-US"/>
        </w:rPr>
        <w:t xml:space="preserve"> = 54 S. Ct. </w:t>
      </w:r>
      <w:r w:rsidRPr="009932C9">
        <w:rPr>
          <w:lang w:val="en-US"/>
        </w:rPr>
        <w:t>505, 510</w:t>
      </w:r>
      <w:r>
        <w:rPr>
          <w:lang w:val="en-US"/>
        </w:rPr>
        <w:t xml:space="preserve"> = 78 L. Ed. </w:t>
      </w:r>
      <w:r w:rsidRPr="009932C9">
        <w:rPr>
          <w:lang w:val="en-US"/>
        </w:rPr>
        <w:t>940, 948</w:t>
      </w:r>
      <w:r>
        <w:rPr>
          <w:lang w:val="en-US"/>
        </w:rPr>
        <w:t xml:space="preserve"> = 1934 U.S. LEXIS </w:t>
      </w:r>
      <w:r w:rsidRPr="009932C9">
        <w:rPr>
          <w:lang w:val="en-US"/>
        </w:rPr>
        <w:t>962, 33</w:t>
      </w:r>
      <w:r>
        <w:rPr>
          <w:lang w:val="en-US"/>
        </w:rPr>
        <w:t xml:space="preserve"> = 89 A.L.R. </w:t>
      </w:r>
      <w:r w:rsidRPr="009932C9">
        <w:rPr>
          <w:lang w:val="en-US"/>
        </w:rPr>
        <w:t>1469 (1934)</w:t>
      </w:r>
      <w:r>
        <w:rPr>
          <w:lang w:val="en-US"/>
        </w:rPr>
        <w:t>.</w:t>
      </w:r>
    </w:p>
  </w:footnote>
  <w:footnote w:id="1114">
    <w:p w14:paraId="684731F7" w14:textId="77777777" w:rsidR="00074551" w:rsidRPr="00557774" w:rsidRDefault="00074551" w:rsidP="00074551">
      <w:pPr>
        <w:pStyle w:val="Funotentext"/>
        <w:rPr>
          <w:lang w:val="en-US"/>
        </w:rPr>
      </w:pPr>
      <w:r>
        <w:rPr>
          <w:rStyle w:val="Funotenzeichen"/>
          <w:rFonts w:eastAsiaTheme="majorEastAsia"/>
        </w:rPr>
        <w:footnoteRef/>
      </w:r>
      <w:r w:rsidRPr="00557774">
        <w:rPr>
          <w:lang w:val="en-US"/>
        </w:rPr>
        <w:t xml:space="preserve"> </w:t>
      </w:r>
      <w:r w:rsidRPr="009E57E1">
        <w:rPr>
          <w:i/>
          <w:lang w:val="en-US"/>
        </w:rPr>
        <w:t>Nebbia v. New York</w:t>
      </w:r>
      <w:r w:rsidRPr="00557774">
        <w:rPr>
          <w:lang w:val="en-US"/>
        </w:rPr>
        <w:t>, 291 U.S. 502, 523</w:t>
      </w:r>
      <w:r>
        <w:rPr>
          <w:lang w:val="en-US"/>
        </w:rPr>
        <w:t xml:space="preserve"> = 54 S. Ct. </w:t>
      </w:r>
      <w:r w:rsidRPr="00557774">
        <w:rPr>
          <w:lang w:val="en-US"/>
        </w:rPr>
        <w:t>505, 510</w:t>
      </w:r>
      <w:r>
        <w:rPr>
          <w:lang w:val="en-US"/>
        </w:rPr>
        <w:t xml:space="preserve"> = 78 L. Ed. </w:t>
      </w:r>
      <w:r w:rsidRPr="00557774">
        <w:rPr>
          <w:lang w:val="en-US"/>
        </w:rPr>
        <w:t>940, 949</w:t>
      </w:r>
      <w:r>
        <w:rPr>
          <w:lang w:val="en-US"/>
        </w:rPr>
        <w:t xml:space="preserve"> = 1934 U.S. LEXIS </w:t>
      </w:r>
      <w:r w:rsidRPr="00557774">
        <w:rPr>
          <w:lang w:val="en-US"/>
        </w:rPr>
        <w:t>962, 35</w:t>
      </w:r>
      <w:r>
        <w:rPr>
          <w:lang w:val="en-US"/>
        </w:rPr>
        <w:t xml:space="preserve"> = 89 A.L.R. </w:t>
      </w:r>
      <w:r w:rsidRPr="00557774">
        <w:rPr>
          <w:lang w:val="en-US"/>
        </w:rPr>
        <w:t>1469 (1934)</w:t>
      </w:r>
      <w:r>
        <w:rPr>
          <w:lang w:val="en-US"/>
        </w:rPr>
        <w:t>.</w:t>
      </w:r>
    </w:p>
  </w:footnote>
  <w:footnote w:id="1115">
    <w:p w14:paraId="0E54B882" w14:textId="77777777" w:rsidR="00074551" w:rsidRPr="00C732A2" w:rsidRDefault="00074551" w:rsidP="00074551">
      <w:pPr>
        <w:pStyle w:val="Funotentext"/>
        <w:rPr>
          <w:lang w:val="en-US"/>
        </w:rPr>
      </w:pPr>
      <w:r>
        <w:rPr>
          <w:rStyle w:val="Funotenzeichen"/>
          <w:rFonts w:eastAsiaTheme="majorEastAsia"/>
        </w:rPr>
        <w:footnoteRef/>
      </w:r>
      <w:r w:rsidRPr="00C732A2">
        <w:rPr>
          <w:lang w:val="en-US"/>
        </w:rPr>
        <w:t xml:space="preserve"> </w:t>
      </w:r>
      <w:r w:rsidRPr="009E57E1">
        <w:rPr>
          <w:i/>
          <w:lang w:val="en-US"/>
        </w:rPr>
        <w:t>Nebbia v. New York</w:t>
      </w:r>
      <w:r w:rsidRPr="00C732A2">
        <w:rPr>
          <w:lang w:val="en-US"/>
        </w:rPr>
        <w:t>, 291 U.S. 502, 546</w:t>
      </w:r>
      <w:r>
        <w:rPr>
          <w:lang w:val="en-US"/>
        </w:rPr>
        <w:t xml:space="preserve"> = 54 S. Ct. </w:t>
      </w:r>
      <w:r w:rsidRPr="00C732A2">
        <w:rPr>
          <w:lang w:val="en-US"/>
        </w:rPr>
        <w:t>505, 519</w:t>
      </w:r>
      <w:r>
        <w:rPr>
          <w:lang w:val="en-US"/>
        </w:rPr>
        <w:t xml:space="preserve"> = 78 L. Ed. </w:t>
      </w:r>
      <w:r w:rsidRPr="00C732A2">
        <w:rPr>
          <w:lang w:val="en-US"/>
        </w:rPr>
        <w:t>940, 961</w:t>
      </w:r>
      <w:r>
        <w:rPr>
          <w:lang w:val="en-US"/>
        </w:rPr>
        <w:t xml:space="preserve"> = 1934 U.S. LEXIS </w:t>
      </w:r>
      <w:r w:rsidRPr="00C732A2">
        <w:rPr>
          <w:lang w:val="en-US"/>
        </w:rPr>
        <w:t>962, 71</w:t>
      </w:r>
      <w:r>
        <w:rPr>
          <w:lang w:val="en-US"/>
        </w:rPr>
        <w:t xml:space="preserve"> = 89 A.L.R. </w:t>
      </w:r>
      <w:r w:rsidRPr="00C732A2">
        <w:rPr>
          <w:lang w:val="en-US"/>
        </w:rPr>
        <w:t>1469 (1934)</w:t>
      </w:r>
      <w:r>
        <w:rPr>
          <w:lang w:val="en-US"/>
        </w:rPr>
        <w:t>.</w:t>
      </w:r>
    </w:p>
  </w:footnote>
  <w:footnote w:id="1116">
    <w:p w14:paraId="63371CA8" w14:textId="77777777" w:rsidR="00074551" w:rsidRPr="00633FB3" w:rsidRDefault="00074551" w:rsidP="00074551">
      <w:pPr>
        <w:pStyle w:val="Funotentext"/>
        <w:rPr>
          <w:lang w:val="en-US"/>
        </w:rPr>
      </w:pPr>
      <w:r>
        <w:rPr>
          <w:rStyle w:val="Funotenzeichen"/>
          <w:rFonts w:eastAsiaTheme="majorEastAsia"/>
        </w:rPr>
        <w:footnoteRef/>
      </w:r>
      <w:r w:rsidRPr="00633FB3">
        <w:rPr>
          <w:lang w:val="en-US"/>
        </w:rPr>
        <w:t xml:space="preserve"> </w:t>
      </w:r>
      <w:r w:rsidRPr="009E57E1">
        <w:rPr>
          <w:i/>
          <w:lang w:val="en-US"/>
        </w:rPr>
        <w:t>Nebbia v. New York</w:t>
      </w:r>
      <w:r w:rsidRPr="00633FB3">
        <w:rPr>
          <w:lang w:val="en-US"/>
        </w:rPr>
        <w:t>, 291 U.S. 502, 546</w:t>
      </w:r>
      <w:r>
        <w:rPr>
          <w:lang w:val="en-US"/>
        </w:rPr>
        <w:t xml:space="preserve"> = 54 S. Ct. </w:t>
      </w:r>
      <w:r w:rsidRPr="00633FB3">
        <w:rPr>
          <w:lang w:val="en-US"/>
        </w:rPr>
        <w:t>505, 519</w:t>
      </w:r>
      <w:r>
        <w:rPr>
          <w:lang w:val="en-US"/>
        </w:rPr>
        <w:t xml:space="preserve"> = 78 L. Ed. </w:t>
      </w:r>
      <w:r w:rsidRPr="00633FB3">
        <w:rPr>
          <w:lang w:val="en-US"/>
        </w:rPr>
        <w:t>940, 961</w:t>
      </w:r>
      <w:r>
        <w:rPr>
          <w:lang w:val="en-US"/>
        </w:rPr>
        <w:t xml:space="preserve"> = 1934 U.S. LEXIS </w:t>
      </w:r>
      <w:r w:rsidRPr="00633FB3">
        <w:rPr>
          <w:lang w:val="en-US"/>
        </w:rPr>
        <w:t>962, 71</w:t>
      </w:r>
      <w:r>
        <w:rPr>
          <w:lang w:val="en-US"/>
        </w:rPr>
        <w:t xml:space="preserve"> = 89 A.L.R. </w:t>
      </w:r>
      <w:r w:rsidRPr="00633FB3">
        <w:rPr>
          <w:lang w:val="en-US"/>
        </w:rPr>
        <w:t>1469 (1934)</w:t>
      </w:r>
      <w:r>
        <w:rPr>
          <w:lang w:val="en-US"/>
        </w:rPr>
        <w:t>.</w:t>
      </w:r>
    </w:p>
  </w:footnote>
  <w:footnote w:id="1117">
    <w:p w14:paraId="5453332B" w14:textId="77777777" w:rsidR="00074551" w:rsidRPr="00C732A2" w:rsidRDefault="00074551" w:rsidP="00074551">
      <w:pPr>
        <w:pStyle w:val="Funotentext"/>
        <w:rPr>
          <w:lang w:val="en-US"/>
        </w:rPr>
      </w:pPr>
      <w:r>
        <w:rPr>
          <w:rStyle w:val="Funotenzeichen"/>
          <w:rFonts w:eastAsiaTheme="majorEastAsia"/>
        </w:rPr>
        <w:footnoteRef/>
      </w:r>
      <w:r w:rsidRPr="00C732A2">
        <w:rPr>
          <w:lang w:val="en-US"/>
        </w:rPr>
        <w:t xml:space="preserve"> </w:t>
      </w:r>
      <w:r w:rsidRPr="009E57E1">
        <w:rPr>
          <w:i/>
          <w:lang w:val="en-US"/>
        </w:rPr>
        <w:t>Nebbia v. New York</w:t>
      </w:r>
      <w:r w:rsidRPr="00C732A2">
        <w:rPr>
          <w:lang w:val="en-US"/>
        </w:rPr>
        <w:t>, 291 U.S. 502, 547</w:t>
      </w:r>
      <w:r>
        <w:rPr>
          <w:lang w:val="en-US"/>
        </w:rPr>
        <w:t xml:space="preserve"> = 54 S. Ct. </w:t>
      </w:r>
      <w:r w:rsidRPr="00C732A2">
        <w:rPr>
          <w:lang w:val="en-US"/>
        </w:rPr>
        <w:t>505, 520</w:t>
      </w:r>
      <w:r>
        <w:rPr>
          <w:lang w:val="en-US"/>
        </w:rPr>
        <w:t xml:space="preserve"> = 78 L. Ed. </w:t>
      </w:r>
      <w:r w:rsidRPr="00C732A2">
        <w:rPr>
          <w:lang w:val="en-US"/>
        </w:rPr>
        <w:t>940, 962</w:t>
      </w:r>
      <w:r>
        <w:rPr>
          <w:lang w:val="en-US"/>
        </w:rPr>
        <w:t xml:space="preserve"> = 1934 U.S. LEXIS </w:t>
      </w:r>
      <w:r w:rsidRPr="00C732A2">
        <w:rPr>
          <w:lang w:val="en-US"/>
        </w:rPr>
        <w:t>962, 74</w:t>
      </w:r>
      <w:r>
        <w:rPr>
          <w:lang w:val="en-US"/>
        </w:rPr>
        <w:t xml:space="preserve"> = 89 A.L.R. </w:t>
      </w:r>
      <w:r w:rsidRPr="00C732A2">
        <w:rPr>
          <w:lang w:val="en-US"/>
        </w:rPr>
        <w:t>1469 (1934)</w:t>
      </w:r>
      <w:r>
        <w:rPr>
          <w:lang w:val="en-US"/>
        </w:rPr>
        <w:t>.</w:t>
      </w:r>
    </w:p>
  </w:footnote>
  <w:footnote w:id="1118">
    <w:p w14:paraId="16DEE62B" w14:textId="3B953D31" w:rsidR="00074551" w:rsidRPr="00C732A2" w:rsidRDefault="00074551" w:rsidP="00074551">
      <w:pPr>
        <w:pStyle w:val="Funotentext"/>
        <w:rPr>
          <w:lang w:val="en-US"/>
        </w:rPr>
      </w:pPr>
      <w:r w:rsidRPr="5B67C1D2">
        <w:rPr>
          <w:rStyle w:val="Funotenzeichen"/>
          <w:rFonts w:eastAsiaTheme="majorEastAsia"/>
        </w:rPr>
        <w:footnoteRef/>
      </w:r>
      <w:r w:rsidR="5B67C1D2" w:rsidRPr="00C732A2">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Adams v. Tanner</w:t>
      </w:r>
      <w:r w:rsidR="5B67C1D2" w:rsidRPr="5B67C1D2">
        <w:rPr>
          <w:lang w:val="en-US"/>
        </w:rPr>
        <w:t>, 244 U.S. 590 (1917).</w:t>
      </w:r>
    </w:p>
  </w:footnote>
  <w:footnote w:id="1119">
    <w:p w14:paraId="0030C888" w14:textId="214FCF7E" w:rsidR="00074551" w:rsidRPr="00633FB3" w:rsidRDefault="00074551" w:rsidP="00074551">
      <w:pPr>
        <w:pStyle w:val="Funotentext"/>
        <w:rPr>
          <w:lang w:val="en-US"/>
        </w:rPr>
      </w:pPr>
      <w:r w:rsidRPr="5B67C1D2">
        <w:rPr>
          <w:rStyle w:val="Funotenzeichen"/>
          <w:rFonts w:eastAsiaTheme="majorEastAsia"/>
        </w:rPr>
        <w:footnoteRef/>
      </w:r>
      <w:r w:rsidR="5B67C1D2" w:rsidRPr="00633FB3">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Buchanan v. Warley</w:t>
      </w:r>
      <w:r w:rsidR="5B67C1D2" w:rsidRPr="5B67C1D2">
        <w:rPr>
          <w:lang w:val="en-US"/>
        </w:rPr>
        <w:t xml:space="preserve">, 245 U.S. 60 (1917); </w:t>
      </w:r>
      <w:r w:rsidR="5B67C1D2" w:rsidRPr="5B67C1D2">
        <w:rPr>
          <w:i/>
          <w:iCs/>
          <w:lang w:val="en-US"/>
        </w:rPr>
        <w:t>Southern Ry. Co. v. Virginia</w:t>
      </w:r>
      <w:r w:rsidR="5B67C1D2" w:rsidRPr="5B67C1D2">
        <w:rPr>
          <w:lang w:val="en-US"/>
        </w:rPr>
        <w:t xml:space="preserve">, 290 U.S. 190, 196 </w:t>
      </w:r>
      <w:r w:rsidR="5B67C1D2" w:rsidRPr="5B67C1D2">
        <w:rPr>
          <w:lang w:val="en-IE"/>
        </w:rPr>
        <w:t>(1933).</w:t>
      </w:r>
    </w:p>
  </w:footnote>
  <w:footnote w:id="1120">
    <w:p w14:paraId="6A89B2C4" w14:textId="3A3CBC89" w:rsidR="00074551" w:rsidRPr="00633FB3" w:rsidRDefault="00074551" w:rsidP="00074551">
      <w:pPr>
        <w:pStyle w:val="Funotentext"/>
        <w:rPr>
          <w:lang w:val="en-US"/>
        </w:rPr>
      </w:pPr>
      <w:r w:rsidRPr="5B67C1D2">
        <w:rPr>
          <w:rStyle w:val="Funotenzeichen"/>
          <w:rFonts w:eastAsiaTheme="majorEastAsia"/>
        </w:rPr>
        <w:footnoteRef/>
      </w:r>
      <w:r w:rsidR="5B67C1D2" w:rsidRPr="00633FB3">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Adkins v. Children’s Hospital</w:t>
      </w:r>
      <w:r w:rsidR="5B67C1D2" w:rsidRPr="5B67C1D2">
        <w:rPr>
          <w:lang w:val="en-US"/>
        </w:rPr>
        <w:t>, 261 U.S. 525, 545 (1923).</w:t>
      </w:r>
    </w:p>
  </w:footnote>
  <w:footnote w:id="1121">
    <w:p w14:paraId="3F9BED3C" w14:textId="0538938F" w:rsidR="00074551" w:rsidRPr="00633FB3" w:rsidRDefault="00074551" w:rsidP="00074551">
      <w:pPr>
        <w:pStyle w:val="Funotentext"/>
        <w:rPr>
          <w:lang w:val="en-US"/>
        </w:rPr>
      </w:pPr>
      <w:r w:rsidRPr="5B67C1D2">
        <w:rPr>
          <w:rStyle w:val="Funotenzeichen"/>
          <w:rFonts w:eastAsiaTheme="majorEastAsia"/>
        </w:rPr>
        <w:footnoteRef/>
      </w:r>
      <w:r w:rsidR="5B67C1D2" w:rsidRPr="00633FB3">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Meyer v. Nebraska</w:t>
      </w:r>
      <w:r w:rsidR="5B67C1D2" w:rsidRPr="5B67C1D2">
        <w:rPr>
          <w:lang w:val="en-US"/>
        </w:rPr>
        <w:t>, 262 U.S. 390, 399 (1923).</w:t>
      </w:r>
    </w:p>
  </w:footnote>
  <w:footnote w:id="1122">
    <w:p w14:paraId="5BE8EB77" w14:textId="2F7E0324" w:rsidR="00074551" w:rsidRPr="00633FB3" w:rsidRDefault="00074551" w:rsidP="00074551">
      <w:pPr>
        <w:pStyle w:val="Funotentext"/>
        <w:rPr>
          <w:lang w:val="en-US"/>
        </w:rPr>
      </w:pPr>
      <w:r w:rsidRPr="5B67C1D2">
        <w:rPr>
          <w:rStyle w:val="Funotenzeichen"/>
          <w:rFonts w:eastAsiaTheme="majorEastAsia"/>
        </w:rPr>
        <w:footnoteRef/>
      </w:r>
      <w:r w:rsidR="5B67C1D2" w:rsidRPr="00633FB3">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Schlesinger v. Wisconsin</w:t>
      </w:r>
      <w:r w:rsidR="5B67C1D2" w:rsidRPr="5B67C1D2">
        <w:rPr>
          <w:lang w:val="en-US"/>
        </w:rPr>
        <w:t>, 270 U.S. 230, 240 (1926).</w:t>
      </w:r>
    </w:p>
  </w:footnote>
  <w:footnote w:id="1123">
    <w:p w14:paraId="119E17D0" w14:textId="1B70C91D" w:rsidR="00074551" w:rsidRPr="00633FB3" w:rsidRDefault="00074551" w:rsidP="00074551">
      <w:pPr>
        <w:pStyle w:val="Funotentext"/>
        <w:rPr>
          <w:lang w:val="en-US"/>
        </w:rPr>
      </w:pPr>
      <w:r w:rsidRPr="5B67C1D2">
        <w:rPr>
          <w:rStyle w:val="Funotenzeichen"/>
          <w:rFonts w:eastAsiaTheme="majorEastAsia"/>
        </w:rPr>
        <w:footnoteRef/>
      </w:r>
      <w:r w:rsidR="5B67C1D2" w:rsidRPr="00633FB3">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Near v. Minnesota</w:t>
      </w:r>
      <w:r w:rsidR="5B67C1D2" w:rsidRPr="5B67C1D2">
        <w:rPr>
          <w:lang w:val="en-US"/>
        </w:rPr>
        <w:t xml:space="preserve">, 283 U.S. 697 </w:t>
      </w:r>
      <w:r w:rsidR="5B67C1D2" w:rsidRPr="5B67C1D2">
        <w:rPr>
          <w:lang w:val="en-IE"/>
        </w:rPr>
        <w:t>(1931).</w:t>
      </w:r>
    </w:p>
  </w:footnote>
  <w:footnote w:id="1124">
    <w:p w14:paraId="79044965" w14:textId="4F353126" w:rsidR="00074551" w:rsidRPr="00633FB3" w:rsidRDefault="00074551" w:rsidP="00074551">
      <w:pPr>
        <w:pStyle w:val="Funotentext"/>
        <w:rPr>
          <w:lang w:val="en-US"/>
        </w:rPr>
      </w:pPr>
      <w:r w:rsidRPr="5B67C1D2">
        <w:rPr>
          <w:rStyle w:val="Funotenzeichen"/>
          <w:rFonts w:eastAsiaTheme="majorEastAsia"/>
        </w:rPr>
        <w:footnoteRef/>
      </w:r>
      <w:r w:rsidR="5B67C1D2" w:rsidRPr="00633FB3">
        <w:rPr>
          <w:lang w:val="en-US"/>
        </w:rPr>
        <w:t xml:space="preserve"> </w:t>
      </w:r>
      <w:r w:rsidR="5B67C1D2" w:rsidRPr="5B67C1D2">
        <w:rPr>
          <w:i/>
          <w:iCs/>
          <w:lang w:val="en-US"/>
        </w:rPr>
        <w:t>Nebbia v. New York</w:t>
      </w:r>
      <w:r w:rsidR="5B67C1D2" w:rsidRPr="5B67C1D2">
        <w:rPr>
          <w:lang w:val="en-US"/>
        </w:rPr>
        <w:t xml:space="preserve">, 291 U.S. 502, 546 = 54 S. Ct. 505, 520 = 78 L. Ed. 940, 962 = 1934 U.S. LEXIS 962, 74 = 89 A.L.R. 1469 (1934), </w:t>
      </w:r>
      <w:r w:rsidR="5B67C1D2" w:rsidRPr="5B67C1D2">
        <w:rPr>
          <w:i/>
          <w:iCs/>
          <w:lang w:val="en-US"/>
        </w:rPr>
        <w:t>United States v. Cohen Grocery Co.</w:t>
      </w:r>
      <w:r w:rsidR="5B67C1D2" w:rsidRPr="5B67C1D2">
        <w:rPr>
          <w:lang w:val="en-US"/>
        </w:rPr>
        <w:t xml:space="preserve">, 255 U.S. 81, 88; </w:t>
      </w:r>
      <w:r w:rsidR="5B67C1D2" w:rsidRPr="5B67C1D2">
        <w:rPr>
          <w:i/>
          <w:iCs/>
          <w:lang w:val="en-US"/>
        </w:rPr>
        <w:t>Wolff Co. v. Industrial Court</w:t>
      </w:r>
      <w:r w:rsidR="5B67C1D2" w:rsidRPr="5B67C1D2">
        <w:rPr>
          <w:lang w:val="en-US"/>
        </w:rPr>
        <w:t xml:space="preserve">, 262 U.S. 522 und 267 U.S. 552; </w:t>
      </w:r>
      <w:r w:rsidR="5B67C1D2" w:rsidRPr="5B67C1D2">
        <w:rPr>
          <w:i/>
          <w:iCs/>
          <w:lang w:val="en-US"/>
        </w:rPr>
        <w:t>Pierce v. Society of Sisters</w:t>
      </w:r>
      <w:r w:rsidR="5B67C1D2" w:rsidRPr="5B67C1D2">
        <w:rPr>
          <w:lang w:val="en-US"/>
        </w:rPr>
        <w:t xml:space="preserve">, 268 U.S. 510; </w:t>
      </w:r>
      <w:r w:rsidR="5B67C1D2" w:rsidRPr="5B67C1D2">
        <w:rPr>
          <w:i/>
          <w:iCs/>
          <w:lang w:val="en-US"/>
        </w:rPr>
        <w:t>Tyson &amp; Bro. v. Banton</w:t>
      </w:r>
      <w:r w:rsidR="5B67C1D2" w:rsidRPr="5B67C1D2">
        <w:rPr>
          <w:lang w:val="en-US"/>
        </w:rPr>
        <w:t xml:space="preserve">, 273 U.S. 418; </w:t>
      </w:r>
      <w:r w:rsidR="5B67C1D2" w:rsidRPr="5B67C1D2">
        <w:rPr>
          <w:i/>
          <w:iCs/>
          <w:lang w:val="en-US"/>
        </w:rPr>
        <w:t>Fairmont Creamery Co. v. Minnesota</w:t>
      </w:r>
      <w:r w:rsidR="5B67C1D2" w:rsidRPr="5B67C1D2">
        <w:rPr>
          <w:lang w:val="en-US"/>
        </w:rPr>
        <w:t xml:space="preserve">, 274 U.S. 1; </w:t>
      </w:r>
      <w:proofErr w:type="spellStart"/>
      <w:r w:rsidR="5B67C1D2" w:rsidRPr="5B67C1D2">
        <w:rPr>
          <w:i/>
          <w:iCs/>
          <w:lang w:val="en-US"/>
        </w:rPr>
        <w:t>Ribnik</w:t>
      </w:r>
      <w:proofErr w:type="spellEnd"/>
      <w:r w:rsidR="5B67C1D2" w:rsidRPr="5B67C1D2">
        <w:rPr>
          <w:i/>
          <w:iCs/>
          <w:lang w:val="en-US"/>
        </w:rPr>
        <w:t xml:space="preserve"> v. McBride</w:t>
      </w:r>
      <w:r w:rsidR="5B67C1D2" w:rsidRPr="5B67C1D2">
        <w:rPr>
          <w:lang w:val="en-US"/>
        </w:rPr>
        <w:t xml:space="preserve">, 277 U.S. 350; </w:t>
      </w:r>
      <w:r w:rsidR="5B67C1D2" w:rsidRPr="5B67C1D2">
        <w:rPr>
          <w:i/>
          <w:iCs/>
          <w:lang w:val="en-US"/>
        </w:rPr>
        <w:t>Williams v. Standard Oil Co.</w:t>
      </w:r>
      <w:r w:rsidR="5B67C1D2" w:rsidRPr="5B67C1D2">
        <w:rPr>
          <w:lang w:val="en-US"/>
        </w:rPr>
        <w:t xml:space="preserve">, 278 U.S. 235; </w:t>
      </w:r>
      <w:r w:rsidR="5B67C1D2" w:rsidRPr="5B67C1D2">
        <w:rPr>
          <w:i/>
          <w:iCs/>
          <w:lang w:val="en-US"/>
        </w:rPr>
        <w:t>Sterling v. Constantin</w:t>
      </w:r>
      <w:r w:rsidR="5B67C1D2" w:rsidRPr="5B67C1D2">
        <w:rPr>
          <w:lang w:val="en-US"/>
        </w:rPr>
        <w:t xml:space="preserve">, 287 U.S. 378; </w:t>
      </w:r>
      <w:r w:rsidR="5B67C1D2" w:rsidRPr="5B67C1D2">
        <w:rPr>
          <w:i/>
          <w:iCs/>
          <w:lang w:val="en-US"/>
        </w:rPr>
        <w:t>Nebbia v. New York</w:t>
      </w:r>
      <w:r w:rsidR="5B67C1D2" w:rsidRPr="5B67C1D2">
        <w:rPr>
          <w:lang w:val="en-US"/>
        </w:rPr>
        <w:t>, 291 U.S. 502, 547 (1934).</w:t>
      </w:r>
    </w:p>
  </w:footnote>
  <w:footnote w:id="1125">
    <w:p w14:paraId="3480A8CB" w14:textId="77777777" w:rsidR="00074551" w:rsidRPr="00785606" w:rsidRDefault="00074551" w:rsidP="00074551">
      <w:pPr>
        <w:pStyle w:val="Funotentext"/>
        <w:rPr>
          <w:lang w:val="en-US"/>
        </w:rPr>
      </w:pPr>
      <w:r>
        <w:rPr>
          <w:rStyle w:val="Funotenzeichen"/>
          <w:rFonts w:eastAsiaTheme="majorEastAsia"/>
        </w:rPr>
        <w:footnoteRef/>
      </w:r>
      <w:r w:rsidRPr="00785606">
        <w:rPr>
          <w:lang w:val="en-US"/>
        </w:rPr>
        <w:t xml:space="preserve"> </w:t>
      </w:r>
      <w:r w:rsidRPr="009167A5">
        <w:rPr>
          <w:i/>
          <w:lang w:val="en-US"/>
        </w:rPr>
        <w:t>Obergefell v. Hodges</w:t>
      </w:r>
      <w:r w:rsidRPr="00785606">
        <w:rPr>
          <w:lang w:val="en-US"/>
        </w:rPr>
        <w:t>, 576 U.S. 644, 644</w:t>
      </w:r>
      <w:r w:rsidRPr="006E67FE">
        <w:rPr>
          <w:lang w:val="en-US"/>
        </w:rPr>
        <w:t xml:space="preserve"> = 135 S. Ct. </w:t>
      </w:r>
      <w:r w:rsidRPr="00785606">
        <w:rPr>
          <w:lang w:val="en-US"/>
        </w:rPr>
        <w:t>2584, 2588</w:t>
      </w:r>
      <w:r w:rsidRPr="006E67FE">
        <w:rPr>
          <w:lang w:val="en-US"/>
        </w:rPr>
        <w:t xml:space="preserve"> = 192 L. Ed. </w:t>
      </w:r>
      <w:r w:rsidRPr="00785606">
        <w:rPr>
          <w:lang w:val="en-US"/>
        </w:rPr>
        <w:t>2d 609, 609</w:t>
      </w:r>
      <w:r w:rsidRPr="006E67FE">
        <w:rPr>
          <w:lang w:val="en-US"/>
        </w:rPr>
        <w:t xml:space="preserve"> = 2015 U.S. LEXIS </w:t>
      </w:r>
      <w:r w:rsidRPr="00785606">
        <w:rPr>
          <w:lang w:val="en-US"/>
        </w:rPr>
        <w:t>4250, 1</w:t>
      </w:r>
      <w:r w:rsidRPr="006E67FE">
        <w:rPr>
          <w:lang w:val="en-US"/>
        </w:rPr>
        <w:t xml:space="preserve"> = 83 U.S.L.W. </w:t>
      </w:r>
      <w:r w:rsidRPr="00785606">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85606">
        <w:rPr>
          <w:lang w:val="en-US"/>
        </w:rPr>
        <w:t>Dec. (CCH) P45,341</w:t>
      </w:r>
      <w:r w:rsidRPr="006E67FE">
        <w:rPr>
          <w:lang w:val="en-US"/>
        </w:rPr>
        <w:t xml:space="preserve"> = 115 A.F.T.R. 2d </w:t>
      </w:r>
      <w:r w:rsidRPr="00785606">
        <w:rPr>
          <w:lang w:val="en-US"/>
        </w:rPr>
        <w:t>(RIA) 2015-2309</w:t>
      </w:r>
      <w:r w:rsidRPr="006E67FE">
        <w:rPr>
          <w:lang w:val="en-US"/>
        </w:rPr>
        <w:t xml:space="preserve"> = 25 Fla. L. Weekly Fed. </w:t>
      </w:r>
      <w:r w:rsidRPr="00785606">
        <w:rPr>
          <w:lang w:val="en-US"/>
        </w:rPr>
        <w:t>S 472 (2015)</w:t>
      </w:r>
      <w:r>
        <w:rPr>
          <w:lang w:val="en-US"/>
        </w:rPr>
        <w:t>.</w:t>
      </w:r>
    </w:p>
  </w:footnote>
  <w:footnote w:id="1126">
    <w:p w14:paraId="46D84C63" w14:textId="77777777" w:rsidR="00074551" w:rsidRPr="00D6397E" w:rsidRDefault="00074551" w:rsidP="00074551">
      <w:pPr>
        <w:pStyle w:val="Funotentext"/>
        <w:rPr>
          <w:lang w:val="en-US"/>
        </w:rPr>
      </w:pPr>
      <w:r>
        <w:rPr>
          <w:rStyle w:val="Funotenzeichen"/>
          <w:rFonts w:eastAsiaTheme="majorEastAsia"/>
        </w:rPr>
        <w:footnoteRef/>
      </w:r>
      <w:r w:rsidRPr="00D6397E">
        <w:rPr>
          <w:lang w:val="en-US"/>
        </w:rPr>
        <w:t xml:space="preserve"> </w:t>
      </w:r>
      <w:r>
        <w:rPr>
          <w:lang w:val="en-US"/>
        </w:rPr>
        <w:t>„</w:t>
      </w:r>
      <w:r w:rsidRPr="00D6397E">
        <w:rPr>
          <w:lang w:val="en-US"/>
        </w:rPr>
        <w:t xml:space="preserve">The Court reaffirmed that </w:t>
      </w:r>
      <w:proofErr w:type="gramStart"/>
      <w:r w:rsidRPr="00D6397E">
        <w:rPr>
          <w:lang w:val="en-US"/>
        </w:rPr>
        <w:t>holding</w:t>
      </w:r>
      <w:r>
        <w:rPr>
          <w:lang w:val="en-US"/>
        </w:rPr>
        <w:t>“</w:t>
      </w:r>
      <w:r w:rsidRPr="00D6397E">
        <w:rPr>
          <w:lang w:val="en-US"/>
        </w:rPr>
        <w:t xml:space="preserve"> in</w:t>
      </w:r>
      <w:proofErr w:type="gramEnd"/>
      <w:r w:rsidRPr="00D6397E">
        <w:rPr>
          <w:lang w:val="en-US"/>
        </w:rPr>
        <w:t xml:space="preserve"> </w:t>
      </w:r>
      <w:r w:rsidRPr="00B35CD0">
        <w:rPr>
          <w:i/>
          <w:lang w:val="en-US"/>
        </w:rPr>
        <w:t xml:space="preserve">Zablocki v. </w:t>
      </w:r>
      <w:proofErr w:type="spellStart"/>
      <w:r w:rsidRPr="00B35CD0">
        <w:rPr>
          <w:i/>
          <w:lang w:val="en-US"/>
        </w:rPr>
        <w:t>Redhail</w:t>
      </w:r>
      <w:proofErr w:type="spellEnd"/>
      <w:r w:rsidRPr="00D6397E">
        <w:rPr>
          <w:lang w:val="en-US"/>
        </w:rPr>
        <w:t>, 434 U.S. 374, 384</w:t>
      </w:r>
      <w:r w:rsidRPr="003B741A">
        <w:rPr>
          <w:lang w:val="en-US"/>
        </w:rPr>
        <w:t xml:space="preserve"> = 98 S. Ct. </w:t>
      </w:r>
      <w:r w:rsidRPr="00D6397E">
        <w:rPr>
          <w:lang w:val="en-US"/>
        </w:rPr>
        <w:t>673</w:t>
      </w:r>
      <w:r>
        <w:rPr>
          <w:lang w:val="en-US"/>
        </w:rPr>
        <w:t xml:space="preserve"> = 54 L. Ed. </w:t>
      </w:r>
      <w:r w:rsidRPr="00D6397E">
        <w:rPr>
          <w:lang w:val="en-US"/>
        </w:rPr>
        <w:t>2d 618 (1978)</w:t>
      </w:r>
      <w:r>
        <w:rPr>
          <w:lang w:val="en-US"/>
        </w:rPr>
        <w:t xml:space="preserve">; </w:t>
      </w:r>
      <w:r w:rsidRPr="009167A5">
        <w:rPr>
          <w:i/>
          <w:lang w:val="en-US"/>
        </w:rPr>
        <w:t>Obergefell v. Hodges</w:t>
      </w:r>
      <w:r w:rsidRPr="00D6397E">
        <w:rPr>
          <w:lang w:val="en-US"/>
        </w:rPr>
        <w:t>, 576 U.S. 644, 664</w:t>
      </w:r>
      <w:r w:rsidRPr="006E67FE">
        <w:rPr>
          <w:lang w:val="en-US"/>
        </w:rPr>
        <w:t xml:space="preserve"> = 135 S. Ct. </w:t>
      </w:r>
      <w:r w:rsidRPr="00D6397E">
        <w:rPr>
          <w:lang w:val="en-US"/>
        </w:rPr>
        <w:t>2584, 2598</w:t>
      </w:r>
      <w:r w:rsidRPr="006E67FE">
        <w:rPr>
          <w:lang w:val="en-US"/>
        </w:rPr>
        <w:t xml:space="preserve"> = 192 L. Ed. </w:t>
      </w:r>
      <w:r w:rsidRPr="00D6397E">
        <w:rPr>
          <w:lang w:val="en-US"/>
        </w:rPr>
        <w:t>2d 609, 624</w:t>
      </w:r>
      <w:r w:rsidRPr="006E67FE">
        <w:rPr>
          <w:lang w:val="en-US"/>
        </w:rPr>
        <w:t xml:space="preserve"> = 2015 U.S. LEXIS </w:t>
      </w:r>
      <w:r w:rsidRPr="00D6397E">
        <w:rPr>
          <w:lang w:val="en-US"/>
        </w:rPr>
        <w:t>4250, 25</w:t>
      </w:r>
      <w:r>
        <w:rPr>
          <w:lang w:val="en-US"/>
        </w:rPr>
        <w:t>–</w:t>
      </w:r>
      <w:r w:rsidRPr="00D6397E">
        <w:rPr>
          <w:lang w:val="en-US"/>
        </w:rPr>
        <w:t>26</w:t>
      </w:r>
      <w:r w:rsidRPr="006E67FE">
        <w:rPr>
          <w:lang w:val="en-US"/>
        </w:rPr>
        <w:t xml:space="preserve"> = 83 U.S.L.W. </w:t>
      </w:r>
      <w:r w:rsidRPr="00D6397E">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D6397E">
        <w:rPr>
          <w:lang w:val="en-US"/>
        </w:rPr>
        <w:t>Dec. (CCH) P45,341</w:t>
      </w:r>
      <w:r w:rsidRPr="006E67FE">
        <w:rPr>
          <w:lang w:val="en-US"/>
        </w:rPr>
        <w:t xml:space="preserve"> = 115 A.F.T.R. 2d </w:t>
      </w:r>
      <w:r w:rsidRPr="00D6397E">
        <w:rPr>
          <w:lang w:val="en-US"/>
        </w:rPr>
        <w:t>(RIA) 2015-2309</w:t>
      </w:r>
      <w:r w:rsidRPr="006E67FE">
        <w:rPr>
          <w:lang w:val="en-US"/>
        </w:rPr>
        <w:t xml:space="preserve"> = 25 Fla. L. Weekly Fed. </w:t>
      </w:r>
      <w:r w:rsidRPr="00D6397E">
        <w:rPr>
          <w:lang w:val="en-US"/>
        </w:rPr>
        <w:t>S 472 (2015)</w:t>
      </w:r>
      <w:r>
        <w:rPr>
          <w:lang w:val="en-US"/>
        </w:rPr>
        <w:t>.</w:t>
      </w:r>
    </w:p>
  </w:footnote>
  <w:footnote w:id="1127">
    <w:p w14:paraId="72F7473B" w14:textId="77777777" w:rsidR="00074551" w:rsidRPr="00F954EF" w:rsidRDefault="00074551" w:rsidP="00074551">
      <w:pPr>
        <w:pStyle w:val="Funotentext"/>
        <w:rPr>
          <w:lang w:val="en-US"/>
        </w:rPr>
      </w:pPr>
      <w:r>
        <w:rPr>
          <w:rStyle w:val="Funotenzeichen"/>
          <w:rFonts w:eastAsiaTheme="majorEastAsia"/>
        </w:rPr>
        <w:footnoteRef/>
      </w:r>
      <w:r w:rsidRPr="00F954EF">
        <w:rPr>
          <w:lang w:val="en-US"/>
        </w:rPr>
        <w:t xml:space="preserve"> </w:t>
      </w:r>
      <w:r w:rsidRPr="009167A5">
        <w:rPr>
          <w:i/>
          <w:lang w:val="en-US"/>
        </w:rPr>
        <w:t>Obergefell v. Hodges</w:t>
      </w:r>
      <w:r w:rsidRPr="00785606">
        <w:rPr>
          <w:lang w:val="en-US"/>
        </w:rPr>
        <w:t>, 576 U.S. 644, 644</w:t>
      </w:r>
      <w:r w:rsidRPr="006E67FE">
        <w:rPr>
          <w:lang w:val="en-US"/>
        </w:rPr>
        <w:t xml:space="preserve"> = 135 S. Ct. </w:t>
      </w:r>
      <w:r w:rsidRPr="00785606">
        <w:rPr>
          <w:lang w:val="en-US"/>
        </w:rPr>
        <w:t>2584, 2588</w:t>
      </w:r>
      <w:r w:rsidRPr="006E67FE">
        <w:rPr>
          <w:lang w:val="en-US"/>
        </w:rPr>
        <w:t xml:space="preserve"> = 192 L. Ed. </w:t>
      </w:r>
      <w:r w:rsidRPr="00785606">
        <w:rPr>
          <w:lang w:val="en-US"/>
        </w:rPr>
        <w:t>2d 609, 609</w:t>
      </w:r>
      <w:r w:rsidRPr="006E67FE">
        <w:rPr>
          <w:lang w:val="en-US"/>
        </w:rPr>
        <w:t xml:space="preserve"> = 2015 U.S. LEXIS </w:t>
      </w:r>
      <w:r w:rsidRPr="00785606">
        <w:rPr>
          <w:lang w:val="en-US"/>
        </w:rPr>
        <w:t>4250, 1</w:t>
      </w:r>
      <w:r w:rsidRPr="006E67FE">
        <w:rPr>
          <w:lang w:val="en-US"/>
        </w:rPr>
        <w:t xml:space="preserve"> = 83 U.S.L.W. </w:t>
      </w:r>
      <w:r w:rsidRPr="00785606">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85606">
        <w:rPr>
          <w:lang w:val="en-US"/>
        </w:rPr>
        <w:t>Dec. (CCH) P45,341</w:t>
      </w:r>
      <w:r w:rsidRPr="006E67FE">
        <w:rPr>
          <w:lang w:val="en-US"/>
        </w:rPr>
        <w:t xml:space="preserve"> = 115 A.F.T.R. 2d </w:t>
      </w:r>
      <w:r w:rsidRPr="00785606">
        <w:rPr>
          <w:lang w:val="en-US"/>
        </w:rPr>
        <w:t>(RIA) 2015-2309</w:t>
      </w:r>
      <w:r w:rsidRPr="006E67FE">
        <w:rPr>
          <w:lang w:val="en-US"/>
        </w:rPr>
        <w:t xml:space="preserve"> = 25 Fla. L. Weekly Fed. </w:t>
      </w:r>
      <w:r w:rsidRPr="0008552C">
        <w:rPr>
          <w:lang w:val="en-US"/>
        </w:rPr>
        <w:t>S 472 (2015)</w:t>
      </w:r>
      <w:r>
        <w:rPr>
          <w:lang w:val="en-US"/>
        </w:rPr>
        <w:t>.</w:t>
      </w:r>
    </w:p>
  </w:footnote>
  <w:footnote w:id="1128">
    <w:p w14:paraId="13749766" w14:textId="77777777" w:rsidR="00074551" w:rsidRPr="00B45592" w:rsidRDefault="00074551" w:rsidP="00074551">
      <w:pPr>
        <w:pStyle w:val="Funotentext"/>
      </w:pPr>
      <w:r>
        <w:rPr>
          <w:rStyle w:val="Funotenzeichen"/>
          <w:rFonts w:eastAsiaTheme="majorEastAsia"/>
        </w:rPr>
        <w:footnoteRef/>
      </w:r>
      <w:r w:rsidRPr="00F954EF">
        <w:rPr>
          <w:lang w:val="en-US"/>
        </w:rPr>
        <w:t xml:space="preserve"> </w:t>
      </w:r>
      <w:r>
        <w:rPr>
          <w:lang w:val="en-US"/>
        </w:rPr>
        <w:t>„</w:t>
      </w:r>
      <w:r w:rsidRPr="00F954EF">
        <w:rPr>
          <w:lang w:val="en-US"/>
        </w:rPr>
        <w:t>The right to marry is protected by the Constitution. Marriage is one of the vital personal rights essential to the orderly pursuit of happiness by free men. The right to marry is fundamental under the </w:t>
      </w:r>
      <w:r w:rsidRPr="00B45592">
        <w:rPr>
          <w:lang w:val="en-IE"/>
        </w:rPr>
        <w:t xml:space="preserve">Due Process </w:t>
      </w:r>
      <w:proofErr w:type="gramStart"/>
      <w:r w:rsidRPr="00B45592">
        <w:rPr>
          <w:lang w:val="en-IE"/>
        </w:rPr>
        <w:t>Clause</w:t>
      </w:r>
      <w:r w:rsidRPr="00F954EF">
        <w:rPr>
          <w:lang w:val="en-US"/>
        </w:rPr>
        <w:t>.</w:t>
      </w:r>
      <w:r>
        <w:rPr>
          <w:lang w:val="en-US"/>
        </w:rPr>
        <w:t>“</w:t>
      </w:r>
      <w:proofErr w:type="gramEnd"/>
      <w:r w:rsidRPr="00F954EF">
        <w:rPr>
          <w:lang w:val="en-US"/>
        </w:rPr>
        <w:t xml:space="preserve"> </w:t>
      </w:r>
      <w:bookmarkStart w:id="56" w:name="_Hlk229473351"/>
      <w:r w:rsidRPr="009747B9">
        <w:t xml:space="preserve">(Richter </w:t>
      </w:r>
      <w:r w:rsidRPr="009747B9">
        <w:rPr>
          <w:i/>
        </w:rPr>
        <w:t>Kennedy</w:t>
      </w:r>
      <w:r w:rsidRPr="009747B9">
        <w:t xml:space="preserve">, gemeinsam mit den Richtern </w:t>
      </w:r>
      <w:r w:rsidRPr="009747B9">
        <w:rPr>
          <w:i/>
        </w:rPr>
        <w:t>Sotomayor</w:t>
      </w:r>
      <w:r w:rsidRPr="009747B9">
        <w:t>, </w:t>
      </w:r>
      <w:r w:rsidRPr="009747B9">
        <w:rPr>
          <w:i/>
        </w:rPr>
        <w:t>Ginsburg</w:t>
      </w:r>
      <w:r w:rsidRPr="009747B9">
        <w:t>, </w:t>
      </w:r>
      <w:r w:rsidRPr="009747B9">
        <w:rPr>
          <w:i/>
        </w:rPr>
        <w:t>Breyer</w:t>
      </w:r>
      <w:r w:rsidRPr="009747B9">
        <w:t xml:space="preserve"> und </w:t>
      </w:r>
      <w:r w:rsidRPr="009747B9">
        <w:rPr>
          <w:i/>
        </w:rPr>
        <w:t>Kagan</w:t>
      </w:r>
      <w:r w:rsidRPr="009747B9">
        <w:t>)</w:t>
      </w:r>
      <w:bookmarkEnd w:id="56"/>
      <w:r w:rsidRPr="009747B9">
        <w:t xml:space="preserve">, vgl. </w:t>
      </w:r>
      <w:r w:rsidRPr="009747B9">
        <w:rPr>
          <w:i/>
        </w:rPr>
        <w:t>Obergefell v. Hodges</w:t>
      </w:r>
      <w:r w:rsidRPr="009747B9">
        <w:t xml:space="preserve">, 576 U.S. 644, 644 = 135 S. Ct. 2584, 2588 = 192 L. Ed. 2d 609, 610 = 2015 U.S. LEXIS 4250, 1 = 83 U.S.L.W. 4592 = 99 Empl. </w:t>
      </w:r>
      <w:proofErr w:type="spellStart"/>
      <w:r w:rsidRPr="006E67FE">
        <w:rPr>
          <w:lang w:val="en-US"/>
        </w:rPr>
        <w:t>Prac</w:t>
      </w:r>
      <w:proofErr w:type="spellEnd"/>
      <w:r w:rsidRPr="006E67FE">
        <w:rPr>
          <w:lang w:val="en-US"/>
        </w:rPr>
        <w:t xml:space="preserve">. </w:t>
      </w:r>
      <w:r w:rsidRPr="00F954EF">
        <w:rPr>
          <w:lang w:val="en-US"/>
        </w:rPr>
        <w:t>Dec. (CCH) P45,341</w:t>
      </w:r>
      <w:r w:rsidRPr="006E67FE">
        <w:rPr>
          <w:lang w:val="en-US"/>
        </w:rPr>
        <w:t xml:space="preserve"> = 115 A.F.T.R. 2d </w:t>
      </w:r>
      <w:r w:rsidRPr="00F954EF">
        <w:rPr>
          <w:lang w:val="en-US"/>
        </w:rPr>
        <w:t>(RIA) 2015-2309</w:t>
      </w:r>
      <w:r w:rsidRPr="006E67FE">
        <w:rPr>
          <w:lang w:val="en-US"/>
        </w:rPr>
        <w:t xml:space="preserve"> = 25 Fla. L. Weekly Fed. </w:t>
      </w:r>
      <w:r w:rsidRPr="00B45592">
        <w:t>S 472 (2015).</w:t>
      </w:r>
    </w:p>
  </w:footnote>
  <w:footnote w:id="1129">
    <w:p w14:paraId="7AE0EC5B" w14:textId="77777777" w:rsidR="00074551" w:rsidRPr="00B45592" w:rsidRDefault="00074551" w:rsidP="00074551">
      <w:pPr>
        <w:pStyle w:val="Funotentext"/>
      </w:pPr>
      <w:r>
        <w:rPr>
          <w:rStyle w:val="Funotenzeichen"/>
          <w:rFonts w:eastAsiaTheme="majorEastAsia"/>
        </w:rPr>
        <w:footnoteRef/>
      </w:r>
      <w:r w:rsidRPr="00B45592">
        <w:t xml:space="preserve"> </w:t>
      </w:r>
      <w:r w:rsidRPr="00B45592">
        <w:rPr>
          <w:i/>
        </w:rPr>
        <w:t>Poe v. Ullman</w:t>
      </w:r>
      <w:r w:rsidRPr="00B45592">
        <w:t>, 367 U.S. 497, 542 = 81 S. Ct. 1752 = 6 L. Ed. 2d 989 (1961) (Dissens von Richte</w:t>
      </w:r>
      <w:r>
        <w:t xml:space="preserve">r </w:t>
      </w:r>
      <w:r w:rsidRPr="00B45592">
        <w:rPr>
          <w:i/>
        </w:rPr>
        <w:t>Harlan</w:t>
      </w:r>
      <w:r w:rsidRPr="00B45592">
        <w:t>).</w:t>
      </w:r>
    </w:p>
  </w:footnote>
  <w:footnote w:id="1130">
    <w:p w14:paraId="21D86A21" w14:textId="77777777" w:rsidR="00074551" w:rsidRPr="00D6397E" w:rsidRDefault="00074551" w:rsidP="00074551">
      <w:pPr>
        <w:pStyle w:val="Funotentext"/>
        <w:rPr>
          <w:lang w:val="en-US"/>
        </w:rPr>
      </w:pPr>
      <w:r>
        <w:rPr>
          <w:rStyle w:val="Funotenzeichen"/>
          <w:rFonts w:eastAsiaTheme="majorEastAsia"/>
        </w:rPr>
        <w:footnoteRef/>
      </w:r>
      <w:r w:rsidRPr="00D6397E">
        <w:rPr>
          <w:lang w:val="en-US"/>
        </w:rPr>
        <w:t xml:space="preserve"> </w:t>
      </w:r>
      <w:r w:rsidRPr="009167A5">
        <w:rPr>
          <w:i/>
          <w:lang w:val="en-US"/>
        </w:rPr>
        <w:t>Obergefell v. Hodges</w:t>
      </w:r>
      <w:r w:rsidRPr="00D6397E">
        <w:rPr>
          <w:lang w:val="en-US"/>
        </w:rPr>
        <w:t>, 576 U.S. 644, 664</w:t>
      </w:r>
      <w:r w:rsidRPr="006E67FE">
        <w:rPr>
          <w:lang w:val="en-US"/>
        </w:rPr>
        <w:t xml:space="preserve"> = 135 S. Ct. </w:t>
      </w:r>
      <w:r w:rsidRPr="00D6397E">
        <w:rPr>
          <w:lang w:val="en-US"/>
        </w:rPr>
        <w:t>2584, 2598</w:t>
      </w:r>
      <w:r w:rsidRPr="006E67FE">
        <w:rPr>
          <w:lang w:val="en-US"/>
        </w:rPr>
        <w:t xml:space="preserve"> = 192 L. Ed. </w:t>
      </w:r>
      <w:r w:rsidRPr="00D6397E">
        <w:rPr>
          <w:lang w:val="en-US"/>
        </w:rPr>
        <w:t>2d 609, 624</w:t>
      </w:r>
      <w:r w:rsidRPr="006E67FE">
        <w:rPr>
          <w:lang w:val="en-US"/>
        </w:rPr>
        <w:t xml:space="preserve"> = 2015 U.S. LEXIS </w:t>
      </w:r>
      <w:r w:rsidRPr="00D6397E">
        <w:rPr>
          <w:lang w:val="en-US"/>
        </w:rPr>
        <w:t>4250, 25</w:t>
      </w:r>
      <w:r w:rsidRPr="006E67FE">
        <w:rPr>
          <w:lang w:val="en-US"/>
        </w:rPr>
        <w:t xml:space="preserve"> = 83 U.S.L.W. </w:t>
      </w:r>
      <w:r w:rsidRPr="00D6397E">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D6397E">
        <w:rPr>
          <w:lang w:val="en-US"/>
        </w:rPr>
        <w:t>Dec. (CCH) P45,341</w:t>
      </w:r>
      <w:r w:rsidRPr="006E67FE">
        <w:rPr>
          <w:lang w:val="en-US"/>
        </w:rPr>
        <w:t xml:space="preserve"> = 115 A.F.T.R. 2d </w:t>
      </w:r>
      <w:r w:rsidRPr="00D6397E">
        <w:rPr>
          <w:lang w:val="en-US"/>
        </w:rPr>
        <w:t>(RIA) 2015-2309</w:t>
      </w:r>
      <w:r w:rsidRPr="006E67FE">
        <w:rPr>
          <w:lang w:val="en-US"/>
        </w:rPr>
        <w:t xml:space="preserve"> = 25 Fla. L. Weekly Fed. </w:t>
      </w:r>
      <w:r w:rsidRPr="00D6397E">
        <w:rPr>
          <w:lang w:val="en-US"/>
        </w:rPr>
        <w:t>S 472 (2015)</w:t>
      </w:r>
      <w:r>
        <w:rPr>
          <w:lang w:val="en-US"/>
        </w:rPr>
        <w:t>.</w:t>
      </w:r>
    </w:p>
  </w:footnote>
  <w:footnote w:id="1131">
    <w:p w14:paraId="066C2C43" w14:textId="77777777" w:rsidR="00074551" w:rsidRPr="00D6397E" w:rsidRDefault="00074551" w:rsidP="00074551">
      <w:pPr>
        <w:pStyle w:val="Funotentext"/>
        <w:rPr>
          <w:lang w:val="en-US"/>
        </w:rPr>
      </w:pPr>
      <w:r>
        <w:rPr>
          <w:rStyle w:val="Funotenzeichen"/>
          <w:rFonts w:eastAsiaTheme="majorEastAsia"/>
        </w:rPr>
        <w:footnoteRef/>
      </w:r>
      <w:r w:rsidRPr="00D6397E">
        <w:rPr>
          <w:lang w:val="en-US"/>
        </w:rPr>
        <w:t xml:space="preserve"> </w:t>
      </w:r>
      <w:r w:rsidRPr="009E57E1">
        <w:rPr>
          <w:i/>
          <w:lang w:val="en-US"/>
        </w:rPr>
        <w:t>Lawrence v. Texas</w:t>
      </w:r>
      <w:r w:rsidRPr="001254B0">
        <w:rPr>
          <w:lang w:val="en-US"/>
        </w:rPr>
        <w:t>, 539 U.S. 558</w:t>
      </w:r>
      <w:r>
        <w:rPr>
          <w:lang w:val="en-US"/>
        </w:rPr>
        <w:t xml:space="preserve">, </w:t>
      </w:r>
      <w:r w:rsidRPr="00D6397E">
        <w:rPr>
          <w:lang w:val="en-US"/>
        </w:rPr>
        <w:t>572</w:t>
      </w:r>
      <w:r w:rsidRPr="006E67FE">
        <w:rPr>
          <w:lang w:val="en-US"/>
        </w:rPr>
        <w:t xml:space="preserve"> = 123 S. Ct. </w:t>
      </w:r>
      <w:r w:rsidRPr="00D6397E">
        <w:rPr>
          <w:lang w:val="en-US"/>
        </w:rPr>
        <w:t>2472</w:t>
      </w:r>
      <w:r w:rsidRPr="006E67FE">
        <w:rPr>
          <w:lang w:val="en-US"/>
        </w:rPr>
        <w:t xml:space="preserve"> = 156 L. Ed. </w:t>
      </w:r>
      <w:r w:rsidRPr="00D6397E">
        <w:rPr>
          <w:lang w:val="en-US"/>
        </w:rPr>
        <w:t>2d 508</w:t>
      </w:r>
      <w:r>
        <w:rPr>
          <w:lang w:val="en-US"/>
        </w:rPr>
        <w:t xml:space="preserve">; </w:t>
      </w:r>
      <w:r w:rsidRPr="009167A5">
        <w:rPr>
          <w:i/>
          <w:lang w:val="en-US"/>
        </w:rPr>
        <w:t>Obergefell v. Hodges</w:t>
      </w:r>
      <w:r w:rsidRPr="00D6397E">
        <w:rPr>
          <w:lang w:val="en-US"/>
        </w:rPr>
        <w:t>, 576 U.S. 644, 664</w:t>
      </w:r>
      <w:r w:rsidRPr="006E67FE">
        <w:rPr>
          <w:lang w:val="en-US"/>
        </w:rPr>
        <w:t xml:space="preserve"> = 135 S. Ct. </w:t>
      </w:r>
      <w:r w:rsidRPr="00D6397E">
        <w:rPr>
          <w:lang w:val="en-US"/>
        </w:rPr>
        <w:t>2584, 2598</w:t>
      </w:r>
      <w:r w:rsidRPr="006E67FE">
        <w:rPr>
          <w:lang w:val="en-US"/>
        </w:rPr>
        <w:t xml:space="preserve"> = 192 L. Ed. </w:t>
      </w:r>
      <w:r w:rsidRPr="00D6397E">
        <w:rPr>
          <w:lang w:val="en-US"/>
        </w:rPr>
        <w:t>2d 609, 624</w:t>
      </w:r>
      <w:r w:rsidRPr="006E67FE">
        <w:rPr>
          <w:lang w:val="en-US"/>
        </w:rPr>
        <w:t xml:space="preserve"> = 2015 U.S. LEXIS </w:t>
      </w:r>
      <w:r w:rsidRPr="00D6397E">
        <w:rPr>
          <w:lang w:val="en-US"/>
        </w:rPr>
        <w:t>4250, 25</w:t>
      </w:r>
      <w:r w:rsidRPr="006E67FE">
        <w:rPr>
          <w:lang w:val="en-US"/>
        </w:rPr>
        <w:t xml:space="preserve"> = 83 U.S.L.W. </w:t>
      </w:r>
      <w:r w:rsidRPr="00D6397E">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D6397E">
        <w:rPr>
          <w:lang w:val="en-US"/>
        </w:rPr>
        <w:t>Dec. (CCH) P45,341</w:t>
      </w:r>
      <w:r w:rsidRPr="006E67FE">
        <w:rPr>
          <w:lang w:val="en-US"/>
        </w:rPr>
        <w:t xml:space="preserve"> = 115 A.F.T.R. 2d </w:t>
      </w:r>
      <w:r w:rsidRPr="00D6397E">
        <w:rPr>
          <w:lang w:val="en-US"/>
        </w:rPr>
        <w:t>(RIA) 2015-2309</w:t>
      </w:r>
      <w:r w:rsidRPr="006E67FE">
        <w:rPr>
          <w:lang w:val="en-US"/>
        </w:rPr>
        <w:t xml:space="preserve"> = 25 Fla. L. Weekly Fed. </w:t>
      </w:r>
      <w:r w:rsidRPr="00D6397E">
        <w:rPr>
          <w:lang w:val="en-US"/>
        </w:rPr>
        <w:t>S 472 (2015)</w:t>
      </w:r>
      <w:r>
        <w:rPr>
          <w:lang w:val="en-US"/>
        </w:rPr>
        <w:t>.</w:t>
      </w:r>
    </w:p>
  </w:footnote>
  <w:footnote w:id="1132">
    <w:p w14:paraId="7EEAC99F" w14:textId="77777777" w:rsidR="00074551" w:rsidRPr="00D6397E" w:rsidRDefault="00074551" w:rsidP="00074551">
      <w:pPr>
        <w:pStyle w:val="Funotentext"/>
        <w:jc w:val="both"/>
        <w:rPr>
          <w:lang w:val="en-US"/>
        </w:rPr>
      </w:pPr>
      <w:r>
        <w:rPr>
          <w:rStyle w:val="Funotenzeichen"/>
          <w:rFonts w:eastAsiaTheme="majorEastAsia"/>
        </w:rPr>
        <w:footnoteRef/>
      </w:r>
      <w:r w:rsidRPr="00D6397E">
        <w:rPr>
          <w:lang w:val="en-US"/>
        </w:rPr>
        <w:t xml:space="preserve"> </w:t>
      </w:r>
      <w:r w:rsidRPr="00584023">
        <w:rPr>
          <w:i/>
          <w:lang w:val="en-US"/>
        </w:rPr>
        <w:t>Loving v. Virginia</w:t>
      </w:r>
      <w:r w:rsidRPr="00D6397E">
        <w:rPr>
          <w:lang w:val="en-US"/>
        </w:rPr>
        <w:t>, 388 U.S. 1, 12</w:t>
      </w:r>
      <w:r w:rsidRPr="006E67FE">
        <w:rPr>
          <w:lang w:val="en-US"/>
        </w:rPr>
        <w:t xml:space="preserve"> = 87 S. Ct. </w:t>
      </w:r>
      <w:r w:rsidRPr="00D6397E">
        <w:rPr>
          <w:lang w:val="en-US"/>
        </w:rPr>
        <w:t>1817</w:t>
      </w:r>
      <w:r w:rsidRPr="006E67FE">
        <w:rPr>
          <w:lang w:val="en-US"/>
        </w:rPr>
        <w:t xml:space="preserve"> = 18 L. Ed. </w:t>
      </w:r>
      <w:r w:rsidRPr="00D6397E">
        <w:rPr>
          <w:lang w:val="en-US"/>
        </w:rPr>
        <w:t>2d 1010 (1967)</w:t>
      </w:r>
      <w:r>
        <w:rPr>
          <w:lang w:val="en-US"/>
        </w:rPr>
        <w:t xml:space="preserve">; </w:t>
      </w:r>
      <w:r w:rsidRPr="009167A5">
        <w:rPr>
          <w:i/>
          <w:lang w:val="en-US"/>
        </w:rPr>
        <w:t>Obergefell v. Hodges</w:t>
      </w:r>
      <w:r w:rsidRPr="00D6397E">
        <w:rPr>
          <w:lang w:val="en-US"/>
        </w:rPr>
        <w:t>, 576 U.S. 644, 664</w:t>
      </w:r>
      <w:r w:rsidRPr="006E67FE">
        <w:rPr>
          <w:lang w:val="en-US"/>
        </w:rPr>
        <w:t xml:space="preserve"> = 135 S. Ct. </w:t>
      </w:r>
      <w:r w:rsidRPr="00D6397E">
        <w:rPr>
          <w:lang w:val="en-US"/>
        </w:rPr>
        <w:t>2584, 2598</w:t>
      </w:r>
      <w:r w:rsidRPr="006E67FE">
        <w:rPr>
          <w:lang w:val="en-US"/>
        </w:rPr>
        <w:t xml:space="preserve"> = 192 L. Ed. </w:t>
      </w:r>
      <w:r w:rsidRPr="00D6397E">
        <w:rPr>
          <w:lang w:val="en-US"/>
        </w:rPr>
        <w:t>2d 609, 624</w:t>
      </w:r>
      <w:r w:rsidRPr="006E67FE">
        <w:rPr>
          <w:lang w:val="en-US"/>
        </w:rPr>
        <w:t xml:space="preserve"> = 2015 U.S. LEXIS </w:t>
      </w:r>
      <w:r w:rsidRPr="00D6397E">
        <w:rPr>
          <w:lang w:val="en-US"/>
        </w:rPr>
        <w:t>4250, 25</w:t>
      </w:r>
      <w:r w:rsidRPr="006E67FE">
        <w:rPr>
          <w:lang w:val="en-US"/>
        </w:rPr>
        <w:t xml:space="preserve"> = 83 U.S.L.W. </w:t>
      </w:r>
      <w:r w:rsidRPr="00D6397E">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D6397E">
        <w:rPr>
          <w:lang w:val="en-US"/>
        </w:rPr>
        <w:t>Dec. (CCH) P45,341</w:t>
      </w:r>
      <w:r w:rsidRPr="006E67FE">
        <w:rPr>
          <w:lang w:val="en-US"/>
        </w:rPr>
        <w:t xml:space="preserve"> = 115 A.F.T.R. 2d </w:t>
      </w:r>
      <w:r w:rsidRPr="00D6397E">
        <w:rPr>
          <w:lang w:val="en-US"/>
        </w:rPr>
        <w:t>(RIA) 2015-2309</w:t>
      </w:r>
      <w:r w:rsidRPr="006E67FE">
        <w:rPr>
          <w:lang w:val="en-US"/>
        </w:rPr>
        <w:t xml:space="preserve"> = 25 Fla. L. Weekly Fed. </w:t>
      </w:r>
      <w:r w:rsidRPr="00D6397E">
        <w:rPr>
          <w:lang w:val="en-US"/>
        </w:rPr>
        <w:t>S 472 (2015)</w:t>
      </w:r>
      <w:r>
        <w:rPr>
          <w:lang w:val="en-US"/>
        </w:rPr>
        <w:t>.</w:t>
      </w:r>
    </w:p>
  </w:footnote>
  <w:footnote w:id="1133">
    <w:p w14:paraId="1045DD50" w14:textId="77777777" w:rsidR="00074551" w:rsidRDefault="00074551" w:rsidP="00074551">
      <w:pPr>
        <w:pStyle w:val="Funotentext"/>
        <w:ind w:left="227" w:hanging="227"/>
        <w:rPr>
          <w:lang w:val="en-US"/>
        </w:rPr>
      </w:pPr>
      <w:r>
        <w:rPr>
          <w:rStyle w:val="Funotenzeichen"/>
          <w:rFonts w:eastAsiaTheme="majorEastAsia"/>
        </w:rPr>
        <w:footnoteRef/>
      </w:r>
      <w:r w:rsidRPr="00DC39A8">
        <w:rPr>
          <w:lang w:val="en-US"/>
        </w:rPr>
        <w:t xml:space="preserve"> </w:t>
      </w:r>
      <w:r w:rsidRPr="009167A5">
        <w:rPr>
          <w:i/>
          <w:lang w:val="en-US"/>
        </w:rPr>
        <w:t>Obergefell v. Hodges</w:t>
      </w:r>
      <w:r w:rsidRPr="00DC39A8">
        <w:rPr>
          <w:lang w:val="en-US"/>
        </w:rPr>
        <w:t>, 576 U.S. 644, 667</w:t>
      </w:r>
      <w:r w:rsidRPr="006E67FE">
        <w:rPr>
          <w:lang w:val="en-US"/>
        </w:rPr>
        <w:t xml:space="preserve"> = 135 S. Ct. </w:t>
      </w:r>
      <w:r w:rsidRPr="00DC39A8">
        <w:rPr>
          <w:lang w:val="en-US"/>
        </w:rPr>
        <w:t>2584, 2599</w:t>
      </w:r>
      <w:r w:rsidRPr="006E67FE">
        <w:rPr>
          <w:lang w:val="en-US"/>
        </w:rPr>
        <w:t xml:space="preserve"> = 192 L. Ed. </w:t>
      </w:r>
      <w:r w:rsidRPr="00DC39A8">
        <w:rPr>
          <w:lang w:val="en-US"/>
        </w:rPr>
        <w:t>2d 609, 626</w:t>
      </w:r>
      <w:r w:rsidRPr="006E67FE">
        <w:rPr>
          <w:lang w:val="en-US"/>
        </w:rPr>
        <w:t xml:space="preserve"> = 2015 U.S. LEXIS </w:t>
      </w:r>
      <w:r w:rsidRPr="00DC39A8">
        <w:rPr>
          <w:lang w:val="en-US"/>
        </w:rPr>
        <w:t>4250, 29</w:t>
      </w:r>
      <w:r w:rsidRPr="006E67FE">
        <w:rPr>
          <w:lang w:val="en-US"/>
        </w:rPr>
        <w:t xml:space="preserve"> = 83 U.S.L.W. </w:t>
      </w:r>
      <w:r w:rsidRPr="00DC39A8">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DC39A8">
        <w:rPr>
          <w:lang w:val="en-US"/>
        </w:rPr>
        <w:t>Dec. (CCH) P45,341</w:t>
      </w:r>
      <w:r w:rsidRPr="006E67FE">
        <w:rPr>
          <w:lang w:val="en-US"/>
        </w:rPr>
        <w:t xml:space="preserve"> = 115</w:t>
      </w:r>
    </w:p>
    <w:p w14:paraId="634805F9" w14:textId="77777777" w:rsidR="00074551" w:rsidRPr="004E264C" w:rsidRDefault="00074551" w:rsidP="00074551">
      <w:pPr>
        <w:pStyle w:val="Funotentext"/>
        <w:ind w:left="227" w:hanging="227"/>
        <w:rPr>
          <w:lang w:val="en-US"/>
        </w:rPr>
      </w:pPr>
      <w:r w:rsidRPr="006E67FE">
        <w:rPr>
          <w:lang w:val="en-US"/>
        </w:rPr>
        <w:t xml:space="preserve">A.F.T.R. 2d </w:t>
      </w:r>
      <w:r w:rsidRPr="00DC39A8">
        <w:rPr>
          <w:lang w:val="en-US"/>
        </w:rPr>
        <w:t>(RIA) 2015-2309</w:t>
      </w:r>
      <w:r w:rsidRPr="006E67FE">
        <w:rPr>
          <w:lang w:val="en-US"/>
        </w:rPr>
        <w:t xml:space="preserve"> = 25 Fla. L. Weekly Fed. </w:t>
      </w:r>
      <w:r w:rsidRPr="004E264C">
        <w:rPr>
          <w:lang w:val="en-US"/>
        </w:rPr>
        <w:t>S 472 (2015).</w:t>
      </w:r>
    </w:p>
  </w:footnote>
  <w:footnote w:id="1134">
    <w:p w14:paraId="5D1A1F56" w14:textId="77777777" w:rsidR="00074551" w:rsidRPr="004E264C" w:rsidRDefault="00074551" w:rsidP="00074551">
      <w:pPr>
        <w:pStyle w:val="Funotentext"/>
        <w:rPr>
          <w:lang w:val="en-US"/>
        </w:rPr>
      </w:pPr>
      <w:r>
        <w:rPr>
          <w:rStyle w:val="Funotenzeichen"/>
        </w:rPr>
        <w:footnoteRef/>
      </w:r>
      <w:r w:rsidRPr="004E264C">
        <w:rPr>
          <w:lang w:val="en-US"/>
        </w:rPr>
        <w:t xml:space="preserve"> </w:t>
      </w:r>
      <w:r>
        <w:rPr>
          <w:lang w:val="en-US"/>
        </w:rPr>
        <w:t>„</w:t>
      </w:r>
      <w:r w:rsidRPr="004E264C">
        <w:rPr>
          <w:lang w:val="en-US"/>
        </w:rPr>
        <w:t>The Oregon Compulsory Education Act (</w:t>
      </w:r>
      <w:proofErr w:type="spellStart"/>
      <w:r w:rsidRPr="004E264C">
        <w:rPr>
          <w:lang w:val="en-US"/>
        </w:rPr>
        <w:t>Oreg</w:t>
      </w:r>
      <w:proofErr w:type="spellEnd"/>
      <w:r w:rsidRPr="004E264C">
        <w:rPr>
          <w:lang w:val="en-US"/>
        </w:rPr>
        <w:t xml:space="preserve">. Ls., </w:t>
      </w:r>
      <w:r>
        <w:rPr>
          <w:lang w:val="en-US"/>
        </w:rPr>
        <w:t>§ </w:t>
      </w:r>
      <w:r w:rsidRPr="004E264C">
        <w:rPr>
          <w:lang w:val="en-US"/>
        </w:rPr>
        <w:t xml:space="preserve">5259) which, with certain exemptions, requires every parent, guardian or other person having control of a child between the ages of eight and sixteen years to send him to the public school in the district where he resides, for the period during which the school is held for the current </w:t>
      </w:r>
      <w:proofErr w:type="gramStart"/>
      <w:r w:rsidRPr="004E264C">
        <w:rPr>
          <w:lang w:val="en-US"/>
        </w:rPr>
        <w:t>year</w:t>
      </w:r>
      <w:r>
        <w:rPr>
          <w:lang w:val="en-US"/>
        </w:rPr>
        <w:t>“</w:t>
      </w:r>
      <w:proofErr w:type="gramEnd"/>
      <w:r>
        <w:rPr>
          <w:lang w:val="en-US"/>
        </w:rPr>
        <w:t xml:space="preserve">, </w:t>
      </w:r>
      <w:r w:rsidRPr="00B45592">
        <w:rPr>
          <w:i/>
          <w:lang w:val="en-US"/>
        </w:rPr>
        <w:t>Pierce v. Soc’y of Sisters</w:t>
      </w:r>
      <w:r w:rsidRPr="004E264C">
        <w:rPr>
          <w:lang w:val="en-US"/>
        </w:rPr>
        <w:t>, 268 U.S. 510, 529</w:t>
      </w:r>
      <w:r>
        <w:rPr>
          <w:lang w:val="en-US"/>
        </w:rPr>
        <w:t xml:space="preserve"> = 45 S. Ct. </w:t>
      </w:r>
      <w:r w:rsidRPr="004E264C">
        <w:rPr>
          <w:lang w:val="en-US"/>
        </w:rPr>
        <w:t>571, 571</w:t>
      </w:r>
      <w:r>
        <w:rPr>
          <w:lang w:val="en-US"/>
        </w:rPr>
        <w:t xml:space="preserve"> = 69 L. Ed. </w:t>
      </w:r>
      <w:r w:rsidRPr="004E264C">
        <w:rPr>
          <w:lang w:val="en-US"/>
        </w:rPr>
        <w:t>1070, 1076</w:t>
      </w:r>
      <w:r>
        <w:rPr>
          <w:lang w:val="en-US"/>
        </w:rPr>
        <w:t xml:space="preserve"> = 1925 U.S. LEXIS </w:t>
      </w:r>
      <w:r w:rsidRPr="004E264C">
        <w:rPr>
          <w:lang w:val="en-US"/>
        </w:rPr>
        <w:t>589, 1</w:t>
      </w:r>
      <w:r>
        <w:rPr>
          <w:lang w:val="en-US"/>
        </w:rPr>
        <w:t xml:space="preserve"> = 39 A.L.R</w:t>
      </w:r>
      <w:r w:rsidRPr="004E264C">
        <w:rPr>
          <w:lang w:val="en-US"/>
        </w:rPr>
        <w:t>. 468 (1925)</w:t>
      </w:r>
      <w:r>
        <w:rPr>
          <w:lang w:val="en-US"/>
        </w:rPr>
        <w:t>.</w:t>
      </w:r>
    </w:p>
  </w:footnote>
  <w:footnote w:id="1135">
    <w:p w14:paraId="4E310613" w14:textId="77777777" w:rsidR="00074551" w:rsidRPr="004E264C" w:rsidRDefault="00074551" w:rsidP="00074551">
      <w:pPr>
        <w:pStyle w:val="Funotentext"/>
        <w:rPr>
          <w:lang w:val="en-US"/>
        </w:rPr>
      </w:pPr>
      <w:r>
        <w:rPr>
          <w:rStyle w:val="Funotenzeichen"/>
        </w:rPr>
        <w:footnoteRef/>
      </w:r>
      <w:r w:rsidRPr="004E264C">
        <w:rPr>
          <w:lang w:val="en-US"/>
        </w:rPr>
        <w:t xml:space="preserve"> </w:t>
      </w:r>
      <w:proofErr w:type="spellStart"/>
      <w:r>
        <w:rPr>
          <w:lang w:val="en-US"/>
        </w:rPr>
        <w:t>Vgl</w:t>
      </w:r>
      <w:proofErr w:type="spellEnd"/>
      <w:r>
        <w:rPr>
          <w:lang w:val="en-US"/>
        </w:rPr>
        <w:t xml:space="preserve">. in der </w:t>
      </w:r>
      <w:r w:rsidRPr="00B45592">
        <w:rPr>
          <w:i/>
          <w:iCs/>
          <w:lang w:val="en-US"/>
        </w:rPr>
        <w:t>Case Summary</w:t>
      </w:r>
      <w:r>
        <w:rPr>
          <w:lang w:val="en-US"/>
        </w:rPr>
        <w:t xml:space="preserve">: </w:t>
      </w:r>
      <w:r w:rsidRPr="00B45592">
        <w:rPr>
          <w:i/>
          <w:lang w:val="en-US"/>
        </w:rPr>
        <w:t>Pierce v. Soc’y of Sisters</w:t>
      </w:r>
      <w:r w:rsidRPr="004E264C">
        <w:rPr>
          <w:lang w:val="en-US"/>
        </w:rPr>
        <w:t>, 268 U.S. 510, 529</w:t>
      </w:r>
      <w:r>
        <w:rPr>
          <w:lang w:val="en-US"/>
        </w:rPr>
        <w:t xml:space="preserve"> = 45 S. Ct. </w:t>
      </w:r>
      <w:r w:rsidRPr="004E264C">
        <w:rPr>
          <w:lang w:val="en-US"/>
        </w:rPr>
        <w:t>571, 571</w:t>
      </w:r>
      <w:r>
        <w:rPr>
          <w:lang w:val="en-US"/>
        </w:rPr>
        <w:t xml:space="preserve"> = 69 L. Ed. </w:t>
      </w:r>
      <w:r w:rsidRPr="004E264C">
        <w:rPr>
          <w:lang w:val="en-US"/>
        </w:rPr>
        <w:t>1070, 1076</w:t>
      </w:r>
      <w:r>
        <w:rPr>
          <w:lang w:val="en-US"/>
        </w:rPr>
        <w:t xml:space="preserve"> = 1925 U.S. LEXIS </w:t>
      </w:r>
      <w:r w:rsidRPr="004E264C">
        <w:rPr>
          <w:lang w:val="en-US"/>
        </w:rPr>
        <w:t>589, 1</w:t>
      </w:r>
      <w:r>
        <w:rPr>
          <w:lang w:val="en-US"/>
        </w:rPr>
        <w:t xml:space="preserve"> = 39 A.L.R</w:t>
      </w:r>
      <w:r w:rsidRPr="004E264C">
        <w:rPr>
          <w:lang w:val="en-US"/>
        </w:rPr>
        <w:t>. 468 (1925)</w:t>
      </w:r>
      <w:r>
        <w:rPr>
          <w:lang w:val="en-US"/>
        </w:rPr>
        <w:t>.</w:t>
      </w:r>
    </w:p>
  </w:footnote>
  <w:footnote w:id="1136">
    <w:p w14:paraId="49C2ECF4" w14:textId="77777777" w:rsidR="00074551" w:rsidRPr="004E264C" w:rsidRDefault="00074551" w:rsidP="00074551">
      <w:pPr>
        <w:pStyle w:val="Funotentext"/>
        <w:rPr>
          <w:lang w:val="en-US"/>
        </w:rPr>
      </w:pPr>
      <w:r>
        <w:rPr>
          <w:rStyle w:val="Funotenzeichen"/>
        </w:rPr>
        <w:footnoteRef/>
      </w:r>
      <w:r w:rsidRPr="004E264C">
        <w:rPr>
          <w:lang w:val="en-US"/>
        </w:rPr>
        <w:t xml:space="preserve"> </w:t>
      </w:r>
      <w:proofErr w:type="spellStart"/>
      <w:r>
        <w:rPr>
          <w:lang w:val="en-US"/>
        </w:rPr>
        <w:t>Vgl</w:t>
      </w:r>
      <w:proofErr w:type="spellEnd"/>
      <w:r>
        <w:rPr>
          <w:lang w:val="en-US"/>
        </w:rPr>
        <w:t xml:space="preserve">. in der </w:t>
      </w:r>
      <w:r w:rsidRPr="00B45592">
        <w:rPr>
          <w:i/>
          <w:iCs/>
          <w:lang w:val="en-US"/>
        </w:rPr>
        <w:t>Case Summary</w:t>
      </w:r>
      <w:r>
        <w:rPr>
          <w:lang w:val="en-US"/>
        </w:rPr>
        <w:t xml:space="preserve">: </w:t>
      </w:r>
      <w:r w:rsidRPr="00B45592">
        <w:rPr>
          <w:i/>
          <w:lang w:val="en-US"/>
        </w:rPr>
        <w:t>Pierce v. Soc’y of Sisters</w:t>
      </w:r>
      <w:r w:rsidRPr="004E264C">
        <w:rPr>
          <w:lang w:val="en-US"/>
        </w:rPr>
        <w:t>, 268 U.S. 510, 529</w:t>
      </w:r>
      <w:r>
        <w:rPr>
          <w:lang w:val="en-US"/>
        </w:rPr>
        <w:t xml:space="preserve"> = 45 S. Ct. </w:t>
      </w:r>
      <w:r w:rsidRPr="004E264C">
        <w:rPr>
          <w:lang w:val="en-US"/>
        </w:rPr>
        <w:t>571, 571</w:t>
      </w:r>
      <w:r>
        <w:rPr>
          <w:lang w:val="en-US"/>
        </w:rPr>
        <w:t xml:space="preserve"> = 69 L. Ed. </w:t>
      </w:r>
      <w:r w:rsidRPr="004E264C">
        <w:rPr>
          <w:lang w:val="en-US"/>
        </w:rPr>
        <w:t>1070, 1076</w:t>
      </w:r>
      <w:r>
        <w:rPr>
          <w:lang w:val="en-US"/>
        </w:rPr>
        <w:t xml:space="preserve"> = 1925 U.S. LEXIS </w:t>
      </w:r>
      <w:r w:rsidRPr="004E264C">
        <w:rPr>
          <w:lang w:val="en-US"/>
        </w:rPr>
        <w:t>589, 1</w:t>
      </w:r>
      <w:r>
        <w:rPr>
          <w:lang w:val="en-US"/>
        </w:rPr>
        <w:t xml:space="preserve"> = 39 A.L.R</w:t>
      </w:r>
      <w:r w:rsidRPr="004E264C">
        <w:rPr>
          <w:lang w:val="en-US"/>
        </w:rPr>
        <w:t>. 468 (1925)</w:t>
      </w:r>
      <w:r>
        <w:rPr>
          <w:lang w:val="en-US"/>
        </w:rPr>
        <w:t>.</w:t>
      </w:r>
    </w:p>
  </w:footnote>
  <w:footnote w:id="1137">
    <w:p w14:paraId="5609359D" w14:textId="77777777" w:rsidR="00074551" w:rsidRDefault="00074551" w:rsidP="00074551">
      <w:pPr>
        <w:pStyle w:val="Funotentext"/>
        <w:ind w:left="227" w:hanging="227"/>
        <w:rPr>
          <w:lang w:val="en-US"/>
        </w:rPr>
      </w:pPr>
      <w:r>
        <w:rPr>
          <w:rStyle w:val="Funotenzeichen"/>
          <w:rFonts w:eastAsiaTheme="majorEastAsia"/>
        </w:rPr>
        <w:footnoteRef/>
      </w:r>
      <w:r w:rsidRPr="00DC39A8">
        <w:rPr>
          <w:lang w:val="en-US"/>
        </w:rPr>
        <w:t xml:space="preserve"> </w:t>
      </w:r>
      <w:r w:rsidRPr="00B45592">
        <w:rPr>
          <w:i/>
          <w:lang w:val="en-US"/>
        </w:rPr>
        <w:t>Buchanan v. Warley</w:t>
      </w:r>
      <w:r w:rsidRPr="00DC39A8">
        <w:rPr>
          <w:lang w:val="en-US"/>
        </w:rPr>
        <w:t xml:space="preserve">, 245 U.S. 60; </w:t>
      </w:r>
      <w:r w:rsidRPr="009E57E1">
        <w:rPr>
          <w:i/>
          <w:lang w:val="en-US"/>
        </w:rPr>
        <w:t>Meyer v. Nebraska</w:t>
      </w:r>
      <w:r w:rsidRPr="00DC39A8">
        <w:rPr>
          <w:lang w:val="en-US"/>
        </w:rPr>
        <w:t xml:space="preserve">, 262 U.S. 390; </w:t>
      </w:r>
      <w:r w:rsidRPr="00B45592">
        <w:rPr>
          <w:i/>
          <w:lang w:val="en-US"/>
        </w:rPr>
        <w:t>Bartels v. Iowa</w:t>
      </w:r>
      <w:r w:rsidRPr="00DC39A8">
        <w:rPr>
          <w:lang w:val="en-US"/>
        </w:rPr>
        <w:t>, 262 U.S. 404</w:t>
      </w:r>
      <w:r>
        <w:rPr>
          <w:lang w:val="en-US"/>
        </w:rPr>
        <w:t xml:space="preserve">; </w:t>
      </w:r>
      <w:r w:rsidRPr="00B45592">
        <w:rPr>
          <w:i/>
          <w:lang w:val="en-US"/>
        </w:rPr>
        <w:t>Pierce v. Soc’y of Sisters</w:t>
      </w:r>
      <w:r w:rsidRPr="00DC39A8">
        <w:rPr>
          <w:lang w:val="en-US"/>
        </w:rPr>
        <w:t>, 268 U.S. 510, 529</w:t>
      </w:r>
      <w:r>
        <w:rPr>
          <w:lang w:val="en-US"/>
        </w:rPr>
        <w:t xml:space="preserve"> = 45 S. Ct. </w:t>
      </w:r>
      <w:r w:rsidRPr="00DC39A8">
        <w:rPr>
          <w:lang w:val="en-US"/>
        </w:rPr>
        <w:t>571, 571</w:t>
      </w:r>
      <w:r>
        <w:rPr>
          <w:lang w:val="en-US"/>
        </w:rPr>
        <w:t xml:space="preserve"> = 69 L. Ed. </w:t>
      </w:r>
      <w:r w:rsidRPr="00DC39A8">
        <w:rPr>
          <w:lang w:val="en-US"/>
        </w:rPr>
        <w:t xml:space="preserve">1070, </w:t>
      </w:r>
    </w:p>
    <w:p w14:paraId="3A5AB43B" w14:textId="77777777" w:rsidR="00074551" w:rsidRPr="00DC39A8" w:rsidRDefault="00074551" w:rsidP="00074551">
      <w:pPr>
        <w:pStyle w:val="Funotentext"/>
        <w:ind w:left="227" w:hanging="227"/>
        <w:rPr>
          <w:lang w:val="en-US"/>
        </w:rPr>
      </w:pPr>
      <w:r w:rsidRPr="00DC39A8">
        <w:rPr>
          <w:lang w:val="en-US"/>
        </w:rPr>
        <w:t>1076</w:t>
      </w:r>
      <w:r>
        <w:rPr>
          <w:lang w:val="en-US"/>
        </w:rPr>
        <w:t xml:space="preserve"> = 1925 U.S. LEXIS </w:t>
      </w:r>
      <w:r w:rsidRPr="00DC39A8">
        <w:rPr>
          <w:lang w:val="en-US"/>
        </w:rPr>
        <w:t>589, 26</w:t>
      </w:r>
      <w:r>
        <w:rPr>
          <w:lang w:val="en-US"/>
        </w:rPr>
        <w:t xml:space="preserve"> = 39 A.L.R</w:t>
      </w:r>
      <w:r w:rsidRPr="00DC39A8">
        <w:rPr>
          <w:lang w:val="en-US"/>
        </w:rPr>
        <w:t>. 468 (1925)</w:t>
      </w:r>
      <w:r>
        <w:rPr>
          <w:lang w:val="en-US"/>
        </w:rPr>
        <w:t>.</w:t>
      </w:r>
    </w:p>
  </w:footnote>
  <w:footnote w:id="1138">
    <w:p w14:paraId="44C1205D" w14:textId="77777777" w:rsidR="00074551" w:rsidRDefault="00074551" w:rsidP="00074551">
      <w:pPr>
        <w:pStyle w:val="Funotentext"/>
        <w:ind w:left="227" w:hanging="227"/>
        <w:rPr>
          <w:lang w:val="en-US"/>
        </w:rPr>
      </w:pPr>
      <w:r>
        <w:rPr>
          <w:rStyle w:val="Funotenzeichen"/>
          <w:rFonts w:eastAsiaTheme="majorEastAsia"/>
        </w:rPr>
        <w:footnoteRef/>
      </w:r>
      <w:r w:rsidRPr="00DC39A8">
        <w:rPr>
          <w:lang w:val="en-US"/>
        </w:rPr>
        <w:t xml:space="preserve"> </w:t>
      </w:r>
      <w:r w:rsidRPr="004F13B1">
        <w:rPr>
          <w:i/>
          <w:lang w:val="en-US"/>
        </w:rPr>
        <w:t>Mugler v. Kansas</w:t>
      </w:r>
      <w:r w:rsidRPr="00DC39A8">
        <w:rPr>
          <w:lang w:val="en-US"/>
        </w:rPr>
        <w:t xml:space="preserve">, 123 U.S. 623; </w:t>
      </w:r>
      <w:r w:rsidRPr="00B45592">
        <w:rPr>
          <w:i/>
          <w:lang w:val="en-US"/>
        </w:rPr>
        <w:t>Kidd v. Pearson</w:t>
      </w:r>
      <w:r w:rsidRPr="00DC39A8">
        <w:rPr>
          <w:lang w:val="en-US"/>
        </w:rPr>
        <w:t xml:space="preserve">, 128 U.S. 1; </w:t>
      </w:r>
      <w:r w:rsidRPr="00B45592">
        <w:rPr>
          <w:i/>
          <w:lang w:val="en-US"/>
        </w:rPr>
        <w:t>Clark Distilling Co. v. Western Maryland R. Co.</w:t>
      </w:r>
      <w:r w:rsidRPr="00DC39A8">
        <w:rPr>
          <w:lang w:val="en-US"/>
        </w:rPr>
        <w:t xml:space="preserve">, 242 U.S. 311; </w:t>
      </w:r>
      <w:r w:rsidRPr="00B45592">
        <w:rPr>
          <w:i/>
          <w:lang w:val="en-US"/>
        </w:rPr>
        <w:t>Crane v. Campbell</w:t>
      </w:r>
      <w:r w:rsidRPr="00DC39A8">
        <w:rPr>
          <w:lang w:val="en-US"/>
        </w:rPr>
        <w:t>, 245 U.S. 304</w:t>
      </w:r>
      <w:r>
        <w:rPr>
          <w:lang w:val="en-US"/>
        </w:rPr>
        <w:t xml:space="preserve">; </w:t>
      </w:r>
      <w:r w:rsidRPr="00B45592">
        <w:rPr>
          <w:i/>
          <w:lang w:val="en-US"/>
        </w:rPr>
        <w:t>Pierce v. Soc’y of Sisters</w:t>
      </w:r>
      <w:r w:rsidRPr="00DC39A8">
        <w:rPr>
          <w:lang w:val="en-US"/>
        </w:rPr>
        <w:t xml:space="preserve">, </w:t>
      </w:r>
    </w:p>
    <w:p w14:paraId="40035CF6" w14:textId="77777777" w:rsidR="00074551" w:rsidRPr="00DC39A8" w:rsidRDefault="00074551" w:rsidP="00074551">
      <w:pPr>
        <w:pStyle w:val="Funotentext"/>
        <w:ind w:left="227" w:hanging="227"/>
        <w:rPr>
          <w:lang w:val="en-US"/>
        </w:rPr>
      </w:pPr>
      <w:r w:rsidRPr="00DC39A8">
        <w:rPr>
          <w:lang w:val="en-US"/>
        </w:rPr>
        <w:t>268 U.S. 510, 529</w:t>
      </w:r>
      <w:r>
        <w:rPr>
          <w:lang w:val="en-US"/>
        </w:rPr>
        <w:t xml:space="preserve"> = 45 S. Ct. </w:t>
      </w:r>
      <w:r w:rsidRPr="00DC39A8">
        <w:rPr>
          <w:lang w:val="en-US"/>
        </w:rPr>
        <w:t>571, 571</w:t>
      </w:r>
      <w:r>
        <w:rPr>
          <w:lang w:val="en-US"/>
        </w:rPr>
        <w:t xml:space="preserve"> = 69 L. Ed. </w:t>
      </w:r>
      <w:r w:rsidRPr="00DC39A8">
        <w:rPr>
          <w:lang w:val="en-US"/>
        </w:rPr>
        <w:t>1070, 1076</w:t>
      </w:r>
      <w:r>
        <w:rPr>
          <w:lang w:val="en-US"/>
        </w:rPr>
        <w:t xml:space="preserve"> = 1925 U.S. LEXIS </w:t>
      </w:r>
      <w:r w:rsidRPr="00DC39A8">
        <w:rPr>
          <w:lang w:val="en-US"/>
        </w:rPr>
        <w:t>589, 28</w:t>
      </w:r>
      <w:r>
        <w:rPr>
          <w:lang w:val="en-US"/>
        </w:rPr>
        <w:t>–</w:t>
      </w:r>
      <w:r w:rsidRPr="00DC39A8">
        <w:rPr>
          <w:lang w:val="en-US"/>
        </w:rPr>
        <w:t>29</w:t>
      </w:r>
      <w:r>
        <w:rPr>
          <w:lang w:val="en-US"/>
        </w:rPr>
        <w:t xml:space="preserve"> = 39 A.L.R</w:t>
      </w:r>
      <w:r w:rsidRPr="00DC39A8">
        <w:rPr>
          <w:lang w:val="en-US"/>
        </w:rPr>
        <w:t>. 468 (1925)</w:t>
      </w:r>
      <w:r>
        <w:rPr>
          <w:lang w:val="en-US"/>
        </w:rPr>
        <w:t>.</w:t>
      </w:r>
    </w:p>
  </w:footnote>
  <w:footnote w:id="1139">
    <w:p w14:paraId="5C1226A7" w14:textId="77777777" w:rsidR="00074551" w:rsidRPr="00A246D9" w:rsidRDefault="00074551" w:rsidP="00074551">
      <w:pPr>
        <w:pStyle w:val="Funotentext"/>
        <w:rPr>
          <w:lang w:val="en-US"/>
        </w:rPr>
      </w:pPr>
      <w:r>
        <w:rPr>
          <w:rStyle w:val="Funotenzeichen"/>
          <w:rFonts w:eastAsiaTheme="majorEastAsia"/>
        </w:rPr>
        <w:footnoteRef/>
      </w:r>
      <w:r w:rsidRPr="00A246D9">
        <w:rPr>
          <w:lang w:val="en-US"/>
        </w:rPr>
        <w:t xml:space="preserve"> </w:t>
      </w:r>
      <w:r w:rsidRPr="00B45592">
        <w:rPr>
          <w:i/>
          <w:lang w:val="en-US"/>
        </w:rPr>
        <w:t>Buchanan v. Warley</w:t>
      </w:r>
      <w:r w:rsidRPr="00A246D9">
        <w:rPr>
          <w:lang w:val="en-US"/>
        </w:rPr>
        <w:t xml:space="preserve">, 245 U.S. 60; </w:t>
      </w:r>
      <w:r w:rsidRPr="009E57E1">
        <w:rPr>
          <w:i/>
          <w:lang w:val="en-US"/>
        </w:rPr>
        <w:t>Meyer v. Nebraska</w:t>
      </w:r>
      <w:r w:rsidRPr="00A246D9">
        <w:rPr>
          <w:lang w:val="en-US"/>
        </w:rPr>
        <w:t xml:space="preserve">, 262 U.S. 390; </w:t>
      </w:r>
      <w:r w:rsidRPr="00B45592">
        <w:rPr>
          <w:i/>
          <w:lang w:val="en-US"/>
        </w:rPr>
        <w:t>Bartels v. Iowa</w:t>
      </w:r>
      <w:r w:rsidRPr="00A246D9">
        <w:rPr>
          <w:lang w:val="en-US"/>
        </w:rPr>
        <w:t>, 262 U.S. 404</w:t>
      </w:r>
      <w:r>
        <w:rPr>
          <w:lang w:val="en-US"/>
        </w:rPr>
        <w:t xml:space="preserve">; </w:t>
      </w:r>
      <w:r w:rsidRPr="00B45592">
        <w:rPr>
          <w:i/>
          <w:lang w:val="en-US"/>
        </w:rPr>
        <w:t>Pierce v. Soc’y of Sisters</w:t>
      </w:r>
      <w:r w:rsidRPr="00A246D9">
        <w:rPr>
          <w:lang w:val="en-US"/>
        </w:rPr>
        <w:t>, 268 U.S. 510, 529</w:t>
      </w:r>
      <w:r>
        <w:rPr>
          <w:lang w:val="en-US"/>
        </w:rPr>
        <w:t xml:space="preserve"> = 45 S. Ct. </w:t>
      </w:r>
      <w:r w:rsidRPr="00A246D9">
        <w:rPr>
          <w:lang w:val="en-US"/>
        </w:rPr>
        <w:t>571, 571</w:t>
      </w:r>
      <w:r>
        <w:rPr>
          <w:lang w:val="en-US"/>
        </w:rPr>
        <w:t xml:space="preserve"> = 69 L. Ed. </w:t>
      </w:r>
      <w:r w:rsidRPr="00A246D9">
        <w:rPr>
          <w:lang w:val="en-US"/>
        </w:rPr>
        <w:t>1070, 1076</w:t>
      </w:r>
      <w:r>
        <w:rPr>
          <w:lang w:val="en-US"/>
        </w:rPr>
        <w:t xml:space="preserve"> = 1925 U.S. LEXIS </w:t>
      </w:r>
      <w:r w:rsidRPr="00A246D9">
        <w:rPr>
          <w:lang w:val="en-US"/>
        </w:rPr>
        <w:t>589, 26</w:t>
      </w:r>
      <w:r>
        <w:rPr>
          <w:lang w:val="en-US"/>
        </w:rPr>
        <w:t xml:space="preserve"> = 39 A.L.R</w:t>
      </w:r>
      <w:r w:rsidRPr="00A246D9">
        <w:rPr>
          <w:lang w:val="en-US"/>
        </w:rPr>
        <w:t>. 468 (1925)</w:t>
      </w:r>
      <w:r>
        <w:rPr>
          <w:lang w:val="en-US"/>
        </w:rPr>
        <w:t>.</w:t>
      </w:r>
    </w:p>
  </w:footnote>
  <w:footnote w:id="1140">
    <w:p w14:paraId="3F61B3FA" w14:textId="77777777" w:rsidR="00074551" w:rsidRPr="00DA27FC" w:rsidRDefault="00074551" w:rsidP="00074551">
      <w:pPr>
        <w:pStyle w:val="Funotentext"/>
      </w:pPr>
      <w:r>
        <w:rPr>
          <w:rStyle w:val="Funotenzeichen"/>
          <w:rFonts w:eastAsiaTheme="majorEastAsia"/>
        </w:rPr>
        <w:footnoteRef/>
      </w:r>
      <w:r w:rsidRPr="00373AB2">
        <w:t xml:space="preserve"> </w:t>
      </w:r>
      <w:r w:rsidRPr="00DA27FC">
        <w:rPr>
          <w:i/>
        </w:rPr>
        <w:t>Meyer v. Nebraska</w:t>
      </w:r>
      <w:r w:rsidRPr="00DA27FC">
        <w:t>, 262 U.S. 390 (1923) am Anfang.</w:t>
      </w:r>
    </w:p>
  </w:footnote>
  <w:footnote w:id="1141">
    <w:p w14:paraId="22425976" w14:textId="77777777" w:rsidR="00074551" w:rsidRPr="00DA27FC" w:rsidRDefault="00074551" w:rsidP="00074551">
      <w:pPr>
        <w:pStyle w:val="Funotentext"/>
        <w:rPr>
          <w:lang w:val="en-IE"/>
        </w:rPr>
      </w:pPr>
      <w:r w:rsidRPr="00DA27FC">
        <w:rPr>
          <w:rStyle w:val="Funotenzeichen"/>
          <w:rFonts w:eastAsiaTheme="majorEastAsia"/>
        </w:rPr>
        <w:footnoteRef/>
      </w:r>
      <w:r w:rsidRPr="00DA27FC">
        <w:rPr>
          <w:lang w:val="en-IE"/>
        </w:rPr>
        <w:t xml:space="preserve"> </w:t>
      </w:r>
      <w:r w:rsidRPr="00DA27FC">
        <w:rPr>
          <w:i/>
          <w:lang w:val="en-IE"/>
        </w:rPr>
        <w:t>Slaughter-House Cases</w:t>
      </w:r>
      <w:r w:rsidRPr="00DA27FC">
        <w:rPr>
          <w:lang w:val="en-IE"/>
        </w:rPr>
        <w:t>, 83 U.S. 36 (1872).</w:t>
      </w:r>
    </w:p>
  </w:footnote>
  <w:footnote w:id="1142">
    <w:p w14:paraId="666EBCF6" w14:textId="77777777" w:rsidR="00074551" w:rsidRPr="00373AB2" w:rsidRDefault="00074551" w:rsidP="00074551">
      <w:pPr>
        <w:pStyle w:val="Funotentext"/>
        <w:rPr>
          <w:lang w:val="en-US"/>
        </w:rPr>
      </w:pPr>
      <w:r>
        <w:rPr>
          <w:rStyle w:val="Funotenzeichen"/>
          <w:rFonts w:eastAsiaTheme="majorEastAsia"/>
        </w:rPr>
        <w:footnoteRef/>
      </w:r>
      <w:r w:rsidRPr="00E05C4B">
        <w:rPr>
          <w:lang w:val="en-US"/>
        </w:rPr>
        <w:t xml:space="preserve"> </w:t>
      </w:r>
      <w:r w:rsidRPr="009167A5">
        <w:rPr>
          <w:i/>
          <w:lang w:val="en-US"/>
        </w:rPr>
        <w:t>Wash. v. Glucksberg</w:t>
      </w:r>
      <w:r w:rsidRPr="00E05C4B">
        <w:rPr>
          <w:lang w:val="en-US"/>
        </w:rPr>
        <w:t>, 521 U.S. 702, 761</w:t>
      </w:r>
      <w:r w:rsidRPr="006E67FE">
        <w:rPr>
          <w:lang w:val="en-US"/>
        </w:rPr>
        <w:t xml:space="preserve"> = 117 S. Ct. </w:t>
      </w:r>
      <w:r w:rsidRPr="00E05C4B">
        <w:rPr>
          <w:lang w:val="en-US"/>
        </w:rPr>
        <w:t>2258, 2280, 2280</w:t>
      </w:r>
      <w:r w:rsidRPr="006E67FE">
        <w:rPr>
          <w:lang w:val="en-US"/>
        </w:rPr>
        <w:t xml:space="preserve"> = 117 S. Ct. </w:t>
      </w:r>
      <w:r w:rsidRPr="00E05C4B">
        <w:rPr>
          <w:lang w:val="en-US"/>
        </w:rPr>
        <w:t>2302</w:t>
      </w:r>
      <w:r w:rsidRPr="006E67FE">
        <w:rPr>
          <w:lang w:val="en-US"/>
        </w:rPr>
        <w:t xml:space="preserve"> = 138 L. Ed. </w:t>
      </w:r>
      <w:r w:rsidRPr="00E05C4B">
        <w:rPr>
          <w:lang w:val="en-US"/>
        </w:rPr>
        <w:t>2d 772, 813</w:t>
      </w:r>
      <w:r w:rsidRPr="006E67FE">
        <w:rPr>
          <w:lang w:val="en-US"/>
        </w:rPr>
        <w:t xml:space="preserve"> = 1997 U.S. LEXIS </w:t>
      </w:r>
      <w:r w:rsidRPr="00E05C4B">
        <w:rPr>
          <w:lang w:val="en-US"/>
        </w:rPr>
        <w:t>4039, 100</w:t>
      </w:r>
      <w:r w:rsidRPr="006E67FE">
        <w:rPr>
          <w:lang w:val="en-US"/>
        </w:rPr>
        <w:t xml:space="preserve"> = 65 U.S.L.W. </w:t>
      </w:r>
      <w:r w:rsidRPr="00E05C4B">
        <w:rPr>
          <w:lang w:val="en-US"/>
        </w:rPr>
        <w:t>4669</w:t>
      </w:r>
      <w:r w:rsidRPr="006E67FE">
        <w:rPr>
          <w:lang w:val="en-US"/>
        </w:rPr>
        <w:t xml:space="preserve"> = 97 Cal. Daily Op. </w:t>
      </w:r>
      <w:r w:rsidRPr="005E037E">
        <w:rPr>
          <w:lang w:val="en-US"/>
        </w:rPr>
        <w:t>Service 5008</w:t>
      </w:r>
      <w:r w:rsidRPr="006E67FE">
        <w:rPr>
          <w:lang w:val="en-US"/>
        </w:rPr>
        <w:t xml:space="preserve"> = 97 Daily Journal </w:t>
      </w:r>
      <w:r w:rsidRPr="005E037E">
        <w:rPr>
          <w:lang w:val="en-US"/>
        </w:rPr>
        <w:t>DAR 8150</w:t>
      </w:r>
      <w:r w:rsidRPr="006E67FE">
        <w:rPr>
          <w:lang w:val="en-US"/>
        </w:rPr>
        <w:t xml:space="preserve"> = 11 Fla. L. Weekly </w:t>
      </w:r>
      <w:r w:rsidRPr="005E037E">
        <w:rPr>
          <w:lang w:val="en-US"/>
        </w:rPr>
        <w:t xml:space="preserve">Fed. </w:t>
      </w:r>
      <w:r w:rsidRPr="00373AB2">
        <w:rPr>
          <w:lang w:val="en-US"/>
        </w:rPr>
        <w:t>S 190 (1997)</w:t>
      </w:r>
      <w:r>
        <w:rPr>
          <w:lang w:val="en-US"/>
        </w:rPr>
        <w:t>.</w:t>
      </w:r>
    </w:p>
  </w:footnote>
  <w:footnote w:id="1143">
    <w:p w14:paraId="415412F1" w14:textId="77777777" w:rsidR="00074551" w:rsidRPr="00B81B50" w:rsidRDefault="00074551" w:rsidP="00074551">
      <w:pPr>
        <w:pStyle w:val="Funotentext"/>
        <w:rPr>
          <w:lang w:val="en-US"/>
        </w:rPr>
      </w:pPr>
      <w:r>
        <w:rPr>
          <w:rStyle w:val="Funotenzeichen"/>
          <w:rFonts w:eastAsiaTheme="majorEastAsia"/>
        </w:rPr>
        <w:footnoteRef/>
      </w:r>
      <w:r w:rsidRPr="00B45592">
        <w:rPr>
          <w:lang w:val="fr-FR"/>
        </w:rPr>
        <w:t xml:space="preserve"> </w:t>
      </w:r>
      <w:r w:rsidRPr="00B45592">
        <w:rPr>
          <w:i/>
          <w:lang w:val="fr-FR"/>
        </w:rPr>
        <w:t>Skinner v. Oklahoma</w:t>
      </w:r>
      <w:r w:rsidRPr="006820B8">
        <w:rPr>
          <w:i/>
          <w:lang w:val="fr-FR"/>
        </w:rPr>
        <w:t xml:space="preserve"> ex rel. </w:t>
      </w:r>
      <w:r w:rsidRPr="00B45592">
        <w:rPr>
          <w:i/>
          <w:lang w:val="en-IE"/>
        </w:rPr>
        <w:t>Williamson</w:t>
      </w:r>
      <w:r w:rsidRPr="00B81B50">
        <w:rPr>
          <w:lang w:val="en-US"/>
        </w:rPr>
        <w:t>, 316 U.S. 535 (1942</w:t>
      </w:r>
      <w:proofErr w:type="gramStart"/>
      <w:r w:rsidRPr="00B81B50">
        <w:rPr>
          <w:lang w:val="en-US"/>
        </w:rPr>
        <w:t>)</w:t>
      </w:r>
      <w:r>
        <w:rPr>
          <w:lang w:val="en-US"/>
        </w:rPr>
        <w:t>;</w:t>
      </w:r>
      <w:proofErr w:type="gramEnd"/>
      <w:r>
        <w:rPr>
          <w:lang w:val="en-US"/>
        </w:rPr>
        <w:t xml:space="preserve"> </w:t>
      </w:r>
      <w:r w:rsidRPr="009167A5">
        <w:rPr>
          <w:i/>
          <w:lang w:val="en-US"/>
        </w:rPr>
        <w:t>Wash. v. Glucksberg</w:t>
      </w:r>
      <w:r w:rsidRPr="00B81B50">
        <w:rPr>
          <w:lang w:val="en-US"/>
        </w:rPr>
        <w:t>, 521 U.S. 702, 762</w:t>
      </w:r>
      <w:r w:rsidRPr="006E67FE">
        <w:rPr>
          <w:lang w:val="en-US"/>
        </w:rPr>
        <w:t xml:space="preserve"> = 117 S. Ct. </w:t>
      </w:r>
      <w:r w:rsidRPr="00B81B50">
        <w:rPr>
          <w:lang w:val="en-US"/>
        </w:rPr>
        <w:t>2258, 2280, 2280</w:t>
      </w:r>
      <w:r w:rsidRPr="006E67FE">
        <w:rPr>
          <w:lang w:val="en-US"/>
        </w:rPr>
        <w:t xml:space="preserve"> = 117 S. Ct. </w:t>
      </w:r>
      <w:r w:rsidRPr="00B81B50">
        <w:rPr>
          <w:lang w:val="en-US"/>
        </w:rPr>
        <w:t>2302</w:t>
      </w:r>
      <w:r w:rsidRPr="006E67FE">
        <w:rPr>
          <w:lang w:val="en-US"/>
        </w:rPr>
        <w:t xml:space="preserve"> = 138 L. Ed. </w:t>
      </w:r>
      <w:r w:rsidRPr="00B81B50">
        <w:rPr>
          <w:lang w:val="en-US"/>
        </w:rPr>
        <w:t>2d 772, 814</w:t>
      </w:r>
      <w:r w:rsidRPr="006E67FE">
        <w:rPr>
          <w:lang w:val="en-US"/>
        </w:rPr>
        <w:t xml:space="preserve"> = 1997 U.S. LEXIS </w:t>
      </w:r>
      <w:r w:rsidRPr="00B81B50">
        <w:rPr>
          <w:lang w:val="en-US"/>
        </w:rPr>
        <w:t>4039, 102</w:t>
      </w:r>
      <w:r w:rsidRPr="006E67FE">
        <w:rPr>
          <w:lang w:val="en-US"/>
        </w:rPr>
        <w:t xml:space="preserve"> = 65 U.S.L.W. </w:t>
      </w:r>
      <w:r w:rsidRPr="00B81B50">
        <w:rPr>
          <w:lang w:val="en-US"/>
        </w:rPr>
        <w:t>4669</w:t>
      </w:r>
      <w:r w:rsidRPr="006E67FE">
        <w:rPr>
          <w:lang w:val="en-US"/>
        </w:rPr>
        <w:t xml:space="preserve"> = 97 Cal. Daily Op. </w:t>
      </w:r>
      <w:r w:rsidRPr="00B81B50">
        <w:rPr>
          <w:lang w:val="en-US"/>
        </w:rPr>
        <w:t>Service 5008</w:t>
      </w:r>
      <w:r w:rsidRPr="006E67FE">
        <w:rPr>
          <w:lang w:val="en-US"/>
        </w:rPr>
        <w:t xml:space="preserve"> = 97 Daily Journal </w:t>
      </w:r>
      <w:r w:rsidRPr="00B81B50">
        <w:rPr>
          <w:lang w:val="en-US"/>
        </w:rPr>
        <w:t>DAR 8150</w:t>
      </w:r>
      <w:r w:rsidRPr="006E67FE">
        <w:rPr>
          <w:lang w:val="en-US"/>
        </w:rPr>
        <w:t xml:space="preserve"> = 11 Fla. L. Weekly </w:t>
      </w:r>
      <w:r w:rsidRPr="00B81B50">
        <w:rPr>
          <w:lang w:val="en-US"/>
        </w:rPr>
        <w:t>Fed. S 190 (1997)</w:t>
      </w:r>
      <w:r>
        <w:rPr>
          <w:lang w:val="en-US"/>
        </w:rPr>
        <w:t>.</w:t>
      </w:r>
    </w:p>
  </w:footnote>
  <w:footnote w:id="1144">
    <w:p w14:paraId="51677EC4" w14:textId="77777777" w:rsidR="00074551" w:rsidRPr="00B81B50" w:rsidRDefault="00074551" w:rsidP="00074551">
      <w:pPr>
        <w:pStyle w:val="Funotentext"/>
        <w:rPr>
          <w:lang w:val="en-US"/>
        </w:rPr>
      </w:pPr>
      <w:r>
        <w:rPr>
          <w:rStyle w:val="Funotenzeichen"/>
          <w:rFonts w:eastAsiaTheme="majorEastAsia"/>
        </w:rPr>
        <w:footnoteRef/>
      </w:r>
      <w:r w:rsidRPr="00B45592">
        <w:rPr>
          <w:lang w:val="fr-FR"/>
        </w:rPr>
        <w:t xml:space="preserve"> </w:t>
      </w:r>
      <w:r w:rsidRPr="00B45592">
        <w:rPr>
          <w:i/>
          <w:lang w:val="fr-FR"/>
        </w:rPr>
        <w:t>Skinner v. Oklahoma</w:t>
      </w:r>
      <w:r w:rsidRPr="006820B8">
        <w:rPr>
          <w:i/>
          <w:lang w:val="fr-FR"/>
        </w:rPr>
        <w:t xml:space="preserve"> ex rel. </w:t>
      </w:r>
      <w:r w:rsidRPr="00B45592">
        <w:rPr>
          <w:i/>
          <w:lang w:val="en-IE"/>
        </w:rPr>
        <w:t>Williamson</w:t>
      </w:r>
      <w:r w:rsidRPr="00B81B50">
        <w:rPr>
          <w:lang w:val="en-US"/>
        </w:rPr>
        <w:t>, 316 U.S. 535 (1942</w:t>
      </w:r>
      <w:proofErr w:type="gramStart"/>
      <w:r w:rsidRPr="00B81B50">
        <w:rPr>
          <w:lang w:val="en-US"/>
        </w:rPr>
        <w:t>)</w:t>
      </w:r>
      <w:r>
        <w:rPr>
          <w:lang w:val="en-US"/>
        </w:rPr>
        <w:t>;</w:t>
      </w:r>
      <w:proofErr w:type="gramEnd"/>
      <w:r>
        <w:rPr>
          <w:lang w:val="en-US"/>
        </w:rPr>
        <w:t xml:space="preserve"> </w:t>
      </w:r>
      <w:r w:rsidRPr="009167A5">
        <w:rPr>
          <w:i/>
          <w:lang w:val="en-US"/>
        </w:rPr>
        <w:t>Wash. v. Glucksberg</w:t>
      </w:r>
      <w:r w:rsidRPr="00B81B50">
        <w:rPr>
          <w:lang w:val="en-US"/>
        </w:rPr>
        <w:t>, 521 U.S. 702, 762</w:t>
      </w:r>
      <w:r w:rsidRPr="006E67FE">
        <w:rPr>
          <w:lang w:val="en-US"/>
        </w:rPr>
        <w:t xml:space="preserve"> = 117 S. Ct. </w:t>
      </w:r>
      <w:r w:rsidRPr="00B81B50">
        <w:rPr>
          <w:lang w:val="en-US"/>
        </w:rPr>
        <w:t>2258, 2280, 2280</w:t>
      </w:r>
      <w:r w:rsidRPr="006E67FE">
        <w:rPr>
          <w:lang w:val="en-US"/>
        </w:rPr>
        <w:t xml:space="preserve"> = 117 S. Ct. </w:t>
      </w:r>
      <w:r w:rsidRPr="00B81B50">
        <w:rPr>
          <w:lang w:val="en-US"/>
        </w:rPr>
        <w:t>2302</w:t>
      </w:r>
      <w:r w:rsidRPr="006E67FE">
        <w:rPr>
          <w:lang w:val="en-US"/>
        </w:rPr>
        <w:t xml:space="preserve"> = 138 L. Ed. </w:t>
      </w:r>
      <w:r w:rsidRPr="00B81B50">
        <w:rPr>
          <w:lang w:val="en-US"/>
        </w:rPr>
        <w:t>2d 772, 814</w:t>
      </w:r>
      <w:r w:rsidRPr="006E67FE">
        <w:rPr>
          <w:lang w:val="en-US"/>
        </w:rPr>
        <w:t xml:space="preserve"> = 1997 U.S. LEXIS </w:t>
      </w:r>
      <w:r w:rsidRPr="00B81B50">
        <w:rPr>
          <w:lang w:val="en-US"/>
        </w:rPr>
        <w:t>4039, 102</w:t>
      </w:r>
      <w:r w:rsidRPr="006E67FE">
        <w:rPr>
          <w:lang w:val="en-US"/>
        </w:rPr>
        <w:t xml:space="preserve"> = 65 U.S.L.W. </w:t>
      </w:r>
      <w:r w:rsidRPr="00B81B50">
        <w:rPr>
          <w:lang w:val="en-US"/>
        </w:rPr>
        <w:t>4669</w:t>
      </w:r>
      <w:r w:rsidRPr="006E67FE">
        <w:rPr>
          <w:lang w:val="en-US"/>
        </w:rPr>
        <w:t xml:space="preserve"> = 97 Cal. Daily Op. </w:t>
      </w:r>
      <w:r w:rsidRPr="00B81B50">
        <w:rPr>
          <w:lang w:val="en-US"/>
        </w:rPr>
        <w:t>Service 5008</w:t>
      </w:r>
      <w:r w:rsidRPr="006E67FE">
        <w:rPr>
          <w:lang w:val="en-US"/>
        </w:rPr>
        <w:t xml:space="preserve"> = 97 Daily Journal </w:t>
      </w:r>
      <w:r w:rsidRPr="00B81B50">
        <w:rPr>
          <w:lang w:val="en-US"/>
        </w:rPr>
        <w:t>DAR 8150</w:t>
      </w:r>
      <w:r w:rsidRPr="006E67FE">
        <w:rPr>
          <w:lang w:val="en-US"/>
        </w:rPr>
        <w:t xml:space="preserve"> = 11 Fla. L. Weekly </w:t>
      </w:r>
      <w:r w:rsidRPr="00B81B50">
        <w:rPr>
          <w:lang w:val="en-US"/>
        </w:rPr>
        <w:t>Fed. S 190 (1997)</w:t>
      </w:r>
      <w:r>
        <w:rPr>
          <w:lang w:val="en-US"/>
        </w:rPr>
        <w:t>.</w:t>
      </w:r>
    </w:p>
  </w:footnote>
  <w:footnote w:id="1145">
    <w:p w14:paraId="0A770F88" w14:textId="77777777" w:rsidR="00074551" w:rsidRPr="00373AB2" w:rsidRDefault="00074551" w:rsidP="00074551">
      <w:pPr>
        <w:pStyle w:val="Funotentext"/>
        <w:rPr>
          <w:lang w:val="en-US"/>
        </w:rPr>
      </w:pPr>
      <w:r>
        <w:rPr>
          <w:rStyle w:val="Funotenzeichen"/>
          <w:rFonts w:eastAsiaTheme="majorEastAsia"/>
        </w:rPr>
        <w:footnoteRef/>
      </w:r>
      <w:r w:rsidRPr="00373AB2">
        <w:rPr>
          <w:lang w:val="en-US"/>
        </w:rPr>
        <w:t xml:space="preserve"> </w:t>
      </w:r>
      <w:r w:rsidRPr="009167A5">
        <w:rPr>
          <w:i/>
          <w:lang w:val="en-US"/>
        </w:rPr>
        <w:t>Pierce v. Society of Sisters</w:t>
      </w:r>
      <w:r w:rsidRPr="00373AB2">
        <w:rPr>
          <w:lang w:val="en-US"/>
        </w:rPr>
        <w:t>, 268 U.S. 510, 534</w:t>
      </w:r>
      <w:r>
        <w:rPr>
          <w:lang w:val="en-US"/>
        </w:rPr>
        <w:t>–</w:t>
      </w:r>
      <w:r w:rsidRPr="00373AB2">
        <w:rPr>
          <w:lang w:val="en-US"/>
        </w:rPr>
        <w:t>536 (1925)</w:t>
      </w:r>
      <w:r>
        <w:rPr>
          <w:lang w:val="en-US"/>
        </w:rPr>
        <w:t xml:space="preserve">; </w:t>
      </w:r>
      <w:r w:rsidRPr="00B45592">
        <w:rPr>
          <w:i/>
          <w:lang w:val="en-US"/>
        </w:rPr>
        <w:t>Palko v. Connecticut</w:t>
      </w:r>
      <w:r w:rsidRPr="00373AB2">
        <w:rPr>
          <w:lang w:val="en-US"/>
        </w:rPr>
        <w:t>, 302 U.S. 319, 327</w:t>
      </w:r>
      <w:r>
        <w:rPr>
          <w:lang w:val="en-US"/>
        </w:rPr>
        <w:t>–328</w:t>
      </w:r>
      <w:r w:rsidRPr="00373AB2">
        <w:rPr>
          <w:lang w:val="en-US"/>
        </w:rPr>
        <w:t xml:space="preserve"> (1937)</w:t>
      </w:r>
      <w:r>
        <w:rPr>
          <w:lang w:val="en-US"/>
        </w:rPr>
        <w:t>.</w:t>
      </w:r>
    </w:p>
  </w:footnote>
  <w:footnote w:id="1146">
    <w:p w14:paraId="149B7E38" w14:textId="77777777" w:rsidR="00074551" w:rsidRPr="00B81B50" w:rsidRDefault="00074551" w:rsidP="00074551">
      <w:pPr>
        <w:pStyle w:val="Funotentext"/>
        <w:rPr>
          <w:lang w:val="en-US"/>
        </w:rPr>
      </w:pPr>
      <w:r>
        <w:rPr>
          <w:rStyle w:val="Funotenzeichen"/>
          <w:rFonts w:eastAsiaTheme="majorEastAsia"/>
        </w:rPr>
        <w:footnoteRef/>
      </w:r>
      <w:r>
        <w:rPr>
          <w:lang w:val="fr-FR"/>
        </w:rPr>
        <w:t xml:space="preserve"> </w:t>
      </w:r>
      <w:r w:rsidRPr="009572B5">
        <w:rPr>
          <w:i/>
          <w:lang w:val="fr-FR"/>
        </w:rPr>
        <w:t>Skinner v. Oklahoma</w:t>
      </w:r>
      <w:r w:rsidRPr="009167A5">
        <w:rPr>
          <w:i/>
          <w:lang w:val="fr-FR"/>
        </w:rPr>
        <w:t xml:space="preserve"> ex rel. </w:t>
      </w:r>
      <w:r w:rsidRPr="00B45592">
        <w:rPr>
          <w:i/>
          <w:lang w:val="en-IE"/>
        </w:rPr>
        <w:t>Williamson</w:t>
      </w:r>
      <w:r w:rsidRPr="00B81B50">
        <w:rPr>
          <w:lang w:val="en-US"/>
        </w:rPr>
        <w:t>, 316 U.S. 535 (1942),</w:t>
      </w:r>
      <w:r>
        <w:rPr>
          <w:lang w:val="en-US"/>
        </w:rPr>
        <w:t xml:space="preserve"> </w:t>
      </w:r>
      <w:r w:rsidRPr="009167A5">
        <w:rPr>
          <w:i/>
          <w:lang w:val="en-US"/>
        </w:rPr>
        <w:t>Wash. v. Glucksberg</w:t>
      </w:r>
      <w:r w:rsidRPr="00B81B50">
        <w:rPr>
          <w:lang w:val="en-US"/>
        </w:rPr>
        <w:t>, 521 U.S. 702, 762</w:t>
      </w:r>
      <w:r w:rsidRPr="006E67FE">
        <w:rPr>
          <w:lang w:val="en-US"/>
        </w:rPr>
        <w:t xml:space="preserve"> = 117 S. Ct. </w:t>
      </w:r>
      <w:r w:rsidRPr="00B81B50">
        <w:rPr>
          <w:lang w:val="en-US"/>
        </w:rPr>
        <w:t>2258, 2280, 2280</w:t>
      </w:r>
      <w:r w:rsidRPr="006E67FE">
        <w:rPr>
          <w:lang w:val="en-US"/>
        </w:rPr>
        <w:t xml:space="preserve"> = 117 S. Ct. </w:t>
      </w:r>
      <w:r w:rsidRPr="00B81B50">
        <w:rPr>
          <w:lang w:val="en-US"/>
        </w:rPr>
        <w:t>2302</w:t>
      </w:r>
      <w:r w:rsidRPr="006E67FE">
        <w:rPr>
          <w:lang w:val="en-US"/>
        </w:rPr>
        <w:t xml:space="preserve"> = 138 L. Ed. </w:t>
      </w:r>
      <w:r w:rsidRPr="00B81B50">
        <w:rPr>
          <w:lang w:val="en-US"/>
        </w:rPr>
        <w:t>2d 772, 814</w:t>
      </w:r>
      <w:r w:rsidRPr="006E67FE">
        <w:rPr>
          <w:lang w:val="en-US"/>
        </w:rPr>
        <w:t xml:space="preserve"> = 1997 U.S. LEXIS </w:t>
      </w:r>
      <w:r w:rsidRPr="00B81B50">
        <w:rPr>
          <w:lang w:val="en-US"/>
        </w:rPr>
        <w:t>4039, 102</w:t>
      </w:r>
      <w:r w:rsidRPr="006E67FE">
        <w:rPr>
          <w:lang w:val="en-US"/>
        </w:rPr>
        <w:t xml:space="preserve"> = 65 U.S.L.W. </w:t>
      </w:r>
      <w:r w:rsidRPr="00B81B50">
        <w:rPr>
          <w:lang w:val="en-US"/>
        </w:rPr>
        <w:t>4669</w:t>
      </w:r>
      <w:r w:rsidRPr="006E67FE">
        <w:rPr>
          <w:lang w:val="en-US"/>
        </w:rPr>
        <w:t xml:space="preserve"> = 97 Cal. Daily Op. </w:t>
      </w:r>
      <w:r w:rsidRPr="00B81B50">
        <w:rPr>
          <w:lang w:val="en-US"/>
        </w:rPr>
        <w:t>Service 5008</w:t>
      </w:r>
      <w:r w:rsidRPr="006E67FE">
        <w:rPr>
          <w:lang w:val="en-US"/>
        </w:rPr>
        <w:t xml:space="preserve"> = 97 Daily Journal </w:t>
      </w:r>
      <w:r w:rsidRPr="00B81B50">
        <w:rPr>
          <w:lang w:val="en-US"/>
        </w:rPr>
        <w:t>DAR 8150</w:t>
      </w:r>
      <w:r w:rsidRPr="006E67FE">
        <w:rPr>
          <w:lang w:val="en-US"/>
        </w:rPr>
        <w:t xml:space="preserve"> = 11 Fla. L. Weekly </w:t>
      </w:r>
      <w:r w:rsidRPr="00B81B50">
        <w:rPr>
          <w:lang w:val="en-US"/>
        </w:rPr>
        <w:t>Fed. S 190 (1997)</w:t>
      </w:r>
      <w:r>
        <w:rPr>
          <w:lang w:val="en-US"/>
        </w:rPr>
        <w:t>.</w:t>
      </w:r>
    </w:p>
  </w:footnote>
  <w:footnote w:id="1147">
    <w:p w14:paraId="2C45EB75" w14:textId="77777777" w:rsidR="00074551" w:rsidRPr="004135AD" w:rsidRDefault="00074551" w:rsidP="00074551">
      <w:pPr>
        <w:pStyle w:val="Funotentext"/>
        <w:rPr>
          <w:lang w:val="en-US"/>
        </w:rPr>
      </w:pPr>
      <w:r>
        <w:rPr>
          <w:rStyle w:val="Funotenzeichen"/>
          <w:rFonts w:eastAsiaTheme="majorEastAsia"/>
        </w:rPr>
        <w:footnoteRef/>
      </w:r>
      <w:r w:rsidRPr="001F12F6">
        <w:rPr>
          <w:lang w:val="en-US"/>
        </w:rPr>
        <w:t xml:space="preserve"> </w:t>
      </w:r>
      <w:r w:rsidRPr="009167A5">
        <w:rPr>
          <w:i/>
          <w:lang w:val="en-US"/>
        </w:rPr>
        <w:t>Wash. v. Glucksberg</w:t>
      </w:r>
      <w:r w:rsidRPr="001F12F6">
        <w:rPr>
          <w:lang w:val="en-US"/>
        </w:rPr>
        <w:t>, 521 U.S. 702, 762</w:t>
      </w:r>
      <w:r w:rsidRPr="006E67FE">
        <w:rPr>
          <w:lang w:val="en-US"/>
        </w:rPr>
        <w:t xml:space="preserve"> = 117 S. Ct. </w:t>
      </w:r>
      <w:r w:rsidRPr="001F12F6">
        <w:rPr>
          <w:lang w:val="en-US"/>
        </w:rPr>
        <w:t>2258, 2280, 2280</w:t>
      </w:r>
      <w:r w:rsidRPr="006E67FE">
        <w:rPr>
          <w:lang w:val="en-US"/>
        </w:rPr>
        <w:t xml:space="preserve"> = 117 S. Ct. </w:t>
      </w:r>
      <w:r w:rsidRPr="001F12F6">
        <w:rPr>
          <w:lang w:val="en-US"/>
        </w:rPr>
        <w:t>2302</w:t>
      </w:r>
      <w:r w:rsidRPr="006E67FE">
        <w:rPr>
          <w:lang w:val="en-US"/>
        </w:rPr>
        <w:t xml:space="preserve"> = 138 L. Ed. </w:t>
      </w:r>
      <w:r w:rsidRPr="001F12F6">
        <w:rPr>
          <w:lang w:val="en-US"/>
        </w:rPr>
        <w:t>2d 772, 814</w:t>
      </w:r>
      <w:r w:rsidRPr="006E67FE">
        <w:rPr>
          <w:lang w:val="en-US"/>
        </w:rPr>
        <w:t xml:space="preserve"> = 1997 U.S. LEXIS </w:t>
      </w:r>
      <w:r w:rsidRPr="001F12F6">
        <w:rPr>
          <w:lang w:val="en-US"/>
        </w:rPr>
        <w:t>4039, 101</w:t>
      </w:r>
      <w:r w:rsidRPr="006E67FE">
        <w:rPr>
          <w:lang w:val="en-US"/>
        </w:rPr>
        <w:t xml:space="preserve"> = 65 U.S.L.W. </w:t>
      </w:r>
      <w:r w:rsidRPr="001F12F6">
        <w:rPr>
          <w:lang w:val="en-US"/>
        </w:rPr>
        <w:t>4669</w:t>
      </w:r>
      <w:r w:rsidRPr="006E67FE">
        <w:rPr>
          <w:lang w:val="en-US"/>
        </w:rPr>
        <w:t xml:space="preserve"> = 97 Cal. Daily Op. </w:t>
      </w:r>
      <w:r w:rsidRPr="001F12F6">
        <w:rPr>
          <w:lang w:val="en-US"/>
        </w:rPr>
        <w:t>Service 5008</w:t>
      </w:r>
      <w:r w:rsidRPr="006E67FE">
        <w:rPr>
          <w:lang w:val="en-US"/>
        </w:rPr>
        <w:t xml:space="preserve"> = 97 Daily Journal </w:t>
      </w:r>
      <w:r w:rsidRPr="001F12F6">
        <w:rPr>
          <w:lang w:val="en-US"/>
        </w:rPr>
        <w:t>DAR 8150</w:t>
      </w:r>
      <w:r w:rsidRPr="006E67FE">
        <w:rPr>
          <w:lang w:val="en-US"/>
        </w:rPr>
        <w:t xml:space="preserve"> = 11 Fla. L. Weekly </w:t>
      </w:r>
      <w:r w:rsidRPr="001F12F6">
        <w:rPr>
          <w:lang w:val="en-US"/>
        </w:rPr>
        <w:t xml:space="preserve">Fed. </w:t>
      </w:r>
      <w:r w:rsidRPr="004135AD">
        <w:rPr>
          <w:lang w:val="en-US"/>
        </w:rPr>
        <w:t>S 190 (1997).</w:t>
      </w:r>
    </w:p>
  </w:footnote>
  <w:footnote w:id="1148">
    <w:p w14:paraId="1166BB6D" w14:textId="3DD3E7FA" w:rsidR="00074551" w:rsidRPr="0095137C" w:rsidRDefault="00074551" w:rsidP="00074551">
      <w:pPr>
        <w:pStyle w:val="Funotentext"/>
        <w:rPr>
          <w:lang w:val="en-US"/>
        </w:rPr>
      </w:pPr>
      <w:r w:rsidRPr="5B67C1D2">
        <w:rPr>
          <w:rStyle w:val="Funotenzeichen"/>
          <w:rFonts w:eastAsiaTheme="majorEastAsia"/>
        </w:rPr>
        <w:footnoteRef/>
      </w:r>
      <w:r w:rsidR="5B67C1D2">
        <w:rPr>
          <w:lang w:val="en-US"/>
        </w:rPr>
        <w:t xml:space="preserve"> </w:t>
      </w:r>
      <w:r w:rsidR="5B67C1D2" w:rsidRPr="5B67C1D2">
        <w:rPr>
          <w:i/>
          <w:iCs/>
          <w:lang w:val="en-US"/>
        </w:rPr>
        <w:t>Wash. v. Glucksberg</w:t>
      </w:r>
      <w:r w:rsidR="5B67C1D2" w:rsidRPr="5B67C1D2">
        <w:rPr>
          <w:lang w:val="en-US"/>
        </w:rPr>
        <w:t xml:space="preserve">, 521 U.S. 702, 763 = 117 S. Ct. 2258, 2280, 2280 = 117 S. Ct. 2302 = 138 L. Ed. 2d 772, 814 = 1997 U.S. LEXIS 4039, 101 = 65 U.S.L.W. 4669 = 97 Cal. Daily Op. Service 5008 = 97 Daily Journal DAR 8150 = 11 Fla. L. Weekly Fed. S 190 (1997), </w:t>
      </w:r>
      <w:r w:rsidR="5B67C1D2" w:rsidRPr="5B67C1D2">
        <w:rPr>
          <w:i/>
          <w:iCs/>
          <w:lang w:val="en-US"/>
        </w:rPr>
        <w:t>Bolling v. Sharpe</w:t>
      </w:r>
      <w:r w:rsidR="5B67C1D2" w:rsidRPr="5B67C1D2">
        <w:rPr>
          <w:lang w:val="en-US"/>
        </w:rPr>
        <w:t>, 347 U.S. 497, 500 (1954).</w:t>
      </w:r>
    </w:p>
  </w:footnote>
  <w:footnote w:id="1149">
    <w:p w14:paraId="2D3108DC" w14:textId="25189C2F" w:rsidR="00074551" w:rsidRPr="0095137C" w:rsidRDefault="00074551" w:rsidP="00074551">
      <w:pPr>
        <w:pStyle w:val="Funotentext"/>
        <w:jc w:val="both"/>
        <w:rPr>
          <w:lang w:val="en-US"/>
        </w:rPr>
      </w:pPr>
      <w:r w:rsidRPr="5B67C1D2">
        <w:rPr>
          <w:rStyle w:val="Funotenzeichen"/>
          <w:rFonts w:eastAsiaTheme="majorEastAsia"/>
        </w:rPr>
        <w:footnoteRef/>
      </w:r>
      <w:r w:rsidR="5B67C1D2" w:rsidRPr="0095137C">
        <w:rPr>
          <w:lang w:val="en-US"/>
        </w:rPr>
        <w:t xml:space="preserve"> </w:t>
      </w:r>
      <w:r w:rsidR="5B67C1D2" w:rsidRPr="5B67C1D2">
        <w:rPr>
          <w:i/>
          <w:iCs/>
          <w:lang w:val="en-US"/>
        </w:rPr>
        <w:t>Wash. v. Glucksberg</w:t>
      </w:r>
      <w:r w:rsidR="5B67C1D2" w:rsidRPr="5B67C1D2">
        <w:rPr>
          <w:lang w:val="en-US"/>
        </w:rPr>
        <w:t xml:space="preserve">, 521 U.S. 702, 763 = 117 S. Ct. 2258, 2280, 2280 = 117 S. Ct. 2302 = 138 L. Ed. 2d 772, 814 = 1997 U.S. LEXIS 4039, 101 = 65 U.S.L.W. 4669 = 97 Cal. Daily Op. Service 5008 = 97 Daily Journal DAR 8150 = 11 Fla. L. Weekly Fed. S 190 (1997), </w:t>
      </w:r>
      <w:r w:rsidR="5B67C1D2" w:rsidRPr="5B67C1D2">
        <w:rPr>
          <w:i/>
          <w:iCs/>
          <w:lang w:val="en-US"/>
        </w:rPr>
        <w:t>Loving v. Virginia</w:t>
      </w:r>
      <w:r w:rsidR="5B67C1D2" w:rsidRPr="5B67C1D2">
        <w:rPr>
          <w:lang w:val="en-US"/>
        </w:rPr>
        <w:t>, 388 U.S. 1, 12 (1967).</w:t>
      </w:r>
    </w:p>
  </w:footnote>
  <w:footnote w:id="1150">
    <w:p w14:paraId="4D2DA59B" w14:textId="4749234F" w:rsidR="00074551" w:rsidRPr="0095137C" w:rsidRDefault="00074551" w:rsidP="00074551">
      <w:pPr>
        <w:pStyle w:val="Funotentext"/>
        <w:rPr>
          <w:lang w:val="en-US"/>
        </w:rPr>
      </w:pPr>
      <w:r w:rsidRPr="5B67C1D2">
        <w:rPr>
          <w:rStyle w:val="Funotenzeichen"/>
          <w:rFonts w:eastAsiaTheme="majorEastAsia"/>
        </w:rPr>
        <w:footnoteRef/>
      </w:r>
      <w:r w:rsidR="5B67C1D2" w:rsidRPr="0095137C">
        <w:rPr>
          <w:lang w:val="en-US"/>
        </w:rPr>
        <w:t xml:space="preserve"> </w:t>
      </w:r>
      <w:r w:rsidR="5B67C1D2" w:rsidRPr="5B67C1D2">
        <w:rPr>
          <w:i/>
          <w:iCs/>
          <w:lang w:val="en-US"/>
        </w:rPr>
        <w:t>Wash. v. Glucksberg</w:t>
      </w:r>
      <w:r w:rsidR="5B67C1D2" w:rsidRPr="5B67C1D2">
        <w:rPr>
          <w:lang w:val="en-US"/>
        </w:rPr>
        <w:t xml:space="preserve">, 521 U.S. 702, 763 = 117 S. Ct. 2258, 2280, 2280 = 117 S. Ct. 2302 = 138 L. Ed. 2d 772, 814 = 1997 U.S. LEXIS 4039, 101 = 65 U.S.L.W. 4669 = 97 Cal. Daily Op. Service 5008 = 97 Daily Journal DAR 8150 = 11 Fla. L. Weekly Fed. S 190 (1997), </w:t>
      </w:r>
      <w:r w:rsidR="5B67C1D2" w:rsidRPr="5B67C1D2">
        <w:rPr>
          <w:i/>
          <w:iCs/>
          <w:lang w:val="en-US"/>
        </w:rPr>
        <w:t>Carey v. Population Services Int’l</w:t>
      </w:r>
      <w:r w:rsidR="5B67C1D2" w:rsidRPr="5B67C1D2">
        <w:rPr>
          <w:lang w:val="en-US"/>
        </w:rPr>
        <w:t>, 431 U.S. 678, 684–691 (1977);</w:t>
      </w:r>
      <w:r w:rsidR="5B67C1D2" w:rsidRPr="5B67C1D2">
        <w:rPr>
          <w:i/>
          <w:iCs/>
          <w:lang w:val="en-US"/>
        </w:rPr>
        <w:t xml:space="preserve"> Griswold v. Connecticut</w:t>
      </w:r>
      <w:r w:rsidR="5B67C1D2" w:rsidRPr="5B67C1D2">
        <w:rPr>
          <w:lang w:val="en-US"/>
        </w:rPr>
        <w:t>, 381 U.S. 479, 481–486 (1965).</w:t>
      </w:r>
    </w:p>
  </w:footnote>
  <w:footnote w:id="1151">
    <w:p w14:paraId="6B37024C" w14:textId="627FAA22" w:rsidR="00074551" w:rsidRPr="00B45592" w:rsidRDefault="00074551" w:rsidP="00074551">
      <w:pPr>
        <w:pStyle w:val="Funotentext"/>
      </w:pPr>
      <w:r w:rsidRPr="5B67C1D2">
        <w:rPr>
          <w:rStyle w:val="Funotenzeichen"/>
          <w:rFonts w:eastAsiaTheme="majorEastAsia"/>
        </w:rPr>
        <w:footnoteRef/>
      </w:r>
      <w:r w:rsidR="5B67C1D2" w:rsidRPr="006F4315">
        <w:rPr>
          <w:lang w:val="en-US"/>
        </w:rPr>
        <w:t xml:space="preserve"> </w:t>
      </w:r>
      <w:r w:rsidR="5B67C1D2" w:rsidRPr="5B67C1D2">
        <w:rPr>
          <w:i/>
          <w:iCs/>
          <w:lang w:val="en-US"/>
        </w:rPr>
        <w:t>Wash. v. Glucksberg</w:t>
      </w:r>
      <w:r w:rsidR="5B67C1D2" w:rsidRPr="5B67C1D2">
        <w:rPr>
          <w:lang w:val="en-US"/>
        </w:rPr>
        <w:t xml:space="preserve">, 521 U.S. 702, 763 = 117 S. Ct. 2258, 2280, 2280 = 117 S. Ct. 2302 = 138 L. Ed. 2d 772, 814 = 1997 U.S. LEXIS 4039, 101 = 65 U.S.L.W. 4669 = 97 Cal. Daily Op. Service 5008 = 97 Daily Journal DAR 8150 = 11 Fla. L. Weekly Fed. S 190 (1997), </w:t>
      </w:r>
      <w:proofErr w:type="spellStart"/>
      <w:r w:rsidR="5B67C1D2" w:rsidRPr="5B67C1D2">
        <w:rPr>
          <w:i/>
          <w:iCs/>
        </w:rPr>
        <w:t>Pa</w:t>
      </w:r>
      <w:proofErr w:type="spellEnd"/>
      <w:r w:rsidR="5B67C1D2" w:rsidRPr="5B67C1D2">
        <w:rPr>
          <w:i/>
          <w:iCs/>
        </w:rPr>
        <w:t>. v. Casey</w:t>
      </w:r>
      <w:r w:rsidR="5B67C1D2">
        <w:t xml:space="preserve">, 505 U.S. 833, 849, 869–879 (1992) (gemeinsame Meinung der Richter </w:t>
      </w:r>
      <w:r w:rsidR="5B67C1D2" w:rsidRPr="5B67C1D2">
        <w:rPr>
          <w:i/>
          <w:iCs/>
        </w:rPr>
        <w:t>O’Connor</w:t>
      </w:r>
      <w:r w:rsidR="5B67C1D2">
        <w:t xml:space="preserve">, </w:t>
      </w:r>
      <w:r w:rsidR="5B67C1D2" w:rsidRPr="5B67C1D2">
        <w:rPr>
          <w:i/>
          <w:iCs/>
        </w:rPr>
        <w:t>Kennedy</w:t>
      </w:r>
      <w:r w:rsidR="5B67C1D2">
        <w:t xml:space="preserve"> und </w:t>
      </w:r>
      <w:r w:rsidR="5B67C1D2" w:rsidRPr="5B67C1D2">
        <w:rPr>
          <w:i/>
          <w:iCs/>
        </w:rPr>
        <w:t>Souter</w:t>
      </w:r>
      <w:r w:rsidR="5B67C1D2">
        <w:t>).</w:t>
      </w:r>
    </w:p>
  </w:footnote>
  <w:footnote w:id="1152">
    <w:p w14:paraId="38601964" w14:textId="16FC92A7" w:rsidR="00074551" w:rsidRPr="002B3503" w:rsidRDefault="00074551" w:rsidP="00074551">
      <w:pPr>
        <w:pStyle w:val="Funotentext"/>
        <w:rPr>
          <w:lang w:val="en-US"/>
        </w:rPr>
      </w:pPr>
      <w:r w:rsidRPr="5B67C1D2">
        <w:rPr>
          <w:rStyle w:val="Funotenzeichen"/>
          <w:rFonts w:eastAsiaTheme="majorEastAsia"/>
        </w:rPr>
        <w:footnoteRef/>
      </w:r>
      <w:r w:rsidR="5B67C1D2" w:rsidRPr="00B45592">
        <w:t xml:space="preserve"> </w:t>
      </w:r>
      <w:r w:rsidR="5B67C1D2" w:rsidRPr="5B67C1D2">
        <w:rPr>
          <w:i/>
          <w:iCs/>
          <w:lang w:val="en-US"/>
        </w:rPr>
        <w:t>Wash. v. Glucksberg</w:t>
      </w:r>
      <w:r w:rsidR="5B67C1D2" w:rsidRPr="5B67C1D2">
        <w:rPr>
          <w:lang w:val="en-US"/>
        </w:rPr>
        <w:t xml:space="preserve">, 521 U.S. 702, 763 = 117 S. Ct. 2258, 2280, 2280 = 117 S. Ct. 2302 = 138 L. Ed. 2d 772, 814 = 1997 U.S. LEXIS 4039, 101 = 65 U.S.L.W. 4669 = 97 Cal. Daily Op. Service 5008 = 97 Daily Journal DAR 8150 = 11 Fla. L. Weekly Fed. S 190 (1997), </w:t>
      </w:r>
      <w:r w:rsidR="5B67C1D2" w:rsidRPr="5B67C1D2">
        <w:rPr>
          <w:i/>
          <w:iCs/>
        </w:rPr>
        <w:t xml:space="preserve">Cruzan v. </w:t>
      </w:r>
      <w:proofErr w:type="spellStart"/>
      <w:r w:rsidR="5B67C1D2" w:rsidRPr="5B67C1D2">
        <w:rPr>
          <w:i/>
          <w:iCs/>
        </w:rPr>
        <w:t>Director</w:t>
      </w:r>
      <w:proofErr w:type="spellEnd"/>
      <w:r w:rsidR="5B67C1D2" w:rsidRPr="5B67C1D2">
        <w:rPr>
          <w:i/>
          <w:iCs/>
        </w:rPr>
        <w:t xml:space="preserve">, Mo. </w:t>
      </w:r>
      <w:proofErr w:type="spellStart"/>
      <w:r w:rsidR="5B67C1D2" w:rsidRPr="5B67C1D2">
        <w:rPr>
          <w:i/>
          <w:iCs/>
        </w:rPr>
        <w:t>Dept</w:t>
      </w:r>
      <w:proofErr w:type="spellEnd"/>
      <w:r w:rsidR="5B67C1D2" w:rsidRPr="5B67C1D2">
        <w:rPr>
          <w:i/>
          <w:iCs/>
        </w:rPr>
        <w:t>. of Health</w:t>
      </w:r>
      <w:r w:rsidR="5B67C1D2">
        <w:t>, 497 U.S. 261, 287–289 (1990) (</w:t>
      </w:r>
      <w:proofErr w:type="spellStart"/>
      <w:r w:rsidR="5B67C1D2" w:rsidRPr="5B67C1D2">
        <w:rPr>
          <w:i/>
          <w:iCs/>
        </w:rPr>
        <w:t>concurring</w:t>
      </w:r>
      <w:proofErr w:type="spellEnd"/>
      <w:r w:rsidR="5B67C1D2" w:rsidRPr="5B67C1D2">
        <w:rPr>
          <w:i/>
          <w:iCs/>
        </w:rPr>
        <w:t xml:space="preserve"> </w:t>
      </w:r>
      <w:proofErr w:type="spellStart"/>
      <w:r w:rsidR="5B67C1D2" w:rsidRPr="5B67C1D2">
        <w:rPr>
          <w:i/>
          <w:iCs/>
        </w:rPr>
        <w:t>opinion</w:t>
      </w:r>
      <w:proofErr w:type="spellEnd"/>
      <w:r w:rsidR="5B67C1D2">
        <w:t xml:space="preserve"> von Richterin </w:t>
      </w:r>
      <w:r w:rsidR="5B67C1D2" w:rsidRPr="5B67C1D2">
        <w:rPr>
          <w:i/>
          <w:iCs/>
        </w:rPr>
        <w:t>O’Connor</w:t>
      </w:r>
      <w:r w:rsidR="5B67C1D2">
        <w:t xml:space="preserve">); id., 302 (Dissens von Richter </w:t>
      </w:r>
      <w:r w:rsidR="5B67C1D2" w:rsidRPr="5B67C1D2">
        <w:rPr>
          <w:i/>
          <w:iCs/>
        </w:rPr>
        <w:t>Brennan</w:t>
      </w:r>
      <w:r w:rsidR="5B67C1D2">
        <w:t xml:space="preserve">); id., 331 (Dissens von Richter </w:t>
      </w:r>
      <w:r w:rsidR="5B67C1D2" w:rsidRPr="5B67C1D2">
        <w:rPr>
          <w:i/>
          <w:iCs/>
        </w:rPr>
        <w:t>Stevens</w:t>
      </w:r>
      <w:r w:rsidR="5B67C1D2">
        <w:t xml:space="preserve">); siehe auch id., 278 (Mehrheitsmeinung); </w:t>
      </w:r>
      <w:r w:rsidR="5B67C1D2" w:rsidRPr="5B67C1D2">
        <w:rPr>
          <w:i/>
          <w:iCs/>
        </w:rPr>
        <w:t xml:space="preserve">Wash. v. </w:t>
      </w:r>
      <w:proofErr w:type="spellStart"/>
      <w:r w:rsidR="5B67C1D2" w:rsidRPr="5B67C1D2">
        <w:rPr>
          <w:i/>
          <w:iCs/>
        </w:rPr>
        <w:t>Glucksberg</w:t>
      </w:r>
      <w:proofErr w:type="spellEnd"/>
      <w:r w:rsidR="5B67C1D2">
        <w:t xml:space="preserve">, 521 U.S. 702, 763 = 117 S. Ct. 2258, 2281, 2281 = 117 S. Ct. 2302 = 138 L. Ed. 2d 772, 815 = 1997 U.S. LEXIS 4039, 104 = 65 U.S.L.W. 4669 = 97 Cal. </w:t>
      </w:r>
      <w:r w:rsidR="5B67C1D2" w:rsidRPr="5B67C1D2">
        <w:rPr>
          <w:lang w:val="en-US"/>
        </w:rPr>
        <w:t>Daily Op. Service 5008 = 97 Daily Journal DAR 8150 = 11 Fla. L. Weekly Fed. S 190 (1997).</w:t>
      </w:r>
    </w:p>
  </w:footnote>
  <w:footnote w:id="1153">
    <w:p w14:paraId="59BAEDDD" w14:textId="2EAC5F36" w:rsidR="00074551" w:rsidRPr="002B3503" w:rsidRDefault="00074551" w:rsidP="00074551">
      <w:pPr>
        <w:pStyle w:val="Funotentext"/>
        <w:rPr>
          <w:lang w:val="en-US"/>
        </w:rPr>
      </w:pPr>
      <w:r w:rsidRPr="5B67C1D2">
        <w:rPr>
          <w:rStyle w:val="Funotenzeichen"/>
          <w:rFonts w:eastAsiaTheme="majorEastAsia"/>
        </w:rPr>
        <w:footnoteRef/>
      </w:r>
      <w:r w:rsidR="5B67C1D2" w:rsidRPr="002B3503">
        <w:rPr>
          <w:lang w:val="en-US"/>
        </w:rPr>
        <w:t xml:space="preserve"> </w:t>
      </w:r>
      <w:r w:rsidR="5B67C1D2" w:rsidRPr="5B67C1D2">
        <w:rPr>
          <w:i/>
          <w:iCs/>
          <w:lang w:val="en-US"/>
        </w:rPr>
        <w:t>Wash. v. Glucksberg</w:t>
      </w:r>
      <w:r w:rsidR="5B67C1D2" w:rsidRPr="5B67C1D2">
        <w:rPr>
          <w:lang w:val="en-US"/>
        </w:rPr>
        <w:t xml:space="preserve">, 521 U.S. 702, 763 = 117 S. Ct. 2258, 2280, 2280 = 117 S. Ct. 2302 = 138 L. Ed. 2d 772, 814 = 1997 U.S. LEXIS 4039, 101 = 65 U.S.L.W. 4669 = 97 Cal. Daily Op. Service 5008 = 97 Daily Journal DAR 8150 = 11 Fla. L. Weekly Fed. S 190 (1997), </w:t>
      </w:r>
      <w:r w:rsidR="5B67C1D2" w:rsidRPr="5B67C1D2">
        <w:rPr>
          <w:i/>
          <w:iCs/>
          <w:lang w:val="en-US"/>
        </w:rPr>
        <w:t>Foucha v. Louisiana</w:t>
      </w:r>
      <w:r w:rsidR="5B67C1D2" w:rsidRPr="5B67C1D2">
        <w:rPr>
          <w:lang w:val="en-US"/>
        </w:rPr>
        <w:t>, 504 U.S. 71, 8083 (1992).</w:t>
      </w:r>
    </w:p>
  </w:footnote>
  <w:footnote w:id="1154">
    <w:p w14:paraId="73441DA2" w14:textId="77777777" w:rsidR="00074551" w:rsidRPr="00BD2D3B" w:rsidRDefault="00074551" w:rsidP="00074551">
      <w:pPr>
        <w:pStyle w:val="Funotentext"/>
        <w:rPr>
          <w:lang w:val="en-US"/>
        </w:rPr>
      </w:pPr>
      <w:r>
        <w:rPr>
          <w:rStyle w:val="Funotenzeichen"/>
          <w:rFonts w:eastAsiaTheme="majorEastAsia"/>
        </w:rPr>
        <w:footnoteRef/>
      </w:r>
      <w:r w:rsidRPr="00BD2D3B">
        <w:rPr>
          <w:lang w:val="en-US"/>
        </w:rPr>
        <w:t xml:space="preserve"> </w:t>
      </w:r>
      <w:r>
        <w:rPr>
          <w:lang w:val="en-US"/>
        </w:rPr>
        <w:t>A</w:t>
      </w:r>
      <w:r w:rsidRPr="00BD2D3B">
        <w:rPr>
          <w:lang w:val="en-US"/>
        </w:rPr>
        <w:t>ct of Feb. 27, 1912, c. 177, Miss. L. (1912), 192</w:t>
      </w:r>
      <w:r>
        <w:rPr>
          <w:lang w:val="en-US"/>
        </w:rPr>
        <w:t>.</w:t>
      </w:r>
    </w:p>
  </w:footnote>
  <w:footnote w:id="1155">
    <w:p w14:paraId="1731D4B4" w14:textId="77777777" w:rsidR="00074551" w:rsidRPr="00BD2D3B" w:rsidRDefault="00074551" w:rsidP="00074551">
      <w:pPr>
        <w:pStyle w:val="Funotentext"/>
        <w:rPr>
          <w:lang w:val="en-US"/>
        </w:rPr>
      </w:pPr>
      <w:r>
        <w:rPr>
          <w:rStyle w:val="Funotenzeichen"/>
          <w:rFonts w:eastAsiaTheme="majorEastAsia"/>
        </w:rPr>
        <w:footnoteRef/>
      </w:r>
      <w:r w:rsidRPr="00BD2D3B">
        <w:rPr>
          <w:lang w:val="en-US"/>
        </w:rPr>
        <w:t xml:space="preserve"> </w:t>
      </w:r>
      <w:r w:rsidRPr="00D83E4F">
        <w:rPr>
          <w:i/>
          <w:lang w:val="en-US"/>
        </w:rPr>
        <w:t>Waugh v. Board of Trustees</w:t>
      </w:r>
      <w:r w:rsidRPr="00BD2D3B">
        <w:rPr>
          <w:lang w:val="en-US"/>
        </w:rPr>
        <w:t>, 237 U.S. 589, 591</w:t>
      </w:r>
      <w:r>
        <w:rPr>
          <w:lang w:val="en-US"/>
        </w:rPr>
        <w:t xml:space="preserve"> = 35 S. Ct. </w:t>
      </w:r>
      <w:r w:rsidRPr="00BD2D3B">
        <w:rPr>
          <w:lang w:val="en-US"/>
        </w:rPr>
        <w:t>720, 721</w:t>
      </w:r>
      <w:r>
        <w:rPr>
          <w:lang w:val="en-US"/>
        </w:rPr>
        <w:t xml:space="preserve"> = 59 L. Ed. </w:t>
      </w:r>
      <w:r w:rsidRPr="00BD2D3B">
        <w:rPr>
          <w:lang w:val="en-US"/>
        </w:rPr>
        <w:t>1131, 1134</w:t>
      </w:r>
      <w:r>
        <w:rPr>
          <w:lang w:val="en-US"/>
        </w:rPr>
        <w:t xml:space="preserve"> = 1915 U.S. LEXIS </w:t>
      </w:r>
      <w:r w:rsidRPr="00BD2D3B">
        <w:rPr>
          <w:lang w:val="en-US"/>
        </w:rPr>
        <w:t>1371, 1 (1915)</w:t>
      </w:r>
      <w:r>
        <w:rPr>
          <w:lang w:val="en-US"/>
        </w:rPr>
        <w:t>.</w:t>
      </w:r>
    </w:p>
  </w:footnote>
  <w:footnote w:id="1156">
    <w:p w14:paraId="6DB9B2D0" w14:textId="77777777" w:rsidR="00074551" w:rsidRPr="00DB055F" w:rsidRDefault="00074551" w:rsidP="00074551">
      <w:pPr>
        <w:pStyle w:val="Funotentext"/>
        <w:rPr>
          <w:lang w:val="en-US"/>
        </w:rPr>
      </w:pPr>
      <w:r>
        <w:rPr>
          <w:rStyle w:val="Funotenzeichen"/>
          <w:rFonts w:eastAsiaTheme="majorEastAsia"/>
        </w:rPr>
        <w:footnoteRef/>
      </w:r>
      <w:r w:rsidRPr="00DB055F">
        <w:rPr>
          <w:lang w:val="en-US"/>
        </w:rPr>
        <w:t xml:space="preserve"> </w:t>
      </w:r>
      <w:r w:rsidRPr="00D83E4F">
        <w:rPr>
          <w:i/>
          <w:lang w:val="en-US"/>
        </w:rPr>
        <w:t>Waugh v. Board of Trustees</w:t>
      </w:r>
      <w:r w:rsidRPr="00DB055F">
        <w:rPr>
          <w:lang w:val="en-US"/>
        </w:rPr>
        <w:t>, 237 U.S. 589, 596</w:t>
      </w:r>
      <w:r>
        <w:rPr>
          <w:lang w:val="en-US"/>
        </w:rPr>
        <w:t xml:space="preserve"> = 35 S. Ct. </w:t>
      </w:r>
      <w:r w:rsidRPr="00DB055F">
        <w:rPr>
          <w:lang w:val="en-US"/>
        </w:rPr>
        <w:t>720, 723</w:t>
      </w:r>
      <w:r>
        <w:rPr>
          <w:lang w:val="en-US"/>
        </w:rPr>
        <w:t xml:space="preserve"> = 59 L. Ed. </w:t>
      </w:r>
      <w:r w:rsidRPr="00DB055F">
        <w:rPr>
          <w:lang w:val="en-US"/>
        </w:rPr>
        <w:t>1131, 1136</w:t>
      </w:r>
      <w:r>
        <w:rPr>
          <w:lang w:val="en-US"/>
        </w:rPr>
        <w:t xml:space="preserve"> = 1915 U.S. LEXIS </w:t>
      </w:r>
      <w:r w:rsidRPr="00DB055F">
        <w:rPr>
          <w:lang w:val="en-US"/>
        </w:rPr>
        <w:t>1371, 12 (1915)</w:t>
      </w:r>
      <w:r>
        <w:rPr>
          <w:lang w:val="en-US"/>
        </w:rPr>
        <w:t>.</w:t>
      </w:r>
    </w:p>
  </w:footnote>
  <w:footnote w:id="1157">
    <w:p w14:paraId="080DC2F6" w14:textId="77777777" w:rsidR="00074551" w:rsidRPr="00DB055F" w:rsidRDefault="00074551" w:rsidP="00074551">
      <w:pPr>
        <w:pStyle w:val="Funotentext"/>
        <w:rPr>
          <w:lang w:val="en-US"/>
        </w:rPr>
      </w:pPr>
      <w:r>
        <w:rPr>
          <w:rStyle w:val="Funotenzeichen"/>
          <w:rFonts w:eastAsiaTheme="majorEastAsia"/>
        </w:rPr>
        <w:footnoteRef/>
      </w:r>
      <w:r w:rsidRPr="00DB055F">
        <w:rPr>
          <w:lang w:val="en-US"/>
        </w:rPr>
        <w:t xml:space="preserve"> </w:t>
      </w:r>
      <w:r w:rsidRPr="00D83E4F">
        <w:rPr>
          <w:i/>
          <w:lang w:val="en-US"/>
        </w:rPr>
        <w:t>Waugh v. Board of Trustees</w:t>
      </w:r>
      <w:r w:rsidRPr="00DB055F">
        <w:rPr>
          <w:lang w:val="en-US"/>
        </w:rPr>
        <w:t>, 237 U.S. 589, 596</w:t>
      </w:r>
      <w:r>
        <w:rPr>
          <w:lang w:val="en-US"/>
        </w:rPr>
        <w:t xml:space="preserve"> = 35 S. Ct. </w:t>
      </w:r>
      <w:r w:rsidRPr="00DB055F">
        <w:rPr>
          <w:lang w:val="en-US"/>
        </w:rPr>
        <w:t>720, 723</w:t>
      </w:r>
      <w:r>
        <w:rPr>
          <w:lang w:val="en-US"/>
        </w:rPr>
        <w:t xml:space="preserve"> = 59 L. Ed. </w:t>
      </w:r>
      <w:r w:rsidRPr="00DB055F">
        <w:rPr>
          <w:lang w:val="en-US"/>
        </w:rPr>
        <w:t>1131, 1136</w:t>
      </w:r>
      <w:r>
        <w:rPr>
          <w:lang w:val="en-US"/>
        </w:rPr>
        <w:t xml:space="preserve"> = 1915 U.S. LEXIS </w:t>
      </w:r>
      <w:r w:rsidRPr="00DB055F">
        <w:rPr>
          <w:lang w:val="en-US"/>
        </w:rPr>
        <w:t>1371, 13 (1915)</w:t>
      </w:r>
      <w:r>
        <w:rPr>
          <w:lang w:val="en-US"/>
        </w:rPr>
        <w:t>.</w:t>
      </w:r>
    </w:p>
  </w:footnote>
  <w:footnote w:id="1158">
    <w:p w14:paraId="12FD1257" w14:textId="77777777" w:rsidR="00074551" w:rsidRPr="00DB055F" w:rsidRDefault="00074551" w:rsidP="00074551">
      <w:pPr>
        <w:pStyle w:val="Funotentext"/>
        <w:rPr>
          <w:lang w:val="en-US"/>
        </w:rPr>
      </w:pPr>
      <w:r>
        <w:rPr>
          <w:rStyle w:val="Funotenzeichen"/>
          <w:rFonts w:eastAsiaTheme="majorEastAsia"/>
        </w:rPr>
        <w:footnoteRef/>
      </w:r>
      <w:r w:rsidRPr="00DB055F">
        <w:rPr>
          <w:lang w:val="en-US"/>
        </w:rPr>
        <w:t xml:space="preserve"> </w:t>
      </w:r>
      <w:r w:rsidRPr="00D83E4F">
        <w:rPr>
          <w:i/>
          <w:lang w:val="en-US"/>
        </w:rPr>
        <w:t>Waugh v. Board of Trustees</w:t>
      </w:r>
      <w:r w:rsidRPr="00DB055F">
        <w:rPr>
          <w:lang w:val="en-US"/>
        </w:rPr>
        <w:t>, 237 U.S. 589, 596</w:t>
      </w:r>
      <w:r>
        <w:rPr>
          <w:lang w:val="en-US"/>
        </w:rPr>
        <w:t xml:space="preserve"> = 35 S. Ct. </w:t>
      </w:r>
      <w:r w:rsidRPr="00DB055F">
        <w:rPr>
          <w:lang w:val="en-US"/>
        </w:rPr>
        <w:t>720, 723</w:t>
      </w:r>
      <w:r>
        <w:rPr>
          <w:lang w:val="en-US"/>
        </w:rPr>
        <w:t xml:space="preserve"> = 59 L. Ed. </w:t>
      </w:r>
      <w:r w:rsidRPr="00DB055F">
        <w:rPr>
          <w:lang w:val="en-US"/>
        </w:rPr>
        <w:t>1131, 1136</w:t>
      </w:r>
      <w:r>
        <w:rPr>
          <w:lang w:val="en-US"/>
        </w:rPr>
        <w:t xml:space="preserve"> = 1915 U.S. LEXIS </w:t>
      </w:r>
      <w:r w:rsidRPr="00DB055F">
        <w:rPr>
          <w:lang w:val="en-US"/>
        </w:rPr>
        <w:t>1371, 13 (1915)</w:t>
      </w:r>
      <w:r>
        <w:rPr>
          <w:lang w:val="en-US"/>
        </w:rPr>
        <w:t>.</w:t>
      </w:r>
    </w:p>
  </w:footnote>
  <w:footnote w:id="1159">
    <w:p w14:paraId="11B54536" w14:textId="77777777" w:rsidR="00074551" w:rsidRPr="00DB055F" w:rsidRDefault="00074551" w:rsidP="00074551">
      <w:pPr>
        <w:pStyle w:val="Funotentext"/>
        <w:rPr>
          <w:lang w:val="en-US"/>
        </w:rPr>
      </w:pPr>
      <w:r>
        <w:rPr>
          <w:rStyle w:val="Funotenzeichen"/>
          <w:rFonts w:eastAsiaTheme="majorEastAsia"/>
        </w:rPr>
        <w:footnoteRef/>
      </w:r>
      <w:r w:rsidRPr="00DB055F">
        <w:rPr>
          <w:lang w:val="en-US"/>
        </w:rPr>
        <w:t xml:space="preserve"> </w:t>
      </w:r>
      <w:r w:rsidRPr="00D83E4F">
        <w:rPr>
          <w:i/>
          <w:lang w:val="en-US"/>
        </w:rPr>
        <w:t>Waugh v. Board of Trustees</w:t>
      </w:r>
      <w:r w:rsidRPr="00DB055F">
        <w:rPr>
          <w:lang w:val="en-US"/>
        </w:rPr>
        <w:t>, 237 U.S. 589, 597</w:t>
      </w:r>
      <w:r>
        <w:rPr>
          <w:lang w:val="en-US"/>
        </w:rPr>
        <w:t xml:space="preserve"> = 35 S. Ct. </w:t>
      </w:r>
      <w:r w:rsidRPr="00DB055F">
        <w:rPr>
          <w:lang w:val="en-US"/>
        </w:rPr>
        <w:t>720, 723</w:t>
      </w:r>
      <w:r>
        <w:rPr>
          <w:lang w:val="en-US"/>
        </w:rPr>
        <w:t xml:space="preserve"> = 59 L. Ed. </w:t>
      </w:r>
      <w:r w:rsidRPr="00DB055F">
        <w:rPr>
          <w:lang w:val="en-US"/>
        </w:rPr>
        <w:t>1131, 1137</w:t>
      </w:r>
      <w:r>
        <w:rPr>
          <w:lang w:val="en-US"/>
        </w:rPr>
        <w:t xml:space="preserve"> = 1915 U.S. LEXIS </w:t>
      </w:r>
      <w:r w:rsidRPr="00DB055F">
        <w:rPr>
          <w:lang w:val="en-US"/>
        </w:rPr>
        <w:t>1371, 14 (1915)</w:t>
      </w:r>
      <w:r>
        <w:rPr>
          <w:lang w:val="en-US"/>
        </w:rPr>
        <w:t>.</w:t>
      </w:r>
    </w:p>
  </w:footnote>
  <w:footnote w:id="1160">
    <w:p w14:paraId="722CE588" w14:textId="77777777" w:rsidR="00074551" w:rsidRPr="00DB055F" w:rsidRDefault="00074551" w:rsidP="00074551">
      <w:pPr>
        <w:pStyle w:val="Funotentext"/>
        <w:rPr>
          <w:lang w:val="en-US"/>
        </w:rPr>
      </w:pPr>
      <w:r>
        <w:rPr>
          <w:rStyle w:val="Funotenzeichen"/>
          <w:rFonts w:eastAsiaTheme="majorEastAsia"/>
        </w:rPr>
        <w:footnoteRef/>
      </w:r>
      <w:r w:rsidRPr="00DB055F">
        <w:rPr>
          <w:lang w:val="en-US"/>
        </w:rPr>
        <w:t xml:space="preserve"> </w:t>
      </w:r>
      <w:r w:rsidRPr="00D83E4F">
        <w:rPr>
          <w:i/>
          <w:lang w:val="en-US"/>
        </w:rPr>
        <w:t>Waugh v. Board of Trustees</w:t>
      </w:r>
      <w:r w:rsidRPr="00DB055F">
        <w:rPr>
          <w:lang w:val="en-US"/>
        </w:rPr>
        <w:t>, 237 U.S. 589, 597</w:t>
      </w:r>
      <w:r>
        <w:rPr>
          <w:lang w:val="en-US"/>
        </w:rPr>
        <w:t xml:space="preserve"> = 35 S. Ct. </w:t>
      </w:r>
      <w:r w:rsidRPr="00DB055F">
        <w:rPr>
          <w:lang w:val="en-US"/>
        </w:rPr>
        <w:t>720, 723</w:t>
      </w:r>
      <w:r>
        <w:rPr>
          <w:lang w:val="en-US"/>
        </w:rPr>
        <w:t xml:space="preserve"> = 59 L. Ed. </w:t>
      </w:r>
      <w:r w:rsidRPr="00DB055F">
        <w:rPr>
          <w:lang w:val="en-US"/>
        </w:rPr>
        <w:t>1131, 1137</w:t>
      </w:r>
      <w:r>
        <w:rPr>
          <w:lang w:val="en-US"/>
        </w:rPr>
        <w:t xml:space="preserve"> = 1915 U.S. LEXIS </w:t>
      </w:r>
      <w:r w:rsidRPr="00DB055F">
        <w:rPr>
          <w:lang w:val="en-US"/>
        </w:rPr>
        <w:t>1371, 14 (1915)</w:t>
      </w:r>
      <w:r>
        <w:rPr>
          <w:lang w:val="en-US"/>
        </w:rPr>
        <w:t>.</w:t>
      </w:r>
    </w:p>
  </w:footnote>
  <w:footnote w:id="1161">
    <w:p w14:paraId="3F6E8619" w14:textId="77777777" w:rsidR="00074551" w:rsidRPr="005430D5" w:rsidRDefault="00074551" w:rsidP="00074551">
      <w:pPr>
        <w:pStyle w:val="Funotentext"/>
        <w:rPr>
          <w:lang w:val="en-US"/>
        </w:rPr>
      </w:pPr>
      <w:r>
        <w:rPr>
          <w:rStyle w:val="Funotenzeichen"/>
        </w:rPr>
        <w:footnoteRef/>
      </w:r>
      <w:r w:rsidRPr="005430D5">
        <w:rPr>
          <w:lang w:val="en-US"/>
        </w:rPr>
        <w:t xml:space="preserve"> </w:t>
      </w:r>
      <w:r>
        <w:rPr>
          <w:lang w:val="en-US"/>
        </w:rPr>
        <w:t>„</w:t>
      </w:r>
      <w:r w:rsidRPr="005430D5">
        <w:rPr>
          <w:lang w:val="en-US"/>
        </w:rPr>
        <w:t xml:space="preserve">Ark. Acts of General Assembly, 1907, p. 553, Act 236, </w:t>
      </w:r>
      <w:r>
        <w:rPr>
          <w:lang w:val="en-US"/>
        </w:rPr>
        <w:t>§ </w:t>
      </w:r>
      <w:r w:rsidRPr="005430D5">
        <w:rPr>
          <w:lang w:val="en-US"/>
        </w:rPr>
        <w:t xml:space="preserve">1 states: It shall be unlawful for any person or persons, except as hereinafter provided in </w:t>
      </w:r>
      <w:r>
        <w:rPr>
          <w:lang w:val="en-US"/>
        </w:rPr>
        <w:t>§ </w:t>
      </w:r>
      <w:r w:rsidRPr="005430D5">
        <w:rPr>
          <w:lang w:val="en-US"/>
        </w:rPr>
        <w:t xml:space="preserve">2 of this act, to drum or solicit business or patronage for any hotel, lodging house, </w:t>
      </w:r>
      <w:proofErr w:type="gramStart"/>
      <w:r w:rsidRPr="005430D5">
        <w:rPr>
          <w:lang w:val="en-US"/>
        </w:rPr>
        <w:t>eating</w:t>
      </w:r>
      <w:proofErr w:type="gramEnd"/>
      <w:r w:rsidRPr="005430D5">
        <w:rPr>
          <w:lang w:val="en-US"/>
        </w:rPr>
        <w:t xml:space="preserve"> house, bath house, physician, masseur, surgeon, or other medical practitioner, on the train, cars, or depots of any railroad or common carrier operating or running within the State of Arkansas. Any person or persons plying or attempting to ply said vocation of drumming or soliciting, except as provided in </w:t>
      </w:r>
      <w:r>
        <w:rPr>
          <w:lang w:val="en-US"/>
        </w:rPr>
        <w:t>§ </w:t>
      </w:r>
      <w:r w:rsidRPr="005430D5">
        <w:rPr>
          <w:lang w:val="en-US"/>
        </w:rPr>
        <w:t xml:space="preserve">2 of this act, upon the trains, cars, depots of said railroads or common carriers, shall be deemed guilty of a misdemeanor, and upon conviction thereof shall be punished by a fine of not less than $ 50 nor more than $ 100 for each </w:t>
      </w:r>
      <w:proofErr w:type="gramStart"/>
      <w:r w:rsidRPr="005430D5">
        <w:rPr>
          <w:lang w:val="en-US"/>
        </w:rPr>
        <w:t>offense.</w:t>
      </w:r>
      <w:r>
        <w:rPr>
          <w:lang w:val="en-US"/>
        </w:rPr>
        <w:t>“</w:t>
      </w:r>
      <w:proofErr w:type="gramEnd"/>
      <w:r>
        <w:rPr>
          <w:lang w:val="en-US"/>
        </w:rPr>
        <w:t xml:space="preserve">, </w:t>
      </w:r>
      <w:r w:rsidRPr="00D83E4F">
        <w:rPr>
          <w:i/>
          <w:lang w:val="en-US"/>
        </w:rPr>
        <w:t>Williams v. Arkansas</w:t>
      </w:r>
      <w:r w:rsidRPr="005430D5">
        <w:rPr>
          <w:lang w:val="en-US"/>
        </w:rPr>
        <w:t>, 217 U.S. 79, 85</w:t>
      </w:r>
      <w:r>
        <w:rPr>
          <w:lang w:val="en-US"/>
        </w:rPr>
        <w:t xml:space="preserve"> = 30 S. Ct. </w:t>
      </w:r>
      <w:r w:rsidRPr="005430D5">
        <w:rPr>
          <w:lang w:val="en-US"/>
        </w:rPr>
        <w:t>493, 493</w:t>
      </w:r>
      <w:r>
        <w:rPr>
          <w:lang w:val="en-US"/>
        </w:rPr>
        <w:t xml:space="preserve"> = 54 L. Ed. </w:t>
      </w:r>
      <w:r w:rsidRPr="005430D5">
        <w:rPr>
          <w:lang w:val="en-US"/>
        </w:rPr>
        <w:t>673, 676</w:t>
      </w:r>
      <w:r>
        <w:rPr>
          <w:lang w:val="en-US"/>
        </w:rPr>
        <w:t xml:space="preserve"> = 1910 U.S. LEXIS </w:t>
      </w:r>
      <w:r w:rsidRPr="005430D5">
        <w:rPr>
          <w:lang w:val="en-US"/>
        </w:rPr>
        <w:t>1945, 1 (1910)</w:t>
      </w:r>
      <w:r>
        <w:rPr>
          <w:lang w:val="en-US"/>
        </w:rPr>
        <w:t>.</w:t>
      </w:r>
    </w:p>
  </w:footnote>
  <w:footnote w:id="1162">
    <w:p w14:paraId="0E1B31F2" w14:textId="77777777" w:rsidR="00074551" w:rsidRPr="005430D5" w:rsidRDefault="00074551" w:rsidP="00074551">
      <w:pPr>
        <w:pStyle w:val="Funotentext"/>
        <w:rPr>
          <w:lang w:val="en-US"/>
        </w:rPr>
      </w:pPr>
      <w:r>
        <w:rPr>
          <w:rStyle w:val="Funotenzeichen"/>
        </w:rPr>
        <w:footnoteRef/>
      </w:r>
      <w:r w:rsidRPr="005430D5">
        <w:rPr>
          <w:lang w:val="en-US"/>
        </w:rPr>
        <w:t xml:space="preserve"> </w:t>
      </w:r>
      <w:r w:rsidRPr="00D83E4F">
        <w:rPr>
          <w:i/>
          <w:lang w:val="en-US"/>
        </w:rPr>
        <w:t>Williams v. Arkansas</w:t>
      </w:r>
      <w:r w:rsidRPr="005430D5">
        <w:rPr>
          <w:lang w:val="en-US"/>
        </w:rPr>
        <w:t>, 217 U.S. 79, 85</w:t>
      </w:r>
      <w:r>
        <w:rPr>
          <w:lang w:val="en-US"/>
        </w:rPr>
        <w:t xml:space="preserve"> = 30 S. Ct. </w:t>
      </w:r>
      <w:r w:rsidRPr="005430D5">
        <w:rPr>
          <w:lang w:val="en-US"/>
        </w:rPr>
        <w:t>493, 493</w:t>
      </w:r>
      <w:r>
        <w:rPr>
          <w:lang w:val="en-US"/>
        </w:rPr>
        <w:t xml:space="preserve"> = 54 L. Ed. </w:t>
      </w:r>
      <w:r w:rsidRPr="005430D5">
        <w:rPr>
          <w:lang w:val="en-US"/>
        </w:rPr>
        <w:t>673, 676</w:t>
      </w:r>
      <w:r>
        <w:rPr>
          <w:lang w:val="en-US"/>
        </w:rPr>
        <w:t xml:space="preserve"> = 1910 U.S. LEXIS </w:t>
      </w:r>
      <w:r w:rsidRPr="005430D5">
        <w:rPr>
          <w:lang w:val="en-US"/>
        </w:rPr>
        <w:t>1945, 1 (1910)</w:t>
      </w:r>
      <w:r>
        <w:rPr>
          <w:lang w:val="en-US"/>
        </w:rPr>
        <w:t>.</w:t>
      </w:r>
    </w:p>
  </w:footnote>
  <w:footnote w:id="1163">
    <w:p w14:paraId="4457C19E" w14:textId="77777777" w:rsidR="00074551" w:rsidRPr="00F1258B" w:rsidRDefault="00074551" w:rsidP="00074551">
      <w:pPr>
        <w:pStyle w:val="Funotentext"/>
        <w:rPr>
          <w:lang w:val="en-US"/>
        </w:rPr>
      </w:pPr>
      <w:r>
        <w:rPr>
          <w:rStyle w:val="Funotenzeichen"/>
          <w:rFonts w:eastAsiaTheme="majorEastAsia"/>
        </w:rPr>
        <w:footnoteRef/>
      </w:r>
      <w:r w:rsidRPr="00F1258B">
        <w:rPr>
          <w:lang w:val="en-US"/>
        </w:rPr>
        <w:t xml:space="preserve"> </w:t>
      </w:r>
      <w:r w:rsidRPr="00D83E4F">
        <w:rPr>
          <w:i/>
          <w:lang w:val="en-US"/>
        </w:rPr>
        <w:t>Williams v. Arkansas</w:t>
      </w:r>
      <w:r w:rsidRPr="00F1258B">
        <w:rPr>
          <w:lang w:val="en-US"/>
        </w:rPr>
        <w:t>, 217 U.S. 79, 85</w:t>
      </w:r>
      <w:r>
        <w:rPr>
          <w:lang w:val="en-US"/>
        </w:rPr>
        <w:t xml:space="preserve"> = 30 S. Ct. </w:t>
      </w:r>
      <w:r w:rsidRPr="00F1258B">
        <w:rPr>
          <w:lang w:val="en-US"/>
        </w:rPr>
        <w:t>493, 493</w:t>
      </w:r>
      <w:r>
        <w:rPr>
          <w:lang w:val="en-US"/>
        </w:rPr>
        <w:t xml:space="preserve"> = 54 L. Ed. </w:t>
      </w:r>
      <w:r w:rsidRPr="00F1258B">
        <w:rPr>
          <w:lang w:val="en-US"/>
        </w:rPr>
        <w:t>673, 676</w:t>
      </w:r>
      <w:r>
        <w:rPr>
          <w:lang w:val="en-US"/>
        </w:rPr>
        <w:t xml:space="preserve"> = 1910 U.S. LEXIS </w:t>
      </w:r>
      <w:r w:rsidRPr="00F1258B">
        <w:rPr>
          <w:lang w:val="en-US"/>
        </w:rPr>
        <w:t>1945, 2 (1910).</w:t>
      </w:r>
    </w:p>
  </w:footnote>
  <w:footnote w:id="1164">
    <w:p w14:paraId="75ABA6C8" w14:textId="77777777" w:rsidR="00074551" w:rsidRPr="00F1258B" w:rsidRDefault="00074551" w:rsidP="00074551">
      <w:pPr>
        <w:pStyle w:val="Funotentext"/>
        <w:rPr>
          <w:lang w:val="en-US"/>
        </w:rPr>
      </w:pPr>
      <w:r>
        <w:rPr>
          <w:rStyle w:val="Funotenzeichen"/>
          <w:rFonts w:eastAsiaTheme="majorEastAsia"/>
        </w:rPr>
        <w:footnoteRef/>
      </w:r>
      <w:r w:rsidRPr="00F1258B">
        <w:rPr>
          <w:lang w:val="en-US"/>
        </w:rPr>
        <w:t xml:space="preserve"> </w:t>
      </w:r>
      <w:r w:rsidRPr="00D83E4F">
        <w:rPr>
          <w:i/>
          <w:lang w:val="en-US"/>
        </w:rPr>
        <w:t>Williams v. Arkansas</w:t>
      </w:r>
      <w:r w:rsidRPr="00F1258B">
        <w:rPr>
          <w:lang w:val="en-US"/>
        </w:rPr>
        <w:t>, 217 U.S. 79, 85</w:t>
      </w:r>
      <w:r>
        <w:rPr>
          <w:lang w:val="en-US"/>
        </w:rPr>
        <w:t xml:space="preserve"> = 30 S. Ct. </w:t>
      </w:r>
      <w:r w:rsidRPr="00F1258B">
        <w:rPr>
          <w:lang w:val="en-US"/>
        </w:rPr>
        <w:t>493, 493</w:t>
      </w:r>
      <w:r>
        <w:rPr>
          <w:lang w:val="en-US"/>
        </w:rPr>
        <w:t xml:space="preserve"> = 54 L. Ed. </w:t>
      </w:r>
      <w:r w:rsidRPr="00F1258B">
        <w:rPr>
          <w:lang w:val="en-US"/>
        </w:rPr>
        <w:t>673, 676</w:t>
      </w:r>
      <w:r>
        <w:rPr>
          <w:lang w:val="en-US"/>
        </w:rPr>
        <w:t xml:space="preserve"> = 1910 U.S. LEXIS </w:t>
      </w:r>
      <w:r w:rsidRPr="00F1258B">
        <w:rPr>
          <w:lang w:val="en-US"/>
        </w:rPr>
        <w:t>1945, 2 (1910).</w:t>
      </w:r>
    </w:p>
  </w:footnote>
  <w:footnote w:id="1165">
    <w:p w14:paraId="552A456F" w14:textId="77777777" w:rsidR="00074551" w:rsidRPr="005430D5" w:rsidRDefault="00074551" w:rsidP="00074551">
      <w:pPr>
        <w:pStyle w:val="Funotentext"/>
        <w:rPr>
          <w:lang w:val="en-US"/>
        </w:rPr>
      </w:pPr>
      <w:r>
        <w:rPr>
          <w:rStyle w:val="Funotenzeichen"/>
        </w:rPr>
        <w:footnoteRef/>
      </w:r>
      <w:r w:rsidRPr="005430D5">
        <w:rPr>
          <w:lang w:val="en-US"/>
        </w:rPr>
        <w:t xml:space="preserve"> </w:t>
      </w:r>
      <w:r w:rsidRPr="00D83E4F">
        <w:rPr>
          <w:i/>
          <w:lang w:val="en-US"/>
        </w:rPr>
        <w:t>Williams v. Arkansas</w:t>
      </w:r>
      <w:r w:rsidRPr="005430D5">
        <w:rPr>
          <w:lang w:val="en-US"/>
        </w:rPr>
        <w:t>, 217 U.S. 79, 85</w:t>
      </w:r>
      <w:r>
        <w:rPr>
          <w:lang w:val="en-US"/>
        </w:rPr>
        <w:t xml:space="preserve"> = 30 S. Ct. </w:t>
      </w:r>
      <w:r w:rsidRPr="005430D5">
        <w:rPr>
          <w:lang w:val="en-US"/>
        </w:rPr>
        <w:t>493, 493</w:t>
      </w:r>
      <w:r>
        <w:rPr>
          <w:lang w:val="en-US"/>
        </w:rPr>
        <w:t xml:space="preserve"> = 54 L. Ed. </w:t>
      </w:r>
      <w:r w:rsidRPr="005430D5">
        <w:rPr>
          <w:lang w:val="en-US"/>
        </w:rPr>
        <w:t>673, 676</w:t>
      </w:r>
      <w:r>
        <w:rPr>
          <w:lang w:val="en-US"/>
        </w:rPr>
        <w:t xml:space="preserve"> = 1910 U.S. LEXIS </w:t>
      </w:r>
      <w:r w:rsidRPr="005430D5">
        <w:rPr>
          <w:lang w:val="en-US"/>
        </w:rPr>
        <w:t>1945, 1 (1910)</w:t>
      </w:r>
      <w:r>
        <w:rPr>
          <w:lang w:val="en-US"/>
        </w:rPr>
        <w:t>.</w:t>
      </w:r>
    </w:p>
  </w:footnote>
  <w:footnote w:id="1166">
    <w:p w14:paraId="51B69A0D" w14:textId="77777777" w:rsidR="00074551" w:rsidRPr="00F1258B" w:rsidRDefault="00074551" w:rsidP="00074551">
      <w:pPr>
        <w:pStyle w:val="Funotentext"/>
        <w:rPr>
          <w:lang w:val="en-US"/>
        </w:rPr>
      </w:pPr>
      <w:r>
        <w:rPr>
          <w:rStyle w:val="Funotenzeichen"/>
          <w:rFonts w:eastAsiaTheme="majorEastAsia"/>
        </w:rPr>
        <w:footnoteRef/>
      </w:r>
      <w:r w:rsidRPr="00F1258B">
        <w:rPr>
          <w:lang w:val="en-US"/>
        </w:rPr>
        <w:t xml:space="preserve"> </w:t>
      </w:r>
      <w:r w:rsidRPr="00D83E4F">
        <w:rPr>
          <w:i/>
          <w:lang w:val="en-US"/>
        </w:rPr>
        <w:t>Williams v. Arkansas</w:t>
      </w:r>
      <w:r w:rsidRPr="00F1258B">
        <w:rPr>
          <w:lang w:val="en-US"/>
        </w:rPr>
        <w:t>, 217 U.S. 79, 85</w:t>
      </w:r>
      <w:r>
        <w:rPr>
          <w:lang w:val="en-US"/>
        </w:rPr>
        <w:t xml:space="preserve"> = 30 S. Ct. </w:t>
      </w:r>
      <w:r w:rsidRPr="00F1258B">
        <w:rPr>
          <w:lang w:val="en-US"/>
        </w:rPr>
        <w:t>493, 493</w:t>
      </w:r>
      <w:r>
        <w:rPr>
          <w:lang w:val="en-US"/>
        </w:rPr>
        <w:t xml:space="preserve"> = 54 L. Ed. </w:t>
      </w:r>
      <w:r w:rsidRPr="00F1258B">
        <w:rPr>
          <w:lang w:val="en-US"/>
        </w:rPr>
        <w:t>673, 676</w:t>
      </w:r>
      <w:r>
        <w:rPr>
          <w:lang w:val="en-US"/>
        </w:rPr>
        <w:t xml:space="preserve"> = 1910 U.S. LEXIS </w:t>
      </w:r>
      <w:r w:rsidRPr="00F1258B">
        <w:rPr>
          <w:lang w:val="en-US"/>
        </w:rPr>
        <w:t>1945, 2 (1910)</w:t>
      </w:r>
      <w:r>
        <w:rPr>
          <w:lang w:val="en-US"/>
        </w:rPr>
        <w:t>.</w:t>
      </w:r>
    </w:p>
  </w:footnote>
  <w:footnote w:id="1167">
    <w:p w14:paraId="6540BFAF" w14:textId="77777777" w:rsidR="00074551" w:rsidRPr="00F1258B" w:rsidRDefault="00074551" w:rsidP="00074551">
      <w:pPr>
        <w:pStyle w:val="Funotentext"/>
        <w:rPr>
          <w:lang w:val="en-US"/>
        </w:rPr>
      </w:pPr>
      <w:r>
        <w:rPr>
          <w:rStyle w:val="Funotenzeichen"/>
          <w:rFonts w:eastAsiaTheme="majorEastAsia"/>
        </w:rPr>
        <w:footnoteRef/>
      </w:r>
      <w:r w:rsidRPr="00F1258B">
        <w:rPr>
          <w:lang w:val="en-US"/>
        </w:rPr>
        <w:t xml:space="preserve"> </w:t>
      </w:r>
      <w:r w:rsidRPr="00D83E4F">
        <w:rPr>
          <w:i/>
          <w:lang w:val="en-US"/>
        </w:rPr>
        <w:t>Williams v. Arkansas</w:t>
      </w:r>
      <w:r w:rsidRPr="00F1258B">
        <w:rPr>
          <w:lang w:val="en-US"/>
        </w:rPr>
        <w:t>, 217 U.S. 79, 85</w:t>
      </w:r>
      <w:r>
        <w:rPr>
          <w:lang w:val="en-US"/>
        </w:rPr>
        <w:t xml:space="preserve"> = 30 S. Ct. </w:t>
      </w:r>
      <w:r w:rsidRPr="00F1258B">
        <w:rPr>
          <w:lang w:val="en-US"/>
        </w:rPr>
        <w:t>493, 493</w:t>
      </w:r>
      <w:r>
        <w:rPr>
          <w:lang w:val="en-US"/>
        </w:rPr>
        <w:t xml:space="preserve"> = 54 L. Ed. </w:t>
      </w:r>
      <w:r w:rsidRPr="00F1258B">
        <w:rPr>
          <w:lang w:val="en-US"/>
        </w:rPr>
        <w:t>673, 676</w:t>
      </w:r>
      <w:r>
        <w:rPr>
          <w:lang w:val="en-US"/>
        </w:rPr>
        <w:t xml:space="preserve"> = 1910 U.S. LEXIS </w:t>
      </w:r>
      <w:r w:rsidRPr="00F1258B">
        <w:rPr>
          <w:lang w:val="en-US"/>
        </w:rPr>
        <w:t>1945, 12 (1910)</w:t>
      </w:r>
      <w:r>
        <w:rPr>
          <w:lang w:val="en-US"/>
        </w:rPr>
        <w:t>.</w:t>
      </w:r>
    </w:p>
  </w:footnote>
  <w:footnote w:id="1168">
    <w:p w14:paraId="00068A0C" w14:textId="77777777" w:rsidR="00074551" w:rsidRPr="00341317" w:rsidRDefault="00074551" w:rsidP="00074551">
      <w:pPr>
        <w:pStyle w:val="Funotentext"/>
        <w:rPr>
          <w:lang w:val="en-US"/>
        </w:rPr>
      </w:pPr>
      <w:r>
        <w:rPr>
          <w:rStyle w:val="Funotenzeichen"/>
          <w:rFonts w:eastAsiaTheme="majorEastAsia"/>
        </w:rPr>
        <w:footnoteRef/>
      </w:r>
      <w:r w:rsidRPr="00341317">
        <w:rPr>
          <w:lang w:val="en-US"/>
        </w:rPr>
        <w:t xml:space="preserve"> </w:t>
      </w:r>
      <w:r w:rsidRPr="009167A5">
        <w:rPr>
          <w:i/>
          <w:lang w:val="en-US"/>
        </w:rPr>
        <w:t>Yu Cong Eng v. Trinidad</w:t>
      </w:r>
      <w:r w:rsidRPr="00341317">
        <w:rPr>
          <w:lang w:val="en-US"/>
        </w:rPr>
        <w:t>, 271 U.S. 500, 506</w:t>
      </w:r>
      <w:r w:rsidRPr="006E67FE">
        <w:rPr>
          <w:lang w:val="en-US"/>
        </w:rPr>
        <w:t xml:space="preserve"> = 46 S. Ct</w:t>
      </w:r>
      <w:r w:rsidRPr="00341317">
        <w:rPr>
          <w:lang w:val="en-US"/>
        </w:rPr>
        <w:t>. 619, 619</w:t>
      </w:r>
      <w:r w:rsidRPr="006E67FE">
        <w:rPr>
          <w:lang w:val="en-US"/>
        </w:rPr>
        <w:t xml:space="preserve"> = 70 L. Ed. </w:t>
      </w:r>
      <w:r w:rsidRPr="00341317">
        <w:rPr>
          <w:lang w:val="en-US"/>
        </w:rPr>
        <w:t>1059, 1062</w:t>
      </w:r>
      <w:r w:rsidRPr="006E67FE">
        <w:rPr>
          <w:lang w:val="en-US"/>
        </w:rPr>
        <w:t xml:space="preserve"> = 1926 U.S. LEXIS </w:t>
      </w:r>
      <w:r w:rsidRPr="00341317">
        <w:rPr>
          <w:lang w:val="en-US"/>
        </w:rPr>
        <w:t>642, 1 (1926)</w:t>
      </w:r>
      <w:r>
        <w:rPr>
          <w:lang w:val="en-US"/>
        </w:rPr>
        <w:t>.</w:t>
      </w:r>
    </w:p>
  </w:footnote>
  <w:footnote w:id="1169">
    <w:p w14:paraId="15EAB04D"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Adams v. Tanner</w:t>
      </w:r>
      <w:r w:rsidRPr="00E44BD0">
        <w:rPr>
          <w:lang w:val="en-US"/>
        </w:rPr>
        <w:t>, 244 U.S. 590</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70">
    <w:p w14:paraId="677A2774"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Adams v. Tanner</w:t>
      </w:r>
      <w:r w:rsidRPr="00E44BD0">
        <w:rPr>
          <w:lang w:val="en-US"/>
        </w:rPr>
        <w:t>, 244 U.S. 590</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71">
    <w:p w14:paraId="54487E73" w14:textId="77777777" w:rsidR="00074551" w:rsidRPr="00DC39A8" w:rsidRDefault="00074551" w:rsidP="00074551">
      <w:pPr>
        <w:pStyle w:val="Funotentext"/>
        <w:ind w:left="227" w:hanging="227"/>
        <w:rPr>
          <w:lang w:val="en-US"/>
        </w:rPr>
      </w:pPr>
      <w:r>
        <w:rPr>
          <w:rStyle w:val="Funotenzeichen"/>
          <w:rFonts w:eastAsiaTheme="majorEastAsia"/>
        </w:rPr>
        <w:footnoteRef/>
      </w:r>
      <w:r w:rsidRPr="00DC39A8">
        <w:rPr>
          <w:lang w:val="en-US"/>
        </w:rPr>
        <w:t xml:space="preserve"> </w:t>
      </w:r>
      <w:r w:rsidRPr="009167A5">
        <w:rPr>
          <w:i/>
          <w:lang w:val="en-US"/>
        </w:rPr>
        <w:t>Yu Cong Eng v. Trinidad</w:t>
      </w:r>
      <w:r w:rsidRPr="00DC39A8">
        <w:rPr>
          <w:lang w:val="en-US"/>
        </w:rPr>
        <w:t>, 271 U.S. 500, 527</w:t>
      </w:r>
      <w:r w:rsidRPr="006E67FE">
        <w:rPr>
          <w:lang w:val="en-US"/>
        </w:rPr>
        <w:t xml:space="preserve"> = 46 S. Ct</w:t>
      </w:r>
      <w:r w:rsidRPr="00DC39A8">
        <w:rPr>
          <w:lang w:val="en-US"/>
        </w:rPr>
        <w:t>. 619, 626</w:t>
      </w:r>
      <w:r w:rsidRPr="006E67FE">
        <w:rPr>
          <w:lang w:val="en-US"/>
        </w:rPr>
        <w:t xml:space="preserve"> = 70 L. Ed. </w:t>
      </w:r>
      <w:r w:rsidRPr="00DC39A8">
        <w:rPr>
          <w:lang w:val="en-US"/>
        </w:rPr>
        <w:t>1059, 1070</w:t>
      </w:r>
      <w:r w:rsidRPr="006E67FE">
        <w:rPr>
          <w:lang w:val="en-US"/>
        </w:rPr>
        <w:t xml:space="preserve"> = 1926 U.S. LEXIS </w:t>
      </w:r>
      <w:r w:rsidRPr="00DC39A8">
        <w:rPr>
          <w:lang w:val="en-US"/>
        </w:rPr>
        <w:t>642, 47 (1926)</w:t>
      </w:r>
      <w:r>
        <w:rPr>
          <w:lang w:val="en-US"/>
        </w:rPr>
        <w:t>.</w:t>
      </w:r>
    </w:p>
  </w:footnote>
  <w:footnote w:id="1172">
    <w:p w14:paraId="7C27EC52" w14:textId="77777777" w:rsidR="00074551" w:rsidRPr="001C7C4A" w:rsidRDefault="00074551" w:rsidP="00074551">
      <w:pPr>
        <w:pStyle w:val="Funotentext"/>
        <w:rPr>
          <w:lang w:val="en-US"/>
        </w:rPr>
      </w:pPr>
      <w:r>
        <w:rPr>
          <w:rStyle w:val="Funotenzeichen"/>
        </w:rPr>
        <w:footnoteRef/>
      </w:r>
      <w:r w:rsidRPr="001C7C4A">
        <w:rPr>
          <w:lang w:val="en-US"/>
        </w:rPr>
        <w:t xml:space="preserve"> </w:t>
      </w:r>
      <w:r>
        <w:rPr>
          <w:lang w:val="en-US"/>
        </w:rPr>
        <w:t>„</w:t>
      </w:r>
      <w:r w:rsidRPr="001C7C4A">
        <w:rPr>
          <w:lang w:val="en-US"/>
        </w:rPr>
        <w:t xml:space="preserve">Chinese Bookkeeping Act, Act No. 2972, which made it unlawful for any Chinese merchant to keep account books in any language other than English, Spanish, or a Philippine </w:t>
      </w:r>
      <w:proofErr w:type="gramStart"/>
      <w:r w:rsidRPr="001C7C4A">
        <w:rPr>
          <w:lang w:val="en-US"/>
        </w:rPr>
        <w:t>dialect</w:t>
      </w:r>
      <w:r>
        <w:rPr>
          <w:lang w:val="en-US"/>
        </w:rPr>
        <w:t>“</w:t>
      </w:r>
      <w:proofErr w:type="gramEnd"/>
      <w:r w:rsidRPr="001C7C4A">
        <w:rPr>
          <w:lang w:val="en-US"/>
        </w:rPr>
        <w:t>,</w:t>
      </w:r>
      <w:r>
        <w:rPr>
          <w:lang w:val="en-US"/>
        </w:rPr>
        <w:t xml:space="preserve"> </w:t>
      </w:r>
      <w:r w:rsidRPr="009167A5">
        <w:rPr>
          <w:i/>
          <w:lang w:val="en-US"/>
        </w:rPr>
        <w:t>Yu Cong Eng v. Trinidad</w:t>
      </w:r>
      <w:r w:rsidRPr="001C7C4A">
        <w:rPr>
          <w:lang w:val="en-US"/>
        </w:rPr>
        <w:t>, 271 U.S. 500, 506</w:t>
      </w:r>
      <w:r w:rsidRPr="006E67FE">
        <w:rPr>
          <w:lang w:val="en-US"/>
        </w:rPr>
        <w:t xml:space="preserve"> = 46 S. Ct</w:t>
      </w:r>
      <w:r w:rsidRPr="001C7C4A">
        <w:rPr>
          <w:lang w:val="en-US"/>
        </w:rPr>
        <w:t>. 619, 619</w:t>
      </w:r>
      <w:r w:rsidRPr="006E67FE">
        <w:rPr>
          <w:lang w:val="en-US"/>
        </w:rPr>
        <w:t xml:space="preserve"> = 70 L. Ed. </w:t>
      </w:r>
      <w:r w:rsidRPr="001C7C4A">
        <w:rPr>
          <w:lang w:val="en-US"/>
        </w:rPr>
        <w:t>1059, 1062</w:t>
      </w:r>
      <w:r w:rsidRPr="006E67FE">
        <w:rPr>
          <w:lang w:val="en-US"/>
        </w:rPr>
        <w:t xml:space="preserve"> = 1926 U.S. LEXIS </w:t>
      </w:r>
      <w:r w:rsidRPr="001C7C4A">
        <w:rPr>
          <w:lang w:val="en-US"/>
        </w:rPr>
        <w:t>642, 1 (1926).</w:t>
      </w:r>
    </w:p>
  </w:footnote>
  <w:footnote w:id="1173">
    <w:p w14:paraId="22A2113C"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B45592">
        <w:rPr>
          <w:i/>
          <w:lang w:val="en-US"/>
        </w:rPr>
        <w:t>Holden v. Hardy</w:t>
      </w:r>
      <w:r w:rsidRPr="00E44BD0">
        <w:rPr>
          <w:lang w:val="en-US"/>
        </w:rPr>
        <w:t>, 169 U.S. 366, 398</w:t>
      </w:r>
      <w:r>
        <w:rPr>
          <w:lang w:val="en-US"/>
        </w:rPr>
        <w:t xml:space="preserve">; </w:t>
      </w:r>
      <w:r w:rsidRPr="009167A5">
        <w:rPr>
          <w:i/>
          <w:lang w:val="en-US"/>
        </w:rPr>
        <w:t>Yu Cong Eng v. Trinidad</w:t>
      </w:r>
      <w:r w:rsidRPr="00E44BD0">
        <w:rPr>
          <w:lang w:val="en-US"/>
        </w:rPr>
        <w:t>, 271 U.S. 500, 526</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45 (1926)</w:t>
      </w:r>
      <w:r>
        <w:rPr>
          <w:lang w:val="en-US"/>
        </w:rPr>
        <w:t>.</w:t>
      </w:r>
    </w:p>
  </w:footnote>
  <w:footnote w:id="1174">
    <w:p w14:paraId="3E7BDF9F"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Meyer v. Nebraska</w:t>
      </w:r>
      <w:r w:rsidRPr="00E44BD0">
        <w:rPr>
          <w:lang w:val="en-US"/>
        </w:rPr>
        <w:t>, 262 U.S. 390</w:t>
      </w:r>
      <w:r>
        <w:rPr>
          <w:lang w:val="en-US"/>
        </w:rPr>
        <w:t xml:space="preserve">; </w:t>
      </w:r>
      <w:r w:rsidRPr="009167A5">
        <w:rPr>
          <w:i/>
          <w:lang w:val="en-US"/>
        </w:rPr>
        <w:t>Yu Cong Eng v. Trinidad</w:t>
      </w:r>
      <w:r w:rsidRPr="00E44BD0">
        <w:rPr>
          <w:lang w:val="en-US"/>
        </w:rPr>
        <w:t>, 271 U.S. 500, 526</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45 (1926)</w:t>
      </w:r>
      <w:r>
        <w:rPr>
          <w:lang w:val="en-US"/>
        </w:rPr>
        <w:t>.</w:t>
      </w:r>
    </w:p>
  </w:footnote>
  <w:footnote w:id="1175">
    <w:p w14:paraId="313EB2C6"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B45592">
        <w:rPr>
          <w:i/>
          <w:lang w:val="en-US"/>
        </w:rPr>
        <w:t>Holden v. Hardy</w:t>
      </w:r>
      <w:r w:rsidRPr="00E44BD0">
        <w:rPr>
          <w:lang w:val="en-US"/>
        </w:rPr>
        <w:t>, 169 U.S. 366, 398</w:t>
      </w:r>
      <w:r>
        <w:rPr>
          <w:lang w:val="en-US"/>
        </w:rPr>
        <w:t xml:space="preserve">; </w:t>
      </w:r>
      <w:r w:rsidRPr="009167A5">
        <w:rPr>
          <w:i/>
          <w:lang w:val="en-US"/>
        </w:rPr>
        <w:t>Yu Cong Eng v. Trinidad</w:t>
      </w:r>
      <w:r w:rsidRPr="00E44BD0">
        <w:rPr>
          <w:lang w:val="en-US"/>
        </w:rPr>
        <w:t>, 271 U.S. 500, 526</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45 (1926)</w:t>
      </w:r>
      <w:r>
        <w:rPr>
          <w:lang w:val="en-US"/>
        </w:rPr>
        <w:t>.</w:t>
      </w:r>
    </w:p>
  </w:footnote>
  <w:footnote w:id="1176">
    <w:p w14:paraId="4D5D31DE"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Meyer v. Nebraska</w:t>
      </w:r>
      <w:r w:rsidRPr="00E44BD0">
        <w:rPr>
          <w:lang w:val="en-US"/>
        </w:rPr>
        <w:t>, 262 U.S. 390</w:t>
      </w:r>
      <w:r>
        <w:rPr>
          <w:lang w:val="en-US"/>
        </w:rPr>
        <w:t xml:space="preserve">; </w:t>
      </w:r>
      <w:r w:rsidRPr="009167A5">
        <w:rPr>
          <w:i/>
          <w:lang w:val="en-US"/>
        </w:rPr>
        <w:t>Yu Cong Eng v. Trinidad</w:t>
      </w:r>
      <w:r w:rsidRPr="00E44BD0">
        <w:rPr>
          <w:lang w:val="en-US"/>
        </w:rPr>
        <w:t>, 271 U.S. 500, 526</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45 (1926)</w:t>
      </w:r>
      <w:r>
        <w:rPr>
          <w:lang w:val="en-US"/>
        </w:rPr>
        <w:t>.</w:t>
      </w:r>
    </w:p>
  </w:footnote>
  <w:footnote w:id="1177">
    <w:p w14:paraId="0B4EE69F" w14:textId="77777777" w:rsidR="00074551" w:rsidRPr="00D83E4F"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B45592">
        <w:rPr>
          <w:i/>
          <w:lang w:val="en-US"/>
        </w:rPr>
        <w:t>Meyer v. Nebraska</w:t>
      </w:r>
      <w:r w:rsidRPr="00D83E4F">
        <w:rPr>
          <w:lang w:val="en-US"/>
        </w:rPr>
        <w:t>, 262 U.S. 39</w:t>
      </w:r>
      <w:r w:rsidRPr="00B45592">
        <w:rPr>
          <w:lang w:val="en-US"/>
        </w:rPr>
        <w:t xml:space="preserve">0; </w:t>
      </w:r>
      <w:r w:rsidRPr="00D83E4F">
        <w:rPr>
          <w:i/>
          <w:lang w:val="en-US"/>
        </w:rPr>
        <w:t>Yu Cong Eng v. Trinidad</w:t>
      </w:r>
      <w:r w:rsidRPr="00D83E4F">
        <w:rPr>
          <w:lang w:val="en-US"/>
        </w:rPr>
        <w:t>, 271 U.S. 500, 526 = 46 S. Ct. 619, 626 = 70 L. Ed. 1059, 1070 = 1926 U.S. LEXIS 642, 45 (1926).</w:t>
      </w:r>
    </w:p>
  </w:footnote>
  <w:footnote w:id="1178">
    <w:p w14:paraId="6CF2147C" w14:textId="77777777" w:rsidR="00074551" w:rsidRPr="00D83E4F"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B45592">
        <w:rPr>
          <w:i/>
          <w:lang w:val="en-US"/>
        </w:rPr>
        <w:t>Pierce v. Society of Sisters</w:t>
      </w:r>
      <w:r w:rsidRPr="00D83E4F">
        <w:rPr>
          <w:lang w:val="en-US"/>
        </w:rPr>
        <w:t>, 268 U.S. 510</w:t>
      </w:r>
      <w:r w:rsidRPr="00B45592">
        <w:rPr>
          <w:lang w:val="en-US"/>
        </w:rPr>
        <w:t xml:space="preserve"> </w:t>
      </w:r>
      <w:r w:rsidRPr="00B45592">
        <w:rPr>
          <w:lang w:val="en-IE"/>
        </w:rPr>
        <w:t>(1925)</w:t>
      </w:r>
      <w:r w:rsidRPr="00B45592">
        <w:rPr>
          <w:lang w:val="en-US"/>
        </w:rPr>
        <w:t>.</w:t>
      </w:r>
    </w:p>
  </w:footnote>
  <w:footnote w:id="1179">
    <w:p w14:paraId="1E08D821" w14:textId="77777777" w:rsidR="00074551" w:rsidRPr="00D83E4F"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B45592">
        <w:rPr>
          <w:i/>
          <w:lang w:val="en-US"/>
        </w:rPr>
        <w:t>Truax v. Raich</w:t>
      </w:r>
      <w:r w:rsidRPr="00D83E4F">
        <w:rPr>
          <w:lang w:val="en-US"/>
        </w:rPr>
        <w:t>, 239 U.S. 33</w:t>
      </w:r>
      <w:r w:rsidRPr="00B45592">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0">
    <w:p w14:paraId="54581FDC" w14:textId="77777777" w:rsidR="00074551" w:rsidRPr="00D83E4F"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D83E4F">
        <w:rPr>
          <w:i/>
          <w:lang w:val="en-US"/>
        </w:rPr>
        <w:t>Adams v. Tanner</w:t>
      </w:r>
      <w:r w:rsidRPr="00D83E4F">
        <w:rPr>
          <w:lang w:val="en-US"/>
        </w:rPr>
        <w:t>, 244 U.S. 590</w:t>
      </w:r>
      <w:r w:rsidRPr="00B45592">
        <w:rPr>
          <w:lang w:val="en-US"/>
        </w:rPr>
        <w:t xml:space="preserve">; </w:t>
      </w:r>
      <w:r w:rsidRPr="00D83E4F">
        <w:rPr>
          <w:i/>
          <w:lang w:val="en-US"/>
        </w:rPr>
        <w:t>Yu Cong Eng v. Trinidad</w:t>
      </w:r>
      <w:r w:rsidRPr="00D83E4F">
        <w:rPr>
          <w:lang w:val="en-US"/>
        </w:rPr>
        <w:t>, 271 U.S. 500, 527 = 46 S. Ct. 619, 626 = 70 L. Ed. 1059, 1070 = 1926 U.S. LEXIS 642, 47 (1926).</w:t>
      </w:r>
    </w:p>
  </w:footnote>
  <w:footnote w:id="1181">
    <w:p w14:paraId="53CB2BC3" w14:textId="77777777" w:rsidR="00074551" w:rsidRPr="00E44BD0"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D83E4F">
        <w:rPr>
          <w:i/>
          <w:lang w:val="en-US"/>
        </w:rPr>
        <w:t>Adams v. Tanner</w:t>
      </w:r>
      <w:r w:rsidRPr="00D83E4F">
        <w:rPr>
          <w:lang w:val="en-US"/>
        </w:rPr>
        <w:t>, 244 U.S. 590;</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2">
    <w:p w14:paraId="345AC6CF"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Adams v. Tanner</w:t>
      </w:r>
      <w:r w:rsidRPr="00E44BD0">
        <w:rPr>
          <w:lang w:val="en-US"/>
        </w:rPr>
        <w:t>, 244 U.S. 590</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3">
    <w:p w14:paraId="1989CD6A"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DA67E4">
        <w:rPr>
          <w:i/>
          <w:lang w:val="en-IE"/>
        </w:rPr>
        <w:t>Yu Cong Eng v. Trinidad</w:t>
      </w:r>
      <w:r w:rsidRPr="00DA67E4">
        <w:rPr>
          <w:lang w:val="en-IE"/>
        </w:rPr>
        <w:t>, 271 U.S. 500, 527</w:t>
      </w:r>
      <w:r w:rsidRPr="00DA67E4">
        <w:rPr>
          <w:rFonts w:eastAsiaTheme="majorEastAsia"/>
          <w:lang w:val="en-IE"/>
        </w:rPr>
        <w:t xml:space="preserve"> =</w:t>
      </w:r>
      <w:r w:rsidRPr="00DA67E4">
        <w:rPr>
          <w:lang w:val="en-IE"/>
        </w:rPr>
        <w:t xml:space="preserve"> 46 S. Ct. 619, 626</w:t>
      </w:r>
      <w:r w:rsidRPr="00DA67E4">
        <w:rPr>
          <w:rFonts w:eastAsiaTheme="majorEastAsia"/>
          <w:lang w:val="en-IE"/>
        </w:rPr>
        <w:t xml:space="preserve"> =</w:t>
      </w:r>
      <w:r w:rsidRPr="00DA67E4">
        <w:rPr>
          <w:lang w:val="en-IE"/>
        </w:rPr>
        <w:t xml:space="preserve"> 70 L. Ed. 1059, 1070</w:t>
      </w:r>
      <w:r w:rsidRPr="00DA67E4">
        <w:rPr>
          <w:rFonts w:eastAsiaTheme="majorEastAsia"/>
          <w:lang w:val="en-IE"/>
        </w:rPr>
        <w:t xml:space="preserve"> =</w:t>
      </w:r>
      <w:r w:rsidRPr="00DA67E4">
        <w:rPr>
          <w:lang w:val="en-IE"/>
        </w:rPr>
        <w:t xml:space="preserve"> 1926 U.S. LEXIS 642, 47 (1926)</w:t>
      </w:r>
      <w:r>
        <w:rPr>
          <w:lang w:val="en-IE"/>
        </w:rPr>
        <w:t>.</w:t>
      </w:r>
    </w:p>
  </w:footnote>
  <w:footnote w:id="1184">
    <w:p w14:paraId="569A29A8"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Adams v. Tanner</w:t>
      </w:r>
      <w:r w:rsidRPr="00E44BD0">
        <w:rPr>
          <w:lang w:val="en-US"/>
        </w:rPr>
        <w:t>, 244 U.S. 590</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5">
    <w:p w14:paraId="733CFD2D"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E57E1">
        <w:rPr>
          <w:i/>
          <w:lang w:val="en-US"/>
        </w:rPr>
        <w:t>Adams v. Tanner</w:t>
      </w:r>
      <w:r w:rsidRPr="00E44BD0">
        <w:rPr>
          <w:lang w:val="en-US"/>
        </w:rPr>
        <w:t>, 244 U.S. 590</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6">
    <w:p w14:paraId="05C99DD0"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D83E4F">
        <w:rPr>
          <w:i/>
          <w:lang w:val="en-US"/>
        </w:rPr>
        <w:t>Truax v. Raich</w:t>
      </w:r>
      <w:r w:rsidRPr="00E44BD0">
        <w:rPr>
          <w:lang w:val="en-US"/>
        </w:rPr>
        <w:t>, 239 U.S. 33</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7">
    <w:p w14:paraId="22B7EEC9"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D83E4F">
        <w:rPr>
          <w:i/>
          <w:lang w:val="en-US"/>
        </w:rPr>
        <w:t>Truax v. Raich</w:t>
      </w:r>
      <w:r w:rsidRPr="00E44BD0">
        <w:rPr>
          <w:lang w:val="en-US"/>
        </w:rPr>
        <w:t>, 239 U.S. 33</w:t>
      </w:r>
      <w:r>
        <w:rPr>
          <w:lang w:val="en-US"/>
        </w:rPr>
        <w:t xml:space="preserve">; </w:t>
      </w:r>
      <w:r w:rsidRPr="009167A5">
        <w:rPr>
          <w:i/>
          <w:lang w:val="en-US"/>
        </w:rPr>
        <w:t>Yu Cong Eng v. Trinidad</w:t>
      </w:r>
      <w:r w:rsidRPr="00E44BD0">
        <w:rPr>
          <w:lang w:val="en-US"/>
        </w:rPr>
        <w:t>, 271 U.S. 500, 527</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47 (1926)</w:t>
      </w:r>
      <w:r>
        <w:rPr>
          <w:lang w:val="en-US"/>
        </w:rPr>
        <w:t>.</w:t>
      </w:r>
    </w:p>
  </w:footnote>
  <w:footnote w:id="1188">
    <w:p w14:paraId="05504DAB" w14:textId="77777777" w:rsidR="00074551" w:rsidRPr="00E44BD0" w:rsidRDefault="00074551" w:rsidP="00074551">
      <w:pPr>
        <w:pStyle w:val="Funotentext"/>
        <w:rPr>
          <w:lang w:val="en-US"/>
        </w:rPr>
      </w:pPr>
      <w:r>
        <w:rPr>
          <w:rStyle w:val="Funotenzeichen"/>
          <w:rFonts w:eastAsiaTheme="majorEastAsia"/>
        </w:rPr>
        <w:footnoteRef/>
      </w:r>
      <w:r w:rsidRPr="00E44BD0">
        <w:rPr>
          <w:lang w:val="en-US"/>
        </w:rPr>
        <w:t xml:space="preserve"> </w:t>
      </w:r>
      <w:r w:rsidRPr="009167A5">
        <w:rPr>
          <w:i/>
          <w:lang w:val="en-US"/>
        </w:rPr>
        <w:t>Yu Cong Eng v. Trinidad</w:t>
      </w:r>
      <w:r w:rsidRPr="00E44BD0">
        <w:rPr>
          <w:lang w:val="en-US"/>
        </w:rPr>
        <w:t>, 271 U.S. 500, 525</w:t>
      </w:r>
      <w:r w:rsidRPr="006E67FE">
        <w:rPr>
          <w:lang w:val="en-US"/>
        </w:rPr>
        <w:t xml:space="preserve"> = 46 S. Ct</w:t>
      </w:r>
      <w:r w:rsidRPr="00E44BD0">
        <w:rPr>
          <w:lang w:val="en-US"/>
        </w:rPr>
        <w:t>. 619, 626</w:t>
      </w:r>
      <w:r w:rsidRPr="006E67FE">
        <w:rPr>
          <w:lang w:val="en-US"/>
        </w:rPr>
        <w:t xml:space="preserve"> = 70 L. Ed. </w:t>
      </w:r>
      <w:r w:rsidRPr="00E44BD0">
        <w:rPr>
          <w:lang w:val="en-US"/>
        </w:rPr>
        <w:t>1059, 1070</w:t>
      </w:r>
      <w:r w:rsidRPr="006E67FE">
        <w:rPr>
          <w:lang w:val="en-US"/>
        </w:rPr>
        <w:t xml:space="preserve"> = 1926 U.S. LEXIS </w:t>
      </w:r>
      <w:r w:rsidRPr="00E44BD0">
        <w:rPr>
          <w:lang w:val="en-US"/>
        </w:rPr>
        <w:t>642, 44 (1926)</w:t>
      </w:r>
      <w:r>
        <w:rPr>
          <w:lang w:val="en-US"/>
        </w:rPr>
        <w:t>.</w:t>
      </w:r>
    </w:p>
  </w:footnote>
  <w:footnote w:id="1189">
    <w:p w14:paraId="74C058E2" w14:textId="77777777" w:rsidR="00074551" w:rsidRPr="00810879" w:rsidRDefault="00074551" w:rsidP="00074551">
      <w:pPr>
        <w:pStyle w:val="Funotentext"/>
        <w:rPr>
          <w:lang w:val="en-US"/>
        </w:rPr>
      </w:pPr>
      <w:r>
        <w:rPr>
          <w:rStyle w:val="Funotenzeichen"/>
        </w:rPr>
        <w:footnoteRef/>
      </w:r>
      <w:r w:rsidRPr="00810879">
        <w:rPr>
          <w:lang w:val="en-US"/>
        </w:rPr>
        <w:t xml:space="preserve"> </w:t>
      </w:r>
      <w:r w:rsidRPr="00D83E4F">
        <w:rPr>
          <w:i/>
          <w:lang w:val="en-US"/>
        </w:rPr>
        <w:t>Russo v. Byrne</w:t>
      </w:r>
      <w:r w:rsidRPr="00810879">
        <w:rPr>
          <w:lang w:val="en-US"/>
        </w:rPr>
        <w:t>, 409 U.S. 1013, 1013</w:t>
      </w:r>
      <w:r>
        <w:rPr>
          <w:lang w:val="en-US"/>
        </w:rPr>
        <w:t xml:space="preserve"> = 93 S. Ct. </w:t>
      </w:r>
      <w:r w:rsidRPr="00810879">
        <w:rPr>
          <w:lang w:val="en-US"/>
        </w:rPr>
        <w:t>433, 433</w:t>
      </w:r>
      <w:r w:rsidRPr="006E67FE">
        <w:rPr>
          <w:lang w:val="en-US"/>
        </w:rPr>
        <w:t xml:space="preserve"> = 34 L. Ed. </w:t>
      </w:r>
      <w:r w:rsidRPr="00810879">
        <w:rPr>
          <w:lang w:val="en-US"/>
        </w:rPr>
        <w:t>2d 307, 308</w:t>
      </w:r>
      <w:r>
        <w:rPr>
          <w:lang w:val="en-US"/>
        </w:rPr>
        <w:t xml:space="preserve"> = 1972 U.S. LEXIS </w:t>
      </w:r>
      <w:r w:rsidRPr="00810879">
        <w:rPr>
          <w:lang w:val="en-US"/>
        </w:rPr>
        <w:t>703, 1 (1972)</w:t>
      </w:r>
      <w:r>
        <w:rPr>
          <w:lang w:val="en-US"/>
        </w:rPr>
        <w:t>.</w:t>
      </w:r>
    </w:p>
  </w:footnote>
  <w:footnote w:id="1190">
    <w:p w14:paraId="121EC60C" w14:textId="77777777" w:rsidR="00074551" w:rsidRPr="005A755B" w:rsidRDefault="00074551" w:rsidP="00074551">
      <w:pPr>
        <w:pStyle w:val="Funotentext"/>
        <w:ind w:left="227" w:hanging="227"/>
        <w:rPr>
          <w:lang w:val="en-US"/>
        </w:rPr>
      </w:pPr>
      <w:r>
        <w:rPr>
          <w:rStyle w:val="Funotenzeichen"/>
          <w:rFonts w:eastAsiaTheme="majorEastAsia"/>
        </w:rPr>
        <w:footnoteRef/>
      </w:r>
      <w:r w:rsidRPr="005A755B">
        <w:rPr>
          <w:lang w:val="en-US"/>
        </w:rPr>
        <w:t xml:space="preserve"> </w:t>
      </w:r>
      <w:r w:rsidRPr="009167A5">
        <w:rPr>
          <w:i/>
          <w:lang w:val="en-US"/>
        </w:rPr>
        <w:t>Olmstead v. United States</w:t>
      </w:r>
      <w:r w:rsidRPr="005A755B">
        <w:rPr>
          <w:lang w:val="en-US"/>
        </w:rPr>
        <w:t>, 277 U.S. 438, 470 (</w:t>
      </w:r>
      <w:r>
        <w:rPr>
          <w:lang w:val="en-US"/>
        </w:rPr>
        <w:t>Dissens</w:t>
      </w:r>
      <w:r w:rsidRPr="005A755B">
        <w:rPr>
          <w:lang w:val="en-US"/>
        </w:rPr>
        <w:t>)</w:t>
      </w:r>
      <w:r>
        <w:rPr>
          <w:lang w:val="en-US"/>
        </w:rPr>
        <w:t xml:space="preserve">; </w:t>
      </w:r>
      <w:r w:rsidRPr="00D83E4F">
        <w:rPr>
          <w:i/>
          <w:lang w:val="en-US"/>
        </w:rPr>
        <w:t>Russo v. Byrne</w:t>
      </w:r>
      <w:r w:rsidRPr="005A755B">
        <w:rPr>
          <w:lang w:val="en-US"/>
        </w:rPr>
        <w:t>, 409 U.S. 1013, 1014</w:t>
      </w:r>
      <w:r>
        <w:rPr>
          <w:lang w:val="en-US"/>
        </w:rPr>
        <w:t xml:space="preserve"> = 93 S. Ct. </w:t>
      </w:r>
      <w:r w:rsidRPr="005A755B">
        <w:rPr>
          <w:lang w:val="en-US"/>
        </w:rPr>
        <w:t>433, 434</w:t>
      </w:r>
      <w:r w:rsidRPr="006E67FE">
        <w:rPr>
          <w:lang w:val="en-US"/>
        </w:rPr>
        <w:t xml:space="preserve"> = 34 L. Ed. </w:t>
      </w:r>
      <w:r w:rsidRPr="005A755B">
        <w:rPr>
          <w:lang w:val="en-US"/>
        </w:rPr>
        <w:t>2d 307, 308</w:t>
      </w:r>
      <w:r>
        <w:rPr>
          <w:lang w:val="en-US"/>
        </w:rPr>
        <w:t xml:space="preserve"> = 1972 U.S. LEXIS </w:t>
      </w:r>
      <w:r w:rsidRPr="005A755B">
        <w:rPr>
          <w:lang w:val="en-US"/>
        </w:rPr>
        <w:t>703, 2 (1972)</w:t>
      </w:r>
      <w:r>
        <w:rPr>
          <w:lang w:val="en-US"/>
        </w:rPr>
        <w:t>.</w:t>
      </w:r>
    </w:p>
  </w:footnote>
  <w:footnote w:id="1191">
    <w:p w14:paraId="41A07C12" w14:textId="77777777" w:rsidR="00074551" w:rsidRPr="0008745F" w:rsidRDefault="00074551" w:rsidP="00074551">
      <w:pPr>
        <w:pStyle w:val="Funotentext"/>
        <w:rPr>
          <w:lang w:val="en-US"/>
        </w:rPr>
      </w:pPr>
      <w:r>
        <w:rPr>
          <w:rStyle w:val="Funotenzeichen"/>
          <w:rFonts w:eastAsiaTheme="majorEastAsia"/>
        </w:rPr>
        <w:footnoteRef/>
      </w:r>
      <w:r w:rsidRPr="0008745F">
        <w:rPr>
          <w:lang w:val="en-US"/>
        </w:rPr>
        <w:t xml:space="preserve"> </w:t>
      </w:r>
      <w:r w:rsidRPr="00D83E4F">
        <w:rPr>
          <w:i/>
          <w:lang w:val="en-US"/>
        </w:rPr>
        <w:t>Russo v. Byrne</w:t>
      </w:r>
      <w:r w:rsidRPr="0008745F">
        <w:rPr>
          <w:lang w:val="en-US"/>
        </w:rPr>
        <w:t>, 409 U.S. 1013, 1014</w:t>
      </w:r>
      <w:r>
        <w:rPr>
          <w:lang w:val="en-US"/>
        </w:rPr>
        <w:t xml:space="preserve"> = 93 S. Ct. </w:t>
      </w:r>
      <w:r w:rsidRPr="0008745F">
        <w:rPr>
          <w:lang w:val="en-US"/>
        </w:rPr>
        <w:t>433, 434</w:t>
      </w:r>
      <w:r w:rsidRPr="006E67FE">
        <w:rPr>
          <w:lang w:val="en-US"/>
        </w:rPr>
        <w:t xml:space="preserve"> = 34 L. Ed. </w:t>
      </w:r>
      <w:r w:rsidRPr="0008745F">
        <w:rPr>
          <w:lang w:val="en-US"/>
        </w:rPr>
        <w:t>2d 307, 308</w:t>
      </w:r>
      <w:r>
        <w:rPr>
          <w:lang w:val="en-US"/>
        </w:rPr>
        <w:t xml:space="preserve"> = 1972 U.S. LEXIS </w:t>
      </w:r>
      <w:r w:rsidRPr="0008745F">
        <w:rPr>
          <w:lang w:val="en-US"/>
        </w:rPr>
        <w:t>703, 2 (1972)</w:t>
      </w:r>
      <w:r>
        <w:rPr>
          <w:lang w:val="en-US"/>
        </w:rPr>
        <w:t>.</w:t>
      </w:r>
    </w:p>
  </w:footnote>
  <w:footnote w:id="1192">
    <w:p w14:paraId="44C4A3D8" w14:textId="77777777" w:rsidR="00074551" w:rsidRPr="00762EEE" w:rsidRDefault="00074551" w:rsidP="00074551">
      <w:pPr>
        <w:pStyle w:val="Funotentext"/>
        <w:rPr>
          <w:lang w:val="en-US"/>
        </w:rPr>
      </w:pPr>
      <w:r>
        <w:rPr>
          <w:rStyle w:val="Funotenzeichen"/>
          <w:rFonts w:eastAsiaTheme="majorEastAsia"/>
        </w:rPr>
        <w:footnoteRef/>
      </w:r>
      <w:r w:rsidRPr="00762EEE">
        <w:rPr>
          <w:lang w:val="en-US"/>
        </w:rPr>
        <w:t xml:space="preserve"> </w:t>
      </w:r>
      <w:r w:rsidRPr="00D83E4F">
        <w:rPr>
          <w:i/>
          <w:lang w:val="en-US"/>
        </w:rPr>
        <w:t>Russo v. Byrne</w:t>
      </w:r>
      <w:r w:rsidRPr="00762EEE">
        <w:rPr>
          <w:lang w:val="en-US"/>
        </w:rPr>
        <w:t>, 409 U.S. 1013, 1014</w:t>
      </w:r>
      <w:r>
        <w:rPr>
          <w:lang w:val="en-US"/>
        </w:rPr>
        <w:t xml:space="preserve"> = 93 S. Ct. </w:t>
      </w:r>
      <w:r w:rsidRPr="00762EEE">
        <w:rPr>
          <w:lang w:val="en-US"/>
        </w:rPr>
        <w:t>433, 434</w:t>
      </w:r>
      <w:r w:rsidRPr="006E67FE">
        <w:rPr>
          <w:lang w:val="en-US"/>
        </w:rPr>
        <w:t xml:space="preserve"> = 34 L. Ed. </w:t>
      </w:r>
      <w:r w:rsidRPr="00762EEE">
        <w:rPr>
          <w:lang w:val="en-US"/>
        </w:rPr>
        <w:t>2d 307, 308</w:t>
      </w:r>
      <w:r>
        <w:rPr>
          <w:lang w:val="en-US"/>
        </w:rPr>
        <w:t xml:space="preserve"> = 1972 U.S. LEXIS </w:t>
      </w:r>
      <w:r w:rsidRPr="00762EEE">
        <w:rPr>
          <w:lang w:val="en-US"/>
        </w:rPr>
        <w:t>703, 2 (1972)</w:t>
      </w:r>
      <w:r>
        <w:rPr>
          <w:lang w:val="en-US"/>
        </w:rPr>
        <w:t>.</w:t>
      </w:r>
    </w:p>
  </w:footnote>
  <w:footnote w:id="1193">
    <w:p w14:paraId="46CE5F20" w14:textId="77777777" w:rsidR="00074551" w:rsidRPr="001E4134" w:rsidRDefault="00074551" w:rsidP="00074551">
      <w:pPr>
        <w:pStyle w:val="Funotentext"/>
        <w:rPr>
          <w:lang w:val="en-US"/>
        </w:rPr>
      </w:pPr>
      <w:r>
        <w:rPr>
          <w:rStyle w:val="Funotenzeichen"/>
        </w:rPr>
        <w:footnoteRef/>
      </w:r>
      <w:r w:rsidRPr="001E4134">
        <w:rPr>
          <w:lang w:val="en-US"/>
        </w:rPr>
        <w:t xml:space="preserve"> </w:t>
      </w:r>
      <w:r>
        <w:rPr>
          <w:lang w:val="en-US"/>
        </w:rPr>
        <w:t>„</w:t>
      </w:r>
      <w:r w:rsidRPr="001E4134">
        <w:rPr>
          <w:lang w:val="en-US"/>
        </w:rPr>
        <w:t>Garnishment occurs at the beginning of the suit upon the direction of the plaintiff</w:t>
      </w:r>
      <w:r>
        <w:rPr>
          <w:lang w:val="en-US"/>
        </w:rPr>
        <w:t>’</w:t>
      </w:r>
      <w:r w:rsidRPr="001E4134">
        <w:rPr>
          <w:lang w:val="en-US"/>
        </w:rPr>
        <w:t>s lawyer, acting as a Commissioner of the Superior Court. Conn. Gen. Stat. Rev. §</w:t>
      </w:r>
      <w:r>
        <w:rPr>
          <w:lang w:val="en-US"/>
        </w:rPr>
        <w:t>§ </w:t>
      </w:r>
      <w:r w:rsidRPr="001E4134">
        <w:rPr>
          <w:lang w:val="en-US"/>
        </w:rPr>
        <w:t xml:space="preserve">51-85, 52-89. </w:t>
      </w:r>
      <w:proofErr w:type="gramStart"/>
      <w:r>
        <w:rPr>
          <w:lang w:val="en-US"/>
        </w:rPr>
        <w:t>,</w:t>
      </w:r>
      <w:r w:rsidRPr="001E4134">
        <w:rPr>
          <w:lang w:val="en-US"/>
        </w:rPr>
        <w:t>The</w:t>
      </w:r>
      <w:proofErr w:type="gramEnd"/>
      <w:r w:rsidRPr="001E4134">
        <w:rPr>
          <w:lang w:val="en-US"/>
        </w:rPr>
        <w:t xml:space="preserve"> plaintiff or his attorney merely includes in his writ of summons a direction to the sheriff to make an attachment or serve garnishment </w:t>
      </w:r>
      <w:proofErr w:type="gramStart"/>
      <w:r w:rsidRPr="001E4134">
        <w:rPr>
          <w:lang w:val="en-US"/>
        </w:rPr>
        <w:t>process</w:t>
      </w:r>
      <w:r>
        <w:rPr>
          <w:lang w:val="en-US"/>
        </w:rPr>
        <w:t>‘</w:t>
      </w:r>
      <w:r w:rsidRPr="001E4134">
        <w:rPr>
          <w:lang w:val="en-US"/>
        </w:rPr>
        <w:t xml:space="preserve"> 1</w:t>
      </w:r>
      <w:proofErr w:type="gramEnd"/>
      <w:r w:rsidRPr="001E4134">
        <w:rPr>
          <w:lang w:val="en-US"/>
        </w:rPr>
        <w:t xml:space="preserve"> E. Stephenson, Connecticut Civil Procedure 151 (2d ed. 1970</w:t>
      </w:r>
      <w:proofErr w:type="gramStart"/>
      <w:r w:rsidRPr="001E4134">
        <w:rPr>
          <w:lang w:val="en-US"/>
        </w:rPr>
        <w:t>).</w:t>
      </w:r>
      <w:r>
        <w:rPr>
          <w:lang w:val="en-US"/>
        </w:rPr>
        <w:t>“</w:t>
      </w:r>
      <w:proofErr w:type="gramEnd"/>
      <w:r>
        <w:rPr>
          <w:lang w:val="en-US"/>
        </w:rPr>
        <w:t xml:space="preserve">, </w:t>
      </w:r>
      <w:r w:rsidRPr="00D83E4F">
        <w:rPr>
          <w:i/>
          <w:lang w:val="en-US"/>
        </w:rPr>
        <w:t>Lynch v. Household Finance Corp.</w:t>
      </w:r>
      <w:r w:rsidRPr="001E4134">
        <w:rPr>
          <w:lang w:val="en-US"/>
        </w:rPr>
        <w:t>, 405 U.S. 538, 553</w:t>
      </w:r>
      <w:r>
        <w:rPr>
          <w:lang w:val="en-US"/>
        </w:rPr>
        <w:t xml:space="preserve"> = 92 S. Ct. </w:t>
      </w:r>
      <w:r w:rsidRPr="001E4134">
        <w:rPr>
          <w:lang w:val="en-US"/>
        </w:rPr>
        <w:t>1113, 1123</w:t>
      </w:r>
      <w:r>
        <w:rPr>
          <w:lang w:val="en-US"/>
        </w:rPr>
        <w:t xml:space="preserve"> = 31 L. Ed. </w:t>
      </w:r>
      <w:r w:rsidRPr="001E4134">
        <w:rPr>
          <w:lang w:val="en-US"/>
        </w:rPr>
        <w:t>2d 424, 435</w:t>
      </w:r>
      <w:r>
        <w:rPr>
          <w:lang w:val="en-US"/>
        </w:rPr>
        <w:t xml:space="preserve"> = 1972 U.S. LEXIS </w:t>
      </w:r>
      <w:r w:rsidRPr="001E4134">
        <w:rPr>
          <w:lang w:val="en-US"/>
        </w:rPr>
        <w:t>153, 24 (1972)</w:t>
      </w:r>
      <w:r>
        <w:rPr>
          <w:lang w:val="en-US"/>
        </w:rPr>
        <w:t>.</w:t>
      </w:r>
    </w:p>
  </w:footnote>
  <w:footnote w:id="1194">
    <w:p w14:paraId="7624174D" w14:textId="77777777" w:rsidR="00074551" w:rsidRPr="001E4134" w:rsidRDefault="00074551" w:rsidP="00074551">
      <w:pPr>
        <w:pStyle w:val="Funotentext"/>
        <w:rPr>
          <w:lang w:val="en-US"/>
        </w:rPr>
      </w:pPr>
      <w:r>
        <w:rPr>
          <w:rStyle w:val="Funotenzeichen"/>
        </w:rPr>
        <w:footnoteRef/>
      </w:r>
      <w:r w:rsidRPr="001E4134">
        <w:rPr>
          <w:lang w:val="en-US"/>
        </w:rPr>
        <w:t xml:space="preserve"> </w:t>
      </w:r>
      <w:r>
        <w:rPr>
          <w:lang w:val="en-US"/>
        </w:rPr>
        <w:t>“</w:t>
      </w:r>
      <w:r w:rsidRPr="001E4134">
        <w:rPr>
          <w:lang w:val="en-US"/>
        </w:rPr>
        <w:t>The statute states in relevant part:</w:t>
      </w:r>
      <w:r>
        <w:rPr>
          <w:lang w:val="en-US"/>
        </w:rPr>
        <w:t xml:space="preserve"> ‘</w:t>
      </w:r>
      <w:r w:rsidRPr="001E4134">
        <w:rPr>
          <w:lang w:val="en-US"/>
        </w:rPr>
        <w:t>The district courts shall have original jurisdiction of any civil action authorized by law to be commenced by any person:</w:t>
      </w:r>
      <w:r>
        <w:rPr>
          <w:lang w:val="en-US"/>
        </w:rPr>
        <w:t xml:space="preserve"> […] ‘</w:t>
      </w:r>
      <w:r w:rsidRPr="001E4134">
        <w:rPr>
          <w:lang w:val="en-US"/>
        </w:rPr>
        <w:t>(3) To redress the deprivation, under color of any State law, statute, ordinance, regulation, custom or usage, of any right, privilege or immunity secured by the Constitution of the United States or by any Act of Congress providing for equal rights of citizens or of all persons within the jurisdiction of the United States</w:t>
      </w:r>
      <w:r>
        <w:rPr>
          <w:lang w:val="en-US"/>
        </w:rPr>
        <w:t xml:space="preserve"> […]’ in </w:t>
      </w:r>
      <w:r w:rsidRPr="00D83E4F">
        <w:rPr>
          <w:i/>
          <w:lang w:val="en-US"/>
        </w:rPr>
        <w:t>Lynch v. Household Finance Corp.</w:t>
      </w:r>
      <w:r w:rsidRPr="001E4134">
        <w:rPr>
          <w:lang w:val="en-US"/>
        </w:rPr>
        <w:t>, 405 U.S. 538, 540</w:t>
      </w:r>
      <w:r>
        <w:rPr>
          <w:lang w:val="en-US"/>
        </w:rPr>
        <w:t xml:space="preserve"> = 92 S. Ct. </w:t>
      </w:r>
      <w:r w:rsidRPr="001E4134">
        <w:rPr>
          <w:lang w:val="en-US"/>
        </w:rPr>
        <w:t>1113, 1116</w:t>
      </w:r>
      <w:r>
        <w:rPr>
          <w:lang w:val="en-US"/>
        </w:rPr>
        <w:t xml:space="preserve"> = 31 L. Ed. </w:t>
      </w:r>
      <w:r w:rsidRPr="001E4134">
        <w:rPr>
          <w:lang w:val="en-US"/>
        </w:rPr>
        <w:t>2d 424, 428</w:t>
      </w:r>
      <w:r>
        <w:rPr>
          <w:lang w:val="en-US"/>
        </w:rPr>
        <w:t xml:space="preserve"> = 1972 U.S. LEXIS </w:t>
      </w:r>
      <w:r w:rsidRPr="001E4134">
        <w:rPr>
          <w:lang w:val="en-US"/>
        </w:rPr>
        <w:t>153, 5 (1972)</w:t>
      </w:r>
      <w:r>
        <w:rPr>
          <w:lang w:val="en-US"/>
        </w:rPr>
        <w:t>.</w:t>
      </w:r>
    </w:p>
  </w:footnote>
  <w:footnote w:id="1195">
    <w:p w14:paraId="619EEC84" w14:textId="77777777" w:rsidR="00074551" w:rsidRPr="001E4134" w:rsidRDefault="00074551" w:rsidP="00074551">
      <w:pPr>
        <w:pStyle w:val="Funotentext"/>
        <w:rPr>
          <w:lang w:val="en-US"/>
        </w:rPr>
      </w:pPr>
      <w:r>
        <w:rPr>
          <w:rStyle w:val="Funotenzeichen"/>
        </w:rPr>
        <w:footnoteRef/>
      </w:r>
      <w:r w:rsidRPr="001E4134">
        <w:rPr>
          <w:lang w:val="en-US"/>
        </w:rPr>
        <w:t xml:space="preserve"> „Stay of State court proceedings. A court of the United States may not grant an injunction to stay proceedings in a </w:t>
      </w:r>
      <w:proofErr w:type="gramStart"/>
      <w:r w:rsidRPr="001E4134">
        <w:rPr>
          <w:lang w:val="en-US"/>
        </w:rPr>
        <w:t>State</w:t>
      </w:r>
      <w:proofErr w:type="gramEnd"/>
      <w:r w:rsidRPr="001E4134">
        <w:rPr>
          <w:lang w:val="en-US"/>
        </w:rPr>
        <w:t xml:space="preserve"> court except as expressly authorized by Act of Congress, or where necessary in aid of its jurisdiction, or to protect or effectuate its </w:t>
      </w:r>
      <w:proofErr w:type="gramStart"/>
      <w:r w:rsidRPr="001E4134">
        <w:rPr>
          <w:lang w:val="en-US"/>
        </w:rPr>
        <w:t>judgments.“</w:t>
      </w:r>
      <w:proofErr w:type="gramEnd"/>
      <w:r>
        <w:rPr>
          <w:lang w:val="en-US"/>
        </w:rPr>
        <w:t>,</w:t>
      </w:r>
      <w:r w:rsidRPr="001E4134">
        <w:rPr>
          <w:lang w:val="en-US"/>
        </w:rPr>
        <w:t xml:space="preserve"> 28 USCS </w:t>
      </w:r>
      <w:r>
        <w:rPr>
          <w:lang w:val="en-US"/>
        </w:rPr>
        <w:t>§ </w:t>
      </w:r>
      <w:r w:rsidRPr="001E4134">
        <w:rPr>
          <w:lang w:val="en-US"/>
        </w:rPr>
        <w:t>2283.</w:t>
      </w:r>
    </w:p>
  </w:footnote>
  <w:footnote w:id="1196">
    <w:p w14:paraId="28E4746C" w14:textId="77777777" w:rsidR="00074551" w:rsidRPr="001E4134" w:rsidRDefault="00074551" w:rsidP="00074551">
      <w:pPr>
        <w:pStyle w:val="Funotentext"/>
        <w:rPr>
          <w:lang w:val="en-US"/>
        </w:rPr>
      </w:pPr>
      <w:r>
        <w:rPr>
          <w:rStyle w:val="Funotenzeichen"/>
        </w:rPr>
        <w:footnoteRef/>
      </w:r>
      <w:r w:rsidRPr="001E4134">
        <w:rPr>
          <w:lang w:val="en-US"/>
        </w:rPr>
        <w:t xml:space="preserve"> </w:t>
      </w:r>
      <w:r>
        <w:rPr>
          <w:lang w:val="en-US"/>
        </w:rPr>
        <w:t>„</w:t>
      </w:r>
      <w:r w:rsidRPr="001E4134">
        <w:rPr>
          <w:lang w:val="en-US"/>
        </w:rPr>
        <w:t>Every person who, under color of any statute, ordinance, regulation, custom, or usage, of any State or Territory, subjects, or causes to be subjected, any citizen of the United States or other person within the jurisdiction thereof to the deprivation of any rights, privileges, or immunities secured by the Constitution and laws, shall be liable to the party injured in an action at law, suit in equity, or other proper proceeding for redress.</w:t>
      </w:r>
      <w:r>
        <w:rPr>
          <w:lang w:val="en-US"/>
        </w:rPr>
        <w:t xml:space="preserve">“, </w:t>
      </w:r>
      <w:r w:rsidRPr="00D83E4F">
        <w:rPr>
          <w:i/>
          <w:lang w:val="en-US"/>
        </w:rPr>
        <w:t>Lynch v. Household Finance Corp.</w:t>
      </w:r>
      <w:r w:rsidRPr="001E4134">
        <w:rPr>
          <w:lang w:val="en-US"/>
        </w:rPr>
        <w:t>, 405 U.S. 538, 540</w:t>
      </w:r>
      <w:r>
        <w:rPr>
          <w:lang w:val="en-US"/>
        </w:rPr>
        <w:t xml:space="preserve"> = 92 S. Ct. </w:t>
      </w:r>
      <w:r w:rsidRPr="001E4134">
        <w:rPr>
          <w:lang w:val="en-US"/>
        </w:rPr>
        <w:t>1113, 1116</w:t>
      </w:r>
      <w:r>
        <w:rPr>
          <w:lang w:val="en-US"/>
        </w:rPr>
        <w:t xml:space="preserve"> = 31 L. Ed. </w:t>
      </w:r>
      <w:r w:rsidRPr="001E4134">
        <w:rPr>
          <w:lang w:val="en-US"/>
        </w:rPr>
        <w:t>2d 424, 428</w:t>
      </w:r>
      <w:r>
        <w:rPr>
          <w:lang w:val="en-US"/>
        </w:rPr>
        <w:t xml:space="preserve"> = 1972 U.S. LEXIS </w:t>
      </w:r>
      <w:r w:rsidRPr="001E4134">
        <w:rPr>
          <w:lang w:val="en-US"/>
        </w:rPr>
        <w:t>153, 5 (1972)</w:t>
      </w:r>
      <w:r>
        <w:rPr>
          <w:lang w:val="en-US"/>
        </w:rPr>
        <w:t>.</w:t>
      </w:r>
    </w:p>
  </w:footnote>
  <w:footnote w:id="1197">
    <w:p w14:paraId="5F531F5C" w14:textId="77777777" w:rsidR="00074551" w:rsidRPr="008808AD" w:rsidRDefault="00074551" w:rsidP="00074551">
      <w:pPr>
        <w:pStyle w:val="Funotentext"/>
        <w:rPr>
          <w:lang w:val="en-US"/>
        </w:rPr>
      </w:pPr>
      <w:r>
        <w:rPr>
          <w:rStyle w:val="Funotenzeichen"/>
        </w:rPr>
        <w:footnoteRef/>
      </w:r>
      <w:r w:rsidRPr="008808AD">
        <w:rPr>
          <w:lang w:val="en-US"/>
        </w:rPr>
        <w:t xml:space="preserve"> </w:t>
      </w:r>
      <w:r w:rsidRPr="00D83E4F">
        <w:rPr>
          <w:i/>
          <w:lang w:val="en-US"/>
        </w:rPr>
        <w:t>Lynch v. Household Finance Corp.</w:t>
      </w:r>
      <w:r w:rsidRPr="008808AD">
        <w:rPr>
          <w:lang w:val="en-US"/>
        </w:rPr>
        <w:t>, 405 U.S. 538, 539</w:t>
      </w:r>
      <w:r>
        <w:rPr>
          <w:lang w:val="en-US"/>
        </w:rPr>
        <w:t xml:space="preserve"> = 92 S. Ct. </w:t>
      </w:r>
      <w:r w:rsidRPr="008808AD">
        <w:rPr>
          <w:lang w:val="en-US"/>
        </w:rPr>
        <w:t>1113, 1115</w:t>
      </w:r>
      <w:r>
        <w:rPr>
          <w:lang w:val="en-US"/>
        </w:rPr>
        <w:t xml:space="preserve"> = 31 L. Ed. </w:t>
      </w:r>
      <w:r w:rsidRPr="008808AD">
        <w:rPr>
          <w:lang w:val="en-US"/>
        </w:rPr>
        <w:t>2d 424, 427</w:t>
      </w:r>
      <w:r>
        <w:rPr>
          <w:lang w:val="en-US"/>
        </w:rPr>
        <w:t xml:space="preserve"> = 1972 U.S. LEXIS </w:t>
      </w:r>
      <w:r w:rsidRPr="008808AD">
        <w:rPr>
          <w:lang w:val="en-US"/>
        </w:rPr>
        <w:t>153, 1 (1972)</w:t>
      </w:r>
      <w:r>
        <w:rPr>
          <w:lang w:val="en-US"/>
        </w:rPr>
        <w:t>.</w:t>
      </w:r>
    </w:p>
  </w:footnote>
  <w:footnote w:id="1198">
    <w:p w14:paraId="12E6FB3E" w14:textId="77777777" w:rsidR="00074551" w:rsidRPr="001E4134" w:rsidRDefault="00074551" w:rsidP="00074551">
      <w:pPr>
        <w:pStyle w:val="Funotentext"/>
        <w:rPr>
          <w:lang w:val="en-US"/>
        </w:rPr>
      </w:pPr>
      <w:r>
        <w:rPr>
          <w:rStyle w:val="Funotenzeichen"/>
        </w:rPr>
        <w:footnoteRef/>
      </w:r>
      <w:r w:rsidRPr="001E4134">
        <w:rPr>
          <w:lang w:val="en-US"/>
        </w:rPr>
        <w:t xml:space="preserve"> </w:t>
      </w:r>
      <w:r>
        <w:rPr>
          <w:lang w:val="en-US"/>
        </w:rPr>
        <w:t>„</w:t>
      </w:r>
      <w:r w:rsidRPr="001E4134">
        <w:rPr>
          <w:lang w:val="en-US"/>
        </w:rPr>
        <w:t>The statute states in relevant part:</w:t>
      </w:r>
      <w:r>
        <w:rPr>
          <w:lang w:val="en-US"/>
        </w:rPr>
        <w:t xml:space="preserve"> ,</w:t>
      </w:r>
      <w:r w:rsidRPr="001E4134">
        <w:rPr>
          <w:lang w:val="en-US"/>
        </w:rPr>
        <w:t>The district courts shall have original jurisdiction of any civil action authorized by law to be commenced by any person:</w:t>
      </w:r>
      <w:r>
        <w:rPr>
          <w:lang w:val="en-US"/>
        </w:rPr>
        <w:t>‘ […] ,</w:t>
      </w:r>
      <w:r w:rsidRPr="001E4134">
        <w:rPr>
          <w:lang w:val="en-US"/>
        </w:rPr>
        <w:t xml:space="preserve">(3) To redress the </w:t>
      </w:r>
      <w:bookmarkStart w:id="57" w:name="_Hlk231468435"/>
      <w:r w:rsidRPr="001E4134">
        <w:rPr>
          <w:lang w:val="en-US"/>
        </w:rPr>
        <w:t>deprivation, under color of any State law, statute, ordinance, regulation, custom or usage, of any right, privilege or immunity secured by the Constitution of the United States or by any Act of Congress providing for equal rights of citizens or of all persons within the jurisdiction of the United States</w:t>
      </w:r>
      <w:r>
        <w:rPr>
          <w:lang w:val="en-US"/>
        </w:rPr>
        <w:t xml:space="preserve"> […]‘“, </w:t>
      </w:r>
      <w:r w:rsidRPr="00D83E4F">
        <w:rPr>
          <w:i/>
          <w:lang w:val="en-US"/>
        </w:rPr>
        <w:t>Lynch v. Household Finance Corp.</w:t>
      </w:r>
      <w:r w:rsidRPr="001E4134">
        <w:rPr>
          <w:lang w:val="en-US"/>
        </w:rPr>
        <w:t>, 405 U.S. 538, 540</w:t>
      </w:r>
      <w:r>
        <w:rPr>
          <w:lang w:val="en-US"/>
        </w:rPr>
        <w:t xml:space="preserve"> = 92 S. Ct. </w:t>
      </w:r>
      <w:r w:rsidRPr="001E4134">
        <w:rPr>
          <w:lang w:val="en-US"/>
        </w:rPr>
        <w:t>1113, 1116</w:t>
      </w:r>
      <w:r>
        <w:rPr>
          <w:lang w:val="en-US"/>
        </w:rPr>
        <w:t xml:space="preserve"> = 31 L. Ed. </w:t>
      </w:r>
      <w:r w:rsidRPr="001E4134">
        <w:rPr>
          <w:lang w:val="en-US"/>
        </w:rPr>
        <w:t>2d 424, 428</w:t>
      </w:r>
      <w:r>
        <w:rPr>
          <w:lang w:val="en-US"/>
        </w:rPr>
        <w:t xml:space="preserve"> = 1972 U.S. LEXIS </w:t>
      </w:r>
      <w:r w:rsidRPr="001E4134">
        <w:rPr>
          <w:lang w:val="en-US"/>
        </w:rPr>
        <w:t>153, 5 (1972)</w:t>
      </w:r>
      <w:r>
        <w:rPr>
          <w:lang w:val="en-US"/>
        </w:rPr>
        <w:t>.</w:t>
      </w:r>
      <w:bookmarkEnd w:id="57"/>
    </w:p>
  </w:footnote>
  <w:footnote w:id="1199">
    <w:p w14:paraId="424145CD" w14:textId="77777777" w:rsidR="00074551" w:rsidRPr="00F16D48" w:rsidRDefault="00074551" w:rsidP="00074551">
      <w:pPr>
        <w:pStyle w:val="Funotentext"/>
        <w:rPr>
          <w:lang w:val="en-US"/>
        </w:rPr>
      </w:pPr>
      <w:r>
        <w:rPr>
          <w:rStyle w:val="Funotenzeichen"/>
        </w:rPr>
        <w:footnoteRef/>
      </w:r>
      <w:r w:rsidRPr="00F16D48">
        <w:rPr>
          <w:lang w:val="en-US"/>
        </w:rPr>
        <w:t xml:space="preserve"> </w:t>
      </w:r>
      <w:r w:rsidRPr="00B45592">
        <w:rPr>
          <w:i/>
          <w:lang w:val="en-US"/>
        </w:rPr>
        <w:t>Shelley v. Kraemer</w:t>
      </w:r>
      <w:r w:rsidRPr="00F16D48">
        <w:rPr>
          <w:lang w:val="en-US"/>
        </w:rPr>
        <w:t xml:space="preserve">, 334 U.S. 1, 10. </w:t>
      </w:r>
      <w:proofErr w:type="spellStart"/>
      <w:r>
        <w:rPr>
          <w:lang w:val="en-US"/>
        </w:rPr>
        <w:t>Siehe</w:t>
      </w:r>
      <w:proofErr w:type="spellEnd"/>
      <w:r>
        <w:rPr>
          <w:lang w:val="en-US"/>
        </w:rPr>
        <w:t xml:space="preserve"> </w:t>
      </w:r>
      <w:proofErr w:type="spellStart"/>
      <w:r>
        <w:rPr>
          <w:lang w:val="en-US"/>
        </w:rPr>
        <w:t>auch</w:t>
      </w:r>
      <w:proofErr w:type="spellEnd"/>
      <w:r w:rsidRPr="00F16D48">
        <w:rPr>
          <w:lang w:val="en-US"/>
        </w:rPr>
        <w:t xml:space="preserve"> </w:t>
      </w:r>
      <w:r w:rsidRPr="00B45592">
        <w:rPr>
          <w:i/>
          <w:lang w:val="en-US"/>
        </w:rPr>
        <w:t>Buchanan v. Warley</w:t>
      </w:r>
      <w:r w:rsidRPr="00F16D48">
        <w:rPr>
          <w:lang w:val="en-US"/>
        </w:rPr>
        <w:t>, 245 U.S. 60, 74</w:t>
      </w:r>
      <w:r>
        <w:rPr>
          <w:lang w:val="en-US"/>
        </w:rPr>
        <w:t>–</w:t>
      </w:r>
      <w:r w:rsidRPr="00F16D48">
        <w:rPr>
          <w:lang w:val="en-US"/>
        </w:rPr>
        <w:t xml:space="preserve">79; </w:t>
      </w:r>
      <w:r w:rsidRPr="00B45592">
        <w:rPr>
          <w:i/>
          <w:iCs/>
          <w:lang w:val="en-US"/>
        </w:rPr>
        <w:t>Flack</w:t>
      </w:r>
      <w:r w:rsidRPr="00F16D48">
        <w:rPr>
          <w:lang w:val="en-US"/>
        </w:rPr>
        <w:t>, The Adoption of the Fourteenth Amendment 75</w:t>
      </w:r>
      <w:r>
        <w:rPr>
          <w:lang w:val="en-US"/>
        </w:rPr>
        <w:t>–</w:t>
      </w:r>
      <w:r w:rsidRPr="00F16D48">
        <w:rPr>
          <w:lang w:val="en-US"/>
        </w:rPr>
        <w:t>78, 81, 90</w:t>
      </w:r>
      <w:r>
        <w:rPr>
          <w:lang w:val="en-US"/>
        </w:rPr>
        <w:t>–</w:t>
      </w:r>
      <w:r w:rsidRPr="00F16D48">
        <w:rPr>
          <w:lang w:val="en-US"/>
        </w:rPr>
        <w:t xml:space="preserve">97 (1908); </w:t>
      </w:r>
      <w:r w:rsidRPr="00B45592">
        <w:rPr>
          <w:i/>
          <w:iCs/>
          <w:lang w:val="en-US"/>
        </w:rPr>
        <w:t>ten Broek</w:t>
      </w:r>
      <w:r w:rsidRPr="00F16D48">
        <w:rPr>
          <w:lang w:val="en-US"/>
        </w:rPr>
        <w:t>, The Antislavery Origins of the Fourteenth Amendment (1951)</w:t>
      </w:r>
      <w:r>
        <w:rPr>
          <w:lang w:val="en-US"/>
        </w:rPr>
        <w:t xml:space="preserve">; </w:t>
      </w:r>
      <w:r w:rsidRPr="00D83E4F">
        <w:rPr>
          <w:i/>
          <w:lang w:val="en-US"/>
        </w:rPr>
        <w:t>Lynch v. Household Finance Corp.</w:t>
      </w:r>
      <w:r w:rsidRPr="00F16D48">
        <w:rPr>
          <w:lang w:val="en-US"/>
        </w:rPr>
        <w:t>, 405 U.S. 538, 544</w:t>
      </w:r>
      <w:r>
        <w:rPr>
          <w:lang w:val="en-US"/>
        </w:rPr>
        <w:t xml:space="preserve"> = 92 S. Ct. </w:t>
      </w:r>
      <w:r w:rsidRPr="00F16D48">
        <w:rPr>
          <w:lang w:val="en-US"/>
        </w:rPr>
        <w:t>1113, 1118</w:t>
      </w:r>
      <w:r>
        <w:rPr>
          <w:lang w:val="en-US"/>
        </w:rPr>
        <w:t xml:space="preserve"> = 31 L. Ed. </w:t>
      </w:r>
      <w:r w:rsidRPr="00F16D48">
        <w:rPr>
          <w:lang w:val="en-US"/>
        </w:rPr>
        <w:t>2d 424, 430</w:t>
      </w:r>
      <w:r>
        <w:rPr>
          <w:lang w:val="en-US"/>
        </w:rPr>
        <w:t xml:space="preserve"> = 1972 U.S. LEXIS </w:t>
      </w:r>
      <w:r w:rsidRPr="00F16D48">
        <w:rPr>
          <w:lang w:val="en-US"/>
        </w:rPr>
        <w:t>153, 9</w:t>
      </w:r>
      <w:r>
        <w:rPr>
          <w:lang w:val="en-US"/>
        </w:rPr>
        <w:t>–</w:t>
      </w:r>
      <w:r w:rsidRPr="00F16D48">
        <w:rPr>
          <w:lang w:val="en-US"/>
        </w:rPr>
        <w:t>10 (1972)</w:t>
      </w:r>
      <w:r>
        <w:rPr>
          <w:lang w:val="en-US"/>
        </w:rPr>
        <w:t>.</w:t>
      </w:r>
    </w:p>
  </w:footnote>
  <w:footnote w:id="1200">
    <w:p w14:paraId="5D1F9FDD" w14:textId="77777777" w:rsidR="00074551" w:rsidRPr="00F16D48" w:rsidRDefault="00074551" w:rsidP="00074551">
      <w:pPr>
        <w:pStyle w:val="Funotentext"/>
        <w:rPr>
          <w:lang w:val="en-US"/>
        </w:rPr>
      </w:pPr>
      <w:r>
        <w:rPr>
          <w:rStyle w:val="Funotenzeichen"/>
        </w:rPr>
        <w:footnoteRef/>
      </w:r>
      <w:r w:rsidRPr="00F16D48">
        <w:rPr>
          <w:lang w:val="en-US"/>
        </w:rPr>
        <w:t xml:space="preserve"> Civil Rights Act of 1871, 17 Stat. 13</w:t>
      </w:r>
      <w:r>
        <w:rPr>
          <w:lang w:val="en-US"/>
        </w:rPr>
        <w:t xml:space="preserve">; </w:t>
      </w:r>
      <w:r w:rsidRPr="00D83E4F">
        <w:rPr>
          <w:i/>
          <w:lang w:val="en-US"/>
        </w:rPr>
        <w:t>Lynch v. Household Finance Corp.</w:t>
      </w:r>
      <w:r w:rsidRPr="00F16D48">
        <w:rPr>
          <w:lang w:val="en-US"/>
        </w:rPr>
        <w:t>, 405 U.S. 538, 545</w:t>
      </w:r>
      <w:r>
        <w:rPr>
          <w:lang w:val="en-US"/>
        </w:rPr>
        <w:t xml:space="preserve"> = 92 S. Ct. </w:t>
      </w:r>
      <w:r w:rsidRPr="00F16D48">
        <w:rPr>
          <w:lang w:val="en-US"/>
        </w:rPr>
        <w:t>1113, 1118</w:t>
      </w:r>
      <w:r>
        <w:rPr>
          <w:lang w:val="en-US"/>
        </w:rPr>
        <w:t xml:space="preserve"> = 31 L. Ed. </w:t>
      </w:r>
      <w:r w:rsidRPr="00F16D48">
        <w:rPr>
          <w:lang w:val="en-US"/>
        </w:rPr>
        <w:t>2d 424, 430</w:t>
      </w:r>
      <w:r>
        <w:rPr>
          <w:lang w:val="en-US"/>
        </w:rPr>
        <w:t xml:space="preserve"> = 1972 U.S. LEXIS </w:t>
      </w:r>
      <w:r w:rsidRPr="00F16D48">
        <w:rPr>
          <w:lang w:val="en-US"/>
        </w:rPr>
        <w:t>153, 10 (1972)</w:t>
      </w:r>
      <w:r>
        <w:rPr>
          <w:lang w:val="en-US"/>
        </w:rPr>
        <w:t>.</w:t>
      </w:r>
    </w:p>
  </w:footnote>
  <w:footnote w:id="1201">
    <w:p w14:paraId="2144CBAF" w14:textId="77777777" w:rsidR="00074551" w:rsidRPr="00F16D48" w:rsidRDefault="00074551" w:rsidP="00074551">
      <w:pPr>
        <w:pStyle w:val="Funotentext"/>
        <w:rPr>
          <w:lang w:val="en-US"/>
        </w:rPr>
      </w:pPr>
      <w:r>
        <w:rPr>
          <w:rStyle w:val="Funotenzeichen"/>
        </w:rPr>
        <w:footnoteRef/>
      </w:r>
      <w:r w:rsidRPr="00F16D48">
        <w:rPr>
          <w:lang w:val="en-US"/>
        </w:rPr>
        <w:t xml:space="preserve"> </w:t>
      </w:r>
      <w:r>
        <w:rPr>
          <w:lang w:val="en-US"/>
        </w:rPr>
        <w:t>„</w:t>
      </w:r>
      <w:r w:rsidRPr="00F16D48">
        <w:rPr>
          <w:lang w:val="en-US"/>
        </w:rPr>
        <w:t xml:space="preserve">Section 2 of the 1866 Civil Rights Act, 14 Stat. 27, currently codified in slightly different form as 18 </w:t>
      </w:r>
      <w:r>
        <w:rPr>
          <w:lang w:val="en-US"/>
        </w:rPr>
        <w:t>U.S.</w:t>
      </w:r>
      <w:r w:rsidRPr="00F16D48">
        <w:rPr>
          <w:lang w:val="en-US"/>
        </w:rPr>
        <w:t xml:space="preserve"> C. </w:t>
      </w:r>
      <w:r>
        <w:rPr>
          <w:lang w:val="en-US"/>
        </w:rPr>
        <w:t>§ </w:t>
      </w:r>
      <w:r w:rsidRPr="00F16D48">
        <w:rPr>
          <w:lang w:val="en-US"/>
        </w:rPr>
        <w:t>242, read in pertinent part:</w:t>
      </w:r>
    </w:p>
    <w:p w14:paraId="6746CFB7" w14:textId="77777777" w:rsidR="00074551" w:rsidRPr="00F16D48" w:rsidRDefault="00074551" w:rsidP="00074551">
      <w:pPr>
        <w:pStyle w:val="Funotentext"/>
        <w:rPr>
          <w:lang w:val="en-US"/>
        </w:rPr>
      </w:pPr>
      <w:r>
        <w:rPr>
          <w:lang w:val="en-US"/>
        </w:rPr>
        <w:t>,</w:t>
      </w:r>
      <w:r w:rsidRPr="00F16D48">
        <w:rPr>
          <w:lang w:val="en-US"/>
        </w:rPr>
        <w:t xml:space="preserve">Any person who, under color of any law, statute, ordinance, regulation, or custom, shall subject, or cause to be subjected, any inhabitant of any State </w:t>
      </w:r>
      <w:r>
        <w:rPr>
          <w:lang w:val="en-US"/>
        </w:rPr>
        <w:t>[…]</w:t>
      </w:r>
      <w:r w:rsidRPr="00F16D48">
        <w:rPr>
          <w:lang w:val="en-US"/>
        </w:rPr>
        <w:t xml:space="preserve"> to the deprivation of any right secured or protected by this act, or to different punishment, pains, or penalties on account of such person having at any time been held in a condition of slavery or involuntary servitude </w:t>
      </w:r>
      <w:r>
        <w:rPr>
          <w:lang w:val="en-US"/>
        </w:rPr>
        <w:t>…</w:t>
      </w:r>
      <w:r w:rsidRPr="00F16D48">
        <w:rPr>
          <w:lang w:val="en-US"/>
        </w:rPr>
        <w:t xml:space="preserve"> shall be deemed guilty of a misdemeanor</w:t>
      </w:r>
      <w:r>
        <w:rPr>
          <w:lang w:val="en-US"/>
        </w:rPr>
        <w:t>‘ […] ,</w:t>
      </w:r>
      <w:r w:rsidRPr="00F16D48">
        <w:rPr>
          <w:lang w:val="en-US"/>
        </w:rPr>
        <w:t xml:space="preserve">Section 2 provided criminal penalties for any violation of </w:t>
      </w:r>
      <w:r>
        <w:rPr>
          <w:lang w:val="en-US"/>
        </w:rPr>
        <w:t>§ </w:t>
      </w:r>
      <w:r w:rsidRPr="00F16D48">
        <w:rPr>
          <w:lang w:val="en-US"/>
        </w:rPr>
        <w:t xml:space="preserve">1 of the 1866 Act. </w:t>
      </w:r>
      <w:r w:rsidRPr="00B45592">
        <w:rPr>
          <w:i/>
          <w:lang w:val="en-US"/>
        </w:rPr>
        <w:t>Screws v. United States</w:t>
      </w:r>
      <w:r w:rsidRPr="00F16D48">
        <w:rPr>
          <w:lang w:val="en-US"/>
        </w:rPr>
        <w:t>, 325 U.S. 91, 98</w:t>
      </w:r>
      <w:r>
        <w:rPr>
          <w:lang w:val="en-US"/>
        </w:rPr>
        <w:t>–</w:t>
      </w:r>
      <w:r w:rsidRPr="00F16D48">
        <w:rPr>
          <w:lang w:val="en-US"/>
        </w:rPr>
        <w:t xml:space="preserve">100. The latter section enumerated the rights the Act protected, including, inter alia, the right </w:t>
      </w:r>
      <w:r>
        <w:rPr>
          <w:lang w:val="en-US"/>
        </w:rPr>
        <w:t>,</w:t>
      </w:r>
      <w:r w:rsidRPr="00F16D48">
        <w:rPr>
          <w:lang w:val="en-US"/>
        </w:rPr>
        <w:t xml:space="preserve">to make and enforce contracts, to sue </w:t>
      </w:r>
      <w:r>
        <w:rPr>
          <w:lang w:val="en-US"/>
        </w:rPr>
        <w:t>…</w:t>
      </w:r>
      <w:r w:rsidRPr="00F16D48">
        <w:rPr>
          <w:lang w:val="en-US"/>
        </w:rPr>
        <w:t xml:space="preserve"> to inherit, purchase, lease, sell, hold, and convey real and personal property</w:t>
      </w:r>
      <w:r>
        <w:rPr>
          <w:lang w:val="en-US"/>
        </w:rPr>
        <w:t xml:space="preserve"> […]‘ </w:t>
      </w:r>
      <w:r w:rsidRPr="00F16D48">
        <w:rPr>
          <w:lang w:val="en-US"/>
        </w:rPr>
        <w:t>Representative Shellabarger, chairman of the House Select Committee which drafted the Civil Rights Act of 1871, stated that</w:t>
      </w:r>
      <w:r>
        <w:rPr>
          <w:lang w:val="en-US"/>
        </w:rPr>
        <w:t xml:space="preserve"> ,</w:t>
      </w:r>
      <w:r w:rsidRPr="00F16D48">
        <w:rPr>
          <w:lang w:val="en-US"/>
        </w:rPr>
        <w:t>The model for [</w:t>
      </w:r>
      <w:r>
        <w:rPr>
          <w:lang w:val="en-US"/>
        </w:rPr>
        <w:t>§ </w:t>
      </w:r>
      <w:r w:rsidRPr="00F16D48">
        <w:rPr>
          <w:lang w:val="en-US"/>
        </w:rPr>
        <w:t xml:space="preserve">1 of the 1871 Act] will be found in the second section of the act of April 9, 1866, known as the </w:t>
      </w:r>
      <w:r>
        <w:rPr>
          <w:lang w:val="en-US"/>
        </w:rPr>
        <w:t>,</w:t>
      </w:r>
      <w:r w:rsidRPr="00F16D48">
        <w:rPr>
          <w:lang w:val="en-US"/>
        </w:rPr>
        <w:t>civil rights act.</w:t>
      </w:r>
      <w:r>
        <w:rPr>
          <w:lang w:val="en-US"/>
        </w:rPr>
        <w:t>‘</w:t>
      </w:r>
      <w:r w:rsidRPr="00F16D48">
        <w:rPr>
          <w:lang w:val="en-US"/>
        </w:rPr>
        <w:t xml:space="preserve"> That section provides a criminal proceeding in identically the same case as this one provides a civil remedy.</w:t>
      </w:r>
      <w:r>
        <w:rPr>
          <w:lang w:val="en-US"/>
        </w:rPr>
        <w:t xml:space="preserve">‘ </w:t>
      </w:r>
      <w:r w:rsidRPr="00F16D48">
        <w:rPr>
          <w:lang w:val="en-US"/>
        </w:rPr>
        <w:t>Cong. Globe, 42d Cong., 1st Sess., App. 68 (1871).</w:t>
      </w:r>
      <w:r>
        <w:rPr>
          <w:lang w:val="en-US"/>
        </w:rPr>
        <w:t xml:space="preserve">“ </w:t>
      </w:r>
      <w:r w:rsidRPr="00D83E4F">
        <w:rPr>
          <w:i/>
          <w:lang w:val="en-US"/>
        </w:rPr>
        <w:t>Lynch v. Household Finance Corp.</w:t>
      </w:r>
      <w:r w:rsidRPr="00F16D48">
        <w:rPr>
          <w:lang w:val="en-US"/>
        </w:rPr>
        <w:t>, 405 U.S. 538, 545</w:t>
      </w:r>
      <w:r>
        <w:rPr>
          <w:lang w:val="en-US"/>
        </w:rPr>
        <w:t xml:space="preserve"> = 92 S. Ct. </w:t>
      </w:r>
      <w:r w:rsidRPr="00F16D48">
        <w:rPr>
          <w:lang w:val="en-US"/>
        </w:rPr>
        <w:t>1113, 1118</w:t>
      </w:r>
      <w:r>
        <w:rPr>
          <w:lang w:val="en-US"/>
        </w:rPr>
        <w:t xml:space="preserve"> = 31 L. Ed. </w:t>
      </w:r>
      <w:r w:rsidRPr="00F16D48">
        <w:rPr>
          <w:lang w:val="en-US"/>
        </w:rPr>
        <w:t>2d 424, 430</w:t>
      </w:r>
      <w:r>
        <w:rPr>
          <w:lang w:val="en-US"/>
        </w:rPr>
        <w:t xml:space="preserve"> = 1972 U.S. LEXIS </w:t>
      </w:r>
      <w:r w:rsidRPr="00F16D48">
        <w:rPr>
          <w:lang w:val="en-US"/>
        </w:rPr>
        <w:t>153, 10 (1972)</w:t>
      </w:r>
      <w:r>
        <w:rPr>
          <w:lang w:val="en-US"/>
        </w:rPr>
        <w:t>.</w:t>
      </w:r>
    </w:p>
  </w:footnote>
  <w:footnote w:id="1202">
    <w:p w14:paraId="229B82D6" w14:textId="77777777" w:rsidR="00074551" w:rsidRPr="00F16D48" w:rsidRDefault="00074551" w:rsidP="00074551">
      <w:pPr>
        <w:pStyle w:val="Funotentext"/>
        <w:jc w:val="both"/>
        <w:rPr>
          <w:lang w:val="en-US"/>
        </w:rPr>
      </w:pPr>
      <w:r>
        <w:rPr>
          <w:rStyle w:val="Funotenzeichen"/>
        </w:rPr>
        <w:footnoteRef/>
      </w:r>
      <w:r w:rsidRPr="00F16D48">
        <w:rPr>
          <w:lang w:val="en-US"/>
        </w:rPr>
        <w:t xml:space="preserve"> Cong. Globe, 42d Cong., 1st Sess., App. 69 (1871) (Rep. </w:t>
      </w:r>
      <w:r w:rsidRPr="002E1085">
        <w:rPr>
          <w:i/>
          <w:lang w:val="en-US"/>
        </w:rPr>
        <w:t>Shellabarger</w:t>
      </w:r>
      <w:r>
        <w:rPr>
          <w:lang w:val="en-US"/>
        </w:rPr>
        <w:t xml:space="preserve">); </w:t>
      </w:r>
      <w:r w:rsidRPr="00584023">
        <w:rPr>
          <w:i/>
          <w:lang w:val="en-US"/>
        </w:rPr>
        <w:t>Corfield v. Coryell</w:t>
      </w:r>
      <w:r w:rsidRPr="00F16D48">
        <w:rPr>
          <w:lang w:val="en-US"/>
        </w:rPr>
        <w:t>, 6 F. Cas. 546, 551</w:t>
      </w:r>
      <w:r>
        <w:rPr>
          <w:lang w:val="en-US"/>
        </w:rPr>
        <w:t>–</w:t>
      </w:r>
      <w:r w:rsidRPr="00F16D48">
        <w:rPr>
          <w:lang w:val="en-US"/>
        </w:rPr>
        <w:t>552 (No. 3230)</w:t>
      </w:r>
      <w:r>
        <w:rPr>
          <w:lang w:val="en-US"/>
        </w:rPr>
        <w:t xml:space="preserve">; </w:t>
      </w:r>
      <w:r w:rsidRPr="00D83E4F">
        <w:rPr>
          <w:i/>
          <w:lang w:val="en-US"/>
        </w:rPr>
        <w:t>Lynch v. Household Finance Corp.</w:t>
      </w:r>
      <w:r w:rsidRPr="00F16D48">
        <w:rPr>
          <w:lang w:val="en-US"/>
        </w:rPr>
        <w:t>, 405 U.S. 538, 545</w:t>
      </w:r>
      <w:r>
        <w:rPr>
          <w:lang w:val="en-US"/>
        </w:rPr>
        <w:t xml:space="preserve"> = 92 S. Ct. </w:t>
      </w:r>
      <w:r w:rsidRPr="00F16D48">
        <w:rPr>
          <w:lang w:val="en-US"/>
        </w:rPr>
        <w:t>1113, 1118-1119</w:t>
      </w:r>
      <w:r>
        <w:rPr>
          <w:lang w:val="en-US"/>
        </w:rPr>
        <w:t xml:space="preserve"> = 31 L. Ed. </w:t>
      </w:r>
      <w:r w:rsidRPr="00F16D48">
        <w:rPr>
          <w:lang w:val="en-US"/>
        </w:rPr>
        <w:t>2d 424, 431</w:t>
      </w:r>
      <w:r>
        <w:rPr>
          <w:lang w:val="en-US"/>
        </w:rPr>
        <w:t xml:space="preserve"> = 1972 U.S. LEXIS </w:t>
      </w:r>
      <w:r w:rsidRPr="00F16D48">
        <w:rPr>
          <w:lang w:val="en-US"/>
        </w:rPr>
        <w:t>153, 12 (1972)</w:t>
      </w:r>
      <w:r>
        <w:rPr>
          <w:lang w:val="en-US"/>
        </w:rPr>
        <w:t>.</w:t>
      </w:r>
    </w:p>
  </w:footnote>
  <w:footnote w:id="1203">
    <w:p w14:paraId="42F72009" w14:textId="77777777" w:rsidR="00074551" w:rsidRPr="00F16D48" w:rsidRDefault="00074551" w:rsidP="00074551">
      <w:pPr>
        <w:pStyle w:val="Funotentext"/>
        <w:rPr>
          <w:lang w:val="en-US"/>
        </w:rPr>
      </w:pPr>
      <w:r>
        <w:rPr>
          <w:rStyle w:val="Funotenzeichen"/>
        </w:rPr>
        <w:footnoteRef/>
      </w:r>
      <w:r w:rsidRPr="00F16D48">
        <w:rPr>
          <w:lang w:val="en-US"/>
        </w:rPr>
        <w:t xml:space="preserve"> </w:t>
      </w:r>
      <w:r>
        <w:rPr>
          <w:lang w:val="en-US"/>
        </w:rPr>
        <w:t>„</w:t>
      </w:r>
      <w:r w:rsidRPr="00F16D48">
        <w:rPr>
          <w:lang w:val="en-US"/>
        </w:rPr>
        <w:t>Cong. Globe, 42d Cong., 1st Sess., 332</w:t>
      </w:r>
      <w:r>
        <w:rPr>
          <w:lang w:val="en-US"/>
        </w:rPr>
        <w:t>–</w:t>
      </w:r>
      <w:r w:rsidRPr="00F16D48">
        <w:rPr>
          <w:lang w:val="en-US"/>
        </w:rPr>
        <w:t>334 (Rep. Hoar); 369</w:t>
      </w:r>
      <w:r>
        <w:rPr>
          <w:lang w:val="en-US"/>
        </w:rPr>
        <w:t>–</w:t>
      </w:r>
      <w:r w:rsidRPr="00F16D48">
        <w:rPr>
          <w:lang w:val="en-US"/>
        </w:rPr>
        <w:t>370 (Rep. Monroe); 375</w:t>
      </w:r>
      <w:r>
        <w:rPr>
          <w:lang w:val="en-US"/>
        </w:rPr>
        <w:t>–</w:t>
      </w:r>
      <w:r w:rsidRPr="00F16D48">
        <w:rPr>
          <w:lang w:val="en-US"/>
        </w:rPr>
        <w:t>376 (Rep. Lowe); 429 (Rep. Beatty); 448 (Rep. Butler); 459</w:t>
      </w:r>
      <w:r>
        <w:rPr>
          <w:lang w:val="en-US"/>
        </w:rPr>
        <w:t>–</w:t>
      </w:r>
      <w:r w:rsidRPr="00F16D48">
        <w:rPr>
          <w:lang w:val="en-US"/>
        </w:rPr>
        <w:t>461 (Rep. Coburn); 475</w:t>
      </w:r>
      <w:r>
        <w:rPr>
          <w:lang w:val="en-US"/>
        </w:rPr>
        <w:t>–</w:t>
      </w:r>
      <w:r w:rsidRPr="00F16D48">
        <w:rPr>
          <w:lang w:val="en-US"/>
        </w:rPr>
        <w:t>476 (Rep. Dawes); 501 (Sen. Frelinghuysen); 568 (Sen. Edmunds); 577 (Sen. Carpenter); 607 (Sen. Pool); 650</w:t>
      </w:r>
      <w:r>
        <w:rPr>
          <w:lang w:val="en-US"/>
        </w:rPr>
        <w:t>–</w:t>
      </w:r>
      <w:r w:rsidRPr="00F16D48">
        <w:rPr>
          <w:lang w:val="en-US"/>
        </w:rPr>
        <w:t>651 (Sen. Sumner); 653 (Sen. Osborn); 666 (Sen. Spencer)</w:t>
      </w:r>
      <w:r>
        <w:rPr>
          <w:lang w:val="en-US"/>
        </w:rPr>
        <w:t xml:space="preserve">; […] </w:t>
      </w:r>
      <w:r w:rsidRPr="00F16D48">
        <w:rPr>
          <w:lang w:val="en-US"/>
        </w:rPr>
        <w:t xml:space="preserve">S. Rep. No. 1, 42d Cong., 1st Sess. (1871). Several months before the passage of the Civil Rights Act of 1871, a Senate Committee was formed to investigate conditions in the Southern States. One purpose of the investigation was </w:t>
      </w:r>
      <w:proofErr w:type="gramStart"/>
      <w:r w:rsidRPr="00F16D48">
        <w:rPr>
          <w:lang w:val="en-US"/>
        </w:rPr>
        <w:t xml:space="preserve">to </w:t>
      </w:r>
      <w:r>
        <w:rPr>
          <w:lang w:val="en-US"/>
        </w:rPr>
        <w:t>,</w:t>
      </w:r>
      <w:r w:rsidRPr="00F16D48">
        <w:rPr>
          <w:lang w:val="en-US"/>
        </w:rPr>
        <w:t>ascertain</w:t>
      </w:r>
      <w:proofErr w:type="gramEnd"/>
      <w:r w:rsidRPr="00F16D48">
        <w:rPr>
          <w:lang w:val="en-US"/>
        </w:rPr>
        <w:t xml:space="preserve"> </w:t>
      </w:r>
      <w:r>
        <w:rPr>
          <w:lang w:val="en-US"/>
        </w:rPr>
        <w:t>[…]</w:t>
      </w:r>
      <w:r w:rsidRPr="00F16D48">
        <w:rPr>
          <w:lang w:val="en-US"/>
        </w:rPr>
        <w:t xml:space="preserve"> whether persons and property are </w:t>
      </w:r>
      <w:proofErr w:type="gramStart"/>
      <w:r w:rsidRPr="00F16D48">
        <w:rPr>
          <w:lang w:val="en-US"/>
        </w:rPr>
        <w:t>secure.</w:t>
      </w:r>
      <w:r>
        <w:rPr>
          <w:lang w:val="en-US"/>
        </w:rPr>
        <w:t>‘</w:t>
      </w:r>
      <w:proofErr w:type="gramEnd"/>
      <w:r>
        <w:rPr>
          <w:lang w:val="en-US"/>
        </w:rPr>
        <w:t xml:space="preserve">“, </w:t>
      </w:r>
      <w:r w:rsidRPr="00D83E4F">
        <w:rPr>
          <w:i/>
          <w:lang w:val="en-US"/>
        </w:rPr>
        <w:t>Lynch v. Household Finance Corp.</w:t>
      </w:r>
      <w:r w:rsidRPr="00F16D48">
        <w:rPr>
          <w:lang w:val="en-US"/>
        </w:rPr>
        <w:t>, 405 U.S. 538, 546</w:t>
      </w:r>
      <w:r>
        <w:rPr>
          <w:lang w:val="en-US"/>
        </w:rPr>
        <w:t xml:space="preserve"> = 92 S. Ct. </w:t>
      </w:r>
      <w:r w:rsidRPr="00F16D48">
        <w:rPr>
          <w:lang w:val="en-US"/>
        </w:rPr>
        <w:t>1113, 1119</w:t>
      </w:r>
      <w:r>
        <w:rPr>
          <w:lang w:val="en-US"/>
        </w:rPr>
        <w:t xml:space="preserve"> = 31 L. Ed. </w:t>
      </w:r>
      <w:r w:rsidRPr="00F16D48">
        <w:rPr>
          <w:lang w:val="en-US"/>
        </w:rPr>
        <w:t>2d 424, 431</w:t>
      </w:r>
      <w:r>
        <w:rPr>
          <w:lang w:val="en-US"/>
        </w:rPr>
        <w:t xml:space="preserve"> = 1972 U.S. LEXIS </w:t>
      </w:r>
      <w:r w:rsidRPr="00F16D48">
        <w:rPr>
          <w:lang w:val="en-US"/>
        </w:rPr>
        <w:t>153, 11 (1972)</w:t>
      </w:r>
      <w:r>
        <w:rPr>
          <w:lang w:val="en-US"/>
        </w:rPr>
        <w:t>.</w:t>
      </w:r>
    </w:p>
  </w:footnote>
  <w:footnote w:id="1204">
    <w:p w14:paraId="1D94E060" w14:textId="77777777" w:rsidR="00074551" w:rsidRPr="00681555" w:rsidRDefault="00074551" w:rsidP="00074551">
      <w:pPr>
        <w:pStyle w:val="Funotentext"/>
        <w:rPr>
          <w:lang w:val="en-US"/>
        </w:rPr>
      </w:pPr>
      <w:r>
        <w:rPr>
          <w:rStyle w:val="Funotenzeichen"/>
        </w:rPr>
        <w:footnoteRef/>
      </w:r>
      <w:r w:rsidRPr="00681555">
        <w:rPr>
          <w:lang w:val="en-US"/>
        </w:rPr>
        <w:t xml:space="preserve"> „Section 26-1201, with a referenced exception, makes abortion a crime, and </w:t>
      </w:r>
      <w:r>
        <w:rPr>
          <w:lang w:val="en-US"/>
        </w:rPr>
        <w:t>§ </w:t>
      </w:r>
      <w:r w:rsidRPr="00681555">
        <w:rPr>
          <w:lang w:val="en-US"/>
        </w:rPr>
        <w:t xml:space="preserve">26-1203 provides that a person convicted of that crime shall be punished by imprisonment for not less than one nor more than 10 years. Section 26-1202 (a) states the exception and removes from </w:t>
      </w:r>
      <w:r>
        <w:rPr>
          <w:lang w:val="en-US"/>
        </w:rPr>
        <w:t>§ </w:t>
      </w:r>
      <w:r w:rsidRPr="00681555">
        <w:rPr>
          <w:lang w:val="en-US"/>
        </w:rPr>
        <w:t>1201</w:t>
      </w:r>
      <w:r>
        <w:rPr>
          <w:lang w:val="en-US"/>
        </w:rPr>
        <w:t>’</w:t>
      </w:r>
      <w:r w:rsidRPr="00681555">
        <w:rPr>
          <w:lang w:val="en-US"/>
        </w:rPr>
        <w:t xml:space="preserve">s definition of criminal abortion, and thus makes noncriminal, an abortion </w:t>
      </w:r>
      <w:r>
        <w:rPr>
          <w:lang w:val="en-US"/>
        </w:rPr>
        <w:t>,</w:t>
      </w:r>
      <w:r w:rsidRPr="00681555">
        <w:rPr>
          <w:lang w:val="en-US"/>
        </w:rPr>
        <w:t>performed by a physician duly licensed</w:t>
      </w:r>
      <w:r>
        <w:rPr>
          <w:lang w:val="en-US"/>
        </w:rPr>
        <w:t>’</w:t>
      </w:r>
      <w:r w:rsidRPr="00681555">
        <w:rPr>
          <w:lang w:val="en-US"/>
        </w:rPr>
        <w:t xml:space="preserve"> in Georgia when, based upon his best clinical judgment </w:t>
      </w:r>
      <w:r>
        <w:rPr>
          <w:lang w:val="en-US"/>
        </w:rPr>
        <w:t>…</w:t>
      </w:r>
      <w:r w:rsidRPr="00681555">
        <w:rPr>
          <w:lang w:val="en-US"/>
        </w:rPr>
        <w:t xml:space="preserve"> an abortion is necessary because: </w:t>
      </w:r>
      <w:r>
        <w:rPr>
          <w:lang w:val="en-US"/>
        </w:rPr>
        <w:t>,</w:t>
      </w:r>
      <w:r w:rsidRPr="00681555">
        <w:rPr>
          <w:lang w:val="en-US"/>
        </w:rPr>
        <w:t>(1) A continuation of the pregnancy would endanger the life of the pregnant woman or would seriously and permanently injure her health; or (2) The fetus would very likely be born with a grave, permanent, and irremediable mental or physical defect; or (3) The pregnancy resulted from forcible or statutory rape.</w:t>
      </w:r>
      <w:r>
        <w:rPr>
          <w:lang w:val="en-US"/>
        </w:rPr>
        <w:t>’</w:t>
      </w:r>
      <w:r w:rsidRPr="00681555">
        <w:rPr>
          <w:lang w:val="en-US"/>
        </w:rPr>
        <w:t xml:space="preserve"> Section 26-1202 also requires, by numbered subdivisions of its subsection (b), that, for an abortion to be authorized or performed as a noncriminal procedure, additional conditions must be fulfilled. These are (1) and (2) residence of the woman in Georgia; (3) reduction to writing of the performing physician</w:t>
      </w:r>
      <w:r>
        <w:rPr>
          <w:lang w:val="en-US"/>
        </w:rPr>
        <w:t>’</w:t>
      </w:r>
      <w:r w:rsidRPr="00681555">
        <w:rPr>
          <w:lang w:val="en-US"/>
        </w:rPr>
        <w:t xml:space="preserve">s medical judgment that an abortion is justified for one or more of the reasons specified by </w:t>
      </w:r>
      <w:r>
        <w:rPr>
          <w:lang w:val="en-US"/>
        </w:rPr>
        <w:t>§ </w:t>
      </w:r>
      <w:r w:rsidRPr="00681555">
        <w:rPr>
          <w:lang w:val="en-US"/>
        </w:rPr>
        <w:t>26-1202 (a), with written concurrence in that judgment by at least two other Georgia-licensed physicians, based upon their separate personal medical examinations of the woman; (4) performance of the abortion in a hospital licensed by the State Board of Health and also accredited by the Joint Commission on Accreditation of Hospitals; (5) advance approval by an abortion committee of not less than three members of the hospital</w:t>
      </w:r>
      <w:r>
        <w:rPr>
          <w:lang w:val="en-US"/>
        </w:rPr>
        <w:t>’</w:t>
      </w:r>
      <w:r w:rsidRPr="00681555">
        <w:rPr>
          <w:lang w:val="en-US"/>
        </w:rPr>
        <w:t xml:space="preserve">s staff; (6) certifications in a rape situation; and (7), (8), and (9) maintenance and confidentiality of records. There is a provision (subsection (c)) for judicial determination of the legality of a proposed abortion on petition of the judicial circuit law officer or of a close relative, as therein defined, of the unborn child, and for expeditious hearing of that petition. There is also a provision (subsection (e)) giving a hospital the right not to admit an abortion patient and giving any physician and any hospital employee or staff member the right, on moral or religious grounds, not to participate in the </w:t>
      </w:r>
      <w:proofErr w:type="gramStart"/>
      <w:r w:rsidRPr="00681555">
        <w:rPr>
          <w:lang w:val="en-US"/>
        </w:rPr>
        <w:t>procedure.“</w:t>
      </w:r>
      <w:proofErr w:type="gramEnd"/>
      <w:r w:rsidRPr="00681555">
        <w:rPr>
          <w:lang w:val="en-US"/>
        </w:rPr>
        <w:t xml:space="preserve">, </w:t>
      </w:r>
      <w:r w:rsidRPr="00D83E4F">
        <w:rPr>
          <w:i/>
          <w:lang w:val="en-US"/>
        </w:rPr>
        <w:t>Doe v. Bolton</w:t>
      </w:r>
      <w:r w:rsidRPr="00681555">
        <w:rPr>
          <w:lang w:val="en-US"/>
        </w:rPr>
        <w:t>, 410 U.S. 179, 183</w:t>
      </w:r>
      <w:r>
        <w:rPr>
          <w:lang w:val="en-US"/>
        </w:rPr>
        <w:t>–</w:t>
      </w:r>
      <w:r w:rsidRPr="00681555">
        <w:rPr>
          <w:lang w:val="en-US"/>
        </w:rPr>
        <w:t>184</w:t>
      </w:r>
      <w:r>
        <w:rPr>
          <w:lang w:val="en-US"/>
        </w:rPr>
        <w:t xml:space="preserve"> = 93 S. Ct. </w:t>
      </w:r>
      <w:r w:rsidRPr="00681555">
        <w:rPr>
          <w:lang w:val="en-US"/>
        </w:rPr>
        <w:t>739, 743</w:t>
      </w:r>
      <w:r>
        <w:rPr>
          <w:lang w:val="en-US"/>
        </w:rPr>
        <w:t>–</w:t>
      </w:r>
      <w:r w:rsidRPr="00681555">
        <w:rPr>
          <w:lang w:val="en-US"/>
        </w:rPr>
        <w:t>744</w:t>
      </w:r>
      <w:r>
        <w:rPr>
          <w:lang w:val="en-US"/>
        </w:rPr>
        <w:t xml:space="preserve"> = 35 L. Ed. </w:t>
      </w:r>
      <w:r w:rsidRPr="00681555">
        <w:rPr>
          <w:lang w:val="en-US"/>
        </w:rPr>
        <w:t>2d 201, 207</w:t>
      </w:r>
      <w:r>
        <w:rPr>
          <w:lang w:val="en-US"/>
        </w:rPr>
        <w:t>–</w:t>
      </w:r>
      <w:r w:rsidRPr="00681555">
        <w:rPr>
          <w:lang w:val="en-US"/>
        </w:rPr>
        <w:t>208</w:t>
      </w:r>
      <w:r>
        <w:rPr>
          <w:lang w:val="en-US"/>
        </w:rPr>
        <w:t xml:space="preserve"> = 1973 U.S. LEXIS </w:t>
      </w:r>
      <w:r w:rsidRPr="00681555">
        <w:rPr>
          <w:lang w:val="en-US"/>
        </w:rPr>
        <w:t>112, 8</w:t>
      </w:r>
      <w:r>
        <w:rPr>
          <w:lang w:val="en-US"/>
        </w:rPr>
        <w:t>–</w:t>
      </w:r>
      <w:r w:rsidRPr="00681555">
        <w:rPr>
          <w:lang w:val="en-US"/>
        </w:rPr>
        <w:t>9 (1973).</w:t>
      </w:r>
    </w:p>
  </w:footnote>
  <w:footnote w:id="1205">
    <w:p w14:paraId="737073F3"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Ga. Crim. Code §</w:t>
      </w:r>
      <w:r>
        <w:rPr>
          <w:lang w:val="en-US"/>
        </w:rPr>
        <w:t>§ </w:t>
      </w:r>
      <w:r w:rsidRPr="00BA1E56">
        <w:rPr>
          <w:lang w:val="en-US"/>
        </w:rPr>
        <w:t xml:space="preserve">26-1201 </w:t>
      </w:r>
      <w:r>
        <w:rPr>
          <w:lang w:val="en-US"/>
        </w:rPr>
        <w:t>bis</w:t>
      </w:r>
      <w:r w:rsidRPr="00BA1E56">
        <w:rPr>
          <w:lang w:val="en-US"/>
        </w:rPr>
        <w:t xml:space="preserve"> 26-1203</w:t>
      </w:r>
      <w:r>
        <w:rPr>
          <w:lang w:val="en-US"/>
        </w:rPr>
        <w:t xml:space="preserve">; </w:t>
      </w:r>
      <w:r w:rsidRPr="00D83E4F">
        <w:rPr>
          <w:i/>
          <w:lang w:val="en-US"/>
        </w:rPr>
        <w:t>Doe v. Bolton</w:t>
      </w:r>
      <w:r w:rsidRPr="00BA1E56">
        <w:rPr>
          <w:lang w:val="en-US"/>
        </w:rPr>
        <w:t>, 410 U.S. 179, 181</w:t>
      </w:r>
      <w:r>
        <w:rPr>
          <w:lang w:val="en-US"/>
        </w:rPr>
        <w:t xml:space="preserve"> = 93 S. Ct. </w:t>
      </w:r>
      <w:r w:rsidRPr="00BA1E56">
        <w:rPr>
          <w:lang w:val="en-US"/>
        </w:rPr>
        <w:t>739, 742</w:t>
      </w:r>
      <w:r>
        <w:rPr>
          <w:lang w:val="en-US"/>
        </w:rPr>
        <w:t xml:space="preserve"> = 35 L. Ed. </w:t>
      </w:r>
      <w:r w:rsidRPr="00BA1E56">
        <w:rPr>
          <w:lang w:val="en-US"/>
        </w:rPr>
        <w:t>2d 201, 206</w:t>
      </w:r>
      <w:r>
        <w:rPr>
          <w:lang w:val="en-US"/>
        </w:rPr>
        <w:t xml:space="preserve"> = 1973 U.S. LEXIS </w:t>
      </w:r>
      <w:r w:rsidRPr="00BA1E56">
        <w:rPr>
          <w:lang w:val="en-US"/>
        </w:rPr>
        <w:t>112, 1 (1973)</w:t>
      </w:r>
      <w:r>
        <w:rPr>
          <w:lang w:val="en-US"/>
        </w:rPr>
        <w:t>.</w:t>
      </w:r>
    </w:p>
  </w:footnote>
  <w:footnote w:id="1206">
    <w:p w14:paraId="3C1D3082" w14:textId="77777777" w:rsidR="00074551" w:rsidRPr="004202C1" w:rsidRDefault="00074551" w:rsidP="00074551">
      <w:pPr>
        <w:pStyle w:val="Funotentext"/>
        <w:rPr>
          <w:lang w:val="en-US"/>
        </w:rPr>
      </w:pPr>
      <w:r>
        <w:rPr>
          <w:rStyle w:val="Funotenzeichen"/>
        </w:rPr>
        <w:footnoteRef/>
      </w:r>
      <w:r w:rsidRPr="004202C1">
        <w:rPr>
          <w:lang w:val="en-US"/>
        </w:rPr>
        <w:t xml:space="preserve"> </w:t>
      </w:r>
      <w:r w:rsidRPr="00D83E4F">
        <w:rPr>
          <w:i/>
          <w:lang w:val="en-US"/>
        </w:rPr>
        <w:t>Doe v. Bolton</w:t>
      </w:r>
      <w:r w:rsidRPr="004202C1">
        <w:rPr>
          <w:lang w:val="en-US"/>
        </w:rPr>
        <w:t>, 410 U.S. 179, 214</w:t>
      </w:r>
      <w:r>
        <w:rPr>
          <w:lang w:val="en-US"/>
        </w:rPr>
        <w:t xml:space="preserve"> = 93 S. Ct. </w:t>
      </w:r>
      <w:r w:rsidRPr="004202C1">
        <w:rPr>
          <w:lang w:val="en-US"/>
        </w:rPr>
        <w:t>739, 759</w:t>
      </w:r>
      <w:r>
        <w:rPr>
          <w:lang w:val="en-US"/>
        </w:rPr>
        <w:t xml:space="preserve"> = 35 L. Ed. </w:t>
      </w:r>
      <w:r w:rsidRPr="004202C1">
        <w:rPr>
          <w:lang w:val="en-US"/>
        </w:rPr>
        <w:t>2d 201, 221</w:t>
      </w:r>
      <w:r>
        <w:rPr>
          <w:lang w:val="en-US"/>
        </w:rPr>
        <w:t xml:space="preserve"> = 1973 U.S. LEXIS </w:t>
      </w:r>
      <w:r w:rsidRPr="004202C1">
        <w:rPr>
          <w:lang w:val="en-US"/>
        </w:rPr>
        <w:t>112, 58 (1973).</w:t>
      </w:r>
    </w:p>
  </w:footnote>
  <w:footnote w:id="1207">
    <w:p w14:paraId="46DAAF09" w14:textId="77777777" w:rsidR="00074551" w:rsidRPr="000240F2" w:rsidRDefault="00074551" w:rsidP="00074551">
      <w:pPr>
        <w:pStyle w:val="Funotentext"/>
        <w:rPr>
          <w:lang w:val="en-US"/>
        </w:rPr>
      </w:pPr>
      <w:r>
        <w:rPr>
          <w:rStyle w:val="Funotenzeichen"/>
          <w:rFonts w:eastAsiaTheme="majorEastAsia"/>
        </w:rPr>
        <w:footnoteRef/>
      </w:r>
      <w:r w:rsidRPr="000240F2">
        <w:rPr>
          <w:lang w:val="en-US"/>
        </w:rPr>
        <w:t xml:space="preserve"> </w:t>
      </w:r>
      <w:r w:rsidRPr="00D83E4F">
        <w:rPr>
          <w:i/>
          <w:lang w:val="en-US"/>
        </w:rPr>
        <w:t>Doe v. Bolton</w:t>
      </w:r>
      <w:r w:rsidRPr="000240F2">
        <w:rPr>
          <w:lang w:val="en-US"/>
        </w:rPr>
        <w:t>, 410 U.S. 179, 209</w:t>
      </w:r>
      <w:r>
        <w:rPr>
          <w:lang w:val="en-US"/>
        </w:rPr>
        <w:t xml:space="preserve"> = 93 S. Ct. </w:t>
      </w:r>
      <w:r w:rsidRPr="000240F2">
        <w:rPr>
          <w:lang w:val="en-US"/>
        </w:rPr>
        <w:t>739, 756</w:t>
      </w:r>
      <w:r>
        <w:rPr>
          <w:lang w:val="en-US"/>
        </w:rPr>
        <w:t xml:space="preserve"> f. = 35 L. Ed. </w:t>
      </w:r>
      <w:r w:rsidRPr="000240F2">
        <w:rPr>
          <w:lang w:val="en-US"/>
        </w:rPr>
        <w:t>2d 201, 221</w:t>
      </w:r>
      <w:r>
        <w:rPr>
          <w:lang w:val="en-US"/>
        </w:rPr>
        <w:t xml:space="preserve"> = 1973 U.S. LEXIS </w:t>
      </w:r>
      <w:r w:rsidRPr="000240F2">
        <w:rPr>
          <w:lang w:val="en-US"/>
        </w:rPr>
        <w:t>112, 50 (1973)</w:t>
      </w:r>
      <w:r>
        <w:rPr>
          <w:lang w:val="en-US"/>
        </w:rPr>
        <w:t>.</w:t>
      </w:r>
    </w:p>
  </w:footnote>
  <w:footnote w:id="1208">
    <w:p w14:paraId="4E79D4DE"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Meyer v. Nebraska</w:t>
      </w:r>
      <w:r w:rsidRPr="00BA1E56">
        <w:rPr>
          <w:lang w:val="en-US"/>
        </w:rPr>
        <w:t>, 262 U.S. 390, 399</w:t>
      </w:r>
      <w:r>
        <w:rPr>
          <w:lang w:val="en-US"/>
        </w:rPr>
        <w:t xml:space="preserve">; </w:t>
      </w:r>
      <w:r w:rsidRPr="00D83E4F">
        <w:rPr>
          <w:i/>
          <w:lang w:val="en-US"/>
        </w:rPr>
        <w:t>Doe v. Bolton</w:t>
      </w:r>
      <w:r w:rsidRPr="00BA1E56">
        <w:rPr>
          <w:lang w:val="en-US"/>
        </w:rPr>
        <w:t>, 410 U.S. 179, 214</w:t>
      </w:r>
      <w:r>
        <w:rPr>
          <w:lang w:val="en-US"/>
        </w:rPr>
        <w:t xml:space="preserve"> = 93 S. Ct. </w:t>
      </w:r>
      <w:r w:rsidRPr="00BA1E56">
        <w:rPr>
          <w:lang w:val="en-US"/>
        </w:rPr>
        <w:t>739, 759</w:t>
      </w:r>
      <w:r>
        <w:rPr>
          <w:lang w:val="en-US"/>
        </w:rPr>
        <w:t xml:space="preserve"> = 35 L. Ed. </w:t>
      </w:r>
      <w:r w:rsidRPr="00BA1E56">
        <w:rPr>
          <w:lang w:val="en-US"/>
        </w:rPr>
        <w:t>2d 201, 221</w:t>
      </w:r>
      <w:r>
        <w:rPr>
          <w:lang w:val="en-US"/>
        </w:rPr>
        <w:t xml:space="preserve"> = 1973 U.S. LEXIS </w:t>
      </w:r>
      <w:r w:rsidRPr="00BA1E56">
        <w:rPr>
          <w:lang w:val="en-US"/>
        </w:rPr>
        <w:t>112, 57 (1973)</w:t>
      </w:r>
      <w:r>
        <w:rPr>
          <w:lang w:val="en-US"/>
        </w:rPr>
        <w:t>.</w:t>
      </w:r>
    </w:p>
  </w:footnote>
  <w:footnote w:id="1209">
    <w:p w14:paraId="32E8385E"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proofErr w:type="spellStart"/>
      <w:r>
        <w:rPr>
          <w:lang w:val="en-US"/>
        </w:rPr>
        <w:t>Siehe</w:t>
      </w:r>
      <w:proofErr w:type="spellEnd"/>
      <w:r w:rsidRPr="00BA1E56">
        <w:rPr>
          <w:lang w:val="en-US"/>
        </w:rPr>
        <w:t xml:space="preserve"> </w:t>
      </w:r>
      <w:proofErr w:type="spellStart"/>
      <w:r w:rsidRPr="00B45592">
        <w:rPr>
          <w:i/>
          <w:lang w:val="en-US"/>
        </w:rPr>
        <w:t>Terminiello</w:t>
      </w:r>
      <w:proofErr w:type="spellEnd"/>
      <w:r w:rsidRPr="00B45592">
        <w:rPr>
          <w:i/>
          <w:lang w:val="en-US"/>
        </w:rPr>
        <w:t xml:space="preserve"> v. Chicago</w:t>
      </w:r>
      <w:r w:rsidRPr="00BA1E56">
        <w:rPr>
          <w:lang w:val="en-US"/>
        </w:rPr>
        <w:t xml:space="preserve">, 337 U.S. 1; </w:t>
      </w:r>
      <w:r w:rsidRPr="00B45592">
        <w:rPr>
          <w:i/>
          <w:lang w:val="en-US"/>
        </w:rPr>
        <w:t>Roth v. United States</w:t>
      </w:r>
      <w:r w:rsidRPr="00BA1E56">
        <w:rPr>
          <w:lang w:val="en-US"/>
        </w:rPr>
        <w:t>, 354 U.S. 476, 508 (</w:t>
      </w:r>
      <w:r>
        <w:rPr>
          <w:lang w:val="en-US"/>
        </w:rPr>
        <w:t>Dissens</w:t>
      </w:r>
      <w:r w:rsidRPr="00BA1E56">
        <w:rPr>
          <w:lang w:val="en-US"/>
        </w:rPr>
        <w:t>)</w:t>
      </w:r>
      <w:r>
        <w:rPr>
          <w:lang w:val="en-US"/>
        </w:rPr>
        <w:t xml:space="preserve">; </w:t>
      </w:r>
      <w:r w:rsidRPr="00D83E4F">
        <w:rPr>
          <w:i/>
          <w:lang w:val="en-US"/>
        </w:rPr>
        <w:t>Doe v. Bolton</w:t>
      </w:r>
      <w:r w:rsidRPr="00BA1E56">
        <w:rPr>
          <w:lang w:val="en-US"/>
        </w:rPr>
        <w:t>, 410 U.S. 179, 211</w:t>
      </w:r>
      <w:r>
        <w:rPr>
          <w:lang w:val="en-US"/>
        </w:rPr>
        <w:t xml:space="preserve"> = 93 S. Ct. </w:t>
      </w:r>
      <w:r w:rsidRPr="00BA1E56">
        <w:rPr>
          <w:lang w:val="en-US"/>
        </w:rPr>
        <w:t>739, 757</w:t>
      </w:r>
      <w:r>
        <w:rPr>
          <w:lang w:val="en-US"/>
        </w:rPr>
        <w:t xml:space="preserve"> = 35 L. Ed. </w:t>
      </w:r>
      <w:r w:rsidRPr="00BA1E56">
        <w:rPr>
          <w:lang w:val="en-US"/>
        </w:rPr>
        <w:t>2d 201, 221</w:t>
      </w:r>
      <w:r>
        <w:rPr>
          <w:lang w:val="en-US"/>
        </w:rPr>
        <w:t xml:space="preserve"> = 1973 U.S. LEXIS </w:t>
      </w:r>
      <w:r w:rsidRPr="00BA1E56">
        <w:rPr>
          <w:lang w:val="en-US"/>
        </w:rPr>
        <w:t>112, 52 (1973)</w:t>
      </w:r>
      <w:r>
        <w:rPr>
          <w:lang w:val="en-US"/>
        </w:rPr>
        <w:t>.</w:t>
      </w:r>
    </w:p>
  </w:footnote>
  <w:footnote w:id="1210">
    <w:p w14:paraId="11C74152" w14:textId="77777777" w:rsidR="00074551" w:rsidRPr="00F94158" w:rsidRDefault="00074551" w:rsidP="00074551">
      <w:pPr>
        <w:pStyle w:val="Funotentext"/>
      </w:pPr>
      <w:r>
        <w:rPr>
          <w:rStyle w:val="Funotenzeichen"/>
          <w:rFonts w:eastAsiaTheme="majorEastAsia"/>
        </w:rPr>
        <w:footnoteRef/>
      </w:r>
      <w:r w:rsidRPr="00BA1E56">
        <w:rPr>
          <w:lang w:val="en-US"/>
        </w:rPr>
        <w:t xml:space="preserve"> </w:t>
      </w:r>
      <w:r w:rsidRPr="00B45592">
        <w:rPr>
          <w:i/>
          <w:iCs/>
          <w:lang w:val="en-US"/>
        </w:rPr>
        <w:t>Free Exercise Clause</w:t>
      </w:r>
      <w:r w:rsidRPr="00BA1E56">
        <w:rPr>
          <w:lang w:val="en-US"/>
        </w:rPr>
        <w:t xml:space="preserve"> </w:t>
      </w:r>
      <w:proofErr w:type="spellStart"/>
      <w:r>
        <w:rPr>
          <w:lang w:val="en-US"/>
        </w:rPr>
        <w:t>nach</w:t>
      </w:r>
      <w:proofErr w:type="spellEnd"/>
      <w:r>
        <w:rPr>
          <w:lang w:val="en-US"/>
        </w:rPr>
        <w:t xml:space="preserve"> </w:t>
      </w:r>
      <w:proofErr w:type="spellStart"/>
      <w:r w:rsidRPr="00B45592">
        <w:rPr>
          <w:i/>
          <w:lang w:val="en-US"/>
        </w:rPr>
        <w:t>Terminiello</w:t>
      </w:r>
      <w:proofErr w:type="spellEnd"/>
      <w:r w:rsidRPr="00B45592">
        <w:rPr>
          <w:i/>
          <w:lang w:val="en-US"/>
        </w:rPr>
        <w:t xml:space="preserve"> v. Chicago</w:t>
      </w:r>
      <w:r w:rsidRPr="00BA1E56">
        <w:rPr>
          <w:lang w:val="en-US"/>
        </w:rPr>
        <w:t xml:space="preserve">, 337 U.S. 1; </w:t>
      </w:r>
      <w:r w:rsidRPr="00B45592">
        <w:rPr>
          <w:i/>
          <w:lang w:val="en-US"/>
        </w:rPr>
        <w:t>Roth v. United States</w:t>
      </w:r>
      <w:r w:rsidRPr="00BA1E56">
        <w:rPr>
          <w:lang w:val="en-US"/>
        </w:rPr>
        <w:t>, 354 U.S. 476, 508 (</w:t>
      </w:r>
      <w:r>
        <w:rPr>
          <w:lang w:val="en-US"/>
        </w:rPr>
        <w:t>Dissens</w:t>
      </w:r>
      <w:r w:rsidRPr="00BA1E56">
        <w:rPr>
          <w:lang w:val="en-US"/>
        </w:rPr>
        <w:t xml:space="preserve">); </w:t>
      </w:r>
      <w:r w:rsidRPr="00B45592">
        <w:rPr>
          <w:i/>
          <w:lang w:val="en-US"/>
        </w:rPr>
        <w:t>Kingsley Pictures Corp. v. Regents</w:t>
      </w:r>
      <w:r w:rsidRPr="00BA1E56">
        <w:rPr>
          <w:lang w:val="en-US"/>
        </w:rPr>
        <w:t xml:space="preserve">, 360 U.S. 684, 697 </w:t>
      </w:r>
      <w:r w:rsidRPr="00DE1296">
        <w:rPr>
          <w:lang w:val="en-US"/>
        </w:rPr>
        <w:t>(</w:t>
      </w:r>
      <w:r w:rsidRPr="00B45592">
        <w:rPr>
          <w:i/>
          <w:lang w:val="en-US"/>
        </w:rPr>
        <w:t>concurring opinion</w:t>
      </w:r>
      <w:r w:rsidRPr="00D83E4F">
        <w:rPr>
          <w:lang w:val="en-US"/>
        </w:rPr>
        <w:t xml:space="preserve">); </w:t>
      </w:r>
      <w:r w:rsidRPr="00B45592">
        <w:rPr>
          <w:i/>
          <w:lang w:val="en-US"/>
        </w:rPr>
        <w:t>New York Times Co. v. Sullivan</w:t>
      </w:r>
      <w:r w:rsidRPr="00D83E4F">
        <w:rPr>
          <w:lang w:val="en-US"/>
        </w:rPr>
        <w:t>, 376 U.S. 254, 293 (</w:t>
      </w:r>
      <w:r w:rsidRPr="00B45592">
        <w:rPr>
          <w:i/>
          <w:lang w:val="en-US"/>
        </w:rPr>
        <w:t>concurring opinion</w:t>
      </w:r>
      <w:r w:rsidRPr="00B45592">
        <w:rPr>
          <w:lang w:val="en-US"/>
        </w:rPr>
        <w:t xml:space="preserve"> von Richter </w:t>
      </w:r>
      <w:r w:rsidRPr="00B45592">
        <w:rPr>
          <w:i/>
          <w:lang w:val="en-US"/>
        </w:rPr>
        <w:t>Black</w:t>
      </w:r>
      <w:r w:rsidRPr="00B45592">
        <w:rPr>
          <w:lang w:val="en-US"/>
        </w:rPr>
        <w:t xml:space="preserve"> </w:t>
      </w:r>
      <w:proofErr w:type="spellStart"/>
      <w:r w:rsidRPr="00B45592">
        <w:rPr>
          <w:lang w:val="en-US"/>
        </w:rPr>
        <w:t>u.a.</w:t>
      </w:r>
      <w:proofErr w:type="spellEnd"/>
      <w:r w:rsidRPr="00F94158">
        <w:rPr>
          <w:lang w:val="en-IE"/>
        </w:rPr>
        <w:t xml:space="preserve">); Recht, in </w:t>
      </w:r>
      <w:proofErr w:type="spellStart"/>
      <w:r w:rsidRPr="00F94158">
        <w:rPr>
          <w:lang w:val="en-IE"/>
        </w:rPr>
        <w:t>Bezug</w:t>
      </w:r>
      <w:proofErr w:type="spellEnd"/>
      <w:r w:rsidRPr="00F94158">
        <w:rPr>
          <w:lang w:val="en-IE"/>
        </w:rPr>
        <w:t xml:space="preserve"> auf die </w:t>
      </w:r>
      <w:proofErr w:type="spellStart"/>
      <w:r w:rsidRPr="00F94158">
        <w:rPr>
          <w:lang w:val="en-IE"/>
        </w:rPr>
        <w:t>eigenen</w:t>
      </w:r>
      <w:proofErr w:type="spellEnd"/>
      <w:r w:rsidRPr="00F94158">
        <w:rPr>
          <w:lang w:val="en-IE"/>
        </w:rPr>
        <w:t xml:space="preserve"> </w:t>
      </w:r>
      <w:proofErr w:type="spellStart"/>
      <w:r w:rsidRPr="00F94158">
        <w:rPr>
          <w:lang w:val="en-IE"/>
        </w:rPr>
        <w:t>Überzeugungen</w:t>
      </w:r>
      <w:proofErr w:type="spellEnd"/>
      <w:r w:rsidRPr="00F94158">
        <w:rPr>
          <w:lang w:val="en-IE"/>
        </w:rPr>
        <w:t xml:space="preserve"> </w:t>
      </w:r>
      <w:proofErr w:type="spellStart"/>
      <w:r w:rsidRPr="00F94158">
        <w:rPr>
          <w:lang w:val="en-IE"/>
        </w:rPr>
        <w:t>zu</w:t>
      </w:r>
      <w:proofErr w:type="spellEnd"/>
      <w:r w:rsidRPr="00F94158">
        <w:rPr>
          <w:lang w:val="en-IE"/>
        </w:rPr>
        <w:t xml:space="preserve"> </w:t>
      </w:r>
      <w:proofErr w:type="spellStart"/>
      <w:r w:rsidRPr="00F94158">
        <w:rPr>
          <w:lang w:val="en-IE"/>
        </w:rPr>
        <w:t>schweigen</w:t>
      </w:r>
      <w:proofErr w:type="spellEnd"/>
      <w:r w:rsidRPr="00F94158">
        <w:rPr>
          <w:lang w:val="en-IE"/>
        </w:rPr>
        <w:t xml:space="preserve">, </w:t>
      </w:r>
      <w:proofErr w:type="spellStart"/>
      <w:r w:rsidRPr="00F94158">
        <w:rPr>
          <w:lang w:val="en-IE"/>
        </w:rPr>
        <w:t>vgl</w:t>
      </w:r>
      <w:proofErr w:type="spellEnd"/>
      <w:r w:rsidRPr="00F94158">
        <w:rPr>
          <w:lang w:val="en-IE"/>
        </w:rPr>
        <w:t xml:space="preserve">. </w:t>
      </w:r>
      <w:r w:rsidRPr="00F94158">
        <w:rPr>
          <w:i/>
          <w:lang w:val="en-IE"/>
        </w:rPr>
        <w:t>Watkins v. United States</w:t>
      </w:r>
      <w:r w:rsidRPr="00F94158">
        <w:rPr>
          <w:lang w:val="en-IE"/>
        </w:rPr>
        <w:t xml:space="preserve">, 354 U.S. 178, 196–199. </w:t>
      </w:r>
      <w:r w:rsidRPr="00B45592">
        <w:t xml:space="preserve">Der Erste Verfassungszusatz gewährt die Privatsphäre der Post erster Klasse, </w:t>
      </w:r>
      <w:r w:rsidRPr="00B45592">
        <w:rPr>
          <w:i/>
        </w:rPr>
        <w:t>United States v. Van Leeuwen</w:t>
      </w:r>
      <w:r w:rsidRPr="00B45592">
        <w:t xml:space="preserve">, 397 U.S. 249, 253, zur Zuordnung: </w:t>
      </w:r>
      <w:r w:rsidRPr="00F94158">
        <w:rPr>
          <w:i/>
        </w:rPr>
        <w:t>Doe v. Bolton</w:t>
      </w:r>
      <w:r w:rsidRPr="00F94158">
        <w:t>, 410 U.S. 179, 211 = 93 S. Ct. 739, 757 = 35 L. Ed. 2d 201, 221 = 1973 U.S. LEXIS 112, 52 (1973).</w:t>
      </w:r>
    </w:p>
  </w:footnote>
  <w:footnote w:id="1211">
    <w:p w14:paraId="2421B218" w14:textId="77777777" w:rsidR="00074551" w:rsidRPr="0088435E" w:rsidRDefault="00074551" w:rsidP="00074551">
      <w:pPr>
        <w:pStyle w:val="Funotentext"/>
        <w:ind w:left="227" w:hanging="227"/>
        <w:rPr>
          <w:lang w:val="en-US"/>
        </w:rPr>
      </w:pPr>
      <w:r w:rsidRPr="00D83E4F">
        <w:rPr>
          <w:rStyle w:val="Funotenzeichen"/>
          <w:rFonts w:eastAsiaTheme="majorEastAsia"/>
        </w:rPr>
        <w:footnoteRef/>
      </w:r>
      <w:r w:rsidRPr="00D83E4F">
        <w:rPr>
          <w:lang w:val="en-US"/>
        </w:rPr>
        <w:t xml:space="preserve"> </w:t>
      </w:r>
      <w:proofErr w:type="spellStart"/>
      <w:r w:rsidRPr="00B45592">
        <w:rPr>
          <w:lang w:val="en-US"/>
        </w:rPr>
        <w:t>Siehe</w:t>
      </w:r>
      <w:proofErr w:type="spellEnd"/>
      <w:r w:rsidRPr="00D83E4F">
        <w:rPr>
          <w:lang w:val="en-US"/>
        </w:rPr>
        <w:t xml:space="preserve"> </w:t>
      </w:r>
      <w:proofErr w:type="spellStart"/>
      <w:r w:rsidRPr="00B45592">
        <w:rPr>
          <w:i/>
          <w:lang w:val="en-US"/>
        </w:rPr>
        <w:t>Terminiello</w:t>
      </w:r>
      <w:proofErr w:type="spellEnd"/>
      <w:r w:rsidRPr="00B45592">
        <w:rPr>
          <w:i/>
          <w:lang w:val="en-US"/>
        </w:rPr>
        <w:t xml:space="preserve"> v. Chicago</w:t>
      </w:r>
      <w:r w:rsidRPr="00D83E4F">
        <w:rPr>
          <w:lang w:val="en-US"/>
        </w:rPr>
        <w:t xml:space="preserve">, 337 U.S. 1; </w:t>
      </w:r>
      <w:r w:rsidRPr="00B45592">
        <w:rPr>
          <w:i/>
          <w:lang w:val="en-US"/>
        </w:rPr>
        <w:t>Roth v. United States</w:t>
      </w:r>
      <w:r w:rsidRPr="00D83E4F">
        <w:rPr>
          <w:lang w:val="en-US"/>
        </w:rPr>
        <w:t xml:space="preserve">, 354 U.S. 476, 508 (Dissens); </w:t>
      </w:r>
      <w:r w:rsidRPr="00B45592">
        <w:rPr>
          <w:i/>
          <w:lang w:val="en-US"/>
        </w:rPr>
        <w:t>Kingsley Pictures Corp. v. Regents</w:t>
      </w:r>
      <w:r w:rsidRPr="00D83E4F">
        <w:rPr>
          <w:lang w:val="en-US"/>
        </w:rPr>
        <w:t>, 360 U.S. 684, 697 (</w:t>
      </w:r>
      <w:r w:rsidRPr="00B45592">
        <w:rPr>
          <w:i/>
          <w:lang w:val="en-US"/>
        </w:rPr>
        <w:t>concurring opinion</w:t>
      </w:r>
      <w:r w:rsidRPr="00D83E4F">
        <w:rPr>
          <w:lang w:val="en-US"/>
        </w:rPr>
        <w:t xml:space="preserve">); </w:t>
      </w:r>
      <w:r w:rsidRPr="00B45592">
        <w:rPr>
          <w:i/>
          <w:lang w:val="en-US"/>
        </w:rPr>
        <w:t>New York Times Co. v. Sullivan</w:t>
      </w:r>
      <w:r w:rsidRPr="00D83E4F">
        <w:rPr>
          <w:lang w:val="en-US"/>
        </w:rPr>
        <w:t>, 376 U.S. 254, 293 (</w:t>
      </w:r>
      <w:r w:rsidRPr="00B45592">
        <w:rPr>
          <w:i/>
          <w:lang w:val="en-US"/>
        </w:rPr>
        <w:t>concurring opinion</w:t>
      </w:r>
      <w:r w:rsidRPr="00B45592">
        <w:rPr>
          <w:lang w:val="en-US"/>
        </w:rPr>
        <w:t xml:space="preserve"> von Richter </w:t>
      </w:r>
      <w:r w:rsidRPr="00B45592">
        <w:rPr>
          <w:i/>
          <w:lang w:val="en-US"/>
        </w:rPr>
        <w:t>Black</w:t>
      </w:r>
      <w:r w:rsidRPr="00B45592">
        <w:rPr>
          <w:lang w:val="en-US"/>
        </w:rPr>
        <w:t xml:space="preserve"> </w:t>
      </w:r>
      <w:proofErr w:type="spellStart"/>
      <w:r w:rsidRPr="00B45592">
        <w:rPr>
          <w:lang w:val="en-US"/>
        </w:rPr>
        <w:t>u.a.</w:t>
      </w:r>
      <w:proofErr w:type="spellEnd"/>
      <w:r w:rsidRPr="00D83E4F">
        <w:rPr>
          <w:lang w:val="en-US"/>
        </w:rPr>
        <w:t xml:space="preserve">); </w:t>
      </w:r>
      <w:r w:rsidRPr="00D83E4F">
        <w:rPr>
          <w:i/>
          <w:lang w:val="en-US"/>
        </w:rPr>
        <w:t>Doe v. Bolton</w:t>
      </w:r>
      <w:r w:rsidRPr="00D83E4F">
        <w:rPr>
          <w:lang w:val="en-US"/>
        </w:rPr>
        <w:t>, 410 U.S. 179, 211 = 93 S. Ct. 739, 757 = 35 L. Ed. 2d 201, 221 = 1973 U.S. LEXIS 112, 52 (1973).</w:t>
      </w:r>
    </w:p>
  </w:footnote>
  <w:footnote w:id="1212">
    <w:p w14:paraId="3BBA0B40" w14:textId="77777777" w:rsidR="00074551" w:rsidRPr="0088435E" w:rsidRDefault="00074551" w:rsidP="00074551">
      <w:pPr>
        <w:pStyle w:val="Funotentext"/>
        <w:rPr>
          <w:lang w:val="en-US"/>
        </w:rPr>
      </w:pPr>
      <w:r>
        <w:rPr>
          <w:rStyle w:val="Funotenzeichen"/>
          <w:rFonts w:eastAsiaTheme="majorEastAsia"/>
        </w:rPr>
        <w:footnoteRef/>
      </w:r>
      <w:r w:rsidRPr="0088435E">
        <w:rPr>
          <w:lang w:val="en-US"/>
        </w:rPr>
        <w:t xml:space="preserve"> </w:t>
      </w:r>
      <w:r w:rsidRPr="00D83E4F">
        <w:rPr>
          <w:i/>
          <w:lang w:val="en-US"/>
        </w:rPr>
        <w:t>Doe v. Bolton</w:t>
      </w:r>
      <w:r w:rsidRPr="0088435E">
        <w:rPr>
          <w:lang w:val="en-US"/>
        </w:rPr>
        <w:t>, 410 U.S. 179, 211</w:t>
      </w:r>
      <w:r>
        <w:rPr>
          <w:lang w:val="en-US"/>
        </w:rPr>
        <w:t xml:space="preserve"> = 93 S. Ct. </w:t>
      </w:r>
      <w:r w:rsidRPr="0088435E">
        <w:rPr>
          <w:lang w:val="en-US"/>
        </w:rPr>
        <w:t>739, 757</w:t>
      </w:r>
      <w:r>
        <w:rPr>
          <w:lang w:val="en-US"/>
        </w:rPr>
        <w:t xml:space="preserve"> = 35 L. Ed. </w:t>
      </w:r>
      <w:r w:rsidRPr="0088435E">
        <w:rPr>
          <w:lang w:val="en-US"/>
        </w:rPr>
        <w:t>2d 201, 221</w:t>
      </w:r>
      <w:r>
        <w:rPr>
          <w:lang w:val="en-US"/>
        </w:rPr>
        <w:t xml:space="preserve"> = 1973 U.S. LEXIS </w:t>
      </w:r>
      <w:r w:rsidRPr="0088435E">
        <w:rPr>
          <w:lang w:val="en-US"/>
        </w:rPr>
        <w:t>112, 53 (1973)</w:t>
      </w:r>
      <w:r>
        <w:rPr>
          <w:lang w:val="en-US"/>
        </w:rPr>
        <w:t>.</w:t>
      </w:r>
    </w:p>
  </w:footnote>
  <w:footnote w:id="1213">
    <w:p w14:paraId="6B4E697E" w14:textId="5488B27F" w:rsidR="00074551" w:rsidRPr="00D83E4F" w:rsidRDefault="00074551" w:rsidP="00074551">
      <w:pPr>
        <w:pStyle w:val="Funotentext"/>
        <w:jc w:val="both"/>
        <w:rPr>
          <w:lang w:val="en-US"/>
        </w:rPr>
      </w:pPr>
      <w:r w:rsidRPr="5B67C1D2">
        <w:rPr>
          <w:rStyle w:val="Funotenzeichen"/>
          <w:rFonts w:eastAsiaTheme="majorEastAsia"/>
        </w:rPr>
        <w:footnoteRef/>
      </w:r>
      <w:r w:rsidR="5B67C1D2" w:rsidRPr="00BA1E56">
        <w:rPr>
          <w:lang w:val="en-US"/>
        </w:rPr>
        <w:t xml:space="preserve"> </w:t>
      </w:r>
      <w:r w:rsidR="5B67C1D2" w:rsidRPr="5B67C1D2">
        <w:rPr>
          <w:i/>
          <w:iCs/>
          <w:lang w:val="en-US"/>
        </w:rPr>
        <w:t>Doe v. Bolton</w:t>
      </w:r>
      <w:r w:rsidR="5B67C1D2" w:rsidRPr="5B67C1D2">
        <w:rPr>
          <w:lang w:val="en-US"/>
        </w:rPr>
        <w:t xml:space="preserve">, 410 U.S. 179, 212 = 93 S. Ct. 739, 758 = 35 L. Ed. 2d 201, 221 = 1973 U.S. LEXIS 112, 56 (1973); </w:t>
      </w:r>
      <w:r w:rsidR="5B67C1D2" w:rsidRPr="5B67C1D2">
        <w:rPr>
          <w:i/>
          <w:iCs/>
          <w:lang w:val="en-US"/>
        </w:rPr>
        <w:t>Loving v. Virginia</w:t>
      </w:r>
      <w:r w:rsidR="5B67C1D2" w:rsidRPr="5B67C1D2">
        <w:rPr>
          <w:lang w:val="en-US"/>
        </w:rPr>
        <w:t>, 388 U.S. 1 (1967).</w:t>
      </w:r>
    </w:p>
  </w:footnote>
  <w:footnote w:id="1214">
    <w:p w14:paraId="3A31FF69" w14:textId="72FB9517" w:rsidR="00074551" w:rsidRPr="00D83E4F" w:rsidRDefault="00074551" w:rsidP="00074551">
      <w:pPr>
        <w:pStyle w:val="Funotentext"/>
        <w:rPr>
          <w:lang w:val="en-US"/>
        </w:rPr>
      </w:pPr>
      <w:r w:rsidRPr="5B67C1D2">
        <w:rPr>
          <w:rStyle w:val="Funotenzeichen"/>
          <w:rFonts w:eastAsiaTheme="majorEastAsia"/>
        </w:rPr>
        <w:footnoteRef/>
      </w:r>
      <w:r w:rsidR="5B67C1D2" w:rsidRPr="00B45592">
        <w:rPr>
          <w:lang w:val="fr-FR"/>
        </w:rPr>
        <w:t xml:space="preserve"> </w:t>
      </w:r>
      <w:r w:rsidR="5B67C1D2" w:rsidRPr="5B67C1D2">
        <w:rPr>
          <w:i/>
          <w:iCs/>
          <w:lang w:val="en-US"/>
        </w:rPr>
        <w:t>Doe v. Bolton</w:t>
      </w:r>
      <w:r w:rsidR="5B67C1D2" w:rsidRPr="5B67C1D2">
        <w:rPr>
          <w:lang w:val="en-US"/>
        </w:rPr>
        <w:t xml:space="preserve">, 410 U.S. 179, 212 = 93 S. Ct. 739, 758 = 35 L. Ed. 2d 201, 221 = 1973 U.S. LEXIS 112, 56 (1973); </w:t>
      </w:r>
      <w:r w:rsidR="5B67C1D2" w:rsidRPr="5B67C1D2">
        <w:rPr>
          <w:i/>
          <w:iCs/>
          <w:lang w:val="fr-FR"/>
        </w:rPr>
        <w:t xml:space="preserve">Skinner v. Oklahoma ex rel. </w:t>
      </w:r>
      <w:r w:rsidR="5B67C1D2" w:rsidRPr="5B67C1D2">
        <w:rPr>
          <w:i/>
          <w:iCs/>
          <w:lang w:val="en-IE"/>
        </w:rPr>
        <w:t>Williamson</w:t>
      </w:r>
      <w:r w:rsidR="5B67C1D2" w:rsidRPr="5B67C1D2">
        <w:rPr>
          <w:lang w:val="en-IE"/>
        </w:rPr>
        <w:t>, 316 U.S. 535 (1942)</w:t>
      </w:r>
      <w:r w:rsidR="5B67C1D2" w:rsidRPr="5B67C1D2">
        <w:rPr>
          <w:lang w:val="en-US"/>
        </w:rPr>
        <w:t>.</w:t>
      </w:r>
    </w:p>
  </w:footnote>
  <w:footnote w:id="1215">
    <w:p w14:paraId="2B20238E" w14:textId="6F0809A3" w:rsidR="00074551" w:rsidRPr="00D83E4F" w:rsidRDefault="00074551" w:rsidP="00074551">
      <w:pPr>
        <w:pStyle w:val="Funotentext"/>
        <w:jc w:val="both"/>
        <w:rPr>
          <w:lang w:val="en-US"/>
        </w:rPr>
      </w:pPr>
      <w:r w:rsidRPr="5B67C1D2">
        <w:rPr>
          <w:rStyle w:val="Funotenzeichen"/>
          <w:rFonts w:eastAsiaTheme="majorEastAsia"/>
        </w:rPr>
        <w:footnoteRef/>
      </w:r>
      <w:r w:rsidR="5B67C1D2" w:rsidRPr="00D83E4F">
        <w:rPr>
          <w:lang w:val="en-US"/>
        </w:rPr>
        <w:t xml:space="preserve"> </w:t>
      </w:r>
      <w:r w:rsidR="5B67C1D2" w:rsidRPr="5B67C1D2">
        <w:rPr>
          <w:i/>
          <w:iCs/>
          <w:lang w:val="en-US"/>
        </w:rPr>
        <w:t>Doe v. Bolton</w:t>
      </w:r>
      <w:r w:rsidR="5B67C1D2" w:rsidRPr="5B67C1D2">
        <w:rPr>
          <w:lang w:val="en-US"/>
        </w:rPr>
        <w:t>, 410 U.S. 179, 212 = 93 S. Ct. 739, 758 = 35 L. Ed. 2d 201, 221 = 1973 U.S. LEXIS 112, 56 (1973);</w:t>
      </w:r>
      <w:r w:rsidR="5B67C1D2" w:rsidRPr="5B67C1D2">
        <w:rPr>
          <w:i/>
          <w:iCs/>
          <w:lang w:val="en-US"/>
        </w:rPr>
        <w:t xml:space="preserve"> Griswold v. Connecticut</w:t>
      </w:r>
      <w:r w:rsidR="5B67C1D2" w:rsidRPr="5B67C1D2">
        <w:rPr>
          <w:lang w:val="en-US"/>
        </w:rPr>
        <w:t>, 381 U.S. 479 (1965).</w:t>
      </w:r>
    </w:p>
  </w:footnote>
  <w:footnote w:id="1216">
    <w:p w14:paraId="0B00D236" w14:textId="4EBF5A28" w:rsidR="00074551" w:rsidRPr="00D83E4F" w:rsidRDefault="00074551" w:rsidP="00074551">
      <w:pPr>
        <w:pStyle w:val="Funotentext"/>
        <w:rPr>
          <w:lang w:val="en-US"/>
        </w:rPr>
      </w:pPr>
      <w:r w:rsidRPr="5B67C1D2">
        <w:rPr>
          <w:rStyle w:val="Funotenzeichen"/>
          <w:rFonts w:eastAsiaTheme="majorEastAsia"/>
        </w:rPr>
        <w:footnoteRef/>
      </w:r>
      <w:r w:rsidR="5B67C1D2" w:rsidRPr="00D83E4F">
        <w:rPr>
          <w:lang w:val="en-US"/>
        </w:rPr>
        <w:t xml:space="preserve"> </w:t>
      </w:r>
      <w:r w:rsidR="5B67C1D2" w:rsidRPr="5B67C1D2">
        <w:rPr>
          <w:i/>
          <w:iCs/>
          <w:lang w:val="en-US"/>
        </w:rPr>
        <w:t>Doe v. Bolton</w:t>
      </w:r>
      <w:r w:rsidR="5B67C1D2" w:rsidRPr="5B67C1D2">
        <w:rPr>
          <w:lang w:val="en-US"/>
        </w:rPr>
        <w:t xml:space="preserve">, 410 U.S. 179, 213 = 93 S. Ct. 739, 758 = 35 L. Ed. 2d 201, 221 = 1973 U.S. LEXIS 112, 56 (1973); </w:t>
      </w:r>
      <w:r w:rsidR="5B67C1D2" w:rsidRPr="5B67C1D2">
        <w:rPr>
          <w:i/>
          <w:iCs/>
          <w:lang w:val="en-US"/>
        </w:rPr>
        <w:t>Pierce v. Society of Sisters</w:t>
      </w:r>
      <w:r w:rsidR="5B67C1D2" w:rsidRPr="5B67C1D2">
        <w:rPr>
          <w:lang w:val="en-US"/>
        </w:rPr>
        <w:t>, 268 U.S. 510 (1925).</w:t>
      </w:r>
    </w:p>
  </w:footnote>
  <w:footnote w:id="1217">
    <w:p w14:paraId="398D0A01" w14:textId="201CC854" w:rsidR="00074551" w:rsidRDefault="00074551" w:rsidP="00074551">
      <w:pPr>
        <w:pStyle w:val="Funotentext"/>
      </w:pPr>
      <w:r w:rsidRPr="5B67C1D2">
        <w:rPr>
          <w:rStyle w:val="Funotenzeichen"/>
          <w:rFonts w:eastAsiaTheme="majorEastAsia"/>
        </w:rPr>
        <w:footnoteRef/>
      </w:r>
      <w:r w:rsidR="5B67C1D2" w:rsidRPr="00D83E4F">
        <w:t xml:space="preserve"> </w:t>
      </w:r>
      <w:r w:rsidR="5B67C1D2" w:rsidRPr="5B67C1D2">
        <w:rPr>
          <w:i/>
          <w:iCs/>
          <w:lang w:val="en-US"/>
        </w:rPr>
        <w:t>Doe v. Bolton</w:t>
      </w:r>
      <w:r w:rsidR="5B67C1D2" w:rsidRPr="5B67C1D2">
        <w:rPr>
          <w:lang w:val="en-US"/>
        </w:rPr>
        <w:t xml:space="preserve">, 410 U.S. 179, 213 = 93 S. Ct. 739, 758 = 35 L. Ed. 2d 201, 221 = 1973 U.S. LEXIS 112, 56 (1973); </w:t>
      </w:r>
      <w:r w:rsidR="5B67C1D2" w:rsidRPr="5B67C1D2">
        <w:rPr>
          <w:i/>
          <w:iCs/>
        </w:rPr>
        <w:t>Eisenstadt v. Baird</w:t>
      </w:r>
      <w:r w:rsidR="5B67C1D2">
        <w:t>, 405 U.S. 438 (1972).</w:t>
      </w:r>
    </w:p>
  </w:footnote>
  <w:footnote w:id="1218">
    <w:p w14:paraId="72C59E87"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D83E4F">
        <w:rPr>
          <w:i/>
          <w:lang w:val="en-US"/>
        </w:rPr>
        <w:t>Doe v. Bolton</w:t>
      </w:r>
      <w:r w:rsidRPr="00BA1E56">
        <w:rPr>
          <w:lang w:val="en-US"/>
        </w:rPr>
        <w:t>, 410 U.S. 179, 211</w:t>
      </w:r>
      <w:r>
        <w:rPr>
          <w:lang w:val="en-US"/>
        </w:rPr>
        <w:t xml:space="preserve"> = 93 S. Ct. </w:t>
      </w:r>
      <w:r w:rsidRPr="00BA1E56">
        <w:rPr>
          <w:lang w:val="en-US"/>
        </w:rPr>
        <w:t>739, 757</w:t>
      </w:r>
      <w:r>
        <w:rPr>
          <w:lang w:val="en-US"/>
        </w:rPr>
        <w:t xml:space="preserve"> = 35 L. Ed. </w:t>
      </w:r>
      <w:r w:rsidRPr="00BA1E56">
        <w:rPr>
          <w:lang w:val="en-US"/>
        </w:rPr>
        <w:t>2d 201, 221</w:t>
      </w:r>
      <w:r>
        <w:rPr>
          <w:lang w:val="en-US"/>
        </w:rPr>
        <w:t xml:space="preserve"> = 1973 U.S. LEXIS </w:t>
      </w:r>
      <w:r w:rsidRPr="00BA1E56">
        <w:rPr>
          <w:lang w:val="en-US"/>
        </w:rPr>
        <w:t>112, 53 (1973)</w:t>
      </w:r>
      <w:r>
        <w:rPr>
          <w:lang w:val="en-US"/>
        </w:rPr>
        <w:t>.</w:t>
      </w:r>
    </w:p>
  </w:footnote>
  <w:footnote w:id="1219">
    <w:p w14:paraId="225F9CE7"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D83E4F">
        <w:rPr>
          <w:i/>
          <w:lang w:val="en-US"/>
        </w:rPr>
        <w:t>Doe v. Bolton</w:t>
      </w:r>
      <w:r w:rsidRPr="00BA1E56">
        <w:rPr>
          <w:lang w:val="en-US"/>
        </w:rPr>
        <w:t>, 410 U.S. 179, 211</w:t>
      </w:r>
      <w:r>
        <w:rPr>
          <w:lang w:val="en-US"/>
        </w:rPr>
        <w:t xml:space="preserve"> = 93 S. Ct. </w:t>
      </w:r>
      <w:r w:rsidRPr="00BA1E56">
        <w:rPr>
          <w:lang w:val="en-US"/>
        </w:rPr>
        <w:t>739, 757</w:t>
      </w:r>
      <w:r>
        <w:rPr>
          <w:lang w:val="en-US"/>
        </w:rPr>
        <w:t xml:space="preserve"> = 35 L. Ed. </w:t>
      </w:r>
      <w:r w:rsidRPr="00BA1E56">
        <w:rPr>
          <w:lang w:val="en-US"/>
        </w:rPr>
        <w:t>2d 201, 221</w:t>
      </w:r>
      <w:r>
        <w:rPr>
          <w:lang w:val="en-US"/>
        </w:rPr>
        <w:t xml:space="preserve"> = 1973 U.S. LEXIS </w:t>
      </w:r>
      <w:r w:rsidRPr="00BA1E56">
        <w:rPr>
          <w:lang w:val="en-US"/>
        </w:rPr>
        <w:t>112, 53 (1973)</w:t>
      </w:r>
    </w:p>
  </w:footnote>
  <w:footnote w:id="1220">
    <w:p w14:paraId="49130722"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D83E4F">
        <w:rPr>
          <w:i/>
          <w:lang w:val="en-US"/>
        </w:rPr>
        <w:t>Doe v. Bolton</w:t>
      </w:r>
      <w:r w:rsidRPr="00BA1E56">
        <w:rPr>
          <w:lang w:val="en-US"/>
        </w:rPr>
        <w:t>, 410 U.S. 179, 211</w:t>
      </w:r>
      <w:r>
        <w:rPr>
          <w:lang w:val="en-US"/>
        </w:rPr>
        <w:t xml:space="preserve"> = 93 S. Ct. </w:t>
      </w:r>
      <w:r w:rsidRPr="00BA1E56">
        <w:rPr>
          <w:lang w:val="en-US"/>
        </w:rPr>
        <w:t>739, 757</w:t>
      </w:r>
      <w:r>
        <w:rPr>
          <w:lang w:val="en-US"/>
        </w:rPr>
        <w:t xml:space="preserve"> = 35 L. Ed. </w:t>
      </w:r>
      <w:r w:rsidRPr="00BA1E56">
        <w:rPr>
          <w:lang w:val="en-US"/>
        </w:rPr>
        <w:t>2d 201, 221</w:t>
      </w:r>
      <w:r>
        <w:rPr>
          <w:lang w:val="en-US"/>
        </w:rPr>
        <w:t xml:space="preserve"> = 1973 U.S. LEXIS </w:t>
      </w:r>
      <w:r w:rsidRPr="00BA1E56">
        <w:rPr>
          <w:lang w:val="en-US"/>
        </w:rPr>
        <w:t>112, 53 (1973)</w:t>
      </w:r>
      <w:r>
        <w:rPr>
          <w:lang w:val="en-US"/>
        </w:rPr>
        <w:t>.</w:t>
      </w:r>
    </w:p>
  </w:footnote>
  <w:footnote w:id="1221">
    <w:p w14:paraId="7A058C8C"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Kramer v. Union Free School District</w:t>
      </w:r>
      <w:r w:rsidRPr="00D83E4F">
        <w:rPr>
          <w:lang w:val="en-US"/>
        </w:rPr>
        <w:t xml:space="preserve">, 395 U.S. 621; </w:t>
      </w:r>
      <w:r w:rsidRPr="00B45592">
        <w:rPr>
          <w:i/>
          <w:lang w:val="en-US"/>
        </w:rPr>
        <w:t>Shapiro v. Thompson</w:t>
      </w:r>
      <w:r w:rsidRPr="00D83E4F">
        <w:rPr>
          <w:lang w:val="en-US"/>
        </w:rPr>
        <w:t xml:space="preserve">, 394 U.S. 618; </w:t>
      </w:r>
      <w:r w:rsidRPr="00B45592">
        <w:rPr>
          <w:i/>
          <w:lang w:val="en-US"/>
        </w:rPr>
        <w:t>Carrington v. Rash</w:t>
      </w:r>
      <w:r w:rsidRPr="00D83E4F">
        <w:rPr>
          <w:lang w:val="en-US"/>
        </w:rPr>
        <w:t xml:space="preserve">, 380 U.S. 89; </w:t>
      </w:r>
      <w:r w:rsidRPr="00B45592">
        <w:rPr>
          <w:i/>
          <w:lang w:val="en-US"/>
        </w:rPr>
        <w:t>Sherbert v. Verner</w:t>
      </w:r>
      <w:r w:rsidRPr="00D83E4F">
        <w:rPr>
          <w:lang w:val="en-US"/>
        </w:rPr>
        <w:t xml:space="preserve">, 374 U.S. 398; </w:t>
      </w:r>
      <w:r w:rsidRPr="00D83E4F">
        <w:rPr>
          <w:i/>
          <w:lang w:val="en-US"/>
        </w:rPr>
        <w:t>NAACP v. Alabama</w:t>
      </w:r>
      <w:r w:rsidRPr="00D83E4F">
        <w:rPr>
          <w:lang w:val="en-US"/>
        </w:rPr>
        <w:t>, 357 U.S. 449</w:t>
      </w:r>
      <w:r w:rsidRPr="00B45592">
        <w:rPr>
          <w:lang w:val="en-US"/>
        </w:rPr>
        <w:t xml:space="preserve">; </w:t>
      </w:r>
      <w:r w:rsidRPr="00D83E4F">
        <w:rPr>
          <w:i/>
          <w:lang w:val="en-US"/>
        </w:rPr>
        <w:t>Doe v. Bolton</w:t>
      </w:r>
      <w:r w:rsidRPr="00D83E4F">
        <w:rPr>
          <w:lang w:val="en-US"/>
        </w:rPr>
        <w:t>, 410 U.S. 179, 211–212 (1973).</w:t>
      </w:r>
    </w:p>
  </w:footnote>
  <w:footnote w:id="1222">
    <w:p w14:paraId="41EDD7F6"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Olmstead v. United States</w:t>
      </w:r>
      <w:r w:rsidRPr="00BA1E56">
        <w:rPr>
          <w:lang w:val="en-US"/>
        </w:rPr>
        <w:t>, 277 U.S. 438, 478 (</w:t>
      </w:r>
      <w:r>
        <w:rPr>
          <w:lang w:val="en-US"/>
        </w:rPr>
        <w:t>Dissens</w:t>
      </w:r>
      <w:r w:rsidRPr="00BA1E56">
        <w:rPr>
          <w:lang w:val="en-US"/>
        </w:rPr>
        <w:t>)</w:t>
      </w:r>
      <w:r>
        <w:rPr>
          <w:lang w:val="en-US"/>
        </w:rPr>
        <w:t xml:space="preserve">; </w:t>
      </w:r>
      <w:r w:rsidRPr="00D83E4F">
        <w:rPr>
          <w:i/>
          <w:lang w:val="en-US"/>
        </w:rPr>
        <w:t>Doe v. Bolton</w:t>
      </w:r>
      <w:r w:rsidRPr="00BA1E56">
        <w:rPr>
          <w:lang w:val="en-US"/>
        </w:rPr>
        <w:t>, 410 U.S. 179, 213</w:t>
      </w:r>
      <w:r>
        <w:rPr>
          <w:lang w:val="en-US"/>
        </w:rPr>
        <w:t xml:space="preserve"> = 93 S. Ct. </w:t>
      </w:r>
      <w:r w:rsidRPr="00BA1E56">
        <w:rPr>
          <w:lang w:val="en-US"/>
        </w:rPr>
        <w:t>739, 758</w:t>
      </w:r>
      <w:r>
        <w:rPr>
          <w:lang w:val="en-US"/>
        </w:rPr>
        <w:t xml:space="preserve"> = 35 L. Ed. </w:t>
      </w:r>
      <w:r w:rsidRPr="00BA1E56">
        <w:rPr>
          <w:lang w:val="en-US"/>
        </w:rPr>
        <w:t>2d 201, 221</w:t>
      </w:r>
      <w:r>
        <w:rPr>
          <w:lang w:val="en-US"/>
        </w:rPr>
        <w:t xml:space="preserve"> = 1973 U.S. LEXIS </w:t>
      </w:r>
      <w:r w:rsidRPr="00BA1E56">
        <w:rPr>
          <w:lang w:val="en-US"/>
        </w:rPr>
        <w:t>112, 56 (1973)</w:t>
      </w:r>
      <w:r>
        <w:rPr>
          <w:lang w:val="en-US"/>
        </w:rPr>
        <w:t>.</w:t>
      </w:r>
    </w:p>
  </w:footnote>
  <w:footnote w:id="1223">
    <w:p w14:paraId="5C82D102"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Kent v. Dulles</w:t>
      </w:r>
      <w:r w:rsidRPr="00BA1E56">
        <w:rPr>
          <w:lang w:val="en-US"/>
        </w:rPr>
        <w:t>, 357 U.S. 116, 126</w:t>
      </w:r>
      <w:r>
        <w:rPr>
          <w:lang w:val="en-US"/>
        </w:rPr>
        <w:t xml:space="preserve">; </w:t>
      </w:r>
      <w:r w:rsidRPr="00D83E4F">
        <w:rPr>
          <w:i/>
          <w:lang w:val="en-US"/>
        </w:rPr>
        <w:t>Doe v. Bolton</w:t>
      </w:r>
      <w:r w:rsidRPr="00BA1E56">
        <w:rPr>
          <w:lang w:val="en-US"/>
        </w:rPr>
        <w:t>, 410 U.S. 179, 213</w:t>
      </w:r>
      <w:r>
        <w:rPr>
          <w:lang w:val="en-US"/>
        </w:rPr>
        <w:t xml:space="preserve"> = 93 S. Ct. </w:t>
      </w:r>
      <w:r w:rsidRPr="00BA1E56">
        <w:rPr>
          <w:lang w:val="en-US"/>
        </w:rPr>
        <w:t>739, 758</w:t>
      </w:r>
      <w:r>
        <w:rPr>
          <w:lang w:val="en-US"/>
        </w:rPr>
        <w:t xml:space="preserve"> = 35 L. Ed. </w:t>
      </w:r>
      <w:r w:rsidRPr="00BA1E56">
        <w:rPr>
          <w:lang w:val="en-US"/>
        </w:rPr>
        <w:t>2d 201, 221</w:t>
      </w:r>
      <w:r>
        <w:rPr>
          <w:lang w:val="en-US"/>
        </w:rPr>
        <w:t xml:space="preserve"> = 1973 U.S. LEXIS </w:t>
      </w:r>
      <w:r w:rsidRPr="00BA1E56">
        <w:rPr>
          <w:lang w:val="en-US"/>
        </w:rPr>
        <w:t>112, 56 (1973)</w:t>
      </w:r>
      <w:r>
        <w:rPr>
          <w:lang w:val="en-US"/>
        </w:rPr>
        <w:t>.</w:t>
      </w:r>
    </w:p>
  </w:footnote>
  <w:footnote w:id="1224">
    <w:p w14:paraId="21990EFF" w14:textId="7B03352A" w:rsidR="00074551" w:rsidRPr="00D83E4F" w:rsidRDefault="00074551" w:rsidP="00074551">
      <w:pPr>
        <w:pStyle w:val="Funotentext"/>
        <w:rPr>
          <w:lang w:val="en-US"/>
        </w:rPr>
      </w:pPr>
      <w:r w:rsidRPr="5B67C1D2">
        <w:rPr>
          <w:rStyle w:val="Funotenzeichen"/>
          <w:rFonts w:eastAsiaTheme="majorEastAsia"/>
        </w:rPr>
        <w:footnoteRef/>
      </w:r>
      <w:r w:rsidR="5B67C1D2" w:rsidRPr="00BA1E56">
        <w:rPr>
          <w:lang w:val="en-US"/>
        </w:rPr>
        <w:t xml:space="preserve"> </w:t>
      </w:r>
      <w:r w:rsidR="5B67C1D2" w:rsidRPr="5B67C1D2">
        <w:rPr>
          <w:i/>
          <w:iCs/>
          <w:lang w:val="en-US"/>
        </w:rPr>
        <w:t>Doe v. Bolton</w:t>
      </w:r>
      <w:r w:rsidR="5B67C1D2" w:rsidRPr="5B67C1D2">
        <w:rPr>
          <w:lang w:val="en-US"/>
        </w:rPr>
        <w:t xml:space="preserve">, 410 U.S. 179, 213 = 93 S. Ct. 739, 758 = 35 L. Ed. 2d 201, 221 = 1973 U.S. LEXIS 112, 56 (1973); </w:t>
      </w:r>
      <w:r w:rsidR="5B67C1D2" w:rsidRPr="5B67C1D2">
        <w:rPr>
          <w:i/>
          <w:iCs/>
          <w:lang w:val="en-US"/>
        </w:rPr>
        <w:t>Papachristou v. City of Jacksonville</w:t>
      </w:r>
      <w:r w:rsidR="5B67C1D2" w:rsidRPr="5B67C1D2">
        <w:rPr>
          <w:lang w:val="en-US"/>
        </w:rPr>
        <w:t xml:space="preserve">, 405 U.S. 156, 164 </w:t>
      </w:r>
      <w:r w:rsidR="5B67C1D2" w:rsidRPr="5B67C1D2">
        <w:rPr>
          <w:lang w:val="en-IE"/>
        </w:rPr>
        <w:t>(1972)</w:t>
      </w:r>
      <w:r w:rsidR="5B67C1D2" w:rsidRPr="5B67C1D2">
        <w:rPr>
          <w:lang w:val="en-US"/>
        </w:rPr>
        <w:t xml:space="preserve">; </w:t>
      </w:r>
      <w:r w:rsidR="5B67C1D2" w:rsidRPr="5B67C1D2">
        <w:rPr>
          <w:i/>
          <w:iCs/>
          <w:lang w:val="en-US"/>
        </w:rPr>
        <w:t>Jacobson v. Massachusetts</w:t>
      </w:r>
      <w:r w:rsidR="5B67C1D2" w:rsidRPr="5B67C1D2">
        <w:rPr>
          <w:lang w:val="en-US"/>
        </w:rPr>
        <w:t xml:space="preserve">, 197 U.S. 11, 29 </w:t>
      </w:r>
      <w:r w:rsidR="5B67C1D2" w:rsidRPr="5B67C1D2">
        <w:rPr>
          <w:lang w:val="en-IE"/>
        </w:rPr>
        <w:t>(1905)</w:t>
      </w:r>
      <w:r w:rsidR="5B67C1D2" w:rsidRPr="5B67C1D2">
        <w:rPr>
          <w:lang w:val="en-US"/>
        </w:rPr>
        <w:t>.</w:t>
      </w:r>
    </w:p>
  </w:footnote>
  <w:footnote w:id="1225">
    <w:p w14:paraId="07E11B3E" w14:textId="7B1EDA56" w:rsidR="00074551" w:rsidRPr="00D83E4F" w:rsidRDefault="00074551" w:rsidP="00074551">
      <w:pPr>
        <w:pStyle w:val="Funotentext"/>
        <w:rPr>
          <w:lang w:val="en-US"/>
        </w:rPr>
      </w:pPr>
      <w:r w:rsidRPr="5B67C1D2">
        <w:rPr>
          <w:rStyle w:val="Funotenzeichen"/>
          <w:rFonts w:eastAsiaTheme="majorEastAsia"/>
        </w:rPr>
        <w:footnoteRef/>
      </w:r>
      <w:r w:rsidR="5B67C1D2" w:rsidRPr="00D83E4F">
        <w:rPr>
          <w:lang w:val="en-US"/>
        </w:rPr>
        <w:t xml:space="preserve"> </w:t>
      </w:r>
      <w:r w:rsidR="5B67C1D2" w:rsidRPr="5B67C1D2">
        <w:rPr>
          <w:i/>
          <w:iCs/>
          <w:lang w:val="en-US"/>
        </w:rPr>
        <w:t>Doe v. Bolton</w:t>
      </w:r>
      <w:r w:rsidR="5B67C1D2" w:rsidRPr="5B67C1D2">
        <w:rPr>
          <w:lang w:val="en-US"/>
        </w:rPr>
        <w:t xml:space="preserve">, 410 U.S. 179, 214 = 93 S. Ct. 739, 758 = 35 L. Ed. 2d 201, 221 = 1973 U.S. LEXIS 112, 56 (1973); </w:t>
      </w:r>
      <w:r w:rsidR="5B67C1D2" w:rsidRPr="5B67C1D2">
        <w:rPr>
          <w:i/>
          <w:iCs/>
          <w:lang w:val="en-US"/>
        </w:rPr>
        <w:t>Terry v. Ohio</w:t>
      </w:r>
      <w:r w:rsidR="5B67C1D2" w:rsidRPr="5B67C1D2">
        <w:rPr>
          <w:lang w:val="en-US"/>
        </w:rPr>
        <w:t>, 392 U.S. 1, 8–9 (1968).</w:t>
      </w:r>
    </w:p>
  </w:footnote>
  <w:footnote w:id="1226">
    <w:p w14:paraId="61DEBB64" w14:textId="20C46F22" w:rsidR="00074551" w:rsidRPr="00BA1E56" w:rsidRDefault="00074551" w:rsidP="00074551">
      <w:pPr>
        <w:pStyle w:val="Funotentext"/>
        <w:rPr>
          <w:lang w:val="en-US"/>
        </w:rPr>
      </w:pPr>
      <w:r w:rsidRPr="5B67C1D2">
        <w:rPr>
          <w:rStyle w:val="Funotenzeichen"/>
          <w:rFonts w:eastAsiaTheme="majorEastAsia"/>
        </w:rPr>
        <w:footnoteRef/>
      </w:r>
      <w:r w:rsidR="5B67C1D2" w:rsidRPr="00D83E4F">
        <w:rPr>
          <w:lang w:val="en-US"/>
        </w:rPr>
        <w:t xml:space="preserve"> </w:t>
      </w:r>
      <w:r w:rsidR="5B67C1D2" w:rsidRPr="5B67C1D2">
        <w:rPr>
          <w:i/>
          <w:iCs/>
          <w:lang w:val="en-US"/>
        </w:rPr>
        <w:t>Doe v. Bolton</w:t>
      </w:r>
      <w:r w:rsidR="5B67C1D2" w:rsidRPr="5B67C1D2">
        <w:rPr>
          <w:lang w:val="en-US"/>
        </w:rPr>
        <w:t xml:space="preserve">, 410 U.S. 179, 214 = 93 S. Ct. 739, 758 = 35 L. Ed. 2d 201, 221 = 1973 U.S. LEXIS 112, 56 (1973); </w:t>
      </w:r>
      <w:r w:rsidR="5B67C1D2" w:rsidRPr="5B67C1D2">
        <w:rPr>
          <w:i/>
          <w:iCs/>
          <w:lang w:val="en-US"/>
        </w:rPr>
        <w:t>Terry v. Ohio</w:t>
      </w:r>
      <w:r w:rsidR="5B67C1D2" w:rsidRPr="5B67C1D2">
        <w:rPr>
          <w:lang w:val="en-US"/>
        </w:rPr>
        <w:t>, 392 U.S. 1, 8–9 (1968).</w:t>
      </w:r>
    </w:p>
  </w:footnote>
  <w:footnote w:id="1227">
    <w:p w14:paraId="38C7C910" w14:textId="4099804C" w:rsidR="00074551" w:rsidRPr="00825C98" w:rsidRDefault="00074551" w:rsidP="00074551">
      <w:pPr>
        <w:pStyle w:val="Funotentext"/>
        <w:rPr>
          <w:lang w:val="en-US"/>
        </w:rPr>
      </w:pPr>
      <w:r w:rsidRPr="5B67C1D2">
        <w:rPr>
          <w:rStyle w:val="Funotenzeichen"/>
          <w:rFonts w:eastAsiaTheme="majorEastAsia"/>
        </w:rPr>
        <w:footnoteRef/>
      </w:r>
      <w:r w:rsidR="5B67C1D2" w:rsidRPr="00825C98">
        <w:rPr>
          <w:lang w:val="en-US"/>
        </w:rPr>
        <w:t xml:space="preserve"> </w:t>
      </w:r>
      <w:r w:rsidR="5B67C1D2" w:rsidRPr="5B67C1D2">
        <w:rPr>
          <w:i/>
          <w:iCs/>
          <w:lang w:val="en-US"/>
        </w:rPr>
        <w:t>Doe v. Bolton</w:t>
      </w:r>
      <w:r w:rsidR="5B67C1D2" w:rsidRPr="5B67C1D2">
        <w:rPr>
          <w:lang w:val="en-US"/>
        </w:rPr>
        <w:t xml:space="preserve">, 410 U.S. 179, 214 = 93 S. Ct. 739, 758 = 35 L. Ed. 2d 201, 221 = 1973 U.S. LEXIS 112, 56 (1973); </w:t>
      </w:r>
      <w:r w:rsidR="5B67C1D2" w:rsidRPr="5B67C1D2">
        <w:rPr>
          <w:i/>
          <w:iCs/>
          <w:lang w:val="en-US"/>
        </w:rPr>
        <w:t>Slaughter-House Cases</w:t>
      </w:r>
      <w:r w:rsidR="5B67C1D2" w:rsidRPr="5B67C1D2">
        <w:rPr>
          <w:lang w:val="en-US"/>
        </w:rPr>
        <w:t xml:space="preserve">, 16 Wall. 36; </w:t>
      </w:r>
      <w:r w:rsidR="5B67C1D2" w:rsidRPr="5B67C1D2">
        <w:rPr>
          <w:i/>
          <w:iCs/>
          <w:lang w:val="en-US"/>
        </w:rPr>
        <w:t>Butchers’ Union Co. v. Crescent City Co.</w:t>
      </w:r>
      <w:r w:rsidR="5B67C1D2" w:rsidRPr="5B67C1D2">
        <w:rPr>
          <w:lang w:val="en-US"/>
        </w:rPr>
        <w:t xml:space="preserve">, 111 U.S. 746; </w:t>
      </w:r>
      <w:r w:rsidR="5B67C1D2" w:rsidRPr="5B67C1D2">
        <w:rPr>
          <w:i/>
          <w:iCs/>
          <w:lang w:val="en-US"/>
        </w:rPr>
        <w:t>Yick Wo v. Hopkins</w:t>
      </w:r>
      <w:r w:rsidR="5B67C1D2" w:rsidRPr="5B67C1D2">
        <w:rPr>
          <w:lang w:val="en-US"/>
        </w:rPr>
        <w:t xml:space="preserve">, 118 U.S. 356; </w:t>
      </w:r>
      <w:r w:rsidR="5B67C1D2" w:rsidRPr="5B67C1D2">
        <w:rPr>
          <w:i/>
          <w:iCs/>
          <w:lang w:val="en-US"/>
        </w:rPr>
        <w:t>Minnesota v. Barber</w:t>
      </w:r>
      <w:r w:rsidR="5B67C1D2" w:rsidRPr="5B67C1D2">
        <w:rPr>
          <w:lang w:val="en-US"/>
        </w:rPr>
        <w:t xml:space="preserve">, 136 U.S. 313; </w:t>
      </w:r>
      <w:r w:rsidR="5B67C1D2" w:rsidRPr="5B67C1D2">
        <w:rPr>
          <w:i/>
          <w:iCs/>
          <w:lang w:val="en-US"/>
        </w:rPr>
        <w:t>Allgeyer v. Louisiana</w:t>
      </w:r>
      <w:r w:rsidR="5B67C1D2" w:rsidRPr="5B67C1D2">
        <w:rPr>
          <w:lang w:val="en-US"/>
        </w:rPr>
        <w:t xml:space="preserve">, 165 U.S. 578; </w:t>
      </w:r>
      <w:r w:rsidR="5B67C1D2" w:rsidRPr="5B67C1D2">
        <w:rPr>
          <w:i/>
          <w:iCs/>
          <w:lang w:val="en-US"/>
        </w:rPr>
        <w:t>Lochner v. New York</w:t>
      </w:r>
      <w:r w:rsidR="5B67C1D2" w:rsidRPr="5B67C1D2">
        <w:rPr>
          <w:lang w:val="en-US"/>
        </w:rPr>
        <w:t xml:space="preserve">, 198 U.S. 45; </w:t>
      </w:r>
      <w:r w:rsidR="5B67C1D2" w:rsidRPr="5B67C1D2">
        <w:rPr>
          <w:i/>
          <w:iCs/>
          <w:lang w:val="en-US"/>
        </w:rPr>
        <w:t>Twining v. New Jersey</w:t>
      </w:r>
      <w:r w:rsidR="5B67C1D2" w:rsidRPr="5B67C1D2">
        <w:rPr>
          <w:lang w:val="en-US"/>
        </w:rPr>
        <w:t xml:space="preserve">, 211 U.S. 78; </w:t>
      </w:r>
      <w:r w:rsidR="5B67C1D2" w:rsidRPr="5B67C1D2">
        <w:rPr>
          <w:i/>
          <w:iCs/>
          <w:lang w:val="en-US"/>
        </w:rPr>
        <w:t>Chicago, Burlington &amp; Quincy R.R. Co. v. McGuire</w:t>
      </w:r>
      <w:r w:rsidR="5B67C1D2" w:rsidRPr="5B67C1D2">
        <w:rPr>
          <w:lang w:val="en-US"/>
        </w:rPr>
        <w:t xml:space="preserve">, 219 U.S. 549; </w:t>
      </w:r>
      <w:r w:rsidR="5B67C1D2" w:rsidRPr="5B67C1D2">
        <w:rPr>
          <w:i/>
          <w:iCs/>
          <w:lang w:val="en-US"/>
        </w:rPr>
        <w:t>Truax v. Raich</w:t>
      </w:r>
      <w:r w:rsidR="5B67C1D2" w:rsidRPr="5B67C1D2">
        <w:rPr>
          <w:lang w:val="en-US"/>
        </w:rPr>
        <w:t xml:space="preserve">, 239 U.S. 33; </w:t>
      </w:r>
      <w:r w:rsidR="5B67C1D2" w:rsidRPr="5B67C1D2">
        <w:rPr>
          <w:i/>
          <w:iCs/>
          <w:lang w:val="en-US"/>
        </w:rPr>
        <w:t>Adams v. Tanner</w:t>
      </w:r>
      <w:r w:rsidR="5B67C1D2" w:rsidRPr="5B67C1D2">
        <w:rPr>
          <w:lang w:val="en-US"/>
        </w:rPr>
        <w:t xml:space="preserve">, 244 U.S. 590; </w:t>
      </w:r>
      <w:r w:rsidR="5B67C1D2" w:rsidRPr="5B67C1D2">
        <w:rPr>
          <w:i/>
          <w:iCs/>
          <w:lang w:val="en-US"/>
        </w:rPr>
        <w:t>New York Life Ins. Co. v. Dodge</w:t>
      </w:r>
      <w:r w:rsidR="5B67C1D2" w:rsidRPr="5B67C1D2">
        <w:rPr>
          <w:lang w:val="en-US"/>
        </w:rPr>
        <w:t>, 246 U.S. 357</w:t>
      </w:r>
      <w:r w:rsidR="5B67C1D2" w:rsidRPr="5B67C1D2">
        <w:rPr>
          <w:i/>
          <w:iCs/>
          <w:lang w:val="en-US"/>
        </w:rPr>
        <w:t>; Truax v. Corrigan</w:t>
      </w:r>
      <w:r w:rsidR="5B67C1D2" w:rsidRPr="5B67C1D2">
        <w:rPr>
          <w:lang w:val="en-US"/>
        </w:rPr>
        <w:t xml:space="preserve">, 257 U.S. 312; </w:t>
      </w:r>
      <w:r w:rsidR="5B67C1D2" w:rsidRPr="5B67C1D2">
        <w:rPr>
          <w:i/>
          <w:iCs/>
          <w:lang w:val="en-US"/>
        </w:rPr>
        <w:t>Adkins v. Children’s Hospital</w:t>
      </w:r>
      <w:r w:rsidR="5B67C1D2" w:rsidRPr="5B67C1D2">
        <w:rPr>
          <w:lang w:val="en-US"/>
        </w:rPr>
        <w:t xml:space="preserve">, 216 U.S. 525; </w:t>
      </w:r>
      <w:r w:rsidR="5B67C1D2" w:rsidRPr="5B67C1D2">
        <w:rPr>
          <w:i/>
          <w:iCs/>
          <w:lang w:val="en-US"/>
        </w:rPr>
        <w:t>Wyeth v. Cambridge Board of Health</w:t>
      </w:r>
      <w:r w:rsidR="5B67C1D2" w:rsidRPr="5B67C1D2">
        <w:rPr>
          <w:lang w:val="en-US"/>
        </w:rPr>
        <w:t xml:space="preserve">, 200 Mass. 474; </w:t>
      </w:r>
      <w:r w:rsidR="5B67C1D2" w:rsidRPr="5B67C1D2">
        <w:rPr>
          <w:i/>
          <w:iCs/>
          <w:lang w:val="en-US"/>
        </w:rPr>
        <w:t>Meyer v. Nebraska</w:t>
      </w:r>
      <w:r w:rsidR="5B67C1D2" w:rsidRPr="5B67C1D2">
        <w:rPr>
          <w:lang w:val="en-US"/>
        </w:rPr>
        <w:t>, 262 U.S. 390, 399 = 43 S. Ct. 625, 626-627 = 67 L. Ed. 1042, 1045 = 1923 U.S. LEXIS 2655, 15 = 29 A.L.R. 1446 (1923).</w:t>
      </w:r>
    </w:p>
  </w:footnote>
  <w:footnote w:id="1228">
    <w:p w14:paraId="63794D91"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Papachristou v. City of Jacksonville</w:t>
      </w:r>
      <w:r w:rsidRPr="00BA1E56">
        <w:rPr>
          <w:lang w:val="en-US"/>
        </w:rPr>
        <w:t>, 405 U.S. 156, 164</w:t>
      </w:r>
      <w:r>
        <w:rPr>
          <w:lang w:val="en-US"/>
        </w:rPr>
        <w:t xml:space="preserve">; </w:t>
      </w:r>
      <w:r w:rsidRPr="00D83E4F">
        <w:rPr>
          <w:i/>
          <w:lang w:val="en-US"/>
        </w:rPr>
        <w:t>Doe v. Bolton</w:t>
      </w:r>
      <w:r w:rsidRPr="00BA1E56">
        <w:rPr>
          <w:lang w:val="en-US"/>
        </w:rPr>
        <w:t>, 410 U.S. 179, 213</w:t>
      </w:r>
      <w:r>
        <w:rPr>
          <w:lang w:val="en-US"/>
        </w:rPr>
        <w:t xml:space="preserve"> = 93 S. Ct. </w:t>
      </w:r>
      <w:r w:rsidRPr="00BA1E56">
        <w:rPr>
          <w:lang w:val="en-US"/>
        </w:rPr>
        <w:t>739, 758</w:t>
      </w:r>
      <w:r>
        <w:rPr>
          <w:lang w:val="en-US"/>
        </w:rPr>
        <w:t xml:space="preserve"> = 35 L. Ed. </w:t>
      </w:r>
      <w:r w:rsidRPr="00BA1E56">
        <w:rPr>
          <w:lang w:val="en-US"/>
        </w:rPr>
        <w:t>2d 201, 221</w:t>
      </w:r>
      <w:r>
        <w:rPr>
          <w:lang w:val="en-US"/>
        </w:rPr>
        <w:t xml:space="preserve"> = 1973 U.S. LEXIS </w:t>
      </w:r>
      <w:r w:rsidRPr="00BA1E56">
        <w:rPr>
          <w:lang w:val="en-US"/>
        </w:rPr>
        <w:t>112, 56 (1973)</w:t>
      </w:r>
      <w:r>
        <w:rPr>
          <w:lang w:val="en-US"/>
        </w:rPr>
        <w:t>.</w:t>
      </w:r>
    </w:p>
  </w:footnote>
  <w:footnote w:id="1229">
    <w:p w14:paraId="3FA19CF3"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Papachristou v. City of Jacksonville</w:t>
      </w:r>
      <w:r w:rsidRPr="00BA1E56">
        <w:rPr>
          <w:lang w:val="en-US"/>
        </w:rPr>
        <w:t>, 405 U.S. 156, 164</w:t>
      </w:r>
      <w:r>
        <w:rPr>
          <w:lang w:val="en-US"/>
        </w:rPr>
        <w:t xml:space="preserve">; </w:t>
      </w:r>
      <w:r w:rsidRPr="00D83E4F">
        <w:rPr>
          <w:i/>
          <w:lang w:val="en-US"/>
        </w:rPr>
        <w:t>Doe v. Bolton</w:t>
      </w:r>
      <w:r w:rsidRPr="00BA1E56">
        <w:rPr>
          <w:lang w:val="en-US"/>
        </w:rPr>
        <w:t>, 410 U.S. 179, 213</w:t>
      </w:r>
      <w:r>
        <w:rPr>
          <w:lang w:val="en-US"/>
        </w:rPr>
        <w:t xml:space="preserve"> = 93 S. Ct. </w:t>
      </w:r>
      <w:r w:rsidRPr="00BA1E56">
        <w:rPr>
          <w:lang w:val="en-US"/>
        </w:rPr>
        <w:t>739, 758</w:t>
      </w:r>
      <w:r>
        <w:rPr>
          <w:lang w:val="en-US"/>
        </w:rPr>
        <w:t xml:space="preserve"> = 35 L. Ed. </w:t>
      </w:r>
      <w:r w:rsidRPr="00BA1E56">
        <w:rPr>
          <w:lang w:val="en-US"/>
        </w:rPr>
        <w:t>2d 201, 221</w:t>
      </w:r>
      <w:r>
        <w:rPr>
          <w:lang w:val="en-US"/>
        </w:rPr>
        <w:t xml:space="preserve"> = 1973 U.S. LEXIS </w:t>
      </w:r>
      <w:r w:rsidRPr="00BA1E56">
        <w:rPr>
          <w:lang w:val="en-US"/>
        </w:rPr>
        <w:t>112, 56 (1973)</w:t>
      </w:r>
      <w:r>
        <w:rPr>
          <w:lang w:val="en-US"/>
        </w:rPr>
        <w:t>.</w:t>
      </w:r>
    </w:p>
  </w:footnote>
  <w:footnote w:id="1230">
    <w:p w14:paraId="360EF7FC" w14:textId="45F82EE0" w:rsidR="00074551" w:rsidRPr="00D83E4F" w:rsidRDefault="00074551" w:rsidP="00074551">
      <w:pPr>
        <w:pStyle w:val="Funotentext"/>
        <w:rPr>
          <w:lang w:val="en-US"/>
        </w:rPr>
      </w:pPr>
      <w:r w:rsidRPr="5B67C1D2">
        <w:rPr>
          <w:rStyle w:val="Funotenzeichen"/>
          <w:rFonts w:eastAsiaTheme="majorEastAsia"/>
        </w:rPr>
        <w:footnoteRef/>
      </w:r>
      <w:r w:rsidR="5B67C1D2" w:rsidRPr="00BA1E56">
        <w:rPr>
          <w:lang w:val="en-US"/>
        </w:rPr>
        <w:t xml:space="preserve"> </w:t>
      </w:r>
      <w:r w:rsidR="5B67C1D2" w:rsidRPr="5B67C1D2">
        <w:rPr>
          <w:i/>
          <w:iCs/>
          <w:lang w:val="en-US"/>
        </w:rPr>
        <w:t>Doe v. Bolton</w:t>
      </w:r>
      <w:r w:rsidR="5B67C1D2" w:rsidRPr="5B67C1D2">
        <w:rPr>
          <w:lang w:val="en-US"/>
        </w:rPr>
        <w:t xml:space="preserve">, 410 U.S. 179, 214 = 93 S. Ct. 739, 758 = 35 L. Ed. 2d 201, 221 = 1973 U.S. LEXIS 112, 56 (1973); </w:t>
      </w:r>
      <w:r w:rsidR="5B67C1D2" w:rsidRPr="5B67C1D2">
        <w:rPr>
          <w:i/>
          <w:iCs/>
          <w:lang w:val="en-US"/>
        </w:rPr>
        <w:t>Katz v. United States</w:t>
      </w:r>
      <w:r w:rsidR="5B67C1D2" w:rsidRPr="5B67C1D2">
        <w:rPr>
          <w:lang w:val="en-US"/>
        </w:rPr>
        <w:t>, 389 U.S. 347, 350 (1967).</w:t>
      </w:r>
    </w:p>
  </w:footnote>
  <w:footnote w:id="1231">
    <w:p w14:paraId="774C52FD" w14:textId="77777777" w:rsidR="00074551" w:rsidRPr="00D83E4F"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D83E4F">
        <w:rPr>
          <w:i/>
          <w:lang w:val="en-US"/>
        </w:rPr>
        <w:t>Doe v. Bolton</w:t>
      </w:r>
      <w:r w:rsidRPr="00D83E4F">
        <w:rPr>
          <w:lang w:val="en-US"/>
        </w:rPr>
        <w:t>, 410 U.S. 179, 214 = 93 S. Ct. 739, 759 = 35 L. Ed. 2d 201, 221 = 1973 U.S. LEXIS 112, 56 (1973).</w:t>
      </w:r>
    </w:p>
  </w:footnote>
  <w:footnote w:id="1232">
    <w:p w14:paraId="4618A8F3" w14:textId="760EE0FE" w:rsidR="00074551" w:rsidRPr="00D83E4F" w:rsidRDefault="00074551" w:rsidP="00074551">
      <w:pPr>
        <w:pStyle w:val="Funotentext"/>
        <w:rPr>
          <w:lang w:val="en-US"/>
        </w:rPr>
      </w:pPr>
      <w:r w:rsidRPr="5B67C1D2">
        <w:rPr>
          <w:rStyle w:val="Funotenzeichen"/>
          <w:rFonts w:eastAsiaTheme="majorEastAsia"/>
        </w:rPr>
        <w:footnoteRef/>
      </w:r>
      <w:r w:rsidR="5B67C1D2" w:rsidRPr="00D83E4F">
        <w:rPr>
          <w:lang w:val="en-US"/>
        </w:rPr>
        <w:t xml:space="preserve"> In </w:t>
      </w:r>
      <w:r w:rsidR="5B67C1D2" w:rsidRPr="5B67C1D2">
        <w:rPr>
          <w:i/>
          <w:iCs/>
          <w:lang w:val="en-US"/>
        </w:rPr>
        <w:t>Union Pacific R. Co. v. Botsford</w:t>
      </w:r>
      <w:r w:rsidR="5B67C1D2" w:rsidRPr="00D83E4F">
        <w:rPr>
          <w:lang w:val="en-US"/>
        </w:rPr>
        <w:t>, 141 U.S. 250, 252</w:t>
      </w:r>
      <w:r w:rsidR="5B67C1D2" w:rsidRPr="00B45592">
        <w:rPr>
          <w:lang w:val="en-US"/>
        </w:rPr>
        <w:t xml:space="preserve"> </w:t>
      </w:r>
      <w:r w:rsidR="5B67C1D2" w:rsidRPr="00B45592">
        <w:rPr>
          <w:lang w:val="en-IE"/>
        </w:rPr>
        <w:t>(1891)</w:t>
      </w:r>
      <w:r w:rsidR="5B67C1D2" w:rsidRPr="5B67C1D2">
        <w:rPr>
          <w:lang w:val="en-IE"/>
        </w:rPr>
        <w:t xml:space="preserve">; </w:t>
      </w:r>
      <w:r w:rsidR="5B67C1D2" w:rsidRPr="5B67C1D2">
        <w:rPr>
          <w:i/>
          <w:iCs/>
          <w:lang w:val="en-US"/>
        </w:rPr>
        <w:t>Doe v. Bolton</w:t>
      </w:r>
      <w:r w:rsidR="5B67C1D2" w:rsidRPr="5B67C1D2">
        <w:rPr>
          <w:lang w:val="en-US"/>
        </w:rPr>
        <w:t>, 410 U.S. 179, 213-214 = 93 S. Ct. 739, 758 = 35 L. Ed. 2d 201, 221 = 1973 U.S. LEXIS 112, 56 (1973).</w:t>
      </w:r>
    </w:p>
  </w:footnote>
  <w:footnote w:id="1233">
    <w:p w14:paraId="3B16417A" w14:textId="401E4307" w:rsidR="00074551" w:rsidRPr="00BA1E56" w:rsidRDefault="00074551" w:rsidP="00074551">
      <w:pPr>
        <w:pStyle w:val="Funotentext"/>
        <w:rPr>
          <w:lang w:val="en-US"/>
        </w:rPr>
      </w:pPr>
      <w:r w:rsidRPr="5B67C1D2">
        <w:rPr>
          <w:rStyle w:val="Funotenzeichen"/>
          <w:rFonts w:eastAsiaTheme="majorEastAsia"/>
        </w:rPr>
        <w:footnoteRef/>
      </w:r>
      <w:r w:rsidR="5B67C1D2" w:rsidRPr="00D83E4F">
        <w:rPr>
          <w:lang w:val="en-US"/>
        </w:rPr>
        <w:t xml:space="preserve"> </w:t>
      </w:r>
      <w:r w:rsidR="5B67C1D2" w:rsidRPr="5B67C1D2">
        <w:rPr>
          <w:i/>
          <w:iCs/>
          <w:lang w:val="en-US"/>
        </w:rPr>
        <w:t>Doe v. Bolton</w:t>
      </w:r>
      <w:r w:rsidR="5B67C1D2" w:rsidRPr="5B67C1D2">
        <w:rPr>
          <w:lang w:val="en-US"/>
        </w:rPr>
        <w:t>, 410 U.S. 179, 210 = 93 S. Ct. 739, 759 = 35 L. Ed. 2d 201, 221 = 1973 U.S. LEXIS 112, 56 (1973).</w:t>
      </w:r>
    </w:p>
  </w:footnote>
  <w:footnote w:id="1234">
    <w:p w14:paraId="5FDABEEF"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D83E4F">
        <w:rPr>
          <w:i/>
          <w:lang w:val="en-US"/>
        </w:rPr>
        <w:t>Doe v. Bolton</w:t>
      </w:r>
      <w:r w:rsidRPr="00BA1E56">
        <w:rPr>
          <w:lang w:val="en-US"/>
        </w:rPr>
        <w:t>, 410 U.S. 179, 210</w:t>
      </w:r>
      <w:r>
        <w:rPr>
          <w:lang w:val="en-US"/>
        </w:rPr>
        <w:t xml:space="preserve"> = 93 S. Ct. </w:t>
      </w:r>
      <w:r w:rsidRPr="00BA1E56">
        <w:rPr>
          <w:lang w:val="en-US"/>
        </w:rPr>
        <w:t>739, 757</w:t>
      </w:r>
      <w:r>
        <w:rPr>
          <w:lang w:val="en-US"/>
        </w:rPr>
        <w:t xml:space="preserve"> = 35 L. Ed. </w:t>
      </w:r>
      <w:r w:rsidRPr="00BA1E56">
        <w:rPr>
          <w:lang w:val="en-US"/>
        </w:rPr>
        <w:t>2d 201, 221</w:t>
      </w:r>
      <w:r>
        <w:rPr>
          <w:lang w:val="en-US"/>
        </w:rPr>
        <w:t xml:space="preserve"> = 1973 U.S. LEXIS </w:t>
      </w:r>
      <w:r w:rsidRPr="00BA1E56">
        <w:rPr>
          <w:lang w:val="en-US"/>
        </w:rPr>
        <w:t>112, 52 (1973)</w:t>
      </w:r>
      <w:r>
        <w:rPr>
          <w:lang w:val="en-US"/>
        </w:rPr>
        <w:t>.</w:t>
      </w:r>
    </w:p>
  </w:footnote>
  <w:footnote w:id="1235">
    <w:p w14:paraId="65DBB9F4" w14:textId="77777777" w:rsidR="00074551" w:rsidRPr="000C16E3" w:rsidRDefault="00074551" w:rsidP="00074551">
      <w:pPr>
        <w:pStyle w:val="Funotentext"/>
        <w:rPr>
          <w:lang w:val="en-US"/>
        </w:rPr>
      </w:pPr>
      <w:r>
        <w:rPr>
          <w:rStyle w:val="Funotenzeichen"/>
          <w:rFonts w:eastAsiaTheme="majorEastAsia"/>
        </w:rPr>
        <w:footnoteRef/>
      </w:r>
      <w:r w:rsidRPr="000C16E3">
        <w:rPr>
          <w:lang w:val="en-US"/>
        </w:rPr>
        <w:t xml:space="preserve"> </w:t>
      </w:r>
      <w:r w:rsidRPr="00F94158">
        <w:rPr>
          <w:lang w:val="en-US"/>
        </w:rPr>
        <w:t>https://constitution.congress.gov/constitution/amendment-4/</w:t>
      </w:r>
      <w:r>
        <w:rPr>
          <w:lang w:val="en-US"/>
        </w:rPr>
        <w:t xml:space="preserve"> (27.04.2026).</w:t>
      </w:r>
    </w:p>
  </w:footnote>
  <w:footnote w:id="1236">
    <w:p w14:paraId="3979AB65" w14:textId="77777777" w:rsidR="00074551" w:rsidRPr="000C16E3" w:rsidRDefault="00074551" w:rsidP="00074551">
      <w:pPr>
        <w:pStyle w:val="Funotentext"/>
        <w:rPr>
          <w:lang w:val="en-US"/>
        </w:rPr>
      </w:pPr>
      <w:r>
        <w:rPr>
          <w:rStyle w:val="Funotenzeichen"/>
          <w:rFonts w:eastAsiaTheme="majorEastAsia"/>
        </w:rPr>
        <w:footnoteRef/>
      </w:r>
      <w:r w:rsidRPr="000C16E3">
        <w:rPr>
          <w:lang w:val="en-US"/>
        </w:rPr>
        <w:t xml:space="preserve"> </w:t>
      </w:r>
      <w:r w:rsidRPr="00F94158">
        <w:rPr>
          <w:lang w:val="en-US"/>
        </w:rPr>
        <w:t>https://constitution.congress.gov/constitution/amendment-4/</w:t>
      </w:r>
      <w:r>
        <w:rPr>
          <w:lang w:val="en-US"/>
        </w:rPr>
        <w:t xml:space="preserve"> (27.04.2026).</w:t>
      </w:r>
    </w:p>
  </w:footnote>
  <w:footnote w:id="1237">
    <w:p w14:paraId="0BB10ECC" w14:textId="77777777" w:rsidR="00074551" w:rsidRPr="00621D9B" w:rsidRDefault="00074551" w:rsidP="00074551">
      <w:pPr>
        <w:pStyle w:val="Funotentext"/>
      </w:pPr>
      <w:r>
        <w:rPr>
          <w:rStyle w:val="Funotenzeichen"/>
          <w:rFonts w:eastAsiaTheme="majorEastAsia"/>
        </w:rPr>
        <w:footnoteRef/>
      </w:r>
      <w:r w:rsidRPr="00621D9B">
        <w:t xml:space="preserve"> Dabei hat der </w:t>
      </w:r>
      <w:r>
        <w:t>U.S. Supreme Court</w:t>
      </w:r>
      <w:r w:rsidRPr="00621D9B">
        <w:t xml:space="preserve"> in </w:t>
      </w:r>
      <w:r w:rsidRPr="009167A5">
        <w:rPr>
          <w:i/>
        </w:rPr>
        <w:t>Griswold v. Connecticut</w:t>
      </w:r>
      <w:r w:rsidRPr="00621D9B">
        <w:t xml:space="preserve"> die Rechtsprechung vorsortiert, s</w:t>
      </w:r>
      <w:r>
        <w:t>iehe</w:t>
      </w:r>
      <w:r w:rsidRPr="00621D9B">
        <w:t xml:space="preserve"> u.a. unter 381 U.S. 479, 484</w:t>
      </w:r>
      <w:r w:rsidRPr="006E67FE">
        <w:t xml:space="preserve"> = 85 S. Ct. </w:t>
      </w:r>
      <w:r w:rsidRPr="00621D9B">
        <w:t>1678, 1681</w:t>
      </w:r>
      <w:r w:rsidRPr="003B741A">
        <w:t xml:space="preserve"> = 14 L. Ed. </w:t>
      </w:r>
      <w:r w:rsidRPr="00621D9B">
        <w:t>2d 510, 514</w:t>
      </w:r>
      <w:r w:rsidRPr="006E67FE">
        <w:t xml:space="preserve"> = 1965 U.S. LEXIS </w:t>
      </w:r>
      <w:r w:rsidRPr="00621D9B">
        <w:t>2282, 9 (1965)</w:t>
      </w:r>
      <w:r>
        <w:t>.</w:t>
      </w:r>
    </w:p>
  </w:footnote>
  <w:footnote w:id="1238">
    <w:p w14:paraId="22915811" w14:textId="5A32A1FF" w:rsidR="00074551" w:rsidRPr="00AC7D41" w:rsidRDefault="00074551" w:rsidP="00074551">
      <w:pPr>
        <w:pStyle w:val="Funotentext"/>
      </w:pPr>
      <w:r w:rsidRPr="1739998D">
        <w:rPr>
          <w:rStyle w:val="Funotenzeichen"/>
          <w:rFonts w:eastAsiaTheme="majorEastAsia"/>
        </w:rPr>
        <w:footnoteRef/>
      </w:r>
      <w:r w:rsidR="1739998D" w:rsidRPr="00AC7D41">
        <w:rPr>
          <w:lang w:val="en-US"/>
        </w:rPr>
        <w:t xml:space="preserve"> </w:t>
      </w:r>
      <w:r w:rsidR="1739998D" w:rsidRPr="1739998D">
        <w:rPr>
          <w:i/>
          <w:iCs/>
          <w:color w:val="212121"/>
          <w:lang w:val="en-US"/>
        </w:rPr>
        <w:t xml:space="preserve">Blake v. McClung, </w:t>
      </w:r>
      <w:r w:rsidR="1739998D" w:rsidRPr="1739998D">
        <w:rPr>
          <w:color w:val="212121"/>
          <w:lang w:val="en-US"/>
        </w:rPr>
        <w:t>172 U.S. 239, 248-249 = 19 S. Ct. 165 = 43 L. Ed. 432 = 1898 U.S. LEXIS 1651 (1898).</w:t>
      </w:r>
    </w:p>
  </w:footnote>
  <w:footnote w:id="1239">
    <w:p w14:paraId="3CEC413E" w14:textId="77777777" w:rsidR="00074551" w:rsidRPr="0080400C" w:rsidRDefault="00074551" w:rsidP="00074551">
      <w:pPr>
        <w:pStyle w:val="Funotentext"/>
        <w:rPr>
          <w:lang w:val="en-US"/>
        </w:rPr>
      </w:pPr>
      <w:r>
        <w:rPr>
          <w:rStyle w:val="Funotenzeichen"/>
          <w:rFonts w:eastAsiaTheme="majorEastAsia"/>
        </w:rPr>
        <w:footnoteRef/>
      </w:r>
      <w:r w:rsidRPr="0080400C">
        <w:rPr>
          <w:lang w:val="en-US"/>
        </w:rPr>
        <w:t xml:space="preserve"> </w:t>
      </w:r>
      <w:r w:rsidRPr="009E57E1">
        <w:rPr>
          <w:i/>
          <w:lang w:val="en-US"/>
        </w:rPr>
        <w:t>Lawrence v. Texas</w:t>
      </w:r>
      <w:r w:rsidRPr="00B5355D">
        <w:rPr>
          <w:lang w:val="en-US"/>
        </w:rPr>
        <w:t>, 539 U.S. 558, 593</w:t>
      </w:r>
      <w:r w:rsidRPr="006E67FE">
        <w:rPr>
          <w:lang w:val="en-US"/>
        </w:rPr>
        <w:t xml:space="preserve"> = 123 S. Ct. </w:t>
      </w:r>
      <w:r w:rsidRPr="00B5355D">
        <w:rPr>
          <w:lang w:val="en-US"/>
        </w:rPr>
        <w:t>2472, 2492</w:t>
      </w:r>
      <w:r w:rsidRPr="006E67FE">
        <w:rPr>
          <w:lang w:val="en-US"/>
        </w:rPr>
        <w:t xml:space="preserve"> = 156 L. Ed. </w:t>
      </w:r>
      <w:r w:rsidRPr="00B5355D">
        <w:rPr>
          <w:lang w:val="en-US"/>
        </w:rPr>
        <w:t>2d 508, 535</w:t>
      </w:r>
      <w:r>
        <w:rPr>
          <w:lang w:val="en-US"/>
        </w:rPr>
        <w:t xml:space="preserve"> = 2003 U.S. LEXIS </w:t>
      </w:r>
      <w:r w:rsidRPr="00B5355D">
        <w:rPr>
          <w:lang w:val="en-US"/>
        </w:rPr>
        <w:t>5013, 62</w:t>
      </w:r>
      <w:r>
        <w:rPr>
          <w:lang w:val="en-US"/>
        </w:rPr>
        <w:t xml:space="preserve"> = 71 U.S.L.W. </w:t>
      </w:r>
      <w:r w:rsidRPr="00B5355D">
        <w:rPr>
          <w:lang w:val="en-US"/>
        </w:rPr>
        <w:t>4574</w:t>
      </w:r>
      <w:r>
        <w:rPr>
          <w:lang w:val="en-US"/>
        </w:rPr>
        <w:t xml:space="preserve"> = 2003 Cal. Daily </w:t>
      </w:r>
      <w:r w:rsidRPr="00B5355D">
        <w:rPr>
          <w:lang w:val="en-US"/>
        </w:rPr>
        <w:t>Op. Service 5559</w:t>
      </w:r>
      <w:r>
        <w:rPr>
          <w:lang w:val="en-US"/>
        </w:rPr>
        <w:t xml:space="preserve"> = 2003 Daily </w:t>
      </w:r>
      <w:r w:rsidRPr="00B5355D">
        <w:rPr>
          <w:lang w:val="en-US"/>
        </w:rPr>
        <w:t>Journal DAR 7036</w:t>
      </w:r>
      <w:r>
        <w:rPr>
          <w:lang w:val="en-US"/>
        </w:rPr>
        <w:t xml:space="preserve"> = 16 Fla. L. Weekly </w:t>
      </w:r>
      <w:r w:rsidRPr="00B5355D">
        <w:rPr>
          <w:lang w:val="en-US"/>
        </w:rPr>
        <w:t>Fed. S 427 (2003)</w:t>
      </w:r>
      <w:r>
        <w:rPr>
          <w:lang w:val="en-US"/>
        </w:rPr>
        <w:t>.</w:t>
      </w:r>
    </w:p>
  </w:footnote>
  <w:footnote w:id="1240">
    <w:p w14:paraId="4E8FC2C9" w14:textId="06A717F6" w:rsidR="00074551" w:rsidRPr="003354AB" w:rsidRDefault="00074551" w:rsidP="00074551">
      <w:pPr>
        <w:pStyle w:val="Funotentext"/>
      </w:pPr>
      <w:r w:rsidRPr="1739998D">
        <w:rPr>
          <w:rStyle w:val="Funotenzeichen"/>
          <w:rFonts w:eastAsiaTheme="majorEastAsia"/>
        </w:rPr>
        <w:footnoteRef/>
      </w:r>
      <w:r w:rsidR="1739998D" w:rsidRPr="00D9405D">
        <w:rPr>
          <w:lang w:val="en-US"/>
        </w:rPr>
        <w:t xml:space="preserve"> </w:t>
      </w:r>
      <w:r w:rsidR="1739998D" w:rsidRPr="1739998D">
        <w:rPr>
          <w:i/>
          <w:iCs/>
          <w:color w:val="212121"/>
          <w:lang w:val="en-US"/>
        </w:rPr>
        <w:t xml:space="preserve">Blake v. McClung, </w:t>
      </w:r>
      <w:r w:rsidR="1739998D" w:rsidRPr="1739998D">
        <w:rPr>
          <w:color w:val="212121"/>
          <w:lang w:val="en-US"/>
        </w:rPr>
        <w:t>172 U.S. 239, 249 = 19 S. Ct. 165 = 43 L. Ed. 432 = 1898 U.S. LEXIS 1651 (1898).</w:t>
      </w:r>
    </w:p>
  </w:footnote>
  <w:footnote w:id="1241">
    <w:p w14:paraId="7C307BFF" w14:textId="6AFD1D0A" w:rsidR="00074551" w:rsidRPr="00B45592" w:rsidRDefault="00074551" w:rsidP="00074551">
      <w:r w:rsidRPr="1739998D">
        <w:rPr>
          <w:rStyle w:val="Funotenzeichen"/>
          <w:rFonts w:eastAsiaTheme="majorEastAsia"/>
          <w:sz w:val="20"/>
          <w:szCs w:val="20"/>
        </w:rPr>
        <w:footnoteRef/>
      </w:r>
      <w:r w:rsidR="1739998D" w:rsidRPr="00B45592">
        <w:rPr>
          <w:sz w:val="20"/>
          <w:szCs w:val="20"/>
          <w:lang w:val="en-US"/>
        </w:rPr>
        <w:t xml:space="preserve"> </w:t>
      </w:r>
      <w:r w:rsidR="1739998D" w:rsidRPr="1739998D">
        <w:rPr>
          <w:i/>
          <w:iCs/>
          <w:color w:val="212121"/>
          <w:sz w:val="20"/>
          <w:szCs w:val="20"/>
          <w:lang w:val="en-US"/>
        </w:rPr>
        <w:t xml:space="preserve">Fong Yue Ting v. United States, </w:t>
      </w:r>
      <w:r w:rsidR="1739998D" w:rsidRPr="1739998D">
        <w:rPr>
          <w:color w:val="212121"/>
          <w:sz w:val="20"/>
          <w:szCs w:val="20"/>
          <w:lang w:val="en-US"/>
        </w:rPr>
        <w:t>149 U.S. 698, 755 = 13 S. Ct. 1016 = 37 L. Ed. 905 = 1893 U.S. LEXIS 2340 (1893).</w:t>
      </w:r>
    </w:p>
  </w:footnote>
  <w:footnote w:id="1242">
    <w:p w14:paraId="6B11E3D0" w14:textId="5FBAFD4D" w:rsidR="00074551" w:rsidRPr="00D9405D" w:rsidRDefault="00074551" w:rsidP="00074551">
      <w:pPr>
        <w:pStyle w:val="Funotentext"/>
        <w:rPr>
          <w:lang w:val="en-US"/>
        </w:rPr>
      </w:pPr>
      <w:r w:rsidRPr="1739998D">
        <w:rPr>
          <w:rStyle w:val="Funotenzeichen"/>
          <w:rFonts w:eastAsiaTheme="majorEastAsia"/>
        </w:rPr>
        <w:footnoteRef/>
      </w:r>
      <w:r w:rsidR="1739998D" w:rsidRPr="00D9405D">
        <w:rPr>
          <w:lang w:val="en-US"/>
        </w:rPr>
        <w:t xml:space="preserve"> </w:t>
      </w:r>
      <w:r w:rsidR="1739998D" w:rsidRPr="1739998D">
        <w:rPr>
          <w:i/>
          <w:iCs/>
          <w:color w:val="212121"/>
          <w:lang w:val="en-US"/>
        </w:rPr>
        <w:t xml:space="preserve">Blake v. McClung, </w:t>
      </w:r>
      <w:r w:rsidR="1739998D" w:rsidRPr="1739998D">
        <w:rPr>
          <w:color w:val="212121"/>
          <w:lang w:val="en-US"/>
        </w:rPr>
        <w:t>172 U.S. 239, 248 = 19 S. Ct. 165 = 43 L. Ed. 432 = 1898 U.S. LEXIS 1651 (1898)</w:t>
      </w:r>
      <w:r w:rsidR="1739998D" w:rsidRPr="1739998D">
        <w:rPr>
          <w:lang w:val="en-US"/>
        </w:rPr>
        <w:t xml:space="preserve">, </w:t>
      </w:r>
      <w:proofErr w:type="spellStart"/>
      <w:r w:rsidR="1739998D" w:rsidRPr="1739998D">
        <w:rPr>
          <w:lang w:val="en-US"/>
        </w:rPr>
        <w:t>dort</w:t>
      </w:r>
      <w:proofErr w:type="spellEnd"/>
      <w:r w:rsidR="1739998D" w:rsidRPr="1739998D">
        <w:rPr>
          <w:lang w:val="en-US"/>
        </w:rPr>
        <w:t xml:space="preserve"> </w:t>
      </w:r>
      <w:proofErr w:type="spellStart"/>
      <w:r w:rsidR="1739998D" w:rsidRPr="1739998D">
        <w:rPr>
          <w:lang w:val="en-US"/>
        </w:rPr>
        <w:t>heißt</w:t>
      </w:r>
      <w:proofErr w:type="spellEnd"/>
      <w:r w:rsidR="1739998D" w:rsidRPr="1739998D">
        <w:rPr>
          <w:lang w:val="en-US"/>
        </w:rPr>
        <w:t xml:space="preserve"> es: „right, to the citizens of all free governments, and which have at all times been enjoyed by the citizens of the several </w:t>
      </w:r>
      <w:proofErr w:type="gramStart"/>
      <w:r w:rsidR="1739998D" w:rsidRPr="1739998D">
        <w:rPr>
          <w:lang w:val="en-US"/>
        </w:rPr>
        <w:t>states“</w:t>
      </w:r>
      <w:proofErr w:type="gramEnd"/>
      <w:r w:rsidR="1739998D" w:rsidRPr="1739998D">
        <w:rPr>
          <w:lang w:val="en-US"/>
        </w:rPr>
        <w:t>.</w:t>
      </w:r>
    </w:p>
  </w:footnote>
  <w:footnote w:id="1243">
    <w:p w14:paraId="285D9E45" w14:textId="7568CEBE" w:rsidR="00074551" w:rsidRPr="0080400C" w:rsidRDefault="00074551" w:rsidP="00074551">
      <w:pPr>
        <w:pStyle w:val="Funotentext"/>
      </w:pPr>
      <w:r w:rsidRPr="1739998D">
        <w:rPr>
          <w:rStyle w:val="Funotenzeichen"/>
          <w:rFonts w:eastAsiaTheme="majorEastAsia"/>
        </w:rPr>
        <w:footnoteRef/>
      </w:r>
      <w:r w:rsidR="1739998D" w:rsidRPr="0080400C">
        <w:rPr>
          <w:lang w:val="en-US"/>
        </w:rPr>
        <w:t xml:space="preserve"> </w:t>
      </w:r>
      <w:r w:rsidR="1739998D" w:rsidRPr="1739998D">
        <w:rPr>
          <w:i/>
          <w:iCs/>
          <w:color w:val="212121"/>
          <w:lang w:val="en-US"/>
        </w:rPr>
        <w:t xml:space="preserve">Blake v. McClung, </w:t>
      </w:r>
      <w:r w:rsidR="1739998D" w:rsidRPr="1739998D">
        <w:rPr>
          <w:color w:val="212121"/>
          <w:lang w:val="en-US"/>
        </w:rPr>
        <w:t>172 U.S. 239, 261 = 19 S. Ct. 165 = 43 L. Ed. 432 = 1898 U.S. LEXIS 1651 (1898).</w:t>
      </w:r>
    </w:p>
  </w:footnote>
  <w:footnote w:id="1244">
    <w:p w14:paraId="2A8D92B6" w14:textId="3D9FF14F" w:rsidR="00074551" w:rsidRPr="000C16E3" w:rsidRDefault="00074551" w:rsidP="00074551">
      <w:pPr>
        <w:pStyle w:val="Funotentext"/>
        <w:ind w:left="227" w:hanging="227"/>
        <w:rPr>
          <w:lang w:val="en-US"/>
        </w:rPr>
      </w:pPr>
      <w:r w:rsidRPr="1739998D">
        <w:rPr>
          <w:rStyle w:val="Funotenzeichen"/>
          <w:rFonts w:eastAsiaTheme="majorEastAsia"/>
        </w:rPr>
        <w:footnoteRef/>
      </w:r>
      <w:r w:rsidR="1739998D" w:rsidRPr="000C16E3">
        <w:rPr>
          <w:lang w:val="en-US"/>
        </w:rPr>
        <w:t xml:space="preserve"> </w:t>
      </w:r>
      <w:r w:rsidR="1739998D" w:rsidRPr="1739998D">
        <w:rPr>
          <w:i/>
          <w:iCs/>
          <w:lang w:val="en-US"/>
        </w:rPr>
        <w:t>Russo v. Byrne</w:t>
      </w:r>
      <w:r w:rsidR="1739998D" w:rsidRPr="1739998D">
        <w:rPr>
          <w:lang w:val="en-US"/>
        </w:rPr>
        <w:t>, 409 U.S. 1013, 1013 = 93 S. Ct. 433, 434 = 34 L. Ed. 2d 307, 308 = 1972 U.S. LEXIS 703, 1 (1972).</w:t>
      </w:r>
    </w:p>
  </w:footnote>
  <w:footnote w:id="1245">
    <w:p w14:paraId="14421B33" w14:textId="001BDA9C" w:rsidR="00074551" w:rsidRPr="006074B8" w:rsidRDefault="00074551" w:rsidP="00074551">
      <w:pPr>
        <w:pStyle w:val="Funotentext"/>
        <w:ind w:left="227" w:hanging="227"/>
        <w:rPr>
          <w:lang w:val="en-US"/>
        </w:rPr>
      </w:pPr>
      <w:r w:rsidRPr="1739998D">
        <w:rPr>
          <w:rStyle w:val="Funotenzeichen"/>
          <w:rFonts w:eastAsiaTheme="majorEastAsia"/>
        </w:rPr>
        <w:footnoteRef/>
      </w:r>
      <w:r w:rsidR="1739998D" w:rsidRPr="006074B8">
        <w:rPr>
          <w:lang w:val="en-US"/>
        </w:rPr>
        <w:t xml:space="preserve"> </w:t>
      </w:r>
      <w:r w:rsidR="1739998D" w:rsidRPr="1739998D">
        <w:rPr>
          <w:i/>
          <w:iCs/>
          <w:color w:val="212121"/>
          <w:lang w:val="en-US"/>
        </w:rPr>
        <w:t xml:space="preserve">Griswold v. Connecticut, </w:t>
      </w:r>
      <w:r w:rsidR="1739998D" w:rsidRPr="1739998D">
        <w:rPr>
          <w:color w:val="212121"/>
          <w:lang w:val="en-US"/>
        </w:rPr>
        <w:t>381 U.S. 479, 85 = S. Ct. 1678 = 14 L. Ed. 2d 510 = 1965 U.S. LEXIS 2282 (1965);</w:t>
      </w:r>
      <w:r w:rsidR="1739998D" w:rsidRPr="1739998D">
        <w:rPr>
          <w:lang w:val="en-US"/>
        </w:rPr>
        <w:t xml:space="preserve"> </w:t>
      </w:r>
      <w:r w:rsidR="1739998D" w:rsidRPr="1739998D">
        <w:rPr>
          <w:i/>
          <w:iCs/>
          <w:lang w:val="en-US"/>
        </w:rPr>
        <w:t>Pierce v. Soc’y of Sisters</w:t>
      </w:r>
      <w:r w:rsidR="1739998D" w:rsidRPr="1739998D">
        <w:rPr>
          <w:lang w:val="en-US"/>
        </w:rPr>
        <w:t>, 268 U.S. 510, 529 = 45 S. Ct. 571, 571 = 69 L. Ed. 1070, 1076 = 1925 U.S. LEXIS 589, 26 = 39 A.L.R. 468 (1925).</w:t>
      </w:r>
    </w:p>
  </w:footnote>
  <w:footnote w:id="1246">
    <w:p w14:paraId="471A2727" w14:textId="77777777" w:rsidR="00074551" w:rsidRPr="00421429" w:rsidRDefault="00074551" w:rsidP="00074551">
      <w:pPr>
        <w:pStyle w:val="Funotentext"/>
        <w:rPr>
          <w:lang w:val="en-US"/>
        </w:rPr>
      </w:pPr>
      <w:r>
        <w:rPr>
          <w:rStyle w:val="Funotenzeichen"/>
          <w:rFonts w:eastAsiaTheme="majorEastAsia"/>
        </w:rPr>
        <w:footnoteRef/>
      </w:r>
      <w:r w:rsidRPr="00421429">
        <w:rPr>
          <w:lang w:val="en-US"/>
        </w:rPr>
        <w:t xml:space="preserve"> </w:t>
      </w:r>
      <w:r>
        <w:rPr>
          <w:lang w:val="en-US"/>
        </w:rPr>
        <w:t>§ </w:t>
      </w:r>
      <w:r w:rsidRPr="00421429">
        <w:rPr>
          <w:lang w:val="en-US"/>
        </w:rPr>
        <w:t xml:space="preserve">2905.34: </w:t>
      </w:r>
      <w:r>
        <w:rPr>
          <w:lang w:val="en-US"/>
        </w:rPr>
        <w:t>„</w:t>
      </w:r>
      <w:r w:rsidRPr="00421429">
        <w:rPr>
          <w:lang w:val="en-US"/>
        </w:rPr>
        <w:t xml:space="preserve">No person shall knowingly […] have in his possession or under his control an obscene, lewd, or lascivious book [or] […] picture […] Whoever violates this section shall be fined not less than two hundred nor more than two thousand dollars or imprisoned not less than one nor more than seven years, or </w:t>
      </w:r>
      <w:proofErr w:type="gramStart"/>
      <w:r w:rsidRPr="00421429">
        <w:rPr>
          <w:lang w:val="en-US"/>
        </w:rPr>
        <w:t>both.</w:t>
      </w:r>
      <w:r>
        <w:rPr>
          <w:lang w:val="en-US"/>
        </w:rPr>
        <w:t>“</w:t>
      </w:r>
      <w:proofErr w:type="gramEnd"/>
      <w:r>
        <w:rPr>
          <w:lang w:val="en-US"/>
        </w:rPr>
        <w:t>,</w:t>
      </w:r>
      <w:r w:rsidRPr="00421429">
        <w:rPr>
          <w:lang w:val="en-US"/>
        </w:rPr>
        <w:t xml:space="preserve"> </w:t>
      </w:r>
      <w:r>
        <w:rPr>
          <w:lang w:val="en-US"/>
        </w:rPr>
        <w:t>i</w:t>
      </w:r>
      <w:r w:rsidRPr="00421429">
        <w:rPr>
          <w:lang w:val="en-US"/>
        </w:rPr>
        <w:t xml:space="preserve">n </w:t>
      </w:r>
      <w:r w:rsidRPr="00AB01D2">
        <w:rPr>
          <w:i/>
          <w:lang w:val="en-US"/>
        </w:rPr>
        <w:t>Mapp v. Ohio</w:t>
      </w:r>
      <w:r w:rsidRPr="00421429">
        <w:rPr>
          <w:lang w:val="en-US"/>
        </w:rPr>
        <w:t>, 367 U.S. 643, 643</w:t>
      </w:r>
      <w:r w:rsidRPr="006E67FE">
        <w:rPr>
          <w:lang w:val="en-US"/>
        </w:rPr>
        <w:t xml:space="preserve"> = 81 S. Ct. </w:t>
      </w:r>
      <w:r w:rsidRPr="00421429">
        <w:rPr>
          <w:lang w:val="en-US"/>
        </w:rPr>
        <w:t>1684, 1685</w:t>
      </w:r>
      <w:r>
        <w:rPr>
          <w:lang w:val="en-US"/>
        </w:rPr>
        <w:t xml:space="preserve"> = 6 L. Ed. </w:t>
      </w:r>
      <w:r w:rsidRPr="00421429">
        <w:rPr>
          <w:lang w:val="en-US"/>
        </w:rPr>
        <w:t>2d 1081, 1083</w:t>
      </w:r>
      <w:r w:rsidRPr="006E67FE">
        <w:rPr>
          <w:lang w:val="en-US"/>
        </w:rPr>
        <w:t xml:space="preserve"> = 1961 U.S. LEXIS </w:t>
      </w:r>
      <w:r w:rsidRPr="00421429">
        <w:rPr>
          <w:lang w:val="en-US"/>
        </w:rPr>
        <w:t>812, 2</w:t>
      </w:r>
      <w:r>
        <w:rPr>
          <w:lang w:val="en-US"/>
        </w:rPr>
        <w:t xml:space="preserve"> = 84 A.L.R. 2d </w:t>
      </w:r>
      <w:r w:rsidRPr="00421429">
        <w:rPr>
          <w:lang w:val="en-US"/>
        </w:rPr>
        <w:t>933</w:t>
      </w:r>
      <w:r>
        <w:rPr>
          <w:lang w:val="en-US"/>
        </w:rPr>
        <w:t xml:space="preserve"> = 86 Ohio L. Abs. </w:t>
      </w:r>
      <w:r w:rsidRPr="00421429">
        <w:rPr>
          <w:lang w:val="en-US"/>
        </w:rPr>
        <w:t>513</w:t>
      </w:r>
      <w:r>
        <w:rPr>
          <w:lang w:val="en-US"/>
        </w:rPr>
        <w:t xml:space="preserve"> = 16 Ohio Op. </w:t>
      </w:r>
      <w:r w:rsidRPr="00421429">
        <w:rPr>
          <w:lang w:val="en-US"/>
        </w:rPr>
        <w:t>2d 384 (1961).</w:t>
      </w:r>
    </w:p>
  </w:footnote>
  <w:footnote w:id="1247">
    <w:p w14:paraId="515CE2C7" w14:textId="77777777" w:rsidR="00074551" w:rsidRPr="00B45592" w:rsidRDefault="00074551" w:rsidP="00074551">
      <w:pPr>
        <w:pStyle w:val="Funotentext"/>
        <w:rPr>
          <w:lang w:val="en-US"/>
        </w:rPr>
      </w:pPr>
      <w:r w:rsidRPr="00B45592">
        <w:rPr>
          <w:rStyle w:val="Funotenzeichen"/>
          <w:rFonts w:eastAsiaTheme="majorEastAsia"/>
        </w:rPr>
        <w:footnoteRef/>
      </w:r>
      <w:r w:rsidRPr="00B45592">
        <w:rPr>
          <w:lang w:val="en-US"/>
        </w:rPr>
        <w:t xml:space="preserve"> </w:t>
      </w:r>
      <w:r w:rsidRPr="00AB01D2">
        <w:rPr>
          <w:i/>
          <w:lang w:val="en-US"/>
        </w:rPr>
        <w:t>Mapp v. Ohio</w:t>
      </w:r>
      <w:r w:rsidRPr="00B45592">
        <w:rPr>
          <w:lang w:val="en-US"/>
        </w:rPr>
        <w:t>, 367 U.S. 643, 673</w:t>
      </w:r>
      <w:r w:rsidRPr="006E67FE">
        <w:rPr>
          <w:lang w:val="en-US"/>
        </w:rPr>
        <w:t xml:space="preserve"> = 81 S. Ct. </w:t>
      </w:r>
      <w:r w:rsidRPr="00B45592">
        <w:rPr>
          <w:lang w:val="en-US"/>
        </w:rPr>
        <w:t>1684, 1701</w:t>
      </w:r>
      <w:r>
        <w:rPr>
          <w:lang w:val="en-US"/>
        </w:rPr>
        <w:t xml:space="preserve"> = 6 L. Ed. </w:t>
      </w:r>
      <w:r w:rsidRPr="00B45592">
        <w:rPr>
          <w:lang w:val="en-US"/>
        </w:rPr>
        <w:t>2d 1081, 1100</w:t>
      </w:r>
      <w:r w:rsidRPr="006E67FE">
        <w:rPr>
          <w:lang w:val="en-US"/>
        </w:rPr>
        <w:t xml:space="preserve"> = 1961 U.S. LEXIS </w:t>
      </w:r>
      <w:r w:rsidRPr="00B45592">
        <w:rPr>
          <w:lang w:val="en-US"/>
        </w:rPr>
        <w:t>812, 53</w:t>
      </w:r>
      <w:r>
        <w:rPr>
          <w:lang w:val="en-US"/>
        </w:rPr>
        <w:t xml:space="preserve"> = 84 A.L.R. 2d </w:t>
      </w:r>
      <w:r w:rsidRPr="00B45592">
        <w:rPr>
          <w:lang w:val="en-US"/>
        </w:rPr>
        <w:t>933</w:t>
      </w:r>
      <w:r>
        <w:rPr>
          <w:lang w:val="en-US"/>
        </w:rPr>
        <w:t xml:space="preserve"> = 86 Ohio L. Abs. </w:t>
      </w:r>
      <w:r w:rsidRPr="00B45592">
        <w:rPr>
          <w:lang w:val="en-US"/>
        </w:rPr>
        <w:t>513</w:t>
      </w:r>
      <w:r>
        <w:rPr>
          <w:lang w:val="en-US"/>
        </w:rPr>
        <w:t xml:space="preserve"> = 16 Ohio Op. </w:t>
      </w:r>
      <w:r w:rsidRPr="00B45592">
        <w:rPr>
          <w:lang w:val="en-US"/>
        </w:rPr>
        <w:t>2d 384 (1961).</w:t>
      </w:r>
    </w:p>
  </w:footnote>
  <w:footnote w:id="1248">
    <w:p w14:paraId="7374BD70" w14:textId="77777777" w:rsidR="00074551" w:rsidRPr="00D83E4F" w:rsidRDefault="00074551" w:rsidP="00074551">
      <w:pPr>
        <w:rPr>
          <w:lang w:val="en-US"/>
        </w:rPr>
      </w:pPr>
      <w:r w:rsidRPr="00D83E4F">
        <w:rPr>
          <w:rStyle w:val="Funotenzeichen"/>
          <w:rFonts w:eastAsiaTheme="majorEastAsia"/>
        </w:rPr>
        <w:footnoteRef/>
      </w:r>
      <w:r w:rsidRPr="00D83E4F">
        <w:rPr>
          <w:lang w:val="en-US"/>
        </w:rPr>
        <w:t xml:space="preserve"> </w:t>
      </w:r>
      <w:r w:rsidRPr="00DA67E4">
        <w:rPr>
          <w:i/>
          <w:iCs/>
          <w:sz w:val="20"/>
          <w:szCs w:val="20"/>
          <w:lang w:val="en-IE"/>
        </w:rPr>
        <w:t>Olmstead</w:t>
      </w:r>
      <w:r w:rsidRPr="00DA67E4">
        <w:rPr>
          <w:sz w:val="20"/>
          <w:szCs w:val="20"/>
          <w:lang w:val="en-IE"/>
        </w:rPr>
        <w:t xml:space="preserve"> v. </w:t>
      </w:r>
      <w:r w:rsidRPr="00DA67E4">
        <w:rPr>
          <w:i/>
          <w:iCs/>
          <w:sz w:val="20"/>
          <w:szCs w:val="20"/>
          <w:lang w:val="en-IE"/>
        </w:rPr>
        <w:t>United States</w:t>
      </w:r>
      <w:r w:rsidRPr="00DA67E4">
        <w:rPr>
          <w:sz w:val="20"/>
          <w:szCs w:val="20"/>
          <w:lang w:val="en-IE"/>
        </w:rPr>
        <w:t>, 277 U.S. 438, 478</w:t>
      </w:r>
      <w:r>
        <w:rPr>
          <w:sz w:val="20"/>
          <w:szCs w:val="20"/>
          <w:lang w:val="en-IE"/>
        </w:rPr>
        <w:t xml:space="preserve"> (Dissens von Richter </w:t>
      </w:r>
      <w:r w:rsidRPr="00B45592">
        <w:rPr>
          <w:i/>
          <w:sz w:val="20"/>
          <w:szCs w:val="20"/>
          <w:lang w:val="en-IE"/>
        </w:rPr>
        <w:t>Brandeis</w:t>
      </w:r>
      <w:r>
        <w:rPr>
          <w:sz w:val="20"/>
          <w:szCs w:val="20"/>
          <w:lang w:val="en-IE"/>
        </w:rPr>
        <w:t xml:space="preserve">); </w:t>
      </w:r>
      <w:proofErr w:type="spellStart"/>
      <w:r>
        <w:rPr>
          <w:sz w:val="20"/>
          <w:szCs w:val="20"/>
          <w:lang w:val="en-IE"/>
        </w:rPr>
        <w:t>zitiert</w:t>
      </w:r>
      <w:proofErr w:type="spellEnd"/>
      <w:r>
        <w:rPr>
          <w:sz w:val="20"/>
          <w:szCs w:val="20"/>
          <w:lang w:val="en-IE"/>
        </w:rPr>
        <w:t xml:space="preserve"> in </w:t>
      </w:r>
      <w:r w:rsidRPr="00DA67E4">
        <w:rPr>
          <w:i/>
          <w:sz w:val="20"/>
          <w:szCs w:val="20"/>
          <w:lang w:val="en-IE"/>
        </w:rPr>
        <w:t>Griswold v. Connecticut</w:t>
      </w:r>
      <w:r w:rsidRPr="00DA67E4">
        <w:rPr>
          <w:sz w:val="20"/>
          <w:szCs w:val="20"/>
          <w:lang w:val="en-IE"/>
        </w:rPr>
        <w:t>, 381 U.S. 479, 494</w:t>
      </w:r>
      <w:r>
        <w:rPr>
          <w:sz w:val="20"/>
          <w:szCs w:val="20"/>
          <w:lang w:val="en-IE"/>
        </w:rPr>
        <w:t xml:space="preserve"> =</w:t>
      </w:r>
      <w:r w:rsidRPr="00DA67E4">
        <w:rPr>
          <w:sz w:val="20"/>
          <w:szCs w:val="20"/>
          <w:lang w:val="en-IE"/>
        </w:rPr>
        <w:t xml:space="preserve"> 85 S. Ct. 1678, 1687</w:t>
      </w:r>
      <w:r>
        <w:rPr>
          <w:sz w:val="20"/>
          <w:szCs w:val="20"/>
          <w:lang w:val="en-IE"/>
        </w:rPr>
        <w:t xml:space="preserve"> =</w:t>
      </w:r>
      <w:r w:rsidRPr="00DA67E4">
        <w:rPr>
          <w:sz w:val="20"/>
          <w:szCs w:val="20"/>
          <w:lang w:val="en-IE"/>
        </w:rPr>
        <w:t xml:space="preserve"> 14 L. Ed. 2d 510, 521</w:t>
      </w:r>
      <w:r>
        <w:rPr>
          <w:sz w:val="20"/>
          <w:szCs w:val="20"/>
          <w:lang w:val="en-IE"/>
        </w:rPr>
        <w:t xml:space="preserve"> =</w:t>
      </w:r>
      <w:r w:rsidRPr="00DA67E4">
        <w:rPr>
          <w:sz w:val="20"/>
          <w:szCs w:val="20"/>
          <w:lang w:val="en-IE"/>
        </w:rPr>
        <w:t xml:space="preserve"> 1965 U.S. LEXIS 2282, 25 (1965)</w:t>
      </w:r>
      <w:r>
        <w:rPr>
          <w:sz w:val="20"/>
          <w:szCs w:val="20"/>
          <w:lang w:val="en-IE"/>
        </w:rPr>
        <w:t>.</w:t>
      </w:r>
    </w:p>
  </w:footnote>
  <w:footnote w:id="1249">
    <w:p w14:paraId="60946706" w14:textId="4A9217B2" w:rsidR="00074551" w:rsidRPr="006F4315" w:rsidRDefault="00074551" w:rsidP="00074551">
      <w:pPr>
        <w:pStyle w:val="Funotentext"/>
        <w:rPr>
          <w:lang w:val="en-US"/>
        </w:rPr>
      </w:pPr>
      <w:r w:rsidRPr="1739998D">
        <w:rPr>
          <w:rStyle w:val="Funotenzeichen"/>
          <w:rFonts w:eastAsiaTheme="majorEastAsia"/>
        </w:rPr>
        <w:footnoteRef/>
      </w:r>
      <w:r w:rsidR="1739998D" w:rsidRPr="00D83E4F">
        <w:rPr>
          <w:lang w:val="en-US"/>
        </w:rPr>
        <w:t xml:space="preserve"> </w:t>
      </w:r>
      <w:r w:rsidR="1739998D" w:rsidRPr="1739998D">
        <w:rPr>
          <w:i/>
          <w:iCs/>
          <w:color w:val="212121"/>
          <w:lang w:val="en-US"/>
        </w:rPr>
        <w:t xml:space="preserve">Griswold v. Connecticut, </w:t>
      </w:r>
      <w:r w:rsidR="1739998D" w:rsidRPr="1739998D">
        <w:rPr>
          <w:color w:val="212121"/>
          <w:lang w:val="en-US"/>
        </w:rPr>
        <w:t>381 U.S. 479, 484 = 85 S. Ct. 1678 = 14 L. Ed. 2d 510 = 1965 U.S. LEXIS 2282 (1965).</w:t>
      </w:r>
    </w:p>
  </w:footnote>
  <w:footnote w:id="1250">
    <w:p w14:paraId="38413C41" w14:textId="003A9826" w:rsidR="00074551" w:rsidRPr="00421429" w:rsidRDefault="00074551" w:rsidP="00074551">
      <w:pPr>
        <w:pStyle w:val="Funotentext"/>
        <w:rPr>
          <w:lang w:val="en-US"/>
        </w:rPr>
      </w:pPr>
      <w:r w:rsidRPr="1739998D">
        <w:rPr>
          <w:rStyle w:val="Funotenzeichen"/>
          <w:rFonts w:eastAsiaTheme="majorEastAsia"/>
        </w:rPr>
        <w:footnoteRef/>
      </w:r>
      <w:r w:rsidR="1739998D" w:rsidRPr="00D83E4F">
        <w:rPr>
          <w:lang w:val="en-US"/>
        </w:rPr>
        <w:t xml:space="preserve"> </w:t>
      </w:r>
      <w:r w:rsidR="1739998D" w:rsidRPr="1739998D">
        <w:rPr>
          <w:i/>
          <w:iCs/>
          <w:color w:val="212121"/>
          <w:lang w:val="en-US"/>
        </w:rPr>
        <w:t xml:space="preserve">Griswold v. Connecticut, </w:t>
      </w:r>
      <w:r w:rsidR="1739998D" w:rsidRPr="1739998D">
        <w:rPr>
          <w:color w:val="212121"/>
          <w:lang w:val="en-US"/>
        </w:rPr>
        <w:t>381 U.S. 479, 494 = 85 S. Ct. 1678 = 14 L. Ed. 2d 510 = 1965 U.S. LEXIS 2282 (1965)</w:t>
      </w:r>
      <w:r w:rsidR="1739998D" w:rsidRPr="1739998D">
        <w:rPr>
          <w:lang w:val="en-US"/>
        </w:rPr>
        <w:t xml:space="preserve">; </w:t>
      </w:r>
      <w:proofErr w:type="spellStart"/>
      <w:r w:rsidR="1739998D" w:rsidRPr="1739998D">
        <w:rPr>
          <w:lang w:val="en-US"/>
        </w:rPr>
        <w:t>ferner</w:t>
      </w:r>
      <w:proofErr w:type="spellEnd"/>
      <w:r w:rsidR="1739998D" w:rsidRPr="1739998D">
        <w:rPr>
          <w:lang w:val="en-US"/>
        </w:rPr>
        <w:t xml:space="preserve"> und </w:t>
      </w:r>
      <w:proofErr w:type="spellStart"/>
      <w:r w:rsidR="1739998D" w:rsidRPr="1739998D">
        <w:rPr>
          <w:lang w:val="en-US"/>
        </w:rPr>
        <w:t>weiterführend</w:t>
      </w:r>
      <w:proofErr w:type="spellEnd"/>
      <w:r w:rsidR="1739998D" w:rsidRPr="1739998D">
        <w:rPr>
          <w:lang w:val="en-US"/>
        </w:rPr>
        <w:t xml:space="preserve">: </w:t>
      </w:r>
      <w:r w:rsidR="1739998D" w:rsidRPr="1739998D">
        <w:rPr>
          <w:i/>
          <w:iCs/>
          <w:lang w:val="en-US"/>
        </w:rPr>
        <w:t>Meisel v. United States</w:t>
      </w:r>
      <w:r w:rsidR="1739998D" w:rsidRPr="1739998D">
        <w:rPr>
          <w:lang w:val="en-US"/>
        </w:rPr>
        <w:t xml:space="preserve"> 412 U.S. 954 (1973).</w:t>
      </w:r>
    </w:p>
  </w:footnote>
  <w:footnote w:id="1251">
    <w:p w14:paraId="39B152BE" w14:textId="176F5474" w:rsidR="00074551" w:rsidRPr="00E05C4B" w:rsidRDefault="1739998D" w:rsidP="1739998D">
      <w:pPr>
        <w:rPr>
          <w:sz w:val="20"/>
          <w:szCs w:val="20"/>
          <w:lang w:val="en-US"/>
        </w:rPr>
      </w:pPr>
      <w:r w:rsidRPr="1739998D">
        <w:rPr>
          <w:i/>
          <w:iCs/>
          <w:color w:val="212121"/>
          <w:sz w:val="20"/>
          <w:szCs w:val="20"/>
          <w:vertAlign w:val="superscript"/>
          <w:lang w:val="en-US"/>
        </w:rPr>
        <w:t>1251</w:t>
      </w:r>
      <w:r w:rsidRPr="1739998D">
        <w:rPr>
          <w:i/>
          <w:iCs/>
          <w:color w:val="212121"/>
          <w:sz w:val="20"/>
          <w:szCs w:val="20"/>
          <w:lang w:val="en-US"/>
        </w:rPr>
        <w:t xml:space="preserve"> Griswold v. Connecticut, </w:t>
      </w:r>
      <w:r w:rsidRPr="1739998D">
        <w:rPr>
          <w:color w:val="212121"/>
          <w:sz w:val="20"/>
          <w:szCs w:val="20"/>
          <w:lang w:val="en-US"/>
        </w:rPr>
        <w:t>381 U.S. 479, 484 = 85 S. Ct. 1678 =14 L. Ed. 2d 510 = 1965 U.S. LEXIS 2282 (1965)</w:t>
      </w:r>
    </w:p>
    <w:p w14:paraId="62C027A6" w14:textId="77777777" w:rsidR="00074551" w:rsidRPr="0080400C" w:rsidRDefault="00074551" w:rsidP="00074551">
      <w:pPr>
        <w:pStyle w:val="Funotentext"/>
        <w:rPr>
          <w:lang w:val="en-US"/>
        </w:rPr>
      </w:pPr>
    </w:p>
  </w:footnote>
  <w:footnote w:id="1252">
    <w:p w14:paraId="00BE0957" w14:textId="3E7618B8" w:rsidR="00074551" w:rsidRPr="00E05C4B" w:rsidRDefault="1739998D" w:rsidP="1739998D">
      <w:pPr>
        <w:rPr>
          <w:sz w:val="20"/>
          <w:szCs w:val="20"/>
          <w:lang w:val="en-US"/>
        </w:rPr>
      </w:pPr>
      <w:r w:rsidRPr="1739998D">
        <w:rPr>
          <w:i/>
          <w:iCs/>
          <w:color w:val="212121"/>
          <w:sz w:val="20"/>
          <w:szCs w:val="20"/>
          <w:vertAlign w:val="superscript"/>
          <w:lang w:val="en-US"/>
        </w:rPr>
        <w:t xml:space="preserve">1252 </w:t>
      </w:r>
      <w:r w:rsidRPr="1739998D">
        <w:rPr>
          <w:i/>
          <w:iCs/>
          <w:color w:val="212121"/>
          <w:sz w:val="20"/>
          <w:szCs w:val="20"/>
          <w:lang w:val="en-US"/>
        </w:rPr>
        <w:t xml:space="preserve">Griswold v. Connecticut, </w:t>
      </w:r>
      <w:r w:rsidRPr="1739998D">
        <w:rPr>
          <w:color w:val="212121"/>
          <w:sz w:val="20"/>
          <w:szCs w:val="20"/>
          <w:lang w:val="en-US"/>
        </w:rPr>
        <w:t>381 U.S. 479, 487 = 85 S. Ct. 1678, = 14 L. Ed. 2d 510 = 1965 U.S. LEXIS 2282 (1965)</w:t>
      </w:r>
    </w:p>
    <w:p w14:paraId="1578EFA7" w14:textId="77777777" w:rsidR="00074551" w:rsidRPr="0080400C" w:rsidRDefault="00074551" w:rsidP="00074551">
      <w:pPr>
        <w:pStyle w:val="Funotentext"/>
        <w:rPr>
          <w:lang w:val="en-US"/>
        </w:rPr>
      </w:pPr>
    </w:p>
  </w:footnote>
  <w:footnote w:id="1253">
    <w:p w14:paraId="5B8E911D" w14:textId="77777777" w:rsidR="00074551" w:rsidRPr="008F447E" w:rsidRDefault="00074551" w:rsidP="00074551">
      <w:pPr>
        <w:pStyle w:val="Funotentext"/>
        <w:rPr>
          <w:rFonts w:ascii="Verdana" w:hAnsi="Verdana"/>
          <w:color w:val="212121"/>
          <w:sz w:val="18"/>
          <w:szCs w:val="18"/>
          <w:shd w:val="clear" w:color="auto" w:fill="FFFFFF"/>
          <w:lang w:val="en-US"/>
        </w:rPr>
      </w:pPr>
      <w:r>
        <w:rPr>
          <w:rStyle w:val="Funotenzeichen"/>
          <w:rFonts w:eastAsiaTheme="majorEastAsia"/>
        </w:rPr>
        <w:footnoteRef/>
      </w:r>
      <w:r w:rsidRPr="008F447E">
        <w:rPr>
          <w:lang w:val="en-US"/>
        </w:rPr>
        <w:t xml:space="preserve"> </w:t>
      </w:r>
      <w:r w:rsidRPr="009167A5">
        <w:rPr>
          <w:i/>
          <w:lang w:val="en-US"/>
        </w:rPr>
        <w:t>Griswold v. Connecticut</w:t>
      </w:r>
      <w:r w:rsidRPr="008F447E">
        <w:rPr>
          <w:lang w:val="en-US"/>
        </w:rPr>
        <w:t>, 381 U.S. 479, 480</w:t>
      </w:r>
      <w:r w:rsidRPr="006E67FE">
        <w:rPr>
          <w:lang w:val="en-US"/>
        </w:rPr>
        <w:t xml:space="preserve"> = 85 S. Ct. </w:t>
      </w:r>
      <w:r w:rsidRPr="008F447E">
        <w:rPr>
          <w:lang w:val="en-US"/>
        </w:rPr>
        <w:t>1678, 1679</w:t>
      </w:r>
      <w:r w:rsidRPr="003B741A">
        <w:rPr>
          <w:lang w:val="en-US"/>
        </w:rPr>
        <w:t xml:space="preserve"> = 14 L. Ed. </w:t>
      </w:r>
      <w:r w:rsidRPr="008F447E">
        <w:rPr>
          <w:lang w:val="en-US"/>
        </w:rPr>
        <w:t>2d 510, 512</w:t>
      </w:r>
      <w:r w:rsidRPr="006E67FE">
        <w:rPr>
          <w:lang w:val="en-US"/>
        </w:rPr>
        <w:t xml:space="preserve"> = 1965 U.S. LEXIS </w:t>
      </w:r>
      <w:r w:rsidRPr="008F447E">
        <w:rPr>
          <w:lang w:val="en-US"/>
        </w:rPr>
        <w:t>2282, 1 (1965)</w:t>
      </w:r>
      <w:r>
        <w:rPr>
          <w:lang w:val="en-US"/>
        </w:rPr>
        <w:t>.</w:t>
      </w:r>
    </w:p>
  </w:footnote>
  <w:footnote w:id="1254">
    <w:p w14:paraId="0761FAC4" w14:textId="77777777" w:rsidR="00074551" w:rsidRPr="0057790A" w:rsidRDefault="00074551" w:rsidP="00074551">
      <w:pPr>
        <w:pStyle w:val="Funotentext"/>
        <w:rPr>
          <w:lang w:val="en-US"/>
        </w:rPr>
      </w:pPr>
      <w:r>
        <w:rPr>
          <w:rStyle w:val="Funotenzeichen"/>
          <w:rFonts w:eastAsiaTheme="majorEastAsia"/>
        </w:rPr>
        <w:footnoteRef/>
      </w:r>
      <w:r w:rsidRPr="0057790A">
        <w:rPr>
          <w:lang w:val="en-US"/>
        </w:rPr>
        <w:t xml:space="preserve"> </w:t>
      </w:r>
      <w:r w:rsidRPr="00F94158">
        <w:rPr>
          <w:lang w:val="en-US"/>
        </w:rPr>
        <w:t>https://constitution.congress.gov/constitution/</w:t>
      </w:r>
      <w:r>
        <w:rPr>
          <w:lang w:val="en-US"/>
        </w:rPr>
        <w:t xml:space="preserve"> (27.04.2026).</w:t>
      </w:r>
    </w:p>
  </w:footnote>
  <w:footnote w:id="1255">
    <w:p w14:paraId="54DDD851" w14:textId="77777777" w:rsidR="00074551" w:rsidRPr="00580561" w:rsidRDefault="00074551" w:rsidP="00074551">
      <w:pPr>
        <w:pStyle w:val="Funotentext"/>
        <w:rPr>
          <w:lang w:val="en-US"/>
        </w:rPr>
      </w:pPr>
      <w:r>
        <w:rPr>
          <w:rStyle w:val="Funotenzeichen"/>
          <w:rFonts w:eastAsiaTheme="majorEastAsia"/>
        </w:rPr>
        <w:footnoteRef/>
      </w:r>
      <w:r w:rsidRPr="00580561">
        <w:rPr>
          <w:lang w:val="en-US"/>
        </w:rPr>
        <w:t xml:space="preserve"> </w:t>
      </w:r>
      <w:r w:rsidRPr="00AB01D2">
        <w:rPr>
          <w:i/>
          <w:lang w:val="en-US"/>
        </w:rPr>
        <w:t>Mapp v. Ohio</w:t>
      </w:r>
      <w:r w:rsidRPr="00580561">
        <w:rPr>
          <w:lang w:val="en-US"/>
        </w:rPr>
        <w:t>, 367 U.S. 643, 656</w:t>
      </w:r>
      <w:r>
        <w:rPr>
          <w:lang w:val="en-US"/>
        </w:rPr>
        <w:t xml:space="preserve">; </w:t>
      </w:r>
      <w:proofErr w:type="spellStart"/>
      <w:r>
        <w:rPr>
          <w:lang w:val="en-US"/>
        </w:rPr>
        <w:t>s</w:t>
      </w:r>
      <w:r w:rsidRPr="00580561">
        <w:rPr>
          <w:lang w:val="en-US"/>
        </w:rPr>
        <w:t>iehe</w:t>
      </w:r>
      <w:proofErr w:type="spellEnd"/>
      <w:r w:rsidRPr="00580561">
        <w:rPr>
          <w:lang w:val="en-US"/>
        </w:rPr>
        <w:t xml:space="preserve"> </w:t>
      </w:r>
      <w:r w:rsidRPr="00B45592">
        <w:rPr>
          <w:i/>
          <w:iCs/>
          <w:lang w:val="en-US"/>
        </w:rPr>
        <w:t>Beaney</w:t>
      </w:r>
      <w:r w:rsidRPr="00580561">
        <w:rPr>
          <w:lang w:val="en-US"/>
        </w:rPr>
        <w:t xml:space="preserve">, The Constitutional Right to Privacy, 1962 Sup. Ct. Rev. 212; </w:t>
      </w:r>
      <w:r w:rsidRPr="00B45592">
        <w:rPr>
          <w:i/>
          <w:lang w:val="en-US"/>
        </w:rPr>
        <w:t>Griswold</w:t>
      </w:r>
      <w:r w:rsidRPr="00580561">
        <w:rPr>
          <w:lang w:val="en-US"/>
        </w:rPr>
        <w:t>, The Right to be Let Alone, 55 Nw. U. L. Rev. 216 (1960)</w:t>
      </w:r>
      <w:r>
        <w:rPr>
          <w:lang w:val="en-US"/>
        </w:rPr>
        <w:t xml:space="preserve">; </w:t>
      </w:r>
      <w:r w:rsidRPr="009167A5">
        <w:rPr>
          <w:i/>
          <w:lang w:val="en-US"/>
        </w:rPr>
        <w:t>Griswold v. Connecticut</w:t>
      </w:r>
      <w:r w:rsidRPr="00580561">
        <w:rPr>
          <w:lang w:val="en-US"/>
        </w:rPr>
        <w:t>, 381 U.S. 479, 485</w:t>
      </w:r>
      <w:r w:rsidRPr="006E67FE">
        <w:rPr>
          <w:lang w:val="en-US"/>
        </w:rPr>
        <w:t xml:space="preserve"> = 85 S. Ct. </w:t>
      </w:r>
      <w:r w:rsidRPr="00580561">
        <w:rPr>
          <w:lang w:val="en-US"/>
        </w:rPr>
        <w:t>1678, 1682</w:t>
      </w:r>
      <w:r w:rsidRPr="003B741A">
        <w:rPr>
          <w:lang w:val="en-US"/>
        </w:rPr>
        <w:t xml:space="preserve"> = 14 L. Ed. </w:t>
      </w:r>
      <w:r w:rsidRPr="00580561">
        <w:rPr>
          <w:lang w:val="en-US"/>
        </w:rPr>
        <w:t>2d 510, 515</w:t>
      </w:r>
      <w:r w:rsidRPr="006E67FE">
        <w:rPr>
          <w:lang w:val="en-US"/>
        </w:rPr>
        <w:t xml:space="preserve"> = 1965 U.S. LEXIS </w:t>
      </w:r>
      <w:r w:rsidRPr="00580561">
        <w:rPr>
          <w:lang w:val="en-US"/>
        </w:rPr>
        <w:t>2282, 10 (1965)</w:t>
      </w:r>
      <w:r>
        <w:rPr>
          <w:lang w:val="en-US"/>
        </w:rPr>
        <w:t>.</w:t>
      </w:r>
    </w:p>
  </w:footnote>
  <w:footnote w:id="1256">
    <w:p w14:paraId="5DC06E38" w14:textId="77777777" w:rsidR="00074551" w:rsidRPr="001C67DF" w:rsidRDefault="00074551" w:rsidP="00074551">
      <w:pPr>
        <w:pStyle w:val="Funotentext"/>
        <w:rPr>
          <w:lang w:val="en-US"/>
        </w:rPr>
      </w:pPr>
      <w:r>
        <w:rPr>
          <w:rStyle w:val="Funotenzeichen"/>
          <w:rFonts w:eastAsiaTheme="majorEastAsia"/>
        </w:rPr>
        <w:footnoteRef/>
      </w:r>
      <w:r w:rsidRPr="001C67DF">
        <w:rPr>
          <w:lang w:val="en-US"/>
        </w:rPr>
        <w:t xml:space="preserve"> </w:t>
      </w:r>
      <w:r w:rsidRPr="00B45592">
        <w:rPr>
          <w:i/>
          <w:lang w:val="en-US"/>
        </w:rPr>
        <w:t>Boyd v. United States</w:t>
      </w:r>
      <w:r w:rsidRPr="001C67DF">
        <w:rPr>
          <w:lang w:val="en-US"/>
        </w:rPr>
        <w:t>, 116 U.S. 616, 630</w:t>
      </w:r>
      <w:r>
        <w:rPr>
          <w:lang w:val="en-US"/>
        </w:rPr>
        <w:t xml:space="preserve"> (1886).</w:t>
      </w:r>
    </w:p>
  </w:footnote>
  <w:footnote w:id="1257">
    <w:p w14:paraId="3A514F88" w14:textId="77777777" w:rsidR="00074551" w:rsidRPr="00580561" w:rsidRDefault="00074551" w:rsidP="00074551">
      <w:pPr>
        <w:pStyle w:val="Funotentext"/>
        <w:rPr>
          <w:lang w:val="en-US"/>
        </w:rPr>
      </w:pPr>
      <w:r>
        <w:rPr>
          <w:rStyle w:val="Funotenzeichen"/>
          <w:rFonts w:eastAsiaTheme="majorEastAsia"/>
        </w:rPr>
        <w:footnoteRef/>
      </w:r>
      <w:r w:rsidRPr="00B45592">
        <w:rPr>
          <w:lang w:val="en-IE"/>
        </w:rPr>
        <w:t xml:space="preserve"> Dazu der </w:t>
      </w:r>
      <w:r>
        <w:rPr>
          <w:lang w:val="en-IE"/>
        </w:rPr>
        <w:t>U.S. Supreme Court</w:t>
      </w:r>
      <w:r w:rsidRPr="00B45592">
        <w:rPr>
          <w:lang w:val="en-IE"/>
        </w:rPr>
        <w:t xml:space="preserve"> </w:t>
      </w:r>
      <w:proofErr w:type="spellStart"/>
      <w:r w:rsidRPr="00B45592">
        <w:rPr>
          <w:lang w:val="en-IE"/>
        </w:rPr>
        <w:t>zum</w:t>
      </w:r>
      <w:proofErr w:type="spellEnd"/>
      <w:r w:rsidRPr="00B45592">
        <w:rPr>
          <w:lang w:val="en-IE"/>
        </w:rPr>
        <w:t xml:space="preserve"> sog. </w:t>
      </w:r>
      <w:r>
        <w:rPr>
          <w:i/>
          <w:iCs/>
          <w:lang w:val="en-US"/>
        </w:rPr>
        <w:t>r</w:t>
      </w:r>
      <w:r w:rsidRPr="00B45592">
        <w:rPr>
          <w:i/>
          <w:iCs/>
          <w:lang w:val="en-US"/>
        </w:rPr>
        <w:t>ight of privacy</w:t>
      </w:r>
      <w:r>
        <w:rPr>
          <w:lang w:val="en-US"/>
        </w:rPr>
        <w:t xml:space="preserve"> </w:t>
      </w:r>
      <w:proofErr w:type="spellStart"/>
      <w:r>
        <w:rPr>
          <w:lang w:val="en-US"/>
        </w:rPr>
        <w:t>ausführlich</w:t>
      </w:r>
      <w:proofErr w:type="spellEnd"/>
      <w:r>
        <w:rPr>
          <w:lang w:val="en-US"/>
        </w:rPr>
        <w:t>: „</w:t>
      </w:r>
      <w:r w:rsidRPr="00580561">
        <w:rPr>
          <w:lang w:val="en-US"/>
        </w:rPr>
        <w:t xml:space="preserve">The principles laid down in this opinion [by Lord Camden in </w:t>
      </w:r>
      <w:r w:rsidRPr="00B45592">
        <w:rPr>
          <w:i/>
          <w:lang w:val="en-US"/>
        </w:rPr>
        <w:t>Entick v. Carrington</w:t>
      </w:r>
      <w:r w:rsidRPr="00580561">
        <w:rPr>
          <w:lang w:val="en-US"/>
        </w:rPr>
        <w:t>, 19 How. St. Tr. 1029] affect the very essence of constitutional liberty and security. They reach farther than the concrete form of the case then before the court, with its adventitious circumstances; they apply to all invasions on the part of the government and its employes of the sanctity of a man</w:t>
      </w:r>
      <w:r>
        <w:rPr>
          <w:lang w:val="en-US"/>
        </w:rPr>
        <w:t>’</w:t>
      </w:r>
      <w:r w:rsidRPr="00580561">
        <w:rPr>
          <w:lang w:val="en-US"/>
        </w:rPr>
        <w:t xml:space="preserve">s home and the privacies of life. It is not the breaking of his doors, and the rummaging of his drawers, that constitutes the essence of the offence; but it is the invasion of his indefeasible right of personal security, personal liberty and private property, where that right has never been forfeited by his conviction of some public offence, </w:t>
      </w:r>
      <w:r>
        <w:rPr>
          <w:lang w:val="en-US"/>
        </w:rPr>
        <w:t>–</w:t>
      </w:r>
      <w:r w:rsidRPr="00580561">
        <w:rPr>
          <w:lang w:val="en-US"/>
        </w:rPr>
        <w:t xml:space="preserve"> it is the invasion of this sacred right which underlies and constitutes the essence of Lord Camden</w:t>
      </w:r>
      <w:r>
        <w:rPr>
          <w:lang w:val="en-US"/>
        </w:rPr>
        <w:t>’</w:t>
      </w:r>
      <w:r w:rsidRPr="00580561">
        <w:rPr>
          <w:lang w:val="en-US"/>
        </w:rPr>
        <w:t>s judgment. Breaking into a house and opening boxes and drawers are circumstances of aggravation; but any forcible and compulsory extortion of a man</w:t>
      </w:r>
      <w:r>
        <w:rPr>
          <w:lang w:val="en-US"/>
        </w:rPr>
        <w:t>’</w:t>
      </w:r>
      <w:r w:rsidRPr="00580561">
        <w:rPr>
          <w:lang w:val="en-US"/>
        </w:rPr>
        <w:t xml:space="preserve">s own testimony or of his private papers to be used as evidence to convict him of crime or to forfeit his goods, is within the condemnation of that judgment. In this regard the Fourth and Fifth Amendments run almost into each </w:t>
      </w:r>
      <w:proofErr w:type="gramStart"/>
      <w:r w:rsidRPr="00580561">
        <w:rPr>
          <w:lang w:val="en-US"/>
        </w:rPr>
        <w:t>other.</w:t>
      </w:r>
      <w:r>
        <w:rPr>
          <w:lang w:val="en-US"/>
        </w:rPr>
        <w:t>“</w:t>
      </w:r>
      <w:proofErr w:type="gramEnd"/>
      <w:r>
        <w:rPr>
          <w:lang w:val="en-US"/>
        </w:rPr>
        <w:t xml:space="preserve">, </w:t>
      </w:r>
      <w:r w:rsidRPr="00B45592">
        <w:rPr>
          <w:i/>
          <w:lang w:val="en-US"/>
        </w:rPr>
        <w:t>Boyd v. United States</w:t>
      </w:r>
      <w:r w:rsidRPr="001C67DF">
        <w:rPr>
          <w:lang w:val="en-US"/>
        </w:rPr>
        <w:t>, 116 U.S. 616, 630</w:t>
      </w:r>
      <w:r>
        <w:rPr>
          <w:lang w:val="en-US"/>
        </w:rPr>
        <w:t xml:space="preserve"> (1886).</w:t>
      </w:r>
    </w:p>
  </w:footnote>
  <w:footnote w:id="1258">
    <w:p w14:paraId="5C64F18A" w14:textId="77777777" w:rsidR="00074551" w:rsidRPr="00023AD5" w:rsidRDefault="00074551" w:rsidP="00074551">
      <w:pPr>
        <w:pStyle w:val="Funotentext"/>
        <w:rPr>
          <w:lang w:val="en-US"/>
        </w:rPr>
      </w:pPr>
      <w:r>
        <w:rPr>
          <w:rStyle w:val="Funotenzeichen"/>
          <w:rFonts w:eastAsiaTheme="majorEastAsia"/>
        </w:rPr>
        <w:footnoteRef/>
      </w:r>
      <w:r w:rsidRPr="00023AD5">
        <w:rPr>
          <w:lang w:val="en-US"/>
        </w:rPr>
        <w:t xml:space="preserve"> </w:t>
      </w:r>
      <w:r w:rsidRPr="009167A5">
        <w:rPr>
          <w:i/>
          <w:lang w:val="en-US"/>
        </w:rPr>
        <w:t>Griswold v. Connecticut</w:t>
      </w:r>
      <w:r w:rsidRPr="00023AD5">
        <w:rPr>
          <w:lang w:val="en-US"/>
        </w:rPr>
        <w:t>, 381 U.S. 479</w:t>
      </w:r>
      <w:r w:rsidRPr="006E67FE">
        <w:rPr>
          <w:lang w:val="en-US"/>
        </w:rPr>
        <w:t xml:space="preserve"> = 85 S. Ct. </w:t>
      </w:r>
      <w:r w:rsidRPr="00023AD5">
        <w:rPr>
          <w:lang w:val="en-US"/>
        </w:rPr>
        <w:t>1678</w:t>
      </w:r>
      <w:r w:rsidRPr="003B741A">
        <w:rPr>
          <w:lang w:val="en-US"/>
        </w:rPr>
        <w:t xml:space="preserve"> = 14 L. Ed. </w:t>
      </w:r>
      <w:r w:rsidRPr="00023AD5">
        <w:rPr>
          <w:lang w:val="en-US"/>
        </w:rPr>
        <w:t>2d 510</w:t>
      </w:r>
      <w:r w:rsidRPr="006E67FE">
        <w:rPr>
          <w:lang w:val="en-US"/>
        </w:rPr>
        <w:t xml:space="preserve"> = 1965 U.S. LEXIS </w:t>
      </w:r>
      <w:r w:rsidRPr="00023AD5">
        <w:rPr>
          <w:lang w:val="en-US"/>
        </w:rPr>
        <w:t>2282 (1965)</w:t>
      </w:r>
      <w:r>
        <w:rPr>
          <w:lang w:val="en-US"/>
        </w:rPr>
        <w:t>.</w:t>
      </w:r>
    </w:p>
  </w:footnote>
  <w:footnote w:id="1259">
    <w:p w14:paraId="279332DF" w14:textId="77777777" w:rsidR="00074551" w:rsidRPr="00695684" w:rsidRDefault="00074551" w:rsidP="00074551">
      <w:pPr>
        <w:pStyle w:val="Funotentext"/>
        <w:rPr>
          <w:lang w:val="en-US"/>
        </w:rPr>
      </w:pPr>
      <w:r>
        <w:rPr>
          <w:rStyle w:val="Funotenzeichen"/>
          <w:rFonts w:eastAsiaTheme="majorEastAsia"/>
        </w:rPr>
        <w:footnoteRef/>
      </w:r>
      <w:r w:rsidRPr="00695684">
        <w:rPr>
          <w:lang w:val="en-US"/>
        </w:rPr>
        <w:t xml:space="preserve"> </w:t>
      </w:r>
      <w:r w:rsidRPr="009167A5">
        <w:rPr>
          <w:i/>
          <w:lang w:val="en-US"/>
        </w:rPr>
        <w:t>Griswold v. Connecticut</w:t>
      </w:r>
      <w:r w:rsidRPr="00695684">
        <w:rPr>
          <w:lang w:val="en-US"/>
        </w:rPr>
        <w:t>, 381 U.S. 479, 484</w:t>
      </w:r>
      <w:r w:rsidRPr="006E67FE">
        <w:rPr>
          <w:lang w:val="en-US"/>
        </w:rPr>
        <w:t xml:space="preserve"> = 85 S. Ct. </w:t>
      </w:r>
      <w:r w:rsidRPr="00695684">
        <w:rPr>
          <w:lang w:val="en-US"/>
        </w:rPr>
        <w:t>1678, 1681</w:t>
      </w:r>
      <w:r w:rsidRPr="003B741A">
        <w:rPr>
          <w:lang w:val="en-US"/>
        </w:rPr>
        <w:t xml:space="preserve"> = 14 L. Ed. </w:t>
      </w:r>
      <w:r w:rsidRPr="00695684">
        <w:rPr>
          <w:lang w:val="en-US"/>
        </w:rPr>
        <w:t>2d 510, 515</w:t>
      </w:r>
      <w:r w:rsidRPr="006E67FE">
        <w:rPr>
          <w:lang w:val="en-US"/>
        </w:rPr>
        <w:t xml:space="preserve"> = 1965 U.S. LEXIS </w:t>
      </w:r>
      <w:r w:rsidRPr="00695684">
        <w:rPr>
          <w:lang w:val="en-US"/>
        </w:rPr>
        <w:t>2282, 10 (1965)</w:t>
      </w:r>
      <w:r>
        <w:rPr>
          <w:lang w:val="en-US"/>
        </w:rPr>
        <w:t>.</w:t>
      </w:r>
    </w:p>
  </w:footnote>
  <w:footnote w:id="1260">
    <w:p w14:paraId="55135287" w14:textId="77777777" w:rsidR="00074551" w:rsidRPr="00F531A9" w:rsidRDefault="00074551" w:rsidP="00074551">
      <w:pPr>
        <w:pStyle w:val="Funotentext"/>
        <w:rPr>
          <w:lang w:val="en-US"/>
        </w:rPr>
      </w:pPr>
      <w:r>
        <w:rPr>
          <w:rStyle w:val="Funotenzeichen"/>
          <w:rFonts w:eastAsiaTheme="majorEastAsia"/>
        </w:rPr>
        <w:footnoteRef/>
      </w:r>
      <w:r w:rsidRPr="009C0F63">
        <w:rPr>
          <w:i/>
          <w:lang w:val="en-IE"/>
        </w:rPr>
        <w:t xml:space="preserve"> </w:t>
      </w:r>
      <w:r w:rsidRPr="007120F7">
        <w:rPr>
          <w:i/>
          <w:lang w:val="en-IE"/>
        </w:rPr>
        <w:t>Griswold v. Connecticut</w:t>
      </w:r>
      <w:r w:rsidRPr="007120F7">
        <w:rPr>
          <w:lang w:val="en-IE"/>
        </w:rPr>
        <w:t>, 381 U.S. 479, 484</w:t>
      </w:r>
      <w:r w:rsidRPr="007120F7">
        <w:rPr>
          <w:rFonts w:eastAsiaTheme="majorEastAsia"/>
          <w:lang w:val="en-IE"/>
        </w:rPr>
        <w:t xml:space="preserve"> =</w:t>
      </w:r>
      <w:r w:rsidRPr="007120F7">
        <w:rPr>
          <w:lang w:val="en-IE"/>
        </w:rPr>
        <w:t xml:space="preserve"> 85 S. Ct. 1678, 1681</w:t>
      </w:r>
      <w:r w:rsidRPr="007120F7">
        <w:rPr>
          <w:rFonts w:eastAsiaTheme="majorEastAsia"/>
          <w:lang w:val="en-IE"/>
        </w:rPr>
        <w:t xml:space="preserve"> =</w:t>
      </w:r>
      <w:r w:rsidRPr="007120F7">
        <w:rPr>
          <w:lang w:val="en-IE"/>
        </w:rPr>
        <w:t xml:space="preserve"> 14 L. Ed. 2d 510, 514</w:t>
      </w:r>
      <w:r w:rsidRPr="007120F7">
        <w:rPr>
          <w:rFonts w:eastAsiaTheme="majorEastAsia"/>
          <w:lang w:val="en-IE"/>
        </w:rPr>
        <w:t xml:space="preserve"> =</w:t>
      </w:r>
      <w:r w:rsidRPr="007120F7">
        <w:rPr>
          <w:lang w:val="en-IE"/>
        </w:rPr>
        <w:t xml:space="preserve"> 1965 U.S. LEXIS 2282, 9 (1965)</w:t>
      </w:r>
      <w:r>
        <w:rPr>
          <w:lang w:val="en-IE"/>
        </w:rPr>
        <w:t>.</w:t>
      </w:r>
    </w:p>
  </w:footnote>
  <w:footnote w:id="1261">
    <w:p w14:paraId="6151E3C0" w14:textId="77777777" w:rsidR="00074551" w:rsidRPr="00F531A9" w:rsidRDefault="00074551" w:rsidP="00074551">
      <w:pPr>
        <w:pStyle w:val="Funotentext"/>
        <w:rPr>
          <w:lang w:val="en-US"/>
        </w:rPr>
      </w:pPr>
      <w:r>
        <w:rPr>
          <w:rStyle w:val="Funotenzeichen"/>
          <w:rFonts w:eastAsiaTheme="majorEastAsia"/>
        </w:rPr>
        <w:footnoteRef/>
      </w:r>
      <w:r w:rsidRPr="00F531A9">
        <w:rPr>
          <w:lang w:val="en-US"/>
        </w:rPr>
        <w:t xml:space="preserve"> </w:t>
      </w:r>
      <w:r w:rsidRPr="007120F7">
        <w:rPr>
          <w:i/>
          <w:lang w:val="en-IE"/>
        </w:rPr>
        <w:t>Griswold v. Connecticut</w:t>
      </w:r>
      <w:r w:rsidRPr="007120F7">
        <w:rPr>
          <w:lang w:val="en-IE"/>
        </w:rPr>
        <w:t>, 381 U.S. 479, 484</w:t>
      </w:r>
      <w:r w:rsidRPr="007120F7">
        <w:rPr>
          <w:rFonts w:eastAsiaTheme="majorEastAsia"/>
          <w:lang w:val="en-IE"/>
        </w:rPr>
        <w:t xml:space="preserve"> =</w:t>
      </w:r>
      <w:r w:rsidRPr="007120F7">
        <w:rPr>
          <w:lang w:val="en-IE"/>
        </w:rPr>
        <w:t xml:space="preserve"> 85 S. Ct. 1678, 1681</w:t>
      </w:r>
      <w:r w:rsidRPr="007120F7">
        <w:rPr>
          <w:rFonts w:eastAsiaTheme="majorEastAsia"/>
          <w:lang w:val="en-IE"/>
        </w:rPr>
        <w:t xml:space="preserve"> =</w:t>
      </w:r>
      <w:r w:rsidRPr="007120F7">
        <w:rPr>
          <w:lang w:val="en-IE"/>
        </w:rPr>
        <w:t xml:space="preserve"> 14 L. Ed. 2d 510, 514</w:t>
      </w:r>
      <w:r w:rsidRPr="007120F7">
        <w:rPr>
          <w:rFonts w:eastAsiaTheme="majorEastAsia"/>
          <w:lang w:val="en-IE"/>
        </w:rPr>
        <w:t>–</w:t>
      </w:r>
      <w:r w:rsidRPr="007120F7">
        <w:rPr>
          <w:lang w:val="en-IE"/>
        </w:rPr>
        <w:t>515</w:t>
      </w:r>
      <w:r w:rsidRPr="007120F7">
        <w:rPr>
          <w:rFonts w:eastAsiaTheme="majorEastAsia"/>
          <w:lang w:val="en-IE"/>
        </w:rPr>
        <w:t xml:space="preserve"> =</w:t>
      </w:r>
      <w:r w:rsidRPr="007120F7">
        <w:rPr>
          <w:lang w:val="en-IE"/>
        </w:rPr>
        <w:t xml:space="preserve"> 1965 U.S. LEXIS 2282, 9</w:t>
      </w:r>
      <w:r w:rsidRPr="007120F7">
        <w:rPr>
          <w:rFonts w:eastAsiaTheme="majorEastAsia"/>
          <w:lang w:val="en-IE"/>
        </w:rPr>
        <w:t>–</w:t>
      </w:r>
      <w:r w:rsidRPr="007120F7">
        <w:rPr>
          <w:lang w:val="en-IE"/>
        </w:rPr>
        <w:t>10 (1965)</w:t>
      </w:r>
      <w:r>
        <w:rPr>
          <w:lang w:val="en-IE"/>
        </w:rPr>
        <w:t>.</w:t>
      </w:r>
    </w:p>
  </w:footnote>
  <w:footnote w:id="1262">
    <w:p w14:paraId="1D9B2D5F" w14:textId="77777777" w:rsidR="00074551" w:rsidRPr="00053AFD" w:rsidRDefault="00074551" w:rsidP="00074551">
      <w:pPr>
        <w:pStyle w:val="Funotentext"/>
        <w:rPr>
          <w:lang w:val="en-US"/>
        </w:rPr>
      </w:pPr>
      <w:r>
        <w:rPr>
          <w:rStyle w:val="Funotenzeichen"/>
          <w:rFonts w:eastAsiaTheme="majorEastAsia"/>
        </w:rPr>
        <w:footnoteRef/>
      </w:r>
      <w:r w:rsidRPr="00053AFD">
        <w:rPr>
          <w:lang w:val="en-US"/>
        </w:rPr>
        <w:t xml:space="preserve"> </w:t>
      </w:r>
      <w:r w:rsidRPr="009167A5">
        <w:rPr>
          <w:i/>
          <w:lang w:val="en-US"/>
        </w:rPr>
        <w:t>Griswold v. Connecticut</w:t>
      </w:r>
      <w:r w:rsidRPr="00053AFD">
        <w:rPr>
          <w:lang w:val="en-US"/>
        </w:rPr>
        <w:t>, 381 U.S. 479, 480</w:t>
      </w:r>
      <w:r w:rsidRPr="006E67FE">
        <w:rPr>
          <w:lang w:val="en-US"/>
        </w:rPr>
        <w:t xml:space="preserve"> = 85 S. Ct. </w:t>
      </w:r>
      <w:r w:rsidRPr="00053AFD">
        <w:rPr>
          <w:lang w:val="en-US"/>
        </w:rPr>
        <w:t>1678, 1679</w:t>
      </w:r>
      <w:r w:rsidRPr="003B741A">
        <w:rPr>
          <w:lang w:val="en-US"/>
        </w:rPr>
        <w:t xml:space="preserve"> = 14 L. Ed. </w:t>
      </w:r>
      <w:r w:rsidRPr="00053AFD">
        <w:rPr>
          <w:lang w:val="en-US"/>
        </w:rPr>
        <w:t>2d 510, 512</w:t>
      </w:r>
      <w:r w:rsidRPr="006E67FE">
        <w:rPr>
          <w:lang w:val="en-US"/>
        </w:rPr>
        <w:t xml:space="preserve"> = 1965 U.S. LEXIS </w:t>
      </w:r>
      <w:r w:rsidRPr="00053AFD">
        <w:rPr>
          <w:lang w:val="en-US"/>
        </w:rPr>
        <w:t>2282, 1 (1965)</w:t>
      </w:r>
      <w:r>
        <w:rPr>
          <w:lang w:val="en-US"/>
        </w:rPr>
        <w:t>.</w:t>
      </w:r>
    </w:p>
  </w:footnote>
  <w:footnote w:id="1263">
    <w:p w14:paraId="65284936" w14:textId="77777777" w:rsidR="00074551" w:rsidRPr="00330154" w:rsidRDefault="00074551" w:rsidP="00074551">
      <w:pPr>
        <w:pStyle w:val="Funotentext"/>
        <w:rPr>
          <w:lang w:val="en-US"/>
        </w:rPr>
      </w:pPr>
      <w:r>
        <w:rPr>
          <w:rStyle w:val="Funotenzeichen"/>
          <w:rFonts w:eastAsiaTheme="majorEastAsia"/>
        </w:rPr>
        <w:footnoteRef/>
      </w:r>
      <w:r w:rsidRPr="00330154">
        <w:rPr>
          <w:lang w:val="en-US"/>
        </w:rPr>
        <w:t xml:space="preserve"> </w:t>
      </w:r>
      <w:r w:rsidRPr="009167A5">
        <w:rPr>
          <w:i/>
          <w:lang w:val="en-IE"/>
        </w:rPr>
        <w:t>Griswold v. Connecticut</w:t>
      </w:r>
      <w:r w:rsidRPr="00B45592">
        <w:rPr>
          <w:lang w:val="en-IE"/>
        </w:rPr>
        <w:t>, 381 U.S. 479, 494</w:t>
      </w:r>
      <w:r w:rsidRPr="006E67FE">
        <w:rPr>
          <w:lang w:val="en-IE"/>
        </w:rPr>
        <w:t xml:space="preserve"> = 85 S. Ct. </w:t>
      </w:r>
      <w:r w:rsidRPr="00B45592">
        <w:rPr>
          <w:lang w:val="en-IE"/>
        </w:rPr>
        <w:t>1678, 1687</w:t>
      </w:r>
      <w:r w:rsidRPr="003B741A">
        <w:rPr>
          <w:lang w:val="en-IE"/>
        </w:rPr>
        <w:t xml:space="preserve"> = 14 L. Ed. </w:t>
      </w:r>
      <w:r w:rsidRPr="00B45592">
        <w:rPr>
          <w:lang w:val="en-IE"/>
        </w:rPr>
        <w:t>2d 510, 521</w:t>
      </w:r>
      <w:r w:rsidRPr="006E67FE">
        <w:rPr>
          <w:lang w:val="en-IE"/>
        </w:rPr>
        <w:t xml:space="preserve"> = 1965 U.S. LEXIS </w:t>
      </w:r>
      <w:r w:rsidRPr="00B45592">
        <w:rPr>
          <w:lang w:val="en-IE"/>
        </w:rPr>
        <w:t>2282, 25 (1965)</w:t>
      </w:r>
      <w:r>
        <w:rPr>
          <w:lang w:val="en-US"/>
        </w:rPr>
        <w:t>.</w:t>
      </w:r>
    </w:p>
  </w:footnote>
  <w:footnote w:id="1264">
    <w:p w14:paraId="558D8331" w14:textId="77777777" w:rsidR="00074551" w:rsidRPr="00BC5D9E" w:rsidRDefault="00074551" w:rsidP="00074551">
      <w:pPr>
        <w:pStyle w:val="Funotentext"/>
        <w:ind w:left="227" w:hanging="227"/>
        <w:rPr>
          <w:lang w:val="en-US"/>
        </w:rPr>
      </w:pPr>
      <w:r>
        <w:rPr>
          <w:rStyle w:val="Funotenzeichen"/>
          <w:rFonts w:eastAsiaTheme="majorEastAsia"/>
        </w:rPr>
        <w:footnoteRef/>
      </w:r>
      <w:r w:rsidRPr="00BC5D9E">
        <w:rPr>
          <w:lang w:val="en-US"/>
        </w:rPr>
        <w:t xml:space="preserve"> </w:t>
      </w:r>
      <w:r w:rsidRPr="009167A5">
        <w:rPr>
          <w:i/>
          <w:lang w:val="en-US"/>
        </w:rPr>
        <w:t>Griswold v. Connecticut</w:t>
      </w:r>
      <w:r w:rsidRPr="00BC5D9E">
        <w:rPr>
          <w:lang w:val="en-US"/>
        </w:rPr>
        <w:t>, 381 U.S. 479, 485</w:t>
      </w:r>
      <w:r w:rsidRPr="006E67FE">
        <w:rPr>
          <w:lang w:val="en-US"/>
        </w:rPr>
        <w:t xml:space="preserve"> = 85 S. Ct. </w:t>
      </w:r>
      <w:r w:rsidRPr="00BC5D9E">
        <w:rPr>
          <w:lang w:val="en-US"/>
        </w:rPr>
        <w:t>1678, 1682</w:t>
      </w:r>
      <w:r w:rsidRPr="003B741A">
        <w:rPr>
          <w:lang w:val="en-US"/>
        </w:rPr>
        <w:t xml:space="preserve"> = 14 L. Ed. </w:t>
      </w:r>
      <w:r w:rsidRPr="00BC5D9E">
        <w:rPr>
          <w:lang w:val="en-US"/>
        </w:rPr>
        <w:t>2d 510, 515</w:t>
      </w:r>
      <w:r w:rsidRPr="006E67FE">
        <w:rPr>
          <w:lang w:val="en-US"/>
        </w:rPr>
        <w:t xml:space="preserve"> = 1965 U.S. LEXIS </w:t>
      </w:r>
      <w:r w:rsidRPr="00BC5D9E">
        <w:rPr>
          <w:lang w:val="en-US"/>
        </w:rPr>
        <w:t>2282, 11 (1965)</w:t>
      </w:r>
      <w:r>
        <w:rPr>
          <w:lang w:val="en-US"/>
        </w:rPr>
        <w:t>.</w:t>
      </w:r>
    </w:p>
  </w:footnote>
  <w:footnote w:id="1265">
    <w:p w14:paraId="30EEE231" w14:textId="77777777" w:rsidR="00074551" w:rsidRPr="00330154" w:rsidRDefault="00074551" w:rsidP="00074551">
      <w:pPr>
        <w:pStyle w:val="Funotentext"/>
        <w:rPr>
          <w:lang w:val="en-US"/>
        </w:rPr>
      </w:pPr>
      <w:r>
        <w:rPr>
          <w:rStyle w:val="Funotenzeichen"/>
          <w:rFonts w:eastAsiaTheme="majorEastAsia"/>
        </w:rPr>
        <w:footnoteRef/>
      </w:r>
      <w:r w:rsidRPr="00330154">
        <w:rPr>
          <w:lang w:val="en-US"/>
        </w:rPr>
        <w:t xml:space="preserve"> </w:t>
      </w:r>
      <w:r w:rsidRPr="009167A5">
        <w:rPr>
          <w:i/>
          <w:lang w:val="en-IE"/>
        </w:rPr>
        <w:t>Griswold v. Connecticut</w:t>
      </w:r>
      <w:r w:rsidRPr="00B45592">
        <w:rPr>
          <w:lang w:val="en-IE"/>
        </w:rPr>
        <w:t>, 381 U.S. 479, 480</w:t>
      </w:r>
      <w:r w:rsidRPr="006E67FE">
        <w:rPr>
          <w:lang w:val="en-IE"/>
        </w:rPr>
        <w:t xml:space="preserve"> = 85 S. Ct. </w:t>
      </w:r>
      <w:r w:rsidRPr="00B45592">
        <w:rPr>
          <w:lang w:val="en-IE"/>
        </w:rPr>
        <w:t>1678, 1679</w:t>
      </w:r>
      <w:r w:rsidRPr="003B741A">
        <w:rPr>
          <w:lang w:val="en-IE"/>
        </w:rPr>
        <w:t xml:space="preserve"> = 14 L. Ed. </w:t>
      </w:r>
      <w:r w:rsidRPr="00B45592">
        <w:rPr>
          <w:lang w:val="en-IE"/>
        </w:rPr>
        <w:t>2d 510, 512</w:t>
      </w:r>
      <w:r w:rsidRPr="006E67FE">
        <w:rPr>
          <w:lang w:val="en-IE"/>
        </w:rPr>
        <w:t xml:space="preserve"> = 1965 U.S. LEXIS </w:t>
      </w:r>
      <w:r w:rsidRPr="00B45592">
        <w:rPr>
          <w:lang w:val="en-IE"/>
        </w:rPr>
        <w:t>2282, 1 (1965)</w:t>
      </w:r>
      <w:r>
        <w:rPr>
          <w:lang w:val="en-US"/>
        </w:rPr>
        <w:t>.</w:t>
      </w:r>
    </w:p>
  </w:footnote>
  <w:footnote w:id="1266">
    <w:p w14:paraId="57684126" w14:textId="77777777" w:rsidR="00074551" w:rsidRPr="00553202" w:rsidRDefault="00074551" w:rsidP="00074551">
      <w:pPr>
        <w:pStyle w:val="Funotentext"/>
        <w:rPr>
          <w:lang w:val="en-US"/>
        </w:rPr>
      </w:pPr>
      <w:r>
        <w:rPr>
          <w:rStyle w:val="Funotenzeichen"/>
          <w:rFonts w:eastAsiaTheme="majorEastAsia"/>
        </w:rPr>
        <w:footnoteRef/>
      </w:r>
      <w:r w:rsidRPr="00553202">
        <w:rPr>
          <w:lang w:val="en-US"/>
        </w:rPr>
        <w:t xml:space="preserve"> </w:t>
      </w:r>
      <w:r w:rsidRPr="009167A5">
        <w:rPr>
          <w:i/>
          <w:lang w:val="en-IE"/>
        </w:rPr>
        <w:t>Griswold v. Connecticut</w:t>
      </w:r>
      <w:r w:rsidRPr="00B45592">
        <w:rPr>
          <w:lang w:val="en-IE"/>
        </w:rPr>
        <w:t>, 381 U.S. 479, 482</w:t>
      </w:r>
      <w:r w:rsidRPr="006E67FE">
        <w:rPr>
          <w:lang w:val="en-IE"/>
        </w:rPr>
        <w:t xml:space="preserve"> = 85 S. Ct. </w:t>
      </w:r>
      <w:r w:rsidRPr="00B45592">
        <w:rPr>
          <w:lang w:val="en-IE"/>
        </w:rPr>
        <w:t>1678, 1680</w:t>
      </w:r>
      <w:r w:rsidRPr="003B741A">
        <w:rPr>
          <w:lang w:val="en-IE"/>
        </w:rPr>
        <w:t xml:space="preserve"> = 14 L. Ed. </w:t>
      </w:r>
      <w:r w:rsidRPr="00B45592">
        <w:rPr>
          <w:lang w:val="en-IE"/>
        </w:rPr>
        <w:t>2d 510, 513</w:t>
      </w:r>
      <w:r w:rsidRPr="006E67FE">
        <w:rPr>
          <w:lang w:val="en-IE"/>
        </w:rPr>
        <w:t xml:space="preserve"> = 1965 U.S. LEXIS </w:t>
      </w:r>
      <w:r w:rsidRPr="00B45592">
        <w:rPr>
          <w:lang w:val="en-IE"/>
        </w:rPr>
        <w:t>2282, 6 (1965)</w:t>
      </w:r>
      <w:r>
        <w:rPr>
          <w:lang w:val="en-US"/>
        </w:rPr>
        <w:t>.</w:t>
      </w:r>
    </w:p>
  </w:footnote>
  <w:footnote w:id="1267">
    <w:p w14:paraId="5598365B" w14:textId="6C7A0D70" w:rsidR="00074551" w:rsidRPr="006F4315" w:rsidRDefault="00074551" w:rsidP="00074551">
      <w:pPr>
        <w:pStyle w:val="Funotentext"/>
        <w:rPr>
          <w:lang w:val="en-US"/>
        </w:rPr>
      </w:pPr>
      <w:r w:rsidRPr="1739998D">
        <w:rPr>
          <w:rStyle w:val="Funotenzeichen"/>
          <w:rFonts w:eastAsiaTheme="majorEastAsia"/>
        </w:rPr>
        <w:footnoteRef/>
      </w:r>
      <w:r w:rsidR="1739998D" w:rsidRPr="00DF16B9">
        <w:rPr>
          <w:lang w:val="en-US"/>
        </w:rPr>
        <w:t xml:space="preserve"> </w:t>
      </w:r>
      <w:r w:rsidR="1739998D" w:rsidRPr="1739998D">
        <w:rPr>
          <w:i/>
          <w:iCs/>
          <w:color w:val="212121"/>
          <w:lang w:val="en-US"/>
        </w:rPr>
        <w:t xml:space="preserve">Griswold v. Connecticut, </w:t>
      </w:r>
      <w:r w:rsidR="1739998D" w:rsidRPr="1739998D">
        <w:rPr>
          <w:color w:val="212121"/>
          <w:lang w:val="en-US"/>
        </w:rPr>
        <w:t>381 U.S. 479, 498-499 = 85 S. Ct. 1678 = 14 L. Ed. 2d 510 = 1965 U.S. LEXIS 2282 (1965).</w:t>
      </w:r>
    </w:p>
  </w:footnote>
  <w:footnote w:id="1268">
    <w:p w14:paraId="4B6A1BF2" w14:textId="77777777" w:rsidR="00074551" w:rsidRPr="00053AFD" w:rsidRDefault="00074551" w:rsidP="00074551">
      <w:pPr>
        <w:pStyle w:val="Funotentext"/>
        <w:rPr>
          <w:lang w:val="en-US"/>
        </w:rPr>
      </w:pPr>
      <w:r>
        <w:rPr>
          <w:rStyle w:val="Funotenzeichen"/>
          <w:rFonts w:eastAsiaTheme="majorEastAsia"/>
        </w:rPr>
        <w:footnoteRef/>
      </w:r>
      <w:r w:rsidRPr="00053AFD">
        <w:rPr>
          <w:lang w:val="en-US"/>
        </w:rPr>
        <w:t xml:space="preserve"> </w:t>
      </w:r>
      <w:r w:rsidRPr="009167A5">
        <w:rPr>
          <w:i/>
          <w:lang w:val="en-US"/>
        </w:rPr>
        <w:t>Griswold v. Connecticut</w:t>
      </w:r>
      <w:r w:rsidRPr="00053AFD">
        <w:rPr>
          <w:lang w:val="en-US"/>
        </w:rPr>
        <w:t>, 381 U.S. 479, 480</w:t>
      </w:r>
      <w:r w:rsidRPr="006E67FE">
        <w:rPr>
          <w:lang w:val="en-US"/>
        </w:rPr>
        <w:t xml:space="preserve"> = 85 S. Ct. </w:t>
      </w:r>
      <w:r w:rsidRPr="00053AFD">
        <w:rPr>
          <w:lang w:val="en-US"/>
        </w:rPr>
        <w:t>1678, 1679</w:t>
      </w:r>
      <w:r w:rsidRPr="003B741A">
        <w:rPr>
          <w:lang w:val="en-US"/>
        </w:rPr>
        <w:t xml:space="preserve"> = 14 L. Ed. </w:t>
      </w:r>
      <w:r w:rsidRPr="00053AFD">
        <w:rPr>
          <w:lang w:val="en-US"/>
        </w:rPr>
        <w:t>2d 510, 512</w:t>
      </w:r>
      <w:r w:rsidRPr="006E67FE">
        <w:rPr>
          <w:lang w:val="en-US"/>
        </w:rPr>
        <w:t xml:space="preserve"> = 1965 U.S. LEXIS </w:t>
      </w:r>
      <w:r w:rsidRPr="00053AFD">
        <w:rPr>
          <w:lang w:val="en-US"/>
        </w:rPr>
        <w:t>2282, 1 (1965)</w:t>
      </w:r>
      <w:r>
        <w:rPr>
          <w:lang w:val="en-US"/>
        </w:rPr>
        <w:t>.</w:t>
      </w:r>
    </w:p>
  </w:footnote>
  <w:footnote w:id="1269">
    <w:p w14:paraId="40BEF96B" w14:textId="77777777" w:rsidR="00074551" w:rsidRPr="00370749" w:rsidRDefault="00074551" w:rsidP="00074551">
      <w:pPr>
        <w:pStyle w:val="Funotentext"/>
        <w:rPr>
          <w:lang w:val="en-US"/>
        </w:rPr>
      </w:pPr>
      <w:r>
        <w:rPr>
          <w:rStyle w:val="Funotenzeichen"/>
          <w:rFonts w:eastAsiaTheme="majorEastAsia"/>
        </w:rPr>
        <w:footnoteRef/>
      </w:r>
      <w:r w:rsidRPr="00370749">
        <w:rPr>
          <w:lang w:val="en-US"/>
        </w:rPr>
        <w:t xml:space="preserve"> </w:t>
      </w:r>
      <w:r w:rsidRPr="00F94158">
        <w:rPr>
          <w:lang w:val="en-US"/>
        </w:rPr>
        <w:t>https://constitution.congress.gov/constitution/</w:t>
      </w:r>
      <w:r>
        <w:rPr>
          <w:lang w:val="en-US"/>
        </w:rPr>
        <w:t xml:space="preserve"> (27.04.2026).</w:t>
      </w:r>
    </w:p>
  </w:footnote>
  <w:footnote w:id="1270">
    <w:p w14:paraId="797343ED" w14:textId="77777777" w:rsidR="00074551" w:rsidRPr="00370749" w:rsidRDefault="00074551" w:rsidP="00074551">
      <w:pPr>
        <w:pStyle w:val="Funotentext"/>
        <w:rPr>
          <w:lang w:val="en-US"/>
        </w:rPr>
      </w:pPr>
      <w:r>
        <w:rPr>
          <w:rStyle w:val="Funotenzeichen"/>
          <w:rFonts w:eastAsiaTheme="majorEastAsia"/>
        </w:rPr>
        <w:footnoteRef/>
      </w:r>
      <w:r w:rsidRPr="00370749">
        <w:rPr>
          <w:lang w:val="en-US"/>
        </w:rPr>
        <w:t xml:space="preserve"> </w:t>
      </w:r>
      <w:r w:rsidRPr="00F94158">
        <w:rPr>
          <w:lang w:val="en-US"/>
        </w:rPr>
        <w:t>https://constitution.congress.gov/constitution/</w:t>
      </w:r>
      <w:r>
        <w:rPr>
          <w:lang w:val="en-US"/>
        </w:rPr>
        <w:t xml:space="preserve"> (27.04.2026).</w:t>
      </w:r>
    </w:p>
  </w:footnote>
  <w:footnote w:id="1271">
    <w:p w14:paraId="5601D4EE" w14:textId="77777777" w:rsidR="00074551" w:rsidRPr="00B610B9" w:rsidRDefault="00074551" w:rsidP="00074551">
      <w:pPr>
        <w:pStyle w:val="Funotentext"/>
        <w:ind w:left="227" w:hanging="227"/>
        <w:rPr>
          <w:lang w:val="en-US"/>
        </w:rPr>
      </w:pPr>
      <w:r>
        <w:rPr>
          <w:rStyle w:val="Funotenzeichen"/>
          <w:rFonts w:eastAsiaTheme="majorEastAsia"/>
        </w:rPr>
        <w:footnoteRef/>
      </w:r>
      <w:r w:rsidRPr="00B610B9">
        <w:rPr>
          <w:lang w:val="en-US"/>
        </w:rPr>
        <w:t xml:space="preserve"> </w:t>
      </w:r>
      <w:r w:rsidRPr="00D83E4F">
        <w:rPr>
          <w:i/>
          <w:lang w:val="en-US"/>
        </w:rPr>
        <w:t>Rakas v. Illinois</w:t>
      </w:r>
      <w:r w:rsidRPr="00482D63">
        <w:rPr>
          <w:lang w:val="en-US"/>
        </w:rPr>
        <w:t>, 439 U.S. 128, 146</w:t>
      </w:r>
      <w:r>
        <w:rPr>
          <w:lang w:val="en-US"/>
        </w:rPr>
        <w:t xml:space="preserve"> = 99 S. Ct. </w:t>
      </w:r>
      <w:r w:rsidRPr="00482D63">
        <w:rPr>
          <w:lang w:val="en-US"/>
        </w:rPr>
        <w:t>421, 432</w:t>
      </w:r>
      <w:r w:rsidRPr="00EC5BEB">
        <w:rPr>
          <w:lang w:val="en-US"/>
        </w:rPr>
        <w:t xml:space="preserve"> = 58 L. Ed. </w:t>
      </w:r>
      <w:r w:rsidRPr="00482D63">
        <w:rPr>
          <w:lang w:val="en-US"/>
        </w:rPr>
        <w:t>2d 387, 403</w:t>
      </w:r>
      <w:r w:rsidRPr="003B741A">
        <w:rPr>
          <w:lang w:val="en-US"/>
        </w:rPr>
        <w:t xml:space="preserve"> = 1978 U.S. LEXIS </w:t>
      </w:r>
      <w:r w:rsidRPr="00482D63">
        <w:rPr>
          <w:lang w:val="en-US"/>
        </w:rPr>
        <w:t>2452, 32 (1978)</w:t>
      </w:r>
      <w:r>
        <w:rPr>
          <w:lang w:val="en-US"/>
        </w:rPr>
        <w:t>.</w:t>
      </w:r>
    </w:p>
  </w:footnote>
  <w:footnote w:id="1272">
    <w:p w14:paraId="1F5295A4" w14:textId="32F23981" w:rsidR="00074551" w:rsidRPr="0080400C" w:rsidRDefault="00074551" w:rsidP="00074551">
      <w:pPr>
        <w:pStyle w:val="Funotentext"/>
      </w:pPr>
      <w:r w:rsidRPr="1739998D">
        <w:rPr>
          <w:rStyle w:val="Funotenzeichen"/>
          <w:rFonts w:eastAsiaTheme="majorEastAsia"/>
        </w:rPr>
        <w:footnoteRef/>
      </w:r>
      <w:r w:rsidR="1739998D" w:rsidRPr="0080400C">
        <w:rPr>
          <w:lang w:val="en-US"/>
        </w:rPr>
        <w:t xml:space="preserve"> </w:t>
      </w:r>
      <w:r w:rsidR="1739998D" w:rsidRPr="1739998D">
        <w:rPr>
          <w:i/>
          <w:iCs/>
          <w:color w:val="212121"/>
          <w:lang w:val="en-US"/>
        </w:rPr>
        <w:t xml:space="preserve">Rakas v. Illinois, </w:t>
      </w:r>
      <w:r w:rsidR="1739998D" w:rsidRPr="1739998D">
        <w:rPr>
          <w:color w:val="212121"/>
          <w:lang w:val="en-US"/>
        </w:rPr>
        <w:t>439 U.S. 128, 166 = 99 S. Ct. 421 = 58 L. Ed. 2d 387 = 1978 U.S. LEXIS 2452 (1978).</w:t>
      </w:r>
    </w:p>
  </w:footnote>
  <w:footnote w:id="1273">
    <w:p w14:paraId="3E436CA0" w14:textId="77777777" w:rsidR="00074551" w:rsidRPr="0080400C" w:rsidRDefault="00074551" w:rsidP="00074551">
      <w:pPr>
        <w:pStyle w:val="Funotentext"/>
        <w:rPr>
          <w:lang w:val="en-US"/>
        </w:rPr>
      </w:pPr>
      <w:r>
        <w:rPr>
          <w:rStyle w:val="Funotenzeichen"/>
          <w:rFonts w:eastAsiaTheme="majorEastAsia"/>
        </w:rPr>
        <w:footnoteRef/>
      </w:r>
      <w:r w:rsidRPr="0080400C">
        <w:rPr>
          <w:lang w:val="en-US"/>
        </w:rPr>
        <w:t xml:space="preserve"> </w:t>
      </w:r>
      <w:r w:rsidRPr="00D83E4F">
        <w:rPr>
          <w:i/>
          <w:lang w:val="en-US"/>
        </w:rPr>
        <w:t>Rakas v. Illinois</w:t>
      </w:r>
      <w:r w:rsidRPr="00B610B9">
        <w:rPr>
          <w:lang w:val="en-US"/>
        </w:rPr>
        <w:t>, 439 U.S. 128, 166</w:t>
      </w:r>
      <w:r>
        <w:rPr>
          <w:lang w:val="en-US"/>
        </w:rPr>
        <w:t xml:space="preserve"> = 99 S. Ct. </w:t>
      </w:r>
      <w:r w:rsidRPr="00B610B9">
        <w:rPr>
          <w:lang w:val="en-US"/>
        </w:rPr>
        <w:t>421, 442</w:t>
      </w:r>
      <w:r w:rsidRPr="00EC5BEB">
        <w:rPr>
          <w:lang w:val="en-US"/>
        </w:rPr>
        <w:t xml:space="preserve"> = 58 L. Ed. </w:t>
      </w:r>
      <w:r w:rsidRPr="00B610B9">
        <w:rPr>
          <w:lang w:val="en-US"/>
        </w:rPr>
        <w:t>2d 387, 415</w:t>
      </w:r>
      <w:r w:rsidRPr="003B741A">
        <w:rPr>
          <w:lang w:val="en-US"/>
        </w:rPr>
        <w:t xml:space="preserve"> = 1978 U.S. LEXIS </w:t>
      </w:r>
      <w:r w:rsidRPr="00B610B9">
        <w:rPr>
          <w:lang w:val="en-US"/>
        </w:rPr>
        <w:t>2452, 68 (1978)</w:t>
      </w:r>
      <w:r>
        <w:rPr>
          <w:lang w:val="en-US"/>
        </w:rPr>
        <w:t xml:space="preserve">; </w:t>
      </w:r>
      <w:proofErr w:type="spellStart"/>
      <w:r>
        <w:rPr>
          <w:lang w:val="en-US"/>
        </w:rPr>
        <w:t>zuvor</w:t>
      </w:r>
      <w:proofErr w:type="spellEnd"/>
      <w:r>
        <w:rPr>
          <w:lang w:val="en-US"/>
        </w:rPr>
        <w:t xml:space="preserve">: </w:t>
      </w:r>
      <w:r w:rsidRPr="009167A5">
        <w:rPr>
          <w:i/>
          <w:lang w:val="en-US"/>
        </w:rPr>
        <w:t>Olmstead v. United States</w:t>
      </w:r>
      <w:r w:rsidRPr="00406DF6">
        <w:rPr>
          <w:lang w:val="en-US"/>
        </w:rPr>
        <w:t>, 277 U.S. 438, 478 (1928) (</w:t>
      </w:r>
      <w:r w:rsidRPr="009E57E1">
        <w:rPr>
          <w:lang w:val="en-US"/>
        </w:rPr>
        <w:t xml:space="preserve">Dissens von Richter </w:t>
      </w:r>
      <w:r w:rsidRPr="00B45592">
        <w:rPr>
          <w:i/>
          <w:lang w:val="en-US"/>
        </w:rPr>
        <w:t>Brandeis</w:t>
      </w:r>
      <w:r w:rsidRPr="00406DF6">
        <w:rPr>
          <w:lang w:val="en-US"/>
        </w:rPr>
        <w:t>)</w:t>
      </w:r>
      <w:r>
        <w:rPr>
          <w:lang w:val="en-US"/>
        </w:rPr>
        <w:t>.</w:t>
      </w:r>
    </w:p>
  </w:footnote>
  <w:footnote w:id="1274">
    <w:p w14:paraId="3BAB0ADF" w14:textId="7DAAA549" w:rsidR="00074551" w:rsidRPr="002F533D" w:rsidRDefault="00074551" w:rsidP="00074551">
      <w:pPr>
        <w:pStyle w:val="Funotentext"/>
        <w:ind w:left="227" w:hanging="227"/>
        <w:rPr>
          <w:lang w:val="en-US"/>
        </w:rPr>
      </w:pPr>
      <w:r w:rsidRPr="1739998D">
        <w:rPr>
          <w:rStyle w:val="Funotenzeichen"/>
          <w:rFonts w:eastAsiaTheme="majorEastAsia"/>
        </w:rPr>
        <w:footnoteRef/>
      </w:r>
      <w:r w:rsidR="1739998D" w:rsidRPr="1739998D">
        <w:rPr>
          <w:lang w:val="en-US"/>
        </w:rPr>
        <w:t xml:space="preserve"> </w:t>
      </w:r>
      <w:r w:rsidR="1739998D" w:rsidRPr="1739998D">
        <w:rPr>
          <w:i/>
          <w:iCs/>
          <w:lang w:val="en-US"/>
        </w:rPr>
        <w:t>United States v. Miller</w:t>
      </w:r>
      <w:r w:rsidR="1739998D" w:rsidRPr="1739998D">
        <w:rPr>
          <w:lang w:val="en-US"/>
        </w:rPr>
        <w:t xml:space="preserve">, 425 U.S. 435, 440 (1976) = </w:t>
      </w:r>
      <w:r w:rsidR="1739998D" w:rsidRPr="1739998D">
        <w:rPr>
          <w:color w:val="212121"/>
          <w:lang w:val="en-US"/>
        </w:rPr>
        <w:t>96 S. Ct. 1619 = 48 L. Ed. 2d 71 = 1976 U.S. LEXIS 148, 76-1 U.S. Tax Cas. (CCH) P9380, 37 A.F.T.R.2d (RIA) 1261 (1976)</w:t>
      </w:r>
      <w:r w:rsidR="1739998D" w:rsidRPr="1739998D">
        <w:rPr>
          <w:lang w:val="en-US"/>
        </w:rPr>
        <w:t xml:space="preserve">; </w:t>
      </w:r>
      <w:r w:rsidR="1739998D" w:rsidRPr="1739998D">
        <w:rPr>
          <w:i/>
          <w:iCs/>
          <w:lang w:val="en-US"/>
        </w:rPr>
        <w:t xml:space="preserve">Rakas v. </w:t>
      </w:r>
      <w:proofErr w:type="spellStart"/>
      <w:r w:rsidR="1739998D" w:rsidRPr="1739998D">
        <w:rPr>
          <w:i/>
          <w:iCs/>
          <w:lang w:val="en-US"/>
        </w:rPr>
        <w:t>Illinos</w:t>
      </w:r>
      <w:proofErr w:type="spellEnd"/>
      <w:r w:rsidR="1739998D" w:rsidRPr="1739998D">
        <w:rPr>
          <w:lang w:val="en-US"/>
        </w:rPr>
        <w:t>, 439 U.S. 128, 161 = 99 S. Ct. 421, 439 = 58 L. Ed. 2d 387, 412 = 1978 U.S. LEXIS 2452, 58 (1978).</w:t>
      </w:r>
    </w:p>
  </w:footnote>
  <w:footnote w:id="1275">
    <w:p w14:paraId="2BCCD133" w14:textId="77777777" w:rsidR="00074551" w:rsidRPr="00D83E4F" w:rsidRDefault="00074551" w:rsidP="00074551">
      <w:pPr>
        <w:pStyle w:val="Funotentext"/>
        <w:ind w:left="227" w:hanging="227"/>
        <w:rPr>
          <w:lang w:val="en-US"/>
        </w:rPr>
      </w:pPr>
      <w:r>
        <w:rPr>
          <w:rStyle w:val="Funotenzeichen"/>
          <w:rFonts w:eastAsiaTheme="majorEastAsia"/>
        </w:rPr>
        <w:footnoteRef/>
      </w:r>
      <w:r w:rsidRPr="002F533D">
        <w:rPr>
          <w:lang w:val="en-US"/>
        </w:rPr>
        <w:t xml:space="preserve"> </w:t>
      </w:r>
      <w:r w:rsidRPr="00D83E4F">
        <w:rPr>
          <w:i/>
          <w:lang w:val="en-US"/>
        </w:rPr>
        <w:t>United States ex rel. Miller v. Twomey</w:t>
      </w:r>
      <w:r w:rsidRPr="002F533D">
        <w:rPr>
          <w:lang w:val="en-US"/>
        </w:rPr>
        <w:t>, 479 F.2d 701, 712 (CA7 1973</w:t>
      </w:r>
      <w:r w:rsidRPr="00D83E4F">
        <w:rPr>
          <w:lang w:val="en-US"/>
        </w:rPr>
        <w:t>) (</w:t>
      </w:r>
      <w:proofErr w:type="spellStart"/>
      <w:r w:rsidRPr="00B45592">
        <w:rPr>
          <w:lang w:val="en-US"/>
        </w:rPr>
        <w:t>Fußnoten</w:t>
      </w:r>
      <w:proofErr w:type="spellEnd"/>
      <w:r w:rsidRPr="00B45592">
        <w:rPr>
          <w:lang w:val="en-US"/>
        </w:rPr>
        <w:t xml:space="preserve"> </w:t>
      </w:r>
      <w:proofErr w:type="spellStart"/>
      <w:r w:rsidRPr="00B45592">
        <w:rPr>
          <w:lang w:val="en-US"/>
        </w:rPr>
        <w:t>ausgelassen</w:t>
      </w:r>
      <w:proofErr w:type="spellEnd"/>
      <w:r w:rsidRPr="00D83E4F">
        <w:rPr>
          <w:lang w:val="en-US"/>
        </w:rPr>
        <w:t xml:space="preserve">), </w:t>
      </w:r>
      <w:bookmarkStart w:id="58" w:name="_Hlk228915865"/>
      <w:r w:rsidRPr="009572B5">
        <w:rPr>
          <w:iCs/>
          <w:lang w:val="en-US"/>
        </w:rPr>
        <w:t>cert</w:t>
      </w:r>
      <w:r w:rsidRPr="00B45592">
        <w:rPr>
          <w:iCs/>
          <w:lang w:val="en-US"/>
        </w:rPr>
        <w:t>iorari</w:t>
      </w:r>
      <w:r w:rsidRPr="00B45592">
        <w:rPr>
          <w:lang w:val="en-US"/>
        </w:rPr>
        <w:t xml:space="preserve"> </w:t>
      </w:r>
      <w:proofErr w:type="spellStart"/>
      <w:r w:rsidRPr="00B45592">
        <w:rPr>
          <w:lang w:val="en-US"/>
        </w:rPr>
        <w:t>abgelehnt</w:t>
      </w:r>
      <w:proofErr w:type="spellEnd"/>
      <w:r w:rsidRPr="00D83E4F">
        <w:rPr>
          <w:lang w:val="en-US"/>
        </w:rPr>
        <w:t xml:space="preserve"> sub nom. </w:t>
      </w:r>
      <w:bookmarkEnd w:id="58"/>
      <w:r w:rsidRPr="00B45592">
        <w:rPr>
          <w:i/>
          <w:lang w:val="en-US"/>
        </w:rPr>
        <w:t>Gutierrez v. Department of Public Safety of Illinois</w:t>
      </w:r>
      <w:r w:rsidRPr="00D83E4F">
        <w:rPr>
          <w:lang w:val="en-US"/>
        </w:rPr>
        <w:t xml:space="preserve">, 414 U.S. 1146 (1974); </w:t>
      </w:r>
      <w:r w:rsidRPr="00D83E4F">
        <w:rPr>
          <w:i/>
          <w:lang w:val="en-US"/>
        </w:rPr>
        <w:t>Hudson v. Palmer</w:t>
      </w:r>
      <w:r w:rsidRPr="00D83E4F">
        <w:rPr>
          <w:lang w:val="en-US"/>
        </w:rPr>
        <w:t>, 468 U.S. 517, 558 = 104 S. Ct. 3194, 3217 = 82 L. Ed. 2d 393, 423 = 1984 U.S. LEXIS 143, 75 = 52 U.S.L.W. 5052 (1984).</w:t>
      </w:r>
    </w:p>
  </w:footnote>
  <w:footnote w:id="1276">
    <w:p w14:paraId="6B82503D" w14:textId="77777777" w:rsidR="00074551" w:rsidRPr="00953491" w:rsidRDefault="00074551" w:rsidP="00074551">
      <w:pPr>
        <w:pStyle w:val="Funotentext"/>
        <w:rPr>
          <w:lang w:val="en-US"/>
        </w:rPr>
      </w:pPr>
      <w:r w:rsidRPr="00D83E4F">
        <w:rPr>
          <w:rStyle w:val="Funotenzeichen"/>
          <w:rFonts w:eastAsiaTheme="majorEastAsia"/>
        </w:rPr>
        <w:footnoteRef/>
      </w:r>
      <w:r w:rsidRPr="00D83E4F">
        <w:rPr>
          <w:lang w:val="en-US"/>
        </w:rPr>
        <w:t xml:space="preserve"> </w:t>
      </w:r>
      <w:r w:rsidRPr="00D83E4F">
        <w:rPr>
          <w:i/>
          <w:lang w:val="en-US"/>
        </w:rPr>
        <w:t>United States ex rel. Miller v. Twomey</w:t>
      </w:r>
      <w:r w:rsidRPr="00D83E4F">
        <w:rPr>
          <w:lang w:val="en-US"/>
        </w:rPr>
        <w:t>, 479 F.2d 701, 712 (CA7 1973) (</w:t>
      </w:r>
      <w:proofErr w:type="spellStart"/>
      <w:r w:rsidRPr="00B45592">
        <w:rPr>
          <w:lang w:val="en-US"/>
        </w:rPr>
        <w:t>Fußnoten</w:t>
      </w:r>
      <w:proofErr w:type="spellEnd"/>
      <w:r w:rsidRPr="00B45592">
        <w:rPr>
          <w:lang w:val="en-US"/>
        </w:rPr>
        <w:t xml:space="preserve"> </w:t>
      </w:r>
      <w:proofErr w:type="spellStart"/>
      <w:r w:rsidRPr="00B45592">
        <w:rPr>
          <w:lang w:val="en-US"/>
        </w:rPr>
        <w:t>ausgelassen</w:t>
      </w:r>
      <w:proofErr w:type="spellEnd"/>
      <w:r w:rsidRPr="00D83E4F">
        <w:rPr>
          <w:lang w:val="en-US"/>
        </w:rPr>
        <w:t xml:space="preserve">), </w:t>
      </w:r>
      <w:bookmarkStart w:id="59" w:name="_Hlk228915832"/>
      <w:r w:rsidRPr="00B45592">
        <w:rPr>
          <w:iCs/>
          <w:lang w:val="en-US"/>
        </w:rPr>
        <w:t>certiorari</w:t>
      </w:r>
      <w:r w:rsidRPr="00B45592">
        <w:rPr>
          <w:lang w:val="en-US"/>
        </w:rPr>
        <w:t xml:space="preserve"> </w:t>
      </w:r>
      <w:proofErr w:type="spellStart"/>
      <w:r w:rsidRPr="00B45592">
        <w:rPr>
          <w:lang w:val="en-US"/>
        </w:rPr>
        <w:t>abgelehnt</w:t>
      </w:r>
      <w:proofErr w:type="spellEnd"/>
      <w:r w:rsidRPr="00B45592">
        <w:rPr>
          <w:lang w:val="en-US"/>
        </w:rPr>
        <w:t xml:space="preserve"> sub nom.</w:t>
      </w:r>
      <w:r w:rsidRPr="002F533D">
        <w:rPr>
          <w:lang w:val="en-US"/>
        </w:rPr>
        <w:t xml:space="preserve"> </w:t>
      </w:r>
      <w:bookmarkEnd w:id="59"/>
      <w:r w:rsidRPr="00B45592">
        <w:rPr>
          <w:i/>
          <w:lang w:val="en-US"/>
        </w:rPr>
        <w:t>Gutierrez v. Department of Public Safety of Illinois</w:t>
      </w:r>
      <w:r w:rsidRPr="00953491">
        <w:rPr>
          <w:lang w:val="en-US"/>
        </w:rPr>
        <w:t>, 414 U.S. 1146 (1974)</w:t>
      </w:r>
      <w:r>
        <w:rPr>
          <w:lang w:val="en-US"/>
        </w:rPr>
        <w:t xml:space="preserve">; </w:t>
      </w:r>
      <w:r w:rsidRPr="009E57E1">
        <w:rPr>
          <w:i/>
          <w:lang w:val="en-US"/>
        </w:rPr>
        <w:t>Hudson v. Palmer</w:t>
      </w:r>
      <w:r w:rsidRPr="00953491">
        <w:rPr>
          <w:lang w:val="en-US"/>
        </w:rPr>
        <w:t>, 468 U.S. 517, 558</w:t>
      </w:r>
      <w:r w:rsidRPr="006E67FE">
        <w:rPr>
          <w:lang w:val="en-US"/>
        </w:rPr>
        <w:t xml:space="preserve"> = 104 S. Ct. </w:t>
      </w:r>
      <w:r w:rsidRPr="00953491">
        <w:rPr>
          <w:lang w:val="en-US"/>
        </w:rPr>
        <w:t>3194, 3217</w:t>
      </w:r>
      <w:r w:rsidRPr="006E67FE">
        <w:rPr>
          <w:lang w:val="en-US"/>
        </w:rPr>
        <w:t xml:space="preserve"> = 82 L. Ed. </w:t>
      </w:r>
      <w:r w:rsidRPr="00953491">
        <w:rPr>
          <w:lang w:val="en-US"/>
        </w:rPr>
        <w:t>2d 393, 423</w:t>
      </w:r>
      <w:r w:rsidRPr="006E67FE">
        <w:rPr>
          <w:lang w:val="en-US"/>
        </w:rPr>
        <w:t xml:space="preserve"> = 1984 U.S. LEXIS </w:t>
      </w:r>
      <w:r w:rsidRPr="00953491">
        <w:rPr>
          <w:lang w:val="en-US"/>
        </w:rPr>
        <w:t>143, 75</w:t>
      </w:r>
      <w:r w:rsidRPr="006E67FE">
        <w:rPr>
          <w:lang w:val="en-US"/>
        </w:rPr>
        <w:t xml:space="preserve"> = 52 U.S.L.W. </w:t>
      </w:r>
      <w:r w:rsidRPr="00953491">
        <w:rPr>
          <w:lang w:val="en-US"/>
        </w:rPr>
        <w:t>5052 (1984)</w:t>
      </w:r>
      <w:r>
        <w:rPr>
          <w:lang w:val="en-US"/>
        </w:rPr>
        <w:t>.</w:t>
      </w:r>
    </w:p>
  </w:footnote>
  <w:footnote w:id="1277">
    <w:p w14:paraId="014D35A4" w14:textId="794EABEC" w:rsidR="00074551" w:rsidRPr="006F4315" w:rsidRDefault="00074551" w:rsidP="00074551">
      <w:pPr>
        <w:pStyle w:val="Funotentext"/>
        <w:rPr>
          <w:lang w:val="en-US"/>
        </w:rPr>
      </w:pPr>
      <w:r w:rsidRPr="1739998D">
        <w:rPr>
          <w:rStyle w:val="Funotenzeichen"/>
          <w:rFonts w:eastAsiaTheme="majorEastAsia"/>
        </w:rPr>
        <w:footnoteRef/>
      </w:r>
      <w:r w:rsidR="1739998D" w:rsidRPr="0080400C">
        <w:rPr>
          <w:lang w:val="en-US"/>
        </w:rPr>
        <w:t xml:space="preserve"> </w:t>
      </w:r>
      <w:r w:rsidR="1739998D" w:rsidRPr="1739998D">
        <w:rPr>
          <w:i/>
          <w:iCs/>
          <w:color w:val="212121"/>
          <w:lang w:val="en-US"/>
        </w:rPr>
        <w:t xml:space="preserve">Hudson v. Palmer, </w:t>
      </w:r>
      <w:r w:rsidR="1739998D" w:rsidRPr="1739998D">
        <w:rPr>
          <w:color w:val="212121"/>
          <w:lang w:val="en-US"/>
        </w:rPr>
        <w:t>468 U.S. 517, 526-528 = 104 S. Ct. 3194 = 82 L. Ed. 2d 393 = 1984 U.S. LEXIS 143 = 52 U.S.L.W. 5052 (1984).</w:t>
      </w:r>
    </w:p>
  </w:footnote>
  <w:footnote w:id="1278">
    <w:p w14:paraId="0A0F8343" w14:textId="77777777" w:rsidR="00074551" w:rsidRPr="008931B2" w:rsidRDefault="00074551" w:rsidP="00074551">
      <w:pPr>
        <w:pStyle w:val="Funotentext"/>
        <w:rPr>
          <w:lang w:val="en-US"/>
        </w:rPr>
      </w:pPr>
      <w:r>
        <w:rPr>
          <w:rStyle w:val="Funotenzeichen"/>
          <w:rFonts w:eastAsiaTheme="majorEastAsia"/>
        </w:rPr>
        <w:footnoteRef/>
      </w:r>
      <w:r w:rsidRPr="008931B2">
        <w:rPr>
          <w:lang w:val="en-US"/>
        </w:rPr>
        <w:t xml:space="preserve"> </w:t>
      </w:r>
      <w:r w:rsidRPr="00D83E4F">
        <w:rPr>
          <w:i/>
          <w:lang w:val="en-US"/>
        </w:rPr>
        <w:t>Katz v. United States</w:t>
      </w:r>
      <w:r w:rsidRPr="008931B2">
        <w:rPr>
          <w:lang w:val="en-US"/>
        </w:rPr>
        <w:t>, 389 U.S. 347, 348</w:t>
      </w:r>
      <w:r>
        <w:rPr>
          <w:lang w:val="en-US"/>
        </w:rPr>
        <w:t xml:space="preserve"> = 88 S. Ct. </w:t>
      </w:r>
      <w:r w:rsidRPr="008931B2">
        <w:rPr>
          <w:lang w:val="en-US"/>
        </w:rPr>
        <w:t>507, 509</w:t>
      </w:r>
      <w:r>
        <w:rPr>
          <w:lang w:val="en-US"/>
        </w:rPr>
        <w:t xml:space="preserve"> = 19 L. Ed. </w:t>
      </w:r>
      <w:r w:rsidRPr="008931B2">
        <w:rPr>
          <w:lang w:val="en-US"/>
        </w:rPr>
        <w:t>2d 576, 580</w:t>
      </w:r>
      <w:r w:rsidRPr="006E67FE">
        <w:rPr>
          <w:lang w:val="en-US"/>
        </w:rPr>
        <w:t xml:space="preserve"> = 1967 U.S. LEXIS </w:t>
      </w:r>
      <w:r w:rsidRPr="008931B2">
        <w:rPr>
          <w:lang w:val="en-US"/>
        </w:rPr>
        <w:t>2, 1 (1967)</w:t>
      </w:r>
      <w:r>
        <w:rPr>
          <w:lang w:val="en-US"/>
        </w:rPr>
        <w:t>.</w:t>
      </w:r>
    </w:p>
  </w:footnote>
  <w:footnote w:id="1279">
    <w:p w14:paraId="102B5B0A" w14:textId="77777777" w:rsidR="00074551" w:rsidRPr="00D363C7" w:rsidRDefault="00074551" w:rsidP="00074551">
      <w:pPr>
        <w:pStyle w:val="Funotentext"/>
        <w:rPr>
          <w:lang w:val="en-US"/>
        </w:rPr>
      </w:pPr>
      <w:r>
        <w:rPr>
          <w:rStyle w:val="Funotenzeichen"/>
          <w:rFonts w:eastAsiaTheme="majorEastAsia"/>
        </w:rPr>
        <w:footnoteRef/>
      </w:r>
      <w:r w:rsidRPr="00D363C7">
        <w:rPr>
          <w:lang w:val="en-US"/>
        </w:rPr>
        <w:t xml:space="preserve"> </w:t>
      </w:r>
      <w:r w:rsidRPr="009167A5">
        <w:rPr>
          <w:i/>
          <w:lang w:val="en-US"/>
        </w:rPr>
        <w:t>Olmstead v. United States</w:t>
      </w:r>
      <w:r w:rsidRPr="00D363C7">
        <w:rPr>
          <w:lang w:val="en-US"/>
        </w:rPr>
        <w:t>, 277 U.S. 438, 455</w:t>
      </w:r>
      <w:r w:rsidRPr="006E67FE">
        <w:rPr>
          <w:lang w:val="en-US"/>
        </w:rPr>
        <w:t xml:space="preserve"> = 48 S. Ct. </w:t>
      </w:r>
      <w:r w:rsidRPr="00D363C7">
        <w:rPr>
          <w:lang w:val="en-US"/>
        </w:rPr>
        <w:t>564, 564</w:t>
      </w:r>
      <w:r w:rsidRPr="006E67FE">
        <w:rPr>
          <w:lang w:val="en-US"/>
        </w:rPr>
        <w:t xml:space="preserve"> = 72 L. Ed. </w:t>
      </w:r>
      <w:r w:rsidRPr="00D363C7">
        <w:rPr>
          <w:lang w:val="en-US"/>
        </w:rPr>
        <w:t>944, 947</w:t>
      </w:r>
      <w:r w:rsidRPr="006E67FE">
        <w:rPr>
          <w:lang w:val="en-US"/>
        </w:rPr>
        <w:t xml:space="preserve"> = 1928 U.S. LEXIS </w:t>
      </w:r>
      <w:r w:rsidRPr="00D363C7">
        <w:rPr>
          <w:lang w:val="en-US"/>
        </w:rPr>
        <w:t>694, 1</w:t>
      </w:r>
      <w:r w:rsidRPr="006E67FE">
        <w:rPr>
          <w:lang w:val="en-US"/>
        </w:rPr>
        <w:t xml:space="preserve"> = 66 A.L.R. </w:t>
      </w:r>
      <w:r w:rsidRPr="00D363C7">
        <w:rPr>
          <w:lang w:val="en-US"/>
        </w:rPr>
        <w:t>376 (1928)</w:t>
      </w:r>
      <w:r>
        <w:rPr>
          <w:lang w:val="en-US"/>
        </w:rPr>
        <w:t>.</w:t>
      </w:r>
    </w:p>
  </w:footnote>
  <w:footnote w:id="1280">
    <w:p w14:paraId="6A50485D" w14:textId="77777777" w:rsidR="00074551" w:rsidRPr="008931B2" w:rsidRDefault="00074551" w:rsidP="00074551">
      <w:pPr>
        <w:pStyle w:val="Funotentext"/>
        <w:rPr>
          <w:lang w:val="en-US"/>
        </w:rPr>
      </w:pPr>
      <w:r>
        <w:rPr>
          <w:rStyle w:val="Funotenzeichen"/>
          <w:rFonts w:eastAsiaTheme="majorEastAsia"/>
        </w:rPr>
        <w:footnoteRef/>
      </w:r>
      <w:r w:rsidRPr="008931B2">
        <w:rPr>
          <w:lang w:val="en-US"/>
        </w:rPr>
        <w:t xml:space="preserve"> </w:t>
      </w:r>
      <w:r w:rsidRPr="009167A5">
        <w:rPr>
          <w:i/>
          <w:lang w:val="en-US"/>
        </w:rPr>
        <w:t>Olmstead v. United States</w:t>
      </w:r>
      <w:r w:rsidRPr="008931B2">
        <w:rPr>
          <w:lang w:val="en-US"/>
        </w:rPr>
        <w:t>, 277 U.S. 438, 478</w:t>
      </w:r>
      <w:r w:rsidRPr="006E67FE">
        <w:rPr>
          <w:lang w:val="en-US"/>
        </w:rPr>
        <w:t xml:space="preserve"> = 48 S. Ct. </w:t>
      </w:r>
      <w:r w:rsidRPr="008931B2">
        <w:rPr>
          <w:lang w:val="en-US"/>
        </w:rPr>
        <w:t>564, 572</w:t>
      </w:r>
      <w:r w:rsidRPr="006E67FE">
        <w:rPr>
          <w:lang w:val="en-US"/>
        </w:rPr>
        <w:t xml:space="preserve"> = 72 L. Ed. </w:t>
      </w:r>
      <w:r w:rsidRPr="008931B2">
        <w:rPr>
          <w:lang w:val="en-US"/>
        </w:rPr>
        <w:t>944, 956</w:t>
      </w:r>
      <w:r w:rsidRPr="006E67FE">
        <w:rPr>
          <w:lang w:val="en-US"/>
        </w:rPr>
        <w:t xml:space="preserve"> = 1928 U.S. LEXIS </w:t>
      </w:r>
      <w:r w:rsidRPr="008931B2">
        <w:rPr>
          <w:lang w:val="en-US"/>
        </w:rPr>
        <w:t>694, 66</w:t>
      </w:r>
      <w:r w:rsidRPr="006E67FE">
        <w:rPr>
          <w:lang w:val="en-US"/>
        </w:rPr>
        <w:t xml:space="preserve"> = 66 A.L.R. </w:t>
      </w:r>
      <w:r w:rsidRPr="008931B2">
        <w:rPr>
          <w:lang w:val="en-US"/>
        </w:rPr>
        <w:t>376 (1928)</w:t>
      </w:r>
      <w:r>
        <w:rPr>
          <w:lang w:val="en-US"/>
        </w:rPr>
        <w:t>.</w:t>
      </w:r>
    </w:p>
  </w:footnote>
  <w:footnote w:id="1281">
    <w:p w14:paraId="24F5030C" w14:textId="77777777" w:rsidR="00074551" w:rsidRPr="008931B2" w:rsidRDefault="00074551" w:rsidP="00074551">
      <w:pPr>
        <w:pStyle w:val="Funotentext"/>
        <w:rPr>
          <w:lang w:val="en-US"/>
        </w:rPr>
      </w:pPr>
      <w:r>
        <w:rPr>
          <w:rStyle w:val="Funotenzeichen"/>
          <w:rFonts w:eastAsiaTheme="majorEastAsia"/>
        </w:rPr>
        <w:footnoteRef/>
      </w:r>
      <w:r w:rsidRPr="008931B2">
        <w:rPr>
          <w:lang w:val="en-US"/>
        </w:rPr>
        <w:t xml:space="preserve"> </w:t>
      </w:r>
      <w:r w:rsidRPr="00D83E4F">
        <w:rPr>
          <w:i/>
          <w:lang w:val="en-US"/>
        </w:rPr>
        <w:t>Katz v. United States</w:t>
      </w:r>
      <w:r w:rsidRPr="008931B2">
        <w:rPr>
          <w:lang w:val="en-US"/>
        </w:rPr>
        <w:t>, 389 U.S. 347, 348</w:t>
      </w:r>
      <w:r>
        <w:rPr>
          <w:lang w:val="en-US"/>
        </w:rPr>
        <w:t xml:space="preserve"> = 88 S. Ct. </w:t>
      </w:r>
      <w:r w:rsidRPr="008931B2">
        <w:rPr>
          <w:lang w:val="en-US"/>
        </w:rPr>
        <w:t>507, 509</w:t>
      </w:r>
      <w:r>
        <w:rPr>
          <w:lang w:val="en-US"/>
        </w:rPr>
        <w:t xml:space="preserve"> = 19 L. Ed. </w:t>
      </w:r>
      <w:r w:rsidRPr="008931B2">
        <w:rPr>
          <w:lang w:val="en-US"/>
        </w:rPr>
        <w:t>2d 576, 580</w:t>
      </w:r>
      <w:r w:rsidRPr="006E67FE">
        <w:rPr>
          <w:lang w:val="en-US"/>
        </w:rPr>
        <w:t xml:space="preserve"> = 1967 U.S. LEXIS </w:t>
      </w:r>
      <w:r w:rsidRPr="008931B2">
        <w:rPr>
          <w:lang w:val="en-US"/>
        </w:rPr>
        <w:t>2, 1 (1967)</w:t>
      </w:r>
      <w:r>
        <w:rPr>
          <w:lang w:val="en-US"/>
        </w:rPr>
        <w:t>.</w:t>
      </w:r>
    </w:p>
  </w:footnote>
  <w:footnote w:id="1282">
    <w:p w14:paraId="6682AAC4" w14:textId="77777777" w:rsidR="00074551" w:rsidRPr="00F91701" w:rsidRDefault="00074551" w:rsidP="00074551">
      <w:pPr>
        <w:pStyle w:val="Funotentext"/>
        <w:rPr>
          <w:lang w:val="en-US"/>
        </w:rPr>
      </w:pPr>
      <w:r>
        <w:rPr>
          <w:rStyle w:val="Funotenzeichen"/>
          <w:rFonts w:eastAsiaTheme="majorEastAsia"/>
        </w:rPr>
        <w:footnoteRef/>
      </w:r>
      <w:r w:rsidRPr="00F91701">
        <w:rPr>
          <w:lang w:val="en-US"/>
        </w:rPr>
        <w:t xml:space="preserve"> </w:t>
      </w:r>
      <w:r w:rsidRPr="00D83E4F">
        <w:rPr>
          <w:i/>
          <w:lang w:val="en-US"/>
        </w:rPr>
        <w:t>Katz v. United States</w:t>
      </w:r>
      <w:r w:rsidRPr="00F91701">
        <w:rPr>
          <w:lang w:val="en-US"/>
        </w:rPr>
        <w:t>, 389 U.S. 347, 348</w:t>
      </w:r>
      <w:r>
        <w:rPr>
          <w:lang w:val="en-US"/>
        </w:rPr>
        <w:t xml:space="preserve"> = 88 S. Ct. </w:t>
      </w:r>
      <w:r w:rsidRPr="00F91701">
        <w:rPr>
          <w:lang w:val="en-US"/>
        </w:rPr>
        <w:t>507, 509</w:t>
      </w:r>
      <w:r>
        <w:rPr>
          <w:lang w:val="en-US"/>
        </w:rPr>
        <w:t xml:space="preserve"> = 19 L. Ed. </w:t>
      </w:r>
      <w:r w:rsidRPr="00F91701">
        <w:rPr>
          <w:lang w:val="en-US"/>
        </w:rPr>
        <w:t>2d 576, 580</w:t>
      </w:r>
      <w:r w:rsidRPr="006E67FE">
        <w:rPr>
          <w:lang w:val="en-US"/>
        </w:rPr>
        <w:t xml:space="preserve"> = 1967 U.S. LEXIS </w:t>
      </w:r>
      <w:r w:rsidRPr="00F91701">
        <w:rPr>
          <w:lang w:val="en-US"/>
        </w:rPr>
        <w:t>2, 1 (1967)</w:t>
      </w:r>
      <w:r>
        <w:rPr>
          <w:lang w:val="en-US"/>
        </w:rPr>
        <w:t>.</w:t>
      </w:r>
    </w:p>
  </w:footnote>
  <w:footnote w:id="1283">
    <w:p w14:paraId="3DDDFF04" w14:textId="77777777" w:rsidR="00074551" w:rsidRPr="00823574" w:rsidRDefault="00074551" w:rsidP="00074551">
      <w:pPr>
        <w:pStyle w:val="Funotentext"/>
        <w:rPr>
          <w:lang w:val="en-US"/>
        </w:rPr>
      </w:pPr>
      <w:r>
        <w:rPr>
          <w:rStyle w:val="Funotenzeichen"/>
          <w:rFonts w:eastAsiaTheme="majorEastAsia"/>
        </w:rPr>
        <w:footnoteRef/>
      </w:r>
      <w:r w:rsidRPr="00823574">
        <w:rPr>
          <w:lang w:val="en-US"/>
        </w:rPr>
        <w:t xml:space="preserve"> </w:t>
      </w:r>
      <w:r w:rsidRPr="00546F93">
        <w:rPr>
          <w:i/>
          <w:lang w:val="en-US"/>
        </w:rPr>
        <w:t>Fong Yue Ting v. United States</w:t>
      </w:r>
      <w:r w:rsidRPr="00823574">
        <w:rPr>
          <w:lang w:val="en-US"/>
        </w:rPr>
        <w:t>, 149 U.S. 698, 704</w:t>
      </w:r>
      <w:r>
        <w:rPr>
          <w:lang w:val="en-US"/>
        </w:rPr>
        <w:t xml:space="preserve"> = 13 S. Ct. </w:t>
      </w:r>
      <w:r w:rsidRPr="00823574">
        <w:rPr>
          <w:lang w:val="en-US"/>
        </w:rPr>
        <w:t>1016, 1018</w:t>
      </w:r>
      <w:r>
        <w:rPr>
          <w:lang w:val="en-US"/>
        </w:rPr>
        <w:t xml:space="preserve"> = 37 L. Ed. </w:t>
      </w:r>
      <w:r w:rsidRPr="00823574">
        <w:rPr>
          <w:lang w:val="en-US"/>
        </w:rPr>
        <w:t>905, 910</w:t>
      </w:r>
      <w:r>
        <w:rPr>
          <w:lang w:val="en-US"/>
        </w:rPr>
        <w:t xml:space="preserve"> = </w:t>
      </w:r>
      <w:r w:rsidRPr="00823574">
        <w:rPr>
          <w:lang w:val="en-US"/>
        </w:rPr>
        <w:t>1893 U.S. LEXIS 2340, 1 (1893)</w:t>
      </w:r>
      <w:r>
        <w:rPr>
          <w:lang w:val="en-US"/>
        </w:rPr>
        <w:t>.</w:t>
      </w:r>
    </w:p>
  </w:footnote>
  <w:footnote w:id="1284">
    <w:p w14:paraId="088CFFD1" w14:textId="77777777" w:rsidR="00074551" w:rsidRPr="00823574" w:rsidRDefault="00074551" w:rsidP="00074551">
      <w:pPr>
        <w:pStyle w:val="Funotentext"/>
        <w:rPr>
          <w:lang w:val="en-US"/>
        </w:rPr>
      </w:pPr>
      <w:r>
        <w:rPr>
          <w:rStyle w:val="Funotenzeichen"/>
          <w:rFonts w:eastAsiaTheme="majorEastAsia"/>
        </w:rPr>
        <w:footnoteRef/>
      </w:r>
      <w:r w:rsidRPr="00823574">
        <w:rPr>
          <w:lang w:val="en-US"/>
        </w:rPr>
        <w:t xml:space="preserve"> </w:t>
      </w:r>
      <w:r w:rsidRPr="00D83E4F">
        <w:rPr>
          <w:i/>
          <w:lang w:val="en-US"/>
        </w:rPr>
        <w:t>Ho Ah Kow v. Nunan</w:t>
      </w:r>
      <w:r w:rsidRPr="00D83E4F">
        <w:rPr>
          <w:lang w:val="en-US"/>
        </w:rPr>
        <w:t>, 5 Sawyer, 552, 563</w:t>
      </w:r>
      <w:r w:rsidRPr="00B45592">
        <w:rPr>
          <w:lang w:val="en-US"/>
        </w:rPr>
        <w:t xml:space="preserve">; </w:t>
      </w:r>
      <w:r w:rsidRPr="00D83E4F">
        <w:rPr>
          <w:i/>
          <w:lang w:val="en-US"/>
        </w:rPr>
        <w:t>Fong</w:t>
      </w:r>
      <w:r w:rsidRPr="00546F93">
        <w:rPr>
          <w:i/>
          <w:lang w:val="en-US"/>
        </w:rPr>
        <w:t xml:space="preserve"> Yue Ting v. United States</w:t>
      </w:r>
      <w:r w:rsidRPr="00C22CB1">
        <w:rPr>
          <w:lang w:val="en-US"/>
        </w:rPr>
        <w:t>, 149 U.S. 698, 755</w:t>
      </w:r>
      <w:r>
        <w:rPr>
          <w:lang w:val="en-US"/>
        </w:rPr>
        <w:t xml:space="preserve"> = 13 S. Ct. </w:t>
      </w:r>
      <w:r w:rsidRPr="00C22CB1">
        <w:rPr>
          <w:lang w:val="en-US"/>
        </w:rPr>
        <w:t>1016, 1038</w:t>
      </w:r>
      <w:r>
        <w:rPr>
          <w:lang w:val="en-US"/>
        </w:rPr>
        <w:t xml:space="preserve"> = 37 L. Ed. </w:t>
      </w:r>
      <w:r w:rsidRPr="00C22CB1">
        <w:rPr>
          <w:lang w:val="en-US"/>
        </w:rPr>
        <w:t>905, 927</w:t>
      </w:r>
      <w:r>
        <w:rPr>
          <w:lang w:val="en-US"/>
        </w:rPr>
        <w:t xml:space="preserve"> = 1893 U.S. LEXIS </w:t>
      </w:r>
      <w:r w:rsidRPr="00C22CB1">
        <w:rPr>
          <w:lang w:val="en-US"/>
        </w:rPr>
        <w:t>2340, 103 (1893)</w:t>
      </w:r>
      <w:r>
        <w:rPr>
          <w:lang w:val="en-US"/>
        </w:rPr>
        <w:t>.</w:t>
      </w:r>
    </w:p>
  </w:footnote>
  <w:footnote w:id="1285">
    <w:p w14:paraId="243EB3B8" w14:textId="77777777" w:rsidR="00074551" w:rsidRPr="00C22CB1" w:rsidRDefault="00074551" w:rsidP="00074551">
      <w:pPr>
        <w:pStyle w:val="Funotentext"/>
        <w:rPr>
          <w:lang w:val="en-US"/>
        </w:rPr>
      </w:pPr>
      <w:r>
        <w:rPr>
          <w:rStyle w:val="Funotenzeichen"/>
          <w:rFonts w:eastAsiaTheme="majorEastAsia"/>
        </w:rPr>
        <w:footnoteRef/>
      </w:r>
      <w:r w:rsidRPr="00C22CB1">
        <w:rPr>
          <w:lang w:val="en-US"/>
        </w:rPr>
        <w:t xml:space="preserve"> </w:t>
      </w:r>
      <w:r w:rsidRPr="00D83E4F">
        <w:rPr>
          <w:i/>
          <w:lang w:val="en-US"/>
        </w:rPr>
        <w:t>Ho Ah Kow v. Nunan</w:t>
      </w:r>
      <w:r w:rsidRPr="00C22CB1">
        <w:rPr>
          <w:lang w:val="en-US"/>
        </w:rPr>
        <w:t>, 5 Sawyer, 552, 563</w:t>
      </w:r>
      <w:r>
        <w:rPr>
          <w:lang w:val="en-US"/>
        </w:rPr>
        <w:t xml:space="preserve">; </w:t>
      </w:r>
      <w:r w:rsidRPr="00546F93">
        <w:rPr>
          <w:i/>
          <w:lang w:val="en-US"/>
        </w:rPr>
        <w:t>Fong Yue Ting v. United States</w:t>
      </w:r>
      <w:r w:rsidRPr="00C22CB1">
        <w:rPr>
          <w:lang w:val="en-US"/>
        </w:rPr>
        <w:t>, 149 U.S. 698, 755</w:t>
      </w:r>
      <w:r>
        <w:rPr>
          <w:lang w:val="en-US"/>
        </w:rPr>
        <w:t xml:space="preserve"> = 13 S. Ct. </w:t>
      </w:r>
      <w:r w:rsidRPr="00C22CB1">
        <w:rPr>
          <w:lang w:val="en-US"/>
        </w:rPr>
        <w:t>1016, 1038</w:t>
      </w:r>
      <w:r>
        <w:rPr>
          <w:lang w:val="en-US"/>
        </w:rPr>
        <w:t xml:space="preserve"> = 37 L. Ed. </w:t>
      </w:r>
      <w:r w:rsidRPr="00C22CB1">
        <w:rPr>
          <w:lang w:val="en-US"/>
        </w:rPr>
        <w:t>905, 927</w:t>
      </w:r>
      <w:r>
        <w:rPr>
          <w:lang w:val="en-US"/>
        </w:rPr>
        <w:t xml:space="preserve"> = 1893 U.S. LEXIS </w:t>
      </w:r>
      <w:r w:rsidRPr="00C22CB1">
        <w:rPr>
          <w:lang w:val="en-US"/>
        </w:rPr>
        <w:t>2340, 103 (1893)</w:t>
      </w:r>
      <w:r>
        <w:rPr>
          <w:lang w:val="en-US"/>
        </w:rPr>
        <w:t>.</w:t>
      </w:r>
    </w:p>
  </w:footnote>
  <w:footnote w:id="1286">
    <w:p w14:paraId="14815591" w14:textId="77777777" w:rsidR="00074551" w:rsidRPr="005B7E47" w:rsidRDefault="00074551" w:rsidP="00074551">
      <w:pPr>
        <w:pStyle w:val="Funotentext"/>
        <w:rPr>
          <w:lang w:val="en-US"/>
        </w:rPr>
      </w:pPr>
      <w:r>
        <w:rPr>
          <w:rStyle w:val="Funotenzeichen"/>
          <w:rFonts w:eastAsiaTheme="majorEastAsia"/>
        </w:rPr>
        <w:footnoteRef/>
      </w:r>
      <w:r w:rsidRPr="005B7E47">
        <w:rPr>
          <w:lang w:val="en-US"/>
        </w:rPr>
        <w:t xml:space="preserve"> </w:t>
      </w:r>
      <w:r w:rsidRPr="00D83E4F">
        <w:rPr>
          <w:i/>
          <w:lang w:val="en-US"/>
        </w:rPr>
        <w:t>Ho Ah Kow v. Nunan</w:t>
      </w:r>
      <w:r w:rsidRPr="005B7E47">
        <w:rPr>
          <w:lang w:val="en-US"/>
        </w:rPr>
        <w:t xml:space="preserve">, 5 Sawyer, 552, 563; </w:t>
      </w:r>
      <w:r w:rsidRPr="00D83E4F">
        <w:rPr>
          <w:i/>
          <w:lang w:val="en-US"/>
        </w:rPr>
        <w:t>Yick Wo v. Hopkins</w:t>
      </w:r>
      <w:r w:rsidRPr="005B7E47">
        <w:rPr>
          <w:lang w:val="en-US"/>
        </w:rPr>
        <w:t>, 118 U.S. 356, 369</w:t>
      </w:r>
      <w:r>
        <w:rPr>
          <w:lang w:val="en-US"/>
        </w:rPr>
        <w:t xml:space="preserve">; </w:t>
      </w:r>
      <w:r w:rsidRPr="00546F93">
        <w:rPr>
          <w:i/>
          <w:lang w:val="en-US"/>
        </w:rPr>
        <w:t>Fong Yue Ting v. United States</w:t>
      </w:r>
      <w:r w:rsidRPr="005B7E47">
        <w:rPr>
          <w:lang w:val="en-US"/>
        </w:rPr>
        <w:t>, 149 U.S. 698, 755</w:t>
      </w:r>
      <w:r>
        <w:rPr>
          <w:lang w:val="en-US"/>
        </w:rPr>
        <w:t xml:space="preserve"> = 13 S. Ct. </w:t>
      </w:r>
      <w:r w:rsidRPr="005B7E47">
        <w:rPr>
          <w:lang w:val="en-US"/>
        </w:rPr>
        <w:t>1016, 1038</w:t>
      </w:r>
      <w:r>
        <w:rPr>
          <w:lang w:val="en-US"/>
        </w:rPr>
        <w:t xml:space="preserve"> = 37 L. Ed. </w:t>
      </w:r>
      <w:r w:rsidRPr="005B7E47">
        <w:rPr>
          <w:lang w:val="en-US"/>
        </w:rPr>
        <w:t>905, 927</w:t>
      </w:r>
      <w:r>
        <w:rPr>
          <w:lang w:val="en-US"/>
        </w:rPr>
        <w:t xml:space="preserve"> = 1893 U.S. LEXIS </w:t>
      </w:r>
      <w:r w:rsidRPr="005B7E47">
        <w:rPr>
          <w:lang w:val="en-US"/>
        </w:rPr>
        <w:t>2340, 102 (1893)</w:t>
      </w:r>
      <w:r>
        <w:rPr>
          <w:lang w:val="en-US"/>
        </w:rPr>
        <w:t>.</w:t>
      </w:r>
    </w:p>
  </w:footnote>
  <w:footnote w:id="1287">
    <w:p w14:paraId="40BC463C" w14:textId="77777777" w:rsidR="00074551" w:rsidRPr="00F501B6" w:rsidRDefault="00074551" w:rsidP="00074551">
      <w:pPr>
        <w:pStyle w:val="Funotentext"/>
        <w:rPr>
          <w:lang w:val="en-US"/>
        </w:rPr>
      </w:pPr>
      <w:r>
        <w:rPr>
          <w:rStyle w:val="Funotenzeichen"/>
          <w:rFonts w:eastAsiaTheme="majorEastAsia"/>
        </w:rPr>
        <w:footnoteRef/>
      </w:r>
      <w:r w:rsidRPr="00F501B6">
        <w:rPr>
          <w:lang w:val="en-US"/>
        </w:rPr>
        <w:t xml:space="preserve"> </w:t>
      </w:r>
      <w:r w:rsidRPr="00546F93">
        <w:rPr>
          <w:i/>
          <w:lang w:val="en-US"/>
        </w:rPr>
        <w:t>Fong Yue Ting v. United States</w:t>
      </w:r>
      <w:r w:rsidRPr="00F501B6">
        <w:rPr>
          <w:lang w:val="en-US"/>
        </w:rPr>
        <w:t>, 149 U.S. 698, 755</w:t>
      </w:r>
      <w:r>
        <w:rPr>
          <w:lang w:val="en-US"/>
        </w:rPr>
        <w:t xml:space="preserve"> = 13 S. Ct. </w:t>
      </w:r>
      <w:r w:rsidRPr="00F501B6">
        <w:rPr>
          <w:lang w:val="en-US"/>
        </w:rPr>
        <w:t>1016, 1038</w:t>
      </w:r>
      <w:r>
        <w:rPr>
          <w:lang w:val="en-US"/>
        </w:rPr>
        <w:t xml:space="preserve"> = 37 L. Ed. </w:t>
      </w:r>
      <w:r w:rsidRPr="00F501B6">
        <w:rPr>
          <w:lang w:val="en-US"/>
        </w:rPr>
        <w:t>905, 927</w:t>
      </w:r>
      <w:r>
        <w:rPr>
          <w:lang w:val="en-US"/>
        </w:rPr>
        <w:t xml:space="preserve"> = </w:t>
      </w:r>
      <w:r w:rsidRPr="00F501B6">
        <w:rPr>
          <w:lang w:val="en-US"/>
        </w:rPr>
        <w:t>1893 U.S. LEXIS 2340, 103 (1893)</w:t>
      </w:r>
      <w:r>
        <w:rPr>
          <w:lang w:val="en-US"/>
        </w:rPr>
        <w:t>.</w:t>
      </w:r>
    </w:p>
  </w:footnote>
  <w:footnote w:id="1288">
    <w:p w14:paraId="11DF4C3C" w14:textId="77777777" w:rsidR="00074551" w:rsidRPr="00B45592" w:rsidRDefault="00074551" w:rsidP="00074551">
      <w:pPr>
        <w:pStyle w:val="Funotentext"/>
        <w:ind w:left="227" w:hanging="227"/>
        <w:rPr>
          <w:i/>
          <w:lang w:val="en-US"/>
        </w:rPr>
      </w:pPr>
      <w:r>
        <w:rPr>
          <w:rStyle w:val="Funotenzeichen"/>
          <w:rFonts w:eastAsiaTheme="majorEastAsia"/>
        </w:rPr>
        <w:footnoteRef/>
      </w:r>
      <w:r w:rsidRPr="002F533D">
        <w:rPr>
          <w:lang w:val="en-US"/>
        </w:rPr>
        <w:t xml:space="preserve"> Act of May 5, 1892 (Act), </w:t>
      </w:r>
      <w:r>
        <w:rPr>
          <w:lang w:val="en-US"/>
        </w:rPr>
        <w:t>§ </w:t>
      </w:r>
      <w:r w:rsidRPr="002F533D">
        <w:rPr>
          <w:lang w:val="en-US"/>
        </w:rPr>
        <w:t xml:space="preserve">6, ch. 60, </w:t>
      </w:r>
      <w:r>
        <w:rPr>
          <w:lang w:val="en-US"/>
        </w:rPr>
        <w:t>„</w:t>
      </w:r>
      <w:r w:rsidRPr="002F533D">
        <w:rPr>
          <w:lang w:val="en-US"/>
        </w:rPr>
        <w:t xml:space="preserve">required that Chinese laborers found without a certificate after a year of residency be subject to arrest and </w:t>
      </w:r>
      <w:proofErr w:type="gramStart"/>
      <w:r w:rsidRPr="002F533D">
        <w:rPr>
          <w:lang w:val="en-US"/>
        </w:rPr>
        <w:t>deportation</w:t>
      </w:r>
      <w:r>
        <w:rPr>
          <w:lang w:val="en-US"/>
        </w:rPr>
        <w:t>“</w:t>
      </w:r>
      <w:proofErr w:type="gramEnd"/>
      <w:r>
        <w:rPr>
          <w:lang w:val="en-US"/>
        </w:rPr>
        <w:t xml:space="preserve">; </w:t>
      </w:r>
      <w:r w:rsidRPr="00B45592">
        <w:rPr>
          <w:i/>
          <w:lang w:val="en-US"/>
        </w:rPr>
        <w:t xml:space="preserve">Fong Yue Ting v. United </w:t>
      </w:r>
    </w:p>
    <w:p w14:paraId="3E7C4482" w14:textId="77777777" w:rsidR="00074551" w:rsidRPr="002F533D" w:rsidRDefault="00074551" w:rsidP="00074551">
      <w:pPr>
        <w:pStyle w:val="Funotentext"/>
        <w:ind w:left="227" w:hanging="227"/>
        <w:rPr>
          <w:lang w:val="en-US"/>
        </w:rPr>
      </w:pPr>
      <w:r w:rsidRPr="00B45592">
        <w:rPr>
          <w:i/>
          <w:lang w:val="en-US"/>
        </w:rPr>
        <w:t>States</w:t>
      </w:r>
      <w:r w:rsidRPr="002F533D">
        <w:rPr>
          <w:lang w:val="en-US"/>
        </w:rPr>
        <w:t>, 149 U.S. 698, 704</w:t>
      </w:r>
      <w:r>
        <w:rPr>
          <w:lang w:val="en-US"/>
        </w:rPr>
        <w:t xml:space="preserve"> = 13 S. Ct. </w:t>
      </w:r>
      <w:r w:rsidRPr="002F533D">
        <w:rPr>
          <w:lang w:val="en-US"/>
        </w:rPr>
        <w:t>1016, 1018</w:t>
      </w:r>
      <w:r>
        <w:rPr>
          <w:lang w:val="en-US"/>
        </w:rPr>
        <w:t xml:space="preserve"> = 37 L. Ed. </w:t>
      </w:r>
      <w:r w:rsidRPr="002F533D">
        <w:rPr>
          <w:lang w:val="en-US"/>
        </w:rPr>
        <w:t>905, 910</w:t>
      </w:r>
      <w:r>
        <w:rPr>
          <w:lang w:val="en-US"/>
        </w:rPr>
        <w:t xml:space="preserve"> = 1893 U.S. LEXIS </w:t>
      </w:r>
      <w:r w:rsidRPr="002F533D">
        <w:rPr>
          <w:lang w:val="en-US"/>
        </w:rPr>
        <w:t>2340, 6 (1893)</w:t>
      </w:r>
      <w:r>
        <w:rPr>
          <w:lang w:val="en-US"/>
        </w:rPr>
        <w:t>.</w:t>
      </w:r>
    </w:p>
  </w:footnote>
  <w:footnote w:id="1289">
    <w:p w14:paraId="405CF73C" w14:textId="77777777" w:rsidR="00074551" w:rsidRPr="000203B1" w:rsidRDefault="00074551" w:rsidP="00074551">
      <w:pPr>
        <w:pStyle w:val="Funotentext"/>
        <w:rPr>
          <w:lang w:val="en-US"/>
        </w:rPr>
      </w:pPr>
      <w:r>
        <w:rPr>
          <w:rStyle w:val="Funotenzeichen"/>
          <w:rFonts w:eastAsiaTheme="majorEastAsia"/>
        </w:rPr>
        <w:footnoteRef/>
      </w:r>
      <w:r w:rsidRPr="000203B1">
        <w:rPr>
          <w:lang w:val="en-US"/>
        </w:rPr>
        <w:t xml:space="preserve"> An Act to prohibit the coming of Chinese persons into the United States</w:t>
      </w:r>
      <w:r>
        <w:rPr>
          <w:lang w:val="en-US"/>
        </w:rPr>
        <w:t>, 27 Stat. 25.</w:t>
      </w:r>
    </w:p>
  </w:footnote>
  <w:footnote w:id="1290">
    <w:p w14:paraId="498581A0" w14:textId="77777777" w:rsidR="00074551" w:rsidRPr="00B45592" w:rsidRDefault="00074551" w:rsidP="00074551">
      <w:pPr>
        <w:pStyle w:val="Funotentext"/>
        <w:ind w:left="227" w:hanging="227"/>
        <w:rPr>
          <w:i/>
          <w:lang w:val="en-US"/>
        </w:rPr>
      </w:pPr>
      <w:r>
        <w:rPr>
          <w:rStyle w:val="Funotenzeichen"/>
          <w:rFonts w:eastAsiaTheme="majorEastAsia"/>
        </w:rPr>
        <w:footnoteRef/>
      </w:r>
      <w:r w:rsidRPr="002F533D">
        <w:rPr>
          <w:lang w:val="en-US"/>
        </w:rPr>
        <w:t xml:space="preserve"> </w:t>
      </w:r>
      <w:r w:rsidRPr="00B45592">
        <w:rPr>
          <w:i/>
          <w:lang w:val="en-US"/>
        </w:rPr>
        <w:t xml:space="preserve">Act of May 5, 1892 </w:t>
      </w:r>
      <w:r w:rsidRPr="002F533D">
        <w:rPr>
          <w:lang w:val="en-US"/>
        </w:rPr>
        <w:t xml:space="preserve">(Act), </w:t>
      </w:r>
      <w:r>
        <w:rPr>
          <w:lang w:val="en-US"/>
        </w:rPr>
        <w:t>§ </w:t>
      </w:r>
      <w:r w:rsidRPr="002F533D">
        <w:rPr>
          <w:lang w:val="en-US"/>
        </w:rPr>
        <w:t xml:space="preserve">6, ch. 60, </w:t>
      </w:r>
      <w:r>
        <w:rPr>
          <w:lang w:val="en-US"/>
        </w:rPr>
        <w:t>„</w:t>
      </w:r>
      <w:r w:rsidRPr="002F533D">
        <w:rPr>
          <w:lang w:val="en-US"/>
        </w:rPr>
        <w:t xml:space="preserve">required that Chinese laborers found without a certificate after a year of residency be subject to arrest and </w:t>
      </w:r>
      <w:proofErr w:type="gramStart"/>
      <w:r w:rsidRPr="002F533D">
        <w:rPr>
          <w:lang w:val="en-US"/>
        </w:rPr>
        <w:t>deportation</w:t>
      </w:r>
      <w:r>
        <w:rPr>
          <w:lang w:val="en-US"/>
        </w:rPr>
        <w:t>“</w:t>
      </w:r>
      <w:proofErr w:type="gramEnd"/>
      <w:r>
        <w:rPr>
          <w:lang w:val="en-US"/>
        </w:rPr>
        <w:t xml:space="preserve">; </w:t>
      </w:r>
      <w:r w:rsidRPr="00B45592">
        <w:rPr>
          <w:i/>
          <w:lang w:val="en-US"/>
        </w:rPr>
        <w:t xml:space="preserve">Fong Yue Ting v. United </w:t>
      </w:r>
    </w:p>
    <w:p w14:paraId="21CAC63F" w14:textId="77777777" w:rsidR="00074551" w:rsidRPr="002F533D" w:rsidRDefault="00074551" w:rsidP="00074551">
      <w:pPr>
        <w:pStyle w:val="Funotentext"/>
        <w:ind w:left="227" w:hanging="227"/>
        <w:rPr>
          <w:lang w:val="en-US"/>
        </w:rPr>
      </w:pPr>
      <w:r w:rsidRPr="00B45592">
        <w:rPr>
          <w:i/>
          <w:lang w:val="en-US"/>
        </w:rPr>
        <w:t>States</w:t>
      </w:r>
      <w:r w:rsidRPr="002F533D">
        <w:rPr>
          <w:lang w:val="en-US"/>
        </w:rPr>
        <w:t>, 149 U.S. 698, 704</w:t>
      </w:r>
      <w:r>
        <w:rPr>
          <w:lang w:val="en-US"/>
        </w:rPr>
        <w:t xml:space="preserve"> = 13 S. Ct. </w:t>
      </w:r>
      <w:r w:rsidRPr="002F533D">
        <w:rPr>
          <w:lang w:val="en-US"/>
        </w:rPr>
        <w:t>1016, 1018</w:t>
      </w:r>
      <w:r>
        <w:rPr>
          <w:lang w:val="en-US"/>
        </w:rPr>
        <w:t xml:space="preserve"> = 37 L. Ed. </w:t>
      </w:r>
      <w:r w:rsidRPr="002F533D">
        <w:rPr>
          <w:lang w:val="en-US"/>
        </w:rPr>
        <w:t>905, 910</w:t>
      </w:r>
      <w:r>
        <w:rPr>
          <w:lang w:val="en-US"/>
        </w:rPr>
        <w:t xml:space="preserve"> = 1893 U.S. LEXIS </w:t>
      </w:r>
      <w:r w:rsidRPr="002F533D">
        <w:rPr>
          <w:lang w:val="en-US"/>
        </w:rPr>
        <w:t>2340, 6 (1893)</w:t>
      </w:r>
      <w:r>
        <w:rPr>
          <w:lang w:val="en-US"/>
        </w:rPr>
        <w:t>.</w:t>
      </w:r>
    </w:p>
  </w:footnote>
  <w:footnote w:id="1291">
    <w:p w14:paraId="7B2420AC" w14:textId="77777777" w:rsidR="00074551" w:rsidRPr="002F533D" w:rsidRDefault="00074551" w:rsidP="00074551">
      <w:pPr>
        <w:pStyle w:val="Funotentext"/>
        <w:ind w:left="227" w:hanging="227"/>
        <w:rPr>
          <w:lang w:val="en-US"/>
        </w:rPr>
      </w:pPr>
      <w:r>
        <w:rPr>
          <w:rStyle w:val="Funotenzeichen"/>
          <w:rFonts w:eastAsiaTheme="majorEastAsia"/>
        </w:rPr>
        <w:footnoteRef/>
      </w:r>
      <w:r w:rsidRPr="002F533D">
        <w:rPr>
          <w:lang w:val="en-US"/>
        </w:rPr>
        <w:t xml:space="preserve"> </w:t>
      </w:r>
      <w:r w:rsidRPr="00546F93">
        <w:rPr>
          <w:i/>
          <w:lang w:val="en-US"/>
        </w:rPr>
        <w:t>Fong Yue Ting v. United States</w:t>
      </w:r>
      <w:r w:rsidRPr="001869D1">
        <w:rPr>
          <w:lang w:val="en-US"/>
        </w:rPr>
        <w:t>, 149 U.S. 698, 704</w:t>
      </w:r>
      <w:r>
        <w:rPr>
          <w:lang w:val="en-US"/>
        </w:rPr>
        <w:t xml:space="preserve"> = 13 S. Ct. </w:t>
      </w:r>
      <w:r w:rsidRPr="001869D1">
        <w:rPr>
          <w:lang w:val="en-US"/>
        </w:rPr>
        <w:t>1016, 1018</w:t>
      </w:r>
      <w:r>
        <w:rPr>
          <w:lang w:val="en-US"/>
        </w:rPr>
        <w:t xml:space="preserve"> = 37 L. Ed. </w:t>
      </w:r>
      <w:r w:rsidRPr="001869D1">
        <w:rPr>
          <w:lang w:val="en-US"/>
        </w:rPr>
        <w:t>905, 910</w:t>
      </w:r>
      <w:r>
        <w:rPr>
          <w:lang w:val="en-US"/>
        </w:rPr>
        <w:t xml:space="preserve"> = 1893 U.S. LEXIS </w:t>
      </w:r>
      <w:r w:rsidRPr="001869D1">
        <w:rPr>
          <w:lang w:val="en-US"/>
        </w:rPr>
        <w:t>2340, 6 (1893)</w:t>
      </w:r>
      <w:r>
        <w:rPr>
          <w:lang w:val="en-US"/>
        </w:rPr>
        <w:t>.</w:t>
      </w:r>
    </w:p>
  </w:footnote>
  <w:footnote w:id="1292">
    <w:p w14:paraId="340652C2" w14:textId="77777777" w:rsidR="00074551" w:rsidRPr="00F91429" w:rsidRDefault="00074551" w:rsidP="00074551">
      <w:pPr>
        <w:pStyle w:val="Funotentext"/>
        <w:rPr>
          <w:lang w:val="en-US"/>
        </w:rPr>
      </w:pPr>
      <w:r>
        <w:rPr>
          <w:rStyle w:val="Funotenzeichen"/>
          <w:rFonts w:eastAsiaTheme="majorEastAsia"/>
        </w:rPr>
        <w:footnoteRef/>
      </w:r>
      <w:r w:rsidRPr="00F91429">
        <w:rPr>
          <w:lang w:val="en-US"/>
        </w:rPr>
        <w:t xml:space="preserve"> </w:t>
      </w:r>
      <w:r w:rsidRPr="00546F93">
        <w:rPr>
          <w:i/>
          <w:lang w:val="en-IE"/>
        </w:rPr>
        <w:t>Fong Yue Ting v. United States</w:t>
      </w:r>
      <w:r>
        <w:rPr>
          <w:lang w:val="en-IE"/>
        </w:rPr>
        <w:t xml:space="preserve">, </w:t>
      </w:r>
      <w:r w:rsidRPr="00B45592">
        <w:rPr>
          <w:lang w:val="en-IE"/>
        </w:rPr>
        <w:t>149 U.S. 698, 715</w:t>
      </w:r>
      <w:r>
        <w:rPr>
          <w:lang w:val="en-IE"/>
        </w:rPr>
        <w:t xml:space="preserve"> = 13 S. Ct. </w:t>
      </w:r>
      <w:r w:rsidRPr="00B45592">
        <w:rPr>
          <w:lang w:val="en-IE"/>
        </w:rPr>
        <w:t>1016, 1023</w:t>
      </w:r>
      <w:r>
        <w:rPr>
          <w:lang w:val="en-IE"/>
        </w:rPr>
        <w:t xml:space="preserve"> = 37 L. Ed. </w:t>
      </w:r>
      <w:r w:rsidRPr="00B45592">
        <w:rPr>
          <w:lang w:val="en-IE"/>
        </w:rPr>
        <w:t xml:space="preserve">905, 914 </w:t>
      </w:r>
      <w:r>
        <w:rPr>
          <w:lang w:val="en-IE"/>
        </w:rPr>
        <w:t xml:space="preserve">= 1893 U.S. LEXIS </w:t>
      </w:r>
      <w:r w:rsidRPr="009F548F">
        <w:rPr>
          <w:lang w:val="en-IE"/>
        </w:rPr>
        <w:t>2340, 29</w:t>
      </w:r>
      <w:r>
        <w:rPr>
          <w:lang w:val="en-IE"/>
        </w:rPr>
        <w:t xml:space="preserve"> </w:t>
      </w:r>
      <w:r w:rsidRPr="00B45592">
        <w:rPr>
          <w:lang w:val="en-IE"/>
        </w:rPr>
        <w:t>(1893)</w:t>
      </w:r>
      <w:r>
        <w:rPr>
          <w:lang w:val="en-US"/>
        </w:rPr>
        <w:t>.</w:t>
      </w:r>
    </w:p>
  </w:footnote>
  <w:footnote w:id="1293">
    <w:p w14:paraId="71A1A215" w14:textId="77777777" w:rsidR="00074551" w:rsidRPr="000B222B" w:rsidRDefault="00074551" w:rsidP="00074551">
      <w:pPr>
        <w:pStyle w:val="Funotentext"/>
        <w:rPr>
          <w:lang w:val="en-US"/>
        </w:rPr>
      </w:pPr>
      <w:r>
        <w:rPr>
          <w:rStyle w:val="Funotenzeichen"/>
          <w:rFonts w:eastAsiaTheme="majorEastAsia"/>
        </w:rPr>
        <w:footnoteRef/>
      </w:r>
      <w:r w:rsidRPr="000B222B">
        <w:rPr>
          <w:lang w:val="en-US"/>
        </w:rPr>
        <w:t xml:space="preserve"> </w:t>
      </w:r>
      <w:r w:rsidRPr="00B45592">
        <w:rPr>
          <w:i/>
          <w:lang w:val="en-US"/>
        </w:rPr>
        <w:t>Parratt v. Taylor</w:t>
      </w:r>
      <w:r w:rsidRPr="000B222B">
        <w:rPr>
          <w:lang w:val="en-US"/>
        </w:rPr>
        <w:t>, 451 U.S. 527, 529</w:t>
      </w:r>
      <w:r>
        <w:rPr>
          <w:lang w:val="en-US"/>
        </w:rPr>
        <w:t xml:space="preserve"> =</w:t>
      </w:r>
      <w:r w:rsidRPr="000B222B">
        <w:rPr>
          <w:lang w:val="en-US"/>
        </w:rPr>
        <w:t xml:space="preserve"> 101 S. Ct. 1908, 1909</w:t>
      </w:r>
      <w:r>
        <w:rPr>
          <w:lang w:val="en-US"/>
        </w:rPr>
        <w:t xml:space="preserve"> = 68 L. Ed</w:t>
      </w:r>
      <w:r w:rsidRPr="000B222B">
        <w:rPr>
          <w:lang w:val="en-US"/>
        </w:rPr>
        <w:t>. 2d 420, 424</w:t>
      </w:r>
      <w:r>
        <w:rPr>
          <w:lang w:val="en-US"/>
        </w:rPr>
        <w:t xml:space="preserve"> =</w:t>
      </w:r>
      <w:r w:rsidRPr="000B222B">
        <w:rPr>
          <w:lang w:val="en-US"/>
        </w:rPr>
        <w:t xml:space="preserve"> 1981 U.S. LEXIS 99, 1</w:t>
      </w:r>
      <w:r>
        <w:rPr>
          <w:lang w:val="en-US"/>
        </w:rPr>
        <w:t xml:space="preserve"> =</w:t>
      </w:r>
      <w:r w:rsidRPr="000B222B">
        <w:rPr>
          <w:lang w:val="en-US"/>
        </w:rPr>
        <w:t xml:space="preserve"> 49 U.S.L.W. 4509 (1981)</w:t>
      </w:r>
      <w:r>
        <w:rPr>
          <w:lang w:val="en-US"/>
        </w:rPr>
        <w:t>.</w:t>
      </w:r>
    </w:p>
  </w:footnote>
  <w:footnote w:id="1294">
    <w:p w14:paraId="60D3F604" w14:textId="77777777" w:rsidR="00074551" w:rsidRPr="00A258CC" w:rsidRDefault="00074551" w:rsidP="00074551">
      <w:pPr>
        <w:pStyle w:val="Funotentext"/>
        <w:rPr>
          <w:lang w:val="en-US"/>
        </w:rPr>
      </w:pPr>
      <w:r>
        <w:rPr>
          <w:rStyle w:val="Funotenzeichen"/>
          <w:rFonts w:eastAsiaTheme="majorEastAsia"/>
        </w:rPr>
        <w:footnoteRef/>
      </w:r>
      <w:r w:rsidRPr="00A258CC">
        <w:rPr>
          <w:lang w:val="en-US"/>
        </w:rPr>
        <w:t xml:space="preserve"> </w:t>
      </w:r>
      <w:r w:rsidRPr="009E57E1">
        <w:rPr>
          <w:i/>
          <w:lang w:val="en-US"/>
        </w:rPr>
        <w:t>Hudson v. Palmer</w:t>
      </w:r>
      <w:r w:rsidRPr="00A258CC">
        <w:rPr>
          <w:lang w:val="en-US"/>
        </w:rPr>
        <w:t>, 468 U.S. 517, 519</w:t>
      </w:r>
      <w:r w:rsidRPr="006E67FE">
        <w:rPr>
          <w:lang w:val="en-US"/>
        </w:rPr>
        <w:t xml:space="preserve"> = 104 S. Ct. </w:t>
      </w:r>
      <w:r w:rsidRPr="00A258CC">
        <w:rPr>
          <w:lang w:val="en-US"/>
        </w:rPr>
        <w:t>3194, 3196</w:t>
      </w:r>
      <w:r w:rsidRPr="006E67FE">
        <w:rPr>
          <w:lang w:val="en-US"/>
        </w:rPr>
        <w:t xml:space="preserve"> = 82 L. Ed. </w:t>
      </w:r>
      <w:r w:rsidRPr="00A258CC">
        <w:rPr>
          <w:lang w:val="en-US"/>
        </w:rPr>
        <w:t>2d 393, 398</w:t>
      </w:r>
      <w:r w:rsidRPr="006E67FE">
        <w:rPr>
          <w:lang w:val="en-US"/>
        </w:rPr>
        <w:t xml:space="preserve"> = 1984 U.S. LEXIS </w:t>
      </w:r>
      <w:r w:rsidRPr="00A258CC">
        <w:rPr>
          <w:lang w:val="en-US"/>
        </w:rPr>
        <w:t>143, 2</w:t>
      </w:r>
      <w:r w:rsidRPr="006E67FE">
        <w:rPr>
          <w:lang w:val="en-US"/>
        </w:rPr>
        <w:t xml:space="preserve"> = 52 U.S.L.W. </w:t>
      </w:r>
      <w:r w:rsidRPr="00A258CC">
        <w:rPr>
          <w:lang w:val="en-US"/>
        </w:rPr>
        <w:t>5052 (1984)</w:t>
      </w:r>
      <w:r>
        <w:rPr>
          <w:lang w:val="en-US"/>
        </w:rPr>
        <w:t>.</w:t>
      </w:r>
    </w:p>
  </w:footnote>
  <w:footnote w:id="1295">
    <w:p w14:paraId="3E91D0FE" w14:textId="77777777" w:rsidR="00074551" w:rsidRPr="007156CF" w:rsidRDefault="00074551" w:rsidP="00074551">
      <w:pPr>
        <w:pStyle w:val="Funotentext"/>
        <w:ind w:left="227" w:hanging="227"/>
        <w:rPr>
          <w:lang w:val="en-US"/>
        </w:rPr>
      </w:pPr>
      <w:r>
        <w:rPr>
          <w:rStyle w:val="Funotenzeichen"/>
          <w:rFonts w:eastAsiaTheme="majorEastAsia"/>
        </w:rPr>
        <w:footnoteRef/>
      </w:r>
      <w:r w:rsidRPr="007156CF">
        <w:rPr>
          <w:lang w:val="en-US"/>
        </w:rPr>
        <w:t xml:space="preserve"> </w:t>
      </w:r>
      <w:r w:rsidRPr="009167A5">
        <w:rPr>
          <w:i/>
          <w:lang w:val="en-US"/>
        </w:rPr>
        <w:t>Olmstead v. United States</w:t>
      </w:r>
      <w:r w:rsidRPr="007156CF">
        <w:rPr>
          <w:lang w:val="en-US"/>
        </w:rPr>
        <w:t>, 277 U.S. 438, 478 (1928) (</w:t>
      </w:r>
      <w:r w:rsidRPr="009E57E1">
        <w:rPr>
          <w:lang w:val="en-US"/>
        </w:rPr>
        <w:t xml:space="preserve">Dissens von Richter </w:t>
      </w:r>
      <w:r w:rsidRPr="00B45592">
        <w:rPr>
          <w:i/>
          <w:lang w:val="en-US"/>
        </w:rPr>
        <w:t>Brandeis</w:t>
      </w:r>
      <w:r w:rsidRPr="007156CF">
        <w:rPr>
          <w:lang w:val="en-US"/>
        </w:rPr>
        <w:t>)</w:t>
      </w:r>
      <w:r>
        <w:rPr>
          <w:lang w:val="en-US"/>
        </w:rPr>
        <w:t xml:space="preserve">; </w:t>
      </w:r>
      <w:r w:rsidRPr="009E57E1">
        <w:rPr>
          <w:i/>
          <w:lang w:val="en-US"/>
        </w:rPr>
        <w:t>Hudson v. Palmer</w:t>
      </w:r>
      <w:r w:rsidRPr="007156CF">
        <w:rPr>
          <w:lang w:val="en-US"/>
        </w:rPr>
        <w:t>, 468 U.S. 517, 556</w:t>
      </w:r>
      <w:r w:rsidRPr="006E67FE">
        <w:rPr>
          <w:lang w:val="en-US"/>
        </w:rPr>
        <w:t xml:space="preserve"> = 104 S. Ct. </w:t>
      </w:r>
      <w:r w:rsidRPr="007156CF">
        <w:rPr>
          <w:lang w:val="en-US"/>
        </w:rPr>
        <w:t>3194, 3216</w:t>
      </w:r>
      <w:r w:rsidRPr="006E67FE">
        <w:rPr>
          <w:lang w:val="en-US"/>
        </w:rPr>
        <w:t xml:space="preserve"> = 82 L. Ed. </w:t>
      </w:r>
      <w:r w:rsidRPr="007156CF">
        <w:rPr>
          <w:lang w:val="en-US"/>
        </w:rPr>
        <w:t>2d 393, 422</w:t>
      </w:r>
      <w:r w:rsidRPr="006E67FE">
        <w:rPr>
          <w:lang w:val="en-US"/>
        </w:rPr>
        <w:t xml:space="preserve"> = 1984 U.S. LEXIS </w:t>
      </w:r>
      <w:r w:rsidRPr="007156CF">
        <w:rPr>
          <w:lang w:val="en-US"/>
        </w:rPr>
        <w:t>143, 74</w:t>
      </w:r>
      <w:r w:rsidRPr="006E67FE">
        <w:rPr>
          <w:lang w:val="en-US"/>
        </w:rPr>
        <w:t xml:space="preserve"> = 52 U.S.L.W. </w:t>
      </w:r>
      <w:r w:rsidRPr="007156CF">
        <w:rPr>
          <w:lang w:val="en-US"/>
        </w:rPr>
        <w:t>5052 (1984)</w:t>
      </w:r>
      <w:r>
        <w:rPr>
          <w:lang w:val="en-US"/>
        </w:rPr>
        <w:t>.</w:t>
      </w:r>
    </w:p>
  </w:footnote>
  <w:footnote w:id="1296">
    <w:p w14:paraId="7B0B7C6F" w14:textId="77777777" w:rsidR="00074551" w:rsidRPr="00C14A15" w:rsidRDefault="00074551" w:rsidP="00074551">
      <w:pPr>
        <w:pStyle w:val="Funotentext"/>
        <w:rPr>
          <w:lang w:val="en-US"/>
        </w:rPr>
      </w:pPr>
      <w:r>
        <w:rPr>
          <w:rStyle w:val="Funotenzeichen"/>
          <w:rFonts w:eastAsiaTheme="majorEastAsia"/>
        </w:rPr>
        <w:footnoteRef/>
      </w:r>
      <w:r w:rsidRPr="00C14A15">
        <w:rPr>
          <w:lang w:val="en-US"/>
        </w:rPr>
        <w:t xml:space="preserve"> </w:t>
      </w:r>
      <w:r w:rsidRPr="009E57E1">
        <w:rPr>
          <w:i/>
          <w:lang w:val="en-US"/>
        </w:rPr>
        <w:t>Hudson v. Palmer</w:t>
      </w:r>
      <w:r w:rsidRPr="00C14A15">
        <w:rPr>
          <w:lang w:val="en-US"/>
        </w:rPr>
        <w:t>, 468 U.S. 517, 556</w:t>
      </w:r>
      <w:r w:rsidRPr="006E67FE">
        <w:rPr>
          <w:lang w:val="en-US"/>
        </w:rPr>
        <w:t xml:space="preserve"> = 104 S. Ct. </w:t>
      </w:r>
      <w:r w:rsidRPr="00C14A15">
        <w:rPr>
          <w:lang w:val="en-US"/>
        </w:rPr>
        <w:t>3194, 3216</w:t>
      </w:r>
      <w:r w:rsidRPr="006E67FE">
        <w:rPr>
          <w:lang w:val="en-US"/>
        </w:rPr>
        <w:t xml:space="preserve"> = 82 L. Ed. </w:t>
      </w:r>
      <w:r w:rsidRPr="00C14A15">
        <w:rPr>
          <w:lang w:val="en-US"/>
        </w:rPr>
        <w:t>2d 393, 422</w:t>
      </w:r>
      <w:r w:rsidRPr="006E67FE">
        <w:rPr>
          <w:lang w:val="en-US"/>
        </w:rPr>
        <w:t xml:space="preserve"> = 1984 U.S. LEXIS </w:t>
      </w:r>
      <w:r w:rsidRPr="00C14A15">
        <w:rPr>
          <w:lang w:val="en-US"/>
        </w:rPr>
        <w:t>143, 74</w:t>
      </w:r>
      <w:r w:rsidRPr="006E67FE">
        <w:rPr>
          <w:lang w:val="en-US"/>
        </w:rPr>
        <w:t xml:space="preserve"> = 52 U.S.L.W. </w:t>
      </w:r>
      <w:r w:rsidRPr="00C14A15">
        <w:rPr>
          <w:lang w:val="en-US"/>
        </w:rPr>
        <w:t>5052 (1984).</w:t>
      </w:r>
    </w:p>
  </w:footnote>
  <w:footnote w:id="1297">
    <w:p w14:paraId="02B19834" w14:textId="77777777" w:rsidR="00074551" w:rsidRPr="008A587B" w:rsidRDefault="00074551" w:rsidP="00074551">
      <w:pPr>
        <w:pStyle w:val="Funotentext"/>
        <w:ind w:left="227" w:hanging="227"/>
        <w:rPr>
          <w:lang w:val="en-US"/>
        </w:rPr>
      </w:pPr>
      <w:r>
        <w:rPr>
          <w:rStyle w:val="Funotenzeichen"/>
          <w:rFonts w:eastAsiaTheme="majorEastAsia"/>
        </w:rPr>
        <w:footnoteRef/>
      </w:r>
      <w:r w:rsidRPr="008A587B">
        <w:rPr>
          <w:lang w:val="en-US"/>
        </w:rPr>
        <w:t xml:space="preserve"> </w:t>
      </w:r>
      <w:r w:rsidRPr="00D83E4F">
        <w:rPr>
          <w:i/>
          <w:lang w:val="en-US"/>
        </w:rPr>
        <w:t>Rakas v. Illinois</w:t>
      </w:r>
      <w:r w:rsidRPr="008A587B">
        <w:rPr>
          <w:lang w:val="en-US"/>
        </w:rPr>
        <w:t>, 439 U.S. 128, 129</w:t>
      </w:r>
      <w:r>
        <w:rPr>
          <w:lang w:val="en-US"/>
        </w:rPr>
        <w:t xml:space="preserve"> = 99 S. Ct. </w:t>
      </w:r>
      <w:r w:rsidRPr="008A587B">
        <w:rPr>
          <w:lang w:val="en-US"/>
        </w:rPr>
        <w:t>421, 423</w:t>
      </w:r>
      <w:r w:rsidRPr="00EC5BEB">
        <w:rPr>
          <w:lang w:val="en-US"/>
        </w:rPr>
        <w:t xml:space="preserve"> = 58 L. Ed. </w:t>
      </w:r>
      <w:r w:rsidRPr="008A587B">
        <w:rPr>
          <w:lang w:val="en-US"/>
        </w:rPr>
        <w:t>2d 387, 392</w:t>
      </w:r>
      <w:r w:rsidRPr="003B741A">
        <w:rPr>
          <w:lang w:val="en-US"/>
        </w:rPr>
        <w:t xml:space="preserve"> = 1978 U.S. LEXIS </w:t>
      </w:r>
      <w:r w:rsidRPr="008A587B">
        <w:rPr>
          <w:lang w:val="en-US"/>
        </w:rPr>
        <w:t>2452, 1 (1978).</w:t>
      </w:r>
    </w:p>
  </w:footnote>
  <w:footnote w:id="1298">
    <w:p w14:paraId="7228A953" w14:textId="77777777" w:rsidR="00074551" w:rsidRPr="00A4694A" w:rsidRDefault="00074551" w:rsidP="00074551">
      <w:pPr>
        <w:pStyle w:val="Funotentext"/>
        <w:rPr>
          <w:lang w:val="en-US"/>
        </w:rPr>
      </w:pPr>
      <w:r>
        <w:rPr>
          <w:rStyle w:val="Funotenzeichen"/>
          <w:rFonts w:eastAsiaTheme="majorEastAsia"/>
        </w:rPr>
        <w:footnoteRef/>
      </w:r>
      <w:r w:rsidRPr="00A4694A">
        <w:rPr>
          <w:lang w:val="en-US"/>
        </w:rPr>
        <w:t xml:space="preserve"> </w:t>
      </w:r>
      <w:r w:rsidRPr="00D83E4F">
        <w:rPr>
          <w:i/>
          <w:lang w:val="en-US"/>
        </w:rPr>
        <w:t>Rakas v. Illinois</w:t>
      </w:r>
      <w:r w:rsidRPr="00A4694A">
        <w:rPr>
          <w:lang w:val="en-US"/>
        </w:rPr>
        <w:t>, 439 U.S. 128, 166</w:t>
      </w:r>
      <w:r>
        <w:rPr>
          <w:lang w:val="en-US"/>
        </w:rPr>
        <w:t xml:space="preserve"> = 99 S. Ct. </w:t>
      </w:r>
      <w:r w:rsidRPr="00A4694A">
        <w:rPr>
          <w:lang w:val="en-US"/>
        </w:rPr>
        <w:t>421, 442</w:t>
      </w:r>
      <w:r w:rsidRPr="00EC5BEB">
        <w:rPr>
          <w:lang w:val="en-US"/>
        </w:rPr>
        <w:t xml:space="preserve"> = 58 L. Ed. </w:t>
      </w:r>
      <w:r w:rsidRPr="00A4694A">
        <w:rPr>
          <w:lang w:val="en-US"/>
        </w:rPr>
        <w:t>2d 387, 416</w:t>
      </w:r>
      <w:r w:rsidRPr="003B741A">
        <w:rPr>
          <w:lang w:val="en-US"/>
        </w:rPr>
        <w:t xml:space="preserve"> = 1978 U.S. LEXIS </w:t>
      </w:r>
      <w:r w:rsidRPr="00A4694A">
        <w:rPr>
          <w:lang w:val="en-US"/>
        </w:rPr>
        <w:t>2452, 68 (1978).</w:t>
      </w:r>
    </w:p>
  </w:footnote>
  <w:footnote w:id="1299">
    <w:p w14:paraId="1CF4DC54" w14:textId="77777777" w:rsidR="00074551" w:rsidRPr="00A4694A" w:rsidRDefault="00074551" w:rsidP="00074551">
      <w:pPr>
        <w:pStyle w:val="Funotentext"/>
        <w:rPr>
          <w:lang w:val="en-US"/>
        </w:rPr>
      </w:pPr>
      <w:r>
        <w:rPr>
          <w:rStyle w:val="Funotenzeichen"/>
          <w:rFonts w:eastAsiaTheme="majorEastAsia"/>
        </w:rPr>
        <w:footnoteRef/>
      </w:r>
      <w:r w:rsidRPr="00A4694A">
        <w:rPr>
          <w:lang w:val="en-US"/>
        </w:rPr>
        <w:t xml:space="preserve"> </w:t>
      </w:r>
      <w:r w:rsidRPr="00D83E4F">
        <w:rPr>
          <w:i/>
          <w:lang w:val="en-US"/>
        </w:rPr>
        <w:t>Rakas v. Illinois</w:t>
      </w:r>
      <w:r w:rsidRPr="00A4694A">
        <w:rPr>
          <w:lang w:val="en-US"/>
        </w:rPr>
        <w:t>, 439 U.S. 128, 166</w:t>
      </w:r>
      <w:r>
        <w:rPr>
          <w:lang w:val="en-US"/>
        </w:rPr>
        <w:t xml:space="preserve"> = 99 S. Ct. </w:t>
      </w:r>
      <w:r w:rsidRPr="00A4694A">
        <w:rPr>
          <w:lang w:val="en-US"/>
        </w:rPr>
        <w:t>421, 442</w:t>
      </w:r>
      <w:r w:rsidRPr="00EC5BEB">
        <w:rPr>
          <w:lang w:val="en-US"/>
        </w:rPr>
        <w:t xml:space="preserve"> = 58 L. Ed. </w:t>
      </w:r>
      <w:r w:rsidRPr="00A4694A">
        <w:rPr>
          <w:lang w:val="en-US"/>
        </w:rPr>
        <w:t>2d 387, 416</w:t>
      </w:r>
      <w:r w:rsidRPr="003B741A">
        <w:rPr>
          <w:lang w:val="en-US"/>
        </w:rPr>
        <w:t xml:space="preserve"> = 1978 U.S. LEXIS </w:t>
      </w:r>
      <w:r w:rsidRPr="00A4694A">
        <w:rPr>
          <w:lang w:val="en-US"/>
        </w:rPr>
        <w:t>2452, 68 (1978).</w:t>
      </w:r>
    </w:p>
  </w:footnote>
  <w:footnote w:id="1300">
    <w:p w14:paraId="78B540A1" w14:textId="77777777" w:rsidR="00074551" w:rsidRPr="001C7866" w:rsidRDefault="00074551" w:rsidP="00074551">
      <w:pPr>
        <w:pStyle w:val="Funotentext"/>
        <w:rPr>
          <w:lang w:val="en-US"/>
        </w:rPr>
      </w:pPr>
      <w:r>
        <w:rPr>
          <w:rStyle w:val="Funotenzeichen"/>
        </w:rPr>
        <w:footnoteRef/>
      </w:r>
      <w:r w:rsidRPr="001C7866">
        <w:rPr>
          <w:lang w:val="en-US"/>
        </w:rPr>
        <w:t xml:space="preserve"> </w:t>
      </w:r>
      <w:r>
        <w:rPr>
          <w:lang w:val="en-US"/>
        </w:rPr>
        <w:t>„</w:t>
      </w:r>
      <w:r w:rsidRPr="001C7866">
        <w:rPr>
          <w:lang w:val="en-US"/>
        </w:rPr>
        <w:t>Court and grand jury proceedings</w:t>
      </w:r>
      <w:r>
        <w:rPr>
          <w:lang w:val="en-US"/>
        </w:rPr>
        <w:t xml:space="preserve">: </w:t>
      </w:r>
      <w:r w:rsidRPr="001C7866">
        <w:rPr>
          <w:lang w:val="en-US"/>
        </w:rPr>
        <w:t xml:space="preserve">(a) In the case of any individual who has been or may be called to testify or provide other information at any proceeding before or ancillary to a court of the United States or a grand jury of the United States, the United States district court for the judicial district in which the proceeding is or may be held shall issue, in accordance with subsection (b) of this section, upon the request of the United States attorney for such district, an order requiring such individual to give testimony or provide other information which he refuses to give or provide on the basis of his privilege against self-incrimination, such order to become effective as provided in section 6002 of this title [18 USCS </w:t>
      </w:r>
      <w:r>
        <w:rPr>
          <w:lang w:val="en-US"/>
        </w:rPr>
        <w:t>§ </w:t>
      </w:r>
      <w:r w:rsidRPr="001C7866">
        <w:rPr>
          <w:lang w:val="en-US"/>
        </w:rPr>
        <w:t>6002].</w:t>
      </w:r>
      <w:r>
        <w:rPr>
          <w:lang w:val="en-US"/>
        </w:rPr>
        <w:t xml:space="preserve"> </w:t>
      </w:r>
      <w:r w:rsidRPr="001C7866">
        <w:rPr>
          <w:lang w:val="en-US"/>
        </w:rPr>
        <w:t>(b) A United States attorney may, with the approval of the Attorney General, the Deputy Attorney General, the Associate Attorney General or any designated Assistant Attorney General or Deputy Assistant Attorney General, request an order under subsection (a) of this section when in his judgment—</w:t>
      </w:r>
      <w:r>
        <w:rPr>
          <w:lang w:val="en-US"/>
        </w:rPr>
        <w:t xml:space="preserve"> </w:t>
      </w:r>
      <w:r w:rsidRPr="001C7866">
        <w:rPr>
          <w:lang w:val="en-US"/>
        </w:rPr>
        <w:t>(1) the testimony or other information from such individual may be necessary to the public interest; and</w:t>
      </w:r>
      <w:r>
        <w:rPr>
          <w:lang w:val="en-US"/>
        </w:rPr>
        <w:t xml:space="preserve"> </w:t>
      </w:r>
      <w:r w:rsidRPr="001C7866">
        <w:rPr>
          <w:lang w:val="en-US"/>
        </w:rPr>
        <w:t>(2) such individual has refused or is likely to refuse to testify or provide other information on the basis of his privilege against self-incrimination.</w:t>
      </w:r>
      <w:r>
        <w:rPr>
          <w:lang w:val="en-US"/>
        </w:rPr>
        <w:t xml:space="preserve">“ </w:t>
      </w:r>
      <w:r w:rsidRPr="001C7866">
        <w:rPr>
          <w:lang w:val="en-US"/>
        </w:rPr>
        <w:t xml:space="preserve">18 USCS </w:t>
      </w:r>
      <w:r>
        <w:rPr>
          <w:lang w:val="en-US"/>
        </w:rPr>
        <w:t>§ </w:t>
      </w:r>
      <w:r w:rsidRPr="001C7866">
        <w:rPr>
          <w:lang w:val="en-US"/>
        </w:rPr>
        <w:t>6003</w:t>
      </w:r>
      <w:r>
        <w:rPr>
          <w:lang w:val="en-US"/>
        </w:rPr>
        <w:t>.</w:t>
      </w:r>
    </w:p>
  </w:footnote>
  <w:footnote w:id="1301">
    <w:p w14:paraId="5C7D5094" w14:textId="77777777" w:rsidR="00074551" w:rsidRPr="001C7866" w:rsidRDefault="00074551" w:rsidP="00074551">
      <w:pPr>
        <w:pStyle w:val="Funotentext"/>
        <w:rPr>
          <w:lang w:val="en-US"/>
        </w:rPr>
      </w:pPr>
      <w:r>
        <w:rPr>
          <w:rStyle w:val="Funotenzeichen"/>
        </w:rPr>
        <w:footnoteRef/>
      </w:r>
      <w:r w:rsidRPr="001C7866">
        <w:rPr>
          <w:lang w:val="en-US"/>
        </w:rPr>
        <w:t xml:space="preserve"> </w:t>
      </w:r>
      <w:r w:rsidRPr="00D83E4F">
        <w:rPr>
          <w:i/>
          <w:lang w:val="en-US"/>
        </w:rPr>
        <w:t>Meisel v. United States</w:t>
      </w:r>
      <w:r w:rsidRPr="001C7866">
        <w:rPr>
          <w:lang w:val="en-US"/>
        </w:rPr>
        <w:t>, 412 U.S. 954, 954</w:t>
      </w:r>
      <w:r>
        <w:rPr>
          <w:lang w:val="en-US"/>
        </w:rPr>
        <w:t xml:space="preserve"> = 93 S. Ct. </w:t>
      </w:r>
      <w:r w:rsidRPr="001C7866">
        <w:rPr>
          <w:lang w:val="en-US"/>
        </w:rPr>
        <w:t>3003, 3003</w:t>
      </w:r>
      <w:r>
        <w:rPr>
          <w:lang w:val="en-US"/>
        </w:rPr>
        <w:t xml:space="preserve"> = 37 L. Ed. </w:t>
      </w:r>
      <w:r w:rsidRPr="001C7866">
        <w:rPr>
          <w:lang w:val="en-US"/>
        </w:rPr>
        <w:t>2d 1007, 1007</w:t>
      </w:r>
      <w:r>
        <w:rPr>
          <w:lang w:val="en-US"/>
        </w:rPr>
        <w:t xml:space="preserve"> = 1973 U.S. LEXIS </w:t>
      </w:r>
      <w:r w:rsidRPr="001C7866">
        <w:rPr>
          <w:lang w:val="en-US"/>
        </w:rPr>
        <w:t>2073, 1 (1973)</w:t>
      </w:r>
      <w:r>
        <w:rPr>
          <w:lang w:val="en-US"/>
        </w:rPr>
        <w:t>.</w:t>
      </w:r>
    </w:p>
  </w:footnote>
  <w:footnote w:id="1302">
    <w:p w14:paraId="4E8933C7" w14:textId="77777777" w:rsidR="00074551" w:rsidRPr="001C7866" w:rsidRDefault="00074551" w:rsidP="00074551">
      <w:pPr>
        <w:pStyle w:val="Funotentext"/>
        <w:rPr>
          <w:lang w:val="en-US"/>
        </w:rPr>
      </w:pPr>
      <w:r>
        <w:rPr>
          <w:rStyle w:val="Funotenzeichen"/>
        </w:rPr>
        <w:footnoteRef/>
      </w:r>
      <w:r w:rsidRPr="001C7866">
        <w:rPr>
          <w:lang w:val="en-US"/>
        </w:rPr>
        <w:t xml:space="preserve"> </w:t>
      </w:r>
      <w:r w:rsidRPr="00D83E4F">
        <w:rPr>
          <w:i/>
          <w:lang w:val="en-US"/>
        </w:rPr>
        <w:t>Meisel v. United States</w:t>
      </w:r>
      <w:r w:rsidRPr="001C7866">
        <w:rPr>
          <w:lang w:val="en-US"/>
        </w:rPr>
        <w:t>, 412 U.S. 954, 954</w:t>
      </w:r>
      <w:r>
        <w:rPr>
          <w:lang w:val="en-US"/>
        </w:rPr>
        <w:t xml:space="preserve"> = 93 S. Ct. </w:t>
      </w:r>
      <w:r w:rsidRPr="001C7866">
        <w:rPr>
          <w:lang w:val="en-US"/>
        </w:rPr>
        <w:t>3003, 3004</w:t>
      </w:r>
      <w:r>
        <w:rPr>
          <w:lang w:val="en-US"/>
        </w:rPr>
        <w:t xml:space="preserve"> = 37 L. Ed. </w:t>
      </w:r>
      <w:r w:rsidRPr="001C7866">
        <w:rPr>
          <w:lang w:val="en-US"/>
        </w:rPr>
        <w:t>2d 1007, 1007</w:t>
      </w:r>
      <w:r>
        <w:rPr>
          <w:lang w:val="en-US"/>
        </w:rPr>
        <w:t>–</w:t>
      </w:r>
      <w:r w:rsidRPr="001C7866">
        <w:rPr>
          <w:lang w:val="en-US"/>
        </w:rPr>
        <w:t>1008</w:t>
      </w:r>
      <w:r>
        <w:rPr>
          <w:lang w:val="en-US"/>
        </w:rPr>
        <w:t xml:space="preserve"> = 1973 U.S. LEXIS </w:t>
      </w:r>
      <w:r w:rsidRPr="001C7866">
        <w:rPr>
          <w:lang w:val="en-US"/>
        </w:rPr>
        <w:t>2073, 1 (1973)</w:t>
      </w:r>
      <w:r>
        <w:rPr>
          <w:lang w:val="en-US"/>
        </w:rPr>
        <w:t>.</w:t>
      </w:r>
    </w:p>
  </w:footnote>
  <w:footnote w:id="1303">
    <w:p w14:paraId="0094365C" w14:textId="77777777" w:rsidR="00074551" w:rsidRPr="00553812" w:rsidRDefault="00074551" w:rsidP="00074551">
      <w:pPr>
        <w:pStyle w:val="Funotentext"/>
        <w:rPr>
          <w:lang w:val="en-US"/>
        </w:rPr>
      </w:pPr>
      <w:r>
        <w:rPr>
          <w:rStyle w:val="Funotenzeichen"/>
        </w:rPr>
        <w:footnoteRef/>
      </w:r>
      <w:r w:rsidRPr="00553812">
        <w:rPr>
          <w:lang w:val="en-US"/>
        </w:rPr>
        <w:t xml:space="preserve"> </w:t>
      </w:r>
      <w:r w:rsidRPr="009167A5">
        <w:rPr>
          <w:i/>
          <w:lang w:val="en-US"/>
        </w:rPr>
        <w:t>Olmstead v. United States</w:t>
      </w:r>
      <w:r w:rsidRPr="00553812">
        <w:rPr>
          <w:lang w:val="en-US"/>
        </w:rPr>
        <w:t xml:space="preserve">, 277 U.S. 438, 478 </w:t>
      </w:r>
      <w:r w:rsidRPr="00D83E4F">
        <w:rPr>
          <w:lang w:val="en-US"/>
        </w:rPr>
        <w:t>(</w:t>
      </w:r>
      <w:r w:rsidRPr="009E57E1">
        <w:rPr>
          <w:lang w:val="en-US"/>
        </w:rPr>
        <w:t xml:space="preserve">Dissens von Richter </w:t>
      </w:r>
      <w:r w:rsidRPr="00B45592">
        <w:rPr>
          <w:i/>
          <w:lang w:val="en-US"/>
        </w:rPr>
        <w:t>Brandeis</w:t>
      </w:r>
      <w:r w:rsidRPr="00553812">
        <w:rPr>
          <w:lang w:val="en-US"/>
        </w:rPr>
        <w:t>)</w:t>
      </w:r>
      <w:r>
        <w:rPr>
          <w:lang w:val="en-US"/>
        </w:rPr>
        <w:t xml:space="preserve">; </w:t>
      </w:r>
      <w:r w:rsidRPr="00D83E4F">
        <w:rPr>
          <w:i/>
          <w:lang w:val="en-US"/>
        </w:rPr>
        <w:t>Meisel v. United States</w:t>
      </w:r>
      <w:r w:rsidRPr="00553812">
        <w:rPr>
          <w:lang w:val="en-US"/>
        </w:rPr>
        <w:t>, 412 U.S. 954, 955</w:t>
      </w:r>
      <w:r>
        <w:rPr>
          <w:lang w:val="en-US"/>
        </w:rPr>
        <w:t xml:space="preserve"> = 93 S. Ct. </w:t>
      </w:r>
      <w:r w:rsidRPr="00553812">
        <w:rPr>
          <w:lang w:val="en-US"/>
        </w:rPr>
        <w:t>3003, 3004</w:t>
      </w:r>
      <w:r>
        <w:rPr>
          <w:lang w:val="en-US"/>
        </w:rPr>
        <w:t xml:space="preserve"> = 37 L. Ed. </w:t>
      </w:r>
      <w:r w:rsidRPr="00553812">
        <w:rPr>
          <w:lang w:val="en-US"/>
        </w:rPr>
        <w:t>2d 1007, 1008</w:t>
      </w:r>
      <w:r>
        <w:rPr>
          <w:lang w:val="en-US"/>
        </w:rPr>
        <w:t xml:space="preserve"> = 1973 U.S. LEXIS </w:t>
      </w:r>
      <w:r w:rsidRPr="00553812">
        <w:rPr>
          <w:lang w:val="en-US"/>
        </w:rPr>
        <w:t>2073, 2 (1973)</w:t>
      </w:r>
      <w:r>
        <w:rPr>
          <w:lang w:val="en-US"/>
        </w:rPr>
        <w:t>.</w:t>
      </w:r>
    </w:p>
  </w:footnote>
  <w:footnote w:id="1304">
    <w:p w14:paraId="50F60B76" w14:textId="77777777" w:rsidR="00074551" w:rsidRPr="00553812" w:rsidRDefault="00074551" w:rsidP="00074551">
      <w:pPr>
        <w:pStyle w:val="Funotentext"/>
        <w:rPr>
          <w:lang w:val="en-US"/>
        </w:rPr>
      </w:pPr>
      <w:r>
        <w:rPr>
          <w:rStyle w:val="Funotenzeichen"/>
        </w:rPr>
        <w:footnoteRef/>
      </w:r>
      <w:r w:rsidRPr="00553812">
        <w:rPr>
          <w:lang w:val="en-US"/>
        </w:rPr>
        <w:t xml:space="preserve"> </w:t>
      </w:r>
      <w:r w:rsidRPr="009167A5">
        <w:rPr>
          <w:i/>
          <w:lang w:val="en-US"/>
        </w:rPr>
        <w:t>Olmstead v. United States</w:t>
      </w:r>
      <w:r w:rsidRPr="00553812">
        <w:rPr>
          <w:lang w:val="en-US"/>
        </w:rPr>
        <w:t>, 277 U.S. 438, 478 (</w:t>
      </w:r>
      <w:r w:rsidRPr="009E57E1">
        <w:rPr>
          <w:lang w:val="en-US"/>
        </w:rPr>
        <w:t xml:space="preserve">Dissens von Richter </w:t>
      </w:r>
      <w:r w:rsidRPr="00B45592">
        <w:rPr>
          <w:i/>
          <w:lang w:val="en-US"/>
        </w:rPr>
        <w:t>Brandeis</w:t>
      </w:r>
      <w:r w:rsidRPr="00553812">
        <w:rPr>
          <w:lang w:val="en-US"/>
        </w:rPr>
        <w:t>)</w:t>
      </w:r>
      <w:r>
        <w:rPr>
          <w:lang w:val="en-US"/>
        </w:rPr>
        <w:t xml:space="preserve">; </w:t>
      </w:r>
      <w:r w:rsidRPr="00D83E4F">
        <w:rPr>
          <w:i/>
          <w:lang w:val="en-US"/>
        </w:rPr>
        <w:t>Meisel v. United States</w:t>
      </w:r>
      <w:r w:rsidRPr="00553812">
        <w:rPr>
          <w:lang w:val="en-US"/>
        </w:rPr>
        <w:t>, 412 U.S. 954, 955</w:t>
      </w:r>
      <w:r>
        <w:rPr>
          <w:lang w:val="en-US"/>
        </w:rPr>
        <w:t xml:space="preserve"> = 93 S. Ct. </w:t>
      </w:r>
      <w:r w:rsidRPr="00553812">
        <w:rPr>
          <w:lang w:val="en-US"/>
        </w:rPr>
        <w:t>3003, 3004</w:t>
      </w:r>
      <w:r>
        <w:rPr>
          <w:lang w:val="en-US"/>
        </w:rPr>
        <w:t xml:space="preserve"> = 37 L. Ed. </w:t>
      </w:r>
      <w:r w:rsidRPr="00553812">
        <w:rPr>
          <w:lang w:val="en-US"/>
        </w:rPr>
        <w:t>2d 1007, 1008</w:t>
      </w:r>
      <w:r>
        <w:rPr>
          <w:lang w:val="en-US"/>
        </w:rPr>
        <w:t xml:space="preserve"> = 1973 U.S. LEXIS </w:t>
      </w:r>
      <w:r w:rsidRPr="00553812">
        <w:rPr>
          <w:lang w:val="en-US"/>
        </w:rPr>
        <w:t>2073, 2 (1973)</w:t>
      </w:r>
      <w:r>
        <w:rPr>
          <w:lang w:val="en-US"/>
        </w:rPr>
        <w:t>.</w:t>
      </w:r>
    </w:p>
  </w:footnote>
  <w:footnote w:id="1305">
    <w:p w14:paraId="0A2295DF" w14:textId="77777777" w:rsidR="00074551" w:rsidRPr="00553812" w:rsidRDefault="00074551" w:rsidP="00074551">
      <w:pPr>
        <w:pStyle w:val="Funotentext"/>
        <w:rPr>
          <w:lang w:val="en-US"/>
        </w:rPr>
      </w:pPr>
      <w:r>
        <w:rPr>
          <w:rStyle w:val="Funotenzeichen"/>
        </w:rPr>
        <w:footnoteRef/>
      </w:r>
      <w:r w:rsidRPr="00553812">
        <w:rPr>
          <w:lang w:val="en-US"/>
        </w:rPr>
        <w:t xml:space="preserve"> </w:t>
      </w:r>
      <w:r w:rsidRPr="009167A5">
        <w:rPr>
          <w:i/>
          <w:lang w:val="en-US"/>
        </w:rPr>
        <w:t>Olmstead v. United States</w:t>
      </w:r>
      <w:r w:rsidRPr="00553812">
        <w:rPr>
          <w:lang w:val="en-US"/>
        </w:rPr>
        <w:t>, 277 U.S. 438, 478 (</w:t>
      </w:r>
      <w:r w:rsidRPr="009E57E1">
        <w:rPr>
          <w:lang w:val="en-US"/>
        </w:rPr>
        <w:t xml:space="preserve">Dissens von Richter </w:t>
      </w:r>
      <w:r w:rsidRPr="00B45592">
        <w:rPr>
          <w:i/>
          <w:lang w:val="en-US"/>
        </w:rPr>
        <w:t>Brandeis</w:t>
      </w:r>
      <w:r w:rsidRPr="00553812">
        <w:rPr>
          <w:lang w:val="en-US"/>
        </w:rPr>
        <w:t>)</w:t>
      </w:r>
      <w:r>
        <w:rPr>
          <w:lang w:val="en-US"/>
        </w:rPr>
        <w:t xml:space="preserve">; </w:t>
      </w:r>
      <w:r w:rsidRPr="00D83E4F">
        <w:rPr>
          <w:i/>
          <w:lang w:val="en-US"/>
        </w:rPr>
        <w:t>Meisel v. United States</w:t>
      </w:r>
      <w:r w:rsidRPr="00553812">
        <w:rPr>
          <w:lang w:val="en-US"/>
        </w:rPr>
        <w:t>, 412 U.S. 954, 955</w:t>
      </w:r>
      <w:r>
        <w:rPr>
          <w:lang w:val="en-US"/>
        </w:rPr>
        <w:t xml:space="preserve"> = 93 S. Ct. </w:t>
      </w:r>
      <w:r w:rsidRPr="00553812">
        <w:rPr>
          <w:lang w:val="en-US"/>
        </w:rPr>
        <w:t>3003, 3004</w:t>
      </w:r>
      <w:r>
        <w:rPr>
          <w:lang w:val="en-US"/>
        </w:rPr>
        <w:t xml:space="preserve"> = 37 L. Ed. </w:t>
      </w:r>
      <w:r w:rsidRPr="00553812">
        <w:rPr>
          <w:lang w:val="en-US"/>
        </w:rPr>
        <w:t>2d 1007, 1008</w:t>
      </w:r>
      <w:r>
        <w:rPr>
          <w:lang w:val="en-US"/>
        </w:rPr>
        <w:t xml:space="preserve"> = 1973 U.S. LEXIS </w:t>
      </w:r>
      <w:r w:rsidRPr="00553812">
        <w:rPr>
          <w:lang w:val="en-US"/>
        </w:rPr>
        <w:t>2073, 2 (1973)</w:t>
      </w:r>
      <w:r>
        <w:rPr>
          <w:lang w:val="en-US"/>
        </w:rPr>
        <w:t>.</w:t>
      </w:r>
    </w:p>
  </w:footnote>
  <w:footnote w:id="1306">
    <w:p w14:paraId="6BDC4F72" w14:textId="77777777" w:rsidR="00074551" w:rsidRPr="001C7866" w:rsidRDefault="00074551" w:rsidP="00074551">
      <w:pPr>
        <w:pStyle w:val="Funotentext"/>
        <w:rPr>
          <w:lang w:val="en-US"/>
        </w:rPr>
      </w:pPr>
      <w:r>
        <w:rPr>
          <w:rStyle w:val="Funotenzeichen"/>
        </w:rPr>
        <w:footnoteRef/>
      </w:r>
      <w:r w:rsidRPr="001C7866">
        <w:rPr>
          <w:lang w:val="en-US"/>
        </w:rPr>
        <w:t xml:space="preserve"> </w:t>
      </w:r>
      <w:r w:rsidRPr="00D83E4F">
        <w:rPr>
          <w:i/>
          <w:lang w:val="en-US"/>
        </w:rPr>
        <w:t>Meisel v. United States</w:t>
      </w:r>
      <w:r w:rsidRPr="001C7866">
        <w:rPr>
          <w:lang w:val="en-US"/>
        </w:rPr>
        <w:t>, 412 U.S. 954, 954</w:t>
      </w:r>
      <w:r>
        <w:rPr>
          <w:lang w:val="en-US"/>
        </w:rPr>
        <w:t xml:space="preserve"> = 93 S. Ct. </w:t>
      </w:r>
      <w:r w:rsidRPr="001C7866">
        <w:rPr>
          <w:lang w:val="en-US"/>
        </w:rPr>
        <w:t>3003, 3003</w:t>
      </w:r>
      <w:r>
        <w:rPr>
          <w:lang w:val="en-US"/>
        </w:rPr>
        <w:t xml:space="preserve"> = 37 L. Ed. </w:t>
      </w:r>
      <w:r w:rsidRPr="001C7866">
        <w:rPr>
          <w:lang w:val="en-US"/>
        </w:rPr>
        <w:t>2d 1007, 1007</w:t>
      </w:r>
      <w:r>
        <w:rPr>
          <w:lang w:val="en-US"/>
        </w:rPr>
        <w:t xml:space="preserve"> = 1973 U.S. LEXIS </w:t>
      </w:r>
      <w:r w:rsidRPr="001C7866">
        <w:rPr>
          <w:lang w:val="en-US"/>
        </w:rPr>
        <w:t>2073, 1 (1973)</w:t>
      </w:r>
      <w:r>
        <w:rPr>
          <w:lang w:val="en-US"/>
        </w:rPr>
        <w:t>.</w:t>
      </w:r>
    </w:p>
  </w:footnote>
  <w:footnote w:id="1307">
    <w:p w14:paraId="7DE0B488" w14:textId="77777777" w:rsidR="00074551" w:rsidRPr="0090338E" w:rsidRDefault="00074551" w:rsidP="00074551">
      <w:pPr>
        <w:pStyle w:val="Funotentext"/>
        <w:rPr>
          <w:lang w:val="en-US"/>
        </w:rPr>
      </w:pPr>
      <w:r>
        <w:rPr>
          <w:rStyle w:val="Funotenzeichen"/>
          <w:rFonts w:eastAsiaTheme="majorEastAsia"/>
        </w:rPr>
        <w:footnoteRef/>
      </w:r>
      <w:r w:rsidRPr="0090338E">
        <w:rPr>
          <w:lang w:val="en-US"/>
        </w:rPr>
        <w:t xml:space="preserve"> </w:t>
      </w:r>
      <w:r w:rsidRPr="009167A5">
        <w:rPr>
          <w:i/>
          <w:lang w:val="en-US"/>
        </w:rPr>
        <w:t>Senn v. Tile Layers Protective Union</w:t>
      </w:r>
      <w:r w:rsidRPr="0090338E">
        <w:rPr>
          <w:lang w:val="en-US"/>
        </w:rPr>
        <w:t>, 301 U.S. 468, 487</w:t>
      </w:r>
      <w:r>
        <w:rPr>
          <w:lang w:val="en-US"/>
        </w:rPr>
        <w:t xml:space="preserve"> = 57 S. Ct. </w:t>
      </w:r>
      <w:r w:rsidRPr="0090338E">
        <w:rPr>
          <w:lang w:val="en-US"/>
        </w:rPr>
        <w:t>857, 866</w:t>
      </w:r>
      <w:r>
        <w:rPr>
          <w:lang w:val="en-US"/>
        </w:rPr>
        <w:t xml:space="preserve"> = 81 L. Ed. </w:t>
      </w:r>
      <w:r w:rsidRPr="0090338E">
        <w:rPr>
          <w:lang w:val="en-US"/>
        </w:rPr>
        <w:t>1229, 1240</w:t>
      </w:r>
      <w:r>
        <w:rPr>
          <w:lang w:val="en-US"/>
        </w:rPr>
        <w:t xml:space="preserve"> = 1937 U.S. LEXIS </w:t>
      </w:r>
      <w:r w:rsidRPr="0090338E">
        <w:rPr>
          <w:lang w:val="en-US"/>
        </w:rPr>
        <w:t>1197, 31</w:t>
      </w:r>
      <w:r w:rsidRPr="005D5028">
        <w:rPr>
          <w:lang w:val="en-US"/>
        </w:rPr>
        <w:t xml:space="preserve"> = 1 Lab. Cas. </w:t>
      </w:r>
      <w:r w:rsidRPr="0090338E">
        <w:rPr>
          <w:lang w:val="en-US"/>
        </w:rPr>
        <w:t xml:space="preserve">(CCH) P17,023 (1937) </w:t>
      </w:r>
      <w:proofErr w:type="spellStart"/>
      <w:r w:rsidRPr="00D83E4F">
        <w:rPr>
          <w:lang w:val="en-US"/>
        </w:rPr>
        <w:t>bestätigt</w:t>
      </w:r>
      <w:proofErr w:type="spellEnd"/>
      <w:r>
        <w:rPr>
          <w:lang w:val="en-US"/>
        </w:rPr>
        <w:t xml:space="preserve"> die</w:t>
      </w:r>
      <w:r w:rsidRPr="00D83E4F">
        <w:rPr>
          <w:lang w:val="en-US"/>
        </w:rPr>
        <w:t xml:space="preserve"> </w:t>
      </w:r>
      <w:r w:rsidRPr="00B45592">
        <w:rPr>
          <w:i/>
          <w:lang w:val="en-US"/>
        </w:rPr>
        <w:t>concurring opinion</w:t>
      </w:r>
      <w:r w:rsidRPr="00D83E4F">
        <w:rPr>
          <w:lang w:val="en-US"/>
        </w:rPr>
        <w:t xml:space="preserve"> </w:t>
      </w:r>
      <w:r w:rsidRPr="00B45592">
        <w:rPr>
          <w:lang w:val="en-US"/>
        </w:rPr>
        <w:t>von Richter</w:t>
      </w:r>
      <w:r w:rsidRPr="00D83E4F">
        <w:rPr>
          <w:lang w:val="en-US"/>
        </w:rPr>
        <w:t xml:space="preserve"> </w:t>
      </w:r>
      <w:r w:rsidRPr="00B45592">
        <w:rPr>
          <w:i/>
          <w:lang w:val="en-US"/>
        </w:rPr>
        <w:t>Bradley</w:t>
      </w:r>
      <w:r w:rsidRPr="00D83E4F">
        <w:rPr>
          <w:lang w:val="en-US"/>
        </w:rPr>
        <w:t xml:space="preserve"> in </w:t>
      </w:r>
      <w:r w:rsidRPr="00B45592">
        <w:rPr>
          <w:i/>
          <w:lang w:val="en-US"/>
        </w:rPr>
        <w:t>Butchers’ Union Co. v. Crescent City Co.</w:t>
      </w:r>
      <w:r w:rsidRPr="00D83E4F">
        <w:rPr>
          <w:lang w:val="en-US"/>
        </w:rPr>
        <w:t>, 111 U.S. 746, 762</w:t>
      </w:r>
      <w:r>
        <w:rPr>
          <w:lang w:val="en-US"/>
        </w:rPr>
        <w:t xml:space="preserve"> (1884)</w:t>
      </w:r>
      <w:r w:rsidRPr="00D83E4F">
        <w:rPr>
          <w:lang w:val="en-US"/>
        </w:rPr>
        <w:t xml:space="preserve">, </w:t>
      </w:r>
      <w:bookmarkStart w:id="61" w:name="_Hlk228916701"/>
      <w:proofErr w:type="spellStart"/>
      <w:r w:rsidRPr="00B45592">
        <w:rPr>
          <w:lang w:val="en-US"/>
        </w:rPr>
        <w:t>zustimmend</w:t>
      </w:r>
      <w:proofErr w:type="spellEnd"/>
      <w:r w:rsidRPr="00B45592">
        <w:rPr>
          <w:lang w:val="en-US"/>
        </w:rPr>
        <w:t xml:space="preserve"> </w:t>
      </w:r>
      <w:proofErr w:type="spellStart"/>
      <w:r w:rsidRPr="00B45592">
        <w:rPr>
          <w:lang w:val="en-US"/>
        </w:rPr>
        <w:t>zitiert</w:t>
      </w:r>
      <w:proofErr w:type="spellEnd"/>
      <w:r w:rsidRPr="00B45592">
        <w:rPr>
          <w:lang w:val="en-US"/>
        </w:rPr>
        <w:t xml:space="preserve"> </w:t>
      </w:r>
      <w:bookmarkEnd w:id="61"/>
      <w:r w:rsidRPr="00D83E4F">
        <w:rPr>
          <w:lang w:val="en-US"/>
        </w:rPr>
        <w:t xml:space="preserve">in </w:t>
      </w:r>
      <w:r w:rsidRPr="00D83E4F">
        <w:rPr>
          <w:i/>
          <w:lang w:val="en-US"/>
        </w:rPr>
        <w:t>Allgeyer v. Louisiana</w:t>
      </w:r>
      <w:r w:rsidRPr="00D83E4F">
        <w:rPr>
          <w:lang w:val="en-US"/>
        </w:rPr>
        <w:t>,</w:t>
      </w:r>
      <w:r w:rsidRPr="0090338E">
        <w:rPr>
          <w:lang w:val="en-US"/>
        </w:rPr>
        <w:t xml:space="preserve"> 165 U.S. 578, 589</w:t>
      </w:r>
      <w:r>
        <w:rPr>
          <w:lang w:val="en-US"/>
        </w:rPr>
        <w:t xml:space="preserve"> </w:t>
      </w:r>
      <w:r>
        <w:rPr>
          <w:iCs/>
          <w:lang w:val="en-US"/>
        </w:rPr>
        <w:t>(1897)</w:t>
      </w:r>
      <w:r w:rsidRPr="0090338E">
        <w:rPr>
          <w:lang w:val="en-US"/>
        </w:rPr>
        <w:t xml:space="preserve">; </w:t>
      </w:r>
      <w:r w:rsidRPr="004F13B1">
        <w:rPr>
          <w:i/>
          <w:lang w:val="en-US"/>
        </w:rPr>
        <w:t>Barbier v. Connolly</w:t>
      </w:r>
      <w:r w:rsidRPr="0090338E">
        <w:rPr>
          <w:lang w:val="en-US"/>
        </w:rPr>
        <w:t>, 113 U.S. 27, 31</w:t>
      </w:r>
      <w:r>
        <w:rPr>
          <w:lang w:val="en-US"/>
        </w:rPr>
        <w:t xml:space="preserve"> (1885)</w:t>
      </w:r>
      <w:r w:rsidRPr="0090338E">
        <w:rPr>
          <w:lang w:val="en-US"/>
        </w:rPr>
        <w:t>.</w:t>
      </w:r>
    </w:p>
  </w:footnote>
  <w:footnote w:id="1308">
    <w:p w14:paraId="307AC9CE" w14:textId="77777777" w:rsidR="00074551" w:rsidRPr="003B741A" w:rsidRDefault="00074551" w:rsidP="00074551">
      <w:pPr>
        <w:pStyle w:val="Funotentext"/>
      </w:pPr>
      <w:r>
        <w:rPr>
          <w:rStyle w:val="Funotenzeichen"/>
          <w:rFonts w:eastAsiaTheme="majorEastAsia"/>
        </w:rPr>
        <w:footnoteRef/>
      </w:r>
      <w:r w:rsidRPr="00E91DA6">
        <w:t xml:space="preserve"> Ein Erlass, mit dem ein höheres Gericht (z.B. ein Berufungsgericht) eine Entscheidung eines niedrigeren Gerichts (z.B. eines Bezirksgerichts) überprüft</w:t>
      </w:r>
      <w:r>
        <w:t>, vgl.</w:t>
      </w:r>
      <w:r w:rsidRPr="00E91DA6">
        <w:t xml:space="preserve"> </w:t>
      </w:r>
      <w:r w:rsidRPr="00B45592">
        <w:t>https://www.law.cornell.edu/wex/certiorari</w:t>
      </w:r>
      <w:r>
        <w:t xml:space="preserve"> </w:t>
      </w:r>
      <w:r w:rsidRPr="00B45592">
        <w:t>(27.04.2026).</w:t>
      </w:r>
    </w:p>
  </w:footnote>
  <w:footnote w:id="1309">
    <w:p w14:paraId="719CBC2C" w14:textId="77777777" w:rsidR="00074551" w:rsidRPr="00CF0280" w:rsidRDefault="00074551" w:rsidP="00074551">
      <w:pPr>
        <w:pStyle w:val="Funotentext"/>
        <w:rPr>
          <w:lang w:val="en-US"/>
        </w:rPr>
      </w:pPr>
      <w:r>
        <w:rPr>
          <w:rStyle w:val="Funotenzeichen"/>
          <w:rFonts w:eastAsiaTheme="majorEastAsia"/>
        </w:rPr>
        <w:footnoteRef/>
      </w:r>
      <w:r w:rsidRPr="003E41EC">
        <w:rPr>
          <w:lang w:val="en-US"/>
        </w:rPr>
        <w:t xml:space="preserve"> </w:t>
      </w:r>
      <w:r w:rsidRPr="009167A5">
        <w:rPr>
          <w:i/>
          <w:lang w:val="en-IE"/>
        </w:rPr>
        <w:t>Senn v. Tile Layers Protective Union</w:t>
      </w:r>
      <w:r w:rsidRPr="00B45592">
        <w:rPr>
          <w:lang w:val="en-IE"/>
        </w:rPr>
        <w:t>, 301 U.S. 468, 487</w:t>
      </w:r>
      <w:r>
        <w:rPr>
          <w:lang w:val="en-IE"/>
        </w:rPr>
        <w:t xml:space="preserve"> = 57 S. Ct. </w:t>
      </w:r>
      <w:r w:rsidRPr="00B45592">
        <w:rPr>
          <w:lang w:val="en-IE"/>
        </w:rPr>
        <w:t>857, 866</w:t>
      </w:r>
      <w:r>
        <w:rPr>
          <w:lang w:val="en-IE"/>
        </w:rPr>
        <w:t xml:space="preserve"> = 81 L. Ed. </w:t>
      </w:r>
      <w:r w:rsidRPr="00B45592">
        <w:rPr>
          <w:lang w:val="en-IE"/>
        </w:rPr>
        <w:t>1229, 1240</w:t>
      </w:r>
      <w:r>
        <w:rPr>
          <w:lang w:val="en-IE"/>
        </w:rPr>
        <w:t xml:space="preserve"> = 1937 U.S. LEXIS </w:t>
      </w:r>
      <w:r w:rsidRPr="00B45592">
        <w:rPr>
          <w:lang w:val="en-IE"/>
        </w:rPr>
        <w:t>1197, 31</w:t>
      </w:r>
      <w:r w:rsidRPr="005D5028">
        <w:rPr>
          <w:lang w:val="en-IE"/>
        </w:rPr>
        <w:t xml:space="preserve"> = 1 Lab. Cas. </w:t>
      </w:r>
      <w:r w:rsidRPr="00B45592">
        <w:rPr>
          <w:lang w:val="en-IE"/>
        </w:rPr>
        <w:t>(CCH) P17,023 (1937)</w:t>
      </w:r>
      <w:r>
        <w:rPr>
          <w:iCs/>
          <w:lang w:val="en-US"/>
        </w:rPr>
        <w:t xml:space="preserve"> </w:t>
      </w:r>
      <w:proofErr w:type="spellStart"/>
      <w:r>
        <w:rPr>
          <w:iCs/>
          <w:lang w:val="en-US"/>
        </w:rPr>
        <w:t>bestätigt</w:t>
      </w:r>
      <w:proofErr w:type="spellEnd"/>
      <w:r>
        <w:rPr>
          <w:iCs/>
          <w:lang w:val="en-US"/>
        </w:rPr>
        <w:t xml:space="preserve"> die</w:t>
      </w:r>
      <w:r w:rsidRPr="00D83E4F">
        <w:rPr>
          <w:i/>
          <w:lang w:val="en-US"/>
        </w:rPr>
        <w:t xml:space="preserve"> </w:t>
      </w:r>
      <w:r w:rsidRPr="00B1109C">
        <w:rPr>
          <w:i/>
          <w:lang w:val="en-US"/>
        </w:rPr>
        <w:t>concurring opinion</w:t>
      </w:r>
      <w:r w:rsidRPr="00B1109C">
        <w:rPr>
          <w:lang w:val="en-US"/>
        </w:rPr>
        <w:t xml:space="preserve"> von Richter </w:t>
      </w:r>
      <w:r w:rsidRPr="00B45592">
        <w:rPr>
          <w:i/>
          <w:lang w:val="en-US"/>
        </w:rPr>
        <w:t>Bradley</w:t>
      </w:r>
      <w:r w:rsidRPr="00B1109C">
        <w:rPr>
          <w:lang w:val="en-US"/>
        </w:rPr>
        <w:t xml:space="preserve"> in </w:t>
      </w:r>
      <w:r w:rsidRPr="00B1109C">
        <w:rPr>
          <w:i/>
          <w:lang w:val="en-US"/>
        </w:rPr>
        <w:t>Butchers’ Union Co. v. Crescent City Co.</w:t>
      </w:r>
      <w:r w:rsidRPr="00B1109C">
        <w:rPr>
          <w:lang w:val="en-US"/>
        </w:rPr>
        <w:t>, 111 U.S. 746, 762</w:t>
      </w:r>
      <w:r>
        <w:rPr>
          <w:lang w:val="en-US"/>
        </w:rPr>
        <w:t xml:space="preserve"> (1884)</w:t>
      </w:r>
      <w:r w:rsidRPr="00B1109C">
        <w:rPr>
          <w:lang w:val="en-US"/>
        </w:rPr>
        <w:t xml:space="preserve">, </w:t>
      </w:r>
      <w:proofErr w:type="spellStart"/>
      <w:r w:rsidRPr="00B1109C">
        <w:rPr>
          <w:lang w:val="en-US"/>
        </w:rPr>
        <w:t>zustimmend</w:t>
      </w:r>
      <w:proofErr w:type="spellEnd"/>
      <w:r w:rsidRPr="00B1109C">
        <w:rPr>
          <w:lang w:val="en-US"/>
        </w:rPr>
        <w:t xml:space="preserve"> </w:t>
      </w:r>
      <w:proofErr w:type="spellStart"/>
      <w:r w:rsidRPr="00B1109C">
        <w:rPr>
          <w:lang w:val="en-US"/>
        </w:rPr>
        <w:t>zitiert</w:t>
      </w:r>
      <w:proofErr w:type="spellEnd"/>
      <w:r w:rsidRPr="00B1109C">
        <w:rPr>
          <w:lang w:val="en-US"/>
        </w:rPr>
        <w:t xml:space="preserve"> in</w:t>
      </w:r>
      <w:r>
        <w:rPr>
          <w:lang w:val="en-US"/>
        </w:rPr>
        <w:t xml:space="preserve"> </w:t>
      </w:r>
      <w:r w:rsidRPr="004F13B1">
        <w:rPr>
          <w:i/>
          <w:iCs/>
          <w:lang w:val="en-US"/>
        </w:rPr>
        <w:t xml:space="preserve">Allgeyer v. </w:t>
      </w:r>
      <w:r w:rsidRPr="00D83E4F">
        <w:rPr>
          <w:i/>
          <w:iCs/>
          <w:lang w:val="en-US"/>
        </w:rPr>
        <w:t>Louisiana</w:t>
      </w:r>
      <w:r w:rsidRPr="00D83E4F">
        <w:rPr>
          <w:iCs/>
          <w:lang w:val="en-US"/>
        </w:rPr>
        <w:t>,</w:t>
      </w:r>
      <w:r w:rsidRPr="00CF0280">
        <w:rPr>
          <w:iCs/>
          <w:lang w:val="en-US"/>
        </w:rPr>
        <w:t xml:space="preserve"> 165 U.S. 578, 589</w:t>
      </w:r>
      <w:r>
        <w:rPr>
          <w:iCs/>
          <w:lang w:val="en-US"/>
        </w:rPr>
        <w:t xml:space="preserve"> (1897); </w:t>
      </w:r>
      <w:r w:rsidRPr="004F13B1">
        <w:rPr>
          <w:i/>
          <w:iCs/>
          <w:lang w:val="en-US"/>
        </w:rPr>
        <w:t>Barbier v. Connolly</w:t>
      </w:r>
      <w:r w:rsidRPr="00CF0280">
        <w:rPr>
          <w:iCs/>
          <w:lang w:val="en-US"/>
        </w:rPr>
        <w:t>, 113 U.S. 27, 31</w:t>
      </w:r>
      <w:r>
        <w:rPr>
          <w:iCs/>
          <w:lang w:val="en-US"/>
        </w:rPr>
        <w:t xml:space="preserve"> </w:t>
      </w:r>
      <w:r>
        <w:rPr>
          <w:lang w:val="en-US"/>
        </w:rPr>
        <w:t>(1885)</w:t>
      </w:r>
      <w:r w:rsidRPr="0090338E">
        <w:rPr>
          <w:lang w:val="en-US"/>
        </w:rPr>
        <w:t>.</w:t>
      </w:r>
    </w:p>
  </w:footnote>
  <w:footnote w:id="1310">
    <w:p w14:paraId="24EBEA1C" w14:textId="77777777" w:rsidR="00074551" w:rsidRPr="00666DD2" w:rsidRDefault="00074551" w:rsidP="00074551">
      <w:pPr>
        <w:pStyle w:val="Funotentext"/>
        <w:rPr>
          <w:lang w:val="en-US"/>
        </w:rPr>
      </w:pPr>
      <w:r>
        <w:rPr>
          <w:rStyle w:val="Funotenzeichen"/>
          <w:rFonts w:eastAsiaTheme="majorEastAsia"/>
        </w:rPr>
        <w:footnoteRef/>
      </w:r>
      <w:r w:rsidRPr="00666DD2">
        <w:rPr>
          <w:lang w:val="en-US"/>
        </w:rPr>
        <w:t xml:space="preserve"> </w:t>
      </w:r>
      <w:r w:rsidRPr="00B45592">
        <w:rPr>
          <w:i/>
          <w:lang w:val="en-US"/>
        </w:rPr>
        <w:t>Coppage v. Kansas</w:t>
      </w:r>
      <w:r w:rsidRPr="00666DD2">
        <w:rPr>
          <w:lang w:val="en-US"/>
        </w:rPr>
        <w:t>, 236 U.S. 1, 14</w:t>
      </w:r>
      <w:r>
        <w:rPr>
          <w:lang w:val="en-US"/>
        </w:rPr>
        <w:t xml:space="preserve">; </w:t>
      </w:r>
      <w:r w:rsidRPr="009167A5">
        <w:rPr>
          <w:i/>
          <w:lang w:val="en-US"/>
        </w:rPr>
        <w:t>Senn v. Tile Layers Protective Union</w:t>
      </w:r>
      <w:r w:rsidRPr="00666DD2">
        <w:rPr>
          <w:lang w:val="en-US"/>
        </w:rPr>
        <w:t>, 301 U.S. 468, 487</w:t>
      </w:r>
      <w:r>
        <w:rPr>
          <w:lang w:val="en-US"/>
        </w:rPr>
        <w:t xml:space="preserve"> = 57 S. Ct. </w:t>
      </w:r>
      <w:r w:rsidRPr="00666DD2">
        <w:rPr>
          <w:lang w:val="en-US"/>
        </w:rPr>
        <w:t>857, 866</w:t>
      </w:r>
      <w:r>
        <w:rPr>
          <w:lang w:val="en-US"/>
        </w:rPr>
        <w:t xml:space="preserve"> = 81 L. Ed. </w:t>
      </w:r>
      <w:r w:rsidRPr="00666DD2">
        <w:rPr>
          <w:lang w:val="en-US"/>
        </w:rPr>
        <w:t>1229, 1241</w:t>
      </w:r>
      <w:r>
        <w:rPr>
          <w:lang w:val="en-US"/>
        </w:rPr>
        <w:t xml:space="preserve"> = 1937 U.S. LEXIS </w:t>
      </w:r>
      <w:r w:rsidRPr="00666DD2">
        <w:rPr>
          <w:lang w:val="en-US"/>
        </w:rPr>
        <w:t>1197, 32</w:t>
      </w:r>
      <w:r w:rsidRPr="005D5028">
        <w:rPr>
          <w:lang w:val="en-US"/>
        </w:rPr>
        <w:t xml:space="preserve"> = 1 Lab. Cas. </w:t>
      </w:r>
      <w:r w:rsidRPr="00666DD2">
        <w:rPr>
          <w:lang w:val="en-US"/>
        </w:rPr>
        <w:t>(CCH) P17,023 (1937)</w:t>
      </w:r>
      <w:r>
        <w:rPr>
          <w:lang w:val="en-US"/>
        </w:rPr>
        <w:t>.</w:t>
      </w:r>
    </w:p>
  </w:footnote>
  <w:footnote w:id="1311">
    <w:p w14:paraId="0980ECE5" w14:textId="77777777" w:rsidR="00074551" w:rsidRDefault="00074551" w:rsidP="00074551">
      <w:pPr>
        <w:pStyle w:val="Funotentext"/>
        <w:ind w:left="227" w:hanging="227"/>
        <w:rPr>
          <w:lang w:val="en-US"/>
        </w:rPr>
      </w:pPr>
      <w:r>
        <w:rPr>
          <w:rStyle w:val="Funotenzeichen"/>
          <w:rFonts w:eastAsiaTheme="majorEastAsia"/>
        </w:rPr>
        <w:footnoteRef/>
      </w:r>
      <w:r w:rsidRPr="00E91DA6">
        <w:rPr>
          <w:lang w:val="en-US"/>
        </w:rPr>
        <w:t xml:space="preserve"> </w:t>
      </w:r>
      <w:r w:rsidRPr="004F13B1">
        <w:rPr>
          <w:i/>
          <w:lang w:val="en-US"/>
        </w:rPr>
        <w:t>Barbier v. Connolly</w:t>
      </w:r>
      <w:r w:rsidRPr="00E91DA6">
        <w:rPr>
          <w:lang w:val="en-US"/>
        </w:rPr>
        <w:t xml:space="preserve">, 113 U.S. 27, 31; </w:t>
      </w:r>
      <w:r w:rsidRPr="009167A5">
        <w:rPr>
          <w:i/>
          <w:lang w:val="en-US"/>
        </w:rPr>
        <w:t>Senn v. Tile Layers Protective Union</w:t>
      </w:r>
      <w:r w:rsidRPr="00E91DA6">
        <w:rPr>
          <w:lang w:val="en-US"/>
        </w:rPr>
        <w:t>, 301 U.S. 468, 488</w:t>
      </w:r>
      <w:r>
        <w:rPr>
          <w:lang w:val="en-US"/>
        </w:rPr>
        <w:t xml:space="preserve"> = 57 S. Ct. </w:t>
      </w:r>
      <w:r w:rsidRPr="00E91DA6">
        <w:rPr>
          <w:lang w:val="en-US"/>
        </w:rPr>
        <w:t>857, 866</w:t>
      </w:r>
      <w:r>
        <w:rPr>
          <w:lang w:val="en-US"/>
        </w:rPr>
        <w:t xml:space="preserve"> = 81 L. Ed. </w:t>
      </w:r>
      <w:r w:rsidRPr="00E91DA6">
        <w:rPr>
          <w:lang w:val="en-US"/>
        </w:rPr>
        <w:t>1229, 1241</w:t>
      </w:r>
      <w:r>
        <w:rPr>
          <w:lang w:val="en-US"/>
        </w:rPr>
        <w:t xml:space="preserve"> = 1937 U.S. LEXIS </w:t>
      </w:r>
      <w:r w:rsidRPr="00E91DA6">
        <w:rPr>
          <w:lang w:val="en-US"/>
        </w:rPr>
        <w:t>1197, 33</w:t>
      </w:r>
      <w:r w:rsidRPr="005D5028">
        <w:rPr>
          <w:lang w:val="en-US"/>
        </w:rPr>
        <w:t xml:space="preserve"> = 1 Lab. Cas. </w:t>
      </w:r>
    </w:p>
    <w:p w14:paraId="320CD3ED" w14:textId="77777777" w:rsidR="00074551" w:rsidRPr="00E91DA6" w:rsidRDefault="00074551" w:rsidP="00074551">
      <w:pPr>
        <w:pStyle w:val="Funotentext"/>
        <w:ind w:left="227" w:hanging="227"/>
        <w:rPr>
          <w:lang w:val="en-US"/>
        </w:rPr>
      </w:pPr>
      <w:r w:rsidRPr="00E91DA6">
        <w:rPr>
          <w:lang w:val="en-US"/>
        </w:rPr>
        <w:t>(CCH) P17,023 (1937).</w:t>
      </w:r>
    </w:p>
  </w:footnote>
  <w:footnote w:id="1312">
    <w:p w14:paraId="312AF08F" w14:textId="77777777" w:rsidR="00074551" w:rsidRPr="00AC7F4C" w:rsidRDefault="00074551" w:rsidP="00074551">
      <w:pPr>
        <w:pStyle w:val="Funotentext"/>
        <w:rPr>
          <w:lang w:val="en-US"/>
        </w:rPr>
      </w:pPr>
      <w:r>
        <w:rPr>
          <w:rStyle w:val="Funotenzeichen"/>
          <w:rFonts w:eastAsiaTheme="majorEastAsia"/>
        </w:rPr>
        <w:footnoteRef/>
      </w:r>
      <w:r w:rsidRPr="00B45592">
        <w:rPr>
          <w:lang w:val="en-IE"/>
        </w:rPr>
        <w:t xml:space="preserve"> </w:t>
      </w:r>
      <w:r w:rsidRPr="009167A5">
        <w:rPr>
          <w:i/>
          <w:lang w:val="en-IE"/>
        </w:rPr>
        <w:t>Senn v. Tile Layers Protective Union</w:t>
      </w:r>
      <w:r w:rsidRPr="00B45592">
        <w:rPr>
          <w:lang w:val="en-IE"/>
        </w:rPr>
        <w:t>, 301 U.S. 468, 470</w:t>
      </w:r>
      <w:r>
        <w:rPr>
          <w:lang w:val="en-IE"/>
        </w:rPr>
        <w:t xml:space="preserve"> = 57 S. Ct. </w:t>
      </w:r>
      <w:r w:rsidRPr="00B45592">
        <w:rPr>
          <w:lang w:val="en-IE"/>
        </w:rPr>
        <w:t>857, 859</w:t>
      </w:r>
      <w:r>
        <w:rPr>
          <w:lang w:val="en-IE"/>
        </w:rPr>
        <w:t xml:space="preserve"> = 81 L. Ed. </w:t>
      </w:r>
      <w:r w:rsidRPr="00B45592">
        <w:rPr>
          <w:lang w:val="en-IE"/>
        </w:rPr>
        <w:t>1229, 1233</w:t>
      </w:r>
      <w:r>
        <w:rPr>
          <w:lang w:val="en-IE"/>
        </w:rPr>
        <w:t xml:space="preserve"> = 1937 U.S. LEXIS </w:t>
      </w:r>
      <w:r w:rsidRPr="00B45592">
        <w:rPr>
          <w:lang w:val="en-IE"/>
        </w:rPr>
        <w:t>1197, 1</w:t>
      </w:r>
      <w:r w:rsidRPr="005D5028">
        <w:rPr>
          <w:lang w:val="en-IE"/>
        </w:rPr>
        <w:t xml:space="preserve"> = 1 Lab. Cas. </w:t>
      </w:r>
      <w:r w:rsidRPr="00B45592">
        <w:rPr>
          <w:lang w:val="en-IE"/>
        </w:rPr>
        <w:t>(CCH) P17,023 (1937)</w:t>
      </w:r>
      <w:r>
        <w:rPr>
          <w:lang w:val="en-US"/>
        </w:rPr>
        <w:t>.</w:t>
      </w:r>
    </w:p>
  </w:footnote>
  <w:footnote w:id="1313">
    <w:p w14:paraId="575B6009"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Meyer v. Nebraska</w:t>
      </w:r>
      <w:r w:rsidRPr="00BA1E56">
        <w:rPr>
          <w:lang w:val="en-US"/>
        </w:rPr>
        <w:t>, 262 U.S. 390, 396</w:t>
      </w:r>
      <w:r w:rsidRPr="00EC5BEB">
        <w:rPr>
          <w:lang w:val="en-US"/>
        </w:rPr>
        <w:t xml:space="preserve"> = 43 S. Ct. </w:t>
      </w:r>
      <w:r w:rsidRPr="00BA1E56">
        <w:rPr>
          <w:lang w:val="en-US"/>
        </w:rPr>
        <w:t>625, 626</w:t>
      </w:r>
      <w:r w:rsidRPr="00EC5BEB">
        <w:rPr>
          <w:lang w:val="en-US"/>
        </w:rPr>
        <w:t xml:space="preserve"> = 67 L. Ed. </w:t>
      </w:r>
      <w:r w:rsidRPr="00BA1E56">
        <w:rPr>
          <w:lang w:val="en-US"/>
        </w:rPr>
        <w:t>1042, 1044</w:t>
      </w:r>
      <w:r w:rsidRPr="00EC5BEB">
        <w:rPr>
          <w:lang w:val="en-US"/>
        </w:rPr>
        <w:t xml:space="preserve"> = 1923 U.S. LEXIS </w:t>
      </w:r>
      <w:r w:rsidRPr="00BA1E56">
        <w:rPr>
          <w:lang w:val="en-US"/>
        </w:rPr>
        <w:t>2655, 1</w:t>
      </w:r>
      <w:r w:rsidRPr="003B741A">
        <w:rPr>
          <w:lang w:val="en-US"/>
        </w:rPr>
        <w:t xml:space="preserve"> = 29 A.L.R.</w:t>
      </w:r>
      <w:r w:rsidRPr="006E67FE">
        <w:rPr>
          <w:lang w:val="en-US"/>
        </w:rPr>
        <w:t xml:space="preserve"> </w:t>
      </w:r>
      <w:r w:rsidRPr="00BA1E56">
        <w:rPr>
          <w:lang w:val="en-US"/>
        </w:rPr>
        <w:t>1446 (1923)</w:t>
      </w:r>
      <w:r>
        <w:rPr>
          <w:lang w:val="en-US"/>
        </w:rPr>
        <w:t>.</w:t>
      </w:r>
    </w:p>
  </w:footnote>
  <w:footnote w:id="1314">
    <w:p w14:paraId="67801B0D"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proofErr w:type="gramStart"/>
      <w:r>
        <w:rPr>
          <w:lang w:val="en-US"/>
        </w:rPr>
        <w:t>„,</w:t>
      </w:r>
      <w:r w:rsidRPr="00BA1E56">
        <w:rPr>
          <w:lang w:val="en-US"/>
        </w:rPr>
        <w:t>While</w:t>
      </w:r>
      <w:proofErr w:type="gramEnd"/>
      <w:r w:rsidRPr="00BA1E56">
        <w:rPr>
          <w:lang w:val="en-US"/>
        </w:rPr>
        <w:t xml:space="preserve"> this Court has not attempted to define with exactness the liberty </w:t>
      </w:r>
      <w:r>
        <w:rPr>
          <w:lang w:val="en-US"/>
        </w:rPr>
        <w:t>…</w:t>
      </w:r>
      <w:r w:rsidRPr="00BA1E56">
        <w:rPr>
          <w:lang w:val="en-US"/>
        </w:rPr>
        <w:t xml:space="preserve"> guaranteed [by the Fourteenth Amendment], the term has received much consideration and some of the included things have been </w:t>
      </w:r>
      <w:proofErr w:type="gramStart"/>
      <w:r w:rsidRPr="00BA1E56">
        <w:rPr>
          <w:lang w:val="en-US"/>
        </w:rPr>
        <w:t>definitely stated</w:t>
      </w:r>
      <w:proofErr w:type="gramEnd"/>
      <w:r w:rsidRPr="00BA1E56">
        <w:rPr>
          <w:lang w:val="en-US"/>
        </w:rPr>
        <w:t xml:space="preserve">. Without doubt, it denotes not merely freedom from bodily restraint but also the right of the individual to contract, to engage in any of the common occupations of life, to acquire useful knowledge, to marry, establish a home and bring up children, to worship God according to the dictates of his own conscience, and generally to enjoy those privileges long recognized </w:t>
      </w:r>
      <w:r>
        <w:rPr>
          <w:lang w:val="en-US"/>
        </w:rPr>
        <w:t>…</w:t>
      </w:r>
      <w:r w:rsidRPr="00BA1E56">
        <w:rPr>
          <w:lang w:val="en-US"/>
        </w:rPr>
        <w:t xml:space="preserve"> as essential to the orderly pursuit of happiness by free </w:t>
      </w:r>
      <w:proofErr w:type="gramStart"/>
      <w:r w:rsidRPr="00BA1E56">
        <w:rPr>
          <w:lang w:val="en-US"/>
        </w:rPr>
        <w:t>men.</w:t>
      </w:r>
      <w:r>
        <w:rPr>
          <w:lang w:val="en-US"/>
        </w:rPr>
        <w:t>‘</w:t>
      </w:r>
      <w:proofErr w:type="gramEnd"/>
      <w:r w:rsidRPr="00BA1E56">
        <w:rPr>
          <w:lang w:val="en-US"/>
        </w:rPr>
        <w:t xml:space="preserve"> </w:t>
      </w:r>
      <w:r w:rsidRPr="009E57E1">
        <w:rPr>
          <w:i/>
          <w:lang w:val="en-US"/>
        </w:rPr>
        <w:t>Meyer v. Nebraska</w:t>
      </w:r>
      <w:r w:rsidRPr="00BA1E56">
        <w:rPr>
          <w:lang w:val="en-US"/>
        </w:rPr>
        <w:t xml:space="preserve">, 262 U.S. 390, 399. In a </w:t>
      </w:r>
      <w:proofErr w:type="gramStart"/>
      <w:r w:rsidRPr="00BA1E56">
        <w:rPr>
          <w:lang w:val="en-US"/>
        </w:rPr>
        <w:t>Constitution</w:t>
      </w:r>
      <w:proofErr w:type="gramEnd"/>
      <w:r w:rsidRPr="00BA1E56">
        <w:rPr>
          <w:lang w:val="en-US"/>
        </w:rPr>
        <w:t xml:space="preserve"> for a free people, there can be no doubt that the meaning </w:t>
      </w:r>
      <w:proofErr w:type="gramStart"/>
      <w:r w:rsidRPr="00BA1E56">
        <w:rPr>
          <w:lang w:val="en-US"/>
        </w:rPr>
        <w:t xml:space="preserve">of </w:t>
      </w:r>
      <w:r>
        <w:rPr>
          <w:lang w:val="en-US"/>
        </w:rPr>
        <w:t>,</w:t>
      </w:r>
      <w:r w:rsidRPr="00BA1E56">
        <w:rPr>
          <w:lang w:val="en-US"/>
        </w:rPr>
        <w:t>liberty</w:t>
      </w:r>
      <w:r>
        <w:rPr>
          <w:lang w:val="en-US"/>
        </w:rPr>
        <w:t>‘</w:t>
      </w:r>
      <w:r w:rsidRPr="00BA1E56">
        <w:rPr>
          <w:lang w:val="en-US"/>
        </w:rPr>
        <w:t xml:space="preserve"> must</w:t>
      </w:r>
      <w:proofErr w:type="gramEnd"/>
      <w:r w:rsidRPr="00BA1E56">
        <w:rPr>
          <w:lang w:val="en-US"/>
        </w:rPr>
        <w:t xml:space="preserve"> be broad indeed. See, e. g., </w:t>
      </w:r>
      <w:r w:rsidRPr="00B45592">
        <w:rPr>
          <w:i/>
          <w:lang w:val="en-US"/>
        </w:rPr>
        <w:t>Bolling v. Sharpe</w:t>
      </w:r>
      <w:r w:rsidRPr="00BA1E56">
        <w:rPr>
          <w:lang w:val="en-US"/>
        </w:rPr>
        <w:t>, 347 U.S. 497, 499</w:t>
      </w:r>
      <w:r>
        <w:rPr>
          <w:lang w:val="en-US"/>
        </w:rPr>
        <w:t>–</w:t>
      </w:r>
      <w:r w:rsidRPr="00BA1E56">
        <w:rPr>
          <w:lang w:val="en-US"/>
        </w:rPr>
        <w:t xml:space="preserve">500; </w:t>
      </w:r>
      <w:r w:rsidRPr="00B45592">
        <w:rPr>
          <w:i/>
          <w:lang w:val="en-US"/>
        </w:rPr>
        <w:t>Stanley v. Illinois</w:t>
      </w:r>
      <w:r w:rsidRPr="00BA1E56">
        <w:rPr>
          <w:lang w:val="en-US"/>
        </w:rPr>
        <w:t xml:space="preserve">, 405 U.S. 645. There might be cases in which a State refused to reemploy a person under such circumstances that interests in liberty would be implicated. But this is not such a </w:t>
      </w:r>
      <w:proofErr w:type="gramStart"/>
      <w:r w:rsidRPr="00BA1E56">
        <w:rPr>
          <w:lang w:val="en-US"/>
        </w:rPr>
        <w:t>case</w:t>
      </w:r>
      <w:r>
        <w:rPr>
          <w:lang w:val="en-US"/>
        </w:rPr>
        <w:t>“</w:t>
      </w:r>
      <w:proofErr w:type="gramEnd"/>
      <w:r>
        <w:rPr>
          <w:lang w:val="en-US"/>
        </w:rPr>
        <w:t xml:space="preserve">, </w:t>
      </w:r>
      <w:r w:rsidRPr="009E57E1">
        <w:rPr>
          <w:i/>
          <w:lang w:val="en-US"/>
        </w:rPr>
        <w:t>Bd. of Regents v. Roth</w:t>
      </w:r>
      <w:r w:rsidRPr="00BA1E56">
        <w:rPr>
          <w:lang w:val="en-US"/>
        </w:rPr>
        <w:t>, 408 U.S. 564, 572</w:t>
      </w:r>
      <w:r>
        <w:rPr>
          <w:lang w:val="en-US"/>
        </w:rPr>
        <w:t>–</w:t>
      </w:r>
      <w:r w:rsidRPr="00BA1E56">
        <w:rPr>
          <w:lang w:val="en-US"/>
        </w:rPr>
        <w:t>573</w:t>
      </w:r>
      <w:r>
        <w:rPr>
          <w:lang w:val="en-US"/>
        </w:rPr>
        <w:t xml:space="preserve"> = 92 S. Ct. </w:t>
      </w:r>
      <w:r w:rsidRPr="00BA1E56">
        <w:rPr>
          <w:lang w:val="en-US"/>
        </w:rPr>
        <w:t>2701, 2706</w:t>
      </w:r>
      <w:r>
        <w:rPr>
          <w:lang w:val="en-US"/>
        </w:rPr>
        <w:t>–</w:t>
      </w:r>
      <w:r w:rsidRPr="00BA1E56">
        <w:rPr>
          <w:lang w:val="en-US"/>
        </w:rPr>
        <w:t>2707</w:t>
      </w:r>
      <w:r w:rsidRPr="00EC5BEB">
        <w:rPr>
          <w:lang w:val="en-US"/>
        </w:rPr>
        <w:t xml:space="preserve"> = 33 L. Ed. </w:t>
      </w:r>
      <w:r w:rsidRPr="00BA1E56">
        <w:rPr>
          <w:lang w:val="en-US"/>
        </w:rPr>
        <w:t>2d 548, 558</w:t>
      </w:r>
      <w:r>
        <w:rPr>
          <w:lang w:val="en-US"/>
        </w:rPr>
        <w:t xml:space="preserve"> = 1972 U.S. LEXIS </w:t>
      </w:r>
      <w:r w:rsidRPr="00BA1E56">
        <w:rPr>
          <w:lang w:val="en-US"/>
        </w:rPr>
        <w:t>131, 14</w:t>
      </w:r>
      <w:r>
        <w:rPr>
          <w:lang w:val="en-US"/>
        </w:rPr>
        <w:t>–</w:t>
      </w:r>
      <w:r w:rsidRPr="00BA1E56">
        <w:rPr>
          <w:lang w:val="en-US"/>
        </w:rPr>
        <w:t>15</w:t>
      </w:r>
      <w:r w:rsidRPr="005D5028">
        <w:rPr>
          <w:lang w:val="en-US"/>
        </w:rPr>
        <w:t xml:space="preserve"> = 1 I.E.R. </w:t>
      </w:r>
      <w:r w:rsidRPr="00BA1E56">
        <w:rPr>
          <w:lang w:val="en-US"/>
        </w:rPr>
        <w:t>Cas. (BNA) 23 (1972)</w:t>
      </w:r>
      <w:r>
        <w:rPr>
          <w:lang w:val="en-US"/>
        </w:rPr>
        <w:t>.</w:t>
      </w:r>
    </w:p>
  </w:footnote>
  <w:footnote w:id="1315">
    <w:p w14:paraId="389A9D23"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Wisconsin v. Constantineau</w:t>
      </w:r>
      <w:r w:rsidRPr="00BA1E56">
        <w:rPr>
          <w:lang w:val="en-US"/>
        </w:rPr>
        <w:t>, 400 U.S. 433, 437</w:t>
      </w:r>
      <w:r>
        <w:rPr>
          <w:lang w:val="en-US"/>
        </w:rPr>
        <w:t xml:space="preserve">, </w:t>
      </w:r>
      <w:proofErr w:type="spellStart"/>
      <w:r>
        <w:rPr>
          <w:lang w:val="en-US"/>
        </w:rPr>
        <w:t>zitiert</w:t>
      </w:r>
      <w:proofErr w:type="spellEnd"/>
      <w:r>
        <w:rPr>
          <w:lang w:val="en-US"/>
        </w:rPr>
        <w:t xml:space="preserve"> in </w:t>
      </w:r>
      <w:r w:rsidRPr="00D83E4F">
        <w:rPr>
          <w:i/>
          <w:lang w:val="en-US"/>
        </w:rPr>
        <w:t>Bd. of Regents v. Roth</w:t>
      </w:r>
      <w:r w:rsidRPr="00D83E4F">
        <w:rPr>
          <w:lang w:val="en-US"/>
        </w:rPr>
        <w:t xml:space="preserve">, 408 U.S. 564, 573 </w:t>
      </w:r>
      <w:r w:rsidRPr="00F4675F">
        <w:rPr>
          <w:lang w:val="en-IE"/>
        </w:rPr>
        <w:t>(1972)</w:t>
      </w:r>
      <w:r w:rsidRPr="00BA1E56">
        <w:rPr>
          <w:lang w:val="en-US"/>
        </w:rPr>
        <w:t>.</w:t>
      </w:r>
      <w:r>
        <w:rPr>
          <w:lang w:val="en-US"/>
        </w:rPr>
        <w:t xml:space="preserve"> Dort </w:t>
      </w:r>
      <w:proofErr w:type="spellStart"/>
      <w:r>
        <w:rPr>
          <w:lang w:val="en-US"/>
        </w:rPr>
        <w:t>wird</w:t>
      </w:r>
      <w:proofErr w:type="spellEnd"/>
      <w:r>
        <w:rPr>
          <w:lang w:val="en-US"/>
        </w:rPr>
        <w:t xml:space="preserve"> des </w:t>
      </w:r>
      <w:proofErr w:type="spellStart"/>
      <w:r>
        <w:rPr>
          <w:lang w:val="en-US"/>
        </w:rPr>
        <w:t>Weiteren</w:t>
      </w:r>
      <w:proofErr w:type="spellEnd"/>
      <w:r>
        <w:rPr>
          <w:lang w:val="en-US"/>
        </w:rPr>
        <w:t xml:space="preserve"> </w:t>
      </w:r>
      <w:proofErr w:type="spellStart"/>
      <w:r>
        <w:rPr>
          <w:lang w:val="en-US"/>
        </w:rPr>
        <w:t>verwiesen</w:t>
      </w:r>
      <w:proofErr w:type="spellEnd"/>
      <w:r>
        <w:rPr>
          <w:lang w:val="en-US"/>
        </w:rPr>
        <w:t xml:space="preserve"> auf</w:t>
      </w:r>
      <w:r w:rsidRPr="00BA1E56">
        <w:rPr>
          <w:lang w:val="en-US"/>
        </w:rPr>
        <w:t xml:space="preserve"> </w:t>
      </w:r>
      <w:r w:rsidRPr="00B45592">
        <w:rPr>
          <w:i/>
          <w:lang w:val="en-US"/>
        </w:rPr>
        <w:t>Wieman v. Updegraff</w:t>
      </w:r>
      <w:r w:rsidRPr="00BA1E56">
        <w:rPr>
          <w:lang w:val="en-US"/>
        </w:rPr>
        <w:t xml:space="preserve">, 344 U.S. 183, 191; </w:t>
      </w:r>
      <w:r w:rsidRPr="00B45592">
        <w:rPr>
          <w:i/>
          <w:lang w:val="en-US"/>
        </w:rPr>
        <w:t>Joint Anti-Fascist Refugee Committee v. McGrath</w:t>
      </w:r>
      <w:r w:rsidRPr="00BA1E56">
        <w:rPr>
          <w:lang w:val="en-US"/>
        </w:rPr>
        <w:t>, 341 U.S. 123</w:t>
      </w:r>
      <w:r w:rsidRPr="00B45592">
        <w:rPr>
          <w:i/>
          <w:lang w:val="en-US"/>
        </w:rPr>
        <w:t>; United States v. Lovett</w:t>
      </w:r>
      <w:r w:rsidRPr="00BA1E56">
        <w:rPr>
          <w:lang w:val="en-US"/>
        </w:rPr>
        <w:t>, 328 U.S. 303, 316</w:t>
      </w:r>
      <w:r>
        <w:rPr>
          <w:lang w:val="en-US"/>
        </w:rPr>
        <w:t>–</w:t>
      </w:r>
      <w:r w:rsidRPr="00BA1E56">
        <w:rPr>
          <w:lang w:val="en-US"/>
        </w:rPr>
        <w:t xml:space="preserve">317; </w:t>
      </w:r>
      <w:r w:rsidRPr="00B45592">
        <w:rPr>
          <w:i/>
          <w:lang w:val="en-US"/>
        </w:rPr>
        <w:t>Peters v. Hobby</w:t>
      </w:r>
      <w:r w:rsidRPr="00BA1E56">
        <w:rPr>
          <w:lang w:val="en-US"/>
        </w:rPr>
        <w:t xml:space="preserve">, 349 U.S. 331, </w:t>
      </w:r>
      <w:r w:rsidRPr="00D83E4F">
        <w:rPr>
          <w:lang w:val="en-US"/>
        </w:rPr>
        <w:t>352 (</w:t>
      </w:r>
      <w:r w:rsidRPr="00B45592">
        <w:rPr>
          <w:i/>
          <w:lang w:val="en-US"/>
        </w:rPr>
        <w:t>concurring opinion</w:t>
      </w:r>
      <w:r w:rsidRPr="00B45592">
        <w:rPr>
          <w:lang w:val="en-US"/>
        </w:rPr>
        <w:t xml:space="preserve"> von Richter </w:t>
      </w:r>
      <w:r w:rsidRPr="00B45592">
        <w:rPr>
          <w:i/>
          <w:lang w:val="en-US"/>
        </w:rPr>
        <w:t>Douglas</w:t>
      </w:r>
      <w:r w:rsidRPr="00D83E4F">
        <w:rPr>
          <w:lang w:val="en-US"/>
        </w:rPr>
        <w:t xml:space="preserve">). </w:t>
      </w:r>
      <w:proofErr w:type="spellStart"/>
      <w:r w:rsidRPr="00D83E4F">
        <w:rPr>
          <w:lang w:val="en-US"/>
        </w:rPr>
        <w:t>Siehe</w:t>
      </w:r>
      <w:proofErr w:type="spellEnd"/>
      <w:r w:rsidRPr="00D83E4F">
        <w:rPr>
          <w:lang w:val="en-US"/>
        </w:rPr>
        <w:t xml:space="preserve"> </w:t>
      </w:r>
      <w:r w:rsidRPr="00B45592">
        <w:rPr>
          <w:i/>
          <w:lang w:val="en-US"/>
        </w:rPr>
        <w:t>Cafeteria Workers v. McElroy</w:t>
      </w:r>
      <w:r w:rsidRPr="00D83E4F">
        <w:rPr>
          <w:lang w:val="en-US"/>
        </w:rPr>
        <w:t>, 367 U.S. 886, 898</w:t>
      </w:r>
      <w:r>
        <w:rPr>
          <w:lang w:val="en-US"/>
        </w:rPr>
        <w:t>.</w:t>
      </w:r>
    </w:p>
  </w:footnote>
  <w:footnote w:id="1316">
    <w:p w14:paraId="1E8B1245" w14:textId="77777777" w:rsidR="00074551" w:rsidRPr="00CA46F7" w:rsidRDefault="00074551" w:rsidP="00074551">
      <w:pPr>
        <w:pStyle w:val="Funotentext"/>
        <w:rPr>
          <w:lang w:val="en-US"/>
        </w:rPr>
      </w:pPr>
      <w:r>
        <w:rPr>
          <w:rStyle w:val="Funotenzeichen"/>
          <w:rFonts w:eastAsiaTheme="majorEastAsia"/>
        </w:rPr>
        <w:footnoteRef/>
      </w:r>
      <w:r w:rsidRPr="00BA1E56">
        <w:rPr>
          <w:lang w:val="en-US"/>
        </w:rPr>
        <w:t xml:space="preserve"> </w:t>
      </w:r>
      <w:r w:rsidRPr="009E57E1">
        <w:rPr>
          <w:i/>
          <w:lang w:val="en-US"/>
        </w:rPr>
        <w:t>Bd. of Regents v. Roth</w:t>
      </w:r>
      <w:r w:rsidRPr="00BA1E56">
        <w:rPr>
          <w:lang w:val="en-US"/>
        </w:rPr>
        <w:t>, 408 U.S. 564, 573</w:t>
      </w:r>
      <w:r>
        <w:rPr>
          <w:lang w:val="en-US"/>
        </w:rPr>
        <w:t xml:space="preserve"> = 92 S. Ct. </w:t>
      </w:r>
      <w:r w:rsidRPr="00BA1E56">
        <w:rPr>
          <w:lang w:val="en-US"/>
        </w:rPr>
        <w:t>2701, 2707</w:t>
      </w:r>
      <w:r w:rsidRPr="00EC5BEB">
        <w:rPr>
          <w:lang w:val="en-US"/>
        </w:rPr>
        <w:t xml:space="preserve"> = 33 L. Ed. </w:t>
      </w:r>
      <w:r w:rsidRPr="00BA1E56">
        <w:rPr>
          <w:lang w:val="en-US"/>
        </w:rPr>
        <w:t>2d 548, 558</w:t>
      </w:r>
      <w:r>
        <w:rPr>
          <w:lang w:val="en-US"/>
        </w:rPr>
        <w:t xml:space="preserve"> = 1972 U.S. LEXIS </w:t>
      </w:r>
      <w:r w:rsidRPr="00BA1E56">
        <w:rPr>
          <w:lang w:val="en-US"/>
        </w:rPr>
        <w:t>131, 16</w:t>
      </w:r>
      <w:r w:rsidRPr="005D5028">
        <w:rPr>
          <w:lang w:val="en-US"/>
        </w:rPr>
        <w:t xml:space="preserve"> = 1 I.E.R. </w:t>
      </w:r>
      <w:r w:rsidRPr="00BA1E56">
        <w:rPr>
          <w:lang w:val="en-US"/>
        </w:rPr>
        <w:t xml:space="preserve">Cas. </w:t>
      </w:r>
      <w:r w:rsidRPr="00CA46F7">
        <w:rPr>
          <w:lang w:val="en-US"/>
        </w:rPr>
        <w:t>(BNA) 23 (1972).</w:t>
      </w:r>
    </w:p>
  </w:footnote>
  <w:footnote w:id="1317">
    <w:p w14:paraId="5848B0A4" w14:textId="2AEF618B" w:rsidR="00074551" w:rsidRPr="00CA46F7" w:rsidRDefault="00074551" w:rsidP="00074551">
      <w:pPr>
        <w:pStyle w:val="Funotentext"/>
        <w:rPr>
          <w:lang w:val="en-US"/>
        </w:rPr>
      </w:pPr>
      <w:r>
        <w:rPr>
          <w:rStyle w:val="Funotenzeichen"/>
          <w:rFonts w:eastAsiaTheme="majorEastAsia"/>
        </w:rPr>
        <w:footnoteRef/>
      </w:r>
      <w:r w:rsidRPr="00CA46F7">
        <w:rPr>
          <w:lang w:val="en-US"/>
        </w:rPr>
        <w:t xml:space="preserve"> </w:t>
      </w:r>
      <w:r w:rsidR="006F4315" w:rsidRPr="00CA46F7">
        <w:rPr>
          <w:i/>
          <w:iCs/>
          <w:lang w:val="en-US"/>
        </w:rPr>
        <w:t xml:space="preserve">Cruzan v. Dir., Mo. </w:t>
      </w:r>
      <w:proofErr w:type="spellStart"/>
      <w:r w:rsidR="006F4315" w:rsidRPr="00CA46F7">
        <w:rPr>
          <w:i/>
          <w:iCs/>
          <w:lang w:val="en-US"/>
        </w:rPr>
        <w:t>Dep't</w:t>
      </w:r>
      <w:proofErr w:type="spellEnd"/>
      <w:r w:rsidR="006F4315" w:rsidRPr="00CA46F7">
        <w:rPr>
          <w:i/>
          <w:iCs/>
          <w:lang w:val="en-US"/>
        </w:rPr>
        <w:t xml:space="preserve"> of Health, </w:t>
      </w:r>
      <w:r w:rsidR="006F4315" w:rsidRPr="00CA46F7">
        <w:rPr>
          <w:lang w:val="en-US"/>
        </w:rPr>
        <w:t>497 U.S. 261, 330 = 110 S. Ct. 2841 = 111 L. Ed. 2d 224 = 1990 U.S. LEXIS 3301 = 58 U.S.L.W. 4916 (1990).</w:t>
      </w:r>
    </w:p>
  </w:footnote>
  <w:footnote w:id="1318">
    <w:p w14:paraId="77AD59AB" w14:textId="77777777" w:rsidR="00074551" w:rsidRPr="00BA1E56" w:rsidRDefault="00074551" w:rsidP="00074551">
      <w:pPr>
        <w:pStyle w:val="Funotentext"/>
        <w:rPr>
          <w:lang w:val="en-US"/>
        </w:rPr>
      </w:pPr>
      <w:r>
        <w:rPr>
          <w:rStyle w:val="Funotenzeichen"/>
          <w:rFonts w:eastAsiaTheme="majorEastAsia"/>
        </w:rPr>
        <w:footnoteRef/>
      </w:r>
      <w:r w:rsidRPr="002E1085">
        <w:rPr>
          <w:lang w:val="en-IE"/>
        </w:rPr>
        <w:t xml:space="preserve"> </w:t>
      </w:r>
      <w:r w:rsidRPr="002E1085">
        <w:rPr>
          <w:i/>
          <w:lang w:val="en-IE"/>
        </w:rPr>
        <w:t>In re Quinlan</w:t>
      </w:r>
      <w:r w:rsidRPr="002E1085">
        <w:rPr>
          <w:lang w:val="en-IE"/>
        </w:rPr>
        <w:t xml:space="preserve">, 70 N.J. 10, 38–42, 355 A.2d 647, 662–664; </w:t>
      </w:r>
      <w:r w:rsidRPr="002E1085">
        <w:rPr>
          <w:i/>
          <w:lang w:val="en-IE"/>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270</w:t>
      </w:r>
      <w:r>
        <w:rPr>
          <w:lang w:val="en-US"/>
        </w:rPr>
        <w:t xml:space="preserve"> = 110 S. Ct</w:t>
      </w:r>
      <w:r w:rsidRPr="00BA1E56">
        <w:rPr>
          <w:lang w:val="en-US"/>
        </w:rPr>
        <w:t>. 2841, 2847</w:t>
      </w:r>
      <w:r>
        <w:rPr>
          <w:lang w:val="en-US"/>
        </w:rPr>
        <w:t xml:space="preserve"> = 111 L. Ed. </w:t>
      </w:r>
      <w:r w:rsidRPr="00BA1E56">
        <w:rPr>
          <w:lang w:val="en-US"/>
        </w:rPr>
        <w:t>2d 224, 237</w:t>
      </w:r>
      <w:r>
        <w:rPr>
          <w:lang w:val="en-US"/>
        </w:rPr>
        <w:t xml:space="preserve"> = 1990 U.S. LEXIS </w:t>
      </w:r>
      <w:r w:rsidRPr="00BA1E56">
        <w:rPr>
          <w:lang w:val="en-US"/>
        </w:rPr>
        <w:t>3301, 17</w:t>
      </w:r>
      <w:r>
        <w:rPr>
          <w:lang w:val="en-US"/>
        </w:rPr>
        <w:t xml:space="preserve"> = 58 U.S.L.W. </w:t>
      </w:r>
      <w:r w:rsidRPr="00BA1E56">
        <w:rPr>
          <w:lang w:val="en-US"/>
        </w:rPr>
        <w:t>4916 (1990)</w:t>
      </w:r>
      <w:r>
        <w:rPr>
          <w:lang w:val="en-US"/>
        </w:rPr>
        <w:t>.</w:t>
      </w:r>
    </w:p>
  </w:footnote>
  <w:footnote w:id="1319">
    <w:p w14:paraId="5055EA02" w14:textId="77777777" w:rsidR="00074551" w:rsidRPr="006F729D" w:rsidRDefault="00074551" w:rsidP="00074551">
      <w:pPr>
        <w:pStyle w:val="Funotentext"/>
        <w:rPr>
          <w:lang w:val="en-US"/>
        </w:rPr>
      </w:pPr>
      <w:r>
        <w:rPr>
          <w:rStyle w:val="Funotenzeichen"/>
          <w:rFonts w:eastAsiaTheme="majorEastAsia"/>
        </w:rPr>
        <w:footnoteRef/>
      </w:r>
      <w:r w:rsidRPr="00C35DB3">
        <w:rPr>
          <w:lang w:val="en-US"/>
        </w:rPr>
        <w:t xml:space="preserve"> </w:t>
      </w:r>
      <w:r w:rsidRPr="00B45592">
        <w:rPr>
          <w:i/>
          <w:lang w:val="en-US"/>
        </w:rPr>
        <w:t>In re Quinlan</w:t>
      </w:r>
      <w:r w:rsidRPr="00C35DB3">
        <w:rPr>
          <w:lang w:val="en-US"/>
        </w:rPr>
        <w:t>, 70 N.J. 10, 355 A.2d 647, cert</w:t>
      </w:r>
      <w:r w:rsidRPr="00B45592">
        <w:rPr>
          <w:lang w:val="en-US"/>
        </w:rPr>
        <w:t xml:space="preserve">iorari </w:t>
      </w:r>
      <w:proofErr w:type="spellStart"/>
      <w:r w:rsidRPr="00B45592">
        <w:rPr>
          <w:lang w:val="en-US"/>
        </w:rPr>
        <w:t>abgelehnt</w:t>
      </w:r>
      <w:proofErr w:type="spellEnd"/>
      <w:r w:rsidRPr="00C35DB3">
        <w:rPr>
          <w:lang w:val="en-US"/>
        </w:rPr>
        <w:t xml:space="preserve"> sub nom. </w:t>
      </w:r>
      <w:r w:rsidRPr="00B45592">
        <w:rPr>
          <w:i/>
          <w:lang w:val="en-US"/>
        </w:rPr>
        <w:t>Garger v. New Jersey</w:t>
      </w:r>
      <w:r w:rsidRPr="006F729D">
        <w:rPr>
          <w:lang w:val="en-US"/>
        </w:rPr>
        <w:t>, 429 U.S. 922</w:t>
      </w:r>
      <w:r w:rsidRPr="006E67FE">
        <w:rPr>
          <w:lang w:val="en-US"/>
        </w:rPr>
        <w:t xml:space="preserve"> = 50 L. Ed. </w:t>
      </w:r>
      <w:r w:rsidRPr="006F729D">
        <w:rPr>
          <w:lang w:val="en-US"/>
        </w:rPr>
        <w:t>2d 289</w:t>
      </w:r>
      <w:r w:rsidRPr="006E67FE">
        <w:rPr>
          <w:lang w:val="en-US"/>
        </w:rPr>
        <w:t xml:space="preserve"> = 97 S. Ct. </w:t>
      </w:r>
      <w:r w:rsidRPr="006F729D">
        <w:rPr>
          <w:lang w:val="en-US"/>
        </w:rPr>
        <w:t>319 (1976)</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6F729D">
        <w:rPr>
          <w:lang w:val="en-US"/>
        </w:rPr>
        <w:t>, 497 U.S. 261, 270</w:t>
      </w:r>
      <w:r>
        <w:rPr>
          <w:lang w:val="en-US"/>
        </w:rPr>
        <w:t xml:space="preserve"> = 110 S. Ct</w:t>
      </w:r>
      <w:r w:rsidRPr="006F729D">
        <w:rPr>
          <w:lang w:val="en-US"/>
        </w:rPr>
        <w:t>. 2841, 2847</w:t>
      </w:r>
      <w:r>
        <w:rPr>
          <w:lang w:val="en-US"/>
        </w:rPr>
        <w:t xml:space="preserve"> = 111 L. Ed. </w:t>
      </w:r>
      <w:r w:rsidRPr="006F729D">
        <w:rPr>
          <w:lang w:val="en-US"/>
        </w:rPr>
        <w:t>2d 224, 236</w:t>
      </w:r>
      <w:r>
        <w:rPr>
          <w:lang w:val="en-US"/>
        </w:rPr>
        <w:t xml:space="preserve"> = 1990 U.S. LEXIS </w:t>
      </w:r>
      <w:r w:rsidRPr="006F729D">
        <w:rPr>
          <w:lang w:val="en-US"/>
        </w:rPr>
        <w:t>3301, 16</w:t>
      </w:r>
      <w:r>
        <w:rPr>
          <w:lang w:val="en-US"/>
        </w:rPr>
        <w:t xml:space="preserve"> = 58 U.S.L.W. </w:t>
      </w:r>
      <w:r w:rsidRPr="006F729D">
        <w:rPr>
          <w:lang w:val="en-US"/>
        </w:rPr>
        <w:t>4916 (1990)</w:t>
      </w:r>
      <w:r>
        <w:rPr>
          <w:lang w:val="en-US"/>
        </w:rPr>
        <w:t>.</w:t>
      </w:r>
    </w:p>
  </w:footnote>
  <w:footnote w:id="1320">
    <w:p w14:paraId="0AFF365B"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572B5">
        <w:rPr>
          <w:i/>
          <w:lang w:val="en-US"/>
        </w:rPr>
        <w:t>In re Quinlan</w:t>
      </w:r>
      <w:r w:rsidRPr="00BA1E56">
        <w:rPr>
          <w:lang w:val="en-US"/>
        </w:rPr>
        <w:t xml:space="preserve">, 70 N.J. </w:t>
      </w:r>
      <w:r>
        <w:rPr>
          <w:lang w:val="en-US"/>
        </w:rPr>
        <w:t xml:space="preserve">10, </w:t>
      </w:r>
      <w:r w:rsidRPr="009572B5">
        <w:rPr>
          <w:lang w:val="en-US"/>
        </w:rPr>
        <w:t xml:space="preserve">38–42, 355 A.2d </w:t>
      </w:r>
      <w:r w:rsidRPr="00B45592">
        <w:rPr>
          <w:lang w:val="en-IE"/>
        </w:rPr>
        <w:t>647</w:t>
      </w:r>
      <w:r w:rsidRPr="00B45592">
        <w:rPr>
          <w:lang w:val="en-US"/>
        </w:rPr>
        <w:t>,</w:t>
      </w:r>
      <w:r w:rsidRPr="00BA1E56">
        <w:rPr>
          <w:lang w:val="en-US"/>
        </w:rPr>
        <w:t xml:space="preserve"> 66</w:t>
      </w:r>
      <w:r>
        <w:rPr>
          <w:lang w:val="en-US"/>
        </w:rPr>
        <w:t>2–</w:t>
      </w:r>
      <w:r w:rsidRPr="00BA1E56">
        <w:rPr>
          <w:lang w:val="en-US"/>
        </w:rPr>
        <w:t>664</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270</w:t>
      </w:r>
      <w:r>
        <w:rPr>
          <w:lang w:val="en-US"/>
        </w:rPr>
        <w:t xml:space="preserve"> = 110 S. Ct</w:t>
      </w:r>
      <w:r w:rsidRPr="00BA1E56">
        <w:rPr>
          <w:lang w:val="en-US"/>
        </w:rPr>
        <w:t>. 2841, 2847</w:t>
      </w:r>
      <w:r>
        <w:rPr>
          <w:lang w:val="en-US"/>
        </w:rPr>
        <w:t xml:space="preserve"> = 111 L. Ed. </w:t>
      </w:r>
      <w:r w:rsidRPr="00BA1E56">
        <w:rPr>
          <w:lang w:val="en-US"/>
        </w:rPr>
        <w:t>2d 224, 237</w:t>
      </w:r>
      <w:r>
        <w:rPr>
          <w:lang w:val="en-US"/>
        </w:rPr>
        <w:t xml:space="preserve"> = 1990 U.S. LEXIS </w:t>
      </w:r>
      <w:r w:rsidRPr="00BA1E56">
        <w:rPr>
          <w:lang w:val="en-US"/>
        </w:rPr>
        <w:t>3301, 17</w:t>
      </w:r>
      <w:r>
        <w:rPr>
          <w:lang w:val="en-US"/>
        </w:rPr>
        <w:t xml:space="preserve"> = 58 U.S.L.W. </w:t>
      </w:r>
      <w:r w:rsidRPr="00BA1E56">
        <w:rPr>
          <w:lang w:val="en-US"/>
        </w:rPr>
        <w:t>4916 (1990)</w:t>
      </w:r>
      <w:r>
        <w:rPr>
          <w:lang w:val="en-US"/>
        </w:rPr>
        <w:t>.</w:t>
      </w:r>
    </w:p>
  </w:footnote>
  <w:footnote w:id="1321">
    <w:p w14:paraId="7BD4FC8C"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BA1E56">
        <w:rPr>
          <w:lang w:val="en-US"/>
        </w:rPr>
        <w:t>, 497 U.S. 261, 270</w:t>
      </w:r>
      <w:r>
        <w:rPr>
          <w:lang w:val="en-US"/>
        </w:rPr>
        <w:t xml:space="preserve"> = 110 S. Ct</w:t>
      </w:r>
      <w:r w:rsidRPr="00BA1E56">
        <w:rPr>
          <w:lang w:val="en-US"/>
        </w:rPr>
        <w:t>. 2841, 2847</w:t>
      </w:r>
      <w:r>
        <w:rPr>
          <w:lang w:val="en-US"/>
        </w:rPr>
        <w:t xml:space="preserve"> = 111 L. Ed. </w:t>
      </w:r>
      <w:r w:rsidRPr="00BA1E56">
        <w:rPr>
          <w:lang w:val="en-US"/>
        </w:rPr>
        <w:t>2d 224, 236</w:t>
      </w:r>
      <w:r>
        <w:rPr>
          <w:lang w:val="en-US"/>
        </w:rPr>
        <w:t xml:space="preserve"> = 1990 U.S. LEXIS </w:t>
      </w:r>
      <w:r w:rsidRPr="00BA1E56">
        <w:rPr>
          <w:lang w:val="en-US"/>
        </w:rPr>
        <w:t>3301, 16</w:t>
      </w:r>
      <w:r>
        <w:rPr>
          <w:lang w:val="en-US"/>
        </w:rPr>
        <w:t xml:space="preserve"> = 58 U.S.L.W. </w:t>
      </w:r>
      <w:r w:rsidRPr="00BA1E56">
        <w:rPr>
          <w:lang w:val="en-US"/>
        </w:rPr>
        <w:t>4916 (1990)</w:t>
      </w:r>
      <w:r>
        <w:rPr>
          <w:lang w:val="en-US"/>
        </w:rPr>
        <w:t>.</w:t>
      </w:r>
    </w:p>
  </w:footnote>
  <w:footnote w:id="1322">
    <w:p w14:paraId="34E98F9B" w14:textId="77777777" w:rsidR="00074551" w:rsidRPr="00C214AA" w:rsidRDefault="00074551" w:rsidP="00074551">
      <w:pPr>
        <w:pStyle w:val="Funotentext"/>
        <w:rPr>
          <w:lang w:val="en-US"/>
        </w:rPr>
      </w:pPr>
      <w:r>
        <w:rPr>
          <w:rStyle w:val="Funotenzeichen"/>
        </w:rPr>
        <w:footnoteRef/>
      </w:r>
      <w:r w:rsidRPr="00C214AA">
        <w:rPr>
          <w:lang w:val="en-US"/>
        </w:rPr>
        <w:t xml:space="preserve"> </w:t>
      </w:r>
      <w:r>
        <w:rPr>
          <w:lang w:val="en-US"/>
        </w:rPr>
        <w:t>„</w:t>
      </w:r>
      <w:r w:rsidRPr="00C214AA">
        <w:rPr>
          <w:lang w:val="en-US"/>
        </w:rPr>
        <w:t xml:space="preserve">Mass. Gen. Laws ch. 272, </w:t>
      </w:r>
      <w:r>
        <w:rPr>
          <w:lang w:val="en-US"/>
        </w:rPr>
        <w:t>§ </w:t>
      </w:r>
      <w:r w:rsidRPr="00C214AA">
        <w:rPr>
          <w:lang w:val="en-US"/>
        </w:rPr>
        <w:t xml:space="preserve">21 provides that except as provided in </w:t>
      </w:r>
      <w:r>
        <w:rPr>
          <w:lang w:val="en-US"/>
        </w:rPr>
        <w:t>§ </w:t>
      </w:r>
      <w:r w:rsidRPr="00C214AA">
        <w:rPr>
          <w:lang w:val="en-US"/>
        </w:rPr>
        <w:t>21A, whoever sells, lends, gives away, exhibits, or offers to sell, lend, or give away an instrument or other article intended to be used for self-abuse, or any drug, medicine, instrument, or article whatever for the prevention of conception or for causing unlawful abortion, or advertises the same, or writes, prints, or causes to be written or printed a card, circular, book, pamphlet, advertisement, or notice of any kind stating when, where, how, of whom, or by what means such article can be purchased or obtained, or manufactures or makes any such article, shall be punished by imprisonment in the state prison for not more than five years or in jail or the house of correction for not more than two and one half years or by a fine of not less than $ 100 nor more than $ 1,000</w:t>
      </w:r>
      <w:r>
        <w:rPr>
          <w:lang w:val="en-US"/>
        </w:rPr>
        <w:t xml:space="preserve">“, </w:t>
      </w:r>
      <w:r w:rsidRPr="00B45592">
        <w:rPr>
          <w:i/>
          <w:lang w:val="en-US"/>
        </w:rPr>
        <w:t>Sturgis v. Attorney Gen.</w:t>
      </w:r>
      <w:r w:rsidRPr="00C214AA">
        <w:rPr>
          <w:lang w:val="en-US"/>
        </w:rPr>
        <w:t>, 358 Mass. 37, 37</w:t>
      </w:r>
      <w:r>
        <w:rPr>
          <w:lang w:val="en-US"/>
        </w:rPr>
        <w:t xml:space="preserve"> =</w:t>
      </w:r>
      <w:r w:rsidRPr="00C214AA">
        <w:rPr>
          <w:lang w:val="en-US"/>
        </w:rPr>
        <w:t xml:space="preserve"> 260 N.E.</w:t>
      </w:r>
      <w:r>
        <w:rPr>
          <w:lang w:val="en-US"/>
        </w:rPr>
        <w:t xml:space="preserve"> </w:t>
      </w:r>
      <w:r w:rsidRPr="00C214AA">
        <w:rPr>
          <w:lang w:val="en-US"/>
        </w:rPr>
        <w:t>2d 687, 688</w:t>
      </w:r>
      <w:r>
        <w:rPr>
          <w:lang w:val="en-US"/>
        </w:rPr>
        <w:t xml:space="preserve"> =</w:t>
      </w:r>
      <w:r w:rsidRPr="00C214AA">
        <w:rPr>
          <w:lang w:val="en-US"/>
        </w:rPr>
        <w:t xml:space="preserve"> 1970 Mass. LEXIS 690, 1 (1970)</w:t>
      </w:r>
      <w:r>
        <w:rPr>
          <w:lang w:val="en-US"/>
        </w:rPr>
        <w:t>.</w:t>
      </w:r>
    </w:p>
  </w:footnote>
  <w:footnote w:id="1323">
    <w:p w14:paraId="7F36F3D0" w14:textId="77777777" w:rsidR="00074551" w:rsidRPr="00C214AA" w:rsidRDefault="00074551" w:rsidP="00074551">
      <w:pPr>
        <w:pStyle w:val="Funotentext"/>
        <w:rPr>
          <w:lang w:val="en-US"/>
        </w:rPr>
      </w:pPr>
      <w:r>
        <w:rPr>
          <w:rStyle w:val="Funotenzeichen"/>
        </w:rPr>
        <w:footnoteRef/>
      </w:r>
      <w:r w:rsidRPr="00C214AA">
        <w:rPr>
          <w:lang w:val="en-US"/>
        </w:rPr>
        <w:t xml:space="preserve"> </w:t>
      </w:r>
      <w:r w:rsidRPr="009572B5">
        <w:rPr>
          <w:i/>
          <w:lang w:val="en-US"/>
        </w:rPr>
        <w:t>Eisenstadt v. Baird</w:t>
      </w:r>
      <w:r w:rsidRPr="00C214AA">
        <w:rPr>
          <w:lang w:val="en-US"/>
        </w:rPr>
        <w:t>, 405 U.S. 438, 440</w:t>
      </w:r>
      <w:r>
        <w:rPr>
          <w:lang w:val="en-US"/>
        </w:rPr>
        <w:t xml:space="preserve"> = 92 S. Ct. </w:t>
      </w:r>
      <w:r w:rsidRPr="00C214AA">
        <w:rPr>
          <w:lang w:val="en-US"/>
        </w:rPr>
        <w:t>1029, 1031</w:t>
      </w:r>
      <w:r>
        <w:rPr>
          <w:lang w:val="en-US"/>
        </w:rPr>
        <w:t xml:space="preserve"> = 31 L. Ed. </w:t>
      </w:r>
      <w:r w:rsidRPr="00C214AA">
        <w:rPr>
          <w:lang w:val="en-US"/>
        </w:rPr>
        <w:t>2d 349, 354</w:t>
      </w:r>
      <w:r>
        <w:rPr>
          <w:lang w:val="en-US"/>
        </w:rPr>
        <w:t xml:space="preserve"> = 1972 U.S. LEXIS </w:t>
      </w:r>
      <w:r w:rsidRPr="00C214AA">
        <w:rPr>
          <w:lang w:val="en-US"/>
        </w:rPr>
        <w:t>145, 1 (1972)</w:t>
      </w:r>
      <w:r>
        <w:rPr>
          <w:lang w:val="en-US"/>
        </w:rPr>
        <w:t>.</w:t>
      </w:r>
    </w:p>
  </w:footnote>
  <w:footnote w:id="1324">
    <w:p w14:paraId="7A346FD7" w14:textId="77777777" w:rsidR="00074551" w:rsidRPr="00F73644" w:rsidRDefault="00074551" w:rsidP="00074551">
      <w:pPr>
        <w:pStyle w:val="Funotentext"/>
        <w:rPr>
          <w:lang w:val="en-US"/>
        </w:rPr>
      </w:pPr>
      <w:r>
        <w:rPr>
          <w:rStyle w:val="Funotenzeichen"/>
          <w:rFonts w:eastAsiaTheme="majorEastAsia"/>
        </w:rPr>
        <w:footnoteRef/>
      </w:r>
      <w:r w:rsidRPr="00F73644">
        <w:rPr>
          <w:lang w:val="en-US"/>
        </w:rPr>
        <w:t xml:space="preserve"> </w:t>
      </w:r>
      <w:proofErr w:type="spellStart"/>
      <w:r>
        <w:rPr>
          <w:lang w:val="en-US"/>
        </w:rPr>
        <w:t>Siehe</w:t>
      </w:r>
      <w:proofErr w:type="spellEnd"/>
      <w:r w:rsidRPr="00F73644">
        <w:rPr>
          <w:lang w:val="en-US"/>
        </w:rPr>
        <w:t xml:space="preserve"> </w:t>
      </w:r>
      <w:r w:rsidRPr="009E57E1">
        <w:rPr>
          <w:i/>
          <w:lang w:val="en-US"/>
        </w:rPr>
        <w:t>Stanley v. Georgia</w:t>
      </w:r>
      <w:r w:rsidRPr="00F73644">
        <w:rPr>
          <w:lang w:val="en-US"/>
        </w:rPr>
        <w:t>, 394 U.S. 557 (1969)</w:t>
      </w:r>
      <w:r>
        <w:rPr>
          <w:lang w:val="en-US"/>
        </w:rPr>
        <w:t xml:space="preserve">, </w:t>
      </w:r>
      <w:proofErr w:type="spellStart"/>
      <w:r>
        <w:rPr>
          <w:lang w:val="en-US"/>
        </w:rPr>
        <w:t>sowie</w:t>
      </w:r>
      <w:proofErr w:type="spellEnd"/>
      <w:r>
        <w:rPr>
          <w:lang w:val="en-US"/>
        </w:rPr>
        <w:t xml:space="preserve"> </w:t>
      </w:r>
      <w:r w:rsidRPr="009572B5">
        <w:rPr>
          <w:i/>
          <w:lang w:val="en-US"/>
        </w:rPr>
        <w:t>Skinner v. Oklahoma</w:t>
      </w:r>
      <w:r w:rsidRPr="00F73644">
        <w:rPr>
          <w:lang w:val="en-US"/>
        </w:rPr>
        <w:t xml:space="preserve">, 316 U.S. 535 (1942); </w:t>
      </w:r>
      <w:r w:rsidRPr="009572B5">
        <w:rPr>
          <w:i/>
          <w:lang w:val="en-US"/>
        </w:rPr>
        <w:t>Jacobson v. Massachusetts</w:t>
      </w:r>
      <w:r w:rsidRPr="00F73644">
        <w:rPr>
          <w:lang w:val="en-US"/>
        </w:rPr>
        <w:t>, 197 U.S. 11, 29 (1905)</w:t>
      </w:r>
      <w:r>
        <w:rPr>
          <w:lang w:val="en-US"/>
        </w:rPr>
        <w:t xml:space="preserve">; </w:t>
      </w:r>
      <w:r w:rsidRPr="009572B5">
        <w:rPr>
          <w:i/>
          <w:lang w:val="en-US"/>
        </w:rPr>
        <w:t>Eisenstadt v. Baird</w:t>
      </w:r>
      <w:r w:rsidRPr="00F73644">
        <w:rPr>
          <w:lang w:val="en-US"/>
        </w:rPr>
        <w:t>, 405 U.S. 438, 453</w:t>
      </w:r>
      <w:r>
        <w:rPr>
          <w:lang w:val="en-US"/>
        </w:rPr>
        <w:t>–</w:t>
      </w:r>
      <w:r w:rsidRPr="00F73644">
        <w:rPr>
          <w:lang w:val="en-US"/>
        </w:rPr>
        <w:t>454</w:t>
      </w:r>
      <w:r>
        <w:rPr>
          <w:lang w:val="en-US"/>
        </w:rPr>
        <w:t xml:space="preserve"> = 92 S. Ct. </w:t>
      </w:r>
      <w:r w:rsidRPr="00F73644">
        <w:rPr>
          <w:lang w:val="en-US"/>
        </w:rPr>
        <w:t>1029, 1038</w:t>
      </w:r>
      <w:r>
        <w:rPr>
          <w:lang w:val="en-US"/>
        </w:rPr>
        <w:t xml:space="preserve"> = 31 L. Ed. </w:t>
      </w:r>
      <w:r w:rsidRPr="00F73644">
        <w:rPr>
          <w:lang w:val="en-US"/>
        </w:rPr>
        <w:t>2d 349, 362</w:t>
      </w:r>
      <w:r>
        <w:rPr>
          <w:lang w:val="en-US"/>
        </w:rPr>
        <w:t>–</w:t>
      </w:r>
      <w:r w:rsidRPr="00F73644">
        <w:rPr>
          <w:lang w:val="en-US"/>
        </w:rPr>
        <w:t>363</w:t>
      </w:r>
      <w:r>
        <w:rPr>
          <w:lang w:val="en-US"/>
        </w:rPr>
        <w:t xml:space="preserve"> = 1972 U.S. LEXIS </w:t>
      </w:r>
      <w:r w:rsidRPr="00F73644">
        <w:rPr>
          <w:lang w:val="en-US"/>
        </w:rPr>
        <w:t>145, 28 (1972)</w:t>
      </w:r>
      <w:r>
        <w:rPr>
          <w:lang w:val="en-US"/>
        </w:rPr>
        <w:t>.</w:t>
      </w:r>
    </w:p>
  </w:footnote>
  <w:footnote w:id="1325">
    <w:p w14:paraId="48B37FEB" w14:textId="77777777" w:rsidR="00074551" w:rsidRPr="001B2DF1" w:rsidRDefault="00074551" w:rsidP="00074551">
      <w:pPr>
        <w:pStyle w:val="Funotentext"/>
        <w:rPr>
          <w:lang w:val="en-US"/>
        </w:rPr>
      </w:pPr>
      <w:r>
        <w:rPr>
          <w:rStyle w:val="Funotenzeichen"/>
          <w:rFonts w:eastAsiaTheme="majorEastAsia"/>
        </w:rPr>
        <w:footnoteRef/>
      </w:r>
      <w:r w:rsidRPr="001B2DF1">
        <w:rPr>
          <w:lang w:val="en-US"/>
        </w:rPr>
        <w:t xml:space="preserve"> </w:t>
      </w:r>
      <w:r w:rsidRPr="009572B5">
        <w:rPr>
          <w:i/>
          <w:lang w:val="en-US"/>
        </w:rPr>
        <w:t>Eisenstadt v. Baird</w:t>
      </w:r>
      <w:r w:rsidRPr="001B2DF1">
        <w:rPr>
          <w:lang w:val="en-US"/>
        </w:rPr>
        <w:t>, 405 U.S. 438, 453</w:t>
      </w:r>
      <w:r>
        <w:rPr>
          <w:lang w:val="en-US"/>
        </w:rPr>
        <w:t xml:space="preserve"> = 92 S. Ct. </w:t>
      </w:r>
      <w:r w:rsidRPr="001B2DF1">
        <w:rPr>
          <w:lang w:val="en-US"/>
        </w:rPr>
        <w:t>1029, 1038</w:t>
      </w:r>
      <w:r>
        <w:rPr>
          <w:lang w:val="en-US"/>
        </w:rPr>
        <w:t xml:space="preserve"> = 31 L. Ed. </w:t>
      </w:r>
      <w:r w:rsidRPr="001B2DF1">
        <w:rPr>
          <w:lang w:val="en-US"/>
        </w:rPr>
        <w:t>2d 349, 362</w:t>
      </w:r>
      <w:r>
        <w:rPr>
          <w:lang w:val="en-US"/>
        </w:rPr>
        <w:t xml:space="preserve"> = 1972 U.S. LEXIS </w:t>
      </w:r>
      <w:r w:rsidRPr="001B2DF1">
        <w:rPr>
          <w:lang w:val="en-US"/>
        </w:rPr>
        <w:t>145, 28 (1972)</w:t>
      </w:r>
      <w:r>
        <w:rPr>
          <w:lang w:val="en-US"/>
        </w:rPr>
        <w:t>.</w:t>
      </w:r>
    </w:p>
  </w:footnote>
  <w:footnote w:id="1326">
    <w:p w14:paraId="293F3B1B" w14:textId="77777777" w:rsidR="00074551" w:rsidRPr="00BF1B6B" w:rsidRDefault="00074551" w:rsidP="00074551">
      <w:pPr>
        <w:pStyle w:val="Funotentext"/>
        <w:rPr>
          <w:lang w:val="en-US"/>
        </w:rPr>
      </w:pPr>
      <w:r>
        <w:rPr>
          <w:rStyle w:val="Funotenzeichen"/>
          <w:rFonts w:eastAsiaTheme="majorEastAsia"/>
        </w:rPr>
        <w:footnoteRef/>
      </w:r>
      <w:r w:rsidRPr="00BF1B6B">
        <w:rPr>
          <w:lang w:val="en-US"/>
        </w:rPr>
        <w:t xml:space="preserve"> </w:t>
      </w:r>
      <w:r w:rsidRPr="009E57E1">
        <w:rPr>
          <w:i/>
          <w:lang w:val="en-US"/>
        </w:rPr>
        <w:t>Stanley v. Georgia</w:t>
      </w:r>
      <w:r w:rsidRPr="007E1BAC">
        <w:rPr>
          <w:lang w:val="en-US"/>
        </w:rPr>
        <w:t>, 394 U.S. 557</w:t>
      </w:r>
      <w:r>
        <w:rPr>
          <w:lang w:val="en-US"/>
        </w:rPr>
        <w:t>,</w:t>
      </w:r>
      <w:r w:rsidRPr="007E1BAC">
        <w:rPr>
          <w:lang w:val="en-US"/>
        </w:rPr>
        <w:t xml:space="preserve"> </w:t>
      </w:r>
      <w:r w:rsidRPr="00BF1B6B">
        <w:rPr>
          <w:lang w:val="en-US"/>
        </w:rPr>
        <w:t>564</w:t>
      </w:r>
      <w:r>
        <w:rPr>
          <w:lang w:val="en-US"/>
        </w:rPr>
        <w:t xml:space="preserve">; </w:t>
      </w:r>
      <w:r w:rsidRPr="009572B5">
        <w:rPr>
          <w:i/>
          <w:lang w:val="en-US"/>
        </w:rPr>
        <w:t>Eisenstadt v. Baird</w:t>
      </w:r>
      <w:r w:rsidRPr="00BF1B6B">
        <w:rPr>
          <w:lang w:val="en-US"/>
        </w:rPr>
        <w:t>, 405 U.S. 438, 453</w:t>
      </w:r>
      <w:r>
        <w:rPr>
          <w:lang w:val="en-US"/>
        </w:rPr>
        <w:t xml:space="preserve"> = 92 S. Ct. </w:t>
      </w:r>
      <w:r w:rsidRPr="00BF1B6B">
        <w:rPr>
          <w:lang w:val="en-US"/>
        </w:rPr>
        <w:t>1029, 1038</w:t>
      </w:r>
      <w:r>
        <w:rPr>
          <w:lang w:val="en-US"/>
        </w:rPr>
        <w:t xml:space="preserve"> = 31 L. Ed. </w:t>
      </w:r>
      <w:r w:rsidRPr="00BF1B6B">
        <w:rPr>
          <w:lang w:val="en-US"/>
        </w:rPr>
        <w:t>2d 349, 362</w:t>
      </w:r>
      <w:r>
        <w:rPr>
          <w:lang w:val="en-US"/>
        </w:rPr>
        <w:t xml:space="preserve"> = 1972 U.S. LEXIS </w:t>
      </w:r>
      <w:r w:rsidRPr="00BF1B6B">
        <w:rPr>
          <w:lang w:val="en-US"/>
        </w:rPr>
        <w:t>145, 28 (1972)</w:t>
      </w:r>
      <w:r>
        <w:rPr>
          <w:lang w:val="en-US"/>
        </w:rPr>
        <w:t>.</w:t>
      </w:r>
    </w:p>
  </w:footnote>
  <w:footnote w:id="1327">
    <w:p w14:paraId="79CB4163" w14:textId="77777777" w:rsidR="00074551" w:rsidRPr="00395C71" w:rsidRDefault="00074551" w:rsidP="00074551">
      <w:pPr>
        <w:pStyle w:val="Funotentext"/>
        <w:ind w:left="227" w:hanging="227"/>
        <w:rPr>
          <w:lang w:val="en-US"/>
        </w:rPr>
      </w:pPr>
      <w:r>
        <w:rPr>
          <w:rStyle w:val="Funotenzeichen"/>
          <w:rFonts w:eastAsiaTheme="majorEastAsia"/>
        </w:rPr>
        <w:footnoteRef/>
      </w:r>
      <w:r w:rsidRPr="00395C71">
        <w:rPr>
          <w:lang w:val="en-US"/>
        </w:rPr>
        <w:t xml:space="preserve"> </w:t>
      </w:r>
      <w:proofErr w:type="spellStart"/>
      <w:r w:rsidRPr="00395C71">
        <w:rPr>
          <w:lang w:val="en-US"/>
        </w:rPr>
        <w:t>Siehe</w:t>
      </w:r>
      <w:proofErr w:type="spellEnd"/>
      <w:r w:rsidRPr="00395C71">
        <w:rPr>
          <w:lang w:val="en-US"/>
        </w:rPr>
        <w:t xml:space="preserve"> </w:t>
      </w:r>
      <w:proofErr w:type="spellStart"/>
      <w:r w:rsidRPr="00395C71">
        <w:rPr>
          <w:lang w:val="en-US"/>
        </w:rPr>
        <w:t>im</w:t>
      </w:r>
      <w:proofErr w:type="spellEnd"/>
      <w:r w:rsidRPr="00395C71">
        <w:rPr>
          <w:lang w:val="en-US"/>
        </w:rPr>
        <w:t xml:space="preserve"> </w:t>
      </w:r>
      <w:proofErr w:type="spellStart"/>
      <w:r w:rsidRPr="00395C71">
        <w:rPr>
          <w:lang w:val="en-US"/>
        </w:rPr>
        <w:t>Übrigen</w:t>
      </w:r>
      <w:proofErr w:type="spellEnd"/>
      <w:r w:rsidRPr="00395C71">
        <w:rPr>
          <w:lang w:val="en-US"/>
        </w:rPr>
        <w:t xml:space="preserve"> </w:t>
      </w:r>
      <w:proofErr w:type="spellStart"/>
      <w:r w:rsidRPr="00395C71">
        <w:rPr>
          <w:lang w:val="en-US"/>
        </w:rPr>
        <w:t>auch</w:t>
      </w:r>
      <w:proofErr w:type="spellEnd"/>
      <w:r w:rsidRPr="00395C71">
        <w:rPr>
          <w:lang w:val="en-US"/>
        </w:rPr>
        <w:t xml:space="preserve"> </w:t>
      </w:r>
      <w:proofErr w:type="spellStart"/>
      <w:r w:rsidRPr="00395C71">
        <w:rPr>
          <w:lang w:val="en-US"/>
        </w:rPr>
        <w:t>hier</w:t>
      </w:r>
      <w:proofErr w:type="spellEnd"/>
      <w:r w:rsidRPr="00395C71">
        <w:rPr>
          <w:lang w:val="en-US"/>
        </w:rPr>
        <w:t xml:space="preserve">: </w:t>
      </w:r>
      <w:r w:rsidRPr="009167A5">
        <w:rPr>
          <w:i/>
          <w:lang w:val="en-US"/>
        </w:rPr>
        <w:t>Olmstead v. United States</w:t>
      </w:r>
      <w:r w:rsidRPr="00395C71">
        <w:rPr>
          <w:lang w:val="en-US"/>
        </w:rPr>
        <w:t>, 277 U.S. 438, 478 (1928) (</w:t>
      </w:r>
      <w:r w:rsidRPr="009E57E1">
        <w:rPr>
          <w:lang w:val="en-US"/>
        </w:rPr>
        <w:t xml:space="preserve">Dissens von Richter </w:t>
      </w:r>
      <w:r w:rsidRPr="00B45592">
        <w:rPr>
          <w:i/>
          <w:lang w:val="en-US"/>
        </w:rPr>
        <w:t>Brandeis</w:t>
      </w:r>
      <w:r w:rsidRPr="009572B5">
        <w:rPr>
          <w:lang w:val="en-US"/>
        </w:rPr>
        <w:t>);</w:t>
      </w:r>
      <w:r w:rsidRPr="00B35CD0">
        <w:rPr>
          <w:lang w:val="en-US"/>
        </w:rPr>
        <w:t xml:space="preserve"> </w:t>
      </w:r>
      <w:r w:rsidRPr="009572B5">
        <w:rPr>
          <w:i/>
          <w:lang w:val="en-US"/>
        </w:rPr>
        <w:t>Griswold v. Connecticut</w:t>
      </w:r>
      <w:r w:rsidRPr="009572B5">
        <w:rPr>
          <w:lang w:val="en-US"/>
        </w:rPr>
        <w:t xml:space="preserve">, </w:t>
      </w:r>
      <w:r w:rsidRPr="00B45592">
        <w:rPr>
          <w:lang w:val="en-US"/>
        </w:rPr>
        <w:t>381 U.S. 479</w:t>
      </w:r>
      <w:r w:rsidRPr="009572B5">
        <w:rPr>
          <w:lang w:val="en-US"/>
        </w:rPr>
        <w:t xml:space="preserve">; </w:t>
      </w:r>
      <w:proofErr w:type="spellStart"/>
      <w:r>
        <w:rPr>
          <w:lang w:val="en-US"/>
        </w:rPr>
        <w:t>vgl</w:t>
      </w:r>
      <w:proofErr w:type="spellEnd"/>
      <w:r>
        <w:rPr>
          <w:lang w:val="en-US"/>
        </w:rPr>
        <w:t xml:space="preserve">. </w:t>
      </w:r>
      <w:r w:rsidRPr="009E57E1">
        <w:rPr>
          <w:i/>
          <w:lang w:val="en-US"/>
        </w:rPr>
        <w:t>NAACP v. Alabama</w:t>
      </w:r>
      <w:r w:rsidRPr="00395C71">
        <w:rPr>
          <w:lang w:val="en-US"/>
        </w:rPr>
        <w:t>, 357 U.S. 449, 462 (1958)</w:t>
      </w:r>
      <w:r>
        <w:rPr>
          <w:lang w:val="en-US"/>
        </w:rPr>
        <w:t xml:space="preserve">; </w:t>
      </w:r>
      <w:r w:rsidRPr="009572B5">
        <w:rPr>
          <w:i/>
          <w:lang w:val="en-US"/>
        </w:rPr>
        <w:t>Eisenstadt v. Baird</w:t>
      </w:r>
      <w:r w:rsidRPr="00395C71">
        <w:rPr>
          <w:lang w:val="en-US"/>
        </w:rPr>
        <w:t>, 405 U.S. 438, 453</w:t>
      </w:r>
      <w:r>
        <w:rPr>
          <w:lang w:val="en-US"/>
        </w:rPr>
        <w:t xml:space="preserve"> = 92 S. Ct. </w:t>
      </w:r>
      <w:r w:rsidRPr="00395C71">
        <w:rPr>
          <w:lang w:val="en-US"/>
        </w:rPr>
        <w:t>1029, 1038</w:t>
      </w:r>
      <w:r>
        <w:rPr>
          <w:lang w:val="en-US"/>
        </w:rPr>
        <w:t xml:space="preserve"> = 31 L. Ed. </w:t>
      </w:r>
      <w:r w:rsidRPr="00395C71">
        <w:rPr>
          <w:lang w:val="en-US"/>
        </w:rPr>
        <w:t>2d 349, 362</w:t>
      </w:r>
      <w:r>
        <w:rPr>
          <w:lang w:val="en-US"/>
        </w:rPr>
        <w:t xml:space="preserve"> = 1972 U.S. LEXIS </w:t>
      </w:r>
      <w:r w:rsidRPr="00395C71">
        <w:rPr>
          <w:lang w:val="en-US"/>
        </w:rPr>
        <w:t>145, 28 (1972)</w:t>
      </w:r>
      <w:r>
        <w:rPr>
          <w:lang w:val="en-US"/>
        </w:rPr>
        <w:t>.</w:t>
      </w:r>
    </w:p>
  </w:footnote>
  <w:footnote w:id="1328">
    <w:p w14:paraId="05987738" w14:textId="77777777" w:rsidR="00074551" w:rsidRPr="007E1BAC" w:rsidRDefault="00074551" w:rsidP="00074551">
      <w:pPr>
        <w:pStyle w:val="Funotentext"/>
        <w:rPr>
          <w:lang w:val="en-US"/>
        </w:rPr>
      </w:pPr>
      <w:r>
        <w:rPr>
          <w:rStyle w:val="Funotenzeichen"/>
          <w:rFonts w:eastAsiaTheme="majorEastAsia"/>
        </w:rPr>
        <w:footnoteRef/>
      </w:r>
      <w:r w:rsidRPr="007E1BAC">
        <w:rPr>
          <w:lang w:val="en-US"/>
        </w:rPr>
        <w:t xml:space="preserve"> </w:t>
      </w:r>
      <w:proofErr w:type="spellStart"/>
      <w:r>
        <w:rPr>
          <w:lang w:val="en-US"/>
        </w:rPr>
        <w:t>Siehe</w:t>
      </w:r>
      <w:proofErr w:type="spellEnd"/>
      <w:r w:rsidRPr="00F73644">
        <w:rPr>
          <w:lang w:val="en-US"/>
        </w:rPr>
        <w:t xml:space="preserve"> </w:t>
      </w:r>
      <w:r w:rsidRPr="009E57E1">
        <w:rPr>
          <w:i/>
          <w:lang w:val="en-US"/>
        </w:rPr>
        <w:t>Stanley v. Georgia</w:t>
      </w:r>
      <w:r w:rsidRPr="007E1BAC">
        <w:rPr>
          <w:lang w:val="en-US"/>
        </w:rPr>
        <w:t>, 394 U.S. 557 (1969</w:t>
      </w:r>
      <w:r>
        <w:rPr>
          <w:lang w:val="en-US"/>
        </w:rPr>
        <w:t xml:space="preserve">), </w:t>
      </w:r>
      <w:proofErr w:type="spellStart"/>
      <w:r>
        <w:rPr>
          <w:lang w:val="en-US"/>
        </w:rPr>
        <w:t>sowie</w:t>
      </w:r>
      <w:proofErr w:type="spellEnd"/>
      <w:r w:rsidRPr="007E1BAC">
        <w:rPr>
          <w:lang w:val="en-US"/>
        </w:rPr>
        <w:t xml:space="preserve"> </w:t>
      </w:r>
      <w:r w:rsidRPr="009572B5">
        <w:rPr>
          <w:i/>
          <w:lang w:val="en-US"/>
        </w:rPr>
        <w:t>Skinner v. Oklahoma</w:t>
      </w:r>
      <w:r w:rsidRPr="007E1BAC">
        <w:rPr>
          <w:lang w:val="en-US"/>
        </w:rPr>
        <w:t xml:space="preserve">, 316 U.S. 535 (1942); </w:t>
      </w:r>
      <w:r w:rsidRPr="009572B5">
        <w:rPr>
          <w:i/>
          <w:lang w:val="en-US"/>
        </w:rPr>
        <w:t>Jacobson v. Massachusetts</w:t>
      </w:r>
      <w:r w:rsidRPr="007E1BAC">
        <w:rPr>
          <w:lang w:val="en-US"/>
        </w:rPr>
        <w:t>, 197 U.S. 11, 29 (1905)</w:t>
      </w:r>
      <w:r>
        <w:rPr>
          <w:lang w:val="en-US"/>
        </w:rPr>
        <w:t xml:space="preserve">; </w:t>
      </w:r>
      <w:r w:rsidRPr="009572B5">
        <w:rPr>
          <w:i/>
          <w:lang w:val="en-US"/>
        </w:rPr>
        <w:t>Eisenstadt v. Baird</w:t>
      </w:r>
      <w:r w:rsidRPr="007E1BAC">
        <w:rPr>
          <w:lang w:val="en-US"/>
        </w:rPr>
        <w:t>, 405 U.S. 438, 453</w:t>
      </w:r>
      <w:r>
        <w:rPr>
          <w:lang w:val="en-US"/>
        </w:rPr>
        <w:t>–</w:t>
      </w:r>
      <w:r w:rsidRPr="007E1BAC">
        <w:rPr>
          <w:lang w:val="en-US"/>
        </w:rPr>
        <w:t>454</w:t>
      </w:r>
      <w:r>
        <w:rPr>
          <w:lang w:val="en-US"/>
        </w:rPr>
        <w:t xml:space="preserve"> = 92 S. Ct. </w:t>
      </w:r>
      <w:r w:rsidRPr="007E1BAC">
        <w:rPr>
          <w:lang w:val="en-US"/>
        </w:rPr>
        <w:t>1029, 1038</w:t>
      </w:r>
      <w:r>
        <w:rPr>
          <w:lang w:val="en-US"/>
        </w:rPr>
        <w:t xml:space="preserve"> = 31 L. Ed. </w:t>
      </w:r>
      <w:r w:rsidRPr="007E1BAC">
        <w:rPr>
          <w:lang w:val="en-US"/>
        </w:rPr>
        <w:t>2d 349, 362</w:t>
      </w:r>
      <w:r>
        <w:rPr>
          <w:lang w:val="en-US"/>
        </w:rPr>
        <w:t>–</w:t>
      </w:r>
      <w:r w:rsidRPr="007E1BAC">
        <w:rPr>
          <w:lang w:val="en-US"/>
        </w:rPr>
        <w:t>363</w:t>
      </w:r>
      <w:r>
        <w:rPr>
          <w:lang w:val="en-US"/>
        </w:rPr>
        <w:t xml:space="preserve"> = 1972 U.S. LEXIS </w:t>
      </w:r>
      <w:r w:rsidRPr="007E1BAC">
        <w:rPr>
          <w:lang w:val="en-US"/>
        </w:rPr>
        <w:t>145, 28 (1972)</w:t>
      </w:r>
      <w:r>
        <w:rPr>
          <w:lang w:val="en-US"/>
        </w:rPr>
        <w:t>.</w:t>
      </w:r>
    </w:p>
  </w:footnote>
  <w:footnote w:id="1329">
    <w:p w14:paraId="45224362" w14:textId="77777777" w:rsidR="00074551" w:rsidRPr="00DB6E4F" w:rsidRDefault="00074551" w:rsidP="00074551">
      <w:pPr>
        <w:pStyle w:val="Funotentext"/>
        <w:ind w:left="227" w:hanging="227"/>
        <w:rPr>
          <w:lang w:val="en-US"/>
        </w:rPr>
      </w:pPr>
      <w:r>
        <w:rPr>
          <w:rStyle w:val="Funotenzeichen"/>
          <w:rFonts w:eastAsiaTheme="majorEastAsia"/>
        </w:rPr>
        <w:footnoteRef/>
      </w:r>
      <w:r w:rsidRPr="00DB6E4F">
        <w:rPr>
          <w:lang w:val="en-US"/>
        </w:rPr>
        <w:t xml:space="preserve"> </w:t>
      </w:r>
      <w:r w:rsidRPr="009E57E1">
        <w:rPr>
          <w:i/>
          <w:lang w:val="en-US"/>
        </w:rPr>
        <w:t>Stanley v. Georgia</w:t>
      </w:r>
      <w:r w:rsidRPr="00DB6E4F">
        <w:rPr>
          <w:lang w:val="en-US"/>
        </w:rPr>
        <w:t>, 394 U.S. 557 (1969)</w:t>
      </w:r>
      <w:r>
        <w:rPr>
          <w:lang w:val="en-US"/>
        </w:rPr>
        <w:t xml:space="preserve">; </w:t>
      </w:r>
      <w:r w:rsidRPr="009572B5">
        <w:rPr>
          <w:i/>
          <w:lang w:val="en-US"/>
        </w:rPr>
        <w:t>Eisenstadt v. Baird</w:t>
      </w:r>
      <w:r w:rsidRPr="00DB6E4F">
        <w:rPr>
          <w:lang w:val="en-US"/>
        </w:rPr>
        <w:t>, 405 U.S. 438, 453</w:t>
      </w:r>
      <w:r>
        <w:rPr>
          <w:lang w:val="en-US"/>
        </w:rPr>
        <w:t xml:space="preserve"> = 92 S. Ct. </w:t>
      </w:r>
      <w:r w:rsidRPr="00DB6E4F">
        <w:rPr>
          <w:lang w:val="en-US"/>
        </w:rPr>
        <w:t>1029, 1038</w:t>
      </w:r>
      <w:r>
        <w:rPr>
          <w:lang w:val="en-US"/>
        </w:rPr>
        <w:t xml:space="preserve"> = 31 L. Ed. </w:t>
      </w:r>
      <w:r w:rsidRPr="00DB6E4F">
        <w:rPr>
          <w:lang w:val="en-US"/>
        </w:rPr>
        <w:t>2d 349, 362</w:t>
      </w:r>
      <w:r>
        <w:rPr>
          <w:lang w:val="en-US"/>
        </w:rPr>
        <w:t xml:space="preserve"> = 1972 U.S. LEXIS </w:t>
      </w:r>
      <w:r w:rsidRPr="00DB6E4F">
        <w:rPr>
          <w:lang w:val="en-US"/>
        </w:rPr>
        <w:t>145, 28 (1972)</w:t>
      </w:r>
      <w:r>
        <w:rPr>
          <w:lang w:val="en-US"/>
        </w:rPr>
        <w:t>.</w:t>
      </w:r>
    </w:p>
  </w:footnote>
  <w:footnote w:id="1330">
    <w:p w14:paraId="4E7FEE9A" w14:textId="77777777" w:rsidR="00074551" w:rsidRPr="00F73644" w:rsidRDefault="00074551" w:rsidP="00074551">
      <w:pPr>
        <w:pStyle w:val="Funotentext"/>
        <w:rPr>
          <w:lang w:val="en-US"/>
        </w:rPr>
      </w:pPr>
      <w:r>
        <w:rPr>
          <w:rStyle w:val="Funotenzeichen"/>
          <w:rFonts w:eastAsiaTheme="majorEastAsia"/>
        </w:rPr>
        <w:footnoteRef/>
      </w:r>
      <w:r w:rsidRPr="00F73644">
        <w:rPr>
          <w:lang w:val="en-US"/>
        </w:rPr>
        <w:t xml:space="preserve"> </w:t>
      </w:r>
      <w:proofErr w:type="spellStart"/>
      <w:r>
        <w:rPr>
          <w:lang w:val="en-US"/>
        </w:rPr>
        <w:t>Siehe</w:t>
      </w:r>
      <w:proofErr w:type="spellEnd"/>
      <w:r w:rsidRPr="00F73644">
        <w:rPr>
          <w:lang w:val="en-US"/>
        </w:rPr>
        <w:t xml:space="preserve"> </w:t>
      </w:r>
      <w:r w:rsidRPr="009E57E1">
        <w:rPr>
          <w:i/>
          <w:lang w:val="en-US"/>
        </w:rPr>
        <w:t>Stanley v. Georgia</w:t>
      </w:r>
      <w:r w:rsidRPr="00F73644">
        <w:rPr>
          <w:lang w:val="en-US"/>
        </w:rPr>
        <w:t>, 394 U.S. 557 (1969)</w:t>
      </w:r>
      <w:r>
        <w:rPr>
          <w:lang w:val="en-US"/>
        </w:rPr>
        <w:t xml:space="preserve">, </w:t>
      </w:r>
      <w:proofErr w:type="spellStart"/>
      <w:r>
        <w:rPr>
          <w:lang w:val="en-US"/>
        </w:rPr>
        <w:t>sowie</w:t>
      </w:r>
      <w:proofErr w:type="spellEnd"/>
      <w:r>
        <w:rPr>
          <w:lang w:val="en-US"/>
        </w:rPr>
        <w:t xml:space="preserve"> </w:t>
      </w:r>
      <w:r w:rsidRPr="009572B5">
        <w:rPr>
          <w:i/>
          <w:lang w:val="en-US"/>
        </w:rPr>
        <w:t>Skinner v. Oklahoma</w:t>
      </w:r>
      <w:r w:rsidRPr="00F73644">
        <w:rPr>
          <w:lang w:val="en-US"/>
        </w:rPr>
        <w:t xml:space="preserve">, 316 U.S. 535 (1942); </w:t>
      </w:r>
      <w:r w:rsidRPr="009572B5">
        <w:rPr>
          <w:i/>
          <w:lang w:val="en-US"/>
        </w:rPr>
        <w:t>Jacobson v. Massachusetts</w:t>
      </w:r>
      <w:r w:rsidRPr="00F73644">
        <w:rPr>
          <w:lang w:val="en-US"/>
        </w:rPr>
        <w:t>, 197 U.S. 11, 29 (1905)</w:t>
      </w:r>
      <w:r>
        <w:rPr>
          <w:lang w:val="en-US"/>
        </w:rPr>
        <w:t xml:space="preserve">; </w:t>
      </w:r>
      <w:r w:rsidRPr="009572B5">
        <w:rPr>
          <w:i/>
          <w:lang w:val="en-US"/>
        </w:rPr>
        <w:t>Eisenstadt v. Baird</w:t>
      </w:r>
      <w:r w:rsidRPr="00F73644">
        <w:rPr>
          <w:lang w:val="en-US"/>
        </w:rPr>
        <w:t>, 405 U.S. 438, 453</w:t>
      </w:r>
      <w:r>
        <w:rPr>
          <w:lang w:val="en-US"/>
        </w:rPr>
        <w:t>–</w:t>
      </w:r>
      <w:r w:rsidRPr="00F73644">
        <w:rPr>
          <w:lang w:val="en-US"/>
        </w:rPr>
        <w:t>454</w:t>
      </w:r>
      <w:r>
        <w:rPr>
          <w:lang w:val="en-US"/>
        </w:rPr>
        <w:t xml:space="preserve"> = 92 S. Ct. </w:t>
      </w:r>
      <w:r w:rsidRPr="00F73644">
        <w:rPr>
          <w:lang w:val="en-US"/>
        </w:rPr>
        <w:t>1029, 1038</w:t>
      </w:r>
      <w:r>
        <w:rPr>
          <w:lang w:val="en-US"/>
        </w:rPr>
        <w:t xml:space="preserve"> = 31 L. Ed. </w:t>
      </w:r>
      <w:r w:rsidRPr="00F73644">
        <w:rPr>
          <w:lang w:val="en-US"/>
        </w:rPr>
        <w:t>2d 349, 362</w:t>
      </w:r>
      <w:r>
        <w:rPr>
          <w:lang w:val="en-US"/>
        </w:rPr>
        <w:t>–</w:t>
      </w:r>
      <w:r w:rsidRPr="00F73644">
        <w:rPr>
          <w:lang w:val="en-US"/>
        </w:rPr>
        <w:t>363</w:t>
      </w:r>
      <w:r>
        <w:rPr>
          <w:lang w:val="en-US"/>
        </w:rPr>
        <w:t xml:space="preserve"> = 1972 U.S. LEXIS </w:t>
      </w:r>
      <w:r w:rsidRPr="00F73644">
        <w:rPr>
          <w:lang w:val="en-US"/>
        </w:rPr>
        <w:t>145, 28 (1972)</w:t>
      </w:r>
      <w:r>
        <w:rPr>
          <w:lang w:val="en-US"/>
        </w:rPr>
        <w:t>.</w:t>
      </w:r>
    </w:p>
  </w:footnote>
  <w:footnote w:id="1331">
    <w:p w14:paraId="1CF16848" w14:textId="77777777" w:rsidR="00074551" w:rsidRPr="00AC00D7" w:rsidRDefault="00074551" w:rsidP="00074551">
      <w:pPr>
        <w:pStyle w:val="Funotentext"/>
        <w:rPr>
          <w:lang w:val="en-US"/>
        </w:rPr>
      </w:pPr>
      <w:r>
        <w:rPr>
          <w:rStyle w:val="Funotenzeichen"/>
          <w:rFonts w:eastAsiaTheme="majorEastAsia"/>
        </w:rPr>
        <w:footnoteRef/>
      </w:r>
      <w:r w:rsidRPr="00AC00D7">
        <w:rPr>
          <w:lang w:val="en-US"/>
        </w:rPr>
        <w:t xml:space="preserve"> </w:t>
      </w:r>
      <w:r w:rsidRPr="009E57E1">
        <w:rPr>
          <w:i/>
          <w:lang w:val="en-US"/>
        </w:rPr>
        <w:t>Ferrell v. Dallas Independent School Dist.</w:t>
      </w:r>
      <w:r w:rsidRPr="00AC00D7">
        <w:rPr>
          <w:lang w:val="en-US"/>
        </w:rPr>
        <w:t>, 393 U.S. 856</w:t>
      </w:r>
      <w:r>
        <w:rPr>
          <w:lang w:val="en-US"/>
        </w:rPr>
        <w:t xml:space="preserve"> = 89 S. Ct</w:t>
      </w:r>
      <w:r w:rsidRPr="00991099">
        <w:rPr>
          <w:lang w:val="en-US"/>
        </w:rPr>
        <w:t>. 98</w:t>
      </w:r>
      <w:r w:rsidRPr="003B741A">
        <w:rPr>
          <w:lang w:val="en-US"/>
        </w:rPr>
        <w:t xml:space="preserve"> = 21 L. Ed. </w:t>
      </w:r>
      <w:r w:rsidRPr="00991099">
        <w:rPr>
          <w:lang w:val="en-US"/>
        </w:rPr>
        <w:t>2d 125</w:t>
      </w:r>
      <w:r>
        <w:rPr>
          <w:lang w:val="en-US"/>
        </w:rPr>
        <w:t xml:space="preserve"> = </w:t>
      </w:r>
      <w:r w:rsidRPr="00991099">
        <w:rPr>
          <w:lang w:val="en-US"/>
        </w:rPr>
        <w:t>1968 U.S. LEXIS 790 (1968).</w:t>
      </w:r>
    </w:p>
  </w:footnote>
  <w:footnote w:id="1332">
    <w:p w14:paraId="743A5FEE" w14:textId="1D54D3F5" w:rsidR="00074551" w:rsidRPr="003837D1" w:rsidRDefault="00074551" w:rsidP="00074551">
      <w:pPr>
        <w:pStyle w:val="Funotentext"/>
        <w:rPr>
          <w:lang w:val="en-US"/>
        </w:rPr>
      </w:pPr>
      <w:r>
        <w:rPr>
          <w:rStyle w:val="Funotenzeichen"/>
          <w:rFonts w:eastAsiaTheme="majorEastAsia"/>
        </w:rPr>
        <w:footnoteRef/>
      </w:r>
      <w:r w:rsidRPr="003837D1">
        <w:rPr>
          <w:lang w:val="en-US"/>
        </w:rPr>
        <w:t xml:space="preserve"> </w:t>
      </w:r>
      <w:proofErr w:type="spellStart"/>
      <w:r w:rsidRPr="003837D1">
        <w:rPr>
          <w:lang w:val="en-US"/>
        </w:rPr>
        <w:t>Zitiert</w:t>
      </w:r>
      <w:proofErr w:type="spellEnd"/>
      <w:r w:rsidRPr="003837D1">
        <w:rPr>
          <w:lang w:val="en-US"/>
        </w:rPr>
        <w:t xml:space="preserve"> in 62 </w:t>
      </w:r>
      <w:r w:rsidRPr="00B45592">
        <w:rPr>
          <w:i/>
          <w:iCs/>
          <w:lang w:val="en-US"/>
        </w:rPr>
        <w:t>federal court cases</w:t>
      </w:r>
      <w:r w:rsidRPr="003837D1">
        <w:rPr>
          <w:lang w:val="en-US"/>
        </w:rPr>
        <w:t xml:space="preserve"> und in 15 </w:t>
      </w:r>
      <w:r w:rsidRPr="00B45592">
        <w:rPr>
          <w:i/>
          <w:iCs/>
          <w:lang w:val="en-US"/>
        </w:rPr>
        <w:t>state court cases</w:t>
      </w:r>
      <w:r>
        <w:rPr>
          <w:lang w:val="en-US"/>
        </w:rPr>
        <w:t xml:space="preserve">, </w:t>
      </w:r>
      <w:proofErr w:type="spellStart"/>
      <w:r>
        <w:rPr>
          <w:lang w:val="en-US"/>
        </w:rPr>
        <w:t>abrufbar</w:t>
      </w:r>
      <w:proofErr w:type="spellEnd"/>
      <w:r>
        <w:rPr>
          <w:lang w:val="en-US"/>
        </w:rPr>
        <w:t xml:space="preserve"> </w:t>
      </w:r>
      <w:proofErr w:type="spellStart"/>
      <w:r>
        <w:rPr>
          <w:lang w:val="en-US"/>
        </w:rPr>
        <w:t>hier</w:t>
      </w:r>
      <w:proofErr w:type="spellEnd"/>
      <w:r>
        <w:rPr>
          <w:lang w:val="en-US"/>
        </w:rPr>
        <w:t xml:space="preserve">: </w:t>
      </w:r>
      <w:r w:rsidR="006F4315" w:rsidRPr="006F4315">
        <w:rPr>
          <w:lang w:val="en-US"/>
        </w:rPr>
        <w:t>https://advance.lexis.com/shepards/shepardspreviewpod/?pdmfid=1519360&amp;crid=34e8c24c-5a7d-419b-80b9-e0bdf91d5fe8&amp;pdshepid=urn%3AcontentItem%3A7XWR-P7G1-2NSD-N3FV-00000-00&amp;pdshepcat=citingref&amp;pdshepfilter=Analysis&amp;pdshepfiltername=Cited+By&amp;pdshepfiltervalue=0&amp;pdshepfieldname=treatgroup&amp;ecomp=g2x8k&amp;prid=31dbf77e-9444-4da4-b793-5ca3cbe51480</w:t>
      </w:r>
      <w:r>
        <w:rPr>
          <w:lang w:val="en-US"/>
        </w:rPr>
        <w:t xml:space="preserve"> </w:t>
      </w:r>
      <w:r w:rsidR="006F4315">
        <w:rPr>
          <w:lang w:val="en-US"/>
        </w:rPr>
        <w:t>(14.08.2026).</w:t>
      </w:r>
    </w:p>
  </w:footnote>
  <w:footnote w:id="1333">
    <w:p w14:paraId="7E7F1C20" w14:textId="77777777" w:rsidR="00074551" w:rsidRPr="00991099" w:rsidRDefault="00074551" w:rsidP="00074551">
      <w:pPr>
        <w:pStyle w:val="Funotentext"/>
        <w:ind w:left="227" w:hanging="227"/>
        <w:rPr>
          <w:lang w:val="en-US"/>
        </w:rPr>
      </w:pPr>
      <w:r>
        <w:rPr>
          <w:rStyle w:val="Funotenzeichen"/>
          <w:rFonts w:eastAsiaTheme="majorEastAsia"/>
        </w:rPr>
        <w:footnoteRef/>
      </w:r>
      <w:r w:rsidRPr="00991099">
        <w:rPr>
          <w:lang w:val="en-US"/>
        </w:rPr>
        <w:t xml:space="preserve"> </w:t>
      </w:r>
      <w:r w:rsidRPr="009E57E1">
        <w:rPr>
          <w:i/>
          <w:lang w:val="en-US"/>
        </w:rPr>
        <w:t>Ferrell v. Dallas Independent School Dist.</w:t>
      </w:r>
      <w:proofErr w:type="gramStart"/>
      <w:r w:rsidRPr="00991099">
        <w:rPr>
          <w:lang w:val="en-US"/>
        </w:rPr>
        <w:t>, ,</w:t>
      </w:r>
      <w:proofErr w:type="gramEnd"/>
      <w:r w:rsidRPr="00991099">
        <w:rPr>
          <w:lang w:val="en-US"/>
        </w:rPr>
        <w:t xml:space="preserve"> 393 U.S. 856</w:t>
      </w:r>
      <w:r>
        <w:rPr>
          <w:lang w:val="en-US"/>
        </w:rPr>
        <w:t xml:space="preserve"> = 89 S. Ct</w:t>
      </w:r>
      <w:r w:rsidRPr="00991099">
        <w:rPr>
          <w:lang w:val="en-US"/>
        </w:rPr>
        <w:t>. 98</w:t>
      </w:r>
      <w:r w:rsidRPr="003B741A">
        <w:rPr>
          <w:lang w:val="en-US"/>
        </w:rPr>
        <w:t xml:space="preserve"> = 21 L. Ed. </w:t>
      </w:r>
      <w:r w:rsidRPr="00991099">
        <w:rPr>
          <w:lang w:val="en-US"/>
        </w:rPr>
        <w:t>2d 125</w:t>
      </w:r>
      <w:r>
        <w:rPr>
          <w:lang w:val="en-US"/>
        </w:rPr>
        <w:t xml:space="preserve"> = </w:t>
      </w:r>
      <w:r w:rsidRPr="00991099">
        <w:rPr>
          <w:lang w:val="en-US"/>
        </w:rPr>
        <w:t>1968 U.S. LEXIS 790 (1968).</w:t>
      </w:r>
    </w:p>
  </w:footnote>
  <w:footnote w:id="1334">
    <w:p w14:paraId="6D6702C4" w14:textId="77777777" w:rsidR="00074551" w:rsidRPr="00394B04" w:rsidRDefault="00074551" w:rsidP="00074551">
      <w:pPr>
        <w:pStyle w:val="Funotentext"/>
        <w:rPr>
          <w:lang w:val="en-US"/>
        </w:rPr>
      </w:pPr>
      <w:r>
        <w:rPr>
          <w:rStyle w:val="Funotenzeichen"/>
          <w:rFonts w:eastAsiaTheme="majorEastAsia"/>
        </w:rPr>
        <w:footnoteRef/>
      </w:r>
      <w:r w:rsidRPr="00394B04">
        <w:rPr>
          <w:lang w:val="en-US"/>
        </w:rPr>
        <w:t xml:space="preserve"> </w:t>
      </w:r>
      <w:r w:rsidRPr="009E57E1">
        <w:rPr>
          <w:i/>
          <w:lang w:val="en-US"/>
        </w:rPr>
        <w:t>Ferrell v. Dallas Independent School Dist.</w:t>
      </w:r>
      <w:r w:rsidRPr="00394B04">
        <w:rPr>
          <w:lang w:val="en-US"/>
        </w:rPr>
        <w:t>, 393 U.S. 856</w:t>
      </w:r>
      <w:r>
        <w:rPr>
          <w:lang w:val="en-US"/>
        </w:rPr>
        <w:t xml:space="preserve"> = 89 S. Ct</w:t>
      </w:r>
      <w:r w:rsidRPr="00991099">
        <w:rPr>
          <w:lang w:val="en-US"/>
        </w:rPr>
        <w:t>. 98</w:t>
      </w:r>
      <w:r w:rsidRPr="003B741A">
        <w:rPr>
          <w:lang w:val="en-US"/>
        </w:rPr>
        <w:t xml:space="preserve"> = 21 L. Ed. </w:t>
      </w:r>
      <w:r w:rsidRPr="00991099">
        <w:rPr>
          <w:lang w:val="en-US"/>
        </w:rPr>
        <w:t>2d 125</w:t>
      </w:r>
      <w:r>
        <w:rPr>
          <w:lang w:val="en-US"/>
        </w:rPr>
        <w:t xml:space="preserve"> = </w:t>
      </w:r>
      <w:r w:rsidRPr="00991099">
        <w:rPr>
          <w:lang w:val="en-US"/>
        </w:rPr>
        <w:t>1968 U.S. LEXIS 790 (1968).</w:t>
      </w:r>
    </w:p>
  </w:footnote>
  <w:footnote w:id="1335">
    <w:p w14:paraId="23E1FEE2" w14:textId="77777777" w:rsidR="00074551" w:rsidRPr="00F401BD" w:rsidRDefault="00074551" w:rsidP="00074551">
      <w:pPr>
        <w:pStyle w:val="Funotentext"/>
        <w:rPr>
          <w:lang w:val="en-US"/>
        </w:rPr>
      </w:pPr>
      <w:r>
        <w:rPr>
          <w:rStyle w:val="Funotenzeichen"/>
          <w:rFonts w:eastAsiaTheme="majorEastAsia"/>
        </w:rPr>
        <w:footnoteRef/>
      </w:r>
      <w:r w:rsidRPr="00F401BD">
        <w:rPr>
          <w:lang w:val="en-US"/>
        </w:rPr>
        <w:t xml:space="preserve"> </w:t>
      </w:r>
      <w:r w:rsidRPr="00B45592">
        <w:rPr>
          <w:i/>
          <w:lang w:val="en-US"/>
        </w:rPr>
        <w:t>Leonard v. School Committee of Attleboro</w:t>
      </w:r>
      <w:r w:rsidRPr="00F401BD">
        <w:rPr>
          <w:lang w:val="en-US"/>
        </w:rPr>
        <w:t>, 349 Mass. 704</w:t>
      </w:r>
      <w:r>
        <w:rPr>
          <w:lang w:val="en-US"/>
        </w:rPr>
        <w:t xml:space="preserve"> =</w:t>
      </w:r>
      <w:r w:rsidRPr="00F401BD">
        <w:rPr>
          <w:lang w:val="en-US"/>
        </w:rPr>
        <w:t xml:space="preserve"> 212 N.E.</w:t>
      </w:r>
      <w:r>
        <w:rPr>
          <w:lang w:val="en-US"/>
        </w:rPr>
        <w:t xml:space="preserve"> </w:t>
      </w:r>
      <w:r w:rsidRPr="00F401BD">
        <w:rPr>
          <w:lang w:val="en-US"/>
        </w:rPr>
        <w:t xml:space="preserve">2d 468 (1965) </w:t>
      </w:r>
      <w:r>
        <w:rPr>
          <w:lang w:val="en-US"/>
        </w:rPr>
        <w:t>u</w:t>
      </w:r>
      <w:r w:rsidRPr="00F401BD">
        <w:rPr>
          <w:lang w:val="en-US"/>
        </w:rPr>
        <w:t xml:space="preserve">nd </w:t>
      </w:r>
      <w:r w:rsidRPr="00B45592">
        <w:rPr>
          <w:i/>
          <w:lang w:val="en-US"/>
        </w:rPr>
        <w:t>Marshall v. Oliver</w:t>
      </w:r>
      <w:r w:rsidRPr="00F401BD">
        <w:rPr>
          <w:lang w:val="en-US"/>
        </w:rPr>
        <w:t xml:space="preserve"> Case No. B-2932, Cir. Ct. of the City of Richmond, 1965; </w:t>
      </w:r>
      <w:r w:rsidRPr="009E57E1">
        <w:rPr>
          <w:i/>
          <w:lang w:val="en-US"/>
        </w:rPr>
        <w:t>Ferrell v. Dallas Independent School Dist.</w:t>
      </w:r>
      <w:r w:rsidRPr="00F401BD">
        <w:rPr>
          <w:lang w:val="en-US"/>
        </w:rPr>
        <w:t>, 392 F.2d 697, 703</w:t>
      </w:r>
      <w:r>
        <w:rPr>
          <w:lang w:val="en-US"/>
        </w:rPr>
        <w:t xml:space="preserve"> =</w:t>
      </w:r>
      <w:r w:rsidRPr="00F401BD">
        <w:rPr>
          <w:lang w:val="en-US"/>
        </w:rPr>
        <w:t xml:space="preserve"> 1968 U.S. App. LEXIS 7509, 18 (1968).</w:t>
      </w:r>
    </w:p>
  </w:footnote>
  <w:footnote w:id="1336">
    <w:p w14:paraId="2FFBEA50" w14:textId="77777777" w:rsidR="00074551" w:rsidRPr="00F401BD" w:rsidRDefault="00074551" w:rsidP="00074551">
      <w:pPr>
        <w:pStyle w:val="Funotentext"/>
        <w:rPr>
          <w:lang w:val="en-US"/>
        </w:rPr>
      </w:pPr>
      <w:r>
        <w:rPr>
          <w:rStyle w:val="Funotenzeichen"/>
          <w:rFonts w:eastAsiaTheme="majorEastAsia"/>
        </w:rPr>
        <w:footnoteRef/>
      </w:r>
      <w:r w:rsidRPr="00F401BD">
        <w:rPr>
          <w:lang w:val="en-US"/>
        </w:rPr>
        <w:t xml:space="preserve"> </w:t>
      </w:r>
      <w:r w:rsidRPr="00B45592">
        <w:rPr>
          <w:i/>
          <w:lang w:val="en-US"/>
        </w:rPr>
        <w:t>Zachry v. Brown</w:t>
      </w:r>
      <w:r w:rsidRPr="00F401BD">
        <w:rPr>
          <w:lang w:val="en-US"/>
        </w:rPr>
        <w:t>, 299 F. Supp 1360</w:t>
      </w:r>
      <w:r>
        <w:rPr>
          <w:lang w:val="en-US"/>
        </w:rPr>
        <w:t xml:space="preserve">; </w:t>
      </w:r>
      <w:r w:rsidRPr="009E57E1">
        <w:rPr>
          <w:i/>
          <w:lang w:val="en-US"/>
        </w:rPr>
        <w:t>Ferrell v. Dallas Independent School Dist.</w:t>
      </w:r>
      <w:r w:rsidRPr="00F401BD">
        <w:rPr>
          <w:lang w:val="en-US"/>
        </w:rPr>
        <w:t>, 392 F.2d 697, 703</w:t>
      </w:r>
      <w:r>
        <w:rPr>
          <w:lang w:val="en-US"/>
        </w:rPr>
        <w:t xml:space="preserve"> =</w:t>
      </w:r>
      <w:r w:rsidRPr="00F401BD">
        <w:rPr>
          <w:lang w:val="en-US"/>
        </w:rPr>
        <w:t xml:space="preserve"> 1968 U.S. App. LEXIS 7509, 18 (1968)</w:t>
      </w:r>
      <w:r>
        <w:rPr>
          <w:lang w:val="en-US"/>
        </w:rPr>
        <w:t>.</w:t>
      </w:r>
    </w:p>
  </w:footnote>
  <w:footnote w:id="1337">
    <w:p w14:paraId="6E58BA1A" w14:textId="77777777" w:rsidR="00074551" w:rsidRPr="009B5E05" w:rsidRDefault="00074551" w:rsidP="00074551">
      <w:pPr>
        <w:pStyle w:val="Funotentext"/>
        <w:rPr>
          <w:lang w:val="en-US"/>
        </w:rPr>
      </w:pPr>
      <w:r>
        <w:rPr>
          <w:rStyle w:val="Funotenzeichen"/>
          <w:rFonts w:eastAsiaTheme="majorEastAsia"/>
        </w:rPr>
        <w:footnoteRef/>
      </w:r>
      <w:r w:rsidRPr="00F401BD">
        <w:rPr>
          <w:lang w:val="en-US"/>
        </w:rPr>
        <w:t xml:space="preserve"> </w:t>
      </w:r>
      <w:r w:rsidRPr="00B45592">
        <w:rPr>
          <w:i/>
          <w:lang w:val="en-US"/>
        </w:rPr>
        <w:t>Greene v. McElroy</w:t>
      </w:r>
      <w:r w:rsidRPr="00F401BD">
        <w:rPr>
          <w:lang w:val="en-US"/>
        </w:rPr>
        <w:t>, 360 U.S. 474</w:t>
      </w:r>
      <w:r>
        <w:rPr>
          <w:lang w:val="en-US"/>
        </w:rPr>
        <w:t xml:space="preserve"> =</w:t>
      </w:r>
      <w:r w:rsidRPr="00F401BD">
        <w:rPr>
          <w:lang w:val="en-US"/>
        </w:rPr>
        <w:t xml:space="preserve"> 79 S. Ct. 1400</w:t>
      </w:r>
      <w:r>
        <w:rPr>
          <w:lang w:val="en-US"/>
        </w:rPr>
        <w:t xml:space="preserve"> = 3 L. Ed. </w:t>
      </w:r>
      <w:r w:rsidRPr="00F401BD">
        <w:rPr>
          <w:lang w:val="en-US"/>
        </w:rPr>
        <w:t>2d 1377 (1959)</w:t>
      </w:r>
      <w:r>
        <w:rPr>
          <w:lang w:val="en-US"/>
        </w:rPr>
        <w:t xml:space="preserve">; </w:t>
      </w:r>
      <w:r w:rsidRPr="009E57E1">
        <w:rPr>
          <w:i/>
          <w:lang w:val="en-US"/>
        </w:rPr>
        <w:t>Ferrell v. Dallas Independent School Dist.</w:t>
      </w:r>
      <w:r w:rsidRPr="00F401BD">
        <w:rPr>
          <w:lang w:val="en-US"/>
        </w:rPr>
        <w:t>, 392 F.</w:t>
      </w:r>
      <w:r>
        <w:rPr>
          <w:lang w:val="en-US"/>
        </w:rPr>
        <w:t xml:space="preserve"> </w:t>
      </w:r>
      <w:r w:rsidRPr="00F401BD">
        <w:rPr>
          <w:lang w:val="en-US"/>
        </w:rPr>
        <w:t>2d 697, 703</w:t>
      </w:r>
      <w:r>
        <w:rPr>
          <w:lang w:val="en-US"/>
        </w:rPr>
        <w:t>–</w:t>
      </w:r>
      <w:r w:rsidRPr="00F401BD">
        <w:rPr>
          <w:lang w:val="en-US"/>
        </w:rPr>
        <w:t>704</w:t>
      </w:r>
      <w:r>
        <w:rPr>
          <w:lang w:val="en-US"/>
        </w:rPr>
        <w:t xml:space="preserve"> =</w:t>
      </w:r>
      <w:r w:rsidRPr="00F401BD">
        <w:rPr>
          <w:lang w:val="en-US"/>
        </w:rPr>
        <w:t xml:space="preserve"> 1968 U.S. App. </w:t>
      </w:r>
      <w:r w:rsidRPr="009B5E05">
        <w:rPr>
          <w:lang w:val="en-US"/>
        </w:rPr>
        <w:t>LEXIS 7509, 20 (1968)</w:t>
      </w:r>
      <w:r>
        <w:rPr>
          <w:lang w:val="en-US"/>
        </w:rPr>
        <w:t>.</w:t>
      </w:r>
    </w:p>
  </w:footnote>
  <w:footnote w:id="1338">
    <w:p w14:paraId="5CE87CBE" w14:textId="77777777" w:rsidR="00074551" w:rsidRPr="003A3108" w:rsidRDefault="00074551" w:rsidP="00074551">
      <w:pPr>
        <w:pStyle w:val="Funotentext"/>
        <w:rPr>
          <w:lang w:val="en-US"/>
        </w:rPr>
      </w:pPr>
      <w:r>
        <w:rPr>
          <w:rStyle w:val="Funotenzeichen"/>
          <w:rFonts w:eastAsiaTheme="majorEastAsia"/>
        </w:rPr>
        <w:footnoteRef/>
      </w:r>
      <w:r w:rsidRPr="009B5E05">
        <w:rPr>
          <w:lang w:val="en-US"/>
        </w:rPr>
        <w:t xml:space="preserve"> </w:t>
      </w:r>
      <w:r w:rsidRPr="009E57E1">
        <w:rPr>
          <w:i/>
          <w:lang w:val="en-US"/>
        </w:rPr>
        <w:t>Ferrell v. Dallas Independent School Dist.</w:t>
      </w:r>
      <w:r w:rsidRPr="009B5E05">
        <w:rPr>
          <w:lang w:val="en-US"/>
        </w:rPr>
        <w:t>, 392 F.</w:t>
      </w:r>
      <w:r>
        <w:rPr>
          <w:lang w:val="en-US"/>
        </w:rPr>
        <w:t xml:space="preserve"> </w:t>
      </w:r>
      <w:r w:rsidRPr="009B5E05">
        <w:rPr>
          <w:lang w:val="en-US"/>
        </w:rPr>
        <w:t>2d 697, 703</w:t>
      </w:r>
      <w:r>
        <w:rPr>
          <w:lang w:val="en-US"/>
        </w:rPr>
        <w:t xml:space="preserve"> =</w:t>
      </w:r>
      <w:r w:rsidRPr="009B5E05">
        <w:rPr>
          <w:lang w:val="en-US"/>
        </w:rPr>
        <w:t xml:space="preserve"> 1968 U.S. App. </w:t>
      </w:r>
      <w:r w:rsidRPr="003A3108">
        <w:rPr>
          <w:lang w:val="en-US"/>
        </w:rPr>
        <w:t>LEXIS 7509, 19 (1968)</w:t>
      </w:r>
      <w:r>
        <w:rPr>
          <w:lang w:val="en-US"/>
        </w:rPr>
        <w:t>.</w:t>
      </w:r>
    </w:p>
  </w:footnote>
  <w:footnote w:id="1339">
    <w:p w14:paraId="5E066441"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DA27FC">
        <w:rPr>
          <w:i/>
          <w:iCs/>
          <w:lang w:val="en-IE"/>
        </w:rPr>
        <w:t>Olmstead v. United States,</w:t>
      </w:r>
      <w:r w:rsidRPr="00DA27FC">
        <w:rPr>
          <w:lang w:val="en-IE"/>
        </w:rPr>
        <w:t xml:space="preserve"> 277 U.S. 438</w:t>
      </w:r>
      <w:r>
        <w:rPr>
          <w:lang w:val="en-US"/>
        </w:rPr>
        <w:t xml:space="preserve">, 478 (1928), </w:t>
      </w:r>
      <w:proofErr w:type="spellStart"/>
      <w:r>
        <w:rPr>
          <w:lang w:val="en-US"/>
        </w:rPr>
        <w:t>zitiert</w:t>
      </w:r>
      <w:proofErr w:type="spellEnd"/>
      <w:r>
        <w:rPr>
          <w:lang w:val="en-US"/>
        </w:rPr>
        <w:t xml:space="preserve"> in </w:t>
      </w:r>
      <w:r w:rsidRPr="009167A5">
        <w:rPr>
          <w:i/>
          <w:lang w:val="en-US"/>
        </w:rPr>
        <w:t>Griswold v. Connecticut</w:t>
      </w:r>
      <w:r w:rsidRPr="00BA1E56">
        <w:rPr>
          <w:lang w:val="en-US"/>
        </w:rPr>
        <w:t>, 381 U.S. 479, 494</w:t>
      </w:r>
      <w:r w:rsidRPr="006E67FE">
        <w:rPr>
          <w:lang w:val="en-US"/>
        </w:rPr>
        <w:t xml:space="preserve"> = 85 S. Ct. </w:t>
      </w:r>
      <w:r w:rsidRPr="00BA1E56">
        <w:rPr>
          <w:lang w:val="en-US"/>
        </w:rPr>
        <w:t>1678, 1687</w:t>
      </w:r>
      <w:r w:rsidRPr="003B741A">
        <w:rPr>
          <w:lang w:val="en-US"/>
        </w:rPr>
        <w:t xml:space="preserve"> = 14 L. Ed. </w:t>
      </w:r>
      <w:r w:rsidRPr="00BA1E56">
        <w:rPr>
          <w:lang w:val="en-US"/>
        </w:rPr>
        <w:t>2d 510, 521</w:t>
      </w:r>
      <w:r w:rsidRPr="006E67FE">
        <w:rPr>
          <w:lang w:val="en-US"/>
        </w:rPr>
        <w:t xml:space="preserve"> = 1965 U.S. LEXIS </w:t>
      </w:r>
      <w:r w:rsidRPr="00BA1E56">
        <w:rPr>
          <w:lang w:val="en-US"/>
        </w:rPr>
        <w:t>2282, 25 (1965)</w:t>
      </w:r>
      <w:r>
        <w:rPr>
          <w:lang w:val="en-US"/>
        </w:rPr>
        <w:t>.</w:t>
      </w:r>
    </w:p>
  </w:footnote>
  <w:footnote w:id="1340">
    <w:p w14:paraId="36410CA5" w14:textId="77777777" w:rsidR="00074551" w:rsidRPr="00BA1E56" w:rsidRDefault="00074551" w:rsidP="00074551">
      <w:pPr>
        <w:pStyle w:val="Funotentext"/>
        <w:rPr>
          <w:lang w:val="en-US"/>
        </w:rPr>
      </w:pPr>
      <w:r>
        <w:rPr>
          <w:rStyle w:val="Funotenzeichen"/>
          <w:rFonts w:eastAsiaTheme="majorEastAsia"/>
        </w:rPr>
        <w:footnoteRef/>
      </w:r>
      <w:r w:rsidRPr="00BA1E56">
        <w:rPr>
          <w:lang w:val="en-US"/>
        </w:rPr>
        <w:t xml:space="preserve"> </w:t>
      </w:r>
      <w:r w:rsidRPr="009167A5">
        <w:rPr>
          <w:i/>
          <w:lang w:val="en-US"/>
        </w:rPr>
        <w:t>Griswold v. Connecticut</w:t>
      </w:r>
      <w:r w:rsidRPr="00BA1E56">
        <w:rPr>
          <w:lang w:val="en-US"/>
        </w:rPr>
        <w:t>, 381 U.S. 479, 494</w:t>
      </w:r>
      <w:r w:rsidRPr="006E67FE">
        <w:rPr>
          <w:lang w:val="en-US"/>
        </w:rPr>
        <w:t xml:space="preserve"> = 85 S. Ct. </w:t>
      </w:r>
      <w:r w:rsidRPr="00BA1E56">
        <w:rPr>
          <w:lang w:val="en-US"/>
        </w:rPr>
        <w:t>1678, 1687</w:t>
      </w:r>
      <w:r w:rsidRPr="003B741A">
        <w:rPr>
          <w:lang w:val="en-US"/>
        </w:rPr>
        <w:t xml:space="preserve"> = 14 L. Ed. </w:t>
      </w:r>
      <w:r w:rsidRPr="00BA1E56">
        <w:rPr>
          <w:lang w:val="en-US"/>
        </w:rPr>
        <w:t>2d 510, 521</w:t>
      </w:r>
      <w:r w:rsidRPr="006E67FE">
        <w:rPr>
          <w:lang w:val="en-US"/>
        </w:rPr>
        <w:t xml:space="preserve"> = 1965 U.S. LEXIS </w:t>
      </w:r>
      <w:r w:rsidRPr="00BA1E56">
        <w:rPr>
          <w:lang w:val="en-US"/>
        </w:rPr>
        <w:t>2282, 25 (1965)</w:t>
      </w:r>
      <w:r>
        <w:rPr>
          <w:lang w:val="en-US"/>
        </w:rPr>
        <w:t>.</w:t>
      </w:r>
    </w:p>
  </w:footnote>
  <w:footnote w:id="1341">
    <w:p w14:paraId="788EF985" w14:textId="539B52AF" w:rsidR="00074551" w:rsidRPr="00054679" w:rsidRDefault="00074551" w:rsidP="00074551">
      <w:pPr>
        <w:pStyle w:val="Funotentext"/>
        <w:rPr>
          <w:lang w:val="en-US"/>
        </w:rPr>
      </w:pPr>
      <w:r>
        <w:rPr>
          <w:rStyle w:val="Funotenzeichen"/>
          <w:rFonts w:eastAsiaTheme="majorEastAsia"/>
        </w:rPr>
        <w:footnoteRef/>
      </w:r>
      <w:r w:rsidRPr="00054679">
        <w:rPr>
          <w:lang w:val="en-US"/>
        </w:rPr>
        <w:t xml:space="preserve"> </w:t>
      </w:r>
      <w:r w:rsidRPr="009167A5">
        <w:rPr>
          <w:i/>
          <w:lang w:val="en-US"/>
        </w:rPr>
        <w:t>Griswold v. Connecticut</w:t>
      </w:r>
      <w:r w:rsidRPr="00A850CA">
        <w:rPr>
          <w:lang w:val="en-US"/>
        </w:rPr>
        <w:t>, 381 U.S. 479</w:t>
      </w:r>
      <w:r>
        <w:rPr>
          <w:lang w:val="en-US"/>
        </w:rPr>
        <w:t xml:space="preserve">, 521 </w:t>
      </w:r>
      <w:r w:rsidR="006F4315" w:rsidRPr="006E67FE">
        <w:rPr>
          <w:lang w:val="en-US"/>
        </w:rPr>
        <w:t xml:space="preserve">= 85 S. Ct. </w:t>
      </w:r>
      <w:r w:rsidR="006F4315" w:rsidRPr="00BA1E56">
        <w:rPr>
          <w:lang w:val="en-US"/>
        </w:rPr>
        <w:t>1678, 1687</w:t>
      </w:r>
      <w:r w:rsidR="006F4315" w:rsidRPr="003B741A">
        <w:rPr>
          <w:lang w:val="en-US"/>
        </w:rPr>
        <w:t xml:space="preserve"> = 14 L. Ed. </w:t>
      </w:r>
      <w:r w:rsidR="006F4315" w:rsidRPr="00BA1E56">
        <w:rPr>
          <w:lang w:val="en-US"/>
        </w:rPr>
        <w:t>2d 510, 521</w:t>
      </w:r>
      <w:r w:rsidR="006F4315" w:rsidRPr="006E67FE">
        <w:rPr>
          <w:lang w:val="en-US"/>
        </w:rPr>
        <w:t xml:space="preserve"> = 1965 U.S. LEXIS </w:t>
      </w:r>
      <w:r w:rsidR="006F4315" w:rsidRPr="00BA1E56">
        <w:rPr>
          <w:lang w:val="en-US"/>
        </w:rPr>
        <w:t>2282, 25 (1965)</w:t>
      </w:r>
      <w:r w:rsidR="006F4315">
        <w:rPr>
          <w:lang w:val="en-US"/>
        </w:rPr>
        <w:t>.</w:t>
      </w:r>
    </w:p>
  </w:footnote>
  <w:footnote w:id="1342">
    <w:p w14:paraId="20074C85" w14:textId="77777777" w:rsidR="00074551" w:rsidRDefault="00074551" w:rsidP="00074551">
      <w:pPr>
        <w:pStyle w:val="Funotentext"/>
        <w:ind w:left="227" w:hanging="227"/>
        <w:rPr>
          <w:lang w:val="en-US"/>
        </w:rPr>
      </w:pPr>
      <w:r>
        <w:rPr>
          <w:rStyle w:val="Funotenzeichen"/>
          <w:rFonts w:eastAsiaTheme="majorEastAsia"/>
        </w:rPr>
        <w:footnoteRef/>
      </w:r>
      <w:r w:rsidRPr="0088034A">
        <w:rPr>
          <w:lang w:val="en-US"/>
        </w:rPr>
        <w:t xml:space="preserve"> </w:t>
      </w:r>
      <w:r w:rsidRPr="009E57E1">
        <w:rPr>
          <w:i/>
          <w:lang w:val="en-US"/>
        </w:rPr>
        <w:t>Lawrence v. Texas</w:t>
      </w:r>
      <w:r w:rsidRPr="0088034A">
        <w:rPr>
          <w:lang w:val="en-US"/>
        </w:rPr>
        <w:t>, 539 U.S. 558, 562</w:t>
      </w:r>
      <w:r w:rsidRPr="006E67FE">
        <w:rPr>
          <w:lang w:val="en-US"/>
        </w:rPr>
        <w:t xml:space="preserve"> = 123 S. Ct. </w:t>
      </w:r>
      <w:r w:rsidRPr="0088034A">
        <w:rPr>
          <w:lang w:val="en-US"/>
        </w:rPr>
        <w:t>2472, 2475</w:t>
      </w:r>
      <w:r w:rsidRPr="006E67FE">
        <w:rPr>
          <w:lang w:val="en-US"/>
        </w:rPr>
        <w:t xml:space="preserve"> = 156 L. Ed. </w:t>
      </w:r>
      <w:r w:rsidRPr="0088034A">
        <w:rPr>
          <w:lang w:val="en-US"/>
        </w:rPr>
        <w:t>2d 508, 508</w:t>
      </w:r>
      <w:r>
        <w:rPr>
          <w:lang w:val="en-US"/>
        </w:rPr>
        <w:t xml:space="preserve"> = 2003 U.S. LEXIS </w:t>
      </w:r>
      <w:r w:rsidRPr="0088034A">
        <w:rPr>
          <w:lang w:val="en-US"/>
        </w:rPr>
        <w:t>5013, 1</w:t>
      </w:r>
      <w:r>
        <w:rPr>
          <w:lang w:val="en-US"/>
        </w:rPr>
        <w:t xml:space="preserve"> = 71 U.S.L.W. </w:t>
      </w:r>
      <w:r w:rsidRPr="0088034A">
        <w:rPr>
          <w:lang w:val="en-US"/>
        </w:rPr>
        <w:t>4574</w:t>
      </w:r>
      <w:r>
        <w:rPr>
          <w:lang w:val="en-US"/>
        </w:rPr>
        <w:t xml:space="preserve"> = 2003 Cal. Daily </w:t>
      </w:r>
      <w:r w:rsidRPr="0088034A">
        <w:rPr>
          <w:lang w:val="en-US"/>
        </w:rPr>
        <w:t>Op. Service 5559</w:t>
      </w:r>
      <w:r>
        <w:rPr>
          <w:lang w:val="en-US"/>
        </w:rPr>
        <w:t xml:space="preserve"> = 2003 </w:t>
      </w:r>
    </w:p>
    <w:p w14:paraId="530F3EB1" w14:textId="77777777" w:rsidR="00074551" w:rsidRPr="0008552C" w:rsidRDefault="00074551" w:rsidP="00074551">
      <w:pPr>
        <w:pStyle w:val="Funotentext"/>
        <w:ind w:left="227" w:hanging="227"/>
        <w:rPr>
          <w:lang w:val="en-US"/>
        </w:rPr>
      </w:pPr>
      <w:r>
        <w:rPr>
          <w:lang w:val="en-US"/>
        </w:rPr>
        <w:t xml:space="preserve">Daily </w:t>
      </w:r>
      <w:r w:rsidRPr="0088034A">
        <w:rPr>
          <w:lang w:val="en-US"/>
        </w:rPr>
        <w:t>Journal DAR 7036</w:t>
      </w:r>
      <w:r>
        <w:rPr>
          <w:lang w:val="en-US"/>
        </w:rPr>
        <w:t xml:space="preserve"> = 16 Fla. L. Weekly </w:t>
      </w:r>
      <w:r w:rsidRPr="0088034A">
        <w:rPr>
          <w:lang w:val="en-US"/>
        </w:rPr>
        <w:t xml:space="preserve">Fed. </w:t>
      </w:r>
      <w:r w:rsidRPr="0008552C">
        <w:rPr>
          <w:lang w:val="en-US"/>
        </w:rPr>
        <w:t>S 427 (2003)</w:t>
      </w:r>
      <w:r>
        <w:rPr>
          <w:lang w:val="en-US"/>
        </w:rPr>
        <w:t>.</w:t>
      </w:r>
    </w:p>
  </w:footnote>
  <w:footnote w:id="1343">
    <w:p w14:paraId="0AE4E4DF" w14:textId="77777777" w:rsidR="00074551" w:rsidRPr="00901083" w:rsidRDefault="00074551" w:rsidP="00074551">
      <w:pPr>
        <w:pStyle w:val="Funotentext"/>
        <w:rPr>
          <w:lang w:val="en-US"/>
        </w:rPr>
      </w:pPr>
      <w:r>
        <w:rPr>
          <w:rStyle w:val="Funotenzeichen"/>
          <w:rFonts w:eastAsiaTheme="majorEastAsia"/>
        </w:rPr>
        <w:footnoteRef/>
      </w:r>
      <w:r w:rsidRPr="00FC6B09">
        <w:rPr>
          <w:lang w:val="en-US"/>
        </w:rPr>
        <w:t xml:space="preserve"> </w:t>
      </w:r>
      <w:r w:rsidRPr="009E57E1">
        <w:rPr>
          <w:i/>
          <w:lang w:val="en-US"/>
        </w:rPr>
        <w:t>Lawrence v. Texas</w:t>
      </w:r>
      <w:r w:rsidRPr="00FC6B09">
        <w:rPr>
          <w:lang w:val="en-US"/>
        </w:rPr>
        <w:t>, 539 U.S. 558, 594</w:t>
      </w:r>
      <w:r w:rsidRPr="006E67FE">
        <w:rPr>
          <w:lang w:val="en-US"/>
        </w:rPr>
        <w:t xml:space="preserve"> = 123 S. Ct. </w:t>
      </w:r>
      <w:r w:rsidRPr="00FC6B09">
        <w:rPr>
          <w:lang w:val="en-US"/>
        </w:rPr>
        <w:t>2472, 2492</w:t>
      </w:r>
      <w:r w:rsidRPr="006E67FE">
        <w:rPr>
          <w:lang w:val="en-US"/>
        </w:rPr>
        <w:t xml:space="preserve"> = 156 L. Ed. </w:t>
      </w:r>
      <w:r w:rsidRPr="00FC6B09">
        <w:rPr>
          <w:lang w:val="en-US"/>
        </w:rPr>
        <w:t>2d 508, 536</w:t>
      </w:r>
      <w:r>
        <w:rPr>
          <w:lang w:val="en-US"/>
        </w:rPr>
        <w:t xml:space="preserve"> = 2003 U.S. LEXIS </w:t>
      </w:r>
      <w:r w:rsidRPr="00FC6B09">
        <w:rPr>
          <w:lang w:val="en-US"/>
        </w:rPr>
        <w:t>5013, 63</w:t>
      </w:r>
      <w:r>
        <w:rPr>
          <w:lang w:val="en-US"/>
        </w:rPr>
        <w:t xml:space="preserve"> = 71 U.S.L.W. </w:t>
      </w:r>
      <w:r w:rsidRPr="00FC6B09">
        <w:rPr>
          <w:lang w:val="en-US"/>
        </w:rPr>
        <w:t>4574</w:t>
      </w:r>
      <w:r>
        <w:rPr>
          <w:lang w:val="en-US"/>
        </w:rPr>
        <w:t xml:space="preserve"> = 2003 Cal. Daily </w:t>
      </w:r>
      <w:r w:rsidRPr="00FC6B09">
        <w:rPr>
          <w:lang w:val="en-US"/>
        </w:rPr>
        <w:t>Op. Service 5559</w:t>
      </w:r>
      <w:r>
        <w:rPr>
          <w:lang w:val="en-US"/>
        </w:rPr>
        <w:t xml:space="preserve"> = 2003 Daily </w:t>
      </w:r>
      <w:r w:rsidRPr="00FC6B09">
        <w:rPr>
          <w:lang w:val="en-US"/>
        </w:rPr>
        <w:t>Journal DAR 7036</w:t>
      </w:r>
      <w:r>
        <w:rPr>
          <w:lang w:val="en-US"/>
        </w:rPr>
        <w:t xml:space="preserve"> = 16 Fla. L. Weekly </w:t>
      </w:r>
      <w:r w:rsidRPr="00FC6B09">
        <w:rPr>
          <w:lang w:val="en-US"/>
        </w:rPr>
        <w:t xml:space="preserve">Fed. </w:t>
      </w:r>
      <w:r w:rsidRPr="00901083">
        <w:rPr>
          <w:lang w:val="en-US"/>
        </w:rPr>
        <w:t>S 427 (2003)</w:t>
      </w:r>
      <w:r>
        <w:rPr>
          <w:lang w:val="en-US"/>
        </w:rPr>
        <w:t>.</w:t>
      </w:r>
    </w:p>
  </w:footnote>
  <w:footnote w:id="1344">
    <w:p w14:paraId="0A2CE6F4" w14:textId="77777777" w:rsidR="00074551" w:rsidRDefault="00074551" w:rsidP="00074551">
      <w:pPr>
        <w:pStyle w:val="Funotentext"/>
        <w:ind w:left="227" w:hanging="227"/>
        <w:rPr>
          <w:lang w:val="en-US"/>
        </w:rPr>
      </w:pPr>
      <w:r>
        <w:rPr>
          <w:rStyle w:val="Funotenzeichen"/>
          <w:rFonts w:eastAsiaTheme="majorEastAsia"/>
        </w:rPr>
        <w:footnoteRef/>
      </w:r>
      <w:r w:rsidRPr="0088034A">
        <w:rPr>
          <w:lang w:val="en-US"/>
        </w:rPr>
        <w:t xml:space="preserve"> </w:t>
      </w:r>
      <w:r w:rsidRPr="009E57E1">
        <w:rPr>
          <w:i/>
          <w:lang w:val="en-US"/>
        </w:rPr>
        <w:t>Lawrence v. Texas</w:t>
      </w:r>
      <w:r w:rsidRPr="0088034A">
        <w:rPr>
          <w:lang w:val="en-US"/>
        </w:rPr>
        <w:t>, 539 U.S. 558, 562</w:t>
      </w:r>
      <w:r w:rsidRPr="006E67FE">
        <w:rPr>
          <w:lang w:val="en-US"/>
        </w:rPr>
        <w:t xml:space="preserve"> = 123 S. Ct. </w:t>
      </w:r>
      <w:r w:rsidRPr="0088034A">
        <w:rPr>
          <w:lang w:val="en-US"/>
        </w:rPr>
        <w:t>2472, 2475</w:t>
      </w:r>
      <w:r w:rsidRPr="006E67FE">
        <w:rPr>
          <w:lang w:val="en-US"/>
        </w:rPr>
        <w:t xml:space="preserve"> = 156 L. Ed. </w:t>
      </w:r>
      <w:r w:rsidRPr="0088034A">
        <w:rPr>
          <w:lang w:val="en-US"/>
        </w:rPr>
        <w:t>2d 508, 508</w:t>
      </w:r>
      <w:r>
        <w:rPr>
          <w:lang w:val="en-US"/>
        </w:rPr>
        <w:t xml:space="preserve"> = 2003 U.S. LEXIS </w:t>
      </w:r>
      <w:r w:rsidRPr="0088034A">
        <w:rPr>
          <w:lang w:val="en-US"/>
        </w:rPr>
        <w:t>5013, 1</w:t>
      </w:r>
      <w:r>
        <w:rPr>
          <w:lang w:val="en-US"/>
        </w:rPr>
        <w:t xml:space="preserve"> = 71 U.S.L.W. </w:t>
      </w:r>
      <w:r w:rsidRPr="0088034A">
        <w:rPr>
          <w:lang w:val="en-US"/>
        </w:rPr>
        <w:t>4574</w:t>
      </w:r>
      <w:r>
        <w:rPr>
          <w:lang w:val="en-US"/>
        </w:rPr>
        <w:t xml:space="preserve"> = 2003 Cal. Daily </w:t>
      </w:r>
      <w:r w:rsidRPr="0088034A">
        <w:rPr>
          <w:lang w:val="en-US"/>
        </w:rPr>
        <w:t>Op. Service 5559</w:t>
      </w:r>
      <w:r>
        <w:rPr>
          <w:lang w:val="en-US"/>
        </w:rPr>
        <w:t xml:space="preserve"> = 2003</w:t>
      </w:r>
    </w:p>
    <w:p w14:paraId="77A4CAFF" w14:textId="77777777" w:rsidR="00074551" w:rsidRPr="0008552C" w:rsidRDefault="00074551" w:rsidP="00074551">
      <w:pPr>
        <w:pStyle w:val="Funotentext"/>
        <w:ind w:left="227" w:hanging="227"/>
        <w:rPr>
          <w:lang w:val="en-US"/>
        </w:rPr>
      </w:pPr>
      <w:r>
        <w:rPr>
          <w:lang w:val="en-US"/>
        </w:rPr>
        <w:t xml:space="preserve">Daily </w:t>
      </w:r>
      <w:r w:rsidRPr="0088034A">
        <w:rPr>
          <w:lang w:val="en-US"/>
        </w:rPr>
        <w:t>Journal DAR 7036</w:t>
      </w:r>
      <w:r>
        <w:rPr>
          <w:lang w:val="en-US"/>
        </w:rPr>
        <w:t xml:space="preserve"> = 16 Fla. L. Weekly </w:t>
      </w:r>
      <w:r w:rsidRPr="0088034A">
        <w:rPr>
          <w:lang w:val="en-US"/>
        </w:rPr>
        <w:t xml:space="preserve">Fed. </w:t>
      </w:r>
      <w:r w:rsidRPr="0008552C">
        <w:rPr>
          <w:lang w:val="en-US"/>
        </w:rPr>
        <w:t>S 427 (2003)</w:t>
      </w:r>
      <w:r>
        <w:rPr>
          <w:lang w:val="en-US"/>
        </w:rPr>
        <w:t>.</w:t>
      </w:r>
    </w:p>
  </w:footnote>
  <w:footnote w:id="1345">
    <w:p w14:paraId="080C86DC" w14:textId="77777777" w:rsidR="00074551" w:rsidRDefault="00074551" w:rsidP="00074551">
      <w:pPr>
        <w:pStyle w:val="Funotentext"/>
        <w:ind w:left="227" w:hanging="227"/>
        <w:rPr>
          <w:lang w:val="en-US"/>
        </w:rPr>
      </w:pPr>
      <w:r>
        <w:rPr>
          <w:rStyle w:val="Funotenzeichen"/>
          <w:rFonts w:eastAsiaTheme="majorEastAsia"/>
        </w:rPr>
        <w:footnoteRef/>
      </w:r>
      <w:r w:rsidRPr="0088034A">
        <w:rPr>
          <w:lang w:val="en-US"/>
        </w:rPr>
        <w:t xml:space="preserve"> </w:t>
      </w:r>
      <w:r w:rsidRPr="009E57E1">
        <w:rPr>
          <w:i/>
          <w:lang w:val="en-US"/>
        </w:rPr>
        <w:t>Lawrence v. Texas</w:t>
      </w:r>
      <w:r w:rsidRPr="0088034A">
        <w:rPr>
          <w:lang w:val="en-US"/>
        </w:rPr>
        <w:t>, 539 U.S. 558, 562</w:t>
      </w:r>
      <w:r w:rsidRPr="006E67FE">
        <w:rPr>
          <w:lang w:val="en-US"/>
        </w:rPr>
        <w:t xml:space="preserve"> = 123 S. Ct. </w:t>
      </w:r>
      <w:r w:rsidRPr="0088034A">
        <w:rPr>
          <w:lang w:val="en-US"/>
        </w:rPr>
        <w:t>2472, 2475</w:t>
      </w:r>
      <w:r w:rsidRPr="006E67FE">
        <w:rPr>
          <w:lang w:val="en-US"/>
        </w:rPr>
        <w:t xml:space="preserve"> = 156 L. Ed. </w:t>
      </w:r>
      <w:r w:rsidRPr="0088034A">
        <w:rPr>
          <w:lang w:val="en-US"/>
        </w:rPr>
        <w:t>2d 508, 508</w:t>
      </w:r>
      <w:r>
        <w:rPr>
          <w:lang w:val="en-US"/>
        </w:rPr>
        <w:t xml:space="preserve"> = 2003 U.S. LEXIS </w:t>
      </w:r>
      <w:r w:rsidRPr="0088034A">
        <w:rPr>
          <w:lang w:val="en-US"/>
        </w:rPr>
        <w:t>5013, 1</w:t>
      </w:r>
      <w:r>
        <w:rPr>
          <w:lang w:val="en-US"/>
        </w:rPr>
        <w:t xml:space="preserve"> = 71 U.S.L.W. </w:t>
      </w:r>
      <w:r w:rsidRPr="0088034A">
        <w:rPr>
          <w:lang w:val="en-US"/>
        </w:rPr>
        <w:t>4574</w:t>
      </w:r>
      <w:r>
        <w:rPr>
          <w:lang w:val="en-US"/>
        </w:rPr>
        <w:t xml:space="preserve"> = 2003 Cal. Daily </w:t>
      </w:r>
      <w:r w:rsidRPr="0088034A">
        <w:rPr>
          <w:lang w:val="en-US"/>
        </w:rPr>
        <w:t>Op. Service 5559</w:t>
      </w:r>
      <w:r>
        <w:rPr>
          <w:lang w:val="en-US"/>
        </w:rPr>
        <w:t xml:space="preserve"> = 2003 </w:t>
      </w:r>
    </w:p>
    <w:p w14:paraId="639E60E3" w14:textId="77777777" w:rsidR="00074551" w:rsidRPr="0008552C" w:rsidRDefault="00074551" w:rsidP="00074551">
      <w:pPr>
        <w:pStyle w:val="Funotentext"/>
        <w:ind w:left="227" w:hanging="227"/>
        <w:rPr>
          <w:lang w:val="en-US"/>
        </w:rPr>
      </w:pPr>
      <w:r>
        <w:rPr>
          <w:lang w:val="en-US"/>
        </w:rPr>
        <w:t xml:space="preserve">Daily </w:t>
      </w:r>
      <w:r w:rsidRPr="0088034A">
        <w:rPr>
          <w:lang w:val="en-US"/>
        </w:rPr>
        <w:t>Journal DAR 7036</w:t>
      </w:r>
      <w:r>
        <w:rPr>
          <w:lang w:val="en-US"/>
        </w:rPr>
        <w:t xml:space="preserve"> = 16 Fla. L. Weekly </w:t>
      </w:r>
      <w:r w:rsidRPr="0088034A">
        <w:rPr>
          <w:lang w:val="en-US"/>
        </w:rPr>
        <w:t xml:space="preserve">Fed. </w:t>
      </w:r>
      <w:r w:rsidRPr="0008552C">
        <w:rPr>
          <w:lang w:val="en-US"/>
        </w:rPr>
        <w:t>S 427 (2003)</w:t>
      </w:r>
      <w:r>
        <w:rPr>
          <w:lang w:val="en-US"/>
        </w:rPr>
        <w:t>.</w:t>
      </w:r>
    </w:p>
  </w:footnote>
  <w:footnote w:id="1346">
    <w:p w14:paraId="4DF7E2CB" w14:textId="77777777" w:rsidR="00074551" w:rsidRPr="00B90D7D" w:rsidRDefault="00074551" w:rsidP="00074551">
      <w:pPr>
        <w:pStyle w:val="Funotentext"/>
        <w:rPr>
          <w:lang w:val="en-US"/>
        </w:rPr>
      </w:pPr>
      <w:r>
        <w:rPr>
          <w:rStyle w:val="Funotenzeichen"/>
          <w:rFonts w:eastAsiaTheme="majorEastAsia"/>
        </w:rPr>
        <w:footnoteRef/>
      </w:r>
      <w:r w:rsidRPr="00B90D7D">
        <w:rPr>
          <w:lang w:val="en-US"/>
        </w:rPr>
        <w:t xml:space="preserve"> </w:t>
      </w:r>
      <w:r w:rsidRPr="009167A5">
        <w:rPr>
          <w:i/>
          <w:lang w:val="en-US"/>
        </w:rPr>
        <w:t>Washington v. Glucksberg</w:t>
      </w:r>
      <w:r w:rsidRPr="00B90D7D">
        <w:rPr>
          <w:lang w:val="en-US"/>
        </w:rPr>
        <w:t>, 521 U.S. 702, 721</w:t>
      </w:r>
      <w:r w:rsidRPr="006E67FE">
        <w:rPr>
          <w:lang w:val="en-US"/>
        </w:rPr>
        <w:t xml:space="preserve"> = 138 L. Ed. </w:t>
      </w:r>
      <w:r w:rsidRPr="00B90D7D">
        <w:rPr>
          <w:lang w:val="en-US"/>
        </w:rPr>
        <w:t>2d 772</w:t>
      </w:r>
      <w:r w:rsidRPr="006E67FE">
        <w:rPr>
          <w:lang w:val="en-US"/>
        </w:rPr>
        <w:t xml:space="preserve"> = 117 S. Ct. </w:t>
      </w:r>
      <w:r w:rsidRPr="00B90D7D">
        <w:rPr>
          <w:lang w:val="en-US"/>
        </w:rPr>
        <w:t>2258 (1997)</w:t>
      </w:r>
      <w:r>
        <w:rPr>
          <w:lang w:val="en-US"/>
        </w:rPr>
        <w:t xml:space="preserve">; </w:t>
      </w:r>
      <w:r w:rsidRPr="009E57E1">
        <w:rPr>
          <w:i/>
          <w:lang w:val="en-US"/>
        </w:rPr>
        <w:t>Lawrence v. Texas</w:t>
      </w:r>
      <w:r w:rsidRPr="00B90D7D">
        <w:rPr>
          <w:lang w:val="en-US"/>
        </w:rPr>
        <w:t>, 539 U.S. 558, 593</w:t>
      </w:r>
      <w:r w:rsidRPr="006E67FE">
        <w:rPr>
          <w:lang w:val="en-US"/>
        </w:rPr>
        <w:t xml:space="preserve"> = 123 S. Ct. </w:t>
      </w:r>
      <w:r w:rsidRPr="00B90D7D">
        <w:rPr>
          <w:lang w:val="en-US"/>
        </w:rPr>
        <w:t>2472, 2492</w:t>
      </w:r>
      <w:r w:rsidRPr="006E67FE">
        <w:rPr>
          <w:lang w:val="en-US"/>
        </w:rPr>
        <w:t xml:space="preserve"> = 156 L. Ed. </w:t>
      </w:r>
      <w:r w:rsidRPr="00B90D7D">
        <w:rPr>
          <w:lang w:val="en-US"/>
        </w:rPr>
        <w:t>2d 508, 535</w:t>
      </w:r>
      <w:r>
        <w:rPr>
          <w:lang w:val="en-US"/>
        </w:rPr>
        <w:t xml:space="preserve"> = 2003 U.S. LEXIS </w:t>
      </w:r>
      <w:r w:rsidRPr="00B90D7D">
        <w:rPr>
          <w:lang w:val="en-US"/>
        </w:rPr>
        <w:t>5013, 62</w:t>
      </w:r>
      <w:r>
        <w:rPr>
          <w:lang w:val="en-US"/>
        </w:rPr>
        <w:t xml:space="preserve"> = 71 U.S.L.W. </w:t>
      </w:r>
      <w:r w:rsidRPr="00B90D7D">
        <w:rPr>
          <w:lang w:val="en-US"/>
        </w:rPr>
        <w:t>4574</w:t>
      </w:r>
      <w:r>
        <w:rPr>
          <w:lang w:val="en-US"/>
        </w:rPr>
        <w:t xml:space="preserve"> = 2003 Cal. Daily </w:t>
      </w:r>
      <w:r w:rsidRPr="00B90D7D">
        <w:rPr>
          <w:lang w:val="en-US"/>
        </w:rPr>
        <w:t>Op. Service 5559</w:t>
      </w:r>
      <w:r>
        <w:rPr>
          <w:lang w:val="en-US"/>
        </w:rPr>
        <w:t xml:space="preserve"> = 2003 Daily </w:t>
      </w:r>
      <w:r w:rsidRPr="00B90D7D">
        <w:rPr>
          <w:lang w:val="en-US"/>
        </w:rPr>
        <w:t>Journal DAR 7036</w:t>
      </w:r>
      <w:r>
        <w:rPr>
          <w:lang w:val="en-US"/>
        </w:rPr>
        <w:t xml:space="preserve"> = 16 Fla. L. Weekly </w:t>
      </w:r>
      <w:r w:rsidRPr="00B90D7D">
        <w:rPr>
          <w:lang w:val="en-US"/>
        </w:rPr>
        <w:t>Fed. S 427 (2003)</w:t>
      </w:r>
      <w:r>
        <w:rPr>
          <w:lang w:val="en-US"/>
        </w:rPr>
        <w:t>.</w:t>
      </w:r>
    </w:p>
  </w:footnote>
  <w:footnote w:id="1347">
    <w:p w14:paraId="39C46907" w14:textId="77777777" w:rsidR="00074551" w:rsidRPr="00FC6B09" w:rsidRDefault="00074551" w:rsidP="00074551">
      <w:pPr>
        <w:pStyle w:val="Funotentext"/>
        <w:rPr>
          <w:lang w:val="en-US"/>
        </w:rPr>
      </w:pPr>
      <w:r>
        <w:rPr>
          <w:rStyle w:val="Funotenzeichen"/>
          <w:rFonts w:eastAsiaTheme="majorEastAsia"/>
        </w:rPr>
        <w:footnoteRef/>
      </w:r>
      <w:r w:rsidRPr="00FC6B09">
        <w:rPr>
          <w:lang w:val="en-US"/>
        </w:rPr>
        <w:t xml:space="preserve"> </w:t>
      </w:r>
      <w:r w:rsidRPr="009E57E1">
        <w:rPr>
          <w:i/>
          <w:lang w:val="en-US"/>
        </w:rPr>
        <w:t>Lawrence v. Texas</w:t>
      </w:r>
      <w:r w:rsidRPr="00FC6B09">
        <w:rPr>
          <w:lang w:val="en-US"/>
        </w:rPr>
        <w:t>, 539 U.S. 558, 594</w:t>
      </w:r>
      <w:r w:rsidRPr="006E67FE">
        <w:rPr>
          <w:lang w:val="en-US"/>
        </w:rPr>
        <w:t xml:space="preserve"> = 123 S. Ct. </w:t>
      </w:r>
      <w:r w:rsidRPr="00FC6B09">
        <w:rPr>
          <w:lang w:val="en-US"/>
        </w:rPr>
        <w:t>2472, 2492</w:t>
      </w:r>
      <w:r w:rsidRPr="006E67FE">
        <w:rPr>
          <w:lang w:val="en-US"/>
        </w:rPr>
        <w:t xml:space="preserve"> = 156 L. Ed. </w:t>
      </w:r>
      <w:r w:rsidRPr="00FC6B09">
        <w:rPr>
          <w:lang w:val="en-US"/>
        </w:rPr>
        <w:t>2d 508, 536</w:t>
      </w:r>
      <w:r>
        <w:rPr>
          <w:lang w:val="en-US"/>
        </w:rPr>
        <w:t xml:space="preserve"> = 2003 U.S. LEXIS </w:t>
      </w:r>
      <w:r w:rsidRPr="00FC6B09">
        <w:rPr>
          <w:lang w:val="en-US"/>
        </w:rPr>
        <w:t>5013, 63</w:t>
      </w:r>
      <w:r>
        <w:rPr>
          <w:lang w:val="en-US"/>
        </w:rPr>
        <w:t xml:space="preserve"> = 71 U.S.L.W. </w:t>
      </w:r>
      <w:r w:rsidRPr="00FC6B09">
        <w:rPr>
          <w:lang w:val="en-US"/>
        </w:rPr>
        <w:t>4574</w:t>
      </w:r>
      <w:r>
        <w:rPr>
          <w:lang w:val="en-US"/>
        </w:rPr>
        <w:t xml:space="preserve"> = 2003 Cal. Daily </w:t>
      </w:r>
      <w:r w:rsidRPr="00FC6B09">
        <w:rPr>
          <w:lang w:val="en-US"/>
        </w:rPr>
        <w:t>Op. Service 5559</w:t>
      </w:r>
      <w:r>
        <w:rPr>
          <w:lang w:val="en-US"/>
        </w:rPr>
        <w:t xml:space="preserve"> = 2003 Daily </w:t>
      </w:r>
      <w:r w:rsidRPr="00FC6B09">
        <w:rPr>
          <w:lang w:val="en-US"/>
        </w:rPr>
        <w:t>Journal DAR 7036</w:t>
      </w:r>
      <w:r>
        <w:rPr>
          <w:lang w:val="en-US"/>
        </w:rPr>
        <w:t xml:space="preserve"> = 16 Fla. L. Weekly </w:t>
      </w:r>
      <w:r w:rsidRPr="00FC6B09">
        <w:rPr>
          <w:lang w:val="en-US"/>
        </w:rPr>
        <w:t>Fed. S 427 (2003)</w:t>
      </w:r>
      <w:r>
        <w:rPr>
          <w:lang w:val="en-US"/>
        </w:rPr>
        <w:t>.</w:t>
      </w:r>
    </w:p>
  </w:footnote>
  <w:footnote w:id="1348">
    <w:p w14:paraId="3EFDFEDF" w14:textId="77777777" w:rsidR="00074551" w:rsidRPr="003458EB" w:rsidRDefault="00074551" w:rsidP="00074551">
      <w:pPr>
        <w:pStyle w:val="Funotentext"/>
        <w:rPr>
          <w:lang w:val="en-US"/>
        </w:rPr>
      </w:pPr>
      <w:r>
        <w:rPr>
          <w:rStyle w:val="Funotenzeichen"/>
          <w:rFonts w:eastAsiaTheme="majorEastAsia"/>
        </w:rPr>
        <w:footnoteRef/>
      </w:r>
      <w:r w:rsidRPr="00FC6B09">
        <w:rPr>
          <w:lang w:val="en-US"/>
        </w:rPr>
        <w:t xml:space="preserve"> </w:t>
      </w:r>
      <w:r w:rsidRPr="009E57E1">
        <w:rPr>
          <w:i/>
          <w:lang w:val="en-US"/>
        </w:rPr>
        <w:t>Lawrence v. Texas</w:t>
      </w:r>
      <w:r w:rsidRPr="00FC6B09">
        <w:rPr>
          <w:lang w:val="en-US"/>
        </w:rPr>
        <w:t>, 539 U.S. 558, 594</w:t>
      </w:r>
      <w:r w:rsidRPr="006E67FE">
        <w:rPr>
          <w:lang w:val="en-US"/>
        </w:rPr>
        <w:t xml:space="preserve"> = 123 S. Ct. </w:t>
      </w:r>
      <w:r w:rsidRPr="00FC6B09">
        <w:rPr>
          <w:lang w:val="en-US"/>
        </w:rPr>
        <w:t>2472, 2492</w:t>
      </w:r>
      <w:r w:rsidRPr="006E67FE">
        <w:rPr>
          <w:lang w:val="en-US"/>
        </w:rPr>
        <w:t xml:space="preserve"> = 156 L. Ed. </w:t>
      </w:r>
      <w:r w:rsidRPr="00FC6B09">
        <w:rPr>
          <w:lang w:val="en-US"/>
        </w:rPr>
        <w:t>2d 508, 536</w:t>
      </w:r>
      <w:r>
        <w:rPr>
          <w:lang w:val="en-US"/>
        </w:rPr>
        <w:t xml:space="preserve"> = 2003 U.S. LEXIS </w:t>
      </w:r>
      <w:r w:rsidRPr="00FC6B09">
        <w:rPr>
          <w:lang w:val="en-US"/>
        </w:rPr>
        <w:t>5013, 63</w:t>
      </w:r>
      <w:r>
        <w:rPr>
          <w:lang w:val="en-US"/>
        </w:rPr>
        <w:t xml:space="preserve"> = 71 U.S.L.W. </w:t>
      </w:r>
      <w:r w:rsidRPr="00FC6B09">
        <w:rPr>
          <w:lang w:val="en-US"/>
        </w:rPr>
        <w:t>4574</w:t>
      </w:r>
      <w:r>
        <w:rPr>
          <w:lang w:val="en-US"/>
        </w:rPr>
        <w:t xml:space="preserve"> = 2003 Cal. Daily </w:t>
      </w:r>
      <w:r w:rsidRPr="00FC6B09">
        <w:rPr>
          <w:lang w:val="en-US"/>
        </w:rPr>
        <w:t>Op. Service 5559</w:t>
      </w:r>
      <w:r>
        <w:rPr>
          <w:lang w:val="en-US"/>
        </w:rPr>
        <w:t xml:space="preserve"> = 2003 Daily </w:t>
      </w:r>
      <w:r w:rsidRPr="00FC6B09">
        <w:rPr>
          <w:lang w:val="en-US"/>
        </w:rPr>
        <w:t>Journal DAR 7036</w:t>
      </w:r>
      <w:r>
        <w:rPr>
          <w:lang w:val="en-US"/>
        </w:rPr>
        <w:t xml:space="preserve"> = 16 Fla. L. Weekly </w:t>
      </w:r>
      <w:r w:rsidRPr="00FC6B09">
        <w:rPr>
          <w:lang w:val="en-US"/>
        </w:rPr>
        <w:t xml:space="preserve">Fed. </w:t>
      </w:r>
      <w:r w:rsidRPr="003458EB">
        <w:rPr>
          <w:lang w:val="en-US"/>
        </w:rPr>
        <w:t>S 427 (2003)</w:t>
      </w:r>
      <w:r>
        <w:rPr>
          <w:lang w:val="en-US"/>
        </w:rPr>
        <w:t>.</w:t>
      </w:r>
    </w:p>
  </w:footnote>
  <w:footnote w:id="1349">
    <w:p w14:paraId="312775DF" w14:textId="77777777" w:rsidR="00074551" w:rsidRPr="007117B8" w:rsidRDefault="00074551" w:rsidP="00074551">
      <w:pPr>
        <w:pStyle w:val="Funotentext"/>
        <w:rPr>
          <w:lang w:val="en-US"/>
        </w:rPr>
      </w:pPr>
      <w:r>
        <w:rPr>
          <w:rStyle w:val="Funotenzeichen"/>
          <w:rFonts w:eastAsiaTheme="majorEastAsia"/>
        </w:rPr>
        <w:footnoteRef/>
      </w:r>
      <w:r w:rsidRPr="007117B8">
        <w:rPr>
          <w:lang w:val="en-US"/>
        </w:rPr>
        <w:t xml:space="preserve"> </w:t>
      </w:r>
      <w:r w:rsidRPr="009167A5">
        <w:rPr>
          <w:i/>
          <w:lang w:val="en-US"/>
        </w:rPr>
        <w:t>Olmstead v. United States</w:t>
      </w:r>
      <w:r w:rsidRPr="007117B8">
        <w:rPr>
          <w:lang w:val="en-US"/>
        </w:rPr>
        <w:t>, 277 U.S. 438, 478</w:t>
      </w:r>
      <w:r>
        <w:rPr>
          <w:lang w:val="en-US"/>
        </w:rPr>
        <w:t xml:space="preserve"> = 48 </w:t>
      </w:r>
      <w:proofErr w:type="spellStart"/>
      <w:r>
        <w:rPr>
          <w:lang w:val="en-US"/>
        </w:rPr>
        <w:t>S.Ct</w:t>
      </w:r>
      <w:proofErr w:type="spellEnd"/>
      <w:r>
        <w:rPr>
          <w:lang w:val="en-US"/>
        </w:rPr>
        <w:t xml:space="preserve">. </w:t>
      </w:r>
      <w:r w:rsidRPr="007117B8">
        <w:rPr>
          <w:lang w:val="en-US"/>
        </w:rPr>
        <w:t>564, 572</w:t>
      </w:r>
      <w:r>
        <w:rPr>
          <w:lang w:val="en-US"/>
        </w:rPr>
        <w:t xml:space="preserve"> =</w:t>
      </w:r>
      <w:r w:rsidRPr="007117B8">
        <w:rPr>
          <w:lang w:val="en-US"/>
        </w:rPr>
        <w:t xml:space="preserve"> 72 </w:t>
      </w:r>
      <w:r>
        <w:rPr>
          <w:lang w:val="en-US"/>
        </w:rPr>
        <w:t>L. Ed.</w:t>
      </w:r>
      <w:r w:rsidRPr="007117B8">
        <w:rPr>
          <w:lang w:val="en-US"/>
        </w:rPr>
        <w:t xml:space="preserve"> 944 (</w:t>
      </w:r>
      <w:r w:rsidRPr="009572B5">
        <w:rPr>
          <w:lang w:val="en-US"/>
        </w:rPr>
        <w:t xml:space="preserve">1928) </w:t>
      </w:r>
      <w:r w:rsidRPr="00B35CD0">
        <w:rPr>
          <w:lang w:val="en-US"/>
        </w:rPr>
        <w:t>(</w:t>
      </w:r>
      <w:r w:rsidRPr="009572B5">
        <w:rPr>
          <w:lang w:val="en-US"/>
        </w:rPr>
        <w:t xml:space="preserve">Dissens von Richter </w:t>
      </w:r>
      <w:r w:rsidRPr="00B45592">
        <w:rPr>
          <w:i/>
          <w:lang w:val="en-US"/>
        </w:rPr>
        <w:t>Brandeis</w:t>
      </w:r>
      <w:r w:rsidRPr="009572B5">
        <w:rPr>
          <w:lang w:val="en-US"/>
        </w:rPr>
        <w:t xml:space="preserve">); </w:t>
      </w:r>
      <w:r w:rsidRPr="009572B5">
        <w:rPr>
          <w:i/>
          <w:lang w:val="en-US"/>
        </w:rPr>
        <w:t>Stanley</w:t>
      </w:r>
      <w:r w:rsidRPr="009E57E1">
        <w:rPr>
          <w:i/>
          <w:lang w:val="en-US"/>
        </w:rPr>
        <w:t xml:space="preserve"> v. Georgia</w:t>
      </w:r>
      <w:r w:rsidRPr="007117B8">
        <w:rPr>
          <w:lang w:val="en-US"/>
        </w:rPr>
        <w:t>, 394 U.S. 557, 564</w:t>
      </w:r>
      <w:r>
        <w:rPr>
          <w:lang w:val="en-US"/>
        </w:rPr>
        <w:t xml:space="preserve"> = 89 S. Ct</w:t>
      </w:r>
      <w:r w:rsidRPr="007117B8">
        <w:rPr>
          <w:lang w:val="en-US"/>
        </w:rPr>
        <w:t>. 1243, 1248</w:t>
      </w:r>
      <w:r>
        <w:rPr>
          <w:lang w:val="en-US"/>
        </w:rPr>
        <w:t xml:space="preserve"> = 22 L. Ed. </w:t>
      </w:r>
      <w:r w:rsidRPr="007117B8">
        <w:rPr>
          <w:lang w:val="en-US"/>
        </w:rPr>
        <w:t>2d 542 (1969)</w:t>
      </w:r>
      <w:r>
        <w:rPr>
          <w:lang w:val="en-US"/>
        </w:rPr>
        <w:t>.</w:t>
      </w:r>
    </w:p>
  </w:footnote>
  <w:footnote w:id="1350">
    <w:p w14:paraId="51E1C314" w14:textId="77777777" w:rsidR="00074551" w:rsidRPr="00DF5886" w:rsidRDefault="00074551" w:rsidP="00074551">
      <w:pPr>
        <w:pStyle w:val="Funotentext"/>
        <w:rPr>
          <w:lang w:val="en-US"/>
        </w:rPr>
      </w:pPr>
      <w:r>
        <w:rPr>
          <w:rStyle w:val="Funotenzeichen"/>
          <w:rFonts w:eastAsiaTheme="majorEastAsia"/>
        </w:rPr>
        <w:footnoteRef/>
      </w:r>
      <w:r w:rsidRPr="00DF5886">
        <w:rPr>
          <w:lang w:val="en-US"/>
        </w:rPr>
        <w:t xml:space="preserve"> </w:t>
      </w:r>
      <w:r w:rsidRPr="009E57E1">
        <w:rPr>
          <w:i/>
          <w:lang w:val="en-US"/>
        </w:rPr>
        <w:t>Stanley v. Georgia</w:t>
      </w:r>
      <w:r w:rsidRPr="00DF5886">
        <w:rPr>
          <w:lang w:val="en-US"/>
        </w:rPr>
        <w:t>, 394 U.S. 557, 564</w:t>
      </w:r>
      <w:r>
        <w:rPr>
          <w:lang w:val="en-US"/>
        </w:rPr>
        <w:t xml:space="preserve"> = 89 S. Ct</w:t>
      </w:r>
      <w:r w:rsidRPr="00DF5886">
        <w:rPr>
          <w:lang w:val="en-US"/>
        </w:rPr>
        <w:t>. 1243, 1247</w:t>
      </w:r>
      <w:r>
        <w:rPr>
          <w:lang w:val="en-US"/>
        </w:rPr>
        <w:t>–</w:t>
      </w:r>
      <w:r w:rsidRPr="00DF5886">
        <w:rPr>
          <w:lang w:val="en-US"/>
        </w:rPr>
        <w:t>1248</w:t>
      </w:r>
      <w:r>
        <w:rPr>
          <w:lang w:val="en-US"/>
        </w:rPr>
        <w:t xml:space="preserve"> = 22 L. Ed. </w:t>
      </w:r>
      <w:r w:rsidRPr="00DF5886">
        <w:rPr>
          <w:lang w:val="en-US"/>
        </w:rPr>
        <w:t>2d 542, 549</w:t>
      </w:r>
      <w:r>
        <w:rPr>
          <w:lang w:val="en-US"/>
        </w:rPr>
        <w:t xml:space="preserve"> = 1969 U.S. LEXIS </w:t>
      </w:r>
      <w:r w:rsidRPr="00DF5886">
        <w:rPr>
          <w:lang w:val="en-US"/>
        </w:rPr>
        <w:t>1972, 14 (1969)</w:t>
      </w:r>
      <w:r>
        <w:rPr>
          <w:lang w:val="en-US"/>
        </w:rPr>
        <w:t>.</w:t>
      </w:r>
    </w:p>
  </w:footnote>
  <w:footnote w:id="1351">
    <w:p w14:paraId="5D05B2A7" w14:textId="77777777" w:rsidR="00074551" w:rsidRPr="00DF5886" w:rsidRDefault="00074551" w:rsidP="00074551">
      <w:pPr>
        <w:pStyle w:val="Funotentext"/>
        <w:rPr>
          <w:lang w:val="en-US"/>
        </w:rPr>
      </w:pPr>
      <w:r>
        <w:rPr>
          <w:rStyle w:val="Funotenzeichen"/>
          <w:rFonts w:eastAsiaTheme="majorEastAsia"/>
        </w:rPr>
        <w:footnoteRef/>
      </w:r>
      <w:r w:rsidRPr="00DF5886">
        <w:rPr>
          <w:lang w:val="en-US"/>
        </w:rPr>
        <w:t xml:space="preserve"> </w:t>
      </w:r>
      <w:r w:rsidRPr="009E57E1">
        <w:rPr>
          <w:i/>
          <w:lang w:val="en-US"/>
        </w:rPr>
        <w:t>Stanley v. Georgia</w:t>
      </w:r>
      <w:r w:rsidRPr="00DF5886">
        <w:rPr>
          <w:lang w:val="en-US"/>
        </w:rPr>
        <w:t>, 394 U.S. 557, 564</w:t>
      </w:r>
      <w:r>
        <w:rPr>
          <w:lang w:val="en-US"/>
        </w:rPr>
        <w:t xml:space="preserve"> = 89 S. Ct</w:t>
      </w:r>
      <w:r w:rsidRPr="00DF5886">
        <w:rPr>
          <w:lang w:val="en-US"/>
        </w:rPr>
        <w:t>. 1243, 1248</w:t>
      </w:r>
      <w:r>
        <w:rPr>
          <w:lang w:val="en-US"/>
        </w:rPr>
        <w:t xml:space="preserve"> = 22 L. Ed. </w:t>
      </w:r>
      <w:r w:rsidRPr="00DF5886">
        <w:rPr>
          <w:lang w:val="en-US"/>
        </w:rPr>
        <w:t>2d 542, 549</w:t>
      </w:r>
      <w:r>
        <w:rPr>
          <w:lang w:val="en-US"/>
        </w:rPr>
        <w:t xml:space="preserve"> = 1969 U.S. LEXIS </w:t>
      </w:r>
      <w:r w:rsidRPr="00DF5886">
        <w:rPr>
          <w:lang w:val="en-US"/>
        </w:rPr>
        <w:t>1972, 14 (1969)</w:t>
      </w:r>
      <w:r>
        <w:rPr>
          <w:lang w:val="en-US"/>
        </w:rPr>
        <w:t>.</w:t>
      </w:r>
    </w:p>
  </w:footnote>
  <w:footnote w:id="1352">
    <w:p w14:paraId="3EA38915" w14:textId="77777777" w:rsidR="00074551" w:rsidRPr="00DF5886" w:rsidRDefault="00074551" w:rsidP="00074551">
      <w:pPr>
        <w:pStyle w:val="Funotentext"/>
        <w:rPr>
          <w:lang w:val="en-US"/>
        </w:rPr>
      </w:pPr>
      <w:r>
        <w:rPr>
          <w:rStyle w:val="Funotenzeichen"/>
          <w:rFonts w:eastAsiaTheme="majorEastAsia"/>
        </w:rPr>
        <w:footnoteRef/>
      </w:r>
      <w:r w:rsidRPr="00DF5886">
        <w:rPr>
          <w:lang w:val="en-US"/>
        </w:rPr>
        <w:t xml:space="preserve"> </w:t>
      </w:r>
      <w:r w:rsidRPr="00B45592">
        <w:rPr>
          <w:i/>
          <w:lang w:val="en-US"/>
        </w:rPr>
        <w:t>Martin v. City of Struthers</w:t>
      </w:r>
      <w:r w:rsidRPr="00DF5886">
        <w:rPr>
          <w:lang w:val="en-US"/>
        </w:rPr>
        <w:t xml:space="preserve">, 319 U.S. 141, 143 (1943); </w:t>
      </w:r>
      <w:proofErr w:type="spellStart"/>
      <w:r>
        <w:rPr>
          <w:lang w:val="en-US"/>
        </w:rPr>
        <w:t>siehe</w:t>
      </w:r>
      <w:proofErr w:type="spellEnd"/>
      <w:r w:rsidRPr="00DF5886">
        <w:rPr>
          <w:lang w:val="en-US"/>
        </w:rPr>
        <w:t xml:space="preserve"> </w:t>
      </w:r>
      <w:r w:rsidRPr="009167A5">
        <w:rPr>
          <w:i/>
          <w:lang w:val="en-US"/>
        </w:rPr>
        <w:t>Griswold v. Connecticut</w:t>
      </w:r>
      <w:r w:rsidRPr="00DF5886">
        <w:rPr>
          <w:lang w:val="en-US"/>
        </w:rPr>
        <w:t xml:space="preserve">, 381 U.S. 479, 482 (1965); </w:t>
      </w:r>
      <w:r w:rsidRPr="00B45592">
        <w:rPr>
          <w:i/>
          <w:lang w:val="en-US"/>
        </w:rPr>
        <w:t>Lamont v. Postmaster General</w:t>
      </w:r>
      <w:r w:rsidRPr="00DF5886">
        <w:rPr>
          <w:lang w:val="en-US"/>
        </w:rPr>
        <w:t xml:space="preserve">, </w:t>
      </w:r>
      <w:r w:rsidRPr="009572B5">
        <w:rPr>
          <w:lang w:val="en-US"/>
        </w:rPr>
        <w:t>381 U.S. 301, 307</w:t>
      </w:r>
      <w:r w:rsidRPr="00B35CD0">
        <w:rPr>
          <w:lang w:val="en-US"/>
        </w:rPr>
        <w:t>–</w:t>
      </w:r>
      <w:r w:rsidRPr="009572B5">
        <w:rPr>
          <w:lang w:val="en-US"/>
        </w:rPr>
        <w:t>308 (1965) (</w:t>
      </w:r>
      <w:r w:rsidRPr="00B45592">
        <w:rPr>
          <w:i/>
          <w:lang w:val="en-US"/>
        </w:rPr>
        <w:t>concurring opinion</w:t>
      </w:r>
      <w:r w:rsidRPr="00B45592">
        <w:rPr>
          <w:lang w:val="en-US"/>
        </w:rPr>
        <w:t xml:space="preserve"> von Richter </w:t>
      </w:r>
      <w:r w:rsidRPr="00D67593">
        <w:rPr>
          <w:i/>
          <w:lang w:val="en-US"/>
        </w:rPr>
        <w:t>Brennan</w:t>
      </w:r>
      <w:r w:rsidRPr="009572B5">
        <w:rPr>
          <w:lang w:val="en-US"/>
        </w:rPr>
        <w:t xml:space="preserve">); </w:t>
      </w:r>
      <w:proofErr w:type="spellStart"/>
      <w:r w:rsidRPr="009572B5">
        <w:rPr>
          <w:lang w:val="en-US"/>
        </w:rPr>
        <w:t>vgl</w:t>
      </w:r>
      <w:proofErr w:type="spellEnd"/>
      <w:r w:rsidRPr="009572B5">
        <w:rPr>
          <w:lang w:val="en-US"/>
        </w:rPr>
        <w:t xml:space="preserve">. </w:t>
      </w:r>
      <w:r w:rsidRPr="009572B5">
        <w:rPr>
          <w:i/>
          <w:lang w:val="en-US"/>
        </w:rPr>
        <w:t>Pierce v. Society of Sisters</w:t>
      </w:r>
      <w:r w:rsidRPr="009572B5">
        <w:rPr>
          <w:lang w:val="en-US"/>
        </w:rPr>
        <w:t xml:space="preserve">, 268 U.S. 510 (1925); </w:t>
      </w:r>
      <w:r w:rsidRPr="009572B5">
        <w:rPr>
          <w:i/>
          <w:lang w:val="en-US"/>
        </w:rPr>
        <w:t>Stanley v. Georgia</w:t>
      </w:r>
      <w:r w:rsidRPr="009572B5">
        <w:rPr>
          <w:lang w:val="en-US"/>
        </w:rPr>
        <w:t>, 394 U.S. 557, 564 = 89 S. Ct. 1243, 1247 = 22 L. Ed. 2d 542, 549 = 1969 U.S. LEXIS 1972, 13 (1969).</w:t>
      </w:r>
    </w:p>
  </w:footnote>
  <w:footnote w:id="1353">
    <w:p w14:paraId="22CED15C" w14:textId="77777777" w:rsidR="00074551" w:rsidRPr="00DF5886" w:rsidRDefault="00074551" w:rsidP="00074551">
      <w:pPr>
        <w:pStyle w:val="Funotentext"/>
        <w:rPr>
          <w:lang w:val="en-US"/>
        </w:rPr>
      </w:pPr>
      <w:r>
        <w:rPr>
          <w:rStyle w:val="Funotenzeichen"/>
          <w:rFonts w:eastAsiaTheme="majorEastAsia"/>
        </w:rPr>
        <w:footnoteRef/>
      </w:r>
      <w:r w:rsidRPr="00DF5886">
        <w:rPr>
          <w:lang w:val="en-US"/>
        </w:rPr>
        <w:t xml:space="preserve"> </w:t>
      </w:r>
      <w:r w:rsidRPr="00B45592">
        <w:rPr>
          <w:i/>
          <w:lang w:val="en-US"/>
        </w:rPr>
        <w:t>Martin v. City of Struthers</w:t>
      </w:r>
      <w:r w:rsidRPr="00DF5886">
        <w:rPr>
          <w:lang w:val="en-US"/>
        </w:rPr>
        <w:t xml:space="preserve">, 319 U.S. 141, 143 (1943); </w:t>
      </w:r>
      <w:proofErr w:type="spellStart"/>
      <w:r>
        <w:rPr>
          <w:lang w:val="en-US"/>
        </w:rPr>
        <w:t>siehe</w:t>
      </w:r>
      <w:proofErr w:type="spellEnd"/>
      <w:r w:rsidRPr="00DF5886">
        <w:rPr>
          <w:lang w:val="en-US"/>
        </w:rPr>
        <w:t xml:space="preserve"> </w:t>
      </w:r>
      <w:r w:rsidRPr="009167A5">
        <w:rPr>
          <w:i/>
          <w:lang w:val="en-US"/>
        </w:rPr>
        <w:t>Griswold v. Connecticut</w:t>
      </w:r>
      <w:r w:rsidRPr="00DF5886">
        <w:rPr>
          <w:lang w:val="en-US"/>
        </w:rPr>
        <w:t>, 381 U.S. 479, 482 (1965</w:t>
      </w:r>
      <w:r w:rsidRPr="00B45592">
        <w:rPr>
          <w:i/>
          <w:lang w:val="en-US"/>
        </w:rPr>
        <w:t>); Lamont v. Postmaster General</w:t>
      </w:r>
      <w:r w:rsidRPr="00DF5886">
        <w:rPr>
          <w:lang w:val="en-US"/>
        </w:rPr>
        <w:t xml:space="preserve">, 381 U.S. 301, 307-308 (1965) </w:t>
      </w:r>
      <w:r w:rsidRPr="009572B5">
        <w:rPr>
          <w:lang w:val="en-US"/>
        </w:rPr>
        <w:t>(</w:t>
      </w:r>
      <w:r w:rsidRPr="00206140">
        <w:rPr>
          <w:i/>
          <w:lang w:val="en-US"/>
        </w:rPr>
        <w:t>concurring opinion</w:t>
      </w:r>
      <w:r w:rsidRPr="00206140">
        <w:rPr>
          <w:lang w:val="en-US"/>
        </w:rPr>
        <w:t xml:space="preserve"> von Richter </w:t>
      </w:r>
      <w:r w:rsidRPr="00D67593">
        <w:rPr>
          <w:i/>
          <w:lang w:val="en-US"/>
        </w:rPr>
        <w:t>Brennan</w:t>
      </w:r>
      <w:r w:rsidRPr="009572B5">
        <w:rPr>
          <w:lang w:val="en-US"/>
        </w:rPr>
        <w:t xml:space="preserve">); </w:t>
      </w:r>
      <w:proofErr w:type="spellStart"/>
      <w:r>
        <w:rPr>
          <w:lang w:val="en-US"/>
        </w:rPr>
        <w:t>vgl</w:t>
      </w:r>
      <w:proofErr w:type="spellEnd"/>
      <w:r>
        <w:rPr>
          <w:lang w:val="en-US"/>
        </w:rPr>
        <w:t>.</w:t>
      </w:r>
      <w:r w:rsidRPr="00DF5886">
        <w:rPr>
          <w:lang w:val="en-US"/>
        </w:rPr>
        <w:t xml:space="preserve"> </w:t>
      </w:r>
      <w:r w:rsidRPr="009167A5">
        <w:rPr>
          <w:i/>
          <w:lang w:val="en-US"/>
        </w:rPr>
        <w:t>Pierce v. Society of Sisters</w:t>
      </w:r>
      <w:r w:rsidRPr="00DF5886">
        <w:rPr>
          <w:lang w:val="en-US"/>
        </w:rPr>
        <w:t>, 268 U.S. 510 (1925)</w:t>
      </w:r>
      <w:r>
        <w:rPr>
          <w:lang w:val="en-US"/>
        </w:rPr>
        <w:t xml:space="preserve">; </w:t>
      </w:r>
      <w:r w:rsidRPr="009E57E1">
        <w:rPr>
          <w:i/>
          <w:lang w:val="en-US"/>
        </w:rPr>
        <w:t>Stanley v. Georgia</w:t>
      </w:r>
      <w:r w:rsidRPr="00DF5886">
        <w:rPr>
          <w:lang w:val="en-US"/>
        </w:rPr>
        <w:t>, 394 U.S. 557, 564</w:t>
      </w:r>
      <w:r>
        <w:rPr>
          <w:lang w:val="en-US"/>
        </w:rPr>
        <w:t xml:space="preserve"> = 89 S. Ct</w:t>
      </w:r>
      <w:r w:rsidRPr="00DF5886">
        <w:rPr>
          <w:lang w:val="en-US"/>
        </w:rPr>
        <w:t>. 1243, 1247</w:t>
      </w:r>
      <w:r>
        <w:rPr>
          <w:lang w:val="en-US"/>
        </w:rPr>
        <w:t xml:space="preserve"> = 22 L. Ed. </w:t>
      </w:r>
      <w:r w:rsidRPr="00DF5886">
        <w:rPr>
          <w:lang w:val="en-US"/>
        </w:rPr>
        <w:t>2d 542, 549</w:t>
      </w:r>
      <w:r>
        <w:rPr>
          <w:lang w:val="en-US"/>
        </w:rPr>
        <w:t xml:space="preserve"> = 1969 U.S. LEXIS </w:t>
      </w:r>
      <w:r w:rsidRPr="00DF5886">
        <w:rPr>
          <w:lang w:val="en-US"/>
        </w:rPr>
        <w:t>1972, 13 (1969)</w:t>
      </w:r>
      <w:r>
        <w:rPr>
          <w:lang w:val="en-US"/>
        </w:rPr>
        <w:t>.</w:t>
      </w:r>
    </w:p>
  </w:footnote>
  <w:footnote w:id="1354">
    <w:p w14:paraId="73426B05" w14:textId="77777777" w:rsidR="00074551" w:rsidRPr="00EE2E42" w:rsidRDefault="00074551" w:rsidP="00074551">
      <w:pPr>
        <w:pStyle w:val="Funotentext"/>
        <w:rPr>
          <w:lang w:val="en-US"/>
        </w:rPr>
      </w:pPr>
      <w:r>
        <w:rPr>
          <w:rStyle w:val="Funotenzeichen"/>
          <w:rFonts w:eastAsiaTheme="majorEastAsia"/>
        </w:rPr>
        <w:footnoteRef/>
      </w:r>
      <w:r w:rsidRPr="00EE2E42">
        <w:rPr>
          <w:lang w:val="en-US"/>
        </w:rPr>
        <w:t xml:space="preserve"> </w:t>
      </w:r>
      <w:r w:rsidRPr="009E57E1">
        <w:rPr>
          <w:i/>
          <w:lang w:val="en-US"/>
        </w:rPr>
        <w:t>Meyer v. Nebraska</w:t>
      </w:r>
      <w:r w:rsidRPr="00EE2E42">
        <w:rPr>
          <w:lang w:val="en-US"/>
        </w:rPr>
        <w:t xml:space="preserve">, 262 U.S. 390; </w:t>
      </w:r>
      <w:r w:rsidRPr="009167A5">
        <w:rPr>
          <w:i/>
          <w:lang w:val="en-US"/>
        </w:rPr>
        <w:t>Wash. v. Glucksberg</w:t>
      </w:r>
      <w:r w:rsidRPr="00EE2E42">
        <w:rPr>
          <w:lang w:val="en-US"/>
        </w:rPr>
        <w:t>, 521 U.S. 702, 761</w:t>
      </w:r>
      <w:r w:rsidRPr="006E67FE">
        <w:rPr>
          <w:lang w:val="en-US"/>
        </w:rPr>
        <w:t xml:space="preserve"> = 117 S. Ct. </w:t>
      </w:r>
      <w:r w:rsidRPr="00EE2E42">
        <w:rPr>
          <w:lang w:val="en-US"/>
        </w:rPr>
        <w:t>2258, 2279, 2279</w:t>
      </w:r>
      <w:r w:rsidRPr="006E67FE">
        <w:rPr>
          <w:lang w:val="en-US"/>
        </w:rPr>
        <w:t xml:space="preserve"> = 117 S. Ct. </w:t>
      </w:r>
      <w:r w:rsidRPr="00EE2E42">
        <w:rPr>
          <w:lang w:val="en-US"/>
        </w:rPr>
        <w:t>2302</w:t>
      </w:r>
      <w:r w:rsidRPr="006E67FE">
        <w:rPr>
          <w:lang w:val="en-US"/>
        </w:rPr>
        <w:t xml:space="preserve"> = 138 L. Ed. </w:t>
      </w:r>
      <w:r w:rsidRPr="00EE2E42">
        <w:rPr>
          <w:lang w:val="en-US"/>
        </w:rPr>
        <w:t>2d 772, 813</w:t>
      </w:r>
      <w:r w:rsidRPr="006E67FE">
        <w:rPr>
          <w:lang w:val="en-US"/>
        </w:rPr>
        <w:t xml:space="preserve"> = 1997 U.S. LEXIS </w:t>
      </w:r>
      <w:r w:rsidRPr="00EE2E42">
        <w:rPr>
          <w:lang w:val="en-US"/>
        </w:rPr>
        <w:t>4039, 100</w:t>
      </w:r>
      <w:r w:rsidRPr="006E67FE">
        <w:rPr>
          <w:lang w:val="en-US"/>
        </w:rPr>
        <w:t xml:space="preserve"> = 65 U.S.L.W. </w:t>
      </w:r>
      <w:r w:rsidRPr="00EE2E42">
        <w:rPr>
          <w:lang w:val="en-US"/>
        </w:rPr>
        <w:t>4669</w:t>
      </w:r>
      <w:r w:rsidRPr="006E67FE">
        <w:rPr>
          <w:lang w:val="en-US"/>
        </w:rPr>
        <w:t xml:space="preserve"> = 97 Cal. Daily Op. </w:t>
      </w:r>
      <w:r w:rsidRPr="00EE2E42">
        <w:rPr>
          <w:lang w:val="en-US"/>
        </w:rPr>
        <w:t>Service 5008</w:t>
      </w:r>
      <w:r w:rsidRPr="006E67FE">
        <w:rPr>
          <w:lang w:val="en-US"/>
        </w:rPr>
        <w:t xml:space="preserve"> = 97 Daily Journal </w:t>
      </w:r>
      <w:r w:rsidRPr="00EE2E42">
        <w:rPr>
          <w:lang w:val="en-US"/>
        </w:rPr>
        <w:t>DAR 8150</w:t>
      </w:r>
      <w:r w:rsidRPr="006E67FE">
        <w:rPr>
          <w:lang w:val="en-US"/>
        </w:rPr>
        <w:t xml:space="preserve"> = 11 Fla. L. Weekly </w:t>
      </w:r>
      <w:r w:rsidRPr="00EE2E42">
        <w:rPr>
          <w:lang w:val="en-US"/>
        </w:rPr>
        <w:t>Fed. S 190 (1997).</w:t>
      </w:r>
    </w:p>
  </w:footnote>
  <w:footnote w:id="1355">
    <w:p w14:paraId="56108C49" w14:textId="77777777" w:rsidR="00074551" w:rsidRPr="00EC57FF" w:rsidRDefault="00074551" w:rsidP="00074551">
      <w:pPr>
        <w:pStyle w:val="Funotentext"/>
        <w:rPr>
          <w:lang w:val="en-US"/>
        </w:rPr>
      </w:pPr>
      <w:r>
        <w:rPr>
          <w:rStyle w:val="Funotenzeichen"/>
          <w:rFonts w:eastAsiaTheme="majorEastAsia"/>
        </w:rPr>
        <w:footnoteRef/>
      </w:r>
      <w:r w:rsidRPr="00EC57FF">
        <w:rPr>
          <w:lang w:val="en-US"/>
        </w:rPr>
        <w:t xml:space="preserve"> </w:t>
      </w:r>
      <w:r w:rsidRPr="009167A5">
        <w:rPr>
          <w:i/>
          <w:lang w:val="en-US"/>
        </w:rPr>
        <w:t>Wash. v. Glucksberg</w:t>
      </w:r>
      <w:r w:rsidRPr="00EC57FF">
        <w:rPr>
          <w:lang w:val="en-US"/>
        </w:rPr>
        <w:t>, 521 U.S. 702, 759</w:t>
      </w:r>
      <w:r w:rsidRPr="006E67FE">
        <w:rPr>
          <w:lang w:val="en-US"/>
        </w:rPr>
        <w:t xml:space="preserve"> = 117 S. Ct. </w:t>
      </w:r>
      <w:r w:rsidRPr="00EC57FF">
        <w:rPr>
          <w:lang w:val="en-US"/>
        </w:rPr>
        <w:t>2258, 2278, 2278</w:t>
      </w:r>
      <w:r w:rsidRPr="006E67FE">
        <w:rPr>
          <w:lang w:val="en-US"/>
        </w:rPr>
        <w:t xml:space="preserve"> = 117 S. Ct. </w:t>
      </w:r>
      <w:r w:rsidRPr="00EC57FF">
        <w:rPr>
          <w:lang w:val="en-US"/>
        </w:rPr>
        <w:t>2302</w:t>
      </w:r>
      <w:r w:rsidRPr="006E67FE">
        <w:rPr>
          <w:lang w:val="en-US"/>
        </w:rPr>
        <w:t xml:space="preserve"> = 138 L. Ed. </w:t>
      </w:r>
      <w:r w:rsidRPr="00EC57FF">
        <w:rPr>
          <w:lang w:val="en-US"/>
        </w:rPr>
        <w:t>2d 772, 812</w:t>
      </w:r>
      <w:r w:rsidRPr="006E67FE">
        <w:rPr>
          <w:lang w:val="en-US"/>
        </w:rPr>
        <w:t xml:space="preserve"> = 1997 U.S. LEXIS </w:t>
      </w:r>
      <w:r w:rsidRPr="00EC57FF">
        <w:rPr>
          <w:lang w:val="en-US"/>
        </w:rPr>
        <w:t>4039, 96</w:t>
      </w:r>
      <w:r w:rsidRPr="006E67FE">
        <w:rPr>
          <w:lang w:val="en-US"/>
        </w:rPr>
        <w:t xml:space="preserve"> = 65 U.S.L.W. </w:t>
      </w:r>
      <w:r w:rsidRPr="00EC57FF">
        <w:rPr>
          <w:lang w:val="en-US"/>
        </w:rPr>
        <w:t>4669</w:t>
      </w:r>
      <w:r w:rsidRPr="006E67FE">
        <w:rPr>
          <w:lang w:val="en-US"/>
        </w:rPr>
        <w:t xml:space="preserve"> = 97 Cal. Daily Op. </w:t>
      </w:r>
      <w:r w:rsidRPr="00EC57FF">
        <w:rPr>
          <w:lang w:val="en-US"/>
        </w:rPr>
        <w:t>Service 5008</w:t>
      </w:r>
      <w:r w:rsidRPr="006E67FE">
        <w:rPr>
          <w:lang w:val="en-US"/>
        </w:rPr>
        <w:t xml:space="preserve"> = 97 Daily Journal </w:t>
      </w:r>
      <w:r w:rsidRPr="00EC57FF">
        <w:rPr>
          <w:lang w:val="en-US"/>
        </w:rPr>
        <w:t>DAR 8150</w:t>
      </w:r>
      <w:r w:rsidRPr="006E67FE">
        <w:rPr>
          <w:lang w:val="en-US"/>
        </w:rPr>
        <w:t xml:space="preserve"> = 11 Fla. L. Weekly </w:t>
      </w:r>
      <w:r w:rsidRPr="00EC57FF">
        <w:rPr>
          <w:lang w:val="en-US"/>
        </w:rPr>
        <w:t>Fed. S 190 (1997)</w:t>
      </w:r>
      <w:r>
        <w:rPr>
          <w:lang w:val="en-US"/>
        </w:rPr>
        <w:t>.</w:t>
      </w:r>
    </w:p>
  </w:footnote>
  <w:footnote w:id="1356">
    <w:p w14:paraId="53E2B4E5" w14:textId="77777777" w:rsidR="00074551" w:rsidRPr="00721F62" w:rsidRDefault="00074551" w:rsidP="00074551">
      <w:pPr>
        <w:pStyle w:val="Funotentext"/>
        <w:rPr>
          <w:lang w:val="en-US"/>
        </w:rPr>
      </w:pPr>
      <w:r>
        <w:rPr>
          <w:rStyle w:val="Funotenzeichen"/>
          <w:rFonts w:eastAsiaTheme="majorEastAsia"/>
        </w:rPr>
        <w:footnoteRef/>
      </w:r>
      <w:r w:rsidRPr="00721F62">
        <w:rPr>
          <w:lang w:val="en-US"/>
        </w:rPr>
        <w:t xml:space="preserve"> </w:t>
      </w:r>
      <w:r w:rsidRPr="009167A5">
        <w:rPr>
          <w:i/>
          <w:lang w:val="en-US"/>
        </w:rPr>
        <w:t>Wash. v. Glucksberg</w:t>
      </w:r>
      <w:r w:rsidRPr="00721F62">
        <w:rPr>
          <w:lang w:val="en-US"/>
        </w:rPr>
        <w:t>, 521 U.S. 702, 759</w:t>
      </w:r>
      <w:r w:rsidRPr="006E67FE">
        <w:rPr>
          <w:lang w:val="en-US"/>
        </w:rPr>
        <w:t xml:space="preserve"> = 117 S. Ct. </w:t>
      </w:r>
      <w:r w:rsidRPr="00721F62">
        <w:rPr>
          <w:lang w:val="en-US"/>
        </w:rPr>
        <w:t>2258, 2278, 2278</w:t>
      </w:r>
      <w:r w:rsidRPr="006E67FE">
        <w:rPr>
          <w:lang w:val="en-US"/>
        </w:rPr>
        <w:t xml:space="preserve"> = 117 S. Ct. </w:t>
      </w:r>
      <w:r w:rsidRPr="00721F62">
        <w:rPr>
          <w:lang w:val="en-US"/>
        </w:rPr>
        <w:t>2302</w:t>
      </w:r>
      <w:r w:rsidRPr="006E67FE">
        <w:rPr>
          <w:lang w:val="en-US"/>
        </w:rPr>
        <w:t xml:space="preserve"> = 138 L. Ed. </w:t>
      </w:r>
      <w:r w:rsidRPr="00721F62">
        <w:rPr>
          <w:lang w:val="en-US"/>
        </w:rPr>
        <w:t>2d 772, 812</w:t>
      </w:r>
      <w:r w:rsidRPr="006E67FE">
        <w:rPr>
          <w:lang w:val="en-US"/>
        </w:rPr>
        <w:t xml:space="preserve"> = 1997 U.S. LEXIS </w:t>
      </w:r>
      <w:r w:rsidRPr="00721F62">
        <w:rPr>
          <w:lang w:val="en-US"/>
        </w:rPr>
        <w:t>4039, 96</w:t>
      </w:r>
      <w:r w:rsidRPr="006E67FE">
        <w:rPr>
          <w:lang w:val="en-US"/>
        </w:rPr>
        <w:t xml:space="preserve"> = 65 U.S.L.W. </w:t>
      </w:r>
      <w:r w:rsidRPr="00721F62">
        <w:rPr>
          <w:lang w:val="en-US"/>
        </w:rPr>
        <w:t>4669</w:t>
      </w:r>
      <w:r w:rsidRPr="006E67FE">
        <w:rPr>
          <w:lang w:val="en-US"/>
        </w:rPr>
        <w:t xml:space="preserve"> = 97 Cal. Daily Op. </w:t>
      </w:r>
      <w:r w:rsidRPr="00721F62">
        <w:rPr>
          <w:lang w:val="en-US"/>
        </w:rPr>
        <w:t>Service 5008</w:t>
      </w:r>
      <w:r w:rsidRPr="006E67FE">
        <w:rPr>
          <w:lang w:val="en-US"/>
        </w:rPr>
        <w:t xml:space="preserve"> = 97 Daily Journal </w:t>
      </w:r>
      <w:r w:rsidRPr="00721F62">
        <w:rPr>
          <w:lang w:val="en-US"/>
        </w:rPr>
        <w:t>DAR 8150</w:t>
      </w:r>
      <w:r w:rsidRPr="006E67FE">
        <w:rPr>
          <w:lang w:val="en-US"/>
        </w:rPr>
        <w:t xml:space="preserve"> = 11 Fla. L. Weekly </w:t>
      </w:r>
      <w:r w:rsidRPr="00721F62">
        <w:rPr>
          <w:lang w:val="en-US"/>
        </w:rPr>
        <w:t>Fed. S 190 (1997)</w:t>
      </w:r>
      <w:r>
        <w:rPr>
          <w:lang w:val="en-US"/>
        </w:rPr>
        <w:t>.</w:t>
      </w:r>
    </w:p>
  </w:footnote>
  <w:footnote w:id="1357">
    <w:p w14:paraId="3B429001" w14:textId="77777777" w:rsidR="00074551" w:rsidRPr="00EC57FF" w:rsidRDefault="00074551" w:rsidP="00074551">
      <w:pPr>
        <w:pStyle w:val="Funotentext"/>
        <w:rPr>
          <w:lang w:val="en-US"/>
        </w:rPr>
      </w:pPr>
      <w:r>
        <w:rPr>
          <w:rStyle w:val="Funotenzeichen"/>
          <w:rFonts w:eastAsiaTheme="majorEastAsia"/>
        </w:rPr>
        <w:footnoteRef/>
      </w:r>
      <w:r w:rsidRPr="00EC57FF">
        <w:rPr>
          <w:lang w:val="en-US"/>
        </w:rPr>
        <w:t xml:space="preserve"> </w:t>
      </w:r>
      <w:r>
        <w:rPr>
          <w:lang w:val="en-US"/>
        </w:rPr>
        <w:t>Dissens von Richter</w:t>
      </w:r>
      <w:r w:rsidRPr="00EC57FF">
        <w:rPr>
          <w:lang w:val="en-US"/>
        </w:rPr>
        <w:t xml:space="preserve"> </w:t>
      </w:r>
      <w:r w:rsidRPr="00B45592">
        <w:rPr>
          <w:i/>
          <w:lang w:val="en-US"/>
        </w:rPr>
        <w:t>Bradley</w:t>
      </w:r>
      <w:r w:rsidRPr="00EC57FF">
        <w:rPr>
          <w:lang w:val="en-US"/>
        </w:rPr>
        <w:t xml:space="preserve"> in </w:t>
      </w:r>
      <w:r>
        <w:rPr>
          <w:lang w:val="en-US"/>
        </w:rPr>
        <w:t>den</w:t>
      </w:r>
      <w:r w:rsidRPr="00EC57FF">
        <w:rPr>
          <w:lang w:val="en-US"/>
        </w:rPr>
        <w:t xml:space="preserve"> </w:t>
      </w:r>
      <w:r w:rsidRPr="008F73D7">
        <w:rPr>
          <w:i/>
          <w:lang w:val="en-US"/>
        </w:rPr>
        <w:t>Slaughter-House Cases</w:t>
      </w:r>
      <w:r w:rsidRPr="00EC57FF">
        <w:rPr>
          <w:lang w:val="en-US"/>
        </w:rPr>
        <w:t>, 16 Wall. 36 (1873)</w:t>
      </w:r>
      <w:r>
        <w:rPr>
          <w:lang w:val="en-US"/>
        </w:rPr>
        <w:t xml:space="preserve">; </w:t>
      </w:r>
      <w:r w:rsidRPr="009167A5">
        <w:rPr>
          <w:i/>
          <w:lang w:val="en-US"/>
        </w:rPr>
        <w:t>Wash. v. Glucksberg</w:t>
      </w:r>
      <w:r w:rsidRPr="00EC57FF">
        <w:rPr>
          <w:lang w:val="en-US"/>
        </w:rPr>
        <w:t>, 521 U.S. 702, 759</w:t>
      </w:r>
      <w:r w:rsidRPr="006E67FE">
        <w:rPr>
          <w:lang w:val="en-US"/>
        </w:rPr>
        <w:t xml:space="preserve"> = 117 S. Ct. </w:t>
      </w:r>
      <w:r w:rsidRPr="00EC57FF">
        <w:rPr>
          <w:lang w:val="en-US"/>
        </w:rPr>
        <w:t>2258, 2278, 2278</w:t>
      </w:r>
      <w:r w:rsidRPr="006E67FE">
        <w:rPr>
          <w:lang w:val="en-US"/>
        </w:rPr>
        <w:t xml:space="preserve"> = 117 S. Ct. </w:t>
      </w:r>
      <w:r w:rsidRPr="00EC57FF">
        <w:rPr>
          <w:lang w:val="en-US"/>
        </w:rPr>
        <w:t>2302</w:t>
      </w:r>
      <w:r w:rsidRPr="006E67FE">
        <w:rPr>
          <w:lang w:val="en-US"/>
        </w:rPr>
        <w:t xml:space="preserve"> = 138 L. Ed. </w:t>
      </w:r>
      <w:r w:rsidRPr="00EC57FF">
        <w:rPr>
          <w:lang w:val="en-US"/>
        </w:rPr>
        <w:t>2d 772, 812</w:t>
      </w:r>
      <w:r w:rsidRPr="006E67FE">
        <w:rPr>
          <w:lang w:val="en-US"/>
        </w:rPr>
        <w:t xml:space="preserve"> = 1997 U.S. LEXIS </w:t>
      </w:r>
      <w:r w:rsidRPr="00EC57FF">
        <w:rPr>
          <w:lang w:val="en-US"/>
        </w:rPr>
        <w:t>4039, 96</w:t>
      </w:r>
      <w:r w:rsidRPr="006E67FE">
        <w:rPr>
          <w:lang w:val="en-US"/>
        </w:rPr>
        <w:t xml:space="preserve"> = 65 U.S.L.W. </w:t>
      </w:r>
      <w:r w:rsidRPr="00EC57FF">
        <w:rPr>
          <w:lang w:val="en-US"/>
        </w:rPr>
        <w:t>4669</w:t>
      </w:r>
      <w:r w:rsidRPr="006E67FE">
        <w:rPr>
          <w:lang w:val="en-US"/>
        </w:rPr>
        <w:t xml:space="preserve"> = 97 Cal. Daily Op. </w:t>
      </w:r>
      <w:r w:rsidRPr="00EC57FF">
        <w:rPr>
          <w:lang w:val="en-US"/>
        </w:rPr>
        <w:t>Service 5008</w:t>
      </w:r>
      <w:r w:rsidRPr="006E67FE">
        <w:rPr>
          <w:lang w:val="en-US"/>
        </w:rPr>
        <w:t xml:space="preserve"> = 97 Daily Journal </w:t>
      </w:r>
      <w:r w:rsidRPr="00EC57FF">
        <w:rPr>
          <w:lang w:val="en-US"/>
        </w:rPr>
        <w:t>DAR 8150</w:t>
      </w:r>
      <w:r w:rsidRPr="006E67FE">
        <w:rPr>
          <w:lang w:val="en-US"/>
        </w:rPr>
        <w:t xml:space="preserve"> = 11 Fla. L. Weekly </w:t>
      </w:r>
      <w:r w:rsidRPr="00EC57FF">
        <w:rPr>
          <w:lang w:val="en-US"/>
        </w:rPr>
        <w:t>Fed. S 190 (1997)</w:t>
      </w:r>
      <w:r>
        <w:rPr>
          <w:lang w:val="en-US"/>
        </w:rPr>
        <w:t>.</w:t>
      </w:r>
    </w:p>
  </w:footnote>
  <w:footnote w:id="1358">
    <w:p w14:paraId="039B55E7" w14:textId="77777777" w:rsidR="00074551" w:rsidRPr="000757EC" w:rsidRDefault="00074551" w:rsidP="00074551">
      <w:pPr>
        <w:pStyle w:val="Funotentext"/>
        <w:rPr>
          <w:lang w:val="en-US"/>
        </w:rPr>
      </w:pPr>
      <w:r>
        <w:rPr>
          <w:rStyle w:val="Funotenzeichen"/>
          <w:rFonts w:eastAsiaTheme="majorEastAsia"/>
        </w:rPr>
        <w:footnoteRef/>
      </w:r>
      <w:r w:rsidRPr="000757EC">
        <w:rPr>
          <w:lang w:val="en-US"/>
        </w:rPr>
        <w:t xml:space="preserve"> </w:t>
      </w:r>
      <w:r w:rsidRPr="008F73D7">
        <w:rPr>
          <w:i/>
          <w:lang w:val="en-US"/>
        </w:rPr>
        <w:t>Slaughter-House Cases</w:t>
      </w:r>
      <w:r w:rsidRPr="000757EC">
        <w:rPr>
          <w:lang w:val="en-US"/>
        </w:rPr>
        <w:t>, 16 Wall. 36 (1873)</w:t>
      </w:r>
      <w:r>
        <w:rPr>
          <w:lang w:val="en-US"/>
        </w:rPr>
        <w:t xml:space="preserve">; </w:t>
      </w:r>
      <w:r w:rsidRPr="009167A5">
        <w:rPr>
          <w:i/>
          <w:lang w:val="en-US"/>
        </w:rPr>
        <w:t>Wash. v. Glucksberg</w:t>
      </w:r>
      <w:r w:rsidRPr="000757EC">
        <w:rPr>
          <w:lang w:val="en-US"/>
        </w:rPr>
        <w:t>, 521 U.S. 702, 759</w:t>
      </w:r>
      <w:r w:rsidRPr="006E67FE">
        <w:rPr>
          <w:lang w:val="en-US"/>
        </w:rPr>
        <w:t xml:space="preserve"> = 117 S. Ct. </w:t>
      </w:r>
      <w:r w:rsidRPr="000757EC">
        <w:rPr>
          <w:lang w:val="en-US"/>
        </w:rPr>
        <w:t>2258, 2278, 2278</w:t>
      </w:r>
      <w:r w:rsidRPr="006E67FE">
        <w:rPr>
          <w:lang w:val="en-US"/>
        </w:rPr>
        <w:t xml:space="preserve"> = 117 S. Ct. </w:t>
      </w:r>
      <w:r w:rsidRPr="000757EC">
        <w:rPr>
          <w:lang w:val="en-US"/>
        </w:rPr>
        <w:t>2302</w:t>
      </w:r>
      <w:r w:rsidRPr="006E67FE">
        <w:rPr>
          <w:lang w:val="en-US"/>
        </w:rPr>
        <w:t xml:space="preserve"> = 138 L. Ed. </w:t>
      </w:r>
      <w:r w:rsidRPr="000757EC">
        <w:rPr>
          <w:lang w:val="en-US"/>
        </w:rPr>
        <w:t>2d 772, 812</w:t>
      </w:r>
      <w:r w:rsidRPr="006E67FE">
        <w:rPr>
          <w:lang w:val="en-US"/>
        </w:rPr>
        <w:t xml:space="preserve"> = 1997 U.S. LEXIS </w:t>
      </w:r>
      <w:r w:rsidRPr="000757EC">
        <w:rPr>
          <w:lang w:val="en-US"/>
        </w:rPr>
        <w:t>4039, 96</w:t>
      </w:r>
      <w:r w:rsidRPr="006E67FE">
        <w:rPr>
          <w:lang w:val="en-US"/>
        </w:rPr>
        <w:t xml:space="preserve"> = 65 U.S.L.W. </w:t>
      </w:r>
      <w:r w:rsidRPr="000757EC">
        <w:rPr>
          <w:lang w:val="en-US"/>
        </w:rPr>
        <w:t>4669</w:t>
      </w:r>
      <w:r w:rsidRPr="006E67FE">
        <w:rPr>
          <w:lang w:val="en-US"/>
        </w:rPr>
        <w:t xml:space="preserve"> = 97 Cal. Daily Op. </w:t>
      </w:r>
      <w:r w:rsidRPr="000757EC">
        <w:rPr>
          <w:lang w:val="en-US"/>
        </w:rPr>
        <w:t>Service 5008</w:t>
      </w:r>
      <w:r w:rsidRPr="006E67FE">
        <w:rPr>
          <w:lang w:val="en-US"/>
        </w:rPr>
        <w:t xml:space="preserve"> = 97 Daily Journal </w:t>
      </w:r>
      <w:r w:rsidRPr="000757EC">
        <w:rPr>
          <w:lang w:val="en-US"/>
        </w:rPr>
        <w:t>DAR 8150</w:t>
      </w:r>
      <w:r w:rsidRPr="006E67FE">
        <w:rPr>
          <w:lang w:val="en-US"/>
        </w:rPr>
        <w:t xml:space="preserve"> = 11 Fla. L. Weekly </w:t>
      </w:r>
      <w:r w:rsidRPr="000757EC">
        <w:rPr>
          <w:lang w:val="en-US"/>
        </w:rPr>
        <w:t>Fed. S 190 (1997)</w:t>
      </w:r>
      <w:r>
        <w:rPr>
          <w:lang w:val="en-US"/>
        </w:rPr>
        <w:t>.</w:t>
      </w:r>
    </w:p>
  </w:footnote>
  <w:footnote w:id="1359">
    <w:p w14:paraId="793B22BB" w14:textId="77777777" w:rsidR="00074551" w:rsidRPr="00EC395B" w:rsidRDefault="00074551" w:rsidP="00074551">
      <w:pPr>
        <w:pStyle w:val="Funotentext"/>
        <w:jc w:val="both"/>
        <w:rPr>
          <w:lang w:val="en-US"/>
        </w:rPr>
      </w:pPr>
      <w:r>
        <w:rPr>
          <w:rStyle w:val="Funotenzeichen"/>
          <w:rFonts w:eastAsiaTheme="majorEastAsia"/>
        </w:rPr>
        <w:footnoteRef/>
      </w:r>
      <w:r w:rsidRPr="00615C70">
        <w:rPr>
          <w:lang w:val="en-US"/>
        </w:rPr>
        <w:t xml:space="preserve"> </w:t>
      </w:r>
      <w:proofErr w:type="spellStart"/>
      <w:r>
        <w:rPr>
          <w:lang w:val="en-US"/>
        </w:rPr>
        <w:t>Siehe</w:t>
      </w:r>
      <w:proofErr w:type="spellEnd"/>
      <w:r>
        <w:rPr>
          <w:lang w:val="en-US"/>
        </w:rPr>
        <w:t xml:space="preserve"> </w:t>
      </w:r>
      <w:proofErr w:type="spellStart"/>
      <w:r>
        <w:rPr>
          <w:lang w:val="en-US"/>
        </w:rPr>
        <w:t>z.B.</w:t>
      </w:r>
      <w:proofErr w:type="spellEnd"/>
      <w:r w:rsidRPr="00615C70">
        <w:rPr>
          <w:lang w:val="en-US"/>
        </w:rPr>
        <w:t xml:space="preserve"> </w:t>
      </w:r>
      <w:proofErr w:type="spellStart"/>
      <w:r w:rsidRPr="00584023">
        <w:rPr>
          <w:i/>
          <w:lang w:val="en-US"/>
        </w:rPr>
        <w:t>Bartemeyer</w:t>
      </w:r>
      <w:proofErr w:type="spellEnd"/>
      <w:r w:rsidRPr="00584023">
        <w:rPr>
          <w:i/>
          <w:lang w:val="en-US"/>
        </w:rPr>
        <w:t xml:space="preserve"> v. Iowa</w:t>
      </w:r>
      <w:r w:rsidRPr="003B741A">
        <w:rPr>
          <w:lang w:val="en-US"/>
        </w:rPr>
        <w:t xml:space="preserve"> = 18 Wall. </w:t>
      </w:r>
      <w:r w:rsidRPr="00615C70">
        <w:rPr>
          <w:lang w:val="en-US"/>
        </w:rPr>
        <w:t>129, 133</w:t>
      </w:r>
      <w:r>
        <w:rPr>
          <w:lang w:val="en-US"/>
        </w:rPr>
        <w:t>–</w:t>
      </w:r>
      <w:r w:rsidRPr="00615C70">
        <w:rPr>
          <w:lang w:val="en-US"/>
        </w:rPr>
        <w:t xml:space="preserve">135 (1874); </w:t>
      </w:r>
      <w:r w:rsidRPr="009572B5">
        <w:rPr>
          <w:i/>
          <w:lang w:val="en-US"/>
        </w:rPr>
        <w:t>Munn v. Illinois</w:t>
      </w:r>
      <w:r w:rsidRPr="00615C70">
        <w:rPr>
          <w:lang w:val="en-US"/>
        </w:rPr>
        <w:t>, 94 U.S. 113, 123</w:t>
      </w:r>
      <w:r>
        <w:rPr>
          <w:lang w:val="en-US"/>
        </w:rPr>
        <w:t>–</w:t>
      </w:r>
      <w:r w:rsidRPr="00615C70">
        <w:rPr>
          <w:lang w:val="en-US"/>
        </w:rPr>
        <w:t xml:space="preserve">135 (1877); </w:t>
      </w:r>
      <w:r w:rsidRPr="00B45592">
        <w:rPr>
          <w:i/>
          <w:lang w:val="en-US"/>
        </w:rPr>
        <w:t>Railroad Comm’n Cases</w:t>
      </w:r>
      <w:r w:rsidRPr="00615C70">
        <w:rPr>
          <w:lang w:val="en-US"/>
        </w:rPr>
        <w:t xml:space="preserve">, 116 U.S. 307, 331 (1886); </w:t>
      </w:r>
      <w:r w:rsidRPr="00B45592">
        <w:rPr>
          <w:i/>
          <w:lang w:val="en-US"/>
        </w:rPr>
        <w:t>Mugler v. Kansas</w:t>
      </w:r>
      <w:r w:rsidRPr="00615C70">
        <w:rPr>
          <w:lang w:val="en-US"/>
        </w:rPr>
        <w:t>, 123 U.S. 623, 659</w:t>
      </w:r>
      <w:r>
        <w:rPr>
          <w:lang w:val="en-US"/>
        </w:rPr>
        <w:t>–</w:t>
      </w:r>
      <w:r w:rsidRPr="00615C70">
        <w:rPr>
          <w:lang w:val="en-US"/>
        </w:rPr>
        <w:t>670 (1887)</w:t>
      </w:r>
      <w:r>
        <w:rPr>
          <w:lang w:val="en-US"/>
        </w:rPr>
        <w:t xml:space="preserve">; </w:t>
      </w:r>
      <w:proofErr w:type="spellStart"/>
      <w:r>
        <w:rPr>
          <w:lang w:val="en-US"/>
        </w:rPr>
        <w:t>vgl</w:t>
      </w:r>
      <w:proofErr w:type="spellEnd"/>
      <w:r>
        <w:rPr>
          <w:lang w:val="en-US"/>
        </w:rPr>
        <w:t xml:space="preserve">. </w:t>
      </w:r>
      <w:r w:rsidRPr="009167A5">
        <w:rPr>
          <w:i/>
          <w:lang w:val="en-US"/>
        </w:rPr>
        <w:t>Wash. v. Glucksberg</w:t>
      </w:r>
      <w:r w:rsidRPr="00615C70">
        <w:rPr>
          <w:lang w:val="en-US"/>
        </w:rPr>
        <w:t>, 521 U.S. 702, 759</w:t>
      </w:r>
      <w:r>
        <w:rPr>
          <w:lang w:val="en-US"/>
        </w:rPr>
        <w:t>–</w:t>
      </w:r>
      <w:r w:rsidRPr="00615C70">
        <w:rPr>
          <w:lang w:val="en-US"/>
        </w:rPr>
        <w:t>760</w:t>
      </w:r>
      <w:r w:rsidRPr="006E67FE">
        <w:rPr>
          <w:lang w:val="en-US"/>
        </w:rPr>
        <w:t xml:space="preserve"> = 117 S. Ct. </w:t>
      </w:r>
      <w:r w:rsidRPr="00615C70">
        <w:rPr>
          <w:lang w:val="en-US"/>
        </w:rPr>
        <w:t>2258, 2279, 2279</w:t>
      </w:r>
      <w:r w:rsidRPr="006E67FE">
        <w:rPr>
          <w:lang w:val="en-US"/>
        </w:rPr>
        <w:t xml:space="preserve"> = 117 S. Ct. </w:t>
      </w:r>
      <w:r w:rsidRPr="00615C70">
        <w:rPr>
          <w:lang w:val="en-US"/>
        </w:rPr>
        <w:t>2302</w:t>
      </w:r>
      <w:r w:rsidRPr="006E67FE">
        <w:rPr>
          <w:lang w:val="en-US"/>
        </w:rPr>
        <w:t xml:space="preserve"> = 138 L. Ed. </w:t>
      </w:r>
      <w:r w:rsidRPr="00615C70">
        <w:rPr>
          <w:lang w:val="en-US"/>
        </w:rPr>
        <w:t>2d 772, 812</w:t>
      </w:r>
      <w:r w:rsidRPr="006E67FE">
        <w:rPr>
          <w:lang w:val="en-US"/>
        </w:rPr>
        <w:t xml:space="preserve"> = 1997 U.S. LEXIS </w:t>
      </w:r>
      <w:r w:rsidRPr="00615C70">
        <w:rPr>
          <w:lang w:val="en-US"/>
        </w:rPr>
        <w:t>4039, 96</w:t>
      </w:r>
      <w:r>
        <w:rPr>
          <w:lang w:val="en-US"/>
        </w:rPr>
        <w:t>–</w:t>
      </w:r>
      <w:r w:rsidRPr="00615C70">
        <w:rPr>
          <w:lang w:val="en-US"/>
        </w:rPr>
        <w:t>97</w:t>
      </w:r>
      <w:r w:rsidRPr="006E67FE">
        <w:rPr>
          <w:lang w:val="en-US"/>
        </w:rPr>
        <w:t xml:space="preserve"> = 65 U.S.L.W. </w:t>
      </w:r>
      <w:r w:rsidRPr="00615C70">
        <w:rPr>
          <w:lang w:val="en-US"/>
        </w:rPr>
        <w:t>4669</w:t>
      </w:r>
      <w:r w:rsidRPr="006E67FE">
        <w:rPr>
          <w:lang w:val="en-US"/>
        </w:rPr>
        <w:t xml:space="preserve"> = 97 Cal. Daily Op. </w:t>
      </w:r>
      <w:r w:rsidRPr="00615C70">
        <w:rPr>
          <w:lang w:val="en-US"/>
        </w:rPr>
        <w:t>Service 5008</w:t>
      </w:r>
      <w:r w:rsidRPr="006E67FE">
        <w:rPr>
          <w:lang w:val="en-US"/>
        </w:rPr>
        <w:t xml:space="preserve"> = 97 Daily Journal </w:t>
      </w:r>
      <w:r w:rsidRPr="00615C70">
        <w:rPr>
          <w:lang w:val="en-US"/>
        </w:rPr>
        <w:t>DAR 8150</w:t>
      </w:r>
      <w:r w:rsidRPr="006E67FE">
        <w:rPr>
          <w:lang w:val="en-US"/>
        </w:rPr>
        <w:t xml:space="preserve"> = 11 Fla. L. Weekly </w:t>
      </w:r>
      <w:r w:rsidRPr="00615C70">
        <w:rPr>
          <w:lang w:val="en-US"/>
        </w:rPr>
        <w:t>Fed. S 190 (1997)</w:t>
      </w:r>
      <w:r w:rsidRPr="00EC395B">
        <w:rPr>
          <w:lang w:val="en-US"/>
        </w:rPr>
        <w:t>.</w:t>
      </w:r>
    </w:p>
  </w:footnote>
  <w:footnote w:id="1360">
    <w:p w14:paraId="6CB05964" w14:textId="77777777" w:rsidR="00074551" w:rsidRPr="00EC395B" w:rsidRDefault="00074551" w:rsidP="00074551">
      <w:pPr>
        <w:pStyle w:val="Funotentext"/>
        <w:rPr>
          <w:lang w:val="en-US"/>
        </w:rPr>
      </w:pPr>
      <w:r>
        <w:rPr>
          <w:rStyle w:val="Funotenzeichen"/>
          <w:rFonts w:eastAsiaTheme="majorEastAsia"/>
        </w:rPr>
        <w:footnoteRef/>
      </w:r>
      <w:r w:rsidRPr="00EC395B">
        <w:rPr>
          <w:lang w:val="en-US"/>
        </w:rPr>
        <w:t xml:space="preserve"> </w:t>
      </w:r>
      <w:r w:rsidRPr="004F13B1">
        <w:rPr>
          <w:i/>
          <w:lang w:val="en-US"/>
        </w:rPr>
        <w:t>Allgeyer v. Louisiana</w:t>
      </w:r>
      <w:r w:rsidRPr="00EC395B">
        <w:rPr>
          <w:lang w:val="en-US"/>
        </w:rPr>
        <w:t>, 165 U.S. 578 (1897)</w:t>
      </w:r>
      <w:r>
        <w:rPr>
          <w:lang w:val="en-US"/>
        </w:rPr>
        <w:t>.</w:t>
      </w:r>
    </w:p>
  </w:footnote>
  <w:footnote w:id="1361">
    <w:p w14:paraId="44623C1A" w14:textId="77777777" w:rsidR="00074551" w:rsidRPr="00EC57FF" w:rsidRDefault="00074551" w:rsidP="00074551">
      <w:pPr>
        <w:pStyle w:val="Funotentext"/>
        <w:rPr>
          <w:lang w:val="en-US"/>
        </w:rPr>
      </w:pPr>
      <w:r>
        <w:rPr>
          <w:rStyle w:val="Funotenzeichen"/>
          <w:rFonts w:eastAsiaTheme="majorEastAsia"/>
        </w:rPr>
        <w:footnoteRef/>
      </w:r>
      <w:r w:rsidRPr="00EC57FF">
        <w:rPr>
          <w:lang w:val="en-US"/>
        </w:rPr>
        <w:t xml:space="preserve"> </w:t>
      </w:r>
      <w:r w:rsidRPr="004F13B1">
        <w:rPr>
          <w:i/>
          <w:lang w:val="en-US"/>
        </w:rPr>
        <w:t>Allgeyer v. Louisiana</w:t>
      </w:r>
      <w:r w:rsidRPr="00EC395B">
        <w:rPr>
          <w:lang w:val="en-US"/>
        </w:rPr>
        <w:t>, 165 U.S. 578</w:t>
      </w:r>
      <w:r>
        <w:rPr>
          <w:lang w:val="en-US"/>
        </w:rPr>
        <w:t>, 588–593</w:t>
      </w:r>
      <w:r w:rsidRPr="00EC395B">
        <w:rPr>
          <w:lang w:val="en-US"/>
        </w:rPr>
        <w:t xml:space="preserve"> (1897); </w:t>
      </w:r>
      <w:r w:rsidRPr="009167A5">
        <w:rPr>
          <w:i/>
          <w:lang w:val="en-US"/>
        </w:rPr>
        <w:t>Wash. v. Glucksberg</w:t>
      </w:r>
      <w:r w:rsidRPr="00EC395B">
        <w:rPr>
          <w:lang w:val="en-US"/>
        </w:rPr>
        <w:t>, 521 U.S. 702, 760</w:t>
      </w:r>
      <w:r w:rsidRPr="006E67FE">
        <w:rPr>
          <w:lang w:val="en-US"/>
        </w:rPr>
        <w:t xml:space="preserve"> = 117 S. Ct. </w:t>
      </w:r>
      <w:r w:rsidRPr="00EC395B">
        <w:rPr>
          <w:lang w:val="en-US"/>
        </w:rPr>
        <w:t>2258, 2279, 2279</w:t>
      </w:r>
      <w:r w:rsidRPr="006E67FE">
        <w:rPr>
          <w:lang w:val="en-US"/>
        </w:rPr>
        <w:t xml:space="preserve"> = 117 S. Ct. </w:t>
      </w:r>
      <w:r w:rsidRPr="00EC395B">
        <w:rPr>
          <w:lang w:val="en-US"/>
        </w:rPr>
        <w:t>2302</w:t>
      </w:r>
      <w:r w:rsidRPr="006E67FE">
        <w:rPr>
          <w:lang w:val="en-US"/>
        </w:rPr>
        <w:t xml:space="preserve"> = 138 L. Ed. </w:t>
      </w:r>
      <w:r w:rsidRPr="00EC395B">
        <w:rPr>
          <w:lang w:val="en-US"/>
        </w:rPr>
        <w:t>2d 772, 812</w:t>
      </w:r>
      <w:r w:rsidRPr="006E67FE">
        <w:rPr>
          <w:lang w:val="en-US"/>
        </w:rPr>
        <w:t xml:space="preserve"> = 1997 U.S. LEXIS </w:t>
      </w:r>
      <w:r w:rsidRPr="00EC395B">
        <w:rPr>
          <w:lang w:val="en-US"/>
        </w:rPr>
        <w:t>4039, 98</w:t>
      </w:r>
      <w:r w:rsidRPr="006E67FE">
        <w:rPr>
          <w:lang w:val="en-US"/>
        </w:rPr>
        <w:t xml:space="preserve"> = 65 U.S.L.W. </w:t>
      </w:r>
      <w:r w:rsidRPr="00EC395B">
        <w:rPr>
          <w:lang w:val="en-US"/>
        </w:rPr>
        <w:t>4669</w:t>
      </w:r>
      <w:r w:rsidRPr="006E67FE">
        <w:rPr>
          <w:lang w:val="en-US"/>
        </w:rPr>
        <w:t xml:space="preserve"> = 97 Cal. Daily Op. </w:t>
      </w:r>
      <w:r w:rsidRPr="00EC395B">
        <w:rPr>
          <w:lang w:val="en-US"/>
        </w:rPr>
        <w:t>Service 5008</w:t>
      </w:r>
      <w:r w:rsidRPr="006E67FE">
        <w:rPr>
          <w:lang w:val="en-US"/>
        </w:rPr>
        <w:t xml:space="preserve"> = 97 Daily Journal </w:t>
      </w:r>
      <w:r w:rsidRPr="00EC395B">
        <w:rPr>
          <w:lang w:val="en-US"/>
        </w:rPr>
        <w:t>DAR 8150</w:t>
      </w:r>
      <w:r w:rsidRPr="006E67FE">
        <w:rPr>
          <w:lang w:val="en-US"/>
        </w:rPr>
        <w:t xml:space="preserve"> = 11 Fla. L. Weekly </w:t>
      </w:r>
      <w:r w:rsidRPr="00EC395B">
        <w:rPr>
          <w:lang w:val="en-US"/>
        </w:rPr>
        <w:t xml:space="preserve">Fed. </w:t>
      </w:r>
      <w:r w:rsidRPr="00901083">
        <w:rPr>
          <w:lang w:val="en-US"/>
        </w:rPr>
        <w:t>S 190 (1997).</w:t>
      </w:r>
    </w:p>
  </w:footnote>
  <w:footnote w:id="1362">
    <w:p w14:paraId="07A88525" w14:textId="77777777" w:rsidR="00074551" w:rsidRPr="00EC57FF" w:rsidRDefault="00074551" w:rsidP="00074551">
      <w:pPr>
        <w:pStyle w:val="Funotentext"/>
        <w:rPr>
          <w:lang w:val="en-US"/>
        </w:rPr>
      </w:pPr>
      <w:r>
        <w:rPr>
          <w:rStyle w:val="Funotenzeichen"/>
          <w:rFonts w:eastAsiaTheme="majorEastAsia"/>
        </w:rPr>
        <w:footnoteRef/>
      </w:r>
      <w:r w:rsidRPr="00EC395B">
        <w:rPr>
          <w:lang w:val="en-US"/>
        </w:rPr>
        <w:t xml:space="preserve"> </w:t>
      </w:r>
      <w:r w:rsidRPr="004F13B1">
        <w:rPr>
          <w:i/>
          <w:lang w:val="en-US"/>
        </w:rPr>
        <w:t>Allgeyer v. Louisiana</w:t>
      </w:r>
      <w:r w:rsidRPr="00EC395B">
        <w:rPr>
          <w:lang w:val="en-US"/>
        </w:rPr>
        <w:t>, 165 U.S. 578</w:t>
      </w:r>
      <w:r>
        <w:rPr>
          <w:lang w:val="en-US"/>
        </w:rPr>
        <w:t>, 588-593</w:t>
      </w:r>
      <w:r w:rsidRPr="00EC395B">
        <w:rPr>
          <w:lang w:val="en-US"/>
        </w:rPr>
        <w:t xml:space="preserve"> (1897); </w:t>
      </w:r>
      <w:r w:rsidRPr="009167A5">
        <w:rPr>
          <w:i/>
          <w:lang w:val="en-US"/>
        </w:rPr>
        <w:t>Wash. v. Glucksberg</w:t>
      </w:r>
      <w:r w:rsidRPr="00EC395B">
        <w:rPr>
          <w:lang w:val="en-US"/>
        </w:rPr>
        <w:t>, 521 U.S. 702, 760</w:t>
      </w:r>
      <w:r w:rsidRPr="006E67FE">
        <w:rPr>
          <w:lang w:val="en-US"/>
        </w:rPr>
        <w:t xml:space="preserve"> = 117 S. Ct. </w:t>
      </w:r>
      <w:r w:rsidRPr="00EC395B">
        <w:rPr>
          <w:lang w:val="en-US"/>
        </w:rPr>
        <w:t>2258, 2279, 2279</w:t>
      </w:r>
      <w:r w:rsidRPr="006E67FE">
        <w:rPr>
          <w:lang w:val="en-US"/>
        </w:rPr>
        <w:t xml:space="preserve"> = 117 S. Ct. </w:t>
      </w:r>
      <w:r w:rsidRPr="00EC395B">
        <w:rPr>
          <w:lang w:val="en-US"/>
        </w:rPr>
        <w:t>2302</w:t>
      </w:r>
      <w:r w:rsidRPr="006E67FE">
        <w:rPr>
          <w:lang w:val="en-US"/>
        </w:rPr>
        <w:t xml:space="preserve"> = 138 L. Ed. </w:t>
      </w:r>
      <w:r w:rsidRPr="00EC395B">
        <w:rPr>
          <w:lang w:val="en-US"/>
        </w:rPr>
        <w:t>2d 772, 812</w:t>
      </w:r>
      <w:r w:rsidRPr="006E67FE">
        <w:rPr>
          <w:lang w:val="en-US"/>
        </w:rPr>
        <w:t xml:space="preserve"> = 1997 U.S. LEXIS </w:t>
      </w:r>
      <w:r w:rsidRPr="00EC395B">
        <w:rPr>
          <w:lang w:val="en-US"/>
        </w:rPr>
        <w:t>4039, 98</w:t>
      </w:r>
      <w:r w:rsidRPr="006E67FE">
        <w:rPr>
          <w:lang w:val="en-US"/>
        </w:rPr>
        <w:t xml:space="preserve"> = 65 U.S.L.W. </w:t>
      </w:r>
      <w:r w:rsidRPr="00EC395B">
        <w:rPr>
          <w:lang w:val="en-US"/>
        </w:rPr>
        <w:t>4669</w:t>
      </w:r>
      <w:r w:rsidRPr="006E67FE">
        <w:rPr>
          <w:lang w:val="en-US"/>
        </w:rPr>
        <w:t xml:space="preserve"> = 97 Cal. Daily Op. </w:t>
      </w:r>
      <w:r w:rsidRPr="00EC395B">
        <w:rPr>
          <w:lang w:val="en-US"/>
        </w:rPr>
        <w:t>Service 5008</w:t>
      </w:r>
      <w:r w:rsidRPr="006E67FE">
        <w:rPr>
          <w:lang w:val="en-US"/>
        </w:rPr>
        <w:t xml:space="preserve"> = 97 Daily Journal </w:t>
      </w:r>
      <w:r w:rsidRPr="00EC395B">
        <w:rPr>
          <w:lang w:val="en-US"/>
        </w:rPr>
        <w:t>DAR 8150</w:t>
      </w:r>
      <w:r w:rsidRPr="006E67FE">
        <w:rPr>
          <w:lang w:val="en-US"/>
        </w:rPr>
        <w:t xml:space="preserve"> = 11 Fla. L. Weekly </w:t>
      </w:r>
      <w:r w:rsidRPr="00EC395B">
        <w:rPr>
          <w:lang w:val="en-US"/>
        </w:rPr>
        <w:t xml:space="preserve">Fed. </w:t>
      </w:r>
      <w:r w:rsidRPr="00EC57FF">
        <w:rPr>
          <w:lang w:val="en-US"/>
        </w:rPr>
        <w:t>S 190 (1997)</w:t>
      </w:r>
      <w:r>
        <w:rPr>
          <w:lang w:val="en-US"/>
        </w:rPr>
        <w:t>.</w:t>
      </w:r>
    </w:p>
  </w:footnote>
  <w:footnote w:id="1363">
    <w:p w14:paraId="67088BCB" w14:textId="77777777" w:rsidR="00074551" w:rsidRPr="00EC57FF" w:rsidRDefault="00074551" w:rsidP="00074551">
      <w:pPr>
        <w:pStyle w:val="Funotentext"/>
        <w:rPr>
          <w:lang w:val="en-US"/>
        </w:rPr>
      </w:pPr>
      <w:r>
        <w:rPr>
          <w:rStyle w:val="Funotenzeichen"/>
          <w:rFonts w:eastAsiaTheme="majorEastAsia"/>
        </w:rPr>
        <w:footnoteRef/>
      </w:r>
      <w:r w:rsidRPr="00EC395B">
        <w:rPr>
          <w:lang w:val="en-US"/>
        </w:rPr>
        <w:t xml:space="preserve"> </w:t>
      </w:r>
      <w:r w:rsidRPr="004F13B1">
        <w:rPr>
          <w:i/>
          <w:lang w:val="en-US"/>
        </w:rPr>
        <w:t>Allgeyer v. Louisiana</w:t>
      </w:r>
      <w:r w:rsidRPr="00EC395B">
        <w:rPr>
          <w:lang w:val="en-US"/>
        </w:rPr>
        <w:t>, 165 U.S. 578</w:t>
      </w:r>
      <w:r>
        <w:rPr>
          <w:lang w:val="en-US"/>
        </w:rPr>
        <w:t>, 588-593</w:t>
      </w:r>
      <w:r w:rsidRPr="00EC395B">
        <w:rPr>
          <w:lang w:val="en-US"/>
        </w:rPr>
        <w:t xml:space="preserve"> (1897); </w:t>
      </w:r>
      <w:r w:rsidRPr="009167A5">
        <w:rPr>
          <w:i/>
          <w:lang w:val="en-US"/>
        </w:rPr>
        <w:t>Wash. v. Glucksberg</w:t>
      </w:r>
      <w:r w:rsidRPr="00EC395B">
        <w:rPr>
          <w:lang w:val="en-US"/>
        </w:rPr>
        <w:t>, 521 U.S. 702, 760</w:t>
      </w:r>
      <w:r w:rsidRPr="006E67FE">
        <w:rPr>
          <w:lang w:val="en-US"/>
        </w:rPr>
        <w:t xml:space="preserve"> = 117 S. Ct. </w:t>
      </w:r>
      <w:r w:rsidRPr="00EC395B">
        <w:rPr>
          <w:lang w:val="en-US"/>
        </w:rPr>
        <w:t>2258, 2279, 2279</w:t>
      </w:r>
      <w:r w:rsidRPr="006E67FE">
        <w:rPr>
          <w:lang w:val="en-US"/>
        </w:rPr>
        <w:t xml:space="preserve"> = 117 S. Ct. </w:t>
      </w:r>
      <w:r w:rsidRPr="00EC395B">
        <w:rPr>
          <w:lang w:val="en-US"/>
        </w:rPr>
        <w:t>2302</w:t>
      </w:r>
      <w:r w:rsidRPr="006E67FE">
        <w:rPr>
          <w:lang w:val="en-US"/>
        </w:rPr>
        <w:t xml:space="preserve"> = 138 L. Ed. </w:t>
      </w:r>
      <w:r w:rsidRPr="00EC395B">
        <w:rPr>
          <w:lang w:val="en-US"/>
        </w:rPr>
        <w:t>2d 772, 812</w:t>
      </w:r>
      <w:r w:rsidRPr="006E67FE">
        <w:rPr>
          <w:lang w:val="en-US"/>
        </w:rPr>
        <w:t xml:space="preserve"> = 1997 U.S. LEXIS </w:t>
      </w:r>
      <w:r w:rsidRPr="00EC395B">
        <w:rPr>
          <w:lang w:val="en-US"/>
        </w:rPr>
        <w:t>4039, 98</w:t>
      </w:r>
      <w:r w:rsidRPr="006E67FE">
        <w:rPr>
          <w:lang w:val="en-US"/>
        </w:rPr>
        <w:t xml:space="preserve"> = 65 U.S.L.W. </w:t>
      </w:r>
      <w:r w:rsidRPr="00EC395B">
        <w:rPr>
          <w:lang w:val="en-US"/>
        </w:rPr>
        <w:t>4669</w:t>
      </w:r>
      <w:r w:rsidRPr="006E67FE">
        <w:rPr>
          <w:lang w:val="en-US"/>
        </w:rPr>
        <w:t xml:space="preserve"> = 97 Cal. Daily Op. </w:t>
      </w:r>
      <w:r w:rsidRPr="00EC395B">
        <w:rPr>
          <w:lang w:val="en-US"/>
        </w:rPr>
        <w:t>Service 5008</w:t>
      </w:r>
      <w:r w:rsidRPr="006E67FE">
        <w:rPr>
          <w:lang w:val="en-US"/>
        </w:rPr>
        <w:t xml:space="preserve"> = 97 Daily Journal </w:t>
      </w:r>
      <w:r w:rsidRPr="00EC395B">
        <w:rPr>
          <w:lang w:val="en-US"/>
        </w:rPr>
        <w:t>DAR 8150</w:t>
      </w:r>
      <w:r w:rsidRPr="006E67FE">
        <w:rPr>
          <w:lang w:val="en-US"/>
        </w:rPr>
        <w:t xml:space="preserve"> = 11 Fla. L. Weekly </w:t>
      </w:r>
      <w:r w:rsidRPr="00EC395B">
        <w:rPr>
          <w:lang w:val="en-US"/>
        </w:rPr>
        <w:t xml:space="preserve">Fed. </w:t>
      </w:r>
      <w:r w:rsidRPr="00EC57FF">
        <w:rPr>
          <w:lang w:val="en-US"/>
        </w:rPr>
        <w:t>S 190 (1997)</w:t>
      </w:r>
    </w:p>
  </w:footnote>
  <w:footnote w:id="1364">
    <w:p w14:paraId="4DE7E328" w14:textId="77777777" w:rsidR="00074551" w:rsidRPr="00EC57FF" w:rsidRDefault="00074551" w:rsidP="00074551">
      <w:pPr>
        <w:pStyle w:val="Funotentext"/>
        <w:rPr>
          <w:lang w:val="en-US"/>
        </w:rPr>
      </w:pPr>
      <w:r>
        <w:rPr>
          <w:rStyle w:val="Funotenzeichen"/>
          <w:rFonts w:eastAsiaTheme="majorEastAsia"/>
        </w:rPr>
        <w:footnoteRef/>
      </w:r>
      <w:r w:rsidRPr="00EC57FF">
        <w:rPr>
          <w:lang w:val="en-US"/>
        </w:rPr>
        <w:t xml:space="preserve"> </w:t>
      </w:r>
      <w:r>
        <w:rPr>
          <w:lang w:val="en-US"/>
        </w:rPr>
        <w:t>„[T]</w:t>
      </w:r>
      <w:r w:rsidRPr="00EC57FF">
        <w:rPr>
          <w:lang w:val="en-US"/>
        </w:rPr>
        <w:t>he right of the citizen to be free in the enjoyment of all his faculties; to be free to use them in all lawful ways; to live and work where he will; to earn his livelihood by any lawful calling; to pursue any livelihood or avocation; and for that purpose to enter into all contracts which may be proper, necessary and essential to his carrying out to a successful conclusion the purposes above mentioned</w:t>
      </w:r>
      <w:r>
        <w:rPr>
          <w:lang w:val="en-US"/>
        </w:rPr>
        <w:t xml:space="preserve">“, </w:t>
      </w:r>
      <w:r w:rsidRPr="009167A5">
        <w:rPr>
          <w:i/>
          <w:lang w:val="en-US"/>
        </w:rPr>
        <w:t>Wash. v. Glucksberg</w:t>
      </w:r>
      <w:r w:rsidRPr="00EC57FF">
        <w:rPr>
          <w:lang w:val="en-US"/>
        </w:rPr>
        <w:t>, 521 U.S. 702, 760</w:t>
      </w:r>
      <w:r w:rsidRPr="006E67FE">
        <w:rPr>
          <w:lang w:val="en-US"/>
        </w:rPr>
        <w:t xml:space="preserve"> = 117 S. Ct. </w:t>
      </w:r>
      <w:r w:rsidRPr="00EC57FF">
        <w:rPr>
          <w:lang w:val="en-US"/>
        </w:rPr>
        <w:t>2258, 2279, 2279</w:t>
      </w:r>
      <w:r w:rsidRPr="006E67FE">
        <w:rPr>
          <w:lang w:val="en-US"/>
        </w:rPr>
        <w:t xml:space="preserve"> = 117 S. Ct. </w:t>
      </w:r>
      <w:r w:rsidRPr="00EC57FF">
        <w:rPr>
          <w:lang w:val="en-US"/>
        </w:rPr>
        <w:t>2302</w:t>
      </w:r>
      <w:r w:rsidRPr="006E67FE">
        <w:rPr>
          <w:lang w:val="en-US"/>
        </w:rPr>
        <w:t xml:space="preserve"> = 138 L. Ed. </w:t>
      </w:r>
      <w:r w:rsidRPr="00EC57FF">
        <w:rPr>
          <w:lang w:val="en-US"/>
        </w:rPr>
        <w:t>2d 772, 813</w:t>
      </w:r>
      <w:r w:rsidRPr="006E67FE">
        <w:rPr>
          <w:lang w:val="en-US"/>
        </w:rPr>
        <w:t xml:space="preserve"> = 1997 U.S. LEXIS </w:t>
      </w:r>
      <w:r w:rsidRPr="00EC57FF">
        <w:rPr>
          <w:lang w:val="en-US"/>
        </w:rPr>
        <w:t>4039, 98</w:t>
      </w:r>
      <w:r w:rsidRPr="006E67FE">
        <w:rPr>
          <w:lang w:val="en-US"/>
        </w:rPr>
        <w:t xml:space="preserve"> = 65 U.S.L.W. </w:t>
      </w:r>
      <w:r w:rsidRPr="00EC57FF">
        <w:rPr>
          <w:lang w:val="en-US"/>
        </w:rPr>
        <w:t>4669</w:t>
      </w:r>
      <w:r w:rsidRPr="006E67FE">
        <w:rPr>
          <w:lang w:val="en-US"/>
        </w:rPr>
        <w:t xml:space="preserve"> = 97 Cal. Daily Op. </w:t>
      </w:r>
      <w:r w:rsidRPr="00EC57FF">
        <w:rPr>
          <w:lang w:val="en-US"/>
        </w:rPr>
        <w:t>Service 5008</w:t>
      </w:r>
      <w:r w:rsidRPr="006E67FE">
        <w:rPr>
          <w:lang w:val="en-US"/>
        </w:rPr>
        <w:t xml:space="preserve"> = 97 Daily Journal </w:t>
      </w:r>
      <w:r w:rsidRPr="00EC57FF">
        <w:rPr>
          <w:lang w:val="en-US"/>
        </w:rPr>
        <w:t>DAR 8150</w:t>
      </w:r>
      <w:r w:rsidRPr="006E67FE">
        <w:rPr>
          <w:lang w:val="en-US"/>
        </w:rPr>
        <w:t xml:space="preserve"> = 11 Fla. L. Weekly </w:t>
      </w:r>
      <w:r w:rsidRPr="00EC57FF">
        <w:rPr>
          <w:lang w:val="en-US"/>
        </w:rPr>
        <w:t>Fed. S 190 (1997)</w:t>
      </w:r>
      <w:r>
        <w:rPr>
          <w:lang w:val="en-US"/>
        </w:rPr>
        <w:t>.</w:t>
      </w:r>
    </w:p>
  </w:footnote>
  <w:footnote w:id="1365">
    <w:p w14:paraId="54024B66" w14:textId="77777777" w:rsidR="00074551" w:rsidRPr="002E0DF2" w:rsidRDefault="00074551" w:rsidP="00074551">
      <w:pPr>
        <w:pStyle w:val="Funotentext"/>
        <w:rPr>
          <w:lang w:val="en-US"/>
        </w:rPr>
      </w:pPr>
      <w:r>
        <w:rPr>
          <w:rStyle w:val="Funotenzeichen"/>
          <w:rFonts w:eastAsiaTheme="majorEastAsia"/>
        </w:rPr>
        <w:footnoteRef/>
      </w:r>
      <w:r w:rsidRPr="002E0DF2">
        <w:rPr>
          <w:lang w:val="en-US"/>
        </w:rPr>
        <w:t xml:space="preserve"> </w:t>
      </w:r>
      <w:r w:rsidRPr="007120F7">
        <w:rPr>
          <w:i/>
          <w:lang w:val="en-IE"/>
        </w:rPr>
        <w:t>Allgeyer v. Louisiana</w:t>
      </w:r>
      <w:r w:rsidRPr="007120F7">
        <w:rPr>
          <w:lang w:val="en-IE"/>
        </w:rPr>
        <w:t>, 165 U.S. 578, 590</w:t>
      </w:r>
      <w:r w:rsidRPr="007120F7">
        <w:rPr>
          <w:rFonts w:eastAsiaTheme="majorEastAsia"/>
          <w:lang w:val="en-IE"/>
        </w:rPr>
        <w:t xml:space="preserve"> =</w:t>
      </w:r>
      <w:r w:rsidRPr="007120F7">
        <w:rPr>
          <w:lang w:val="en-IE"/>
        </w:rPr>
        <w:t xml:space="preserve"> 17 S. Ct. 427, 432</w:t>
      </w:r>
      <w:r w:rsidRPr="007120F7">
        <w:rPr>
          <w:rFonts w:eastAsiaTheme="majorEastAsia"/>
          <w:lang w:val="en-IE"/>
        </w:rPr>
        <w:t xml:space="preserve"> =</w:t>
      </w:r>
      <w:r w:rsidRPr="007120F7">
        <w:rPr>
          <w:lang w:val="en-IE"/>
        </w:rPr>
        <w:t xml:space="preserve"> 41 L. Ed. 832, 836</w:t>
      </w:r>
      <w:r w:rsidRPr="007120F7">
        <w:rPr>
          <w:rFonts w:eastAsiaTheme="majorEastAsia"/>
          <w:lang w:val="en-IE"/>
        </w:rPr>
        <w:t xml:space="preserve"> =</w:t>
      </w:r>
      <w:r w:rsidRPr="007120F7">
        <w:rPr>
          <w:lang w:val="en-IE"/>
        </w:rPr>
        <w:t xml:space="preserve"> 1897 U.S. LEXIS 1998, 22</w:t>
      </w:r>
      <w:r w:rsidRPr="007120F7">
        <w:rPr>
          <w:rFonts w:eastAsiaTheme="majorEastAsia"/>
          <w:lang w:val="en-IE"/>
        </w:rPr>
        <w:t>–</w:t>
      </w:r>
      <w:r w:rsidRPr="007120F7">
        <w:rPr>
          <w:lang w:val="en-IE"/>
        </w:rPr>
        <w:t>23 (1897)</w:t>
      </w:r>
      <w:r>
        <w:rPr>
          <w:lang w:val="en-IE"/>
        </w:rPr>
        <w:t>.</w:t>
      </w:r>
    </w:p>
  </w:footnote>
  <w:footnote w:id="1366">
    <w:p w14:paraId="77136809" w14:textId="39FAAE80" w:rsidR="00074551" w:rsidRPr="002E0DF2" w:rsidRDefault="00074551" w:rsidP="00074551">
      <w:pPr>
        <w:pStyle w:val="Funotentext"/>
        <w:rPr>
          <w:lang w:val="en-US"/>
        </w:rPr>
      </w:pPr>
      <w:r>
        <w:rPr>
          <w:rStyle w:val="Funotenzeichen"/>
          <w:rFonts w:eastAsiaTheme="majorEastAsia"/>
        </w:rPr>
        <w:footnoteRef/>
      </w:r>
      <w:r w:rsidRPr="002E0DF2">
        <w:rPr>
          <w:lang w:val="en-US"/>
        </w:rPr>
        <w:t xml:space="preserve"> </w:t>
      </w:r>
      <w:r w:rsidRPr="004F13B1">
        <w:rPr>
          <w:i/>
          <w:lang w:val="en-US"/>
        </w:rPr>
        <w:t>Allgeyer v. Louisiana</w:t>
      </w:r>
      <w:r w:rsidRPr="002E0DF2">
        <w:rPr>
          <w:lang w:val="en-US"/>
        </w:rPr>
        <w:t>, 165 U.S. 578, 5</w:t>
      </w:r>
      <w:r>
        <w:rPr>
          <w:lang w:val="en-US"/>
        </w:rPr>
        <w:t>90</w:t>
      </w:r>
      <w:r w:rsidRPr="002E0DF2">
        <w:rPr>
          <w:lang w:val="en-US"/>
        </w:rPr>
        <w:t xml:space="preserve"> </w:t>
      </w:r>
      <w:r w:rsidR="00B36E3D" w:rsidRPr="007120F7">
        <w:rPr>
          <w:rFonts w:eastAsiaTheme="majorEastAsia"/>
          <w:lang w:val="en-IE"/>
        </w:rPr>
        <w:t>=</w:t>
      </w:r>
      <w:r w:rsidR="00B36E3D" w:rsidRPr="007120F7">
        <w:rPr>
          <w:lang w:val="en-IE"/>
        </w:rPr>
        <w:t xml:space="preserve"> 17 S. Ct. 427, 432</w:t>
      </w:r>
      <w:r w:rsidR="00B36E3D" w:rsidRPr="007120F7">
        <w:rPr>
          <w:rFonts w:eastAsiaTheme="majorEastAsia"/>
          <w:lang w:val="en-IE"/>
        </w:rPr>
        <w:t xml:space="preserve"> =</w:t>
      </w:r>
      <w:r w:rsidR="00B36E3D" w:rsidRPr="007120F7">
        <w:rPr>
          <w:lang w:val="en-IE"/>
        </w:rPr>
        <w:t xml:space="preserve"> 41 L. Ed. 832, 836</w:t>
      </w:r>
      <w:r w:rsidR="00B36E3D" w:rsidRPr="007120F7">
        <w:rPr>
          <w:rFonts w:eastAsiaTheme="majorEastAsia"/>
          <w:lang w:val="en-IE"/>
        </w:rPr>
        <w:t xml:space="preserve"> =</w:t>
      </w:r>
      <w:r w:rsidR="00B36E3D" w:rsidRPr="007120F7">
        <w:rPr>
          <w:lang w:val="en-IE"/>
        </w:rPr>
        <w:t xml:space="preserve"> 1897 U.S. LEXIS 1998, 22</w:t>
      </w:r>
      <w:r w:rsidR="00B36E3D" w:rsidRPr="007120F7">
        <w:rPr>
          <w:rFonts w:eastAsiaTheme="majorEastAsia"/>
          <w:lang w:val="en-IE"/>
        </w:rPr>
        <w:t>–</w:t>
      </w:r>
      <w:r w:rsidR="00B36E3D" w:rsidRPr="007120F7">
        <w:rPr>
          <w:lang w:val="en-IE"/>
        </w:rPr>
        <w:t>23 (1897)</w:t>
      </w:r>
      <w:r w:rsidR="00B36E3D">
        <w:rPr>
          <w:lang w:val="en-IE"/>
        </w:rPr>
        <w:t>.</w:t>
      </w:r>
    </w:p>
  </w:footnote>
  <w:footnote w:id="1367">
    <w:p w14:paraId="3E8B1542" w14:textId="77777777" w:rsidR="00074551" w:rsidRPr="002E0DF2" w:rsidRDefault="00074551" w:rsidP="00074551">
      <w:pPr>
        <w:pStyle w:val="Funotentext"/>
        <w:rPr>
          <w:lang w:val="en-US"/>
        </w:rPr>
      </w:pPr>
      <w:r>
        <w:rPr>
          <w:rStyle w:val="Funotenzeichen"/>
          <w:rFonts w:eastAsiaTheme="majorEastAsia"/>
        </w:rPr>
        <w:footnoteRef/>
      </w:r>
      <w:r w:rsidRPr="002E0DF2">
        <w:rPr>
          <w:lang w:val="en-US"/>
        </w:rPr>
        <w:t xml:space="preserve"> </w:t>
      </w:r>
      <w:r w:rsidRPr="00B45592">
        <w:rPr>
          <w:i/>
          <w:lang w:val="en-US"/>
        </w:rPr>
        <w:t>Lochner v. New York</w:t>
      </w:r>
      <w:r w:rsidRPr="002E0DF2">
        <w:rPr>
          <w:lang w:val="en-US"/>
        </w:rPr>
        <w:t>, 198 U.S. 45 (1905)</w:t>
      </w:r>
      <w:r>
        <w:rPr>
          <w:lang w:val="en-US"/>
        </w:rPr>
        <w:t xml:space="preserve">; </w:t>
      </w:r>
      <w:r w:rsidRPr="009167A5">
        <w:rPr>
          <w:i/>
          <w:lang w:val="en-US"/>
        </w:rPr>
        <w:t>Wash. v. Glucksberg</w:t>
      </w:r>
      <w:r w:rsidRPr="002E0DF2">
        <w:rPr>
          <w:lang w:val="en-US"/>
        </w:rPr>
        <w:t>, 521 U.S. 702, 760</w:t>
      </w:r>
      <w:r w:rsidRPr="006E67FE">
        <w:rPr>
          <w:lang w:val="en-US"/>
        </w:rPr>
        <w:t xml:space="preserve"> = 117 S. Ct. </w:t>
      </w:r>
      <w:r w:rsidRPr="002E0DF2">
        <w:rPr>
          <w:lang w:val="en-US"/>
        </w:rPr>
        <w:t>2258, 2279, 2279</w:t>
      </w:r>
      <w:r w:rsidRPr="006E67FE">
        <w:rPr>
          <w:lang w:val="en-US"/>
        </w:rPr>
        <w:t xml:space="preserve"> = 117 S. Ct. </w:t>
      </w:r>
      <w:r w:rsidRPr="002E0DF2">
        <w:rPr>
          <w:lang w:val="en-US"/>
        </w:rPr>
        <w:t>2302</w:t>
      </w:r>
      <w:r w:rsidRPr="006E67FE">
        <w:rPr>
          <w:lang w:val="en-US"/>
        </w:rPr>
        <w:t xml:space="preserve"> = 138 L. Ed. </w:t>
      </w:r>
      <w:r w:rsidRPr="002E0DF2">
        <w:rPr>
          <w:lang w:val="en-US"/>
        </w:rPr>
        <w:t>2d 772, 813</w:t>
      </w:r>
      <w:r w:rsidRPr="006E67FE">
        <w:rPr>
          <w:lang w:val="en-US"/>
        </w:rPr>
        <w:t xml:space="preserve"> = 1997 U.S. LEXIS </w:t>
      </w:r>
      <w:r w:rsidRPr="002E0DF2">
        <w:rPr>
          <w:lang w:val="en-US"/>
        </w:rPr>
        <w:t>4039, 99</w:t>
      </w:r>
      <w:r w:rsidRPr="006E67FE">
        <w:rPr>
          <w:lang w:val="en-US"/>
        </w:rPr>
        <w:t xml:space="preserve"> = 65 U.S.L.W. </w:t>
      </w:r>
      <w:r w:rsidRPr="002E0DF2">
        <w:rPr>
          <w:lang w:val="en-US"/>
        </w:rPr>
        <w:t>4669</w:t>
      </w:r>
      <w:r w:rsidRPr="006E67FE">
        <w:rPr>
          <w:lang w:val="en-US"/>
        </w:rPr>
        <w:t xml:space="preserve"> = 97 Cal. Daily Op. </w:t>
      </w:r>
      <w:r w:rsidRPr="002E0DF2">
        <w:rPr>
          <w:lang w:val="en-US"/>
        </w:rPr>
        <w:t>Service 5008</w:t>
      </w:r>
      <w:r w:rsidRPr="006E67FE">
        <w:rPr>
          <w:lang w:val="en-US"/>
        </w:rPr>
        <w:t xml:space="preserve"> = 97 Daily Journal </w:t>
      </w:r>
      <w:r w:rsidRPr="002E0DF2">
        <w:rPr>
          <w:lang w:val="en-US"/>
        </w:rPr>
        <w:t>DAR 8150</w:t>
      </w:r>
      <w:r w:rsidRPr="006E67FE">
        <w:rPr>
          <w:lang w:val="en-US"/>
        </w:rPr>
        <w:t xml:space="preserve"> = 11 Fla. L. Weekly </w:t>
      </w:r>
      <w:r w:rsidRPr="002E0DF2">
        <w:rPr>
          <w:lang w:val="en-US"/>
        </w:rPr>
        <w:t>Fed. S 190 (1997).</w:t>
      </w:r>
    </w:p>
  </w:footnote>
  <w:footnote w:id="1368">
    <w:p w14:paraId="78BB65B5" w14:textId="77777777" w:rsidR="00074551" w:rsidRPr="002E0DF2" w:rsidRDefault="00074551" w:rsidP="00074551">
      <w:pPr>
        <w:pStyle w:val="Funotentext"/>
        <w:rPr>
          <w:lang w:val="en-US"/>
        </w:rPr>
      </w:pPr>
      <w:r>
        <w:rPr>
          <w:rStyle w:val="Funotenzeichen"/>
          <w:rFonts w:eastAsiaTheme="majorEastAsia"/>
        </w:rPr>
        <w:footnoteRef/>
      </w:r>
      <w:r w:rsidRPr="002E0DF2">
        <w:rPr>
          <w:lang w:val="en-US"/>
        </w:rPr>
        <w:t xml:space="preserve"> </w:t>
      </w:r>
      <w:r w:rsidRPr="009167A5">
        <w:rPr>
          <w:i/>
          <w:lang w:val="en-US"/>
        </w:rPr>
        <w:t>Wash. v. Glucksberg</w:t>
      </w:r>
      <w:r w:rsidRPr="000725AA">
        <w:rPr>
          <w:lang w:val="en-US"/>
        </w:rPr>
        <w:t>, 521 U.S. 702, 761</w:t>
      </w:r>
      <w:r w:rsidRPr="006E67FE">
        <w:rPr>
          <w:lang w:val="en-US"/>
        </w:rPr>
        <w:t xml:space="preserve"> = 117 S. Ct. </w:t>
      </w:r>
      <w:r w:rsidRPr="000725AA">
        <w:rPr>
          <w:lang w:val="en-US"/>
        </w:rPr>
        <w:t>2258, 2279, 2279</w:t>
      </w:r>
      <w:r w:rsidRPr="006E67FE">
        <w:rPr>
          <w:lang w:val="en-US"/>
        </w:rPr>
        <w:t xml:space="preserve"> = 117 S. Ct. </w:t>
      </w:r>
      <w:r w:rsidRPr="000725AA">
        <w:rPr>
          <w:lang w:val="en-US"/>
        </w:rPr>
        <w:t>2302</w:t>
      </w:r>
      <w:r w:rsidRPr="006E67FE">
        <w:rPr>
          <w:lang w:val="en-US"/>
        </w:rPr>
        <w:t xml:space="preserve"> = 138 L. Ed. </w:t>
      </w:r>
      <w:r w:rsidRPr="000725AA">
        <w:rPr>
          <w:lang w:val="en-US"/>
        </w:rPr>
        <w:t>2d 772, 813</w:t>
      </w:r>
      <w:r w:rsidRPr="006E67FE">
        <w:rPr>
          <w:lang w:val="en-US"/>
        </w:rPr>
        <w:t xml:space="preserve"> = 1997 U.S. LEXIS </w:t>
      </w:r>
      <w:r w:rsidRPr="000725AA">
        <w:rPr>
          <w:lang w:val="en-US"/>
        </w:rPr>
        <w:t>4039, 100</w:t>
      </w:r>
      <w:r w:rsidRPr="006E67FE">
        <w:rPr>
          <w:lang w:val="en-US"/>
        </w:rPr>
        <w:t xml:space="preserve"> = 65 U.S.L.W. </w:t>
      </w:r>
      <w:r w:rsidRPr="000725AA">
        <w:rPr>
          <w:lang w:val="en-US"/>
        </w:rPr>
        <w:t>4669</w:t>
      </w:r>
      <w:r w:rsidRPr="006E67FE">
        <w:rPr>
          <w:lang w:val="en-US"/>
        </w:rPr>
        <w:t xml:space="preserve"> = 97 Cal. Daily Op. </w:t>
      </w:r>
      <w:r w:rsidRPr="000725AA">
        <w:rPr>
          <w:lang w:val="en-US"/>
        </w:rPr>
        <w:t>Service 5008</w:t>
      </w:r>
      <w:r w:rsidRPr="006E67FE">
        <w:rPr>
          <w:lang w:val="en-US"/>
        </w:rPr>
        <w:t xml:space="preserve"> = 97 Daily Journal </w:t>
      </w:r>
      <w:r w:rsidRPr="000725AA">
        <w:rPr>
          <w:lang w:val="en-US"/>
        </w:rPr>
        <w:t>DAR 8150</w:t>
      </w:r>
      <w:r w:rsidRPr="006E67FE">
        <w:rPr>
          <w:lang w:val="en-US"/>
        </w:rPr>
        <w:t xml:space="preserve"> = 11 Fla. L. Weekly </w:t>
      </w:r>
      <w:r w:rsidRPr="000725AA">
        <w:rPr>
          <w:lang w:val="en-US"/>
        </w:rPr>
        <w:t>Fed. S 190 (1997)</w:t>
      </w:r>
      <w:r>
        <w:rPr>
          <w:lang w:val="en-US"/>
        </w:rPr>
        <w:t>.</w:t>
      </w:r>
    </w:p>
  </w:footnote>
  <w:footnote w:id="1369">
    <w:p w14:paraId="4839BDB3" w14:textId="77777777" w:rsidR="00074551" w:rsidRPr="002E0DF2" w:rsidRDefault="00074551" w:rsidP="00074551">
      <w:pPr>
        <w:pStyle w:val="Funotentext"/>
        <w:rPr>
          <w:lang w:val="en-US"/>
        </w:rPr>
      </w:pPr>
      <w:r>
        <w:rPr>
          <w:rStyle w:val="Funotenzeichen"/>
          <w:rFonts w:eastAsiaTheme="majorEastAsia"/>
        </w:rPr>
        <w:footnoteRef/>
      </w:r>
      <w:r w:rsidRPr="002E0DF2">
        <w:rPr>
          <w:lang w:val="en-US"/>
        </w:rPr>
        <w:t xml:space="preserve"> </w:t>
      </w:r>
      <w:r w:rsidRPr="00B45592">
        <w:rPr>
          <w:i/>
          <w:lang w:val="en-US"/>
        </w:rPr>
        <w:t>Lochner v. New York</w:t>
      </w:r>
      <w:r w:rsidRPr="002E0DF2">
        <w:rPr>
          <w:lang w:val="en-US"/>
        </w:rPr>
        <w:t>, 198 U.S. 45 (1905)</w:t>
      </w:r>
      <w:r>
        <w:rPr>
          <w:lang w:val="en-US"/>
        </w:rPr>
        <w:t xml:space="preserve">; </w:t>
      </w:r>
      <w:r w:rsidRPr="009167A5">
        <w:rPr>
          <w:i/>
          <w:lang w:val="en-US"/>
        </w:rPr>
        <w:t>Wash. v. Glucksberg</w:t>
      </w:r>
      <w:r w:rsidRPr="002E0DF2">
        <w:rPr>
          <w:lang w:val="en-US"/>
        </w:rPr>
        <w:t>, 521 U.S. 702, 760</w:t>
      </w:r>
      <w:r w:rsidRPr="006E67FE">
        <w:rPr>
          <w:lang w:val="en-US"/>
        </w:rPr>
        <w:t xml:space="preserve"> = 117 S. Ct. </w:t>
      </w:r>
      <w:r w:rsidRPr="002E0DF2">
        <w:rPr>
          <w:lang w:val="en-US"/>
        </w:rPr>
        <w:t>2258, 2279, 2279</w:t>
      </w:r>
      <w:r w:rsidRPr="006E67FE">
        <w:rPr>
          <w:lang w:val="en-US"/>
        </w:rPr>
        <w:t xml:space="preserve"> = 117 S. Ct. </w:t>
      </w:r>
      <w:r w:rsidRPr="002E0DF2">
        <w:rPr>
          <w:lang w:val="en-US"/>
        </w:rPr>
        <w:t>2302</w:t>
      </w:r>
      <w:r w:rsidRPr="006E67FE">
        <w:rPr>
          <w:lang w:val="en-US"/>
        </w:rPr>
        <w:t xml:space="preserve"> = 138 L. Ed. </w:t>
      </w:r>
      <w:r w:rsidRPr="002E0DF2">
        <w:rPr>
          <w:lang w:val="en-US"/>
        </w:rPr>
        <w:t>2d 772, 813</w:t>
      </w:r>
      <w:r w:rsidRPr="006E67FE">
        <w:rPr>
          <w:lang w:val="en-US"/>
        </w:rPr>
        <w:t xml:space="preserve"> = 1997 U.S. LEXIS </w:t>
      </w:r>
      <w:r w:rsidRPr="002E0DF2">
        <w:rPr>
          <w:lang w:val="en-US"/>
        </w:rPr>
        <w:t>4039, 99</w:t>
      </w:r>
      <w:r w:rsidRPr="006E67FE">
        <w:rPr>
          <w:lang w:val="en-US"/>
        </w:rPr>
        <w:t xml:space="preserve"> = 65 U.S.L.W. </w:t>
      </w:r>
      <w:r w:rsidRPr="002E0DF2">
        <w:rPr>
          <w:lang w:val="en-US"/>
        </w:rPr>
        <w:t>4669</w:t>
      </w:r>
      <w:r w:rsidRPr="006E67FE">
        <w:rPr>
          <w:lang w:val="en-US"/>
        </w:rPr>
        <w:t xml:space="preserve"> = 97 Cal. Daily Op. </w:t>
      </w:r>
      <w:r w:rsidRPr="002E0DF2">
        <w:rPr>
          <w:lang w:val="en-US"/>
        </w:rPr>
        <w:t>Service 5008</w:t>
      </w:r>
      <w:r w:rsidRPr="006E67FE">
        <w:rPr>
          <w:lang w:val="en-US"/>
        </w:rPr>
        <w:t xml:space="preserve"> = 97 Daily Journal </w:t>
      </w:r>
      <w:r w:rsidRPr="002E0DF2">
        <w:rPr>
          <w:lang w:val="en-US"/>
        </w:rPr>
        <w:t>DAR 8150</w:t>
      </w:r>
      <w:r w:rsidRPr="006E67FE">
        <w:rPr>
          <w:lang w:val="en-US"/>
        </w:rPr>
        <w:t xml:space="preserve"> = 11 Fla. L. Weekly </w:t>
      </w:r>
      <w:r w:rsidRPr="002E0DF2">
        <w:rPr>
          <w:lang w:val="en-US"/>
        </w:rPr>
        <w:t>Fed. S 190 (1997).</w:t>
      </w:r>
    </w:p>
  </w:footnote>
  <w:footnote w:id="1370">
    <w:p w14:paraId="6A2F59E9" w14:textId="77777777" w:rsidR="00074551" w:rsidRPr="000725AA" w:rsidRDefault="00074551" w:rsidP="00074551">
      <w:pPr>
        <w:pStyle w:val="Funotentext"/>
        <w:rPr>
          <w:lang w:val="en-US"/>
        </w:rPr>
      </w:pPr>
      <w:r>
        <w:rPr>
          <w:rStyle w:val="Funotenzeichen"/>
          <w:rFonts w:eastAsiaTheme="majorEastAsia"/>
        </w:rPr>
        <w:footnoteRef/>
      </w:r>
      <w:r w:rsidRPr="002E0DF2">
        <w:rPr>
          <w:lang w:val="en-US"/>
        </w:rPr>
        <w:t xml:space="preserve"> „</w:t>
      </w:r>
      <w:r w:rsidRPr="00B45592">
        <w:rPr>
          <w:i/>
          <w:lang w:val="en-US"/>
        </w:rPr>
        <w:t>Adkins v. Children’s Hospital of D. C.</w:t>
      </w:r>
      <w:r w:rsidRPr="002E0DF2">
        <w:rPr>
          <w:lang w:val="en-US"/>
        </w:rPr>
        <w:t xml:space="preserve">, 261 U.S. 525, 559 (1923) (holding a minimum wage law </w:t>
      </w:r>
      <w:r>
        <w:rPr>
          <w:lang w:val="en-US"/>
        </w:rPr>
        <w:t>,</w:t>
      </w:r>
      <w:r w:rsidRPr="002E0DF2">
        <w:rPr>
          <w:lang w:val="en-US"/>
        </w:rPr>
        <w:t>so clearly the product of a naked, arbitrary exercise of power that it cannot be allowed to stand under the Constitution of the United States</w:t>
      </w:r>
      <w:r>
        <w:rPr>
          <w:lang w:val="en-US"/>
        </w:rPr>
        <w:t>‘</w:t>
      </w:r>
      <w:r w:rsidRPr="002E0DF2">
        <w:rPr>
          <w:lang w:val="en-US"/>
        </w:rPr>
        <w:t xml:space="preserve">) with </w:t>
      </w:r>
      <w:r w:rsidRPr="00B45592">
        <w:rPr>
          <w:i/>
          <w:lang w:val="en-US"/>
        </w:rPr>
        <w:t>West Coast Hotel Co. v. Parrish</w:t>
      </w:r>
      <w:r w:rsidRPr="002E0DF2">
        <w:rPr>
          <w:lang w:val="en-US"/>
        </w:rPr>
        <w:t xml:space="preserve">, 300 U.S. 379, 391 (1937) (overruling Adkins and approving a minimum-wage law on the principle that </w:t>
      </w:r>
      <w:r>
        <w:rPr>
          <w:lang w:val="en-US"/>
        </w:rPr>
        <w:t>,</w:t>
      </w:r>
      <w:r w:rsidRPr="002E0DF2">
        <w:rPr>
          <w:lang w:val="en-US"/>
        </w:rPr>
        <w:t>regulation which is reasonable in relation to its subject and is adopted in the interests of the community is due process</w:t>
      </w:r>
      <w:r>
        <w:rPr>
          <w:lang w:val="en-US"/>
        </w:rPr>
        <w:t>‘</w:t>
      </w:r>
      <w:r w:rsidRPr="002E0DF2">
        <w:rPr>
          <w:lang w:val="en-US"/>
        </w:rPr>
        <w:t>)“</w:t>
      </w:r>
      <w:r>
        <w:rPr>
          <w:lang w:val="en-US"/>
        </w:rPr>
        <w:t>,</w:t>
      </w:r>
      <w:r w:rsidRPr="009167A5">
        <w:rPr>
          <w:i/>
          <w:lang w:val="en-US"/>
        </w:rPr>
        <w:t>Wash. v. Glucksberg</w:t>
      </w:r>
      <w:r w:rsidRPr="002E0DF2">
        <w:rPr>
          <w:lang w:val="en-US"/>
        </w:rPr>
        <w:t>, 521 U.S. 702, 760</w:t>
      </w:r>
      <w:r>
        <w:rPr>
          <w:lang w:val="en-US"/>
        </w:rPr>
        <w:t>–</w:t>
      </w:r>
      <w:r w:rsidRPr="002E0DF2">
        <w:rPr>
          <w:lang w:val="en-US"/>
        </w:rPr>
        <w:t>761</w:t>
      </w:r>
      <w:r w:rsidRPr="006E67FE">
        <w:rPr>
          <w:lang w:val="en-US"/>
        </w:rPr>
        <w:t xml:space="preserve"> = 117 S. Ct. </w:t>
      </w:r>
      <w:r w:rsidRPr="002E0DF2">
        <w:rPr>
          <w:lang w:val="en-US"/>
        </w:rPr>
        <w:t>2258, 2279, 2279</w:t>
      </w:r>
      <w:r w:rsidRPr="006E67FE">
        <w:rPr>
          <w:lang w:val="en-US"/>
        </w:rPr>
        <w:t xml:space="preserve"> = 117 S. Ct. </w:t>
      </w:r>
      <w:r w:rsidRPr="002E0DF2">
        <w:rPr>
          <w:lang w:val="en-US"/>
        </w:rPr>
        <w:t>2302</w:t>
      </w:r>
      <w:r w:rsidRPr="006E67FE">
        <w:rPr>
          <w:lang w:val="en-US"/>
        </w:rPr>
        <w:t xml:space="preserve"> = 138 L. Ed. </w:t>
      </w:r>
      <w:r w:rsidRPr="002E0DF2">
        <w:rPr>
          <w:lang w:val="en-US"/>
        </w:rPr>
        <w:t>2d 772, 813</w:t>
      </w:r>
      <w:r w:rsidRPr="006E67FE">
        <w:rPr>
          <w:lang w:val="en-US"/>
        </w:rPr>
        <w:t xml:space="preserve"> = 1997 U.S. LEXIS </w:t>
      </w:r>
      <w:r w:rsidRPr="002E0DF2">
        <w:rPr>
          <w:lang w:val="en-US"/>
        </w:rPr>
        <w:t>4039, 99</w:t>
      </w:r>
      <w:r w:rsidRPr="006E67FE">
        <w:rPr>
          <w:lang w:val="en-US"/>
        </w:rPr>
        <w:t xml:space="preserve"> = 65 U.S.L.W. </w:t>
      </w:r>
      <w:r w:rsidRPr="002E0DF2">
        <w:rPr>
          <w:lang w:val="en-US"/>
        </w:rPr>
        <w:t>4669</w:t>
      </w:r>
      <w:r w:rsidRPr="006E67FE">
        <w:rPr>
          <w:lang w:val="en-US"/>
        </w:rPr>
        <w:t xml:space="preserve"> = 97 Cal. Daily Op. </w:t>
      </w:r>
      <w:r w:rsidRPr="002E0DF2">
        <w:rPr>
          <w:lang w:val="en-US"/>
        </w:rPr>
        <w:t>Service 5008</w:t>
      </w:r>
      <w:r w:rsidRPr="006E67FE">
        <w:rPr>
          <w:lang w:val="en-US"/>
        </w:rPr>
        <w:t xml:space="preserve"> = 97 Daily Journal </w:t>
      </w:r>
      <w:r w:rsidRPr="002E0DF2">
        <w:rPr>
          <w:lang w:val="en-US"/>
        </w:rPr>
        <w:t>DAR 8150</w:t>
      </w:r>
      <w:r w:rsidRPr="006E67FE">
        <w:rPr>
          <w:lang w:val="en-US"/>
        </w:rPr>
        <w:t xml:space="preserve"> = 11 Fla. L. Weekly </w:t>
      </w:r>
      <w:r w:rsidRPr="002E0DF2">
        <w:rPr>
          <w:lang w:val="en-US"/>
        </w:rPr>
        <w:t xml:space="preserve">Fed. </w:t>
      </w:r>
      <w:r w:rsidRPr="000725AA">
        <w:rPr>
          <w:lang w:val="en-US"/>
        </w:rPr>
        <w:t>S 190 (1997)</w:t>
      </w:r>
      <w:r>
        <w:rPr>
          <w:lang w:val="en-US"/>
        </w:rPr>
        <w:t>.</w:t>
      </w:r>
    </w:p>
  </w:footnote>
  <w:footnote w:id="1371">
    <w:p w14:paraId="35993056" w14:textId="77777777" w:rsidR="00074551" w:rsidRPr="007D6709" w:rsidRDefault="00074551" w:rsidP="00074551">
      <w:pPr>
        <w:pStyle w:val="Funotentext"/>
        <w:rPr>
          <w:lang w:val="en-US"/>
        </w:rPr>
      </w:pPr>
      <w:r>
        <w:rPr>
          <w:rStyle w:val="Funotenzeichen"/>
          <w:rFonts w:eastAsiaTheme="majorEastAsia"/>
        </w:rPr>
        <w:footnoteRef/>
      </w:r>
      <w:r w:rsidRPr="000725AA">
        <w:rPr>
          <w:lang w:val="en-US"/>
        </w:rPr>
        <w:t xml:space="preserve"> </w:t>
      </w:r>
      <w:r w:rsidRPr="009E57E1">
        <w:rPr>
          <w:i/>
          <w:lang w:val="en-US"/>
        </w:rPr>
        <w:t>Meyer v. Nebraska</w:t>
      </w:r>
      <w:r w:rsidRPr="000725AA">
        <w:rPr>
          <w:lang w:val="en-US"/>
        </w:rPr>
        <w:t>, 262 U.S. 390</w:t>
      </w:r>
      <w:r>
        <w:rPr>
          <w:lang w:val="en-US"/>
        </w:rPr>
        <w:t xml:space="preserve">; </w:t>
      </w:r>
      <w:r w:rsidRPr="009167A5">
        <w:rPr>
          <w:i/>
          <w:lang w:val="en-US"/>
        </w:rPr>
        <w:t>Wash. v. Glucksberg</w:t>
      </w:r>
      <w:r w:rsidRPr="000725AA">
        <w:rPr>
          <w:lang w:val="en-US"/>
        </w:rPr>
        <w:t>, 521 U.S. 702, 761</w:t>
      </w:r>
      <w:r w:rsidRPr="006E67FE">
        <w:rPr>
          <w:lang w:val="en-US"/>
        </w:rPr>
        <w:t xml:space="preserve"> = 117 S. Ct. </w:t>
      </w:r>
      <w:r w:rsidRPr="000725AA">
        <w:rPr>
          <w:lang w:val="en-US"/>
        </w:rPr>
        <w:t>2258, 2279, 2279</w:t>
      </w:r>
      <w:r w:rsidRPr="006E67FE">
        <w:rPr>
          <w:lang w:val="en-US"/>
        </w:rPr>
        <w:t xml:space="preserve"> = 117 S. Ct. </w:t>
      </w:r>
      <w:r w:rsidRPr="000725AA">
        <w:rPr>
          <w:lang w:val="en-US"/>
        </w:rPr>
        <w:t>2302</w:t>
      </w:r>
      <w:r w:rsidRPr="006E67FE">
        <w:rPr>
          <w:lang w:val="en-US"/>
        </w:rPr>
        <w:t xml:space="preserve"> = 138 L. Ed. </w:t>
      </w:r>
      <w:r w:rsidRPr="000725AA">
        <w:rPr>
          <w:lang w:val="en-US"/>
        </w:rPr>
        <w:t>2d 772, 813</w:t>
      </w:r>
      <w:r w:rsidRPr="006E67FE">
        <w:rPr>
          <w:lang w:val="en-US"/>
        </w:rPr>
        <w:t xml:space="preserve"> = 1997 U.S. LEXIS </w:t>
      </w:r>
      <w:r w:rsidRPr="000725AA">
        <w:rPr>
          <w:lang w:val="en-US"/>
        </w:rPr>
        <w:t>4039, 100</w:t>
      </w:r>
      <w:r w:rsidRPr="006E67FE">
        <w:rPr>
          <w:lang w:val="en-US"/>
        </w:rPr>
        <w:t xml:space="preserve"> = 65 U.S.L.W. </w:t>
      </w:r>
      <w:r w:rsidRPr="000725AA">
        <w:rPr>
          <w:lang w:val="en-US"/>
        </w:rPr>
        <w:t>4669</w:t>
      </w:r>
      <w:r w:rsidRPr="006E67FE">
        <w:rPr>
          <w:lang w:val="en-US"/>
        </w:rPr>
        <w:t xml:space="preserve"> = 97 Cal. Daily Op. </w:t>
      </w:r>
      <w:r w:rsidRPr="000725AA">
        <w:rPr>
          <w:lang w:val="en-US"/>
        </w:rPr>
        <w:t>Service 5008</w:t>
      </w:r>
      <w:r w:rsidRPr="006E67FE">
        <w:rPr>
          <w:lang w:val="en-US"/>
        </w:rPr>
        <w:t xml:space="preserve"> = 97 Daily Journal </w:t>
      </w:r>
      <w:r w:rsidRPr="000725AA">
        <w:rPr>
          <w:lang w:val="en-US"/>
        </w:rPr>
        <w:t>DAR 8150</w:t>
      </w:r>
      <w:r w:rsidRPr="006E67FE">
        <w:rPr>
          <w:lang w:val="en-US"/>
        </w:rPr>
        <w:t xml:space="preserve"> = 11 Fla. L. Weekly </w:t>
      </w:r>
      <w:r w:rsidRPr="000725AA">
        <w:rPr>
          <w:lang w:val="en-US"/>
        </w:rPr>
        <w:t xml:space="preserve">Fed. </w:t>
      </w:r>
      <w:r w:rsidRPr="007D6709">
        <w:rPr>
          <w:lang w:val="en-US"/>
        </w:rPr>
        <w:t>S 190 (1997)</w:t>
      </w:r>
      <w:r>
        <w:rPr>
          <w:lang w:val="en-US"/>
        </w:rPr>
        <w:t>.</w:t>
      </w:r>
    </w:p>
  </w:footnote>
  <w:footnote w:id="1372">
    <w:p w14:paraId="50E03446" w14:textId="77777777" w:rsidR="00074551" w:rsidRPr="007D6709" w:rsidRDefault="00074551" w:rsidP="00074551">
      <w:pPr>
        <w:pStyle w:val="Funotentext"/>
        <w:rPr>
          <w:lang w:val="en-US"/>
        </w:rPr>
      </w:pPr>
      <w:r>
        <w:rPr>
          <w:rStyle w:val="Funotenzeichen"/>
          <w:rFonts w:eastAsiaTheme="majorEastAsia"/>
        </w:rPr>
        <w:footnoteRef/>
      </w:r>
      <w:r w:rsidRPr="000725AA">
        <w:rPr>
          <w:lang w:val="en-US"/>
        </w:rPr>
        <w:t xml:space="preserve"> </w:t>
      </w:r>
      <w:r w:rsidRPr="009E57E1">
        <w:rPr>
          <w:i/>
          <w:lang w:val="en-US"/>
        </w:rPr>
        <w:t>Meyer v. Nebraska</w:t>
      </w:r>
      <w:r w:rsidRPr="000725AA">
        <w:rPr>
          <w:lang w:val="en-US"/>
        </w:rPr>
        <w:t>, 262 U.S. 390</w:t>
      </w:r>
      <w:r>
        <w:rPr>
          <w:lang w:val="en-US"/>
        </w:rPr>
        <w:t xml:space="preserve">; </w:t>
      </w:r>
      <w:r w:rsidRPr="009167A5">
        <w:rPr>
          <w:i/>
          <w:lang w:val="en-US"/>
        </w:rPr>
        <w:t>Wash. v. Glucksberg</w:t>
      </w:r>
      <w:r w:rsidRPr="000725AA">
        <w:rPr>
          <w:lang w:val="en-US"/>
        </w:rPr>
        <w:t>, 521 U.S. 702, 761</w:t>
      </w:r>
      <w:r w:rsidRPr="006E67FE">
        <w:rPr>
          <w:lang w:val="en-US"/>
        </w:rPr>
        <w:t xml:space="preserve"> = 117 S. Ct. </w:t>
      </w:r>
      <w:r w:rsidRPr="000725AA">
        <w:rPr>
          <w:lang w:val="en-US"/>
        </w:rPr>
        <w:t>2258, 2279, 2279</w:t>
      </w:r>
      <w:r w:rsidRPr="006E67FE">
        <w:rPr>
          <w:lang w:val="en-US"/>
        </w:rPr>
        <w:t xml:space="preserve"> = 117 S. Ct. </w:t>
      </w:r>
      <w:r w:rsidRPr="000725AA">
        <w:rPr>
          <w:lang w:val="en-US"/>
        </w:rPr>
        <w:t>2302</w:t>
      </w:r>
      <w:r w:rsidRPr="006E67FE">
        <w:rPr>
          <w:lang w:val="en-US"/>
        </w:rPr>
        <w:t xml:space="preserve"> = 138 L. Ed. </w:t>
      </w:r>
      <w:r w:rsidRPr="000725AA">
        <w:rPr>
          <w:lang w:val="en-US"/>
        </w:rPr>
        <w:t>2d 772, 813</w:t>
      </w:r>
      <w:r w:rsidRPr="006E67FE">
        <w:rPr>
          <w:lang w:val="en-US"/>
        </w:rPr>
        <w:t xml:space="preserve"> = 1997 U.S. LEXIS </w:t>
      </w:r>
      <w:r w:rsidRPr="000725AA">
        <w:rPr>
          <w:lang w:val="en-US"/>
        </w:rPr>
        <w:t>4039, 100</w:t>
      </w:r>
      <w:r w:rsidRPr="006E67FE">
        <w:rPr>
          <w:lang w:val="en-US"/>
        </w:rPr>
        <w:t xml:space="preserve"> = 65 U.S.L.W. </w:t>
      </w:r>
      <w:r w:rsidRPr="000725AA">
        <w:rPr>
          <w:lang w:val="en-US"/>
        </w:rPr>
        <w:t>4669</w:t>
      </w:r>
      <w:r w:rsidRPr="006E67FE">
        <w:rPr>
          <w:lang w:val="en-US"/>
        </w:rPr>
        <w:t xml:space="preserve"> = 97 Cal. Daily Op. </w:t>
      </w:r>
      <w:r w:rsidRPr="000725AA">
        <w:rPr>
          <w:lang w:val="en-US"/>
        </w:rPr>
        <w:t>Service 5008</w:t>
      </w:r>
      <w:r w:rsidRPr="006E67FE">
        <w:rPr>
          <w:lang w:val="en-US"/>
        </w:rPr>
        <w:t xml:space="preserve"> = 97 Daily Journal </w:t>
      </w:r>
      <w:r w:rsidRPr="000725AA">
        <w:rPr>
          <w:lang w:val="en-US"/>
        </w:rPr>
        <w:t>DAR 8150</w:t>
      </w:r>
      <w:r w:rsidRPr="006E67FE">
        <w:rPr>
          <w:lang w:val="en-US"/>
        </w:rPr>
        <w:t xml:space="preserve"> = 11 Fla. L. Weekly </w:t>
      </w:r>
      <w:r w:rsidRPr="000725AA">
        <w:rPr>
          <w:lang w:val="en-US"/>
        </w:rPr>
        <w:t xml:space="preserve">Fed. </w:t>
      </w:r>
      <w:r w:rsidRPr="007D6709">
        <w:rPr>
          <w:lang w:val="en-US"/>
        </w:rPr>
        <w:t>S 190 (1997)</w:t>
      </w:r>
      <w:r>
        <w:rPr>
          <w:lang w:val="en-US"/>
        </w:rPr>
        <w:t>.</w:t>
      </w:r>
    </w:p>
  </w:footnote>
  <w:footnote w:id="1373">
    <w:p w14:paraId="444243E3" w14:textId="77777777" w:rsidR="00074551" w:rsidRPr="002C5DFF" w:rsidRDefault="00074551" w:rsidP="00074551">
      <w:pPr>
        <w:pStyle w:val="Funotentext"/>
        <w:ind w:left="227" w:hanging="227"/>
        <w:rPr>
          <w:lang w:val="en-US"/>
        </w:rPr>
      </w:pPr>
      <w:r>
        <w:rPr>
          <w:rStyle w:val="Funotenzeichen"/>
          <w:rFonts w:eastAsiaTheme="majorEastAsia"/>
        </w:rPr>
        <w:footnoteRef/>
      </w:r>
      <w:r w:rsidRPr="002C5DFF">
        <w:rPr>
          <w:lang w:val="en-US"/>
        </w:rPr>
        <w:t xml:space="preserve"> </w:t>
      </w:r>
      <w:r w:rsidRPr="008F73D7">
        <w:rPr>
          <w:i/>
          <w:lang w:val="en-US"/>
        </w:rPr>
        <w:t>Slaughter-House Cases</w:t>
      </w:r>
      <w:r w:rsidRPr="002C5DFF">
        <w:rPr>
          <w:lang w:val="en-US"/>
        </w:rPr>
        <w:t>, 83 U.S. 36, 83</w:t>
      </w:r>
      <w:r w:rsidRPr="003B741A">
        <w:rPr>
          <w:lang w:val="en-US"/>
        </w:rPr>
        <w:t xml:space="preserve"> = 21 L. Ed. </w:t>
      </w:r>
      <w:r w:rsidRPr="002C5DFF">
        <w:rPr>
          <w:lang w:val="en-US"/>
        </w:rPr>
        <w:t>394, 411</w:t>
      </w:r>
      <w:r w:rsidRPr="006E67FE">
        <w:rPr>
          <w:lang w:val="en-US"/>
        </w:rPr>
        <w:t xml:space="preserve"> = 1872 U.S. LEXIS </w:t>
      </w:r>
      <w:r w:rsidRPr="002C5DFF">
        <w:rPr>
          <w:lang w:val="en-US"/>
        </w:rPr>
        <w:t>1139, 86, 16 Wall. 36 (1873)</w:t>
      </w:r>
      <w:r>
        <w:rPr>
          <w:lang w:val="en-US"/>
        </w:rPr>
        <w:t>.</w:t>
      </w:r>
    </w:p>
  </w:footnote>
  <w:footnote w:id="1374">
    <w:p w14:paraId="3D3328DE" w14:textId="77777777" w:rsidR="00074551" w:rsidRPr="000725AA" w:rsidRDefault="00074551" w:rsidP="00074551">
      <w:pPr>
        <w:pStyle w:val="Funotentext"/>
        <w:rPr>
          <w:lang w:val="en-US"/>
        </w:rPr>
      </w:pPr>
      <w:r>
        <w:rPr>
          <w:rStyle w:val="Funotenzeichen"/>
          <w:rFonts w:eastAsiaTheme="majorEastAsia"/>
        </w:rPr>
        <w:footnoteRef/>
      </w:r>
      <w:r w:rsidRPr="002E0DF2">
        <w:rPr>
          <w:lang w:val="en-US"/>
        </w:rPr>
        <w:t xml:space="preserve"> „</w:t>
      </w:r>
      <w:r w:rsidRPr="00B45592">
        <w:rPr>
          <w:i/>
          <w:lang w:val="en-US"/>
        </w:rPr>
        <w:t>Adkins v. Children’s Hospital of D. C.</w:t>
      </w:r>
      <w:r w:rsidRPr="002E0DF2">
        <w:rPr>
          <w:lang w:val="en-US"/>
        </w:rPr>
        <w:t>, 261 U.S. 525,</w:t>
      </w:r>
      <w:r>
        <w:rPr>
          <w:lang w:val="en-US"/>
        </w:rPr>
        <w:t xml:space="preserve"> </w:t>
      </w:r>
      <w:r w:rsidRPr="002E0DF2">
        <w:rPr>
          <w:lang w:val="en-US"/>
        </w:rPr>
        <w:t xml:space="preserve">559 (1923) (holding a minimum wage law </w:t>
      </w:r>
      <w:r>
        <w:rPr>
          <w:lang w:val="en-US"/>
        </w:rPr>
        <w:t>,</w:t>
      </w:r>
      <w:r w:rsidRPr="002E0DF2">
        <w:rPr>
          <w:lang w:val="en-US"/>
        </w:rPr>
        <w:t>so clearly the product of a naked, arbitrary exercise of power that it cannot be allowed to stand under the Constitution of the United States</w:t>
      </w:r>
      <w:r>
        <w:rPr>
          <w:lang w:val="en-US"/>
        </w:rPr>
        <w:t>‘</w:t>
      </w:r>
      <w:r w:rsidRPr="002E0DF2">
        <w:rPr>
          <w:lang w:val="en-US"/>
        </w:rPr>
        <w:t xml:space="preserve">) with </w:t>
      </w:r>
      <w:r w:rsidRPr="00B45592">
        <w:rPr>
          <w:i/>
          <w:lang w:val="en-US"/>
        </w:rPr>
        <w:t>West Coast Hotel Co. v. Parrish</w:t>
      </w:r>
      <w:r w:rsidRPr="002E0DF2">
        <w:rPr>
          <w:lang w:val="en-US"/>
        </w:rPr>
        <w:t xml:space="preserve">, 300 U.S. 379, 391 (1937) (overruling Adkins and approving a minimum-wage law on the principle that </w:t>
      </w:r>
      <w:r>
        <w:rPr>
          <w:lang w:val="en-US"/>
        </w:rPr>
        <w:t>,</w:t>
      </w:r>
      <w:r w:rsidRPr="002E0DF2">
        <w:rPr>
          <w:lang w:val="en-US"/>
        </w:rPr>
        <w:t>regulation which is reasonable in relation to its subject and is adopted in the interests of the community is due process</w:t>
      </w:r>
      <w:r>
        <w:rPr>
          <w:lang w:val="en-US"/>
        </w:rPr>
        <w:t>‘</w:t>
      </w:r>
      <w:r w:rsidRPr="002E0DF2">
        <w:rPr>
          <w:lang w:val="en-US"/>
        </w:rPr>
        <w:t xml:space="preserve">)“ in </w:t>
      </w:r>
      <w:r w:rsidRPr="009167A5">
        <w:rPr>
          <w:i/>
          <w:lang w:val="en-US"/>
        </w:rPr>
        <w:t>Wash. v. Glucksberg</w:t>
      </w:r>
      <w:r w:rsidRPr="002E0DF2">
        <w:rPr>
          <w:lang w:val="en-US"/>
        </w:rPr>
        <w:t>, 521 U.S. 702, 760</w:t>
      </w:r>
      <w:r>
        <w:rPr>
          <w:lang w:val="en-US"/>
        </w:rPr>
        <w:t>–</w:t>
      </w:r>
      <w:r w:rsidRPr="002E0DF2">
        <w:rPr>
          <w:lang w:val="en-US"/>
        </w:rPr>
        <w:t>761</w:t>
      </w:r>
      <w:r w:rsidRPr="006E67FE">
        <w:rPr>
          <w:lang w:val="en-US"/>
        </w:rPr>
        <w:t xml:space="preserve"> = 117 S. Ct. </w:t>
      </w:r>
      <w:r w:rsidRPr="002E0DF2">
        <w:rPr>
          <w:lang w:val="en-US"/>
        </w:rPr>
        <w:t>2258, 2279, 2279</w:t>
      </w:r>
      <w:r w:rsidRPr="006E67FE">
        <w:rPr>
          <w:lang w:val="en-US"/>
        </w:rPr>
        <w:t xml:space="preserve"> = 117 S. Ct. </w:t>
      </w:r>
      <w:r w:rsidRPr="002E0DF2">
        <w:rPr>
          <w:lang w:val="en-US"/>
        </w:rPr>
        <w:t>2302</w:t>
      </w:r>
      <w:r w:rsidRPr="006E67FE">
        <w:rPr>
          <w:lang w:val="en-US"/>
        </w:rPr>
        <w:t xml:space="preserve"> = 138 L. Ed. </w:t>
      </w:r>
      <w:r w:rsidRPr="002E0DF2">
        <w:rPr>
          <w:lang w:val="en-US"/>
        </w:rPr>
        <w:t>2d 772, 813</w:t>
      </w:r>
      <w:r w:rsidRPr="006E67FE">
        <w:rPr>
          <w:lang w:val="en-US"/>
        </w:rPr>
        <w:t xml:space="preserve"> = 1997 U.S. LEXIS </w:t>
      </w:r>
      <w:r w:rsidRPr="002E0DF2">
        <w:rPr>
          <w:lang w:val="en-US"/>
        </w:rPr>
        <w:t>4039, 99</w:t>
      </w:r>
      <w:r w:rsidRPr="006E67FE">
        <w:rPr>
          <w:lang w:val="en-US"/>
        </w:rPr>
        <w:t xml:space="preserve"> = 65 U.S.L.W. </w:t>
      </w:r>
      <w:r w:rsidRPr="002E0DF2">
        <w:rPr>
          <w:lang w:val="en-US"/>
        </w:rPr>
        <w:t>4669</w:t>
      </w:r>
      <w:r w:rsidRPr="006E67FE">
        <w:rPr>
          <w:lang w:val="en-US"/>
        </w:rPr>
        <w:t xml:space="preserve"> = 97 Cal. Daily Op. </w:t>
      </w:r>
      <w:r w:rsidRPr="002E0DF2">
        <w:rPr>
          <w:lang w:val="en-US"/>
        </w:rPr>
        <w:t>Service 5008</w:t>
      </w:r>
      <w:r w:rsidRPr="006E67FE">
        <w:rPr>
          <w:lang w:val="en-US"/>
        </w:rPr>
        <w:t xml:space="preserve"> = 97 Daily Journal </w:t>
      </w:r>
      <w:r w:rsidRPr="002E0DF2">
        <w:rPr>
          <w:lang w:val="en-US"/>
        </w:rPr>
        <w:t>DAR 8150</w:t>
      </w:r>
      <w:r w:rsidRPr="006E67FE">
        <w:rPr>
          <w:lang w:val="en-US"/>
        </w:rPr>
        <w:t xml:space="preserve"> = 11 Fla. L. Weekly </w:t>
      </w:r>
      <w:r w:rsidRPr="002E0DF2">
        <w:rPr>
          <w:lang w:val="en-US"/>
        </w:rPr>
        <w:t xml:space="preserve">Fed. </w:t>
      </w:r>
      <w:r w:rsidRPr="000725AA">
        <w:rPr>
          <w:lang w:val="en-US"/>
        </w:rPr>
        <w:t>S 190 (1997)</w:t>
      </w:r>
      <w:r>
        <w:rPr>
          <w:lang w:val="en-US"/>
        </w:rPr>
        <w:t>.</w:t>
      </w:r>
    </w:p>
  </w:footnote>
  <w:footnote w:id="1375">
    <w:p w14:paraId="6EB39879" w14:textId="77777777" w:rsidR="00074551" w:rsidRPr="006417E0" w:rsidRDefault="00074551" w:rsidP="00074551">
      <w:pPr>
        <w:pStyle w:val="Funotentext"/>
        <w:rPr>
          <w:lang w:val="en-US"/>
        </w:rPr>
      </w:pPr>
      <w:r>
        <w:rPr>
          <w:rStyle w:val="Funotenzeichen"/>
          <w:rFonts w:eastAsiaTheme="majorEastAsia"/>
        </w:rPr>
        <w:footnoteRef/>
      </w:r>
      <w:r w:rsidRPr="00B435EC">
        <w:rPr>
          <w:lang w:val="en-US"/>
        </w:rPr>
        <w:t xml:space="preserve"> </w:t>
      </w:r>
      <w:r w:rsidRPr="009E57E1">
        <w:rPr>
          <w:i/>
          <w:lang w:val="en-US"/>
        </w:rPr>
        <w:t>Meyer v. Nebraska</w:t>
      </w:r>
      <w:r w:rsidRPr="00B435EC">
        <w:rPr>
          <w:lang w:val="en-US"/>
        </w:rPr>
        <w:t>, 262 U.S. 390</w:t>
      </w:r>
      <w:r>
        <w:rPr>
          <w:lang w:val="en-US"/>
        </w:rPr>
        <w:t xml:space="preserve">; </w:t>
      </w:r>
      <w:r w:rsidRPr="009167A5">
        <w:rPr>
          <w:i/>
          <w:lang w:val="en-US"/>
        </w:rPr>
        <w:t>Wash. v. Glucksberg</w:t>
      </w:r>
      <w:r w:rsidRPr="00B435EC">
        <w:rPr>
          <w:lang w:val="en-US"/>
        </w:rPr>
        <w:t>, 521 U.S. 702, 761</w:t>
      </w:r>
      <w:r w:rsidRPr="006E67FE">
        <w:rPr>
          <w:lang w:val="en-US"/>
        </w:rPr>
        <w:t xml:space="preserve"> = 117 S. Ct. </w:t>
      </w:r>
      <w:r w:rsidRPr="00B435EC">
        <w:rPr>
          <w:lang w:val="en-US"/>
        </w:rPr>
        <w:t>2258, 2279, 2279</w:t>
      </w:r>
      <w:r w:rsidRPr="006E67FE">
        <w:rPr>
          <w:lang w:val="en-US"/>
        </w:rPr>
        <w:t xml:space="preserve"> = 117 S. Ct. </w:t>
      </w:r>
      <w:r w:rsidRPr="00B435EC">
        <w:rPr>
          <w:lang w:val="en-US"/>
        </w:rPr>
        <w:t>2302</w:t>
      </w:r>
      <w:r w:rsidRPr="006E67FE">
        <w:rPr>
          <w:lang w:val="en-US"/>
        </w:rPr>
        <w:t xml:space="preserve"> = 138 L. Ed. </w:t>
      </w:r>
      <w:r w:rsidRPr="00B435EC">
        <w:rPr>
          <w:lang w:val="en-US"/>
        </w:rPr>
        <w:t>2d 772, 813</w:t>
      </w:r>
      <w:r w:rsidRPr="006E67FE">
        <w:rPr>
          <w:lang w:val="en-US"/>
        </w:rPr>
        <w:t xml:space="preserve"> = 1997 U.S. LEXIS </w:t>
      </w:r>
      <w:r w:rsidRPr="00B435EC">
        <w:rPr>
          <w:lang w:val="en-US"/>
        </w:rPr>
        <w:t>4039, 100</w:t>
      </w:r>
      <w:r w:rsidRPr="006E67FE">
        <w:rPr>
          <w:lang w:val="en-US"/>
        </w:rPr>
        <w:t xml:space="preserve"> = 65 U.S.L.W. </w:t>
      </w:r>
      <w:r w:rsidRPr="00B435EC">
        <w:rPr>
          <w:lang w:val="en-US"/>
        </w:rPr>
        <w:t>4669</w:t>
      </w:r>
      <w:r w:rsidRPr="006E67FE">
        <w:rPr>
          <w:lang w:val="en-US"/>
        </w:rPr>
        <w:t xml:space="preserve"> = 97 Cal. Daily Op. </w:t>
      </w:r>
      <w:r w:rsidRPr="00B435EC">
        <w:rPr>
          <w:lang w:val="en-US"/>
        </w:rPr>
        <w:t>Service 5008</w:t>
      </w:r>
      <w:r w:rsidRPr="006E67FE">
        <w:rPr>
          <w:lang w:val="en-US"/>
        </w:rPr>
        <w:t xml:space="preserve"> = 97 Daily Journal </w:t>
      </w:r>
      <w:r w:rsidRPr="00B435EC">
        <w:rPr>
          <w:lang w:val="en-US"/>
        </w:rPr>
        <w:t>DAR 8150</w:t>
      </w:r>
      <w:r w:rsidRPr="006E67FE">
        <w:rPr>
          <w:lang w:val="en-US"/>
        </w:rPr>
        <w:t xml:space="preserve"> = 11 Fla. L. Weekly </w:t>
      </w:r>
      <w:r w:rsidRPr="00B435EC">
        <w:rPr>
          <w:lang w:val="en-US"/>
        </w:rPr>
        <w:t xml:space="preserve">Fed. </w:t>
      </w:r>
      <w:r w:rsidRPr="006417E0">
        <w:rPr>
          <w:lang w:val="en-US"/>
        </w:rPr>
        <w:t>S 190 (1997).</w:t>
      </w:r>
    </w:p>
  </w:footnote>
  <w:footnote w:id="1376">
    <w:p w14:paraId="7AED5343" w14:textId="77777777" w:rsidR="00074551" w:rsidRPr="006417E0" w:rsidRDefault="00074551" w:rsidP="00074551">
      <w:pPr>
        <w:pStyle w:val="Funotentext"/>
        <w:rPr>
          <w:lang w:val="en-US"/>
        </w:rPr>
      </w:pPr>
      <w:r>
        <w:rPr>
          <w:rStyle w:val="Funotenzeichen"/>
          <w:rFonts w:eastAsiaTheme="majorEastAsia"/>
        </w:rPr>
        <w:footnoteRef/>
      </w:r>
      <w:r w:rsidRPr="006417E0">
        <w:rPr>
          <w:lang w:val="en-US"/>
        </w:rPr>
        <w:t xml:space="preserve"> </w:t>
      </w:r>
      <w:r w:rsidRPr="009E57E1">
        <w:rPr>
          <w:i/>
          <w:lang w:val="en-US"/>
        </w:rPr>
        <w:t>Meyer v. Nebraska</w:t>
      </w:r>
      <w:r w:rsidRPr="00B435EC">
        <w:rPr>
          <w:lang w:val="en-US"/>
        </w:rPr>
        <w:t>, 262 U.S. 390</w:t>
      </w:r>
      <w:r>
        <w:rPr>
          <w:lang w:val="en-US"/>
        </w:rPr>
        <w:t xml:space="preserve">, 400; </w:t>
      </w:r>
      <w:r w:rsidRPr="009167A5">
        <w:rPr>
          <w:i/>
          <w:lang w:val="en-US"/>
        </w:rPr>
        <w:t>Wash. v. Glucksberg</w:t>
      </w:r>
      <w:r w:rsidRPr="006417E0">
        <w:rPr>
          <w:lang w:val="en-US"/>
        </w:rPr>
        <w:t>, 521 U.S. 702, 761</w:t>
      </w:r>
      <w:r w:rsidRPr="006E67FE">
        <w:rPr>
          <w:lang w:val="en-US"/>
        </w:rPr>
        <w:t xml:space="preserve"> = 117 S. Ct. </w:t>
      </w:r>
      <w:r w:rsidRPr="006417E0">
        <w:rPr>
          <w:lang w:val="en-US"/>
        </w:rPr>
        <w:t>2258, 2280, 2280</w:t>
      </w:r>
      <w:r w:rsidRPr="006E67FE">
        <w:rPr>
          <w:lang w:val="en-US"/>
        </w:rPr>
        <w:t xml:space="preserve"> = 117 S. Ct. </w:t>
      </w:r>
      <w:r w:rsidRPr="006417E0">
        <w:rPr>
          <w:lang w:val="en-US"/>
        </w:rPr>
        <w:t>2302</w:t>
      </w:r>
      <w:r w:rsidRPr="006E67FE">
        <w:rPr>
          <w:lang w:val="en-US"/>
        </w:rPr>
        <w:t xml:space="preserve"> = 138 L. Ed. </w:t>
      </w:r>
      <w:r w:rsidRPr="006417E0">
        <w:rPr>
          <w:lang w:val="en-US"/>
        </w:rPr>
        <w:t>2d 772, 813</w:t>
      </w:r>
      <w:r w:rsidRPr="006E67FE">
        <w:rPr>
          <w:lang w:val="en-US"/>
        </w:rPr>
        <w:t xml:space="preserve"> = 1997 U.S. LEXIS </w:t>
      </w:r>
      <w:r w:rsidRPr="006417E0">
        <w:rPr>
          <w:lang w:val="en-US"/>
        </w:rPr>
        <w:t>4039, 101</w:t>
      </w:r>
      <w:r w:rsidRPr="006E67FE">
        <w:rPr>
          <w:lang w:val="en-US"/>
        </w:rPr>
        <w:t xml:space="preserve"> = 65 U.S.L.W. </w:t>
      </w:r>
      <w:r w:rsidRPr="006417E0">
        <w:rPr>
          <w:lang w:val="en-US"/>
        </w:rPr>
        <w:t>4669</w:t>
      </w:r>
      <w:r w:rsidRPr="006E67FE">
        <w:rPr>
          <w:lang w:val="en-US"/>
        </w:rPr>
        <w:t xml:space="preserve"> = 97 Cal. Daily Op. </w:t>
      </w:r>
      <w:r w:rsidRPr="006417E0">
        <w:rPr>
          <w:lang w:val="en-US"/>
        </w:rPr>
        <w:t>Service 5008</w:t>
      </w:r>
      <w:r w:rsidRPr="006E67FE">
        <w:rPr>
          <w:lang w:val="en-US"/>
        </w:rPr>
        <w:t xml:space="preserve"> = 97 Daily Journal </w:t>
      </w:r>
      <w:r w:rsidRPr="006417E0">
        <w:rPr>
          <w:lang w:val="en-US"/>
        </w:rPr>
        <w:t>DAR 8150</w:t>
      </w:r>
      <w:r w:rsidRPr="006E67FE">
        <w:rPr>
          <w:lang w:val="en-US"/>
        </w:rPr>
        <w:t xml:space="preserve"> = 11 Fla. L. Weekly </w:t>
      </w:r>
      <w:r w:rsidRPr="006417E0">
        <w:rPr>
          <w:lang w:val="en-US"/>
        </w:rPr>
        <w:t>Fed. S 190 (1997)</w:t>
      </w:r>
      <w:r>
        <w:rPr>
          <w:lang w:val="en-US"/>
        </w:rPr>
        <w:t>.</w:t>
      </w:r>
    </w:p>
  </w:footnote>
  <w:footnote w:id="1377">
    <w:p w14:paraId="7DA03489" w14:textId="77777777" w:rsidR="00074551" w:rsidRPr="000D444C" w:rsidRDefault="00074551" w:rsidP="00074551">
      <w:pPr>
        <w:pStyle w:val="Funotentext"/>
        <w:rPr>
          <w:lang w:val="en-US"/>
        </w:rPr>
      </w:pPr>
      <w:r>
        <w:rPr>
          <w:rStyle w:val="Funotenzeichen"/>
          <w:rFonts w:eastAsiaTheme="majorEastAsia"/>
        </w:rPr>
        <w:footnoteRef/>
      </w:r>
      <w:r w:rsidRPr="000D444C">
        <w:rPr>
          <w:lang w:val="en-US"/>
        </w:rPr>
        <w:t xml:space="preserve"> </w:t>
      </w:r>
      <w:r w:rsidRPr="009E57E1">
        <w:rPr>
          <w:i/>
          <w:lang w:val="en-US"/>
        </w:rPr>
        <w:t>Meyer v. Nebraska</w:t>
      </w:r>
      <w:r w:rsidRPr="00B435EC">
        <w:rPr>
          <w:lang w:val="en-US"/>
        </w:rPr>
        <w:t>, 262 U.S. 390</w:t>
      </w:r>
      <w:r>
        <w:rPr>
          <w:lang w:val="en-US"/>
        </w:rPr>
        <w:t xml:space="preserve">, 403; </w:t>
      </w:r>
      <w:r w:rsidRPr="009167A5">
        <w:rPr>
          <w:i/>
          <w:lang w:val="en-US"/>
        </w:rPr>
        <w:t>Pierce v. Society of Sisters</w:t>
      </w:r>
      <w:r w:rsidRPr="000D444C">
        <w:rPr>
          <w:lang w:val="en-US"/>
        </w:rPr>
        <w:t>, 268 U.S. 510, 534-536 (1925)</w:t>
      </w:r>
      <w:r>
        <w:rPr>
          <w:lang w:val="en-US"/>
        </w:rPr>
        <w:t xml:space="preserve">; </w:t>
      </w:r>
      <w:r w:rsidRPr="009167A5">
        <w:rPr>
          <w:i/>
          <w:lang w:val="en-US"/>
        </w:rPr>
        <w:t>Wash. v. Glucksberg</w:t>
      </w:r>
      <w:r w:rsidRPr="000D444C">
        <w:rPr>
          <w:lang w:val="en-US"/>
        </w:rPr>
        <w:t>, 521 U.S. 702, 761</w:t>
      </w:r>
      <w:r w:rsidRPr="006E67FE">
        <w:rPr>
          <w:lang w:val="en-US"/>
        </w:rPr>
        <w:t xml:space="preserve"> = 117 S. Ct. </w:t>
      </w:r>
      <w:r w:rsidRPr="000D444C">
        <w:rPr>
          <w:lang w:val="en-US"/>
        </w:rPr>
        <w:t>2258, 2280, 2280</w:t>
      </w:r>
      <w:r w:rsidRPr="006E67FE">
        <w:rPr>
          <w:lang w:val="en-US"/>
        </w:rPr>
        <w:t xml:space="preserve"> = 117 S. Ct. </w:t>
      </w:r>
      <w:r w:rsidRPr="000D444C">
        <w:rPr>
          <w:lang w:val="en-US"/>
        </w:rPr>
        <w:t>2302</w:t>
      </w:r>
      <w:r w:rsidRPr="006E67FE">
        <w:rPr>
          <w:lang w:val="en-US"/>
        </w:rPr>
        <w:t xml:space="preserve"> = 138 L. Ed. </w:t>
      </w:r>
      <w:r w:rsidRPr="000D444C">
        <w:rPr>
          <w:lang w:val="en-US"/>
        </w:rPr>
        <w:t>2d 772, 814</w:t>
      </w:r>
      <w:r w:rsidRPr="006E67FE">
        <w:rPr>
          <w:lang w:val="en-US"/>
        </w:rPr>
        <w:t xml:space="preserve"> = 1997 U.S. LEXIS </w:t>
      </w:r>
      <w:r w:rsidRPr="000D444C">
        <w:rPr>
          <w:lang w:val="en-US"/>
        </w:rPr>
        <w:t>4039, 101</w:t>
      </w:r>
      <w:r w:rsidRPr="006E67FE">
        <w:rPr>
          <w:lang w:val="en-US"/>
        </w:rPr>
        <w:t xml:space="preserve"> = 65 U.S.L.W. </w:t>
      </w:r>
      <w:r w:rsidRPr="000D444C">
        <w:rPr>
          <w:lang w:val="en-US"/>
        </w:rPr>
        <w:t>4669</w:t>
      </w:r>
      <w:r w:rsidRPr="006E67FE">
        <w:rPr>
          <w:lang w:val="en-US"/>
        </w:rPr>
        <w:t xml:space="preserve"> = 97 Cal. Daily Op. </w:t>
      </w:r>
      <w:r w:rsidRPr="000D444C">
        <w:rPr>
          <w:lang w:val="en-US"/>
        </w:rPr>
        <w:t>Service 5008</w:t>
      </w:r>
      <w:r w:rsidRPr="006E67FE">
        <w:rPr>
          <w:lang w:val="en-US"/>
        </w:rPr>
        <w:t xml:space="preserve"> = 97 Daily Journal </w:t>
      </w:r>
      <w:r w:rsidRPr="000D444C">
        <w:rPr>
          <w:lang w:val="en-US"/>
        </w:rPr>
        <w:t>DAR 8150</w:t>
      </w:r>
      <w:r w:rsidRPr="006E67FE">
        <w:rPr>
          <w:lang w:val="en-US"/>
        </w:rPr>
        <w:t xml:space="preserve"> = 11 Fla. L. Weekly </w:t>
      </w:r>
      <w:r w:rsidRPr="000D444C">
        <w:rPr>
          <w:lang w:val="en-US"/>
        </w:rPr>
        <w:t>Fed. S 190 (1997)</w:t>
      </w:r>
      <w:r>
        <w:rPr>
          <w:lang w:val="en-US"/>
        </w:rPr>
        <w:t>.</w:t>
      </w:r>
    </w:p>
  </w:footnote>
  <w:footnote w:id="1378">
    <w:p w14:paraId="060C6E13" w14:textId="77777777" w:rsidR="00074551" w:rsidRPr="000D444C" w:rsidRDefault="00074551" w:rsidP="00074551">
      <w:pPr>
        <w:pStyle w:val="Funotentext"/>
        <w:rPr>
          <w:lang w:val="en-US"/>
        </w:rPr>
      </w:pPr>
      <w:r>
        <w:rPr>
          <w:rStyle w:val="Funotenzeichen"/>
          <w:rFonts w:eastAsiaTheme="majorEastAsia"/>
        </w:rPr>
        <w:footnoteRef/>
      </w:r>
      <w:r w:rsidRPr="000D444C">
        <w:rPr>
          <w:lang w:val="en-US"/>
        </w:rPr>
        <w:t xml:space="preserve"> </w:t>
      </w:r>
      <w:r w:rsidRPr="009167A5">
        <w:rPr>
          <w:i/>
          <w:lang w:val="en-US"/>
        </w:rPr>
        <w:t>Pierce v. Society of Sisters</w:t>
      </w:r>
      <w:r w:rsidRPr="000D444C">
        <w:rPr>
          <w:lang w:val="en-US"/>
        </w:rPr>
        <w:t>, 268 U.S. 510, 534</w:t>
      </w:r>
      <w:r>
        <w:rPr>
          <w:lang w:val="en-US"/>
        </w:rPr>
        <w:t>–</w:t>
      </w:r>
      <w:r w:rsidRPr="000D444C">
        <w:rPr>
          <w:lang w:val="en-US"/>
        </w:rPr>
        <w:t>536 (1925)</w:t>
      </w:r>
      <w:r>
        <w:rPr>
          <w:lang w:val="en-US"/>
        </w:rPr>
        <w:t>.</w:t>
      </w:r>
    </w:p>
  </w:footnote>
  <w:footnote w:id="1379">
    <w:p w14:paraId="25E77D96" w14:textId="77777777" w:rsidR="00074551" w:rsidRPr="000D444C" w:rsidRDefault="00074551" w:rsidP="00074551">
      <w:pPr>
        <w:pStyle w:val="Funotentext"/>
        <w:rPr>
          <w:lang w:val="en-US"/>
        </w:rPr>
      </w:pPr>
      <w:r>
        <w:rPr>
          <w:rStyle w:val="Funotenzeichen"/>
          <w:rFonts w:eastAsiaTheme="majorEastAsia"/>
        </w:rPr>
        <w:footnoteRef/>
      </w:r>
      <w:r w:rsidRPr="000D444C">
        <w:rPr>
          <w:lang w:val="en-US"/>
        </w:rPr>
        <w:t xml:space="preserve"> </w:t>
      </w:r>
      <w:r w:rsidRPr="00B45592">
        <w:rPr>
          <w:i/>
          <w:lang w:val="en-US"/>
        </w:rPr>
        <w:t>Palko v. Connecticut</w:t>
      </w:r>
      <w:r w:rsidRPr="000D444C">
        <w:rPr>
          <w:lang w:val="en-US"/>
        </w:rPr>
        <w:t>, 302 U.S. 319, 327</w:t>
      </w:r>
      <w:r>
        <w:rPr>
          <w:lang w:val="en-US"/>
        </w:rPr>
        <w:t>–</w:t>
      </w:r>
      <w:r w:rsidRPr="000D444C">
        <w:rPr>
          <w:lang w:val="en-US"/>
        </w:rPr>
        <w:t>238 (1937)</w:t>
      </w:r>
      <w:r>
        <w:rPr>
          <w:lang w:val="en-US"/>
        </w:rPr>
        <w:t>.</w:t>
      </w:r>
    </w:p>
  </w:footnote>
  <w:footnote w:id="1380">
    <w:p w14:paraId="3CC99D30" w14:textId="77777777" w:rsidR="00074551" w:rsidRPr="00B45592" w:rsidRDefault="00074551" w:rsidP="00074551">
      <w:pPr>
        <w:pStyle w:val="Funotentext"/>
        <w:ind w:left="227" w:hanging="227"/>
      </w:pPr>
      <w:r>
        <w:rPr>
          <w:rStyle w:val="Funotenzeichen"/>
          <w:rFonts w:eastAsiaTheme="majorEastAsia"/>
        </w:rPr>
        <w:footnoteRef/>
      </w:r>
      <w:r w:rsidRPr="00B45592">
        <w:t xml:space="preserve"> Als Beleg dafür wird die Formulierung „fundamental </w:t>
      </w:r>
      <w:proofErr w:type="spellStart"/>
      <w:r w:rsidRPr="00B45592">
        <w:t>principles</w:t>
      </w:r>
      <w:proofErr w:type="spellEnd"/>
      <w:r w:rsidRPr="00B45592">
        <w:t xml:space="preserve"> of </w:t>
      </w:r>
      <w:proofErr w:type="spellStart"/>
      <w:r w:rsidRPr="00B45592">
        <w:t>liberty</w:t>
      </w:r>
      <w:proofErr w:type="spellEnd"/>
      <w:r w:rsidRPr="00B45592">
        <w:t xml:space="preserve"> and </w:t>
      </w:r>
      <w:proofErr w:type="spellStart"/>
      <w:r w:rsidRPr="00B45592">
        <w:t>justice</w:t>
      </w:r>
      <w:proofErr w:type="spellEnd"/>
      <w:r w:rsidRPr="00B45592">
        <w:t xml:space="preserve">“ an den </w:t>
      </w:r>
      <w:proofErr w:type="spellStart"/>
      <w:r w:rsidRPr="00B45592">
        <w:t>Bedingugen</w:t>
      </w:r>
      <w:proofErr w:type="spellEnd"/>
      <w:r w:rsidRPr="00B45592">
        <w:t xml:space="preserve"> für Glücksstreben konkretisiert, wie hier: </w:t>
      </w:r>
      <w:proofErr w:type="gramStart"/>
      <w:r w:rsidRPr="00B45592">
        <w:t>„,fundamental</w:t>
      </w:r>
      <w:proofErr w:type="gramEnd"/>
      <w:r w:rsidRPr="00B45592">
        <w:t xml:space="preserve"> </w:t>
      </w:r>
      <w:proofErr w:type="spellStart"/>
      <w:r w:rsidRPr="00B45592">
        <w:t>principles</w:t>
      </w:r>
      <w:proofErr w:type="spellEnd"/>
      <w:r w:rsidRPr="00B45592">
        <w:t xml:space="preserve"> of </w:t>
      </w:r>
      <w:proofErr w:type="spellStart"/>
      <w:r w:rsidRPr="00B45592">
        <w:t>liberty</w:t>
      </w:r>
      <w:proofErr w:type="spellEnd"/>
      <w:r w:rsidRPr="00B45592">
        <w:t xml:space="preserve"> and </w:t>
      </w:r>
    </w:p>
    <w:p w14:paraId="1DA00F09" w14:textId="77777777" w:rsidR="00074551" w:rsidRDefault="00074551" w:rsidP="00074551">
      <w:pPr>
        <w:pStyle w:val="Funotentext"/>
        <w:ind w:left="227" w:hanging="227"/>
        <w:rPr>
          <w:lang w:val="en-US"/>
        </w:rPr>
      </w:pPr>
      <w:r w:rsidRPr="000E68FE">
        <w:rPr>
          <w:lang w:val="en-US"/>
        </w:rPr>
        <w:t xml:space="preserve">justice which </w:t>
      </w:r>
      <w:proofErr w:type="gramStart"/>
      <w:r w:rsidRPr="000E68FE">
        <w:rPr>
          <w:lang w:val="en-US"/>
        </w:rPr>
        <w:t>lie</w:t>
      </w:r>
      <w:proofErr w:type="gramEnd"/>
      <w:r w:rsidRPr="000E68FE">
        <w:rPr>
          <w:lang w:val="en-US"/>
        </w:rPr>
        <w:t xml:space="preserve"> at the base of all our civil and political </w:t>
      </w:r>
      <w:proofErr w:type="gramStart"/>
      <w:r w:rsidRPr="000E68FE">
        <w:rPr>
          <w:lang w:val="en-US"/>
        </w:rPr>
        <w:t>institutions</w:t>
      </w:r>
      <w:r>
        <w:rPr>
          <w:lang w:val="en-US"/>
        </w:rPr>
        <w:t>‘ (</w:t>
      </w:r>
      <w:proofErr w:type="gramEnd"/>
      <w:r>
        <w:rPr>
          <w:lang w:val="en-US"/>
        </w:rPr>
        <w:t xml:space="preserve">in </w:t>
      </w:r>
      <w:r w:rsidRPr="00B45592">
        <w:rPr>
          <w:i/>
          <w:lang w:val="en-US"/>
        </w:rPr>
        <w:t>Powell v. Alabama</w:t>
      </w:r>
      <w:r w:rsidRPr="000E68FE">
        <w:rPr>
          <w:lang w:val="en-US"/>
        </w:rPr>
        <w:t>, 287 U.S. 45, 67</w:t>
      </w:r>
      <w:r>
        <w:rPr>
          <w:lang w:val="en-US"/>
        </w:rPr>
        <w:t xml:space="preserve">) […] </w:t>
      </w:r>
      <w:r w:rsidRPr="000E68FE">
        <w:rPr>
          <w:lang w:val="en-US"/>
        </w:rPr>
        <w:t xml:space="preserve">Mr. Justice Brandeis, dissenting in </w:t>
      </w:r>
      <w:r w:rsidRPr="009167A5">
        <w:rPr>
          <w:i/>
          <w:lang w:val="en-US"/>
        </w:rPr>
        <w:t>Olmstead v. United States</w:t>
      </w:r>
      <w:r w:rsidRPr="000E68FE">
        <w:rPr>
          <w:lang w:val="en-US"/>
        </w:rPr>
        <w:t xml:space="preserve">, 277 U.S. 438, </w:t>
      </w:r>
    </w:p>
    <w:p w14:paraId="206D8285" w14:textId="77777777" w:rsidR="00074551" w:rsidRDefault="00074551" w:rsidP="00074551">
      <w:pPr>
        <w:pStyle w:val="Funotentext"/>
        <w:ind w:left="227" w:hanging="227"/>
        <w:rPr>
          <w:lang w:val="en-US"/>
        </w:rPr>
      </w:pPr>
      <w:r w:rsidRPr="000E68FE">
        <w:rPr>
          <w:lang w:val="en-US"/>
        </w:rPr>
        <w:t>478, comprehensively summarized the principles underlying the Constitution</w:t>
      </w:r>
      <w:r>
        <w:rPr>
          <w:lang w:val="en-US"/>
        </w:rPr>
        <w:t>’</w:t>
      </w:r>
      <w:r w:rsidRPr="000E68FE">
        <w:rPr>
          <w:lang w:val="en-US"/>
        </w:rPr>
        <w:t>s guarantees of privacy</w:t>
      </w:r>
      <w:proofErr w:type="gramStart"/>
      <w:r w:rsidRPr="000E68FE">
        <w:rPr>
          <w:lang w:val="en-US"/>
        </w:rPr>
        <w:t>:</w:t>
      </w:r>
      <w:r>
        <w:rPr>
          <w:lang w:val="en-US"/>
        </w:rPr>
        <w:t xml:space="preserve"> ,</w:t>
      </w:r>
      <w:proofErr w:type="gramEnd"/>
      <w:r>
        <w:rPr>
          <w:lang w:val="en-US"/>
        </w:rPr>
        <w:t xml:space="preserve">[…] </w:t>
      </w:r>
      <w:r w:rsidRPr="000E68FE">
        <w:rPr>
          <w:lang w:val="en-US"/>
        </w:rPr>
        <w:t xml:space="preserve">The makers of our Constitution undertook to secure conditions favorable to the </w:t>
      </w:r>
    </w:p>
    <w:p w14:paraId="2434EF47" w14:textId="77777777" w:rsidR="00074551" w:rsidRPr="000E68FE" w:rsidRDefault="00074551" w:rsidP="00074551">
      <w:pPr>
        <w:pStyle w:val="Funotentext"/>
        <w:ind w:left="227" w:hanging="227"/>
        <w:rPr>
          <w:lang w:val="en-US"/>
        </w:rPr>
      </w:pPr>
      <w:r w:rsidRPr="000E68FE">
        <w:rPr>
          <w:lang w:val="en-US"/>
        </w:rPr>
        <w:t xml:space="preserve">pursuit of </w:t>
      </w:r>
      <w:proofErr w:type="gramStart"/>
      <w:r w:rsidRPr="000E68FE">
        <w:rPr>
          <w:lang w:val="en-US"/>
        </w:rPr>
        <w:t>happiness.</w:t>
      </w:r>
      <w:r>
        <w:rPr>
          <w:lang w:val="en-US"/>
        </w:rPr>
        <w:t>‘</w:t>
      </w:r>
      <w:proofErr w:type="gramEnd"/>
      <w:r>
        <w:rPr>
          <w:lang w:val="en-US"/>
        </w:rPr>
        <w:t xml:space="preserve">“, in </w:t>
      </w:r>
      <w:r w:rsidRPr="009167A5">
        <w:rPr>
          <w:i/>
          <w:lang w:val="en-US"/>
        </w:rPr>
        <w:t>Griswold v. Connecticut</w:t>
      </w:r>
      <w:r w:rsidRPr="000E68FE">
        <w:rPr>
          <w:lang w:val="en-US"/>
        </w:rPr>
        <w:t>, 381 U.S. 479, 493</w:t>
      </w:r>
      <w:r>
        <w:rPr>
          <w:lang w:val="en-US"/>
        </w:rPr>
        <w:t>–</w:t>
      </w:r>
      <w:r w:rsidRPr="000E68FE">
        <w:rPr>
          <w:lang w:val="en-US"/>
        </w:rPr>
        <w:t>494</w:t>
      </w:r>
      <w:r w:rsidRPr="006E67FE">
        <w:rPr>
          <w:lang w:val="en-US"/>
        </w:rPr>
        <w:t xml:space="preserve"> = 85 S. Ct. </w:t>
      </w:r>
      <w:r w:rsidRPr="000E68FE">
        <w:rPr>
          <w:lang w:val="en-US"/>
        </w:rPr>
        <w:t>1678, 1686</w:t>
      </w:r>
      <w:r>
        <w:rPr>
          <w:lang w:val="en-US"/>
        </w:rPr>
        <w:t>–</w:t>
      </w:r>
      <w:r w:rsidRPr="000E68FE">
        <w:rPr>
          <w:lang w:val="en-US"/>
        </w:rPr>
        <w:t>1687</w:t>
      </w:r>
      <w:r w:rsidRPr="003B741A">
        <w:rPr>
          <w:lang w:val="en-US"/>
        </w:rPr>
        <w:t xml:space="preserve"> = 14 L. Ed. </w:t>
      </w:r>
      <w:r w:rsidRPr="000E68FE">
        <w:rPr>
          <w:lang w:val="en-US"/>
        </w:rPr>
        <w:t>2d 510, 520</w:t>
      </w:r>
      <w:r>
        <w:rPr>
          <w:lang w:val="en-US"/>
        </w:rPr>
        <w:t>–</w:t>
      </w:r>
      <w:r w:rsidRPr="000E68FE">
        <w:rPr>
          <w:lang w:val="en-US"/>
        </w:rPr>
        <w:t>521</w:t>
      </w:r>
      <w:r w:rsidRPr="006E67FE">
        <w:rPr>
          <w:lang w:val="en-US"/>
        </w:rPr>
        <w:t xml:space="preserve"> = 1965 U.S. LEXIS </w:t>
      </w:r>
      <w:r w:rsidRPr="000E68FE">
        <w:rPr>
          <w:lang w:val="en-US"/>
        </w:rPr>
        <w:t>2282, 24</w:t>
      </w:r>
      <w:r>
        <w:rPr>
          <w:lang w:val="en-US"/>
        </w:rPr>
        <w:t>–</w:t>
      </w:r>
      <w:r w:rsidRPr="000E68FE">
        <w:rPr>
          <w:lang w:val="en-US"/>
        </w:rPr>
        <w:t>25 (1965)</w:t>
      </w:r>
      <w:r>
        <w:rPr>
          <w:lang w:val="en-US"/>
        </w:rPr>
        <w:t>.</w:t>
      </w:r>
    </w:p>
  </w:footnote>
  <w:footnote w:id="1381">
    <w:p w14:paraId="1DCC2ACC" w14:textId="77777777" w:rsidR="00074551" w:rsidRPr="000D444C" w:rsidRDefault="00074551" w:rsidP="00074551">
      <w:pPr>
        <w:pStyle w:val="Funotentext"/>
        <w:rPr>
          <w:lang w:val="en-US"/>
        </w:rPr>
      </w:pPr>
      <w:r>
        <w:rPr>
          <w:rStyle w:val="Funotenzeichen"/>
          <w:rFonts w:eastAsiaTheme="majorEastAsia"/>
        </w:rPr>
        <w:footnoteRef/>
      </w:r>
      <w:r w:rsidRPr="00B45592">
        <w:rPr>
          <w:lang w:val="fr-FR"/>
        </w:rPr>
        <w:t xml:space="preserve"> </w:t>
      </w:r>
      <w:r w:rsidRPr="009572B5">
        <w:rPr>
          <w:i/>
          <w:lang w:val="fr-FR"/>
        </w:rPr>
        <w:t>Skinner v. Oklahoma</w:t>
      </w:r>
      <w:r w:rsidRPr="009167A5">
        <w:rPr>
          <w:i/>
          <w:lang w:val="fr-FR"/>
        </w:rPr>
        <w:t xml:space="preserve"> ex rel. </w:t>
      </w:r>
      <w:r w:rsidRPr="00B45592">
        <w:rPr>
          <w:i/>
          <w:lang w:val="en-IE"/>
        </w:rPr>
        <w:t>Williamson</w:t>
      </w:r>
      <w:r w:rsidRPr="000D444C">
        <w:rPr>
          <w:lang w:val="en-US"/>
        </w:rPr>
        <w:t>, 316 U.S. 535 (1942</w:t>
      </w:r>
      <w:proofErr w:type="gramStart"/>
      <w:r w:rsidRPr="000D444C">
        <w:rPr>
          <w:lang w:val="en-US"/>
        </w:rPr>
        <w:t>)</w:t>
      </w:r>
      <w:r>
        <w:rPr>
          <w:lang w:val="en-US"/>
        </w:rPr>
        <w:t>;</w:t>
      </w:r>
      <w:proofErr w:type="gramEnd"/>
      <w:r>
        <w:rPr>
          <w:lang w:val="en-US"/>
        </w:rPr>
        <w:t xml:space="preserve"> </w:t>
      </w:r>
      <w:r w:rsidRPr="009167A5">
        <w:rPr>
          <w:i/>
          <w:lang w:val="en-US"/>
        </w:rPr>
        <w:t>Wash. v. Glucksberg</w:t>
      </w:r>
      <w:r w:rsidRPr="000D444C">
        <w:rPr>
          <w:lang w:val="en-US"/>
        </w:rPr>
        <w:t>, 521 U.S. 702, 762</w:t>
      </w:r>
      <w:r w:rsidRPr="006E67FE">
        <w:rPr>
          <w:lang w:val="en-US"/>
        </w:rPr>
        <w:t xml:space="preserve"> = 117 S. Ct. </w:t>
      </w:r>
      <w:r w:rsidRPr="000D444C">
        <w:rPr>
          <w:lang w:val="en-US"/>
        </w:rPr>
        <w:t>2258, 2280, 2280</w:t>
      </w:r>
      <w:r w:rsidRPr="006E67FE">
        <w:rPr>
          <w:lang w:val="en-US"/>
        </w:rPr>
        <w:t xml:space="preserve"> = 117 S. Ct. </w:t>
      </w:r>
      <w:r w:rsidRPr="000D444C">
        <w:rPr>
          <w:lang w:val="en-US"/>
        </w:rPr>
        <w:t>2302</w:t>
      </w:r>
      <w:r w:rsidRPr="006E67FE">
        <w:rPr>
          <w:lang w:val="en-US"/>
        </w:rPr>
        <w:t xml:space="preserve"> = 138 L. Ed. </w:t>
      </w:r>
      <w:r w:rsidRPr="000D444C">
        <w:rPr>
          <w:lang w:val="en-US"/>
        </w:rPr>
        <w:t>2d 772, 814</w:t>
      </w:r>
      <w:r w:rsidRPr="006E67FE">
        <w:rPr>
          <w:lang w:val="en-US"/>
        </w:rPr>
        <w:t xml:space="preserve"> = 1997 U.S. LEXIS </w:t>
      </w:r>
      <w:r w:rsidRPr="000D444C">
        <w:rPr>
          <w:lang w:val="en-US"/>
        </w:rPr>
        <w:t>4039, 102</w:t>
      </w:r>
      <w:r w:rsidRPr="006E67FE">
        <w:rPr>
          <w:lang w:val="en-US"/>
        </w:rPr>
        <w:t xml:space="preserve"> = 65 U.S.L.W. </w:t>
      </w:r>
      <w:r w:rsidRPr="000D444C">
        <w:rPr>
          <w:lang w:val="en-US"/>
        </w:rPr>
        <w:t>4669</w:t>
      </w:r>
      <w:r w:rsidRPr="006E67FE">
        <w:rPr>
          <w:lang w:val="en-US"/>
        </w:rPr>
        <w:t xml:space="preserve"> = 97 Cal. Daily Op. </w:t>
      </w:r>
      <w:r w:rsidRPr="000D444C">
        <w:rPr>
          <w:lang w:val="en-US"/>
        </w:rPr>
        <w:t>Service 5008</w:t>
      </w:r>
      <w:r w:rsidRPr="006E67FE">
        <w:rPr>
          <w:lang w:val="en-US"/>
        </w:rPr>
        <w:t xml:space="preserve"> = 97 Daily Journal </w:t>
      </w:r>
      <w:r w:rsidRPr="000D444C">
        <w:rPr>
          <w:lang w:val="en-US"/>
        </w:rPr>
        <w:t>DAR 8150</w:t>
      </w:r>
      <w:r w:rsidRPr="006E67FE">
        <w:rPr>
          <w:lang w:val="en-US"/>
        </w:rPr>
        <w:t xml:space="preserve"> = 11 Fla. L. Weekly </w:t>
      </w:r>
      <w:r w:rsidRPr="000D444C">
        <w:rPr>
          <w:lang w:val="en-US"/>
        </w:rPr>
        <w:t>Fed. S 190 (1997)</w:t>
      </w:r>
      <w:r>
        <w:rPr>
          <w:lang w:val="en-US"/>
        </w:rPr>
        <w:t>.</w:t>
      </w:r>
    </w:p>
  </w:footnote>
  <w:footnote w:id="1382">
    <w:p w14:paraId="3C9289D5" w14:textId="77777777" w:rsidR="00074551" w:rsidRPr="00901083" w:rsidRDefault="00074551" w:rsidP="00074551">
      <w:pPr>
        <w:pStyle w:val="Funotentext"/>
        <w:rPr>
          <w:lang w:val="en-US"/>
        </w:rPr>
      </w:pPr>
      <w:r>
        <w:rPr>
          <w:rStyle w:val="Funotenzeichen"/>
          <w:rFonts w:eastAsiaTheme="majorEastAsia"/>
        </w:rPr>
        <w:footnoteRef/>
      </w:r>
      <w:r w:rsidRPr="00901083">
        <w:rPr>
          <w:lang w:val="en-US"/>
        </w:rPr>
        <w:t xml:space="preserve"> </w:t>
      </w:r>
      <w:r w:rsidRPr="009167A5">
        <w:rPr>
          <w:i/>
          <w:lang w:val="en-US"/>
        </w:rPr>
        <w:t>Wash. v. Glucksberg</w:t>
      </w:r>
      <w:r w:rsidRPr="00901083">
        <w:rPr>
          <w:lang w:val="en-US"/>
        </w:rPr>
        <w:t>, 521 U.S. 702, 762</w:t>
      </w:r>
      <w:r w:rsidRPr="006E67FE">
        <w:rPr>
          <w:lang w:val="en-US"/>
        </w:rPr>
        <w:t xml:space="preserve"> = 117 S. Ct. </w:t>
      </w:r>
      <w:r w:rsidRPr="00901083">
        <w:rPr>
          <w:lang w:val="en-US"/>
        </w:rPr>
        <w:t>2258, 2280, 2280</w:t>
      </w:r>
      <w:r w:rsidRPr="006E67FE">
        <w:rPr>
          <w:lang w:val="en-US"/>
        </w:rPr>
        <w:t xml:space="preserve"> = 117 S. Ct. </w:t>
      </w:r>
      <w:r w:rsidRPr="00901083">
        <w:rPr>
          <w:lang w:val="en-US"/>
        </w:rPr>
        <w:t>2302</w:t>
      </w:r>
      <w:r w:rsidRPr="006E67FE">
        <w:rPr>
          <w:lang w:val="en-US"/>
        </w:rPr>
        <w:t xml:space="preserve"> = 138 L. Ed. </w:t>
      </w:r>
      <w:r w:rsidRPr="00901083">
        <w:rPr>
          <w:lang w:val="en-US"/>
        </w:rPr>
        <w:t>2d 772, 814</w:t>
      </w:r>
      <w:r w:rsidRPr="006E67FE">
        <w:rPr>
          <w:lang w:val="en-US"/>
        </w:rPr>
        <w:t xml:space="preserve"> = 1997 U.S. LEXIS </w:t>
      </w:r>
      <w:r w:rsidRPr="00901083">
        <w:rPr>
          <w:lang w:val="en-US"/>
        </w:rPr>
        <w:t>4039, 102</w:t>
      </w:r>
      <w:r w:rsidRPr="006E67FE">
        <w:rPr>
          <w:lang w:val="en-US"/>
        </w:rPr>
        <w:t xml:space="preserve"> = 65 U.S.L.W. </w:t>
      </w:r>
      <w:r w:rsidRPr="00901083">
        <w:rPr>
          <w:lang w:val="en-US"/>
        </w:rPr>
        <w:t>4669</w:t>
      </w:r>
      <w:r w:rsidRPr="006E67FE">
        <w:rPr>
          <w:lang w:val="en-US"/>
        </w:rPr>
        <w:t xml:space="preserve"> = 97 Cal. Daily Op. </w:t>
      </w:r>
      <w:r w:rsidRPr="00901083">
        <w:rPr>
          <w:lang w:val="en-US"/>
        </w:rPr>
        <w:t>Service 5008</w:t>
      </w:r>
      <w:r w:rsidRPr="006E67FE">
        <w:rPr>
          <w:lang w:val="en-US"/>
        </w:rPr>
        <w:t xml:space="preserve"> = 97 Daily Journal </w:t>
      </w:r>
      <w:r w:rsidRPr="00901083">
        <w:rPr>
          <w:lang w:val="en-US"/>
        </w:rPr>
        <w:t>DAR 8150</w:t>
      </w:r>
      <w:r w:rsidRPr="006E67FE">
        <w:rPr>
          <w:lang w:val="en-US"/>
        </w:rPr>
        <w:t xml:space="preserve"> = 11 Fla. L. Weekly </w:t>
      </w:r>
      <w:r w:rsidRPr="00901083">
        <w:rPr>
          <w:lang w:val="en-US"/>
        </w:rPr>
        <w:t>Fed. S 190 (1997)</w:t>
      </w:r>
      <w:r>
        <w:rPr>
          <w:lang w:val="en-US"/>
        </w:rPr>
        <w:t>.</w:t>
      </w:r>
    </w:p>
  </w:footnote>
  <w:footnote w:id="1383">
    <w:p w14:paraId="5CBE9348" w14:textId="77777777" w:rsidR="00074551" w:rsidRPr="00901083" w:rsidRDefault="00074551" w:rsidP="00074551">
      <w:pPr>
        <w:pStyle w:val="Funotentext"/>
        <w:rPr>
          <w:lang w:val="en-US"/>
        </w:rPr>
      </w:pPr>
      <w:r>
        <w:rPr>
          <w:rStyle w:val="Funotenzeichen"/>
          <w:rFonts w:eastAsiaTheme="majorEastAsia"/>
        </w:rPr>
        <w:footnoteRef/>
      </w:r>
      <w:r w:rsidRPr="00B45592">
        <w:rPr>
          <w:lang w:val="fr-FR"/>
        </w:rPr>
        <w:t xml:space="preserve"> </w:t>
      </w:r>
      <w:r w:rsidRPr="00B45592">
        <w:rPr>
          <w:i/>
          <w:lang w:val="fr-FR"/>
        </w:rPr>
        <w:t>Skinner v. Oklahoma</w:t>
      </w:r>
      <w:r w:rsidRPr="006820B8">
        <w:rPr>
          <w:i/>
          <w:lang w:val="fr-FR"/>
        </w:rPr>
        <w:t xml:space="preserve"> ex rel. </w:t>
      </w:r>
      <w:r w:rsidRPr="00B45592">
        <w:rPr>
          <w:i/>
          <w:lang w:val="en-IE"/>
        </w:rPr>
        <w:t>Williamson</w:t>
      </w:r>
      <w:r w:rsidRPr="00901083">
        <w:rPr>
          <w:lang w:val="en-US"/>
        </w:rPr>
        <w:t>, 316 U.S. 535</w:t>
      </w:r>
      <w:r>
        <w:rPr>
          <w:lang w:val="en-US"/>
        </w:rPr>
        <w:t>, 541</w:t>
      </w:r>
      <w:r w:rsidRPr="00901083">
        <w:rPr>
          <w:lang w:val="en-US"/>
        </w:rPr>
        <w:t xml:space="preserve"> (1942</w:t>
      </w:r>
      <w:proofErr w:type="gramStart"/>
      <w:r w:rsidRPr="00901083">
        <w:rPr>
          <w:lang w:val="en-US"/>
        </w:rPr>
        <w:t>)</w:t>
      </w:r>
      <w:r>
        <w:rPr>
          <w:lang w:val="en-US"/>
        </w:rPr>
        <w:t>;</w:t>
      </w:r>
      <w:proofErr w:type="gramEnd"/>
      <w:r>
        <w:rPr>
          <w:lang w:val="en-US"/>
        </w:rPr>
        <w:t xml:space="preserve"> </w:t>
      </w:r>
      <w:r w:rsidRPr="009167A5">
        <w:rPr>
          <w:i/>
          <w:lang w:val="en-US"/>
        </w:rPr>
        <w:t>Wash. v. Glucksberg</w:t>
      </w:r>
      <w:r w:rsidRPr="00901083">
        <w:rPr>
          <w:lang w:val="en-US"/>
        </w:rPr>
        <w:t>, 521 U.S. 702, 762</w:t>
      </w:r>
      <w:r w:rsidRPr="006E67FE">
        <w:rPr>
          <w:lang w:val="en-US"/>
        </w:rPr>
        <w:t xml:space="preserve"> = 117 S. Ct. </w:t>
      </w:r>
      <w:r w:rsidRPr="00901083">
        <w:rPr>
          <w:lang w:val="en-US"/>
        </w:rPr>
        <w:t>2258, 2280, 2280</w:t>
      </w:r>
      <w:r w:rsidRPr="006E67FE">
        <w:rPr>
          <w:lang w:val="en-US"/>
        </w:rPr>
        <w:t xml:space="preserve"> = 117 S. Ct. </w:t>
      </w:r>
      <w:r w:rsidRPr="00901083">
        <w:rPr>
          <w:lang w:val="en-US"/>
        </w:rPr>
        <w:t>2302</w:t>
      </w:r>
      <w:r w:rsidRPr="006E67FE">
        <w:rPr>
          <w:lang w:val="en-US"/>
        </w:rPr>
        <w:t xml:space="preserve"> = 138 L. Ed. </w:t>
      </w:r>
      <w:r w:rsidRPr="00901083">
        <w:rPr>
          <w:lang w:val="en-US"/>
        </w:rPr>
        <w:t>2d 772, 814</w:t>
      </w:r>
      <w:r w:rsidRPr="006E67FE">
        <w:rPr>
          <w:lang w:val="en-US"/>
        </w:rPr>
        <w:t xml:space="preserve"> = 1997 U.S. LEXIS </w:t>
      </w:r>
      <w:r w:rsidRPr="00901083">
        <w:rPr>
          <w:lang w:val="en-US"/>
        </w:rPr>
        <w:t>4039, 102</w:t>
      </w:r>
      <w:r w:rsidRPr="006E67FE">
        <w:rPr>
          <w:lang w:val="en-US"/>
        </w:rPr>
        <w:t xml:space="preserve"> = 65 U.S.L.W. </w:t>
      </w:r>
      <w:r w:rsidRPr="00901083">
        <w:rPr>
          <w:lang w:val="en-US"/>
        </w:rPr>
        <w:t>4669</w:t>
      </w:r>
      <w:r w:rsidRPr="006E67FE">
        <w:rPr>
          <w:lang w:val="en-US"/>
        </w:rPr>
        <w:t xml:space="preserve"> = 97 Cal. Daily Op. </w:t>
      </w:r>
      <w:r w:rsidRPr="00901083">
        <w:rPr>
          <w:lang w:val="en-US"/>
        </w:rPr>
        <w:t>Service 5008</w:t>
      </w:r>
      <w:r w:rsidRPr="006E67FE">
        <w:rPr>
          <w:lang w:val="en-US"/>
        </w:rPr>
        <w:t xml:space="preserve"> = 97 Daily Journal </w:t>
      </w:r>
      <w:r w:rsidRPr="00901083">
        <w:rPr>
          <w:lang w:val="en-US"/>
        </w:rPr>
        <w:t>DAR 8150</w:t>
      </w:r>
      <w:r w:rsidRPr="006E67FE">
        <w:rPr>
          <w:lang w:val="en-US"/>
        </w:rPr>
        <w:t xml:space="preserve"> = 11 Fla. L. Weekly </w:t>
      </w:r>
      <w:r w:rsidRPr="00901083">
        <w:rPr>
          <w:lang w:val="en-US"/>
        </w:rPr>
        <w:t>Fed. S 190 (1997)</w:t>
      </w:r>
      <w:r>
        <w:rPr>
          <w:lang w:val="en-US"/>
        </w:rPr>
        <w:t>.</w:t>
      </w:r>
    </w:p>
  </w:footnote>
  <w:footnote w:id="1384">
    <w:p w14:paraId="1625285F" w14:textId="77777777" w:rsidR="00074551" w:rsidRPr="007D6709" w:rsidRDefault="00074551" w:rsidP="00074551">
      <w:pPr>
        <w:pStyle w:val="Funotentext"/>
        <w:rPr>
          <w:lang w:val="en-US"/>
        </w:rPr>
      </w:pPr>
      <w:r>
        <w:rPr>
          <w:rStyle w:val="Funotenzeichen"/>
          <w:rFonts w:eastAsiaTheme="majorEastAsia"/>
        </w:rPr>
        <w:footnoteRef/>
      </w:r>
      <w:r w:rsidRPr="00901083">
        <w:rPr>
          <w:lang w:val="en-US"/>
        </w:rPr>
        <w:t xml:space="preserve"> </w:t>
      </w:r>
      <w:r w:rsidRPr="009167A5">
        <w:rPr>
          <w:i/>
          <w:lang w:val="en-US"/>
        </w:rPr>
        <w:t>Wash. v. Glucksberg</w:t>
      </w:r>
      <w:r w:rsidRPr="00901083">
        <w:rPr>
          <w:lang w:val="en-US"/>
        </w:rPr>
        <w:t>, 521 U.S. 702, 762</w:t>
      </w:r>
      <w:r w:rsidRPr="006E67FE">
        <w:rPr>
          <w:lang w:val="en-US"/>
        </w:rPr>
        <w:t xml:space="preserve"> = 117 S. Ct. </w:t>
      </w:r>
      <w:r w:rsidRPr="00901083">
        <w:rPr>
          <w:lang w:val="en-US"/>
        </w:rPr>
        <w:t>2258, 2280, 2280</w:t>
      </w:r>
      <w:r w:rsidRPr="006E67FE">
        <w:rPr>
          <w:lang w:val="en-US"/>
        </w:rPr>
        <w:t xml:space="preserve"> = 117 S. Ct. </w:t>
      </w:r>
      <w:r w:rsidRPr="00901083">
        <w:rPr>
          <w:lang w:val="en-US"/>
        </w:rPr>
        <w:t>2302</w:t>
      </w:r>
      <w:r w:rsidRPr="006E67FE">
        <w:rPr>
          <w:lang w:val="en-US"/>
        </w:rPr>
        <w:t xml:space="preserve"> = 138 L. Ed. </w:t>
      </w:r>
      <w:r w:rsidRPr="00901083">
        <w:rPr>
          <w:lang w:val="en-US"/>
        </w:rPr>
        <w:t>2d 772, 814</w:t>
      </w:r>
      <w:r w:rsidRPr="006E67FE">
        <w:rPr>
          <w:lang w:val="en-US"/>
        </w:rPr>
        <w:t xml:space="preserve"> = 1997 U.S. LEXIS </w:t>
      </w:r>
      <w:r w:rsidRPr="00901083">
        <w:rPr>
          <w:lang w:val="en-US"/>
        </w:rPr>
        <w:t>4039, 102</w:t>
      </w:r>
      <w:r w:rsidRPr="006E67FE">
        <w:rPr>
          <w:lang w:val="en-US"/>
        </w:rPr>
        <w:t xml:space="preserve"> = 65 U.S.L.W. </w:t>
      </w:r>
      <w:r w:rsidRPr="00901083">
        <w:rPr>
          <w:lang w:val="en-US"/>
        </w:rPr>
        <w:t>4669</w:t>
      </w:r>
      <w:r w:rsidRPr="006E67FE">
        <w:rPr>
          <w:lang w:val="en-US"/>
        </w:rPr>
        <w:t xml:space="preserve"> = 97 Cal. Daily Op. </w:t>
      </w:r>
      <w:r w:rsidRPr="00901083">
        <w:rPr>
          <w:lang w:val="en-US"/>
        </w:rPr>
        <w:t>Service 5008</w:t>
      </w:r>
      <w:r w:rsidRPr="006E67FE">
        <w:rPr>
          <w:lang w:val="en-US"/>
        </w:rPr>
        <w:t xml:space="preserve"> = 97 Daily Journal </w:t>
      </w:r>
      <w:r w:rsidRPr="00901083">
        <w:rPr>
          <w:lang w:val="en-US"/>
        </w:rPr>
        <w:t>DAR 8150</w:t>
      </w:r>
      <w:r w:rsidRPr="006E67FE">
        <w:rPr>
          <w:lang w:val="en-US"/>
        </w:rPr>
        <w:t xml:space="preserve"> = 11 Fla. L. Weekly </w:t>
      </w:r>
      <w:r w:rsidRPr="00901083">
        <w:rPr>
          <w:lang w:val="en-US"/>
        </w:rPr>
        <w:t xml:space="preserve">Fed. </w:t>
      </w:r>
      <w:r w:rsidRPr="007D6709">
        <w:rPr>
          <w:lang w:val="en-US"/>
        </w:rPr>
        <w:t>S 190 (1997)</w:t>
      </w:r>
      <w:r>
        <w:rPr>
          <w:lang w:val="en-US"/>
        </w:rPr>
        <w:t>.</w:t>
      </w:r>
    </w:p>
  </w:footnote>
  <w:footnote w:id="1385">
    <w:p w14:paraId="2A8A779D" w14:textId="77777777" w:rsidR="00074551" w:rsidRPr="009572B5"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B45592">
        <w:rPr>
          <w:i/>
          <w:lang w:val="en-US"/>
        </w:rPr>
        <w:t>Poe v. Ullman</w:t>
      </w:r>
      <w:r w:rsidRPr="00B35CD0">
        <w:rPr>
          <w:lang w:val="en-US"/>
        </w:rPr>
        <w:t xml:space="preserve">, </w:t>
      </w:r>
      <w:r w:rsidRPr="00B45592">
        <w:rPr>
          <w:lang w:val="en-IE"/>
        </w:rPr>
        <w:t xml:space="preserve">367 U.S. 497, </w:t>
      </w:r>
      <w:r w:rsidRPr="009572B5">
        <w:rPr>
          <w:lang w:val="en-US"/>
        </w:rPr>
        <w:t xml:space="preserve">543; </w:t>
      </w:r>
      <w:r w:rsidRPr="009572B5">
        <w:rPr>
          <w:i/>
          <w:lang w:val="en-US"/>
        </w:rPr>
        <w:t>Wash. v. Glucksberg</w:t>
      </w:r>
      <w:r w:rsidRPr="009572B5">
        <w:rPr>
          <w:lang w:val="en-US"/>
        </w:rPr>
        <w:t>, 521 U.S. 702, 762 = 117 S. Ct. 2258, 2280, 2280 = 117 S. Ct. 2302 = 138 L. Ed. 2d 772, 814 = 1997 U.S. LEXIS 4039, 102 = 65 U.S.L.W. 4669 = 97 Cal. Daily Op. Service 5008 = 97 Daily Journal DAR 8150 = 11 Fla. L. Weekly Fed. S 190 (1997).</w:t>
      </w:r>
    </w:p>
  </w:footnote>
  <w:footnote w:id="1386">
    <w:p w14:paraId="1D1B973B" w14:textId="77777777" w:rsidR="00074551" w:rsidRPr="009572B5"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9572B5">
        <w:rPr>
          <w:i/>
          <w:lang w:val="en-US"/>
        </w:rPr>
        <w:t>Griswold v. Connecticut</w:t>
      </w:r>
      <w:r w:rsidRPr="009572B5">
        <w:rPr>
          <w:lang w:val="en-US"/>
        </w:rPr>
        <w:t xml:space="preserve">, 381 U.S. 478 (1965); </w:t>
      </w:r>
      <w:r w:rsidRPr="009572B5">
        <w:rPr>
          <w:i/>
          <w:lang w:val="en-US"/>
        </w:rPr>
        <w:t>Wash. v. Glucksberg</w:t>
      </w:r>
      <w:r w:rsidRPr="009572B5">
        <w:rPr>
          <w:lang w:val="en-US"/>
        </w:rPr>
        <w:t>, 521 U.S. 702, 762 = 117 S. Ct. 2258, 2280, 2280 = 117 S. Ct. 2302 = 138 L. Ed. 2d 772, 814 = 1997 U.S. LEXIS 4039, 102 = 65 U.S.L.W. 4669 = 97 Cal. Daily Op. Service 5008 = 97 Daily Journal DAR 8150 = 11 Fla. L. Weekly Fed. S 190 (1997).</w:t>
      </w:r>
    </w:p>
  </w:footnote>
  <w:footnote w:id="1387">
    <w:p w14:paraId="46857A11" w14:textId="77777777" w:rsidR="00074551" w:rsidRPr="009572B5"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B45592">
        <w:rPr>
          <w:i/>
          <w:lang w:val="en-US"/>
        </w:rPr>
        <w:t>Planned Parenthood of Southeastern Pa. v. Casey</w:t>
      </w:r>
      <w:r w:rsidRPr="00B35CD0">
        <w:rPr>
          <w:lang w:val="en-US"/>
        </w:rPr>
        <w:t>, 505 U.S. 833 (1992).</w:t>
      </w:r>
    </w:p>
  </w:footnote>
  <w:footnote w:id="1388">
    <w:p w14:paraId="09A8AA88" w14:textId="77777777" w:rsidR="00074551" w:rsidRPr="009572B5"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Pr>
          <w:i/>
          <w:lang w:val="en-US"/>
        </w:rPr>
        <w:t>Bolling v. Sharpe</w:t>
      </w:r>
      <w:r w:rsidRPr="00B35CD0">
        <w:rPr>
          <w:lang w:val="en-US"/>
        </w:rPr>
        <w:t>, 347 U.S. 497, 500 (1954).</w:t>
      </w:r>
    </w:p>
  </w:footnote>
  <w:footnote w:id="1389">
    <w:p w14:paraId="26A2DA68" w14:textId="77777777" w:rsidR="00074551" w:rsidRPr="009572B5" w:rsidRDefault="00074551" w:rsidP="00074551">
      <w:pPr>
        <w:pStyle w:val="Funotentext"/>
        <w:jc w:val="both"/>
        <w:rPr>
          <w:lang w:val="en-US"/>
        </w:rPr>
      </w:pPr>
      <w:r w:rsidRPr="00B35CD0">
        <w:rPr>
          <w:rStyle w:val="Funotenzeichen"/>
          <w:rFonts w:eastAsiaTheme="majorEastAsia"/>
        </w:rPr>
        <w:footnoteRef/>
      </w:r>
      <w:r w:rsidRPr="00B35CD0">
        <w:rPr>
          <w:lang w:val="en-US"/>
        </w:rPr>
        <w:t xml:space="preserve"> </w:t>
      </w:r>
      <w:r w:rsidRPr="009572B5">
        <w:rPr>
          <w:i/>
          <w:lang w:val="en-US"/>
        </w:rPr>
        <w:t>Loving v. Virginia</w:t>
      </w:r>
      <w:r w:rsidRPr="009572B5">
        <w:rPr>
          <w:lang w:val="en-US"/>
        </w:rPr>
        <w:t xml:space="preserve">, 388 U.S. 1, 12 (1967); </w:t>
      </w:r>
      <w:r w:rsidRPr="009572B5">
        <w:rPr>
          <w:i/>
          <w:lang w:val="en-US"/>
        </w:rPr>
        <w:t>Wash. v. Glucksberg</w:t>
      </w:r>
      <w:r w:rsidRPr="009572B5">
        <w:rPr>
          <w:lang w:val="en-US"/>
        </w:rPr>
        <w:t>, 521 U.S. 702, 763 = 117 S. Ct. 2258, 2280, 2280 = 117 S. Ct. 2302 = 138 L. Ed. 2d 772, 814-815 = 1997 U.S. LEXIS 4039, 103 = 65 U.S.L.W. 4669 = 97 Cal. Daily Op. Service 5008 = 97 Daily Journal DAR 8150 = 11 Fla. L. Weekly Fed. S 190 (1997).</w:t>
      </w:r>
    </w:p>
  </w:footnote>
  <w:footnote w:id="1390">
    <w:p w14:paraId="50A187B2" w14:textId="77777777" w:rsidR="00074551" w:rsidRPr="009572B5"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B45592">
        <w:rPr>
          <w:i/>
          <w:lang w:val="en-US"/>
        </w:rPr>
        <w:t>Carey v. Population Services Int’l</w:t>
      </w:r>
      <w:r w:rsidRPr="00B35CD0">
        <w:rPr>
          <w:lang w:val="en-US"/>
        </w:rPr>
        <w:t>, 431 U.S. 678, 684–</w:t>
      </w:r>
      <w:r w:rsidRPr="009572B5">
        <w:rPr>
          <w:lang w:val="en-US"/>
        </w:rPr>
        <w:t xml:space="preserve">691 (1977), </w:t>
      </w:r>
      <w:r w:rsidRPr="009572B5">
        <w:rPr>
          <w:i/>
          <w:lang w:val="en-US"/>
        </w:rPr>
        <w:t>Griswold v. Connecticut</w:t>
      </w:r>
      <w:r w:rsidRPr="009572B5">
        <w:rPr>
          <w:lang w:val="en-US"/>
        </w:rPr>
        <w:t xml:space="preserve">, </w:t>
      </w:r>
      <w:r w:rsidRPr="00B45592">
        <w:rPr>
          <w:lang w:val="en-IE"/>
        </w:rPr>
        <w:t xml:space="preserve">381 U.S. 479, </w:t>
      </w:r>
      <w:r w:rsidRPr="009572B5">
        <w:rPr>
          <w:lang w:val="en-US"/>
        </w:rPr>
        <w:t xml:space="preserve">481 (1965). </w:t>
      </w:r>
    </w:p>
  </w:footnote>
  <w:footnote w:id="1391">
    <w:p w14:paraId="5FDF8F2E" w14:textId="77777777" w:rsidR="00074551" w:rsidRPr="009572B5" w:rsidRDefault="00074551" w:rsidP="00074551">
      <w:pPr>
        <w:pStyle w:val="Funotentext"/>
        <w:rPr>
          <w:lang w:val="en-US"/>
        </w:rPr>
      </w:pPr>
      <w:r w:rsidRPr="00B35CD0">
        <w:rPr>
          <w:rStyle w:val="Funotenzeichen"/>
          <w:rFonts w:eastAsiaTheme="majorEastAsia"/>
        </w:rPr>
        <w:footnoteRef/>
      </w:r>
      <w:r w:rsidRPr="009572B5">
        <w:rPr>
          <w:lang w:val="en-US"/>
        </w:rPr>
        <w:t xml:space="preserve"> </w:t>
      </w:r>
      <w:r w:rsidRPr="00B45592">
        <w:rPr>
          <w:i/>
          <w:lang w:val="en-US"/>
        </w:rPr>
        <w:t>Planned Parenthood of Southeastern Pa. v. Casey</w:t>
      </w:r>
      <w:r w:rsidRPr="00B35CD0">
        <w:rPr>
          <w:lang w:val="en-US"/>
        </w:rPr>
        <w:t>, 505 U.S. 833, 849, 869–</w:t>
      </w:r>
      <w:r w:rsidRPr="009572B5">
        <w:rPr>
          <w:lang w:val="en-US"/>
        </w:rPr>
        <w:t>879 (1992) (</w:t>
      </w:r>
      <w:bookmarkStart w:id="64" w:name="_Hlk229170180"/>
      <w:proofErr w:type="spellStart"/>
      <w:r>
        <w:rPr>
          <w:lang w:val="en-US"/>
        </w:rPr>
        <w:t>gemeinsame</w:t>
      </w:r>
      <w:proofErr w:type="spellEnd"/>
      <w:r>
        <w:rPr>
          <w:lang w:val="en-US"/>
        </w:rPr>
        <w:t xml:space="preserve"> Meinung der Richter</w:t>
      </w:r>
      <w:r w:rsidRPr="00B35CD0">
        <w:rPr>
          <w:lang w:val="en-US"/>
        </w:rPr>
        <w:t xml:space="preserve"> </w:t>
      </w:r>
      <w:r w:rsidRPr="00B45592">
        <w:rPr>
          <w:i/>
          <w:lang w:val="en-US"/>
        </w:rPr>
        <w:t>O’Connor</w:t>
      </w:r>
      <w:r w:rsidRPr="009572B5">
        <w:rPr>
          <w:lang w:val="en-US"/>
        </w:rPr>
        <w:t xml:space="preserve">, </w:t>
      </w:r>
      <w:r w:rsidRPr="00B45592">
        <w:rPr>
          <w:i/>
          <w:lang w:val="en-US"/>
        </w:rPr>
        <w:t>Kennedy</w:t>
      </w:r>
      <w:r>
        <w:rPr>
          <w:lang w:val="en-US"/>
        </w:rPr>
        <w:t xml:space="preserve"> u</w:t>
      </w:r>
      <w:r w:rsidRPr="009572B5">
        <w:rPr>
          <w:lang w:val="en-US"/>
        </w:rPr>
        <w:t xml:space="preserve">nd </w:t>
      </w:r>
      <w:r w:rsidRPr="00B45592">
        <w:rPr>
          <w:i/>
          <w:lang w:val="en-US"/>
        </w:rPr>
        <w:t>Souter</w:t>
      </w:r>
      <w:bookmarkEnd w:id="64"/>
      <w:r w:rsidRPr="009572B5">
        <w:rPr>
          <w:lang w:val="en-US"/>
        </w:rPr>
        <w:t xml:space="preserve">), </w:t>
      </w:r>
      <w:r w:rsidRPr="00B45592">
        <w:rPr>
          <w:i/>
          <w:lang w:val="en-US"/>
        </w:rPr>
        <w:t>Roe v. Wade</w:t>
      </w:r>
      <w:r w:rsidRPr="00B35CD0">
        <w:rPr>
          <w:lang w:val="en-US"/>
        </w:rPr>
        <w:t>, 410 U.S. 113, 152–</w:t>
      </w:r>
      <w:r w:rsidRPr="009572B5">
        <w:rPr>
          <w:lang w:val="en-US"/>
        </w:rPr>
        <w:t>166 (1973).</w:t>
      </w:r>
    </w:p>
  </w:footnote>
  <w:footnote w:id="1392">
    <w:p w14:paraId="1E84B78C" w14:textId="77777777" w:rsidR="00074551" w:rsidRPr="005D12AA"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B45592">
        <w:rPr>
          <w:i/>
          <w:lang w:val="en-US"/>
        </w:rPr>
        <w:t>Cruzan v. Director, Mo. Dept. of Health</w:t>
      </w:r>
      <w:r w:rsidRPr="00B35CD0">
        <w:rPr>
          <w:lang w:val="en-US"/>
        </w:rPr>
        <w:t>, 497 U.S. 261, 287–</w:t>
      </w:r>
      <w:r w:rsidRPr="009572B5">
        <w:rPr>
          <w:lang w:val="en-US"/>
        </w:rPr>
        <w:t>289 (1990) (</w:t>
      </w:r>
      <w:r w:rsidRPr="00B45592">
        <w:rPr>
          <w:i/>
          <w:lang w:val="en-US"/>
        </w:rPr>
        <w:t>concurring opinion</w:t>
      </w:r>
      <w:r w:rsidRPr="00B45592">
        <w:rPr>
          <w:lang w:val="en-US"/>
        </w:rPr>
        <w:t xml:space="preserve"> von </w:t>
      </w:r>
      <w:proofErr w:type="spellStart"/>
      <w:r w:rsidRPr="00B45592">
        <w:rPr>
          <w:lang w:val="en-US"/>
        </w:rPr>
        <w:t>Richter</w:t>
      </w:r>
      <w:r>
        <w:rPr>
          <w:lang w:val="en-US"/>
        </w:rPr>
        <w:t>in</w:t>
      </w:r>
      <w:proofErr w:type="spellEnd"/>
      <w:r w:rsidRPr="00B45592">
        <w:rPr>
          <w:lang w:val="en-US"/>
        </w:rPr>
        <w:t xml:space="preserve"> </w:t>
      </w:r>
      <w:r w:rsidRPr="00B45592">
        <w:rPr>
          <w:i/>
          <w:lang w:val="en-US"/>
        </w:rPr>
        <w:t>O’Connor</w:t>
      </w:r>
      <w:r w:rsidRPr="009572B5">
        <w:rPr>
          <w:lang w:val="en-US"/>
        </w:rPr>
        <w:t xml:space="preserve">); </w:t>
      </w:r>
      <w:r w:rsidRPr="009572B5">
        <w:rPr>
          <w:i/>
          <w:lang w:val="en-US"/>
        </w:rPr>
        <w:t>Wash</w:t>
      </w:r>
      <w:r w:rsidRPr="009167A5">
        <w:rPr>
          <w:i/>
          <w:lang w:val="en-US"/>
        </w:rPr>
        <w:t>. v. Glucksberg</w:t>
      </w:r>
      <w:r w:rsidRPr="005D12AA">
        <w:rPr>
          <w:lang w:val="en-US"/>
        </w:rPr>
        <w:t>, 521 U.S. 702, 763</w:t>
      </w:r>
      <w:r w:rsidRPr="006E67FE">
        <w:rPr>
          <w:lang w:val="en-US"/>
        </w:rPr>
        <w:t xml:space="preserve"> = 117 S. Ct. </w:t>
      </w:r>
      <w:r w:rsidRPr="005D12AA">
        <w:rPr>
          <w:lang w:val="en-US"/>
        </w:rPr>
        <w:t>2258, 2281, 2281</w:t>
      </w:r>
      <w:r w:rsidRPr="006E67FE">
        <w:rPr>
          <w:lang w:val="en-US"/>
        </w:rPr>
        <w:t xml:space="preserve"> = 117 S. Ct. </w:t>
      </w:r>
      <w:r w:rsidRPr="005D12AA">
        <w:rPr>
          <w:lang w:val="en-US"/>
        </w:rPr>
        <w:t>2302</w:t>
      </w:r>
      <w:r w:rsidRPr="006E67FE">
        <w:rPr>
          <w:lang w:val="en-US"/>
        </w:rPr>
        <w:t xml:space="preserve"> = 138 L. Ed. </w:t>
      </w:r>
      <w:r w:rsidRPr="005D12AA">
        <w:rPr>
          <w:lang w:val="en-US"/>
        </w:rPr>
        <w:t>2d 772, 815</w:t>
      </w:r>
      <w:r w:rsidRPr="006E67FE">
        <w:rPr>
          <w:lang w:val="en-US"/>
        </w:rPr>
        <w:t xml:space="preserve"> = 1997 U.S. LEXIS </w:t>
      </w:r>
      <w:r w:rsidRPr="005D12AA">
        <w:rPr>
          <w:lang w:val="en-US"/>
        </w:rPr>
        <w:t>4039, 104</w:t>
      </w:r>
      <w:r w:rsidRPr="006E67FE">
        <w:rPr>
          <w:lang w:val="en-US"/>
        </w:rPr>
        <w:t xml:space="preserve"> = 65 U.S.L.W. </w:t>
      </w:r>
      <w:r w:rsidRPr="005D12AA">
        <w:rPr>
          <w:lang w:val="en-US"/>
        </w:rPr>
        <w:t>4669</w:t>
      </w:r>
      <w:r w:rsidRPr="006E67FE">
        <w:rPr>
          <w:lang w:val="en-US"/>
        </w:rPr>
        <w:t xml:space="preserve"> = 97 Cal. Daily Op. </w:t>
      </w:r>
      <w:r w:rsidRPr="005D12AA">
        <w:rPr>
          <w:lang w:val="en-US"/>
        </w:rPr>
        <w:t>Service 5008</w:t>
      </w:r>
      <w:r w:rsidRPr="006E67FE">
        <w:rPr>
          <w:lang w:val="en-US"/>
        </w:rPr>
        <w:t xml:space="preserve"> = 97 Daily Journal </w:t>
      </w:r>
      <w:r w:rsidRPr="005D12AA">
        <w:rPr>
          <w:lang w:val="en-US"/>
        </w:rPr>
        <w:t>DAR 8150</w:t>
      </w:r>
      <w:r w:rsidRPr="006E67FE">
        <w:rPr>
          <w:lang w:val="en-US"/>
        </w:rPr>
        <w:t xml:space="preserve"> = 11 Fla. L. Weekly </w:t>
      </w:r>
      <w:r w:rsidRPr="005D12AA">
        <w:rPr>
          <w:lang w:val="en-US"/>
        </w:rPr>
        <w:t>Fed. S 190 (1997)</w:t>
      </w:r>
    </w:p>
  </w:footnote>
  <w:footnote w:id="1393">
    <w:p w14:paraId="6482358C" w14:textId="77777777" w:rsidR="00074551" w:rsidRPr="005D12AA" w:rsidRDefault="00074551" w:rsidP="00074551">
      <w:pPr>
        <w:pStyle w:val="Funotentext"/>
        <w:rPr>
          <w:lang w:val="en-US"/>
        </w:rPr>
      </w:pPr>
      <w:r>
        <w:rPr>
          <w:rStyle w:val="Funotenzeichen"/>
          <w:rFonts w:eastAsiaTheme="majorEastAsia"/>
        </w:rPr>
        <w:footnoteRef/>
      </w:r>
      <w:r w:rsidRPr="005D12AA">
        <w:rPr>
          <w:lang w:val="en-US"/>
        </w:rPr>
        <w:t xml:space="preserve"> </w:t>
      </w:r>
      <w:r w:rsidRPr="00B45592">
        <w:rPr>
          <w:i/>
          <w:lang w:val="en-US"/>
        </w:rPr>
        <w:t>Foucha v. Louisiana</w:t>
      </w:r>
      <w:r w:rsidRPr="005D12AA">
        <w:rPr>
          <w:lang w:val="en-US"/>
        </w:rPr>
        <w:t>, 504 U.S. 71, 80</w:t>
      </w:r>
      <w:r>
        <w:rPr>
          <w:lang w:val="en-US"/>
        </w:rPr>
        <w:t>–</w:t>
      </w:r>
      <w:r w:rsidRPr="005D12AA">
        <w:rPr>
          <w:lang w:val="en-US"/>
        </w:rPr>
        <w:t>83 (1992)</w:t>
      </w:r>
      <w:r>
        <w:rPr>
          <w:lang w:val="en-US"/>
        </w:rPr>
        <w:t>.</w:t>
      </w:r>
    </w:p>
  </w:footnote>
  <w:footnote w:id="1394">
    <w:p w14:paraId="724D24D5" w14:textId="77777777" w:rsidR="00074551" w:rsidRPr="001741B8" w:rsidRDefault="00074551" w:rsidP="00074551">
      <w:pPr>
        <w:pStyle w:val="Funotentext"/>
        <w:rPr>
          <w:lang w:val="en-US"/>
        </w:rPr>
      </w:pPr>
      <w:r>
        <w:rPr>
          <w:rStyle w:val="Funotenzeichen"/>
          <w:rFonts w:eastAsiaTheme="majorEastAsia"/>
        </w:rPr>
        <w:footnoteRef/>
      </w:r>
      <w:r w:rsidRPr="001741B8">
        <w:rPr>
          <w:lang w:val="en-US"/>
        </w:rPr>
        <w:t xml:space="preserve"> </w:t>
      </w:r>
      <w:r w:rsidRPr="007360B0">
        <w:rPr>
          <w:i/>
          <w:lang w:val="en-US"/>
        </w:rPr>
        <w:t>Marbury v. Madison</w:t>
      </w:r>
      <w:r w:rsidRPr="00EC5BEB">
        <w:rPr>
          <w:lang w:val="en-US"/>
        </w:rPr>
        <w:t xml:space="preserve"> = 1 </w:t>
      </w:r>
      <w:proofErr w:type="spellStart"/>
      <w:r w:rsidRPr="00EC5BEB">
        <w:rPr>
          <w:lang w:val="en-US"/>
        </w:rPr>
        <w:t>Cranch</w:t>
      </w:r>
      <w:proofErr w:type="spellEnd"/>
      <w:r w:rsidRPr="00EC5BEB">
        <w:rPr>
          <w:lang w:val="en-US"/>
        </w:rPr>
        <w:t xml:space="preserve"> </w:t>
      </w:r>
      <w:r w:rsidRPr="001741B8">
        <w:rPr>
          <w:lang w:val="en-US"/>
        </w:rPr>
        <w:t>137 (1803)</w:t>
      </w:r>
      <w:r>
        <w:rPr>
          <w:lang w:val="en-US"/>
        </w:rPr>
        <w:t xml:space="preserve">; </w:t>
      </w:r>
      <w:r w:rsidRPr="009167A5">
        <w:rPr>
          <w:i/>
          <w:lang w:val="en-US"/>
        </w:rPr>
        <w:t>Wash. v. Glucksberg</w:t>
      </w:r>
      <w:r w:rsidRPr="001741B8">
        <w:rPr>
          <w:lang w:val="en-US"/>
        </w:rPr>
        <w:t>, 521 U.S. 702, 763</w:t>
      </w:r>
      <w:r w:rsidRPr="006E67FE">
        <w:rPr>
          <w:lang w:val="en-US"/>
        </w:rPr>
        <w:t xml:space="preserve"> = 117 S. Ct. </w:t>
      </w:r>
      <w:r w:rsidRPr="001741B8">
        <w:rPr>
          <w:lang w:val="en-US"/>
        </w:rPr>
        <w:t>2258, 2281, 2281</w:t>
      </w:r>
      <w:r w:rsidRPr="006E67FE">
        <w:rPr>
          <w:lang w:val="en-US"/>
        </w:rPr>
        <w:t xml:space="preserve"> = 117 S. Ct. </w:t>
      </w:r>
      <w:r w:rsidRPr="001741B8">
        <w:rPr>
          <w:lang w:val="en-US"/>
        </w:rPr>
        <w:t>2302</w:t>
      </w:r>
      <w:r w:rsidRPr="006E67FE">
        <w:rPr>
          <w:lang w:val="en-US"/>
        </w:rPr>
        <w:t xml:space="preserve"> = 138 L. Ed. </w:t>
      </w:r>
      <w:r w:rsidRPr="001741B8">
        <w:rPr>
          <w:lang w:val="en-US"/>
        </w:rPr>
        <w:t>2d 772, 815</w:t>
      </w:r>
      <w:r w:rsidRPr="006E67FE">
        <w:rPr>
          <w:lang w:val="en-US"/>
        </w:rPr>
        <w:t xml:space="preserve"> = 1997 U.S. LEXIS </w:t>
      </w:r>
      <w:r w:rsidRPr="001741B8">
        <w:rPr>
          <w:lang w:val="en-US"/>
        </w:rPr>
        <w:t>4039, 104</w:t>
      </w:r>
      <w:r w:rsidRPr="006E67FE">
        <w:rPr>
          <w:lang w:val="en-US"/>
        </w:rPr>
        <w:t xml:space="preserve"> = 65 U.S.L.W. </w:t>
      </w:r>
      <w:r w:rsidRPr="001741B8">
        <w:rPr>
          <w:lang w:val="en-US"/>
        </w:rPr>
        <w:t>4669</w:t>
      </w:r>
      <w:r w:rsidRPr="006E67FE">
        <w:rPr>
          <w:lang w:val="en-US"/>
        </w:rPr>
        <w:t xml:space="preserve"> = 97 Cal. Daily Op. </w:t>
      </w:r>
      <w:r w:rsidRPr="001741B8">
        <w:rPr>
          <w:lang w:val="en-US"/>
        </w:rPr>
        <w:t>Service 5008</w:t>
      </w:r>
      <w:r w:rsidRPr="006E67FE">
        <w:rPr>
          <w:lang w:val="en-US"/>
        </w:rPr>
        <w:t xml:space="preserve"> = 97 Daily Journal </w:t>
      </w:r>
      <w:r w:rsidRPr="001741B8">
        <w:rPr>
          <w:lang w:val="en-US"/>
        </w:rPr>
        <w:t>DAR 8150</w:t>
      </w:r>
      <w:r w:rsidRPr="006E67FE">
        <w:rPr>
          <w:lang w:val="en-US"/>
        </w:rPr>
        <w:t xml:space="preserve"> = 11 Fla. L. Weekly </w:t>
      </w:r>
      <w:r w:rsidRPr="001741B8">
        <w:rPr>
          <w:lang w:val="en-US"/>
        </w:rPr>
        <w:t>Fed. S 190 (1997)</w:t>
      </w:r>
      <w:r>
        <w:rPr>
          <w:lang w:val="en-US"/>
        </w:rPr>
        <w:t>.</w:t>
      </w:r>
    </w:p>
  </w:footnote>
  <w:footnote w:id="1395">
    <w:p w14:paraId="148AEB94" w14:textId="77777777" w:rsidR="00074551" w:rsidRPr="000318E5" w:rsidRDefault="00074551" w:rsidP="00074551">
      <w:pPr>
        <w:pStyle w:val="Funotentext"/>
        <w:rPr>
          <w:lang w:val="en-US"/>
        </w:rPr>
      </w:pPr>
      <w:r>
        <w:rPr>
          <w:rStyle w:val="Funotenzeichen"/>
          <w:rFonts w:eastAsiaTheme="majorEastAsia"/>
        </w:rPr>
        <w:footnoteRef/>
      </w:r>
      <w:r w:rsidRPr="001741B8">
        <w:rPr>
          <w:lang w:val="en-US"/>
        </w:rPr>
        <w:t xml:space="preserve"> </w:t>
      </w:r>
      <w:r w:rsidRPr="009167A5">
        <w:rPr>
          <w:i/>
          <w:lang w:val="en-US"/>
        </w:rPr>
        <w:t>Wash. v. Glucksberg</w:t>
      </w:r>
      <w:r w:rsidRPr="006E67FE">
        <w:rPr>
          <w:lang w:val="en-US"/>
        </w:rPr>
        <w:t xml:space="preserve"> = 1997 U.S. LEXIS </w:t>
      </w:r>
      <w:r w:rsidRPr="001741B8">
        <w:rPr>
          <w:lang w:val="en-US"/>
        </w:rPr>
        <w:t>4039, 104, 521 U.S. 702, 763</w:t>
      </w:r>
      <w:r w:rsidRPr="006E67FE">
        <w:rPr>
          <w:lang w:val="en-US"/>
        </w:rPr>
        <w:t xml:space="preserve"> = 117 S. Ct. </w:t>
      </w:r>
      <w:r w:rsidRPr="001741B8">
        <w:rPr>
          <w:lang w:val="en-US"/>
        </w:rPr>
        <w:t>2258, 2281, 2281</w:t>
      </w:r>
      <w:r w:rsidRPr="006E67FE">
        <w:rPr>
          <w:lang w:val="en-US"/>
        </w:rPr>
        <w:t xml:space="preserve"> = 117 S. Ct. </w:t>
      </w:r>
      <w:r w:rsidRPr="001741B8">
        <w:rPr>
          <w:lang w:val="en-US"/>
        </w:rPr>
        <w:t>2302</w:t>
      </w:r>
      <w:r w:rsidRPr="006E67FE">
        <w:rPr>
          <w:lang w:val="en-US"/>
        </w:rPr>
        <w:t xml:space="preserve"> = 138 L. Ed. </w:t>
      </w:r>
      <w:r w:rsidRPr="001741B8">
        <w:rPr>
          <w:lang w:val="en-US"/>
        </w:rPr>
        <w:t>2d 772, 815</w:t>
      </w:r>
      <w:r w:rsidRPr="006E67FE">
        <w:rPr>
          <w:lang w:val="en-US"/>
        </w:rPr>
        <w:t xml:space="preserve"> = 65 U.S.L.W. </w:t>
      </w:r>
      <w:r w:rsidRPr="001741B8">
        <w:rPr>
          <w:lang w:val="en-US"/>
        </w:rPr>
        <w:t>4669</w:t>
      </w:r>
      <w:r w:rsidRPr="006E67FE">
        <w:rPr>
          <w:lang w:val="en-US"/>
        </w:rPr>
        <w:t xml:space="preserve"> = 97 Cal. Daily Op. </w:t>
      </w:r>
      <w:r w:rsidRPr="001741B8">
        <w:rPr>
          <w:lang w:val="en-US"/>
        </w:rPr>
        <w:t>Service 5008</w:t>
      </w:r>
      <w:r w:rsidRPr="006E67FE">
        <w:rPr>
          <w:lang w:val="en-US"/>
        </w:rPr>
        <w:t xml:space="preserve"> = 97 Daily Journal </w:t>
      </w:r>
      <w:r w:rsidRPr="001741B8">
        <w:rPr>
          <w:lang w:val="en-US"/>
        </w:rPr>
        <w:t>DAR 8150</w:t>
      </w:r>
      <w:r w:rsidRPr="006E67FE">
        <w:rPr>
          <w:lang w:val="en-US"/>
        </w:rPr>
        <w:t xml:space="preserve"> = 11 Fla. L. Weekly </w:t>
      </w:r>
      <w:r w:rsidRPr="001741B8">
        <w:rPr>
          <w:lang w:val="en-US"/>
        </w:rPr>
        <w:t xml:space="preserve">Fed. </w:t>
      </w:r>
      <w:r w:rsidRPr="000318E5">
        <w:rPr>
          <w:lang w:val="en-US"/>
        </w:rPr>
        <w:t>S 190 (1997)</w:t>
      </w:r>
    </w:p>
  </w:footnote>
  <w:footnote w:id="1396">
    <w:p w14:paraId="307C4B55" w14:textId="77777777" w:rsidR="00074551" w:rsidRPr="000318E5" w:rsidRDefault="00074551" w:rsidP="00074551">
      <w:pPr>
        <w:pStyle w:val="Funotentext"/>
        <w:rPr>
          <w:lang w:val="en-US"/>
        </w:rPr>
      </w:pPr>
      <w:r>
        <w:rPr>
          <w:rStyle w:val="Funotenzeichen"/>
          <w:rFonts w:eastAsiaTheme="majorEastAsia"/>
        </w:rPr>
        <w:footnoteRef/>
      </w:r>
      <w:r w:rsidRPr="000318E5">
        <w:rPr>
          <w:lang w:val="en-US"/>
        </w:rPr>
        <w:t xml:space="preserve"> Poe, 367 U.S. at 541</w:t>
      </w:r>
      <w:r>
        <w:rPr>
          <w:lang w:val="en-US"/>
        </w:rPr>
        <w:t xml:space="preserve">; </w:t>
      </w:r>
      <w:r w:rsidRPr="009167A5">
        <w:rPr>
          <w:i/>
          <w:lang w:val="en-US"/>
        </w:rPr>
        <w:t>Wash. v. Glucksberg</w:t>
      </w:r>
      <w:r w:rsidRPr="000318E5">
        <w:rPr>
          <w:lang w:val="en-US"/>
        </w:rPr>
        <w:t>, 521 U.S. 702, 764</w:t>
      </w:r>
      <w:r w:rsidRPr="006E67FE">
        <w:rPr>
          <w:lang w:val="en-US"/>
        </w:rPr>
        <w:t xml:space="preserve"> = 117 S. Ct. </w:t>
      </w:r>
      <w:r w:rsidRPr="000318E5">
        <w:rPr>
          <w:lang w:val="en-US"/>
        </w:rPr>
        <w:t>2258, 2281, 2281</w:t>
      </w:r>
      <w:r w:rsidRPr="006E67FE">
        <w:rPr>
          <w:lang w:val="en-US"/>
        </w:rPr>
        <w:t xml:space="preserve"> = 117 S. Ct. </w:t>
      </w:r>
      <w:r w:rsidRPr="000318E5">
        <w:rPr>
          <w:lang w:val="en-US"/>
        </w:rPr>
        <w:t>2302</w:t>
      </w:r>
      <w:r w:rsidRPr="006E67FE">
        <w:rPr>
          <w:lang w:val="en-US"/>
        </w:rPr>
        <w:t xml:space="preserve"> = 138 L. Ed. </w:t>
      </w:r>
      <w:r w:rsidRPr="000318E5">
        <w:rPr>
          <w:lang w:val="en-US"/>
        </w:rPr>
        <w:t>2d 772, 815</w:t>
      </w:r>
      <w:r w:rsidRPr="006E67FE">
        <w:rPr>
          <w:lang w:val="en-US"/>
        </w:rPr>
        <w:t xml:space="preserve"> = 1997 U.S. LEXIS </w:t>
      </w:r>
      <w:r w:rsidRPr="000318E5">
        <w:rPr>
          <w:lang w:val="en-US"/>
        </w:rPr>
        <w:t>4039, 105</w:t>
      </w:r>
      <w:r w:rsidRPr="006E67FE">
        <w:rPr>
          <w:lang w:val="en-US"/>
        </w:rPr>
        <w:t xml:space="preserve"> = 65 U.S.L.W. </w:t>
      </w:r>
      <w:r w:rsidRPr="000318E5">
        <w:rPr>
          <w:lang w:val="en-US"/>
        </w:rPr>
        <w:t>4669</w:t>
      </w:r>
      <w:r w:rsidRPr="006E67FE">
        <w:rPr>
          <w:lang w:val="en-US"/>
        </w:rPr>
        <w:t xml:space="preserve"> = 97 Cal. Daily Op. </w:t>
      </w:r>
      <w:r w:rsidRPr="000318E5">
        <w:rPr>
          <w:lang w:val="en-US"/>
        </w:rPr>
        <w:t>Service 5008</w:t>
      </w:r>
      <w:r w:rsidRPr="006E67FE">
        <w:rPr>
          <w:lang w:val="en-US"/>
        </w:rPr>
        <w:t xml:space="preserve"> = 97 Daily Journal </w:t>
      </w:r>
      <w:r w:rsidRPr="000318E5">
        <w:rPr>
          <w:lang w:val="en-US"/>
        </w:rPr>
        <w:t>DAR 8150</w:t>
      </w:r>
      <w:r w:rsidRPr="006E67FE">
        <w:rPr>
          <w:lang w:val="en-US"/>
        </w:rPr>
        <w:t xml:space="preserve"> = 11 Fla. L. Weekly </w:t>
      </w:r>
      <w:r w:rsidRPr="000318E5">
        <w:rPr>
          <w:lang w:val="en-US"/>
        </w:rPr>
        <w:t>Fed. S 190 (1997)</w:t>
      </w:r>
      <w:r>
        <w:rPr>
          <w:lang w:val="en-US"/>
        </w:rPr>
        <w:t>.</w:t>
      </w:r>
    </w:p>
  </w:footnote>
  <w:footnote w:id="1397">
    <w:p w14:paraId="2B62C90E" w14:textId="77777777" w:rsidR="00074551" w:rsidRPr="000318E5" w:rsidRDefault="00074551" w:rsidP="00074551">
      <w:pPr>
        <w:pStyle w:val="Funotentext"/>
        <w:rPr>
          <w:lang w:val="en-US"/>
        </w:rPr>
      </w:pPr>
      <w:r>
        <w:rPr>
          <w:rStyle w:val="Funotenzeichen"/>
          <w:rFonts w:eastAsiaTheme="majorEastAsia"/>
        </w:rPr>
        <w:footnoteRef/>
      </w:r>
      <w:r w:rsidRPr="000318E5">
        <w:rPr>
          <w:lang w:val="en-US"/>
        </w:rPr>
        <w:t xml:space="preserve"> </w:t>
      </w:r>
      <w:r w:rsidRPr="009167A5">
        <w:rPr>
          <w:i/>
          <w:lang w:val="en-US"/>
        </w:rPr>
        <w:t>Wash. v. Glucksberg</w:t>
      </w:r>
      <w:r w:rsidRPr="000318E5">
        <w:rPr>
          <w:lang w:val="en-US"/>
        </w:rPr>
        <w:t>, 521 U.S. 702, 764</w:t>
      </w:r>
      <w:r w:rsidRPr="006E67FE">
        <w:rPr>
          <w:lang w:val="en-US"/>
        </w:rPr>
        <w:t xml:space="preserve"> = 117 S. Ct. </w:t>
      </w:r>
      <w:r w:rsidRPr="000318E5">
        <w:rPr>
          <w:lang w:val="en-US"/>
        </w:rPr>
        <w:t>2258, 2281, 2281</w:t>
      </w:r>
      <w:r w:rsidRPr="006E67FE">
        <w:rPr>
          <w:lang w:val="en-US"/>
        </w:rPr>
        <w:t xml:space="preserve"> = 117 S. Ct. </w:t>
      </w:r>
      <w:r w:rsidRPr="000318E5">
        <w:rPr>
          <w:lang w:val="en-US"/>
        </w:rPr>
        <w:t>2302</w:t>
      </w:r>
      <w:r w:rsidRPr="006E67FE">
        <w:rPr>
          <w:lang w:val="en-US"/>
        </w:rPr>
        <w:t xml:space="preserve"> = 138 L. Ed. </w:t>
      </w:r>
      <w:r w:rsidRPr="000318E5">
        <w:rPr>
          <w:lang w:val="en-US"/>
        </w:rPr>
        <w:t>2d 772, 815</w:t>
      </w:r>
      <w:r w:rsidRPr="006E67FE">
        <w:rPr>
          <w:lang w:val="en-US"/>
        </w:rPr>
        <w:t xml:space="preserve"> = 1997 U.S. LEXIS </w:t>
      </w:r>
      <w:r w:rsidRPr="000318E5">
        <w:rPr>
          <w:lang w:val="en-US"/>
        </w:rPr>
        <w:t>4039, 106</w:t>
      </w:r>
      <w:r w:rsidRPr="006E67FE">
        <w:rPr>
          <w:lang w:val="en-US"/>
        </w:rPr>
        <w:t xml:space="preserve"> = 65 U.S.L.W. </w:t>
      </w:r>
      <w:r w:rsidRPr="000318E5">
        <w:rPr>
          <w:lang w:val="en-US"/>
        </w:rPr>
        <w:t>4669</w:t>
      </w:r>
      <w:r w:rsidRPr="006E67FE">
        <w:rPr>
          <w:lang w:val="en-US"/>
        </w:rPr>
        <w:t xml:space="preserve"> = 97 Cal. Daily Op. </w:t>
      </w:r>
      <w:r w:rsidRPr="000318E5">
        <w:rPr>
          <w:lang w:val="en-US"/>
        </w:rPr>
        <w:t>Service 5008</w:t>
      </w:r>
      <w:r w:rsidRPr="006E67FE">
        <w:rPr>
          <w:lang w:val="en-US"/>
        </w:rPr>
        <w:t xml:space="preserve"> = 97 Daily Journal </w:t>
      </w:r>
      <w:r w:rsidRPr="000318E5">
        <w:rPr>
          <w:lang w:val="en-US"/>
        </w:rPr>
        <w:t>DAR 8150</w:t>
      </w:r>
      <w:r w:rsidRPr="006E67FE">
        <w:rPr>
          <w:lang w:val="en-US"/>
        </w:rPr>
        <w:t xml:space="preserve"> = 11 Fla. L. Weekly </w:t>
      </w:r>
      <w:r w:rsidRPr="000318E5">
        <w:rPr>
          <w:lang w:val="en-US"/>
        </w:rPr>
        <w:t>Fed. S 190 (1997)</w:t>
      </w:r>
      <w:r>
        <w:rPr>
          <w:lang w:val="en-US"/>
        </w:rPr>
        <w:t>.</w:t>
      </w:r>
    </w:p>
  </w:footnote>
  <w:footnote w:id="1398">
    <w:p w14:paraId="07C7FB60" w14:textId="77777777" w:rsidR="00074551" w:rsidRPr="00B35CD0" w:rsidRDefault="00074551" w:rsidP="00074551">
      <w:pPr>
        <w:pStyle w:val="Funotentext"/>
        <w:rPr>
          <w:lang w:val="en-US"/>
        </w:rPr>
      </w:pPr>
      <w:r>
        <w:rPr>
          <w:rStyle w:val="Funotenzeichen"/>
          <w:rFonts w:eastAsiaTheme="majorEastAsia"/>
        </w:rPr>
        <w:footnoteRef/>
      </w:r>
      <w:r w:rsidRPr="000318E5">
        <w:rPr>
          <w:lang w:val="en-US"/>
        </w:rPr>
        <w:t xml:space="preserve"> </w:t>
      </w:r>
      <w:r w:rsidRPr="009167A5">
        <w:rPr>
          <w:i/>
          <w:lang w:val="en-US"/>
        </w:rPr>
        <w:t>Wash. v. Glucksberg</w:t>
      </w:r>
      <w:r w:rsidRPr="000318E5">
        <w:rPr>
          <w:lang w:val="en-US"/>
        </w:rPr>
        <w:t>, 521 U.S. 702, 764</w:t>
      </w:r>
      <w:r w:rsidRPr="006E67FE">
        <w:rPr>
          <w:lang w:val="en-US"/>
        </w:rPr>
        <w:t xml:space="preserve"> = 117 S. Ct. </w:t>
      </w:r>
      <w:r w:rsidRPr="000318E5">
        <w:rPr>
          <w:lang w:val="en-US"/>
        </w:rPr>
        <w:t>2258, 2281, 2281</w:t>
      </w:r>
      <w:r w:rsidRPr="006E67FE">
        <w:rPr>
          <w:lang w:val="en-US"/>
        </w:rPr>
        <w:t xml:space="preserve"> = 117 S. Ct. </w:t>
      </w:r>
      <w:r w:rsidRPr="000318E5">
        <w:rPr>
          <w:lang w:val="en-US"/>
        </w:rPr>
        <w:t>2302</w:t>
      </w:r>
      <w:r w:rsidRPr="006E67FE">
        <w:rPr>
          <w:lang w:val="en-US"/>
        </w:rPr>
        <w:t xml:space="preserve"> = 138 L. Ed. </w:t>
      </w:r>
      <w:r w:rsidRPr="000318E5">
        <w:rPr>
          <w:lang w:val="en-US"/>
        </w:rPr>
        <w:t>2d 772, 815</w:t>
      </w:r>
      <w:r w:rsidRPr="006E67FE">
        <w:rPr>
          <w:lang w:val="en-US"/>
        </w:rPr>
        <w:t xml:space="preserve"> = 1997 U.S. LEXIS </w:t>
      </w:r>
      <w:r w:rsidRPr="000318E5">
        <w:rPr>
          <w:lang w:val="en-US"/>
        </w:rPr>
        <w:t>4039, 106</w:t>
      </w:r>
      <w:r w:rsidRPr="006E67FE">
        <w:rPr>
          <w:lang w:val="en-US"/>
        </w:rPr>
        <w:t xml:space="preserve"> = 65 U.S.L.W. </w:t>
      </w:r>
      <w:r w:rsidRPr="000318E5">
        <w:rPr>
          <w:lang w:val="en-US"/>
        </w:rPr>
        <w:t>4669</w:t>
      </w:r>
      <w:r w:rsidRPr="006E67FE">
        <w:rPr>
          <w:lang w:val="en-US"/>
        </w:rPr>
        <w:t xml:space="preserve"> = 97 Cal. Daily Op. </w:t>
      </w:r>
      <w:r w:rsidRPr="000318E5">
        <w:rPr>
          <w:lang w:val="en-US"/>
        </w:rPr>
        <w:t>Service 5008</w:t>
      </w:r>
      <w:r w:rsidRPr="006E67FE">
        <w:rPr>
          <w:lang w:val="en-US"/>
        </w:rPr>
        <w:t xml:space="preserve"> = 97 Daily Journal </w:t>
      </w:r>
      <w:r w:rsidRPr="00B35CD0">
        <w:rPr>
          <w:lang w:val="en-US"/>
        </w:rPr>
        <w:t>DAR 8150 = 11 Fla. L. Weekly Fed. S 190 (1997).</w:t>
      </w:r>
    </w:p>
  </w:footnote>
  <w:footnote w:id="1399">
    <w:p w14:paraId="1E034AD3" w14:textId="77777777" w:rsidR="00074551" w:rsidRPr="00B35CD0"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B35CD0">
        <w:rPr>
          <w:i/>
          <w:lang w:val="en-US"/>
        </w:rPr>
        <w:t>Poe v. Ullman</w:t>
      </w:r>
      <w:r w:rsidRPr="00B35CD0">
        <w:rPr>
          <w:lang w:val="en-US"/>
        </w:rPr>
        <w:t xml:space="preserve">, </w:t>
      </w:r>
      <w:r w:rsidRPr="00B35CD0">
        <w:rPr>
          <w:lang w:val="en-IE"/>
        </w:rPr>
        <w:t xml:space="preserve">367 U.S. 497, </w:t>
      </w:r>
      <w:r w:rsidRPr="00B35CD0">
        <w:rPr>
          <w:lang w:val="en-US"/>
        </w:rPr>
        <w:t>549 (</w:t>
      </w:r>
      <w:r w:rsidRPr="009E3055">
        <w:rPr>
          <w:lang w:val="en-US"/>
        </w:rPr>
        <w:t xml:space="preserve">Dissens von </w:t>
      </w:r>
      <w:r w:rsidRPr="00B45592">
        <w:rPr>
          <w:lang w:val="en-US"/>
        </w:rPr>
        <w:t xml:space="preserve">Richter </w:t>
      </w:r>
      <w:r w:rsidRPr="00B45592">
        <w:rPr>
          <w:i/>
          <w:lang w:val="en-US"/>
        </w:rPr>
        <w:t>Harlan</w:t>
      </w:r>
      <w:r w:rsidRPr="00B35CD0">
        <w:rPr>
          <w:lang w:val="en-US"/>
        </w:rPr>
        <w:t xml:space="preserve">); </w:t>
      </w:r>
      <w:proofErr w:type="spellStart"/>
      <w:r w:rsidRPr="00B35CD0">
        <w:rPr>
          <w:lang w:val="en-US"/>
        </w:rPr>
        <w:t>siehe</w:t>
      </w:r>
      <w:proofErr w:type="spellEnd"/>
      <w:r w:rsidRPr="00B35CD0">
        <w:rPr>
          <w:lang w:val="en-US"/>
        </w:rPr>
        <w:t xml:space="preserve"> </w:t>
      </w:r>
      <w:proofErr w:type="spellStart"/>
      <w:r w:rsidRPr="00B35CD0">
        <w:rPr>
          <w:lang w:val="en-US"/>
        </w:rPr>
        <w:t>auch</w:t>
      </w:r>
      <w:proofErr w:type="spellEnd"/>
      <w:r w:rsidRPr="00B35CD0">
        <w:rPr>
          <w:lang w:val="en-US"/>
        </w:rPr>
        <w:t xml:space="preserve"> </w:t>
      </w:r>
      <w:r w:rsidRPr="00B45592">
        <w:rPr>
          <w:i/>
          <w:lang w:val="en-US"/>
        </w:rPr>
        <w:t>Griswold v. Connecticut</w:t>
      </w:r>
      <w:r w:rsidRPr="00B35CD0">
        <w:rPr>
          <w:lang w:val="en-US"/>
        </w:rPr>
        <w:t xml:space="preserve">, </w:t>
      </w:r>
      <w:r w:rsidRPr="00B35CD0">
        <w:rPr>
          <w:lang w:val="en-IE"/>
        </w:rPr>
        <w:t xml:space="preserve">381 U.S. 479, </w:t>
      </w:r>
      <w:r w:rsidRPr="00B35CD0">
        <w:rPr>
          <w:lang w:val="en-US"/>
        </w:rPr>
        <w:t xml:space="preserve">500; </w:t>
      </w:r>
      <w:r w:rsidRPr="00B35CD0">
        <w:rPr>
          <w:i/>
          <w:lang w:val="en-US"/>
        </w:rPr>
        <w:t>Wash. v. Glucksberg</w:t>
      </w:r>
      <w:r w:rsidRPr="00B35CD0">
        <w:rPr>
          <w:lang w:val="en-US"/>
        </w:rPr>
        <w:t>, 521 U.S. 702, 765 = 117 S. Ct. 2258, 2281–2282 = 117 S. Ct. 2302 = 138 L. Ed. 2d 772, 816 = 1997 U.S. LEXIS 4039, 107 = 65 U.S.L.W. 4669 = 97 Cal. Daily Op. Service 5008 = 97 Daily Journal DAR 8150 = 11 Fla. L. Weekly Fed. S 190 (1997).</w:t>
      </w:r>
    </w:p>
  </w:footnote>
  <w:footnote w:id="1400">
    <w:p w14:paraId="7F5A35EC" w14:textId="77777777" w:rsidR="00074551" w:rsidRPr="000318E5" w:rsidRDefault="00074551" w:rsidP="00074551">
      <w:pPr>
        <w:pStyle w:val="Funotentext"/>
        <w:rPr>
          <w:lang w:val="en-US"/>
        </w:rPr>
      </w:pPr>
      <w:r w:rsidRPr="00B35CD0">
        <w:rPr>
          <w:rStyle w:val="Funotenzeichen"/>
          <w:rFonts w:eastAsiaTheme="majorEastAsia"/>
        </w:rPr>
        <w:footnoteRef/>
      </w:r>
      <w:r w:rsidRPr="00B35CD0">
        <w:rPr>
          <w:lang w:val="en-US"/>
        </w:rPr>
        <w:t xml:space="preserve"> </w:t>
      </w:r>
      <w:r w:rsidRPr="00B35CD0">
        <w:rPr>
          <w:i/>
          <w:lang w:val="en-US"/>
        </w:rPr>
        <w:t>Poe v. Ullman</w:t>
      </w:r>
      <w:r w:rsidRPr="00B35CD0">
        <w:rPr>
          <w:lang w:val="en-US"/>
        </w:rPr>
        <w:t xml:space="preserve">, </w:t>
      </w:r>
      <w:r w:rsidRPr="00B35CD0">
        <w:rPr>
          <w:lang w:val="en-IE"/>
        </w:rPr>
        <w:t xml:space="preserve">367 U.S. 497, </w:t>
      </w:r>
      <w:r w:rsidRPr="00B35CD0">
        <w:rPr>
          <w:lang w:val="en-US"/>
        </w:rPr>
        <w:t>543 (</w:t>
      </w:r>
      <w:r w:rsidRPr="00B45592">
        <w:rPr>
          <w:lang w:val="en-US"/>
        </w:rPr>
        <w:t xml:space="preserve">Dissens von Richter </w:t>
      </w:r>
      <w:r w:rsidRPr="00B45592">
        <w:rPr>
          <w:i/>
          <w:lang w:val="en-US"/>
        </w:rPr>
        <w:t>Harlan</w:t>
      </w:r>
      <w:r w:rsidRPr="00B35CD0">
        <w:rPr>
          <w:lang w:val="en-US"/>
        </w:rPr>
        <w:t xml:space="preserve">); </w:t>
      </w:r>
      <w:r w:rsidRPr="00B35CD0">
        <w:rPr>
          <w:i/>
          <w:lang w:val="en-US"/>
        </w:rPr>
        <w:t>Wash</w:t>
      </w:r>
      <w:r w:rsidRPr="009167A5">
        <w:rPr>
          <w:i/>
          <w:lang w:val="en-US"/>
        </w:rPr>
        <w:t>. v. Glucksberg</w:t>
      </w:r>
      <w:r w:rsidRPr="000318E5">
        <w:rPr>
          <w:lang w:val="en-US"/>
        </w:rPr>
        <w:t>, 521 U.S. 702, 765</w:t>
      </w:r>
      <w:r w:rsidRPr="006E67FE">
        <w:rPr>
          <w:lang w:val="en-US"/>
        </w:rPr>
        <w:t xml:space="preserve"> = 117 S. Ct. </w:t>
      </w:r>
      <w:r w:rsidRPr="000318E5">
        <w:rPr>
          <w:lang w:val="en-US"/>
        </w:rPr>
        <w:t>2258, 2282, 2282</w:t>
      </w:r>
      <w:r w:rsidRPr="006E67FE">
        <w:rPr>
          <w:lang w:val="en-US"/>
        </w:rPr>
        <w:t xml:space="preserve"> = 117 S. Ct. </w:t>
      </w:r>
      <w:r w:rsidRPr="000318E5">
        <w:rPr>
          <w:lang w:val="en-US"/>
        </w:rPr>
        <w:t>2302</w:t>
      </w:r>
      <w:r w:rsidRPr="006E67FE">
        <w:rPr>
          <w:lang w:val="en-US"/>
        </w:rPr>
        <w:t xml:space="preserve"> = 138 L. Ed. </w:t>
      </w:r>
      <w:r w:rsidRPr="000318E5">
        <w:rPr>
          <w:lang w:val="en-US"/>
        </w:rPr>
        <w:t>2d 772, 816</w:t>
      </w:r>
      <w:r w:rsidRPr="006E67FE">
        <w:rPr>
          <w:lang w:val="en-US"/>
        </w:rPr>
        <w:t xml:space="preserve"> = 1997 U.S. LEXIS </w:t>
      </w:r>
      <w:r w:rsidRPr="000318E5">
        <w:rPr>
          <w:lang w:val="en-US"/>
        </w:rPr>
        <w:t>4039, 107</w:t>
      </w:r>
      <w:r w:rsidRPr="006E67FE">
        <w:rPr>
          <w:lang w:val="en-US"/>
        </w:rPr>
        <w:t xml:space="preserve"> = 65 U.S.L.W. </w:t>
      </w:r>
      <w:r w:rsidRPr="000318E5">
        <w:rPr>
          <w:lang w:val="en-US"/>
        </w:rPr>
        <w:t>4669</w:t>
      </w:r>
      <w:r w:rsidRPr="006E67FE">
        <w:rPr>
          <w:lang w:val="en-US"/>
        </w:rPr>
        <w:t xml:space="preserve"> = 97 Cal. Daily Op. </w:t>
      </w:r>
      <w:r w:rsidRPr="000318E5">
        <w:rPr>
          <w:lang w:val="en-US"/>
        </w:rPr>
        <w:t>Service 5008</w:t>
      </w:r>
      <w:r w:rsidRPr="006E67FE">
        <w:rPr>
          <w:lang w:val="en-US"/>
        </w:rPr>
        <w:t xml:space="preserve"> = 97 Daily Journal </w:t>
      </w:r>
      <w:r w:rsidRPr="000318E5">
        <w:rPr>
          <w:lang w:val="en-US"/>
        </w:rPr>
        <w:t>DAR 8150</w:t>
      </w:r>
      <w:r w:rsidRPr="006E67FE">
        <w:rPr>
          <w:lang w:val="en-US"/>
        </w:rPr>
        <w:t xml:space="preserve"> = 11 Fla. L. Weekly </w:t>
      </w:r>
      <w:r w:rsidRPr="000318E5">
        <w:rPr>
          <w:lang w:val="en-US"/>
        </w:rPr>
        <w:t>Fed. S 190 (1997)</w:t>
      </w:r>
      <w:r>
        <w:rPr>
          <w:lang w:val="en-US"/>
        </w:rPr>
        <w:t>.</w:t>
      </w:r>
    </w:p>
  </w:footnote>
  <w:footnote w:id="1401">
    <w:p w14:paraId="42D3A48E" w14:textId="77777777" w:rsidR="00074551" w:rsidRPr="004A434C" w:rsidRDefault="00074551" w:rsidP="00074551">
      <w:pPr>
        <w:pStyle w:val="Funotentext"/>
        <w:rPr>
          <w:lang w:val="en-US"/>
        </w:rPr>
      </w:pPr>
      <w:r>
        <w:rPr>
          <w:rStyle w:val="Funotenzeichen"/>
          <w:rFonts w:eastAsiaTheme="majorEastAsia"/>
        </w:rPr>
        <w:footnoteRef/>
      </w:r>
      <w:r w:rsidRPr="00EE6EEE">
        <w:rPr>
          <w:lang w:val="en-US"/>
        </w:rPr>
        <w:t xml:space="preserve"> </w:t>
      </w:r>
      <w:proofErr w:type="spellStart"/>
      <w:r w:rsidRPr="00EE6EEE">
        <w:rPr>
          <w:lang w:val="en-US"/>
        </w:rPr>
        <w:t>Siehe</w:t>
      </w:r>
      <w:proofErr w:type="spellEnd"/>
      <w:r w:rsidRPr="00EE6EEE">
        <w:rPr>
          <w:lang w:val="en-US"/>
        </w:rPr>
        <w:t xml:space="preserve"> die Fn. 19 in</w:t>
      </w:r>
      <w:r>
        <w:rPr>
          <w:lang w:val="en-US"/>
        </w:rPr>
        <w:t xml:space="preserve"> </w:t>
      </w:r>
      <w:r w:rsidRPr="009167A5">
        <w:rPr>
          <w:i/>
          <w:lang w:val="en-US"/>
        </w:rPr>
        <w:t>Wash. v. Glucksberg</w:t>
      </w:r>
      <w:r w:rsidRPr="00EE6EEE">
        <w:rPr>
          <w:lang w:val="en-US"/>
        </w:rPr>
        <w:t>, 521 U.S. 702, 727</w:t>
      </w:r>
      <w:r w:rsidRPr="006E67FE">
        <w:rPr>
          <w:lang w:val="en-US"/>
        </w:rPr>
        <w:t xml:space="preserve"> = 117 S. Ct. </w:t>
      </w:r>
      <w:r w:rsidRPr="00EE6EEE">
        <w:rPr>
          <w:lang w:val="en-US"/>
        </w:rPr>
        <w:t>2258, 2271, 2271</w:t>
      </w:r>
      <w:r w:rsidRPr="006E67FE">
        <w:rPr>
          <w:lang w:val="en-US"/>
        </w:rPr>
        <w:t xml:space="preserve"> = 117 S. Ct. </w:t>
      </w:r>
      <w:r w:rsidRPr="00EE6EEE">
        <w:rPr>
          <w:lang w:val="en-US"/>
        </w:rPr>
        <w:t>2302</w:t>
      </w:r>
      <w:r w:rsidRPr="006E67FE">
        <w:rPr>
          <w:lang w:val="en-US"/>
        </w:rPr>
        <w:t xml:space="preserve"> = 138 L. Ed. </w:t>
      </w:r>
      <w:r w:rsidRPr="00EE6EEE">
        <w:rPr>
          <w:lang w:val="en-US"/>
        </w:rPr>
        <w:t>2d 772, 792</w:t>
      </w:r>
      <w:r w:rsidRPr="006E67FE">
        <w:rPr>
          <w:lang w:val="en-US"/>
        </w:rPr>
        <w:t xml:space="preserve"> = 1997 U.S. LEXIS </w:t>
      </w:r>
      <w:r w:rsidRPr="00EE6EEE">
        <w:rPr>
          <w:lang w:val="en-US"/>
        </w:rPr>
        <w:t>4039, 42</w:t>
      </w:r>
      <w:r w:rsidRPr="006E67FE">
        <w:rPr>
          <w:lang w:val="en-US"/>
        </w:rPr>
        <w:t xml:space="preserve"> = 65 U.S.L.W. </w:t>
      </w:r>
      <w:r w:rsidRPr="00EE6EEE">
        <w:rPr>
          <w:lang w:val="en-US"/>
        </w:rPr>
        <w:t>4669</w:t>
      </w:r>
      <w:r w:rsidRPr="006E67FE">
        <w:rPr>
          <w:lang w:val="en-US"/>
        </w:rPr>
        <w:t xml:space="preserve"> = 97 Cal. Daily Op. </w:t>
      </w:r>
      <w:r w:rsidRPr="00EE6EEE">
        <w:rPr>
          <w:lang w:val="en-US"/>
        </w:rPr>
        <w:t>Service 5008</w:t>
      </w:r>
      <w:r w:rsidRPr="006E67FE">
        <w:rPr>
          <w:lang w:val="en-US"/>
        </w:rPr>
        <w:t xml:space="preserve"> = 97 Daily Journal </w:t>
      </w:r>
      <w:r w:rsidRPr="00EE6EEE">
        <w:rPr>
          <w:lang w:val="en-US"/>
        </w:rPr>
        <w:t>DAR 8150</w:t>
      </w:r>
      <w:r w:rsidRPr="006E67FE">
        <w:rPr>
          <w:lang w:val="en-US"/>
        </w:rPr>
        <w:t xml:space="preserve"> = 11 Fla. L. Weekly </w:t>
      </w:r>
      <w:r w:rsidRPr="00EE6EEE">
        <w:rPr>
          <w:lang w:val="en-US"/>
        </w:rPr>
        <w:t xml:space="preserve">Fed. </w:t>
      </w:r>
      <w:r w:rsidRPr="004A434C">
        <w:rPr>
          <w:lang w:val="en-US"/>
        </w:rPr>
        <w:t>S 190 (1997)</w:t>
      </w:r>
      <w:r>
        <w:rPr>
          <w:lang w:val="en-US"/>
        </w:rPr>
        <w:t>.</w:t>
      </w:r>
    </w:p>
  </w:footnote>
  <w:footnote w:id="1402">
    <w:p w14:paraId="4C5CC529" w14:textId="77777777" w:rsidR="00074551" w:rsidRPr="0048288A" w:rsidRDefault="00074551" w:rsidP="00074551">
      <w:pPr>
        <w:pStyle w:val="Funotentext"/>
        <w:rPr>
          <w:lang w:val="en-US"/>
        </w:rPr>
      </w:pPr>
      <w:r>
        <w:rPr>
          <w:rStyle w:val="Funotenzeichen"/>
          <w:rFonts w:eastAsiaTheme="majorEastAsia"/>
        </w:rPr>
        <w:footnoteRef/>
      </w:r>
      <w:r w:rsidRPr="0048288A">
        <w:rPr>
          <w:lang w:val="en-US"/>
        </w:rPr>
        <w:t xml:space="preserve"> </w:t>
      </w:r>
      <w:r w:rsidRPr="00B35CD0">
        <w:rPr>
          <w:i/>
          <w:lang w:val="en-US"/>
        </w:rPr>
        <w:t xml:space="preserve">Zablocki v. </w:t>
      </w:r>
      <w:proofErr w:type="spellStart"/>
      <w:r w:rsidRPr="00B35CD0">
        <w:rPr>
          <w:i/>
          <w:lang w:val="en-US"/>
        </w:rPr>
        <w:t>Redhail</w:t>
      </w:r>
      <w:proofErr w:type="spellEnd"/>
      <w:r w:rsidRPr="0048288A">
        <w:rPr>
          <w:lang w:val="en-US"/>
        </w:rPr>
        <w:t>, 434 U.S. 374, 375</w:t>
      </w:r>
      <w:r w:rsidRPr="003B741A">
        <w:rPr>
          <w:lang w:val="en-US"/>
        </w:rPr>
        <w:t xml:space="preserve"> = 98 S. Ct. </w:t>
      </w:r>
      <w:r w:rsidRPr="0048288A">
        <w:rPr>
          <w:lang w:val="en-US"/>
        </w:rPr>
        <w:t>673, 675</w:t>
      </w:r>
      <w:r>
        <w:rPr>
          <w:lang w:val="en-US"/>
        </w:rPr>
        <w:t xml:space="preserve"> = 54 L. Ed. </w:t>
      </w:r>
      <w:r w:rsidRPr="0048288A">
        <w:rPr>
          <w:lang w:val="en-US"/>
        </w:rPr>
        <w:t>2d 618, 623</w:t>
      </w:r>
      <w:r w:rsidRPr="003B741A">
        <w:rPr>
          <w:lang w:val="en-US"/>
        </w:rPr>
        <w:t xml:space="preserve"> = 1978 U.S. LEXIS </w:t>
      </w:r>
      <w:r w:rsidRPr="0048288A">
        <w:rPr>
          <w:lang w:val="en-US"/>
        </w:rPr>
        <w:t>57, 1</w:t>
      </w:r>
      <w:r>
        <w:rPr>
          <w:lang w:val="en-US"/>
        </w:rPr>
        <w:t xml:space="preserve"> = 24 Fed. R. Serv. </w:t>
      </w:r>
      <w:r w:rsidRPr="0048288A">
        <w:rPr>
          <w:lang w:val="en-US"/>
        </w:rPr>
        <w:t>2d (Callaghan) 1313 (1978)</w:t>
      </w:r>
      <w:r>
        <w:rPr>
          <w:lang w:val="en-US"/>
        </w:rPr>
        <w:t>.</w:t>
      </w:r>
    </w:p>
  </w:footnote>
  <w:footnote w:id="1403">
    <w:p w14:paraId="1E048D1D" w14:textId="77777777" w:rsidR="00074551" w:rsidRPr="005230D3" w:rsidRDefault="00074551" w:rsidP="00074551">
      <w:pPr>
        <w:pStyle w:val="Funotentext"/>
        <w:rPr>
          <w:lang w:val="en-US"/>
        </w:rPr>
      </w:pPr>
      <w:r>
        <w:rPr>
          <w:rStyle w:val="Funotenzeichen"/>
          <w:rFonts w:eastAsiaTheme="majorEastAsia"/>
        </w:rPr>
        <w:footnoteRef/>
      </w:r>
      <w:r w:rsidRPr="005230D3">
        <w:rPr>
          <w:lang w:val="en-US"/>
        </w:rPr>
        <w:t xml:space="preserve"> </w:t>
      </w:r>
      <w:r w:rsidRPr="00B35CD0">
        <w:rPr>
          <w:i/>
          <w:lang w:val="en-US"/>
        </w:rPr>
        <w:t xml:space="preserve">Zablocki v. </w:t>
      </w:r>
      <w:proofErr w:type="spellStart"/>
      <w:r w:rsidRPr="00B35CD0">
        <w:rPr>
          <w:i/>
          <w:lang w:val="en-US"/>
        </w:rPr>
        <w:t>Redhail</w:t>
      </w:r>
      <w:proofErr w:type="spellEnd"/>
      <w:r>
        <w:rPr>
          <w:lang w:val="en-US"/>
        </w:rPr>
        <w:t>,</w:t>
      </w:r>
      <w:r w:rsidRPr="005230D3">
        <w:rPr>
          <w:lang w:val="en-US"/>
        </w:rPr>
        <w:t xml:space="preserve"> 434 U.S. 374</w:t>
      </w:r>
      <w:r>
        <w:rPr>
          <w:lang w:val="en-US"/>
        </w:rPr>
        <w:t xml:space="preserve"> </w:t>
      </w:r>
      <w:r w:rsidRPr="0048288A">
        <w:rPr>
          <w:lang w:val="en-US"/>
        </w:rPr>
        <w:t>(1978)</w:t>
      </w:r>
      <w:r>
        <w:rPr>
          <w:lang w:val="en-US"/>
        </w:rPr>
        <w:t>.</w:t>
      </w:r>
    </w:p>
  </w:footnote>
  <w:footnote w:id="1404">
    <w:p w14:paraId="2FA6557F" w14:textId="77777777" w:rsidR="00074551" w:rsidRPr="000333FC" w:rsidRDefault="00074551" w:rsidP="00074551">
      <w:pPr>
        <w:pStyle w:val="Funotentext"/>
        <w:rPr>
          <w:lang w:val="en-US"/>
        </w:rPr>
      </w:pPr>
      <w:r>
        <w:rPr>
          <w:rStyle w:val="Funotenzeichen"/>
          <w:rFonts w:eastAsiaTheme="majorEastAsia"/>
        </w:rPr>
        <w:footnoteRef/>
      </w:r>
      <w:r w:rsidRPr="00B45592">
        <w:rPr>
          <w:lang w:val="fr-FR"/>
        </w:rPr>
        <w:t xml:space="preserve"> </w:t>
      </w:r>
      <w:r w:rsidRPr="009572B5">
        <w:rPr>
          <w:i/>
          <w:lang w:val="fr-FR"/>
        </w:rPr>
        <w:t>Skinner v. Oklahoma</w:t>
      </w:r>
      <w:r w:rsidRPr="009167A5">
        <w:rPr>
          <w:i/>
          <w:lang w:val="fr-FR"/>
        </w:rPr>
        <w:t xml:space="preserve"> ex rel. </w:t>
      </w:r>
      <w:r w:rsidRPr="00B45592">
        <w:rPr>
          <w:i/>
          <w:lang w:val="en-IE"/>
        </w:rPr>
        <w:t>Williamson</w:t>
      </w:r>
      <w:r w:rsidRPr="000333FC">
        <w:rPr>
          <w:lang w:val="en-US"/>
        </w:rPr>
        <w:t>, 316 U.S. 535, 541</w:t>
      </w:r>
      <w:r>
        <w:rPr>
          <w:lang w:val="en-US"/>
        </w:rPr>
        <w:t>–</w:t>
      </w:r>
      <w:r w:rsidRPr="000333FC">
        <w:rPr>
          <w:lang w:val="en-US"/>
        </w:rPr>
        <w:t>542 (1942</w:t>
      </w:r>
      <w:proofErr w:type="gramStart"/>
      <w:r w:rsidRPr="000333FC">
        <w:rPr>
          <w:lang w:val="en-US"/>
        </w:rPr>
        <w:t>)</w:t>
      </w:r>
      <w:r>
        <w:rPr>
          <w:lang w:val="en-US"/>
        </w:rPr>
        <w:t>;</w:t>
      </w:r>
      <w:proofErr w:type="gramEnd"/>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05">
    <w:p w14:paraId="1B2AB950"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9572B5">
        <w:rPr>
          <w:i/>
          <w:lang w:val="en-US"/>
        </w:rPr>
        <w:t>Eisenstadt v. Baird</w:t>
      </w:r>
      <w:r w:rsidRPr="000333FC">
        <w:rPr>
          <w:lang w:val="en-US"/>
        </w:rPr>
        <w:t>,</w:t>
      </w:r>
      <w:r>
        <w:rPr>
          <w:lang w:val="en-US"/>
        </w:rPr>
        <w:t xml:space="preserve"> </w:t>
      </w:r>
      <w:r w:rsidRPr="00DB6E4F">
        <w:rPr>
          <w:lang w:val="en-US"/>
        </w:rPr>
        <w:t>405 U.S. 438</w:t>
      </w:r>
      <w:r>
        <w:rPr>
          <w:lang w:val="en-US"/>
        </w:rPr>
        <w:t xml:space="preserve">, </w:t>
      </w:r>
      <w:r w:rsidRPr="00B35CD0">
        <w:rPr>
          <w:lang w:val="en-US"/>
        </w:rPr>
        <w:t>453–454</w:t>
      </w:r>
      <w:r w:rsidRPr="00B45592">
        <w:rPr>
          <w:lang w:val="en-US"/>
        </w:rPr>
        <w:t>,</w:t>
      </w:r>
      <w:r w:rsidRPr="00B35CD0">
        <w:rPr>
          <w:lang w:val="en-US"/>
        </w:rPr>
        <w:t xml:space="preserve"> 460, 463–465 </w:t>
      </w:r>
      <w:bookmarkStart w:id="65" w:name="_Hlk229170995"/>
      <w:r w:rsidRPr="00B35CD0">
        <w:rPr>
          <w:lang w:val="en-US"/>
        </w:rPr>
        <w:t>(</w:t>
      </w:r>
      <w:r w:rsidRPr="00B45592">
        <w:rPr>
          <w:i/>
          <w:iCs/>
          <w:lang w:val="en-US"/>
        </w:rPr>
        <w:t xml:space="preserve">concurring opinion </w:t>
      </w:r>
      <w:r w:rsidRPr="00B45592">
        <w:rPr>
          <w:lang w:val="en-US"/>
        </w:rPr>
        <w:t xml:space="preserve">von Richter </w:t>
      </w:r>
      <w:r w:rsidRPr="00B45592">
        <w:rPr>
          <w:i/>
          <w:lang w:val="en-US"/>
        </w:rPr>
        <w:t>White</w:t>
      </w:r>
      <w:r w:rsidRPr="00B35CD0">
        <w:rPr>
          <w:lang w:val="en-US"/>
        </w:rPr>
        <w:t>);</w:t>
      </w:r>
      <w:r>
        <w:rPr>
          <w:lang w:val="en-US"/>
        </w:rPr>
        <w:t xml:space="preserve"> </w:t>
      </w:r>
      <w:bookmarkEnd w:id="65"/>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06">
    <w:p w14:paraId="5113F32D"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9167A5">
        <w:rPr>
          <w:i/>
          <w:lang w:val="en-US"/>
        </w:rPr>
        <w:t>Pierce v. Society of Sisters</w:t>
      </w:r>
      <w:r w:rsidRPr="000333FC">
        <w:rPr>
          <w:lang w:val="en-US"/>
        </w:rPr>
        <w:t xml:space="preserve">, 268 U.S. 510, 535 (1925); </w:t>
      </w:r>
      <w:r w:rsidRPr="009E57E1">
        <w:rPr>
          <w:i/>
          <w:lang w:val="en-US"/>
        </w:rPr>
        <w:t>Meyer v. Nebraska</w:t>
      </w:r>
      <w:r w:rsidRPr="000333FC">
        <w:rPr>
          <w:lang w:val="en-US"/>
        </w:rPr>
        <w:t xml:space="preserve">, 262 U.S. 390, 399 </w:t>
      </w:r>
      <w:r>
        <w:rPr>
          <w:lang w:val="en-US"/>
        </w:rPr>
        <w:t>(</w:t>
      </w:r>
      <w:r w:rsidRPr="000333FC">
        <w:rPr>
          <w:lang w:val="en-US"/>
        </w:rPr>
        <w:t>1923</w:t>
      </w:r>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07">
    <w:p w14:paraId="0564D945"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9167A5">
        <w:rPr>
          <w:i/>
          <w:lang w:val="en-US"/>
        </w:rPr>
        <w:t>Pierce v. Society of Sisters</w:t>
      </w:r>
      <w:r w:rsidRPr="000333FC">
        <w:rPr>
          <w:lang w:val="en-US"/>
        </w:rPr>
        <w:t xml:space="preserve">, 268 U.S. 510, 535 (1925); </w:t>
      </w:r>
      <w:r w:rsidRPr="009E57E1">
        <w:rPr>
          <w:i/>
          <w:lang w:val="en-US"/>
        </w:rPr>
        <w:t>Meyer v. Nebraska</w:t>
      </w:r>
      <w:r w:rsidRPr="000333FC">
        <w:rPr>
          <w:lang w:val="en-US"/>
        </w:rPr>
        <w:t xml:space="preserve">, 262 U.S. 390, 399 </w:t>
      </w:r>
      <w:r>
        <w:rPr>
          <w:lang w:val="en-US"/>
        </w:rPr>
        <w:t>(</w:t>
      </w:r>
      <w:r w:rsidRPr="000333FC">
        <w:rPr>
          <w:lang w:val="en-US"/>
        </w:rPr>
        <w:t>1923</w:t>
      </w:r>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08">
    <w:p w14:paraId="08EFF054" w14:textId="77777777" w:rsidR="00074551" w:rsidRPr="00975241" w:rsidRDefault="00074551" w:rsidP="00074551">
      <w:pPr>
        <w:pStyle w:val="Funotentext"/>
        <w:rPr>
          <w:lang w:val="en-US"/>
        </w:rPr>
      </w:pPr>
      <w:r>
        <w:rPr>
          <w:rStyle w:val="Funotenzeichen"/>
          <w:rFonts w:eastAsiaTheme="majorEastAsia"/>
        </w:rPr>
        <w:footnoteRef/>
      </w:r>
      <w:r w:rsidRPr="00975241">
        <w:rPr>
          <w:lang w:val="en-US"/>
        </w:rPr>
        <w:t xml:space="preserve"> </w:t>
      </w:r>
      <w:r w:rsidRPr="00B35CD0">
        <w:rPr>
          <w:i/>
          <w:lang w:val="en-US"/>
        </w:rPr>
        <w:t xml:space="preserve">Zablocki v. </w:t>
      </w:r>
      <w:proofErr w:type="spellStart"/>
      <w:r w:rsidRPr="00B35CD0">
        <w:rPr>
          <w:i/>
          <w:lang w:val="en-US"/>
        </w:rPr>
        <w:t>Redhail</w:t>
      </w:r>
      <w:proofErr w:type="spellEnd"/>
      <w:r w:rsidRPr="00975241">
        <w:rPr>
          <w:lang w:val="en-US"/>
        </w:rPr>
        <w:t>, 434 U.S. 374, 375</w:t>
      </w:r>
      <w:r w:rsidRPr="003B741A">
        <w:rPr>
          <w:lang w:val="en-US"/>
        </w:rPr>
        <w:t xml:space="preserve"> = 98 S. Ct. </w:t>
      </w:r>
      <w:r w:rsidRPr="00975241">
        <w:rPr>
          <w:lang w:val="en-US"/>
        </w:rPr>
        <w:t>673, 675</w:t>
      </w:r>
      <w:r>
        <w:rPr>
          <w:lang w:val="en-US"/>
        </w:rPr>
        <w:t xml:space="preserve"> = 54 L. Ed. </w:t>
      </w:r>
      <w:r w:rsidRPr="00975241">
        <w:rPr>
          <w:lang w:val="en-US"/>
        </w:rPr>
        <w:t>2d 618, 623</w:t>
      </w:r>
      <w:r w:rsidRPr="003B741A">
        <w:rPr>
          <w:lang w:val="en-US"/>
        </w:rPr>
        <w:t xml:space="preserve"> = 1978 U.S. LEXIS </w:t>
      </w:r>
      <w:r w:rsidRPr="00975241">
        <w:rPr>
          <w:lang w:val="en-US"/>
        </w:rPr>
        <w:t>57, 1</w:t>
      </w:r>
      <w:r>
        <w:rPr>
          <w:lang w:val="en-US"/>
        </w:rPr>
        <w:t xml:space="preserve"> = 24 Fed. R. Serv. </w:t>
      </w:r>
      <w:r w:rsidRPr="00975241">
        <w:rPr>
          <w:lang w:val="en-US"/>
        </w:rPr>
        <w:t>2d (Callaghan) 1313 (1978).</w:t>
      </w:r>
    </w:p>
  </w:footnote>
  <w:footnote w:id="1409">
    <w:p w14:paraId="77E38C32" w14:textId="77777777" w:rsidR="00074551" w:rsidRPr="00534098" w:rsidRDefault="00074551" w:rsidP="00074551">
      <w:pPr>
        <w:pStyle w:val="Funotentext"/>
        <w:jc w:val="both"/>
        <w:rPr>
          <w:lang w:val="en-US"/>
        </w:rPr>
      </w:pPr>
      <w:r>
        <w:rPr>
          <w:rStyle w:val="Funotenzeichen"/>
          <w:rFonts w:eastAsiaTheme="majorEastAsia"/>
        </w:rPr>
        <w:footnoteRef/>
      </w:r>
      <w:r w:rsidRPr="00534098">
        <w:rPr>
          <w:lang w:val="en-US"/>
        </w:rPr>
        <w:t xml:space="preserve"> </w:t>
      </w:r>
      <w:r w:rsidRPr="00584023">
        <w:rPr>
          <w:i/>
          <w:lang w:val="en-US"/>
        </w:rPr>
        <w:t>Loving v. Virginia</w:t>
      </w:r>
      <w:r w:rsidRPr="00534098">
        <w:rPr>
          <w:lang w:val="en-US"/>
        </w:rPr>
        <w:t>, 388 U.S. 1</w:t>
      </w:r>
      <w:r>
        <w:rPr>
          <w:lang w:val="en-US"/>
        </w:rPr>
        <w:t xml:space="preserve">; </w:t>
      </w:r>
      <w:r w:rsidRPr="00B35CD0">
        <w:rPr>
          <w:i/>
          <w:lang w:val="en-US"/>
        </w:rPr>
        <w:t xml:space="preserve">Zablocki v. </w:t>
      </w:r>
      <w:proofErr w:type="spellStart"/>
      <w:r w:rsidRPr="00B35CD0">
        <w:rPr>
          <w:i/>
          <w:lang w:val="en-US"/>
        </w:rPr>
        <w:t>Redhail</w:t>
      </w:r>
      <w:proofErr w:type="spellEnd"/>
      <w:r w:rsidRPr="00534098">
        <w:rPr>
          <w:lang w:val="en-US"/>
        </w:rPr>
        <w:t>, 434 U.S. 374, 375</w:t>
      </w:r>
      <w:r w:rsidRPr="003B741A">
        <w:rPr>
          <w:lang w:val="en-US"/>
        </w:rPr>
        <w:t xml:space="preserve"> = 98 S. Ct. </w:t>
      </w:r>
      <w:r w:rsidRPr="00534098">
        <w:rPr>
          <w:lang w:val="en-US"/>
        </w:rPr>
        <w:t>673, 675</w:t>
      </w:r>
      <w:r>
        <w:rPr>
          <w:lang w:val="en-US"/>
        </w:rPr>
        <w:t xml:space="preserve"> = 54 L. Ed. </w:t>
      </w:r>
      <w:r w:rsidRPr="00534098">
        <w:rPr>
          <w:lang w:val="en-US"/>
        </w:rPr>
        <w:t>2d 618, 623</w:t>
      </w:r>
      <w:r w:rsidRPr="003B741A">
        <w:rPr>
          <w:lang w:val="en-US"/>
        </w:rPr>
        <w:t xml:space="preserve"> = 1978 U.S. LEXIS </w:t>
      </w:r>
      <w:r w:rsidRPr="00534098">
        <w:rPr>
          <w:lang w:val="en-US"/>
        </w:rPr>
        <w:t>57, 1</w:t>
      </w:r>
      <w:r>
        <w:rPr>
          <w:lang w:val="en-US"/>
        </w:rPr>
        <w:t xml:space="preserve"> = 24 Fed. R. Serv. </w:t>
      </w:r>
      <w:r w:rsidRPr="00534098">
        <w:rPr>
          <w:lang w:val="en-US"/>
        </w:rPr>
        <w:t>2d (Callaghan) 1313 (1978)</w:t>
      </w:r>
      <w:r>
        <w:rPr>
          <w:lang w:val="en-US"/>
        </w:rPr>
        <w:t>.</w:t>
      </w:r>
    </w:p>
  </w:footnote>
  <w:footnote w:id="1410">
    <w:p w14:paraId="6F865784" w14:textId="77777777" w:rsidR="00074551" w:rsidRPr="00E3666A" w:rsidRDefault="00074551" w:rsidP="00074551">
      <w:pPr>
        <w:pStyle w:val="Funotentext"/>
        <w:jc w:val="both"/>
        <w:rPr>
          <w:lang w:val="en-US"/>
        </w:rPr>
      </w:pPr>
      <w:r>
        <w:rPr>
          <w:rStyle w:val="Funotenzeichen"/>
          <w:rFonts w:eastAsiaTheme="majorEastAsia"/>
        </w:rPr>
        <w:footnoteRef/>
      </w:r>
      <w:r w:rsidRPr="00E3666A">
        <w:rPr>
          <w:lang w:val="en-US"/>
        </w:rPr>
        <w:t xml:space="preserve"> </w:t>
      </w:r>
      <w:r w:rsidRPr="00584023">
        <w:rPr>
          <w:i/>
          <w:lang w:val="en-US"/>
        </w:rPr>
        <w:t>Loving v. Virginia</w:t>
      </w:r>
      <w:r w:rsidRPr="00E3666A">
        <w:rPr>
          <w:lang w:val="en-US"/>
        </w:rPr>
        <w:t>, 388 U.S. 1 (1967)</w:t>
      </w:r>
      <w:r>
        <w:rPr>
          <w:lang w:val="en-US"/>
        </w:rPr>
        <w:t xml:space="preserve">; </w:t>
      </w:r>
      <w:r w:rsidRPr="00B35CD0">
        <w:rPr>
          <w:i/>
          <w:lang w:val="en-US"/>
        </w:rPr>
        <w:t xml:space="preserve">Zablocki v. </w:t>
      </w:r>
      <w:proofErr w:type="spellStart"/>
      <w:r w:rsidRPr="00B35CD0">
        <w:rPr>
          <w:i/>
          <w:lang w:val="en-US"/>
        </w:rPr>
        <w:t>Redhail</w:t>
      </w:r>
      <w:proofErr w:type="spellEnd"/>
      <w:r w:rsidRPr="00E3666A">
        <w:rPr>
          <w:lang w:val="en-US"/>
        </w:rPr>
        <w:t>, 434 U.S. 374, 383</w:t>
      </w:r>
      <w:r w:rsidRPr="003B741A">
        <w:rPr>
          <w:lang w:val="en-US"/>
        </w:rPr>
        <w:t xml:space="preserve"> = 98 S. Ct. </w:t>
      </w:r>
      <w:r w:rsidRPr="00E3666A">
        <w:rPr>
          <w:lang w:val="en-US"/>
        </w:rPr>
        <w:t>673, 679</w:t>
      </w:r>
      <w:r>
        <w:rPr>
          <w:lang w:val="en-US"/>
        </w:rPr>
        <w:t xml:space="preserve"> = 54 L. Ed. </w:t>
      </w:r>
      <w:r w:rsidRPr="00E3666A">
        <w:rPr>
          <w:lang w:val="en-US"/>
        </w:rPr>
        <w:t>2d 618, 628</w:t>
      </w:r>
      <w:r w:rsidRPr="003B741A">
        <w:rPr>
          <w:lang w:val="en-US"/>
        </w:rPr>
        <w:t xml:space="preserve"> = 1978 U.S. LEXIS </w:t>
      </w:r>
      <w:r w:rsidRPr="00E3666A">
        <w:rPr>
          <w:lang w:val="en-US"/>
        </w:rPr>
        <w:t>57, 12</w:t>
      </w:r>
      <w:r>
        <w:rPr>
          <w:lang w:val="en-US"/>
        </w:rPr>
        <w:t xml:space="preserve"> = 24 Fed. R. Serv. </w:t>
      </w:r>
      <w:r w:rsidRPr="00E3666A">
        <w:rPr>
          <w:lang w:val="en-US"/>
        </w:rPr>
        <w:t>2d (Callaghan) 1313 (1978).</w:t>
      </w:r>
    </w:p>
  </w:footnote>
  <w:footnote w:id="1411">
    <w:p w14:paraId="0FD85ED0" w14:textId="77777777" w:rsidR="00074551" w:rsidRPr="00E3666A" w:rsidRDefault="00074551" w:rsidP="00074551">
      <w:pPr>
        <w:pStyle w:val="Funotentext"/>
        <w:jc w:val="both"/>
        <w:rPr>
          <w:lang w:val="en-US"/>
        </w:rPr>
      </w:pPr>
      <w:r>
        <w:rPr>
          <w:rStyle w:val="Funotenzeichen"/>
          <w:rFonts w:eastAsiaTheme="majorEastAsia"/>
        </w:rPr>
        <w:footnoteRef/>
      </w:r>
      <w:r w:rsidRPr="00E3666A">
        <w:rPr>
          <w:lang w:val="en-US"/>
        </w:rPr>
        <w:t xml:space="preserve"> </w:t>
      </w:r>
      <w:r w:rsidRPr="00584023">
        <w:rPr>
          <w:i/>
          <w:lang w:val="en-US"/>
        </w:rPr>
        <w:t>Loving v. Virginia</w:t>
      </w:r>
      <w:r w:rsidRPr="00E3666A">
        <w:rPr>
          <w:lang w:val="en-US"/>
        </w:rPr>
        <w:t xml:space="preserve">, 388 U.S. 1 (1967); </w:t>
      </w:r>
      <w:r w:rsidRPr="00B35CD0">
        <w:rPr>
          <w:i/>
          <w:lang w:val="en-US"/>
        </w:rPr>
        <w:t xml:space="preserve">Zablocki v. </w:t>
      </w:r>
      <w:proofErr w:type="spellStart"/>
      <w:r w:rsidRPr="00B35CD0">
        <w:rPr>
          <w:i/>
          <w:lang w:val="en-US"/>
        </w:rPr>
        <w:t>Redhail</w:t>
      </w:r>
      <w:proofErr w:type="spellEnd"/>
      <w:r w:rsidRPr="00E3666A">
        <w:rPr>
          <w:lang w:val="en-US"/>
        </w:rPr>
        <w:t>, 434 U.S. 374, 383</w:t>
      </w:r>
      <w:r w:rsidRPr="003B741A">
        <w:rPr>
          <w:lang w:val="en-US"/>
        </w:rPr>
        <w:t xml:space="preserve"> = 98 S. Ct. </w:t>
      </w:r>
      <w:r w:rsidRPr="00E3666A">
        <w:rPr>
          <w:lang w:val="en-US"/>
        </w:rPr>
        <w:t>673, 679</w:t>
      </w:r>
      <w:r>
        <w:rPr>
          <w:lang w:val="en-US"/>
        </w:rPr>
        <w:t xml:space="preserve"> = 54 L. Ed. </w:t>
      </w:r>
      <w:r w:rsidRPr="00E3666A">
        <w:rPr>
          <w:lang w:val="en-US"/>
        </w:rPr>
        <w:t>2d 618, 628</w:t>
      </w:r>
      <w:r w:rsidRPr="003B741A">
        <w:rPr>
          <w:lang w:val="en-US"/>
        </w:rPr>
        <w:t xml:space="preserve"> = 1978 U.S. LEXIS </w:t>
      </w:r>
      <w:r w:rsidRPr="00E3666A">
        <w:rPr>
          <w:lang w:val="en-US"/>
        </w:rPr>
        <w:t>57, 12</w:t>
      </w:r>
      <w:r>
        <w:rPr>
          <w:lang w:val="en-US"/>
        </w:rPr>
        <w:t xml:space="preserve"> = 24 Fed. R. Serv. </w:t>
      </w:r>
      <w:r w:rsidRPr="00E3666A">
        <w:rPr>
          <w:lang w:val="en-US"/>
        </w:rPr>
        <w:t>2d (Callaghan) 1313 (1978).</w:t>
      </w:r>
    </w:p>
  </w:footnote>
  <w:footnote w:id="1412">
    <w:p w14:paraId="7ABA0EC7" w14:textId="77777777" w:rsidR="00074551" w:rsidRPr="00E3666A" w:rsidRDefault="00074551" w:rsidP="00074551">
      <w:pPr>
        <w:pStyle w:val="Funotentext"/>
        <w:jc w:val="both"/>
        <w:rPr>
          <w:lang w:val="en-US"/>
        </w:rPr>
      </w:pPr>
      <w:r>
        <w:rPr>
          <w:rStyle w:val="Funotenzeichen"/>
          <w:rFonts w:eastAsiaTheme="majorEastAsia"/>
        </w:rPr>
        <w:footnoteRef/>
      </w:r>
      <w:r w:rsidRPr="00E3666A">
        <w:rPr>
          <w:lang w:val="en-US"/>
        </w:rPr>
        <w:t xml:space="preserve"> </w:t>
      </w:r>
      <w:r w:rsidRPr="00584023">
        <w:rPr>
          <w:i/>
          <w:lang w:val="en-US"/>
        </w:rPr>
        <w:t>Loving v. Virginia</w:t>
      </w:r>
      <w:r w:rsidRPr="00E3666A">
        <w:rPr>
          <w:lang w:val="en-US"/>
        </w:rPr>
        <w:t xml:space="preserve">, 388 U.S. 1 (1967); </w:t>
      </w:r>
      <w:r w:rsidRPr="00B35CD0">
        <w:rPr>
          <w:i/>
          <w:lang w:val="en-US"/>
        </w:rPr>
        <w:t xml:space="preserve">Zablocki v. </w:t>
      </w:r>
      <w:proofErr w:type="spellStart"/>
      <w:r w:rsidRPr="00B35CD0">
        <w:rPr>
          <w:i/>
          <w:lang w:val="en-US"/>
        </w:rPr>
        <w:t>Redhail</w:t>
      </w:r>
      <w:proofErr w:type="spellEnd"/>
      <w:r w:rsidRPr="00E3666A">
        <w:rPr>
          <w:lang w:val="en-US"/>
        </w:rPr>
        <w:t>, 434 U.S. 374, 383</w:t>
      </w:r>
      <w:r w:rsidRPr="003B741A">
        <w:rPr>
          <w:lang w:val="en-US"/>
        </w:rPr>
        <w:t xml:space="preserve"> = 98 S. Ct. </w:t>
      </w:r>
      <w:r w:rsidRPr="00E3666A">
        <w:rPr>
          <w:lang w:val="en-US"/>
        </w:rPr>
        <w:t>673, 679</w:t>
      </w:r>
      <w:r>
        <w:rPr>
          <w:lang w:val="en-US"/>
        </w:rPr>
        <w:t xml:space="preserve"> = 54 L. Ed. </w:t>
      </w:r>
      <w:r w:rsidRPr="00E3666A">
        <w:rPr>
          <w:lang w:val="en-US"/>
        </w:rPr>
        <w:t>2d 618, 628</w:t>
      </w:r>
      <w:r w:rsidRPr="003B741A">
        <w:rPr>
          <w:lang w:val="en-US"/>
        </w:rPr>
        <w:t xml:space="preserve"> = 1978 U.S. LEXIS </w:t>
      </w:r>
      <w:r w:rsidRPr="00E3666A">
        <w:rPr>
          <w:lang w:val="en-US"/>
        </w:rPr>
        <w:t>57, 12</w:t>
      </w:r>
      <w:r>
        <w:rPr>
          <w:lang w:val="en-US"/>
        </w:rPr>
        <w:t xml:space="preserve"> = 24 Fed. R. Serv. </w:t>
      </w:r>
      <w:r w:rsidRPr="00E3666A">
        <w:rPr>
          <w:lang w:val="en-US"/>
        </w:rPr>
        <w:t>2d (Callaghan) 1313 (1978).</w:t>
      </w:r>
    </w:p>
  </w:footnote>
  <w:footnote w:id="1413">
    <w:p w14:paraId="4ED5D17E" w14:textId="77777777" w:rsidR="00074551" w:rsidRPr="00511895" w:rsidRDefault="00074551" w:rsidP="00074551">
      <w:pPr>
        <w:pStyle w:val="Funotentext"/>
        <w:rPr>
          <w:lang w:val="en-US"/>
        </w:rPr>
      </w:pPr>
      <w:r>
        <w:rPr>
          <w:rStyle w:val="Funotenzeichen"/>
          <w:rFonts w:eastAsiaTheme="majorEastAsia"/>
        </w:rPr>
        <w:footnoteRef/>
      </w:r>
      <w:r w:rsidRPr="00B45592">
        <w:rPr>
          <w:lang w:val="fr-FR"/>
        </w:rPr>
        <w:t xml:space="preserve"> </w:t>
      </w:r>
      <w:r w:rsidRPr="009572B5">
        <w:rPr>
          <w:i/>
          <w:lang w:val="fr-FR"/>
        </w:rPr>
        <w:t>Skinner v. Oklahoma</w:t>
      </w:r>
      <w:r w:rsidRPr="009167A5">
        <w:rPr>
          <w:i/>
          <w:lang w:val="fr-FR"/>
        </w:rPr>
        <w:t xml:space="preserve"> ex rel. </w:t>
      </w:r>
      <w:r w:rsidRPr="00B35CD0">
        <w:rPr>
          <w:i/>
          <w:lang w:val="en-IE"/>
        </w:rPr>
        <w:t>Williamson</w:t>
      </w:r>
      <w:r w:rsidRPr="00511895">
        <w:rPr>
          <w:lang w:val="en-US"/>
        </w:rPr>
        <w:t>, 316 U.S. 535, 541 (1942)</w:t>
      </w:r>
      <w:r>
        <w:rPr>
          <w:lang w:val="en-US"/>
        </w:rPr>
        <w:t xml:space="preserve">. </w:t>
      </w:r>
      <w:proofErr w:type="spellStart"/>
      <w:r>
        <w:rPr>
          <w:lang w:val="en-US"/>
        </w:rPr>
        <w:t>Vgl</w:t>
      </w:r>
      <w:proofErr w:type="spellEnd"/>
      <w:r>
        <w:rPr>
          <w:lang w:val="en-US"/>
        </w:rPr>
        <w:t xml:space="preserve">. </w:t>
      </w:r>
      <w:proofErr w:type="spellStart"/>
      <w:r>
        <w:rPr>
          <w:lang w:val="en-US"/>
        </w:rPr>
        <w:t>auch</w:t>
      </w:r>
      <w:proofErr w:type="spellEnd"/>
      <w:r>
        <w:rPr>
          <w:lang w:val="en-US"/>
        </w:rPr>
        <w:t xml:space="preserve"> „</w:t>
      </w:r>
      <w:r w:rsidRPr="00511895">
        <w:rPr>
          <w:lang w:val="en-US"/>
        </w:rPr>
        <w:t xml:space="preserve">the foundation of the family and of society, without which there would be neither civilization nor </w:t>
      </w:r>
      <w:proofErr w:type="gramStart"/>
      <w:r w:rsidRPr="00511895">
        <w:rPr>
          <w:lang w:val="en-US"/>
        </w:rPr>
        <w:t>progress</w:t>
      </w:r>
      <w:r>
        <w:rPr>
          <w:lang w:val="en-US"/>
        </w:rPr>
        <w:t>“ in</w:t>
      </w:r>
      <w:proofErr w:type="gramEnd"/>
      <w:r>
        <w:rPr>
          <w:lang w:val="en-US"/>
        </w:rPr>
        <w:t xml:space="preserve"> </w:t>
      </w:r>
      <w:r w:rsidRPr="009E57E1">
        <w:rPr>
          <w:i/>
          <w:lang w:val="en-US"/>
        </w:rPr>
        <w:t>Maynard v. Hill</w:t>
      </w:r>
      <w:r w:rsidRPr="00511895">
        <w:rPr>
          <w:lang w:val="en-US"/>
        </w:rPr>
        <w:t>, 125 U.S. 190 (1888)</w:t>
      </w:r>
      <w:r>
        <w:rPr>
          <w:lang w:val="en-US"/>
        </w:rPr>
        <w:t>.</w:t>
      </w:r>
    </w:p>
  </w:footnote>
  <w:footnote w:id="1414">
    <w:p w14:paraId="7BD2A982" w14:textId="71287110" w:rsidR="00074551" w:rsidRPr="00511895" w:rsidRDefault="00074551" w:rsidP="00074551">
      <w:pPr>
        <w:pStyle w:val="Funotentext"/>
        <w:rPr>
          <w:lang w:val="en-US"/>
        </w:rPr>
      </w:pPr>
      <w:r>
        <w:rPr>
          <w:rStyle w:val="Funotenzeichen"/>
          <w:rFonts w:eastAsiaTheme="majorEastAsia"/>
        </w:rPr>
        <w:footnoteRef/>
      </w:r>
      <w:r w:rsidRPr="00511895">
        <w:rPr>
          <w:lang w:val="en-US"/>
        </w:rPr>
        <w:t xml:space="preserve"> </w:t>
      </w:r>
      <w:r w:rsidR="00705990" w:rsidRPr="00B35CD0">
        <w:rPr>
          <w:i/>
          <w:lang w:val="en-US"/>
        </w:rPr>
        <w:t xml:space="preserve">Zablocki v. </w:t>
      </w:r>
      <w:proofErr w:type="spellStart"/>
      <w:r w:rsidR="00705990" w:rsidRPr="00B35CD0">
        <w:rPr>
          <w:i/>
          <w:lang w:val="en-US"/>
        </w:rPr>
        <w:t>Redhail</w:t>
      </w:r>
      <w:proofErr w:type="spellEnd"/>
      <w:r w:rsidR="00705990" w:rsidRPr="00726F79">
        <w:rPr>
          <w:lang w:val="en-US"/>
        </w:rPr>
        <w:t>, 434 U.S. 374, 384</w:t>
      </w:r>
      <w:r w:rsidR="00705990" w:rsidRPr="003B741A">
        <w:rPr>
          <w:lang w:val="en-US"/>
        </w:rPr>
        <w:t xml:space="preserve"> = 98 S. Ct. </w:t>
      </w:r>
      <w:r w:rsidR="00705990" w:rsidRPr="00726F79">
        <w:rPr>
          <w:lang w:val="en-US"/>
        </w:rPr>
        <w:t>673, 680</w:t>
      </w:r>
      <w:r w:rsidR="00705990">
        <w:rPr>
          <w:lang w:val="en-US"/>
        </w:rPr>
        <w:t xml:space="preserve"> = 54 L. Ed. </w:t>
      </w:r>
      <w:r w:rsidR="00705990" w:rsidRPr="00726F79">
        <w:rPr>
          <w:lang w:val="en-US"/>
        </w:rPr>
        <w:t>2d 618, 629</w:t>
      </w:r>
      <w:r w:rsidR="00705990" w:rsidRPr="003B741A">
        <w:rPr>
          <w:lang w:val="en-US"/>
        </w:rPr>
        <w:t xml:space="preserve"> = 1978 U.S. LEXIS </w:t>
      </w:r>
      <w:r w:rsidR="00705990" w:rsidRPr="00726F79">
        <w:rPr>
          <w:lang w:val="en-US"/>
        </w:rPr>
        <w:t>57, 14</w:t>
      </w:r>
      <w:r w:rsidR="00705990">
        <w:rPr>
          <w:lang w:val="en-US"/>
        </w:rPr>
        <w:t xml:space="preserve"> = 24 Fed. R. Serv. </w:t>
      </w:r>
      <w:r w:rsidR="00705990" w:rsidRPr="00726F79">
        <w:rPr>
          <w:lang w:val="en-US"/>
        </w:rPr>
        <w:t>2d (Callaghan) 1313 (1978)</w:t>
      </w:r>
      <w:r w:rsidR="00705990">
        <w:rPr>
          <w:lang w:val="en-US"/>
        </w:rPr>
        <w:t>, i</w:t>
      </w:r>
      <w:r w:rsidR="00705990">
        <w:rPr>
          <w:iCs/>
          <w:lang w:val="en-US"/>
        </w:rPr>
        <w:t xml:space="preserve">n </w:t>
      </w:r>
      <w:proofErr w:type="spellStart"/>
      <w:r w:rsidR="00705990">
        <w:rPr>
          <w:iCs/>
          <w:lang w:val="en-US"/>
        </w:rPr>
        <w:t>Anlehnung</w:t>
      </w:r>
      <w:proofErr w:type="spellEnd"/>
      <w:r w:rsidR="00705990">
        <w:rPr>
          <w:iCs/>
          <w:lang w:val="en-US"/>
        </w:rPr>
        <w:t xml:space="preserve"> an: </w:t>
      </w:r>
      <w:r w:rsidRPr="009E57E1">
        <w:rPr>
          <w:i/>
          <w:lang w:val="en-US"/>
        </w:rPr>
        <w:t>Meyer v. Nebraska</w:t>
      </w:r>
      <w:r w:rsidRPr="00511895">
        <w:rPr>
          <w:lang w:val="en-US"/>
        </w:rPr>
        <w:t>, 262 U.S. 390 (1923)</w:t>
      </w:r>
      <w:r>
        <w:rPr>
          <w:lang w:val="en-US"/>
        </w:rPr>
        <w:t>.</w:t>
      </w:r>
    </w:p>
  </w:footnote>
  <w:footnote w:id="1415">
    <w:p w14:paraId="5BBDDF27" w14:textId="77777777" w:rsidR="00074551" w:rsidRPr="00726F79" w:rsidRDefault="00074551" w:rsidP="00074551">
      <w:pPr>
        <w:pStyle w:val="Funotentext"/>
        <w:rPr>
          <w:lang w:val="en-US"/>
        </w:rPr>
      </w:pPr>
      <w:r>
        <w:rPr>
          <w:rStyle w:val="Funotenzeichen"/>
          <w:rFonts w:eastAsiaTheme="majorEastAsia"/>
        </w:rPr>
        <w:footnoteRef/>
      </w:r>
      <w:r w:rsidRPr="00726F79">
        <w:rPr>
          <w:lang w:val="en-US"/>
        </w:rPr>
        <w:t xml:space="preserve"> </w:t>
      </w:r>
      <w:r w:rsidRPr="00B35CD0">
        <w:rPr>
          <w:i/>
          <w:lang w:val="en-US"/>
        </w:rPr>
        <w:t xml:space="preserve">Zablocki v. </w:t>
      </w:r>
      <w:proofErr w:type="spellStart"/>
      <w:r w:rsidRPr="00B35CD0">
        <w:rPr>
          <w:i/>
          <w:lang w:val="en-US"/>
        </w:rPr>
        <w:t>Redhail</w:t>
      </w:r>
      <w:proofErr w:type="spellEnd"/>
      <w:r w:rsidRPr="00726F79">
        <w:rPr>
          <w:lang w:val="en-US"/>
        </w:rPr>
        <w:t>, 434 U.S. 374, 384</w:t>
      </w:r>
      <w:r w:rsidRPr="003B741A">
        <w:rPr>
          <w:lang w:val="en-US"/>
        </w:rPr>
        <w:t xml:space="preserve"> = 98 S. Ct. </w:t>
      </w:r>
      <w:r w:rsidRPr="00726F79">
        <w:rPr>
          <w:lang w:val="en-US"/>
        </w:rPr>
        <w:t>673, 680</w:t>
      </w:r>
      <w:r>
        <w:rPr>
          <w:lang w:val="en-US"/>
        </w:rPr>
        <w:t xml:space="preserve"> = 54 L. Ed. </w:t>
      </w:r>
      <w:r w:rsidRPr="00726F79">
        <w:rPr>
          <w:lang w:val="en-US"/>
        </w:rPr>
        <w:t>2d 618, 629</w:t>
      </w:r>
      <w:r w:rsidRPr="003B741A">
        <w:rPr>
          <w:lang w:val="en-US"/>
        </w:rPr>
        <w:t xml:space="preserve"> = 1978 U.S. LEXIS </w:t>
      </w:r>
      <w:r w:rsidRPr="00726F79">
        <w:rPr>
          <w:lang w:val="en-US"/>
        </w:rPr>
        <w:t>57, 14</w:t>
      </w:r>
      <w:r>
        <w:rPr>
          <w:lang w:val="en-US"/>
        </w:rPr>
        <w:t xml:space="preserve"> = 24 Fed. R. Serv. </w:t>
      </w:r>
      <w:r w:rsidRPr="00726F79">
        <w:rPr>
          <w:lang w:val="en-US"/>
        </w:rPr>
        <w:t>2d (Callaghan) 1313 (1978)</w:t>
      </w:r>
    </w:p>
  </w:footnote>
  <w:footnote w:id="1416">
    <w:p w14:paraId="1E26CFD5" w14:textId="74E8AD74" w:rsidR="00074551" w:rsidRPr="00726F79" w:rsidRDefault="00074551" w:rsidP="00074551">
      <w:pPr>
        <w:pStyle w:val="Funotentext"/>
        <w:rPr>
          <w:lang w:val="en-US"/>
        </w:rPr>
      </w:pPr>
      <w:r>
        <w:rPr>
          <w:rStyle w:val="Funotenzeichen"/>
          <w:rFonts w:eastAsiaTheme="majorEastAsia"/>
        </w:rPr>
        <w:footnoteRef/>
      </w:r>
      <w:r w:rsidRPr="00726F79">
        <w:rPr>
          <w:lang w:val="en-US"/>
        </w:rPr>
        <w:t xml:space="preserve"> </w:t>
      </w:r>
      <w:r w:rsidRPr="009E57E1">
        <w:rPr>
          <w:i/>
          <w:lang w:val="en-US"/>
        </w:rPr>
        <w:t>Meyer v. Nebraska</w:t>
      </w:r>
      <w:r w:rsidRPr="00726F79">
        <w:rPr>
          <w:lang w:val="en-US"/>
        </w:rPr>
        <w:t xml:space="preserve">, 262 U.S. </w:t>
      </w:r>
      <w:r w:rsidRPr="00F94158">
        <w:rPr>
          <w:lang w:val="en-IE"/>
        </w:rPr>
        <w:t>390</w:t>
      </w:r>
      <w:r w:rsidR="00705990">
        <w:rPr>
          <w:lang w:val="en-IE"/>
        </w:rPr>
        <w:t xml:space="preserve">, 399 </w:t>
      </w:r>
      <w:proofErr w:type="gramStart"/>
      <w:r w:rsidR="00705990">
        <w:rPr>
          <w:lang w:val="en-IE"/>
        </w:rPr>
        <w:t xml:space="preserve">= </w:t>
      </w:r>
      <w:r w:rsidR="00705990" w:rsidRPr="00705990">
        <w:rPr>
          <w:lang w:val="en-US"/>
        </w:rPr>
        <w:t> 43</w:t>
      </w:r>
      <w:proofErr w:type="gramEnd"/>
      <w:r w:rsidR="00705990" w:rsidRPr="00705990">
        <w:rPr>
          <w:lang w:val="en-US"/>
        </w:rPr>
        <w:t xml:space="preserve"> S. Ct. 625, 67 L. Ed. 1042</w:t>
      </w:r>
      <w:r w:rsidR="00705990">
        <w:rPr>
          <w:lang w:val="en-US"/>
        </w:rPr>
        <w:t xml:space="preserve"> =</w:t>
      </w:r>
      <w:r w:rsidR="00705990" w:rsidRPr="00705990">
        <w:rPr>
          <w:lang w:val="en-US"/>
        </w:rPr>
        <w:t xml:space="preserve"> 1923 U.S. LEXIS 2655, 29 A.L.R. 1446</w:t>
      </w:r>
      <w:r w:rsidRPr="00F94158">
        <w:rPr>
          <w:lang w:val="en-IE"/>
        </w:rPr>
        <w:t xml:space="preserve"> (1923</w:t>
      </w:r>
      <w:r w:rsidR="00705990">
        <w:rPr>
          <w:lang w:val="en-IE"/>
        </w:rPr>
        <w:t>).</w:t>
      </w:r>
    </w:p>
  </w:footnote>
  <w:footnote w:id="1417">
    <w:p w14:paraId="51FFF119" w14:textId="77777777" w:rsidR="00074551" w:rsidRPr="00CD465A" w:rsidRDefault="00074551" w:rsidP="00074551">
      <w:pPr>
        <w:pStyle w:val="Funotentext"/>
        <w:rPr>
          <w:lang w:val="en-US"/>
        </w:rPr>
      </w:pPr>
      <w:r>
        <w:rPr>
          <w:rStyle w:val="Funotenzeichen"/>
          <w:rFonts w:eastAsiaTheme="majorEastAsia"/>
        </w:rPr>
        <w:footnoteRef/>
      </w:r>
      <w:r w:rsidRPr="00CD465A">
        <w:rPr>
          <w:lang w:val="en-US"/>
        </w:rPr>
        <w:t xml:space="preserve"> </w:t>
      </w:r>
      <w:r w:rsidRPr="009167A5">
        <w:rPr>
          <w:i/>
          <w:lang w:val="en-US"/>
        </w:rPr>
        <w:t>Griswold v. Connecticut</w:t>
      </w:r>
      <w:r w:rsidRPr="00CD465A">
        <w:rPr>
          <w:lang w:val="en-US"/>
        </w:rPr>
        <w:t>, 381 U.S. 479 (1965)</w:t>
      </w:r>
      <w:r>
        <w:rPr>
          <w:lang w:val="en-US"/>
        </w:rPr>
        <w:t xml:space="preserve">; </w:t>
      </w:r>
      <w:r w:rsidRPr="00B35CD0">
        <w:rPr>
          <w:i/>
          <w:lang w:val="en-US"/>
        </w:rPr>
        <w:t xml:space="preserve">Zablocki v. </w:t>
      </w:r>
      <w:proofErr w:type="spellStart"/>
      <w:r w:rsidRPr="00B35CD0">
        <w:rPr>
          <w:i/>
          <w:lang w:val="en-US"/>
        </w:rPr>
        <w:t>Redhail</w:t>
      </w:r>
      <w:proofErr w:type="spellEnd"/>
      <w:r w:rsidRPr="00CD465A">
        <w:rPr>
          <w:lang w:val="en-US"/>
        </w:rPr>
        <w:t>, 434 U.S. 374, 384</w:t>
      </w:r>
      <w:r w:rsidRPr="003B741A">
        <w:rPr>
          <w:lang w:val="en-US"/>
        </w:rPr>
        <w:t xml:space="preserve"> = 98 S. Ct. </w:t>
      </w:r>
      <w:r w:rsidRPr="00CD465A">
        <w:rPr>
          <w:lang w:val="en-US"/>
        </w:rPr>
        <w:t>673, 680</w:t>
      </w:r>
      <w:r>
        <w:rPr>
          <w:lang w:val="en-US"/>
        </w:rPr>
        <w:t xml:space="preserve"> = 54 L. Ed. </w:t>
      </w:r>
      <w:r w:rsidRPr="00CD465A">
        <w:rPr>
          <w:lang w:val="en-US"/>
        </w:rPr>
        <w:t>2d 618, 629</w:t>
      </w:r>
      <w:r w:rsidRPr="003B741A">
        <w:rPr>
          <w:lang w:val="en-US"/>
        </w:rPr>
        <w:t xml:space="preserve"> = 1978 U.S. LEXIS </w:t>
      </w:r>
      <w:r w:rsidRPr="00CD465A">
        <w:rPr>
          <w:lang w:val="en-US"/>
        </w:rPr>
        <w:t>57, 14</w:t>
      </w:r>
      <w:r>
        <w:rPr>
          <w:lang w:val="en-US"/>
        </w:rPr>
        <w:t xml:space="preserve"> = 24 Fed. R. Serv. </w:t>
      </w:r>
      <w:r w:rsidRPr="00CD465A">
        <w:rPr>
          <w:lang w:val="en-US"/>
        </w:rPr>
        <w:t>2d (Callaghan) 1313 (1978)</w:t>
      </w:r>
      <w:r>
        <w:rPr>
          <w:lang w:val="en-US"/>
        </w:rPr>
        <w:t>.</w:t>
      </w:r>
    </w:p>
  </w:footnote>
  <w:footnote w:id="1418">
    <w:p w14:paraId="62D13A4D" w14:textId="77777777" w:rsidR="00074551" w:rsidRPr="00534098" w:rsidRDefault="00074551" w:rsidP="00074551">
      <w:pPr>
        <w:pStyle w:val="Funotentext"/>
        <w:rPr>
          <w:lang w:val="en-US"/>
        </w:rPr>
      </w:pPr>
      <w:r>
        <w:rPr>
          <w:rStyle w:val="Funotenzeichen"/>
          <w:rFonts w:eastAsiaTheme="majorEastAsia"/>
        </w:rPr>
        <w:footnoteRef/>
      </w:r>
      <w:r w:rsidRPr="00534098">
        <w:rPr>
          <w:lang w:val="en-US"/>
        </w:rPr>
        <w:t xml:space="preserve"> </w:t>
      </w:r>
      <w:r w:rsidRPr="009167A5">
        <w:rPr>
          <w:i/>
          <w:lang w:val="en-US"/>
        </w:rPr>
        <w:t>Olmstead v. United States</w:t>
      </w:r>
      <w:r w:rsidRPr="00534098">
        <w:rPr>
          <w:lang w:val="en-US"/>
        </w:rPr>
        <w:t>, 277 U.S. 438, 478</w:t>
      </w:r>
      <w:r>
        <w:rPr>
          <w:lang w:val="en-US"/>
        </w:rPr>
        <w:t xml:space="preserve">; </w:t>
      </w:r>
      <w:r w:rsidRPr="009167A5">
        <w:rPr>
          <w:i/>
          <w:lang w:val="en-US"/>
        </w:rPr>
        <w:t>Griswold v. Connecticut</w:t>
      </w:r>
      <w:r w:rsidRPr="00534098">
        <w:rPr>
          <w:lang w:val="en-US"/>
        </w:rPr>
        <w:t>, 381 U.S. 479, 494</w:t>
      </w:r>
      <w:r w:rsidRPr="006E67FE">
        <w:rPr>
          <w:lang w:val="en-US"/>
        </w:rPr>
        <w:t xml:space="preserve"> = 85 S. Ct. </w:t>
      </w:r>
      <w:r w:rsidRPr="00534098">
        <w:rPr>
          <w:lang w:val="en-US"/>
        </w:rPr>
        <w:t>1678, 1687</w:t>
      </w:r>
      <w:r w:rsidRPr="003B741A">
        <w:rPr>
          <w:lang w:val="en-US"/>
        </w:rPr>
        <w:t xml:space="preserve"> = 14 L. Ed. </w:t>
      </w:r>
      <w:r w:rsidRPr="00534098">
        <w:rPr>
          <w:lang w:val="en-US"/>
        </w:rPr>
        <w:t>2d 510, 521</w:t>
      </w:r>
      <w:r w:rsidRPr="006E67FE">
        <w:rPr>
          <w:lang w:val="en-US"/>
        </w:rPr>
        <w:t xml:space="preserve"> = 1965 U.S. LEXIS </w:t>
      </w:r>
      <w:r w:rsidRPr="00534098">
        <w:rPr>
          <w:lang w:val="en-US"/>
        </w:rPr>
        <w:t>2282, 25 (1965)</w:t>
      </w:r>
      <w:r>
        <w:rPr>
          <w:lang w:val="en-US"/>
        </w:rPr>
        <w:t>.</w:t>
      </w:r>
    </w:p>
  </w:footnote>
  <w:footnote w:id="1419">
    <w:p w14:paraId="0FB67D3C" w14:textId="4C12F503" w:rsidR="00074551" w:rsidRPr="00B45592" w:rsidRDefault="00074551" w:rsidP="00074551">
      <w:pPr>
        <w:pStyle w:val="Funotentext"/>
        <w:rPr>
          <w:lang w:val="en-IE"/>
        </w:rPr>
      </w:pPr>
      <w:r>
        <w:rPr>
          <w:rStyle w:val="Funotenzeichen"/>
          <w:rFonts w:eastAsiaTheme="majorEastAsia"/>
        </w:rPr>
        <w:footnoteRef/>
      </w:r>
      <w:r w:rsidRPr="00726F79">
        <w:rPr>
          <w:lang w:val="en-US"/>
        </w:rPr>
        <w:t xml:space="preserve"> </w:t>
      </w:r>
      <w:r w:rsidRPr="009167A5">
        <w:rPr>
          <w:i/>
          <w:lang w:val="en-US"/>
        </w:rPr>
        <w:t>Griswold v. Connecticut</w:t>
      </w:r>
      <w:r w:rsidRPr="00726F79">
        <w:rPr>
          <w:lang w:val="en-US"/>
        </w:rPr>
        <w:t>, 381 U.S. 479 (1965)</w:t>
      </w:r>
      <w:r>
        <w:rPr>
          <w:lang w:val="en-US"/>
        </w:rPr>
        <w:t xml:space="preserve">; </w:t>
      </w:r>
      <w:r w:rsidRPr="00B35CD0">
        <w:rPr>
          <w:i/>
          <w:lang w:val="en-US"/>
        </w:rPr>
        <w:t xml:space="preserve">Zablocki v. </w:t>
      </w:r>
      <w:proofErr w:type="spellStart"/>
      <w:r w:rsidRPr="00B35CD0">
        <w:rPr>
          <w:i/>
          <w:lang w:val="en-US"/>
        </w:rPr>
        <w:t>Redhail</w:t>
      </w:r>
      <w:proofErr w:type="spellEnd"/>
      <w:r w:rsidRPr="00726F79">
        <w:rPr>
          <w:lang w:val="en-US"/>
        </w:rPr>
        <w:t>, 434 U.S. 374, 384</w:t>
      </w:r>
      <w:r w:rsidRPr="003B741A">
        <w:rPr>
          <w:lang w:val="en-US"/>
        </w:rPr>
        <w:t xml:space="preserve"> = 98 S. Ct. </w:t>
      </w:r>
      <w:r w:rsidRPr="00726F79">
        <w:rPr>
          <w:lang w:val="en-US"/>
        </w:rPr>
        <w:t>673, 680</w:t>
      </w:r>
      <w:r>
        <w:rPr>
          <w:lang w:val="en-US"/>
        </w:rPr>
        <w:t xml:space="preserve"> = 54 L. Ed. </w:t>
      </w:r>
      <w:r w:rsidRPr="00726F79">
        <w:rPr>
          <w:lang w:val="en-US"/>
        </w:rPr>
        <w:t>2d 618, 629</w:t>
      </w:r>
      <w:r w:rsidRPr="003B741A">
        <w:rPr>
          <w:lang w:val="en-US"/>
        </w:rPr>
        <w:t xml:space="preserve"> = 1978 U.S. LEXIS </w:t>
      </w:r>
      <w:r w:rsidRPr="00726F79">
        <w:rPr>
          <w:lang w:val="en-US"/>
        </w:rPr>
        <w:t>57, 14</w:t>
      </w:r>
      <w:r>
        <w:rPr>
          <w:lang w:val="en-US"/>
        </w:rPr>
        <w:t xml:space="preserve"> = 24 Fed. R. Serv. </w:t>
      </w:r>
      <w:r w:rsidRPr="00726F79">
        <w:rPr>
          <w:lang w:val="en-US"/>
        </w:rPr>
        <w:t>2d (Callaghan) 1313 (1978)</w:t>
      </w:r>
      <w:r>
        <w:rPr>
          <w:lang w:val="en-US"/>
        </w:rPr>
        <w:t xml:space="preserve">; </w:t>
      </w:r>
      <w:r w:rsidRPr="00B45592">
        <w:rPr>
          <w:i/>
          <w:lang w:val="en-US"/>
        </w:rPr>
        <w:t>Whalen v. Roe</w:t>
      </w:r>
      <w:r w:rsidRPr="00430830">
        <w:rPr>
          <w:lang w:val="en-US"/>
        </w:rPr>
        <w:t>, 429 U.S. 589, 598</w:t>
      </w:r>
      <w:r>
        <w:rPr>
          <w:lang w:val="en-US"/>
        </w:rPr>
        <w:t>–</w:t>
      </w:r>
      <w:r w:rsidRPr="00430830">
        <w:rPr>
          <w:lang w:val="en-US"/>
        </w:rPr>
        <w:t>600, und Nr. 23</w:t>
      </w:r>
      <w:r>
        <w:rPr>
          <w:lang w:val="en-US"/>
        </w:rPr>
        <w:t>–</w:t>
      </w:r>
      <w:r w:rsidRPr="00430830">
        <w:rPr>
          <w:lang w:val="en-US"/>
        </w:rPr>
        <w:t>26 (1977).</w:t>
      </w:r>
    </w:p>
  </w:footnote>
  <w:footnote w:id="1420">
    <w:p w14:paraId="66EF116E" w14:textId="77777777" w:rsidR="00074551" w:rsidRPr="00430830" w:rsidRDefault="00074551" w:rsidP="00074551">
      <w:pPr>
        <w:pStyle w:val="Funotentext"/>
        <w:rPr>
          <w:lang w:val="en-US"/>
        </w:rPr>
      </w:pPr>
      <w:r>
        <w:rPr>
          <w:rStyle w:val="Funotenzeichen"/>
          <w:rFonts w:eastAsiaTheme="majorEastAsia"/>
        </w:rPr>
        <w:footnoteRef/>
      </w:r>
      <w:r w:rsidRPr="00430830">
        <w:rPr>
          <w:lang w:val="en-US"/>
        </w:rPr>
        <w:t xml:space="preserve"> </w:t>
      </w:r>
      <w:r w:rsidRPr="009167A5">
        <w:rPr>
          <w:i/>
          <w:lang w:val="en-US"/>
        </w:rPr>
        <w:t>Griswold v. Connecticut</w:t>
      </w:r>
      <w:r w:rsidRPr="00430830">
        <w:rPr>
          <w:lang w:val="en-US"/>
        </w:rPr>
        <w:t>, 381 U.S. 479</w:t>
      </w:r>
      <w:r>
        <w:rPr>
          <w:lang w:val="en-US"/>
        </w:rPr>
        <w:t>, 486</w:t>
      </w:r>
      <w:r w:rsidRPr="00430830">
        <w:rPr>
          <w:lang w:val="en-US"/>
        </w:rPr>
        <w:t xml:space="preserve"> (1965)</w:t>
      </w:r>
      <w:r>
        <w:rPr>
          <w:lang w:val="en-US"/>
        </w:rPr>
        <w:t xml:space="preserve">; </w:t>
      </w:r>
      <w:r w:rsidRPr="00B35CD0">
        <w:rPr>
          <w:i/>
          <w:lang w:val="en-US"/>
        </w:rPr>
        <w:t xml:space="preserve">Zablocki v. </w:t>
      </w:r>
      <w:proofErr w:type="spellStart"/>
      <w:r w:rsidRPr="00B35CD0">
        <w:rPr>
          <w:i/>
          <w:lang w:val="en-US"/>
        </w:rPr>
        <w:t>Redhail</w:t>
      </w:r>
      <w:proofErr w:type="spellEnd"/>
      <w:r w:rsidRPr="00430830">
        <w:rPr>
          <w:lang w:val="en-US"/>
        </w:rPr>
        <w:t>, 434 U.S. 374, 384</w:t>
      </w:r>
      <w:r w:rsidRPr="003B741A">
        <w:rPr>
          <w:lang w:val="en-US"/>
        </w:rPr>
        <w:t xml:space="preserve"> = 98 S. Ct. </w:t>
      </w:r>
      <w:r w:rsidRPr="00430830">
        <w:rPr>
          <w:lang w:val="en-US"/>
        </w:rPr>
        <w:t>673, 680</w:t>
      </w:r>
      <w:r>
        <w:rPr>
          <w:lang w:val="en-US"/>
        </w:rPr>
        <w:t xml:space="preserve"> = 54 L. Ed. </w:t>
      </w:r>
      <w:r w:rsidRPr="00430830">
        <w:rPr>
          <w:lang w:val="en-US"/>
        </w:rPr>
        <w:t>2d 618, 629</w:t>
      </w:r>
      <w:r w:rsidRPr="003B741A">
        <w:rPr>
          <w:lang w:val="en-US"/>
        </w:rPr>
        <w:t xml:space="preserve"> = 1978 U.S. LEXIS </w:t>
      </w:r>
      <w:r w:rsidRPr="00430830">
        <w:rPr>
          <w:lang w:val="en-US"/>
        </w:rPr>
        <w:t>57, 14</w:t>
      </w:r>
      <w:r>
        <w:rPr>
          <w:lang w:val="en-US"/>
        </w:rPr>
        <w:t xml:space="preserve"> = 24 Fed. R. Serv. </w:t>
      </w:r>
      <w:r w:rsidRPr="00430830">
        <w:rPr>
          <w:lang w:val="en-US"/>
        </w:rPr>
        <w:t>2d (Callaghan) 1313 (1978)</w:t>
      </w:r>
      <w:r>
        <w:rPr>
          <w:lang w:val="en-US"/>
        </w:rPr>
        <w:t>.</w:t>
      </w:r>
    </w:p>
  </w:footnote>
  <w:footnote w:id="1421">
    <w:p w14:paraId="7C7C905C" w14:textId="77777777" w:rsidR="00074551" w:rsidRPr="000333FC" w:rsidRDefault="00074551" w:rsidP="00074551">
      <w:pPr>
        <w:pStyle w:val="Funotentext"/>
        <w:jc w:val="both"/>
        <w:rPr>
          <w:lang w:val="en-US"/>
        </w:rPr>
      </w:pPr>
      <w:r>
        <w:rPr>
          <w:rStyle w:val="Funotenzeichen"/>
          <w:rFonts w:eastAsiaTheme="majorEastAsia"/>
        </w:rPr>
        <w:footnoteRef/>
      </w:r>
      <w:r w:rsidRPr="000333FC">
        <w:rPr>
          <w:lang w:val="en-US"/>
        </w:rPr>
        <w:t xml:space="preserve"> </w:t>
      </w:r>
      <w:r w:rsidRPr="00584023">
        <w:rPr>
          <w:i/>
          <w:lang w:val="en-US"/>
        </w:rPr>
        <w:t>Loving v. Virginia</w:t>
      </w:r>
      <w:r w:rsidRPr="000333FC">
        <w:rPr>
          <w:lang w:val="en-US"/>
        </w:rPr>
        <w:t>, 388 U.S. 1, 12 (1967);</w:t>
      </w:r>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p>
  </w:footnote>
  <w:footnote w:id="1422">
    <w:p w14:paraId="51BB0CBC" w14:textId="77777777" w:rsidR="00074551" w:rsidRPr="000333FC" w:rsidRDefault="00074551" w:rsidP="00074551">
      <w:pPr>
        <w:pStyle w:val="Funotentext"/>
        <w:rPr>
          <w:lang w:val="en-US"/>
        </w:rPr>
      </w:pPr>
      <w:r>
        <w:rPr>
          <w:rStyle w:val="Funotenzeichen"/>
          <w:rFonts w:eastAsiaTheme="majorEastAsia"/>
        </w:rPr>
        <w:footnoteRef/>
      </w:r>
      <w:r w:rsidRPr="00B45592">
        <w:rPr>
          <w:lang w:val="fr-FR"/>
        </w:rPr>
        <w:t xml:space="preserve"> </w:t>
      </w:r>
      <w:r w:rsidRPr="009572B5">
        <w:rPr>
          <w:i/>
          <w:lang w:val="fr-FR"/>
        </w:rPr>
        <w:t>Skinner v. Oklahoma</w:t>
      </w:r>
      <w:r w:rsidRPr="009167A5">
        <w:rPr>
          <w:i/>
          <w:lang w:val="fr-FR"/>
        </w:rPr>
        <w:t xml:space="preserve"> ex rel. </w:t>
      </w:r>
      <w:r w:rsidRPr="00B45592">
        <w:rPr>
          <w:i/>
          <w:lang w:val="en-IE"/>
        </w:rPr>
        <w:t>Williamson</w:t>
      </w:r>
      <w:r w:rsidRPr="000333FC">
        <w:rPr>
          <w:lang w:val="en-US"/>
        </w:rPr>
        <w:t>, 316 U.S. 535, 541</w:t>
      </w:r>
      <w:r>
        <w:rPr>
          <w:lang w:val="en-US"/>
        </w:rPr>
        <w:t>–</w:t>
      </w:r>
      <w:r w:rsidRPr="000333FC">
        <w:rPr>
          <w:lang w:val="en-US"/>
        </w:rPr>
        <w:t>542 (1942</w:t>
      </w:r>
      <w:proofErr w:type="gramStart"/>
      <w:r w:rsidRPr="000333FC">
        <w:rPr>
          <w:lang w:val="en-US"/>
        </w:rPr>
        <w:t>)</w:t>
      </w:r>
      <w:r>
        <w:rPr>
          <w:lang w:val="en-US"/>
        </w:rPr>
        <w:t>;</w:t>
      </w:r>
      <w:proofErr w:type="gramEnd"/>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23">
    <w:p w14:paraId="0FE4771E"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9572B5">
        <w:rPr>
          <w:i/>
          <w:lang w:val="en-US"/>
        </w:rPr>
        <w:t>Eisenstadt v. Baird</w:t>
      </w:r>
      <w:r w:rsidRPr="000333FC">
        <w:rPr>
          <w:lang w:val="en-US"/>
        </w:rPr>
        <w:t xml:space="preserve">, </w:t>
      </w:r>
      <w:r w:rsidRPr="00DB6E4F">
        <w:rPr>
          <w:lang w:val="en-US"/>
        </w:rPr>
        <w:t>405 U.S. 438</w:t>
      </w:r>
      <w:r>
        <w:rPr>
          <w:lang w:val="en-US"/>
        </w:rPr>
        <w:t xml:space="preserve">, </w:t>
      </w:r>
      <w:r w:rsidRPr="0055303E">
        <w:rPr>
          <w:lang w:val="en-US"/>
        </w:rPr>
        <w:t>453–454, 460, 463–465 (</w:t>
      </w:r>
      <w:r w:rsidRPr="0055303E">
        <w:rPr>
          <w:i/>
          <w:iCs/>
          <w:lang w:val="en-US"/>
        </w:rPr>
        <w:t xml:space="preserve">concurring opinion </w:t>
      </w:r>
      <w:r w:rsidRPr="0055303E">
        <w:rPr>
          <w:lang w:val="en-US"/>
        </w:rPr>
        <w:t xml:space="preserve">von Richter </w:t>
      </w:r>
      <w:r w:rsidRPr="00B45592">
        <w:rPr>
          <w:i/>
          <w:lang w:val="en-US"/>
        </w:rPr>
        <w:t>White</w:t>
      </w:r>
      <w:r w:rsidRPr="0055303E">
        <w:rPr>
          <w:lang w:val="en-US"/>
        </w:rPr>
        <w:t>);</w:t>
      </w:r>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24">
    <w:p w14:paraId="4ABA862D"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9167A5">
        <w:rPr>
          <w:i/>
          <w:lang w:val="en-US"/>
        </w:rPr>
        <w:t>Pierce v. Society of Sisters</w:t>
      </w:r>
      <w:r w:rsidRPr="000333FC">
        <w:rPr>
          <w:lang w:val="en-US"/>
        </w:rPr>
        <w:t xml:space="preserve">, 268 U.S. 510, 535 (1925); </w:t>
      </w:r>
      <w:r w:rsidRPr="009E57E1">
        <w:rPr>
          <w:i/>
          <w:lang w:val="en-US"/>
        </w:rPr>
        <w:t>Meyer v. Nebraska</w:t>
      </w:r>
      <w:r w:rsidRPr="000333FC">
        <w:rPr>
          <w:lang w:val="en-US"/>
        </w:rPr>
        <w:t xml:space="preserve">, 262 U.S. 390, 399 </w:t>
      </w:r>
      <w:r>
        <w:rPr>
          <w:lang w:val="en-US"/>
        </w:rPr>
        <w:t>(</w:t>
      </w:r>
      <w:r w:rsidRPr="000333FC">
        <w:rPr>
          <w:lang w:val="en-US"/>
        </w:rPr>
        <w:t>1923</w:t>
      </w:r>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25">
    <w:p w14:paraId="70BA42BD"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9167A5">
        <w:rPr>
          <w:i/>
          <w:lang w:val="en-US"/>
        </w:rPr>
        <w:t>Pierce v. Society of Sisters</w:t>
      </w:r>
      <w:r w:rsidRPr="000333FC">
        <w:rPr>
          <w:lang w:val="en-US"/>
        </w:rPr>
        <w:t xml:space="preserve">, 268 U.S. 510, 535 (1925); </w:t>
      </w:r>
      <w:r w:rsidRPr="009E57E1">
        <w:rPr>
          <w:i/>
          <w:lang w:val="en-US"/>
        </w:rPr>
        <w:t>Meyer v. Nebraska</w:t>
      </w:r>
      <w:r w:rsidRPr="000333FC">
        <w:rPr>
          <w:lang w:val="en-US"/>
        </w:rPr>
        <w:t xml:space="preserve">, 262 U.S. 390, 399 </w:t>
      </w:r>
      <w:r>
        <w:rPr>
          <w:lang w:val="en-US"/>
        </w:rPr>
        <w:t>(</w:t>
      </w:r>
      <w:r w:rsidRPr="000333FC">
        <w:rPr>
          <w:lang w:val="en-US"/>
        </w:rPr>
        <w:t>1923</w:t>
      </w:r>
      <w:r>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385</w:t>
      </w:r>
      <w:r w:rsidRPr="003B741A">
        <w:rPr>
          <w:lang w:val="en-US"/>
        </w:rPr>
        <w:t xml:space="preserve"> = 98 S. Ct. </w:t>
      </w:r>
      <w:r w:rsidRPr="000333FC">
        <w:rPr>
          <w:lang w:val="en-US"/>
        </w:rPr>
        <w:t>673, 680</w:t>
      </w:r>
      <w:r>
        <w:rPr>
          <w:lang w:val="en-US"/>
        </w:rPr>
        <w:t xml:space="preserve"> = 54 L. Ed. </w:t>
      </w:r>
      <w:r w:rsidRPr="000333FC">
        <w:rPr>
          <w:lang w:val="en-US"/>
        </w:rPr>
        <w:t>2d 618, 630</w:t>
      </w:r>
      <w:r w:rsidRPr="003B741A">
        <w:rPr>
          <w:lang w:val="en-US"/>
        </w:rPr>
        <w:t xml:space="preserve"> = 1978 U.S. LEXIS </w:t>
      </w:r>
      <w:r w:rsidRPr="000333FC">
        <w:rPr>
          <w:lang w:val="en-US"/>
        </w:rPr>
        <w:t>57, 15</w:t>
      </w:r>
      <w:r>
        <w:rPr>
          <w:lang w:val="en-US"/>
        </w:rPr>
        <w:t xml:space="preserve"> = 24 Fed. R. Serv. </w:t>
      </w:r>
      <w:r w:rsidRPr="000333FC">
        <w:rPr>
          <w:lang w:val="en-US"/>
        </w:rPr>
        <w:t>2d (Callaghan) 1313 (1978)</w:t>
      </w:r>
      <w:r>
        <w:rPr>
          <w:lang w:val="en-US"/>
        </w:rPr>
        <w:t>.</w:t>
      </w:r>
    </w:p>
  </w:footnote>
  <w:footnote w:id="1426">
    <w:p w14:paraId="349F370F"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381</w:t>
      </w:r>
      <w:r w:rsidRPr="003B741A">
        <w:rPr>
          <w:lang w:val="en-US"/>
        </w:rPr>
        <w:t xml:space="preserve"> = 98 S. Ct. </w:t>
      </w:r>
      <w:r w:rsidRPr="000333FC">
        <w:rPr>
          <w:lang w:val="en-US"/>
        </w:rPr>
        <w:t>673, 678</w:t>
      </w:r>
      <w:r>
        <w:rPr>
          <w:lang w:val="en-US"/>
        </w:rPr>
        <w:t xml:space="preserve"> = 54 L. Ed. </w:t>
      </w:r>
      <w:r w:rsidRPr="000333FC">
        <w:rPr>
          <w:lang w:val="en-US"/>
        </w:rPr>
        <w:t>2d 618, 627</w:t>
      </w:r>
      <w:r w:rsidRPr="003B741A">
        <w:rPr>
          <w:lang w:val="en-US"/>
        </w:rPr>
        <w:t xml:space="preserve"> = 1978 U.S. LEXIS </w:t>
      </w:r>
      <w:r w:rsidRPr="000333FC">
        <w:rPr>
          <w:lang w:val="en-US"/>
        </w:rPr>
        <w:t>57, 10</w:t>
      </w:r>
      <w:r>
        <w:rPr>
          <w:lang w:val="en-US"/>
        </w:rPr>
        <w:t xml:space="preserve"> = 24 Fed. R. Serv. </w:t>
      </w:r>
      <w:r w:rsidRPr="000333FC">
        <w:rPr>
          <w:lang w:val="en-US"/>
        </w:rPr>
        <w:t>2d (Callaghan) 1313 (1978)</w:t>
      </w:r>
      <w:r>
        <w:rPr>
          <w:lang w:val="en-US"/>
        </w:rPr>
        <w:t>.</w:t>
      </w:r>
    </w:p>
  </w:footnote>
  <w:footnote w:id="1427">
    <w:p w14:paraId="5B101197"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381</w:t>
      </w:r>
      <w:r w:rsidRPr="003B741A">
        <w:rPr>
          <w:lang w:val="en-US"/>
        </w:rPr>
        <w:t xml:space="preserve"> = 98 S. Ct. </w:t>
      </w:r>
      <w:r w:rsidRPr="000333FC">
        <w:rPr>
          <w:lang w:val="en-US"/>
        </w:rPr>
        <w:t>673, 678</w:t>
      </w:r>
      <w:r>
        <w:rPr>
          <w:lang w:val="en-US"/>
        </w:rPr>
        <w:t xml:space="preserve"> = 54 L. Ed. </w:t>
      </w:r>
      <w:r w:rsidRPr="000333FC">
        <w:rPr>
          <w:lang w:val="en-US"/>
        </w:rPr>
        <w:t>2d 618, 627</w:t>
      </w:r>
      <w:r w:rsidRPr="003B741A">
        <w:rPr>
          <w:lang w:val="en-US"/>
        </w:rPr>
        <w:t xml:space="preserve"> = 1978 U.S. LEXIS </w:t>
      </w:r>
      <w:r w:rsidRPr="000333FC">
        <w:rPr>
          <w:lang w:val="en-US"/>
        </w:rPr>
        <w:t>57, 10</w:t>
      </w:r>
      <w:r>
        <w:rPr>
          <w:lang w:val="en-US"/>
        </w:rPr>
        <w:t xml:space="preserve"> = 24 Fed. R. Serv. </w:t>
      </w:r>
      <w:r w:rsidRPr="000333FC">
        <w:rPr>
          <w:lang w:val="en-US"/>
        </w:rPr>
        <w:t>2d (Callaghan) 1313 (1978)</w:t>
      </w:r>
      <w:r>
        <w:rPr>
          <w:lang w:val="en-US"/>
        </w:rPr>
        <w:t>.</w:t>
      </w:r>
    </w:p>
  </w:footnote>
  <w:footnote w:id="1428">
    <w:p w14:paraId="127FB137" w14:textId="77777777" w:rsidR="00074551" w:rsidRPr="009B79AD" w:rsidRDefault="00074551" w:rsidP="00074551">
      <w:pPr>
        <w:rPr>
          <w:lang w:val="en-US"/>
        </w:rPr>
      </w:pPr>
      <w:r w:rsidRPr="009B79AD">
        <w:rPr>
          <w:rStyle w:val="Funotenzeichen"/>
          <w:rFonts w:eastAsiaTheme="majorEastAsia"/>
          <w:sz w:val="20"/>
          <w:szCs w:val="20"/>
        </w:rPr>
        <w:footnoteRef/>
      </w:r>
      <w:r w:rsidRPr="009B79AD">
        <w:rPr>
          <w:sz w:val="20"/>
          <w:szCs w:val="20"/>
          <w:lang w:val="en-US"/>
        </w:rPr>
        <w:t xml:space="preserve"> </w:t>
      </w:r>
      <w:r w:rsidRPr="00B45592">
        <w:rPr>
          <w:i/>
          <w:sz w:val="20"/>
          <w:szCs w:val="20"/>
          <w:lang w:val="en-US"/>
        </w:rPr>
        <w:t>Massachusetts Board of Retirement v. Murgia</w:t>
      </w:r>
      <w:r w:rsidRPr="009B79AD">
        <w:rPr>
          <w:sz w:val="20"/>
          <w:szCs w:val="20"/>
          <w:lang w:val="en-US"/>
        </w:rPr>
        <w:t xml:space="preserve">, 427 U.S. 307, 312, 314 (1976); </w:t>
      </w:r>
      <w:proofErr w:type="spellStart"/>
      <w:r w:rsidRPr="009B79AD">
        <w:rPr>
          <w:sz w:val="20"/>
          <w:szCs w:val="20"/>
          <w:lang w:val="en-US"/>
        </w:rPr>
        <w:t>zitiert</w:t>
      </w:r>
      <w:proofErr w:type="spellEnd"/>
      <w:r w:rsidRPr="009B79AD">
        <w:rPr>
          <w:sz w:val="20"/>
          <w:szCs w:val="20"/>
          <w:lang w:val="en-US"/>
        </w:rPr>
        <w:t xml:space="preserve"> in </w:t>
      </w:r>
      <w:r w:rsidRPr="009B79AD">
        <w:rPr>
          <w:i/>
          <w:sz w:val="20"/>
          <w:szCs w:val="20"/>
          <w:lang w:val="en-IE"/>
        </w:rPr>
        <w:t xml:space="preserve">Zablocki v. </w:t>
      </w:r>
      <w:proofErr w:type="spellStart"/>
      <w:r w:rsidRPr="009B79AD">
        <w:rPr>
          <w:i/>
          <w:sz w:val="20"/>
          <w:szCs w:val="20"/>
          <w:lang w:val="en-IE"/>
        </w:rPr>
        <w:t>Redhail</w:t>
      </w:r>
      <w:proofErr w:type="spellEnd"/>
      <w:r w:rsidRPr="009B79AD">
        <w:rPr>
          <w:sz w:val="20"/>
          <w:szCs w:val="20"/>
          <w:lang w:val="en-IE"/>
        </w:rPr>
        <w:t>, 434 U.S. 374, 383 = 98 S. Ct. 673, 679 = 54 L. Ed. 2d 618, 628 = 1978 U.S. LEXIS 57, 12 = 24 Fed. R. Serv. 2d (Callaghan) 1313 (1978)</w:t>
      </w:r>
      <w:r>
        <w:rPr>
          <w:sz w:val="20"/>
          <w:szCs w:val="20"/>
          <w:lang w:val="en-IE"/>
        </w:rPr>
        <w:t>,</w:t>
      </w:r>
      <w:r w:rsidRPr="009B79AD">
        <w:rPr>
          <w:sz w:val="20"/>
          <w:szCs w:val="20"/>
          <w:lang w:val="en-IE"/>
        </w:rPr>
        <w:t xml:space="preserve"> </w:t>
      </w:r>
      <w:proofErr w:type="spellStart"/>
      <w:r w:rsidRPr="009B79AD">
        <w:rPr>
          <w:sz w:val="20"/>
          <w:szCs w:val="20"/>
          <w:lang w:val="en-IE"/>
        </w:rPr>
        <w:t>mit</w:t>
      </w:r>
      <w:proofErr w:type="spellEnd"/>
      <w:r w:rsidRPr="009B79AD">
        <w:rPr>
          <w:sz w:val="20"/>
          <w:szCs w:val="20"/>
          <w:lang w:val="en-IE"/>
        </w:rPr>
        <w:t xml:space="preserve"> </w:t>
      </w:r>
      <w:proofErr w:type="spellStart"/>
      <w:r>
        <w:rPr>
          <w:sz w:val="20"/>
          <w:szCs w:val="20"/>
          <w:lang w:val="en-IE"/>
        </w:rPr>
        <w:t>weiterem</w:t>
      </w:r>
      <w:proofErr w:type="spellEnd"/>
      <w:r>
        <w:rPr>
          <w:sz w:val="20"/>
          <w:szCs w:val="20"/>
          <w:lang w:val="en-IE"/>
        </w:rPr>
        <w:t xml:space="preserve"> </w:t>
      </w:r>
      <w:proofErr w:type="spellStart"/>
      <w:r w:rsidRPr="009B79AD">
        <w:rPr>
          <w:sz w:val="20"/>
          <w:szCs w:val="20"/>
          <w:lang w:val="en-IE"/>
        </w:rPr>
        <w:t>Verweis</w:t>
      </w:r>
      <w:proofErr w:type="spellEnd"/>
      <w:r w:rsidRPr="009B79AD">
        <w:rPr>
          <w:sz w:val="20"/>
          <w:szCs w:val="20"/>
          <w:lang w:val="en-IE"/>
        </w:rPr>
        <w:t xml:space="preserve"> auf </w:t>
      </w:r>
      <w:r w:rsidRPr="00B45592">
        <w:rPr>
          <w:i/>
          <w:sz w:val="20"/>
          <w:szCs w:val="20"/>
          <w:lang w:val="en-US"/>
        </w:rPr>
        <w:t>San Antonio Independent School Dist. v. Rodriguez</w:t>
      </w:r>
      <w:r w:rsidRPr="009B79AD">
        <w:rPr>
          <w:sz w:val="20"/>
          <w:szCs w:val="20"/>
          <w:lang w:val="en-US"/>
        </w:rPr>
        <w:t>, 411 U.S. 1, 17 (1973).</w:t>
      </w:r>
    </w:p>
  </w:footnote>
  <w:footnote w:id="1429">
    <w:p w14:paraId="47BE38E9"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386</w:t>
      </w:r>
      <w:r w:rsidRPr="003B741A">
        <w:rPr>
          <w:lang w:val="en-US"/>
        </w:rPr>
        <w:t xml:space="preserve"> = 98 S. Ct. </w:t>
      </w:r>
      <w:r w:rsidRPr="000333FC">
        <w:rPr>
          <w:lang w:val="en-US"/>
        </w:rPr>
        <w:t>673, 681</w:t>
      </w:r>
      <w:r>
        <w:rPr>
          <w:lang w:val="en-US"/>
        </w:rPr>
        <w:t xml:space="preserve"> = 54 L. Ed. </w:t>
      </w:r>
      <w:r w:rsidRPr="000333FC">
        <w:rPr>
          <w:lang w:val="en-US"/>
        </w:rPr>
        <w:t>2d 618, 631</w:t>
      </w:r>
      <w:r w:rsidRPr="003B741A">
        <w:rPr>
          <w:lang w:val="en-US"/>
        </w:rPr>
        <w:t xml:space="preserve"> = 1978 U.S. LEXIS </w:t>
      </w:r>
      <w:r w:rsidRPr="000333FC">
        <w:rPr>
          <w:lang w:val="en-US"/>
        </w:rPr>
        <w:t>57, 18</w:t>
      </w:r>
      <w:r>
        <w:rPr>
          <w:lang w:val="en-US"/>
        </w:rPr>
        <w:t xml:space="preserve"> = 24 Fed. R. Serv. </w:t>
      </w:r>
      <w:r w:rsidRPr="000333FC">
        <w:rPr>
          <w:lang w:val="en-US"/>
        </w:rPr>
        <w:t>2d (Callaghan) 1313 (1978)</w:t>
      </w:r>
      <w:r>
        <w:rPr>
          <w:lang w:val="en-US"/>
        </w:rPr>
        <w:t>.</w:t>
      </w:r>
    </w:p>
  </w:footnote>
  <w:footnote w:id="1430">
    <w:p w14:paraId="679A29BE" w14:textId="77777777" w:rsidR="00074551" w:rsidRPr="00511895" w:rsidRDefault="00074551" w:rsidP="00074551">
      <w:pPr>
        <w:pStyle w:val="Funotentext"/>
        <w:rPr>
          <w:lang w:val="en-US"/>
        </w:rPr>
      </w:pPr>
      <w:r>
        <w:rPr>
          <w:rStyle w:val="Funotenzeichen"/>
          <w:rFonts w:eastAsiaTheme="majorEastAsia"/>
        </w:rPr>
        <w:footnoteRef/>
      </w:r>
      <w:r w:rsidRPr="00511895">
        <w:rPr>
          <w:lang w:val="en-US"/>
        </w:rPr>
        <w:t xml:space="preserve"> </w:t>
      </w:r>
      <w:r w:rsidRPr="00B45592">
        <w:rPr>
          <w:i/>
          <w:lang w:val="en-US"/>
        </w:rPr>
        <w:t>Memorial Hospital v. Maricopa County</w:t>
      </w:r>
      <w:r w:rsidRPr="00511895">
        <w:rPr>
          <w:lang w:val="en-US"/>
        </w:rPr>
        <w:t>, 415 U.S. 250, 253 (1974)</w:t>
      </w:r>
      <w:proofErr w:type="gramStart"/>
      <w:r>
        <w:rPr>
          <w:lang w:val="en-US"/>
        </w:rPr>
        <w:t xml:space="preserve">; </w:t>
      </w:r>
      <w:r w:rsidRPr="008C36D1">
        <w:rPr>
          <w:lang w:val="en-US"/>
        </w:rPr>
        <w:t>)</w:t>
      </w:r>
      <w:proofErr w:type="gramEnd"/>
      <w:r w:rsidRPr="008C36D1">
        <w:rPr>
          <w:lang w:val="en-US"/>
        </w:rPr>
        <w:t xml:space="preserve">; </w:t>
      </w:r>
      <w:proofErr w:type="spellStart"/>
      <w:r w:rsidRPr="008C36D1">
        <w:rPr>
          <w:lang w:val="en-US"/>
        </w:rPr>
        <w:t>zitiert</w:t>
      </w:r>
      <w:proofErr w:type="spellEnd"/>
      <w:r w:rsidRPr="008C36D1">
        <w:rPr>
          <w:lang w:val="en-US"/>
        </w:rPr>
        <w:t xml:space="preserve"> in </w:t>
      </w:r>
      <w:r w:rsidRPr="008C36D1">
        <w:rPr>
          <w:i/>
          <w:lang w:val="en-IE"/>
        </w:rPr>
        <w:t xml:space="preserve">Zablocki v. </w:t>
      </w:r>
      <w:proofErr w:type="spellStart"/>
      <w:r w:rsidRPr="008C36D1">
        <w:rPr>
          <w:i/>
          <w:lang w:val="en-IE"/>
        </w:rPr>
        <w:t>Redhail</w:t>
      </w:r>
      <w:proofErr w:type="spellEnd"/>
      <w:r w:rsidRPr="008C36D1">
        <w:rPr>
          <w:lang w:val="en-IE"/>
        </w:rPr>
        <w:t>, 434 U.S. 374, 383 = 98 S. Ct. 673, 679 = 54 L. Ed. 2d 618, 628 = 1978 U.S. LEXIS 57, 12 = 24 Fed. R. Serv. 2d (Callaghan) 1313 (1978)</w:t>
      </w:r>
      <w:r>
        <w:rPr>
          <w:lang w:val="en-IE"/>
        </w:rPr>
        <w:t>.</w:t>
      </w:r>
    </w:p>
  </w:footnote>
  <w:footnote w:id="1431">
    <w:p w14:paraId="20405BD5" w14:textId="77777777" w:rsidR="00074551" w:rsidRPr="005230D3" w:rsidRDefault="00074551" w:rsidP="00074551">
      <w:pPr>
        <w:pStyle w:val="Funotentext"/>
        <w:rPr>
          <w:lang w:val="en-US"/>
        </w:rPr>
      </w:pPr>
      <w:r>
        <w:rPr>
          <w:rStyle w:val="Funotenzeichen"/>
          <w:rFonts w:eastAsiaTheme="majorEastAsia"/>
        </w:rPr>
        <w:footnoteRef/>
      </w:r>
      <w:r w:rsidRPr="005230D3">
        <w:rPr>
          <w:lang w:val="en-US"/>
        </w:rPr>
        <w:t xml:space="preserve"> </w:t>
      </w:r>
      <w:r w:rsidRPr="00B35CD0">
        <w:rPr>
          <w:i/>
          <w:lang w:val="en-US"/>
        </w:rPr>
        <w:t xml:space="preserve">Zablocki v. </w:t>
      </w:r>
      <w:proofErr w:type="spellStart"/>
      <w:r w:rsidRPr="00B35CD0">
        <w:rPr>
          <w:i/>
          <w:lang w:val="en-US"/>
        </w:rPr>
        <w:t>Redhail</w:t>
      </w:r>
      <w:proofErr w:type="spellEnd"/>
      <w:r>
        <w:rPr>
          <w:lang w:val="en-US"/>
        </w:rPr>
        <w:t>,</w:t>
      </w:r>
      <w:r w:rsidRPr="005230D3">
        <w:rPr>
          <w:lang w:val="en-US"/>
        </w:rPr>
        <w:t xml:space="preserve"> 434 U.S. 374</w:t>
      </w:r>
      <w:r>
        <w:rPr>
          <w:lang w:val="en-US"/>
        </w:rPr>
        <w:t xml:space="preserve"> </w:t>
      </w:r>
      <w:r w:rsidRPr="00975241">
        <w:rPr>
          <w:lang w:val="en-US"/>
        </w:rPr>
        <w:t>(1978).</w:t>
      </w:r>
    </w:p>
  </w:footnote>
  <w:footnote w:id="1432">
    <w:p w14:paraId="600FACE1" w14:textId="77777777" w:rsidR="00074551" w:rsidRPr="00975241" w:rsidRDefault="00074551" w:rsidP="00074551">
      <w:pPr>
        <w:pStyle w:val="Funotentext"/>
        <w:rPr>
          <w:lang w:val="en-US"/>
        </w:rPr>
      </w:pPr>
      <w:r>
        <w:rPr>
          <w:rStyle w:val="Funotenzeichen"/>
          <w:rFonts w:eastAsiaTheme="majorEastAsia"/>
        </w:rPr>
        <w:footnoteRef/>
      </w:r>
      <w:r w:rsidRPr="00975241">
        <w:rPr>
          <w:lang w:val="en-US"/>
        </w:rPr>
        <w:t xml:space="preserve"> </w:t>
      </w:r>
      <w:r w:rsidRPr="00B35CD0">
        <w:rPr>
          <w:i/>
          <w:lang w:val="en-US"/>
        </w:rPr>
        <w:t xml:space="preserve">Zablocki v. </w:t>
      </w:r>
      <w:proofErr w:type="spellStart"/>
      <w:r w:rsidRPr="00B35CD0">
        <w:rPr>
          <w:i/>
          <w:lang w:val="en-US"/>
        </w:rPr>
        <w:t>Redhail</w:t>
      </w:r>
      <w:proofErr w:type="spellEnd"/>
      <w:r w:rsidRPr="00975241">
        <w:rPr>
          <w:lang w:val="en-US"/>
        </w:rPr>
        <w:t>, 434 U.S. 374, 375</w:t>
      </w:r>
      <w:r w:rsidRPr="003B741A">
        <w:rPr>
          <w:lang w:val="en-US"/>
        </w:rPr>
        <w:t xml:space="preserve"> = 98 S. Ct. </w:t>
      </w:r>
      <w:r w:rsidRPr="00975241">
        <w:rPr>
          <w:lang w:val="en-US"/>
        </w:rPr>
        <w:t>673, 675</w:t>
      </w:r>
      <w:r>
        <w:rPr>
          <w:lang w:val="en-US"/>
        </w:rPr>
        <w:t xml:space="preserve"> = 54 L. Ed. </w:t>
      </w:r>
      <w:r w:rsidRPr="00975241">
        <w:rPr>
          <w:lang w:val="en-US"/>
        </w:rPr>
        <w:t>2d 618, 623</w:t>
      </w:r>
      <w:r w:rsidRPr="003B741A">
        <w:rPr>
          <w:lang w:val="en-US"/>
        </w:rPr>
        <w:t xml:space="preserve"> = 1978 U.S. LEXIS </w:t>
      </w:r>
      <w:r w:rsidRPr="00975241">
        <w:rPr>
          <w:lang w:val="en-US"/>
        </w:rPr>
        <w:t>57, 1</w:t>
      </w:r>
      <w:r>
        <w:rPr>
          <w:lang w:val="en-US"/>
        </w:rPr>
        <w:t xml:space="preserve"> = 24 Fed. R. Serv. </w:t>
      </w:r>
      <w:r w:rsidRPr="00975241">
        <w:rPr>
          <w:lang w:val="en-US"/>
        </w:rPr>
        <w:t>2d (Callaghan) 1313 (1978).</w:t>
      </w:r>
    </w:p>
  </w:footnote>
  <w:footnote w:id="1433">
    <w:p w14:paraId="54681DE9"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387</w:t>
      </w:r>
      <w:r w:rsidRPr="003B741A">
        <w:rPr>
          <w:lang w:val="en-US"/>
        </w:rPr>
        <w:t xml:space="preserve"> = 98 S. Ct. </w:t>
      </w:r>
      <w:r w:rsidRPr="000333FC">
        <w:rPr>
          <w:lang w:val="en-US"/>
        </w:rPr>
        <w:t>673, 681</w:t>
      </w:r>
      <w:r>
        <w:rPr>
          <w:lang w:val="en-US"/>
        </w:rPr>
        <w:t xml:space="preserve"> = 54 L. Ed. </w:t>
      </w:r>
      <w:r w:rsidRPr="000333FC">
        <w:rPr>
          <w:lang w:val="en-US"/>
        </w:rPr>
        <w:t>2d 618, 631</w:t>
      </w:r>
      <w:r w:rsidRPr="003B741A">
        <w:rPr>
          <w:lang w:val="en-US"/>
        </w:rPr>
        <w:t xml:space="preserve"> = 1978 U.S. LEXIS </w:t>
      </w:r>
      <w:r w:rsidRPr="000333FC">
        <w:rPr>
          <w:lang w:val="en-US"/>
        </w:rPr>
        <w:t>57, 18</w:t>
      </w:r>
      <w:r>
        <w:rPr>
          <w:lang w:val="en-US"/>
        </w:rPr>
        <w:t xml:space="preserve"> = 24 Fed. R. Serv. </w:t>
      </w:r>
      <w:r w:rsidRPr="000333FC">
        <w:rPr>
          <w:lang w:val="en-US"/>
        </w:rPr>
        <w:t>2d (Callaghan) 1313 (1978)</w:t>
      </w:r>
      <w:r>
        <w:rPr>
          <w:lang w:val="en-US"/>
        </w:rPr>
        <w:t>.</w:t>
      </w:r>
    </w:p>
  </w:footnote>
  <w:footnote w:id="1434">
    <w:p w14:paraId="39505C3F" w14:textId="77777777" w:rsidR="00074551" w:rsidRPr="000333FC" w:rsidRDefault="00074551" w:rsidP="00074551">
      <w:pPr>
        <w:pStyle w:val="Funotentext"/>
        <w:rPr>
          <w:lang w:val="en-US"/>
        </w:rPr>
      </w:pPr>
      <w:r>
        <w:rPr>
          <w:rStyle w:val="Funotenzeichen"/>
          <w:rFonts w:eastAsiaTheme="majorEastAsia"/>
        </w:rPr>
        <w:footnoteRef/>
      </w:r>
      <w:r w:rsidRPr="000333FC">
        <w:rPr>
          <w:lang w:val="en-US"/>
        </w:rPr>
        <w:t xml:space="preserve"> </w:t>
      </w:r>
      <w:r w:rsidRPr="00B35CD0">
        <w:rPr>
          <w:i/>
          <w:lang w:val="en-US"/>
        </w:rPr>
        <w:t xml:space="preserve">Zablocki v. </w:t>
      </w:r>
      <w:proofErr w:type="spellStart"/>
      <w:r w:rsidRPr="00B35CD0">
        <w:rPr>
          <w:i/>
          <w:lang w:val="en-US"/>
        </w:rPr>
        <w:t>Redhail</w:t>
      </w:r>
      <w:proofErr w:type="spellEnd"/>
      <w:r w:rsidRPr="000333FC">
        <w:rPr>
          <w:lang w:val="en-US"/>
        </w:rPr>
        <w:t>, 434 U.S. 374, 387</w:t>
      </w:r>
      <w:r w:rsidRPr="003B741A">
        <w:rPr>
          <w:lang w:val="en-US"/>
        </w:rPr>
        <w:t xml:space="preserve"> = 98 S. Ct. </w:t>
      </w:r>
      <w:r w:rsidRPr="000333FC">
        <w:rPr>
          <w:lang w:val="en-US"/>
        </w:rPr>
        <w:t>673, 681</w:t>
      </w:r>
      <w:r>
        <w:rPr>
          <w:lang w:val="en-US"/>
        </w:rPr>
        <w:t xml:space="preserve"> = 54 L. Ed. </w:t>
      </w:r>
      <w:r w:rsidRPr="000333FC">
        <w:rPr>
          <w:lang w:val="en-US"/>
        </w:rPr>
        <w:t>2d 618, 631</w:t>
      </w:r>
      <w:r w:rsidRPr="003B741A">
        <w:rPr>
          <w:lang w:val="en-US"/>
        </w:rPr>
        <w:t xml:space="preserve"> = 1978 U.S. LEXIS </w:t>
      </w:r>
      <w:r w:rsidRPr="000333FC">
        <w:rPr>
          <w:lang w:val="en-US"/>
        </w:rPr>
        <w:t>57, 18</w:t>
      </w:r>
      <w:r>
        <w:rPr>
          <w:lang w:val="en-US"/>
        </w:rPr>
        <w:t xml:space="preserve"> = 24 Fed. R. Serv. </w:t>
      </w:r>
      <w:r w:rsidRPr="000333FC">
        <w:rPr>
          <w:lang w:val="en-US"/>
        </w:rPr>
        <w:t>2d (Callaghan) 1313 (1978)</w:t>
      </w:r>
      <w:r>
        <w:rPr>
          <w:lang w:val="en-US"/>
        </w:rPr>
        <w:t>.</w:t>
      </w:r>
    </w:p>
  </w:footnote>
  <w:footnote w:id="1435">
    <w:p w14:paraId="5AEFA63D" w14:textId="77777777" w:rsidR="00074551" w:rsidRPr="00A16067" w:rsidRDefault="00074551" w:rsidP="00074551">
      <w:pPr>
        <w:pStyle w:val="Funotentext"/>
        <w:ind w:left="227" w:hanging="227"/>
        <w:rPr>
          <w:lang w:val="en-US"/>
        </w:rPr>
      </w:pPr>
      <w:r>
        <w:rPr>
          <w:rStyle w:val="Funotenzeichen"/>
          <w:rFonts w:eastAsiaTheme="majorEastAsia"/>
        </w:rPr>
        <w:footnoteRef/>
      </w:r>
      <w:r w:rsidRPr="00A16067">
        <w:rPr>
          <w:lang w:val="en-US"/>
        </w:rPr>
        <w:t xml:space="preserve"> </w:t>
      </w:r>
      <w:r w:rsidRPr="00B35CD0">
        <w:rPr>
          <w:i/>
          <w:lang w:val="en-US"/>
        </w:rPr>
        <w:t xml:space="preserve">Zablocki v. </w:t>
      </w:r>
      <w:proofErr w:type="spellStart"/>
      <w:r w:rsidRPr="00B35CD0">
        <w:rPr>
          <w:i/>
          <w:lang w:val="en-US"/>
        </w:rPr>
        <w:t>Redhail</w:t>
      </w:r>
      <w:proofErr w:type="spellEnd"/>
      <w:r w:rsidRPr="00A16067">
        <w:rPr>
          <w:lang w:val="en-US"/>
        </w:rPr>
        <w:t>, 434 U.S. 374, 387</w:t>
      </w:r>
      <w:r w:rsidRPr="003B741A">
        <w:rPr>
          <w:lang w:val="en-US"/>
        </w:rPr>
        <w:t xml:space="preserve"> = 98 S. Ct. </w:t>
      </w:r>
      <w:r w:rsidRPr="00A16067">
        <w:rPr>
          <w:lang w:val="en-US"/>
        </w:rPr>
        <w:t>673, 681</w:t>
      </w:r>
      <w:r>
        <w:rPr>
          <w:lang w:val="en-US"/>
        </w:rPr>
        <w:t xml:space="preserve"> = 54 L. Ed. </w:t>
      </w:r>
      <w:r w:rsidRPr="00A16067">
        <w:rPr>
          <w:lang w:val="en-US"/>
        </w:rPr>
        <w:t>2d 618, 631</w:t>
      </w:r>
      <w:r w:rsidRPr="003B741A">
        <w:rPr>
          <w:lang w:val="en-US"/>
        </w:rPr>
        <w:t xml:space="preserve"> = 1978 U.S. LEXIS </w:t>
      </w:r>
      <w:r w:rsidRPr="00A16067">
        <w:rPr>
          <w:lang w:val="en-US"/>
        </w:rPr>
        <w:t>57, 19</w:t>
      </w:r>
      <w:r>
        <w:rPr>
          <w:lang w:val="en-US"/>
        </w:rPr>
        <w:t xml:space="preserve"> = 24 Fed. R. Serv. </w:t>
      </w:r>
      <w:r w:rsidRPr="00A16067">
        <w:rPr>
          <w:lang w:val="en-US"/>
        </w:rPr>
        <w:t>2d (Callaghan) 1313 (1978).</w:t>
      </w:r>
    </w:p>
  </w:footnote>
  <w:footnote w:id="1436">
    <w:p w14:paraId="36C96BB2" w14:textId="77777777" w:rsidR="00074551" w:rsidRPr="000240F2" w:rsidRDefault="00074551" w:rsidP="00074551">
      <w:pPr>
        <w:pStyle w:val="Funotentext"/>
        <w:rPr>
          <w:lang w:val="en-US"/>
        </w:rPr>
      </w:pPr>
      <w:r>
        <w:rPr>
          <w:rStyle w:val="Funotenzeichen"/>
          <w:rFonts w:eastAsiaTheme="majorEastAsia"/>
        </w:rPr>
        <w:footnoteRef/>
      </w:r>
      <w:r w:rsidRPr="000240F2">
        <w:rPr>
          <w:lang w:val="en-US"/>
        </w:rPr>
        <w:t xml:space="preserve"> </w:t>
      </w:r>
      <w:r w:rsidRPr="00D83E4F">
        <w:rPr>
          <w:i/>
          <w:lang w:val="en-US"/>
        </w:rPr>
        <w:t>Doe v. Bolton</w:t>
      </w:r>
      <w:r w:rsidRPr="000240F2">
        <w:rPr>
          <w:lang w:val="en-US"/>
        </w:rPr>
        <w:t>, 410 U.S. 179, 209</w:t>
      </w:r>
      <w:r>
        <w:rPr>
          <w:lang w:val="en-US"/>
        </w:rPr>
        <w:t xml:space="preserve"> = 93 S. Ct. </w:t>
      </w:r>
      <w:r w:rsidRPr="000240F2">
        <w:rPr>
          <w:lang w:val="en-US"/>
        </w:rPr>
        <w:t>739, 756</w:t>
      </w:r>
      <w:r>
        <w:rPr>
          <w:lang w:val="en-US"/>
        </w:rPr>
        <w:t xml:space="preserve"> = 35 L. Ed. </w:t>
      </w:r>
      <w:r w:rsidRPr="000240F2">
        <w:rPr>
          <w:lang w:val="en-US"/>
        </w:rPr>
        <w:t>2d 201, 221</w:t>
      </w:r>
      <w:r>
        <w:rPr>
          <w:lang w:val="en-US"/>
        </w:rPr>
        <w:t xml:space="preserve"> = 1973 U.S. LEXIS </w:t>
      </w:r>
      <w:r w:rsidRPr="000240F2">
        <w:rPr>
          <w:lang w:val="en-US"/>
        </w:rPr>
        <w:t>112, 50 (1973)</w:t>
      </w:r>
      <w:r>
        <w:rPr>
          <w:lang w:val="en-US"/>
        </w:rPr>
        <w:t>.</w:t>
      </w:r>
    </w:p>
  </w:footnote>
  <w:footnote w:id="1437">
    <w:p w14:paraId="683556F7" w14:textId="77777777" w:rsidR="00074551" w:rsidRPr="004F22B8" w:rsidRDefault="00074551" w:rsidP="00074551">
      <w:pPr>
        <w:pStyle w:val="Funotentext"/>
        <w:rPr>
          <w:lang w:val="en-US"/>
        </w:rPr>
      </w:pPr>
      <w:r>
        <w:rPr>
          <w:rStyle w:val="Funotenzeichen"/>
          <w:rFonts w:eastAsiaTheme="majorEastAsia"/>
        </w:rPr>
        <w:footnoteRef/>
      </w:r>
      <w:r w:rsidRPr="004F22B8">
        <w:rPr>
          <w:lang w:val="en-US"/>
        </w:rPr>
        <w:t xml:space="preserve"> </w:t>
      </w:r>
      <w:r w:rsidRPr="00D83E4F">
        <w:rPr>
          <w:i/>
          <w:lang w:val="en-US"/>
        </w:rPr>
        <w:t>Doe v. Bolton</w:t>
      </w:r>
      <w:r w:rsidRPr="004F22B8">
        <w:rPr>
          <w:lang w:val="en-US"/>
        </w:rPr>
        <w:t>, 410 U.S. 179, 211</w:t>
      </w:r>
      <w:r>
        <w:rPr>
          <w:lang w:val="en-US"/>
        </w:rPr>
        <w:t xml:space="preserve"> = 93 S. Ct. </w:t>
      </w:r>
      <w:r w:rsidRPr="004F22B8">
        <w:rPr>
          <w:lang w:val="en-US"/>
        </w:rPr>
        <w:t>739, 757</w:t>
      </w:r>
      <w:r>
        <w:rPr>
          <w:lang w:val="en-US"/>
        </w:rPr>
        <w:t xml:space="preserve"> = 35 L. Ed. </w:t>
      </w:r>
      <w:r w:rsidRPr="004F22B8">
        <w:rPr>
          <w:lang w:val="en-US"/>
        </w:rPr>
        <w:t>2d 201, 221</w:t>
      </w:r>
      <w:r>
        <w:rPr>
          <w:lang w:val="en-US"/>
        </w:rPr>
        <w:t xml:space="preserve"> = 1973 U.S. LEXIS </w:t>
      </w:r>
      <w:r w:rsidRPr="004F22B8">
        <w:rPr>
          <w:lang w:val="en-US"/>
        </w:rPr>
        <w:t>112, 53 (1973)</w:t>
      </w:r>
      <w:r>
        <w:rPr>
          <w:lang w:val="en-US"/>
        </w:rPr>
        <w:t>.</w:t>
      </w:r>
    </w:p>
  </w:footnote>
  <w:footnote w:id="1438">
    <w:p w14:paraId="6156309F" w14:textId="77777777" w:rsidR="00074551" w:rsidRPr="00194D8D" w:rsidRDefault="00074551" w:rsidP="00074551">
      <w:pPr>
        <w:pStyle w:val="Funotentext"/>
        <w:rPr>
          <w:lang w:val="en-US"/>
        </w:rPr>
      </w:pPr>
      <w:r>
        <w:rPr>
          <w:rStyle w:val="Funotenzeichen"/>
          <w:rFonts w:eastAsiaTheme="majorEastAsia"/>
        </w:rPr>
        <w:footnoteRef/>
      </w:r>
      <w:r w:rsidRPr="00194D8D">
        <w:rPr>
          <w:lang w:val="en-US"/>
        </w:rPr>
        <w:t xml:space="preserve"> </w:t>
      </w:r>
      <w:r w:rsidRPr="009167A5">
        <w:rPr>
          <w:i/>
          <w:lang w:val="en-US"/>
        </w:rPr>
        <w:t>Griswold v. Connecticut</w:t>
      </w:r>
      <w:r w:rsidRPr="00194D8D">
        <w:rPr>
          <w:lang w:val="en-US"/>
        </w:rPr>
        <w:t>, 381 U.S. 479, 492</w:t>
      </w:r>
      <w:r w:rsidRPr="006E67FE">
        <w:rPr>
          <w:lang w:val="en-US"/>
        </w:rPr>
        <w:t xml:space="preserve"> = 85 S. Ct. </w:t>
      </w:r>
      <w:r w:rsidRPr="00194D8D">
        <w:rPr>
          <w:lang w:val="en-US"/>
        </w:rPr>
        <w:t>1678, 1686</w:t>
      </w:r>
      <w:r w:rsidRPr="003B741A">
        <w:rPr>
          <w:lang w:val="en-US"/>
        </w:rPr>
        <w:t xml:space="preserve"> = 14 L. Ed. </w:t>
      </w:r>
      <w:r w:rsidRPr="00194D8D">
        <w:rPr>
          <w:lang w:val="en-US"/>
        </w:rPr>
        <w:t>2d 510, 520</w:t>
      </w:r>
      <w:r w:rsidRPr="006E67FE">
        <w:rPr>
          <w:lang w:val="en-US"/>
        </w:rPr>
        <w:t xml:space="preserve"> = 1965 U.S. LEXIS </w:t>
      </w:r>
      <w:r w:rsidRPr="00194D8D">
        <w:rPr>
          <w:lang w:val="en-US"/>
        </w:rPr>
        <w:t>2282, 22 (1965)</w:t>
      </w:r>
      <w:r>
        <w:rPr>
          <w:lang w:val="en-US"/>
        </w:rPr>
        <w:t>.</w:t>
      </w:r>
    </w:p>
  </w:footnote>
  <w:footnote w:id="1439">
    <w:p w14:paraId="42943D5F" w14:textId="77777777" w:rsidR="00074551" w:rsidRPr="00797A01" w:rsidRDefault="00074551" w:rsidP="00074551">
      <w:pPr>
        <w:pStyle w:val="Funotentext"/>
        <w:rPr>
          <w:lang w:val="en-US"/>
        </w:rPr>
      </w:pPr>
      <w:r>
        <w:rPr>
          <w:rStyle w:val="Funotenzeichen"/>
          <w:rFonts w:eastAsiaTheme="majorEastAsia"/>
        </w:rPr>
        <w:footnoteRef/>
      </w:r>
      <w:r w:rsidRPr="00797A01">
        <w:rPr>
          <w:lang w:val="en-US"/>
        </w:rPr>
        <w:t xml:space="preserve"> </w:t>
      </w:r>
      <w:r w:rsidRPr="009167A5">
        <w:rPr>
          <w:i/>
          <w:lang w:val="en-US"/>
        </w:rPr>
        <w:t>Griswold v. Connecticut</w:t>
      </w:r>
      <w:r w:rsidRPr="00797A01">
        <w:rPr>
          <w:lang w:val="en-US"/>
        </w:rPr>
        <w:t>, 381 U.S. 479, 492</w:t>
      </w:r>
      <w:r w:rsidRPr="006E67FE">
        <w:rPr>
          <w:lang w:val="en-US"/>
        </w:rPr>
        <w:t xml:space="preserve"> = 85 S. Ct. </w:t>
      </w:r>
      <w:r w:rsidRPr="00797A01">
        <w:rPr>
          <w:lang w:val="en-US"/>
        </w:rPr>
        <w:t>1678, 1686</w:t>
      </w:r>
      <w:r w:rsidRPr="003B741A">
        <w:rPr>
          <w:lang w:val="en-US"/>
        </w:rPr>
        <w:t xml:space="preserve"> = 14 L. Ed. </w:t>
      </w:r>
      <w:r w:rsidRPr="00797A01">
        <w:rPr>
          <w:lang w:val="en-US"/>
        </w:rPr>
        <w:t>2d 510, 520</w:t>
      </w:r>
      <w:r w:rsidRPr="006E67FE">
        <w:rPr>
          <w:lang w:val="en-US"/>
        </w:rPr>
        <w:t xml:space="preserve"> = 1965 U.S. LEXIS </w:t>
      </w:r>
      <w:r w:rsidRPr="00797A01">
        <w:rPr>
          <w:lang w:val="en-US"/>
        </w:rPr>
        <w:t>2282, 21 (1965).</w:t>
      </w:r>
    </w:p>
  </w:footnote>
  <w:footnote w:id="1440">
    <w:p w14:paraId="4C0337C8" w14:textId="77777777" w:rsidR="00074551" w:rsidRPr="00797A01" w:rsidRDefault="00074551" w:rsidP="00074551">
      <w:pPr>
        <w:pStyle w:val="Funotentext"/>
        <w:rPr>
          <w:lang w:val="en-US"/>
        </w:rPr>
      </w:pPr>
      <w:r>
        <w:rPr>
          <w:rStyle w:val="Funotenzeichen"/>
          <w:rFonts w:eastAsiaTheme="majorEastAsia"/>
        </w:rPr>
        <w:footnoteRef/>
      </w:r>
      <w:r w:rsidRPr="00797A01">
        <w:rPr>
          <w:lang w:val="en-US"/>
        </w:rPr>
        <w:t xml:space="preserve"> </w:t>
      </w:r>
      <w:proofErr w:type="spellStart"/>
      <w:r>
        <w:rPr>
          <w:lang w:val="en-US"/>
        </w:rPr>
        <w:t>Siehe</w:t>
      </w:r>
      <w:proofErr w:type="spellEnd"/>
      <w:r>
        <w:rPr>
          <w:lang w:val="en-US"/>
        </w:rPr>
        <w:t xml:space="preserve"> </w:t>
      </w:r>
      <w:proofErr w:type="spellStart"/>
      <w:r>
        <w:rPr>
          <w:lang w:val="en-US"/>
        </w:rPr>
        <w:t>z.B.</w:t>
      </w:r>
      <w:proofErr w:type="spellEnd"/>
      <w:r w:rsidRPr="00797A01">
        <w:rPr>
          <w:lang w:val="en-US"/>
        </w:rPr>
        <w:t xml:space="preserve"> </w:t>
      </w:r>
      <w:r w:rsidRPr="00B45592">
        <w:rPr>
          <w:i/>
          <w:lang w:val="en-US"/>
        </w:rPr>
        <w:t>Bolling v. Sharpe</w:t>
      </w:r>
      <w:r w:rsidRPr="00797A01">
        <w:rPr>
          <w:lang w:val="en-US"/>
        </w:rPr>
        <w:t xml:space="preserve">, 347 U.S. 497; </w:t>
      </w:r>
      <w:r w:rsidRPr="00B45592">
        <w:rPr>
          <w:i/>
          <w:lang w:val="en-US"/>
        </w:rPr>
        <w:t>Aptheker v. Secretary of State</w:t>
      </w:r>
      <w:r w:rsidRPr="00797A01">
        <w:rPr>
          <w:lang w:val="en-US"/>
        </w:rPr>
        <w:t xml:space="preserve">, 378 U.S. 500; </w:t>
      </w:r>
      <w:r w:rsidRPr="00B45592">
        <w:rPr>
          <w:i/>
          <w:lang w:val="en-US"/>
        </w:rPr>
        <w:t>Kent v. Dulles</w:t>
      </w:r>
      <w:r w:rsidRPr="00797A01">
        <w:rPr>
          <w:lang w:val="en-US"/>
        </w:rPr>
        <w:t xml:space="preserve">, 357 U.S. 116; </w:t>
      </w:r>
      <w:r w:rsidRPr="00B45592">
        <w:rPr>
          <w:i/>
          <w:lang w:val="en-US"/>
        </w:rPr>
        <w:t>Cantwell v. Connecticut</w:t>
      </w:r>
      <w:r w:rsidRPr="00797A01">
        <w:rPr>
          <w:lang w:val="en-US"/>
        </w:rPr>
        <w:t xml:space="preserve">, 310 U.S. 296; </w:t>
      </w:r>
      <w:r w:rsidRPr="009E57E1">
        <w:rPr>
          <w:i/>
          <w:lang w:val="en-US"/>
        </w:rPr>
        <w:t>NAACP v. Alabama</w:t>
      </w:r>
      <w:r w:rsidRPr="00797A01">
        <w:rPr>
          <w:lang w:val="en-US"/>
        </w:rPr>
        <w:t xml:space="preserve">, 357 U.S. 449; </w:t>
      </w:r>
      <w:r w:rsidRPr="00B45592">
        <w:rPr>
          <w:i/>
          <w:lang w:val="en-US"/>
        </w:rPr>
        <w:t>Gideon v. Wainwright</w:t>
      </w:r>
      <w:r w:rsidRPr="00797A01">
        <w:rPr>
          <w:lang w:val="en-US"/>
        </w:rPr>
        <w:t xml:space="preserve">, 372 U.S. 335; </w:t>
      </w:r>
      <w:r w:rsidRPr="00B45592">
        <w:rPr>
          <w:i/>
          <w:lang w:val="en-US"/>
        </w:rPr>
        <w:t>New York Times Co. v. Sullivan</w:t>
      </w:r>
      <w:r w:rsidRPr="00797A01">
        <w:rPr>
          <w:lang w:val="en-US"/>
        </w:rPr>
        <w:t>, 376 U.S. 254</w:t>
      </w:r>
      <w:r>
        <w:rPr>
          <w:lang w:val="en-US"/>
        </w:rPr>
        <w:t xml:space="preserve">; </w:t>
      </w:r>
      <w:r w:rsidRPr="009167A5">
        <w:rPr>
          <w:i/>
          <w:lang w:val="en-US"/>
        </w:rPr>
        <w:t>Griswold v. Connecticut</w:t>
      </w:r>
      <w:r w:rsidRPr="00797A01">
        <w:rPr>
          <w:lang w:val="en-US"/>
        </w:rPr>
        <w:t>, 381 U.S. 479, 492</w:t>
      </w:r>
      <w:r w:rsidRPr="006E67FE">
        <w:rPr>
          <w:lang w:val="en-US"/>
        </w:rPr>
        <w:t xml:space="preserve"> = 85 S. Ct. </w:t>
      </w:r>
      <w:r w:rsidRPr="00797A01">
        <w:rPr>
          <w:lang w:val="en-US"/>
        </w:rPr>
        <w:t>1678, 1686</w:t>
      </w:r>
      <w:r w:rsidRPr="003B741A">
        <w:rPr>
          <w:lang w:val="en-US"/>
        </w:rPr>
        <w:t xml:space="preserve"> = 14 L. Ed. </w:t>
      </w:r>
      <w:r w:rsidRPr="00797A01">
        <w:rPr>
          <w:lang w:val="en-US"/>
        </w:rPr>
        <w:t>2d 510, 520</w:t>
      </w:r>
      <w:r w:rsidRPr="006E67FE">
        <w:rPr>
          <w:lang w:val="en-US"/>
        </w:rPr>
        <w:t xml:space="preserve"> = 1965 U.S. LEXIS </w:t>
      </w:r>
      <w:r w:rsidRPr="00797A01">
        <w:rPr>
          <w:lang w:val="en-US"/>
        </w:rPr>
        <w:t>2282, 21</w:t>
      </w:r>
      <w:r>
        <w:rPr>
          <w:lang w:val="en-US"/>
        </w:rPr>
        <w:t>–</w:t>
      </w:r>
      <w:r w:rsidRPr="00797A01">
        <w:rPr>
          <w:lang w:val="en-US"/>
        </w:rPr>
        <w:t>22 (1965)</w:t>
      </w:r>
      <w:r>
        <w:rPr>
          <w:lang w:val="en-US"/>
        </w:rPr>
        <w:t>.</w:t>
      </w:r>
    </w:p>
  </w:footnote>
  <w:footnote w:id="1441">
    <w:p w14:paraId="327FDE6E" w14:textId="77777777" w:rsidR="00074551" w:rsidRPr="004464B8" w:rsidRDefault="00074551" w:rsidP="00074551">
      <w:pPr>
        <w:pStyle w:val="Funotentext"/>
        <w:rPr>
          <w:lang w:val="en-US"/>
        </w:rPr>
      </w:pPr>
      <w:r>
        <w:rPr>
          <w:rStyle w:val="Funotenzeichen"/>
          <w:rFonts w:eastAsiaTheme="majorEastAsia"/>
        </w:rPr>
        <w:footnoteRef/>
      </w:r>
      <w:r w:rsidRPr="004464B8">
        <w:rPr>
          <w:lang w:val="en-US"/>
        </w:rPr>
        <w:t xml:space="preserve"> </w:t>
      </w:r>
      <w:r w:rsidRPr="009E57E1">
        <w:rPr>
          <w:i/>
          <w:lang w:val="en-US"/>
        </w:rPr>
        <w:t>United Public Workers v. Mitchell</w:t>
      </w:r>
      <w:r w:rsidRPr="004464B8">
        <w:rPr>
          <w:lang w:val="en-US"/>
        </w:rPr>
        <w:t>, 330 U.S. 75, 94</w:t>
      </w:r>
      <w:r>
        <w:rPr>
          <w:lang w:val="en-US"/>
        </w:rPr>
        <w:t>–</w:t>
      </w:r>
      <w:r w:rsidRPr="004464B8">
        <w:rPr>
          <w:lang w:val="en-US"/>
        </w:rPr>
        <w:t>95</w:t>
      </w:r>
      <w:r>
        <w:rPr>
          <w:lang w:val="en-US"/>
        </w:rPr>
        <w:t xml:space="preserve">; </w:t>
      </w:r>
      <w:r w:rsidRPr="009167A5">
        <w:rPr>
          <w:i/>
          <w:lang w:val="en-US"/>
        </w:rPr>
        <w:t>Griswold v. Connecticut</w:t>
      </w:r>
      <w:r w:rsidRPr="004464B8">
        <w:rPr>
          <w:lang w:val="en-US"/>
        </w:rPr>
        <w:t>, 381 U.S. 479, 493</w:t>
      </w:r>
      <w:r w:rsidRPr="006E67FE">
        <w:rPr>
          <w:lang w:val="en-US"/>
        </w:rPr>
        <w:t xml:space="preserve"> = 85 S. Ct. </w:t>
      </w:r>
      <w:r w:rsidRPr="004464B8">
        <w:rPr>
          <w:lang w:val="en-US"/>
        </w:rPr>
        <w:t>1678, 1686</w:t>
      </w:r>
      <w:r w:rsidRPr="003B741A">
        <w:rPr>
          <w:lang w:val="en-US"/>
        </w:rPr>
        <w:t xml:space="preserve"> = 14 L. Ed. </w:t>
      </w:r>
      <w:r w:rsidRPr="004464B8">
        <w:rPr>
          <w:lang w:val="en-US"/>
        </w:rPr>
        <w:t>2d 510, 520</w:t>
      </w:r>
      <w:r w:rsidRPr="006E67FE">
        <w:rPr>
          <w:lang w:val="en-US"/>
        </w:rPr>
        <w:t xml:space="preserve"> = 1965 U.S. LEXIS </w:t>
      </w:r>
      <w:r w:rsidRPr="004464B8">
        <w:rPr>
          <w:lang w:val="en-US"/>
        </w:rPr>
        <w:t>2282, 23 (1965)</w:t>
      </w:r>
      <w:r>
        <w:rPr>
          <w:lang w:val="en-US"/>
        </w:rPr>
        <w:t>.</w:t>
      </w:r>
    </w:p>
  </w:footnote>
  <w:footnote w:id="1442">
    <w:p w14:paraId="6E84F594" w14:textId="77777777" w:rsidR="00074551" w:rsidRPr="00A27CA4" w:rsidRDefault="00074551" w:rsidP="00074551">
      <w:pPr>
        <w:pStyle w:val="Funotentext"/>
        <w:rPr>
          <w:lang w:val="en-US"/>
        </w:rPr>
      </w:pPr>
      <w:r>
        <w:rPr>
          <w:rStyle w:val="Funotenzeichen"/>
          <w:rFonts w:eastAsiaTheme="majorEastAsia"/>
        </w:rPr>
        <w:footnoteRef/>
      </w:r>
      <w:r w:rsidRPr="00A27CA4">
        <w:rPr>
          <w:lang w:val="en-US"/>
        </w:rPr>
        <w:t xml:space="preserve"> </w:t>
      </w:r>
      <w:r w:rsidRPr="00B45592">
        <w:rPr>
          <w:i/>
          <w:lang w:val="en-US"/>
        </w:rPr>
        <w:t>Snyder v. Massachusetts</w:t>
      </w:r>
      <w:r w:rsidRPr="00A27CA4">
        <w:rPr>
          <w:lang w:val="en-US"/>
        </w:rPr>
        <w:t>, 291 U.S. 97, 105.</w:t>
      </w:r>
      <w:r>
        <w:rPr>
          <w:lang w:val="en-US"/>
        </w:rPr>
        <w:t xml:space="preserve">; </w:t>
      </w:r>
      <w:r w:rsidRPr="009167A5">
        <w:rPr>
          <w:i/>
          <w:lang w:val="en-US"/>
        </w:rPr>
        <w:t>Griswold v. Connecticut</w:t>
      </w:r>
      <w:r w:rsidRPr="00A27CA4">
        <w:rPr>
          <w:lang w:val="en-US"/>
        </w:rPr>
        <w:t>, 381 U.S. 479, 493</w:t>
      </w:r>
      <w:r w:rsidRPr="006E67FE">
        <w:rPr>
          <w:lang w:val="en-US"/>
        </w:rPr>
        <w:t xml:space="preserve"> = 85 S. Ct. </w:t>
      </w:r>
      <w:r w:rsidRPr="00A27CA4">
        <w:rPr>
          <w:lang w:val="en-US"/>
        </w:rPr>
        <w:t>1678, 1686</w:t>
      </w:r>
      <w:r w:rsidRPr="003B741A">
        <w:rPr>
          <w:lang w:val="en-US"/>
        </w:rPr>
        <w:t xml:space="preserve"> = 14 L. Ed. </w:t>
      </w:r>
      <w:r w:rsidRPr="00A27CA4">
        <w:rPr>
          <w:lang w:val="en-US"/>
        </w:rPr>
        <w:t>2d 510, 520</w:t>
      </w:r>
      <w:r w:rsidRPr="006E67FE">
        <w:rPr>
          <w:lang w:val="en-US"/>
        </w:rPr>
        <w:t xml:space="preserve"> = 1965 U.S. LEXIS </w:t>
      </w:r>
      <w:r w:rsidRPr="00A27CA4">
        <w:rPr>
          <w:lang w:val="en-US"/>
        </w:rPr>
        <w:t>2282, 23 (1965)</w:t>
      </w:r>
      <w:r>
        <w:rPr>
          <w:lang w:val="en-US"/>
        </w:rPr>
        <w:t>.</w:t>
      </w:r>
    </w:p>
  </w:footnote>
  <w:footnote w:id="1443">
    <w:p w14:paraId="7DCE23E0" w14:textId="77777777" w:rsidR="00074551" w:rsidRPr="00A27CA4" w:rsidRDefault="00074551" w:rsidP="00074551">
      <w:pPr>
        <w:pStyle w:val="Funotentext"/>
        <w:rPr>
          <w:lang w:val="en-US"/>
        </w:rPr>
      </w:pPr>
      <w:r>
        <w:rPr>
          <w:rStyle w:val="Funotenzeichen"/>
          <w:rFonts w:eastAsiaTheme="majorEastAsia"/>
        </w:rPr>
        <w:footnoteRef/>
      </w:r>
      <w:r w:rsidRPr="00A27CA4">
        <w:rPr>
          <w:lang w:val="en-US"/>
        </w:rPr>
        <w:t xml:space="preserve"> </w:t>
      </w:r>
      <w:r w:rsidRPr="00B45592">
        <w:rPr>
          <w:i/>
          <w:lang w:val="en-US"/>
        </w:rPr>
        <w:t>Snyder v. Massachusetts</w:t>
      </w:r>
      <w:r w:rsidRPr="00A27CA4">
        <w:rPr>
          <w:lang w:val="en-US"/>
        </w:rPr>
        <w:t>, 291 U.S. 97, 105</w:t>
      </w:r>
      <w:r>
        <w:rPr>
          <w:lang w:val="en-US"/>
        </w:rPr>
        <w:t xml:space="preserve">; </w:t>
      </w:r>
      <w:r w:rsidRPr="009167A5">
        <w:rPr>
          <w:i/>
          <w:lang w:val="en-US"/>
        </w:rPr>
        <w:t>Griswold v. Connecticut</w:t>
      </w:r>
      <w:r w:rsidRPr="00A27CA4">
        <w:rPr>
          <w:lang w:val="en-US"/>
        </w:rPr>
        <w:t>, 381 U.S. 479, 493</w:t>
      </w:r>
      <w:r w:rsidRPr="006E67FE">
        <w:rPr>
          <w:lang w:val="en-US"/>
        </w:rPr>
        <w:t xml:space="preserve"> = 85 S. Ct. </w:t>
      </w:r>
      <w:r w:rsidRPr="00A27CA4">
        <w:rPr>
          <w:lang w:val="en-US"/>
        </w:rPr>
        <w:t>1678, 1686</w:t>
      </w:r>
      <w:r w:rsidRPr="003B741A">
        <w:rPr>
          <w:lang w:val="en-US"/>
        </w:rPr>
        <w:t xml:space="preserve"> = 14 L. Ed. </w:t>
      </w:r>
      <w:r w:rsidRPr="00A27CA4">
        <w:rPr>
          <w:lang w:val="en-US"/>
        </w:rPr>
        <w:t>2d 510, 520</w:t>
      </w:r>
      <w:r w:rsidRPr="006E67FE">
        <w:rPr>
          <w:lang w:val="en-US"/>
        </w:rPr>
        <w:t xml:space="preserve"> = 1965 U.S. LEXIS </w:t>
      </w:r>
      <w:r w:rsidRPr="00A27CA4">
        <w:rPr>
          <w:lang w:val="en-US"/>
        </w:rPr>
        <w:t>2282, 23 (1965)</w:t>
      </w:r>
      <w:r>
        <w:rPr>
          <w:lang w:val="en-US"/>
        </w:rPr>
        <w:t>.</w:t>
      </w:r>
    </w:p>
  </w:footnote>
  <w:footnote w:id="1444">
    <w:p w14:paraId="684344FB" w14:textId="77777777" w:rsidR="00074551" w:rsidRPr="00A27CA4" w:rsidRDefault="00074551" w:rsidP="00074551">
      <w:pPr>
        <w:pStyle w:val="Funotentext"/>
        <w:rPr>
          <w:lang w:val="en-US"/>
        </w:rPr>
      </w:pPr>
      <w:r>
        <w:rPr>
          <w:rStyle w:val="Funotenzeichen"/>
          <w:rFonts w:eastAsiaTheme="majorEastAsia"/>
        </w:rPr>
        <w:footnoteRef/>
      </w:r>
      <w:r w:rsidRPr="00A27CA4">
        <w:rPr>
          <w:lang w:val="en-US"/>
        </w:rPr>
        <w:t xml:space="preserve"> </w:t>
      </w:r>
      <w:r w:rsidRPr="009167A5">
        <w:rPr>
          <w:i/>
          <w:lang w:val="en-US"/>
        </w:rPr>
        <w:t>Griswold v. Connecticut</w:t>
      </w:r>
      <w:r w:rsidRPr="00A27CA4">
        <w:rPr>
          <w:lang w:val="en-US"/>
        </w:rPr>
        <w:t>, 381 U.S. 479, 493</w:t>
      </w:r>
      <w:r w:rsidRPr="006E67FE">
        <w:rPr>
          <w:lang w:val="en-US"/>
        </w:rPr>
        <w:t xml:space="preserve"> = 85 S. Ct. </w:t>
      </w:r>
      <w:r w:rsidRPr="00A27CA4">
        <w:rPr>
          <w:lang w:val="en-US"/>
        </w:rPr>
        <w:t>1678, 1686</w:t>
      </w:r>
      <w:r w:rsidRPr="003B741A">
        <w:rPr>
          <w:lang w:val="en-US"/>
        </w:rPr>
        <w:t xml:space="preserve"> = 14 L. Ed. </w:t>
      </w:r>
      <w:r w:rsidRPr="00A27CA4">
        <w:rPr>
          <w:lang w:val="en-US"/>
        </w:rPr>
        <w:t>2d 510, 520</w:t>
      </w:r>
      <w:r w:rsidRPr="006E67FE">
        <w:rPr>
          <w:lang w:val="en-US"/>
        </w:rPr>
        <w:t xml:space="preserve"> = 1965 U.S. LEXIS </w:t>
      </w:r>
      <w:r w:rsidRPr="00A27CA4">
        <w:rPr>
          <w:lang w:val="en-US"/>
        </w:rPr>
        <w:t>2282, 23</w:t>
      </w:r>
      <w:r>
        <w:rPr>
          <w:lang w:val="en-US"/>
        </w:rPr>
        <w:t>–</w:t>
      </w:r>
      <w:r w:rsidRPr="00A27CA4">
        <w:rPr>
          <w:lang w:val="en-US"/>
        </w:rPr>
        <w:t>24 (1965)</w:t>
      </w:r>
      <w:r>
        <w:rPr>
          <w:lang w:val="en-US"/>
        </w:rPr>
        <w:t>.</w:t>
      </w:r>
    </w:p>
  </w:footnote>
  <w:footnote w:id="1445">
    <w:p w14:paraId="77BA2DB8" w14:textId="77777777" w:rsidR="00074551" w:rsidRPr="00FE316A" w:rsidRDefault="00074551" w:rsidP="00074551">
      <w:pPr>
        <w:pStyle w:val="Funotentext"/>
        <w:rPr>
          <w:lang w:val="en-US"/>
        </w:rPr>
      </w:pPr>
      <w:r>
        <w:rPr>
          <w:rStyle w:val="Funotenzeichen"/>
          <w:rFonts w:eastAsiaTheme="majorEastAsia"/>
        </w:rPr>
        <w:footnoteRef/>
      </w:r>
      <w:r w:rsidRPr="00FE316A">
        <w:rPr>
          <w:lang w:val="en-US"/>
        </w:rPr>
        <w:t xml:space="preserve"> </w:t>
      </w:r>
      <w:r w:rsidRPr="00B45592">
        <w:rPr>
          <w:i/>
          <w:lang w:val="en-US"/>
        </w:rPr>
        <w:t>Poe v. Ullman</w:t>
      </w:r>
      <w:r w:rsidRPr="00FE316A">
        <w:rPr>
          <w:lang w:val="en-US"/>
        </w:rPr>
        <w:t>, 367 U.S. 497, 517 (</w:t>
      </w:r>
      <w:r>
        <w:rPr>
          <w:lang w:val="en-US"/>
        </w:rPr>
        <w:t xml:space="preserve">Dissens von Richter </w:t>
      </w:r>
      <w:r w:rsidRPr="00B45592">
        <w:rPr>
          <w:i/>
          <w:lang w:val="en-US"/>
        </w:rPr>
        <w:t>Douglas</w:t>
      </w:r>
      <w:r w:rsidRPr="00FE316A">
        <w:rPr>
          <w:lang w:val="en-US"/>
        </w:rPr>
        <w:t xml:space="preserve">); </w:t>
      </w:r>
      <w:r w:rsidRPr="009167A5">
        <w:rPr>
          <w:i/>
          <w:lang w:val="en-US"/>
        </w:rPr>
        <w:t>Griswold v. Connecticut</w:t>
      </w:r>
      <w:r w:rsidRPr="00FE316A">
        <w:rPr>
          <w:lang w:val="en-US"/>
        </w:rPr>
        <w:t>, 381 U.S. 479, 493</w:t>
      </w:r>
      <w:r>
        <w:rPr>
          <w:lang w:val="en-US"/>
        </w:rPr>
        <w:t>–</w:t>
      </w:r>
      <w:r w:rsidRPr="00FE316A">
        <w:rPr>
          <w:lang w:val="en-US"/>
        </w:rPr>
        <w:t>494</w:t>
      </w:r>
      <w:r w:rsidRPr="006E67FE">
        <w:rPr>
          <w:lang w:val="en-US"/>
        </w:rPr>
        <w:t xml:space="preserve"> = 85 S. Ct. </w:t>
      </w:r>
      <w:r w:rsidRPr="00FE316A">
        <w:rPr>
          <w:lang w:val="en-US"/>
        </w:rPr>
        <w:t>1678, 1687</w:t>
      </w:r>
      <w:r w:rsidRPr="003B741A">
        <w:rPr>
          <w:lang w:val="en-US"/>
        </w:rPr>
        <w:t xml:space="preserve"> = 14 L. Ed. </w:t>
      </w:r>
      <w:r w:rsidRPr="00FE316A">
        <w:rPr>
          <w:lang w:val="en-US"/>
        </w:rPr>
        <w:t>2d 510, 520</w:t>
      </w:r>
      <w:r w:rsidRPr="006E67FE">
        <w:rPr>
          <w:lang w:val="en-US"/>
        </w:rPr>
        <w:t xml:space="preserve"> = 1965 U.S. LEXIS </w:t>
      </w:r>
      <w:r w:rsidRPr="00FE316A">
        <w:rPr>
          <w:lang w:val="en-US"/>
        </w:rPr>
        <w:t>2282, 24 (1965)</w:t>
      </w:r>
      <w:r>
        <w:rPr>
          <w:lang w:val="en-US"/>
        </w:rPr>
        <w:t>.</w:t>
      </w:r>
    </w:p>
  </w:footnote>
  <w:footnote w:id="1446">
    <w:p w14:paraId="3C78D232" w14:textId="77777777" w:rsidR="00074551" w:rsidRPr="00FE316A" w:rsidRDefault="00074551" w:rsidP="00074551">
      <w:pPr>
        <w:pStyle w:val="Funotentext"/>
        <w:rPr>
          <w:lang w:val="en-US"/>
        </w:rPr>
      </w:pPr>
      <w:r>
        <w:rPr>
          <w:rStyle w:val="Funotenzeichen"/>
          <w:rFonts w:eastAsiaTheme="majorEastAsia"/>
        </w:rPr>
        <w:footnoteRef/>
      </w:r>
      <w:r w:rsidRPr="00FE316A">
        <w:rPr>
          <w:lang w:val="en-US"/>
        </w:rPr>
        <w:t xml:space="preserve"> </w:t>
      </w:r>
      <w:r w:rsidRPr="009167A5">
        <w:rPr>
          <w:i/>
          <w:lang w:val="en-US"/>
        </w:rPr>
        <w:t>Griswold v. Connecticut</w:t>
      </w:r>
      <w:r w:rsidRPr="00FE316A">
        <w:rPr>
          <w:lang w:val="en-US"/>
        </w:rPr>
        <w:t>, 381 U.S. 479, 494</w:t>
      </w:r>
      <w:r w:rsidRPr="006E67FE">
        <w:rPr>
          <w:lang w:val="en-US"/>
        </w:rPr>
        <w:t xml:space="preserve"> = 85 S. Ct. </w:t>
      </w:r>
      <w:r w:rsidRPr="00FE316A">
        <w:rPr>
          <w:lang w:val="en-US"/>
        </w:rPr>
        <w:t>1678, 1687</w:t>
      </w:r>
      <w:r w:rsidRPr="003B741A">
        <w:rPr>
          <w:lang w:val="en-US"/>
        </w:rPr>
        <w:t xml:space="preserve"> = 14 L. Ed. </w:t>
      </w:r>
      <w:r w:rsidRPr="00FE316A">
        <w:rPr>
          <w:lang w:val="en-US"/>
        </w:rPr>
        <w:t>2d 510, 521</w:t>
      </w:r>
      <w:r w:rsidRPr="006E67FE">
        <w:rPr>
          <w:lang w:val="en-US"/>
        </w:rPr>
        <w:t xml:space="preserve"> = 1965 U.S. LEXIS </w:t>
      </w:r>
      <w:r w:rsidRPr="00FE316A">
        <w:rPr>
          <w:lang w:val="en-US"/>
        </w:rPr>
        <w:t>2282, 25 (1965)</w:t>
      </w:r>
      <w:r>
        <w:rPr>
          <w:lang w:val="en-US"/>
        </w:rPr>
        <w:t>.</w:t>
      </w:r>
    </w:p>
  </w:footnote>
  <w:footnote w:id="1447">
    <w:p w14:paraId="0224A6A7" w14:textId="77777777" w:rsidR="00074551" w:rsidRPr="00811153" w:rsidRDefault="00074551" w:rsidP="00074551">
      <w:pPr>
        <w:pStyle w:val="Funotentext"/>
        <w:rPr>
          <w:lang w:val="en-US"/>
        </w:rPr>
      </w:pPr>
      <w:r>
        <w:rPr>
          <w:rStyle w:val="Funotenzeichen"/>
          <w:rFonts w:eastAsiaTheme="majorEastAsia"/>
        </w:rPr>
        <w:footnoteRef/>
      </w:r>
      <w:r w:rsidRPr="00811153">
        <w:rPr>
          <w:lang w:val="en-US"/>
        </w:rPr>
        <w:t xml:space="preserve"> </w:t>
      </w:r>
      <w:r w:rsidRPr="009167A5">
        <w:rPr>
          <w:i/>
          <w:lang w:val="en-US"/>
        </w:rPr>
        <w:t>Griswold v. Connecticut</w:t>
      </w:r>
      <w:r w:rsidRPr="00811153">
        <w:rPr>
          <w:lang w:val="en-US"/>
        </w:rPr>
        <w:t>, 381 U.S. 479, 494</w:t>
      </w:r>
      <w:r w:rsidRPr="006E67FE">
        <w:rPr>
          <w:lang w:val="en-US"/>
        </w:rPr>
        <w:t xml:space="preserve"> = 85 S. Ct. </w:t>
      </w:r>
      <w:r w:rsidRPr="00811153">
        <w:rPr>
          <w:lang w:val="en-US"/>
        </w:rPr>
        <w:t>1678, 1687</w:t>
      </w:r>
      <w:r w:rsidRPr="003B741A">
        <w:rPr>
          <w:lang w:val="en-US"/>
        </w:rPr>
        <w:t xml:space="preserve"> = 14 L. Ed. </w:t>
      </w:r>
      <w:r w:rsidRPr="00811153">
        <w:rPr>
          <w:lang w:val="en-US"/>
        </w:rPr>
        <w:t>2d 510, 521</w:t>
      </w:r>
      <w:r w:rsidRPr="006E67FE">
        <w:rPr>
          <w:lang w:val="en-US"/>
        </w:rPr>
        <w:t xml:space="preserve"> = 1965 U.S. LEXIS </w:t>
      </w:r>
      <w:r w:rsidRPr="00811153">
        <w:rPr>
          <w:lang w:val="en-US"/>
        </w:rPr>
        <w:t>2282, 25 (1965)</w:t>
      </w:r>
      <w:r>
        <w:rPr>
          <w:lang w:val="en-US"/>
        </w:rPr>
        <w:t>.</w:t>
      </w:r>
    </w:p>
  </w:footnote>
  <w:footnote w:id="1448">
    <w:p w14:paraId="531A0A04" w14:textId="77777777" w:rsidR="00074551" w:rsidRPr="003B18B1" w:rsidRDefault="00074551" w:rsidP="00074551">
      <w:pPr>
        <w:pStyle w:val="Funotentext"/>
        <w:rPr>
          <w:lang w:val="en-US"/>
        </w:rPr>
      </w:pPr>
      <w:r>
        <w:rPr>
          <w:rStyle w:val="Funotenzeichen"/>
          <w:rFonts w:eastAsiaTheme="majorEastAsia"/>
        </w:rPr>
        <w:footnoteRef/>
      </w:r>
      <w:r w:rsidRPr="003B18B1">
        <w:rPr>
          <w:lang w:val="en-US"/>
        </w:rPr>
        <w:t xml:space="preserve"> </w:t>
      </w:r>
      <w:r w:rsidRPr="009167A5">
        <w:rPr>
          <w:i/>
          <w:lang w:val="en-US"/>
        </w:rPr>
        <w:t>Griswold v. Connecticut</w:t>
      </w:r>
      <w:r w:rsidRPr="003B18B1">
        <w:rPr>
          <w:lang w:val="en-US"/>
        </w:rPr>
        <w:t>, 381 U.S. 479, 494</w:t>
      </w:r>
      <w:r w:rsidRPr="006E67FE">
        <w:rPr>
          <w:lang w:val="en-US"/>
        </w:rPr>
        <w:t xml:space="preserve"> = 85 S. Ct. </w:t>
      </w:r>
      <w:r w:rsidRPr="003B18B1">
        <w:rPr>
          <w:lang w:val="en-US"/>
        </w:rPr>
        <w:t>1678, 1687</w:t>
      </w:r>
      <w:r w:rsidRPr="003B741A">
        <w:rPr>
          <w:lang w:val="en-US"/>
        </w:rPr>
        <w:t xml:space="preserve"> = 14 L. Ed. </w:t>
      </w:r>
      <w:r w:rsidRPr="003B18B1">
        <w:rPr>
          <w:lang w:val="en-US"/>
        </w:rPr>
        <w:t>2d 510, 521</w:t>
      </w:r>
      <w:r w:rsidRPr="006E67FE">
        <w:rPr>
          <w:lang w:val="en-US"/>
        </w:rPr>
        <w:t xml:space="preserve"> = 1965 U.S. LEXIS </w:t>
      </w:r>
      <w:r w:rsidRPr="003B18B1">
        <w:rPr>
          <w:lang w:val="en-US"/>
        </w:rPr>
        <w:t>2282, 25 (1965)</w:t>
      </w:r>
      <w:r>
        <w:rPr>
          <w:lang w:val="en-US"/>
        </w:rPr>
        <w:t>.</w:t>
      </w:r>
    </w:p>
  </w:footnote>
  <w:footnote w:id="1449">
    <w:p w14:paraId="28FF21E2" w14:textId="77777777" w:rsidR="00074551" w:rsidRPr="004E04B3" w:rsidRDefault="00074551" w:rsidP="00074551">
      <w:pPr>
        <w:pStyle w:val="Funotentext"/>
        <w:rPr>
          <w:lang w:val="en-US"/>
        </w:rPr>
      </w:pPr>
      <w:r>
        <w:rPr>
          <w:rStyle w:val="Funotenzeichen"/>
          <w:rFonts w:eastAsiaTheme="majorEastAsia"/>
        </w:rPr>
        <w:footnoteRef/>
      </w:r>
      <w:r w:rsidRPr="004E04B3">
        <w:rPr>
          <w:lang w:val="en-US"/>
        </w:rPr>
        <w:t xml:space="preserve"> </w:t>
      </w:r>
      <w:r w:rsidRPr="009167A5">
        <w:rPr>
          <w:i/>
          <w:lang w:val="en-US"/>
        </w:rPr>
        <w:t>Griswold v. Connecticut</w:t>
      </w:r>
      <w:r w:rsidRPr="004E04B3">
        <w:rPr>
          <w:lang w:val="en-US"/>
        </w:rPr>
        <w:t>, 381 U.S. 479, 494</w:t>
      </w:r>
      <w:r w:rsidRPr="006E67FE">
        <w:rPr>
          <w:lang w:val="en-US"/>
        </w:rPr>
        <w:t xml:space="preserve"> = 85 S. Ct. </w:t>
      </w:r>
      <w:r w:rsidRPr="004E04B3">
        <w:rPr>
          <w:lang w:val="en-US"/>
        </w:rPr>
        <w:t>1678, 1687</w:t>
      </w:r>
      <w:r w:rsidRPr="003B741A">
        <w:rPr>
          <w:lang w:val="en-US"/>
        </w:rPr>
        <w:t xml:space="preserve"> = 14 L. Ed. </w:t>
      </w:r>
      <w:r w:rsidRPr="004E04B3">
        <w:rPr>
          <w:lang w:val="en-US"/>
        </w:rPr>
        <w:t>2d 510, 521</w:t>
      </w:r>
      <w:r w:rsidRPr="006E67FE">
        <w:rPr>
          <w:lang w:val="en-US"/>
        </w:rPr>
        <w:t xml:space="preserve"> = 1965 U.S. LEXIS </w:t>
      </w:r>
      <w:r w:rsidRPr="004E04B3">
        <w:rPr>
          <w:lang w:val="en-US"/>
        </w:rPr>
        <w:t>2282, 25 (1965)</w:t>
      </w:r>
      <w:r>
        <w:rPr>
          <w:lang w:val="en-US"/>
        </w:rPr>
        <w:t>.</w:t>
      </w:r>
    </w:p>
  </w:footnote>
  <w:footnote w:id="1450">
    <w:p w14:paraId="5EC3B131" w14:textId="77777777" w:rsidR="00074551" w:rsidRPr="004E04B3" w:rsidRDefault="00074551" w:rsidP="00074551">
      <w:pPr>
        <w:pStyle w:val="Funotentext"/>
        <w:rPr>
          <w:lang w:val="en-US"/>
        </w:rPr>
      </w:pPr>
      <w:r>
        <w:rPr>
          <w:rStyle w:val="Funotenzeichen"/>
          <w:rFonts w:eastAsiaTheme="majorEastAsia"/>
        </w:rPr>
        <w:footnoteRef/>
      </w:r>
      <w:r w:rsidRPr="004E04B3">
        <w:rPr>
          <w:lang w:val="en-US"/>
        </w:rPr>
        <w:t xml:space="preserve"> </w:t>
      </w:r>
      <w:r w:rsidRPr="009167A5">
        <w:rPr>
          <w:i/>
          <w:lang w:val="en-US"/>
        </w:rPr>
        <w:t>Griswold v. Connecticut</w:t>
      </w:r>
      <w:r w:rsidRPr="004E04B3">
        <w:rPr>
          <w:lang w:val="en-US"/>
        </w:rPr>
        <w:t>, 381 U.S. 479, 494</w:t>
      </w:r>
      <w:r w:rsidRPr="006E67FE">
        <w:rPr>
          <w:lang w:val="en-US"/>
        </w:rPr>
        <w:t xml:space="preserve"> = 85 S. Ct. </w:t>
      </w:r>
      <w:r w:rsidRPr="004E04B3">
        <w:rPr>
          <w:lang w:val="en-US"/>
        </w:rPr>
        <w:t>1678, 1687</w:t>
      </w:r>
      <w:r w:rsidRPr="003B741A">
        <w:rPr>
          <w:lang w:val="en-US"/>
        </w:rPr>
        <w:t xml:space="preserve"> = 14 L. Ed. </w:t>
      </w:r>
      <w:r w:rsidRPr="004E04B3">
        <w:rPr>
          <w:lang w:val="en-US"/>
        </w:rPr>
        <w:t>2d 510, 521</w:t>
      </w:r>
      <w:r w:rsidRPr="006E67FE">
        <w:rPr>
          <w:lang w:val="en-US"/>
        </w:rPr>
        <w:t xml:space="preserve"> = 1965 U.S. LEXIS </w:t>
      </w:r>
      <w:r w:rsidRPr="004E04B3">
        <w:rPr>
          <w:lang w:val="en-US"/>
        </w:rPr>
        <w:t>2282, 25 (1965).</w:t>
      </w:r>
    </w:p>
  </w:footnote>
  <w:footnote w:id="1451">
    <w:p w14:paraId="147199B1" w14:textId="77777777" w:rsidR="00074551" w:rsidRPr="004E04B3" w:rsidRDefault="00074551" w:rsidP="00074551">
      <w:pPr>
        <w:pStyle w:val="Funotentext"/>
        <w:rPr>
          <w:lang w:val="en-US"/>
        </w:rPr>
      </w:pPr>
      <w:r>
        <w:rPr>
          <w:rStyle w:val="Funotenzeichen"/>
          <w:rFonts w:eastAsiaTheme="majorEastAsia"/>
        </w:rPr>
        <w:footnoteRef/>
      </w:r>
      <w:r w:rsidRPr="004E04B3">
        <w:rPr>
          <w:lang w:val="en-US"/>
        </w:rPr>
        <w:t xml:space="preserve"> </w:t>
      </w:r>
      <w:r w:rsidRPr="009167A5">
        <w:rPr>
          <w:i/>
          <w:lang w:val="en-US"/>
        </w:rPr>
        <w:t>Griswold v. Connecticut</w:t>
      </w:r>
      <w:r w:rsidRPr="004E04B3">
        <w:rPr>
          <w:lang w:val="en-US"/>
        </w:rPr>
        <w:t>, 381 U.S. 479, 494</w:t>
      </w:r>
      <w:r w:rsidRPr="006E67FE">
        <w:rPr>
          <w:lang w:val="en-US"/>
        </w:rPr>
        <w:t xml:space="preserve"> = 85 S. Ct. </w:t>
      </w:r>
      <w:r w:rsidRPr="004E04B3">
        <w:rPr>
          <w:lang w:val="en-US"/>
        </w:rPr>
        <w:t>1678, 1687</w:t>
      </w:r>
      <w:r w:rsidRPr="003B741A">
        <w:rPr>
          <w:lang w:val="en-US"/>
        </w:rPr>
        <w:t xml:space="preserve"> = 14 L. Ed. </w:t>
      </w:r>
      <w:r w:rsidRPr="004E04B3">
        <w:rPr>
          <w:lang w:val="en-US"/>
        </w:rPr>
        <w:t>2d 510, 521</w:t>
      </w:r>
      <w:r w:rsidRPr="006E67FE">
        <w:rPr>
          <w:lang w:val="en-US"/>
        </w:rPr>
        <w:t xml:space="preserve"> = 1965 U.S. LEXIS </w:t>
      </w:r>
      <w:r w:rsidRPr="004E04B3">
        <w:rPr>
          <w:lang w:val="en-US"/>
        </w:rPr>
        <w:t>2282, 25 (1965).</w:t>
      </w:r>
    </w:p>
  </w:footnote>
  <w:footnote w:id="1452">
    <w:p w14:paraId="6521DC90" w14:textId="77777777" w:rsidR="00074551" w:rsidRPr="00BE6A33" w:rsidRDefault="00074551" w:rsidP="00074551">
      <w:pPr>
        <w:pStyle w:val="Funotentext"/>
        <w:rPr>
          <w:lang w:val="en-US"/>
        </w:rPr>
      </w:pPr>
      <w:r>
        <w:rPr>
          <w:rStyle w:val="Funotenzeichen"/>
          <w:rFonts w:eastAsiaTheme="majorEastAsia"/>
        </w:rPr>
        <w:footnoteRef/>
      </w:r>
      <w:r w:rsidRPr="00BE6A33">
        <w:rPr>
          <w:lang w:val="en-US"/>
        </w:rPr>
        <w:t xml:space="preserve"> </w:t>
      </w:r>
      <w:r w:rsidRPr="009E57E1">
        <w:rPr>
          <w:i/>
          <w:lang w:val="en-US"/>
        </w:rPr>
        <w:t>Meyer v. Nebraska</w:t>
      </w:r>
      <w:r w:rsidRPr="00BE6A33">
        <w:rPr>
          <w:lang w:val="en-US"/>
        </w:rPr>
        <w:t>, 262 U.S. 390, 396</w:t>
      </w:r>
      <w:r w:rsidRPr="00EC5BEB">
        <w:rPr>
          <w:lang w:val="en-US"/>
        </w:rPr>
        <w:t xml:space="preserve"> = 43 S. Ct. </w:t>
      </w:r>
      <w:r w:rsidRPr="00BE6A33">
        <w:rPr>
          <w:lang w:val="en-US"/>
        </w:rPr>
        <w:t>625, 626</w:t>
      </w:r>
      <w:r w:rsidRPr="00EC5BEB">
        <w:rPr>
          <w:lang w:val="en-US"/>
        </w:rPr>
        <w:t xml:space="preserve"> = 67 L. Ed. </w:t>
      </w:r>
      <w:r w:rsidRPr="00BE6A33">
        <w:rPr>
          <w:lang w:val="en-US"/>
        </w:rPr>
        <w:t>1042, 1044</w:t>
      </w:r>
      <w:r w:rsidRPr="00EC5BEB">
        <w:rPr>
          <w:lang w:val="en-US"/>
        </w:rPr>
        <w:t xml:space="preserve"> = 1923 U.S. LEXIS </w:t>
      </w:r>
      <w:r w:rsidRPr="00BE6A33">
        <w:rPr>
          <w:lang w:val="en-US"/>
        </w:rPr>
        <w:t>2655, 1</w:t>
      </w:r>
      <w:r w:rsidRPr="003B741A">
        <w:rPr>
          <w:lang w:val="en-US"/>
        </w:rPr>
        <w:t xml:space="preserve"> = 29 A.L.R.</w:t>
      </w:r>
      <w:r w:rsidRPr="006E67FE">
        <w:rPr>
          <w:lang w:val="en-US"/>
        </w:rPr>
        <w:t xml:space="preserve"> </w:t>
      </w:r>
      <w:r w:rsidRPr="00BE6A33">
        <w:rPr>
          <w:lang w:val="en-US"/>
        </w:rPr>
        <w:t>1446 (1923)</w:t>
      </w:r>
      <w:r>
        <w:rPr>
          <w:lang w:val="en-US"/>
        </w:rPr>
        <w:t>.</w:t>
      </w:r>
    </w:p>
  </w:footnote>
  <w:footnote w:id="1453">
    <w:p w14:paraId="5F17622B" w14:textId="77777777" w:rsidR="00074551" w:rsidRPr="00BE6A33" w:rsidRDefault="00074551" w:rsidP="00074551">
      <w:pPr>
        <w:pStyle w:val="Funotentext"/>
        <w:rPr>
          <w:lang w:val="en-US"/>
        </w:rPr>
      </w:pPr>
      <w:r>
        <w:rPr>
          <w:rStyle w:val="Funotenzeichen"/>
          <w:rFonts w:eastAsiaTheme="majorEastAsia"/>
        </w:rPr>
        <w:footnoteRef/>
      </w:r>
      <w:r w:rsidRPr="00BE6A33">
        <w:rPr>
          <w:lang w:val="en-US"/>
        </w:rPr>
        <w:t xml:space="preserve"> </w:t>
      </w:r>
      <w:r w:rsidRPr="009167A5">
        <w:rPr>
          <w:i/>
          <w:lang w:val="en-US"/>
        </w:rPr>
        <w:t>Griswold v. Connecticut</w:t>
      </w:r>
      <w:r w:rsidRPr="00BE6A33">
        <w:rPr>
          <w:lang w:val="en-US"/>
        </w:rPr>
        <w:t>, 381 U.S. 479, 495</w:t>
      </w:r>
      <w:r w:rsidRPr="006E67FE">
        <w:rPr>
          <w:lang w:val="en-US"/>
        </w:rPr>
        <w:t xml:space="preserve"> = 85 S. Ct. </w:t>
      </w:r>
      <w:r w:rsidRPr="00BE6A33">
        <w:rPr>
          <w:lang w:val="en-US"/>
        </w:rPr>
        <w:t>1678, 1687</w:t>
      </w:r>
      <w:r w:rsidRPr="003B741A">
        <w:rPr>
          <w:lang w:val="en-US"/>
        </w:rPr>
        <w:t xml:space="preserve"> = 14 L. Ed. </w:t>
      </w:r>
      <w:r w:rsidRPr="00BE6A33">
        <w:rPr>
          <w:lang w:val="en-US"/>
        </w:rPr>
        <w:t>2d 510, 521</w:t>
      </w:r>
      <w:r w:rsidRPr="006E67FE">
        <w:rPr>
          <w:lang w:val="en-US"/>
        </w:rPr>
        <w:t xml:space="preserve"> = 1965 U.S. LEXIS </w:t>
      </w:r>
      <w:r w:rsidRPr="00BE6A33">
        <w:rPr>
          <w:lang w:val="en-US"/>
        </w:rPr>
        <w:t>2282, 26 (1965)</w:t>
      </w:r>
      <w:r>
        <w:rPr>
          <w:lang w:val="en-US"/>
        </w:rPr>
        <w:t>.</w:t>
      </w:r>
    </w:p>
  </w:footnote>
  <w:footnote w:id="1454">
    <w:p w14:paraId="1F1DEE01" w14:textId="77777777" w:rsidR="00074551" w:rsidRPr="00BE6A33" w:rsidRDefault="00074551" w:rsidP="00074551">
      <w:pPr>
        <w:pStyle w:val="Funotentext"/>
        <w:rPr>
          <w:lang w:val="en-US"/>
        </w:rPr>
      </w:pPr>
      <w:r>
        <w:rPr>
          <w:rStyle w:val="Funotenzeichen"/>
          <w:rFonts w:eastAsiaTheme="majorEastAsia"/>
        </w:rPr>
        <w:footnoteRef/>
      </w:r>
      <w:r w:rsidRPr="00BE6A33">
        <w:rPr>
          <w:lang w:val="en-US"/>
        </w:rPr>
        <w:t xml:space="preserve"> </w:t>
      </w:r>
      <w:r w:rsidRPr="009167A5">
        <w:rPr>
          <w:i/>
          <w:lang w:val="en-US"/>
        </w:rPr>
        <w:t>Pierce v. Society of Sisters</w:t>
      </w:r>
      <w:r w:rsidRPr="00BE6A33">
        <w:rPr>
          <w:lang w:val="en-US"/>
        </w:rPr>
        <w:t>, 268 U.S. 510</w:t>
      </w:r>
      <w:r>
        <w:rPr>
          <w:lang w:val="en-US"/>
        </w:rPr>
        <w:t xml:space="preserve"> (1925).</w:t>
      </w:r>
    </w:p>
  </w:footnote>
  <w:footnote w:id="1455">
    <w:p w14:paraId="5A4062CB" w14:textId="77777777" w:rsidR="00074551" w:rsidRPr="00321D27" w:rsidRDefault="00074551" w:rsidP="00074551">
      <w:pPr>
        <w:pStyle w:val="Funotentext"/>
        <w:rPr>
          <w:lang w:val="en-US"/>
        </w:rPr>
      </w:pPr>
      <w:r>
        <w:rPr>
          <w:rStyle w:val="Funotenzeichen"/>
          <w:rFonts w:eastAsiaTheme="majorEastAsia"/>
        </w:rPr>
        <w:footnoteRef/>
      </w:r>
      <w:r w:rsidRPr="00321D27">
        <w:rPr>
          <w:lang w:val="en-US"/>
        </w:rPr>
        <w:t xml:space="preserve"> </w:t>
      </w:r>
      <w:r w:rsidRPr="009167A5">
        <w:rPr>
          <w:i/>
          <w:lang w:val="en-US"/>
        </w:rPr>
        <w:t>Obergefell v. Hodges</w:t>
      </w:r>
      <w:r w:rsidRPr="00321D27">
        <w:rPr>
          <w:lang w:val="en-US"/>
        </w:rPr>
        <w:t>, 576 U.S. 644, 644</w:t>
      </w:r>
      <w:r w:rsidRPr="006E67FE">
        <w:rPr>
          <w:lang w:val="en-US"/>
        </w:rPr>
        <w:t xml:space="preserve"> = 135 S. Ct. </w:t>
      </w:r>
      <w:r w:rsidRPr="00321D27">
        <w:rPr>
          <w:lang w:val="en-US"/>
        </w:rPr>
        <w:t>2584, 2588</w:t>
      </w:r>
      <w:r w:rsidRPr="006E67FE">
        <w:rPr>
          <w:lang w:val="en-US"/>
        </w:rPr>
        <w:t xml:space="preserve"> = 192 L. Ed. </w:t>
      </w:r>
      <w:r w:rsidRPr="00321D27">
        <w:rPr>
          <w:lang w:val="en-US"/>
        </w:rPr>
        <w:t>2d 609, 609</w:t>
      </w:r>
      <w:r w:rsidRPr="006E67FE">
        <w:rPr>
          <w:lang w:val="en-US"/>
        </w:rPr>
        <w:t xml:space="preserve"> = 2015 U.S. LEXIS </w:t>
      </w:r>
      <w:r w:rsidRPr="00321D27">
        <w:rPr>
          <w:lang w:val="en-US"/>
        </w:rPr>
        <w:t>4250, 1</w:t>
      </w:r>
      <w:r w:rsidRPr="006E67FE">
        <w:rPr>
          <w:lang w:val="en-US"/>
        </w:rPr>
        <w:t xml:space="preserve"> = 83 U.S.L.W. </w:t>
      </w:r>
      <w:r w:rsidRPr="00321D27">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321D27">
        <w:rPr>
          <w:lang w:val="en-US"/>
        </w:rPr>
        <w:t>Dec. (CCH) P45,341</w:t>
      </w:r>
      <w:r w:rsidRPr="006E67FE">
        <w:rPr>
          <w:lang w:val="en-US"/>
        </w:rPr>
        <w:t xml:space="preserve"> = 115 A.F.T.R. 2d </w:t>
      </w:r>
      <w:r w:rsidRPr="00321D27">
        <w:rPr>
          <w:lang w:val="en-US"/>
        </w:rPr>
        <w:t>(RIA) 2015-2309</w:t>
      </w:r>
      <w:r w:rsidRPr="006E67FE">
        <w:rPr>
          <w:lang w:val="en-US"/>
        </w:rPr>
        <w:t xml:space="preserve"> = 25 Fla. L. Weekly Fed. </w:t>
      </w:r>
      <w:r w:rsidRPr="004A434C">
        <w:rPr>
          <w:lang w:val="en-US"/>
        </w:rPr>
        <w:t>S 472 (2015).</w:t>
      </w:r>
    </w:p>
  </w:footnote>
  <w:footnote w:id="1456">
    <w:p w14:paraId="731AFC0E" w14:textId="77777777" w:rsidR="00074551" w:rsidRPr="00AD63DD" w:rsidRDefault="00074551" w:rsidP="00074551">
      <w:pPr>
        <w:pStyle w:val="Funotentext"/>
        <w:jc w:val="both"/>
        <w:rPr>
          <w:lang w:val="en-US"/>
        </w:rPr>
      </w:pPr>
      <w:r>
        <w:rPr>
          <w:rStyle w:val="Funotenzeichen"/>
          <w:rFonts w:eastAsiaTheme="majorEastAsia"/>
        </w:rPr>
        <w:footnoteRef/>
      </w:r>
      <w:r w:rsidRPr="00AD63DD">
        <w:rPr>
          <w:lang w:val="en-US"/>
        </w:rPr>
        <w:t xml:space="preserve"> </w:t>
      </w:r>
      <w:r w:rsidRPr="00584023">
        <w:rPr>
          <w:i/>
          <w:lang w:val="en-US"/>
        </w:rPr>
        <w:t>Loving v. Virginia</w:t>
      </w:r>
      <w:r w:rsidRPr="00AD63DD">
        <w:rPr>
          <w:lang w:val="en-US"/>
        </w:rPr>
        <w:t>, 388 U.S. 1, 12</w:t>
      </w:r>
      <w:r w:rsidRPr="006E67FE">
        <w:rPr>
          <w:lang w:val="en-US"/>
        </w:rPr>
        <w:t xml:space="preserve"> = 87 S. Ct. </w:t>
      </w:r>
      <w:r w:rsidRPr="00AD63DD">
        <w:rPr>
          <w:lang w:val="en-US"/>
        </w:rPr>
        <w:t>1817</w:t>
      </w:r>
      <w:r w:rsidRPr="006E67FE">
        <w:rPr>
          <w:lang w:val="en-US"/>
        </w:rPr>
        <w:t xml:space="preserve"> = 18 L. Ed. </w:t>
      </w:r>
      <w:r w:rsidRPr="00AD63DD">
        <w:rPr>
          <w:lang w:val="en-US"/>
        </w:rPr>
        <w:t>2d 1010 (1967)</w:t>
      </w:r>
      <w:r>
        <w:rPr>
          <w:lang w:val="en-US"/>
        </w:rPr>
        <w:t xml:space="preserve">; </w:t>
      </w:r>
      <w:r w:rsidRPr="009167A5">
        <w:rPr>
          <w:i/>
          <w:lang w:val="en-US"/>
        </w:rPr>
        <w:t>Obergefell v. Hodges</w:t>
      </w:r>
      <w:r w:rsidRPr="00AD63DD">
        <w:rPr>
          <w:lang w:val="en-US"/>
        </w:rPr>
        <w:t>, 576 U.S. 644, 664</w:t>
      </w:r>
      <w:r w:rsidRPr="006E67FE">
        <w:rPr>
          <w:lang w:val="en-US"/>
        </w:rPr>
        <w:t xml:space="preserve"> = 135 S. Ct. </w:t>
      </w:r>
      <w:r w:rsidRPr="00AD63DD">
        <w:rPr>
          <w:lang w:val="en-US"/>
        </w:rPr>
        <w:t>2584, 2598</w:t>
      </w:r>
      <w:r w:rsidRPr="006E67FE">
        <w:rPr>
          <w:lang w:val="en-US"/>
        </w:rPr>
        <w:t xml:space="preserve"> = 192 L. Ed. </w:t>
      </w:r>
      <w:r w:rsidRPr="00AD63DD">
        <w:rPr>
          <w:lang w:val="en-US"/>
        </w:rPr>
        <w:t>2d 609, 624</w:t>
      </w:r>
      <w:r w:rsidRPr="006E67FE">
        <w:rPr>
          <w:lang w:val="en-US"/>
        </w:rPr>
        <w:t xml:space="preserve"> = 2015 U.S. LEXIS </w:t>
      </w:r>
      <w:r w:rsidRPr="00AD63DD">
        <w:rPr>
          <w:lang w:val="en-US"/>
        </w:rPr>
        <w:t>4250, 25</w:t>
      </w:r>
      <w:r w:rsidRPr="006E67FE">
        <w:rPr>
          <w:lang w:val="en-US"/>
        </w:rPr>
        <w:t xml:space="preserve"> = 83 U.S.L.W. </w:t>
      </w:r>
      <w:r w:rsidRPr="00AD63DD">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AD63DD">
        <w:rPr>
          <w:lang w:val="en-US"/>
        </w:rPr>
        <w:t>Dec. (CCH) P45,341</w:t>
      </w:r>
      <w:r w:rsidRPr="006E67FE">
        <w:rPr>
          <w:lang w:val="en-US"/>
        </w:rPr>
        <w:t xml:space="preserve"> = 115 A.F.T.R. 2d </w:t>
      </w:r>
      <w:r w:rsidRPr="00AD63DD">
        <w:rPr>
          <w:lang w:val="en-US"/>
        </w:rPr>
        <w:t>(RIA) 2015-2309</w:t>
      </w:r>
      <w:r w:rsidRPr="006E67FE">
        <w:rPr>
          <w:lang w:val="en-US"/>
        </w:rPr>
        <w:t xml:space="preserve"> = 25 Fla. L. Weekly Fed. </w:t>
      </w:r>
      <w:r w:rsidRPr="00AD63DD">
        <w:rPr>
          <w:lang w:val="en-US"/>
        </w:rPr>
        <w:t>S 472 (2015)</w:t>
      </w:r>
      <w:r>
        <w:rPr>
          <w:lang w:val="en-US"/>
        </w:rPr>
        <w:t>.</w:t>
      </w:r>
    </w:p>
  </w:footnote>
  <w:footnote w:id="1457">
    <w:p w14:paraId="6D449E05" w14:textId="77777777" w:rsidR="00074551" w:rsidRPr="00881FE4" w:rsidRDefault="00074551" w:rsidP="00074551">
      <w:pPr>
        <w:pStyle w:val="Funotentext"/>
        <w:rPr>
          <w:lang w:val="en-US"/>
        </w:rPr>
      </w:pPr>
      <w:r>
        <w:rPr>
          <w:rStyle w:val="Funotenzeichen"/>
          <w:rFonts w:eastAsiaTheme="majorEastAsia"/>
        </w:rPr>
        <w:footnoteRef/>
      </w:r>
      <w:r w:rsidRPr="00881FE4">
        <w:rPr>
          <w:lang w:val="en-US"/>
        </w:rPr>
        <w:t xml:space="preserve"> </w:t>
      </w:r>
      <w:r w:rsidRPr="009167A5">
        <w:rPr>
          <w:i/>
          <w:lang w:val="en-US"/>
        </w:rPr>
        <w:t>Obergefell v. Hodges</w:t>
      </w:r>
      <w:r w:rsidRPr="00881FE4">
        <w:rPr>
          <w:lang w:val="en-US"/>
        </w:rPr>
        <w:t>, 576 U.S. 644, 644</w:t>
      </w:r>
      <w:r w:rsidRPr="006E67FE">
        <w:rPr>
          <w:lang w:val="en-US"/>
        </w:rPr>
        <w:t xml:space="preserve"> = 135 S. Ct. </w:t>
      </w:r>
      <w:r w:rsidRPr="00881FE4">
        <w:rPr>
          <w:lang w:val="en-US"/>
        </w:rPr>
        <w:t>2584, 2588</w:t>
      </w:r>
      <w:r w:rsidRPr="006E67FE">
        <w:rPr>
          <w:lang w:val="en-US"/>
        </w:rPr>
        <w:t xml:space="preserve"> = 192 L. Ed. </w:t>
      </w:r>
      <w:r w:rsidRPr="00881FE4">
        <w:rPr>
          <w:lang w:val="en-US"/>
        </w:rPr>
        <w:t>2d 609, 609</w:t>
      </w:r>
      <w:r w:rsidRPr="006E67FE">
        <w:rPr>
          <w:lang w:val="en-US"/>
        </w:rPr>
        <w:t xml:space="preserve"> = 2015 U.S. LEXIS </w:t>
      </w:r>
      <w:r w:rsidRPr="00881FE4">
        <w:rPr>
          <w:lang w:val="en-US"/>
        </w:rPr>
        <w:t>4250, 1</w:t>
      </w:r>
      <w:r w:rsidRPr="006E67FE">
        <w:rPr>
          <w:lang w:val="en-US"/>
        </w:rPr>
        <w:t xml:space="preserve"> = 83 U.S.L.W. </w:t>
      </w:r>
      <w:r w:rsidRPr="00881FE4">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881FE4">
        <w:rPr>
          <w:lang w:val="en-US"/>
        </w:rPr>
        <w:t>Dec. (CCH) P45,341</w:t>
      </w:r>
      <w:r w:rsidRPr="006E67FE">
        <w:rPr>
          <w:lang w:val="en-US"/>
        </w:rPr>
        <w:t xml:space="preserve"> = 115 A.F.T.R. 2d </w:t>
      </w:r>
      <w:r w:rsidRPr="00881FE4">
        <w:rPr>
          <w:lang w:val="en-US"/>
        </w:rPr>
        <w:t>(RIA) 2015-2309</w:t>
      </w:r>
      <w:r w:rsidRPr="006E67FE">
        <w:rPr>
          <w:lang w:val="en-US"/>
        </w:rPr>
        <w:t xml:space="preserve"> = 25 Fla. L. Weekly Fed. </w:t>
      </w:r>
      <w:r w:rsidRPr="00881FE4">
        <w:rPr>
          <w:lang w:val="en-US"/>
        </w:rPr>
        <w:t>S 472 (2015).</w:t>
      </w:r>
    </w:p>
  </w:footnote>
  <w:footnote w:id="1458">
    <w:p w14:paraId="7C6F0619" w14:textId="77777777" w:rsidR="00074551" w:rsidRPr="00881FE4" w:rsidRDefault="00074551" w:rsidP="00074551">
      <w:pPr>
        <w:pStyle w:val="Funotentext"/>
        <w:rPr>
          <w:lang w:val="en-US"/>
        </w:rPr>
      </w:pPr>
      <w:r>
        <w:rPr>
          <w:rStyle w:val="Funotenzeichen"/>
          <w:rFonts w:eastAsiaTheme="majorEastAsia"/>
        </w:rPr>
        <w:footnoteRef/>
      </w:r>
      <w:r w:rsidRPr="00881FE4">
        <w:rPr>
          <w:lang w:val="en-US"/>
        </w:rPr>
        <w:t xml:space="preserve"> </w:t>
      </w:r>
      <w:r w:rsidRPr="009167A5">
        <w:rPr>
          <w:i/>
          <w:lang w:val="en-US"/>
        </w:rPr>
        <w:t>Obergefell v. Hodges</w:t>
      </w:r>
      <w:r w:rsidRPr="00881FE4">
        <w:rPr>
          <w:lang w:val="en-US"/>
        </w:rPr>
        <w:t>, 576 U.S. 644, 644</w:t>
      </w:r>
      <w:r w:rsidRPr="006E67FE">
        <w:rPr>
          <w:lang w:val="en-US"/>
        </w:rPr>
        <w:t xml:space="preserve"> = 135 S. Ct. </w:t>
      </w:r>
      <w:r w:rsidRPr="00881FE4">
        <w:rPr>
          <w:lang w:val="en-US"/>
        </w:rPr>
        <w:t>2584, 2588</w:t>
      </w:r>
      <w:r w:rsidRPr="006E67FE">
        <w:rPr>
          <w:lang w:val="en-US"/>
        </w:rPr>
        <w:t xml:space="preserve"> = 192 L. Ed. </w:t>
      </w:r>
      <w:r w:rsidRPr="00881FE4">
        <w:rPr>
          <w:lang w:val="en-US"/>
        </w:rPr>
        <w:t>2d 609, 609</w:t>
      </w:r>
      <w:r w:rsidRPr="006E67FE">
        <w:rPr>
          <w:lang w:val="en-US"/>
        </w:rPr>
        <w:t xml:space="preserve"> = 2015 U.S. LEXIS </w:t>
      </w:r>
      <w:r w:rsidRPr="00881FE4">
        <w:rPr>
          <w:lang w:val="en-US"/>
        </w:rPr>
        <w:t>4250, 1</w:t>
      </w:r>
      <w:r w:rsidRPr="006E67FE">
        <w:rPr>
          <w:lang w:val="en-US"/>
        </w:rPr>
        <w:t xml:space="preserve"> = 83 U.S.L.W. </w:t>
      </w:r>
      <w:r w:rsidRPr="00881FE4">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881FE4">
        <w:rPr>
          <w:lang w:val="en-US"/>
        </w:rPr>
        <w:t>Dec. (CCH) P45,341</w:t>
      </w:r>
      <w:r w:rsidRPr="006E67FE">
        <w:rPr>
          <w:lang w:val="en-US"/>
        </w:rPr>
        <w:t xml:space="preserve"> = 115 A.F.T.R. 2d </w:t>
      </w:r>
      <w:r w:rsidRPr="00881FE4">
        <w:rPr>
          <w:lang w:val="en-US"/>
        </w:rPr>
        <w:t>(RIA) 2015-2309</w:t>
      </w:r>
      <w:r w:rsidRPr="006E67FE">
        <w:rPr>
          <w:lang w:val="en-US"/>
        </w:rPr>
        <w:t xml:space="preserve"> = 25 Fla. L. Weekly Fed. </w:t>
      </w:r>
      <w:r w:rsidRPr="00881FE4">
        <w:rPr>
          <w:lang w:val="en-US"/>
        </w:rPr>
        <w:t>S 472 (2015).</w:t>
      </w:r>
    </w:p>
  </w:footnote>
  <w:footnote w:id="1459">
    <w:p w14:paraId="4A49D6A8" w14:textId="77777777" w:rsidR="00074551" w:rsidRPr="006C0EB5" w:rsidRDefault="00074551" w:rsidP="00074551">
      <w:pPr>
        <w:pStyle w:val="Funotentext"/>
        <w:rPr>
          <w:lang w:val="en-US"/>
        </w:rPr>
      </w:pPr>
      <w:r>
        <w:rPr>
          <w:rStyle w:val="Funotenzeichen"/>
          <w:rFonts w:eastAsiaTheme="majorEastAsia"/>
        </w:rPr>
        <w:footnoteRef/>
      </w:r>
      <w:r w:rsidRPr="00881FE4">
        <w:rPr>
          <w:lang w:val="en-US"/>
        </w:rPr>
        <w:t xml:space="preserve"> </w:t>
      </w:r>
      <w:r w:rsidRPr="009167A5">
        <w:rPr>
          <w:i/>
          <w:lang w:val="en-US"/>
        </w:rPr>
        <w:t>Obergefell v. Hodges</w:t>
      </w:r>
      <w:r w:rsidRPr="00881FE4">
        <w:rPr>
          <w:lang w:val="en-US"/>
        </w:rPr>
        <w:t>, 576 U.S. 644, 644</w:t>
      </w:r>
      <w:r w:rsidRPr="006E67FE">
        <w:rPr>
          <w:lang w:val="en-US"/>
        </w:rPr>
        <w:t xml:space="preserve"> = 135 S. Ct. </w:t>
      </w:r>
      <w:r w:rsidRPr="00881FE4">
        <w:rPr>
          <w:lang w:val="en-US"/>
        </w:rPr>
        <w:t>2584, 2588</w:t>
      </w:r>
      <w:r w:rsidRPr="006E67FE">
        <w:rPr>
          <w:lang w:val="en-US"/>
        </w:rPr>
        <w:t xml:space="preserve"> = 192 L. Ed. </w:t>
      </w:r>
      <w:r w:rsidRPr="00881FE4">
        <w:rPr>
          <w:lang w:val="en-US"/>
        </w:rPr>
        <w:t>2d 609, 609</w:t>
      </w:r>
      <w:r w:rsidRPr="006E67FE">
        <w:rPr>
          <w:lang w:val="en-US"/>
        </w:rPr>
        <w:t xml:space="preserve"> = 2015 U.S. LEXIS </w:t>
      </w:r>
      <w:r w:rsidRPr="00881FE4">
        <w:rPr>
          <w:lang w:val="en-US"/>
        </w:rPr>
        <w:t>4250, 1</w:t>
      </w:r>
      <w:r w:rsidRPr="006E67FE">
        <w:rPr>
          <w:lang w:val="en-US"/>
        </w:rPr>
        <w:t xml:space="preserve"> = 83 U.S.L.W. </w:t>
      </w:r>
      <w:r w:rsidRPr="00881FE4">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881FE4">
        <w:rPr>
          <w:lang w:val="en-US"/>
        </w:rPr>
        <w:t>Dec. (CCH) P45,341</w:t>
      </w:r>
      <w:r w:rsidRPr="006E67FE">
        <w:rPr>
          <w:lang w:val="en-US"/>
        </w:rPr>
        <w:t xml:space="preserve"> = 115 A.F.T.R. 2d </w:t>
      </w:r>
      <w:r w:rsidRPr="00881FE4">
        <w:rPr>
          <w:lang w:val="en-US"/>
        </w:rPr>
        <w:t>(RIA) 2015-2309</w:t>
      </w:r>
      <w:r w:rsidRPr="006E67FE">
        <w:rPr>
          <w:lang w:val="en-US"/>
        </w:rPr>
        <w:t xml:space="preserve"> = 25 Fla. L. Weekly Fed. </w:t>
      </w:r>
      <w:r w:rsidRPr="006C0EB5">
        <w:rPr>
          <w:lang w:val="en-US"/>
        </w:rPr>
        <w:t>S 472 (2015).</w:t>
      </w:r>
    </w:p>
  </w:footnote>
  <w:footnote w:id="1460">
    <w:p w14:paraId="0DBCC253" w14:textId="77777777" w:rsidR="00074551" w:rsidRPr="006C0EB5" w:rsidRDefault="00074551" w:rsidP="00074551">
      <w:pPr>
        <w:pStyle w:val="Funotentext"/>
        <w:rPr>
          <w:lang w:val="en-US"/>
        </w:rPr>
      </w:pPr>
      <w:r>
        <w:rPr>
          <w:rStyle w:val="Funotenzeichen"/>
          <w:rFonts w:eastAsiaTheme="majorEastAsia"/>
        </w:rPr>
        <w:footnoteRef/>
      </w:r>
      <w:r w:rsidRPr="006C0EB5">
        <w:rPr>
          <w:lang w:val="en-US"/>
        </w:rPr>
        <w:t xml:space="preserve"> </w:t>
      </w:r>
      <w:r w:rsidRPr="00B35CD0">
        <w:rPr>
          <w:i/>
          <w:lang w:val="en-US"/>
        </w:rPr>
        <w:t xml:space="preserve">Zablocki v. </w:t>
      </w:r>
      <w:proofErr w:type="spellStart"/>
      <w:r w:rsidRPr="00B35CD0">
        <w:rPr>
          <w:i/>
          <w:lang w:val="en-US"/>
        </w:rPr>
        <w:t>Redhail</w:t>
      </w:r>
      <w:proofErr w:type="spellEnd"/>
      <w:r w:rsidRPr="006C0EB5">
        <w:rPr>
          <w:lang w:val="en-US"/>
        </w:rPr>
        <w:t>, 434 U.S. 374, 375</w:t>
      </w:r>
      <w:r w:rsidRPr="003B741A">
        <w:rPr>
          <w:lang w:val="en-US"/>
        </w:rPr>
        <w:t xml:space="preserve"> = 98 S. Ct. </w:t>
      </w:r>
      <w:r w:rsidRPr="006C0EB5">
        <w:rPr>
          <w:lang w:val="en-US"/>
        </w:rPr>
        <w:t>673, 675</w:t>
      </w:r>
      <w:r>
        <w:rPr>
          <w:lang w:val="en-US"/>
        </w:rPr>
        <w:t xml:space="preserve"> = 54 L. Ed. </w:t>
      </w:r>
      <w:r w:rsidRPr="006C0EB5">
        <w:rPr>
          <w:lang w:val="en-US"/>
        </w:rPr>
        <w:t>2d 618, 623</w:t>
      </w:r>
      <w:r w:rsidRPr="003B741A">
        <w:rPr>
          <w:lang w:val="en-US"/>
        </w:rPr>
        <w:t xml:space="preserve"> = 1978 U.S. LEXIS </w:t>
      </w:r>
      <w:r w:rsidRPr="006C0EB5">
        <w:rPr>
          <w:lang w:val="en-US"/>
        </w:rPr>
        <w:t>57, 1</w:t>
      </w:r>
      <w:r>
        <w:rPr>
          <w:lang w:val="en-US"/>
        </w:rPr>
        <w:t xml:space="preserve"> = 24 Fed. R. Serv. </w:t>
      </w:r>
      <w:r w:rsidRPr="006C0EB5">
        <w:rPr>
          <w:lang w:val="en-US"/>
        </w:rPr>
        <w:t>2d (Callaghan) 1313 (1978)</w:t>
      </w:r>
      <w:r>
        <w:rPr>
          <w:lang w:val="en-US"/>
        </w:rPr>
        <w:t>.</w:t>
      </w:r>
    </w:p>
  </w:footnote>
  <w:footnote w:id="1461">
    <w:p w14:paraId="1D77B515" w14:textId="77777777" w:rsidR="00074551" w:rsidRPr="00177A57" w:rsidRDefault="00074551" w:rsidP="00074551">
      <w:pPr>
        <w:pStyle w:val="Funotentext"/>
        <w:rPr>
          <w:lang w:val="en-US"/>
        </w:rPr>
      </w:pPr>
      <w:r>
        <w:rPr>
          <w:rStyle w:val="Funotenzeichen"/>
          <w:rFonts w:eastAsiaTheme="majorEastAsia"/>
        </w:rPr>
        <w:footnoteRef/>
      </w:r>
      <w:r w:rsidRPr="00177A57">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177A57">
        <w:rPr>
          <w:lang w:val="en-US"/>
        </w:rPr>
        <w:t>, 71 U.S. 2, 107</w:t>
      </w:r>
      <w:r w:rsidRPr="006E67FE">
        <w:rPr>
          <w:lang w:val="en-US"/>
        </w:rPr>
        <w:t xml:space="preserve"> = 18 L. Ed. </w:t>
      </w:r>
      <w:r w:rsidRPr="00177A57">
        <w:rPr>
          <w:lang w:val="en-US"/>
        </w:rPr>
        <w:t>281, 291</w:t>
      </w:r>
      <w:r w:rsidRPr="006E67FE">
        <w:rPr>
          <w:lang w:val="en-US"/>
        </w:rPr>
        <w:t xml:space="preserve"> = 1866 U.S. LEXIS </w:t>
      </w:r>
      <w:r w:rsidRPr="00177A57">
        <w:rPr>
          <w:lang w:val="en-US"/>
        </w:rPr>
        <w:t>861, 9</w:t>
      </w:r>
      <w:r w:rsidRPr="006E67FE">
        <w:rPr>
          <w:lang w:val="en-US"/>
        </w:rPr>
        <w:t xml:space="preserve"> = 4 Wall.</w:t>
      </w:r>
      <w:r w:rsidRPr="00177A57">
        <w:rPr>
          <w:lang w:val="en-US"/>
        </w:rPr>
        <w:t xml:space="preserve"> 2 (1866)</w:t>
      </w:r>
      <w:r>
        <w:rPr>
          <w:lang w:val="en-US"/>
        </w:rPr>
        <w:t>.</w:t>
      </w:r>
    </w:p>
  </w:footnote>
  <w:footnote w:id="1462">
    <w:p w14:paraId="146AB2AF" w14:textId="77777777" w:rsidR="00074551" w:rsidRPr="00766DF3" w:rsidRDefault="00074551" w:rsidP="00074551">
      <w:pPr>
        <w:pStyle w:val="Funotentext"/>
        <w:rPr>
          <w:lang w:val="en-US"/>
        </w:rPr>
      </w:pPr>
      <w:r>
        <w:rPr>
          <w:rStyle w:val="Funotenzeichen"/>
          <w:rFonts w:eastAsiaTheme="majorEastAsia"/>
        </w:rPr>
        <w:footnoteRef/>
      </w:r>
      <w:r w:rsidRPr="00766DF3">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713F85">
        <w:rPr>
          <w:lang w:val="en-US"/>
        </w:rPr>
        <w:t>, 71 U.S. 2, 107</w:t>
      </w:r>
      <w:r w:rsidRPr="006E67FE">
        <w:rPr>
          <w:lang w:val="en-US"/>
        </w:rPr>
        <w:t xml:space="preserve"> = 18 L. Ed. </w:t>
      </w:r>
      <w:r w:rsidRPr="00713F85">
        <w:rPr>
          <w:lang w:val="en-US"/>
        </w:rPr>
        <w:t>281, 291</w:t>
      </w:r>
      <w:r w:rsidRPr="006E67FE">
        <w:rPr>
          <w:lang w:val="en-US"/>
        </w:rPr>
        <w:t xml:space="preserve"> = 1866 U.S. LEXIS </w:t>
      </w:r>
      <w:r w:rsidRPr="00713F85">
        <w:rPr>
          <w:lang w:val="en-US"/>
        </w:rPr>
        <w:t>861, 12</w:t>
      </w:r>
      <w:r w:rsidRPr="006E67FE">
        <w:rPr>
          <w:lang w:val="en-US"/>
        </w:rPr>
        <w:t xml:space="preserve"> = 4 Wall.</w:t>
      </w:r>
      <w:r w:rsidRPr="00713F85">
        <w:rPr>
          <w:lang w:val="en-US"/>
        </w:rPr>
        <w:t xml:space="preserve"> 2 (1866)</w:t>
      </w:r>
      <w:r>
        <w:rPr>
          <w:lang w:val="en-US"/>
        </w:rPr>
        <w:t>.</w:t>
      </w:r>
    </w:p>
  </w:footnote>
  <w:footnote w:id="1463">
    <w:p w14:paraId="5C55A50F" w14:textId="77777777" w:rsidR="00074551" w:rsidRPr="00713F85" w:rsidRDefault="00074551" w:rsidP="00074551">
      <w:pPr>
        <w:pStyle w:val="Funotentext"/>
        <w:rPr>
          <w:lang w:val="en-US"/>
        </w:rPr>
      </w:pPr>
      <w:r>
        <w:rPr>
          <w:rStyle w:val="Funotenzeichen"/>
          <w:rFonts w:eastAsiaTheme="majorEastAsia"/>
        </w:rPr>
        <w:footnoteRef/>
      </w:r>
      <w:r w:rsidRPr="00713F85">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713F85">
        <w:rPr>
          <w:lang w:val="en-US"/>
        </w:rPr>
        <w:t>, 71 U.S. 2, 107</w:t>
      </w:r>
      <w:r w:rsidRPr="006E67FE">
        <w:rPr>
          <w:lang w:val="en-US"/>
        </w:rPr>
        <w:t xml:space="preserve"> = 18 L. Ed. </w:t>
      </w:r>
      <w:r w:rsidRPr="00713F85">
        <w:rPr>
          <w:lang w:val="en-US"/>
        </w:rPr>
        <w:t>281, 291</w:t>
      </w:r>
      <w:r w:rsidRPr="006E67FE">
        <w:rPr>
          <w:lang w:val="en-US"/>
        </w:rPr>
        <w:t xml:space="preserve"> = 1866 U.S. LEXIS </w:t>
      </w:r>
      <w:r w:rsidRPr="00713F85">
        <w:rPr>
          <w:lang w:val="en-US"/>
        </w:rPr>
        <w:t>861, 174</w:t>
      </w:r>
      <w:r w:rsidRPr="006E67FE">
        <w:rPr>
          <w:lang w:val="en-US"/>
        </w:rPr>
        <w:t xml:space="preserve"> = 4 Wall.</w:t>
      </w:r>
      <w:r w:rsidRPr="00713F85">
        <w:rPr>
          <w:lang w:val="en-US"/>
        </w:rPr>
        <w:t xml:space="preserve"> 2 (1866)</w:t>
      </w:r>
      <w:r>
        <w:rPr>
          <w:lang w:val="en-US"/>
        </w:rPr>
        <w:t>.</w:t>
      </w:r>
    </w:p>
  </w:footnote>
  <w:footnote w:id="1464">
    <w:p w14:paraId="5CAA2736" w14:textId="77777777" w:rsidR="00074551" w:rsidRPr="00F33362" w:rsidRDefault="00074551" w:rsidP="00074551">
      <w:pPr>
        <w:pStyle w:val="Funotentext"/>
        <w:rPr>
          <w:lang w:val="en-US"/>
        </w:rPr>
      </w:pPr>
      <w:r>
        <w:rPr>
          <w:rStyle w:val="Funotenzeichen"/>
          <w:rFonts w:eastAsiaTheme="majorEastAsia"/>
        </w:rPr>
        <w:footnoteRef/>
      </w:r>
      <w:r w:rsidRPr="00F33362">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F33362">
        <w:rPr>
          <w:lang w:val="en-US"/>
        </w:rPr>
        <w:t>, 71 U.S. 2</w:t>
      </w:r>
      <w:r w:rsidRPr="006E67FE">
        <w:rPr>
          <w:lang w:val="en-US"/>
        </w:rPr>
        <w:t xml:space="preserve"> = 18 L. Ed. </w:t>
      </w:r>
      <w:r w:rsidRPr="00F33362">
        <w:rPr>
          <w:lang w:val="en-US"/>
        </w:rPr>
        <w:t>281</w:t>
      </w:r>
      <w:r w:rsidRPr="006E67FE">
        <w:rPr>
          <w:lang w:val="en-US"/>
        </w:rPr>
        <w:t xml:space="preserve"> = 1866 U.S. LEXIS </w:t>
      </w:r>
      <w:r w:rsidRPr="00F33362">
        <w:rPr>
          <w:lang w:val="en-US"/>
        </w:rPr>
        <w:t>861</w:t>
      </w:r>
      <w:r w:rsidRPr="006E67FE">
        <w:rPr>
          <w:lang w:val="en-US"/>
        </w:rPr>
        <w:t xml:space="preserve"> = 4 Wall.</w:t>
      </w:r>
      <w:r w:rsidRPr="00F33362">
        <w:rPr>
          <w:lang w:val="en-US"/>
        </w:rPr>
        <w:t xml:space="preserve"> 2 (1866)</w:t>
      </w:r>
      <w:r>
        <w:rPr>
          <w:lang w:val="en-US"/>
        </w:rPr>
        <w:t>.</w:t>
      </w:r>
    </w:p>
  </w:footnote>
  <w:footnote w:id="1465">
    <w:p w14:paraId="06AF18A4" w14:textId="77777777" w:rsidR="00074551" w:rsidRPr="00744032" w:rsidRDefault="00074551" w:rsidP="00074551">
      <w:pPr>
        <w:pStyle w:val="Funotentext"/>
        <w:rPr>
          <w:lang w:val="en-US"/>
        </w:rPr>
      </w:pPr>
      <w:r>
        <w:rPr>
          <w:rStyle w:val="Funotenzeichen"/>
          <w:rFonts w:eastAsiaTheme="majorEastAsia"/>
        </w:rPr>
        <w:footnoteRef/>
      </w:r>
      <w:r w:rsidRPr="00744032">
        <w:rPr>
          <w:lang w:val="en-US"/>
        </w:rPr>
        <w:t xml:space="preserve"> </w:t>
      </w:r>
      <w:r w:rsidRPr="00B45592">
        <w:rPr>
          <w:i/>
          <w:lang w:val="en-US"/>
        </w:rPr>
        <w:t>James Everard’s Breweries v. Day</w:t>
      </w:r>
      <w:r w:rsidRPr="00744032">
        <w:rPr>
          <w:lang w:val="en-US"/>
        </w:rPr>
        <w:t>, 265 U.S. 545, 559</w:t>
      </w:r>
      <w:r>
        <w:rPr>
          <w:lang w:val="en-US"/>
        </w:rPr>
        <w:t xml:space="preserve"> = 44 S. Ct. </w:t>
      </w:r>
      <w:r w:rsidRPr="00744032">
        <w:rPr>
          <w:lang w:val="en-US"/>
        </w:rPr>
        <w:t>628, 631</w:t>
      </w:r>
      <w:r>
        <w:rPr>
          <w:lang w:val="en-US"/>
        </w:rPr>
        <w:t xml:space="preserve"> = 68 L. Ed</w:t>
      </w:r>
      <w:r w:rsidRPr="00744032">
        <w:rPr>
          <w:lang w:val="en-US"/>
        </w:rPr>
        <w:t>. 1174, 1179</w:t>
      </w:r>
      <w:r>
        <w:rPr>
          <w:lang w:val="en-US"/>
        </w:rPr>
        <w:t xml:space="preserve"> = 1924 U.S. LEXIS </w:t>
      </w:r>
      <w:r w:rsidRPr="00744032">
        <w:rPr>
          <w:lang w:val="en-US"/>
        </w:rPr>
        <w:t>2635, 22 (1924)</w:t>
      </w:r>
      <w:r>
        <w:rPr>
          <w:lang w:val="en-US"/>
        </w:rPr>
        <w:t>.</w:t>
      </w:r>
    </w:p>
  </w:footnote>
  <w:footnote w:id="1466">
    <w:p w14:paraId="0650ECC6" w14:textId="77777777" w:rsidR="00074551" w:rsidRPr="00537DD5" w:rsidRDefault="00074551" w:rsidP="00074551">
      <w:pPr>
        <w:pStyle w:val="Funotentext"/>
        <w:rPr>
          <w:lang w:val="en-US"/>
        </w:rPr>
      </w:pPr>
      <w:r>
        <w:rPr>
          <w:rStyle w:val="Funotenzeichen"/>
          <w:rFonts w:eastAsiaTheme="majorEastAsia"/>
        </w:rPr>
        <w:footnoteRef/>
      </w:r>
      <w:r w:rsidRPr="00537DD5">
        <w:rPr>
          <w:lang w:val="en-US"/>
        </w:rPr>
        <w:t xml:space="preserve"> </w:t>
      </w:r>
      <w:r w:rsidRPr="00B45592">
        <w:rPr>
          <w:i/>
          <w:lang w:val="en-US"/>
        </w:rPr>
        <w:t>James Everard’s</w:t>
      </w:r>
      <w:r w:rsidRPr="00B45592" w:rsidDel="003C541A">
        <w:rPr>
          <w:i/>
          <w:lang w:val="en-US"/>
        </w:rPr>
        <w:t xml:space="preserve"> </w:t>
      </w:r>
      <w:r w:rsidRPr="00B45592">
        <w:rPr>
          <w:i/>
          <w:lang w:val="en-US"/>
        </w:rPr>
        <w:t>Breweries v. Day</w:t>
      </w:r>
      <w:r w:rsidRPr="00537DD5">
        <w:rPr>
          <w:lang w:val="en-US"/>
        </w:rPr>
        <w:t>, 265 U.S. 545, 554</w:t>
      </w:r>
      <w:r>
        <w:rPr>
          <w:lang w:val="en-US"/>
        </w:rPr>
        <w:t xml:space="preserve"> = 44 S. Ct. </w:t>
      </w:r>
      <w:r w:rsidRPr="00537DD5">
        <w:rPr>
          <w:lang w:val="en-US"/>
        </w:rPr>
        <w:t>628, 629</w:t>
      </w:r>
      <w:r>
        <w:rPr>
          <w:lang w:val="en-US"/>
        </w:rPr>
        <w:t xml:space="preserve"> = 68 L. Ed</w:t>
      </w:r>
      <w:r w:rsidRPr="00537DD5">
        <w:rPr>
          <w:lang w:val="en-US"/>
        </w:rPr>
        <w:t>. 1174, 1177</w:t>
      </w:r>
      <w:r>
        <w:rPr>
          <w:lang w:val="en-US"/>
        </w:rPr>
        <w:t xml:space="preserve"> = 1924 U.S. LEXIS </w:t>
      </w:r>
      <w:r w:rsidRPr="00537DD5">
        <w:rPr>
          <w:lang w:val="en-US"/>
        </w:rPr>
        <w:t>2635, 10 (1924)</w:t>
      </w:r>
      <w:r>
        <w:rPr>
          <w:lang w:val="en-US"/>
        </w:rPr>
        <w:t>.</w:t>
      </w:r>
    </w:p>
  </w:footnote>
  <w:footnote w:id="1467">
    <w:p w14:paraId="69982D50" w14:textId="77777777" w:rsidR="00074551" w:rsidRPr="005E5EC0" w:rsidRDefault="00074551" w:rsidP="00074551">
      <w:pPr>
        <w:pStyle w:val="Funotentext"/>
        <w:rPr>
          <w:lang w:val="en-US"/>
        </w:rPr>
      </w:pPr>
      <w:r>
        <w:rPr>
          <w:rStyle w:val="Funotenzeichen"/>
          <w:rFonts w:eastAsiaTheme="majorEastAsia"/>
        </w:rPr>
        <w:footnoteRef/>
      </w:r>
      <w:r w:rsidRPr="005E5EC0">
        <w:rPr>
          <w:lang w:val="en-US"/>
        </w:rPr>
        <w:t xml:space="preserve"> </w:t>
      </w:r>
      <w:r w:rsidRPr="00B45592">
        <w:rPr>
          <w:i/>
          <w:lang w:val="en-US"/>
        </w:rPr>
        <w:t>James Everard’s</w:t>
      </w:r>
      <w:r w:rsidRPr="00B45592" w:rsidDel="003C541A">
        <w:rPr>
          <w:i/>
          <w:lang w:val="en-US"/>
        </w:rPr>
        <w:t xml:space="preserve"> </w:t>
      </w:r>
      <w:r w:rsidRPr="00B45592">
        <w:rPr>
          <w:i/>
          <w:lang w:val="en-US"/>
        </w:rPr>
        <w:t>Breweries v. Day</w:t>
      </w:r>
      <w:r w:rsidRPr="005E5EC0">
        <w:rPr>
          <w:lang w:val="en-US"/>
        </w:rPr>
        <w:t>, 265 U.S. 545, 554</w:t>
      </w:r>
      <w:r>
        <w:rPr>
          <w:lang w:val="en-US"/>
        </w:rPr>
        <w:t xml:space="preserve"> = 44 S. Ct. </w:t>
      </w:r>
      <w:r w:rsidRPr="005E5EC0">
        <w:rPr>
          <w:lang w:val="en-US"/>
        </w:rPr>
        <w:t>628, 629</w:t>
      </w:r>
      <w:r>
        <w:rPr>
          <w:lang w:val="en-US"/>
        </w:rPr>
        <w:t xml:space="preserve"> = 68 L. Ed</w:t>
      </w:r>
      <w:r w:rsidRPr="005E5EC0">
        <w:rPr>
          <w:lang w:val="en-US"/>
        </w:rPr>
        <w:t>. 1174, 1177</w:t>
      </w:r>
      <w:r>
        <w:rPr>
          <w:lang w:val="en-US"/>
        </w:rPr>
        <w:t xml:space="preserve"> = 1924 U.S. LEXIS </w:t>
      </w:r>
      <w:r w:rsidRPr="005E5EC0">
        <w:rPr>
          <w:lang w:val="en-US"/>
        </w:rPr>
        <w:t>2635, 10 (1924)</w:t>
      </w:r>
      <w:r>
        <w:rPr>
          <w:lang w:val="en-US"/>
        </w:rPr>
        <w:t>.</w:t>
      </w:r>
    </w:p>
  </w:footnote>
  <w:footnote w:id="1468">
    <w:p w14:paraId="0E0F378C" w14:textId="77777777" w:rsidR="00074551" w:rsidRPr="00537DD5" w:rsidRDefault="00074551" w:rsidP="00074551">
      <w:pPr>
        <w:pStyle w:val="Funotentext"/>
        <w:rPr>
          <w:lang w:val="en-US"/>
        </w:rPr>
      </w:pPr>
      <w:r>
        <w:rPr>
          <w:rStyle w:val="Funotenzeichen"/>
          <w:rFonts w:eastAsiaTheme="majorEastAsia"/>
        </w:rPr>
        <w:footnoteRef/>
      </w:r>
      <w:r w:rsidRPr="00537DD5">
        <w:rPr>
          <w:lang w:val="en-US"/>
        </w:rPr>
        <w:t xml:space="preserve"> </w:t>
      </w:r>
      <w:r w:rsidRPr="00B45592">
        <w:rPr>
          <w:i/>
          <w:lang w:val="en-US"/>
        </w:rPr>
        <w:t>James Everard’s</w:t>
      </w:r>
      <w:r w:rsidRPr="00B45592" w:rsidDel="003C541A">
        <w:rPr>
          <w:i/>
          <w:lang w:val="en-US"/>
        </w:rPr>
        <w:t xml:space="preserve"> </w:t>
      </w:r>
      <w:r w:rsidRPr="00B45592">
        <w:rPr>
          <w:i/>
          <w:lang w:val="en-US"/>
        </w:rPr>
        <w:t>Breweries v. Day</w:t>
      </w:r>
      <w:r w:rsidRPr="00537DD5">
        <w:rPr>
          <w:lang w:val="en-US"/>
        </w:rPr>
        <w:t>, 265 U.S. 545, 554</w:t>
      </w:r>
      <w:r>
        <w:rPr>
          <w:lang w:val="en-US"/>
        </w:rPr>
        <w:t xml:space="preserve"> = 44 S. Ct. </w:t>
      </w:r>
      <w:r w:rsidRPr="00537DD5">
        <w:rPr>
          <w:lang w:val="en-US"/>
        </w:rPr>
        <w:t>628, 629</w:t>
      </w:r>
      <w:r>
        <w:rPr>
          <w:lang w:val="en-US"/>
        </w:rPr>
        <w:t xml:space="preserve"> = 68 L. Ed</w:t>
      </w:r>
      <w:r w:rsidRPr="00537DD5">
        <w:rPr>
          <w:lang w:val="en-US"/>
        </w:rPr>
        <w:t>. 1174, 1177</w:t>
      </w:r>
      <w:r>
        <w:rPr>
          <w:lang w:val="en-US"/>
        </w:rPr>
        <w:t xml:space="preserve"> = 1924 U.S. LEXIS </w:t>
      </w:r>
      <w:r w:rsidRPr="00537DD5">
        <w:rPr>
          <w:lang w:val="en-US"/>
        </w:rPr>
        <w:t>2635, 10 (1924)</w:t>
      </w:r>
      <w:r>
        <w:rPr>
          <w:lang w:val="en-US"/>
        </w:rPr>
        <w:t>.</w:t>
      </w:r>
    </w:p>
  </w:footnote>
  <w:footnote w:id="1469">
    <w:p w14:paraId="78D2B565" w14:textId="77777777" w:rsidR="00074551" w:rsidRPr="00537DD5" w:rsidRDefault="00074551" w:rsidP="00074551">
      <w:pPr>
        <w:pStyle w:val="Funotentext"/>
        <w:rPr>
          <w:lang w:val="en-US"/>
        </w:rPr>
      </w:pPr>
      <w:r>
        <w:rPr>
          <w:rStyle w:val="Funotenzeichen"/>
          <w:rFonts w:eastAsiaTheme="majorEastAsia"/>
        </w:rPr>
        <w:footnoteRef/>
      </w:r>
      <w:r w:rsidRPr="00537DD5">
        <w:rPr>
          <w:lang w:val="en-US"/>
        </w:rPr>
        <w:t xml:space="preserve"> </w:t>
      </w:r>
      <w:r w:rsidRPr="00B45592">
        <w:rPr>
          <w:i/>
          <w:lang w:val="en-US"/>
        </w:rPr>
        <w:t>James Everard’s</w:t>
      </w:r>
      <w:r w:rsidRPr="00B45592" w:rsidDel="003C541A">
        <w:rPr>
          <w:i/>
          <w:lang w:val="en-US"/>
        </w:rPr>
        <w:t xml:space="preserve"> </w:t>
      </w:r>
      <w:r w:rsidRPr="00B45592">
        <w:rPr>
          <w:i/>
          <w:lang w:val="en-US"/>
        </w:rPr>
        <w:t>Breweries v. Day</w:t>
      </w:r>
      <w:r w:rsidRPr="00537DD5">
        <w:rPr>
          <w:lang w:val="en-US"/>
        </w:rPr>
        <w:t>, 265 U.S. 545, 554</w:t>
      </w:r>
      <w:r>
        <w:rPr>
          <w:lang w:val="en-US"/>
        </w:rPr>
        <w:t xml:space="preserve"> = 44 S. Ct. </w:t>
      </w:r>
      <w:r w:rsidRPr="00537DD5">
        <w:rPr>
          <w:lang w:val="en-US"/>
        </w:rPr>
        <w:t>628, 629</w:t>
      </w:r>
      <w:r>
        <w:rPr>
          <w:lang w:val="en-US"/>
        </w:rPr>
        <w:t xml:space="preserve"> = 68 L. Ed</w:t>
      </w:r>
      <w:r w:rsidRPr="00537DD5">
        <w:rPr>
          <w:lang w:val="en-US"/>
        </w:rPr>
        <w:t>. 1174, 1177</w:t>
      </w:r>
      <w:r>
        <w:rPr>
          <w:lang w:val="en-US"/>
        </w:rPr>
        <w:t xml:space="preserve"> = 1924 U.S. LEXIS </w:t>
      </w:r>
      <w:r w:rsidRPr="00537DD5">
        <w:rPr>
          <w:lang w:val="en-US"/>
        </w:rPr>
        <w:t>2635, 10 (1924)</w:t>
      </w:r>
      <w:r>
        <w:rPr>
          <w:lang w:val="en-US"/>
        </w:rPr>
        <w:t>.</w:t>
      </w:r>
    </w:p>
  </w:footnote>
  <w:footnote w:id="1470">
    <w:p w14:paraId="4685E518" w14:textId="77777777" w:rsidR="00074551" w:rsidRPr="002E1FAB" w:rsidRDefault="00074551" w:rsidP="00074551">
      <w:pPr>
        <w:pStyle w:val="Funotentext"/>
        <w:rPr>
          <w:lang w:val="en-US"/>
        </w:rPr>
      </w:pPr>
      <w:r>
        <w:rPr>
          <w:rStyle w:val="Funotenzeichen"/>
          <w:rFonts w:eastAsiaTheme="majorEastAsia"/>
        </w:rPr>
        <w:footnoteRef/>
      </w:r>
      <w:r>
        <w:t xml:space="preserve"> Dieses Gesetz</w:t>
      </w:r>
      <w:r w:rsidRPr="002E1FAB">
        <w:t xml:space="preserve"> </w:t>
      </w:r>
      <w:r>
        <w:t>bestimmt</w:t>
      </w:r>
      <w:r w:rsidRPr="002E1FAB">
        <w:t>, dass niemand sog. berau</w:t>
      </w:r>
      <w:r>
        <w:t>s</w:t>
      </w:r>
      <w:r w:rsidRPr="002E1FAB">
        <w:t>chenden Malzalkohol herstellen, verkaufen, tauschen, transportieren, importieren, exportieren, liefern, bereitstellen oder besitzen darf – es sei denn, das Gesetz regelt eine Ausnahme. Zudem seien alle Paragrafen des Gesetzes weit auszulegen</w:t>
      </w:r>
      <w:r>
        <w:t>, d</w:t>
      </w:r>
      <w:r w:rsidRPr="002E1FAB">
        <w:t>amit sog. berau</w:t>
      </w:r>
      <w:r>
        <w:t>s</w:t>
      </w:r>
      <w:r w:rsidRPr="002E1FAB">
        <w:t xml:space="preserve">chender Alkoholabgabe verhindert </w:t>
      </w:r>
      <w:r>
        <w:t>werde</w:t>
      </w:r>
      <w:r w:rsidRPr="002E1FAB">
        <w:t xml:space="preserve">. Wenn Alkohol für andere Zwecke als Getränke hergestellt, verkauft usw. werden darf, dann nur im Rahmen der gesetzlichen Ausnahmen. Der </w:t>
      </w:r>
      <w:r w:rsidRPr="00B45592">
        <w:rPr>
          <w:i/>
        </w:rPr>
        <w:t>Commissioner of Internal Revenue</w:t>
      </w:r>
      <w:r w:rsidRPr="002E1FAB">
        <w:t xml:space="preserve"> (</w:t>
      </w:r>
      <w:r>
        <w:t>Steuerk</w:t>
      </w:r>
      <w:r w:rsidRPr="002E1FAB">
        <w:t xml:space="preserve">ommissar) kann dafür Genehmigungen ausstellen nach 41 Stat. 305, tit. II, </w:t>
      </w:r>
      <w:r>
        <w:t>§ </w:t>
      </w:r>
      <w:r w:rsidRPr="002E1FAB">
        <w:t xml:space="preserve">3. D.h. niemand darf berauschenden Alkohol herstellen, verkaufen oder verschreiben, ohne zuvor eine Erlaubnis des Kommissars einzuholen. Zudem darf keine Erlaubnis für den Verkauf von berauschendem Alkohol im Einzelhandel erteilt werden, außer durch einen Apotheker, der zur Abgabe von ärztlich verschriebenen Medikamenten zugelassen ist nach 41 Stat. 305, tit. II, </w:t>
      </w:r>
      <w:r>
        <w:t>§ </w:t>
      </w:r>
      <w:r w:rsidRPr="002E1FAB">
        <w:t xml:space="preserve">6. Und niemandem darf eine Genehmigung zur Verschreibung von berauschenden Getränken erteilt werden, außer einem lizenzierten praktizierenden Arzt nach 41 Stat. 305, tit. II, </w:t>
      </w:r>
      <w:r>
        <w:t>§ </w:t>
      </w:r>
      <w:r w:rsidRPr="002E1FAB">
        <w:t xml:space="preserve">6. Zudem darf niemand außer einem Arzt, der eine solche Erlaubnis besitzt, ein Rezept für berauschenden Alkohol ausstellen. Und innerhalb eines Zeitraums von 10 Tagen darf nicht mehr als ein Pint eines alkoholischen Getränks für dieselbe Person verschrieben werden nach 41 Stat. 305, tit. </w:t>
      </w:r>
      <w:r w:rsidRPr="002E1FAB">
        <w:rPr>
          <w:lang w:val="en-US"/>
        </w:rPr>
        <w:t xml:space="preserve">II, </w:t>
      </w:r>
      <w:r>
        <w:rPr>
          <w:lang w:val="en-US"/>
        </w:rPr>
        <w:t>§ </w:t>
      </w:r>
      <w:r w:rsidRPr="002E1FAB">
        <w:rPr>
          <w:lang w:val="en-US"/>
        </w:rPr>
        <w:t xml:space="preserve">7, so </w:t>
      </w:r>
      <w:proofErr w:type="spellStart"/>
      <w:r w:rsidRPr="002E1FAB">
        <w:rPr>
          <w:lang w:val="en-US"/>
        </w:rPr>
        <w:t>im</w:t>
      </w:r>
      <w:proofErr w:type="spellEnd"/>
      <w:r w:rsidRPr="002E1FAB">
        <w:rPr>
          <w:lang w:val="en-US"/>
        </w:rPr>
        <w:t xml:space="preserve"> </w:t>
      </w:r>
      <w:proofErr w:type="spellStart"/>
      <w:r w:rsidRPr="002E1FAB">
        <w:rPr>
          <w:lang w:val="en-US"/>
        </w:rPr>
        <w:t>Wortlaut</w:t>
      </w:r>
      <w:proofErr w:type="spellEnd"/>
      <w:r w:rsidRPr="002E1FAB">
        <w:rPr>
          <w:lang w:val="en-US"/>
        </w:rPr>
        <w:t xml:space="preserve"> </w:t>
      </w:r>
      <w:r>
        <w:rPr>
          <w:lang w:val="en-US"/>
        </w:rPr>
        <w:t xml:space="preserve">in </w:t>
      </w:r>
      <w:r w:rsidRPr="00B45592">
        <w:rPr>
          <w:i/>
          <w:lang w:val="en-US"/>
        </w:rPr>
        <w:t>James Everard’s Breweries v. Day</w:t>
      </w:r>
      <w:r w:rsidRPr="002E1FAB">
        <w:rPr>
          <w:lang w:val="en-US"/>
        </w:rPr>
        <w:t>, 265 U.S. 545, 554</w:t>
      </w:r>
      <w:r>
        <w:rPr>
          <w:lang w:val="en-US"/>
        </w:rPr>
        <w:t xml:space="preserve"> = 44 S. Ct. </w:t>
      </w:r>
      <w:r w:rsidRPr="002E1FAB">
        <w:rPr>
          <w:lang w:val="en-US"/>
        </w:rPr>
        <w:t>628, 629</w:t>
      </w:r>
      <w:r>
        <w:rPr>
          <w:lang w:val="en-US"/>
        </w:rPr>
        <w:t xml:space="preserve"> = 68 L. Ed</w:t>
      </w:r>
      <w:r w:rsidRPr="002E1FAB">
        <w:rPr>
          <w:lang w:val="en-US"/>
        </w:rPr>
        <w:t>. 1174, 1177</w:t>
      </w:r>
      <w:r>
        <w:rPr>
          <w:lang w:val="en-US"/>
        </w:rPr>
        <w:t xml:space="preserve"> = 1924 U.S. LEXIS </w:t>
      </w:r>
      <w:r w:rsidRPr="002E1FAB">
        <w:rPr>
          <w:lang w:val="en-US"/>
        </w:rPr>
        <w:t>2635, 15 (1924)</w:t>
      </w:r>
      <w:r>
        <w:rPr>
          <w:lang w:val="en-US"/>
        </w:rPr>
        <w:t>.</w:t>
      </w:r>
    </w:p>
  </w:footnote>
  <w:footnote w:id="1471">
    <w:p w14:paraId="19B297DF" w14:textId="77777777" w:rsidR="00074551" w:rsidRPr="00A16039" w:rsidRDefault="00074551" w:rsidP="00074551">
      <w:pPr>
        <w:pStyle w:val="Funotentext"/>
        <w:ind w:left="227" w:hanging="227"/>
        <w:rPr>
          <w:lang w:val="en-US"/>
        </w:rPr>
      </w:pPr>
      <w:r>
        <w:rPr>
          <w:rStyle w:val="Funotenzeichen"/>
          <w:rFonts w:eastAsiaTheme="majorEastAsia"/>
        </w:rPr>
        <w:footnoteRef/>
      </w:r>
      <w:r w:rsidRPr="00A16039">
        <w:rPr>
          <w:lang w:val="en-US"/>
        </w:rPr>
        <w:t xml:space="preserve"> </w:t>
      </w:r>
      <w:r w:rsidRPr="004F13B1">
        <w:rPr>
          <w:i/>
          <w:lang w:val="en-US"/>
        </w:rPr>
        <w:t>Mugler v. Kansas</w:t>
      </w:r>
      <w:r w:rsidRPr="00A16039">
        <w:rPr>
          <w:lang w:val="en-US"/>
        </w:rPr>
        <w:t>, 123 U.S. 623, 662</w:t>
      </w:r>
      <w:r>
        <w:rPr>
          <w:lang w:val="en-US"/>
        </w:rPr>
        <w:t xml:space="preserve"> = 8 S. Ct. </w:t>
      </w:r>
      <w:r w:rsidRPr="00A16039">
        <w:rPr>
          <w:lang w:val="en-US"/>
        </w:rPr>
        <w:t>273, 297</w:t>
      </w:r>
      <w:r>
        <w:rPr>
          <w:lang w:val="en-US"/>
        </w:rPr>
        <w:t xml:space="preserve"> = 31 L. Ed. </w:t>
      </w:r>
      <w:r w:rsidRPr="00A16039">
        <w:rPr>
          <w:lang w:val="en-US"/>
        </w:rPr>
        <w:t>205, 210</w:t>
      </w:r>
      <w:r>
        <w:rPr>
          <w:lang w:val="en-US"/>
        </w:rPr>
        <w:t xml:space="preserve"> = 1887 U.S. LEXIS </w:t>
      </w:r>
      <w:r w:rsidRPr="00A16039">
        <w:rPr>
          <w:lang w:val="en-US"/>
        </w:rPr>
        <w:t>2204, 73 (1887)</w:t>
      </w:r>
      <w:r>
        <w:rPr>
          <w:lang w:val="en-US"/>
        </w:rPr>
        <w:t>.</w:t>
      </w:r>
    </w:p>
  </w:footnote>
  <w:footnote w:id="1472">
    <w:p w14:paraId="73790ACB" w14:textId="77777777" w:rsidR="00074551" w:rsidRPr="00A16039" w:rsidRDefault="00074551" w:rsidP="00074551">
      <w:pPr>
        <w:pStyle w:val="Funotentext"/>
        <w:ind w:left="227" w:hanging="227"/>
        <w:rPr>
          <w:lang w:val="en-US"/>
        </w:rPr>
      </w:pPr>
      <w:r>
        <w:rPr>
          <w:rStyle w:val="Funotenzeichen"/>
          <w:rFonts w:eastAsiaTheme="majorEastAsia"/>
        </w:rPr>
        <w:footnoteRef/>
      </w:r>
      <w:r w:rsidRPr="00A16039">
        <w:rPr>
          <w:lang w:val="en-US"/>
        </w:rPr>
        <w:t xml:space="preserve"> </w:t>
      </w:r>
      <w:r w:rsidRPr="004F13B1">
        <w:rPr>
          <w:i/>
          <w:lang w:val="en-US"/>
        </w:rPr>
        <w:t>Mugler v. Kansas</w:t>
      </w:r>
      <w:r w:rsidRPr="00A16039">
        <w:rPr>
          <w:lang w:val="en-US"/>
        </w:rPr>
        <w:t>, 123 U.S. 623, 662</w:t>
      </w:r>
      <w:r>
        <w:rPr>
          <w:lang w:val="en-US"/>
        </w:rPr>
        <w:t xml:space="preserve"> = 8 S. Ct. </w:t>
      </w:r>
      <w:r w:rsidRPr="00A16039">
        <w:rPr>
          <w:lang w:val="en-US"/>
        </w:rPr>
        <w:t>273, 297</w:t>
      </w:r>
      <w:r>
        <w:rPr>
          <w:lang w:val="en-US"/>
        </w:rPr>
        <w:t xml:space="preserve"> = 31 L. Ed. </w:t>
      </w:r>
      <w:r w:rsidRPr="00A16039">
        <w:rPr>
          <w:lang w:val="en-US"/>
        </w:rPr>
        <w:t>205, 210</w:t>
      </w:r>
      <w:r>
        <w:rPr>
          <w:lang w:val="en-US"/>
        </w:rPr>
        <w:t xml:space="preserve"> = 1887 U.S. LEXIS </w:t>
      </w:r>
      <w:r w:rsidRPr="00A16039">
        <w:rPr>
          <w:lang w:val="en-US"/>
        </w:rPr>
        <w:t>2204, 73 (1887)</w:t>
      </w:r>
      <w:r>
        <w:rPr>
          <w:lang w:val="en-US"/>
        </w:rPr>
        <w:t>.</w:t>
      </w:r>
    </w:p>
  </w:footnote>
  <w:footnote w:id="1473">
    <w:p w14:paraId="05A00436" w14:textId="77777777" w:rsidR="00074551" w:rsidRPr="00A16039" w:rsidRDefault="00074551" w:rsidP="00074551">
      <w:pPr>
        <w:pStyle w:val="Funotentext"/>
        <w:ind w:left="227" w:hanging="227"/>
        <w:rPr>
          <w:lang w:val="en-US"/>
        </w:rPr>
      </w:pPr>
      <w:r>
        <w:rPr>
          <w:rStyle w:val="Funotenzeichen"/>
          <w:rFonts w:eastAsiaTheme="majorEastAsia"/>
        </w:rPr>
        <w:footnoteRef/>
      </w:r>
      <w:r w:rsidRPr="00A16039">
        <w:rPr>
          <w:lang w:val="en-US"/>
        </w:rPr>
        <w:t xml:space="preserve"> </w:t>
      </w:r>
      <w:r w:rsidRPr="004F13B1">
        <w:rPr>
          <w:i/>
          <w:lang w:val="en-US"/>
        </w:rPr>
        <w:t>Mugler v. Kansas</w:t>
      </w:r>
      <w:r w:rsidRPr="00A16039">
        <w:rPr>
          <w:lang w:val="en-US"/>
        </w:rPr>
        <w:t>, 123 U.S. 623, 662</w:t>
      </w:r>
      <w:r>
        <w:rPr>
          <w:lang w:val="en-US"/>
        </w:rPr>
        <w:t xml:space="preserve"> = 8 S. Ct. </w:t>
      </w:r>
      <w:r w:rsidRPr="00A16039">
        <w:rPr>
          <w:lang w:val="en-US"/>
        </w:rPr>
        <w:t>273, 297</w:t>
      </w:r>
      <w:r>
        <w:rPr>
          <w:lang w:val="en-US"/>
        </w:rPr>
        <w:t xml:space="preserve"> = 31 L. Ed. </w:t>
      </w:r>
      <w:r w:rsidRPr="00A16039">
        <w:rPr>
          <w:lang w:val="en-US"/>
        </w:rPr>
        <w:t>205, 211</w:t>
      </w:r>
      <w:r>
        <w:rPr>
          <w:lang w:val="en-US"/>
        </w:rPr>
        <w:t xml:space="preserve"> = 1887 U.S. LEXIS </w:t>
      </w:r>
      <w:r w:rsidRPr="00A16039">
        <w:rPr>
          <w:lang w:val="en-US"/>
        </w:rPr>
        <w:t>2204, 73 (1887)</w:t>
      </w:r>
      <w:r>
        <w:rPr>
          <w:lang w:val="en-US"/>
        </w:rPr>
        <w:t>.</w:t>
      </w:r>
    </w:p>
  </w:footnote>
  <w:footnote w:id="1474">
    <w:p w14:paraId="66CE45D6" w14:textId="77777777" w:rsidR="00074551" w:rsidRPr="00A16039" w:rsidRDefault="00074551" w:rsidP="00074551">
      <w:pPr>
        <w:pStyle w:val="Funotentext"/>
        <w:ind w:left="227" w:hanging="227"/>
        <w:rPr>
          <w:lang w:val="en-US"/>
        </w:rPr>
      </w:pPr>
      <w:r>
        <w:rPr>
          <w:rStyle w:val="Funotenzeichen"/>
          <w:rFonts w:eastAsiaTheme="majorEastAsia"/>
        </w:rPr>
        <w:footnoteRef/>
      </w:r>
      <w:r w:rsidRPr="00A16039">
        <w:rPr>
          <w:lang w:val="en-US"/>
        </w:rPr>
        <w:t xml:space="preserve"> </w:t>
      </w:r>
      <w:r w:rsidRPr="004F13B1">
        <w:rPr>
          <w:i/>
          <w:lang w:val="en-US"/>
        </w:rPr>
        <w:t>Mugler v. Kansas</w:t>
      </w:r>
      <w:r w:rsidRPr="00A16039">
        <w:rPr>
          <w:lang w:val="en-US"/>
        </w:rPr>
        <w:t>, 123 U.S. 623, 662</w:t>
      </w:r>
      <w:r>
        <w:rPr>
          <w:lang w:val="en-US"/>
        </w:rPr>
        <w:t xml:space="preserve"> = 8 S. Ct. </w:t>
      </w:r>
      <w:r w:rsidRPr="00A16039">
        <w:rPr>
          <w:lang w:val="en-US"/>
        </w:rPr>
        <w:t>273, 297</w:t>
      </w:r>
      <w:r>
        <w:rPr>
          <w:lang w:val="en-US"/>
        </w:rPr>
        <w:t xml:space="preserve"> = 31 L. Ed. </w:t>
      </w:r>
      <w:r w:rsidRPr="00A16039">
        <w:rPr>
          <w:lang w:val="en-US"/>
        </w:rPr>
        <w:t>205, 211</w:t>
      </w:r>
      <w:r>
        <w:rPr>
          <w:lang w:val="en-US"/>
        </w:rPr>
        <w:t xml:space="preserve"> = 1887 U.S. LEXIS </w:t>
      </w:r>
      <w:r w:rsidRPr="00A16039">
        <w:rPr>
          <w:lang w:val="en-US"/>
        </w:rPr>
        <w:t>2204, 74 (1887)</w:t>
      </w:r>
      <w:r>
        <w:rPr>
          <w:lang w:val="en-US"/>
        </w:rPr>
        <w:t>.</w:t>
      </w:r>
    </w:p>
  </w:footnote>
  <w:footnote w:id="1475">
    <w:p w14:paraId="125A01C1" w14:textId="77777777" w:rsidR="00074551" w:rsidRPr="00A16039" w:rsidRDefault="00074551" w:rsidP="00074551">
      <w:pPr>
        <w:pStyle w:val="Funotentext"/>
        <w:ind w:left="227" w:hanging="227"/>
        <w:rPr>
          <w:lang w:val="en-US"/>
        </w:rPr>
      </w:pPr>
      <w:r>
        <w:rPr>
          <w:rStyle w:val="Funotenzeichen"/>
          <w:rFonts w:eastAsiaTheme="majorEastAsia"/>
        </w:rPr>
        <w:footnoteRef/>
      </w:r>
      <w:r w:rsidRPr="00A16039">
        <w:rPr>
          <w:lang w:val="en-US"/>
        </w:rPr>
        <w:t xml:space="preserve"> </w:t>
      </w:r>
      <w:r w:rsidRPr="004F13B1">
        <w:rPr>
          <w:i/>
          <w:lang w:val="en-US"/>
        </w:rPr>
        <w:t>Mugler v. Kansas</w:t>
      </w:r>
      <w:r w:rsidRPr="00855566">
        <w:rPr>
          <w:lang w:val="en-US"/>
        </w:rPr>
        <w:t>, 123 U.S. 623, 662</w:t>
      </w:r>
      <w:r>
        <w:rPr>
          <w:lang w:val="en-US"/>
        </w:rPr>
        <w:t xml:space="preserve"> = 8 S. Ct. </w:t>
      </w:r>
      <w:r w:rsidRPr="00855566">
        <w:rPr>
          <w:lang w:val="en-US"/>
        </w:rPr>
        <w:t>273, 298</w:t>
      </w:r>
      <w:r>
        <w:rPr>
          <w:lang w:val="en-US"/>
        </w:rPr>
        <w:t xml:space="preserve"> = 31 L. Ed. </w:t>
      </w:r>
      <w:r w:rsidRPr="00855566">
        <w:rPr>
          <w:lang w:val="en-US"/>
        </w:rPr>
        <w:t>205, 211</w:t>
      </w:r>
      <w:r>
        <w:rPr>
          <w:lang w:val="en-US"/>
        </w:rPr>
        <w:t xml:space="preserve"> = 1887 U.S. LEXIS </w:t>
      </w:r>
      <w:r w:rsidRPr="00855566">
        <w:rPr>
          <w:lang w:val="en-US"/>
        </w:rPr>
        <w:t>2204, 74 (1887)</w:t>
      </w:r>
      <w:r>
        <w:rPr>
          <w:lang w:val="en-US"/>
        </w:rPr>
        <w:t>.</w:t>
      </w:r>
    </w:p>
  </w:footnote>
  <w:footnote w:id="1476">
    <w:p w14:paraId="220208E1" w14:textId="77777777" w:rsidR="00074551" w:rsidRPr="00855566" w:rsidRDefault="00074551" w:rsidP="00074551">
      <w:pPr>
        <w:pStyle w:val="Funotentext"/>
        <w:ind w:left="227" w:hanging="227"/>
        <w:rPr>
          <w:lang w:val="en-US"/>
        </w:rPr>
      </w:pPr>
      <w:r>
        <w:rPr>
          <w:rStyle w:val="Funotenzeichen"/>
          <w:rFonts w:eastAsiaTheme="majorEastAsia"/>
        </w:rPr>
        <w:footnoteRef/>
      </w:r>
      <w:r w:rsidRPr="00855566">
        <w:rPr>
          <w:lang w:val="en-US"/>
        </w:rPr>
        <w:t xml:space="preserve"> </w:t>
      </w:r>
      <w:r w:rsidRPr="004F13B1">
        <w:rPr>
          <w:i/>
          <w:lang w:val="en-US"/>
        </w:rPr>
        <w:t>Mugler v. Kansas</w:t>
      </w:r>
      <w:r w:rsidRPr="00855566">
        <w:rPr>
          <w:lang w:val="en-US"/>
        </w:rPr>
        <w:t>, 123 U.S. 623, 663</w:t>
      </w:r>
      <w:r>
        <w:rPr>
          <w:lang w:val="en-US"/>
        </w:rPr>
        <w:t xml:space="preserve"> = 8 S. Ct. </w:t>
      </w:r>
      <w:r w:rsidRPr="00855566">
        <w:rPr>
          <w:lang w:val="en-US"/>
        </w:rPr>
        <w:t>273, 298</w:t>
      </w:r>
      <w:r>
        <w:rPr>
          <w:lang w:val="en-US"/>
        </w:rPr>
        <w:t xml:space="preserve"> = 31 L. Ed. </w:t>
      </w:r>
      <w:r w:rsidRPr="00855566">
        <w:rPr>
          <w:lang w:val="en-US"/>
        </w:rPr>
        <w:t>205, 211</w:t>
      </w:r>
      <w:r>
        <w:rPr>
          <w:lang w:val="en-US"/>
        </w:rPr>
        <w:t xml:space="preserve"> = 1887 U.S. LEXIS </w:t>
      </w:r>
      <w:r w:rsidRPr="00855566">
        <w:rPr>
          <w:lang w:val="en-US"/>
        </w:rPr>
        <w:t>2204, 75 (1887)</w:t>
      </w:r>
      <w:r>
        <w:rPr>
          <w:lang w:val="en-US"/>
        </w:rPr>
        <w:t>.</w:t>
      </w:r>
    </w:p>
  </w:footnote>
  <w:footnote w:id="1477">
    <w:p w14:paraId="431B6951" w14:textId="77777777" w:rsidR="00074551" w:rsidRPr="004A38D5" w:rsidRDefault="00074551" w:rsidP="00074551">
      <w:pPr>
        <w:pStyle w:val="Funotentext"/>
        <w:rPr>
          <w:lang w:val="en-US"/>
        </w:rPr>
      </w:pPr>
      <w:r>
        <w:rPr>
          <w:rStyle w:val="Funotenzeichen"/>
          <w:rFonts w:eastAsiaTheme="majorEastAsia"/>
        </w:rPr>
        <w:footnoteRef/>
      </w:r>
      <w:r>
        <w:rPr>
          <w:lang w:val="en-US"/>
        </w:rPr>
        <w:t xml:space="preserve"> </w:t>
      </w:r>
      <w:r w:rsidRPr="004F13B1">
        <w:rPr>
          <w:i/>
          <w:lang w:val="en-US"/>
        </w:rPr>
        <w:t>Mugler v. Kansas</w:t>
      </w:r>
      <w:r w:rsidRPr="004A38D5">
        <w:rPr>
          <w:lang w:val="en-US"/>
        </w:rPr>
        <w:t>, 123 U.S. 623, 653</w:t>
      </w:r>
      <w:r>
        <w:rPr>
          <w:lang w:val="en-US"/>
        </w:rPr>
        <w:t xml:space="preserve"> = 8 S. Ct. </w:t>
      </w:r>
      <w:r w:rsidRPr="004A38D5">
        <w:rPr>
          <w:lang w:val="en-US"/>
        </w:rPr>
        <w:t>273, 293</w:t>
      </w:r>
      <w:r>
        <w:rPr>
          <w:lang w:val="en-US"/>
        </w:rPr>
        <w:t xml:space="preserve"> = 31 L. Ed. </w:t>
      </w:r>
      <w:r w:rsidRPr="004A38D5">
        <w:rPr>
          <w:lang w:val="en-US"/>
        </w:rPr>
        <w:t>205, 207</w:t>
      </w:r>
      <w:r>
        <w:rPr>
          <w:lang w:val="en-US"/>
        </w:rPr>
        <w:t xml:space="preserve"> = 1887 U.S. LEXIS </w:t>
      </w:r>
      <w:r w:rsidRPr="004A38D5">
        <w:rPr>
          <w:lang w:val="en-US"/>
        </w:rPr>
        <w:t>2204, 16 (1887)</w:t>
      </w:r>
      <w:r>
        <w:rPr>
          <w:lang w:val="en-US"/>
        </w:rPr>
        <w:t>.</w:t>
      </w:r>
    </w:p>
  </w:footnote>
  <w:footnote w:id="1478">
    <w:p w14:paraId="0DA43081" w14:textId="77777777" w:rsidR="00074551" w:rsidRPr="004A38D5" w:rsidRDefault="00074551" w:rsidP="00074551">
      <w:pPr>
        <w:pStyle w:val="Funotentext"/>
        <w:rPr>
          <w:lang w:val="en-US"/>
        </w:rPr>
      </w:pPr>
      <w:r>
        <w:rPr>
          <w:rStyle w:val="Funotenzeichen"/>
          <w:rFonts w:eastAsiaTheme="majorEastAsia"/>
        </w:rPr>
        <w:footnoteRef/>
      </w:r>
      <w:r w:rsidRPr="004A38D5">
        <w:rPr>
          <w:lang w:val="en-US"/>
        </w:rPr>
        <w:t xml:space="preserve"> </w:t>
      </w:r>
      <w:r w:rsidRPr="00B45592">
        <w:rPr>
          <w:i/>
          <w:lang w:val="en-US"/>
        </w:rPr>
        <w:t>Cooley</w:t>
      </w:r>
      <w:r>
        <w:rPr>
          <w:i/>
          <w:lang w:val="en-US"/>
        </w:rPr>
        <w:t>,</w:t>
      </w:r>
      <w:r w:rsidRPr="00B45592">
        <w:rPr>
          <w:i/>
          <w:lang w:val="en-US"/>
        </w:rPr>
        <w:t xml:space="preserve"> </w:t>
      </w:r>
      <w:r w:rsidRPr="00817F08">
        <w:rPr>
          <w:iCs/>
          <w:lang w:val="en-US"/>
        </w:rPr>
        <w:t>Constitutional Limitations</w:t>
      </w:r>
      <w:r w:rsidRPr="004A38D5">
        <w:rPr>
          <w:lang w:val="en-US"/>
        </w:rPr>
        <w:t xml:space="preserve">, 356; </w:t>
      </w:r>
      <w:proofErr w:type="spellStart"/>
      <w:r w:rsidRPr="00B45592">
        <w:rPr>
          <w:i/>
          <w:lang w:val="en-US"/>
        </w:rPr>
        <w:t>Wynehamer</w:t>
      </w:r>
      <w:proofErr w:type="spellEnd"/>
      <w:r w:rsidRPr="00B45592">
        <w:rPr>
          <w:i/>
          <w:lang w:val="en-US"/>
        </w:rPr>
        <w:t xml:space="preserve"> v. People</w:t>
      </w:r>
      <w:r w:rsidRPr="004A38D5">
        <w:rPr>
          <w:lang w:val="en-US"/>
        </w:rPr>
        <w:t xml:space="preserve">, 13 N.Y. 378; </w:t>
      </w:r>
      <w:r w:rsidRPr="00B45592">
        <w:rPr>
          <w:i/>
          <w:lang w:val="en-US"/>
        </w:rPr>
        <w:t>State v. Allen</w:t>
      </w:r>
      <w:r w:rsidRPr="004A38D5">
        <w:rPr>
          <w:lang w:val="en-US"/>
        </w:rPr>
        <w:t xml:space="preserve">, 2 McCord, Law, 55; </w:t>
      </w:r>
      <w:r w:rsidRPr="00B45592">
        <w:rPr>
          <w:i/>
          <w:lang w:val="en-US"/>
        </w:rPr>
        <w:t>Sears v. Cottrell</w:t>
      </w:r>
      <w:r w:rsidRPr="004A38D5">
        <w:rPr>
          <w:lang w:val="en-US"/>
        </w:rPr>
        <w:t xml:space="preserve">, 5 Mich. 251; </w:t>
      </w:r>
      <w:r w:rsidRPr="00B45592">
        <w:rPr>
          <w:i/>
          <w:lang w:val="en-US"/>
        </w:rPr>
        <w:t>Taylor v. Porter</w:t>
      </w:r>
      <w:r w:rsidRPr="004A38D5">
        <w:rPr>
          <w:lang w:val="en-US"/>
        </w:rPr>
        <w:t xml:space="preserve">, 4 Hill, 140; S.C. 11 Am. Dec. 274; </w:t>
      </w:r>
      <w:r w:rsidRPr="00B45592">
        <w:rPr>
          <w:i/>
          <w:lang w:val="en-US"/>
        </w:rPr>
        <w:t>Hoke v. Henderson</w:t>
      </w:r>
      <w:r w:rsidRPr="004A38D5">
        <w:rPr>
          <w:lang w:val="en-US"/>
        </w:rPr>
        <w:t xml:space="preserve">, 4 Dev. 1; S.C. 25 Am. Dec. 677; </w:t>
      </w:r>
      <w:r w:rsidRPr="00B45592">
        <w:rPr>
          <w:i/>
          <w:lang w:val="en-US"/>
        </w:rPr>
        <w:t>Janes v. Reynolds</w:t>
      </w:r>
      <w:r w:rsidRPr="004A38D5">
        <w:rPr>
          <w:lang w:val="en-US"/>
        </w:rPr>
        <w:t xml:space="preserve">, 2 Texas, 251; </w:t>
      </w:r>
      <w:r w:rsidRPr="00B45592">
        <w:rPr>
          <w:i/>
          <w:lang w:val="en-US"/>
        </w:rPr>
        <w:t>Kennard v. Louisiana</w:t>
      </w:r>
      <w:r w:rsidRPr="004A38D5">
        <w:rPr>
          <w:lang w:val="en-US"/>
        </w:rPr>
        <w:t xml:space="preserve">, 92 U.S. 480; </w:t>
      </w:r>
      <w:r w:rsidRPr="00B45592">
        <w:rPr>
          <w:i/>
          <w:lang w:val="en-US"/>
        </w:rPr>
        <w:t>Murray v. Hoboken Co.</w:t>
      </w:r>
      <w:r w:rsidRPr="004A38D5">
        <w:rPr>
          <w:lang w:val="en-US"/>
        </w:rPr>
        <w:t xml:space="preserve">, 18 How. 272; Websters </w:t>
      </w:r>
      <w:r>
        <w:rPr>
          <w:lang w:val="en-US"/>
        </w:rPr>
        <w:t>Argumentation</w:t>
      </w:r>
      <w:r w:rsidRPr="004A38D5">
        <w:rPr>
          <w:lang w:val="en-US"/>
        </w:rPr>
        <w:t xml:space="preserve"> in </w:t>
      </w:r>
      <w:r w:rsidRPr="00B45592">
        <w:rPr>
          <w:i/>
          <w:lang w:val="en-US"/>
        </w:rPr>
        <w:t>Dartmouth College v. Woodward</w:t>
      </w:r>
      <w:r w:rsidRPr="003B741A">
        <w:rPr>
          <w:lang w:val="en-US"/>
        </w:rPr>
        <w:t xml:space="preserve"> = 4 Wheat. </w:t>
      </w:r>
      <w:r w:rsidRPr="004A38D5">
        <w:rPr>
          <w:lang w:val="en-US"/>
        </w:rPr>
        <w:t xml:space="preserve">518; </w:t>
      </w:r>
      <w:r w:rsidRPr="00B45592">
        <w:rPr>
          <w:i/>
          <w:lang w:val="en-US"/>
        </w:rPr>
        <w:t>Brown v. Hummell</w:t>
      </w:r>
      <w:r w:rsidRPr="004A38D5">
        <w:rPr>
          <w:lang w:val="en-US"/>
        </w:rPr>
        <w:t xml:space="preserve">, 6 Penn. St. 86; </w:t>
      </w:r>
      <w:r w:rsidRPr="00B45592">
        <w:rPr>
          <w:i/>
          <w:lang w:val="en-US"/>
        </w:rPr>
        <w:t>Norman v. Heist</w:t>
      </w:r>
      <w:r w:rsidRPr="004A38D5">
        <w:rPr>
          <w:lang w:val="en-US"/>
        </w:rPr>
        <w:t xml:space="preserve">, 5 W. &amp; S. 171; S.C. 40 Am. Dec. 493; </w:t>
      </w:r>
      <w:r w:rsidRPr="004F13B1">
        <w:rPr>
          <w:i/>
          <w:lang w:val="en-US"/>
        </w:rPr>
        <w:t>Mugler v. Kansas</w:t>
      </w:r>
      <w:r w:rsidRPr="004A38D5">
        <w:rPr>
          <w:lang w:val="en-US"/>
        </w:rPr>
        <w:t>, 123 U.S. 623, 653</w:t>
      </w:r>
      <w:r>
        <w:rPr>
          <w:lang w:val="en-US"/>
        </w:rPr>
        <w:t xml:space="preserve"> = 8 S. Ct. </w:t>
      </w:r>
      <w:r w:rsidRPr="004A38D5">
        <w:rPr>
          <w:lang w:val="en-US"/>
        </w:rPr>
        <w:t>273, 293</w:t>
      </w:r>
      <w:r>
        <w:rPr>
          <w:lang w:val="en-US"/>
        </w:rPr>
        <w:t xml:space="preserve"> = 31 L. Ed. </w:t>
      </w:r>
      <w:r w:rsidRPr="004A38D5">
        <w:rPr>
          <w:lang w:val="en-US"/>
        </w:rPr>
        <w:t>205, 207</w:t>
      </w:r>
      <w:r>
        <w:rPr>
          <w:lang w:val="en-US"/>
        </w:rPr>
        <w:t xml:space="preserve"> = 1887 U.S. LEXIS </w:t>
      </w:r>
      <w:r w:rsidRPr="004A38D5">
        <w:rPr>
          <w:lang w:val="en-US"/>
        </w:rPr>
        <w:t>2204, 16 (1887).</w:t>
      </w:r>
    </w:p>
  </w:footnote>
  <w:footnote w:id="1479">
    <w:p w14:paraId="6EE583CD" w14:textId="77777777" w:rsidR="00074551" w:rsidRPr="00083D8A" w:rsidRDefault="00074551" w:rsidP="00074551">
      <w:pPr>
        <w:pStyle w:val="Funotentext"/>
        <w:rPr>
          <w:lang w:val="en-US"/>
        </w:rPr>
      </w:pPr>
      <w:r>
        <w:rPr>
          <w:rStyle w:val="Funotenzeichen"/>
          <w:rFonts w:eastAsiaTheme="majorEastAsia"/>
        </w:rPr>
        <w:footnoteRef/>
      </w:r>
      <w:r w:rsidRPr="00083D8A">
        <w:rPr>
          <w:lang w:val="en-US"/>
        </w:rPr>
        <w:t xml:space="preserve"> </w:t>
      </w:r>
      <w:r w:rsidRPr="004F13B1">
        <w:rPr>
          <w:i/>
          <w:lang w:val="en-US"/>
        </w:rPr>
        <w:t>Mugler v. Kansas</w:t>
      </w:r>
      <w:r w:rsidRPr="00083D8A">
        <w:rPr>
          <w:lang w:val="en-US"/>
        </w:rPr>
        <w:t>, 123 U.S. 623, 653</w:t>
      </w:r>
      <w:r>
        <w:rPr>
          <w:lang w:val="en-US"/>
        </w:rPr>
        <w:t xml:space="preserve"> = 8 S. Ct. </w:t>
      </w:r>
      <w:r w:rsidRPr="00083D8A">
        <w:rPr>
          <w:lang w:val="en-US"/>
        </w:rPr>
        <w:t>273, 293</w:t>
      </w:r>
      <w:r>
        <w:rPr>
          <w:lang w:val="en-US"/>
        </w:rPr>
        <w:t xml:space="preserve"> = 31 L. Ed. </w:t>
      </w:r>
      <w:r w:rsidRPr="00083D8A">
        <w:rPr>
          <w:lang w:val="en-US"/>
        </w:rPr>
        <w:t>205, 207</w:t>
      </w:r>
      <w:r>
        <w:rPr>
          <w:lang w:val="en-US"/>
        </w:rPr>
        <w:t xml:space="preserve"> = 1887 U.S. LEXIS </w:t>
      </w:r>
      <w:r w:rsidRPr="00083D8A">
        <w:rPr>
          <w:lang w:val="en-US"/>
        </w:rPr>
        <w:t>2204, 16 (1887).</w:t>
      </w:r>
    </w:p>
  </w:footnote>
  <w:footnote w:id="1480">
    <w:p w14:paraId="75FE3F7D" w14:textId="77777777" w:rsidR="00074551" w:rsidRPr="00766DF3" w:rsidRDefault="00074551" w:rsidP="00074551">
      <w:pPr>
        <w:pStyle w:val="Funotentext"/>
        <w:rPr>
          <w:lang w:val="en-US"/>
        </w:rPr>
      </w:pPr>
      <w:r>
        <w:rPr>
          <w:rStyle w:val="Funotenzeichen"/>
          <w:rFonts w:eastAsiaTheme="majorEastAsia"/>
        </w:rPr>
        <w:footnoteRef/>
      </w:r>
      <w:r w:rsidRPr="00766DF3">
        <w:rPr>
          <w:lang w:val="en-US"/>
        </w:rPr>
        <w:t xml:space="preserve"> </w:t>
      </w:r>
      <w:r w:rsidRPr="00B45592">
        <w:rPr>
          <w:i/>
          <w:iCs/>
          <w:lang w:val="en-US"/>
        </w:rPr>
        <w:t>Ely</w:t>
      </w:r>
      <w:r w:rsidRPr="00766DF3">
        <w:rPr>
          <w:lang w:val="en-US"/>
        </w:rPr>
        <w:t>, Democracy and Distrust 44 (1980)</w:t>
      </w:r>
      <w:r>
        <w:rPr>
          <w:lang w:val="en-US"/>
        </w:rPr>
        <w:t xml:space="preserve">; </w:t>
      </w:r>
      <w:r w:rsidRPr="009167A5">
        <w:rPr>
          <w:i/>
          <w:lang w:val="en-US"/>
        </w:rPr>
        <w:t>Obergefell v. Hodges</w:t>
      </w:r>
      <w:r w:rsidRPr="00766DF3">
        <w:rPr>
          <w:lang w:val="en-US"/>
        </w:rPr>
        <w:t>, 576 U.S. 644, 699</w:t>
      </w:r>
      <w:r w:rsidRPr="006E67FE">
        <w:rPr>
          <w:lang w:val="en-US"/>
        </w:rPr>
        <w:t xml:space="preserve"> = 135 S. Ct. </w:t>
      </w:r>
      <w:r w:rsidRPr="00766DF3">
        <w:rPr>
          <w:lang w:val="en-US"/>
        </w:rPr>
        <w:t>2584, 2618</w:t>
      </w:r>
      <w:r w:rsidRPr="006E67FE">
        <w:rPr>
          <w:lang w:val="en-US"/>
        </w:rPr>
        <w:t xml:space="preserve"> = 192 L. Ed. </w:t>
      </w:r>
      <w:r w:rsidRPr="00766DF3">
        <w:rPr>
          <w:lang w:val="en-US"/>
        </w:rPr>
        <w:t>2d 609, 646</w:t>
      </w:r>
      <w:r w:rsidRPr="006E67FE">
        <w:rPr>
          <w:lang w:val="en-US"/>
        </w:rPr>
        <w:t xml:space="preserve"> = 2015 U.S. LEXIS </w:t>
      </w:r>
      <w:r w:rsidRPr="00766DF3">
        <w:rPr>
          <w:lang w:val="en-US"/>
        </w:rPr>
        <w:t>4250, 72</w:t>
      </w:r>
      <w:r w:rsidRPr="006E67FE">
        <w:rPr>
          <w:lang w:val="en-US"/>
        </w:rPr>
        <w:t xml:space="preserve"> = 83 U.S.L.W. </w:t>
      </w:r>
      <w:r w:rsidRPr="00766DF3">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66DF3">
        <w:rPr>
          <w:lang w:val="en-US"/>
        </w:rPr>
        <w:t>Dec. (CCH) P45,341</w:t>
      </w:r>
      <w:r w:rsidRPr="006E67FE">
        <w:rPr>
          <w:lang w:val="en-US"/>
        </w:rPr>
        <w:t xml:space="preserve"> = 115 A.F.T.R. 2d </w:t>
      </w:r>
      <w:r w:rsidRPr="00766DF3">
        <w:rPr>
          <w:lang w:val="en-US"/>
        </w:rPr>
        <w:t>(RIA) 2015-2309</w:t>
      </w:r>
      <w:r w:rsidRPr="006E67FE">
        <w:rPr>
          <w:lang w:val="en-US"/>
        </w:rPr>
        <w:t xml:space="preserve"> = 25 Fla. L. Weekly Fed. </w:t>
      </w:r>
      <w:r w:rsidRPr="00766DF3">
        <w:rPr>
          <w:lang w:val="en-US"/>
        </w:rPr>
        <w:t>S 472 (2015)</w:t>
      </w:r>
      <w:r>
        <w:rPr>
          <w:lang w:val="en-US"/>
        </w:rPr>
        <w:t>.</w:t>
      </w:r>
    </w:p>
  </w:footnote>
  <w:footnote w:id="1481">
    <w:p w14:paraId="35D68D88" w14:textId="77777777" w:rsidR="00074551" w:rsidRPr="00766DF3" w:rsidRDefault="00074551" w:rsidP="00074551">
      <w:pPr>
        <w:pStyle w:val="Funotentext"/>
        <w:rPr>
          <w:lang w:val="en-US"/>
        </w:rPr>
      </w:pPr>
      <w:r>
        <w:rPr>
          <w:rStyle w:val="Funotenzeichen"/>
          <w:rFonts w:eastAsiaTheme="majorEastAsia"/>
        </w:rPr>
        <w:footnoteRef/>
      </w:r>
      <w:r w:rsidRPr="00766DF3">
        <w:rPr>
          <w:lang w:val="en-US"/>
        </w:rPr>
        <w:t xml:space="preserve"> </w:t>
      </w:r>
      <w:r w:rsidRPr="009167A5">
        <w:rPr>
          <w:i/>
          <w:lang w:val="en-US"/>
        </w:rPr>
        <w:t>Obergefell v. Hodges</w:t>
      </w:r>
      <w:r w:rsidRPr="00766DF3">
        <w:rPr>
          <w:lang w:val="en-US"/>
        </w:rPr>
        <w:t>, 576 U.S. 644, 699</w:t>
      </w:r>
      <w:r w:rsidRPr="006E67FE">
        <w:rPr>
          <w:lang w:val="en-US"/>
        </w:rPr>
        <w:t xml:space="preserve"> = 135 S. Ct. </w:t>
      </w:r>
      <w:r w:rsidRPr="00766DF3">
        <w:rPr>
          <w:lang w:val="en-US"/>
        </w:rPr>
        <w:t>2584, 2618</w:t>
      </w:r>
      <w:r w:rsidRPr="006E67FE">
        <w:rPr>
          <w:lang w:val="en-US"/>
        </w:rPr>
        <w:t xml:space="preserve"> = 192 L. Ed. </w:t>
      </w:r>
      <w:r w:rsidRPr="00766DF3">
        <w:rPr>
          <w:lang w:val="en-US"/>
        </w:rPr>
        <w:t>2d 609, 646</w:t>
      </w:r>
      <w:r w:rsidRPr="006E67FE">
        <w:rPr>
          <w:lang w:val="en-US"/>
        </w:rPr>
        <w:t xml:space="preserve"> = 2015 U.S. LEXIS </w:t>
      </w:r>
      <w:r w:rsidRPr="00766DF3">
        <w:rPr>
          <w:lang w:val="en-US"/>
        </w:rPr>
        <w:t>4250, 72</w:t>
      </w:r>
      <w:r w:rsidRPr="006E67FE">
        <w:rPr>
          <w:lang w:val="en-US"/>
        </w:rPr>
        <w:t xml:space="preserve"> = 83 U.S.L.W. </w:t>
      </w:r>
      <w:r w:rsidRPr="00766DF3">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66DF3">
        <w:rPr>
          <w:lang w:val="en-US"/>
        </w:rPr>
        <w:t>Dec. (CCH) P45,341</w:t>
      </w:r>
      <w:r w:rsidRPr="006E67FE">
        <w:rPr>
          <w:lang w:val="en-US"/>
        </w:rPr>
        <w:t xml:space="preserve"> = 115 A.F.T.R. 2d </w:t>
      </w:r>
      <w:r w:rsidRPr="00766DF3">
        <w:rPr>
          <w:lang w:val="en-US"/>
        </w:rPr>
        <w:t>(RIA) 2015-2309</w:t>
      </w:r>
      <w:r w:rsidRPr="006E67FE">
        <w:rPr>
          <w:lang w:val="en-US"/>
        </w:rPr>
        <w:t xml:space="preserve"> = 25 Fla. L. Weekly Fed. </w:t>
      </w:r>
      <w:r w:rsidRPr="00766DF3">
        <w:rPr>
          <w:lang w:val="en-US"/>
        </w:rPr>
        <w:t>S 472 (2015)</w:t>
      </w:r>
      <w:r>
        <w:rPr>
          <w:lang w:val="en-US"/>
        </w:rPr>
        <w:t>.</w:t>
      </w:r>
    </w:p>
  </w:footnote>
  <w:footnote w:id="1482">
    <w:p w14:paraId="03005C46" w14:textId="77777777" w:rsidR="00074551" w:rsidRPr="00766DF3" w:rsidRDefault="00074551" w:rsidP="00074551">
      <w:pPr>
        <w:pStyle w:val="Funotentext"/>
        <w:rPr>
          <w:lang w:val="en-US"/>
        </w:rPr>
      </w:pPr>
      <w:r>
        <w:rPr>
          <w:rStyle w:val="Funotenzeichen"/>
          <w:rFonts w:eastAsiaTheme="majorEastAsia"/>
        </w:rPr>
        <w:footnoteRef/>
      </w:r>
      <w:r w:rsidRPr="00766DF3">
        <w:rPr>
          <w:lang w:val="en-US"/>
        </w:rPr>
        <w:t xml:space="preserve"> </w:t>
      </w:r>
      <w:r w:rsidRPr="009167A5">
        <w:rPr>
          <w:i/>
          <w:lang w:val="en-US"/>
        </w:rPr>
        <w:t>Griswold v. Connecticut</w:t>
      </w:r>
      <w:r w:rsidRPr="00766DF3">
        <w:rPr>
          <w:lang w:val="en-US"/>
        </w:rPr>
        <w:t>, 381 U.S. 479, 501</w:t>
      </w:r>
      <w:r w:rsidRPr="006E67FE">
        <w:rPr>
          <w:lang w:val="en-US"/>
        </w:rPr>
        <w:t xml:space="preserve"> = 85 S. Ct. </w:t>
      </w:r>
      <w:r w:rsidRPr="00766DF3">
        <w:rPr>
          <w:lang w:val="en-US"/>
        </w:rPr>
        <w:t>1678</w:t>
      </w:r>
      <w:r w:rsidRPr="003B741A">
        <w:rPr>
          <w:lang w:val="en-US"/>
        </w:rPr>
        <w:t xml:space="preserve"> = 14 L. Ed. </w:t>
      </w:r>
      <w:r w:rsidRPr="00766DF3">
        <w:rPr>
          <w:lang w:val="en-US"/>
        </w:rPr>
        <w:t>2d 510 (1965</w:t>
      </w:r>
      <w:r w:rsidRPr="00B35CD0">
        <w:rPr>
          <w:lang w:val="en-US"/>
        </w:rPr>
        <w:t>) (</w:t>
      </w:r>
      <w:r w:rsidRPr="00B45592">
        <w:rPr>
          <w:i/>
          <w:lang w:val="en-US"/>
        </w:rPr>
        <w:t>concurring opinion</w:t>
      </w:r>
      <w:r w:rsidRPr="00B45592">
        <w:rPr>
          <w:lang w:val="en-US"/>
        </w:rPr>
        <w:t xml:space="preserve"> von Richter </w:t>
      </w:r>
      <w:r w:rsidRPr="00B45592">
        <w:rPr>
          <w:i/>
          <w:lang w:val="en-US"/>
        </w:rPr>
        <w:t>Harlan</w:t>
      </w:r>
      <w:r w:rsidRPr="00B35CD0">
        <w:rPr>
          <w:lang w:val="en-US"/>
        </w:rPr>
        <w:t>);</w:t>
      </w:r>
      <w:r w:rsidRPr="00766DF3">
        <w:rPr>
          <w:lang w:val="en-US"/>
        </w:rPr>
        <w:t xml:space="preserve"> </w:t>
      </w:r>
      <w:r w:rsidRPr="009167A5">
        <w:rPr>
          <w:i/>
          <w:lang w:val="en-US"/>
        </w:rPr>
        <w:t>Obergefell v. Hodges</w:t>
      </w:r>
      <w:r w:rsidRPr="00766DF3">
        <w:rPr>
          <w:lang w:val="en-US"/>
        </w:rPr>
        <w:t>, 576 U.S. 644, 699</w:t>
      </w:r>
      <w:r w:rsidRPr="006E67FE">
        <w:rPr>
          <w:lang w:val="en-US"/>
        </w:rPr>
        <w:t xml:space="preserve"> = 135 S. Ct. </w:t>
      </w:r>
      <w:r w:rsidRPr="00766DF3">
        <w:rPr>
          <w:lang w:val="en-US"/>
        </w:rPr>
        <w:t>2584, 2618</w:t>
      </w:r>
      <w:r w:rsidRPr="006E67FE">
        <w:rPr>
          <w:lang w:val="en-US"/>
        </w:rPr>
        <w:t xml:space="preserve"> = 192 L. Ed. </w:t>
      </w:r>
      <w:r w:rsidRPr="00766DF3">
        <w:rPr>
          <w:lang w:val="en-US"/>
        </w:rPr>
        <w:t>2d 609, 646</w:t>
      </w:r>
      <w:r w:rsidRPr="006E67FE">
        <w:rPr>
          <w:lang w:val="en-US"/>
        </w:rPr>
        <w:t xml:space="preserve"> = 2015 U.S. LEXIS </w:t>
      </w:r>
      <w:r w:rsidRPr="00766DF3">
        <w:rPr>
          <w:lang w:val="en-US"/>
        </w:rPr>
        <w:t>4250, 72</w:t>
      </w:r>
      <w:r w:rsidRPr="006E67FE">
        <w:rPr>
          <w:lang w:val="en-US"/>
        </w:rPr>
        <w:t xml:space="preserve"> = 83 U.S.L.W. </w:t>
      </w:r>
      <w:r w:rsidRPr="00766DF3">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66DF3">
        <w:rPr>
          <w:lang w:val="en-US"/>
        </w:rPr>
        <w:t>Dec. (CCH) P45,341</w:t>
      </w:r>
      <w:r w:rsidRPr="006E67FE">
        <w:rPr>
          <w:lang w:val="en-US"/>
        </w:rPr>
        <w:t xml:space="preserve"> = 115 A.F.T.R. 2d </w:t>
      </w:r>
      <w:r w:rsidRPr="00766DF3">
        <w:rPr>
          <w:lang w:val="en-US"/>
        </w:rPr>
        <w:t>(RIA) 2015-2309</w:t>
      </w:r>
      <w:r w:rsidRPr="006E67FE">
        <w:rPr>
          <w:lang w:val="en-US"/>
        </w:rPr>
        <w:t xml:space="preserve"> = 25 Fla. L. Weekly Fed. </w:t>
      </w:r>
      <w:r w:rsidRPr="00766DF3">
        <w:rPr>
          <w:lang w:val="en-US"/>
        </w:rPr>
        <w:t>S 472 (2015).</w:t>
      </w:r>
    </w:p>
  </w:footnote>
  <w:footnote w:id="1483">
    <w:p w14:paraId="3FE08FF1" w14:textId="77777777" w:rsidR="00074551" w:rsidRPr="00766DF3" w:rsidRDefault="00074551" w:rsidP="00074551">
      <w:pPr>
        <w:pStyle w:val="Funotentext"/>
        <w:rPr>
          <w:lang w:val="en-US"/>
        </w:rPr>
      </w:pPr>
      <w:r>
        <w:rPr>
          <w:rStyle w:val="Funotenzeichen"/>
          <w:rFonts w:eastAsiaTheme="majorEastAsia"/>
        </w:rPr>
        <w:footnoteRef/>
      </w:r>
      <w:r w:rsidRPr="00766DF3">
        <w:rPr>
          <w:lang w:val="en-US"/>
        </w:rPr>
        <w:t xml:space="preserve"> </w:t>
      </w:r>
      <w:r w:rsidRPr="009167A5">
        <w:rPr>
          <w:i/>
          <w:lang w:val="en-US"/>
        </w:rPr>
        <w:t>Griswold v. Connecticut</w:t>
      </w:r>
      <w:r w:rsidRPr="00766DF3">
        <w:rPr>
          <w:lang w:val="en-US"/>
        </w:rPr>
        <w:t>, 381 U.S. 479, 501</w:t>
      </w:r>
      <w:r w:rsidRPr="006E67FE">
        <w:rPr>
          <w:lang w:val="en-US"/>
        </w:rPr>
        <w:t xml:space="preserve"> = 85 S. Ct. </w:t>
      </w:r>
      <w:r w:rsidRPr="00766DF3">
        <w:rPr>
          <w:lang w:val="en-US"/>
        </w:rPr>
        <w:t>1678</w:t>
      </w:r>
      <w:r w:rsidRPr="003B741A">
        <w:rPr>
          <w:lang w:val="en-US"/>
        </w:rPr>
        <w:t xml:space="preserve"> = 14 L. Ed. </w:t>
      </w:r>
      <w:r w:rsidRPr="00766DF3">
        <w:rPr>
          <w:lang w:val="en-US"/>
        </w:rPr>
        <w:t>2d 510 (1965) (</w:t>
      </w:r>
      <w:r w:rsidRPr="0055303E">
        <w:rPr>
          <w:i/>
          <w:lang w:val="en-US"/>
        </w:rPr>
        <w:t>concurring opinion</w:t>
      </w:r>
      <w:r w:rsidRPr="0055303E">
        <w:rPr>
          <w:lang w:val="en-US"/>
        </w:rPr>
        <w:t xml:space="preserve"> von Richter </w:t>
      </w:r>
      <w:r w:rsidRPr="00B45592">
        <w:rPr>
          <w:i/>
          <w:lang w:val="en-US"/>
        </w:rPr>
        <w:t>Harlan</w:t>
      </w:r>
      <w:r w:rsidRPr="00766DF3">
        <w:rPr>
          <w:lang w:val="en-US"/>
        </w:rPr>
        <w:t xml:space="preserve">); </w:t>
      </w:r>
      <w:r w:rsidRPr="009167A5">
        <w:rPr>
          <w:i/>
          <w:lang w:val="en-US"/>
        </w:rPr>
        <w:t>Obergefell v. Hodges</w:t>
      </w:r>
      <w:r w:rsidRPr="00766DF3">
        <w:rPr>
          <w:lang w:val="en-US"/>
        </w:rPr>
        <w:t>, 576 U.S. 644, 699</w:t>
      </w:r>
      <w:r w:rsidRPr="006E67FE">
        <w:rPr>
          <w:lang w:val="en-US"/>
        </w:rPr>
        <w:t xml:space="preserve"> = 135 S. Ct. </w:t>
      </w:r>
      <w:r w:rsidRPr="00766DF3">
        <w:rPr>
          <w:lang w:val="en-US"/>
        </w:rPr>
        <w:t>2584, 2618</w:t>
      </w:r>
      <w:r w:rsidRPr="006E67FE">
        <w:rPr>
          <w:lang w:val="en-US"/>
        </w:rPr>
        <w:t xml:space="preserve"> = 192 L. Ed. </w:t>
      </w:r>
      <w:r w:rsidRPr="00766DF3">
        <w:rPr>
          <w:lang w:val="en-US"/>
        </w:rPr>
        <w:t>2d 609, 646</w:t>
      </w:r>
      <w:r w:rsidRPr="006E67FE">
        <w:rPr>
          <w:lang w:val="en-US"/>
        </w:rPr>
        <w:t xml:space="preserve"> = 2015 U.S. LEXIS </w:t>
      </w:r>
      <w:r w:rsidRPr="00766DF3">
        <w:rPr>
          <w:lang w:val="en-US"/>
        </w:rPr>
        <w:t>4250, 72</w:t>
      </w:r>
      <w:r w:rsidRPr="006E67FE">
        <w:rPr>
          <w:lang w:val="en-US"/>
        </w:rPr>
        <w:t xml:space="preserve"> = 83 U.S.L.W. </w:t>
      </w:r>
      <w:r w:rsidRPr="00766DF3">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66DF3">
        <w:rPr>
          <w:lang w:val="en-US"/>
        </w:rPr>
        <w:t>Dec. (CCH) P45,341</w:t>
      </w:r>
      <w:r w:rsidRPr="006E67FE">
        <w:rPr>
          <w:lang w:val="en-US"/>
        </w:rPr>
        <w:t xml:space="preserve"> = 115 A.F.T.R. 2d </w:t>
      </w:r>
      <w:r w:rsidRPr="00766DF3">
        <w:rPr>
          <w:lang w:val="en-US"/>
        </w:rPr>
        <w:t>(RIA) 2015-2309</w:t>
      </w:r>
      <w:r w:rsidRPr="006E67FE">
        <w:rPr>
          <w:lang w:val="en-US"/>
        </w:rPr>
        <w:t xml:space="preserve"> = 25 Fla. L. Weekly Fed. </w:t>
      </w:r>
      <w:r w:rsidRPr="00766DF3">
        <w:rPr>
          <w:lang w:val="en-US"/>
        </w:rPr>
        <w:t>S 472 (2015).</w:t>
      </w:r>
    </w:p>
  </w:footnote>
  <w:footnote w:id="1484">
    <w:p w14:paraId="24FEF855" w14:textId="77777777" w:rsidR="00074551" w:rsidRPr="00675178" w:rsidRDefault="00074551" w:rsidP="00074551">
      <w:pPr>
        <w:pStyle w:val="Funotentext"/>
        <w:rPr>
          <w:lang w:val="en-US"/>
        </w:rPr>
      </w:pPr>
      <w:r>
        <w:rPr>
          <w:rStyle w:val="Funotenzeichen"/>
          <w:rFonts w:eastAsiaTheme="majorEastAsia"/>
        </w:rPr>
        <w:footnoteRef/>
      </w:r>
      <w:r w:rsidRPr="00766DF3">
        <w:rPr>
          <w:lang w:val="en-US"/>
        </w:rPr>
        <w:t xml:space="preserve"> </w:t>
      </w:r>
      <w:r w:rsidRPr="009167A5">
        <w:rPr>
          <w:i/>
          <w:lang w:val="en-US"/>
        </w:rPr>
        <w:t>Griswold v. Connecticut</w:t>
      </w:r>
      <w:r w:rsidRPr="00766DF3">
        <w:rPr>
          <w:lang w:val="en-US"/>
        </w:rPr>
        <w:t>, 381 U.S. 479, 501</w:t>
      </w:r>
      <w:r w:rsidRPr="006E67FE">
        <w:rPr>
          <w:lang w:val="en-US"/>
        </w:rPr>
        <w:t xml:space="preserve"> = 85 S. Ct. </w:t>
      </w:r>
      <w:r w:rsidRPr="00766DF3">
        <w:rPr>
          <w:lang w:val="en-US"/>
        </w:rPr>
        <w:t>1678</w:t>
      </w:r>
      <w:r w:rsidRPr="003B741A">
        <w:rPr>
          <w:lang w:val="en-US"/>
        </w:rPr>
        <w:t xml:space="preserve"> = 14 L. Ed. </w:t>
      </w:r>
      <w:r w:rsidRPr="00766DF3">
        <w:rPr>
          <w:lang w:val="en-US"/>
        </w:rPr>
        <w:t>2d 510 (1965) (</w:t>
      </w:r>
      <w:r w:rsidRPr="0055303E">
        <w:rPr>
          <w:i/>
          <w:lang w:val="en-US"/>
        </w:rPr>
        <w:t>concurring opinion</w:t>
      </w:r>
      <w:r w:rsidRPr="0055303E">
        <w:rPr>
          <w:lang w:val="en-US"/>
        </w:rPr>
        <w:t xml:space="preserve"> von Richter </w:t>
      </w:r>
      <w:r w:rsidRPr="00B45592">
        <w:rPr>
          <w:i/>
          <w:lang w:val="en-US"/>
        </w:rPr>
        <w:t>Harlan</w:t>
      </w:r>
      <w:r w:rsidRPr="00766DF3">
        <w:rPr>
          <w:lang w:val="en-US"/>
        </w:rPr>
        <w:t xml:space="preserve">); </w:t>
      </w:r>
      <w:r w:rsidRPr="009167A5">
        <w:rPr>
          <w:i/>
          <w:lang w:val="en-US"/>
        </w:rPr>
        <w:t>Obergefell v. Hodges</w:t>
      </w:r>
      <w:r w:rsidRPr="00766DF3">
        <w:rPr>
          <w:lang w:val="en-US"/>
        </w:rPr>
        <w:t>, 576 U.S. 644, 699</w:t>
      </w:r>
      <w:r w:rsidRPr="006E67FE">
        <w:rPr>
          <w:lang w:val="en-US"/>
        </w:rPr>
        <w:t xml:space="preserve"> = 135 S. Ct. </w:t>
      </w:r>
      <w:r w:rsidRPr="00766DF3">
        <w:rPr>
          <w:lang w:val="en-US"/>
        </w:rPr>
        <w:t>2584, 2618</w:t>
      </w:r>
      <w:r w:rsidRPr="006E67FE">
        <w:rPr>
          <w:lang w:val="en-US"/>
        </w:rPr>
        <w:t xml:space="preserve"> = 192 L. Ed. </w:t>
      </w:r>
      <w:r w:rsidRPr="00766DF3">
        <w:rPr>
          <w:lang w:val="en-US"/>
        </w:rPr>
        <w:t>2d 609, 646</w:t>
      </w:r>
      <w:r w:rsidRPr="006E67FE">
        <w:rPr>
          <w:lang w:val="en-US"/>
        </w:rPr>
        <w:t xml:space="preserve"> = 2015 U.S. LEXIS </w:t>
      </w:r>
      <w:r w:rsidRPr="00766DF3">
        <w:rPr>
          <w:lang w:val="en-US"/>
        </w:rPr>
        <w:t>4250, 72</w:t>
      </w:r>
      <w:r w:rsidRPr="006E67FE">
        <w:rPr>
          <w:lang w:val="en-US"/>
        </w:rPr>
        <w:t xml:space="preserve"> = 83 U.S.L.W. </w:t>
      </w:r>
      <w:r w:rsidRPr="00766DF3">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766DF3">
        <w:rPr>
          <w:lang w:val="en-US"/>
        </w:rPr>
        <w:t>Dec. (CCH) P45,341</w:t>
      </w:r>
      <w:r w:rsidRPr="006E67FE">
        <w:rPr>
          <w:lang w:val="en-US"/>
        </w:rPr>
        <w:t xml:space="preserve"> = 115 A.F.T.R. 2d </w:t>
      </w:r>
      <w:r w:rsidRPr="00766DF3">
        <w:rPr>
          <w:lang w:val="en-US"/>
        </w:rPr>
        <w:t>(RIA) 2015-2309</w:t>
      </w:r>
      <w:r w:rsidRPr="006E67FE">
        <w:rPr>
          <w:lang w:val="en-US"/>
        </w:rPr>
        <w:t xml:space="preserve"> = 25 Fla. L. Weekly Fed. </w:t>
      </w:r>
      <w:r w:rsidRPr="00675178">
        <w:rPr>
          <w:lang w:val="en-US"/>
        </w:rPr>
        <w:t>S 472 (2015).</w:t>
      </w:r>
    </w:p>
  </w:footnote>
  <w:footnote w:id="1485">
    <w:p w14:paraId="64898EF2" w14:textId="77777777" w:rsidR="00074551" w:rsidRPr="0019499F" w:rsidRDefault="00074551" w:rsidP="00074551">
      <w:pPr>
        <w:pStyle w:val="Funotentext"/>
        <w:rPr>
          <w:lang w:val="en-US"/>
        </w:rPr>
      </w:pPr>
      <w:r>
        <w:rPr>
          <w:rStyle w:val="Funotenzeichen"/>
          <w:rFonts w:eastAsiaTheme="majorEastAsia"/>
        </w:rPr>
        <w:footnoteRef/>
      </w:r>
      <w:r w:rsidRPr="00F15E41">
        <w:rPr>
          <w:lang w:val="en-US"/>
        </w:rPr>
        <w:t xml:space="preserve"> </w:t>
      </w:r>
      <w:r w:rsidRPr="009167A5">
        <w:rPr>
          <w:i/>
          <w:lang w:val="en-US"/>
        </w:rPr>
        <w:t>Obergefell v. Hodges</w:t>
      </w:r>
      <w:r w:rsidRPr="00F15E41">
        <w:rPr>
          <w:lang w:val="en-US"/>
        </w:rPr>
        <w:t>, 576 U.S. 644, 738</w:t>
      </w:r>
      <w:r w:rsidRPr="006E67FE">
        <w:rPr>
          <w:lang w:val="en-US"/>
        </w:rPr>
        <w:t xml:space="preserve"> = 135 S. Ct. </w:t>
      </w:r>
      <w:r w:rsidRPr="00F15E41">
        <w:rPr>
          <w:lang w:val="en-US"/>
        </w:rPr>
        <w:t>2584, 2641</w:t>
      </w:r>
      <w:r w:rsidRPr="006E67FE">
        <w:rPr>
          <w:lang w:val="en-US"/>
        </w:rPr>
        <w:t xml:space="preserve"> = 192 L. Ed. </w:t>
      </w:r>
      <w:r w:rsidRPr="00F15E41">
        <w:rPr>
          <w:lang w:val="en-US"/>
        </w:rPr>
        <w:t>2d 609, 671</w:t>
      </w:r>
      <w:r w:rsidRPr="006E67FE">
        <w:rPr>
          <w:lang w:val="en-US"/>
        </w:rPr>
        <w:t xml:space="preserve"> = 2015 U.S. LEXIS </w:t>
      </w:r>
      <w:r w:rsidRPr="00F15E41">
        <w:rPr>
          <w:lang w:val="en-US"/>
        </w:rPr>
        <w:t>4250, 135</w:t>
      </w:r>
      <w:r w:rsidRPr="006E67FE">
        <w:rPr>
          <w:lang w:val="en-US"/>
        </w:rPr>
        <w:t xml:space="preserve"> = 83 U.S.L.W. </w:t>
      </w:r>
      <w:r w:rsidRPr="00F15E41">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9499F">
        <w:rPr>
          <w:lang w:val="en-US"/>
        </w:rPr>
        <w:t>Dec. (CCH) P45,341</w:t>
      </w:r>
      <w:r w:rsidRPr="006E67FE">
        <w:rPr>
          <w:lang w:val="en-US"/>
        </w:rPr>
        <w:t xml:space="preserve"> = 115 A.F.T.R. 2d </w:t>
      </w:r>
      <w:r w:rsidRPr="0019499F">
        <w:rPr>
          <w:lang w:val="en-US"/>
        </w:rPr>
        <w:t>(RIA) 2015-2309</w:t>
      </w:r>
      <w:r w:rsidRPr="006E67FE">
        <w:rPr>
          <w:lang w:val="en-US"/>
        </w:rPr>
        <w:t xml:space="preserve"> = 25 Fla. L. Weekly Fed. </w:t>
      </w:r>
      <w:r w:rsidRPr="0019499F">
        <w:rPr>
          <w:lang w:val="en-US"/>
        </w:rPr>
        <w:t>S 472 (2015)</w:t>
      </w:r>
      <w:r>
        <w:rPr>
          <w:lang w:val="en-US"/>
        </w:rPr>
        <w:t>.</w:t>
      </w:r>
    </w:p>
  </w:footnote>
  <w:footnote w:id="1486">
    <w:p w14:paraId="0C3DD15A" w14:textId="77777777" w:rsidR="00074551" w:rsidRPr="0019499F" w:rsidRDefault="00074551" w:rsidP="00074551">
      <w:pPr>
        <w:pStyle w:val="Funotentext"/>
        <w:rPr>
          <w:lang w:val="en-US"/>
        </w:rPr>
      </w:pPr>
      <w:r>
        <w:rPr>
          <w:rStyle w:val="Funotenzeichen"/>
          <w:rFonts w:eastAsiaTheme="majorEastAsia"/>
        </w:rPr>
        <w:footnoteRef/>
      </w:r>
      <w:r w:rsidRPr="00F15E41">
        <w:rPr>
          <w:lang w:val="en-US"/>
        </w:rPr>
        <w:t xml:space="preserve"> </w:t>
      </w:r>
      <w:r w:rsidRPr="009167A5">
        <w:rPr>
          <w:i/>
          <w:lang w:val="en-US"/>
        </w:rPr>
        <w:t>Obergefell v. Hodges</w:t>
      </w:r>
      <w:r w:rsidRPr="00F15E41">
        <w:rPr>
          <w:lang w:val="en-US"/>
        </w:rPr>
        <w:t>, 576 U.S. 644, 738</w:t>
      </w:r>
      <w:r w:rsidRPr="006E67FE">
        <w:rPr>
          <w:lang w:val="en-US"/>
        </w:rPr>
        <w:t xml:space="preserve"> = 135 S. Ct. </w:t>
      </w:r>
      <w:r w:rsidRPr="00F15E41">
        <w:rPr>
          <w:lang w:val="en-US"/>
        </w:rPr>
        <w:t>2584, 2641</w:t>
      </w:r>
      <w:r w:rsidRPr="006E67FE">
        <w:rPr>
          <w:lang w:val="en-US"/>
        </w:rPr>
        <w:t xml:space="preserve"> = 192 L. Ed. </w:t>
      </w:r>
      <w:r w:rsidRPr="00F15E41">
        <w:rPr>
          <w:lang w:val="en-US"/>
        </w:rPr>
        <w:t>2d 609, 671</w:t>
      </w:r>
      <w:r w:rsidRPr="006E67FE">
        <w:rPr>
          <w:lang w:val="en-US"/>
        </w:rPr>
        <w:t xml:space="preserve"> = 2015 U.S. LEXIS </w:t>
      </w:r>
      <w:r w:rsidRPr="00F15E41">
        <w:rPr>
          <w:lang w:val="en-US"/>
        </w:rPr>
        <w:t>4250, 135</w:t>
      </w:r>
      <w:r w:rsidRPr="006E67FE">
        <w:rPr>
          <w:lang w:val="en-US"/>
        </w:rPr>
        <w:t xml:space="preserve"> = 83 U.S.L.W. </w:t>
      </w:r>
      <w:r w:rsidRPr="00F15E41">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9499F">
        <w:rPr>
          <w:lang w:val="en-US"/>
        </w:rPr>
        <w:t>Dec. (CCH) P45,341</w:t>
      </w:r>
      <w:r w:rsidRPr="006E67FE">
        <w:rPr>
          <w:lang w:val="en-US"/>
        </w:rPr>
        <w:t xml:space="preserve"> = 115 A.F.T.R. 2d </w:t>
      </w:r>
      <w:r w:rsidRPr="0019499F">
        <w:rPr>
          <w:lang w:val="en-US"/>
        </w:rPr>
        <w:t>(RIA) 2015-2309</w:t>
      </w:r>
      <w:r w:rsidRPr="006E67FE">
        <w:rPr>
          <w:lang w:val="en-US"/>
        </w:rPr>
        <w:t xml:space="preserve"> = 25 Fla. L. Weekly Fed. </w:t>
      </w:r>
      <w:r w:rsidRPr="0019499F">
        <w:rPr>
          <w:lang w:val="en-US"/>
        </w:rPr>
        <w:t>S 472 (2015)</w:t>
      </w:r>
      <w:r>
        <w:rPr>
          <w:lang w:val="en-US"/>
        </w:rPr>
        <w:t>.</w:t>
      </w:r>
    </w:p>
  </w:footnote>
  <w:footnote w:id="1487">
    <w:p w14:paraId="3A9531B4" w14:textId="77777777" w:rsidR="00074551" w:rsidRPr="0019499F" w:rsidRDefault="00074551" w:rsidP="00074551">
      <w:pPr>
        <w:pStyle w:val="Funotentext"/>
        <w:rPr>
          <w:lang w:val="en-US"/>
        </w:rPr>
      </w:pPr>
      <w:r>
        <w:rPr>
          <w:rStyle w:val="Funotenzeichen"/>
          <w:rFonts w:eastAsiaTheme="majorEastAsia"/>
        </w:rPr>
        <w:footnoteRef/>
      </w:r>
      <w:r w:rsidRPr="00F15E41">
        <w:rPr>
          <w:lang w:val="en-US"/>
        </w:rPr>
        <w:t xml:space="preserve"> </w:t>
      </w:r>
      <w:r w:rsidRPr="009167A5">
        <w:rPr>
          <w:i/>
          <w:lang w:val="en-US"/>
        </w:rPr>
        <w:t>Obergefell v. Hodges</w:t>
      </w:r>
      <w:r w:rsidRPr="00F15E41">
        <w:rPr>
          <w:lang w:val="en-US"/>
        </w:rPr>
        <w:t>, 576 U.S. 644, 738</w:t>
      </w:r>
      <w:r w:rsidRPr="006E67FE">
        <w:rPr>
          <w:lang w:val="en-US"/>
        </w:rPr>
        <w:t xml:space="preserve"> = 135 S. Ct. </w:t>
      </w:r>
      <w:r w:rsidRPr="00F15E41">
        <w:rPr>
          <w:lang w:val="en-US"/>
        </w:rPr>
        <w:t>2584, 2641</w:t>
      </w:r>
      <w:r w:rsidRPr="006E67FE">
        <w:rPr>
          <w:lang w:val="en-US"/>
        </w:rPr>
        <w:t xml:space="preserve"> = 192 L. Ed. </w:t>
      </w:r>
      <w:r w:rsidRPr="00F15E41">
        <w:rPr>
          <w:lang w:val="en-US"/>
        </w:rPr>
        <w:t>2d 609, 671</w:t>
      </w:r>
      <w:r w:rsidRPr="006E67FE">
        <w:rPr>
          <w:lang w:val="en-US"/>
        </w:rPr>
        <w:t xml:space="preserve"> = 2015 U.S. LEXIS </w:t>
      </w:r>
      <w:r w:rsidRPr="00F15E41">
        <w:rPr>
          <w:lang w:val="en-US"/>
        </w:rPr>
        <w:t>4250, 135</w:t>
      </w:r>
      <w:r w:rsidRPr="006E67FE">
        <w:rPr>
          <w:lang w:val="en-US"/>
        </w:rPr>
        <w:t xml:space="preserve"> = 83 U.S.L.W. </w:t>
      </w:r>
      <w:r w:rsidRPr="00F15E41">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9499F">
        <w:rPr>
          <w:lang w:val="en-US"/>
        </w:rPr>
        <w:t>Dec. (CCH) P45,341</w:t>
      </w:r>
      <w:r w:rsidRPr="006E67FE">
        <w:rPr>
          <w:lang w:val="en-US"/>
        </w:rPr>
        <w:t xml:space="preserve"> = 115 A.F.T.R. 2d </w:t>
      </w:r>
      <w:r w:rsidRPr="0019499F">
        <w:rPr>
          <w:lang w:val="en-US"/>
        </w:rPr>
        <w:t>(RIA) 2015-2309</w:t>
      </w:r>
      <w:r w:rsidRPr="006E67FE">
        <w:rPr>
          <w:lang w:val="en-US"/>
        </w:rPr>
        <w:t xml:space="preserve"> = 25 Fla. L. Weekly Fed. </w:t>
      </w:r>
      <w:r w:rsidRPr="0019499F">
        <w:rPr>
          <w:lang w:val="en-US"/>
        </w:rPr>
        <w:t>S 472 (2015)</w:t>
      </w:r>
      <w:r>
        <w:rPr>
          <w:lang w:val="en-US"/>
        </w:rPr>
        <w:t>.</w:t>
      </w:r>
    </w:p>
  </w:footnote>
  <w:footnote w:id="1488">
    <w:p w14:paraId="08A08F3A" w14:textId="77777777" w:rsidR="00074551" w:rsidRPr="009977AB" w:rsidRDefault="00074551" w:rsidP="00074551">
      <w:pPr>
        <w:pStyle w:val="Funotentext"/>
        <w:rPr>
          <w:lang w:val="en-US"/>
        </w:rPr>
      </w:pPr>
      <w:r>
        <w:rPr>
          <w:rStyle w:val="Funotenzeichen"/>
          <w:rFonts w:eastAsiaTheme="majorEastAsia"/>
        </w:rPr>
        <w:footnoteRef/>
      </w:r>
      <w:r w:rsidRPr="00F15E41">
        <w:rPr>
          <w:lang w:val="en-US"/>
        </w:rPr>
        <w:t xml:space="preserve"> </w:t>
      </w:r>
      <w:r w:rsidRPr="009167A5">
        <w:rPr>
          <w:i/>
          <w:lang w:val="en-US"/>
        </w:rPr>
        <w:t>Obergefell v. Hodges</w:t>
      </w:r>
      <w:r w:rsidRPr="00F15E41">
        <w:rPr>
          <w:lang w:val="en-US"/>
        </w:rPr>
        <w:t>, 576 U.S. 644, 738</w:t>
      </w:r>
      <w:r w:rsidRPr="006E67FE">
        <w:rPr>
          <w:lang w:val="en-US"/>
        </w:rPr>
        <w:t xml:space="preserve"> = 135 S. Ct. </w:t>
      </w:r>
      <w:r w:rsidRPr="00F15E41">
        <w:rPr>
          <w:lang w:val="en-US"/>
        </w:rPr>
        <w:t>2584, 2641</w:t>
      </w:r>
      <w:r w:rsidRPr="006E67FE">
        <w:rPr>
          <w:lang w:val="en-US"/>
        </w:rPr>
        <w:t xml:space="preserve"> = 192 L. Ed. </w:t>
      </w:r>
      <w:r w:rsidRPr="00F15E41">
        <w:rPr>
          <w:lang w:val="en-US"/>
        </w:rPr>
        <w:t>2d 609, 671</w:t>
      </w:r>
      <w:r w:rsidRPr="006E67FE">
        <w:rPr>
          <w:lang w:val="en-US"/>
        </w:rPr>
        <w:t xml:space="preserve"> = 2015 U.S. LEXIS </w:t>
      </w:r>
      <w:r w:rsidRPr="00F15E41">
        <w:rPr>
          <w:lang w:val="en-US"/>
        </w:rPr>
        <w:t>4250, 135</w:t>
      </w:r>
      <w:r w:rsidRPr="006E67FE">
        <w:rPr>
          <w:lang w:val="en-US"/>
        </w:rPr>
        <w:t xml:space="preserve"> = 83 U.S.L.W. </w:t>
      </w:r>
      <w:r w:rsidRPr="00F15E41">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9499F">
        <w:rPr>
          <w:lang w:val="en-US"/>
        </w:rPr>
        <w:t>Dec. (CCH) P45,341</w:t>
      </w:r>
      <w:r w:rsidRPr="006E67FE">
        <w:rPr>
          <w:lang w:val="en-US"/>
        </w:rPr>
        <w:t xml:space="preserve"> = 115 A.F.T.R. 2d </w:t>
      </w:r>
      <w:r w:rsidRPr="0019499F">
        <w:rPr>
          <w:lang w:val="en-US"/>
        </w:rPr>
        <w:t>(RIA) 2015-2309</w:t>
      </w:r>
      <w:r w:rsidRPr="006E67FE">
        <w:rPr>
          <w:lang w:val="en-US"/>
        </w:rPr>
        <w:t xml:space="preserve"> = 25 Fla. L. Weekly Fed. </w:t>
      </w:r>
      <w:r w:rsidRPr="009977AB">
        <w:rPr>
          <w:lang w:val="en-US"/>
        </w:rPr>
        <w:t>S 472 (2015)</w:t>
      </w:r>
      <w:r>
        <w:rPr>
          <w:lang w:val="en-US"/>
        </w:rPr>
        <w:t>.</w:t>
      </w:r>
    </w:p>
  </w:footnote>
  <w:footnote w:id="1489">
    <w:p w14:paraId="12A34677" w14:textId="77777777" w:rsidR="00074551" w:rsidRPr="001E4A2E" w:rsidRDefault="00074551" w:rsidP="00074551">
      <w:pPr>
        <w:pStyle w:val="Funotentext"/>
        <w:rPr>
          <w:lang w:val="en-US"/>
        </w:rPr>
      </w:pPr>
      <w:r>
        <w:rPr>
          <w:rStyle w:val="Funotenzeichen"/>
        </w:rPr>
        <w:footnoteRef/>
      </w:r>
      <w:r w:rsidRPr="001E4A2E">
        <w:rPr>
          <w:lang w:val="en-US"/>
        </w:rPr>
        <w:t xml:space="preserve"> „An act of the legislature of the State of Kansas, entitled </w:t>
      </w:r>
      <w:r>
        <w:rPr>
          <w:lang w:val="en-US"/>
        </w:rPr>
        <w:t>,</w:t>
      </w:r>
      <w:r w:rsidRPr="001E4A2E">
        <w:rPr>
          <w:lang w:val="en-US"/>
        </w:rPr>
        <w:t>An act to incorporate cities of the second class,</w:t>
      </w:r>
      <w:r>
        <w:rPr>
          <w:lang w:val="en-US"/>
        </w:rPr>
        <w:t>’</w:t>
      </w:r>
      <w:r w:rsidRPr="001E4A2E">
        <w:rPr>
          <w:lang w:val="en-US"/>
        </w:rPr>
        <w:t xml:space="preserve"> approved February 29th, 1872, authorizes the towns and other municipalities to which it applies, by issuing bonds or loaning their credit, to take the property of the citizen under the guise of taxation to pay these bonds, and use it in aid of the enterprises of others which are, not of a public character, thus perverting the right of taxation, which can only be exercised for a public use, to the aid of individual interests and personal purposes of profit and gain</w:t>
      </w:r>
      <w:r>
        <w:rPr>
          <w:lang w:val="en-US"/>
        </w:rPr>
        <w:t>“</w:t>
      </w:r>
      <w:r w:rsidRPr="001E4A2E">
        <w:rPr>
          <w:lang w:val="en-US"/>
        </w:rPr>
        <w:t xml:space="preserve">, </w:t>
      </w:r>
    </w:p>
    <w:p w14:paraId="1CD30505" w14:textId="77777777" w:rsidR="00074551" w:rsidRPr="001E4A2E" w:rsidRDefault="00074551" w:rsidP="00074551">
      <w:pPr>
        <w:pStyle w:val="Funotentext"/>
        <w:rPr>
          <w:lang w:val="en-US"/>
        </w:rPr>
      </w:pPr>
      <w:r w:rsidRPr="00B45592">
        <w:rPr>
          <w:i/>
          <w:lang w:val="en-US"/>
        </w:rPr>
        <w:t xml:space="preserve">Loan </w:t>
      </w:r>
      <w:proofErr w:type="spellStart"/>
      <w:r w:rsidRPr="00B45592">
        <w:rPr>
          <w:i/>
          <w:lang w:val="en-US"/>
        </w:rPr>
        <w:t>Ass’n</w:t>
      </w:r>
      <w:proofErr w:type="spellEnd"/>
      <w:r w:rsidRPr="00B45592">
        <w:rPr>
          <w:i/>
          <w:lang w:val="en-US"/>
        </w:rPr>
        <w:t xml:space="preserve"> v. Topeka</w:t>
      </w:r>
      <w:r w:rsidRPr="001E4A2E">
        <w:rPr>
          <w:lang w:val="en-US"/>
        </w:rPr>
        <w:t>, 87 U.S. 655, 658</w:t>
      </w:r>
      <w:r>
        <w:rPr>
          <w:lang w:val="en-US"/>
        </w:rPr>
        <w:t xml:space="preserve"> = 22 L. Ed. </w:t>
      </w:r>
      <w:r w:rsidRPr="001E4A2E">
        <w:rPr>
          <w:lang w:val="en-US"/>
        </w:rPr>
        <w:t>455, 459</w:t>
      </w:r>
      <w:r>
        <w:rPr>
          <w:lang w:val="en-US"/>
        </w:rPr>
        <w:t xml:space="preserve"> = 1874 U.S. LEXIS </w:t>
      </w:r>
      <w:r w:rsidRPr="001E4A2E">
        <w:rPr>
          <w:lang w:val="en-US"/>
        </w:rPr>
        <w:t>1457, 4</w:t>
      </w:r>
      <w:r>
        <w:rPr>
          <w:lang w:val="en-US"/>
        </w:rPr>
        <w:t xml:space="preserve"> = 20 Wall. </w:t>
      </w:r>
      <w:r w:rsidRPr="001E4A2E">
        <w:rPr>
          <w:lang w:val="en-US"/>
        </w:rPr>
        <w:t>655 (1875)</w:t>
      </w:r>
      <w:r>
        <w:rPr>
          <w:lang w:val="en-US"/>
        </w:rPr>
        <w:t>.</w:t>
      </w:r>
    </w:p>
  </w:footnote>
  <w:footnote w:id="1490">
    <w:p w14:paraId="667456B9" w14:textId="6336B9E3" w:rsidR="00074551" w:rsidRPr="00821732" w:rsidRDefault="00074551" w:rsidP="00074551">
      <w:pPr>
        <w:pStyle w:val="Funotentext"/>
        <w:rPr>
          <w:lang w:val="en-US"/>
        </w:rPr>
      </w:pPr>
      <w:r>
        <w:rPr>
          <w:rStyle w:val="Funotenzeichen"/>
        </w:rPr>
        <w:footnoteRef/>
      </w:r>
      <w:r w:rsidRPr="00821732">
        <w:rPr>
          <w:lang w:val="en-US"/>
        </w:rPr>
        <w:t xml:space="preserve"> </w:t>
      </w:r>
      <w:r w:rsidR="009E3C4B" w:rsidRPr="009E3C4B">
        <w:rPr>
          <w:i/>
          <w:iCs/>
        </w:rPr>
        <w:t xml:space="preserve">Loan </w:t>
      </w:r>
      <w:proofErr w:type="spellStart"/>
      <w:r w:rsidR="009E3C4B" w:rsidRPr="009E3C4B">
        <w:rPr>
          <w:i/>
          <w:iCs/>
        </w:rPr>
        <w:t>Ass'n</w:t>
      </w:r>
      <w:proofErr w:type="spellEnd"/>
      <w:r w:rsidR="009E3C4B" w:rsidRPr="009E3C4B">
        <w:rPr>
          <w:i/>
          <w:iCs/>
        </w:rPr>
        <w:t xml:space="preserve"> v. Topeka</w:t>
      </w:r>
      <w:r w:rsidR="009E3C4B" w:rsidRPr="009E3C4B">
        <w:t>, 87 U.S. 655,</w:t>
      </w:r>
      <w:r w:rsidR="009E3C4B">
        <w:t xml:space="preserve"> 658–667 =</w:t>
      </w:r>
      <w:r w:rsidR="009E3C4B" w:rsidRPr="009E3C4B">
        <w:t xml:space="preserve"> 22 L. Ed. 455</w:t>
      </w:r>
      <w:r w:rsidR="009E3C4B">
        <w:t xml:space="preserve"> =</w:t>
      </w:r>
      <w:r w:rsidR="009E3C4B" w:rsidRPr="009E3C4B">
        <w:t xml:space="preserve"> 1874 U.S. LEXIS 1457</w:t>
      </w:r>
      <w:r w:rsidR="009E3C4B">
        <w:t xml:space="preserve"> =</w:t>
      </w:r>
      <w:r w:rsidR="009E3C4B" w:rsidRPr="009E3C4B">
        <w:t xml:space="preserve"> 20 Wall. 655 (1875)</w:t>
      </w:r>
    </w:p>
  </w:footnote>
  <w:footnote w:id="1491">
    <w:p w14:paraId="182FE31B" w14:textId="77777777" w:rsidR="00074551" w:rsidRPr="00BF28AB" w:rsidRDefault="00074551" w:rsidP="00074551">
      <w:pPr>
        <w:pStyle w:val="Funotentext"/>
        <w:rPr>
          <w:lang w:val="en-US"/>
        </w:rPr>
      </w:pPr>
      <w:r>
        <w:rPr>
          <w:rStyle w:val="Funotenzeichen"/>
          <w:rFonts w:eastAsiaTheme="majorEastAsia"/>
        </w:rPr>
        <w:footnoteRef/>
      </w:r>
      <w:r w:rsidRPr="00BF28AB">
        <w:rPr>
          <w:lang w:val="en-US"/>
        </w:rPr>
        <w:t xml:space="preserve"> </w:t>
      </w:r>
      <w:r w:rsidRPr="00B45592">
        <w:rPr>
          <w:i/>
          <w:lang w:val="en-US"/>
        </w:rPr>
        <w:t xml:space="preserve">Loan </w:t>
      </w:r>
      <w:proofErr w:type="spellStart"/>
      <w:r w:rsidRPr="00B45592">
        <w:rPr>
          <w:i/>
          <w:lang w:val="en-US"/>
        </w:rPr>
        <w:t>Ass’n</w:t>
      </w:r>
      <w:proofErr w:type="spellEnd"/>
      <w:r w:rsidRPr="00B45592">
        <w:rPr>
          <w:i/>
          <w:lang w:val="en-US"/>
        </w:rPr>
        <w:t xml:space="preserve"> v. Topeka</w:t>
      </w:r>
      <w:r w:rsidRPr="00BF28AB">
        <w:rPr>
          <w:lang w:val="en-US"/>
        </w:rPr>
        <w:t>, 87 U.S. 655, 663</w:t>
      </w:r>
      <w:r>
        <w:rPr>
          <w:lang w:val="en-US"/>
        </w:rPr>
        <w:t xml:space="preserve"> = 22 L. Ed. </w:t>
      </w:r>
      <w:r w:rsidRPr="00BF28AB">
        <w:rPr>
          <w:lang w:val="en-US"/>
        </w:rPr>
        <w:t>455, 461</w:t>
      </w:r>
      <w:r>
        <w:rPr>
          <w:lang w:val="en-US"/>
        </w:rPr>
        <w:t xml:space="preserve"> = 1874 U.S. LEXIS </w:t>
      </w:r>
      <w:r w:rsidRPr="00BF28AB">
        <w:rPr>
          <w:lang w:val="en-US"/>
        </w:rPr>
        <w:t>1457, 14</w:t>
      </w:r>
      <w:r>
        <w:rPr>
          <w:lang w:val="en-US"/>
        </w:rPr>
        <w:t xml:space="preserve"> = 20 Wall. </w:t>
      </w:r>
      <w:r w:rsidRPr="00BF28AB">
        <w:rPr>
          <w:lang w:val="en-US"/>
        </w:rPr>
        <w:t>655 (1875)</w:t>
      </w:r>
      <w:r>
        <w:rPr>
          <w:lang w:val="en-US"/>
        </w:rPr>
        <w:t>.</w:t>
      </w:r>
    </w:p>
  </w:footnote>
  <w:footnote w:id="1492">
    <w:p w14:paraId="00284BDE" w14:textId="77777777" w:rsidR="00074551" w:rsidRPr="000C48F6" w:rsidRDefault="00074551" w:rsidP="00074551">
      <w:pPr>
        <w:pStyle w:val="Funotentext"/>
        <w:rPr>
          <w:lang w:val="en-US"/>
        </w:rPr>
      </w:pPr>
      <w:r>
        <w:rPr>
          <w:rStyle w:val="Funotenzeichen"/>
          <w:rFonts w:eastAsiaTheme="majorEastAsia"/>
        </w:rPr>
        <w:footnoteRef/>
      </w:r>
      <w:r w:rsidRPr="000C48F6">
        <w:rPr>
          <w:lang w:val="en-US"/>
        </w:rPr>
        <w:t xml:space="preserve"> </w:t>
      </w:r>
      <w:r w:rsidRPr="00B45592">
        <w:rPr>
          <w:i/>
          <w:lang w:val="en-US"/>
        </w:rPr>
        <w:t xml:space="preserve">Loan </w:t>
      </w:r>
      <w:proofErr w:type="spellStart"/>
      <w:r w:rsidRPr="00B45592">
        <w:rPr>
          <w:i/>
          <w:lang w:val="en-US"/>
        </w:rPr>
        <w:t>Ass’n</w:t>
      </w:r>
      <w:proofErr w:type="spellEnd"/>
      <w:r w:rsidRPr="00B45592">
        <w:rPr>
          <w:i/>
          <w:lang w:val="en-US"/>
        </w:rPr>
        <w:t xml:space="preserve"> v. Topeka</w:t>
      </w:r>
      <w:r w:rsidRPr="000C48F6">
        <w:rPr>
          <w:lang w:val="en-US"/>
        </w:rPr>
        <w:t>, 87 U.S. 655, 663</w:t>
      </w:r>
      <w:r>
        <w:rPr>
          <w:lang w:val="en-US"/>
        </w:rPr>
        <w:t xml:space="preserve"> = 22 L. Ed. </w:t>
      </w:r>
      <w:r w:rsidRPr="000C48F6">
        <w:rPr>
          <w:lang w:val="en-US"/>
        </w:rPr>
        <w:t>455, 461</w:t>
      </w:r>
      <w:r>
        <w:rPr>
          <w:lang w:val="en-US"/>
        </w:rPr>
        <w:t xml:space="preserve"> = 1874 U.S. LEXIS </w:t>
      </w:r>
      <w:r w:rsidRPr="000C48F6">
        <w:rPr>
          <w:lang w:val="en-US"/>
        </w:rPr>
        <w:t>1457, 14</w:t>
      </w:r>
      <w:r>
        <w:rPr>
          <w:lang w:val="en-US"/>
        </w:rPr>
        <w:t xml:space="preserve"> = 20 Wall. </w:t>
      </w:r>
      <w:r w:rsidRPr="000C48F6">
        <w:rPr>
          <w:lang w:val="en-US"/>
        </w:rPr>
        <w:t>655 (1875)</w:t>
      </w:r>
      <w:r>
        <w:rPr>
          <w:lang w:val="en-US"/>
        </w:rPr>
        <w:t>.</w:t>
      </w:r>
    </w:p>
  </w:footnote>
  <w:footnote w:id="1493">
    <w:p w14:paraId="24F33AF3" w14:textId="77777777" w:rsidR="00074551" w:rsidRPr="000C48F6" w:rsidRDefault="00074551" w:rsidP="00074551">
      <w:pPr>
        <w:pStyle w:val="Funotentext"/>
        <w:rPr>
          <w:lang w:val="en-US"/>
        </w:rPr>
      </w:pPr>
      <w:r>
        <w:rPr>
          <w:rStyle w:val="Funotenzeichen"/>
          <w:rFonts w:eastAsiaTheme="majorEastAsia"/>
        </w:rPr>
        <w:footnoteRef/>
      </w:r>
      <w:r w:rsidRPr="000C48F6">
        <w:rPr>
          <w:lang w:val="en-US"/>
        </w:rPr>
        <w:t xml:space="preserve"> </w:t>
      </w:r>
      <w:r w:rsidRPr="00B45592">
        <w:rPr>
          <w:i/>
          <w:lang w:val="en-US"/>
        </w:rPr>
        <w:t xml:space="preserve">Loan </w:t>
      </w:r>
      <w:proofErr w:type="spellStart"/>
      <w:r w:rsidRPr="00B45592">
        <w:rPr>
          <w:i/>
          <w:lang w:val="en-US"/>
        </w:rPr>
        <w:t>Ass’n</w:t>
      </w:r>
      <w:proofErr w:type="spellEnd"/>
      <w:r w:rsidRPr="00B45592">
        <w:rPr>
          <w:i/>
          <w:lang w:val="en-US"/>
        </w:rPr>
        <w:t xml:space="preserve"> v. Topeka</w:t>
      </w:r>
      <w:r w:rsidRPr="000C48F6">
        <w:rPr>
          <w:lang w:val="en-US"/>
        </w:rPr>
        <w:t>, 87 U.S. 655, 663</w:t>
      </w:r>
      <w:r>
        <w:rPr>
          <w:lang w:val="en-US"/>
        </w:rPr>
        <w:t xml:space="preserve"> = 22 L. Ed. </w:t>
      </w:r>
      <w:r w:rsidRPr="000C48F6">
        <w:rPr>
          <w:lang w:val="en-US"/>
        </w:rPr>
        <w:t>455, 461</w:t>
      </w:r>
      <w:r>
        <w:rPr>
          <w:lang w:val="en-US"/>
        </w:rPr>
        <w:t xml:space="preserve"> = 1874 U.S. LEXIS </w:t>
      </w:r>
      <w:r w:rsidRPr="000C48F6">
        <w:rPr>
          <w:lang w:val="en-US"/>
        </w:rPr>
        <w:t>1457, 14</w:t>
      </w:r>
      <w:r>
        <w:rPr>
          <w:lang w:val="en-US"/>
        </w:rPr>
        <w:t xml:space="preserve"> = 20 Wall. </w:t>
      </w:r>
      <w:r w:rsidRPr="000C48F6">
        <w:rPr>
          <w:lang w:val="en-US"/>
        </w:rPr>
        <w:t>655 (1875)</w:t>
      </w:r>
      <w:r>
        <w:rPr>
          <w:lang w:val="en-US"/>
        </w:rPr>
        <w:t>.</w:t>
      </w:r>
    </w:p>
  </w:footnote>
  <w:footnote w:id="1494">
    <w:p w14:paraId="222931B4" w14:textId="77777777" w:rsidR="00074551" w:rsidRPr="000C48F6" w:rsidRDefault="00074551" w:rsidP="00074551">
      <w:pPr>
        <w:pStyle w:val="Funotentext"/>
        <w:rPr>
          <w:lang w:val="en-US"/>
        </w:rPr>
      </w:pPr>
      <w:r>
        <w:rPr>
          <w:rStyle w:val="Funotenzeichen"/>
          <w:rFonts w:eastAsiaTheme="majorEastAsia"/>
        </w:rPr>
        <w:footnoteRef/>
      </w:r>
      <w:r w:rsidRPr="000C48F6">
        <w:rPr>
          <w:lang w:val="en-US"/>
        </w:rPr>
        <w:t xml:space="preserve"> </w:t>
      </w:r>
      <w:r w:rsidRPr="00B45592">
        <w:rPr>
          <w:i/>
          <w:lang w:val="en-US"/>
        </w:rPr>
        <w:t xml:space="preserve">Loan </w:t>
      </w:r>
      <w:proofErr w:type="spellStart"/>
      <w:r w:rsidRPr="00B45592">
        <w:rPr>
          <w:i/>
          <w:lang w:val="en-US"/>
        </w:rPr>
        <w:t>Ass’n</w:t>
      </w:r>
      <w:proofErr w:type="spellEnd"/>
      <w:r w:rsidRPr="00B45592">
        <w:rPr>
          <w:i/>
          <w:lang w:val="en-US"/>
        </w:rPr>
        <w:t xml:space="preserve"> v. Topeka</w:t>
      </w:r>
      <w:r w:rsidRPr="000C48F6">
        <w:rPr>
          <w:lang w:val="en-US"/>
        </w:rPr>
        <w:t>, 87 U.S. 655, 662</w:t>
      </w:r>
      <w:r>
        <w:rPr>
          <w:lang w:val="en-US"/>
        </w:rPr>
        <w:t xml:space="preserve"> = 22 L. Ed. </w:t>
      </w:r>
      <w:r w:rsidRPr="000C48F6">
        <w:rPr>
          <w:lang w:val="en-US"/>
        </w:rPr>
        <w:t>455, 461</w:t>
      </w:r>
      <w:r>
        <w:rPr>
          <w:lang w:val="en-US"/>
        </w:rPr>
        <w:t xml:space="preserve"> = 1874 U.S. LEXIS </w:t>
      </w:r>
      <w:r w:rsidRPr="000C48F6">
        <w:rPr>
          <w:lang w:val="en-US"/>
        </w:rPr>
        <w:t>1457, 14</w:t>
      </w:r>
      <w:r>
        <w:rPr>
          <w:lang w:val="en-US"/>
        </w:rPr>
        <w:t xml:space="preserve"> = 20 Wall. </w:t>
      </w:r>
      <w:r w:rsidRPr="000C48F6">
        <w:rPr>
          <w:lang w:val="en-US"/>
        </w:rPr>
        <w:t>655 (1875)</w:t>
      </w:r>
      <w:r>
        <w:rPr>
          <w:lang w:val="en-US"/>
        </w:rPr>
        <w:t>.</w:t>
      </w:r>
    </w:p>
  </w:footnote>
  <w:footnote w:id="1495">
    <w:p w14:paraId="21649BD0" w14:textId="77777777" w:rsidR="00074551" w:rsidRPr="004F0141" w:rsidRDefault="00074551" w:rsidP="00074551">
      <w:pPr>
        <w:pStyle w:val="Funotentext"/>
        <w:rPr>
          <w:lang w:val="en-US"/>
        </w:rPr>
      </w:pPr>
      <w:r>
        <w:rPr>
          <w:rStyle w:val="Funotenzeichen"/>
          <w:rFonts w:eastAsiaTheme="majorEastAsia"/>
        </w:rPr>
        <w:footnoteRef/>
      </w:r>
      <w:r w:rsidRPr="004F0141">
        <w:rPr>
          <w:lang w:val="en-US"/>
        </w:rPr>
        <w:t xml:space="preserve"> </w:t>
      </w:r>
      <w:r w:rsidRPr="00B45592">
        <w:rPr>
          <w:i/>
          <w:lang w:val="en-US"/>
        </w:rPr>
        <w:t xml:space="preserve">Loan </w:t>
      </w:r>
      <w:proofErr w:type="spellStart"/>
      <w:r w:rsidRPr="00B45592">
        <w:rPr>
          <w:i/>
          <w:lang w:val="en-US"/>
        </w:rPr>
        <w:t>Ass’n</w:t>
      </w:r>
      <w:proofErr w:type="spellEnd"/>
      <w:r w:rsidRPr="00B45592">
        <w:rPr>
          <w:i/>
          <w:lang w:val="en-US"/>
        </w:rPr>
        <w:t xml:space="preserve"> v. Topeka</w:t>
      </w:r>
      <w:r w:rsidRPr="004F0141">
        <w:rPr>
          <w:lang w:val="en-US"/>
        </w:rPr>
        <w:t>, 87 U.S. 655, 662</w:t>
      </w:r>
      <w:r>
        <w:rPr>
          <w:lang w:val="en-US"/>
        </w:rPr>
        <w:t xml:space="preserve"> = 22 L. Ed. </w:t>
      </w:r>
      <w:r w:rsidRPr="004F0141">
        <w:rPr>
          <w:lang w:val="en-US"/>
        </w:rPr>
        <w:t>455, 461</w:t>
      </w:r>
      <w:r>
        <w:rPr>
          <w:lang w:val="en-US"/>
        </w:rPr>
        <w:t xml:space="preserve"> = 1874 U.S. LEXIS </w:t>
      </w:r>
      <w:r w:rsidRPr="004F0141">
        <w:rPr>
          <w:lang w:val="en-US"/>
        </w:rPr>
        <w:t>1457, 14</w:t>
      </w:r>
      <w:r>
        <w:rPr>
          <w:lang w:val="en-US"/>
        </w:rPr>
        <w:t xml:space="preserve"> = 20 Wall. </w:t>
      </w:r>
      <w:r w:rsidRPr="004F0141">
        <w:rPr>
          <w:lang w:val="en-US"/>
        </w:rPr>
        <w:t>655 (1875).</w:t>
      </w:r>
    </w:p>
  </w:footnote>
  <w:footnote w:id="1496">
    <w:p w14:paraId="2BBA30BD" w14:textId="77777777" w:rsidR="00074551" w:rsidRPr="00E92B80" w:rsidRDefault="00074551" w:rsidP="00074551">
      <w:pPr>
        <w:pStyle w:val="Funotentext"/>
        <w:rPr>
          <w:lang w:val="en-US"/>
        </w:rPr>
      </w:pPr>
      <w:r>
        <w:rPr>
          <w:rStyle w:val="Funotenzeichen"/>
        </w:rPr>
        <w:footnoteRef/>
      </w:r>
      <w:r w:rsidRPr="00E92B80">
        <w:rPr>
          <w:lang w:val="en-US"/>
        </w:rPr>
        <w:t xml:space="preserve"> </w:t>
      </w:r>
      <w:r w:rsidRPr="00B35CD0">
        <w:rPr>
          <w:i/>
          <w:lang w:val="en-US"/>
        </w:rPr>
        <w:t>Larson v. South Dakota</w:t>
      </w:r>
      <w:r w:rsidRPr="00E92B80">
        <w:rPr>
          <w:lang w:val="en-US"/>
        </w:rPr>
        <w:t>, 278 U.S. 429, 432</w:t>
      </w:r>
      <w:r>
        <w:rPr>
          <w:lang w:val="en-US"/>
        </w:rPr>
        <w:t xml:space="preserve"> = 49 S. Ct. </w:t>
      </w:r>
      <w:r w:rsidRPr="00E92B80">
        <w:rPr>
          <w:lang w:val="en-US"/>
        </w:rPr>
        <w:t>196, 197</w:t>
      </w:r>
      <w:r>
        <w:rPr>
          <w:lang w:val="en-US"/>
        </w:rPr>
        <w:t xml:space="preserve"> = 73 L. Ed. </w:t>
      </w:r>
      <w:r w:rsidRPr="00E92B80">
        <w:rPr>
          <w:lang w:val="en-US"/>
        </w:rPr>
        <w:t>441, 443</w:t>
      </w:r>
      <w:r>
        <w:rPr>
          <w:lang w:val="en-US"/>
        </w:rPr>
        <w:t xml:space="preserve"> = 1929 U.S. LEXIS </w:t>
      </w:r>
      <w:r w:rsidRPr="00E92B80">
        <w:rPr>
          <w:lang w:val="en-US"/>
        </w:rPr>
        <w:t>14, 4 (1929)</w:t>
      </w:r>
      <w:r>
        <w:rPr>
          <w:lang w:val="en-US"/>
        </w:rPr>
        <w:t>.</w:t>
      </w:r>
    </w:p>
  </w:footnote>
  <w:footnote w:id="1497">
    <w:p w14:paraId="20EC82A7" w14:textId="77777777" w:rsidR="00074551" w:rsidRPr="004474F8" w:rsidRDefault="00074551" w:rsidP="00074551">
      <w:pPr>
        <w:pStyle w:val="Funotentext"/>
        <w:rPr>
          <w:lang w:val="en-US"/>
        </w:rPr>
      </w:pPr>
      <w:r>
        <w:rPr>
          <w:rStyle w:val="Funotenzeichen"/>
        </w:rPr>
        <w:footnoteRef/>
      </w:r>
      <w:r w:rsidRPr="004474F8">
        <w:rPr>
          <w:lang w:val="en-US"/>
        </w:rPr>
        <w:t xml:space="preserve"> </w:t>
      </w:r>
      <w:r w:rsidRPr="00B35CD0">
        <w:rPr>
          <w:i/>
          <w:lang w:val="en-US"/>
        </w:rPr>
        <w:t>Larson v. South Dakota</w:t>
      </w:r>
      <w:r w:rsidRPr="004474F8">
        <w:rPr>
          <w:lang w:val="en-US"/>
        </w:rPr>
        <w:t>, 278 U.S. 429, 436</w:t>
      </w:r>
      <w:r>
        <w:rPr>
          <w:lang w:val="en-US"/>
        </w:rPr>
        <w:t xml:space="preserve"> = 49 S. Ct. </w:t>
      </w:r>
      <w:r w:rsidRPr="004474F8">
        <w:rPr>
          <w:lang w:val="en-US"/>
        </w:rPr>
        <w:t>196, 198</w:t>
      </w:r>
      <w:r>
        <w:rPr>
          <w:lang w:val="en-US"/>
        </w:rPr>
        <w:t xml:space="preserve"> = 73 L. Ed. </w:t>
      </w:r>
      <w:r w:rsidRPr="004474F8">
        <w:rPr>
          <w:lang w:val="en-US"/>
        </w:rPr>
        <w:t>441, 445</w:t>
      </w:r>
      <w:r>
        <w:rPr>
          <w:lang w:val="en-US"/>
        </w:rPr>
        <w:t xml:space="preserve"> = 1929 U.S. LEXIS </w:t>
      </w:r>
      <w:r w:rsidRPr="004474F8">
        <w:rPr>
          <w:lang w:val="en-US"/>
        </w:rPr>
        <w:t>14, 12 (1929)</w:t>
      </w:r>
      <w:r>
        <w:rPr>
          <w:lang w:val="en-US"/>
        </w:rPr>
        <w:t>.</w:t>
      </w:r>
    </w:p>
  </w:footnote>
  <w:footnote w:id="1498">
    <w:p w14:paraId="2C5CF8CA" w14:textId="77777777" w:rsidR="00074551" w:rsidRPr="0009343E" w:rsidRDefault="00074551" w:rsidP="00074551">
      <w:pPr>
        <w:pStyle w:val="Funotentext"/>
        <w:rPr>
          <w:lang w:val="en-US"/>
        </w:rPr>
      </w:pPr>
      <w:r>
        <w:rPr>
          <w:rStyle w:val="Funotenzeichen"/>
        </w:rPr>
        <w:footnoteRef/>
      </w:r>
      <w:r w:rsidRPr="0009343E">
        <w:rPr>
          <w:lang w:val="en-US"/>
        </w:rPr>
        <w:t xml:space="preserve"> </w:t>
      </w:r>
      <w:r w:rsidRPr="00B45592">
        <w:rPr>
          <w:i/>
          <w:lang w:val="en-US"/>
        </w:rPr>
        <w:t>Charles River Bridge v. Warren Bridge</w:t>
      </w:r>
      <w:r w:rsidRPr="0009343E">
        <w:rPr>
          <w:lang w:val="en-US"/>
        </w:rPr>
        <w:t>, 11 Pet. 420, 547</w:t>
      </w:r>
      <w:r>
        <w:rPr>
          <w:lang w:val="en-US"/>
        </w:rPr>
        <w:t xml:space="preserve">; </w:t>
      </w:r>
      <w:r w:rsidRPr="00B35CD0">
        <w:rPr>
          <w:i/>
          <w:lang w:val="en-US"/>
        </w:rPr>
        <w:t>Larson v. South Dakota</w:t>
      </w:r>
      <w:r w:rsidRPr="0009343E">
        <w:rPr>
          <w:lang w:val="en-US"/>
        </w:rPr>
        <w:t>, 278 U.S. 429, 435</w:t>
      </w:r>
      <w:r>
        <w:rPr>
          <w:lang w:val="en-US"/>
        </w:rPr>
        <w:t xml:space="preserve"> = 49 S. Ct. </w:t>
      </w:r>
      <w:r w:rsidRPr="0009343E">
        <w:rPr>
          <w:lang w:val="en-US"/>
        </w:rPr>
        <w:t>196, 198</w:t>
      </w:r>
      <w:r>
        <w:rPr>
          <w:lang w:val="en-US"/>
        </w:rPr>
        <w:t xml:space="preserve"> = 73 L. Ed. </w:t>
      </w:r>
      <w:r w:rsidRPr="0009343E">
        <w:rPr>
          <w:lang w:val="en-US"/>
        </w:rPr>
        <w:t>441, 445</w:t>
      </w:r>
      <w:r>
        <w:rPr>
          <w:lang w:val="en-US"/>
        </w:rPr>
        <w:t xml:space="preserve"> = 1929 U.S. LEXIS </w:t>
      </w:r>
      <w:r w:rsidRPr="0009343E">
        <w:rPr>
          <w:lang w:val="en-US"/>
        </w:rPr>
        <w:t>14, 10 (1929)</w:t>
      </w:r>
      <w:r>
        <w:rPr>
          <w:lang w:val="en-US"/>
        </w:rPr>
        <w:t>.</w:t>
      </w:r>
    </w:p>
  </w:footnote>
  <w:footnote w:id="1499">
    <w:p w14:paraId="05C13919" w14:textId="77777777" w:rsidR="00074551" w:rsidRPr="0009343E" w:rsidRDefault="00074551" w:rsidP="00074551">
      <w:pPr>
        <w:pStyle w:val="Funotentext"/>
        <w:rPr>
          <w:lang w:val="en-US"/>
        </w:rPr>
      </w:pPr>
      <w:r>
        <w:rPr>
          <w:rStyle w:val="Funotenzeichen"/>
        </w:rPr>
        <w:footnoteRef/>
      </w:r>
      <w:r w:rsidRPr="0009343E">
        <w:rPr>
          <w:lang w:val="en-US"/>
        </w:rPr>
        <w:t xml:space="preserve"> </w:t>
      </w:r>
      <w:r w:rsidRPr="00B45592">
        <w:rPr>
          <w:i/>
          <w:lang w:val="en-US"/>
        </w:rPr>
        <w:t>Charles River Bridge v. Warren Bridge</w:t>
      </w:r>
      <w:r w:rsidRPr="0009343E">
        <w:rPr>
          <w:lang w:val="en-US"/>
        </w:rPr>
        <w:t>, 11 Pet. 420, 547</w:t>
      </w:r>
      <w:r>
        <w:rPr>
          <w:lang w:val="en-US"/>
        </w:rPr>
        <w:t xml:space="preserve">; </w:t>
      </w:r>
      <w:r w:rsidRPr="00B35CD0">
        <w:rPr>
          <w:i/>
          <w:lang w:val="en-US"/>
        </w:rPr>
        <w:t>Larson v. South Dakota</w:t>
      </w:r>
      <w:r w:rsidRPr="0009343E">
        <w:rPr>
          <w:lang w:val="en-US"/>
        </w:rPr>
        <w:t>, 278 U.S. 429, 435</w:t>
      </w:r>
      <w:r>
        <w:rPr>
          <w:lang w:val="en-US"/>
        </w:rPr>
        <w:t xml:space="preserve"> = 49 S. Ct. </w:t>
      </w:r>
      <w:r w:rsidRPr="0009343E">
        <w:rPr>
          <w:lang w:val="en-US"/>
        </w:rPr>
        <w:t>196, 198</w:t>
      </w:r>
      <w:r>
        <w:rPr>
          <w:lang w:val="en-US"/>
        </w:rPr>
        <w:t xml:space="preserve"> = 73 L. Ed. </w:t>
      </w:r>
      <w:r w:rsidRPr="0009343E">
        <w:rPr>
          <w:lang w:val="en-US"/>
        </w:rPr>
        <w:t>441, 445</w:t>
      </w:r>
      <w:r>
        <w:rPr>
          <w:lang w:val="en-US"/>
        </w:rPr>
        <w:t xml:space="preserve"> = 1929 U.S. LEXIS </w:t>
      </w:r>
      <w:r w:rsidRPr="0009343E">
        <w:rPr>
          <w:lang w:val="en-US"/>
        </w:rPr>
        <w:t>14, 10 (1929)</w:t>
      </w:r>
      <w:r>
        <w:rPr>
          <w:lang w:val="en-US"/>
        </w:rPr>
        <w:t>.</w:t>
      </w:r>
    </w:p>
  </w:footnote>
  <w:footnote w:id="1500">
    <w:p w14:paraId="60B83425" w14:textId="77777777" w:rsidR="00074551" w:rsidRPr="0009343E" w:rsidRDefault="00074551" w:rsidP="00074551">
      <w:pPr>
        <w:pStyle w:val="Funotentext"/>
        <w:rPr>
          <w:lang w:val="en-US"/>
        </w:rPr>
      </w:pPr>
      <w:r>
        <w:rPr>
          <w:rStyle w:val="Funotenzeichen"/>
        </w:rPr>
        <w:footnoteRef/>
      </w:r>
      <w:r w:rsidRPr="0009343E">
        <w:rPr>
          <w:lang w:val="en-US"/>
        </w:rPr>
        <w:t xml:space="preserve"> </w:t>
      </w:r>
      <w:r w:rsidRPr="00B35CD0">
        <w:rPr>
          <w:i/>
          <w:lang w:val="en-US"/>
        </w:rPr>
        <w:t>Larson v. South Dakota</w:t>
      </w:r>
      <w:r w:rsidRPr="0009343E">
        <w:rPr>
          <w:lang w:val="en-US"/>
        </w:rPr>
        <w:t>, 278 U.S. 429, 439</w:t>
      </w:r>
      <w:r>
        <w:rPr>
          <w:lang w:val="en-US"/>
        </w:rPr>
        <w:t xml:space="preserve"> = 49 S. Ct. </w:t>
      </w:r>
      <w:r w:rsidRPr="0009343E">
        <w:rPr>
          <w:lang w:val="en-US"/>
        </w:rPr>
        <w:t>196, 199</w:t>
      </w:r>
      <w:r>
        <w:rPr>
          <w:lang w:val="en-US"/>
        </w:rPr>
        <w:t xml:space="preserve"> = 73 L. Ed. </w:t>
      </w:r>
      <w:r w:rsidRPr="0009343E">
        <w:rPr>
          <w:lang w:val="en-US"/>
        </w:rPr>
        <w:t>441, 446</w:t>
      </w:r>
      <w:r>
        <w:rPr>
          <w:lang w:val="en-US"/>
        </w:rPr>
        <w:t xml:space="preserve"> = 1929 U.S. LEXIS </w:t>
      </w:r>
      <w:r w:rsidRPr="0009343E">
        <w:rPr>
          <w:lang w:val="en-US"/>
        </w:rPr>
        <w:t>14, 16 (1929)</w:t>
      </w:r>
      <w:r>
        <w:rPr>
          <w:lang w:val="en-US"/>
        </w:rPr>
        <w:t>.</w:t>
      </w:r>
    </w:p>
  </w:footnote>
  <w:footnote w:id="1501">
    <w:p w14:paraId="15B554E6" w14:textId="77777777" w:rsidR="00074551" w:rsidRPr="0043666A" w:rsidRDefault="00074551" w:rsidP="00074551">
      <w:pPr>
        <w:pStyle w:val="Funotentext"/>
        <w:rPr>
          <w:lang w:val="en-US"/>
        </w:rPr>
      </w:pPr>
      <w:r>
        <w:rPr>
          <w:rStyle w:val="Funotenzeichen"/>
          <w:rFonts w:eastAsiaTheme="majorEastAsia"/>
        </w:rPr>
        <w:footnoteRef/>
      </w:r>
      <w:r w:rsidRPr="0043666A">
        <w:rPr>
          <w:lang w:val="en-US"/>
        </w:rPr>
        <w:t xml:space="preserve"> </w:t>
      </w:r>
      <w:r w:rsidRPr="00F94158">
        <w:rPr>
          <w:lang w:val="en-US"/>
        </w:rPr>
        <w:t>https://www.oyez.org/cases/1940-1955/333us640</w:t>
      </w:r>
      <w:r w:rsidRPr="0043666A">
        <w:rPr>
          <w:lang w:val="en-US"/>
        </w:rPr>
        <w:t xml:space="preserve"> </w:t>
      </w:r>
      <w:r>
        <w:rPr>
          <w:lang w:val="en-US"/>
        </w:rPr>
        <w:t>(27.04.2026).</w:t>
      </w:r>
    </w:p>
  </w:footnote>
  <w:footnote w:id="1502">
    <w:p w14:paraId="6886ACC8"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740240">
        <w:rPr>
          <w:i/>
          <w:lang w:val="en-IE"/>
        </w:rPr>
        <w:t>Palko v. Connecticut</w:t>
      </w:r>
      <w:r w:rsidRPr="00740240">
        <w:rPr>
          <w:lang w:val="en-IE"/>
        </w:rPr>
        <w:t>, 302 U.S. 319, 325</w:t>
      </w:r>
      <w:r>
        <w:rPr>
          <w:lang w:val="en-IE"/>
        </w:rPr>
        <w:t xml:space="preserve">; </w:t>
      </w:r>
      <w:proofErr w:type="spellStart"/>
      <w:r>
        <w:rPr>
          <w:lang w:val="en-IE"/>
        </w:rPr>
        <w:t>zitiert</w:t>
      </w:r>
      <w:proofErr w:type="spellEnd"/>
      <w:r>
        <w:rPr>
          <w:lang w:val="en-IE"/>
        </w:rPr>
        <w:t xml:space="preserve"> in </w:t>
      </w:r>
      <w:r w:rsidRPr="00740240">
        <w:rPr>
          <w:i/>
          <w:lang w:val="en-IE"/>
        </w:rPr>
        <w:t>Bute v. Illinois</w:t>
      </w:r>
      <w:r w:rsidRPr="00740240">
        <w:rPr>
          <w:lang w:val="en-IE"/>
        </w:rPr>
        <w:t>, 333 U.S. 640, 659</w:t>
      </w:r>
      <w:r>
        <w:rPr>
          <w:lang w:val="en-IE"/>
        </w:rPr>
        <w:t xml:space="preserve"> =</w:t>
      </w:r>
      <w:r w:rsidRPr="00740240">
        <w:rPr>
          <w:lang w:val="en-IE"/>
        </w:rPr>
        <w:t xml:space="preserve"> 68 S. Ct. 763, 773</w:t>
      </w:r>
      <w:r>
        <w:rPr>
          <w:lang w:val="en-IE"/>
        </w:rPr>
        <w:t xml:space="preserve"> =</w:t>
      </w:r>
      <w:r w:rsidRPr="00740240">
        <w:rPr>
          <w:lang w:val="en-IE"/>
        </w:rPr>
        <w:t xml:space="preserve"> 92 L. Ed. 986, 997</w:t>
      </w:r>
      <w:r>
        <w:rPr>
          <w:lang w:val="en-IE"/>
        </w:rPr>
        <w:t xml:space="preserve"> =</w:t>
      </w:r>
      <w:r w:rsidRPr="00740240">
        <w:rPr>
          <w:lang w:val="en-IE"/>
        </w:rPr>
        <w:t xml:space="preserve"> 1948 U.S. LEXIS 2290, 30 (1948)</w:t>
      </w:r>
      <w:r>
        <w:rPr>
          <w:lang w:val="en-IE"/>
        </w:rPr>
        <w:t>.</w:t>
      </w:r>
    </w:p>
  </w:footnote>
  <w:footnote w:id="1503">
    <w:p w14:paraId="119F5B76"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740240">
        <w:rPr>
          <w:i/>
          <w:lang w:val="en-IE"/>
        </w:rPr>
        <w:t>Palko v. Connecticut</w:t>
      </w:r>
      <w:r w:rsidRPr="00740240">
        <w:rPr>
          <w:lang w:val="en-IE"/>
        </w:rPr>
        <w:t>, 302 U.S. 319, 325</w:t>
      </w:r>
      <w:r>
        <w:rPr>
          <w:lang w:val="en-IE"/>
        </w:rPr>
        <w:t xml:space="preserve">; </w:t>
      </w:r>
      <w:proofErr w:type="spellStart"/>
      <w:r>
        <w:rPr>
          <w:lang w:val="en-IE"/>
        </w:rPr>
        <w:t>zitiert</w:t>
      </w:r>
      <w:proofErr w:type="spellEnd"/>
      <w:r>
        <w:rPr>
          <w:lang w:val="en-IE"/>
        </w:rPr>
        <w:t xml:space="preserve"> in </w:t>
      </w:r>
      <w:r w:rsidRPr="00740240">
        <w:rPr>
          <w:i/>
          <w:lang w:val="en-IE"/>
        </w:rPr>
        <w:t>Bute v. Illinois</w:t>
      </w:r>
      <w:r w:rsidRPr="00740240">
        <w:rPr>
          <w:lang w:val="en-IE"/>
        </w:rPr>
        <w:t>, 333 U.S. 640, 659</w:t>
      </w:r>
      <w:r>
        <w:rPr>
          <w:lang w:val="en-IE"/>
        </w:rPr>
        <w:t xml:space="preserve"> =</w:t>
      </w:r>
      <w:r w:rsidRPr="00740240">
        <w:rPr>
          <w:lang w:val="en-IE"/>
        </w:rPr>
        <w:t xml:space="preserve"> 68 S. Ct. 763, 773</w:t>
      </w:r>
      <w:r>
        <w:rPr>
          <w:lang w:val="en-IE"/>
        </w:rPr>
        <w:t xml:space="preserve"> =</w:t>
      </w:r>
      <w:r w:rsidRPr="00740240">
        <w:rPr>
          <w:lang w:val="en-IE"/>
        </w:rPr>
        <w:t xml:space="preserve"> 92 L. Ed. 986, 997</w:t>
      </w:r>
      <w:r>
        <w:rPr>
          <w:lang w:val="en-IE"/>
        </w:rPr>
        <w:t xml:space="preserve"> =</w:t>
      </w:r>
      <w:r w:rsidRPr="00740240">
        <w:rPr>
          <w:lang w:val="en-IE"/>
        </w:rPr>
        <w:t xml:space="preserve"> 1948 U.S. LEXIS 2290, 30 (1948)</w:t>
      </w:r>
      <w:r>
        <w:rPr>
          <w:lang w:val="en-IE"/>
        </w:rPr>
        <w:t>.</w:t>
      </w:r>
    </w:p>
  </w:footnote>
  <w:footnote w:id="1504">
    <w:p w14:paraId="29847970" w14:textId="7F57CA64" w:rsidR="00074551" w:rsidRPr="00CE6A14" w:rsidRDefault="00074551" w:rsidP="00074551">
      <w:pPr>
        <w:pStyle w:val="Funotentext"/>
        <w:rPr>
          <w:lang w:val="en-US"/>
        </w:rPr>
      </w:pPr>
      <w:r>
        <w:rPr>
          <w:rStyle w:val="Funotenzeichen"/>
          <w:rFonts w:eastAsiaTheme="majorEastAsia"/>
        </w:rPr>
        <w:footnoteRef/>
      </w:r>
      <w:r w:rsidRPr="00CE6A14">
        <w:rPr>
          <w:lang w:val="en-US"/>
        </w:rPr>
        <w:t xml:space="preserve"> </w:t>
      </w:r>
      <w:r w:rsidRPr="00B35CD0">
        <w:rPr>
          <w:i/>
          <w:lang w:val="en-US"/>
        </w:rPr>
        <w:t>Bute v. Illinois</w:t>
      </w:r>
      <w:r w:rsidRPr="00095DBF">
        <w:rPr>
          <w:lang w:val="en-US"/>
        </w:rPr>
        <w:t>, 333 U.S. 640</w:t>
      </w:r>
      <w:r>
        <w:rPr>
          <w:lang w:val="en-US"/>
        </w:rPr>
        <w:t>, 65</w:t>
      </w:r>
      <w:r w:rsidR="000E5D5B">
        <w:rPr>
          <w:lang w:val="en-US"/>
        </w:rPr>
        <w:t>0</w:t>
      </w:r>
      <w:r>
        <w:rPr>
          <w:lang w:val="en-US"/>
        </w:rPr>
        <w:t xml:space="preserve"> (1948)</w:t>
      </w:r>
      <w:r w:rsidR="006C66C0">
        <w:rPr>
          <w:lang w:val="en-US"/>
        </w:rPr>
        <w:t xml:space="preserve">, </w:t>
      </w:r>
      <w:proofErr w:type="spellStart"/>
      <w:r w:rsidR="006C66C0">
        <w:rPr>
          <w:lang w:val="en-US"/>
        </w:rPr>
        <w:t>dort</w:t>
      </w:r>
      <w:proofErr w:type="spellEnd"/>
      <w:r w:rsidR="006C66C0">
        <w:rPr>
          <w:lang w:val="en-US"/>
        </w:rPr>
        <w:t xml:space="preserve"> der </w:t>
      </w:r>
      <w:proofErr w:type="spellStart"/>
      <w:r w:rsidR="006C66C0">
        <w:rPr>
          <w:lang w:val="en-US"/>
        </w:rPr>
        <w:t>Verweis</w:t>
      </w:r>
      <w:proofErr w:type="spellEnd"/>
      <w:r w:rsidR="006C66C0">
        <w:rPr>
          <w:lang w:val="en-US"/>
        </w:rPr>
        <w:t xml:space="preserve"> auf </w:t>
      </w:r>
      <w:r w:rsidR="006C66C0" w:rsidRPr="00A3524C">
        <w:t>„</w:t>
      </w:r>
      <w:r w:rsidRPr="006641F2">
        <w:rPr>
          <w:lang w:val="en-US"/>
        </w:rPr>
        <w:t>The Federalist, Num</w:t>
      </w:r>
      <w:r>
        <w:rPr>
          <w:lang w:val="en-US"/>
        </w:rPr>
        <w:t>m</w:t>
      </w:r>
      <w:r w:rsidRPr="006641F2">
        <w:rPr>
          <w:lang w:val="en-US"/>
        </w:rPr>
        <w:t>er XLIV, Restrictions on the Authority of the Several States; Num</w:t>
      </w:r>
      <w:r>
        <w:rPr>
          <w:lang w:val="en-US"/>
        </w:rPr>
        <w:t>m</w:t>
      </w:r>
      <w:r w:rsidRPr="006641F2">
        <w:rPr>
          <w:lang w:val="en-US"/>
        </w:rPr>
        <w:t>er XLV, The Alleged Danger from the Powers of the Union to the State Governments Considered; Num</w:t>
      </w:r>
      <w:r>
        <w:rPr>
          <w:lang w:val="en-US"/>
        </w:rPr>
        <w:t>m</w:t>
      </w:r>
      <w:r w:rsidRPr="006641F2">
        <w:rPr>
          <w:lang w:val="en-US"/>
        </w:rPr>
        <w:t>er XLVI, The Influence of the State and Federal Governments Compared.</w:t>
      </w:r>
      <w:r w:rsidR="006C66C0">
        <w:rPr>
          <w:lang w:val="en-US"/>
        </w:rPr>
        <w:t>”</w:t>
      </w:r>
    </w:p>
  </w:footnote>
  <w:footnote w:id="1505">
    <w:p w14:paraId="5A3380AC" w14:textId="53E8AB50" w:rsidR="00074551" w:rsidRPr="006641F2" w:rsidRDefault="00074551" w:rsidP="00074551">
      <w:pPr>
        <w:pStyle w:val="Funotentext"/>
        <w:rPr>
          <w:lang w:val="en-US"/>
        </w:rPr>
      </w:pPr>
      <w:r>
        <w:rPr>
          <w:rStyle w:val="Funotenzeichen"/>
          <w:rFonts w:eastAsiaTheme="majorEastAsia"/>
        </w:rPr>
        <w:footnoteRef/>
      </w:r>
      <w:r w:rsidRPr="006641F2">
        <w:rPr>
          <w:lang w:val="en-US"/>
        </w:rPr>
        <w:t xml:space="preserve"> </w:t>
      </w:r>
      <w:r>
        <w:rPr>
          <w:lang w:val="en-US"/>
        </w:rPr>
        <w:t>„</w:t>
      </w:r>
      <w:r w:rsidRPr="006641F2">
        <w:rPr>
          <w:lang w:val="en-US"/>
        </w:rPr>
        <w:t xml:space="preserve">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w:t>
      </w:r>
      <w:proofErr w:type="gramStart"/>
      <w:r w:rsidRPr="006641F2">
        <w:rPr>
          <w:lang w:val="en-US"/>
        </w:rPr>
        <w:t>seized.</w:t>
      </w:r>
      <w:r>
        <w:rPr>
          <w:lang w:val="en-US"/>
        </w:rPr>
        <w:t>“</w:t>
      </w:r>
      <w:proofErr w:type="gramEnd"/>
      <w:r w:rsidR="000E5D5B">
        <w:rPr>
          <w:lang w:val="en-US"/>
        </w:rPr>
        <w:t xml:space="preserve"> (</w:t>
      </w:r>
      <w:r w:rsidR="000E5D5B" w:rsidRPr="000E5D5B">
        <w:t xml:space="preserve">U.S. </w:t>
      </w:r>
      <w:proofErr w:type="spellStart"/>
      <w:r w:rsidR="000E5D5B" w:rsidRPr="000E5D5B">
        <w:t>Const</w:t>
      </w:r>
      <w:proofErr w:type="spellEnd"/>
      <w:r w:rsidR="000E5D5B" w:rsidRPr="000E5D5B">
        <w:t xml:space="preserve">. </w:t>
      </w:r>
      <w:proofErr w:type="spellStart"/>
      <w:r w:rsidR="000E5D5B" w:rsidRPr="000E5D5B">
        <w:t>amend</w:t>
      </w:r>
      <w:proofErr w:type="spellEnd"/>
      <w:r w:rsidR="000E5D5B" w:rsidRPr="000E5D5B">
        <w:t>. IV</w:t>
      </w:r>
      <w:r w:rsidR="000E5D5B">
        <w:t>);</w:t>
      </w:r>
    </w:p>
    <w:p w14:paraId="04DC2F2A" w14:textId="032B89D5" w:rsidR="00074551" w:rsidRPr="006641F2" w:rsidRDefault="00074551" w:rsidP="00074551">
      <w:pPr>
        <w:pStyle w:val="Funotentext"/>
        <w:rPr>
          <w:lang w:val="en-US"/>
        </w:rPr>
      </w:pPr>
      <w:r>
        <w:rPr>
          <w:lang w:val="en-US"/>
        </w:rPr>
        <w:t>„</w:t>
      </w:r>
      <w:r w:rsidRPr="006641F2">
        <w:rPr>
          <w:lang w:val="en-US"/>
        </w:rPr>
        <w:t>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w:t>
      </w:r>
      <w:r>
        <w:rPr>
          <w:lang w:val="en-US"/>
        </w:rPr>
        <w:t>“</w:t>
      </w:r>
      <w:r w:rsidR="000E5D5B">
        <w:rPr>
          <w:lang w:val="en-US"/>
        </w:rPr>
        <w:t xml:space="preserve"> (</w:t>
      </w:r>
      <w:r w:rsidR="000E5D5B" w:rsidRPr="000E5D5B">
        <w:t xml:space="preserve">U.S. </w:t>
      </w:r>
      <w:proofErr w:type="spellStart"/>
      <w:r w:rsidR="000E5D5B" w:rsidRPr="000E5D5B">
        <w:t>Const</w:t>
      </w:r>
      <w:proofErr w:type="spellEnd"/>
      <w:r w:rsidR="000E5D5B" w:rsidRPr="000E5D5B">
        <w:t>. </w:t>
      </w:r>
      <w:proofErr w:type="spellStart"/>
      <w:r w:rsidR="000E5D5B" w:rsidRPr="000E5D5B">
        <w:t>amend</w:t>
      </w:r>
      <w:proofErr w:type="spellEnd"/>
      <w:r w:rsidR="000E5D5B" w:rsidRPr="000E5D5B">
        <w:t>. V</w:t>
      </w:r>
      <w:r w:rsidR="000E5D5B">
        <w:rPr>
          <w:lang w:val="en-US"/>
        </w:rPr>
        <w:t>)</w:t>
      </w:r>
    </w:p>
    <w:p w14:paraId="0E0A0839" w14:textId="2479A8E8" w:rsidR="00074551" w:rsidRPr="006641F2" w:rsidRDefault="00074551" w:rsidP="00074551">
      <w:pPr>
        <w:pStyle w:val="Funotentext"/>
        <w:rPr>
          <w:lang w:val="en-US"/>
        </w:rPr>
      </w:pPr>
      <w:r>
        <w:rPr>
          <w:lang w:val="en-US"/>
        </w:rPr>
        <w:t>„</w:t>
      </w:r>
      <w:r w:rsidRPr="006641F2">
        <w:rPr>
          <w:lang w:val="en-US"/>
        </w:rPr>
        <w:t xml:space="preserve">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w:t>
      </w:r>
      <w:proofErr w:type="spellStart"/>
      <w:r w:rsidRPr="006641F2">
        <w:rPr>
          <w:lang w:val="en-US"/>
        </w:rPr>
        <w:t>defence</w:t>
      </w:r>
      <w:proofErr w:type="spellEnd"/>
      <w:r w:rsidRPr="006641F2">
        <w:rPr>
          <w:lang w:val="en-US"/>
        </w:rPr>
        <w:t>.</w:t>
      </w:r>
      <w:r>
        <w:rPr>
          <w:lang w:val="en-US"/>
        </w:rPr>
        <w:t>“</w:t>
      </w:r>
      <w:r w:rsidR="000E5D5B">
        <w:rPr>
          <w:lang w:val="en-US"/>
        </w:rPr>
        <w:t xml:space="preserve"> (</w:t>
      </w:r>
      <w:r w:rsidR="000E5D5B" w:rsidRPr="000E5D5B">
        <w:rPr>
          <w:lang w:val="en-US"/>
        </w:rPr>
        <w:t>U.S. Const. amend. VI</w:t>
      </w:r>
      <w:r w:rsidR="000E5D5B">
        <w:rPr>
          <w:lang w:val="en-US"/>
        </w:rPr>
        <w:t>)</w:t>
      </w:r>
    </w:p>
    <w:p w14:paraId="31EA1B65" w14:textId="08CFB16B" w:rsidR="00074551" w:rsidRPr="006641F2" w:rsidRDefault="00074551" w:rsidP="00074551">
      <w:pPr>
        <w:pStyle w:val="Funotentext"/>
        <w:rPr>
          <w:lang w:val="en-US"/>
        </w:rPr>
      </w:pPr>
      <w:r>
        <w:rPr>
          <w:lang w:val="en-US"/>
        </w:rPr>
        <w:t>„</w:t>
      </w:r>
      <w:r w:rsidRPr="006641F2">
        <w:rPr>
          <w:lang w:val="en-US"/>
        </w:rPr>
        <w:t xml:space="preserve">In Suits at common law, where the value in controversy shall exceed twenty dollars, the right of trial by jury shall be preserved, and no fact tried by a jury, shall be otherwise re-examined in any Court of the United States, </w:t>
      </w:r>
      <w:proofErr w:type="gramStart"/>
      <w:r w:rsidRPr="006641F2">
        <w:rPr>
          <w:lang w:val="en-US"/>
        </w:rPr>
        <w:t>than</w:t>
      </w:r>
      <w:proofErr w:type="gramEnd"/>
      <w:r w:rsidRPr="006641F2">
        <w:rPr>
          <w:lang w:val="en-US"/>
        </w:rPr>
        <w:t xml:space="preserve"> according to the rules of the common </w:t>
      </w:r>
      <w:proofErr w:type="gramStart"/>
      <w:r w:rsidRPr="006641F2">
        <w:rPr>
          <w:lang w:val="en-US"/>
        </w:rPr>
        <w:t>law.</w:t>
      </w:r>
      <w:r>
        <w:rPr>
          <w:lang w:val="en-US"/>
        </w:rPr>
        <w:t>“</w:t>
      </w:r>
      <w:proofErr w:type="gramEnd"/>
      <w:r w:rsidR="000E5D5B">
        <w:rPr>
          <w:lang w:val="en-US"/>
        </w:rPr>
        <w:t xml:space="preserve"> (</w:t>
      </w:r>
      <w:r w:rsidR="000E5D5B" w:rsidRPr="000E5D5B">
        <w:t xml:space="preserve">U.S. </w:t>
      </w:r>
      <w:proofErr w:type="spellStart"/>
      <w:r w:rsidR="000E5D5B" w:rsidRPr="000E5D5B">
        <w:t>Const</w:t>
      </w:r>
      <w:proofErr w:type="spellEnd"/>
      <w:r w:rsidR="000E5D5B" w:rsidRPr="000E5D5B">
        <w:t xml:space="preserve">. </w:t>
      </w:r>
      <w:proofErr w:type="spellStart"/>
      <w:r w:rsidR="000E5D5B" w:rsidRPr="000E5D5B">
        <w:t>amend</w:t>
      </w:r>
      <w:proofErr w:type="spellEnd"/>
      <w:r w:rsidR="000E5D5B" w:rsidRPr="000E5D5B">
        <w:t>. VII</w:t>
      </w:r>
      <w:r w:rsidR="000E5D5B">
        <w:rPr>
          <w:lang w:val="en-US"/>
        </w:rPr>
        <w:t>)</w:t>
      </w:r>
    </w:p>
    <w:p w14:paraId="7D29BD5E" w14:textId="07E45B05" w:rsidR="00074551" w:rsidRPr="006641F2" w:rsidRDefault="00074551" w:rsidP="00074551">
      <w:pPr>
        <w:pStyle w:val="Funotentext"/>
        <w:rPr>
          <w:lang w:val="en-US"/>
        </w:rPr>
      </w:pPr>
      <w:r>
        <w:rPr>
          <w:lang w:val="en-US"/>
        </w:rPr>
        <w:t>„</w:t>
      </w:r>
      <w:r w:rsidRPr="006641F2">
        <w:rPr>
          <w:lang w:val="en-US"/>
        </w:rPr>
        <w:t xml:space="preserve">Excessive bail shall not be required, nor excessive fines imposed, nor cruel and unusual punishments </w:t>
      </w:r>
      <w:proofErr w:type="gramStart"/>
      <w:r w:rsidRPr="006641F2">
        <w:rPr>
          <w:lang w:val="en-US"/>
        </w:rPr>
        <w:t>inflicted.</w:t>
      </w:r>
      <w:r>
        <w:rPr>
          <w:lang w:val="en-US"/>
        </w:rPr>
        <w:t>“</w:t>
      </w:r>
      <w:proofErr w:type="gramEnd"/>
      <w:r w:rsidRPr="006641F2">
        <w:rPr>
          <w:lang w:val="en-US"/>
        </w:rPr>
        <w:t xml:space="preserve"> </w:t>
      </w:r>
      <w:r w:rsidR="005E6A47">
        <w:rPr>
          <w:lang w:val="en-US"/>
        </w:rPr>
        <w:t>(</w:t>
      </w:r>
      <w:r w:rsidRPr="006641F2">
        <w:rPr>
          <w:lang w:val="en-US"/>
        </w:rPr>
        <w:t xml:space="preserve">U.S. Const. </w:t>
      </w:r>
      <w:r w:rsidR="005E6A47">
        <w:rPr>
          <w:lang w:val="en-US"/>
        </w:rPr>
        <w:t>amend.</w:t>
      </w:r>
      <w:r w:rsidRPr="006641F2">
        <w:rPr>
          <w:lang w:val="en-US"/>
        </w:rPr>
        <w:t xml:space="preserve"> VIII</w:t>
      </w:r>
      <w:r w:rsidR="005E6A47">
        <w:rPr>
          <w:lang w:val="en-US"/>
        </w:rPr>
        <w:t>)</w:t>
      </w:r>
      <w:r w:rsidRPr="006641F2">
        <w:rPr>
          <w:lang w:val="en-US"/>
        </w:rPr>
        <w:t>.</w:t>
      </w:r>
    </w:p>
  </w:footnote>
  <w:footnote w:id="1506">
    <w:p w14:paraId="4552AA85"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740240">
        <w:rPr>
          <w:i/>
          <w:lang w:val="en-IE"/>
        </w:rPr>
        <w:t>Bute v. Illinois</w:t>
      </w:r>
      <w:r w:rsidRPr="00740240">
        <w:rPr>
          <w:lang w:val="en-IE"/>
        </w:rPr>
        <w:t>, 333 U.S. 640, 651</w:t>
      </w:r>
      <w:r>
        <w:rPr>
          <w:lang w:val="en-IE"/>
        </w:rPr>
        <w:t xml:space="preserve"> =</w:t>
      </w:r>
      <w:r w:rsidRPr="00740240">
        <w:rPr>
          <w:lang w:val="en-IE"/>
        </w:rPr>
        <w:t xml:space="preserve"> 68 S. Ct. 763, 769</w:t>
      </w:r>
      <w:r>
        <w:rPr>
          <w:lang w:val="en-IE"/>
        </w:rPr>
        <w:t xml:space="preserve"> =</w:t>
      </w:r>
      <w:r w:rsidRPr="00740240">
        <w:rPr>
          <w:lang w:val="en-IE"/>
        </w:rPr>
        <w:t xml:space="preserve"> 92 L. Ed. 986, 993</w:t>
      </w:r>
      <w:r>
        <w:rPr>
          <w:lang w:val="en-IE"/>
        </w:rPr>
        <w:t xml:space="preserve"> =</w:t>
      </w:r>
      <w:r w:rsidRPr="00740240">
        <w:rPr>
          <w:lang w:val="en-IE"/>
        </w:rPr>
        <w:t xml:space="preserve"> 1948 U.S. LEXIS 2290, 19 (1948)</w:t>
      </w:r>
      <w:r>
        <w:rPr>
          <w:lang w:val="en-IE"/>
        </w:rPr>
        <w:t>.</w:t>
      </w:r>
    </w:p>
  </w:footnote>
  <w:footnote w:id="1507">
    <w:p w14:paraId="0F649566" w14:textId="77777777" w:rsidR="00074551" w:rsidRPr="003C32B6" w:rsidRDefault="00074551" w:rsidP="00074551">
      <w:pPr>
        <w:pStyle w:val="Funotentext"/>
        <w:rPr>
          <w:lang w:val="en-US"/>
        </w:rPr>
      </w:pPr>
      <w:r>
        <w:rPr>
          <w:rStyle w:val="Funotenzeichen"/>
          <w:rFonts w:eastAsiaTheme="majorEastAsia"/>
        </w:rPr>
        <w:footnoteRef/>
      </w:r>
      <w:r w:rsidRPr="003C32B6">
        <w:rPr>
          <w:lang w:val="en-US"/>
        </w:rPr>
        <w:t xml:space="preserve"> </w:t>
      </w:r>
      <w:r w:rsidRPr="00B35CD0">
        <w:rPr>
          <w:i/>
          <w:lang w:val="en-US"/>
        </w:rPr>
        <w:t>Bute v. Illinois</w:t>
      </w:r>
      <w:r w:rsidRPr="003C32B6">
        <w:rPr>
          <w:lang w:val="en-US"/>
        </w:rPr>
        <w:t>, 333 U.S. 640, 651</w:t>
      </w:r>
      <w:r w:rsidRPr="006E67FE">
        <w:rPr>
          <w:lang w:val="en-US"/>
        </w:rPr>
        <w:t xml:space="preserve"> = 68 S. Ct. </w:t>
      </w:r>
      <w:r w:rsidRPr="003C32B6">
        <w:rPr>
          <w:lang w:val="en-US"/>
        </w:rPr>
        <w:t>763, 769</w:t>
      </w:r>
      <w:r w:rsidRPr="006E67FE">
        <w:rPr>
          <w:lang w:val="en-US"/>
        </w:rPr>
        <w:t xml:space="preserve"> = 92 L. Ed. </w:t>
      </w:r>
      <w:r w:rsidRPr="003C32B6">
        <w:rPr>
          <w:lang w:val="en-US"/>
        </w:rPr>
        <w:t>986, 993</w:t>
      </w:r>
      <w:r w:rsidRPr="006E67FE">
        <w:rPr>
          <w:lang w:val="en-US"/>
        </w:rPr>
        <w:t xml:space="preserve"> = 1948 U.S. LEXIS </w:t>
      </w:r>
      <w:r w:rsidRPr="003C32B6">
        <w:rPr>
          <w:lang w:val="en-US"/>
        </w:rPr>
        <w:t>2290, 19 (1948)</w:t>
      </w:r>
      <w:r>
        <w:rPr>
          <w:lang w:val="en-US"/>
        </w:rPr>
        <w:t>.</w:t>
      </w:r>
    </w:p>
  </w:footnote>
  <w:footnote w:id="1508">
    <w:p w14:paraId="20C41ECE" w14:textId="77777777" w:rsidR="00074551" w:rsidRPr="003C32B6" w:rsidRDefault="00074551" w:rsidP="00074551">
      <w:pPr>
        <w:pStyle w:val="Funotentext"/>
        <w:rPr>
          <w:lang w:val="en-US"/>
        </w:rPr>
      </w:pPr>
      <w:r>
        <w:rPr>
          <w:rStyle w:val="Funotenzeichen"/>
          <w:rFonts w:eastAsiaTheme="majorEastAsia"/>
        </w:rPr>
        <w:footnoteRef/>
      </w:r>
      <w:r w:rsidRPr="003C32B6">
        <w:rPr>
          <w:lang w:val="en-US"/>
        </w:rPr>
        <w:t xml:space="preserve"> </w:t>
      </w:r>
      <w:r w:rsidRPr="00B35CD0">
        <w:rPr>
          <w:i/>
          <w:lang w:val="en-US"/>
        </w:rPr>
        <w:t>Bute v. Illinois</w:t>
      </w:r>
      <w:r w:rsidRPr="003C32B6">
        <w:rPr>
          <w:lang w:val="en-US"/>
        </w:rPr>
        <w:t>, 333 U.S. 640, 651</w:t>
      </w:r>
      <w:r w:rsidRPr="006E67FE">
        <w:rPr>
          <w:lang w:val="en-US"/>
        </w:rPr>
        <w:t xml:space="preserve"> = 68 S. Ct. </w:t>
      </w:r>
      <w:r w:rsidRPr="003C32B6">
        <w:rPr>
          <w:lang w:val="en-US"/>
        </w:rPr>
        <w:t>763, 769</w:t>
      </w:r>
      <w:r w:rsidRPr="006E67FE">
        <w:rPr>
          <w:lang w:val="en-US"/>
        </w:rPr>
        <w:t xml:space="preserve"> = 92 L. Ed. </w:t>
      </w:r>
      <w:r w:rsidRPr="003C32B6">
        <w:rPr>
          <w:lang w:val="en-US"/>
        </w:rPr>
        <w:t>986, 993</w:t>
      </w:r>
      <w:r w:rsidRPr="006E67FE">
        <w:rPr>
          <w:lang w:val="en-US"/>
        </w:rPr>
        <w:t xml:space="preserve"> = 1948 U.S. LEXIS </w:t>
      </w:r>
      <w:r w:rsidRPr="003C32B6">
        <w:rPr>
          <w:lang w:val="en-US"/>
        </w:rPr>
        <w:t>2290, 19 (1948)</w:t>
      </w:r>
      <w:r>
        <w:rPr>
          <w:lang w:val="en-US"/>
        </w:rPr>
        <w:t>.</w:t>
      </w:r>
    </w:p>
  </w:footnote>
  <w:footnote w:id="1509">
    <w:p w14:paraId="1EDE99E2" w14:textId="77777777" w:rsidR="00074551" w:rsidRPr="003C32B6" w:rsidRDefault="00074551" w:rsidP="00074551">
      <w:pPr>
        <w:pStyle w:val="Funotentext"/>
        <w:rPr>
          <w:lang w:val="en-US"/>
        </w:rPr>
      </w:pPr>
      <w:r>
        <w:rPr>
          <w:rStyle w:val="Funotenzeichen"/>
          <w:rFonts w:eastAsiaTheme="majorEastAsia"/>
        </w:rPr>
        <w:footnoteRef/>
      </w:r>
      <w:r w:rsidRPr="003C32B6">
        <w:rPr>
          <w:lang w:val="en-US"/>
        </w:rPr>
        <w:t xml:space="preserve"> </w:t>
      </w:r>
      <w:r w:rsidRPr="00B35CD0">
        <w:rPr>
          <w:i/>
          <w:lang w:val="en-US"/>
        </w:rPr>
        <w:t>Bute v. Illinois</w:t>
      </w:r>
      <w:r w:rsidRPr="003C32B6">
        <w:rPr>
          <w:lang w:val="en-US"/>
        </w:rPr>
        <w:t>, 333 U.S. 640, 652</w:t>
      </w:r>
      <w:r w:rsidRPr="006E67FE">
        <w:rPr>
          <w:lang w:val="en-US"/>
        </w:rPr>
        <w:t xml:space="preserve"> = 68 S. Ct. </w:t>
      </w:r>
      <w:r w:rsidRPr="003C32B6">
        <w:rPr>
          <w:lang w:val="en-US"/>
        </w:rPr>
        <w:t>763, 770</w:t>
      </w:r>
      <w:r w:rsidRPr="006E67FE">
        <w:rPr>
          <w:lang w:val="en-US"/>
        </w:rPr>
        <w:t xml:space="preserve"> = 92 L. Ed. </w:t>
      </w:r>
      <w:r w:rsidRPr="003C32B6">
        <w:rPr>
          <w:lang w:val="en-US"/>
        </w:rPr>
        <w:t>986, 993</w:t>
      </w:r>
      <w:r w:rsidRPr="006E67FE">
        <w:rPr>
          <w:lang w:val="en-US"/>
        </w:rPr>
        <w:t xml:space="preserve"> = 1948 U.S. LEXIS </w:t>
      </w:r>
      <w:r w:rsidRPr="003C32B6">
        <w:rPr>
          <w:lang w:val="en-US"/>
        </w:rPr>
        <w:t>2290, 21 (1948)</w:t>
      </w:r>
      <w:r>
        <w:rPr>
          <w:lang w:val="en-US"/>
        </w:rPr>
        <w:t>.</w:t>
      </w:r>
    </w:p>
  </w:footnote>
  <w:footnote w:id="1510">
    <w:p w14:paraId="5CC22CCB" w14:textId="77777777" w:rsidR="00074551" w:rsidRPr="00432FE3" w:rsidRDefault="00074551" w:rsidP="00074551">
      <w:pPr>
        <w:pStyle w:val="Funotentext"/>
        <w:rPr>
          <w:lang w:val="en-US"/>
        </w:rPr>
      </w:pPr>
      <w:r>
        <w:rPr>
          <w:rStyle w:val="Funotenzeichen"/>
        </w:rPr>
        <w:footnoteRef/>
      </w:r>
      <w:r w:rsidRPr="00432FE3">
        <w:rPr>
          <w:lang w:val="en-US"/>
        </w:rPr>
        <w:t xml:space="preserve"> </w:t>
      </w:r>
      <w:r w:rsidRPr="00B35CD0">
        <w:rPr>
          <w:i/>
          <w:lang w:val="en-US"/>
        </w:rPr>
        <w:t>Gamble v. United States</w:t>
      </w:r>
      <w:r w:rsidRPr="00432FE3">
        <w:rPr>
          <w:lang w:val="en-US"/>
        </w:rPr>
        <w:t>, 139 S. Ct. 1960, 1983</w:t>
      </w:r>
      <w:r>
        <w:rPr>
          <w:lang w:val="en-US"/>
        </w:rPr>
        <w:t xml:space="preserve"> = 204 L. Ed. </w:t>
      </w:r>
      <w:r w:rsidRPr="00432FE3">
        <w:rPr>
          <w:lang w:val="en-US"/>
        </w:rPr>
        <w:t>2d 322, 347</w:t>
      </w:r>
      <w:r>
        <w:rPr>
          <w:lang w:val="en-US"/>
        </w:rPr>
        <w:t xml:space="preserve"> = 2019 U.S. LEXIS </w:t>
      </w:r>
      <w:r w:rsidRPr="00432FE3">
        <w:rPr>
          <w:lang w:val="en-US"/>
        </w:rPr>
        <w:t>4173, 50</w:t>
      </w:r>
      <w:r>
        <w:rPr>
          <w:lang w:val="en-US"/>
        </w:rPr>
        <w:t xml:space="preserve"> = 27 Fla. L. Weekly </w:t>
      </w:r>
      <w:r w:rsidRPr="00432FE3">
        <w:rPr>
          <w:lang w:val="en-US"/>
        </w:rPr>
        <w:t>Fed. S 926</w:t>
      </w:r>
      <w:r>
        <w:rPr>
          <w:lang w:val="en-US"/>
        </w:rPr>
        <w:t xml:space="preserve"> = 2019 WL </w:t>
      </w:r>
      <w:r w:rsidRPr="00432FE3">
        <w:rPr>
          <w:lang w:val="en-US"/>
        </w:rPr>
        <w:t>2493923 (2019)</w:t>
      </w:r>
      <w:r>
        <w:rPr>
          <w:lang w:val="en-US"/>
        </w:rPr>
        <w:t>.</w:t>
      </w:r>
    </w:p>
  </w:footnote>
  <w:footnote w:id="1511">
    <w:p w14:paraId="203D62B5" w14:textId="77777777" w:rsidR="00074551" w:rsidRPr="00382A15" w:rsidRDefault="00074551" w:rsidP="00074551">
      <w:pPr>
        <w:pStyle w:val="Funotentext"/>
        <w:rPr>
          <w:lang w:val="en-US"/>
        </w:rPr>
      </w:pPr>
      <w:r>
        <w:rPr>
          <w:rStyle w:val="Funotenzeichen"/>
        </w:rPr>
        <w:footnoteRef/>
      </w:r>
      <w:r w:rsidRPr="00382A15">
        <w:rPr>
          <w:lang w:val="en-US"/>
        </w:rPr>
        <w:t xml:space="preserve"> </w:t>
      </w:r>
      <w:r>
        <w:rPr>
          <w:lang w:val="en-US"/>
        </w:rPr>
        <w:t>„[C]</w:t>
      </w:r>
      <w:proofErr w:type="spellStart"/>
      <w:r w:rsidRPr="00382A15">
        <w:rPr>
          <w:lang w:val="en-US"/>
        </w:rPr>
        <w:t>onvicted</w:t>
      </w:r>
      <w:proofErr w:type="spellEnd"/>
      <w:r w:rsidRPr="00382A15">
        <w:rPr>
          <w:lang w:val="en-US"/>
        </w:rPr>
        <w:t xml:space="preserve"> </w:t>
      </w:r>
      <w:proofErr w:type="gramStart"/>
      <w:r w:rsidRPr="00382A15">
        <w:rPr>
          <w:lang w:val="en-US"/>
        </w:rPr>
        <w:t xml:space="preserve">of </w:t>
      </w:r>
      <w:r>
        <w:rPr>
          <w:lang w:val="en-US"/>
        </w:rPr>
        <w:t>,</w:t>
      </w:r>
      <w:r w:rsidRPr="00382A15">
        <w:rPr>
          <w:lang w:val="en-US"/>
        </w:rPr>
        <w:t>a</w:t>
      </w:r>
      <w:proofErr w:type="gramEnd"/>
      <w:r w:rsidRPr="00382A15">
        <w:rPr>
          <w:lang w:val="en-US"/>
        </w:rPr>
        <w:t xml:space="preserve"> crime of </w:t>
      </w:r>
      <w:proofErr w:type="gramStart"/>
      <w:r w:rsidRPr="00382A15">
        <w:rPr>
          <w:lang w:val="en-US"/>
        </w:rPr>
        <w:t>violence</w:t>
      </w:r>
      <w:r>
        <w:rPr>
          <w:lang w:val="en-US"/>
        </w:rPr>
        <w:t>‘</w:t>
      </w:r>
      <w:r w:rsidRPr="00382A15">
        <w:rPr>
          <w:lang w:val="en-US"/>
        </w:rPr>
        <w:t xml:space="preserve"> </w:t>
      </w:r>
      <w:r>
        <w:rPr>
          <w:lang w:val="en-US"/>
        </w:rPr>
        <w:t>,</w:t>
      </w:r>
      <w:proofErr w:type="gramEnd"/>
      <w:r w:rsidRPr="00382A15">
        <w:rPr>
          <w:lang w:val="en-US"/>
        </w:rPr>
        <w:t xml:space="preserve">shall own a firearm or have one in his or her </w:t>
      </w:r>
      <w:proofErr w:type="gramStart"/>
      <w:r w:rsidRPr="00382A15">
        <w:rPr>
          <w:lang w:val="en-US"/>
        </w:rPr>
        <w:t>possession.</w:t>
      </w:r>
      <w:r>
        <w:rPr>
          <w:lang w:val="en-US"/>
        </w:rPr>
        <w:t>‘</w:t>
      </w:r>
      <w:proofErr w:type="gramEnd"/>
      <w:r w:rsidRPr="00382A15">
        <w:rPr>
          <w:lang w:val="en-US"/>
        </w:rPr>
        <w:t xml:space="preserve"> Ala. Code §13A-11-72(a) (2015); see §13A-11-70(2) (</w:t>
      </w:r>
      <w:proofErr w:type="gramStart"/>
      <w:r w:rsidRPr="00382A15">
        <w:rPr>
          <w:lang w:val="en-US"/>
        </w:rPr>
        <w:t xml:space="preserve">defining </w:t>
      </w:r>
      <w:r>
        <w:rPr>
          <w:lang w:val="en-US"/>
        </w:rPr>
        <w:t>,</w:t>
      </w:r>
      <w:r w:rsidRPr="00382A15">
        <w:rPr>
          <w:lang w:val="en-US"/>
        </w:rPr>
        <w:t>crime</w:t>
      </w:r>
      <w:proofErr w:type="gramEnd"/>
      <w:r w:rsidRPr="00382A15">
        <w:rPr>
          <w:lang w:val="en-US"/>
        </w:rPr>
        <w:t xml:space="preserve"> of violence</w:t>
      </w:r>
      <w:r>
        <w:rPr>
          <w:lang w:val="en-US"/>
        </w:rPr>
        <w:t>’</w:t>
      </w:r>
      <w:r w:rsidRPr="00382A15">
        <w:rPr>
          <w:lang w:val="en-US"/>
        </w:rPr>
        <w:t xml:space="preserve"> to include </w:t>
      </w:r>
      <w:proofErr w:type="gramStart"/>
      <w:r w:rsidRPr="00382A15">
        <w:rPr>
          <w:lang w:val="en-US"/>
        </w:rPr>
        <w:t>robbery)</w:t>
      </w:r>
      <w:r>
        <w:rPr>
          <w:lang w:val="en-US"/>
        </w:rPr>
        <w:t>“</w:t>
      </w:r>
      <w:proofErr w:type="gramEnd"/>
      <w:r>
        <w:rPr>
          <w:lang w:val="en-US"/>
        </w:rPr>
        <w:t xml:space="preserve">, </w:t>
      </w:r>
      <w:r w:rsidRPr="00B35CD0">
        <w:rPr>
          <w:i/>
          <w:lang w:val="en-US"/>
        </w:rPr>
        <w:t>Gamble v. United States</w:t>
      </w:r>
      <w:r w:rsidRPr="00382A15">
        <w:rPr>
          <w:lang w:val="en-US"/>
        </w:rPr>
        <w:t>, 139 S. Ct. 1960, 1964</w:t>
      </w:r>
      <w:r>
        <w:rPr>
          <w:lang w:val="en-US"/>
        </w:rPr>
        <w:t xml:space="preserve"> = 204 L. Ed. </w:t>
      </w:r>
      <w:r w:rsidRPr="00382A15">
        <w:rPr>
          <w:lang w:val="en-US"/>
        </w:rPr>
        <w:t>2d 322, 326</w:t>
      </w:r>
      <w:r>
        <w:rPr>
          <w:lang w:val="en-US"/>
        </w:rPr>
        <w:t xml:space="preserve"> = 2019 U.S. LEXIS </w:t>
      </w:r>
      <w:r w:rsidRPr="00382A15">
        <w:rPr>
          <w:lang w:val="en-US"/>
        </w:rPr>
        <w:t>4173, 6</w:t>
      </w:r>
      <w:r>
        <w:rPr>
          <w:lang w:val="en-US"/>
        </w:rPr>
        <w:t xml:space="preserve"> = 27 Fla. L. Weekly </w:t>
      </w:r>
      <w:r w:rsidRPr="00382A15">
        <w:rPr>
          <w:lang w:val="en-US"/>
        </w:rPr>
        <w:t>Fed. S 926</w:t>
      </w:r>
      <w:r>
        <w:rPr>
          <w:lang w:val="en-US"/>
        </w:rPr>
        <w:t xml:space="preserve"> = 2019 WL </w:t>
      </w:r>
      <w:r w:rsidRPr="00382A15">
        <w:rPr>
          <w:lang w:val="en-US"/>
        </w:rPr>
        <w:t>2493923 (2019)</w:t>
      </w:r>
      <w:r>
        <w:rPr>
          <w:lang w:val="en-US"/>
        </w:rPr>
        <w:t>.</w:t>
      </w:r>
    </w:p>
  </w:footnote>
  <w:footnote w:id="1512">
    <w:p w14:paraId="6E007000" w14:textId="77777777" w:rsidR="00074551" w:rsidRPr="00382A15" w:rsidRDefault="00074551" w:rsidP="00074551">
      <w:pPr>
        <w:pStyle w:val="Funotentext"/>
        <w:rPr>
          <w:lang w:val="en-US"/>
        </w:rPr>
      </w:pPr>
      <w:r>
        <w:rPr>
          <w:rStyle w:val="Funotenzeichen"/>
        </w:rPr>
        <w:footnoteRef/>
      </w:r>
      <w:r w:rsidRPr="00382A15">
        <w:rPr>
          <w:lang w:val="en-US"/>
        </w:rPr>
        <w:t xml:space="preserve"> </w:t>
      </w:r>
      <w:r>
        <w:rPr>
          <w:lang w:val="en-US"/>
        </w:rPr>
        <w:t>„f</w:t>
      </w:r>
      <w:r w:rsidRPr="00382A15">
        <w:rPr>
          <w:lang w:val="en-US"/>
        </w:rPr>
        <w:t>ederal law</w:t>
      </w:r>
      <w:r>
        <w:rPr>
          <w:lang w:val="en-US"/>
        </w:rPr>
        <w:t xml:space="preserve"> – </w:t>
      </w:r>
      <w:r w:rsidRPr="00382A15">
        <w:rPr>
          <w:lang w:val="en-US"/>
        </w:rPr>
        <w:t xml:space="preserve">one forbidding those convicted </w:t>
      </w:r>
      <w:proofErr w:type="gramStart"/>
      <w:r w:rsidRPr="00382A15">
        <w:rPr>
          <w:lang w:val="en-US"/>
        </w:rPr>
        <w:t xml:space="preserve">of </w:t>
      </w:r>
      <w:r>
        <w:rPr>
          <w:lang w:val="en-US"/>
        </w:rPr>
        <w:t>,</w:t>
      </w:r>
      <w:r w:rsidRPr="00382A15">
        <w:rPr>
          <w:lang w:val="en-US"/>
        </w:rPr>
        <w:t>a</w:t>
      </w:r>
      <w:proofErr w:type="gramEnd"/>
      <w:r w:rsidRPr="00382A15">
        <w:rPr>
          <w:lang w:val="en-US"/>
        </w:rPr>
        <w:t xml:space="preserve"> crime punishable by imprisonment for a term exceeding one year </w:t>
      </w:r>
      <w:r>
        <w:rPr>
          <w:lang w:val="en-US"/>
        </w:rPr>
        <w:t>…</w:t>
      </w:r>
      <w:r w:rsidRPr="00382A15">
        <w:rPr>
          <w:lang w:val="en-US"/>
        </w:rPr>
        <w:t xml:space="preserve"> to ship or transport in interstate or foreign commerce, or possess in or affecting commerce, any firearm or ammunition.</w:t>
      </w:r>
      <w:proofErr w:type="gramStart"/>
      <w:r>
        <w:rPr>
          <w:lang w:val="en-US"/>
        </w:rPr>
        <w:t>’“</w:t>
      </w:r>
      <w:r w:rsidRPr="00382A15">
        <w:rPr>
          <w:lang w:val="en-US"/>
        </w:rPr>
        <w:t xml:space="preserve"> 18</w:t>
      </w:r>
      <w:proofErr w:type="gramEnd"/>
      <w:r w:rsidRPr="00382A15">
        <w:rPr>
          <w:lang w:val="en-US"/>
        </w:rPr>
        <w:t xml:space="preserve"> </w:t>
      </w:r>
      <w:r>
        <w:rPr>
          <w:lang w:val="en-US"/>
        </w:rPr>
        <w:t>U.S.</w:t>
      </w:r>
      <w:r w:rsidRPr="00382A15">
        <w:rPr>
          <w:lang w:val="en-US"/>
        </w:rPr>
        <w:t xml:space="preserve"> C. §922(g)(1)</w:t>
      </w:r>
      <w:r>
        <w:rPr>
          <w:lang w:val="en-US"/>
        </w:rPr>
        <w:t xml:space="preserve">, in </w:t>
      </w:r>
      <w:r w:rsidRPr="00B35CD0">
        <w:rPr>
          <w:i/>
          <w:lang w:val="en-US"/>
        </w:rPr>
        <w:t>Gamble v. United States</w:t>
      </w:r>
      <w:r w:rsidRPr="00382A15">
        <w:rPr>
          <w:lang w:val="en-US"/>
        </w:rPr>
        <w:t>, 139 S. Ct. 1960, 1964</w:t>
      </w:r>
      <w:r>
        <w:rPr>
          <w:lang w:val="en-US"/>
        </w:rPr>
        <w:t xml:space="preserve"> = 204 L. Ed. </w:t>
      </w:r>
      <w:r w:rsidRPr="00382A15">
        <w:rPr>
          <w:lang w:val="en-US"/>
        </w:rPr>
        <w:t>2d 322, 327</w:t>
      </w:r>
      <w:r>
        <w:rPr>
          <w:lang w:val="en-US"/>
        </w:rPr>
        <w:t xml:space="preserve"> = 2019 U.S. LEXIS </w:t>
      </w:r>
      <w:r w:rsidRPr="00382A15">
        <w:rPr>
          <w:lang w:val="en-US"/>
        </w:rPr>
        <w:t>4173, 6</w:t>
      </w:r>
      <w:r>
        <w:rPr>
          <w:lang w:val="en-US"/>
        </w:rPr>
        <w:t xml:space="preserve"> = 27 Fla. L. Weekly </w:t>
      </w:r>
      <w:r w:rsidRPr="00382A15">
        <w:rPr>
          <w:lang w:val="en-US"/>
        </w:rPr>
        <w:t>Fed. S 926</w:t>
      </w:r>
      <w:r>
        <w:rPr>
          <w:lang w:val="en-US"/>
        </w:rPr>
        <w:t xml:space="preserve"> = 2019 WL </w:t>
      </w:r>
      <w:r w:rsidRPr="00382A15">
        <w:rPr>
          <w:lang w:val="en-US"/>
        </w:rPr>
        <w:t>2493923 (2019)</w:t>
      </w:r>
      <w:r>
        <w:rPr>
          <w:lang w:val="en-US"/>
        </w:rPr>
        <w:t>.</w:t>
      </w:r>
    </w:p>
  </w:footnote>
  <w:footnote w:id="1513">
    <w:p w14:paraId="21D59D53" w14:textId="77777777" w:rsidR="00074551" w:rsidRPr="008E5C9A" w:rsidRDefault="00074551" w:rsidP="00074551">
      <w:pPr>
        <w:pStyle w:val="Funotentext"/>
        <w:rPr>
          <w:lang w:val="en-US"/>
        </w:rPr>
      </w:pPr>
      <w:r>
        <w:rPr>
          <w:rStyle w:val="Funotenzeichen"/>
          <w:rFonts w:eastAsiaTheme="majorEastAsia"/>
        </w:rPr>
        <w:footnoteRef/>
      </w:r>
      <w:r w:rsidRPr="008E5C9A">
        <w:rPr>
          <w:lang w:val="en-US"/>
        </w:rPr>
        <w:t xml:space="preserve"> </w:t>
      </w:r>
      <w:r w:rsidRPr="00B45592">
        <w:rPr>
          <w:i/>
          <w:lang w:val="en-US"/>
        </w:rPr>
        <w:t>Abbate v. United States</w:t>
      </w:r>
      <w:r w:rsidRPr="008E5C9A">
        <w:rPr>
          <w:lang w:val="en-US"/>
        </w:rPr>
        <w:t>, 359 U.S. 187 (1959)</w:t>
      </w:r>
      <w:r>
        <w:rPr>
          <w:lang w:val="en-US"/>
        </w:rPr>
        <w:t>.</w:t>
      </w:r>
    </w:p>
  </w:footnote>
  <w:footnote w:id="1514">
    <w:p w14:paraId="1B012D3B" w14:textId="77777777" w:rsidR="00074551" w:rsidRPr="00066C35" w:rsidRDefault="00074551" w:rsidP="00074551">
      <w:pPr>
        <w:pStyle w:val="Funotentext"/>
        <w:rPr>
          <w:lang w:val="en-US"/>
        </w:rPr>
      </w:pPr>
      <w:r>
        <w:rPr>
          <w:rStyle w:val="Funotenzeichen"/>
          <w:rFonts w:eastAsiaTheme="majorEastAsia"/>
        </w:rPr>
        <w:footnoteRef/>
      </w:r>
      <w:r w:rsidRPr="00066C35">
        <w:rPr>
          <w:lang w:val="en-US"/>
        </w:rPr>
        <w:t xml:space="preserve"> </w:t>
      </w:r>
      <w:r w:rsidRPr="00B35CD0">
        <w:rPr>
          <w:i/>
          <w:lang w:val="en-US"/>
        </w:rPr>
        <w:t>Gamble v. United States</w:t>
      </w:r>
      <w:r w:rsidRPr="00066C35">
        <w:rPr>
          <w:lang w:val="en-US"/>
        </w:rPr>
        <w:t>, 139 S. Ct. 1960, 1964</w:t>
      </w:r>
      <w:r>
        <w:rPr>
          <w:lang w:val="en-US"/>
        </w:rPr>
        <w:t xml:space="preserve"> = 204 L. Ed. </w:t>
      </w:r>
      <w:r w:rsidRPr="00066C35">
        <w:rPr>
          <w:lang w:val="en-US"/>
        </w:rPr>
        <w:t>2d 322, 326</w:t>
      </w:r>
      <w:r>
        <w:rPr>
          <w:lang w:val="en-US"/>
        </w:rPr>
        <w:t xml:space="preserve"> = 2019 U.S. LEXIS </w:t>
      </w:r>
      <w:r w:rsidRPr="00066C35">
        <w:rPr>
          <w:lang w:val="en-US"/>
        </w:rPr>
        <w:t>4173, 6</w:t>
      </w:r>
      <w:r>
        <w:rPr>
          <w:lang w:val="en-US"/>
        </w:rPr>
        <w:t xml:space="preserve"> = 27 Fla. L. Weekly </w:t>
      </w:r>
      <w:r w:rsidRPr="00066C35">
        <w:rPr>
          <w:lang w:val="en-US"/>
        </w:rPr>
        <w:t>Fed. S 926</w:t>
      </w:r>
      <w:r>
        <w:rPr>
          <w:lang w:val="en-US"/>
        </w:rPr>
        <w:t xml:space="preserve"> = 2019 WL </w:t>
      </w:r>
      <w:r w:rsidRPr="00066C35">
        <w:rPr>
          <w:lang w:val="en-US"/>
        </w:rPr>
        <w:t>2493923 (2019)</w:t>
      </w:r>
      <w:r>
        <w:rPr>
          <w:lang w:val="en-US"/>
        </w:rPr>
        <w:t>.</w:t>
      </w:r>
    </w:p>
  </w:footnote>
  <w:footnote w:id="1515">
    <w:p w14:paraId="1730ED21" w14:textId="77777777" w:rsidR="00074551" w:rsidRPr="00066C35" w:rsidRDefault="00074551" w:rsidP="00074551">
      <w:pPr>
        <w:pStyle w:val="Funotentext"/>
        <w:rPr>
          <w:lang w:val="en-US"/>
        </w:rPr>
      </w:pPr>
      <w:r>
        <w:rPr>
          <w:rStyle w:val="Funotenzeichen"/>
          <w:rFonts w:eastAsiaTheme="majorEastAsia"/>
        </w:rPr>
        <w:footnoteRef/>
      </w:r>
      <w:r w:rsidRPr="00066C35">
        <w:rPr>
          <w:lang w:val="en-US"/>
        </w:rPr>
        <w:t xml:space="preserve"> </w:t>
      </w:r>
      <w:r w:rsidRPr="00B45592">
        <w:rPr>
          <w:lang w:val="en-IE"/>
        </w:rPr>
        <w:t>https://www.oyez.org/cases/2018/17-646</w:t>
      </w:r>
      <w:r w:rsidRPr="00066C35">
        <w:rPr>
          <w:lang w:val="en-US"/>
        </w:rPr>
        <w:t xml:space="preserve"> </w:t>
      </w:r>
      <w:r>
        <w:rPr>
          <w:lang w:val="en-US"/>
        </w:rPr>
        <w:t>(27.04.2026).</w:t>
      </w:r>
    </w:p>
  </w:footnote>
  <w:footnote w:id="1516">
    <w:p w14:paraId="4B05C369" w14:textId="77777777" w:rsidR="00074551" w:rsidRPr="00432FE3" w:rsidRDefault="00074551" w:rsidP="00074551">
      <w:pPr>
        <w:pStyle w:val="Funotentext"/>
        <w:rPr>
          <w:lang w:val="en-US"/>
        </w:rPr>
      </w:pPr>
      <w:r>
        <w:rPr>
          <w:rStyle w:val="Funotenzeichen"/>
        </w:rPr>
        <w:footnoteRef/>
      </w:r>
      <w:r w:rsidRPr="00432FE3">
        <w:rPr>
          <w:lang w:val="en-US"/>
        </w:rPr>
        <w:t xml:space="preserve"> </w:t>
      </w:r>
      <w:r w:rsidRPr="00B35CD0">
        <w:rPr>
          <w:i/>
          <w:lang w:val="en-US"/>
        </w:rPr>
        <w:t>Gamble v. United States</w:t>
      </w:r>
      <w:r w:rsidRPr="00432FE3">
        <w:rPr>
          <w:lang w:val="en-US"/>
        </w:rPr>
        <w:t>, 139 S. Ct. 1960, 1983</w:t>
      </w:r>
      <w:r>
        <w:rPr>
          <w:lang w:val="en-US"/>
        </w:rPr>
        <w:t xml:space="preserve"> = 204 L. Ed. </w:t>
      </w:r>
      <w:r w:rsidRPr="00432FE3">
        <w:rPr>
          <w:lang w:val="en-US"/>
        </w:rPr>
        <w:t>2d 322, 347</w:t>
      </w:r>
      <w:r>
        <w:rPr>
          <w:lang w:val="en-US"/>
        </w:rPr>
        <w:t xml:space="preserve"> = 2019 U.S. LEXIS </w:t>
      </w:r>
      <w:r w:rsidRPr="00432FE3">
        <w:rPr>
          <w:lang w:val="en-US"/>
        </w:rPr>
        <w:t>4173, 50</w:t>
      </w:r>
      <w:r>
        <w:rPr>
          <w:lang w:val="en-US"/>
        </w:rPr>
        <w:t xml:space="preserve"> = 27 Fla. L. Weekly </w:t>
      </w:r>
      <w:r w:rsidRPr="00432FE3">
        <w:rPr>
          <w:lang w:val="en-US"/>
        </w:rPr>
        <w:t>Fed. S 926</w:t>
      </w:r>
      <w:r>
        <w:rPr>
          <w:lang w:val="en-US"/>
        </w:rPr>
        <w:t xml:space="preserve"> = 2019 WL </w:t>
      </w:r>
      <w:r w:rsidRPr="00432FE3">
        <w:rPr>
          <w:lang w:val="en-US"/>
        </w:rPr>
        <w:t>2493923 (2019)</w:t>
      </w:r>
      <w:r>
        <w:rPr>
          <w:lang w:val="en-US"/>
        </w:rPr>
        <w:t>.</w:t>
      </w:r>
    </w:p>
  </w:footnote>
  <w:footnote w:id="1517">
    <w:p w14:paraId="3726645E" w14:textId="77777777" w:rsidR="00074551" w:rsidRPr="0045509A" w:rsidRDefault="00074551" w:rsidP="00074551">
      <w:pPr>
        <w:pStyle w:val="Funotentext"/>
        <w:rPr>
          <w:lang w:val="en-US"/>
        </w:rPr>
      </w:pPr>
      <w:r>
        <w:rPr>
          <w:rStyle w:val="Funotenzeichen"/>
          <w:rFonts w:eastAsiaTheme="majorEastAsia"/>
        </w:rPr>
        <w:footnoteRef/>
      </w:r>
      <w:r w:rsidRPr="0045509A">
        <w:rPr>
          <w:lang w:val="en-US"/>
        </w:rPr>
        <w:t xml:space="preserve"> </w:t>
      </w:r>
      <w:r w:rsidRPr="00B35CD0">
        <w:rPr>
          <w:i/>
          <w:lang w:val="en-US"/>
        </w:rPr>
        <w:t>Gamble v. United States</w:t>
      </w:r>
      <w:r w:rsidRPr="0045509A">
        <w:rPr>
          <w:lang w:val="en-US"/>
        </w:rPr>
        <w:t>, 139 S. Ct. 1960, 1981</w:t>
      </w:r>
      <w:r>
        <w:rPr>
          <w:lang w:val="en-US"/>
        </w:rPr>
        <w:t xml:space="preserve"> = 204 L. Ed. </w:t>
      </w:r>
      <w:r w:rsidRPr="0045509A">
        <w:rPr>
          <w:lang w:val="en-US"/>
        </w:rPr>
        <w:t>2d 322, 346</w:t>
      </w:r>
      <w:r>
        <w:rPr>
          <w:lang w:val="en-US"/>
        </w:rPr>
        <w:t xml:space="preserve"> = 2019 U.S. LEXIS </w:t>
      </w:r>
      <w:r w:rsidRPr="0045509A">
        <w:rPr>
          <w:lang w:val="en-US"/>
        </w:rPr>
        <w:t>4173, 47</w:t>
      </w:r>
      <w:r>
        <w:rPr>
          <w:lang w:val="en-US"/>
        </w:rPr>
        <w:t xml:space="preserve"> = 27 Fla. L. Weekly </w:t>
      </w:r>
      <w:r w:rsidRPr="0045509A">
        <w:rPr>
          <w:lang w:val="en-US"/>
        </w:rPr>
        <w:t>Fed. S 926</w:t>
      </w:r>
      <w:r>
        <w:rPr>
          <w:lang w:val="en-US"/>
        </w:rPr>
        <w:t xml:space="preserve"> = 2019 WL </w:t>
      </w:r>
      <w:r w:rsidRPr="0045509A">
        <w:rPr>
          <w:lang w:val="en-US"/>
        </w:rPr>
        <w:t>2493923 (2019)</w:t>
      </w:r>
      <w:r>
        <w:rPr>
          <w:lang w:val="en-US"/>
        </w:rPr>
        <w:t>.</w:t>
      </w:r>
    </w:p>
  </w:footnote>
  <w:footnote w:id="1518">
    <w:p w14:paraId="56E54017" w14:textId="77777777" w:rsidR="00074551" w:rsidRPr="0045509A" w:rsidRDefault="00074551" w:rsidP="00074551">
      <w:pPr>
        <w:pStyle w:val="Funotentext"/>
        <w:rPr>
          <w:lang w:val="en-US"/>
        </w:rPr>
      </w:pPr>
      <w:r>
        <w:rPr>
          <w:rStyle w:val="Funotenzeichen"/>
          <w:rFonts w:eastAsiaTheme="majorEastAsia"/>
        </w:rPr>
        <w:footnoteRef/>
      </w:r>
      <w:r w:rsidRPr="0045509A">
        <w:rPr>
          <w:lang w:val="en-US"/>
        </w:rPr>
        <w:t xml:space="preserve"> </w:t>
      </w:r>
      <w:r w:rsidRPr="00B35CD0">
        <w:rPr>
          <w:i/>
          <w:lang w:val="en-US"/>
        </w:rPr>
        <w:t>Gamble v. United States</w:t>
      </w:r>
      <w:r w:rsidRPr="0045509A">
        <w:rPr>
          <w:lang w:val="en-US"/>
        </w:rPr>
        <w:t>, 139 S. Ct. 1960, 1981</w:t>
      </w:r>
      <w:r>
        <w:rPr>
          <w:lang w:val="en-US"/>
        </w:rPr>
        <w:t xml:space="preserve"> = 204 L. Ed. </w:t>
      </w:r>
      <w:r w:rsidRPr="0045509A">
        <w:rPr>
          <w:lang w:val="en-US"/>
        </w:rPr>
        <w:t>2d 322, 346</w:t>
      </w:r>
      <w:r>
        <w:rPr>
          <w:lang w:val="en-US"/>
        </w:rPr>
        <w:t xml:space="preserve"> = 2019 U.S. LEXIS </w:t>
      </w:r>
      <w:r w:rsidRPr="0045509A">
        <w:rPr>
          <w:lang w:val="en-US"/>
        </w:rPr>
        <w:t>4173, 47</w:t>
      </w:r>
      <w:r>
        <w:rPr>
          <w:lang w:val="en-US"/>
        </w:rPr>
        <w:t xml:space="preserve"> = 27 Fla. L. Weekly </w:t>
      </w:r>
      <w:r w:rsidRPr="0045509A">
        <w:rPr>
          <w:lang w:val="en-US"/>
        </w:rPr>
        <w:t>Fed. S 926</w:t>
      </w:r>
      <w:r>
        <w:rPr>
          <w:lang w:val="en-US"/>
        </w:rPr>
        <w:t xml:space="preserve"> = 2019 WL </w:t>
      </w:r>
      <w:r w:rsidRPr="0045509A">
        <w:rPr>
          <w:lang w:val="en-US"/>
        </w:rPr>
        <w:t>2493923 (2019)</w:t>
      </w:r>
      <w:r>
        <w:rPr>
          <w:lang w:val="en-US"/>
        </w:rPr>
        <w:t>.</w:t>
      </w:r>
    </w:p>
  </w:footnote>
  <w:footnote w:id="1519">
    <w:p w14:paraId="33D8994F" w14:textId="77777777" w:rsidR="00074551" w:rsidRPr="0045509A" w:rsidRDefault="00074551" w:rsidP="00074551">
      <w:pPr>
        <w:pStyle w:val="Funotentext"/>
        <w:rPr>
          <w:lang w:val="en-US"/>
        </w:rPr>
      </w:pPr>
      <w:r>
        <w:rPr>
          <w:rStyle w:val="Funotenzeichen"/>
          <w:rFonts w:eastAsiaTheme="majorEastAsia"/>
        </w:rPr>
        <w:footnoteRef/>
      </w:r>
      <w:r w:rsidRPr="0045509A">
        <w:rPr>
          <w:lang w:val="en-US"/>
        </w:rPr>
        <w:t xml:space="preserve"> </w:t>
      </w:r>
      <w:r w:rsidRPr="00B35CD0">
        <w:rPr>
          <w:i/>
          <w:lang w:val="en-US"/>
        </w:rPr>
        <w:t>Gamble v. United States</w:t>
      </w:r>
      <w:r w:rsidRPr="0045509A">
        <w:rPr>
          <w:lang w:val="en-US"/>
        </w:rPr>
        <w:t>, 139 S. Ct. 1960, 1981</w:t>
      </w:r>
      <w:r>
        <w:rPr>
          <w:lang w:val="en-US"/>
        </w:rPr>
        <w:t xml:space="preserve"> = 204 L. Ed. </w:t>
      </w:r>
      <w:r w:rsidRPr="0045509A">
        <w:rPr>
          <w:lang w:val="en-US"/>
        </w:rPr>
        <w:t>2d 322, 346</w:t>
      </w:r>
      <w:r>
        <w:rPr>
          <w:lang w:val="en-US"/>
        </w:rPr>
        <w:t xml:space="preserve"> = 2019 U.S. LEXIS </w:t>
      </w:r>
      <w:r w:rsidRPr="0045509A">
        <w:rPr>
          <w:lang w:val="en-US"/>
        </w:rPr>
        <w:t>4173, 47</w:t>
      </w:r>
      <w:r>
        <w:rPr>
          <w:lang w:val="en-US"/>
        </w:rPr>
        <w:t xml:space="preserve"> = 27 Fla. L. Weekly </w:t>
      </w:r>
      <w:r w:rsidRPr="0045509A">
        <w:rPr>
          <w:lang w:val="en-US"/>
        </w:rPr>
        <w:t>Fed. S 926</w:t>
      </w:r>
      <w:r>
        <w:rPr>
          <w:lang w:val="en-US"/>
        </w:rPr>
        <w:t xml:space="preserve"> = 2019 WL </w:t>
      </w:r>
      <w:r w:rsidRPr="0045509A">
        <w:rPr>
          <w:lang w:val="en-US"/>
        </w:rPr>
        <w:t>2493923 (2019)</w:t>
      </w:r>
      <w:r>
        <w:rPr>
          <w:lang w:val="en-US"/>
        </w:rPr>
        <w:t>.</w:t>
      </w:r>
    </w:p>
  </w:footnote>
  <w:footnote w:id="1520">
    <w:p w14:paraId="177E3535" w14:textId="77777777" w:rsidR="00074551" w:rsidRPr="00767694" w:rsidRDefault="00074551" w:rsidP="00074551">
      <w:pPr>
        <w:pStyle w:val="Funotentext"/>
        <w:rPr>
          <w:lang w:val="en-US"/>
        </w:rPr>
      </w:pPr>
      <w:r>
        <w:rPr>
          <w:rStyle w:val="Funotenzeichen"/>
          <w:rFonts w:eastAsiaTheme="majorEastAsia"/>
        </w:rPr>
        <w:footnoteRef/>
      </w:r>
      <w:r w:rsidRPr="00767694">
        <w:rPr>
          <w:lang w:val="en-US"/>
        </w:rPr>
        <w:t xml:space="preserve"> </w:t>
      </w:r>
      <w:r w:rsidRPr="004F13B1">
        <w:rPr>
          <w:i/>
          <w:lang w:val="en-US"/>
        </w:rPr>
        <w:t>Green v. Biddle</w:t>
      </w:r>
      <w:r w:rsidRPr="00767694">
        <w:rPr>
          <w:lang w:val="en-US"/>
        </w:rPr>
        <w:t>, 21 U.S. 1, 63</w:t>
      </w:r>
      <w:r>
        <w:rPr>
          <w:lang w:val="en-US"/>
        </w:rPr>
        <w:t xml:space="preserve"> = 5 L. Ed. </w:t>
      </w:r>
      <w:r w:rsidRPr="00767694">
        <w:rPr>
          <w:lang w:val="en-US"/>
        </w:rPr>
        <w:t>547, 563</w:t>
      </w:r>
      <w:r>
        <w:rPr>
          <w:lang w:val="en-US"/>
        </w:rPr>
        <w:t xml:space="preserve"> = 1823 U.S. LEXIS </w:t>
      </w:r>
      <w:r w:rsidRPr="00767694">
        <w:rPr>
          <w:lang w:val="en-US"/>
        </w:rPr>
        <w:t>271, 83</w:t>
      </w:r>
      <w:r>
        <w:rPr>
          <w:lang w:val="en-US"/>
        </w:rPr>
        <w:t xml:space="preserve"> = 8 Wheat. </w:t>
      </w:r>
      <w:r w:rsidRPr="00767694">
        <w:rPr>
          <w:lang w:val="en-US"/>
        </w:rPr>
        <w:t>1 (1823)</w:t>
      </w:r>
      <w:r>
        <w:rPr>
          <w:lang w:val="en-US"/>
        </w:rPr>
        <w:t>.</w:t>
      </w:r>
    </w:p>
  </w:footnote>
  <w:footnote w:id="1521">
    <w:p w14:paraId="5FCBECFF" w14:textId="77777777" w:rsidR="00074551" w:rsidRPr="00493707" w:rsidRDefault="00074551" w:rsidP="00074551">
      <w:pPr>
        <w:pStyle w:val="Funotentext"/>
        <w:rPr>
          <w:lang w:val="en-US"/>
        </w:rPr>
      </w:pPr>
      <w:r>
        <w:rPr>
          <w:rStyle w:val="Funotenzeichen"/>
          <w:rFonts w:eastAsiaTheme="majorEastAsia"/>
        </w:rPr>
        <w:footnoteRef/>
      </w:r>
      <w:r w:rsidRPr="00767694">
        <w:rPr>
          <w:lang w:val="en-US"/>
        </w:rPr>
        <w:t xml:space="preserve"> </w:t>
      </w:r>
      <w:r w:rsidRPr="004F13B1">
        <w:rPr>
          <w:i/>
          <w:lang w:val="en-US"/>
        </w:rPr>
        <w:t>Green v. Biddle</w:t>
      </w:r>
      <w:r w:rsidRPr="00767694">
        <w:rPr>
          <w:lang w:val="en-US"/>
        </w:rPr>
        <w:t>, 21 U.S. 1, 63</w:t>
      </w:r>
      <w:r>
        <w:rPr>
          <w:lang w:val="en-US"/>
        </w:rPr>
        <w:t xml:space="preserve"> = 5 L. Ed. </w:t>
      </w:r>
      <w:r w:rsidRPr="00767694">
        <w:rPr>
          <w:lang w:val="en-US"/>
        </w:rPr>
        <w:t>547, 563</w:t>
      </w:r>
      <w:r>
        <w:rPr>
          <w:lang w:val="en-US"/>
        </w:rPr>
        <w:t xml:space="preserve"> = 1823 U.S. LEXIS </w:t>
      </w:r>
      <w:r w:rsidRPr="00767694">
        <w:rPr>
          <w:lang w:val="en-US"/>
        </w:rPr>
        <w:t>271, 83</w:t>
      </w:r>
      <w:r>
        <w:rPr>
          <w:lang w:val="en-US"/>
        </w:rPr>
        <w:t xml:space="preserve"> = 8 Wheat. </w:t>
      </w:r>
      <w:r w:rsidRPr="00493707">
        <w:rPr>
          <w:lang w:val="en-US"/>
        </w:rPr>
        <w:t>1 (1823)</w:t>
      </w:r>
      <w:r>
        <w:rPr>
          <w:lang w:val="en-US"/>
        </w:rPr>
        <w:t>.</w:t>
      </w:r>
    </w:p>
  </w:footnote>
  <w:footnote w:id="1522">
    <w:p w14:paraId="2D4FDC10" w14:textId="77777777" w:rsidR="00074551" w:rsidRPr="00493707" w:rsidRDefault="00074551" w:rsidP="00074551">
      <w:pPr>
        <w:pStyle w:val="Funotentext"/>
        <w:rPr>
          <w:lang w:val="en-US"/>
        </w:rPr>
      </w:pPr>
      <w:r>
        <w:rPr>
          <w:rStyle w:val="Funotenzeichen"/>
          <w:rFonts w:eastAsiaTheme="majorEastAsia"/>
        </w:rPr>
        <w:footnoteRef/>
      </w:r>
      <w:r w:rsidRPr="00493707">
        <w:rPr>
          <w:lang w:val="en-US"/>
        </w:rPr>
        <w:t xml:space="preserve"> </w:t>
      </w:r>
      <w:r w:rsidRPr="004F13B1">
        <w:rPr>
          <w:i/>
          <w:lang w:val="en-US"/>
        </w:rPr>
        <w:t>Mugler v. Kansas</w:t>
      </w:r>
      <w:r w:rsidRPr="00493707">
        <w:rPr>
          <w:lang w:val="en-US"/>
        </w:rPr>
        <w:t>, 123 U.S. 623, 653</w:t>
      </w:r>
      <w:r>
        <w:rPr>
          <w:lang w:val="en-US"/>
        </w:rPr>
        <w:t xml:space="preserve"> = 8 S. Ct. </w:t>
      </w:r>
      <w:r w:rsidRPr="00493707">
        <w:rPr>
          <w:lang w:val="en-US"/>
        </w:rPr>
        <w:t>273, 293</w:t>
      </w:r>
      <w:r>
        <w:rPr>
          <w:lang w:val="en-US"/>
        </w:rPr>
        <w:t xml:space="preserve"> = 31 L. Ed. </w:t>
      </w:r>
      <w:r w:rsidRPr="00493707">
        <w:rPr>
          <w:lang w:val="en-US"/>
        </w:rPr>
        <w:t>205, 207</w:t>
      </w:r>
      <w:r>
        <w:rPr>
          <w:lang w:val="en-US"/>
        </w:rPr>
        <w:t xml:space="preserve"> = 1887 U.S. LEXIS </w:t>
      </w:r>
      <w:r w:rsidRPr="00493707">
        <w:rPr>
          <w:lang w:val="en-US"/>
        </w:rPr>
        <w:t>2204, 8 (1887)</w:t>
      </w:r>
      <w:r>
        <w:rPr>
          <w:lang w:val="en-US"/>
        </w:rPr>
        <w:t>.</w:t>
      </w:r>
    </w:p>
  </w:footnote>
  <w:footnote w:id="1523">
    <w:p w14:paraId="6BBA1B17" w14:textId="77777777" w:rsidR="00074551" w:rsidRPr="00493707" w:rsidRDefault="00074551" w:rsidP="00074551">
      <w:pPr>
        <w:pStyle w:val="Funotentext"/>
        <w:rPr>
          <w:lang w:val="en-US"/>
        </w:rPr>
      </w:pPr>
      <w:r>
        <w:rPr>
          <w:rStyle w:val="Funotenzeichen"/>
          <w:rFonts w:eastAsiaTheme="majorEastAsia"/>
        </w:rPr>
        <w:footnoteRef/>
      </w:r>
      <w:r w:rsidRPr="00493707">
        <w:rPr>
          <w:lang w:val="en-US"/>
        </w:rPr>
        <w:t xml:space="preserve"> </w:t>
      </w:r>
      <w:r w:rsidRPr="004F13B1">
        <w:rPr>
          <w:i/>
          <w:lang w:val="en-US"/>
        </w:rPr>
        <w:t>Mugler v. Kansas</w:t>
      </w:r>
      <w:r w:rsidRPr="00493707">
        <w:rPr>
          <w:lang w:val="en-US"/>
        </w:rPr>
        <w:t>, 123 U.S. 623, 653</w:t>
      </w:r>
      <w:r>
        <w:rPr>
          <w:lang w:val="en-US"/>
        </w:rPr>
        <w:t xml:space="preserve"> = 8 S. Ct. </w:t>
      </w:r>
      <w:r w:rsidRPr="00493707">
        <w:rPr>
          <w:lang w:val="en-US"/>
        </w:rPr>
        <w:t>273, 293</w:t>
      </w:r>
      <w:r>
        <w:rPr>
          <w:lang w:val="en-US"/>
        </w:rPr>
        <w:t xml:space="preserve"> = 31 L. Ed. </w:t>
      </w:r>
      <w:r w:rsidRPr="00493707">
        <w:rPr>
          <w:lang w:val="en-US"/>
        </w:rPr>
        <w:t>205, 207</w:t>
      </w:r>
      <w:r>
        <w:rPr>
          <w:lang w:val="en-US"/>
        </w:rPr>
        <w:t xml:space="preserve"> = 1887 U.S. LEXIS </w:t>
      </w:r>
      <w:r w:rsidRPr="00493707">
        <w:rPr>
          <w:lang w:val="en-US"/>
        </w:rPr>
        <w:t>2204, 8 (1887)</w:t>
      </w:r>
      <w:r>
        <w:rPr>
          <w:lang w:val="en-US"/>
        </w:rPr>
        <w:t>.</w:t>
      </w:r>
    </w:p>
  </w:footnote>
  <w:footnote w:id="1524">
    <w:p w14:paraId="5DAE33EB" w14:textId="77777777" w:rsidR="00074551" w:rsidRPr="0000735C" w:rsidRDefault="00074551" w:rsidP="00074551">
      <w:pPr>
        <w:pStyle w:val="Funotentext"/>
        <w:rPr>
          <w:lang w:val="en-US"/>
        </w:rPr>
      </w:pPr>
      <w:r>
        <w:rPr>
          <w:rStyle w:val="Funotenzeichen"/>
          <w:rFonts w:eastAsiaTheme="majorEastAsia"/>
        </w:rPr>
        <w:footnoteRef/>
      </w:r>
      <w:r w:rsidRPr="0000735C">
        <w:rPr>
          <w:lang w:val="en-US"/>
        </w:rPr>
        <w:t xml:space="preserve"> </w:t>
      </w:r>
      <w:r w:rsidRPr="00B45592">
        <w:rPr>
          <w:i/>
          <w:lang w:val="en-US"/>
        </w:rPr>
        <w:t>District Attorney v. Lynn and Boston Railroad Co.</w:t>
      </w:r>
      <w:r w:rsidRPr="0000735C">
        <w:rPr>
          <w:lang w:val="en-US"/>
        </w:rPr>
        <w:t xml:space="preserve">, 16 Gray, 242, 245; </w:t>
      </w:r>
      <w:r w:rsidRPr="00B45592">
        <w:rPr>
          <w:i/>
          <w:lang w:val="en-US"/>
        </w:rPr>
        <w:t>Attorney General v. New Jersey Railroad</w:t>
      </w:r>
      <w:r w:rsidRPr="0000735C">
        <w:rPr>
          <w:lang w:val="en-US"/>
        </w:rPr>
        <w:t xml:space="preserve">, 2 Green, Ch. 139; </w:t>
      </w:r>
      <w:r w:rsidRPr="00B45592">
        <w:rPr>
          <w:i/>
          <w:lang w:val="en-US"/>
        </w:rPr>
        <w:t>Attorney General v. Tudor Ice Co.</w:t>
      </w:r>
      <w:r w:rsidRPr="0000735C">
        <w:rPr>
          <w:lang w:val="en-US"/>
        </w:rPr>
        <w:t xml:space="preserve">, 104 Mass. 239, 244; </w:t>
      </w:r>
      <w:r w:rsidRPr="00B45592">
        <w:rPr>
          <w:i/>
          <w:lang w:val="en-US"/>
        </w:rPr>
        <w:t>State v. Mayor</w:t>
      </w:r>
      <w:r w:rsidRPr="0000735C">
        <w:rPr>
          <w:lang w:val="en-US"/>
        </w:rPr>
        <w:t xml:space="preserve">, 5 Porter (Ala.), 279, 294; </w:t>
      </w:r>
      <w:r w:rsidRPr="00B45592">
        <w:rPr>
          <w:i/>
          <w:lang w:val="en-US"/>
        </w:rPr>
        <w:t>Hoole v. Attorney General</w:t>
      </w:r>
      <w:r w:rsidRPr="0000735C">
        <w:rPr>
          <w:lang w:val="en-US"/>
        </w:rPr>
        <w:t xml:space="preserve">, 22 Ala. 190, 194; </w:t>
      </w:r>
      <w:r w:rsidRPr="00B45592">
        <w:rPr>
          <w:i/>
          <w:lang w:val="en-US"/>
        </w:rPr>
        <w:t>Attorney General v. Hunter</w:t>
      </w:r>
      <w:r w:rsidRPr="0000735C">
        <w:rPr>
          <w:lang w:val="en-US"/>
        </w:rPr>
        <w:t xml:space="preserve">, 1 Dev. Eq. 12; </w:t>
      </w:r>
      <w:r w:rsidRPr="00B45592">
        <w:rPr>
          <w:i/>
          <w:lang w:val="en-US"/>
        </w:rPr>
        <w:t>Attorney General v. Forbes</w:t>
      </w:r>
      <w:r w:rsidRPr="0000735C">
        <w:rPr>
          <w:lang w:val="en-US"/>
        </w:rPr>
        <w:t xml:space="preserve">, 2 </w:t>
      </w:r>
      <w:proofErr w:type="spellStart"/>
      <w:r w:rsidRPr="0000735C">
        <w:rPr>
          <w:lang w:val="en-US"/>
        </w:rPr>
        <w:t>Myl</w:t>
      </w:r>
      <w:proofErr w:type="spellEnd"/>
      <w:r w:rsidRPr="0000735C">
        <w:rPr>
          <w:lang w:val="en-US"/>
        </w:rPr>
        <w:t xml:space="preserve">. &amp; Cr. 123, 129, 133; </w:t>
      </w:r>
      <w:r w:rsidRPr="00B45592">
        <w:rPr>
          <w:i/>
          <w:lang w:val="en-US"/>
        </w:rPr>
        <w:t>Attorney General v. Great Northern Railway Co.</w:t>
      </w:r>
      <w:r w:rsidRPr="0000735C">
        <w:rPr>
          <w:lang w:val="en-US"/>
        </w:rPr>
        <w:t xml:space="preserve">, 1 Drew. &amp; Sm. 154, 161; </w:t>
      </w:r>
      <w:r w:rsidRPr="00B45592">
        <w:rPr>
          <w:i/>
          <w:lang w:val="en-US"/>
        </w:rPr>
        <w:t>Eden on Injunctions</w:t>
      </w:r>
      <w:r w:rsidRPr="0000735C">
        <w:rPr>
          <w:lang w:val="en-US"/>
        </w:rPr>
        <w:t xml:space="preserve">, 259; </w:t>
      </w:r>
      <w:r w:rsidRPr="00B45592">
        <w:rPr>
          <w:i/>
          <w:lang w:val="en-US"/>
        </w:rPr>
        <w:t>Kerr on Injunctions</w:t>
      </w:r>
      <w:r w:rsidRPr="0000735C">
        <w:rPr>
          <w:lang w:val="en-US"/>
        </w:rPr>
        <w:t xml:space="preserve"> (</w:t>
      </w:r>
      <w:r>
        <w:rPr>
          <w:lang w:val="en-US"/>
        </w:rPr>
        <w:t xml:space="preserve">2. </w:t>
      </w:r>
      <w:proofErr w:type="spellStart"/>
      <w:r>
        <w:rPr>
          <w:lang w:val="en-US"/>
        </w:rPr>
        <w:t>Aufl</w:t>
      </w:r>
      <w:proofErr w:type="spellEnd"/>
      <w:r>
        <w:rPr>
          <w:lang w:val="en-US"/>
        </w:rPr>
        <w:t>.)</w:t>
      </w:r>
      <w:r w:rsidRPr="0000735C">
        <w:rPr>
          <w:lang w:val="en-US"/>
        </w:rPr>
        <w:t xml:space="preserve"> 168</w:t>
      </w:r>
      <w:r>
        <w:rPr>
          <w:lang w:val="en-US"/>
        </w:rPr>
        <w:t xml:space="preserve">; </w:t>
      </w:r>
      <w:r w:rsidRPr="004F13B1">
        <w:rPr>
          <w:i/>
          <w:lang w:val="en-US"/>
        </w:rPr>
        <w:t>Mugler v. Kansas</w:t>
      </w:r>
      <w:r w:rsidRPr="0000735C">
        <w:rPr>
          <w:lang w:val="en-US"/>
        </w:rPr>
        <w:t>, 123 U.S. 623, 673</w:t>
      </w:r>
      <w:r>
        <w:rPr>
          <w:lang w:val="en-US"/>
        </w:rPr>
        <w:t xml:space="preserve"> = 8 S. Ct. </w:t>
      </w:r>
      <w:r w:rsidRPr="0000735C">
        <w:rPr>
          <w:lang w:val="en-US"/>
        </w:rPr>
        <w:t>273, 303</w:t>
      </w:r>
      <w:r>
        <w:rPr>
          <w:lang w:val="en-US"/>
        </w:rPr>
        <w:t xml:space="preserve"> = 31 L. Ed. </w:t>
      </w:r>
      <w:r w:rsidRPr="0000735C">
        <w:rPr>
          <w:lang w:val="en-US"/>
        </w:rPr>
        <w:t>205, 214</w:t>
      </w:r>
      <w:r>
        <w:rPr>
          <w:lang w:val="en-US"/>
        </w:rPr>
        <w:t xml:space="preserve"> = 1887 U.S. LEXIS </w:t>
      </w:r>
      <w:r w:rsidRPr="0000735C">
        <w:rPr>
          <w:lang w:val="en-US"/>
        </w:rPr>
        <w:t>2204, 94 (1887)</w:t>
      </w:r>
      <w:r>
        <w:rPr>
          <w:lang w:val="en-US"/>
        </w:rPr>
        <w:t>.</w:t>
      </w:r>
    </w:p>
  </w:footnote>
  <w:footnote w:id="1525">
    <w:p w14:paraId="7F0AB43B" w14:textId="77777777" w:rsidR="00074551" w:rsidRPr="006F478F" w:rsidRDefault="00074551" w:rsidP="00074551">
      <w:pPr>
        <w:pStyle w:val="Funotentext"/>
        <w:ind w:left="227" w:hanging="227"/>
        <w:rPr>
          <w:lang w:val="en-US"/>
        </w:rPr>
      </w:pPr>
      <w:r>
        <w:rPr>
          <w:rStyle w:val="Funotenzeichen"/>
          <w:rFonts w:eastAsiaTheme="majorEastAsia"/>
        </w:rPr>
        <w:footnoteRef/>
      </w:r>
      <w:r w:rsidRPr="006F478F">
        <w:rPr>
          <w:lang w:val="en-US"/>
        </w:rPr>
        <w:t xml:space="preserve"> </w:t>
      </w:r>
      <w:r w:rsidRPr="004F13B1">
        <w:rPr>
          <w:i/>
          <w:lang w:val="en-US"/>
        </w:rPr>
        <w:t>Mugler v. Kansas</w:t>
      </w:r>
      <w:r w:rsidRPr="006F478F">
        <w:rPr>
          <w:lang w:val="en-US"/>
        </w:rPr>
        <w:t>, 123 U.S. 623, 653</w:t>
      </w:r>
      <w:r>
        <w:rPr>
          <w:lang w:val="en-US"/>
        </w:rPr>
        <w:t xml:space="preserve"> = 8 S. Ct. </w:t>
      </w:r>
      <w:r w:rsidRPr="006F478F">
        <w:rPr>
          <w:lang w:val="en-US"/>
        </w:rPr>
        <w:t>273, 293</w:t>
      </w:r>
      <w:r>
        <w:rPr>
          <w:lang w:val="en-US"/>
        </w:rPr>
        <w:t xml:space="preserve"> = 31 L. Ed. </w:t>
      </w:r>
      <w:r w:rsidRPr="006F478F">
        <w:rPr>
          <w:lang w:val="en-US"/>
        </w:rPr>
        <w:t>205, 207</w:t>
      </w:r>
      <w:r>
        <w:rPr>
          <w:lang w:val="en-US"/>
        </w:rPr>
        <w:t xml:space="preserve"> = 1887 U.S. LEXIS </w:t>
      </w:r>
      <w:r w:rsidRPr="006F478F">
        <w:rPr>
          <w:lang w:val="en-US"/>
        </w:rPr>
        <w:t>2204, 16 (1887)</w:t>
      </w:r>
      <w:r>
        <w:rPr>
          <w:lang w:val="en-US"/>
        </w:rPr>
        <w:t>.</w:t>
      </w:r>
    </w:p>
  </w:footnote>
  <w:footnote w:id="1526">
    <w:p w14:paraId="58B130EC" w14:textId="77777777" w:rsidR="00074551" w:rsidRPr="006F478F" w:rsidRDefault="00074551" w:rsidP="00074551">
      <w:pPr>
        <w:pStyle w:val="Funotentext"/>
        <w:ind w:left="227" w:hanging="227"/>
        <w:rPr>
          <w:lang w:val="en-US"/>
        </w:rPr>
      </w:pPr>
      <w:r>
        <w:rPr>
          <w:rStyle w:val="Funotenzeichen"/>
          <w:rFonts w:eastAsiaTheme="majorEastAsia"/>
        </w:rPr>
        <w:footnoteRef/>
      </w:r>
      <w:r w:rsidRPr="006F478F">
        <w:rPr>
          <w:lang w:val="en-US"/>
        </w:rPr>
        <w:t xml:space="preserve"> </w:t>
      </w:r>
      <w:r w:rsidRPr="004F13B1">
        <w:rPr>
          <w:i/>
          <w:lang w:val="en-US"/>
        </w:rPr>
        <w:t>Mugler v. Kansas</w:t>
      </w:r>
      <w:r w:rsidRPr="006F478F">
        <w:rPr>
          <w:lang w:val="en-US"/>
        </w:rPr>
        <w:t>, 123 U.S. 623, 653</w:t>
      </w:r>
      <w:r>
        <w:rPr>
          <w:lang w:val="en-US"/>
        </w:rPr>
        <w:t xml:space="preserve"> = 8 S. Ct. </w:t>
      </w:r>
      <w:r w:rsidRPr="006F478F">
        <w:rPr>
          <w:lang w:val="en-US"/>
        </w:rPr>
        <w:t>273, 293</w:t>
      </w:r>
      <w:r>
        <w:rPr>
          <w:lang w:val="en-US"/>
        </w:rPr>
        <w:t xml:space="preserve"> = 31 L. Ed. </w:t>
      </w:r>
      <w:r w:rsidRPr="006F478F">
        <w:rPr>
          <w:lang w:val="en-US"/>
        </w:rPr>
        <w:t>205, 207</w:t>
      </w:r>
      <w:r>
        <w:rPr>
          <w:lang w:val="en-US"/>
        </w:rPr>
        <w:t xml:space="preserve"> = 1887 U.S. LEXIS </w:t>
      </w:r>
      <w:r w:rsidRPr="006F478F">
        <w:rPr>
          <w:lang w:val="en-US"/>
        </w:rPr>
        <w:t>2204, 16 (1887)</w:t>
      </w:r>
      <w:r>
        <w:rPr>
          <w:lang w:val="en-US"/>
        </w:rPr>
        <w:t>.</w:t>
      </w:r>
    </w:p>
  </w:footnote>
  <w:footnote w:id="1527">
    <w:p w14:paraId="20AEA062" w14:textId="77777777" w:rsidR="00074551" w:rsidRPr="009D1C09" w:rsidRDefault="00074551" w:rsidP="00074551">
      <w:pPr>
        <w:pStyle w:val="Funotentext"/>
        <w:rPr>
          <w:lang w:val="en-US"/>
        </w:rPr>
      </w:pPr>
      <w:r>
        <w:rPr>
          <w:rStyle w:val="Funotenzeichen"/>
          <w:rFonts w:eastAsiaTheme="majorEastAsia"/>
        </w:rPr>
        <w:footnoteRef/>
      </w:r>
      <w:r w:rsidRPr="009D1C09">
        <w:rPr>
          <w:lang w:val="en-US"/>
        </w:rPr>
        <w:t xml:space="preserve"> </w:t>
      </w:r>
      <w:r w:rsidRPr="004F13B1">
        <w:rPr>
          <w:i/>
          <w:lang w:val="en-US"/>
        </w:rPr>
        <w:t>Mugler v. Kansas</w:t>
      </w:r>
      <w:r w:rsidRPr="009D1C09">
        <w:rPr>
          <w:lang w:val="en-US"/>
        </w:rPr>
        <w:t>, 123 U.S. 623, 653</w:t>
      </w:r>
      <w:r>
        <w:rPr>
          <w:lang w:val="en-US"/>
        </w:rPr>
        <w:t xml:space="preserve"> = 8 S. Ct. </w:t>
      </w:r>
      <w:r w:rsidRPr="009D1C09">
        <w:rPr>
          <w:lang w:val="en-US"/>
        </w:rPr>
        <w:t>273, 293</w:t>
      </w:r>
      <w:r>
        <w:rPr>
          <w:lang w:val="en-US"/>
        </w:rPr>
        <w:t xml:space="preserve"> = 31 L. Ed. </w:t>
      </w:r>
      <w:r w:rsidRPr="009D1C09">
        <w:rPr>
          <w:lang w:val="en-US"/>
        </w:rPr>
        <w:t>205, 207</w:t>
      </w:r>
      <w:r>
        <w:rPr>
          <w:lang w:val="en-US"/>
        </w:rPr>
        <w:t xml:space="preserve"> = 1887 U.S. LEXIS </w:t>
      </w:r>
      <w:r w:rsidRPr="009D1C09">
        <w:rPr>
          <w:lang w:val="en-US"/>
        </w:rPr>
        <w:t>2204, 17 (1887)</w:t>
      </w:r>
      <w:r>
        <w:rPr>
          <w:lang w:val="en-US"/>
        </w:rPr>
        <w:t>.</w:t>
      </w:r>
    </w:p>
  </w:footnote>
  <w:footnote w:id="1528">
    <w:p w14:paraId="664B907D" w14:textId="77777777" w:rsidR="00074551" w:rsidRPr="009D1C09" w:rsidRDefault="00074551" w:rsidP="00074551">
      <w:pPr>
        <w:pStyle w:val="Funotentext"/>
        <w:rPr>
          <w:lang w:val="en-US"/>
        </w:rPr>
      </w:pPr>
      <w:r>
        <w:rPr>
          <w:rStyle w:val="Funotenzeichen"/>
          <w:rFonts w:eastAsiaTheme="majorEastAsia"/>
        </w:rPr>
        <w:footnoteRef/>
      </w:r>
      <w:r w:rsidRPr="009D1C09">
        <w:rPr>
          <w:lang w:val="en-US"/>
        </w:rPr>
        <w:t xml:space="preserve"> </w:t>
      </w:r>
      <w:r>
        <w:rPr>
          <w:lang w:val="en-US"/>
        </w:rPr>
        <w:t>„</w:t>
      </w:r>
      <w:r w:rsidRPr="009D1C09">
        <w:rPr>
          <w:lang w:val="en-US"/>
        </w:rPr>
        <w:t xml:space="preserve">As to what </w:t>
      </w:r>
      <w:proofErr w:type="gramStart"/>
      <w:r w:rsidRPr="009D1C09">
        <w:rPr>
          <w:lang w:val="en-US"/>
        </w:rPr>
        <w:t xml:space="preserve">is </w:t>
      </w:r>
      <w:r>
        <w:rPr>
          <w:lang w:val="en-US"/>
        </w:rPr>
        <w:t>,</w:t>
      </w:r>
      <w:r w:rsidRPr="009D1C09">
        <w:rPr>
          <w:lang w:val="en-US"/>
        </w:rPr>
        <w:t>due</w:t>
      </w:r>
      <w:proofErr w:type="gramEnd"/>
      <w:r w:rsidRPr="009D1C09">
        <w:rPr>
          <w:lang w:val="en-US"/>
        </w:rPr>
        <w:t xml:space="preserve"> process of </w:t>
      </w:r>
      <w:proofErr w:type="gramStart"/>
      <w:r w:rsidRPr="009D1C09">
        <w:rPr>
          <w:lang w:val="en-US"/>
        </w:rPr>
        <w:t>law</w:t>
      </w:r>
      <w:r>
        <w:rPr>
          <w:lang w:val="en-US"/>
        </w:rPr>
        <w:t>‘</w:t>
      </w:r>
      <w:r w:rsidRPr="009D1C09">
        <w:rPr>
          <w:lang w:val="en-US"/>
        </w:rPr>
        <w:t xml:space="preserve"> see</w:t>
      </w:r>
      <w:proofErr w:type="gramEnd"/>
      <w:r w:rsidRPr="009D1C09">
        <w:rPr>
          <w:lang w:val="en-US"/>
        </w:rPr>
        <w:t xml:space="preserve"> </w:t>
      </w:r>
      <w:r w:rsidRPr="00B45592">
        <w:rPr>
          <w:i/>
          <w:lang w:val="en-US"/>
        </w:rPr>
        <w:t>Cooley</w:t>
      </w:r>
      <w:r w:rsidRPr="00817F08">
        <w:rPr>
          <w:iCs/>
          <w:lang w:val="en-US"/>
        </w:rPr>
        <w:t>’</w:t>
      </w:r>
      <w:r w:rsidRPr="00D67593">
        <w:rPr>
          <w:iCs/>
          <w:lang w:val="en-US"/>
        </w:rPr>
        <w:t>s Constitutional Limitations</w:t>
      </w:r>
      <w:r w:rsidRPr="009D1C09">
        <w:rPr>
          <w:lang w:val="en-US"/>
        </w:rPr>
        <w:t xml:space="preserve">, 356; </w:t>
      </w:r>
      <w:proofErr w:type="spellStart"/>
      <w:r w:rsidRPr="00B45592">
        <w:rPr>
          <w:i/>
          <w:lang w:val="en-US"/>
        </w:rPr>
        <w:t>Wynehamer</w:t>
      </w:r>
      <w:proofErr w:type="spellEnd"/>
      <w:r w:rsidRPr="00B45592">
        <w:rPr>
          <w:i/>
          <w:lang w:val="en-US"/>
        </w:rPr>
        <w:t xml:space="preserve"> v. People</w:t>
      </w:r>
      <w:r w:rsidRPr="009D1C09">
        <w:rPr>
          <w:lang w:val="en-US"/>
        </w:rPr>
        <w:t xml:space="preserve">, 13 N.Y. 378; </w:t>
      </w:r>
      <w:r w:rsidRPr="00B45592">
        <w:rPr>
          <w:i/>
          <w:lang w:val="en-US"/>
        </w:rPr>
        <w:t>State v. Allen</w:t>
      </w:r>
      <w:r w:rsidRPr="009D1C09">
        <w:rPr>
          <w:lang w:val="en-US"/>
        </w:rPr>
        <w:t xml:space="preserve">, 2 McCord, Law, 55; </w:t>
      </w:r>
      <w:r w:rsidRPr="00B45592">
        <w:rPr>
          <w:i/>
          <w:lang w:val="en-US"/>
        </w:rPr>
        <w:t>Sears v. Cottrell</w:t>
      </w:r>
      <w:r w:rsidRPr="009D1C09">
        <w:rPr>
          <w:lang w:val="en-US"/>
        </w:rPr>
        <w:t xml:space="preserve">, 5 Mich. 251; </w:t>
      </w:r>
      <w:r w:rsidRPr="00B45592">
        <w:rPr>
          <w:i/>
          <w:lang w:val="en-US"/>
        </w:rPr>
        <w:t>Taylor v. Porter</w:t>
      </w:r>
      <w:r w:rsidRPr="009D1C09">
        <w:rPr>
          <w:lang w:val="en-US"/>
        </w:rPr>
        <w:t xml:space="preserve">, 4 Hill, 140; S.C. 11 Am. Dec. 274; </w:t>
      </w:r>
      <w:r w:rsidRPr="00B45592">
        <w:rPr>
          <w:i/>
          <w:lang w:val="en-US"/>
        </w:rPr>
        <w:t>Hoke v. Henderson</w:t>
      </w:r>
      <w:r w:rsidRPr="009D1C09">
        <w:rPr>
          <w:lang w:val="en-US"/>
        </w:rPr>
        <w:t xml:space="preserve">, 4 Dev. 1; S.C. 25 Am. Dec. 677; </w:t>
      </w:r>
      <w:r w:rsidRPr="00B45592">
        <w:rPr>
          <w:i/>
          <w:lang w:val="en-US"/>
        </w:rPr>
        <w:t>Janes v. Reynolds</w:t>
      </w:r>
      <w:r w:rsidRPr="009D1C09">
        <w:rPr>
          <w:lang w:val="en-US"/>
        </w:rPr>
        <w:t xml:space="preserve">, 2 Texas, 251; </w:t>
      </w:r>
      <w:r w:rsidRPr="00B45592">
        <w:rPr>
          <w:i/>
          <w:lang w:val="en-US"/>
        </w:rPr>
        <w:t>Kennard v. Louisiana</w:t>
      </w:r>
      <w:r w:rsidRPr="009D1C09">
        <w:rPr>
          <w:lang w:val="en-US"/>
        </w:rPr>
        <w:t xml:space="preserve">, 92 U.S. 480; </w:t>
      </w:r>
      <w:r w:rsidRPr="00B45592">
        <w:rPr>
          <w:i/>
          <w:lang w:val="en-US"/>
        </w:rPr>
        <w:t>Murray v.</w:t>
      </w:r>
      <w:r w:rsidRPr="009D1C09">
        <w:rPr>
          <w:lang w:val="en-US"/>
        </w:rPr>
        <w:t xml:space="preserve"> </w:t>
      </w:r>
      <w:r w:rsidRPr="00B45592">
        <w:rPr>
          <w:i/>
          <w:lang w:val="en-US"/>
        </w:rPr>
        <w:t>Hoboken Co.</w:t>
      </w:r>
      <w:r w:rsidRPr="009D1C09">
        <w:rPr>
          <w:lang w:val="en-US"/>
        </w:rPr>
        <w:t xml:space="preserve">, 18 How. 272; Mr. Webster's argument in </w:t>
      </w:r>
      <w:r w:rsidRPr="00B45592">
        <w:rPr>
          <w:i/>
          <w:lang w:val="en-US"/>
        </w:rPr>
        <w:t>Dartmouth College v. Woodward</w:t>
      </w:r>
      <w:r>
        <w:rPr>
          <w:lang w:val="en-US"/>
        </w:rPr>
        <w:t>,</w:t>
      </w:r>
      <w:r w:rsidRPr="003B741A">
        <w:rPr>
          <w:lang w:val="en-US"/>
        </w:rPr>
        <w:t xml:space="preserve"> 4 Wheat. </w:t>
      </w:r>
      <w:r w:rsidRPr="009D1C09">
        <w:rPr>
          <w:lang w:val="en-US"/>
        </w:rPr>
        <w:t xml:space="preserve">518; </w:t>
      </w:r>
      <w:r w:rsidRPr="00B45592">
        <w:rPr>
          <w:i/>
          <w:lang w:val="en-US"/>
        </w:rPr>
        <w:t>Brown v. Hummell</w:t>
      </w:r>
      <w:r w:rsidRPr="009D1C09">
        <w:rPr>
          <w:lang w:val="en-US"/>
        </w:rPr>
        <w:t xml:space="preserve">, 6 Penn. St. 86; </w:t>
      </w:r>
      <w:r w:rsidRPr="00B45592">
        <w:rPr>
          <w:i/>
          <w:lang w:val="en-US"/>
        </w:rPr>
        <w:t>Norman v. Heist</w:t>
      </w:r>
      <w:r w:rsidRPr="009D1C09">
        <w:rPr>
          <w:lang w:val="en-US"/>
        </w:rPr>
        <w:t>, 5 W. &amp; S. 171; S.C. 40 Am. Dec. 493</w:t>
      </w:r>
      <w:r>
        <w:rPr>
          <w:lang w:val="en-US"/>
        </w:rPr>
        <w:t xml:space="preserve">“, </w:t>
      </w:r>
      <w:r w:rsidRPr="004F13B1">
        <w:rPr>
          <w:i/>
          <w:lang w:val="en-US"/>
        </w:rPr>
        <w:t>Mugler v. Kansas</w:t>
      </w:r>
      <w:r w:rsidRPr="009D1C09">
        <w:rPr>
          <w:lang w:val="en-US"/>
        </w:rPr>
        <w:t>, 123 U.S. 623, 653</w:t>
      </w:r>
      <w:r>
        <w:rPr>
          <w:lang w:val="en-US"/>
        </w:rPr>
        <w:t xml:space="preserve"> = 8 S. Ct. </w:t>
      </w:r>
      <w:r w:rsidRPr="009D1C09">
        <w:rPr>
          <w:lang w:val="en-US"/>
        </w:rPr>
        <w:t>273, 293</w:t>
      </w:r>
      <w:r>
        <w:rPr>
          <w:lang w:val="en-US"/>
        </w:rPr>
        <w:t xml:space="preserve"> = 31 L. Ed. </w:t>
      </w:r>
      <w:r w:rsidRPr="009D1C09">
        <w:rPr>
          <w:lang w:val="en-US"/>
        </w:rPr>
        <w:t>205, 207</w:t>
      </w:r>
      <w:r>
        <w:rPr>
          <w:lang w:val="en-US"/>
        </w:rPr>
        <w:t xml:space="preserve"> = 1887 U.S. LEXIS </w:t>
      </w:r>
      <w:r w:rsidRPr="009D1C09">
        <w:rPr>
          <w:lang w:val="en-US"/>
        </w:rPr>
        <w:t>2204, 16 (1887)</w:t>
      </w:r>
      <w:r>
        <w:rPr>
          <w:lang w:val="en-US"/>
        </w:rPr>
        <w:t>.</w:t>
      </w:r>
    </w:p>
  </w:footnote>
  <w:footnote w:id="1529">
    <w:p w14:paraId="7BF2F0C9" w14:textId="77777777" w:rsidR="00074551" w:rsidRPr="00071F51" w:rsidRDefault="00074551" w:rsidP="00074551">
      <w:pPr>
        <w:pStyle w:val="Funotentext"/>
        <w:ind w:left="227" w:hanging="227"/>
        <w:rPr>
          <w:lang w:val="en-US"/>
        </w:rPr>
      </w:pPr>
      <w:r>
        <w:rPr>
          <w:rStyle w:val="Funotenzeichen"/>
          <w:rFonts w:eastAsiaTheme="majorEastAsia"/>
        </w:rPr>
        <w:footnoteRef/>
      </w:r>
      <w:r w:rsidRPr="00071F51">
        <w:rPr>
          <w:lang w:val="en-US"/>
        </w:rPr>
        <w:t xml:space="preserve"> </w:t>
      </w:r>
      <w:r w:rsidRPr="00546F93">
        <w:rPr>
          <w:i/>
          <w:lang w:val="en-US"/>
        </w:rPr>
        <w:t>Taylor v. Beckham</w:t>
      </w:r>
      <w:r w:rsidRPr="00071F51">
        <w:rPr>
          <w:lang w:val="en-US"/>
        </w:rPr>
        <w:t>, 178 U.S. 548, 570</w:t>
      </w:r>
      <w:r>
        <w:rPr>
          <w:lang w:val="en-US"/>
        </w:rPr>
        <w:t xml:space="preserve"> = 20 S. Ct. </w:t>
      </w:r>
      <w:r w:rsidRPr="00071F51">
        <w:rPr>
          <w:lang w:val="en-US"/>
        </w:rPr>
        <w:t>890, 898</w:t>
      </w:r>
      <w:r>
        <w:rPr>
          <w:lang w:val="en-US"/>
        </w:rPr>
        <w:t xml:space="preserve"> = 44 L. Ed. </w:t>
      </w:r>
      <w:r w:rsidRPr="00071F51">
        <w:rPr>
          <w:lang w:val="en-US"/>
        </w:rPr>
        <w:t>1187, 1198</w:t>
      </w:r>
      <w:r>
        <w:rPr>
          <w:lang w:val="en-US"/>
        </w:rPr>
        <w:t xml:space="preserve"> = 1900 U.S. LEXIS </w:t>
      </w:r>
      <w:r w:rsidRPr="00071F51">
        <w:rPr>
          <w:lang w:val="en-US"/>
        </w:rPr>
        <w:t>1702, 2 (1900)</w:t>
      </w:r>
      <w:r>
        <w:rPr>
          <w:lang w:val="en-US"/>
        </w:rPr>
        <w:t>.</w:t>
      </w:r>
    </w:p>
  </w:footnote>
  <w:footnote w:id="1530">
    <w:p w14:paraId="320C4602" w14:textId="77777777" w:rsidR="00074551" w:rsidRPr="00DD5ED0" w:rsidRDefault="00074551" w:rsidP="00074551">
      <w:pPr>
        <w:pStyle w:val="Funotentext"/>
        <w:rPr>
          <w:lang w:val="en-US"/>
        </w:rPr>
      </w:pPr>
      <w:r>
        <w:rPr>
          <w:rStyle w:val="Funotenzeichen"/>
          <w:rFonts w:eastAsiaTheme="majorEastAsia"/>
        </w:rPr>
        <w:footnoteRef/>
      </w:r>
      <w:r w:rsidRPr="00DD5ED0">
        <w:rPr>
          <w:lang w:val="en-US"/>
        </w:rPr>
        <w:t xml:space="preserve"> </w:t>
      </w:r>
      <w:r w:rsidRPr="00546F93">
        <w:rPr>
          <w:i/>
          <w:lang w:val="en-US"/>
        </w:rPr>
        <w:t>Taylor v. Beckham</w:t>
      </w:r>
      <w:r w:rsidRPr="00DD5ED0">
        <w:rPr>
          <w:lang w:val="en-US"/>
        </w:rPr>
        <w:t>, 178 U.S. 548, 573</w:t>
      </w:r>
      <w:r>
        <w:rPr>
          <w:lang w:val="en-US"/>
        </w:rPr>
        <w:t xml:space="preserve"> = 20 S. Ct. </w:t>
      </w:r>
      <w:r w:rsidRPr="00DD5ED0">
        <w:rPr>
          <w:lang w:val="en-US"/>
        </w:rPr>
        <w:t>890, 899</w:t>
      </w:r>
      <w:r>
        <w:rPr>
          <w:lang w:val="en-US"/>
        </w:rPr>
        <w:t xml:space="preserve"> = 44 L. Ed. </w:t>
      </w:r>
      <w:r w:rsidRPr="00DD5ED0">
        <w:rPr>
          <w:lang w:val="en-US"/>
        </w:rPr>
        <w:t>1187, 1199</w:t>
      </w:r>
      <w:r>
        <w:rPr>
          <w:lang w:val="en-US"/>
        </w:rPr>
        <w:t xml:space="preserve"> = 1900 U.S. LEXIS </w:t>
      </w:r>
      <w:r w:rsidRPr="00DD5ED0">
        <w:rPr>
          <w:lang w:val="en-US"/>
        </w:rPr>
        <w:t>1702, 41 (1900)</w:t>
      </w:r>
      <w:r>
        <w:rPr>
          <w:lang w:val="en-US"/>
        </w:rPr>
        <w:t>.</w:t>
      </w:r>
    </w:p>
  </w:footnote>
  <w:footnote w:id="1531">
    <w:p w14:paraId="1BE67F4A" w14:textId="77777777" w:rsidR="00074551" w:rsidRPr="00D754A3" w:rsidRDefault="00074551" w:rsidP="00074551">
      <w:pPr>
        <w:pStyle w:val="Funotentext"/>
        <w:rPr>
          <w:lang w:val="en-US"/>
        </w:rPr>
      </w:pPr>
      <w:r>
        <w:rPr>
          <w:rStyle w:val="Funotenzeichen"/>
          <w:rFonts w:eastAsiaTheme="majorEastAsia"/>
        </w:rPr>
        <w:footnoteRef/>
      </w:r>
      <w:r w:rsidRPr="00D754A3">
        <w:rPr>
          <w:lang w:val="en-US"/>
        </w:rPr>
        <w:t xml:space="preserve"> </w:t>
      </w:r>
      <w:r w:rsidRPr="00546F93">
        <w:rPr>
          <w:i/>
          <w:lang w:val="en-US"/>
        </w:rPr>
        <w:t>Taylor v. Beckham</w:t>
      </w:r>
      <w:r w:rsidRPr="00D754A3">
        <w:rPr>
          <w:lang w:val="en-US"/>
        </w:rPr>
        <w:t>, 178 U.S. 548, 570</w:t>
      </w:r>
      <w:r>
        <w:rPr>
          <w:lang w:val="en-US"/>
        </w:rPr>
        <w:t xml:space="preserve"> = 20 S. Ct. </w:t>
      </w:r>
      <w:r w:rsidRPr="00D754A3">
        <w:rPr>
          <w:lang w:val="en-US"/>
        </w:rPr>
        <w:t>890, 898</w:t>
      </w:r>
      <w:r>
        <w:rPr>
          <w:lang w:val="en-US"/>
        </w:rPr>
        <w:t xml:space="preserve"> = 44 L. Ed. </w:t>
      </w:r>
      <w:r w:rsidRPr="00D754A3">
        <w:rPr>
          <w:lang w:val="en-US"/>
        </w:rPr>
        <w:t>1187, 1198</w:t>
      </w:r>
      <w:r>
        <w:rPr>
          <w:lang w:val="en-US"/>
        </w:rPr>
        <w:t xml:space="preserve"> = 1900 U.S. LEXIS </w:t>
      </w:r>
      <w:r w:rsidRPr="00D754A3">
        <w:rPr>
          <w:lang w:val="en-US"/>
        </w:rPr>
        <w:t>1702, 14 (1900)</w:t>
      </w:r>
      <w:r>
        <w:rPr>
          <w:lang w:val="en-US"/>
        </w:rPr>
        <w:t>.</w:t>
      </w:r>
    </w:p>
  </w:footnote>
  <w:footnote w:id="1532">
    <w:p w14:paraId="74ADF513" w14:textId="77777777" w:rsidR="00074551" w:rsidRPr="00EE7B84" w:rsidRDefault="00074551" w:rsidP="00074551">
      <w:pPr>
        <w:pStyle w:val="Funotentext"/>
        <w:rPr>
          <w:lang w:val="en-US"/>
        </w:rPr>
      </w:pPr>
      <w:r>
        <w:rPr>
          <w:rStyle w:val="Funotenzeichen"/>
          <w:rFonts w:eastAsiaTheme="majorEastAsia"/>
        </w:rPr>
        <w:footnoteRef/>
      </w:r>
      <w:r w:rsidRPr="00EE7B84">
        <w:rPr>
          <w:lang w:val="en-US"/>
        </w:rPr>
        <w:t xml:space="preserve"> </w:t>
      </w:r>
      <w:r w:rsidRPr="00546F93">
        <w:rPr>
          <w:i/>
          <w:lang w:val="en-US"/>
        </w:rPr>
        <w:t>Taylor v. Beckham</w:t>
      </w:r>
      <w:r w:rsidRPr="00EE7B84">
        <w:rPr>
          <w:lang w:val="en-US"/>
        </w:rPr>
        <w:t>, 178 U.S. 548, 570</w:t>
      </w:r>
      <w:r>
        <w:rPr>
          <w:lang w:val="en-US"/>
        </w:rPr>
        <w:t xml:space="preserve"> = 20 S. Ct. </w:t>
      </w:r>
      <w:r w:rsidRPr="00EE7B84">
        <w:rPr>
          <w:lang w:val="en-US"/>
        </w:rPr>
        <w:t>890, 898</w:t>
      </w:r>
      <w:r>
        <w:rPr>
          <w:lang w:val="en-US"/>
        </w:rPr>
        <w:t xml:space="preserve"> = 44 L. Ed. </w:t>
      </w:r>
      <w:r w:rsidRPr="00EE7B84">
        <w:rPr>
          <w:lang w:val="en-US"/>
        </w:rPr>
        <w:t>1187, 1198</w:t>
      </w:r>
      <w:r>
        <w:rPr>
          <w:lang w:val="en-US"/>
        </w:rPr>
        <w:t xml:space="preserve"> = 1900 U.S. LEXIS </w:t>
      </w:r>
      <w:r w:rsidRPr="00EE7B84">
        <w:rPr>
          <w:lang w:val="en-US"/>
        </w:rPr>
        <w:t>1702, 14 (1900)</w:t>
      </w:r>
      <w:r>
        <w:rPr>
          <w:lang w:val="en-US"/>
        </w:rPr>
        <w:t>.</w:t>
      </w:r>
    </w:p>
  </w:footnote>
  <w:footnote w:id="1533">
    <w:p w14:paraId="509FC6C6" w14:textId="77777777" w:rsidR="00074551" w:rsidRPr="008757C9" w:rsidRDefault="00074551" w:rsidP="00074551">
      <w:pPr>
        <w:pStyle w:val="Funotentext"/>
        <w:rPr>
          <w:lang w:val="en-US"/>
        </w:rPr>
      </w:pPr>
      <w:r>
        <w:rPr>
          <w:rStyle w:val="Funotenzeichen"/>
        </w:rPr>
        <w:footnoteRef/>
      </w:r>
      <w:r w:rsidRPr="008757C9">
        <w:rPr>
          <w:lang w:val="en-US"/>
        </w:rPr>
        <w:t xml:space="preserve"> „SEC. 25. And be it further enacted, That a final judgment or decree in any suit, in the highest court of law or equity of a State in which a decision in the suit could be had, where is drawn in question the validity of a treaty or statute of, or an authority exercised under the United States, and the decision is against their validity; or where is drawn in question the validity of a statute of, or an authority exercised under any State, on the ground of their being repugnant to the constitution, treaties or laws of the United States, and the decision is in </w:t>
      </w:r>
      <w:proofErr w:type="spellStart"/>
      <w:r w:rsidRPr="008757C9">
        <w:rPr>
          <w:lang w:val="en-US"/>
        </w:rPr>
        <w:t>favour</w:t>
      </w:r>
      <w:proofErr w:type="spellEnd"/>
      <w:r w:rsidRPr="008757C9">
        <w:rPr>
          <w:lang w:val="en-US"/>
        </w:rPr>
        <w:t xml:space="preserve"> of such their validity, or where is drawn in question the construction of any clause of the constitution, or of a treaty, or statute of, or commission held under the United States, and the decision is against the title, right, privilege or exemption specially set up or claimed by either party, under such clause of the said Constitution, treaty, statute or commission, may be re-examined and reversed or affirmed in the Supreme Court of the United States upon a writ of error, the citation being signed by the chief justice, or judge or chancellor of the court rendering or passing the judgment or decree complained of, or by a justice of the Supreme Court of the United States, in the same manner and under the same regulations, and the writ shall have the same effect, as if the judgment or decree complained of had been rendered or passed in a circuit court, and the proceeding upon the reversal shall also be the same, except that the Supreme Court, instead of remanding the cause for a final decision as before provided, may at their discretion, if the cause shall have been once remanded before, proceed to a final decision of the same, and award execution. But no other error shall be assigned or regarded as a ground of reversal in any such case as aforesaid, than such as appears on the face of the record, and immediately respects the before mentioned questions of validity or construction of the said constitution, treaties, statutes, commissions, or authorities in </w:t>
      </w:r>
      <w:proofErr w:type="gramStart"/>
      <w:r w:rsidRPr="008757C9">
        <w:rPr>
          <w:lang w:val="en-US"/>
        </w:rPr>
        <w:t>dispute.“</w:t>
      </w:r>
      <w:proofErr w:type="gramEnd"/>
      <w:r w:rsidRPr="008757C9">
        <w:rPr>
          <w:lang w:val="en-US"/>
        </w:rPr>
        <w:t xml:space="preserve">, </w:t>
      </w:r>
      <w:proofErr w:type="spellStart"/>
      <w:r w:rsidRPr="008757C9">
        <w:rPr>
          <w:lang w:val="en-US"/>
        </w:rPr>
        <w:t>vgl</w:t>
      </w:r>
      <w:proofErr w:type="spellEnd"/>
      <w:r w:rsidRPr="008757C9">
        <w:rPr>
          <w:lang w:val="en-US"/>
        </w:rPr>
        <w:t xml:space="preserve">. </w:t>
      </w:r>
      <w:r w:rsidRPr="00B45592">
        <w:rPr>
          <w:lang w:val="en-IE"/>
        </w:rPr>
        <w:t>https://avalon.law.yale.edu/18th_century/judiciary_act.asp</w:t>
      </w:r>
      <w:r w:rsidRPr="008757C9">
        <w:rPr>
          <w:lang w:val="en-US"/>
        </w:rPr>
        <w:t xml:space="preserve"> </w:t>
      </w:r>
      <w:r>
        <w:rPr>
          <w:lang w:val="en-US"/>
        </w:rPr>
        <w:t>(27.04.2026).</w:t>
      </w:r>
    </w:p>
  </w:footnote>
  <w:footnote w:id="1534">
    <w:p w14:paraId="1C9970ED" w14:textId="77777777" w:rsidR="00074551" w:rsidRPr="008757C9" w:rsidRDefault="00074551" w:rsidP="00074551">
      <w:pPr>
        <w:pStyle w:val="Funotentext"/>
        <w:rPr>
          <w:lang w:val="en-US"/>
        </w:rPr>
      </w:pPr>
      <w:r>
        <w:rPr>
          <w:rStyle w:val="Funotenzeichen"/>
        </w:rPr>
        <w:footnoteRef/>
      </w:r>
      <w:r w:rsidRPr="008757C9">
        <w:rPr>
          <w:lang w:val="en-US"/>
        </w:rPr>
        <w:t xml:space="preserve"> </w:t>
      </w:r>
      <w:r w:rsidRPr="00B45592">
        <w:rPr>
          <w:i/>
          <w:lang w:val="en-US"/>
        </w:rPr>
        <w:t>Martin v. Hunter’s Lessee</w:t>
      </w:r>
      <w:r w:rsidRPr="008757C9">
        <w:rPr>
          <w:lang w:val="en-US"/>
        </w:rPr>
        <w:t>, 14 U.S. 304, 323</w:t>
      </w:r>
      <w:r w:rsidRPr="003B741A">
        <w:rPr>
          <w:lang w:val="en-US"/>
        </w:rPr>
        <w:t xml:space="preserve"> = 4 L. Ed. </w:t>
      </w:r>
      <w:r w:rsidRPr="008757C9">
        <w:rPr>
          <w:lang w:val="en-US"/>
        </w:rPr>
        <w:t>97, 102</w:t>
      </w:r>
      <w:r>
        <w:rPr>
          <w:lang w:val="en-US"/>
        </w:rPr>
        <w:t xml:space="preserve"> = 1816 U.S. LEXIS </w:t>
      </w:r>
      <w:r w:rsidRPr="008757C9">
        <w:rPr>
          <w:lang w:val="en-US"/>
        </w:rPr>
        <w:t>333, 11</w:t>
      </w:r>
      <w:r>
        <w:rPr>
          <w:lang w:val="en-US"/>
        </w:rPr>
        <w:t xml:space="preserve"> = 1 Wheat</w:t>
      </w:r>
      <w:r w:rsidRPr="008757C9">
        <w:rPr>
          <w:lang w:val="en-US"/>
        </w:rPr>
        <w:t>. 304 (1816)</w:t>
      </w:r>
      <w:r>
        <w:rPr>
          <w:lang w:val="en-US"/>
        </w:rPr>
        <w:t>.</w:t>
      </w:r>
    </w:p>
  </w:footnote>
  <w:footnote w:id="1535">
    <w:p w14:paraId="458DE327" w14:textId="77777777" w:rsidR="00074551" w:rsidRPr="009A48BB" w:rsidRDefault="00074551" w:rsidP="00074551">
      <w:pPr>
        <w:pStyle w:val="Funotentext"/>
        <w:rPr>
          <w:lang w:val="en-US"/>
        </w:rPr>
      </w:pPr>
      <w:r>
        <w:rPr>
          <w:rStyle w:val="Funotenzeichen"/>
        </w:rPr>
        <w:footnoteRef/>
      </w:r>
      <w:r w:rsidRPr="0080607A">
        <w:rPr>
          <w:lang w:val="en-US"/>
        </w:rPr>
        <w:t xml:space="preserve"> </w:t>
      </w:r>
      <w:r w:rsidRPr="00B45592">
        <w:rPr>
          <w:i/>
          <w:lang w:val="en-US"/>
        </w:rPr>
        <w:t>Martin v. Hunter’s Lessee</w:t>
      </w:r>
      <w:r w:rsidRPr="0080607A">
        <w:rPr>
          <w:lang w:val="en-US"/>
        </w:rPr>
        <w:t>, 14 U.S. 304, 327</w:t>
      </w:r>
      <w:r w:rsidRPr="003B741A">
        <w:rPr>
          <w:lang w:val="en-US"/>
        </w:rPr>
        <w:t xml:space="preserve"> = 4 L. Ed. </w:t>
      </w:r>
      <w:r w:rsidRPr="0080607A">
        <w:rPr>
          <w:lang w:val="en-US"/>
        </w:rPr>
        <w:t>97, 103</w:t>
      </w:r>
      <w:r>
        <w:rPr>
          <w:lang w:val="en-US"/>
        </w:rPr>
        <w:t xml:space="preserve"> = 1816 U.S. LEXIS </w:t>
      </w:r>
      <w:r w:rsidRPr="0080607A">
        <w:rPr>
          <w:lang w:val="en-US"/>
        </w:rPr>
        <w:t>333, 31</w:t>
      </w:r>
      <w:r>
        <w:rPr>
          <w:lang w:val="en-US"/>
        </w:rPr>
        <w:t xml:space="preserve"> = 1 Wheat</w:t>
      </w:r>
      <w:r w:rsidRPr="0080607A">
        <w:rPr>
          <w:lang w:val="en-US"/>
        </w:rPr>
        <w:t xml:space="preserve">. </w:t>
      </w:r>
      <w:r w:rsidRPr="009A48BB">
        <w:rPr>
          <w:lang w:val="en-US"/>
        </w:rPr>
        <w:t>304 (1816)</w:t>
      </w:r>
      <w:r>
        <w:rPr>
          <w:lang w:val="en-US"/>
        </w:rPr>
        <w:t>.</w:t>
      </w:r>
    </w:p>
  </w:footnote>
  <w:footnote w:id="1536">
    <w:p w14:paraId="6F502BB4" w14:textId="77777777" w:rsidR="00074551" w:rsidRPr="003D16CF" w:rsidRDefault="00074551" w:rsidP="00074551">
      <w:pPr>
        <w:pStyle w:val="Funotentext"/>
        <w:rPr>
          <w:lang w:val="en-US"/>
        </w:rPr>
      </w:pPr>
      <w:r>
        <w:rPr>
          <w:rStyle w:val="Funotenzeichen"/>
        </w:rPr>
        <w:footnoteRef/>
      </w:r>
      <w:r w:rsidRPr="00677C91">
        <w:rPr>
          <w:lang w:val="en-US"/>
        </w:rPr>
        <w:t xml:space="preserve"> </w:t>
      </w:r>
      <w:r w:rsidRPr="00B45592">
        <w:rPr>
          <w:i/>
          <w:lang w:val="en-US"/>
        </w:rPr>
        <w:t>Martin v. Hunter’s Lessee</w:t>
      </w:r>
      <w:r w:rsidRPr="00677C91">
        <w:rPr>
          <w:lang w:val="en-US"/>
        </w:rPr>
        <w:t>, 14 U.S. 304, 373</w:t>
      </w:r>
      <w:r w:rsidRPr="003B741A">
        <w:rPr>
          <w:lang w:val="en-US"/>
        </w:rPr>
        <w:t xml:space="preserve"> = 4 L. Ed. </w:t>
      </w:r>
      <w:r w:rsidRPr="00677C91">
        <w:rPr>
          <w:lang w:val="en-US"/>
        </w:rPr>
        <w:t>97, 114</w:t>
      </w:r>
      <w:r>
        <w:rPr>
          <w:lang w:val="en-US"/>
        </w:rPr>
        <w:t xml:space="preserve"> = 1816 U.S. LEXIS </w:t>
      </w:r>
      <w:r w:rsidRPr="00677C91">
        <w:rPr>
          <w:lang w:val="en-US"/>
        </w:rPr>
        <w:t>333, 95</w:t>
      </w:r>
      <w:r>
        <w:rPr>
          <w:lang w:val="en-US"/>
        </w:rPr>
        <w:t xml:space="preserve"> = 1 Wheat</w:t>
      </w:r>
      <w:r w:rsidRPr="00677C91">
        <w:rPr>
          <w:lang w:val="en-US"/>
        </w:rPr>
        <w:t xml:space="preserve">. </w:t>
      </w:r>
      <w:r w:rsidRPr="003D16CF">
        <w:rPr>
          <w:lang w:val="en-US"/>
        </w:rPr>
        <w:t>304 (1816)</w:t>
      </w:r>
      <w:r>
        <w:rPr>
          <w:lang w:val="en-US"/>
        </w:rPr>
        <w:t>.</w:t>
      </w:r>
    </w:p>
  </w:footnote>
  <w:footnote w:id="1537">
    <w:p w14:paraId="71A97EBD" w14:textId="77777777" w:rsidR="00074551" w:rsidRPr="003D16CF" w:rsidRDefault="00074551" w:rsidP="00074551">
      <w:pPr>
        <w:pStyle w:val="Funotentext"/>
        <w:rPr>
          <w:lang w:val="en-US"/>
        </w:rPr>
      </w:pPr>
      <w:r>
        <w:rPr>
          <w:rStyle w:val="Funotenzeichen"/>
        </w:rPr>
        <w:footnoteRef/>
      </w:r>
      <w:r w:rsidRPr="00677C91">
        <w:rPr>
          <w:lang w:val="en-US"/>
        </w:rPr>
        <w:t xml:space="preserve"> </w:t>
      </w:r>
      <w:r w:rsidRPr="00B45592">
        <w:rPr>
          <w:i/>
          <w:lang w:val="en-US"/>
        </w:rPr>
        <w:t>Martin v. Hunter’s Lessee</w:t>
      </w:r>
      <w:r w:rsidRPr="00677C91">
        <w:rPr>
          <w:lang w:val="en-US"/>
        </w:rPr>
        <w:t>, 14 U.S. 304, 373</w:t>
      </w:r>
      <w:r w:rsidRPr="003B741A">
        <w:rPr>
          <w:lang w:val="en-US"/>
        </w:rPr>
        <w:t xml:space="preserve"> = 4 L. Ed. </w:t>
      </w:r>
      <w:r w:rsidRPr="00677C91">
        <w:rPr>
          <w:lang w:val="en-US"/>
        </w:rPr>
        <w:t>97, 114</w:t>
      </w:r>
      <w:r>
        <w:rPr>
          <w:lang w:val="en-US"/>
        </w:rPr>
        <w:t xml:space="preserve"> = 1816 U.S. LEXIS </w:t>
      </w:r>
      <w:r w:rsidRPr="00677C91">
        <w:rPr>
          <w:lang w:val="en-US"/>
        </w:rPr>
        <w:t>333, 95</w:t>
      </w:r>
      <w:r>
        <w:rPr>
          <w:lang w:val="en-US"/>
        </w:rPr>
        <w:t xml:space="preserve"> = 1 Wheat</w:t>
      </w:r>
      <w:r w:rsidRPr="00677C91">
        <w:rPr>
          <w:lang w:val="en-US"/>
        </w:rPr>
        <w:t xml:space="preserve">. </w:t>
      </w:r>
      <w:r w:rsidRPr="003D16CF">
        <w:rPr>
          <w:lang w:val="en-US"/>
        </w:rPr>
        <w:t>304 (1816)</w:t>
      </w:r>
      <w:r>
        <w:rPr>
          <w:lang w:val="en-US"/>
        </w:rPr>
        <w:t>.</w:t>
      </w:r>
    </w:p>
  </w:footnote>
  <w:footnote w:id="1538">
    <w:p w14:paraId="0E701D83" w14:textId="77777777" w:rsidR="00074551" w:rsidRPr="00F14446" w:rsidRDefault="00074551" w:rsidP="00074551">
      <w:pPr>
        <w:pStyle w:val="Funotentext"/>
        <w:rPr>
          <w:lang w:val="en-US"/>
        </w:rPr>
      </w:pPr>
      <w:r>
        <w:rPr>
          <w:rStyle w:val="Funotenzeichen"/>
        </w:rPr>
        <w:footnoteRef/>
      </w:r>
      <w:r w:rsidRPr="00B45592">
        <w:rPr>
          <w:lang w:val="en-IE"/>
        </w:rPr>
        <w:t xml:space="preserve"> </w:t>
      </w:r>
      <w:r w:rsidRPr="008F73D7">
        <w:rPr>
          <w:i/>
          <w:lang w:val="en-IE"/>
        </w:rPr>
        <w:t>Gaines et al. v. Buford</w:t>
      </w:r>
      <w:r w:rsidRPr="00B45592">
        <w:rPr>
          <w:lang w:val="en-IE"/>
        </w:rPr>
        <w:t xml:space="preserve">, 1 Dana. 499; </w:t>
      </w:r>
      <w:r w:rsidRPr="008F73D7">
        <w:rPr>
          <w:i/>
          <w:lang w:val="en-US"/>
        </w:rPr>
        <w:t>Florentine v. Barton</w:t>
      </w:r>
      <w:r w:rsidRPr="00F14446">
        <w:rPr>
          <w:lang w:val="en-US"/>
        </w:rPr>
        <w:t>, 69 U.S. 210</w:t>
      </w:r>
      <w:r>
        <w:rPr>
          <w:lang w:val="en-US"/>
        </w:rPr>
        <w:t xml:space="preserve"> = 17 L. Ed. </w:t>
      </w:r>
      <w:r w:rsidRPr="00F14446">
        <w:rPr>
          <w:lang w:val="en-US"/>
        </w:rPr>
        <w:t>783</w:t>
      </w:r>
      <w:r>
        <w:rPr>
          <w:lang w:val="en-US"/>
        </w:rPr>
        <w:t xml:space="preserve"> = 1864 U.S. LEXIS</w:t>
      </w:r>
      <w:r w:rsidRPr="00F14446">
        <w:rPr>
          <w:lang w:val="en-US"/>
        </w:rPr>
        <w:t xml:space="preserve"> 423</w:t>
      </w:r>
      <w:r>
        <w:rPr>
          <w:lang w:val="en-US"/>
        </w:rPr>
        <w:t xml:space="preserve"> = 2 Wall. </w:t>
      </w:r>
      <w:r w:rsidRPr="00F14446">
        <w:rPr>
          <w:lang w:val="en-US"/>
        </w:rPr>
        <w:t>210 (1865)</w:t>
      </w:r>
      <w:r>
        <w:rPr>
          <w:lang w:val="en-US"/>
        </w:rPr>
        <w:t>.</w:t>
      </w:r>
    </w:p>
  </w:footnote>
  <w:footnote w:id="1539">
    <w:p w14:paraId="7E28E003" w14:textId="77777777" w:rsidR="00074551" w:rsidRPr="00F14446" w:rsidRDefault="00074551" w:rsidP="00074551">
      <w:pPr>
        <w:pStyle w:val="Funotentext"/>
        <w:rPr>
          <w:lang w:val="en-US"/>
        </w:rPr>
      </w:pPr>
      <w:r>
        <w:rPr>
          <w:rStyle w:val="Funotenzeichen"/>
        </w:rPr>
        <w:footnoteRef/>
      </w:r>
      <w:r w:rsidRPr="00F94158">
        <w:rPr>
          <w:lang w:val="en-IE"/>
        </w:rPr>
        <w:t xml:space="preserve"> </w:t>
      </w:r>
      <w:r w:rsidRPr="00F94158">
        <w:rPr>
          <w:i/>
          <w:lang w:val="en-IE"/>
        </w:rPr>
        <w:t>Gaines et al. v. Buford</w:t>
      </w:r>
      <w:r w:rsidRPr="00F94158">
        <w:rPr>
          <w:lang w:val="en-IE"/>
        </w:rPr>
        <w:t xml:space="preserve">, 1 Dana. 499; </w:t>
      </w:r>
      <w:r w:rsidRPr="008F73D7">
        <w:rPr>
          <w:i/>
          <w:lang w:val="en-US"/>
        </w:rPr>
        <w:t>Florentine v. Barton</w:t>
      </w:r>
      <w:r w:rsidRPr="00F14446">
        <w:rPr>
          <w:lang w:val="en-US"/>
        </w:rPr>
        <w:t>, 69 U.S. 210</w:t>
      </w:r>
      <w:r>
        <w:rPr>
          <w:lang w:val="en-US"/>
        </w:rPr>
        <w:t xml:space="preserve"> = 17 L. Ed. </w:t>
      </w:r>
      <w:r w:rsidRPr="00F14446">
        <w:rPr>
          <w:lang w:val="en-US"/>
        </w:rPr>
        <w:t>783</w:t>
      </w:r>
      <w:r>
        <w:rPr>
          <w:lang w:val="en-US"/>
        </w:rPr>
        <w:t xml:space="preserve"> = 1864 U.S. LEXIS</w:t>
      </w:r>
      <w:r w:rsidRPr="00F14446">
        <w:rPr>
          <w:lang w:val="en-US"/>
        </w:rPr>
        <w:t xml:space="preserve"> 423</w:t>
      </w:r>
      <w:r>
        <w:rPr>
          <w:lang w:val="en-US"/>
        </w:rPr>
        <w:t xml:space="preserve"> = 2 Wall. </w:t>
      </w:r>
      <w:r w:rsidRPr="00F14446">
        <w:rPr>
          <w:lang w:val="en-US"/>
        </w:rPr>
        <w:t>210 (1865)</w:t>
      </w:r>
      <w:r>
        <w:rPr>
          <w:lang w:val="en-US"/>
        </w:rPr>
        <w:t>.</w:t>
      </w:r>
    </w:p>
  </w:footnote>
  <w:footnote w:id="1540">
    <w:p w14:paraId="0126C07D" w14:textId="77777777" w:rsidR="00074551" w:rsidRPr="00F14446" w:rsidRDefault="00074551" w:rsidP="00074551">
      <w:pPr>
        <w:pStyle w:val="Funotentext"/>
        <w:rPr>
          <w:lang w:val="en-US"/>
        </w:rPr>
      </w:pPr>
      <w:r>
        <w:rPr>
          <w:rStyle w:val="Funotenzeichen"/>
        </w:rPr>
        <w:footnoteRef/>
      </w:r>
      <w:r w:rsidRPr="00F94158">
        <w:rPr>
          <w:lang w:val="en-IE"/>
        </w:rPr>
        <w:t xml:space="preserve"> </w:t>
      </w:r>
      <w:r w:rsidRPr="00F94158">
        <w:rPr>
          <w:i/>
          <w:lang w:val="en-IE"/>
        </w:rPr>
        <w:t>Gaines et al. v. Buford</w:t>
      </w:r>
      <w:r w:rsidRPr="00F94158">
        <w:rPr>
          <w:lang w:val="en-IE"/>
        </w:rPr>
        <w:t xml:space="preserve">, 1 Dana. 499; </w:t>
      </w:r>
      <w:r w:rsidRPr="008F73D7">
        <w:rPr>
          <w:i/>
          <w:lang w:val="en-US"/>
        </w:rPr>
        <w:t>Florentine v. Barton</w:t>
      </w:r>
      <w:r w:rsidRPr="00F14446">
        <w:rPr>
          <w:lang w:val="en-US"/>
        </w:rPr>
        <w:t>, 69 U.S. 210</w:t>
      </w:r>
      <w:r>
        <w:rPr>
          <w:lang w:val="en-US"/>
        </w:rPr>
        <w:t xml:space="preserve"> = 17 L. Ed. </w:t>
      </w:r>
      <w:r w:rsidRPr="00F14446">
        <w:rPr>
          <w:lang w:val="en-US"/>
        </w:rPr>
        <w:t>783</w:t>
      </w:r>
      <w:r>
        <w:rPr>
          <w:lang w:val="en-US"/>
        </w:rPr>
        <w:t xml:space="preserve"> = 1864 U.S. LEXIS</w:t>
      </w:r>
      <w:r w:rsidRPr="00F14446">
        <w:rPr>
          <w:lang w:val="en-US"/>
        </w:rPr>
        <w:t xml:space="preserve"> 423</w:t>
      </w:r>
      <w:r>
        <w:rPr>
          <w:lang w:val="en-US"/>
        </w:rPr>
        <w:t xml:space="preserve"> = 2 Wall. </w:t>
      </w:r>
      <w:r w:rsidRPr="00F14446">
        <w:rPr>
          <w:lang w:val="en-US"/>
        </w:rPr>
        <w:t>210 (1865)</w:t>
      </w:r>
      <w:r>
        <w:rPr>
          <w:lang w:val="en-US"/>
        </w:rPr>
        <w:t>.</w:t>
      </w:r>
    </w:p>
  </w:footnote>
  <w:footnote w:id="1541">
    <w:p w14:paraId="46B33661" w14:textId="77777777" w:rsidR="00074551" w:rsidRPr="00A306A0" w:rsidRDefault="00074551" w:rsidP="00074551">
      <w:pPr>
        <w:pStyle w:val="Funotentext"/>
        <w:rPr>
          <w:lang w:val="en-US"/>
        </w:rPr>
      </w:pPr>
      <w:r>
        <w:rPr>
          <w:rStyle w:val="Funotenzeichen"/>
        </w:rPr>
        <w:footnoteRef/>
      </w:r>
      <w:r w:rsidRPr="00A306A0">
        <w:rPr>
          <w:lang w:val="en-US"/>
        </w:rPr>
        <w:t xml:space="preserve"> </w:t>
      </w:r>
      <w:r w:rsidRPr="008F73D7">
        <w:rPr>
          <w:i/>
          <w:lang w:val="en-US"/>
        </w:rPr>
        <w:t>Florentine v. Barton</w:t>
      </w:r>
      <w:r w:rsidRPr="00A306A0">
        <w:rPr>
          <w:lang w:val="en-US"/>
        </w:rPr>
        <w:t>, 69 U.S. 210, 216</w:t>
      </w:r>
      <w:r>
        <w:rPr>
          <w:lang w:val="en-US"/>
        </w:rPr>
        <w:t xml:space="preserve"> = 17 L. Ed. </w:t>
      </w:r>
      <w:r w:rsidRPr="00A306A0">
        <w:rPr>
          <w:lang w:val="en-US"/>
        </w:rPr>
        <w:t>783, 785</w:t>
      </w:r>
      <w:r>
        <w:rPr>
          <w:lang w:val="en-US"/>
        </w:rPr>
        <w:t xml:space="preserve"> = 1864 U.S. LEXIS</w:t>
      </w:r>
      <w:r w:rsidRPr="00A306A0">
        <w:rPr>
          <w:lang w:val="en-US"/>
        </w:rPr>
        <w:t xml:space="preserve"> 423, 11</w:t>
      </w:r>
      <w:r>
        <w:rPr>
          <w:lang w:val="en-US"/>
        </w:rPr>
        <w:t xml:space="preserve"> = 2 Wall. </w:t>
      </w:r>
      <w:r w:rsidRPr="00A306A0">
        <w:rPr>
          <w:lang w:val="en-US"/>
        </w:rPr>
        <w:t>210 (1865)</w:t>
      </w:r>
      <w:r>
        <w:rPr>
          <w:lang w:val="en-US"/>
        </w:rPr>
        <w:t>.</w:t>
      </w:r>
    </w:p>
  </w:footnote>
  <w:footnote w:id="1542">
    <w:p w14:paraId="6439FF34" w14:textId="77777777" w:rsidR="00074551" w:rsidRPr="00CC5C6E" w:rsidRDefault="00074551" w:rsidP="00074551">
      <w:pPr>
        <w:pStyle w:val="Funotentext"/>
        <w:rPr>
          <w:lang w:val="en-US"/>
        </w:rPr>
      </w:pPr>
      <w:r>
        <w:rPr>
          <w:rStyle w:val="Funotenzeichen"/>
        </w:rPr>
        <w:footnoteRef/>
      </w:r>
      <w:r w:rsidRPr="00CC5C6E">
        <w:rPr>
          <w:lang w:val="en-US"/>
        </w:rPr>
        <w:t xml:space="preserve"> Ariz. Rev. Stat. </w:t>
      </w:r>
      <w:r>
        <w:rPr>
          <w:lang w:val="en-US"/>
        </w:rPr>
        <w:t>§ </w:t>
      </w:r>
      <w:r w:rsidRPr="00CC5C6E">
        <w:rPr>
          <w:lang w:val="en-US"/>
        </w:rPr>
        <w:t xml:space="preserve">1464 (1913) „prohibited the court from issuing an injunction in any case between employer and </w:t>
      </w:r>
      <w:proofErr w:type="gramStart"/>
      <w:r w:rsidRPr="00CC5C6E">
        <w:rPr>
          <w:lang w:val="en-US"/>
        </w:rPr>
        <w:t>employee“</w:t>
      </w:r>
      <w:proofErr w:type="gramEnd"/>
      <w:r>
        <w:rPr>
          <w:lang w:val="en-US"/>
        </w:rPr>
        <w:t>,</w:t>
      </w:r>
      <w:r w:rsidRPr="00CC5C6E">
        <w:rPr>
          <w:lang w:val="en-US"/>
        </w:rPr>
        <w:t xml:space="preserve"> in </w:t>
      </w:r>
      <w:r w:rsidRPr="00B35CD0">
        <w:rPr>
          <w:i/>
          <w:lang w:val="en-US"/>
        </w:rPr>
        <w:t>Truax v. Corrigan</w:t>
      </w:r>
      <w:r w:rsidRPr="00CC5C6E">
        <w:rPr>
          <w:lang w:val="en-US"/>
        </w:rPr>
        <w:t>, 257 U.S. 312, 320</w:t>
      </w:r>
      <w:r>
        <w:rPr>
          <w:lang w:val="en-US"/>
        </w:rPr>
        <w:t xml:space="preserve"> = 42 S. Ct. </w:t>
      </w:r>
      <w:r w:rsidRPr="00CC5C6E">
        <w:rPr>
          <w:lang w:val="en-US"/>
        </w:rPr>
        <w:t>124, 125</w:t>
      </w:r>
      <w:r>
        <w:rPr>
          <w:lang w:val="en-US"/>
        </w:rPr>
        <w:t xml:space="preserve"> = 66 L. Ed. </w:t>
      </w:r>
      <w:r w:rsidRPr="00CC5C6E">
        <w:rPr>
          <w:lang w:val="en-US"/>
        </w:rPr>
        <w:t>254, 258</w:t>
      </w:r>
      <w:r>
        <w:rPr>
          <w:lang w:val="en-US"/>
        </w:rPr>
        <w:t xml:space="preserve"> = 1921 U.S. LEXIS </w:t>
      </w:r>
      <w:r w:rsidRPr="00CC5C6E">
        <w:rPr>
          <w:lang w:val="en-US"/>
        </w:rPr>
        <w:t>1345, 1</w:t>
      </w:r>
      <w:r>
        <w:rPr>
          <w:lang w:val="en-US"/>
        </w:rPr>
        <w:t xml:space="preserve"> = 27 A.L.R. </w:t>
      </w:r>
      <w:r w:rsidRPr="00CC5C6E">
        <w:rPr>
          <w:lang w:val="en-US"/>
        </w:rPr>
        <w:t>375 (1921)</w:t>
      </w:r>
      <w:r>
        <w:rPr>
          <w:lang w:val="en-US"/>
        </w:rPr>
        <w:t>.</w:t>
      </w:r>
    </w:p>
  </w:footnote>
  <w:footnote w:id="1543">
    <w:p w14:paraId="20005CA3" w14:textId="77777777" w:rsidR="00074551" w:rsidRPr="00BC628E" w:rsidRDefault="00074551" w:rsidP="00074551">
      <w:pPr>
        <w:pStyle w:val="Funotentext"/>
        <w:rPr>
          <w:lang w:val="en-US"/>
        </w:rPr>
      </w:pPr>
      <w:r>
        <w:rPr>
          <w:rStyle w:val="Funotenzeichen"/>
        </w:rPr>
        <w:footnoteRef/>
      </w:r>
      <w:r w:rsidRPr="00BC628E">
        <w:rPr>
          <w:lang w:val="en-US"/>
        </w:rPr>
        <w:t xml:space="preserve"> </w:t>
      </w:r>
      <w:r w:rsidRPr="00B35CD0">
        <w:rPr>
          <w:i/>
          <w:lang w:val="en-US"/>
        </w:rPr>
        <w:t>Truax v. Corrigan</w:t>
      </w:r>
      <w:r w:rsidRPr="00BC628E">
        <w:rPr>
          <w:lang w:val="en-US"/>
        </w:rPr>
        <w:t>, 257 U.S. 312, 320</w:t>
      </w:r>
      <w:r>
        <w:rPr>
          <w:lang w:val="en-US"/>
        </w:rPr>
        <w:t xml:space="preserve"> = 42 S. Ct. </w:t>
      </w:r>
      <w:r w:rsidRPr="00BC628E">
        <w:rPr>
          <w:lang w:val="en-US"/>
        </w:rPr>
        <w:t>124, 125</w:t>
      </w:r>
      <w:r>
        <w:rPr>
          <w:lang w:val="en-US"/>
        </w:rPr>
        <w:t xml:space="preserve"> = 66 L. Ed. </w:t>
      </w:r>
      <w:r w:rsidRPr="00BC628E">
        <w:rPr>
          <w:lang w:val="en-US"/>
        </w:rPr>
        <w:t>254, 258</w:t>
      </w:r>
      <w:r>
        <w:rPr>
          <w:lang w:val="en-US"/>
        </w:rPr>
        <w:t xml:space="preserve"> = 1921 U.S. LEXIS </w:t>
      </w:r>
      <w:r w:rsidRPr="00BC628E">
        <w:rPr>
          <w:lang w:val="en-US"/>
        </w:rPr>
        <w:t>1345, 1</w:t>
      </w:r>
      <w:r>
        <w:rPr>
          <w:lang w:val="en-US"/>
        </w:rPr>
        <w:t xml:space="preserve"> = 27 A.L.R. </w:t>
      </w:r>
      <w:r w:rsidRPr="00BC628E">
        <w:rPr>
          <w:lang w:val="en-US"/>
        </w:rPr>
        <w:t>375 (1921).</w:t>
      </w:r>
    </w:p>
  </w:footnote>
  <w:footnote w:id="1544">
    <w:p w14:paraId="48EE9E86" w14:textId="77777777" w:rsidR="00074551" w:rsidRPr="007B2332" w:rsidRDefault="00074551" w:rsidP="00074551">
      <w:pPr>
        <w:pStyle w:val="Funotentext"/>
        <w:rPr>
          <w:lang w:val="en-US"/>
        </w:rPr>
      </w:pPr>
      <w:r>
        <w:rPr>
          <w:rStyle w:val="Funotenzeichen"/>
        </w:rPr>
        <w:footnoteRef/>
      </w:r>
      <w:r w:rsidRPr="007B2332">
        <w:rPr>
          <w:lang w:val="en-US"/>
        </w:rPr>
        <w:t xml:space="preserve"> </w:t>
      </w:r>
      <w:r w:rsidRPr="00B35CD0">
        <w:rPr>
          <w:i/>
          <w:lang w:val="en-US"/>
        </w:rPr>
        <w:t>Truax v. Corrigan</w:t>
      </w:r>
      <w:r w:rsidRPr="007B2332">
        <w:rPr>
          <w:lang w:val="en-US"/>
        </w:rPr>
        <w:t>, 257 U.S. 312, 320</w:t>
      </w:r>
      <w:r>
        <w:rPr>
          <w:lang w:val="en-US"/>
        </w:rPr>
        <w:t xml:space="preserve"> = 42 S. Ct. </w:t>
      </w:r>
      <w:r w:rsidRPr="007B2332">
        <w:rPr>
          <w:lang w:val="en-US"/>
        </w:rPr>
        <w:t>124, 125</w:t>
      </w:r>
      <w:r>
        <w:rPr>
          <w:lang w:val="en-US"/>
        </w:rPr>
        <w:t xml:space="preserve"> = 66 L. Ed. </w:t>
      </w:r>
      <w:r w:rsidRPr="007B2332">
        <w:rPr>
          <w:lang w:val="en-US"/>
        </w:rPr>
        <w:t>254, 258</w:t>
      </w:r>
      <w:r>
        <w:rPr>
          <w:lang w:val="en-US"/>
        </w:rPr>
        <w:t xml:space="preserve"> = 1921 U.S. LEXIS </w:t>
      </w:r>
      <w:r w:rsidRPr="007B2332">
        <w:rPr>
          <w:lang w:val="en-US"/>
        </w:rPr>
        <w:t>1345, 1</w:t>
      </w:r>
      <w:r>
        <w:rPr>
          <w:lang w:val="en-US"/>
        </w:rPr>
        <w:t xml:space="preserve"> = 27 A.L.R. </w:t>
      </w:r>
      <w:r w:rsidRPr="007B2332">
        <w:rPr>
          <w:lang w:val="en-US"/>
        </w:rPr>
        <w:t>375 (1921)</w:t>
      </w:r>
      <w:r>
        <w:rPr>
          <w:lang w:val="en-US"/>
        </w:rPr>
        <w:t>.</w:t>
      </w:r>
    </w:p>
  </w:footnote>
  <w:footnote w:id="1545">
    <w:p w14:paraId="05445532" w14:textId="77777777" w:rsidR="00074551" w:rsidRPr="00CC5C6E" w:rsidRDefault="00074551" w:rsidP="00074551">
      <w:pPr>
        <w:pStyle w:val="Funotentext"/>
        <w:rPr>
          <w:lang w:val="en-US"/>
        </w:rPr>
      </w:pPr>
      <w:r>
        <w:rPr>
          <w:rStyle w:val="Funotenzeichen"/>
        </w:rPr>
        <w:footnoteRef/>
      </w:r>
      <w:r w:rsidRPr="00CC5C6E">
        <w:rPr>
          <w:lang w:val="en-US"/>
        </w:rPr>
        <w:t xml:space="preserve"> Ariz. Rev. Stat. </w:t>
      </w:r>
      <w:r>
        <w:rPr>
          <w:lang w:val="en-US"/>
        </w:rPr>
        <w:t>§ </w:t>
      </w:r>
      <w:r w:rsidRPr="00CC5C6E">
        <w:rPr>
          <w:lang w:val="en-US"/>
        </w:rPr>
        <w:t xml:space="preserve">1464 (1913) „prohibited the court from issuing an injunction in any case between employer and </w:t>
      </w:r>
      <w:proofErr w:type="gramStart"/>
      <w:r w:rsidRPr="00CC5C6E">
        <w:rPr>
          <w:lang w:val="en-US"/>
        </w:rPr>
        <w:t>employee“</w:t>
      </w:r>
      <w:proofErr w:type="gramEnd"/>
      <w:r>
        <w:rPr>
          <w:lang w:val="en-US"/>
        </w:rPr>
        <w:t>,</w:t>
      </w:r>
      <w:r w:rsidRPr="00CC5C6E">
        <w:rPr>
          <w:lang w:val="en-US"/>
        </w:rPr>
        <w:t xml:space="preserve"> in </w:t>
      </w:r>
      <w:r w:rsidRPr="00B35CD0">
        <w:rPr>
          <w:i/>
          <w:lang w:val="en-US"/>
        </w:rPr>
        <w:t>Truax v. Corrigan</w:t>
      </w:r>
      <w:r w:rsidRPr="00CC5C6E">
        <w:rPr>
          <w:lang w:val="en-US"/>
        </w:rPr>
        <w:t>, 257 U.S. 312, 320</w:t>
      </w:r>
      <w:r>
        <w:rPr>
          <w:lang w:val="en-US"/>
        </w:rPr>
        <w:t xml:space="preserve"> = 42 S. Ct. </w:t>
      </w:r>
      <w:r w:rsidRPr="00CC5C6E">
        <w:rPr>
          <w:lang w:val="en-US"/>
        </w:rPr>
        <w:t>124, 125</w:t>
      </w:r>
      <w:r>
        <w:rPr>
          <w:lang w:val="en-US"/>
        </w:rPr>
        <w:t xml:space="preserve"> = 66 L. Ed. </w:t>
      </w:r>
      <w:r w:rsidRPr="00CC5C6E">
        <w:rPr>
          <w:lang w:val="en-US"/>
        </w:rPr>
        <w:t>254, 258</w:t>
      </w:r>
      <w:r>
        <w:rPr>
          <w:lang w:val="en-US"/>
        </w:rPr>
        <w:t xml:space="preserve"> = 1921 U.S. LEXIS </w:t>
      </w:r>
      <w:r w:rsidRPr="00CC5C6E">
        <w:rPr>
          <w:lang w:val="en-US"/>
        </w:rPr>
        <w:t>1345, 1</w:t>
      </w:r>
      <w:r>
        <w:rPr>
          <w:lang w:val="en-US"/>
        </w:rPr>
        <w:t xml:space="preserve"> = 27 A.L.R. </w:t>
      </w:r>
      <w:r w:rsidRPr="00CC5C6E">
        <w:rPr>
          <w:lang w:val="en-US"/>
        </w:rPr>
        <w:t>375 (1921)</w:t>
      </w:r>
      <w:r>
        <w:rPr>
          <w:lang w:val="en-US"/>
        </w:rPr>
        <w:t>.</w:t>
      </w:r>
    </w:p>
  </w:footnote>
  <w:footnote w:id="1546">
    <w:p w14:paraId="298522D3" w14:textId="77777777" w:rsidR="00074551" w:rsidRPr="0077042F" w:rsidRDefault="00074551" w:rsidP="00074551">
      <w:pPr>
        <w:pStyle w:val="Funotentext"/>
        <w:rPr>
          <w:lang w:val="en-US"/>
        </w:rPr>
      </w:pPr>
      <w:r>
        <w:rPr>
          <w:rStyle w:val="Funotenzeichen"/>
        </w:rPr>
        <w:footnoteRef/>
      </w:r>
      <w:r w:rsidRPr="0077042F">
        <w:rPr>
          <w:lang w:val="en-US"/>
        </w:rPr>
        <w:t xml:space="preserve"> </w:t>
      </w:r>
      <w:r w:rsidRPr="004F13B1">
        <w:rPr>
          <w:i/>
          <w:lang w:val="en-US"/>
        </w:rPr>
        <w:t>Barbier v. Connolly</w:t>
      </w:r>
      <w:r w:rsidRPr="0077042F">
        <w:rPr>
          <w:lang w:val="en-US"/>
        </w:rPr>
        <w:t>, 113 U.S. 27, 32</w:t>
      </w:r>
      <w:r>
        <w:rPr>
          <w:lang w:val="en-US"/>
        </w:rPr>
        <w:t xml:space="preserve">; </w:t>
      </w:r>
      <w:r w:rsidRPr="00B35CD0">
        <w:rPr>
          <w:i/>
          <w:lang w:val="en-US"/>
        </w:rPr>
        <w:t>Truax v. Corrigan</w:t>
      </w:r>
      <w:r w:rsidRPr="0077042F">
        <w:rPr>
          <w:lang w:val="en-US"/>
        </w:rPr>
        <w:t>, 257 U.S. 312, 333</w:t>
      </w:r>
      <w:r>
        <w:rPr>
          <w:lang w:val="en-US"/>
        </w:rPr>
        <w:t xml:space="preserve"> = 42 S. Ct. </w:t>
      </w:r>
      <w:r w:rsidRPr="0077042F">
        <w:rPr>
          <w:lang w:val="en-US"/>
        </w:rPr>
        <w:t>124, 129</w:t>
      </w:r>
      <w:r>
        <w:rPr>
          <w:lang w:val="en-US"/>
        </w:rPr>
        <w:t xml:space="preserve"> = 66 L. Ed. </w:t>
      </w:r>
      <w:r w:rsidRPr="0077042F">
        <w:rPr>
          <w:lang w:val="en-US"/>
        </w:rPr>
        <w:t>254, 263</w:t>
      </w:r>
      <w:r>
        <w:rPr>
          <w:lang w:val="en-US"/>
        </w:rPr>
        <w:t xml:space="preserve"> = 1921 U.S. LEXIS </w:t>
      </w:r>
      <w:r w:rsidRPr="0077042F">
        <w:rPr>
          <w:lang w:val="en-US"/>
        </w:rPr>
        <w:t>1345, 35</w:t>
      </w:r>
      <w:r>
        <w:rPr>
          <w:lang w:val="en-US"/>
        </w:rPr>
        <w:t xml:space="preserve"> = 27 A.L.R. </w:t>
      </w:r>
      <w:r w:rsidRPr="0077042F">
        <w:rPr>
          <w:lang w:val="en-US"/>
        </w:rPr>
        <w:t>375 (1921)</w:t>
      </w:r>
      <w:r>
        <w:rPr>
          <w:lang w:val="en-US"/>
        </w:rPr>
        <w:t>.</w:t>
      </w:r>
    </w:p>
  </w:footnote>
  <w:footnote w:id="1547">
    <w:p w14:paraId="7395D350" w14:textId="77777777" w:rsidR="00074551" w:rsidRPr="003E7ACB" w:rsidRDefault="00074551" w:rsidP="00074551">
      <w:pPr>
        <w:pStyle w:val="Funotentext"/>
        <w:rPr>
          <w:lang w:val="en-US"/>
        </w:rPr>
      </w:pPr>
      <w:r>
        <w:rPr>
          <w:rStyle w:val="Funotenzeichen"/>
        </w:rPr>
        <w:footnoteRef/>
      </w:r>
      <w:r w:rsidRPr="003E7ACB">
        <w:rPr>
          <w:lang w:val="en-US"/>
        </w:rPr>
        <w:t xml:space="preserve"> </w:t>
      </w:r>
      <w:r>
        <w:rPr>
          <w:lang w:val="en-US"/>
        </w:rPr>
        <w:t>„</w:t>
      </w:r>
      <w:r w:rsidRPr="003E7ACB">
        <w:rPr>
          <w:lang w:val="en-US"/>
        </w:rPr>
        <w:t xml:space="preserve">The statute of Kentucky of 1789 states: If any person or persons, shall draw or endorse any bill or bills of exchange upon any person or persons, out of this state, on any person or persons, within any other of the United States, of North America, and the same being returned back unpaid, with legal protest, the drawer thereof, and all others concerned, shall pay the contents of said bill, together with legal interest from the time said bill was protested, the charges of protest, and ten pounds per cent. advance for the damages thereof; and so proportionately for greater or smaller </w:t>
      </w:r>
      <w:proofErr w:type="gramStart"/>
      <w:r w:rsidRPr="003E7ACB">
        <w:rPr>
          <w:lang w:val="en-US"/>
        </w:rPr>
        <w:t>sums.</w:t>
      </w:r>
      <w:r>
        <w:rPr>
          <w:lang w:val="en-US"/>
        </w:rPr>
        <w:t>“</w:t>
      </w:r>
      <w:proofErr w:type="gramEnd"/>
      <w:r>
        <w:rPr>
          <w:lang w:val="en-US"/>
        </w:rPr>
        <w:t xml:space="preserve">, </w:t>
      </w:r>
      <w:r w:rsidRPr="00B35CD0">
        <w:rPr>
          <w:i/>
          <w:lang w:val="en-US"/>
        </w:rPr>
        <w:t>Bank of United States v. Daniel</w:t>
      </w:r>
      <w:r w:rsidRPr="003E7ACB">
        <w:rPr>
          <w:lang w:val="en-US"/>
        </w:rPr>
        <w:t>, 37 U.S. 32, 48</w:t>
      </w:r>
      <w:r>
        <w:rPr>
          <w:lang w:val="en-US"/>
        </w:rPr>
        <w:t xml:space="preserve"> = 9 L. Ed. </w:t>
      </w:r>
      <w:r w:rsidRPr="003E7ACB">
        <w:rPr>
          <w:lang w:val="en-US"/>
        </w:rPr>
        <w:t>989, 995</w:t>
      </w:r>
      <w:r>
        <w:rPr>
          <w:lang w:val="en-US"/>
        </w:rPr>
        <w:t xml:space="preserve"> = 1838 U.S. LEXIS </w:t>
      </w:r>
      <w:r w:rsidRPr="003E7ACB">
        <w:rPr>
          <w:lang w:val="en-US"/>
        </w:rPr>
        <w:t>339, 5 (1838)</w:t>
      </w:r>
      <w:r>
        <w:rPr>
          <w:lang w:val="en-US"/>
        </w:rPr>
        <w:t>.</w:t>
      </w:r>
    </w:p>
  </w:footnote>
  <w:footnote w:id="1548">
    <w:p w14:paraId="55D89C06" w14:textId="77777777" w:rsidR="00074551" w:rsidRPr="003E7ACB" w:rsidRDefault="00074551" w:rsidP="00074551">
      <w:pPr>
        <w:pStyle w:val="Funotentext"/>
        <w:rPr>
          <w:lang w:val="en-US"/>
        </w:rPr>
      </w:pPr>
      <w:r>
        <w:rPr>
          <w:rStyle w:val="Funotenzeichen"/>
        </w:rPr>
        <w:footnoteRef/>
      </w:r>
      <w:r w:rsidRPr="003E7ACB">
        <w:rPr>
          <w:lang w:val="en-US"/>
        </w:rPr>
        <w:t xml:space="preserve"> </w:t>
      </w:r>
      <w:r w:rsidRPr="00B35CD0">
        <w:rPr>
          <w:i/>
          <w:lang w:val="en-US"/>
        </w:rPr>
        <w:t>Bank of United States v. Daniel</w:t>
      </w:r>
      <w:r w:rsidRPr="003E7ACB">
        <w:rPr>
          <w:lang w:val="en-US"/>
        </w:rPr>
        <w:t>, 37 U.S. 32, 48</w:t>
      </w:r>
      <w:r>
        <w:rPr>
          <w:lang w:val="en-US"/>
        </w:rPr>
        <w:t xml:space="preserve"> = 9 L. Ed. </w:t>
      </w:r>
      <w:r w:rsidRPr="003E7ACB">
        <w:rPr>
          <w:lang w:val="en-US"/>
        </w:rPr>
        <w:t>989, 995</w:t>
      </w:r>
      <w:r>
        <w:rPr>
          <w:lang w:val="en-US"/>
        </w:rPr>
        <w:t xml:space="preserve"> = 1838 U.S. LEXIS </w:t>
      </w:r>
      <w:r w:rsidRPr="003E7ACB">
        <w:rPr>
          <w:lang w:val="en-US"/>
        </w:rPr>
        <w:t>339, 5 (1838)</w:t>
      </w:r>
      <w:r>
        <w:rPr>
          <w:lang w:val="en-US"/>
        </w:rPr>
        <w:t>.</w:t>
      </w:r>
    </w:p>
  </w:footnote>
  <w:footnote w:id="1549">
    <w:p w14:paraId="569D0F3C" w14:textId="77777777" w:rsidR="00CA46F7" w:rsidRPr="00136EB0" w:rsidRDefault="00CA46F7" w:rsidP="00CA46F7">
      <w:pPr>
        <w:pStyle w:val="Funotentext"/>
        <w:rPr>
          <w:lang w:val="en-US"/>
        </w:rPr>
      </w:pPr>
      <w:r>
        <w:rPr>
          <w:rStyle w:val="Funotenzeichen"/>
        </w:rPr>
        <w:footnoteRef/>
      </w:r>
      <w:r w:rsidRPr="00136EB0">
        <w:rPr>
          <w:lang w:val="en-US"/>
        </w:rPr>
        <w:t xml:space="preserve"> </w:t>
      </w:r>
      <w:r w:rsidRPr="00B35CD0">
        <w:rPr>
          <w:i/>
          <w:lang w:val="en-US"/>
        </w:rPr>
        <w:t>Bank of United States v. Daniel</w:t>
      </w:r>
      <w:r w:rsidRPr="00136EB0">
        <w:rPr>
          <w:lang w:val="en-US"/>
        </w:rPr>
        <w:t>, 37 U.S. 32, 53</w:t>
      </w:r>
      <w:r>
        <w:rPr>
          <w:lang w:val="en-US"/>
        </w:rPr>
        <w:t xml:space="preserve"> = 9 L. Ed. </w:t>
      </w:r>
      <w:r w:rsidRPr="00136EB0">
        <w:rPr>
          <w:lang w:val="en-US"/>
        </w:rPr>
        <w:t>989, 997</w:t>
      </w:r>
      <w:r>
        <w:rPr>
          <w:lang w:val="en-US"/>
        </w:rPr>
        <w:t xml:space="preserve"> = 1838 U.S. LEXIS </w:t>
      </w:r>
      <w:r w:rsidRPr="00136EB0">
        <w:rPr>
          <w:lang w:val="en-US"/>
        </w:rPr>
        <w:t>339, 49 (1838)</w:t>
      </w:r>
      <w:r>
        <w:rPr>
          <w:lang w:val="en-US"/>
        </w:rPr>
        <w:t>.</w:t>
      </w:r>
    </w:p>
  </w:footnote>
  <w:footnote w:id="1550">
    <w:p w14:paraId="2EB11A2A" w14:textId="77777777" w:rsidR="00074551" w:rsidRPr="00E96CC7" w:rsidRDefault="00074551" w:rsidP="00074551">
      <w:pPr>
        <w:pStyle w:val="Funotentext"/>
        <w:rPr>
          <w:lang w:val="en-US"/>
        </w:rPr>
      </w:pPr>
      <w:r>
        <w:rPr>
          <w:rStyle w:val="Funotenzeichen"/>
        </w:rPr>
        <w:footnoteRef/>
      </w:r>
      <w:r w:rsidRPr="00E96CC7">
        <w:rPr>
          <w:lang w:val="en-US"/>
        </w:rPr>
        <w:t xml:space="preserve"> </w:t>
      </w:r>
      <w:r w:rsidRPr="00B45592">
        <w:rPr>
          <w:i/>
          <w:lang w:val="en-US"/>
        </w:rPr>
        <w:t>Lyon v. Richmond</w:t>
      </w:r>
      <w:r w:rsidRPr="00E96CC7">
        <w:rPr>
          <w:lang w:val="en-US"/>
        </w:rPr>
        <w:t xml:space="preserve">, 2 John. Chan. </w:t>
      </w:r>
      <w:proofErr w:type="spellStart"/>
      <w:r w:rsidRPr="00E96CC7">
        <w:rPr>
          <w:lang w:val="en-US"/>
        </w:rPr>
        <w:t>REp.</w:t>
      </w:r>
      <w:proofErr w:type="spellEnd"/>
      <w:r w:rsidRPr="00E96CC7">
        <w:rPr>
          <w:lang w:val="en-US"/>
        </w:rPr>
        <w:t xml:space="preserve"> 60</w:t>
      </w:r>
      <w:r>
        <w:rPr>
          <w:lang w:val="en-US"/>
        </w:rPr>
        <w:t xml:space="preserve">; </w:t>
      </w:r>
      <w:r w:rsidRPr="00B35CD0">
        <w:rPr>
          <w:i/>
          <w:lang w:val="en-US"/>
        </w:rPr>
        <w:t>Bank of United States v. Daniel</w:t>
      </w:r>
      <w:r w:rsidRPr="00E96CC7">
        <w:rPr>
          <w:lang w:val="en-US"/>
        </w:rPr>
        <w:t>, 37 U.S. 32, 48</w:t>
      </w:r>
      <w:r>
        <w:rPr>
          <w:lang w:val="en-US"/>
        </w:rPr>
        <w:t xml:space="preserve"> = 9 L. Ed. </w:t>
      </w:r>
      <w:r w:rsidRPr="00E96CC7">
        <w:rPr>
          <w:lang w:val="en-US"/>
        </w:rPr>
        <w:t>989, 995</w:t>
      </w:r>
      <w:r>
        <w:rPr>
          <w:lang w:val="en-US"/>
        </w:rPr>
        <w:t xml:space="preserve"> = 1838 U.S. LEXIS </w:t>
      </w:r>
      <w:r w:rsidRPr="00E96CC7">
        <w:rPr>
          <w:lang w:val="en-US"/>
        </w:rPr>
        <w:t>339, 23 (1838)</w:t>
      </w:r>
      <w:r>
        <w:rPr>
          <w:lang w:val="en-US"/>
        </w:rPr>
        <w:t>.</w:t>
      </w:r>
    </w:p>
  </w:footnote>
  <w:footnote w:id="1551">
    <w:p w14:paraId="5B458483" w14:textId="77777777" w:rsidR="00074551" w:rsidRPr="00E96CC7" w:rsidRDefault="00074551" w:rsidP="00074551">
      <w:pPr>
        <w:pStyle w:val="Funotentext"/>
        <w:rPr>
          <w:lang w:val="en-US"/>
        </w:rPr>
      </w:pPr>
      <w:r>
        <w:rPr>
          <w:rStyle w:val="Funotenzeichen"/>
        </w:rPr>
        <w:footnoteRef/>
      </w:r>
      <w:r w:rsidRPr="00E96CC7">
        <w:rPr>
          <w:lang w:val="en-US"/>
        </w:rPr>
        <w:t xml:space="preserve"> </w:t>
      </w:r>
      <w:r w:rsidRPr="00B45592">
        <w:rPr>
          <w:i/>
          <w:lang w:val="en-US"/>
        </w:rPr>
        <w:t>Lyon v. Richmond</w:t>
      </w:r>
      <w:r w:rsidRPr="00E96CC7">
        <w:rPr>
          <w:lang w:val="en-US"/>
        </w:rPr>
        <w:t xml:space="preserve">, 2 John. Chan. </w:t>
      </w:r>
      <w:proofErr w:type="spellStart"/>
      <w:r w:rsidRPr="00E96CC7">
        <w:rPr>
          <w:lang w:val="en-US"/>
        </w:rPr>
        <w:t>REp.</w:t>
      </w:r>
      <w:proofErr w:type="spellEnd"/>
      <w:r w:rsidRPr="00E96CC7">
        <w:rPr>
          <w:lang w:val="en-US"/>
        </w:rPr>
        <w:t xml:space="preserve"> 60</w:t>
      </w:r>
      <w:r>
        <w:rPr>
          <w:lang w:val="en-US"/>
        </w:rPr>
        <w:t xml:space="preserve">; </w:t>
      </w:r>
      <w:r w:rsidRPr="00B35CD0">
        <w:rPr>
          <w:i/>
          <w:lang w:val="en-US"/>
        </w:rPr>
        <w:t>Bank of United States v. Daniel</w:t>
      </w:r>
      <w:r w:rsidRPr="00E96CC7">
        <w:rPr>
          <w:lang w:val="en-US"/>
        </w:rPr>
        <w:t>, 37 U.S. 32, 48</w:t>
      </w:r>
      <w:r>
        <w:rPr>
          <w:lang w:val="en-US"/>
        </w:rPr>
        <w:t xml:space="preserve"> = 9 L. Ed. </w:t>
      </w:r>
      <w:r w:rsidRPr="00E96CC7">
        <w:rPr>
          <w:lang w:val="en-US"/>
        </w:rPr>
        <w:t>989, 995</w:t>
      </w:r>
      <w:r>
        <w:rPr>
          <w:lang w:val="en-US"/>
        </w:rPr>
        <w:t xml:space="preserve"> = 1838 U.S. LEXIS </w:t>
      </w:r>
      <w:r w:rsidRPr="00E96CC7">
        <w:rPr>
          <w:lang w:val="en-US"/>
        </w:rPr>
        <w:t>339, 23 (1838)</w:t>
      </w:r>
      <w:r>
        <w:rPr>
          <w:lang w:val="en-US"/>
        </w:rPr>
        <w:t>.</w:t>
      </w:r>
    </w:p>
  </w:footnote>
  <w:footnote w:id="1552">
    <w:p w14:paraId="14F98BD4" w14:textId="77777777" w:rsidR="00074551" w:rsidRPr="00C16D08" w:rsidRDefault="00074551" w:rsidP="00074551">
      <w:pPr>
        <w:pStyle w:val="Funotentext"/>
        <w:rPr>
          <w:lang w:val="en-US"/>
        </w:rPr>
      </w:pPr>
      <w:r>
        <w:rPr>
          <w:rStyle w:val="Funotenzeichen"/>
        </w:rPr>
        <w:footnoteRef/>
      </w:r>
      <w:r w:rsidRPr="00C16D08">
        <w:rPr>
          <w:lang w:val="en-US"/>
        </w:rPr>
        <w:t xml:space="preserve"> </w:t>
      </w:r>
      <w:r w:rsidRPr="00B35CD0">
        <w:rPr>
          <w:i/>
          <w:lang w:val="en-US"/>
        </w:rPr>
        <w:t>Anderson v. Dunn</w:t>
      </w:r>
      <w:r w:rsidRPr="00C16D08">
        <w:rPr>
          <w:lang w:val="en-US"/>
        </w:rPr>
        <w:t>, 19 U.S. 204, 224</w:t>
      </w:r>
      <w:r>
        <w:rPr>
          <w:lang w:val="en-US"/>
        </w:rPr>
        <w:t xml:space="preserve"> = 5 L. Ed. </w:t>
      </w:r>
      <w:r w:rsidRPr="00C16D08">
        <w:rPr>
          <w:lang w:val="en-US"/>
        </w:rPr>
        <w:t>242, 247</w:t>
      </w:r>
      <w:r w:rsidRPr="00EC5BEB">
        <w:rPr>
          <w:lang w:val="en-US"/>
        </w:rPr>
        <w:t xml:space="preserve"> = 1821 U.S. LEXIS </w:t>
      </w:r>
      <w:r w:rsidRPr="00C16D08">
        <w:rPr>
          <w:lang w:val="en-US"/>
        </w:rPr>
        <w:t>358, 12</w:t>
      </w:r>
      <w:r w:rsidRPr="00EC5BEB">
        <w:rPr>
          <w:lang w:val="en-US"/>
        </w:rPr>
        <w:t xml:space="preserve"> = 6 Wheat. </w:t>
      </w:r>
      <w:r w:rsidRPr="00C16D08">
        <w:rPr>
          <w:lang w:val="en-US"/>
        </w:rPr>
        <w:t>204 (1821)</w:t>
      </w:r>
      <w:r>
        <w:rPr>
          <w:lang w:val="en-US"/>
        </w:rPr>
        <w:t>.</w:t>
      </w:r>
    </w:p>
  </w:footnote>
  <w:footnote w:id="1553">
    <w:p w14:paraId="44760F9E" w14:textId="77777777" w:rsidR="00074551" w:rsidRPr="00ED6BFB" w:rsidRDefault="00074551" w:rsidP="00074551">
      <w:pPr>
        <w:pStyle w:val="Funotentext"/>
        <w:rPr>
          <w:lang w:val="en-US"/>
        </w:rPr>
      </w:pPr>
      <w:r>
        <w:rPr>
          <w:rStyle w:val="Funotenzeichen"/>
        </w:rPr>
        <w:footnoteRef/>
      </w:r>
      <w:r w:rsidRPr="00ED6BFB">
        <w:rPr>
          <w:lang w:val="en-US"/>
        </w:rPr>
        <w:t xml:space="preserve"> </w:t>
      </w:r>
      <w:r w:rsidRPr="00B35CD0">
        <w:rPr>
          <w:i/>
          <w:lang w:val="en-US"/>
        </w:rPr>
        <w:t>Anderson v. Dunn</w:t>
      </w:r>
      <w:r w:rsidRPr="00ED6BFB">
        <w:rPr>
          <w:lang w:val="en-US"/>
        </w:rPr>
        <w:t>, 19 U.S. 204, 227</w:t>
      </w:r>
      <w:r>
        <w:rPr>
          <w:lang w:val="en-US"/>
        </w:rPr>
        <w:t xml:space="preserve"> = 5 L. Ed. </w:t>
      </w:r>
      <w:r w:rsidRPr="00ED6BFB">
        <w:rPr>
          <w:lang w:val="en-US"/>
        </w:rPr>
        <w:t>242, 248</w:t>
      </w:r>
      <w:r w:rsidRPr="00EC5BEB">
        <w:rPr>
          <w:lang w:val="en-US"/>
        </w:rPr>
        <w:t xml:space="preserve"> = 1821 U.S. LEXIS </w:t>
      </w:r>
      <w:r w:rsidRPr="00ED6BFB">
        <w:rPr>
          <w:lang w:val="en-US"/>
        </w:rPr>
        <w:t>358, 28</w:t>
      </w:r>
      <w:r w:rsidRPr="00EC5BEB">
        <w:rPr>
          <w:lang w:val="en-US"/>
        </w:rPr>
        <w:t xml:space="preserve"> = 6 Wheat. </w:t>
      </w:r>
      <w:r w:rsidRPr="00ED6BFB">
        <w:rPr>
          <w:lang w:val="en-US"/>
        </w:rPr>
        <w:t>204 (1821)</w:t>
      </w:r>
      <w:r>
        <w:rPr>
          <w:lang w:val="en-US"/>
        </w:rPr>
        <w:t>.</w:t>
      </w:r>
    </w:p>
  </w:footnote>
  <w:footnote w:id="1554">
    <w:p w14:paraId="004204CE" w14:textId="77777777" w:rsidR="00074551" w:rsidRPr="00ED6BFB" w:rsidRDefault="00074551" w:rsidP="00074551">
      <w:pPr>
        <w:pStyle w:val="Funotentext"/>
        <w:rPr>
          <w:lang w:val="en-US"/>
        </w:rPr>
      </w:pPr>
      <w:r>
        <w:rPr>
          <w:rStyle w:val="Funotenzeichen"/>
        </w:rPr>
        <w:footnoteRef/>
      </w:r>
      <w:r w:rsidRPr="00ED6BFB">
        <w:rPr>
          <w:lang w:val="en-US"/>
        </w:rPr>
        <w:t xml:space="preserve"> </w:t>
      </w:r>
      <w:r w:rsidRPr="00B35CD0">
        <w:rPr>
          <w:i/>
          <w:lang w:val="en-US"/>
        </w:rPr>
        <w:t>Anderson v. Dunn</w:t>
      </w:r>
      <w:r w:rsidRPr="000E759C">
        <w:rPr>
          <w:lang w:val="en-US"/>
        </w:rPr>
        <w:t>, 19 U.S. 204, 227</w:t>
      </w:r>
      <w:r>
        <w:rPr>
          <w:lang w:val="en-US"/>
        </w:rPr>
        <w:t xml:space="preserve"> = 5 L. Ed. </w:t>
      </w:r>
      <w:r w:rsidRPr="000E759C">
        <w:rPr>
          <w:lang w:val="en-US"/>
        </w:rPr>
        <w:t>242, 248</w:t>
      </w:r>
      <w:r w:rsidRPr="00EC5BEB">
        <w:rPr>
          <w:lang w:val="en-US"/>
        </w:rPr>
        <w:t xml:space="preserve"> = 1821 U.S. LEXIS </w:t>
      </w:r>
      <w:r w:rsidRPr="000E759C">
        <w:rPr>
          <w:lang w:val="en-US"/>
        </w:rPr>
        <w:t>358, 28</w:t>
      </w:r>
      <w:r>
        <w:rPr>
          <w:lang w:val="en-US"/>
        </w:rPr>
        <w:t>–</w:t>
      </w:r>
      <w:r w:rsidRPr="000E759C">
        <w:rPr>
          <w:lang w:val="en-US"/>
        </w:rPr>
        <w:t>29</w:t>
      </w:r>
      <w:r w:rsidRPr="00EC5BEB">
        <w:rPr>
          <w:lang w:val="en-US"/>
        </w:rPr>
        <w:t xml:space="preserve"> = 6 Wheat. </w:t>
      </w:r>
      <w:r w:rsidRPr="0011178D">
        <w:rPr>
          <w:lang w:val="en-US"/>
        </w:rPr>
        <w:t>204 (1821).</w:t>
      </w:r>
    </w:p>
  </w:footnote>
  <w:footnote w:id="1555">
    <w:p w14:paraId="7FBF1598" w14:textId="77777777" w:rsidR="00074551" w:rsidRPr="00ED6BFB" w:rsidRDefault="00074551" w:rsidP="00074551">
      <w:pPr>
        <w:pStyle w:val="Funotentext"/>
        <w:rPr>
          <w:lang w:val="en-US"/>
        </w:rPr>
      </w:pPr>
      <w:r>
        <w:rPr>
          <w:rStyle w:val="Funotenzeichen"/>
        </w:rPr>
        <w:footnoteRef/>
      </w:r>
      <w:r w:rsidRPr="00ED6BFB">
        <w:rPr>
          <w:lang w:val="en-US"/>
        </w:rPr>
        <w:t xml:space="preserve"> </w:t>
      </w:r>
      <w:r w:rsidRPr="00B35CD0">
        <w:rPr>
          <w:i/>
          <w:lang w:val="en-US"/>
        </w:rPr>
        <w:t>Anderson v. Dunn</w:t>
      </w:r>
      <w:r w:rsidRPr="000E759C">
        <w:rPr>
          <w:lang w:val="en-US"/>
        </w:rPr>
        <w:t>, 19 U.S. 204, 227</w:t>
      </w:r>
      <w:r>
        <w:rPr>
          <w:lang w:val="en-US"/>
        </w:rPr>
        <w:t xml:space="preserve"> = 5 L. Ed. </w:t>
      </w:r>
      <w:r w:rsidRPr="000E759C">
        <w:rPr>
          <w:lang w:val="en-US"/>
        </w:rPr>
        <w:t>242, 248</w:t>
      </w:r>
      <w:r w:rsidRPr="00EC5BEB">
        <w:rPr>
          <w:lang w:val="en-US"/>
        </w:rPr>
        <w:t xml:space="preserve"> = 1821 U.S. LEXIS </w:t>
      </w:r>
      <w:r w:rsidRPr="000E759C">
        <w:rPr>
          <w:lang w:val="en-US"/>
        </w:rPr>
        <w:t>358, 28</w:t>
      </w:r>
      <w:r>
        <w:rPr>
          <w:lang w:val="en-US"/>
        </w:rPr>
        <w:t>–</w:t>
      </w:r>
      <w:r w:rsidRPr="000E759C">
        <w:rPr>
          <w:lang w:val="en-US"/>
        </w:rPr>
        <w:t>29</w:t>
      </w:r>
      <w:r w:rsidRPr="00EC5BEB">
        <w:rPr>
          <w:lang w:val="en-US"/>
        </w:rPr>
        <w:t xml:space="preserve"> = 6 Wheat. </w:t>
      </w:r>
      <w:r w:rsidRPr="0011178D">
        <w:rPr>
          <w:lang w:val="en-US"/>
        </w:rPr>
        <w:t>204 (1821)</w:t>
      </w:r>
      <w:r>
        <w:rPr>
          <w:lang w:val="en-US"/>
        </w:rPr>
        <w:t>.</w:t>
      </w:r>
    </w:p>
  </w:footnote>
  <w:footnote w:id="1556">
    <w:p w14:paraId="60AC625A" w14:textId="77777777" w:rsidR="00074551" w:rsidRPr="005A3CC9" w:rsidRDefault="00074551" w:rsidP="00074551">
      <w:pPr>
        <w:pStyle w:val="Funotentext"/>
        <w:rPr>
          <w:lang w:val="en-US"/>
        </w:rPr>
      </w:pPr>
      <w:r>
        <w:rPr>
          <w:rStyle w:val="Funotenzeichen"/>
        </w:rPr>
        <w:footnoteRef/>
      </w:r>
      <w:r w:rsidRPr="005A3CC9">
        <w:rPr>
          <w:lang w:val="en-US"/>
        </w:rPr>
        <w:t xml:space="preserve"> </w:t>
      </w:r>
      <w:r w:rsidRPr="00B35CD0">
        <w:rPr>
          <w:i/>
          <w:lang w:val="en-US"/>
        </w:rPr>
        <w:t>Anderson v. Dunn</w:t>
      </w:r>
      <w:r w:rsidRPr="000E759C">
        <w:rPr>
          <w:lang w:val="en-US"/>
        </w:rPr>
        <w:t>, 19 U.S. 204, 227</w:t>
      </w:r>
      <w:r>
        <w:rPr>
          <w:lang w:val="en-US"/>
        </w:rPr>
        <w:t xml:space="preserve"> = 5 L. Ed. </w:t>
      </w:r>
      <w:r w:rsidRPr="000E759C">
        <w:rPr>
          <w:lang w:val="en-US"/>
        </w:rPr>
        <w:t>242, 248</w:t>
      </w:r>
      <w:r w:rsidRPr="00EC5BEB">
        <w:rPr>
          <w:lang w:val="en-US"/>
        </w:rPr>
        <w:t xml:space="preserve"> = 1821 U.S. LEXIS </w:t>
      </w:r>
      <w:r w:rsidRPr="000E759C">
        <w:rPr>
          <w:lang w:val="en-US"/>
        </w:rPr>
        <w:t>358, 28</w:t>
      </w:r>
      <w:r>
        <w:rPr>
          <w:lang w:val="en-US"/>
        </w:rPr>
        <w:t>–</w:t>
      </w:r>
      <w:r w:rsidRPr="000E759C">
        <w:rPr>
          <w:lang w:val="en-US"/>
        </w:rPr>
        <w:t>29</w:t>
      </w:r>
      <w:r w:rsidRPr="00EC5BEB">
        <w:rPr>
          <w:lang w:val="en-US"/>
        </w:rPr>
        <w:t xml:space="preserve"> = 6 Wheat. </w:t>
      </w:r>
      <w:r w:rsidRPr="0011178D">
        <w:rPr>
          <w:lang w:val="en-US"/>
        </w:rPr>
        <w:t>204 (1821)</w:t>
      </w:r>
      <w:r>
        <w:rPr>
          <w:lang w:val="en-US"/>
        </w:rPr>
        <w:t>.</w:t>
      </w:r>
    </w:p>
  </w:footnote>
  <w:footnote w:id="1557">
    <w:p w14:paraId="504601C4" w14:textId="77777777" w:rsidR="00074551" w:rsidRPr="005A3CC9" w:rsidRDefault="00074551" w:rsidP="00074551">
      <w:pPr>
        <w:pStyle w:val="Funotentext"/>
        <w:rPr>
          <w:lang w:val="en-US"/>
        </w:rPr>
      </w:pPr>
      <w:r>
        <w:rPr>
          <w:rStyle w:val="Funotenzeichen"/>
        </w:rPr>
        <w:footnoteRef/>
      </w:r>
      <w:r w:rsidRPr="005A3CC9">
        <w:rPr>
          <w:lang w:val="en-US"/>
        </w:rPr>
        <w:t xml:space="preserve"> </w:t>
      </w:r>
      <w:r w:rsidRPr="00B35CD0">
        <w:rPr>
          <w:i/>
          <w:lang w:val="en-US"/>
        </w:rPr>
        <w:t>Anderson v. Dunn</w:t>
      </w:r>
      <w:r w:rsidRPr="000E759C">
        <w:rPr>
          <w:lang w:val="en-US"/>
        </w:rPr>
        <w:t>, 19 U.S. 204, 227</w:t>
      </w:r>
      <w:r>
        <w:rPr>
          <w:lang w:val="en-US"/>
        </w:rPr>
        <w:t xml:space="preserve"> = 5 L. Ed. </w:t>
      </w:r>
      <w:r w:rsidRPr="000E759C">
        <w:rPr>
          <w:lang w:val="en-US"/>
        </w:rPr>
        <w:t>242, 248</w:t>
      </w:r>
      <w:r w:rsidRPr="00EC5BEB">
        <w:rPr>
          <w:lang w:val="en-US"/>
        </w:rPr>
        <w:t xml:space="preserve"> = 1821 U.S. LEXIS </w:t>
      </w:r>
      <w:r w:rsidRPr="000E759C">
        <w:rPr>
          <w:lang w:val="en-US"/>
        </w:rPr>
        <w:t>358, 28</w:t>
      </w:r>
      <w:r>
        <w:rPr>
          <w:lang w:val="en-US"/>
        </w:rPr>
        <w:t>–</w:t>
      </w:r>
      <w:r w:rsidRPr="000E759C">
        <w:rPr>
          <w:lang w:val="en-US"/>
        </w:rPr>
        <w:t>29</w:t>
      </w:r>
      <w:r w:rsidRPr="00EC5BEB">
        <w:rPr>
          <w:lang w:val="en-US"/>
        </w:rPr>
        <w:t xml:space="preserve"> = 6 Wheat. </w:t>
      </w:r>
      <w:r w:rsidRPr="0011178D">
        <w:rPr>
          <w:lang w:val="en-US"/>
        </w:rPr>
        <w:t>204 (1821)</w:t>
      </w:r>
      <w:r>
        <w:rPr>
          <w:lang w:val="en-US"/>
        </w:rPr>
        <w:t>.</w:t>
      </w:r>
    </w:p>
  </w:footnote>
  <w:footnote w:id="1558">
    <w:p w14:paraId="28BEABB3" w14:textId="77777777" w:rsidR="00074551" w:rsidRPr="005A3CC9" w:rsidRDefault="00074551" w:rsidP="00074551">
      <w:pPr>
        <w:pStyle w:val="Funotentext"/>
        <w:rPr>
          <w:lang w:val="en-US"/>
        </w:rPr>
      </w:pPr>
      <w:r>
        <w:rPr>
          <w:rStyle w:val="Funotenzeichen"/>
        </w:rPr>
        <w:footnoteRef/>
      </w:r>
      <w:r w:rsidRPr="005A3CC9">
        <w:rPr>
          <w:lang w:val="en-US"/>
        </w:rPr>
        <w:t xml:space="preserve"> </w:t>
      </w:r>
      <w:r w:rsidRPr="00B35CD0">
        <w:rPr>
          <w:i/>
          <w:lang w:val="en-US"/>
        </w:rPr>
        <w:t>Anderson v. Dunn</w:t>
      </w:r>
      <w:r w:rsidRPr="000E759C">
        <w:rPr>
          <w:lang w:val="en-US"/>
        </w:rPr>
        <w:t>, 19 U.S. 204, 227</w:t>
      </w:r>
      <w:r>
        <w:rPr>
          <w:lang w:val="en-US"/>
        </w:rPr>
        <w:t xml:space="preserve"> = 5 L. Ed. </w:t>
      </w:r>
      <w:r w:rsidRPr="000E759C">
        <w:rPr>
          <w:lang w:val="en-US"/>
        </w:rPr>
        <w:t>242, 248</w:t>
      </w:r>
      <w:r w:rsidRPr="00EC5BEB">
        <w:rPr>
          <w:lang w:val="en-US"/>
        </w:rPr>
        <w:t xml:space="preserve"> = 1821 U.S. LEXIS </w:t>
      </w:r>
      <w:r w:rsidRPr="000E759C">
        <w:rPr>
          <w:lang w:val="en-US"/>
        </w:rPr>
        <w:t>358, 28</w:t>
      </w:r>
      <w:r>
        <w:rPr>
          <w:lang w:val="en-US"/>
        </w:rPr>
        <w:t>–</w:t>
      </w:r>
      <w:r w:rsidRPr="000E759C">
        <w:rPr>
          <w:lang w:val="en-US"/>
        </w:rPr>
        <w:t>29</w:t>
      </w:r>
      <w:r w:rsidRPr="00EC5BEB">
        <w:rPr>
          <w:lang w:val="en-US"/>
        </w:rPr>
        <w:t xml:space="preserve"> = 6 Wheat. </w:t>
      </w:r>
      <w:r w:rsidRPr="0011178D">
        <w:rPr>
          <w:lang w:val="en-US"/>
        </w:rPr>
        <w:t>204 (1821)</w:t>
      </w:r>
      <w:r>
        <w:rPr>
          <w:lang w:val="en-US"/>
        </w:rPr>
        <w:t>.</w:t>
      </w:r>
    </w:p>
  </w:footnote>
  <w:footnote w:id="1559">
    <w:p w14:paraId="35CDB04B"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271360">
        <w:rPr>
          <w:i/>
          <w:lang w:val="en-IE"/>
        </w:rPr>
        <w:t>Anderson v. Dunn</w:t>
      </w:r>
      <w:r w:rsidRPr="00271360">
        <w:rPr>
          <w:lang w:val="en-IE"/>
        </w:rPr>
        <w:t>, 19 U.S. 204, 226</w:t>
      </w:r>
      <w:r>
        <w:rPr>
          <w:lang w:val="en-IE"/>
        </w:rPr>
        <w:t xml:space="preserve"> =</w:t>
      </w:r>
      <w:r w:rsidRPr="00271360">
        <w:rPr>
          <w:lang w:val="en-IE"/>
        </w:rPr>
        <w:t xml:space="preserve"> 5 L. Ed. 242, 247</w:t>
      </w:r>
      <w:r>
        <w:rPr>
          <w:lang w:val="en-IE"/>
        </w:rPr>
        <w:t xml:space="preserve"> =</w:t>
      </w:r>
      <w:r w:rsidRPr="00271360">
        <w:rPr>
          <w:lang w:val="en-IE"/>
        </w:rPr>
        <w:t xml:space="preserve"> 1821 U.S. LEXIS 358, 28</w:t>
      </w:r>
      <w:r>
        <w:rPr>
          <w:lang w:val="en-IE"/>
        </w:rPr>
        <w:t xml:space="preserve"> =</w:t>
      </w:r>
      <w:r w:rsidRPr="00271360">
        <w:rPr>
          <w:lang w:val="en-IE"/>
        </w:rPr>
        <w:t xml:space="preserve"> 6 Wheat. 204 (1821)</w:t>
      </w:r>
      <w:r>
        <w:rPr>
          <w:lang w:val="en-IE"/>
        </w:rPr>
        <w:t>.</w:t>
      </w:r>
    </w:p>
  </w:footnote>
  <w:footnote w:id="1560">
    <w:p w14:paraId="2EF104EA" w14:textId="77777777" w:rsidR="00074551" w:rsidRPr="00ED6BFB" w:rsidRDefault="00074551" w:rsidP="00074551">
      <w:pPr>
        <w:pStyle w:val="Funotentext"/>
        <w:rPr>
          <w:lang w:val="en-US"/>
        </w:rPr>
      </w:pPr>
      <w:r>
        <w:rPr>
          <w:rStyle w:val="Funotenzeichen"/>
        </w:rPr>
        <w:footnoteRef/>
      </w:r>
      <w:r w:rsidRPr="0095348B">
        <w:rPr>
          <w:lang w:val="en-US"/>
        </w:rPr>
        <w:t xml:space="preserve"> </w:t>
      </w:r>
      <w:r w:rsidRPr="00B35CD0">
        <w:rPr>
          <w:i/>
          <w:lang w:val="en-US"/>
        </w:rPr>
        <w:t>Anderson v. Dunn</w:t>
      </w:r>
      <w:r w:rsidRPr="0095348B">
        <w:rPr>
          <w:lang w:val="en-US"/>
        </w:rPr>
        <w:t>, 19 U.S. 204, 227</w:t>
      </w:r>
      <w:r>
        <w:rPr>
          <w:lang w:val="en-US"/>
        </w:rPr>
        <w:t xml:space="preserve"> = 5 L. Ed. </w:t>
      </w:r>
      <w:r w:rsidRPr="0095348B">
        <w:rPr>
          <w:lang w:val="en-US"/>
        </w:rPr>
        <w:t>242, 248</w:t>
      </w:r>
      <w:r w:rsidRPr="00EC5BEB">
        <w:rPr>
          <w:lang w:val="en-US"/>
        </w:rPr>
        <w:t xml:space="preserve"> = 1821 U.S. LEXIS </w:t>
      </w:r>
      <w:r w:rsidRPr="0095348B">
        <w:rPr>
          <w:lang w:val="en-US"/>
        </w:rPr>
        <w:t>358, 28</w:t>
      </w:r>
      <w:r w:rsidRPr="00EC5BEB">
        <w:rPr>
          <w:lang w:val="en-US"/>
        </w:rPr>
        <w:t xml:space="preserve"> = 6 Wheat. </w:t>
      </w:r>
      <w:r w:rsidRPr="00ED6BFB">
        <w:rPr>
          <w:lang w:val="en-US"/>
        </w:rPr>
        <w:t>204 (1821).</w:t>
      </w:r>
    </w:p>
  </w:footnote>
  <w:footnote w:id="1561">
    <w:p w14:paraId="6F564C69" w14:textId="77777777" w:rsidR="00074551" w:rsidRPr="00537141" w:rsidRDefault="00074551" w:rsidP="00074551">
      <w:pPr>
        <w:pStyle w:val="Funotentext"/>
        <w:rPr>
          <w:lang w:val="en-US"/>
        </w:rPr>
      </w:pPr>
      <w:r>
        <w:rPr>
          <w:rStyle w:val="Funotenzeichen"/>
        </w:rPr>
        <w:footnoteRef/>
      </w:r>
      <w:r w:rsidRPr="00537141">
        <w:rPr>
          <w:lang w:val="en-US"/>
        </w:rPr>
        <w:t xml:space="preserve"> </w:t>
      </w:r>
      <w:r>
        <w:rPr>
          <w:lang w:val="en-US"/>
        </w:rPr>
        <w:t>„</w:t>
      </w:r>
      <w:r w:rsidRPr="00537141">
        <w:rPr>
          <w:lang w:val="en-US"/>
        </w:rPr>
        <w:t xml:space="preserve">An act for the gradual abolition of </w:t>
      </w:r>
      <w:proofErr w:type="gramStart"/>
      <w:r w:rsidRPr="00537141">
        <w:rPr>
          <w:lang w:val="en-US"/>
        </w:rPr>
        <w:t>slavery</w:t>
      </w:r>
      <w:r>
        <w:rPr>
          <w:lang w:val="en-US"/>
        </w:rPr>
        <w:t>“</w:t>
      </w:r>
      <w:proofErr w:type="gramEnd"/>
      <w:r>
        <w:rPr>
          <w:lang w:val="en-US"/>
        </w:rPr>
        <w:t xml:space="preserve">, </w:t>
      </w:r>
      <w:r w:rsidRPr="00B35CD0">
        <w:rPr>
          <w:i/>
          <w:lang w:val="en-US"/>
        </w:rPr>
        <w:t>Prigg v. Pennsylvania</w:t>
      </w:r>
      <w:r w:rsidRPr="00537141">
        <w:rPr>
          <w:lang w:val="en-US"/>
        </w:rPr>
        <w:t>, 41 U.S. 539, 608</w:t>
      </w:r>
      <w:r w:rsidRPr="00EC5BEB">
        <w:rPr>
          <w:lang w:val="en-US"/>
        </w:rPr>
        <w:t xml:space="preserve"> = 10 L. Ed. </w:t>
      </w:r>
      <w:r w:rsidRPr="00537141">
        <w:rPr>
          <w:lang w:val="en-US"/>
        </w:rPr>
        <w:t>1060, 1086</w:t>
      </w:r>
      <w:r>
        <w:rPr>
          <w:lang w:val="en-US"/>
        </w:rPr>
        <w:t xml:space="preserve"> = 1842 U.S. LEXIS </w:t>
      </w:r>
      <w:r w:rsidRPr="00537141">
        <w:rPr>
          <w:lang w:val="en-US"/>
        </w:rPr>
        <w:t>387, 1 (1842)</w:t>
      </w:r>
      <w:r>
        <w:rPr>
          <w:lang w:val="en-US"/>
        </w:rPr>
        <w:t>.</w:t>
      </w:r>
    </w:p>
  </w:footnote>
  <w:footnote w:id="1562">
    <w:p w14:paraId="5CBE5C51" w14:textId="77777777" w:rsidR="00074551" w:rsidRPr="00473D03" w:rsidRDefault="00074551" w:rsidP="00074551">
      <w:pPr>
        <w:pStyle w:val="Funotentext"/>
        <w:rPr>
          <w:lang w:val="en-US"/>
        </w:rPr>
      </w:pPr>
      <w:r>
        <w:rPr>
          <w:rStyle w:val="Funotenzeichen"/>
        </w:rPr>
        <w:footnoteRef/>
      </w:r>
      <w:r w:rsidRPr="00473D03">
        <w:rPr>
          <w:lang w:val="en-US"/>
        </w:rPr>
        <w:t xml:space="preserve"> </w:t>
      </w:r>
      <w:r w:rsidRPr="00B35CD0">
        <w:rPr>
          <w:i/>
          <w:lang w:val="en-US"/>
        </w:rPr>
        <w:t>Prigg v. Pennsylvania</w:t>
      </w:r>
      <w:r w:rsidRPr="003742A4">
        <w:rPr>
          <w:lang w:val="en-US"/>
        </w:rPr>
        <w:t>, 41 U.S. 539, 608</w:t>
      </w:r>
      <w:r w:rsidRPr="00EC5BEB">
        <w:rPr>
          <w:lang w:val="en-US"/>
        </w:rPr>
        <w:t xml:space="preserve"> = 10 L. Ed. </w:t>
      </w:r>
      <w:r w:rsidRPr="003742A4">
        <w:rPr>
          <w:lang w:val="en-US"/>
        </w:rPr>
        <w:t>1060, 1086</w:t>
      </w:r>
      <w:r>
        <w:rPr>
          <w:lang w:val="en-US"/>
        </w:rPr>
        <w:t xml:space="preserve"> = 1842 U.S. LEXIS </w:t>
      </w:r>
      <w:r w:rsidRPr="003742A4">
        <w:rPr>
          <w:lang w:val="en-US"/>
        </w:rPr>
        <w:t>387, 31 (1842)</w:t>
      </w:r>
      <w:r>
        <w:rPr>
          <w:lang w:val="en-US"/>
        </w:rPr>
        <w:t>.</w:t>
      </w:r>
    </w:p>
  </w:footnote>
  <w:footnote w:id="1563">
    <w:p w14:paraId="0DE87927" w14:textId="77777777" w:rsidR="00074551" w:rsidRPr="00473D03" w:rsidRDefault="00074551" w:rsidP="00074551">
      <w:pPr>
        <w:pStyle w:val="Funotentext"/>
        <w:rPr>
          <w:lang w:val="en-US"/>
        </w:rPr>
      </w:pPr>
      <w:r>
        <w:rPr>
          <w:rStyle w:val="Funotenzeichen"/>
        </w:rPr>
        <w:footnoteRef/>
      </w:r>
      <w:r w:rsidRPr="00473D03">
        <w:rPr>
          <w:lang w:val="en-US"/>
        </w:rPr>
        <w:t xml:space="preserve"> </w:t>
      </w:r>
      <w:r w:rsidRPr="00B35CD0">
        <w:rPr>
          <w:i/>
          <w:lang w:val="en-US"/>
        </w:rPr>
        <w:t>Prigg v. Pennsylvania</w:t>
      </w:r>
      <w:r w:rsidRPr="00473D03">
        <w:rPr>
          <w:lang w:val="en-US"/>
        </w:rPr>
        <w:t>, 41 U.S. 539, 612</w:t>
      </w:r>
      <w:r w:rsidRPr="00EC5BEB">
        <w:rPr>
          <w:lang w:val="en-US"/>
        </w:rPr>
        <w:t xml:space="preserve"> = 10 L. Ed. </w:t>
      </w:r>
      <w:r w:rsidRPr="00473D03">
        <w:rPr>
          <w:lang w:val="en-US"/>
        </w:rPr>
        <w:t>1060, 1088</w:t>
      </w:r>
      <w:r>
        <w:rPr>
          <w:lang w:val="en-US"/>
        </w:rPr>
        <w:t xml:space="preserve"> = 1842 U.S. LEXIS </w:t>
      </w:r>
      <w:r w:rsidRPr="00473D03">
        <w:rPr>
          <w:lang w:val="en-US"/>
        </w:rPr>
        <w:t>387, 152 (1842)</w:t>
      </w:r>
      <w:r>
        <w:rPr>
          <w:lang w:val="en-US"/>
        </w:rPr>
        <w:t>.</w:t>
      </w:r>
    </w:p>
  </w:footnote>
  <w:footnote w:id="1564">
    <w:p w14:paraId="2A7C8BF6" w14:textId="77777777" w:rsidR="00074551" w:rsidRPr="00A129FF" w:rsidRDefault="00074551" w:rsidP="00074551">
      <w:pPr>
        <w:pStyle w:val="Funotentext"/>
        <w:rPr>
          <w:lang w:val="en-US"/>
        </w:rPr>
      </w:pPr>
      <w:r>
        <w:rPr>
          <w:rStyle w:val="Funotenzeichen"/>
        </w:rPr>
        <w:footnoteRef/>
      </w:r>
      <w:r w:rsidRPr="00A129FF">
        <w:rPr>
          <w:lang w:val="en-US"/>
        </w:rPr>
        <w:t xml:space="preserve"> </w:t>
      </w:r>
      <w:r w:rsidRPr="00B35CD0">
        <w:rPr>
          <w:i/>
          <w:lang w:val="en-US"/>
        </w:rPr>
        <w:t>Prigg v. Pennsylvania</w:t>
      </w:r>
      <w:r w:rsidRPr="00A129FF">
        <w:rPr>
          <w:lang w:val="en-US"/>
        </w:rPr>
        <w:t>, 41 U.S. 539, 608</w:t>
      </w:r>
      <w:r w:rsidRPr="00EC5BEB">
        <w:rPr>
          <w:lang w:val="en-US"/>
        </w:rPr>
        <w:t xml:space="preserve"> = 10 L. Ed. </w:t>
      </w:r>
      <w:r w:rsidRPr="00A129FF">
        <w:rPr>
          <w:lang w:val="en-US"/>
        </w:rPr>
        <w:t>1060, 1086</w:t>
      </w:r>
      <w:r>
        <w:rPr>
          <w:lang w:val="en-US"/>
        </w:rPr>
        <w:t xml:space="preserve"> = 1842 U.S. LEXIS </w:t>
      </w:r>
      <w:r w:rsidRPr="00A129FF">
        <w:rPr>
          <w:lang w:val="en-US"/>
        </w:rPr>
        <w:t>387, 71 (1842)</w:t>
      </w:r>
      <w:r>
        <w:rPr>
          <w:lang w:val="en-US"/>
        </w:rPr>
        <w:t>.</w:t>
      </w:r>
    </w:p>
  </w:footnote>
  <w:footnote w:id="1565">
    <w:p w14:paraId="07121817" w14:textId="77777777" w:rsidR="00074551" w:rsidRPr="00A129FF" w:rsidRDefault="00074551" w:rsidP="00074551">
      <w:pPr>
        <w:pStyle w:val="Funotentext"/>
        <w:rPr>
          <w:lang w:val="en-US"/>
        </w:rPr>
      </w:pPr>
      <w:r>
        <w:rPr>
          <w:rStyle w:val="Funotenzeichen"/>
        </w:rPr>
        <w:footnoteRef/>
      </w:r>
      <w:r w:rsidRPr="00A129FF">
        <w:rPr>
          <w:lang w:val="en-US"/>
        </w:rPr>
        <w:t xml:space="preserve"> </w:t>
      </w:r>
      <w:r w:rsidRPr="00B35CD0">
        <w:rPr>
          <w:i/>
          <w:lang w:val="en-US"/>
        </w:rPr>
        <w:t>Prigg v. Pennsylvania</w:t>
      </w:r>
      <w:r w:rsidRPr="00A129FF">
        <w:rPr>
          <w:lang w:val="en-US"/>
        </w:rPr>
        <w:t>, 41 U.S. 539, 608</w:t>
      </w:r>
      <w:r w:rsidRPr="00EC5BEB">
        <w:rPr>
          <w:lang w:val="en-US"/>
        </w:rPr>
        <w:t xml:space="preserve"> = 10 L. Ed. </w:t>
      </w:r>
      <w:r w:rsidRPr="00A129FF">
        <w:rPr>
          <w:lang w:val="en-US"/>
        </w:rPr>
        <w:t>1060, 1086</w:t>
      </w:r>
      <w:r>
        <w:rPr>
          <w:lang w:val="en-US"/>
        </w:rPr>
        <w:t xml:space="preserve"> = 1842 U.S. LEXIS </w:t>
      </w:r>
      <w:r w:rsidRPr="00A129FF">
        <w:rPr>
          <w:lang w:val="en-US"/>
        </w:rPr>
        <w:t>387, 71 (1842)</w:t>
      </w:r>
      <w:r>
        <w:rPr>
          <w:lang w:val="en-US"/>
        </w:rPr>
        <w:t>.</w:t>
      </w:r>
    </w:p>
  </w:footnote>
  <w:footnote w:id="1566">
    <w:p w14:paraId="5C32D4EA" w14:textId="77777777" w:rsidR="00074551" w:rsidRPr="00A129FF" w:rsidRDefault="00074551" w:rsidP="00074551">
      <w:pPr>
        <w:pStyle w:val="Funotentext"/>
        <w:rPr>
          <w:lang w:val="en-US"/>
        </w:rPr>
      </w:pPr>
      <w:r>
        <w:rPr>
          <w:rStyle w:val="Funotenzeichen"/>
        </w:rPr>
        <w:footnoteRef/>
      </w:r>
      <w:r w:rsidRPr="00A129FF">
        <w:rPr>
          <w:lang w:val="en-US"/>
        </w:rPr>
        <w:t xml:space="preserve"> </w:t>
      </w:r>
      <w:r w:rsidRPr="00B35CD0">
        <w:rPr>
          <w:i/>
          <w:lang w:val="en-US"/>
        </w:rPr>
        <w:t>Prigg v. Pennsylvania</w:t>
      </w:r>
      <w:r w:rsidRPr="00A129FF">
        <w:rPr>
          <w:lang w:val="en-US"/>
        </w:rPr>
        <w:t>, 41 U.S. 539, 608</w:t>
      </w:r>
      <w:r w:rsidRPr="00EC5BEB">
        <w:rPr>
          <w:lang w:val="en-US"/>
        </w:rPr>
        <w:t xml:space="preserve"> = 10 L. Ed. </w:t>
      </w:r>
      <w:r w:rsidRPr="00A129FF">
        <w:rPr>
          <w:lang w:val="en-US"/>
        </w:rPr>
        <w:t>1060, 1086</w:t>
      </w:r>
      <w:r>
        <w:rPr>
          <w:lang w:val="en-US"/>
        </w:rPr>
        <w:t xml:space="preserve"> = 1842 U.S. LEXIS </w:t>
      </w:r>
      <w:r w:rsidRPr="00A129FF">
        <w:rPr>
          <w:lang w:val="en-US"/>
        </w:rPr>
        <w:t>387, 71 (1842)</w:t>
      </w:r>
      <w:r>
        <w:rPr>
          <w:lang w:val="en-US"/>
        </w:rPr>
        <w:t>.</w:t>
      </w:r>
    </w:p>
  </w:footnote>
  <w:footnote w:id="1567">
    <w:p w14:paraId="251EF571" w14:textId="77777777" w:rsidR="00074551" w:rsidRPr="00A129FF" w:rsidRDefault="00074551" w:rsidP="00074551">
      <w:pPr>
        <w:pStyle w:val="Funotentext"/>
        <w:rPr>
          <w:lang w:val="en-US"/>
        </w:rPr>
      </w:pPr>
      <w:r>
        <w:rPr>
          <w:rStyle w:val="Funotenzeichen"/>
        </w:rPr>
        <w:footnoteRef/>
      </w:r>
      <w:r w:rsidRPr="00A129FF">
        <w:rPr>
          <w:lang w:val="en-US"/>
        </w:rPr>
        <w:t xml:space="preserve"> </w:t>
      </w:r>
      <w:r w:rsidRPr="00B35CD0">
        <w:rPr>
          <w:i/>
          <w:lang w:val="en-US"/>
        </w:rPr>
        <w:t>Prigg v. Pennsylvania</w:t>
      </w:r>
      <w:r w:rsidRPr="00A129FF">
        <w:rPr>
          <w:lang w:val="en-US"/>
        </w:rPr>
        <w:t>, 41 U.S. 539, 608</w:t>
      </w:r>
      <w:r w:rsidRPr="00EC5BEB">
        <w:rPr>
          <w:lang w:val="en-US"/>
        </w:rPr>
        <w:t xml:space="preserve"> = 10 L. Ed. </w:t>
      </w:r>
      <w:r w:rsidRPr="00A129FF">
        <w:rPr>
          <w:lang w:val="en-US"/>
        </w:rPr>
        <w:t>1060, 1086</w:t>
      </w:r>
      <w:r>
        <w:rPr>
          <w:lang w:val="en-US"/>
        </w:rPr>
        <w:t xml:space="preserve"> = 1842 U.S. LEXIS </w:t>
      </w:r>
      <w:r w:rsidRPr="00A129FF">
        <w:rPr>
          <w:lang w:val="en-US"/>
        </w:rPr>
        <w:t>387, 88 (1842)</w:t>
      </w:r>
      <w:r>
        <w:rPr>
          <w:lang w:val="en-US"/>
        </w:rPr>
        <w:t>.</w:t>
      </w:r>
    </w:p>
  </w:footnote>
  <w:footnote w:id="1568">
    <w:p w14:paraId="2FBAC120" w14:textId="77777777" w:rsidR="00074551" w:rsidRPr="00036054" w:rsidRDefault="00074551" w:rsidP="00074551">
      <w:pPr>
        <w:pStyle w:val="Funotentext"/>
        <w:rPr>
          <w:lang w:val="en-US"/>
        </w:rPr>
      </w:pPr>
      <w:r>
        <w:rPr>
          <w:rStyle w:val="Funotenzeichen"/>
        </w:rPr>
        <w:footnoteRef/>
      </w:r>
      <w:r w:rsidRPr="00036054">
        <w:rPr>
          <w:lang w:val="en-US"/>
        </w:rPr>
        <w:t xml:space="preserve"> </w:t>
      </w:r>
      <w:r w:rsidRPr="00B45592">
        <w:rPr>
          <w:i/>
          <w:lang w:val="en-US"/>
        </w:rPr>
        <w:t>Civil Rights Act of 1875</w:t>
      </w:r>
      <w:r w:rsidRPr="00036054">
        <w:rPr>
          <w:lang w:val="en-US"/>
        </w:rPr>
        <w:t>, 18 Stat. 335, §</w:t>
      </w:r>
      <w:r>
        <w:rPr>
          <w:lang w:val="en-US"/>
        </w:rPr>
        <w:t>§ </w:t>
      </w:r>
      <w:r w:rsidRPr="00036054">
        <w:rPr>
          <w:lang w:val="en-US"/>
        </w:rPr>
        <w:t>1,2 (1875)</w:t>
      </w:r>
      <w:r>
        <w:rPr>
          <w:lang w:val="en-US"/>
        </w:rPr>
        <w:t>: „</w:t>
      </w:r>
      <w:r w:rsidRPr="00036054">
        <w:rPr>
          <w:lang w:val="en-US"/>
        </w:rPr>
        <w:t>Be it enacted by the Senate and House of Representatives of the United States of America in Congress assembled, That all persons within the jurisdiction of the United States shall be entitled to the full and equal enjoyment of the accommodations, advantages, facilities, and privileges of inns, public conveyances on land or water, theaters, and other places of public amusement; subject only to the conditions and limitations established by law, and applicable alike to citizens of every race and color, regardless of any previous condition of servitude.</w:t>
      </w:r>
    </w:p>
    <w:p w14:paraId="2A8FB0A2" w14:textId="77777777" w:rsidR="00074551" w:rsidRPr="00036054" w:rsidRDefault="00074551" w:rsidP="00074551">
      <w:pPr>
        <w:pStyle w:val="Funotentext"/>
        <w:rPr>
          <w:lang w:val="en-US"/>
        </w:rPr>
      </w:pPr>
      <w:r>
        <w:rPr>
          <w:lang w:val="en-US"/>
        </w:rPr>
        <w:t xml:space="preserve">SECTION </w:t>
      </w:r>
      <w:r w:rsidRPr="00036054">
        <w:rPr>
          <w:lang w:val="en-US"/>
        </w:rPr>
        <w:t>2. That any person who shall violate the foregoing section by denying to any citizen, except for reasons by law applicable to citizens of every race and color, and regardless of any previous condition of servitude, the full enjoyment of any of the accommodations, advantages, facilities, or privileges in said section enumerated, or by aiding or inciting such denial, shall, for every such offense, forfeit and pay the sum of five hundred dollars to the person aggrieved thereby, to be recovered in an action of debt, with full costs; and shall also, for every such offense, be deemed guilty of a misdemeanor, and, upon conviction thereof, shall be fined not less than five hundred nor more than one thousand dollars, or shall be imprisoned not less than thirty days nor more than one year</w:t>
      </w:r>
      <w:r>
        <w:rPr>
          <w:lang w:val="en-US"/>
        </w:rPr>
        <w:t xml:space="preserve">.“; </w:t>
      </w:r>
      <w:r w:rsidRPr="00A15962">
        <w:rPr>
          <w:i/>
          <w:lang w:val="en-US"/>
        </w:rPr>
        <w:t>United States v. Stanley</w:t>
      </w:r>
      <w:r w:rsidRPr="00036054">
        <w:rPr>
          <w:lang w:val="en-US"/>
        </w:rPr>
        <w:t>, 109 U.S. 3, 8</w:t>
      </w:r>
      <w:r>
        <w:rPr>
          <w:lang w:val="en-US"/>
        </w:rPr>
        <w:t xml:space="preserve"> = 3 S. Ct</w:t>
      </w:r>
      <w:r w:rsidRPr="00036054">
        <w:rPr>
          <w:lang w:val="en-US"/>
        </w:rPr>
        <w:t>. 18, 19</w:t>
      </w:r>
      <w:r w:rsidRPr="006E67FE">
        <w:rPr>
          <w:lang w:val="en-US"/>
        </w:rPr>
        <w:t xml:space="preserve"> = 27 L. Ed. </w:t>
      </w:r>
      <w:r w:rsidRPr="00036054">
        <w:rPr>
          <w:lang w:val="en-US"/>
        </w:rPr>
        <w:t>835, 838</w:t>
      </w:r>
      <w:r>
        <w:rPr>
          <w:lang w:val="en-US"/>
        </w:rPr>
        <w:t xml:space="preserve"> = 1883 U.S. LEXIS </w:t>
      </w:r>
      <w:r w:rsidRPr="00036054">
        <w:rPr>
          <w:lang w:val="en-US"/>
        </w:rPr>
        <w:t>928, 4 (1883)</w:t>
      </w:r>
      <w:r>
        <w:rPr>
          <w:lang w:val="en-US"/>
        </w:rPr>
        <w:t>.</w:t>
      </w:r>
    </w:p>
  </w:footnote>
  <w:footnote w:id="1569">
    <w:p w14:paraId="6577FFAE" w14:textId="77777777" w:rsidR="00074551" w:rsidRPr="00036054" w:rsidRDefault="00074551" w:rsidP="00074551">
      <w:pPr>
        <w:pStyle w:val="Funotentext"/>
        <w:rPr>
          <w:lang w:val="en-US"/>
        </w:rPr>
      </w:pPr>
      <w:r>
        <w:rPr>
          <w:rStyle w:val="Funotenzeichen"/>
        </w:rPr>
        <w:footnoteRef/>
      </w:r>
      <w:r w:rsidRPr="00036054">
        <w:rPr>
          <w:lang w:val="en-US"/>
        </w:rPr>
        <w:t xml:space="preserve"> </w:t>
      </w:r>
      <w:r w:rsidRPr="00A15962">
        <w:rPr>
          <w:i/>
          <w:lang w:val="en-US"/>
        </w:rPr>
        <w:t>United States v. Stanley</w:t>
      </w:r>
      <w:r w:rsidRPr="00036054">
        <w:rPr>
          <w:lang w:val="en-US"/>
        </w:rPr>
        <w:t>, 109 U.S. 3, 8</w:t>
      </w:r>
      <w:r>
        <w:rPr>
          <w:lang w:val="en-US"/>
        </w:rPr>
        <w:t xml:space="preserve"> = 3 S. Ct</w:t>
      </w:r>
      <w:r w:rsidRPr="00036054">
        <w:rPr>
          <w:lang w:val="en-US"/>
        </w:rPr>
        <w:t>. 18, 19</w:t>
      </w:r>
      <w:r w:rsidRPr="006E67FE">
        <w:rPr>
          <w:lang w:val="en-US"/>
        </w:rPr>
        <w:t xml:space="preserve"> = 27 L. Ed. </w:t>
      </w:r>
      <w:r w:rsidRPr="00036054">
        <w:rPr>
          <w:lang w:val="en-US"/>
        </w:rPr>
        <w:t>835, 838</w:t>
      </w:r>
      <w:r>
        <w:rPr>
          <w:lang w:val="en-US"/>
        </w:rPr>
        <w:t xml:space="preserve"> = 1883 U.S. LEXIS </w:t>
      </w:r>
      <w:r w:rsidRPr="00036054">
        <w:rPr>
          <w:lang w:val="en-US"/>
        </w:rPr>
        <w:t>928, 4 (1883)</w:t>
      </w:r>
      <w:r>
        <w:rPr>
          <w:lang w:val="en-US"/>
        </w:rPr>
        <w:t>.</w:t>
      </w:r>
    </w:p>
  </w:footnote>
  <w:footnote w:id="1570">
    <w:p w14:paraId="4798A554" w14:textId="77777777" w:rsidR="00074551" w:rsidRPr="00036054" w:rsidRDefault="00074551" w:rsidP="00074551">
      <w:pPr>
        <w:pStyle w:val="Funotentext"/>
        <w:rPr>
          <w:lang w:val="en-US"/>
        </w:rPr>
      </w:pPr>
      <w:r>
        <w:rPr>
          <w:rStyle w:val="Funotenzeichen"/>
        </w:rPr>
        <w:footnoteRef/>
      </w:r>
      <w:r w:rsidRPr="00036054">
        <w:rPr>
          <w:lang w:val="en-US"/>
        </w:rPr>
        <w:t xml:space="preserve"> </w:t>
      </w:r>
      <w:r w:rsidRPr="00A15962">
        <w:rPr>
          <w:i/>
          <w:lang w:val="en-US"/>
        </w:rPr>
        <w:t>United States v. Stanley</w:t>
      </w:r>
      <w:r w:rsidRPr="00036054">
        <w:rPr>
          <w:lang w:val="en-US"/>
        </w:rPr>
        <w:t>, 109 U.S. 3, 8</w:t>
      </w:r>
      <w:r>
        <w:rPr>
          <w:lang w:val="en-US"/>
        </w:rPr>
        <w:t xml:space="preserve"> = 3 S. Ct</w:t>
      </w:r>
      <w:r w:rsidRPr="00036054">
        <w:rPr>
          <w:lang w:val="en-US"/>
        </w:rPr>
        <w:t>. 18, 19</w:t>
      </w:r>
      <w:r w:rsidRPr="006E67FE">
        <w:rPr>
          <w:lang w:val="en-US"/>
        </w:rPr>
        <w:t xml:space="preserve"> = 27 L. Ed. </w:t>
      </w:r>
      <w:r w:rsidRPr="00036054">
        <w:rPr>
          <w:lang w:val="en-US"/>
        </w:rPr>
        <w:t>835, 838</w:t>
      </w:r>
      <w:r>
        <w:rPr>
          <w:lang w:val="en-US"/>
        </w:rPr>
        <w:t xml:space="preserve"> = 1883 U.S. LEXIS </w:t>
      </w:r>
      <w:r w:rsidRPr="00036054">
        <w:rPr>
          <w:lang w:val="en-US"/>
        </w:rPr>
        <w:t>928, 4 (1883)</w:t>
      </w:r>
    </w:p>
  </w:footnote>
  <w:footnote w:id="1571">
    <w:p w14:paraId="460B6FAA" w14:textId="77777777" w:rsidR="00074551" w:rsidRPr="006E5D8D" w:rsidRDefault="00074551" w:rsidP="00074551">
      <w:pPr>
        <w:pStyle w:val="Funotentext"/>
        <w:rPr>
          <w:lang w:val="en-US"/>
        </w:rPr>
      </w:pPr>
      <w:r>
        <w:rPr>
          <w:rStyle w:val="Funotenzeichen"/>
        </w:rPr>
        <w:footnoteRef/>
      </w:r>
      <w:r w:rsidRPr="006E5D8D">
        <w:rPr>
          <w:lang w:val="en-US"/>
        </w:rPr>
        <w:t xml:space="preserve"> </w:t>
      </w:r>
      <w:r w:rsidRPr="00A15962">
        <w:rPr>
          <w:i/>
          <w:lang w:val="en-US"/>
        </w:rPr>
        <w:t>United States v. Stanley</w:t>
      </w:r>
      <w:r w:rsidRPr="006E5D8D">
        <w:rPr>
          <w:lang w:val="en-US"/>
        </w:rPr>
        <w:t>, 109 U.S. 3, 11</w:t>
      </w:r>
      <w:r>
        <w:rPr>
          <w:lang w:val="en-US"/>
        </w:rPr>
        <w:t xml:space="preserve"> = 3 S. Ct</w:t>
      </w:r>
      <w:r w:rsidRPr="006E5D8D">
        <w:rPr>
          <w:lang w:val="en-US"/>
        </w:rPr>
        <w:t>. 18, 21</w:t>
      </w:r>
      <w:r w:rsidRPr="006E67FE">
        <w:rPr>
          <w:lang w:val="en-US"/>
        </w:rPr>
        <w:t xml:space="preserve"> = 27 L. Ed. </w:t>
      </w:r>
      <w:r w:rsidRPr="006E5D8D">
        <w:rPr>
          <w:lang w:val="en-US"/>
        </w:rPr>
        <w:t>835, 839</w:t>
      </w:r>
      <w:r>
        <w:rPr>
          <w:lang w:val="en-US"/>
        </w:rPr>
        <w:t xml:space="preserve"> = 1883 U.S. LEXIS </w:t>
      </w:r>
      <w:r w:rsidRPr="006E5D8D">
        <w:rPr>
          <w:lang w:val="en-US"/>
        </w:rPr>
        <w:t>928, 15 (1883)</w:t>
      </w:r>
      <w:r>
        <w:rPr>
          <w:lang w:val="en-US"/>
        </w:rPr>
        <w:t>.</w:t>
      </w:r>
    </w:p>
  </w:footnote>
  <w:footnote w:id="1572">
    <w:p w14:paraId="3FC7B908" w14:textId="77777777" w:rsidR="00074551" w:rsidRPr="00036054" w:rsidRDefault="00074551" w:rsidP="00074551">
      <w:pPr>
        <w:pStyle w:val="Funotentext"/>
        <w:rPr>
          <w:lang w:val="en-US"/>
        </w:rPr>
      </w:pPr>
      <w:r>
        <w:rPr>
          <w:rStyle w:val="Funotenzeichen"/>
        </w:rPr>
        <w:footnoteRef/>
      </w:r>
      <w:r w:rsidRPr="00036054">
        <w:rPr>
          <w:lang w:val="en-US"/>
        </w:rPr>
        <w:t xml:space="preserve"> Civil Rights Act of 1875, 18 Stat. 335, §</w:t>
      </w:r>
      <w:r>
        <w:rPr>
          <w:lang w:val="en-US"/>
        </w:rPr>
        <w:t>§ </w:t>
      </w:r>
      <w:r w:rsidRPr="00036054">
        <w:rPr>
          <w:lang w:val="en-US"/>
        </w:rPr>
        <w:t xml:space="preserve">1,2 (1875), </w:t>
      </w:r>
      <w:r>
        <w:rPr>
          <w:lang w:val="en-US"/>
        </w:rPr>
        <w:t>„</w:t>
      </w:r>
      <w:r w:rsidRPr="00036054">
        <w:rPr>
          <w:lang w:val="en-US"/>
        </w:rPr>
        <w:t xml:space="preserve">An Act to protect all citizens in their civil and legal </w:t>
      </w:r>
      <w:proofErr w:type="gramStart"/>
      <w:r w:rsidRPr="00036054">
        <w:rPr>
          <w:lang w:val="en-US"/>
        </w:rPr>
        <w:t>rights</w:t>
      </w:r>
      <w:r>
        <w:rPr>
          <w:lang w:val="en-US"/>
        </w:rPr>
        <w:t>“</w:t>
      </w:r>
      <w:proofErr w:type="gramEnd"/>
      <w:r>
        <w:rPr>
          <w:lang w:val="en-US"/>
        </w:rPr>
        <w:t xml:space="preserve">, </w:t>
      </w:r>
      <w:r w:rsidRPr="00A15962">
        <w:rPr>
          <w:i/>
          <w:lang w:val="en-US"/>
        </w:rPr>
        <w:t>United States v. Stanley</w:t>
      </w:r>
      <w:r w:rsidRPr="00036054">
        <w:rPr>
          <w:lang w:val="en-US"/>
        </w:rPr>
        <w:t>, 109 U.S. 3, 8</w:t>
      </w:r>
      <w:r>
        <w:rPr>
          <w:lang w:val="en-US"/>
        </w:rPr>
        <w:t xml:space="preserve"> = 3 S. Ct</w:t>
      </w:r>
      <w:r w:rsidRPr="00036054">
        <w:rPr>
          <w:lang w:val="en-US"/>
        </w:rPr>
        <w:t>. 18, 19</w:t>
      </w:r>
      <w:r w:rsidRPr="006E67FE">
        <w:rPr>
          <w:lang w:val="en-US"/>
        </w:rPr>
        <w:t xml:space="preserve"> = 27 L. Ed. </w:t>
      </w:r>
      <w:r w:rsidRPr="00036054">
        <w:rPr>
          <w:lang w:val="en-US"/>
        </w:rPr>
        <w:t>835, 838</w:t>
      </w:r>
      <w:r>
        <w:rPr>
          <w:lang w:val="en-US"/>
        </w:rPr>
        <w:t xml:space="preserve"> = 1883 U.S. LEXIS </w:t>
      </w:r>
      <w:r w:rsidRPr="00036054">
        <w:rPr>
          <w:lang w:val="en-US"/>
        </w:rPr>
        <w:t>928, 4 (1883)</w:t>
      </w:r>
      <w:r>
        <w:rPr>
          <w:lang w:val="en-US"/>
        </w:rPr>
        <w:t>.</w:t>
      </w:r>
    </w:p>
  </w:footnote>
  <w:footnote w:id="1573">
    <w:p w14:paraId="6C122D70" w14:textId="77777777" w:rsidR="00074551" w:rsidRPr="00591A31" w:rsidRDefault="00074551" w:rsidP="00074551">
      <w:pPr>
        <w:pStyle w:val="Funotentext"/>
        <w:rPr>
          <w:lang w:val="en-US"/>
        </w:rPr>
      </w:pPr>
      <w:r>
        <w:rPr>
          <w:rStyle w:val="Funotenzeichen"/>
        </w:rPr>
        <w:footnoteRef/>
      </w:r>
      <w:r w:rsidRPr="00591A31">
        <w:rPr>
          <w:lang w:val="en-US"/>
        </w:rPr>
        <w:t xml:space="preserve"> </w:t>
      </w:r>
      <w:r w:rsidRPr="00A15962">
        <w:rPr>
          <w:i/>
          <w:lang w:val="en-US"/>
        </w:rPr>
        <w:t>United States v. Stanley</w:t>
      </w:r>
      <w:r w:rsidRPr="00591A31">
        <w:rPr>
          <w:lang w:val="en-US"/>
        </w:rPr>
        <w:t>, 109 U.S. 3, 26</w:t>
      </w:r>
      <w:r>
        <w:rPr>
          <w:lang w:val="en-US"/>
        </w:rPr>
        <w:t xml:space="preserve"> = 3 S. Ct</w:t>
      </w:r>
      <w:r w:rsidRPr="00591A31">
        <w:rPr>
          <w:lang w:val="en-US"/>
        </w:rPr>
        <w:t>. 18, 33</w:t>
      </w:r>
      <w:r w:rsidRPr="006E67FE">
        <w:rPr>
          <w:lang w:val="en-US"/>
        </w:rPr>
        <w:t xml:space="preserve"> = 27 L. Ed. </w:t>
      </w:r>
      <w:r w:rsidRPr="00591A31">
        <w:rPr>
          <w:lang w:val="en-US"/>
        </w:rPr>
        <w:t>835, 844</w:t>
      </w:r>
      <w:r>
        <w:rPr>
          <w:lang w:val="en-US"/>
        </w:rPr>
        <w:t xml:space="preserve"> = 1883 U.S. LEXIS </w:t>
      </w:r>
      <w:r w:rsidRPr="00591A31">
        <w:rPr>
          <w:lang w:val="en-US"/>
        </w:rPr>
        <w:t>928, 44 (1883)</w:t>
      </w:r>
      <w:r>
        <w:rPr>
          <w:lang w:val="en-US"/>
        </w:rPr>
        <w:t>.</w:t>
      </w:r>
    </w:p>
  </w:footnote>
  <w:footnote w:id="1574">
    <w:p w14:paraId="1066111C" w14:textId="77777777" w:rsidR="00074551" w:rsidRPr="00E424B5" w:rsidRDefault="00074551" w:rsidP="00074551">
      <w:pPr>
        <w:pStyle w:val="Funotentext"/>
        <w:rPr>
          <w:lang w:val="en-US"/>
        </w:rPr>
      </w:pPr>
      <w:r>
        <w:rPr>
          <w:rStyle w:val="Funotenzeichen"/>
        </w:rPr>
        <w:footnoteRef/>
      </w:r>
      <w:r w:rsidRPr="00E424B5">
        <w:rPr>
          <w:lang w:val="en-US"/>
        </w:rPr>
        <w:t xml:space="preserve"> </w:t>
      </w:r>
      <w:r>
        <w:rPr>
          <w:lang w:val="en-US"/>
        </w:rPr>
        <w:t>A</w:t>
      </w:r>
      <w:r w:rsidRPr="00E424B5">
        <w:rPr>
          <w:lang w:val="en-US"/>
        </w:rPr>
        <w:t>ct of Congress of March 1, 1875</w:t>
      </w:r>
      <w:r>
        <w:rPr>
          <w:lang w:val="en-US"/>
        </w:rPr>
        <w:t xml:space="preserve">; </w:t>
      </w:r>
      <w:r w:rsidRPr="00A15962">
        <w:rPr>
          <w:i/>
          <w:lang w:val="en-US"/>
        </w:rPr>
        <w:t>United States v. Stanley</w:t>
      </w:r>
      <w:r w:rsidRPr="00E424B5">
        <w:rPr>
          <w:lang w:val="en-US"/>
        </w:rPr>
        <w:t>, 109 U.S. 3, 26</w:t>
      </w:r>
      <w:r>
        <w:rPr>
          <w:lang w:val="en-US"/>
        </w:rPr>
        <w:t xml:space="preserve"> = 3 S. Ct</w:t>
      </w:r>
      <w:r w:rsidRPr="00E424B5">
        <w:rPr>
          <w:lang w:val="en-US"/>
        </w:rPr>
        <w:t>. 18, 33</w:t>
      </w:r>
      <w:r w:rsidRPr="006E67FE">
        <w:rPr>
          <w:lang w:val="en-US"/>
        </w:rPr>
        <w:t xml:space="preserve"> = 27 L. Ed. </w:t>
      </w:r>
      <w:r w:rsidRPr="00E424B5">
        <w:rPr>
          <w:lang w:val="en-US"/>
        </w:rPr>
        <w:t>835, 844</w:t>
      </w:r>
      <w:r>
        <w:rPr>
          <w:lang w:val="en-US"/>
        </w:rPr>
        <w:t xml:space="preserve"> = 1883 U.S. LEXIS </w:t>
      </w:r>
      <w:r w:rsidRPr="00E424B5">
        <w:rPr>
          <w:lang w:val="en-US"/>
        </w:rPr>
        <w:t>928, 45 (1883)</w:t>
      </w:r>
      <w:r>
        <w:rPr>
          <w:lang w:val="en-US"/>
        </w:rPr>
        <w:t>.</w:t>
      </w:r>
    </w:p>
  </w:footnote>
  <w:footnote w:id="1575">
    <w:p w14:paraId="36AB168B" w14:textId="77777777" w:rsidR="00074551" w:rsidRPr="00591A31" w:rsidRDefault="00074551" w:rsidP="00074551">
      <w:pPr>
        <w:pStyle w:val="Funotentext"/>
        <w:rPr>
          <w:lang w:val="en-US"/>
        </w:rPr>
      </w:pPr>
      <w:r>
        <w:rPr>
          <w:rStyle w:val="Funotenzeichen"/>
        </w:rPr>
        <w:footnoteRef/>
      </w:r>
      <w:r w:rsidRPr="00591A31">
        <w:rPr>
          <w:lang w:val="en-US"/>
        </w:rPr>
        <w:t xml:space="preserve"> </w:t>
      </w:r>
      <w:r w:rsidRPr="00A15962">
        <w:rPr>
          <w:i/>
          <w:lang w:val="en-US"/>
        </w:rPr>
        <w:t>United States v. Stanley</w:t>
      </w:r>
      <w:r w:rsidRPr="00591A31">
        <w:rPr>
          <w:lang w:val="en-US"/>
        </w:rPr>
        <w:t>, 109 U.S. 3, 61</w:t>
      </w:r>
      <w:r>
        <w:rPr>
          <w:lang w:val="en-US"/>
        </w:rPr>
        <w:t xml:space="preserve"> = 3 S. Ct</w:t>
      </w:r>
      <w:r w:rsidRPr="00591A31">
        <w:rPr>
          <w:lang w:val="en-US"/>
        </w:rPr>
        <w:t>. 18, 57</w:t>
      </w:r>
      <w:r w:rsidRPr="006E67FE">
        <w:rPr>
          <w:lang w:val="en-US"/>
        </w:rPr>
        <w:t xml:space="preserve"> = 27 L. Ed. </w:t>
      </w:r>
      <w:r w:rsidRPr="00591A31">
        <w:rPr>
          <w:lang w:val="en-US"/>
        </w:rPr>
        <w:t>835, 856</w:t>
      </w:r>
      <w:r>
        <w:rPr>
          <w:lang w:val="en-US"/>
        </w:rPr>
        <w:t xml:space="preserve"> = 1883 U.S. LEXIS </w:t>
      </w:r>
      <w:r w:rsidRPr="00591A31">
        <w:rPr>
          <w:lang w:val="en-US"/>
        </w:rPr>
        <w:t>928, 113 (1883)</w:t>
      </w:r>
      <w:r>
        <w:rPr>
          <w:lang w:val="en-US"/>
        </w:rPr>
        <w:t>.</w:t>
      </w:r>
    </w:p>
  </w:footnote>
  <w:footnote w:id="1576">
    <w:p w14:paraId="5C8CB540" w14:textId="77777777" w:rsidR="00074551" w:rsidRPr="00CD69FC" w:rsidRDefault="00074551" w:rsidP="00074551">
      <w:pPr>
        <w:pStyle w:val="Funotentext"/>
        <w:rPr>
          <w:lang w:val="en-US"/>
        </w:rPr>
      </w:pPr>
      <w:r>
        <w:rPr>
          <w:rStyle w:val="Funotenzeichen"/>
        </w:rPr>
        <w:footnoteRef/>
      </w:r>
      <w:r w:rsidRPr="00CD69FC">
        <w:rPr>
          <w:lang w:val="en-US"/>
        </w:rPr>
        <w:t xml:space="preserve"> </w:t>
      </w:r>
      <w:r w:rsidRPr="00A15962">
        <w:rPr>
          <w:i/>
          <w:lang w:val="en-US"/>
        </w:rPr>
        <w:t>Butler v. Pa.</w:t>
      </w:r>
      <w:r w:rsidRPr="00CD69FC">
        <w:rPr>
          <w:lang w:val="en-US"/>
        </w:rPr>
        <w:t>, 51 U.S. 402, 414</w:t>
      </w:r>
      <w:r>
        <w:rPr>
          <w:lang w:val="en-US"/>
        </w:rPr>
        <w:t xml:space="preserve"> = 13 L. Ed. </w:t>
      </w:r>
      <w:r w:rsidRPr="00CD69FC">
        <w:rPr>
          <w:lang w:val="en-US"/>
        </w:rPr>
        <w:t>472, 477</w:t>
      </w:r>
      <w:r w:rsidRPr="003B741A">
        <w:rPr>
          <w:lang w:val="en-US"/>
        </w:rPr>
        <w:t xml:space="preserve"> = 1850 U.S. LEXIS </w:t>
      </w:r>
      <w:r w:rsidRPr="00CD69FC">
        <w:rPr>
          <w:lang w:val="en-US"/>
        </w:rPr>
        <w:t>1473, 8</w:t>
      </w:r>
      <w:r>
        <w:rPr>
          <w:lang w:val="en-US"/>
        </w:rPr>
        <w:t xml:space="preserve"> = 10 HOW </w:t>
      </w:r>
      <w:r w:rsidRPr="00CD69FC">
        <w:rPr>
          <w:lang w:val="en-US"/>
        </w:rPr>
        <w:t>402 (1851)</w:t>
      </w:r>
      <w:r>
        <w:rPr>
          <w:lang w:val="en-US"/>
        </w:rPr>
        <w:t>.</w:t>
      </w:r>
    </w:p>
  </w:footnote>
  <w:footnote w:id="1577">
    <w:p w14:paraId="1D124187" w14:textId="77777777" w:rsidR="00074551" w:rsidRPr="00905D75" w:rsidRDefault="00074551" w:rsidP="00074551">
      <w:pPr>
        <w:pStyle w:val="Funotentext"/>
        <w:rPr>
          <w:lang w:val="en-US"/>
        </w:rPr>
      </w:pPr>
      <w:r>
        <w:rPr>
          <w:rStyle w:val="Funotenzeichen"/>
        </w:rPr>
        <w:footnoteRef/>
      </w:r>
      <w:r w:rsidRPr="00905D75">
        <w:rPr>
          <w:lang w:val="en-US"/>
        </w:rPr>
        <w:t xml:space="preserve"> </w:t>
      </w:r>
      <w:r w:rsidRPr="00A15962">
        <w:rPr>
          <w:i/>
          <w:lang w:val="en-US"/>
        </w:rPr>
        <w:t>Butler v. Pa.</w:t>
      </w:r>
      <w:r w:rsidRPr="00905D75">
        <w:rPr>
          <w:lang w:val="en-US"/>
        </w:rPr>
        <w:t>, 51 U.S. 402, 417</w:t>
      </w:r>
      <w:r>
        <w:rPr>
          <w:lang w:val="en-US"/>
        </w:rPr>
        <w:t xml:space="preserve"> = 13 L. Ed. </w:t>
      </w:r>
      <w:r w:rsidRPr="00905D75">
        <w:rPr>
          <w:lang w:val="en-US"/>
        </w:rPr>
        <w:t>472, 478</w:t>
      </w:r>
      <w:r w:rsidRPr="003B741A">
        <w:rPr>
          <w:lang w:val="en-US"/>
        </w:rPr>
        <w:t xml:space="preserve"> = 1850 U.S. LEXIS </w:t>
      </w:r>
      <w:r w:rsidRPr="00905D75">
        <w:rPr>
          <w:lang w:val="en-US"/>
        </w:rPr>
        <w:t>1473, 32</w:t>
      </w:r>
      <w:r>
        <w:rPr>
          <w:lang w:val="en-US"/>
        </w:rPr>
        <w:t xml:space="preserve"> = 10 HOW </w:t>
      </w:r>
      <w:r w:rsidRPr="00905D75">
        <w:rPr>
          <w:lang w:val="en-US"/>
        </w:rPr>
        <w:t>402 (1851)</w:t>
      </w:r>
      <w:r>
        <w:rPr>
          <w:lang w:val="en-US"/>
        </w:rPr>
        <w:t>.</w:t>
      </w:r>
    </w:p>
  </w:footnote>
  <w:footnote w:id="1578">
    <w:p w14:paraId="60689362" w14:textId="77777777" w:rsidR="00074551" w:rsidRPr="00FE5F69" w:rsidRDefault="00074551" w:rsidP="00074551">
      <w:pPr>
        <w:pStyle w:val="Funotentext"/>
        <w:rPr>
          <w:lang w:val="en-US"/>
        </w:rPr>
      </w:pPr>
      <w:r>
        <w:rPr>
          <w:rStyle w:val="Funotenzeichen"/>
        </w:rPr>
        <w:footnoteRef/>
      </w:r>
      <w:r w:rsidRPr="00FE5F69">
        <w:rPr>
          <w:lang w:val="en-US"/>
        </w:rPr>
        <w:t xml:space="preserve"> </w:t>
      </w:r>
      <w:r w:rsidRPr="00B45592">
        <w:rPr>
          <w:i/>
          <w:lang w:val="en-US"/>
        </w:rPr>
        <w:t>Charles River Bridge v. Warren Bridge</w:t>
      </w:r>
      <w:r w:rsidRPr="00FE5F69">
        <w:rPr>
          <w:lang w:val="en-US"/>
        </w:rPr>
        <w:t>, 11 Peters, 547</w:t>
      </w:r>
      <w:r>
        <w:rPr>
          <w:lang w:val="en-US"/>
        </w:rPr>
        <w:t xml:space="preserve">; </w:t>
      </w:r>
      <w:r w:rsidRPr="00A15962">
        <w:rPr>
          <w:i/>
          <w:lang w:val="en-US"/>
        </w:rPr>
        <w:t>Butler v. Pa.</w:t>
      </w:r>
      <w:r w:rsidRPr="00FE5F69">
        <w:rPr>
          <w:lang w:val="en-US"/>
        </w:rPr>
        <w:t>, 51 U.S. 402, 414</w:t>
      </w:r>
      <w:r>
        <w:rPr>
          <w:lang w:val="en-US"/>
        </w:rPr>
        <w:t xml:space="preserve"> = 13 L. Ed. </w:t>
      </w:r>
      <w:r w:rsidRPr="00FE5F69">
        <w:rPr>
          <w:lang w:val="en-US"/>
        </w:rPr>
        <w:t>472, 477</w:t>
      </w:r>
      <w:r w:rsidRPr="003B741A">
        <w:rPr>
          <w:lang w:val="en-US"/>
        </w:rPr>
        <w:t xml:space="preserve"> = 1850 U.S. LEXIS </w:t>
      </w:r>
      <w:r w:rsidRPr="00FE5F69">
        <w:rPr>
          <w:lang w:val="en-US"/>
        </w:rPr>
        <w:t>1473, 22</w:t>
      </w:r>
      <w:r>
        <w:rPr>
          <w:lang w:val="en-US"/>
        </w:rPr>
        <w:t xml:space="preserve"> = 10 HOW </w:t>
      </w:r>
      <w:r w:rsidRPr="00FE5F69">
        <w:rPr>
          <w:lang w:val="en-US"/>
        </w:rPr>
        <w:t>402 (1851)</w:t>
      </w:r>
      <w:r>
        <w:rPr>
          <w:lang w:val="en-US"/>
        </w:rPr>
        <w:t>.</w:t>
      </w:r>
    </w:p>
  </w:footnote>
  <w:footnote w:id="1579">
    <w:p w14:paraId="26EB1169" w14:textId="77777777" w:rsidR="00074551" w:rsidRPr="00FE5F69" w:rsidRDefault="00074551" w:rsidP="00074551">
      <w:pPr>
        <w:pStyle w:val="Funotentext"/>
        <w:rPr>
          <w:lang w:val="en-US"/>
        </w:rPr>
      </w:pPr>
      <w:r>
        <w:rPr>
          <w:rStyle w:val="Funotenzeichen"/>
        </w:rPr>
        <w:footnoteRef/>
      </w:r>
      <w:r w:rsidRPr="00FE5F69">
        <w:rPr>
          <w:lang w:val="en-US"/>
        </w:rPr>
        <w:t xml:space="preserve"> </w:t>
      </w:r>
      <w:proofErr w:type="spellStart"/>
      <w:r w:rsidRPr="00B45592">
        <w:rPr>
          <w:lang w:val="en-US"/>
        </w:rPr>
        <w:t>Siehe</w:t>
      </w:r>
      <w:proofErr w:type="spellEnd"/>
      <w:r w:rsidRPr="00B45592">
        <w:rPr>
          <w:lang w:val="en-US"/>
        </w:rPr>
        <w:t xml:space="preserve"> Meinung von Richter</w:t>
      </w:r>
      <w:r w:rsidRPr="00A15962">
        <w:rPr>
          <w:lang w:val="en-US"/>
        </w:rPr>
        <w:t xml:space="preserve"> </w:t>
      </w:r>
      <w:r w:rsidRPr="00B45592">
        <w:rPr>
          <w:i/>
          <w:lang w:val="en-US"/>
        </w:rPr>
        <w:t>Taney</w:t>
      </w:r>
      <w:r w:rsidRPr="00A15962">
        <w:rPr>
          <w:lang w:val="en-US"/>
        </w:rPr>
        <w:t>,</w:t>
      </w:r>
      <w:r w:rsidRPr="00FE5F69">
        <w:rPr>
          <w:lang w:val="en-US"/>
        </w:rPr>
        <w:t xml:space="preserve"> </w:t>
      </w:r>
      <w:r w:rsidRPr="00B45592">
        <w:rPr>
          <w:i/>
          <w:lang w:val="en-US"/>
        </w:rPr>
        <w:t>State of Maryland v. Baltimore and Ohio Railroad Company</w:t>
      </w:r>
      <w:r w:rsidRPr="00FE5F69">
        <w:rPr>
          <w:lang w:val="en-US"/>
        </w:rPr>
        <w:t>, 3 Howard, 550</w:t>
      </w:r>
      <w:r>
        <w:rPr>
          <w:lang w:val="en-US"/>
        </w:rPr>
        <w:t xml:space="preserve">; </w:t>
      </w:r>
      <w:r w:rsidRPr="00A15962">
        <w:rPr>
          <w:i/>
          <w:lang w:val="en-US"/>
        </w:rPr>
        <w:t>Butler v. Pa.</w:t>
      </w:r>
      <w:r w:rsidRPr="00FE5F69">
        <w:rPr>
          <w:lang w:val="en-US"/>
        </w:rPr>
        <w:t>, 51 U.S. 402, 414</w:t>
      </w:r>
      <w:r>
        <w:rPr>
          <w:lang w:val="en-US"/>
        </w:rPr>
        <w:t xml:space="preserve"> = 13 L. Ed. </w:t>
      </w:r>
      <w:r w:rsidRPr="00FE5F69">
        <w:rPr>
          <w:lang w:val="en-US"/>
        </w:rPr>
        <w:t>472, 477</w:t>
      </w:r>
      <w:r w:rsidRPr="003B741A">
        <w:rPr>
          <w:lang w:val="en-US"/>
        </w:rPr>
        <w:t xml:space="preserve"> = 1850 U.S. LEXIS </w:t>
      </w:r>
      <w:r w:rsidRPr="00FE5F69">
        <w:rPr>
          <w:lang w:val="en-US"/>
        </w:rPr>
        <w:t>1473, 22</w:t>
      </w:r>
      <w:r>
        <w:rPr>
          <w:lang w:val="en-US"/>
        </w:rPr>
        <w:t xml:space="preserve"> = 10 HOW </w:t>
      </w:r>
      <w:r w:rsidRPr="00FE5F69">
        <w:rPr>
          <w:lang w:val="en-US"/>
        </w:rPr>
        <w:t>402 (1851)</w:t>
      </w:r>
      <w:r>
        <w:rPr>
          <w:lang w:val="en-US"/>
        </w:rPr>
        <w:t>.</w:t>
      </w:r>
    </w:p>
  </w:footnote>
  <w:footnote w:id="1580">
    <w:p w14:paraId="2307B7D2" w14:textId="77777777" w:rsidR="00074551" w:rsidRPr="002924CE" w:rsidRDefault="00074551" w:rsidP="00074551">
      <w:pPr>
        <w:pStyle w:val="Funotentext"/>
        <w:rPr>
          <w:lang w:val="en-US"/>
        </w:rPr>
      </w:pPr>
      <w:r>
        <w:rPr>
          <w:rStyle w:val="Funotenzeichen"/>
        </w:rPr>
        <w:footnoteRef/>
      </w:r>
      <w:r w:rsidRPr="002924CE">
        <w:rPr>
          <w:lang w:val="en-US"/>
        </w:rPr>
        <w:t xml:space="preserve"> </w:t>
      </w:r>
      <w:r w:rsidRPr="00B111F6">
        <w:rPr>
          <w:lang w:val="en-US"/>
        </w:rPr>
        <w:t xml:space="preserve">SECT. XIX. </w:t>
      </w:r>
      <w:r>
        <w:rPr>
          <w:lang w:val="en-US"/>
        </w:rPr>
        <w:t>„</w:t>
      </w:r>
      <w:r w:rsidRPr="00B111F6">
        <w:rPr>
          <w:lang w:val="en-US"/>
        </w:rPr>
        <w:t>That, after canvassing the votes in the manner aforesaid, the judges, before they disperse, shall put under cover one of the poll-books, seal the same, and direct it to the clerk of the Court of Common Pleas of the county wherein the return is to be made; and the poll-book, thus sealed and directed, shall be conveyed by one of the judges (to be determined by lot if they cannot agree otherwise) to the clerk of the Court of Common Pleas of the county, at his office, within two days from the day of the election; and the other poll-book, where the same is not otherwise disposed of by this act, shall be deposited with the township clerk, or clerk of the election district (as the case may be), within three days from the day of election, there to remain for the use of the persons who may choose to inspect the same.</w:t>
      </w:r>
      <w:r>
        <w:rPr>
          <w:lang w:val="en-US"/>
        </w:rPr>
        <w:t xml:space="preserve">“, </w:t>
      </w:r>
      <w:r w:rsidRPr="00A15962">
        <w:rPr>
          <w:i/>
          <w:lang w:val="en-US"/>
        </w:rPr>
        <w:t xml:space="preserve">Ex </w:t>
      </w:r>
      <w:proofErr w:type="spellStart"/>
      <w:r w:rsidRPr="00A15962">
        <w:rPr>
          <w:i/>
          <w:lang w:val="en-US"/>
        </w:rPr>
        <w:t>parte</w:t>
      </w:r>
      <w:proofErr w:type="spellEnd"/>
      <w:r w:rsidRPr="00A15962">
        <w:rPr>
          <w:i/>
          <w:lang w:val="en-US"/>
        </w:rPr>
        <w:t xml:space="preserve"> Clarke</w:t>
      </w:r>
      <w:r w:rsidRPr="00B111F6">
        <w:rPr>
          <w:lang w:val="en-US"/>
        </w:rPr>
        <w:t>, 100 U.S. 399, 401</w:t>
      </w:r>
      <w:r>
        <w:rPr>
          <w:lang w:val="en-US"/>
        </w:rPr>
        <w:t>–</w:t>
      </w:r>
      <w:r w:rsidRPr="00B111F6">
        <w:rPr>
          <w:lang w:val="en-US"/>
        </w:rPr>
        <w:t>402</w:t>
      </w:r>
      <w:r w:rsidRPr="006E67FE">
        <w:rPr>
          <w:lang w:val="en-US"/>
        </w:rPr>
        <w:t xml:space="preserve"> = 25 L. Ed. </w:t>
      </w:r>
      <w:r w:rsidRPr="00B111F6">
        <w:rPr>
          <w:lang w:val="en-US"/>
        </w:rPr>
        <w:t>715, 716</w:t>
      </w:r>
      <w:r>
        <w:rPr>
          <w:lang w:val="en-US"/>
        </w:rPr>
        <w:t xml:space="preserve"> = 1879 U.S. LEXIS </w:t>
      </w:r>
      <w:r w:rsidRPr="00B111F6">
        <w:rPr>
          <w:lang w:val="en-US"/>
        </w:rPr>
        <w:t>1834, 5</w:t>
      </w:r>
      <w:r>
        <w:rPr>
          <w:lang w:val="en-US"/>
        </w:rPr>
        <w:t>–</w:t>
      </w:r>
      <w:r w:rsidRPr="00B111F6">
        <w:rPr>
          <w:lang w:val="en-US"/>
        </w:rPr>
        <w:t>6</w:t>
      </w:r>
      <w:r>
        <w:rPr>
          <w:lang w:val="en-US"/>
        </w:rPr>
        <w:t xml:space="preserve"> = 10 Otto </w:t>
      </w:r>
      <w:r w:rsidRPr="00B111F6">
        <w:rPr>
          <w:lang w:val="en-US"/>
        </w:rPr>
        <w:t>399 (</w:t>
      </w:r>
      <w:r>
        <w:rPr>
          <w:lang w:val="en-US"/>
        </w:rPr>
        <w:t>1879</w:t>
      </w:r>
      <w:r w:rsidRPr="00B111F6">
        <w:rPr>
          <w:lang w:val="en-US"/>
        </w:rPr>
        <w:t>)</w:t>
      </w:r>
      <w:r>
        <w:rPr>
          <w:lang w:val="en-US"/>
        </w:rPr>
        <w:t>.</w:t>
      </w:r>
    </w:p>
  </w:footnote>
  <w:footnote w:id="1581">
    <w:p w14:paraId="7A23C27C" w14:textId="77777777" w:rsidR="00074551" w:rsidRPr="00B111F6" w:rsidRDefault="00074551" w:rsidP="00074551">
      <w:pPr>
        <w:pStyle w:val="Funotentext"/>
        <w:rPr>
          <w:lang w:val="en-US"/>
        </w:rPr>
      </w:pPr>
      <w:r>
        <w:rPr>
          <w:rStyle w:val="Funotenzeichen"/>
        </w:rPr>
        <w:footnoteRef/>
      </w:r>
      <w:r w:rsidRPr="00B111F6">
        <w:rPr>
          <w:lang w:val="en-US"/>
        </w:rPr>
        <w:t xml:space="preserve"> </w:t>
      </w:r>
      <w:r w:rsidRPr="00A15962">
        <w:rPr>
          <w:i/>
          <w:lang w:val="en-US"/>
        </w:rPr>
        <w:t xml:space="preserve">Ex </w:t>
      </w:r>
      <w:proofErr w:type="spellStart"/>
      <w:r w:rsidRPr="00A15962">
        <w:rPr>
          <w:i/>
          <w:lang w:val="en-US"/>
        </w:rPr>
        <w:t>parte</w:t>
      </w:r>
      <w:proofErr w:type="spellEnd"/>
      <w:r w:rsidRPr="00A15962">
        <w:rPr>
          <w:i/>
          <w:lang w:val="en-US"/>
        </w:rPr>
        <w:t xml:space="preserve"> Clarke</w:t>
      </w:r>
      <w:r w:rsidRPr="00B111F6">
        <w:rPr>
          <w:lang w:val="en-US"/>
        </w:rPr>
        <w:t>, 100 U.S. 399, 400</w:t>
      </w:r>
      <w:r w:rsidRPr="006E67FE">
        <w:rPr>
          <w:lang w:val="en-US"/>
        </w:rPr>
        <w:t xml:space="preserve"> = 25 L. Ed. </w:t>
      </w:r>
      <w:r w:rsidRPr="00B111F6">
        <w:rPr>
          <w:lang w:val="en-US"/>
        </w:rPr>
        <w:t>715, 715</w:t>
      </w:r>
      <w:r>
        <w:rPr>
          <w:lang w:val="en-US"/>
        </w:rPr>
        <w:t xml:space="preserve"> = 1879 U.S. LEXIS </w:t>
      </w:r>
      <w:r w:rsidRPr="00B111F6">
        <w:rPr>
          <w:lang w:val="en-US"/>
        </w:rPr>
        <w:t>1834, 1</w:t>
      </w:r>
      <w:r>
        <w:rPr>
          <w:lang w:val="en-US"/>
        </w:rPr>
        <w:t xml:space="preserve"> = 10 Otto </w:t>
      </w:r>
      <w:r w:rsidRPr="00B111F6">
        <w:rPr>
          <w:lang w:val="en-US"/>
        </w:rPr>
        <w:t>399 (</w:t>
      </w:r>
      <w:r>
        <w:rPr>
          <w:lang w:val="en-US"/>
        </w:rPr>
        <w:t>1879</w:t>
      </w:r>
      <w:r w:rsidRPr="00B111F6">
        <w:rPr>
          <w:lang w:val="en-US"/>
        </w:rPr>
        <w:t>)</w:t>
      </w:r>
      <w:r>
        <w:rPr>
          <w:lang w:val="en-US"/>
        </w:rPr>
        <w:t>.</w:t>
      </w:r>
    </w:p>
  </w:footnote>
  <w:footnote w:id="1582">
    <w:p w14:paraId="48E90F06" w14:textId="6EA0CE39" w:rsidR="00074551" w:rsidRPr="00D77F12" w:rsidRDefault="00074551" w:rsidP="00074551">
      <w:pPr>
        <w:pStyle w:val="Funotentext"/>
        <w:rPr>
          <w:lang w:val="en-US"/>
        </w:rPr>
      </w:pPr>
      <w:r>
        <w:rPr>
          <w:rStyle w:val="Funotenzeichen"/>
        </w:rPr>
        <w:footnoteRef/>
      </w:r>
      <w:r w:rsidRPr="00D77F12">
        <w:rPr>
          <w:lang w:val="en-US"/>
        </w:rPr>
        <w:t xml:space="preserve"> </w:t>
      </w:r>
      <w:r w:rsidRPr="00A15962">
        <w:rPr>
          <w:i/>
          <w:lang w:val="en-US"/>
        </w:rPr>
        <w:t xml:space="preserve">Ex </w:t>
      </w:r>
      <w:proofErr w:type="spellStart"/>
      <w:r w:rsidRPr="00A15962">
        <w:rPr>
          <w:i/>
          <w:lang w:val="en-US"/>
        </w:rPr>
        <w:t>parte</w:t>
      </w:r>
      <w:proofErr w:type="spellEnd"/>
      <w:r w:rsidRPr="00A15962">
        <w:rPr>
          <w:i/>
          <w:lang w:val="en-US"/>
        </w:rPr>
        <w:t xml:space="preserve"> Clarke</w:t>
      </w:r>
      <w:r w:rsidRPr="00D77F12">
        <w:rPr>
          <w:lang w:val="en-US"/>
        </w:rPr>
        <w:t>, 100 U.S. 399, 420</w:t>
      </w:r>
      <w:r w:rsidRPr="006E67FE">
        <w:rPr>
          <w:lang w:val="en-US"/>
        </w:rPr>
        <w:t xml:space="preserve"> = 25 L. Ed. </w:t>
      </w:r>
      <w:r w:rsidRPr="00D77F12">
        <w:rPr>
          <w:lang w:val="en-US"/>
        </w:rPr>
        <w:t>715</w:t>
      </w:r>
      <w:r w:rsidR="00EB25BD">
        <w:rPr>
          <w:lang w:val="en-US"/>
        </w:rPr>
        <w:t xml:space="preserve"> </w:t>
      </w:r>
      <w:r>
        <w:rPr>
          <w:lang w:val="en-US"/>
        </w:rPr>
        <w:t xml:space="preserve">= 1879 U.S. LEXIS </w:t>
      </w:r>
      <w:r w:rsidRPr="00D77F12">
        <w:rPr>
          <w:lang w:val="en-US"/>
        </w:rPr>
        <w:t>1834, 42</w:t>
      </w:r>
      <w:r>
        <w:rPr>
          <w:lang w:val="en-US"/>
        </w:rPr>
        <w:t xml:space="preserve"> = 10 Otto </w:t>
      </w:r>
      <w:r w:rsidRPr="00D77F12">
        <w:rPr>
          <w:lang w:val="en-US"/>
        </w:rPr>
        <w:t>399 (</w:t>
      </w:r>
      <w:r>
        <w:rPr>
          <w:lang w:val="en-US"/>
        </w:rPr>
        <w:t>1879</w:t>
      </w:r>
      <w:r w:rsidRPr="00D77F12">
        <w:rPr>
          <w:lang w:val="en-US"/>
        </w:rPr>
        <w:t>)</w:t>
      </w:r>
      <w:r>
        <w:rPr>
          <w:lang w:val="en-US"/>
        </w:rPr>
        <w:t>.</w:t>
      </w:r>
    </w:p>
  </w:footnote>
  <w:footnote w:id="1583">
    <w:p w14:paraId="2FF23C50" w14:textId="4D80F02B" w:rsidR="00074551" w:rsidRPr="00B75B18" w:rsidRDefault="00074551" w:rsidP="00074551">
      <w:pPr>
        <w:pStyle w:val="Funotentext"/>
        <w:rPr>
          <w:lang w:val="en-US"/>
        </w:rPr>
      </w:pPr>
      <w:r>
        <w:rPr>
          <w:rStyle w:val="Funotenzeichen"/>
        </w:rPr>
        <w:footnoteRef/>
      </w:r>
      <w:r w:rsidRPr="00B75B18">
        <w:rPr>
          <w:lang w:val="en-US"/>
        </w:rPr>
        <w:t xml:space="preserve"> </w:t>
      </w:r>
      <w:r w:rsidRPr="00A15962">
        <w:rPr>
          <w:i/>
          <w:lang w:val="en-US"/>
        </w:rPr>
        <w:t xml:space="preserve">Ex </w:t>
      </w:r>
      <w:proofErr w:type="spellStart"/>
      <w:r w:rsidRPr="00A15962">
        <w:rPr>
          <w:i/>
          <w:lang w:val="en-US"/>
        </w:rPr>
        <w:t>parte</w:t>
      </w:r>
      <w:proofErr w:type="spellEnd"/>
      <w:r w:rsidRPr="00A15962">
        <w:rPr>
          <w:i/>
          <w:lang w:val="en-US"/>
        </w:rPr>
        <w:t xml:space="preserve"> Clarke</w:t>
      </w:r>
      <w:r w:rsidRPr="00B75B18">
        <w:rPr>
          <w:lang w:val="en-US"/>
        </w:rPr>
        <w:t>, 100 U.S. 399, 420</w:t>
      </w:r>
      <w:r w:rsidRPr="006E67FE">
        <w:rPr>
          <w:lang w:val="en-US"/>
        </w:rPr>
        <w:t xml:space="preserve"> = 25 L. Ed. </w:t>
      </w:r>
      <w:r w:rsidRPr="00B75B18">
        <w:rPr>
          <w:lang w:val="en-US"/>
        </w:rPr>
        <w:t>715</w:t>
      </w:r>
      <w:r w:rsidR="00EB25BD">
        <w:rPr>
          <w:lang w:val="en-US"/>
        </w:rPr>
        <w:t xml:space="preserve"> </w:t>
      </w:r>
      <w:r>
        <w:rPr>
          <w:lang w:val="en-US"/>
        </w:rPr>
        <w:t xml:space="preserve">= </w:t>
      </w:r>
      <w:r w:rsidRPr="00B75B18">
        <w:rPr>
          <w:lang w:val="en-US"/>
        </w:rPr>
        <w:t xml:space="preserve">1879 U.S. LEXIS 1834, 42 </w:t>
      </w:r>
      <w:r>
        <w:rPr>
          <w:lang w:val="en-US"/>
        </w:rPr>
        <w:t xml:space="preserve">= 10 Otto </w:t>
      </w:r>
      <w:r w:rsidRPr="00B75B18">
        <w:rPr>
          <w:lang w:val="en-US"/>
        </w:rPr>
        <w:t>399 (</w:t>
      </w:r>
      <w:r>
        <w:rPr>
          <w:lang w:val="en-US"/>
        </w:rPr>
        <w:t>1879</w:t>
      </w:r>
      <w:r w:rsidRPr="00B75B18">
        <w:rPr>
          <w:lang w:val="en-US"/>
        </w:rPr>
        <w:t>)</w:t>
      </w:r>
      <w:r>
        <w:rPr>
          <w:lang w:val="en-US"/>
        </w:rPr>
        <w:t>.</w:t>
      </w:r>
    </w:p>
  </w:footnote>
  <w:footnote w:id="1584">
    <w:p w14:paraId="7B008873" w14:textId="77777777" w:rsidR="00074551" w:rsidRPr="002C52D2" w:rsidRDefault="00074551" w:rsidP="00074551">
      <w:pPr>
        <w:pStyle w:val="Funotentext"/>
        <w:ind w:left="227" w:hanging="227"/>
        <w:jc w:val="both"/>
        <w:rPr>
          <w:lang w:val="en-US"/>
        </w:rPr>
      </w:pPr>
      <w:r>
        <w:rPr>
          <w:rStyle w:val="Funotenzeichen"/>
          <w:rFonts w:eastAsiaTheme="majorEastAsia"/>
        </w:rPr>
        <w:footnoteRef/>
      </w:r>
      <w:r w:rsidRPr="002C52D2">
        <w:rPr>
          <w:lang w:val="en-US"/>
        </w:rPr>
        <w:t xml:space="preserve"> </w:t>
      </w:r>
      <w:proofErr w:type="spellStart"/>
      <w:r w:rsidRPr="00584023">
        <w:rPr>
          <w:i/>
          <w:lang w:val="en-US"/>
        </w:rPr>
        <w:t>Bartemeyer</w:t>
      </w:r>
      <w:proofErr w:type="spellEnd"/>
      <w:r w:rsidRPr="00584023">
        <w:rPr>
          <w:i/>
          <w:lang w:val="en-US"/>
        </w:rPr>
        <w:t xml:space="preserve"> v. Iowa</w:t>
      </w:r>
      <w:r w:rsidRPr="002C52D2">
        <w:rPr>
          <w:lang w:val="en-US"/>
        </w:rPr>
        <w:t>, 85 U.S. 129, 136</w:t>
      </w:r>
      <w:r w:rsidRPr="003B741A">
        <w:rPr>
          <w:lang w:val="en-US"/>
        </w:rPr>
        <w:t xml:space="preserve"> = 21 L. Ed. </w:t>
      </w:r>
      <w:r w:rsidRPr="002C52D2">
        <w:rPr>
          <w:lang w:val="en-US"/>
        </w:rPr>
        <w:t>929, 932</w:t>
      </w:r>
      <w:r w:rsidRPr="003B741A">
        <w:rPr>
          <w:lang w:val="en-US"/>
        </w:rPr>
        <w:t xml:space="preserve"> = 1873 U.S. LEXIS </w:t>
      </w:r>
      <w:r w:rsidRPr="002C52D2">
        <w:rPr>
          <w:lang w:val="en-US"/>
        </w:rPr>
        <w:t>1297, 14</w:t>
      </w:r>
      <w:r w:rsidRPr="003B741A">
        <w:rPr>
          <w:lang w:val="en-US"/>
        </w:rPr>
        <w:t xml:space="preserve"> = 18 Wall. </w:t>
      </w:r>
      <w:r w:rsidRPr="002C52D2">
        <w:rPr>
          <w:lang w:val="en-US"/>
        </w:rPr>
        <w:t>129 (1874)</w:t>
      </w:r>
      <w:r>
        <w:rPr>
          <w:lang w:val="en-US"/>
        </w:rPr>
        <w:t>.</w:t>
      </w:r>
    </w:p>
  </w:footnote>
  <w:footnote w:id="1585">
    <w:p w14:paraId="5E7F973E" w14:textId="77777777" w:rsidR="00074551" w:rsidRPr="00D81397" w:rsidRDefault="00074551" w:rsidP="00074551">
      <w:pPr>
        <w:pStyle w:val="Funotentext"/>
        <w:rPr>
          <w:lang w:val="en-US"/>
        </w:rPr>
      </w:pPr>
      <w:r>
        <w:rPr>
          <w:rStyle w:val="Funotenzeichen"/>
        </w:rPr>
        <w:footnoteRef/>
      </w:r>
      <w:r w:rsidRPr="00D81397">
        <w:rPr>
          <w:lang w:val="en-US"/>
        </w:rPr>
        <w:t xml:space="preserve"> </w:t>
      </w:r>
      <w:r w:rsidRPr="00A15962">
        <w:rPr>
          <w:i/>
          <w:lang w:val="en-US"/>
        </w:rPr>
        <w:t>Bell v. Maryland</w:t>
      </w:r>
      <w:r w:rsidRPr="00D81397">
        <w:rPr>
          <w:lang w:val="en-US"/>
        </w:rPr>
        <w:t>, 378 U.S. 226, 286</w:t>
      </w:r>
      <w:r>
        <w:rPr>
          <w:lang w:val="en-US"/>
        </w:rPr>
        <w:t xml:space="preserve"> = 84 S. Ct. </w:t>
      </w:r>
      <w:r w:rsidRPr="00D81397">
        <w:rPr>
          <w:lang w:val="en-US"/>
        </w:rPr>
        <w:t>1814, 1847</w:t>
      </w:r>
      <w:r>
        <w:rPr>
          <w:lang w:val="en-US"/>
        </w:rPr>
        <w:t xml:space="preserve"> = 12 L. Ed. </w:t>
      </w:r>
      <w:r w:rsidRPr="00D81397">
        <w:rPr>
          <w:lang w:val="en-US"/>
        </w:rPr>
        <w:t>2d 822, 833</w:t>
      </w:r>
      <w:r>
        <w:rPr>
          <w:lang w:val="en-US"/>
        </w:rPr>
        <w:t xml:space="preserve"> = 1964 U.S. LEXIS </w:t>
      </w:r>
      <w:r w:rsidRPr="00D81397">
        <w:rPr>
          <w:lang w:val="en-US"/>
        </w:rPr>
        <w:t>824, 88 (1964)</w:t>
      </w:r>
      <w:r>
        <w:rPr>
          <w:lang w:val="en-US"/>
        </w:rPr>
        <w:t>.</w:t>
      </w:r>
    </w:p>
  </w:footnote>
  <w:footnote w:id="1586">
    <w:p w14:paraId="5FD9FBEA"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United States v. Reese</w:t>
      </w:r>
      <w:r w:rsidRPr="00C2448C">
        <w:rPr>
          <w:lang w:val="en-US"/>
        </w:rPr>
        <w:t>, 92 U.S. 214, 218</w:t>
      </w:r>
      <w:r>
        <w:rPr>
          <w:lang w:val="en-US"/>
        </w:rPr>
        <w:t xml:space="preserve">; </w:t>
      </w:r>
      <w:r w:rsidRPr="00A15962">
        <w:rPr>
          <w:i/>
          <w:lang w:val="en-US"/>
        </w:rPr>
        <w:t>Bell v. Maryland</w:t>
      </w:r>
      <w:r w:rsidRPr="00C2448C">
        <w:rPr>
          <w:lang w:val="en-US"/>
        </w:rPr>
        <w:t>, 378 U.S. 226, 286</w:t>
      </w:r>
      <w:r>
        <w:rPr>
          <w:lang w:val="en-US"/>
        </w:rPr>
        <w:t xml:space="preserve"> = 84 S. Ct. </w:t>
      </w:r>
      <w:r w:rsidRPr="00C2448C">
        <w:rPr>
          <w:lang w:val="en-US"/>
        </w:rPr>
        <w:t>1814, 1847</w:t>
      </w:r>
      <w:r>
        <w:rPr>
          <w:lang w:val="en-US"/>
        </w:rPr>
        <w:t xml:space="preserve"> = 12 L. Ed. </w:t>
      </w:r>
      <w:r w:rsidRPr="00C2448C">
        <w:rPr>
          <w:lang w:val="en-US"/>
        </w:rPr>
        <w:t>2d 822, 833</w:t>
      </w:r>
      <w:r>
        <w:rPr>
          <w:lang w:val="en-US"/>
        </w:rPr>
        <w:t xml:space="preserve"> = 1964 U.S. LEXIS </w:t>
      </w:r>
      <w:r w:rsidRPr="00C2448C">
        <w:rPr>
          <w:lang w:val="en-US"/>
        </w:rPr>
        <w:t>824, 89 (1964)</w:t>
      </w:r>
      <w:r>
        <w:rPr>
          <w:lang w:val="en-US"/>
        </w:rPr>
        <w:t>.</w:t>
      </w:r>
    </w:p>
  </w:footnote>
  <w:footnote w:id="1587">
    <w:p w14:paraId="48A22A68"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United States v. Reese</w:t>
      </w:r>
      <w:r w:rsidRPr="00C2448C">
        <w:rPr>
          <w:lang w:val="en-US"/>
        </w:rPr>
        <w:t>, 92 U.S. 214, 218</w:t>
      </w:r>
      <w:r>
        <w:rPr>
          <w:lang w:val="en-US"/>
        </w:rPr>
        <w:t xml:space="preserve">; </w:t>
      </w:r>
      <w:r w:rsidRPr="00A15962">
        <w:rPr>
          <w:i/>
          <w:lang w:val="en-US"/>
        </w:rPr>
        <w:t>Bell v. Maryland</w:t>
      </w:r>
      <w:r w:rsidRPr="00C2448C">
        <w:rPr>
          <w:lang w:val="en-US"/>
        </w:rPr>
        <w:t>, 378 U.S. 226, 286</w:t>
      </w:r>
      <w:r>
        <w:rPr>
          <w:lang w:val="en-US"/>
        </w:rPr>
        <w:t xml:space="preserve"> = 84 S. Ct. </w:t>
      </w:r>
      <w:r w:rsidRPr="00C2448C">
        <w:rPr>
          <w:lang w:val="en-US"/>
        </w:rPr>
        <w:t>1814, 1847</w:t>
      </w:r>
      <w:r>
        <w:rPr>
          <w:lang w:val="en-US"/>
        </w:rPr>
        <w:t xml:space="preserve"> = 12 L. Ed. </w:t>
      </w:r>
      <w:r w:rsidRPr="00C2448C">
        <w:rPr>
          <w:lang w:val="en-US"/>
        </w:rPr>
        <w:t>2d 822, 833</w:t>
      </w:r>
      <w:r>
        <w:rPr>
          <w:lang w:val="en-US"/>
        </w:rPr>
        <w:t xml:space="preserve"> = 1964 U.S. LEXIS </w:t>
      </w:r>
      <w:r w:rsidRPr="00C2448C">
        <w:rPr>
          <w:lang w:val="en-US"/>
        </w:rPr>
        <w:t>824, 89 (1964)</w:t>
      </w:r>
      <w:r>
        <w:rPr>
          <w:lang w:val="en-US"/>
        </w:rPr>
        <w:t>.</w:t>
      </w:r>
    </w:p>
  </w:footnote>
  <w:footnote w:id="1588">
    <w:p w14:paraId="1041AEED"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United States v. Reese</w:t>
      </w:r>
      <w:r w:rsidRPr="00C2448C">
        <w:rPr>
          <w:lang w:val="en-US"/>
        </w:rPr>
        <w:t>, 92 U.S. 214, 218</w:t>
      </w:r>
      <w:r>
        <w:rPr>
          <w:lang w:val="en-US"/>
        </w:rPr>
        <w:t xml:space="preserve">; </w:t>
      </w:r>
      <w:r w:rsidRPr="00A15962">
        <w:rPr>
          <w:i/>
          <w:lang w:val="en-US"/>
        </w:rPr>
        <w:t>Bell v. Maryland</w:t>
      </w:r>
      <w:r w:rsidRPr="00C2448C">
        <w:rPr>
          <w:lang w:val="en-US"/>
        </w:rPr>
        <w:t>, 378 U.S. 226, 286</w:t>
      </w:r>
      <w:r>
        <w:rPr>
          <w:lang w:val="en-US"/>
        </w:rPr>
        <w:t xml:space="preserve"> = 84 S. Ct. </w:t>
      </w:r>
      <w:r w:rsidRPr="00C2448C">
        <w:rPr>
          <w:lang w:val="en-US"/>
        </w:rPr>
        <w:t>1814, 1847</w:t>
      </w:r>
      <w:r>
        <w:rPr>
          <w:lang w:val="en-US"/>
        </w:rPr>
        <w:t xml:space="preserve"> = 12 L. Ed. </w:t>
      </w:r>
      <w:r w:rsidRPr="00C2448C">
        <w:rPr>
          <w:lang w:val="en-US"/>
        </w:rPr>
        <w:t>2d 822, 833</w:t>
      </w:r>
      <w:r>
        <w:rPr>
          <w:lang w:val="en-US"/>
        </w:rPr>
        <w:t xml:space="preserve"> = 1964 U.S. LEXIS </w:t>
      </w:r>
      <w:r w:rsidRPr="00C2448C">
        <w:rPr>
          <w:lang w:val="en-US"/>
        </w:rPr>
        <w:t>824, 89 (1964)</w:t>
      </w:r>
      <w:r>
        <w:rPr>
          <w:lang w:val="en-US"/>
        </w:rPr>
        <w:t>.</w:t>
      </w:r>
    </w:p>
  </w:footnote>
  <w:footnote w:id="1589">
    <w:p w14:paraId="42E07717"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United States v. Reese</w:t>
      </w:r>
      <w:r w:rsidRPr="00C2448C">
        <w:rPr>
          <w:lang w:val="en-US"/>
        </w:rPr>
        <w:t>, 92 U.S. 214, 218</w:t>
      </w:r>
      <w:r>
        <w:rPr>
          <w:lang w:val="en-US"/>
        </w:rPr>
        <w:t xml:space="preserve">; </w:t>
      </w:r>
      <w:r w:rsidRPr="00A15962">
        <w:rPr>
          <w:i/>
          <w:lang w:val="en-US"/>
        </w:rPr>
        <w:t>Bell v. Maryland</w:t>
      </w:r>
      <w:r w:rsidRPr="00C2448C">
        <w:rPr>
          <w:lang w:val="en-US"/>
        </w:rPr>
        <w:t>, 378 U.S. 226, 286</w:t>
      </w:r>
      <w:r>
        <w:rPr>
          <w:lang w:val="en-US"/>
        </w:rPr>
        <w:t xml:space="preserve"> = 84 S. Ct. </w:t>
      </w:r>
      <w:r w:rsidRPr="00C2448C">
        <w:rPr>
          <w:lang w:val="en-US"/>
        </w:rPr>
        <w:t>1814, 1847</w:t>
      </w:r>
      <w:r>
        <w:rPr>
          <w:lang w:val="en-US"/>
        </w:rPr>
        <w:t xml:space="preserve"> = 12 L. Ed. </w:t>
      </w:r>
      <w:r w:rsidRPr="00C2448C">
        <w:rPr>
          <w:lang w:val="en-US"/>
        </w:rPr>
        <w:t>2d 822, 833</w:t>
      </w:r>
      <w:r>
        <w:rPr>
          <w:lang w:val="en-US"/>
        </w:rPr>
        <w:t xml:space="preserve"> = 1964 U.S. LEXIS </w:t>
      </w:r>
      <w:r w:rsidRPr="00C2448C">
        <w:rPr>
          <w:lang w:val="en-US"/>
        </w:rPr>
        <w:t>824, 89 (1964)</w:t>
      </w:r>
      <w:r>
        <w:rPr>
          <w:lang w:val="en-US"/>
        </w:rPr>
        <w:t>.</w:t>
      </w:r>
    </w:p>
  </w:footnote>
  <w:footnote w:id="1590">
    <w:p w14:paraId="384581A7"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United States v. Reese</w:t>
      </w:r>
      <w:r w:rsidRPr="00C2448C">
        <w:rPr>
          <w:lang w:val="en-US"/>
        </w:rPr>
        <w:t>, 92 U.S. 214, 218</w:t>
      </w:r>
      <w:r>
        <w:rPr>
          <w:lang w:val="en-US"/>
        </w:rPr>
        <w:t xml:space="preserve">; </w:t>
      </w:r>
      <w:r w:rsidRPr="00A15962">
        <w:rPr>
          <w:i/>
          <w:lang w:val="en-US"/>
        </w:rPr>
        <w:t>Bell v. Maryland</w:t>
      </w:r>
      <w:r w:rsidRPr="00C2448C">
        <w:rPr>
          <w:lang w:val="en-US"/>
        </w:rPr>
        <w:t>, 378 U.S. 226, 286</w:t>
      </w:r>
      <w:r>
        <w:rPr>
          <w:lang w:val="en-US"/>
        </w:rPr>
        <w:t xml:space="preserve"> = 84 S. Ct. </w:t>
      </w:r>
      <w:r w:rsidRPr="00C2448C">
        <w:rPr>
          <w:lang w:val="en-US"/>
        </w:rPr>
        <w:t>1814, 1847</w:t>
      </w:r>
      <w:r>
        <w:rPr>
          <w:lang w:val="en-US"/>
        </w:rPr>
        <w:t xml:space="preserve"> = 12 L. Ed. </w:t>
      </w:r>
      <w:r w:rsidRPr="00C2448C">
        <w:rPr>
          <w:lang w:val="en-US"/>
        </w:rPr>
        <w:t>2d 822, 833</w:t>
      </w:r>
      <w:r>
        <w:rPr>
          <w:lang w:val="en-US"/>
        </w:rPr>
        <w:t xml:space="preserve"> = 1964 U.S. LEXIS </w:t>
      </w:r>
      <w:r w:rsidRPr="00C2448C">
        <w:rPr>
          <w:lang w:val="en-US"/>
        </w:rPr>
        <w:t>824, 89 (1964)</w:t>
      </w:r>
      <w:r>
        <w:rPr>
          <w:lang w:val="en-US"/>
        </w:rPr>
        <w:t>.</w:t>
      </w:r>
    </w:p>
  </w:footnote>
  <w:footnote w:id="1591">
    <w:p w14:paraId="5D8BA468"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B45592">
        <w:rPr>
          <w:i/>
          <w:lang w:val="en-US"/>
        </w:rPr>
        <w:t>United States v. Classic</w:t>
      </w:r>
      <w:r w:rsidRPr="00C2448C">
        <w:rPr>
          <w:lang w:val="en-US"/>
        </w:rPr>
        <w:t>, 313 U.S. 299, 316</w:t>
      </w:r>
      <w:r>
        <w:rPr>
          <w:lang w:val="en-US"/>
        </w:rPr>
        <w:t xml:space="preserve">; </w:t>
      </w:r>
      <w:r w:rsidRPr="00A15962">
        <w:rPr>
          <w:i/>
          <w:lang w:val="en-US"/>
        </w:rPr>
        <w:t>Bell v. Maryland</w:t>
      </w:r>
      <w:r w:rsidRPr="00C2448C">
        <w:rPr>
          <w:lang w:val="en-US"/>
        </w:rPr>
        <w:t>, 378 U.S. 226, 287</w:t>
      </w:r>
      <w:r>
        <w:rPr>
          <w:lang w:val="en-US"/>
        </w:rPr>
        <w:t xml:space="preserve"> = 84 S. Ct. </w:t>
      </w:r>
      <w:r w:rsidRPr="00C2448C">
        <w:rPr>
          <w:lang w:val="en-US"/>
        </w:rPr>
        <w:t>1814, 1848</w:t>
      </w:r>
      <w:r>
        <w:rPr>
          <w:lang w:val="en-US"/>
        </w:rPr>
        <w:t xml:space="preserve"> = 12 L. Ed. </w:t>
      </w:r>
      <w:r w:rsidRPr="00C2448C">
        <w:rPr>
          <w:lang w:val="en-US"/>
        </w:rPr>
        <w:t>2d 822, 833</w:t>
      </w:r>
      <w:r>
        <w:rPr>
          <w:lang w:val="en-US"/>
        </w:rPr>
        <w:t xml:space="preserve"> = 1964 U.S. LEXIS </w:t>
      </w:r>
      <w:r w:rsidRPr="00C2448C">
        <w:rPr>
          <w:lang w:val="en-US"/>
        </w:rPr>
        <w:t>824, 90 (1964)</w:t>
      </w:r>
      <w:r>
        <w:rPr>
          <w:lang w:val="en-US"/>
        </w:rPr>
        <w:t>.</w:t>
      </w:r>
    </w:p>
  </w:footnote>
  <w:footnote w:id="1592">
    <w:p w14:paraId="512F0139"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Brown v. Board of Education</w:t>
      </w:r>
      <w:r w:rsidRPr="00C2448C">
        <w:rPr>
          <w:lang w:val="en-US"/>
        </w:rPr>
        <w:t>, 347 U.S. 483</w:t>
      </w:r>
      <w:r>
        <w:rPr>
          <w:lang w:val="en-US"/>
        </w:rPr>
        <w:t xml:space="preserve">; </w:t>
      </w:r>
      <w:r w:rsidRPr="00A15962">
        <w:rPr>
          <w:i/>
          <w:lang w:val="en-US"/>
        </w:rPr>
        <w:t>Bell v. Maryland</w:t>
      </w:r>
      <w:r w:rsidRPr="00C2448C">
        <w:rPr>
          <w:lang w:val="en-US"/>
        </w:rPr>
        <w:t>, 378 U.S. 226, 287</w:t>
      </w:r>
      <w:r>
        <w:rPr>
          <w:lang w:val="en-US"/>
        </w:rPr>
        <w:t xml:space="preserve"> = 84 S. Ct. </w:t>
      </w:r>
      <w:r w:rsidRPr="00C2448C">
        <w:rPr>
          <w:lang w:val="en-US"/>
        </w:rPr>
        <w:t>1814, 1848</w:t>
      </w:r>
      <w:r>
        <w:rPr>
          <w:lang w:val="en-US"/>
        </w:rPr>
        <w:t xml:space="preserve"> = 12 L. Ed. </w:t>
      </w:r>
      <w:r w:rsidRPr="00C2448C">
        <w:rPr>
          <w:lang w:val="en-US"/>
        </w:rPr>
        <w:t>2d 822, 833</w:t>
      </w:r>
      <w:r>
        <w:rPr>
          <w:lang w:val="en-US"/>
        </w:rPr>
        <w:t xml:space="preserve"> = 1964 U.S. LEXIS </w:t>
      </w:r>
      <w:r w:rsidRPr="00C2448C">
        <w:rPr>
          <w:lang w:val="en-US"/>
        </w:rPr>
        <w:t>824, 90 (1964)</w:t>
      </w:r>
      <w:r>
        <w:rPr>
          <w:lang w:val="en-US"/>
        </w:rPr>
        <w:t>.</w:t>
      </w:r>
    </w:p>
  </w:footnote>
  <w:footnote w:id="1593">
    <w:p w14:paraId="134EC093" w14:textId="77777777" w:rsidR="00074551" w:rsidRPr="00C2448C" w:rsidRDefault="00074551" w:rsidP="00074551">
      <w:pPr>
        <w:pStyle w:val="Funotentext"/>
        <w:rPr>
          <w:lang w:val="en-US"/>
        </w:rPr>
      </w:pPr>
      <w:r>
        <w:rPr>
          <w:rStyle w:val="Funotenzeichen"/>
          <w:rFonts w:eastAsiaTheme="majorEastAsia"/>
        </w:rPr>
        <w:footnoteRef/>
      </w:r>
      <w:r w:rsidRPr="00C2448C">
        <w:rPr>
          <w:lang w:val="en-US"/>
        </w:rPr>
        <w:t xml:space="preserve"> </w:t>
      </w:r>
      <w:r w:rsidRPr="00A15962">
        <w:rPr>
          <w:i/>
          <w:lang w:val="en-US"/>
        </w:rPr>
        <w:t>Bell v. Maryland</w:t>
      </w:r>
      <w:r w:rsidRPr="00C2448C">
        <w:rPr>
          <w:lang w:val="en-US"/>
        </w:rPr>
        <w:t>, 378 U.S. 226, 287</w:t>
      </w:r>
      <w:r>
        <w:rPr>
          <w:lang w:val="en-US"/>
        </w:rPr>
        <w:t xml:space="preserve"> = 84 S. Ct. </w:t>
      </w:r>
      <w:r w:rsidRPr="00C2448C">
        <w:rPr>
          <w:lang w:val="en-US"/>
        </w:rPr>
        <w:t>1814, 1848</w:t>
      </w:r>
      <w:r>
        <w:rPr>
          <w:lang w:val="en-US"/>
        </w:rPr>
        <w:t xml:space="preserve"> = 12 L. Ed. </w:t>
      </w:r>
      <w:r w:rsidRPr="00C2448C">
        <w:rPr>
          <w:lang w:val="en-US"/>
        </w:rPr>
        <w:t>2d 822, 833</w:t>
      </w:r>
      <w:r>
        <w:rPr>
          <w:lang w:val="en-US"/>
        </w:rPr>
        <w:t xml:space="preserve"> = 1964 U.S. LEXIS </w:t>
      </w:r>
      <w:r w:rsidRPr="00C2448C">
        <w:rPr>
          <w:lang w:val="en-US"/>
        </w:rPr>
        <w:t>824, 90 (1964)</w:t>
      </w:r>
      <w:r>
        <w:rPr>
          <w:lang w:val="en-US"/>
        </w:rPr>
        <w:t xml:space="preserve">; des </w:t>
      </w:r>
      <w:proofErr w:type="spellStart"/>
      <w:r>
        <w:rPr>
          <w:lang w:val="en-US"/>
        </w:rPr>
        <w:t>Weiteren</w:t>
      </w:r>
      <w:proofErr w:type="spellEnd"/>
      <w:r>
        <w:rPr>
          <w:lang w:val="en-US"/>
        </w:rPr>
        <w:t xml:space="preserve"> </w:t>
      </w:r>
      <w:proofErr w:type="spellStart"/>
      <w:r>
        <w:rPr>
          <w:lang w:val="en-US"/>
        </w:rPr>
        <w:t>werden</w:t>
      </w:r>
      <w:proofErr w:type="spellEnd"/>
      <w:r>
        <w:rPr>
          <w:lang w:val="en-US"/>
        </w:rPr>
        <w:t xml:space="preserve"> </w:t>
      </w:r>
      <w:proofErr w:type="spellStart"/>
      <w:r>
        <w:rPr>
          <w:lang w:val="en-US"/>
        </w:rPr>
        <w:t>dort</w:t>
      </w:r>
      <w:proofErr w:type="spellEnd"/>
      <w:r>
        <w:rPr>
          <w:lang w:val="en-US"/>
        </w:rPr>
        <w:t xml:space="preserve"> in </w:t>
      </w:r>
      <w:proofErr w:type="spellStart"/>
      <w:r>
        <w:rPr>
          <w:lang w:val="en-US"/>
        </w:rPr>
        <w:t>Fußnote</w:t>
      </w:r>
      <w:proofErr w:type="spellEnd"/>
      <w:r>
        <w:rPr>
          <w:lang w:val="en-US"/>
        </w:rPr>
        <w:t xml:space="preserve"> 2 </w:t>
      </w:r>
      <w:proofErr w:type="spellStart"/>
      <w:r>
        <w:rPr>
          <w:lang w:val="en-US"/>
        </w:rPr>
        <w:t>zitiert</w:t>
      </w:r>
      <w:proofErr w:type="spellEnd"/>
      <w:r>
        <w:rPr>
          <w:lang w:val="en-US"/>
        </w:rPr>
        <w:t>: „</w:t>
      </w:r>
      <w:r w:rsidRPr="00B45592">
        <w:rPr>
          <w:i/>
          <w:lang w:val="en-US"/>
        </w:rPr>
        <w:t>Anderson v. Martin</w:t>
      </w:r>
      <w:r w:rsidRPr="00C2448C">
        <w:rPr>
          <w:lang w:val="en-US"/>
        </w:rPr>
        <w:t xml:space="preserve">, 375 U.S. 399; </w:t>
      </w:r>
      <w:r w:rsidRPr="00B45592">
        <w:rPr>
          <w:i/>
          <w:lang w:val="en-US"/>
        </w:rPr>
        <w:t>Goss v. Board of Education</w:t>
      </w:r>
      <w:r w:rsidRPr="00C2448C">
        <w:rPr>
          <w:lang w:val="en-US"/>
        </w:rPr>
        <w:t xml:space="preserve">, 373 U.S. 683; </w:t>
      </w:r>
      <w:r w:rsidRPr="00B45592">
        <w:rPr>
          <w:i/>
          <w:lang w:val="en-US"/>
        </w:rPr>
        <w:t>Watson v. City of Memphis</w:t>
      </w:r>
      <w:r w:rsidRPr="00C2448C">
        <w:rPr>
          <w:lang w:val="en-US"/>
        </w:rPr>
        <w:t xml:space="preserve">, 373 U.S. 526; </w:t>
      </w:r>
      <w:r w:rsidRPr="00B45592">
        <w:rPr>
          <w:i/>
          <w:lang w:val="en-US"/>
        </w:rPr>
        <w:t>Lombard v. Louisiana</w:t>
      </w:r>
      <w:r w:rsidRPr="00C2448C">
        <w:rPr>
          <w:lang w:val="en-US"/>
        </w:rPr>
        <w:t xml:space="preserve">, 373 U.S. 267; </w:t>
      </w:r>
      <w:r w:rsidRPr="00B45592">
        <w:rPr>
          <w:i/>
          <w:lang w:val="en-US"/>
        </w:rPr>
        <w:t>Peterson v. City of Greenville</w:t>
      </w:r>
      <w:r w:rsidRPr="00C2448C">
        <w:rPr>
          <w:lang w:val="en-US"/>
        </w:rPr>
        <w:t xml:space="preserve">, 373 U.S. 244; </w:t>
      </w:r>
      <w:r w:rsidRPr="00B45592">
        <w:rPr>
          <w:i/>
          <w:lang w:val="en-US"/>
        </w:rPr>
        <w:t>Johnson v. Virginia</w:t>
      </w:r>
      <w:r w:rsidRPr="00C2448C">
        <w:rPr>
          <w:lang w:val="en-US"/>
        </w:rPr>
        <w:t xml:space="preserve">, 373 U.S. 61; </w:t>
      </w:r>
      <w:r w:rsidRPr="00B45592">
        <w:rPr>
          <w:i/>
          <w:lang w:val="en-US"/>
        </w:rPr>
        <w:t>Turner v. City of Memphis</w:t>
      </w:r>
      <w:r w:rsidRPr="00C2448C">
        <w:rPr>
          <w:lang w:val="en-US"/>
        </w:rPr>
        <w:t xml:space="preserve">, 369 U.S. 350; </w:t>
      </w:r>
      <w:r w:rsidRPr="00B45592">
        <w:rPr>
          <w:i/>
          <w:lang w:val="en-US"/>
        </w:rPr>
        <w:t>Burton v. Wilmington Parking Authority</w:t>
      </w:r>
      <w:r w:rsidRPr="00C2448C">
        <w:rPr>
          <w:lang w:val="en-US"/>
        </w:rPr>
        <w:t xml:space="preserve">, 365 U.S. 715; </w:t>
      </w:r>
      <w:r w:rsidRPr="00B45592">
        <w:rPr>
          <w:i/>
          <w:lang w:val="en-US"/>
        </w:rPr>
        <w:t>Boynton v. Virginia</w:t>
      </w:r>
      <w:r w:rsidRPr="00C2448C">
        <w:rPr>
          <w:lang w:val="en-US"/>
        </w:rPr>
        <w:t xml:space="preserve">, 364 U.S. 454; </w:t>
      </w:r>
      <w:r w:rsidRPr="00B45592">
        <w:rPr>
          <w:i/>
          <w:lang w:val="en-US"/>
        </w:rPr>
        <w:t>Gomillion v. Lightfoot</w:t>
      </w:r>
      <w:r w:rsidRPr="00C2448C">
        <w:rPr>
          <w:lang w:val="en-US"/>
        </w:rPr>
        <w:t xml:space="preserve">, 364 U.S. 339; </w:t>
      </w:r>
      <w:r w:rsidRPr="00B45592">
        <w:rPr>
          <w:i/>
          <w:lang w:val="en-US"/>
        </w:rPr>
        <w:t>Cooper v. Aaron</w:t>
      </w:r>
      <w:r w:rsidRPr="00C2448C">
        <w:rPr>
          <w:lang w:val="en-US"/>
        </w:rPr>
        <w:t xml:space="preserve">, 358 U.S. 1. As Professor Freund has observed, </w:t>
      </w:r>
      <w:r w:rsidRPr="00B45592">
        <w:rPr>
          <w:i/>
          <w:lang w:val="en-US"/>
        </w:rPr>
        <w:t>Brown</w:t>
      </w:r>
      <w:r w:rsidRPr="00C2448C">
        <w:rPr>
          <w:lang w:val="en-US"/>
        </w:rPr>
        <w:t xml:space="preserve"> and the decisions that followed </w:t>
      </w:r>
      <w:proofErr w:type="gramStart"/>
      <w:r w:rsidRPr="00C2448C">
        <w:rPr>
          <w:lang w:val="en-US"/>
        </w:rPr>
        <w:t xml:space="preserve">it </w:t>
      </w:r>
      <w:r>
        <w:rPr>
          <w:lang w:val="en-US"/>
        </w:rPr>
        <w:t>,</w:t>
      </w:r>
      <w:r w:rsidRPr="00C2448C">
        <w:rPr>
          <w:lang w:val="en-US"/>
        </w:rPr>
        <w:t>were</w:t>
      </w:r>
      <w:proofErr w:type="gramEnd"/>
      <w:r w:rsidRPr="00C2448C">
        <w:rPr>
          <w:lang w:val="en-US"/>
        </w:rPr>
        <w:t xml:space="preserve"> not an abrupt departure in constitutional law or a novel interpretation of the guarantee of equal protection of the laws. The old doctrine of separate-but-equal, announced in 1896, had been steadily eroded for at least a generation before the school cases, in the way that precedents are whittled down until they finally </w:t>
      </w:r>
      <w:proofErr w:type="gramStart"/>
      <w:r w:rsidRPr="00C2448C">
        <w:rPr>
          <w:lang w:val="en-US"/>
        </w:rPr>
        <w:t>collapse.</w:t>
      </w:r>
      <w:r>
        <w:rPr>
          <w:lang w:val="en-US"/>
        </w:rPr>
        <w:t>‘</w:t>
      </w:r>
      <w:proofErr w:type="gramEnd"/>
      <w:r w:rsidRPr="00C2448C">
        <w:rPr>
          <w:lang w:val="en-US"/>
        </w:rPr>
        <w:t xml:space="preserve"> Freund, The Supreme Court of the United States (1961), p. 173. See, e. g., </w:t>
      </w:r>
      <w:r w:rsidRPr="00B45592">
        <w:rPr>
          <w:i/>
          <w:lang w:val="en-US"/>
        </w:rPr>
        <w:t>Missouri ex rel. Gaines v. Canada</w:t>
      </w:r>
      <w:r w:rsidRPr="00C2448C">
        <w:rPr>
          <w:lang w:val="en-US"/>
        </w:rPr>
        <w:t xml:space="preserve">, 305 U.S. 337; </w:t>
      </w:r>
      <w:r w:rsidRPr="00B45592">
        <w:rPr>
          <w:i/>
          <w:lang w:val="en-US"/>
        </w:rPr>
        <w:t>Sweatt v. Painter</w:t>
      </w:r>
      <w:r w:rsidRPr="00C2448C">
        <w:rPr>
          <w:lang w:val="en-US"/>
        </w:rPr>
        <w:t xml:space="preserve">, 339 U.S. 629; </w:t>
      </w:r>
      <w:r w:rsidRPr="00B45592">
        <w:rPr>
          <w:i/>
          <w:lang w:val="en-US"/>
        </w:rPr>
        <w:t>McLaurin v. Oklahoma State Regents</w:t>
      </w:r>
      <w:r w:rsidRPr="00C2448C">
        <w:rPr>
          <w:lang w:val="en-US"/>
        </w:rPr>
        <w:t xml:space="preserve">, 339 U.S. </w:t>
      </w:r>
      <w:proofErr w:type="gramStart"/>
      <w:r w:rsidRPr="00C2448C">
        <w:rPr>
          <w:lang w:val="en-US"/>
        </w:rPr>
        <w:t>637</w:t>
      </w:r>
      <w:r>
        <w:rPr>
          <w:lang w:val="en-US"/>
        </w:rPr>
        <w:t>.“</w:t>
      </w:r>
      <w:proofErr w:type="gramEnd"/>
    </w:p>
  </w:footnote>
  <w:footnote w:id="1594">
    <w:p w14:paraId="4F3E8B36" w14:textId="77777777" w:rsidR="00074551" w:rsidRPr="0039328D" w:rsidRDefault="00074551" w:rsidP="00074551">
      <w:pPr>
        <w:pStyle w:val="Funotentext"/>
        <w:rPr>
          <w:lang w:val="en-US"/>
        </w:rPr>
      </w:pPr>
      <w:r>
        <w:rPr>
          <w:rStyle w:val="Funotenzeichen"/>
          <w:rFonts w:eastAsiaTheme="majorEastAsia"/>
        </w:rPr>
        <w:footnoteRef/>
      </w:r>
      <w:r w:rsidRPr="0039328D">
        <w:rPr>
          <w:lang w:val="en-US"/>
        </w:rPr>
        <w:t xml:space="preserve"> </w:t>
      </w:r>
      <w:r w:rsidRPr="00A15962">
        <w:rPr>
          <w:i/>
          <w:lang w:val="en-US"/>
        </w:rPr>
        <w:t>Bell v. Maryland</w:t>
      </w:r>
      <w:r w:rsidRPr="0039328D">
        <w:rPr>
          <w:lang w:val="en-US"/>
        </w:rPr>
        <w:t>, 378 U.S. 226, 288</w:t>
      </w:r>
      <w:r>
        <w:rPr>
          <w:lang w:val="en-US"/>
        </w:rPr>
        <w:t xml:space="preserve"> = 84 S. Ct. </w:t>
      </w:r>
      <w:r w:rsidRPr="0039328D">
        <w:rPr>
          <w:lang w:val="en-US"/>
        </w:rPr>
        <w:t>1814, 1848</w:t>
      </w:r>
      <w:r>
        <w:rPr>
          <w:lang w:val="en-US"/>
        </w:rPr>
        <w:t xml:space="preserve"> = 12 L. Ed. </w:t>
      </w:r>
      <w:r w:rsidRPr="0039328D">
        <w:rPr>
          <w:lang w:val="en-US"/>
        </w:rPr>
        <w:t>2d 822, 834</w:t>
      </w:r>
      <w:r>
        <w:rPr>
          <w:lang w:val="en-US"/>
        </w:rPr>
        <w:t xml:space="preserve"> = 1964 U.S. LEXIS </w:t>
      </w:r>
      <w:r w:rsidRPr="0039328D">
        <w:rPr>
          <w:lang w:val="en-US"/>
        </w:rPr>
        <w:t>824, 91 (1964)</w:t>
      </w:r>
      <w:r>
        <w:rPr>
          <w:lang w:val="en-US"/>
        </w:rPr>
        <w:t>.</w:t>
      </w:r>
    </w:p>
  </w:footnote>
  <w:footnote w:id="1595">
    <w:p w14:paraId="2D6F7F38" w14:textId="77777777" w:rsidR="00074551" w:rsidRPr="00647D99" w:rsidRDefault="00074551" w:rsidP="00074551">
      <w:pPr>
        <w:pStyle w:val="Funotentext"/>
        <w:ind w:left="227" w:hanging="227"/>
        <w:rPr>
          <w:lang w:val="en-US"/>
        </w:rPr>
      </w:pPr>
      <w:r>
        <w:rPr>
          <w:rStyle w:val="Funotenzeichen"/>
          <w:rFonts w:eastAsiaTheme="majorEastAsia"/>
        </w:rPr>
        <w:footnoteRef/>
      </w:r>
      <w:r w:rsidRPr="00647D99">
        <w:rPr>
          <w:lang w:val="en-US"/>
        </w:rPr>
        <w:t xml:space="preserve"> Civil Rights Act of 1875, Cong. Globe, 42d Cong., 2d Sess., 382</w:t>
      </w:r>
      <w:r>
        <w:rPr>
          <w:lang w:val="en-US"/>
        </w:rPr>
        <w:t>–</w:t>
      </w:r>
      <w:r w:rsidRPr="00647D99">
        <w:rPr>
          <w:lang w:val="en-US"/>
        </w:rPr>
        <w:t>383</w:t>
      </w:r>
      <w:r>
        <w:rPr>
          <w:lang w:val="en-US"/>
        </w:rPr>
        <w:t xml:space="preserve">; </w:t>
      </w:r>
      <w:r w:rsidRPr="00A15962">
        <w:rPr>
          <w:i/>
          <w:lang w:val="en-US"/>
        </w:rPr>
        <w:t>Bell v. Maryland</w:t>
      </w:r>
      <w:r w:rsidRPr="00647D99">
        <w:rPr>
          <w:lang w:val="en-US"/>
        </w:rPr>
        <w:t>, 378 U.S. 226, 299</w:t>
      </w:r>
      <w:r>
        <w:rPr>
          <w:lang w:val="en-US"/>
        </w:rPr>
        <w:t xml:space="preserve"> = 84 S. Ct. </w:t>
      </w:r>
      <w:r w:rsidRPr="00647D99">
        <w:rPr>
          <w:lang w:val="en-US"/>
        </w:rPr>
        <w:t>1814, 1854</w:t>
      </w:r>
      <w:r>
        <w:rPr>
          <w:lang w:val="en-US"/>
        </w:rPr>
        <w:t xml:space="preserve"> = 12 L. Ed. </w:t>
      </w:r>
      <w:r w:rsidRPr="00647D99">
        <w:rPr>
          <w:lang w:val="en-US"/>
        </w:rPr>
        <w:t>2d 822, 840</w:t>
      </w:r>
      <w:r>
        <w:rPr>
          <w:lang w:val="en-US"/>
        </w:rPr>
        <w:t xml:space="preserve"> = 1964 U.S. LEXIS </w:t>
      </w:r>
      <w:r w:rsidRPr="00647D99">
        <w:rPr>
          <w:lang w:val="en-US"/>
        </w:rPr>
        <w:t>824, 107 (1964)</w:t>
      </w:r>
      <w:r>
        <w:rPr>
          <w:lang w:val="en-US"/>
        </w:rPr>
        <w:t>.</w:t>
      </w:r>
    </w:p>
  </w:footnote>
  <w:footnote w:id="1596">
    <w:p w14:paraId="297050B3" w14:textId="77777777" w:rsidR="00074551" w:rsidRPr="0039328D" w:rsidRDefault="00074551" w:rsidP="00074551">
      <w:pPr>
        <w:pStyle w:val="Funotentext"/>
        <w:rPr>
          <w:lang w:val="en-US"/>
        </w:rPr>
      </w:pPr>
      <w:r>
        <w:rPr>
          <w:rStyle w:val="Funotenzeichen"/>
          <w:rFonts w:eastAsiaTheme="majorEastAsia"/>
        </w:rPr>
        <w:footnoteRef/>
      </w:r>
      <w:r w:rsidRPr="0039328D">
        <w:rPr>
          <w:lang w:val="en-US"/>
        </w:rPr>
        <w:t xml:space="preserve"> Cong. Globe, 42d Cong., 2d Sess., 382</w:t>
      </w:r>
      <w:r>
        <w:rPr>
          <w:lang w:val="en-US"/>
        </w:rPr>
        <w:t>–</w:t>
      </w:r>
      <w:r w:rsidRPr="0039328D">
        <w:rPr>
          <w:lang w:val="en-US"/>
        </w:rPr>
        <w:t>383</w:t>
      </w:r>
      <w:r>
        <w:rPr>
          <w:lang w:val="en-US"/>
        </w:rPr>
        <w:t xml:space="preserve">; </w:t>
      </w:r>
      <w:r w:rsidRPr="00A15962">
        <w:rPr>
          <w:i/>
          <w:lang w:val="en-US"/>
        </w:rPr>
        <w:t>Bell v. Maryland</w:t>
      </w:r>
      <w:r w:rsidRPr="0039328D">
        <w:rPr>
          <w:lang w:val="en-US"/>
        </w:rPr>
        <w:t>, 378 U.S. 226, 299</w:t>
      </w:r>
      <w:r>
        <w:rPr>
          <w:lang w:val="en-US"/>
        </w:rPr>
        <w:t xml:space="preserve"> = 84 S. Ct. </w:t>
      </w:r>
      <w:r w:rsidRPr="0039328D">
        <w:rPr>
          <w:lang w:val="en-US"/>
        </w:rPr>
        <w:t>1814, 1854</w:t>
      </w:r>
      <w:r>
        <w:rPr>
          <w:lang w:val="en-US"/>
        </w:rPr>
        <w:t xml:space="preserve"> = 12 L. Ed. </w:t>
      </w:r>
      <w:r w:rsidRPr="0039328D">
        <w:rPr>
          <w:lang w:val="en-US"/>
        </w:rPr>
        <w:t>2d 822, 840</w:t>
      </w:r>
      <w:r>
        <w:rPr>
          <w:lang w:val="en-US"/>
        </w:rPr>
        <w:t xml:space="preserve"> = 1964 U.S. LEXIS </w:t>
      </w:r>
      <w:r w:rsidRPr="0039328D">
        <w:rPr>
          <w:lang w:val="en-US"/>
        </w:rPr>
        <w:t>824, 107 (1964)</w:t>
      </w:r>
      <w:r>
        <w:rPr>
          <w:lang w:val="en-US"/>
        </w:rPr>
        <w:t>.</w:t>
      </w:r>
    </w:p>
  </w:footnote>
  <w:footnote w:id="1597">
    <w:p w14:paraId="54D4B632" w14:textId="77777777" w:rsidR="00074551" w:rsidRPr="00D81397" w:rsidRDefault="00074551" w:rsidP="00074551">
      <w:pPr>
        <w:pStyle w:val="Funotentext"/>
        <w:ind w:left="227" w:hanging="227"/>
        <w:rPr>
          <w:lang w:val="en-US"/>
        </w:rPr>
      </w:pPr>
      <w:r>
        <w:rPr>
          <w:rStyle w:val="Funotenzeichen"/>
          <w:rFonts w:eastAsiaTheme="majorEastAsia"/>
        </w:rPr>
        <w:footnoteRef/>
      </w:r>
      <w:r w:rsidRPr="00D81397">
        <w:rPr>
          <w:lang w:val="en-US"/>
        </w:rPr>
        <w:t xml:space="preserve"> </w:t>
      </w:r>
      <w:r w:rsidRPr="00A15962">
        <w:rPr>
          <w:i/>
          <w:lang w:val="en-US"/>
        </w:rPr>
        <w:t>Bell v. Maryland</w:t>
      </w:r>
      <w:r w:rsidRPr="00D81397">
        <w:rPr>
          <w:lang w:val="en-US"/>
        </w:rPr>
        <w:t>, 378 U.S. 226, 300</w:t>
      </w:r>
      <w:r>
        <w:rPr>
          <w:lang w:val="en-US"/>
        </w:rPr>
        <w:t xml:space="preserve"> = 84 S. Ct. </w:t>
      </w:r>
      <w:r w:rsidRPr="00D81397">
        <w:rPr>
          <w:lang w:val="en-US"/>
        </w:rPr>
        <w:t>1814, 1854</w:t>
      </w:r>
      <w:r>
        <w:rPr>
          <w:lang w:val="en-US"/>
        </w:rPr>
        <w:t xml:space="preserve"> = 12 L. Ed. </w:t>
      </w:r>
      <w:r w:rsidRPr="00D81397">
        <w:rPr>
          <w:lang w:val="en-US"/>
        </w:rPr>
        <w:t>2d 822, 840</w:t>
      </w:r>
      <w:r>
        <w:rPr>
          <w:lang w:val="en-US"/>
        </w:rPr>
        <w:t xml:space="preserve"> = 1964 U.S. LEXIS </w:t>
      </w:r>
      <w:r w:rsidRPr="00D81397">
        <w:rPr>
          <w:lang w:val="en-US"/>
        </w:rPr>
        <w:t>824, 107 (1964)</w:t>
      </w:r>
      <w:r>
        <w:rPr>
          <w:lang w:val="en-US"/>
        </w:rPr>
        <w:t>.</w:t>
      </w:r>
    </w:p>
  </w:footnote>
  <w:footnote w:id="1598">
    <w:p w14:paraId="7F5E8DD4" w14:textId="77777777" w:rsidR="00074551" w:rsidRPr="0039328D" w:rsidRDefault="00074551" w:rsidP="00074551">
      <w:pPr>
        <w:pStyle w:val="Funotentext"/>
        <w:rPr>
          <w:lang w:val="en-US"/>
        </w:rPr>
      </w:pPr>
      <w:r>
        <w:rPr>
          <w:rStyle w:val="Funotenzeichen"/>
          <w:rFonts w:eastAsiaTheme="majorEastAsia"/>
        </w:rPr>
        <w:footnoteRef/>
      </w:r>
      <w:r w:rsidRPr="0039328D">
        <w:rPr>
          <w:lang w:val="en-US"/>
        </w:rPr>
        <w:t xml:space="preserve"> </w:t>
      </w:r>
      <w:r w:rsidRPr="00A15962">
        <w:rPr>
          <w:i/>
          <w:lang w:val="en-US"/>
        </w:rPr>
        <w:t>Bell v. Maryland</w:t>
      </w:r>
      <w:r w:rsidRPr="0039328D">
        <w:rPr>
          <w:lang w:val="en-US"/>
        </w:rPr>
        <w:t>, 378 U.S. 226, 291</w:t>
      </w:r>
      <w:r>
        <w:rPr>
          <w:lang w:val="en-US"/>
        </w:rPr>
        <w:t xml:space="preserve"> = 84 S. Ct. </w:t>
      </w:r>
      <w:r w:rsidRPr="0039328D">
        <w:rPr>
          <w:lang w:val="en-US"/>
        </w:rPr>
        <w:t>1814, 1850</w:t>
      </w:r>
      <w:r>
        <w:rPr>
          <w:lang w:val="en-US"/>
        </w:rPr>
        <w:t xml:space="preserve"> = 12 L. Ed. </w:t>
      </w:r>
      <w:r w:rsidRPr="0039328D">
        <w:rPr>
          <w:lang w:val="en-US"/>
        </w:rPr>
        <w:t>2d 822, 835</w:t>
      </w:r>
      <w:r>
        <w:rPr>
          <w:lang w:val="en-US"/>
        </w:rPr>
        <w:t xml:space="preserve"> = 1964 U.S. LEXIS </w:t>
      </w:r>
      <w:r w:rsidRPr="0039328D">
        <w:rPr>
          <w:lang w:val="en-US"/>
        </w:rPr>
        <w:t>824, 95 (1964)</w:t>
      </w:r>
      <w:r>
        <w:rPr>
          <w:lang w:val="en-US"/>
        </w:rPr>
        <w:t>.</w:t>
      </w:r>
    </w:p>
  </w:footnote>
  <w:footnote w:id="1599">
    <w:p w14:paraId="6973ECE8" w14:textId="77777777" w:rsidR="00074551" w:rsidRPr="008C35FA" w:rsidRDefault="00074551" w:rsidP="00074551">
      <w:pPr>
        <w:pStyle w:val="Funotentext"/>
        <w:rPr>
          <w:lang w:val="en-US"/>
        </w:rPr>
      </w:pPr>
      <w:r>
        <w:rPr>
          <w:rStyle w:val="Funotenzeichen"/>
          <w:rFonts w:eastAsiaTheme="majorEastAsia"/>
        </w:rPr>
        <w:footnoteRef/>
      </w:r>
      <w:r w:rsidRPr="008C35FA">
        <w:rPr>
          <w:lang w:val="en-US"/>
        </w:rPr>
        <w:t xml:space="preserve"> </w:t>
      </w:r>
      <w:r w:rsidRPr="00546F93">
        <w:rPr>
          <w:i/>
          <w:lang w:val="en-US"/>
        </w:rPr>
        <w:t>Blake v. McClung</w:t>
      </w:r>
      <w:r w:rsidRPr="008C35FA">
        <w:rPr>
          <w:lang w:val="en-US"/>
        </w:rPr>
        <w:t>, 172 U.S. 239, 240</w:t>
      </w:r>
      <w:r w:rsidRPr="00EC5BEB">
        <w:rPr>
          <w:lang w:val="en-US"/>
        </w:rPr>
        <w:t xml:space="preserve"> = 19 S. Ct. </w:t>
      </w:r>
      <w:r w:rsidRPr="008C35FA">
        <w:rPr>
          <w:lang w:val="en-US"/>
        </w:rPr>
        <w:t>165, 166</w:t>
      </w:r>
      <w:r w:rsidRPr="00EC5BEB">
        <w:rPr>
          <w:lang w:val="en-US"/>
        </w:rPr>
        <w:t xml:space="preserve"> = 43 L. Ed. </w:t>
      </w:r>
      <w:r w:rsidRPr="008C35FA">
        <w:rPr>
          <w:lang w:val="en-US"/>
        </w:rPr>
        <w:t>432, 433</w:t>
      </w:r>
      <w:r w:rsidRPr="00EC5BEB">
        <w:rPr>
          <w:lang w:val="en-US"/>
        </w:rPr>
        <w:t xml:space="preserve"> = 1898 U.S. LEXIS </w:t>
      </w:r>
      <w:r w:rsidRPr="008C35FA">
        <w:rPr>
          <w:lang w:val="en-US"/>
        </w:rPr>
        <w:t>1651, 1 (1898)</w:t>
      </w:r>
      <w:r>
        <w:rPr>
          <w:lang w:val="en-US"/>
        </w:rPr>
        <w:t>.</w:t>
      </w:r>
    </w:p>
  </w:footnote>
  <w:footnote w:id="1600">
    <w:p w14:paraId="1F5479E4" w14:textId="77777777" w:rsidR="00074551" w:rsidRPr="005538D4" w:rsidRDefault="00074551" w:rsidP="00074551">
      <w:pPr>
        <w:pStyle w:val="Funotentext"/>
        <w:rPr>
          <w:lang w:val="en-US"/>
        </w:rPr>
      </w:pPr>
      <w:r>
        <w:rPr>
          <w:rStyle w:val="Funotenzeichen"/>
          <w:rFonts w:eastAsiaTheme="majorEastAsia"/>
        </w:rPr>
        <w:footnoteRef/>
      </w:r>
      <w:r w:rsidRPr="005538D4">
        <w:rPr>
          <w:lang w:val="en-US"/>
        </w:rPr>
        <w:t xml:space="preserve"> </w:t>
      </w:r>
      <w:r w:rsidRPr="00546F93">
        <w:rPr>
          <w:i/>
          <w:lang w:val="en-US"/>
        </w:rPr>
        <w:t>Blake v. McClung</w:t>
      </w:r>
      <w:r w:rsidRPr="005538D4">
        <w:rPr>
          <w:lang w:val="en-US"/>
        </w:rPr>
        <w:t>, 172 U.S. 239, 240</w:t>
      </w:r>
      <w:r w:rsidRPr="00EC5BEB">
        <w:rPr>
          <w:lang w:val="en-US"/>
        </w:rPr>
        <w:t xml:space="preserve"> = 19 S. Ct. </w:t>
      </w:r>
      <w:r w:rsidRPr="005538D4">
        <w:rPr>
          <w:lang w:val="en-US"/>
        </w:rPr>
        <w:t>165, 166</w:t>
      </w:r>
      <w:r w:rsidRPr="00EC5BEB">
        <w:rPr>
          <w:lang w:val="en-US"/>
        </w:rPr>
        <w:t xml:space="preserve"> = 43 L. Ed. </w:t>
      </w:r>
      <w:r w:rsidRPr="005538D4">
        <w:rPr>
          <w:lang w:val="en-US"/>
        </w:rPr>
        <w:t>432, 433</w:t>
      </w:r>
      <w:r w:rsidRPr="00EC5BEB">
        <w:rPr>
          <w:lang w:val="en-US"/>
        </w:rPr>
        <w:t xml:space="preserve"> = 1898 U.S. LEXIS </w:t>
      </w:r>
      <w:r w:rsidRPr="005538D4">
        <w:rPr>
          <w:lang w:val="en-US"/>
        </w:rPr>
        <w:t>1651, 1 (1898)</w:t>
      </w:r>
      <w:r>
        <w:rPr>
          <w:lang w:val="en-US"/>
        </w:rPr>
        <w:t>.</w:t>
      </w:r>
    </w:p>
  </w:footnote>
  <w:footnote w:id="1601">
    <w:p w14:paraId="06D4F21A" w14:textId="77777777" w:rsidR="00074551" w:rsidRPr="00984D9E" w:rsidRDefault="00074551" w:rsidP="00074551">
      <w:pPr>
        <w:pStyle w:val="Funotentext"/>
        <w:rPr>
          <w:lang w:val="en-US"/>
        </w:rPr>
      </w:pPr>
      <w:r>
        <w:rPr>
          <w:rStyle w:val="Funotenzeichen"/>
          <w:rFonts w:eastAsiaTheme="majorEastAsia"/>
        </w:rPr>
        <w:footnoteRef/>
      </w:r>
      <w:r w:rsidRPr="00984D9E">
        <w:rPr>
          <w:lang w:val="en-US"/>
        </w:rPr>
        <w:t xml:space="preserve"> </w:t>
      </w:r>
      <w:r w:rsidRPr="00546F93">
        <w:rPr>
          <w:i/>
          <w:lang w:val="en-US"/>
        </w:rPr>
        <w:t>Blake v. McClung</w:t>
      </w:r>
      <w:r w:rsidRPr="00984D9E">
        <w:rPr>
          <w:lang w:val="en-US"/>
        </w:rPr>
        <w:t>, 172 U.S. 239, 249</w:t>
      </w:r>
      <w:r w:rsidRPr="00EC5BEB">
        <w:rPr>
          <w:lang w:val="en-US"/>
        </w:rPr>
        <w:t xml:space="preserve"> = 19 S. Ct. </w:t>
      </w:r>
      <w:r w:rsidRPr="00984D9E">
        <w:rPr>
          <w:lang w:val="en-US"/>
        </w:rPr>
        <w:t>165, 169</w:t>
      </w:r>
      <w:r w:rsidRPr="00EC5BEB">
        <w:rPr>
          <w:lang w:val="en-US"/>
        </w:rPr>
        <w:t xml:space="preserve"> = 43 L. Ed. </w:t>
      </w:r>
      <w:r w:rsidRPr="00984D9E">
        <w:rPr>
          <w:lang w:val="en-US"/>
        </w:rPr>
        <w:t>432, 436</w:t>
      </w:r>
      <w:r w:rsidRPr="00EC5BEB">
        <w:rPr>
          <w:lang w:val="en-US"/>
        </w:rPr>
        <w:t xml:space="preserve"> = 1898 U.S. LEXIS </w:t>
      </w:r>
      <w:r w:rsidRPr="00984D9E">
        <w:rPr>
          <w:lang w:val="en-US"/>
        </w:rPr>
        <w:t>1651, 20 (1898)</w:t>
      </w:r>
      <w:r>
        <w:rPr>
          <w:lang w:val="en-US"/>
        </w:rPr>
        <w:t>.</w:t>
      </w:r>
    </w:p>
  </w:footnote>
  <w:footnote w:id="1602">
    <w:p w14:paraId="325893DB" w14:textId="77777777" w:rsidR="00074551" w:rsidRPr="00422ABC" w:rsidRDefault="00074551" w:rsidP="00074551">
      <w:pPr>
        <w:pStyle w:val="Funotentext"/>
        <w:rPr>
          <w:lang w:val="en-US"/>
        </w:rPr>
      </w:pPr>
      <w:r>
        <w:rPr>
          <w:rStyle w:val="Funotenzeichen"/>
          <w:rFonts w:eastAsiaTheme="majorEastAsia"/>
        </w:rPr>
        <w:footnoteRef/>
      </w:r>
      <w:r w:rsidRPr="00422ABC">
        <w:rPr>
          <w:lang w:val="en-US"/>
        </w:rPr>
        <w:t xml:space="preserve"> </w:t>
      </w:r>
      <w:r w:rsidRPr="00B45592">
        <w:rPr>
          <w:i/>
          <w:lang w:val="en-IE"/>
        </w:rPr>
        <w:t>Corfield v. Coryell</w:t>
      </w:r>
      <w:r w:rsidRPr="00B45592">
        <w:rPr>
          <w:lang w:val="en-IE"/>
        </w:rPr>
        <w:t xml:space="preserve">, </w:t>
      </w:r>
      <w:r w:rsidRPr="00422ABC">
        <w:rPr>
          <w:lang w:val="en-US"/>
        </w:rPr>
        <w:t>4 Wash. C.C. 371, 380</w:t>
      </w:r>
      <w:r>
        <w:rPr>
          <w:lang w:val="en-US"/>
        </w:rPr>
        <w:t xml:space="preserve">; </w:t>
      </w:r>
      <w:r w:rsidRPr="00546F93">
        <w:rPr>
          <w:i/>
          <w:lang w:val="en-US"/>
        </w:rPr>
        <w:t>Blake v. McClung</w:t>
      </w:r>
      <w:r w:rsidRPr="00422ABC">
        <w:rPr>
          <w:lang w:val="en-US"/>
        </w:rPr>
        <w:t>, 172 U.S. 239, 249</w:t>
      </w:r>
      <w:r w:rsidRPr="00EC5BEB">
        <w:rPr>
          <w:lang w:val="en-US"/>
        </w:rPr>
        <w:t xml:space="preserve"> = 19 S. Ct. </w:t>
      </w:r>
      <w:r w:rsidRPr="00422ABC">
        <w:rPr>
          <w:lang w:val="en-US"/>
        </w:rPr>
        <w:t>165, 169</w:t>
      </w:r>
      <w:r w:rsidRPr="00EC5BEB">
        <w:rPr>
          <w:lang w:val="en-US"/>
        </w:rPr>
        <w:t xml:space="preserve"> = 43 L. Ed. </w:t>
      </w:r>
      <w:r w:rsidRPr="00422ABC">
        <w:rPr>
          <w:lang w:val="en-US"/>
        </w:rPr>
        <w:t>432, 436</w:t>
      </w:r>
      <w:r w:rsidRPr="00EC5BEB">
        <w:rPr>
          <w:lang w:val="en-US"/>
        </w:rPr>
        <w:t xml:space="preserve"> = 1898 U.S. LEXIS </w:t>
      </w:r>
      <w:r w:rsidRPr="00422ABC">
        <w:rPr>
          <w:lang w:val="en-US"/>
        </w:rPr>
        <w:t>1651, 21 (1898)</w:t>
      </w:r>
      <w:r>
        <w:rPr>
          <w:lang w:val="en-US"/>
        </w:rPr>
        <w:t>.</w:t>
      </w:r>
    </w:p>
  </w:footnote>
  <w:footnote w:id="1603">
    <w:p w14:paraId="0B2D0C2F" w14:textId="77777777" w:rsidR="00074551" w:rsidRPr="00984D9E" w:rsidRDefault="00074551" w:rsidP="00074551">
      <w:pPr>
        <w:pStyle w:val="Funotentext"/>
        <w:rPr>
          <w:lang w:val="en-US"/>
        </w:rPr>
      </w:pPr>
      <w:r>
        <w:rPr>
          <w:rStyle w:val="Funotenzeichen"/>
          <w:rFonts w:eastAsiaTheme="majorEastAsia"/>
        </w:rPr>
        <w:footnoteRef/>
      </w:r>
      <w:r w:rsidRPr="00984D9E">
        <w:rPr>
          <w:lang w:val="en-US"/>
        </w:rPr>
        <w:t xml:space="preserve"> </w:t>
      </w:r>
      <w:r w:rsidRPr="00546F93">
        <w:rPr>
          <w:i/>
          <w:lang w:val="en-US"/>
        </w:rPr>
        <w:t>Blake v. McClung</w:t>
      </w:r>
      <w:r w:rsidRPr="00984D9E">
        <w:rPr>
          <w:lang w:val="en-US"/>
        </w:rPr>
        <w:t>, 172 U.S. 239, 249</w:t>
      </w:r>
      <w:r w:rsidRPr="00EC5BEB">
        <w:rPr>
          <w:lang w:val="en-US"/>
        </w:rPr>
        <w:t xml:space="preserve"> = 19 S. Ct. </w:t>
      </w:r>
      <w:r w:rsidRPr="00984D9E">
        <w:rPr>
          <w:lang w:val="en-US"/>
        </w:rPr>
        <w:t>165, 169</w:t>
      </w:r>
      <w:r w:rsidRPr="00EC5BEB">
        <w:rPr>
          <w:lang w:val="en-US"/>
        </w:rPr>
        <w:t xml:space="preserve"> = 43 L. Ed. </w:t>
      </w:r>
      <w:r w:rsidRPr="00984D9E">
        <w:rPr>
          <w:lang w:val="en-US"/>
        </w:rPr>
        <w:t>432, 436</w:t>
      </w:r>
      <w:r w:rsidRPr="00EC5BEB">
        <w:rPr>
          <w:lang w:val="en-US"/>
        </w:rPr>
        <w:t xml:space="preserve"> = 1898 U.S. LEXIS </w:t>
      </w:r>
      <w:r w:rsidRPr="00984D9E">
        <w:rPr>
          <w:lang w:val="en-US"/>
        </w:rPr>
        <w:t>1651, 20 (1898)</w:t>
      </w:r>
      <w:r>
        <w:rPr>
          <w:lang w:val="en-US"/>
        </w:rPr>
        <w:t>.</w:t>
      </w:r>
    </w:p>
  </w:footnote>
  <w:footnote w:id="1604">
    <w:p w14:paraId="5A390F76" w14:textId="77777777" w:rsidR="00074551" w:rsidRPr="00984D9E" w:rsidRDefault="00074551" w:rsidP="00074551">
      <w:pPr>
        <w:pStyle w:val="Funotentext"/>
        <w:rPr>
          <w:lang w:val="en-US"/>
        </w:rPr>
      </w:pPr>
      <w:r>
        <w:rPr>
          <w:rStyle w:val="Funotenzeichen"/>
          <w:rFonts w:eastAsiaTheme="majorEastAsia"/>
        </w:rPr>
        <w:footnoteRef/>
      </w:r>
      <w:r w:rsidRPr="00984D9E">
        <w:rPr>
          <w:lang w:val="en-US"/>
        </w:rPr>
        <w:t xml:space="preserve"> </w:t>
      </w:r>
      <w:r w:rsidRPr="00546F93">
        <w:rPr>
          <w:i/>
          <w:lang w:val="en-US"/>
        </w:rPr>
        <w:t>Blake v. McClung</w:t>
      </w:r>
      <w:r w:rsidRPr="00984D9E">
        <w:rPr>
          <w:lang w:val="en-US"/>
        </w:rPr>
        <w:t>, 172 U.S. 239, 249</w:t>
      </w:r>
      <w:r w:rsidRPr="00EC5BEB">
        <w:rPr>
          <w:lang w:val="en-US"/>
        </w:rPr>
        <w:t xml:space="preserve"> = 19 S. Ct. </w:t>
      </w:r>
      <w:r w:rsidRPr="00984D9E">
        <w:rPr>
          <w:lang w:val="en-US"/>
        </w:rPr>
        <w:t>165, 169</w:t>
      </w:r>
      <w:r w:rsidRPr="00EC5BEB">
        <w:rPr>
          <w:lang w:val="en-US"/>
        </w:rPr>
        <w:t xml:space="preserve"> = 43 L. Ed. </w:t>
      </w:r>
      <w:r w:rsidRPr="00984D9E">
        <w:rPr>
          <w:lang w:val="en-US"/>
        </w:rPr>
        <w:t>432, 436</w:t>
      </w:r>
      <w:r w:rsidRPr="00EC5BEB">
        <w:rPr>
          <w:lang w:val="en-US"/>
        </w:rPr>
        <w:t xml:space="preserve"> = 1898 U.S. LEXIS </w:t>
      </w:r>
      <w:r w:rsidRPr="00984D9E">
        <w:rPr>
          <w:lang w:val="en-US"/>
        </w:rPr>
        <w:t>1651, 20 (1898)</w:t>
      </w:r>
      <w:r>
        <w:rPr>
          <w:lang w:val="en-US"/>
        </w:rPr>
        <w:t>.</w:t>
      </w:r>
    </w:p>
  </w:footnote>
  <w:footnote w:id="1605">
    <w:p w14:paraId="5A12F809" w14:textId="77777777" w:rsidR="00074551" w:rsidRPr="001844F0" w:rsidRDefault="00074551" w:rsidP="00074551">
      <w:pPr>
        <w:pStyle w:val="Funotentext"/>
      </w:pPr>
      <w:r>
        <w:rPr>
          <w:rStyle w:val="Funotenzeichen"/>
          <w:rFonts w:eastAsiaTheme="majorEastAsia"/>
        </w:rPr>
        <w:footnoteRef/>
      </w:r>
      <w:r w:rsidRPr="00902FAD">
        <w:t xml:space="preserve"> Das Statut definierte, was öffentliche Viehhöfe seien, legte die Betreiberpflichten fest, regelte die zu erhebenden Gebühren, hob Beschränkungen im Handel mit toten Tieren auf und kodifizierte Straftatbestände bei Verstößen gegen das Gesetz</w:t>
      </w:r>
      <w:r>
        <w:t xml:space="preserve">, vgl. </w:t>
      </w:r>
      <w:r w:rsidRPr="001844F0">
        <w:t xml:space="preserve">Laws of Kansas, 1897, </w:t>
      </w:r>
      <w:proofErr w:type="spellStart"/>
      <w:r w:rsidRPr="001844F0">
        <w:t>chap</w:t>
      </w:r>
      <w:proofErr w:type="spellEnd"/>
      <w:r w:rsidRPr="001844F0">
        <w:t xml:space="preserve">. 240, p. 448; </w:t>
      </w:r>
      <w:r w:rsidRPr="00A15962">
        <w:rPr>
          <w:i/>
        </w:rPr>
        <w:t>Cotting v. Kansas City Stock Yards Co.</w:t>
      </w:r>
      <w:r w:rsidRPr="001844F0">
        <w:t>, 183 U.S. 79, 83</w:t>
      </w:r>
      <w:r>
        <w:t xml:space="preserve"> = 22 S. Ct. </w:t>
      </w:r>
      <w:r w:rsidRPr="001844F0">
        <w:t>30, 32</w:t>
      </w:r>
      <w:r>
        <w:t xml:space="preserve"> = 46 L. Ed. </w:t>
      </w:r>
      <w:r w:rsidRPr="001844F0">
        <w:t>92, 98</w:t>
      </w:r>
      <w:r>
        <w:t xml:space="preserve"> = 1901 U.S. LEXIS </w:t>
      </w:r>
      <w:r w:rsidRPr="001844F0">
        <w:t>1256, 8 (1901).</w:t>
      </w:r>
    </w:p>
  </w:footnote>
  <w:footnote w:id="1606">
    <w:p w14:paraId="24C246C4" w14:textId="77777777" w:rsidR="00074551" w:rsidRPr="00A82201" w:rsidRDefault="00074551" w:rsidP="00074551">
      <w:pPr>
        <w:pStyle w:val="Funotentext"/>
        <w:rPr>
          <w:lang w:val="en-US"/>
        </w:rPr>
      </w:pPr>
      <w:r>
        <w:rPr>
          <w:rStyle w:val="Funotenzeichen"/>
        </w:rPr>
        <w:footnoteRef/>
      </w:r>
      <w:r w:rsidRPr="00A82201">
        <w:rPr>
          <w:lang w:val="en-US"/>
        </w:rPr>
        <w:t xml:space="preserve"> Laws of Kansas, 1897, chap. 240, p. 448; </w:t>
      </w:r>
      <w:r w:rsidRPr="00A15962">
        <w:rPr>
          <w:i/>
          <w:lang w:val="en-US"/>
        </w:rPr>
        <w:t>Cotting v. Kansas City Stock Yards Co.</w:t>
      </w:r>
      <w:r w:rsidRPr="00A82201">
        <w:rPr>
          <w:lang w:val="en-US"/>
        </w:rPr>
        <w:t>, 183 U.S. 79, 83</w:t>
      </w:r>
      <w:r>
        <w:rPr>
          <w:lang w:val="en-US"/>
        </w:rPr>
        <w:t xml:space="preserve"> = 22 S. Ct. </w:t>
      </w:r>
      <w:r w:rsidRPr="00A82201">
        <w:rPr>
          <w:lang w:val="en-US"/>
        </w:rPr>
        <w:t>30, 32</w:t>
      </w:r>
      <w:r>
        <w:rPr>
          <w:lang w:val="en-US"/>
        </w:rPr>
        <w:t xml:space="preserve"> = 46 L. Ed. </w:t>
      </w:r>
      <w:r w:rsidRPr="00A82201">
        <w:rPr>
          <w:lang w:val="en-US"/>
        </w:rPr>
        <w:t>92, 98</w:t>
      </w:r>
      <w:r>
        <w:rPr>
          <w:lang w:val="en-US"/>
        </w:rPr>
        <w:t xml:space="preserve"> = 1901 U.S. LEXIS </w:t>
      </w:r>
      <w:r w:rsidRPr="00A82201">
        <w:rPr>
          <w:lang w:val="en-US"/>
        </w:rPr>
        <w:t>1256, 8 (1901).</w:t>
      </w:r>
    </w:p>
  </w:footnote>
  <w:footnote w:id="1607">
    <w:p w14:paraId="4C218A58" w14:textId="77777777" w:rsidR="00074551" w:rsidRPr="0041153C" w:rsidRDefault="00074551" w:rsidP="00074551">
      <w:pPr>
        <w:pStyle w:val="Funotentext"/>
        <w:rPr>
          <w:lang w:val="en-US"/>
        </w:rPr>
      </w:pPr>
      <w:r>
        <w:rPr>
          <w:rStyle w:val="Funotenzeichen"/>
        </w:rPr>
        <w:footnoteRef/>
      </w:r>
      <w:r w:rsidRPr="0041153C">
        <w:rPr>
          <w:lang w:val="en-US"/>
        </w:rPr>
        <w:t xml:space="preserve"> </w:t>
      </w:r>
      <w:r w:rsidRPr="00A15962">
        <w:rPr>
          <w:i/>
          <w:lang w:val="en-US"/>
        </w:rPr>
        <w:t>Cotting v. Kansas City Stock Yards Co.</w:t>
      </w:r>
      <w:r w:rsidRPr="0041153C">
        <w:rPr>
          <w:lang w:val="en-US"/>
        </w:rPr>
        <w:t>, 183 U.S. 79, 83</w:t>
      </w:r>
      <w:r>
        <w:rPr>
          <w:lang w:val="en-US"/>
        </w:rPr>
        <w:t xml:space="preserve"> = 22 S. Ct. </w:t>
      </w:r>
      <w:r w:rsidRPr="0041153C">
        <w:rPr>
          <w:lang w:val="en-US"/>
        </w:rPr>
        <w:t>30, 32</w:t>
      </w:r>
      <w:r>
        <w:rPr>
          <w:lang w:val="en-US"/>
        </w:rPr>
        <w:t xml:space="preserve"> = 46 L. Ed. </w:t>
      </w:r>
      <w:r w:rsidRPr="0041153C">
        <w:rPr>
          <w:lang w:val="en-US"/>
        </w:rPr>
        <w:t>92, 98</w:t>
      </w:r>
      <w:r>
        <w:rPr>
          <w:lang w:val="en-US"/>
        </w:rPr>
        <w:t xml:space="preserve"> = 1901 U.S. LEXIS </w:t>
      </w:r>
      <w:r w:rsidRPr="0041153C">
        <w:rPr>
          <w:lang w:val="en-US"/>
        </w:rPr>
        <w:t>1256, 8 (1901).</w:t>
      </w:r>
    </w:p>
  </w:footnote>
  <w:footnote w:id="1608">
    <w:p w14:paraId="3DC53433" w14:textId="77777777" w:rsidR="00074551" w:rsidRPr="00A87E13" w:rsidRDefault="00074551" w:rsidP="00074551">
      <w:pPr>
        <w:pStyle w:val="Funotentext"/>
        <w:rPr>
          <w:lang w:val="en-US"/>
        </w:rPr>
      </w:pPr>
      <w:r>
        <w:rPr>
          <w:rStyle w:val="Funotenzeichen"/>
          <w:rFonts w:eastAsiaTheme="majorEastAsia"/>
        </w:rPr>
        <w:footnoteRef/>
      </w:r>
      <w:r w:rsidRPr="00A87E13">
        <w:rPr>
          <w:lang w:val="en-US"/>
        </w:rPr>
        <w:t xml:space="preserve"> </w:t>
      </w:r>
      <w:r w:rsidRPr="00A15962">
        <w:rPr>
          <w:i/>
          <w:lang w:val="en-US"/>
        </w:rPr>
        <w:t>Cotting v. Kansas City Stock Yards Co.</w:t>
      </w:r>
      <w:r w:rsidRPr="00A87E13">
        <w:rPr>
          <w:lang w:val="en-US"/>
        </w:rPr>
        <w:t>, 183 U.S. 79, 107</w:t>
      </w:r>
      <w:r>
        <w:rPr>
          <w:lang w:val="en-US"/>
        </w:rPr>
        <w:t xml:space="preserve"> = 22 S. Ct. </w:t>
      </w:r>
      <w:r w:rsidRPr="00A87E13">
        <w:rPr>
          <w:lang w:val="en-US"/>
        </w:rPr>
        <w:t>30, 42</w:t>
      </w:r>
      <w:r>
        <w:rPr>
          <w:lang w:val="en-US"/>
        </w:rPr>
        <w:t xml:space="preserve"> = 46 L. Ed. </w:t>
      </w:r>
      <w:r w:rsidRPr="00A87E13">
        <w:rPr>
          <w:lang w:val="en-US"/>
        </w:rPr>
        <w:t>92, 108</w:t>
      </w:r>
      <w:r>
        <w:rPr>
          <w:lang w:val="en-US"/>
        </w:rPr>
        <w:t xml:space="preserve"> = 1901 U.S. LEXIS </w:t>
      </w:r>
      <w:r w:rsidRPr="00A87E13">
        <w:rPr>
          <w:lang w:val="en-US"/>
        </w:rPr>
        <w:t>1256, 54 (1901)</w:t>
      </w:r>
      <w:r>
        <w:rPr>
          <w:lang w:val="en-US"/>
        </w:rPr>
        <w:t>.</w:t>
      </w:r>
    </w:p>
  </w:footnote>
  <w:footnote w:id="1609">
    <w:p w14:paraId="51706763" w14:textId="77777777" w:rsidR="00074551" w:rsidRPr="00A87E13" w:rsidRDefault="00074551" w:rsidP="00074551">
      <w:pPr>
        <w:pStyle w:val="Funotentext"/>
        <w:rPr>
          <w:lang w:val="en-US"/>
        </w:rPr>
      </w:pPr>
      <w:r>
        <w:rPr>
          <w:rStyle w:val="Funotenzeichen"/>
          <w:rFonts w:eastAsiaTheme="majorEastAsia"/>
        </w:rPr>
        <w:footnoteRef/>
      </w:r>
      <w:r w:rsidRPr="00A87E13">
        <w:rPr>
          <w:lang w:val="en-US"/>
        </w:rPr>
        <w:t xml:space="preserve"> </w:t>
      </w:r>
      <w:r w:rsidRPr="00B45592">
        <w:rPr>
          <w:i/>
          <w:lang w:val="en-US"/>
        </w:rPr>
        <w:t>Bell’s Gap Railroad v. Pennsylvania</w:t>
      </w:r>
      <w:r w:rsidRPr="00A87E13">
        <w:rPr>
          <w:lang w:val="en-US"/>
        </w:rPr>
        <w:t>, 134 U.S. 232, 237</w:t>
      </w:r>
      <w:r>
        <w:rPr>
          <w:lang w:val="en-US"/>
        </w:rPr>
        <w:t xml:space="preserve">; </w:t>
      </w:r>
      <w:r w:rsidRPr="00A15962">
        <w:rPr>
          <w:i/>
          <w:lang w:val="en-US"/>
        </w:rPr>
        <w:t>Cotting v. Kansas City Stock Yards Co.</w:t>
      </w:r>
      <w:r w:rsidRPr="00A87E13">
        <w:rPr>
          <w:lang w:val="en-US"/>
        </w:rPr>
        <w:t>, 183 U.S. 79, 107</w:t>
      </w:r>
      <w:r>
        <w:rPr>
          <w:lang w:val="en-US"/>
        </w:rPr>
        <w:t xml:space="preserve"> = 22 S. Ct. </w:t>
      </w:r>
      <w:r w:rsidRPr="00A87E13">
        <w:rPr>
          <w:lang w:val="en-US"/>
        </w:rPr>
        <w:t>30, 41</w:t>
      </w:r>
      <w:r>
        <w:rPr>
          <w:lang w:val="en-US"/>
        </w:rPr>
        <w:t xml:space="preserve"> = 46 L. Ed. </w:t>
      </w:r>
      <w:r w:rsidRPr="00A87E13">
        <w:rPr>
          <w:lang w:val="en-US"/>
        </w:rPr>
        <w:t>92, 108</w:t>
      </w:r>
      <w:r>
        <w:rPr>
          <w:lang w:val="en-US"/>
        </w:rPr>
        <w:t xml:space="preserve"> = 1901 U.S. LEXIS </w:t>
      </w:r>
      <w:r w:rsidRPr="00A87E13">
        <w:rPr>
          <w:lang w:val="en-US"/>
        </w:rPr>
        <w:t>1256, 53 (1901)</w:t>
      </w:r>
      <w:r>
        <w:rPr>
          <w:lang w:val="en-US"/>
        </w:rPr>
        <w:t>.</w:t>
      </w:r>
    </w:p>
  </w:footnote>
  <w:footnote w:id="1610">
    <w:p w14:paraId="603B1927" w14:textId="77777777" w:rsidR="00074551" w:rsidRPr="004F4EBB" w:rsidRDefault="00074551" w:rsidP="00074551">
      <w:pPr>
        <w:pStyle w:val="Funotentext"/>
        <w:rPr>
          <w:lang w:val="en-US"/>
        </w:rPr>
      </w:pPr>
      <w:r>
        <w:rPr>
          <w:rStyle w:val="Funotenzeichen"/>
          <w:rFonts w:eastAsiaTheme="majorEastAsia"/>
        </w:rPr>
        <w:footnoteRef/>
      </w:r>
      <w:r w:rsidRPr="004F4EBB">
        <w:rPr>
          <w:lang w:val="en-US"/>
        </w:rPr>
        <w:t xml:space="preserve"> </w:t>
      </w:r>
      <w:r w:rsidRPr="00A15962">
        <w:rPr>
          <w:i/>
          <w:lang w:val="en-US"/>
        </w:rPr>
        <w:t>Cotting v. Kansas City Stock Yards Co.</w:t>
      </w:r>
      <w:r w:rsidRPr="004F4EBB">
        <w:rPr>
          <w:lang w:val="en-US"/>
        </w:rPr>
        <w:t>, 183 U.S. 79, 107</w:t>
      </w:r>
      <w:r>
        <w:rPr>
          <w:lang w:val="en-US"/>
        </w:rPr>
        <w:t xml:space="preserve"> = 22 S. Ct. </w:t>
      </w:r>
      <w:r w:rsidRPr="004F4EBB">
        <w:rPr>
          <w:lang w:val="en-US"/>
        </w:rPr>
        <w:t>30, 42</w:t>
      </w:r>
      <w:r>
        <w:rPr>
          <w:lang w:val="en-US"/>
        </w:rPr>
        <w:t xml:space="preserve"> = 46 L. Ed. </w:t>
      </w:r>
      <w:r w:rsidRPr="004F4EBB">
        <w:rPr>
          <w:lang w:val="en-US"/>
        </w:rPr>
        <w:t>92, 108</w:t>
      </w:r>
      <w:r>
        <w:rPr>
          <w:lang w:val="en-US"/>
        </w:rPr>
        <w:t xml:space="preserve"> = 1901 U.S. LEXIS </w:t>
      </w:r>
      <w:r w:rsidRPr="004F4EBB">
        <w:rPr>
          <w:lang w:val="en-US"/>
        </w:rPr>
        <w:t>1256, 54 (1901)</w:t>
      </w:r>
      <w:r>
        <w:rPr>
          <w:lang w:val="en-US"/>
        </w:rPr>
        <w:t>.</w:t>
      </w:r>
    </w:p>
  </w:footnote>
  <w:footnote w:id="1611">
    <w:p w14:paraId="5640E55A" w14:textId="77777777" w:rsidR="00074551" w:rsidRPr="004F4EBB" w:rsidRDefault="00074551" w:rsidP="00074551">
      <w:pPr>
        <w:pStyle w:val="Funotentext"/>
        <w:rPr>
          <w:lang w:val="en-US"/>
        </w:rPr>
      </w:pPr>
      <w:r>
        <w:rPr>
          <w:rStyle w:val="Funotenzeichen"/>
          <w:rFonts w:eastAsiaTheme="majorEastAsia"/>
        </w:rPr>
        <w:footnoteRef/>
      </w:r>
      <w:r w:rsidRPr="004F4EBB">
        <w:rPr>
          <w:lang w:val="en-US"/>
        </w:rPr>
        <w:t xml:space="preserve"> </w:t>
      </w:r>
      <w:r w:rsidRPr="00D83E4F">
        <w:rPr>
          <w:i/>
          <w:lang w:val="en-US"/>
        </w:rPr>
        <w:t>Yick Wo v. Hopkins</w:t>
      </w:r>
      <w:r w:rsidRPr="004F4EBB">
        <w:rPr>
          <w:lang w:val="en-US"/>
        </w:rPr>
        <w:t>, 118 U.S. 356, 369</w:t>
      </w:r>
      <w:r>
        <w:rPr>
          <w:lang w:val="en-US"/>
        </w:rPr>
        <w:t xml:space="preserve">; </w:t>
      </w:r>
      <w:r w:rsidRPr="00A15962">
        <w:rPr>
          <w:i/>
          <w:lang w:val="en-US"/>
        </w:rPr>
        <w:t>Cotting v. Kansas City Stock Yards Co.</w:t>
      </w:r>
      <w:r w:rsidRPr="004F4EBB">
        <w:rPr>
          <w:lang w:val="en-US"/>
        </w:rPr>
        <w:t>, 183 U.S. 79, 107</w:t>
      </w:r>
      <w:r>
        <w:rPr>
          <w:lang w:val="en-US"/>
        </w:rPr>
        <w:t xml:space="preserve"> = 22 S. Ct. </w:t>
      </w:r>
      <w:r w:rsidRPr="004F4EBB">
        <w:rPr>
          <w:lang w:val="en-US"/>
        </w:rPr>
        <w:t>30, 42</w:t>
      </w:r>
      <w:r>
        <w:rPr>
          <w:lang w:val="en-US"/>
        </w:rPr>
        <w:t xml:space="preserve"> = 46 L. Ed. </w:t>
      </w:r>
      <w:r w:rsidRPr="004F4EBB">
        <w:rPr>
          <w:lang w:val="en-US"/>
        </w:rPr>
        <w:t>92, 108</w:t>
      </w:r>
      <w:r>
        <w:rPr>
          <w:lang w:val="en-US"/>
        </w:rPr>
        <w:t xml:space="preserve"> = 1901 U.S. LEXIS </w:t>
      </w:r>
      <w:r w:rsidRPr="004F4EBB">
        <w:rPr>
          <w:lang w:val="en-US"/>
        </w:rPr>
        <w:t>1256, 54 (1901)</w:t>
      </w:r>
      <w:r>
        <w:rPr>
          <w:lang w:val="en-US"/>
        </w:rPr>
        <w:t>.</w:t>
      </w:r>
    </w:p>
  </w:footnote>
  <w:footnote w:id="1612">
    <w:p w14:paraId="12AB9506" w14:textId="77777777" w:rsidR="00074551" w:rsidRPr="004F4EBB" w:rsidRDefault="00074551" w:rsidP="00074551">
      <w:pPr>
        <w:pStyle w:val="Funotentext"/>
        <w:rPr>
          <w:lang w:val="en-US"/>
        </w:rPr>
      </w:pPr>
      <w:r>
        <w:rPr>
          <w:rStyle w:val="Funotenzeichen"/>
          <w:rFonts w:eastAsiaTheme="majorEastAsia"/>
        </w:rPr>
        <w:footnoteRef/>
      </w:r>
      <w:r w:rsidRPr="004F4EBB">
        <w:rPr>
          <w:lang w:val="en-US"/>
        </w:rPr>
        <w:t xml:space="preserve"> </w:t>
      </w:r>
      <w:r w:rsidRPr="00D83E4F">
        <w:rPr>
          <w:i/>
          <w:lang w:val="en-US"/>
        </w:rPr>
        <w:t>Yick Wo v. Hopkins</w:t>
      </w:r>
      <w:r w:rsidRPr="004F4EBB">
        <w:rPr>
          <w:lang w:val="en-US"/>
        </w:rPr>
        <w:t>, 118 U.S. 356, 369</w:t>
      </w:r>
      <w:r>
        <w:rPr>
          <w:lang w:val="en-US"/>
        </w:rPr>
        <w:t xml:space="preserve">; </w:t>
      </w:r>
      <w:r w:rsidRPr="00A15962">
        <w:rPr>
          <w:i/>
          <w:lang w:val="en-US"/>
        </w:rPr>
        <w:t>Cotting v. Kansas City Stock Yards Co.</w:t>
      </w:r>
      <w:r w:rsidRPr="004F4EBB">
        <w:rPr>
          <w:lang w:val="en-US"/>
        </w:rPr>
        <w:t>, 183 U.S. 79, 107</w:t>
      </w:r>
      <w:r>
        <w:rPr>
          <w:lang w:val="en-US"/>
        </w:rPr>
        <w:t xml:space="preserve"> = 22 S. Ct. </w:t>
      </w:r>
      <w:r w:rsidRPr="004F4EBB">
        <w:rPr>
          <w:lang w:val="en-US"/>
        </w:rPr>
        <w:t>30, 42</w:t>
      </w:r>
      <w:r>
        <w:rPr>
          <w:lang w:val="en-US"/>
        </w:rPr>
        <w:t xml:space="preserve"> = 46 L. Ed. </w:t>
      </w:r>
      <w:r w:rsidRPr="004F4EBB">
        <w:rPr>
          <w:lang w:val="en-US"/>
        </w:rPr>
        <w:t>92, 108</w:t>
      </w:r>
      <w:r>
        <w:rPr>
          <w:lang w:val="en-US"/>
        </w:rPr>
        <w:t xml:space="preserve"> = 1901 U.S. LEXIS </w:t>
      </w:r>
      <w:r w:rsidRPr="004F4EBB">
        <w:rPr>
          <w:lang w:val="en-US"/>
        </w:rPr>
        <w:t>1256, 54 (1901)</w:t>
      </w:r>
      <w:r>
        <w:rPr>
          <w:lang w:val="en-US"/>
        </w:rPr>
        <w:t>.</w:t>
      </w:r>
    </w:p>
  </w:footnote>
  <w:footnote w:id="1613">
    <w:p w14:paraId="5B80CD29" w14:textId="77777777" w:rsidR="00074551" w:rsidRPr="00A87E13" w:rsidRDefault="00074551" w:rsidP="00074551">
      <w:pPr>
        <w:pStyle w:val="Funotentext"/>
        <w:rPr>
          <w:lang w:val="en-US"/>
        </w:rPr>
      </w:pPr>
      <w:r>
        <w:rPr>
          <w:rStyle w:val="Funotenzeichen"/>
          <w:rFonts w:eastAsiaTheme="majorEastAsia"/>
        </w:rPr>
        <w:footnoteRef/>
      </w:r>
      <w:r w:rsidRPr="00A87E13">
        <w:rPr>
          <w:lang w:val="en-US"/>
        </w:rPr>
        <w:t xml:space="preserve"> </w:t>
      </w:r>
      <w:r w:rsidRPr="00A15962">
        <w:rPr>
          <w:i/>
          <w:lang w:val="en-US"/>
        </w:rPr>
        <w:t>Cotting v. Kansas City Stock Yards Co.</w:t>
      </w:r>
      <w:r w:rsidRPr="00A87E13">
        <w:rPr>
          <w:lang w:val="en-US"/>
        </w:rPr>
        <w:t>, 183 U.S. 79, 107</w:t>
      </w:r>
      <w:r>
        <w:rPr>
          <w:lang w:val="en-US"/>
        </w:rPr>
        <w:t xml:space="preserve"> = 22 S. Ct. </w:t>
      </w:r>
      <w:r w:rsidRPr="00A87E13">
        <w:rPr>
          <w:lang w:val="en-US"/>
        </w:rPr>
        <w:t>30, 42</w:t>
      </w:r>
      <w:r>
        <w:rPr>
          <w:lang w:val="en-US"/>
        </w:rPr>
        <w:t xml:space="preserve"> = 46 L. Ed. </w:t>
      </w:r>
      <w:r w:rsidRPr="00A87E13">
        <w:rPr>
          <w:lang w:val="en-US"/>
        </w:rPr>
        <w:t>92, 108</w:t>
      </w:r>
      <w:r>
        <w:rPr>
          <w:lang w:val="en-US"/>
        </w:rPr>
        <w:t xml:space="preserve"> = 1901 U.S. LEXIS </w:t>
      </w:r>
      <w:r w:rsidRPr="00A87E13">
        <w:rPr>
          <w:lang w:val="en-US"/>
        </w:rPr>
        <w:t>1256, 55 (1901)</w:t>
      </w:r>
      <w:r>
        <w:rPr>
          <w:lang w:val="en-US"/>
        </w:rPr>
        <w:t>.</w:t>
      </w:r>
    </w:p>
  </w:footnote>
  <w:footnote w:id="1614">
    <w:p w14:paraId="774B90C2" w14:textId="77777777" w:rsidR="00074551" w:rsidRPr="00214603" w:rsidRDefault="00074551" w:rsidP="00074551">
      <w:pPr>
        <w:pStyle w:val="Funotentext"/>
        <w:ind w:left="227" w:hanging="227"/>
        <w:rPr>
          <w:lang w:val="en-US"/>
        </w:rPr>
      </w:pPr>
      <w:r>
        <w:rPr>
          <w:rStyle w:val="Funotenzeichen"/>
          <w:rFonts w:eastAsiaTheme="majorEastAsia"/>
        </w:rPr>
        <w:footnoteRef/>
      </w:r>
      <w:r w:rsidRPr="00214603">
        <w:rPr>
          <w:lang w:val="en-US"/>
        </w:rPr>
        <w:t xml:space="preserve"> </w:t>
      </w:r>
      <w:r w:rsidRPr="00B45592">
        <w:rPr>
          <w:i/>
          <w:lang w:val="en-US"/>
        </w:rPr>
        <w:t>Roe v. Wade</w:t>
      </w:r>
      <w:r>
        <w:rPr>
          <w:lang w:val="en-US"/>
        </w:rPr>
        <w:t>,</w:t>
      </w:r>
      <w:r w:rsidRPr="00214603">
        <w:rPr>
          <w:lang w:val="en-US"/>
        </w:rPr>
        <w:t xml:space="preserve"> 410 US 171, 35 L Ed 2d 196</w:t>
      </w:r>
      <w:r>
        <w:rPr>
          <w:lang w:val="en-US"/>
        </w:rPr>
        <w:t xml:space="preserve"> </w:t>
      </w:r>
      <w:r w:rsidRPr="00214603">
        <w:rPr>
          <w:lang w:val="en-US"/>
        </w:rPr>
        <w:t xml:space="preserve">(1973); </w:t>
      </w:r>
      <w:r w:rsidRPr="00D83E4F">
        <w:rPr>
          <w:i/>
          <w:lang w:val="en-US"/>
        </w:rPr>
        <w:t>Doe v. Bolton</w:t>
      </w:r>
      <w:r w:rsidRPr="00214603">
        <w:rPr>
          <w:lang w:val="en-US"/>
        </w:rPr>
        <w:t>, 410 U.S. 179, 181</w:t>
      </w:r>
      <w:r>
        <w:rPr>
          <w:lang w:val="en-US"/>
        </w:rPr>
        <w:t xml:space="preserve"> = 93 S. Ct. </w:t>
      </w:r>
      <w:r w:rsidRPr="00214603">
        <w:rPr>
          <w:lang w:val="en-US"/>
        </w:rPr>
        <w:t>739, 742</w:t>
      </w:r>
      <w:r>
        <w:rPr>
          <w:lang w:val="en-US"/>
        </w:rPr>
        <w:t xml:space="preserve"> = 35 L. Ed. </w:t>
      </w:r>
      <w:r w:rsidRPr="00214603">
        <w:rPr>
          <w:lang w:val="en-US"/>
        </w:rPr>
        <w:t>2d 201, 206</w:t>
      </w:r>
      <w:r>
        <w:rPr>
          <w:lang w:val="en-US"/>
        </w:rPr>
        <w:t xml:space="preserve"> = 1973 U.S. LEXIS </w:t>
      </w:r>
      <w:r w:rsidRPr="00214603">
        <w:rPr>
          <w:lang w:val="en-US"/>
        </w:rPr>
        <w:t>112, 1 (1973).</w:t>
      </w:r>
    </w:p>
  </w:footnote>
  <w:footnote w:id="1615">
    <w:p w14:paraId="28FD4DC7" w14:textId="77777777" w:rsidR="00074551" w:rsidRPr="002937C9" w:rsidRDefault="00074551" w:rsidP="00074551">
      <w:pPr>
        <w:pStyle w:val="Funotentext"/>
        <w:rPr>
          <w:lang w:val="en-US"/>
        </w:rPr>
      </w:pPr>
      <w:r>
        <w:rPr>
          <w:rStyle w:val="Funotenzeichen"/>
          <w:rFonts w:eastAsiaTheme="majorEastAsia"/>
        </w:rPr>
        <w:footnoteRef/>
      </w:r>
      <w:r w:rsidRPr="002937C9">
        <w:rPr>
          <w:lang w:val="en-US"/>
        </w:rPr>
        <w:t xml:space="preserve"> </w:t>
      </w:r>
      <w:r w:rsidRPr="00D83E4F">
        <w:rPr>
          <w:i/>
          <w:lang w:val="en-US"/>
        </w:rPr>
        <w:t>Doe v. Bolton</w:t>
      </w:r>
      <w:r w:rsidRPr="002937C9">
        <w:rPr>
          <w:lang w:val="en-US"/>
        </w:rPr>
        <w:t>, 410 U.S. 179, 189</w:t>
      </w:r>
      <w:r>
        <w:rPr>
          <w:lang w:val="en-US"/>
        </w:rPr>
        <w:t xml:space="preserve"> = 93 S. Ct. </w:t>
      </w:r>
      <w:r w:rsidRPr="002937C9">
        <w:rPr>
          <w:lang w:val="en-US"/>
        </w:rPr>
        <w:t>739, 746</w:t>
      </w:r>
      <w:r>
        <w:rPr>
          <w:lang w:val="en-US"/>
        </w:rPr>
        <w:t xml:space="preserve"> = 35 L. Ed. </w:t>
      </w:r>
      <w:r w:rsidRPr="002937C9">
        <w:rPr>
          <w:lang w:val="en-US"/>
        </w:rPr>
        <w:t>2d 201, 211</w:t>
      </w:r>
      <w:r>
        <w:rPr>
          <w:lang w:val="en-US"/>
        </w:rPr>
        <w:t xml:space="preserve"> = 1973 U.S. LEXIS </w:t>
      </w:r>
      <w:r w:rsidRPr="002937C9">
        <w:rPr>
          <w:lang w:val="en-US"/>
        </w:rPr>
        <w:t>112, 18 (1973)</w:t>
      </w:r>
      <w:r>
        <w:rPr>
          <w:lang w:val="en-US"/>
        </w:rPr>
        <w:t>.</w:t>
      </w:r>
    </w:p>
  </w:footnote>
  <w:footnote w:id="1616">
    <w:p w14:paraId="189D82F8" w14:textId="77777777" w:rsidR="00074551" w:rsidRPr="002937C9" w:rsidRDefault="00074551" w:rsidP="00074551">
      <w:pPr>
        <w:pStyle w:val="Funotentext"/>
        <w:rPr>
          <w:lang w:val="en-US"/>
        </w:rPr>
      </w:pPr>
      <w:r>
        <w:rPr>
          <w:rStyle w:val="Funotenzeichen"/>
          <w:rFonts w:eastAsiaTheme="majorEastAsia"/>
        </w:rPr>
        <w:footnoteRef/>
      </w:r>
      <w:r w:rsidRPr="002937C9">
        <w:rPr>
          <w:lang w:val="en-US"/>
        </w:rPr>
        <w:t xml:space="preserve"> </w:t>
      </w:r>
      <w:r w:rsidRPr="00D83E4F">
        <w:rPr>
          <w:i/>
          <w:lang w:val="en-US"/>
        </w:rPr>
        <w:t>Doe v. Bolton</w:t>
      </w:r>
      <w:r w:rsidRPr="002937C9">
        <w:rPr>
          <w:lang w:val="en-US"/>
        </w:rPr>
        <w:t>, 410 U.S. 179, 181</w:t>
      </w:r>
      <w:r>
        <w:rPr>
          <w:lang w:val="en-US"/>
        </w:rPr>
        <w:t xml:space="preserve"> = 93 S. Ct. </w:t>
      </w:r>
      <w:r w:rsidRPr="002937C9">
        <w:rPr>
          <w:lang w:val="en-US"/>
        </w:rPr>
        <w:t>739, 742</w:t>
      </w:r>
      <w:r>
        <w:rPr>
          <w:lang w:val="en-US"/>
        </w:rPr>
        <w:t xml:space="preserve"> = 35 L. Ed. </w:t>
      </w:r>
      <w:r w:rsidRPr="002937C9">
        <w:rPr>
          <w:lang w:val="en-US"/>
        </w:rPr>
        <w:t>2d 201, 206</w:t>
      </w:r>
      <w:r>
        <w:rPr>
          <w:lang w:val="en-US"/>
        </w:rPr>
        <w:t xml:space="preserve"> = 1973 U.S. LEXIS </w:t>
      </w:r>
      <w:r w:rsidRPr="002937C9">
        <w:rPr>
          <w:lang w:val="en-US"/>
        </w:rPr>
        <w:t>112, 1 (1973)</w:t>
      </w:r>
      <w:r>
        <w:rPr>
          <w:lang w:val="en-US"/>
        </w:rPr>
        <w:t>.</w:t>
      </w:r>
    </w:p>
  </w:footnote>
  <w:footnote w:id="1617">
    <w:p w14:paraId="6DB615FE" w14:textId="77777777" w:rsidR="00074551" w:rsidRPr="007E1BAC" w:rsidRDefault="00074551" w:rsidP="00074551">
      <w:pPr>
        <w:pStyle w:val="Funotentext"/>
        <w:rPr>
          <w:lang w:val="en-US"/>
        </w:rPr>
      </w:pPr>
      <w:r>
        <w:rPr>
          <w:rStyle w:val="Funotenzeichen"/>
          <w:rFonts w:eastAsiaTheme="majorEastAsia"/>
        </w:rPr>
        <w:footnoteRef/>
      </w:r>
      <w:r w:rsidRPr="007E1BAC">
        <w:rPr>
          <w:lang w:val="en-US"/>
        </w:rPr>
        <w:t xml:space="preserve"> </w:t>
      </w:r>
      <w:r w:rsidRPr="009572B5">
        <w:rPr>
          <w:i/>
          <w:lang w:val="en-US"/>
        </w:rPr>
        <w:t>Eisenstadt v. Baird</w:t>
      </w:r>
      <w:r w:rsidRPr="007E1BAC">
        <w:rPr>
          <w:lang w:val="en-US"/>
        </w:rPr>
        <w:t>, 405 U.S. 438, 440</w:t>
      </w:r>
      <w:r>
        <w:rPr>
          <w:lang w:val="en-US"/>
        </w:rPr>
        <w:t xml:space="preserve"> = 92 S. Ct. </w:t>
      </w:r>
      <w:r w:rsidRPr="007E1BAC">
        <w:rPr>
          <w:lang w:val="en-US"/>
        </w:rPr>
        <w:t>1029, 1031</w:t>
      </w:r>
      <w:r>
        <w:rPr>
          <w:lang w:val="en-US"/>
        </w:rPr>
        <w:t xml:space="preserve"> = 31 L. Ed. </w:t>
      </w:r>
      <w:r w:rsidRPr="007E1BAC">
        <w:rPr>
          <w:lang w:val="en-US"/>
        </w:rPr>
        <w:t>2d 349, 354</w:t>
      </w:r>
      <w:r>
        <w:rPr>
          <w:lang w:val="en-US"/>
        </w:rPr>
        <w:t xml:space="preserve"> = 1972 U.S. LEXIS </w:t>
      </w:r>
      <w:r w:rsidRPr="007E1BAC">
        <w:rPr>
          <w:lang w:val="en-US"/>
        </w:rPr>
        <w:t>145, 1 (1972)</w:t>
      </w:r>
      <w:r>
        <w:rPr>
          <w:lang w:val="en-US"/>
        </w:rPr>
        <w:t>.</w:t>
      </w:r>
    </w:p>
  </w:footnote>
  <w:footnote w:id="1618">
    <w:p w14:paraId="7D76B06C" w14:textId="77777777" w:rsidR="00074551" w:rsidRPr="001B2DF1" w:rsidRDefault="00074551" w:rsidP="00074551">
      <w:pPr>
        <w:pStyle w:val="Funotentext"/>
        <w:rPr>
          <w:lang w:val="en-US"/>
        </w:rPr>
      </w:pPr>
      <w:r>
        <w:rPr>
          <w:rStyle w:val="Funotenzeichen"/>
          <w:rFonts w:eastAsiaTheme="majorEastAsia"/>
        </w:rPr>
        <w:footnoteRef/>
      </w:r>
      <w:r w:rsidRPr="001B2DF1">
        <w:rPr>
          <w:lang w:val="en-US"/>
        </w:rPr>
        <w:t xml:space="preserve"> </w:t>
      </w:r>
      <w:r w:rsidRPr="009572B5">
        <w:rPr>
          <w:i/>
          <w:lang w:val="en-US"/>
        </w:rPr>
        <w:t>Eisenstadt v. Baird</w:t>
      </w:r>
      <w:r w:rsidRPr="001B2DF1">
        <w:rPr>
          <w:lang w:val="en-US"/>
        </w:rPr>
        <w:t>, 405 U.S. 438, 453</w:t>
      </w:r>
      <w:r>
        <w:rPr>
          <w:lang w:val="en-US"/>
        </w:rPr>
        <w:t xml:space="preserve"> = 92 S. Ct. </w:t>
      </w:r>
      <w:r w:rsidRPr="001B2DF1">
        <w:rPr>
          <w:lang w:val="en-US"/>
        </w:rPr>
        <w:t>1029, 1038</w:t>
      </w:r>
      <w:r>
        <w:rPr>
          <w:lang w:val="en-US"/>
        </w:rPr>
        <w:t xml:space="preserve"> = 31 L. Ed. </w:t>
      </w:r>
      <w:r w:rsidRPr="001B2DF1">
        <w:rPr>
          <w:lang w:val="en-US"/>
        </w:rPr>
        <w:t>2d 349, 362</w:t>
      </w:r>
      <w:r>
        <w:rPr>
          <w:lang w:val="en-US"/>
        </w:rPr>
        <w:t xml:space="preserve"> = 1972 U.S. LEXIS </w:t>
      </w:r>
      <w:r w:rsidRPr="001B2DF1">
        <w:rPr>
          <w:lang w:val="en-US"/>
        </w:rPr>
        <w:t>145, 28 (1972)</w:t>
      </w:r>
      <w:r>
        <w:rPr>
          <w:lang w:val="en-US"/>
        </w:rPr>
        <w:t>.</w:t>
      </w:r>
    </w:p>
  </w:footnote>
  <w:footnote w:id="1619">
    <w:p w14:paraId="4D5B28E1" w14:textId="77777777" w:rsidR="00074551" w:rsidRPr="007E1BAC" w:rsidRDefault="00074551" w:rsidP="00074551">
      <w:pPr>
        <w:pStyle w:val="Funotentext"/>
        <w:rPr>
          <w:lang w:val="en-US"/>
        </w:rPr>
      </w:pPr>
      <w:r>
        <w:rPr>
          <w:rStyle w:val="Funotenzeichen"/>
          <w:rFonts w:eastAsiaTheme="majorEastAsia"/>
        </w:rPr>
        <w:footnoteRef/>
      </w:r>
      <w:r w:rsidRPr="007E1BAC">
        <w:rPr>
          <w:lang w:val="en-US"/>
        </w:rPr>
        <w:t xml:space="preserve"> </w:t>
      </w:r>
      <w:proofErr w:type="spellStart"/>
      <w:r>
        <w:rPr>
          <w:lang w:val="en-US"/>
        </w:rPr>
        <w:t>Siehe</w:t>
      </w:r>
      <w:proofErr w:type="spellEnd"/>
      <w:r w:rsidRPr="007E1BAC">
        <w:rPr>
          <w:lang w:val="en-US"/>
        </w:rPr>
        <w:t xml:space="preserve"> </w:t>
      </w:r>
      <w:r w:rsidRPr="009E57E1">
        <w:rPr>
          <w:i/>
          <w:lang w:val="en-US"/>
        </w:rPr>
        <w:t>Stanley v. Georgia</w:t>
      </w:r>
      <w:r w:rsidRPr="007E1BAC">
        <w:rPr>
          <w:lang w:val="en-US"/>
        </w:rPr>
        <w:t xml:space="preserve">, 394 U.S. 557 (1969). 10 </w:t>
      </w:r>
      <w:proofErr w:type="spellStart"/>
      <w:r>
        <w:rPr>
          <w:lang w:val="en-US"/>
        </w:rPr>
        <w:t>Siehe</w:t>
      </w:r>
      <w:proofErr w:type="spellEnd"/>
      <w:r>
        <w:rPr>
          <w:lang w:val="en-US"/>
        </w:rPr>
        <w:t xml:space="preserve"> </w:t>
      </w:r>
      <w:proofErr w:type="spellStart"/>
      <w:r>
        <w:rPr>
          <w:lang w:val="en-US"/>
        </w:rPr>
        <w:t>auch</w:t>
      </w:r>
      <w:proofErr w:type="spellEnd"/>
      <w:r w:rsidRPr="007E1BAC">
        <w:rPr>
          <w:lang w:val="en-US"/>
        </w:rPr>
        <w:t xml:space="preserve"> </w:t>
      </w:r>
      <w:r w:rsidRPr="009572B5">
        <w:rPr>
          <w:i/>
          <w:lang w:val="en-US"/>
        </w:rPr>
        <w:t>Skinner v. Oklahoma</w:t>
      </w:r>
      <w:r w:rsidRPr="007E1BAC">
        <w:rPr>
          <w:lang w:val="en-US"/>
        </w:rPr>
        <w:t xml:space="preserve">, [454] 316 U.S. 535 (1942); </w:t>
      </w:r>
      <w:r w:rsidRPr="009572B5">
        <w:rPr>
          <w:i/>
          <w:lang w:val="en-US"/>
        </w:rPr>
        <w:t>Jacobson v. Massachusetts</w:t>
      </w:r>
      <w:r w:rsidRPr="007E1BAC">
        <w:rPr>
          <w:lang w:val="en-US"/>
        </w:rPr>
        <w:t>, 197 U.S. 11, 29 (1905)</w:t>
      </w:r>
      <w:r>
        <w:rPr>
          <w:lang w:val="en-US"/>
        </w:rPr>
        <w:t>;</w:t>
      </w:r>
      <w:r w:rsidRPr="007E1BAC">
        <w:rPr>
          <w:lang w:val="en-US"/>
        </w:rPr>
        <w:t xml:space="preserve"> </w:t>
      </w:r>
    </w:p>
    <w:p w14:paraId="3D3C0D24" w14:textId="77777777" w:rsidR="00074551" w:rsidRPr="007E1BAC" w:rsidRDefault="00074551" w:rsidP="00074551">
      <w:pPr>
        <w:pStyle w:val="Funotentext"/>
        <w:rPr>
          <w:lang w:val="en-US"/>
        </w:rPr>
      </w:pPr>
      <w:r w:rsidRPr="009572B5">
        <w:rPr>
          <w:i/>
          <w:lang w:val="en-US"/>
        </w:rPr>
        <w:t>Eisenstadt v. Baird</w:t>
      </w:r>
      <w:r w:rsidRPr="007E1BAC">
        <w:rPr>
          <w:lang w:val="en-US"/>
        </w:rPr>
        <w:t>, 405 U.S. 438, 453</w:t>
      </w:r>
      <w:r>
        <w:rPr>
          <w:lang w:val="en-US"/>
        </w:rPr>
        <w:t>–</w:t>
      </w:r>
      <w:r w:rsidRPr="007E1BAC">
        <w:rPr>
          <w:lang w:val="en-US"/>
        </w:rPr>
        <w:t>454</w:t>
      </w:r>
      <w:r>
        <w:rPr>
          <w:lang w:val="en-US"/>
        </w:rPr>
        <w:t xml:space="preserve"> = 92 S. Ct. </w:t>
      </w:r>
      <w:r w:rsidRPr="007E1BAC">
        <w:rPr>
          <w:lang w:val="en-US"/>
        </w:rPr>
        <w:t>1029, 1038</w:t>
      </w:r>
      <w:r>
        <w:rPr>
          <w:lang w:val="en-US"/>
        </w:rPr>
        <w:t xml:space="preserve"> = 31 L. Ed. </w:t>
      </w:r>
      <w:r w:rsidRPr="007E1BAC">
        <w:rPr>
          <w:lang w:val="en-US"/>
        </w:rPr>
        <w:t>2d 349, 362</w:t>
      </w:r>
      <w:r>
        <w:rPr>
          <w:lang w:val="en-US"/>
        </w:rPr>
        <w:t>–</w:t>
      </w:r>
      <w:r w:rsidRPr="007E1BAC">
        <w:rPr>
          <w:lang w:val="en-US"/>
        </w:rPr>
        <w:t>363</w:t>
      </w:r>
      <w:r>
        <w:rPr>
          <w:lang w:val="en-US"/>
        </w:rPr>
        <w:t xml:space="preserve"> = 1972 U.S. LEXIS </w:t>
      </w:r>
      <w:r w:rsidRPr="007E1BAC">
        <w:rPr>
          <w:lang w:val="en-US"/>
        </w:rPr>
        <w:t>145, 28 (1972)</w:t>
      </w:r>
      <w:r>
        <w:rPr>
          <w:lang w:val="en-US"/>
        </w:rPr>
        <w:t>.</w:t>
      </w:r>
    </w:p>
  </w:footnote>
  <w:footnote w:id="1620">
    <w:p w14:paraId="43D0E9E8" w14:textId="77777777" w:rsidR="00074551" w:rsidRPr="001B2DF1" w:rsidRDefault="00074551" w:rsidP="00074551">
      <w:pPr>
        <w:pStyle w:val="Funotentext"/>
        <w:rPr>
          <w:lang w:val="en-US"/>
        </w:rPr>
      </w:pPr>
      <w:r>
        <w:rPr>
          <w:rStyle w:val="Funotenzeichen"/>
          <w:rFonts w:eastAsiaTheme="majorEastAsia"/>
        </w:rPr>
        <w:footnoteRef/>
      </w:r>
      <w:r w:rsidRPr="001B2DF1">
        <w:rPr>
          <w:lang w:val="en-US"/>
        </w:rPr>
        <w:t xml:space="preserve"> </w:t>
      </w:r>
      <w:r w:rsidRPr="009572B5">
        <w:rPr>
          <w:i/>
          <w:lang w:val="en-US"/>
        </w:rPr>
        <w:t>Eisenstadt v. Baird</w:t>
      </w:r>
      <w:r w:rsidRPr="001B2DF1">
        <w:rPr>
          <w:lang w:val="en-US"/>
        </w:rPr>
        <w:t>, 405 U.S. 438, 453</w:t>
      </w:r>
      <w:r>
        <w:rPr>
          <w:lang w:val="en-US"/>
        </w:rPr>
        <w:t xml:space="preserve"> = 92 S. Ct. </w:t>
      </w:r>
      <w:r w:rsidRPr="001B2DF1">
        <w:rPr>
          <w:lang w:val="en-US"/>
        </w:rPr>
        <w:t>1029, 1038</w:t>
      </w:r>
      <w:r>
        <w:rPr>
          <w:lang w:val="en-US"/>
        </w:rPr>
        <w:t xml:space="preserve"> = 31 L. Ed. </w:t>
      </w:r>
      <w:r w:rsidRPr="001B2DF1">
        <w:rPr>
          <w:lang w:val="en-US"/>
        </w:rPr>
        <w:t>2d 349, 362</w:t>
      </w:r>
      <w:r>
        <w:rPr>
          <w:lang w:val="en-US"/>
        </w:rPr>
        <w:t xml:space="preserve"> = 1972 U.S. LEXIS </w:t>
      </w:r>
      <w:r w:rsidRPr="001B2DF1">
        <w:rPr>
          <w:lang w:val="en-US"/>
        </w:rPr>
        <w:t>145, 28 (1972)</w:t>
      </w:r>
      <w:r>
        <w:rPr>
          <w:lang w:val="en-US"/>
        </w:rPr>
        <w:t>.</w:t>
      </w:r>
    </w:p>
  </w:footnote>
  <w:footnote w:id="1621">
    <w:p w14:paraId="40AA3C3A" w14:textId="77777777" w:rsidR="00074551" w:rsidRPr="00AB36E6" w:rsidRDefault="00074551" w:rsidP="00074551">
      <w:pPr>
        <w:pStyle w:val="Funotentext"/>
        <w:rPr>
          <w:lang w:val="en-US"/>
        </w:rPr>
      </w:pPr>
      <w:r>
        <w:rPr>
          <w:rStyle w:val="Funotenzeichen"/>
          <w:rFonts w:eastAsiaTheme="majorEastAsia"/>
        </w:rPr>
        <w:footnoteRef/>
      </w:r>
      <w:r w:rsidRPr="00AB36E6">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AB36E6">
        <w:rPr>
          <w:lang w:val="en-US"/>
        </w:rPr>
        <w:t>, 71 U.S. 2, 107</w:t>
      </w:r>
      <w:r w:rsidRPr="006E67FE">
        <w:rPr>
          <w:lang w:val="en-US"/>
        </w:rPr>
        <w:t xml:space="preserve"> = 18 L. Ed. </w:t>
      </w:r>
      <w:r w:rsidRPr="00AB36E6">
        <w:rPr>
          <w:lang w:val="en-US"/>
        </w:rPr>
        <w:t>281, 291</w:t>
      </w:r>
      <w:r w:rsidRPr="006E67FE">
        <w:rPr>
          <w:lang w:val="en-US"/>
        </w:rPr>
        <w:t xml:space="preserve"> = 1866 U.S. LEXIS </w:t>
      </w:r>
      <w:r w:rsidRPr="00AB36E6">
        <w:rPr>
          <w:lang w:val="en-US"/>
        </w:rPr>
        <w:t>861, 174</w:t>
      </w:r>
      <w:r w:rsidRPr="006E67FE">
        <w:rPr>
          <w:lang w:val="en-US"/>
        </w:rPr>
        <w:t xml:space="preserve"> = 4 Wall.</w:t>
      </w:r>
      <w:r w:rsidRPr="00AB36E6">
        <w:rPr>
          <w:lang w:val="en-US"/>
        </w:rPr>
        <w:t xml:space="preserve"> 2 (1866)</w:t>
      </w:r>
      <w:r>
        <w:rPr>
          <w:lang w:val="en-US"/>
        </w:rPr>
        <w:t>.</w:t>
      </w:r>
    </w:p>
  </w:footnote>
  <w:footnote w:id="1622">
    <w:p w14:paraId="5DD559D4" w14:textId="77777777" w:rsidR="00074551" w:rsidRPr="00464E85" w:rsidRDefault="00074551" w:rsidP="00074551">
      <w:pPr>
        <w:pStyle w:val="Funotentext"/>
        <w:rPr>
          <w:lang w:val="en-US"/>
        </w:rPr>
      </w:pPr>
      <w:r>
        <w:rPr>
          <w:rStyle w:val="Funotenzeichen"/>
          <w:rFonts w:eastAsiaTheme="majorEastAsia"/>
        </w:rPr>
        <w:footnoteRef/>
      </w:r>
      <w:r w:rsidRPr="00464E85">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464E85">
        <w:rPr>
          <w:lang w:val="en-US"/>
        </w:rPr>
        <w:t>, 71 U.S. 2</w:t>
      </w:r>
      <w:r w:rsidRPr="006E67FE">
        <w:rPr>
          <w:lang w:val="en-US"/>
        </w:rPr>
        <w:t xml:space="preserve"> = 18 L. Ed. </w:t>
      </w:r>
      <w:r w:rsidRPr="00464E85">
        <w:rPr>
          <w:lang w:val="en-US"/>
        </w:rPr>
        <w:t>281</w:t>
      </w:r>
      <w:r w:rsidRPr="006E67FE">
        <w:rPr>
          <w:lang w:val="en-US"/>
        </w:rPr>
        <w:t xml:space="preserve"> = 1866 U.S. LEXIS </w:t>
      </w:r>
      <w:r w:rsidRPr="00464E85">
        <w:rPr>
          <w:lang w:val="en-US"/>
        </w:rPr>
        <w:t>861</w:t>
      </w:r>
      <w:r w:rsidRPr="006E67FE">
        <w:rPr>
          <w:lang w:val="en-US"/>
        </w:rPr>
        <w:t xml:space="preserve"> = 4 Wall.</w:t>
      </w:r>
      <w:r w:rsidRPr="00464E85">
        <w:rPr>
          <w:lang w:val="en-US"/>
        </w:rPr>
        <w:t xml:space="preserve"> 2 (1866)</w:t>
      </w:r>
      <w:r>
        <w:rPr>
          <w:lang w:val="en-US"/>
        </w:rPr>
        <w:t>.</w:t>
      </w:r>
    </w:p>
  </w:footnote>
  <w:footnote w:id="1623">
    <w:p w14:paraId="5CE41545" w14:textId="77777777" w:rsidR="00074551" w:rsidRPr="006F00FE" w:rsidRDefault="00074551" w:rsidP="00074551">
      <w:pPr>
        <w:pStyle w:val="Funotentext"/>
        <w:rPr>
          <w:lang w:val="en-US"/>
        </w:rPr>
      </w:pPr>
      <w:r>
        <w:rPr>
          <w:rStyle w:val="Funotenzeichen"/>
          <w:rFonts w:eastAsiaTheme="majorEastAsia"/>
        </w:rPr>
        <w:footnoteRef/>
      </w:r>
      <w:r w:rsidRPr="006F00FE">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6F00FE">
        <w:rPr>
          <w:lang w:val="en-US"/>
        </w:rPr>
        <w:t>, 71 U.S. 2, 107</w:t>
      </w:r>
      <w:r w:rsidRPr="006E67FE">
        <w:rPr>
          <w:lang w:val="en-US"/>
        </w:rPr>
        <w:t xml:space="preserve"> = 18 L. Ed. </w:t>
      </w:r>
      <w:r w:rsidRPr="006F00FE">
        <w:rPr>
          <w:lang w:val="en-US"/>
        </w:rPr>
        <w:t>281, 291</w:t>
      </w:r>
      <w:r w:rsidRPr="006E67FE">
        <w:rPr>
          <w:lang w:val="en-US"/>
        </w:rPr>
        <w:t xml:space="preserve"> = 1866 U.S. LEXIS </w:t>
      </w:r>
      <w:r w:rsidRPr="006F00FE">
        <w:rPr>
          <w:lang w:val="en-US"/>
        </w:rPr>
        <w:t>861, 174</w:t>
      </w:r>
      <w:r w:rsidRPr="006E67FE">
        <w:rPr>
          <w:lang w:val="en-US"/>
        </w:rPr>
        <w:t xml:space="preserve"> = 4 Wall.</w:t>
      </w:r>
      <w:r w:rsidRPr="006F00FE">
        <w:rPr>
          <w:lang w:val="en-US"/>
        </w:rPr>
        <w:t xml:space="preserve"> 2 (1866)</w:t>
      </w:r>
      <w:r>
        <w:rPr>
          <w:lang w:val="en-US"/>
        </w:rPr>
        <w:t>.</w:t>
      </w:r>
    </w:p>
  </w:footnote>
  <w:footnote w:id="1624">
    <w:p w14:paraId="3510F08D" w14:textId="77777777" w:rsidR="00074551" w:rsidRPr="006F00FE" w:rsidRDefault="00074551" w:rsidP="00074551">
      <w:pPr>
        <w:pStyle w:val="Funotentext"/>
        <w:rPr>
          <w:lang w:val="en-US"/>
        </w:rPr>
      </w:pPr>
      <w:r>
        <w:rPr>
          <w:rStyle w:val="Funotenzeichen"/>
          <w:rFonts w:eastAsiaTheme="majorEastAsia"/>
        </w:rPr>
        <w:footnoteRef/>
      </w:r>
      <w:r w:rsidRPr="006F00FE">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6F00FE">
        <w:rPr>
          <w:lang w:val="en-US"/>
        </w:rPr>
        <w:t>, 71 U.S. 2, 107</w:t>
      </w:r>
      <w:r w:rsidRPr="006E67FE">
        <w:rPr>
          <w:lang w:val="en-US"/>
        </w:rPr>
        <w:t xml:space="preserve"> = 18 L. Ed. </w:t>
      </w:r>
      <w:r w:rsidRPr="006F00FE">
        <w:rPr>
          <w:lang w:val="en-US"/>
        </w:rPr>
        <w:t>281, 291</w:t>
      </w:r>
      <w:r w:rsidRPr="006E67FE">
        <w:rPr>
          <w:lang w:val="en-US"/>
        </w:rPr>
        <w:t xml:space="preserve"> = 1866 U.S. LEXIS </w:t>
      </w:r>
      <w:r w:rsidRPr="006F00FE">
        <w:rPr>
          <w:lang w:val="en-US"/>
        </w:rPr>
        <w:t>861, 174</w:t>
      </w:r>
      <w:r w:rsidRPr="006E67FE">
        <w:rPr>
          <w:lang w:val="en-US"/>
        </w:rPr>
        <w:t xml:space="preserve"> = 4 Wall.</w:t>
      </w:r>
      <w:r w:rsidRPr="006F00FE">
        <w:rPr>
          <w:lang w:val="en-US"/>
        </w:rPr>
        <w:t xml:space="preserve"> 2 (1866)</w:t>
      </w:r>
      <w:r>
        <w:rPr>
          <w:lang w:val="en-US"/>
        </w:rPr>
        <w:t>.</w:t>
      </w:r>
    </w:p>
  </w:footnote>
  <w:footnote w:id="1625">
    <w:p w14:paraId="65E92E0F" w14:textId="77777777" w:rsidR="00074551" w:rsidRPr="006F00FE" w:rsidRDefault="00074551" w:rsidP="00074551">
      <w:pPr>
        <w:pStyle w:val="Funotentext"/>
        <w:rPr>
          <w:lang w:val="en-US"/>
        </w:rPr>
      </w:pPr>
      <w:r>
        <w:rPr>
          <w:rStyle w:val="Funotenzeichen"/>
          <w:rFonts w:eastAsiaTheme="majorEastAsia"/>
        </w:rPr>
        <w:footnoteRef/>
      </w:r>
      <w:r w:rsidRPr="006F00FE">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6F00FE">
        <w:rPr>
          <w:lang w:val="en-US"/>
        </w:rPr>
        <w:t>, 71 U.S. 2, 107</w:t>
      </w:r>
      <w:r w:rsidRPr="006E67FE">
        <w:rPr>
          <w:lang w:val="en-US"/>
        </w:rPr>
        <w:t xml:space="preserve"> = 18 L. Ed. </w:t>
      </w:r>
      <w:r w:rsidRPr="006F00FE">
        <w:rPr>
          <w:lang w:val="en-US"/>
        </w:rPr>
        <w:t>281, 291</w:t>
      </w:r>
      <w:r w:rsidRPr="006E67FE">
        <w:rPr>
          <w:lang w:val="en-US"/>
        </w:rPr>
        <w:t xml:space="preserve"> = 1866 U.S. LEXIS </w:t>
      </w:r>
      <w:r w:rsidRPr="006F00FE">
        <w:rPr>
          <w:lang w:val="en-US"/>
        </w:rPr>
        <w:t>861, 174</w:t>
      </w:r>
      <w:r w:rsidRPr="006E67FE">
        <w:rPr>
          <w:lang w:val="en-US"/>
        </w:rPr>
        <w:t xml:space="preserve"> = 4 Wall.</w:t>
      </w:r>
      <w:r w:rsidRPr="006F00FE">
        <w:rPr>
          <w:lang w:val="en-US"/>
        </w:rPr>
        <w:t xml:space="preserve"> 2 (1866)</w:t>
      </w:r>
      <w:r>
        <w:rPr>
          <w:lang w:val="en-US"/>
        </w:rPr>
        <w:t>.</w:t>
      </w:r>
    </w:p>
  </w:footnote>
  <w:footnote w:id="1626">
    <w:p w14:paraId="3D98D150" w14:textId="77777777" w:rsidR="00074551" w:rsidRPr="00342338" w:rsidRDefault="00074551" w:rsidP="00074551">
      <w:pPr>
        <w:pStyle w:val="Funotentext"/>
        <w:rPr>
          <w:lang w:val="en-US"/>
        </w:rPr>
      </w:pPr>
      <w:r>
        <w:rPr>
          <w:rStyle w:val="Funotenzeichen"/>
          <w:rFonts w:eastAsiaTheme="majorEastAsia"/>
        </w:rPr>
        <w:footnoteRef/>
      </w:r>
      <w:r w:rsidRPr="00342338">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342338">
        <w:rPr>
          <w:lang w:val="en-US"/>
        </w:rPr>
        <w:t>, 71 U.S. 2, 120</w:t>
      </w:r>
      <w:r w:rsidRPr="006E67FE">
        <w:rPr>
          <w:lang w:val="en-US"/>
        </w:rPr>
        <w:t xml:space="preserve"> = 18 L. Ed. </w:t>
      </w:r>
      <w:r w:rsidRPr="00342338">
        <w:rPr>
          <w:lang w:val="en-US"/>
        </w:rPr>
        <w:t>281, 295</w:t>
      </w:r>
      <w:r w:rsidRPr="006E67FE">
        <w:rPr>
          <w:lang w:val="en-US"/>
        </w:rPr>
        <w:t xml:space="preserve"> = 1866 U.S. LEXIS </w:t>
      </w:r>
      <w:r w:rsidRPr="00342338">
        <w:rPr>
          <w:lang w:val="en-US"/>
        </w:rPr>
        <w:t>861, 209</w:t>
      </w:r>
      <w:r w:rsidRPr="006E67FE">
        <w:rPr>
          <w:lang w:val="en-US"/>
        </w:rPr>
        <w:t xml:space="preserve"> = 4 Wall.</w:t>
      </w:r>
      <w:r w:rsidRPr="00342338">
        <w:rPr>
          <w:lang w:val="en-US"/>
        </w:rPr>
        <w:t xml:space="preserve"> 2 (1866)</w:t>
      </w:r>
      <w:r>
        <w:rPr>
          <w:lang w:val="en-US"/>
        </w:rPr>
        <w:t>.</w:t>
      </w:r>
    </w:p>
  </w:footnote>
  <w:footnote w:id="1627">
    <w:p w14:paraId="2AA2B811" w14:textId="77777777" w:rsidR="00074551" w:rsidRPr="00CD4AE9" w:rsidRDefault="00074551" w:rsidP="00074551">
      <w:pPr>
        <w:pStyle w:val="Funotentext"/>
        <w:rPr>
          <w:lang w:val="en-US"/>
        </w:rPr>
      </w:pPr>
      <w:r>
        <w:rPr>
          <w:rStyle w:val="Funotenzeichen"/>
          <w:rFonts w:eastAsiaTheme="majorEastAsia"/>
        </w:rPr>
        <w:footnoteRef/>
      </w:r>
      <w:r w:rsidRPr="00CD4AE9">
        <w:rPr>
          <w:lang w:val="en-US"/>
        </w:rPr>
        <w:t xml:space="preserve"> </w:t>
      </w:r>
      <w:r w:rsidRPr="001F38CE">
        <w:rPr>
          <w:i/>
          <w:lang w:val="en-US"/>
        </w:rPr>
        <w:t xml:space="preserve">Fullilove v. </w:t>
      </w:r>
      <w:proofErr w:type="spellStart"/>
      <w:r w:rsidRPr="001F38CE">
        <w:rPr>
          <w:i/>
          <w:lang w:val="en-US"/>
        </w:rPr>
        <w:t>Klutznick</w:t>
      </w:r>
      <w:proofErr w:type="spellEnd"/>
      <w:r w:rsidRPr="00CD4AE9">
        <w:rPr>
          <w:lang w:val="en-US"/>
        </w:rPr>
        <w:t>, 448 U.S. 448, 533</w:t>
      </w:r>
      <w:r>
        <w:rPr>
          <w:lang w:val="en-US"/>
        </w:rPr>
        <w:t xml:space="preserve"> = 100 S. Ct.</w:t>
      </w:r>
      <w:r w:rsidRPr="00CD4AE9">
        <w:rPr>
          <w:lang w:val="en-US"/>
        </w:rPr>
        <w:t xml:space="preserve"> 2758, 2803</w:t>
      </w:r>
      <w:r>
        <w:rPr>
          <w:lang w:val="en-US"/>
        </w:rPr>
        <w:t xml:space="preserve"> = 65 L. Ed. </w:t>
      </w:r>
      <w:r w:rsidRPr="00CD4AE9">
        <w:rPr>
          <w:lang w:val="en-US"/>
        </w:rPr>
        <w:t>2d 902, 960</w:t>
      </w:r>
      <w:r>
        <w:rPr>
          <w:lang w:val="en-US"/>
        </w:rPr>
        <w:t xml:space="preserve"> = 1980 U.S. LEXIS </w:t>
      </w:r>
      <w:r w:rsidRPr="00CD4AE9">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CD4AE9">
        <w:rPr>
          <w:lang w:val="en-US"/>
        </w:rPr>
        <w:t>(CCH) P31,026</w:t>
      </w:r>
      <w:r>
        <w:rPr>
          <w:lang w:val="en-US"/>
        </w:rPr>
        <w:t xml:space="preserve"> = 27 Cont. Cas. Fed. </w:t>
      </w:r>
      <w:r w:rsidRPr="00CD4AE9">
        <w:rPr>
          <w:lang w:val="en-US"/>
        </w:rPr>
        <w:t>(CCH) P80,496 (1980)</w:t>
      </w:r>
      <w:r>
        <w:rPr>
          <w:lang w:val="en-US"/>
        </w:rPr>
        <w:t>.</w:t>
      </w:r>
    </w:p>
  </w:footnote>
  <w:footnote w:id="1628">
    <w:p w14:paraId="3F7C1B06" w14:textId="77777777" w:rsidR="00074551" w:rsidRDefault="00074551" w:rsidP="00074551">
      <w:pPr>
        <w:pStyle w:val="Funotentext"/>
        <w:ind w:left="227" w:hanging="227"/>
        <w:rPr>
          <w:lang w:val="en-US"/>
        </w:rPr>
      </w:pPr>
      <w:r>
        <w:rPr>
          <w:rStyle w:val="Funotenzeichen"/>
          <w:rFonts w:eastAsiaTheme="majorEastAsia"/>
        </w:rPr>
        <w:footnoteRef/>
      </w:r>
      <w:r w:rsidRPr="0070521F">
        <w:rPr>
          <w:lang w:val="en-US"/>
        </w:rPr>
        <w:t xml:space="preserve"> </w:t>
      </w:r>
      <w:r w:rsidRPr="00B45592">
        <w:rPr>
          <w:lang w:val="en-US"/>
        </w:rPr>
        <w:t xml:space="preserve">Zum </w:t>
      </w:r>
      <w:proofErr w:type="spellStart"/>
      <w:r w:rsidRPr="00B45592">
        <w:rPr>
          <w:lang w:val="en-US"/>
        </w:rPr>
        <w:t>Konzept</w:t>
      </w:r>
      <w:proofErr w:type="spellEnd"/>
      <w:r w:rsidRPr="00B45592">
        <w:rPr>
          <w:lang w:val="en-US"/>
        </w:rPr>
        <w:t xml:space="preserve"> der </w:t>
      </w:r>
      <w:r w:rsidRPr="00B45592">
        <w:rPr>
          <w:i/>
          <w:lang w:val="en-US"/>
        </w:rPr>
        <w:t>equal justice</w:t>
      </w:r>
      <w:r w:rsidRPr="00B45592">
        <w:rPr>
          <w:lang w:val="en-US"/>
        </w:rPr>
        <w:t xml:space="preserve"> </w:t>
      </w:r>
      <w:proofErr w:type="spellStart"/>
      <w:r w:rsidRPr="00B45592">
        <w:rPr>
          <w:lang w:val="en-US"/>
        </w:rPr>
        <w:t>siehe</w:t>
      </w:r>
      <w:proofErr w:type="spellEnd"/>
      <w:r w:rsidRPr="00A15962">
        <w:rPr>
          <w:lang w:val="en-US"/>
        </w:rPr>
        <w:t xml:space="preserve"> </w:t>
      </w:r>
      <w:r w:rsidRPr="00B45592">
        <w:rPr>
          <w:i/>
          <w:lang w:val="en-US"/>
        </w:rPr>
        <w:t>Harris v. McRae</w:t>
      </w:r>
      <w:r w:rsidRPr="00A15962">
        <w:rPr>
          <w:lang w:val="en-US"/>
        </w:rPr>
        <w:t xml:space="preserve">, </w:t>
      </w:r>
      <w:r w:rsidRPr="00B45592">
        <w:rPr>
          <w:lang w:val="en-IE"/>
        </w:rPr>
        <w:t xml:space="preserve">448 U. S. 297, </w:t>
      </w:r>
      <w:r w:rsidRPr="00A15962">
        <w:rPr>
          <w:lang w:val="en-US"/>
        </w:rPr>
        <w:t>349, 356–357 (</w:t>
      </w:r>
      <w:r w:rsidRPr="00B45592">
        <w:rPr>
          <w:lang w:val="en-US"/>
        </w:rPr>
        <w:t xml:space="preserve">Dissens von Richter </w:t>
      </w:r>
      <w:r w:rsidRPr="00B45592">
        <w:rPr>
          <w:i/>
          <w:lang w:val="en-US"/>
        </w:rPr>
        <w:t>Stevens</w:t>
      </w:r>
      <w:r w:rsidRPr="00A15962">
        <w:rPr>
          <w:lang w:val="en-US"/>
        </w:rPr>
        <w:t xml:space="preserve">); </w:t>
      </w:r>
      <w:r w:rsidRPr="00B45592">
        <w:rPr>
          <w:i/>
          <w:lang w:val="en-US"/>
        </w:rPr>
        <w:t>Craig v. Boren</w:t>
      </w:r>
      <w:r w:rsidRPr="00A15962">
        <w:rPr>
          <w:lang w:val="en-US"/>
        </w:rPr>
        <w:t>, 429 U.S. 190, 211 (</w:t>
      </w:r>
      <w:r w:rsidRPr="00B45592">
        <w:rPr>
          <w:i/>
          <w:lang w:val="en-US"/>
        </w:rPr>
        <w:t>concurring opinion</w:t>
      </w:r>
      <w:r w:rsidRPr="00B45592">
        <w:rPr>
          <w:lang w:val="en-US"/>
        </w:rPr>
        <w:t xml:space="preserve"> von Richter </w:t>
      </w:r>
    </w:p>
    <w:p w14:paraId="17258D86" w14:textId="77777777" w:rsidR="00074551" w:rsidRDefault="00074551" w:rsidP="00074551">
      <w:pPr>
        <w:pStyle w:val="Funotentext"/>
        <w:ind w:left="227" w:hanging="227"/>
        <w:rPr>
          <w:lang w:val="en-US"/>
        </w:rPr>
      </w:pPr>
      <w:r w:rsidRPr="00B45592">
        <w:rPr>
          <w:i/>
          <w:lang w:val="en-US"/>
        </w:rPr>
        <w:t>Stevens</w:t>
      </w:r>
      <w:r w:rsidRPr="00A15962">
        <w:rPr>
          <w:lang w:val="en-US"/>
        </w:rPr>
        <w:t xml:space="preserve">); </w:t>
      </w:r>
      <w:r w:rsidRPr="00A15962">
        <w:rPr>
          <w:i/>
          <w:lang w:val="en-US"/>
        </w:rPr>
        <w:t xml:space="preserve">Fullilove v. </w:t>
      </w:r>
      <w:proofErr w:type="spellStart"/>
      <w:r w:rsidRPr="00A15962">
        <w:rPr>
          <w:i/>
          <w:lang w:val="en-US"/>
        </w:rPr>
        <w:t>Klutznick</w:t>
      </w:r>
      <w:proofErr w:type="spellEnd"/>
      <w:r w:rsidRPr="00A15962">
        <w:rPr>
          <w:lang w:val="en-US"/>
        </w:rPr>
        <w:t xml:space="preserve">, 448 U.S. 448, 533 = 100 S. Ct. 2758, 2803 = 65 L. Ed. 2d 902, 960 = 1980 U.S. LEXIS 8, 149 = 23 </w:t>
      </w:r>
      <w:proofErr w:type="spellStart"/>
      <w:r w:rsidRPr="00A15962">
        <w:rPr>
          <w:lang w:val="en-US"/>
        </w:rPr>
        <w:t>Empl</w:t>
      </w:r>
      <w:proofErr w:type="spellEnd"/>
      <w:r w:rsidRPr="00A15962">
        <w:rPr>
          <w:lang w:val="en-US"/>
        </w:rPr>
        <w:t xml:space="preserve">. </w:t>
      </w:r>
      <w:proofErr w:type="spellStart"/>
      <w:r w:rsidRPr="00A15962">
        <w:rPr>
          <w:lang w:val="en-US"/>
        </w:rPr>
        <w:t>Prac</w:t>
      </w:r>
      <w:proofErr w:type="spellEnd"/>
      <w:r w:rsidRPr="00A15962">
        <w:rPr>
          <w:lang w:val="en-US"/>
        </w:rPr>
        <w:t xml:space="preserve">. Dec. (CCH) P31,026 = 27 Cont. Cas. Fed. </w:t>
      </w:r>
    </w:p>
    <w:p w14:paraId="16B30714" w14:textId="77777777" w:rsidR="00074551" w:rsidRPr="00A15962" w:rsidRDefault="00074551" w:rsidP="00074551">
      <w:pPr>
        <w:pStyle w:val="Funotentext"/>
        <w:ind w:left="227" w:hanging="227"/>
        <w:rPr>
          <w:lang w:val="en-US"/>
        </w:rPr>
      </w:pPr>
      <w:r w:rsidRPr="00A15962">
        <w:rPr>
          <w:lang w:val="en-US"/>
        </w:rPr>
        <w:t>(CCH) P80,496 (1980).</w:t>
      </w:r>
    </w:p>
  </w:footnote>
  <w:footnote w:id="1629">
    <w:p w14:paraId="6D2342FC" w14:textId="149635BD" w:rsidR="00074551" w:rsidRPr="00CD4AE9" w:rsidRDefault="00074551" w:rsidP="00074551">
      <w:pPr>
        <w:pStyle w:val="Funotentext"/>
        <w:rPr>
          <w:lang w:val="en-US"/>
        </w:rPr>
      </w:pPr>
      <w:r w:rsidRPr="00A15962">
        <w:rPr>
          <w:rStyle w:val="Funotenzeichen"/>
          <w:rFonts w:eastAsiaTheme="majorEastAsia"/>
        </w:rPr>
        <w:footnoteRef/>
      </w:r>
      <w:r w:rsidRPr="00A15962">
        <w:rPr>
          <w:lang w:val="en-US"/>
        </w:rPr>
        <w:t xml:space="preserve"> </w:t>
      </w:r>
      <w:r w:rsidRPr="00B45592">
        <w:rPr>
          <w:i/>
          <w:lang w:val="en-US"/>
        </w:rPr>
        <w:t>Hampton v. Mow Sun Wong</w:t>
      </w:r>
      <w:r w:rsidRPr="00A15962">
        <w:rPr>
          <w:lang w:val="en-US"/>
        </w:rPr>
        <w:t xml:space="preserve">, 426 U.S. 88, 100. </w:t>
      </w:r>
      <w:proofErr w:type="spellStart"/>
      <w:r w:rsidRPr="00B45592">
        <w:rPr>
          <w:lang w:val="en-US"/>
        </w:rPr>
        <w:t>Siehe</w:t>
      </w:r>
      <w:proofErr w:type="spellEnd"/>
      <w:r w:rsidRPr="00B45592">
        <w:rPr>
          <w:lang w:val="en-US"/>
        </w:rPr>
        <w:t xml:space="preserve"> </w:t>
      </w:r>
      <w:proofErr w:type="spellStart"/>
      <w:r w:rsidRPr="00B45592">
        <w:rPr>
          <w:lang w:val="en-US"/>
        </w:rPr>
        <w:t>auch</w:t>
      </w:r>
      <w:proofErr w:type="spellEnd"/>
      <w:r w:rsidRPr="00A15962">
        <w:rPr>
          <w:lang w:val="en-US"/>
        </w:rPr>
        <w:t xml:space="preserve"> </w:t>
      </w:r>
      <w:r w:rsidRPr="00B45592">
        <w:rPr>
          <w:i/>
          <w:lang w:val="en-US"/>
        </w:rPr>
        <w:t>Harris v. McRae</w:t>
      </w:r>
      <w:r w:rsidRPr="00A15962">
        <w:rPr>
          <w:lang w:val="en-US"/>
        </w:rPr>
        <w:t xml:space="preserve">, </w:t>
      </w:r>
      <w:r w:rsidRPr="00B45592">
        <w:rPr>
          <w:lang w:val="en-IE"/>
        </w:rPr>
        <w:t xml:space="preserve">448 U. S. 297, </w:t>
      </w:r>
      <w:r w:rsidRPr="00A15962">
        <w:rPr>
          <w:lang w:val="en-US"/>
        </w:rPr>
        <w:t xml:space="preserve">349, 356–357 </w:t>
      </w:r>
      <w:r w:rsidRPr="00B45592">
        <w:rPr>
          <w:lang w:val="en-US"/>
        </w:rPr>
        <w:t xml:space="preserve">(Dissens von Richter </w:t>
      </w:r>
      <w:r w:rsidRPr="00B45592">
        <w:rPr>
          <w:i/>
          <w:lang w:val="en-US"/>
        </w:rPr>
        <w:t>Stevens</w:t>
      </w:r>
      <w:r w:rsidRPr="00B45592">
        <w:rPr>
          <w:lang w:val="en-US"/>
        </w:rPr>
        <w:t xml:space="preserve">); </w:t>
      </w:r>
      <w:r w:rsidRPr="00B45592">
        <w:rPr>
          <w:i/>
          <w:lang w:val="en-US"/>
        </w:rPr>
        <w:t>Craig v. Boren</w:t>
      </w:r>
      <w:r w:rsidRPr="00B45592">
        <w:rPr>
          <w:lang w:val="en-US"/>
        </w:rPr>
        <w:t>, 429 U.S. 190, 211 (</w:t>
      </w:r>
      <w:r w:rsidRPr="00B45592">
        <w:rPr>
          <w:i/>
          <w:lang w:val="en-US"/>
        </w:rPr>
        <w:t>concurring opinion</w:t>
      </w:r>
      <w:r w:rsidRPr="00B45592">
        <w:rPr>
          <w:lang w:val="en-US"/>
        </w:rPr>
        <w:t xml:space="preserve"> von Richter </w:t>
      </w:r>
      <w:r w:rsidRPr="00B45592">
        <w:rPr>
          <w:i/>
          <w:lang w:val="en-US"/>
        </w:rPr>
        <w:t>Stevens</w:t>
      </w:r>
      <w:r w:rsidRPr="00B45592">
        <w:rPr>
          <w:lang w:val="en-US"/>
        </w:rPr>
        <w:t xml:space="preserve">); </w:t>
      </w:r>
      <w:r w:rsidRPr="00A15962">
        <w:rPr>
          <w:i/>
          <w:lang w:val="en-US"/>
        </w:rPr>
        <w:t>Fullilove</w:t>
      </w:r>
      <w:r w:rsidRPr="001F38CE">
        <w:rPr>
          <w:i/>
          <w:lang w:val="en-US"/>
        </w:rPr>
        <w:t xml:space="preserve"> v. </w:t>
      </w:r>
      <w:proofErr w:type="spellStart"/>
      <w:r w:rsidRPr="001F38CE">
        <w:rPr>
          <w:i/>
          <w:lang w:val="en-US"/>
        </w:rPr>
        <w:t>Klutznick</w:t>
      </w:r>
      <w:proofErr w:type="spellEnd"/>
      <w:r w:rsidRPr="00CD4AE9">
        <w:rPr>
          <w:lang w:val="en-US"/>
        </w:rPr>
        <w:t>, 448 U.S. 448,</w:t>
      </w:r>
      <w:r>
        <w:rPr>
          <w:lang w:val="en-US"/>
        </w:rPr>
        <w:t xml:space="preserve"> </w:t>
      </w:r>
      <w:r w:rsidR="00041E1A">
        <w:rPr>
          <w:lang w:val="en-US"/>
        </w:rPr>
        <w:t>553–</w:t>
      </w:r>
      <w:r>
        <w:rPr>
          <w:lang w:val="en-US"/>
        </w:rPr>
        <w:t xml:space="preserve">554 </w:t>
      </w:r>
      <w:r w:rsidRPr="00CD4AE9">
        <w:rPr>
          <w:lang w:val="en-US"/>
        </w:rPr>
        <w:t>(1980)</w:t>
      </w:r>
      <w:r>
        <w:rPr>
          <w:lang w:val="en-US"/>
        </w:rPr>
        <w:t>.</w:t>
      </w:r>
    </w:p>
  </w:footnote>
  <w:footnote w:id="1630">
    <w:p w14:paraId="7CCDAAA4" w14:textId="28F9E93A" w:rsidR="00074551" w:rsidRPr="00B37A8A" w:rsidRDefault="00074551" w:rsidP="00074551">
      <w:pPr>
        <w:pStyle w:val="Funotentext"/>
        <w:rPr>
          <w:lang w:val="en-US"/>
        </w:rPr>
      </w:pPr>
      <w:r>
        <w:rPr>
          <w:rStyle w:val="Funotenzeichen"/>
          <w:rFonts w:eastAsiaTheme="majorEastAsia"/>
        </w:rPr>
        <w:footnoteRef/>
      </w:r>
      <w:r w:rsidRPr="00B37A8A">
        <w:rPr>
          <w:lang w:val="en-US"/>
        </w:rPr>
        <w:t xml:space="preserve"> </w:t>
      </w:r>
      <w:proofErr w:type="spellStart"/>
      <w:r w:rsidRPr="00B37A8A">
        <w:rPr>
          <w:lang w:val="en-US"/>
        </w:rPr>
        <w:t>Vgl</w:t>
      </w:r>
      <w:proofErr w:type="spellEnd"/>
      <w:r w:rsidRPr="00B37A8A">
        <w:rPr>
          <w:lang w:val="en-US"/>
        </w:rPr>
        <w:t xml:space="preserve">. </w:t>
      </w:r>
      <w:proofErr w:type="spellStart"/>
      <w:r w:rsidRPr="00B37A8A">
        <w:rPr>
          <w:lang w:val="en-US"/>
        </w:rPr>
        <w:t>dazu</w:t>
      </w:r>
      <w:proofErr w:type="spellEnd"/>
      <w:r w:rsidRPr="00B37A8A">
        <w:rPr>
          <w:lang w:val="en-US"/>
        </w:rPr>
        <w:t xml:space="preserve"> </w:t>
      </w:r>
      <w:r w:rsidR="00023A37">
        <w:rPr>
          <w:lang w:val="en-US"/>
        </w:rPr>
        <w:t>U.S. Const. art. I, § 9, cl. 8.</w:t>
      </w:r>
    </w:p>
  </w:footnote>
  <w:footnote w:id="1631">
    <w:p w14:paraId="79184166" w14:textId="7278194D" w:rsidR="00074551" w:rsidRPr="00A15962" w:rsidRDefault="00074551" w:rsidP="00074551">
      <w:pPr>
        <w:pStyle w:val="Funotentext"/>
        <w:rPr>
          <w:lang w:val="en-US"/>
        </w:rPr>
      </w:pPr>
      <w:r>
        <w:rPr>
          <w:rStyle w:val="Funotenzeichen"/>
          <w:rFonts w:eastAsiaTheme="majorEastAsia"/>
        </w:rPr>
        <w:footnoteRef/>
      </w:r>
      <w:r w:rsidRPr="00A06753">
        <w:rPr>
          <w:lang w:val="en-US"/>
        </w:rPr>
        <w:t xml:space="preserve"> </w:t>
      </w:r>
      <w:r w:rsidRPr="00A15962">
        <w:rPr>
          <w:i/>
          <w:lang w:val="en-US"/>
        </w:rPr>
        <w:t>Hirabayashi v. United States</w:t>
      </w:r>
      <w:r w:rsidRPr="00A06753">
        <w:rPr>
          <w:lang w:val="en-US"/>
        </w:rPr>
        <w:t xml:space="preserve">, </w:t>
      </w:r>
      <w:r w:rsidRPr="00A15962">
        <w:rPr>
          <w:lang w:val="en-US"/>
        </w:rPr>
        <w:t xml:space="preserve">320 U.S. 81, 100 </w:t>
      </w:r>
      <w:r w:rsidRPr="00B45592">
        <w:rPr>
          <w:lang w:val="en-IE"/>
        </w:rPr>
        <w:t>(1943)</w:t>
      </w:r>
      <w:r>
        <w:rPr>
          <w:lang w:val="en-US"/>
        </w:rPr>
        <w:t xml:space="preserve">; </w:t>
      </w:r>
      <w:proofErr w:type="spellStart"/>
      <w:r>
        <w:rPr>
          <w:lang w:val="en-US"/>
        </w:rPr>
        <w:t>zitiert</w:t>
      </w:r>
      <w:proofErr w:type="spellEnd"/>
      <w:r>
        <w:rPr>
          <w:lang w:val="en-US"/>
        </w:rPr>
        <w:t xml:space="preserve"> in </w:t>
      </w:r>
      <w:r w:rsidRPr="00271360">
        <w:rPr>
          <w:i/>
          <w:lang w:val="en-IE"/>
        </w:rPr>
        <w:t xml:space="preserve">Fullilove v. </w:t>
      </w:r>
      <w:proofErr w:type="spellStart"/>
      <w:r w:rsidRPr="00271360">
        <w:rPr>
          <w:i/>
          <w:lang w:val="en-IE"/>
        </w:rPr>
        <w:t>Klutznick</w:t>
      </w:r>
      <w:proofErr w:type="spellEnd"/>
      <w:r w:rsidRPr="00271360">
        <w:rPr>
          <w:lang w:val="en-IE"/>
        </w:rPr>
        <w:t>, 448 U.S. 448, 497</w:t>
      </w:r>
      <w:r w:rsidR="00041E1A">
        <w:rPr>
          <w:lang w:val="en-IE"/>
        </w:rPr>
        <w:t>, 533</w:t>
      </w:r>
      <w:r>
        <w:rPr>
          <w:lang w:val="en-IE"/>
        </w:rPr>
        <w:t xml:space="preserve"> =</w:t>
      </w:r>
      <w:r w:rsidRPr="00271360">
        <w:rPr>
          <w:lang w:val="en-IE"/>
        </w:rPr>
        <w:t xml:space="preserve"> 100 S. Ct. 2758, 2784</w:t>
      </w:r>
      <w:r>
        <w:rPr>
          <w:lang w:val="en-IE"/>
        </w:rPr>
        <w:t xml:space="preserve"> =</w:t>
      </w:r>
      <w:r w:rsidRPr="00271360">
        <w:rPr>
          <w:lang w:val="en-IE"/>
        </w:rPr>
        <w:t xml:space="preserve"> 65 L. Ed. 2d 902, 936</w:t>
      </w:r>
      <w:r>
        <w:rPr>
          <w:lang w:val="en-IE"/>
        </w:rPr>
        <w:t xml:space="preserve"> =</w:t>
      </w:r>
      <w:r w:rsidRPr="00271360">
        <w:rPr>
          <w:lang w:val="en-IE"/>
        </w:rPr>
        <w:t xml:space="preserve"> 1980 U.S. LEXIS 8, 86</w:t>
      </w:r>
      <w:r>
        <w:rPr>
          <w:lang w:val="en-IE"/>
        </w:rPr>
        <w:t xml:space="preserve"> =</w:t>
      </w:r>
      <w:r w:rsidRPr="00271360">
        <w:rPr>
          <w:lang w:val="en-IE"/>
        </w:rPr>
        <w:t xml:space="preserve"> 23 </w:t>
      </w:r>
      <w:proofErr w:type="spellStart"/>
      <w:r w:rsidRPr="00271360">
        <w:rPr>
          <w:lang w:val="en-IE"/>
        </w:rPr>
        <w:t>Empl</w:t>
      </w:r>
      <w:proofErr w:type="spellEnd"/>
      <w:r w:rsidRPr="00271360">
        <w:rPr>
          <w:lang w:val="en-IE"/>
        </w:rPr>
        <w:t xml:space="preserve">. </w:t>
      </w:r>
      <w:proofErr w:type="spellStart"/>
      <w:r w:rsidRPr="00271360">
        <w:rPr>
          <w:lang w:val="en-IE"/>
        </w:rPr>
        <w:t>Prac</w:t>
      </w:r>
      <w:proofErr w:type="spellEnd"/>
      <w:r w:rsidRPr="00271360">
        <w:rPr>
          <w:lang w:val="en-IE"/>
        </w:rPr>
        <w:t>. Dec. (CCH) P31,026</w:t>
      </w:r>
      <w:r>
        <w:rPr>
          <w:lang w:val="en-IE"/>
        </w:rPr>
        <w:t xml:space="preserve"> =</w:t>
      </w:r>
      <w:r w:rsidRPr="00271360">
        <w:rPr>
          <w:lang w:val="en-IE"/>
        </w:rPr>
        <w:t xml:space="preserve"> 27 Cont. Cas. Fed. (CCH) P80,496 (1980)</w:t>
      </w:r>
      <w:r>
        <w:rPr>
          <w:lang w:val="en-IE"/>
        </w:rPr>
        <w:t>.</w:t>
      </w:r>
    </w:p>
  </w:footnote>
  <w:footnote w:id="1632">
    <w:p w14:paraId="3291CE95" w14:textId="77777777" w:rsidR="00074551" w:rsidRPr="00A15962" w:rsidRDefault="00074551" w:rsidP="00074551">
      <w:pPr>
        <w:pStyle w:val="Funotentext"/>
        <w:ind w:left="227" w:hanging="227"/>
        <w:rPr>
          <w:lang w:val="en-US"/>
        </w:rPr>
      </w:pPr>
      <w:r w:rsidRPr="00A15962">
        <w:rPr>
          <w:rStyle w:val="Funotenzeichen"/>
          <w:rFonts w:eastAsiaTheme="majorEastAsia"/>
        </w:rPr>
        <w:footnoteRef/>
      </w:r>
      <w:r w:rsidRPr="00A15962">
        <w:rPr>
          <w:lang w:val="en-US"/>
        </w:rPr>
        <w:t xml:space="preserve"> </w:t>
      </w:r>
      <w:r w:rsidRPr="00A15962">
        <w:rPr>
          <w:i/>
          <w:lang w:val="en-US"/>
        </w:rPr>
        <w:t>Mathews v. Lucas</w:t>
      </w:r>
      <w:r w:rsidRPr="00A15962">
        <w:rPr>
          <w:lang w:val="en-US"/>
        </w:rPr>
        <w:t xml:space="preserve">, 427 U.S. 495, 520–521, n. 3 (Dissens von Richter </w:t>
      </w:r>
      <w:proofErr w:type="gramStart"/>
      <w:r w:rsidRPr="00A15962">
        <w:rPr>
          <w:lang w:val="en-US"/>
        </w:rPr>
        <w:t>Stevens</w:t>
      </w:r>
      <w:r w:rsidRPr="00B45592" w:rsidDel="00D40B5A">
        <w:rPr>
          <w:lang w:val="en-US"/>
        </w:rPr>
        <w:t xml:space="preserve"> </w:t>
      </w:r>
      <w:r w:rsidRPr="00A15962">
        <w:rPr>
          <w:lang w:val="en-US"/>
        </w:rPr>
        <w:t>)</w:t>
      </w:r>
      <w:proofErr w:type="gramEnd"/>
      <w:r w:rsidRPr="00A15962">
        <w:rPr>
          <w:lang w:val="en-US"/>
        </w:rPr>
        <w:t xml:space="preserve">; </w:t>
      </w:r>
      <w:r w:rsidRPr="00A15962">
        <w:rPr>
          <w:i/>
          <w:lang w:val="en-US"/>
        </w:rPr>
        <w:t xml:space="preserve">Fullilove v. </w:t>
      </w:r>
      <w:proofErr w:type="spellStart"/>
      <w:r w:rsidRPr="00A15962">
        <w:rPr>
          <w:i/>
          <w:lang w:val="en-US"/>
        </w:rPr>
        <w:t>Klutznick</w:t>
      </w:r>
      <w:proofErr w:type="spellEnd"/>
      <w:r w:rsidRPr="00A15962">
        <w:rPr>
          <w:lang w:val="en-US"/>
        </w:rPr>
        <w:t xml:space="preserve">, 448 U.S. 448, 533 = 100 S. Ct. 2758, 2803 = 65 L. Ed. 2d 902, 960 = 1980 U.S. LEXIS 8, 148 = 23 </w:t>
      </w:r>
      <w:proofErr w:type="spellStart"/>
      <w:r w:rsidRPr="00A15962">
        <w:rPr>
          <w:lang w:val="en-US"/>
        </w:rPr>
        <w:t>Empl</w:t>
      </w:r>
      <w:proofErr w:type="spellEnd"/>
      <w:r w:rsidRPr="00A15962">
        <w:rPr>
          <w:lang w:val="en-US"/>
        </w:rPr>
        <w:t xml:space="preserve">. </w:t>
      </w:r>
      <w:proofErr w:type="spellStart"/>
      <w:r w:rsidRPr="00A15962">
        <w:rPr>
          <w:lang w:val="en-US"/>
        </w:rPr>
        <w:t>Prac</w:t>
      </w:r>
      <w:proofErr w:type="spellEnd"/>
      <w:r w:rsidRPr="00A15962">
        <w:rPr>
          <w:lang w:val="en-US"/>
        </w:rPr>
        <w:t>. Dec. (CCH) P31,026 = 27 Cont. Cas. Fed. (CCH) P80, 496 (1980).</w:t>
      </w:r>
    </w:p>
  </w:footnote>
  <w:footnote w:id="1633">
    <w:p w14:paraId="1EAEEC98" w14:textId="77777777" w:rsidR="00074551" w:rsidRPr="00A15962" w:rsidRDefault="00074551" w:rsidP="00074551">
      <w:pPr>
        <w:pStyle w:val="Funotentext"/>
        <w:ind w:left="227" w:hanging="227"/>
        <w:rPr>
          <w:lang w:val="en-US"/>
        </w:rPr>
      </w:pPr>
      <w:r w:rsidRPr="00A15962">
        <w:rPr>
          <w:rStyle w:val="Funotenzeichen"/>
          <w:rFonts w:eastAsiaTheme="majorEastAsia"/>
        </w:rPr>
        <w:footnoteRef/>
      </w:r>
      <w:r w:rsidRPr="00A15962">
        <w:rPr>
          <w:lang w:val="en-US"/>
        </w:rPr>
        <w:t xml:space="preserve"> </w:t>
      </w:r>
      <w:r w:rsidRPr="00A15962">
        <w:rPr>
          <w:i/>
          <w:lang w:val="en-US"/>
        </w:rPr>
        <w:t>Mathews v. Lucas</w:t>
      </w:r>
      <w:r w:rsidRPr="00A15962">
        <w:rPr>
          <w:lang w:val="en-US"/>
        </w:rPr>
        <w:t xml:space="preserve">, 427 U.S. 495, 520–521, n. 3 (Dissens von Richter </w:t>
      </w:r>
      <w:proofErr w:type="gramStart"/>
      <w:r w:rsidRPr="00B45592">
        <w:rPr>
          <w:i/>
          <w:lang w:val="en-US"/>
        </w:rPr>
        <w:t>Stevens</w:t>
      </w:r>
      <w:r w:rsidRPr="00B45592" w:rsidDel="00D40B5A">
        <w:rPr>
          <w:lang w:val="en-US"/>
        </w:rPr>
        <w:t xml:space="preserve"> </w:t>
      </w:r>
      <w:r w:rsidRPr="00A15962">
        <w:rPr>
          <w:lang w:val="en-US"/>
        </w:rPr>
        <w:t>)</w:t>
      </w:r>
      <w:proofErr w:type="gramEnd"/>
      <w:r w:rsidRPr="00B45592">
        <w:rPr>
          <w:lang w:val="en-US"/>
        </w:rPr>
        <w:t xml:space="preserve"> (1976).</w:t>
      </w:r>
    </w:p>
  </w:footnote>
  <w:footnote w:id="1634">
    <w:p w14:paraId="37B73B1E" w14:textId="77777777" w:rsidR="00074551" w:rsidRPr="00A15962" w:rsidRDefault="00074551" w:rsidP="00074551">
      <w:pPr>
        <w:pStyle w:val="Funotentext"/>
        <w:rPr>
          <w:lang w:val="en-US"/>
        </w:rPr>
      </w:pPr>
      <w:r w:rsidRPr="00A15962">
        <w:rPr>
          <w:rStyle w:val="Funotenzeichen"/>
          <w:rFonts w:eastAsiaTheme="majorEastAsia"/>
        </w:rPr>
        <w:footnoteRef/>
      </w:r>
      <w:r w:rsidRPr="00A15962">
        <w:rPr>
          <w:lang w:val="en-US"/>
        </w:rPr>
        <w:t xml:space="preserve"> „As a matter of principle and in view of my attitude toward the equal protection clause, I do not think differences of treatment under law should be approved on classification because of differences unrelated to the legislative purposes. The equal protection clause ceases to assure either equality or protection if it is avoided by any conceivable difference that can be pointed out between those bound and those left free. This Court has often announced the principle that the differentiation must have an appropriate relation to the object of the legislation or </w:t>
      </w:r>
      <w:proofErr w:type="gramStart"/>
      <w:r w:rsidRPr="00A15962">
        <w:rPr>
          <w:lang w:val="en-US"/>
        </w:rPr>
        <w:t>ordinance.“</w:t>
      </w:r>
      <w:proofErr w:type="gramEnd"/>
      <w:r w:rsidRPr="00A15962">
        <w:rPr>
          <w:lang w:val="en-US"/>
        </w:rPr>
        <w:t xml:space="preserve">, </w:t>
      </w:r>
      <w:r w:rsidRPr="00B45592">
        <w:rPr>
          <w:i/>
          <w:lang w:val="en-US"/>
        </w:rPr>
        <w:t>Railway Express Agency, Inc. v. New York</w:t>
      </w:r>
      <w:r w:rsidRPr="00A15962">
        <w:rPr>
          <w:lang w:val="en-US"/>
        </w:rPr>
        <w:t>, 336 U.S. 106, 115 (</w:t>
      </w:r>
      <w:r w:rsidRPr="00A15962">
        <w:rPr>
          <w:i/>
          <w:lang w:val="en-US"/>
        </w:rPr>
        <w:t>concurring opinion</w:t>
      </w:r>
      <w:r w:rsidRPr="00A15962">
        <w:rPr>
          <w:lang w:val="en-US"/>
        </w:rPr>
        <w:t xml:space="preserve"> von Richter </w:t>
      </w:r>
      <w:r w:rsidRPr="00B45592">
        <w:rPr>
          <w:i/>
          <w:lang w:val="en-US"/>
        </w:rPr>
        <w:t>Jackson</w:t>
      </w:r>
      <w:r w:rsidRPr="00A15962">
        <w:rPr>
          <w:lang w:val="en-US"/>
        </w:rPr>
        <w:t>)</w:t>
      </w:r>
      <w:r>
        <w:rPr>
          <w:lang w:val="en-US"/>
        </w:rPr>
        <w:t xml:space="preserve">; </w:t>
      </w:r>
      <w:proofErr w:type="spellStart"/>
      <w:r>
        <w:rPr>
          <w:lang w:val="en-US"/>
        </w:rPr>
        <w:t>zitiert</w:t>
      </w:r>
      <w:proofErr w:type="spellEnd"/>
      <w:r>
        <w:rPr>
          <w:lang w:val="en-US"/>
        </w:rPr>
        <w:t xml:space="preserve"> in </w:t>
      </w:r>
      <w:r w:rsidRPr="00A15962">
        <w:rPr>
          <w:i/>
          <w:lang w:val="en-US"/>
        </w:rPr>
        <w:t xml:space="preserve">Fullilove v. </w:t>
      </w:r>
      <w:proofErr w:type="spellStart"/>
      <w:r w:rsidRPr="00A15962">
        <w:rPr>
          <w:i/>
          <w:lang w:val="en-US"/>
        </w:rPr>
        <w:t>Klutznick</w:t>
      </w:r>
      <w:proofErr w:type="spellEnd"/>
      <w:r w:rsidRPr="00A15962">
        <w:rPr>
          <w:lang w:val="en-US"/>
        </w:rPr>
        <w:t xml:space="preserve">, 448 U.S. 448, 533 = 100 S. Ct. 2758, 2803 = 65 L. Ed. 2d 902, 960 = 1980 U.S. LEXIS 8, 149 = 23 </w:t>
      </w:r>
      <w:proofErr w:type="spellStart"/>
      <w:r w:rsidRPr="00A15962">
        <w:rPr>
          <w:lang w:val="en-US"/>
        </w:rPr>
        <w:t>Empl</w:t>
      </w:r>
      <w:proofErr w:type="spellEnd"/>
      <w:r w:rsidRPr="00A15962">
        <w:rPr>
          <w:lang w:val="en-US"/>
        </w:rPr>
        <w:t xml:space="preserve">. </w:t>
      </w:r>
      <w:proofErr w:type="spellStart"/>
      <w:r w:rsidRPr="00A15962">
        <w:rPr>
          <w:lang w:val="en-US"/>
        </w:rPr>
        <w:t>Prac</w:t>
      </w:r>
      <w:proofErr w:type="spellEnd"/>
      <w:r w:rsidRPr="00A15962">
        <w:rPr>
          <w:lang w:val="en-US"/>
        </w:rPr>
        <w:t>. Dec. (CCH) P31,026 = 27 Cont. Cas. Fed. (CCH) P80, 496 (1980).</w:t>
      </w:r>
    </w:p>
  </w:footnote>
  <w:footnote w:id="1635">
    <w:p w14:paraId="0B63B4B6" w14:textId="77777777" w:rsidR="00074551" w:rsidRPr="00A15962" w:rsidRDefault="00074551" w:rsidP="00074551">
      <w:pPr>
        <w:pStyle w:val="Funotentext"/>
        <w:ind w:left="227" w:hanging="227"/>
        <w:rPr>
          <w:lang w:val="en-US"/>
        </w:rPr>
      </w:pPr>
      <w:r w:rsidRPr="00A15962">
        <w:rPr>
          <w:rStyle w:val="Funotenzeichen"/>
          <w:rFonts w:eastAsiaTheme="majorEastAsia"/>
        </w:rPr>
        <w:footnoteRef/>
      </w:r>
      <w:r w:rsidRPr="00A15962">
        <w:rPr>
          <w:lang w:val="en-US"/>
        </w:rPr>
        <w:t xml:space="preserve"> „Habit, rather than analysis, makes it seem acceptable and natural to distinguish between male and female, alien and citizens, legitimate and illegitimate; for too much of our history there was the same inertia in distinguishing between black and white. But that sort of stereotyped reaction may have no rational relationship – other than pure prejudicial discrimination – to the stated purpose for which the classification is being </w:t>
      </w:r>
      <w:proofErr w:type="gramStart"/>
      <w:r w:rsidRPr="00A15962">
        <w:rPr>
          <w:lang w:val="en-US"/>
        </w:rPr>
        <w:t>made.“</w:t>
      </w:r>
      <w:proofErr w:type="gramEnd"/>
      <w:r w:rsidRPr="00A15962">
        <w:rPr>
          <w:lang w:val="en-US"/>
        </w:rPr>
        <w:t xml:space="preserve">, </w:t>
      </w:r>
      <w:r w:rsidRPr="00A15962">
        <w:rPr>
          <w:i/>
          <w:lang w:val="en-US"/>
        </w:rPr>
        <w:t>Mathews v. Lucas</w:t>
      </w:r>
      <w:r w:rsidRPr="00A15962">
        <w:rPr>
          <w:lang w:val="en-US"/>
        </w:rPr>
        <w:t xml:space="preserve">, 427 U.S. 495, 520–521 (Dissens von Richter </w:t>
      </w:r>
      <w:r w:rsidRPr="00B45592">
        <w:rPr>
          <w:i/>
          <w:lang w:val="en-US"/>
        </w:rPr>
        <w:t>Stevens</w:t>
      </w:r>
      <w:r w:rsidRPr="00A15962">
        <w:rPr>
          <w:lang w:val="en-US"/>
        </w:rPr>
        <w:t>) (1976).</w:t>
      </w:r>
    </w:p>
  </w:footnote>
  <w:footnote w:id="1636">
    <w:p w14:paraId="0B18502F" w14:textId="77777777" w:rsidR="00074551" w:rsidRPr="00472122" w:rsidRDefault="00074551" w:rsidP="00074551">
      <w:pPr>
        <w:pStyle w:val="Funotentext"/>
        <w:rPr>
          <w:lang w:val="en-US"/>
        </w:rPr>
      </w:pPr>
      <w:r w:rsidRPr="00A15962">
        <w:rPr>
          <w:rStyle w:val="Funotenzeichen"/>
          <w:rFonts w:eastAsiaTheme="majorEastAsia"/>
        </w:rPr>
        <w:footnoteRef/>
      </w:r>
      <w:r w:rsidRPr="00A15962">
        <w:t xml:space="preserve"> Um diese Schädlichkeit zu belegen, wurde ein Rechtsvergleich zur judenfeindlichen Gesetzgebung unter nationalsozialistischer Regierung getroffen</w:t>
      </w:r>
      <w:r>
        <w:t xml:space="preserve">, siehe: First Regulation to the Reichs Citizenship Law of November 14, 1935, </w:t>
      </w:r>
      <w:proofErr w:type="spellStart"/>
      <w:r>
        <w:t>translated</w:t>
      </w:r>
      <w:proofErr w:type="spellEnd"/>
      <w:r>
        <w:t xml:space="preserve"> in 4 Nazi </w:t>
      </w:r>
      <w:proofErr w:type="spellStart"/>
      <w:r>
        <w:t>Conspiracy</w:t>
      </w:r>
      <w:proofErr w:type="spellEnd"/>
      <w:r>
        <w:t xml:space="preserve"> and Aggression, </w:t>
      </w:r>
      <w:proofErr w:type="spellStart"/>
      <w:r>
        <w:t>Document</w:t>
      </w:r>
      <w:proofErr w:type="spellEnd"/>
      <w:r>
        <w:t xml:space="preserve"> </w:t>
      </w:r>
      <w:proofErr w:type="spellStart"/>
      <w:r>
        <w:t>No</w:t>
      </w:r>
      <w:proofErr w:type="spellEnd"/>
      <w:r>
        <w:t xml:space="preserve">. 1417-PS, 8–9 (1946): </w:t>
      </w:r>
      <w:r w:rsidRPr="00F94158">
        <w:rPr>
          <w:i/>
        </w:rPr>
        <w:t xml:space="preserve">Fullilove v. </w:t>
      </w:r>
      <w:proofErr w:type="spellStart"/>
      <w:r w:rsidRPr="00F94158">
        <w:rPr>
          <w:i/>
        </w:rPr>
        <w:t>Klutznick</w:t>
      </w:r>
      <w:proofErr w:type="spellEnd"/>
      <w:r w:rsidRPr="00F94158">
        <w:t xml:space="preserve">, 448 U.S. 448, 534 = 100 S. Ct. 2758, 2804 = 65 L. Ed. 2d 902, 960 = 1980 U.S. LEXIS 8, 149 = 23 Empl. </w:t>
      </w:r>
      <w:proofErr w:type="spellStart"/>
      <w:r>
        <w:rPr>
          <w:lang w:val="en-US"/>
        </w:rPr>
        <w:t>Prac</w:t>
      </w:r>
      <w:proofErr w:type="spellEnd"/>
      <w:r>
        <w:rPr>
          <w:lang w:val="en-US"/>
        </w:rPr>
        <w:t xml:space="preserve">. Dec. </w:t>
      </w:r>
      <w:r w:rsidRPr="00472122">
        <w:rPr>
          <w:lang w:val="en-US"/>
        </w:rPr>
        <w:t>(CCH) P31,026</w:t>
      </w:r>
      <w:r>
        <w:rPr>
          <w:lang w:val="en-US"/>
        </w:rPr>
        <w:t xml:space="preserve"> = 27 Cont. Cas. Fed. </w:t>
      </w:r>
      <w:r w:rsidRPr="00472122">
        <w:rPr>
          <w:lang w:val="en-US"/>
        </w:rPr>
        <w:t>(CCH) P80,</w:t>
      </w:r>
      <w:r>
        <w:rPr>
          <w:lang w:val="en-US"/>
        </w:rPr>
        <w:t xml:space="preserve"> </w:t>
      </w:r>
      <w:r w:rsidRPr="00472122">
        <w:rPr>
          <w:lang w:val="en-US"/>
        </w:rPr>
        <w:t>496 (1980)</w:t>
      </w:r>
      <w:r>
        <w:rPr>
          <w:lang w:val="en-US"/>
        </w:rPr>
        <w:t>.</w:t>
      </w:r>
    </w:p>
  </w:footnote>
  <w:footnote w:id="1637">
    <w:p w14:paraId="3EC8D90A" w14:textId="77777777" w:rsidR="00074551" w:rsidRPr="00472122" w:rsidRDefault="00074551" w:rsidP="00074551">
      <w:pPr>
        <w:pStyle w:val="Funotentext"/>
        <w:rPr>
          <w:lang w:val="en-US"/>
        </w:rPr>
      </w:pPr>
      <w:r>
        <w:rPr>
          <w:rStyle w:val="Funotenzeichen"/>
          <w:rFonts w:eastAsiaTheme="majorEastAsia"/>
        </w:rPr>
        <w:footnoteRef/>
      </w:r>
      <w:r w:rsidRPr="00472122">
        <w:rPr>
          <w:lang w:val="en-US"/>
        </w:rPr>
        <w:t xml:space="preserve"> </w:t>
      </w:r>
      <w:r w:rsidRPr="001F38CE">
        <w:rPr>
          <w:i/>
          <w:lang w:val="en-US"/>
        </w:rPr>
        <w:t xml:space="preserve">Fullilove v. </w:t>
      </w:r>
      <w:proofErr w:type="spellStart"/>
      <w:r w:rsidRPr="001F38CE">
        <w:rPr>
          <w:i/>
          <w:lang w:val="en-US"/>
        </w:rPr>
        <w:t>Klutznick</w:t>
      </w:r>
      <w:proofErr w:type="spellEnd"/>
      <w:r w:rsidRPr="00472122">
        <w:rPr>
          <w:lang w:val="en-US"/>
        </w:rPr>
        <w:t>, 448 U.S. 448, 535</w:t>
      </w:r>
      <w:r>
        <w:rPr>
          <w:lang w:val="en-US"/>
        </w:rPr>
        <w:t xml:space="preserve"> = 100 S. Ct.</w:t>
      </w:r>
      <w:r w:rsidRPr="00472122">
        <w:rPr>
          <w:lang w:val="en-US"/>
        </w:rPr>
        <w:t xml:space="preserve"> 2758, 2804</w:t>
      </w:r>
      <w:r>
        <w:rPr>
          <w:lang w:val="en-US"/>
        </w:rPr>
        <w:t xml:space="preserve"> = 65 L. Ed. </w:t>
      </w:r>
      <w:r w:rsidRPr="00472122">
        <w:rPr>
          <w:lang w:val="en-US"/>
        </w:rPr>
        <w:t>2d 902, 961</w:t>
      </w:r>
      <w:r>
        <w:rPr>
          <w:lang w:val="en-US"/>
        </w:rPr>
        <w:t xml:space="preserve"> = 1980 U.S. LEXIS </w:t>
      </w:r>
      <w:r w:rsidRPr="00472122">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472122">
        <w:rPr>
          <w:lang w:val="en-US"/>
        </w:rPr>
        <w:t>(CCH) P31,026</w:t>
      </w:r>
      <w:r>
        <w:rPr>
          <w:lang w:val="en-US"/>
        </w:rPr>
        <w:t xml:space="preserve"> = 27 Cont. Cas. Fed. </w:t>
      </w:r>
      <w:r w:rsidRPr="00472122">
        <w:rPr>
          <w:lang w:val="en-US"/>
        </w:rPr>
        <w:t>(CCH) P80,</w:t>
      </w:r>
      <w:r>
        <w:rPr>
          <w:lang w:val="en-US"/>
        </w:rPr>
        <w:t xml:space="preserve"> </w:t>
      </w:r>
      <w:r w:rsidRPr="00472122">
        <w:rPr>
          <w:lang w:val="en-US"/>
        </w:rPr>
        <w:t>496 (1980)</w:t>
      </w:r>
      <w:r>
        <w:rPr>
          <w:lang w:val="en-US"/>
        </w:rPr>
        <w:t>.</w:t>
      </w:r>
    </w:p>
  </w:footnote>
  <w:footnote w:id="1638">
    <w:p w14:paraId="3A3B36CA" w14:textId="77777777" w:rsidR="00074551" w:rsidRPr="004809A3" w:rsidRDefault="00074551" w:rsidP="00074551">
      <w:pPr>
        <w:pStyle w:val="Funotentext"/>
        <w:rPr>
          <w:lang w:val="en-US"/>
        </w:rPr>
      </w:pPr>
      <w:r>
        <w:rPr>
          <w:rStyle w:val="Funotenzeichen"/>
          <w:rFonts w:eastAsiaTheme="majorEastAsia"/>
        </w:rPr>
        <w:footnoteRef/>
      </w:r>
      <w:r w:rsidRPr="004809A3">
        <w:rPr>
          <w:lang w:val="en-US"/>
        </w:rPr>
        <w:t xml:space="preserve"> </w:t>
      </w:r>
      <w:r>
        <w:rPr>
          <w:lang w:val="en-US"/>
        </w:rPr>
        <w:t>„Justice Powell</w:t>
      </w:r>
      <w:r w:rsidRPr="004809A3">
        <w:rPr>
          <w:lang w:val="en-US"/>
        </w:rPr>
        <w:t xml:space="preserve"> regarded as critical in </w:t>
      </w:r>
      <w:r w:rsidRPr="00B45592">
        <w:rPr>
          <w:i/>
          <w:lang w:val="en-US"/>
        </w:rPr>
        <w:t>University of California Regents v. Bakke</w:t>
      </w:r>
      <w:r w:rsidRPr="004809A3">
        <w:rPr>
          <w:lang w:val="en-US"/>
        </w:rPr>
        <w:t>, 438 U.S. 265, 315</w:t>
      </w:r>
      <w:r>
        <w:rPr>
          <w:lang w:val="en-US"/>
        </w:rPr>
        <w:t>–</w:t>
      </w:r>
      <w:r w:rsidRPr="004809A3">
        <w:rPr>
          <w:lang w:val="en-US"/>
        </w:rPr>
        <w:t>318</w:t>
      </w:r>
      <w:r>
        <w:rPr>
          <w:lang w:val="en-US"/>
        </w:rPr>
        <w:t xml:space="preserve">“; </w:t>
      </w:r>
      <w:r w:rsidRPr="001F38CE">
        <w:rPr>
          <w:i/>
          <w:lang w:val="en-US"/>
        </w:rPr>
        <w:t xml:space="preserve">Fullilove v. </w:t>
      </w:r>
      <w:proofErr w:type="spellStart"/>
      <w:r w:rsidRPr="001F38CE">
        <w:rPr>
          <w:i/>
          <w:lang w:val="en-US"/>
        </w:rPr>
        <w:t>Klutznick</w:t>
      </w:r>
      <w:proofErr w:type="spellEnd"/>
      <w:r w:rsidRPr="004809A3">
        <w:rPr>
          <w:lang w:val="en-US"/>
        </w:rPr>
        <w:t>, 448 U.S. 448, 535</w:t>
      </w:r>
      <w:r>
        <w:rPr>
          <w:lang w:val="en-US"/>
        </w:rPr>
        <w:t xml:space="preserve"> = 100 S. Ct.</w:t>
      </w:r>
      <w:r w:rsidRPr="004809A3">
        <w:rPr>
          <w:lang w:val="en-US"/>
        </w:rPr>
        <w:t xml:space="preserve"> 2758, 2804</w:t>
      </w:r>
      <w:r>
        <w:rPr>
          <w:lang w:val="en-US"/>
        </w:rPr>
        <w:t xml:space="preserve"> = 65 L. Ed. </w:t>
      </w:r>
      <w:r w:rsidRPr="004809A3">
        <w:rPr>
          <w:lang w:val="en-US"/>
        </w:rPr>
        <w:t>2d 902, 961</w:t>
      </w:r>
      <w:r>
        <w:rPr>
          <w:lang w:val="en-US"/>
        </w:rPr>
        <w:t xml:space="preserve"> = 1980 U.S. LEXIS </w:t>
      </w:r>
      <w:r w:rsidRPr="004809A3">
        <w:rPr>
          <w:lang w:val="en-US"/>
        </w:rPr>
        <w:t>8, 152</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4809A3">
        <w:rPr>
          <w:lang w:val="en-US"/>
        </w:rPr>
        <w:t>(CCH) P31,026</w:t>
      </w:r>
      <w:r>
        <w:rPr>
          <w:lang w:val="en-US"/>
        </w:rPr>
        <w:t xml:space="preserve"> = 27 Cont. Cas. Fed. </w:t>
      </w:r>
      <w:r w:rsidRPr="004809A3">
        <w:rPr>
          <w:lang w:val="en-US"/>
        </w:rPr>
        <w:t>(CCH) P80,</w:t>
      </w:r>
      <w:r>
        <w:rPr>
          <w:lang w:val="en-US"/>
        </w:rPr>
        <w:t xml:space="preserve"> </w:t>
      </w:r>
      <w:r w:rsidRPr="004809A3">
        <w:rPr>
          <w:lang w:val="en-US"/>
        </w:rPr>
        <w:t>496 (1980)</w:t>
      </w:r>
      <w:r>
        <w:rPr>
          <w:lang w:val="en-US"/>
        </w:rPr>
        <w:t>.</w:t>
      </w:r>
    </w:p>
  </w:footnote>
  <w:footnote w:id="1639">
    <w:p w14:paraId="0CB1BB47" w14:textId="77777777" w:rsidR="00074551" w:rsidRPr="004809A3" w:rsidRDefault="00074551" w:rsidP="00074551">
      <w:pPr>
        <w:pStyle w:val="Funotentext"/>
        <w:rPr>
          <w:lang w:val="en-US"/>
        </w:rPr>
      </w:pPr>
      <w:r>
        <w:rPr>
          <w:rStyle w:val="Funotenzeichen"/>
          <w:rFonts w:eastAsiaTheme="majorEastAsia"/>
        </w:rPr>
        <w:footnoteRef/>
      </w:r>
      <w:r w:rsidRPr="004809A3">
        <w:rPr>
          <w:lang w:val="en-US"/>
        </w:rPr>
        <w:t xml:space="preserve"> </w:t>
      </w:r>
      <w:r w:rsidRPr="001F38CE">
        <w:rPr>
          <w:i/>
          <w:lang w:val="en-US"/>
        </w:rPr>
        <w:t xml:space="preserve">Fullilove v. </w:t>
      </w:r>
      <w:proofErr w:type="spellStart"/>
      <w:r w:rsidRPr="001F38CE">
        <w:rPr>
          <w:i/>
          <w:lang w:val="en-US"/>
        </w:rPr>
        <w:t>Klutznick</w:t>
      </w:r>
      <w:proofErr w:type="spellEnd"/>
      <w:r w:rsidRPr="004809A3">
        <w:rPr>
          <w:lang w:val="en-US"/>
        </w:rPr>
        <w:t>, 448 U.S. 448, 536</w:t>
      </w:r>
      <w:r>
        <w:rPr>
          <w:lang w:val="en-US"/>
        </w:rPr>
        <w:t xml:space="preserve"> = 100 S. Ct.</w:t>
      </w:r>
      <w:r w:rsidRPr="004809A3">
        <w:rPr>
          <w:lang w:val="en-US"/>
        </w:rPr>
        <w:t xml:space="preserve"> 2758, 2804</w:t>
      </w:r>
      <w:r>
        <w:rPr>
          <w:lang w:val="en-US"/>
        </w:rPr>
        <w:t xml:space="preserve"> = 65 L. Ed. </w:t>
      </w:r>
      <w:r w:rsidRPr="004809A3">
        <w:rPr>
          <w:lang w:val="en-US"/>
        </w:rPr>
        <w:t>2d 902, 961</w:t>
      </w:r>
      <w:r>
        <w:rPr>
          <w:lang w:val="en-US"/>
        </w:rPr>
        <w:t xml:space="preserve"> = 1980 U.S. LEXIS </w:t>
      </w:r>
      <w:r w:rsidRPr="004809A3">
        <w:rPr>
          <w:lang w:val="en-US"/>
        </w:rPr>
        <w:t>8, 152</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4809A3">
        <w:rPr>
          <w:lang w:val="en-US"/>
        </w:rPr>
        <w:t>(CCH) P31,026</w:t>
      </w:r>
      <w:r>
        <w:rPr>
          <w:lang w:val="en-US"/>
        </w:rPr>
        <w:t xml:space="preserve"> = 27 Cont. Cas. Fed. </w:t>
      </w:r>
      <w:r w:rsidRPr="004809A3">
        <w:rPr>
          <w:lang w:val="en-US"/>
        </w:rPr>
        <w:t>(CCH) P80,496 (1980)</w:t>
      </w:r>
      <w:r>
        <w:rPr>
          <w:lang w:val="en-US"/>
        </w:rPr>
        <w:t>.</w:t>
      </w:r>
    </w:p>
  </w:footnote>
  <w:footnote w:id="1640">
    <w:p w14:paraId="196A48BE" w14:textId="77777777" w:rsidR="00074551" w:rsidRPr="00FB25DE" w:rsidRDefault="00074551" w:rsidP="00074551">
      <w:pPr>
        <w:pStyle w:val="Funotentext"/>
        <w:ind w:left="227" w:hanging="227"/>
        <w:rPr>
          <w:lang w:val="en-US"/>
        </w:rPr>
      </w:pPr>
      <w:r>
        <w:rPr>
          <w:rStyle w:val="Funotenzeichen"/>
          <w:rFonts w:eastAsiaTheme="majorEastAsia"/>
        </w:rPr>
        <w:footnoteRef/>
      </w:r>
      <w:r w:rsidRPr="00FB25DE">
        <w:rPr>
          <w:lang w:val="en-US"/>
        </w:rPr>
        <w:t xml:space="preserve"> </w:t>
      </w:r>
      <w:r w:rsidRPr="00A15962">
        <w:rPr>
          <w:i/>
          <w:lang w:val="en-US"/>
        </w:rPr>
        <w:t>Mathews v. Lucas</w:t>
      </w:r>
      <w:r w:rsidRPr="00FB25DE">
        <w:rPr>
          <w:lang w:val="en-US"/>
        </w:rPr>
        <w:t>, 427 U.S. 495, 520</w:t>
      </w:r>
      <w:r>
        <w:rPr>
          <w:lang w:val="en-US"/>
        </w:rPr>
        <w:t>–</w:t>
      </w:r>
      <w:r w:rsidRPr="00FB25DE">
        <w:rPr>
          <w:lang w:val="en-US"/>
        </w:rPr>
        <w:t>521, n. 3 (</w:t>
      </w:r>
      <w:r w:rsidRPr="00744667">
        <w:rPr>
          <w:lang w:val="en-US"/>
        </w:rPr>
        <w:t xml:space="preserve">Dissens von Richter </w:t>
      </w:r>
      <w:r w:rsidRPr="00B45592">
        <w:rPr>
          <w:i/>
          <w:lang w:val="en-US"/>
        </w:rPr>
        <w:t>Stevens</w:t>
      </w:r>
      <w:r w:rsidRPr="00A15962">
        <w:rPr>
          <w:lang w:val="en-US"/>
        </w:rPr>
        <w:t>);</w:t>
      </w:r>
      <w:r>
        <w:rPr>
          <w:lang w:val="en-US"/>
        </w:rPr>
        <w:t xml:space="preserve"> </w:t>
      </w:r>
      <w:r w:rsidRPr="001F38CE">
        <w:rPr>
          <w:i/>
          <w:lang w:val="en-US"/>
        </w:rPr>
        <w:t xml:space="preserve">Fullilove v. </w:t>
      </w:r>
      <w:proofErr w:type="spellStart"/>
      <w:r w:rsidRPr="001F38CE">
        <w:rPr>
          <w:i/>
          <w:lang w:val="en-US"/>
        </w:rPr>
        <w:t>Klutznick</w:t>
      </w:r>
      <w:proofErr w:type="spellEnd"/>
      <w:r w:rsidRPr="00FB25DE">
        <w:rPr>
          <w:lang w:val="en-US"/>
        </w:rPr>
        <w:t>, 448 U.S. 448</w:t>
      </w:r>
      <w:r>
        <w:rPr>
          <w:lang w:val="en-US"/>
        </w:rPr>
        <w:t xml:space="preserve"> = 100 S. Ct.</w:t>
      </w:r>
      <w:r w:rsidRPr="00FB25DE">
        <w:rPr>
          <w:lang w:val="en-US"/>
        </w:rPr>
        <w:t xml:space="preserve"> 2758</w:t>
      </w:r>
      <w:r>
        <w:rPr>
          <w:lang w:val="en-US"/>
        </w:rPr>
        <w:t xml:space="preserve"> = 65 L. Ed. </w:t>
      </w:r>
      <w:r w:rsidRPr="00FB25DE">
        <w:rPr>
          <w:lang w:val="en-US"/>
        </w:rPr>
        <w:t>2d 902</w:t>
      </w:r>
      <w:r>
        <w:rPr>
          <w:lang w:val="en-US"/>
        </w:rPr>
        <w:t xml:space="preserve"> = 1980 U.S. LEXIS </w:t>
      </w:r>
      <w:r w:rsidRPr="00FB25DE">
        <w:rPr>
          <w:lang w:val="en-US"/>
        </w:rPr>
        <w:t>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5592">
        <w:rPr>
          <w:lang w:val="en-IE"/>
        </w:rPr>
        <w:t xml:space="preserve">Dec. (CCH) P31,026 = 27 Cont. Cas. Fed. </w:t>
      </w:r>
      <w:r w:rsidRPr="00FB25DE">
        <w:rPr>
          <w:lang w:val="en-US"/>
        </w:rPr>
        <w:t>(CCH) P80,496 (1980)</w:t>
      </w:r>
      <w:r>
        <w:rPr>
          <w:lang w:val="en-US"/>
        </w:rPr>
        <w:t>.</w:t>
      </w:r>
    </w:p>
  </w:footnote>
  <w:footnote w:id="1641">
    <w:p w14:paraId="1D757279" w14:textId="77777777" w:rsidR="00074551" w:rsidRPr="00B37A8A" w:rsidRDefault="00074551" w:rsidP="00074551">
      <w:pPr>
        <w:pStyle w:val="Funotentext"/>
        <w:rPr>
          <w:lang w:val="en-US"/>
        </w:rPr>
      </w:pPr>
      <w:r>
        <w:rPr>
          <w:rStyle w:val="Funotenzeichen"/>
          <w:rFonts w:eastAsiaTheme="majorEastAsia"/>
        </w:rPr>
        <w:footnoteRef/>
      </w:r>
      <w:r w:rsidRPr="00B37A8A">
        <w:rPr>
          <w:lang w:val="en-US"/>
        </w:rPr>
        <w:t xml:space="preserve"> </w:t>
      </w:r>
      <w:proofErr w:type="spellStart"/>
      <w:r>
        <w:rPr>
          <w:lang w:val="en-US"/>
        </w:rPr>
        <w:t>Siehe</w:t>
      </w:r>
      <w:proofErr w:type="spellEnd"/>
      <w:r>
        <w:rPr>
          <w:lang w:val="en-US"/>
        </w:rPr>
        <w:t xml:space="preserve"> </w:t>
      </w:r>
      <w:proofErr w:type="spellStart"/>
      <w:r>
        <w:rPr>
          <w:lang w:val="en-US"/>
        </w:rPr>
        <w:t>z.B.</w:t>
      </w:r>
      <w:proofErr w:type="spellEnd"/>
      <w:r w:rsidRPr="00B37A8A">
        <w:rPr>
          <w:lang w:val="en-US"/>
        </w:rPr>
        <w:t xml:space="preserve"> </w:t>
      </w:r>
      <w:r w:rsidRPr="00B45592">
        <w:rPr>
          <w:i/>
          <w:lang w:val="en-US"/>
        </w:rPr>
        <w:t>Delaware Tribal Business Committee v. Weeks</w:t>
      </w:r>
      <w:r w:rsidRPr="00B37A8A">
        <w:rPr>
          <w:lang w:val="en-US"/>
        </w:rPr>
        <w:t>, 430 U.S. 73</w:t>
      </w:r>
      <w:r>
        <w:rPr>
          <w:lang w:val="en-US"/>
        </w:rPr>
        <w:t xml:space="preserve">; </w:t>
      </w:r>
      <w:r w:rsidRPr="001F38CE">
        <w:rPr>
          <w:i/>
          <w:lang w:val="en-US"/>
        </w:rPr>
        <w:t xml:space="preserve">Fullilove v. </w:t>
      </w:r>
      <w:proofErr w:type="spellStart"/>
      <w:r w:rsidRPr="001F38CE">
        <w:rPr>
          <w:i/>
          <w:lang w:val="en-US"/>
        </w:rPr>
        <w:t>Klutznick</w:t>
      </w:r>
      <w:proofErr w:type="spellEnd"/>
      <w:r w:rsidRPr="00B37A8A">
        <w:rPr>
          <w:lang w:val="en-US"/>
        </w:rPr>
        <w:t>, 448 U.S. 448, 537</w:t>
      </w:r>
      <w:r>
        <w:rPr>
          <w:lang w:val="en-US"/>
        </w:rPr>
        <w:t xml:space="preserve"> = 100 S. Ct.</w:t>
      </w:r>
      <w:r w:rsidRPr="00B37A8A">
        <w:rPr>
          <w:lang w:val="en-US"/>
        </w:rPr>
        <w:t xml:space="preserve"> 2758, 2805</w:t>
      </w:r>
      <w:r>
        <w:rPr>
          <w:lang w:val="en-US"/>
        </w:rPr>
        <w:t xml:space="preserve"> = 65 L. Ed. </w:t>
      </w:r>
      <w:r w:rsidRPr="00B37A8A">
        <w:rPr>
          <w:lang w:val="en-US"/>
        </w:rPr>
        <w:t>2d 902, 962</w:t>
      </w:r>
      <w:r>
        <w:rPr>
          <w:lang w:val="en-US"/>
        </w:rPr>
        <w:t xml:space="preserve"> = 1980 U.S. LEXIS </w:t>
      </w:r>
      <w:r w:rsidRPr="00B37A8A">
        <w:rPr>
          <w:lang w:val="en-US"/>
        </w:rPr>
        <w:t>8, 154</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B37A8A">
        <w:rPr>
          <w:lang w:val="en-US"/>
        </w:rPr>
        <w:t>(CCH) P31,026</w:t>
      </w:r>
      <w:r>
        <w:rPr>
          <w:lang w:val="en-US"/>
        </w:rPr>
        <w:t xml:space="preserve"> = 27 Cont. Cas. Fed. </w:t>
      </w:r>
      <w:r w:rsidRPr="00B37A8A">
        <w:rPr>
          <w:lang w:val="en-US"/>
        </w:rPr>
        <w:t>(CCH) P80,496 (1980)</w:t>
      </w:r>
      <w:r>
        <w:rPr>
          <w:lang w:val="en-US"/>
        </w:rPr>
        <w:t>.</w:t>
      </w:r>
    </w:p>
  </w:footnote>
  <w:footnote w:id="1642">
    <w:p w14:paraId="3DB55071" w14:textId="77777777" w:rsidR="00074551" w:rsidRPr="00B45592" w:rsidRDefault="00074551" w:rsidP="00074551">
      <w:pPr>
        <w:pStyle w:val="Funotentext"/>
        <w:rPr>
          <w:lang w:val="fr-FR"/>
        </w:rPr>
      </w:pPr>
      <w:r>
        <w:rPr>
          <w:rStyle w:val="Funotenzeichen"/>
          <w:rFonts w:eastAsiaTheme="majorEastAsia"/>
        </w:rPr>
        <w:footnoteRef/>
      </w:r>
      <w:r w:rsidRPr="00B37A8A">
        <w:rPr>
          <w:lang w:val="en-US"/>
        </w:rPr>
        <w:t xml:space="preserve"> </w:t>
      </w:r>
      <w:r w:rsidRPr="00B45592">
        <w:rPr>
          <w:i/>
          <w:lang w:val="en-US"/>
        </w:rPr>
        <w:t>University of California Regents v. Bakke</w:t>
      </w:r>
      <w:r w:rsidRPr="00B37A8A">
        <w:rPr>
          <w:lang w:val="en-US"/>
        </w:rPr>
        <w:t xml:space="preserve">, 438 U.S. 265, 387, </w:t>
      </w:r>
      <w:r>
        <w:rPr>
          <w:lang w:val="en-US"/>
        </w:rPr>
        <w:t xml:space="preserve">Richter </w:t>
      </w:r>
      <w:r w:rsidRPr="00B45592">
        <w:rPr>
          <w:i/>
          <w:lang w:val="en-US"/>
        </w:rPr>
        <w:t>Marshall</w:t>
      </w:r>
      <w:r>
        <w:rPr>
          <w:lang w:val="en-US"/>
        </w:rPr>
        <w:t xml:space="preserve">; </w:t>
      </w:r>
      <w:r w:rsidRPr="001F38CE">
        <w:rPr>
          <w:i/>
          <w:lang w:val="en-US"/>
        </w:rPr>
        <w:t xml:space="preserve">Fullilove v. </w:t>
      </w:r>
      <w:proofErr w:type="spellStart"/>
      <w:r w:rsidRPr="001F38CE">
        <w:rPr>
          <w:i/>
          <w:lang w:val="en-US"/>
        </w:rPr>
        <w:t>Klutznick</w:t>
      </w:r>
      <w:proofErr w:type="spellEnd"/>
      <w:r w:rsidRPr="00B37A8A">
        <w:rPr>
          <w:lang w:val="en-US"/>
        </w:rPr>
        <w:t>, 448 U.S. 448, 537</w:t>
      </w:r>
      <w:r>
        <w:rPr>
          <w:lang w:val="en-US"/>
        </w:rPr>
        <w:t xml:space="preserve"> = 100 S. Ct.</w:t>
      </w:r>
      <w:r w:rsidRPr="00B37A8A">
        <w:rPr>
          <w:lang w:val="en-US"/>
        </w:rPr>
        <w:t xml:space="preserve"> 2758, 2805</w:t>
      </w:r>
      <w:r>
        <w:rPr>
          <w:lang w:val="en-US"/>
        </w:rPr>
        <w:t xml:space="preserve"> = 65 L. Ed. </w:t>
      </w:r>
      <w:r w:rsidRPr="00B37A8A">
        <w:rPr>
          <w:lang w:val="en-US"/>
        </w:rPr>
        <w:t>2d 902, 962</w:t>
      </w:r>
      <w:r>
        <w:rPr>
          <w:lang w:val="en-US"/>
        </w:rPr>
        <w:t xml:space="preserve"> = 1980 U.S. LEXIS </w:t>
      </w:r>
      <w:r w:rsidRPr="00B37A8A">
        <w:rPr>
          <w:lang w:val="en-US"/>
        </w:rPr>
        <w:t>8, 155</w:t>
      </w:r>
      <w:r>
        <w:rPr>
          <w:lang w:val="en-US"/>
        </w:rPr>
        <w:t xml:space="preserve"> = 23 </w:t>
      </w:r>
      <w:proofErr w:type="spellStart"/>
      <w:r>
        <w:rPr>
          <w:lang w:val="en-US"/>
        </w:rPr>
        <w:t>Empl</w:t>
      </w:r>
      <w:proofErr w:type="spellEnd"/>
      <w:r>
        <w:rPr>
          <w:lang w:val="en-US"/>
        </w:rPr>
        <w:t xml:space="preserve">. </w:t>
      </w:r>
      <w:proofErr w:type="spellStart"/>
      <w:r w:rsidRPr="00B45592">
        <w:rPr>
          <w:lang w:val="fr-FR"/>
        </w:rPr>
        <w:t>Prac</w:t>
      </w:r>
      <w:proofErr w:type="spellEnd"/>
      <w:r w:rsidRPr="00B45592">
        <w:rPr>
          <w:lang w:val="fr-FR"/>
        </w:rPr>
        <w:t xml:space="preserve">. </w:t>
      </w:r>
      <w:proofErr w:type="spellStart"/>
      <w:r w:rsidRPr="00B45592">
        <w:rPr>
          <w:lang w:val="fr-FR"/>
        </w:rPr>
        <w:t>Dec</w:t>
      </w:r>
      <w:proofErr w:type="spellEnd"/>
      <w:r w:rsidRPr="00B45592">
        <w:rPr>
          <w:lang w:val="fr-FR"/>
        </w:rPr>
        <w:t>. (CCH) P31,026</w:t>
      </w:r>
      <w:r>
        <w:rPr>
          <w:lang w:val="fr-FR"/>
        </w:rPr>
        <w:t xml:space="preserve"> = 27 </w:t>
      </w:r>
      <w:proofErr w:type="spellStart"/>
      <w:r>
        <w:rPr>
          <w:lang w:val="fr-FR"/>
        </w:rPr>
        <w:t>Cont</w:t>
      </w:r>
      <w:proofErr w:type="spellEnd"/>
      <w:r>
        <w:rPr>
          <w:lang w:val="fr-FR"/>
        </w:rPr>
        <w:t xml:space="preserve">. Cas. Fed. </w:t>
      </w:r>
      <w:r w:rsidRPr="00B45592">
        <w:rPr>
          <w:lang w:val="fr-FR"/>
        </w:rPr>
        <w:t>(CCH) P80,496 (1980).</w:t>
      </w:r>
    </w:p>
  </w:footnote>
  <w:footnote w:id="1643">
    <w:p w14:paraId="6FDBD9A3" w14:textId="77777777" w:rsidR="00074551" w:rsidRPr="00131E19" w:rsidRDefault="00074551" w:rsidP="00074551">
      <w:pPr>
        <w:pStyle w:val="Funotentext"/>
        <w:rPr>
          <w:lang w:val="en-US"/>
        </w:rPr>
      </w:pPr>
      <w:r>
        <w:rPr>
          <w:rStyle w:val="Funotenzeichen"/>
        </w:rPr>
        <w:footnoteRef/>
      </w:r>
      <w:r w:rsidRPr="00B45592">
        <w:rPr>
          <w:lang w:val="fr-FR"/>
        </w:rPr>
        <w:t xml:space="preserve"> Tex. </w:t>
      </w:r>
      <w:proofErr w:type="spellStart"/>
      <w:r w:rsidRPr="00B45592">
        <w:rPr>
          <w:lang w:val="fr-FR"/>
        </w:rPr>
        <w:t>Civ</w:t>
      </w:r>
      <w:proofErr w:type="spellEnd"/>
      <w:r w:rsidRPr="00B45592">
        <w:rPr>
          <w:lang w:val="fr-FR"/>
        </w:rPr>
        <w:t xml:space="preserve">. </w:t>
      </w:r>
      <w:r w:rsidRPr="00131E19">
        <w:rPr>
          <w:lang w:val="en-US"/>
        </w:rPr>
        <w:t xml:space="preserve">Stat. Ann. </w:t>
      </w:r>
      <w:r>
        <w:rPr>
          <w:lang w:val="en-US"/>
        </w:rPr>
        <w:t>§</w:t>
      </w:r>
      <w:r w:rsidRPr="00131E19">
        <w:rPr>
          <w:lang w:val="en-US"/>
        </w:rPr>
        <w:t xml:space="preserve"> 4566a, p. 768 „singles out a certain class of debtors and punishes them when for like delinquencies it punishes no others. They are not treated as other debtors, or equally with other debtors. They cannot appeal to the courts as other litigants under like conditions and with like protection. If litigation terminates adversely to them, they are mulcted in the attorney</w:t>
      </w:r>
      <w:r>
        <w:rPr>
          <w:lang w:val="en-US"/>
        </w:rPr>
        <w:t>’</w:t>
      </w:r>
      <w:r w:rsidRPr="00131E19">
        <w:rPr>
          <w:lang w:val="en-US"/>
        </w:rPr>
        <w:t>s fees of the successful plaintiff; if it terminates in their favor, they recover no attorney</w:t>
      </w:r>
      <w:r>
        <w:rPr>
          <w:lang w:val="en-US"/>
        </w:rPr>
        <w:t>’</w:t>
      </w:r>
      <w:r w:rsidRPr="00131E19">
        <w:rPr>
          <w:lang w:val="en-US"/>
        </w:rPr>
        <w:t xml:space="preserve">s </w:t>
      </w:r>
      <w:proofErr w:type="gramStart"/>
      <w:r w:rsidRPr="00131E19">
        <w:rPr>
          <w:lang w:val="en-US"/>
        </w:rPr>
        <w:t>fees.“</w:t>
      </w:r>
      <w:proofErr w:type="gramEnd"/>
      <w:r w:rsidRPr="00131E19">
        <w:rPr>
          <w:lang w:val="en-US"/>
        </w:rPr>
        <w:t xml:space="preserve"> in </w:t>
      </w:r>
      <w:r w:rsidRPr="00A15962">
        <w:rPr>
          <w:i/>
          <w:lang w:val="en-US"/>
        </w:rPr>
        <w:t>Gulf, C. &amp; S. F. R. Co. v. Ellis</w:t>
      </w:r>
      <w:r w:rsidRPr="00131E19">
        <w:rPr>
          <w:lang w:val="en-US"/>
        </w:rPr>
        <w:t>, 165 U.S. 150, 152</w:t>
      </w:r>
      <w:r>
        <w:rPr>
          <w:lang w:val="en-US"/>
        </w:rPr>
        <w:t xml:space="preserve"> = 17 S. Ct. </w:t>
      </w:r>
      <w:r w:rsidRPr="00131E19">
        <w:rPr>
          <w:lang w:val="en-US"/>
        </w:rPr>
        <w:t>255, 256</w:t>
      </w:r>
      <w:r>
        <w:rPr>
          <w:lang w:val="en-US"/>
        </w:rPr>
        <w:t xml:space="preserve"> = 41 L. Ed. </w:t>
      </w:r>
      <w:r w:rsidRPr="00131E19">
        <w:rPr>
          <w:lang w:val="en-US"/>
        </w:rPr>
        <w:t>666, 667</w:t>
      </w:r>
      <w:r>
        <w:rPr>
          <w:lang w:val="en-US"/>
        </w:rPr>
        <w:t xml:space="preserve"> = 1897 U.S. LEXIS </w:t>
      </w:r>
      <w:r w:rsidRPr="00131E19">
        <w:rPr>
          <w:lang w:val="en-US"/>
        </w:rPr>
        <w:t>1957, 2 (1897).</w:t>
      </w:r>
    </w:p>
  </w:footnote>
  <w:footnote w:id="1644">
    <w:p w14:paraId="60393334" w14:textId="77777777" w:rsidR="00074551" w:rsidRPr="00B61C99" w:rsidRDefault="00074551" w:rsidP="00074551">
      <w:pPr>
        <w:pStyle w:val="Funotentext"/>
      </w:pPr>
      <w:r>
        <w:rPr>
          <w:rStyle w:val="Funotenzeichen"/>
          <w:rFonts w:eastAsiaTheme="majorEastAsia"/>
        </w:rPr>
        <w:footnoteRef/>
      </w:r>
      <w:r w:rsidRPr="00B61C99">
        <w:t xml:space="preserve"> Ausführliche Darstellung: Der </w:t>
      </w:r>
      <w:r>
        <w:t>U.S. Supreme Court</w:t>
      </w:r>
      <w:r w:rsidRPr="00B61C99">
        <w:t xml:space="preserve"> </w:t>
      </w:r>
      <w:r w:rsidRPr="00B42EA3">
        <w:t xml:space="preserve">hob </w:t>
      </w:r>
      <w:r w:rsidRPr="00B61C99">
        <w:t xml:space="preserve">die </w:t>
      </w:r>
      <w:proofErr w:type="spellStart"/>
      <w:r w:rsidRPr="00B61C99">
        <w:t>unterinstanziellen</w:t>
      </w:r>
      <w:proofErr w:type="spellEnd"/>
      <w:r w:rsidRPr="00B61C99">
        <w:t xml:space="preserve"> Urteile</w:t>
      </w:r>
      <w:r w:rsidRPr="00B42EA3">
        <w:t xml:space="preserve"> auf und verwies die Klage gegen </w:t>
      </w:r>
      <w:r w:rsidRPr="00B61C99">
        <w:t>ein</w:t>
      </w:r>
      <w:r w:rsidRPr="00B42EA3">
        <w:t xml:space="preserve"> Eisenbahnunternehmen zur weiteren Verhandlung zurück. </w:t>
      </w:r>
      <w:r w:rsidRPr="00B61C99">
        <w:t>Ein Betroffener klagte</w:t>
      </w:r>
      <w:r w:rsidRPr="00B42EA3">
        <w:t xml:space="preserve"> gegen </w:t>
      </w:r>
      <w:r w:rsidRPr="00B61C99">
        <w:t xml:space="preserve">ein </w:t>
      </w:r>
      <w:r w:rsidRPr="00B42EA3">
        <w:t>Eisenbahnunternehmen</w:t>
      </w:r>
      <w:r w:rsidRPr="00B61C99">
        <w:t>,</w:t>
      </w:r>
      <w:r w:rsidRPr="00B42EA3">
        <w:t xml:space="preserve"> um 50 Dollar für ein von der Eisenbahn getötetes Pferd zu </w:t>
      </w:r>
      <w:r w:rsidRPr="00B61C99">
        <w:t>erhalten</w:t>
      </w:r>
      <w:r w:rsidRPr="00B42EA3">
        <w:t xml:space="preserve">. Das Urteil fiel zugunsten des Klägers aus und umfasste </w:t>
      </w:r>
      <w:r w:rsidRPr="00B61C99">
        <w:t>50 Dollar für das Pferd</w:t>
      </w:r>
      <w:r w:rsidRPr="00B42EA3">
        <w:t xml:space="preserve"> </w:t>
      </w:r>
      <w:r w:rsidRPr="00B61C99">
        <w:t xml:space="preserve">und 10 Dollar für </w:t>
      </w:r>
      <w:r w:rsidRPr="00B42EA3">
        <w:t>Anwaltsgebühren</w:t>
      </w:r>
      <w:r w:rsidRPr="00B61C99">
        <w:t xml:space="preserve"> nach </w:t>
      </w:r>
      <w:r w:rsidRPr="00B42EA3">
        <w:t xml:space="preserve">Tex. </w:t>
      </w:r>
      <w:proofErr w:type="spellStart"/>
      <w:r w:rsidRPr="00B42EA3">
        <w:t>Civ</w:t>
      </w:r>
      <w:proofErr w:type="spellEnd"/>
      <w:r w:rsidRPr="00B42EA3">
        <w:t xml:space="preserve">. Stat. Ann. </w:t>
      </w:r>
      <w:r>
        <w:t>§</w:t>
      </w:r>
      <w:r w:rsidRPr="00B42EA3">
        <w:t xml:space="preserve"> 4566a, </w:t>
      </w:r>
      <w:r>
        <w:t>p</w:t>
      </w:r>
      <w:r w:rsidRPr="00B42EA3">
        <w:t>. 768. Nach Bestätigung durch das Bezirksgericht, das Berufungsgericht und den Obersten Gerichtshof von Texas legte das Eisenbahnunternehmen Berufung ein</w:t>
      </w:r>
      <w:r w:rsidRPr="00B61C99">
        <w:t>, aber nur bzgl. der</w:t>
      </w:r>
      <w:r w:rsidRPr="00B42EA3">
        <w:t xml:space="preserve"> Anwaltsgebühr. Es argumentierte, die Forderung nach der Gebühr würde eine Enteignung des Eigentums der Eisenbahngesellschaften ohne </w:t>
      </w:r>
      <w:r w:rsidRPr="00B61C99">
        <w:t>faires</w:t>
      </w:r>
      <w:r w:rsidRPr="00B42EA3">
        <w:t xml:space="preserve"> Verfahren bedeuten</w:t>
      </w:r>
      <w:r w:rsidRPr="00B61C99">
        <w:t>. Es würde zugleich</w:t>
      </w:r>
      <w:r w:rsidRPr="00B42EA3">
        <w:t xml:space="preserve"> den gleichen Schutz des Gesetzes verwehren. D</w:t>
      </w:r>
      <w:r w:rsidRPr="00B61C99">
        <w:t>enn</w:t>
      </w:r>
      <w:r w:rsidRPr="00B42EA3">
        <w:t xml:space="preserve"> </w:t>
      </w:r>
      <w:r w:rsidRPr="00B61C99">
        <w:t>allein die Eisenbahngesellschaft müss</w:t>
      </w:r>
      <w:r>
        <w:t>e</w:t>
      </w:r>
      <w:r w:rsidRPr="00B61C99">
        <w:t xml:space="preserve"> gesetzlich niedergelegt</w:t>
      </w:r>
      <w:r>
        <w:t>e</w:t>
      </w:r>
      <w:r w:rsidRPr="00B42EA3">
        <w:t xml:space="preserve"> Anwaltsgebühren an </w:t>
      </w:r>
      <w:r w:rsidRPr="00B61C99">
        <w:t>den Kläger</w:t>
      </w:r>
      <w:r w:rsidRPr="00B42EA3">
        <w:t xml:space="preserve"> zahlen, ohne dass ih</w:t>
      </w:r>
      <w:r w:rsidRPr="00B61C99">
        <w:t xml:space="preserve">r ein entsprechender </w:t>
      </w:r>
      <w:r w:rsidRPr="00B42EA3">
        <w:t xml:space="preserve">Vorteil gewährt würde. Das Gericht hob das Urteil </w:t>
      </w:r>
      <w:r w:rsidRPr="00B61C99">
        <w:t xml:space="preserve">nach </w:t>
      </w:r>
      <w:r>
        <w:t>§</w:t>
      </w:r>
      <w:r w:rsidRPr="00B61C99">
        <w:t xml:space="preserve"> 4566a, </w:t>
      </w:r>
      <w:r>
        <w:t>p</w:t>
      </w:r>
      <w:r w:rsidRPr="00B61C99">
        <w:t xml:space="preserve">. 768 </w:t>
      </w:r>
      <w:r w:rsidRPr="00B42EA3">
        <w:t xml:space="preserve">aufgrund der Verletzung der Rechte des Eisenbahnunternehmens auf gleichen Schutz durch </w:t>
      </w:r>
      <w:r w:rsidRPr="00B61C99">
        <w:t xml:space="preserve">das Gesetz </w:t>
      </w:r>
      <w:r w:rsidRPr="00B42EA3">
        <w:t>auf und verwies den Fall zurück.</w:t>
      </w:r>
    </w:p>
  </w:footnote>
  <w:footnote w:id="1645">
    <w:p w14:paraId="0D6E4ECD"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D83E4F">
        <w:rPr>
          <w:i/>
          <w:lang w:val="en-US"/>
        </w:rPr>
        <w:t>Yick Wo v. Hopkins</w:t>
      </w:r>
      <w:r w:rsidRPr="003A1A87">
        <w:rPr>
          <w:lang w:val="en-US"/>
        </w:rPr>
        <w:t>, 118 U.S. 356, 369</w:t>
      </w:r>
      <w:r>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646">
    <w:p w14:paraId="5BD1BA14" w14:textId="77777777" w:rsidR="00074551" w:rsidRPr="0058757C" w:rsidRDefault="00074551" w:rsidP="00074551">
      <w:pPr>
        <w:pStyle w:val="Funotentext"/>
        <w:ind w:left="227" w:hanging="227"/>
        <w:rPr>
          <w:lang w:val="en-US"/>
        </w:rPr>
      </w:pPr>
      <w:r>
        <w:rPr>
          <w:rStyle w:val="Funotenzeichen"/>
          <w:rFonts w:eastAsiaTheme="majorEastAsia"/>
        </w:rPr>
        <w:footnoteRef/>
      </w:r>
      <w:r w:rsidRPr="0058757C">
        <w:rPr>
          <w:lang w:val="en-US"/>
        </w:rPr>
        <w:t xml:space="preserve"> </w:t>
      </w:r>
      <w:r w:rsidRPr="00A15962">
        <w:rPr>
          <w:i/>
          <w:lang w:val="en-US"/>
        </w:rPr>
        <w:t>Gulf, C. &amp; S. F. R. Co. v. Ellis</w:t>
      </w:r>
      <w:r w:rsidRPr="0058757C">
        <w:rPr>
          <w:lang w:val="en-US"/>
        </w:rPr>
        <w:t>, 165 U.S. 150</w:t>
      </w:r>
      <w:r>
        <w:rPr>
          <w:lang w:val="en-US"/>
        </w:rPr>
        <w:t xml:space="preserve"> = 17 S. Ct. </w:t>
      </w:r>
      <w:r w:rsidRPr="0058757C">
        <w:rPr>
          <w:lang w:val="en-US"/>
        </w:rPr>
        <w:t>255</w:t>
      </w:r>
      <w:r>
        <w:rPr>
          <w:lang w:val="en-US"/>
        </w:rPr>
        <w:t xml:space="preserve"> = 41 L. Ed. </w:t>
      </w:r>
      <w:r w:rsidRPr="0058757C">
        <w:rPr>
          <w:lang w:val="en-US"/>
        </w:rPr>
        <w:t>666</w:t>
      </w:r>
      <w:r>
        <w:rPr>
          <w:lang w:val="en-US"/>
        </w:rPr>
        <w:t xml:space="preserve"> = 1897 U.S. LEXIS </w:t>
      </w:r>
      <w:r w:rsidRPr="0058757C">
        <w:rPr>
          <w:lang w:val="en-US"/>
        </w:rPr>
        <w:t>1957 (1897)</w:t>
      </w:r>
      <w:r>
        <w:rPr>
          <w:lang w:val="en-US"/>
        </w:rPr>
        <w:t>.</w:t>
      </w:r>
    </w:p>
  </w:footnote>
  <w:footnote w:id="1647">
    <w:p w14:paraId="17DC8688" w14:textId="77777777" w:rsidR="00074551" w:rsidRPr="0058757C" w:rsidRDefault="00074551" w:rsidP="00074551">
      <w:pPr>
        <w:pStyle w:val="Funotentext"/>
        <w:ind w:left="227" w:hanging="227"/>
        <w:rPr>
          <w:lang w:val="en-US"/>
        </w:rPr>
      </w:pPr>
      <w:r>
        <w:rPr>
          <w:rStyle w:val="Funotenzeichen"/>
          <w:rFonts w:eastAsiaTheme="majorEastAsia"/>
        </w:rPr>
        <w:footnoteRef/>
      </w:r>
      <w:r w:rsidRPr="0058757C">
        <w:rPr>
          <w:lang w:val="en-US"/>
        </w:rPr>
        <w:t xml:space="preserve"> </w:t>
      </w:r>
      <w:r w:rsidRPr="00A15962">
        <w:rPr>
          <w:i/>
          <w:lang w:val="en-US"/>
        </w:rPr>
        <w:t>Gulf, C. &amp; S. F. R. Co. v. Ellis</w:t>
      </w:r>
      <w:r w:rsidRPr="0058757C">
        <w:rPr>
          <w:lang w:val="en-US"/>
        </w:rPr>
        <w:t>, 165 U.S. 150</w:t>
      </w:r>
      <w:r>
        <w:rPr>
          <w:lang w:val="en-US"/>
        </w:rPr>
        <w:t xml:space="preserve"> = 17 S. Ct. </w:t>
      </w:r>
      <w:r w:rsidRPr="0058757C">
        <w:rPr>
          <w:lang w:val="en-US"/>
        </w:rPr>
        <w:t>255</w:t>
      </w:r>
      <w:r>
        <w:rPr>
          <w:lang w:val="en-US"/>
        </w:rPr>
        <w:t xml:space="preserve"> = 41 L. Ed. </w:t>
      </w:r>
      <w:r w:rsidRPr="0058757C">
        <w:rPr>
          <w:lang w:val="en-US"/>
        </w:rPr>
        <w:t>666</w:t>
      </w:r>
      <w:r>
        <w:rPr>
          <w:lang w:val="en-US"/>
        </w:rPr>
        <w:t xml:space="preserve"> = 1897 U.S. LEXIS </w:t>
      </w:r>
      <w:r w:rsidRPr="0058757C">
        <w:rPr>
          <w:lang w:val="en-US"/>
        </w:rPr>
        <w:t>1957 (1897)</w:t>
      </w:r>
      <w:r>
        <w:rPr>
          <w:lang w:val="en-US"/>
        </w:rPr>
        <w:t>.</w:t>
      </w:r>
    </w:p>
  </w:footnote>
  <w:footnote w:id="1648">
    <w:p w14:paraId="0221CD27" w14:textId="77777777" w:rsidR="00074551" w:rsidRPr="0058757C" w:rsidRDefault="00074551" w:rsidP="00074551">
      <w:pPr>
        <w:pStyle w:val="Funotentext"/>
        <w:ind w:left="227" w:hanging="227"/>
        <w:rPr>
          <w:lang w:val="en-US"/>
        </w:rPr>
      </w:pPr>
      <w:r>
        <w:rPr>
          <w:rStyle w:val="Funotenzeichen"/>
          <w:rFonts w:eastAsiaTheme="majorEastAsia"/>
        </w:rPr>
        <w:footnoteRef/>
      </w:r>
      <w:r w:rsidRPr="0058757C">
        <w:rPr>
          <w:lang w:val="en-US"/>
        </w:rPr>
        <w:t xml:space="preserve"> </w:t>
      </w:r>
      <w:r w:rsidRPr="00A15962">
        <w:rPr>
          <w:i/>
          <w:lang w:val="en-US"/>
        </w:rPr>
        <w:t>Gulf, C. &amp; S. F. R. Co. v. Ellis</w:t>
      </w:r>
      <w:r w:rsidRPr="0058757C">
        <w:rPr>
          <w:lang w:val="en-US"/>
        </w:rPr>
        <w:t>, 165 U.S. 150</w:t>
      </w:r>
      <w:r>
        <w:rPr>
          <w:lang w:val="en-US"/>
        </w:rPr>
        <w:t xml:space="preserve"> = 17 S. Ct. </w:t>
      </w:r>
      <w:r w:rsidRPr="0058757C">
        <w:rPr>
          <w:lang w:val="en-US"/>
        </w:rPr>
        <w:t>255</w:t>
      </w:r>
      <w:r>
        <w:rPr>
          <w:lang w:val="en-US"/>
        </w:rPr>
        <w:t xml:space="preserve"> = 41 L. Ed. </w:t>
      </w:r>
      <w:r w:rsidRPr="0058757C">
        <w:rPr>
          <w:lang w:val="en-US"/>
        </w:rPr>
        <w:t>666</w:t>
      </w:r>
      <w:r>
        <w:rPr>
          <w:lang w:val="en-US"/>
        </w:rPr>
        <w:t xml:space="preserve"> = 1897 U.S. LEXIS </w:t>
      </w:r>
      <w:r w:rsidRPr="0058757C">
        <w:rPr>
          <w:lang w:val="en-US"/>
        </w:rPr>
        <w:t>1957 (1897)</w:t>
      </w:r>
      <w:r>
        <w:rPr>
          <w:lang w:val="en-US"/>
        </w:rPr>
        <w:t>.</w:t>
      </w:r>
    </w:p>
  </w:footnote>
  <w:footnote w:id="1649">
    <w:p w14:paraId="65C7F80E" w14:textId="77777777" w:rsidR="00074551" w:rsidRPr="0058757C" w:rsidRDefault="00074551" w:rsidP="00074551">
      <w:pPr>
        <w:pStyle w:val="Funotentext"/>
        <w:ind w:left="227" w:hanging="227"/>
        <w:rPr>
          <w:lang w:val="en-US"/>
        </w:rPr>
      </w:pPr>
      <w:r>
        <w:rPr>
          <w:rStyle w:val="Funotenzeichen"/>
          <w:rFonts w:eastAsiaTheme="majorEastAsia"/>
        </w:rPr>
        <w:footnoteRef/>
      </w:r>
      <w:r w:rsidRPr="0058757C">
        <w:rPr>
          <w:lang w:val="en-US"/>
        </w:rPr>
        <w:t xml:space="preserve"> </w:t>
      </w:r>
      <w:r w:rsidRPr="00A15962">
        <w:rPr>
          <w:i/>
          <w:lang w:val="en-US"/>
        </w:rPr>
        <w:t>Gulf, C. &amp; S. F. R. Co. v. Ellis</w:t>
      </w:r>
      <w:r w:rsidRPr="0058757C">
        <w:rPr>
          <w:lang w:val="en-US"/>
        </w:rPr>
        <w:t>, 165 U.S. 150</w:t>
      </w:r>
      <w:r>
        <w:rPr>
          <w:lang w:val="en-US"/>
        </w:rPr>
        <w:t xml:space="preserve"> = 17 S. Ct. </w:t>
      </w:r>
      <w:r w:rsidRPr="0058757C">
        <w:rPr>
          <w:lang w:val="en-US"/>
        </w:rPr>
        <w:t>255</w:t>
      </w:r>
      <w:r>
        <w:rPr>
          <w:lang w:val="en-US"/>
        </w:rPr>
        <w:t xml:space="preserve"> = 41 L. Ed. </w:t>
      </w:r>
      <w:r w:rsidRPr="0058757C">
        <w:rPr>
          <w:lang w:val="en-US"/>
        </w:rPr>
        <w:t>666</w:t>
      </w:r>
      <w:r>
        <w:rPr>
          <w:lang w:val="en-US"/>
        </w:rPr>
        <w:t xml:space="preserve"> = 1897 U.S. LEXIS </w:t>
      </w:r>
      <w:r w:rsidRPr="0058757C">
        <w:rPr>
          <w:lang w:val="en-US"/>
        </w:rPr>
        <w:t>1957 (1897)</w:t>
      </w:r>
      <w:r>
        <w:rPr>
          <w:lang w:val="en-US"/>
        </w:rPr>
        <w:t>.</w:t>
      </w:r>
    </w:p>
  </w:footnote>
  <w:footnote w:id="1650">
    <w:p w14:paraId="43841558"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651">
    <w:p w14:paraId="3D339CCC"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652">
    <w:p w14:paraId="0013110F"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653">
    <w:p w14:paraId="768222D8"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654">
    <w:p w14:paraId="797FB3B9" w14:textId="77777777" w:rsidR="00074551" w:rsidRPr="0047447C" w:rsidRDefault="00074551" w:rsidP="00074551">
      <w:pPr>
        <w:pStyle w:val="Funotentext"/>
        <w:rPr>
          <w:lang w:val="en-US"/>
        </w:rPr>
      </w:pPr>
      <w:r>
        <w:rPr>
          <w:rStyle w:val="Funotenzeichen"/>
          <w:rFonts w:eastAsiaTheme="majorEastAsia"/>
        </w:rPr>
        <w:footnoteRef/>
      </w:r>
      <w:r w:rsidRPr="0047447C">
        <w:rPr>
          <w:lang w:val="en-US"/>
        </w:rPr>
        <w:t xml:space="preserve"> </w:t>
      </w:r>
      <w:r w:rsidRPr="009167A5">
        <w:rPr>
          <w:i/>
          <w:lang w:val="en-US"/>
        </w:rPr>
        <w:t>Washington v. Glucksberg</w:t>
      </w:r>
      <w:r w:rsidRPr="0047447C">
        <w:rPr>
          <w:lang w:val="en-US"/>
        </w:rPr>
        <w:t>, 521 U.S.</w:t>
      </w:r>
      <w:r>
        <w:rPr>
          <w:lang w:val="en-US"/>
        </w:rPr>
        <w:t xml:space="preserve"> 702,</w:t>
      </w:r>
      <w:r w:rsidRPr="0047447C">
        <w:rPr>
          <w:lang w:val="en-US"/>
        </w:rPr>
        <w:t xml:space="preserve"> 721</w:t>
      </w:r>
      <w:r>
        <w:rPr>
          <w:lang w:val="en-US"/>
        </w:rPr>
        <w:t xml:space="preserve"> =</w:t>
      </w:r>
      <w:r w:rsidRPr="0047447C">
        <w:rPr>
          <w:lang w:val="en-US"/>
        </w:rPr>
        <w:t xml:space="preserve"> 138 L</w:t>
      </w:r>
      <w:r>
        <w:rPr>
          <w:lang w:val="en-US"/>
        </w:rPr>
        <w:t>.</w:t>
      </w:r>
      <w:r w:rsidRPr="0047447C">
        <w:rPr>
          <w:lang w:val="en-US"/>
        </w:rPr>
        <w:t xml:space="preserve"> Ed</w:t>
      </w:r>
      <w:r>
        <w:rPr>
          <w:lang w:val="en-US"/>
        </w:rPr>
        <w:t>.</w:t>
      </w:r>
      <w:r w:rsidRPr="0047447C">
        <w:rPr>
          <w:lang w:val="en-US"/>
        </w:rPr>
        <w:t xml:space="preserve"> 2d 772</w:t>
      </w:r>
      <w:r>
        <w:rPr>
          <w:lang w:val="en-US"/>
        </w:rPr>
        <w:t xml:space="preserve"> =</w:t>
      </w:r>
      <w:r w:rsidRPr="0047447C">
        <w:rPr>
          <w:lang w:val="en-US"/>
        </w:rPr>
        <w:t xml:space="preserve"> 117 S</w:t>
      </w:r>
      <w:r>
        <w:rPr>
          <w:lang w:val="en-US"/>
        </w:rPr>
        <w:t>.</w:t>
      </w:r>
      <w:r w:rsidRPr="0047447C">
        <w:rPr>
          <w:lang w:val="en-US"/>
        </w:rPr>
        <w:t xml:space="preserve"> Ct</w:t>
      </w:r>
      <w:r>
        <w:rPr>
          <w:lang w:val="en-US"/>
        </w:rPr>
        <w:t>.</w:t>
      </w:r>
      <w:r w:rsidRPr="0047447C">
        <w:rPr>
          <w:lang w:val="en-US"/>
        </w:rPr>
        <w:t xml:space="preserve"> 2258</w:t>
      </w:r>
      <w:r>
        <w:rPr>
          <w:lang w:val="en-US"/>
        </w:rPr>
        <w:t xml:space="preserve">; </w:t>
      </w:r>
      <w:r w:rsidRPr="009E57E1">
        <w:rPr>
          <w:i/>
          <w:lang w:val="en-US"/>
        </w:rPr>
        <w:t>Lawrence v. Texas</w:t>
      </w:r>
      <w:r w:rsidRPr="0047447C">
        <w:rPr>
          <w:lang w:val="en-US"/>
        </w:rPr>
        <w:t>, 539 U.S. 558, 593</w:t>
      </w:r>
      <w:r w:rsidRPr="006E67FE">
        <w:rPr>
          <w:lang w:val="en-US"/>
        </w:rPr>
        <w:t xml:space="preserve"> = 123 S. Ct. </w:t>
      </w:r>
      <w:r w:rsidRPr="0047447C">
        <w:rPr>
          <w:lang w:val="en-US"/>
        </w:rPr>
        <w:t>2472, 2491</w:t>
      </w:r>
      <w:r w:rsidRPr="006E67FE">
        <w:rPr>
          <w:lang w:val="en-US"/>
        </w:rPr>
        <w:t xml:space="preserve"> = 156 L. Ed. </w:t>
      </w:r>
      <w:r w:rsidRPr="0047447C">
        <w:rPr>
          <w:lang w:val="en-US"/>
        </w:rPr>
        <w:t>2d 508, 535</w:t>
      </w:r>
      <w:r>
        <w:rPr>
          <w:lang w:val="en-US"/>
        </w:rPr>
        <w:t xml:space="preserve"> = 2003 U.S. LEXIS </w:t>
      </w:r>
      <w:r w:rsidRPr="0047447C">
        <w:rPr>
          <w:lang w:val="en-US"/>
        </w:rPr>
        <w:t>5013, 61</w:t>
      </w:r>
      <w:r>
        <w:rPr>
          <w:lang w:val="en-US"/>
        </w:rPr>
        <w:t xml:space="preserve"> = 71 U.S.L.W. </w:t>
      </w:r>
      <w:r w:rsidRPr="0047447C">
        <w:rPr>
          <w:lang w:val="en-US"/>
        </w:rPr>
        <w:t>4574</w:t>
      </w:r>
      <w:r>
        <w:rPr>
          <w:lang w:val="en-US"/>
        </w:rPr>
        <w:t xml:space="preserve"> = 2003 Cal. Daily </w:t>
      </w:r>
      <w:r w:rsidRPr="0047447C">
        <w:rPr>
          <w:lang w:val="en-US"/>
        </w:rPr>
        <w:t>Op. Service 5559</w:t>
      </w:r>
      <w:r>
        <w:rPr>
          <w:lang w:val="en-US"/>
        </w:rPr>
        <w:t xml:space="preserve"> = 2003 Daily </w:t>
      </w:r>
      <w:r w:rsidRPr="0047447C">
        <w:rPr>
          <w:lang w:val="en-US"/>
        </w:rPr>
        <w:t>Journal DAR 7036</w:t>
      </w:r>
      <w:r>
        <w:rPr>
          <w:lang w:val="en-US"/>
        </w:rPr>
        <w:t xml:space="preserve"> = 16 Fla. L. Weekly </w:t>
      </w:r>
      <w:r w:rsidRPr="0047447C">
        <w:rPr>
          <w:lang w:val="en-US"/>
        </w:rPr>
        <w:t>Fed. S 427 (2003)</w:t>
      </w:r>
      <w:r>
        <w:rPr>
          <w:lang w:val="en-US"/>
        </w:rPr>
        <w:t>.</w:t>
      </w:r>
    </w:p>
  </w:footnote>
  <w:footnote w:id="1655">
    <w:p w14:paraId="331EC668" w14:textId="5048EF26" w:rsidR="00074551" w:rsidRPr="0047447C" w:rsidRDefault="00074551" w:rsidP="00074551">
      <w:pPr>
        <w:pStyle w:val="Funotentext"/>
        <w:rPr>
          <w:lang w:val="en-US"/>
        </w:rPr>
      </w:pPr>
      <w:r>
        <w:rPr>
          <w:rStyle w:val="Funotenzeichen"/>
          <w:rFonts w:eastAsiaTheme="majorEastAsia"/>
        </w:rPr>
        <w:footnoteRef/>
      </w:r>
      <w:r w:rsidRPr="0047447C">
        <w:rPr>
          <w:lang w:val="en-US"/>
        </w:rPr>
        <w:t xml:space="preserve"> </w:t>
      </w:r>
      <w:r w:rsidRPr="009E57E1">
        <w:rPr>
          <w:i/>
          <w:lang w:val="en-US"/>
        </w:rPr>
        <w:t>Lawrence v. Texas</w:t>
      </w:r>
      <w:r w:rsidRPr="0047447C">
        <w:rPr>
          <w:lang w:val="en-US"/>
        </w:rPr>
        <w:t>, 539 U.S. 558</w:t>
      </w:r>
      <w:r w:rsidR="00D605C8">
        <w:rPr>
          <w:lang w:val="en-US"/>
        </w:rPr>
        <w:t>, 593</w:t>
      </w:r>
      <w:r w:rsidRPr="006E67FE">
        <w:rPr>
          <w:lang w:val="en-US"/>
        </w:rPr>
        <w:t xml:space="preserve"> = 123 S. Ct. </w:t>
      </w:r>
      <w:r w:rsidRPr="0047447C">
        <w:rPr>
          <w:lang w:val="en-US"/>
        </w:rPr>
        <w:t>2472</w:t>
      </w:r>
      <w:r w:rsidRPr="006E67FE">
        <w:rPr>
          <w:lang w:val="en-US"/>
        </w:rPr>
        <w:t xml:space="preserve"> = 156 L. Ed. </w:t>
      </w:r>
      <w:r w:rsidRPr="0047447C">
        <w:rPr>
          <w:lang w:val="en-US"/>
        </w:rPr>
        <w:t>2d 508</w:t>
      </w:r>
      <w:r>
        <w:rPr>
          <w:lang w:val="en-US"/>
        </w:rPr>
        <w:t xml:space="preserve"> = 2003 U.S. LEXIS </w:t>
      </w:r>
      <w:r w:rsidRPr="0047447C">
        <w:rPr>
          <w:lang w:val="en-US"/>
        </w:rPr>
        <w:t>5013</w:t>
      </w:r>
      <w:r>
        <w:rPr>
          <w:lang w:val="en-US"/>
        </w:rPr>
        <w:t xml:space="preserve"> = 71 U.S.L.W. </w:t>
      </w:r>
      <w:r w:rsidRPr="0047447C">
        <w:rPr>
          <w:lang w:val="en-US"/>
        </w:rPr>
        <w:t>4574</w:t>
      </w:r>
      <w:r>
        <w:rPr>
          <w:lang w:val="en-US"/>
        </w:rPr>
        <w:t xml:space="preserve"> = 2003 Cal. Daily </w:t>
      </w:r>
      <w:r w:rsidRPr="0047447C">
        <w:rPr>
          <w:lang w:val="en-US"/>
        </w:rPr>
        <w:t>Op. Service 5559</w:t>
      </w:r>
      <w:r>
        <w:rPr>
          <w:lang w:val="en-US"/>
        </w:rPr>
        <w:t xml:space="preserve"> = 2003 Daily </w:t>
      </w:r>
      <w:r w:rsidRPr="0047447C">
        <w:rPr>
          <w:lang w:val="en-US"/>
        </w:rPr>
        <w:t>Journal DAR 7036</w:t>
      </w:r>
      <w:r>
        <w:rPr>
          <w:lang w:val="en-US"/>
        </w:rPr>
        <w:t xml:space="preserve"> = 16 Fla. L. Weekly </w:t>
      </w:r>
      <w:r w:rsidRPr="0047447C">
        <w:rPr>
          <w:lang w:val="en-US"/>
        </w:rPr>
        <w:t>Fed. S 427 (2003)</w:t>
      </w:r>
      <w:r w:rsidR="002F3C98">
        <w:rPr>
          <w:lang w:val="en-US"/>
        </w:rPr>
        <w:t xml:space="preserve">, </w:t>
      </w:r>
      <w:proofErr w:type="spellStart"/>
      <w:r w:rsidR="002F3C98">
        <w:rPr>
          <w:lang w:val="en-US"/>
        </w:rPr>
        <w:t>dort</w:t>
      </w:r>
      <w:proofErr w:type="spellEnd"/>
      <w:r w:rsidR="002F3C98">
        <w:rPr>
          <w:lang w:val="en-US"/>
        </w:rPr>
        <w:t xml:space="preserve"> </w:t>
      </w:r>
      <w:proofErr w:type="spellStart"/>
      <w:r w:rsidR="002F3C98">
        <w:rPr>
          <w:lang w:val="en-US"/>
        </w:rPr>
        <w:t>zitiert</w:t>
      </w:r>
      <w:proofErr w:type="spellEnd"/>
      <w:r w:rsidR="002F3C98">
        <w:rPr>
          <w:lang w:val="en-US"/>
        </w:rPr>
        <w:t xml:space="preserve">: </w:t>
      </w:r>
      <w:r w:rsidR="002F3C98" w:rsidRPr="002F3C98">
        <w:rPr>
          <w:i/>
          <w:iCs/>
        </w:rPr>
        <w:t>Meyer v. Nebraska</w:t>
      </w:r>
      <w:r w:rsidR="002F3C98" w:rsidRPr="002F3C98">
        <w:t>, 262 U.S. 390, 399 (1923)</w:t>
      </w:r>
      <w:r w:rsidR="002F3C98">
        <w:t xml:space="preserve">; weiterführend: </w:t>
      </w:r>
      <w:r w:rsidR="002F3C98" w:rsidRPr="009167A5">
        <w:rPr>
          <w:i/>
          <w:lang w:val="en-US"/>
        </w:rPr>
        <w:t>Washington v. Glucksberg</w:t>
      </w:r>
      <w:r w:rsidR="002F3C98" w:rsidRPr="0047447C">
        <w:rPr>
          <w:lang w:val="en-US"/>
        </w:rPr>
        <w:t>, 521 U.S.</w:t>
      </w:r>
      <w:r w:rsidR="002F3C98">
        <w:rPr>
          <w:lang w:val="en-US"/>
        </w:rPr>
        <w:t xml:space="preserve"> 702,</w:t>
      </w:r>
      <w:r w:rsidR="002F3C98" w:rsidRPr="0047447C">
        <w:rPr>
          <w:lang w:val="en-US"/>
        </w:rPr>
        <w:t xml:space="preserve"> 721</w:t>
      </w:r>
      <w:r w:rsidR="002F3C98">
        <w:rPr>
          <w:lang w:val="en-US"/>
        </w:rPr>
        <w:t xml:space="preserve"> =</w:t>
      </w:r>
      <w:r w:rsidR="002F3C98" w:rsidRPr="0047447C">
        <w:rPr>
          <w:lang w:val="en-US"/>
        </w:rPr>
        <w:t xml:space="preserve"> 138 L</w:t>
      </w:r>
      <w:r w:rsidR="002F3C98">
        <w:rPr>
          <w:lang w:val="en-US"/>
        </w:rPr>
        <w:t>.</w:t>
      </w:r>
      <w:r w:rsidR="002F3C98" w:rsidRPr="0047447C">
        <w:rPr>
          <w:lang w:val="en-US"/>
        </w:rPr>
        <w:t xml:space="preserve"> Ed</w:t>
      </w:r>
      <w:r w:rsidR="002F3C98">
        <w:rPr>
          <w:lang w:val="en-US"/>
        </w:rPr>
        <w:t>.</w:t>
      </w:r>
      <w:r w:rsidR="002F3C98" w:rsidRPr="0047447C">
        <w:rPr>
          <w:lang w:val="en-US"/>
        </w:rPr>
        <w:t xml:space="preserve"> 2d 772</w:t>
      </w:r>
      <w:r w:rsidR="002F3C98">
        <w:rPr>
          <w:lang w:val="en-US"/>
        </w:rPr>
        <w:t xml:space="preserve"> =</w:t>
      </w:r>
      <w:r w:rsidR="002F3C98" w:rsidRPr="0047447C">
        <w:rPr>
          <w:lang w:val="en-US"/>
        </w:rPr>
        <w:t xml:space="preserve"> 117 S</w:t>
      </w:r>
      <w:r w:rsidR="002F3C98">
        <w:rPr>
          <w:lang w:val="en-US"/>
        </w:rPr>
        <w:t>.</w:t>
      </w:r>
      <w:r w:rsidR="002F3C98" w:rsidRPr="0047447C">
        <w:rPr>
          <w:lang w:val="en-US"/>
        </w:rPr>
        <w:t xml:space="preserve"> Ct</w:t>
      </w:r>
      <w:r w:rsidR="002F3C98">
        <w:rPr>
          <w:lang w:val="en-US"/>
        </w:rPr>
        <w:t>.</w:t>
      </w:r>
      <w:r w:rsidR="002F3C98" w:rsidRPr="0047447C">
        <w:rPr>
          <w:lang w:val="en-US"/>
        </w:rPr>
        <w:t xml:space="preserve"> 2258</w:t>
      </w:r>
      <w:r w:rsidR="002F3C98">
        <w:rPr>
          <w:lang w:val="en-US"/>
        </w:rPr>
        <w:t>.</w:t>
      </w:r>
    </w:p>
  </w:footnote>
  <w:footnote w:id="1656">
    <w:p w14:paraId="3EAE438C" w14:textId="77777777" w:rsidR="00074551" w:rsidRPr="0047447C" w:rsidRDefault="00074551" w:rsidP="00074551">
      <w:pPr>
        <w:pStyle w:val="Funotentext"/>
        <w:rPr>
          <w:lang w:val="en-US"/>
        </w:rPr>
      </w:pPr>
      <w:r>
        <w:rPr>
          <w:rStyle w:val="Funotenzeichen"/>
          <w:rFonts w:eastAsiaTheme="majorEastAsia"/>
        </w:rPr>
        <w:footnoteRef/>
      </w:r>
      <w:r w:rsidRPr="0047447C">
        <w:rPr>
          <w:lang w:val="en-US"/>
        </w:rPr>
        <w:t xml:space="preserve"> </w:t>
      </w:r>
      <w:r w:rsidRPr="009E57E1">
        <w:rPr>
          <w:i/>
          <w:lang w:val="en-US"/>
        </w:rPr>
        <w:t>Lawrence v. Texas</w:t>
      </w:r>
      <w:r w:rsidRPr="0047447C">
        <w:rPr>
          <w:lang w:val="en-US"/>
        </w:rPr>
        <w:t>, 539 U.S. 558, 567</w:t>
      </w:r>
      <w:r w:rsidRPr="006E67FE">
        <w:rPr>
          <w:lang w:val="en-US"/>
        </w:rPr>
        <w:t xml:space="preserve"> = 123 S. Ct. </w:t>
      </w:r>
      <w:r w:rsidRPr="0047447C">
        <w:rPr>
          <w:lang w:val="en-US"/>
        </w:rPr>
        <w:t>2472, 2478</w:t>
      </w:r>
      <w:r w:rsidRPr="006E67FE">
        <w:rPr>
          <w:lang w:val="en-US"/>
        </w:rPr>
        <w:t xml:space="preserve"> = 156 L. Ed. </w:t>
      </w:r>
      <w:r w:rsidRPr="0047447C">
        <w:rPr>
          <w:lang w:val="en-US"/>
        </w:rPr>
        <w:t>2d 508, 518</w:t>
      </w:r>
      <w:r>
        <w:rPr>
          <w:lang w:val="en-US"/>
        </w:rPr>
        <w:t xml:space="preserve"> = 2003 U.S. LEXIS </w:t>
      </w:r>
      <w:r w:rsidRPr="0047447C">
        <w:rPr>
          <w:lang w:val="en-US"/>
        </w:rPr>
        <w:t>5013, 17</w:t>
      </w:r>
      <w:r>
        <w:rPr>
          <w:lang w:val="en-US"/>
        </w:rPr>
        <w:t xml:space="preserve"> = 71 U.S.L.W. </w:t>
      </w:r>
      <w:r w:rsidRPr="0047447C">
        <w:rPr>
          <w:lang w:val="en-US"/>
        </w:rPr>
        <w:t>4574</w:t>
      </w:r>
      <w:r>
        <w:rPr>
          <w:lang w:val="en-US"/>
        </w:rPr>
        <w:t xml:space="preserve"> = 2003 Cal. Daily </w:t>
      </w:r>
      <w:r w:rsidRPr="0047447C">
        <w:rPr>
          <w:lang w:val="en-US"/>
        </w:rPr>
        <w:t>Op. Service 5559</w:t>
      </w:r>
      <w:r>
        <w:rPr>
          <w:lang w:val="en-US"/>
        </w:rPr>
        <w:t xml:space="preserve"> = 2003 Daily </w:t>
      </w:r>
      <w:r w:rsidRPr="0047447C">
        <w:rPr>
          <w:lang w:val="en-US"/>
        </w:rPr>
        <w:t>Journal DAR 7036</w:t>
      </w:r>
      <w:r>
        <w:rPr>
          <w:lang w:val="en-US"/>
        </w:rPr>
        <w:t xml:space="preserve"> = 16 Fla. L. Weekly </w:t>
      </w:r>
      <w:r w:rsidRPr="0047447C">
        <w:rPr>
          <w:lang w:val="en-US"/>
        </w:rPr>
        <w:t>Fed. S 427 (2003)</w:t>
      </w:r>
      <w:r>
        <w:rPr>
          <w:lang w:val="en-US"/>
        </w:rPr>
        <w:t>.</w:t>
      </w:r>
    </w:p>
  </w:footnote>
  <w:footnote w:id="1657">
    <w:p w14:paraId="3E621B70" w14:textId="77777777" w:rsidR="00074551" w:rsidRPr="0083354F" w:rsidRDefault="00074551" w:rsidP="00074551">
      <w:pPr>
        <w:pStyle w:val="Funotentext"/>
        <w:rPr>
          <w:lang w:val="en-US"/>
        </w:rPr>
      </w:pPr>
      <w:r>
        <w:rPr>
          <w:rStyle w:val="Funotenzeichen"/>
          <w:rFonts w:eastAsiaTheme="majorEastAsia"/>
        </w:rPr>
        <w:footnoteRef/>
      </w:r>
      <w:r w:rsidRPr="0083354F">
        <w:rPr>
          <w:lang w:val="en-US"/>
        </w:rPr>
        <w:t xml:space="preserve"> </w:t>
      </w:r>
      <w:r w:rsidRPr="00A15962">
        <w:rPr>
          <w:i/>
          <w:lang w:val="en-US"/>
        </w:rPr>
        <w:t>Planned Parenthood of Southeastern Pa. v. Casey</w:t>
      </w:r>
      <w:r w:rsidRPr="0083354F">
        <w:rPr>
          <w:lang w:val="en-US"/>
        </w:rPr>
        <w:t>, 505 U.S. 833, 850</w:t>
      </w:r>
      <w:r>
        <w:rPr>
          <w:lang w:val="en-US"/>
        </w:rPr>
        <w:t xml:space="preserve"> = 120 L. Ed. </w:t>
      </w:r>
      <w:r w:rsidRPr="0083354F">
        <w:rPr>
          <w:lang w:val="en-US"/>
        </w:rPr>
        <w:t>2d 674</w:t>
      </w:r>
      <w:r>
        <w:rPr>
          <w:lang w:val="en-US"/>
        </w:rPr>
        <w:t xml:space="preserve"> = 112 S. Ct. </w:t>
      </w:r>
      <w:r w:rsidRPr="0083354F">
        <w:rPr>
          <w:lang w:val="en-US"/>
        </w:rPr>
        <w:t>2791 (1992)</w:t>
      </w:r>
      <w:r>
        <w:rPr>
          <w:lang w:val="en-US"/>
        </w:rPr>
        <w:t xml:space="preserve">; </w:t>
      </w:r>
      <w:r w:rsidRPr="009E57E1">
        <w:rPr>
          <w:i/>
          <w:lang w:val="en-US"/>
        </w:rPr>
        <w:t>Lawrence v. Texas</w:t>
      </w:r>
      <w:r w:rsidRPr="0083354F">
        <w:rPr>
          <w:lang w:val="en-US"/>
        </w:rPr>
        <w:t>, 539 U.S. 558, 571</w:t>
      </w:r>
      <w:r w:rsidRPr="006E67FE">
        <w:rPr>
          <w:lang w:val="en-US"/>
        </w:rPr>
        <w:t xml:space="preserve"> = 123 S. Ct. </w:t>
      </w:r>
      <w:r w:rsidRPr="0083354F">
        <w:rPr>
          <w:lang w:val="en-US"/>
        </w:rPr>
        <w:t>2472, 2480</w:t>
      </w:r>
      <w:r w:rsidRPr="006E67FE">
        <w:rPr>
          <w:lang w:val="en-US"/>
        </w:rPr>
        <w:t xml:space="preserve"> = 156 L. Ed. </w:t>
      </w:r>
      <w:r w:rsidRPr="0083354F">
        <w:rPr>
          <w:lang w:val="en-US"/>
        </w:rPr>
        <w:t>2d 508, 521</w:t>
      </w:r>
      <w:r>
        <w:rPr>
          <w:lang w:val="en-US"/>
        </w:rPr>
        <w:t xml:space="preserve"> = 2003 U.S. LEXIS </w:t>
      </w:r>
      <w:r w:rsidRPr="0083354F">
        <w:rPr>
          <w:lang w:val="en-US"/>
        </w:rPr>
        <w:t>5013, 24</w:t>
      </w:r>
      <w:r>
        <w:rPr>
          <w:lang w:val="en-US"/>
        </w:rPr>
        <w:t xml:space="preserve"> = 71 U.S.L.W. </w:t>
      </w:r>
      <w:r w:rsidRPr="0083354F">
        <w:rPr>
          <w:lang w:val="en-US"/>
        </w:rPr>
        <w:t>4574</w:t>
      </w:r>
      <w:r>
        <w:rPr>
          <w:lang w:val="en-US"/>
        </w:rPr>
        <w:t xml:space="preserve"> = 2003 Cal. Daily </w:t>
      </w:r>
      <w:r w:rsidRPr="0083354F">
        <w:rPr>
          <w:lang w:val="en-US"/>
        </w:rPr>
        <w:t>Op. Service 5559</w:t>
      </w:r>
      <w:r>
        <w:rPr>
          <w:lang w:val="en-US"/>
        </w:rPr>
        <w:t xml:space="preserve"> = 2003 Daily </w:t>
      </w:r>
      <w:r w:rsidRPr="0083354F">
        <w:rPr>
          <w:lang w:val="en-US"/>
        </w:rPr>
        <w:t>Journal DAR 7036</w:t>
      </w:r>
      <w:r>
        <w:rPr>
          <w:lang w:val="en-US"/>
        </w:rPr>
        <w:t xml:space="preserve"> = 16 Fla. L. Weekly </w:t>
      </w:r>
      <w:r w:rsidRPr="0083354F">
        <w:rPr>
          <w:lang w:val="en-US"/>
        </w:rPr>
        <w:t>Fed. S 427 (2003)</w:t>
      </w:r>
      <w:r>
        <w:rPr>
          <w:lang w:val="en-US"/>
        </w:rPr>
        <w:t>.</w:t>
      </w:r>
    </w:p>
  </w:footnote>
  <w:footnote w:id="1658">
    <w:p w14:paraId="54C37FC3" w14:textId="77777777" w:rsidR="00074551" w:rsidRPr="0083354F" w:rsidRDefault="00074551" w:rsidP="00074551">
      <w:pPr>
        <w:pStyle w:val="Funotentext"/>
        <w:rPr>
          <w:lang w:val="en-US"/>
        </w:rPr>
      </w:pPr>
      <w:r>
        <w:rPr>
          <w:rStyle w:val="Funotenzeichen"/>
          <w:rFonts w:eastAsiaTheme="majorEastAsia"/>
        </w:rPr>
        <w:footnoteRef/>
      </w:r>
      <w:r w:rsidRPr="0083354F">
        <w:rPr>
          <w:lang w:val="en-US"/>
        </w:rPr>
        <w:t xml:space="preserve"> </w:t>
      </w:r>
      <w:r w:rsidRPr="009E57E1">
        <w:rPr>
          <w:i/>
          <w:lang w:val="en-US"/>
        </w:rPr>
        <w:t>Lawrence v. Texas</w:t>
      </w:r>
      <w:r w:rsidRPr="0083354F">
        <w:rPr>
          <w:lang w:val="en-US"/>
        </w:rPr>
        <w:t>, 539 U.S. 558, 575</w:t>
      </w:r>
      <w:r w:rsidRPr="006E67FE">
        <w:rPr>
          <w:lang w:val="en-US"/>
        </w:rPr>
        <w:t xml:space="preserve"> = 123 S. Ct. </w:t>
      </w:r>
      <w:r w:rsidRPr="0083354F">
        <w:rPr>
          <w:lang w:val="en-US"/>
        </w:rPr>
        <w:t>2472, 2482</w:t>
      </w:r>
      <w:r w:rsidRPr="006E67FE">
        <w:rPr>
          <w:lang w:val="en-US"/>
        </w:rPr>
        <w:t xml:space="preserve"> = 156 L. Ed. </w:t>
      </w:r>
      <w:r w:rsidRPr="0083354F">
        <w:rPr>
          <w:lang w:val="en-US"/>
        </w:rPr>
        <w:t>2d 508, 523</w:t>
      </w:r>
      <w:r>
        <w:rPr>
          <w:lang w:val="en-US"/>
        </w:rPr>
        <w:t xml:space="preserve"> = 2003 U.S. LEXIS </w:t>
      </w:r>
      <w:r w:rsidRPr="0083354F">
        <w:rPr>
          <w:lang w:val="en-US"/>
        </w:rPr>
        <w:t>5013, 30</w:t>
      </w:r>
      <w:r>
        <w:rPr>
          <w:lang w:val="en-US"/>
        </w:rPr>
        <w:t xml:space="preserve"> = 71 U.S.L.W. </w:t>
      </w:r>
      <w:r w:rsidRPr="0083354F">
        <w:rPr>
          <w:lang w:val="en-US"/>
        </w:rPr>
        <w:t>4574</w:t>
      </w:r>
      <w:r>
        <w:rPr>
          <w:lang w:val="en-US"/>
        </w:rPr>
        <w:t xml:space="preserve"> = 2003 Cal. Daily </w:t>
      </w:r>
      <w:r w:rsidRPr="0083354F">
        <w:rPr>
          <w:lang w:val="en-US"/>
        </w:rPr>
        <w:t>Op. Service 5559</w:t>
      </w:r>
      <w:r>
        <w:rPr>
          <w:lang w:val="en-US"/>
        </w:rPr>
        <w:t xml:space="preserve"> = 2003 Daily </w:t>
      </w:r>
      <w:r w:rsidRPr="0083354F">
        <w:rPr>
          <w:lang w:val="en-US"/>
        </w:rPr>
        <w:t>Journal DAR 7036</w:t>
      </w:r>
      <w:r>
        <w:rPr>
          <w:lang w:val="en-US"/>
        </w:rPr>
        <w:t xml:space="preserve"> = 16 Fla. L. Weekly </w:t>
      </w:r>
      <w:r w:rsidRPr="0083354F">
        <w:rPr>
          <w:lang w:val="en-US"/>
        </w:rPr>
        <w:t>Fed. S 427 (2003)</w:t>
      </w:r>
      <w:r>
        <w:rPr>
          <w:lang w:val="en-US"/>
        </w:rPr>
        <w:t>.</w:t>
      </w:r>
    </w:p>
  </w:footnote>
  <w:footnote w:id="1659">
    <w:p w14:paraId="6B094124" w14:textId="77777777" w:rsidR="00074551" w:rsidRPr="00320F9D" w:rsidRDefault="00074551" w:rsidP="00074551">
      <w:pPr>
        <w:pStyle w:val="Funotentext"/>
        <w:rPr>
          <w:lang w:val="en-US"/>
        </w:rPr>
      </w:pPr>
      <w:r>
        <w:rPr>
          <w:rStyle w:val="Funotenzeichen"/>
          <w:rFonts w:eastAsiaTheme="majorEastAsia"/>
        </w:rPr>
        <w:footnoteRef/>
      </w:r>
      <w:r w:rsidRPr="0083354F">
        <w:rPr>
          <w:lang w:val="en-US"/>
        </w:rPr>
        <w:t xml:space="preserve"> </w:t>
      </w:r>
      <w:r w:rsidRPr="009E57E1">
        <w:rPr>
          <w:i/>
          <w:lang w:val="en-US"/>
        </w:rPr>
        <w:t>Lawrence v. Texas</w:t>
      </w:r>
      <w:r w:rsidRPr="0083354F">
        <w:rPr>
          <w:lang w:val="en-US"/>
        </w:rPr>
        <w:t>, 539 U.S. 558, 575</w:t>
      </w:r>
      <w:r w:rsidRPr="006E67FE">
        <w:rPr>
          <w:lang w:val="en-US"/>
        </w:rPr>
        <w:t xml:space="preserve"> = 123 S. Ct. </w:t>
      </w:r>
      <w:r w:rsidRPr="0083354F">
        <w:rPr>
          <w:lang w:val="en-US"/>
        </w:rPr>
        <w:t>2472, 2482</w:t>
      </w:r>
      <w:r w:rsidRPr="006E67FE">
        <w:rPr>
          <w:lang w:val="en-US"/>
        </w:rPr>
        <w:t xml:space="preserve"> = 156 L. Ed. </w:t>
      </w:r>
      <w:r w:rsidRPr="0083354F">
        <w:rPr>
          <w:lang w:val="en-US"/>
        </w:rPr>
        <w:t>2d 508, 523</w:t>
      </w:r>
      <w:r>
        <w:rPr>
          <w:lang w:val="en-US"/>
        </w:rPr>
        <w:t xml:space="preserve"> = 2003 U.S. LEXIS </w:t>
      </w:r>
      <w:r w:rsidRPr="0083354F">
        <w:rPr>
          <w:lang w:val="en-US"/>
        </w:rPr>
        <w:t>5013, 30</w:t>
      </w:r>
      <w:r>
        <w:rPr>
          <w:lang w:val="en-US"/>
        </w:rPr>
        <w:t xml:space="preserve"> = 71 U.S.L.W. </w:t>
      </w:r>
      <w:r w:rsidRPr="0083354F">
        <w:rPr>
          <w:lang w:val="en-US"/>
        </w:rPr>
        <w:t>4574</w:t>
      </w:r>
      <w:r>
        <w:rPr>
          <w:lang w:val="en-US"/>
        </w:rPr>
        <w:t xml:space="preserve"> = 2003 Cal. Daily </w:t>
      </w:r>
      <w:r w:rsidRPr="0083354F">
        <w:rPr>
          <w:lang w:val="en-US"/>
        </w:rPr>
        <w:t>Op. Service 5559</w:t>
      </w:r>
      <w:r>
        <w:rPr>
          <w:lang w:val="en-US"/>
        </w:rPr>
        <w:t xml:space="preserve"> = 2003 Daily </w:t>
      </w:r>
      <w:r w:rsidRPr="0083354F">
        <w:rPr>
          <w:lang w:val="en-US"/>
        </w:rPr>
        <w:t>Journal DAR 7036</w:t>
      </w:r>
      <w:r>
        <w:rPr>
          <w:lang w:val="en-US"/>
        </w:rPr>
        <w:t xml:space="preserve"> = 16 Fla. L. Weekly </w:t>
      </w:r>
      <w:r w:rsidRPr="0083354F">
        <w:rPr>
          <w:lang w:val="en-US"/>
        </w:rPr>
        <w:t xml:space="preserve">Fed. </w:t>
      </w:r>
      <w:r w:rsidRPr="00320F9D">
        <w:rPr>
          <w:lang w:val="en-US"/>
        </w:rPr>
        <w:t>S 427 (2003)</w:t>
      </w:r>
      <w:r>
        <w:rPr>
          <w:lang w:val="en-US"/>
        </w:rPr>
        <w:t>.</w:t>
      </w:r>
    </w:p>
  </w:footnote>
  <w:footnote w:id="1660">
    <w:p w14:paraId="5D14F218" w14:textId="77777777" w:rsidR="00074551" w:rsidRPr="00210F2F" w:rsidRDefault="00074551" w:rsidP="00074551">
      <w:pPr>
        <w:pStyle w:val="Funotentext"/>
        <w:ind w:left="227" w:hanging="227"/>
        <w:rPr>
          <w:lang w:val="en-US"/>
        </w:rPr>
      </w:pPr>
      <w:r>
        <w:rPr>
          <w:rStyle w:val="Funotenzeichen"/>
          <w:rFonts w:eastAsiaTheme="majorEastAsia"/>
        </w:rPr>
        <w:footnoteRef/>
      </w:r>
      <w:r w:rsidRPr="00210F2F">
        <w:rPr>
          <w:lang w:val="en-US"/>
        </w:rPr>
        <w:t xml:space="preserve"> </w:t>
      </w:r>
      <w:r w:rsidRPr="009E57E1">
        <w:rPr>
          <w:i/>
          <w:lang w:val="en-US"/>
        </w:rPr>
        <w:t>Lawrence v. Texas</w:t>
      </w:r>
      <w:r w:rsidRPr="00210F2F">
        <w:rPr>
          <w:lang w:val="en-US"/>
        </w:rPr>
        <w:t>, 539 U.S. 558, 575</w:t>
      </w:r>
      <w:r w:rsidRPr="006E67FE">
        <w:rPr>
          <w:lang w:val="en-US"/>
        </w:rPr>
        <w:t xml:space="preserve"> = 123 S. Ct. </w:t>
      </w:r>
      <w:r w:rsidRPr="00210F2F">
        <w:rPr>
          <w:lang w:val="en-US"/>
        </w:rPr>
        <w:t>2472, 2482</w:t>
      </w:r>
      <w:r w:rsidRPr="006E67FE">
        <w:rPr>
          <w:lang w:val="en-US"/>
        </w:rPr>
        <w:t xml:space="preserve"> = 156 L. Ed. </w:t>
      </w:r>
      <w:r w:rsidRPr="00210F2F">
        <w:rPr>
          <w:lang w:val="en-US"/>
        </w:rPr>
        <w:t>2d 508, 523</w:t>
      </w:r>
      <w:r>
        <w:rPr>
          <w:lang w:val="en-US"/>
        </w:rPr>
        <w:t xml:space="preserve"> = 2003 U.S. LEXIS </w:t>
      </w:r>
      <w:r w:rsidRPr="00210F2F">
        <w:rPr>
          <w:lang w:val="en-US"/>
        </w:rPr>
        <w:t>5013, 30</w:t>
      </w:r>
      <w:r>
        <w:rPr>
          <w:lang w:val="en-US"/>
        </w:rPr>
        <w:t xml:space="preserve"> = 71 U.S.L.W. </w:t>
      </w:r>
      <w:r w:rsidRPr="00210F2F">
        <w:rPr>
          <w:lang w:val="en-US"/>
        </w:rPr>
        <w:t>4574</w:t>
      </w:r>
      <w:r>
        <w:rPr>
          <w:lang w:val="en-US"/>
        </w:rPr>
        <w:t xml:space="preserve"> = 2003 Cal. Daily </w:t>
      </w:r>
      <w:r w:rsidRPr="00210F2F">
        <w:rPr>
          <w:lang w:val="en-US"/>
        </w:rPr>
        <w:t>Op. Service 5559</w:t>
      </w:r>
      <w:r>
        <w:rPr>
          <w:lang w:val="en-US"/>
        </w:rPr>
        <w:t xml:space="preserve"> = 2003 Daily </w:t>
      </w:r>
      <w:r w:rsidRPr="00210F2F">
        <w:rPr>
          <w:lang w:val="en-US"/>
        </w:rPr>
        <w:t>Journal DAR 7036</w:t>
      </w:r>
      <w:r>
        <w:rPr>
          <w:lang w:val="en-US"/>
        </w:rPr>
        <w:t xml:space="preserve"> = 16 Fla. L. Weekly </w:t>
      </w:r>
      <w:r w:rsidRPr="00210F2F">
        <w:rPr>
          <w:lang w:val="en-US"/>
        </w:rPr>
        <w:t>Fed. S 427 (2003)</w:t>
      </w:r>
      <w:r>
        <w:rPr>
          <w:lang w:val="en-US"/>
        </w:rPr>
        <w:t>.</w:t>
      </w:r>
    </w:p>
  </w:footnote>
  <w:footnote w:id="1661">
    <w:p w14:paraId="079871D7" w14:textId="77777777" w:rsidR="00074551" w:rsidRPr="00210F2F" w:rsidRDefault="00074551" w:rsidP="00074551">
      <w:pPr>
        <w:pStyle w:val="Funotentext"/>
        <w:rPr>
          <w:lang w:val="en-US"/>
        </w:rPr>
      </w:pPr>
      <w:r>
        <w:rPr>
          <w:rStyle w:val="Funotenzeichen"/>
          <w:rFonts w:eastAsiaTheme="majorEastAsia"/>
        </w:rPr>
        <w:footnoteRef/>
      </w:r>
      <w:r w:rsidRPr="00210F2F">
        <w:rPr>
          <w:lang w:val="en-US"/>
        </w:rPr>
        <w:t xml:space="preserve"> </w:t>
      </w:r>
      <w:r w:rsidRPr="009167A5">
        <w:rPr>
          <w:i/>
          <w:lang w:val="en-US"/>
        </w:rPr>
        <w:t>McGowan v. Maryland</w:t>
      </w:r>
      <w:r w:rsidRPr="00210F2F">
        <w:rPr>
          <w:lang w:val="en-US"/>
        </w:rPr>
        <w:t>, 366 U.S. 420, 437</w:t>
      </w:r>
      <w:r w:rsidRPr="006E67FE">
        <w:rPr>
          <w:lang w:val="en-US"/>
        </w:rPr>
        <w:t xml:space="preserve"> = 81 S. Ct. </w:t>
      </w:r>
      <w:r w:rsidRPr="00210F2F">
        <w:rPr>
          <w:lang w:val="en-US"/>
        </w:rPr>
        <w:t>1101, 1111</w:t>
      </w:r>
      <w:r>
        <w:rPr>
          <w:lang w:val="en-US"/>
        </w:rPr>
        <w:t xml:space="preserve"> = 6 L. Ed. </w:t>
      </w:r>
      <w:r w:rsidRPr="00210F2F">
        <w:rPr>
          <w:lang w:val="en-US"/>
        </w:rPr>
        <w:t>2d 393, 405-406</w:t>
      </w:r>
      <w:r w:rsidRPr="006E67FE">
        <w:rPr>
          <w:lang w:val="en-US"/>
        </w:rPr>
        <w:t xml:space="preserve"> = 1961 U.S. LEXIS </w:t>
      </w:r>
      <w:r w:rsidRPr="00210F2F">
        <w:rPr>
          <w:lang w:val="en-US"/>
        </w:rPr>
        <w:t>2008, 32</w:t>
      </w:r>
      <w:r w:rsidRPr="006E67FE">
        <w:rPr>
          <w:lang w:val="en-US"/>
        </w:rPr>
        <w:t xml:space="preserve"> = 42 Lab. Cas. </w:t>
      </w:r>
      <w:r w:rsidRPr="00626887">
        <w:rPr>
          <w:lang w:val="en-US"/>
        </w:rPr>
        <w:t>(CCH) P50,258</w:t>
      </w:r>
      <w:r w:rsidRPr="006E67FE">
        <w:rPr>
          <w:lang w:val="en-US"/>
        </w:rPr>
        <w:t xml:space="preserve"> = 17 Ohio Op. </w:t>
      </w:r>
      <w:r w:rsidRPr="00626887">
        <w:rPr>
          <w:lang w:val="en-US"/>
        </w:rPr>
        <w:t>2d 151 (1961).</w:t>
      </w:r>
    </w:p>
  </w:footnote>
  <w:footnote w:id="1662">
    <w:p w14:paraId="7E5406E4" w14:textId="77777777" w:rsidR="00074551" w:rsidRDefault="00074551" w:rsidP="00074551">
      <w:pPr>
        <w:pStyle w:val="Funotentext"/>
        <w:ind w:left="227" w:hanging="227"/>
        <w:rPr>
          <w:lang w:val="en-US"/>
        </w:rPr>
      </w:pPr>
      <w:r>
        <w:rPr>
          <w:rStyle w:val="Funotenzeichen"/>
          <w:rFonts w:eastAsiaTheme="majorEastAsia"/>
        </w:rPr>
        <w:footnoteRef/>
      </w:r>
      <w:r w:rsidRPr="00210F2F">
        <w:rPr>
          <w:lang w:val="en-US"/>
        </w:rPr>
        <w:t xml:space="preserve"> </w:t>
      </w:r>
      <w:r w:rsidRPr="009167A5">
        <w:rPr>
          <w:i/>
          <w:lang w:val="en-US"/>
        </w:rPr>
        <w:t>McGowan v. Maryland</w:t>
      </w:r>
      <w:r w:rsidRPr="00210F2F">
        <w:rPr>
          <w:lang w:val="en-US"/>
        </w:rPr>
        <w:t>, 366 U.S. 420, 437</w:t>
      </w:r>
      <w:r w:rsidRPr="006E67FE">
        <w:rPr>
          <w:lang w:val="en-US"/>
        </w:rPr>
        <w:t xml:space="preserve"> = 81 S. Ct. </w:t>
      </w:r>
      <w:r w:rsidRPr="00210F2F">
        <w:rPr>
          <w:lang w:val="en-US"/>
        </w:rPr>
        <w:t>1101, 1111</w:t>
      </w:r>
      <w:r>
        <w:rPr>
          <w:lang w:val="en-US"/>
        </w:rPr>
        <w:t xml:space="preserve"> = 6 L. Ed. </w:t>
      </w:r>
      <w:r w:rsidRPr="00210F2F">
        <w:rPr>
          <w:lang w:val="en-US"/>
        </w:rPr>
        <w:t>2d 393, 406</w:t>
      </w:r>
      <w:r w:rsidRPr="006E67FE">
        <w:rPr>
          <w:lang w:val="en-US"/>
        </w:rPr>
        <w:t xml:space="preserve"> = 1961 U.S. LEXIS </w:t>
      </w:r>
      <w:r w:rsidRPr="00210F2F">
        <w:rPr>
          <w:lang w:val="en-US"/>
        </w:rPr>
        <w:t>2008, 32</w:t>
      </w:r>
      <w:r w:rsidRPr="006E67FE">
        <w:rPr>
          <w:lang w:val="en-US"/>
        </w:rPr>
        <w:t xml:space="preserve"> = 42 Lab. Cas. </w:t>
      </w:r>
      <w:r w:rsidRPr="00210F2F">
        <w:rPr>
          <w:lang w:val="en-US"/>
        </w:rPr>
        <w:t>(CCH) P50,258</w:t>
      </w:r>
      <w:r w:rsidRPr="006E67FE">
        <w:rPr>
          <w:lang w:val="en-US"/>
        </w:rPr>
        <w:t xml:space="preserve"> = 17 Ohio Op. </w:t>
      </w:r>
      <w:r w:rsidRPr="00210F2F">
        <w:rPr>
          <w:lang w:val="en-US"/>
        </w:rPr>
        <w:t xml:space="preserve">2d 151 (U.S. May 29, </w:t>
      </w:r>
    </w:p>
    <w:p w14:paraId="78994519" w14:textId="77777777" w:rsidR="00074551" w:rsidRPr="00210F2F" w:rsidRDefault="00074551" w:rsidP="00074551">
      <w:pPr>
        <w:pStyle w:val="Funotentext"/>
        <w:ind w:left="227" w:hanging="227"/>
        <w:rPr>
          <w:lang w:val="en-US"/>
        </w:rPr>
      </w:pPr>
      <w:r w:rsidRPr="00210F2F">
        <w:rPr>
          <w:lang w:val="en-US"/>
        </w:rPr>
        <w:t>1961)</w:t>
      </w:r>
      <w:r>
        <w:rPr>
          <w:lang w:val="en-US"/>
        </w:rPr>
        <w:t>.</w:t>
      </w:r>
    </w:p>
  </w:footnote>
  <w:footnote w:id="1663">
    <w:p w14:paraId="2AFCBC0E" w14:textId="77777777" w:rsidR="00074551" w:rsidRPr="001955E1" w:rsidRDefault="00074551" w:rsidP="00074551">
      <w:pPr>
        <w:pStyle w:val="Funotentext"/>
        <w:rPr>
          <w:lang w:val="en-US"/>
        </w:rPr>
      </w:pPr>
      <w:r w:rsidRPr="00A15962">
        <w:rPr>
          <w:rStyle w:val="Funotenzeichen"/>
          <w:rFonts w:eastAsiaTheme="majorEastAsia"/>
        </w:rPr>
        <w:footnoteRef/>
      </w:r>
      <w:r w:rsidRPr="00A15962">
        <w:rPr>
          <w:lang w:val="en-US"/>
        </w:rPr>
        <w:t xml:space="preserve"> </w:t>
      </w:r>
      <w:r w:rsidRPr="00B45592">
        <w:rPr>
          <w:lang w:val="en-US"/>
        </w:rPr>
        <w:t>Richter</w:t>
      </w:r>
      <w:r w:rsidRPr="00A15962">
        <w:rPr>
          <w:lang w:val="en-US"/>
        </w:rPr>
        <w:t xml:space="preserve"> </w:t>
      </w:r>
      <w:r w:rsidRPr="00B45592">
        <w:rPr>
          <w:i/>
          <w:lang w:val="en-US"/>
        </w:rPr>
        <w:t>Harlan</w:t>
      </w:r>
      <w:r w:rsidRPr="00097A00">
        <w:rPr>
          <w:lang w:val="en-US"/>
        </w:rPr>
        <w:t xml:space="preserve"> in </w:t>
      </w:r>
      <w:r w:rsidRPr="00B45592">
        <w:rPr>
          <w:i/>
          <w:lang w:val="en-US"/>
        </w:rPr>
        <w:t>Hennington v. Georgia</w:t>
      </w:r>
      <w:r>
        <w:rPr>
          <w:lang w:val="en-US"/>
        </w:rPr>
        <w:t xml:space="preserve">, </w:t>
      </w:r>
      <w:r w:rsidRPr="00B45592">
        <w:rPr>
          <w:lang w:val="en-IE"/>
        </w:rPr>
        <w:t>163 U.S. 299</w:t>
      </w:r>
      <w:r w:rsidRPr="00097A00">
        <w:rPr>
          <w:lang w:val="en-US"/>
        </w:rPr>
        <w:t xml:space="preserve">; </w:t>
      </w:r>
      <w:r w:rsidRPr="009167A5">
        <w:rPr>
          <w:i/>
          <w:lang w:val="en-US"/>
        </w:rPr>
        <w:t>McGowan v. Maryland</w:t>
      </w:r>
      <w:r w:rsidRPr="00097A00">
        <w:rPr>
          <w:lang w:val="en-US"/>
        </w:rPr>
        <w:t>, 366 U.S. 420, 437</w:t>
      </w:r>
      <w:r w:rsidRPr="006E67FE">
        <w:rPr>
          <w:lang w:val="en-US"/>
        </w:rPr>
        <w:t xml:space="preserve"> = 81 S. Ct. </w:t>
      </w:r>
      <w:r w:rsidRPr="00097A00">
        <w:rPr>
          <w:lang w:val="en-US"/>
        </w:rPr>
        <w:t>1101, 1111</w:t>
      </w:r>
      <w:r>
        <w:rPr>
          <w:lang w:val="en-US"/>
        </w:rPr>
        <w:t xml:space="preserve"> = 6 L. Ed. </w:t>
      </w:r>
      <w:r w:rsidRPr="00097A00">
        <w:rPr>
          <w:lang w:val="en-US"/>
        </w:rPr>
        <w:t>2d 393, 405</w:t>
      </w:r>
      <w:r w:rsidRPr="006E67FE">
        <w:rPr>
          <w:lang w:val="en-US"/>
        </w:rPr>
        <w:t xml:space="preserve"> = 1961 U.S. LEXIS </w:t>
      </w:r>
      <w:r w:rsidRPr="00097A00">
        <w:rPr>
          <w:lang w:val="en-US"/>
        </w:rPr>
        <w:t>2008, 32</w:t>
      </w:r>
      <w:r w:rsidRPr="006E67FE">
        <w:rPr>
          <w:lang w:val="en-US"/>
        </w:rPr>
        <w:t xml:space="preserve"> = 42 Lab. Cas. </w:t>
      </w:r>
      <w:r w:rsidRPr="001955E1">
        <w:rPr>
          <w:lang w:val="en-US"/>
        </w:rPr>
        <w:t>(CCH) P50,258</w:t>
      </w:r>
      <w:r w:rsidRPr="006E67FE">
        <w:rPr>
          <w:lang w:val="en-US"/>
        </w:rPr>
        <w:t xml:space="preserve"> = 17 Ohio Op. </w:t>
      </w:r>
      <w:r w:rsidRPr="001955E1">
        <w:rPr>
          <w:lang w:val="en-US"/>
        </w:rPr>
        <w:t>2d 151 (1961)</w:t>
      </w:r>
      <w:r>
        <w:rPr>
          <w:lang w:val="en-US"/>
        </w:rPr>
        <w:t>.</w:t>
      </w:r>
    </w:p>
  </w:footnote>
  <w:footnote w:id="1664">
    <w:p w14:paraId="3CC7352F" w14:textId="77777777" w:rsidR="00074551" w:rsidRPr="003E5B1E" w:rsidRDefault="00074551" w:rsidP="00074551">
      <w:pPr>
        <w:pStyle w:val="Funotentext"/>
        <w:rPr>
          <w:lang w:val="en-US"/>
        </w:rPr>
      </w:pPr>
      <w:r>
        <w:rPr>
          <w:rStyle w:val="Funotenzeichen"/>
        </w:rPr>
        <w:footnoteRef/>
      </w:r>
      <w:r w:rsidRPr="003E5B1E">
        <w:rPr>
          <w:lang w:val="en-US"/>
        </w:rPr>
        <w:t xml:space="preserve"> </w:t>
      </w:r>
      <w:r>
        <w:rPr>
          <w:lang w:val="en-US"/>
        </w:rPr>
        <w:t>„</w:t>
      </w:r>
      <w:r w:rsidRPr="003E5B1E">
        <w:rPr>
          <w:lang w:val="en-US"/>
        </w:rPr>
        <w:t>Mass. Gen. Laws ch. 605, §</w:t>
      </w:r>
      <w:r>
        <w:rPr>
          <w:lang w:val="en-US"/>
        </w:rPr>
        <w:t>§ </w:t>
      </w:r>
      <w:r w:rsidRPr="003E5B1E">
        <w:rPr>
          <w:lang w:val="en-US"/>
        </w:rPr>
        <w:t>7, 8 (1908),</w:t>
      </w:r>
      <w:r>
        <w:rPr>
          <w:lang w:val="en-US"/>
        </w:rPr>
        <w:t xml:space="preserve"> […]</w:t>
      </w:r>
      <w:r w:rsidRPr="003E5B1E">
        <w:rPr>
          <w:lang w:val="en-US"/>
        </w:rPr>
        <w:t xml:space="preserve"> preventing it from enforcing an employee</w:t>
      </w:r>
      <w:r>
        <w:rPr>
          <w:lang w:val="en-US"/>
        </w:rPr>
        <w:t>’</w:t>
      </w:r>
      <w:r w:rsidRPr="003E5B1E">
        <w:rPr>
          <w:lang w:val="en-US"/>
        </w:rPr>
        <w:t>s assignment of wages to be earned in the future against the employer</w:t>
      </w:r>
      <w:r>
        <w:rPr>
          <w:lang w:val="en-US"/>
        </w:rPr>
        <w:t xml:space="preserve"> […] and</w:t>
      </w:r>
      <w:r w:rsidRPr="003E5B1E">
        <w:rPr>
          <w:lang w:val="en-US"/>
        </w:rPr>
        <w:t xml:space="preserve"> that Mass. Gen. Laws ch. 605, </w:t>
      </w:r>
      <w:r>
        <w:rPr>
          <w:lang w:val="en-US"/>
        </w:rPr>
        <w:t>§ </w:t>
      </w:r>
      <w:r w:rsidRPr="003E5B1E">
        <w:rPr>
          <w:lang w:val="en-US"/>
        </w:rPr>
        <w:t xml:space="preserve">6 (1908), which pertained to the exemption of certain loan </w:t>
      </w:r>
      <w:proofErr w:type="gramStart"/>
      <w:r w:rsidRPr="003E5B1E">
        <w:rPr>
          <w:lang w:val="en-US"/>
        </w:rPr>
        <w:t>companies</w:t>
      </w:r>
      <w:r>
        <w:rPr>
          <w:lang w:val="en-US"/>
        </w:rPr>
        <w:t>“</w:t>
      </w:r>
      <w:proofErr w:type="gramEnd"/>
      <w:r>
        <w:rPr>
          <w:lang w:val="en-US"/>
        </w:rPr>
        <w:t xml:space="preserve">, in </w:t>
      </w:r>
      <w:r w:rsidRPr="00A15962">
        <w:rPr>
          <w:i/>
          <w:lang w:val="en-US"/>
        </w:rPr>
        <w:t>Mutual Loan Co. v. Martell</w:t>
      </w:r>
      <w:r w:rsidRPr="003E5B1E">
        <w:rPr>
          <w:lang w:val="en-US"/>
        </w:rPr>
        <w:t>, 222 U.S. 225, 231</w:t>
      </w:r>
      <w:r>
        <w:rPr>
          <w:lang w:val="en-US"/>
        </w:rPr>
        <w:t xml:space="preserve"> = 32 S. Ct. </w:t>
      </w:r>
      <w:r w:rsidRPr="003E5B1E">
        <w:rPr>
          <w:lang w:val="en-US"/>
        </w:rPr>
        <w:t>74, 74</w:t>
      </w:r>
      <w:r>
        <w:rPr>
          <w:lang w:val="en-US"/>
        </w:rPr>
        <w:t xml:space="preserve"> = 56 L. Ed. </w:t>
      </w:r>
      <w:r w:rsidRPr="003E5B1E">
        <w:rPr>
          <w:lang w:val="en-US"/>
        </w:rPr>
        <w:t>175, 178</w:t>
      </w:r>
      <w:r>
        <w:rPr>
          <w:lang w:val="en-US"/>
        </w:rPr>
        <w:t xml:space="preserve"> = 1911 U.S. LEXIS </w:t>
      </w:r>
      <w:r w:rsidRPr="003E5B1E">
        <w:rPr>
          <w:lang w:val="en-US"/>
        </w:rPr>
        <w:t>1779, 1 (1911)</w:t>
      </w:r>
      <w:r>
        <w:rPr>
          <w:lang w:val="en-US"/>
        </w:rPr>
        <w:t>.</w:t>
      </w:r>
    </w:p>
  </w:footnote>
  <w:footnote w:id="1665">
    <w:p w14:paraId="41502C95" w14:textId="48849761" w:rsidR="00074551" w:rsidRPr="003E5B1E" w:rsidRDefault="00074551" w:rsidP="00895EFF">
      <w:pPr>
        <w:pStyle w:val="Funotentext"/>
        <w:ind w:left="227" w:hanging="227"/>
        <w:rPr>
          <w:lang w:val="en-US"/>
        </w:rPr>
      </w:pPr>
      <w:r>
        <w:rPr>
          <w:rStyle w:val="Funotenzeichen"/>
        </w:rPr>
        <w:footnoteRef/>
      </w:r>
      <w:r w:rsidRPr="003E5B1E">
        <w:rPr>
          <w:lang w:val="en-US"/>
        </w:rPr>
        <w:t xml:space="preserve"> </w:t>
      </w:r>
      <w:r w:rsidR="00895EFF" w:rsidRPr="00A15962">
        <w:rPr>
          <w:i/>
          <w:lang w:val="en-US"/>
        </w:rPr>
        <w:t>Mutual Loan Co. v. Martell</w:t>
      </w:r>
      <w:r w:rsidR="00895EFF" w:rsidRPr="00192535">
        <w:rPr>
          <w:lang w:val="en-US"/>
        </w:rPr>
        <w:t>, 222 U.S. 225, 231</w:t>
      </w:r>
      <w:r w:rsidR="00895EFF">
        <w:rPr>
          <w:lang w:val="en-US"/>
        </w:rPr>
        <w:t xml:space="preserve">–235 = 32 S. Ct. </w:t>
      </w:r>
      <w:r w:rsidR="00895EFF" w:rsidRPr="00192535">
        <w:rPr>
          <w:lang w:val="en-US"/>
        </w:rPr>
        <w:t>74, 74</w:t>
      </w:r>
      <w:r w:rsidR="00895EFF">
        <w:rPr>
          <w:lang w:val="en-US"/>
        </w:rPr>
        <w:t xml:space="preserve"> = 56 L. Ed. </w:t>
      </w:r>
      <w:r w:rsidR="00895EFF" w:rsidRPr="00192535">
        <w:rPr>
          <w:lang w:val="en-US"/>
        </w:rPr>
        <w:t>175, 178</w:t>
      </w:r>
      <w:r w:rsidR="00895EFF">
        <w:rPr>
          <w:lang w:val="en-US"/>
        </w:rPr>
        <w:t xml:space="preserve"> = 1911 U.S. LEXIS </w:t>
      </w:r>
      <w:r w:rsidR="00895EFF" w:rsidRPr="00192535">
        <w:rPr>
          <w:lang w:val="en-US"/>
        </w:rPr>
        <w:t>1779, 2 (1911)</w:t>
      </w:r>
      <w:r w:rsidR="00895EFF">
        <w:rPr>
          <w:lang w:val="en-US"/>
        </w:rPr>
        <w:t>.</w:t>
      </w:r>
    </w:p>
  </w:footnote>
  <w:footnote w:id="1666">
    <w:p w14:paraId="3BCB282C" w14:textId="77777777" w:rsidR="00074551" w:rsidRPr="00192535" w:rsidRDefault="00074551" w:rsidP="00074551">
      <w:pPr>
        <w:pStyle w:val="Funotentext"/>
        <w:ind w:left="227" w:hanging="227"/>
        <w:rPr>
          <w:lang w:val="en-US"/>
        </w:rPr>
      </w:pPr>
      <w:r>
        <w:rPr>
          <w:rStyle w:val="Funotenzeichen"/>
          <w:rFonts w:eastAsiaTheme="majorEastAsia"/>
        </w:rPr>
        <w:footnoteRef/>
      </w:r>
      <w:r w:rsidRPr="00192535">
        <w:rPr>
          <w:lang w:val="en-US"/>
        </w:rPr>
        <w:t xml:space="preserve"> </w:t>
      </w:r>
      <w:r w:rsidRPr="00B45592">
        <w:rPr>
          <w:i/>
          <w:lang w:val="en-US"/>
        </w:rPr>
        <w:t>Clark v. Kansas City</w:t>
      </w:r>
      <w:r w:rsidRPr="00192535">
        <w:rPr>
          <w:lang w:val="en-US"/>
        </w:rPr>
        <w:t xml:space="preserve">, 176 U.S. 114; </w:t>
      </w:r>
      <w:r w:rsidRPr="00B45592">
        <w:rPr>
          <w:i/>
          <w:lang w:val="en-US"/>
        </w:rPr>
        <w:t>Lowe v. Kansas</w:t>
      </w:r>
      <w:r w:rsidRPr="00192535">
        <w:rPr>
          <w:lang w:val="en-US"/>
        </w:rPr>
        <w:t xml:space="preserve">, 163 U.S. 81; </w:t>
      </w:r>
      <w:r w:rsidRPr="00B45592">
        <w:rPr>
          <w:i/>
          <w:lang w:val="en-US"/>
        </w:rPr>
        <w:t>State v. Ashbrook</w:t>
      </w:r>
      <w:r w:rsidRPr="00192535">
        <w:rPr>
          <w:lang w:val="en-US"/>
        </w:rPr>
        <w:t>, 154 Missouri, 375</w:t>
      </w:r>
      <w:r>
        <w:rPr>
          <w:lang w:val="en-US"/>
        </w:rPr>
        <w:t xml:space="preserve">; </w:t>
      </w:r>
      <w:r w:rsidRPr="00A15962">
        <w:rPr>
          <w:i/>
          <w:lang w:val="en-US"/>
        </w:rPr>
        <w:t>Mutual Loan Co. v. Martell</w:t>
      </w:r>
      <w:r w:rsidRPr="00192535">
        <w:rPr>
          <w:lang w:val="en-US"/>
        </w:rPr>
        <w:t>, 222 U.S. 225, 231</w:t>
      </w:r>
      <w:r>
        <w:rPr>
          <w:lang w:val="en-US"/>
        </w:rPr>
        <w:t xml:space="preserve"> = 32 S. Ct. </w:t>
      </w:r>
      <w:r w:rsidRPr="00192535">
        <w:rPr>
          <w:lang w:val="en-US"/>
        </w:rPr>
        <w:t>74, 74</w:t>
      </w:r>
      <w:r>
        <w:rPr>
          <w:lang w:val="en-US"/>
        </w:rPr>
        <w:t xml:space="preserve"> = 56 L. Ed. </w:t>
      </w:r>
      <w:r w:rsidRPr="00192535">
        <w:rPr>
          <w:lang w:val="en-US"/>
        </w:rPr>
        <w:t>175, 178</w:t>
      </w:r>
      <w:r>
        <w:rPr>
          <w:lang w:val="en-US"/>
        </w:rPr>
        <w:t xml:space="preserve"> = 1911 U.S. LEXIS </w:t>
      </w:r>
      <w:r w:rsidRPr="00192535">
        <w:rPr>
          <w:lang w:val="en-US"/>
        </w:rPr>
        <w:t>1779, 6 (1911)</w:t>
      </w:r>
      <w:r>
        <w:rPr>
          <w:lang w:val="en-US"/>
        </w:rPr>
        <w:t>.</w:t>
      </w:r>
    </w:p>
  </w:footnote>
  <w:footnote w:id="1667">
    <w:p w14:paraId="7BD0E3DE" w14:textId="77777777" w:rsidR="00074551" w:rsidRPr="000A52A7" w:rsidRDefault="00074551" w:rsidP="00074551">
      <w:pPr>
        <w:pStyle w:val="Funotentext"/>
        <w:rPr>
          <w:lang w:val="en-US"/>
        </w:rPr>
      </w:pPr>
      <w:r>
        <w:rPr>
          <w:rStyle w:val="Funotenzeichen"/>
          <w:rFonts w:eastAsiaTheme="majorEastAsia"/>
        </w:rPr>
        <w:footnoteRef/>
      </w:r>
      <w:r w:rsidRPr="000A52A7">
        <w:rPr>
          <w:lang w:val="en-US"/>
        </w:rPr>
        <w:t xml:space="preserve"> </w:t>
      </w:r>
      <w:r w:rsidRPr="00B45592">
        <w:rPr>
          <w:i/>
          <w:lang w:val="en-US"/>
        </w:rPr>
        <w:t>Clark v. Kansas City</w:t>
      </w:r>
      <w:r w:rsidRPr="000A52A7">
        <w:rPr>
          <w:lang w:val="en-US"/>
        </w:rPr>
        <w:t xml:space="preserve">, 176 U.S. 114; </w:t>
      </w:r>
      <w:r w:rsidRPr="00B45592">
        <w:rPr>
          <w:i/>
          <w:lang w:val="en-US"/>
        </w:rPr>
        <w:t>Lowe v. Kansas</w:t>
      </w:r>
      <w:r w:rsidRPr="000A52A7">
        <w:rPr>
          <w:lang w:val="en-US"/>
        </w:rPr>
        <w:t xml:space="preserve">, 163 U.S. 81; </w:t>
      </w:r>
      <w:r w:rsidRPr="00B45592">
        <w:rPr>
          <w:i/>
          <w:lang w:val="en-US"/>
        </w:rPr>
        <w:t>State v. Ashbrook</w:t>
      </w:r>
      <w:r w:rsidRPr="000A52A7">
        <w:rPr>
          <w:lang w:val="en-US"/>
        </w:rPr>
        <w:t>, 154 Missouri, 375</w:t>
      </w:r>
      <w:r>
        <w:rPr>
          <w:lang w:val="en-US"/>
        </w:rPr>
        <w:t xml:space="preserve">; </w:t>
      </w:r>
      <w:r w:rsidRPr="00A15962">
        <w:rPr>
          <w:i/>
          <w:lang w:val="en-US"/>
        </w:rPr>
        <w:t>Mutual Loan Co. v. Martell</w:t>
      </w:r>
      <w:r w:rsidRPr="000A52A7">
        <w:rPr>
          <w:lang w:val="en-US"/>
        </w:rPr>
        <w:t>, 222 U.S. 225, 231</w:t>
      </w:r>
      <w:r>
        <w:rPr>
          <w:lang w:val="en-US"/>
        </w:rPr>
        <w:t xml:space="preserve"> = 32 S. Ct. </w:t>
      </w:r>
      <w:r w:rsidRPr="000A52A7">
        <w:rPr>
          <w:lang w:val="en-US"/>
        </w:rPr>
        <w:t>74, 74</w:t>
      </w:r>
      <w:r>
        <w:rPr>
          <w:lang w:val="en-US"/>
        </w:rPr>
        <w:t xml:space="preserve"> = 56 L. Ed. </w:t>
      </w:r>
      <w:r w:rsidRPr="000A52A7">
        <w:rPr>
          <w:lang w:val="en-US"/>
        </w:rPr>
        <w:t>175, 178</w:t>
      </w:r>
      <w:r>
        <w:rPr>
          <w:lang w:val="en-US"/>
        </w:rPr>
        <w:t xml:space="preserve"> = 1911 U.S. LEXIS </w:t>
      </w:r>
      <w:r w:rsidRPr="000A52A7">
        <w:rPr>
          <w:lang w:val="en-US"/>
        </w:rPr>
        <w:t>1779, 6 (1911)</w:t>
      </w:r>
      <w:r>
        <w:rPr>
          <w:lang w:val="en-US"/>
        </w:rPr>
        <w:t>.</w:t>
      </w:r>
    </w:p>
  </w:footnote>
  <w:footnote w:id="1668">
    <w:p w14:paraId="2DEDDEE7" w14:textId="1A9A17B8" w:rsidR="00895EFF" w:rsidRDefault="00895EFF">
      <w:pPr>
        <w:pStyle w:val="Funotentext"/>
      </w:pPr>
      <w:r>
        <w:rPr>
          <w:rStyle w:val="Funotenzeichen"/>
        </w:rPr>
        <w:footnoteRef/>
      </w:r>
      <w:r>
        <w:t xml:space="preserve"> </w:t>
      </w:r>
      <w:r w:rsidRPr="00895EFF">
        <w:t xml:space="preserve">Das Urteil trennt: §§ 7 und 8 enthalten die Beschränkungen für die Abtretung künftiger Löhne; § 6 enthält dagegen den Befreiungstatbestand für bestimmte Banken, Bankinstitute und Kreditgesellschaften. Der </w:t>
      </w:r>
      <w:r>
        <w:t xml:space="preserve">U.S. Supreme </w:t>
      </w:r>
      <w:r w:rsidRPr="00895EFF">
        <w:t xml:space="preserve">Court formuliert, dass der </w:t>
      </w:r>
      <w:r w:rsidRPr="00895EFF">
        <w:rPr>
          <w:i/>
          <w:iCs/>
        </w:rPr>
        <w:t>Due-</w:t>
      </w:r>
      <w:proofErr w:type="spellStart"/>
      <w:r w:rsidRPr="00895EFF">
        <w:rPr>
          <w:i/>
          <w:iCs/>
        </w:rPr>
        <w:t>Process</w:t>
      </w:r>
      <w:proofErr w:type="spellEnd"/>
      <w:r w:rsidRPr="00895EFF">
        <w:t xml:space="preserve">-Angriff §§ 7 und 8 betrifft, während sich der </w:t>
      </w:r>
      <w:proofErr w:type="spellStart"/>
      <w:r w:rsidRPr="00031F61">
        <w:rPr>
          <w:i/>
          <w:iCs/>
        </w:rPr>
        <w:t>Equal</w:t>
      </w:r>
      <w:proofErr w:type="spellEnd"/>
      <w:r w:rsidRPr="00031F61">
        <w:rPr>
          <w:i/>
          <w:iCs/>
        </w:rPr>
        <w:t>-</w:t>
      </w:r>
      <w:proofErr w:type="spellStart"/>
      <w:r w:rsidRPr="00031F61">
        <w:rPr>
          <w:i/>
          <w:iCs/>
        </w:rPr>
        <w:t>Protection</w:t>
      </w:r>
      <w:proofErr w:type="spellEnd"/>
      <w:r w:rsidRPr="00895EFF">
        <w:t>-Angriff gegen § 6 richtet.</w:t>
      </w:r>
    </w:p>
  </w:footnote>
  <w:footnote w:id="1669">
    <w:p w14:paraId="17C2AB38" w14:textId="77777777" w:rsidR="00074551" w:rsidRPr="00192535" w:rsidRDefault="00074551" w:rsidP="00074551">
      <w:pPr>
        <w:pStyle w:val="Funotentext"/>
        <w:ind w:left="227" w:hanging="227"/>
        <w:rPr>
          <w:lang w:val="en-US"/>
        </w:rPr>
      </w:pPr>
      <w:r>
        <w:rPr>
          <w:rStyle w:val="Funotenzeichen"/>
          <w:rFonts w:eastAsiaTheme="majorEastAsia"/>
        </w:rPr>
        <w:footnoteRef/>
      </w:r>
      <w:r w:rsidRPr="00192535">
        <w:rPr>
          <w:lang w:val="en-US"/>
        </w:rPr>
        <w:t xml:space="preserve"> </w:t>
      </w:r>
      <w:r w:rsidRPr="00A15962">
        <w:rPr>
          <w:i/>
          <w:lang w:val="en-US"/>
        </w:rPr>
        <w:t>Mutual Loan Co. v. Martell</w:t>
      </w:r>
      <w:r w:rsidRPr="00192535">
        <w:rPr>
          <w:lang w:val="en-US"/>
        </w:rPr>
        <w:t>, 222 U.S. 225, 231</w:t>
      </w:r>
      <w:r>
        <w:rPr>
          <w:lang w:val="en-US"/>
        </w:rPr>
        <w:t xml:space="preserve"> = 32 S. Ct. </w:t>
      </w:r>
      <w:r w:rsidRPr="00192535">
        <w:rPr>
          <w:lang w:val="en-US"/>
        </w:rPr>
        <w:t>74, 74</w:t>
      </w:r>
      <w:r>
        <w:rPr>
          <w:lang w:val="en-US"/>
        </w:rPr>
        <w:t xml:space="preserve"> = 56 L. Ed. </w:t>
      </w:r>
      <w:r w:rsidRPr="00192535">
        <w:rPr>
          <w:lang w:val="en-US"/>
        </w:rPr>
        <w:t>175, 178</w:t>
      </w:r>
      <w:r>
        <w:rPr>
          <w:lang w:val="en-US"/>
        </w:rPr>
        <w:t xml:space="preserve"> = 1911 U.S. LEXIS </w:t>
      </w:r>
      <w:r w:rsidRPr="00192535">
        <w:rPr>
          <w:lang w:val="en-US"/>
        </w:rPr>
        <w:t>1779, 2 (1911)</w:t>
      </w:r>
      <w:r>
        <w:rPr>
          <w:lang w:val="en-US"/>
        </w:rPr>
        <w:t>.</w:t>
      </w:r>
    </w:p>
  </w:footnote>
  <w:footnote w:id="1670">
    <w:p w14:paraId="222F48A8" w14:textId="77777777" w:rsidR="00074551" w:rsidRPr="009A66E8" w:rsidRDefault="00074551" w:rsidP="00074551">
      <w:pPr>
        <w:pStyle w:val="Funotentext"/>
        <w:rPr>
          <w:lang w:val="en-US"/>
        </w:rPr>
      </w:pPr>
      <w:r>
        <w:rPr>
          <w:rStyle w:val="Funotenzeichen"/>
          <w:rFonts w:eastAsiaTheme="majorEastAsia"/>
        </w:rPr>
        <w:footnoteRef/>
      </w:r>
      <w:r w:rsidRPr="009A66E8">
        <w:rPr>
          <w:lang w:val="en-US"/>
        </w:rPr>
        <w:t xml:space="preserve"> </w:t>
      </w:r>
      <w:r w:rsidRPr="00A15962">
        <w:rPr>
          <w:i/>
          <w:lang w:val="en-US"/>
        </w:rPr>
        <w:t>Mutual Loan Co. v. Martell</w:t>
      </w:r>
      <w:r w:rsidRPr="009A66E8">
        <w:rPr>
          <w:lang w:val="en-US"/>
        </w:rPr>
        <w:t>, 222 U.S. 225, 235</w:t>
      </w:r>
      <w:r>
        <w:rPr>
          <w:lang w:val="en-US"/>
        </w:rPr>
        <w:t xml:space="preserve"> = 32 S. Ct. </w:t>
      </w:r>
      <w:r w:rsidRPr="009A66E8">
        <w:rPr>
          <w:lang w:val="en-US"/>
        </w:rPr>
        <w:t>74, 76</w:t>
      </w:r>
      <w:r>
        <w:rPr>
          <w:lang w:val="en-US"/>
        </w:rPr>
        <w:t xml:space="preserve"> = 56 L. Ed. </w:t>
      </w:r>
      <w:r w:rsidRPr="009A66E8">
        <w:rPr>
          <w:lang w:val="en-US"/>
        </w:rPr>
        <w:t>175, 180</w:t>
      </w:r>
      <w:r>
        <w:rPr>
          <w:lang w:val="en-US"/>
        </w:rPr>
        <w:t xml:space="preserve"> = 1911 U.S. LEXIS </w:t>
      </w:r>
      <w:r w:rsidRPr="009A66E8">
        <w:rPr>
          <w:lang w:val="en-US"/>
        </w:rPr>
        <w:t>1779, 18 (1911)</w:t>
      </w:r>
      <w:r>
        <w:rPr>
          <w:lang w:val="en-US"/>
        </w:rPr>
        <w:t>.</w:t>
      </w:r>
    </w:p>
  </w:footnote>
  <w:footnote w:id="1671">
    <w:p w14:paraId="0B03092F" w14:textId="77777777" w:rsidR="00074551" w:rsidRPr="009A66E8" w:rsidRDefault="00074551" w:rsidP="00074551">
      <w:pPr>
        <w:pStyle w:val="Funotentext"/>
        <w:rPr>
          <w:lang w:val="en-US"/>
        </w:rPr>
      </w:pPr>
      <w:r>
        <w:rPr>
          <w:rStyle w:val="Funotenzeichen"/>
          <w:rFonts w:eastAsiaTheme="majorEastAsia"/>
        </w:rPr>
        <w:footnoteRef/>
      </w:r>
      <w:r w:rsidRPr="009A66E8">
        <w:rPr>
          <w:lang w:val="en-US"/>
        </w:rPr>
        <w:t xml:space="preserve"> </w:t>
      </w:r>
      <w:r w:rsidRPr="00B45592">
        <w:rPr>
          <w:i/>
          <w:lang w:val="en-US"/>
        </w:rPr>
        <w:t>State v. Wickenhoefer</w:t>
      </w:r>
      <w:r w:rsidRPr="009A66E8">
        <w:rPr>
          <w:lang w:val="en-US"/>
        </w:rPr>
        <w:t xml:space="preserve">, 64 Atl. Rep. 273, </w:t>
      </w:r>
      <w:proofErr w:type="spellStart"/>
      <w:r>
        <w:rPr>
          <w:lang w:val="en-US"/>
        </w:rPr>
        <w:t>eine</w:t>
      </w:r>
      <w:proofErr w:type="spellEnd"/>
      <w:r>
        <w:rPr>
          <w:lang w:val="en-US"/>
        </w:rPr>
        <w:t xml:space="preserve"> </w:t>
      </w:r>
      <w:proofErr w:type="spellStart"/>
      <w:r>
        <w:rPr>
          <w:lang w:val="en-US"/>
        </w:rPr>
        <w:t>Entscheidung</w:t>
      </w:r>
      <w:proofErr w:type="spellEnd"/>
      <w:r>
        <w:rPr>
          <w:lang w:val="en-US"/>
        </w:rPr>
        <w:t xml:space="preserve"> des</w:t>
      </w:r>
      <w:r w:rsidRPr="009A66E8">
        <w:rPr>
          <w:lang w:val="en-US"/>
        </w:rPr>
        <w:t xml:space="preserve"> </w:t>
      </w:r>
      <w:r w:rsidRPr="00B45592">
        <w:rPr>
          <w:i/>
          <w:lang w:val="en-US"/>
        </w:rPr>
        <w:t>Supreme Court of Delaware</w:t>
      </w:r>
      <w:r w:rsidRPr="009A66E8">
        <w:rPr>
          <w:lang w:val="en-US"/>
        </w:rPr>
        <w:t xml:space="preserve">. </w:t>
      </w:r>
      <w:r w:rsidRPr="00B45592">
        <w:rPr>
          <w:i/>
          <w:lang w:val="en-US"/>
        </w:rPr>
        <w:t>Engel v. O’Malley</w:t>
      </w:r>
      <w:r w:rsidRPr="009A66E8">
        <w:rPr>
          <w:lang w:val="en-US"/>
        </w:rPr>
        <w:t>, 219 U.S. 128</w:t>
      </w:r>
      <w:r>
        <w:rPr>
          <w:lang w:val="en-US"/>
        </w:rPr>
        <w:t xml:space="preserve">; </w:t>
      </w:r>
      <w:r w:rsidRPr="00A15962">
        <w:rPr>
          <w:i/>
          <w:lang w:val="en-US"/>
        </w:rPr>
        <w:t>Mutual Loan Co. v. Martell</w:t>
      </w:r>
      <w:r w:rsidRPr="009A66E8">
        <w:rPr>
          <w:lang w:val="en-US"/>
        </w:rPr>
        <w:t>, 222 U.S. 225, 236</w:t>
      </w:r>
      <w:r>
        <w:rPr>
          <w:lang w:val="en-US"/>
        </w:rPr>
        <w:t xml:space="preserve"> = 32 S. Ct. </w:t>
      </w:r>
      <w:r w:rsidRPr="009A66E8">
        <w:rPr>
          <w:lang w:val="en-US"/>
        </w:rPr>
        <w:t>74, 76</w:t>
      </w:r>
      <w:r>
        <w:rPr>
          <w:lang w:val="en-US"/>
        </w:rPr>
        <w:t xml:space="preserve"> = 56 L. Ed. </w:t>
      </w:r>
      <w:r w:rsidRPr="009A66E8">
        <w:rPr>
          <w:lang w:val="en-US"/>
        </w:rPr>
        <w:t>175, 180</w:t>
      </w:r>
      <w:r>
        <w:rPr>
          <w:lang w:val="en-US"/>
        </w:rPr>
        <w:t xml:space="preserve"> = 1911 U.S. LEXIS </w:t>
      </w:r>
      <w:r w:rsidRPr="009A66E8">
        <w:rPr>
          <w:lang w:val="en-US"/>
        </w:rPr>
        <w:t>1779, 18 (1911)</w:t>
      </w:r>
      <w:r>
        <w:rPr>
          <w:lang w:val="en-US"/>
        </w:rPr>
        <w:t>.</w:t>
      </w:r>
    </w:p>
  </w:footnote>
  <w:footnote w:id="1672">
    <w:p w14:paraId="0E8413BD" w14:textId="77777777" w:rsidR="00074551" w:rsidRPr="009A66E8" w:rsidRDefault="00074551" w:rsidP="00074551">
      <w:pPr>
        <w:pStyle w:val="Funotentext"/>
        <w:rPr>
          <w:lang w:val="en-US"/>
        </w:rPr>
      </w:pPr>
      <w:r>
        <w:rPr>
          <w:rStyle w:val="Funotenzeichen"/>
          <w:rFonts w:eastAsiaTheme="majorEastAsia"/>
        </w:rPr>
        <w:footnoteRef/>
      </w:r>
      <w:r w:rsidRPr="009A66E8">
        <w:rPr>
          <w:lang w:val="en-US"/>
        </w:rPr>
        <w:t xml:space="preserve"> </w:t>
      </w:r>
      <w:r w:rsidRPr="00B45592">
        <w:rPr>
          <w:i/>
          <w:lang w:val="en-US"/>
        </w:rPr>
        <w:t>Ozan Lumber Co. v. Union Bank</w:t>
      </w:r>
      <w:r w:rsidRPr="009A66E8">
        <w:rPr>
          <w:lang w:val="en-US"/>
        </w:rPr>
        <w:t xml:space="preserve">, 207 U.S. 251; </w:t>
      </w:r>
      <w:r w:rsidRPr="00B45592">
        <w:rPr>
          <w:i/>
          <w:lang w:val="en-US"/>
        </w:rPr>
        <w:t>Heath &amp; Milligan Co. v. Worst</w:t>
      </w:r>
      <w:r w:rsidRPr="009A66E8">
        <w:rPr>
          <w:lang w:val="en-US"/>
        </w:rPr>
        <w:t xml:space="preserve">, </w:t>
      </w:r>
      <w:r>
        <w:rPr>
          <w:lang w:val="en-US"/>
        </w:rPr>
        <w:t>i</w:t>
      </w:r>
      <w:r w:rsidRPr="009A66E8">
        <w:rPr>
          <w:lang w:val="en-US"/>
        </w:rPr>
        <w:t>d. 338</w:t>
      </w:r>
      <w:r>
        <w:rPr>
          <w:lang w:val="en-US"/>
        </w:rPr>
        <w:t xml:space="preserve">; </w:t>
      </w:r>
      <w:r w:rsidRPr="00A15962">
        <w:rPr>
          <w:i/>
          <w:lang w:val="en-US"/>
        </w:rPr>
        <w:t>Mutual Loan Co. v. Martell</w:t>
      </w:r>
      <w:r w:rsidRPr="009A66E8">
        <w:rPr>
          <w:lang w:val="en-US"/>
        </w:rPr>
        <w:t>, 222 U.S. 225, 236</w:t>
      </w:r>
      <w:r>
        <w:rPr>
          <w:lang w:val="en-US"/>
        </w:rPr>
        <w:t xml:space="preserve"> = 32 S. Ct. </w:t>
      </w:r>
      <w:r w:rsidRPr="009A66E8">
        <w:rPr>
          <w:lang w:val="en-US"/>
        </w:rPr>
        <w:t>74, 76</w:t>
      </w:r>
      <w:r>
        <w:rPr>
          <w:lang w:val="en-US"/>
        </w:rPr>
        <w:t xml:space="preserve"> = 56 L. Ed. </w:t>
      </w:r>
      <w:r w:rsidRPr="009A66E8">
        <w:rPr>
          <w:lang w:val="en-US"/>
        </w:rPr>
        <w:t>175, 180</w:t>
      </w:r>
      <w:r>
        <w:rPr>
          <w:lang w:val="en-US"/>
        </w:rPr>
        <w:t xml:space="preserve"> = 1911 U.S. LEXIS </w:t>
      </w:r>
      <w:r w:rsidRPr="009A66E8">
        <w:rPr>
          <w:lang w:val="en-US"/>
        </w:rPr>
        <w:t>1779, 18</w:t>
      </w:r>
      <w:r>
        <w:rPr>
          <w:lang w:val="en-US"/>
        </w:rPr>
        <w:t>–</w:t>
      </w:r>
      <w:r w:rsidRPr="009A66E8">
        <w:rPr>
          <w:lang w:val="en-US"/>
        </w:rPr>
        <w:t>19 (1911).</w:t>
      </w:r>
    </w:p>
  </w:footnote>
  <w:footnote w:id="1673">
    <w:p w14:paraId="7BF5EDF5" w14:textId="77777777" w:rsidR="00074551" w:rsidRPr="003B7171" w:rsidRDefault="00074551" w:rsidP="00074551">
      <w:pPr>
        <w:pStyle w:val="Funotentext"/>
        <w:rPr>
          <w:lang w:val="en-US"/>
        </w:rPr>
      </w:pPr>
      <w:r>
        <w:rPr>
          <w:rStyle w:val="Funotenzeichen"/>
        </w:rPr>
        <w:footnoteRef/>
      </w:r>
      <w:r w:rsidRPr="003B7171">
        <w:rPr>
          <w:lang w:val="en-US"/>
        </w:rPr>
        <w:t xml:space="preserve"> </w:t>
      </w:r>
      <w:r w:rsidRPr="00A15962">
        <w:rPr>
          <w:i/>
          <w:lang w:val="en-US"/>
        </w:rPr>
        <w:t>Neal v. Del.</w:t>
      </w:r>
      <w:r w:rsidRPr="003B7171">
        <w:rPr>
          <w:lang w:val="en-US"/>
        </w:rPr>
        <w:t>, 103 U.S. 370, 397</w:t>
      </w:r>
      <w:r w:rsidRPr="00EC5BEB">
        <w:rPr>
          <w:lang w:val="en-US"/>
        </w:rPr>
        <w:t xml:space="preserve"> = 26 L. Ed. </w:t>
      </w:r>
      <w:r w:rsidRPr="003B7171">
        <w:rPr>
          <w:lang w:val="en-US"/>
        </w:rPr>
        <w:t>567, 574</w:t>
      </w:r>
      <w:r>
        <w:rPr>
          <w:lang w:val="en-US"/>
        </w:rPr>
        <w:t xml:space="preserve"> = 1880 U.S. LEXIS </w:t>
      </w:r>
      <w:r w:rsidRPr="003B7171">
        <w:rPr>
          <w:lang w:val="en-US"/>
        </w:rPr>
        <w:t>2129, 56</w:t>
      </w:r>
      <w:r>
        <w:rPr>
          <w:lang w:val="en-US"/>
        </w:rPr>
        <w:t xml:space="preserve"> = 13 Otto </w:t>
      </w:r>
      <w:r w:rsidRPr="003B7171">
        <w:rPr>
          <w:lang w:val="en-US"/>
        </w:rPr>
        <w:t>370 (1881)</w:t>
      </w:r>
      <w:r>
        <w:rPr>
          <w:lang w:val="en-US"/>
        </w:rPr>
        <w:t>.</w:t>
      </w:r>
    </w:p>
  </w:footnote>
  <w:footnote w:id="1674">
    <w:p w14:paraId="24B6C7F7" w14:textId="77777777" w:rsidR="00074551" w:rsidRPr="007846F5" w:rsidRDefault="00074551" w:rsidP="00074551">
      <w:pPr>
        <w:pStyle w:val="Funotentext"/>
        <w:rPr>
          <w:lang w:val="en-US"/>
        </w:rPr>
      </w:pPr>
      <w:r>
        <w:rPr>
          <w:rStyle w:val="Funotenzeichen"/>
          <w:rFonts w:eastAsiaTheme="majorEastAsia"/>
        </w:rPr>
        <w:footnoteRef/>
      </w:r>
      <w:r w:rsidRPr="007846F5">
        <w:rPr>
          <w:lang w:val="en-US"/>
        </w:rPr>
        <w:t xml:space="preserve"> </w:t>
      </w:r>
      <w:r w:rsidRPr="00A15962">
        <w:rPr>
          <w:i/>
          <w:lang w:val="en-US"/>
        </w:rPr>
        <w:t>Neal v. Del.</w:t>
      </w:r>
      <w:r w:rsidRPr="007846F5">
        <w:rPr>
          <w:lang w:val="en-US"/>
        </w:rPr>
        <w:t>, 103 U.S. 370, 385</w:t>
      </w:r>
      <w:r w:rsidRPr="00EC5BEB">
        <w:rPr>
          <w:lang w:val="en-US"/>
        </w:rPr>
        <w:t xml:space="preserve"> = 26 L. Ed. </w:t>
      </w:r>
      <w:r w:rsidRPr="007846F5">
        <w:rPr>
          <w:lang w:val="en-US"/>
        </w:rPr>
        <w:t>567, 569</w:t>
      </w:r>
      <w:r>
        <w:rPr>
          <w:lang w:val="en-US"/>
        </w:rPr>
        <w:t xml:space="preserve"> = 1880 U.S. LEXIS </w:t>
      </w:r>
      <w:r w:rsidRPr="007846F5">
        <w:rPr>
          <w:lang w:val="en-US"/>
        </w:rPr>
        <w:t>2129, 1</w:t>
      </w:r>
      <w:r>
        <w:rPr>
          <w:lang w:val="en-US"/>
        </w:rPr>
        <w:t xml:space="preserve"> = 13 Otto </w:t>
      </w:r>
      <w:r w:rsidRPr="007846F5">
        <w:rPr>
          <w:lang w:val="en-US"/>
        </w:rPr>
        <w:t>370 (1881</w:t>
      </w:r>
      <w:r>
        <w:rPr>
          <w:lang w:val="en-US"/>
        </w:rPr>
        <w:t>.</w:t>
      </w:r>
    </w:p>
  </w:footnote>
  <w:footnote w:id="1675">
    <w:p w14:paraId="1322213B" w14:textId="77777777" w:rsidR="00074551" w:rsidRPr="008B52E5" w:rsidRDefault="00074551" w:rsidP="00074551">
      <w:pPr>
        <w:pStyle w:val="Funotentext"/>
        <w:rPr>
          <w:lang w:val="en-US"/>
        </w:rPr>
      </w:pPr>
      <w:r>
        <w:rPr>
          <w:rStyle w:val="Funotenzeichen"/>
          <w:rFonts w:eastAsiaTheme="majorEastAsia"/>
        </w:rPr>
        <w:footnoteRef/>
      </w:r>
      <w:r w:rsidRPr="008B52E5">
        <w:rPr>
          <w:lang w:val="en-US"/>
        </w:rPr>
        <w:t xml:space="preserve"> </w:t>
      </w:r>
      <w:r w:rsidRPr="00A15962">
        <w:rPr>
          <w:i/>
          <w:lang w:val="en-US"/>
        </w:rPr>
        <w:t>Neal v. Del.</w:t>
      </w:r>
      <w:r w:rsidRPr="008B52E5">
        <w:rPr>
          <w:lang w:val="en-US"/>
        </w:rPr>
        <w:t>, 103 U.S. 370, 408</w:t>
      </w:r>
      <w:r w:rsidRPr="00EC5BEB">
        <w:rPr>
          <w:lang w:val="en-US"/>
        </w:rPr>
        <w:t xml:space="preserve"> = 26 L. Ed. </w:t>
      </w:r>
      <w:r w:rsidRPr="008B52E5">
        <w:rPr>
          <w:lang w:val="en-US"/>
        </w:rPr>
        <w:t>567, 578</w:t>
      </w:r>
      <w:r>
        <w:rPr>
          <w:lang w:val="en-US"/>
        </w:rPr>
        <w:t xml:space="preserve"> = 1880 U.S. LEXIS </w:t>
      </w:r>
      <w:r w:rsidRPr="008B52E5">
        <w:rPr>
          <w:lang w:val="en-US"/>
        </w:rPr>
        <w:t>2129, 78</w:t>
      </w:r>
      <w:r>
        <w:rPr>
          <w:lang w:val="en-US"/>
        </w:rPr>
        <w:t xml:space="preserve"> = 13 Otto </w:t>
      </w:r>
      <w:r w:rsidRPr="008B52E5">
        <w:rPr>
          <w:lang w:val="en-US"/>
        </w:rPr>
        <w:t>370 (1881)</w:t>
      </w:r>
      <w:r>
        <w:rPr>
          <w:lang w:val="en-US"/>
        </w:rPr>
        <w:t>.</w:t>
      </w:r>
    </w:p>
  </w:footnote>
  <w:footnote w:id="1676">
    <w:p w14:paraId="1F618763" w14:textId="77777777" w:rsidR="00074551" w:rsidRPr="00A93AB4" w:rsidRDefault="00074551" w:rsidP="00074551">
      <w:pPr>
        <w:pStyle w:val="Funotentext"/>
        <w:rPr>
          <w:lang w:val="en-US"/>
        </w:rPr>
      </w:pPr>
      <w:r>
        <w:rPr>
          <w:rStyle w:val="Funotenzeichen"/>
          <w:rFonts w:eastAsiaTheme="majorEastAsia"/>
        </w:rPr>
        <w:footnoteRef/>
      </w:r>
      <w:r w:rsidRPr="00A93AB4">
        <w:rPr>
          <w:lang w:val="en-US"/>
        </w:rPr>
        <w:t xml:space="preserve"> </w:t>
      </w:r>
      <w:r w:rsidRPr="009167A5">
        <w:rPr>
          <w:i/>
          <w:lang w:val="en-US"/>
        </w:rPr>
        <w:t>Obergefell v. Hodges</w:t>
      </w:r>
      <w:r w:rsidRPr="00A93AB4">
        <w:rPr>
          <w:lang w:val="en-US"/>
        </w:rPr>
        <w:t>, 576 U.S. 644, 644</w:t>
      </w:r>
      <w:r w:rsidRPr="006E67FE">
        <w:rPr>
          <w:lang w:val="en-US"/>
        </w:rPr>
        <w:t xml:space="preserve"> = 135 S. Ct. </w:t>
      </w:r>
      <w:r w:rsidRPr="00A93AB4">
        <w:rPr>
          <w:lang w:val="en-US"/>
        </w:rPr>
        <w:t>2584, 2588</w:t>
      </w:r>
      <w:r w:rsidRPr="006E67FE">
        <w:rPr>
          <w:lang w:val="en-US"/>
        </w:rPr>
        <w:t xml:space="preserve"> = 192 L. Ed. </w:t>
      </w:r>
      <w:r w:rsidRPr="00A93AB4">
        <w:rPr>
          <w:lang w:val="en-US"/>
        </w:rPr>
        <w:t>2d 609, 609</w:t>
      </w:r>
      <w:r w:rsidRPr="006E67FE">
        <w:rPr>
          <w:lang w:val="en-US"/>
        </w:rPr>
        <w:t xml:space="preserve"> = 2015 U.S. LEXIS </w:t>
      </w:r>
      <w:r w:rsidRPr="00A93AB4">
        <w:rPr>
          <w:lang w:val="en-US"/>
        </w:rPr>
        <w:t>4250, 1</w:t>
      </w:r>
      <w:r w:rsidRPr="006E67FE">
        <w:rPr>
          <w:lang w:val="en-US"/>
        </w:rPr>
        <w:t xml:space="preserve"> = 83 U.S.L.W. </w:t>
      </w:r>
      <w:r w:rsidRPr="00A93AB4">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A93AB4">
        <w:rPr>
          <w:lang w:val="en-US"/>
        </w:rPr>
        <w:t>Dec. (CCH) P45,341</w:t>
      </w:r>
      <w:r w:rsidRPr="006E67FE">
        <w:rPr>
          <w:lang w:val="en-US"/>
        </w:rPr>
        <w:t xml:space="preserve"> = 115 A.F.T.R. 2d </w:t>
      </w:r>
      <w:r w:rsidRPr="00A93AB4">
        <w:rPr>
          <w:lang w:val="en-US"/>
        </w:rPr>
        <w:t>(RIA) 2015-2309</w:t>
      </w:r>
      <w:r w:rsidRPr="006E67FE">
        <w:rPr>
          <w:lang w:val="en-US"/>
        </w:rPr>
        <w:t xml:space="preserve"> = 25 Fla. L. Weekly Fed. </w:t>
      </w:r>
      <w:r w:rsidRPr="00A93AB4">
        <w:rPr>
          <w:lang w:val="en-US"/>
        </w:rPr>
        <w:t>S 472 (2015)</w:t>
      </w:r>
      <w:r>
        <w:rPr>
          <w:lang w:val="en-US"/>
        </w:rPr>
        <w:t>.</w:t>
      </w:r>
    </w:p>
  </w:footnote>
  <w:footnote w:id="1677">
    <w:p w14:paraId="7B93A838" w14:textId="77777777" w:rsidR="00074551" w:rsidRPr="004F23FD" w:rsidRDefault="00074551" w:rsidP="00074551">
      <w:pPr>
        <w:pStyle w:val="Funotentext"/>
      </w:pPr>
      <w:r>
        <w:rPr>
          <w:rStyle w:val="Funotenzeichen"/>
          <w:rFonts w:eastAsiaTheme="majorEastAsia"/>
        </w:rPr>
        <w:footnoteRef/>
      </w:r>
      <w:r w:rsidRPr="004F23FD">
        <w:rPr>
          <w:lang w:val="en-US"/>
        </w:rPr>
        <w:t xml:space="preserve"> </w:t>
      </w:r>
      <w:r w:rsidRPr="009167A5">
        <w:rPr>
          <w:i/>
          <w:lang w:val="en-US"/>
        </w:rPr>
        <w:t>Obergefell v. Hodges</w:t>
      </w:r>
      <w:r w:rsidRPr="004F23FD">
        <w:rPr>
          <w:lang w:val="en-US"/>
        </w:rPr>
        <w:t>, 576 U.S. 644, 673</w:t>
      </w:r>
      <w:r w:rsidRPr="006E67FE">
        <w:rPr>
          <w:lang w:val="en-US"/>
        </w:rPr>
        <w:t xml:space="preserve"> = 135 S. Ct. </w:t>
      </w:r>
      <w:r w:rsidRPr="004F23FD">
        <w:rPr>
          <w:lang w:val="en-US"/>
        </w:rPr>
        <w:t>2584, 2603</w:t>
      </w:r>
      <w:r w:rsidRPr="006E67FE">
        <w:rPr>
          <w:lang w:val="en-US"/>
        </w:rPr>
        <w:t xml:space="preserve"> = 192 L. Ed. </w:t>
      </w:r>
      <w:r w:rsidRPr="004F23FD">
        <w:rPr>
          <w:lang w:val="en-US"/>
        </w:rPr>
        <w:t>2d 609, 630</w:t>
      </w:r>
      <w:r w:rsidRPr="006E67FE">
        <w:rPr>
          <w:lang w:val="en-US"/>
        </w:rPr>
        <w:t xml:space="preserve"> = 2015 U.S. LEXIS </w:t>
      </w:r>
      <w:r w:rsidRPr="004F23FD">
        <w:rPr>
          <w:lang w:val="en-US"/>
        </w:rPr>
        <w:t>4250, 40</w:t>
      </w:r>
      <w:r w:rsidRPr="006E67FE">
        <w:rPr>
          <w:lang w:val="en-US"/>
        </w:rPr>
        <w:t xml:space="preserve"> = 83 U.S.L.W. </w:t>
      </w:r>
      <w:r w:rsidRPr="004F23FD">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4F23FD">
        <w:rPr>
          <w:lang w:val="en-US"/>
        </w:rPr>
        <w:t>Dec. (CCH) P45,341</w:t>
      </w:r>
      <w:r w:rsidRPr="006E67FE">
        <w:rPr>
          <w:lang w:val="en-US"/>
        </w:rPr>
        <w:t xml:space="preserve"> = 115 A.F.T.R. 2d </w:t>
      </w:r>
      <w:r w:rsidRPr="004F23FD">
        <w:rPr>
          <w:lang w:val="en-US"/>
        </w:rPr>
        <w:t>(RIA) 2015-2309</w:t>
      </w:r>
      <w:r w:rsidRPr="006E67FE">
        <w:rPr>
          <w:lang w:val="en-US"/>
        </w:rPr>
        <w:t xml:space="preserve"> = 25 Fla. L. Weekly Fed. </w:t>
      </w:r>
      <w:r w:rsidRPr="004F23FD">
        <w:t>S 472 (2015)</w:t>
      </w:r>
      <w:r>
        <w:t>, dazu auch: A</w:t>
      </w:r>
      <w:r w:rsidRPr="004F23FD">
        <w:t xml:space="preserve">ls Reaktion auf eine neue Erkenntnis berief sich der </w:t>
      </w:r>
      <w:r>
        <w:t>U.S. Supreme Court</w:t>
      </w:r>
      <w:r w:rsidRPr="004F23FD">
        <w:t xml:space="preserve"> auf </w:t>
      </w:r>
      <w:r>
        <w:t xml:space="preserve">den </w:t>
      </w:r>
      <w:r w:rsidRPr="004F23FD">
        <w:t xml:space="preserve">gleichen Schutz, um Gesetze </w:t>
      </w:r>
      <w:r>
        <w:t>für verfassungswidrig zu erklären</w:t>
      </w:r>
      <w:r w:rsidRPr="004F23FD">
        <w:t xml:space="preserve">, die eine geschlechtsspezifische Ungleichbehandlung der Ehe </w:t>
      </w:r>
      <w:r>
        <w:t xml:space="preserve">geregelt hatten, vgl. dazu in z.B. </w:t>
      </w:r>
      <w:r w:rsidRPr="00B45592">
        <w:rPr>
          <w:i/>
        </w:rPr>
        <w:t>Kirchberg v. Feenstra</w:t>
      </w:r>
      <w:r>
        <w:t>, 450 U.S. 455 = 101 S. Ct. 1195</w:t>
      </w:r>
      <w:r w:rsidRPr="00EC5BEB">
        <w:t xml:space="preserve"> = 67 L. Ed. </w:t>
      </w:r>
      <w:r>
        <w:t xml:space="preserve">2d 428 (1981); </w:t>
      </w:r>
      <w:r w:rsidRPr="00B45592">
        <w:rPr>
          <w:i/>
        </w:rPr>
        <w:t xml:space="preserve">Wengler v. </w:t>
      </w:r>
      <w:proofErr w:type="spellStart"/>
      <w:r w:rsidRPr="00B45592">
        <w:rPr>
          <w:i/>
        </w:rPr>
        <w:t>Druggists</w:t>
      </w:r>
      <w:proofErr w:type="spellEnd"/>
      <w:r w:rsidRPr="00B45592">
        <w:rPr>
          <w:i/>
        </w:rPr>
        <w:t xml:space="preserve"> Mut. Ins. Co.</w:t>
      </w:r>
      <w:r>
        <w:t xml:space="preserve">, 446 U.S. 142 = 100 S. Ct. 1540 = 64 L. Ed. 2d 107 (1980); </w:t>
      </w:r>
      <w:r w:rsidRPr="00B45592">
        <w:rPr>
          <w:i/>
        </w:rPr>
        <w:t>Califano v. Westcott</w:t>
      </w:r>
      <w:r>
        <w:t xml:space="preserve">, 443 U.S. 76 = 99 S. Ct. 2655 = 61 L. Ed. 2d 382 (1979); </w:t>
      </w:r>
      <w:r w:rsidRPr="00B45592">
        <w:rPr>
          <w:i/>
        </w:rPr>
        <w:t>Orr v. Orr</w:t>
      </w:r>
      <w:r>
        <w:t xml:space="preserve">, 440 U.S. 268 = 99 S. Ct. 1102 = 59 L. Ed. 2d 306 (1979); </w:t>
      </w:r>
      <w:r w:rsidRPr="00B45592">
        <w:rPr>
          <w:i/>
        </w:rPr>
        <w:t>Califano v. Goldfarb</w:t>
      </w:r>
      <w:r>
        <w:t>, 430 U.S. 199</w:t>
      </w:r>
      <w:r w:rsidRPr="006E67FE">
        <w:t xml:space="preserve"> = 97 S. Ct. </w:t>
      </w:r>
      <w:r>
        <w:t>1021</w:t>
      </w:r>
      <w:r w:rsidRPr="00EC5BEB">
        <w:t xml:space="preserve"> = 51 L. Ed. </w:t>
      </w:r>
      <w:r>
        <w:t xml:space="preserve">2d 270 (1977) (Pluralitätsmeinung); </w:t>
      </w:r>
      <w:r w:rsidRPr="00B45592">
        <w:rPr>
          <w:i/>
        </w:rPr>
        <w:t>Weinberger v. Wiesenfeld</w:t>
      </w:r>
      <w:r>
        <w:t>, 420 U.S. 636</w:t>
      </w:r>
      <w:r w:rsidRPr="003B741A">
        <w:t xml:space="preserve"> = 95 S. Ct. </w:t>
      </w:r>
      <w:r>
        <w:t>1225</w:t>
      </w:r>
      <w:r w:rsidRPr="00EC5BEB">
        <w:t xml:space="preserve"> = 43 L. Ed. </w:t>
      </w:r>
      <w:r>
        <w:t xml:space="preserve">2d 514 (1975); </w:t>
      </w:r>
      <w:r w:rsidRPr="00B45592">
        <w:rPr>
          <w:i/>
        </w:rPr>
        <w:t>Frontiero v. Richardson</w:t>
      </w:r>
      <w:r>
        <w:t>, 411 U.S. 677 = 93 S. Ct. 1764</w:t>
      </w:r>
      <w:r w:rsidRPr="003B741A">
        <w:t xml:space="preserve"> = 36 L. Ed</w:t>
      </w:r>
      <w:r>
        <w:t xml:space="preserve">. 2d 583 (1973). </w:t>
      </w:r>
    </w:p>
  </w:footnote>
  <w:footnote w:id="1678">
    <w:p w14:paraId="6AA96294" w14:textId="77777777" w:rsidR="00074551" w:rsidRPr="004F23FD" w:rsidRDefault="00074551" w:rsidP="00074551">
      <w:pPr>
        <w:pStyle w:val="Funotentext"/>
        <w:rPr>
          <w:lang w:val="en-US"/>
        </w:rPr>
      </w:pPr>
      <w:r>
        <w:rPr>
          <w:rStyle w:val="Funotenzeichen"/>
          <w:rFonts w:eastAsiaTheme="majorEastAsia"/>
        </w:rPr>
        <w:footnoteRef/>
      </w:r>
      <w:r w:rsidRPr="004F23FD">
        <w:rPr>
          <w:lang w:val="en-US"/>
        </w:rPr>
        <w:t xml:space="preserve"> </w:t>
      </w:r>
      <w:r w:rsidRPr="009167A5">
        <w:rPr>
          <w:i/>
          <w:lang w:val="en-US"/>
        </w:rPr>
        <w:t>Obergefell v. Hodges</w:t>
      </w:r>
      <w:r w:rsidRPr="004F23FD">
        <w:rPr>
          <w:lang w:val="en-US"/>
        </w:rPr>
        <w:t>, 576 U.S. 644, 674</w:t>
      </w:r>
      <w:r w:rsidRPr="006E67FE">
        <w:rPr>
          <w:lang w:val="en-US"/>
        </w:rPr>
        <w:t xml:space="preserve"> = 135 S. Ct. </w:t>
      </w:r>
      <w:r w:rsidRPr="004F23FD">
        <w:rPr>
          <w:lang w:val="en-US"/>
        </w:rPr>
        <w:t>2584, 2604</w:t>
      </w:r>
      <w:r w:rsidRPr="006E67FE">
        <w:rPr>
          <w:lang w:val="en-US"/>
        </w:rPr>
        <w:t xml:space="preserve"> = 192 L. Ed. </w:t>
      </w:r>
      <w:r w:rsidRPr="004F23FD">
        <w:rPr>
          <w:lang w:val="en-US"/>
        </w:rPr>
        <w:t>2d 609, 630</w:t>
      </w:r>
      <w:r w:rsidRPr="006E67FE">
        <w:rPr>
          <w:lang w:val="en-US"/>
        </w:rPr>
        <w:t xml:space="preserve"> = 2015 U.S. LEXIS </w:t>
      </w:r>
      <w:r w:rsidRPr="004F23FD">
        <w:rPr>
          <w:lang w:val="en-US"/>
        </w:rPr>
        <w:t>4250, 41</w:t>
      </w:r>
      <w:r w:rsidRPr="006E67FE">
        <w:rPr>
          <w:lang w:val="en-US"/>
        </w:rPr>
        <w:t xml:space="preserve"> = 83 U.S.L.W. </w:t>
      </w:r>
      <w:r w:rsidRPr="004F23FD">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4F23FD">
        <w:rPr>
          <w:lang w:val="en-US"/>
        </w:rPr>
        <w:t>Dec. (CCH) P45,341</w:t>
      </w:r>
      <w:r w:rsidRPr="006E67FE">
        <w:rPr>
          <w:lang w:val="en-US"/>
        </w:rPr>
        <w:t xml:space="preserve"> = 115 A.F.T.R. 2d </w:t>
      </w:r>
      <w:r w:rsidRPr="004F23FD">
        <w:rPr>
          <w:lang w:val="en-US"/>
        </w:rPr>
        <w:t>(RIA) 2015-2309</w:t>
      </w:r>
      <w:r w:rsidRPr="006E67FE">
        <w:rPr>
          <w:lang w:val="en-US"/>
        </w:rPr>
        <w:t xml:space="preserve"> = 25 Fla. L. Weekly Fed. </w:t>
      </w:r>
      <w:r w:rsidRPr="004F23FD">
        <w:rPr>
          <w:lang w:val="en-US"/>
        </w:rPr>
        <w:t>S 472 (2015)</w:t>
      </w:r>
      <w:r>
        <w:rPr>
          <w:lang w:val="en-US"/>
        </w:rPr>
        <w:t>.</w:t>
      </w:r>
    </w:p>
  </w:footnote>
  <w:footnote w:id="1679">
    <w:p w14:paraId="7F37B9BA" w14:textId="77777777" w:rsidR="00074551" w:rsidRPr="00FA2C33" w:rsidRDefault="00074551" w:rsidP="00074551">
      <w:pPr>
        <w:pStyle w:val="Funotentext"/>
        <w:rPr>
          <w:lang w:val="en-US"/>
        </w:rPr>
      </w:pPr>
      <w:r>
        <w:rPr>
          <w:rStyle w:val="Funotenzeichen"/>
          <w:rFonts w:eastAsiaTheme="majorEastAsia"/>
        </w:rPr>
        <w:footnoteRef/>
      </w:r>
      <w:r w:rsidRPr="00FA2C33">
        <w:rPr>
          <w:lang w:val="en-US"/>
        </w:rPr>
        <w:t xml:space="preserve"> </w:t>
      </w:r>
      <w:r w:rsidRPr="009167A5">
        <w:rPr>
          <w:i/>
          <w:lang w:val="en-US"/>
        </w:rPr>
        <w:t>Obergefell v. Hodges</w:t>
      </w:r>
      <w:r w:rsidRPr="00FA2C33">
        <w:rPr>
          <w:lang w:val="en-US"/>
        </w:rPr>
        <w:t>, 576 U.S. 644, 644</w:t>
      </w:r>
      <w:r w:rsidRPr="006E67FE">
        <w:rPr>
          <w:lang w:val="en-US"/>
        </w:rPr>
        <w:t xml:space="preserve"> = 135 S. Ct. </w:t>
      </w:r>
      <w:r w:rsidRPr="00FA2C33">
        <w:rPr>
          <w:lang w:val="en-US"/>
        </w:rPr>
        <w:t>2584, 2588</w:t>
      </w:r>
      <w:r w:rsidRPr="006E67FE">
        <w:rPr>
          <w:lang w:val="en-US"/>
        </w:rPr>
        <w:t xml:space="preserve"> = 192 L. Ed. </w:t>
      </w:r>
      <w:r w:rsidRPr="00FA2C33">
        <w:rPr>
          <w:lang w:val="en-US"/>
        </w:rPr>
        <w:t>2d 609, 609</w:t>
      </w:r>
      <w:r w:rsidRPr="006E67FE">
        <w:rPr>
          <w:lang w:val="en-US"/>
        </w:rPr>
        <w:t xml:space="preserve"> = 2015 U.S. LEXIS </w:t>
      </w:r>
      <w:r w:rsidRPr="00FA2C33">
        <w:rPr>
          <w:lang w:val="en-US"/>
        </w:rPr>
        <w:t>4250, 1</w:t>
      </w:r>
      <w:r w:rsidRPr="006E67FE">
        <w:rPr>
          <w:lang w:val="en-US"/>
        </w:rPr>
        <w:t xml:space="preserve"> = 83 U.S.L.W. </w:t>
      </w:r>
      <w:r w:rsidRPr="00FA2C33">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FA2C33">
        <w:rPr>
          <w:lang w:val="en-US"/>
        </w:rPr>
        <w:t>Dec. (CCH) P45,341</w:t>
      </w:r>
      <w:r w:rsidRPr="006E67FE">
        <w:rPr>
          <w:lang w:val="en-US"/>
        </w:rPr>
        <w:t xml:space="preserve"> = 115 A.F.T.R. 2d </w:t>
      </w:r>
      <w:r w:rsidRPr="00FA2C33">
        <w:rPr>
          <w:lang w:val="en-US"/>
        </w:rPr>
        <w:t>(RIA) 2015-2309</w:t>
      </w:r>
      <w:r w:rsidRPr="006E67FE">
        <w:rPr>
          <w:lang w:val="en-US"/>
        </w:rPr>
        <w:t xml:space="preserve"> = 25 Fla. L. Weekly Fed. </w:t>
      </w:r>
      <w:r w:rsidRPr="00FA2C33">
        <w:rPr>
          <w:lang w:val="en-US"/>
        </w:rPr>
        <w:t>S 472 (2015)</w:t>
      </w:r>
      <w:r>
        <w:rPr>
          <w:lang w:val="en-US"/>
        </w:rPr>
        <w:t>.</w:t>
      </w:r>
    </w:p>
  </w:footnote>
  <w:footnote w:id="1680">
    <w:p w14:paraId="17DD1F57" w14:textId="77777777" w:rsidR="00074551" w:rsidRPr="004F23FD" w:rsidRDefault="00074551" w:rsidP="00074551">
      <w:pPr>
        <w:pStyle w:val="Funotentext"/>
        <w:rPr>
          <w:lang w:val="en-US"/>
        </w:rPr>
      </w:pPr>
      <w:r>
        <w:rPr>
          <w:rStyle w:val="Funotenzeichen"/>
          <w:rFonts w:eastAsiaTheme="majorEastAsia"/>
        </w:rPr>
        <w:footnoteRef/>
      </w:r>
      <w:r w:rsidRPr="004F23FD">
        <w:rPr>
          <w:lang w:val="en-US"/>
        </w:rPr>
        <w:t xml:space="preserve"> </w:t>
      </w:r>
      <w:proofErr w:type="spellStart"/>
      <w:r>
        <w:rPr>
          <w:lang w:val="en-US"/>
        </w:rPr>
        <w:t>Siehe</w:t>
      </w:r>
      <w:proofErr w:type="spellEnd"/>
      <w:r w:rsidRPr="004F23FD">
        <w:rPr>
          <w:lang w:val="en-US"/>
        </w:rPr>
        <w:t xml:space="preserve"> </w:t>
      </w:r>
      <w:r w:rsidRPr="00B45592">
        <w:rPr>
          <w:i/>
          <w:lang w:val="en-IE"/>
        </w:rPr>
        <w:t>M. L. B. v. S. L. J.</w:t>
      </w:r>
      <w:r w:rsidRPr="00B45592">
        <w:rPr>
          <w:lang w:val="en-IE"/>
        </w:rPr>
        <w:t>, 519 U.S. 102</w:t>
      </w:r>
      <w:r w:rsidRPr="00B45592">
        <w:rPr>
          <w:b/>
          <w:bCs/>
          <w:lang w:val="en-IE"/>
        </w:rPr>
        <w:t xml:space="preserve">, </w:t>
      </w:r>
      <w:r w:rsidRPr="004F23FD">
        <w:rPr>
          <w:lang w:val="en-US"/>
        </w:rPr>
        <w:t>120</w:t>
      </w:r>
      <w:r>
        <w:rPr>
          <w:lang w:val="en-US"/>
        </w:rPr>
        <w:t>–</w:t>
      </w:r>
      <w:r w:rsidRPr="004F23FD">
        <w:rPr>
          <w:lang w:val="en-US"/>
        </w:rPr>
        <w:t>121</w:t>
      </w:r>
      <w:r w:rsidRPr="006E67FE">
        <w:rPr>
          <w:lang w:val="en-US"/>
        </w:rPr>
        <w:t xml:space="preserve"> = 117 S. Ct. </w:t>
      </w:r>
      <w:r w:rsidRPr="004F23FD">
        <w:rPr>
          <w:lang w:val="en-US"/>
        </w:rPr>
        <w:t>555, 136 L. Ed. 2d 473; id., 128</w:t>
      </w:r>
      <w:r>
        <w:rPr>
          <w:lang w:val="en-US"/>
        </w:rPr>
        <w:t>–</w:t>
      </w:r>
      <w:r w:rsidRPr="004F23FD">
        <w:rPr>
          <w:lang w:val="en-US"/>
        </w:rPr>
        <w:t>129</w:t>
      </w:r>
      <w:r w:rsidRPr="006E67FE">
        <w:rPr>
          <w:lang w:val="en-US"/>
        </w:rPr>
        <w:t xml:space="preserve"> = 117 S. Ct. </w:t>
      </w:r>
      <w:r w:rsidRPr="004F23FD">
        <w:rPr>
          <w:lang w:val="en-US"/>
        </w:rPr>
        <w:t xml:space="preserve">555, 136 L. Ed. 2d 473 </w:t>
      </w:r>
      <w:r w:rsidRPr="00A15962">
        <w:rPr>
          <w:lang w:val="en-US"/>
        </w:rPr>
        <w:t>(</w:t>
      </w:r>
      <w:r w:rsidRPr="00B45592">
        <w:rPr>
          <w:i/>
          <w:lang w:val="en-US"/>
        </w:rPr>
        <w:t>concurring opinion</w:t>
      </w:r>
      <w:r w:rsidRPr="00B45592">
        <w:rPr>
          <w:lang w:val="en-US"/>
        </w:rPr>
        <w:t xml:space="preserve"> von Richter </w:t>
      </w:r>
      <w:r w:rsidRPr="00B45592">
        <w:rPr>
          <w:i/>
          <w:lang w:val="en-US"/>
        </w:rPr>
        <w:t>Kennedy</w:t>
      </w:r>
      <w:r w:rsidRPr="00A15962">
        <w:rPr>
          <w:lang w:val="en-US"/>
        </w:rPr>
        <w:t>);</w:t>
      </w:r>
      <w:r w:rsidRPr="004F23FD">
        <w:rPr>
          <w:lang w:val="en-US"/>
        </w:rPr>
        <w:t xml:space="preserve"> </w:t>
      </w:r>
      <w:r w:rsidRPr="00B45592">
        <w:rPr>
          <w:i/>
          <w:lang w:val="en-US"/>
        </w:rPr>
        <w:t>Bearden v. Georgia</w:t>
      </w:r>
      <w:r w:rsidRPr="004F23FD">
        <w:rPr>
          <w:lang w:val="en-US"/>
        </w:rPr>
        <w:t>, 461 U.S. 660, 665, 103 S. Ct. 2064</w:t>
      </w:r>
      <w:r>
        <w:rPr>
          <w:lang w:val="en-US"/>
        </w:rPr>
        <w:t xml:space="preserve"> = 76 L. Ed. </w:t>
      </w:r>
      <w:r w:rsidRPr="004F23FD">
        <w:rPr>
          <w:lang w:val="en-US"/>
        </w:rPr>
        <w:t>2d 221 (1983)</w:t>
      </w:r>
      <w:r>
        <w:rPr>
          <w:lang w:val="en-US"/>
        </w:rPr>
        <w:t xml:space="preserve">; </w:t>
      </w:r>
      <w:r w:rsidRPr="009167A5">
        <w:rPr>
          <w:i/>
          <w:lang w:val="en-US"/>
        </w:rPr>
        <w:t>Obergefell v. Hodges</w:t>
      </w:r>
      <w:r w:rsidRPr="004F23FD">
        <w:rPr>
          <w:lang w:val="en-US"/>
        </w:rPr>
        <w:t>, 576 U.S. 644, 672</w:t>
      </w:r>
      <w:r w:rsidRPr="006E67FE">
        <w:rPr>
          <w:lang w:val="en-US"/>
        </w:rPr>
        <w:t xml:space="preserve"> = 135 S. Ct. </w:t>
      </w:r>
      <w:r w:rsidRPr="004F23FD">
        <w:rPr>
          <w:lang w:val="en-US"/>
        </w:rPr>
        <w:t>2584, 2603</w:t>
      </w:r>
      <w:r w:rsidRPr="006E67FE">
        <w:rPr>
          <w:lang w:val="en-US"/>
        </w:rPr>
        <w:t xml:space="preserve"> = 192 L. Ed. </w:t>
      </w:r>
      <w:r w:rsidRPr="004F23FD">
        <w:rPr>
          <w:lang w:val="en-US"/>
        </w:rPr>
        <w:t>2d 609, 629</w:t>
      </w:r>
      <w:r w:rsidRPr="006E67FE">
        <w:rPr>
          <w:lang w:val="en-US"/>
        </w:rPr>
        <w:t xml:space="preserve"> = 2015 U.S. LEXIS </w:t>
      </w:r>
      <w:r w:rsidRPr="004F23FD">
        <w:rPr>
          <w:lang w:val="en-US"/>
        </w:rPr>
        <w:t>4250, 38</w:t>
      </w:r>
      <w:r w:rsidRPr="006E67FE">
        <w:rPr>
          <w:lang w:val="en-US"/>
        </w:rPr>
        <w:t xml:space="preserve"> = 83 U.S.L.W. </w:t>
      </w:r>
      <w:r w:rsidRPr="004F23FD">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4F23FD">
        <w:rPr>
          <w:lang w:val="en-US"/>
        </w:rPr>
        <w:t>Dec. (CCH) P45,341</w:t>
      </w:r>
      <w:r w:rsidRPr="006E67FE">
        <w:rPr>
          <w:lang w:val="en-US"/>
        </w:rPr>
        <w:t xml:space="preserve"> = 115 A.F.T.R. 2d </w:t>
      </w:r>
      <w:r w:rsidRPr="004F23FD">
        <w:rPr>
          <w:lang w:val="en-US"/>
        </w:rPr>
        <w:t>(RIA) 2015-2309</w:t>
      </w:r>
      <w:r w:rsidRPr="006E67FE">
        <w:rPr>
          <w:lang w:val="en-US"/>
        </w:rPr>
        <w:t xml:space="preserve"> = 25 Fla. L. Weekly Fed. </w:t>
      </w:r>
      <w:r w:rsidRPr="004F23FD">
        <w:rPr>
          <w:lang w:val="en-US"/>
        </w:rPr>
        <w:t>S 472 (2015)</w:t>
      </w:r>
      <w:r>
        <w:rPr>
          <w:lang w:val="en-US"/>
        </w:rPr>
        <w:t>.</w:t>
      </w:r>
    </w:p>
  </w:footnote>
  <w:footnote w:id="1681">
    <w:p w14:paraId="19080F5F" w14:textId="77777777" w:rsidR="00074551" w:rsidRPr="001F61E8" w:rsidRDefault="00074551" w:rsidP="00074551">
      <w:pPr>
        <w:pStyle w:val="Funotentext"/>
        <w:rPr>
          <w:lang w:val="en-US"/>
        </w:rPr>
      </w:pPr>
      <w:r>
        <w:rPr>
          <w:rStyle w:val="Funotenzeichen"/>
          <w:rFonts w:eastAsiaTheme="majorEastAsia"/>
        </w:rPr>
        <w:footnoteRef/>
      </w:r>
      <w:r w:rsidRPr="001F61E8">
        <w:rPr>
          <w:lang w:val="en-US"/>
        </w:rPr>
        <w:t xml:space="preserve"> </w:t>
      </w:r>
      <w:r w:rsidRPr="00B45592">
        <w:rPr>
          <w:i/>
          <w:lang w:val="en-US"/>
        </w:rPr>
        <w:t>People v. Marx</w:t>
      </w:r>
      <w:r w:rsidRPr="001F61E8">
        <w:rPr>
          <w:lang w:val="en-US"/>
        </w:rPr>
        <w:t>, 99 N.Y. 377, 386, 2 N.E. 29, 33, 1885 N.Y. LEXIS 797, 18 (N.Y. June 16, 1885)</w:t>
      </w:r>
      <w:r>
        <w:rPr>
          <w:lang w:val="en-US"/>
        </w:rPr>
        <w:t xml:space="preserve">; </w:t>
      </w:r>
      <w:r w:rsidRPr="00A15962">
        <w:rPr>
          <w:i/>
          <w:lang w:val="en-US"/>
        </w:rPr>
        <w:t>Powell v. Pennsylvania</w:t>
      </w:r>
      <w:r w:rsidRPr="001F61E8">
        <w:rPr>
          <w:lang w:val="en-US"/>
        </w:rPr>
        <w:t>, 127 U.S. 678, 692</w:t>
      </w:r>
      <w:r>
        <w:rPr>
          <w:lang w:val="en-US"/>
        </w:rPr>
        <w:t xml:space="preserve"> = 8 S. Ct. </w:t>
      </w:r>
      <w:r w:rsidRPr="001F61E8">
        <w:rPr>
          <w:lang w:val="en-US"/>
        </w:rPr>
        <w:t>992, 997</w:t>
      </w:r>
      <w:r w:rsidRPr="00EC5BEB">
        <w:rPr>
          <w:lang w:val="en-US"/>
        </w:rPr>
        <w:t xml:space="preserve"> = 32 L. Ed. </w:t>
      </w:r>
      <w:r w:rsidRPr="001F61E8">
        <w:rPr>
          <w:lang w:val="en-US"/>
        </w:rPr>
        <w:t>253, 259</w:t>
      </w:r>
      <w:r w:rsidRPr="00EC5BEB">
        <w:rPr>
          <w:lang w:val="en-US"/>
        </w:rPr>
        <w:t xml:space="preserve"> = 1888 U.S. LEXIS </w:t>
      </w:r>
      <w:r w:rsidRPr="001F61E8">
        <w:rPr>
          <w:lang w:val="en-US"/>
        </w:rPr>
        <w:t>2032, 27 (1888)</w:t>
      </w:r>
      <w:r>
        <w:rPr>
          <w:lang w:val="en-US"/>
        </w:rPr>
        <w:t>.</w:t>
      </w:r>
    </w:p>
  </w:footnote>
  <w:footnote w:id="1682">
    <w:p w14:paraId="65425CEB" w14:textId="77777777" w:rsidR="00074551" w:rsidRPr="00551ED4" w:rsidRDefault="00074551" w:rsidP="00074551">
      <w:pPr>
        <w:pStyle w:val="Funotentext"/>
        <w:rPr>
          <w:lang w:val="en-US"/>
        </w:rPr>
      </w:pPr>
      <w:r>
        <w:rPr>
          <w:rStyle w:val="Funotenzeichen"/>
          <w:rFonts w:eastAsiaTheme="majorEastAsia"/>
        </w:rPr>
        <w:footnoteRef/>
      </w:r>
      <w:r w:rsidRPr="00551ED4">
        <w:rPr>
          <w:lang w:val="en-US"/>
        </w:rPr>
        <w:t xml:space="preserve"> </w:t>
      </w:r>
      <w:r w:rsidRPr="00A15962">
        <w:rPr>
          <w:i/>
          <w:lang w:val="en-US"/>
        </w:rPr>
        <w:t>Powell v. Pennsylvania</w:t>
      </w:r>
      <w:r w:rsidRPr="00551ED4">
        <w:rPr>
          <w:lang w:val="en-US"/>
        </w:rPr>
        <w:t>, 127 U.S. 678, 692</w:t>
      </w:r>
      <w:r>
        <w:rPr>
          <w:lang w:val="en-US"/>
        </w:rPr>
        <w:t xml:space="preserve"> = 8 S. Ct. </w:t>
      </w:r>
      <w:r w:rsidRPr="00551ED4">
        <w:rPr>
          <w:lang w:val="en-US"/>
        </w:rPr>
        <w:t>992, 997</w:t>
      </w:r>
      <w:r w:rsidRPr="00EC5BEB">
        <w:rPr>
          <w:lang w:val="en-US"/>
        </w:rPr>
        <w:t xml:space="preserve"> = 32 L. Ed. </w:t>
      </w:r>
      <w:r w:rsidRPr="00551ED4">
        <w:rPr>
          <w:lang w:val="en-US"/>
        </w:rPr>
        <w:t>253, 259</w:t>
      </w:r>
      <w:r w:rsidRPr="00EC5BEB">
        <w:rPr>
          <w:lang w:val="en-US"/>
        </w:rPr>
        <w:t xml:space="preserve"> = 1888 U.S. LEXIS </w:t>
      </w:r>
      <w:r w:rsidRPr="00551ED4">
        <w:rPr>
          <w:lang w:val="en-US"/>
        </w:rPr>
        <w:t>2032, 28 (1888)</w:t>
      </w:r>
      <w:r>
        <w:rPr>
          <w:lang w:val="en-US"/>
        </w:rPr>
        <w:t>.</w:t>
      </w:r>
    </w:p>
  </w:footnote>
  <w:footnote w:id="1683">
    <w:p w14:paraId="3DF3800F" w14:textId="77777777" w:rsidR="00074551" w:rsidRPr="00BB1706" w:rsidRDefault="00074551" w:rsidP="00074551">
      <w:pPr>
        <w:pStyle w:val="Funotentext"/>
        <w:ind w:left="227" w:hanging="227"/>
        <w:rPr>
          <w:lang w:val="en-US"/>
        </w:rPr>
      </w:pPr>
      <w:r>
        <w:rPr>
          <w:rStyle w:val="Funotenzeichen"/>
          <w:rFonts w:eastAsiaTheme="majorEastAsia"/>
        </w:rPr>
        <w:footnoteRef/>
      </w:r>
      <w:r w:rsidRPr="00BB1706">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Virginia</w:t>
      </w:r>
      <w:r w:rsidRPr="00BB1706">
        <w:rPr>
          <w:lang w:val="en-US"/>
        </w:rPr>
        <w:t>, 100 U.S. 339, 366</w:t>
      </w:r>
      <w:r>
        <w:rPr>
          <w:lang w:val="en-US"/>
        </w:rPr>
        <w:t xml:space="preserve">; </w:t>
      </w:r>
      <w:r w:rsidRPr="00A15962">
        <w:rPr>
          <w:i/>
          <w:lang w:val="en-US"/>
        </w:rPr>
        <w:t>Powell v. Pennsylvania</w:t>
      </w:r>
      <w:r w:rsidRPr="00BB1706">
        <w:rPr>
          <w:lang w:val="en-US"/>
        </w:rPr>
        <w:t>, 127 U.S. 678, 691</w:t>
      </w:r>
      <w:r>
        <w:rPr>
          <w:lang w:val="en-US"/>
        </w:rPr>
        <w:t xml:space="preserve"> = 8 S. Ct. </w:t>
      </w:r>
      <w:r w:rsidRPr="00BB1706">
        <w:rPr>
          <w:lang w:val="en-US"/>
        </w:rPr>
        <w:t>992, 997</w:t>
      </w:r>
      <w:r w:rsidRPr="00EC5BEB">
        <w:rPr>
          <w:lang w:val="en-US"/>
        </w:rPr>
        <w:t xml:space="preserve"> = 32 L. Ed. </w:t>
      </w:r>
      <w:r w:rsidRPr="00BB1706">
        <w:rPr>
          <w:lang w:val="en-US"/>
        </w:rPr>
        <w:t>253, 259</w:t>
      </w:r>
      <w:r w:rsidRPr="00EC5BEB">
        <w:rPr>
          <w:lang w:val="en-US"/>
        </w:rPr>
        <w:t xml:space="preserve"> = 1888 U.S. LEXIS </w:t>
      </w:r>
      <w:r w:rsidRPr="00BB1706">
        <w:rPr>
          <w:lang w:val="en-US"/>
        </w:rPr>
        <w:t>2032, 27 (1888)</w:t>
      </w:r>
      <w:r>
        <w:rPr>
          <w:lang w:val="en-US"/>
        </w:rPr>
        <w:t>.</w:t>
      </w:r>
    </w:p>
  </w:footnote>
  <w:footnote w:id="1684">
    <w:p w14:paraId="41848D60" w14:textId="77777777" w:rsidR="00074551" w:rsidRPr="00551ED4" w:rsidRDefault="00074551" w:rsidP="00074551">
      <w:pPr>
        <w:pStyle w:val="Funotentext"/>
        <w:rPr>
          <w:lang w:val="en-US"/>
        </w:rPr>
      </w:pPr>
      <w:r>
        <w:rPr>
          <w:rStyle w:val="Funotenzeichen"/>
          <w:rFonts w:eastAsiaTheme="majorEastAsia"/>
        </w:rPr>
        <w:footnoteRef/>
      </w:r>
      <w:r w:rsidRPr="00F94158">
        <w:rPr>
          <w:lang w:val="en-IE"/>
        </w:rPr>
        <w:t xml:space="preserve"> </w:t>
      </w:r>
      <w:r w:rsidRPr="00F94158">
        <w:rPr>
          <w:i/>
          <w:lang w:val="en-IE"/>
        </w:rPr>
        <w:t xml:space="preserve">Ex </w:t>
      </w:r>
      <w:proofErr w:type="spellStart"/>
      <w:r w:rsidRPr="00F94158">
        <w:rPr>
          <w:i/>
          <w:lang w:val="en-IE"/>
        </w:rPr>
        <w:t>parte</w:t>
      </w:r>
      <w:proofErr w:type="spellEnd"/>
      <w:r w:rsidRPr="00F94158">
        <w:rPr>
          <w:i/>
          <w:lang w:val="en-IE"/>
        </w:rPr>
        <w:t xml:space="preserve"> Virginia</w:t>
      </w:r>
      <w:r w:rsidRPr="00F94158">
        <w:rPr>
          <w:lang w:val="en-IE"/>
        </w:rPr>
        <w:t xml:space="preserve">, 100 U.S. 339, 366; </w:t>
      </w:r>
      <w:r w:rsidRPr="00A15962">
        <w:rPr>
          <w:i/>
          <w:lang w:val="en-US"/>
        </w:rPr>
        <w:t>Powell v. Pennsylvania</w:t>
      </w:r>
      <w:r w:rsidRPr="00551ED4">
        <w:rPr>
          <w:lang w:val="en-US"/>
        </w:rPr>
        <w:t>, 127 U.S. 678, 691</w:t>
      </w:r>
      <w:r>
        <w:rPr>
          <w:lang w:val="en-US"/>
        </w:rPr>
        <w:t xml:space="preserve"> = 8 S. Ct. </w:t>
      </w:r>
      <w:r w:rsidRPr="00551ED4">
        <w:rPr>
          <w:lang w:val="en-US"/>
        </w:rPr>
        <w:t>992, 997</w:t>
      </w:r>
      <w:r w:rsidRPr="00EC5BEB">
        <w:rPr>
          <w:lang w:val="en-US"/>
        </w:rPr>
        <w:t xml:space="preserve"> = 32 L. Ed. </w:t>
      </w:r>
      <w:r w:rsidRPr="00551ED4">
        <w:rPr>
          <w:lang w:val="en-US"/>
        </w:rPr>
        <w:t>253, 259</w:t>
      </w:r>
      <w:r w:rsidRPr="00EC5BEB">
        <w:rPr>
          <w:lang w:val="en-US"/>
        </w:rPr>
        <w:t xml:space="preserve"> = 1888 U.S. LEXIS </w:t>
      </w:r>
      <w:r w:rsidRPr="00551ED4">
        <w:rPr>
          <w:lang w:val="en-US"/>
        </w:rPr>
        <w:t>2032, 27 (1888)</w:t>
      </w:r>
      <w:r>
        <w:rPr>
          <w:lang w:val="en-US"/>
        </w:rPr>
        <w:t>.</w:t>
      </w:r>
    </w:p>
  </w:footnote>
  <w:footnote w:id="1685">
    <w:p w14:paraId="1530721F" w14:textId="77777777" w:rsidR="00074551" w:rsidRPr="00551ED4" w:rsidRDefault="00074551" w:rsidP="00074551">
      <w:pPr>
        <w:pStyle w:val="Funotentext"/>
        <w:rPr>
          <w:lang w:val="en-US"/>
        </w:rPr>
      </w:pPr>
      <w:r>
        <w:rPr>
          <w:rStyle w:val="Funotenzeichen"/>
          <w:rFonts w:eastAsiaTheme="majorEastAsia"/>
        </w:rPr>
        <w:footnoteRef/>
      </w:r>
      <w:r w:rsidRPr="00551ED4">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Virginia</w:t>
      </w:r>
      <w:r w:rsidRPr="00551ED4">
        <w:rPr>
          <w:lang w:val="en-US"/>
        </w:rPr>
        <w:t>, 100 U.S. 339, 366</w:t>
      </w:r>
      <w:r>
        <w:rPr>
          <w:lang w:val="en-US"/>
        </w:rPr>
        <w:t xml:space="preserve">; </w:t>
      </w:r>
      <w:r w:rsidRPr="00A15962">
        <w:rPr>
          <w:i/>
          <w:lang w:val="en-US"/>
        </w:rPr>
        <w:t>Powell v. Pennsylvania</w:t>
      </w:r>
      <w:r w:rsidRPr="00551ED4">
        <w:rPr>
          <w:lang w:val="en-US"/>
        </w:rPr>
        <w:t>, 127 U.S. 678, 691</w:t>
      </w:r>
      <w:r>
        <w:rPr>
          <w:lang w:val="en-US"/>
        </w:rPr>
        <w:t xml:space="preserve"> = 8 S. Ct. </w:t>
      </w:r>
      <w:r w:rsidRPr="00551ED4">
        <w:rPr>
          <w:lang w:val="en-US"/>
        </w:rPr>
        <w:t>992, 997</w:t>
      </w:r>
      <w:r w:rsidRPr="00EC5BEB">
        <w:rPr>
          <w:lang w:val="en-US"/>
        </w:rPr>
        <w:t xml:space="preserve"> = 32 L. Ed. </w:t>
      </w:r>
      <w:r w:rsidRPr="00551ED4">
        <w:rPr>
          <w:lang w:val="en-US"/>
        </w:rPr>
        <w:t>253, 259</w:t>
      </w:r>
      <w:r w:rsidRPr="00EC5BEB">
        <w:rPr>
          <w:lang w:val="en-US"/>
        </w:rPr>
        <w:t xml:space="preserve"> = 1888 U.S. LEXIS </w:t>
      </w:r>
      <w:r w:rsidRPr="00551ED4">
        <w:rPr>
          <w:lang w:val="en-US"/>
        </w:rPr>
        <w:t>2032, 27 (1888)</w:t>
      </w:r>
      <w:r>
        <w:rPr>
          <w:lang w:val="en-US"/>
        </w:rPr>
        <w:t>.</w:t>
      </w:r>
    </w:p>
  </w:footnote>
  <w:footnote w:id="1686">
    <w:p w14:paraId="7E96C55B" w14:textId="77777777" w:rsidR="00074551" w:rsidRPr="001F61E8" w:rsidRDefault="00074551" w:rsidP="00074551">
      <w:pPr>
        <w:pStyle w:val="Funotentext"/>
        <w:rPr>
          <w:lang w:val="en-US"/>
        </w:rPr>
      </w:pPr>
      <w:r>
        <w:rPr>
          <w:rStyle w:val="Funotenzeichen"/>
          <w:rFonts w:eastAsiaTheme="majorEastAsia"/>
        </w:rPr>
        <w:footnoteRef/>
      </w:r>
      <w:r w:rsidRPr="001F61E8">
        <w:rPr>
          <w:lang w:val="en-US"/>
        </w:rPr>
        <w:t xml:space="preserve"> </w:t>
      </w:r>
      <w:r w:rsidRPr="00B45592">
        <w:rPr>
          <w:i/>
          <w:lang w:val="en-US"/>
        </w:rPr>
        <w:t>People v. Marx</w:t>
      </w:r>
      <w:r w:rsidRPr="001F61E8">
        <w:rPr>
          <w:lang w:val="en-US"/>
        </w:rPr>
        <w:t>, 99 N.Y. 377, 386, 2 N.E. 29, 33, 1885 N.Y. LEXIS 797, 18 (N.Y. June 16, 1885)</w:t>
      </w:r>
      <w:r>
        <w:rPr>
          <w:lang w:val="en-US"/>
        </w:rPr>
        <w:t xml:space="preserve">; </w:t>
      </w:r>
      <w:r w:rsidRPr="00A15962">
        <w:rPr>
          <w:i/>
          <w:lang w:val="en-US"/>
        </w:rPr>
        <w:t>Powell v. Pennsylvania</w:t>
      </w:r>
      <w:r w:rsidRPr="001F61E8">
        <w:rPr>
          <w:lang w:val="en-US"/>
        </w:rPr>
        <w:t>, 127 U.S. 678, 692</w:t>
      </w:r>
      <w:r>
        <w:rPr>
          <w:lang w:val="en-US"/>
        </w:rPr>
        <w:t xml:space="preserve"> = 8 S. Ct. </w:t>
      </w:r>
      <w:r w:rsidRPr="001F61E8">
        <w:rPr>
          <w:lang w:val="en-US"/>
        </w:rPr>
        <w:t>992, 997</w:t>
      </w:r>
      <w:r w:rsidRPr="00EC5BEB">
        <w:rPr>
          <w:lang w:val="en-US"/>
        </w:rPr>
        <w:t xml:space="preserve"> = 32 L. Ed. </w:t>
      </w:r>
      <w:r w:rsidRPr="001F61E8">
        <w:rPr>
          <w:lang w:val="en-US"/>
        </w:rPr>
        <w:t>253, 259</w:t>
      </w:r>
      <w:r w:rsidRPr="00EC5BEB">
        <w:rPr>
          <w:lang w:val="en-US"/>
        </w:rPr>
        <w:t xml:space="preserve"> = 1888 U.S. LEXIS </w:t>
      </w:r>
      <w:r w:rsidRPr="001F61E8">
        <w:rPr>
          <w:lang w:val="en-US"/>
        </w:rPr>
        <w:t>2032, 27 (1888)</w:t>
      </w:r>
      <w:r>
        <w:rPr>
          <w:lang w:val="en-US"/>
        </w:rPr>
        <w:t>.</w:t>
      </w:r>
    </w:p>
  </w:footnote>
  <w:footnote w:id="1687">
    <w:p w14:paraId="791E39CD" w14:textId="77777777" w:rsidR="00074551" w:rsidRPr="00551ED4" w:rsidRDefault="00074551" w:rsidP="00074551">
      <w:pPr>
        <w:pStyle w:val="Funotentext"/>
        <w:rPr>
          <w:lang w:val="en-US"/>
        </w:rPr>
      </w:pPr>
      <w:r>
        <w:rPr>
          <w:rStyle w:val="Funotenzeichen"/>
          <w:rFonts w:eastAsiaTheme="majorEastAsia"/>
        </w:rPr>
        <w:footnoteRef/>
      </w:r>
      <w:r w:rsidRPr="00551ED4">
        <w:rPr>
          <w:lang w:val="en-US"/>
        </w:rPr>
        <w:t xml:space="preserve"> </w:t>
      </w:r>
      <w:r w:rsidRPr="00B45592">
        <w:rPr>
          <w:i/>
          <w:lang w:val="en-US"/>
        </w:rPr>
        <w:t>People v. Marx</w:t>
      </w:r>
      <w:r w:rsidRPr="001F61E8">
        <w:rPr>
          <w:lang w:val="en-US"/>
        </w:rPr>
        <w:t>, 99 N.Y. 377, 386, 2 N.E. 29, 33, 1885 N.Y. LEXIS 797, 18 (N.Y. June 16, 1885)</w:t>
      </w:r>
      <w:r>
        <w:rPr>
          <w:lang w:val="en-US"/>
        </w:rPr>
        <w:t xml:space="preserve">; </w:t>
      </w:r>
      <w:r w:rsidRPr="00A15962">
        <w:rPr>
          <w:i/>
          <w:lang w:val="en-US"/>
        </w:rPr>
        <w:t>Powell v. Pennsylvania</w:t>
      </w:r>
      <w:r w:rsidRPr="001F61E8">
        <w:rPr>
          <w:lang w:val="en-US"/>
        </w:rPr>
        <w:t>, 127 U.S. 678, 692</w:t>
      </w:r>
      <w:r>
        <w:rPr>
          <w:lang w:val="en-US"/>
        </w:rPr>
        <w:t xml:space="preserve"> = 8 S. Ct. </w:t>
      </w:r>
      <w:r w:rsidRPr="001F61E8">
        <w:rPr>
          <w:lang w:val="en-US"/>
        </w:rPr>
        <w:t>992, 997</w:t>
      </w:r>
      <w:r w:rsidRPr="00EC5BEB">
        <w:rPr>
          <w:lang w:val="en-US"/>
        </w:rPr>
        <w:t xml:space="preserve"> = 32 L. Ed. </w:t>
      </w:r>
      <w:r w:rsidRPr="001F61E8">
        <w:rPr>
          <w:lang w:val="en-US"/>
        </w:rPr>
        <w:t>253, 259</w:t>
      </w:r>
      <w:r w:rsidRPr="00EC5BEB">
        <w:rPr>
          <w:lang w:val="en-US"/>
        </w:rPr>
        <w:t xml:space="preserve"> = 1888 U.S. LEXIS </w:t>
      </w:r>
      <w:r w:rsidRPr="001F61E8">
        <w:rPr>
          <w:lang w:val="en-US"/>
        </w:rPr>
        <w:t>2032, 27 (1888)</w:t>
      </w:r>
      <w:r>
        <w:rPr>
          <w:lang w:val="en-US"/>
        </w:rPr>
        <w:t>.</w:t>
      </w:r>
    </w:p>
  </w:footnote>
  <w:footnote w:id="1688">
    <w:p w14:paraId="179C7685" w14:textId="77777777" w:rsidR="00074551" w:rsidRPr="00551ED4" w:rsidRDefault="00074551" w:rsidP="00074551">
      <w:pPr>
        <w:pStyle w:val="Funotentext"/>
        <w:rPr>
          <w:lang w:val="en-US"/>
        </w:rPr>
      </w:pPr>
      <w:r>
        <w:rPr>
          <w:rStyle w:val="Funotenzeichen"/>
          <w:rFonts w:eastAsiaTheme="majorEastAsia"/>
        </w:rPr>
        <w:footnoteRef/>
      </w:r>
      <w:r w:rsidRPr="00551ED4">
        <w:rPr>
          <w:lang w:val="en-US"/>
        </w:rPr>
        <w:t xml:space="preserve"> </w:t>
      </w:r>
      <w:r w:rsidRPr="00A15962">
        <w:rPr>
          <w:i/>
          <w:lang w:val="en-US"/>
        </w:rPr>
        <w:t>Powell v. Pennsylvania</w:t>
      </w:r>
      <w:r w:rsidRPr="00551ED4">
        <w:rPr>
          <w:lang w:val="en-US"/>
        </w:rPr>
        <w:t>, 127 U.S. 678, 692</w:t>
      </w:r>
      <w:r>
        <w:rPr>
          <w:lang w:val="en-US"/>
        </w:rPr>
        <w:t xml:space="preserve"> = 8 S. Ct. </w:t>
      </w:r>
      <w:r w:rsidRPr="00551ED4">
        <w:rPr>
          <w:lang w:val="en-US"/>
        </w:rPr>
        <w:t>992, 997</w:t>
      </w:r>
      <w:r w:rsidRPr="00EC5BEB">
        <w:rPr>
          <w:lang w:val="en-US"/>
        </w:rPr>
        <w:t xml:space="preserve"> = 32 L. Ed. </w:t>
      </w:r>
      <w:r w:rsidRPr="00551ED4">
        <w:rPr>
          <w:lang w:val="en-US"/>
        </w:rPr>
        <w:t>253, 259</w:t>
      </w:r>
      <w:r w:rsidRPr="00EC5BEB">
        <w:rPr>
          <w:lang w:val="en-US"/>
        </w:rPr>
        <w:t xml:space="preserve"> = 1888 U.S. LEXIS </w:t>
      </w:r>
      <w:r w:rsidRPr="00551ED4">
        <w:rPr>
          <w:lang w:val="en-US"/>
        </w:rPr>
        <w:t>2032, 28 (1888)</w:t>
      </w:r>
      <w:r>
        <w:rPr>
          <w:lang w:val="en-US"/>
        </w:rPr>
        <w:t>.</w:t>
      </w:r>
    </w:p>
  </w:footnote>
  <w:footnote w:id="1689">
    <w:p w14:paraId="687B8855" w14:textId="77777777" w:rsidR="00074551" w:rsidRPr="00551ED4" w:rsidRDefault="00074551" w:rsidP="00074551">
      <w:pPr>
        <w:pStyle w:val="Funotentext"/>
        <w:rPr>
          <w:lang w:val="en-US"/>
        </w:rPr>
      </w:pPr>
      <w:r>
        <w:rPr>
          <w:rStyle w:val="Funotenzeichen"/>
          <w:rFonts w:eastAsiaTheme="majorEastAsia"/>
        </w:rPr>
        <w:footnoteRef/>
      </w:r>
      <w:r w:rsidRPr="00551ED4">
        <w:rPr>
          <w:lang w:val="en-US"/>
        </w:rPr>
        <w:t xml:space="preserve"> </w:t>
      </w:r>
      <w:r w:rsidRPr="00A15962">
        <w:rPr>
          <w:i/>
          <w:lang w:val="en-US"/>
        </w:rPr>
        <w:t>Powell v. Pennsylvania</w:t>
      </w:r>
      <w:r w:rsidRPr="00551ED4">
        <w:rPr>
          <w:lang w:val="en-US"/>
        </w:rPr>
        <w:t>, 127 U.S. 678, 692</w:t>
      </w:r>
      <w:r>
        <w:rPr>
          <w:lang w:val="en-US"/>
        </w:rPr>
        <w:t xml:space="preserve"> = 8 S. Ct. </w:t>
      </w:r>
      <w:r w:rsidRPr="00551ED4">
        <w:rPr>
          <w:lang w:val="en-US"/>
        </w:rPr>
        <w:t>992, 997</w:t>
      </w:r>
      <w:r w:rsidRPr="00EC5BEB">
        <w:rPr>
          <w:lang w:val="en-US"/>
        </w:rPr>
        <w:t xml:space="preserve"> = 32 L. Ed. </w:t>
      </w:r>
      <w:r w:rsidRPr="00551ED4">
        <w:rPr>
          <w:lang w:val="en-US"/>
        </w:rPr>
        <w:t>253, 259</w:t>
      </w:r>
      <w:r w:rsidRPr="00EC5BEB">
        <w:rPr>
          <w:lang w:val="en-US"/>
        </w:rPr>
        <w:t xml:space="preserve"> = 1888 U.S. LEXIS </w:t>
      </w:r>
      <w:r w:rsidRPr="00551ED4">
        <w:rPr>
          <w:lang w:val="en-US"/>
        </w:rPr>
        <w:t>2032, 28 (1888)</w:t>
      </w:r>
      <w:r>
        <w:rPr>
          <w:lang w:val="en-US"/>
        </w:rPr>
        <w:t>.</w:t>
      </w:r>
    </w:p>
  </w:footnote>
  <w:footnote w:id="1690">
    <w:p w14:paraId="662A11AC" w14:textId="77777777" w:rsidR="00074551" w:rsidRPr="003F5416" w:rsidRDefault="00074551" w:rsidP="00074551">
      <w:pPr>
        <w:pStyle w:val="Funotentext"/>
        <w:rPr>
          <w:lang w:val="en-IE"/>
        </w:rPr>
      </w:pPr>
      <w:r>
        <w:rPr>
          <w:rStyle w:val="Funotenzeichen"/>
          <w:rFonts w:eastAsiaTheme="majorEastAsia"/>
        </w:rPr>
        <w:footnoteRef/>
      </w:r>
      <w:r w:rsidRPr="00294D1A">
        <w:rPr>
          <w:lang w:val="en-US"/>
        </w:rPr>
        <w:t xml:space="preserve"> </w:t>
      </w:r>
      <w:r w:rsidRPr="009167A5">
        <w:rPr>
          <w:i/>
          <w:lang w:val="en-IE"/>
        </w:rPr>
        <w:t>Regents of Univ. of Cal. v. Bakke</w:t>
      </w:r>
      <w:r w:rsidRPr="00B45592">
        <w:rPr>
          <w:lang w:val="en-IE"/>
        </w:rPr>
        <w:t>, 438 U.S. 265, 388</w:t>
      </w:r>
      <w:r w:rsidRPr="003B741A">
        <w:rPr>
          <w:lang w:val="en-IE"/>
        </w:rPr>
        <w:t xml:space="preserve"> = 98 S. Ct. </w:t>
      </w:r>
      <w:r w:rsidRPr="00B45592">
        <w:rPr>
          <w:lang w:val="en-IE"/>
        </w:rPr>
        <w:t>2733, 2798</w:t>
      </w:r>
      <w:r w:rsidRPr="006E67FE">
        <w:rPr>
          <w:lang w:val="en-IE"/>
        </w:rPr>
        <w:t xml:space="preserve"> = 57 L. Ed. </w:t>
      </w:r>
      <w:r w:rsidRPr="00B45592">
        <w:rPr>
          <w:lang w:val="en-IE"/>
        </w:rPr>
        <w:t>2d 750, 832</w:t>
      </w:r>
      <w:r w:rsidRPr="003B741A">
        <w:rPr>
          <w:lang w:val="en-IE"/>
        </w:rPr>
        <w:t xml:space="preserve"> = 1978 U.S. LEXIS </w:t>
      </w:r>
      <w:r w:rsidRPr="00B45592">
        <w:rPr>
          <w:lang w:val="en-IE"/>
        </w:rPr>
        <w:t>5, 202</w:t>
      </w:r>
      <w:r w:rsidRPr="003B741A">
        <w:rPr>
          <w:lang w:val="en-IE"/>
        </w:rPr>
        <w:t xml:space="preserve"> = 17 Fair </w:t>
      </w:r>
      <w:proofErr w:type="spellStart"/>
      <w:r w:rsidRPr="003B741A">
        <w:rPr>
          <w:lang w:val="en-IE"/>
        </w:rPr>
        <w:t>Empl</w:t>
      </w:r>
      <w:proofErr w:type="spellEnd"/>
      <w:r w:rsidRPr="003B741A">
        <w:rPr>
          <w:lang w:val="en-IE"/>
        </w:rPr>
        <w:t xml:space="preserve">. </w:t>
      </w:r>
      <w:proofErr w:type="spellStart"/>
      <w:r w:rsidRPr="003F5416">
        <w:rPr>
          <w:lang w:val="en-IE"/>
        </w:rPr>
        <w:t>Prac</w:t>
      </w:r>
      <w:proofErr w:type="spellEnd"/>
      <w:r w:rsidRPr="003F5416">
        <w:rPr>
          <w:lang w:val="en-IE"/>
        </w:rPr>
        <w:t xml:space="preserve">. Cas. (BNA) 1000 = 17 </w:t>
      </w:r>
      <w:proofErr w:type="spellStart"/>
      <w:r w:rsidRPr="003F5416">
        <w:rPr>
          <w:lang w:val="en-IE"/>
        </w:rPr>
        <w:t>Empl</w:t>
      </w:r>
      <w:proofErr w:type="spellEnd"/>
      <w:r w:rsidRPr="003F5416">
        <w:rPr>
          <w:lang w:val="en-IE"/>
        </w:rPr>
        <w:t xml:space="preserve">. </w:t>
      </w:r>
      <w:proofErr w:type="spellStart"/>
      <w:r w:rsidRPr="003F5416">
        <w:rPr>
          <w:lang w:val="en-IE"/>
        </w:rPr>
        <w:t>Prac</w:t>
      </w:r>
      <w:proofErr w:type="spellEnd"/>
      <w:r w:rsidRPr="003F5416">
        <w:rPr>
          <w:lang w:val="en-IE"/>
        </w:rPr>
        <w:t>. Dec. (CCH) P8402 (1978).</w:t>
      </w:r>
    </w:p>
  </w:footnote>
  <w:footnote w:id="1691">
    <w:p w14:paraId="76F4E9CB" w14:textId="4DC563BE" w:rsidR="00074551" w:rsidRDefault="00074551" w:rsidP="00074551">
      <w:pPr>
        <w:pStyle w:val="Funotentext"/>
      </w:pPr>
      <w:r>
        <w:rPr>
          <w:rStyle w:val="Funotenzeichen"/>
          <w:rFonts w:eastAsiaTheme="majorEastAsia"/>
        </w:rPr>
        <w:footnoteRef/>
      </w:r>
      <w:r w:rsidRPr="003F5416">
        <w:rPr>
          <w:lang w:val="en-IE"/>
        </w:rPr>
        <w:t xml:space="preserve"> </w:t>
      </w:r>
      <w:r w:rsidR="00905D42" w:rsidRPr="009167A5">
        <w:rPr>
          <w:i/>
          <w:lang w:val="en-IE"/>
        </w:rPr>
        <w:t>Regents of Univ. of Cal. v. Bakke</w:t>
      </w:r>
      <w:r w:rsidR="00905D42" w:rsidRPr="00B45592">
        <w:rPr>
          <w:lang w:val="en-IE"/>
        </w:rPr>
        <w:t>, 438 U.S. 265, 388</w:t>
      </w:r>
      <w:r w:rsidR="00905D42" w:rsidRPr="003B741A">
        <w:rPr>
          <w:lang w:val="en-IE"/>
        </w:rPr>
        <w:t xml:space="preserve"> = 98 S. Ct. </w:t>
      </w:r>
      <w:r w:rsidR="00905D42" w:rsidRPr="00B45592">
        <w:rPr>
          <w:lang w:val="en-IE"/>
        </w:rPr>
        <w:t>2733, 2798</w:t>
      </w:r>
      <w:r w:rsidR="00905D42" w:rsidRPr="006E67FE">
        <w:rPr>
          <w:lang w:val="en-IE"/>
        </w:rPr>
        <w:t xml:space="preserve"> = 57 L. Ed. </w:t>
      </w:r>
      <w:r w:rsidR="00905D42" w:rsidRPr="00B45592">
        <w:rPr>
          <w:lang w:val="en-IE"/>
        </w:rPr>
        <w:t>2d 750, 832</w:t>
      </w:r>
      <w:r w:rsidR="00905D42" w:rsidRPr="003B741A">
        <w:rPr>
          <w:lang w:val="en-IE"/>
        </w:rPr>
        <w:t xml:space="preserve"> = 1978 U.S. LEXIS </w:t>
      </w:r>
      <w:r w:rsidR="00905D42" w:rsidRPr="00B45592">
        <w:rPr>
          <w:lang w:val="en-IE"/>
        </w:rPr>
        <w:t>5, 202</w:t>
      </w:r>
      <w:r w:rsidR="00905D42" w:rsidRPr="003B741A">
        <w:rPr>
          <w:lang w:val="en-IE"/>
        </w:rPr>
        <w:t xml:space="preserve"> = 17 Fair </w:t>
      </w:r>
      <w:proofErr w:type="spellStart"/>
      <w:r w:rsidR="00905D42" w:rsidRPr="003B741A">
        <w:rPr>
          <w:lang w:val="en-IE"/>
        </w:rPr>
        <w:t>Empl</w:t>
      </w:r>
      <w:proofErr w:type="spellEnd"/>
      <w:r w:rsidR="00905D42" w:rsidRPr="003B741A">
        <w:rPr>
          <w:lang w:val="en-IE"/>
        </w:rPr>
        <w:t xml:space="preserve">. </w:t>
      </w:r>
      <w:proofErr w:type="spellStart"/>
      <w:r w:rsidR="00905D42" w:rsidRPr="00B45592">
        <w:t>Prac</w:t>
      </w:r>
      <w:proofErr w:type="spellEnd"/>
      <w:r w:rsidR="00905D42" w:rsidRPr="00B45592">
        <w:t>. Cas. (BNA) 1000</w:t>
      </w:r>
      <w:r w:rsidR="00905D42" w:rsidRPr="006E67FE">
        <w:t xml:space="preserve"> = 17 Empl. </w:t>
      </w:r>
      <w:proofErr w:type="spellStart"/>
      <w:r w:rsidR="00905D42" w:rsidRPr="006E67FE">
        <w:t>Prac</w:t>
      </w:r>
      <w:proofErr w:type="spellEnd"/>
      <w:r w:rsidR="00905D42" w:rsidRPr="006E67FE">
        <w:t xml:space="preserve">. </w:t>
      </w:r>
      <w:proofErr w:type="spellStart"/>
      <w:r w:rsidR="00905D42" w:rsidRPr="006E67FE">
        <w:t>Dec</w:t>
      </w:r>
      <w:proofErr w:type="spellEnd"/>
      <w:r w:rsidR="00905D42" w:rsidRPr="006E67FE">
        <w:t xml:space="preserve">. </w:t>
      </w:r>
      <w:r w:rsidR="00905D42" w:rsidRPr="00B45592">
        <w:t>(CCH) P8402 (1978).</w:t>
      </w:r>
    </w:p>
  </w:footnote>
  <w:footnote w:id="1692">
    <w:p w14:paraId="2CBA09AF" w14:textId="71AC88FB" w:rsidR="00074551" w:rsidRPr="00D62127" w:rsidRDefault="00074551" w:rsidP="00074551">
      <w:pPr>
        <w:pStyle w:val="Funotentext"/>
      </w:pPr>
      <w:r>
        <w:rPr>
          <w:rStyle w:val="Funotenzeichen"/>
          <w:rFonts w:eastAsiaTheme="majorEastAsia"/>
        </w:rPr>
        <w:footnoteRef/>
      </w:r>
      <w:r w:rsidRPr="00D62127">
        <w:t xml:space="preserve"> </w:t>
      </w:r>
      <w:r w:rsidR="00905D42">
        <w:t xml:space="preserve">Dass tatsächlich nur Weißen das Recht auf Gleichheit und ein Streben nach Glück zukomme, wie der Dissens meint (vgl. </w:t>
      </w:r>
      <w:proofErr w:type="spellStart"/>
      <w:r w:rsidR="00905D42" w:rsidRPr="00F94158">
        <w:rPr>
          <w:i/>
        </w:rPr>
        <w:t>Regents</w:t>
      </w:r>
      <w:proofErr w:type="spellEnd"/>
      <w:r w:rsidR="00905D42" w:rsidRPr="00F94158">
        <w:rPr>
          <w:i/>
        </w:rPr>
        <w:t xml:space="preserve"> of Univ. of Cal. v. Bakke</w:t>
      </w:r>
      <w:r w:rsidR="00905D42" w:rsidRPr="00F94158">
        <w:t xml:space="preserve">, 438 U.S. 265, 388 = 98 S. Ct. 2733, 2798 = 57 L. Ed. 2d 750, 832 = 1978 U.S. LEXIS 5, 203 = 17 Fair Empl. </w:t>
      </w:r>
      <w:proofErr w:type="spellStart"/>
      <w:r w:rsidR="00905D42" w:rsidRPr="00B45592">
        <w:t>Prac</w:t>
      </w:r>
      <w:proofErr w:type="spellEnd"/>
      <w:r w:rsidR="00905D42" w:rsidRPr="00B45592">
        <w:t xml:space="preserve">. </w:t>
      </w:r>
      <w:r w:rsidR="00905D42">
        <w:t>Cas. (BNA) 1000</w:t>
      </w:r>
      <w:r w:rsidR="00905D42" w:rsidRPr="006E67FE">
        <w:t xml:space="preserve"> = 17 Empl. </w:t>
      </w:r>
      <w:proofErr w:type="spellStart"/>
      <w:r w:rsidR="00905D42" w:rsidRPr="006E67FE">
        <w:t>Prac</w:t>
      </w:r>
      <w:proofErr w:type="spellEnd"/>
      <w:r w:rsidR="00905D42" w:rsidRPr="006E67FE">
        <w:t xml:space="preserve">. </w:t>
      </w:r>
      <w:proofErr w:type="spellStart"/>
      <w:r w:rsidR="00905D42" w:rsidRPr="006E67FE">
        <w:t>Dec</w:t>
      </w:r>
      <w:proofErr w:type="spellEnd"/>
      <w:r w:rsidR="00905D42" w:rsidRPr="006E67FE">
        <w:t xml:space="preserve">. </w:t>
      </w:r>
      <w:r w:rsidR="00905D42">
        <w:t>[CCH] P8402 [1978]), widerlegt der historische Teil dieser Arbeit: Kapitel 2: § 1: C: II: 2 und E.</w:t>
      </w:r>
    </w:p>
  </w:footnote>
  <w:footnote w:id="1693">
    <w:p w14:paraId="7812387E" w14:textId="77777777" w:rsidR="00074551" w:rsidRPr="002365A5" w:rsidRDefault="00074551" w:rsidP="00074551">
      <w:pPr>
        <w:pStyle w:val="Funotentext"/>
        <w:rPr>
          <w:lang w:val="en-US"/>
        </w:rPr>
      </w:pPr>
      <w:r>
        <w:rPr>
          <w:rStyle w:val="Funotenzeichen"/>
          <w:rFonts w:eastAsiaTheme="majorEastAsia"/>
        </w:rPr>
        <w:footnoteRef/>
      </w:r>
      <w:r w:rsidRPr="002365A5">
        <w:rPr>
          <w:lang w:val="en-US"/>
        </w:rPr>
        <w:t xml:space="preserve"> </w:t>
      </w:r>
      <w:r w:rsidRPr="00D83E4F">
        <w:rPr>
          <w:i/>
          <w:lang w:val="en-US"/>
        </w:rPr>
        <w:t>Yick Wo v. Hopkins</w:t>
      </w:r>
      <w:r w:rsidRPr="002365A5">
        <w:rPr>
          <w:lang w:val="en-US"/>
        </w:rPr>
        <w:t>, 118 U.S. 356, 370</w:t>
      </w:r>
      <w:r w:rsidRPr="00EC5BEB">
        <w:rPr>
          <w:lang w:val="en-US"/>
        </w:rPr>
        <w:t xml:space="preserve"> = 6 S. Ct. </w:t>
      </w:r>
      <w:r w:rsidRPr="002365A5">
        <w:rPr>
          <w:lang w:val="en-US"/>
        </w:rPr>
        <w:t>1064, 1071</w:t>
      </w:r>
      <w:r>
        <w:rPr>
          <w:lang w:val="en-US"/>
        </w:rPr>
        <w:t xml:space="preserve"> = 30 L. Ed. </w:t>
      </w:r>
      <w:r w:rsidRPr="002365A5">
        <w:rPr>
          <w:lang w:val="en-US"/>
        </w:rPr>
        <w:t>220, 226</w:t>
      </w:r>
      <w:r w:rsidRPr="00EC5BEB">
        <w:rPr>
          <w:lang w:val="en-US"/>
        </w:rPr>
        <w:t xml:space="preserve"> = 1886 U.S. LEXIS </w:t>
      </w:r>
      <w:r w:rsidRPr="002365A5">
        <w:rPr>
          <w:lang w:val="en-US"/>
        </w:rPr>
        <w:t>1938, 28 (1886)</w:t>
      </w:r>
      <w:r>
        <w:rPr>
          <w:lang w:val="en-US"/>
        </w:rPr>
        <w:t>.</w:t>
      </w:r>
    </w:p>
  </w:footnote>
  <w:footnote w:id="1694">
    <w:p w14:paraId="6E0E2345" w14:textId="77777777" w:rsidR="00074551" w:rsidRPr="00A1330C" w:rsidRDefault="00074551" w:rsidP="00074551">
      <w:pPr>
        <w:pStyle w:val="Funotentext"/>
        <w:rPr>
          <w:lang w:val="en-US"/>
        </w:rPr>
      </w:pPr>
      <w:r>
        <w:rPr>
          <w:rStyle w:val="Funotenzeichen"/>
          <w:rFonts w:eastAsiaTheme="majorEastAsia"/>
        </w:rPr>
        <w:footnoteRef/>
      </w:r>
      <w:r w:rsidRPr="00A1330C">
        <w:rPr>
          <w:lang w:val="en-US"/>
        </w:rPr>
        <w:t xml:space="preserve"> </w:t>
      </w:r>
      <w:r w:rsidRPr="00D83E4F">
        <w:rPr>
          <w:i/>
          <w:lang w:val="en-US"/>
        </w:rPr>
        <w:t>Yick Wo v. Hopkins</w:t>
      </w:r>
      <w:r w:rsidRPr="00A1330C">
        <w:rPr>
          <w:lang w:val="en-US"/>
        </w:rPr>
        <w:t>, 118 U.S. 356, 367</w:t>
      </w:r>
      <w:r w:rsidRPr="00EC5BEB">
        <w:rPr>
          <w:lang w:val="en-US"/>
        </w:rPr>
        <w:t xml:space="preserve"> = 6 S. Ct. </w:t>
      </w:r>
      <w:r w:rsidRPr="00A1330C">
        <w:rPr>
          <w:lang w:val="en-US"/>
        </w:rPr>
        <w:t>1064, 1069</w:t>
      </w:r>
      <w:r>
        <w:rPr>
          <w:lang w:val="en-US"/>
        </w:rPr>
        <w:t xml:space="preserve"> = 30 L. Ed. </w:t>
      </w:r>
      <w:r w:rsidRPr="00A1330C">
        <w:rPr>
          <w:lang w:val="en-US"/>
        </w:rPr>
        <w:t>220, 225</w:t>
      </w:r>
      <w:r w:rsidRPr="00EC5BEB">
        <w:rPr>
          <w:lang w:val="en-US"/>
        </w:rPr>
        <w:t xml:space="preserve"> = 1886 U.S. LEXIS </w:t>
      </w:r>
      <w:r w:rsidRPr="00A1330C">
        <w:rPr>
          <w:lang w:val="en-US"/>
        </w:rPr>
        <w:t>1938, 22 (1886)</w:t>
      </w:r>
      <w:r>
        <w:rPr>
          <w:lang w:val="en-US"/>
        </w:rPr>
        <w:t>.</w:t>
      </w:r>
    </w:p>
  </w:footnote>
  <w:footnote w:id="1695">
    <w:p w14:paraId="2F6C04AE" w14:textId="77777777" w:rsidR="00074551" w:rsidRPr="002365A5" w:rsidRDefault="00074551" w:rsidP="00074551">
      <w:pPr>
        <w:pStyle w:val="Funotentext"/>
        <w:rPr>
          <w:lang w:val="en-US"/>
        </w:rPr>
      </w:pPr>
      <w:r>
        <w:rPr>
          <w:rStyle w:val="Funotenzeichen"/>
          <w:rFonts w:eastAsiaTheme="majorEastAsia"/>
        </w:rPr>
        <w:footnoteRef/>
      </w:r>
      <w:r w:rsidRPr="002365A5">
        <w:rPr>
          <w:lang w:val="en-US"/>
        </w:rPr>
        <w:t xml:space="preserve"> </w:t>
      </w:r>
      <w:r w:rsidRPr="00D83E4F">
        <w:rPr>
          <w:i/>
          <w:lang w:val="en-US"/>
        </w:rPr>
        <w:t>Yick Wo v. Hopkins</w:t>
      </w:r>
      <w:r w:rsidRPr="002365A5">
        <w:rPr>
          <w:lang w:val="en-US"/>
        </w:rPr>
        <w:t>, 118 U.S. 356, 370</w:t>
      </w:r>
      <w:r w:rsidRPr="00EC5BEB">
        <w:rPr>
          <w:lang w:val="en-US"/>
        </w:rPr>
        <w:t xml:space="preserve"> = 6 S. Ct. </w:t>
      </w:r>
      <w:r w:rsidRPr="002365A5">
        <w:rPr>
          <w:lang w:val="en-US"/>
        </w:rPr>
        <w:t>1064, 1071</w:t>
      </w:r>
      <w:r>
        <w:rPr>
          <w:lang w:val="en-US"/>
        </w:rPr>
        <w:t xml:space="preserve"> = 30 L. Ed. </w:t>
      </w:r>
      <w:r w:rsidRPr="002365A5">
        <w:rPr>
          <w:lang w:val="en-US"/>
        </w:rPr>
        <w:t>220, 226</w:t>
      </w:r>
      <w:r w:rsidRPr="00EC5BEB">
        <w:rPr>
          <w:lang w:val="en-US"/>
        </w:rPr>
        <w:t xml:space="preserve"> = 1886 U.S. LEXIS </w:t>
      </w:r>
      <w:r w:rsidRPr="002365A5">
        <w:rPr>
          <w:lang w:val="en-US"/>
        </w:rPr>
        <w:t>1938, 28 (1886)</w:t>
      </w:r>
      <w:r>
        <w:rPr>
          <w:lang w:val="en-US"/>
        </w:rPr>
        <w:t>.</w:t>
      </w:r>
    </w:p>
  </w:footnote>
  <w:footnote w:id="1696">
    <w:p w14:paraId="5DFC4F5E" w14:textId="77777777" w:rsidR="00074551" w:rsidRPr="002548BF" w:rsidRDefault="00074551" w:rsidP="00074551">
      <w:pPr>
        <w:pStyle w:val="Funotentext"/>
        <w:rPr>
          <w:lang w:val="en-US"/>
        </w:rPr>
      </w:pPr>
      <w:r>
        <w:rPr>
          <w:rStyle w:val="Funotenzeichen"/>
          <w:rFonts w:eastAsiaTheme="majorEastAsia"/>
        </w:rPr>
        <w:footnoteRef/>
      </w:r>
      <w:r w:rsidRPr="002548BF">
        <w:rPr>
          <w:lang w:val="en-US"/>
        </w:rPr>
        <w:t xml:space="preserve"> </w:t>
      </w:r>
      <w:r w:rsidRPr="00D83E4F">
        <w:rPr>
          <w:i/>
          <w:lang w:val="en-US"/>
        </w:rPr>
        <w:t>Yick Wo v. Hopkins</w:t>
      </w:r>
      <w:r w:rsidRPr="002548BF">
        <w:rPr>
          <w:lang w:val="en-US"/>
        </w:rPr>
        <w:t>, 118 U.S. 356, 370</w:t>
      </w:r>
      <w:r w:rsidRPr="00EC5BEB">
        <w:rPr>
          <w:lang w:val="en-US"/>
        </w:rPr>
        <w:t xml:space="preserve"> = 6 S. Ct. </w:t>
      </w:r>
      <w:r w:rsidRPr="002548BF">
        <w:rPr>
          <w:lang w:val="en-US"/>
        </w:rPr>
        <w:t>1064, 1071</w:t>
      </w:r>
      <w:r>
        <w:rPr>
          <w:lang w:val="en-US"/>
        </w:rPr>
        <w:t xml:space="preserve"> = 30 L. Ed. </w:t>
      </w:r>
      <w:r w:rsidRPr="002548BF">
        <w:rPr>
          <w:lang w:val="en-US"/>
        </w:rPr>
        <w:t>220, 226</w:t>
      </w:r>
      <w:r w:rsidRPr="00EC5BEB">
        <w:rPr>
          <w:lang w:val="en-US"/>
        </w:rPr>
        <w:t xml:space="preserve"> = 1886 U.S. LEXIS </w:t>
      </w:r>
      <w:r w:rsidRPr="002548BF">
        <w:rPr>
          <w:lang w:val="en-US"/>
        </w:rPr>
        <w:t>1938, 28 (1886)</w:t>
      </w:r>
      <w:r>
        <w:rPr>
          <w:lang w:val="en-US"/>
        </w:rPr>
        <w:t>.</w:t>
      </w:r>
    </w:p>
  </w:footnote>
  <w:footnote w:id="1697">
    <w:p w14:paraId="337D9FEB" w14:textId="77777777" w:rsidR="00074551" w:rsidRPr="002548BF" w:rsidRDefault="00074551" w:rsidP="00074551">
      <w:pPr>
        <w:pStyle w:val="Funotentext"/>
        <w:rPr>
          <w:lang w:val="en-US"/>
        </w:rPr>
      </w:pPr>
      <w:r>
        <w:rPr>
          <w:rStyle w:val="Funotenzeichen"/>
          <w:rFonts w:eastAsiaTheme="majorEastAsia"/>
        </w:rPr>
        <w:footnoteRef/>
      </w:r>
      <w:r w:rsidRPr="002548BF">
        <w:rPr>
          <w:lang w:val="en-US"/>
        </w:rPr>
        <w:t xml:space="preserve"> </w:t>
      </w:r>
      <w:r w:rsidRPr="00D83E4F">
        <w:rPr>
          <w:i/>
          <w:lang w:val="en-US"/>
        </w:rPr>
        <w:t>Yick Wo v. Hopkins</w:t>
      </w:r>
      <w:r w:rsidRPr="002548BF">
        <w:rPr>
          <w:lang w:val="en-US"/>
        </w:rPr>
        <w:t>, 118 U.S. 356, 370</w:t>
      </w:r>
      <w:r w:rsidRPr="00EC5BEB">
        <w:rPr>
          <w:lang w:val="en-US"/>
        </w:rPr>
        <w:t xml:space="preserve"> = 6 S. Ct. </w:t>
      </w:r>
      <w:r w:rsidRPr="002548BF">
        <w:rPr>
          <w:lang w:val="en-US"/>
        </w:rPr>
        <w:t>1064, 1071</w:t>
      </w:r>
      <w:r>
        <w:rPr>
          <w:lang w:val="en-US"/>
        </w:rPr>
        <w:t xml:space="preserve"> = 30 L. Ed. </w:t>
      </w:r>
      <w:r w:rsidRPr="002548BF">
        <w:rPr>
          <w:lang w:val="en-US"/>
        </w:rPr>
        <w:t>220, 226</w:t>
      </w:r>
      <w:r w:rsidRPr="00EC5BEB">
        <w:rPr>
          <w:lang w:val="en-US"/>
        </w:rPr>
        <w:t xml:space="preserve"> = 1886 U.S. LEXIS </w:t>
      </w:r>
      <w:r w:rsidRPr="002548BF">
        <w:rPr>
          <w:lang w:val="en-US"/>
        </w:rPr>
        <w:t>1938, 28 (1886)</w:t>
      </w:r>
      <w:r>
        <w:rPr>
          <w:lang w:val="en-US"/>
        </w:rPr>
        <w:t>.</w:t>
      </w:r>
    </w:p>
  </w:footnote>
  <w:footnote w:id="1698">
    <w:p w14:paraId="756CBAE2" w14:textId="77777777" w:rsidR="00074551" w:rsidRPr="009F07F2" w:rsidRDefault="00074551" w:rsidP="00074551">
      <w:pPr>
        <w:pStyle w:val="Funotentext"/>
        <w:rPr>
          <w:lang w:val="en-US"/>
        </w:rPr>
      </w:pPr>
      <w:r>
        <w:rPr>
          <w:rStyle w:val="Funotenzeichen"/>
          <w:rFonts w:eastAsiaTheme="majorEastAsia"/>
        </w:rPr>
        <w:footnoteRef/>
      </w:r>
      <w:r w:rsidRPr="009F07F2">
        <w:rPr>
          <w:lang w:val="en-US"/>
        </w:rPr>
        <w:t xml:space="preserve"> </w:t>
      </w:r>
      <w:r w:rsidRPr="00D83E4F">
        <w:rPr>
          <w:i/>
          <w:lang w:val="en-US"/>
        </w:rPr>
        <w:t>Yick Wo v. Hopkins</w:t>
      </w:r>
      <w:r w:rsidRPr="009F07F2">
        <w:rPr>
          <w:lang w:val="en-US"/>
        </w:rPr>
        <w:t>, 118 U.S. 356, 370</w:t>
      </w:r>
      <w:r w:rsidRPr="00EC5BEB">
        <w:rPr>
          <w:lang w:val="en-US"/>
        </w:rPr>
        <w:t xml:space="preserve"> = 6 S. Ct. </w:t>
      </w:r>
      <w:r w:rsidRPr="009F07F2">
        <w:rPr>
          <w:lang w:val="en-US"/>
        </w:rPr>
        <w:t>1064, 1071</w:t>
      </w:r>
      <w:r>
        <w:rPr>
          <w:lang w:val="en-US"/>
        </w:rPr>
        <w:t xml:space="preserve"> = 30 L. Ed. </w:t>
      </w:r>
      <w:r w:rsidRPr="009F07F2">
        <w:rPr>
          <w:lang w:val="en-US"/>
        </w:rPr>
        <w:t>220, 226</w:t>
      </w:r>
      <w:r w:rsidRPr="00EC5BEB">
        <w:rPr>
          <w:lang w:val="en-US"/>
        </w:rPr>
        <w:t xml:space="preserve"> = 1886 U.S. LEXIS </w:t>
      </w:r>
      <w:r w:rsidRPr="009F07F2">
        <w:rPr>
          <w:lang w:val="en-US"/>
        </w:rPr>
        <w:t>1938, 27 (1886)</w:t>
      </w:r>
      <w:r>
        <w:rPr>
          <w:lang w:val="en-US"/>
        </w:rPr>
        <w:t>.</w:t>
      </w:r>
    </w:p>
  </w:footnote>
  <w:footnote w:id="1699">
    <w:p w14:paraId="674A5900" w14:textId="77777777" w:rsidR="00074551" w:rsidRPr="007356D1" w:rsidRDefault="00074551" w:rsidP="00074551">
      <w:pPr>
        <w:pStyle w:val="Funotentext"/>
        <w:ind w:left="227" w:hanging="227"/>
        <w:rPr>
          <w:lang w:val="en-US"/>
        </w:rPr>
      </w:pPr>
      <w:r>
        <w:rPr>
          <w:rStyle w:val="Funotenzeichen"/>
          <w:rFonts w:eastAsiaTheme="majorEastAsia"/>
        </w:rPr>
        <w:footnoteRef/>
      </w:r>
      <w:r w:rsidRPr="007356D1">
        <w:rPr>
          <w:lang w:val="en-US"/>
        </w:rPr>
        <w:t xml:space="preserve"> </w:t>
      </w:r>
      <w:r w:rsidRPr="00D83E4F">
        <w:rPr>
          <w:i/>
          <w:lang w:val="en-US"/>
        </w:rPr>
        <w:t>Yick Wo v. Hopkins</w:t>
      </w:r>
      <w:r w:rsidRPr="007356D1">
        <w:rPr>
          <w:lang w:val="en-US"/>
        </w:rPr>
        <w:t>, 118 U.S. 356, 370</w:t>
      </w:r>
      <w:r w:rsidRPr="00EC5BEB">
        <w:rPr>
          <w:lang w:val="en-US"/>
        </w:rPr>
        <w:t xml:space="preserve"> = 6 S. Ct. </w:t>
      </w:r>
      <w:r w:rsidRPr="007356D1">
        <w:rPr>
          <w:lang w:val="en-US"/>
        </w:rPr>
        <w:t>1064, 1071</w:t>
      </w:r>
      <w:r>
        <w:rPr>
          <w:lang w:val="en-US"/>
        </w:rPr>
        <w:t xml:space="preserve"> = 30 L. Ed. </w:t>
      </w:r>
      <w:r w:rsidRPr="007356D1">
        <w:rPr>
          <w:lang w:val="en-US"/>
        </w:rPr>
        <w:t>220, 226</w:t>
      </w:r>
      <w:r w:rsidRPr="00EC5BEB">
        <w:rPr>
          <w:lang w:val="en-US"/>
        </w:rPr>
        <w:t xml:space="preserve"> = 1886 U.S. LEXIS </w:t>
      </w:r>
      <w:r w:rsidRPr="007356D1">
        <w:rPr>
          <w:lang w:val="en-US"/>
        </w:rPr>
        <w:t>1938, 27 (1886)</w:t>
      </w:r>
      <w:r>
        <w:rPr>
          <w:lang w:val="en-US"/>
        </w:rPr>
        <w:t>.</w:t>
      </w:r>
    </w:p>
  </w:footnote>
  <w:footnote w:id="1700">
    <w:p w14:paraId="2A453A3B" w14:textId="77777777" w:rsidR="00074551" w:rsidRPr="009F07F2" w:rsidRDefault="00074551" w:rsidP="00074551">
      <w:pPr>
        <w:pStyle w:val="Funotentext"/>
        <w:ind w:left="227" w:hanging="227"/>
        <w:rPr>
          <w:lang w:val="en-US"/>
        </w:rPr>
      </w:pPr>
      <w:r>
        <w:rPr>
          <w:rStyle w:val="Funotenzeichen"/>
          <w:rFonts w:eastAsiaTheme="majorEastAsia"/>
        </w:rPr>
        <w:footnoteRef/>
      </w:r>
      <w:r w:rsidRPr="009F07F2">
        <w:rPr>
          <w:lang w:val="en-US"/>
        </w:rPr>
        <w:t xml:space="preserve"> </w:t>
      </w:r>
      <w:r w:rsidRPr="00D83E4F">
        <w:rPr>
          <w:i/>
          <w:lang w:val="en-US"/>
        </w:rPr>
        <w:t>Yick Wo v. Hopkins</w:t>
      </w:r>
      <w:r w:rsidRPr="009F07F2">
        <w:rPr>
          <w:lang w:val="en-US"/>
        </w:rPr>
        <w:t>, 118 U.S. 356, 370</w:t>
      </w:r>
      <w:r w:rsidRPr="00EC5BEB">
        <w:rPr>
          <w:lang w:val="en-US"/>
        </w:rPr>
        <w:t xml:space="preserve"> = 6 S. Ct. </w:t>
      </w:r>
      <w:r w:rsidRPr="009F07F2">
        <w:rPr>
          <w:lang w:val="en-US"/>
        </w:rPr>
        <w:t>1064, 1071</w:t>
      </w:r>
      <w:r>
        <w:rPr>
          <w:lang w:val="en-US"/>
        </w:rPr>
        <w:t xml:space="preserve"> = 30 L. Ed. </w:t>
      </w:r>
      <w:r w:rsidRPr="009F07F2">
        <w:rPr>
          <w:lang w:val="en-US"/>
        </w:rPr>
        <w:t>220, 226</w:t>
      </w:r>
      <w:r w:rsidRPr="00EC5BEB">
        <w:rPr>
          <w:lang w:val="en-US"/>
        </w:rPr>
        <w:t xml:space="preserve"> = 1886 U.S. LEXIS </w:t>
      </w:r>
      <w:r w:rsidRPr="009F07F2">
        <w:rPr>
          <w:lang w:val="en-US"/>
        </w:rPr>
        <w:t>1938, 27 (1886)</w:t>
      </w:r>
      <w:r>
        <w:rPr>
          <w:lang w:val="en-US"/>
        </w:rPr>
        <w:t>.</w:t>
      </w:r>
    </w:p>
  </w:footnote>
  <w:footnote w:id="1701">
    <w:p w14:paraId="3CD7AC1F" w14:textId="77777777" w:rsidR="00074551" w:rsidRPr="00D659F3" w:rsidRDefault="00074551" w:rsidP="00074551">
      <w:pPr>
        <w:pStyle w:val="Funotentext"/>
        <w:rPr>
          <w:lang w:val="en-US"/>
        </w:rPr>
      </w:pPr>
      <w:r>
        <w:rPr>
          <w:rStyle w:val="Funotenzeichen"/>
          <w:rFonts w:eastAsiaTheme="majorEastAsia"/>
        </w:rPr>
        <w:footnoteRef/>
      </w:r>
      <w:r w:rsidRPr="00D659F3">
        <w:rPr>
          <w:lang w:val="en-US"/>
        </w:rPr>
        <w:t xml:space="preserve"> </w:t>
      </w:r>
      <w:r w:rsidRPr="00D83E4F">
        <w:rPr>
          <w:i/>
          <w:lang w:val="en-US"/>
        </w:rPr>
        <w:t>Yick Wo v. Hopkins</w:t>
      </w:r>
      <w:r w:rsidRPr="00D659F3">
        <w:rPr>
          <w:lang w:val="en-US"/>
        </w:rPr>
        <w:t>, 118 U.S. 356, 370</w:t>
      </w:r>
      <w:r w:rsidRPr="00EC5BEB">
        <w:rPr>
          <w:lang w:val="en-US"/>
        </w:rPr>
        <w:t xml:space="preserve"> = 6 S. Ct. </w:t>
      </w:r>
      <w:r w:rsidRPr="00D659F3">
        <w:rPr>
          <w:lang w:val="en-US"/>
        </w:rPr>
        <w:t>1064, 1071</w:t>
      </w:r>
      <w:r>
        <w:rPr>
          <w:lang w:val="en-US"/>
        </w:rPr>
        <w:t xml:space="preserve"> = 30 L. Ed. </w:t>
      </w:r>
      <w:r w:rsidRPr="00D659F3">
        <w:rPr>
          <w:lang w:val="en-US"/>
        </w:rPr>
        <w:t>220, 226</w:t>
      </w:r>
      <w:r w:rsidRPr="00EC5BEB">
        <w:rPr>
          <w:lang w:val="en-US"/>
        </w:rPr>
        <w:t xml:space="preserve"> = 1886 U.S. LEXIS </w:t>
      </w:r>
      <w:r w:rsidRPr="00D659F3">
        <w:rPr>
          <w:lang w:val="en-US"/>
        </w:rPr>
        <w:t>1938, 27 (1886)</w:t>
      </w:r>
      <w:r>
        <w:rPr>
          <w:lang w:val="en-US"/>
        </w:rPr>
        <w:t>.</w:t>
      </w:r>
    </w:p>
  </w:footnote>
  <w:footnote w:id="1702">
    <w:p w14:paraId="38F2EE10" w14:textId="77777777" w:rsidR="00074551" w:rsidRPr="00D659F3" w:rsidRDefault="00074551" w:rsidP="00074551">
      <w:pPr>
        <w:pStyle w:val="Funotentext"/>
        <w:rPr>
          <w:lang w:val="en-US"/>
        </w:rPr>
      </w:pPr>
      <w:r>
        <w:rPr>
          <w:rStyle w:val="Funotenzeichen"/>
          <w:rFonts w:eastAsiaTheme="majorEastAsia"/>
        </w:rPr>
        <w:footnoteRef/>
      </w:r>
      <w:r w:rsidRPr="00D659F3">
        <w:rPr>
          <w:lang w:val="en-US"/>
        </w:rPr>
        <w:t xml:space="preserve"> </w:t>
      </w:r>
      <w:r w:rsidRPr="00D83E4F">
        <w:rPr>
          <w:i/>
          <w:lang w:val="en-US"/>
        </w:rPr>
        <w:t>Yick Wo v. Hopkins</w:t>
      </w:r>
      <w:r w:rsidRPr="00D659F3">
        <w:rPr>
          <w:lang w:val="en-US"/>
        </w:rPr>
        <w:t>, 118 U.S. 356, 370</w:t>
      </w:r>
      <w:r w:rsidRPr="00EC5BEB">
        <w:rPr>
          <w:lang w:val="en-US"/>
        </w:rPr>
        <w:t xml:space="preserve"> = 6 S. Ct. </w:t>
      </w:r>
      <w:r w:rsidRPr="00D659F3">
        <w:rPr>
          <w:lang w:val="en-US"/>
        </w:rPr>
        <w:t>1064, 1071</w:t>
      </w:r>
      <w:r>
        <w:rPr>
          <w:lang w:val="en-US"/>
        </w:rPr>
        <w:t xml:space="preserve"> = 30 L. Ed. </w:t>
      </w:r>
      <w:r w:rsidRPr="00D659F3">
        <w:rPr>
          <w:lang w:val="en-US"/>
        </w:rPr>
        <w:t>220, 226</w:t>
      </w:r>
      <w:r w:rsidRPr="00EC5BEB">
        <w:rPr>
          <w:lang w:val="en-US"/>
        </w:rPr>
        <w:t xml:space="preserve"> = 1886 U.S. LEXIS </w:t>
      </w:r>
      <w:r w:rsidRPr="00D659F3">
        <w:rPr>
          <w:lang w:val="en-US"/>
        </w:rPr>
        <w:t>1938, 28 (1886)</w:t>
      </w:r>
      <w:r>
        <w:rPr>
          <w:lang w:val="en-US"/>
        </w:rPr>
        <w:t>.</w:t>
      </w:r>
    </w:p>
  </w:footnote>
  <w:footnote w:id="1703">
    <w:p w14:paraId="5AA3BC9E" w14:textId="77777777" w:rsidR="00074551" w:rsidRPr="005F5DCC" w:rsidRDefault="00074551" w:rsidP="00074551">
      <w:pPr>
        <w:pStyle w:val="Funotentext"/>
        <w:ind w:left="227" w:hanging="227"/>
        <w:rPr>
          <w:lang w:val="en-US"/>
        </w:rPr>
      </w:pPr>
      <w:r>
        <w:rPr>
          <w:rStyle w:val="Funotenzeichen"/>
          <w:rFonts w:eastAsiaTheme="majorEastAsia"/>
        </w:rPr>
        <w:footnoteRef/>
      </w:r>
      <w:r w:rsidRPr="005F5DCC">
        <w:rPr>
          <w:lang w:val="en-US"/>
        </w:rPr>
        <w:t xml:space="preserve"> </w:t>
      </w:r>
      <w:r w:rsidRPr="00D83E4F">
        <w:rPr>
          <w:i/>
          <w:lang w:val="en-US"/>
        </w:rPr>
        <w:t>Yick Wo v. Hopkins</w:t>
      </w:r>
      <w:r w:rsidRPr="005F5DCC">
        <w:rPr>
          <w:lang w:val="en-US"/>
        </w:rPr>
        <w:t>, 118 U.S. 356, 370</w:t>
      </w:r>
      <w:r w:rsidRPr="00EC5BEB">
        <w:rPr>
          <w:lang w:val="en-US"/>
        </w:rPr>
        <w:t xml:space="preserve"> = 6 S. Ct. </w:t>
      </w:r>
      <w:r w:rsidRPr="005F5DCC">
        <w:rPr>
          <w:lang w:val="en-US"/>
        </w:rPr>
        <w:t>1064, 1071</w:t>
      </w:r>
      <w:r>
        <w:rPr>
          <w:lang w:val="en-US"/>
        </w:rPr>
        <w:t xml:space="preserve"> = 30 L. Ed. </w:t>
      </w:r>
      <w:r w:rsidRPr="005F5DCC">
        <w:rPr>
          <w:lang w:val="en-US"/>
        </w:rPr>
        <w:t>220, 226</w:t>
      </w:r>
      <w:r w:rsidRPr="00EC5BEB">
        <w:rPr>
          <w:lang w:val="en-US"/>
        </w:rPr>
        <w:t xml:space="preserve"> = 1886 U.S. LEXIS </w:t>
      </w:r>
      <w:r w:rsidRPr="005F5DCC">
        <w:rPr>
          <w:lang w:val="en-US"/>
        </w:rPr>
        <w:t>1938, 28 (1886)</w:t>
      </w:r>
      <w:r>
        <w:rPr>
          <w:lang w:val="en-US"/>
        </w:rPr>
        <w:t>.</w:t>
      </w:r>
    </w:p>
  </w:footnote>
  <w:footnote w:id="1704">
    <w:p w14:paraId="5687ED50" w14:textId="77777777" w:rsidR="00074551" w:rsidRPr="00D659F3" w:rsidRDefault="00074551" w:rsidP="00074551">
      <w:pPr>
        <w:pStyle w:val="Funotentext"/>
        <w:rPr>
          <w:lang w:val="en-US"/>
        </w:rPr>
      </w:pPr>
      <w:r>
        <w:rPr>
          <w:rStyle w:val="Funotenzeichen"/>
          <w:rFonts w:eastAsiaTheme="majorEastAsia"/>
        </w:rPr>
        <w:footnoteRef/>
      </w:r>
      <w:r w:rsidRPr="00D659F3">
        <w:rPr>
          <w:lang w:val="en-US"/>
        </w:rPr>
        <w:t xml:space="preserve"> </w:t>
      </w:r>
      <w:r w:rsidRPr="00D83E4F">
        <w:rPr>
          <w:i/>
          <w:lang w:val="en-US"/>
        </w:rPr>
        <w:t>Yick Wo v. Hopkins</w:t>
      </w:r>
      <w:r w:rsidRPr="00D659F3">
        <w:rPr>
          <w:lang w:val="en-US"/>
        </w:rPr>
        <w:t>, 118 U.S. 356, 370</w:t>
      </w:r>
      <w:r w:rsidRPr="00EC5BEB">
        <w:rPr>
          <w:lang w:val="en-US"/>
        </w:rPr>
        <w:t xml:space="preserve"> = 6 S. Ct. </w:t>
      </w:r>
      <w:r w:rsidRPr="00D659F3">
        <w:rPr>
          <w:lang w:val="en-US"/>
        </w:rPr>
        <w:t>1064, 1071</w:t>
      </w:r>
      <w:r>
        <w:rPr>
          <w:lang w:val="en-US"/>
        </w:rPr>
        <w:t xml:space="preserve"> = 30 L. Ed. </w:t>
      </w:r>
      <w:r w:rsidRPr="00D659F3">
        <w:rPr>
          <w:lang w:val="en-US"/>
        </w:rPr>
        <w:t>220, 226</w:t>
      </w:r>
      <w:r w:rsidRPr="00EC5BEB">
        <w:rPr>
          <w:lang w:val="en-US"/>
        </w:rPr>
        <w:t xml:space="preserve"> = 1886 U.S. LEXIS </w:t>
      </w:r>
      <w:r w:rsidRPr="00D659F3">
        <w:rPr>
          <w:lang w:val="en-US"/>
        </w:rPr>
        <w:t>1938, 28 (1886)</w:t>
      </w:r>
      <w:r>
        <w:rPr>
          <w:lang w:val="en-US"/>
        </w:rPr>
        <w:t>.</w:t>
      </w:r>
    </w:p>
  </w:footnote>
  <w:footnote w:id="1705">
    <w:p w14:paraId="37A7EFD4" w14:textId="77777777" w:rsidR="00074551" w:rsidRPr="00D657B7" w:rsidRDefault="00074551" w:rsidP="00074551">
      <w:pPr>
        <w:pStyle w:val="Funotentext"/>
        <w:rPr>
          <w:lang w:val="en-US"/>
        </w:rPr>
      </w:pPr>
      <w:r>
        <w:rPr>
          <w:rStyle w:val="Funotenzeichen"/>
          <w:rFonts w:eastAsiaTheme="majorEastAsia"/>
        </w:rPr>
        <w:footnoteRef/>
      </w:r>
      <w:r w:rsidRPr="00D657B7">
        <w:rPr>
          <w:lang w:val="en-US"/>
        </w:rPr>
        <w:t xml:space="preserve"> </w:t>
      </w:r>
      <w:r w:rsidRPr="00D83E4F">
        <w:rPr>
          <w:i/>
          <w:lang w:val="en-US"/>
        </w:rPr>
        <w:t>Yick Wo v. Hopkins</w:t>
      </w:r>
      <w:r w:rsidRPr="00D657B7">
        <w:rPr>
          <w:lang w:val="en-US"/>
        </w:rPr>
        <w:t>, 118 U.S. 356, 367</w:t>
      </w:r>
      <w:r w:rsidRPr="00EC5BEB">
        <w:rPr>
          <w:lang w:val="en-US"/>
        </w:rPr>
        <w:t xml:space="preserve"> = 6 S. Ct. </w:t>
      </w:r>
      <w:r w:rsidRPr="00D657B7">
        <w:rPr>
          <w:lang w:val="en-US"/>
        </w:rPr>
        <w:t>1064, 1069</w:t>
      </w:r>
      <w:r>
        <w:rPr>
          <w:lang w:val="en-US"/>
        </w:rPr>
        <w:t xml:space="preserve"> = 30 L. Ed. </w:t>
      </w:r>
      <w:r w:rsidRPr="00D657B7">
        <w:rPr>
          <w:lang w:val="en-US"/>
        </w:rPr>
        <w:t>220, 225</w:t>
      </w:r>
      <w:r w:rsidRPr="00EC5BEB">
        <w:rPr>
          <w:lang w:val="en-US"/>
        </w:rPr>
        <w:t xml:space="preserve"> = 1886 U.S. LEXIS </w:t>
      </w:r>
      <w:r w:rsidRPr="00D657B7">
        <w:rPr>
          <w:lang w:val="en-US"/>
        </w:rPr>
        <w:t>1938, 22 (1886)</w:t>
      </w:r>
      <w:r>
        <w:rPr>
          <w:lang w:val="en-US"/>
        </w:rPr>
        <w:t>.</w:t>
      </w:r>
    </w:p>
  </w:footnote>
  <w:footnote w:id="1706">
    <w:p w14:paraId="40A862B8" w14:textId="77777777" w:rsidR="00074551" w:rsidRPr="00D657B7" w:rsidRDefault="00074551" w:rsidP="00074551">
      <w:pPr>
        <w:pStyle w:val="Funotentext"/>
        <w:rPr>
          <w:lang w:val="en-US"/>
        </w:rPr>
      </w:pPr>
      <w:r>
        <w:rPr>
          <w:rStyle w:val="Funotenzeichen"/>
          <w:rFonts w:eastAsiaTheme="majorEastAsia"/>
        </w:rPr>
        <w:footnoteRef/>
      </w:r>
      <w:r w:rsidRPr="00D657B7">
        <w:rPr>
          <w:lang w:val="en-US"/>
        </w:rPr>
        <w:t xml:space="preserve"> </w:t>
      </w:r>
      <w:r w:rsidRPr="00D83E4F">
        <w:rPr>
          <w:i/>
          <w:lang w:val="en-US"/>
        </w:rPr>
        <w:t>Yick Wo v. Hopkins</w:t>
      </w:r>
      <w:r w:rsidRPr="00D657B7">
        <w:rPr>
          <w:lang w:val="en-US"/>
        </w:rPr>
        <w:t>, 118 U.S. 356, 370</w:t>
      </w:r>
      <w:r w:rsidRPr="00EC5BEB">
        <w:rPr>
          <w:lang w:val="en-US"/>
        </w:rPr>
        <w:t xml:space="preserve"> = 6 S. Ct. </w:t>
      </w:r>
      <w:r w:rsidRPr="00D657B7">
        <w:rPr>
          <w:lang w:val="en-US"/>
        </w:rPr>
        <w:t>1064, 1071</w:t>
      </w:r>
      <w:r>
        <w:rPr>
          <w:lang w:val="en-US"/>
        </w:rPr>
        <w:t xml:space="preserve"> = 30 L. Ed. </w:t>
      </w:r>
      <w:r w:rsidRPr="00D657B7">
        <w:rPr>
          <w:lang w:val="en-US"/>
        </w:rPr>
        <w:t>220, 226</w:t>
      </w:r>
      <w:r w:rsidRPr="00EC5BEB">
        <w:rPr>
          <w:lang w:val="en-US"/>
        </w:rPr>
        <w:t xml:space="preserve"> = 1886 U.S. LEXIS </w:t>
      </w:r>
      <w:r w:rsidRPr="00D657B7">
        <w:rPr>
          <w:lang w:val="en-US"/>
        </w:rPr>
        <w:t>1938, 28 (1886)</w:t>
      </w:r>
      <w:r>
        <w:rPr>
          <w:lang w:val="en-US"/>
        </w:rPr>
        <w:t>.</w:t>
      </w:r>
    </w:p>
  </w:footnote>
  <w:footnote w:id="1707">
    <w:p w14:paraId="16E00A5B" w14:textId="77777777" w:rsidR="00074551" w:rsidRPr="00D657B7" w:rsidRDefault="00074551" w:rsidP="00074551">
      <w:pPr>
        <w:pStyle w:val="Funotentext"/>
        <w:rPr>
          <w:lang w:val="en-US"/>
        </w:rPr>
      </w:pPr>
      <w:r>
        <w:rPr>
          <w:rStyle w:val="Funotenzeichen"/>
          <w:rFonts w:eastAsiaTheme="majorEastAsia"/>
        </w:rPr>
        <w:footnoteRef/>
      </w:r>
      <w:r w:rsidRPr="00D657B7">
        <w:rPr>
          <w:lang w:val="en-US"/>
        </w:rPr>
        <w:t xml:space="preserve"> </w:t>
      </w:r>
      <w:r w:rsidRPr="00D83E4F">
        <w:rPr>
          <w:i/>
          <w:lang w:val="en-US"/>
        </w:rPr>
        <w:t>Yick Wo v. Hopkins</w:t>
      </w:r>
      <w:r w:rsidRPr="00D657B7">
        <w:rPr>
          <w:lang w:val="en-US"/>
        </w:rPr>
        <w:t>, 118 U.S. 356, 370</w:t>
      </w:r>
      <w:r w:rsidRPr="00EC5BEB">
        <w:rPr>
          <w:lang w:val="en-US"/>
        </w:rPr>
        <w:t xml:space="preserve"> = 6 S. Ct. </w:t>
      </w:r>
      <w:r w:rsidRPr="00D657B7">
        <w:rPr>
          <w:lang w:val="en-US"/>
        </w:rPr>
        <w:t>1064, 1071</w:t>
      </w:r>
      <w:r>
        <w:rPr>
          <w:lang w:val="en-US"/>
        </w:rPr>
        <w:t xml:space="preserve"> = 30 L. Ed. </w:t>
      </w:r>
      <w:r w:rsidRPr="00D657B7">
        <w:rPr>
          <w:lang w:val="en-US"/>
        </w:rPr>
        <w:t>220, 226</w:t>
      </w:r>
      <w:r w:rsidRPr="00EC5BEB">
        <w:rPr>
          <w:lang w:val="en-US"/>
        </w:rPr>
        <w:t xml:space="preserve"> = 1886 U.S. LEXIS </w:t>
      </w:r>
      <w:r w:rsidRPr="00D657B7">
        <w:rPr>
          <w:lang w:val="en-US"/>
        </w:rPr>
        <w:t>1938, 28 (1886)</w:t>
      </w:r>
      <w:r>
        <w:rPr>
          <w:lang w:val="en-US"/>
        </w:rPr>
        <w:t>.</w:t>
      </w:r>
    </w:p>
  </w:footnote>
  <w:footnote w:id="1708">
    <w:p w14:paraId="2BFA12E9" w14:textId="77777777" w:rsidR="00074551" w:rsidRPr="00D657B7" w:rsidRDefault="00074551" w:rsidP="00074551">
      <w:pPr>
        <w:pStyle w:val="Funotentext"/>
        <w:rPr>
          <w:lang w:val="en-US"/>
        </w:rPr>
      </w:pPr>
      <w:r>
        <w:rPr>
          <w:rStyle w:val="Funotenzeichen"/>
          <w:rFonts w:eastAsiaTheme="majorEastAsia"/>
        </w:rPr>
        <w:footnoteRef/>
      </w:r>
      <w:r w:rsidRPr="00D657B7">
        <w:rPr>
          <w:lang w:val="en-US"/>
        </w:rPr>
        <w:t xml:space="preserve"> </w:t>
      </w:r>
      <w:r w:rsidRPr="00D83E4F">
        <w:rPr>
          <w:i/>
          <w:lang w:val="en-US"/>
        </w:rPr>
        <w:t>Yick Wo v. Hopkins</w:t>
      </w:r>
      <w:r w:rsidRPr="00D657B7">
        <w:rPr>
          <w:lang w:val="en-US"/>
        </w:rPr>
        <w:t>, 118 U.S. 356, 370</w:t>
      </w:r>
      <w:r w:rsidRPr="00EC5BEB">
        <w:rPr>
          <w:lang w:val="en-US"/>
        </w:rPr>
        <w:t xml:space="preserve"> = 6 S. Ct. </w:t>
      </w:r>
      <w:r w:rsidRPr="00D657B7">
        <w:rPr>
          <w:lang w:val="en-US"/>
        </w:rPr>
        <w:t>1064, 1071</w:t>
      </w:r>
      <w:r>
        <w:rPr>
          <w:lang w:val="en-US"/>
        </w:rPr>
        <w:t xml:space="preserve"> = 30 L. Ed. </w:t>
      </w:r>
      <w:r w:rsidRPr="00D657B7">
        <w:rPr>
          <w:lang w:val="en-US"/>
        </w:rPr>
        <w:t>220, 226</w:t>
      </w:r>
      <w:r w:rsidRPr="00EC5BEB">
        <w:rPr>
          <w:lang w:val="en-US"/>
        </w:rPr>
        <w:t xml:space="preserve"> = 1886 U.S. LEXIS </w:t>
      </w:r>
      <w:r w:rsidRPr="00D657B7">
        <w:rPr>
          <w:lang w:val="en-US"/>
        </w:rPr>
        <w:t>1938, 28 (1886)</w:t>
      </w:r>
      <w:r>
        <w:rPr>
          <w:lang w:val="en-US"/>
        </w:rPr>
        <w:t>.</w:t>
      </w:r>
    </w:p>
  </w:footnote>
  <w:footnote w:id="1709">
    <w:p w14:paraId="33B443EB" w14:textId="77777777" w:rsidR="00074551" w:rsidRPr="00D657B7" w:rsidRDefault="00074551" w:rsidP="00074551">
      <w:pPr>
        <w:pStyle w:val="Funotentext"/>
        <w:rPr>
          <w:lang w:val="en-US"/>
        </w:rPr>
      </w:pPr>
      <w:r>
        <w:rPr>
          <w:rStyle w:val="Funotenzeichen"/>
          <w:rFonts w:eastAsiaTheme="majorEastAsia"/>
        </w:rPr>
        <w:footnoteRef/>
      </w:r>
      <w:r w:rsidRPr="00D657B7">
        <w:rPr>
          <w:lang w:val="en-US"/>
        </w:rPr>
        <w:t xml:space="preserve"> </w:t>
      </w:r>
      <w:r w:rsidRPr="00D83E4F">
        <w:rPr>
          <w:i/>
          <w:lang w:val="en-US"/>
        </w:rPr>
        <w:t>Yick Wo v. Hopkins</w:t>
      </w:r>
      <w:r w:rsidRPr="00D657B7">
        <w:rPr>
          <w:lang w:val="en-US"/>
        </w:rPr>
        <w:t>, 118 U.S. 356, 370</w:t>
      </w:r>
      <w:r w:rsidRPr="00EC5BEB">
        <w:rPr>
          <w:lang w:val="en-US"/>
        </w:rPr>
        <w:t xml:space="preserve"> = 6 S. Ct. </w:t>
      </w:r>
      <w:r w:rsidRPr="00D657B7">
        <w:rPr>
          <w:lang w:val="en-US"/>
        </w:rPr>
        <w:t>1064, 1071</w:t>
      </w:r>
      <w:r>
        <w:rPr>
          <w:lang w:val="en-US"/>
        </w:rPr>
        <w:t xml:space="preserve"> = 30 L. Ed. </w:t>
      </w:r>
      <w:r w:rsidRPr="00D657B7">
        <w:rPr>
          <w:lang w:val="en-US"/>
        </w:rPr>
        <w:t>220, 226</w:t>
      </w:r>
      <w:r w:rsidRPr="00EC5BEB">
        <w:rPr>
          <w:lang w:val="en-US"/>
        </w:rPr>
        <w:t xml:space="preserve"> = 1886 U.S. LEXIS </w:t>
      </w:r>
      <w:r w:rsidRPr="00D657B7">
        <w:rPr>
          <w:lang w:val="en-US"/>
        </w:rPr>
        <w:t>1938, 28 (1886)</w:t>
      </w:r>
      <w:r>
        <w:rPr>
          <w:lang w:val="en-US"/>
        </w:rPr>
        <w:t>.</w:t>
      </w:r>
    </w:p>
  </w:footnote>
  <w:footnote w:id="1710">
    <w:p w14:paraId="259E6EF5" w14:textId="77777777" w:rsidR="00074551" w:rsidRPr="00634DA0" w:rsidRDefault="00074551" w:rsidP="00074551">
      <w:pPr>
        <w:pStyle w:val="Funotentext"/>
        <w:ind w:left="227" w:hanging="227"/>
        <w:jc w:val="both"/>
        <w:rPr>
          <w:lang w:val="en-US"/>
        </w:rPr>
      </w:pPr>
      <w:r>
        <w:rPr>
          <w:rStyle w:val="Funotenzeichen"/>
          <w:rFonts w:eastAsiaTheme="majorEastAsia"/>
        </w:rPr>
        <w:footnoteRef/>
      </w:r>
      <w:r w:rsidRPr="00634DA0">
        <w:rPr>
          <w:lang w:val="en-US"/>
        </w:rPr>
        <w:t xml:space="preserve"> </w:t>
      </w:r>
      <w:r w:rsidRPr="00584023">
        <w:rPr>
          <w:i/>
          <w:lang w:val="en-US"/>
        </w:rPr>
        <w:t>United States v. Wheeler</w:t>
      </w:r>
      <w:r w:rsidRPr="00634DA0">
        <w:rPr>
          <w:lang w:val="en-US"/>
        </w:rPr>
        <w:t>, 254 U.S. 281, 298</w:t>
      </w:r>
      <w:r w:rsidRPr="006E67FE">
        <w:rPr>
          <w:lang w:val="en-US"/>
        </w:rPr>
        <w:t xml:space="preserve"> = 41 S. Ct</w:t>
      </w:r>
      <w:r w:rsidRPr="00634DA0">
        <w:rPr>
          <w:lang w:val="en-US"/>
        </w:rPr>
        <w:t>. 133, 136</w:t>
      </w:r>
      <w:r w:rsidRPr="00EC5BEB">
        <w:rPr>
          <w:lang w:val="en-US"/>
        </w:rPr>
        <w:t xml:space="preserve"> = 1920 U.S. LEXIS </w:t>
      </w:r>
      <w:r w:rsidRPr="00634DA0">
        <w:rPr>
          <w:lang w:val="en-US"/>
        </w:rPr>
        <w:t>1159, 30</w:t>
      </w:r>
      <w:r>
        <w:rPr>
          <w:lang w:val="en-US"/>
        </w:rPr>
        <w:t xml:space="preserve"> = 65 L. Ed. </w:t>
      </w:r>
      <w:r w:rsidRPr="00634DA0">
        <w:rPr>
          <w:lang w:val="en-US"/>
        </w:rPr>
        <w:t>270 (1920)</w:t>
      </w:r>
      <w:r>
        <w:rPr>
          <w:lang w:val="en-US"/>
        </w:rPr>
        <w:t>.</w:t>
      </w:r>
    </w:p>
  </w:footnote>
  <w:footnote w:id="1711">
    <w:p w14:paraId="4A1365A6" w14:textId="77777777" w:rsidR="00074551" w:rsidRPr="00634DA0" w:rsidRDefault="00074551" w:rsidP="00074551">
      <w:pPr>
        <w:pStyle w:val="Funotentext"/>
        <w:ind w:left="227" w:hanging="227"/>
        <w:jc w:val="both"/>
        <w:rPr>
          <w:lang w:val="en-US"/>
        </w:rPr>
      </w:pPr>
      <w:r>
        <w:rPr>
          <w:rStyle w:val="Funotenzeichen"/>
          <w:rFonts w:eastAsiaTheme="majorEastAsia"/>
        </w:rPr>
        <w:footnoteRef/>
      </w:r>
      <w:r w:rsidRPr="00634DA0">
        <w:rPr>
          <w:lang w:val="en-US"/>
        </w:rPr>
        <w:t xml:space="preserve"> </w:t>
      </w:r>
      <w:r w:rsidRPr="00584023">
        <w:rPr>
          <w:i/>
          <w:lang w:val="en-US"/>
        </w:rPr>
        <w:t>United States v. Wheeler</w:t>
      </w:r>
      <w:r w:rsidRPr="00634DA0">
        <w:rPr>
          <w:lang w:val="en-US"/>
        </w:rPr>
        <w:t>, 254 U.S. 281, 298</w:t>
      </w:r>
      <w:r w:rsidRPr="006E67FE">
        <w:rPr>
          <w:lang w:val="en-US"/>
        </w:rPr>
        <w:t xml:space="preserve"> = 41 S. Ct</w:t>
      </w:r>
      <w:r w:rsidRPr="00634DA0">
        <w:rPr>
          <w:lang w:val="en-US"/>
        </w:rPr>
        <w:t>. 133, 136</w:t>
      </w:r>
      <w:r w:rsidRPr="00EC5BEB">
        <w:rPr>
          <w:lang w:val="en-US"/>
        </w:rPr>
        <w:t xml:space="preserve"> = 1920 U.S. LEXIS </w:t>
      </w:r>
      <w:r w:rsidRPr="00634DA0">
        <w:rPr>
          <w:lang w:val="en-US"/>
        </w:rPr>
        <w:t>1159, 30</w:t>
      </w:r>
      <w:r>
        <w:rPr>
          <w:lang w:val="en-US"/>
        </w:rPr>
        <w:t xml:space="preserve"> = 65 L. Ed. </w:t>
      </w:r>
      <w:r w:rsidRPr="00634DA0">
        <w:rPr>
          <w:lang w:val="en-US"/>
        </w:rPr>
        <w:t>270 (1920)</w:t>
      </w:r>
      <w:r>
        <w:rPr>
          <w:lang w:val="en-US"/>
        </w:rPr>
        <w:t>.</w:t>
      </w:r>
    </w:p>
  </w:footnote>
  <w:footnote w:id="1712">
    <w:p w14:paraId="652F776E" w14:textId="77777777" w:rsidR="00074551" w:rsidRPr="00634DA0" w:rsidRDefault="00074551" w:rsidP="00074551">
      <w:pPr>
        <w:pStyle w:val="Funotentext"/>
        <w:ind w:left="227" w:hanging="227"/>
        <w:jc w:val="both"/>
        <w:rPr>
          <w:lang w:val="en-US"/>
        </w:rPr>
      </w:pPr>
      <w:r>
        <w:rPr>
          <w:rStyle w:val="Funotenzeichen"/>
          <w:rFonts w:eastAsiaTheme="majorEastAsia"/>
        </w:rPr>
        <w:footnoteRef/>
      </w:r>
      <w:r w:rsidRPr="00634DA0">
        <w:rPr>
          <w:lang w:val="en-US"/>
        </w:rPr>
        <w:t xml:space="preserve"> </w:t>
      </w:r>
      <w:r w:rsidRPr="00584023">
        <w:rPr>
          <w:i/>
          <w:lang w:val="en-US"/>
        </w:rPr>
        <w:t>United States v. Wheeler</w:t>
      </w:r>
      <w:r w:rsidRPr="00634DA0">
        <w:rPr>
          <w:lang w:val="en-US"/>
        </w:rPr>
        <w:t>, 254 U.S. 281, 298</w:t>
      </w:r>
      <w:r w:rsidRPr="006E67FE">
        <w:rPr>
          <w:lang w:val="en-US"/>
        </w:rPr>
        <w:t xml:space="preserve"> = 41 S. Ct</w:t>
      </w:r>
      <w:r w:rsidRPr="00634DA0">
        <w:rPr>
          <w:lang w:val="en-US"/>
        </w:rPr>
        <w:t>. 133, 136</w:t>
      </w:r>
      <w:r w:rsidRPr="00EC5BEB">
        <w:rPr>
          <w:lang w:val="en-US"/>
        </w:rPr>
        <w:t xml:space="preserve"> = 1920 U.S. LEXIS </w:t>
      </w:r>
      <w:r w:rsidRPr="00634DA0">
        <w:rPr>
          <w:lang w:val="en-US"/>
        </w:rPr>
        <w:t>1159, 30</w:t>
      </w:r>
      <w:r>
        <w:rPr>
          <w:lang w:val="en-US"/>
        </w:rPr>
        <w:t xml:space="preserve"> = 65 L. Ed. </w:t>
      </w:r>
      <w:r w:rsidRPr="00634DA0">
        <w:rPr>
          <w:lang w:val="en-US"/>
        </w:rPr>
        <w:t>270 (1920)</w:t>
      </w:r>
      <w:r>
        <w:rPr>
          <w:lang w:val="en-US"/>
        </w:rPr>
        <w:t>.</w:t>
      </w:r>
    </w:p>
  </w:footnote>
  <w:footnote w:id="1713">
    <w:p w14:paraId="6905A6E7" w14:textId="77777777" w:rsidR="00074551" w:rsidRPr="00634DA0" w:rsidRDefault="00074551" w:rsidP="00074551">
      <w:pPr>
        <w:pStyle w:val="Funotentext"/>
        <w:ind w:left="227" w:hanging="227"/>
        <w:jc w:val="both"/>
        <w:rPr>
          <w:lang w:val="en-US"/>
        </w:rPr>
      </w:pPr>
      <w:r>
        <w:rPr>
          <w:rStyle w:val="Funotenzeichen"/>
          <w:rFonts w:eastAsiaTheme="majorEastAsia"/>
        </w:rPr>
        <w:footnoteRef/>
      </w:r>
      <w:r w:rsidRPr="00634DA0">
        <w:rPr>
          <w:lang w:val="en-US"/>
        </w:rPr>
        <w:t xml:space="preserve"> </w:t>
      </w:r>
      <w:r w:rsidRPr="00584023">
        <w:rPr>
          <w:i/>
          <w:lang w:val="en-US"/>
        </w:rPr>
        <w:t>United States v. Wheeler</w:t>
      </w:r>
      <w:r w:rsidRPr="00634DA0">
        <w:rPr>
          <w:lang w:val="en-US"/>
        </w:rPr>
        <w:t>, 254 U.S. 281, 293</w:t>
      </w:r>
      <w:r w:rsidRPr="006E67FE">
        <w:rPr>
          <w:lang w:val="en-US"/>
        </w:rPr>
        <w:t xml:space="preserve"> = 41 S. Ct</w:t>
      </w:r>
      <w:r w:rsidRPr="00634DA0">
        <w:rPr>
          <w:lang w:val="en-US"/>
        </w:rPr>
        <w:t>. 133, 134</w:t>
      </w:r>
      <w:r w:rsidRPr="00EC5BEB">
        <w:rPr>
          <w:lang w:val="en-US"/>
        </w:rPr>
        <w:t xml:space="preserve"> = 1920 U.S. LEXIS </w:t>
      </w:r>
      <w:r w:rsidRPr="00634DA0">
        <w:rPr>
          <w:lang w:val="en-US"/>
        </w:rPr>
        <w:t>1159, 22</w:t>
      </w:r>
      <w:r>
        <w:rPr>
          <w:lang w:val="en-US"/>
        </w:rPr>
        <w:t xml:space="preserve"> = 65 L. Ed. </w:t>
      </w:r>
      <w:r w:rsidRPr="00634DA0">
        <w:rPr>
          <w:lang w:val="en-US"/>
        </w:rPr>
        <w:t>270 (1920)</w:t>
      </w:r>
      <w:r>
        <w:rPr>
          <w:lang w:val="en-US"/>
        </w:rPr>
        <w:t>.</w:t>
      </w:r>
    </w:p>
  </w:footnote>
  <w:footnote w:id="1714">
    <w:p w14:paraId="18E0D3FF" w14:textId="77777777" w:rsidR="00074551" w:rsidRPr="009162C9" w:rsidRDefault="00074551" w:rsidP="00074551">
      <w:pPr>
        <w:pStyle w:val="Funotentext"/>
        <w:jc w:val="both"/>
        <w:rPr>
          <w:lang w:val="en-US"/>
        </w:rPr>
      </w:pPr>
      <w:r>
        <w:rPr>
          <w:rStyle w:val="Funotenzeichen"/>
          <w:rFonts w:eastAsiaTheme="majorEastAsia"/>
        </w:rPr>
        <w:footnoteRef/>
      </w:r>
      <w:r w:rsidRPr="009162C9">
        <w:rPr>
          <w:lang w:val="en-US"/>
        </w:rPr>
        <w:t xml:space="preserve"> </w:t>
      </w:r>
      <w:r w:rsidRPr="00546F93">
        <w:rPr>
          <w:i/>
          <w:lang w:val="en-US"/>
        </w:rPr>
        <w:t>Paul v. Virginia</w:t>
      </w:r>
      <w:r>
        <w:rPr>
          <w:lang w:val="en-US"/>
        </w:rPr>
        <w:t xml:space="preserve">, 8 Wall. </w:t>
      </w:r>
      <w:r w:rsidRPr="009162C9">
        <w:rPr>
          <w:lang w:val="en-US"/>
        </w:rPr>
        <w:t>168, 180</w:t>
      </w:r>
      <w:r>
        <w:rPr>
          <w:lang w:val="en-US"/>
        </w:rPr>
        <w:t xml:space="preserve">; </w:t>
      </w:r>
      <w:r w:rsidRPr="00584023">
        <w:rPr>
          <w:i/>
          <w:lang w:val="en-US"/>
        </w:rPr>
        <w:t>United States v. Wheeler</w:t>
      </w:r>
      <w:r w:rsidRPr="009162C9">
        <w:rPr>
          <w:lang w:val="en-US"/>
        </w:rPr>
        <w:t>, 254 U.S. 281, 295</w:t>
      </w:r>
      <w:r w:rsidRPr="006E67FE">
        <w:rPr>
          <w:lang w:val="en-US"/>
        </w:rPr>
        <w:t xml:space="preserve"> = 41 S. Ct</w:t>
      </w:r>
      <w:r w:rsidRPr="009162C9">
        <w:rPr>
          <w:lang w:val="en-US"/>
        </w:rPr>
        <w:t>. 133, 134</w:t>
      </w:r>
      <w:r w:rsidRPr="00EC5BEB">
        <w:rPr>
          <w:lang w:val="en-US"/>
        </w:rPr>
        <w:t xml:space="preserve"> = 1920 U.S. LEXIS </w:t>
      </w:r>
      <w:r w:rsidRPr="009162C9">
        <w:rPr>
          <w:lang w:val="en-US"/>
        </w:rPr>
        <w:t>1159, 24</w:t>
      </w:r>
      <w:r>
        <w:rPr>
          <w:lang w:val="en-US"/>
        </w:rPr>
        <w:t xml:space="preserve"> = 65 L. Ed. </w:t>
      </w:r>
      <w:r w:rsidRPr="009162C9">
        <w:rPr>
          <w:lang w:val="en-US"/>
        </w:rPr>
        <w:t>270 (1920)</w:t>
      </w:r>
      <w:r>
        <w:rPr>
          <w:lang w:val="en-US"/>
        </w:rPr>
        <w:t>.</w:t>
      </w:r>
    </w:p>
  </w:footnote>
  <w:footnote w:id="1715">
    <w:p w14:paraId="04319C95" w14:textId="77777777" w:rsidR="00074551" w:rsidRPr="009162C9" w:rsidRDefault="00074551" w:rsidP="00074551">
      <w:pPr>
        <w:pStyle w:val="Funotentext"/>
        <w:jc w:val="both"/>
        <w:rPr>
          <w:lang w:val="en-US"/>
        </w:rPr>
      </w:pPr>
      <w:r>
        <w:rPr>
          <w:rStyle w:val="Funotenzeichen"/>
          <w:rFonts w:eastAsiaTheme="majorEastAsia"/>
        </w:rPr>
        <w:footnoteRef/>
      </w:r>
      <w:r w:rsidRPr="009162C9">
        <w:rPr>
          <w:lang w:val="en-US"/>
        </w:rPr>
        <w:t xml:space="preserve"> </w:t>
      </w:r>
      <w:r w:rsidRPr="00584023">
        <w:rPr>
          <w:i/>
          <w:lang w:val="en-US"/>
        </w:rPr>
        <w:t>United States v. Wheeler</w:t>
      </w:r>
      <w:r w:rsidRPr="009162C9">
        <w:rPr>
          <w:lang w:val="en-US"/>
        </w:rPr>
        <w:t>, 254 U.S. 281, 295</w:t>
      </w:r>
      <w:r w:rsidRPr="006E67FE">
        <w:rPr>
          <w:lang w:val="en-US"/>
        </w:rPr>
        <w:t xml:space="preserve"> = 41 S. Ct</w:t>
      </w:r>
      <w:r w:rsidRPr="009162C9">
        <w:rPr>
          <w:lang w:val="en-US"/>
        </w:rPr>
        <w:t>. 133, 135</w:t>
      </w:r>
      <w:r w:rsidRPr="00EC5BEB">
        <w:rPr>
          <w:lang w:val="en-US"/>
        </w:rPr>
        <w:t xml:space="preserve"> = 1920 U.S. LEXIS </w:t>
      </w:r>
      <w:r w:rsidRPr="009162C9">
        <w:rPr>
          <w:lang w:val="en-US"/>
        </w:rPr>
        <w:t>1159, 25</w:t>
      </w:r>
      <w:r>
        <w:rPr>
          <w:lang w:val="en-US"/>
        </w:rPr>
        <w:t xml:space="preserve"> = 65 L. Ed. </w:t>
      </w:r>
      <w:r w:rsidRPr="009162C9">
        <w:rPr>
          <w:lang w:val="en-US"/>
        </w:rPr>
        <w:t>270 (1920)</w:t>
      </w:r>
      <w:r>
        <w:rPr>
          <w:lang w:val="en-US"/>
        </w:rPr>
        <w:t>.</w:t>
      </w:r>
    </w:p>
  </w:footnote>
  <w:footnote w:id="1716">
    <w:p w14:paraId="7E50A36B" w14:textId="77777777" w:rsidR="00074551" w:rsidRPr="003A65A3" w:rsidRDefault="00074551" w:rsidP="00074551">
      <w:pPr>
        <w:pStyle w:val="Funotentext"/>
        <w:jc w:val="both"/>
        <w:rPr>
          <w:lang w:val="en-US"/>
        </w:rPr>
      </w:pPr>
      <w:r>
        <w:rPr>
          <w:rStyle w:val="Funotenzeichen"/>
          <w:rFonts w:eastAsiaTheme="majorEastAsia"/>
        </w:rPr>
        <w:footnoteRef/>
      </w:r>
      <w:r w:rsidRPr="003A65A3">
        <w:rPr>
          <w:lang w:val="en-US"/>
        </w:rPr>
        <w:t xml:space="preserve"> </w:t>
      </w:r>
      <w:r w:rsidRPr="00546F93">
        <w:rPr>
          <w:i/>
          <w:lang w:val="en-US"/>
        </w:rPr>
        <w:t>Paul v. Virginia</w:t>
      </w:r>
      <w:r>
        <w:rPr>
          <w:lang w:val="en-US"/>
        </w:rPr>
        <w:t xml:space="preserve">, 8 Wall. </w:t>
      </w:r>
      <w:r w:rsidRPr="003A65A3">
        <w:rPr>
          <w:lang w:val="en-US"/>
        </w:rPr>
        <w:t>168</w:t>
      </w:r>
      <w:r>
        <w:rPr>
          <w:lang w:val="en-US"/>
        </w:rPr>
        <w:t xml:space="preserve">; </w:t>
      </w:r>
      <w:r w:rsidRPr="00584023">
        <w:rPr>
          <w:i/>
          <w:lang w:val="en-US"/>
        </w:rPr>
        <w:t>United States v. Wheeler</w:t>
      </w:r>
      <w:r w:rsidRPr="003A65A3">
        <w:rPr>
          <w:lang w:val="en-US"/>
        </w:rPr>
        <w:t>, 254 U.S. 281, 295</w:t>
      </w:r>
      <w:r w:rsidRPr="006E67FE">
        <w:rPr>
          <w:lang w:val="en-US"/>
        </w:rPr>
        <w:t xml:space="preserve"> = 41 S. Ct</w:t>
      </w:r>
      <w:r w:rsidRPr="003A65A3">
        <w:rPr>
          <w:lang w:val="en-US"/>
        </w:rPr>
        <w:t>. 133, 134</w:t>
      </w:r>
      <w:r w:rsidRPr="00EC5BEB">
        <w:rPr>
          <w:lang w:val="en-US"/>
        </w:rPr>
        <w:t xml:space="preserve"> = 1920 U.S. LEXIS </w:t>
      </w:r>
      <w:r w:rsidRPr="003A65A3">
        <w:rPr>
          <w:lang w:val="en-US"/>
        </w:rPr>
        <w:t>1159, 24</w:t>
      </w:r>
      <w:r>
        <w:rPr>
          <w:lang w:val="en-US"/>
        </w:rPr>
        <w:t xml:space="preserve"> = 65 L. Ed. </w:t>
      </w:r>
      <w:r w:rsidRPr="003A65A3">
        <w:rPr>
          <w:lang w:val="en-US"/>
        </w:rPr>
        <w:t>270 (1920)</w:t>
      </w:r>
      <w:r>
        <w:rPr>
          <w:lang w:val="en-US"/>
        </w:rPr>
        <w:t>.</w:t>
      </w:r>
    </w:p>
  </w:footnote>
  <w:footnote w:id="1717">
    <w:p w14:paraId="769A2EE9" w14:textId="77777777" w:rsidR="00074551" w:rsidRPr="003A65A3" w:rsidRDefault="00074551" w:rsidP="00074551">
      <w:pPr>
        <w:pStyle w:val="Funotentext"/>
        <w:jc w:val="both"/>
        <w:rPr>
          <w:lang w:val="en-US"/>
        </w:rPr>
      </w:pPr>
      <w:r>
        <w:rPr>
          <w:rStyle w:val="Funotenzeichen"/>
          <w:rFonts w:eastAsiaTheme="majorEastAsia"/>
        </w:rPr>
        <w:footnoteRef/>
      </w:r>
      <w:r w:rsidRPr="003A65A3">
        <w:rPr>
          <w:lang w:val="en-US"/>
        </w:rPr>
        <w:t xml:space="preserve"> </w:t>
      </w:r>
      <w:r w:rsidRPr="00546F93">
        <w:rPr>
          <w:i/>
          <w:lang w:val="en-US"/>
        </w:rPr>
        <w:t>Paul v. Virginia</w:t>
      </w:r>
      <w:r>
        <w:rPr>
          <w:lang w:val="en-US"/>
        </w:rPr>
        <w:t xml:space="preserve">, 8 Wall. </w:t>
      </w:r>
      <w:r w:rsidRPr="003A65A3">
        <w:rPr>
          <w:lang w:val="en-US"/>
        </w:rPr>
        <w:t>168</w:t>
      </w:r>
      <w:r>
        <w:rPr>
          <w:lang w:val="en-US"/>
        </w:rPr>
        <w:t xml:space="preserve">; </w:t>
      </w:r>
      <w:r w:rsidRPr="00584023">
        <w:rPr>
          <w:i/>
          <w:lang w:val="en-US"/>
        </w:rPr>
        <w:t>United States v. Wheeler</w:t>
      </w:r>
      <w:r w:rsidRPr="003A65A3">
        <w:rPr>
          <w:lang w:val="en-US"/>
        </w:rPr>
        <w:t>, 254 U.S. 281, 295</w:t>
      </w:r>
      <w:r w:rsidRPr="006E67FE">
        <w:rPr>
          <w:lang w:val="en-US"/>
        </w:rPr>
        <w:t xml:space="preserve"> = 41 S. Ct</w:t>
      </w:r>
      <w:r w:rsidRPr="003A65A3">
        <w:rPr>
          <w:lang w:val="en-US"/>
        </w:rPr>
        <w:t>. 133, 134</w:t>
      </w:r>
      <w:r w:rsidRPr="00EC5BEB">
        <w:rPr>
          <w:lang w:val="en-US"/>
        </w:rPr>
        <w:t xml:space="preserve"> = 1920 U.S. LEXIS </w:t>
      </w:r>
      <w:r w:rsidRPr="003A65A3">
        <w:rPr>
          <w:lang w:val="en-US"/>
        </w:rPr>
        <w:t>1159, 24</w:t>
      </w:r>
      <w:r>
        <w:rPr>
          <w:lang w:val="en-US"/>
        </w:rPr>
        <w:t xml:space="preserve"> = 65 L. Ed. </w:t>
      </w:r>
      <w:r w:rsidRPr="003A65A3">
        <w:rPr>
          <w:lang w:val="en-US"/>
        </w:rPr>
        <w:t>270 (1920)</w:t>
      </w:r>
      <w:r>
        <w:rPr>
          <w:lang w:val="en-US"/>
        </w:rPr>
        <w:t>.</w:t>
      </w:r>
    </w:p>
  </w:footnote>
  <w:footnote w:id="1718">
    <w:p w14:paraId="1406A831" w14:textId="77777777" w:rsidR="00074551" w:rsidRPr="003A65A3" w:rsidRDefault="00074551" w:rsidP="00074551">
      <w:pPr>
        <w:pStyle w:val="Funotentext"/>
        <w:jc w:val="both"/>
        <w:rPr>
          <w:lang w:val="en-US"/>
        </w:rPr>
      </w:pPr>
      <w:r>
        <w:rPr>
          <w:rStyle w:val="Funotenzeichen"/>
          <w:rFonts w:eastAsiaTheme="majorEastAsia"/>
        </w:rPr>
        <w:footnoteRef/>
      </w:r>
      <w:r w:rsidRPr="003A65A3">
        <w:rPr>
          <w:lang w:val="en-US"/>
        </w:rPr>
        <w:t xml:space="preserve"> </w:t>
      </w:r>
      <w:r w:rsidRPr="00546F93">
        <w:rPr>
          <w:i/>
          <w:lang w:val="en-US"/>
        </w:rPr>
        <w:t>Paul v. Virginia</w:t>
      </w:r>
      <w:r>
        <w:rPr>
          <w:lang w:val="en-US"/>
        </w:rPr>
        <w:t xml:space="preserve">, 8 Wall. </w:t>
      </w:r>
      <w:r w:rsidRPr="003A65A3">
        <w:rPr>
          <w:lang w:val="en-US"/>
        </w:rPr>
        <w:t>168</w:t>
      </w:r>
      <w:r>
        <w:rPr>
          <w:lang w:val="en-US"/>
        </w:rPr>
        <w:t xml:space="preserve">; </w:t>
      </w:r>
      <w:r w:rsidRPr="00584023">
        <w:rPr>
          <w:i/>
          <w:lang w:val="en-US"/>
        </w:rPr>
        <w:t>United States v. Wheeler</w:t>
      </w:r>
      <w:r w:rsidRPr="003A65A3">
        <w:rPr>
          <w:lang w:val="en-US"/>
        </w:rPr>
        <w:t>, 254 U.S. 281, 295</w:t>
      </w:r>
      <w:r w:rsidRPr="006E67FE">
        <w:rPr>
          <w:lang w:val="en-US"/>
        </w:rPr>
        <w:t xml:space="preserve"> = 41 S. Ct</w:t>
      </w:r>
      <w:r w:rsidRPr="003A65A3">
        <w:rPr>
          <w:lang w:val="en-US"/>
        </w:rPr>
        <w:t>. 133, 134</w:t>
      </w:r>
      <w:r w:rsidRPr="00EC5BEB">
        <w:rPr>
          <w:lang w:val="en-US"/>
        </w:rPr>
        <w:t xml:space="preserve"> = 1920 U.S. LEXIS </w:t>
      </w:r>
      <w:r w:rsidRPr="003A65A3">
        <w:rPr>
          <w:lang w:val="en-US"/>
        </w:rPr>
        <w:t>1159, 24</w:t>
      </w:r>
      <w:r>
        <w:rPr>
          <w:lang w:val="en-US"/>
        </w:rPr>
        <w:t xml:space="preserve"> = 65 L. Ed. </w:t>
      </w:r>
      <w:r w:rsidRPr="003A65A3">
        <w:rPr>
          <w:lang w:val="en-US"/>
        </w:rPr>
        <w:t>270 (1920)</w:t>
      </w:r>
      <w:r>
        <w:rPr>
          <w:lang w:val="en-US"/>
        </w:rPr>
        <w:t>.</w:t>
      </w:r>
    </w:p>
  </w:footnote>
  <w:footnote w:id="1719">
    <w:p w14:paraId="5E6F29E7" w14:textId="77777777" w:rsidR="00074551" w:rsidRPr="003A65A3" w:rsidRDefault="00074551" w:rsidP="00074551">
      <w:pPr>
        <w:pStyle w:val="Funotentext"/>
        <w:jc w:val="both"/>
        <w:rPr>
          <w:lang w:val="en-US"/>
        </w:rPr>
      </w:pPr>
      <w:r>
        <w:rPr>
          <w:rStyle w:val="Funotenzeichen"/>
          <w:rFonts w:eastAsiaTheme="majorEastAsia"/>
        </w:rPr>
        <w:footnoteRef/>
      </w:r>
      <w:r w:rsidRPr="003A65A3">
        <w:rPr>
          <w:lang w:val="en-US"/>
        </w:rPr>
        <w:t xml:space="preserve"> </w:t>
      </w:r>
      <w:r w:rsidRPr="00546F93">
        <w:rPr>
          <w:i/>
          <w:lang w:val="en-US"/>
        </w:rPr>
        <w:t>Paul v. Virginia</w:t>
      </w:r>
      <w:r>
        <w:rPr>
          <w:lang w:val="en-US"/>
        </w:rPr>
        <w:t xml:space="preserve">, 8 Wall. </w:t>
      </w:r>
      <w:r w:rsidRPr="003A65A3">
        <w:rPr>
          <w:lang w:val="en-US"/>
        </w:rPr>
        <w:t>168</w:t>
      </w:r>
      <w:r>
        <w:rPr>
          <w:lang w:val="en-US"/>
        </w:rPr>
        <w:t xml:space="preserve">; </w:t>
      </w:r>
      <w:r w:rsidRPr="00584023">
        <w:rPr>
          <w:i/>
          <w:lang w:val="en-US"/>
        </w:rPr>
        <w:t>United States v. Wheeler</w:t>
      </w:r>
      <w:r w:rsidRPr="003A65A3">
        <w:rPr>
          <w:lang w:val="en-US"/>
        </w:rPr>
        <w:t>, 254 U.S. 281, 295</w:t>
      </w:r>
      <w:r w:rsidRPr="006E67FE">
        <w:rPr>
          <w:lang w:val="en-US"/>
        </w:rPr>
        <w:t xml:space="preserve"> = 41 S. Ct</w:t>
      </w:r>
      <w:r w:rsidRPr="003A65A3">
        <w:rPr>
          <w:lang w:val="en-US"/>
        </w:rPr>
        <w:t>. 133, 134</w:t>
      </w:r>
      <w:r w:rsidRPr="00EC5BEB">
        <w:rPr>
          <w:lang w:val="en-US"/>
        </w:rPr>
        <w:t xml:space="preserve"> = 1920 U.S. LEXIS </w:t>
      </w:r>
      <w:r w:rsidRPr="003A65A3">
        <w:rPr>
          <w:lang w:val="en-US"/>
        </w:rPr>
        <w:t>1159, 24</w:t>
      </w:r>
      <w:r>
        <w:rPr>
          <w:lang w:val="en-US"/>
        </w:rPr>
        <w:t xml:space="preserve"> = 65 L. Ed. </w:t>
      </w:r>
      <w:r w:rsidRPr="003A65A3">
        <w:rPr>
          <w:lang w:val="en-US"/>
        </w:rPr>
        <w:t>270 (1920)</w:t>
      </w:r>
      <w:r>
        <w:rPr>
          <w:lang w:val="en-US"/>
        </w:rPr>
        <w:t>.</w:t>
      </w:r>
    </w:p>
  </w:footnote>
  <w:footnote w:id="1720">
    <w:p w14:paraId="69A77568" w14:textId="77777777" w:rsidR="00074551" w:rsidRPr="003A65A3" w:rsidRDefault="00074551" w:rsidP="00074551">
      <w:pPr>
        <w:pStyle w:val="Funotentext"/>
        <w:jc w:val="both"/>
        <w:rPr>
          <w:lang w:val="en-US"/>
        </w:rPr>
      </w:pPr>
      <w:r>
        <w:rPr>
          <w:rStyle w:val="Funotenzeichen"/>
          <w:rFonts w:eastAsiaTheme="majorEastAsia"/>
        </w:rPr>
        <w:footnoteRef/>
      </w:r>
      <w:r w:rsidRPr="003A65A3">
        <w:rPr>
          <w:lang w:val="en-US"/>
        </w:rPr>
        <w:t xml:space="preserve"> </w:t>
      </w:r>
      <w:r w:rsidRPr="00546F93">
        <w:rPr>
          <w:i/>
          <w:lang w:val="en-US"/>
        </w:rPr>
        <w:t>Paul v. Virginia</w:t>
      </w:r>
      <w:r>
        <w:rPr>
          <w:lang w:val="en-US"/>
        </w:rPr>
        <w:t xml:space="preserve">, 8 Wall. </w:t>
      </w:r>
      <w:r w:rsidRPr="003A65A3">
        <w:rPr>
          <w:lang w:val="en-US"/>
        </w:rPr>
        <w:t>168</w:t>
      </w:r>
      <w:r>
        <w:rPr>
          <w:lang w:val="en-US"/>
        </w:rPr>
        <w:t xml:space="preserve">; </w:t>
      </w:r>
      <w:r w:rsidRPr="00584023">
        <w:rPr>
          <w:i/>
          <w:lang w:val="en-US"/>
        </w:rPr>
        <w:t>United States v. Wheeler</w:t>
      </w:r>
      <w:r w:rsidRPr="003A65A3">
        <w:rPr>
          <w:lang w:val="en-US"/>
        </w:rPr>
        <w:t>, 254 U.S. 281, 295</w:t>
      </w:r>
      <w:r w:rsidRPr="006E67FE">
        <w:rPr>
          <w:lang w:val="en-US"/>
        </w:rPr>
        <w:t xml:space="preserve"> = 41 S. Ct</w:t>
      </w:r>
      <w:r w:rsidRPr="003A65A3">
        <w:rPr>
          <w:lang w:val="en-US"/>
        </w:rPr>
        <w:t>. 133, 134</w:t>
      </w:r>
      <w:r w:rsidRPr="00EC5BEB">
        <w:rPr>
          <w:lang w:val="en-US"/>
        </w:rPr>
        <w:t xml:space="preserve"> = 1920 U.S. LEXIS </w:t>
      </w:r>
      <w:r w:rsidRPr="003A65A3">
        <w:rPr>
          <w:lang w:val="en-US"/>
        </w:rPr>
        <w:t>1159, 24</w:t>
      </w:r>
      <w:r>
        <w:rPr>
          <w:lang w:val="en-US"/>
        </w:rPr>
        <w:t xml:space="preserve"> = 65 L. Ed. </w:t>
      </w:r>
      <w:r w:rsidRPr="003A65A3">
        <w:rPr>
          <w:lang w:val="en-US"/>
        </w:rPr>
        <w:t>270 (1920)</w:t>
      </w:r>
      <w:r>
        <w:rPr>
          <w:lang w:val="en-US"/>
        </w:rPr>
        <w:t>.</w:t>
      </w:r>
    </w:p>
  </w:footnote>
  <w:footnote w:id="1721">
    <w:p w14:paraId="58500599" w14:textId="77777777" w:rsidR="00074551" w:rsidRPr="003A65A3" w:rsidRDefault="00074551" w:rsidP="00074551">
      <w:pPr>
        <w:pStyle w:val="Funotentext"/>
        <w:jc w:val="both"/>
        <w:rPr>
          <w:lang w:val="en-US"/>
        </w:rPr>
      </w:pPr>
      <w:r>
        <w:rPr>
          <w:rStyle w:val="Funotenzeichen"/>
          <w:rFonts w:eastAsiaTheme="majorEastAsia"/>
        </w:rPr>
        <w:footnoteRef/>
      </w:r>
      <w:r w:rsidRPr="003A65A3">
        <w:rPr>
          <w:lang w:val="en-US"/>
        </w:rPr>
        <w:t xml:space="preserve"> </w:t>
      </w:r>
      <w:r w:rsidRPr="00546F93">
        <w:rPr>
          <w:i/>
          <w:lang w:val="en-US"/>
        </w:rPr>
        <w:t>Paul v. Virginia</w:t>
      </w:r>
      <w:r>
        <w:rPr>
          <w:lang w:val="en-US"/>
        </w:rPr>
        <w:t xml:space="preserve">, 8 Wall. </w:t>
      </w:r>
      <w:r w:rsidRPr="003A65A3">
        <w:rPr>
          <w:lang w:val="en-US"/>
        </w:rPr>
        <w:t>168</w:t>
      </w:r>
      <w:r>
        <w:rPr>
          <w:lang w:val="en-US"/>
        </w:rPr>
        <w:t xml:space="preserve">; </w:t>
      </w:r>
      <w:r w:rsidRPr="00584023">
        <w:rPr>
          <w:i/>
          <w:lang w:val="en-US"/>
        </w:rPr>
        <w:t>United States v. Wheeler</w:t>
      </w:r>
      <w:r w:rsidRPr="003A65A3">
        <w:rPr>
          <w:lang w:val="en-US"/>
        </w:rPr>
        <w:t>, 254 U.S. 281, 295</w:t>
      </w:r>
      <w:r w:rsidRPr="006E67FE">
        <w:rPr>
          <w:lang w:val="en-US"/>
        </w:rPr>
        <w:t xml:space="preserve"> = 41 S. Ct</w:t>
      </w:r>
      <w:r w:rsidRPr="003A65A3">
        <w:rPr>
          <w:lang w:val="en-US"/>
        </w:rPr>
        <w:t>. 133, 134</w:t>
      </w:r>
      <w:r w:rsidRPr="00EC5BEB">
        <w:rPr>
          <w:lang w:val="en-US"/>
        </w:rPr>
        <w:t xml:space="preserve"> = 1920 U.S. LEXIS </w:t>
      </w:r>
      <w:r w:rsidRPr="003A65A3">
        <w:rPr>
          <w:lang w:val="en-US"/>
        </w:rPr>
        <w:t>1159, 24</w:t>
      </w:r>
      <w:r>
        <w:rPr>
          <w:lang w:val="en-US"/>
        </w:rPr>
        <w:t xml:space="preserve"> = 65 L. Ed. </w:t>
      </w:r>
      <w:r w:rsidRPr="003A65A3">
        <w:rPr>
          <w:lang w:val="en-US"/>
        </w:rPr>
        <w:t>270 (1920)</w:t>
      </w:r>
      <w:r>
        <w:rPr>
          <w:lang w:val="en-US"/>
        </w:rPr>
        <w:t>.</w:t>
      </w:r>
    </w:p>
  </w:footnote>
  <w:footnote w:id="1722">
    <w:p w14:paraId="10F3B13A" w14:textId="77777777" w:rsidR="00074551" w:rsidRPr="00ED2EE2" w:rsidRDefault="00074551" w:rsidP="00074551">
      <w:pPr>
        <w:pStyle w:val="Funotentext"/>
        <w:jc w:val="both"/>
        <w:rPr>
          <w:lang w:val="en-US"/>
        </w:rPr>
      </w:pPr>
      <w:r>
        <w:rPr>
          <w:rStyle w:val="Funotenzeichen"/>
          <w:rFonts w:eastAsiaTheme="majorEastAsia"/>
        </w:rPr>
        <w:footnoteRef/>
      </w:r>
      <w:r w:rsidRPr="00ED2EE2">
        <w:rPr>
          <w:lang w:val="en-US"/>
        </w:rPr>
        <w:t xml:space="preserve"> </w:t>
      </w:r>
      <w:r w:rsidRPr="00584023">
        <w:rPr>
          <w:i/>
          <w:lang w:val="en-US"/>
        </w:rPr>
        <w:t>United States v. Wheeler</w:t>
      </w:r>
      <w:r w:rsidRPr="00ED2EE2">
        <w:rPr>
          <w:lang w:val="en-US"/>
        </w:rPr>
        <w:t>, 254 U.S. 281, 296</w:t>
      </w:r>
      <w:r w:rsidRPr="006E67FE">
        <w:rPr>
          <w:lang w:val="en-US"/>
        </w:rPr>
        <w:t xml:space="preserve"> = 41 S. Ct</w:t>
      </w:r>
      <w:r w:rsidRPr="00ED2EE2">
        <w:rPr>
          <w:lang w:val="en-US"/>
        </w:rPr>
        <w:t>. 133, 135</w:t>
      </w:r>
      <w:r w:rsidRPr="00EC5BEB">
        <w:rPr>
          <w:lang w:val="en-US"/>
        </w:rPr>
        <w:t xml:space="preserve"> = 1920 U.S. LEXIS </w:t>
      </w:r>
      <w:r w:rsidRPr="00ED2EE2">
        <w:rPr>
          <w:lang w:val="en-US"/>
        </w:rPr>
        <w:t>1159, 27</w:t>
      </w:r>
      <w:r>
        <w:rPr>
          <w:lang w:val="en-US"/>
        </w:rPr>
        <w:t xml:space="preserve"> = 65 L. Ed. </w:t>
      </w:r>
      <w:r w:rsidRPr="00ED2EE2">
        <w:rPr>
          <w:lang w:val="en-US"/>
        </w:rPr>
        <w:t>270 (1920)</w:t>
      </w:r>
      <w:r>
        <w:rPr>
          <w:lang w:val="en-US"/>
        </w:rPr>
        <w:t>.</w:t>
      </w:r>
    </w:p>
  </w:footnote>
  <w:footnote w:id="1723">
    <w:p w14:paraId="6FE2AE19" w14:textId="77777777" w:rsidR="00074551" w:rsidRPr="00ED2EE2" w:rsidRDefault="00074551" w:rsidP="00074551">
      <w:pPr>
        <w:pStyle w:val="Funotentext"/>
        <w:jc w:val="both"/>
        <w:rPr>
          <w:lang w:val="en-US"/>
        </w:rPr>
      </w:pPr>
      <w:r>
        <w:rPr>
          <w:rStyle w:val="Funotenzeichen"/>
          <w:rFonts w:eastAsiaTheme="majorEastAsia"/>
        </w:rPr>
        <w:footnoteRef/>
      </w:r>
      <w:r w:rsidRPr="00ED2EE2">
        <w:rPr>
          <w:lang w:val="en-US"/>
        </w:rPr>
        <w:t xml:space="preserve"> </w:t>
      </w:r>
      <w:r w:rsidRPr="00584023">
        <w:rPr>
          <w:i/>
          <w:lang w:val="en-US"/>
        </w:rPr>
        <w:t>United States v. Wheeler</w:t>
      </w:r>
      <w:r w:rsidRPr="00ED2EE2">
        <w:rPr>
          <w:lang w:val="en-US"/>
        </w:rPr>
        <w:t>, 254 U.S. 281, 296</w:t>
      </w:r>
      <w:r w:rsidRPr="006E67FE">
        <w:rPr>
          <w:lang w:val="en-US"/>
        </w:rPr>
        <w:t xml:space="preserve"> = 41 S. Ct</w:t>
      </w:r>
      <w:r w:rsidRPr="00ED2EE2">
        <w:rPr>
          <w:lang w:val="en-US"/>
        </w:rPr>
        <w:t>. 133, 135</w:t>
      </w:r>
      <w:r w:rsidRPr="00EC5BEB">
        <w:rPr>
          <w:lang w:val="en-US"/>
        </w:rPr>
        <w:t xml:space="preserve"> = 1920 U.S. LEXIS </w:t>
      </w:r>
      <w:r w:rsidRPr="00ED2EE2">
        <w:rPr>
          <w:lang w:val="en-US"/>
        </w:rPr>
        <w:t>1159, 27</w:t>
      </w:r>
      <w:r>
        <w:rPr>
          <w:lang w:val="en-US"/>
        </w:rPr>
        <w:t xml:space="preserve"> = 65 L. Ed. </w:t>
      </w:r>
      <w:r w:rsidRPr="00ED2EE2">
        <w:rPr>
          <w:lang w:val="en-US"/>
        </w:rPr>
        <w:t>270 (1920)</w:t>
      </w:r>
      <w:r>
        <w:rPr>
          <w:lang w:val="en-US"/>
        </w:rPr>
        <w:t>.</w:t>
      </w:r>
    </w:p>
  </w:footnote>
  <w:footnote w:id="1724">
    <w:p w14:paraId="663DDF7A" w14:textId="77777777" w:rsidR="00074551" w:rsidRPr="00ED2EE2" w:rsidRDefault="00074551" w:rsidP="00074551">
      <w:pPr>
        <w:pStyle w:val="Funotentext"/>
        <w:jc w:val="both"/>
        <w:rPr>
          <w:lang w:val="en-US"/>
        </w:rPr>
      </w:pPr>
      <w:r>
        <w:rPr>
          <w:rStyle w:val="Funotenzeichen"/>
          <w:rFonts w:eastAsiaTheme="majorEastAsia"/>
        </w:rPr>
        <w:footnoteRef/>
      </w:r>
      <w:r w:rsidRPr="00ED2EE2">
        <w:rPr>
          <w:lang w:val="en-US"/>
        </w:rPr>
        <w:t xml:space="preserve"> </w:t>
      </w:r>
      <w:r w:rsidRPr="00584023">
        <w:rPr>
          <w:i/>
          <w:lang w:val="en-US"/>
        </w:rPr>
        <w:t>United States v. Wheeler</w:t>
      </w:r>
      <w:r w:rsidRPr="00ED2EE2">
        <w:rPr>
          <w:lang w:val="en-US"/>
        </w:rPr>
        <w:t>, 254 U.S. 281, 296</w:t>
      </w:r>
      <w:r w:rsidRPr="006E67FE">
        <w:rPr>
          <w:lang w:val="en-US"/>
        </w:rPr>
        <w:t xml:space="preserve"> = 41 S. Ct</w:t>
      </w:r>
      <w:r w:rsidRPr="00ED2EE2">
        <w:rPr>
          <w:lang w:val="en-US"/>
        </w:rPr>
        <w:t>. 133, 135</w:t>
      </w:r>
      <w:r w:rsidRPr="00EC5BEB">
        <w:rPr>
          <w:lang w:val="en-US"/>
        </w:rPr>
        <w:t xml:space="preserve"> = 1920 U.S. LEXIS </w:t>
      </w:r>
      <w:r w:rsidRPr="00ED2EE2">
        <w:rPr>
          <w:lang w:val="en-US"/>
        </w:rPr>
        <w:t>1159, 27</w:t>
      </w:r>
      <w:r>
        <w:rPr>
          <w:lang w:val="en-US"/>
        </w:rPr>
        <w:t xml:space="preserve"> = 65 L. Ed. </w:t>
      </w:r>
      <w:r w:rsidRPr="00ED2EE2">
        <w:rPr>
          <w:lang w:val="en-US"/>
        </w:rPr>
        <w:t>270 (1920)</w:t>
      </w:r>
      <w:r>
        <w:rPr>
          <w:lang w:val="en-US"/>
        </w:rPr>
        <w:t>.</w:t>
      </w:r>
    </w:p>
  </w:footnote>
  <w:footnote w:id="1725">
    <w:p w14:paraId="6EB348D3" w14:textId="77777777" w:rsidR="00074551" w:rsidRPr="00E81041" w:rsidRDefault="00074551" w:rsidP="00074551">
      <w:pPr>
        <w:pStyle w:val="Funotentext"/>
        <w:rPr>
          <w:lang w:val="en-US"/>
        </w:rPr>
      </w:pPr>
      <w:r>
        <w:rPr>
          <w:rStyle w:val="Funotenzeichen"/>
        </w:rPr>
        <w:footnoteRef/>
      </w:r>
      <w:r w:rsidRPr="00E81041">
        <w:rPr>
          <w:lang w:val="en-US"/>
        </w:rPr>
        <w:t xml:space="preserve"> </w:t>
      </w:r>
      <w:r w:rsidRPr="00B45592">
        <w:rPr>
          <w:i/>
          <w:lang w:val="en-US"/>
        </w:rPr>
        <w:t>Buck v. Bell</w:t>
      </w:r>
      <w:r w:rsidRPr="00E81041">
        <w:rPr>
          <w:lang w:val="en-US"/>
        </w:rPr>
        <w:t>, 274 U.S. 200, 208</w:t>
      </w:r>
      <w:r>
        <w:rPr>
          <w:lang w:val="en-US"/>
        </w:rPr>
        <w:t xml:space="preserve"> = 47 S. Ct. </w:t>
      </w:r>
      <w:r w:rsidRPr="00E81041">
        <w:rPr>
          <w:lang w:val="en-US"/>
        </w:rPr>
        <w:t>584, 585</w:t>
      </w:r>
      <w:r>
        <w:rPr>
          <w:lang w:val="en-US"/>
        </w:rPr>
        <w:t xml:space="preserve"> = 71 L. Ed</w:t>
      </w:r>
      <w:r w:rsidRPr="00E81041">
        <w:rPr>
          <w:lang w:val="en-US"/>
        </w:rPr>
        <w:t>. 1000, 1002</w:t>
      </w:r>
      <w:r>
        <w:rPr>
          <w:lang w:val="en-US"/>
        </w:rPr>
        <w:t xml:space="preserve"> = 1927 U.S. LEXIS </w:t>
      </w:r>
      <w:r w:rsidRPr="00E81041">
        <w:rPr>
          <w:lang w:val="en-US"/>
        </w:rPr>
        <w:t>20, 13 (1927)</w:t>
      </w:r>
      <w:r>
        <w:rPr>
          <w:lang w:val="en-US"/>
        </w:rPr>
        <w:t>.</w:t>
      </w:r>
    </w:p>
  </w:footnote>
  <w:footnote w:id="1726">
    <w:p w14:paraId="6EFDAA01" w14:textId="77777777" w:rsidR="00074551" w:rsidRPr="00E002E7" w:rsidRDefault="00074551" w:rsidP="00074551">
      <w:pPr>
        <w:pStyle w:val="Funotentext"/>
        <w:rPr>
          <w:lang w:val="en-US"/>
        </w:rPr>
      </w:pPr>
      <w:r>
        <w:rPr>
          <w:rStyle w:val="Funotenzeichen"/>
        </w:rPr>
        <w:footnoteRef/>
      </w:r>
      <w:r w:rsidRPr="00E002E7">
        <w:rPr>
          <w:lang w:val="en-US"/>
        </w:rPr>
        <w:t xml:space="preserve"> </w:t>
      </w:r>
      <w:r w:rsidRPr="004F13B1">
        <w:rPr>
          <w:i/>
          <w:lang w:val="en-US"/>
        </w:rPr>
        <w:t>Barbier v. Connolly</w:t>
      </w:r>
      <w:r w:rsidRPr="00E002E7">
        <w:rPr>
          <w:lang w:val="en-US"/>
        </w:rPr>
        <w:t xml:space="preserve">, 113 U.S. 27; </w:t>
      </w:r>
      <w:r w:rsidRPr="00B45592">
        <w:rPr>
          <w:i/>
          <w:lang w:val="en-US"/>
        </w:rPr>
        <w:t>Shenandoah Lime Co. v. Governor</w:t>
      </w:r>
      <w:r w:rsidRPr="00E002E7">
        <w:rPr>
          <w:lang w:val="en-US"/>
        </w:rPr>
        <w:t>, 115 Va. 875</w:t>
      </w:r>
      <w:r>
        <w:rPr>
          <w:lang w:val="en-US"/>
        </w:rPr>
        <w:t xml:space="preserve">; </w:t>
      </w:r>
      <w:r w:rsidRPr="00B45592">
        <w:rPr>
          <w:i/>
          <w:lang w:val="en-US"/>
        </w:rPr>
        <w:t>Buck v. Bell</w:t>
      </w:r>
      <w:r w:rsidRPr="00E002E7">
        <w:rPr>
          <w:lang w:val="en-US"/>
        </w:rPr>
        <w:t>, 274 U.S. 200, 205</w:t>
      </w:r>
      <w:r>
        <w:rPr>
          <w:lang w:val="en-US"/>
        </w:rPr>
        <w:t xml:space="preserve"> = 47 S. Ct. </w:t>
      </w:r>
      <w:r w:rsidRPr="00E002E7">
        <w:rPr>
          <w:lang w:val="en-US"/>
        </w:rPr>
        <w:t>584, 584</w:t>
      </w:r>
      <w:r>
        <w:rPr>
          <w:lang w:val="en-US"/>
        </w:rPr>
        <w:t xml:space="preserve"> = 71 L. Ed</w:t>
      </w:r>
      <w:r w:rsidRPr="00E002E7">
        <w:rPr>
          <w:lang w:val="en-US"/>
        </w:rPr>
        <w:t>. 1000, 1001</w:t>
      </w:r>
      <w:r>
        <w:rPr>
          <w:lang w:val="en-US"/>
        </w:rPr>
        <w:t xml:space="preserve"> = 1927 U.S. LEXIS </w:t>
      </w:r>
      <w:r w:rsidRPr="00E002E7">
        <w:rPr>
          <w:lang w:val="en-US"/>
        </w:rPr>
        <w:t>20, 6 (1927)</w:t>
      </w:r>
      <w:r>
        <w:rPr>
          <w:lang w:val="en-US"/>
        </w:rPr>
        <w:t>.</w:t>
      </w:r>
    </w:p>
  </w:footnote>
  <w:footnote w:id="1727">
    <w:p w14:paraId="146FE306" w14:textId="77777777" w:rsidR="00074551" w:rsidRPr="00E002E7" w:rsidRDefault="00074551" w:rsidP="00074551">
      <w:pPr>
        <w:pStyle w:val="Funotentext"/>
        <w:rPr>
          <w:lang w:val="en-US"/>
        </w:rPr>
      </w:pPr>
      <w:r>
        <w:rPr>
          <w:rStyle w:val="Funotenzeichen"/>
        </w:rPr>
        <w:footnoteRef/>
      </w:r>
      <w:r w:rsidRPr="00E002E7">
        <w:rPr>
          <w:lang w:val="en-US"/>
        </w:rPr>
        <w:t xml:space="preserve"> </w:t>
      </w:r>
      <w:r w:rsidRPr="009572B5">
        <w:rPr>
          <w:i/>
          <w:lang w:val="en-US"/>
        </w:rPr>
        <w:t>Jacobson v. Massachusetts</w:t>
      </w:r>
      <w:r w:rsidRPr="00E002E7">
        <w:rPr>
          <w:lang w:val="en-US"/>
        </w:rPr>
        <w:t xml:space="preserve">, 197 U.S. 11; </w:t>
      </w:r>
      <w:proofErr w:type="spellStart"/>
      <w:r w:rsidRPr="00B45592">
        <w:rPr>
          <w:i/>
          <w:lang w:val="en-US"/>
        </w:rPr>
        <w:t>Viemester</w:t>
      </w:r>
      <w:proofErr w:type="spellEnd"/>
      <w:r w:rsidRPr="00B45592">
        <w:rPr>
          <w:i/>
          <w:lang w:val="en-US"/>
        </w:rPr>
        <w:t xml:space="preserve"> v. White</w:t>
      </w:r>
      <w:r w:rsidRPr="00E002E7">
        <w:rPr>
          <w:lang w:val="en-US"/>
        </w:rPr>
        <w:t>, 179 N. Y. 235</w:t>
      </w:r>
      <w:r>
        <w:rPr>
          <w:lang w:val="en-US"/>
        </w:rPr>
        <w:t xml:space="preserve">; </w:t>
      </w:r>
      <w:r w:rsidRPr="00B45592">
        <w:rPr>
          <w:i/>
          <w:lang w:val="en-US"/>
        </w:rPr>
        <w:t>Buck v. Bell</w:t>
      </w:r>
      <w:r w:rsidRPr="00E002E7">
        <w:rPr>
          <w:lang w:val="en-US"/>
        </w:rPr>
        <w:t>, 274 U.S. 200, 205</w:t>
      </w:r>
      <w:r>
        <w:rPr>
          <w:lang w:val="en-US"/>
        </w:rPr>
        <w:t xml:space="preserve"> = 47 S. Ct. </w:t>
      </w:r>
      <w:r w:rsidRPr="00E002E7">
        <w:rPr>
          <w:lang w:val="en-US"/>
        </w:rPr>
        <w:t>584, 584</w:t>
      </w:r>
      <w:r>
        <w:rPr>
          <w:lang w:val="en-US"/>
        </w:rPr>
        <w:t xml:space="preserve"> = 71 L. Ed</w:t>
      </w:r>
      <w:r w:rsidRPr="00E002E7">
        <w:rPr>
          <w:lang w:val="en-US"/>
        </w:rPr>
        <w:t>. 1000, 1001</w:t>
      </w:r>
      <w:r>
        <w:rPr>
          <w:lang w:val="en-US"/>
        </w:rPr>
        <w:t xml:space="preserve"> = 1927 U.S. LEXIS </w:t>
      </w:r>
      <w:r w:rsidRPr="00E002E7">
        <w:rPr>
          <w:lang w:val="en-US"/>
        </w:rPr>
        <w:t>20, 6 (1927)</w:t>
      </w:r>
      <w:r>
        <w:rPr>
          <w:lang w:val="en-US"/>
        </w:rPr>
        <w:t>.</w:t>
      </w:r>
    </w:p>
  </w:footnote>
  <w:footnote w:id="1728">
    <w:p w14:paraId="23651DFF" w14:textId="77777777" w:rsidR="00074551" w:rsidRPr="00E002E7" w:rsidRDefault="00074551" w:rsidP="00074551">
      <w:pPr>
        <w:pStyle w:val="Funotentext"/>
        <w:rPr>
          <w:lang w:val="en-US"/>
        </w:rPr>
      </w:pPr>
      <w:r>
        <w:rPr>
          <w:rStyle w:val="Funotenzeichen"/>
        </w:rPr>
        <w:footnoteRef/>
      </w:r>
      <w:r w:rsidRPr="00E002E7">
        <w:rPr>
          <w:lang w:val="en-US"/>
        </w:rPr>
        <w:t xml:space="preserve"> </w:t>
      </w:r>
      <w:r w:rsidRPr="00B45592">
        <w:rPr>
          <w:i/>
          <w:lang w:val="en-US"/>
        </w:rPr>
        <w:t>Buck v. Bell</w:t>
      </w:r>
      <w:r w:rsidRPr="00E002E7">
        <w:rPr>
          <w:lang w:val="en-US"/>
        </w:rPr>
        <w:t>, 274 U.S. 200, 205</w:t>
      </w:r>
      <w:r>
        <w:rPr>
          <w:lang w:val="en-US"/>
        </w:rPr>
        <w:t xml:space="preserve"> = 47 S. Ct. </w:t>
      </w:r>
      <w:r w:rsidRPr="00E002E7">
        <w:rPr>
          <w:lang w:val="en-US"/>
        </w:rPr>
        <w:t>584, 584</w:t>
      </w:r>
      <w:r>
        <w:rPr>
          <w:lang w:val="en-US"/>
        </w:rPr>
        <w:t xml:space="preserve"> = 71 L. Ed</w:t>
      </w:r>
      <w:r w:rsidRPr="00E002E7">
        <w:rPr>
          <w:lang w:val="en-US"/>
        </w:rPr>
        <w:t>. 1000, 1001</w:t>
      </w:r>
      <w:r>
        <w:rPr>
          <w:lang w:val="en-US"/>
        </w:rPr>
        <w:t xml:space="preserve"> = 1927 U.S. LEXIS </w:t>
      </w:r>
      <w:r w:rsidRPr="00E002E7">
        <w:rPr>
          <w:lang w:val="en-US"/>
        </w:rPr>
        <w:t>20, 7 (1927)</w:t>
      </w:r>
      <w:r>
        <w:rPr>
          <w:lang w:val="en-US"/>
        </w:rPr>
        <w:t>.</w:t>
      </w:r>
    </w:p>
  </w:footnote>
  <w:footnote w:id="1729">
    <w:p w14:paraId="793C77AE" w14:textId="77777777" w:rsidR="00074551" w:rsidRPr="003F6A04" w:rsidRDefault="00074551" w:rsidP="00074551">
      <w:pPr>
        <w:pStyle w:val="Funotentext"/>
        <w:rPr>
          <w:lang w:val="en-US"/>
        </w:rPr>
      </w:pPr>
      <w:r>
        <w:rPr>
          <w:rStyle w:val="Funotenzeichen"/>
        </w:rPr>
        <w:footnoteRef/>
      </w:r>
      <w:r w:rsidRPr="003F6A04">
        <w:rPr>
          <w:lang w:val="en-US"/>
        </w:rPr>
        <w:t xml:space="preserve"> </w:t>
      </w:r>
      <w:r w:rsidRPr="00B45592">
        <w:rPr>
          <w:i/>
          <w:lang w:val="en-US"/>
        </w:rPr>
        <w:t>Students for Fair Admissions, Inc. v. President &amp; Fellows of Harv. Coll.</w:t>
      </w:r>
      <w:r w:rsidRPr="00F34D08">
        <w:rPr>
          <w:lang w:val="en-US"/>
        </w:rPr>
        <w:t>, 600 U.S. 181</w:t>
      </w:r>
      <w:r>
        <w:rPr>
          <w:lang w:val="en-US"/>
        </w:rPr>
        <w:t xml:space="preserve"> = 143 S. Ct. </w:t>
      </w:r>
      <w:r w:rsidRPr="003F6A04">
        <w:rPr>
          <w:lang w:val="en-US"/>
        </w:rPr>
        <w:t>2141, 2154</w:t>
      </w:r>
      <w:r>
        <w:rPr>
          <w:lang w:val="en-US"/>
        </w:rPr>
        <w:t xml:space="preserve"> = 216 L. Ed. </w:t>
      </w:r>
      <w:r w:rsidRPr="003F6A04">
        <w:rPr>
          <w:lang w:val="en-US"/>
        </w:rPr>
        <w:t>2d 857, 857</w:t>
      </w:r>
      <w:r>
        <w:rPr>
          <w:lang w:val="en-US"/>
        </w:rPr>
        <w:t xml:space="preserve"> = 2023 U.S. LEXIS </w:t>
      </w:r>
      <w:r w:rsidRPr="003F6A04">
        <w:rPr>
          <w:lang w:val="en-US"/>
        </w:rPr>
        <w:t>2791, 1</w:t>
      </w:r>
      <w:r>
        <w:rPr>
          <w:lang w:val="en-US"/>
        </w:rPr>
        <w:t xml:space="preserve"> =</w:t>
      </w:r>
      <w:r w:rsidRPr="003F6A04">
        <w:rPr>
          <w:lang w:val="en-US"/>
        </w:rPr>
        <w:t xml:space="preserve"> 29 Fla. L. Weekly Fed. S 1149</w:t>
      </w:r>
      <w:r>
        <w:rPr>
          <w:lang w:val="en-US"/>
        </w:rPr>
        <w:t xml:space="preserve"> =</w:t>
      </w:r>
      <w:r w:rsidRPr="003F6A04">
        <w:rPr>
          <w:lang w:val="en-US"/>
        </w:rPr>
        <w:t xml:space="preserve"> 2023 WL 4239254 (2023).</w:t>
      </w:r>
    </w:p>
  </w:footnote>
  <w:footnote w:id="1730">
    <w:p w14:paraId="1FC84952" w14:textId="77777777" w:rsidR="00074551" w:rsidRPr="003F6A04" w:rsidRDefault="00074551" w:rsidP="00074551">
      <w:pPr>
        <w:pStyle w:val="Funotentext"/>
        <w:rPr>
          <w:lang w:val="en-US"/>
        </w:rPr>
      </w:pPr>
      <w:r>
        <w:rPr>
          <w:rStyle w:val="Funotenzeichen"/>
        </w:rPr>
        <w:footnoteRef/>
      </w:r>
      <w:r w:rsidRPr="003F6A04">
        <w:rPr>
          <w:lang w:val="en-US"/>
        </w:rPr>
        <w:t xml:space="preserve"> </w:t>
      </w:r>
      <w:r w:rsidRPr="00B45592">
        <w:rPr>
          <w:i/>
          <w:lang w:val="en-US"/>
        </w:rPr>
        <w:t>Students for Fair Admissions, Inc. v. President &amp; Fellows of Harv. Coll.</w:t>
      </w:r>
      <w:r w:rsidRPr="00F34D08">
        <w:rPr>
          <w:lang w:val="en-US"/>
        </w:rPr>
        <w:t>, 600 U.S. 181</w:t>
      </w:r>
      <w:r>
        <w:rPr>
          <w:lang w:val="en-US"/>
        </w:rPr>
        <w:t xml:space="preserve"> = 143 S. Ct. </w:t>
      </w:r>
      <w:r w:rsidRPr="003F6A04">
        <w:rPr>
          <w:lang w:val="en-US"/>
        </w:rPr>
        <w:t>2141, 2154</w:t>
      </w:r>
      <w:r>
        <w:rPr>
          <w:lang w:val="en-US"/>
        </w:rPr>
        <w:t xml:space="preserve"> = 216 L. Ed. </w:t>
      </w:r>
      <w:r w:rsidRPr="003F6A04">
        <w:rPr>
          <w:lang w:val="en-US"/>
        </w:rPr>
        <w:t>2d 857, 857</w:t>
      </w:r>
      <w:r>
        <w:rPr>
          <w:lang w:val="en-US"/>
        </w:rPr>
        <w:t xml:space="preserve"> = 2023 U.S. LEXIS </w:t>
      </w:r>
      <w:r w:rsidRPr="003F6A04">
        <w:rPr>
          <w:lang w:val="en-US"/>
        </w:rPr>
        <w:t>2791, 1</w:t>
      </w:r>
      <w:r>
        <w:rPr>
          <w:lang w:val="en-US"/>
        </w:rPr>
        <w:t xml:space="preserve"> =</w:t>
      </w:r>
      <w:r w:rsidRPr="003F6A04">
        <w:rPr>
          <w:lang w:val="en-US"/>
        </w:rPr>
        <w:t xml:space="preserve"> 29 Fla. L. Weekly Fed. S 1149</w:t>
      </w:r>
      <w:r>
        <w:rPr>
          <w:lang w:val="en-US"/>
        </w:rPr>
        <w:t xml:space="preserve"> =</w:t>
      </w:r>
      <w:r w:rsidRPr="003F6A04">
        <w:rPr>
          <w:lang w:val="en-US"/>
        </w:rPr>
        <w:t xml:space="preserve"> 2023 WL 4239254 (2023)</w:t>
      </w:r>
      <w:r>
        <w:rPr>
          <w:lang w:val="en-US"/>
        </w:rPr>
        <w:t>.</w:t>
      </w:r>
    </w:p>
  </w:footnote>
  <w:footnote w:id="1731">
    <w:p w14:paraId="61B1930C" w14:textId="77777777" w:rsidR="00074551" w:rsidRPr="00F34D08" w:rsidRDefault="00074551" w:rsidP="00074551">
      <w:pPr>
        <w:pStyle w:val="Funotentext"/>
        <w:rPr>
          <w:lang w:val="en-US"/>
        </w:rPr>
      </w:pPr>
      <w:r>
        <w:rPr>
          <w:rStyle w:val="Funotenzeichen"/>
        </w:rPr>
        <w:footnoteRef/>
      </w:r>
      <w:r w:rsidRPr="00F34D08">
        <w:rPr>
          <w:lang w:val="en-US"/>
        </w:rPr>
        <w:t xml:space="preserve"> </w:t>
      </w:r>
      <w:r w:rsidRPr="00B45592">
        <w:rPr>
          <w:i/>
          <w:lang w:val="en-US"/>
        </w:rPr>
        <w:t>Students for Fair Admissions, Inc. v. President &amp; Fellows of Harv. Coll.</w:t>
      </w:r>
      <w:r w:rsidRPr="00F34D08">
        <w:rPr>
          <w:lang w:val="en-US"/>
        </w:rPr>
        <w:t>, 600 U.S. 181</w:t>
      </w:r>
      <w:r>
        <w:rPr>
          <w:lang w:val="en-US"/>
        </w:rPr>
        <w:t xml:space="preserve"> = 143 S. Ct. </w:t>
      </w:r>
      <w:r w:rsidRPr="00F34D08">
        <w:rPr>
          <w:lang w:val="en-US"/>
        </w:rPr>
        <w:t>2141, 2185</w:t>
      </w:r>
      <w:r>
        <w:rPr>
          <w:lang w:val="en-US"/>
        </w:rPr>
        <w:t xml:space="preserve"> = 216 L. Ed. </w:t>
      </w:r>
      <w:r w:rsidRPr="00F34D08">
        <w:rPr>
          <w:lang w:val="en-US"/>
        </w:rPr>
        <w:t>2d 857, 906</w:t>
      </w:r>
      <w:r>
        <w:rPr>
          <w:lang w:val="en-US"/>
        </w:rPr>
        <w:t xml:space="preserve"> = 2023 U.S. LEXIS </w:t>
      </w:r>
      <w:r w:rsidRPr="00F34D08">
        <w:rPr>
          <w:lang w:val="en-US"/>
        </w:rPr>
        <w:t>2791, 91</w:t>
      </w:r>
      <w:r>
        <w:rPr>
          <w:lang w:val="en-US"/>
        </w:rPr>
        <w:t xml:space="preserve"> = 29 Fla. L. Weekly </w:t>
      </w:r>
      <w:r w:rsidRPr="00F34D08">
        <w:rPr>
          <w:lang w:val="en-US"/>
        </w:rPr>
        <w:t>Fed. S 1149</w:t>
      </w:r>
      <w:r>
        <w:rPr>
          <w:lang w:val="en-US"/>
        </w:rPr>
        <w:t xml:space="preserve"> =</w:t>
      </w:r>
      <w:r w:rsidRPr="00F34D08">
        <w:rPr>
          <w:lang w:val="en-US"/>
        </w:rPr>
        <w:t xml:space="preserve"> 2023 WL 4239254 (2023)</w:t>
      </w:r>
      <w:r>
        <w:rPr>
          <w:lang w:val="en-US"/>
        </w:rPr>
        <w:t>.</w:t>
      </w:r>
    </w:p>
  </w:footnote>
  <w:footnote w:id="1732">
    <w:p w14:paraId="74631F67" w14:textId="77777777" w:rsidR="00074551" w:rsidRPr="00F34D08" w:rsidRDefault="00074551" w:rsidP="00074551">
      <w:pPr>
        <w:pStyle w:val="Funotentext"/>
        <w:rPr>
          <w:lang w:val="en-US"/>
        </w:rPr>
      </w:pPr>
      <w:r>
        <w:rPr>
          <w:rStyle w:val="Funotenzeichen"/>
        </w:rPr>
        <w:footnoteRef/>
      </w:r>
      <w:r w:rsidRPr="00F34D08">
        <w:rPr>
          <w:lang w:val="en-US"/>
        </w:rPr>
        <w:t xml:space="preserve"> Cong. Globe, 39th Cong., 1st Sess., 322, 342</w:t>
      </w:r>
      <w:r>
        <w:rPr>
          <w:lang w:val="en-US"/>
        </w:rPr>
        <w:t xml:space="preserve">; </w:t>
      </w:r>
      <w:r w:rsidRPr="00B45592">
        <w:rPr>
          <w:i/>
          <w:lang w:val="en-US"/>
        </w:rPr>
        <w:t>Students for Fair Admissions, Inc. v. President &amp; Fellows of Harv. Coll.</w:t>
      </w:r>
      <w:r w:rsidRPr="00F34D08">
        <w:rPr>
          <w:lang w:val="en-US"/>
        </w:rPr>
        <w:t>, 600 U.S. 181</w:t>
      </w:r>
      <w:r>
        <w:rPr>
          <w:lang w:val="en-US"/>
        </w:rPr>
        <w:t xml:space="preserve"> = 143 S. Ct. </w:t>
      </w:r>
      <w:r w:rsidRPr="00F34D08">
        <w:rPr>
          <w:lang w:val="en-US"/>
        </w:rPr>
        <w:t>2141, 2185</w:t>
      </w:r>
      <w:r>
        <w:rPr>
          <w:lang w:val="en-US"/>
        </w:rPr>
        <w:t xml:space="preserve"> = 216 L. Ed. </w:t>
      </w:r>
      <w:r w:rsidRPr="00F34D08">
        <w:rPr>
          <w:lang w:val="en-US"/>
        </w:rPr>
        <w:t>2d 857, 907</w:t>
      </w:r>
      <w:r>
        <w:rPr>
          <w:lang w:val="en-US"/>
        </w:rPr>
        <w:t xml:space="preserve"> = 2023 U.S. LEXIS </w:t>
      </w:r>
      <w:r w:rsidRPr="00F34D08">
        <w:rPr>
          <w:lang w:val="en-US"/>
        </w:rPr>
        <w:t>2791, 92</w:t>
      </w:r>
      <w:r>
        <w:rPr>
          <w:lang w:val="en-US"/>
        </w:rPr>
        <w:t xml:space="preserve"> =</w:t>
      </w:r>
      <w:r w:rsidRPr="00F34D08">
        <w:rPr>
          <w:lang w:val="en-US"/>
        </w:rPr>
        <w:t xml:space="preserve"> 29 Fla. L. Weekly Fed. S 1149</w:t>
      </w:r>
      <w:r>
        <w:rPr>
          <w:lang w:val="en-US"/>
        </w:rPr>
        <w:t xml:space="preserve"> =</w:t>
      </w:r>
      <w:r w:rsidRPr="00F34D08">
        <w:rPr>
          <w:lang w:val="en-US"/>
        </w:rPr>
        <w:t xml:space="preserve"> 2023 WL 4239254 (2023)</w:t>
      </w:r>
      <w:r>
        <w:rPr>
          <w:lang w:val="en-US"/>
        </w:rPr>
        <w:t>.</w:t>
      </w:r>
    </w:p>
  </w:footnote>
  <w:footnote w:id="1733">
    <w:p w14:paraId="19B8AFC7" w14:textId="77777777" w:rsidR="00074551" w:rsidRPr="00CA26A2" w:rsidRDefault="00074551" w:rsidP="00074551">
      <w:pPr>
        <w:pStyle w:val="Funotentext"/>
        <w:rPr>
          <w:lang w:val="en-US"/>
        </w:rPr>
      </w:pPr>
      <w:r>
        <w:rPr>
          <w:rStyle w:val="Funotenzeichen"/>
        </w:rPr>
        <w:footnoteRef/>
      </w:r>
      <w:r w:rsidRPr="00F34D08">
        <w:rPr>
          <w:lang w:val="en-US"/>
        </w:rPr>
        <w:t xml:space="preserve"> </w:t>
      </w:r>
      <w:r w:rsidRPr="00B45592">
        <w:rPr>
          <w:i/>
          <w:lang w:val="en-US"/>
        </w:rPr>
        <w:t>Richmond v. J. A. Croson Co.</w:t>
      </w:r>
      <w:r w:rsidRPr="00F34D08">
        <w:rPr>
          <w:lang w:val="en-US"/>
        </w:rPr>
        <w:t xml:space="preserve">, 488 </w:t>
      </w:r>
      <w:r>
        <w:rPr>
          <w:lang w:val="en-US"/>
        </w:rPr>
        <w:t>U.S.</w:t>
      </w:r>
      <w:r w:rsidRPr="00F34D08">
        <w:rPr>
          <w:lang w:val="en-US"/>
        </w:rPr>
        <w:t xml:space="preserve"> 469, 526</w:t>
      </w:r>
      <w:r>
        <w:rPr>
          <w:lang w:val="en-US"/>
        </w:rPr>
        <w:t xml:space="preserve"> =</w:t>
      </w:r>
      <w:r w:rsidRPr="00F34D08">
        <w:rPr>
          <w:lang w:val="en-US"/>
        </w:rPr>
        <w:t xml:space="preserve"> 109 S. Ct. 706</w:t>
      </w:r>
      <w:r>
        <w:rPr>
          <w:lang w:val="en-US"/>
        </w:rPr>
        <w:t xml:space="preserve"> =</w:t>
      </w:r>
      <w:r w:rsidRPr="00F34D08">
        <w:rPr>
          <w:lang w:val="en-US"/>
        </w:rPr>
        <w:t xml:space="preserve"> 102 L. Ed. 2d 854 (1989) (</w:t>
      </w:r>
      <w:r w:rsidRPr="00B45592">
        <w:rPr>
          <w:i/>
          <w:lang w:val="en-US"/>
        </w:rPr>
        <w:t>concurring opinion</w:t>
      </w:r>
      <w:r>
        <w:rPr>
          <w:lang w:val="en-US"/>
        </w:rPr>
        <w:t xml:space="preserve"> von Richter </w:t>
      </w:r>
      <w:r w:rsidRPr="00B45592">
        <w:rPr>
          <w:i/>
          <w:lang w:val="en-US"/>
        </w:rPr>
        <w:t>Scalia</w:t>
      </w:r>
      <w:r w:rsidRPr="00A15962">
        <w:rPr>
          <w:lang w:val="en-US"/>
        </w:rPr>
        <w:t>)</w:t>
      </w:r>
      <w:r>
        <w:rPr>
          <w:lang w:val="en-US"/>
        </w:rPr>
        <w:t xml:space="preserve">; </w:t>
      </w:r>
      <w:r w:rsidRPr="00B45592">
        <w:rPr>
          <w:i/>
          <w:lang w:val="en-US"/>
        </w:rPr>
        <w:t>Students for Fair Admissions, Inc. v. President &amp; Fellows of Harv. Coll.</w:t>
      </w:r>
      <w:r w:rsidRPr="00F34D08">
        <w:rPr>
          <w:lang w:val="en-US"/>
        </w:rPr>
        <w:t>, 600 U.S. 181</w:t>
      </w:r>
      <w:r>
        <w:rPr>
          <w:lang w:val="en-US"/>
        </w:rPr>
        <w:t xml:space="preserve"> = 143 S. Ct. </w:t>
      </w:r>
      <w:r w:rsidRPr="00F34D08">
        <w:rPr>
          <w:lang w:val="en-US"/>
        </w:rPr>
        <w:t>2141, 2186</w:t>
      </w:r>
      <w:r>
        <w:rPr>
          <w:lang w:val="en-US"/>
        </w:rPr>
        <w:t xml:space="preserve"> = 216 L. Ed. </w:t>
      </w:r>
      <w:r w:rsidRPr="00F34D08">
        <w:rPr>
          <w:lang w:val="en-US"/>
        </w:rPr>
        <w:t>2d 857, 908</w:t>
      </w:r>
      <w:r>
        <w:rPr>
          <w:lang w:val="en-US"/>
        </w:rPr>
        <w:t xml:space="preserve"> = 2023 U.S. LEXIS </w:t>
      </w:r>
      <w:r w:rsidRPr="00F34D08">
        <w:rPr>
          <w:lang w:val="en-US"/>
        </w:rPr>
        <w:t>2791, 94</w:t>
      </w:r>
      <w:r>
        <w:rPr>
          <w:lang w:val="en-US"/>
        </w:rPr>
        <w:t xml:space="preserve"> = 29 Fla. L. Weekly </w:t>
      </w:r>
      <w:r w:rsidRPr="00F34D08">
        <w:rPr>
          <w:lang w:val="en-US"/>
        </w:rPr>
        <w:t>Fed. S 1149</w:t>
      </w:r>
      <w:r>
        <w:rPr>
          <w:lang w:val="en-US"/>
        </w:rPr>
        <w:t xml:space="preserve"> =</w:t>
      </w:r>
      <w:r w:rsidRPr="00F34D08">
        <w:rPr>
          <w:lang w:val="en-US"/>
        </w:rPr>
        <w:t xml:space="preserve"> 2023 WL 4239254 (2023)</w:t>
      </w:r>
      <w:r>
        <w:rPr>
          <w:lang w:val="en-US"/>
        </w:rPr>
        <w:t>.</w:t>
      </w:r>
    </w:p>
  </w:footnote>
  <w:footnote w:id="1734">
    <w:p w14:paraId="5D3C146C" w14:textId="77777777" w:rsidR="00074551" w:rsidRPr="00A00B9E" w:rsidRDefault="00074551" w:rsidP="00074551">
      <w:pPr>
        <w:pStyle w:val="Funotentext"/>
        <w:rPr>
          <w:lang w:val="en-US"/>
        </w:rPr>
      </w:pPr>
      <w:r>
        <w:rPr>
          <w:rStyle w:val="Funotenzeichen"/>
        </w:rPr>
        <w:footnoteRef/>
      </w:r>
      <w:r w:rsidRPr="00A00B9E">
        <w:rPr>
          <w:lang w:val="en-US"/>
        </w:rPr>
        <w:t xml:space="preserve"> </w:t>
      </w:r>
      <w:r w:rsidRPr="00A15962">
        <w:rPr>
          <w:i/>
          <w:lang w:val="en-US"/>
        </w:rPr>
        <w:t>Thomas v. Gay</w:t>
      </w:r>
      <w:r w:rsidRPr="00A00B9E">
        <w:rPr>
          <w:lang w:val="en-US"/>
        </w:rPr>
        <w:t>, 169 U.S. 264, 268</w:t>
      </w:r>
      <w:r w:rsidRPr="006E67FE">
        <w:rPr>
          <w:lang w:val="en-US"/>
        </w:rPr>
        <w:t xml:space="preserve"> = 18 S. Ct. </w:t>
      </w:r>
      <w:r w:rsidRPr="00A00B9E">
        <w:rPr>
          <w:lang w:val="en-US"/>
        </w:rPr>
        <w:t>340, 341</w:t>
      </w:r>
      <w:r w:rsidRPr="003B741A">
        <w:rPr>
          <w:lang w:val="en-US"/>
        </w:rPr>
        <w:t xml:space="preserve"> = 42 L. Ed. </w:t>
      </w:r>
      <w:r w:rsidRPr="00A00B9E">
        <w:rPr>
          <w:lang w:val="en-US"/>
        </w:rPr>
        <w:t>740, 742</w:t>
      </w:r>
      <w:r w:rsidRPr="00EC5BEB">
        <w:rPr>
          <w:lang w:val="en-US"/>
        </w:rPr>
        <w:t xml:space="preserve"> = 1898 U.S. LEXIS </w:t>
      </w:r>
      <w:r w:rsidRPr="00A00B9E">
        <w:rPr>
          <w:lang w:val="en-US"/>
        </w:rPr>
        <w:t>1491, 7 (1898)</w:t>
      </w:r>
      <w:r>
        <w:rPr>
          <w:lang w:val="en-US"/>
        </w:rPr>
        <w:t>.</w:t>
      </w:r>
    </w:p>
  </w:footnote>
  <w:footnote w:id="1735">
    <w:p w14:paraId="64E856BD" w14:textId="77777777" w:rsidR="00074551" w:rsidRPr="004E2A8E" w:rsidRDefault="00074551" w:rsidP="00074551">
      <w:pPr>
        <w:pStyle w:val="Funotentext"/>
        <w:rPr>
          <w:lang w:val="en-US"/>
        </w:rPr>
      </w:pPr>
      <w:r>
        <w:rPr>
          <w:rStyle w:val="Funotenzeichen"/>
        </w:rPr>
        <w:footnoteRef/>
      </w:r>
      <w:r w:rsidRPr="004E2A8E">
        <w:rPr>
          <w:lang w:val="en-US"/>
        </w:rPr>
        <w:t xml:space="preserve"> </w:t>
      </w:r>
      <w:r w:rsidRPr="00A15962">
        <w:rPr>
          <w:i/>
          <w:lang w:val="en-US"/>
        </w:rPr>
        <w:t>Thomas v. Gay</w:t>
      </w:r>
      <w:r w:rsidRPr="004E2A8E">
        <w:rPr>
          <w:lang w:val="en-US"/>
        </w:rPr>
        <w:t>, 169 U.S. 264, 268</w:t>
      </w:r>
      <w:r w:rsidRPr="006E67FE">
        <w:rPr>
          <w:lang w:val="en-US"/>
        </w:rPr>
        <w:t xml:space="preserve"> = 18 S. Ct. </w:t>
      </w:r>
      <w:r w:rsidRPr="004E2A8E">
        <w:rPr>
          <w:lang w:val="en-US"/>
        </w:rPr>
        <w:t>340, 341</w:t>
      </w:r>
      <w:r w:rsidRPr="003B741A">
        <w:rPr>
          <w:lang w:val="en-US"/>
        </w:rPr>
        <w:t xml:space="preserve"> = 42 L. Ed. </w:t>
      </w:r>
      <w:r w:rsidRPr="004E2A8E">
        <w:rPr>
          <w:lang w:val="en-US"/>
        </w:rPr>
        <w:t>740, 742</w:t>
      </w:r>
      <w:r w:rsidRPr="00EC5BEB">
        <w:rPr>
          <w:lang w:val="en-US"/>
        </w:rPr>
        <w:t xml:space="preserve"> = 1898 U.S. LEXIS </w:t>
      </w:r>
      <w:r w:rsidRPr="004E2A8E">
        <w:rPr>
          <w:lang w:val="en-US"/>
        </w:rPr>
        <w:t>1491, 7 (1898)</w:t>
      </w:r>
      <w:r>
        <w:rPr>
          <w:lang w:val="en-US"/>
        </w:rPr>
        <w:t>.</w:t>
      </w:r>
    </w:p>
  </w:footnote>
  <w:footnote w:id="1736">
    <w:p w14:paraId="405472E4" w14:textId="77777777" w:rsidR="00074551" w:rsidRPr="004E2A8E" w:rsidRDefault="00074551" w:rsidP="00074551">
      <w:pPr>
        <w:pStyle w:val="Funotentext"/>
        <w:rPr>
          <w:lang w:val="en-US"/>
        </w:rPr>
      </w:pPr>
      <w:r>
        <w:rPr>
          <w:rStyle w:val="Funotenzeichen"/>
        </w:rPr>
        <w:footnoteRef/>
      </w:r>
      <w:r w:rsidRPr="004E2A8E">
        <w:rPr>
          <w:lang w:val="en-US"/>
        </w:rPr>
        <w:t xml:space="preserve"> </w:t>
      </w:r>
      <w:r w:rsidRPr="00B45592">
        <w:rPr>
          <w:i/>
          <w:lang w:val="en-US"/>
        </w:rPr>
        <w:t>Kelly v. Pittsburgh</w:t>
      </w:r>
      <w:r w:rsidRPr="004E2A8E">
        <w:rPr>
          <w:lang w:val="en-US"/>
        </w:rPr>
        <w:t>, 104 U.S. 78</w:t>
      </w:r>
      <w:r>
        <w:rPr>
          <w:lang w:val="en-US"/>
        </w:rPr>
        <w:t xml:space="preserve">; </w:t>
      </w:r>
      <w:r w:rsidRPr="00A15962">
        <w:rPr>
          <w:i/>
          <w:lang w:val="en-US"/>
        </w:rPr>
        <w:t>Thomas v. Gay</w:t>
      </w:r>
      <w:r w:rsidRPr="004E2A8E">
        <w:rPr>
          <w:lang w:val="en-US"/>
        </w:rPr>
        <w:t>, 169 U.S. 264, 278</w:t>
      </w:r>
      <w:r w:rsidRPr="006E67FE">
        <w:rPr>
          <w:lang w:val="en-US"/>
        </w:rPr>
        <w:t xml:space="preserve"> = 18 S. Ct. </w:t>
      </w:r>
      <w:r w:rsidRPr="004E2A8E">
        <w:rPr>
          <w:lang w:val="en-US"/>
        </w:rPr>
        <w:t>340, 345</w:t>
      </w:r>
      <w:r w:rsidRPr="003B741A">
        <w:rPr>
          <w:lang w:val="en-US"/>
        </w:rPr>
        <w:t xml:space="preserve"> = 42 L. Ed. </w:t>
      </w:r>
      <w:r w:rsidRPr="004E2A8E">
        <w:rPr>
          <w:lang w:val="en-US"/>
        </w:rPr>
        <w:t>740, 746</w:t>
      </w:r>
      <w:r w:rsidRPr="00EC5BEB">
        <w:rPr>
          <w:lang w:val="en-US"/>
        </w:rPr>
        <w:t xml:space="preserve"> = 1898 U.S. LEXIS </w:t>
      </w:r>
      <w:r w:rsidRPr="004E2A8E">
        <w:rPr>
          <w:lang w:val="en-US"/>
        </w:rPr>
        <w:t>1491, 28 (1898)</w:t>
      </w:r>
      <w:r>
        <w:rPr>
          <w:lang w:val="en-US"/>
        </w:rPr>
        <w:t>.</w:t>
      </w:r>
    </w:p>
  </w:footnote>
  <w:footnote w:id="1737">
    <w:p w14:paraId="02C873B1" w14:textId="77777777" w:rsidR="00074551" w:rsidRPr="00782130" w:rsidRDefault="00074551" w:rsidP="00074551">
      <w:pPr>
        <w:pStyle w:val="Funotentext"/>
        <w:rPr>
          <w:lang w:val="en-US"/>
        </w:rPr>
      </w:pPr>
      <w:r>
        <w:rPr>
          <w:rStyle w:val="Funotenzeichen"/>
        </w:rPr>
        <w:footnoteRef/>
      </w:r>
      <w:r w:rsidRPr="00782130">
        <w:rPr>
          <w:lang w:val="en-US"/>
        </w:rPr>
        <w:t xml:space="preserve"> </w:t>
      </w:r>
      <w:r w:rsidRPr="00546F93">
        <w:rPr>
          <w:i/>
          <w:lang w:val="en-US"/>
        </w:rPr>
        <w:t>Kelly v. Pittsburgh</w:t>
      </w:r>
      <w:r w:rsidRPr="00782130">
        <w:rPr>
          <w:lang w:val="en-US"/>
        </w:rPr>
        <w:t>, 104 U.S. 78, 82</w:t>
      </w:r>
      <w:r w:rsidRPr="00EC5BEB">
        <w:rPr>
          <w:lang w:val="en-US"/>
        </w:rPr>
        <w:t xml:space="preserve"> = 26 L. Ed. </w:t>
      </w:r>
      <w:r w:rsidRPr="00782130">
        <w:rPr>
          <w:lang w:val="en-US"/>
        </w:rPr>
        <w:t>658, 660</w:t>
      </w:r>
      <w:r w:rsidRPr="00EC5BEB">
        <w:rPr>
          <w:lang w:val="en-US"/>
        </w:rPr>
        <w:t xml:space="preserve"> = 1881 U.S. LEXIS </w:t>
      </w:r>
      <w:r w:rsidRPr="00782130">
        <w:rPr>
          <w:lang w:val="en-US"/>
        </w:rPr>
        <w:t>1970, 9</w:t>
      </w:r>
      <w:r w:rsidRPr="00EC5BEB">
        <w:rPr>
          <w:lang w:val="en-US"/>
        </w:rPr>
        <w:t xml:space="preserve"> = 14 Otto </w:t>
      </w:r>
      <w:r w:rsidRPr="00782130">
        <w:rPr>
          <w:lang w:val="en-US"/>
        </w:rPr>
        <w:t>78 (1881)</w:t>
      </w:r>
      <w:r>
        <w:rPr>
          <w:lang w:val="en-US"/>
        </w:rPr>
        <w:t>.</w:t>
      </w:r>
    </w:p>
  </w:footnote>
  <w:footnote w:id="1738">
    <w:p w14:paraId="5F0AFF20" w14:textId="77777777" w:rsidR="00074551" w:rsidRPr="004B0DB2" w:rsidRDefault="00074551" w:rsidP="00074551">
      <w:pPr>
        <w:pStyle w:val="Funotentext"/>
        <w:rPr>
          <w:lang w:val="en-US"/>
        </w:rPr>
      </w:pPr>
      <w:r>
        <w:rPr>
          <w:rStyle w:val="Funotenzeichen"/>
        </w:rPr>
        <w:footnoteRef/>
      </w:r>
      <w:r>
        <w:rPr>
          <w:lang w:val="en-US"/>
        </w:rPr>
        <w:t xml:space="preserve"> S</w:t>
      </w:r>
      <w:r w:rsidRPr="004B0DB2">
        <w:rPr>
          <w:lang w:val="en-US"/>
        </w:rPr>
        <w:t>tore licensing act, 1931 Fla. Laws ch. 15624</w:t>
      </w:r>
      <w:r>
        <w:rPr>
          <w:lang w:val="en-US"/>
        </w:rPr>
        <w:t>:</w:t>
      </w:r>
      <w:r w:rsidRPr="004B0DB2">
        <w:rPr>
          <w:lang w:val="en-US"/>
        </w:rPr>
        <w:t xml:space="preserve"> </w:t>
      </w:r>
      <w:r>
        <w:rPr>
          <w:lang w:val="en-US"/>
        </w:rPr>
        <w:t>„,</w:t>
      </w:r>
      <w:r w:rsidRPr="004B0DB2">
        <w:rPr>
          <w:lang w:val="en-US"/>
        </w:rPr>
        <w:t>An act requiring licenses for the operation, maintenance, opening or establishment of stores in this State</w:t>
      </w:r>
      <w:r>
        <w:rPr>
          <w:lang w:val="en-US"/>
        </w:rPr>
        <w:t>‘…</w:t>
      </w:r>
      <w:r w:rsidRPr="004B0DB2">
        <w:rPr>
          <w:lang w:val="en-US"/>
        </w:rPr>
        <w:t xml:space="preserve"> Section 1 enacts </w:t>
      </w:r>
      <w:r>
        <w:rPr>
          <w:lang w:val="en-US"/>
        </w:rPr>
        <w:t>,</w:t>
      </w:r>
      <w:r w:rsidRPr="004B0DB2">
        <w:rPr>
          <w:lang w:val="en-US"/>
        </w:rPr>
        <w:t>That from and after the first day of October, A.D. 1931, it shall be unlawful for any person, firm, corporation, association or co-partnership, whether foreign or domestic, to operate, maintain, open or establish any store in this State without first having obtained a license</w:t>
      </w:r>
      <w:r>
        <w:rPr>
          <w:lang w:val="en-US"/>
        </w:rPr>
        <w:t xml:space="preserve">‘“, </w:t>
      </w:r>
      <w:r w:rsidRPr="00A15962">
        <w:rPr>
          <w:i/>
          <w:lang w:val="en-US"/>
        </w:rPr>
        <w:t>Louis K. Liggett Co. v. Lee</w:t>
      </w:r>
      <w:r w:rsidRPr="004B0DB2">
        <w:rPr>
          <w:lang w:val="en-US"/>
        </w:rPr>
        <w:t>, 288 U.S. 517, 535</w:t>
      </w:r>
      <w:r>
        <w:rPr>
          <w:lang w:val="en-US"/>
        </w:rPr>
        <w:t>–</w:t>
      </w:r>
      <w:r w:rsidRPr="004B0DB2">
        <w:rPr>
          <w:lang w:val="en-US"/>
        </w:rPr>
        <w:t>536</w:t>
      </w:r>
      <w:r>
        <w:rPr>
          <w:lang w:val="en-US"/>
        </w:rPr>
        <w:t xml:space="preserve"> = 53 S. Ct. </w:t>
      </w:r>
      <w:r w:rsidRPr="004B0DB2">
        <w:rPr>
          <w:lang w:val="en-US"/>
        </w:rPr>
        <w:t>481, 485</w:t>
      </w:r>
      <w:r>
        <w:rPr>
          <w:lang w:val="en-US"/>
        </w:rPr>
        <w:t xml:space="preserve"> = 77 L. Ed. </w:t>
      </w:r>
      <w:r w:rsidRPr="004B0DB2">
        <w:rPr>
          <w:lang w:val="en-US"/>
        </w:rPr>
        <w:t>929, 937</w:t>
      </w:r>
      <w:r>
        <w:rPr>
          <w:lang w:val="en-US"/>
        </w:rPr>
        <w:t xml:space="preserve"> = 1933 U.S. LEXIS </w:t>
      </w:r>
      <w:r w:rsidRPr="004B0DB2">
        <w:rPr>
          <w:lang w:val="en-US"/>
        </w:rPr>
        <w:t>51, 30</w:t>
      </w:r>
      <w:r>
        <w:rPr>
          <w:lang w:val="en-US"/>
        </w:rPr>
        <w:t>–</w:t>
      </w:r>
      <w:r w:rsidRPr="004B0DB2">
        <w:rPr>
          <w:lang w:val="en-US"/>
        </w:rPr>
        <w:t>31</w:t>
      </w:r>
      <w:r>
        <w:rPr>
          <w:lang w:val="en-US"/>
        </w:rPr>
        <w:t xml:space="preserve"> = 85 A.L.R</w:t>
      </w:r>
      <w:r w:rsidRPr="004B0DB2">
        <w:rPr>
          <w:lang w:val="en-US"/>
        </w:rPr>
        <w:t>. 699 (1933)</w:t>
      </w:r>
      <w:r>
        <w:rPr>
          <w:lang w:val="en-US"/>
        </w:rPr>
        <w:t>.</w:t>
      </w:r>
    </w:p>
  </w:footnote>
  <w:footnote w:id="1739">
    <w:p w14:paraId="43EA66D0" w14:textId="77777777" w:rsidR="00074551" w:rsidRPr="004B0DB2" w:rsidRDefault="00074551" w:rsidP="00074551">
      <w:pPr>
        <w:pStyle w:val="Funotentext"/>
        <w:rPr>
          <w:lang w:val="en-US"/>
        </w:rPr>
      </w:pPr>
      <w:r>
        <w:rPr>
          <w:rStyle w:val="Funotenzeichen"/>
        </w:rPr>
        <w:footnoteRef/>
      </w:r>
      <w:r w:rsidRPr="004B0DB2">
        <w:rPr>
          <w:lang w:val="en-US"/>
        </w:rPr>
        <w:t xml:space="preserve"> </w:t>
      </w:r>
      <w:r w:rsidRPr="00A15962">
        <w:rPr>
          <w:i/>
          <w:lang w:val="en-US"/>
        </w:rPr>
        <w:t>Louis K. Liggett Co. v. Lee</w:t>
      </w:r>
      <w:r w:rsidRPr="004B0DB2">
        <w:rPr>
          <w:lang w:val="en-US"/>
        </w:rPr>
        <w:t>, 288 U.S. 517, 528</w:t>
      </w:r>
      <w:r>
        <w:rPr>
          <w:lang w:val="en-US"/>
        </w:rPr>
        <w:t xml:space="preserve"> = 53 S. Ct. </w:t>
      </w:r>
      <w:r w:rsidRPr="004B0DB2">
        <w:rPr>
          <w:lang w:val="en-US"/>
        </w:rPr>
        <w:t>481, 482</w:t>
      </w:r>
      <w:r>
        <w:rPr>
          <w:lang w:val="en-US"/>
        </w:rPr>
        <w:t xml:space="preserve"> = 77 L. Ed. </w:t>
      </w:r>
      <w:r w:rsidRPr="004B0DB2">
        <w:rPr>
          <w:lang w:val="en-US"/>
        </w:rPr>
        <w:t>929, 934</w:t>
      </w:r>
      <w:r>
        <w:rPr>
          <w:lang w:val="en-US"/>
        </w:rPr>
        <w:t xml:space="preserve"> = 1933 U.S. LEXIS </w:t>
      </w:r>
      <w:r w:rsidRPr="004B0DB2">
        <w:rPr>
          <w:lang w:val="en-US"/>
        </w:rPr>
        <w:t>51, 1</w:t>
      </w:r>
      <w:r>
        <w:rPr>
          <w:lang w:val="en-US"/>
        </w:rPr>
        <w:t xml:space="preserve"> = 85 A.L.R</w:t>
      </w:r>
      <w:r w:rsidRPr="004B0DB2">
        <w:rPr>
          <w:lang w:val="en-US"/>
        </w:rPr>
        <w:t>. 699 (1933)</w:t>
      </w:r>
      <w:r>
        <w:rPr>
          <w:lang w:val="en-US"/>
        </w:rPr>
        <w:t>.</w:t>
      </w:r>
    </w:p>
  </w:footnote>
  <w:footnote w:id="1740">
    <w:p w14:paraId="12771188" w14:textId="77777777" w:rsidR="00074551" w:rsidRPr="003F1B1F" w:rsidRDefault="00074551" w:rsidP="00074551">
      <w:pPr>
        <w:pStyle w:val="Funotentext"/>
        <w:rPr>
          <w:lang w:val="en-US"/>
        </w:rPr>
      </w:pPr>
      <w:r>
        <w:rPr>
          <w:rStyle w:val="Funotenzeichen"/>
        </w:rPr>
        <w:footnoteRef/>
      </w:r>
      <w:r w:rsidRPr="003F1B1F">
        <w:rPr>
          <w:lang w:val="en-US"/>
        </w:rPr>
        <w:t xml:space="preserve"> </w:t>
      </w:r>
      <w:r w:rsidRPr="00B45592">
        <w:rPr>
          <w:i/>
          <w:lang w:val="en-US"/>
        </w:rPr>
        <w:t>Southern Ry. Co. v. Greene</w:t>
      </w:r>
      <w:r w:rsidRPr="003F1B1F">
        <w:rPr>
          <w:lang w:val="en-US"/>
        </w:rPr>
        <w:t xml:space="preserve">, 216 U.S. 400; </w:t>
      </w:r>
      <w:r w:rsidRPr="00B45592">
        <w:rPr>
          <w:i/>
          <w:lang w:val="en-US"/>
        </w:rPr>
        <w:t>Kentucky Finance Corp. v. Paramount Exchange</w:t>
      </w:r>
      <w:r w:rsidRPr="003F1B1F">
        <w:rPr>
          <w:lang w:val="en-US"/>
        </w:rPr>
        <w:t xml:space="preserve">, 262 U.S. 544; </w:t>
      </w:r>
      <w:r w:rsidRPr="00B45592">
        <w:rPr>
          <w:i/>
          <w:lang w:val="en-US"/>
        </w:rPr>
        <w:t>Power Mfg. Co. v. Saunders</w:t>
      </w:r>
      <w:r w:rsidRPr="003F1B1F">
        <w:rPr>
          <w:lang w:val="en-US"/>
        </w:rPr>
        <w:t xml:space="preserve">, 274 U.S. 490; </w:t>
      </w:r>
      <w:r w:rsidRPr="00B45592">
        <w:rPr>
          <w:i/>
          <w:lang w:val="en-US"/>
        </w:rPr>
        <w:t>Liggett Co. v. Baldridge</w:t>
      </w:r>
      <w:r w:rsidRPr="003F1B1F">
        <w:rPr>
          <w:lang w:val="en-US"/>
        </w:rPr>
        <w:t xml:space="preserve">, 278 U.S. 105; </w:t>
      </w:r>
      <w:r w:rsidRPr="00B45592">
        <w:rPr>
          <w:i/>
          <w:lang w:val="en-US"/>
        </w:rPr>
        <w:t>Iowa-Des Moines National Bank v. Bennett</w:t>
      </w:r>
      <w:r w:rsidRPr="003F1B1F">
        <w:rPr>
          <w:lang w:val="en-US"/>
        </w:rPr>
        <w:t>, 284 U.S. 239</w:t>
      </w:r>
      <w:r>
        <w:rPr>
          <w:lang w:val="en-US"/>
        </w:rPr>
        <w:t xml:space="preserve">; </w:t>
      </w:r>
      <w:r w:rsidRPr="00A15962">
        <w:rPr>
          <w:i/>
          <w:lang w:val="en-US"/>
        </w:rPr>
        <w:t>Louis K. Liggett Co. v. Lee</w:t>
      </w:r>
      <w:r>
        <w:rPr>
          <w:lang w:val="en-US"/>
        </w:rPr>
        <w:t xml:space="preserve"> = 1933 U.S. LEXIS </w:t>
      </w:r>
      <w:r w:rsidRPr="003F1B1F">
        <w:rPr>
          <w:lang w:val="en-US"/>
        </w:rPr>
        <w:t>51, 32, 288 U.S. 517, 536</w:t>
      </w:r>
      <w:r>
        <w:rPr>
          <w:lang w:val="en-US"/>
        </w:rPr>
        <w:t xml:space="preserve"> = 53 S. Ct. </w:t>
      </w:r>
      <w:r w:rsidRPr="003F1B1F">
        <w:rPr>
          <w:lang w:val="en-US"/>
        </w:rPr>
        <w:t>481, 485</w:t>
      </w:r>
      <w:r>
        <w:rPr>
          <w:lang w:val="en-US"/>
        </w:rPr>
        <w:t xml:space="preserve"> = 77 L. Ed. </w:t>
      </w:r>
      <w:r w:rsidRPr="003F1B1F">
        <w:rPr>
          <w:lang w:val="en-US"/>
        </w:rPr>
        <w:t>929, 938</w:t>
      </w:r>
      <w:r>
        <w:rPr>
          <w:lang w:val="en-US"/>
        </w:rPr>
        <w:t xml:space="preserve"> = 85 A.L.R</w:t>
      </w:r>
      <w:r w:rsidRPr="003F1B1F">
        <w:rPr>
          <w:lang w:val="en-US"/>
        </w:rPr>
        <w:t>. 699 (1933)</w:t>
      </w:r>
      <w:r>
        <w:rPr>
          <w:lang w:val="en-US"/>
        </w:rPr>
        <w:t>.</w:t>
      </w:r>
    </w:p>
  </w:footnote>
  <w:footnote w:id="1741">
    <w:p w14:paraId="7CE84B52" w14:textId="77777777" w:rsidR="00074551" w:rsidRPr="003F1B1F" w:rsidRDefault="00074551" w:rsidP="00074551">
      <w:pPr>
        <w:pStyle w:val="Funotentext"/>
        <w:rPr>
          <w:lang w:val="en-US"/>
        </w:rPr>
      </w:pPr>
      <w:r>
        <w:rPr>
          <w:rStyle w:val="Funotenzeichen"/>
        </w:rPr>
        <w:footnoteRef/>
      </w:r>
      <w:r w:rsidRPr="003F1B1F">
        <w:rPr>
          <w:lang w:val="en-US"/>
        </w:rPr>
        <w:t xml:space="preserve"> </w:t>
      </w:r>
      <w:r w:rsidRPr="00A15962">
        <w:rPr>
          <w:i/>
          <w:lang w:val="en-US"/>
        </w:rPr>
        <w:t>Louis K. Liggett Co. v. Lee</w:t>
      </w:r>
      <w:r w:rsidRPr="003F1B1F">
        <w:rPr>
          <w:lang w:val="en-US"/>
        </w:rPr>
        <w:t>, 288 U.S. 517, 536</w:t>
      </w:r>
      <w:r>
        <w:rPr>
          <w:lang w:val="en-US"/>
        </w:rPr>
        <w:t xml:space="preserve"> = 53 S. Ct. </w:t>
      </w:r>
      <w:r w:rsidRPr="003F1B1F">
        <w:rPr>
          <w:lang w:val="en-US"/>
        </w:rPr>
        <w:t>481, 485</w:t>
      </w:r>
      <w:r>
        <w:rPr>
          <w:lang w:val="en-US"/>
        </w:rPr>
        <w:t xml:space="preserve"> = 77 L. Ed. </w:t>
      </w:r>
      <w:r w:rsidRPr="003F1B1F">
        <w:rPr>
          <w:lang w:val="en-US"/>
        </w:rPr>
        <w:t>929, 938</w:t>
      </w:r>
      <w:r>
        <w:rPr>
          <w:lang w:val="en-US"/>
        </w:rPr>
        <w:t xml:space="preserve"> = 1933 U.S. LEXIS </w:t>
      </w:r>
      <w:r w:rsidRPr="003F1B1F">
        <w:rPr>
          <w:lang w:val="en-US"/>
        </w:rPr>
        <w:t>51, 32</w:t>
      </w:r>
      <w:r>
        <w:rPr>
          <w:lang w:val="en-US"/>
        </w:rPr>
        <w:t xml:space="preserve"> = 85 A.L.R</w:t>
      </w:r>
      <w:r w:rsidRPr="003F1B1F">
        <w:rPr>
          <w:lang w:val="en-US"/>
        </w:rPr>
        <w:t>. 699 (1933)</w:t>
      </w:r>
      <w:r>
        <w:rPr>
          <w:lang w:val="en-US"/>
        </w:rPr>
        <w:t>.</w:t>
      </w:r>
    </w:p>
  </w:footnote>
  <w:footnote w:id="1742">
    <w:p w14:paraId="769E7C7A" w14:textId="77777777" w:rsidR="00074551" w:rsidRPr="008C192C" w:rsidRDefault="00074551" w:rsidP="00074551">
      <w:pPr>
        <w:pStyle w:val="Funotentext"/>
        <w:rPr>
          <w:lang w:val="en-US"/>
        </w:rPr>
      </w:pPr>
      <w:r>
        <w:rPr>
          <w:rStyle w:val="Funotenzeichen"/>
        </w:rPr>
        <w:footnoteRef/>
      </w:r>
      <w:r w:rsidRPr="008C192C">
        <w:rPr>
          <w:lang w:val="en-US"/>
        </w:rPr>
        <w:t xml:space="preserve"> </w:t>
      </w:r>
      <w:r w:rsidRPr="00A15962">
        <w:rPr>
          <w:i/>
          <w:lang w:val="en-US"/>
        </w:rPr>
        <w:t>Louis K. Liggett Co. v. Lee</w:t>
      </w:r>
      <w:r w:rsidRPr="008C192C">
        <w:rPr>
          <w:lang w:val="en-US"/>
        </w:rPr>
        <w:t>, 288 U.S. 517, 542</w:t>
      </w:r>
      <w:r>
        <w:rPr>
          <w:lang w:val="en-US"/>
        </w:rPr>
        <w:t xml:space="preserve"> = 53 S. Ct. </w:t>
      </w:r>
      <w:r w:rsidRPr="008C192C">
        <w:rPr>
          <w:lang w:val="en-US"/>
        </w:rPr>
        <w:t>481, 487</w:t>
      </w:r>
      <w:r>
        <w:rPr>
          <w:lang w:val="en-US"/>
        </w:rPr>
        <w:t xml:space="preserve"> = 77 L. Ed. </w:t>
      </w:r>
      <w:r w:rsidRPr="008C192C">
        <w:rPr>
          <w:lang w:val="en-US"/>
        </w:rPr>
        <w:t>929, 940</w:t>
      </w:r>
      <w:r>
        <w:rPr>
          <w:lang w:val="en-US"/>
        </w:rPr>
        <w:t xml:space="preserve"> = 1933 U.S. LEXIS </w:t>
      </w:r>
      <w:r w:rsidRPr="008C192C">
        <w:rPr>
          <w:lang w:val="en-US"/>
        </w:rPr>
        <w:t>51, 42</w:t>
      </w:r>
      <w:r>
        <w:rPr>
          <w:lang w:val="en-US"/>
        </w:rPr>
        <w:t xml:space="preserve"> = 85 A.L.R</w:t>
      </w:r>
      <w:r w:rsidRPr="008C192C">
        <w:rPr>
          <w:lang w:val="en-US"/>
        </w:rPr>
        <w:t>. 699 (1933)</w:t>
      </w:r>
      <w:r>
        <w:rPr>
          <w:lang w:val="en-US"/>
        </w:rPr>
        <w:t>.</w:t>
      </w:r>
    </w:p>
  </w:footnote>
  <w:footnote w:id="1743">
    <w:p w14:paraId="391A3F8B" w14:textId="77777777" w:rsidR="00074551" w:rsidRPr="00D74D79" w:rsidRDefault="00074551" w:rsidP="00074551">
      <w:pPr>
        <w:pStyle w:val="Funotentext"/>
        <w:rPr>
          <w:lang w:val="en-US"/>
        </w:rPr>
      </w:pPr>
      <w:r>
        <w:rPr>
          <w:rStyle w:val="Funotenzeichen"/>
        </w:rPr>
        <w:footnoteRef/>
      </w:r>
      <w:r w:rsidRPr="00D74D79">
        <w:rPr>
          <w:lang w:val="en-US"/>
        </w:rPr>
        <w:t xml:space="preserve"> </w:t>
      </w:r>
      <w:proofErr w:type="spellStart"/>
      <w:r>
        <w:rPr>
          <w:lang w:val="en-US"/>
        </w:rPr>
        <w:t>Vgl</w:t>
      </w:r>
      <w:proofErr w:type="spellEnd"/>
      <w:r>
        <w:rPr>
          <w:lang w:val="en-US"/>
        </w:rPr>
        <w:t>.</w:t>
      </w:r>
      <w:r w:rsidRPr="00D74D79">
        <w:rPr>
          <w:lang w:val="en-US"/>
        </w:rPr>
        <w:t xml:space="preserve"> </w:t>
      </w:r>
      <w:r w:rsidRPr="00B45592">
        <w:rPr>
          <w:i/>
          <w:lang w:val="en-US"/>
        </w:rPr>
        <w:t>Railway Express Agency v. Virginia</w:t>
      </w:r>
      <w:r w:rsidRPr="00D74D79">
        <w:rPr>
          <w:lang w:val="en-US"/>
        </w:rPr>
        <w:t xml:space="preserve">, 282 U.S. 440. </w:t>
      </w:r>
      <w:proofErr w:type="spellStart"/>
      <w:r>
        <w:rPr>
          <w:lang w:val="en-US"/>
        </w:rPr>
        <w:t>Siehe</w:t>
      </w:r>
      <w:proofErr w:type="spellEnd"/>
      <w:r w:rsidRPr="00D74D79">
        <w:rPr>
          <w:lang w:val="en-US"/>
        </w:rPr>
        <w:t xml:space="preserve"> </w:t>
      </w:r>
      <w:r w:rsidRPr="00B45592">
        <w:rPr>
          <w:i/>
          <w:lang w:val="en-US"/>
        </w:rPr>
        <w:t>Pembina Mining Co. v. Pennsylvania</w:t>
      </w:r>
      <w:r w:rsidRPr="00D74D79">
        <w:rPr>
          <w:lang w:val="en-US"/>
        </w:rPr>
        <w:t>, 125 U.S. 181, 184</w:t>
      </w:r>
      <w:r>
        <w:rPr>
          <w:lang w:val="en-US"/>
        </w:rPr>
        <w:t>–18</w:t>
      </w:r>
      <w:r w:rsidRPr="00D74D79">
        <w:rPr>
          <w:lang w:val="en-US"/>
        </w:rPr>
        <w:t xml:space="preserve">5, 186; </w:t>
      </w:r>
      <w:r w:rsidRPr="00B45592">
        <w:rPr>
          <w:i/>
          <w:lang w:val="en-US"/>
        </w:rPr>
        <w:t>Horn Silver Mining Co. v. New York</w:t>
      </w:r>
      <w:r w:rsidRPr="00D74D79">
        <w:rPr>
          <w:lang w:val="en-US"/>
        </w:rPr>
        <w:t xml:space="preserve">, 143 U.S. 305, 314; </w:t>
      </w:r>
      <w:r w:rsidRPr="00B45592">
        <w:rPr>
          <w:i/>
          <w:lang w:val="en-US"/>
        </w:rPr>
        <w:t>Hemphill v. Orloff</w:t>
      </w:r>
      <w:r w:rsidRPr="00D74D79">
        <w:rPr>
          <w:lang w:val="en-US"/>
        </w:rPr>
        <w:t>, 277 U.S. 537, 548</w:t>
      </w:r>
      <w:r>
        <w:rPr>
          <w:lang w:val="en-US"/>
        </w:rPr>
        <w:t xml:space="preserve">; </w:t>
      </w:r>
      <w:r w:rsidRPr="00A15962">
        <w:rPr>
          <w:i/>
          <w:lang w:val="en-US"/>
        </w:rPr>
        <w:t>Louis K. Liggett Co. v. Lee</w:t>
      </w:r>
      <w:r w:rsidRPr="00D74D79">
        <w:rPr>
          <w:lang w:val="en-US"/>
        </w:rPr>
        <w:t>, 288 U.S. 517, 544</w:t>
      </w:r>
      <w:r>
        <w:rPr>
          <w:lang w:val="en-US"/>
        </w:rPr>
        <w:t xml:space="preserve"> = 53 S. Ct. </w:t>
      </w:r>
      <w:r w:rsidRPr="00D74D79">
        <w:rPr>
          <w:lang w:val="en-US"/>
        </w:rPr>
        <w:t>481, 487</w:t>
      </w:r>
      <w:r>
        <w:rPr>
          <w:lang w:val="en-US"/>
        </w:rPr>
        <w:t>–</w:t>
      </w:r>
      <w:r w:rsidRPr="00D74D79">
        <w:rPr>
          <w:lang w:val="en-US"/>
        </w:rPr>
        <w:t>488</w:t>
      </w:r>
      <w:r>
        <w:rPr>
          <w:lang w:val="en-US"/>
        </w:rPr>
        <w:t xml:space="preserve"> = 77 L. Ed. </w:t>
      </w:r>
      <w:r w:rsidRPr="00D74D79">
        <w:rPr>
          <w:lang w:val="en-US"/>
        </w:rPr>
        <w:t>929, 942</w:t>
      </w:r>
      <w:r>
        <w:rPr>
          <w:lang w:val="en-US"/>
        </w:rPr>
        <w:t xml:space="preserve"> = 1933 U.S. LEXIS </w:t>
      </w:r>
      <w:r w:rsidRPr="00D74D79">
        <w:rPr>
          <w:lang w:val="en-US"/>
        </w:rPr>
        <w:t>51, 46</w:t>
      </w:r>
      <w:r>
        <w:rPr>
          <w:lang w:val="en-US"/>
        </w:rPr>
        <w:t xml:space="preserve"> = 85 A.L.R</w:t>
      </w:r>
      <w:r w:rsidRPr="00D74D79">
        <w:rPr>
          <w:lang w:val="en-US"/>
        </w:rPr>
        <w:t>. 699 (1933)</w:t>
      </w:r>
      <w:r>
        <w:rPr>
          <w:lang w:val="en-US"/>
        </w:rPr>
        <w:t>.</w:t>
      </w:r>
    </w:p>
  </w:footnote>
  <w:footnote w:id="1744">
    <w:p w14:paraId="3F048EA3" w14:textId="77777777" w:rsidR="00074551" w:rsidRPr="006F735A" w:rsidRDefault="00074551" w:rsidP="00074551">
      <w:pPr>
        <w:pStyle w:val="Funotentext"/>
        <w:rPr>
          <w:lang w:val="en-US"/>
        </w:rPr>
      </w:pPr>
      <w:r>
        <w:rPr>
          <w:rStyle w:val="Funotenzeichen"/>
        </w:rPr>
        <w:footnoteRef/>
      </w:r>
      <w:r w:rsidRPr="006F735A">
        <w:rPr>
          <w:lang w:val="en-US"/>
        </w:rPr>
        <w:t xml:space="preserve"> </w:t>
      </w:r>
      <w:r w:rsidRPr="00A15962">
        <w:rPr>
          <w:i/>
          <w:lang w:val="en-US"/>
        </w:rPr>
        <w:t>Louis K. Liggett Co. v. Lee</w:t>
      </w:r>
      <w:r w:rsidRPr="006F735A">
        <w:rPr>
          <w:lang w:val="en-US"/>
        </w:rPr>
        <w:t>, 288 U.S. 517, 578</w:t>
      </w:r>
      <w:r>
        <w:rPr>
          <w:lang w:val="en-US"/>
        </w:rPr>
        <w:t xml:space="preserve"> = 53 S. Ct. </w:t>
      </w:r>
      <w:r w:rsidRPr="006F735A">
        <w:rPr>
          <w:lang w:val="en-US"/>
        </w:rPr>
        <w:t>481, 501</w:t>
      </w:r>
      <w:r>
        <w:rPr>
          <w:lang w:val="en-US"/>
        </w:rPr>
        <w:t xml:space="preserve"> = 77 L. Ed. </w:t>
      </w:r>
      <w:r w:rsidRPr="006F735A">
        <w:rPr>
          <w:lang w:val="en-US"/>
        </w:rPr>
        <w:t>929, 961</w:t>
      </w:r>
      <w:r>
        <w:rPr>
          <w:lang w:val="en-US"/>
        </w:rPr>
        <w:t xml:space="preserve"> = 1933 U.S. LEXIS </w:t>
      </w:r>
      <w:r w:rsidRPr="006F735A">
        <w:rPr>
          <w:lang w:val="en-US"/>
        </w:rPr>
        <w:t>51, 102</w:t>
      </w:r>
      <w:r>
        <w:rPr>
          <w:lang w:val="en-US"/>
        </w:rPr>
        <w:t xml:space="preserve"> = 85 A.L.R</w:t>
      </w:r>
      <w:r w:rsidRPr="006F735A">
        <w:rPr>
          <w:lang w:val="en-US"/>
        </w:rPr>
        <w:t>. 699 (1933)</w:t>
      </w:r>
      <w:r>
        <w:rPr>
          <w:lang w:val="en-US"/>
        </w:rPr>
        <w:t>.</w:t>
      </w:r>
    </w:p>
  </w:footnote>
  <w:footnote w:id="1745">
    <w:p w14:paraId="2CE0E692" w14:textId="77777777" w:rsidR="00074551" w:rsidRPr="006F735A" w:rsidRDefault="00074551" w:rsidP="00074551">
      <w:pPr>
        <w:pStyle w:val="Funotentext"/>
        <w:rPr>
          <w:lang w:val="en-US"/>
        </w:rPr>
      </w:pPr>
      <w:r>
        <w:rPr>
          <w:rStyle w:val="Funotenzeichen"/>
        </w:rPr>
        <w:footnoteRef/>
      </w:r>
      <w:r w:rsidRPr="006F735A">
        <w:rPr>
          <w:lang w:val="en-US"/>
        </w:rPr>
        <w:t xml:space="preserve"> </w:t>
      </w:r>
      <w:r w:rsidRPr="00A15962">
        <w:rPr>
          <w:i/>
          <w:lang w:val="en-US"/>
        </w:rPr>
        <w:t>Louis K. Liggett Co. v. Lee</w:t>
      </w:r>
      <w:r w:rsidRPr="006F735A">
        <w:rPr>
          <w:lang w:val="en-US"/>
        </w:rPr>
        <w:t>, 288 U.S. 517, 580</w:t>
      </w:r>
      <w:r>
        <w:rPr>
          <w:lang w:val="en-US"/>
        </w:rPr>
        <w:t xml:space="preserve"> = 53 S. Ct. </w:t>
      </w:r>
      <w:r w:rsidRPr="006F735A">
        <w:rPr>
          <w:lang w:val="en-US"/>
        </w:rPr>
        <w:t>481, 502</w:t>
      </w:r>
      <w:r>
        <w:rPr>
          <w:lang w:val="en-US"/>
        </w:rPr>
        <w:t xml:space="preserve"> = 77 L. Ed. </w:t>
      </w:r>
      <w:r w:rsidRPr="006F735A">
        <w:rPr>
          <w:lang w:val="en-US"/>
        </w:rPr>
        <w:t>929, 961</w:t>
      </w:r>
      <w:r>
        <w:rPr>
          <w:lang w:val="en-US"/>
        </w:rPr>
        <w:t xml:space="preserve"> = 1933 U.S. LEXIS </w:t>
      </w:r>
      <w:r w:rsidRPr="006F735A">
        <w:rPr>
          <w:lang w:val="en-US"/>
        </w:rPr>
        <w:t>51, 103</w:t>
      </w:r>
      <w:r>
        <w:rPr>
          <w:lang w:val="en-US"/>
        </w:rPr>
        <w:t xml:space="preserve"> = 85 A.L.R</w:t>
      </w:r>
      <w:r w:rsidRPr="006F735A">
        <w:rPr>
          <w:lang w:val="en-US"/>
        </w:rPr>
        <w:t>. 699 (1933)</w:t>
      </w:r>
      <w:r>
        <w:rPr>
          <w:lang w:val="en-US"/>
        </w:rPr>
        <w:t>.</w:t>
      </w:r>
    </w:p>
  </w:footnote>
  <w:footnote w:id="1746">
    <w:p w14:paraId="4AFA4355" w14:textId="77777777" w:rsidR="00074551" w:rsidRPr="00273DFA" w:rsidRDefault="00074551" w:rsidP="00074551">
      <w:pPr>
        <w:pStyle w:val="Funotentext"/>
        <w:rPr>
          <w:lang w:val="en-US"/>
        </w:rPr>
      </w:pPr>
      <w:r>
        <w:rPr>
          <w:rStyle w:val="Funotenzeichen"/>
        </w:rPr>
        <w:footnoteRef/>
      </w:r>
      <w:r w:rsidRPr="00273DFA">
        <w:rPr>
          <w:lang w:val="en-US"/>
        </w:rPr>
        <w:t xml:space="preserve"> </w:t>
      </w:r>
      <w:proofErr w:type="spellStart"/>
      <w:r>
        <w:rPr>
          <w:lang w:val="en-US"/>
        </w:rPr>
        <w:t>Siehe</w:t>
      </w:r>
      <w:proofErr w:type="spellEnd"/>
      <w:r w:rsidRPr="00273DFA">
        <w:rPr>
          <w:lang w:val="en-US"/>
        </w:rPr>
        <w:t xml:space="preserve"> </w:t>
      </w:r>
      <w:r w:rsidRPr="00B45592">
        <w:rPr>
          <w:i/>
          <w:lang w:val="en-US"/>
        </w:rPr>
        <w:t>Freeman v. Pitts</w:t>
      </w:r>
      <w:r w:rsidRPr="00273DFA">
        <w:rPr>
          <w:lang w:val="en-US"/>
        </w:rPr>
        <w:t>, 503 U.S. 467, 494</w:t>
      </w:r>
      <w:r>
        <w:rPr>
          <w:lang w:val="en-US"/>
        </w:rPr>
        <w:t xml:space="preserve"> = 112 S. Ct. </w:t>
      </w:r>
      <w:r w:rsidRPr="00273DFA">
        <w:rPr>
          <w:lang w:val="en-US"/>
        </w:rPr>
        <w:t>1430</w:t>
      </w:r>
      <w:r>
        <w:rPr>
          <w:lang w:val="en-US"/>
        </w:rPr>
        <w:t xml:space="preserve"> = 118 L. Ed. </w:t>
      </w:r>
      <w:r w:rsidRPr="00273DFA">
        <w:rPr>
          <w:lang w:val="en-US"/>
        </w:rPr>
        <w:t>2d 108 (1992)</w:t>
      </w:r>
      <w:r>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273DFA">
        <w:rPr>
          <w:lang w:val="en-US"/>
        </w:rPr>
        <w:t>, 551 U.S. 701, 720</w:t>
      </w:r>
      <w:r>
        <w:rPr>
          <w:lang w:val="en-US"/>
        </w:rPr>
        <w:t xml:space="preserve"> = 127 S. Ct. </w:t>
      </w:r>
      <w:r w:rsidRPr="00273DFA">
        <w:rPr>
          <w:lang w:val="en-US"/>
        </w:rPr>
        <w:t>2738, 2752</w:t>
      </w:r>
      <w:r>
        <w:rPr>
          <w:lang w:val="en-US"/>
        </w:rPr>
        <w:t xml:space="preserve"> = 168 L. Ed. </w:t>
      </w:r>
      <w:r w:rsidRPr="00273DFA">
        <w:rPr>
          <w:lang w:val="en-US"/>
        </w:rPr>
        <w:t>2d 508, 523</w:t>
      </w:r>
      <w:r>
        <w:rPr>
          <w:lang w:val="en-US"/>
        </w:rPr>
        <w:t xml:space="preserve"> = 2007 U.S. LEXIS </w:t>
      </w:r>
      <w:r w:rsidRPr="00273DFA">
        <w:rPr>
          <w:lang w:val="en-US"/>
        </w:rPr>
        <w:t>8670, 38</w:t>
      </w:r>
      <w:r>
        <w:rPr>
          <w:lang w:val="en-US"/>
        </w:rPr>
        <w:t xml:space="preserve"> = 75 U.S.L.W. </w:t>
      </w:r>
      <w:r w:rsidRPr="00273DFA">
        <w:rPr>
          <w:lang w:val="en-US"/>
        </w:rPr>
        <w:t>4577</w:t>
      </w:r>
      <w:r>
        <w:rPr>
          <w:lang w:val="en-US"/>
        </w:rPr>
        <w:t xml:space="preserve"> = 20 Fla. L. Weekly </w:t>
      </w:r>
      <w:r w:rsidRPr="00273DFA">
        <w:rPr>
          <w:lang w:val="en-US"/>
        </w:rPr>
        <w:t>Fed. S 490 (2007)</w:t>
      </w:r>
      <w:r>
        <w:rPr>
          <w:lang w:val="en-US"/>
        </w:rPr>
        <w:t>.</w:t>
      </w:r>
    </w:p>
  </w:footnote>
  <w:footnote w:id="1747">
    <w:p w14:paraId="7DF5FAFA" w14:textId="77777777" w:rsidR="00074551" w:rsidRPr="00EF5D28" w:rsidRDefault="00074551" w:rsidP="00074551">
      <w:pPr>
        <w:pStyle w:val="Funotentext"/>
        <w:rPr>
          <w:lang w:val="en-US"/>
        </w:rPr>
      </w:pPr>
      <w:r>
        <w:rPr>
          <w:rStyle w:val="Funotenzeichen"/>
        </w:rPr>
        <w:footnoteRef/>
      </w:r>
      <w:r w:rsidRPr="00774988">
        <w:rPr>
          <w:lang w:val="en-US"/>
        </w:rPr>
        <w:t xml:space="preserve"> </w:t>
      </w:r>
      <w:r w:rsidRPr="00A15962">
        <w:rPr>
          <w:i/>
          <w:lang w:val="en-US"/>
        </w:rPr>
        <w:t>Brown v. Board of Education</w:t>
      </w:r>
      <w:r w:rsidRPr="00774988">
        <w:rPr>
          <w:lang w:val="en-US"/>
        </w:rPr>
        <w:t xml:space="preserve">, O.T. 1952, </w:t>
      </w:r>
      <w:r w:rsidRPr="00E47138">
        <w:rPr>
          <w:lang w:val="en-US"/>
        </w:rPr>
        <w:t>N</w:t>
      </w:r>
      <w:r w:rsidRPr="00B45592">
        <w:rPr>
          <w:lang w:val="en-US"/>
        </w:rPr>
        <w:t>r</w:t>
      </w:r>
      <w:r w:rsidRPr="006F1816">
        <w:rPr>
          <w:lang w:val="en-US"/>
        </w:rPr>
        <w:t>. 8, 29</w:t>
      </w:r>
      <w:r>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774988">
        <w:rPr>
          <w:lang w:val="en-US"/>
        </w:rPr>
        <w:t>, 551 U.S. 701, 775</w:t>
      </w:r>
      <w:r>
        <w:rPr>
          <w:lang w:val="en-US"/>
        </w:rPr>
        <w:t xml:space="preserve"> = 127 S. Ct. </w:t>
      </w:r>
      <w:r w:rsidRPr="00774988">
        <w:rPr>
          <w:lang w:val="en-US"/>
        </w:rPr>
        <w:t>2738, 2784</w:t>
      </w:r>
      <w:r>
        <w:rPr>
          <w:lang w:val="en-US"/>
        </w:rPr>
        <w:t xml:space="preserve"> = 168 L. Ed. </w:t>
      </w:r>
      <w:r w:rsidRPr="00774988">
        <w:rPr>
          <w:lang w:val="en-US"/>
        </w:rPr>
        <w:t>2d 508, 558</w:t>
      </w:r>
      <w:r>
        <w:rPr>
          <w:lang w:val="en-US"/>
        </w:rPr>
        <w:t xml:space="preserve"> = 2007 U.S. LEXIS </w:t>
      </w:r>
      <w:r w:rsidRPr="00774988">
        <w:rPr>
          <w:lang w:val="en-US"/>
        </w:rPr>
        <w:t>8670, 138</w:t>
      </w:r>
      <w:r>
        <w:rPr>
          <w:lang w:val="en-US"/>
        </w:rPr>
        <w:t xml:space="preserve"> = 75 U.S.L.W. </w:t>
      </w:r>
      <w:r w:rsidRPr="00774988">
        <w:rPr>
          <w:lang w:val="en-US"/>
        </w:rPr>
        <w:t>4577</w:t>
      </w:r>
      <w:r>
        <w:rPr>
          <w:lang w:val="en-US"/>
        </w:rPr>
        <w:t xml:space="preserve"> = 20 Fla. L. Weekly </w:t>
      </w:r>
      <w:r w:rsidRPr="00774988">
        <w:rPr>
          <w:lang w:val="en-US"/>
        </w:rPr>
        <w:t>Fed. S 490 (2007)</w:t>
      </w:r>
      <w:r>
        <w:rPr>
          <w:lang w:val="en-US"/>
        </w:rPr>
        <w:t>.</w:t>
      </w:r>
    </w:p>
  </w:footnote>
  <w:footnote w:id="1748">
    <w:p w14:paraId="60AA46A0" w14:textId="77777777" w:rsidR="00074551" w:rsidRPr="00EF5D28" w:rsidRDefault="00074551" w:rsidP="00074551">
      <w:pPr>
        <w:pStyle w:val="Funotentext"/>
        <w:rPr>
          <w:lang w:val="en-US"/>
        </w:rPr>
      </w:pPr>
      <w:r>
        <w:rPr>
          <w:rStyle w:val="Funotenzeichen"/>
        </w:rPr>
        <w:footnoteRef/>
      </w:r>
      <w:r w:rsidRPr="00EF5D28">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EF5D28">
        <w:rPr>
          <w:lang w:val="en-US"/>
        </w:rPr>
        <w:t>, 551 U.S. 701, 775</w:t>
      </w:r>
      <w:r>
        <w:rPr>
          <w:lang w:val="en-US"/>
        </w:rPr>
        <w:t xml:space="preserve"> = 127 S. Ct. </w:t>
      </w:r>
      <w:r w:rsidRPr="00EF5D28">
        <w:rPr>
          <w:lang w:val="en-US"/>
        </w:rPr>
        <w:t>2738, 2784</w:t>
      </w:r>
      <w:r>
        <w:rPr>
          <w:lang w:val="en-US"/>
        </w:rPr>
        <w:t xml:space="preserve"> = 168 L. Ed. </w:t>
      </w:r>
      <w:r w:rsidRPr="00EF5D28">
        <w:rPr>
          <w:lang w:val="en-US"/>
        </w:rPr>
        <w:t>2d 508, 558</w:t>
      </w:r>
      <w:r>
        <w:rPr>
          <w:lang w:val="en-US"/>
        </w:rPr>
        <w:t xml:space="preserve"> = 2007 U.S. LEXIS </w:t>
      </w:r>
      <w:r w:rsidRPr="00EF5D28">
        <w:rPr>
          <w:lang w:val="en-US"/>
        </w:rPr>
        <w:t>8670, 138</w:t>
      </w:r>
      <w:r>
        <w:rPr>
          <w:lang w:val="en-US"/>
        </w:rPr>
        <w:t xml:space="preserve"> = 75 U.S.L.W. </w:t>
      </w:r>
      <w:r w:rsidRPr="00EF5D28">
        <w:rPr>
          <w:lang w:val="en-US"/>
        </w:rPr>
        <w:t>4577</w:t>
      </w:r>
      <w:r>
        <w:rPr>
          <w:lang w:val="en-US"/>
        </w:rPr>
        <w:t xml:space="preserve"> = 20 Fla. L. Weekly </w:t>
      </w:r>
      <w:r w:rsidRPr="00EF5D28">
        <w:rPr>
          <w:lang w:val="en-US"/>
        </w:rPr>
        <w:t xml:space="preserve">Fed. </w:t>
      </w:r>
      <w:r w:rsidRPr="004C108C">
        <w:rPr>
          <w:lang w:val="en-US"/>
        </w:rPr>
        <w:t>S 490 (2007)</w:t>
      </w:r>
      <w:r>
        <w:rPr>
          <w:lang w:val="en-US"/>
        </w:rPr>
        <w:t>.</w:t>
      </w:r>
    </w:p>
  </w:footnote>
  <w:footnote w:id="1749">
    <w:p w14:paraId="7F644110" w14:textId="77777777" w:rsidR="00074551" w:rsidRPr="004C108C" w:rsidRDefault="00074551" w:rsidP="00074551">
      <w:pPr>
        <w:pStyle w:val="Funotentext"/>
        <w:rPr>
          <w:lang w:val="en-US"/>
        </w:rPr>
      </w:pPr>
      <w:r>
        <w:rPr>
          <w:rStyle w:val="Funotenzeichen"/>
        </w:rPr>
        <w:footnoteRef/>
      </w:r>
      <w:r w:rsidRPr="00EF5D28">
        <w:rPr>
          <w:lang w:val="en-US"/>
        </w:rPr>
        <w:t xml:space="preserve"> </w:t>
      </w:r>
      <w:r w:rsidRPr="009E57E1">
        <w:rPr>
          <w:i/>
          <w:lang w:val="en-US"/>
        </w:rPr>
        <w:t xml:space="preserve">Parents Involved in </w:t>
      </w:r>
      <w:proofErr w:type="spellStart"/>
      <w:r w:rsidRPr="009E57E1">
        <w:rPr>
          <w:i/>
          <w:lang w:val="en-US"/>
        </w:rPr>
        <w:t>Cmty</w:t>
      </w:r>
      <w:proofErr w:type="spellEnd"/>
      <w:r w:rsidRPr="009E57E1">
        <w:rPr>
          <w:i/>
          <w:lang w:val="en-US"/>
        </w:rPr>
        <w:t>. Sch. v. Seattle Sch. Dist. No. 1</w:t>
      </w:r>
      <w:r w:rsidRPr="00EF5D28">
        <w:rPr>
          <w:lang w:val="en-US"/>
        </w:rPr>
        <w:t>, 551 U.S. 701, 778</w:t>
      </w:r>
      <w:r>
        <w:rPr>
          <w:lang w:val="en-US"/>
        </w:rPr>
        <w:t xml:space="preserve"> = 127 S. Ct. </w:t>
      </w:r>
      <w:r w:rsidRPr="00EF5D28">
        <w:rPr>
          <w:lang w:val="en-US"/>
        </w:rPr>
        <w:t>2738, 2786</w:t>
      </w:r>
      <w:r>
        <w:rPr>
          <w:lang w:val="en-US"/>
        </w:rPr>
        <w:t xml:space="preserve"> = 168 L. Ed. </w:t>
      </w:r>
      <w:r w:rsidRPr="00EF5D28">
        <w:rPr>
          <w:lang w:val="en-US"/>
        </w:rPr>
        <w:t>2d 508, 560</w:t>
      </w:r>
      <w:r>
        <w:rPr>
          <w:lang w:val="en-US"/>
        </w:rPr>
        <w:t xml:space="preserve"> = 2007 U.S. LEXIS </w:t>
      </w:r>
      <w:r w:rsidRPr="00EF5D28">
        <w:rPr>
          <w:lang w:val="en-US"/>
        </w:rPr>
        <w:t>8670, 144</w:t>
      </w:r>
      <w:r>
        <w:rPr>
          <w:lang w:val="en-US"/>
        </w:rPr>
        <w:t xml:space="preserve"> = 75 U.S.L.W. </w:t>
      </w:r>
      <w:r w:rsidRPr="00EF5D28">
        <w:rPr>
          <w:lang w:val="en-US"/>
        </w:rPr>
        <w:t>4577</w:t>
      </w:r>
      <w:r>
        <w:rPr>
          <w:lang w:val="en-US"/>
        </w:rPr>
        <w:t xml:space="preserve"> = 20 Fla. L. Weekly </w:t>
      </w:r>
      <w:r w:rsidRPr="00EF5D28">
        <w:rPr>
          <w:lang w:val="en-US"/>
        </w:rPr>
        <w:t xml:space="preserve">Fed. </w:t>
      </w:r>
      <w:r w:rsidRPr="004C108C">
        <w:rPr>
          <w:lang w:val="en-US"/>
        </w:rPr>
        <w:t>S 490 (2007).</w:t>
      </w:r>
    </w:p>
  </w:footnote>
  <w:footnote w:id="1750">
    <w:p w14:paraId="4420F3F4" w14:textId="77777777" w:rsidR="00074551" w:rsidRPr="00474BE6" w:rsidRDefault="00074551" w:rsidP="00074551">
      <w:pPr>
        <w:pStyle w:val="Funotentext"/>
        <w:rPr>
          <w:lang w:val="en-US"/>
        </w:rPr>
      </w:pPr>
      <w:r>
        <w:rPr>
          <w:rStyle w:val="Funotenzeichen"/>
        </w:rPr>
        <w:footnoteRef/>
      </w:r>
      <w:r w:rsidRPr="00474BE6">
        <w:rPr>
          <w:lang w:val="en-US"/>
        </w:rPr>
        <w:t xml:space="preserve"> </w:t>
      </w:r>
      <w:r>
        <w:rPr>
          <w:lang w:val="en-US"/>
        </w:rPr>
        <w:t>„</w:t>
      </w:r>
      <w:r w:rsidRPr="00474BE6">
        <w:rPr>
          <w:lang w:val="en-US"/>
        </w:rPr>
        <w:t>8th of April, 1884, the Board of Supervisors of the city and county of San Francisco, the legislative authority of that municipality, passed an ordinance […]</w:t>
      </w:r>
      <w:r>
        <w:rPr>
          <w:lang w:val="en-US"/>
        </w:rPr>
        <w:t xml:space="preserve"> [:] </w:t>
      </w:r>
      <w:r w:rsidRPr="00474BE6">
        <w:rPr>
          <w:lang w:val="en-US"/>
        </w:rPr>
        <w:t>The ordinance of the City and County of San Francisco, prohibiting the carrying on of public laundries and wash houses within certain prescribed limits of the city and county, from ten o</w:t>
      </w:r>
      <w:r>
        <w:rPr>
          <w:lang w:val="en-US"/>
        </w:rPr>
        <w:t>’</w:t>
      </w:r>
      <w:r w:rsidRPr="00474BE6">
        <w:rPr>
          <w:lang w:val="en-US"/>
        </w:rPr>
        <w:t>clock at night until six o</w:t>
      </w:r>
      <w:r>
        <w:rPr>
          <w:lang w:val="en-US"/>
        </w:rPr>
        <w:t>’</w:t>
      </w:r>
      <w:r w:rsidRPr="00474BE6">
        <w:rPr>
          <w:lang w:val="en-US"/>
        </w:rPr>
        <w:t>clock in the morning.“</w:t>
      </w:r>
      <w:r>
        <w:rPr>
          <w:lang w:val="en-US"/>
        </w:rPr>
        <w:t>,</w:t>
      </w:r>
      <w:r w:rsidRPr="00474BE6">
        <w:rPr>
          <w:lang w:val="en-US"/>
        </w:rPr>
        <w:t xml:space="preserve"> </w:t>
      </w:r>
      <w:r w:rsidRPr="004F13B1">
        <w:rPr>
          <w:i/>
          <w:lang w:val="en-US"/>
        </w:rPr>
        <w:t>Barbier v. Connolly</w:t>
      </w:r>
      <w:r w:rsidRPr="00474BE6">
        <w:rPr>
          <w:lang w:val="en-US"/>
        </w:rPr>
        <w:t>, 113 U.S. 27, 29</w:t>
      </w:r>
      <w:r>
        <w:rPr>
          <w:lang w:val="en-US"/>
        </w:rPr>
        <w:t xml:space="preserve"> = 5 S. Ct. </w:t>
      </w:r>
      <w:r w:rsidRPr="00474BE6">
        <w:rPr>
          <w:lang w:val="en-US"/>
        </w:rPr>
        <w:t>357, 358</w:t>
      </w:r>
      <w:r w:rsidRPr="006E67FE">
        <w:rPr>
          <w:lang w:val="en-US"/>
        </w:rPr>
        <w:t xml:space="preserve"> = 28 L. Ed. </w:t>
      </w:r>
      <w:r w:rsidRPr="00474BE6">
        <w:rPr>
          <w:lang w:val="en-US"/>
        </w:rPr>
        <w:t>923, 924</w:t>
      </w:r>
      <w:r>
        <w:rPr>
          <w:lang w:val="en-US"/>
        </w:rPr>
        <w:t xml:space="preserve"> = 1885 U.S. LEXIS </w:t>
      </w:r>
      <w:r w:rsidRPr="00474BE6">
        <w:rPr>
          <w:lang w:val="en-US"/>
        </w:rPr>
        <w:t>1647, 5 (1885)</w:t>
      </w:r>
      <w:r>
        <w:rPr>
          <w:lang w:val="en-US"/>
        </w:rPr>
        <w:t>.</w:t>
      </w:r>
    </w:p>
  </w:footnote>
  <w:footnote w:id="1751">
    <w:p w14:paraId="3F3BBC1F" w14:textId="77777777" w:rsidR="00074551" w:rsidRPr="00F40A1C" w:rsidRDefault="00074551" w:rsidP="00074551">
      <w:pPr>
        <w:pStyle w:val="Funotentext"/>
        <w:rPr>
          <w:lang w:val="en-US"/>
        </w:rPr>
      </w:pPr>
      <w:r>
        <w:rPr>
          <w:rStyle w:val="Funotenzeichen"/>
        </w:rPr>
        <w:footnoteRef/>
      </w:r>
      <w:r w:rsidRPr="00F40A1C">
        <w:rPr>
          <w:lang w:val="en-US"/>
        </w:rPr>
        <w:t xml:space="preserve"> </w:t>
      </w:r>
      <w:r w:rsidRPr="004F13B1">
        <w:rPr>
          <w:i/>
          <w:lang w:val="en-US"/>
        </w:rPr>
        <w:t>Barbier v. Connolly</w:t>
      </w:r>
      <w:r w:rsidRPr="00F40A1C">
        <w:rPr>
          <w:lang w:val="en-US"/>
        </w:rPr>
        <w:t>, 113 U.S. 27, 31</w:t>
      </w:r>
      <w:r>
        <w:rPr>
          <w:lang w:val="en-US"/>
        </w:rPr>
        <w:t xml:space="preserve"> = 5 S. Ct. </w:t>
      </w:r>
      <w:r w:rsidRPr="00F40A1C">
        <w:rPr>
          <w:lang w:val="en-US"/>
        </w:rPr>
        <w:t>357, 359</w:t>
      </w:r>
      <w:r w:rsidRPr="006E67FE">
        <w:rPr>
          <w:lang w:val="en-US"/>
        </w:rPr>
        <w:t xml:space="preserve"> = 28 L. Ed. </w:t>
      </w:r>
      <w:r w:rsidRPr="00F40A1C">
        <w:rPr>
          <w:lang w:val="en-US"/>
        </w:rPr>
        <w:t>923, 924</w:t>
      </w:r>
      <w:r>
        <w:rPr>
          <w:lang w:val="en-US"/>
        </w:rPr>
        <w:t xml:space="preserve"> = 1885 U.S. LEXIS </w:t>
      </w:r>
      <w:r w:rsidRPr="00F40A1C">
        <w:rPr>
          <w:lang w:val="en-US"/>
        </w:rPr>
        <w:t>1647, 8 (1885)</w:t>
      </w:r>
      <w:r>
        <w:rPr>
          <w:lang w:val="en-US"/>
        </w:rPr>
        <w:t>.</w:t>
      </w:r>
    </w:p>
  </w:footnote>
  <w:footnote w:id="1752">
    <w:p w14:paraId="71ACBAFD" w14:textId="77777777" w:rsidR="00074551" w:rsidRPr="00F40A1C" w:rsidRDefault="00074551" w:rsidP="00074551">
      <w:pPr>
        <w:pStyle w:val="Funotentext"/>
        <w:rPr>
          <w:lang w:val="en-US"/>
        </w:rPr>
      </w:pPr>
      <w:r>
        <w:rPr>
          <w:rStyle w:val="Funotenzeichen"/>
        </w:rPr>
        <w:footnoteRef/>
      </w:r>
      <w:r w:rsidRPr="00F40A1C">
        <w:rPr>
          <w:lang w:val="en-US"/>
        </w:rPr>
        <w:t xml:space="preserve"> </w:t>
      </w:r>
      <w:r w:rsidRPr="004F13B1">
        <w:rPr>
          <w:i/>
          <w:lang w:val="en-US"/>
        </w:rPr>
        <w:t>Barbier v. Connolly</w:t>
      </w:r>
      <w:r w:rsidRPr="00F40A1C">
        <w:rPr>
          <w:lang w:val="en-US"/>
        </w:rPr>
        <w:t>, 113 U.S. 27, 29</w:t>
      </w:r>
      <w:r>
        <w:rPr>
          <w:lang w:val="en-US"/>
        </w:rPr>
        <w:t xml:space="preserve"> = 5 S. Ct. </w:t>
      </w:r>
      <w:r w:rsidRPr="00F40A1C">
        <w:rPr>
          <w:lang w:val="en-US"/>
        </w:rPr>
        <w:t>357, 358</w:t>
      </w:r>
      <w:r w:rsidRPr="006E67FE">
        <w:rPr>
          <w:lang w:val="en-US"/>
        </w:rPr>
        <w:t xml:space="preserve"> = 28 L. Ed. </w:t>
      </w:r>
      <w:r w:rsidRPr="00F40A1C">
        <w:rPr>
          <w:lang w:val="en-US"/>
        </w:rPr>
        <w:t>923, 924</w:t>
      </w:r>
      <w:r>
        <w:rPr>
          <w:lang w:val="en-US"/>
        </w:rPr>
        <w:t xml:space="preserve"> = 1885 U.S. LEXIS </w:t>
      </w:r>
      <w:r w:rsidRPr="00F40A1C">
        <w:rPr>
          <w:lang w:val="en-US"/>
        </w:rPr>
        <w:t>1647, 5 (1885)</w:t>
      </w:r>
      <w:r>
        <w:rPr>
          <w:lang w:val="en-US"/>
        </w:rPr>
        <w:t>.</w:t>
      </w:r>
    </w:p>
  </w:footnote>
  <w:footnote w:id="1753">
    <w:p w14:paraId="0A8E71ED" w14:textId="77777777" w:rsidR="00074551" w:rsidRPr="00F40A1C" w:rsidRDefault="00074551" w:rsidP="00074551">
      <w:pPr>
        <w:pStyle w:val="Funotentext"/>
        <w:rPr>
          <w:lang w:val="en-US"/>
        </w:rPr>
      </w:pPr>
      <w:r>
        <w:rPr>
          <w:rStyle w:val="Funotenzeichen"/>
        </w:rPr>
        <w:footnoteRef/>
      </w:r>
      <w:r w:rsidRPr="00F40A1C">
        <w:rPr>
          <w:lang w:val="en-US"/>
        </w:rPr>
        <w:t xml:space="preserve"> </w:t>
      </w:r>
      <w:r w:rsidRPr="004F13B1">
        <w:rPr>
          <w:i/>
          <w:lang w:val="en-US"/>
        </w:rPr>
        <w:t>Barbier v. Connolly</w:t>
      </w:r>
      <w:r w:rsidRPr="00F40A1C">
        <w:rPr>
          <w:lang w:val="en-US"/>
        </w:rPr>
        <w:t>, 113 U.S. 27, 29</w:t>
      </w:r>
      <w:r>
        <w:rPr>
          <w:lang w:val="en-US"/>
        </w:rPr>
        <w:t xml:space="preserve"> = 5 S. Ct. </w:t>
      </w:r>
      <w:r w:rsidRPr="00F40A1C">
        <w:rPr>
          <w:lang w:val="en-US"/>
        </w:rPr>
        <w:t>357, 358</w:t>
      </w:r>
      <w:r w:rsidRPr="006E67FE">
        <w:rPr>
          <w:lang w:val="en-US"/>
        </w:rPr>
        <w:t xml:space="preserve"> = 28 L. Ed. </w:t>
      </w:r>
      <w:r w:rsidRPr="00F40A1C">
        <w:rPr>
          <w:lang w:val="en-US"/>
        </w:rPr>
        <w:t>923, 924</w:t>
      </w:r>
      <w:r>
        <w:rPr>
          <w:lang w:val="en-US"/>
        </w:rPr>
        <w:t xml:space="preserve"> = 1885 U.S. LEXIS </w:t>
      </w:r>
      <w:r w:rsidRPr="00F40A1C">
        <w:rPr>
          <w:lang w:val="en-US"/>
        </w:rPr>
        <w:t>1647, 5 (1885)</w:t>
      </w:r>
      <w:r>
        <w:rPr>
          <w:lang w:val="en-US"/>
        </w:rPr>
        <w:t>.</w:t>
      </w:r>
    </w:p>
  </w:footnote>
  <w:footnote w:id="1754">
    <w:p w14:paraId="15B547E0" w14:textId="77777777" w:rsidR="00074551" w:rsidRPr="003C2252" w:rsidRDefault="00074551" w:rsidP="00074551">
      <w:pPr>
        <w:pStyle w:val="Funotentext"/>
        <w:rPr>
          <w:lang w:val="en-US"/>
        </w:rPr>
      </w:pPr>
      <w:r>
        <w:rPr>
          <w:rStyle w:val="Funotenzeichen"/>
        </w:rPr>
        <w:footnoteRef/>
      </w:r>
      <w:r w:rsidRPr="003C2252">
        <w:rPr>
          <w:lang w:val="en-US"/>
        </w:rPr>
        <w:t xml:space="preserve"> </w:t>
      </w:r>
      <w:r w:rsidRPr="00A15962">
        <w:rPr>
          <w:i/>
          <w:lang w:val="en-US"/>
        </w:rPr>
        <w:t>Connolly v. Union Sewer Pipe Co.</w:t>
      </w:r>
      <w:r w:rsidRPr="003C2252">
        <w:rPr>
          <w:lang w:val="en-US"/>
        </w:rPr>
        <w:t>, 184 U.S. 540, 541</w:t>
      </w:r>
      <w:r>
        <w:rPr>
          <w:lang w:val="en-US"/>
        </w:rPr>
        <w:t xml:space="preserve"> = 22 S. Ct. </w:t>
      </w:r>
      <w:r w:rsidRPr="003C2252">
        <w:rPr>
          <w:lang w:val="en-US"/>
        </w:rPr>
        <w:t>431, 432</w:t>
      </w:r>
      <w:r>
        <w:rPr>
          <w:lang w:val="en-US"/>
        </w:rPr>
        <w:t xml:space="preserve"> = 46 L. Ed. </w:t>
      </w:r>
      <w:r w:rsidRPr="003C2252">
        <w:rPr>
          <w:lang w:val="en-US"/>
        </w:rPr>
        <w:t>679, 682, 1902 U.S. LEXIS 2269, 1 (1902)</w:t>
      </w:r>
      <w:r>
        <w:rPr>
          <w:lang w:val="en-US"/>
        </w:rPr>
        <w:t>.</w:t>
      </w:r>
    </w:p>
  </w:footnote>
  <w:footnote w:id="1755">
    <w:p w14:paraId="66930762" w14:textId="77777777" w:rsidR="00074551" w:rsidRPr="00EF3AC0" w:rsidRDefault="00074551" w:rsidP="00074551">
      <w:pPr>
        <w:pStyle w:val="Funotentext"/>
        <w:rPr>
          <w:lang w:val="en-US"/>
        </w:rPr>
      </w:pPr>
      <w:r>
        <w:rPr>
          <w:rStyle w:val="Funotenzeichen"/>
        </w:rPr>
        <w:footnoteRef/>
      </w:r>
      <w:r w:rsidRPr="00EF3AC0">
        <w:rPr>
          <w:lang w:val="en-US"/>
        </w:rPr>
        <w:t xml:space="preserve"> </w:t>
      </w:r>
      <w:r>
        <w:rPr>
          <w:lang w:val="en-US"/>
        </w:rPr>
        <w:t>„§ </w:t>
      </w:r>
      <w:r w:rsidRPr="00EF3AC0">
        <w:rPr>
          <w:lang w:val="en-US"/>
        </w:rPr>
        <w:t xml:space="preserve">1. That a trust is a combination of capital, skill or acts by two or more persons, firms, corporations or associations of persons, or of two or more of them for either, any or </w:t>
      </w:r>
      <w:proofErr w:type="gramStart"/>
      <w:r w:rsidRPr="00EF3AC0">
        <w:rPr>
          <w:lang w:val="en-US"/>
        </w:rPr>
        <w:t>all of</w:t>
      </w:r>
      <w:proofErr w:type="gramEnd"/>
      <w:r w:rsidRPr="00EF3AC0">
        <w:rPr>
          <w:lang w:val="en-US"/>
        </w:rPr>
        <w:t xml:space="preserve"> the following purposes: First </w:t>
      </w:r>
      <w:r>
        <w:rPr>
          <w:lang w:val="en-US"/>
        </w:rPr>
        <w:t>–</w:t>
      </w:r>
      <w:r w:rsidRPr="00EF3AC0">
        <w:rPr>
          <w:lang w:val="en-US"/>
        </w:rPr>
        <w:t xml:space="preserve"> to create or carry out restrictions in trade. Second </w:t>
      </w:r>
      <w:r>
        <w:rPr>
          <w:lang w:val="en-US"/>
        </w:rPr>
        <w:t>–</w:t>
      </w:r>
      <w:r w:rsidRPr="00EF3AC0">
        <w:rPr>
          <w:lang w:val="en-US"/>
        </w:rPr>
        <w:t xml:space="preserve"> to limit or reduce the </w:t>
      </w:r>
      <w:proofErr w:type="gramStart"/>
      <w:r w:rsidRPr="00EF3AC0">
        <w:rPr>
          <w:lang w:val="en-US"/>
        </w:rPr>
        <w:t>production, or</w:t>
      </w:r>
      <w:proofErr w:type="gramEnd"/>
      <w:r w:rsidRPr="00EF3AC0">
        <w:rPr>
          <w:lang w:val="en-US"/>
        </w:rPr>
        <w:t xml:space="preserve"> increase or reduce the price of merchandise or commodities. Third </w:t>
      </w:r>
      <w:r>
        <w:rPr>
          <w:lang w:val="en-US"/>
        </w:rPr>
        <w:t>–</w:t>
      </w:r>
      <w:r w:rsidRPr="00EF3AC0">
        <w:rPr>
          <w:lang w:val="en-US"/>
        </w:rPr>
        <w:t xml:space="preserve"> to prevent competition in manufacture, making, transportation, sale or purchase of merchandise, produce or commodities.</w:t>
      </w:r>
      <w:r w:rsidRPr="006E67FE">
        <w:rPr>
          <w:lang w:val="en-US"/>
        </w:rPr>
        <w:t xml:space="preserve"> </w:t>
      </w:r>
      <w:r w:rsidRPr="00EF3AC0">
        <w:rPr>
          <w:lang w:val="en-US"/>
        </w:rPr>
        <w:t xml:space="preserve">Fourth </w:t>
      </w:r>
      <w:r>
        <w:rPr>
          <w:lang w:val="en-US"/>
        </w:rPr>
        <w:t>–</w:t>
      </w:r>
      <w:r w:rsidRPr="00EF3AC0">
        <w:rPr>
          <w:lang w:val="en-US"/>
        </w:rPr>
        <w:t xml:space="preserve"> to fix at any standard or figure whereby its price to the public shall be in any manner controlled or established upon any article or commodity of merchandise, produce or</w:t>
      </w:r>
      <w:r w:rsidRPr="006E67FE">
        <w:rPr>
          <w:lang w:val="en-US"/>
        </w:rPr>
        <w:t xml:space="preserve"> </w:t>
      </w:r>
      <w:r w:rsidRPr="00EF3AC0">
        <w:rPr>
          <w:lang w:val="en-US"/>
        </w:rPr>
        <w:t xml:space="preserve">manufacture intended for sale, use or consumption in this State; or to establish any pretended agency whereby the sale of any such article or commodity shall be covered up and made to appear to be for the original vendor, for a like purpose or purposes, and to enable such original vendor or manufacturer to control the wholesale or retail price of any such article or commodity after the title to such article or commodity shall have passed from such vendor or manufacturer. Fifth </w:t>
      </w:r>
      <w:r>
        <w:rPr>
          <w:lang w:val="en-US"/>
        </w:rPr>
        <w:t>–</w:t>
      </w:r>
      <w:r w:rsidRPr="00EF3AC0">
        <w:rPr>
          <w:lang w:val="en-US"/>
        </w:rPr>
        <w:t xml:space="preserve"> to make or enter into, or examine or carry out any contract, obligation or agreement of any kind or description by which they shall bind or have bound themselves not to sell, dispose of or transport any article or commodity, or article of trade, use, merchandise, commerce or consumption below a common standard figure, or card or list price, or by which they shall agree in any manner to keep the price of such article, commodity or transportation at a fixed or graduated figure, or by which they shall in any manner establish or settle the price of any article or commodity or transportation between them or themselves and others to preclude a free and unrestricted competition among themselves or others in the sale or transportation of any such article or commodity, or by which they shall agree to pool, combine or unite any interest they may have in connection with the sale or transportation of any such article or commodity that its price might in any manner be affected. </w:t>
      </w:r>
      <w:r>
        <w:rPr>
          <w:lang w:val="en-US"/>
        </w:rPr>
        <w:t>§ </w:t>
      </w:r>
      <w:r w:rsidRPr="00EF3AC0">
        <w:rPr>
          <w:lang w:val="en-US"/>
        </w:rPr>
        <w:t xml:space="preserve">2. That any corporation holding a charter under the laws of this State which shall violate any of the provisions of this act shall </w:t>
      </w:r>
      <w:proofErr w:type="spellStart"/>
      <w:r w:rsidRPr="00EF3AC0">
        <w:rPr>
          <w:lang w:val="en-US"/>
        </w:rPr>
        <w:t>thereby</w:t>
      </w:r>
      <w:proofErr w:type="spellEnd"/>
      <w:r w:rsidRPr="00EF3AC0">
        <w:rPr>
          <w:lang w:val="en-US"/>
        </w:rPr>
        <w:t xml:space="preserve"> forfeit its charter and franchise, and its corporate existence shall cease and determine. </w:t>
      </w:r>
      <w:r>
        <w:rPr>
          <w:lang w:val="en-US"/>
        </w:rPr>
        <w:t>§ </w:t>
      </w:r>
      <w:r w:rsidRPr="00EF3AC0">
        <w:rPr>
          <w:lang w:val="en-US"/>
        </w:rPr>
        <w:t xml:space="preserve">3. For a violation of any of the provisions of this act by any corporation mentioned herein it shall be the duty of the Attorney General or prosecuting attorney, upon his own motion, to institute suit or quo warranto proceedings, at any county in this State in which such corporation exists, does business or may have a domicile, for the forfeiture of its charter rights and franchise, and the dissolution of its corporate existence. </w:t>
      </w:r>
      <w:r>
        <w:rPr>
          <w:lang w:val="en-US"/>
        </w:rPr>
        <w:t>§ </w:t>
      </w:r>
      <w:r w:rsidRPr="00EF3AC0">
        <w:rPr>
          <w:lang w:val="en-US"/>
        </w:rPr>
        <w:t xml:space="preserve">4. Every foreign corporation violating any of the provisions of this act is hereby denied the right and prohibited from doing any business within this State, and it shall be the duty of the Attorney General to enforce this provision by injunction or other proper proceedings, in any county in which such foreign corporation does business, in the name of the State on his relation. </w:t>
      </w:r>
      <w:r>
        <w:rPr>
          <w:lang w:val="en-US"/>
        </w:rPr>
        <w:t>§ </w:t>
      </w:r>
      <w:r w:rsidRPr="00EF3AC0">
        <w:rPr>
          <w:lang w:val="en-US"/>
        </w:rPr>
        <w:t xml:space="preserve">5. Any violation of either or all of the provisions of section 1 of this act shall be and is hereby declared to be a conspiracy against trade, and a misdemeanor; and any person who may be or may become engaged in any such conspiracy or take part therein or aid or advise in its commission, or who shall, as principal, manager, director, agent, servant or employe, or in any other capacity, knowingly carry out any of the stipulations, purposes, prices, rates, orders thereunder, or in pursuance thereof, shall be punished by fine not less than two thousand dollars nor more than five thousand dollars. </w:t>
      </w:r>
      <w:r>
        <w:rPr>
          <w:lang w:val="en-US"/>
        </w:rPr>
        <w:t>§ </w:t>
      </w:r>
      <w:r w:rsidRPr="00EF3AC0">
        <w:rPr>
          <w:lang w:val="en-US"/>
        </w:rPr>
        <w:t xml:space="preserve">6. In any indictment or information for any offence named in this act, it is sufficient to state the purposes and effects of the trust or combination, and that the accused was a member of, acted with or in pursuance of it, without giving its name or description, or how or where it was created. </w:t>
      </w:r>
      <w:r>
        <w:rPr>
          <w:lang w:val="en-US"/>
        </w:rPr>
        <w:t>§ </w:t>
      </w:r>
      <w:r w:rsidRPr="00EF3AC0">
        <w:rPr>
          <w:lang w:val="en-US"/>
        </w:rPr>
        <w:t xml:space="preserve">7. In prosecutions under this </w:t>
      </w:r>
      <w:proofErr w:type="gramStart"/>
      <w:r w:rsidRPr="00EF3AC0">
        <w:rPr>
          <w:lang w:val="en-US"/>
        </w:rPr>
        <w:t>act</w:t>
      </w:r>
      <w:proofErr w:type="gramEnd"/>
      <w:r w:rsidRPr="00EF3AC0">
        <w:rPr>
          <w:lang w:val="en-US"/>
        </w:rPr>
        <w:t xml:space="preserve"> it shall be sufficient to prove that a trust or combination as defined herein exists, and that the defendant belonged to it or acted</w:t>
      </w:r>
      <w:r w:rsidRPr="006E67FE">
        <w:rPr>
          <w:lang w:val="en-US"/>
        </w:rPr>
        <w:t xml:space="preserve"> </w:t>
      </w:r>
      <w:r w:rsidRPr="00EF3AC0">
        <w:rPr>
          <w:lang w:val="en-US"/>
        </w:rPr>
        <w:t xml:space="preserve">for or in connection with it, without proving all the members belonging to it, or proving or producing any article of agreement or any written instrument on which it may have been based, or that it was evidenced by any written instrument at all. </w:t>
      </w:r>
      <w:r>
        <w:rPr>
          <w:lang w:val="en-US"/>
        </w:rPr>
        <w:t>§ </w:t>
      </w:r>
      <w:r w:rsidRPr="00EF3AC0">
        <w:rPr>
          <w:lang w:val="en-US"/>
        </w:rPr>
        <w:t xml:space="preserve">8. That any contract or agreement in violation of the provisions of this act shall be absolutely void and not </w:t>
      </w:r>
      <w:proofErr w:type="spellStart"/>
      <w:r w:rsidRPr="00EF3AC0">
        <w:rPr>
          <w:lang w:val="en-US"/>
        </w:rPr>
        <w:t>enforcible</w:t>
      </w:r>
      <w:proofErr w:type="spellEnd"/>
      <w:r w:rsidRPr="00EF3AC0">
        <w:rPr>
          <w:lang w:val="en-US"/>
        </w:rPr>
        <w:t xml:space="preserve"> either in law or equity. </w:t>
      </w:r>
      <w:r>
        <w:rPr>
          <w:lang w:val="en-US"/>
        </w:rPr>
        <w:t>§ </w:t>
      </w:r>
      <w:r w:rsidRPr="00EF3AC0">
        <w:rPr>
          <w:lang w:val="en-US"/>
        </w:rPr>
        <w:t xml:space="preserve">9. The provisions of this act shall not apply to agricultural products or </w:t>
      </w:r>
      <w:proofErr w:type="spellStart"/>
      <w:proofErr w:type="gramStart"/>
      <w:r w:rsidRPr="00EF3AC0">
        <w:rPr>
          <w:lang w:val="en-US"/>
        </w:rPr>
        <w:t>live stock</w:t>
      </w:r>
      <w:proofErr w:type="spellEnd"/>
      <w:proofErr w:type="gramEnd"/>
      <w:r w:rsidRPr="00EF3AC0">
        <w:rPr>
          <w:lang w:val="en-US"/>
        </w:rPr>
        <w:t xml:space="preserve"> while in the hands of the producer or raiser. </w:t>
      </w:r>
      <w:r>
        <w:rPr>
          <w:lang w:val="en-US"/>
        </w:rPr>
        <w:t>§ </w:t>
      </w:r>
      <w:r w:rsidRPr="00EF3AC0">
        <w:rPr>
          <w:lang w:val="en-US"/>
        </w:rPr>
        <w:t xml:space="preserve">10. Any purchaser of any article or commodity, from any person, firm, corporation or association of persons, or of two or more of them, transacting business contrary to any provision of the preceding sections of this act, shall not be liable for the price or payment of such article or commodity and may plead this act as a </w:t>
      </w:r>
      <w:proofErr w:type="spellStart"/>
      <w:r w:rsidRPr="00EF3AC0">
        <w:rPr>
          <w:lang w:val="en-US"/>
        </w:rPr>
        <w:t>defence</w:t>
      </w:r>
      <w:proofErr w:type="spellEnd"/>
      <w:r w:rsidRPr="00EF3AC0">
        <w:rPr>
          <w:lang w:val="en-US"/>
        </w:rPr>
        <w:t xml:space="preserve"> to any suit for such price or payment.</w:t>
      </w:r>
      <w:r>
        <w:rPr>
          <w:lang w:val="en-US"/>
        </w:rPr>
        <w:t>“</w:t>
      </w:r>
      <w:r w:rsidRPr="00EF3AC0">
        <w:rPr>
          <w:lang w:val="en-US"/>
        </w:rPr>
        <w:t xml:space="preserve"> in Laws, Ill. 1893, p. 182, act of June 20, 1893; Hurd</w:t>
      </w:r>
      <w:r>
        <w:rPr>
          <w:lang w:val="en-US"/>
        </w:rPr>
        <w:t>’</w:t>
      </w:r>
      <w:r w:rsidRPr="00EF3AC0">
        <w:rPr>
          <w:lang w:val="en-US"/>
        </w:rPr>
        <w:t xml:space="preserve">s Rev. Stat. Ill. (1899), p. 618, Criminal Code in </w:t>
      </w:r>
      <w:r w:rsidRPr="00A15962">
        <w:rPr>
          <w:i/>
          <w:lang w:val="en-US"/>
        </w:rPr>
        <w:t>Connolly v. Union Sewer Pipe Co.</w:t>
      </w:r>
      <w:r w:rsidRPr="00EF3AC0">
        <w:rPr>
          <w:lang w:val="en-US"/>
        </w:rPr>
        <w:t>, 184 U.S. 540, 552</w:t>
      </w:r>
      <w:r>
        <w:rPr>
          <w:lang w:val="en-US"/>
        </w:rPr>
        <w:t>–</w:t>
      </w:r>
      <w:r w:rsidRPr="00EF3AC0">
        <w:rPr>
          <w:lang w:val="en-US"/>
        </w:rPr>
        <w:t>555</w:t>
      </w:r>
      <w:r>
        <w:rPr>
          <w:lang w:val="en-US"/>
        </w:rPr>
        <w:t xml:space="preserve"> = 22 S. Ct. </w:t>
      </w:r>
      <w:r w:rsidRPr="00EF3AC0">
        <w:rPr>
          <w:lang w:val="en-US"/>
        </w:rPr>
        <w:t>431, 436</w:t>
      </w:r>
      <w:r>
        <w:rPr>
          <w:lang w:val="en-US"/>
        </w:rPr>
        <w:t>–</w:t>
      </w:r>
      <w:r w:rsidRPr="00EF3AC0">
        <w:rPr>
          <w:lang w:val="en-US"/>
        </w:rPr>
        <w:t>437</w:t>
      </w:r>
      <w:r>
        <w:rPr>
          <w:lang w:val="en-US"/>
        </w:rPr>
        <w:t xml:space="preserve"> = 46 L. Ed. </w:t>
      </w:r>
      <w:r w:rsidRPr="00EF3AC0">
        <w:rPr>
          <w:lang w:val="en-US"/>
        </w:rPr>
        <w:t>679, 687</w:t>
      </w:r>
      <w:r>
        <w:rPr>
          <w:lang w:val="en-US"/>
        </w:rPr>
        <w:t>–</w:t>
      </w:r>
      <w:r w:rsidRPr="00EF3AC0">
        <w:rPr>
          <w:lang w:val="en-US"/>
        </w:rPr>
        <w:t>688</w:t>
      </w:r>
      <w:r>
        <w:rPr>
          <w:lang w:val="en-US"/>
        </w:rPr>
        <w:t xml:space="preserve"> = 1902 U.S. LEXIS </w:t>
      </w:r>
      <w:r w:rsidRPr="00EF3AC0">
        <w:rPr>
          <w:lang w:val="en-US"/>
        </w:rPr>
        <w:t>2269, 25</w:t>
      </w:r>
      <w:r>
        <w:rPr>
          <w:lang w:val="en-US"/>
        </w:rPr>
        <w:t>–</w:t>
      </w:r>
      <w:r w:rsidRPr="00EF3AC0">
        <w:rPr>
          <w:lang w:val="en-US"/>
        </w:rPr>
        <w:t>29 (1902).</w:t>
      </w:r>
    </w:p>
  </w:footnote>
  <w:footnote w:id="1756">
    <w:p w14:paraId="318F1E7B" w14:textId="77777777" w:rsidR="00074551" w:rsidRPr="003C2252" w:rsidRDefault="00074551" w:rsidP="00074551">
      <w:pPr>
        <w:pStyle w:val="Funotentext"/>
        <w:rPr>
          <w:lang w:val="en-US"/>
        </w:rPr>
      </w:pPr>
      <w:r>
        <w:rPr>
          <w:rStyle w:val="Funotenzeichen"/>
        </w:rPr>
        <w:footnoteRef/>
      </w:r>
      <w:r w:rsidRPr="003C2252">
        <w:rPr>
          <w:lang w:val="en-US"/>
        </w:rPr>
        <w:t xml:space="preserve"> </w:t>
      </w:r>
      <w:r w:rsidRPr="00A15962">
        <w:rPr>
          <w:i/>
          <w:lang w:val="en-US"/>
        </w:rPr>
        <w:t>Connolly v. Union Sewer Pipe Co.</w:t>
      </w:r>
      <w:r w:rsidRPr="003C2252">
        <w:rPr>
          <w:lang w:val="en-US"/>
        </w:rPr>
        <w:t>, 184 U.S. 540, 541</w:t>
      </w:r>
      <w:r>
        <w:rPr>
          <w:lang w:val="en-US"/>
        </w:rPr>
        <w:t xml:space="preserve"> = 22 S. Ct. </w:t>
      </w:r>
      <w:r w:rsidRPr="003C2252">
        <w:rPr>
          <w:lang w:val="en-US"/>
        </w:rPr>
        <w:t>431, 432</w:t>
      </w:r>
      <w:r>
        <w:rPr>
          <w:lang w:val="en-US"/>
        </w:rPr>
        <w:t xml:space="preserve"> = 46 L. Ed. </w:t>
      </w:r>
      <w:r w:rsidRPr="003C2252">
        <w:rPr>
          <w:lang w:val="en-US"/>
        </w:rPr>
        <w:t>679, 682</w:t>
      </w:r>
      <w:r>
        <w:rPr>
          <w:lang w:val="en-US"/>
        </w:rPr>
        <w:t xml:space="preserve"> = 1902 U.S. LEXIS </w:t>
      </w:r>
      <w:r w:rsidRPr="003C2252">
        <w:rPr>
          <w:lang w:val="en-US"/>
        </w:rPr>
        <w:t>2269, 1 (1902)</w:t>
      </w:r>
      <w:r>
        <w:rPr>
          <w:lang w:val="en-US"/>
        </w:rPr>
        <w:t>.</w:t>
      </w:r>
    </w:p>
  </w:footnote>
  <w:footnote w:id="1757">
    <w:p w14:paraId="5A913364" w14:textId="77777777" w:rsidR="00074551" w:rsidRPr="00EF3AC0" w:rsidRDefault="00074551" w:rsidP="00074551">
      <w:pPr>
        <w:pStyle w:val="Funotentext"/>
        <w:rPr>
          <w:lang w:val="en-US"/>
        </w:rPr>
      </w:pPr>
      <w:r>
        <w:rPr>
          <w:rStyle w:val="Funotenzeichen"/>
        </w:rPr>
        <w:footnoteRef/>
      </w:r>
      <w:r w:rsidRPr="00EF3AC0">
        <w:rPr>
          <w:lang w:val="en-US"/>
        </w:rPr>
        <w:t xml:space="preserve"> </w:t>
      </w:r>
      <w:r>
        <w:rPr>
          <w:lang w:val="en-US"/>
        </w:rPr>
        <w:t>„</w:t>
      </w:r>
      <w:r w:rsidRPr="00EF3AC0">
        <w:rPr>
          <w:lang w:val="en-US"/>
        </w:rPr>
        <w:t>A violation of the Sherman anti-trust act of July 2, 1890 (26 Stat. at L. 209, chap. 647), by the formation of a combination in restraint of trade, by which a penalty is incurred under the statute, does not preclude the company thus illegally formed from recovering on collateral contracts for the purchase price of goods.</w:t>
      </w:r>
      <w:r>
        <w:rPr>
          <w:lang w:val="en-US"/>
        </w:rPr>
        <w:t xml:space="preserve"> […] </w:t>
      </w:r>
      <w:r w:rsidRPr="00EF3AC0">
        <w:rPr>
          <w:lang w:val="en-US"/>
        </w:rPr>
        <w:t>A recovery of the treble damages authorized by the Sherman anti-trust act of July 2, 1890, 7 (26 Stat. at L. 209, chap. 647), in case of injury sustained by violation of the act, can be had only by direct action, and not by way of set-off in an action brought for the price of goods by a company illegally formed in violation of the act, especially when the state practice does not permit the set-off of unliquidated damages.</w:t>
      </w:r>
      <w:r>
        <w:rPr>
          <w:lang w:val="en-US"/>
        </w:rPr>
        <w:t xml:space="preserve">“, in </w:t>
      </w:r>
      <w:r w:rsidRPr="00A15962">
        <w:rPr>
          <w:i/>
          <w:lang w:val="en-US"/>
        </w:rPr>
        <w:t>Connolly v. Union Sewer Pipe Co.</w:t>
      </w:r>
      <w:r w:rsidRPr="00EF3AC0">
        <w:rPr>
          <w:lang w:val="en-US"/>
        </w:rPr>
        <w:t>, 184 U.S. 540, 541</w:t>
      </w:r>
      <w:r>
        <w:rPr>
          <w:lang w:val="en-US"/>
        </w:rPr>
        <w:t xml:space="preserve"> = 22 S. Ct. </w:t>
      </w:r>
      <w:r w:rsidRPr="00EF3AC0">
        <w:rPr>
          <w:lang w:val="en-US"/>
        </w:rPr>
        <w:t>431, 432</w:t>
      </w:r>
      <w:r>
        <w:rPr>
          <w:lang w:val="en-US"/>
        </w:rPr>
        <w:t xml:space="preserve"> = 46 L. Ed. </w:t>
      </w:r>
      <w:r w:rsidRPr="00EF3AC0">
        <w:rPr>
          <w:lang w:val="en-US"/>
        </w:rPr>
        <w:t>679, 682</w:t>
      </w:r>
      <w:r>
        <w:rPr>
          <w:lang w:val="en-US"/>
        </w:rPr>
        <w:t xml:space="preserve"> = 1902 U.S. LEXIS </w:t>
      </w:r>
      <w:r w:rsidRPr="00EF3AC0">
        <w:rPr>
          <w:lang w:val="en-US"/>
        </w:rPr>
        <w:t>2269, 1 (1902)</w:t>
      </w:r>
      <w:r>
        <w:rPr>
          <w:lang w:val="en-US"/>
        </w:rPr>
        <w:t>.</w:t>
      </w:r>
    </w:p>
  </w:footnote>
  <w:footnote w:id="1758">
    <w:p w14:paraId="0F6D73F3" w14:textId="77777777" w:rsidR="00074551" w:rsidRPr="000D5CD1" w:rsidRDefault="00074551" w:rsidP="00074551">
      <w:pPr>
        <w:pStyle w:val="Funotentext"/>
        <w:rPr>
          <w:lang w:val="en-US"/>
        </w:rPr>
      </w:pPr>
      <w:r>
        <w:rPr>
          <w:rStyle w:val="Funotenzeichen"/>
        </w:rPr>
        <w:footnoteRef/>
      </w:r>
      <w:r w:rsidRPr="000D5CD1">
        <w:rPr>
          <w:lang w:val="en-US"/>
        </w:rPr>
        <w:t xml:space="preserve"> </w:t>
      </w:r>
      <w:r w:rsidRPr="00A15962">
        <w:rPr>
          <w:i/>
          <w:lang w:val="en-US"/>
        </w:rPr>
        <w:t>Connolly v. Union Sewer Pipe Co.</w:t>
      </w:r>
      <w:r w:rsidRPr="000D5CD1">
        <w:rPr>
          <w:lang w:val="en-US"/>
        </w:rPr>
        <w:t>, 184 U.S. 540, 560</w:t>
      </w:r>
      <w:r>
        <w:rPr>
          <w:lang w:val="en-US"/>
        </w:rPr>
        <w:t xml:space="preserve"> = 22 S. Ct. </w:t>
      </w:r>
      <w:r w:rsidRPr="000D5CD1">
        <w:rPr>
          <w:lang w:val="en-US"/>
        </w:rPr>
        <w:t>431, 439</w:t>
      </w:r>
      <w:r>
        <w:rPr>
          <w:lang w:val="en-US"/>
        </w:rPr>
        <w:t xml:space="preserve"> = 46 L. Ed. </w:t>
      </w:r>
      <w:r w:rsidRPr="000D5CD1">
        <w:rPr>
          <w:lang w:val="en-US"/>
        </w:rPr>
        <w:t>679, 690</w:t>
      </w:r>
      <w:r>
        <w:rPr>
          <w:lang w:val="en-US"/>
        </w:rPr>
        <w:t xml:space="preserve"> = 1902 U.S. LEXIS </w:t>
      </w:r>
      <w:r w:rsidRPr="000D5CD1">
        <w:rPr>
          <w:lang w:val="en-US"/>
        </w:rPr>
        <w:t>2269, 39 (1902)</w:t>
      </w:r>
      <w:r>
        <w:rPr>
          <w:lang w:val="en-US"/>
        </w:rPr>
        <w:t>.</w:t>
      </w:r>
    </w:p>
  </w:footnote>
  <w:footnote w:id="1759">
    <w:p w14:paraId="7505E4FA" w14:textId="77777777" w:rsidR="00074551" w:rsidRPr="00954EEE" w:rsidRDefault="00074551" w:rsidP="00074551">
      <w:pPr>
        <w:pStyle w:val="Funotentext"/>
        <w:rPr>
          <w:lang w:val="en-US"/>
        </w:rPr>
      </w:pPr>
      <w:r>
        <w:rPr>
          <w:rStyle w:val="Funotenzeichen"/>
        </w:rPr>
        <w:footnoteRef/>
      </w:r>
      <w:r w:rsidRPr="00954EEE">
        <w:rPr>
          <w:lang w:val="en-US"/>
        </w:rPr>
        <w:t xml:space="preserve"> </w:t>
      </w:r>
      <w:r w:rsidRPr="004F13B1">
        <w:rPr>
          <w:i/>
          <w:lang w:val="en-US"/>
        </w:rPr>
        <w:t>Barbier v. Connolly</w:t>
      </w:r>
      <w:r w:rsidRPr="00954EEE">
        <w:rPr>
          <w:lang w:val="en-US"/>
        </w:rPr>
        <w:t xml:space="preserve">, 113 U.S. 27, 31. </w:t>
      </w:r>
      <w:bookmarkStart w:id="68" w:name="_Hlk229222188"/>
      <w:proofErr w:type="spellStart"/>
      <w:r>
        <w:rPr>
          <w:lang w:val="en-US"/>
        </w:rPr>
        <w:t>Diese</w:t>
      </w:r>
      <w:proofErr w:type="spellEnd"/>
      <w:r>
        <w:rPr>
          <w:lang w:val="en-US"/>
        </w:rPr>
        <w:t xml:space="preserve"> </w:t>
      </w:r>
      <w:proofErr w:type="spellStart"/>
      <w:r>
        <w:rPr>
          <w:lang w:val="en-US"/>
        </w:rPr>
        <w:t>Formulierung</w:t>
      </w:r>
      <w:proofErr w:type="spellEnd"/>
      <w:r>
        <w:rPr>
          <w:lang w:val="en-US"/>
        </w:rPr>
        <w:t xml:space="preserve"> </w:t>
      </w:r>
      <w:proofErr w:type="spellStart"/>
      <w:r>
        <w:rPr>
          <w:lang w:val="en-US"/>
        </w:rPr>
        <w:t>wurde</w:t>
      </w:r>
      <w:proofErr w:type="spellEnd"/>
      <w:r>
        <w:rPr>
          <w:lang w:val="en-US"/>
        </w:rPr>
        <w:t xml:space="preserve"> </w:t>
      </w:r>
      <w:proofErr w:type="spellStart"/>
      <w:r>
        <w:rPr>
          <w:lang w:val="en-US"/>
        </w:rPr>
        <w:t>zustimmend</w:t>
      </w:r>
      <w:proofErr w:type="spellEnd"/>
      <w:r>
        <w:rPr>
          <w:lang w:val="en-US"/>
        </w:rPr>
        <w:t xml:space="preserve"> </w:t>
      </w:r>
      <w:proofErr w:type="spellStart"/>
      <w:r>
        <w:rPr>
          <w:lang w:val="en-US"/>
        </w:rPr>
        <w:t>zitiert</w:t>
      </w:r>
      <w:proofErr w:type="spellEnd"/>
      <w:r w:rsidRPr="00954EEE">
        <w:rPr>
          <w:lang w:val="en-US"/>
        </w:rPr>
        <w:t xml:space="preserve"> in </w:t>
      </w:r>
      <w:r w:rsidRPr="00D83E4F">
        <w:rPr>
          <w:i/>
          <w:lang w:val="en-US"/>
        </w:rPr>
        <w:t>Yick Wo v. Hopkins</w:t>
      </w:r>
      <w:bookmarkEnd w:id="68"/>
      <w:r w:rsidRPr="00954EEE">
        <w:rPr>
          <w:lang w:val="en-US"/>
        </w:rPr>
        <w:t>, 118 U.S. 356, 369</w:t>
      </w:r>
      <w:r>
        <w:rPr>
          <w:lang w:val="en-US"/>
        </w:rPr>
        <w:t xml:space="preserve">; </w:t>
      </w:r>
      <w:r w:rsidRPr="00A15962">
        <w:rPr>
          <w:i/>
          <w:lang w:val="en-US"/>
        </w:rPr>
        <w:t>Connolly v. Union Sewer Pipe Co.</w:t>
      </w:r>
      <w:r w:rsidRPr="00954EEE">
        <w:rPr>
          <w:lang w:val="en-US"/>
        </w:rPr>
        <w:t>, 184 U.S. 540, 559</w:t>
      </w:r>
      <w:r>
        <w:rPr>
          <w:lang w:val="en-US"/>
        </w:rPr>
        <w:t xml:space="preserve"> = 22 S. Ct. </w:t>
      </w:r>
      <w:r w:rsidRPr="00954EEE">
        <w:rPr>
          <w:lang w:val="en-US"/>
        </w:rPr>
        <w:t>431, 439</w:t>
      </w:r>
      <w:r>
        <w:rPr>
          <w:lang w:val="en-US"/>
        </w:rPr>
        <w:t xml:space="preserve"> = 46 L. Ed. </w:t>
      </w:r>
      <w:r w:rsidRPr="00954EEE">
        <w:rPr>
          <w:lang w:val="en-US"/>
        </w:rPr>
        <w:t>679, 689</w:t>
      </w:r>
      <w:r>
        <w:rPr>
          <w:lang w:val="en-US"/>
        </w:rPr>
        <w:t xml:space="preserve"> = 1902 U.S. LEXIS </w:t>
      </w:r>
      <w:r w:rsidRPr="00954EEE">
        <w:rPr>
          <w:lang w:val="en-US"/>
        </w:rPr>
        <w:t>2269, 38 (1902)</w:t>
      </w:r>
      <w:r>
        <w:rPr>
          <w:lang w:val="en-US"/>
        </w:rPr>
        <w:t>.</w:t>
      </w:r>
    </w:p>
  </w:footnote>
  <w:footnote w:id="1760">
    <w:p w14:paraId="7E2E3165" w14:textId="77777777" w:rsidR="00074551" w:rsidRPr="00CC5C6E" w:rsidRDefault="00074551" w:rsidP="00074551">
      <w:pPr>
        <w:pStyle w:val="Funotentext"/>
        <w:rPr>
          <w:lang w:val="en-US"/>
        </w:rPr>
      </w:pPr>
      <w:r>
        <w:rPr>
          <w:rStyle w:val="Funotenzeichen"/>
        </w:rPr>
        <w:footnoteRef/>
      </w:r>
      <w:r w:rsidRPr="00CC5C6E">
        <w:rPr>
          <w:lang w:val="en-US"/>
        </w:rPr>
        <w:t xml:space="preserve"> Ariz. Rev. Stat. </w:t>
      </w:r>
      <w:r>
        <w:rPr>
          <w:lang w:val="en-US"/>
        </w:rPr>
        <w:t>§ </w:t>
      </w:r>
      <w:r w:rsidRPr="00CC5C6E">
        <w:rPr>
          <w:lang w:val="en-US"/>
        </w:rPr>
        <w:t xml:space="preserve">1464 (1913) „prohibited the court from issuing an injunction in any case between employer and </w:t>
      </w:r>
      <w:proofErr w:type="gramStart"/>
      <w:r w:rsidRPr="00CC5C6E">
        <w:rPr>
          <w:lang w:val="en-US"/>
        </w:rPr>
        <w:t>employee“</w:t>
      </w:r>
      <w:proofErr w:type="gramEnd"/>
      <w:r>
        <w:rPr>
          <w:lang w:val="en-US"/>
        </w:rPr>
        <w:t>,</w:t>
      </w:r>
      <w:r w:rsidRPr="00CC5C6E">
        <w:rPr>
          <w:lang w:val="en-US"/>
        </w:rPr>
        <w:t xml:space="preserve"> in </w:t>
      </w:r>
      <w:r w:rsidRPr="00B35CD0">
        <w:rPr>
          <w:i/>
          <w:lang w:val="en-US"/>
        </w:rPr>
        <w:t>Truax v. Corrigan</w:t>
      </w:r>
      <w:r w:rsidRPr="00CC5C6E">
        <w:rPr>
          <w:lang w:val="en-US"/>
        </w:rPr>
        <w:t>, 257 U.S. 312, 320</w:t>
      </w:r>
      <w:r>
        <w:rPr>
          <w:lang w:val="en-US"/>
        </w:rPr>
        <w:t xml:space="preserve"> = 42 S. Ct. </w:t>
      </w:r>
      <w:r w:rsidRPr="00CC5C6E">
        <w:rPr>
          <w:lang w:val="en-US"/>
        </w:rPr>
        <w:t>124, 125</w:t>
      </w:r>
      <w:r>
        <w:rPr>
          <w:lang w:val="en-US"/>
        </w:rPr>
        <w:t xml:space="preserve"> = 66 L. Ed. </w:t>
      </w:r>
      <w:r w:rsidRPr="00CC5C6E">
        <w:rPr>
          <w:lang w:val="en-US"/>
        </w:rPr>
        <w:t>254, 258</w:t>
      </w:r>
      <w:r>
        <w:rPr>
          <w:lang w:val="en-US"/>
        </w:rPr>
        <w:t xml:space="preserve"> = 1921 U.S. LEXIS </w:t>
      </w:r>
      <w:r w:rsidRPr="00CC5C6E">
        <w:rPr>
          <w:lang w:val="en-US"/>
        </w:rPr>
        <w:t>1345, 1</w:t>
      </w:r>
      <w:r>
        <w:rPr>
          <w:lang w:val="en-US"/>
        </w:rPr>
        <w:t xml:space="preserve"> = 27 A.L.R. </w:t>
      </w:r>
      <w:r w:rsidRPr="00CC5C6E">
        <w:rPr>
          <w:lang w:val="en-US"/>
        </w:rPr>
        <w:t>375 (1921)</w:t>
      </w:r>
      <w:r>
        <w:rPr>
          <w:lang w:val="en-US"/>
        </w:rPr>
        <w:t>.</w:t>
      </w:r>
    </w:p>
  </w:footnote>
  <w:footnote w:id="1761">
    <w:p w14:paraId="4D29E328" w14:textId="77777777" w:rsidR="00074551" w:rsidRPr="0077042F" w:rsidRDefault="00074551" w:rsidP="00074551">
      <w:pPr>
        <w:pStyle w:val="Funotentext"/>
        <w:rPr>
          <w:lang w:val="en-US"/>
        </w:rPr>
      </w:pPr>
      <w:r>
        <w:rPr>
          <w:rStyle w:val="Funotenzeichen"/>
        </w:rPr>
        <w:footnoteRef/>
      </w:r>
      <w:r w:rsidRPr="0077042F">
        <w:rPr>
          <w:lang w:val="en-US"/>
        </w:rPr>
        <w:t xml:space="preserve"> </w:t>
      </w:r>
      <w:r w:rsidRPr="00B35CD0">
        <w:rPr>
          <w:i/>
          <w:lang w:val="en-US"/>
        </w:rPr>
        <w:t>Truax v. Corrigan</w:t>
      </w:r>
      <w:r w:rsidRPr="0077042F">
        <w:rPr>
          <w:lang w:val="en-US"/>
        </w:rPr>
        <w:t>, 257 U.S. 312, 335</w:t>
      </w:r>
      <w:r>
        <w:rPr>
          <w:lang w:val="en-US"/>
        </w:rPr>
        <w:t xml:space="preserve"> = 42 S. Ct. </w:t>
      </w:r>
      <w:r w:rsidRPr="0077042F">
        <w:rPr>
          <w:lang w:val="en-US"/>
        </w:rPr>
        <w:t>124, 130</w:t>
      </w:r>
      <w:r>
        <w:rPr>
          <w:lang w:val="en-US"/>
        </w:rPr>
        <w:t xml:space="preserve"> = 66 L. Ed. </w:t>
      </w:r>
      <w:r w:rsidRPr="0077042F">
        <w:rPr>
          <w:lang w:val="en-US"/>
        </w:rPr>
        <w:t>254, 264</w:t>
      </w:r>
      <w:r>
        <w:rPr>
          <w:lang w:val="en-US"/>
        </w:rPr>
        <w:t xml:space="preserve"> = 1921 U.S. LEXIS </w:t>
      </w:r>
      <w:r w:rsidRPr="0077042F">
        <w:rPr>
          <w:lang w:val="en-US"/>
        </w:rPr>
        <w:t>1345, 39</w:t>
      </w:r>
      <w:r>
        <w:rPr>
          <w:lang w:val="en-US"/>
        </w:rPr>
        <w:t xml:space="preserve"> = 27 A.L.R. </w:t>
      </w:r>
      <w:r w:rsidRPr="0077042F">
        <w:rPr>
          <w:lang w:val="en-US"/>
        </w:rPr>
        <w:t>375 (1921)</w:t>
      </w:r>
      <w:r>
        <w:rPr>
          <w:lang w:val="en-US"/>
        </w:rPr>
        <w:t>.</w:t>
      </w:r>
    </w:p>
  </w:footnote>
  <w:footnote w:id="1762">
    <w:p w14:paraId="5AFC4BEC" w14:textId="77777777" w:rsidR="00074551" w:rsidRPr="0077042F" w:rsidRDefault="00074551" w:rsidP="00074551">
      <w:pPr>
        <w:pStyle w:val="Funotentext"/>
        <w:rPr>
          <w:lang w:val="en-US"/>
        </w:rPr>
      </w:pPr>
      <w:r>
        <w:rPr>
          <w:rStyle w:val="Funotenzeichen"/>
        </w:rPr>
        <w:footnoteRef/>
      </w:r>
      <w:r w:rsidRPr="0077042F">
        <w:rPr>
          <w:lang w:val="en-US"/>
        </w:rPr>
        <w:t xml:space="preserve"> </w:t>
      </w:r>
      <w:r w:rsidRPr="00B35CD0">
        <w:rPr>
          <w:i/>
          <w:lang w:val="en-US"/>
        </w:rPr>
        <w:t>Truax v. Corrigan</w:t>
      </w:r>
      <w:r w:rsidRPr="0077042F">
        <w:rPr>
          <w:lang w:val="en-US"/>
        </w:rPr>
        <w:t>, 257 U.S. 312, 335</w:t>
      </w:r>
      <w:r>
        <w:rPr>
          <w:lang w:val="en-US"/>
        </w:rPr>
        <w:t xml:space="preserve"> = 42 S. Ct. </w:t>
      </w:r>
      <w:r w:rsidRPr="0077042F">
        <w:rPr>
          <w:lang w:val="en-US"/>
        </w:rPr>
        <w:t>124, 130</w:t>
      </w:r>
      <w:r>
        <w:rPr>
          <w:lang w:val="en-US"/>
        </w:rPr>
        <w:t xml:space="preserve"> = 66 L. Ed. </w:t>
      </w:r>
      <w:r w:rsidRPr="0077042F">
        <w:rPr>
          <w:lang w:val="en-US"/>
        </w:rPr>
        <w:t>254, 264</w:t>
      </w:r>
      <w:r>
        <w:rPr>
          <w:lang w:val="en-US"/>
        </w:rPr>
        <w:t xml:space="preserve"> = 1921 U.S. LEXIS </w:t>
      </w:r>
      <w:r w:rsidRPr="0077042F">
        <w:rPr>
          <w:lang w:val="en-US"/>
        </w:rPr>
        <w:t>1345, 39</w:t>
      </w:r>
      <w:r>
        <w:rPr>
          <w:lang w:val="en-US"/>
        </w:rPr>
        <w:t xml:space="preserve"> = 27 A.L.R. </w:t>
      </w:r>
      <w:r w:rsidRPr="0077042F">
        <w:rPr>
          <w:lang w:val="en-US"/>
        </w:rPr>
        <w:t>375 (1921)</w:t>
      </w:r>
      <w:r>
        <w:rPr>
          <w:lang w:val="en-US"/>
        </w:rPr>
        <w:t>.</w:t>
      </w:r>
    </w:p>
  </w:footnote>
  <w:footnote w:id="1763">
    <w:p w14:paraId="1BF98723" w14:textId="77777777" w:rsidR="00074551" w:rsidRPr="0077042F" w:rsidRDefault="00074551" w:rsidP="00074551">
      <w:pPr>
        <w:pStyle w:val="Funotentext"/>
        <w:rPr>
          <w:lang w:val="en-US"/>
        </w:rPr>
      </w:pPr>
      <w:r>
        <w:rPr>
          <w:rStyle w:val="Funotenzeichen"/>
        </w:rPr>
        <w:footnoteRef/>
      </w:r>
      <w:r w:rsidRPr="0077042F">
        <w:rPr>
          <w:lang w:val="en-US"/>
        </w:rPr>
        <w:t xml:space="preserve"> </w:t>
      </w:r>
      <w:r w:rsidRPr="004F13B1">
        <w:rPr>
          <w:i/>
          <w:lang w:val="en-US"/>
        </w:rPr>
        <w:t>Barbier v. Connolly</w:t>
      </w:r>
      <w:r w:rsidRPr="0077042F">
        <w:rPr>
          <w:lang w:val="en-US"/>
        </w:rPr>
        <w:t>, 113 U.S. 27, 32</w:t>
      </w:r>
      <w:r>
        <w:rPr>
          <w:lang w:val="en-US"/>
        </w:rPr>
        <w:t xml:space="preserve">; </w:t>
      </w:r>
      <w:r w:rsidRPr="00B35CD0">
        <w:rPr>
          <w:i/>
          <w:lang w:val="en-US"/>
        </w:rPr>
        <w:t>Truax v. Corrigan</w:t>
      </w:r>
      <w:r w:rsidRPr="0077042F">
        <w:rPr>
          <w:lang w:val="en-US"/>
        </w:rPr>
        <w:t>, 257 U.S. 312, 333</w:t>
      </w:r>
      <w:r>
        <w:rPr>
          <w:lang w:val="en-US"/>
        </w:rPr>
        <w:t xml:space="preserve"> = 42 S. Ct. </w:t>
      </w:r>
      <w:r w:rsidRPr="0077042F">
        <w:rPr>
          <w:lang w:val="en-US"/>
        </w:rPr>
        <w:t>124, 129</w:t>
      </w:r>
      <w:r>
        <w:rPr>
          <w:lang w:val="en-US"/>
        </w:rPr>
        <w:t xml:space="preserve"> = 66 L. Ed. </w:t>
      </w:r>
      <w:r w:rsidRPr="0077042F">
        <w:rPr>
          <w:lang w:val="en-US"/>
        </w:rPr>
        <w:t>254, 263</w:t>
      </w:r>
      <w:r>
        <w:rPr>
          <w:lang w:val="en-US"/>
        </w:rPr>
        <w:t xml:space="preserve"> = 1921 U.S. LEXIS </w:t>
      </w:r>
      <w:r w:rsidRPr="0077042F">
        <w:rPr>
          <w:lang w:val="en-US"/>
        </w:rPr>
        <w:t>1345, 35</w:t>
      </w:r>
      <w:r>
        <w:rPr>
          <w:lang w:val="en-US"/>
        </w:rPr>
        <w:t xml:space="preserve"> = 27 A.L.R. </w:t>
      </w:r>
      <w:r w:rsidRPr="0077042F">
        <w:rPr>
          <w:lang w:val="en-US"/>
        </w:rPr>
        <w:t>375 (1921)</w:t>
      </w:r>
      <w:r>
        <w:rPr>
          <w:lang w:val="en-US"/>
        </w:rPr>
        <w:t>.</w:t>
      </w:r>
    </w:p>
  </w:footnote>
  <w:footnote w:id="1764">
    <w:p w14:paraId="4EC1FA7E" w14:textId="77777777" w:rsidR="00074551" w:rsidRPr="000C43F6" w:rsidRDefault="00074551" w:rsidP="00074551">
      <w:pPr>
        <w:pStyle w:val="Funotentext"/>
        <w:rPr>
          <w:lang w:val="en-US"/>
        </w:rPr>
      </w:pPr>
      <w:r>
        <w:rPr>
          <w:rStyle w:val="Funotenzeichen"/>
        </w:rPr>
        <w:footnoteRef/>
      </w:r>
      <w:r w:rsidRPr="000C43F6">
        <w:rPr>
          <w:lang w:val="en-US"/>
        </w:rPr>
        <w:t xml:space="preserve"> 15 U.S.C.S. </w:t>
      </w:r>
      <w:r>
        <w:rPr>
          <w:lang w:val="en-US"/>
        </w:rPr>
        <w:t>§ </w:t>
      </w:r>
      <w:r w:rsidRPr="000C43F6">
        <w:rPr>
          <w:lang w:val="en-US"/>
        </w:rPr>
        <w:t>687(d)(2) &amp; (3) – „requires that a subcontracting clause must appear in most federal agency contracts, and it also requires the clause to state that the contractor shall presume that socially and economically disadvantaged individuals include Black Americans, Hispanic Americans, Native Americans, Asian Pacific Americans, and other minorities, or any other individual found to be disadvantaged by the Small Business Administration</w:t>
      </w:r>
      <w:r>
        <w:rPr>
          <w:lang w:val="en-US"/>
        </w:rPr>
        <w:t>“</w:t>
      </w:r>
      <w:r w:rsidRPr="000C43F6">
        <w:rPr>
          <w:lang w:val="en-US"/>
        </w:rPr>
        <w:t>,</w:t>
      </w:r>
      <w:r>
        <w:rPr>
          <w:lang w:val="en-US"/>
        </w:rPr>
        <w:t xml:space="preserve"> </w:t>
      </w:r>
      <w:proofErr w:type="spellStart"/>
      <w:r w:rsidRPr="00A15962">
        <w:rPr>
          <w:i/>
          <w:lang w:val="en-US"/>
        </w:rPr>
        <w:t>Adarand</w:t>
      </w:r>
      <w:proofErr w:type="spellEnd"/>
      <w:r w:rsidRPr="00A15962">
        <w:rPr>
          <w:i/>
          <w:lang w:val="en-US"/>
        </w:rPr>
        <w:t xml:space="preserve"> Constructors v. Pena</w:t>
      </w:r>
      <w:r w:rsidRPr="000C43F6">
        <w:rPr>
          <w:lang w:val="en-US"/>
        </w:rPr>
        <w:t>, 515 U.S. 200, 204</w:t>
      </w:r>
      <w:r w:rsidRPr="005D5028">
        <w:rPr>
          <w:lang w:val="en-US"/>
        </w:rPr>
        <w:t xml:space="preserve"> = 115 S. Ct. </w:t>
      </w:r>
      <w:r w:rsidRPr="000C43F6">
        <w:rPr>
          <w:lang w:val="en-US"/>
        </w:rPr>
        <w:t>2097, 2101</w:t>
      </w:r>
      <w:r w:rsidRPr="005D5028">
        <w:rPr>
          <w:lang w:val="en-US"/>
        </w:rPr>
        <w:t xml:space="preserve"> = 132 L. Ed. </w:t>
      </w:r>
      <w:r w:rsidRPr="000C43F6">
        <w:rPr>
          <w:lang w:val="en-US"/>
        </w:rPr>
        <w:t>2d 158, 167</w:t>
      </w:r>
      <w:r w:rsidRPr="005D5028">
        <w:rPr>
          <w:lang w:val="en-US"/>
        </w:rPr>
        <w:t xml:space="preserve"> = 1995 U.S. LEXIS </w:t>
      </w:r>
      <w:r w:rsidRPr="000C43F6">
        <w:rPr>
          <w:lang w:val="en-US"/>
        </w:rPr>
        <w:t>4037, 1</w:t>
      </w:r>
      <w:r w:rsidRPr="005D5028">
        <w:rPr>
          <w:lang w:val="en-US"/>
        </w:rPr>
        <w:t xml:space="preserve"> = 63 U.S.L.W. </w:t>
      </w:r>
      <w:r w:rsidRPr="000C43F6">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0C43F6">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0C43F6">
        <w:rPr>
          <w:lang w:val="en-US"/>
        </w:rPr>
        <w:t>(CCH) P43,556</w:t>
      </w:r>
      <w:r w:rsidRPr="005D5028">
        <w:rPr>
          <w:lang w:val="en-US"/>
        </w:rPr>
        <w:t xml:space="preserve"> = 95 Cal. Daily Op. </w:t>
      </w:r>
      <w:r w:rsidRPr="000C43F6">
        <w:rPr>
          <w:lang w:val="en-US"/>
        </w:rPr>
        <w:t>Service 4381</w:t>
      </w:r>
      <w:r w:rsidRPr="005D5028">
        <w:rPr>
          <w:lang w:val="en-US"/>
        </w:rPr>
        <w:t xml:space="preserve"> = 95 Daily Journal DAR </w:t>
      </w:r>
      <w:r w:rsidRPr="000C43F6">
        <w:rPr>
          <w:lang w:val="en-US"/>
        </w:rPr>
        <w:t>7503</w:t>
      </w:r>
      <w:r>
        <w:rPr>
          <w:lang w:val="en-US"/>
        </w:rPr>
        <w:t xml:space="preserve"> = 78 Rad. </w:t>
      </w:r>
      <w:r w:rsidRPr="000C43F6">
        <w:rPr>
          <w:lang w:val="en-US"/>
        </w:rPr>
        <w:t>Reg. 2d (P &amp; F) 357</w:t>
      </w:r>
      <w:r>
        <w:rPr>
          <w:lang w:val="en-US"/>
        </w:rPr>
        <w:t xml:space="preserve"> = 40 Cont. Cas. Fed</w:t>
      </w:r>
      <w:r w:rsidRPr="000C43F6">
        <w:rPr>
          <w:lang w:val="en-US"/>
        </w:rPr>
        <w:t>. (CCH) P76,756 (1995).</w:t>
      </w:r>
    </w:p>
  </w:footnote>
  <w:footnote w:id="1765">
    <w:p w14:paraId="02B39722" w14:textId="77777777" w:rsidR="00074551" w:rsidRPr="00F40757" w:rsidRDefault="00074551" w:rsidP="00074551">
      <w:pPr>
        <w:pStyle w:val="Funotentext"/>
        <w:rPr>
          <w:lang w:val="en-US"/>
        </w:rPr>
      </w:pPr>
      <w:r>
        <w:rPr>
          <w:rStyle w:val="Funotenzeichen"/>
          <w:rFonts w:eastAsiaTheme="majorEastAsia"/>
        </w:rPr>
        <w:footnoteRef/>
      </w:r>
      <w:r w:rsidRPr="00F40757">
        <w:rPr>
          <w:lang w:val="en-US"/>
        </w:rPr>
        <w:t xml:space="preserve"> </w:t>
      </w:r>
      <w:proofErr w:type="spellStart"/>
      <w:r w:rsidRPr="00A15962">
        <w:rPr>
          <w:i/>
          <w:lang w:val="en-US"/>
        </w:rPr>
        <w:t>Adarand</w:t>
      </w:r>
      <w:proofErr w:type="spellEnd"/>
      <w:r w:rsidRPr="00A15962">
        <w:rPr>
          <w:i/>
          <w:lang w:val="en-US"/>
        </w:rPr>
        <w:t xml:space="preserve"> Constructors v. Pena</w:t>
      </w:r>
      <w:r w:rsidRPr="00F40757">
        <w:rPr>
          <w:lang w:val="en-US"/>
        </w:rPr>
        <w:t>, 515 U.S. 200, 204</w:t>
      </w:r>
      <w:r w:rsidRPr="005D5028">
        <w:rPr>
          <w:lang w:val="en-US"/>
        </w:rPr>
        <w:t xml:space="preserve"> = 115 S. Ct. </w:t>
      </w:r>
      <w:r w:rsidRPr="00F40757">
        <w:rPr>
          <w:lang w:val="en-US"/>
        </w:rPr>
        <w:t>2097, 2101</w:t>
      </w:r>
      <w:r w:rsidRPr="005D5028">
        <w:rPr>
          <w:lang w:val="en-US"/>
        </w:rPr>
        <w:t xml:space="preserve"> = 132 L. Ed. </w:t>
      </w:r>
      <w:r w:rsidRPr="00F40757">
        <w:rPr>
          <w:lang w:val="en-US"/>
        </w:rPr>
        <w:t>2d 158, 167</w:t>
      </w:r>
      <w:r w:rsidRPr="005D5028">
        <w:rPr>
          <w:lang w:val="en-US"/>
        </w:rPr>
        <w:t xml:space="preserve"> = 1995 U.S. LEXIS </w:t>
      </w:r>
      <w:r w:rsidRPr="00F40757">
        <w:rPr>
          <w:lang w:val="en-US"/>
        </w:rPr>
        <w:t>4037, 1</w:t>
      </w:r>
      <w:r w:rsidRPr="005D5028">
        <w:rPr>
          <w:lang w:val="en-US"/>
        </w:rPr>
        <w:t xml:space="preserve"> = 63 U.S.L.W. </w:t>
      </w:r>
      <w:r w:rsidRPr="00F40757">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F40757">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40757">
        <w:rPr>
          <w:lang w:val="en-US"/>
        </w:rPr>
        <w:t>(CCH) P43,556</w:t>
      </w:r>
      <w:r w:rsidRPr="005D5028">
        <w:rPr>
          <w:lang w:val="en-US"/>
        </w:rPr>
        <w:t xml:space="preserve"> = 95 Cal. Daily Op. </w:t>
      </w:r>
      <w:r w:rsidRPr="00F40757">
        <w:rPr>
          <w:lang w:val="en-US"/>
        </w:rPr>
        <w:t>Service 4381</w:t>
      </w:r>
      <w:r w:rsidRPr="005D5028">
        <w:rPr>
          <w:lang w:val="en-US"/>
        </w:rPr>
        <w:t xml:space="preserve"> = 95 Daily Journal DAR </w:t>
      </w:r>
      <w:r w:rsidRPr="00F40757">
        <w:rPr>
          <w:lang w:val="en-US"/>
        </w:rPr>
        <w:t>7503</w:t>
      </w:r>
      <w:r>
        <w:rPr>
          <w:lang w:val="en-US"/>
        </w:rPr>
        <w:t xml:space="preserve"> = 78 Rad. </w:t>
      </w:r>
      <w:r w:rsidRPr="00F40757">
        <w:rPr>
          <w:lang w:val="en-US"/>
        </w:rPr>
        <w:t>Reg. 2d (P &amp; F) 357</w:t>
      </w:r>
      <w:r>
        <w:rPr>
          <w:lang w:val="en-US"/>
        </w:rPr>
        <w:t xml:space="preserve"> = 40 Cont. Cas. Fed</w:t>
      </w:r>
      <w:r w:rsidRPr="00F40757">
        <w:rPr>
          <w:lang w:val="en-US"/>
        </w:rPr>
        <w:t>. (CCH) P76,756 (1995).</w:t>
      </w:r>
    </w:p>
  </w:footnote>
  <w:footnote w:id="1766">
    <w:p w14:paraId="3EB9A148" w14:textId="77777777" w:rsidR="00074551" w:rsidRPr="00F40757" w:rsidRDefault="00074551" w:rsidP="00074551">
      <w:pPr>
        <w:pStyle w:val="Funotentext"/>
        <w:rPr>
          <w:lang w:val="en-US"/>
        </w:rPr>
      </w:pPr>
      <w:r>
        <w:rPr>
          <w:rStyle w:val="Funotenzeichen"/>
          <w:rFonts w:eastAsiaTheme="majorEastAsia"/>
        </w:rPr>
        <w:footnoteRef/>
      </w:r>
      <w:r w:rsidRPr="00F40757">
        <w:rPr>
          <w:lang w:val="en-US"/>
        </w:rPr>
        <w:t xml:space="preserve"> </w:t>
      </w:r>
      <w:proofErr w:type="spellStart"/>
      <w:r w:rsidRPr="00A15962">
        <w:rPr>
          <w:i/>
          <w:lang w:val="en-US"/>
        </w:rPr>
        <w:t>Adarand</w:t>
      </w:r>
      <w:proofErr w:type="spellEnd"/>
      <w:r w:rsidRPr="00A15962">
        <w:rPr>
          <w:i/>
          <w:lang w:val="en-US"/>
        </w:rPr>
        <w:t xml:space="preserve"> Constructors v. Pena</w:t>
      </w:r>
      <w:r w:rsidRPr="00F40757">
        <w:rPr>
          <w:lang w:val="en-US"/>
        </w:rPr>
        <w:t>, 515 U.S. 200, 204</w:t>
      </w:r>
      <w:r w:rsidRPr="005D5028">
        <w:rPr>
          <w:lang w:val="en-US"/>
        </w:rPr>
        <w:t xml:space="preserve"> = 115 S. Ct. </w:t>
      </w:r>
      <w:r w:rsidRPr="00F40757">
        <w:rPr>
          <w:lang w:val="en-US"/>
        </w:rPr>
        <w:t>2097, 2101</w:t>
      </w:r>
      <w:r w:rsidRPr="005D5028">
        <w:rPr>
          <w:lang w:val="en-US"/>
        </w:rPr>
        <w:t xml:space="preserve"> = 132 L. Ed. </w:t>
      </w:r>
      <w:r w:rsidRPr="00F40757">
        <w:rPr>
          <w:lang w:val="en-US"/>
        </w:rPr>
        <w:t>2d 158, 167</w:t>
      </w:r>
      <w:r w:rsidRPr="005D5028">
        <w:rPr>
          <w:lang w:val="en-US"/>
        </w:rPr>
        <w:t xml:space="preserve"> = 1995 U.S. LEXIS </w:t>
      </w:r>
      <w:r w:rsidRPr="00F40757">
        <w:rPr>
          <w:lang w:val="en-US"/>
        </w:rPr>
        <w:t>4037, 1</w:t>
      </w:r>
      <w:r w:rsidRPr="005D5028">
        <w:rPr>
          <w:lang w:val="en-US"/>
        </w:rPr>
        <w:t xml:space="preserve"> = 63 U.S.L.W. </w:t>
      </w:r>
      <w:r w:rsidRPr="00F40757">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F40757">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40757">
        <w:rPr>
          <w:lang w:val="en-US"/>
        </w:rPr>
        <w:t>(CCH) P43,556</w:t>
      </w:r>
      <w:r w:rsidRPr="005D5028">
        <w:rPr>
          <w:lang w:val="en-US"/>
        </w:rPr>
        <w:t xml:space="preserve"> = 95 Cal. Daily Op. </w:t>
      </w:r>
      <w:r w:rsidRPr="00F40757">
        <w:rPr>
          <w:lang w:val="en-US"/>
        </w:rPr>
        <w:t>Service 4381</w:t>
      </w:r>
      <w:r w:rsidRPr="005D5028">
        <w:rPr>
          <w:lang w:val="en-US"/>
        </w:rPr>
        <w:t xml:space="preserve"> = 95 Daily Journal DAR </w:t>
      </w:r>
      <w:r w:rsidRPr="00F40757">
        <w:rPr>
          <w:lang w:val="en-US"/>
        </w:rPr>
        <w:t>7503</w:t>
      </w:r>
      <w:r>
        <w:rPr>
          <w:lang w:val="en-US"/>
        </w:rPr>
        <w:t xml:space="preserve"> = 78 Rad. </w:t>
      </w:r>
      <w:r w:rsidRPr="00F40757">
        <w:rPr>
          <w:lang w:val="en-US"/>
        </w:rPr>
        <w:t>Reg. 2d (P &amp; F) 357</w:t>
      </w:r>
      <w:r>
        <w:rPr>
          <w:lang w:val="en-US"/>
        </w:rPr>
        <w:t xml:space="preserve"> = 40 Cont. Cas. Fed</w:t>
      </w:r>
      <w:r w:rsidRPr="00F40757">
        <w:rPr>
          <w:lang w:val="en-US"/>
        </w:rPr>
        <w:t>. (CCH) P76,756 (1995)</w:t>
      </w:r>
      <w:r>
        <w:rPr>
          <w:lang w:val="en-US"/>
        </w:rPr>
        <w:t>.</w:t>
      </w:r>
    </w:p>
  </w:footnote>
  <w:footnote w:id="1767">
    <w:p w14:paraId="726D2E42" w14:textId="77777777" w:rsidR="00074551" w:rsidRPr="00F71E28" w:rsidRDefault="00074551" w:rsidP="00074551">
      <w:pPr>
        <w:pStyle w:val="Funotentext"/>
        <w:rPr>
          <w:lang w:val="en-US"/>
        </w:rPr>
      </w:pPr>
      <w:r>
        <w:rPr>
          <w:rStyle w:val="Funotenzeichen"/>
          <w:rFonts w:eastAsiaTheme="majorEastAsia"/>
        </w:rPr>
        <w:footnoteRef/>
      </w:r>
      <w:r w:rsidRPr="00F40757">
        <w:rPr>
          <w:lang w:val="en-US"/>
        </w:rPr>
        <w:t xml:space="preserve"> </w:t>
      </w:r>
      <w:proofErr w:type="spellStart"/>
      <w:r w:rsidRPr="00A15962">
        <w:rPr>
          <w:i/>
          <w:lang w:val="en-US"/>
        </w:rPr>
        <w:t>Adarand</w:t>
      </w:r>
      <w:proofErr w:type="spellEnd"/>
      <w:r w:rsidRPr="00A15962">
        <w:rPr>
          <w:i/>
          <w:lang w:val="en-US"/>
        </w:rPr>
        <w:t xml:space="preserve"> Constructors v. Pena</w:t>
      </w:r>
      <w:r w:rsidRPr="00F40757">
        <w:rPr>
          <w:lang w:val="en-US"/>
        </w:rPr>
        <w:t>, 515 U.S. 200, 204</w:t>
      </w:r>
      <w:r w:rsidRPr="005D5028">
        <w:rPr>
          <w:lang w:val="en-US"/>
        </w:rPr>
        <w:t xml:space="preserve"> = 115 S. Ct. </w:t>
      </w:r>
      <w:r w:rsidRPr="00F40757">
        <w:rPr>
          <w:lang w:val="en-US"/>
        </w:rPr>
        <w:t>2097, 2101</w:t>
      </w:r>
      <w:r w:rsidRPr="005D5028">
        <w:rPr>
          <w:lang w:val="en-US"/>
        </w:rPr>
        <w:t xml:space="preserve"> = 132 L. Ed. </w:t>
      </w:r>
      <w:r w:rsidRPr="00F40757">
        <w:rPr>
          <w:lang w:val="en-US"/>
        </w:rPr>
        <w:t>2d 158, 167</w:t>
      </w:r>
      <w:r w:rsidRPr="005D5028">
        <w:rPr>
          <w:lang w:val="en-US"/>
        </w:rPr>
        <w:t xml:space="preserve"> = 1995 U.S. LEXIS </w:t>
      </w:r>
      <w:r w:rsidRPr="00F40757">
        <w:rPr>
          <w:lang w:val="en-US"/>
        </w:rPr>
        <w:t>4037, 1</w:t>
      </w:r>
      <w:r w:rsidRPr="005D5028">
        <w:rPr>
          <w:lang w:val="en-US"/>
        </w:rPr>
        <w:t xml:space="preserve"> = 63 U.S.L.W. </w:t>
      </w:r>
      <w:r w:rsidRPr="00F40757">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F40757">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40757">
        <w:rPr>
          <w:lang w:val="en-US"/>
        </w:rPr>
        <w:t>(CCH) P43,556</w:t>
      </w:r>
      <w:r w:rsidRPr="005D5028">
        <w:rPr>
          <w:lang w:val="en-US"/>
        </w:rPr>
        <w:t xml:space="preserve"> = 95 Cal. Daily Op. </w:t>
      </w:r>
      <w:r w:rsidRPr="00F40757">
        <w:rPr>
          <w:lang w:val="en-US"/>
        </w:rPr>
        <w:t>Service 4381</w:t>
      </w:r>
      <w:r w:rsidRPr="005D5028">
        <w:rPr>
          <w:lang w:val="en-US"/>
        </w:rPr>
        <w:t xml:space="preserve"> = 95 Daily Journal DAR </w:t>
      </w:r>
      <w:r w:rsidRPr="00F40757">
        <w:rPr>
          <w:lang w:val="en-US"/>
        </w:rPr>
        <w:t>7503</w:t>
      </w:r>
      <w:r>
        <w:rPr>
          <w:lang w:val="en-US"/>
        </w:rPr>
        <w:t xml:space="preserve"> = 78 Rad. </w:t>
      </w:r>
      <w:r w:rsidRPr="00F40757">
        <w:rPr>
          <w:lang w:val="en-US"/>
        </w:rPr>
        <w:t>Reg. 2d (P &amp; F) 357</w:t>
      </w:r>
      <w:r>
        <w:rPr>
          <w:lang w:val="en-US"/>
        </w:rPr>
        <w:t xml:space="preserve"> = 40 Cont. Cas. Fed</w:t>
      </w:r>
      <w:r w:rsidRPr="00F40757">
        <w:rPr>
          <w:lang w:val="en-US"/>
        </w:rPr>
        <w:t xml:space="preserve">. </w:t>
      </w:r>
      <w:r w:rsidRPr="00F71E28">
        <w:rPr>
          <w:lang w:val="en-US"/>
        </w:rPr>
        <w:t>(CCH) P76,756 (1995).</w:t>
      </w:r>
    </w:p>
  </w:footnote>
  <w:footnote w:id="1768">
    <w:p w14:paraId="6194886B" w14:textId="77777777" w:rsidR="00074551" w:rsidRPr="00F71E28" w:rsidRDefault="00074551" w:rsidP="00074551">
      <w:pPr>
        <w:pStyle w:val="Funotentext"/>
        <w:rPr>
          <w:lang w:val="en-US"/>
        </w:rPr>
      </w:pPr>
      <w:r>
        <w:rPr>
          <w:rStyle w:val="Funotenzeichen"/>
          <w:rFonts w:eastAsiaTheme="majorEastAsia"/>
        </w:rPr>
        <w:footnoteRef/>
      </w:r>
      <w:r w:rsidRPr="00F71E28">
        <w:rPr>
          <w:lang w:val="en-US"/>
        </w:rPr>
        <w:t xml:space="preserve"> </w:t>
      </w:r>
      <w:proofErr w:type="spellStart"/>
      <w:r w:rsidRPr="00A15962">
        <w:rPr>
          <w:i/>
          <w:lang w:val="en-US"/>
        </w:rPr>
        <w:t>Adarand</w:t>
      </w:r>
      <w:proofErr w:type="spellEnd"/>
      <w:r w:rsidRPr="00A15962">
        <w:rPr>
          <w:i/>
          <w:lang w:val="en-US"/>
        </w:rPr>
        <w:t xml:space="preserve"> Constructors v. Pena</w:t>
      </w:r>
      <w:r w:rsidRPr="00F71E28">
        <w:rPr>
          <w:lang w:val="en-US"/>
        </w:rPr>
        <w:t>, 515 U.S. 200, 240</w:t>
      </w:r>
      <w:r w:rsidRPr="005D5028">
        <w:rPr>
          <w:lang w:val="en-US"/>
        </w:rPr>
        <w:t xml:space="preserve"> = 115 S. Ct. </w:t>
      </w:r>
      <w:r w:rsidRPr="00F71E28">
        <w:rPr>
          <w:lang w:val="en-US"/>
        </w:rPr>
        <w:t>2097, 2119</w:t>
      </w:r>
      <w:r w:rsidRPr="005D5028">
        <w:rPr>
          <w:lang w:val="en-US"/>
        </w:rPr>
        <w:t xml:space="preserve"> = 132 L. Ed. </w:t>
      </w:r>
      <w:r w:rsidRPr="00F71E28">
        <w:rPr>
          <w:lang w:val="en-US"/>
        </w:rPr>
        <w:t>2d 158, 190</w:t>
      </w:r>
      <w:r w:rsidRPr="005D5028">
        <w:rPr>
          <w:lang w:val="en-US"/>
        </w:rPr>
        <w:t xml:space="preserve"> = 1995 U.S. LEXIS </w:t>
      </w:r>
      <w:r w:rsidRPr="00F71E28">
        <w:rPr>
          <w:lang w:val="en-US"/>
        </w:rPr>
        <w:t>4037, 80</w:t>
      </w:r>
      <w:r w:rsidRPr="005D5028">
        <w:rPr>
          <w:lang w:val="en-US"/>
        </w:rPr>
        <w:t xml:space="preserve"> = 63 U.S.L.W. </w:t>
      </w:r>
      <w:r w:rsidRPr="00F71E28">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F71E28">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71E28">
        <w:rPr>
          <w:lang w:val="en-US"/>
        </w:rPr>
        <w:t>(CCH) P43,556</w:t>
      </w:r>
      <w:r w:rsidRPr="005D5028">
        <w:rPr>
          <w:lang w:val="en-US"/>
        </w:rPr>
        <w:t xml:space="preserve"> = 95 Cal. Daily Op. </w:t>
      </w:r>
      <w:r w:rsidRPr="00F71E28">
        <w:rPr>
          <w:lang w:val="en-US"/>
        </w:rPr>
        <w:t>Service 4381</w:t>
      </w:r>
      <w:r w:rsidRPr="005D5028">
        <w:rPr>
          <w:lang w:val="en-US"/>
        </w:rPr>
        <w:t xml:space="preserve"> = 95 Daily Journal DAR </w:t>
      </w:r>
      <w:r w:rsidRPr="00F71E28">
        <w:rPr>
          <w:lang w:val="en-US"/>
        </w:rPr>
        <w:t>7503</w:t>
      </w:r>
      <w:r>
        <w:rPr>
          <w:lang w:val="en-US"/>
        </w:rPr>
        <w:t xml:space="preserve"> = 78 Rad. </w:t>
      </w:r>
      <w:r w:rsidRPr="00F71E28">
        <w:rPr>
          <w:lang w:val="en-US"/>
        </w:rPr>
        <w:t>Reg. 2d (P &amp; F) 357</w:t>
      </w:r>
      <w:r>
        <w:rPr>
          <w:lang w:val="en-US"/>
        </w:rPr>
        <w:t xml:space="preserve"> = 40 Cont. Cas. Fed</w:t>
      </w:r>
      <w:r w:rsidRPr="00F71E28">
        <w:rPr>
          <w:lang w:val="en-US"/>
        </w:rPr>
        <w:t>. (CCH) P76,756 (1995).</w:t>
      </w:r>
    </w:p>
  </w:footnote>
  <w:footnote w:id="1769">
    <w:p w14:paraId="1A426709" w14:textId="77777777" w:rsidR="00074551" w:rsidRPr="00F71E28" w:rsidRDefault="00074551" w:rsidP="00074551">
      <w:pPr>
        <w:pStyle w:val="Funotentext"/>
        <w:rPr>
          <w:lang w:val="en-US"/>
        </w:rPr>
      </w:pPr>
      <w:r>
        <w:rPr>
          <w:rStyle w:val="Funotenzeichen"/>
          <w:rFonts w:eastAsiaTheme="majorEastAsia"/>
        </w:rPr>
        <w:footnoteRef/>
      </w:r>
      <w:r w:rsidRPr="00F71E28">
        <w:rPr>
          <w:lang w:val="en-US"/>
        </w:rPr>
        <w:t xml:space="preserve"> </w:t>
      </w:r>
      <w:proofErr w:type="spellStart"/>
      <w:r w:rsidRPr="00A15962">
        <w:rPr>
          <w:i/>
          <w:lang w:val="en-US"/>
        </w:rPr>
        <w:t>Adarand</w:t>
      </w:r>
      <w:proofErr w:type="spellEnd"/>
      <w:r w:rsidRPr="00A15962">
        <w:rPr>
          <w:i/>
          <w:lang w:val="en-US"/>
        </w:rPr>
        <w:t xml:space="preserve"> Constructors v. Pena</w:t>
      </w:r>
      <w:r w:rsidRPr="00F71E28">
        <w:rPr>
          <w:lang w:val="en-US"/>
        </w:rPr>
        <w:t>, 515 U.S. 200, 240</w:t>
      </w:r>
      <w:r w:rsidRPr="005D5028">
        <w:rPr>
          <w:lang w:val="en-US"/>
        </w:rPr>
        <w:t xml:space="preserve"> = 115 S. Ct. </w:t>
      </w:r>
      <w:r w:rsidRPr="00F71E28">
        <w:rPr>
          <w:lang w:val="en-US"/>
        </w:rPr>
        <w:t>2097, 2119</w:t>
      </w:r>
      <w:r w:rsidRPr="005D5028">
        <w:rPr>
          <w:lang w:val="en-US"/>
        </w:rPr>
        <w:t xml:space="preserve"> = 132 L. Ed. </w:t>
      </w:r>
      <w:r w:rsidRPr="00F71E28">
        <w:rPr>
          <w:lang w:val="en-US"/>
        </w:rPr>
        <w:t>2d 158, 190</w:t>
      </w:r>
      <w:r w:rsidRPr="005D5028">
        <w:rPr>
          <w:lang w:val="en-US"/>
        </w:rPr>
        <w:t xml:space="preserve"> = 1995 U.S. LEXIS </w:t>
      </w:r>
      <w:r w:rsidRPr="00F71E28">
        <w:rPr>
          <w:lang w:val="en-US"/>
        </w:rPr>
        <w:t>4037, 80</w:t>
      </w:r>
      <w:r w:rsidRPr="005D5028">
        <w:rPr>
          <w:lang w:val="en-US"/>
        </w:rPr>
        <w:t xml:space="preserve"> = 63 U.S.L.W. </w:t>
      </w:r>
      <w:r w:rsidRPr="00F71E28">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F71E28">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71E28">
        <w:rPr>
          <w:lang w:val="en-US"/>
        </w:rPr>
        <w:t>(CCH) P43,556</w:t>
      </w:r>
      <w:r w:rsidRPr="005D5028">
        <w:rPr>
          <w:lang w:val="en-US"/>
        </w:rPr>
        <w:t xml:space="preserve"> = 95 Cal. Daily Op. </w:t>
      </w:r>
      <w:r w:rsidRPr="00F71E28">
        <w:rPr>
          <w:lang w:val="en-US"/>
        </w:rPr>
        <w:t>Service 4381</w:t>
      </w:r>
      <w:r w:rsidRPr="005D5028">
        <w:rPr>
          <w:lang w:val="en-US"/>
        </w:rPr>
        <w:t xml:space="preserve"> = 95 Daily Journal DAR </w:t>
      </w:r>
      <w:r w:rsidRPr="00F71E28">
        <w:rPr>
          <w:lang w:val="en-US"/>
        </w:rPr>
        <w:t>7503</w:t>
      </w:r>
      <w:r>
        <w:rPr>
          <w:lang w:val="en-US"/>
        </w:rPr>
        <w:t xml:space="preserve"> = 78 Rad. </w:t>
      </w:r>
      <w:r w:rsidRPr="00F71E28">
        <w:rPr>
          <w:lang w:val="en-US"/>
        </w:rPr>
        <w:t>Reg. 2d (P &amp; F) 357</w:t>
      </w:r>
      <w:r>
        <w:rPr>
          <w:lang w:val="en-US"/>
        </w:rPr>
        <w:t xml:space="preserve"> = 40 Cont. Cas. Fed</w:t>
      </w:r>
      <w:r w:rsidRPr="00F71E28">
        <w:rPr>
          <w:lang w:val="en-US"/>
        </w:rPr>
        <w:t>. (CCH) P76,756 (1995)</w:t>
      </w:r>
    </w:p>
  </w:footnote>
  <w:footnote w:id="1770">
    <w:p w14:paraId="007788E8" w14:textId="369430C6" w:rsidR="00074551" w:rsidRPr="002D6A3E" w:rsidRDefault="00074551" w:rsidP="00074551">
      <w:pPr>
        <w:pStyle w:val="Funotentext"/>
        <w:ind w:left="227" w:hanging="227"/>
        <w:rPr>
          <w:lang w:val="en-US"/>
        </w:rPr>
      </w:pPr>
      <w:r>
        <w:rPr>
          <w:rStyle w:val="Funotenzeichen"/>
          <w:rFonts w:eastAsiaTheme="majorEastAsia"/>
        </w:rPr>
        <w:footnoteRef/>
      </w:r>
      <w:r w:rsidRPr="00CB0E4E">
        <w:rPr>
          <w:lang w:val="en-US"/>
        </w:rPr>
        <w:t xml:space="preserve"> </w:t>
      </w:r>
      <w:r w:rsidRPr="009167A5">
        <w:rPr>
          <w:i/>
          <w:lang w:val="en-US"/>
        </w:rPr>
        <w:t>McGowan v. Maryland</w:t>
      </w:r>
      <w:r w:rsidRPr="00CB0E4E">
        <w:rPr>
          <w:lang w:val="en-US"/>
        </w:rPr>
        <w:t>, 366 U.S. 420, 422</w:t>
      </w:r>
      <w:r w:rsidRPr="006E67FE">
        <w:rPr>
          <w:lang w:val="en-US"/>
        </w:rPr>
        <w:t xml:space="preserve"> = 81 S. Ct. </w:t>
      </w:r>
      <w:r w:rsidRPr="00CB0E4E">
        <w:rPr>
          <w:lang w:val="en-US"/>
        </w:rPr>
        <w:t>1101, 1103</w:t>
      </w:r>
      <w:r>
        <w:rPr>
          <w:lang w:val="en-US"/>
        </w:rPr>
        <w:t xml:space="preserve"> = 6 L. Ed. </w:t>
      </w:r>
      <w:r w:rsidRPr="00CB0E4E">
        <w:rPr>
          <w:lang w:val="en-US"/>
        </w:rPr>
        <w:t>2d 393, 397</w:t>
      </w:r>
      <w:r w:rsidRPr="006E67FE">
        <w:rPr>
          <w:lang w:val="en-US"/>
        </w:rPr>
        <w:t xml:space="preserve"> = 1961 U.S. LEXIS </w:t>
      </w:r>
      <w:r w:rsidRPr="00CB0E4E">
        <w:rPr>
          <w:lang w:val="en-US"/>
        </w:rPr>
        <w:t>2008, 1</w:t>
      </w:r>
      <w:r w:rsidRPr="006E67FE">
        <w:rPr>
          <w:lang w:val="en-US"/>
        </w:rPr>
        <w:t xml:space="preserve"> = 42 Lab. Cas. </w:t>
      </w:r>
      <w:r w:rsidRPr="002D6A3E">
        <w:rPr>
          <w:lang w:val="en-US"/>
        </w:rPr>
        <w:t>(CCH) P50,258</w:t>
      </w:r>
      <w:r w:rsidRPr="006E67FE">
        <w:rPr>
          <w:lang w:val="en-US"/>
        </w:rPr>
        <w:t xml:space="preserve"> = 17 Ohio Op. </w:t>
      </w:r>
      <w:r w:rsidRPr="002D6A3E">
        <w:rPr>
          <w:lang w:val="en-US"/>
        </w:rPr>
        <w:t>2d 151 (1961)</w:t>
      </w:r>
      <w:r>
        <w:rPr>
          <w:lang w:val="en-US"/>
        </w:rPr>
        <w:t>.</w:t>
      </w:r>
      <w:r w:rsidR="00063244">
        <w:rPr>
          <w:lang w:val="en-US"/>
        </w:rPr>
        <w:t xml:space="preserve"> </w:t>
      </w:r>
      <w:r w:rsidR="00063244" w:rsidRPr="00063244">
        <w:t>In </w:t>
      </w:r>
      <w:proofErr w:type="spellStart"/>
      <w:r w:rsidR="00063244" w:rsidRPr="00063244">
        <w:rPr>
          <w:i/>
          <w:iCs/>
        </w:rPr>
        <w:t>Adarand</w:t>
      </w:r>
      <w:proofErr w:type="spellEnd"/>
      <w:r w:rsidR="00063244" w:rsidRPr="00063244">
        <w:t> behandelt Thomas unmittelbar danach genau das Sachproblem der staatlichen Klassifizierung nach Rasse. </w:t>
      </w:r>
    </w:p>
  </w:footnote>
  <w:footnote w:id="1771">
    <w:p w14:paraId="04CBEE72" w14:textId="77777777" w:rsidR="00074551" w:rsidRPr="006A4C19" w:rsidRDefault="00074551" w:rsidP="00074551">
      <w:pPr>
        <w:pStyle w:val="Funotentext"/>
        <w:ind w:left="227" w:hanging="227"/>
        <w:rPr>
          <w:lang w:val="en-US"/>
        </w:rPr>
      </w:pPr>
      <w:r>
        <w:rPr>
          <w:rStyle w:val="Funotenzeichen"/>
          <w:rFonts w:eastAsiaTheme="majorEastAsia"/>
        </w:rPr>
        <w:footnoteRef/>
      </w:r>
      <w:r w:rsidRPr="00F71E28">
        <w:rPr>
          <w:lang w:val="en-US"/>
        </w:rPr>
        <w:t xml:space="preserve"> </w:t>
      </w:r>
      <w:proofErr w:type="spellStart"/>
      <w:r w:rsidRPr="00A15962">
        <w:rPr>
          <w:i/>
          <w:lang w:val="en-US"/>
        </w:rPr>
        <w:t>Adarand</w:t>
      </w:r>
      <w:proofErr w:type="spellEnd"/>
      <w:r w:rsidRPr="00A15962">
        <w:rPr>
          <w:i/>
          <w:lang w:val="en-US"/>
        </w:rPr>
        <w:t xml:space="preserve"> Constructors v. Pena</w:t>
      </w:r>
      <w:r w:rsidRPr="00F71E28">
        <w:rPr>
          <w:lang w:val="en-US"/>
        </w:rPr>
        <w:t>, 515 U.S. 200, 240</w:t>
      </w:r>
      <w:r w:rsidRPr="005D5028">
        <w:rPr>
          <w:lang w:val="en-US"/>
        </w:rPr>
        <w:t xml:space="preserve"> = 115 S. Ct. </w:t>
      </w:r>
      <w:r w:rsidRPr="00F71E28">
        <w:rPr>
          <w:lang w:val="en-US"/>
        </w:rPr>
        <w:t>2097, 2119</w:t>
      </w:r>
      <w:r w:rsidRPr="005D5028">
        <w:rPr>
          <w:lang w:val="en-US"/>
        </w:rPr>
        <w:t xml:space="preserve"> = 132 L. Ed. </w:t>
      </w:r>
      <w:r w:rsidRPr="00F71E28">
        <w:rPr>
          <w:lang w:val="en-US"/>
        </w:rPr>
        <w:t>2d 158, 190</w:t>
      </w:r>
      <w:r w:rsidRPr="005D5028">
        <w:rPr>
          <w:lang w:val="en-US"/>
        </w:rPr>
        <w:t xml:space="preserve"> = 1995 U.S. LEXIS </w:t>
      </w:r>
      <w:r w:rsidRPr="00F71E28">
        <w:rPr>
          <w:lang w:val="en-US"/>
        </w:rPr>
        <w:t>4037, 80</w:t>
      </w:r>
      <w:r w:rsidRPr="005D5028">
        <w:rPr>
          <w:lang w:val="en-US"/>
        </w:rPr>
        <w:t xml:space="preserve"> = 63 U.S.L.W. </w:t>
      </w:r>
      <w:r w:rsidRPr="00F71E28">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F71E28">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71E28">
        <w:rPr>
          <w:lang w:val="en-US"/>
        </w:rPr>
        <w:t>(CCH) P43,556</w:t>
      </w:r>
      <w:r w:rsidRPr="005D5028">
        <w:rPr>
          <w:lang w:val="en-US"/>
        </w:rPr>
        <w:t xml:space="preserve"> = 95 Cal. Daily Op. </w:t>
      </w:r>
      <w:r w:rsidRPr="00F71E28">
        <w:rPr>
          <w:lang w:val="en-US"/>
        </w:rPr>
        <w:t>Service 4381</w:t>
      </w:r>
      <w:r w:rsidRPr="005D5028">
        <w:rPr>
          <w:lang w:val="en-US"/>
        </w:rPr>
        <w:t xml:space="preserve"> = 95 Daily Journal DAR </w:t>
      </w:r>
      <w:r w:rsidRPr="00F71E28">
        <w:rPr>
          <w:lang w:val="en-US"/>
        </w:rPr>
        <w:t>7503</w:t>
      </w:r>
      <w:r>
        <w:rPr>
          <w:lang w:val="en-US"/>
        </w:rPr>
        <w:t xml:space="preserve"> = 78 Rad. </w:t>
      </w:r>
      <w:r w:rsidRPr="00F71E28">
        <w:rPr>
          <w:lang w:val="en-US"/>
        </w:rPr>
        <w:t>Reg. 2d (P &amp; F) 357</w:t>
      </w:r>
      <w:r>
        <w:rPr>
          <w:lang w:val="en-US"/>
        </w:rPr>
        <w:t xml:space="preserve"> = 40 Cont. Cas. Fed</w:t>
      </w:r>
      <w:r w:rsidRPr="00F71E28">
        <w:rPr>
          <w:lang w:val="en-US"/>
        </w:rPr>
        <w:t>. (CCH) P76,756 (1995)</w:t>
      </w:r>
      <w:r>
        <w:rPr>
          <w:lang w:val="en-US"/>
        </w:rPr>
        <w:t>.</w:t>
      </w:r>
    </w:p>
  </w:footnote>
  <w:footnote w:id="1772">
    <w:p w14:paraId="1E874DCE" w14:textId="77777777" w:rsidR="00074551" w:rsidRPr="002B7603" w:rsidRDefault="00074551" w:rsidP="00074551">
      <w:pPr>
        <w:pStyle w:val="Funotentext"/>
        <w:ind w:left="227" w:hanging="227"/>
        <w:rPr>
          <w:lang w:val="en-US"/>
        </w:rPr>
      </w:pPr>
      <w:r>
        <w:rPr>
          <w:rStyle w:val="Funotenzeichen"/>
          <w:rFonts w:eastAsiaTheme="majorEastAsia"/>
        </w:rPr>
        <w:footnoteRef/>
      </w:r>
      <w:r w:rsidRPr="002B7603">
        <w:rPr>
          <w:lang w:val="en-US"/>
        </w:rPr>
        <w:t xml:space="preserve"> </w:t>
      </w:r>
      <w:r w:rsidRPr="001F38CE">
        <w:rPr>
          <w:i/>
          <w:lang w:val="en-US"/>
        </w:rPr>
        <w:t xml:space="preserve">Fullilove v. </w:t>
      </w:r>
      <w:proofErr w:type="spellStart"/>
      <w:r w:rsidRPr="001F38CE">
        <w:rPr>
          <w:i/>
          <w:lang w:val="en-US"/>
        </w:rPr>
        <w:t>Klutznick</w:t>
      </w:r>
      <w:proofErr w:type="spellEnd"/>
      <w:r w:rsidRPr="002B7603">
        <w:rPr>
          <w:lang w:val="en-US"/>
        </w:rPr>
        <w:t>, 448 U.S. 448, 545</w:t>
      </w:r>
      <w:r>
        <w:rPr>
          <w:lang w:val="en-US"/>
        </w:rPr>
        <w:t xml:space="preserve"> = 65 L. Ed. </w:t>
      </w:r>
      <w:r w:rsidRPr="002B7603">
        <w:rPr>
          <w:lang w:val="en-US"/>
        </w:rPr>
        <w:t>2d 902</w:t>
      </w:r>
      <w:r>
        <w:rPr>
          <w:lang w:val="en-US"/>
        </w:rPr>
        <w:t xml:space="preserve"> = 100 S. Ct.</w:t>
      </w:r>
      <w:r w:rsidRPr="002B7603">
        <w:rPr>
          <w:lang w:val="en-US"/>
        </w:rPr>
        <w:t xml:space="preserve"> 2758 (1980</w:t>
      </w:r>
      <w:r w:rsidRPr="00A15962">
        <w:rPr>
          <w:lang w:val="en-US"/>
        </w:rPr>
        <w:t>) (</w:t>
      </w:r>
      <w:r w:rsidRPr="00B45592">
        <w:rPr>
          <w:lang w:val="en-US"/>
        </w:rPr>
        <w:t xml:space="preserve">Dissens von Richter </w:t>
      </w:r>
      <w:r w:rsidRPr="00B45592">
        <w:rPr>
          <w:i/>
          <w:lang w:val="en-US"/>
        </w:rPr>
        <w:t>Stevens</w:t>
      </w:r>
      <w:r w:rsidRPr="00A15962">
        <w:rPr>
          <w:lang w:val="en-US"/>
        </w:rPr>
        <w:t>);</w:t>
      </w:r>
      <w:r w:rsidRPr="00E47138">
        <w:rPr>
          <w:lang w:val="en-US"/>
        </w:rPr>
        <w:t xml:space="preserve"> </w:t>
      </w:r>
      <w:proofErr w:type="spellStart"/>
      <w:r w:rsidRPr="00A15962">
        <w:rPr>
          <w:i/>
          <w:lang w:val="en-US"/>
        </w:rPr>
        <w:t>Adarand</w:t>
      </w:r>
      <w:proofErr w:type="spellEnd"/>
      <w:r w:rsidRPr="00A15962">
        <w:rPr>
          <w:i/>
          <w:lang w:val="en-US"/>
        </w:rPr>
        <w:t xml:space="preserve"> Constructors v. Pena</w:t>
      </w:r>
      <w:r w:rsidRPr="002B7603">
        <w:rPr>
          <w:lang w:val="en-US"/>
        </w:rPr>
        <w:t>, 515 U.S. 200, 241</w:t>
      </w:r>
      <w:r w:rsidRPr="005D5028">
        <w:rPr>
          <w:lang w:val="en-US"/>
        </w:rPr>
        <w:t xml:space="preserve"> = 115 S. Ct. </w:t>
      </w:r>
      <w:r w:rsidRPr="002B7603">
        <w:rPr>
          <w:lang w:val="en-US"/>
        </w:rPr>
        <w:t>2097, 2119</w:t>
      </w:r>
      <w:r w:rsidRPr="005D5028">
        <w:rPr>
          <w:lang w:val="en-US"/>
        </w:rPr>
        <w:t xml:space="preserve"> = 132 L. Ed. </w:t>
      </w:r>
      <w:r w:rsidRPr="002B7603">
        <w:rPr>
          <w:lang w:val="en-US"/>
        </w:rPr>
        <w:t>2d 158, 191</w:t>
      </w:r>
      <w:r w:rsidRPr="005D5028">
        <w:rPr>
          <w:lang w:val="en-US"/>
        </w:rPr>
        <w:t xml:space="preserve"> = 1995 U.S. LEXIS </w:t>
      </w:r>
      <w:r w:rsidRPr="002B7603">
        <w:rPr>
          <w:lang w:val="en-US"/>
        </w:rPr>
        <w:t>4037, 81</w:t>
      </w:r>
      <w:r w:rsidRPr="005D5028">
        <w:rPr>
          <w:lang w:val="en-US"/>
        </w:rPr>
        <w:t xml:space="preserve"> = 63 U.S.L.W. </w:t>
      </w:r>
      <w:r w:rsidRPr="002B7603">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2B7603">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2B7603">
        <w:rPr>
          <w:lang w:val="en-US"/>
        </w:rPr>
        <w:t>(CCH) P43,556</w:t>
      </w:r>
      <w:r w:rsidRPr="005D5028">
        <w:rPr>
          <w:lang w:val="en-US"/>
        </w:rPr>
        <w:t xml:space="preserve"> = 95 Cal. Daily Op. </w:t>
      </w:r>
      <w:r w:rsidRPr="002B7603">
        <w:rPr>
          <w:lang w:val="en-US"/>
        </w:rPr>
        <w:t>Service 4381</w:t>
      </w:r>
      <w:r w:rsidRPr="005D5028">
        <w:rPr>
          <w:lang w:val="en-US"/>
        </w:rPr>
        <w:t xml:space="preserve"> = 95 Daily Journal DAR </w:t>
      </w:r>
      <w:r w:rsidRPr="002B7603">
        <w:rPr>
          <w:lang w:val="en-US"/>
        </w:rPr>
        <w:t>7503</w:t>
      </w:r>
      <w:r>
        <w:rPr>
          <w:lang w:val="en-US"/>
        </w:rPr>
        <w:t xml:space="preserve"> = 78 Rad. </w:t>
      </w:r>
      <w:r w:rsidRPr="002B7603">
        <w:rPr>
          <w:lang w:val="en-US"/>
        </w:rPr>
        <w:t>Reg. 2d (P &amp; F) 357</w:t>
      </w:r>
      <w:r>
        <w:rPr>
          <w:lang w:val="en-US"/>
        </w:rPr>
        <w:t xml:space="preserve"> = 40 Cont. Cas. Fed</w:t>
      </w:r>
      <w:r w:rsidRPr="002B7603">
        <w:rPr>
          <w:lang w:val="en-US"/>
        </w:rPr>
        <w:t>. (CCH) P76,756 (1995)</w:t>
      </w:r>
      <w:r>
        <w:rPr>
          <w:lang w:val="en-US"/>
        </w:rPr>
        <w:t>.</w:t>
      </w:r>
    </w:p>
  </w:footnote>
  <w:footnote w:id="1773">
    <w:p w14:paraId="47C09444" w14:textId="77777777" w:rsidR="00074551" w:rsidRPr="00091030" w:rsidRDefault="00074551" w:rsidP="00074551">
      <w:pPr>
        <w:pStyle w:val="Funotentext"/>
        <w:rPr>
          <w:lang w:val="en-US"/>
        </w:rPr>
      </w:pPr>
      <w:r>
        <w:rPr>
          <w:rStyle w:val="Funotenzeichen"/>
          <w:rFonts w:eastAsiaTheme="majorEastAsia"/>
        </w:rPr>
        <w:footnoteRef/>
      </w:r>
      <w:r w:rsidRPr="00F94158">
        <w:rPr>
          <w:lang w:val="en-IE"/>
        </w:rPr>
        <w:t xml:space="preserve"> </w:t>
      </w:r>
      <w:proofErr w:type="spellStart"/>
      <w:r w:rsidRPr="00F94158">
        <w:rPr>
          <w:lang w:val="en-IE"/>
        </w:rPr>
        <w:t>Siehe</w:t>
      </w:r>
      <w:proofErr w:type="spellEnd"/>
      <w:r w:rsidRPr="00F94158">
        <w:rPr>
          <w:lang w:val="en-IE"/>
        </w:rPr>
        <w:t xml:space="preserve"> </w:t>
      </w:r>
      <w:r w:rsidRPr="00F94158">
        <w:rPr>
          <w:i/>
          <w:lang w:val="en-IE"/>
        </w:rPr>
        <w:t xml:space="preserve">Fullilove v. </w:t>
      </w:r>
      <w:proofErr w:type="spellStart"/>
      <w:r w:rsidRPr="00F94158">
        <w:rPr>
          <w:i/>
          <w:lang w:val="en-IE"/>
        </w:rPr>
        <w:t>Klutznick</w:t>
      </w:r>
      <w:proofErr w:type="spellEnd"/>
      <w:r w:rsidRPr="00F94158">
        <w:rPr>
          <w:lang w:val="en-IE"/>
        </w:rPr>
        <w:t xml:space="preserve">, 448 U.S. 448, 545 = 65 L. Ed. 2d 902 = 100 S. Ct. 2758 (1980) (Dissens von Richter </w:t>
      </w:r>
      <w:r w:rsidRPr="00F94158">
        <w:rPr>
          <w:i/>
          <w:lang w:val="en-IE"/>
        </w:rPr>
        <w:t>Stevens</w:t>
      </w:r>
      <w:r w:rsidRPr="00F94158">
        <w:rPr>
          <w:lang w:val="en-IE"/>
        </w:rPr>
        <w:t xml:space="preserve">); </w:t>
      </w:r>
      <w:proofErr w:type="spellStart"/>
      <w:r w:rsidRPr="00A15962">
        <w:rPr>
          <w:i/>
          <w:lang w:val="en-US"/>
        </w:rPr>
        <w:t>Adarand</w:t>
      </w:r>
      <w:proofErr w:type="spellEnd"/>
      <w:r w:rsidRPr="00A15962">
        <w:rPr>
          <w:i/>
          <w:lang w:val="en-US"/>
        </w:rPr>
        <w:t xml:space="preserve"> Constructors v. Pena</w:t>
      </w:r>
      <w:r w:rsidRPr="006A4C19">
        <w:rPr>
          <w:lang w:val="en-US"/>
        </w:rPr>
        <w:t>, 515 U.S. 200, 241</w:t>
      </w:r>
      <w:r w:rsidRPr="005D5028">
        <w:rPr>
          <w:lang w:val="en-US"/>
        </w:rPr>
        <w:t xml:space="preserve"> = 115 S. Ct. </w:t>
      </w:r>
      <w:r w:rsidRPr="006A4C19">
        <w:rPr>
          <w:lang w:val="en-US"/>
        </w:rPr>
        <w:t>2097, 2119</w:t>
      </w:r>
      <w:r w:rsidRPr="005D5028">
        <w:rPr>
          <w:lang w:val="en-US"/>
        </w:rPr>
        <w:t xml:space="preserve"> = 132 L. Ed. </w:t>
      </w:r>
      <w:r w:rsidRPr="006A4C19">
        <w:rPr>
          <w:lang w:val="en-US"/>
        </w:rPr>
        <w:t>2d 158, 191</w:t>
      </w:r>
      <w:r w:rsidRPr="005D5028">
        <w:rPr>
          <w:lang w:val="en-US"/>
        </w:rPr>
        <w:t xml:space="preserve"> = 1995 U.S. LEXIS </w:t>
      </w:r>
      <w:r w:rsidRPr="006A4C19">
        <w:rPr>
          <w:lang w:val="en-US"/>
        </w:rPr>
        <w:t>4037, 81</w:t>
      </w:r>
      <w:r w:rsidRPr="005D5028">
        <w:rPr>
          <w:lang w:val="en-US"/>
        </w:rPr>
        <w:t xml:space="preserve"> = 63 U.S.L.W. </w:t>
      </w:r>
      <w:r w:rsidRPr="006A4C19">
        <w:rPr>
          <w:lang w:val="en-US"/>
        </w:rPr>
        <w:t>4523</w:t>
      </w:r>
      <w:r>
        <w:rPr>
          <w:lang w:val="en-US"/>
        </w:rPr>
        <w:t xml:space="preserve"> = 67 Fair </w:t>
      </w:r>
      <w:proofErr w:type="spellStart"/>
      <w:r>
        <w:rPr>
          <w:lang w:val="en-US"/>
        </w:rPr>
        <w:t>Empl</w:t>
      </w:r>
      <w:proofErr w:type="spellEnd"/>
      <w:r>
        <w:rPr>
          <w:lang w:val="en-US"/>
        </w:rPr>
        <w:t xml:space="preserve">. </w:t>
      </w:r>
      <w:proofErr w:type="spellStart"/>
      <w:r>
        <w:rPr>
          <w:lang w:val="en-US"/>
        </w:rPr>
        <w:t>Prac</w:t>
      </w:r>
      <w:proofErr w:type="spellEnd"/>
      <w:r w:rsidRPr="006A4C19">
        <w:rPr>
          <w:lang w:val="en-US"/>
        </w:rPr>
        <w:t>. Cas. (BNA) 1828</w:t>
      </w:r>
      <w:r>
        <w:rPr>
          <w:lang w:val="en-US"/>
        </w:rPr>
        <w:t xml:space="preserve"> = 66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6A4C19">
        <w:rPr>
          <w:lang w:val="en-US"/>
        </w:rPr>
        <w:t>(CCH) P43,556</w:t>
      </w:r>
      <w:r w:rsidRPr="005D5028">
        <w:rPr>
          <w:lang w:val="en-US"/>
        </w:rPr>
        <w:t xml:space="preserve"> = 95 Cal. Daily Op. </w:t>
      </w:r>
      <w:r w:rsidRPr="006A4C19">
        <w:rPr>
          <w:lang w:val="en-US"/>
        </w:rPr>
        <w:t>Service 4381</w:t>
      </w:r>
      <w:r w:rsidRPr="005D5028">
        <w:rPr>
          <w:lang w:val="en-US"/>
        </w:rPr>
        <w:t xml:space="preserve"> = 95 Daily Journal DAR </w:t>
      </w:r>
      <w:r w:rsidRPr="006A4C19">
        <w:rPr>
          <w:lang w:val="en-US"/>
        </w:rPr>
        <w:t>7503</w:t>
      </w:r>
      <w:r>
        <w:rPr>
          <w:lang w:val="en-US"/>
        </w:rPr>
        <w:t xml:space="preserve"> = 78 Rad. </w:t>
      </w:r>
      <w:r w:rsidRPr="006A4C19">
        <w:rPr>
          <w:lang w:val="en-US"/>
        </w:rPr>
        <w:t>Reg. 2d (P &amp; F) 357</w:t>
      </w:r>
      <w:r>
        <w:rPr>
          <w:lang w:val="en-US"/>
        </w:rPr>
        <w:t xml:space="preserve"> = 40 Cont. Cas. Fed</w:t>
      </w:r>
      <w:r w:rsidRPr="006A4C19">
        <w:rPr>
          <w:lang w:val="en-US"/>
        </w:rPr>
        <w:t>. (CCH) P76,756 (1995)</w:t>
      </w:r>
      <w:r>
        <w:rPr>
          <w:lang w:val="en-US"/>
        </w:rPr>
        <w:t>.</w:t>
      </w:r>
    </w:p>
  </w:footnote>
  <w:footnote w:id="1774">
    <w:p w14:paraId="4204CE48" w14:textId="77777777" w:rsidR="00074551" w:rsidRPr="00770E30" w:rsidRDefault="00074551" w:rsidP="00074551">
      <w:pPr>
        <w:pStyle w:val="Funotentext"/>
        <w:jc w:val="both"/>
        <w:rPr>
          <w:lang w:val="en-US"/>
        </w:rPr>
      </w:pPr>
      <w:r>
        <w:rPr>
          <w:rStyle w:val="Funotenzeichen"/>
          <w:rFonts w:eastAsiaTheme="majorEastAsia"/>
        </w:rPr>
        <w:footnoteRef/>
      </w:r>
      <w:r w:rsidRPr="00770E30">
        <w:rPr>
          <w:lang w:val="en-US"/>
        </w:rPr>
        <w:t xml:space="preserve"> </w:t>
      </w:r>
      <w:r w:rsidRPr="00584023">
        <w:rPr>
          <w:i/>
          <w:lang w:val="en-US"/>
        </w:rPr>
        <w:t>Loving v. Virginia</w:t>
      </w:r>
      <w:r w:rsidRPr="00770E30">
        <w:rPr>
          <w:lang w:val="en-US"/>
        </w:rPr>
        <w:t>, 388 U.S. 1, 12</w:t>
      </w:r>
      <w:r w:rsidRPr="006E67FE">
        <w:rPr>
          <w:lang w:val="en-US"/>
        </w:rPr>
        <w:t xml:space="preserve"> = 87 S. Ct. </w:t>
      </w:r>
      <w:r w:rsidRPr="00770E30">
        <w:rPr>
          <w:lang w:val="en-US"/>
        </w:rPr>
        <w:t>1817, 1824</w:t>
      </w:r>
      <w:r w:rsidRPr="006E67FE">
        <w:rPr>
          <w:lang w:val="en-US"/>
        </w:rPr>
        <w:t xml:space="preserve"> = 18 L. Ed. </w:t>
      </w:r>
      <w:r w:rsidRPr="00770E30">
        <w:rPr>
          <w:lang w:val="en-US"/>
        </w:rPr>
        <w:t>2d 1010, 1018</w:t>
      </w:r>
      <w:r w:rsidRPr="006E67FE">
        <w:rPr>
          <w:lang w:val="en-US"/>
        </w:rPr>
        <w:t xml:space="preserve"> = 1967 U.S. LEXIS </w:t>
      </w:r>
      <w:r w:rsidRPr="00770E30">
        <w:rPr>
          <w:lang w:val="en-US"/>
        </w:rPr>
        <w:t>1082, 18 (1967)</w:t>
      </w:r>
      <w:r>
        <w:rPr>
          <w:lang w:val="en-US"/>
        </w:rPr>
        <w:t>.</w:t>
      </w:r>
    </w:p>
  </w:footnote>
  <w:footnote w:id="1775">
    <w:p w14:paraId="4D6A6CA8" w14:textId="77777777" w:rsidR="00074551" w:rsidRPr="00770E30" w:rsidRDefault="00074551" w:rsidP="00074551">
      <w:pPr>
        <w:pStyle w:val="Funotentext"/>
        <w:jc w:val="both"/>
        <w:rPr>
          <w:lang w:val="en-US"/>
        </w:rPr>
      </w:pPr>
      <w:r>
        <w:rPr>
          <w:rStyle w:val="Funotenzeichen"/>
          <w:rFonts w:eastAsiaTheme="majorEastAsia"/>
        </w:rPr>
        <w:footnoteRef/>
      </w:r>
      <w:r w:rsidRPr="00770E30">
        <w:rPr>
          <w:lang w:val="en-US"/>
        </w:rPr>
        <w:t xml:space="preserve"> </w:t>
      </w:r>
      <w:r w:rsidRPr="00584023">
        <w:rPr>
          <w:i/>
          <w:lang w:val="en-US"/>
        </w:rPr>
        <w:t>Loving v. Virginia</w:t>
      </w:r>
      <w:r w:rsidRPr="00770E30">
        <w:rPr>
          <w:lang w:val="en-US"/>
        </w:rPr>
        <w:t>, 388 U.S. 1, 12</w:t>
      </w:r>
      <w:r w:rsidRPr="006E67FE">
        <w:rPr>
          <w:lang w:val="en-US"/>
        </w:rPr>
        <w:t xml:space="preserve"> = 87 S. Ct. </w:t>
      </w:r>
      <w:r w:rsidRPr="00770E30">
        <w:rPr>
          <w:lang w:val="en-US"/>
        </w:rPr>
        <w:t>1817, 1824</w:t>
      </w:r>
      <w:r w:rsidRPr="006E67FE">
        <w:rPr>
          <w:lang w:val="en-US"/>
        </w:rPr>
        <w:t xml:space="preserve"> = 18 L. Ed. </w:t>
      </w:r>
      <w:r w:rsidRPr="00770E30">
        <w:rPr>
          <w:lang w:val="en-US"/>
        </w:rPr>
        <w:t>2d 1010, 1018</w:t>
      </w:r>
      <w:r w:rsidRPr="006E67FE">
        <w:rPr>
          <w:lang w:val="en-US"/>
        </w:rPr>
        <w:t xml:space="preserve"> = 1967 U.S. LEXIS </w:t>
      </w:r>
      <w:r w:rsidRPr="00770E30">
        <w:rPr>
          <w:lang w:val="en-US"/>
        </w:rPr>
        <w:t>1082, 19 (1967)</w:t>
      </w:r>
      <w:r>
        <w:rPr>
          <w:lang w:val="en-US"/>
        </w:rPr>
        <w:t>.</w:t>
      </w:r>
    </w:p>
  </w:footnote>
  <w:footnote w:id="1776">
    <w:p w14:paraId="06D75455" w14:textId="77777777" w:rsidR="00074551" w:rsidRPr="00770E30" w:rsidRDefault="00074551" w:rsidP="00074551">
      <w:pPr>
        <w:pStyle w:val="Funotentext"/>
        <w:jc w:val="both"/>
        <w:rPr>
          <w:lang w:val="en-US"/>
        </w:rPr>
      </w:pPr>
      <w:r>
        <w:rPr>
          <w:rStyle w:val="Funotenzeichen"/>
          <w:rFonts w:eastAsiaTheme="majorEastAsia"/>
        </w:rPr>
        <w:footnoteRef/>
      </w:r>
      <w:r w:rsidRPr="00770E30">
        <w:rPr>
          <w:lang w:val="en-US"/>
        </w:rPr>
        <w:t xml:space="preserve"> </w:t>
      </w:r>
      <w:r w:rsidRPr="00584023">
        <w:rPr>
          <w:i/>
          <w:lang w:val="en-US"/>
        </w:rPr>
        <w:t>Loving v. Virginia</w:t>
      </w:r>
      <w:r w:rsidRPr="00770E30">
        <w:rPr>
          <w:lang w:val="en-US"/>
        </w:rPr>
        <w:t>, 388 U.S. 1, 11</w:t>
      </w:r>
      <w:r w:rsidRPr="006E67FE">
        <w:rPr>
          <w:lang w:val="en-US"/>
        </w:rPr>
        <w:t xml:space="preserve"> = 87 S. Ct. </w:t>
      </w:r>
      <w:r w:rsidRPr="00770E30">
        <w:rPr>
          <w:lang w:val="en-US"/>
        </w:rPr>
        <w:t>1817, 1823</w:t>
      </w:r>
      <w:r w:rsidRPr="006E67FE">
        <w:rPr>
          <w:lang w:val="en-US"/>
        </w:rPr>
        <w:t xml:space="preserve"> = 18 L. Ed. </w:t>
      </w:r>
      <w:r w:rsidRPr="00770E30">
        <w:rPr>
          <w:lang w:val="en-US"/>
        </w:rPr>
        <w:t>2d 1010, 1017</w:t>
      </w:r>
      <w:r w:rsidRPr="006E67FE">
        <w:rPr>
          <w:lang w:val="en-US"/>
        </w:rPr>
        <w:t xml:space="preserve"> = 1967 U.S. LEXIS </w:t>
      </w:r>
      <w:r w:rsidRPr="00770E30">
        <w:rPr>
          <w:lang w:val="en-US"/>
        </w:rPr>
        <w:t>1082, 16 (1967)</w:t>
      </w:r>
      <w:r>
        <w:rPr>
          <w:lang w:val="en-US"/>
        </w:rPr>
        <w:t>.</w:t>
      </w:r>
    </w:p>
  </w:footnote>
  <w:footnote w:id="1777">
    <w:p w14:paraId="0DCAF88E" w14:textId="77777777" w:rsidR="00074551" w:rsidRPr="0002480D" w:rsidRDefault="00074551" w:rsidP="00074551">
      <w:pPr>
        <w:pStyle w:val="Funotentext"/>
        <w:ind w:left="227" w:hanging="227"/>
        <w:jc w:val="both"/>
        <w:rPr>
          <w:lang w:val="en-US"/>
        </w:rPr>
      </w:pPr>
      <w:r>
        <w:rPr>
          <w:rStyle w:val="Funotenzeichen"/>
          <w:rFonts w:eastAsiaTheme="majorEastAsia"/>
        </w:rPr>
        <w:footnoteRef/>
      </w:r>
      <w:r w:rsidRPr="0002480D">
        <w:rPr>
          <w:lang w:val="en-US"/>
        </w:rPr>
        <w:t xml:space="preserve"> </w:t>
      </w:r>
      <w:r w:rsidRPr="00584023">
        <w:rPr>
          <w:i/>
          <w:lang w:val="en-US"/>
        </w:rPr>
        <w:t>Loving v. Virginia</w:t>
      </w:r>
      <w:r w:rsidRPr="0002480D">
        <w:rPr>
          <w:lang w:val="en-US"/>
        </w:rPr>
        <w:t>, 388 U.S. 1, 12</w:t>
      </w:r>
      <w:r w:rsidRPr="006E67FE">
        <w:rPr>
          <w:lang w:val="en-US"/>
        </w:rPr>
        <w:t xml:space="preserve"> = 87 S. Ct. </w:t>
      </w:r>
      <w:r w:rsidRPr="0002480D">
        <w:rPr>
          <w:lang w:val="en-US"/>
        </w:rPr>
        <w:t>1817, 1824</w:t>
      </w:r>
      <w:r w:rsidRPr="006E67FE">
        <w:rPr>
          <w:lang w:val="en-US"/>
        </w:rPr>
        <w:t xml:space="preserve"> = 18 L. Ed. </w:t>
      </w:r>
      <w:r w:rsidRPr="0002480D">
        <w:rPr>
          <w:lang w:val="en-US"/>
        </w:rPr>
        <w:t>2d 1010, 1018</w:t>
      </w:r>
      <w:r w:rsidRPr="006E67FE">
        <w:rPr>
          <w:lang w:val="en-US"/>
        </w:rPr>
        <w:t xml:space="preserve"> = 1967 U.S. LEXIS </w:t>
      </w:r>
      <w:r w:rsidRPr="0002480D">
        <w:rPr>
          <w:lang w:val="en-US"/>
        </w:rPr>
        <w:t>1082, 18 (1967)</w:t>
      </w:r>
      <w:r>
        <w:rPr>
          <w:lang w:val="en-US"/>
        </w:rPr>
        <w:t>.</w:t>
      </w:r>
    </w:p>
  </w:footnote>
  <w:footnote w:id="1778">
    <w:p w14:paraId="3EAE117D" w14:textId="77777777" w:rsidR="00074551" w:rsidRPr="00641BB3" w:rsidRDefault="00074551" w:rsidP="00074551">
      <w:pPr>
        <w:pStyle w:val="Funotentext"/>
        <w:jc w:val="both"/>
        <w:rPr>
          <w:lang w:val="en-US"/>
        </w:rPr>
      </w:pPr>
      <w:r>
        <w:rPr>
          <w:rStyle w:val="Funotenzeichen"/>
          <w:rFonts w:eastAsiaTheme="majorEastAsia"/>
        </w:rPr>
        <w:footnoteRef/>
      </w:r>
      <w:r w:rsidRPr="00641BB3">
        <w:rPr>
          <w:lang w:val="en-US"/>
        </w:rPr>
        <w:t xml:space="preserve"> </w:t>
      </w:r>
      <w:r w:rsidRPr="00A15962">
        <w:rPr>
          <w:i/>
          <w:lang w:val="en-US"/>
        </w:rPr>
        <w:t>Hirabayashi v. United States</w:t>
      </w:r>
      <w:r w:rsidRPr="00641BB3">
        <w:rPr>
          <w:lang w:val="en-US"/>
        </w:rPr>
        <w:t>, 320 U.S. 81, 100 (1943)</w:t>
      </w:r>
      <w:r>
        <w:rPr>
          <w:lang w:val="en-US"/>
        </w:rPr>
        <w:t xml:space="preserve">; </w:t>
      </w:r>
      <w:r w:rsidRPr="00584023">
        <w:rPr>
          <w:i/>
          <w:lang w:val="en-US"/>
        </w:rPr>
        <w:t>Loving v. Virginia</w:t>
      </w:r>
      <w:r w:rsidRPr="00641BB3">
        <w:rPr>
          <w:lang w:val="en-US"/>
        </w:rPr>
        <w:t>, 388 U.S. 1, 11</w:t>
      </w:r>
      <w:r w:rsidRPr="006E67FE">
        <w:rPr>
          <w:lang w:val="en-US"/>
        </w:rPr>
        <w:t xml:space="preserve"> = 87 S. Ct. </w:t>
      </w:r>
      <w:r w:rsidRPr="00641BB3">
        <w:rPr>
          <w:lang w:val="en-US"/>
        </w:rPr>
        <w:t>1817, 1823</w:t>
      </w:r>
      <w:r w:rsidRPr="006E67FE">
        <w:rPr>
          <w:lang w:val="en-US"/>
        </w:rPr>
        <w:t xml:space="preserve"> = 18 L. Ed. </w:t>
      </w:r>
      <w:r w:rsidRPr="00641BB3">
        <w:rPr>
          <w:lang w:val="en-US"/>
        </w:rPr>
        <w:t>2d 1010, 1017</w:t>
      </w:r>
      <w:r w:rsidRPr="006E67FE">
        <w:rPr>
          <w:lang w:val="en-US"/>
        </w:rPr>
        <w:t xml:space="preserve"> = 1967 U.S. LEXIS </w:t>
      </w:r>
      <w:r w:rsidRPr="00641BB3">
        <w:rPr>
          <w:lang w:val="en-US"/>
        </w:rPr>
        <w:t>1082, 15 (1967)</w:t>
      </w:r>
      <w:r>
        <w:rPr>
          <w:lang w:val="en-US"/>
        </w:rPr>
        <w:t>.</w:t>
      </w:r>
    </w:p>
  </w:footnote>
  <w:footnote w:id="1779">
    <w:p w14:paraId="36E1C133" w14:textId="77777777" w:rsidR="00074551" w:rsidRPr="00641BB3" w:rsidRDefault="00074551" w:rsidP="00074551">
      <w:pPr>
        <w:pStyle w:val="Funotentext"/>
        <w:rPr>
          <w:lang w:val="en-US"/>
        </w:rPr>
      </w:pPr>
      <w:r>
        <w:rPr>
          <w:rStyle w:val="Funotenzeichen"/>
          <w:rFonts w:eastAsiaTheme="majorEastAsia"/>
        </w:rPr>
        <w:footnoteRef/>
      </w:r>
      <w:r w:rsidRPr="00641BB3">
        <w:rPr>
          <w:lang w:val="en-US"/>
        </w:rPr>
        <w:t xml:space="preserve"> </w:t>
      </w:r>
      <w:r w:rsidRPr="00D83E4F">
        <w:rPr>
          <w:i/>
          <w:lang w:val="en-IE"/>
        </w:rPr>
        <w:t>Yick Wo v. Hopkins</w:t>
      </w:r>
      <w:r w:rsidRPr="00B45592">
        <w:rPr>
          <w:lang w:val="en-IE"/>
        </w:rPr>
        <w:t>, 118 U.S. 356, 367</w:t>
      </w:r>
      <w:r w:rsidRPr="00EC5BEB">
        <w:rPr>
          <w:lang w:val="en-IE"/>
        </w:rPr>
        <w:t xml:space="preserve"> = 6 S. Ct. </w:t>
      </w:r>
      <w:r w:rsidRPr="00B45592">
        <w:rPr>
          <w:lang w:val="en-IE"/>
        </w:rPr>
        <w:t>1064, 1069</w:t>
      </w:r>
      <w:r>
        <w:rPr>
          <w:lang w:val="en-IE"/>
        </w:rPr>
        <w:t xml:space="preserve"> = 30 L. Ed. </w:t>
      </w:r>
      <w:r w:rsidRPr="00B45592">
        <w:rPr>
          <w:lang w:val="en-IE"/>
        </w:rPr>
        <w:t>220, 225</w:t>
      </w:r>
      <w:r w:rsidRPr="00EC5BEB">
        <w:rPr>
          <w:lang w:val="en-IE"/>
        </w:rPr>
        <w:t xml:space="preserve"> = 1886 U.S. LEXIS </w:t>
      </w:r>
      <w:r w:rsidRPr="00B45592">
        <w:rPr>
          <w:lang w:val="en-IE"/>
        </w:rPr>
        <w:t>1938, 22 (1886)</w:t>
      </w:r>
      <w:r>
        <w:rPr>
          <w:lang w:val="en-US"/>
        </w:rPr>
        <w:t>.</w:t>
      </w:r>
    </w:p>
  </w:footnote>
  <w:footnote w:id="1780">
    <w:p w14:paraId="0DBDA4BC" w14:textId="77777777" w:rsidR="00074551" w:rsidRPr="00641BB3" w:rsidRDefault="00074551" w:rsidP="00074551">
      <w:pPr>
        <w:pStyle w:val="Funotentext"/>
        <w:rPr>
          <w:lang w:val="en-US"/>
        </w:rPr>
      </w:pPr>
      <w:r>
        <w:rPr>
          <w:rStyle w:val="Funotenzeichen"/>
          <w:rFonts w:eastAsiaTheme="majorEastAsia"/>
        </w:rPr>
        <w:footnoteRef/>
      </w:r>
      <w:r w:rsidRPr="00641BB3">
        <w:rPr>
          <w:lang w:val="en-US"/>
        </w:rPr>
        <w:t xml:space="preserve"> </w:t>
      </w:r>
      <w:r w:rsidRPr="00D83E4F">
        <w:rPr>
          <w:i/>
          <w:lang w:val="en-IE"/>
        </w:rPr>
        <w:t>Yick Wo v. Hopkins</w:t>
      </w:r>
      <w:r w:rsidRPr="00B45592">
        <w:rPr>
          <w:lang w:val="en-IE"/>
        </w:rPr>
        <w:t>, 118 U.S. 356, 367</w:t>
      </w:r>
      <w:r w:rsidRPr="00EC5BEB">
        <w:rPr>
          <w:lang w:val="en-IE"/>
        </w:rPr>
        <w:t xml:space="preserve"> = 6 S. Ct. </w:t>
      </w:r>
      <w:r w:rsidRPr="00B45592">
        <w:rPr>
          <w:lang w:val="en-IE"/>
        </w:rPr>
        <w:t>1064, 1069</w:t>
      </w:r>
      <w:r>
        <w:rPr>
          <w:lang w:val="en-IE"/>
        </w:rPr>
        <w:t xml:space="preserve"> = 30 L. Ed. </w:t>
      </w:r>
      <w:r w:rsidRPr="00B45592">
        <w:rPr>
          <w:lang w:val="en-IE"/>
        </w:rPr>
        <w:t>220, 225</w:t>
      </w:r>
      <w:r w:rsidRPr="00EC5BEB">
        <w:rPr>
          <w:lang w:val="en-IE"/>
        </w:rPr>
        <w:t xml:space="preserve"> = 1886 U.S. LEXIS </w:t>
      </w:r>
      <w:r w:rsidRPr="00B45592">
        <w:rPr>
          <w:lang w:val="en-IE"/>
        </w:rPr>
        <w:t>1938, 22 (1886)</w:t>
      </w:r>
      <w:r>
        <w:rPr>
          <w:lang w:val="en-US"/>
        </w:rPr>
        <w:t>.</w:t>
      </w:r>
    </w:p>
  </w:footnote>
  <w:footnote w:id="1781">
    <w:p w14:paraId="3F6586A8" w14:textId="77777777" w:rsidR="00074551" w:rsidRPr="00641BB3" w:rsidRDefault="00074551" w:rsidP="00074551">
      <w:pPr>
        <w:pStyle w:val="Funotentext"/>
        <w:jc w:val="both"/>
        <w:rPr>
          <w:lang w:val="en-US"/>
        </w:rPr>
      </w:pPr>
      <w:r>
        <w:rPr>
          <w:rStyle w:val="Funotenzeichen"/>
          <w:rFonts w:eastAsiaTheme="majorEastAsia"/>
        </w:rPr>
        <w:footnoteRef/>
      </w:r>
      <w:r w:rsidRPr="00641BB3">
        <w:rPr>
          <w:lang w:val="en-US"/>
        </w:rPr>
        <w:t xml:space="preserve"> </w:t>
      </w:r>
      <w:r w:rsidRPr="00B45592">
        <w:rPr>
          <w:i/>
          <w:lang w:val="en-US"/>
        </w:rPr>
        <w:t>Korematsu v. United States</w:t>
      </w:r>
      <w:r w:rsidRPr="00641BB3">
        <w:rPr>
          <w:lang w:val="en-US"/>
        </w:rPr>
        <w:t>, 323 U.S. 214, 216 (1944)</w:t>
      </w:r>
      <w:r>
        <w:rPr>
          <w:lang w:val="en-US"/>
        </w:rPr>
        <w:t xml:space="preserve">; </w:t>
      </w:r>
      <w:r w:rsidRPr="00584023">
        <w:rPr>
          <w:i/>
          <w:lang w:val="en-US"/>
        </w:rPr>
        <w:t>Loving v. Virginia</w:t>
      </w:r>
      <w:r w:rsidRPr="00641BB3">
        <w:rPr>
          <w:lang w:val="en-US"/>
        </w:rPr>
        <w:t>, 388 U.S. 1, 11</w:t>
      </w:r>
      <w:r w:rsidRPr="006E67FE">
        <w:rPr>
          <w:lang w:val="en-US"/>
        </w:rPr>
        <w:t xml:space="preserve"> = 87 S. Ct. </w:t>
      </w:r>
      <w:r w:rsidRPr="00641BB3">
        <w:rPr>
          <w:lang w:val="en-US"/>
        </w:rPr>
        <w:t>1817, 1823</w:t>
      </w:r>
      <w:r w:rsidRPr="006E67FE">
        <w:rPr>
          <w:lang w:val="en-US"/>
        </w:rPr>
        <w:t xml:space="preserve"> = 18 L. Ed. </w:t>
      </w:r>
      <w:r w:rsidRPr="00641BB3">
        <w:rPr>
          <w:lang w:val="en-US"/>
        </w:rPr>
        <w:t>2d 1010, 1017</w:t>
      </w:r>
      <w:r w:rsidRPr="006E67FE">
        <w:rPr>
          <w:lang w:val="en-US"/>
        </w:rPr>
        <w:t xml:space="preserve"> = 1967 U.S. LEXIS </w:t>
      </w:r>
      <w:r w:rsidRPr="00641BB3">
        <w:rPr>
          <w:lang w:val="en-US"/>
        </w:rPr>
        <w:t>1082, 15 (1967)</w:t>
      </w:r>
      <w:r>
        <w:rPr>
          <w:lang w:val="en-US"/>
        </w:rPr>
        <w:t>.</w:t>
      </w:r>
    </w:p>
  </w:footnote>
  <w:footnote w:id="1782">
    <w:p w14:paraId="34EBA403" w14:textId="77777777" w:rsidR="00074551" w:rsidRPr="00E4021B" w:rsidRDefault="00074551" w:rsidP="00074551">
      <w:pPr>
        <w:pStyle w:val="Funotentext"/>
        <w:jc w:val="both"/>
        <w:rPr>
          <w:lang w:val="en-US"/>
        </w:rPr>
      </w:pPr>
      <w:r>
        <w:rPr>
          <w:rStyle w:val="Funotenzeichen"/>
          <w:rFonts w:eastAsiaTheme="majorEastAsia"/>
        </w:rPr>
        <w:footnoteRef/>
      </w:r>
      <w:r w:rsidRPr="00E4021B">
        <w:rPr>
          <w:lang w:val="en-US"/>
        </w:rPr>
        <w:t xml:space="preserve"> </w:t>
      </w:r>
      <w:r w:rsidRPr="00B45592">
        <w:rPr>
          <w:i/>
          <w:lang w:val="en-US"/>
        </w:rPr>
        <w:t>McLaughlin v. Florida</w:t>
      </w:r>
      <w:r w:rsidRPr="00E4021B">
        <w:rPr>
          <w:lang w:val="en-US"/>
        </w:rPr>
        <w:t xml:space="preserve">, </w:t>
      </w:r>
      <w:r w:rsidRPr="00B45592">
        <w:rPr>
          <w:lang w:val="en-IE"/>
        </w:rPr>
        <w:t xml:space="preserve">379 U.S. 184, </w:t>
      </w:r>
      <w:r w:rsidRPr="006F1816">
        <w:rPr>
          <w:lang w:val="en-US"/>
        </w:rPr>
        <w:t xml:space="preserve">198 </w:t>
      </w:r>
      <w:bookmarkStart w:id="69" w:name="_Hlk229222626"/>
      <w:r w:rsidRPr="00A15962">
        <w:rPr>
          <w:lang w:val="en-US"/>
        </w:rPr>
        <w:t>(</w:t>
      </w:r>
      <w:r w:rsidRPr="00B45592">
        <w:rPr>
          <w:i/>
          <w:lang w:val="en-US"/>
        </w:rPr>
        <w:t>concurring opinion</w:t>
      </w:r>
      <w:r w:rsidRPr="00B45592">
        <w:rPr>
          <w:lang w:val="en-US"/>
        </w:rPr>
        <w:t xml:space="preserve"> von Richter </w:t>
      </w:r>
      <w:r w:rsidRPr="00B45592">
        <w:rPr>
          <w:i/>
          <w:lang w:val="en-US"/>
        </w:rPr>
        <w:t>Stewart</w:t>
      </w:r>
      <w:r w:rsidRPr="00A15962">
        <w:rPr>
          <w:lang w:val="en-US"/>
        </w:rPr>
        <w:t xml:space="preserve">, </w:t>
      </w:r>
      <w:proofErr w:type="spellStart"/>
      <w:r w:rsidRPr="00B45592">
        <w:rPr>
          <w:lang w:val="en-US"/>
        </w:rPr>
        <w:t>gemeinsam</w:t>
      </w:r>
      <w:proofErr w:type="spellEnd"/>
      <w:r w:rsidRPr="00B45592">
        <w:rPr>
          <w:lang w:val="en-US"/>
        </w:rPr>
        <w:t xml:space="preserve"> </w:t>
      </w:r>
      <w:proofErr w:type="spellStart"/>
      <w:r w:rsidRPr="00B45592">
        <w:rPr>
          <w:lang w:val="en-US"/>
        </w:rPr>
        <w:t>mit</w:t>
      </w:r>
      <w:proofErr w:type="spellEnd"/>
      <w:r w:rsidRPr="00B45592">
        <w:rPr>
          <w:lang w:val="en-US"/>
        </w:rPr>
        <w:t xml:space="preserve"> Richter</w:t>
      </w:r>
      <w:r w:rsidRPr="00A15962">
        <w:rPr>
          <w:lang w:val="en-US"/>
        </w:rPr>
        <w:t xml:space="preserve"> </w:t>
      </w:r>
      <w:r w:rsidRPr="00B45592">
        <w:rPr>
          <w:i/>
          <w:lang w:val="en-US"/>
        </w:rPr>
        <w:t>Douglas</w:t>
      </w:r>
      <w:r w:rsidRPr="00A15962">
        <w:rPr>
          <w:lang w:val="en-US"/>
        </w:rPr>
        <w:t>);</w:t>
      </w:r>
      <w:r>
        <w:rPr>
          <w:lang w:val="en-US"/>
        </w:rPr>
        <w:t xml:space="preserve"> </w:t>
      </w:r>
      <w:bookmarkEnd w:id="69"/>
      <w:r w:rsidRPr="00584023">
        <w:rPr>
          <w:i/>
          <w:lang w:val="en-US"/>
        </w:rPr>
        <w:t>Loving v. Virginia</w:t>
      </w:r>
      <w:r w:rsidRPr="00E4021B">
        <w:rPr>
          <w:lang w:val="en-US"/>
        </w:rPr>
        <w:t>, 388 U.S. 1, 11</w:t>
      </w:r>
      <w:r w:rsidRPr="006E67FE">
        <w:rPr>
          <w:lang w:val="en-US"/>
        </w:rPr>
        <w:t xml:space="preserve"> = 87 S. Ct. </w:t>
      </w:r>
      <w:r w:rsidRPr="00E4021B">
        <w:rPr>
          <w:lang w:val="en-US"/>
        </w:rPr>
        <w:t>1817, 1823</w:t>
      </w:r>
      <w:r w:rsidRPr="006E67FE">
        <w:rPr>
          <w:lang w:val="en-US"/>
        </w:rPr>
        <w:t xml:space="preserve"> = 18 L. Ed. </w:t>
      </w:r>
      <w:r w:rsidRPr="00E4021B">
        <w:rPr>
          <w:lang w:val="en-US"/>
        </w:rPr>
        <w:t>2d 1010, 1017</w:t>
      </w:r>
      <w:r w:rsidRPr="006E67FE">
        <w:rPr>
          <w:lang w:val="en-US"/>
        </w:rPr>
        <w:t xml:space="preserve"> = 1967 U.S. LEXIS </w:t>
      </w:r>
      <w:r w:rsidRPr="00E4021B">
        <w:rPr>
          <w:lang w:val="en-US"/>
        </w:rPr>
        <w:t>1082, 16 (1967)</w:t>
      </w:r>
      <w:r>
        <w:rPr>
          <w:lang w:val="en-US"/>
        </w:rPr>
        <w:t>.</w:t>
      </w:r>
    </w:p>
  </w:footnote>
  <w:footnote w:id="1783">
    <w:p w14:paraId="4EFFDDC8" w14:textId="77777777" w:rsidR="00074551" w:rsidRPr="0002480D" w:rsidRDefault="00074551" w:rsidP="00074551">
      <w:pPr>
        <w:pStyle w:val="Funotentext"/>
        <w:ind w:left="227" w:hanging="227"/>
        <w:jc w:val="both"/>
        <w:rPr>
          <w:lang w:val="en-US"/>
        </w:rPr>
      </w:pPr>
      <w:r>
        <w:rPr>
          <w:rStyle w:val="Funotenzeichen"/>
          <w:rFonts w:eastAsiaTheme="majorEastAsia"/>
        </w:rPr>
        <w:footnoteRef/>
      </w:r>
      <w:r w:rsidRPr="0002480D">
        <w:rPr>
          <w:lang w:val="en-US"/>
        </w:rPr>
        <w:t xml:space="preserve"> Va. Code Ann. §</w:t>
      </w:r>
      <w:r>
        <w:rPr>
          <w:lang w:val="en-US"/>
        </w:rPr>
        <w:t>§ </w:t>
      </w:r>
      <w:r w:rsidRPr="0002480D">
        <w:rPr>
          <w:lang w:val="en-US"/>
        </w:rPr>
        <w:t xml:space="preserve">20-58 </w:t>
      </w:r>
      <w:r>
        <w:rPr>
          <w:lang w:val="en-US"/>
        </w:rPr>
        <w:t>u</w:t>
      </w:r>
      <w:r w:rsidRPr="0002480D">
        <w:rPr>
          <w:lang w:val="en-US"/>
        </w:rPr>
        <w:t>nd 20-59</w:t>
      </w:r>
      <w:r>
        <w:rPr>
          <w:lang w:val="en-US"/>
        </w:rPr>
        <w:t xml:space="preserve">; </w:t>
      </w:r>
      <w:r w:rsidRPr="00584023">
        <w:rPr>
          <w:i/>
          <w:lang w:val="en-US"/>
        </w:rPr>
        <w:t>Loving v. Virginia</w:t>
      </w:r>
      <w:r w:rsidRPr="0002480D">
        <w:rPr>
          <w:lang w:val="en-US"/>
        </w:rPr>
        <w:t>, 388 U.S. 1, 2</w:t>
      </w:r>
      <w:r w:rsidRPr="006E67FE">
        <w:rPr>
          <w:lang w:val="en-US"/>
        </w:rPr>
        <w:t xml:space="preserve"> = 87 S. Ct. </w:t>
      </w:r>
      <w:r w:rsidRPr="0002480D">
        <w:rPr>
          <w:lang w:val="en-US"/>
        </w:rPr>
        <w:t>1817, 1818</w:t>
      </w:r>
      <w:r w:rsidRPr="006E67FE">
        <w:rPr>
          <w:lang w:val="en-US"/>
        </w:rPr>
        <w:t xml:space="preserve"> = 18 L. Ed. </w:t>
      </w:r>
      <w:r w:rsidRPr="0002480D">
        <w:rPr>
          <w:lang w:val="en-US"/>
        </w:rPr>
        <w:t>2d 1010, 1012</w:t>
      </w:r>
      <w:r w:rsidRPr="006E67FE">
        <w:rPr>
          <w:lang w:val="en-US"/>
        </w:rPr>
        <w:t xml:space="preserve"> = 1967 U.S. LEXIS </w:t>
      </w:r>
      <w:r w:rsidRPr="0002480D">
        <w:rPr>
          <w:lang w:val="en-US"/>
        </w:rPr>
        <w:t>1082, 1 (1967)</w:t>
      </w:r>
      <w:r>
        <w:rPr>
          <w:lang w:val="en-US"/>
        </w:rPr>
        <w:t>.</w:t>
      </w:r>
    </w:p>
  </w:footnote>
  <w:footnote w:id="1784">
    <w:p w14:paraId="48EC2190" w14:textId="77777777" w:rsidR="00074551" w:rsidRPr="00641BB3" w:rsidRDefault="00074551" w:rsidP="00074551">
      <w:pPr>
        <w:pStyle w:val="Funotentext"/>
        <w:jc w:val="both"/>
        <w:rPr>
          <w:lang w:val="en-US"/>
        </w:rPr>
      </w:pPr>
      <w:r>
        <w:rPr>
          <w:rStyle w:val="Funotenzeichen"/>
          <w:rFonts w:eastAsiaTheme="majorEastAsia"/>
        </w:rPr>
        <w:footnoteRef/>
      </w:r>
      <w:r>
        <w:rPr>
          <w:lang w:val="en-US"/>
        </w:rPr>
        <w:t xml:space="preserve"> </w:t>
      </w:r>
      <w:r w:rsidRPr="00584023">
        <w:rPr>
          <w:i/>
          <w:lang w:val="en-US"/>
        </w:rPr>
        <w:t>Loving v. Virginia</w:t>
      </w:r>
      <w:r w:rsidRPr="00641BB3">
        <w:rPr>
          <w:lang w:val="en-US"/>
        </w:rPr>
        <w:t>, 388 U.S. 1, 7</w:t>
      </w:r>
      <w:r w:rsidRPr="006E67FE">
        <w:rPr>
          <w:lang w:val="en-US"/>
        </w:rPr>
        <w:t xml:space="preserve"> = 87 S. Ct. </w:t>
      </w:r>
      <w:r w:rsidRPr="00641BB3">
        <w:rPr>
          <w:lang w:val="en-US"/>
        </w:rPr>
        <w:t>1817, 1821</w:t>
      </w:r>
      <w:r w:rsidRPr="006E67FE">
        <w:rPr>
          <w:lang w:val="en-US"/>
        </w:rPr>
        <w:t xml:space="preserve"> = 18 L. Ed. </w:t>
      </w:r>
      <w:r w:rsidRPr="00641BB3">
        <w:rPr>
          <w:lang w:val="en-US"/>
        </w:rPr>
        <w:t>2d 1010, 1015</w:t>
      </w:r>
      <w:r w:rsidRPr="006E67FE">
        <w:rPr>
          <w:lang w:val="en-US"/>
        </w:rPr>
        <w:t xml:space="preserve"> = 1967 U.S. LEXIS </w:t>
      </w:r>
      <w:r w:rsidRPr="00641BB3">
        <w:rPr>
          <w:lang w:val="en-US"/>
        </w:rPr>
        <w:t>1082, 8 (1967)</w:t>
      </w:r>
      <w:r>
        <w:rPr>
          <w:lang w:val="en-US"/>
        </w:rPr>
        <w:t>.</w:t>
      </w:r>
    </w:p>
  </w:footnote>
  <w:footnote w:id="1785">
    <w:p w14:paraId="25D07E56" w14:textId="77777777" w:rsidR="00074551" w:rsidRPr="003458EB" w:rsidRDefault="00074551" w:rsidP="00074551">
      <w:pPr>
        <w:pStyle w:val="Funotentext"/>
        <w:jc w:val="both"/>
        <w:rPr>
          <w:lang w:val="en-US"/>
        </w:rPr>
      </w:pPr>
      <w:r>
        <w:rPr>
          <w:rStyle w:val="Funotenzeichen"/>
          <w:rFonts w:eastAsiaTheme="majorEastAsia"/>
        </w:rPr>
        <w:footnoteRef/>
      </w:r>
      <w:r w:rsidRPr="003458EB">
        <w:rPr>
          <w:lang w:val="en-US"/>
        </w:rPr>
        <w:t xml:space="preserve"> </w:t>
      </w:r>
      <w:r w:rsidRPr="009572B5">
        <w:rPr>
          <w:i/>
          <w:lang w:val="en-US"/>
        </w:rPr>
        <w:t xml:space="preserve">Skinner v. </w:t>
      </w:r>
      <w:r w:rsidRPr="00A15962">
        <w:rPr>
          <w:i/>
          <w:lang w:val="en-US"/>
        </w:rPr>
        <w:t>Oklahoma</w:t>
      </w:r>
      <w:r w:rsidRPr="00A15962">
        <w:rPr>
          <w:lang w:val="en-US"/>
        </w:rPr>
        <w:t xml:space="preserve">, 316 U.S. 535, 541 (1942). </w:t>
      </w:r>
      <w:proofErr w:type="spellStart"/>
      <w:r w:rsidRPr="00B45592">
        <w:rPr>
          <w:lang w:val="en-US"/>
        </w:rPr>
        <w:t>Siehe</w:t>
      </w:r>
      <w:proofErr w:type="spellEnd"/>
      <w:r w:rsidRPr="00B45592">
        <w:rPr>
          <w:lang w:val="en-US"/>
        </w:rPr>
        <w:t xml:space="preserve"> </w:t>
      </w:r>
      <w:proofErr w:type="spellStart"/>
      <w:r w:rsidRPr="00B45592">
        <w:rPr>
          <w:lang w:val="en-US"/>
        </w:rPr>
        <w:t>auch</w:t>
      </w:r>
      <w:proofErr w:type="spellEnd"/>
      <w:r w:rsidRPr="00A15962">
        <w:rPr>
          <w:lang w:val="en-US"/>
        </w:rPr>
        <w:t xml:space="preserve"> </w:t>
      </w:r>
      <w:r w:rsidRPr="00A15962">
        <w:rPr>
          <w:i/>
          <w:lang w:val="en-US"/>
        </w:rPr>
        <w:t>Maynard v. Hill</w:t>
      </w:r>
      <w:r w:rsidRPr="00A15962">
        <w:rPr>
          <w:lang w:val="en-US"/>
        </w:rPr>
        <w:t>, 125 U.S. 190 (1888)</w:t>
      </w:r>
      <w:r w:rsidRPr="00B45592">
        <w:rPr>
          <w:lang w:val="en-US"/>
        </w:rPr>
        <w:t xml:space="preserve">; </w:t>
      </w:r>
      <w:r w:rsidRPr="00A15962">
        <w:rPr>
          <w:i/>
          <w:lang w:val="en-US"/>
        </w:rPr>
        <w:t>Loving</w:t>
      </w:r>
      <w:r w:rsidRPr="00584023">
        <w:rPr>
          <w:i/>
          <w:lang w:val="en-US"/>
        </w:rPr>
        <w:t xml:space="preserve"> v. Virginia</w:t>
      </w:r>
      <w:r w:rsidRPr="00E4021B">
        <w:rPr>
          <w:lang w:val="en-US"/>
        </w:rPr>
        <w:t>, 388 U.S. 1, 12</w:t>
      </w:r>
      <w:r w:rsidRPr="006E67FE">
        <w:rPr>
          <w:lang w:val="en-US"/>
        </w:rPr>
        <w:t xml:space="preserve"> = 87 S. Ct. </w:t>
      </w:r>
      <w:r w:rsidRPr="00E4021B">
        <w:rPr>
          <w:lang w:val="en-US"/>
        </w:rPr>
        <w:t>1817, 1824</w:t>
      </w:r>
      <w:r w:rsidRPr="006E67FE">
        <w:rPr>
          <w:lang w:val="en-US"/>
        </w:rPr>
        <w:t xml:space="preserve"> = 18 L. Ed. </w:t>
      </w:r>
      <w:r w:rsidRPr="00E4021B">
        <w:rPr>
          <w:lang w:val="en-US"/>
        </w:rPr>
        <w:t>2d 1010, 1018</w:t>
      </w:r>
      <w:r w:rsidRPr="006E67FE">
        <w:rPr>
          <w:lang w:val="en-US"/>
        </w:rPr>
        <w:t xml:space="preserve"> = 1967 U.S. LEXIS </w:t>
      </w:r>
      <w:r w:rsidRPr="00E4021B">
        <w:rPr>
          <w:lang w:val="en-US"/>
        </w:rPr>
        <w:t>1082, 18 (1967)</w:t>
      </w:r>
      <w:r>
        <w:rPr>
          <w:lang w:val="en-US"/>
        </w:rPr>
        <w:t>.</w:t>
      </w:r>
    </w:p>
  </w:footnote>
  <w:footnote w:id="1786">
    <w:p w14:paraId="4A8B67BB" w14:textId="77777777" w:rsidR="00074551" w:rsidRPr="00770E30" w:rsidRDefault="00074551" w:rsidP="00074551">
      <w:pPr>
        <w:pStyle w:val="Funotentext"/>
        <w:jc w:val="both"/>
        <w:rPr>
          <w:lang w:val="en-US"/>
        </w:rPr>
      </w:pPr>
      <w:r>
        <w:rPr>
          <w:rStyle w:val="Funotenzeichen"/>
          <w:rFonts w:eastAsiaTheme="majorEastAsia"/>
        </w:rPr>
        <w:footnoteRef/>
      </w:r>
      <w:r w:rsidRPr="00770E30">
        <w:rPr>
          <w:lang w:val="en-US"/>
        </w:rPr>
        <w:t xml:space="preserve"> </w:t>
      </w:r>
      <w:r w:rsidRPr="00584023">
        <w:rPr>
          <w:i/>
          <w:lang w:val="en-US"/>
        </w:rPr>
        <w:t>Loving v. Virginia</w:t>
      </w:r>
      <w:r w:rsidRPr="00770E30">
        <w:rPr>
          <w:lang w:val="en-US"/>
        </w:rPr>
        <w:t>, 388 U.S. 1, 12</w:t>
      </w:r>
      <w:r w:rsidRPr="006E67FE">
        <w:rPr>
          <w:lang w:val="en-US"/>
        </w:rPr>
        <w:t xml:space="preserve"> = 87 S. Ct. </w:t>
      </w:r>
      <w:r w:rsidRPr="00770E30">
        <w:rPr>
          <w:lang w:val="en-US"/>
        </w:rPr>
        <w:t>1817, 1824</w:t>
      </w:r>
      <w:r w:rsidRPr="006E67FE">
        <w:rPr>
          <w:lang w:val="en-US"/>
        </w:rPr>
        <w:t xml:space="preserve"> = 18 L. Ed. </w:t>
      </w:r>
      <w:r w:rsidRPr="00770E30">
        <w:rPr>
          <w:lang w:val="en-US"/>
        </w:rPr>
        <w:t>2d 1010, 1018</w:t>
      </w:r>
      <w:r w:rsidRPr="006E67FE">
        <w:rPr>
          <w:lang w:val="en-US"/>
        </w:rPr>
        <w:t xml:space="preserve"> = 1967 U.S. LEXIS </w:t>
      </w:r>
      <w:r w:rsidRPr="00770E30">
        <w:rPr>
          <w:lang w:val="en-US"/>
        </w:rPr>
        <w:t>1082, 19 (1967)</w:t>
      </w:r>
      <w:r>
        <w:rPr>
          <w:lang w:val="en-US"/>
        </w:rPr>
        <w:t>.</w:t>
      </w:r>
    </w:p>
  </w:footnote>
  <w:footnote w:id="1787">
    <w:p w14:paraId="61175D81"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037C13">
        <w:rPr>
          <w:i/>
          <w:lang w:val="en-IE"/>
        </w:rPr>
        <w:t>Yick Wo v. Hopkins</w:t>
      </w:r>
      <w:r w:rsidRPr="00037C13">
        <w:rPr>
          <w:lang w:val="en-IE"/>
        </w:rPr>
        <w:t>, 118 U.S. 356, 367</w:t>
      </w:r>
      <w:r>
        <w:rPr>
          <w:lang w:val="en-IE"/>
        </w:rPr>
        <w:t xml:space="preserve"> =</w:t>
      </w:r>
      <w:r w:rsidRPr="00037C13">
        <w:rPr>
          <w:lang w:val="en-IE"/>
        </w:rPr>
        <w:t xml:space="preserve"> 6 S. Ct. 1064, 1069</w:t>
      </w:r>
      <w:r>
        <w:rPr>
          <w:lang w:val="en-IE"/>
        </w:rPr>
        <w:t xml:space="preserve"> =</w:t>
      </w:r>
      <w:r w:rsidRPr="00037C13">
        <w:rPr>
          <w:lang w:val="en-IE"/>
        </w:rPr>
        <w:t xml:space="preserve"> 30 L. Ed. 220, 225</w:t>
      </w:r>
      <w:r>
        <w:rPr>
          <w:lang w:val="en-IE"/>
        </w:rPr>
        <w:t xml:space="preserve"> =</w:t>
      </w:r>
      <w:r w:rsidRPr="00037C13">
        <w:rPr>
          <w:lang w:val="en-IE"/>
        </w:rPr>
        <w:t xml:space="preserve"> 1886 U.S. LEXIS 1938, 22 (1886)</w:t>
      </w:r>
      <w:r>
        <w:rPr>
          <w:lang w:val="en-IE"/>
        </w:rPr>
        <w:t>.</w:t>
      </w:r>
    </w:p>
  </w:footnote>
  <w:footnote w:id="1788">
    <w:p w14:paraId="586AFF45" w14:textId="77777777" w:rsidR="00074551" w:rsidRPr="00466665" w:rsidRDefault="00074551" w:rsidP="00074551">
      <w:pPr>
        <w:pStyle w:val="Funotentext"/>
        <w:rPr>
          <w:lang w:val="en-US"/>
        </w:rPr>
      </w:pPr>
      <w:r>
        <w:rPr>
          <w:rStyle w:val="Funotenzeichen"/>
          <w:rFonts w:eastAsiaTheme="majorEastAsia"/>
        </w:rPr>
        <w:footnoteRef/>
      </w:r>
      <w:r w:rsidRPr="00466665">
        <w:rPr>
          <w:lang w:val="en-US"/>
        </w:rPr>
        <w:t xml:space="preserve"> </w:t>
      </w:r>
      <w:r w:rsidRPr="00D83E4F">
        <w:rPr>
          <w:i/>
          <w:lang w:val="en-US"/>
        </w:rPr>
        <w:t>Yick Wo v. Hopkins</w:t>
      </w:r>
      <w:r w:rsidRPr="00466665">
        <w:rPr>
          <w:lang w:val="en-US"/>
        </w:rPr>
        <w:t>, 118 U.S. 356, 369</w:t>
      </w:r>
      <w:r w:rsidRPr="00EC5BEB">
        <w:rPr>
          <w:lang w:val="en-US"/>
        </w:rPr>
        <w:t xml:space="preserve"> = 6 S. Ct. </w:t>
      </w:r>
      <w:r w:rsidRPr="00466665">
        <w:rPr>
          <w:lang w:val="en-US"/>
        </w:rPr>
        <w:t>1064, 1070</w:t>
      </w:r>
      <w:r>
        <w:rPr>
          <w:lang w:val="en-US"/>
        </w:rPr>
        <w:t xml:space="preserve"> = 30 L. Ed. </w:t>
      </w:r>
      <w:r w:rsidRPr="00466665">
        <w:rPr>
          <w:lang w:val="en-US"/>
        </w:rPr>
        <w:t>220, 226</w:t>
      </w:r>
      <w:r w:rsidRPr="00EC5BEB">
        <w:rPr>
          <w:lang w:val="en-US"/>
        </w:rPr>
        <w:t xml:space="preserve"> = 1886 U.S. LEXIS </w:t>
      </w:r>
      <w:r w:rsidRPr="00466665">
        <w:rPr>
          <w:lang w:val="en-US"/>
        </w:rPr>
        <w:t>1938, 25 (1886)</w:t>
      </w:r>
      <w:r>
        <w:rPr>
          <w:lang w:val="en-US"/>
        </w:rPr>
        <w:t>.</w:t>
      </w:r>
    </w:p>
  </w:footnote>
  <w:footnote w:id="1789">
    <w:p w14:paraId="1BCFD901" w14:textId="77777777" w:rsidR="00074551" w:rsidRPr="008D24B4" w:rsidRDefault="00074551" w:rsidP="00074551">
      <w:pPr>
        <w:pStyle w:val="Funotentext"/>
        <w:rPr>
          <w:lang w:val="en-US"/>
        </w:rPr>
      </w:pPr>
      <w:r>
        <w:rPr>
          <w:rStyle w:val="Funotenzeichen"/>
          <w:rFonts w:eastAsiaTheme="majorEastAsia"/>
        </w:rPr>
        <w:footnoteRef/>
      </w:r>
      <w:r w:rsidRPr="008D24B4">
        <w:rPr>
          <w:lang w:val="en-US"/>
        </w:rPr>
        <w:t xml:space="preserve"> </w:t>
      </w:r>
      <w:r w:rsidRPr="001F38CE">
        <w:rPr>
          <w:i/>
          <w:lang w:val="en-US"/>
        </w:rPr>
        <w:t xml:space="preserve">Fullilove v. </w:t>
      </w:r>
      <w:proofErr w:type="spellStart"/>
      <w:r w:rsidRPr="001F38CE">
        <w:rPr>
          <w:i/>
          <w:lang w:val="en-US"/>
        </w:rPr>
        <w:t>Klutznick</w:t>
      </w:r>
      <w:proofErr w:type="spellEnd"/>
      <w:r w:rsidRPr="008D24B4">
        <w:rPr>
          <w:lang w:val="en-US"/>
        </w:rPr>
        <w:t>, 448 U.S. 448, 491</w:t>
      </w:r>
      <w:r>
        <w:rPr>
          <w:lang w:val="en-US"/>
        </w:rPr>
        <w:t xml:space="preserve"> = 100 S. Ct.</w:t>
      </w:r>
      <w:r w:rsidRPr="008D24B4">
        <w:rPr>
          <w:lang w:val="en-US"/>
        </w:rPr>
        <w:t xml:space="preserve"> 2758, 2781</w:t>
      </w:r>
      <w:r>
        <w:rPr>
          <w:lang w:val="en-US"/>
        </w:rPr>
        <w:t xml:space="preserve"> = 65 L. Ed. </w:t>
      </w:r>
      <w:r w:rsidRPr="008D24B4">
        <w:rPr>
          <w:lang w:val="en-US"/>
        </w:rPr>
        <w:t>2d 902, 933</w:t>
      </w:r>
      <w:r>
        <w:rPr>
          <w:lang w:val="en-US"/>
        </w:rPr>
        <w:t xml:space="preserve"> = 1980 U.S. LEXIS </w:t>
      </w:r>
      <w:r w:rsidRPr="008D24B4">
        <w:rPr>
          <w:lang w:val="en-US"/>
        </w:rPr>
        <w:t>8, 78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8D24B4">
        <w:rPr>
          <w:lang w:val="en-US"/>
        </w:rPr>
        <w:t>(CCH) P31,026</w:t>
      </w:r>
      <w:r>
        <w:rPr>
          <w:lang w:val="en-US"/>
        </w:rPr>
        <w:t xml:space="preserve"> = 27 Cont. Cas. Fed. </w:t>
      </w:r>
      <w:r w:rsidRPr="008D24B4">
        <w:rPr>
          <w:lang w:val="en-US"/>
        </w:rPr>
        <w:t>(CCH) P80,496 (1980)</w:t>
      </w:r>
      <w:r>
        <w:rPr>
          <w:lang w:val="en-US"/>
        </w:rPr>
        <w:t>.</w:t>
      </w:r>
    </w:p>
  </w:footnote>
  <w:footnote w:id="1790">
    <w:p w14:paraId="0FC4B42A" w14:textId="77777777" w:rsidR="00074551" w:rsidRPr="008D24B4" w:rsidRDefault="00074551" w:rsidP="00074551">
      <w:pPr>
        <w:pStyle w:val="Funotentext"/>
        <w:rPr>
          <w:lang w:val="en-US"/>
        </w:rPr>
      </w:pPr>
      <w:r>
        <w:rPr>
          <w:rStyle w:val="Funotenzeichen"/>
          <w:rFonts w:eastAsiaTheme="majorEastAsia"/>
        </w:rPr>
        <w:footnoteRef/>
      </w:r>
      <w:r w:rsidRPr="008D24B4">
        <w:rPr>
          <w:lang w:val="en-US"/>
        </w:rPr>
        <w:t xml:space="preserve"> </w:t>
      </w:r>
      <w:r w:rsidRPr="00A15962">
        <w:rPr>
          <w:i/>
          <w:lang w:val="en-US"/>
        </w:rPr>
        <w:t>Hirabayashi v. United States</w:t>
      </w:r>
      <w:r w:rsidRPr="008D24B4">
        <w:rPr>
          <w:lang w:val="en-US"/>
        </w:rPr>
        <w:t>, 320 U.S. 81, 100</w:t>
      </w:r>
      <w:r>
        <w:rPr>
          <w:lang w:val="en-US"/>
        </w:rPr>
        <w:t xml:space="preserve">; </w:t>
      </w:r>
      <w:proofErr w:type="spellStart"/>
      <w:r>
        <w:rPr>
          <w:lang w:val="en-US"/>
        </w:rPr>
        <w:t>zitiert</w:t>
      </w:r>
      <w:proofErr w:type="spellEnd"/>
      <w:r>
        <w:rPr>
          <w:lang w:val="en-US"/>
        </w:rPr>
        <w:t xml:space="preserve"> in </w:t>
      </w:r>
      <w:r w:rsidRPr="001F38CE">
        <w:rPr>
          <w:i/>
          <w:lang w:val="en-US"/>
        </w:rPr>
        <w:t xml:space="preserve">Fullilove v. </w:t>
      </w:r>
      <w:proofErr w:type="spellStart"/>
      <w:r w:rsidRPr="001F38CE">
        <w:rPr>
          <w:i/>
          <w:lang w:val="en-US"/>
        </w:rPr>
        <w:t>Klutznick</w:t>
      </w:r>
      <w:proofErr w:type="spellEnd"/>
      <w:r w:rsidRPr="008D24B4">
        <w:rPr>
          <w:lang w:val="en-US"/>
        </w:rPr>
        <w:t>, 448 U.S. 448, 533</w:t>
      </w:r>
      <w:r>
        <w:rPr>
          <w:lang w:val="en-US"/>
        </w:rPr>
        <w:t xml:space="preserve"> = 100 S. Ct.</w:t>
      </w:r>
      <w:r w:rsidRPr="008D24B4">
        <w:rPr>
          <w:lang w:val="en-US"/>
        </w:rPr>
        <w:t xml:space="preserve"> 2758, 2803</w:t>
      </w:r>
      <w:r>
        <w:rPr>
          <w:lang w:val="en-US"/>
        </w:rPr>
        <w:t xml:space="preserve"> = 65 L. Ed. </w:t>
      </w:r>
      <w:r w:rsidRPr="008D24B4">
        <w:rPr>
          <w:lang w:val="en-US"/>
        </w:rPr>
        <w:t>2d 902, 960</w:t>
      </w:r>
      <w:r>
        <w:rPr>
          <w:lang w:val="en-US"/>
        </w:rPr>
        <w:t xml:space="preserve"> = 1980 U.S. LEXIS </w:t>
      </w:r>
      <w:r w:rsidRPr="008D24B4">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8D24B4">
        <w:rPr>
          <w:lang w:val="en-US"/>
        </w:rPr>
        <w:t>(CCH) P31,026</w:t>
      </w:r>
      <w:r>
        <w:rPr>
          <w:lang w:val="en-US"/>
        </w:rPr>
        <w:t xml:space="preserve"> = 27 Cont. Cas. Fed. </w:t>
      </w:r>
      <w:r w:rsidRPr="008D24B4">
        <w:rPr>
          <w:lang w:val="en-US"/>
        </w:rPr>
        <w:t>(CCH) P80,496 (1980)</w:t>
      </w:r>
      <w:r>
        <w:rPr>
          <w:lang w:val="en-US"/>
        </w:rPr>
        <w:t>.</w:t>
      </w:r>
    </w:p>
  </w:footnote>
  <w:footnote w:id="1791">
    <w:p w14:paraId="08405699" w14:textId="77777777" w:rsidR="00074551" w:rsidRPr="00A06753" w:rsidRDefault="00074551" w:rsidP="00074551">
      <w:pPr>
        <w:pStyle w:val="Funotentext"/>
        <w:rPr>
          <w:lang w:val="en-US"/>
        </w:rPr>
      </w:pPr>
      <w:r>
        <w:rPr>
          <w:rStyle w:val="Funotenzeichen"/>
          <w:rFonts w:eastAsiaTheme="majorEastAsia"/>
        </w:rPr>
        <w:footnoteRef/>
      </w:r>
      <w:r w:rsidRPr="00A06753">
        <w:rPr>
          <w:lang w:val="en-US"/>
        </w:rPr>
        <w:t xml:space="preserve"> </w:t>
      </w:r>
      <w:r w:rsidRPr="00A15962">
        <w:rPr>
          <w:i/>
          <w:lang w:val="en-US"/>
        </w:rPr>
        <w:t>Hirabayashi v. United States</w:t>
      </w:r>
      <w:r w:rsidRPr="00E47138">
        <w:rPr>
          <w:lang w:val="en-US"/>
        </w:rPr>
        <w:t>, 320 U.S. 81, 100</w:t>
      </w:r>
      <w:r>
        <w:rPr>
          <w:lang w:val="en-US"/>
        </w:rPr>
        <w:t xml:space="preserve">; </w:t>
      </w:r>
      <w:proofErr w:type="spellStart"/>
      <w:r>
        <w:rPr>
          <w:lang w:val="en-US"/>
        </w:rPr>
        <w:t>zitiert</w:t>
      </w:r>
      <w:proofErr w:type="spellEnd"/>
      <w:r>
        <w:rPr>
          <w:lang w:val="en-US"/>
        </w:rPr>
        <w:t xml:space="preserve"> in </w:t>
      </w:r>
      <w:r w:rsidRPr="00037C13">
        <w:rPr>
          <w:i/>
          <w:lang w:val="en-IE"/>
        </w:rPr>
        <w:t xml:space="preserve">Fullilove v. </w:t>
      </w:r>
      <w:proofErr w:type="spellStart"/>
      <w:r w:rsidRPr="00037C13">
        <w:rPr>
          <w:i/>
          <w:lang w:val="en-IE"/>
        </w:rPr>
        <w:t>Klutznick</w:t>
      </w:r>
      <w:proofErr w:type="spellEnd"/>
      <w:r w:rsidRPr="00037C13">
        <w:rPr>
          <w:lang w:val="en-IE"/>
        </w:rPr>
        <w:t xml:space="preserve">, 448 U.S. 448, 497 = 100 S. Ct. 2758, 2784 = 65 L. Ed. 2d 902, 936 = 1980 U.S. LEXIS 8, 86 = 23 </w:t>
      </w:r>
      <w:proofErr w:type="spellStart"/>
      <w:r w:rsidRPr="00037C13">
        <w:rPr>
          <w:lang w:val="en-IE"/>
        </w:rPr>
        <w:t>Empl</w:t>
      </w:r>
      <w:proofErr w:type="spellEnd"/>
      <w:r w:rsidRPr="00037C13">
        <w:rPr>
          <w:lang w:val="en-IE"/>
        </w:rPr>
        <w:t xml:space="preserve">. </w:t>
      </w:r>
      <w:proofErr w:type="spellStart"/>
      <w:r w:rsidRPr="00037C13">
        <w:rPr>
          <w:lang w:val="en-IE"/>
        </w:rPr>
        <w:t>Prac</w:t>
      </w:r>
      <w:proofErr w:type="spellEnd"/>
      <w:r w:rsidRPr="00037C13">
        <w:rPr>
          <w:lang w:val="en-IE"/>
        </w:rPr>
        <w:t>. Dec. (CCH) P31,026 = 27 Cont. Cas. Fed. (CCH) P80,496 (1980).</w:t>
      </w:r>
    </w:p>
  </w:footnote>
  <w:footnote w:id="1792">
    <w:p w14:paraId="2746ECEC" w14:textId="77777777" w:rsidR="00074551" w:rsidRPr="008D24B4" w:rsidRDefault="00074551" w:rsidP="00074551">
      <w:pPr>
        <w:pStyle w:val="Funotentext"/>
        <w:rPr>
          <w:lang w:val="en-US"/>
        </w:rPr>
      </w:pPr>
      <w:r>
        <w:rPr>
          <w:rStyle w:val="Funotenzeichen"/>
          <w:rFonts w:eastAsiaTheme="majorEastAsia"/>
        </w:rPr>
        <w:footnoteRef/>
      </w:r>
      <w:r w:rsidRPr="008D24B4">
        <w:rPr>
          <w:lang w:val="en-US"/>
        </w:rPr>
        <w:t xml:space="preserve"> </w:t>
      </w:r>
      <w:r w:rsidRPr="001F38CE">
        <w:rPr>
          <w:i/>
          <w:lang w:val="en-US"/>
        </w:rPr>
        <w:t xml:space="preserve">Fullilove v. </w:t>
      </w:r>
      <w:proofErr w:type="spellStart"/>
      <w:r w:rsidRPr="001F38CE">
        <w:rPr>
          <w:i/>
          <w:lang w:val="en-US"/>
        </w:rPr>
        <w:t>Klutznick</w:t>
      </w:r>
      <w:proofErr w:type="spellEnd"/>
      <w:r w:rsidRPr="008D24B4">
        <w:rPr>
          <w:lang w:val="en-US"/>
        </w:rPr>
        <w:t>, 448 U.S. 448, 533</w:t>
      </w:r>
      <w:r>
        <w:rPr>
          <w:lang w:val="en-US"/>
        </w:rPr>
        <w:t xml:space="preserve"> = 100 S. Ct.</w:t>
      </w:r>
      <w:r w:rsidRPr="008D24B4">
        <w:rPr>
          <w:lang w:val="en-US"/>
        </w:rPr>
        <w:t xml:space="preserve"> 2758, 2803</w:t>
      </w:r>
      <w:r>
        <w:rPr>
          <w:lang w:val="en-US"/>
        </w:rPr>
        <w:t xml:space="preserve"> = 65 L. Ed. </w:t>
      </w:r>
      <w:r w:rsidRPr="008D24B4">
        <w:rPr>
          <w:lang w:val="en-US"/>
        </w:rPr>
        <w:t>2d 902, 960</w:t>
      </w:r>
      <w:r>
        <w:rPr>
          <w:lang w:val="en-US"/>
        </w:rPr>
        <w:t xml:space="preserve"> = 1980 U.S. LEXIS </w:t>
      </w:r>
      <w:r w:rsidRPr="008D24B4">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8D24B4">
        <w:rPr>
          <w:lang w:val="en-US"/>
        </w:rPr>
        <w:t>(CCH) P31,026</w:t>
      </w:r>
      <w:r>
        <w:rPr>
          <w:lang w:val="en-US"/>
        </w:rPr>
        <w:t xml:space="preserve"> = 27 Cont. Cas. Fed. </w:t>
      </w:r>
      <w:r w:rsidRPr="008D24B4">
        <w:rPr>
          <w:lang w:val="en-US"/>
        </w:rPr>
        <w:t>(CCH) P80,496 (1980)</w:t>
      </w:r>
      <w:r>
        <w:rPr>
          <w:lang w:val="en-US"/>
        </w:rPr>
        <w:t>.</w:t>
      </w:r>
    </w:p>
  </w:footnote>
  <w:footnote w:id="1793">
    <w:p w14:paraId="66FBDC32" w14:textId="4969D78F" w:rsidR="00074551" w:rsidRPr="00F82534" w:rsidRDefault="00074551" w:rsidP="00074551">
      <w:pPr>
        <w:pStyle w:val="Funotentext"/>
        <w:rPr>
          <w:lang w:val="en-US"/>
        </w:rPr>
      </w:pPr>
      <w:r>
        <w:rPr>
          <w:rStyle w:val="Funotenzeichen"/>
        </w:rPr>
        <w:footnoteRef/>
      </w:r>
      <w:r w:rsidRPr="004A434C">
        <w:rPr>
          <w:lang w:val="en-US"/>
        </w:rPr>
        <w:t xml:space="preserve"> </w:t>
      </w:r>
      <w:r w:rsidRPr="00F82534">
        <w:rPr>
          <w:lang w:val="en-US"/>
        </w:rPr>
        <w:t xml:space="preserve">ALM GL ch. 32, </w:t>
      </w:r>
      <w:r>
        <w:rPr>
          <w:lang w:val="en-US"/>
        </w:rPr>
        <w:t>§ </w:t>
      </w:r>
      <w:r w:rsidRPr="00F82534">
        <w:rPr>
          <w:lang w:val="en-US"/>
        </w:rPr>
        <w:t>26</w:t>
      </w:r>
      <w:r w:rsidRPr="002218B8">
        <w:rPr>
          <w:lang w:val="en-US"/>
        </w:rPr>
        <w:t>(3)(a) (1966)</w:t>
      </w:r>
      <w:r>
        <w:rPr>
          <w:lang w:val="en-US"/>
        </w:rPr>
        <w:t>: „</w:t>
      </w:r>
      <w:r w:rsidRPr="00B45592">
        <w:rPr>
          <w:lang w:val="en-IE"/>
        </w:rPr>
        <w:t xml:space="preserve">a uniformed state police </w:t>
      </w:r>
      <w:proofErr w:type="gramStart"/>
      <w:r w:rsidRPr="00B45592">
        <w:rPr>
          <w:lang w:val="en-IE"/>
        </w:rPr>
        <w:t xml:space="preserve">officer </w:t>
      </w:r>
      <w:r>
        <w:rPr>
          <w:lang w:val="en-IE"/>
        </w:rPr>
        <w:t>,</w:t>
      </w:r>
      <w:r w:rsidRPr="00B45592">
        <w:rPr>
          <w:lang w:val="en-IE"/>
        </w:rPr>
        <w:t>shall</w:t>
      </w:r>
      <w:proofErr w:type="gramEnd"/>
      <w:r w:rsidRPr="00B45592">
        <w:rPr>
          <w:lang w:val="en-IE"/>
        </w:rPr>
        <w:t xml:space="preserve"> be retired </w:t>
      </w:r>
      <w:r>
        <w:rPr>
          <w:lang w:val="en-IE"/>
        </w:rPr>
        <w:t>[…]</w:t>
      </w:r>
      <w:r w:rsidRPr="00B45592">
        <w:rPr>
          <w:lang w:val="en-IE"/>
        </w:rPr>
        <w:t xml:space="preserve"> upon his attaining age </w:t>
      </w:r>
      <w:proofErr w:type="gramStart"/>
      <w:r w:rsidRPr="00B45592">
        <w:rPr>
          <w:lang w:val="en-IE"/>
        </w:rPr>
        <w:t>fifty</w:t>
      </w:r>
      <w:r>
        <w:rPr>
          <w:lang w:val="en-IE"/>
        </w:rPr>
        <w:t>‘</w:t>
      </w:r>
      <w:proofErr w:type="gramEnd"/>
      <w:r>
        <w:rPr>
          <w:lang w:val="en-IE"/>
        </w:rPr>
        <w:t xml:space="preserve">“, </w:t>
      </w:r>
      <w:proofErr w:type="spellStart"/>
      <w:r w:rsidR="005B606F">
        <w:rPr>
          <w:lang w:val="en-IE"/>
        </w:rPr>
        <w:t>zitiert</w:t>
      </w:r>
      <w:proofErr w:type="spellEnd"/>
      <w:r w:rsidR="005B606F">
        <w:rPr>
          <w:lang w:val="en-IE"/>
        </w:rPr>
        <w:t xml:space="preserve"> </w:t>
      </w:r>
      <w:proofErr w:type="spellStart"/>
      <w:r w:rsidR="005B606F">
        <w:rPr>
          <w:lang w:val="en-IE"/>
        </w:rPr>
        <w:t>nach</w:t>
      </w:r>
      <w:proofErr w:type="spellEnd"/>
      <w:r w:rsidR="005B606F">
        <w:rPr>
          <w:lang w:val="en-IE"/>
        </w:rPr>
        <w:t xml:space="preserve"> </w:t>
      </w:r>
      <w:r w:rsidRPr="00A15962">
        <w:rPr>
          <w:i/>
          <w:lang w:val="en-US"/>
        </w:rPr>
        <w:t>Massachusetts Bd. of Retirement v. Murgia</w:t>
      </w:r>
      <w:r w:rsidRPr="00E47138">
        <w:rPr>
          <w:lang w:val="en-US"/>
        </w:rPr>
        <w:t>, 427 U.S. 307, 308</w:t>
      </w:r>
      <w:r w:rsidRPr="00B45592">
        <w:rPr>
          <w:lang w:val="en-US"/>
        </w:rPr>
        <w:t xml:space="preserve"> = 96 S. Ct. </w:t>
      </w:r>
      <w:r w:rsidRPr="00E47138">
        <w:rPr>
          <w:lang w:val="en-US"/>
        </w:rPr>
        <w:t>2562, 2564</w:t>
      </w:r>
      <w:r w:rsidRPr="00B45592">
        <w:rPr>
          <w:lang w:val="en-US"/>
        </w:rPr>
        <w:t xml:space="preserve"> = 49 L. Ed. </w:t>
      </w:r>
      <w:r w:rsidRPr="00E47138">
        <w:rPr>
          <w:lang w:val="en-US"/>
        </w:rPr>
        <w:t>2d 520, 522</w:t>
      </w:r>
      <w:r w:rsidRPr="00B45592">
        <w:rPr>
          <w:lang w:val="en-US"/>
        </w:rPr>
        <w:t xml:space="preserve"> = 1976 U.S. LEXIS </w:t>
      </w:r>
      <w:r w:rsidRPr="00E47138">
        <w:rPr>
          <w:lang w:val="en-US"/>
        </w:rPr>
        <w:t>9, 1</w:t>
      </w:r>
      <w:r w:rsidRPr="00B45592">
        <w:rPr>
          <w:lang w:val="en-US"/>
        </w:rPr>
        <w:t xml:space="preserve"> = 12 Fair </w:t>
      </w:r>
      <w:proofErr w:type="spellStart"/>
      <w:r w:rsidRPr="00B45592">
        <w:rPr>
          <w:lang w:val="en-US"/>
        </w:rPr>
        <w:t>Empl</w:t>
      </w:r>
      <w:proofErr w:type="spellEnd"/>
      <w:r w:rsidRPr="00B45592">
        <w:rPr>
          <w:lang w:val="en-US"/>
        </w:rPr>
        <w:t xml:space="preserve">. </w:t>
      </w:r>
      <w:proofErr w:type="spellStart"/>
      <w:r w:rsidRPr="00B45592">
        <w:rPr>
          <w:lang w:val="en-US"/>
        </w:rPr>
        <w:t>Prac</w:t>
      </w:r>
      <w:proofErr w:type="spellEnd"/>
      <w:r w:rsidRPr="00B45592">
        <w:rPr>
          <w:lang w:val="en-US"/>
        </w:rPr>
        <w:t xml:space="preserve">. </w:t>
      </w:r>
      <w:r w:rsidRPr="00E47138">
        <w:rPr>
          <w:lang w:val="en-US"/>
        </w:rPr>
        <w:t>Cas. (BNA) 1569</w:t>
      </w:r>
      <w:r w:rsidRPr="00B45592">
        <w:rPr>
          <w:lang w:val="en-US"/>
        </w:rPr>
        <w:t xml:space="preserve"> = 12 </w:t>
      </w:r>
      <w:proofErr w:type="spellStart"/>
      <w:r w:rsidRPr="00B45592">
        <w:rPr>
          <w:lang w:val="en-US"/>
        </w:rPr>
        <w:t>Empl</w:t>
      </w:r>
      <w:proofErr w:type="spellEnd"/>
      <w:r w:rsidRPr="00B45592">
        <w:rPr>
          <w:lang w:val="en-US"/>
        </w:rPr>
        <w:t xml:space="preserve">. </w:t>
      </w:r>
      <w:proofErr w:type="spellStart"/>
      <w:r w:rsidRPr="00B45592">
        <w:rPr>
          <w:lang w:val="en-US"/>
        </w:rPr>
        <w:t>Prac</w:t>
      </w:r>
      <w:proofErr w:type="spellEnd"/>
      <w:r w:rsidRPr="00B45592">
        <w:rPr>
          <w:lang w:val="en-US"/>
        </w:rPr>
        <w:t xml:space="preserve">. </w:t>
      </w:r>
      <w:r w:rsidRPr="00E47138">
        <w:rPr>
          <w:lang w:val="en-US"/>
        </w:rPr>
        <w:t>Dec. (CCH) P10,998</w:t>
      </w:r>
      <w:r w:rsidRPr="00B45592">
        <w:rPr>
          <w:lang w:val="en-US"/>
        </w:rPr>
        <w:t xml:space="preserve"> = 1 Employee Benefits </w:t>
      </w:r>
      <w:r w:rsidRPr="00E47138">
        <w:rPr>
          <w:lang w:val="en-US"/>
        </w:rPr>
        <w:t>Cas. (BNA) 1032 (1976).</w:t>
      </w:r>
    </w:p>
  </w:footnote>
  <w:footnote w:id="1794">
    <w:p w14:paraId="673B486C" w14:textId="77777777" w:rsidR="00074551" w:rsidRPr="004A434C" w:rsidRDefault="00074551" w:rsidP="00074551">
      <w:pPr>
        <w:pStyle w:val="Funotentext"/>
        <w:rPr>
          <w:lang w:val="en-US"/>
        </w:rPr>
      </w:pPr>
      <w:r>
        <w:rPr>
          <w:rStyle w:val="Funotenzeichen"/>
        </w:rPr>
        <w:footnoteRef/>
      </w:r>
      <w:r w:rsidRPr="00F82534">
        <w:rPr>
          <w:lang w:val="en-US"/>
        </w:rPr>
        <w:t xml:space="preserve"> </w:t>
      </w:r>
      <w:r w:rsidRPr="00A15962">
        <w:rPr>
          <w:i/>
          <w:lang w:val="en-US"/>
        </w:rPr>
        <w:t>Massachusetts Bd. of Retirement v. Murgia</w:t>
      </w:r>
      <w:r w:rsidRPr="00F82534">
        <w:rPr>
          <w:lang w:val="en-US"/>
        </w:rPr>
        <w:t>, 427 U.S. 307, 308</w:t>
      </w:r>
      <w:r w:rsidRPr="006E67FE">
        <w:rPr>
          <w:lang w:val="en-US"/>
        </w:rPr>
        <w:t xml:space="preserve"> = 96 S. Ct. </w:t>
      </w:r>
      <w:r w:rsidRPr="00F82534">
        <w:rPr>
          <w:lang w:val="en-US"/>
        </w:rPr>
        <w:t>2562, 2564</w:t>
      </w:r>
      <w:r w:rsidRPr="006E67FE">
        <w:rPr>
          <w:lang w:val="en-US"/>
        </w:rPr>
        <w:t xml:space="preserve"> = 49 L. Ed. </w:t>
      </w:r>
      <w:r w:rsidRPr="00F82534">
        <w:rPr>
          <w:lang w:val="en-US"/>
        </w:rPr>
        <w:t>2d 520, 522</w:t>
      </w:r>
      <w:r w:rsidRPr="005D5028">
        <w:rPr>
          <w:lang w:val="en-US"/>
        </w:rPr>
        <w:t xml:space="preserve"> = 1976 U.S. LEXIS </w:t>
      </w:r>
      <w:r w:rsidRPr="00F82534">
        <w:rPr>
          <w:lang w:val="en-US"/>
        </w:rPr>
        <w:t>9, 1</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F82534">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F82534">
        <w:rPr>
          <w:lang w:val="en-US"/>
        </w:rPr>
        <w:t>Dec. (CCH) P10,998</w:t>
      </w:r>
      <w:r>
        <w:rPr>
          <w:lang w:val="en-US"/>
        </w:rPr>
        <w:t xml:space="preserve"> = 1 Employee Benefits </w:t>
      </w:r>
      <w:r w:rsidRPr="00F82534">
        <w:rPr>
          <w:lang w:val="en-US"/>
        </w:rPr>
        <w:t xml:space="preserve">Cas. </w:t>
      </w:r>
      <w:r w:rsidRPr="004A434C">
        <w:rPr>
          <w:lang w:val="en-US"/>
        </w:rPr>
        <w:t>(BNA) 1032 (1976)</w:t>
      </w:r>
      <w:r>
        <w:rPr>
          <w:lang w:val="en-US"/>
        </w:rPr>
        <w:t>.</w:t>
      </w:r>
    </w:p>
  </w:footnote>
  <w:footnote w:id="1795">
    <w:p w14:paraId="68564467" w14:textId="77777777" w:rsidR="00074551" w:rsidRPr="004A434C" w:rsidRDefault="00074551" w:rsidP="00074551">
      <w:pPr>
        <w:pStyle w:val="Funotentext"/>
        <w:rPr>
          <w:lang w:val="en-US"/>
        </w:rPr>
      </w:pPr>
      <w:r>
        <w:rPr>
          <w:rStyle w:val="Funotenzeichen"/>
        </w:rPr>
        <w:footnoteRef/>
      </w:r>
      <w:r w:rsidRPr="004A434C">
        <w:rPr>
          <w:lang w:val="en-US"/>
        </w:rPr>
        <w:t xml:space="preserve"> </w:t>
      </w:r>
      <w:r w:rsidRPr="00A15962">
        <w:rPr>
          <w:i/>
          <w:lang w:val="en-US"/>
        </w:rPr>
        <w:t>Massachusetts Bd. of Retirement v. Murgia</w:t>
      </w:r>
      <w:r w:rsidRPr="004A434C">
        <w:rPr>
          <w:lang w:val="en-US"/>
        </w:rPr>
        <w:t>, 427 U.S. 307, 308</w:t>
      </w:r>
      <w:r w:rsidRPr="006E67FE">
        <w:rPr>
          <w:lang w:val="en-US"/>
        </w:rPr>
        <w:t xml:space="preserve"> = 96 S. Ct. </w:t>
      </w:r>
      <w:r w:rsidRPr="004A434C">
        <w:rPr>
          <w:lang w:val="en-US"/>
        </w:rPr>
        <w:t>2562, 2564</w:t>
      </w:r>
      <w:r w:rsidRPr="006E67FE">
        <w:rPr>
          <w:lang w:val="en-US"/>
        </w:rPr>
        <w:t xml:space="preserve"> = 49 L. Ed. </w:t>
      </w:r>
      <w:r w:rsidRPr="004A434C">
        <w:rPr>
          <w:lang w:val="en-US"/>
        </w:rPr>
        <w:t>2d 520, 522</w:t>
      </w:r>
      <w:r w:rsidRPr="005D5028">
        <w:rPr>
          <w:lang w:val="en-US"/>
        </w:rPr>
        <w:t xml:space="preserve"> = 1976 U.S. LEXIS </w:t>
      </w:r>
      <w:r w:rsidRPr="004A434C">
        <w:rPr>
          <w:lang w:val="en-US"/>
        </w:rPr>
        <w:t>9, 1</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4A434C">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4A434C">
        <w:rPr>
          <w:lang w:val="en-US"/>
        </w:rPr>
        <w:t>Dec. (CCH) P10,998</w:t>
      </w:r>
      <w:r>
        <w:rPr>
          <w:lang w:val="en-US"/>
        </w:rPr>
        <w:t xml:space="preserve"> = 1 Employee Benefits </w:t>
      </w:r>
      <w:r w:rsidRPr="004A434C">
        <w:rPr>
          <w:lang w:val="en-US"/>
        </w:rPr>
        <w:t>Cas. (BNA) 1032 (1976)</w:t>
      </w:r>
      <w:r>
        <w:rPr>
          <w:lang w:val="en-US"/>
        </w:rPr>
        <w:t>.</w:t>
      </w:r>
    </w:p>
  </w:footnote>
  <w:footnote w:id="1796">
    <w:p w14:paraId="508B1635" w14:textId="77777777" w:rsidR="00074551" w:rsidRPr="004A434C" w:rsidRDefault="00074551" w:rsidP="00074551">
      <w:pPr>
        <w:pStyle w:val="Funotentext"/>
        <w:rPr>
          <w:lang w:val="en-US"/>
        </w:rPr>
      </w:pPr>
      <w:r>
        <w:rPr>
          <w:rStyle w:val="Funotenzeichen"/>
        </w:rPr>
        <w:footnoteRef/>
      </w:r>
      <w:r w:rsidRPr="004A434C">
        <w:rPr>
          <w:lang w:val="en-US"/>
        </w:rPr>
        <w:t xml:space="preserve"> </w:t>
      </w:r>
      <w:r w:rsidRPr="00A15962">
        <w:rPr>
          <w:i/>
          <w:lang w:val="en-US"/>
        </w:rPr>
        <w:t>Massachusetts Bd. of Retirement v. Murgia</w:t>
      </w:r>
      <w:r w:rsidRPr="004A434C">
        <w:rPr>
          <w:lang w:val="en-US"/>
        </w:rPr>
        <w:t>, 427 U.S. 307, 308</w:t>
      </w:r>
      <w:r w:rsidRPr="006E67FE">
        <w:rPr>
          <w:lang w:val="en-US"/>
        </w:rPr>
        <w:t xml:space="preserve"> = 96 S. Ct. </w:t>
      </w:r>
      <w:r w:rsidRPr="004A434C">
        <w:rPr>
          <w:lang w:val="en-US"/>
        </w:rPr>
        <w:t>2562, 2564</w:t>
      </w:r>
      <w:r w:rsidRPr="006E67FE">
        <w:rPr>
          <w:lang w:val="en-US"/>
        </w:rPr>
        <w:t xml:space="preserve"> = 49 L. Ed. </w:t>
      </w:r>
      <w:r w:rsidRPr="004A434C">
        <w:rPr>
          <w:lang w:val="en-US"/>
        </w:rPr>
        <w:t>2d 520, 522</w:t>
      </w:r>
      <w:r w:rsidRPr="005D5028">
        <w:rPr>
          <w:lang w:val="en-US"/>
        </w:rPr>
        <w:t xml:space="preserve"> = 1976 U.S. LEXIS </w:t>
      </w:r>
      <w:r w:rsidRPr="004A434C">
        <w:rPr>
          <w:lang w:val="en-US"/>
        </w:rPr>
        <w:t>9, 1</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4A434C">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4A434C">
        <w:rPr>
          <w:lang w:val="en-US"/>
        </w:rPr>
        <w:t>Dec. (CCH) P10,998</w:t>
      </w:r>
      <w:r>
        <w:rPr>
          <w:lang w:val="en-US"/>
        </w:rPr>
        <w:t xml:space="preserve"> = 1 Employee Benefits </w:t>
      </w:r>
      <w:r w:rsidRPr="004A434C">
        <w:rPr>
          <w:lang w:val="en-US"/>
        </w:rPr>
        <w:t>Cas. (BNA) 1032 (1976)</w:t>
      </w:r>
      <w:r>
        <w:rPr>
          <w:lang w:val="en-US"/>
        </w:rPr>
        <w:t>.</w:t>
      </w:r>
    </w:p>
  </w:footnote>
  <w:footnote w:id="1797">
    <w:p w14:paraId="02DFD396" w14:textId="77777777" w:rsidR="00074551" w:rsidRPr="00261A59" w:rsidRDefault="00074551" w:rsidP="00074551">
      <w:pPr>
        <w:pStyle w:val="Funotentext"/>
        <w:rPr>
          <w:lang w:val="en-US"/>
        </w:rPr>
      </w:pPr>
      <w:r>
        <w:rPr>
          <w:rStyle w:val="Funotenzeichen"/>
          <w:rFonts w:eastAsiaTheme="majorEastAsia"/>
        </w:rPr>
        <w:footnoteRef/>
      </w:r>
      <w:r>
        <w:rPr>
          <w:lang w:val="en-US"/>
        </w:rPr>
        <w:t xml:space="preserve"> </w:t>
      </w:r>
      <w:r w:rsidRPr="00A15962">
        <w:rPr>
          <w:i/>
          <w:lang w:val="en-US"/>
        </w:rPr>
        <w:t>Massachusetts Bd. of Retirement v. Murgia</w:t>
      </w:r>
      <w:r w:rsidRPr="006829A9">
        <w:rPr>
          <w:lang w:val="en-US"/>
        </w:rPr>
        <w:t>, 427 U.S. 307, 322</w:t>
      </w:r>
      <w:r w:rsidRPr="006E67FE">
        <w:rPr>
          <w:lang w:val="en-US"/>
        </w:rPr>
        <w:t xml:space="preserve"> = 96 S. Ct. </w:t>
      </w:r>
      <w:r w:rsidRPr="006829A9">
        <w:rPr>
          <w:lang w:val="en-US"/>
        </w:rPr>
        <w:t>2562, 2571</w:t>
      </w:r>
      <w:r w:rsidRPr="006E67FE">
        <w:rPr>
          <w:lang w:val="en-US"/>
        </w:rPr>
        <w:t xml:space="preserve"> = 49 L. Ed. </w:t>
      </w:r>
      <w:r w:rsidRPr="006829A9">
        <w:rPr>
          <w:lang w:val="en-US"/>
        </w:rPr>
        <w:t>2d 520, 530</w:t>
      </w:r>
      <w:r w:rsidRPr="005D5028">
        <w:rPr>
          <w:lang w:val="en-US"/>
        </w:rPr>
        <w:t xml:space="preserve"> = 1976 U.S. LEXIS </w:t>
      </w:r>
      <w:r w:rsidRPr="006829A9">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6829A9">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6829A9">
        <w:rPr>
          <w:lang w:val="en-US"/>
        </w:rPr>
        <w:t>Dec. (CCH) P10,998</w:t>
      </w:r>
      <w:r>
        <w:rPr>
          <w:lang w:val="en-US"/>
        </w:rPr>
        <w:t xml:space="preserve"> = 1 Employee Benefits </w:t>
      </w:r>
      <w:r w:rsidRPr="006829A9">
        <w:rPr>
          <w:lang w:val="en-US"/>
        </w:rPr>
        <w:t xml:space="preserve">Cas. </w:t>
      </w:r>
      <w:r w:rsidRPr="00261A59">
        <w:rPr>
          <w:lang w:val="en-US"/>
        </w:rPr>
        <w:t>(BNA) 1032 (1976)</w:t>
      </w:r>
      <w:r>
        <w:rPr>
          <w:lang w:val="en-US"/>
        </w:rPr>
        <w:t>.</w:t>
      </w:r>
    </w:p>
  </w:footnote>
  <w:footnote w:id="1798">
    <w:p w14:paraId="5FC4DD49" w14:textId="77777777" w:rsidR="00074551" w:rsidRPr="00BB7A8A" w:rsidRDefault="00074551" w:rsidP="00074551">
      <w:pPr>
        <w:pStyle w:val="Funotentext"/>
        <w:ind w:left="227" w:hanging="227"/>
        <w:rPr>
          <w:lang w:val="en-US"/>
        </w:rPr>
      </w:pPr>
      <w:r>
        <w:rPr>
          <w:rStyle w:val="Funotenzeichen"/>
          <w:rFonts w:eastAsiaTheme="majorEastAsia"/>
        </w:rPr>
        <w:footnoteRef/>
      </w:r>
      <w:r w:rsidRPr="00BB7A8A">
        <w:rPr>
          <w:lang w:val="en-US"/>
        </w:rPr>
        <w:t xml:space="preserve"> </w:t>
      </w:r>
      <w:r w:rsidRPr="00A15962">
        <w:rPr>
          <w:i/>
          <w:lang w:val="en-US"/>
        </w:rPr>
        <w:t>Massachusetts Bd. of Retirement v. Murgia</w:t>
      </w:r>
      <w:r w:rsidRPr="00BB7A8A">
        <w:rPr>
          <w:lang w:val="en-US"/>
        </w:rPr>
        <w:t>, 427 U.S. 307, 308</w:t>
      </w:r>
      <w:r w:rsidRPr="006E67FE">
        <w:rPr>
          <w:lang w:val="en-US"/>
        </w:rPr>
        <w:t xml:space="preserve"> = 96 S. Ct. </w:t>
      </w:r>
      <w:r w:rsidRPr="00BB7A8A">
        <w:rPr>
          <w:lang w:val="en-US"/>
        </w:rPr>
        <w:t>2562, 2564</w:t>
      </w:r>
      <w:r w:rsidRPr="006E67FE">
        <w:rPr>
          <w:lang w:val="en-US"/>
        </w:rPr>
        <w:t xml:space="preserve"> = 49 L. Ed. </w:t>
      </w:r>
      <w:r w:rsidRPr="00BB7A8A">
        <w:rPr>
          <w:lang w:val="en-US"/>
        </w:rPr>
        <w:t>2d 520, 522</w:t>
      </w:r>
      <w:r w:rsidRPr="005D5028">
        <w:rPr>
          <w:lang w:val="en-US"/>
        </w:rPr>
        <w:t xml:space="preserve"> = 1976 U.S. LEXIS </w:t>
      </w:r>
      <w:r w:rsidRPr="00BB7A8A">
        <w:rPr>
          <w:lang w:val="en-US"/>
        </w:rPr>
        <w:t>9, 1</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B7A8A">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B7A8A">
        <w:rPr>
          <w:lang w:val="en-US"/>
        </w:rPr>
        <w:t>Dec. (CCH) P10,998</w:t>
      </w:r>
      <w:r>
        <w:rPr>
          <w:lang w:val="en-US"/>
        </w:rPr>
        <w:t xml:space="preserve"> = 1 Employee Benefits </w:t>
      </w:r>
      <w:r w:rsidRPr="00BB7A8A">
        <w:rPr>
          <w:lang w:val="en-US"/>
        </w:rPr>
        <w:t>Cas. (BNA) 1032 (1976)</w:t>
      </w:r>
      <w:r>
        <w:rPr>
          <w:lang w:val="en-US"/>
        </w:rPr>
        <w:t>.</w:t>
      </w:r>
    </w:p>
  </w:footnote>
  <w:footnote w:id="1799">
    <w:p w14:paraId="1E6A116A" w14:textId="77777777" w:rsidR="00074551" w:rsidRPr="00BB7A8A" w:rsidRDefault="00074551" w:rsidP="00074551">
      <w:pPr>
        <w:pStyle w:val="Funotentext"/>
        <w:ind w:left="227" w:hanging="227"/>
        <w:rPr>
          <w:lang w:val="en-US"/>
        </w:rPr>
      </w:pPr>
      <w:r>
        <w:rPr>
          <w:rStyle w:val="Funotenzeichen"/>
          <w:rFonts w:eastAsiaTheme="majorEastAsia"/>
        </w:rPr>
        <w:footnoteRef/>
      </w:r>
      <w:r w:rsidRPr="00BB7A8A">
        <w:rPr>
          <w:lang w:val="en-US"/>
        </w:rPr>
        <w:t xml:space="preserve"> </w:t>
      </w:r>
      <w:r w:rsidRPr="00A15962">
        <w:rPr>
          <w:i/>
          <w:lang w:val="en-US"/>
        </w:rPr>
        <w:t>Massachusetts Bd. of Retirement v. Murgia</w:t>
      </w:r>
      <w:r w:rsidRPr="00BB7A8A">
        <w:rPr>
          <w:lang w:val="en-US"/>
        </w:rPr>
        <w:t>, 427 U.S. 307, 308</w:t>
      </w:r>
      <w:r w:rsidRPr="006E67FE">
        <w:rPr>
          <w:lang w:val="en-US"/>
        </w:rPr>
        <w:t xml:space="preserve"> = 96 S. Ct. </w:t>
      </w:r>
      <w:r w:rsidRPr="00BB7A8A">
        <w:rPr>
          <w:lang w:val="en-US"/>
        </w:rPr>
        <w:t>2562, 2564</w:t>
      </w:r>
      <w:r w:rsidRPr="006E67FE">
        <w:rPr>
          <w:lang w:val="en-US"/>
        </w:rPr>
        <w:t xml:space="preserve"> = 49 L. Ed. </w:t>
      </w:r>
      <w:r w:rsidRPr="00BB7A8A">
        <w:rPr>
          <w:lang w:val="en-US"/>
        </w:rPr>
        <w:t>2d 520, 522</w:t>
      </w:r>
      <w:r w:rsidRPr="005D5028">
        <w:rPr>
          <w:lang w:val="en-US"/>
        </w:rPr>
        <w:t xml:space="preserve"> = 1976 U.S. LEXIS </w:t>
      </w:r>
      <w:r w:rsidRPr="00BB7A8A">
        <w:rPr>
          <w:lang w:val="en-US"/>
        </w:rPr>
        <w:t>9, 1</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B7A8A">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B7A8A">
        <w:rPr>
          <w:lang w:val="en-US"/>
        </w:rPr>
        <w:t>Dec. (CCH) P10,998</w:t>
      </w:r>
      <w:r>
        <w:rPr>
          <w:lang w:val="en-US"/>
        </w:rPr>
        <w:t xml:space="preserve"> = 1 Employee Benefits </w:t>
      </w:r>
      <w:r w:rsidRPr="00BB7A8A">
        <w:rPr>
          <w:lang w:val="en-US"/>
        </w:rPr>
        <w:t>Cas. (BNA) 1032 (1976)</w:t>
      </w:r>
      <w:r>
        <w:rPr>
          <w:lang w:val="en-US"/>
        </w:rPr>
        <w:t>.</w:t>
      </w:r>
    </w:p>
  </w:footnote>
  <w:footnote w:id="1800">
    <w:p w14:paraId="662ADC75" w14:textId="77777777" w:rsidR="00074551" w:rsidRPr="00261A59" w:rsidRDefault="00074551" w:rsidP="00074551">
      <w:pPr>
        <w:pStyle w:val="Funotentext"/>
        <w:rPr>
          <w:lang w:val="en-US"/>
        </w:rPr>
      </w:pPr>
      <w:r>
        <w:rPr>
          <w:rStyle w:val="Funotenzeichen"/>
          <w:rFonts w:eastAsiaTheme="majorEastAsia"/>
        </w:rPr>
        <w:footnoteRef/>
      </w:r>
      <w:r w:rsidRPr="006829A9">
        <w:rPr>
          <w:lang w:val="en-US"/>
        </w:rPr>
        <w:t xml:space="preserve"> </w:t>
      </w:r>
      <w:r w:rsidRPr="00A15962">
        <w:rPr>
          <w:i/>
          <w:lang w:val="en-US"/>
        </w:rPr>
        <w:t>Massachusetts Bd. of Retirement v. Murgia</w:t>
      </w:r>
      <w:r w:rsidRPr="006829A9">
        <w:rPr>
          <w:lang w:val="en-US"/>
        </w:rPr>
        <w:t>, 427 U.S. 307, 322</w:t>
      </w:r>
      <w:r w:rsidRPr="006E67FE">
        <w:rPr>
          <w:lang w:val="en-US"/>
        </w:rPr>
        <w:t xml:space="preserve"> = 96 S. Ct. </w:t>
      </w:r>
      <w:r w:rsidRPr="006829A9">
        <w:rPr>
          <w:lang w:val="en-US"/>
        </w:rPr>
        <w:t>2562, 2571</w:t>
      </w:r>
      <w:r w:rsidRPr="006E67FE">
        <w:rPr>
          <w:lang w:val="en-US"/>
        </w:rPr>
        <w:t xml:space="preserve"> = 49 L. Ed. </w:t>
      </w:r>
      <w:r w:rsidRPr="006829A9">
        <w:rPr>
          <w:lang w:val="en-US"/>
        </w:rPr>
        <w:t>2d 520, 530</w:t>
      </w:r>
      <w:r w:rsidRPr="005D5028">
        <w:rPr>
          <w:lang w:val="en-US"/>
        </w:rPr>
        <w:t xml:space="preserve"> = 1976 U.S. LEXIS </w:t>
      </w:r>
      <w:r w:rsidRPr="006829A9">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6829A9">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6829A9">
        <w:rPr>
          <w:lang w:val="en-US"/>
        </w:rPr>
        <w:t>Dec. (CCH) P10,998</w:t>
      </w:r>
      <w:r>
        <w:rPr>
          <w:lang w:val="en-US"/>
        </w:rPr>
        <w:t xml:space="preserve"> = 1 Employee Benefits </w:t>
      </w:r>
      <w:r w:rsidRPr="006829A9">
        <w:rPr>
          <w:lang w:val="en-US"/>
        </w:rPr>
        <w:t xml:space="preserve">Cas. </w:t>
      </w:r>
      <w:r w:rsidRPr="00261A59">
        <w:rPr>
          <w:lang w:val="en-US"/>
        </w:rPr>
        <w:t>(BNA) 1032 (1976)</w:t>
      </w:r>
      <w:r>
        <w:rPr>
          <w:lang w:val="en-US"/>
        </w:rPr>
        <w:t>.</w:t>
      </w:r>
    </w:p>
  </w:footnote>
  <w:footnote w:id="1801">
    <w:p w14:paraId="15586340" w14:textId="77777777" w:rsidR="00074551" w:rsidRPr="00261A59" w:rsidRDefault="00074551" w:rsidP="00074551">
      <w:pPr>
        <w:pStyle w:val="Funotentext"/>
        <w:rPr>
          <w:lang w:val="en-US"/>
        </w:rPr>
      </w:pPr>
      <w:r>
        <w:rPr>
          <w:rStyle w:val="Funotenzeichen"/>
          <w:rFonts w:eastAsiaTheme="majorEastAsia"/>
        </w:rPr>
        <w:footnoteRef/>
      </w:r>
      <w:r w:rsidRPr="00261A59">
        <w:rPr>
          <w:lang w:val="en-US"/>
        </w:rPr>
        <w:t xml:space="preserve"> </w:t>
      </w:r>
      <w:r w:rsidRPr="009E57E1">
        <w:rPr>
          <w:i/>
          <w:lang w:val="en-US"/>
        </w:rPr>
        <w:t>Board of Regents v. Roth</w:t>
      </w:r>
      <w:r w:rsidRPr="00261A59">
        <w:rPr>
          <w:lang w:val="en-US"/>
        </w:rPr>
        <w:t xml:space="preserve">, 408 U.S. 564, 572 (1972), </w:t>
      </w:r>
      <w:proofErr w:type="spellStart"/>
      <w:r>
        <w:rPr>
          <w:lang w:val="en-US"/>
        </w:rPr>
        <w:t>zitierend</w:t>
      </w:r>
      <w:proofErr w:type="spellEnd"/>
      <w:r>
        <w:rPr>
          <w:lang w:val="en-US"/>
        </w:rPr>
        <w:t xml:space="preserve"> </w:t>
      </w:r>
      <w:proofErr w:type="spellStart"/>
      <w:r>
        <w:rPr>
          <w:lang w:val="en-US"/>
        </w:rPr>
        <w:t>aus</w:t>
      </w:r>
      <w:proofErr w:type="spellEnd"/>
      <w:r w:rsidRPr="00261A59">
        <w:rPr>
          <w:lang w:val="en-US"/>
        </w:rPr>
        <w:t xml:space="preserve"> </w:t>
      </w:r>
      <w:r w:rsidRPr="009E57E1">
        <w:rPr>
          <w:i/>
          <w:lang w:val="en-US"/>
        </w:rPr>
        <w:t>Meyer v. Nebraska</w:t>
      </w:r>
      <w:r w:rsidRPr="00261A59">
        <w:rPr>
          <w:lang w:val="en-US"/>
        </w:rPr>
        <w:t>, 262 U.S. 390, 399 (1923)</w:t>
      </w:r>
      <w:r>
        <w:rPr>
          <w:lang w:val="en-US"/>
        </w:rPr>
        <w:t xml:space="preserve">; </w:t>
      </w:r>
      <w:r w:rsidRPr="00A15962">
        <w:rPr>
          <w:i/>
          <w:lang w:val="en-US"/>
        </w:rPr>
        <w:t>Massachusetts Bd. of Retirement v. Murgia</w:t>
      </w:r>
      <w:r w:rsidRPr="00261A59">
        <w:rPr>
          <w:lang w:val="en-US"/>
        </w:rPr>
        <w:t>, 427 U.S. 307, 322</w:t>
      </w:r>
      <w:r w:rsidRPr="006E67FE">
        <w:rPr>
          <w:lang w:val="en-US"/>
        </w:rPr>
        <w:t xml:space="preserve"> = 96 S. Ct. </w:t>
      </w:r>
      <w:r w:rsidRPr="00261A59">
        <w:rPr>
          <w:lang w:val="en-US"/>
        </w:rPr>
        <w:t>2562, 2571</w:t>
      </w:r>
      <w:r w:rsidRPr="006E67FE">
        <w:rPr>
          <w:lang w:val="en-US"/>
        </w:rPr>
        <w:t xml:space="preserve"> = 49 L. Ed. </w:t>
      </w:r>
      <w:r w:rsidRPr="00261A59">
        <w:rPr>
          <w:lang w:val="en-US"/>
        </w:rPr>
        <w:t>2d 520, 530</w:t>
      </w:r>
      <w:r w:rsidRPr="005D5028">
        <w:rPr>
          <w:lang w:val="en-US"/>
        </w:rPr>
        <w:t xml:space="preserve"> = 1976 U.S. LEXIS </w:t>
      </w:r>
      <w:r w:rsidRPr="00261A59">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261A59">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261A59">
        <w:rPr>
          <w:lang w:val="en-US"/>
        </w:rPr>
        <w:t>Dec. (CCH) P10,998</w:t>
      </w:r>
      <w:r>
        <w:rPr>
          <w:lang w:val="en-US"/>
        </w:rPr>
        <w:t xml:space="preserve"> = 1 Employee Benefits </w:t>
      </w:r>
      <w:r w:rsidRPr="00261A59">
        <w:rPr>
          <w:lang w:val="en-US"/>
        </w:rPr>
        <w:t>Cas. (BNA) 1032 (1976)</w:t>
      </w:r>
      <w:r>
        <w:rPr>
          <w:lang w:val="en-US"/>
        </w:rPr>
        <w:t>.</w:t>
      </w:r>
    </w:p>
  </w:footnote>
  <w:footnote w:id="1802">
    <w:p w14:paraId="7AE4538E" w14:textId="77777777" w:rsidR="00074551" w:rsidRPr="00290519" w:rsidRDefault="00074551" w:rsidP="00074551">
      <w:pPr>
        <w:pStyle w:val="Funotentext"/>
        <w:rPr>
          <w:lang w:val="en-US"/>
        </w:rPr>
      </w:pPr>
      <w:r>
        <w:rPr>
          <w:rStyle w:val="Funotenzeichen"/>
          <w:rFonts w:eastAsiaTheme="majorEastAsia"/>
        </w:rPr>
        <w:footnoteRef/>
      </w:r>
      <w:r w:rsidRPr="00830330">
        <w:rPr>
          <w:lang w:val="en-US"/>
        </w:rPr>
        <w:t xml:space="preserve"> </w:t>
      </w:r>
      <w:r w:rsidRPr="00B45592">
        <w:rPr>
          <w:i/>
          <w:lang w:val="en-US"/>
        </w:rPr>
        <w:t>Butchers’ Union Co. v. Crescent City Co.</w:t>
      </w:r>
      <w:r w:rsidRPr="00830330">
        <w:rPr>
          <w:lang w:val="en-US"/>
        </w:rPr>
        <w:t>, 111 U.S. 746 (1884)</w:t>
      </w:r>
      <w:r>
        <w:rPr>
          <w:lang w:val="en-US"/>
        </w:rPr>
        <w:t xml:space="preserve">; </w:t>
      </w:r>
      <w:r w:rsidRPr="00A15962">
        <w:rPr>
          <w:i/>
          <w:lang w:val="en-US"/>
        </w:rPr>
        <w:t>Massachusetts Bd. of Retirement v. Murgia</w:t>
      </w:r>
      <w:r w:rsidRPr="00830330">
        <w:rPr>
          <w:lang w:val="en-US"/>
        </w:rPr>
        <w:t>, 427 U.S. 307, 322</w:t>
      </w:r>
      <w:r w:rsidRPr="006E67FE">
        <w:rPr>
          <w:lang w:val="en-US"/>
        </w:rPr>
        <w:t xml:space="preserve"> = 96 S. Ct. </w:t>
      </w:r>
      <w:r w:rsidRPr="00830330">
        <w:rPr>
          <w:lang w:val="en-US"/>
        </w:rPr>
        <w:t>2562, 2571</w:t>
      </w:r>
      <w:r w:rsidRPr="006E67FE">
        <w:rPr>
          <w:lang w:val="en-US"/>
        </w:rPr>
        <w:t xml:space="preserve"> = 49 L. Ed. </w:t>
      </w:r>
      <w:r w:rsidRPr="00830330">
        <w:rPr>
          <w:lang w:val="en-US"/>
        </w:rPr>
        <w:t>2d 520, 530</w:t>
      </w:r>
      <w:r w:rsidRPr="005D5028">
        <w:rPr>
          <w:lang w:val="en-US"/>
        </w:rPr>
        <w:t xml:space="preserve"> = 1976 U.S. LEXIS </w:t>
      </w:r>
      <w:r w:rsidRPr="00830330">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830330">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830330">
        <w:rPr>
          <w:lang w:val="en-US"/>
        </w:rPr>
        <w:t>Dec. (CCH) P10,998</w:t>
      </w:r>
      <w:r>
        <w:rPr>
          <w:lang w:val="en-US"/>
        </w:rPr>
        <w:t xml:space="preserve"> = 1 Employee Benefits </w:t>
      </w:r>
      <w:r w:rsidRPr="00830330">
        <w:rPr>
          <w:lang w:val="en-US"/>
        </w:rPr>
        <w:t xml:space="preserve">Cas. </w:t>
      </w:r>
      <w:r w:rsidRPr="00290519">
        <w:rPr>
          <w:lang w:val="en-US"/>
        </w:rPr>
        <w:t>(BNA) 1032 (1976)</w:t>
      </w:r>
      <w:r>
        <w:rPr>
          <w:lang w:val="en-US"/>
        </w:rPr>
        <w:t>.</w:t>
      </w:r>
    </w:p>
  </w:footnote>
  <w:footnote w:id="1803">
    <w:p w14:paraId="24666F77" w14:textId="77777777" w:rsidR="00074551" w:rsidRPr="00753122" w:rsidRDefault="00074551" w:rsidP="00074551">
      <w:pPr>
        <w:pStyle w:val="Funotentext"/>
        <w:rPr>
          <w:lang w:val="en-US"/>
        </w:rPr>
      </w:pPr>
      <w:r>
        <w:rPr>
          <w:rStyle w:val="Funotenzeichen"/>
          <w:rFonts w:eastAsiaTheme="majorEastAsia"/>
        </w:rPr>
        <w:footnoteRef/>
      </w:r>
      <w:r w:rsidRPr="00753122">
        <w:rPr>
          <w:lang w:val="en-US"/>
        </w:rPr>
        <w:t xml:space="preserve"> Unter </w:t>
      </w:r>
      <w:proofErr w:type="spellStart"/>
      <w:r w:rsidRPr="00753122">
        <w:rPr>
          <w:lang w:val="en-US"/>
        </w:rPr>
        <w:t>vielen</w:t>
      </w:r>
      <w:proofErr w:type="spellEnd"/>
      <w:r w:rsidRPr="00753122">
        <w:rPr>
          <w:lang w:val="en-US"/>
        </w:rPr>
        <w:t xml:space="preserve">, </w:t>
      </w:r>
      <w:proofErr w:type="spellStart"/>
      <w:r w:rsidRPr="00753122">
        <w:rPr>
          <w:lang w:val="en-US"/>
        </w:rPr>
        <w:t>siehe</w:t>
      </w:r>
      <w:proofErr w:type="spellEnd"/>
      <w:r w:rsidRPr="00753122">
        <w:rPr>
          <w:lang w:val="en-US"/>
        </w:rPr>
        <w:t xml:space="preserve"> </w:t>
      </w:r>
      <w:r w:rsidRPr="00B45592">
        <w:rPr>
          <w:i/>
          <w:lang w:val="en-US"/>
        </w:rPr>
        <w:t>Smith v. Texas</w:t>
      </w:r>
      <w:r w:rsidRPr="00753122">
        <w:rPr>
          <w:lang w:val="en-US"/>
        </w:rPr>
        <w:t>, 233 U.S. 630 (1914).</w:t>
      </w:r>
    </w:p>
  </w:footnote>
  <w:footnote w:id="1804">
    <w:p w14:paraId="08CEEBE5" w14:textId="77777777" w:rsidR="00074551" w:rsidRPr="00AA2857" w:rsidRDefault="00074551" w:rsidP="00074551">
      <w:pPr>
        <w:pStyle w:val="Funotentext"/>
        <w:rPr>
          <w:lang w:val="en-US"/>
        </w:rPr>
      </w:pPr>
      <w:r>
        <w:rPr>
          <w:rStyle w:val="Funotenzeichen"/>
          <w:rFonts w:eastAsiaTheme="majorEastAsia"/>
        </w:rPr>
        <w:footnoteRef/>
      </w:r>
      <w:r w:rsidRPr="00830330">
        <w:rPr>
          <w:lang w:val="en-US"/>
        </w:rPr>
        <w:t xml:space="preserve"> </w:t>
      </w:r>
      <w:proofErr w:type="spellStart"/>
      <w:r w:rsidRPr="00B45592">
        <w:rPr>
          <w:lang w:val="en-US"/>
        </w:rPr>
        <w:t>Siehe</w:t>
      </w:r>
      <w:proofErr w:type="spellEnd"/>
      <w:r w:rsidRPr="00E47138">
        <w:rPr>
          <w:lang w:val="en-US"/>
        </w:rPr>
        <w:t xml:space="preserve"> </w:t>
      </w:r>
      <w:r w:rsidRPr="009E57E1">
        <w:rPr>
          <w:i/>
          <w:lang w:val="en-US"/>
        </w:rPr>
        <w:t>Board of Regents v. Roth</w:t>
      </w:r>
      <w:r w:rsidRPr="00E47138">
        <w:rPr>
          <w:lang w:val="en-US"/>
        </w:rPr>
        <w:t>, 408 U.S. 564, 587 (1972</w:t>
      </w:r>
      <w:r w:rsidRPr="00A15962">
        <w:rPr>
          <w:lang w:val="en-US"/>
        </w:rPr>
        <w:t xml:space="preserve">) </w:t>
      </w:r>
      <w:bookmarkStart w:id="70" w:name="_Hlk228446107"/>
      <w:r w:rsidRPr="00A15962">
        <w:rPr>
          <w:lang w:val="en-US"/>
        </w:rPr>
        <w:t>(</w:t>
      </w:r>
      <w:r w:rsidRPr="00B45592">
        <w:rPr>
          <w:lang w:val="en-US"/>
        </w:rPr>
        <w:t xml:space="preserve">Dissens von Richter </w:t>
      </w:r>
      <w:r w:rsidRPr="00B45592">
        <w:rPr>
          <w:i/>
          <w:lang w:val="en-US"/>
        </w:rPr>
        <w:t>Marshall</w:t>
      </w:r>
      <w:r w:rsidRPr="00A15962">
        <w:rPr>
          <w:lang w:val="en-US"/>
        </w:rPr>
        <w:t>)</w:t>
      </w:r>
      <w:r w:rsidRPr="00B45592">
        <w:rPr>
          <w:lang w:val="en-US"/>
        </w:rPr>
        <w:t xml:space="preserve">; </w:t>
      </w:r>
      <w:bookmarkEnd w:id="70"/>
      <w:r w:rsidRPr="00A15962">
        <w:rPr>
          <w:i/>
          <w:lang w:val="en-US"/>
        </w:rPr>
        <w:t>Massachusetts Bd. of Retirement v. Murgia</w:t>
      </w:r>
      <w:r w:rsidRPr="00830330">
        <w:rPr>
          <w:lang w:val="en-US"/>
        </w:rPr>
        <w:t>, 427 U.S. 307, 323</w:t>
      </w:r>
      <w:r w:rsidRPr="006E67FE">
        <w:rPr>
          <w:lang w:val="en-US"/>
        </w:rPr>
        <w:t xml:space="preserve"> = 96 S. Ct. </w:t>
      </w:r>
      <w:r w:rsidRPr="00830330">
        <w:rPr>
          <w:lang w:val="en-US"/>
        </w:rPr>
        <w:t>2562, 2572</w:t>
      </w:r>
      <w:r w:rsidRPr="006E67FE">
        <w:rPr>
          <w:lang w:val="en-US"/>
        </w:rPr>
        <w:t xml:space="preserve"> = 49 L. Ed. </w:t>
      </w:r>
      <w:r w:rsidRPr="00830330">
        <w:rPr>
          <w:lang w:val="en-US"/>
        </w:rPr>
        <w:t>2d 520, 531</w:t>
      </w:r>
      <w:r w:rsidRPr="005D5028">
        <w:rPr>
          <w:lang w:val="en-US"/>
        </w:rPr>
        <w:t xml:space="preserve"> = 1976 U.S. LEXIS </w:t>
      </w:r>
      <w:r w:rsidRPr="00830330">
        <w:rPr>
          <w:lang w:val="en-US"/>
        </w:rPr>
        <w:t>9, 25</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830330">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830330">
        <w:rPr>
          <w:lang w:val="en-US"/>
        </w:rPr>
        <w:t>Dec. (CCH) P10,998</w:t>
      </w:r>
      <w:r>
        <w:rPr>
          <w:lang w:val="en-US"/>
        </w:rPr>
        <w:t xml:space="preserve"> = 1 Employee Benefits </w:t>
      </w:r>
      <w:r w:rsidRPr="00830330">
        <w:rPr>
          <w:lang w:val="en-US"/>
        </w:rPr>
        <w:t xml:space="preserve">Cas. </w:t>
      </w:r>
      <w:r w:rsidRPr="00AA2857">
        <w:rPr>
          <w:lang w:val="en-US"/>
        </w:rPr>
        <w:t>(BNA) 1032 (1976)</w:t>
      </w:r>
      <w:r>
        <w:rPr>
          <w:lang w:val="en-US"/>
        </w:rPr>
        <w:t>.</w:t>
      </w:r>
    </w:p>
  </w:footnote>
  <w:footnote w:id="1805">
    <w:p w14:paraId="053C647F" w14:textId="77777777" w:rsidR="00074551" w:rsidRPr="004A434C" w:rsidRDefault="00074551" w:rsidP="00074551">
      <w:pPr>
        <w:pStyle w:val="Funotentext"/>
        <w:rPr>
          <w:lang w:val="en-US"/>
        </w:rPr>
      </w:pPr>
      <w:r>
        <w:rPr>
          <w:rStyle w:val="Funotenzeichen"/>
        </w:rPr>
        <w:footnoteRef/>
      </w:r>
      <w:r w:rsidRPr="004A434C">
        <w:rPr>
          <w:lang w:val="en-US"/>
        </w:rPr>
        <w:t xml:space="preserve"> </w:t>
      </w:r>
      <w:r w:rsidRPr="00A15962">
        <w:rPr>
          <w:i/>
          <w:lang w:val="en-US"/>
        </w:rPr>
        <w:t>Mathews v. Lucas</w:t>
      </w:r>
      <w:r w:rsidRPr="004A434C">
        <w:rPr>
          <w:lang w:val="en-US"/>
        </w:rPr>
        <w:t>, 427 U.S. 495, 509</w:t>
      </w:r>
      <w:r w:rsidRPr="006E67FE">
        <w:rPr>
          <w:lang w:val="en-US"/>
        </w:rPr>
        <w:t xml:space="preserve"> = 96 S. Ct. </w:t>
      </w:r>
      <w:r w:rsidRPr="004A434C">
        <w:rPr>
          <w:lang w:val="en-US"/>
        </w:rPr>
        <w:t>2755, 2764</w:t>
      </w:r>
      <w:r w:rsidRPr="006E67FE">
        <w:rPr>
          <w:lang w:val="en-US"/>
        </w:rPr>
        <w:t xml:space="preserve"> = 49 L. Ed. </w:t>
      </w:r>
      <w:r w:rsidRPr="004A434C">
        <w:rPr>
          <w:lang w:val="en-US"/>
        </w:rPr>
        <w:t>2d 651, 663</w:t>
      </w:r>
      <w:r w:rsidRPr="005D5028">
        <w:rPr>
          <w:lang w:val="en-US"/>
        </w:rPr>
        <w:t xml:space="preserve"> = 1976 U.S. LEXIS </w:t>
      </w:r>
      <w:r w:rsidRPr="004A434C">
        <w:rPr>
          <w:lang w:val="en-US"/>
        </w:rPr>
        <w:t>79, 23 (1976)</w:t>
      </w:r>
      <w:r>
        <w:rPr>
          <w:lang w:val="en-US"/>
        </w:rPr>
        <w:t>.</w:t>
      </w:r>
    </w:p>
  </w:footnote>
  <w:footnote w:id="1806">
    <w:p w14:paraId="78E8075E" w14:textId="77777777" w:rsidR="00074551" w:rsidRPr="004A434C" w:rsidRDefault="00074551" w:rsidP="00074551">
      <w:pPr>
        <w:pStyle w:val="Funotentext"/>
        <w:rPr>
          <w:lang w:val="en-US"/>
        </w:rPr>
      </w:pPr>
      <w:r>
        <w:rPr>
          <w:rStyle w:val="Funotenzeichen"/>
        </w:rPr>
        <w:footnoteRef/>
      </w:r>
      <w:r w:rsidRPr="004A434C">
        <w:rPr>
          <w:lang w:val="en-US"/>
        </w:rPr>
        <w:t xml:space="preserve"> </w:t>
      </w:r>
      <w:r w:rsidRPr="00A15962">
        <w:rPr>
          <w:i/>
          <w:lang w:val="en-US"/>
        </w:rPr>
        <w:t>Mathews v. Lucas</w:t>
      </w:r>
      <w:r w:rsidRPr="004A434C">
        <w:rPr>
          <w:lang w:val="en-US"/>
        </w:rPr>
        <w:t>, 427 U.S. 495, 497</w:t>
      </w:r>
      <w:r w:rsidRPr="006E67FE">
        <w:rPr>
          <w:lang w:val="en-US"/>
        </w:rPr>
        <w:t xml:space="preserve"> = 96 S. Ct. </w:t>
      </w:r>
      <w:r w:rsidRPr="004A434C">
        <w:rPr>
          <w:lang w:val="en-US"/>
        </w:rPr>
        <w:t>2755, 2758</w:t>
      </w:r>
      <w:r w:rsidRPr="006E67FE">
        <w:rPr>
          <w:lang w:val="en-US"/>
        </w:rPr>
        <w:t xml:space="preserve"> = 49 L. Ed. </w:t>
      </w:r>
      <w:r w:rsidRPr="004A434C">
        <w:rPr>
          <w:lang w:val="en-US"/>
        </w:rPr>
        <w:t>2d 651, 656</w:t>
      </w:r>
      <w:r w:rsidRPr="005D5028">
        <w:rPr>
          <w:lang w:val="en-US"/>
        </w:rPr>
        <w:t xml:space="preserve"> = 1976 U.S. LEXIS </w:t>
      </w:r>
      <w:r w:rsidRPr="004A434C">
        <w:rPr>
          <w:lang w:val="en-US"/>
        </w:rPr>
        <w:t>79, 1 (1976)</w:t>
      </w:r>
      <w:r>
        <w:rPr>
          <w:lang w:val="en-US"/>
        </w:rPr>
        <w:t>.</w:t>
      </w:r>
    </w:p>
  </w:footnote>
  <w:footnote w:id="1807">
    <w:p w14:paraId="786F99EE" w14:textId="77777777" w:rsidR="00074551" w:rsidRPr="00807079" w:rsidRDefault="00074551" w:rsidP="00074551">
      <w:pPr>
        <w:pStyle w:val="Funotentext"/>
        <w:ind w:left="227" w:hanging="227"/>
        <w:rPr>
          <w:lang w:val="en-US"/>
        </w:rPr>
      </w:pPr>
      <w:r>
        <w:rPr>
          <w:rStyle w:val="Funotenzeichen"/>
          <w:rFonts w:eastAsiaTheme="majorEastAsia"/>
        </w:rPr>
        <w:footnoteRef/>
      </w:r>
      <w:r w:rsidRPr="00807079">
        <w:rPr>
          <w:lang w:val="en-US"/>
        </w:rPr>
        <w:t xml:space="preserve"> </w:t>
      </w:r>
      <w:r w:rsidRPr="00A15962">
        <w:rPr>
          <w:i/>
          <w:lang w:val="en-US"/>
        </w:rPr>
        <w:t>Mathews v. Lucas</w:t>
      </w:r>
      <w:r w:rsidRPr="00807079">
        <w:rPr>
          <w:lang w:val="en-US"/>
        </w:rPr>
        <w:t>, 427 U.S. 495, 497</w:t>
      </w:r>
      <w:r w:rsidRPr="006E67FE">
        <w:rPr>
          <w:lang w:val="en-US"/>
        </w:rPr>
        <w:t xml:space="preserve"> = 96 S. Ct. </w:t>
      </w:r>
      <w:r w:rsidRPr="00807079">
        <w:rPr>
          <w:lang w:val="en-US"/>
        </w:rPr>
        <w:t>2755, 2758</w:t>
      </w:r>
      <w:r w:rsidRPr="006E67FE">
        <w:rPr>
          <w:lang w:val="en-US"/>
        </w:rPr>
        <w:t xml:space="preserve"> = 49 L. Ed. </w:t>
      </w:r>
      <w:r w:rsidRPr="00807079">
        <w:rPr>
          <w:lang w:val="en-US"/>
        </w:rPr>
        <w:t>2d 651, 656</w:t>
      </w:r>
      <w:r w:rsidRPr="005D5028">
        <w:rPr>
          <w:lang w:val="en-US"/>
        </w:rPr>
        <w:t xml:space="preserve"> = 1976 U.S. LEXIS </w:t>
      </w:r>
      <w:r w:rsidRPr="00807079">
        <w:rPr>
          <w:lang w:val="en-US"/>
        </w:rPr>
        <w:t>79, 1 (1976)</w:t>
      </w:r>
      <w:r>
        <w:rPr>
          <w:lang w:val="en-US"/>
        </w:rPr>
        <w:t>.</w:t>
      </w:r>
    </w:p>
  </w:footnote>
  <w:footnote w:id="1808">
    <w:p w14:paraId="6C71382B" w14:textId="77777777" w:rsidR="00074551" w:rsidRPr="00AA2857" w:rsidRDefault="00074551" w:rsidP="00074551">
      <w:pPr>
        <w:pStyle w:val="Funotentext"/>
        <w:rPr>
          <w:lang w:val="en-US"/>
        </w:rPr>
      </w:pPr>
      <w:r>
        <w:rPr>
          <w:rStyle w:val="Funotenzeichen"/>
          <w:rFonts w:eastAsiaTheme="majorEastAsia"/>
        </w:rPr>
        <w:footnoteRef/>
      </w:r>
      <w:r w:rsidRPr="00AA2857">
        <w:rPr>
          <w:lang w:val="en-US"/>
        </w:rPr>
        <w:t xml:space="preserve"> </w:t>
      </w:r>
      <w:r w:rsidRPr="00B45592">
        <w:rPr>
          <w:i/>
          <w:lang w:val="en-US"/>
        </w:rPr>
        <w:t>Weber v. Aetna Casualty &amp; Surety Co.</w:t>
      </w:r>
      <w:r w:rsidRPr="00AA2857">
        <w:rPr>
          <w:lang w:val="en-US"/>
        </w:rPr>
        <w:t>, 406 U.S. 164, 173 (1972)</w:t>
      </w:r>
      <w:r>
        <w:rPr>
          <w:lang w:val="en-US"/>
        </w:rPr>
        <w:t xml:space="preserve">; </w:t>
      </w:r>
      <w:r w:rsidRPr="00A15962">
        <w:rPr>
          <w:i/>
          <w:lang w:val="en-US"/>
        </w:rPr>
        <w:t>Mathews v. Lucas</w:t>
      </w:r>
      <w:r w:rsidRPr="00AA2857">
        <w:rPr>
          <w:lang w:val="en-US"/>
        </w:rPr>
        <w:t>, 427 U.S. 495, 504</w:t>
      </w:r>
      <w:r w:rsidRPr="006E67FE">
        <w:rPr>
          <w:lang w:val="en-US"/>
        </w:rPr>
        <w:t xml:space="preserve"> = 96 S. Ct. </w:t>
      </w:r>
      <w:r w:rsidRPr="00AA2857">
        <w:rPr>
          <w:lang w:val="en-US"/>
        </w:rPr>
        <w:t>2755, 2761</w:t>
      </w:r>
      <w:r w:rsidRPr="006E67FE">
        <w:rPr>
          <w:lang w:val="en-US"/>
        </w:rPr>
        <w:t xml:space="preserve"> = 49 L. Ed. </w:t>
      </w:r>
      <w:r w:rsidRPr="00AA2857">
        <w:rPr>
          <w:lang w:val="en-US"/>
        </w:rPr>
        <w:t>2d 651, 660</w:t>
      </w:r>
      <w:r w:rsidRPr="005D5028">
        <w:rPr>
          <w:lang w:val="en-US"/>
        </w:rPr>
        <w:t xml:space="preserve"> = 1976 U.S. LEXIS </w:t>
      </w:r>
      <w:r w:rsidRPr="00AA2857">
        <w:rPr>
          <w:lang w:val="en-US"/>
        </w:rPr>
        <w:t>79, 14 (1976)</w:t>
      </w:r>
      <w:r>
        <w:rPr>
          <w:lang w:val="en-US"/>
        </w:rPr>
        <w:t>.</w:t>
      </w:r>
    </w:p>
  </w:footnote>
  <w:footnote w:id="1809">
    <w:p w14:paraId="4E84BB70" w14:textId="77777777" w:rsidR="00074551" w:rsidRPr="00AA2857" w:rsidRDefault="00074551" w:rsidP="00074551">
      <w:pPr>
        <w:pStyle w:val="Funotentext"/>
        <w:rPr>
          <w:lang w:val="en-US"/>
        </w:rPr>
      </w:pPr>
      <w:r>
        <w:rPr>
          <w:rStyle w:val="Funotenzeichen"/>
          <w:rFonts w:eastAsiaTheme="majorEastAsia"/>
        </w:rPr>
        <w:footnoteRef/>
      </w:r>
      <w:r w:rsidRPr="00AA2857">
        <w:rPr>
          <w:lang w:val="en-US"/>
        </w:rPr>
        <w:t xml:space="preserve"> </w:t>
      </w:r>
      <w:r w:rsidRPr="00A15962">
        <w:rPr>
          <w:i/>
          <w:lang w:val="en-US"/>
        </w:rPr>
        <w:t>Hirabayashi v. United States</w:t>
      </w:r>
      <w:r w:rsidRPr="00AA2857">
        <w:rPr>
          <w:lang w:val="en-US"/>
        </w:rPr>
        <w:t>, 320 U.S. 81, 100</w:t>
      </w:r>
      <w:r>
        <w:rPr>
          <w:lang w:val="en-US"/>
        </w:rPr>
        <w:t xml:space="preserve">; </w:t>
      </w:r>
      <w:r w:rsidRPr="00A15962">
        <w:rPr>
          <w:i/>
          <w:lang w:val="en-US"/>
        </w:rPr>
        <w:t>Mathews v. Lucas</w:t>
      </w:r>
      <w:r w:rsidRPr="00AA2857">
        <w:rPr>
          <w:lang w:val="en-US"/>
        </w:rPr>
        <w:t>, 427 U.S. 495, 520</w:t>
      </w:r>
      <w:r w:rsidRPr="006E67FE">
        <w:rPr>
          <w:lang w:val="en-US"/>
        </w:rPr>
        <w:t xml:space="preserve"> = 96 S. Ct. </w:t>
      </w:r>
      <w:r w:rsidRPr="00AA2857">
        <w:rPr>
          <w:lang w:val="en-US"/>
        </w:rPr>
        <w:t>2755, 2769</w:t>
      </w:r>
      <w:r w:rsidRPr="006E67FE">
        <w:rPr>
          <w:lang w:val="en-US"/>
        </w:rPr>
        <w:t xml:space="preserve"> = 49 L. Ed. </w:t>
      </w:r>
      <w:r w:rsidRPr="00AA2857">
        <w:rPr>
          <w:lang w:val="en-US"/>
        </w:rPr>
        <w:t>2d 651, 670</w:t>
      </w:r>
      <w:r w:rsidRPr="005D5028">
        <w:rPr>
          <w:lang w:val="en-US"/>
        </w:rPr>
        <w:t xml:space="preserve"> = 1976 U.S. LEXIS </w:t>
      </w:r>
      <w:r w:rsidRPr="00AA2857">
        <w:rPr>
          <w:lang w:val="en-US"/>
        </w:rPr>
        <w:t>79, 42 (1976)</w:t>
      </w:r>
      <w:r>
        <w:rPr>
          <w:lang w:val="en-US"/>
        </w:rPr>
        <w:t>.</w:t>
      </w:r>
    </w:p>
  </w:footnote>
  <w:footnote w:id="1810">
    <w:p w14:paraId="55178E3B" w14:textId="77777777" w:rsidR="00074551" w:rsidRPr="00A81C2E" w:rsidRDefault="00074551" w:rsidP="00074551">
      <w:pPr>
        <w:pStyle w:val="Funotentext"/>
        <w:rPr>
          <w:lang w:val="en-US"/>
        </w:rPr>
      </w:pPr>
      <w:r>
        <w:rPr>
          <w:rStyle w:val="Funotenzeichen"/>
          <w:rFonts w:eastAsiaTheme="majorEastAsia"/>
        </w:rPr>
        <w:footnoteRef/>
      </w:r>
      <w:r w:rsidRPr="00A81C2E">
        <w:rPr>
          <w:lang w:val="en-US"/>
        </w:rPr>
        <w:t xml:space="preserve"> </w:t>
      </w:r>
      <w:r w:rsidRPr="00A15962">
        <w:rPr>
          <w:i/>
          <w:lang w:val="en-US"/>
        </w:rPr>
        <w:t>Hirabayashi v. United States</w:t>
      </w:r>
      <w:r w:rsidRPr="00AA2857">
        <w:rPr>
          <w:lang w:val="en-US"/>
        </w:rPr>
        <w:t>, 320 U.S. 81, 100</w:t>
      </w:r>
      <w:r>
        <w:rPr>
          <w:lang w:val="en-US"/>
        </w:rPr>
        <w:t xml:space="preserve">; </w:t>
      </w:r>
      <w:r w:rsidRPr="00A15962">
        <w:rPr>
          <w:i/>
          <w:lang w:val="en-US"/>
        </w:rPr>
        <w:t>Mathews v. Lucas</w:t>
      </w:r>
      <w:r w:rsidRPr="00AA2857">
        <w:rPr>
          <w:lang w:val="en-US"/>
        </w:rPr>
        <w:t>, 427 U.S. 495, 520</w:t>
      </w:r>
      <w:r w:rsidRPr="006E67FE">
        <w:rPr>
          <w:lang w:val="en-US"/>
        </w:rPr>
        <w:t xml:space="preserve"> = 96 S. Ct. </w:t>
      </w:r>
      <w:r w:rsidRPr="00AA2857">
        <w:rPr>
          <w:lang w:val="en-US"/>
        </w:rPr>
        <w:t>2755, 2769</w:t>
      </w:r>
      <w:r w:rsidRPr="006E67FE">
        <w:rPr>
          <w:lang w:val="en-US"/>
        </w:rPr>
        <w:t xml:space="preserve"> = 49 L. Ed. </w:t>
      </w:r>
      <w:r w:rsidRPr="00AA2857">
        <w:rPr>
          <w:lang w:val="en-US"/>
        </w:rPr>
        <w:t>2d 651, 670</w:t>
      </w:r>
      <w:r w:rsidRPr="005D5028">
        <w:rPr>
          <w:lang w:val="en-US"/>
        </w:rPr>
        <w:t xml:space="preserve"> = 1976 U.S. LEXIS </w:t>
      </w:r>
      <w:r w:rsidRPr="00AA2857">
        <w:rPr>
          <w:lang w:val="en-US"/>
        </w:rPr>
        <w:t>79, 42 (1976)</w:t>
      </w:r>
      <w:r>
        <w:rPr>
          <w:lang w:val="en-US"/>
        </w:rPr>
        <w:t>.</w:t>
      </w:r>
    </w:p>
  </w:footnote>
  <w:footnote w:id="1811">
    <w:p w14:paraId="03B83F69" w14:textId="77777777" w:rsidR="00074551" w:rsidRPr="00A81C2E" w:rsidRDefault="00074551" w:rsidP="00074551">
      <w:pPr>
        <w:pStyle w:val="Funotentext"/>
        <w:rPr>
          <w:lang w:val="en-US"/>
        </w:rPr>
      </w:pPr>
      <w:r>
        <w:rPr>
          <w:rStyle w:val="Funotenzeichen"/>
          <w:rFonts w:eastAsiaTheme="majorEastAsia"/>
        </w:rPr>
        <w:footnoteRef/>
      </w:r>
      <w:r w:rsidRPr="00A81C2E">
        <w:rPr>
          <w:lang w:val="en-US"/>
        </w:rPr>
        <w:t xml:space="preserve"> </w:t>
      </w:r>
      <w:r w:rsidRPr="00A15962">
        <w:rPr>
          <w:i/>
          <w:lang w:val="en-US"/>
        </w:rPr>
        <w:t>Hirabayashi v. United States</w:t>
      </w:r>
      <w:r w:rsidRPr="00AA2857">
        <w:rPr>
          <w:lang w:val="en-US"/>
        </w:rPr>
        <w:t>, 320 U.S. 81, 100</w:t>
      </w:r>
      <w:r>
        <w:rPr>
          <w:lang w:val="en-US"/>
        </w:rPr>
        <w:t xml:space="preserve">; </w:t>
      </w:r>
      <w:r w:rsidRPr="00A15962">
        <w:rPr>
          <w:i/>
          <w:lang w:val="en-US"/>
        </w:rPr>
        <w:t>Mathews v. Lucas</w:t>
      </w:r>
      <w:r w:rsidRPr="00AA2857">
        <w:rPr>
          <w:lang w:val="en-US"/>
        </w:rPr>
        <w:t>, 427 U.S. 495, 520</w:t>
      </w:r>
      <w:r w:rsidRPr="006E67FE">
        <w:rPr>
          <w:lang w:val="en-US"/>
        </w:rPr>
        <w:t xml:space="preserve"> = 96 S. Ct. </w:t>
      </w:r>
      <w:r w:rsidRPr="00AA2857">
        <w:rPr>
          <w:lang w:val="en-US"/>
        </w:rPr>
        <w:t>2755, 2769</w:t>
      </w:r>
      <w:r w:rsidRPr="006E67FE">
        <w:rPr>
          <w:lang w:val="en-US"/>
        </w:rPr>
        <w:t xml:space="preserve"> = 49 L. Ed. </w:t>
      </w:r>
      <w:r w:rsidRPr="00AA2857">
        <w:rPr>
          <w:lang w:val="en-US"/>
        </w:rPr>
        <w:t>2d 651, 670</w:t>
      </w:r>
      <w:r w:rsidRPr="005D5028">
        <w:rPr>
          <w:lang w:val="en-US"/>
        </w:rPr>
        <w:t xml:space="preserve"> = 1976 U.S. LEXIS </w:t>
      </w:r>
      <w:r w:rsidRPr="00AA2857">
        <w:rPr>
          <w:lang w:val="en-US"/>
        </w:rPr>
        <w:t>79, 42 (1976)</w:t>
      </w:r>
      <w:r>
        <w:rPr>
          <w:lang w:val="en-US"/>
        </w:rPr>
        <w:t>.</w:t>
      </w:r>
    </w:p>
  </w:footnote>
  <w:footnote w:id="1812">
    <w:p w14:paraId="4E6547AE" w14:textId="77777777" w:rsidR="00074551" w:rsidRPr="00A81C2E" w:rsidRDefault="00074551" w:rsidP="00074551">
      <w:pPr>
        <w:pStyle w:val="Funotentext"/>
        <w:rPr>
          <w:lang w:val="en-US"/>
        </w:rPr>
      </w:pPr>
      <w:r>
        <w:rPr>
          <w:rStyle w:val="Funotenzeichen"/>
          <w:rFonts w:eastAsiaTheme="majorEastAsia"/>
        </w:rPr>
        <w:footnoteRef/>
      </w:r>
      <w:r w:rsidRPr="00A81C2E">
        <w:rPr>
          <w:lang w:val="en-US"/>
        </w:rPr>
        <w:t xml:space="preserve"> </w:t>
      </w:r>
      <w:r w:rsidRPr="00A15962">
        <w:rPr>
          <w:i/>
          <w:lang w:val="en-US"/>
        </w:rPr>
        <w:t>Mathews v. Lucas</w:t>
      </w:r>
      <w:r w:rsidRPr="00A81C2E">
        <w:rPr>
          <w:lang w:val="en-US"/>
        </w:rPr>
        <w:t>, 427 U.S. 495, 520</w:t>
      </w:r>
      <w:r w:rsidRPr="006E67FE">
        <w:rPr>
          <w:lang w:val="en-US"/>
        </w:rPr>
        <w:t xml:space="preserve"> = 96 S. Ct. </w:t>
      </w:r>
      <w:r w:rsidRPr="00A81C2E">
        <w:rPr>
          <w:lang w:val="en-US"/>
        </w:rPr>
        <w:t>2755, 2769</w:t>
      </w:r>
      <w:r w:rsidRPr="006E67FE">
        <w:rPr>
          <w:lang w:val="en-US"/>
        </w:rPr>
        <w:t xml:space="preserve"> = 49 L. Ed. </w:t>
      </w:r>
      <w:r w:rsidRPr="00A81C2E">
        <w:rPr>
          <w:lang w:val="en-US"/>
        </w:rPr>
        <w:t>2d 651, 670</w:t>
      </w:r>
      <w:r w:rsidRPr="005D5028">
        <w:rPr>
          <w:lang w:val="en-US"/>
        </w:rPr>
        <w:t xml:space="preserve"> = 1976 U.S. LEXIS </w:t>
      </w:r>
      <w:r w:rsidRPr="00A81C2E">
        <w:rPr>
          <w:lang w:val="en-US"/>
        </w:rPr>
        <w:t>79, 42 (1976)</w:t>
      </w:r>
      <w:r>
        <w:rPr>
          <w:lang w:val="en-US"/>
        </w:rPr>
        <w:t>.</w:t>
      </w:r>
    </w:p>
  </w:footnote>
  <w:footnote w:id="1813">
    <w:p w14:paraId="1E7BC251" w14:textId="77777777" w:rsidR="00074551" w:rsidRPr="00A81C2E" w:rsidRDefault="00074551" w:rsidP="00074551">
      <w:pPr>
        <w:pStyle w:val="Funotentext"/>
        <w:rPr>
          <w:lang w:val="en-US"/>
        </w:rPr>
      </w:pPr>
      <w:r>
        <w:rPr>
          <w:rStyle w:val="Funotenzeichen"/>
          <w:rFonts w:eastAsiaTheme="majorEastAsia"/>
        </w:rPr>
        <w:footnoteRef/>
      </w:r>
      <w:r w:rsidRPr="00A81C2E">
        <w:rPr>
          <w:lang w:val="en-US"/>
        </w:rPr>
        <w:t xml:space="preserve"> </w:t>
      </w:r>
      <w:r w:rsidRPr="00A15962">
        <w:rPr>
          <w:i/>
          <w:lang w:val="en-US"/>
        </w:rPr>
        <w:t>Mathews v. Lucas</w:t>
      </w:r>
      <w:r w:rsidRPr="00A81C2E">
        <w:rPr>
          <w:lang w:val="en-US"/>
        </w:rPr>
        <w:t>, 427 U.S. 495, 520</w:t>
      </w:r>
      <w:r w:rsidRPr="006E67FE">
        <w:rPr>
          <w:lang w:val="en-US"/>
        </w:rPr>
        <w:t xml:space="preserve"> = 96 S. Ct. </w:t>
      </w:r>
      <w:r w:rsidRPr="00A81C2E">
        <w:rPr>
          <w:lang w:val="en-US"/>
        </w:rPr>
        <w:t>2755, 2769</w:t>
      </w:r>
      <w:r w:rsidRPr="006E67FE">
        <w:rPr>
          <w:lang w:val="en-US"/>
        </w:rPr>
        <w:t xml:space="preserve"> = 49 L. Ed. </w:t>
      </w:r>
      <w:r w:rsidRPr="00A81C2E">
        <w:rPr>
          <w:lang w:val="en-US"/>
        </w:rPr>
        <w:t>2d 651, 669</w:t>
      </w:r>
      <w:r w:rsidRPr="005D5028">
        <w:rPr>
          <w:lang w:val="en-US"/>
        </w:rPr>
        <w:t xml:space="preserve"> = 1976 U.S. LEXIS </w:t>
      </w:r>
      <w:r w:rsidRPr="00A81C2E">
        <w:rPr>
          <w:lang w:val="en-US"/>
        </w:rPr>
        <w:t>79, 42 (1976)</w:t>
      </w:r>
      <w:r>
        <w:rPr>
          <w:lang w:val="en-US"/>
        </w:rPr>
        <w:t>.</w:t>
      </w:r>
    </w:p>
  </w:footnote>
  <w:footnote w:id="1814">
    <w:p w14:paraId="0CDA6AAE" w14:textId="77777777" w:rsidR="00074551" w:rsidRPr="00A81C2E" w:rsidRDefault="00074551" w:rsidP="00074551">
      <w:pPr>
        <w:pStyle w:val="Funotentext"/>
        <w:rPr>
          <w:lang w:val="en-US"/>
        </w:rPr>
      </w:pPr>
      <w:r>
        <w:rPr>
          <w:rStyle w:val="Funotenzeichen"/>
          <w:rFonts w:eastAsiaTheme="majorEastAsia"/>
        </w:rPr>
        <w:footnoteRef/>
      </w:r>
      <w:r w:rsidRPr="00A81C2E">
        <w:rPr>
          <w:lang w:val="en-US"/>
        </w:rPr>
        <w:t xml:space="preserve"> </w:t>
      </w:r>
      <w:r w:rsidRPr="00A15962">
        <w:rPr>
          <w:i/>
          <w:lang w:val="en-US"/>
        </w:rPr>
        <w:t>Mathews v. Lucas</w:t>
      </w:r>
      <w:r w:rsidRPr="00A81C2E">
        <w:rPr>
          <w:lang w:val="en-US"/>
        </w:rPr>
        <w:t>, 427 U.S. 495, 520</w:t>
      </w:r>
      <w:r w:rsidRPr="006E67FE">
        <w:rPr>
          <w:lang w:val="en-US"/>
        </w:rPr>
        <w:t xml:space="preserve"> = 96 S. Ct. </w:t>
      </w:r>
      <w:r w:rsidRPr="00A81C2E">
        <w:rPr>
          <w:lang w:val="en-US"/>
        </w:rPr>
        <w:t>2755, 2769</w:t>
      </w:r>
      <w:r w:rsidRPr="006E67FE">
        <w:rPr>
          <w:lang w:val="en-US"/>
        </w:rPr>
        <w:t xml:space="preserve"> = 49 L. Ed. </w:t>
      </w:r>
      <w:r w:rsidRPr="00A81C2E">
        <w:rPr>
          <w:lang w:val="en-US"/>
        </w:rPr>
        <w:t>2d 651, 669</w:t>
      </w:r>
      <w:r w:rsidRPr="005D5028">
        <w:rPr>
          <w:lang w:val="en-US"/>
        </w:rPr>
        <w:t xml:space="preserve"> = 1976 U.S. LEXIS </w:t>
      </w:r>
      <w:r w:rsidRPr="00A81C2E">
        <w:rPr>
          <w:lang w:val="en-US"/>
        </w:rPr>
        <w:t>79, 42 (1976)</w:t>
      </w:r>
      <w:r>
        <w:rPr>
          <w:lang w:val="en-US"/>
        </w:rPr>
        <w:t>.</w:t>
      </w:r>
    </w:p>
  </w:footnote>
  <w:footnote w:id="1815">
    <w:p w14:paraId="323B531A" w14:textId="77777777" w:rsidR="00074551" w:rsidRDefault="00074551" w:rsidP="00074551">
      <w:pPr>
        <w:pStyle w:val="Funotentext"/>
        <w:ind w:left="227" w:hanging="227"/>
        <w:rPr>
          <w:lang w:val="en-US"/>
        </w:rPr>
      </w:pPr>
      <w:r>
        <w:rPr>
          <w:rStyle w:val="Funotenzeichen"/>
          <w:rFonts w:eastAsiaTheme="majorEastAsia"/>
        </w:rPr>
        <w:footnoteRef/>
      </w:r>
      <w:r w:rsidRPr="00964F27">
        <w:rPr>
          <w:lang w:val="en-US"/>
        </w:rPr>
        <w:t xml:space="preserve"> </w:t>
      </w:r>
      <w:proofErr w:type="spellStart"/>
      <w:r>
        <w:rPr>
          <w:lang w:val="en-US"/>
        </w:rPr>
        <w:t>Siehe</w:t>
      </w:r>
      <w:proofErr w:type="spellEnd"/>
      <w:r>
        <w:rPr>
          <w:lang w:val="en-US"/>
        </w:rPr>
        <w:t xml:space="preserve"> </w:t>
      </w:r>
      <w:r w:rsidRPr="00B45592">
        <w:rPr>
          <w:i/>
          <w:lang w:val="en-US"/>
        </w:rPr>
        <w:t>Headnotes</w:t>
      </w:r>
      <w:r>
        <w:rPr>
          <w:lang w:val="en-US"/>
        </w:rPr>
        <w:t xml:space="preserve"> in </w:t>
      </w:r>
      <w:r w:rsidRPr="009167A5">
        <w:rPr>
          <w:i/>
          <w:lang w:val="en-US"/>
        </w:rPr>
        <w:t>Regents of Univ. of Cal. v. Bakke</w:t>
      </w:r>
      <w:r w:rsidRPr="00964F27">
        <w:rPr>
          <w:lang w:val="en-US"/>
        </w:rPr>
        <w:t>, 438 U.S. 265, 269</w:t>
      </w:r>
      <w:r w:rsidRPr="003B741A">
        <w:rPr>
          <w:lang w:val="en-US"/>
        </w:rPr>
        <w:t xml:space="preserve"> = 98 S. Ct. </w:t>
      </w:r>
      <w:r w:rsidRPr="00964F27">
        <w:rPr>
          <w:lang w:val="en-US"/>
        </w:rPr>
        <w:t>2733, 2737</w:t>
      </w:r>
      <w:r w:rsidRPr="006E67FE">
        <w:rPr>
          <w:lang w:val="en-US"/>
        </w:rPr>
        <w:t xml:space="preserve"> = 57 L. Ed. </w:t>
      </w:r>
      <w:r w:rsidRPr="00964F27">
        <w:rPr>
          <w:lang w:val="en-US"/>
        </w:rPr>
        <w:t>2d 750, 758</w:t>
      </w:r>
      <w:r w:rsidRPr="003B741A">
        <w:rPr>
          <w:lang w:val="en-US"/>
        </w:rPr>
        <w:t xml:space="preserve"> = 1978 U.S. LEXIS </w:t>
      </w:r>
      <w:r w:rsidRPr="00964F27">
        <w:rPr>
          <w:lang w:val="en-US"/>
        </w:rPr>
        <w:t>5, 1</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964F27">
        <w:rPr>
          <w:lang w:val="en-US"/>
        </w:rPr>
        <w:t>Cas. (BNA) 1000</w:t>
      </w:r>
      <w:r w:rsidRPr="006E67FE">
        <w:rPr>
          <w:lang w:val="en-US"/>
        </w:rPr>
        <w:t xml:space="preserve"> = </w:t>
      </w:r>
    </w:p>
    <w:p w14:paraId="28EFE7A3" w14:textId="77777777" w:rsidR="00074551" w:rsidRPr="00964F27" w:rsidRDefault="00074551" w:rsidP="00074551">
      <w:pPr>
        <w:pStyle w:val="Funotentext"/>
        <w:ind w:left="227" w:hanging="227"/>
        <w:rPr>
          <w:lang w:val="en-US"/>
        </w:rPr>
      </w:pPr>
      <w:r w:rsidRPr="006E67FE">
        <w:rPr>
          <w:lang w:val="en-US"/>
        </w:rPr>
        <w:t xml:space="preserve">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964F27">
        <w:rPr>
          <w:lang w:val="en-US"/>
        </w:rPr>
        <w:t>(CCH) P8402 (1978)</w:t>
      </w:r>
      <w:r>
        <w:rPr>
          <w:lang w:val="en-US"/>
        </w:rPr>
        <w:t>.</w:t>
      </w:r>
    </w:p>
  </w:footnote>
  <w:footnote w:id="1816">
    <w:p w14:paraId="16960DDE" w14:textId="77777777" w:rsidR="00074551" w:rsidRPr="00223CB1" w:rsidRDefault="00074551" w:rsidP="00074551">
      <w:pPr>
        <w:pStyle w:val="Funotentext"/>
        <w:rPr>
          <w:lang w:val="en-US"/>
        </w:rPr>
      </w:pPr>
      <w:r>
        <w:rPr>
          <w:rStyle w:val="Funotenzeichen"/>
          <w:rFonts w:eastAsiaTheme="majorEastAsia"/>
        </w:rPr>
        <w:footnoteRef/>
      </w:r>
      <w:r w:rsidRPr="00223CB1">
        <w:rPr>
          <w:lang w:val="en-US"/>
        </w:rPr>
        <w:t xml:space="preserve"> </w:t>
      </w:r>
      <w:r w:rsidRPr="00A15962">
        <w:rPr>
          <w:i/>
          <w:lang w:val="en-US"/>
        </w:rPr>
        <w:t>Hirabayashi v. United States</w:t>
      </w:r>
      <w:r w:rsidRPr="00223CB1">
        <w:rPr>
          <w:lang w:val="en-US"/>
        </w:rPr>
        <w:t>, 320 U.S. 100</w:t>
      </w:r>
      <w:r>
        <w:rPr>
          <w:lang w:val="en-US"/>
        </w:rPr>
        <w:t xml:space="preserve">; </w:t>
      </w:r>
      <w:r w:rsidRPr="009167A5">
        <w:rPr>
          <w:i/>
          <w:lang w:val="en-US"/>
        </w:rPr>
        <w:t>Regents of Univ. of Cal. v. Bakke</w:t>
      </w:r>
      <w:r w:rsidRPr="00223CB1">
        <w:rPr>
          <w:lang w:val="en-US"/>
        </w:rPr>
        <w:t>, 438 U.S. 265, 291</w:t>
      </w:r>
      <w:r w:rsidRPr="003B741A">
        <w:rPr>
          <w:lang w:val="en-US"/>
        </w:rPr>
        <w:t xml:space="preserve"> = 98 S. Ct. </w:t>
      </w:r>
      <w:r w:rsidRPr="00223CB1">
        <w:rPr>
          <w:lang w:val="en-US"/>
        </w:rPr>
        <w:t>2733, 2748</w:t>
      </w:r>
      <w:r w:rsidRPr="006E67FE">
        <w:rPr>
          <w:lang w:val="en-US"/>
        </w:rPr>
        <w:t xml:space="preserve"> = 57 L. Ed. </w:t>
      </w:r>
      <w:r w:rsidRPr="00223CB1">
        <w:rPr>
          <w:lang w:val="en-US"/>
        </w:rPr>
        <w:t>2d 750, 771</w:t>
      </w:r>
      <w:r w:rsidRPr="003B741A">
        <w:rPr>
          <w:lang w:val="en-US"/>
        </w:rPr>
        <w:t xml:space="preserve"> = 1978 U.S. LEXIS </w:t>
      </w:r>
      <w:r w:rsidRPr="00223CB1">
        <w:rPr>
          <w:lang w:val="en-US"/>
        </w:rPr>
        <w:t>5, 43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223CB1">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223CB1">
        <w:rPr>
          <w:lang w:val="en-US"/>
        </w:rPr>
        <w:t>(CCH) P8402 (1978)</w:t>
      </w:r>
      <w:r>
        <w:rPr>
          <w:lang w:val="en-US"/>
        </w:rPr>
        <w:t>.</w:t>
      </w:r>
    </w:p>
  </w:footnote>
  <w:footnote w:id="1817">
    <w:p w14:paraId="159EB33A" w14:textId="77777777" w:rsidR="00074551" w:rsidRPr="00223CB1" w:rsidRDefault="00074551" w:rsidP="00074551">
      <w:pPr>
        <w:pStyle w:val="Funotentext"/>
        <w:rPr>
          <w:lang w:val="en-US"/>
        </w:rPr>
      </w:pPr>
      <w:r>
        <w:rPr>
          <w:rStyle w:val="Funotenzeichen"/>
          <w:rFonts w:eastAsiaTheme="majorEastAsia"/>
        </w:rPr>
        <w:footnoteRef/>
      </w:r>
      <w:r w:rsidRPr="00223CB1">
        <w:rPr>
          <w:lang w:val="en-US"/>
        </w:rPr>
        <w:t xml:space="preserve"> </w:t>
      </w:r>
      <w:r w:rsidRPr="00A15962">
        <w:rPr>
          <w:i/>
          <w:lang w:val="en-US"/>
        </w:rPr>
        <w:t>Hirabayashi v. United States</w:t>
      </w:r>
      <w:r w:rsidRPr="00223CB1">
        <w:rPr>
          <w:lang w:val="en-US"/>
        </w:rPr>
        <w:t>, 320 U.S. 100</w:t>
      </w:r>
      <w:r>
        <w:rPr>
          <w:lang w:val="en-US"/>
        </w:rPr>
        <w:t xml:space="preserve">; </w:t>
      </w:r>
      <w:r w:rsidRPr="009167A5">
        <w:rPr>
          <w:i/>
          <w:lang w:val="en-US"/>
        </w:rPr>
        <w:t>Regents of Univ. of Cal. v. Bakke</w:t>
      </w:r>
      <w:r w:rsidRPr="00223CB1">
        <w:rPr>
          <w:lang w:val="en-US"/>
        </w:rPr>
        <w:t>, 438 U.S. 265</w:t>
      </w:r>
      <w:r w:rsidRPr="003B741A">
        <w:rPr>
          <w:lang w:val="en-US"/>
        </w:rPr>
        <w:t xml:space="preserve"> = 98 S. Ct. </w:t>
      </w:r>
      <w:r w:rsidRPr="00223CB1">
        <w:rPr>
          <w:lang w:val="en-US"/>
        </w:rPr>
        <w:t>2733</w:t>
      </w:r>
      <w:r w:rsidRPr="006E67FE">
        <w:rPr>
          <w:lang w:val="en-US"/>
        </w:rPr>
        <w:t xml:space="preserve"> = 57 L. Ed. </w:t>
      </w:r>
      <w:r w:rsidRPr="00223CB1">
        <w:rPr>
          <w:lang w:val="en-US"/>
        </w:rPr>
        <w:t>2d 750</w:t>
      </w:r>
      <w:r w:rsidRPr="003B741A">
        <w:rPr>
          <w:lang w:val="en-US"/>
        </w:rPr>
        <w:t xml:space="preserve"> = 1978 U.S. LEXIS </w:t>
      </w:r>
      <w:r w:rsidRPr="00223CB1">
        <w:rPr>
          <w:lang w:val="en-US"/>
        </w:rPr>
        <w:t>5</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223CB1">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223CB1">
        <w:rPr>
          <w:lang w:val="en-US"/>
        </w:rPr>
        <w:t>(CCH) P8402 (1978)</w:t>
      </w:r>
      <w:r>
        <w:rPr>
          <w:lang w:val="en-US"/>
        </w:rPr>
        <w:t>.</w:t>
      </w:r>
    </w:p>
  </w:footnote>
  <w:footnote w:id="1818">
    <w:p w14:paraId="044E66AE" w14:textId="77777777" w:rsidR="00074551" w:rsidRPr="00223CB1" w:rsidRDefault="00074551" w:rsidP="00074551">
      <w:pPr>
        <w:pStyle w:val="Funotentext"/>
        <w:rPr>
          <w:lang w:val="en-US"/>
        </w:rPr>
      </w:pPr>
      <w:r>
        <w:rPr>
          <w:rStyle w:val="Funotenzeichen"/>
          <w:rFonts w:eastAsiaTheme="majorEastAsia"/>
        </w:rPr>
        <w:footnoteRef/>
      </w:r>
      <w:r w:rsidRPr="00223CB1">
        <w:rPr>
          <w:lang w:val="en-US"/>
        </w:rPr>
        <w:t xml:space="preserve"> </w:t>
      </w:r>
      <w:r w:rsidRPr="009167A5">
        <w:rPr>
          <w:i/>
          <w:lang w:val="en-US"/>
        </w:rPr>
        <w:t>Regents of Univ. of Cal. v. Bakke</w:t>
      </w:r>
      <w:r w:rsidRPr="00223CB1">
        <w:rPr>
          <w:lang w:val="en-US"/>
        </w:rPr>
        <w:t>, 438 U.S. 265, 291</w:t>
      </w:r>
      <w:r w:rsidRPr="003B741A">
        <w:rPr>
          <w:lang w:val="en-US"/>
        </w:rPr>
        <w:t xml:space="preserve"> = 98 S. Ct. </w:t>
      </w:r>
      <w:r w:rsidRPr="00223CB1">
        <w:rPr>
          <w:lang w:val="en-US"/>
        </w:rPr>
        <w:t>2733, 2748</w:t>
      </w:r>
      <w:r w:rsidRPr="006E67FE">
        <w:rPr>
          <w:lang w:val="en-US"/>
        </w:rPr>
        <w:t xml:space="preserve"> = 57 L. Ed. </w:t>
      </w:r>
      <w:r w:rsidRPr="00223CB1">
        <w:rPr>
          <w:lang w:val="en-US"/>
        </w:rPr>
        <w:t>2d 750, 771</w:t>
      </w:r>
      <w:r w:rsidRPr="003B741A">
        <w:rPr>
          <w:lang w:val="en-US"/>
        </w:rPr>
        <w:t xml:space="preserve"> = 1978 U.S. LEXIS </w:t>
      </w:r>
      <w:r w:rsidRPr="00223CB1">
        <w:rPr>
          <w:lang w:val="en-US"/>
        </w:rPr>
        <w:t>5, 43</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223CB1">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223CB1">
        <w:rPr>
          <w:lang w:val="en-US"/>
        </w:rPr>
        <w:t>(CCH) P8402 (1978).</w:t>
      </w:r>
    </w:p>
  </w:footnote>
  <w:footnote w:id="1819">
    <w:p w14:paraId="4EC5D3F0" w14:textId="77777777" w:rsidR="00074551" w:rsidRPr="00F941AA" w:rsidRDefault="00074551" w:rsidP="00074551">
      <w:pPr>
        <w:pStyle w:val="Funotentext"/>
        <w:rPr>
          <w:lang w:val="en-US"/>
        </w:rPr>
      </w:pPr>
      <w:r>
        <w:rPr>
          <w:rStyle w:val="Funotenzeichen"/>
          <w:rFonts w:eastAsiaTheme="majorEastAsia"/>
        </w:rPr>
        <w:footnoteRef/>
      </w:r>
      <w:r w:rsidRPr="00F941AA">
        <w:rPr>
          <w:lang w:val="en-US"/>
        </w:rPr>
        <w:t xml:space="preserve"> </w:t>
      </w:r>
      <w:r w:rsidRPr="009167A5">
        <w:rPr>
          <w:i/>
          <w:lang w:val="en-US"/>
        </w:rPr>
        <w:t>Regents of Univ. of Cal. v. Bakke</w:t>
      </w:r>
      <w:r w:rsidRPr="00F941AA">
        <w:rPr>
          <w:lang w:val="en-US"/>
        </w:rPr>
        <w:t>, 438 U.S. 265, 388</w:t>
      </w:r>
      <w:r w:rsidRPr="003B741A">
        <w:rPr>
          <w:lang w:val="en-US"/>
        </w:rPr>
        <w:t xml:space="preserve"> = 98 S. Ct. </w:t>
      </w:r>
      <w:r w:rsidRPr="00F941AA">
        <w:rPr>
          <w:lang w:val="en-US"/>
        </w:rPr>
        <w:t>2733, 2798</w:t>
      </w:r>
      <w:r w:rsidRPr="006E67FE">
        <w:rPr>
          <w:lang w:val="en-US"/>
        </w:rPr>
        <w:t xml:space="preserve"> = 57 L. Ed. </w:t>
      </w:r>
      <w:r w:rsidRPr="00F941AA">
        <w:rPr>
          <w:lang w:val="en-US"/>
        </w:rPr>
        <w:t>2d 750, 832</w:t>
      </w:r>
      <w:r w:rsidRPr="003B741A">
        <w:rPr>
          <w:lang w:val="en-US"/>
        </w:rPr>
        <w:t xml:space="preserve"> = 1978 U.S. LEXIS </w:t>
      </w:r>
      <w:r w:rsidRPr="00F941AA">
        <w:rPr>
          <w:lang w:val="en-US"/>
        </w:rPr>
        <w:t>5, 202</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F941AA">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F941AA">
        <w:rPr>
          <w:lang w:val="en-US"/>
        </w:rPr>
        <w:t>(CCH) P8402 (1978)</w:t>
      </w:r>
      <w:r>
        <w:rPr>
          <w:lang w:val="en-US"/>
        </w:rPr>
        <w:t>.</w:t>
      </w:r>
    </w:p>
  </w:footnote>
  <w:footnote w:id="1820">
    <w:p w14:paraId="166076E8" w14:textId="77777777" w:rsidR="00074551" w:rsidRPr="00F941AA" w:rsidRDefault="00074551" w:rsidP="00074551">
      <w:pPr>
        <w:pStyle w:val="Funotentext"/>
        <w:rPr>
          <w:lang w:val="en-US"/>
        </w:rPr>
      </w:pPr>
      <w:r>
        <w:rPr>
          <w:rStyle w:val="Funotenzeichen"/>
          <w:rFonts w:eastAsiaTheme="majorEastAsia"/>
        </w:rPr>
        <w:footnoteRef/>
      </w:r>
      <w:r w:rsidRPr="00F941AA">
        <w:rPr>
          <w:lang w:val="en-US"/>
        </w:rPr>
        <w:t xml:space="preserve"> </w:t>
      </w:r>
      <w:r w:rsidRPr="009167A5">
        <w:rPr>
          <w:i/>
          <w:lang w:val="en-US"/>
        </w:rPr>
        <w:t>Regents of Univ. of Cal. v. Bakke</w:t>
      </w:r>
      <w:r w:rsidRPr="00F941AA">
        <w:rPr>
          <w:lang w:val="en-US"/>
        </w:rPr>
        <w:t>, 438 U.S. 265, 388</w:t>
      </w:r>
      <w:r w:rsidRPr="003B741A">
        <w:rPr>
          <w:lang w:val="en-US"/>
        </w:rPr>
        <w:t xml:space="preserve"> = 98 S. Ct. </w:t>
      </w:r>
      <w:r w:rsidRPr="00F941AA">
        <w:rPr>
          <w:lang w:val="en-US"/>
        </w:rPr>
        <w:t>2733, 2798</w:t>
      </w:r>
      <w:r w:rsidRPr="006E67FE">
        <w:rPr>
          <w:lang w:val="en-US"/>
        </w:rPr>
        <w:t xml:space="preserve"> = 57 L. Ed. </w:t>
      </w:r>
      <w:r w:rsidRPr="00F941AA">
        <w:rPr>
          <w:lang w:val="en-US"/>
        </w:rPr>
        <w:t>2d 750, 832</w:t>
      </w:r>
      <w:r w:rsidRPr="003B741A">
        <w:rPr>
          <w:lang w:val="en-US"/>
        </w:rPr>
        <w:t xml:space="preserve"> = 1978 U.S. LEXIS </w:t>
      </w:r>
      <w:r w:rsidRPr="00F941AA">
        <w:rPr>
          <w:lang w:val="en-US"/>
        </w:rPr>
        <w:t>5, 202</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F941AA">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F941AA">
        <w:rPr>
          <w:lang w:val="en-US"/>
        </w:rPr>
        <w:t>(CCH) P8402 (1978)</w:t>
      </w:r>
      <w:r>
        <w:rPr>
          <w:lang w:val="en-US"/>
        </w:rPr>
        <w:t>.</w:t>
      </w:r>
    </w:p>
  </w:footnote>
  <w:footnote w:id="1821">
    <w:p w14:paraId="0DBE5828" w14:textId="77777777" w:rsidR="00074551" w:rsidRPr="00F941AA" w:rsidRDefault="00074551" w:rsidP="00074551">
      <w:pPr>
        <w:pStyle w:val="Funotentext"/>
        <w:rPr>
          <w:lang w:val="en-US"/>
        </w:rPr>
      </w:pPr>
      <w:r>
        <w:rPr>
          <w:rStyle w:val="Funotenzeichen"/>
          <w:rFonts w:eastAsiaTheme="majorEastAsia"/>
        </w:rPr>
        <w:footnoteRef/>
      </w:r>
      <w:r w:rsidRPr="00F941AA">
        <w:rPr>
          <w:lang w:val="en-US"/>
        </w:rPr>
        <w:t xml:space="preserve"> </w:t>
      </w:r>
      <w:r w:rsidRPr="009167A5">
        <w:rPr>
          <w:i/>
          <w:lang w:val="en-US"/>
        </w:rPr>
        <w:t>Regents of Univ. of Cal. v. Bakke</w:t>
      </w:r>
      <w:r w:rsidRPr="00F941AA">
        <w:rPr>
          <w:lang w:val="en-US"/>
        </w:rPr>
        <w:t>, 438 U.S. 265, 388</w:t>
      </w:r>
      <w:r w:rsidRPr="003B741A">
        <w:rPr>
          <w:lang w:val="en-US"/>
        </w:rPr>
        <w:t xml:space="preserve"> = 98 S. Ct. </w:t>
      </w:r>
      <w:r w:rsidRPr="00F941AA">
        <w:rPr>
          <w:lang w:val="en-US"/>
        </w:rPr>
        <w:t>2733, 2798</w:t>
      </w:r>
      <w:r w:rsidRPr="006E67FE">
        <w:rPr>
          <w:lang w:val="en-US"/>
        </w:rPr>
        <w:t xml:space="preserve"> = 57 L. Ed. </w:t>
      </w:r>
      <w:r w:rsidRPr="00F941AA">
        <w:rPr>
          <w:lang w:val="en-US"/>
        </w:rPr>
        <w:t>2d 750, 832</w:t>
      </w:r>
      <w:r w:rsidRPr="003B741A">
        <w:rPr>
          <w:lang w:val="en-US"/>
        </w:rPr>
        <w:t xml:space="preserve"> = 1978 U.S. LEXIS </w:t>
      </w:r>
      <w:r w:rsidRPr="00F941AA">
        <w:rPr>
          <w:lang w:val="en-US"/>
        </w:rPr>
        <w:t>5, 202</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F941AA">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F941AA">
        <w:rPr>
          <w:lang w:val="en-US"/>
        </w:rPr>
        <w:t>(CCH) P8402 (1978)</w:t>
      </w:r>
      <w:r>
        <w:rPr>
          <w:lang w:val="en-US"/>
        </w:rPr>
        <w:t>.</w:t>
      </w:r>
    </w:p>
  </w:footnote>
  <w:footnote w:id="1822">
    <w:p w14:paraId="5A48C102" w14:textId="77777777" w:rsidR="00074551" w:rsidRPr="00F941AA" w:rsidRDefault="00074551" w:rsidP="00074551">
      <w:pPr>
        <w:pStyle w:val="Funotentext"/>
        <w:rPr>
          <w:lang w:val="en-US"/>
        </w:rPr>
      </w:pPr>
      <w:r>
        <w:rPr>
          <w:rStyle w:val="Funotenzeichen"/>
          <w:rFonts w:eastAsiaTheme="majorEastAsia"/>
        </w:rPr>
        <w:footnoteRef/>
      </w:r>
      <w:r w:rsidRPr="00F941AA">
        <w:rPr>
          <w:lang w:val="en-US"/>
        </w:rPr>
        <w:t xml:space="preserve"> </w:t>
      </w:r>
      <w:r w:rsidRPr="009167A5">
        <w:rPr>
          <w:i/>
          <w:lang w:val="en-US"/>
        </w:rPr>
        <w:t>Regents of Univ. of Cal. v. Bakke</w:t>
      </w:r>
      <w:r w:rsidRPr="00F941AA">
        <w:rPr>
          <w:lang w:val="en-US"/>
        </w:rPr>
        <w:t>, 438 U.S. 265, 388</w:t>
      </w:r>
      <w:r w:rsidRPr="003B741A">
        <w:rPr>
          <w:lang w:val="en-US"/>
        </w:rPr>
        <w:t xml:space="preserve"> = 98 S. Ct. </w:t>
      </w:r>
      <w:r w:rsidRPr="00F941AA">
        <w:rPr>
          <w:lang w:val="en-US"/>
        </w:rPr>
        <w:t>2733, 2798</w:t>
      </w:r>
      <w:r w:rsidRPr="006E67FE">
        <w:rPr>
          <w:lang w:val="en-US"/>
        </w:rPr>
        <w:t xml:space="preserve"> = 57 L. Ed. </w:t>
      </w:r>
      <w:r w:rsidRPr="00F941AA">
        <w:rPr>
          <w:lang w:val="en-US"/>
        </w:rPr>
        <w:t>2d 750, 832</w:t>
      </w:r>
      <w:r w:rsidRPr="003B741A">
        <w:rPr>
          <w:lang w:val="en-US"/>
        </w:rPr>
        <w:t xml:space="preserve"> = 1978 U.S. LEXIS </w:t>
      </w:r>
      <w:r w:rsidRPr="00F941AA">
        <w:rPr>
          <w:lang w:val="en-US"/>
        </w:rPr>
        <w:t>5, 202</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F941AA">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F941AA">
        <w:rPr>
          <w:lang w:val="en-US"/>
        </w:rPr>
        <w:t>(CCH) P8402 (1978)</w:t>
      </w:r>
      <w:r>
        <w:rPr>
          <w:lang w:val="en-US"/>
        </w:rPr>
        <w:t>.</w:t>
      </w:r>
    </w:p>
  </w:footnote>
  <w:footnote w:id="1823">
    <w:p w14:paraId="342158B2" w14:textId="77777777" w:rsidR="00074551" w:rsidRPr="00223CB1" w:rsidRDefault="00074551" w:rsidP="00074551">
      <w:pPr>
        <w:pStyle w:val="Funotentext"/>
        <w:rPr>
          <w:lang w:val="en-US"/>
        </w:rPr>
      </w:pPr>
      <w:r>
        <w:rPr>
          <w:rStyle w:val="Funotenzeichen"/>
          <w:rFonts w:eastAsiaTheme="majorEastAsia"/>
        </w:rPr>
        <w:footnoteRef/>
      </w:r>
      <w:r w:rsidRPr="00223CB1">
        <w:rPr>
          <w:lang w:val="en-US"/>
        </w:rPr>
        <w:t xml:space="preserve"> </w:t>
      </w:r>
      <w:r w:rsidRPr="00A15962">
        <w:rPr>
          <w:i/>
          <w:lang w:val="en-US"/>
        </w:rPr>
        <w:t>Hirabayashi v. United States</w:t>
      </w:r>
      <w:r w:rsidRPr="00223CB1">
        <w:rPr>
          <w:lang w:val="en-US"/>
        </w:rPr>
        <w:t>, 320 U.S. 100</w:t>
      </w:r>
      <w:r>
        <w:rPr>
          <w:lang w:val="en-US"/>
        </w:rPr>
        <w:t xml:space="preserve">; </w:t>
      </w:r>
      <w:r w:rsidRPr="009167A5">
        <w:rPr>
          <w:i/>
          <w:lang w:val="en-US"/>
        </w:rPr>
        <w:t>Regents of Univ. of Cal. v. Bakke</w:t>
      </w:r>
      <w:r w:rsidRPr="00223CB1">
        <w:rPr>
          <w:lang w:val="en-US"/>
        </w:rPr>
        <w:t>, 438 U.S. 265</w:t>
      </w:r>
      <w:r w:rsidRPr="003B741A">
        <w:rPr>
          <w:lang w:val="en-US"/>
        </w:rPr>
        <w:t xml:space="preserve"> = 98 S. Ct. </w:t>
      </w:r>
      <w:r w:rsidRPr="00223CB1">
        <w:rPr>
          <w:lang w:val="en-US"/>
        </w:rPr>
        <w:t>2733</w:t>
      </w:r>
      <w:r w:rsidRPr="006E67FE">
        <w:rPr>
          <w:lang w:val="en-US"/>
        </w:rPr>
        <w:t xml:space="preserve"> = 57 L. Ed. </w:t>
      </w:r>
      <w:r w:rsidRPr="00223CB1">
        <w:rPr>
          <w:lang w:val="en-US"/>
        </w:rPr>
        <w:t>2d 750</w:t>
      </w:r>
      <w:r w:rsidRPr="003B741A">
        <w:rPr>
          <w:lang w:val="en-US"/>
        </w:rPr>
        <w:t xml:space="preserve"> = 1978 U.S. LEXIS </w:t>
      </w:r>
      <w:r w:rsidRPr="00223CB1">
        <w:rPr>
          <w:lang w:val="en-US"/>
        </w:rPr>
        <w:t>5</w:t>
      </w:r>
      <w:r w:rsidRPr="003B741A">
        <w:rPr>
          <w:lang w:val="en-US"/>
        </w:rPr>
        <w:t xml:space="preserve"> = 17 Fair </w:t>
      </w:r>
      <w:proofErr w:type="spellStart"/>
      <w:r w:rsidRPr="003B741A">
        <w:rPr>
          <w:lang w:val="en-US"/>
        </w:rPr>
        <w:t>Empl</w:t>
      </w:r>
      <w:proofErr w:type="spellEnd"/>
      <w:r w:rsidRPr="003B741A">
        <w:rPr>
          <w:lang w:val="en-US"/>
        </w:rPr>
        <w:t xml:space="preserve">. </w:t>
      </w:r>
      <w:proofErr w:type="spellStart"/>
      <w:r w:rsidRPr="003B741A">
        <w:rPr>
          <w:lang w:val="en-US"/>
        </w:rPr>
        <w:t>Prac</w:t>
      </w:r>
      <w:proofErr w:type="spellEnd"/>
      <w:r w:rsidRPr="003B741A">
        <w:rPr>
          <w:lang w:val="en-US"/>
        </w:rPr>
        <w:t xml:space="preserve">. </w:t>
      </w:r>
      <w:r w:rsidRPr="00223CB1">
        <w:rPr>
          <w:lang w:val="en-US"/>
        </w:rPr>
        <w:t>Cas. (BNA) 1000</w:t>
      </w:r>
      <w:r w:rsidRPr="006E67FE">
        <w:rPr>
          <w:lang w:val="en-US"/>
        </w:rPr>
        <w:t xml:space="preserve"> = 17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Dec. </w:t>
      </w:r>
      <w:r w:rsidRPr="00223CB1">
        <w:rPr>
          <w:lang w:val="en-US"/>
        </w:rPr>
        <w:t>(CCH) P8402 (1978)</w:t>
      </w:r>
      <w:r>
        <w:rPr>
          <w:lang w:val="en-US"/>
        </w:rPr>
        <w:t>.</w:t>
      </w:r>
    </w:p>
  </w:footnote>
  <w:footnote w:id="1824">
    <w:p w14:paraId="7E547EE0" w14:textId="77777777" w:rsidR="00074551" w:rsidRPr="00FA1DF1" w:rsidRDefault="00074551" w:rsidP="00074551">
      <w:pPr>
        <w:pStyle w:val="Funotentext"/>
        <w:rPr>
          <w:lang w:val="en-US"/>
        </w:rPr>
      </w:pPr>
      <w:r>
        <w:rPr>
          <w:rStyle w:val="Funotenzeichen"/>
          <w:rFonts w:eastAsiaTheme="majorEastAsia"/>
        </w:rPr>
        <w:footnoteRef/>
      </w:r>
      <w:r w:rsidRPr="007A24AF">
        <w:rPr>
          <w:lang w:val="en-US"/>
        </w:rPr>
        <w:t xml:space="preserve"> </w:t>
      </w:r>
      <w:r w:rsidRPr="009167A5">
        <w:rPr>
          <w:i/>
          <w:lang w:val="en-US"/>
        </w:rPr>
        <w:t>Wash. v. Glucksberg</w:t>
      </w:r>
      <w:r w:rsidRPr="007A24AF">
        <w:rPr>
          <w:lang w:val="en-US"/>
        </w:rPr>
        <w:t>, 521 U.S. 702, 722</w:t>
      </w:r>
      <w:r w:rsidRPr="006E67FE">
        <w:rPr>
          <w:lang w:val="en-US"/>
        </w:rPr>
        <w:t xml:space="preserve"> = 117 S. Ct. </w:t>
      </w:r>
      <w:r w:rsidRPr="007A24AF">
        <w:rPr>
          <w:lang w:val="en-US"/>
        </w:rPr>
        <w:t>2258, 2269, 2269</w:t>
      </w:r>
      <w:r w:rsidRPr="006E67FE">
        <w:rPr>
          <w:lang w:val="en-US"/>
        </w:rPr>
        <w:t xml:space="preserve"> = 117 S. Ct. </w:t>
      </w:r>
      <w:r w:rsidRPr="007A24AF">
        <w:rPr>
          <w:lang w:val="en-US"/>
        </w:rPr>
        <w:t>2302</w:t>
      </w:r>
      <w:r w:rsidRPr="006E67FE">
        <w:rPr>
          <w:lang w:val="en-US"/>
        </w:rPr>
        <w:t xml:space="preserve"> = 138 L. Ed. </w:t>
      </w:r>
      <w:r w:rsidRPr="007A24AF">
        <w:rPr>
          <w:lang w:val="en-US"/>
        </w:rPr>
        <w:t>2d 772, 789</w:t>
      </w:r>
      <w:r w:rsidRPr="006E67FE">
        <w:rPr>
          <w:lang w:val="en-US"/>
        </w:rPr>
        <w:t xml:space="preserve"> = 1997 U.S. LEXIS </w:t>
      </w:r>
      <w:r w:rsidRPr="007A24AF">
        <w:rPr>
          <w:lang w:val="en-US"/>
        </w:rPr>
        <w:t>4039, 34</w:t>
      </w:r>
      <w:r w:rsidRPr="006E67FE">
        <w:rPr>
          <w:lang w:val="en-US"/>
        </w:rPr>
        <w:t xml:space="preserve"> = 65 U.S.L.W. </w:t>
      </w:r>
      <w:r w:rsidRPr="007A24AF">
        <w:rPr>
          <w:lang w:val="en-US"/>
        </w:rPr>
        <w:t>4669</w:t>
      </w:r>
      <w:r w:rsidRPr="006E67FE">
        <w:rPr>
          <w:lang w:val="en-US"/>
        </w:rPr>
        <w:t xml:space="preserve"> = 97 Cal. Daily Op. </w:t>
      </w:r>
      <w:r w:rsidRPr="007A24AF">
        <w:rPr>
          <w:lang w:val="en-US"/>
        </w:rPr>
        <w:t>Service 5008</w:t>
      </w:r>
      <w:r w:rsidRPr="006E67FE">
        <w:rPr>
          <w:lang w:val="en-US"/>
        </w:rPr>
        <w:t xml:space="preserve"> = 97 Daily Journal </w:t>
      </w:r>
      <w:r w:rsidRPr="007A24AF">
        <w:rPr>
          <w:lang w:val="en-US"/>
        </w:rPr>
        <w:t>DAR 8150</w:t>
      </w:r>
      <w:r w:rsidRPr="006E67FE">
        <w:rPr>
          <w:lang w:val="en-US"/>
        </w:rPr>
        <w:t xml:space="preserve"> = 11 Fla. L. Weekly </w:t>
      </w:r>
      <w:r w:rsidRPr="007A24AF">
        <w:rPr>
          <w:lang w:val="en-US"/>
        </w:rPr>
        <w:t xml:space="preserve">Fed. </w:t>
      </w:r>
      <w:r w:rsidRPr="00FA1DF1">
        <w:rPr>
          <w:lang w:val="en-US"/>
        </w:rPr>
        <w:t>S 190 (1997)</w:t>
      </w:r>
      <w:r>
        <w:rPr>
          <w:lang w:val="en-US"/>
        </w:rPr>
        <w:t>.</w:t>
      </w:r>
    </w:p>
  </w:footnote>
  <w:footnote w:id="1825">
    <w:p w14:paraId="0A944BE4" w14:textId="77777777" w:rsidR="00074551" w:rsidRPr="00557B52" w:rsidRDefault="00074551" w:rsidP="00074551">
      <w:pPr>
        <w:pStyle w:val="Funotentext"/>
        <w:rPr>
          <w:lang w:val="en-US"/>
        </w:rPr>
      </w:pPr>
      <w:r>
        <w:rPr>
          <w:rStyle w:val="Funotenzeichen"/>
          <w:rFonts w:eastAsiaTheme="majorEastAsia"/>
        </w:rPr>
        <w:footnoteRef/>
      </w:r>
      <w:r w:rsidRPr="00FA1DF1">
        <w:rPr>
          <w:lang w:val="en-US"/>
        </w:rPr>
        <w:t xml:space="preserve"> </w:t>
      </w:r>
      <w:r w:rsidRPr="00B45592">
        <w:rPr>
          <w:i/>
          <w:lang w:val="en-IE"/>
        </w:rPr>
        <w:t>Reno v. Flores</w:t>
      </w:r>
      <w:r w:rsidRPr="00B45592">
        <w:rPr>
          <w:lang w:val="en-IE"/>
        </w:rPr>
        <w:t>, 507 U.S. 292,</w:t>
      </w:r>
      <w:r w:rsidRPr="00B45592">
        <w:rPr>
          <w:b/>
          <w:bCs/>
          <w:lang w:val="en-IE"/>
        </w:rPr>
        <w:t xml:space="preserve"> </w:t>
      </w:r>
      <w:r w:rsidRPr="00FA1DF1">
        <w:rPr>
          <w:lang w:val="en-US"/>
        </w:rPr>
        <w:t>303</w:t>
      </w:r>
      <w:r>
        <w:rPr>
          <w:lang w:val="en-US"/>
        </w:rPr>
        <w:t xml:space="preserve">; </w:t>
      </w:r>
      <w:r w:rsidRPr="009167A5">
        <w:rPr>
          <w:i/>
          <w:lang w:val="en-US"/>
        </w:rPr>
        <w:t>Wash. v. Glucksberg</w:t>
      </w:r>
      <w:r w:rsidRPr="00FA1DF1">
        <w:rPr>
          <w:lang w:val="en-US"/>
        </w:rPr>
        <w:t>, 521 U.S. 702, 723</w:t>
      </w:r>
      <w:r w:rsidRPr="006E67FE">
        <w:rPr>
          <w:lang w:val="en-US"/>
        </w:rPr>
        <w:t xml:space="preserve"> = 117 S. Ct. </w:t>
      </w:r>
      <w:r w:rsidRPr="00FA1DF1">
        <w:rPr>
          <w:lang w:val="en-US"/>
        </w:rPr>
        <w:t>2258, 2269, 2269</w:t>
      </w:r>
      <w:r w:rsidRPr="006E67FE">
        <w:rPr>
          <w:lang w:val="en-US"/>
        </w:rPr>
        <w:t xml:space="preserve"> = 117 S. Ct. </w:t>
      </w:r>
      <w:r w:rsidRPr="00FA1DF1">
        <w:rPr>
          <w:lang w:val="en-US"/>
        </w:rPr>
        <w:t>2302</w:t>
      </w:r>
      <w:r w:rsidRPr="006E67FE">
        <w:rPr>
          <w:lang w:val="en-US"/>
        </w:rPr>
        <w:t xml:space="preserve"> = 138 L. Ed. </w:t>
      </w:r>
      <w:r w:rsidRPr="00FA1DF1">
        <w:rPr>
          <w:lang w:val="en-US"/>
        </w:rPr>
        <w:t>2d 772, 789</w:t>
      </w:r>
      <w:r w:rsidRPr="006E67FE">
        <w:rPr>
          <w:lang w:val="en-US"/>
        </w:rPr>
        <w:t xml:space="preserve"> = 1997 U.S. LEXIS </w:t>
      </w:r>
      <w:r w:rsidRPr="00FA1DF1">
        <w:rPr>
          <w:lang w:val="en-US"/>
        </w:rPr>
        <w:t>4039, 36</w:t>
      </w:r>
      <w:r w:rsidRPr="006E67FE">
        <w:rPr>
          <w:lang w:val="en-US"/>
        </w:rPr>
        <w:t xml:space="preserve"> = 65 U.S.L.W. </w:t>
      </w:r>
      <w:r w:rsidRPr="00FA1DF1">
        <w:rPr>
          <w:lang w:val="en-US"/>
        </w:rPr>
        <w:t>4669</w:t>
      </w:r>
      <w:r w:rsidRPr="006E67FE">
        <w:rPr>
          <w:lang w:val="en-US"/>
        </w:rPr>
        <w:t xml:space="preserve"> = 97 Cal. Daily Op. </w:t>
      </w:r>
      <w:r w:rsidRPr="00FA1DF1">
        <w:rPr>
          <w:lang w:val="en-US"/>
        </w:rPr>
        <w:t>Service 5008</w:t>
      </w:r>
      <w:r w:rsidRPr="006E67FE">
        <w:rPr>
          <w:lang w:val="en-US"/>
        </w:rPr>
        <w:t xml:space="preserve"> = 97 Daily Journal </w:t>
      </w:r>
      <w:r w:rsidRPr="00FA1DF1">
        <w:rPr>
          <w:lang w:val="en-US"/>
        </w:rPr>
        <w:t>DAR 8150</w:t>
      </w:r>
      <w:r w:rsidRPr="006E67FE">
        <w:rPr>
          <w:lang w:val="en-US"/>
        </w:rPr>
        <w:t xml:space="preserve"> = 11 Fla. L. Weekly </w:t>
      </w:r>
      <w:r w:rsidRPr="00FA1DF1">
        <w:rPr>
          <w:lang w:val="en-US"/>
        </w:rPr>
        <w:t xml:space="preserve">Fed. </w:t>
      </w:r>
      <w:r w:rsidRPr="00557B52">
        <w:rPr>
          <w:lang w:val="en-US"/>
        </w:rPr>
        <w:t>S 190 (1997).</w:t>
      </w:r>
    </w:p>
  </w:footnote>
  <w:footnote w:id="1826">
    <w:p w14:paraId="76302EAF" w14:textId="77777777" w:rsidR="00074551" w:rsidRPr="00FA1DF1" w:rsidRDefault="00074551" w:rsidP="00074551">
      <w:pPr>
        <w:pStyle w:val="Funotentext"/>
        <w:rPr>
          <w:lang w:val="en-US"/>
        </w:rPr>
      </w:pPr>
      <w:r>
        <w:rPr>
          <w:rStyle w:val="Funotenzeichen"/>
          <w:rFonts w:eastAsiaTheme="majorEastAsia"/>
        </w:rPr>
        <w:footnoteRef/>
      </w:r>
      <w:r w:rsidRPr="007A24AF">
        <w:rPr>
          <w:lang w:val="en-US"/>
        </w:rPr>
        <w:t xml:space="preserve"> </w:t>
      </w:r>
      <w:r w:rsidRPr="00B45592">
        <w:rPr>
          <w:i/>
          <w:lang w:val="en-US"/>
        </w:rPr>
        <w:t>Jackman v. Rosenbaum Co.</w:t>
      </w:r>
      <w:r w:rsidRPr="007A24AF">
        <w:rPr>
          <w:lang w:val="en-US"/>
        </w:rPr>
        <w:t>, 260 U.S. 22, 31 (1922)</w:t>
      </w:r>
      <w:r>
        <w:rPr>
          <w:lang w:val="en-US"/>
        </w:rPr>
        <w:t xml:space="preserve">; </w:t>
      </w:r>
      <w:r w:rsidRPr="009167A5">
        <w:rPr>
          <w:i/>
          <w:lang w:val="en-US"/>
        </w:rPr>
        <w:t>Wash. v. Glucksberg</w:t>
      </w:r>
      <w:r w:rsidRPr="007A24AF">
        <w:rPr>
          <w:lang w:val="en-US"/>
        </w:rPr>
        <w:t>, 521 U.S. 702, 723</w:t>
      </w:r>
      <w:r w:rsidRPr="006E67FE">
        <w:rPr>
          <w:lang w:val="en-US"/>
        </w:rPr>
        <w:t xml:space="preserve"> = 117 S. Ct. </w:t>
      </w:r>
      <w:r w:rsidRPr="007A24AF">
        <w:rPr>
          <w:lang w:val="en-US"/>
        </w:rPr>
        <w:t>2258, 2269, 2269</w:t>
      </w:r>
      <w:r w:rsidRPr="006E67FE">
        <w:rPr>
          <w:lang w:val="en-US"/>
        </w:rPr>
        <w:t xml:space="preserve"> = 117 S. Ct. </w:t>
      </w:r>
      <w:r w:rsidRPr="007A24AF">
        <w:rPr>
          <w:lang w:val="en-US"/>
        </w:rPr>
        <w:t>2302</w:t>
      </w:r>
      <w:r w:rsidRPr="006E67FE">
        <w:rPr>
          <w:lang w:val="en-US"/>
        </w:rPr>
        <w:t xml:space="preserve"> = 138 L. Ed. </w:t>
      </w:r>
      <w:r w:rsidRPr="007A24AF">
        <w:rPr>
          <w:lang w:val="en-US"/>
        </w:rPr>
        <w:t>2d 772, 789</w:t>
      </w:r>
      <w:r w:rsidRPr="006E67FE">
        <w:rPr>
          <w:lang w:val="en-US"/>
        </w:rPr>
        <w:t xml:space="preserve"> = 1997 U.S. LEXIS </w:t>
      </w:r>
      <w:r w:rsidRPr="007A24AF">
        <w:rPr>
          <w:lang w:val="en-US"/>
        </w:rPr>
        <w:t>4039, 36</w:t>
      </w:r>
      <w:r w:rsidRPr="006E67FE">
        <w:rPr>
          <w:lang w:val="en-US"/>
        </w:rPr>
        <w:t xml:space="preserve"> = 65 U.S.L.W. </w:t>
      </w:r>
      <w:r w:rsidRPr="007A24AF">
        <w:rPr>
          <w:lang w:val="en-US"/>
        </w:rPr>
        <w:t>4669</w:t>
      </w:r>
      <w:r w:rsidRPr="006E67FE">
        <w:rPr>
          <w:lang w:val="en-US"/>
        </w:rPr>
        <w:t xml:space="preserve"> = 97 Cal. Daily Op. </w:t>
      </w:r>
      <w:r w:rsidRPr="007A24AF">
        <w:rPr>
          <w:lang w:val="en-US"/>
        </w:rPr>
        <w:t>Service 5008</w:t>
      </w:r>
      <w:r w:rsidRPr="006E67FE">
        <w:rPr>
          <w:lang w:val="en-US"/>
        </w:rPr>
        <w:t xml:space="preserve"> = 97 Daily Journal </w:t>
      </w:r>
      <w:r w:rsidRPr="007A24AF">
        <w:rPr>
          <w:lang w:val="en-US"/>
        </w:rPr>
        <w:t>DAR 8150</w:t>
      </w:r>
      <w:r w:rsidRPr="006E67FE">
        <w:rPr>
          <w:lang w:val="en-US"/>
        </w:rPr>
        <w:t xml:space="preserve"> = 11 Fla. L. Weekly </w:t>
      </w:r>
      <w:r w:rsidRPr="007A24AF">
        <w:rPr>
          <w:lang w:val="en-US"/>
        </w:rPr>
        <w:t xml:space="preserve">Fed. </w:t>
      </w:r>
      <w:r w:rsidRPr="004F22A9">
        <w:rPr>
          <w:lang w:val="en-US"/>
        </w:rPr>
        <w:t>S 190 (1997).</w:t>
      </w:r>
    </w:p>
  </w:footnote>
  <w:footnote w:id="1827">
    <w:p w14:paraId="317BED01" w14:textId="77777777" w:rsidR="00074551" w:rsidRDefault="00074551" w:rsidP="00074551">
      <w:pPr>
        <w:pStyle w:val="Funotentext"/>
        <w:ind w:left="227" w:hanging="227"/>
        <w:rPr>
          <w:lang w:val="en-US"/>
        </w:rPr>
      </w:pPr>
      <w:r>
        <w:rPr>
          <w:rStyle w:val="Funotenzeichen"/>
          <w:rFonts w:eastAsiaTheme="majorEastAsia"/>
        </w:rPr>
        <w:footnoteRef/>
      </w:r>
      <w:r w:rsidRPr="00073925">
        <w:rPr>
          <w:lang w:val="en-US"/>
        </w:rPr>
        <w:t xml:space="preserve"> </w:t>
      </w:r>
      <w:r w:rsidRPr="009167A5">
        <w:rPr>
          <w:i/>
          <w:lang w:val="en-US"/>
        </w:rPr>
        <w:t>Wash. v. Glucksberg</w:t>
      </w:r>
      <w:r w:rsidRPr="00073925">
        <w:rPr>
          <w:lang w:val="en-US"/>
        </w:rPr>
        <w:t>, 521 U.S. 702, 727</w:t>
      </w:r>
      <w:r w:rsidRPr="006E67FE">
        <w:rPr>
          <w:lang w:val="en-US"/>
        </w:rPr>
        <w:t xml:space="preserve"> = 117 S. Ct. </w:t>
      </w:r>
      <w:r w:rsidRPr="00073925">
        <w:rPr>
          <w:lang w:val="en-US"/>
        </w:rPr>
        <w:t>2258, 2271, 2271</w:t>
      </w:r>
      <w:r w:rsidRPr="006E67FE">
        <w:rPr>
          <w:lang w:val="en-US"/>
        </w:rPr>
        <w:t xml:space="preserve"> = 117 S. Ct. </w:t>
      </w:r>
      <w:r w:rsidRPr="00073925">
        <w:rPr>
          <w:lang w:val="en-US"/>
        </w:rPr>
        <w:t>2302</w:t>
      </w:r>
      <w:r w:rsidRPr="006E67FE">
        <w:rPr>
          <w:lang w:val="en-US"/>
        </w:rPr>
        <w:t xml:space="preserve"> = 138 L. Ed. </w:t>
      </w:r>
      <w:r w:rsidRPr="00073925">
        <w:rPr>
          <w:lang w:val="en-US"/>
        </w:rPr>
        <w:t>2d 772, 792</w:t>
      </w:r>
      <w:r w:rsidRPr="006E67FE">
        <w:rPr>
          <w:lang w:val="en-US"/>
        </w:rPr>
        <w:t xml:space="preserve"> = 1997 U.S. LEXIS </w:t>
      </w:r>
      <w:r w:rsidRPr="00073925">
        <w:rPr>
          <w:lang w:val="en-US"/>
        </w:rPr>
        <w:t>4039, 42</w:t>
      </w:r>
      <w:r w:rsidRPr="006E67FE">
        <w:rPr>
          <w:lang w:val="en-US"/>
        </w:rPr>
        <w:t xml:space="preserve"> = 65 U.S.L.W. </w:t>
      </w:r>
      <w:r w:rsidRPr="00073925">
        <w:rPr>
          <w:lang w:val="en-US"/>
        </w:rPr>
        <w:t>4669</w:t>
      </w:r>
      <w:r w:rsidRPr="006E67FE">
        <w:rPr>
          <w:lang w:val="en-US"/>
        </w:rPr>
        <w:t xml:space="preserve"> = 97 Cal. Daily Op. </w:t>
      </w:r>
    </w:p>
    <w:p w14:paraId="7A401BBF" w14:textId="77777777" w:rsidR="00074551" w:rsidRPr="00073925" w:rsidRDefault="00074551" w:rsidP="00074551">
      <w:pPr>
        <w:pStyle w:val="Funotentext"/>
        <w:ind w:left="227" w:hanging="227"/>
        <w:rPr>
          <w:lang w:val="en-US"/>
        </w:rPr>
      </w:pPr>
      <w:r w:rsidRPr="00073925">
        <w:rPr>
          <w:lang w:val="en-US"/>
        </w:rPr>
        <w:t>Service 5008</w:t>
      </w:r>
      <w:r w:rsidRPr="006E67FE">
        <w:rPr>
          <w:lang w:val="en-US"/>
        </w:rPr>
        <w:t xml:space="preserve"> = 97 Daily Journal </w:t>
      </w:r>
      <w:r w:rsidRPr="00073925">
        <w:rPr>
          <w:lang w:val="en-US"/>
        </w:rPr>
        <w:t>DAR 8150</w:t>
      </w:r>
      <w:r w:rsidRPr="006E67FE">
        <w:rPr>
          <w:lang w:val="en-US"/>
        </w:rPr>
        <w:t xml:space="preserve"> = 11 Fla. L. Weekly </w:t>
      </w:r>
      <w:r w:rsidRPr="00073925">
        <w:rPr>
          <w:lang w:val="en-US"/>
        </w:rPr>
        <w:t>Fed. S 190 (1997)</w:t>
      </w:r>
      <w:r>
        <w:rPr>
          <w:lang w:val="en-US"/>
        </w:rPr>
        <w:t>.</w:t>
      </w:r>
    </w:p>
  </w:footnote>
  <w:footnote w:id="1828">
    <w:p w14:paraId="08756D2B" w14:textId="77777777" w:rsidR="00074551" w:rsidRPr="00FA1DF1" w:rsidRDefault="00074551" w:rsidP="00074551">
      <w:pPr>
        <w:pStyle w:val="Funotentext"/>
        <w:rPr>
          <w:lang w:val="en-US"/>
        </w:rPr>
      </w:pPr>
      <w:r>
        <w:rPr>
          <w:rStyle w:val="Funotenzeichen"/>
          <w:rFonts w:eastAsiaTheme="majorEastAsia"/>
        </w:rPr>
        <w:footnoteRef/>
      </w:r>
      <w:r w:rsidRPr="00FA1DF1">
        <w:rPr>
          <w:lang w:val="en-US"/>
        </w:rPr>
        <w:t xml:space="preserve"> </w:t>
      </w:r>
      <w:r w:rsidRPr="009167A5">
        <w:rPr>
          <w:i/>
          <w:lang w:val="en-US"/>
        </w:rPr>
        <w:t>Pierce v. Society of Sisters</w:t>
      </w:r>
      <w:r w:rsidRPr="00FA1DF1">
        <w:rPr>
          <w:lang w:val="en-US"/>
        </w:rPr>
        <w:t xml:space="preserve">, 268 U.S. 510, 535 (1925); </w:t>
      </w:r>
      <w:r w:rsidRPr="009E57E1">
        <w:rPr>
          <w:i/>
          <w:lang w:val="en-US"/>
        </w:rPr>
        <w:t>Meyer v. Nebraska</w:t>
      </w:r>
      <w:r w:rsidRPr="00FA1DF1">
        <w:rPr>
          <w:lang w:val="en-US"/>
        </w:rPr>
        <w:t>, 262 U.S. 390, 399 (1923)</w:t>
      </w:r>
      <w:r>
        <w:rPr>
          <w:lang w:val="en-US"/>
        </w:rPr>
        <w:t xml:space="preserve">; </w:t>
      </w:r>
      <w:r w:rsidRPr="009167A5">
        <w:rPr>
          <w:i/>
          <w:lang w:val="en-US"/>
        </w:rPr>
        <w:t>Wash. v. Glucksberg</w:t>
      </w:r>
      <w:r w:rsidRPr="00FA1DF1">
        <w:rPr>
          <w:lang w:val="en-US"/>
        </w:rPr>
        <w:t>, 521 U.S. 702, 727</w:t>
      </w:r>
      <w:r w:rsidRPr="006E67FE">
        <w:rPr>
          <w:lang w:val="en-US"/>
        </w:rPr>
        <w:t xml:space="preserve"> = 117 S. Ct. </w:t>
      </w:r>
      <w:r w:rsidRPr="00FA1DF1">
        <w:rPr>
          <w:lang w:val="en-US"/>
        </w:rPr>
        <w:t>2258, 2271, 2271</w:t>
      </w:r>
      <w:r w:rsidRPr="006E67FE">
        <w:rPr>
          <w:lang w:val="en-US"/>
        </w:rPr>
        <w:t xml:space="preserve"> = 117 S. Ct. </w:t>
      </w:r>
      <w:r w:rsidRPr="00FA1DF1">
        <w:rPr>
          <w:lang w:val="en-US"/>
        </w:rPr>
        <w:t>2302</w:t>
      </w:r>
      <w:r w:rsidRPr="006E67FE">
        <w:rPr>
          <w:lang w:val="en-US"/>
        </w:rPr>
        <w:t xml:space="preserve"> = 138 L. Ed. </w:t>
      </w:r>
      <w:r w:rsidRPr="00FA1DF1">
        <w:rPr>
          <w:lang w:val="en-US"/>
        </w:rPr>
        <w:t>2d 772, 792</w:t>
      </w:r>
      <w:r w:rsidRPr="006E67FE">
        <w:rPr>
          <w:lang w:val="en-US"/>
        </w:rPr>
        <w:t xml:space="preserve"> = 1997 U.S. LEXIS </w:t>
      </w:r>
      <w:r w:rsidRPr="00FA1DF1">
        <w:rPr>
          <w:lang w:val="en-US"/>
        </w:rPr>
        <w:t>4039, 42</w:t>
      </w:r>
      <w:r w:rsidRPr="006E67FE">
        <w:rPr>
          <w:lang w:val="en-US"/>
        </w:rPr>
        <w:t xml:space="preserve"> = 65 U.S.L.W. </w:t>
      </w:r>
      <w:r w:rsidRPr="00FA1DF1">
        <w:rPr>
          <w:lang w:val="en-US"/>
        </w:rPr>
        <w:t>4669</w:t>
      </w:r>
      <w:r w:rsidRPr="006E67FE">
        <w:rPr>
          <w:lang w:val="en-US"/>
        </w:rPr>
        <w:t xml:space="preserve"> = 97 Cal. Daily Op. </w:t>
      </w:r>
      <w:r w:rsidRPr="00FA1DF1">
        <w:rPr>
          <w:lang w:val="en-US"/>
        </w:rPr>
        <w:t>Service 5008</w:t>
      </w:r>
      <w:r w:rsidRPr="006E67FE">
        <w:rPr>
          <w:lang w:val="en-US"/>
        </w:rPr>
        <w:t xml:space="preserve"> = 97 Daily Journal </w:t>
      </w:r>
      <w:r w:rsidRPr="00FA1DF1">
        <w:rPr>
          <w:lang w:val="en-US"/>
        </w:rPr>
        <w:t>DAR 8150</w:t>
      </w:r>
      <w:r w:rsidRPr="006E67FE">
        <w:rPr>
          <w:lang w:val="en-US"/>
        </w:rPr>
        <w:t xml:space="preserve"> = 11 Fla. L. Weekly </w:t>
      </w:r>
      <w:r w:rsidRPr="00FA1DF1">
        <w:rPr>
          <w:lang w:val="en-US"/>
        </w:rPr>
        <w:t>Fed. S 190 (1997).</w:t>
      </w:r>
    </w:p>
  </w:footnote>
  <w:footnote w:id="1829">
    <w:p w14:paraId="1BE9CAFD" w14:textId="77777777" w:rsidR="00074551" w:rsidRPr="003C2C90" w:rsidRDefault="00074551" w:rsidP="00074551">
      <w:pPr>
        <w:pStyle w:val="Funotentext"/>
        <w:jc w:val="both"/>
        <w:rPr>
          <w:lang w:val="en-US"/>
        </w:rPr>
      </w:pPr>
      <w:r>
        <w:rPr>
          <w:rStyle w:val="Funotenzeichen"/>
          <w:rFonts w:eastAsiaTheme="majorEastAsia"/>
        </w:rPr>
        <w:footnoteRef/>
      </w:r>
      <w:r w:rsidRPr="00FA1DF1">
        <w:rPr>
          <w:lang w:val="en-US"/>
        </w:rPr>
        <w:t xml:space="preserve"> </w:t>
      </w:r>
      <w:r w:rsidRPr="00584023">
        <w:rPr>
          <w:i/>
          <w:lang w:val="en-US"/>
        </w:rPr>
        <w:t>Loving v. Virginia</w:t>
      </w:r>
      <w:r w:rsidRPr="00FA1DF1">
        <w:rPr>
          <w:lang w:val="en-US"/>
        </w:rPr>
        <w:t xml:space="preserve">, 388 U.S. 1, 12 (1967); </w:t>
      </w:r>
      <w:r w:rsidRPr="009167A5">
        <w:rPr>
          <w:i/>
          <w:lang w:val="en-US"/>
        </w:rPr>
        <w:t>Wash. v. Glucksberg</w:t>
      </w:r>
      <w:r w:rsidRPr="00FA1DF1">
        <w:rPr>
          <w:lang w:val="en-US"/>
        </w:rPr>
        <w:t>, 521 U.S. 702, 727</w:t>
      </w:r>
      <w:r w:rsidRPr="006E67FE">
        <w:rPr>
          <w:lang w:val="en-US"/>
        </w:rPr>
        <w:t xml:space="preserve"> = 117 S. Ct. </w:t>
      </w:r>
      <w:r w:rsidRPr="00FA1DF1">
        <w:rPr>
          <w:lang w:val="en-US"/>
        </w:rPr>
        <w:t>2258, 2271, 2271</w:t>
      </w:r>
      <w:r w:rsidRPr="006E67FE">
        <w:rPr>
          <w:lang w:val="en-US"/>
        </w:rPr>
        <w:t xml:space="preserve"> = 117 S. Ct. </w:t>
      </w:r>
      <w:r w:rsidRPr="00FA1DF1">
        <w:rPr>
          <w:lang w:val="en-US"/>
        </w:rPr>
        <w:t>2302</w:t>
      </w:r>
      <w:r w:rsidRPr="006E67FE">
        <w:rPr>
          <w:lang w:val="en-US"/>
        </w:rPr>
        <w:t xml:space="preserve"> = 138 L. Ed. </w:t>
      </w:r>
      <w:r w:rsidRPr="00FA1DF1">
        <w:rPr>
          <w:lang w:val="en-US"/>
        </w:rPr>
        <w:t>2d 772, 792</w:t>
      </w:r>
      <w:r w:rsidRPr="006E67FE">
        <w:rPr>
          <w:lang w:val="en-US"/>
        </w:rPr>
        <w:t xml:space="preserve"> = 1997 U.S. LEXIS </w:t>
      </w:r>
      <w:r w:rsidRPr="00FA1DF1">
        <w:rPr>
          <w:lang w:val="en-US"/>
        </w:rPr>
        <w:t>4039, 42</w:t>
      </w:r>
      <w:r w:rsidRPr="006E67FE">
        <w:rPr>
          <w:lang w:val="en-US"/>
        </w:rPr>
        <w:t xml:space="preserve"> = 65 U.S.L.W. </w:t>
      </w:r>
      <w:r w:rsidRPr="00FA1DF1">
        <w:rPr>
          <w:lang w:val="en-US"/>
        </w:rPr>
        <w:t>4669</w:t>
      </w:r>
      <w:r w:rsidRPr="006E67FE">
        <w:rPr>
          <w:lang w:val="en-US"/>
        </w:rPr>
        <w:t xml:space="preserve"> = 97 Cal. Daily Op. </w:t>
      </w:r>
      <w:r w:rsidRPr="00FA1DF1">
        <w:rPr>
          <w:lang w:val="en-US"/>
        </w:rPr>
        <w:t>Service 5008</w:t>
      </w:r>
      <w:r w:rsidRPr="006E67FE">
        <w:rPr>
          <w:lang w:val="en-US"/>
        </w:rPr>
        <w:t xml:space="preserve"> = 97 Daily Journal </w:t>
      </w:r>
      <w:r w:rsidRPr="00FA1DF1">
        <w:rPr>
          <w:lang w:val="en-US"/>
        </w:rPr>
        <w:t>DAR 8150</w:t>
      </w:r>
      <w:r w:rsidRPr="006E67FE">
        <w:rPr>
          <w:lang w:val="en-US"/>
        </w:rPr>
        <w:t xml:space="preserve"> = 11 Fla. L. Weekly </w:t>
      </w:r>
      <w:r w:rsidRPr="00FA1DF1">
        <w:rPr>
          <w:lang w:val="en-US"/>
        </w:rPr>
        <w:t xml:space="preserve">Fed. </w:t>
      </w:r>
      <w:r w:rsidRPr="00557B52">
        <w:rPr>
          <w:lang w:val="en-US"/>
        </w:rPr>
        <w:t>S 190 (1997).</w:t>
      </w:r>
    </w:p>
  </w:footnote>
  <w:footnote w:id="1830">
    <w:p w14:paraId="731D0082" w14:textId="77777777" w:rsidR="00074551" w:rsidRPr="003C2C90" w:rsidRDefault="00074551" w:rsidP="00074551">
      <w:pPr>
        <w:pStyle w:val="Funotentext"/>
        <w:rPr>
          <w:lang w:val="en-US"/>
        </w:rPr>
      </w:pPr>
      <w:r>
        <w:rPr>
          <w:rStyle w:val="Funotenzeichen"/>
          <w:rFonts w:eastAsiaTheme="majorEastAsia"/>
        </w:rPr>
        <w:footnoteRef/>
      </w:r>
      <w:r w:rsidRPr="003C2C90">
        <w:rPr>
          <w:lang w:val="en-US"/>
        </w:rPr>
        <w:t xml:space="preserve"> </w:t>
      </w:r>
      <w:r w:rsidRPr="00B45592">
        <w:rPr>
          <w:i/>
          <w:lang w:val="en-US"/>
        </w:rPr>
        <w:t>Carey v. Population Services International</w:t>
      </w:r>
      <w:r w:rsidRPr="003C2C90">
        <w:rPr>
          <w:lang w:val="en-US"/>
        </w:rPr>
        <w:t>, 431 U.S.</w:t>
      </w:r>
      <w:r>
        <w:rPr>
          <w:lang w:val="en-US"/>
        </w:rPr>
        <w:t xml:space="preserve"> 678,</w:t>
      </w:r>
      <w:r w:rsidRPr="003C2C90">
        <w:rPr>
          <w:lang w:val="en-US"/>
        </w:rPr>
        <w:t xml:space="preserve"> 686;</w:t>
      </w:r>
      <w:r>
        <w:rPr>
          <w:lang w:val="en-US"/>
        </w:rPr>
        <w:t xml:space="preserve"> </w:t>
      </w:r>
      <w:r w:rsidRPr="00B45592">
        <w:rPr>
          <w:i/>
          <w:lang w:val="en-US"/>
        </w:rPr>
        <w:t>Memorial Hospital v. Maricopa County</w:t>
      </w:r>
      <w:r w:rsidRPr="003C2C90">
        <w:rPr>
          <w:lang w:val="en-US"/>
        </w:rPr>
        <w:t>, 415 U.S.</w:t>
      </w:r>
      <w:r>
        <w:rPr>
          <w:lang w:val="en-US"/>
        </w:rPr>
        <w:t xml:space="preserve"> 250,</w:t>
      </w:r>
      <w:r w:rsidRPr="003C2C90">
        <w:rPr>
          <w:lang w:val="en-US"/>
        </w:rPr>
        <w:t xml:space="preserve"> 262</w:t>
      </w:r>
      <w:r>
        <w:rPr>
          <w:lang w:val="en-US"/>
        </w:rPr>
        <w:t>–</w:t>
      </w:r>
      <w:r w:rsidRPr="003C2C90">
        <w:rPr>
          <w:lang w:val="en-US"/>
        </w:rPr>
        <w:t>263;</w:t>
      </w:r>
      <w:r>
        <w:rPr>
          <w:lang w:val="en-US"/>
        </w:rPr>
        <w:t xml:space="preserve"> </w:t>
      </w:r>
      <w:r w:rsidRPr="00B45592">
        <w:rPr>
          <w:i/>
          <w:lang w:val="en-US"/>
        </w:rPr>
        <w:t>San Antonio Independent School Dist. v. Rodriguez</w:t>
      </w:r>
      <w:r w:rsidRPr="003C2C90">
        <w:rPr>
          <w:lang w:val="en-US"/>
        </w:rPr>
        <w:t>, 411 U.S.</w:t>
      </w:r>
      <w:r>
        <w:rPr>
          <w:lang w:val="en-US"/>
        </w:rPr>
        <w:t xml:space="preserve"> 1, </w:t>
      </w:r>
      <w:r w:rsidRPr="003C2C90">
        <w:rPr>
          <w:lang w:val="en-US"/>
        </w:rPr>
        <w:t>16</w:t>
      </w:r>
      <w:r>
        <w:rPr>
          <w:lang w:val="en-US"/>
        </w:rPr>
        <w:t>–</w:t>
      </w:r>
      <w:r w:rsidRPr="003C2C90">
        <w:rPr>
          <w:lang w:val="en-US"/>
        </w:rPr>
        <w:t>17;</w:t>
      </w:r>
      <w:r>
        <w:rPr>
          <w:lang w:val="en-US"/>
        </w:rPr>
        <w:t xml:space="preserve"> </w:t>
      </w:r>
      <w:r w:rsidRPr="00B45592">
        <w:rPr>
          <w:i/>
          <w:lang w:val="en-US"/>
        </w:rPr>
        <w:t>Bullock v. Carter</w:t>
      </w:r>
      <w:r w:rsidRPr="003C2C90">
        <w:rPr>
          <w:lang w:val="en-US"/>
        </w:rPr>
        <w:t>, 405 U.S. 134, 144 (1972)</w:t>
      </w:r>
      <w:r>
        <w:rPr>
          <w:lang w:val="en-US"/>
        </w:rPr>
        <w:t xml:space="preserve">; </w:t>
      </w:r>
      <w:r w:rsidRPr="00B35CD0">
        <w:rPr>
          <w:i/>
          <w:lang w:val="en-US"/>
        </w:rPr>
        <w:t xml:space="preserve">Zablocki v. </w:t>
      </w:r>
      <w:proofErr w:type="spellStart"/>
      <w:r w:rsidRPr="00B35CD0">
        <w:rPr>
          <w:i/>
          <w:lang w:val="en-US"/>
        </w:rPr>
        <w:t>Redhail</w:t>
      </w:r>
      <w:proofErr w:type="spellEnd"/>
      <w:r w:rsidRPr="003C2C90">
        <w:rPr>
          <w:lang w:val="en-US"/>
        </w:rPr>
        <w:t>, 434 U.S. 374, 388</w:t>
      </w:r>
      <w:r w:rsidRPr="003B741A">
        <w:rPr>
          <w:lang w:val="en-US"/>
        </w:rPr>
        <w:t xml:space="preserve"> = 98 S. Ct. </w:t>
      </w:r>
      <w:r w:rsidRPr="003C2C90">
        <w:rPr>
          <w:lang w:val="en-US"/>
        </w:rPr>
        <w:t>673, 682</w:t>
      </w:r>
      <w:r>
        <w:rPr>
          <w:lang w:val="en-US"/>
        </w:rPr>
        <w:t xml:space="preserve"> = 54 L. Ed. </w:t>
      </w:r>
      <w:r w:rsidRPr="003C2C90">
        <w:rPr>
          <w:lang w:val="en-US"/>
        </w:rPr>
        <w:t>2d 618, 632</w:t>
      </w:r>
      <w:r w:rsidRPr="003B741A">
        <w:rPr>
          <w:lang w:val="en-US"/>
        </w:rPr>
        <w:t xml:space="preserve"> = 1978 U.S. LEXIS </w:t>
      </w:r>
      <w:r w:rsidRPr="003C2C90">
        <w:rPr>
          <w:lang w:val="en-US"/>
        </w:rPr>
        <w:t>57, 20</w:t>
      </w:r>
      <w:r>
        <w:rPr>
          <w:lang w:val="en-US"/>
        </w:rPr>
        <w:t xml:space="preserve"> = 24 Fed. R. Serv. </w:t>
      </w:r>
      <w:r w:rsidRPr="003C2C90">
        <w:rPr>
          <w:lang w:val="en-US"/>
        </w:rPr>
        <w:t>2d (Callaghan) 1313 (1978)</w:t>
      </w:r>
      <w:r>
        <w:rPr>
          <w:lang w:val="en-US"/>
        </w:rPr>
        <w:t>.</w:t>
      </w:r>
    </w:p>
  </w:footnote>
  <w:footnote w:id="1831">
    <w:p w14:paraId="3AA968B3" w14:textId="77777777" w:rsidR="00074551" w:rsidRPr="003C2C90" w:rsidRDefault="00074551" w:rsidP="00074551">
      <w:pPr>
        <w:pStyle w:val="Funotentext"/>
        <w:rPr>
          <w:lang w:val="en-US"/>
        </w:rPr>
      </w:pPr>
      <w:r>
        <w:rPr>
          <w:rStyle w:val="Funotenzeichen"/>
          <w:rFonts w:eastAsiaTheme="majorEastAsia"/>
        </w:rPr>
        <w:footnoteRef/>
      </w:r>
      <w:r w:rsidRPr="003C2C90">
        <w:rPr>
          <w:lang w:val="en-US"/>
        </w:rPr>
        <w:t xml:space="preserve"> </w:t>
      </w:r>
      <w:r w:rsidRPr="00B45592">
        <w:rPr>
          <w:i/>
          <w:lang w:val="en-US"/>
        </w:rPr>
        <w:t>Carey v. Population Services International</w:t>
      </w:r>
      <w:r w:rsidRPr="003C2C90">
        <w:rPr>
          <w:lang w:val="en-US"/>
        </w:rPr>
        <w:t>, 431 U.S.</w:t>
      </w:r>
      <w:r>
        <w:rPr>
          <w:lang w:val="en-US"/>
        </w:rPr>
        <w:t xml:space="preserve"> 678,</w:t>
      </w:r>
      <w:r w:rsidRPr="003C2C90">
        <w:rPr>
          <w:lang w:val="en-US"/>
        </w:rPr>
        <w:t xml:space="preserve"> 686;</w:t>
      </w:r>
      <w:r>
        <w:rPr>
          <w:lang w:val="en-US"/>
        </w:rPr>
        <w:t xml:space="preserve"> </w:t>
      </w:r>
      <w:r w:rsidRPr="00B45592">
        <w:rPr>
          <w:i/>
          <w:lang w:val="en-US"/>
        </w:rPr>
        <w:t>Memorial Hospital v. Maricopa County</w:t>
      </w:r>
      <w:r w:rsidRPr="003C2C90">
        <w:rPr>
          <w:lang w:val="en-US"/>
        </w:rPr>
        <w:t>, 415 U.S.</w:t>
      </w:r>
      <w:r>
        <w:rPr>
          <w:lang w:val="en-US"/>
        </w:rPr>
        <w:t xml:space="preserve"> 250,</w:t>
      </w:r>
      <w:r w:rsidRPr="003C2C90">
        <w:rPr>
          <w:lang w:val="en-US"/>
        </w:rPr>
        <w:t xml:space="preserve"> 262</w:t>
      </w:r>
      <w:r>
        <w:rPr>
          <w:lang w:val="en-US"/>
        </w:rPr>
        <w:t>–</w:t>
      </w:r>
      <w:r w:rsidRPr="003C2C90">
        <w:rPr>
          <w:lang w:val="en-US"/>
        </w:rPr>
        <w:t>263;</w:t>
      </w:r>
      <w:r>
        <w:rPr>
          <w:lang w:val="en-US"/>
        </w:rPr>
        <w:t xml:space="preserve"> </w:t>
      </w:r>
      <w:r w:rsidRPr="00B45592">
        <w:rPr>
          <w:i/>
          <w:lang w:val="en-US"/>
        </w:rPr>
        <w:t>San Antonio Independent School Dist. v. Rodriguez</w:t>
      </w:r>
      <w:r w:rsidRPr="003C2C90">
        <w:rPr>
          <w:lang w:val="en-US"/>
        </w:rPr>
        <w:t>, 411 U.S.</w:t>
      </w:r>
      <w:r>
        <w:rPr>
          <w:lang w:val="en-US"/>
        </w:rPr>
        <w:t xml:space="preserve"> 1, </w:t>
      </w:r>
      <w:r w:rsidRPr="003C2C90">
        <w:rPr>
          <w:lang w:val="en-US"/>
        </w:rPr>
        <w:t>16</w:t>
      </w:r>
      <w:r>
        <w:rPr>
          <w:lang w:val="en-US"/>
        </w:rPr>
        <w:t>–</w:t>
      </w:r>
      <w:r w:rsidRPr="003C2C90">
        <w:rPr>
          <w:lang w:val="en-US"/>
        </w:rPr>
        <w:t>17 16</w:t>
      </w:r>
      <w:r>
        <w:rPr>
          <w:lang w:val="en-US"/>
        </w:rPr>
        <w:t>–</w:t>
      </w:r>
      <w:r w:rsidRPr="003C2C90">
        <w:rPr>
          <w:lang w:val="en-US"/>
        </w:rPr>
        <w:t>17;</w:t>
      </w:r>
      <w:r>
        <w:rPr>
          <w:lang w:val="en-US"/>
        </w:rPr>
        <w:t xml:space="preserve"> </w:t>
      </w:r>
      <w:r w:rsidRPr="00B45592">
        <w:rPr>
          <w:i/>
          <w:lang w:val="en-US"/>
        </w:rPr>
        <w:t>Bullock v. Carter</w:t>
      </w:r>
      <w:r w:rsidRPr="003C2C90">
        <w:rPr>
          <w:lang w:val="en-US"/>
        </w:rPr>
        <w:t>, 405 U.S. 134, 144 (1972)</w:t>
      </w:r>
      <w:r>
        <w:rPr>
          <w:lang w:val="en-US"/>
        </w:rPr>
        <w:t xml:space="preserve">; </w:t>
      </w:r>
      <w:r w:rsidRPr="00B35CD0">
        <w:rPr>
          <w:i/>
          <w:lang w:val="en-US"/>
        </w:rPr>
        <w:t xml:space="preserve">Zablocki v. </w:t>
      </w:r>
      <w:proofErr w:type="spellStart"/>
      <w:r w:rsidRPr="00B35CD0">
        <w:rPr>
          <w:i/>
          <w:lang w:val="en-US"/>
        </w:rPr>
        <w:t>Redhail</w:t>
      </w:r>
      <w:proofErr w:type="spellEnd"/>
      <w:r w:rsidRPr="003C2C90">
        <w:rPr>
          <w:lang w:val="en-US"/>
        </w:rPr>
        <w:t>, 434 U.S. 374, 388</w:t>
      </w:r>
      <w:r w:rsidRPr="003B741A">
        <w:rPr>
          <w:lang w:val="en-US"/>
        </w:rPr>
        <w:t xml:space="preserve"> = 98 S. Ct. </w:t>
      </w:r>
      <w:r w:rsidRPr="003C2C90">
        <w:rPr>
          <w:lang w:val="en-US"/>
        </w:rPr>
        <w:t>673, 682</w:t>
      </w:r>
      <w:r>
        <w:rPr>
          <w:lang w:val="en-US"/>
        </w:rPr>
        <w:t xml:space="preserve"> = 54 L. Ed. </w:t>
      </w:r>
      <w:r w:rsidRPr="003C2C90">
        <w:rPr>
          <w:lang w:val="en-US"/>
        </w:rPr>
        <w:t>2d 618, 632</w:t>
      </w:r>
      <w:r w:rsidRPr="003B741A">
        <w:rPr>
          <w:lang w:val="en-US"/>
        </w:rPr>
        <w:t xml:space="preserve"> = 1978 U.S. LEXIS </w:t>
      </w:r>
      <w:r w:rsidRPr="003C2C90">
        <w:rPr>
          <w:lang w:val="en-US"/>
        </w:rPr>
        <w:t>57, 20</w:t>
      </w:r>
      <w:r>
        <w:rPr>
          <w:lang w:val="en-US"/>
        </w:rPr>
        <w:t xml:space="preserve"> = 24 Fed. R. Serv. </w:t>
      </w:r>
      <w:r w:rsidRPr="003C2C90">
        <w:rPr>
          <w:lang w:val="en-US"/>
        </w:rPr>
        <w:t>2d (Callaghan) 1313 (1978)</w:t>
      </w:r>
    </w:p>
  </w:footnote>
  <w:footnote w:id="1832">
    <w:p w14:paraId="10225D0B" w14:textId="77777777" w:rsidR="00074551" w:rsidRPr="003C2C90" w:rsidRDefault="00074551" w:rsidP="00074551">
      <w:pPr>
        <w:pStyle w:val="Funotentext"/>
        <w:rPr>
          <w:lang w:val="en-US"/>
        </w:rPr>
      </w:pPr>
      <w:r>
        <w:rPr>
          <w:rStyle w:val="Funotenzeichen"/>
          <w:rFonts w:eastAsiaTheme="majorEastAsia"/>
        </w:rPr>
        <w:footnoteRef/>
      </w:r>
      <w:r w:rsidRPr="003C2C90">
        <w:rPr>
          <w:lang w:val="en-US"/>
        </w:rPr>
        <w:t xml:space="preserve"> </w:t>
      </w:r>
      <w:r w:rsidRPr="00B45592">
        <w:rPr>
          <w:i/>
          <w:lang w:val="en-US"/>
        </w:rPr>
        <w:t>Carey v. Population Services International</w:t>
      </w:r>
      <w:r w:rsidRPr="003C2C90">
        <w:rPr>
          <w:lang w:val="en-US"/>
        </w:rPr>
        <w:t>, 431 U.S.</w:t>
      </w:r>
      <w:r w:rsidRPr="006F1816">
        <w:rPr>
          <w:lang w:val="en-US"/>
        </w:rPr>
        <w:t xml:space="preserve"> </w:t>
      </w:r>
      <w:r>
        <w:rPr>
          <w:lang w:val="en-US"/>
        </w:rPr>
        <w:t xml:space="preserve">678, </w:t>
      </w:r>
      <w:r w:rsidRPr="003C2C90">
        <w:rPr>
          <w:lang w:val="en-US"/>
        </w:rPr>
        <w:t>686;</w:t>
      </w:r>
      <w:r>
        <w:rPr>
          <w:lang w:val="en-US"/>
        </w:rPr>
        <w:t xml:space="preserve"> </w:t>
      </w:r>
      <w:r w:rsidRPr="00B45592">
        <w:rPr>
          <w:i/>
          <w:lang w:val="en-US"/>
        </w:rPr>
        <w:t>Memorial Hospital v. Maricopa County</w:t>
      </w:r>
      <w:r w:rsidRPr="003C2C90">
        <w:rPr>
          <w:lang w:val="en-US"/>
        </w:rPr>
        <w:t>, 415 U.S.</w:t>
      </w:r>
      <w:r>
        <w:rPr>
          <w:lang w:val="en-US"/>
        </w:rPr>
        <w:t xml:space="preserve"> 250,</w:t>
      </w:r>
      <w:r w:rsidRPr="003C2C90">
        <w:rPr>
          <w:lang w:val="en-US"/>
        </w:rPr>
        <w:t xml:space="preserve"> 262</w:t>
      </w:r>
      <w:r>
        <w:rPr>
          <w:lang w:val="en-US"/>
        </w:rPr>
        <w:t>–</w:t>
      </w:r>
      <w:r w:rsidRPr="003C2C90">
        <w:rPr>
          <w:lang w:val="en-US"/>
        </w:rPr>
        <w:t>263;</w:t>
      </w:r>
      <w:r>
        <w:rPr>
          <w:lang w:val="en-US"/>
        </w:rPr>
        <w:t xml:space="preserve"> </w:t>
      </w:r>
      <w:r w:rsidRPr="00B45592">
        <w:rPr>
          <w:i/>
          <w:lang w:val="en-US"/>
        </w:rPr>
        <w:t>San Antonio Independent School Dist. v. Rodriguez</w:t>
      </w:r>
      <w:r w:rsidRPr="003C2C90">
        <w:rPr>
          <w:lang w:val="en-US"/>
        </w:rPr>
        <w:t>, 411 U.S.</w:t>
      </w:r>
      <w:r>
        <w:rPr>
          <w:lang w:val="en-US"/>
        </w:rPr>
        <w:t xml:space="preserve"> 1, </w:t>
      </w:r>
      <w:r w:rsidRPr="003C2C90">
        <w:rPr>
          <w:lang w:val="en-US"/>
        </w:rPr>
        <w:t>16</w:t>
      </w:r>
      <w:r>
        <w:rPr>
          <w:lang w:val="en-US"/>
        </w:rPr>
        <w:t>–</w:t>
      </w:r>
      <w:r w:rsidRPr="003C2C90">
        <w:rPr>
          <w:lang w:val="en-US"/>
        </w:rPr>
        <w:t>17;</w:t>
      </w:r>
      <w:r>
        <w:rPr>
          <w:lang w:val="en-US"/>
        </w:rPr>
        <w:t xml:space="preserve"> </w:t>
      </w:r>
      <w:r w:rsidRPr="00B45592">
        <w:rPr>
          <w:i/>
          <w:lang w:val="en-US"/>
        </w:rPr>
        <w:t>Bullock v. Carter</w:t>
      </w:r>
      <w:r w:rsidRPr="003C2C90">
        <w:rPr>
          <w:lang w:val="en-US"/>
        </w:rPr>
        <w:t>, 405 U.S. 134, 144 (1972)</w:t>
      </w:r>
      <w:r>
        <w:rPr>
          <w:lang w:val="en-US"/>
        </w:rPr>
        <w:t xml:space="preserve">; </w:t>
      </w:r>
      <w:r w:rsidRPr="00B35CD0">
        <w:rPr>
          <w:i/>
          <w:lang w:val="en-US"/>
        </w:rPr>
        <w:t xml:space="preserve">Zablocki v. </w:t>
      </w:r>
      <w:proofErr w:type="spellStart"/>
      <w:r w:rsidRPr="00B35CD0">
        <w:rPr>
          <w:i/>
          <w:lang w:val="en-US"/>
        </w:rPr>
        <w:t>Redhail</w:t>
      </w:r>
      <w:proofErr w:type="spellEnd"/>
      <w:r w:rsidRPr="003C2C90">
        <w:rPr>
          <w:lang w:val="en-US"/>
        </w:rPr>
        <w:t>, 434 U.S. 374, 388</w:t>
      </w:r>
      <w:r w:rsidRPr="003B741A">
        <w:rPr>
          <w:lang w:val="en-US"/>
        </w:rPr>
        <w:t xml:space="preserve"> = 98 S. Ct. </w:t>
      </w:r>
      <w:r w:rsidRPr="003C2C90">
        <w:rPr>
          <w:lang w:val="en-US"/>
        </w:rPr>
        <w:t>673, 682</w:t>
      </w:r>
      <w:r>
        <w:rPr>
          <w:lang w:val="en-US"/>
        </w:rPr>
        <w:t xml:space="preserve"> = 54 L. Ed. </w:t>
      </w:r>
      <w:r w:rsidRPr="003C2C90">
        <w:rPr>
          <w:lang w:val="en-US"/>
        </w:rPr>
        <w:t>2d 618, 632</w:t>
      </w:r>
      <w:r w:rsidRPr="003B741A">
        <w:rPr>
          <w:lang w:val="en-US"/>
        </w:rPr>
        <w:t xml:space="preserve"> = 1978 U.S. LEXIS </w:t>
      </w:r>
      <w:r w:rsidRPr="003C2C90">
        <w:rPr>
          <w:lang w:val="en-US"/>
        </w:rPr>
        <w:t>57, 20</w:t>
      </w:r>
      <w:r>
        <w:rPr>
          <w:lang w:val="en-US"/>
        </w:rPr>
        <w:t xml:space="preserve"> = 24 Fed. R. Serv. </w:t>
      </w:r>
      <w:r w:rsidRPr="003C2C90">
        <w:rPr>
          <w:lang w:val="en-US"/>
        </w:rPr>
        <w:t>2d (Callaghan) 1313 (1978)</w:t>
      </w:r>
    </w:p>
  </w:footnote>
  <w:footnote w:id="1833">
    <w:p w14:paraId="11582373" w14:textId="77777777" w:rsidR="00074551" w:rsidRPr="003C2C90" w:rsidRDefault="00074551" w:rsidP="00074551">
      <w:pPr>
        <w:pStyle w:val="Funotentext"/>
        <w:rPr>
          <w:lang w:val="en-US"/>
        </w:rPr>
      </w:pPr>
      <w:r>
        <w:rPr>
          <w:rStyle w:val="Funotenzeichen"/>
          <w:rFonts w:eastAsiaTheme="majorEastAsia"/>
        </w:rPr>
        <w:footnoteRef/>
      </w:r>
      <w:r w:rsidRPr="003C2C90">
        <w:rPr>
          <w:lang w:val="en-US"/>
        </w:rPr>
        <w:t xml:space="preserve"> </w:t>
      </w:r>
      <w:r w:rsidRPr="00B35CD0">
        <w:rPr>
          <w:i/>
          <w:lang w:val="en-US"/>
        </w:rPr>
        <w:t xml:space="preserve">Zablocki v. </w:t>
      </w:r>
      <w:proofErr w:type="spellStart"/>
      <w:r w:rsidRPr="00B35CD0">
        <w:rPr>
          <w:i/>
          <w:lang w:val="en-US"/>
        </w:rPr>
        <w:t>Redhail</w:t>
      </w:r>
      <w:proofErr w:type="spellEnd"/>
      <w:r w:rsidRPr="003C2C90">
        <w:rPr>
          <w:lang w:val="en-US"/>
        </w:rPr>
        <w:t>, 434 U.S. 374, 397</w:t>
      </w:r>
      <w:r w:rsidRPr="003B741A">
        <w:rPr>
          <w:lang w:val="en-US"/>
        </w:rPr>
        <w:t xml:space="preserve"> = 98 S. Ct. </w:t>
      </w:r>
      <w:r w:rsidRPr="003C2C90">
        <w:rPr>
          <w:lang w:val="en-US"/>
        </w:rPr>
        <w:t>673, 687</w:t>
      </w:r>
      <w:r>
        <w:rPr>
          <w:lang w:val="en-US"/>
        </w:rPr>
        <w:t xml:space="preserve"> = 54 L. Ed. </w:t>
      </w:r>
      <w:r w:rsidRPr="003C2C90">
        <w:rPr>
          <w:lang w:val="en-US"/>
        </w:rPr>
        <w:t>2d 618, 638</w:t>
      </w:r>
      <w:r w:rsidRPr="003B741A">
        <w:rPr>
          <w:lang w:val="en-US"/>
        </w:rPr>
        <w:t xml:space="preserve"> = 1978 U.S. LEXIS </w:t>
      </w:r>
      <w:r w:rsidRPr="003C2C90">
        <w:rPr>
          <w:lang w:val="en-US"/>
        </w:rPr>
        <w:t>57, 36</w:t>
      </w:r>
      <w:r>
        <w:rPr>
          <w:lang w:val="en-US"/>
        </w:rPr>
        <w:t xml:space="preserve"> = 24 Fed. R. Serv. </w:t>
      </w:r>
      <w:r w:rsidRPr="003C2C90">
        <w:rPr>
          <w:lang w:val="en-US"/>
        </w:rPr>
        <w:t>2d (Callaghan) 1313 (1978).</w:t>
      </w:r>
    </w:p>
  </w:footnote>
  <w:footnote w:id="1834">
    <w:p w14:paraId="7D54ABF2" w14:textId="77777777" w:rsidR="00074551" w:rsidRPr="003C2C90" w:rsidRDefault="00074551" w:rsidP="00074551">
      <w:pPr>
        <w:pStyle w:val="Funotentext"/>
        <w:rPr>
          <w:lang w:val="en-US"/>
        </w:rPr>
      </w:pPr>
      <w:r>
        <w:rPr>
          <w:rStyle w:val="Funotenzeichen"/>
          <w:rFonts w:eastAsiaTheme="majorEastAsia"/>
        </w:rPr>
        <w:footnoteRef/>
      </w:r>
      <w:r w:rsidRPr="00B45592">
        <w:rPr>
          <w:lang w:val="fr-FR"/>
        </w:rPr>
        <w:t xml:space="preserve"> </w:t>
      </w:r>
      <w:r w:rsidRPr="009572B5">
        <w:rPr>
          <w:i/>
          <w:lang w:val="fr-FR"/>
        </w:rPr>
        <w:t>Skinner v. Oklahoma</w:t>
      </w:r>
      <w:r w:rsidRPr="009167A5">
        <w:rPr>
          <w:i/>
          <w:lang w:val="fr-FR"/>
        </w:rPr>
        <w:t xml:space="preserve"> ex rel. </w:t>
      </w:r>
      <w:r w:rsidRPr="00B45592">
        <w:rPr>
          <w:i/>
          <w:lang w:val="en-IE"/>
        </w:rPr>
        <w:t>Williamson</w:t>
      </w:r>
      <w:r w:rsidRPr="003C2C90">
        <w:rPr>
          <w:lang w:val="en-US"/>
        </w:rPr>
        <w:t>, 316 U.S. 535, 541 (1942</w:t>
      </w:r>
      <w:proofErr w:type="gramStart"/>
      <w:r w:rsidRPr="003C2C90">
        <w:rPr>
          <w:lang w:val="en-US"/>
        </w:rPr>
        <w:t>)</w:t>
      </w:r>
      <w:r>
        <w:rPr>
          <w:lang w:val="en-US"/>
        </w:rPr>
        <w:t>;</w:t>
      </w:r>
      <w:proofErr w:type="gramEnd"/>
      <w:r>
        <w:rPr>
          <w:lang w:val="en-US"/>
        </w:rPr>
        <w:t xml:space="preserve"> </w:t>
      </w:r>
      <w:r w:rsidRPr="00B35CD0">
        <w:rPr>
          <w:i/>
          <w:lang w:val="en-US"/>
        </w:rPr>
        <w:t xml:space="preserve">Zablocki v. </w:t>
      </w:r>
      <w:proofErr w:type="spellStart"/>
      <w:r w:rsidRPr="00B35CD0">
        <w:rPr>
          <w:i/>
          <w:lang w:val="en-US"/>
        </w:rPr>
        <w:t>Redhail</w:t>
      </w:r>
      <w:proofErr w:type="spellEnd"/>
      <w:r w:rsidRPr="003C2C90">
        <w:rPr>
          <w:lang w:val="en-US"/>
        </w:rPr>
        <w:t>, 434 U.S. 374, 383</w:t>
      </w:r>
      <w:r w:rsidRPr="003B741A">
        <w:rPr>
          <w:lang w:val="en-US"/>
        </w:rPr>
        <w:t xml:space="preserve"> = 98 S. Ct. </w:t>
      </w:r>
      <w:r w:rsidRPr="003C2C90">
        <w:rPr>
          <w:lang w:val="en-US"/>
        </w:rPr>
        <w:t>673, 679</w:t>
      </w:r>
      <w:r>
        <w:rPr>
          <w:lang w:val="en-US"/>
        </w:rPr>
        <w:t xml:space="preserve"> = 54 L. Ed. </w:t>
      </w:r>
      <w:r w:rsidRPr="003C2C90">
        <w:rPr>
          <w:lang w:val="en-US"/>
        </w:rPr>
        <w:t>2d 618, 629</w:t>
      </w:r>
      <w:r w:rsidRPr="003B741A">
        <w:rPr>
          <w:lang w:val="en-US"/>
        </w:rPr>
        <w:t xml:space="preserve"> = 1978 U.S. LEXIS </w:t>
      </w:r>
      <w:r w:rsidRPr="003C2C90">
        <w:rPr>
          <w:lang w:val="en-US"/>
        </w:rPr>
        <w:t>57, 13</w:t>
      </w:r>
      <w:r>
        <w:rPr>
          <w:lang w:val="en-US"/>
        </w:rPr>
        <w:t xml:space="preserve"> = 24 Fed. R. Serv. </w:t>
      </w:r>
      <w:r w:rsidRPr="003C2C90">
        <w:rPr>
          <w:lang w:val="en-US"/>
        </w:rPr>
        <w:t>2d (Callaghan) 1313 (1978)</w:t>
      </w:r>
      <w:r>
        <w:rPr>
          <w:lang w:val="en-US"/>
        </w:rPr>
        <w:t>.</w:t>
      </w:r>
    </w:p>
  </w:footnote>
  <w:footnote w:id="1835">
    <w:p w14:paraId="34555375" w14:textId="77777777" w:rsidR="00074551" w:rsidRPr="003C2C90" w:rsidRDefault="00074551" w:rsidP="00074551">
      <w:pPr>
        <w:pStyle w:val="Funotentext"/>
        <w:jc w:val="both"/>
        <w:rPr>
          <w:lang w:val="en-US"/>
        </w:rPr>
      </w:pPr>
      <w:r>
        <w:rPr>
          <w:rStyle w:val="Funotenzeichen"/>
          <w:rFonts w:eastAsiaTheme="majorEastAsia"/>
        </w:rPr>
        <w:footnoteRef/>
      </w:r>
      <w:r w:rsidRPr="003C2C90">
        <w:rPr>
          <w:lang w:val="en-US"/>
        </w:rPr>
        <w:t xml:space="preserve"> </w:t>
      </w:r>
      <w:r w:rsidRPr="00584023">
        <w:rPr>
          <w:i/>
          <w:lang w:val="en-US"/>
        </w:rPr>
        <w:t>Loving v. Virginia</w:t>
      </w:r>
      <w:r w:rsidRPr="003C2C90">
        <w:rPr>
          <w:lang w:val="en-US"/>
        </w:rPr>
        <w:t>, 388 U.S. 1 (1967)</w:t>
      </w:r>
      <w:r>
        <w:rPr>
          <w:lang w:val="en-US"/>
        </w:rPr>
        <w:t xml:space="preserve">; </w:t>
      </w:r>
      <w:r w:rsidRPr="00B35CD0">
        <w:rPr>
          <w:i/>
          <w:lang w:val="en-US"/>
        </w:rPr>
        <w:t xml:space="preserve">Zablocki v. </w:t>
      </w:r>
      <w:proofErr w:type="spellStart"/>
      <w:r w:rsidRPr="00B35CD0">
        <w:rPr>
          <w:i/>
          <w:lang w:val="en-US"/>
        </w:rPr>
        <w:t>Redhail</w:t>
      </w:r>
      <w:proofErr w:type="spellEnd"/>
      <w:r w:rsidRPr="003C2C90">
        <w:rPr>
          <w:lang w:val="en-US"/>
        </w:rPr>
        <w:t>, 434 U.S. 374, 398</w:t>
      </w:r>
      <w:r w:rsidRPr="003B741A">
        <w:rPr>
          <w:lang w:val="en-US"/>
        </w:rPr>
        <w:t xml:space="preserve"> = 98 S. Ct. </w:t>
      </w:r>
      <w:r w:rsidRPr="003C2C90">
        <w:rPr>
          <w:lang w:val="en-US"/>
        </w:rPr>
        <w:t>673, 687</w:t>
      </w:r>
      <w:r>
        <w:rPr>
          <w:lang w:val="en-US"/>
        </w:rPr>
        <w:t xml:space="preserve"> = 54 L. Ed. </w:t>
      </w:r>
      <w:r w:rsidRPr="003C2C90">
        <w:rPr>
          <w:lang w:val="en-US"/>
        </w:rPr>
        <w:t>2d 618, 638</w:t>
      </w:r>
      <w:r w:rsidRPr="003B741A">
        <w:rPr>
          <w:lang w:val="en-US"/>
        </w:rPr>
        <w:t xml:space="preserve"> = 1978 U.S. LEXIS </w:t>
      </w:r>
      <w:r w:rsidRPr="003C2C90">
        <w:rPr>
          <w:lang w:val="en-US"/>
        </w:rPr>
        <w:t>57, 37</w:t>
      </w:r>
      <w:r>
        <w:rPr>
          <w:lang w:val="en-US"/>
        </w:rPr>
        <w:t xml:space="preserve"> = 24 Fed. R. Serv. </w:t>
      </w:r>
      <w:r w:rsidRPr="003C2C90">
        <w:rPr>
          <w:lang w:val="en-US"/>
        </w:rPr>
        <w:t>2d (Callaghan) 1313 (1978)</w:t>
      </w:r>
      <w:r>
        <w:rPr>
          <w:lang w:val="en-US"/>
        </w:rPr>
        <w:t>.</w:t>
      </w:r>
    </w:p>
  </w:footnote>
  <w:footnote w:id="1836">
    <w:p w14:paraId="78F21247" w14:textId="77777777" w:rsidR="00074551" w:rsidRPr="003265AD" w:rsidRDefault="00074551" w:rsidP="00074551">
      <w:pPr>
        <w:pStyle w:val="Funotentext"/>
        <w:rPr>
          <w:lang w:val="en-US"/>
        </w:rPr>
      </w:pPr>
      <w:r>
        <w:rPr>
          <w:rStyle w:val="Funotenzeichen"/>
        </w:rPr>
        <w:footnoteRef/>
      </w:r>
      <w:r w:rsidRPr="003265AD">
        <w:rPr>
          <w:lang w:val="en-US"/>
        </w:rPr>
        <w:t xml:space="preserve"> United States Code Service</w:t>
      </w:r>
      <w:r>
        <w:rPr>
          <w:lang w:val="en-US"/>
        </w:rPr>
        <w:t xml:space="preserve"> Title</w:t>
      </w:r>
      <w:r w:rsidRPr="003265AD">
        <w:rPr>
          <w:lang w:val="en-US"/>
        </w:rPr>
        <w:t xml:space="preserve"> 5. Government Organization </w:t>
      </w:r>
      <w:r>
        <w:rPr>
          <w:lang w:val="en-US"/>
        </w:rPr>
        <w:t>a</w:t>
      </w:r>
      <w:r w:rsidRPr="003265AD">
        <w:rPr>
          <w:lang w:val="en-US"/>
        </w:rPr>
        <w:t>nd Employees (§</w:t>
      </w:r>
      <w:r>
        <w:rPr>
          <w:lang w:val="en-US"/>
        </w:rPr>
        <w:t>§ </w:t>
      </w:r>
      <w:r w:rsidRPr="003265AD">
        <w:rPr>
          <w:lang w:val="en-US"/>
        </w:rPr>
        <w:t>101</w:t>
      </w:r>
      <w:r>
        <w:rPr>
          <w:lang w:val="en-US"/>
        </w:rPr>
        <w:t>–</w:t>
      </w:r>
      <w:r w:rsidRPr="003265AD">
        <w:rPr>
          <w:lang w:val="en-US"/>
        </w:rPr>
        <w:t>13146)</w:t>
      </w:r>
      <w:r>
        <w:rPr>
          <w:lang w:val="en-US"/>
        </w:rPr>
        <w:t xml:space="preserve"> </w:t>
      </w:r>
      <w:r w:rsidRPr="003265AD">
        <w:rPr>
          <w:lang w:val="en-US"/>
        </w:rPr>
        <w:t>Part I. The Agencies Generally (Chs. 1</w:t>
      </w:r>
      <w:r>
        <w:rPr>
          <w:lang w:val="en-US"/>
        </w:rPr>
        <w:t>–</w:t>
      </w:r>
      <w:r w:rsidRPr="003265AD">
        <w:rPr>
          <w:lang w:val="en-US"/>
        </w:rPr>
        <w:t>10)</w:t>
      </w:r>
      <w:r>
        <w:rPr>
          <w:lang w:val="en-US"/>
        </w:rPr>
        <w:t xml:space="preserve">; </w:t>
      </w:r>
      <w:r w:rsidRPr="003265AD">
        <w:rPr>
          <w:lang w:val="en-US"/>
        </w:rPr>
        <w:t>Chapter 7. Judicial Review (§</w:t>
      </w:r>
      <w:r>
        <w:rPr>
          <w:lang w:val="en-US"/>
        </w:rPr>
        <w:t>§ </w:t>
      </w:r>
      <w:r w:rsidRPr="003265AD">
        <w:rPr>
          <w:lang w:val="en-US"/>
        </w:rPr>
        <w:t>701</w:t>
      </w:r>
      <w:r>
        <w:rPr>
          <w:lang w:val="en-US"/>
        </w:rPr>
        <w:t>–</w:t>
      </w:r>
      <w:r w:rsidRPr="003265AD">
        <w:rPr>
          <w:lang w:val="en-US"/>
        </w:rPr>
        <w:t>706)</w:t>
      </w:r>
      <w:r>
        <w:rPr>
          <w:lang w:val="en-US"/>
        </w:rPr>
        <w:t xml:space="preserve">, in </w:t>
      </w:r>
      <w:r w:rsidRPr="003265AD">
        <w:rPr>
          <w:lang w:val="en-US"/>
        </w:rPr>
        <w:t xml:space="preserve">5 USCS </w:t>
      </w:r>
      <w:r>
        <w:rPr>
          <w:lang w:val="en-US"/>
        </w:rPr>
        <w:t>§ </w:t>
      </w:r>
      <w:r w:rsidRPr="003265AD">
        <w:rPr>
          <w:lang w:val="en-US"/>
        </w:rPr>
        <w:t>701</w:t>
      </w:r>
      <w:r>
        <w:rPr>
          <w:lang w:val="en-US"/>
        </w:rPr>
        <w:t>.</w:t>
      </w:r>
    </w:p>
  </w:footnote>
  <w:footnote w:id="1837">
    <w:p w14:paraId="79B420CE" w14:textId="77777777" w:rsidR="00074551" w:rsidRPr="003265AD" w:rsidRDefault="00074551" w:rsidP="00074551">
      <w:pPr>
        <w:pStyle w:val="Funotentext"/>
        <w:rPr>
          <w:lang w:val="en-US"/>
        </w:rPr>
      </w:pPr>
      <w:r>
        <w:rPr>
          <w:rStyle w:val="Funotenzeichen"/>
        </w:rPr>
        <w:footnoteRef/>
      </w:r>
      <w:r w:rsidRPr="003265AD">
        <w:rPr>
          <w:lang w:val="en-US"/>
        </w:rPr>
        <w:t xml:space="preserve"> </w:t>
      </w:r>
      <w:r>
        <w:rPr>
          <w:lang w:val="en-US"/>
        </w:rPr>
        <w:t>„</w:t>
      </w:r>
      <w:r w:rsidRPr="003265AD">
        <w:rPr>
          <w:lang w:val="en-US"/>
        </w:rPr>
        <w:t>(a) This chapter [5 USCS §</w:t>
      </w:r>
      <w:r>
        <w:rPr>
          <w:lang w:val="en-US"/>
        </w:rPr>
        <w:t>§ </w:t>
      </w:r>
      <w:r w:rsidRPr="003265AD">
        <w:rPr>
          <w:lang w:val="en-US"/>
        </w:rPr>
        <w:t>701 et seq.] applies, according to the provisions thereof, except to the extent that</w:t>
      </w:r>
      <w:r>
        <w:rPr>
          <w:lang w:val="en-US"/>
        </w:rPr>
        <w:t xml:space="preserve"> – </w:t>
      </w:r>
      <w:r w:rsidRPr="003265AD">
        <w:rPr>
          <w:lang w:val="en-US"/>
        </w:rPr>
        <w:t>(1) statutes preclude judicial review; or</w:t>
      </w:r>
      <w:r>
        <w:rPr>
          <w:lang w:val="en-US"/>
        </w:rPr>
        <w:t xml:space="preserve"> </w:t>
      </w:r>
      <w:r w:rsidRPr="003265AD">
        <w:rPr>
          <w:lang w:val="en-US"/>
        </w:rPr>
        <w:t xml:space="preserve">(2) agency action is committed to agency discretion by </w:t>
      </w:r>
      <w:proofErr w:type="gramStart"/>
      <w:r w:rsidRPr="003265AD">
        <w:rPr>
          <w:lang w:val="en-US"/>
        </w:rPr>
        <w:t>law.</w:t>
      </w:r>
      <w:r>
        <w:rPr>
          <w:lang w:val="en-US"/>
        </w:rPr>
        <w:t>“</w:t>
      </w:r>
      <w:proofErr w:type="gramEnd"/>
      <w:r>
        <w:rPr>
          <w:lang w:val="en-US"/>
        </w:rPr>
        <w:t xml:space="preserve">, in </w:t>
      </w:r>
      <w:r w:rsidRPr="003265AD">
        <w:rPr>
          <w:lang w:val="en-US"/>
        </w:rPr>
        <w:t xml:space="preserve">5 USCS </w:t>
      </w:r>
      <w:r>
        <w:rPr>
          <w:lang w:val="en-US"/>
        </w:rPr>
        <w:t>§ </w:t>
      </w:r>
      <w:r w:rsidRPr="003265AD">
        <w:rPr>
          <w:lang w:val="en-US"/>
        </w:rPr>
        <w:t>701</w:t>
      </w:r>
      <w:r>
        <w:rPr>
          <w:lang w:val="en-US"/>
        </w:rPr>
        <w:t>.</w:t>
      </w:r>
    </w:p>
  </w:footnote>
  <w:footnote w:id="1838">
    <w:p w14:paraId="0E5B7826" w14:textId="77777777" w:rsidR="00074551" w:rsidRPr="008A745C" w:rsidRDefault="00074551" w:rsidP="00074551">
      <w:pPr>
        <w:pStyle w:val="Funotentext"/>
        <w:rPr>
          <w:lang w:val="en-US"/>
        </w:rPr>
      </w:pPr>
      <w:r>
        <w:rPr>
          <w:rStyle w:val="Funotenzeichen"/>
        </w:rPr>
        <w:footnoteRef/>
      </w:r>
      <w:r w:rsidRPr="008A745C">
        <w:rPr>
          <w:lang w:val="en-US"/>
        </w:rPr>
        <w:t xml:space="preserve"> </w:t>
      </w:r>
      <w:r w:rsidRPr="00B45592">
        <w:rPr>
          <w:i/>
          <w:lang w:val="en-US"/>
        </w:rPr>
        <w:t>Heckler v. Chaney</w:t>
      </w:r>
      <w:r w:rsidRPr="008A745C">
        <w:rPr>
          <w:lang w:val="en-US"/>
        </w:rPr>
        <w:t>, 470 U.S. 821, 823</w:t>
      </w:r>
      <w:r>
        <w:rPr>
          <w:lang w:val="en-US"/>
        </w:rPr>
        <w:t xml:space="preserve"> = 105 S. Ct. </w:t>
      </w:r>
      <w:r w:rsidRPr="008A745C">
        <w:rPr>
          <w:lang w:val="en-US"/>
        </w:rPr>
        <w:t>1649, 1651</w:t>
      </w:r>
      <w:r>
        <w:rPr>
          <w:lang w:val="en-US"/>
        </w:rPr>
        <w:t xml:space="preserve"> = 84 L. Ed. </w:t>
      </w:r>
      <w:r w:rsidRPr="008A745C">
        <w:rPr>
          <w:lang w:val="en-US"/>
        </w:rPr>
        <w:t>2d 714, 718</w:t>
      </w:r>
      <w:r>
        <w:rPr>
          <w:lang w:val="en-US"/>
        </w:rPr>
        <w:t xml:space="preserve"> = 1985 U.S. LEXIS </w:t>
      </w:r>
      <w:r w:rsidRPr="008A745C">
        <w:rPr>
          <w:lang w:val="en-US"/>
        </w:rPr>
        <w:t>78, 1</w:t>
      </w:r>
      <w:r>
        <w:rPr>
          <w:lang w:val="en-US"/>
        </w:rPr>
        <w:t xml:space="preserve"> = 53 U.S.L.W. </w:t>
      </w:r>
      <w:r w:rsidRPr="008A745C">
        <w:rPr>
          <w:lang w:val="en-US"/>
        </w:rPr>
        <w:t>4385</w:t>
      </w:r>
      <w:r>
        <w:rPr>
          <w:lang w:val="en-US"/>
        </w:rPr>
        <w:t xml:space="preserve"> = 15 ELR </w:t>
      </w:r>
      <w:r w:rsidRPr="008A745C">
        <w:rPr>
          <w:lang w:val="en-US"/>
        </w:rPr>
        <w:t>20335 (1985)</w:t>
      </w:r>
      <w:r>
        <w:rPr>
          <w:lang w:val="en-US"/>
        </w:rPr>
        <w:t>.</w:t>
      </w:r>
    </w:p>
  </w:footnote>
  <w:footnote w:id="1839">
    <w:p w14:paraId="661D0047" w14:textId="77777777" w:rsidR="00074551" w:rsidRPr="008A745C" w:rsidRDefault="00074551" w:rsidP="00074551">
      <w:pPr>
        <w:pStyle w:val="Funotentext"/>
        <w:rPr>
          <w:lang w:val="en-US"/>
        </w:rPr>
      </w:pPr>
      <w:r>
        <w:rPr>
          <w:rStyle w:val="Funotenzeichen"/>
        </w:rPr>
        <w:footnoteRef/>
      </w:r>
      <w:r w:rsidRPr="008A745C">
        <w:rPr>
          <w:lang w:val="en-US"/>
        </w:rPr>
        <w:t xml:space="preserve"> </w:t>
      </w:r>
      <w:r w:rsidRPr="00B45592">
        <w:rPr>
          <w:lang w:val="en-US"/>
        </w:rPr>
        <w:t>„</w:t>
      </w:r>
      <w:r w:rsidRPr="00B45592">
        <w:rPr>
          <w:i/>
          <w:lang w:val="en-US"/>
        </w:rPr>
        <w:t>Bargmann v. Helms</w:t>
      </w:r>
      <w:r w:rsidRPr="008A745C">
        <w:rPr>
          <w:lang w:val="en-US"/>
        </w:rPr>
        <w:t xml:space="preserve">, 230 </w:t>
      </w:r>
      <w:r>
        <w:rPr>
          <w:lang w:val="en-US"/>
        </w:rPr>
        <w:t>U.S.</w:t>
      </w:r>
      <w:r w:rsidRPr="008A745C">
        <w:rPr>
          <w:lang w:val="en-US"/>
        </w:rPr>
        <w:t xml:space="preserve"> App. D. C. 164, 715 F.2d 638 (1983); </w:t>
      </w:r>
      <w:r w:rsidRPr="00B45592">
        <w:rPr>
          <w:i/>
          <w:lang w:val="en-US"/>
        </w:rPr>
        <w:t>Natural Resources Defense Council, Inc. v. EPA</w:t>
      </w:r>
      <w:r w:rsidRPr="008A745C">
        <w:rPr>
          <w:lang w:val="en-US"/>
        </w:rPr>
        <w:t>, 683 F.2d 752, 753, 767</w:t>
      </w:r>
      <w:r>
        <w:rPr>
          <w:lang w:val="en-US"/>
        </w:rPr>
        <w:t>–</w:t>
      </w:r>
      <w:r w:rsidRPr="008A745C">
        <w:rPr>
          <w:lang w:val="en-US"/>
        </w:rPr>
        <w:t xml:space="preserve">768 (CA3 1982); </w:t>
      </w:r>
      <w:r w:rsidRPr="00B45592">
        <w:rPr>
          <w:i/>
          <w:lang w:val="en-US"/>
        </w:rPr>
        <w:t>WWHT, Inc. v. FCC</w:t>
      </w:r>
      <w:r w:rsidRPr="008A745C">
        <w:rPr>
          <w:lang w:val="en-US"/>
        </w:rPr>
        <w:t xml:space="preserve">, 211 </w:t>
      </w:r>
      <w:r>
        <w:rPr>
          <w:lang w:val="en-US"/>
        </w:rPr>
        <w:t>U.S.</w:t>
      </w:r>
      <w:r w:rsidRPr="008A745C">
        <w:rPr>
          <w:lang w:val="en-US"/>
        </w:rPr>
        <w:t xml:space="preserve"> App. D. C. 218, 656 F.2d 807 (1981); </w:t>
      </w:r>
      <w:r w:rsidRPr="00B45592">
        <w:rPr>
          <w:i/>
          <w:lang w:val="en-US"/>
        </w:rPr>
        <w:t>Carpet, Linoleum &amp; Resilient Tile Layers, Local Union No. 419 v. Brown</w:t>
      </w:r>
      <w:r w:rsidRPr="008A745C">
        <w:rPr>
          <w:lang w:val="en-US"/>
        </w:rPr>
        <w:t xml:space="preserve">, 656 F.2d 564 (CA10 1981); </w:t>
      </w:r>
      <w:r w:rsidRPr="00B45592">
        <w:rPr>
          <w:i/>
          <w:lang w:val="en-US"/>
        </w:rPr>
        <w:t>Natural Resources Defense Council, Inc. v. SEC</w:t>
      </w:r>
      <w:r w:rsidRPr="008A745C">
        <w:rPr>
          <w:lang w:val="en-US"/>
        </w:rPr>
        <w:t xml:space="preserve">, 196 </w:t>
      </w:r>
      <w:r>
        <w:rPr>
          <w:lang w:val="en-US"/>
        </w:rPr>
        <w:t>U.S.</w:t>
      </w:r>
      <w:r w:rsidRPr="008A745C">
        <w:rPr>
          <w:lang w:val="en-US"/>
        </w:rPr>
        <w:t xml:space="preserve"> App. D. C. 124, 606 F.2d 1031 (1979); </w:t>
      </w:r>
      <w:r w:rsidRPr="00B45592">
        <w:rPr>
          <w:i/>
          <w:lang w:val="en-US"/>
        </w:rPr>
        <w:t>British Airways Board v. Port Authority of New York</w:t>
      </w:r>
      <w:r w:rsidRPr="008A745C">
        <w:rPr>
          <w:lang w:val="en-US"/>
        </w:rPr>
        <w:t>, 564 F.2d 1002, 1012</w:t>
      </w:r>
      <w:r>
        <w:rPr>
          <w:lang w:val="en-US"/>
        </w:rPr>
        <w:t>–</w:t>
      </w:r>
      <w:r w:rsidRPr="008A745C">
        <w:rPr>
          <w:lang w:val="en-US"/>
        </w:rPr>
        <w:t xml:space="preserve">1013 (CA2 1977); </w:t>
      </w:r>
      <w:r w:rsidRPr="00B45592">
        <w:rPr>
          <w:i/>
          <w:lang w:val="en-US"/>
        </w:rPr>
        <w:t>Pennsylvania v. National Assn. of Flood Insurers</w:t>
      </w:r>
      <w:r w:rsidRPr="008A745C">
        <w:rPr>
          <w:lang w:val="en-US"/>
        </w:rPr>
        <w:t xml:space="preserve">, 520 F.2d 11 (CA3 1975); </w:t>
      </w:r>
      <w:r w:rsidRPr="00B45592">
        <w:rPr>
          <w:i/>
          <w:lang w:val="en-US"/>
        </w:rPr>
        <w:t>REA Express, Inc. v. CAB</w:t>
      </w:r>
      <w:r w:rsidRPr="008A745C">
        <w:rPr>
          <w:lang w:val="en-US"/>
        </w:rPr>
        <w:t xml:space="preserve">, 507 F.2d 42 (CA2 1974); </w:t>
      </w:r>
      <w:r w:rsidRPr="00B45592">
        <w:rPr>
          <w:i/>
          <w:lang w:val="en-US"/>
        </w:rPr>
        <w:t>Davis v. Romney</w:t>
      </w:r>
      <w:r w:rsidRPr="008A745C">
        <w:rPr>
          <w:lang w:val="en-US"/>
        </w:rPr>
        <w:t xml:space="preserve">, 490 F.2d 1360 (CA3 1974); </w:t>
      </w:r>
      <w:r w:rsidRPr="00B45592">
        <w:rPr>
          <w:i/>
          <w:lang w:val="en-US"/>
        </w:rPr>
        <w:t>Adams v. Richardson</w:t>
      </w:r>
      <w:r w:rsidRPr="008A745C">
        <w:rPr>
          <w:lang w:val="en-US"/>
        </w:rPr>
        <w:t xml:space="preserve">, 156 </w:t>
      </w:r>
      <w:r>
        <w:rPr>
          <w:lang w:val="en-US"/>
        </w:rPr>
        <w:t>U.S.</w:t>
      </w:r>
      <w:r w:rsidRPr="008A745C">
        <w:rPr>
          <w:lang w:val="en-US"/>
        </w:rPr>
        <w:t xml:space="preserve"> App. D. C. 267, 480 F.2d 1159 (1973) (</w:t>
      </w:r>
      <w:proofErr w:type="spellStart"/>
      <w:r w:rsidRPr="008A745C">
        <w:rPr>
          <w:lang w:val="en-US"/>
        </w:rPr>
        <w:t>en</w:t>
      </w:r>
      <w:proofErr w:type="spellEnd"/>
      <w:r w:rsidRPr="008A745C">
        <w:rPr>
          <w:lang w:val="en-US"/>
        </w:rPr>
        <w:t xml:space="preserve"> banc); </w:t>
      </w:r>
      <w:r w:rsidRPr="00B45592">
        <w:rPr>
          <w:i/>
          <w:lang w:val="en-US"/>
        </w:rPr>
        <w:t>International Harvester Co. v. Ruckelshaus</w:t>
      </w:r>
      <w:r w:rsidRPr="008A745C">
        <w:rPr>
          <w:lang w:val="en-US"/>
        </w:rPr>
        <w:t xml:space="preserve">, 155 </w:t>
      </w:r>
      <w:r>
        <w:rPr>
          <w:lang w:val="en-US"/>
        </w:rPr>
        <w:t>U.S.</w:t>
      </w:r>
      <w:r w:rsidRPr="008A745C">
        <w:rPr>
          <w:lang w:val="en-US"/>
        </w:rPr>
        <w:t xml:space="preserve"> App. D. C. 411, 478 F.2d 615 (1973); </w:t>
      </w:r>
      <w:r w:rsidRPr="00B45592">
        <w:rPr>
          <w:i/>
          <w:lang w:val="en-US"/>
        </w:rPr>
        <w:t>Rockbridge v. Lincoln</w:t>
      </w:r>
      <w:r w:rsidRPr="008A745C">
        <w:rPr>
          <w:lang w:val="en-US"/>
        </w:rPr>
        <w:t xml:space="preserve">, 449 F.2d 567 (CA9 1971); </w:t>
      </w:r>
      <w:r w:rsidRPr="00B45592">
        <w:rPr>
          <w:i/>
          <w:lang w:val="en-US"/>
        </w:rPr>
        <w:t>Environmental Defense Fund, Inc. v. Ruckelshaus</w:t>
      </w:r>
      <w:r w:rsidRPr="008A745C">
        <w:rPr>
          <w:lang w:val="en-US"/>
        </w:rPr>
        <w:t xml:space="preserve">, 142 </w:t>
      </w:r>
      <w:r>
        <w:rPr>
          <w:lang w:val="en-US"/>
        </w:rPr>
        <w:t>U.S.</w:t>
      </w:r>
      <w:r w:rsidRPr="008A745C">
        <w:rPr>
          <w:lang w:val="en-US"/>
        </w:rPr>
        <w:t xml:space="preserve"> App. D. C. 74, 439 F.2d 584 (1971); </w:t>
      </w:r>
      <w:r w:rsidRPr="00B45592">
        <w:rPr>
          <w:i/>
          <w:lang w:val="en-US"/>
        </w:rPr>
        <w:t>Environmental Defense Fund, Inc. v. Hardin</w:t>
      </w:r>
      <w:r w:rsidRPr="008A745C">
        <w:rPr>
          <w:lang w:val="en-US"/>
        </w:rPr>
        <w:t xml:space="preserve">, 138 </w:t>
      </w:r>
      <w:r>
        <w:rPr>
          <w:lang w:val="en-US"/>
        </w:rPr>
        <w:t>U.S.</w:t>
      </w:r>
      <w:r w:rsidRPr="008A745C">
        <w:rPr>
          <w:lang w:val="en-US"/>
        </w:rPr>
        <w:t xml:space="preserve"> App. D. C. 391, 428 F.2d 1093 (1970); </w:t>
      </w:r>
      <w:r w:rsidRPr="00B45592">
        <w:rPr>
          <w:i/>
          <w:lang w:val="en-US"/>
        </w:rPr>
        <w:t>Medical Committee for Human Rights v. SEC</w:t>
      </w:r>
      <w:r w:rsidRPr="008A745C">
        <w:rPr>
          <w:lang w:val="en-US"/>
        </w:rPr>
        <w:t xml:space="preserve">, 139 </w:t>
      </w:r>
      <w:r>
        <w:rPr>
          <w:lang w:val="en-US"/>
        </w:rPr>
        <w:t>U.S.</w:t>
      </w:r>
      <w:r w:rsidRPr="008A745C">
        <w:rPr>
          <w:lang w:val="en-US"/>
        </w:rPr>
        <w:t xml:space="preserve"> App. D. C. 226, 432 F.2d 659 (1970), </w:t>
      </w:r>
      <w:r w:rsidRPr="00E47138">
        <w:rPr>
          <w:lang w:val="en-US"/>
        </w:rPr>
        <w:t>vacated as moot,</w:t>
      </w:r>
      <w:r w:rsidRPr="008A745C">
        <w:rPr>
          <w:lang w:val="en-US"/>
        </w:rPr>
        <w:t xml:space="preserve"> 404 U.S. 403 (1972); </w:t>
      </w:r>
      <w:r w:rsidRPr="00B45592">
        <w:rPr>
          <w:i/>
          <w:lang w:val="en-US"/>
        </w:rPr>
        <w:t>Trailways of New England, Inc. v. CAB</w:t>
      </w:r>
      <w:r w:rsidRPr="008A745C">
        <w:rPr>
          <w:lang w:val="en-US"/>
        </w:rPr>
        <w:t xml:space="preserve">, 412 F.2d 926 (CA1 1969); </w:t>
      </w:r>
      <w:r w:rsidRPr="00B45592">
        <w:rPr>
          <w:i/>
          <w:lang w:val="en-US"/>
        </w:rPr>
        <w:t>International Union, United Auto., Aero. &amp; Agric. Implement Workers v. NLRB</w:t>
      </w:r>
      <w:r w:rsidRPr="008A745C">
        <w:rPr>
          <w:lang w:val="en-US"/>
        </w:rPr>
        <w:t xml:space="preserve">, 427 F.2d 1330 (CA6 1970); </w:t>
      </w:r>
      <w:r w:rsidRPr="00B45592">
        <w:rPr>
          <w:i/>
          <w:lang w:val="en-US"/>
        </w:rPr>
        <w:t>Public Citizen Health Research Group v. Auchter</w:t>
      </w:r>
      <w:r w:rsidRPr="008A745C">
        <w:rPr>
          <w:lang w:val="en-US"/>
        </w:rPr>
        <w:t xml:space="preserve">, 554 </w:t>
      </w:r>
      <w:proofErr w:type="spellStart"/>
      <w:r w:rsidRPr="008A745C">
        <w:rPr>
          <w:lang w:val="en-US"/>
        </w:rPr>
        <w:t>F.Supp</w:t>
      </w:r>
      <w:proofErr w:type="spellEnd"/>
      <w:r w:rsidRPr="008A745C">
        <w:rPr>
          <w:lang w:val="en-US"/>
        </w:rPr>
        <w:t xml:space="preserve">. 242 (DC 1983), </w:t>
      </w:r>
      <w:proofErr w:type="spellStart"/>
      <w:r w:rsidRPr="008A745C">
        <w:rPr>
          <w:lang w:val="en-US"/>
        </w:rPr>
        <w:t>rev</w:t>
      </w:r>
      <w:r>
        <w:rPr>
          <w:lang w:val="en-US"/>
        </w:rPr>
        <w:t>’</w:t>
      </w:r>
      <w:r w:rsidRPr="008A745C">
        <w:rPr>
          <w:lang w:val="en-US"/>
        </w:rPr>
        <w:t>d</w:t>
      </w:r>
      <w:proofErr w:type="spellEnd"/>
      <w:r w:rsidRPr="008A745C">
        <w:rPr>
          <w:lang w:val="en-US"/>
        </w:rPr>
        <w:t xml:space="preserve"> in part, 226 </w:t>
      </w:r>
      <w:r>
        <w:rPr>
          <w:lang w:val="en-US"/>
        </w:rPr>
        <w:t>U.S.</w:t>
      </w:r>
      <w:r w:rsidRPr="008A745C">
        <w:rPr>
          <w:lang w:val="en-US"/>
        </w:rPr>
        <w:t xml:space="preserve"> App. D. C. 413, 702 F.2d 1150 (1983); </w:t>
      </w:r>
      <w:r w:rsidRPr="00B45592">
        <w:rPr>
          <w:i/>
          <w:lang w:val="en-US"/>
        </w:rPr>
        <w:t>Sierra Club v. Gorsuch</w:t>
      </w:r>
      <w:r w:rsidRPr="008A745C">
        <w:rPr>
          <w:lang w:val="en-US"/>
        </w:rPr>
        <w:t xml:space="preserve">, 551 </w:t>
      </w:r>
      <w:proofErr w:type="spellStart"/>
      <w:r w:rsidRPr="008A745C">
        <w:rPr>
          <w:lang w:val="en-US"/>
        </w:rPr>
        <w:t>F.Supp</w:t>
      </w:r>
      <w:proofErr w:type="spellEnd"/>
      <w:r w:rsidRPr="008A745C">
        <w:rPr>
          <w:lang w:val="en-US"/>
        </w:rPr>
        <w:t xml:space="preserve">. 785 (ND Cal. 1982); </w:t>
      </w:r>
      <w:r w:rsidRPr="00B45592">
        <w:rPr>
          <w:i/>
          <w:lang w:val="en-US"/>
        </w:rPr>
        <w:t>Hoffmann-LaRoche, Inc. v. Weinberger</w:t>
      </w:r>
      <w:r w:rsidRPr="008A745C">
        <w:rPr>
          <w:lang w:val="en-US"/>
        </w:rPr>
        <w:t xml:space="preserve">, 425 </w:t>
      </w:r>
      <w:proofErr w:type="spellStart"/>
      <w:r w:rsidRPr="008A745C">
        <w:rPr>
          <w:lang w:val="en-US"/>
        </w:rPr>
        <w:t>F.Supp</w:t>
      </w:r>
      <w:proofErr w:type="spellEnd"/>
      <w:r w:rsidRPr="008A745C">
        <w:rPr>
          <w:lang w:val="en-US"/>
        </w:rPr>
        <w:t xml:space="preserve">. 890 (DC 1975); </w:t>
      </w:r>
      <w:r w:rsidRPr="00B45592">
        <w:rPr>
          <w:i/>
          <w:lang w:val="en-US"/>
        </w:rPr>
        <w:t>NAACP v. Levi</w:t>
      </w:r>
      <w:r w:rsidRPr="008A745C">
        <w:rPr>
          <w:lang w:val="en-US"/>
        </w:rPr>
        <w:t xml:space="preserve">, 418 </w:t>
      </w:r>
      <w:proofErr w:type="spellStart"/>
      <w:r w:rsidRPr="008A745C">
        <w:rPr>
          <w:lang w:val="en-US"/>
        </w:rPr>
        <w:t>F.Supp</w:t>
      </w:r>
      <w:proofErr w:type="spellEnd"/>
      <w:r w:rsidRPr="008A745C">
        <w:rPr>
          <w:lang w:val="en-US"/>
        </w:rPr>
        <w:t xml:space="preserve">. 1109 (DC 1976); </w:t>
      </w:r>
      <w:r w:rsidRPr="00B45592">
        <w:rPr>
          <w:i/>
          <w:lang w:val="en-US"/>
        </w:rPr>
        <w:t>Guerrero v. Garza</w:t>
      </w:r>
      <w:r w:rsidRPr="008A745C">
        <w:rPr>
          <w:lang w:val="en-US"/>
        </w:rPr>
        <w:t xml:space="preserve">, 418 </w:t>
      </w:r>
      <w:proofErr w:type="spellStart"/>
      <w:r w:rsidRPr="008A745C">
        <w:rPr>
          <w:lang w:val="en-US"/>
        </w:rPr>
        <w:t>F.Supp</w:t>
      </w:r>
      <w:proofErr w:type="spellEnd"/>
      <w:r w:rsidRPr="008A745C">
        <w:rPr>
          <w:lang w:val="en-US"/>
        </w:rPr>
        <w:t xml:space="preserve">. 182 (WD Wis. 1976); </w:t>
      </w:r>
      <w:r w:rsidRPr="00B45592">
        <w:rPr>
          <w:i/>
          <w:lang w:val="en-US"/>
        </w:rPr>
        <w:t>Souder v. Brennan</w:t>
      </w:r>
      <w:r w:rsidRPr="008A745C">
        <w:rPr>
          <w:lang w:val="en-US"/>
        </w:rPr>
        <w:t xml:space="preserve">, 367 </w:t>
      </w:r>
      <w:proofErr w:type="spellStart"/>
      <w:r w:rsidRPr="008A745C">
        <w:rPr>
          <w:lang w:val="en-US"/>
        </w:rPr>
        <w:t>F.Supp</w:t>
      </w:r>
      <w:proofErr w:type="spellEnd"/>
      <w:r w:rsidRPr="008A745C">
        <w:rPr>
          <w:lang w:val="en-US"/>
        </w:rPr>
        <w:t xml:space="preserve">. 808, 811 (DC 1973); </w:t>
      </w:r>
      <w:r w:rsidRPr="00B45592">
        <w:rPr>
          <w:i/>
          <w:lang w:val="en-US"/>
        </w:rPr>
        <w:t>City-Wide Coalition Against Childhood Lead Paint Poisoning v. Philadelphia Housing Auth.</w:t>
      </w:r>
      <w:r w:rsidRPr="008A745C">
        <w:rPr>
          <w:lang w:val="en-US"/>
        </w:rPr>
        <w:t xml:space="preserve">, 356 </w:t>
      </w:r>
      <w:proofErr w:type="spellStart"/>
      <w:r w:rsidRPr="008A745C">
        <w:rPr>
          <w:lang w:val="en-US"/>
        </w:rPr>
        <w:t>F.Supp</w:t>
      </w:r>
      <w:proofErr w:type="spellEnd"/>
      <w:r w:rsidRPr="008A745C">
        <w:rPr>
          <w:lang w:val="en-US"/>
        </w:rPr>
        <w:t xml:space="preserve">. 123 (ED Pa. 1973); </w:t>
      </w:r>
      <w:r w:rsidRPr="00B45592">
        <w:rPr>
          <w:i/>
          <w:lang w:val="en-US"/>
        </w:rPr>
        <w:t>American Public Health Assn. v. Veneman</w:t>
      </w:r>
      <w:r w:rsidRPr="008A745C">
        <w:rPr>
          <w:lang w:val="en-US"/>
        </w:rPr>
        <w:t xml:space="preserve">, 349 </w:t>
      </w:r>
      <w:proofErr w:type="spellStart"/>
      <w:r w:rsidRPr="008A745C">
        <w:rPr>
          <w:lang w:val="en-US"/>
        </w:rPr>
        <w:t>F.Supp</w:t>
      </w:r>
      <w:proofErr w:type="spellEnd"/>
      <w:r w:rsidRPr="008A745C">
        <w:rPr>
          <w:lang w:val="en-US"/>
        </w:rPr>
        <w:t>. 1311 (DC 1972</w:t>
      </w:r>
      <w:r w:rsidRPr="00E47138">
        <w:rPr>
          <w:lang w:val="en-US"/>
        </w:rPr>
        <w:t>)</w:t>
      </w:r>
      <w:r w:rsidRPr="00B45592">
        <w:rPr>
          <w:lang w:val="en-US"/>
        </w:rPr>
        <w:t>“,</w:t>
      </w:r>
      <w:r>
        <w:rPr>
          <w:lang w:val="en-US"/>
        </w:rPr>
        <w:t xml:space="preserve"> </w:t>
      </w:r>
      <w:proofErr w:type="spellStart"/>
      <w:r>
        <w:rPr>
          <w:lang w:val="en-US"/>
        </w:rPr>
        <w:t>zitiert</w:t>
      </w:r>
      <w:proofErr w:type="spellEnd"/>
      <w:r>
        <w:rPr>
          <w:lang w:val="en-US"/>
        </w:rPr>
        <w:t xml:space="preserve"> in </w:t>
      </w:r>
      <w:r w:rsidRPr="00B45592">
        <w:rPr>
          <w:i/>
          <w:lang w:val="en-US"/>
        </w:rPr>
        <w:t>Heckler v. Chaney</w:t>
      </w:r>
      <w:r w:rsidRPr="008A745C">
        <w:rPr>
          <w:lang w:val="en-US"/>
        </w:rPr>
        <w:t>, 470 U.S. 821, 850</w:t>
      </w:r>
      <w:r>
        <w:rPr>
          <w:lang w:val="en-US"/>
        </w:rPr>
        <w:t xml:space="preserve"> = 105 S. Ct. </w:t>
      </w:r>
      <w:r w:rsidRPr="008A745C">
        <w:rPr>
          <w:lang w:val="en-US"/>
        </w:rPr>
        <w:t>1649, 1665</w:t>
      </w:r>
      <w:r>
        <w:rPr>
          <w:lang w:val="en-US"/>
        </w:rPr>
        <w:t xml:space="preserve"> = 84 L. Ed. </w:t>
      </w:r>
      <w:r w:rsidRPr="008A745C">
        <w:rPr>
          <w:lang w:val="en-US"/>
        </w:rPr>
        <w:t>2d 714, 735</w:t>
      </w:r>
      <w:r>
        <w:rPr>
          <w:lang w:val="en-US"/>
        </w:rPr>
        <w:t xml:space="preserve"> = 1985 U.S. LEXIS </w:t>
      </w:r>
      <w:r w:rsidRPr="008A745C">
        <w:rPr>
          <w:lang w:val="en-US"/>
        </w:rPr>
        <w:t>78, 52</w:t>
      </w:r>
      <w:r>
        <w:rPr>
          <w:lang w:val="en-US"/>
        </w:rPr>
        <w:t xml:space="preserve"> = 53 U.S.L.W. </w:t>
      </w:r>
      <w:r w:rsidRPr="008A745C">
        <w:rPr>
          <w:lang w:val="en-US"/>
        </w:rPr>
        <w:t>4385</w:t>
      </w:r>
      <w:r>
        <w:rPr>
          <w:lang w:val="en-US"/>
        </w:rPr>
        <w:t xml:space="preserve"> = 15 ELR </w:t>
      </w:r>
      <w:r w:rsidRPr="008A745C">
        <w:rPr>
          <w:lang w:val="en-US"/>
        </w:rPr>
        <w:t>20335 (1985)</w:t>
      </w:r>
      <w:r>
        <w:rPr>
          <w:lang w:val="en-US"/>
        </w:rPr>
        <w:t>.</w:t>
      </w:r>
    </w:p>
  </w:footnote>
  <w:footnote w:id="1840">
    <w:p w14:paraId="01A07FA9" w14:textId="77777777" w:rsidR="00074551" w:rsidRPr="008A745C" w:rsidRDefault="00074551" w:rsidP="00074551">
      <w:pPr>
        <w:pStyle w:val="Funotentext"/>
        <w:rPr>
          <w:lang w:val="en-US"/>
        </w:rPr>
      </w:pPr>
      <w:r>
        <w:rPr>
          <w:rStyle w:val="Funotenzeichen"/>
        </w:rPr>
        <w:footnoteRef/>
      </w:r>
      <w:r w:rsidRPr="008A745C">
        <w:rPr>
          <w:lang w:val="en-US"/>
        </w:rPr>
        <w:t xml:space="preserve"> </w:t>
      </w:r>
      <w:r w:rsidRPr="00B45592">
        <w:rPr>
          <w:i/>
          <w:lang w:val="en-US"/>
        </w:rPr>
        <w:t>Heckler v. Chaney</w:t>
      </w:r>
      <w:r w:rsidRPr="008A745C">
        <w:rPr>
          <w:lang w:val="en-US"/>
        </w:rPr>
        <w:t>, 470 U.S. 821, 851</w:t>
      </w:r>
      <w:r>
        <w:rPr>
          <w:lang w:val="en-US"/>
        </w:rPr>
        <w:t xml:space="preserve"> = 105 S. Ct. </w:t>
      </w:r>
      <w:r w:rsidRPr="008A745C">
        <w:rPr>
          <w:lang w:val="en-US"/>
        </w:rPr>
        <w:t>1649, 1666</w:t>
      </w:r>
      <w:r>
        <w:rPr>
          <w:lang w:val="en-US"/>
        </w:rPr>
        <w:t xml:space="preserve"> = 84 L. Ed. </w:t>
      </w:r>
      <w:r w:rsidRPr="008A745C">
        <w:rPr>
          <w:lang w:val="en-US"/>
        </w:rPr>
        <w:t>2d 714, 736</w:t>
      </w:r>
      <w:r>
        <w:rPr>
          <w:lang w:val="en-US"/>
        </w:rPr>
        <w:t xml:space="preserve"> = 1985 U.S. LEXIS </w:t>
      </w:r>
      <w:r w:rsidRPr="008A745C">
        <w:rPr>
          <w:lang w:val="en-US"/>
        </w:rPr>
        <w:t>78, 54</w:t>
      </w:r>
      <w:r>
        <w:rPr>
          <w:lang w:val="en-US"/>
        </w:rPr>
        <w:t xml:space="preserve"> = 53 U.S.L.W. </w:t>
      </w:r>
      <w:r w:rsidRPr="008A745C">
        <w:rPr>
          <w:lang w:val="en-US"/>
        </w:rPr>
        <w:t>4385</w:t>
      </w:r>
      <w:r>
        <w:rPr>
          <w:lang w:val="en-US"/>
        </w:rPr>
        <w:t xml:space="preserve"> = 15 ELR </w:t>
      </w:r>
      <w:r w:rsidRPr="008A745C">
        <w:rPr>
          <w:lang w:val="en-US"/>
        </w:rPr>
        <w:t>20335 (1985)</w:t>
      </w:r>
      <w:r>
        <w:rPr>
          <w:lang w:val="en-US"/>
        </w:rPr>
        <w:t>.</w:t>
      </w:r>
    </w:p>
  </w:footnote>
  <w:footnote w:id="1841">
    <w:p w14:paraId="054E1E09" w14:textId="77777777" w:rsidR="00074551" w:rsidRPr="008A745C" w:rsidRDefault="00074551" w:rsidP="00074551">
      <w:pPr>
        <w:pStyle w:val="Funotentext"/>
        <w:rPr>
          <w:lang w:val="en-US"/>
        </w:rPr>
      </w:pPr>
      <w:r>
        <w:rPr>
          <w:rStyle w:val="Funotenzeichen"/>
        </w:rPr>
        <w:footnoteRef/>
      </w:r>
      <w:r w:rsidRPr="008A745C">
        <w:rPr>
          <w:lang w:val="en-US"/>
        </w:rPr>
        <w:t xml:space="preserve"> </w:t>
      </w:r>
      <w:r w:rsidRPr="00B45592">
        <w:rPr>
          <w:i/>
          <w:lang w:val="en-US"/>
        </w:rPr>
        <w:t>Rochester Telephone Corp. v. United States</w:t>
      </w:r>
      <w:r w:rsidRPr="008A745C">
        <w:rPr>
          <w:lang w:val="en-US"/>
        </w:rPr>
        <w:t>, 307 U.S. 125, 143 (1939)</w:t>
      </w:r>
      <w:r>
        <w:rPr>
          <w:lang w:val="en-US"/>
        </w:rPr>
        <w:t xml:space="preserve">; </w:t>
      </w:r>
      <w:r w:rsidRPr="00B45592">
        <w:rPr>
          <w:i/>
          <w:lang w:val="en-US"/>
        </w:rPr>
        <w:t>Heckler v. Chaney</w:t>
      </w:r>
      <w:r w:rsidRPr="008A745C">
        <w:rPr>
          <w:lang w:val="en-US"/>
        </w:rPr>
        <w:t>, 470 U.S. 821, 851</w:t>
      </w:r>
      <w:r>
        <w:rPr>
          <w:lang w:val="en-US"/>
        </w:rPr>
        <w:t xml:space="preserve"> = 105 S. Ct. </w:t>
      </w:r>
      <w:r w:rsidRPr="008A745C">
        <w:rPr>
          <w:lang w:val="en-US"/>
        </w:rPr>
        <w:t>1649, 1666</w:t>
      </w:r>
      <w:r>
        <w:rPr>
          <w:lang w:val="en-US"/>
        </w:rPr>
        <w:t xml:space="preserve"> = 84 L. Ed. </w:t>
      </w:r>
      <w:r w:rsidRPr="008A745C">
        <w:rPr>
          <w:lang w:val="en-US"/>
        </w:rPr>
        <w:t>2d 714, 736</w:t>
      </w:r>
      <w:r>
        <w:rPr>
          <w:lang w:val="en-US"/>
        </w:rPr>
        <w:t xml:space="preserve"> = 1985 U.S. LEXIS </w:t>
      </w:r>
      <w:r w:rsidRPr="008A745C">
        <w:rPr>
          <w:lang w:val="en-US"/>
        </w:rPr>
        <w:t>78, 54</w:t>
      </w:r>
      <w:r>
        <w:rPr>
          <w:lang w:val="en-US"/>
        </w:rPr>
        <w:t xml:space="preserve"> = 53 U.S.L.W. </w:t>
      </w:r>
      <w:r w:rsidRPr="008A745C">
        <w:rPr>
          <w:lang w:val="en-US"/>
        </w:rPr>
        <w:t>4385</w:t>
      </w:r>
      <w:r>
        <w:rPr>
          <w:lang w:val="en-US"/>
        </w:rPr>
        <w:t xml:space="preserve"> = 15 ELR </w:t>
      </w:r>
      <w:r w:rsidRPr="008A745C">
        <w:rPr>
          <w:lang w:val="en-US"/>
        </w:rPr>
        <w:t>20335 (1985)</w:t>
      </w:r>
      <w:r>
        <w:rPr>
          <w:lang w:val="en-US"/>
        </w:rPr>
        <w:t>.</w:t>
      </w:r>
    </w:p>
  </w:footnote>
  <w:footnote w:id="1842">
    <w:p w14:paraId="20E2F61F" w14:textId="77777777" w:rsidR="00074551" w:rsidRPr="00622AED" w:rsidRDefault="00074551" w:rsidP="00074551">
      <w:pPr>
        <w:pStyle w:val="Funotentext"/>
        <w:ind w:left="227" w:hanging="227"/>
        <w:rPr>
          <w:lang w:val="en-US"/>
        </w:rPr>
      </w:pPr>
      <w:r>
        <w:rPr>
          <w:rStyle w:val="Funotenzeichen"/>
          <w:rFonts w:eastAsiaTheme="majorEastAsia"/>
        </w:rPr>
        <w:footnoteRef/>
      </w:r>
      <w:r w:rsidRPr="00622AED">
        <w:rPr>
          <w:lang w:val="en-US"/>
        </w:rPr>
        <w:t xml:space="preserve"> </w:t>
      </w:r>
      <w:r w:rsidRPr="00D83E4F">
        <w:rPr>
          <w:i/>
          <w:lang w:val="en-US"/>
        </w:rPr>
        <w:t>Yick Wo v. Hopkins</w:t>
      </w:r>
      <w:r w:rsidRPr="00622AED">
        <w:rPr>
          <w:lang w:val="en-US"/>
        </w:rPr>
        <w:t>, 118 U.S. 356, 365</w:t>
      </w:r>
      <w:r w:rsidRPr="00EC5BEB">
        <w:rPr>
          <w:lang w:val="en-US"/>
        </w:rPr>
        <w:t xml:space="preserve"> = 6 S. Ct. </w:t>
      </w:r>
      <w:r w:rsidRPr="00622AED">
        <w:rPr>
          <w:lang w:val="en-US"/>
        </w:rPr>
        <w:t>1064, 1068</w:t>
      </w:r>
      <w:r>
        <w:rPr>
          <w:lang w:val="en-US"/>
        </w:rPr>
        <w:t xml:space="preserve"> = 30 L. Ed. </w:t>
      </w:r>
      <w:r w:rsidRPr="00622AED">
        <w:rPr>
          <w:lang w:val="en-US"/>
        </w:rPr>
        <w:t>220, 225</w:t>
      </w:r>
      <w:r w:rsidRPr="00EC5BEB">
        <w:rPr>
          <w:lang w:val="en-US"/>
        </w:rPr>
        <w:t xml:space="preserve"> = 1886 U.S. LEXIS </w:t>
      </w:r>
      <w:r w:rsidRPr="00622AED">
        <w:rPr>
          <w:lang w:val="en-US"/>
        </w:rPr>
        <w:t>1938, 14 (1886)</w:t>
      </w:r>
      <w:r>
        <w:rPr>
          <w:lang w:val="en-US"/>
        </w:rPr>
        <w:t>.</w:t>
      </w:r>
    </w:p>
  </w:footnote>
  <w:footnote w:id="1843">
    <w:p w14:paraId="3E08C0BE" w14:textId="77777777" w:rsidR="00074551" w:rsidRPr="000F69A6" w:rsidRDefault="00074551" w:rsidP="00074551">
      <w:pPr>
        <w:pStyle w:val="Funotentext"/>
        <w:rPr>
          <w:lang w:val="en-US"/>
        </w:rPr>
      </w:pPr>
      <w:r>
        <w:rPr>
          <w:rStyle w:val="Funotenzeichen"/>
          <w:rFonts w:eastAsiaTheme="majorEastAsia"/>
        </w:rPr>
        <w:footnoteRef/>
      </w:r>
      <w:r w:rsidRPr="000F69A6">
        <w:rPr>
          <w:lang w:val="en-US"/>
        </w:rPr>
        <w:t xml:space="preserve"> </w:t>
      </w:r>
      <w:r>
        <w:rPr>
          <w:lang w:val="en-US"/>
        </w:rPr>
        <w:t>„</w:t>
      </w:r>
      <w:r w:rsidRPr="000F69A6">
        <w:rPr>
          <w:lang w:val="en-US"/>
        </w:rPr>
        <w:t xml:space="preserve">U.S. Rev. Stat. </w:t>
      </w:r>
      <w:r>
        <w:rPr>
          <w:lang w:val="en-US"/>
        </w:rPr>
        <w:t>§ </w:t>
      </w:r>
      <w:r w:rsidRPr="000F69A6">
        <w:rPr>
          <w:lang w:val="en-US"/>
        </w:rPr>
        <w:t>1977 reads: 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w:t>
      </w:r>
      <w:r>
        <w:rPr>
          <w:lang w:val="en-US"/>
        </w:rPr>
        <w:t xml:space="preserve">“, </w:t>
      </w:r>
      <w:r w:rsidRPr="00D83E4F">
        <w:rPr>
          <w:i/>
          <w:lang w:val="en-US"/>
        </w:rPr>
        <w:t>Yick Wo v. Hopkins</w:t>
      </w:r>
      <w:r w:rsidRPr="000F69A6">
        <w:rPr>
          <w:lang w:val="en-US"/>
        </w:rPr>
        <w:t>, 118 U.S. 356, 365</w:t>
      </w:r>
      <w:r w:rsidRPr="00EC5BEB">
        <w:rPr>
          <w:lang w:val="en-US"/>
        </w:rPr>
        <w:t xml:space="preserve"> = 6 S. Ct. </w:t>
      </w:r>
      <w:r w:rsidRPr="000F69A6">
        <w:rPr>
          <w:lang w:val="en-US"/>
        </w:rPr>
        <w:t>1064, 1068</w:t>
      </w:r>
      <w:r>
        <w:rPr>
          <w:lang w:val="en-US"/>
        </w:rPr>
        <w:t xml:space="preserve"> = 30 L. Ed. </w:t>
      </w:r>
      <w:r w:rsidRPr="000F69A6">
        <w:rPr>
          <w:lang w:val="en-US"/>
        </w:rPr>
        <w:t>220, 225</w:t>
      </w:r>
      <w:r w:rsidRPr="00EC5BEB">
        <w:rPr>
          <w:lang w:val="en-US"/>
        </w:rPr>
        <w:t xml:space="preserve"> = 1886 U.S. LEXIS </w:t>
      </w:r>
      <w:r w:rsidRPr="000F69A6">
        <w:rPr>
          <w:lang w:val="en-US"/>
        </w:rPr>
        <w:t>1938, 14 (1886)</w:t>
      </w:r>
      <w:r>
        <w:rPr>
          <w:lang w:val="en-US"/>
        </w:rPr>
        <w:t>.</w:t>
      </w:r>
    </w:p>
  </w:footnote>
  <w:footnote w:id="1844">
    <w:p w14:paraId="70D70110" w14:textId="77777777" w:rsidR="00074551" w:rsidRPr="000F69A6" w:rsidRDefault="00074551" w:rsidP="00074551">
      <w:pPr>
        <w:pStyle w:val="Funotentext"/>
        <w:rPr>
          <w:lang w:val="en-US"/>
        </w:rPr>
      </w:pPr>
      <w:r>
        <w:rPr>
          <w:rStyle w:val="Funotenzeichen"/>
          <w:rFonts w:eastAsiaTheme="majorEastAsia"/>
        </w:rPr>
        <w:footnoteRef/>
      </w:r>
      <w:r w:rsidRPr="000F69A6">
        <w:rPr>
          <w:lang w:val="en-US"/>
        </w:rPr>
        <w:t xml:space="preserve"> </w:t>
      </w:r>
      <w:r w:rsidRPr="00D83E4F">
        <w:rPr>
          <w:i/>
          <w:lang w:val="en-US"/>
        </w:rPr>
        <w:t>Yick Wo v. Hopkins</w:t>
      </w:r>
      <w:r w:rsidRPr="000F69A6">
        <w:rPr>
          <w:lang w:val="en-US"/>
        </w:rPr>
        <w:t>, 118 U.S. 356, 367</w:t>
      </w:r>
      <w:r w:rsidRPr="00EC5BEB">
        <w:rPr>
          <w:lang w:val="en-US"/>
        </w:rPr>
        <w:t xml:space="preserve"> = 6 S. Ct. </w:t>
      </w:r>
      <w:r w:rsidRPr="000F69A6">
        <w:rPr>
          <w:lang w:val="en-US"/>
        </w:rPr>
        <w:t>1064, 1069</w:t>
      </w:r>
      <w:r>
        <w:rPr>
          <w:lang w:val="en-US"/>
        </w:rPr>
        <w:t xml:space="preserve"> = 30 L. Ed. </w:t>
      </w:r>
      <w:r w:rsidRPr="000F69A6">
        <w:rPr>
          <w:lang w:val="en-US"/>
        </w:rPr>
        <w:t>220, 225</w:t>
      </w:r>
      <w:r w:rsidRPr="00EC5BEB">
        <w:rPr>
          <w:lang w:val="en-US"/>
        </w:rPr>
        <w:t xml:space="preserve"> = 1886 U.S. LEXIS </w:t>
      </w:r>
      <w:r w:rsidRPr="000F69A6">
        <w:rPr>
          <w:lang w:val="en-US"/>
        </w:rPr>
        <w:t>1938, 22 (1886)</w:t>
      </w:r>
      <w:r>
        <w:rPr>
          <w:lang w:val="en-US"/>
        </w:rPr>
        <w:t>.</w:t>
      </w:r>
    </w:p>
  </w:footnote>
  <w:footnote w:id="1845">
    <w:p w14:paraId="0350C8B7" w14:textId="77777777" w:rsidR="00074551" w:rsidRPr="000F69A6" w:rsidRDefault="00074551" w:rsidP="00074551">
      <w:pPr>
        <w:pStyle w:val="Funotentext"/>
        <w:rPr>
          <w:lang w:val="en-US"/>
        </w:rPr>
      </w:pPr>
      <w:r>
        <w:rPr>
          <w:rStyle w:val="Funotenzeichen"/>
          <w:rFonts w:eastAsiaTheme="majorEastAsia"/>
        </w:rPr>
        <w:footnoteRef/>
      </w:r>
      <w:r w:rsidRPr="000F69A6">
        <w:rPr>
          <w:lang w:val="en-US"/>
        </w:rPr>
        <w:t xml:space="preserve"> </w:t>
      </w:r>
      <w:r w:rsidRPr="00D83E4F">
        <w:rPr>
          <w:i/>
          <w:lang w:val="en-US"/>
        </w:rPr>
        <w:t>Yick Wo v. Hopkins</w:t>
      </w:r>
      <w:r w:rsidRPr="000F69A6">
        <w:rPr>
          <w:lang w:val="en-US"/>
        </w:rPr>
        <w:t>, 118 U.S. 356, 369</w:t>
      </w:r>
      <w:r w:rsidRPr="00EC5BEB">
        <w:rPr>
          <w:lang w:val="en-US"/>
        </w:rPr>
        <w:t xml:space="preserve"> = 6 S. Ct. </w:t>
      </w:r>
      <w:r w:rsidRPr="000F69A6">
        <w:rPr>
          <w:lang w:val="en-US"/>
        </w:rPr>
        <w:t>1064, 1070</w:t>
      </w:r>
      <w:r>
        <w:rPr>
          <w:lang w:val="en-US"/>
        </w:rPr>
        <w:t xml:space="preserve"> = 30 L. Ed. </w:t>
      </w:r>
      <w:r w:rsidRPr="000F69A6">
        <w:rPr>
          <w:lang w:val="en-US"/>
        </w:rPr>
        <w:t>220, 226</w:t>
      </w:r>
      <w:r w:rsidRPr="00EC5BEB">
        <w:rPr>
          <w:lang w:val="en-US"/>
        </w:rPr>
        <w:t xml:space="preserve"> = 1886 U.S. LEXIS </w:t>
      </w:r>
      <w:r w:rsidRPr="000F69A6">
        <w:rPr>
          <w:lang w:val="en-US"/>
        </w:rPr>
        <w:t>1938, 26 (1886)</w:t>
      </w:r>
      <w:r>
        <w:rPr>
          <w:lang w:val="en-US"/>
        </w:rPr>
        <w:t>.</w:t>
      </w:r>
    </w:p>
  </w:footnote>
  <w:footnote w:id="1846">
    <w:p w14:paraId="4D30B85F" w14:textId="77777777" w:rsidR="00074551" w:rsidRPr="00F82534" w:rsidRDefault="00074551" w:rsidP="00074551">
      <w:pPr>
        <w:pStyle w:val="Funotentext"/>
        <w:rPr>
          <w:lang w:val="en-US"/>
        </w:rPr>
      </w:pPr>
      <w:r>
        <w:rPr>
          <w:rStyle w:val="Funotenzeichen"/>
        </w:rPr>
        <w:footnoteRef/>
      </w:r>
      <w:r w:rsidRPr="004A434C">
        <w:rPr>
          <w:lang w:val="en-US"/>
        </w:rPr>
        <w:t xml:space="preserve"> </w:t>
      </w:r>
      <w:r w:rsidRPr="00F82534">
        <w:rPr>
          <w:lang w:val="en-US"/>
        </w:rPr>
        <w:t xml:space="preserve">ALM GL ch. 32, </w:t>
      </w:r>
      <w:r>
        <w:rPr>
          <w:lang w:val="en-US"/>
        </w:rPr>
        <w:t>§ </w:t>
      </w:r>
      <w:r w:rsidRPr="00F82534">
        <w:rPr>
          <w:lang w:val="en-US"/>
        </w:rPr>
        <w:t>26</w:t>
      </w:r>
      <w:r w:rsidRPr="002218B8">
        <w:rPr>
          <w:lang w:val="en-US"/>
        </w:rPr>
        <w:t>(3)(a) (1966)</w:t>
      </w:r>
      <w:r>
        <w:rPr>
          <w:lang w:val="en-US"/>
        </w:rPr>
        <w:t>: „</w:t>
      </w:r>
      <w:r w:rsidRPr="008321B4">
        <w:rPr>
          <w:lang w:val="en-IE"/>
        </w:rPr>
        <w:t xml:space="preserve">a uniformed state police </w:t>
      </w:r>
      <w:proofErr w:type="gramStart"/>
      <w:r w:rsidRPr="008321B4">
        <w:rPr>
          <w:lang w:val="en-IE"/>
        </w:rPr>
        <w:t xml:space="preserve">officer </w:t>
      </w:r>
      <w:r>
        <w:rPr>
          <w:lang w:val="en-IE"/>
        </w:rPr>
        <w:t>,</w:t>
      </w:r>
      <w:r w:rsidRPr="008321B4">
        <w:rPr>
          <w:lang w:val="en-IE"/>
        </w:rPr>
        <w:t>shall</w:t>
      </w:r>
      <w:proofErr w:type="gramEnd"/>
      <w:r w:rsidRPr="008321B4">
        <w:rPr>
          <w:lang w:val="en-IE"/>
        </w:rPr>
        <w:t xml:space="preserve"> be retired </w:t>
      </w:r>
      <w:r>
        <w:rPr>
          <w:lang w:val="en-IE"/>
        </w:rPr>
        <w:t>[…]</w:t>
      </w:r>
      <w:r w:rsidRPr="008321B4">
        <w:rPr>
          <w:lang w:val="en-IE"/>
        </w:rPr>
        <w:t xml:space="preserve"> upon his attaining age </w:t>
      </w:r>
      <w:proofErr w:type="gramStart"/>
      <w:r w:rsidRPr="008321B4">
        <w:rPr>
          <w:lang w:val="en-IE"/>
        </w:rPr>
        <w:t>fifty</w:t>
      </w:r>
      <w:r>
        <w:rPr>
          <w:lang w:val="en-IE"/>
        </w:rPr>
        <w:t>‘</w:t>
      </w:r>
      <w:proofErr w:type="gramEnd"/>
      <w:r>
        <w:rPr>
          <w:lang w:val="en-IE"/>
        </w:rPr>
        <w:t xml:space="preserve">“, </w:t>
      </w:r>
      <w:r w:rsidRPr="00A15962">
        <w:rPr>
          <w:i/>
          <w:lang w:val="en-US"/>
        </w:rPr>
        <w:t>Massachusetts Bd. of Retirement v. Murgia</w:t>
      </w:r>
      <w:r w:rsidRPr="00B45592">
        <w:rPr>
          <w:lang w:val="en-US"/>
        </w:rPr>
        <w:t xml:space="preserve">, 427 U.S. 307, 308 = 96 S. Ct. 2562, 2564 = 49 L. Ed. 2d 520, 522 = 1976 U.S. LEXIS 9, 1 = 12 Fair </w:t>
      </w:r>
      <w:proofErr w:type="spellStart"/>
      <w:r w:rsidRPr="00B45592">
        <w:rPr>
          <w:lang w:val="en-US"/>
        </w:rPr>
        <w:t>Empl</w:t>
      </w:r>
      <w:proofErr w:type="spellEnd"/>
      <w:r w:rsidRPr="00B45592">
        <w:rPr>
          <w:lang w:val="en-US"/>
        </w:rPr>
        <w:t xml:space="preserve">. </w:t>
      </w:r>
      <w:proofErr w:type="spellStart"/>
      <w:r w:rsidRPr="00B45592">
        <w:rPr>
          <w:lang w:val="en-US"/>
        </w:rPr>
        <w:t>Prac</w:t>
      </w:r>
      <w:proofErr w:type="spellEnd"/>
      <w:r w:rsidRPr="00B45592">
        <w:rPr>
          <w:lang w:val="en-US"/>
        </w:rPr>
        <w:t xml:space="preserve">. Cas. (BNA) 1569 = 12 </w:t>
      </w:r>
      <w:proofErr w:type="spellStart"/>
      <w:r w:rsidRPr="00B45592">
        <w:rPr>
          <w:lang w:val="en-US"/>
        </w:rPr>
        <w:t>Empl</w:t>
      </w:r>
      <w:proofErr w:type="spellEnd"/>
      <w:r w:rsidRPr="00B45592">
        <w:rPr>
          <w:lang w:val="en-US"/>
        </w:rPr>
        <w:t xml:space="preserve">. </w:t>
      </w:r>
      <w:proofErr w:type="spellStart"/>
      <w:r w:rsidRPr="00B45592">
        <w:rPr>
          <w:lang w:val="en-US"/>
        </w:rPr>
        <w:t>Prac</w:t>
      </w:r>
      <w:proofErr w:type="spellEnd"/>
      <w:r w:rsidRPr="00B45592">
        <w:rPr>
          <w:lang w:val="en-US"/>
        </w:rPr>
        <w:t>. Dec. (CCH) P10,998 = 1 Employee Benefits Cas. (BNA) 1032 (1976).</w:t>
      </w:r>
    </w:p>
  </w:footnote>
  <w:footnote w:id="1847">
    <w:p w14:paraId="611DEE94" w14:textId="77777777" w:rsidR="00074551" w:rsidRPr="00076082" w:rsidRDefault="00074551" w:rsidP="00074551">
      <w:pPr>
        <w:pStyle w:val="Funotentext"/>
        <w:rPr>
          <w:lang w:val="en-US"/>
        </w:rPr>
      </w:pPr>
      <w:r>
        <w:rPr>
          <w:rStyle w:val="Funotenzeichen"/>
          <w:rFonts w:eastAsiaTheme="majorEastAsia"/>
        </w:rPr>
        <w:footnoteRef/>
      </w:r>
      <w:r w:rsidRPr="00076082">
        <w:rPr>
          <w:lang w:val="en-US"/>
        </w:rPr>
        <w:t xml:space="preserve"> </w:t>
      </w:r>
      <w:r w:rsidRPr="009E57E1">
        <w:rPr>
          <w:i/>
          <w:lang w:val="en-US"/>
        </w:rPr>
        <w:t>Board of Regents v. Roth</w:t>
      </w:r>
      <w:r w:rsidRPr="00076082">
        <w:rPr>
          <w:lang w:val="en-US"/>
        </w:rPr>
        <w:t xml:space="preserve">, 408 U.S. 564, 572 (1972), </w:t>
      </w:r>
      <w:proofErr w:type="spellStart"/>
      <w:r>
        <w:rPr>
          <w:lang w:val="en-US"/>
        </w:rPr>
        <w:t>zitierend</w:t>
      </w:r>
      <w:proofErr w:type="spellEnd"/>
      <w:r>
        <w:rPr>
          <w:lang w:val="en-US"/>
        </w:rPr>
        <w:t xml:space="preserve"> </w:t>
      </w:r>
      <w:proofErr w:type="spellStart"/>
      <w:r>
        <w:rPr>
          <w:lang w:val="en-US"/>
        </w:rPr>
        <w:t>aus</w:t>
      </w:r>
      <w:proofErr w:type="spellEnd"/>
      <w:r w:rsidRPr="00076082">
        <w:rPr>
          <w:lang w:val="en-US"/>
        </w:rPr>
        <w:t xml:space="preserve"> </w:t>
      </w:r>
      <w:r w:rsidRPr="009E57E1">
        <w:rPr>
          <w:i/>
          <w:lang w:val="en-US"/>
        </w:rPr>
        <w:t>Meyer v. Nebraska</w:t>
      </w:r>
      <w:r w:rsidRPr="00076082">
        <w:rPr>
          <w:lang w:val="en-US"/>
        </w:rPr>
        <w:t>, 262 U.S. 390, 399 (1923)</w:t>
      </w:r>
      <w:r>
        <w:rPr>
          <w:lang w:val="en-US"/>
        </w:rPr>
        <w:t xml:space="preserve">; </w:t>
      </w:r>
      <w:r w:rsidRPr="00A15962">
        <w:rPr>
          <w:i/>
          <w:lang w:val="en-US"/>
        </w:rPr>
        <w:t>Massachusetts Bd. of Retirement v. Murgia</w:t>
      </w:r>
      <w:r w:rsidRPr="00076082">
        <w:rPr>
          <w:lang w:val="en-US"/>
        </w:rPr>
        <w:t>, 427 U.S. 307, 322</w:t>
      </w:r>
      <w:r w:rsidRPr="006E67FE">
        <w:rPr>
          <w:lang w:val="en-US"/>
        </w:rPr>
        <w:t xml:space="preserve"> = 96 S. Ct. </w:t>
      </w:r>
      <w:r w:rsidRPr="00076082">
        <w:rPr>
          <w:lang w:val="en-US"/>
        </w:rPr>
        <w:t>2562, 2571</w:t>
      </w:r>
      <w:r w:rsidRPr="006E67FE">
        <w:rPr>
          <w:lang w:val="en-US"/>
        </w:rPr>
        <w:t xml:space="preserve"> = 49 L. Ed. </w:t>
      </w:r>
      <w:r w:rsidRPr="00076082">
        <w:rPr>
          <w:lang w:val="en-US"/>
        </w:rPr>
        <w:t>2d 520, 530</w:t>
      </w:r>
      <w:r w:rsidRPr="005D5028">
        <w:rPr>
          <w:lang w:val="en-US"/>
        </w:rPr>
        <w:t xml:space="preserve"> = 1976 U.S. LEXIS </w:t>
      </w:r>
      <w:r w:rsidRPr="00076082">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076082">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076082">
        <w:rPr>
          <w:lang w:val="en-US"/>
        </w:rPr>
        <w:t>Dec. (CCH) P10,998</w:t>
      </w:r>
      <w:r>
        <w:rPr>
          <w:lang w:val="en-US"/>
        </w:rPr>
        <w:t xml:space="preserve"> = 1 Employee Benefits </w:t>
      </w:r>
      <w:r w:rsidRPr="00076082">
        <w:rPr>
          <w:lang w:val="en-US"/>
        </w:rPr>
        <w:t>Cas. (BNA) 1032 (1976)</w:t>
      </w:r>
      <w:r>
        <w:rPr>
          <w:lang w:val="en-US"/>
        </w:rPr>
        <w:t>.</w:t>
      </w:r>
    </w:p>
  </w:footnote>
  <w:footnote w:id="1848">
    <w:p w14:paraId="54567AFB" w14:textId="77777777" w:rsidR="00074551" w:rsidRPr="00DA77F4" w:rsidRDefault="00074551" w:rsidP="00074551">
      <w:pPr>
        <w:pStyle w:val="Funotentext"/>
        <w:rPr>
          <w:lang w:val="en-US"/>
        </w:rPr>
      </w:pPr>
      <w:r>
        <w:rPr>
          <w:rStyle w:val="Funotenzeichen"/>
          <w:rFonts w:eastAsiaTheme="majorEastAsia"/>
        </w:rPr>
        <w:footnoteRef/>
      </w:r>
      <w:r w:rsidRPr="00DA77F4">
        <w:rPr>
          <w:lang w:val="en-US"/>
        </w:rPr>
        <w:t xml:space="preserve"> </w:t>
      </w:r>
      <w:r w:rsidRPr="009E57E1">
        <w:rPr>
          <w:i/>
          <w:lang w:val="en-US"/>
        </w:rPr>
        <w:t>Board of Regents v. Roth</w:t>
      </w:r>
      <w:r w:rsidRPr="00DA77F4">
        <w:rPr>
          <w:lang w:val="en-US"/>
        </w:rPr>
        <w:t xml:space="preserve">, 408 U.S. 564, 572 (1972), </w:t>
      </w:r>
      <w:proofErr w:type="spellStart"/>
      <w:r>
        <w:rPr>
          <w:lang w:val="en-US"/>
        </w:rPr>
        <w:t>zitierend</w:t>
      </w:r>
      <w:proofErr w:type="spellEnd"/>
      <w:r>
        <w:rPr>
          <w:lang w:val="en-US"/>
        </w:rPr>
        <w:t xml:space="preserve"> </w:t>
      </w:r>
      <w:proofErr w:type="spellStart"/>
      <w:r>
        <w:rPr>
          <w:lang w:val="en-US"/>
        </w:rPr>
        <w:t>aus</w:t>
      </w:r>
      <w:proofErr w:type="spellEnd"/>
      <w:r w:rsidRPr="00076082">
        <w:rPr>
          <w:lang w:val="en-US"/>
        </w:rPr>
        <w:t xml:space="preserve"> </w:t>
      </w:r>
      <w:r w:rsidRPr="009E57E1">
        <w:rPr>
          <w:i/>
          <w:lang w:val="en-US"/>
        </w:rPr>
        <w:t>Meyer v. Nebraska</w:t>
      </w:r>
      <w:r w:rsidRPr="00DA77F4">
        <w:rPr>
          <w:lang w:val="en-US"/>
        </w:rPr>
        <w:t>, 262 U.S. 390, 399 (1923).</w:t>
      </w:r>
    </w:p>
  </w:footnote>
  <w:footnote w:id="1849">
    <w:p w14:paraId="14B8D983" w14:textId="77777777" w:rsidR="00074551" w:rsidRPr="00B41F67" w:rsidRDefault="00074551" w:rsidP="00074551">
      <w:pPr>
        <w:pStyle w:val="Funotentext"/>
        <w:rPr>
          <w:lang w:val="en-US"/>
        </w:rPr>
      </w:pPr>
      <w:r>
        <w:rPr>
          <w:rStyle w:val="Funotenzeichen"/>
          <w:rFonts w:eastAsiaTheme="majorEastAsia"/>
        </w:rPr>
        <w:footnoteRef/>
      </w:r>
      <w:r w:rsidRPr="00076082">
        <w:rPr>
          <w:lang w:val="en-US"/>
        </w:rPr>
        <w:t xml:space="preserve"> </w:t>
      </w:r>
      <w:r w:rsidRPr="00B45592">
        <w:rPr>
          <w:i/>
          <w:lang w:val="en-US"/>
        </w:rPr>
        <w:t>Butchers’ Union Co. v. Crescent City Co.</w:t>
      </w:r>
      <w:r w:rsidRPr="00076082">
        <w:rPr>
          <w:lang w:val="en-US"/>
        </w:rPr>
        <w:t xml:space="preserve">, 111 U.S. 746 (1884); </w:t>
      </w:r>
      <w:r w:rsidRPr="00A15962">
        <w:rPr>
          <w:i/>
          <w:lang w:val="en-US"/>
        </w:rPr>
        <w:t>Massachusetts Bd. of Retirement v. Murgia</w:t>
      </w:r>
      <w:r w:rsidRPr="00076082">
        <w:rPr>
          <w:lang w:val="en-US"/>
        </w:rPr>
        <w:t>, 427 U.S. 307, 322</w:t>
      </w:r>
      <w:r w:rsidRPr="006E67FE">
        <w:rPr>
          <w:lang w:val="en-US"/>
        </w:rPr>
        <w:t xml:space="preserve"> = 96 S. Ct. </w:t>
      </w:r>
      <w:r w:rsidRPr="00076082">
        <w:rPr>
          <w:lang w:val="en-US"/>
        </w:rPr>
        <w:t>2562, 2571</w:t>
      </w:r>
      <w:r w:rsidRPr="006E67FE">
        <w:rPr>
          <w:lang w:val="en-US"/>
        </w:rPr>
        <w:t xml:space="preserve"> = 49 L. Ed. </w:t>
      </w:r>
      <w:r w:rsidRPr="00076082">
        <w:rPr>
          <w:lang w:val="en-US"/>
        </w:rPr>
        <w:t>2d 520, 530</w:t>
      </w:r>
      <w:r w:rsidRPr="005D5028">
        <w:rPr>
          <w:lang w:val="en-US"/>
        </w:rPr>
        <w:t xml:space="preserve"> = 1976 U.S. LEXIS </w:t>
      </w:r>
      <w:r w:rsidRPr="00076082">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076082">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076082">
        <w:rPr>
          <w:lang w:val="en-US"/>
        </w:rPr>
        <w:t>Dec. (CCH) P10,998</w:t>
      </w:r>
      <w:r>
        <w:rPr>
          <w:lang w:val="en-US"/>
        </w:rPr>
        <w:t xml:space="preserve"> = 1 Employee Benefits </w:t>
      </w:r>
      <w:r w:rsidRPr="00076082">
        <w:rPr>
          <w:lang w:val="en-US"/>
        </w:rPr>
        <w:t xml:space="preserve">Cas. </w:t>
      </w:r>
      <w:r w:rsidRPr="00B41F67">
        <w:rPr>
          <w:lang w:val="en-US"/>
        </w:rPr>
        <w:t>(BNA) 1032 (1976)</w:t>
      </w:r>
    </w:p>
  </w:footnote>
  <w:footnote w:id="1850">
    <w:p w14:paraId="2D9225E2" w14:textId="77777777" w:rsidR="00472EF5" w:rsidRPr="00B41F67" w:rsidRDefault="00472EF5" w:rsidP="00472EF5">
      <w:pPr>
        <w:pStyle w:val="Funotentext"/>
        <w:rPr>
          <w:lang w:val="en-US"/>
        </w:rPr>
      </w:pPr>
      <w:r>
        <w:rPr>
          <w:rStyle w:val="Funotenzeichen"/>
          <w:rFonts w:eastAsiaTheme="majorEastAsia"/>
        </w:rPr>
        <w:footnoteRef/>
      </w:r>
      <w:r w:rsidRPr="00B41F67">
        <w:rPr>
          <w:lang w:val="en-US"/>
        </w:rPr>
        <w:t xml:space="preserve"> </w:t>
      </w:r>
      <w:r w:rsidRPr="00A15962">
        <w:rPr>
          <w:i/>
          <w:lang w:val="en-US"/>
        </w:rPr>
        <w:t>Massachusetts Bd. of Retirement v. Murgia</w:t>
      </w:r>
      <w:r w:rsidRPr="00B41F67">
        <w:rPr>
          <w:lang w:val="en-US"/>
        </w:rPr>
        <w:t>, 427 U.S. 307, 312</w:t>
      </w:r>
      <w:r w:rsidRPr="006E67FE">
        <w:rPr>
          <w:lang w:val="en-US"/>
        </w:rPr>
        <w:t xml:space="preserve"> = 96 S. Ct. </w:t>
      </w:r>
      <w:r w:rsidRPr="00B41F67">
        <w:rPr>
          <w:lang w:val="en-US"/>
        </w:rPr>
        <w:t>2562, 2566</w:t>
      </w:r>
      <w:r w:rsidRPr="006E67FE">
        <w:rPr>
          <w:lang w:val="en-US"/>
        </w:rPr>
        <w:t xml:space="preserve"> = 49 L. Ed. </w:t>
      </w:r>
      <w:r w:rsidRPr="00B41F67">
        <w:rPr>
          <w:lang w:val="en-US"/>
        </w:rPr>
        <w:t>2d 520, 524</w:t>
      </w:r>
      <w:r w:rsidRPr="005D5028">
        <w:rPr>
          <w:lang w:val="en-US"/>
        </w:rPr>
        <w:t xml:space="preserve"> = 1976 U.S. LEXIS </w:t>
      </w:r>
      <w:r w:rsidRPr="00B41F67">
        <w:rPr>
          <w:lang w:val="en-US"/>
        </w:rPr>
        <w:t>9, 8</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Dec. (CCH) P10,998</w:t>
      </w:r>
      <w:r>
        <w:rPr>
          <w:lang w:val="en-US"/>
        </w:rPr>
        <w:t xml:space="preserve"> = 1 Employee Benefits </w:t>
      </w:r>
      <w:r w:rsidRPr="00B41F67">
        <w:rPr>
          <w:lang w:val="en-US"/>
        </w:rPr>
        <w:t>Cas. (BNA) 1032 (1976)</w:t>
      </w:r>
      <w:r>
        <w:rPr>
          <w:lang w:val="en-US"/>
        </w:rPr>
        <w:t>.</w:t>
      </w:r>
    </w:p>
  </w:footnote>
  <w:footnote w:id="1851">
    <w:p w14:paraId="6550D087" w14:textId="77777777" w:rsidR="00074551" w:rsidRPr="00B41F67" w:rsidRDefault="00074551" w:rsidP="00074551">
      <w:pPr>
        <w:pStyle w:val="Funotentext"/>
        <w:rPr>
          <w:lang w:val="en-US"/>
        </w:rPr>
      </w:pPr>
      <w:r>
        <w:rPr>
          <w:rStyle w:val="Funotenzeichen"/>
          <w:rFonts w:eastAsiaTheme="majorEastAsia"/>
        </w:rPr>
        <w:footnoteRef/>
      </w:r>
      <w:r w:rsidRPr="00B41F67">
        <w:rPr>
          <w:lang w:val="en-US"/>
        </w:rPr>
        <w:t xml:space="preserve"> </w:t>
      </w:r>
      <w:r w:rsidRPr="00B45592">
        <w:rPr>
          <w:i/>
          <w:lang w:val="en-US"/>
        </w:rPr>
        <w:t>Browning</w:t>
      </w:r>
      <w:r w:rsidRPr="00B41F67">
        <w:rPr>
          <w:lang w:val="en-US"/>
        </w:rPr>
        <w:t>, Rabbi Ben Ezra, stanza 1</w:t>
      </w:r>
      <w:r>
        <w:rPr>
          <w:lang w:val="en-US"/>
        </w:rPr>
        <w:t xml:space="preserve">; </w:t>
      </w:r>
      <w:r w:rsidRPr="00A15962">
        <w:rPr>
          <w:i/>
          <w:lang w:val="en-US"/>
        </w:rPr>
        <w:t>Massachusetts Bd. of Retirement v. Murgia</w:t>
      </w:r>
      <w:r w:rsidRPr="00B41F67">
        <w:rPr>
          <w:lang w:val="en-US"/>
        </w:rPr>
        <w:t>, 427 U.S. 307, 324</w:t>
      </w:r>
      <w:r w:rsidRPr="006E67FE">
        <w:rPr>
          <w:lang w:val="en-US"/>
        </w:rPr>
        <w:t xml:space="preserve"> = 96 S. Ct. </w:t>
      </w:r>
      <w:r w:rsidRPr="00B41F67">
        <w:rPr>
          <w:lang w:val="en-US"/>
        </w:rPr>
        <w:t>2562, 2572</w:t>
      </w:r>
      <w:r w:rsidRPr="006E67FE">
        <w:rPr>
          <w:lang w:val="en-US"/>
        </w:rPr>
        <w:t xml:space="preserve"> = 49 L. Ed. </w:t>
      </w:r>
      <w:r w:rsidRPr="00B41F67">
        <w:rPr>
          <w:lang w:val="en-US"/>
        </w:rPr>
        <w:t>2d 520, 531</w:t>
      </w:r>
      <w:r w:rsidRPr="005D5028">
        <w:rPr>
          <w:lang w:val="en-US"/>
        </w:rPr>
        <w:t xml:space="preserve"> = 1976 U.S. LEXIS </w:t>
      </w:r>
      <w:r w:rsidRPr="00B41F67">
        <w:rPr>
          <w:lang w:val="en-US"/>
        </w:rPr>
        <w:t>9, 26</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Dec. (CCH) P10,998</w:t>
      </w:r>
      <w:r>
        <w:rPr>
          <w:lang w:val="en-US"/>
        </w:rPr>
        <w:t xml:space="preserve"> = 1 Employee Benefits </w:t>
      </w:r>
      <w:r w:rsidRPr="00B41F67">
        <w:rPr>
          <w:lang w:val="en-US"/>
        </w:rPr>
        <w:t>Cas. (BNA) 1032 (1976)</w:t>
      </w:r>
      <w:r>
        <w:rPr>
          <w:lang w:val="en-US"/>
        </w:rPr>
        <w:t>.</w:t>
      </w:r>
    </w:p>
  </w:footnote>
  <w:footnote w:id="1852">
    <w:p w14:paraId="685CC553" w14:textId="77777777" w:rsidR="00074551" w:rsidRPr="00B41F67" w:rsidRDefault="00074551" w:rsidP="00074551">
      <w:pPr>
        <w:pStyle w:val="Funotentext"/>
        <w:rPr>
          <w:lang w:val="en-US"/>
        </w:rPr>
      </w:pPr>
      <w:r>
        <w:rPr>
          <w:rStyle w:val="Funotenzeichen"/>
          <w:rFonts w:eastAsiaTheme="majorEastAsia"/>
        </w:rPr>
        <w:footnoteRef/>
      </w:r>
      <w:r w:rsidRPr="00B41F67">
        <w:rPr>
          <w:lang w:val="en-US"/>
        </w:rPr>
        <w:t xml:space="preserve"> </w:t>
      </w:r>
      <w:r w:rsidRPr="00B45592">
        <w:rPr>
          <w:i/>
          <w:lang w:val="en-US"/>
        </w:rPr>
        <w:t>Browning</w:t>
      </w:r>
      <w:r w:rsidRPr="00B41F67">
        <w:rPr>
          <w:lang w:val="en-US"/>
        </w:rPr>
        <w:t>, Rabbi Ben Ezra, stanza 1</w:t>
      </w:r>
      <w:r>
        <w:rPr>
          <w:lang w:val="en-US"/>
        </w:rPr>
        <w:t xml:space="preserve">; </w:t>
      </w:r>
      <w:r w:rsidRPr="00A15962">
        <w:rPr>
          <w:i/>
          <w:lang w:val="en-US"/>
        </w:rPr>
        <w:t>Massachusetts Bd. of Retirement v. Murgia</w:t>
      </w:r>
      <w:r w:rsidRPr="00B41F67">
        <w:rPr>
          <w:lang w:val="en-US"/>
        </w:rPr>
        <w:t>, 427 U.S. 307, 324</w:t>
      </w:r>
      <w:r w:rsidRPr="006E67FE">
        <w:rPr>
          <w:lang w:val="en-US"/>
        </w:rPr>
        <w:t xml:space="preserve"> = 96 S. Ct. </w:t>
      </w:r>
      <w:r w:rsidRPr="00B41F67">
        <w:rPr>
          <w:lang w:val="en-US"/>
        </w:rPr>
        <w:t>2562, 2572</w:t>
      </w:r>
      <w:r w:rsidRPr="006E67FE">
        <w:rPr>
          <w:lang w:val="en-US"/>
        </w:rPr>
        <w:t xml:space="preserve"> = 49 L. Ed. </w:t>
      </w:r>
      <w:r w:rsidRPr="00B41F67">
        <w:rPr>
          <w:lang w:val="en-US"/>
        </w:rPr>
        <w:t>2d 520, 531</w:t>
      </w:r>
      <w:r w:rsidRPr="005D5028">
        <w:rPr>
          <w:lang w:val="en-US"/>
        </w:rPr>
        <w:t xml:space="preserve"> = 1976 U.S. LEXIS </w:t>
      </w:r>
      <w:r w:rsidRPr="00B41F67">
        <w:rPr>
          <w:lang w:val="en-US"/>
        </w:rPr>
        <w:t>9, 26</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Dec. (CCH) P10,998</w:t>
      </w:r>
      <w:r>
        <w:rPr>
          <w:lang w:val="en-US"/>
        </w:rPr>
        <w:t xml:space="preserve"> = 1 Employee Benefits </w:t>
      </w:r>
      <w:r w:rsidRPr="00B41F67">
        <w:rPr>
          <w:lang w:val="en-US"/>
        </w:rPr>
        <w:t>Cas. (BNA) 1032 (1976)</w:t>
      </w:r>
      <w:r>
        <w:rPr>
          <w:lang w:val="en-US"/>
        </w:rPr>
        <w:t>.</w:t>
      </w:r>
    </w:p>
  </w:footnote>
  <w:footnote w:id="1853">
    <w:p w14:paraId="4A0AEBC6" w14:textId="77777777" w:rsidR="00074551" w:rsidRPr="00B41F67" w:rsidRDefault="00074551" w:rsidP="00074551">
      <w:pPr>
        <w:pStyle w:val="Funotentext"/>
        <w:rPr>
          <w:lang w:val="en-US"/>
        </w:rPr>
      </w:pPr>
      <w:r>
        <w:rPr>
          <w:rStyle w:val="Funotenzeichen"/>
          <w:rFonts w:eastAsiaTheme="majorEastAsia"/>
        </w:rPr>
        <w:footnoteRef/>
      </w:r>
      <w:r w:rsidRPr="00B41F67">
        <w:rPr>
          <w:lang w:val="en-US"/>
        </w:rPr>
        <w:t xml:space="preserve"> </w:t>
      </w:r>
      <w:r w:rsidRPr="00A15962">
        <w:rPr>
          <w:i/>
          <w:lang w:val="en-US"/>
        </w:rPr>
        <w:t>Massachusetts Bd. of Retirement v. Murgia</w:t>
      </w:r>
      <w:r w:rsidRPr="00B41F67">
        <w:rPr>
          <w:lang w:val="en-US"/>
        </w:rPr>
        <w:t>, 427 U.S. 307, 312</w:t>
      </w:r>
      <w:r w:rsidRPr="006E67FE">
        <w:rPr>
          <w:lang w:val="en-US"/>
        </w:rPr>
        <w:t xml:space="preserve"> = 96 S. Ct. </w:t>
      </w:r>
      <w:r w:rsidRPr="00B41F67">
        <w:rPr>
          <w:lang w:val="en-US"/>
        </w:rPr>
        <w:t>2562, 2566</w:t>
      </w:r>
      <w:r w:rsidRPr="006E67FE">
        <w:rPr>
          <w:lang w:val="en-US"/>
        </w:rPr>
        <w:t xml:space="preserve"> = 49 L. Ed. </w:t>
      </w:r>
      <w:r w:rsidRPr="00B41F67">
        <w:rPr>
          <w:lang w:val="en-US"/>
        </w:rPr>
        <w:t>2d 520, 524</w:t>
      </w:r>
      <w:r w:rsidRPr="005D5028">
        <w:rPr>
          <w:lang w:val="en-US"/>
        </w:rPr>
        <w:t xml:space="preserve"> = 1976 U.S. LEXIS </w:t>
      </w:r>
      <w:r w:rsidRPr="00B41F67">
        <w:rPr>
          <w:lang w:val="en-US"/>
        </w:rPr>
        <w:t>9, 8</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B41F67">
        <w:rPr>
          <w:lang w:val="en-US"/>
        </w:rPr>
        <w:t>Dec. (CCH) P10,998</w:t>
      </w:r>
      <w:r>
        <w:rPr>
          <w:lang w:val="en-US"/>
        </w:rPr>
        <w:t xml:space="preserve"> = 1 Employee Benefits </w:t>
      </w:r>
      <w:r w:rsidRPr="00B41F67">
        <w:rPr>
          <w:lang w:val="en-US"/>
        </w:rPr>
        <w:t>Cas. (BNA) 1032 (1976)</w:t>
      </w:r>
      <w:r>
        <w:rPr>
          <w:lang w:val="en-US"/>
        </w:rPr>
        <w:t>.</w:t>
      </w:r>
    </w:p>
  </w:footnote>
  <w:footnote w:id="1854">
    <w:p w14:paraId="2003F6FB" w14:textId="77777777" w:rsidR="00074551" w:rsidRPr="009236E4" w:rsidRDefault="00074551" w:rsidP="00074551">
      <w:pPr>
        <w:pStyle w:val="Funotentext"/>
        <w:rPr>
          <w:lang w:val="en-US"/>
        </w:rPr>
      </w:pPr>
      <w:r>
        <w:rPr>
          <w:rStyle w:val="Funotenzeichen"/>
          <w:rFonts w:eastAsiaTheme="majorEastAsia"/>
        </w:rPr>
        <w:footnoteRef/>
      </w:r>
      <w:r w:rsidRPr="009236E4">
        <w:rPr>
          <w:lang w:val="en-US"/>
        </w:rPr>
        <w:t xml:space="preserve"> </w:t>
      </w:r>
      <w:r w:rsidRPr="009167A5">
        <w:rPr>
          <w:i/>
          <w:lang w:val="en-US"/>
        </w:rPr>
        <w:t>Obergefell v. Hodges</w:t>
      </w:r>
      <w:r w:rsidRPr="009236E4">
        <w:rPr>
          <w:lang w:val="en-US"/>
        </w:rPr>
        <w:t>, 576 U.S. 644, 672</w:t>
      </w:r>
      <w:r w:rsidRPr="006E67FE">
        <w:rPr>
          <w:lang w:val="en-US"/>
        </w:rPr>
        <w:t xml:space="preserve"> = 135 S. Ct. </w:t>
      </w:r>
      <w:r w:rsidRPr="009236E4">
        <w:rPr>
          <w:lang w:val="en-US"/>
        </w:rPr>
        <w:t>2584, 2603</w:t>
      </w:r>
      <w:r w:rsidRPr="006E67FE">
        <w:rPr>
          <w:lang w:val="en-US"/>
        </w:rPr>
        <w:t xml:space="preserve"> = 192 L. Ed. </w:t>
      </w:r>
      <w:r w:rsidRPr="009236E4">
        <w:rPr>
          <w:lang w:val="en-US"/>
        </w:rPr>
        <w:t>2d 609, 629</w:t>
      </w:r>
      <w:r w:rsidRPr="006E67FE">
        <w:rPr>
          <w:lang w:val="en-US"/>
        </w:rPr>
        <w:t xml:space="preserve"> = 2015 U.S. LEXIS </w:t>
      </w:r>
      <w:r w:rsidRPr="009236E4">
        <w:rPr>
          <w:lang w:val="en-US"/>
        </w:rPr>
        <w:t>4250, 38</w:t>
      </w:r>
      <w:r w:rsidRPr="006E67FE">
        <w:rPr>
          <w:lang w:val="en-US"/>
        </w:rPr>
        <w:t xml:space="preserve"> = 83 U.S.L.W. </w:t>
      </w:r>
      <w:r w:rsidRPr="009236E4">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9236E4">
        <w:rPr>
          <w:lang w:val="en-US"/>
        </w:rPr>
        <w:t>Dec. (CCH) P45,341, 11 A.F.T.R.2d (RIA) 2015-2309</w:t>
      </w:r>
      <w:r w:rsidRPr="006E67FE">
        <w:rPr>
          <w:lang w:val="en-US"/>
        </w:rPr>
        <w:t xml:space="preserve"> = 25 Fla. L. Weekly Fed. </w:t>
      </w:r>
      <w:r w:rsidRPr="009236E4">
        <w:rPr>
          <w:lang w:val="en-US"/>
        </w:rPr>
        <w:t>S 472 (2015)</w:t>
      </w:r>
    </w:p>
  </w:footnote>
  <w:footnote w:id="1855">
    <w:p w14:paraId="5326ABD0" w14:textId="77777777" w:rsidR="00074551" w:rsidRPr="009236E4" w:rsidRDefault="00074551" w:rsidP="00074551">
      <w:pPr>
        <w:pStyle w:val="Funotentext"/>
        <w:rPr>
          <w:lang w:val="en-US"/>
        </w:rPr>
      </w:pPr>
      <w:r>
        <w:rPr>
          <w:rStyle w:val="Funotenzeichen"/>
          <w:rFonts w:eastAsiaTheme="majorEastAsia"/>
        </w:rPr>
        <w:footnoteRef/>
      </w:r>
      <w:r w:rsidRPr="009236E4">
        <w:rPr>
          <w:lang w:val="en-US"/>
        </w:rPr>
        <w:t xml:space="preserve"> </w:t>
      </w:r>
      <w:r w:rsidRPr="009167A5">
        <w:rPr>
          <w:i/>
          <w:lang w:val="en-US"/>
        </w:rPr>
        <w:t>Obergefell v. Hodges</w:t>
      </w:r>
      <w:r w:rsidRPr="009236E4">
        <w:rPr>
          <w:lang w:val="en-US"/>
        </w:rPr>
        <w:t>, 576 U.S. 644, 673</w:t>
      </w:r>
      <w:r w:rsidRPr="006E67FE">
        <w:rPr>
          <w:lang w:val="en-US"/>
        </w:rPr>
        <w:t xml:space="preserve"> = 135 S. Ct. </w:t>
      </w:r>
      <w:r w:rsidRPr="009236E4">
        <w:rPr>
          <w:lang w:val="en-US"/>
        </w:rPr>
        <w:t>2584, 2603</w:t>
      </w:r>
      <w:r w:rsidRPr="006E67FE">
        <w:rPr>
          <w:lang w:val="en-US"/>
        </w:rPr>
        <w:t xml:space="preserve"> = 192 L. Ed. </w:t>
      </w:r>
      <w:r w:rsidRPr="009236E4">
        <w:rPr>
          <w:lang w:val="en-US"/>
        </w:rPr>
        <w:t>2d 609, 629</w:t>
      </w:r>
      <w:r w:rsidRPr="006E67FE">
        <w:rPr>
          <w:lang w:val="en-US"/>
        </w:rPr>
        <w:t xml:space="preserve"> = 2015 U.S. LEXIS </w:t>
      </w:r>
      <w:r w:rsidRPr="009236E4">
        <w:rPr>
          <w:lang w:val="en-US"/>
        </w:rPr>
        <w:t>4250, 38</w:t>
      </w:r>
      <w:r w:rsidRPr="006E67FE">
        <w:rPr>
          <w:lang w:val="en-US"/>
        </w:rPr>
        <w:t xml:space="preserve"> = 83 U.S.L.W. </w:t>
      </w:r>
      <w:r w:rsidRPr="009236E4">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9236E4">
        <w:rPr>
          <w:lang w:val="en-US"/>
        </w:rPr>
        <w:t>Dec. (CCH) P45,341</w:t>
      </w:r>
      <w:r w:rsidRPr="006E67FE">
        <w:rPr>
          <w:lang w:val="en-US"/>
        </w:rPr>
        <w:t xml:space="preserve"> = 115 A.F.T.R. 2d </w:t>
      </w:r>
      <w:r w:rsidRPr="009236E4">
        <w:rPr>
          <w:lang w:val="en-US"/>
        </w:rPr>
        <w:t>(RIA) 2015-2309</w:t>
      </w:r>
      <w:r w:rsidRPr="006E67FE">
        <w:rPr>
          <w:lang w:val="en-US"/>
        </w:rPr>
        <w:t xml:space="preserve"> = 25 Fla. L. Weekly Fed. </w:t>
      </w:r>
      <w:r w:rsidRPr="009236E4">
        <w:rPr>
          <w:lang w:val="en-US"/>
        </w:rPr>
        <w:t>S 472 (2015)</w:t>
      </w:r>
    </w:p>
  </w:footnote>
  <w:footnote w:id="1856">
    <w:p w14:paraId="0D9A1FFC" w14:textId="77777777" w:rsidR="00074551" w:rsidRPr="00E8773B" w:rsidRDefault="00074551" w:rsidP="00074551">
      <w:pPr>
        <w:pStyle w:val="Funotentext"/>
        <w:jc w:val="both"/>
        <w:rPr>
          <w:lang w:val="en-US"/>
        </w:rPr>
      </w:pPr>
      <w:r>
        <w:rPr>
          <w:rStyle w:val="Funotenzeichen"/>
          <w:rFonts w:eastAsiaTheme="majorEastAsia"/>
        </w:rPr>
        <w:footnoteRef/>
      </w:r>
      <w:r w:rsidRPr="00E8773B">
        <w:rPr>
          <w:lang w:val="en-US"/>
        </w:rPr>
        <w:t xml:space="preserve"> </w:t>
      </w:r>
      <w:r w:rsidRPr="00584023">
        <w:rPr>
          <w:i/>
          <w:lang w:val="en-US"/>
        </w:rPr>
        <w:t>Loving v. Virginia</w:t>
      </w:r>
      <w:r w:rsidRPr="00597086">
        <w:rPr>
          <w:lang w:val="en-US"/>
        </w:rPr>
        <w:t xml:space="preserve">, 388 U.S. </w:t>
      </w:r>
      <w:r>
        <w:rPr>
          <w:lang w:val="en-US"/>
        </w:rPr>
        <w:t>1,</w:t>
      </w:r>
      <w:r w:rsidRPr="00E8773B">
        <w:rPr>
          <w:lang w:val="en-US"/>
        </w:rPr>
        <w:t xml:space="preserve"> 12</w:t>
      </w:r>
      <w:r w:rsidRPr="006E67FE">
        <w:rPr>
          <w:lang w:val="en-US"/>
        </w:rPr>
        <w:t xml:space="preserve"> = 87 S. Ct. </w:t>
      </w:r>
      <w:r w:rsidRPr="00E8773B">
        <w:rPr>
          <w:lang w:val="en-US"/>
        </w:rPr>
        <w:t>1817</w:t>
      </w:r>
      <w:r w:rsidRPr="006E67FE">
        <w:rPr>
          <w:lang w:val="en-US"/>
        </w:rPr>
        <w:t xml:space="preserve"> = 18 L. Ed. </w:t>
      </w:r>
      <w:r w:rsidRPr="00E8773B">
        <w:rPr>
          <w:lang w:val="en-US"/>
        </w:rPr>
        <w:t>2d 1010</w:t>
      </w:r>
      <w:r>
        <w:rPr>
          <w:lang w:val="en-US"/>
        </w:rPr>
        <w:t xml:space="preserve">; </w:t>
      </w:r>
      <w:r w:rsidRPr="009167A5">
        <w:rPr>
          <w:i/>
          <w:lang w:val="en-US"/>
        </w:rPr>
        <w:t>Obergefell v. Hodges</w:t>
      </w:r>
      <w:r w:rsidRPr="00E8773B">
        <w:rPr>
          <w:lang w:val="en-US"/>
        </w:rPr>
        <w:t>, 576 U.S. 644, 673</w:t>
      </w:r>
      <w:r w:rsidRPr="006E67FE">
        <w:rPr>
          <w:lang w:val="en-US"/>
        </w:rPr>
        <w:t xml:space="preserve"> = 135 S. Ct. </w:t>
      </w:r>
      <w:r w:rsidRPr="00E8773B">
        <w:rPr>
          <w:lang w:val="en-US"/>
        </w:rPr>
        <w:t>2584, 2603</w:t>
      </w:r>
      <w:r w:rsidRPr="006E67FE">
        <w:rPr>
          <w:lang w:val="en-US"/>
        </w:rPr>
        <w:t xml:space="preserve"> = 192 L. Ed. </w:t>
      </w:r>
      <w:r w:rsidRPr="00E8773B">
        <w:rPr>
          <w:lang w:val="en-US"/>
        </w:rPr>
        <w:t>2d 609, 629</w:t>
      </w:r>
      <w:r w:rsidRPr="006E67FE">
        <w:rPr>
          <w:lang w:val="en-US"/>
        </w:rPr>
        <w:t xml:space="preserve"> = 2015 U.S. LEXIS </w:t>
      </w:r>
      <w:r w:rsidRPr="00E8773B">
        <w:rPr>
          <w:lang w:val="en-US"/>
        </w:rPr>
        <w:t>4250, 38</w:t>
      </w:r>
      <w:r w:rsidRPr="006E67FE">
        <w:rPr>
          <w:lang w:val="en-US"/>
        </w:rPr>
        <w:t xml:space="preserve"> = 83 U.S.L.W. </w:t>
      </w:r>
      <w:r w:rsidRPr="00E8773B">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E8773B">
        <w:rPr>
          <w:lang w:val="en-US"/>
        </w:rPr>
        <w:t>Dec. (CCH) P45,341</w:t>
      </w:r>
      <w:r w:rsidRPr="006E67FE">
        <w:rPr>
          <w:lang w:val="en-US"/>
        </w:rPr>
        <w:t xml:space="preserve"> = 115 A.F.T.R. 2d </w:t>
      </w:r>
      <w:r w:rsidRPr="00E8773B">
        <w:rPr>
          <w:lang w:val="en-US"/>
        </w:rPr>
        <w:t>(RIA) 2015-2309</w:t>
      </w:r>
      <w:r w:rsidRPr="006E67FE">
        <w:rPr>
          <w:lang w:val="en-US"/>
        </w:rPr>
        <w:t xml:space="preserve"> = 25 Fla. L. Weekly Fed. </w:t>
      </w:r>
      <w:r w:rsidRPr="00163CD2">
        <w:rPr>
          <w:lang w:val="en-US"/>
        </w:rPr>
        <w:t>S 472 (2015).</w:t>
      </w:r>
    </w:p>
  </w:footnote>
  <w:footnote w:id="1857">
    <w:p w14:paraId="6CC9BCB8" w14:textId="77777777" w:rsidR="00074551" w:rsidRDefault="00074551" w:rsidP="00074551">
      <w:pPr>
        <w:pStyle w:val="Funotentext"/>
        <w:ind w:left="227" w:hanging="227"/>
        <w:jc w:val="both"/>
        <w:rPr>
          <w:lang w:val="en-US"/>
        </w:rPr>
      </w:pPr>
      <w:r>
        <w:rPr>
          <w:rStyle w:val="Funotenzeichen"/>
          <w:rFonts w:eastAsiaTheme="majorEastAsia"/>
        </w:rPr>
        <w:footnoteRef/>
      </w:r>
      <w:r w:rsidRPr="00597086">
        <w:rPr>
          <w:lang w:val="en-US"/>
        </w:rPr>
        <w:t xml:space="preserve"> </w:t>
      </w:r>
      <w:r w:rsidRPr="00584023">
        <w:rPr>
          <w:i/>
          <w:lang w:val="en-US"/>
        </w:rPr>
        <w:t>Loving v. Virginia</w:t>
      </w:r>
      <w:r w:rsidRPr="00597086">
        <w:rPr>
          <w:lang w:val="en-US"/>
        </w:rPr>
        <w:t>, 388 U.S. 1, 12</w:t>
      </w:r>
      <w:r w:rsidRPr="006E67FE">
        <w:rPr>
          <w:lang w:val="en-US"/>
        </w:rPr>
        <w:t xml:space="preserve"> = 87 S. Ct. </w:t>
      </w:r>
      <w:r w:rsidRPr="00597086">
        <w:rPr>
          <w:lang w:val="en-US"/>
        </w:rPr>
        <w:t>1817</w:t>
      </w:r>
      <w:r w:rsidRPr="006E67FE">
        <w:rPr>
          <w:lang w:val="en-US"/>
        </w:rPr>
        <w:t xml:space="preserve"> = 18 L. Ed. </w:t>
      </w:r>
      <w:r w:rsidRPr="00597086">
        <w:rPr>
          <w:lang w:val="en-US"/>
        </w:rPr>
        <w:t>2d 1010</w:t>
      </w:r>
      <w:r>
        <w:rPr>
          <w:lang w:val="en-US"/>
        </w:rPr>
        <w:t xml:space="preserve">; </w:t>
      </w:r>
      <w:r w:rsidRPr="009167A5">
        <w:rPr>
          <w:i/>
          <w:lang w:val="en-US"/>
        </w:rPr>
        <w:t>Obergefell v. Hodges</w:t>
      </w:r>
      <w:r w:rsidRPr="00597086">
        <w:rPr>
          <w:lang w:val="en-US"/>
        </w:rPr>
        <w:t>, 576 U.S. 644, 645</w:t>
      </w:r>
      <w:r w:rsidRPr="006E67FE">
        <w:rPr>
          <w:lang w:val="en-US"/>
        </w:rPr>
        <w:t xml:space="preserve"> = 135 S. Ct. </w:t>
      </w:r>
      <w:r w:rsidRPr="00597086">
        <w:rPr>
          <w:lang w:val="en-US"/>
        </w:rPr>
        <w:t>2584, 2589</w:t>
      </w:r>
      <w:r w:rsidRPr="006E67FE">
        <w:rPr>
          <w:lang w:val="en-US"/>
        </w:rPr>
        <w:t xml:space="preserve"> = 192 L. Ed. </w:t>
      </w:r>
      <w:r w:rsidRPr="00597086">
        <w:rPr>
          <w:lang w:val="en-US"/>
        </w:rPr>
        <w:t>2d 609, 615</w:t>
      </w:r>
      <w:r w:rsidRPr="006E67FE">
        <w:rPr>
          <w:lang w:val="en-US"/>
        </w:rPr>
        <w:t xml:space="preserve"> = 2015 U.S. LEXIS</w:t>
      </w:r>
    </w:p>
    <w:p w14:paraId="1259C533" w14:textId="77777777" w:rsidR="00074551" w:rsidRPr="00597086" w:rsidRDefault="00074551" w:rsidP="00074551">
      <w:pPr>
        <w:pStyle w:val="Funotentext"/>
        <w:ind w:left="227" w:hanging="227"/>
        <w:rPr>
          <w:lang w:val="en-US"/>
        </w:rPr>
      </w:pPr>
      <w:r w:rsidRPr="00597086">
        <w:rPr>
          <w:lang w:val="en-US"/>
        </w:rPr>
        <w:t>4250, 4</w:t>
      </w:r>
      <w:r w:rsidRPr="006E67FE">
        <w:rPr>
          <w:lang w:val="en-US"/>
        </w:rPr>
        <w:t xml:space="preserve"> = 83 U.S.L.W. </w:t>
      </w:r>
      <w:r w:rsidRPr="00597086">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597086">
        <w:rPr>
          <w:lang w:val="en-US"/>
        </w:rPr>
        <w:t>Dec. (CCH) P45,341</w:t>
      </w:r>
      <w:r w:rsidRPr="006E67FE">
        <w:rPr>
          <w:lang w:val="en-US"/>
        </w:rPr>
        <w:t xml:space="preserve"> = 115 A.F.T.R. 2d </w:t>
      </w:r>
      <w:r w:rsidRPr="00597086">
        <w:rPr>
          <w:lang w:val="en-US"/>
        </w:rPr>
        <w:t>(RIA) 2015-2309</w:t>
      </w:r>
      <w:r w:rsidRPr="006E67FE">
        <w:rPr>
          <w:lang w:val="en-US"/>
        </w:rPr>
        <w:t xml:space="preserve"> = 25 Fla. L. Weekly Fed. </w:t>
      </w:r>
      <w:r w:rsidRPr="00597086">
        <w:rPr>
          <w:lang w:val="en-US"/>
        </w:rPr>
        <w:t>S 472 (2015)</w:t>
      </w:r>
      <w:r>
        <w:rPr>
          <w:lang w:val="en-US"/>
        </w:rPr>
        <w:t>.</w:t>
      </w:r>
    </w:p>
  </w:footnote>
  <w:footnote w:id="1858">
    <w:p w14:paraId="18EEEDA7" w14:textId="77777777" w:rsidR="00074551" w:rsidRDefault="00074551" w:rsidP="00074551">
      <w:pPr>
        <w:pStyle w:val="Funotentext"/>
        <w:ind w:left="227" w:hanging="227"/>
        <w:rPr>
          <w:lang w:val="en-US"/>
        </w:rPr>
      </w:pPr>
      <w:r>
        <w:rPr>
          <w:rStyle w:val="Funotenzeichen"/>
          <w:rFonts w:eastAsiaTheme="majorEastAsia"/>
        </w:rPr>
        <w:footnoteRef/>
      </w:r>
      <w:r w:rsidRPr="00597086">
        <w:rPr>
          <w:lang w:val="en-US"/>
        </w:rPr>
        <w:t xml:space="preserve"> </w:t>
      </w:r>
      <w:r w:rsidRPr="00B35CD0">
        <w:rPr>
          <w:i/>
          <w:lang w:val="en-US"/>
        </w:rPr>
        <w:t xml:space="preserve">Zablocki v. </w:t>
      </w:r>
      <w:proofErr w:type="spellStart"/>
      <w:r w:rsidRPr="00B35CD0">
        <w:rPr>
          <w:i/>
          <w:lang w:val="en-US"/>
        </w:rPr>
        <w:t>Redhail</w:t>
      </w:r>
      <w:proofErr w:type="spellEnd"/>
      <w:r w:rsidRPr="00597086">
        <w:rPr>
          <w:lang w:val="en-US"/>
        </w:rPr>
        <w:t>, 434 U.S. 374</w:t>
      </w:r>
      <w:r w:rsidRPr="003B741A">
        <w:rPr>
          <w:lang w:val="en-US"/>
        </w:rPr>
        <w:t xml:space="preserve"> = 98 S. Ct. </w:t>
      </w:r>
      <w:r w:rsidRPr="00597086">
        <w:rPr>
          <w:lang w:val="en-US"/>
        </w:rPr>
        <w:t>673</w:t>
      </w:r>
      <w:r>
        <w:rPr>
          <w:lang w:val="en-US"/>
        </w:rPr>
        <w:t xml:space="preserve"> = 54 L. Ed. </w:t>
      </w:r>
      <w:r w:rsidRPr="00597086">
        <w:rPr>
          <w:lang w:val="en-US"/>
        </w:rPr>
        <w:t>2d 618</w:t>
      </w:r>
      <w:r>
        <w:rPr>
          <w:lang w:val="en-US"/>
        </w:rPr>
        <w:t xml:space="preserve">; </w:t>
      </w:r>
      <w:r w:rsidRPr="009167A5">
        <w:rPr>
          <w:i/>
          <w:lang w:val="en-US"/>
        </w:rPr>
        <w:t>Obergefell v. Hodges</w:t>
      </w:r>
      <w:r w:rsidRPr="00597086">
        <w:rPr>
          <w:lang w:val="en-US"/>
        </w:rPr>
        <w:t>, 576 U.S. 644, 647</w:t>
      </w:r>
      <w:r w:rsidRPr="006E67FE">
        <w:rPr>
          <w:lang w:val="en-US"/>
        </w:rPr>
        <w:t xml:space="preserve"> = 135 S. Ct. </w:t>
      </w:r>
      <w:r w:rsidRPr="00597086">
        <w:rPr>
          <w:lang w:val="en-US"/>
        </w:rPr>
        <w:t>2584, 2590</w:t>
      </w:r>
      <w:r w:rsidRPr="006E67FE">
        <w:rPr>
          <w:lang w:val="en-US"/>
        </w:rPr>
        <w:t xml:space="preserve"> = 192 L. Ed. </w:t>
      </w:r>
      <w:r w:rsidRPr="00597086">
        <w:rPr>
          <w:lang w:val="en-US"/>
        </w:rPr>
        <w:t>2d 609, 617</w:t>
      </w:r>
      <w:r w:rsidRPr="006E67FE">
        <w:rPr>
          <w:lang w:val="en-US"/>
        </w:rPr>
        <w:t xml:space="preserve"> = 2015 U.S. LEXIS </w:t>
      </w:r>
    </w:p>
    <w:p w14:paraId="211FD505" w14:textId="77777777" w:rsidR="00074551" w:rsidRPr="00597086" w:rsidRDefault="00074551" w:rsidP="00074551">
      <w:pPr>
        <w:pStyle w:val="Funotentext"/>
        <w:ind w:left="227" w:hanging="227"/>
        <w:rPr>
          <w:lang w:val="en-US"/>
        </w:rPr>
      </w:pPr>
      <w:r w:rsidRPr="00597086">
        <w:rPr>
          <w:lang w:val="en-US"/>
        </w:rPr>
        <w:t>4250, 8</w:t>
      </w:r>
      <w:r w:rsidRPr="006E67FE">
        <w:rPr>
          <w:lang w:val="en-US"/>
        </w:rPr>
        <w:t xml:space="preserve"> = 83 U.S.L.W. </w:t>
      </w:r>
      <w:r w:rsidRPr="00597086">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597086">
        <w:rPr>
          <w:lang w:val="en-US"/>
        </w:rPr>
        <w:t>Dec. (CCH) P45,341</w:t>
      </w:r>
      <w:r w:rsidRPr="006E67FE">
        <w:rPr>
          <w:lang w:val="en-US"/>
        </w:rPr>
        <w:t xml:space="preserve"> = 115 A.F.T.R. 2d </w:t>
      </w:r>
      <w:r w:rsidRPr="00597086">
        <w:rPr>
          <w:lang w:val="en-US"/>
        </w:rPr>
        <w:t>(RIA) 2015-2309</w:t>
      </w:r>
      <w:r w:rsidRPr="006E67FE">
        <w:rPr>
          <w:lang w:val="en-US"/>
        </w:rPr>
        <w:t xml:space="preserve"> = 25 Fla. L. Weekly Fed. </w:t>
      </w:r>
      <w:r w:rsidRPr="00597086">
        <w:rPr>
          <w:lang w:val="en-US"/>
        </w:rPr>
        <w:t>S 472 (2015).</w:t>
      </w:r>
    </w:p>
  </w:footnote>
  <w:footnote w:id="1859">
    <w:p w14:paraId="5D3BE0E1" w14:textId="77777777" w:rsidR="00074551" w:rsidRDefault="00074551" w:rsidP="00074551">
      <w:pPr>
        <w:pStyle w:val="Funotentext"/>
        <w:ind w:left="227" w:hanging="227"/>
        <w:rPr>
          <w:lang w:val="en-US"/>
        </w:rPr>
      </w:pPr>
      <w:r>
        <w:rPr>
          <w:rStyle w:val="Funotenzeichen"/>
          <w:rFonts w:eastAsiaTheme="majorEastAsia"/>
        </w:rPr>
        <w:footnoteRef/>
      </w:r>
      <w:r w:rsidRPr="00597086">
        <w:rPr>
          <w:lang w:val="en-US"/>
        </w:rPr>
        <w:t xml:space="preserve"> </w:t>
      </w:r>
      <w:r w:rsidRPr="009167A5">
        <w:rPr>
          <w:i/>
          <w:lang w:val="en-US"/>
        </w:rPr>
        <w:t>Obergefell v. Hodges</w:t>
      </w:r>
      <w:r w:rsidRPr="00597086">
        <w:rPr>
          <w:lang w:val="en-US"/>
        </w:rPr>
        <w:t>, 576 U.S. 644, 665</w:t>
      </w:r>
      <w:r>
        <w:rPr>
          <w:lang w:val="en-US"/>
        </w:rPr>
        <w:t>–</w:t>
      </w:r>
      <w:r w:rsidRPr="00597086">
        <w:rPr>
          <w:lang w:val="en-US"/>
        </w:rPr>
        <w:t>666</w:t>
      </w:r>
      <w:r w:rsidRPr="006E67FE">
        <w:rPr>
          <w:lang w:val="en-US"/>
        </w:rPr>
        <w:t xml:space="preserve"> = 135 S. Ct. </w:t>
      </w:r>
      <w:r w:rsidRPr="00597086">
        <w:rPr>
          <w:lang w:val="en-US"/>
        </w:rPr>
        <w:t>2584, 2599</w:t>
      </w:r>
      <w:r w:rsidRPr="006E67FE">
        <w:rPr>
          <w:lang w:val="en-US"/>
        </w:rPr>
        <w:t xml:space="preserve"> = 192 L. Ed. </w:t>
      </w:r>
      <w:r w:rsidRPr="00597086">
        <w:rPr>
          <w:lang w:val="en-US"/>
        </w:rPr>
        <w:t>2d 609, 625</w:t>
      </w:r>
      <w:r w:rsidRPr="006E67FE">
        <w:rPr>
          <w:lang w:val="en-US"/>
        </w:rPr>
        <w:t xml:space="preserve"> = 2015 U.S. LEXIS </w:t>
      </w:r>
      <w:r w:rsidRPr="00597086">
        <w:rPr>
          <w:lang w:val="en-US"/>
        </w:rPr>
        <w:t>4250, 27</w:t>
      </w:r>
      <w:r w:rsidRPr="006E67FE">
        <w:rPr>
          <w:lang w:val="en-US"/>
        </w:rPr>
        <w:t xml:space="preserve"> = 83 U.S.L.W. </w:t>
      </w:r>
      <w:r w:rsidRPr="00597086">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597086">
        <w:rPr>
          <w:lang w:val="en-US"/>
        </w:rPr>
        <w:t>Dec. (CCH) P45,341</w:t>
      </w:r>
      <w:r w:rsidRPr="006E67FE">
        <w:rPr>
          <w:lang w:val="en-US"/>
        </w:rPr>
        <w:t xml:space="preserve"> = </w:t>
      </w:r>
    </w:p>
    <w:p w14:paraId="5D2EFD31" w14:textId="77777777" w:rsidR="00074551" w:rsidRPr="00597086" w:rsidRDefault="00074551" w:rsidP="00074551">
      <w:pPr>
        <w:pStyle w:val="Funotentext"/>
        <w:ind w:left="227" w:hanging="227"/>
        <w:rPr>
          <w:lang w:val="en-US"/>
        </w:rPr>
      </w:pPr>
      <w:r w:rsidRPr="006E67FE">
        <w:rPr>
          <w:lang w:val="en-US"/>
        </w:rPr>
        <w:t xml:space="preserve">115 A.F.T.R. 2d </w:t>
      </w:r>
      <w:r w:rsidRPr="00597086">
        <w:rPr>
          <w:lang w:val="en-US"/>
        </w:rPr>
        <w:t>(RIA) 2015-2309</w:t>
      </w:r>
      <w:r w:rsidRPr="006E67FE">
        <w:rPr>
          <w:lang w:val="en-US"/>
        </w:rPr>
        <w:t xml:space="preserve"> = 25 Fla. L. Weekly Fed. </w:t>
      </w:r>
      <w:r w:rsidRPr="00597086">
        <w:rPr>
          <w:lang w:val="en-US"/>
        </w:rPr>
        <w:t>S 472 (2015)</w:t>
      </w:r>
      <w:r>
        <w:rPr>
          <w:lang w:val="en-US"/>
        </w:rPr>
        <w:t>.</w:t>
      </w:r>
    </w:p>
  </w:footnote>
  <w:footnote w:id="1860">
    <w:p w14:paraId="6EB41864" w14:textId="77777777" w:rsidR="00074551" w:rsidRPr="00163CD2" w:rsidRDefault="00074551" w:rsidP="00074551">
      <w:pPr>
        <w:pStyle w:val="Funotentext"/>
        <w:jc w:val="both"/>
        <w:rPr>
          <w:lang w:val="en-US"/>
        </w:rPr>
      </w:pPr>
      <w:r>
        <w:rPr>
          <w:rStyle w:val="Funotenzeichen"/>
          <w:rFonts w:eastAsiaTheme="majorEastAsia"/>
        </w:rPr>
        <w:footnoteRef/>
      </w:r>
      <w:r w:rsidRPr="00163CD2">
        <w:rPr>
          <w:lang w:val="en-US"/>
        </w:rPr>
        <w:t xml:space="preserve"> </w:t>
      </w:r>
      <w:r w:rsidRPr="00B35CD0">
        <w:rPr>
          <w:i/>
          <w:lang w:val="en-US"/>
        </w:rPr>
        <w:t xml:space="preserve">Zablocki v. </w:t>
      </w:r>
      <w:proofErr w:type="spellStart"/>
      <w:r w:rsidRPr="00B35CD0">
        <w:rPr>
          <w:i/>
          <w:lang w:val="en-US"/>
        </w:rPr>
        <w:t>Redhail</w:t>
      </w:r>
      <w:proofErr w:type="spellEnd"/>
      <w:r w:rsidRPr="00163CD2">
        <w:rPr>
          <w:lang w:val="en-US"/>
        </w:rPr>
        <w:t>, 434 U.S. 374, 383</w:t>
      </w:r>
      <w:r w:rsidRPr="003B741A">
        <w:rPr>
          <w:lang w:val="en-US"/>
        </w:rPr>
        <w:t xml:space="preserve"> = 98 S. Ct. </w:t>
      </w:r>
      <w:r w:rsidRPr="00163CD2">
        <w:rPr>
          <w:lang w:val="en-US"/>
        </w:rPr>
        <w:t>673, 679</w:t>
      </w:r>
      <w:r>
        <w:rPr>
          <w:lang w:val="en-US"/>
        </w:rPr>
        <w:t xml:space="preserve"> = 54 L. Ed. </w:t>
      </w:r>
      <w:r w:rsidRPr="00163CD2">
        <w:rPr>
          <w:lang w:val="en-US"/>
        </w:rPr>
        <w:t>2d 618, 629</w:t>
      </w:r>
      <w:r w:rsidRPr="003B741A">
        <w:rPr>
          <w:lang w:val="en-US"/>
        </w:rPr>
        <w:t xml:space="preserve"> = 1978 U.S. LEXIS </w:t>
      </w:r>
      <w:r w:rsidRPr="00163CD2">
        <w:rPr>
          <w:lang w:val="en-US"/>
        </w:rPr>
        <w:t>57, 13</w:t>
      </w:r>
      <w:r>
        <w:rPr>
          <w:lang w:val="en-US"/>
        </w:rPr>
        <w:t xml:space="preserve"> = 24 Fed. R. Serv. </w:t>
      </w:r>
      <w:r w:rsidRPr="00163CD2">
        <w:rPr>
          <w:lang w:val="en-US"/>
        </w:rPr>
        <w:t>2d (Callaghan) 1313 (1978)</w:t>
      </w:r>
      <w:r>
        <w:rPr>
          <w:lang w:val="en-US"/>
        </w:rPr>
        <w:t xml:space="preserve">; </w:t>
      </w:r>
      <w:r w:rsidRPr="00584023">
        <w:rPr>
          <w:i/>
          <w:lang w:val="en-US"/>
        </w:rPr>
        <w:t>Loving v. Virginia</w:t>
      </w:r>
      <w:r w:rsidRPr="00163CD2">
        <w:rPr>
          <w:lang w:val="en-US"/>
        </w:rPr>
        <w:t>, 388 U.S. 1, 12</w:t>
      </w:r>
      <w:r w:rsidRPr="006E67FE">
        <w:rPr>
          <w:lang w:val="en-US"/>
        </w:rPr>
        <w:t xml:space="preserve"> = 87 S. Ct. </w:t>
      </w:r>
      <w:r w:rsidRPr="00163CD2">
        <w:rPr>
          <w:lang w:val="en-US"/>
        </w:rPr>
        <w:t>1817</w:t>
      </w:r>
      <w:r w:rsidRPr="006E67FE">
        <w:rPr>
          <w:lang w:val="en-US"/>
        </w:rPr>
        <w:t xml:space="preserve"> = 18 L. Ed. </w:t>
      </w:r>
      <w:r w:rsidRPr="00163CD2">
        <w:rPr>
          <w:lang w:val="en-US"/>
        </w:rPr>
        <w:t>2d 1010 (1967)</w:t>
      </w:r>
      <w:r>
        <w:rPr>
          <w:lang w:val="en-US"/>
        </w:rPr>
        <w:t xml:space="preserve">; </w:t>
      </w:r>
      <w:r w:rsidRPr="009167A5">
        <w:rPr>
          <w:i/>
          <w:lang w:val="en-US"/>
        </w:rPr>
        <w:t>Obergefell v. Hodges</w:t>
      </w:r>
      <w:r w:rsidRPr="00163CD2">
        <w:rPr>
          <w:lang w:val="en-US"/>
        </w:rPr>
        <w:t>, 576 U.S. 644, 664</w:t>
      </w:r>
      <w:r w:rsidRPr="006E67FE">
        <w:rPr>
          <w:lang w:val="en-US"/>
        </w:rPr>
        <w:t xml:space="preserve"> = 135 S. Ct. </w:t>
      </w:r>
      <w:r w:rsidRPr="00163CD2">
        <w:rPr>
          <w:lang w:val="en-US"/>
        </w:rPr>
        <w:t>2584, 2598</w:t>
      </w:r>
      <w:r w:rsidRPr="006E67FE">
        <w:rPr>
          <w:lang w:val="en-US"/>
        </w:rPr>
        <w:t xml:space="preserve"> = 192 L. Ed. </w:t>
      </w:r>
      <w:r w:rsidRPr="00163CD2">
        <w:rPr>
          <w:lang w:val="en-US"/>
        </w:rPr>
        <w:t>2d 609, 624</w:t>
      </w:r>
      <w:r w:rsidRPr="006E67FE">
        <w:rPr>
          <w:lang w:val="en-US"/>
        </w:rPr>
        <w:t xml:space="preserve"> = 2015 U.S. LEXIS </w:t>
      </w:r>
      <w:r w:rsidRPr="00163CD2">
        <w:rPr>
          <w:lang w:val="en-US"/>
        </w:rPr>
        <w:t>4250, 25</w:t>
      </w:r>
      <w:r w:rsidRPr="006E67FE">
        <w:rPr>
          <w:lang w:val="en-US"/>
        </w:rPr>
        <w:t xml:space="preserve"> = 83 U.S.L.W. </w:t>
      </w:r>
      <w:r w:rsidRPr="00163CD2">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163CD2">
        <w:rPr>
          <w:lang w:val="en-US"/>
        </w:rPr>
        <w:t>Dec. (CCH) P45,341</w:t>
      </w:r>
      <w:r w:rsidRPr="006E67FE">
        <w:rPr>
          <w:lang w:val="en-US"/>
        </w:rPr>
        <w:t xml:space="preserve"> = 115 A.F.T.R. 2d </w:t>
      </w:r>
      <w:r w:rsidRPr="00163CD2">
        <w:rPr>
          <w:lang w:val="en-US"/>
        </w:rPr>
        <w:t>(RIA) 2015-2309</w:t>
      </w:r>
      <w:r w:rsidRPr="006E67FE">
        <w:rPr>
          <w:lang w:val="en-US"/>
        </w:rPr>
        <w:t xml:space="preserve"> = 25 Fla. L. Weekly Fed. </w:t>
      </w:r>
      <w:r w:rsidRPr="00163CD2">
        <w:rPr>
          <w:lang w:val="en-US"/>
        </w:rPr>
        <w:t>S 472 (2015)</w:t>
      </w:r>
      <w:r>
        <w:rPr>
          <w:lang w:val="en-US"/>
        </w:rPr>
        <w:t>.</w:t>
      </w:r>
    </w:p>
  </w:footnote>
  <w:footnote w:id="1861">
    <w:p w14:paraId="0E189B22" w14:textId="77777777" w:rsidR="00074551" w:rsidRPr="00111AE5" w:rsidRDefault="00074551" w:rsidP="00074551">
      <w:pPr>
        <w:pStyle w:val="Funotentext"/>
        <w:rPr>
          <w:lang w:val="en-US"/>
        </w:rPr>
      </w:pPr>
      <w:r>
        <w:rPr>
          <w:rStyle w:val="Funotenzeichen"/>
          <w:rFonts w:eastAsiaTheme="majorEastAsia"/>
        </w:rPr>
        <w:footnoteRef/>
      </w:r>
      <w:r w:rsidRPr="006C6189">
        <w:rPr>
          <w:lang w:val="en-US"/>
        </w:rPr>
        <w:t xml:space="preserve"> </w:t>
      </w:r>
      <w:r w:rsidRPr="009167A5">
        <w:rPr>
          <w:i/>
          <w:lang w:val="en-US"/>
        </w:rPr>
        <w:t>Obergefell v. Hodges</w:t>
      </w:r>
      <w:r w:rsidRPr="006C6189">
        <w:rPr>
          <w:lang w:val="en-US"/>
        </w:rPr>
        <w:t>, 576 U.S. 644, 672</w:t>
      </w:r>
      <w:r w:rsidRPr="006E67FE">
        <w:rPr>
          <w:lang w:val="en-US"/>
        </w:rPr>
        <w:t xml:space="preserve"> = 135 S. Ct. </w:t>
      </w:r>
      <w:r w:rsidRPr="006C6189">
        <w:rPr>
          <w:lang w:val="en-US"/>
        </w:rPr>
        <w:t>2584, 2602</w:t>
      </w:r>
      <w:r w:rsidRPr="006E67FE">
        <w:rPr>
          <w:lang w:val="en-US"/>
        </w:rPr>
        <w:t xml:space="preserve"> = 192 L. Ed. </w:t>
      </w:r>
      <w:r w:rsidRPr="006C6189">
        <w:rPr>
          <w:lang w:val="en-US"/>
        </w:rPr>
        <w:t>2d 609, 629</w:t>
      </w:r>
      <w:r w:rsidRPr="006E67FE">
        <w:rPr>
          <w:lang w:val="en-US"/>
        </w:rPr>
        <w:t xml:space="preserve"> = 2015 U.S. LEXIS </w:t>
      </w:r>
      <w:r w:rsidRPr="006C6189">
        <w:rPr>
          <w:lang w:val="en-US"/>
        </w:rPr>
        <w:t>4250, 38</w:t>
      </w:r>
      <w:r w:rsidRPr="006E67FE">
        <w:rPr>
          <w:lang w:val="en-US"/>
        </w:rPr>
        <w:t xml:space="preserve"> = 83 U.S.L.W. </w:t>
      </w:r>
      <w:r w:rsidRPr="006C6189">
        <w:rPr>
          <w:lang w:val="en-US"/>
        </w:rPr>
        <w:t>4592</w:t>
      </w:r>
      <w:r w:rsidRPr="006E67FE">
        <w:rPr>
          <w:lang w:val="en-US"/>
        </w:rPr>
        <w:t xml:space="preserve"> = 99 </w:t>
      </w:r>
      <w:proofErr w:type="spellStart"/>
      <w:r w:rsidRPr="006E67FE">
        <w:rPr>
          <w:lang w:val="en-US"/>
        </w:rPr>
        <w:t>Empl</w:t>
      </w:r>
      <w:proofErr w:type="spellEnd"/>
      <w:r w:rsidRPr="006E67FE">
        <w:rPr>
          <w:lang w:val="en-US"/>
        </w:rPr>
        <w:t xml:space="preserve">. </w:t>
      </w:r>
      <w:proofErr w:type="spellStart"/>
      <w:r w:rsidRPr="006E67FE">
        <w:rPr>
          <w:lang w:val="en-US"/>
        </w:rPr>
        <w:t>Prac</w:t>
      </w:r>
      <w:proofErr w:type="spellEnd"/>
      <w:r w:rsidRPr="006E67FE">
        <w:rPr>
          <w:lang w:val="en-US"/>
        </w:rPr>
        <w:t xml:space="preserve">. </w:t>
      </w:r>
      <w:r w:rsidRPr="006C6189">
        <w:rPr>
          <w:lang w:val="en-US"/>
        </w:rPr>
        <w:t>Dec. (CCH) P45,341</w:t>
      </w:r>
      <w:r w:rsidRPr="006E67FE">
        <w:rPr>
          <w:lang w:val="en-US"/>
        </w:rPr>
        <w:t xml:space="preserve"> = 115 A.F.T.R. 2d </w:t>
      </w:r>
      <w:r w:rsidRPr="006C6189">
        <w:rPr>
          <w:lang w:val="en-US"/>
        </w:rPr>
        <w:t>(RIA) 2015-2309</w:t>
      </w:r>
      <w:r w:rsidRPr="006E67FE">
        <w:rPr>
          <w:lang w:val="en-US"/>
        </w:rPr>
        <w:t xml:space="preserve"> = 25 Fla. L. Weekly Fed. </w:t>
      </w:r>
      <w:r w:rsidRPr="00111AE5">
        <w:rPr>
          <w:lang w:val="en-US"/>
        </w:rPr>
        <w:t>S 472 (2015)</w:t>
      </w:r>
      <w:r>
        <w:rPr>
          <w:lang w:val="en-US"/>
        </w:rPr>
        <w:t>.</w:t>
      </w:r>
    </w:p>
  </w:footnote>
  <w:footnote w:id="1862">
    <w:p w14:paraId="610422EB" w14:textId="77777777" w:rsidR="00074551" w:rsidRPr="00111AE5" w:rsidRDefault="00074551" w:rsidP="00074551">
      <w:pPr>
        <w:pStyle w:val="Funotentext"/>
        <w:rPr>
          <w:lang w:val="en-US"/>
        </w:rPr>
      </w:pPr>
      <w:r>
        <w:rPr>
          <w:rStyle w:val="Funotenzeichen"/>
          <w:rFonts w:eastAsiaTheme="majorEastAsia"/>
        </w:rPr>
        <w:footnoteRef/>
      </w:r>
      <w:r w:rsidRPr="00111AE5">
        <w:rPr>
          <w:lang w:val="en-US"/>
        </w:rPr>
        <w:t xml:space="preserve"> </w:t>
      </w:r>
      <w:r w:rsidRPr="00B45592">
        <w:rPr>
          <w:i/>
          <w:lang w:val="en-US"/>
        </w:rPr>
        <w:t>In re Jobes</w:t>
      </w:r>
      <w:r w:rsidRPr="00111AE5">
        <w:rPr>
          <w:lang w:val="en-US"/>
        </w:rPr>
        <w:t>, 108 N.J. 394, 419, 529 A.2d 434, 447 (1987)</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111AE5">
        <w:rPr>
          <w:lang w:val="en-US"/>
        </w:rPr>
        <w:t>, 497 U.S. 261, 281</w:t>
      </w:r>
      <w:r>
        <w:rPr>
          <w:lang w:val="en-US"/>
        </w:rPr>
        <w:t xml:space="preserve"> = 110 S. Ct</w:t>
      </w:r>
      <w:r w:rsidRPr="00111AE5">
        <w:rPr>
          <w:lang w:val="en-US"/>
        </w:rPr>
        <w:t>. 2841, 2853</w:t>
      </w:r>
      <w:r>
        <w:rPr>
          <w:lang w:val="en-US"/>
        </w:rPr>
        <w:t xml:space="preserve"> = 111 L. Ed. </w:t>
      </w:r>
      <w:r w:rsidRPr="00111AE5">
        <w:rPr>
          <w:lang w:val="en-US"/>
        </w:rPr>
        <w:t>2d 224, 243</w:t>
      </w:r>
      <w:r>
        <w:rPr>
          <w:lang w:val="en-US"/>
        </w:rPr>
        <w:t xml:space="preserve"> = 1990 U.S. LEXIS </w:t>
      </w:r>
      <w:r w:rsidRPr="00111AE5">
        <w:rPr>
          <w:lang w:val="en-US"/>
        </w:rPr>
        <w:t>3301, 37</w:t>
      </w:r>
      <w:r>
        <w:rPr>
          <w:lang w:val="en-US"/>
        </w:rPr>
        <w:t xml:space="preserve"> = 58 U.S.L.W. </w:t>
      </w:r>
      <w:r w:rsidRPr="00111AE5">
        <w:rPr>
          <w:lang w:val="en-US"/>
        </w:rPr>
        <w:t>4916 (1990)</w:t>
      </w:r>
      <w:r>
        <w:rPr>
          <w:lang w:val="en-US"/>
        </w:rPr>
        <w:t>.</w:t>
      </w:r>
    </w:p>
  </w:footnote>
  <w:footnote w:id="1863">
    <w:p w14:paraId="76BC7AB8" w14:textId="77777777" w:rsidR="00074551" w:rsidRPr="00111AE5" w:rsidRDefault="00074551" w:rsidP="00074551">
      <w:pPr>
        <w:pStyle w:val="Funotentext"/>
        <w:rPr>
          <w:lang w:val="en-US"/>
        </w:rPr>
      </w:pPr>
      <w:r>
        <w:rPr>
          <w:rStyle w:val="Funotenzeichen"/>
          <w:rFonts w:eastAsiaTheme="majorEastAsia"/>
        </w:rPr>
        <w:footnoteRef/>
      </w:r>
      <w:r w:rsidRPr="00111AE5">
        <w:rPr>
          <w:lang w:val="en-US"/>
        </w:rPr>
        <w:t xml:space="preserve"> </w:t>
      </w:r>
      <w:r w:rsidRPr="00B45592">
        <w:rPr>
          <w:i/>
          <w:lang w:val="en-US"/>
        </w:rPr>
        <w:t>Ohio v. Akron Center for Reproductive Health</w:t>
      </w:r>
      <w:r w:rsidRPr="00111AE5">
        <w:rPr>
          <w:lang w:val="en-US"/>
        </w:rPr>
        <w:t>, 497 U.S. 502, 515</w:t>
      </w:r>
      <w:r>
        <w:rPr>
          <w:lang w:val="en-US"/>
        </w:rPr>
        <w:t>–</w:t>
      </w:r>
      <w:r w:rsidRPr="00111AE5">
        <w:rPr>
          <w:lang w:val="en-US"/>
        </w:rPr>
        <w:t>516</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111AE5">
        <w:rPr>
          <w:lang w:val="en-US"/>
        </w:rPr>
        <w:t>, 497 U.S. 261, 281</w:t>
      </w:r>
      <w:r>
        <w:rPr>
          <w:lang w:val="en-US"/>
        </w:rPr>
        <w:t>–</w:t>
      </w:r>
      <w:r w:rsidRPr="00111AE5">
        <w:rPr>
          <w:lang w:val="en-US"/>
        </w:rPr>
        <w:t>282</w:t>
      </w:r>
      <w:r>
        <w:rPr>
          <w:lang w:val="en-US"/>
        </w:rPr>
        <w:t xml:space="preserve"> = 110 S. Ct</w:t>
      </w:r>
      <w:r w:rsidRPr="00111AE5">
        <w:rPr>
          <w:lang w:val="en-US"/>
        </w:rPr>
        <w:t>. 2841, 2853</w:t>
      </w:r>
      <w:r>
        <w:rPr>
          <w:lang w:val="en-US"/>
        </w:rPr>
        <w:t xml:space="preserve"> = 111 L. Ed. </w:t>
      </w:r>
      <w:r w:rsidRPr="00111AE5">
        <w:rPr>
          <w:lang w:val="en-US"/>
        </w:rPr>
        <w:t>2d 224, 244</w:t>
      </w:r>
      <w:r>
        <w:rPr>
          <w:lang w:val="en-US"/>
        </w:rPr>
        <w:t xml:space="preserve"> = 1990 U.S. LEXIS </w:t>
      </w:r>
      <w:r w:rsidRPr="00111AE5">
        <w:rPr>
          <w:lang w:val="en-US"/>
        </w:rPr>
        <w:t>3301, 37</w:t>
      </w:r>
      <w:r>
        <w:rPr>
          <w:lang w:val="en-US"/>
        </w:rPr>
        <w:t xml:space="preserve"> = 58 U.S.L.W. </w:t>
      </w:r>
      <w:r w:rsidRPr="00111AE5">
        <w:rPr>
          <w:lang w:val="en-US"/>
        </w:rPr>
        <w:t>4916 (1990)</w:t>
      </w:r>
      <w:r>
        <w:rPr>
          <w:lang w:val="en-US"/>
        </w:rPr>
        <w:t>.</w:t>
      </w:r>
    </w:p>
  </w:footnote>
  <w:footnote w:id="1864">
    <w:p w14:paraId="37BCCD85" w14:textId="77777777" w:rsidR="00074551" w:rsidRPr="00111AE5" w:rsidRDefault="00074551" w:rsidP="00074551">
      <w:pPr>
        <w:pStyle w:val="Funotentext"/>
        <w:rPr>
          <w:lang w:val="en-US"/>
        </w:rPr>
      </w:pPr>
      <w:r>
        <w:rPr>
          <w:rStyle w:val="Funotenzeichen"/>
          <w:rFonts w:eastAsiaTheme="majorEastAsia"/>
        </w:rPr>
        <w:footnoteRef/>
      </w:r>
      <w:r w:rsidRPr="00111AE5">
        <w:rPr>
          <w:lang w:val="en-US"/>
        </w:rPr>
        <w:t xml:space="preserve"> </w:t>
      </w:r>
      <w:r w:rsidRPr="00B45592">
        <w:rPr>
          <w:i/>
          <w:lang w:val="en-US"/>
        </w:rPr>
        <w:t>Corbett v. D’Alessandro</w:t>
      </w:r>
      <w:r w:rsidRPr="00111AE5">
        <w:rPr>
          <w:lang w:val="en-US"/>
        </w:rPr>
        <w:t>, 487 So. 2d at 371</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111AE5">
        <w:rPr>
          <w:lang w:val="en-US"/>
        </w:rPr>
        <w:t>, 497 U.S. 261, 355</w:t>
      </w:r>
      <w:r>
        <w:rPr>
          <w:lang w:val="en-US"/>
        </w:rPr>
        <w:t xml:space="preserve"> = 110 S. Ct</w:t>
      </w:r>
      <w:r w:rsidRPr="00111AE5">
        <w:rPr>
          <w:lang w:val="en-US"/>
        </w:rPr>
        <w:t>. 2841, 2891</w:t>
      </w:r>
      <w:r>
        <w:rPr>
          <w:lang w:val="en-US"/>
        </w:rPr>
        <w:t xml:space="preserve"> = 111 L. Ed. </w:t>
      </w:r>
      <w:r w:rsidRPr="00111AE5">
        <w:rPr>
          <w:lang w:val="en-US"/>
        </w:rPr>
        <w:t>2d 224, 290</w:t>
      </w:r>
      <w:r>
        <w:rPr>
          <w:lang w:val="en-US"/>
        </w:rPr>
        <w:t xml:space="preserve"> = 1990 U.S. LEXIS </w:t>
      </w:r>
      <w:r w:rsidRPr="00111AE5">
        <w:rPr>
          <w:lang w:val="en-US"/>
        </w:rPr>
        <w:t>3301, 162</w:t>
      </w:r>
      <w:r>
        <w:rPr>
          <w:lang w:val="en-US"/>
        </w:rPr>
        <w:t xml:space="preserve"> = 58 U.S.L.W. </w:t>
      </w:r>
      <w:r w:rsidRPr="00111AE5">
        <w:rPr>
          <w:lang w:val="en-US"/>
        </w:rPr>
        <w:t>4916 (1990)</w:t>
      </w:r>
      <w:r>
        <w:rPr>
          <w:lang w:val="en-US"/>
        </w:rPr>
        <w:t>.</w:t>
      </w:r>
    </w:p>
  </w:footnote>
  <w:footnote w:id="1865">
    <w:p w14:paraId="612537B6" w14:textId="77777777" w:rsidR="00074551" w:rsidRPr="004F22A9" w:rsidRDefault="00074551" w:rsidP="00074551">
      <w:pPr>
        <w:pStyle w:val="Funotentext"/>
        <w:rPr>
          <w:lang w:val="en-US"/>
        </w:rPr>
      </w:pPr>
      <w:r>
        <w:rPr>
          <w:rStyle w:val="Funotenzeichen"/>
          <w:rFonts w:eastAsiaTheme="majorEastAsia"/>
        </w:rPr>
        <w:footnoteRef/>
      </w:r>
      <w:r w:rsidRPr="003A1848">
        <w:rPr>
          <w:lang w:val="en-US"/>
        </w:rPr>
        <w:t xml:space="preserve"> </w:t>
      </w:r>
      <w:r w:rsidRPr="00B45592">
        <w:rPr>
          <w:i/>
          <w:lang w:val="en-US"/>
        </w:rPr>
        <w:t>Corbett v. D’Alessandro</w:t>
      </w:r>
      <w:r w:rsidRPr="003A1848">
        <w:rPr>
          <w:lang w:val="en-US"/>
        </w:rPr>
        <w:t>, 487 So. 2d 371</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3A1848">
        <w:rPr>
          <w:lang w:val="en-US"/>
        </w:rPr>
        <w:t>, 497 U.S. 261, 355</w:t>
      </w:r>
      <w:r>
        <w:rPr>
          <w:lang w:val="en-US"/>
        </w:rPr>
        <w:t xml:space="preserve"> = 110 S. Ct</w:t>
      </w:r>
      <w:r w:rsidRPr="003A1848">
        <w:rPr>
          <w:lang w:val="en-US"/>
        </w:rPr>
        <w:t>. 2841, 2891</w:t>
      </w:r>
      <w:r>
        <w:rPr>
          <w:lang w:val="en-US"/>
        </w:rPr>
        <w:t xml:space="preserve"> = 111 L. Ed. </w:t>
      </w:r>
      <w:r w:rsidRPr="003A1848">
        <w:rPr>
          <w:lang w:val="en-US"/>
        </w:rPr>
        <w:t>2d 224, 290</w:t>
      </w:r>
      <w:r>
        <w:rPr>
          <w:lang w:val="en-US"/>
        </w:rPr>
        <w:t xml:space="preserve"> = 1990 U.S. LEXIS </w:t>
      </w:r>
      <w:r w:rsidRPr="003A1848">
        <w:rPr>
          <w:lang w:val="en-US"/>
        </w:rPr>
        <w:t>3301, 162</w:t>
      </w:r>
      <w:r>
        <w:rPr>
          <w:lang w:val="en-US"/>
        </w:rPr>
        <w:t xml:space="preserve"> = 58 U.S.L.W. </w:t>
      </w:r>
      <w:r w:rsidRPr="003A1848">
        <w:rPr>
          <w:lang w:val="en-US"/>
        </w:rPr>
        <w:t>4916 (1990)</w:t>
      </w:r>
      <w:r>
        <w:rPr>
          <w:lang w:val="en-US"/>
        </w:rPr>
        <w:t>.</w:t>
      </w:r>
    </w:p>
  </w:footnote>
  <w:footnote w:id="1866">
    <w:p w14:paraId="6BD73D7F" w14:textId="77777777" w:rsidR="00074551" w:rsidRPr="00763F03" w:rsidRDefault="00074551" w:rsidP="00074551">
      <w:pPr>
        <w:pStyle w:val="Funotentext"/>
        <w:rPr>
          <w:lang w:val="en-US"/>
        </w:rPr>
      </w:pPr>
      <w:r>
        <w:rPr>
          <w:rStyle w:val="Funotenzeichen"/>
          <w:rFonts w:eastAsiaTheme="majorEastAsia"/>
        </w:rPr>
        <w:footnoteRef/>
      </w:r>
      <w:r w:rsidRPr="00763F03">
        <w:rPr>
          <w:lang w:val="en-US"/>
        </w:rPr>
        <w:t xml:space="preserve"> </w:t>
      </w:r>
      <w:r w:rsidRPr="00B45592">
        <w:rPr>
          <w:i/>
          <w:lang w:val="en-US"/>
        </w:rPr>
        <w:t>Thornburgh v. American College of Obstetricians and Gynecologists</w:t>
      </w:r>
      <w:r w:rsidRPr="00763F03">
        <w:rPr>
          <w:lang w:val="en-US"/>
        </w:rPr>
        <w:t>, 476 U.S.</w:t>
      </w:r>
      <w:r>
        <w:rPr>
          <w:lang w:val="en-US"/>
        </w:rPr>
        <w:t xml:space="preserve"> 747,</w:t>
      </w:r>
      <w:r w:rsidRPr="00763F03">
        <w:rPr>
          <w:lang w:val="en-US"/>
        </w:rPr>
        <w:t xml:space="preserve"> 781</w:t>
      </w:r>
      <w:r>
        <w:rPr>
          <w:lang w:val="en-US"/>
        </w:rPr>
        <w:t>–</w:t>
      </w:r>
      <w:r w:rsidRPr="00763F03">
        <w:rPr>
          <w:lang w:val="en-US"/>
        </w:rPr>
        <w:t>782 (</w:t>
      </w:r>
      <w:r w:rsidRPr="00B45592">
        <w:rPr>
          <w:i/>
          <w:lang w:val="en-US"/>
        </w:rPr>
        <w:t>concurring opinion</w:t>
      </w:r>
      <w:r>
        <w:rPr>
          <w:lang w:val="en-US"/>
        </w:rPr>
        <w:t xml:space="preserve"> von Richter </w:t>
      </w:r>
      <w:r w:rsidRPr="00B45592">
        <w:rPr>
          <w:i/>
          <w:lang w:val="en-US"/>
        </w:rPr>
        <w:t>Stevens</w:t>
      </w:r>
      <w:r w:rsidRPr="00763F03">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763F03">
        <w:rPr>
          <w:lang w:val="en-US"/>
        </w:rPr>
        <w:t>, 497 U.S. 261, 356</w:t>
      </w:r>
      <w:r>
        <w:rPr>
          <w:lang w:val="en-US"/>
        </w:rPr>
        <w:t xml:space="preserve"> = 110 S. Ct</w:t>
      </w:r>
      <w:r w:rsidRPr="00763F03">
        <w:rPr>
          <w:lang w:val="en-US"/>
        </w:rPr>
        <w:t>. 2841, 2892</w:t>
      </w:r>
      <w:r>
        <w:rPr>
          <w:lang w:val="en-US"/>
        </w:rPr>
        <w:t xml:space="preserve"> = 111 L. Ed. </w:t>
      </w:r>
      <w:r w:rsidRPr="00763F03">
        <w:rPr>
          <w:lang w:val="en-US"/>
        </w:rPr>
        <w:t>2d 224, 290</w:t>
      </w:r>
      <w:r>
        <w:rPr>
          <w:lang w:val="en-US"/>
        </w:rPr>
        <w:t xml:space="preserve"> = 1990 U.S. LEXIS </w:t>
      </w:r>
      <w:r w:rsidRPr="00763F03">
        <w:rPr>
          <w:lang w:val="en-US"/>
        </w:rPr>
        <w:t>3301, 162</w:t>
      </w:r>
      <w:r>
        <w:rPr>
          <w:lang w:val="en-US"/>
        </w:rPr>
        <w:t xml:space="preserve"> = 58 U.S.L.W. </w:t>
      </w:r>
      <w:r w:rsidRPr="00763F03">
        <w:rPr>
          <w:lang w:val="en-US"/>
        </w:rPr>
        <w:t>4916 (1990)</w:t>
      </w:r>
      <w:r>
        <w:rPr>
          <w:lang w:val="en-US"/>
        </w:rPr>
        <w:t>.</w:t>
      </w:r>
    </w:p>
  </w:footnote>
  <w:footnote w:id="1867">
    <w:p w14:paraId="3B5F1F0F" w14:textId="77777777" w:rsidR="00074551" w:rsidRPr="00763F03" w:rsidRDefault="00074551" w:rsidP="00074551">
      <w:pPr>
        <w:pStyle w:val="Funotentext"/>
        <w:rPr>
          <w:lang w:val="en-US"/>
        </w:rPr>
      </w:pPr>
      <w:r>
        <w:rPr>
          <w:rStyle w:val="Funotenzeichen"/>
          <w:rFonts w:eastAsiaTheme="majorEastAsia"/>
        </w:rPr>
        <w:footnoteRef/>
      </w:r>
      <w:r w:rsidRPr="00763F03">
        <w:rPr>
          <w:lang w:val="en-US"/>
        </w:rPr>
        <w:t xml:space="preserve"> </w:t>
      </w:r>
      <w:r w:rsidRPr="00B45592">
        <w:rPr>
          <w:i/>
          <w:lang w:val="en-US"/>
        </w:rPr>
        <w:t>Thornburgh v. American College of Obstetricians and Gynecologists</w:t>
      </w:r>
      <w:r w:rsidRPr="00763F03">
        <w:rPr>
          <w:lang w:val="en-US"/>
        </w:rPr>
        <w:t>, 476 U.S.</w:t>
      </w:r>
      <w:r>
        <w:rPr>
          <w:lang w:val="en-US"/>
        </w:rPr>
        <w:t xml:space="preserve"> 747,</w:t>
      </w:r>
      <w:r w:rsidRPr="00763F03">
        <w:rPr>
          <w:lang w:val="en-US"/>
        </w:rPr>
        <w:t xml:space="preserve"> 781</w:t>
      </w:r>
      <w:r>
        <w:rPr>
          <w:lang w:val="en-US"/>
        </w:rPr>
        <w:t>–</w:t>
      </w:r>
      <w:r w:rsidRPr="00763F03">
        <w:rPr>
          <w:lang w:val="en-US"/>
        </w:rPr>
        <w:t>782 (</w:t>
      </w:r>
      <w:r w:rsidRPr="00744667">
        <w:rPr>
          <w:i/>
          <w:lang w:val="en-US"/>
        </w:rPr>
        <w:t>concurring opinion</w:t>
      </w:r>
      <w:r>
        <w:rPr>
          <w:lang w:val="en-US"/>
        </w:rPr>
        <w:t xml:space="preserve"> von Richter </w:t>
      </w:r>
      <w:r w:rsidRPr="00B45592">
        <w:rPr>
          <w:i/>
          <w:lang w:val="en-US"/>
        </w:rPr>
        <w:t>Stevens</w:t>
      </w:r>
      <w:r w:rsidRPr="00763F03">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763F03">
        <w:rPr>
          <w:lang w:val="en-US"/>
        </w:rPr>
        <w:t>, 497 U.S. 261, 356</w:t>
      </w:r>
      <w:r>
        <w:rPr>
          <w:lang w:val="en-US"/>
        </w:rPr>
        <w:t xml:space="preserve"> = 110 S. Ct</w:t>
      </w:r>
      <w:r w:rsidRPr="00763F03">
        <w:rPr>
          <w:lang w:val="en-US"/>
        </w:rPr>
        <w:t>. 2841, 2892</w:t>
      </w:r>
      <w:r>
        <w:rPr>
          <w:lang w:val="en-US"/>
        </w:rPr>
        <w:t xml:space="preserve"> = 111 L. Ed. </w:t>
      </w:r>
      <w:r w:rsidRPr="00763F03">
        <w:rPr>
          <w:lang w:val="en-US"/>
        </w:rPr>
        <w:t>2d 224, 290</w:t>
      </w:r>
      <w:r>
        <w:rPr>
          <w:lang w:val="en-US"/>
        </w:rPr>
        <w:t xml:space="preserve"> = 1990 U.S. LEXIS </w:t>
      </w:r>
      <w:r w:rsidRPr="00763F03">
        <w:rPr>
          <w:lang w:val="en-US"/>
        </w:rPr>
        <w:t>3301, 162</w:t>
      </w:r>
      <w:r>
        <w:rPr>
          <w:lang w:val="en-US"/>
        </w:rPr>
        <w:t xml:space="preserve"> = 58 U.S.L.W. </w:t>
      </w:r>
      <w:r w:rsidRPr="00763F03">
        <w:rPr>
          <w:lang w:val="en-US"/>
        </w:rPr>
        <w:t>4916 (1990)</w:t>
      </w:r>
      <w:r>
        <w:rPr>
          <w:lang w:val="en-US"/>
        </w:rPr>
        <w:t>.</w:t>
      </w:r>
    </w:p>
  </w:footnote>
  <w:footnote w:id="1868">
    <w:p w14:paraId="4B3747E8" w14:textId="77777777" w:rsidR="00074551" w:rsidRPr="003A1848" w:rsidRDefault="00074551" w:rsidP="00074551">
      <w:pPr>
        <w:pStyle w:val="Funotentext"/>
        <w:rPr>
          <w:lang w:val="en-US"/>
        </w:rPr>
      </w:pPr>
      <w:r>
        <w:rPr>
          <w:rStyle w:val="Funotenzeichen"/>
          <w:rFonts w:eastAsiaTheme="majorEastAsia"/>
        </w:rPr>
        <w:footnoteRef/>
      </w:r>
      <w:r w:rsidRPr="003A1848">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3A1848">
        <w:rPr>
          <w:lang w:val="en-US"/>
        </w:rPr>
        <w:t>, 497 U.S. 261, 330</w:t>
      </w:r>
      <w:r>
        <w:rPr>
          <w:lang w:val="en-US"/>
        </w:rPr>
        <w:t xml:space="preserve"> = 110 S. Ct</w:t>
      </w:r>
      <w:r w:rsidRPr="003A1848">
        <w:rPr>
          <w:lang w:val="en-US"/>
        </w:rPr>
        <w:t>. 2841, 2878</w:t>
      </w:r>
      <w:r>
        <w:rPr>
          <w:lang w:val="en-US"/>
        </w:rPr>
        <w:t xml:space="preserve"> = 111 L. Ed. </w:t>
      </w:r>
      <w:r w:rsidRPr="003A1848">
        <w:rPr>
          <w:lang w:val="en-US"/>
        </w:rPr>
        <w:t>2d 224, 275</w:t>
      </w:r>
      <w:r>
        <w:rPr>
          <w:lang w:val="en-US"/>
        </w:rPr>
        <w:t xml:space="preserve"> = 1990 U.S. LEXIS </w:t>
      </w:r>
      <w:r w:rsidRPr="003A1848">
        <w:rPr>
          <w:lang w:val="en-US"/>
        </w:rPr>
        <w:t>3301, 122</w:t>
      </w:r>
      <w:r>
        <w:rPr>
          <w:lang w:val="en-US"/>
        </w:rPr>
        <w:t xml:space="preserve"> = 58 U.S.L.W. </w:t>
      </w:r>
      <w:r w:rsidRPr="003A1848">
        <w:rPr>
          <w:lang w:val="en-US"/>
        </w:rPr>
        <w:t>4916 (1990)</w:t>
      </w:r>
      <w:r>
        <w:rPr>
          <w:lang w:val="en-US"/>
        </w:rPr>
        <w:t>.</w:t>
      </w:r>
    </w:p>
  </w:footnote>
  <w:footnote w:id="1869">
    <w:p w14:paraId="22CE77BC" w14:textId="77777777" w:rsidR="00074551" w:rsidRPr="003A1848" w:rsidRDefault="00074551" w:rsidP="00074551">
      <w:pPr>
        <w:pStyle w:val="Funotentext"/>
        <w:rPr>
          <w:lang w:val="en-US"/>
        </w:rPr>
      </w:pPr>
      <w:r>
        <w:rPr>
          <w:rStyle w:val="Funotenzeichen"/>
          <w:rFonts w:eastAsiaTheme="majorEastAsia"/>
        </w:rPr>
        <w:footnoteRef/>
      </w:r>
      <w:r w:rsidRPr="003A1848">
        <w:rPr>
          <w:lang w:val="en-US"/>
        </w:rPr>
        <w:t xml:space="preserve"> </w:t>
      </w:r>
      <w:r w:rsidRPr="009E57E1">
        <w:rPr>
          <w:i/>
          <w:lang w:val="en-IE"/>
        </w:rPr>
        <w:t>Meyer v. Nebraska</w:t>
      </w:r>
      <w:r w:rsidRPr="00B45592">
        <w:rPr>
          <w:lang w:val="en-IE"/>
        </w:rPr>
        <w:t>, 262 U.S. 390,</w:t>
      </w:r>
      <w:r w:rsidRPr="00B45592">
        <w:rPr>
          <w:b/>
          <w:bCs/>
          <w:lang w:val="en-IE"/>
        </w:rPr>
        <w:t xml:space="preserve"> </w:t>
      </w:r>
      <w:r w:rsidRPr="003A1848">
        <w:rPr>
          <w:lang w:val="en-US"/>
        </w:rPr>
        <w:t>401</w:t>
      </w:r>
      <w:r>
        <w:rPr>
          <w:lang w:val="en-US"/>
        </w:rPr>
        <w:t>–</w:t>
      </w:r>
      <w:r w:rsidRPr="003A1848">
        <w:rPr>
          <w:lang w:val="en-US"/>
        </w:rPr>
        <w:t>402</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3A1848">
        <w:rPr>
          <w:lang w:val="en-US"/>
        </w:rPr>
        <w:t>, 497 U.S. 261, 356</w:t>
      </w:r>
      <w:r>
        <w:rPr>
          <w:lang w:val="en-US"/>
        </w:rPr>
        <w:t xml:space="preserve"> = 110 S. Ct</w:t>
      </w:r>
      <w:r w:rsidRPr="003A1848">
        <w:rPr>
          <w:lang w:val="en-US"/>
        </w:rPr>
        <w:t>. 2841, 2892</w:t>
      </w:r>
      <w:r>
        <w:rPr>
          <w:lang w:val="en-US"/>
        </w:rPr>
        <w:t xml:space="preserve"> = 111 L. Ed. </w:t>
      </w:r>
      <w:r w:rsidRPr="003A1848">
        <w:rPr>
          <w:lang w:val="en-US"/>
        </w:rPr>
        <w:t>2d 224, 290</w:t>
      </w:r>
      <w:r>
        <w:rPr>
          <w:lang w:val="en-US"/>
        </w:rPr>
        <w:t xml:space="preserve"> = 1990 U.S. LEXIS </w:t>
      </w:r>
      <w:r w:rsidRPr="003A1848">
        <w:rPr>
          <w:lang w:val="en-US"/>
        </w:rPr>
        <w:t>3301, 162</w:t>
      </w:r>
      <w:r>
        <w:rPr>
          <w:lang w:val="en-US"/>
        </w:rPr>
        <w:t xml:space="preserve"> = 58 U.S.L.W. </w:t>
      </w:r>
      <w:r w:rsidRPr="003A1848">
        <w:rPr>
          <w:lang w:val="en-US"/>
        </w:rPr>
        <w:t>4916 (1990)</w:t>
      </w:r>
      <w:r>
        <w:rPr>
          <w:lang w:val="en-US"/>
        </w:rPr>
        <w:t>.</w:t>
      </w:r>
    </w:p>
  </w:footnote>
  <w:footnote w:id="1870">
    <w:p w14:paraId="65D422B7" w14:textId="77777777" w:rsidR="00074551" w:rsidRPr="009F58DF" w:rsidRDefault="00074551" w:rsidP="00074551">
      <w:pPr>
        <w:pStyle w:val="Funotentext"/>
        <w:rPr>
          <w:lang w:val="en-US"/>
        </w:rPr>
      </w:pPr>
      <w:r>
        <w:rPr>
          <w:rStyle w:val="Funotenzeichen"/>
          <w:rFonts w:eastAsiaTheme="majorEastAsia"/>
        </w:rPr>
        <w:footnoteRef/>
      </w:r>
      <w:r w:rsidRPr="009F58DF">
        <w:rPr>
          <w:lang w:val="en-US"/>
        </w:rPr>
        <w:t xml:space="preserve"> </w:t>
      </w:r>
      <w:r w:rsidRPr="00B45592">
        <w:rPr>
          <w:i/>
          <w:lang w:val="en-US"/>
        </w:rPr>
        <w:t>United States v. Congress of Industrial Organizations</w:t>
      </w:r>
      <w:r w:rsidRPr="009F58DF">
        <w:rPr>
          <w:lang w:val="en-US"/>
        </w:rPr>
        <w:t>, 335 U.S. 106, 120</w:t>
      </w:r>
      <w:r>
        <w:rPr>
          <w:lang w:val="en-US"/>
        </w:rPr>
        <w:t>–</w:t>
      </w:r>
      <w:r w:rsidRPr="009F58DF">
        <w:rPr>
          <w:lang w:val="en-US"/>
        </w:rPr>
        <w:t>121 (1948);</w:t>
      </w:r>
      <w:r>
        <w:rPr>
          <w:lang w:val="en-US"/>
        </w:rPr>
        <w:t xml:space="preserve"> </w:t>
      </w:r>
      <w:r w:rsidRPr="00B45592">
        <w:rPr>
          <w:i/>
          <w:lang w:val="en-US"/>
        </w:rPr>
        <w:t>United States v. Delaware &amp; Hudson Co.</w:t>
      </w:r>
      <w:r w:rsidRPr="009F58DF">
        <w:rPr>
          <w:lang w:val="en-US"/>
        </w:rPr>
        <w:t>, 213 U.S. 366, 407</w:t>
      </w:r>
      <w:r>
        <w:rPr>
          <w:lang w:val="en-US"/>
        </w:rPr>
        <w:t>–</w:t>
      </w:r>
      <w:r w:rsidRPr="009F58DF">
        <w:rPr>
          <w:lang w:val="en-US"/>
        </w:rPr>
        <w:t xml:space="preserve">408 (1909);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9F58DF">
        <w:rPr>
          <w:lang w:val="en-US"/>
        </w:rPr>
        <w:t>, 339 U.S. 382, 407</w:t>
      </w:r>
      <w:r>
        <w:rPr>
          <w:lang w:val="en-US"/>
        </w:rPr>
        <w:t xml:space="preserve"> = 70 S. Ct. </w:t>
      </w:r>
      <w:r w:rsidRPr="009F58DF">
        <w:rPr>
          <w:lang w:val="en-US"/>
        </w:rPr>
        <w:t>674, 688</w:t>
      </w:r>
      <w:r>
        <w:rPr>
          <w:lang w:val="en-US"/>
        </w:rPr>
        <w:t xml:space="preserve"> = 94 L. Ed. </w:t>
      </w:r>
      <w:r w:rsidRPr="009F58DF">
        <w:rPr>
          <w:lang w:val="en-US"/>
        </w:rPr>
        <w:t>925, 948</w:t>
      </w:r>
      <w:r>
        <w:rPr>
          <w:lang w:val="en-US"/>
        </w:rPr>
        <w:t xml:space="preserve"> = 1950 U.S. LEXIS </w:t>
      </w:r>
      <w:r w:rsidRPr="009F58DF">
        <w:rPr>
          <w:lang w:val="en-US"/>
        </w:rPr>
        <w:t>2530, 46</w:t>
      </w:r>
      <w:r>
        <w:rPr>
          <w:lang w:val="en-US"/>
        </w:rPr>
        <w:t xml:space="preserve"> = 18 Lab. Cas.</w:t>
      </w:r>
      <w:r w:rsidRPr="009F58DF">
        <w:rPr>
          <w:lang w:val="en-US"/>
        </w:rPr>
        <w:t xml:space="preserve"> (CCH) P65,760</w:t>
      </w:r>
      <w:r>
        <w:rPr>
          <w:lang w:val="en-US"/>
        </w:rPr>
        <w:t xml:space="preserve"> = 26 L.R.R.M. 2084 </w:t>
      </w:r>
      <w:r w:rsidRPr="009F58DF">
        <w:rPr>
          <w:lang w:val="en-US"/>
        </w:rPr>
        <w:t>(1950).</w:t>
      </w:r>
    </w:p>
  </w:footnote>
  <w:footnote w:id="1871">
    <w:p w14:paraId="1644A1E5" w14:textId="77777777" w:rsidR="00074551" w:rsidRPr="009A6F13" w:rsidRDefault="00074551" w:rsidP="00074551">
      <w:pPr>
        <w:pStyle w:val="Funotentext"/>
        <w:rPr>
          <w:lang w:val="en-US"/>
        </w:rPr>
      </w:pPr>
      <w:r>
        <w:rPr>
          <w:rStyle w:val="Funotenzeichen"/>
        </w:rPr>
        <w:footnoteRef/>
      </w:r>
      <w:r w:rsidRPr="00765874">
        <w:rPr>
          <w:lang w:val="en-US"/>
        </w:rPr>
        <w:t xml:space="preserve"> </w:t>
      </w:r>
      <w:r>
        <w:rPr>
          <w:lang w:val="en-US"/>
        </w:rPr>
        <w:t>„</w:t>
      </w:r>
      <w:r w:rsidRPr="00765874">
        <w:rPr>
          <w:lang w:val="en-US"/>
        </w:rPr>
        <w:t xml:space="preserve">(h) No investigation shall be made by the Board of any question affecting commerce concerning the representation of employees, raised by a labor organization under subsection (c) of this section, and no complaint shall be issued pursuant to a charge made by a labor organization under subsection (b) of section 10, unless there is on file with the Board an affidavit executed contemporaneously or within the preceding twelve-month period by each officer of such labor organization and the officers of any national or international labor organization of which it is an affiliate or constituent unit that he is not a member of the Communist Party or affiliated with such party, and that he does not believe in, and is not a member of or supports any organization that believes in or teaches, the overthrow of the United States Government by force or by any illegal or unconstitutional methods. The provisions of section 35A of the Criminal Code shall be applicable in respect to such </w:t>
      </w:r>
      <w:proofErr w:type="gramStart"/>
      <w:r w:rsidRPr="00765874">
        <w:rPr>
          <w:lang w:val="en-US"/>
        </w:rPr>
        <w:t>affidavits.</w:t>
      </w:r>
      <w:r>
        <w:rPr>
          <w:lang w:val="en-US"/>
        </w:rPr>
        <w:t>“</w:t>
      </w:r>
      <w:proofErr w:type="gramEnd"/>
      <w:r>
        <w:rPr>
          <w:lang w:val="en-US"/>
        </w:rPr>
        <w:t>,</w:t>
      </w:r>
      <w:r w:rsidRPr="00765874">
        <w:rPr>
          <w:lang w:val="en-US"/>
        </w:rPr>
        <w:t xml:space="preserve"> </w:t>
      </w:r>
      <w:r>
        <w:rPr>
          <w:lang w:val="en-US"/>
        </w:rPr>
        <w:t>i</w:t>
      </w:r>
      <w:r w:rsidRPr="009A6F13">
        <w:rPr>
          <w:lang w:val="en-US"/>
        </w:rPr>
        <w:t xml:space="preserve">n 29 USCS </w:t>
      </w:r>
      <w:r>
        <w:rPr>
          <w:lang w:val="en-US"/>
        </w:rPr>
        <w:t>§ </w:t>
      </w:r>
      <w:r w:rsidRPr="009A6F13">
        <w:rPr>
          <w:lang w:val="en-US"/>
        </w:rPr>
        <w:t>159.</w:t>
      </w:r>
    </w:p>
  </w:footnote>
  <w:footnote w:id="1872">
    <w:p w14:paraId="620398BE" w14:textId="7DF6E7D0" w:rsidR="00074551" w:rsidRPr="00BD64E2" w:rsidRDefault="00074551" w:rsidP="00074551">
      <w:pPr>
        <w:pStyle w:val="Funotentext"/>
        <w:rPr>
          <w:lang w:val="en-US"/>
        </w:rPr>
      </w:pPr>
      <w:r>
        <w:rPr>
          <w:rStyle w:val="Funotenzeichen"/>
          <w:rFonts w:eastAsiaTheme="majorEastAsia"/>
        </w:rPr>
        <w:footnoteRef/>
      </w:r>
      <w:r w:rsidRPr="00BD64E2">
        <w:rPr>
          <w:lang w:val="en-US"/>
        </w:rPr>
        <w:t xml:space="preserve"> </w:t>
      </w:r>
      <w:r w:rsidRPr="00E85025">
        <w:rPr>
          <w:i/>
          <w:lang w:val="en-IE"/>
        </w:rPr>
        <w:t xml:space="preserve">American Communications </w:t>
      </w:r>
      <w:proofErr w:type="spellStart"/>
      <w:r w:rsidRPr="00E85025">
        <w:rPr>
          <w:i/>
          <w:lang w:val="en-IE"/>
        </w:rPr>
        <w:t>Ass’n</w:t>
      </w:r>
      <w:proofErr w:type="spellEnd"/>
      <w:r w:rsidRPr="00E85025">
        <w:rPr>
          <w:i/>
          <w:lang w:val="en-IE"/>
        </w:rPr>
        <w:t xml:space="preserve"> v. Douds</w:t>
      </w:r>
      <w:r w:rsidRPr="00E85025">
        <w:rPr>
          <w:lang w:val="en-IE"/>
        </w:rPr>
        <w:t>, 339 U.S. 382, 386</w:t>
      </w:r>
      <w:r>
        <w:rPr>
          <w:lang w:val="en-IE"/>
        </w:rPr>
        <w:t xml:space="preserve"> =</w:t>
      </w:r>
      <w:r w:rsidRPr="00E85025">
        <w:rPr>
          <w:lang w:val="en-IE"/>
        </w:rPr>
        <w:t xml:space="preserve"> 70 S. Ct. 674, 677</w:t>
      </w:r>
      <w:r>
        <w:rPr>
          <w:lang w:val="en-IE"/>
        </w:rPr>
        <w:t xml:space="preserve"> =</w:t>
      </w:r>
      <w:r w:rsidRPr="00E85025">
        <w:rPr>
          <w:lang w:val="en-IE"/>
        </w:rPr>
        <w:t xml:space="preserve"> 94 L. Ed. 925, 937</w:t>
      </w:r>
      <w:r>
        <w:rPr>
          <w:lang w:val="en-IE"/>
        </w:rPr>
        <w:t xml:space="preserve"> =</w:t>
      </w:r>
      <w:r w:rsidRPr="00E85025">
        <w:rPr>
          <w:lang w:val="en-IE"/>
        </w:rPr>
        <w:t xml:space="preserve"> 1950 U.S. LEXIS 2530, 7</w:t>
      </w:r>
      <w:r>
        <w:rPr>
          <w:lang w:val="en-IE"/>
        </w:rPr>
        <w:t xml:space="preserve"> =</w:t>
      </w:r>
      <w:r w:rsidRPr="00E85025">
        <w:rPr>
          <w:lang w:val="en-IE"/>
        </w:rPr>
        <w:t xml:space="preserve"> 18 Lab. Cas. (CCH) P65,760</w:t>
      </w:r>
      <w:r>
        <w:rPr>
          <w:lang w:val="en-IE"/>
        </w:rPr>
        <w:t xml:space="preserve"> =</w:t>
      </w:r>
      <w:r w:rsidRPr="00E85025">
        <w:rPr>
          <w:lang w:val="en-IE"/>
        </w:rPr>
        <w:t xml:space="preserve"> 26 L.R.R.M. 2084 (1950).</w:t>
      </w:r>
    </w:p>
  </w:footnote>
  <w:footnote w:id="1873">
    <w:p w14:paraId="3F07A6F6" w14:textId="77777777" w:rsidR="00074551" w:rsidRPr="009D420A" w:rsidRDefault="00074551" w:rsidP="00074551">
      <w:pPr>
        <w:pStyle w:val="Funotentext"/>
        <w:ind w:left="227" w:hanging="227"/>
        <w:rPr>
          <w:lang w:val="en-US"/>
        </w:rPr>
      </w:pPr>
      <w:r>
        <w:rPr>
          <w:rStyle w:val="Funotenzeichen"/>
          <w:rFonts w:eastAsiaTheme="majorEastAsia"/>
        </w:rPr>
        <w:footnoteRef/>
      </w:r>
      <w:r w:rsidRPr="009A6F13">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9A6F13">
        <w:rPr>
          <w:lang w:val="en-US"/>
        </w:rPr>
        <w:t>, 339 U.S. 382, 440</w:t>
      </w:r>
      <w:r>
        <w:rPr>
          <w:lang w:val="en-US"/>
        </w:rPr>
        <w:t xml:space="preserve"> = 70 S. Ct. </w:t>
      </w:r>
      <w:r w:rsidRPr="009A6F13">
        <w:rPr>
          <w:lang w:val="en-US"/>
        </w:rPr>
        <w:t>674, 704</w:t>
      </w:r>
      <w:r>
        <w:rPr>
          <w:lang w:val="en-US"/>
        </w:rPr>
        <w:t xml:space="preserve"> = 94 L. Ed. </w:t>
      </w:r>
      <w:r w:rsidRPr="009A6F13">
        <w:rPr>
          <w:lang w:val="en-US"/>
        </w:rPr>
        <w:t>925, 965</w:t>
      </w:r>
      <w:r>
        <w:rPr>
          <w:lang w:val="en-US"/>
        </w:rPr>
        <w:t xml:space="preserve"> = 1950 U.S. LEXIS </w:t>
      </w:r>
      <w:r w:rsidRPr="009A6F13">
        <w:rPr>
          <w:lang w:val="en-US"/>
        </w:rPr>
        <w:t>2530, 99</w:t>
      </w:r>
      <w:r>
        <w:rPr>
          <w:lang w:val="en-US"/>
        </w:rPr>
        <w:t xml:space="preserve"> = 18 Lab. Cas.</w:t>
      </w:r>
      <w:r w:rsidRPr="009A6F13">
        <w:rPr>
          <w:lang w:val="en-US"/>
        </w:rPr>
        <w:t xml:space="preserve"> </w:t>
      </w:r>
      <w:r w:rsidRPr="009D420A">
        <w:rPr>
          <w:lang w:val="en-US"/>
        </w:rPr>
        <w:t>(CCH) P65,760</w:t>
      </w:r>
      <w:r>
        <w:rPr>
          <w:lang w:val="en-US"/>
        </w:rPr>
        <w:t xml:space="preserve"> = 26 L.R.R.M. 2084 </w:t>
      </w:r>
      <w:r w:rsidRPr="009D420A">
        <w:rPr>
          <w:lang w:val="en-US"/>
        </w:rPr>
        <w:t>(1950).</w:t>
      </w:r>
    </w:p>
  </w:footnote>
  <w:footnote w:id="1874">
    <w:p w14:paraId="239D0176" w14:textId="77777777" w:rsidR="00074551" w:rsidRPr="009D420A" w:rsidRDefault="00074551" w:rsidP="00074551">
      <w:pPr>
        <w:pStyle w:val="Funotentext"/>
        <w:ind w:left="227" w:hanging="227"/>
        <w:rPr>
          <w:lang w:val="en-US"/>
        </w:rPr>
      </w:pPr>
      <w:r>
        <w:rPr>
          <w:rStyle w:val="Funotenzeichen"/>
          <w:rFonts w:eastAsiaTheme="majorEastAsia"/>
        </w:rPr>
        <w:footnoteRef/>
      </w:r>
      <w:r w:rsidRPr="009D420A">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9D420A">
        <w:rPr>
          <w:lang w:val="en-US"/>
        </w:rPr>
        <w:t>, 339 U.S. 382, 440</w:t>
      </w:r>
      <w:r>
        <w:rPr>
          <w:lang w:val="en-US"/>
        </w:rPr>
        <w:t xml:space="preserve"> = 70 S. Ct. </w:t>
      </w:r>
      <w:r w:rsidRPr="009D420A">
        <w:rPr>
          <w:lang w:val="en-US"/>
        </w:rPr>
        <w:t>674, 704</w:t>
      </w:r>
      <w:r>
        <w:rPr>
          <w:lang w:val="en-US"/>
        </w:rPr>
        <w:t xml:space="preserve"> = 94 L. Ed. </w:t>
      </w:r>
      <w:r w:rsidRPr="009D420A">
        <w:rPr>
          <w:lang w:val="en-US"/>
        </w:rPr>
        <w:t>925, 965</w:t>
      </w:r>
      <w:r>
        <w:rPr>
          <w:lang w:val="en-US"/>
        </w:rPr>
        <w:t xml:space="preserve"> = 1950 U.S. LEXIS </w:t>
      </w:r>
      <w:r w:rsidRPr="009D420A">
        <w:rPr>
          <w:lang w:val="en-US"/>
        </w:rPr>
        <w:t>2530, 99</w:t>
      </w:r>
      <w:r>
        <w:rPr>
          <w:lang w:val="en-US"/>
        </w:rPr>
        <w:t xml:space="preserve"> = 18 Lab. Cas.</w:t>
      </w:r>
      <w:r w:rsidRPr="009D420A">
        <w:rPr>
          <w:lang w:val="en-US"/>
        </w:rPr>
        <w:t xml:space="preserve"> (CCH) P65,760</w:t>
      </w:r>
      <w:r>
        <w:rPr>
          <w:lang w:val="en-US"/>
        </w:rPr>
        <w:t xml:space="preserve"> = 26 L.R.R.M. 2084 </w:t>
      </w:r>
      <w:r w:rsidRPr="009D420A">
        <w:rPr>
          <w:lang w:val="en-US"/>
        </w:rPr>
        <w:t>(1950)</w:t>
      </w:r>
      <w:r>
        <w:rPr>
          <w:lang w:val="en-US"/>
        </w:rPr>
        <w:t>.</w:t>
      </w:r>
    </w:p>
  </w:footnote>
  <w:footnote w:id="1875">
    <w:p w14:paraId="594DDA64" w14:textId="77777777" w:rsidR="00074551" w:rsidRPr="0086405D" w:rsidRDefault="00074551" w:rsidP="00074551">
      <w:pPr>
        <w:pStyle w:val="Funotentext"/>
        <w:rPr>
          <w:lang w:val="en-US"/>
        </w:rPr>
      </w:pPr>
      <w:r>
        <w:rPr>
          <w:rStyle w:val="Funotenzeichen"/>
          <w:rFonts w:eastAsiaTheme="majorEastAsia"/>
        </w:rPr>
        <w:footnoteRef/>
      </w:r>
      <w:r w:rsidRPr="001310BB">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1310BB">
        <w:rPr>
          <w:lang w:val="en-US"/>
        </w:rPr>
        <w:t>, 339 U.S. 382, 439</w:t>
      </w:r>
      <w:r>
        <w:rPr>
          <w:lang w:val="en-US"/>
        </w:rPr>
        <w:t xml:space="preserve"> = 70 S. Ct. </w:t>
      </w:r>
      <w:r w:rsidRPr="001310BB">
        <w:rPr>
          <w:lang w:val="en-US"/>
        </w:rPr>
        <w:t>674, 704</w:t>
      </w:r>
      <w:r>
        <w:rPr>
          <w:lang w:val="en-US"/>
        </w:rPr>
        <w:t xml:space="preserve"> = 94 L. Ed. </w:t>
      </w:r>
      <w:r w:rsidRPr="001310BB">
        <w:rPr>
          <w:lang w:val="en-US"/>
        </w:rPr>
        <w:t>925, 965</w:t>
      </w:r>
      <w:r>
        <w:rPr>
          <w:lang w:val="en-US"/>
        </w:rPr>
        <w:t xml:space="preserve"> = 1950 U.S. LEXIS </w:t>
      </w:r>
      <w:r w:rsidRPr="001310BB">
        <w:rPr>
          <w:lang w:val="en-US"/>
        </w:rPr>
        <w:t>2530, 99</w:t>
      </w:r>
      <w:r>
        <w:rPr>
          <w:lang w:val="en-US"/>
        </w:rPr>
        <w:t xml:space="preserve"> = 18 Lab. Cas.</w:t>
      </w:r>
      <w:r w:rsidRPr="001310BB">
        <w:rPr>
          <w:lang w:val="en-US"/>
        </w:rPr>
        <w:t xml:space="preserve"> </w:t>
      </w:r>
      <w:r w:rsidRPr="0086405D">
        <w:rPr>
          <w:lang w:val="en-US"/>
        </w:rPr>
        <w:t>(CCH) P65,760</w:t>
      </w:r>
      <w:r>
        <w:rPr>
          <w:lang w:val="en-US"/>
        </w:rPr>
        <w:t xml:space="preserve"> = 26 L.R.R.M. 2084 </w:t>
      </w:r>
      <w:r w:rsidRPr="0086405D">
        <w:rPr>
          <w:lang w:val="en-US"/>
        </w:rPr>
        <w:t>(1950).</w:t>
      </w:r>
    </w:p>
  </w:footnote>
  <w:footnote w:id="1876">
    <w:p w14:paraId="1AC015F5" w14:textId="77777777" w:rsidR="00074551" w:rsidRPr="00BE6C63" w:rsidRDefault="00074551" w:rsidP="00074551">
      <w:pPr>
        <w:pStyle w:val="Funotentext"/>
        <w:ind w:left="227" w:hanging="227"/>
        <w:rPr>
          <w:lang w:val="en-US"/>
        </w:rPr>
      </w:pPr>
      <w:r>
        <w:rPr>
          <w:rStyle w:val="Funotenzeichen"/>
          <w:rFonts w:eastAsiaTheme="majorEastAsia"/>
        </w:rPr>
        <w:footnoteRef/>
      </w:r>
      <w:r w:rsidRPr="00BE6C63">
        <w:rPr>
          <w:lang w:val="en-US"/>
        </w:rPr>
        <w:t xml:space="preserve"> </w:t>
      </w:r>
      <w:r w:rsidRPr="00B45592">
        <w:rPr>
          <w:i/>
          <w:lang w:val="en-US"/>
        </w:rPr>
        <w:t xml:space="preserve">American Communications </w:t>
      </w:r>
      <w:proofErr w:type="spellStart"/>
      <w:r w:rsidRPr="00B45592">
        <w:rPr>
          <w:i/>
          <w:lang w:val="en-US"/>
        </w:rPr>
        <w:t>Ass’n</w:t>
      </w:r>
      <w:proofErr w:type="spellEnd"/>
      <w:r w:rsidRPr="00B45592">
        <w:rPr>
          <w:i/>
          <w:lang w:val="en-US"/>
        </w:rPr>
        <w:t xml:space="preserve"> v. Douds</w:t>
      </w:r>
      <w:r w:rsidRPr="00BE6C63">
        <w:rPr>
          <w:lang w:val="en-US"/>
        </w:rPr>
        <w:t>, 339 U.S. 382, 453</w:t>
      </w:r>
      <w:r>
        <w:rPr>
          <w:lang w:val="en-US"/>
        </w:rPr>
        <w:t xml:space="preserve"> = 70 S. Ct. </w:t>
      </w:r>
      <w:r w:rsidRPr="00BE6C63">
        <w:rPr>
          <w:lang w:val="en-US"/>
        </w:rPr>
        <w:t>674, 711</w:t>
      </w:r>
      <w:r>
        <w:rPr>
          <w:lang w:val="en-US"/>
        </w:rPr>
        <w:t xml:space="preserve"> = 94 L. Ed. </w:t>
      </w:r>
      <w:r w:rsidRPr="00BE6C63">
        <w:rPr>
          <w:lang w:val="en-US"/>
        </w:rPr>
        <w:t>925, 972</w:t>
      </w:r>
      <w:r>
        <w:rPr>
          <w:lang w:val="en-US"/>
        </w:rPr>
        <w:t xml:space="preserve"> = 1950 U.S. LEXIS </w:t>
      </w:r>
      <w:r w:rsidRPr="00BE6C63">
        <w:rPr>
          <w:lang w:val="en-US"/>
        </w:rPr>
        <w:t>2530, 119</w:t>
      </w:r>
      <w:r>
        <w:rPr>
          <w:lang w:val="en-US"/>
        </w:rPr>
        <w:t xml:space="preserve"> = 18 Lab. Cas.</w:t>
      </w:r>
      <w:r w:rsidRPr="00BE6C63">
        <w:rPr>
          <w:lang w:val="en-US"/>
        </w:rPr>
        <w:t xml:space="preserve"> (CCH) P65,760</w:t>
      </w:r>
      <w:r>
        <w:rPr>
          <w:lang w:val="en-US"/>
        </w:rPr>
        <w:t xml:space="preserve"> = 26 L.R.R.M. 2084 </w:t>
      </w:r>
      <w:r w:rsidRPr="00BE6C63">
        <w:rPr>
          <w:lang w:val="en-US"/>
        </w:rPr>
        <w:t>(1950)</w:t>
      </w:r>
      <w:r>
        <w:rPr>
          <w:lang w:val="en-US"/>
        </w:rPr>
        <w:t>.</w:t>
      </w:r>
    </w:p>
  </w:footnote>
  <w:footnote w:id="1877">
    <w:p w14:paraId="5617137F" w14:textId="77777777" w:rsidR="00074551" w:rsidRPr="0086405D" w:rsidRDefault="00074551" w:rsidP="00074551">
      <w:pPr>
        <w:pStyle w:val="Funotentext"/>
        <w:rPr>
          <w:lang w:val="en-US"/>
        </w:rPr>
      </w:pPr>
      <w:r>
        <w:rPr>
          <w:rStyle w:val="Funotenzeichen"/>
          <w:rFonts w:eastAsiaTheme="majorEastAsia"/>
        </w:rPr>
        <w:footnoteRef/>
      </w:r>
      <w:r w:rsidRPr="0086405D">
        <w:rPr>
          <w:lang w:val="en-US"/>
        </w:rPr>
        <w:t xml:space="preserve"> </w:t>
      </w:r>
      <w:r w:rsidRPr="00A15962">
        <w:rPr>
          <w:i/>
          <w:lang w:val="en-US"/>
        </w:rPr>
        <w:t>Cotting v. Kansas City Stock Yards Co.</w:t>
      </w:r>
      <w:r w:rsidRPr="0086405D">
        <w:rPr>
          <w:lang w:val="en-US"/>
        </w:rPr>
        <w:t>, 183 U.S. 79, 110</w:t>
      </w:r>
      <w:r>
        <w:rPr>
          <w:lang w:val="en-US"/>
        </w:rPr>
        <w:t xml:space="preserve"> = 22 S. Ct. </w:t>
      </w:r>
      <w:r w:rsidRPr="0086405D">
        <w:rPr>
          <w:lang w:val="en-US"/>
        </w:rPr>
        <w:t>30, 43</w:t>
      </w:r>
      <w:r>
        <w:rPr>
          <w:lang w:val="en-US"/>
        </w:rPr>
        <w:t xml:space="preserve"> = 46 L. Ed. </w:t>
      </w:r>
      <w:r w:rsidRPr="0086405D">
        <w:rPr>
          <w:lang w:val="en-US"/>
        </w:rPr>
        <w:t>92, 109</w:t>
      </w:r>
      <w:r>
        <w:rPr>
          <w:lang w:val="en-US"/>
        </w:rPr>
        <w:t xml:space="preserve"> = 1901 U.S. LEXIS </w:t>
      </w:r>
      <w:r w:rsidRPr="0086405D">
        <w:rPr>
          <w:lang w:val="en-US"/>
        </w:rPr>
        <w:t>1256, 59 (1901)</w:t>
      </w:r>
      <w:r>
        <w:rPr>
          <w:lang w:val="en-US"/>
        </w:rPr>
        <w:t>.</w:t>
      </w:r>
    </w:p>
  </w:footnote>
  <w:footnote w:id="1878">
    <w:p w14:paraId="4E53D184" w14:textId="77777777" w:rsidR="00074551" w:rsidRPr="0086405D" w:rsidRDefault="00074551" w:rsidP="00074551">
      <w:pPr>
        <w:pStyle w:val="Funotentext"/>
        <w:rPr>
          <w:lang w:val="en-US"/>
        </w:rPr>
      </w:pPr>
      <w:r>
        <w:rPr>
          <w:rStyle w:val="Funotenzeichen"/>
          <w:rFonts w:eastAsiaTheme="majorEastAsia"/>
        </w:rPr>
        <w:footnoteRef/>
      </w:r>
      <w:r w:rsidRPr="0086405D">
        <w:rPr>
          <w:lang w:val="en-US"/>
        </w:rPr>
        <w:t xml:space="preserve"> </w:t>
      </w:r>
      <w:r w:rsidRPr="00A15962">
        <w:rPr>
          <w:i/>
          <w:lang w:val="en-US"/>
        </w:rPr>
        <w:t>Cotting v. Kansas City Stock Yards Co.</w:t>
      </w:r>
      <w:r w:rsidRPr="0086405D">
        <w:rPr>
          <w:lang w:val="en-US"/>
        </w:rPr>
        <w:t>, 183 U.S. 79, 83</w:t>
      </w:r>
      <w:r>
        <w:rPr>
          <w:lang w:val="en-US"/>
        </w:rPr>
        <w:t xml:space="preserve"> = 22 S. Ct. </w:t>
      </w:r>
      <w:r w:rsidRPr="0086405D">
        <w:rPr>
          <w:lang w:val="en-US"/>
        </w:rPr>
        <w:t>30, 32</w:t>
      </w:r>
      <w:r>
        <w:rPr>
          <w:lang w:val="en-US"/>
        </w:rPr>
        <w:t xml:space="preserve"> = 46 L. Ed. </w:t>
      </w:r>
      <w:r w:rsidRPr="0086405D">
        <w:rPr>
          <w:lang w:val="en-US"/>
        </w:rPr>
        <w:t>92, 98</w:t>
      </w:r>
      <w:r>
        <w:rPr>
          <w:lang w:val="en-US"/>
        </w:rPr>
        <w:t xml:space="preserve"> = 1901 U.S. LEXIS </w:t>
      </w:r>
      <w:r w:rsidRPr="0086405D">
        <w:rPr>
          <w:lang w:val="en-US"/>
        </w:rPr>
        <w:t>1256, 8 (1901)</w:t>
      </w:r>
      <w:r>
        <w:rPr>
          <w:lang w:val="en-US"/>
        </w:rPr>
        <w:t>.</w:t>
      </w:r>
    </w:p>
  </w:footnote>
  <w:footnote w:id="1879">
    <w:p w14:paraId="0099A1C1" w14:textId="77777777" w:rsidR="00074551" w:rsidRPr="0086405D" w:rsidRDefault="00074551" w:rsidP="00074551">
      <w:pPr>
        <w:pStyle w:val="Funotentext"/>
        <w:rPr>
          <w:lang w:val="en-US"/>
        </w:rPr>
      </w:pPr>
      <w:r>
        <w:rPr>
          <w:rStyle w:val="Funotenzeichen"/>
          <w:rFonts w:eastAsiaTheme="majorEastAsia"/>
        </w:rPr>
        <w:footnoteRef/>
      </w:r>
      <w:r w:rsidRPr="0086405D">
        <w:rPr>
          <w:lang w:val="en-US"/>
        </w:rPr>
        <w:t xml:space="preserve"> </w:t>
      </w:r>
      <w:r w:rsidRPr="00A15962">
        <w:rPr>
          <w:i/>
          <w:lang w:val="en-US"/>
        </w:rPr>
        <w:t>Cotting v. Kansas City Stock Yards Co.</w:t>
      </w:r>
      <w:r w:rsidRPr="0086405D">
        <w:rPr>
          <w:lang w:val="en-US"/>
        </w:rPr>
        <w:t>, 183 U.S. 79, 83</w:t>
      </w:r>
      <w:r>
        <w:rPr>
          <w:lang w:val="en-US"/>
        </w:rPr>
        <w:t xml:space="preserve"> = 22 S. Ct. </w:t>
      </w:r>
      <w:r w:rsidRPr="0086405D">
        <w:rPr>
          <w:lang w:val="en-US"/>
        </w:rPr>
        <w:t>30, 32</w:t>
      </w:r>
      <w:r>
        <w:rPr>
          <w:lang w:val="en-US"/>
        </w:rPr>
        <w:t xml:space="preserve"> = 46 L. Ed. </w:t>
      </w:r>
      <w:r w:rsidRPr="0086405D">
        <w:rPr>
          <w:lang w:val="en-US"/>
        </w:rPr>
        <w:t>92, 98</w:t>
      </w:r>
      <w:r>
        <w:rPr>
          <w:lang w:val="en-US"/>
        </w:rPr>
        <w:t xml:space="preserve"> = 1901 U.S. LEXIS </w:t>
      </w:r>
      <w:r w:rsidRPr="0086405D">
        <w:rPr>
          <w:lang w:val="en-US"/>
        </w:rPr>
        <w:t>1256, 8 (1901)</w:t>
      </w:r>
      <w:r>
        <w:rPr>
          <w:lang w:val="en-US"/>
        </w:rPr>
        <w:t>.</w:t>
      </w:r>
    </w:p>
  </w:footnote>
  <w:footnote w:id="1880">
    <w:p w14:paraId="20DF12B3" w14:textId="77777777" w:rsidR="00074551" w:rsidRPr="00881E7F" w:rsidRDefault="00074551" w:rsidP="00074551">
      <w:pPr>
        <w:pStyle w:val="Funotentext"/>
        <w:rPr>
          <w:lang w:val="en-US"/>
        </w:rPr>
      </w:pPr>
      <w:r>
        <w:rPr>
          <w:rStyle w:val="Funotenzeichen"/>
          <w:rFonts w:eastAsiaTheme="majorEastAsia"/>
        </w:rPr>
        <w:footnoteRef/>
      </w:r>
      <w:r w:rsidRPr="00881E7F">
        <w:rPr>
          <w:lang w:val="en-US"/>
        </w:rPr>
        <w:t xml:space="preserve"> </w:t>
      </w:r>
      <w:r w:rsidRPr="004F13B1">
        <w:rPr>
          <w:i/>
          <w:lang w:val="en-US"/>
        </w:rPr>
        <w:t>Barbier v. Connolly</w:t>
      </w:r>
      <w:r w:rsidRPr="00881E7F">
        <w:rPr>
          <w:lang w:val="en-US"/>
        </w:rPr>
        <w:t>, 113 U.S. 27, 31</w:t>
      </w:r>
      <w:r>
        <w:rPr>
          <w:lang w:val="en-US"/>
        </w:rPr>
        <w:t xml:space="preserve">; </w:t>
      </w:r>
      <w:r w:rsidRPr="00A15962">
        <w:rPr>
          <w:i/>
          <w:lang w:val="en-US"/>
        </w:rPr>
        <w:t>Cotting v. Kansas City Stock Yards Co.</w:t>
      </w:r>
      <w:r w:rsidRPr="00881E7F">
        <w:rPr>
          <w:lang w:val="en-US"/>
        </w:rPr>
        <w:t>, 183 U.S. 79, 105</w:t>
      </w:r>
      <w:r>
        <w:rPr>
          <w:lang w:val="en-US"/>
        </w:rPr>
        <w:t xml:space="preserve"> = 22 S. Ct. </w:t>
      </w:r>
      <w:r w:rsidRPr="00881E7F">
        <w:rPr>
          <w:lang w:val="en-US"/>
        </w:rPr>
        <w:t>30, 41</w:t>
      </w:r>
      <w:r>
        <w:rPr>
          <w:lang w:val="en-US"/>
        </w:rPr>
        <w:t xml:space="preserve"> = 46 L. Ed. </w:t>
      </w:r>
      <w:r w:rsidRPr="00881E7F">
        <w:rPr>
          <w:lang w:val="en-US"/>
        </w:rPr>
        <w:t>92, 107</w:t>
      </w:r>
      <w:r>
        <w:rPr>
          <w:lang w:val="en-US"/>
        </w:rPr>
        <w:t xml:space="preserve"> = 1901 U.S. LEXIS </w:t>
      </w:r>
      <w:r w:rsidRPr="00881E7F">
        <w:rPr>
          <w:lang w:val="en-US"/>
        </w:rPr>
        <w:t>1256, 51 (1901)</w:t>
      </w:r>
      <w:r>
        <w:rPr>
          <w:lang w:val="en-US"/>
        </w:rPr>
        <w:t>.</w:t>
      </w:r>
    </w:p>
  </w:footnote>
  <w:footnote w:id="1881">
    <w:p w14:paraId="28DD2F9A" w14:textId="77777777" w:rsidR="00074551" w:rsidRPr="00782AF0" w:rsidRDefault="00074551" w:rsidP="00074551">
      <w:pPr>
        <w:pStyle w:val="Funotentext"/>
        <w:rPr>
          <w:lang w:val="en-US"/>
        </w:rPr>
      </w:pPr>
      <w:r>
        <w:rPr>
          <w:rStyle w:val="Funotenzeichen"/>
          <w:rFonts w:eastAsiaTheme="majorEastAsia"/>
        </w:rPr>
        <w:footnoteRef/>
      </w:r>
      <w:r w:rsidRPr="00782AF0">
        <w:rPr>
          <w:lang w:val="en-US"/>
        </w:rPr>
        <w:t xml:space="preserve"> </w:t>
      </w:r>
      <w:r w:rsidRPr="00A15962">
        <w:rPr>
          <w:i/>
          <w:lang w:val="en-US"/>
        </w:rPr>
        <w:t>Cotting v. Kansas City Stock Yards Co.</w:t>
      </w:r>
      <w:r w:rsidRPr="00782AF0">
        <w:rPr>
          <w:lang w:val="en-US"/>
        </w:rPr>
        <w:t>, 183 U.S. 79, 106</w:t>
      </w:r>
      <w:r>
        <w:rPr>
          <w:lang w:val="en-US"/>
        </w:rPr>
        <w:t xml:space="preserve"> = 22 S. Ct. </w:t>
      </w:r>
      <w:r w:rsidRPr="00782AF0">
        <w:rPr>
          <w:lang w:val="en-US"/>
        </w:rPr>
        <w:t>30, 41</w:t>
      </w:r>
      <w:r>
        <w:rPr>
          <w:lang w:val="en-US"/>
        </w:rPr>
        <w:t xml:space="preserve"> = 46 L. Ed. </w:t>
      </w:r>
      <w:r w:rsidRPr="00782AF0">
        <w:rPr>
          <w:lang w:val="en-US"/>
        </w:rPr>
        <w:t>92, 107</w:t>
      </w:r>
      <w:r>
        <w:rPr>
          <w:lang w:val="en-US"/>
        </w:rPr>
        <w:t xml:space="preserve"> = 1901 U.S. LEXIS </w:t>
      </w:r>
      <w:r w:rsidRPr="00782AF0">
        <w:rPr>
          <w:lang w:val="en-US"/>
        </w:rPr>
        <w:t>1256, 52 (1901)</w:t>
      </w:r>
      <w:r>
        <w:rPr>
          <w:lang w:val="en-US"/>
        </w:rPr>
        <w:t>.</w:t>
      </w:r>
    </w:p>
  </w:footnote>
  <w:footnote w:id="1882">
    <w:p w14:paraId="4877EC5E" w14:textId="77777777" w:rsidR="00074551" w:rsidRPr="00BD5EFA" w:rsidRDefault="00074551" w:rsidP="00074551">
      <w:pPr>
        <w:pStyle w:val="Funotentext"/>
        <w:rPr>
          <w:lang w:val="en-US"/>
        </w:rPr>
      </w:pPr>
      <w:r>
        <w:rPr>
          <w:rStyle w:val="Funotenzeichen"/>
          <w:rFonts w:eastAsiaTheme="majorEastAsia"/>
        </w:rPr>
        <w:footnoteRef/>
      </w:r>
      <w:r w:rsidRPr="00BD5EFA">
        <w:rPr>
          <w:lang w:val="en-US"/>
        </w:rPr>
        <w:t xml:space="preserve"> </w:t>
      </w:r>
      <w:r w:rsidRPr="00D83E4F">
        <w:rPr>
          <w:i/>
          <w:lang w:val="en-US"/>
        </w:rPr>
        <w:t>Doe v. Bolton</w:t>
      </w:r>
      <w:r w:rsidRPr="00BD5EFA">
        <w:rPr>
          <w:lang w:val="en-US"/>
        </w:rPr>
        <w:t>, 410 U.S. 179, 188</w:t>
      </w:r>
      <w:r>
        <w:rPr>
          <w:lang w:val="en-US"/>
        </w:rPr>
        <w:t xml:space="preserve"> = 93 S. Ct. </w:t>
      </w:r>
      <w:r w:rsidRPr="00BD5EFA">
        <w:rPr>
          <w:lang w:val="en-US"/>
        </w:rPr>
        <w:t>739, 745</w:t>
      </w:r>
      <w:r>
        <w:rPr>
          <w:lang w:val="en-US"/>
        </w:rPr>
        <w:t xml:space="preserve"> = 35 L. Ed. </w:t>
      </w:r>
      <w:r w:rsidRPr="00BD5EFA">
        <w:rPr>
          <w:lang w:val="en-US"/>
        </w:rPr>
        <w:t>2d 201, 210</w:t>
      </w:r>
      <w:r>
        <w:rPr>
          <w:lang w:val="en-US"/>
        </w:rPr>
        <w:t xml:space="preserve"> = 1973 U.S. LEXIS </w:t>
      </w:r>
      <w:r w:rsidRPr="00BD5EFA">
        <w:rPr>
          <w:lang w:val="en-US"/>
        </w:rPr>
        <w:t>112, 16 (1973)</w:t>
      </w:r>
      <w:r>
        <w:rPr>
          <w:lang w:val="en-US"/>
        </w:rPr>
        <w:t>.</w:t>
      </w:r>
    </w:p>
  </w:footnote>
  <w:footnote w:id="1883">
    <w:p w14:paraId="5BAFF96B" w14:textId="77777777" w:rsidR="0025542D" w:rsidRPr="00BD5EFA" w:rsidRDefault="0025542D" w:rsidP="0025542D">
      <w:pPr>
        <w:pStyle w:val="Funotentext"/>
        <w:rPr>
          <w:lang w:val="en-US"/>
        </w:rPr>
      </w:pPr>
      <w:r>
        <w:rPr>
          <w:rStyle w:val="Funotenzeichen"/>
          <w:rFonts w:eastAsiaTheme="majorEastAsia"/>
        </w:rPr>
        <w:footnoteRef/>
      </w:r>
      <w:r w:rsidRPr="00BD5EFA">
        <w:rPr>
          <w:lang w:val="en-US"/>
        </w:rPr>
        <w:t xml:space="preserve"> </w:t>
      </w:r>
      <w:r w:rsidRPr="00D83E4F">
        <w:rPr>
          <w:i/>
          <w:lang w:val="en-US"/>
        </w:rPr>
        <w:t>Doe v. Bolton</w:t>
      </w:r>
      <w:r w:rsidRPr="00BD5EFA">
        <w:rPr>
          <w:lang w:val="en-US"/>
        </w:rPr>
        <w:t>, 410 U.S. 179, 188</w:t>
      </w:r>
      <w:r>
        <w:rPr>
          <w:lang w:val="en-US"/>
        </w:rPr>
        <w:t xml:space="preserve"> = 93 S. Ct. </w:t>
      </w:r>
      <w:r w:rsidRPr="00BD5EFA">
        <w:rPr>
          <w:lang w:val="en-US"/>
        </w:rPr>
        <w:t>739, 745</w:t>
      </w:r>
      <w:r>
        <w:rPr>
          <w:lang w:val="en-US"/>
        </w:rPr>
        <w:t xml:space="preserve"> = 35 L. Ed. </w:t>
      </w:r>
      <w:r w:rsidRPr="00BD5EFA">
        <w:rPr>
          <w:lang w:val="en-US"/>
        </w:rPr>
        <w:t>2d 201, 210</w:t>
      </w:r>
      <w:r>
        <w:rPr>
          <w:lang w:val="en-US"/>
        </w:rPr>
        <w:t xml:space="preserve"> = 1973 U.S. LEXIS </w:t>
      </w:r>
      <w:r w:rsidRPr="00BD5EFA">
        <w:rPr>
          <w:lang w:val="en-US"/>
        </w:rPr>
        <w:t>112, 16 (1973)</w:t>
      </w:r>
      <w:r>
        <w:rPr>
          <w:lang w:val="en-US"/>
        </w:rPr>
        <w:t>.</w:t>
      </w:r>
    </w:p>
  </w:footnote>
  <w:footnote w:id="1884">
    <w:p w14:paraId="090061AE" w14:textId="21F3B628" w:rsidR="0025542D" w:rsidRPr="009C365B" w:rsidRDefault="0025542D" w:rsidP="0025542D">
      <w:pPr>
        <w:pStyle w:val="Funotentext"/>
        <w:rPr>
          <w:lang w:val="en-US"/>
        </w:rPr>
      </w:pPr>
      <w:r>
        <w:rPr>
          <w:rStyle w:val="Funotenzeichen"/>
          <w:rFonts w:eastAsiaTheme="majorEastAsia"/>
        </w:rPr>
        <w:footnoteRef/>
      </w:r>
      <w:r w:rsidRPr="009C365B">
        <w:rPr>
          <w:lang w:val="en-US"/>
        </w:rPr>
        <w:t xml:space="preserve"> </w:t>
      </w:r>
      <w:proofErr w:type="spellStart"/>
      <w:r w:rsidR="00AC647A" w:rsidRPr="00AC647A">
        <w:rPr>
          <w:lang w:val="en-US"/>
        </w:rPr>
        <w:t>Siehe</w:t>
      </w:r>
      <w:proofErr w:type="spellEnd"/>
      <w:r w:rsidR="00AC647A" w:rsidRPr="00AC647A">
        <w:rPr>
          <w:lang w:val="en-US"/>
        </w:rPr>
        <w:t xml:space="preserve"> </w:t>
      </w:r>
      <w:proofErr w:type="spellStart"/>
      <w:r w:rsidR="00AC647A" w:rsidRPr="00AC647A">
        <w:rPr>
          <w:lang w:val="en-US"/>
        </w:rPr>
        <w:t>hierzu</w:t>
      </w:r>
      <w:proofErr w:type="spellEnd"/>
      <w:r w:rsidR="00AC647A" w:rsidRPr="00AC647A">
        <w:rPr>
          <w:lang w:val="en-US"/>
        </w:rPr>
        <w:t xml:space="preserve"> die </w:t>
      </w:r>
      <w:r w:rsidR="00AC647A" w:rsidRPr="00AC647A">
        <w:rPr>
          <w:i/>
          <w:iCs/>
          <w:lang w:val="en-US"/>
        </w:rPr>
        <w:t>concurring opinion</w:t>
      </w:r>
      <w:r w:rsidR="00AC647A" w:rsidRPr="00AC647A">
        <w:rPr>
          <w:lang w:val="en-US"/>
        </w:rPr>
        <w:t xml:space="preserve"> von </w:t>
      </w:r>
      <w:r w:rsidR="00AC647A" w:rsidRPr="00AC647A">
        <w:rPr>
          <w:i/>
          <w:iCs/>
          <w:lang w:val="en-US"/>
        </w:rPr>
        <w:t>Richter Douglas</w:t>
      </w:r>
      <w:r w:rsidR="00AC647A">
        <w:rPr>
          <w:lang w:val="en-US"/>
        </w:rPr>
        <w:t>:</w:t>
      </w:r>
      <w:r>
        <w:rPr>
          <w:lang w:val="en-US"/>
        </w:rPr>
        <w:t xml:space="preserve"> „</w:t>
      </w:r>
      <w:r w:rsidRPr="009C365B">
        <w:rPr>
          <w:lang w:val="en-US"/>
        </w:rPr>
        <w:t xml:space="preserve">This is a total destruction of the right of privacy between physician and patient and the intimacy of relation which that </w:t>
      </w:r>
      <w:proofErr w:type="gramStart"/>
      <w:r w:rsidRPr="009C365B">
        <w:rPr>
          <w:lang w:val="en-US"/>
        </w:rPr>
        <w:t>entails</w:t>
      </w:r>
      <w:r>
        <w:rPr>
          <w:lang w:val="en-US"/>
        </w:rPr>
        <w:t>“</w:t>
      </w:r>
      <w:proofErr w:type="gramEnd"/>
      <w:r w:rsidRPr="009C365B">
        <w:rPr>
          <w:lang w:val="en-US"/>
        </w:rPr>
        <w:t xml:space="preserve">, </w:t>
      </w:r>
      <w:r>
        <w:rPr>
          <w:lang w:val="en-US"/>
        </w:rPr>
        <w:t>in</w:t>
      </w:r>
      <w:r w:rsidRPr="009C365B">
        <w:rPr>
          <w:lang w:val="en-US"/>
        </w:rPr>
        <w:t xml:space="preserve"> </w:t>
      </w:r>
      <w:r w:rsidRPr="00D83E4F">
        <w:rPr>
          <w:i/>
          <w:lang w:val="en-US"/>
        </w:rPr>
        <w:t>Doe v. Bolton</w:t>
      </w:r>
      <w:r w:rsidRPr="009C365B">
        <w:rPr>
          <w:lang w:val="en-US"/>
        </w:rPr>
        <w:t>, 410 U.S. 179, 219</w:t>
      </w:r>
      <w:r>
        <w:rPr>
          <w:lang w:val="en-US"/>
        </w:rPr>
        <w:t xml:space="preserve"> = 93 S. Ct. </w:t>
      </w:r>
      <w:r w:rsidRPr="009C365B">
        <w:rPr>
          <w:lang w:val="en-US"/>
        </w:rPr>
        <w:t>739, 761</w:t>
      </w:r>
      <w:r>
        <w:rPr>
          <w:lang w:val="en-US"/>
        </w:rPr>
        <w:t xml:space="preserve"> = 35 L. Ed. </w:t>
      </w:r>
      <w:r w:rsidRPr="009C365B">
        <w:rPr>
          <w:lang w:val="en-US"/>
        </w:rPr>
        <w:t>2d 201, 221</w:t>
      </w:r>
      <w:r>
        <w:rPr>
          <w:lang w:val="en-US"/>
        </w:rPr>
        <w:t xml:space="preserve"> = 1973 U.S. LEXIS </w:t>
      </w:r>
      <w:r w:rsidRPr="009C365B">
        <w:rPr>
          <w:lang w:val="en-US"/>
        </w:rPr>
        <w:t>112, 66 (1973).</w:t>
      </w:r>
    </w:p>
  </w:footnote>
  <w:footnote w:id="1885">
    <w:p w14:paraId="6EB00196" w14:textId="77777777" w:rsidR="0025542D" w:rsidRDefault="0025542D" w:rsidP="0025542D">
      <w:pPr>
        <w:pStyle w:val="Funotentext"/>
      </w:pPr>
      <w:r>
        <w:rPr>
          <w:rStyle w:val="Funotenzeichen"/>
          <w:rFonts w:eastAsiaTheme="majorEastAsia"/>
        </w:rPr>
        <w:footnoteRef/>
      </w:r>
      <w:r>
        <w:t xml:space="preserve"> Im Einzelnen beinhaltet diese Auffassung von Freiheit das Recht, Verträge zu schließen, was die wirtschaftliche Selbstbestimmung und Teilhabe am Marktgeschehen einschließt. Ebenso umfasst es die Freiheit, einem Beruf nachzugehen, was nicht nur die wirtschaftliche Existenz sichert, sondern auch individuelle Fähigkeiten und Neigungen zur Entfaltung bringt. Des </w:t>
      </w:r>
      <w:proofErr w:type="spellStart"/>
      <w:r>
        <w:t>Weiteren</w:t>
      </w:r>
      <w:proofErr w:type="spellEnd"/>
      <w:r>
        <w:t xml:space="preserve"> wird die Akquisition von nützlichem Wissen als Teil der Freiheit gesehen, was auf die Bedeutung von Bildung und persönlicher Entwicklung hindeutet. Die Rechte zu heiraten, eine Familie zu gründen und Kinder aufzuziehen, betonen die sozialen und emotionalen Aspekte der menschlichen Existenz und deren Schutz. Die Religionsfreiheit, also Gott nach den Geboten des eigenen Gewissens zu verehren, spiegelt die Achtung der individuellen Gewissensfreiheit und geistigen Unabhängigkeit wider. Schließlich wird die allgemeine Möglichkeit, jene Vorrechte zu genießen, die im </w:t>
      </w:r>
      <w:r w:rsidRPr="00B45592">
        <w:rPr>
          <w:i/>
        </w:rPr>
        <w:t>Common Law</w:t>
      </w:r>
      <w:r>
        <w:t xml:space="preserve"> als wesentlich für das geordnete Streben nach Glück durch freie Menschen anerkannt sind, betont. Dies bezieht sich auf ein breites Spektrum von Freiheiten und Rechten, die historisch als grundlegend für ein Leben in Würde und Selbstbestimmung angesehen werden, vgl. </w:t>
      </w:r>
      <w:r w:rsidRPr="00D83E4F">
        <w:rPr>
          <w:i/>
        </w:rPr>
        <w:t>Doe v. Bolton</w:t>
      </w:r>
      <w:r>
        <w:t>, 410 U.S. 179, 214 = 93 S. Ct. 739, 759 = 35 L. Ed. 2d 201, 221 = 1973 U.S. LEXIS 112, 58 (1973).</w:t>
      </w:r>
    </w:p>
  </w:footnote>
  <w:footnote w:id="1886">
    <w:p w14:paraId="57723B2F" w14:textId="77777777" w:rsidR="00074551" w:rsidRPr="00D3346D" w:rsidRDefault="00074551" w:rsidP="00074551">
      <w:pPr>
        <w:pStyle w:val="Funotentext"/>
        <w:rPr>
          <w:lang w:val="en-US"/>
        </w:rPr>
      </w:pPr>
      <w:r>
        <w:rPr>
          <w:rStyle w:val="Funotenzeichen"/>
          <w:rFonts w:eastAsiaTheme="majorEastAsia"/>
        </w:rPr>
        <w:footnoteRef/>
      </w:r>
      <w:r w:rsidRPr="00D3346D">
        <w:rPr>
          <w:lang w:val="en-US"/>
        </w:rPr>
        <w:t xml:space="preserve"> </w:t>
      </w:r>
      <w:r w:rsidRPr="00D83E4F">
        <w:rPr>
          <w:i/>
          <w:lang w:val="en-US"/>
        </w:rPr>
        <w:t>Doe v. Bolton</w:t>
      </w:r>
      <w:r w:rsidRPr="00D3346D">
        <w:rPr>
          <w:lang w:val="en-US"/>
        </w:rPr>
        <w:t>, 410 U.S. 179, 214</w:t>
      </w:r>
      <w:r>
        <w:rPr>
          <w:lang w:val="en-US"/>
        </w:rPr>
        <w:t xml:space="preserve"> = 93 S. Ct. </w:t>
      </w:r>
      <w:r w:rsidRPr="00D3346D">
        <w:rPr>
          <w:lang w:val="en-US"/>
        </w:rPr>
        <w:t>739, 759</w:t>
      </w:r>
      <w:r>
        <w:rPr>
          <w:lang w:val="en-US"/>
        </w:rPr>
        <w:t xml:space="preserve"> = 35 L. Ed. </w:t>
      </w:r>
      <w:r w:rsidRPr="00D3346D">
        <w:rPr>
          <w:lang w:val="en-US"/>
        </w:rPr>
        <w:t>2d 201, 221</w:t>
      </w:r>
      <w:r>
        <w:rPr>
          <w:lang w:val="en-US"/>
        </w:rPr>
        <w:t xml:space="preserve"> = 1973 U.S. LEXIS </w:t>
      </w:r>
      <w:r w:rsidRPr="00D3346D">
        <w:rPr>
          <w:lang w:val="en-US"/>
        </w:rPr>
        <w:t>112, 58 (1973)</w:t>
      </w:r>
      <w:r>
        <w:rPr>
          <w:lang w:val="en-US"/>
        </w:rPr>
        <w:t>.</w:t>
      </w:r>
    </w:p>
  </w:footnote>
  <w:footnote w:id="1887">
    <w:p w14:paraId="54554D78" w14:textId="77777777" w:rsidR="00074551" w:rsidRPr="00154AA2" w:rsidRDefault="00074551" w:rsidP="00074551">
      <w:pPr>
        <w:pStyle w:val="Funotentext"/>
        <w:rPr>
          <w:lang w:val="en-US"/>
        </w:rPr>
      </w:pPr>
      <w:r>
        <w:rPr>
          <w:rStyle w:val="Funotenzeichen"/>
          <w:rFonts w:eastAsiaTheme="majorEastAsia"/>
        </w:rPr>
        <w:footnoteRef/>
      </w:r>
      <w:r w:rsidRPr="00154AA2">
        <w:rPr>
          <w:lang w:val="en-US"/>
        </w:rPr>
        <w:t xml:space="preserve"> </w:t>
      </w:r>
      <w:r w:rsidRPr="00B45592">
        <w:rPr>
          <w:i/>
          <w:lang w:val="en-US"/>
        </w:rPr>
        <w:t>Blodgett v. Holden</w:t>
      </w:r>
      <w:r w:rsidRPr="00154AA2">
        <w:rPr>
          <w:lang w:val="en-US"/>
        </w:rPr>
        <w:t>, 275 U.S. 142, 148 (1927</w:t>
      </w:r>
      <w:r w:rsidRPr="00A15962">
        <w:rPr>
          <w:lang w:val="en-US"/>
        </w:rPr>
        <w:t xml:space="preserve">) </w:t>
      </w:r>
      <w:bookmarkStart w:id="71" w:name="_Hlk228447525"/>
      <w:r w:rsidRPr="00A15962">
        <w:rPr>
          <w:lang w:val="en-US"/>
        </w:rPr>
        <w:t>(</w:t>
      </w:r>
      <w:r w:rsidRPr="00B45592">
        <w:rPr>
          <w:lang w:val="en-US"/>
        </w:rPr>
        <w:t>Meinung von Richter</w:t>
      </w:r>
      <w:r w:rsidRPr="00A15962">
        <w:rPr>
          <w:lang w:val="en-US"/>
        </w:rPr>
        <w:t xml:space="preserve"> </w:t>
      </w:r>
      <w:r w:rsidRPr="00B45592">
        <w:rPr>
          <w:i/>
          <w:lang w:val="en-US"/>
        </w:rPr>
        <w:t>Holmes</w:t>
      </w:r>
      <w:r w:rsidRPr="00A15962">
        <w:rPr>
          <w:lang w:val="en-US"/>
        </w:rPr>
        <w:t>);</w:t>
      </w:r>
      <w:r w:rsidRPr="00154AA2">
        <w:rPr>
          <w:lang w:val="en-US"/>
        </w:rPr>
        <w:t xml:space="preserve"> </w:t>
      </w:r>
      <w:bookmarkEnd w:id="71"/>
      <w:r w:rsidRPr="001F38CE">
        <w:rPr>
          <w:i/>
          <w:lang w:val="en-US"/>
        </w:rPr>
        <w:t xml:space="preserve">Fullilove v. </w:t>
      </w:r>
      <w:proofErr w:type="spellStart"/>
      <w:r w:rsidRPr="001F38CE">
        <w:rPr>
          <w:i/>
          <w:lang w:val="en-US"/>
        </w:rPr>
        <w:t>Klutznick</w:t>
      </w:r>
      <w:proofErr w:type="spellEnd"/>
      <w:r w:rsidRPr="00154AA2">
        <w:rPr>
          <w:lang w:val="en-US"/>
        </w:rPr>
        <w:t>, 448 U.S. 448, 472</w:t>
      </w:r>
      <w:r>
        <w:rPr>
          <w:lang w:val="en-US"/>
        </w:rPr>
        <w:t xml:space="preserve"> = 100 S. Ct.</w:t>
      </w:r>
      <w:r w:rsidRPr="00154AA2">
        <w:rPr>
          <w:lang w:val="en-US"/>
        </w:rPr>
        <w:t xml:space="preserve"> 2758, 2771</w:t>
      </w:r>
      <w:r>
        <w:rPr>
          <w:lang w:val="en-US"/>
        </w:rPr>
        <w:t xml:space="preserve"> = 65 L. Ed. </w:t>
      </w:r>
      <w:r w:rsidRPr="00154AA2">
        <w:rPr>
          <w:lang w:val="en-US"/>
        </w:rPr>
        <w:t>2d 902, 920</w:t>
      </w:r>
      <w:r>
        <w:rPr>
          <w:lang w:val="en-US"/>
        </w:rPr>
        <w:t xml:space="preserve"> = 1980 U.S. LEXIS </w:t>
      </w:r>
      <w:r w:rsidRPr="00154AA2">
        <w:rPr>
          <w:lang w:val="en-US"/>
        </w:rPr>
        <w:t>8, 44</w:t>
      </w:r>
      <w:r>
        <w:rPr>
          <w:lang w:val="en-US"/>
        </w:rPr>
        <w:t>–</w:t>
      </w:r>
      <w:r w:rsidRPr="00154AA2">
        <w:rPr>
          <w:lang w:val="en-US"/>
        </w:rPr>
        <w:t>45</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154AA2">
        <w:rPr>
          <w:lang w:val="en-US"/>
        </w:rPr>
        <w:t>(CCH) P31,026</w:t>
      </w:r>
      <w:r>
        <w:rPr>
          <w:lang w:val="en-US"/>
        </w:rPr>
        <w:t xml:space="preserve"> = 27 Cont. Cas. Fed. </w:t>
      </w:r>
      <w:r w:rsidRPr="00154AA2">
        <w:rPr>
          <w:lang w:val="en-US"/>
        </w:rPr>
        <w:t>(CCH) P80,496 (1980).</w:t>
      </w:r>
    </w:p>
  </w:footnote>
  <w:footnote w:id="1888">
    <w:p w14:paraId="6789D4CD" w14:textId="77777777" w:rsidR="00074551" w:rsidRPr="00A91ECF" w:rsidRDefault="00074551" w:rsidP="00074551">
      <w:pPr>
        <w:pStyle w:val="Funotentext"/>
        <w:rPr>
          <w:lang w:val="en-US"/>
        </w:rPr>
      </w:pPr>
      <w:r>
        <w:rPr>
          <w:rStyle w:val="Funotenzeichen"/>
          <w:rFonts w:eastAsiaTheme="majorEastAsia"/>
        </w:rPr>
        <w:footnoteRef/>
      </w:r>
      <w:r w:rsidRPr="00A91ECF">
        <w:rPr>
          <w:lang w:val="en-US"/>
        </w:rPr>
        <w:t xml:space="preserve"> </w:t>
      </w:r>
      <w:r w:rsidRPr="00A15962">
        <w:rPr>
          <w:i/>
          <w:lang w:val="en-US"/>
        </w:rPr>
        <w:t>Hirabayashi v. United States</w:t>
      </w:r>
      <w:r w:rsidRPr="00A91ECF">
        <w:rPr>
          <w:lang w:val="en-US"/>
        </w:rPr>
        <w:t xml:space="preserve">, 320 U.S. 81, 100; </w:t>
      </w:r>
      <w:r w:rsidRPr="001F38CE">
        <w:rPr>
          <w:i/>
          <w:lang w:val="en-US"/>
        </w:rPr>
        <w:t xml:space="preserve">Fullilove v. </w:t>
      </w:r>
      <w:proofErr w:type="spellStart"/>
      <w:r w:rsidRPr="001F38CE">
        <w:rPr>
          <w:i/>
          <w:lang w:val="en-US"/>
        </w:rPr>
        <w:t>Klutznick</w:t>
      </w:r>
      <w:proofErr w:type="spellEnd"/>
      <w:r w:rsidRPr="00A91ECF">
        <w:rPr>
          <w:lang w:val="en-US"/>
        </w:rPr>
        <w:t>, 448 U.S. 448, 533</w:t>
      </w:r>
      <w:r>
        <w:rPr>
          <w:lang w:val="en-US"/>
        </w:rPr>
        <w:t xml:space="preserve"> = 100 S. Ct.</w:t>
      </w:r>
      <w:r w:rsidRPr="00A91ECF">
        <w:rPr>
          <w:lang w:val="en-US"/>
        </w:rPr>
        <w:t xml:space="preserve"> 2758, 2803</w:t>
      </w:r>
      <w:r>
        <w:rPr>
          <w:lang w:val="en-US"/>
        </w:rPr>
        <w:t xml:space="preserve"> = 65 L. Ed. </w:t>
      </w:r>
      <w:r w:rsidRPr="00A91ECF">
        <w:rPr>
          <w:lang w:val="en-US"/>
        </w:rPr>
        <w:t>2d 902, 960</w:t>
      </w:r>
      <w:r>
        <w:rPr>
          <w:lang w:val="en-US"/>
        </w:rPr>
        <w:t xml:space="preserve"> = 1980 U.S. LEXIS </w:t>
      </w:r>
      <w:r w:rsidRPr="00A91ECF">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A91ECF">
        <w:rPr>
          <w:lang w:val="en-US"/>
        </w:rPr>
        <w:t>(CCH) P31,026</w:t>
      </w:r>
      <w:r>
        <w:rPr>
          <w:lang w:val="en-US"/>
        </w:rPr>
        <w:t xml:space="preserve"> = 27 Cont. Cas. Fed. </w:t>
      </w:r>
      <w:r w:rsidRPr="00A91ECF">
        <w:rPr>
          <w:lang w:val="en-US"/>
        </w:rPr>
        <w:t>(CCH) P80,496 (1980).</w:t>
      </w:r>
    </w:p>
  </w:footnote>
  <w:footnote w:id="1889">
    <w:p w14:paraId="2DB59F01" w14:textId="77777777" w:rsidR="00074551" w:rsidRDefault="00074551" w:rsidP="00074551">
      <w:pPr>
        <w:pStyle w:val="Funotentext"/>
        <w:ind w:left="227" w:hanging="227"/>
        <w:jc w:val="both"/>
        <w:rPr>
          <w:lang w:val="en-US"/>
        </w:rPr>
      </w:pPr>
      <w:r>
        <w:rPr>
          <w:rStyle w:val="Funotenzeichen"/>
          <w:rFonts w:eastAsiaTheme="majorEastAsia"/>
        </w:rPr>
        <w:footnoteRef/>
      </w:r>
      <w:r w:rsidRPr="00233E88">
        <w:rPr>
          <w:lang w:val="en-US"/>
        </w:rPr>
        <w:t xml:space="preserve"> </w:t>
      </w:r>
      <w:r w:rsidRPr="00A15962">
        <w:rPr>
          <w:i/>
          <w:lang w:val="en-US"/>
        </w:rPr>
        <w:t>Hirabayashi v. United States</w:t>
      </w:r>
      <w:r w:rsidRPr="00233E88">
        <w:rPr>
          <w:lang w:val="en-US"/>
        </w:rPr>
        <w:t xml:space="preserve">, 320 U.S. 81, 100, </w:t>
      </w:r>
      <w:proofErr w:type="spellStart"/>
      <w:r>
        <w:rPr>
          <w:lang w:val="en-US"/>
        </w:rPr>
        <w:t>zitiert</w:t>
      </w:r>
      <w:proofErr w:type="spellEnd"/>
      <w:r>
        <w:rPr>
          <w:lang w:val="en-US"/>
        </w:rPr>
        <w:t xml:space="preserve"> in </w:t>
      </w:r>
      <w:r w:rsidRPr="00584023">
        <w:rPr>
          <w:i/>
          <w:lang w:val="en-US"/>
        </w:rPr>
        <w:t>Loving v. Virginia</w:t>
      </w:r>
      <w:r w:rsidRPr="00233E88">
        <w:rPr>
          <w:lang w:val="en-US"/>
        </w:rPr>
        <w:t>, 388 U.S. 1, 1</w:t>
      </w:r>
      <w:r>
        <w:rPr>
          <w:lang w:val="en-US"/>
        </w:rPr>
        <w:t xml:space="preserve">1; </w:t>
      </w:r>
      <w:r w:rsidRPr="001F38CE">
        <w:rPr>
          <w:i/>
          <w:lang w:val="en-US"/>
        </w:rPr>
        <w:t xml:space="preserve">Fullilove v. </w:t>
      </w:r>
      <w:proofErr w:type="spellStart"/>
      <w:r w:rsidRPr="001F38CE">
        <w:rPr>
          <w:i/>
          <w:lang w:val="en-US"/>
        </w:rPr>
        <w:t>Klutznick</w:t>
      </w:r>
      <w:proofErr w:type="spellEnd"/>
      <w:r w:rsidRPr="00233E88">
        <w:rPr>
          <w:lang w:val="en-US"/>
        </w:rPr>
        <w:t>, 448 U.S. 448, 525</w:t>
      </w:r>
      <w:r>
        <w:rPr>
          <w:lang w:val="en-US"/>
        </w:rPr>
        <w:t xml:space="preserve"> = 100 S. Ct.</w:t>
      </w:r>
      <w:r w:rsidRPr="00233E88">
        <w:rPr>
          <w:lang w:val="en-US"/>
        </w:rPr>
        <w:t xml:space="preserve"> 2758, 2799</w:t>
      </w:r>
      <w:r>
        <w:rPr>
          <w:lang w:val="en-US"/>
        </w:rPr>
        <w:t xml:space="preserve"> = 65 L. Ed. </w:t>
      </w:r>
      <w:r w:rsidRPr="00233E88">
        <w:rPr>
          <w:lang w:val="en-US"/>
        </w:rPr>
        <w:t>2d 902, 955</w:t>
      </w:r>
      <w:r>
        <w:rPr>
          <w:lang w:val="en-US"/>
        </w:rPr>
        <w:t xml:space="preserve"> = </w:t>
      </w:r>
    </w:p>
    <w:p w14:paraId="2BA1BDBC" w14:textId="77777777" w:rsidR="00074551" w:rsidRPr="00233E88" w:rsidRDefault="00074551" w:rsidP="00074551">
      <w:pPr>
        <w:pStyle w:val="Funotentext"/>
        <w:ind w:left="227" w:hanging="227"/>
        <w:rPr>
          <w:lang w:val="en-US"/>
        </w:rPr>
      </w:pPr>
      <w:r>
        <w:rPr>
          <w:lang w:val="en-US"/>
        </w:rPr>
        <w:t xml:space="preserve">1980 U.S. LEXIS </w:t>
      </w:r>
      <w:r w:rsidRPr="00233E88">
        <w:rPr>
          <w:lang w:val="en-US"/>
        </w:rPr>
        <w:t>8, 135</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F94158">
        <w:rPr>
          <w:lang w:val="fr-FR"/>
        </w:rPr>
        <w:t xml:space="preserve">(CCH) P31,026 = 27 </w:t>
      </w:r>
      <w:proofErr w:type="spellStart"/>
      <w:r w:rsidRPr="00F94158">
        <w:rPr>
          <w:lang w:val="fr-FR"/>
        </w:rPr>
        <w:t>Cont</w:t>
      </w:r>
      <w:proofErr w:type="spellEnd"/>
      <w:r w:rsidRPr="00F94158">
        <w:rPr>
          <w:lang w:val="fr-FR"/>
        </w:rPr>
        <w:t xml:space="preserve">. Cas. Fed. </w:t>
      </w:r>
      <w:r w:rsidRPr="00233E88">
        <w:rPr>
          <w:lang w:val="en-US"/>
        </w:rPr>
        <w:t>(CCH) P80,496 (1980)</w:t>
      </w:r>
      <w:r>
        <w:rPr>
          <w:lang w:val="en-US"/>
        </w:rPr>
        <w:t>.</w:t>
      </w:r>
    </w:p>
  </w:footnote>
  <w:footnote w:id="1890">
    <w:p w14:paraId="76F89D00" w14:textId="77777777" w:rsidR="00074551" w:rsidRDefault="00074551" w:rsidP="00074551">
      <w:pPr>
        <w:pStyle w:val="Funotentext"/>
        <w:ind w:left="227" w:hanging="227"/>
        <w:rPr>
          <w:lang w:val="en-US"/>
        </w:rPr>
      </w:pPr>
      <w:r>
        <w:rPr>
          <w:rStyle w:val="Funotenzeichen"/>
          <w:rFonts w:eastAsiaTheme="majorEastAsia"/>
        </w:rPr>
        <w:footnoteRef/>
      </w:r>
      <w:r w:rsidRPr="00233E88">
        <w:rPr>
          <w:lang w:val="en-US"/>
        </w:rPr>
        <w:t xml:space="preserve"> </w:t>
      </w:r>
      <w:r w:rsidRPr="001F38CE">
        <w:rPr>
          <w:i/>
          <w:lang w:val="en-US"/>
        </w:rPr>
        <w:t xml:space="preserve">Fullilove v. </w:t>
      </w:r>
      <w:proofErr w:type="spellStart"/>
      <w:r w:rsidRPr="001F38CE">
        <w:rPr>
          <w:i/>
          <w:lang w:val="en-US"/>
        </w:rPr>
        <w:t>Klutznick</w:t>
      </w:r>
      <w:proofErr w:type="spellEnd"/>
      <w:r w:rsidRPr="00233E88">
        <w:rPr>
          <w:lang w:val="en-US"/>
        </w:rPr>
        <w:t>, 448 U.S. 448, 533</w:t>
      </w:r>
      <w:r>
        <w:rPr>
          <w:lang w:val="en-US"/>
        </w:rPr>
        <w:t xml:space="preserve"> = 100 S. Ct.</w:t>
      </w:r>
      <w:r w:rsidRPr="00233E88">
        <w:rPr>
          <w:lang w:val="en-US"/>
        </w:rPr>
        <w:t xml:space="preserve"> 2758, 2803</w:t>
      </w:r>
      <w:r>
        <w:rPr>
          <w:lang w:val="en-US"/>
        </w:rPr>
        <w:t xml:space="preserve"> = 65 L. Ed. </w:t>
      </w:r>
      <w:r w:rsidRPr="00233E88">
        <w:rPr>
          <w:lang w:val="en-US"/>
        </w:rPr>
        <w:t>2d 902, 960</w:t>
      </w:r>
      <w:r>
        <w:rPr>
          <w:lang w:val="en-US"/>
        </w:rPr>
        <w:t xml:space="preserve"> = 1980 U.S. LEXIS </w:t>
      </w:r>
      <w:r w:rsidRPr="00233E88">
        <w:rPr>
          <w:lang w:val="en-US"/>
        </w:rPr>
        <w:t>8, 148</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233E88">
        <w:rPr>
          <w:lang w:val="en-US"/>
        </w:rPr>
        <w:t>(CCH) P31,026</w:t>
      </w:r>
      <w:r>
        <w:rPr>
          <w:lang w:val="en-US"/>
        </w:rPr>
        <w:t xml:space="preserve"> = 27 Cont. Cas. Fed. </w:t>
      </w:r>
      <w:r w:rsidRPr="00233E88">
        <w:rPr>
          <w:lang w:val="en-US"/>
        </w:rPr>
        <w:t xml:space="preserve">(CCH) </w:t>
      </w:r>
    </w:p>
    <w:p w14:paraId="3AAC02AF" w14:textId="77777777" w:rsidR="00074551" w:rsidRPr="00233E88" w:rsidRDefault="00074551" w:rsidP="00074551">
      <w:pPr>
        <w:pStyle w:val="Funotentext"/>
        <w:ind w:left="227" w:hanging="227"/>
        <w:rPr>
          <w:lang w:val="en-US"/>
        </w:rPr>
      </w:pPr>
      <w:r w:rsidRPr="00233E88">
        <w:rPr>
          <w:lang w:val="en-US"/>
        </w:rPr>
        <w:t>P80,496 (1980)</w:t>
      </w:r>
      <w:r>
        <w:rPr>
          <w:lang w:val="en-US"/>
        </w:rPr>
        <w:t>.</w:t>
      </w:r>
    </w:p>
  </w:footnote>
  <w:footnote w:id="1891">
    <w:p w14:paraId="73EFCCD0" w14:textId="77777777" w:rsidR="00074551" w:rsidRPr="00C0715E" w:rsidRDefault="00074551" w:rsidP="00074551">
      <w:pPr>
        <w:pStyle w:val="Funotentext"/>
        <w:rPr>
          <w:lang w:val="en-US"/>
        </w:rPr>
      </w:pPr>
      <w:r>
        <w:rPr>
          <w:rStyle w:val="Funotenzeichen"/>
          <w:rFonts w:eastAsiaTheme="majorEastAsia"/>
        </w:rPr>
        <w:footnoteRef/>
      </w:r>
      <w:r w:rsidRPr="00C0715E">
        <w:rPr>
          <w:lang w:val="en-US"/>
        </w:rPr>
        <w:t xml:space="preserve"> </w:t>
      </w:r>
      <w:r w:rsidRPr="00B45592">
        <w:rPr>
          <w:i/>
          <w:lang w:val="en-US"/>
        </w:rPr>
        <w:t>Hampton v. Mow Sun Wong</w:t>
      </w:r>
      <w:r w:rsidRPr="00C0715E">
        <w:rPr>
          <w:lang w:val="en-US"/>
        </w:rPr>
        <w:t>, 426 U.S. 88, 100</w:t>
      </w:r>
      <w:r>
        <w:rPr>
          <w:lang w:val="en-US"/>
        </w:rPr>
        <w:t xml:space="preserve">; </w:t>
      </w:r>
      <w:r w:rsidRPr="00B45592">
        <w:rPr>
          <w:i/>
          <w:lang w:val="en-US"/>
        </w:rPr>
        <w:t>Harris v. McRae</w:t>
      </w:r>
      <w:r w:rsidRPr="00C0715E">
        <w:rPr>
          <w:lang w:val="en-US"/>
        </w:rPr>
        <w:t xml:space="preserve">, </w:t>
      </w:r>
      <w:r w:rsidRPr="00B45592">
        <w:rPr>
          <w:lang w:val="en-IE"/>
        </w:rPr>
        <w:t>448 U.S. 297</w:t>
      </w:r>
      <w:r w:rsidRPr="00C0715E">
        <w:rPr>
          <w:lang w:val="en-US"/>
        </w:rPr>
        <w:t>, 349, 356</w:t>
      </w:r>
      <w:r>
        <w:rPr>
          <w:lang w:val="en-US"/>
        </w:rPr>
        <w:t>–</w:t>
      </w:r>
      <w:r w:rsidRPr="00C0715E">
        <w:rPr>
          <w:lang w:val="en-US"/>
        </w:rPr>
        <w:t>357 (</w:t>
      </w:r>
      <w:r>
        <w:rPr>
          <w:lang w:val="en-US"/>
        </w:rPr>
        <w:t xml:space="preserve">Dissens von Richter </w:t>
      </w:r>
      <w:r w:rsidRPr="00B45592">
        <w:rPr>
          <w:i/>
          <w:lang w:val="en-US"/>
        </w:rPr>
        <w:t>Stevens</w:t>
      </w:r>
      <w:r w:rsidRPr="00C0715E">
        <w:rPr>
          <w:lang w:val="en-US"/>
        </w:rPr>
        <w:t xml:space="preserve">); </w:t>
      </w:r>
      <w:r w:rsidRPr="00B45592">
        <w:rPr>
          <w:i/>
          <w:lang w:val="en-US"/>
        </w:rPr>
        <w:t>Craig v. Boren</w:t>
      </w:r>
      <w:r w:rsidRPr="00C0715E">
        <w:rPr>
          <w:lang w:val="en-US"/>
        </w:rPr>
        <w:t>, 429 U.S. 190, 211 (</w:t>
      </w:r>
      <w:r w:rsidRPr="00B45592">
        <w:rPr>
          <w:i/>
          <w:lang w:val="en-US"/>
        </w:rPr>
        <w:t>concurring opinion</w:t>
      </w:r>
      <w:r>
        <w:rPr>
          <w:lang w:val="en-US"/>
        </w:rPr>
        <w:t xml:space="preserve"> von Richter </w:t>
      </w:r>
      <w:r w:rsidRPr="00B45592">
        <w:rPr>
          <w:i/>
          <w:lang w:val="en-US"/>
        </w:rPr>
        <w:t>Stevens</w:t>
      </w:r>
      <w:r w:rsidRPr="00C0715E">
        <w:rPr>
          <w:lang w:val="en-US"/>
        </w:rPr>
        <w:t>)</w:t>
      </w:r>
      <w:r>
        <w:rPr>
          <w:lang w:val="en-US"/>
        </w:rPr>
        <w:t xml:space="preserve">; </w:t>
      </w:r>
      <w:r w:rsidRPr="001F38CE">
        <w:rPr>
          <w:i/>
          <w:lang w:val="en-US"/>
        </w:rPr>
        <w:t xml:space="preserve">Fullilove v. </w:t>
      </w:r>
      <w:proofErr w:type="spellStart"/>
      <w:r w:rsidRPr="001F38CE">
        <w:rPr>
          <w:i/>
          <w:lang w:val="en-US"/>
        </w:rPr>
        <w:t>Klutznick</w:t>
      </w:r>
      <w:proofErr w:type="spellEnd"/>
      <w:r w:rsidRPr="00C0715E">
        <w:rPr>
          <w:lang w:val="en-US"/>
        </w:rPr>
        <w:t>, 448 U.S. 448, 533</w:t>
      </w:r>
      <w:r>
        <w:rPr>
          <w:lang w:val="en-US"/>
        </w:rPr>
        <w:t xml:space="preserve"> = 100 S. Ct.</w:t>
      </w:r>
      <w:r w:rsidRPr="00C0715E">
        <w:rPr>
          <w:lang w:val="en-US"/>
        </w:rPr>
        <w:t xml:space="preserve"> 2758, 2803</w:t>
      </w:r>
      <w:r>
        <w:rPr>
          <w:lang w:val="en-US"/>
        </w:rPr>
        <w:t xml:space="preserve"> = 65 L. Ed. </w:t>
      </w:r>
      <w:r w:rsidRPr="00C0715E">
        <w:rPr>
          <w:lang w:val="en-US"/>
        </w:rPr>
        <w:t>2d 902, 960</w:t>
      </w:r>
      <w:r>
        <w:rPr>
          <w:lang w:val="en-US"/>
        </w:rPr>
        <w:t xml:space="preserve"> = 1980 U.S. LEXIS </w:t>
      </w:r>
      <w:r w:rsidRPr="00C0715E">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C0715E">
        <w:rPr>
          <w:lang w:val="en-US"/>
        </w:rPr>
        <w:t xml:space="preserve">(CCH) </w:t>
      </w:r>
      <w:r w:rsidRPr="00E47138">
        <w:rPr>
          <w:lang w:val="en-US"/>
        </w:rPr>
        <w:t>P31,026</w:t>
      </w:r>
      <w:r w:rsidRPr="00B45592">
        <w:rPr>
          <w:lang w:val="en-US"/>
        </w:rPr>
        <w:t xml:space="preserve"> = 27 Cont. Cas. Fed. </w:t>
      </w:r>
      <w:r w:rsidRPr="00E47138">
        <w:rPr>
          <w:lang w:val="en-US"/>
        </w:rPr>
        <w:t>(CCH) P80,496</w:t>
      </w:r>
      <w:r w:rsidRPr="00C0715E">
        <w:rPr>
          <w:lang w:val="en-US"/>
        </w:rPr>
        <w:t xml:space="preserve"> (1980)</w:t>
      </w:r>
      <w:r>
        <w:rPr>
          <w:lang w:val="en-US"/>
        </w:rPr>
        <w:t>.</w:t>
      </w:r>
    </w:p>
  </w:footnote>
  <w:footnote w:id="1892">
    <w:p w14:paraId="51912E37" w14:textId="77777777" w:rsidR="00074551" w:rsidRPr="00C0715E" w:rsidRDefault="00074551" w:rsidP="00074551">
      <w:pPr>
        <w:pStyle w:val="Funotentext"/>
        <w:rPr>
          <w:lang w:val="en-US"/>
        </w:rPr>
      </w:pPr>
      <w:r>
        <w:rPr>
          <w:rStyle w:val="Funotenzeichen"/>
          <w:rFonts w:eastAsiaTheme="majorEastAsia"/>
        </w:rPr>
        <w:footnoteRef/>
      </w:r>
      <w:r w:rsidRPr="00C0715E">
        <w:rPr>
          <w:lang w:val="en-US"/>
        </w:rPr>
        <w:t xml:space="preserve"> </w:t>
      </w:r>
      <w:r w:rsidRPr="00B45592">
        <w:rPr>
          <w:i/>
          <w:lang w:val="en-US"/>
        </w:rPr>
        <w:t>Railway Express Agency, Inc. v. New York</w:t>
      </w:r>
      <w:r w:rsidRPr="00C0715E">
        <w:rPr>
          <w:lang w:val="en-US"/>
        </w:rPr>
        <w:t xml:space="preserve">, 336 U.S. 106, 115 </w:t>
      </w:r>
      <w:bookmarkStart w:id="72" w:name="_Hlk228447566"/>
      <w:r w:rsidRPr="00C0715E">
        <w:rPr>
          <w:lang w:val="en-US"/>
        </w:rPr>
        <w:t>(</w:t>
      </w:r>
      <w:r w:rsidRPr="00744667">
        <w:rPr>
          <w:i/>
          <w:lang w:val="en-US"/>
        </w:rPr>
        <w:t>concurring opinion</w:t>
      </w:r>
      <w:r>
        <w:rPr>
          <w:lang w:val="en-US"/>
        </w:rPr>
        <w:t xml:space="preserve"> von Richter </w:t>
      </w:r>
      <w:r w:rsidRPr="00B45592">
        <w:rPr>
          <w:i/>
          <w:lang w:val="en-US"/>
        </w:rPr>
        <w:t>Jackson</w:t>
      </w:r>
      <w:r w:rsidRPr="00C0715E">
        <w:rPr>
          <w:lang w:val="en-US"/>
        </w:rPr>
        <w:t>)</w:t>
      </w:r>
      <w:r>
        <w:rPr>
          <w:lang w:val="en-US"/>
        </w:rPr>
        <w:t xml:space="preserve">; </w:t>
      </w:r>
      <w:bookmarkEnd w:id="72"/>
      <w:r w:rsidRPr="001F38CE">
        <w:rPr>
          <w:i/>
          <w:lang w:val="en-US"/>
        </w:rPr>
        <w:t xml:space="preserve">Fullilove v. </w:t>
      </w:r>
      <w:proofErr w:type="spellStart"/>
      <w:r w:rsidRPr="001F38CE">
        <w:rPr>
          <w:i/>
          <w:lang w:val="en-US"/>
        </w:rPr>
        <w:t>Klutznick</w:t>
      </w:r>
      <w:proofErr w:type="spellEnd"/>
      <w:r w:rsidRPr="00C0715E">
        <w:rPr>
          <w:lang w:val="en-US"/>
        </w:rPr>
        <w:t>, 448 U.S. 448, 533</w:t>
      </w:r>
      <w:r>
        <w:rPr>
          <w:lang w:val="en-US"/>
        </w:rPr>
        <w:t xml:space="preserve"> = 100 S. Ct.</w:t>
      </w:r>
      <w:r w:rsidRPr="00C0715E">
        <w:rPr>
          <w:lang w:val="en-US"/>
        </w:rPr>
        <w:t xml:space="preserve"> 2758, 2803</w:t>
      </w:r>
      <w:r>
        <w:rPr>
          <w:lang w:val="en-US"/>
        </w:rPr>
        <w:t xml:space="preserve"> = 65 L. Ed. </w:t>
      </w:r>
      <w:r w:rsidRPr="00C0715E">
        <w:rPr>
          <w:lang w:val="en-US"/>
        </w:rPr>
        <w:t>2d 902, 960</w:t>
      </w:r>
      <w:r>
        <w:rPr>
          <w:lang w:val="en-US"/>
        </w:rPr>
        <w:t xml:space="preserve"> = 1980 U.S. LEXIS </w:t>
      </w:r>
      <w:r w:rsidRPr="00C0715E">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C0715E">
        <w:rPr>
          <w:lang w:val="en-US"/>
        </w:rPr>
        <w:t>(CCH) P31,026</w:t>
      </w:r>
      <w:r>
        <w:rPr>
          <w:lang w:val="en-US"/>
        </w:rPr>
        <w:t xml:space="preserve"> = 27 Cont. Cas. Fed. </w:t>
      </w:r>
      <w:r w:rsidRPr="00C0715E">
        <w:rPr>
          <w:lang w:val="en-US"/>
        </w:rPr>
        <w:t>(CCH) P80,496 (1980)</w:t>
      </w:r>
      <w:r>
        <w:rPr>
          <w:lang w:val="en-US"/>
        </w:rPr>
        <w:t>.</w:t>
      </w:r>
    </w:p>
  </w:footnote>
  <w:footnote w:id="1893">
    <w:p w14:paraId="49A6C7FA" w14:textId="77777777" w:rsidR="00074551" w:rsidRPr="00C0715E" w:rsidRDefault="00074551" w:rsidP="00074551">
      <w:pPr>
        <w:pStyle w:val="Funotentext"/>
        <w:rPr>
          <w:lang w:val="en-US"/>
        </w:rPr>
      </w:pPr>
      <w:r>
        <w:rPr>
          <w:rStyle w:val="Funotenzeichen"/>
          <w:rFonts w:eastAsiaTheme="majorEastAsia"/>
        </w:rPr>
        <w:footnoteRef/>
      </w:r>
      <w:r w:rsidRPr="00C0715E">
        <w:rPr>
          <w:lang w:val="en-US"/>
        </w:rPr>
        <w:t xml:space="preserve"> </w:t>
      </w:r>
      <w:r w:rsidRPr="00A15962">
        <w:rPr>
          <w:i/>
          <w:lang w:val="en-US"/>
        </w:rPr>
        <w:t>Mathews v. Lucas</w:t>
      </w:r>
      <w:r w:rsidRPr="00C0715E">
        <w:rPr>
          <w:lang w:val="en-US"/>
        </w:rPr>
        <w:t xml:space="preserve">, </w:t>
      </w:r>
      <w:r w:rsidRPr="00B45592">
        <w:rPr>
          <w:lang w:val="en-US"/>
        </w:rPr>
        <w:t>427 U.S. 495</w:t>
      </w:r>
      <w:r w:rsidRPr="00C0715E">
        <w:rPr>
          <w:lang w:val="en-US"/>
        </w:rPr>
        <w:t>, 520</w:t>
      </w:r>
      <w:r>
        <w:rPr>
          <w:lang w:val="en-US"/>
        </w:rPr>
        <w:t>–</w:t>
      </w:r>
      <w:r w:rsidRPr="00C0715E">
        <w:rPr>
          <w:lang w:val="en-US"/>
        </w:rPr>
        <w:t xml:space="preserve">521 </w:t>
      </w:r>
      <w:r w:rsidRPr="00A15962">
        <w:rPr>
          <w:lang w:val="en-US"/>
        </w:rPr>
        <w:t>(</w:t>
      </w:r>
      <w:r w:rsidRPr="00B45592">
        <w:rPr>
          <w:lang w:val="en-US"/>
        </w:rPr>
        <w:t xml:space="preserve">Dissens von Richter </w:t>
      </w:r>
      <w:r w:rsidRPr="00B45592">
        <w:rPr>
          <w:i/>
          <w:lang w:val="en-US"/>
        </w:rPr>
        <w:t>Stevens</w:t>
      </w:r>
      <w:r w:rsidRPr="00A15962">
        <w:rPr>
          <w:lang w:val="en-US"/>
        </w:rPr>
        <w:t>)</w:t>
      </w:r>
      <w:bookmarkStart w:id="73" w:name="_Hlk229223904"/>
      <w:r w:rsidRPr="00C0715E">
        <w:rPr>
          <w:lang w:val="en-US"/>
        </w:rPr>
        <w:t xml:space="preserve">; </w:t>
      </w:r>
      <w:bookmarkEnd w:id="73"/>
      <w:r w:rsidRPr="001F38CE">
        <w:rPr>
          <w:i/>
          <w:lang w:val="en-US"/>
        </w:rPr>
        <w:t xml:space="preserve">Fullilove v. </w:t>
      </w:r>
      <w:proofErr w:type="spellStart"/>
      <w:r w:rsidRPr="001F38CE">
        <w:rPr>
          <w:i/>
          <w:lang w:val="en-US"/>
        </w:rPr>
        <w:t>Klutznick</w:t>
      </w:r>
      <w:proofErr w:type="spellEnd"/>
      <w:r w:rsidRPr="00C0715E">
        <w:rPr>
          <w:lang w:val="en-US"/>
        </w:rPr>
        <w:t>, 448 U.S. 448, 534</w:t>
      </w:r>
      <w:r>
        <w:rPr>
          <w:lang w:val="en-US"/>
        </w:rPr>
        <w:t xml:space="preserve"> = 100 S. Ct.</w:t>
      </w:r>
      <w:r w:rsidRPr="00C0715E">
        <w:rPr>
          <w:lang w:val="en-US"/>
        </w:rPr>
        <w:t xml:space="preserve"> 2758, 2803</w:t>
      </w:r>
      <w:r>
        <w:rPr>
          <w:lang w:val="en-US"/>
        </w:rPr>
        <w:t xml:space="preserve"> = 65 L. Ed. </w:t>
      </w:r>
      <w:r w:rsidRPr="00C0715E">
        <w:rPr>
          <w:lang w:val="en-US"/>
        </w:rPr>
        <w:t>2d 902, 960</w:t>
      </w:r>
      <w:r>
        <w:rPr>
          <w:lang w:val="en-US"/>
        </w:rPr>
        <w:t xml:space="preserve"> = 1980 U.S. LEXIS </w:t>
      </w:r>
      <w:r w:rsidRPr="00C0715E">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C0715E">
        <w:rPr>
          <w:lang w:val="en-US"/>
        </w:rPr>
        <w:t>(CCH) P31,026</w:t>
      </w:r>
      <w:r>
        <w:rPr>
          <w:lang w:val="en-US"/>
        </w:rPr>
        <w:t xml:space="preserve"> = 27 Cont. Cas. Fed. </w:t>
      </w:r>
      <w:r w:rsidRPr="00C0715E">
        <w:rPr>
          <w:lang w:val="en-US"/>
        </w:rPr>
        <w:t>(CCH) P80,496 (1980)</w:t>
      </w:r>
      <w:r>
        <w:rPr>
          <w:lang w:val="en-US"/>
        </w:rPr>
        <w:t>.</w:t>
      </w:r>
    </w:p>
  </w:footnote>
  <w:footnote w:id="1894">
    <w:p w14:paraId="1E528D0D" w14:textId="77777777" w:rsidR="00074551" w:rsidRPr="00C0715E" w:rsidRDefault="00074551" w:rsidP="00074551">
      <w:pPr>
        <w:pStyle w:val="Funotentext"/>
        <w:rPr>
          <w:lang w:val="en-US"/>
        </w:rPr>
      </w:pPr>
      <w:r>
        <w:rPr>
          <w:rStyle w:val="Funotenzeichen"/>
          <w:rFonts w:eastAsiaTheme="majorEastAsia"/>
        </w:rPr>
        <w:footnoteRef/>
      </w:r>
      <w:r w:rsidRPr="00C0715E">
        <w:rPr>
          <w:lang w:val="en-US"/>
        </w:rPr>
        <w:t xml:space="preserve"> </w:t>
      </w:r>
      <w:r w:rsidRPr="001F38CE">
        <w:rPr>
          <w:i/>
          <w:lang w:val="en-US"/>
        </w:rPr>
        <w:t xml:space="preserve">Fullilove v. </w:t>
      </w:r>
      <w:proofErr w:type="spellStart"/>
      <w:r w:rsidRPr="001F38CE">
        <w:rPr>
          <w:i/>
          <w:lang w:val="en-US"/>
        </w:rPr>
        <w:t>Klutznick</w:t>
      </w:r>
      <w:proofErr w:type="spellEnd"/>
      <w:r w:rsidRPr="00C0715E">
        <w:rPr>
          <w:lang w:val="en-US"/>
        </w:rPr>
        <w:t>, 448 U.S. 448, 534</w:t>
      </w:r>
      <w:r>
        <w:rPr>
          <w:lang w:val="en-US"/>
        </w:rPr>
        <w:t xml:space="preserve"> = 100 S. Ct.</w:t>
      </w:r>
      <w:r w:rsidRPr="00C0715E">
        <w:rPr>
          <w:lang w:val="en-US"/>
        </w:rPr>
        <w:t xml:space="preserve"> 2758, 2804</w:t>
      </w:r>
      <w:r>
        <w:rPr>
          <w:lang w:val="en-US"/>
        </w:rPr>
        <w:t xml:space="preserve"> = 65 L. Ed. </w:t>
      </w:r>
      <w:r w:rsidRPr="00C0715E">
        <w:rPr>
          <w:lang w:val="en-US"/>
        </w:rPr>
        <w:t>2d 902, 960</w:t>
      </w:r>
      <w:r>
        <w:rPr>
          <w:lang w:val="en-US"/>
        </w:rPr>
        <w:t xml:space="preserve"> = 1980 U.S. LEXIS </w:t>
      </w:r>
      <w:r w:rsidRPr="00C0715E">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C0715E">
        <w:rPr>
          <w:lang w:val="en-US"/>
        </w:rPr>
        <w:t>(CCH) P31,026</w:t>
      </w:r>
      <w:r>
        <w:rPr>
          <w:lang w:val="en-US"/>
        </w:rPr>
        <w:t xml:space="preserve"> = 27 Cont. Cas. Fed. </w:t>
      </w:r>
      <w:r w:rsidRPr="00C0715E">
        <w:rPr>
          <w:lang w:val="en-US"/>
        </w:rPr>
        <w:t>(CCH) P80,496 (1980)</w:t>
      </w:r>
      <w:r>
        <w:rPr>
          <w:lang w:val="en-US"/>
        </w:rPr>
        <w:t>.</w:t>
      </w:r>
    </w:p>
  </w:footnote>
  <w:footnote w:id="1895">
    <w:p w14:paraId="5FF9ED49" w14:textId="77777777" w:rsidR="00074551" w:rsidRPr="00C0715E" w:rsidRDefault="00074551" w:rsidP="00074551">
      <w:pPr>
        <w:pStyle w:val="Funotentext"/>
        <w:rPr>
          <w:lang w:val="en-US"/>
        </w:rPr>
      </w:pPr>
      <w:r>
        <w:rPr>
          <w:rStyle w:val="Funotenzeichen"/>
          <w:rFonts w:eastAsiaTheme="majorEastAsia"/>
        </w:rPr>
        <w:footnoteRef/>
      </w:r>
      <w:r w:rsidRPr="00C0715E">
        <w:rPr>
          <w:lang w:val="en-US"/>
        </w:rPr>
        <w:t xml:space="preserve"> </w:t>
      </w:r>
      <w:r w:rsidRPr="001F38CE">
        <w:rPr>
          <w:i/>
          <w:lang w:val="en-US"/>
        </w:rPr>
        <w:t xml:space="preserve">Fullilove v. </w:t>
      </w:r>
      <w:proofErr w:type="spellStart"/>
      <w:r w:rsidRPr="001F38CE">
        <w:rPr>
          <w:i/>
          <w:lang w:val="en-US"/>
        </w:rPr>
        <w:t>Klutznick</w:t>
      </w:r>
      <w:proofErr w:type="spellEnd"/>
      <w:r w:rsidRPr="00C0715E">
        <w:rPr>
          <w:lang w:val="en-US"/>
        </w:rPr>
        <w:t>, 448 U.S. 448, 535</w:t>
      </w:r>
      <w:r>
        <w:rPr>
          <w:lang w:val="en-US"/>
        </w:rPr>
        <w:t xml:space="preserve"> = 100 S. Ct.</w:t>
      </w:r>
      <w:r w:rsidRPr="00C0715E">
        <w:rPr>
          <w:lang w:val="en-US"/>
        </w:rPr>
        <w:t xml:space="preserve"> 2758, 2804</w:t>
      </w:r>
      <w:r>
        <w:rPr>
          <w:lang w:val="en-US"/>
        </w:rPr>
        <w:t xml:space="preserve"> = 65 L. Ed. </w:t>
      </w:r>
      <w:r w:rsidRPr="00C0715E">
        <w:rPr>
          <w:lang w:val="en-US"/>
        </w:rPr>
        <w:t>2d 902, 961</w:t>
      </w:r>
      <w:r>
        <w:rPr>
          <w:lang w:val="en-US"/>
        </w:rPr>
        <w:t xml:space="preserve"> = 1980 U.S. LEXIS </w:t>
      </w:r>
      <w:r w:rsidRPr="00C0715E">
        <w:rPr>
          <w:lang w:val="en-US"/>
        </w:rPr>
        <w:t>8, 149</w:t>
      </w:r>
      <w:r>
        <w:rPr>
          <w:lang w:val="en-US"/>
        </w:rPr>
        <w:t xml:space="preserve"> = 23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Dec. </w:t>
      </w:r>
      <w:r w:rsidRPr="00C0715E">
        <w:rPr>
          <w:lang w:val="en-US"/>
        </w:rPr>
        <w:t>(CCH) P31,026</w:t>
      </w:r>
      <w:r>
        <w:rPr>
          <w:lang w:val="en-US"/>
        </w:rPr>
        <w:t xml:space="preserve"> = 27 Cont. Cas. Fed. </w:t>
      </w:r>
      <w:r w:rsidRPr="00C0715E">
        <w:rPr>
          <w:lang w:val="en-US"/>
        </w:rPr>
        <w:t>(CCH) P80,496 (1980)</w:t>
      </w:r>
      <w:r>
        <w:rPr>
          <w:lang w:val="en-US"/>
        </w:rPr>
        <w:t>.</w:t>
      </w:r>
    </w:p>
  </w:footnote>
  <w:footnote w:id="1896">
    <w:p w14:paraId="6475CD2F" w14:textId="1EDC5B5C" w:rsidR="00AC647A" w:rsidRPr="002F5233" w:rsidRDefault="00AC647A">
      <w:pPr>
        <w:pStyle w:val="Funotentext"/>
        <w:rPr>
          <w:iCs/>
        </w:rPr>
      </w:pPr>
      <w:r>
        <w:rPr>
          <w:rStyle w:val="Funotenzeichen"/>
        </w:rPr>
        <w:footnoteRef/>
      </w:r>
      <w:r w:rsidRPr="00AC647A">
        <w:rPr>
          <w:lang w:val="en-US"/>
        </w:rPr>
        <w:t xml:space="preserve"> </w:t>
      </w:r>
      <w:r w:rsidRPr="00AC647A">
        <w:t xml:space="preserve">Der </w:t>
      </w:r>
      <w:r w:rsidRPr="00AC647A">
        <w:rPr>
          <w:i/>
          <w:iCs/>
        </w:rPr>
        <w:t>Dissens</w:t>
      </w:r>
      <w:r w:rsidRPr="00AC647A">
        <w:t xml:space="preserve"> wurde oben bereits unter dem Gesichtspunkt </w:t>
      </w:r>
      <w:r w:rsidR="002F5233">
        <w:t xml:space="preserve">des </w:t>
      </w:r>
      <w:proofErr w:type="spellStart"/>
      <w:r w:rsidR="002F5233" w:rsidRPr="00AC647A">
        <w:rPr>
          <w:i/>
          <w:iCs/>
        </w:rPr>
        <w:t>Judicial</w:t>
      </w:r>
      <w:proofErr w:type="spellEnd"/>
      <w:r w:rsidR="002F5233" w:rsidRPr="00AC647A">
        <w:rPr>
          <w:i/>
          <w:iCs/>
        </w:rPr>
        <w:t xml:space="preserve"> Review</w:t>
      </w:r>
      <w:r w:rsidR="002F5233" w:rsidRPr="00AC647A">
        <w:t xml:space="preserve"> </w:t>
      </w:r>
      <w:r w:rsidR="002F5233">
        <w:t xml:space="preserve">und </w:t>
      </w:r>
      <w:r w:rsidRPr="00AC647A">
        <w:t>der Altersdiskriminierung eingeordnet. Hier ist er nochmals unter dem Strukturelement des </w:t>
      </w:r>
      <w:r w:rsidR="002F5233" w:rsidRPr="002F5233">
        <w:rPr>
          <w:i/>
          <w:iCs/>
          <w:lang w:val="en-US"/>
        </w:rPr>
        <w:t>Case or Controversy Clause</w:t>
      </w:r>
      <w:r w:rsidR="002F5233">
        <w:rPr>
          <w:i/>
          <w:iCs/>
          <w:lang w:val="en-US"/>
        </w:rPr>
        <w:t>/</w:t>
      </w:r>
      <w:proofErr w:type="spellStart"/>
      <w:r w:rsidR="002F5233" w:rsidRPr="002F5233">
        <w:rPr>
          <w:i/>
        </w:rPr>
        <w:t>Congressional</w:t>
      </w:r>
      <w:proofErr w:type="spellEnd"/>
      <w:r w:rsidR="002F5233" w:rsidRPr="002F5233">
        <w:rPr>
          <w:i/>
        </w:rPr>
        <w:t xml:space="preserve"> </w:t>
      </w:r>
      <w:proofErr w:type="spellStart"/>
      <w:r w:rsidR="002F5233" w:rsidRPr="002F5233">
        <w:rPr>
          <w:i/>
        </w:rPr>
        <w:t>Duties</w:t>
      </w:r>
      <w:proofErr w:type="spellEnd"/>
      <w:r w:rsidR="002F5233" w:rsidRPr="002F5233">
        <w:rPr>
          <w:i/>
        </w:rPr>
        <w:t xml:space="preserve"> &amp; Powers</w:t>
      </w:r>
      <w:r w:rsidRPr="00AC647A">
        <w:t> relevant, weil</w:t>
      </w:r>
      <w:r w:rsidR="002F5233">
        <w:t xml:space="preserve"> die</w:t>
      </w:r>
      <w:r w:rsidRPr="00AC647A">
        <w:t xml:space="preserve"> Intensität der gerichtlichen Kontrolle </w:t>
      </w:r>
      <w:r w:rsidR="002F5233">
        <w:t>hier einen weiteren Schwerpunkt umfasst.</w:t>
      </w:r>
    </w:p>
  </w:footnote>
  <w:footnote w:id="1897">
    <w:p w14:paraId="1210E0E4" w14:textId="77777777" w:rsidR="00074551" w:rsidRPr="001E797D" w:rsidRDefault="00074551" w:rsidP="00074551">
      <w:pPr>
        <w:pStyle w:val="Funotentext"/>
        <w:rPr>
          <w:lang w:val="en-US"/>
        </w:rPr>
      </w:pPr>
      <w:r>
        <w:rPr>
          <w:rStyle w:val="Funotenzeichen"/>
          <w:rFonts w:eastAsiaTheme="majorEastAsia"/>
        </w:rPr>
        <w:footnoteRef/>
      </w:r>
      <w:r w:rsidRPr="001E797D">
        <w:rPr>
          <w:lang w:val="en-US"/>
        </w:rPr>
        <w:t xml:space="preserve"> </w:t>
      </w:r>
      <w:r w:rsidRPr="00A15962">
        <w:rPr>
          <w:i/>
          <w:lang w:val="en-US"/>
        </w:rPr>
        <w:t>Massachusetts Bd. of Retirement v. Murgia</w:t>
      </w:r>
      <w:r w:rsidRPr="001E797D">
        <w:rPr>
          <w:lang w:val="en-US"/>
        </w:rPr>
        <w:t>, 427 U.S. 307, 308</w:t>
      </w:r>
      <w:r w:rsidRPr="006E67FE">
        <w:rPr>
          <w:lang w:val="en-US"/>
        </w:rPr>
        <w:t xml:space="preserve"> = 96 S. Ct. </w:t>
      </w:r>
      <w:r w:rsidRPr="001E797D">
        <w:rPr>
          <w:lang w:val="en-US"/>
        </w:rPr>
        <w:t>2562, 2564</w:t>
      </w:r>
      <w:r w:rsidRPr="006E67FE">
        <w:rPr>
          <w:lang w:val="en-US"/>
        </w:rPr>
        <w:t xml:space="preserve"> = 49 L. Ed. </w:t>
      </w:r>
      <w:r w:rsidRPr="001E797D">
        <w:rPr>
          <w:lang w:val="en-US"/>
        </w:rPr>
        <w:t>2d 520, 522</w:t>
      </w:r>
      <w:r w:rsidRPr="005D5028">
        <w:rPr>
          <w:lang w:val="en-US"/>
        </w:rPr>
        <w:t xml:space="preserve"> = 1976 U.S. LEXIS </w:t>
      </w:r>
      <w:r w:rsidRPr="001E797D">
        <w:rPr>
          <w:lang w:val="en-US"/>
        </w:rPr>
        <w:t>9, 1</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1E797D">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1E797D">
        <w:rPr>
          <w:lang w:val="en-US"/>
        </w:rPr>
        <w:t>Dec. (CCH) P10,998</w:t>
      </w:r>
      <w:r>
        <w:rPr>
          <w:lang w:val="en-US"/>
        </w:rPr>
        <w:t xml:space="preserve"> = 1 Employee Benefits </w:t>
      </w:r>
      <w:r w:rsidRPr="001E797D">
        <w:rPr>
          <w:lang w:val="en-US"/>
        </w:rPr>
        <w:t>Cas. (BNA) 1032 (1976)</w:t>
      </w:r>
      <w:r>
        <w:rPr>
          <w:lang w:val="en-US"/>
        </w:rPr>
        <w:t>.</w:t>
      </w:r>
    </w:p>
  </w:footnote>
  <w:footnote w:id="1898">
    <w:p w14:paraId="2C90365D" w14:textId="77777777" w:rsidR="00074551" w:rsidRPr="00261A59" w:rsidRDefault="00074551" w:rsidP="00074551">
      <w:pPr>
        <w:pStyle w:val="Funotentext"/>
        <w:rPr>
          <w:lang w:val="en-US"/>
        </w:rPr>
      </w:pPr>
      <w:r>
        <w:rPr>
          <w:rStyle w:val="Funotenzeichen"/>
          <w:rFonts w:eastAsiaTheme="majorEastAsia"/>
        </w:rPr>
        <w:footnoteRef/>
      </w:r>
      <w:r w:rsidRPr="00261A59">
        <w:rPr>
          <w:lang w:val="en-US"/>
        </w:rPr>
        <w:t xml:space="preserve"> </w:t>
      </w:r>
      <w:r w:rsidRPr="009E57E1">
        <w:rPr>
          <w:i/>
          <w:lang w:val="en-US"/>
        </w:rPr>
        <w:t>Board of Regents v. Roth</w:t>
      </w:r>
      <w:r w:rsidRPr="00261A59">
        <w:rPr>
          <w:lang w:val="en-US"/>
        </w:rPr>
        <w:t xml:space="preserve">, 408 U.S. 564, 572 (1972), </w:t>
      </w:r>
      <w:proofErr w:type="spellStart"/>
      <w:r>
        <w:rPr>
          <w:lang w:val="en-US"/>
        </w:rPr>
        <w:t>zitierend</w:t>
      </w:r>
      <w:proofErr w:type="spellEnd"/>
      <w:r>
        <w:rPr>
          <w:lang w:val="en-US"/>
        </w:rPr>
        <w:t xml:space="preserve"> </w:t>
      </w:r>
      <w:proofErr w:type="spellStart"/>
      <w:r>
        <w:rPr>
          <w:lang w:val="en-US"/>
        </w:rPr>
        <w:t>aus</w:t>
      </w:r>
      <w:proofErr w:type="spellEnd"/>
      <w:r w:rsidRPr="00261A59">
        <w:rPr>
          <w:lang w:val="en-US"/>
        </w:rPr>
        <w:t xml:space="preserve"> </w:t>
      </w:r>
      <w:r w:rsidRPr="009E57E1">
        <w:rPr>
          <w:i/>
          <w:lang w:val="en-US"/>
        </w:rPr>
        <w:t>Meyer v. Nebraska</w:t>
      </w:r>
      <w:r w:rsidRPr="00261A59">
        <w:rPr>
          <w:lang w:val="en-US"/>
        </w:rPr>
        <w:t>, 262 U.S. 390, 399 (1923)</w:t>
      </w:r>
      <w:r>
        <w:rPr>
          <w:lang w:val="en-US"/>
        </w:rPr>
        <w:t xml:space="preserve">; </w:t>
      </w:r>
      <w:r w:rsidRPr="00A15962">
        <w:rPr>
          <w:i/>
          <w:lang w:val="en-US"/>
        </w:rPr>
        <w:t>Massachusetts Bd. of Retirement v. Murgia</w:t>
      </w:r>
      <w:r w:rsidRPr="00261A59">
        <w:rPr>
          <w:lang w:val="en-US"/>
        </w:rPr>
        <w:t>, 427 U.S. 307, 322</w:t>
      </w:r>
      <w:r w:rsidRPr="006E67FE">
        <w:rPr>
          <w:lang w:val="en-US"/>
        </w:rPr>
        <w:t xml:space="preserve"> = 96 S. Ct. </w:t>
      </w:r>
      <w:r w:rsidRPr="00261A59">
        <w:rPr>
          <w:lang w:val="en-US"/>
        </w:rPr>
        <w:t>2562, 2571</w:t>
      </w:r>
      <w:r w:rsidRPr="006E67FE">
        <w:rPr>
          <w:lang w:val="en-US"/>
        </w:rPr>
        <w:t xml:space="preserve"> = 49 L. Ed. </w:t>
      </w:r>
      <w:r w:rsidRPr="00261A59">
        <w:rPr>
          <w:lang w:val="en-US"/>
        </w:rPr>
        <w:t>2d 520, 530</w:t>
      </w:r>
      <w:r w:rsidRPr="005D5028">
        <w:rPr>
          <w:lang w:val="en-US"/>
        </w:rPr>
        <w:t xml:space="preserve"> = 1976 U.S. LEXIS </w:t>
      </w:r>
      <w:r w:rsidRPr="00261A59">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261A59">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261A59">
        <w:rPr>
          <w:lang w:val="en-US"/>
        </w:rPr>
        <w:t>Dec. (CCH) P10,998</w:t>
      </w:r>
      <w:r>
        <w:rPr>
          <w:lang w:val="en-US"/>
        </w:rPr>
        <w:t xml:space="preserve"> = 1 Employee Benefits </w:t>
      </w:r>
      <w:r w:rsidRPr="00261A59">
        <w:rPr>
          <w:lang w:val="en-US"/>
        </w:rPr>
        <w:t>Cas. (BNA) 1032 (1976)</w:t>
      </w:r>
      <w:r>
        <w:rPr>
          <w:lang w:val="en-US"/>
        </w:rPr>
        <w:t>.</w:t>
      </w:r>
    </w:p>
  </w:footnote>
  <w:footnote w:id="1899">
    <w:p w14:paraId="338255B8" w14:textId="77777777" w:rsidR="00074551" w:rsidRPr="00A05906" w:rsidRDefault="00074551" w:rsidP="00074551">
      <w:pPr>
        <w:pStyle w:val="Funotentext"/>
        <w:rPr>
          <w:lang w:val="en-US"/>
        </w:rPr>
      </w:pPr>
      <w:r>
        <w:rPr>
          <w:rStyle w:val="Funotenzeichen"/>
          <w:rFonts w:eastAsiaTheme="majorEastAsia"/>
        </w:rPr>
        <w:footnoteRef/>
      </w:r>
      <w:r w:rsidRPr="00830330">
        <w:rPr>
          <w:lang w:val="en-US"/>
        </w:rPr>
        <w:t xml:space="preserve"> </w:t>
      </w:r>
      <w:r w:rsidRPr="00B45592">
        <w:rPr>
          <w:i/>
          <w:lang w:val="en-US"/>
        </w:rPr>
        <w:t>Butchers’ Union Co. v. Crescent City Co.</w:t>
      </w:r>
      <w:r w:rsidRPr="00830330">
        <w:rPr>
          <w:lang w:val="en-US"/>
        </w:rPr>
        <w:t>, 111 U.S. 746 (1884)</w:t>
      </w:r>
      <w:r>
        <w:rPr>
          <w:lang w:val="en-US"/>
        </w:rPr>
        <w:t xml:space="preserve">; </w:t>
      </w:r>
      <w:r w:rsidRPr="00A15962">
        <w:rPr>
          <w:i/>
          <w:lang w:val="en-US"/>
        </w:rPr>
        <w:t>Massachusetts Bd. of Retirement v. Murgia</w:t>
      </w:r>
      <w:r w:rsidRPr="00830330">
        <w:rPr>
          <w:lang w:val="en-US"/>
        </w:rPr>
        <w:t>, 427 U.S. 307, 322</w:t>
      </w:r>
      <w:r w:rsidRPr="006E67FE">
        <w:rPr>
          <w:lang w:val="en-US"/>
        </w:rPr>
        <w:t xml:space="preserve"> = 96 S. Ct. </w:t>
      </w:r>
      <w:r w:rsidRPr="00830330">
        <w:rPr>
          <w:lang w:val="en-US"/>
        </w:rPr>
        <w:t>2562, 2571</w:t>
      </w:r>
      <w:r w:rsidRPr="006E67FE">
        <w:rPr>
          <w:lang w:val="en-US"/>
        </w:rPr>
        <w:t xml:space="preserve"> = 49 L. Ed. </w:t>
      </w:r>
      <w:r w:rsidRPr="00830330">
        <w:rPr>
          <w:lang w:val="en-US"/>
        </w:rPr>
        <w:t>2d 520, 530</w:t>
      </w:r>
      <w:r w:rsidRPr="005D5028">
        <w:rPr>
          <w:lang w:val="en-US"/>
        </w:rPr>
        <w:t xml:space="preserve"> = 1976 U.S. LEXIS </w:t>
      </w:r>
      <w:r w:rsidRPr="00830330">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830330">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830330">
        <w:rPr>
          <w:lang w:val="en-US"/>
        </w:rPr>
        <w:t>Dec. (CCH) P10,998</w:t>
      </w:r>
      <w:r>
        <w:rPr>
          <w:lang w:val="en-US"/>
        </w:rPr>
        <w:t xml:space="preserve"> = 1 Employee Benefits </w:t>
      </w:r>
      <w:r w:rsidRPr="00830330">
        <w:rPr>
          <w:lang w:val="en-US"/>
        </w:rPr>
        <w:t xml:space="preserve">Cas. </w:t>
      </w:r>
      <w:r w:rsidRPr="00A05906">
        <w:rPr>
          <w:lang w:val="en-US"/>
        </w:rPr>
        <w:t>(BNA) 1032 (1976)</w:t>
      </w:r>
      <w:r>
        <w:rPr>
          <w:lang w:val="en-US"/>
        </w:rPr>
        <w:t>.</w:t>
      </w:r>
    </w:p>
  </w:footnote>
  <w:footnote w:id="1900">
    <w:p w14:paraId="2A1F35B5" w14:textId="77777777" w:rsidR="00074551" w:rsidRPr="003F6BC5" w:rsidRDefault="00074551" w:rsidP="00074551">
      <w:pPr>
        <w:pStyle w:val="Funotentext"/>
        <w:rPr>
          <w:lang w:val="en-US"/>
        </w:rPr>
      </w:pPr>
      <w:r>
        <w:rPr>
          <w:rStyle w:val="Funotenzeichen"/>
          <w:rFonts w:eastAsiaTheme="majorEastAsia"/>
        </w:rPr>
        <w:footnoteRef/>
      </w:r>
      <w:r w:rsidRPr="003F6BC5">
        <w:rPr>
          <w:lang w:val="en-US"/>
        </w:rPr>
        <w:t xml:space="preserve"> </w:t>
      </w:r>
      <w:r w:rsidRPr="00B45592">
        <w:rPr>
          <w:i/>
          <w:lang w:val="en-US"/>
        </w:rPr>
        <w:t>Butchers’ Union Co. v. Crescent City Co.</w:t>
      </w:r>
      <w:r w:rsidRPr="003F6BC5">
        <w:rPr>
          <w:lang w:val="en-US"/>
        </w:rPr>
        <w:t>, 111 U.S. 746 (1884)</w:t>
      </w:r>
      <w:r>
        <w:rPr>
          <w:lang w:val="en-US"/>
        </w:rPr>
        <w:t xml:space="preserve">; </w:t>
      </w:r>
      <w:r w:rsidRPr="00A15962">
        <w:rPr>
          <w:i/>
          <w:lang w:val="en-US"/>
        </w:rPr>
        <w:t>Massachusetts Bd. of Retirement v. Murgia</w:t>
      </w:r>
      <w:r w:rsidRPr="003F6BC5">
        <w:rPr>
          <w:lang w:val="en-US"/>
        </w:rPr>
        <w:t>, 427 U.S. 307, 322</w:t>
      </w:r>
      <w:r w:rsidRPr="006E67FE">
        <w:rPr>
          <w:lang w:val="en-US"/>
        </w:rPr>
        <w:t xml:space="preserve"> = 96 S. Ct. </w:t>
      </w:r>
      <w:r w:rsidRPr="003F6BC5">
        <w:rPr>
          <w:lang w:val="en-US"/>
        </w:rPr>
        <w:t>2562, 2571</w:t>
      </w:r>
      <w:r w:rsidRPr="006E67FE">
        <w:rPr>
          <w:lang w:val="en-US"/>
        </w:rPr>
        <w:t xml:space="preserve"> = 49 L. Ed. </w:t>
      </w:r>
      <w:r w:rsidRPr="003F6BC5">
        <w:rPr>
          <w:lang w:val="en-US"/>
        </w:rPr>
        <w:t>2d 520, 530</w:t>
      </w:r>
      <w:r w:rsidRPr="005D5028">
        <w:rPr>
          <w:lang w:val="en-US"/>
        </w:rPr>
        <w:t xml:space="preserve"> = 1976 U.S. LEXIS </w:t>
      </w:r>
      <w:r w:rsidRPr="003F6BC5">
        <w:rPr>
          <w:lang w:val="en-US"/>
        </w:rPr>
        <w:t>9, 23</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3F6BC5">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3F6BC5">
        <w:rPr>
          <w:lang w:val="en-US"/>
        </w:rPr>
        <w:t>Dec. (CCH) P10,998</w:t>
      </w:r>
      <w:r>
        <w:rPr>
          <w:lang w:val="en-US"/>
        </w:rPr>
        <w:t xml:space="preserve"> = 1 Employee Benefits </w:t>
      </w:r>
      <w:r w:rsidRPr="003F6BC5">
        <w:rPr>
          <w:lang w:val="en-US"/>
        </w:rPr>
        <w:t>Cas. (BNA) 1032 (1976)</w:t>
      </w:r>
      <w:r>
        <w:rPr>
          <w:lang w:val="en-US"/>
        </w:rPr>
        <w:t>.</w:t>
      </w:r>
    </w:p>
  </w:footnote>
  <w:footnote w:id="1901">
    <w:p w14:paraId="0A5C2DA2" w14:textId="77777777" w:rsidR="00074551" w:rsidRPr="00753122" w:rsidRDefault="00074551" w:rsidP="00074551">
      <w:pPr>
        <w:pStyle w:val="Funotentext"/>
        <w:rPr>
          <w:lang w:val="en-US"/>
        </w:rPr>
      </w:pPr>
      <w:r>
        <w:rPr>
          <w:rStyle w:val="Funotenzeichen"/>
          <w:rFonts w:eastAsiaTheme="majorEastAsia"/>
        </w:rPr>
        <w:footnoteRef/>
      </w:r>
      <w:r w:rsidRPr="00753122">
        <w:rPr>
          <w:lang w:val="en-US"/>
        </w:rPr>
        <w:t xml:space="preserve"> Unter </w:t>
      </w:r>
      <w:proofErr w:type="spellStart"/>
      <w:r w:rsidRPr="00753122">
        <w:rPr>
          <w:lang w:val="en-US"/>
        </w:rPr>
        <w:t>vielen</w:t>
      </w:r>
      <w:proofErr w:type="spellEnd"/>
      <w:r w:rsidRPr="00753122">
        <w:rPr>
          <w:lang w:val="en-US"/>
        </w:rPr>
        <w:t xml:space="preserve">, </w:t>
      </w:r>
      <w:proofErr w:type="spellStart"/>
      <w:r w:rsidRPr="00753122">
        <w:rPr>
          <w:lang w:val="en-US"/>
        </w:rPr>
        <w:t>siehe</w:t>
      </w:r>
      <w:proofErr w:type="spellEnd"/>
      <w:r w:rsidRPr="00753122">
        <w:rPr>
          <w:lang w:val="en-US"/>
        </w:rPr>
        <w:t xml:space="preserve"> </w:t>
      </w:r>
      <w:r w:rsidRPr="00B45592">
        <w:rPr>
          <w:i/>
          <w:lang w:val="en-US"/>
        </w:rPr>
        <w:t>Smith v. Texas</w:t>
      </w:r>
      <w:r w:rsidRPr="00753122">
        <w:rPr>
          <w:lang w:val="en-US"/>
        </w:rPr>
        <w:t>, 233 U.S. 630 (1914).</w:t>
      </w:r>
    </w:p>
  </w:footnote>
  <w:footnote w:id="1902">
    <w:p w14:paraId="0D4F6144" w14:textId="77777777" w:rsidR="00074551" w:rsidRPr="007A313B" w:rsidRDefault="00074551" w:rsidP="00074551">
      <w:pPr>
        <w:pStyle w:val="Funotentext"/>
        <w:rPr>
          <w:lang w:val="en-US"/>
        </w:rPr>
      </w:pPr>
      <w:r>
        <w:rPr>
          <w:rStyle w:val="Funotenzeichen"/>
          <w:rFonts w:eastAsiaTheme="majorEastAsia"/>
        </w:rPr>
        <w:footnoteRef/>
      </w:r>
      <w:r w:rsidRPr="00930830">
        <w:rPr>
          <w:lang w:val="en-US"/>
        </w:rPr>
        <w:t xml:space="preserve"> </w:t>
      </w:r>
      <w:r w:rsidRPr="00B45592">
        <w:rPr>
          <w:i/>
          <w:lang w:val="en-US"/>
        </w:rPr>
        <w:t>Butchers’ Union Co. v. Crescent City Co.</w:t>
      </w:r>
      <w:r w:rsidRPr="00930830">
        <w:rPr>
          <w:lang w:val="en-US"/>
        </w:rPr>
        <w:t>, 111 U.S. 746 (1884)</w:t>
      </w:r>
      <w:r>
        <w:rPr>
          <w:lang w:val="en-US"/>
        </w:rPr>
        <w:t xml:space="preserve">; </w:t>
      </w:r>
      <w:r w:rsidRPr="00A15962">
        <w:rPr>
          <w:i/>
          <w:lang w:val="en-US"/>
        </w:rPr>
        <w:t>Massachusetts Bd. of Retirement v. Murgia</w:t>
      </w:r>
      <w:r w:rsidRPr="00930830">
        <w:rPr>
          <w:lang w:val="en-US"/>
        </w:rPr>
        <w:t>, 427 U.S. 307</w:t>
      </w:r>
      <w:r w:rsidRPr="006E67FE">
        <w:rPr>
          <w:lang w:val="en-US"/>
        </w:rPr>
        <w:t xml:space="preserve"> = 96 S. Ct. </w:t>
      </w:r>
      <w:r w:rsidRPr="00930830">
        <w:rPr>
          <w:lang w:val="en-US"/>
        </w:rPr>
        <w:t>2562</w:t>
      </w:r>
      <w:r w:rsidRPr="006E67FE">
        <w:rPr>
          <w:lang w:val="en-US"/>
        </w:rPr>
        <w:t xml:space="preserve"> = 49 L. Ed. </w:t>
      </w:r>
      <w:r w:rsidRPr="00930830">
        <w:rPr>
          <w:lang w:val="en-US"/>
        </w:rPr>
        <w:t>2d 520</w:t>
      </w:r>
      <w:r w:rsidRPr="005D5028">
        <w:rPr>
          <w:lang w:val="en-US"/>
        </w:rPr>
        <w:t xml:space="preserve"> = 1976 U.S. LEXIS </w:t>
      </w:r>
      <w:r w:rsidRPr="00930830">
        <w:rPr>
          <w:lang w:val="en-US"/>
        </w:rPr>
        <w:t>9</w:t>
      </w:r>
      <w:r>
        <w:rPr>
          <w:lang w:val="en-US"/>
        </w:rPr>
        <w:t xml:space="preserve"> = 12 Fair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930830">
        <w:rPr>
          <w:lang w:val="en-US"/>
        </w:rPr>
        <w:t>Cas. (BNA) 1569</w:t>
      </w:r>
      <w:r>
        <w:rPr>
          <w:lang w:val="en-US"/>
        </w:rPr>
        <w:t xml:space="preserve"> = 12 </w:t>
      </w:r>
      <w:proofErr w:type="spellStart"/>
      <w:r>
        <w:rPr>
          <w:lang w:val="en-US"/>
        </w:rPr>
        <w:t>Empl</w:t>
      </w:r>
      <w:proofErr w:type="spellEnd"/>
      <w:r>
        <w:rPr>
          <w:lang w:val="en-US"/>
        </w:rPr>
        <w:t xml:space="preserve">. </w:t>
      </w:r>
      <w:proofErr w:type="spellStart"/>
      <w:r>
        <w:rPr>
          <w:lang w:val="en-US"/>
        </w:rPr>
        <w:t>Prac</w:t>
      </w:r>
      <w:proofErr w:type="spellEnd"/>
      <w:r>
        <w:rPr>
          <w:lang w:val="en-US"/>
        </w:rPr>
        <w:t xml:space="preserve">. </w:t>
      </w:r>
      <w:r w:rsidRPr="00930830">
        <w:rPr>
          <w:lang w:val="en-US"/>
        </w:rPr>
        <w:t>Dec. (CCH) P10,998</w:t>
      </w:r>
      <w:r>
        <w:rPr>
          <w:lang w:val="en-US"/>
        </w:rPr>
        <w:t xml:space="preserve"> = 1 Employee Benefits </w:t>
      </w:r>
      <w:r w:rsidRPr="00930830">
        <w:rPr>
          <w:lang w:val="en-US"/>
        </w:rPr>
        <w:t xml:space="preserve">Cas. </w:t>
      </w:r>
      <w:r w:rsidRPr="007A313B">
        <w:rPr>
          <w:lang w:val="en-US"/>
        </w:rPr>
        <w:t>(BNA) 1032 (1976).</w:t>
      </w:r>
    </w:p>
  </w:footnote>
  <w:footnote w:id="1903">
    <w:p w14:paraId="39533722" w14:textId="77777777" w:rsidR="00074551" w:rsidRPr="007A313B" w:rsidRDefault="00074551" w:rsidP="00074551">
      <w:pPr>
        <w:pStyle w:val="Funotentext"/>
        <w:rPr>
          <w:lang w:val="en-US"/>
        </w:rPr>
      </w:pPr>
      <w:r>
        <w:rPr>
          <w:rStyle w:val="Funotenzeichen"/>
          <w:rFonts w:eastAsiaTheme="majorEastAsia"/>
        </w:rPr>
        <w:footnoteRef/>
      </w:r>
      <w:r w:rsidRPr="007A313B">
        <w:rPr>
          <w:lang w:val="en-US"/>
        </w:rPr>
        <w:t xml:space="preserve"> </w:t>
      </w:r>
      <w:r w:rsidRPr="004F13B1">
        <w:rPr>
          <w:i/>
          <w:lang w:val="en-US"/>
        </w:rPr>
        <w:t>Mugler v. Kansas</w:t>
      </w:r>
      <w:r w:rsidRPr="007A313B">
        <w:rPr>
          <w:lang w:val="en-US"/>
        </w:rPr>
        <w:t>, 123 U.S. 623, 653</w:t>
      </w:r>
      <w:r>
        <w:rPr>
          <w:lang w:val="en-US"/>
        </w:rPr>
        <w:t xml:space="preserve"> = 8 S. Ct. </w:t>
      </w:r>
      <w:r w:rsidRPr="007A313B">
        <w:rPr>
          <w:lang w:val="en-US"/>
        </w:rPr>
        <w:t>273, 293</w:t>
      </w:r>
      <w:r>
        <w:rPr>
          <w:lang w:val="en-US"/>
        </w:rPr>
        <w:t xml:space="preserve"> = 31 L. Ed. </w:t>
      </w:r>
      <w:r w:rsidRPr="007A313B">
        <w:rPr>
          <w:lang w:val="en-US"/>
        </w:rPr>
        <w:t>205, 207</w:t>
      </w:r>
      <w:r>
        <w:rPr>
          <w:lang w:val="en-US"/>
        </w:rPr>
        <w:t xml:space="preserve"> = 1887 U.S. LEXIS </w:t>
      </w:r>
      <w:r w:rsidRPr="007A313B">
        <w:rPr>
          <w:lang w:val="en-US"/>
        </w:rPr>
        <w:t>2204, 16 (1887)</w:t>
      </w:r>
      <w:r>
        <w:rPr>
          <w:lang w:val="en-US"/>
        </w:rPr>
        <w:t>.</w:t>
      </w:r>
    </w:p>
  </w:footnote>
  <w:footnote w:id="1904">
    <w:p w14:paraId="4876ED7D" w14:textId="77777777" w:rsidR="00074551" w:rsidRPr="007A313B" w:rsidRDefault="00074551" w:rsidP="00074551">
      <w:pPr>
        <w:pStyle w:val="Funotentext"/>
        <w:rPr>
          <w:lang w:val="en-US"/>
        </w:rPr>
      </w:pPr>
      <w:r>
        <w:rPr>
          <w:rStyle w:val="Funotenzeichen"/>
          <w:rFonts w:eastAsiaTheme="majorEastAsia"/>
        </w:rPr>
        <w:footnoteRef/>
      </w:r>
      <w:r w:rsidRPr="007A313B">
        <w:rPr>
          <w:lang w:val="en-US"/>
        </w:rPr>
        <w:t xml:space="preserve"> </w:t>
      </w:r>
      <w:r w:rsidRPr="004F13B1">
        <w:rPr>
          <w:i/>
          <w:lang w:val="en-US"/>
        </w:rPr>
        <w:t>Mugler v. Kansas</w:t>
      </w:r>
      <w:r w:rsidRPr="007A313B">
        <w:rPr>
          <w:lang w:val="en-US"/>
        </w:rPr>
        <w:t>, 123 U.S. 623, 653</w:t>
      </w:r>
      <w:r>
        <w:rPr>
          <w:lang w:val="en-US"/>
        </w:rPr>
        <w:t xml:space="preserve"> = 8 S. Ct. </w:t>
      </w:r>
      <w:r w:rsidRPr="007A313B">
        <w:rPr>
          <w:lang w:val="en-US"/>
        </w:rPr>
        <w:t>273, 293</w:t>
      </w:r>
      <w:r>
        <w:rPr>
          <w:lang w:val="en-US"/>
        </w:rPr>
        <w:t xml:space="preserve"> = 31 L. Ed. </w:t>
      </w:r>
      <w:r w:rsidRPr="007A313B">
        <w:rPr>
          <w:lang w:val="en-US"/>
        </w:rPr>
        <w:t>205, 207</w:t>
      </w:r>
      <w:r>
        <w:rPr>
          <w:lang w:val="en-US"/>
        </w:rPr>
        <w:t xml:space="preserve"> = 1887 U.S. LEXIS </w:t>
      </w:r>
      <w:r w:rsidRPr="007A313B">
        <w:rPr>
          <w:lang w:val="en-US"/>
        </w:rPr>
        <w:t>2204, 16 (1887)</w:t>
      </w:r>
      <w:r>
        <w:rPr>
          <w:lang w:val="en-US"/>
        </w:rPr>
        <w:t>.</w:t>
      </w:r>
    </w:p>
  </w:footnote>
  <w:footnote w:id="1905">
    <w:p w14:paraId="1581C1F5" w14:textId="77777777" w:rsidR="00074551" w:rsidRPr="007A313B" w:rsidRDefault="00074551" w:rsidP="00074551">
      <w:pPr>
        <w:pStyle w:val="Funotentext"/>
        <w:rPr>
          <w:lang w:val="en-US"/>
        </w:rPr>
      </w:pPr>
      <w:r>
        <w:rPr>
          <w:rStyle w:val="Funotenzeichen"/>
          <w:rFonts w:eastAsiaTheme="majorEastAsia"/>
        </w:rPr>
        <w:footnoteRef/>
      </w:r>
      <w:r w:rsidRPr="007A313B">
        <w:rPr>
          <w:lang w:val="en-US"/>
        </w:rPr>
        <w:t xml:space="preserve"> </w:t>
      </w:r>
      <w:r w:rsidRPr="004F13B1">
        <w:rPr>
          <w:i/>
          <w:lang w:val="en-US"/>
        </w:rPr>
        <w:t>Mugler v. Kansas</w:t>
      </w:r>
      <w:r w:rsidRPr="007A313B">
        <w:rPr>
          <w:lang w:val="en-US"/>
        </w:rPr>
        <w:t>, 123 U.S. 623, 653</w:t>
      </w:r>
      <w:r>
        <w:rPr>
          <w:lang w:val="en-US"/>
        </w:rPr>
        <w:t xml:space="preserve"> = 8 S. Ct. </w:t>
      </w:r>
      <w:r w:rsidRPr="007A313B">
        <w:rPr>
          <w:lang w:val="en-US"/>
        </w:rPr>
        <w:t>273, 293</w:t>
      </w:r>
      <w:r>
        <w:rPr>
          <w:lang w:val="en-US"/>
        </w:rPr>
        <w:t xml:space="preserve"> = 31 L. Ed. </w:t>
      </w:r>
      <w:r w:rsidRPr="007A313B">
        <w:rPr>
          <w:lang w:val="en-US"/>
        </w:rPr>
        <w:t>205, 207</w:t>
      </w:r>
      <w:r>
        <w:rPr>
          <w:lang w:val="en-US"/>
        </w:rPr>
        <w:t xml:space="preserve"> = 1887 U.S. LEXIS </w:t>
      </w:r>
      <w:r w:rsidRPr="007A313B">
        <w:rPr>
          <w:lang w:val="en-US"/>
        </w:rPr>
        <w:t>2204, 16 (1887)</w:t>
      </w:r>
      <w:r>
        <w:rPr>
          <w:lang w:val="en-US"/>
        </w:rPr>
        <w:t>.</w:t>
      </w:r>
    </w:p>
  </w:footnote>
  <w:footnote w:id="1906">
    <w:p w14:paraId="2BE8CA22" w14:textId="77777777" w:rsidR="00A077A1" w:rsidRPr="00AB79E6" w:rsidRDefault="00A077A1" w:rsidP="00A077A1">
      <w:pPr>
        <w:pStyle w:val="Funotentext"/>
        <w:rPr>
          <w:lang w:val="en-US"/>
        </w:rPr>
      </w:pPr>
      <w:r>
        <w:rPr>
          <w:rStyle w:val="Funotenzeichen"/>
          <w:rFonts w:eastAsiaTheme="majorEastAsia"/>
        </w:rPr>
        <w:footnoteRef/>
      </w:r>
      <w:r w:rsidRPr="00AB79E6">
        <w:rPr>
          <w:lang w:val="en-US"/>
        </w:rPr>
        <w:t xml:space="preserve"> </w:t>
      </w:r>
      <w:r w:rsidRPr="00B45592">
        <w:rPr>
          <w:i/>
          <w:lang w:val="en-US"/>
        </w:rPr>
        <w:t>Nichols v. Walter</w:t>
      </w:r>
      <w:r w:rsidRPr="00AB79E6">
        <w:rPr>
          <w:lang w:val="en-US"/>
        </w:rPr>
        <w:t xml:space="preserve">, 37 Minnesota, 262; </w:t>
      </w:r>
      <w:r w:rsidRPr="00B45592">
        <w:rPr>
          <w:i/>
          <w:lang w:val="en-US"/>
        </w:rPr>
        <w:t>Johnson v. Ry. Co.</w:t>
      </w:r>
      <w:r w:rsidRPr="00AB79E6">
        <w:rPr>
          <w:lang w:val="en-US"/>
        </w:rPr>
        <w:t xml:space="preserve">, 43 Minnesota, 222; </w:t>
      </w:r>
      <w:r w:rsidRPr="00B45592">
        <w:rPr>
          <w:i/>
          <w:lang w:val="en-US"/>
        </w:rPr>
        <w:t xml:space="preserve">Ex </w:t>
      </w:r>
      <w:proofErr w:type="spellStart"/>
      <w:r w:rsidRPr="00B45592">
        <w:rPr>
          <w:i/>
          <w:lang w:val="en-US"/>
        </w:rPr>
        <w:t>parte</w:t>
      </w:r>
      <w:proofErr w:type="spellEnd"/>
      <w:r w:rsidRPr="00B45592">
        <w:rPr>
          <w:i/>
          <w:lang w:val="en-US"/>
        </w:rPr>
        <w:t xml:space="preserve"> </w:t>
      </w:r>
      <w:proofErr w:type="spellStart"/>
      <w:r w:rsidRPr="00B45592">
        <w:rPr>
          <w:i/>
          <w:lang w:val="en-US"/>
        </w:rPr>
        <w:t>Sohncke</w:t>
      </w:r>
      <w:proofErr w:type="spellEnd"/>
      <w:r w:rsidRPr="00AB79E6">
        <w:rPr>
          <w:lang w:val="en-US"/>
        </w:rPr>
        <w:t>, 148 California, 262</w:t>
      </w:r>
      <w:r>
        <w:rPr>
          <w:lang w:val="en-US"/>
        </w:rPr>
        <w:t xml:space="preserve">; </w:t>
      </w:r>
      <w:r w:rsidRPr="00A15962">
        <w:rPr>
          <w:i/>
          <w:lang w:val="en-US"/>
        </w:rPr>
        <w:t>Mutual Loan Co. v. Martell</w:t>
      </w:r>
      <w:r w:rsidRPr="00AB79E6">
        <w:rPr>
          <w:lang w:val="en-US"/>
        </w:rPr>
        <w:t>, 222 U.S. 225, 231</w:t>
      </w:r>
      <w:r>
        <w:rPr>
          <w:lang w:val="en-US"/>
        </w:rPr>
        <w:t xml:space="preserve"> = 32 S. Ct. </w:t>
      </w:r>
      <w:r w:rsidRPr="00AB79E6">
        <w:rPr>
          <w:lang w:val="en-US"/>
        </w:rPr>
        <w:t>74, 74</w:t>
      </w:r>
      <w:r>
        <w:rPr>
          <w:lang w:val="en-US"/>
        </w:rPr>
        <w:t xml:space="preserve"> = 56 L. Ed. </w:t>
      </w:r>
      <w:r w:rsidRPr="00AB79E6">
        <w:rPr>
          <w:lang w:val="en-US"/>
        </w:rPr>
        <w:t>175, 178</w:t>
      </w:r>
      <w:r>
        <w:rPr>
          <w:lang w:val="en-US"/>
        </w:rPr>
        <w:t xml:space="preserve"> = 1911 U.S. LEXIS </w:t>
      </w:r>
      <w:r w:rsidRPr="00AB79E6">
        <w:rPr>
          <w:lang w:val="en-US"/>
        </w:rPr>
        <w:t>1779, 7 (1911)</w:t>
      </w:r>
      <w:r>
        <w:rPr>
          <w:lang w:val="en-US"/>
        </w:rPr>
        <w:t>.</w:t>
      </w:r>
    </w:p>
  </w:footnote>
  <w:footnote w:id="1907">
    <w:p w14:paraId="0262665F" w14:textId="77777777" w:rsidR="00074551" w:rsidRPr="00974755" w:rsidRDefault="00074551" w:rsidP="00074551">
      <w:pPr>
        <w:pStyle w:val="Funotentext"/>
        <w:rPr>
          <w:lang w:val="en-US"/>
        </w:rPr>
      </w:pPr>
      <w:r>
        <w:rPr>
          <w:rStyle w:val="Funotenzeichen"/>
          <w:rFonts w:eastAsiaTheme="majorEastAsia"/>
        </w:rPr>
        <w:footnoteRef/>
      </w:r>
      <w:r w:rsidRPr="00974755">
        <w:rPr>
          <w:lang w:val="en-US"/>
        </w:rPr>
        <w:t xml:space="preserve"> </w:t>
      </w:r>
      <w:r w:rsidRPr="00B45592">
        <w:rPr>
          <w:i/>
          <w:lang w:val="en-US"/>
        </w:rPr>
        <w:t>Fletcher v. Peck</w:t>
      </w:r>
      <w:r w:rsidRPr="00974755">
        <w:rPr>
          <w:lang w:val="en-US"/>
        </w:rPr>
        <w:t xml:space="preserve">, 6 </w:t>
      </w:r>
      <w:proofErr w:type="spellStart"/>
      <w:r w:rsidRPr="00974755">
        <w:rPr>
          <w:lang w:val="en-US"/>
        </w:rPr>
        <w:t>Cranch</w:t>
      </w:r>
      <w:proofErr w:type="spellEnd"/>
      <w:r w:rsidRPr="00974755">
        <w:rPr>
          <w:lang w:val="en-US"/>
        </w:rPr>
        <w:t xml:space="preserve">, 87, 128; </w:t>
      </w:r>
      <w:r w:rsidRPr="00B45592">
        <w:rPr>
          <w:i/>
          <w:lang w:val="en-US"/>
        </w:rPr>
        <w:t>Dartmouth College v. Woodward</w:t>
      </w:r>
      <w:r>
        <w:rPr>
          <w:lang w:val="en-US"/>
        </w:rPr>
        <w:t>,</w:t>
      </w:r>
      <w:r w:rsidRPr="003B741A">
        <w:rPr>
          <w:lang w:val="en-US"/>
        </w:rPr>
        <w:t xml:space="preserve"> 4 Wheat. </w:t>
      </w:r>
      <w:r w:rsidRPr="00974755">
        <w:rPr>
          <w:lang w:val="en-US"/>
        </w:rPr>
        <w:t xml:space="preserve">518, 625; </w:t>
      </w:r>
      <w:r w:rsidRPr="00B45592">
        <w:rPr>
          <w:i/>
          <w:lang w:val="en-US"/>
        </w:rPr>
        <w:t>Livingston v. Darlington</w:t>
      </w:r>
      <w:r w:rsidRPr="00974755">
        <w:rPr>
          <w:lang w:val="en-US"/>
        </w:rPr>
        <w:t>, 101 U.S. 407</w:t>
      </w:r>
      <w:r>
        <w:rPr>
          <w:lang w:val="en-US"/>
        </w:rPr>
        <w:t xml:space="preserve">; </w:t>
      </w:r>
      <w:r w:rsidRPr="00A15962">
        <w:rPr>
          <w:i/>
          <w:lang w:val="en-US"/>
        </w:rPr>
        <w:t>Powell v. Pennsylvania</w:t>
      </w:r>
      <w:r w:rsidRPr="00974755">
        <w:rPr>
          <w:lang w:val="en-US"/>
        </w:rPr>
        <w:t>, 127 U.S. 678, 685</w:t>
      </w:r>
      <w:r>
        <w:rPr>
          <w:lang w:val="en-US"/>
        </w:rPr>
        <w:t xml:space="preserve"> = 8 S. Ct. </w:t>
      </w:r>
      <w:r w:rsidRPr="00974755">
        <w:rPr>
          <w:lang w:val="en-US"/>
        </w:rPr>
        <w:t>992, 996</w:t>
      </w:r>
      <w:r w:rsidRPr="00EC5BEB">
        <w:rPr>
          <w:lang w:val="en-US"/>
        </w:rPr>
        <w:t xml:space="preserve"> = 32 L. Ed. </w:t>
      </w:r>
      <w:r w:rsidRPr="00974755">
        <w:rPr>
          <w:lang w:val="en-US"/>
        </w:rPr>
        <w:t>253, 256</w:t>
      </w:r>
      <w:r w:rsidRPr="00EC5BEB">
        <w:rPr>
          <w:lang w:val="en-US"/>
        </w:rPr>
        <w:t xml:space="preserve"> = 1888 U.S. LEXIS </w:t>
      </w:r>
      <w:r w:rsidRPr="00974755">
        <w:rPr>
          <w:lang w:val="en-US"/>
        </w:rPr>
        <w:t>2032, 14 (1888)</w:t>
      </w:r>
      <w:r>
        <w:rPr>
          <w:lang w:val="en-US"/>
        </w:rPr>
        <w:t>.</w:t>
      </w:r>
    </w:p>
  </w:footnote>
  <w:footnote w:id="1908">
    <w:p w14:paraId="13FE082E" w14:textId="77777777" w:rsidR="00074551" w:rsidRPr="00A05906" w:rsidRDefault="00074551" w:rsidP="00074551">
      <w:pPr>
        <w:pStyle w:val="Funotentext"/>
        <w:rPr>
          <w:lang w:val="en-US"/>
        </w:rPr>
      </w:pPr>
      <w:r>
        <w:rPr>
          <w:rStyle w:val="Funotenzeichen"/>
          <w:rFonts w:eastAsiaTheme="majorEastAsia"/>
        </w:rPr>
        <w:footnoteRef/>
      </w:r>
      <w:r w:rsidRPr="00A05906">
        <w:rPr>
          <w:lang w:val="en-US"/>
        </w:rPr>
        <w:t xml:space="preserve"> </w:t>
      </w:r>
      <w:r w:rsidRPr="007360B0">
        <w:rPr>
          <w:i/>
          <w:lang w:val="en-US"/>
        </w:rPr>
        <w:t xml:space="preserve">Ex </w:t>
      </w:r>
      <w:proofErr w:type="spellStart"/>
      <w:r w:rsidRPr="007360B0">
        <w:rPr>
          <w:i/>
          <w:lang w:val="en-US"/>
        </w:rPr>
        <w:t>parte</w:t>
      </w:r>
      <w:proofErr w:type="spellEnd"/>
      <w:r w:rsidRPr="007360B0">
        <w:rPr>
          <w:i/>
          <w:lang w:val="en-US"/>
        </w:rPr>
        <w:t xml:space="preserve"> Virginia</w:t>
      </w:r>
      <w:r w:rsidRPr="00A05906">
        <w:rPr>
          <w:lang w:val="en-US"/>
        </w:rPr>
        <w:t>, 100 U.S. 339, 366</w:t>
      </w:r>
      <w:r>
        <w:rPr>
          <w:lang w:val="en-US"/>
        </w:rPr>
        <w:t xml:space="preserve">; </w:t>
      </w:r>
      <w:r w:rsidRPr="00A15962">
        <w:rPr>
          <w:i/>
          <w:lang w:val="en-US"/>
        </w:rPr>
        <w:t>Powell v. Pennsylvania</w:t>
      </w:r>
      <w:r w:rsidRPr="00A05906">
        <w:rPr>
          <w:lang w:val="en-US"/>
        </w:rPr>
        <w:t>, 127 U.S. 678, 691</w:t>
      </w:r>
      <w:r>
        <w:rPr>
          <w:lang w:val="en-US"/>
        </w:rPr>
        <w:t xml:space="preserve"> = 8 S. Ct. </w:t>
      </w:r>
      <w:r w:rsidRPr="00A05906">
        <w:rPr>
          <w:lang w:val="en-US"/>
        </w:rPr>
        <w:t>992, 997</w:t>
      </w:r>
      <w:r w:rsidRPr="00EC5BEB">
        <w:rPr>
          <w:lang w:val="en-US"/>
        </w:rPr>
        <w:t xml:space="preserve"> = 32 L. Ed. </w:t>
      </w:r>
      <w:r w:rsidRPr="00A05906">
        <w:rPr>
          <w:lang w:val="en-US"/>
        </w:rPr>
        <w:t>253, 259</w:t>
      </w:r>
      <w:r w:rsidRPr="00EC5BEB">
        <w:rPr>
          <w:lang w:val="en-US"/>
        </w:rPr>
        <w:t xml:space="preserve"> = 1888 U.S. LEXIS </w:t>
      </w:r>
      <w:r w:rsidRPr="00A05906">
        <w:rPr>
          <w:lang w:val="en-US"/>
        </w:rPr>
        <w:t>2032, 27 (1888)</w:t>
      </w:r>
      <w:r>
        <w:rPr>
          <w:lang w:val="en-US"/>
        </w:rPr>
        <w:t>.</w:t>
      </w:r>
    </w:p>
  </w:footnote>
  <w:footnote w:id="1909">
    <w:p w14:paraId="138C9300" w14:textId="77777777" w:rsidR="00074551" w:rsidRPr="0085636F" w:rsidRDefault="00074551" w:rsidP="00074551">
      <w:pPr>
        <w:pStyle w:val="Funotentext"/>
        <w:rPr>
          <w:lang w:val="en-US"/>
        </w:rPr>
      </w:pPr>
      <w:r>
        <w:rPr>
          <w:rStyle w:val="Funotenzeichen"/>
          <w:rFonts w:eastAsiaTheme="majorEastAsia"/>
        </w:rPr>
        <w:footnoteRef/>
      </w:r>
      <w:r w:rsidRPr="0085636F">
        <w:rPr>
          <w:lang w:val="en-US"/>
        </w:rPr>
        <w:t xml:space="preserve"> </w:t>
      </w:r>
      <w:r w:rsidRPr="00A15962">
        <w:rPr>
          <w:i/>
          <w:lang w:val="en-US"/>
        </w:rPr>
        <w:t>Powell v. Pennsylvania</w:t>
      </w:r>
      <w:r w:rsidRPr="0085636F">
        <w:rPr>
          <w:lang w:val="en-US"/>
        </w:rPr>
        <w:t>, 127 U.S. 678, 691</w:t>
      </w:r>
      <w:r>
        <w:rPr>
          <w:lang w:val="en-US"/>
        </w:rPr>
        <w:t xml:space="preserve"> = 8 S. Ct. </w:t>
      </w:r>
      <w:r w:rsidRPr="0085636F">
        <w:rPr>
          <w:lang w:val="en-US"/>
        </w:rPr>
        <w:t>992, 997</w:t>
      </w:r>
      <w:r w:rsidRPr="00EC5BEB">
        <w:rPr>
          <w:lang w:val="en-US"/>
        </w:rPr>
        <w:t xml:space="preserve"> = 32 L. Ed. </w:t>
      </w:r>
      <w:r w:rsidRPr="0085636F">
        <w:rPr>
          <w:lang w:val="en-US"/>
        </w:rPr>
        <w:t>253, 259</w:t>
      </w:r>
      <w:r w:rsidRPr="00EC5BEB">
        <w:rPr>
          <w:lang w:val="en-US"/>
        </w:rPr>
        <w:t xml:space="preserve"> = 1888 U.S. LEXIS </w:t>
      </w:r>
      <w:r w:rsidRPr="0085636F">
        <w:rPr>
          <w:lang w:val="en-US"/>
        </w:rPr>
        <w:t>2032, 27 (1888)</w:t>
      </w:r>
      <w:r>
        <w:rPr>
          <w:lang w:val="en-US"/>
        </w:rPr>
        <w:t>.</w:t>
      </w:r>
    </w:p>
  </w:footnote>
  <w:footnote w:id="1910">
    <w:p w14:paraId="12F019A8" w14:textId="77777777" w:rsidR="00074551" w:rsidRPr="00BB0ACF" w:rsidRDefault="00074551" w:rsidP="00074551">
      <w:pPr>
        <w:pStyle w:val="Funotentext"/>
        <w:rPr>
          <w:lang w:val="en-US"/>
        </w:rPr>
      </w:pPr>
      <w:r>
        <w:rPr>
          <w:rStyle w:val="Funotenzeichen"/>
          <w:rFonts w:eastAsiaTheme="majorEastAsia"/>
        </w:rPr>
        <w:footnoteRef/>
      </w:r>
      <w:r w:rsidRPr="00BB0ACF">
        <w:rPr>
          <w:lang w:val="en-US"/>
        </w:rPr>
        <w:t xml:space="preserve"> </w:t>
      </w:r>
      <w:r w:rsidRPr="00546F93">
        <w:rPr>
          <w:i/>
          <w:lang w:val="en-US"/>
        </w:rPr>
        <w:t>Taylor v. Beckham</w:t>
      </w:r>
      <w:r w:rsidRPr="00BB0ACF">
        <w:rPr>
          <w:lang w:val="en-US"/>
        </w:rPr>
        <w:t>, 178 U.S. 548, 579</w:t>
      </w:r>
      <w:r>
        <w:rPr>
          <w:lang w:val="en-US"/>
        </w:rPr>
        <w:t xml:space="preserve"> = 20 S. Ct. </w:t>
      </w:r>
      <w:r w:rsidRPr="00BB0ACF">
        <w:rPr>
          <w:lang w:val="en-US"/>
        </w:rPr>
        <w:t>890, 902</w:t>
      </w:r>
      <w:r>
        <w:rPr>
          <w:lang w:val="en-US"/>
        </w:rPr>
        <w:t xml:space="preserve"> = 44 L. Ed. </w:t>
      </w:r>
      <w:r w:rsidRPr="00BB0ACF">
        <w:rPr>
          <w:lang w:val="en-US"/>
        </w:rPr>
        <w:t>1187, 1201</w:t>
      </w:r>
      <w:r>
        <w:rPr>
          <w:lang w:val="en-US"/>
        </w:rPr>
        <w:t xml:space="preserve"> = 1900 U.S. LEXIS </w:t>
      </w:r>
      <w:r w:rsidRPr="00BB0ACF">
        <w:rPr>
          <w:lang w:val="en-US"/>
        </w:rPr>
        <w:t>1702, 52 (1900)</w:t>
      </w:r>
      <w:r>
        <w:rPr>
          <w:lang w:val="en-US"/>
        </w:rPr>
        <w:t>.</w:t>
      </w:r>
    </w:p>
  </w:footnote>
  <w:footnote w:id="1911">
    <w:p w14:paraId="2014ED6B" w14:textId="77777777" w:rsidR="00074551" w:rsidRPr="00BB0ACF" w:rsidRDefault="00074551" w:rsidP="00074551">
      <w:pPr>
        <w:pStyle w:val="Funotentext"/>
        <w:rPr>
          <w:lang w:val="en-US"/>
        </w:rPr>
      </w:pPr>
      <w:r>
        <w:rPr>
          <w:rStyle w:val="Funotenzeichen"/>
          <w:rFonts w:eastAsiaTheme="majorEastAsia"/>
        </w:rPr>
        <w:footnoteRef/>
      </w:r>
      <w:r w:rsidRPr="00BB0ACF">
        <w:rPr>
          <w:lang w:val="en-US"/>
        </w:rPr>
        <w:t xml:space="preserve"> </w:t>
      </w:r>
      <w:r w:rsidRPr="00546F93">
        <w:rPr>
          <w:i/>
          <w:lang w:val="en-US"/>
        </w:rPr>
        <w:t>Taylor v. Beckham</w:t>
      </w:r>
      <w:r w:rsidRPr="00BB0ACF">
        <w:rPr>
          <w:lang w:val="en-US"/>
        </w:rPr>
        <w:t>, 178 U.S. 548, 580</w:t>
      </w:r>
      <w:r>
        <w:rPr>
          <w:lang w:val="en-US"/>
        </w:rPr>
        <w:t xml:space="preserve"> = 20 S. Ct. </w:t>
      </w:r>
      <w:r w:rsidRPr="00BB0ACF">
        <w:rPr>
          <w:lang w:val="en-US"/>
        </w:rPr>
        <w:t>890, 902</w:t>
      </w:r>
      <w:r>
        <w:rPr>
          <w:lang w:val="en-US"/>
        </w:rPr>
        <w:t xml:space="preserve"> = 44 L. Ed. </w:t>
      </w:r>
      <w:r w:rsidRPr="00BB0ACF">
        <w:rPr>
          <w:lang w:val="en-US"/>
        </w:rPr>
        <w:t>1187, 1201</w:t>
      </w:r>
      <w:r>
        <w:rPr>
          <w:lang w:val="en-US"/>
        </w:rPr>
        <w:t xml:space="preserve"> = 1900 U.S. LEXIS </w:t>
      </w:r>
      <w:r w:rsidRPr="00BB0ACF">
        <w:rPr>
          <w:lang w:val="en-US"/>
        </w:rPr>
        <w:t>1702, 52 (1900)</w:t>
      </w:r>
      <w:r>
        <w:rPr>
          <w:lang w:val="en-US"/>
        </w:rPr>
        <w:t>.</w:t>
      </w:r>
    </w:p>
  </w:footnote>
  <w:footnote w:id="1912">
    <w:p w14:paraId="5DE4DBDD" w14:textId="62CF60B4" w:rsidR="00074551" w:rsidRPr="00B45592" w:rsidRDefault="00074551" w:rsidP="00074551">
      <w:pPr>
        <w:pStyle w:val="Funotentext"/>
        <w:rPr>
          <w:highlight w:val="cyan"/>
          <w:lang w:val="en-US"/>
        </w:rPr>
      </w:pPr>
      <w:r w:rsidRPr="00A15962">
        <w:rPr>
          <w:rStyle w:val="Funotenzeichen"/>
          <w:rFonts w:eastAsiaTheme="majorEastAsia"/>
        </w:rPr>
        <w:footnoteRef/>
      </w:r>
      <w:r w:rsidRPr="00A15962">
        <w:rPr>
          <w:lang w:val="en-US"/>
        </w:rPr>
        <w:t xml:space="preserve"> </w:t>
      </w:r>
      <w:r w:rsidRPr="00A15962">
        <w:rPr>
          <w:i/>
          <w:lang w:val="en-US"/>
        </w:rPr>
        <w:t>Taylor v. Beckham</w:t>
      </w:r>
      <w:r w:rsidRPr="00A15962">
        <w:rPr>
          <w:lang w:val="en-US"/>
        </w:rPr>
        <w:t>, 178 U.S. 548</w:t>
      </w:r>
      <w:r>
        <w:rPr>
          <w:lang w:val="en-US"/>
        </w:rPr>
        <w:t xml:space="preserve">, </w:t>
      </w:r>
      <w:r w:rsidRPr="00E85025">
        <w:rPr>
          <w:lang w:val="en-IE"/>
        </w:rPr>
        <w:t>5</w:t>
      </w:r>
      <w:r w:rsidR="00A077A1">
        <w:rPr>
          <w:lang w:val="en-IE"/>
        </w:rPr>
        <w:t>6</w:t>
      </w:r>
      <w:r w:rsidRPr="00E85025">
        <w:rPr>
          <w:lang w:val="en-IE"/>
        </w:rPr>
        <w:t>0</w:t>
      </w:r>
      <w:r>
        <w:rPr>
          <w:lang w:val="en-IE"/>
        </w:rPr>
        <w:t xml:space="preserve"> =</w:t>
      </w:r>
      <w:r w:rsidRPr="00E85025">
        <w:rPr>
          <w:lang w:val="en-IE"/>
        </w:rPr>
        <w:t xml:space="preserve"> 20 S. Ct. 890, 898</w:t>
      </w:r>
      <w:r>
        <w:rPr>
          <w:lang w:val="en-IE"/>
        </w:rPr>
        <w:t xml:space="preserve"> =</w:t>
      </w:r>
      <w:r w:rsidRPr="00E85025">
        <w:rPr>
          <w:lang w:val="en-IE"/>
        </w:rPr>
        <w:t xml:space="preserve"> 44 L. Ed. 1187, 1198</w:t>
      </w:r>
      <w:r>
        <w:rPr>
          <w:lang w:val="en-IE"/>
        </w:rPr>
        <w:t xml:space="preserve"> =</w:t>
      </w:r>
      <w:r w:rsidRPr="00E85025">
        <w:rPr>
          <w:lang w:val="en-IE"/>
        </w:rPr>
        <w:t xml:space="preserve"> 1900 U.S. LEXIS 1702, 13</w:t>
      </w:r>
      <w:r>
        <w:rPr>
          <w:lang w:val="en-IE"/>
        </w:rPr>
        <w:t>–</w:t>
      </w:r>
      <w:r w:rsidRPr="00E85025">
        <w:rPr>
          <w:lang w:val="en-IE"/>
        </w:rPr>
        <w:t xml:space="preserve">14 </w:t>
      </w:r>
      <w:r w:rsidRPr="00A15962">
        <w:rPr>
          <w:lang w:val="en-US"/>
        </w:rPr>
        <w:t>(1900).</w:t>
      </w:r>
    </w:p>
  </w:footnote>
  <w:footnote w:id="1913">
    <w:p w14:paraId="2FD39DC1" w14:textId="2A114B80" w:rsidR="00074551" w:rsidRPr="004E59CD" w:rsidRDefault="00074551" w:rsidP="00074551">
      <w:pPr>
        <w:pStyle w:val="Funotentext"/>
        <w:rPr>
          <w:lang w:val="en-US"/>
        </w:rPr>
      </w:pPr>
      <w:r w:rsidRPr="00E47138">
        <w:rPr>
          <w:rStyle w:val="Funotenzeichen"/>
          <w:rFonts w:eastAsiaTheme="majorEastAsia"/>
        </w:rPr>
        <w:footnoteRef/>
      </w:r>
      <w:r w:rsidRPr="00E47138">
        <w:rPr>
          <w:lang w:val="en-US"/>
        </w:rPr>
        <w:t xml:space="preserve"> </w:t>
      </w:r>
      <w:r w:rsidRPr="00546F93">
        <w:rPr>
          <w:i/>
          <w:lang w:val="en-US"/>
        </w:rPr>
        <w:t>Taylor v. Beckham</w:t>
      </w:r>
      <w:r w:rsidRPr="00E47138">
        <w:rPr>
          <w:lang w:val="en-US"/>
        </w:rPr>
        <w:t xml:space="preserve">, 178 U.S. 548, </w:t>
      </w:r>
      <w:r w:rsidR="00A077A1" w:rsidRPr="00A077A1">
        <w:t>559–560</w:t>
      </w:r>
      <w:r w:rsidR="00A077A1">
        <w:t xml:space="preserve">, </w:t>
      </w:r>
      <w:r w:rsidRPr="00E47138">
        <w:rPr>
          <w:lang w:val="en-US"/>
        </w:rPr>
        <w:t>570</w:t>
      </w:r>
      <w:r w:rsidRPr="00B45592">
        <w:rPr>
          <w:lang w:val="en-US"/>
        </w:rPr>
        <w:t xml:space="preserve"> = 20 S. Ct. </w:t>
      </w:r>
      <w:r w:rsidRPr="00E47138">
        <w:rPr>
          <w:lang w:val="en-US"/>
        </w:rPr>
        <w:t>890, 898</w:t>
      </w:r>
      <w:r w:rsidRPr="00B45592">
        <w:rPr>
          <w:lang w:val="en-US"/>
        </w:rPr>
        <w:t xml:space="preserve"> = 44 L. Ed. </w:t>
      </w:r>
      <w:r w:rsidRPr="00E47138">
        <w:rPr>
          <w:lang w:val="en-US"/>
        </w:rPr>
        <w:t>1187, 1198</w:t>
      </w:r>
      <w:r w:rsidRPr="00B45592">
        <w:rPr>
          <w:lang w:val="en-US"/>
        </w:rPr>
        <w:t xml:space="preserve"> = 1900 U.S. LEXIS </w:t>
      </w:r>
      <w:r w:rsidRPr="00E47138">
        <w:rPr>
          <w:lang w:val="en-US"/>
        </w:rPr>
        <w:t>1702, 13</w:t>
      </w:r>
      <w:r w:rsidRPr="002535FA">
        <w:rPr>
          <w:lang w:val="en-US"/>
        </w:rPr>
        <w:t xml:space="preserve"> (1900).</w:t>
      </w:r>
    </w:p>
  </w:footnote>
  <w:footnote w:id="1914">
    <w:p w14:paraId="6457C13D" w14:textId="77777777" w:rsidR="00074551" w:rsidRPr="00433F4E" w:rsidRDefault="00074551" w:rsidP="00074551">
      <w:pPr>
        <w:pStyle w:val="Funotentext"/>
        <w:rPr>
          <w:lang w:val="en-US"/>
        </w:rPr>
      </w:pPr>
      <w:r>
        <w:rPr>
          <w:rStyle w:val="Funotenzeichen"/>
          <w:rFonts w:eastAsiaTheme="majorEastAsia"/>
        </w:rPr>
        <w:footnoteRef/>
      </w:r>
      <w:r w:rsidRPr="00433F4E">
        <w:rPr>
          <w:lang w:val="en-US"/>
        </w:rPr>
        <w:t xml:space="preserve"> </w:t>
      </w:r>
      <w:proofErr w:type="spellStart"/>
      <w:r>
        <w:rPr>
          <w:lang w:val="en-US"/>
        </w:rPr>
        <w:t>Siehe</w:t>
      </w:r>
      <w:proofErr w:type="spellEnd"/>
      <w:r w:rsidRPr="00433F4E">
        <w:rPr>
          <w:lang w:val="en-US"/>
        </w:rPr>
        <w:t xml:space="preserve"> </w:t>
      </w:r>
      <w:r w:rsidRPr="00B45592">
        <w:rPr>
          <w:i/>
          <w:lang w:val="en-US"/>
        </w:rPr>
        <w:t>Murdock v. Memphis</w:t>
      </w:r>
      <w:r>
        <w:rPr>
          <w:lang w:val="en-US"/>
        </w:rPr>
        <w:t xml:space="preserve">, 20 Wall. </w:t>
      </w:r>
      <w:r w:rsidRPr="00433F4E">
        <w:rPr>
          <w:lang w:val="en-US"/>
        </w:rPr>
        <w:t>590, 634</w:t>
      </w:r>
      <w:r>
        <w:rPr>
          <w:lang w:val="en-US"/>
        </w:rPr>
        <w:t>–</w:t>
      </w:r>
      <w:r w:rsidRPr="00433F4E">
        <w:rPr>
          <w:lang w:val="en-US"/>
        </w:rPr>
        <w:t>636</w:t>
      </w:r>
      <w:r>
        <w:rPr>
          <w:lang w:val="en-US"/>
        </w:rPr>
        <w:t xml:space="preserve">; </w:t>
      </w:r>
      <w:r w:rsidRPr="00A15962">
        <w:rPr>
          <w:i/>
          <w:lang w:val="en-US"/>
        </w:rPr>
        <w:t>Bell v. Maryland</w:t>
      </w:r>
      <w:r w:rsidRPr="00433F4E">
        <w:rPr>
          <w:lang w:val="en-US"/>
        </w:rPr>
        <w:t>, 378 U.S. 226, 237</w:t>
      </w:r>
      <w:r>
        <w:rPr>
          <w:lang w:val="en-US"/>
        </w:rPr>
        <w:t xml:space="preserve"> = 84 S. Ct. </w:t>
      </w:r>
      <w:r w:rsidRPr="00433F4E">
        <w:rPr>
          <w:lang w:val="en-US"/>
        </w:rPr>
        <w:t>1814, 1821</w:t>
      </w:r>
      <w:r>
        <w:rPr>
          <w:lang w:val="en-US"/>
        </w:rPr>
        <w:t xml:space="preserve"> = 12 L. Ed. </w:t>
      </w:r>
      <w:r w:rsidRPr="00433F4E">
        <w:rPr>
          <w:lang w:val="en-US"/>
        </w:rPr>
        <w:t>2d 822, 830</w:t>
      </w:r>
      <w:r>
        <w:rPr>
          <w:lang w:val="en-US"/>
        </w:rPr>
        <w:t xml:space="preserve"> = 1964 U.S. LEXIS </w:t>
      </w:r>
      <w:r w:rsidRPr="00433F4E">
        <w:rPr>
          <w:lang w:val="en-US"/>
        </w:rPr>
        <w:t>824, 20 (1964)</w:t>
      </w:r>
    </w:p>
  </w:footnote>
  <w:footnote w:id="1915">
    <w:p w14:paraId="159D2FFB" w14:textId="77777777" w:rsidR="00074551" w:rsidRPr="00747416" w:rsidRDefault="00074551" w:rsidP="00074551">
      <w:pPr>
        <w:pStyle w:val="Funotentext"/>
        <w:rPr>
          <w:lang w:val="en-US"/>
        </w:rPr>
      </w:pPr>
      <w:r>
        <w:rPr>
          <w:rStyle w:val="Funotenzeichen"/>
          <w:rFonts w:eastAsiaTheme="majorEastAsia"/>
        </w:rPr>
        <w:footnoteRef/>
      </w:r>
      <w:r w:rsidRPr="00747416">
        <w:rPr>
          <w:lang w:val="en-US"/>
        </w:rPr>
        <w:t xml:space="preserve"> </w:t>
      </w:r>
      <w:r w:rsidRPr="00A15962">
        <w:rPr>
          <w:i/>
          <w:lang w:val="en-US"/>
        </w:rPr>
        <w:t>Bell v. Maryland</w:t>
      </w:r>
      <w:r w:rsidRPr="00747416">
        <w:rPr>
          <w:lang w:val="en-US"/>
        </w:rPr>
        <w:t>, 378 U.S. 226, 227</w:t>
      </w:r>
      <w:r>
        <w:rPr>
          <w:lang w:val="en-US"/>
        </w:rPr>
        <w:t xml:space="preserve"> = 84 S. Ct. </w:t>
      </w:r>
      <w:r w:rsidRPr="00747416">
        <w:rPr>
          <w:lang w:val="en-US"/>
        </w:rPr>
        <w:t>1814, 1815</w:t>
      </w:r>
      <w:r>
        <w:rPr>
          <w:lang w:val="en-US"/>
        </w:rPr>
        <w:t xml:space="preserve"> = 12 L. Ed. </w:t>
      </w:r>
      <w:r w:rsidRPr="00747416">
        <w:rPr>
          <w:lang w:val="en-US"/>
        </w:rPr>
        <w:t>2d 822, 824</w:t>
      </w:r>
      <w:r>
        <w:rPr>
          <w:lang w:val="en-US"/>
        </w:rPr>
        <w:t xml:space="preserve"> = 1964 U.S. LEXIS </w:t>
      </w:r>
      <w:r w:rsidRPr="00747416">
        <w:rPr>
          <w:lang w:val="en-US"/>
        </w:rPr>
        <w:t>824, 1 (1964)</w:t>
      </w:r>
      <w:r>
        <w:rPr>
          <w:lang w:val="en-US"/>
        </w:rPr>
        <w:t>.</w:t>
      </w:r>
    </w:p>
  </w:footnote>
  <w:footnote w:id="1916">
    <w:p w14:paraId="4A467C76" w14:textId="77777777" w:rsidR="00074551" w:rsidRPr="00433F4E" w:rsidRDefault="00074551" w:rsidP="00074551">
      <w:pPr>
        <w:pStyle w:val="Funotentext"/>
        <w:rPr>
          <w:lang w:val="en-US"/>
        </w:rPr>
      </w:pPr>
      <w:r>
        <w:rPr>
          <w:rStyle w:val="Funotenzeichen"/>
          <w:rFonts w:eastAsiaTheme="majorEastAsia"/>
        </w:rPr>
        <w:footnoteRef/>
      </w:r>
      <w:r w:rsidRPr="00433F4E">
        <w:rPr>
          <w:lang w:val="en-US"/>
        </w:rPr>
        <w:t xml:space="preserve"> </w:t>
      </w:r>
      <w:r w:rsidRPr="00A15962">
        <w:rPr>
          <w:i/>
          <w:lang w:val="en-US"/>
        </w:rPr>
        <w:t>Bell v. Maryland</w:t>
      </w:r>
      <w:r w:rsidRPr="00433F4E">
        <w:rPr>
          <w:lang w:val="en-US"/>
        </w:rPr>
        <w:t>, 378 U.S. 226, 237</w:t>
      </w:r>
      <w:r>
        <w:rPr>
          <w:lang w:val="en-US"/>
        </w:rPr>
        <w:t xml:space="preserve"> = 84 S. Ct. </w:t>
      </w:r>
      <w:r w:rsidRPr="00433F4E">
        <w:rPr>
          <w:lang w:val="en-US"/>
        </w:rPr>
        <w:t>1814, 1821</w:t>
      </w:r>
      <w:r>
        <w:rPr>
          <w:lang w:val="en-US"/>
        </w:rPr>
        <w:t xml:space="preserve"> = 12 L. Ed. </w:t>
      </w:r>
      <w:r w:rsidRPr="00433F4E">
        <w:rPr>
          <w:lang w:val="en-US"/>
        </w:rPr>
        <w:t>2d 822, 830</w:t>
      </w:r>
      <w:r>
        <w:rPr>
          <w:lang w:val="en-US"/>
        </w:rPr>
        <w:t xml:space="preserve"> = 1964 U.S. LEXIS </w:t>
      </w:r>
      <w:r w:rsidRPr="00433F4E">
        <w:rPr>
          <w:lang w:val="en-US"/>
        </w:rPr>
        <w:t>824, 20 (1964)</w:t>
      </w:r>
      <w:r>
        <w:rPr>
          <w:lang w:val="en-US"/>
        </w:rPr>
        <w:t>.</w:t>
      </w:r>
    </w:p>
  </w:footnote>
  <w:footnote w:id="1917">
    <w:p w14:paraId="0D219143" w14:textId="77777777" w:rsidR="00074551" w:rsidRPr="004E6F77" w:rsidRDefault="00074551" w:rsidP="00074551">
      <w:pPr>
        <w:pStyle w:val="Funotentext"/>
        <w:ind w:left="227" w:hanging="227"/>
        <w:rPr>
          <w:lang w:val="en-US"/>
        </w:rPr>
      </w:pPr>
      <w:r>
        <w:rPr>
          <w:rStyle w:val="Funotenzeichen"/>
          <w:rFonts w:eastAsiaTheme="majorEastAsia"/>
        </w:rPr>
        <w:footnoteRef/>
      </w:r>
      <w:r w:rsidRPr="004E6F77">
        <w:rPr>
          <w:lang w:val="en-US"/>
        </w:rPr>
        <w:t xml:space="preserve"> </w:t>
      </w:r>
      <w:r w:rsidRPr="00A15962">
        <w:rPr>
          <w:i/>
          <w:lang w:val="en-US"/>
        </w:rPr>
        <w:t>Bell v. Maryland</w:t>
      </w:r>
      <w:r w:rsidRPr="004E6F77">
        <w:rPr>
          <w:lang w:val="en-US"/>
        </w:rPr>
        <w:t>, 378 U.S. 226, 286</w:t>
      </w:r>
      <w:r>
        <w:rPr>
          <w:lang w:val="en-US"/>
        </w:rPr>
        <w:t xml:space="preserve"> = 84 S. Ct. </w:t>
      </w:r>
      <w:r w:rsidRPr="004E6F77">
        <w:rPr>
          <w:lang w:val="en-US"/>
        </w:rPr>
        <w:t>1814, 1847</w:t>
      </w:r>
      <w:r>
        <w:rPr>
          <w:lang w:val="en-US"/>
        </w:rPr>
        <w:t xml:space="preserve"> = 12 L. Ed. </w:t>
      </w:r>
      <w:r w:rsidRPr="004E6F77">
        <w:rPr>
          <w:lang w:val="en-US"/>
        </w:rPr>
        <w:t>2d 822, 833</w:t>
      </w:r>
      <w:r>
        <w:rPr>
          <w:lang w:val="en-US"/>
        </w:rPr>
        <w:t xml:space="preserve"> = 1964 U.S. LEXIS </w:t>
      </w:r>
      <w:r w:rsidRPr="004E6F77">
        <w:rPr>
          <w:lang w:val="en-US"/>
        </w:rPr>
        <w:t>824, 89 (1964)</w:t>
      </w:r>
      <w:r>
        <w:rPr>
          <w:lang w:val="en-US"/>
        </w:rPr>
        <w:t>.</w:t>
      </w:r>
    </w:p>
  </w:footnote>
  <w:footnote w:id="1918">
    <w:p w14:paraId="5BCE7B60" w14:textId="77777777" w:rsidR="00074551" w:rsidRPr="0067377D" w:rsidRDefault="00074551" w:rsidP="00074551">
      <w:pPr>
        <w:pStyle w:val="Funotentext"/>
        <w:rPr>
          <w:lang w:val="en-US"/>
        </w:rPr>
      </w:pPr>
      <w:r>
        <w:rPr>
          <w:rStyle w:val="Funotenzeichen"/>
          <w:rFonts w:eastAsiaTheme="majorEastAsia"/>
        </w:rPr>
        <w:footnoteRef/>
      </w:r>
      <w:r w:rsidRPr="0067377D">
        <w:rPr>
          <w:lang w:val="en-US"/>
        </w:rPr>
        <w:t xml:space="preserve"> </w:t>
      </w:r>
      <w:r w:rsidRPr="00A15962">
        <w:rPr>
          <w:i/>
          <w:lang w:val="en-US"/>
        </w:rPr>
        <w:t>United States v. Reese</w:t>
      </w:r>
      <w:r w:rsidRPr="0067377D">
        <w:rPr>
          <w:lang w:val="en-US"/>
        </w:rPr>
        <w:t xml:space="preserve">, 92 U.S. 214, 218; </w:t>
      </w:r>
      <w:r w:rsidRPr="00A15962">
        <w:rPr>
          <w:i/>
          <w:lang w:val="en-US"/>
        </w:rPr>
        <w:t>Bell v. Maryland</w:t>
      </w:r>
      <w:r w:rsidRPr="0067377D">
        <w:rPr>
          <w:lang w:val="en-US"/>
        </w:rPr>
        <w:t>, 378 U.S. 226, 286</w:t>
      </w:r>
      <w:r>
        <w:rPr>
          <w:lang w:val="en-US"/>
        </w:rPr>
        <w:t>–</w:t>
      </w:r>
      <w:r w:rsidRPr="0067377D">
        <w:rPr>
          <w:lang w:val="en-US"/>
        </w:rPr>
        <w:t>287</w:t>
      </w:r>
      <w:r>
        <w:rPr>
          <w:lang w:val="en-US"/>
        </w:rPr>
        <w:t xml:space="preserve"> = 84 S. Ct. </w:t>
      </w:r>
      <w:r w:rsidRPr="0067377D">
        <w:rPr>
          <w:lang w:val="en-US"/>
        </w:rPr>
        <w:t>1814, 1847</w:t>
      </w:r>
      <w:r>
        <w:rPr>
          <w:lang w:val="en-US"/>
        </w:rPr>
        <w:t xml:space="preserve"> = 12 L. Ed. </w:t>
      </w:r>
      <w:r w:rsidRPr="0067377D">
        <w:rPr>
          <w:lang w:val="en-US"/>
        </w:rPr>
        <w:t>2d 822, 833</w:t>
      </w:r>
      <w:r>
        <w:rPr>
          <w:lang w:val="en-US"/>
        </w:rPr>
        <w:t xml:space="preserve"> = 1964 U.S. LEXIS </w:t>
      </w:r>
      <w:r w:rsidRPr="0067377D">
        <w:rPr>
          <w:lang w:val="en-US"/>
        </w:rPr>
        <w:t>824, 89 (1964).</w:t>
      </w:r>
    </w:p>
  </w:footnote>
  <w:footnote w:id="1919">
    <w:p w14:paraId="1B5FE905" w14:textId="77777777" w:rsidR="00074551" w:rsidRPr="0067377D" w:rsidRDefault="00074551" w:rsidP="00074551">
      <w:pPr>
        <w:pStyle w:val="Funotentext"/>
        <w:rPr>
          <w:lang w:val="en-US"/>
        </w:rPr>
      </w:pPr>
      <w:r>
        <w:rPr>
          <w:rStyle w:val="Funotenzeichen"/>
          <w:rFonts w:eastAsiaTheme="majorEastAsia"/>
        </w:rPr>
        <w:footnoteRef/>
      </w:r>
      <w:r w:rsidRPr="0067377D">
        <w:rPr>
          <w:lang w:val="en-US"/>
        </w:rPr>
        <w:t xml:space="preserve"> </w:t>
      </w:r>
      <w:r w:rsidRPr="00A15962">
        <w:rPr>
          <w:i/>
          <w:lang w:val="en-US"/>
        </w:rPr>
        <w:t>Bell v. Maryland</w:t>
      </w:r>
      <w:r w:rsidRPr="0067377D">
        <w:rPr>
          <w:lang w:val="en-US"/>
        </w:rPr>
        <w:t>, 378 U.S. 226, 287</w:t>
      </w:r>
      <w:r>
        <w:rPr>
          <w:lang w:val="en-US"/>
        </w:rPr>
        <w:t xml:space="preserve"> = 84 S. Ct. </w:t>
      </w:r>
      <w:r w:rsidRPr="0067377D">
        <w:rPr>
          <w:lang w:val="en-US"/>
        </w:rPr>
        <w:t>1814, 1847</w:t>
      </w:r>
      <w:r>
        <w:rPr>
          <w:lang w:val="en-US"/>
        </w:rPr>
        <w:t xml:space="preserve"> = 12 L. Ed. </w:t>
      </w:r>
      <w:r w:rsidRPr="0067377D">
        <w:rPr>
          <w:lang w:val="en-US"/>
        </w:rPr>
        <w:t>2d 822, 833</w:t>
      </w:r>
      <w:r>
        <w:rPr>
          <w:lang w:val="en-US"/>
        </w:rPr>
        <w:t xml:space="preserve"> = 1964 U.S. LEXIS </w:t>
      </w:r>
      <w:r w:rsidRPr="0067377D">
        <w:rPr>
          <w:lang w:val="en-US"/>
        </w:rPr>
        <w:t>824, 89 (1964)</w:t>
      </w:r>
      <w:r>
        <w:rPr>
          <w:lang w:val="en-US"/>
        </w:rPr>
        <w:t>.</w:t>
      </w:r>
    </w:p>
  </w:footnote>
  <w:footnote w:id="1920">
    <w:p w14:paraId="497B21CF" w14:textId="77777777" w:rsidR="00074551" w:rsidRPr="000660B2" w:rsidRDefault="00074551" w:rsidP="00074551">
      <w:pPr>
        <w:pStyle w:val="Funotentext"/>
        <w:rPr>
          <w:lang w:val="en-US"/>
        </w:rPr>
      </w:pPr>
      <w:r>
        <w:rPr>
          <w:rStyle w:val="Funotenzeichen"/>
          <w:rFonts w:eastAsiaTheme="majorEastAsia"/>
        </w:rPr>
        <w:footnoteRef/>
      </w:r>
      <w:r w:rsidRPr="000660B2">
        <w:rPr>
          <w:lang w:val="en-US"/>
        </w:rPr>
        <w:t xml:space="preserve"> </w:t>
      </w:r>
      <w:r w:rsidRPr="00B45592">
        <w:rPr>
          <w:i/>
          <w:lang w:val="en-US"/>
        </w:rPr>
        <w:t>United States v. Classic</w:t>
      </w:r>
      <w:r w:rsidRPr="000660B2">
        <w:rPr>
          <w:lang w:val="en-US"/>
        </w:rPr>
        <w:t xml:space="preserve">, 313 U.S. 299, 316; </w:t>
      </w:r>
      <w:r w:rsidRPr="00A15962">
        <w:rPr>
          <w:i/>
          <w:lang w:val="en-US"/>
        </w:rPr>
        <w:t>Bell v. Maryland</w:t>
      </w:r>
      <w:r w:rsidRPr="000660B2">
        <w:rPr>
          <w:lang w:val="en-US"/>
        </w:rPr>
        <w:t>, 378 U.S. 226, 287</w:t>
      </w:r>
      <w:r>
        <w:rPr>
          <w:lang w:val="en-US"/>
        </w:rPr>
        <w:t xml:space="preserve"> = 84 S. Ct. </w:t>
      </w:r>
      <w:r w:rsidRPr="000660B2">
        <w:rPr>
          <w:lang w:val="en-US"/>
        </w:rPr>
        <w:t>1814, 1848</w:t>
      </w:r>
      <w:r>
        <w:rPr>
          <w:lang w:val="en-US"/>
        </w:rPr>
        <w:t xml:space="preserve"> = 12 L. Ed. </w:t>
      </w:r>
      <w:r w:rsidRPr="000660B2">
        <w:rPr>
          <w:lang w:val="en-US"/>
        </w:rPr>
        <w:t>2d 822, 833</w:t>
      </w:r>
      <w:r>
        <w:rPr>
          <w:lang w:val="en-US"/>
        </w:rPr>
        <w:t xml:space="preserve"> = 1964 U.S. LEXIS </w:t>
      </w:r>
      <w:r w:rsidRPr="000660B2">
        <w:rPr>
          <w:lang w:val="en-US"/>
        </w:rPr>
        <w:t>824, 89</w:t>
      </w:r>
      <w:r>
        <w:rPr>
          <w:lang w:val="en-US"/>
        </w:rPr>
        <w:t>–</w:t>
      </w:r>
      <w:r w:rsidRPr="000660B2">
        <w:rPr>
          <w:lang w:val="en-US"/>
        </w:rPr>
        <w:t>90 (1964)</w:t>
      </w:r>
      <w:r>
        <w:rPr>
          <w:lang w:val="en-US"/>
        </w:rPr>
        <w:t>.</w:t>
      </w:r>
    </w:p>
  </w:footnote>
  <w:footnote w:id="1921">
    <w:p w14:paraId="12768D6C" w14:textId="77777777" w:rsidR="008F0975" w:rsidRPr="000660B2" w:rsidRDefault="008F0975" w:rsidP="008F0975">
      <w:pPr>
        <w:pStyle w:val="Funotentext"/>
        <w:rPr>
          <w:lang w:val="en-US"/>
        </w:rPr>
      </w:pPr>
      <w:r>
        <w:rPr>
          <w:rStyle w:val="Funotenzeichen"/>
          <w:rFonts w:eastAsiaTheme="majorEastAsia"/>
        </w:rPr>
        <w:footnoteRef/>
      </w:r>
      <w:r w:rsidRPr="000660B2">
        <w:rPr>
          <w:lang w:val="en-US"/>
        </w:rPr>
        <w:t xml:space="preserve"> </w:t>
      </w:r>
      <w:r w:rsidRPr="00B45592">
        <w:rPr>
          <w:i/>
          <w:lang w:val="en-US"/>
        </w:rPr>
        <w:t>Anderson v. Martin</w:t>
      </w:r>
      <w:r w:rsidRPr="000660B2">
        <w:rPr>
          <w:lang w:val="en-US"/>
        </w:rPr>
        <w:t xml:space="preserve">, 375 U.S. 399; </w:t>
      </w:r>
      <w:r w:rsidRPr="00B45592">
        <w:rPr>
          <w:i/>
          <w:lang w:val="en-US"/>
        </w:rPr>
        <w:t>Goss v. Board of Education</w:t>
      </w:r>
      <w:r w:rsidRPr="000660B2">
        <w:rPr>
          <w:lang w:val="en-US"/>
        </w:rPr>
        <w:t xml:space="preserve">, 373 U.S. 683; </w:t>
      </w:r>
      <w:r w:rsidRPr="00B45592">
        <w:rPr>
          <w:i/>
          <w:lang w:val="en-US"/>
        </w:rPr>
        <w:t>Watson v. City of Memphis</w:t>
      </w:r>
      <w:r w:rsidRPr="000660B2">
        <w:rPr>
          <w:lang w:val="en-US"/>
        </w:rPr>
        <w:t xml:space="preserve">, 373 U.S. 526; </w:t>
      </w:r>
      <w:r w:rsidRPr="00B45592">
        <w:rPr>
          <w:i/>
          <w:lang w:val="en-US"/>
        </w:rPr>
        <w:t>Lombard v. Louisiana</w:t>
      </w:r>
      <w:r w:rsidRPr="000660B2">
        <w:rPr>
          <w:lang w:val="en-US"/>
        </w:rPr>
        <w:t xml:space="preserve">, 373 U.S. 267; </w:t>
      </w:r>
      <w:r w:rsidRPr="00B45592">
        <w:rPr>
          <w:i/>
          <w:lang w:val="en-US"/>
        </w:rPr>
        <w:t>Peterson v. City of Greenville</w:t>
      </w:r>
      <w:r w:rsidRPr="000660B2">
        <w:rPr>
          <w:lang w:val="en-US"/>
        </w:rPr>
        <w:t xml:space="preserve">, 373 U.S. 244; </w:t>
      </w:r>
      <w:r w:rsidRPr="00B45592">
        <w:rPr>
          <w:i/>
          <w:lang w:val="en-US"/>
        </w:rPr>
        <w:t>Johnson v. Virginia</w:t>
      </w:r>
      <w:r w:rsidRPr="000660B2">
        <w:rPr>
          <w:lang w:val="en-US"/>
        </w:rPr>
        <w:t xml:space="preserve">, 373 U.S. 61; </w:t>
      </w:r>
      <w:r w:rsidRPr="00B45592">
        <w:rPr>
          <w:i/>
          <w:lang w:val="en-US"/>
        </w:rPr>
        <w:t>Turner v. City of Memphis</w:t>
      </w:r>
      <w:r w:rsidRPr="000660B2">
        <w:rPr>
          <w:lang w:val="en-US"/>
        </w:rPr>
        <w:t xml:space="preserve">, 369 U.S. 350; </w:t>
      </w:r>
      <w:r w:rsidRPr="00B45592">
        <w:rPr>
          <w:i/>
          <w:lang w:val="en-US"/>
        </w:rPr>
        <w:t>Burton v. Wilmington Parking Authority</w:t>
      </w:r>
      <w:r w:rsidRPr="000660B2">
        <w:rPr>
          <w:lang w:val="en-US"/>
        </w:rPr>
        <w:t xml:space="preserve">, 365 U.S. 715; </w:t>
      </w:r>
      <w:r w:rsidRPr="00B45592">
        <w:rPr>
          <w:i/>
          <w:lang w:val="en-US"/>
        </w:rPr>
        <w:t>Boynton v. Virginia</w:t>
      </w:r>
      <w:r w:rsidRPr="000660B2">
        <w:rPr>
          <w:lang w:val="en-US"/>
        </w:rPr>
        <w:t xml:space="preserve">, 364 U.S. 454; </w:t>
      </w:r>
      <w:r w:rsidRPr="00B45592">
        <w:rPr>
          <w:i/>
          <w:lang w:val="en-US"/>
        </w:rPr>
        <w:t>Gomillion v. Lightfoot</w:t>
      </w:r>
      <w:r w:rsidRPr="000660B2">
        <w:rPr>
          <w:lang w:val="en-US"/>
        </w:rPr>
        <w:t xml:space="preserve">, 364 U.S. 339; </w:t>
      </w:r>
      <w:r w:rsidRPr="00B45592">
        <w:rPr>
          <w:i/>
          <w:lang w:val="en-US"/>
        </w:rPr>
        <w:t>Cooper v. Aaron</w:t>
      </w:r>
      <w:r w:rsidRPr="000660B2">
        <w:rPr>
          <w:lang w:val="en-US"/>
        </w:rPr>
        <w:t>, 358 U.S. 1</w:t>
      </w:r>
      <w:r>
        <w:rPr>
          <w:lang w:val="en-US"/>
        </w:rPr>
        <w:t xml:space="preserve">; </w:t>
      </w:r>
      <w:r w:rsidRPr="00A15962">
        <w:rPr>
          <w:i/>
          <w:lang w:val="en-US"/>
        </w:rPr>
        <w:t>Bell v. Maryland</w:t>
      </w:r>
      <w:r w:rsidRPr="000660B2">
        <w:rPr>
          <w:lang w:val="en-US"/>
        </w:rPr>
        <w:t>, 378 U.S. 226, 287</w:t>
      </w:r>
      <w:r>
        <w:rPr>
          <w:lang w:val="en-US"/>
        </w:rPr>
        <w:t xml:space="preserve"> = 84 S. Ct. </w:t>
      </w:r>
      <w:r w:rsidRPr="000660B2">
        <w:rPr>
          <w:lang w:val="en-US"/>
        </w:rPr>
        <w:t>1814, 1848</w:t>
      </w:r>
      <w:r>
        <w:rPr>
          <w:lang w:val="en-US"/>
        </w:rPr>
        <w:t xml:space="preserve"> = 12 L. Ed. </w:t>
      </w:r>
      <w:r w:rsidRPr="000660B2">
        <w:rPr>
          <w:lang w:val="en-US"/>
        </w:rPr>
        <w:t>2d 822, 833</w:t>
      </w:r>
      <w:r>
        <w:rPr>
          <w:lang w:val="en-US"/>
        </w:rPr>
        <w:t xml:space="preserve"> = 1964 U.S. LEXIS </w:t>
      </w:r>
      <w:r w:rsidRPr="000660B2">
        <w:rPr>
          <w:lang w:val="en-US"/>
        </w:rPr>
        <w:t>824, 90 (1964)</w:t>
      </w:r>
      <w:r>
        <w:rPr>
          <w:lang w:val="en-US"/>
        </w:rPr>
        <w:t>.</w:t>
      </w:r>
    </w:p>
  </w:footnote>
  <w:footnote w:id="1922">
    <w:p w14:paraId="344D86E0" w14:textId="77777777" w:rsidR="00074551" w:rsidRPr="00687A3E" w:rsidRDefault="00074551" w:rsidP="00074551">
      <w:pPr>
        <w:pStyle w:val="Funotentext"/>
        <w:rPr>
          <w:lang w:val="en-US"/>
        </w:rPr>
      </w:pPr>
      <w:r>
        <w:rPr>
          <w:rStyle w:val="Funotenzeichen"/>
          <w:rFonts w:eastAsiaTheme="majorEastAsia"/>
        </w:rPr>
        <w:footnoteRef/>
      </w:r>
      <w:r w:rsidRPr="00687A3E">
        <w:rPr>
          <w:lang w:val="en-US"/>
        </w:rPr>
        <w:t xml:space="preserve"> </w:t>
      </w:r>
      <w:r w:rsidRPr="00A15962">
        <w:rPr>
          <w:i/>
          <w:lang w:val="en-US"/>
        </w:rPr>
        <w:t>Bell v. Maryland</w:t>
      </w:r>
      <w:r w:rsidRPr="00687A3E">
        <w:rPr>
          <w:lang w:val="en-US"/>
        </w:rPr>
        <w:t>, 378 U.S. 226, 300</w:t>
      </w:r>
      <w:r>
        <w:rPr>
          <w:lang w:val="en-US"/>
        </w:rPr>
        <w:t xml:space="preserve"> = 84 S. Ct. </w:t>
      </w:r>
      <w:r w:rsidRPr="00687A3E">
        <w:rPr>
          <w:lang w:val="en-US"/>
        </w:rPr>
        <w:t>1814, 1854</w:t>
      </w:r>
      <w:r>
        <w:rPr>
          <w:lang w:val="en-US"/>
        </w:rPr>
        <w:t xml:space="preserve"> = 12 L. Ed. </w:t>
      </w:r>
      <w:r w:rsidRPr="00687A3E">
        <w:rPr>
          <w:lang w:val="en-US"/>
        </w:rPr>
        <w:t>2d 822, 840</w:t>
      </w:r>
      <w:r>
        <w:rPr>
          <w:lang w:val="en-US"/>
        </w:rPr>
        <w:t xml:space="preserve"> = 1964 U.S. LEXIS </w:t>
      </w:r>
      <w:r w:rsidRPr="00687A3E">
        <w:rPr>
          <w:lang w:val="en-US"/>
        </w:rPr>
        <w:t>824, 107 (1964)</w:t>
      </w:r>
      <w:r>
        <w:rPr>
          <w:lang w:val="en-US"/>
        </w:rPr>
        <w:t>.</w:t>
      </w:r>
    </w:p>
  </w:footnote>
  <w:footnote w:id="1923">
    <w:p w14:paraId="1D3C16D2" w14:textId="77777777" w:rsidR="00074551" w:rsidRPr="004563BD" w:rsidRDefault="00074551" w:rsidP="00074551">
      <w:pPr>
        <w:pStyle w:val="Funotentext"/>
        <w:rPr>
          <w:lang w:val="en-US"/>
        </w:rPr>
      </w:pPr>
      <w:r>
        <w:rPr>
          <w:rStyle w:val="Funotenzeichen"/>
          <w:rFonts w:eastAsiaTheme="majorEastAsia"/>
        </w:rPr>
        <w:footnoteRef/>
      </w:r>
      <w:r w:rsidRPr="004563BD">
        <w:rPr>
          <w:lang w:val="en-US"/>
        </w:rPr>
        <w:t xml:space="preserve"> </w:t>
      </w:r>
      <w:r w:rsidRPr="00B45592">
        <w:rPr>
          <w:i/>
          <w:lang w:val="en-US"/>
        </w:rPr>
        <w:t>Baldwin v. Fish &amp; Game Comm’n</w:t>
      </w:r>
      <w:r w:rsidRPr="004563BD">
        <w:rPr>
          <w:lang w:val="en-US"/>
        </w:rPr>
        <w:t>, 436 U.S. 371, 377</w:t>
      </w:r>
      <w:r w:rsidRPr="003B741A">
        <w:rPr>
          <w:lang w:val="en-US"/>
        </w:rPr>
        <w:t xml:space="preserve"> = 98 S. Ct. </w:t>
      </w:r>
      <w:r w:rsidRPr="004563BD">
        <w:rPr>
          <w:lang w:val="en-US"/>
        </w:rPr>
        <w:t>1852, 1857</w:t>
      </w:r>
      <w:r>
        <w:rPr>
          <w:lang w:val="en-US"/>
        </w:rPr>
        <w:t xml:space="preserve"> = 56 L. Ed. </w:t>
      </w:r>
      <w:r w:rsidRPr="004563BD">
        <w:rPr>
          <w:lang w:val="en-US"/>
        </w:rPr>
        <w:t>2d 354, 361</w:t>
      </w:r>
      <w:r w:rsidRPr="003B741A">
        <w:rPr>
          <w:lang w:val="en-US"/>
        </w:rPr>
        <w:t xml:space="preserve"> = 1978 U.S. LEXIS </w:t>
      </w:r>
      <w:r w:rsidRPr="004563BD">
        <w:rPr>
          <w:lang w:val="en-US"/>
        </w:rPr>
        <w:t>27, 12</w:t>
      </w:r>
      <w:r w:rsidRPr="003B741A">
        <w:rPr>
          <w:lang w:val="en-US"/>
        </w:rPr>
        <w:t xml:space="preserve"> = 8 ELR </w:t>
      </w:r>
      <w:r w:rsidRPr="004563BD">
        <w:rPr>
          <w:lang w:val="en-US"/>
        </w:rPr>
        <w:t>20425 (1978)</w:t>
      </w:r>
      <w:r>
        <w:rPr>
          <w:lang w:val="en-US"/>
        </w:rPr>
        <w:t>.</w:t>
      </w:r>
    </w:p>
  </w:footnote>
  <w:footnote w:id="1924">
    <w:p w14:paraId="254428CB" w14:textId="77777777" w:rsidR="00074551" w:rsidRPr="004563BD" w:rsidRDefault="00074551" w:rsidP="00074551">
      <w:pPr>
        <w:pStyle w:val="Funotentext"/>
        <w:rPr>
          <w:lang w:val="en-US"/>
        </w:rPr>
      </w:pPr>
      <w:r>
        <w:rPr>
          <w:rStyle w:val="Funotenzeichen"/>
          <w:rFonts w:eastAsiaTheme="majorEastAsia"/>
        </w:rPr>
        <w:footnoteRef/>
      </w:r>
      <w:r w:rsidRPr="004563BD">
        <w:rPr>
          <w:lang w:val="en-US"/>
        </w:rPr>
        <w:t xml:space="preserve"> </w:t>
      </w:r>
      <w:r w:rsidRPr="00546F93">
        <w:rPr>
          <w:i/>
          <w:lang w:val="en-US"/>
        </w:rPr>
        <w:t>Paul v. Virginia</w:t>
      </w:r>
      <w:r>
        <w:rPr>
          <w:lang w:val="en-US"/>
        </w:rPr>
        <w:t xml:space="preserve">, 8 Wall. </w:t>
      </w:r>
      <w:r w:rsidRPr="004563BD">
        <w:rPr>
          <w:lang w:val="en-US"/>
        </w:rPr>
        <w:t>168, 180 (1869)</w:t>
      </w:r>
      <w:r>
        <w:rPr>
          <w:lang w:val="en-US"/>
        </w:rPr>
        <w:t xml:space="preserve">; </w:t>
      </w:r>
      <w:r w:rsidRPr="00B45592">
        <w:rPr>
          <w:i/>
          <w:lang w:val="en-US"/>
        </w:rPr>
        <w:t>Baldwin v. Fish &amp; Game Comm’n</w:t>
      </w:r>
      <w:r w:rsidRPr="004563BD">
        <w:rPr>
          <w:lang w:val="en-US"/>
        </w:rPr>
        <w:t>, 436 U.S. 371, 380</w:t>
      </w:r>
      <w:r w:rsidRPr="003B741A">
        <w:rPr>
          <w:lang w:val="en-US"/>
        </w:rPr>
        <w:t xml:space="preserve"> = 98 S. Ct. </w:t>
      </w:r>
      <w:r w:rsidRPr="004563BD">
        <w:rPr>
          <w:lang w:val="en-US"/>
        </w:rPr>
        <w:t>1852, 1858</w:t>
      </w:r>
      <w:r>
        <w:rPr>
          <w:lang w:val="en-US"/>
        </w:rPr>
        <w:t xml:space="preserve"> = 56 L. Ed. </w:t>
      </w:r>
      <w:r w:rsidRPr="004563BD">
        <w:rPr>
          <w:lang w:val="en-US"/>
        </w:rPr>
        <w:t>2d 354, 363</w:t>
      </w:r>
      <w:r w:rsidRPr="003B741A">
        <w:rPr>
          <w:lang w:val="en-US"/>
        </w:rPr>
        <w:t xml:space="preserve"> = 1978 U.S. LEXIS </w:t>
      </w:r>
      <w:r w:rsidRPr="004563BD">
        <w:rPr>
          <w:lang w:val="en-US"/>
        </w:rPr>
        <w:t>27, 17</w:t>
      </w:r>
      <w:r w:rsidRPr="003B741A">
        <w:rPr>
          <w:lang w:val="en-US"/>
        </w:rPr>
        <w:t xml:space="preserve"> = 8 ELR </w:t>
      </w:r>
      <w:r w:rsidRPr="004563BD">
        <w:rPr>
          <w:lang w:val="en-US"/>
        </w:rPr>
        <w:t>20425 (1978)</w:t>
      </w:r>
      <w:r>
        <w:rPr>
          <w:lang w:val="en-US"/>
        </w:rPr>
        <w:t>.</w:t>
      </w:r>
    </w:p>
  </w:footnote>
  <w:footnote w:id="1925">
    <w:p w14:paraId="42DDB78E" w14:textId="77777777" w:rsidR="00074551" w:rsidRPr="004563BD" w:rsidRDefault="00074551" w:rsidP="00074551">
      <w:pPr>
        <w:pStyle w:val="Funotentext"/>
        <w:rPr>
          <w:lang w:val="en-US"/>
        </w:rPr>
      </w:pPr>
      <w:r>
        <w:rPr>
          <w:rStyle w:val="Funotenzeichen"/>
          <w:rFonts w:eastAsiaTheme="majorEastAsia"/>
        </w:rPr>
        <w:footnoteRef/>
      </w:r>
      <w:r w:rsidRPr="004563BD">
        <w:rPr>
          <w:lang w:val="en-US"/>
        </w:rPr>
        <w:t xml:space="preserve"> </w:t>
      </w:r>
      <w:r w:rsidRPr="00546F93">
        <w:rPr>
          <w:i/>
          <w:lang w:val="en-US"/>
        </w:rPr>
        <w:t>Paul v. Virginia</w:t>
      </w:r>
      <w:r>
        <w:rPr>
          <w:lang w:val="en-US"/>
        </w:rPr>
        <w:t xml:space="preserve">, 8 Wall. </w:t>
      </w:r>
      <w:r w:rsidRPr="004563BD">
        <w:rPr>
          <w:lang w:val="en-US"/>
        </w:rPr>
        <w:t>168, 180 (1869)</w:t>
      </w:r>
      <w:r>
        <w:rPr>
          <w:lang w:val="en-US"/>
        </w:rPr>
        <w:t xml:space="preserve">; </w:t>
      </w:r>
      <w:r w:rsidRPr="00B45592">
        <w:rPr>
          <w:i/>
          <w:lang w:val="en-US"/>
        </w:rPr>
        <w:t>Baldwin v. Fish &amp; Game Comm’n</w:t>
      </w:r>
      <w:r w:rsidRPr="004563BD">
        <w:rPr>
          <w:lang w:val="en-US"/>
        </w:rPr>
        <w:t>, 436 U.S. 371, 380</w:t>
      </w:r>
      <w:r w:rsidRPr="003B741A">
        <w:rPr>
          <w:lang w:val="en-US"/>
        </w:rPr>
        <w:t xml:space="preserve"> = 98 S. Ct. </w:t>
      </w:r>
      <w:r w:rsidRPr="004563BD">
        <w:rPr>
          <w:lang w:val="en-US"/>
        </w:rPr>
        <w:t>1852, 1858</w:t>
      </w:r>
      <w:r>
        <w:rPr>
          <w:lang w:val="en-US"/>
        </w:rPr>
        <w:t xml:space="preserve"> = 56 L. Ed. </w:t>
      </w:r>
      <w:r w:rsidRPr="004563BD">
        <w:rPr>
          <w:lang w:val="en-US"/>
        </w:rPr>
        <w:t>2d 354, 363</w:t>
      </w:r>
      <w:r w:rsidRPr="003B741A">
        <w:rPr>
          <w:lang w:val="en-US"/>
        </w:rPr>
        <w:t xml:space="preserve"> = 1978 U.S. LEXIS </w:t>
      </w:r>
      <w:r w:rsidRPr="004563BD">
        <w:rPr>
          <w:lang w:val="en-US"/>
        </w:rPr>
        <w:t>27, 17</w:t>
      </w:r>
      <w:r w:rsidRPr="003B741A">
        <w:rPr>
          <w:lang w:val="en-US"/>
        </w:rPr>
        <w:t xml:space="preserve"> = 8 ELR </w:t>
      </w:r>
      <w:r w:rsidRPr="004563BD">
        <w:rPr>
          <w:lang w:val="en-US"/>
        </w:rPr>
        <w:t>20425 (1978)</w:t>
      </w:r>
      <w:r>
        <w:rPr>
          <w:lang w:val="en-US"/>
        </w:rPr>
        <w:t>.</w:t>
      </w:r>
    </w:p>
  </w:footnote>
  <w:footnote w:id="1926">
    <w:p w14:paraId="4ED7AB2F" w14:textId="77777777" w:rsidR="00074551" w:rsidRPr="004563BD" w:rsidRDefault="00074551" w:rsidP="00074551">
      <w:pPr>
        <w:pStyle w:val="Funotentext"/>
        <w:rPr>
          <w:lang w:val="en-US"/>
        </w:rPr>
      </w:pPr>
      <w:r>
        <w:rPr>
          <w:rStyle w:val="Funotenzeichen"/>
          <w:rFonts w:eastAsiaTheme="majorEastAsia"/>
        </w:rPr>
        <w:footnoteRef/>
      </w:r>
      <w:r w:rsidRPr="004563BD">
        <w:rPr>
          <w:lang w:val="en-US"/>
        </w:rPr>
        <w:t xml:space="preserve"> </w:t>
      </w:r>
      <w:r w:rsidRPr="00546F93">
        <w:rPr>
          <w:i/>
          <w:lang w:val="en-US"/>
        </w:rPr>
        <w:t>Paul v. Virginia</w:t>
      </w:r>
      <w:r>
        <w:rPr>
          <w:lang w:val="en-US"/>
        </w:rPr>
        <w:t xml:space="preserve">, 8 Wall. </w:t>
      </w:r>
      <w:r w:rsidRPr="004563BD">
        <w:rPr>
          <w:lang w:val="en-US"/>
        </w:rPr>
        <w:t>168, 180 (1869)</w:t>
      </w:r>
      <w:r>
        <w:rPr>
          <w:lang w:val="en-US"/>
        </w:rPr>
        <w:t xml:space="preserve">; </w:t>
      </w:r>
      <w:r w:rsidRPr="00B45592">
        <w:rPr>
          <w:i/>
          <w:lang w:val="en-US"/>
        </w:rPr>
        <w:t>Baldwin v. Fish &amp; Game Comm’n</w:t>
      </w:r>
      <w:r w:rsidRPr="004563BD">
        <w:rPr>
          <w:lang w:val="en-US"/>
        </w:rPr>
        <w:t>, 436 U.S. 371, 380</w:t>
      </w:r>
      <w:r w:rsidRPr="003B741A">
        <w:rPr>
          <w:lang w:val="en-US"/>
        </w:rPr>
        <w:t xml:space="preserve"> = 98 S. Ct. </w:t>
      </w:r>
      <w:r w:rsidRPr="004563BD">
        <w:rPr>
          <w:lang w:val="en-US"/>
        </w:rPr>
        <w:t>1852, 1858</w:t>
      </w:r>
      <w:r>
        <w:rPr>
          <w:lang w:val="en-US"/>
        </w:rPr>
        <w:t xml:space="preserve"> = 56 L. Ed. </w:t>
      </w:r>
      <w:r w:rsidRPr="004563BD">
        <w:rPr>
          <w:lang w:val="en-US"/>
        </w:rPr>
        <w:t>2d 354, 363</w:t>
      </w:r>
      <w:r w:rsidRPr="003B741A">
        <w:rPr>
          <w:lang w:val="en-US"/>
        </w:rPr>
        <w:t xml:space="preserve"> = 1978 U.S. LEXIS </w:t>
      </w:r>
      <w:r w:rsidRPr="004563BD">
        <w:rPr>
          <w:lang w:val="en-US"/>
        </w:rPr>
        <w:t>27, 17</w:t>
      </w:r>
      <w:r w:rsidRPr="003B741A">
        <w:rPr>
          <w:lang w:val="en-US"/>
        </w:rPr>
        <w:t xml:space="preserve"> = 8 ELR </w:t>
      </w:r>
      <w:r w:rsidRPr="004563BD">
        <w:rPr>
          <w:lang w:val="en-US"/>
        </w:rPr>
        <w:t>20425 (1978)</w:t>
      </w:r>
      <w:r>
        <w:rPr>
          <w:lang w:val="en-US"/>
        </w:rPr>
        <w:t>.</w:t>
      </w:r>
    </w:p>
  </w:footnote>
  <w:footnote w:id="1927">
    <w:p w14:paraId="42CF19CB" w14:textId="77777777" w:rsidR="00074551" w:rsidRPr="00FD4C32" w:rsidRDefault="00074551" w:rsidP="00074551">
      <w:pPr>
        <w:pStyle w:val="Funotentext"/>
        <w:rPr>
          <w:lang w:val="en-US"/>
        </w:rPr>
      </w:pPr>
      <w:r>
        <w:rPr>
          <w:rStyle w:val="Funotenzeichen"/>
          <w:rFonts w:eastAsiaTheme="majorEastAsia"/>
        </w:rPr>
        <w:footnoteRef/>
      </w:r>
      <w:r w:rsidRPr="00FD4C32">
        <w:rPr>
          <w:lang w:val="en-US"/>
        </w:rPr>
        <w:t xml:space="preserve"> </w:t>
      </w:r>
      <w:r w:rsidRPr="00546F93">
        <w:rPr>
          <w:i/>
          <w:lang w:val="en-US"/>
        </w:rPr>
        <w:t>Paul v. Virginia</w:t>
      </w:r>
      <w:r>
        <w:rPr>
          <w:lang w:val="en-US"/>
        </w:rPr>
        <w:t xml:space="preserve">, 8 Wall. </w:t>
      </w:r>
      <w:r w:rsidRPr="00FD4C32">
        <w:rPr>
          <w:lang w:val="en-US"/>
        </w:rPr>
        <w:t>168, 180 (1869)</w:t>
      </w:r>
      <w:r>
        <w:rPr>
          <w:lang w:val="en-US"/>
        </w:rPr>
        <w:t xml:space="preserve">; </w:t>
      </w:r>
      <w:r w:rsidRPr="00B45592">
        <w:rPr>
          <w:i/>
          <w:lang w:val="en-US"/>
        </w:rPr>
        <w:t>Baldwin v. Fish &amp; Game Comm’n</w:t>
      </w:r>
      <w:r w:rsidRPr="00FD4C32">
        <w:rPr>
          <w:lang w:val="en-US"/>
        </w:rPr>
        <w:t>, 436 U.S. 371, 380</w:t>
      </w:r>
      <w:r w:rsidRPr="003B741A">
        <w:rPr>
          <w:lang w:val="en-US"/>
        </w:rPr>
        <w:t xml:space="preserve"> = 98 S. Ct. </w:t>
      </w:r>
      <w:r w:rsidRPr="00FD4C32">
        <w:rPr>
          <w:lang w:val="en-US"/>
        </w:rPr>
        <w:t>1852, 1858</w:t>
      </w:r>
      <w:r>
        <w:rPr>
          <w:lang w:val="en-US"/>
        </w:rPr>
        <w:t xml:space="preserve"> = 56 L. Ed. </w:t>
      </w:r>
      <w:r w:rsidRPr="00FD4C32">
        <w:rPr>
          <w:lang w:val="en-US"/>
        </w:rPr>
        <w:t>2d 354, 363</w:t>
      </w:r>
      <w:r w:rsidRPr="003B741A">
        <w:rPr>
          <w:lang w:val="en-US"/>
        </w:rPr>
        <w:t xml:space="preserve"> = 1978 U.S. LEXIS </w:t>
      </w:r>
      <w:r w:rsidRPr="00FD4C32">
        <w:rPr>
          <w:lang w:val="en-US"/>
        </w:rPr>
        <w:t>27, 17</w:t>
      </w:r>
      <w:r w:rsidRPr="003B741A">
        <w:rPr>
          <w:lang w:val="en-US"/>
        </w:rPr>
        <w:t xml:space="preserve"> = 8 ELR </w:t>
      </w:r>
      <w:r w:rsidRPr="00FD4C32">
        <w:rPr>
          <w:lang w:val="en-US"/>
        </w:rPr>
        <w:t>20425 (1978)</w:t>
      </w:r>
      <w:r>
        <w:rPr>
          <w:lang w:val="en-US"/>
        </w:rPr>
        <w:t>.</w:t>
      </w:r>
    </w:p>
  </w:footnote>
  <w:footnote w:id="1928">
    <w:p w14:paraId="1E1D53EB" w14:textId="77777777" w:rsidR="00074551" w:rsidRPr="00B36543" w:rsidRDefault="00074551" w:rsidP="00074551">
      <w:pPr>
        <w:pStyle w:val="Funotentext"/>
        <w:rPr>
          <w:lang w:val="en-US"/>
        </w:rPr>
      </w:pPr>
      <w:r>
        <w:rPr>
          <w:rStyle w:val="Funotenzeichen"/>
          <w:rFonts w:eastAsiaTheme="majorEastAsia"/>
        </w:rPr>
        <w:footnoteRef/>
      </w:r>
      <w:r w:rsidRPr="00B36543">
        <w:rPr>
          <w:lang w:val="en-US"/>
        </w:rPr>
        <w:t xml:space="preserve"> </w:t>
      </w:r>
      <w:r w:rsidRPr="00B45592">
        <w:rPr>
          <w:i/>
          <w:lang w:val="en-US"/>
        </w:rPr>
        <w:t>United States v. Mandujano</w:t>
      </w:r>
      <w:r w:rsidRPr="00B36543">
        <w:rPr>
          <w:lang w:val="en-US"/>
        </w:rPr>
        <w:t>, 425 U.S. 564, 581, 48 L. Ed. 2d 212</w:t>
      </w:r>
      <w:r w:rsidRPr="006E67FE">
        <w:rPr>
          <w:lang w:val="en-US"/>
        </w:rPr>
        <w:t xml:space="preserve"> = 96 S. Ct. </w:t>
      </w:r>
      <w:r w:rsidRPr="00B36543">
        <w:rPr>
          <w:lang w:val="en-US"/>
        </w:rPr>
        <w:t>1768 (1976)</w:t>
      </w:r>
      <w:r>
        <w:rPr>
          <w:lang w:val="en-US"/>
        </w:rPr>
        <w:t xml:space="preserve">; </w:t>
      </w:r>
      <w:r w:rsidRPr="009E57E1">
        <w:rPr>
          <w:i/>
          <w:lang w:val="en-US"/>
        </w:rPr>
        <w:t>Conn v. Gabbert</w:t>
      </w:r>
      <w:r w:rsidRPr="00B36543">
        <w:rPr>
          <w:lang w:val="en-US"/>
        </w:rPr>
        <w:t>, 526 U.S. 286, 292</w:t>
      </w:r>
      <w:r w:rsidRPr="003B741A">
        <w:rPr>
          <w:lang w:val="en-US"/>
        </w:rPr>
        <w:t xml:space="preserve"> = 119 S. Ct. </w:t>
      </w:r>
      <w:r w:rsidRPr="00B36543">
        <w:rPr>
          <w:lang w:val="en-US"/>
        </w:rPr>
        <w:t>1292, 1296</w:t>
      </w:r>
      <w:r w:rsidRPr="003B741A">
        <w:rPr>
          <w:lang w:val="en-US"/>
        </w:rPr>
        <w:t xml:space="preserve"> = 143 L. Ed. </w:t>
      </w:r>
      <w:r w:rsidRPr="00B36543">
        <w:rPr>
          <w:lang w:val="en-US"/>
        </w:rPr>
        <w:t>2d 399, 406</w:t>
      </w:r>
      <w:r w:rsidRPr="003B741A">
        <w:rPr>
          <w:lang w:val="en-US"/>
        </w:rPr>
        <w:t xml:space="preserve"> = 1999 U.S. LEXIS </w:t>
      </w:r>
      <w:r w:rsidRPr="00B36543">
        <w:rPr>
          <w:lang w:val="en-US"/>
        </w:rPr>
        <w:t>2345, 12</w:t>
      </w:r>
      <w:r w:rsidRPr="003B741A">
        <w:rPr>
          <w:lang w:val="en-US"/>
        </w:rPr>
        <w:t xml:space="preserve"> = 67 U.S.L.W. </w:t>
      </w:r>
      <w:r w:rsidRPr="00B36543">
        <w:rPr>
          <w:lang w:val="en-US"/>
        </w:rPr>
        <w:t>4222</w:t>
      </w:r>
      <w:r w:rsidRPr="003B741A">
        <w:rPr>
          <w:lang w:val="en-US"/>
        </w:rPr>
        <w:t xml:space="preserve"> = 99 Cal. Daily Op. Service </w:t>
      </w:r>
      <w:r w:rsidRPr="00B36543">
        <w:rPr>
          <w:lang w:val="en-US"/>
        </w:rPr>
        <w:t>2466</w:t>
      </w:r>
      <w:r w:rsidRPr="003B741A">
        <w:rPr>
          <w:lang w:val="en-US"/>
        </w:rPr>
        <w:t xml:space="preserve"> = 99 Daily Journal </w:t>
      </w:r>
      <w:r w:rsidRPr="00B36543">
        <w:rPr>
          <w:lang w:val="en-US"/>
        </w:rPr>
        <w:t>DAR 3227</w:t>
      </w:r>
      <w:r w:rsidRPr="003B741A">
        <w:rPr>
          <w:lang w:val="en-US"/>
        </w:rPr>
        <w:t xml:space="preserve"> = 1999 Colo. J. C.A.R. </w:t>
      </w:r>
      <w:r w:rsidRPr="00B36543">
        <w:rPr>
          <w:lang w:val="en-US"/>
        </w:rPr>
        <w:t>1921</w:t>
      </w:r>
      <w:r w:rsidRPr="003B741A">
        <w:rPr>
          <w:lang w:val="en-US"/>
        </w:rPr>
        <w:t xml:space="preserve"> = 12 Fla. L. Weekly Fed.</w:t>
      </w:r>
      <w:r w:rsidRPr="00B36543">
        <w:rPr>
          <w:lang w:val="en-US"/>
        </w:rPr>
        <w:t xml:space="preserve"> S 193 (1999)</w:t>
      </w:r>
      <w:r>
        <w:rPr>
          <w:lang w:val="en-US"/>
        </w:rPr>
        <w:t>.</w:t>
      </w:r>
    </w:p>
  </w:footnote>
  <w:footnote w:id="1929">
    <w:p w14:paraId="662929AC" w14:textId="77777777" w:rsidR="00074551" w:rsidRPr="00B36543" w:rsidRDefault="00074551" w:rsidP="00074551">
      <w:pPr>
        <w:pStyle w:val="Funotentext"/>
        <w:rPr>
          <w:lang w:val="en-US"/>
        </w:rPr>
      </w:pPr>
      <w:r>
        <w:rPr>
          <w:rStyle w:val="Funotenzeichen"/>
          <w:rFonts w:eastAsiaTheme="majorEastAsia"/>
        </w:rPr>
        <w:footnoteRef/>
      </w:r>
      <w:r w:rsidRPr="00B36543">
        <w:rPr>
          <w:lang w:val="en-US"/>
        </w:rPr>
        <w:t xml:space="preserve"> </w:t>
      </w:r>
      <w:r w:rsidRPr="00B45592">
        <w:rPr>
          <w:i/>
          <w:lang w:val="en-US"/>
        </w:rPr>
        <w:t>Warth v. Seldin</w:t>
      </w:r>
      <w:r w:rsidRPr="00B36543">
        <w:rPr>
          <w:lang w:val="en-US"/>
        </w:rPr>
        <w:t>, 422 U.S. 490, 499, 45 L. Ed. 2d 343</w:t>
      </w:r>
      <w:r w:rsidRPr="003B741A">
        <w:rPr>
          <w:lang w:val="en-US"/>
        </w:rPr>
        <w:t xml:space="preserve"> = 95 S. Ct. </w:t>
      </w:r>
      <w:r w:rsidRPr="00B36543">
        <w:rPr>
          <w:lang w:val="en-US"/>
        </w:rPr>
        <w:t>2197 (1975)</w:t>
      </w:r>
      <w:r>
        <w:rPr>
          <w:lang w:val="en-US"/>
        </w:rPr>
        <w:t xml:space="preserve">; </w:t>
      </w:r>
      <w:r w:rsidRPr="009E57E1">
        <w:rPr>
          <w:i/>
          <w:lang w:val="en-US"/>
        </w:rPr>
        <w:t>Conn v. Gabbert</w:t>
      </w:r>
      <w:r w:rsidRPr="00B36543">
        <w:rPr>
          <w:lang w:val="en-US"/>
        </w:rPr>
        <w:t>, 526 U.S. 286, 293</w:t>
      </w:r>
      <w:r w:rsidRPr="003B741A">
        <w:rPr>
          <w:lang w:val="en-US"/>
        </w:rPr>
        <w:t xml:space="preserve"> = 119 S. Ct. </w:t>
      </w:r>
      <w:r w:rsidRPr="00B36543">
        <w:rPr>
          <w:lang w:val="en-US"/>
        </w:rPr>
        <w:t>1292, 1296</w:t>
      </w:r>
      <w:r w:rsidRPr="003B741A">
        <w:rPr>
          <w:lang w:val="en-US"/>
        </w:rPr>
        <w:t xml:space="preserve"> = 143 L. Ed. </w:t>
      </w:r>
      <w:r w:rsidRPr="00B36543">
        <w:rPr>
          <w:lang w:val="en-US"/>
        </w:rPr>
        <w:t>2d 399, 406</w:t>
      </w:r>
      <w:r w:rsidRPr="003B741A">
        <w:rPr>
          <w:lang w:val="en-US"/>
        </w:rPr>
        <w:t xml:space="preserve"> = 1999 U.S. LEXIS </w:t>
      </w:r>
      <w:r w:rsidRPr="00B36543">
        <w:rPr>
          <w:lang w:val="en-US"/>
        </w:rPr>
        <w:t>2345, 13</w:t>
      </w:r>
      <w:r w:rsidRPr="003B741A">
        <w:rPr>
          <w:lang w:val="en-US"/>
        </w:rPr>
        <w:t xml:space="preserve"> = 67 U.S.L.W. </w:t>
      </w:r>
      <w:r w:rsidRPr="00B36543">
        <w:rPr>
          <w:lang w:val="en-US"/>
        </w:rPr>
        <w:t>4222</w:t>
      </w:r>
      <w:r w:rsidRPr="003B741A">
        <w:rPr>
          <w:lang w:val="en-US"/>
        </w:rPr>
        <w:t xml:space="preserve"> = 99 Cal. Daily Op. Service </w:t>
      </w:r>
      <w:r w:rsidRPr="00B36543">
        <w:rPr>
          <w:lang w:val="en-US"/>
        </w:rPr>
        <w:t>2466</w:t>
      </w:r>
      <w:r w:rsidRPr="003B741A">
        <w:rPr>
          <w:lang w:val="en-US"/>
        </w:rPr>
        <w:t xml:space="preserve"> = 99 Daily Journal </w:t>
      </w:r>
      <w:r w:rsidRPr="00B36543">
        <w:rPr>
          <w:lang w:val="en-US"/>
        </w:rPr>
        <w:t>DAR 3227</w:t>
      </w:r>
      <w:r w:rsidRPr="003B741A">
        <w:rPr>
          <w:lang w:val="en-US"/>
        </w:rPr>
        <w:t xml:space="preserve"> = 1999 Colo. J. C.A.R. </w:t>
      </w:r>
      <w:r w:rsidRPr="00B36543">
        <w:rPr>
          <w:lang w:val="en-US"/>
        </w:rPr>
        <w:t>1921</w:t>
      </w:r>
      <w:r w:rsidRPr="003B741A">
        <w:rPr>
          <w:lang w:val="en-US"/>
        </w:rPr>
        <w:t xml:space="preserve"> = 12 Fla. L. Weekly Fed.</w:t>
      </w:r>
      <w:r w:rsidRPr="00B36543">
        <w:rPr>
          <w:lang w:val="en-US"/>
        </w:rPr>
        <w:t xml:space="preserve"> S 193 (1999).</w:t>
      </w:r>
    </w:p>
  </w:footnote>
  <w:footnote w:id="1930">
    <w:p w14:paraId="54309A61" w14:textId="77777777" w:rsidR="00074551" w:rsidRPr="00B36543" w:rsidRDefault="00074551" w:rsidP="00074551">
      <w:pPr>
        <w:pStyle w:val="Funotentext"/>
        <w:rPr>
          <w:lang w:val="en-US"/>
        </w:rPr>
      </w:pPr>
      <w:r>
        <w:rPr>
          <w:rStyle w:val="Funotenzeichen"/>
          <w:rFonts w:eastAsiaTheme="majorEastAsia"/>
        </w:rPr>
        <w:footnoteRef/>
      </w:r>
      <w:r>
        <w:rPr>
          <w:lang w:val="en-US"/>
        </w:rPr>
        <w:t xml:space="preserve"> </w:t>
      </w:r>
      <w:r w:rsidRPr="009E57E1">
        <w:rPr>
          <w:i/>
          <w:lang w:val="en-US"/>
        </w:rPr>
        <w:t>Bd. of Regents v. Roth</w:t>
      </w:r>
      <w:r w:rsidRPr="00B36543">
        <w:rPr>
          <w:lang w:val="en-US"/>
        </w:rPr>
        <w:t>, 408 U.S. 564, 571</w:t>
      </w:r>
      <w:r>
        <w:rPr>
          <w:lang w:val="en-US"/>
        </w:rPr>
        <w:t xml:space="preserve"> = 92 S. Ct. </w:t>
      </w:r>
      <w:r w:rsidRPr="00B36543">
        <w:rPr>
          <w:lang w:val="en-US"/>
        </w:rPr>
        <w:t>2701, 2706</w:t>
      </w:r>
      <w:r w:rsidRPr="00EC5BEB">
        <w:rPr>
          <w:lang w:val="en-US"/>
        </w:rPr>
        <w:t xml:space="preserve"> = 33 L. Ed. </w:t>
      </w:r>
      <w:r w:rsidRPr="00B36543">
        <w:rPr>
          <w:lang w:val="en-US"/>
        </w:rPr>
        <w:t>2d 548, 557</w:t>
      </w:r>
      <w:r>
        <w:rPr>
          <w:lang w:val="en-US"/>
        </w:rPr>
        <w:t xml:space="preserve"> = 1972 U.S. LEXIS </w:t>
      </w:r>
      <w:r w:rsidRPr="00B36543">
        <w:rPr>
          <w:lang w:val="en-US"/>
        </w:rPr>
        <w:t>131, 14</w:t>
      </w:r>
      <w:r w:rsidRPr="005D5028">
        <w:rPr>
          <w:lang w:val="en-US"/>
        </w:rPr>
        <w:t xml:space="preserve"> = 1 I.E.R. </w:t>
      </w:r>
      <w:r w:rsidRPr="00B36543">
        <w:rPr>
          <w:lang w:val="en-US"/>
        </w:rPr>
        <w:t>Cas. (BNA) 23 (1972)</w:t>
      </w:r>
      <w:r>
        <w:rPr>
          <w:lang w:val="en-US"/>
        </w:rPr>
        <w:t>;</w:t>
      </w:r>
      <w:r w:rsidRPr="00B36543">
        <w:rPr>
          <w:lang w:val="en-US"/>
        </w:rPr>
        <w:t xml:space="preserve"> </w:t>
      </w:r>
      <w:r w:rsidRPr="009E57E1">
        <w:rPr>
          <w:i/>
          <w:lang w:val="en-US"/>
        </w:rPr>
        <w:t>Meyer v. Nebraska</w:t>
      </w:r>
      <w:r w:rsidRPr="00B36543">
        <w:rPr>
          <w:lang w:val="en-US"/>
        </w:rPr>
        <w:t>, 262 U.S. 390, 399</w:t>
      </w:r>
      <w:r w:rsidRPr="00EC5BEB">
        <w:rPr>
          <w:lang w:val="en-US"/>
        </w:rPr>
        <w:t xml:space="preserve"> = 67 L. Ed. </w:t>
      </w:r>
      <w:r w:rsidRPr="00B36543">
        <w:rPr>
          <w:lang w:val="en-US"/>
        </w:rPr>
        <w:t>1042</w:t>
      </w:r>
      <w:r w:rsidRPr="00EC5BEB">
        <w:rPr>
          <w:lang w:val="en-US"/>
        </w:rPr>
        <w:t xml:space="preserve"> = 43 S. Ct. </w:t>
      </w:r>
      <w:r w:rsidRPr="00B36543">
        <w:rPr>
          <w:lang w:val="en-US"/>
        </w:rPr>
        <w:t>625, (1923)</w:t>
      </w:r>
      <w:r>
        <w:rPr>
          <w:lang w:val="en-US"/>
        </w:rPr>
        <w:t xml:space="preserve">; </w:t>
      </w:r>
      <w:r w:rsidRPr="009E57E1">
        <w:rPr>
          <w:i/>
          <w:lang w:val="en-US"/>
        </w:rPr>
        <w:t>Conn v. Gabbert</w:t>
      </w:r>
      <w:r w:rsidRPr="00B36543">
        <w:rPr>
          <w:lang w:val="en-US"/>
        </w:rPr>
        <w:t>, 526 U.S. 286, 291</w:t>
      </w:r>
      <w:r w:rsidRPr="003B741A">
        <w:rPr>
          <w:lang w:val="en-US"/>
        </w:rPr>
        <w:t xml:space="preserve"> = 119 S. Ct. </w:t>
      </w:r>
      <w:r w:rsidRPr="00B36543">
        <w:rPr>
          <w:lang w:val="en-US"/>
        </w:rPr>
        <w:t>1292, 1295</w:t>
      </w:r>
      <w:r w:rsidRPr="003B741A">
        <w:rPr>
          <w:lang w:val="en-US"/>
        </w:rPr>
        <w:t xml:space="preserve"> = 143 L. Ed. </w:t>
      </w:r>
      <w:r w:rsidRPr="00B36543">
        <w:rPr>
          <w:lang w:val="en-US"/>
        </w:rPr>
        <w:t>2d 399, 405</w:t>
      </w:r>
      <w:r w:rsidRPr="003B741A">
        <w:rPr>
          <w:lang w:val="en-US"/>
        </w:rPr>
        <w:t xml:space="preserve"> = 1999 U.S. LEXIS </w:t>
      </w:r>
      <w:r w:rsidRPr="00B36543">
        <w:rPr>
          <w:lang w:val="en-US"/>
        </w:rPr>
        <w:t>2345, 9</w:t>
      </w:r>
      <w:r w:rsidRPr="003B741A">
        <w:rPr>
          <w:lang w:val="en-US"/>
        </w:rPr>
        <w:t xml:space="preserve"> = 67 U.S.L.W. </w:t>
      </w:r>
      <w:r w:rsidRPr="00B36543">
        <w:rPr>
          <w:lang w:val="en-US"/>
        </w:rPr>
        <w:t>4222</w:t>
      </w:r>
      <w:r w:rsidRPr="003B741A">
        <w:rPr>
          <w:lang w:val="en-US"/>
        </w:rPr>
        <w:t xml:space="preserve"> = 99 Cal. Daily Op. Service </w:t>
      </w:r>
      <w:r w:rsidRPr="00B36543">
        <w:rPr>
          <w:lang w:val="en-US"/>
        </w:rPr>
        <w:t>2466</w:t>
      </w:r>
      <w:r w:rsidRPr="003B741A">
        <w:rPr>
          <w:lang w:val="en-US"/>
        </w:rPr>
        <w:t xml:space="preserve"> = 99 Daily Journal </w:t>
      </w:r>
      <w:r w:rsidRPr="00B36543">
        <w:rPr>
          <w:lang w:val="en-US"/>
        </w:rPr>
        <w:t>DAR 3227</w:t>
      </w:r>
      <w:r w:rsidRPr="003B741A">
        <w:rPr>
          <w:lang w:val="en-US"/>
        </w:rPr>
        <w:t xml:space="preserve"> = 1999 Colo. J. C.A.R. </w:t>
      </w:r>
      <w:r w:rsidRPr="00B36543">
        <w:rPr>
          <w:lang w:val="en-US"/>
        </w:rPr>
        <w:t>1921</w:t>
      </w:r>
      <w:r w:rsidRPr="003B741A">
        <w:rPr>
          <w:lang w:val="en-US"/>
        </w:rPr>
        <w:t xml:space="preserve"> = 12 Fla. L. Weekly Fed.</w:t>
      </w:r>
      <w:r w:rsidRPr="00B36543">
        <w:rPr>
          <w:lang w:val="en-US"/>
        </w:rPr>
        <w:t xml:space="preserve"> S 193 (1999)</w:t>
      </w:r>
      <w:r>
        <w:rPr>
          <w:lang w:val="en-US"/>
        </w:rPr>
        <w:t>.</w:t>
      </w:r>
    </w:p>
  </w:footnote>
  <w:footnote w:id="1931">
    <w:p w14:paraId="679F4E7B" w14:textId="77777777" w:rsidR="00074551" w:rsidRPr="00423412" w:rsidRDefault="00074551" w:rsidP="00074551">
      <w:pPr>
        <w:pStyle w:val="Funotentext"/>
        <w:rPr>
          <w:lang w:val="en-US"/>
        </w:rPr>
      </w:pPr>
      <w:r>
        <w:rPr>
          <w:rStyle w:val="Funotenzeichen"/>
          <w:rFonts w:eastAsiaTheme="majorEastAsia"/>
        </w:rPr>
        <w:footnoteRef/>
      </w:r>
      <w:r w:rsidRPr="00F72682">
        <w:rPr>
          <w:lang w:val="en-US"/>
        </w:rPr>
        <w:t xml:space="preserve"> </w:t>
      </w:r>
      <w:proofErr w:type="spellStart"/>
      <w:r w:rsidRPr="00B45592">
        <w:rPr>
          <w:lang w:val="en-US"/>
        </w:rPr>
        <w:t>Bspw</w:t>
      </w:r>
      <w:proofErr w:type="spellEnd"/>
      <w:r w:rsidRPr="00B45592">
        <w:rPr>
          <w:lang w:val="en-US"/>
        </w:rPr>
        <w:t>.</w:t>
      </w:r>
      <w:r w:rsidRPr="002535FA">
        <w:rPr>
          <w:lang w:val="en-US"/>
        </w:rPr>
        <w:t xml:space="preserve"> </w:t>
      </w:r>
      <w:r>
        <w:rPr>
          <w:lang w:val="en-US"/>
        </w:rPr>
        <w:t>„</w:t>
      </w:r>
      <w:r w:rsidRPr="00B45592">
        <w:rPr>
          <w:i/>
          <w:lang w:val="en-US"/>
        </w:rPr>
        <w:t>Dent v. West Virginia</w:t>
      </w:r>
      <w:r w:rsidRPr="002535FA">
        <w:rPr>
          <w:lang w:val="en-US"/>
        </w:rPr>
        <w:t>, 129 U.S. 114 = 32 L. Ed. 623 = 9 S. Ct. 231 (</w:t>
      </w:r>
      <w:r w:rsidRPr="00A15962">
        <w:rPr>
          <w:lang w:val="en-US"/>
        </w:rPr>
        <w:t xml:space="preserve">1889) (upholding a requirement of licensing before a person can practice medicine); </w:t>
      </w:r>
      <w:r w:rsidRPr="00A15962">
        <w:rPr>
          <w:i/>
          <w:lang w:val="en-US"/>
        </w:rPr>
        <w:t>Truax v. Raich</w:t>
      </w:r>
      <w:r w:rsidRPr="00A15962">
        <w:rPr>
          <w:lang w:val="en-US"/>
        </w:rPr>
        <w:t>, 239 U.S. 33, 41</w:t>
      </w:r>
      <w:r w:rsidRPr="00B45592">
        <w:rPr>
          <w:lang w:val="en-US"/>
        </w:rPr>
        <w:t xml:space="preserve"> = 60 L. Ed. </w:t>
      </w:r>
      <w:r w:rsidRPr="00A15962">
        <w:rPr>
          <w:lang w:val="en-US"/>
        </w:rPr>
        <w:t>131, 36 S. Ct. 7 (1915) (invalidating on equal protection grounds a state law requiring companies to employ 80% United States citizens)</w:t>
      </w:r>
      <w:r w:rsidRPr="00B45592">
        <w:rPr>
          <w:lang w:val="en-US"/>
        </w:rPr>
        <w:t>“</w:t>
      </w:r>
      <w:r w:rsidRPr="00A15962">
        <w:rPr>
          <w:lang w:val="en-US"/>
        </w:rPr>
        <w:t xml:space="preserve">; </w:t>
      </w:r>
      <w:r w:rsidRPr="00A15962">
        <w:rPr>
          <w:i/>
          <w:lang w:val="en-US"/>
        </w:rPr>
        <w:t>Conn</w:t>
      </w:r>
      <w:r w:rsidRPr="009E57E1">
        <w:rPr>
          <w:i/>
          <w:lang w:val="en-US"/>
        </w:rPr>
        <w:t xml:space="preserve"> v. Gabbert</w:t>
      </w:r>
      <w:r w:rsidRPr="00F72682">
        <w:rPr>
          <w:lang w:val="en-US"/>
        </w:rPr>
        <w:t>, 526 U.S. 286, 292</w:t>
      </w:r>
      <w:r w:rsidRPr="003B741A">
        <w:rPr>
          <w:lang w:val="en-US"/>
        </w:rPr>
        <w:t xml:space="preserve"> = 119 S. Ct. </w:t>
      </w:r>
      <w:r w:rsidRPr="00F72682">
        <w:rPr>
          <w:lang w:val="en-US"/>
        </w:rPr>
        <w:t>1292, 1296</w:t>
      </w:r>
      <w:r w:rsidRPr="003B741A">
        <w:rPr>
          <w:lang w:val="en-US"/>
        </w:rPr>
        <w:t xml:space="preserve"> = 143 L. Ed. </w:t>
      </w:r>
      <w:r w:rsidRPr="00F72682">
        <w:rPr>
          <w:lang w:val="en-US"/>
        </w:rPr>
        <w:t>2d 399, 406</w:t>
      </w:r>
      <w:r w:rsidRPr="003B741A">
        <w:rPr>
          <w:lang w:val="en-US"/>
        </w:rPr>
        <w:t xml:space="preserve"> = 1999 U.S. LEXIS </w:t>
      </w:r>
      <w:r w:rsidRPr="00F72682">
        <w:rPr>
          <w:lang w:val="en-US"/>
        </w:rPr>
        <w:t>2345, 11</w:t>
      </w:r>
      <w:r w:rsidRPr="003B741A">
        <w:rPr>
          <w:lang w:val="en-US"/>
        </w:rPr>
        <w:t xml:space="preserve"> = 67 U.S.L.W. </w:t>
      </w:r>
      <w:r w:rsidRPr="00F72682">
        <w:rPr>
          <w:lang w:val="en-US"/>
        </w:rPr>
        <w:t>4222</w:t>
      </w:r>
      <w:r w:rsidRPr="003B741A">
        <w:rPr>
          <w:lang w:val="en-US"/>
        </w:rPr>
        <w:t xml:space="preserve"> = 99 Cal. Daily Op. Service </w:t>
      </w:r>
      <w:r w:rsidRPr="00F72682">
        <w:rPr>
          <w:lang w:val="en-US"/>
        </w:rPr>
        <w:t>2466</w:t>
      </w:r>
      <w:r w:rsidRPr="003B741A">
        <w:rPr>
          <w:lang w:val="en-US"/>
        </w:rPr>
        <w:t xml:space="preserve"> = 99 Daily Journal </w:t>
      </w:r>
      <w:r w:rsidRPr="00F72682">
        <w:rPr>
          <w:lang w:val="en-US"/>
        </w:rPr>
        <w:t>DAR 3227</w:t>
      </w:r>
      <w:r w:rsidRPr="003B741A">
        <w:rPr>
          <w:lang w:val="en-US"/>
        </w:rPr>
        <w:t xml:space="preserve"> = 1999 Colo. J. C.A.R. </w:t>
      </w:r>
      <w:r w:rsidRPr="00F72682">
        <w:rPr>
          <w:lang w:val="en-US"/>
        </w:rPr>
        <w:t>1921</w:t>
      </w:r>
      <w:r w:rsidRPr="003B741A">
        <w:rPr>
          <w:lang w:val="en-US"/>
        </w:rPr>
        <w:t xml:space="preserve"> = 12 Fla. L. Weekly Fed.</w:t>
      </w:r>
      <w:r w:rsidRPr="00F72682">
        <w:rPr>
          <w:lang w:val="en-US"/>
        </w:rPr>
        <w:t xml:space="preserve"> </w:t>
      </w:r>
      <w:r w:rsidRPr="00423412">
        <w:rPr>
          <w:lang w:val="en-US"/>
        </w:rPr>
        <w:t>S 193 (1999).</w:t>
      </w:r>
    </w:p>
  </w:footnote>
  <w:footnote w:id="1932">
    <w:p w14:paraId="6592BD51" w14:textId="77777777" w:rsidR="00074551" w:rsidRPr="00B66A49" w:rsidRDefault="00074551" w:rsidP="00074551">
      <w:pPr>
        <w:pStyle w:val="Funotentext"/>
        <w:rPr>
          <w:lang w:val="en-US"/>
        </w:rPr>
      </w:pPr>
      <w:r>
        <w:rPr>
          <w:rStyle w:val="Funotenzeichen"/>
          <w:rFonts w:eastAsiaTheme="majorEastAsia"/>
        </w:rPr>
        <w:footnoteRef/>
      </w:r>
      <w:r w:rsidRPr="00423412">
        <w:rPr>
          <w:lang w:val="en-US"/>
        </w:rPr>
        <w:t xml:space="preserve"> </w:t>
      </w:r>
      <w:r w:rsidRPr="009E57E1">
        <w:rPr>
          <w:i/>
          <w:lang w:val="en-US"/>
        </w:rPr>
        <w:t>Conn v. Gabbert</w:t>
      </w:r>
      <w:r w:rsidRPr="00F72682">
        <w:rPr>
          <w:lang w:val="en-US"/>
        </w:rPr>
        <w:t>, 526 U.S. 286, 292</w:t>
      </w:r>
      <w:r w:rsidRPr="003B741A">
        <w:rPr>
          <w:lang w:val="en-US"/>
        </w:rPr>
        <w:t xml:space="preserve"> = 119 S. Ct. </w:t>
      </w:r>
      <w:r w:rsidRPr="00F72682">
        <w:rPr>
          <w:lang w:val="en-US"/>
        </w:rPr>
        <w:t>1292, 1296</w:t>
      </w:r>
      <w:r w:rsidRPr="003B741A">
        <w:rPr>
          <w:lang w:val="en-US"/>
        </w:rPr>
        <w:t xml:space="preserve"> = 143 L. Ed. </w:t>
      </w:r>
      <w:r w:rsidRPr="00F72682">
        <w:rPr>
          <w:lang w:val="en-US"/>
        </w:rPr>
        <w:t>2d 399, 406</w:t>
      </w:r>
      <w:r w:rsidRPr="003B741A">
        <w:rPr>
          <w:lang w:val="en-US"/>
        </w:rPr>
        <w:t xml:space="preserve"> = 1999 U.S. LEXIS </w:t>
      </w:r>
      <w:r w:rsidRPr="00F72682">
        <w:rPr>
          <w:lang w:val="en-US"/>
        </w:rPr>
        <w:t>2345, 11</w:t>
      </w:r>
      <w:r w:rsidRPr="003B741A">
        <w:rPr>
          <w:lang w:val="en-US"/>
        </w:rPr>
        <w:t xml:space="preserve"> = 67 U.S.L.W. </w:t>
      </w:r>
      <w:r w:rsidRPr="00F72682">
        <w:rPr>
          <w:lang w:val="en-US"/>
        </w:rPr>
        <w:t>4222</w:t>
      </w:r>
      <w:r w:rsidRPr="003B741A">
        <w:rPr>
          <w:lang w:val="en-US"/>
        </w:rPr>
        <w:t xml:space="preserve"> = 99 Cal. Daily Op. Service </w:t>
      </w:r>
      <w:r w:rsidRPr="00F72682">
        <w:rPr>
          <w:lang w:val="en-US"/>
        </w:rPr>
        <w:t>2466</w:t>
      </w:r>
      <w:r w:rsidRPr="003B741A">
        <w:rPr>
          <w:lang w:val="en-US"/>
        </w:rPr>
        <w:t xml:space="preserve"> = 99 Daily Journal </w:t>
      </w:r>
      <w:r w:rsidRPr="00F72682">
        <w:rPr>
          <w:lang w:val="en-US"/>
        </w:rPr>
        <w:t>DAR 3227</w:t>
      </w:r>
      <w:r w:rsidRPr="003B741A">
        <w:rPr>
          <w:lang w:val="en-US"/>
        </w:rPr>
        <w:t xml:space="preserve"> = 1999 Colo. J. C.A.R. </w:t>
      </w:r>
      <w:r w:rsidRPr="00F72682">
        <w:rPr>
          <w:lang w:val="en-US"/>
        </w:rPr>
        <w:t>1921</w:t>
      </w:r>
      <w:r w:rsidRPr="003B741A">
        <w:rPr>
          <w:lang w:val="en-US"/>
        </w:rPr>
        <w:t xml:space="preserve"> = 12 Fla. L. Weekly Fed.</w:t>
      </w:r>
      <w:r w:rsidRPr="00F72682">
        <w:rPr>
          <w:lang w:val="en-US"/>
        </w:rPr>
        <w:t xml:space="preserve"> </w:t>
      </w:r>
      <w:r w:rsidRPr="00B66A49">
        <w:rPr>
          <w:lang w:val="en-US"/>
        </w:rPr>
        <w:t>S 193 (1999).</w:t>
      </w:r>
    </w:p>
  </w:footnote>
  <w:footnote w:id="1933">
    <w:p w14:paraId="4975B733" w14:textId="77777777" w:rsidR="00074551" w:rsidRPr="00AD2638" w:rsidRDefault="00074551" w:rsidP="00074551">
      <w:pPr>
        <w:pStyle w:val="Funotentext"/>
        <w:ind w:left="227" w:hanging="227"/>
        <w:rPr>
          <w:lang w:val="en-US"/>
        </w:rPr>
      </w:pPr>
      <w:r>
        <w:rPr>
          <w:rStyle w:val="Funotenzeichen"/>
          <w:rFonts w:eastAsiaTheme="majorEastAsia"/>
        </w:rPr>
        <w:footnoteRef/>
      </w:r>
      <w:r w:rsidRPr="00B66A49">
        <w:rPr>
          <w:lang w:val="en-US"/>
        </w:rPr>
        <w:t xml:space="preserve"> </w:t>
      </w:r>
      <w:proofErr w:type="spellStart"/>
      <w:r w:rsidRPr="00B66A49">
        <w:rPr>
          <w:lang w:val="en-US"/>
        </w:rPr>
        <w:t>Siehe</w:t>
      </w:r>
      <w:proofErr w:type="spellEnd"/>
      <w:r w:rsidRPr="00B66A49">
        <w:rPr>
          <w:lang w:val="en-US"/>
        </w:rPr>
        <w:t xml:space="preserve"> </w:t>
      </w:r>
      <w:proofErr w:type="spellStart"/>
      <w:r w:rsidRPr="00B66A49">
        <w:rPr>
          <w:lang w:val="en-US"/>
        </w:rPr>
        <w:t>dazu</w:t>
      </w:r>
      <w:proofErr w:type="spellEnd"/>
      <w:r w:rsidRPr="00B66A49">
        <w:rPr>
          <w:lang w:val="en-US"/>
        </w:rPr>
        <w:t xml:space="preserve"> </w:t>
      </w:r>
      <w:r w:rsidRPr="00B45592">
        <w:rPr>
          <w:i/>
          <w:lang w:val="en-US"/>
        </w:rPr>
        <w:t>Tileston v. Ullman</w:t>
      </w:r>
      <w:r w:rsidRPr="00AD2638">
        <w:rPr>
          <w:lang w:val="en-US"/>
        </w:rPr>
        <w:t>, 318 U.S. 44</w:t>
      </w:r>
      <w:r>
        <w:rPr>
          <w:lang w:val="en-US"/>
        </w:rPr>
        <w:t xml:space="preserve">; </w:t>
      </w:r>
      <w:r w:rsidRPr="009167A5">
        <w:rPr>
          <w:i/>
          <w:lang w:val="en-US"/>
        </w:rPr>
        <w:t>Griswold v. Connecticut</w:t>
      </w:r>
      <w:r w:rsidRPr="00AD2638">
        <w:rPr>
          <w:lang w:val="en-US"/>
        </w:rPr>
        <w:t>, 381 U.S. 479, 481</w:t>
      </w:r>
      <w:r w:rsidRPr="006E67FE">
        <w:rPr>
          <w:lang w:val="en-US"/>
        </w:rPr>
        <w:t xml:space="preserve"> = 85 S. Ct. </w:t>
      </w:r>
      <w:r w:rsidRPr="00AD2638">
        <w:rPr>
          <w:lang w:val="en-US"/>
        </w:rPr>
        <w:t>1678, 1679</w:t>
      </w:r>
      <w:r w:rsidRPr="003B741A">
        <w:rPr>
          <w:lang w:val="en-US"/>
        </w:rPr>
        <w:t xml:space="preserve"> = 14 L. Ed. </w:t>
      </w:r>
      <w:r w:rsidRPr="00AD2638">
        <w:rPr>
          <w:lang w:val="en-US"/>
        </w:rPr>
        <w:t>2d 510, 512</w:t>
      </w:r>
      <w:r w:rsidRPr="006E67FE">
        <w:rPr>
          <w:lang w:val="en-US"/>
        </w:rPr>
        <w:t xml:space="preserve"> = 1965 U.S. LEXIS </w:t>
      </w:r>
      <w:r w:rsidRPr="00AD2638">
        <w:rPr>
          <w:lang w:val="en-US"/>
        </w:rPr>
        <w:t>2282, 4 (1965)</w:t>
      </w:r>
      <w:r>
        <w:rPr>
          <w:lang w:val="en-US"/>
        </w:rPr>
        <w:t>.</w:t>
      </w:r>
    </w:p>
  </w:footnote>
  <w:footnote w:id="1934">
    <w:p w14:paraId="4401F326" w14:textId="77777777" w:rsidR="00074551" w:rsidRPr="00330B2A" w:rsidRDefault="00074551" w:rsidP="00074551">
      <w:pPr>
        <w:pStyle w:val="Funotentext"/>
        <w:ind w:left="227" w:hanging="227"/>
        <w:rPr>
          <w:lang w:val="en-US"/>
        </w:rPr>
      </w:pPr>
      <w:r>
        <w:rPr>
          <w:rStyle w:val="Funotenzeichen"/>
          <w:rFonts w:eastAsiaTheme="majorEastAsia"/>
        </w:rPr>
        <w:footnoteRef/>
      </w:r>
      <w:r w:rsidRPr="00330B2A">
        <w:rPr>
          <w:lang w:val="en-US"/>
        </w:rPr>
        <w:t xml:space="preserve"> </w:t>
      </w:r>
      <w:r w:rsidRPr="009167A5">
        <w:rPr>
          <w:i/>
          <w:lang w:val="en-US"/>
        </w:rPr>
        <w:t>Griswold v. Connecticut</w:t>
      </w:r>
      <w:r w:rsidRPr="008D0707">
        <w:rPr>
          <w:lang w:val="en-US"/>
        </w:rPr>
        <w:t>, 381 U.S. 479, 485</w:t>
      </w:r>
      <w:r w:rsidRPr="006E67FE">
        <w:rPr>
          <w:lang w:val="en-US"/>
        </w:rPr>
        <w:t xml:space="preserve"> = 85 S. Ct. </w:t>
      </w:r>
      <w:r w:rsidRPr="008D0707">
        <w:rPr>
          <w:lang w:val="en-US"/>
        </w:rPr>
        <w:t>1678, 1682</w:t>
      </w:r>
      <w:r w:rsidRPr="003B741A">
        <w:rPr>
          <w:lang w:val="en-US"/>
        </w:rPr>
        <w:t xml:space="preserve"> = 14 L. Ed. </w:t>
      </w:r>
      <w:r w:rsidRPr="008D0707">
        <w:rPr>
          <w:lang w:val="en-US"/>
        </w:rPr>
        <w:t>2d 510, 515</w:t>
      </w:r>
      <w:r w:rsidRPr="006E67FE">
        <w:rPr>
          <w:lang w:val="en-US"/>
        </w:rPr>
        <w:t xml:space="preserve"> = 1965 U.S. LEXIS </w:t>
      </w:r>
      <w:r w:rsidRPr="008D0707">
        <w:rPr>
          <w:lang w:val="en-US"/>
        </w:rPr>
        <w:t>2282, 11 (1965)</w:t>
      </w:r>
      <w:r>
        <w:rPr>
          <w:lang w:val="en-US"/>
        </w:rPr>
        <w:t>.</w:t>
      </w:r>
    </w:p>
  </w:footnote>
  <w:footnote w:id="1935">
    <w:p w14:paraId="19D9C78F" w14:textId="77777777" w:rsidR="00074551" w:rsidRPr="00F94158" w:rsidRDefault="00074551" w:rsidP="00074551">
      <w:r w:rsidRPr="00E466E0">
        <w:rPr>
          <w:rStyle w:val="Funotenzeichen"/>
          <w:rFonts w:eastAsiaTheme="majorEastAsia"/>
          <w:sz w:val="20"/>
          <w:szCs w:val="20"/>
        </w:rPr>
        <w:footnoteRef/>
      </w:r>
      <w:r w:rsidRPr="00B45592">
        <w:rPr>
          <w:sz w:val="20"/>
          <w:szCs w:val="20"/>
        </w:rPr>
        <w:t xml:space="preserve"> </w:t>
      </w:r>
      <w:bookmarkStart w:id="75" w:name="_Hlk228447977"/>
      <w:r w:rsidRPr="00B45592">
        <w:rPr>
          <w:sz w:val="20"/>
          <w:szCs w:val="20"/>
        </w:rPr>
        <w:t xml:space="preserve">Richter </w:t>
      </w:r>
      <w:r w:rsidRPr="00D67593">
        <w:rPr>
          <w:i/>
          <w:sz w:val="20"/>
          <w:szCs w:val="20"/>
        </w:rPr>
        <w:t>Goldberg</w:t>
      </w:r>
      <w:r w:rsidRPr="00B45592">
        <w:rPr>
          <w:sz w:val="20"/>
          <w:szCs w:val="20"/>
        </w:rPr>
        <w:t xml:space="preserve"> gemeinsam mit dem Vorsitzenden Richter und Richter </w:t>
      </w:r>
      <w:r w:rsidRPr="00D67593">
        <w:rPr>
          <w:i/>
          <w:sz w:val="20"/>
          <w:szCs w:val="20"/>
        </w:rPr>
        <w:t>Brennan</w:t>
      </w:r>
      <w:r w:rsidRPr="00B45592">
        <w:rPr>
          <w:sz w:val="20"/>
          <w:szCs w:val="20"/>
        </w:rPr>
        <w:t xml:space="preserve"> in der </w:t>
      </w:r>
      <w:proofErr w:type="spellStart"/>
      <w:r w:rsidRPr="00B45592">
        <w:rPr>
          <w:i/>
          <w:iCs/>
          <w:sz w:val="20"/>
          <w:szCs w:val="20"/>
        </w:rPr>
        <w:t>concurring</w:t>
      </w:r>
      <w:proofErr w:type="spellEnd"/>
      <w:r w:rsidRPr="00B45592">
        <w:rPr>
          <w:i/>
          <w:iCs/>
          <w:sz w:val="20"/>
          <w:szCs w:val="20"/>
        </w:rPr>
        <w:t xml:space="preserve"> </w:t>
      </w:r>
      <w:proofErr w:type="spellStart"/>
      <w:r w:rsidRPr="00B45592">
        <w:rPr>
          <w:i/>
          <w:iCs/>
          <w:sz w:val="20"/>
          <w:szCs w:val="20"/>
        </w:rPr>
        <w:t>opinion</w:t>
      </w:r>
      <w:proofErr w:type="spellEnd"/>
      <w:r w:rsidRPr="00B45592">
        <w:rPr>
          <w:sz w:val="20"/>
          <w:szCs w:val="20"/>
        </w:rPr>
        <w:t xml:space="preserve">; </w:t>
      </w:r>
      <w:bookmarkEnd w:id="75"/>
      <w:r w:rsidRPr="00F94158">
        <w:rPr>
          <w:i/>
          <w:sz w:val="20"/>
          <w:szCs w:val="20"/>
        </w:rPr>
        <w:t>Griswold v. Connecticut</w:t>
      </w:r>
      <w:r w:rsidRPr="00F94158">
        <w:rPr>
          <w:sz w:val="20"/>
          <w:szCs w:val="20"/>
        </w:rPr>
        <w:t>, 381 U.S. 479, 486 = 85 S. Ct. 1678, 1682 = 14 L. Ed. 2d 510, 516 = 1965 U.S. LEXIS 2282, 12 (1965).</w:t>
      </w:r>
    </w:p>
  </w:footnote>
  <w:footnote w:id="1936">
    <w:p w14:paraId="52C968C1" w14:textId="77777777" w:rsidR="00074551" w:rsidRPr="005457D6" w:rsidRDefault="00074551" w:rsidP="00074551">
      <w:pPr>
        <w:pStyle w:val="Funotentext"/>
        <w:rPr>
          <w:lang w:val="en-US"/>
        </w:rPr>
      </w:pPr>
      <w:r>
        <w:rPr>
          <w:rStyle w:val="Funotenzeichen"/>
        </w:rPr>
        <w:footnoteRef/>
      </w:r>
      <w:r w:rsidRPr="005457D6">
        <w:rPr>
          <w:lang w:val="en-US"/>
        </w:rPr>
        <w:t xml:space="preserve"> </w:t>
      </w:r>
      <w:r w:rsidRPr="00D83E4F">
        <w:rPr>
          <w:i/>
          <w:lang w:val="en-US"/>
        </w:rPr>
        <w:t>Rakas v. Illinois</w:t>
      </w:r>
      <w:r w:rsidRPr="005457D6">
        <w:rPr>
          <w:lang w:val="en-US"/>
        </w:rPr>
        <w:t>, 439 U.S. 128, 129</w:t>
      </w:r>
      <w:r>
        <w:rPr>
          <w:lang w:val="en-US"/>
        </w:rPr>
        <w:t xml:space="preserve"> = 99 S. Ct. </w:t>
      </w:r>
      <w:r w:rsidRPr="005457D6">
        <w:rPr>
          <w:lang w:val="en-US"/>
        </w:rPr>
        <w:t>421, 423</w:t>
      </w:r>
      <w:r w:rsidRPr="00EC5BEB">
        <w:rPr>
          <w:lang w:val="en-US"/>
        </w:rPr>
        <w:t xml:space="preserve"> = 58 L. Ed. </w:t>
      </w:r>
      <w:r w:rsidRPr="005457D6">
        <w:rPr>
          <w:lang w:val="en-US"/>
        </w:rPr>
        <w:t>2d 387, 392</w:t>
      </w:r>
      <w:r w:rsidRPr="003B741A">
        <w:rPr>
          <w:lang w:val="en-US"/>
        </w:rPr>
        <w:t xml:space="preserve"> = 1978 U.S. LEXIS </w:t>
      </w:r>
      <w:r w:rsidRPr="005457D6">
        <w:rPr>
          <w:lang w:val="en-US"/>
        </w:rPr>
        <w:t>2452, 1 (1978)</w:t>
      </w:r>
      <w:r>
        <w:rPr>
          <w:lang w:val="en-US"/>
        </w:rPr>
        <w:t>.</w:t>
      </w:r>
    </w:p>
  </w:footnote>
  <w:footnote w:id="1937">
    <w:p w14:paraId="13C4899C" w14:textId="77777777" w:rsidR="00074551" w:rsidRPr="005457D6" w:rsidRDefault="00074551" w:rsidP="00074551">
      <w:pPr>
        <w:pStyle w:val="Funotentext"/>
        <w:rPr>
          <w:lang w:val="en-US"/>
        </w:rPr>
      </w:pPr>
      <w:r>
        <w:rPr>
          <w:rStyle w:val="Funotenzeichen"/>
        </w:rPr>
        <w:footnoteRef/>
      </w:r>
      <w:r w:rsidRPr="005457D6">
        <w:rPr>
          <w:lang w:val="en-US"/>
        </w:rPr>
        <w:t xml:space="preserve"> </w:t>
      </w:r>
      <w:r w:rsidRPr="00D83E4F">
        <w:rPr>
          <w:i/>
          <w:lang w:val="en-US"/>
        </w:rPr>
        <w:t>Rakas v. Illinois</w:t>
      </w:r>
      <w:r w:rsidRPr="005457D6">
        <w:rPr>
          <w:lang w:val="en-US"/>
        </w:rPr>
        <w:t>, 439 U.S. 128, 129</w:t>
      </w:r>
      <w:r>
        <w:rPr>
          <w:lang w:val="en-US"/>
        </w:rPr>
        <w:t xml:space="preserve"> = 99 S. Ct. </w:t>
      </w:r>
      <w:r w:rsidRPr="005457D6">
        <w:rPr>
          <w:lang w:val="en-US"/>
        </w:rPr>
        <w:t>421, 423</w:t>
      </w:r>
      <w:r w:rsidRPr="00EC5BEB">
        <w:rPr>
          <w:lang w:val="en-US"/>
        </w:rPr>
        <w:t xml:space="preserve"> = 58 L. Ed. </w:t>
      </w:r>
      <w:r w:rsidRPr="005457D6">
        <w:rPr>
          <w:lang w:val="en-US"/>
        </w:rPr>
        <w:t>2d 387, 392</w:t>
      </w:r>
      <w:r w:rsidRPr="003B741A">
        <w:rPr>
          <w:lang w:val="en-US"/>
        </w:rPr>
        <w:t xml:space="preserve"> = 1978 U.S. LEXIS </w:t>
      </w:r>
      <w:r w:rsidRPr="005457D6">
        <w:rPr>
          <w:lang w:val="en-US"/>
        </w:rPr>
        <w:t>2452, 1 (1978)</w:t>
      </w:r>
      <w:r>
        <w:rPr>
          <w:lang w:val="en-US"/>
        </w:rPr>
        <w:t>.</w:t>
      </w:r>
    </w:p>
  </w:footnote>
  <w:footnote w:id="1938">
    <w:p w14:paraId="75DFE2CF" w14:textId="77777777" w:rsidR="00074551" w:rsidRPr="005457D6" w:rsidRDefault="00074551" w:rsidP="00074551">
      <w:pPr>
        <w:pStyle w:val="Funotentext"/>
        <w:rPr>
          <w:lang w:val="en-US"/>
        </w:rPr>
      </w:pPr>
      <w:r>
        <w:rPr>
          <w:rStyle w:val="Funotenzeichen"/>
        </w:rPr>
        <w:footnoteRef/>
      </w:r>
      <w:r w:rsidRPr="005457D6">
        <w:rPr>
          <w:lang w:val="en-US"/>
        </w:rPr>
        <w:t xml:space="preserve"> </w:t>
      </w:r>
      <w:r w:rsidRPr="00D83E4F">
        <w:rPr>
          <w:i/>
          <w:lang w:val="en-US"/>
        </w:rPr>
        <w:t>Rakas v. Illinois</w:t>
      </w:r>
      <w:r w:rsidRPr="005457D6">
        <w:rPr>
          <w:lang w:val="en-US"/>
        </w:rPr>
        <w:t>, 439 U.S. 128, 129</w:t>
      </w:r>
      <w:r>
        <w:rPr>
          <w:lang w:val="en-US"/>
        </w:rPr>
        <w:t xml:space="preserve"> = 99 S. Ct. </w:t>
      </w:r>
      <w:r w:rsidRPr="005457D6">
        <w:rPr>
          <w:lang w:val="en-US"/>
        </w:rPr>
        <w:t>421, 423</w:t>
      </w:r>
      <w:r w:rsidRPr="00EC5BEB">
        <w:rPr>
          <w:lang w:val="en-US"/>
        </w:rPr>
        <w:t xml:space="preserve"> = 58 L. Ed. </w:t>
      </w:r>
      <w:r w:rsidRPr="005457D6">
        <w:rPr>
          <w:lang w:val="en-US"/>
        </w:rPr>
        <w:t>2d 387, 392</w:t>
      </w:r>
      <w:r w:rsidRPr="003B741A">
        <w:rPr>
          <w:lang w:val="en-US"/>
        </w:rPr>
        <w:t xml:space="preserve"> = 1978 U.S. LEXIS </w:t>
      </w:r>
      <w:r w:rsidRPr="005457D6">
        <w:rPr>
          <w:lang w:val="en-US"/>
        </w:rPr>
        <w:t>2452, 1 (1978)</w:t>
      </w:r>
      <w:r>
        <w:rPr>
          <w:lang w:val="en-US"/>
        </w:rPr>
        <w:t>.</w:t>
      </w:r>
    </w:p>
  </w:footnote>
  <w:footnote w:id="1939">
    <w:p w14:paraId="290D27CC" w14:textId="77777777" w:rsidR="00074551" w:rsidRPr="00CD6957" w:rsidRDefault="00074551" w:rsidP="00074551">
      <w:pPr>
        <w:pStyle w:val="Funotentext"/>
        <w:rPr>
          <w:lang w:val="en-US"/>
        </w:rPr>
      </w:pPr>
      <w:r>
        <w:rPr>
          <w:rStyle w:val="Funotenzeichen"/>
          <w:rFonts w:eastAsiaTheme="majorEastAsia"/>
        </w:rPr>
        <w:footnoteRef/>
      </w:r>
      <w:r w:rsidRPr="00CD6957">
        <w:rPr>
          <w:lang w:val="en-US"/>
        </w:rPr>
        <w:t xml:space="preserve"> </w:t>
      </w:r>
      <w:r w:rsidRPr="00D83E4F">
        <w:rPr>
          <w:i/>
          <w:lang w:val="en-US"/>
        </w:rPr>
        <w:t>Katz v. United States</w:t>
      </w:r>
      <w:r w:rsidRPr="00B649D5">
        <w:rPr>
          <w:lang w:val="en-US"/>
        </w:rPr>
        <w:t>, 389 U.S. 347 (1967)</w:t>
      </w:r>
      <w:r>
        <w:rPr>
          <w:lang w:val="en-US"/>
        </w:rPr>
        <w:t xml:space="preserve">; </w:t>
      </w:r>
      <w:r w:rsidRPr="00D83E4F">
        <w:rPr>
          <w:i/>
          <w:lang w:val="en-US"/>
        </w:rPr>
        <w:t>Rakas v. Illinois</w:t>
      </w:r>
      <w:r w:rsidRPr="00B649D5">
        <w:rPr>
          <w:lang w:val="en-US"/>
        </w:rPr>
        <w:t>, 439 U.S. 128, 143</w:t>
      </w:r>
      <w:r>
        <w:rPr>
          <w:lang w:val="en-US"/>
        </w:rPr>
        <w:t xml:space="preserve"> = 99 S. Ct. </w:t>
      </w:r>
      <w:r w:rsidRPr="00B649D5">
        <w:rPr>
          <w:lang w:val="en-US"/>
        </w:rPr>
        <w:t>421, 430</w:t>
      </w:r>
      <w:r w:rsidRPr="00EC5BEB">
        <w:rPr>
          <w:lang w:val="en-US"/>
        </w:rPr>
        <w:t xml:space="preserve"> = 58 L. Ed. </w:t>
      </w:r>
      <w:r w:rsidRPr="00B649D5">
        <w:rPr>
          <w:lang w:val="en-US"/>
        </w:rPr>
        <w:t>2d 387, 401</w:t>
      </w:r>
      <w:r w:rsidRPr="003B741A">
        <w:rPr>
          <w:lang w:val="en-US"/>
        </w:rPr>
        <w:t xml:space="preserve"> = 1978 U.S. LEXIS </w:t>
      </w:r>
      <w:r w:rsidRPr="00B649D5">
        <w:rPr>
          <w:lang w:val="en-US"/>
        </w:rPr>
        <w:t>2452, 28 (1978)</w:t>
      </w:r>
      <w:r>
        <w:rPr>
          <w:lang w:val="en-US"/>
        </w:rPr>
        <w:t>.</w:t>
      </w:r>
    </w:p>
  </w:footnote>
  <w:footnote w:id="1940">
    <w:p w14:paraId="78BC75AD" w14:textId="77777777" w:rsidR="00074551" w:rsidRPr="00CD6957" w:rsidRDefault="00074551" w:rsidP="00074551">
      <w:pPr>
        <w:pStyle w:val="Funotentext"/>
        <w:rPr>
          <w:lang w:val="en-US"/>
        </w:rPr>
      </w:pPr>
      <w:r>
        <w:rPr>
          <w:rStyle w:val="Funotenzeichen"/>
          <w:rFonts w:eastAsiaTheme="majorEastAsia"/>
        </w:rPr>
        <w:footnoteRef/>
      </w:r>
      <w:r w:rsidRPr="00CD6957">
        <w:rPr>
          <w:lang w:val="en-US"/>
        </w:rPr>
        <w:t xml:space="preserve"> </w:t>
      </w:r>
      <w:r w:rsidRPr="00D83E4F">
        <w:rPr>
          <w:i/>
          <w:lang w:val="en-US"/>
        </w:rPr>
        <w:t>Rakas v. Illinois</w:t>
      </w:r>
      <w:r w:rsidRPr="00CD6957">
        <w:rPr>
          <w:lang w:val="en-US"/>
        </w:rPr>
        <w:t>, 439 U.S. 128, 129</w:t>
      </w:r>
      <w:r>
        <w:rPr>
          <w:lang w:val="en-US"/>
        </w:rPr>
        <w:t xml:space="preserve"> = 99 S. Ct. </w:t>
      </w:r>
      <w:r w:rsidRPr="00CD6957">
        <w:rPr>
          <w:lang w:val="en-US"/>
        </w:rPr>
        <w:t>421, 423</w:t>
      </w:r>
      <w:r w:rsidRPr="00EC5BEB">
        <w:rPr>
          <w:lang w:val="en-US"/>
        </w:rPr>
        <w:t xml:space="preserve"> = 58 L. Ed. </w:t>
      </w:r>
      <w:r w:rsidRPr="00CD6957">
        <w:rPr>
          <w:lang w:val="en-US"/>
        </w:rPr>
        <w:t>2d 387, 392</w:t>
      </w:r>
      <w:r w:rsidRPr="003B741A">
        <w:rPr>
          <w:lang w:val="en-US"/>
        </w:rPr>
        <w:t xml:space="preserve"> = 1978 U.S. LEXIS </w:t>
      </w:r>
      <w:r w:rsidRPr="00CD6957">
        <w:rPr>
          <w:lang w:val="en-US"/>
        </w:rPr>
        <w:t>2452, 1 (1978)</w:t>
      </w:r>
      <w:r>
        <w:rPr>
          <w:lang w:val="en-US"/>
        </w:rPr>
        <w:t>.</w:t>
      </w:r>
    </w:p>
  </w:footnote>
  <w:footnote w:id="1941">
    <w:p w14:paraId="70FB735E" w14:textId="77777777" w:rsidR="00074551" w:rsidRPr="00CD6957" w:rsidRDefault="00074551" w:rsidP="00074551">
      <w:pPr>
        <w:pStyle w:val="Funotentext"/>
        <w:rPr>
          <w:lang w:val="en-US"/>
        </w:rPr>
      </w:pPr>
      <w:r>
        <w:rPr>
          <w:rStyle w:val="Funotenzeichen"/>
          <w:rFonts w:eastAsiaTheme="majorEastAsia"/>
        </w:rPr>
        <w:footnoteRef/>
      </w:r>
      <w:r w:rsidRPr="00CD6957">
        <w:rPr>
          <w:lang w:val="en-US"/>
        </w:rPr>
        <w:t xml:space="preserve"> </w:t>
      </w:r>
      <w:proofErr w:type="spellStart"/>
      <w:r>
        <w:rPr>
          <w:lang w:val="en-US"/>
        </w:rPr>
        <w:t>Siehe</w:t>
      </w:r>
      <w:proofErr w:type="spellEnd"/>
      <w:r>
        <w:rPr>
          <w:lang w:val="en-US"/>
        </w:rPr>
        <w:t xml:space="preserve"> </w:t>
      </w:r>
      <w:proofErr w:type="spellStart"/>
      <w:r>
        <w:rPr>
          <w:lang w:val="en-US"/>
        </w:rPr>
        <w:t>z.B.</w:t>
      </w:r>
      <w:proofErr w:type="spellEnd"/>
      <w:r w:rsidRPr="00CD6957">
        <w:rPr>
          <w:lang w:val="en-US"/>
        </w:rPr>
        <w:t xml:space="preserve"> </w:t>
      </w:r>
      <w:r w:rsidRPr="00B45592">
        <w:rPr>
          <w:i/>
          <w:lang w:val="en-US"/>
        </w:rPr>
        <w:t>O’Shea v. Littleton</w:t>
      </w:r>
      <w:r w:rsidRPr="00CD6957">
        <w:rPr>
          <w:lang w:val="en-US"/>
        </w:rPr>
        <w:t xml:space="preserve">, 414 U.S. 488, 493 (1974); </w:t>
      </w:r>
      <w:proofErr w:type="spellStart"/>
      <w:r w:rsidRPr="00B45592">
        <w:rPr>
          <w:i/>
          <w:lang w:val="en-US"/>
        </w:rPr>
        <w:t>Flast</w:t>
      </w:r>
      <w:proofErr w:type="spellEnd"/>
      <w:r w:rsidRPr="00B45592">
        <w:rPr>
          <w:i/>
          <w:lang w:val="en-US"/>
        </w:rPr>
        <w:t xml:space="preserve"> v. Cohen</w:t>
      </w:r>
      <w:r w:rsidRPr="00CD6957">
        <w:rPr>
          <w:lang w:val="en-US"/>
        </w:rPr>
        <w:t xml:space="preserve">, 392 U.S. 83, 99 (1968); </w:t>
      </w:r>
      <w:r w:rsidRPr="00B45592">
        <w:rPr>
          <w:i/>
          <w:lang w:val="en-US"/>
        </w:rPr>
        <w:t>Baker v. Carr</w:t>
      </w:r>
      <w:r w:rsidRPr="00CD6957">
        <w:rPr>
          <w:lang w:val="en-US"/>
        </w:rPr>
        <w:t>, 369 U.S. 186, 204 (1962)</w:t>
      </w:r>
      <w:r>
        <w:rPr>
          <w:lang w:val="en-US"/>
        </w:rPr>
        <w:t xml:space="preserve">; </w:t>
      </w:r>
      <w:r w:rsidRPr="00D83E4F">
        <w:rPr>
          <w:i/>
          <w:lang w:val="en-US"/>
        </w:rPr>
        <w:t>Rakas v. Illinois</w:t>
      </w:r>
      <w:r w:rsidRPr="00CD6957">
        <w:rPr>
          <w:lang w:val="en-US"/>
        </w:rPr>
        <w:t>, 439 U.S. 128, 132</w:t>
      </w:r>
      <w:r>
        <w:rPr>
          <w:lang w:val="en-US"/>
        </w:rPr>
        <w:t xml:space="preserve"> = 99 S. Ct. </w:t>
      </w:r>
      <w:r w:rsidRPr="00CD6957">
        <w:rPr>
          <w:lang w:val="en-US"/>
        </w:rPr>
        <w:t>421, 424</w:t>
      </w:r>
      <w:r w:rsidRPr="00EC5BEB">
        <w:rPr>
          <w:lang w:val="en-US"/>
        </w:rPr>
        <w:t xml:space="preserve"> = 58 L. Ed. </w:t>
      </w:r>
      <w:r w:rsidRPr="00CD6957">
        <w:rPr>
          <w:lang w:val="en-US"/>
        </w:rPr>
        <w:t>2d 387, 394</w:t>
      </w:r>
      <w:r w:rsidRPr="003B741A">
        <w:rPr>
          <w:lang w:val="en-US"/>
        </w:rPr>
        <w:t xml:space="preserve"> = 1978 U.S. LEXIS </w:t>
      </w:r>
      <w:r w:rsidRPr="00CD6957">
        <w:rPr>
          <w:lang w:val="en-US"/>
        </w:rPr>
        <w:t>2452, 8 (1978)</w:t>
      </w:r>
      <w:r>
        <w:rPr>
          <w:lang w:val="en-US"/>
        </w:rPr>
        <w:t>.</w:t>
      </w:r>
    </w:p>
  </w:footnote>
  <w:footnote w:id="1942">
    <w:p w14:paraId="7985D136" w14:textId="77777777" w:rsidR="00074551" w:rsidRPr="00CD6957" w:rsidRDefault="00074551" w:rsidP="00074551">
      <w:pPr>
        <w:pStyle w:val="Funotentext"/>
        <w:rPr>
          <w:lang w:val="en-US"/>
        </w:rPr>
      </w:pPr>
      <w:r>
        <w:rPr>
          <w:rStyle w:val="Funotenzeichen"/>
          <w:rFonts w:eastAsiaTheme="majorEastAsia"/>
        </w:rPr>
        <w:footnoteRef/>
      </w:r>
      <w:r w:rsidRPr="00CD6957">
        <w:rPr>
          <w:lang w:val="en-US"/>
        </w:rPr>
        <w:t xml:space="preserve"> </w:t>
      </w:r>
      <w:r w:rsidRPr="00B45592">
        <w:rPr>
          <w:i/>
          <w:lang w:val="en-US"/>
        </w:rPr>
        <w:t>United States v. Calandra</w:t>
      </w:r>
      <w:r w:rsidRPr="00CD6957">
        <w:rPr>
          <w:lang w:val="en-US"/>
        </w:rPr>
        <w:t>, 414 U.S. 338, 348</w:t>
      </w:r>
      <w:r>
        <w:rPr>
          <w:lang w:val="en-US"/>
        </w:rPr>
        <w:t>–</w:t>
      </w:r>
      <w:r w:rsidRPr="00CD6957">
        <w:rPr>
          <w:lang w:val="en-US"/>
        </w:rPr>
        <w:t xml:space="preserve">349, </w:t>
      </w:r>
      <w:r w:rsidRPr="00E47138">
        <w:rPr>
          <w:lang w:val="en-US"/>
        </w:rPr>
        <w:t>n</w:t>
      </w:r>
      <w:r w:rsidRPr="002535FA">
        <w:rPr>
          <w:lang w:val="en-US"/>
        </w:rPr>
        <w:t>. 6</w:t>
      </w:r>
      <w:r w:rsidRPr="00CD6957">
        <w:rPr>
          <w:lang w:val="en-US"/>
        </w:rPr>
        <w:t xml:space="preserve"> (1974); </w:t>
      </w:r>
      <w:r w:rsidRPr="00D83E4F">
        <w:rPr>
          <w:i/>
          <w:lang w:val="en-US"/>
        </w:rPr>
        <w:t>Rakas v. Illinois</w:t>
      </w:r>
      <w:r w:rsidRPr="00CD6957">
        <w:rPr>
          <w:lang w:val="en-US"/>
        </w:rPr>
        <w:t>, 439 U.S. 128, 132</w:t>
      </w:r>
      <w:r>
        <w:rPr>
          <w:lang w:val="en-US"/>
        </w:rPr>
        <w:t xml:space="preserve"> = 99 S. Ct. </w:t>
      </w:r>
      <w:r w:rsidRPr="00CD6957">
        <w:rPr>
          <w:lang w:val="en-US"/>
        </w:rPr>
        <w:t>421, 424</w:t>
      </w:r>
      <w:r w:rsidRPr="00EC5BEB">
        <w:rPr>
          <w:lang w:val="en-US"/>
        </w:rPr>
        <w:t xml:space="preserve"> = 58 L. Ed. </w:t>
      </w:r>
      <w:r w:rsidRPr="00CD6957">
        <w:rPr>
          <w:lang w:val="en-US"/>
        </w:rPr>
        <w:t>2d 387, 394</w:t>
      </w:r>
      <w:r w:rsidRPr="003B741A">
        <w:rPr>
          <w:lang w:val="en-US"/>
        </w:rPr>
        <w:t xml:space="preserve"> = 1978 U.S. LEXIS </w:t>
      </w:r>
      <w:r w:rsidRPr="00CD6957">
        <w:rPr>
          <w:lang w:val="en-US"/>
        </w:rPr>
        <w:t>2452, 8 (1978).</w:t>
      </w:r>
    </w:p>
  </w:footnote>
  <w:footnote w:id="1943">
    <w:p w14:paraId="1DB7EC65" w14:textId="77777777" w:rsidR="00074551" w:rsidRPr="00CD6957" w:rsidRDefault="00074551" w:rsidP="00074551">
      <w:pPr>
        <w:pStyle w:val="Funotentext"/>
        <w:rPr>
          <w:lang w:val="en-US"/>
        </w:rPr>
      </w:pPr>
      <w:r>
        <w:rPr>
          <w:rStyle w:val="Funotenzeichen"/>
          <w:rFonts w:eastAsiaTheme="majorEastAsia"/>
        </w:rPr>
        <w:footnoteRef/>
      </w:r>
      <w:r w:rsidRPr="00CD6957">
        <w:rPr>
          <w:lang w:val="en-US"/>
        </w:rPr>
        <w:t xml:space="preserve"> </w:t>
      </w:r>
      <w:r w:rsidRPr="00B45592">
        <w:rPr>
          <w:i/>
          <w:lang w:val="en-US"/>
        </w:rPr>
        <w:t>Singleton v. Wulff</w:t>
      </w:r>
      <w:r w:rsidRPr="00CD6957">
        <w:rPr>
          <w:lang w:val="en-US"/>
        </w:rPr>
        <w:t xml:space="preserve">, 428 U.S. 106, 112 (1976); </w:t>
      </w:r>
      <w:r w:rsidRPr="00B45592">
        <w:rPr>
          <w:i/>
          <w:lang w:val="en-US"/>
        </w:rPr>
        <w:t>Warth v. Seldin</w:t>
      </w:r>
      <w:r w:rsidRPr="00CD6957">
        <w:rPr>
          <w:lang w:val="en-US"/>
        </w:rPr>
        <w:t>,</w:t>
      </w:r>
      <w:r>
        <w:rPr>
          <w:lang w:val="en-US"/>
        </w:rPr>
        <w:t xml:space="preserve"> </w:t>
      </w:r>
      <w:r w:rsidRPr="00CD6957">
        <w:rPr>
          <w:lang w:val="en-US"/>
        </w:rPr>
        <w:t xml:space="preserve">422 U.S. 490, 499 (1975); </w:t>
      </w:r>
      <w:r w:rsidRPr="00B45592">
        <w:rPr>
          <w:i/>
          <w:lang w:val="en-US"/>
        </w:rPr>
        <w:t>Data Processing Service v. Camp</w:t>
      </w:r>
      <w:r w:rsidRPr="00CD6957">
        <w:rPr>
          <w:lang w:val="en-US"/>
        </w:rPr>
        <w:t>, 397 U.S. 150, 152</w:t>
      </w:r>
      <w:r>
        <w:rPr>
          <w:lang w:val="en-US"/>
        </w:rPr>
        <w:t>–</w:t>
      </w:r>
      <w:r w:rsidRPr="00CD6957">
        <w:rPr>
          <w:lang w:val="en-US"/>
        </w:rPr>
        <w:t xml:space="preserve">153 (1970); </w:t>
      </w:r>
      <w:r w:rsidRPr="00D83E4F">
        <w:rPr>
          <w:i/>
          <w:lang w:val="en-US"/>
        </w:rPr>
        <w:t>Rakas v. Illinois</w:t>
      </w:r>
      <w:r w:rsidRPr="00CD6957">
        <w:rPr>
          <w:lang w:val="en-US"/>
        </w:rPr>
        <w:t>, 439 U.S. 128, 139</w:t>
      </w:r>
      <w:r>
        <w:rPr>
          <w:lang w:val="en-US"/>
        </w:rPr>
        <w:t>–</w:t>
      </w:r>
      <w:r w:rsidRPr="00CD6957">
        <w:rPr>
          <w:lang w:val="en-US"/>
        </w:rPr>
        <w:t>140</w:t>
      </w:r>
      <w:r>
        <w:rPr>
          <w:lang w:val="en-US"/>
        </w:rPr>
        <w:t xml:space="preserve"> = 99 S. Ct. </w:t>
      </w:r>
      <w:r w:rsidRPr="00CD6957">
        <w:rPr>
          <w:lang w:val="en-US"/>
        </w:rPr>
        <w:t>421, 428</w:t>
      </w:r>
      <w:r w:rsidRPr="00EC5BEB">
        <w:rPr>
          <w:lang w:val="en-US"/>
        </w:rPr>
        <w:t xml:space="preserve"> = 58 L. Ed. </w:t>
      </w:r>
      <w:r w:rsidRPr="00CD6957">
        <w:rPr>
          <w:lang w:val="en-US"/>
        </w:rPr>
        <w:t>2d 387, 398</w:t>
      </w:r>
      <w:r>
        <w:rPr>
          <w:lang w:val="en-US"/>
        </w:rPr>
        <w:t>–</w:t>
      </w:r>
      <w:r w:rsidRPr="00CD6957">
        <w:rPr>
          <w:lang w:val="en-US"/>
        </w:rPr>
        <w:t>399</w:t>
      </w:r>
      <w:r w:rsidRPr="003B741A">
        <w:rPr>
          <w:lang w:val="en-US"/>
        </w:rPr>
        <w:t xml:space="preserve"> = 1978 U.S. LEXIS </w:t>
      </w:r>
      <w:r w:rsidRPr="00CD6957">
        <w:rPr>
          <w:lang w:val="en-US"/>
        </w:rPr>
        <w:t>2452, 21 (1978).</w:t>
      </w:r>
    </w:p>
  </w:footnote>
  <w:footnote w:id="1944">
    <w:p w14:paraId="33F4A832" w14:textId="77777777" w:rsidR="00074551" w:rsidRPr="00CD6957" w:rsidRDefault="00074551" w:rsidP="00074551">
      <w:pPr>
        <w:pStyle w:val="Funotentext"/>
        <w:rPr>
          <w:lang w:val="en-US"/>
        </w:rPr>
      </w:pPr>
      <w:r>
        <w:rPr>
          <w:rStyle w:val="Funotenzeichen"/>
          <w:rFonts w:eastAsiaTheme="majorEastAsia"/>
        </w:rPr>
        <w:footnoteRef/>
      </w:r>
      <w:r w:rsidRPr="00CD6957">
        <w:rPr>
          <w:lang w:val="en-US"/>
        </w:rPr>
        <w:t xml:space="preserve"> </w:t>
      </w:r>
      <w:r w:rsidRPr="00D83E4F">
        <w:rPr>
          <w:i/>
          <w:lang w:val="en-US"/>
        </w:rPr>
        <w:t>Katz v. United States</w:t>
      </w:r>
      <w:r w:rsidRPr="00CD6957">
        <w:rPr>
          <w:lang w:val="en-US"/>
        </w:rPr>
        <w:t>, 389 U.S. 347 (1967)</w:t>
      </w:r>
      <w:r>
        <w:rPr>
          <w:lang w:val="en-US"/>
        </w:rPr>
        <w:t xml:space="preserve">; </w:t>
      </w:r>
      <w:r w:rsidRPr="00D83E4F">
        <w:rPr>
          <w:i/>
          <w:lang w:val="en-US"/>
        </w:rPr>
        <w:t>Rakas v. Illinois</w:t>
      </w:r>
      <w:r w:rsidRPr="00CD6957">
        <w:rPr>
          <w:lang w:val="en-US"/>
        </w:rPr>
        <w:t>, 439 U.S. 128, 143</w:t>
      </w:r>
      <w:r>
        <w:rPr>
          <w:lang w:val="en-US"/>
        </w:rPr>
        <w:t xml:space="preserve"> = 99 S. Ct. </w:t>
      </w:r>
      <w:r w:rsidRPr="00CD6957">
        <w:rPr>
          <w:lang w:val="en-US"/>
        </w:rPr>
        <w:t>421, 430</w:t>
      </w:r>
      <w:r w:rsidRPr="00EC5BEB">
        <w:rPr>
          <w:lang w:val="en-US"/>
        </w:rPr>
        <w:t xml:space="preserve"> = 58 L. Ed. </w:t>
      </w:r>
      <w:r w:rsidRPr="00CD6957">
        <w:rPr>
          <w:lang w:val="en-US"/>
        </w:rPr>
        <w:t>2d 387, 401</w:t>
      </w:r>
      <w:r w:rsidRPr="003B741A">
        <w:rPr>
          <w:lang w:val="en-US"/>
        </w:rPr>
        <w:t xml:space="preserve"> = 1978 U.S. LEXIS </w:t>
      </w:r>
      <w:r w:rsidRPr="00CD6957">
        <w:rPr>
          <w:lang w:val="en-US"/>
        </w:rPr>
        <w:t>2452, 28 (1978)</w:t>
      </w:r>
      <w:r>
        <w:rPr>
          <w:lang w:val="en-US"/>
        </w:rPr>
        <w:t>.</w:t>
      </w:r>
    </w:p>
  </w:footnote>
  <w:footnote w:id="1945">
    <w:p w14:paraId="4BE56745" w14:textId="77777777" w:rsidR="00074551" w:rsidRPr="00995FF9" w:rsidRDefault="00074551" w:rsidP="00074551">
      <w:pPr>
        <w:pStyle w:val="Funotentext"/>
        <w:rPr>
          <w:lang w:val="en-US"/>
        </w:rPr>
      </w:pPr>
      <w:r>
        <w:rPr>
          <w:rStyle w:val="Funotenzeichen"/>
          <w:rFonts w:eastAsiaTheme="majorEastAsia"/>
        </w:rPr>
        <w:footnoteRef/>
      </w:r>
      <w:r w:rsidRPr="00995FF9">
        <w:rPr>
          <w:lang w:val="en-US"/>
        </w:rPr>
        <w:t xml:space="preserve"> </w:t>
      </w:r>
      <w:r w:rsidRPr="00D83E4F">
        <w:rPr>
          <w:i/>
          <w:lang w:val="en-US"/>
        </w:rPr>
        <w:t>Rakas v. Illinois</w:t>
      </w:r>
      <w:r w:rsidRPr="00995FF9">
        <w:rPr>
          <w:lang w:val="en-US"/>
        </w:rPr>
        <w:t>, 439 U.S. 128, 156</w:t>
      </w:r>
      <w:r>
        <w:rPr>
          <w:lang w:val="en-US"/>
        </w:rPr>
        <w:t xml:space="preserve"> = 99 S. Ct. </w:t>
      </w:r>
      <w:r w:rsidRPr="00995FF9">
        <w:rPr>
          <w:lang w:val="en-US"/>
        </w:rPr>
        <w:t>421, 437</w:t>
      </w:r>
      <w:r w:rsidRPr="00EC5BEB">
        <w:rPr>
          <w:lang w:val="en-US"/>
        </w:rPr>
        <w:t xml:space="preserve"> = 58 L. Ed. </w:t>
      </w:r>
      <w:r w:rsidRPr="00995FF9">
        <w:rPr>
          <w:lang w:val="en-US"/>
        </w:rPr>
        <w:t>2d 387, 409</w:t>
      </w:r>
      <w:r w:rsidRPr="003B741A">
        <w:rPr>
          <w:lang w:val="en-US"/>
        </w:rPr>
        <w:t xml:space="preserve"> = 1978 U.S. LEXIS </w:t>
      </w:r>
      <w:r w:rsidRPr="00995FF9">
        <w:rPr>
          <w:lang w:val="en-US"/>
        </w:rPr>
        <w:t>2452, 49 (1978)</w:t>
      </w:r>
      <w:r>
        <w:rPr>
          <w:lang w:val="en-US"/>
        </w:rPr>
        <w:t>.</w:t>
      </w:r>
    </w:p>
  </w:footnote>
  <w:footnote w:id="1946">
    <w:p w14:paraId="3AB7AB7E" w14:textId="77777777" w:rsidR="00074551" w:rsidRPr="00995FF9" w:rsidRDefault="00074551" w:rsidP="00074551">
      <w:pPr>
        <w:pStyle w:val="Funotentext"/>
        <w:rPr>
          <w:lang w:val="en-US"/>
        </w:rPr>
      </w:pPr>
      <w:r>
        <w:rPr>
          <w:rStyle w:val="Funotenzeichen"/>
          <w:rFonts w:eastAsiaTheme="majorEastAsia"/>
        </w:rPr>
        <w:footnoteRef/>
      </w:r>
      <w:r w:rsidRPr="00995FF9">
        <w:rPr>
          <w:lang w:val="en-US"/>
        </w:rPr>
        <w:t xml:space="preserve"> </w:t>
      </w:r>
      <w:r w:rsidRPr="00D83E4F">
        <w:rPr>
          <w:i/>
          <w:lang w:val="en-US"/>
        </w:rPr>
        <w:t>Rakas v. Illinois</w:t>
      </w:r>
      <w:r w:rsidRPr="00995FF9">
        <w:rPr>
          <w:lang w:val="en-US"/>
        </w:rPr>
        <w:t>, 439 U.S. 128, 156</w:t>
      </w:r>
      <w:r>
        <w:rPr>
          <w:lang w:val="en-US"/>
        </w:rPr>
        <w:t>–</w:t>
      </w:r>
      <w:r w:rsidRPr="00995FF9">
        <w:rPr>
          <w:lang w:val="en-US"/>
        </w:rPr>
        <w:t>157</w:t>
      </w:r>
      <w:r>
        <w:rPr>
          <w:lang w:val="en-US"/>
        </w:rPr>
        <w:t xml:space="preserve"> = 99 S. Ct. </w:t>
      </w:r>
      <w:r w:rsidRPr="00995FF9">
        <w:rPr>
          <w:lang w:val="en-US"/>
        </w:rPr>
        <w:t>421, 437</w:t>
      </w:r>
      <w:r w:rsidRPr="00EC5BEB">
        <w:rPr>
          <w:lang w:val="en-US"/>
        </w:rPr>
        <w:t xml:space="preserve"> = 58 L. Ed. </w:t>
      </w:r>
      <w:r w:rsidRPr="00995FF9">
        <w:rPr>
          <w:lang w:val="en-US"/>
        </w:rPr>
        <w:t>2d 387, 409</w:t>
      </w:r>
      <w:r w:rsidRPr="003B741A">
        <w:rPr>
          <w:lang w:val="en-US"/>
        </w:rPr>
        <w:t xml:space="preserve"> = 1978 U.S. LEXIS </w:t>
      </w:r>
      <w:r w:rsidRPr="00995FF9">
        <w:rPr>
          <w:lang w:val="en-US"/>
        </w:rPr>
        <w:t>2452, 49 (1978)</w:t>
      </w:r>
      <w:r>
        <w:rPr>
          <w:lang w:val="en-US"/>
        </w:rPr>
        <w:t>.</w:t>
      </w:r>
    </w:p>
  </w:footnote>
  <w:footnote w:id="1947">
    <w:p w14:paraId="333ACA0E" w14:textId="77777777" w:rsidR="00074551" w:rsidRPr="00AE560B" w:rsidRDefault="00074551" w:rsidP="00074551">
      <w:pPr>
        <w:pStyle w:val="Funotentext"/>
        <w:rPr>
          <w:lang w:val="en-US"/>
        </w:rPr>
      </w:pPr>
      <w:r>
        <w:rPr>
          <w:rStyle w:val="Funotenzeichen"/>
          <w:rFonts w:eastAsiaTheme="majorEastAsia"/>
        </w:rPr>
        <w:footnoteRef/>
      </w:r>
      <w:r w:rsidRPr="00AE560B">
        <w:rPr>
          <w:lang w:val="en-US"/>
        </w:rPr>
        <w:t xml:space="preserve"> </w:t>
      </w:r>
      <w:r w:rsidRPr="00D83E4F">
        <w:rPr>
          <w:i/>
          <w:lang w:val="en-US"/>
        </w:rPr>
        <w:t>Rakas v. Illinois</w:t>
      </w:r>
      <w:r w:rsidRPr="00AE560B">
        <w:rPr>
          <w:lang w:val="en-US"/>
        </w:rPr>
        <w:t>, 439 U.S. 128, 157</w:t>
      </w:r>
      <w:r>
        <w:rPr>
          <w:lang w:val="en-US"/>
        </w:rPr>
        <w:t xml:space="preserve"> = 99 S. Ct. </w:t>
      </w:r>
      <w:r w:rsidRPr="00AE560B">
        <w:rPr>
          <w:lang w:val="en-US"/>
        </w:rPr>
        <w:t>421, 437</w:t>
      </w:r>
      <w:r w:rsidRPr="00EC5BEB">
        <w:rPr>
          <w:lang w:val="en-US"/>
        </w:rPr>
        <w:t xml:space="preserve"> = 58 L. Ed. </w:t>
      </w:r>
      <w:r w:rsidRPr="00AE560B">
        <w:rPr>
          <w:lang w:val="en-US"/>
        </w:rPr>
        <w:t>2d 387, 409</w:t>
      </w:r>
      <w:r w:rsidRPr="003B741A">
        <w:rPr>
          <w:lang w:val="en-US"/>
        </w:rPr>
        <w:t xml:space="preserve"> = 1978 U.S. LEXIS </w:t>
      </w:r>
      <w:r w:rsidRPr="00AE560B">
        <w:rPr>
          <w:lang w:val="en-US"/>
        </w:rPr>
        <w:t>2452, 49 (1978).</w:t>
      </w:r>
    </w:p>
  </w:footnote>
  <w:footnote w:id="1948">
    <w:p w14:paraId="71664749" w14:textId="77777777" w:rsidR="00074551" w:rsidRPr="00097A5C" w:rsidRDefault="00074551" w:rsidP="00074551">
      <w:pPr>
        <w:pStyle w:val="Funotentext"/>
        <w:ind w:left="227" w:hanging="227"/>
        <w:rPr>
          <w:lang w:val="en-US"/>
        </w:rPr>
      </w:pPr>
      <w:r>
        <w:rPr>
          <w:rStyle w:val="Funotenzeichen"/>
          <w:rFonts w:eastAsiaTheme="majorEastAsia"/>
        </w:rPr>
        <w:footnoteRef/>
      </w:r>
      <w:r w:rsidRPr="00097A5C">
        <w:rPr>
          <w:lang w:val="en-US"/>
        </w:rPr>
        <w:t xml:space="preserve"> </w:t>
      </w:r>
      <w:r w:rsidRPr="00D83E4F">
        <w:rPr>
          <w:i/>
          <w:lang w:val="en-US"/>
        </w:rPr>
        <w:t>Rakas v. Illinois</w:t>
      </w:r>
      <w:r w:rsidRPr="00097A5C">
        <w:rPr>
          <w:lang w:val="en-US"/>
        </w:rPr>
        <w:t>, 439 U.S. 128, 166</w:t>
      </w:r>
      <w:r>
        <w:rPr>
          <w:lang w:val="en-US"/>
        </w:rPr>
        <w:t xml:space="preserve"> = 99 S. Ct. </w:t>
      </w:r>
      <w:r w:rsidRPr="00097A5C">
        <w:rPr>
          <w:lang w:val="en-US"/>
        </w:rPr>
        <w:t>421, 442</w:t>
      </w:r>
      <w:r w:rsidRPr="00EC5BEB">
        <w:rPr>
          <w:lang w:val="en-US"/>
        </w:rPr>
        <w:t xml:space="preserve"> = 58 L. Ed. </w:t>
      </w:r>
      <w:r w:rsidRPr="00097A5C">
        <w:rPr>
          <w:lang w:val="en-US"/>
        </w:rPr>
        <w:t>2d 387, 415</w:t>
      </w:r>
      <w:r w:rsidRPr="003B741A">
        <w:rPr>
          <w:lang w:val="en-US"/>
        </w:rPr>
        <w:t xml:space="preserve"> = 1978 U.S. LEXIS </w:t>
      </w:r>
      <w:r w:rsidRPr="00097A5C">
        <w:rPr>
          <w:lang w:val="en-US"/>
        </w:rPr>
        <w:t>2452, 68 (1978)</w:t>
      </w:r>
      <w:r>
        <w:rPr>
          <w:lang w:val="en-US"/>
        </w:rPr>
        <w:t>.</w:t>
      </w:r>
    </w:p>
  </w:footnote>
  <w:footnote w:id="1949">
    <w:p w14:paraId="7BC9B14E" w14:textId="77777777" w:rsidR="00074551" w:rsidRPr="00097A5C" w:rsidRDefault="00074551" w:rsidP="00074551">
      <w:pPr>
        <w:pStyle w:val="Funotentext"/>
        <w:ind w:left="227" w:hanging="227"/>
        <w:rPr>
          <w:lang w:val="en-US"/>
        </w:rPr>
      </w:pPr>
      <w:r>
        <w:rPr>
          <w:rStyle w:val="Funotenzeichen"/>
          <w:rFonts w:eastAsiaTheme="majorEastAsia"/>
        </w:rPr>
        <w:footnoteRef/>
      </w:r>
      <w:r w:rsidRPr="00097A5C">
        <w:rPr>
          <w:lang w:val="en-US"/>
        </w:rPr>
        <w:t xml:space="preserve"> </w:t>
      </w:r>
      <w:r w:rsidRPr="00D83E4F">
        <w:rPr>
          <w:i/>
          <w:lang w:val="en-US"/>
        </w:rPr>
        <w:t>Rakas v. Illinois</w:t>
      </w:r>
      <w:r w:rsidRPr="005D037C">
        <w:rPr>
          <w:lang w:val="en-US"/>
        </w:rPr>
        <w:t>, 439 U.S. 128, 166</w:t>
      </w:r>
      <w:r>
        <w:rPr>
          <w:lang w:val="en-US"/>
        </w:rPr>
        <w:t xml:space="preserve"> = 99 S. Ct. </w:t>
      </w:r>
      <w:r w:rsidRPr="005D037C">
        <w:rPr>
          <w:lang w:val="en-US"/>
        </w:rPr>
        <w:t>421, 442</w:t>
      </w:r>
      <w:r w:rsidRPr="00EC5BEB">
        <w:rPr>
          <w:lang w:val="en-US"/>
        </w:rPr>
        <w:t xml:space="preserve"> = 58 L. Ed. </w:t>
      </w:r>
      <w:r w:rsidRPr="005D037C">
        <w:rPr>
          <w:lang w:val="en-US"/>
        </w:rPr>
        <w:t>2d 387, 415</w:t>
      </w:r>
      <w:r w:rsidRPr="003B741A">
        <w:rPr>
          <w:lang w:val="en-US"/>
        </w:rPr>
        <w:t xml:space="preserve"> = 1978 U.S. LEXIS </w:t>
      </w:r>
      <w:r w:rsidRPr="005D037C">
        <w:rPr>
          <w:lang w:val="en-US"/>
        </w:rPr>
        <w:t>2452, 68 (1978)</w:t>
      </w:r>
      <w:r>
        <w:rPr>
          <w:lang w:val="en-US"/>
        </w:rPr>
        <w:t>.</w:t>
      </w:r>
    </w:p>
  </w:footnote>
  <w:footnote w:id="1950">
    <w:p w14:paraId="03A3EBDC" w14:textId="77777777" w:rsidR="00074551" w:rsidRPr="00EF223E" w:rsidRDefault="00074551" w:rsidP="00074551">
      <w:pPr>
        <w:pStyle w:val="Funotentext"/>
        <w:rPr>
          <w:lang w:val="en-US"/>
        </w:rPr>
      </w:pPr>
      <w:r>
        <w:rPr>
          <w:rStyle w:val="Funotenzeichen"/>
          <w:rFonts w:eastAsiaTheme="majorEastAsia"/>
        </w:rPr>
        <w:footnoteRef/>
      </w:r>
      <w:r w:rsidRPr="00082087">
        <w:rPr>
          <w:i/>
          <w:lang w:val="en-US"/>
        </w:rPr>
        <w:t xml:space="preserve"> </w:t>
      </w:r>
      <w:r w:rsidRPr="00D83E4F">
        <w:rPr>
          <w:i/>
          <w:lang w:val="en-US"/>
        </w:rPr>
        <w:t>Rakas v. Illinois</w:t>
      </w:r>
      <w:r w:rsidRPr="004410FC">
        <w:rPr>
          <w:lang w:val="en-US"/>
        </w:rPr>
        <w:t>, 439 U.S. 128, 166</w:t>
      </w:r>
      <w:r>
        <w:rPr>
          <w:lang w:val="en-US"/>
        </w:rPr>
        <w:t xml:space="preserve"> = 99 S. Ct. </w:t>
      </w:r>
      <w:r w:rsidRPr="004410FC">
        <w:rPr>
          <w:lang w:val="en-US"/>
        </w:rPr>
        <w:t>421, 442</w:t>
      </w:r>
      <w:r w:rsidRPr="00EC5BEB">
        <w:rPr>
          <w:lang w:val="en-US"/>
        </w:rPr>
        <w:t xml:space="preserve"> = 58 L. Ed. </w:t>
      </w:r>
      <w:r w:rsidRPr="004410FC">
        <w:rPr>
          <w:lang w:val="en-US"/>
        </w:rPr>
        <w:t>2d 387, 416</w:t>
      </w:r>
      <w:r w:rsidRPr="003B741A">
        <w:rPr>
          <w:lang w:val="en-US"/>
        </w:rPr>
        <w:t xml:space="preserve"> = 1978 U.S. LEXIS </w:t>
      </w:r>
      <w:r w:rsidRPr="004410FC">
        <w:rPr>
          <w:lang w:val="en-US"/>
        </w:rPr>
        <w:t>2452, 68 (1978)</w:t>
      </w:r>
      <w:r>
        <w:rPr>
          <w:lang w:val="en-US"/>
        </w:rPr>
        <w:t xml:space="preserve">, </w:t>
      </w:r>
      <w:proofErr w:type="spellStart"/>
      <w:r>
        <w:rPr>
          <w:lang w:val="en-US"/>
        </w:rPr>
        <w:t>zitierend</w:t>
      </w:r>
      <w:proofErr w:type="spellEnd"/>
      <w:r>
        <w:rPr>
          <w:lang w:val="en-US"/>
        </w:rPr>
        <w:t xml:space="preserve"> </w:t>
      </w:r>
      <w:proofErr w:type="spellStart"/>
      <w:r>
        <w:rPr>
          <w:lang w:val="en-US"/>
        </w:rPr>
        <w:t>aus</w:t>
      </w:r>
      <w:proofErr w:type="spellEnd"/>
      <w:r>
        <w:rPr>
          <w:lang w:val="en-US"/>
        </w:rPr>
        <w:t xml:space="preserve"> </w:t>
      </w:r>
      <w:r w:rsidRPr="009167A5">
        <w:rPr>
          <w:i/>
          <w:lang w:val="en-US"/>
        </w:rPr>
        <w:t>Olmstead v. United States</w:t>
      </w:r>
      <w:r w:rsidRPr="004410FC">
        <w:rPr>
          <w:lang w:val="en-US"/>
        </w:rPr>
        <w:t>, 277 U.S. 438, 478 (192</w:t>
      </w:r>
      <w:r w:rsidRPr="00E466E0">
        <w:rPr>
          <w:lang w:val="en-US"/>
        </w:rPr>
        <w:t>8) (Dissens</w:t>
      </w:r>
      <w:r w:rsidRPr="009E57E1">
        <w:rPr>
          <w:lang w:val="en-US"/>
        </w:rPr>
        <w:t xml:space="preserve"> von Richter </w:t>
      </w:r>
      <w:r w:rsidRPr="00B45592">
        <w:rPr>
          <w:i/>
          <w:lang w:val="en-US"/>
        </w:rPr>
        <w:t>Brandeis</w:t>
      </w:r>
      <w:r w:rsidRPr="004410FC">
        <w:rPr>
          <w:lang w:val="en-US"/>
        </w:rPr>
        <w:t>)</w:t>
      </w:r>
      <w:r>
        <w:rPr>
          <w:lang w:val="en-US"/>
        </w:rPr>
        <w:t>.</w:t>
      </w:r>
    </w:p>
  </w:footnote>
  <w:footnote w:id="1951">
    <w:p w14:paraId="2B6A47EA" w14:textId="30350CBC" w:rsidR="00751AE2" w:rsidRDefault="00751AE2">
      <w:pPr>
        <w:pStyle w:val="Funotentext"/>
      </w:pPr>
      <w:r>
        <w:rPr>
          <w:rStyle w:val="Funotenzeichen"/>
        </w:rPr>
        <w:footnoteRef/>
      </w:r>
      <w:r>
        <w:t xml:space="preserve"> </w:t>
      </w:r>
      <w:r w:rsidRPr="00751AE2">
        <w:rPr>
          <w:i/>
          <w:iCs/>
        </w:rPr>
        <w:t>Eisenstadt v. Baird</w:t>
      </w:r>
      <w:r w:rsidRPr="00751AE2">
        <w:t>, 405 U.S. 438, 443–446 (1972).</w:t>
      </w:r>
    </w:p>
  </w:footnote>
  <w:footnote w:id="1952">
    <w:p w14:paraId="663B4CCF" w14:textId="67DCE9E6" w:rsidR="00751AE2" w:rsidRDefault="00751AE2">
      <w:pPr>
        <w:pStyle w:val="Funotentext"/>
      </w:pPr>
      <w:r>
        <w:rPr>
          <w:rStyle w:val="Funotenzeichen"/>
        </w:rPr>
        <w:footnoteRef/>
      </w:r>
      <w:r>
        <w:t xml:space="preserve"> </w:t>
      </w:r>
      <w:r w:rsidRPr="00751AE2">
        <w:rPr>
          <w:i/>
          <w:iCs/>
        </w:rPr>
        <w:t>Griswold v. Connecticut</w:t>
      </w:r>
      <w:r w:rsidRPr="00751AE2">
        <w:t>, 381 U.S. 479, 481 (1965); </w:t>
      </w:r>
      <w:r w:rsidRPr="00751AE2">
        <w:rPr>
          <w:i/>
          <w:iCs/>
        </w:rPr>
        <w:t>Eisenstadt v. Baird</w:t>
      </w:r>
      <w:r w:rsidRPr="00751AE2">
        <w:t>, 405 U.S. 438, 445–446 (1972).</w:t>
      </w:r>
    </w:p>
  </w:footnote>
  <w:footnote w:id="1953">
    <w:p w14:paraId="54A8F8D3" w14:textId="2892BC9C" w:rsidR="00F8401B" w:rsidRDefault="00F8401B">
      <w:pPr>
        <w:pStyle w:val="Funotentext"/>
      </w:pPr>
      <w:r>
        <w:rPr>
          <w:rStyle w:val="Funotenzeichen"/>
        </w:rPr>
        <w:footnoteRef/>
      </w:r>
      <w:r>
        <w:t xml:space="preserve"> </w:t>
      </w:r>
      <w:r w:rsidRPr="00F8401B">
        <w:rPr>
          <w:i/>
          <w:iCs/>
        </w:rPr>
        <w:t>Griswold v. Connecticut</w:t>
      </w:r>
      <w:r w:rsidRPr="00F8401B">
        <w:t>, 381 U.S. 479, 485–486 (1965); </w:t>
      </w:r>
      <w:r w:rsidRPr="00F8401B">
        <w:rPr>
          <w:i/>
          <w:iCs/>
        </w:rPr>
        <w:t>Eisenstadt v. Baird</w:t>
      </w:r>
      <w:r w:rsidRPr="00F8401B">
        <w:t>, 405 U.S. 438, 453 (1972).</w:t>
      </w:r>
    </w:p>
  </w:footnote>
  <w:footnote w:id="1954">
    <w:p w14:paraId="132E4065" w14:textId="11901571" w:rsidR="00F8401B" w:rsidRDefault="00F8401B">
      <w:pPr>
        <w:pStyle w:val="Funotentext"/>
      </w:pPr>
      <w:r>
        <w:rPr>
          <w:rStyle w:val="Funotenzeichen"/>
        </w:rPr>
        <w:footnoteRef/>
      </w:r>
      <w:r>
        <w:t xml:space="preserve"> </w:t>
      </w:r>
      <w:r w:rsidRPr="00F8401B">
        <w:rPr>
          <w:i/>
          <w:iCs/>
        </w:rPr>
        <w:t>Eisenstadt v. Baird</w:t>
      </w:r>
      <w:r w:rsidRPr="00F8401B">
        <w:t>, 405 U.S. 438, 453 n. 10 (1972), unter Bezugnahme auf </w:t>
      </w:r>
      <w:r w:rsidRPr="00F8401B">
        <w:rPr>
          <w:i/>
          <w:iCs/>
        </w:rPr>
        <w:t>Stanley v. Georgia</w:t>
      </w:r>
      <w:r w:rsidRPr="00F8401B">
        <w:t>, 394 U.S. 557, 564 (1969), dort unter Übernahme von </w:t>
      </w:r>
      <w:r w:rsidRPr="00F8401B">
        <w:rPr>
          <w:i/>
          <w:iCs/>
        </w:rPr>
        <w:t>Olmstead v. United States</w:t>
      </w:r>
      <w:r w:rsidRPr="00F8401B">
        <w:t xml:space="preserve">, 277 U.S. 438, 478 (1928) (Brandeis, J., </w:t>
      </w:r>
      <w:proofErr w:type="spellStart"/>
      <w:r w:rsidRPr="00F8401B">
        <w:t>dissenting</w:t>
      </w:r>
      <w:proofErr w:type="spellEnd"/>
      <w:r w:rsidRPr="00F8401B">
        <w:t>).</w:t>
      </w:r>
    </w:p>
  </w:footnote>
  <w:footnote w:id="1955">
    <w:p w14:paraId="5B1F7955" w14:textId="77777777" w:rsidR="00074551" w:rsidRPr="00457F00" w:rsidRDefault="00074551" w:rsidP="00074551">
      <w:pPr>
        <w:pStyle w:val="Funotentext"/>
        <w:rPr>
          <w:lang w:val="en-US"/>
        </w:rPr>
      </w:pPr>
      <w:r>
        <w:rPr>
          <w:rStyle w:val="Funotenzeichen"/>
        </w:rPr>
        <w:footnoteRef/>
      </w:r>
      <w:r w:rsidRPr="00457F00">
        <w:rPr>
          <w:lang w:val="en-US"/>
        </w:rPr>
        <w:t xml:space="preserve"> </w:t>
      </w:r>
      <w:r w:rsidRPr="00E466E0">
        <w:rPr>
          <w:i/>
          <w:lang w:val="en-US"/>
        </w:rPr>
        <w:t>Schlesinger v. Reservists Comm. to Stop the War</w:t>
      </w:r>
      <w:r w:rsidRPr="00457F00">
        <w:rPr>
          <w:lang w:val="en-US"/>
        </w:rPr>
        <w:t>, 418 U.S. 208, 209</w:t>
      </w:r>
      <w:r>
        <w:rPr>
          <w:lang w:val="en-US"/>
        </w:rPr>
        <w:t xml:space="preserve"> = 94 S. Ct. </w:t>
      </w:r>
      <w:r w:rsidRPr="00457F00">
        <w:rPr>
          <w:lang w:val="en-US"/>
        </w:rPr>
        <w:t>2925, 2926</w:t>
      </w:r>
      <w:r>
        <w:rPr>
          <w:lang w:val="en-US"/>
        </w:rPr>
        <w:t xml:space="preserve"> = 41 L. Ed. </w:t>
      </w:r>
      <w:r w:rsidRPr="00457F00">
        <w:rPr>
          <w:lang w:val="en-US"/>
        </w:rPr>
        <w:t>2d 706, 712, 1974 U.S. LEXIS 17, 1 (1974)</w:t>
      </w:r>
      <w:r>
        <w:rPr>
          <w:lang w:val="en-US"/>
        </w:rPr>
        <w:t>.</w:t>
      </w:r>
    </w:p>
  </w:footnote>
  <w:footnote w:id="1956">
    <w:p w14:paraId="617E978E"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B45592">
        <w:rPr>
          <w:i/>
          <w:lang w:val="en-US"/>
        </w:rPr>
        <w:t>O’Shea v. Littleton</w:t>
      </w:r>
      <w:r w:rsidRPr="00F31E29">
        <w:rPr>
          <w:lang w:val="en-US"/>
        </w:rPr>
        <w:t>, 414 U.S. 488, 494 (1974)</w:t>
      </w:r>
      <w:r>
        <w:rPr>
          <w:lang w:val="en-US"/>
        </w:rPr>
        <w:t xml:space="preserve">; </w:t>
      </w:r>
      <w:r w:rsidRPr="00E466E0">
        <w:rPr>
          <w:i/>
          <w:lang w:val="en-US"/>
        </w:rPr>
        <w:t>Schlesinger v. Reservists Comm. to Stop the War</w:t>
      </w:r>
      <w:r w:rsidRPr="00F31E29">
        <w:rPr>
          <w:lang w:val="en-US"/>
        </w:rPr>
        <w:t>, 418 U.S. 208, 219</w:t>
      </w:r>
      <w:r>
        <w:rPr>
          <w:lang w:val="en-US"/>
        </w:rPr>
        <w:t xml:space="preserve"> = 94 S. Ct. </w:t>
      </w:r>
      <w:r w:rsidRPr="00F31E29">
        <w:rPr>
          <w:lang w:val="en-US"/>
        </w:rPr>
        <w:t>2925, 2931</w:t>
      </w:r>
      <w:r>
        <w:rPr>
          <w:lang w:val="en-US"/>
        </w:rPr>
        <w:t xml:space="preserve"> = 41 L. Ed. </w:t>
      </w:r>
      <w:r w:rsidRPr="00F31E29">
        <w:rPr>
          <w:lang w:val="en-US"/>
        </w:rPr>
        <w:t>2d 706, 717, 1974 U.S. LEXIS 17, 18 (1974)</w:t>
      </w:r>
      <w:r>
        <w:rPr>
          <w:lang w:val="en-US"/>
        </w:rPr>
        <w:t>.</w:t>
      </w:r>
    </w:p>
  </w:footnote>
  <w:footnote w:id="1957">
    <w:p w14:paraId="50890F15"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229</w:t>
      </w:r>
      <w:r>
        <w:rPr>
          <w:lang w:val="en-US"/>
        </w:rPr>
        <w:t xml:space="preserve"> = 94 S. Ct. </w:t>
      </w:r>
      <w:r w:rsidRPr="00F31E29">
        <w:rPr>
          <w:lang w:val="en-US"/>
        </w:rPr>
        <w:t>2925, 2936</w:t>
      </w:r>
      <w:r>
        <w:rPr>
          <w:lang w:val="en-US"/>
        </w:rPr>
        <w:t xml:space="preserve"> = 41 L. Ed. </w:t>
      </w:r>
      <w:r w:rsidRPr="00F31E29">
        <w:rPr>
          <w:lang w:val="en-US"/>
        </w:rPr>
        <w:t>2d 706, 723, 1974 U.S. LEXIS 17, 35 (1974)</w:t>
      </w:r>
      <w:r>
        <w:rPr>
          <w:lang w:val="en-US"/>
        </w:rPr>
        <w:t>.</w:t>
      </w:r>
    </w:p>
  </w:footnote>
  <w:footnote w:id="1958">
    <w:p w14:paraId="35147311"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229</w:t>
      </w:r>
      <w:r>
        <w:rPr>
          <w:lang w:val="en-US"/>
        </w:rPr>
        <w:t xml:space="preserve"> = 94 S. Ct. </w:t>
      </w:r>
      <w:r w:rsidRPr="00F31E29">
        <w:rPr>
          <w:lang w:val="en-US"/>
        </w:rPr>
        <w:t>2925, 2936</w:t>
      </w:r>
      <w:r>
        <w:rPr>
          <w:lang w:val="en-US"/>
        </w:rPr>
        <w:t xml:space="preserve"> = 41 L. Ed. </w:t>
      </w:r>
      <w:r w:rsidRPr="00F31E29">
        <w:rPr>
          <w:lang w:val="en-US"/>
        </w:rPr>
        <w:t>2d 706, 723, 1974 U.S. LEXIS 17, 35 (1974)</w:t>
      </w:r>
      <w:r>
        <w:rPr>
          <w:lang w:val="en-US"/>
        </w:rPr>
        <w:t>.</w:t>
      </w:r>
    </w:p>
  </w:footnote>
  <w:footnote w:id="1959">
    <w:p w14:paraId="6C8F363B"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232</w:t>
      </w:r>
      <w:r>
        <w:rPr>
          <w:lang w:val="en-US"/>
        </w:rPr>
        <w:t xml:space="preserve"> = 94 S. Ct. </w:t>
      </w:r>
      <w:r w:rsidRPr="00F31E29">
        <w:rPr>
          <w:lang w:val="en-US"/>
        </w:rPr>
        <w:t>2925, 2938</w:t>
      </w:r>
      <w:r>
        <w:rPr>
          <w:lang w:val="en-US"/>
        </w:rPr>
        <w:t xml:space="preserve"> = 41 L. Ed. </w:t>
      </w:r>
      <w:r w:rsidRPr="00F31E29">
        <w:rPr>
          <w:lang w:val="en-US"/>
        </w:rPr>
        <w:t>2d 706, 725, 1974 U.S. LEXIS 17, 40 (1974)</w:t>
      </w:r>
      <w:r>
        <w:rPr>
          <w:lang w:val="en-US"/>
        </w:rPr>
        <w:t>.</w:t>
      </w:r>
    </w:p>
  </w:footnote>
  <w:footnote w:id="1960">
    <w:p w14:paraId="51024379" w14:textId="77777777" w:rsidR="00F8401B" w:rsidRPr="00F31E29" w:rsidRDefault="00F8401B" w:rsidP="00F8401B">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232</w:t>
      </w:r>
      <w:r>
        <w:rPr>
          <w:lang w:val="en-US"/>
        </w:rPr>
        <w:t xml:space="preserve"> = 94 S. Ct. </w:t>
      </w:r>
      <w:r w:rsidRPr="00F31E29">
        <w:rPr>
          <w:lang w:val="en-US"/>
        </w:rPr>
        <w:t>2925, 2938</w:t>
      </w:r>
      <w:r>
        <w:rPr>
          <w:lang w:val="en-US"/>
        </w:rPr>
        <w:t xml:space="preserve"> = 41 L. Ed. </w:t>
      </w:r>
      <w:r w:rsidRPr="00F31E29">
        <w:rPr>
          <w:lang w:val="en-US"/>
        </w:rPr>
        <w:t>2d 706, 725, 1974 U.S. LEXIS 17, 41 (1974)</w:t>
      </w:r>
      <w:r>
        <w:rPr>
          <w:lang w:val="en-US"/>
        </w:rPr>
        <w:t>.</w:t>
      </w:r>
    </w:p>
  </w:footnote>
  <w:footnote w:id="1961">
    <w:p w14:paraId="4D205438"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232</w:t>
      </w:r>
      <w:r>
        <w:rPr>
          <w:lang w:val="en-US"/>
        </w:rPr>
        <w:t xml:space="preserve"> = 94 S. Ct. </w:t>
      </w:r>
      <w:r w:rsidRPr="00F31E29">
        <w:rPr>
          <w:lang w:val="en-US"/>
        </w:rPr>
        <w:t>2925, 2938</w:t>
      </w:r>
      <w:r>
        <w:rPr>
          <w:lang w:val="en-US"/>
        </w:rPr>
        <w:t xml:space="preserve"> = 41 L. Ed. </w:t>
      </w:r>
      <w:r w:rsidRPr="00F31E29">
        <w:rPr>
          <w:lang w:val="en-US"/>
        </w:rPr>
        <w:t>2d 706, 725, 1974 U.S. LEXIS 17, 41 (1974)</w:t>
      </w:r>
      <w:r>
        <w:rPr>
          <w:lang w:val="en-US"/>
        </w:rPr>
        <w:t>.</w:t>
      </w:r>
    </w:p>
  </w:footnote>
  <w:footnote w:id="1962">
    <w:p w14:paraId="6C4BB9A3"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233</w:t>
      </w:r>
      <w:r>
        <w:rPr>
          <w:lang w:val="en-US"/>
        </w:rPr>
        <w:t xml:space="preserve"> = 94 S. Ct. </w:t>
      </w:r>
      <w:r w:rsidRPr="00F31E29">
        <w:rPr>
          <w:lang w:val="en-US"/>
        </w:rPr>
        <w:t>2925, 2938</w:t>
      </w:r>
      <w:r>
        <w:rPr>
          <w:lang w:val="en-US"/>
        </w:rPr>
        <w:t xml:space="preserve"> = 41 L. Ed. </w:t>
      </w:r>
      <w:r w:rsidRPr="00F31E29">
        <w:rPr>
          <w:lang w:val="en-US"/>
        </w:rPr>
        <w:t>2d 706, 725</w:t>
      </w:r>
      <w:r>
        <w:rPr>
          <w:lang w:val="en-US"/>
        </w:rPr>
        <w:t xml:space="preserve"> = </w:t>
      </w:r>
      <w:r w:rsidRPr="00F31E29">
        <w:rPr>
          <w:lang w:val="en-US"/>
        </w:rPr>
        <w:t>1974 U.S. LEXIS 17, 41 (1974)</w:t>
      </w:r>
      <w:r>
        <w:rPr>
          <w:lang w:val="en-US"/>
        </w:rPr>
        <w:t>.</w:t>
      </w:r>
    </w:p>
  </w:footnote>
  <w:footnote w:id="1963">
    <w:p w14:paraId="301DA57E"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233</w:t>
      </w:r>
      <w:r>
        <w:rPr>
          <w:lang w:val="en-US"/>
        </w:rPr>
        <w:t xml:space="preserve"> = 94 S. Ct. </w:t>
      </w:r>
      <w:r w:rsidRPr="00F31E29">
        <w:rPr>
          <w:lang w:val="en-US"/>
        </w:rPr>
        <w:t>2925, 2938</w:t>
      </w:r>
      <w:r>
        <w:rPr>
          <w:lang w:val="en-US"/>
        </w:rPr>
        <w:t xml:space="preserve"> = 41 L. Ed. </w:t>
      </w:r>
      <w:r w:rsidRPr="00F31E29">
        <w:rPr>
          <w:lang w:val="en-US"/>
        </w:rPr>
        <w:t>2d 706, 725</w:t>
      </w:r>
      <w:r>
        <w:rPr>
          <w:lang w:val="en-US"/>
        </w:rPr>
        <w:t xml:space="preserve"> = </w:t>
      </w:r>
      <w:r w:rsidRPr="00F31E29">
        <w:rPr>
          <w:lang w:val="en-US"/>
        </w:rPr>
        <w:t>1974 U.S. LEXIS 17, 41 (1974)</w:t>
      </w:r>
      <w:r>
        <w:rPr>
          <w:lang w:val="en-US"/>
        </w:rPr>
        <w:t>.</w:t>
      </w:r>
    </w:p>
  </w:footnote>
  <w:footnote w:id="1964">
    <w:p w14:paraId="7C628F3D"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233</w:t>
      </w:r>
      <w:r>
        <w:rPr>
          <w:lang w:val="en-US"/>
        </w:rPr>
        <w:t xml:space="preserve"> = 94 S. Ct. </w:t>
      </w:r>
      <w:r w:rsidRPr="00F31E29">
        <w:rPr>
          <w:lang w:val="en-US"/>
        </w:rPr>
        <w:t>2925, 2938</w:t>
      </w:r>
      <w:r>
        <w:rPr>
          <w:lang w:val="en-US"/>
        </w:rPr>
        <w:t xml:space="preserve"> = 41 L. Ed. </w:t>
      </w:r>
      <w:r w:rsidRPr="00F31E29">
        <w:rPr>
          <w:lang w:val="en-US"/>
        </w:rPr>
        <w:t>2d 706, 725</w:t>
      </w:r>
      <w:r>
        <w:rPr>
          <w:lang w:val="en-US"/>
        </w:rPr>
        <w:t xml:space="preserve"> = </w:t>
      </w:r>
      <w:r w:rsidRPr="00F31E29">
        <w:rPr>
          <w:lang w:val="en-US"/>
        </w:rPr>
        <w:t>1974 U.S. LEXIS 17, 41 (1974)</w:t>
      </w:r>
      <w:r>
        <w:rPr>
          <w:lang w:val="en-US"/>
        </w:rPr>
        <w:t>.</w:t>
      </w:r>
    </w:p>
  </w:footnote>
  <w:footnote w:id="1965">
    <w:p w14:paraId="6C1E0766"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B45592">
        <w:rPr>
          <w:i/>
          <w:iCs/>
          <w:lang w:val="en-US"/>
        </w:rPr>
        <w:t>Federalist</w:t>
      </w:r>
      <w:r w:rsidRPr="00F31E29">
        <w:rPr>
          <w:lang w:val="en-US"/>
        </w:rPr>
        <w:t xml:space="preserve"> </w:t>
      </w:r>
      <w:r w:rsidRPr="00E47138">
        <w:rPr>
          <w:lang w:val="en-US"/>
        </w:rPr>
        <w:t>N</w:t>
      </w:r>
      <w:r w:rsidRPr="00B45592">
        <w:rPr>
          <w:lang w:val="en-US"/>
        </w:rPr>
        <w:t>r</w:t>
      </w:r>
      <w:r w:rsidRPr="002535FA">
        <w:rPr>
          <w:lang w:val="en-US"/>
        </w:rPr>
        <w:t>. 76, 476 (</w:t>
      </w:r>
      <w:proofErr w:type="spellStart"/>
      <w:r w:rsidRPr="002535FA">
        <w:rPr>
          <w:lang w:val="en-US"/>
        </w:rPr>
        <w:t>H</w:t>
      </w:r>
      <w:r w:rsidRPr="00B45592">
        <w:rPr>
          <w:lang w:val="en-US"/>
        </w:rPr>
        <w:t>rsg</w:t>
      </w:r>
      <w:proofErr w:type="spellEnd"/>
      <w:r w:rsidRPr="00E47138">
        <w:rPr>
          <w:lang w:val="en-US"/>
        </w:rPr>
        <w:t>. Lodge</w:t>
      </w:r>
      <w:r w:rsidRPr="00B45592">
        <w:rPr>
          <w:lang w:val="en-US"/>
        </w:rPr>
        <w:t>,</w:t>
      </w:r>
      <w:r w:rsidRPr="00F31E29">
        <w:rPr>
          <w:lang w:val="en-US"/>
        </w:rPr>
        <w:t xml:space="preserve"> 1888)</w:t>
      </w:r>
      <w:r>
        <w:rPr>
          <w:lang w:val="en-US"/>
        </w:rPr>
        <w:t xml:space="preserve">; </w:t>
      </w:r>
      <w:r w:rsidRPr="00E466E0">
        <w:rPr>
          <w:i/>
          <w:lang w:val="en-US"/>
        </w:rPr>
        <w:t>Schlesinger v. Reservists Comm. to Stop the War</w:t>
      </w:r>
      <w:r w:rsidRPr="00F31E29">
        <w:rPr>
          <w:lang w:val="en-US"/>
        </w:rPr>
        <w:t>, 418 U.S. 208, 232</w:t>
      </w:r>
      <w:r>
        <w:rPr>
          <w:lang w:val="en-US"/>
        </w:rPr>
        <w:t xml:space="preserve"> = 94 S. Ct. </w:t>
      </w:r>
      <w:r w:rsidRPr="00F31E29">
        <w:rPr>
          <w:lang w:val="en-US"/>
        </w:rPr>
        <w:t>2925, 2938</w:t>
      </w:r>
      <w:r>
        <w:rPr>
          <w:lang w:val="en-US"/>
        </w:rPr>
        <w:t xml:space="preserve"> = 41 L. Ed. </w:t>
      </w:r>
      <w:r w:rsidRPr="00F31E29">
        <w:rPr>
          <w:lang w:val="en-US"/>
        </w:rPr>
        <w:t>2d 706, 725</w:t>
      </w:r>
      <w:r>
        <w:rPr>
          <w:lang w:val="en-US"/>
        </w:rPr>
        <w:t xml:space="preserve"> = </w:t>
      </w:r>
      <w:r w:rsidRPr="00F31E29">
        <w:rPr>
          <w:lang w:val="en-US"/>
        </w:rPr>
        <w:t>1974 U.S. LEXIS 17, 40 (1974)</w:t>
      </w:r>
      <w:r>
        <w:rPr>
          <w:lang w:val="en-US"/>
        </w:rPr>
        <w:t>.</w:t>
      </w:r>
    </w:p>
  </w:footnote>
  <w:footnote w:id="1966">
    <w:p w14:paraId="570ED801"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233</w:t>
      </w:r>
      <w:r>
        <w:rPr>
          <w:lang w:val="en-US"/>
        </w:rPr>
        <w:t xml:space="preserve"> = 94 S. Ct. </w:t>
      </w:r>
      <w:r w:rsidRPr="00F31E29">
        <w:rPr>
          <w:lang w:val="en-US"/>
        </w:rPr>
        <w:t>2925, 2938</w:t>
      </w:r>
      <w:r>
        <w:rPr>
          <w:lang w:val="en-US"/>
        </w:rPr>
        <w:t xml:space="preserve"> = 41 L. Ed. </w:t>
      </w:r>
      <w:r w:rsidRPr="00F31E29">
        <w:rPr>
          <w:lang w:val="en-US"/>
        </w:rPr>
        <w:t>2d 706, 725</w:t>
      </w:r>
      <w:r>
        <w:rPr>
          <w:lang w:val="en-US"/>
        </w:rPr>
        <w:t xml:space="preserve"> = </w:t>
      </w:r>
      <w:r w:rsidRPr="00F31E29">
        <w:rPr>
          <w:lang w:val="en-US"/>
        </w:rPr>
        <w:t>1974 U.S. LEXIS 17, 41 (1974)</w:t>
      </w:r>
      <w:r>
        <w:rPr>
          <w:lang w:val="en-US"/>
        </w:rPr>
        <w:t>.</w:t>
      </w:r>
    </w:p>
  </w:footnote>
  <w:footnote w:id="1967">
    <w:p w14:paraId="6F817341" w14:textId="77777777" w:rsidR="00074551" w:rsidRPr="00F31E29" w:rsidRDefault="00074551" w:rsidP="00074551">
      <w:pPr>
        <w:pStyle w:val="Funotentext"/>
        <w:rPr>
          <w:lang w:val="en-US"/>
        </w:rPr>
      </w:pPr>
      <w:r>
        <w:rPr>
          <w:rStyle w:val="Funotenzeichen"/>
        </w:rPr>
        <w:footnoteRef/>
      </w:r>
      <w:r w:rsidRPr="00F31E29">
        <w:rPr>
          <w:lang w:val="en-US"/>
        </w:rPr>
        <w:t xml:space="preserve"> </w:t>
      </w:r>
      <w:r w:rsidRPr="00E466E0">
        <w:rPr>
          <w:i/>
          <w:lang w:val="en-US"/>
        </w:rPr>
        <w:t>Schlesinger v. Reservists Comm. to Stop the War</w:t>
      </w:r>
      <w:r w:rsidRPr="00F31E29">
        <w:rPr>
          <w:lang w:val="en-US"/>
        </w:rPr>
        <w:t>, 418 U.S. 208, 233</w:t>
      </w:r>
      <w:r>
        <w:rPr>
          <w:lang w:val="en-US"/>
        </w:rPr>
        <w:t xml:space="preserve"> = 94 S. Ct. </w:t>
      </w:r>
      <w:r w:rsidRPr="00F31E29">
        <w:rPr>
          <w:lang w:val="en-US"/>
        </w:rPr>
        <w:t>2925, 2938</w:t>
      </w:r>
      <w:r>
        <w:rPr>
          <w:lang w:val="en-US"/>
        </w:rPr>
        <w:t xml:space="preserve"> = 41 L. Ed. </w:t>
      </w:r>
      <w:r w:rsidRPr="00F31E29">
        <w:rPr>
          <w:lang w:val="en-US"/>
        </w:rPr>
        <w:t>2d 706, 725</w:t>
      </w:r>
      <w:r>
        <w:rPr>
          <w:lang w:val="en-US"/>
        </w:rPr>
        <w:t xml:space="preserve"> = </w:t>
      </w:r>
      <w:r w:rsidRPr="00F31E29">
        <w:rPr>
          <w:lang w:val="en-US"/>
        </w:rPr>
        <w:t>1974 U.S. LEXIS 17, 41 (1974)</w:t>
      </w:r>
      <w:r>
        <w:rPr>
          <w:lang w:val="en-US"/>
        </w:rPr>
        <w:t>.</w:t>
      </w:r>
    </w:p>
  </w:footnote>
  <w:footnote w:id="1968">
    <w:p w14:paraId="542F7D19" w14:textId="77777777" w:rsidR="00074551" w:rsidRPr="00AA3B02" w:rsidRDefault="00074551" w:rsidP="00074551">
      <w:pPr>
        <w:pStyle w:val="Funotentext"/>
        <w:rPr>
          <w:lang w:val="en-US"/>
        </w:rPr>
      </w:pPr>
      <w:r>
        <w:rPr>
          <w:rStyle w:val="Funotenzeichen"/>
          <w:rFonts w:eastAsiaTheme="majorEastAsia"/>
        </w:rPr>
        <w:footnoteRef/>
      </w:r>
      <w:r w:rsidRPr="00AA3B02">
        <w:rPr>
          <w:lang w:val="en-US"/>
        </w:rPr>
        <w:t xml:space="preserve"> </w:t>
      </w:r>
      <w:r w:rsidRPr="00A15962">
        <w:rPr>
          <w:i/>
          <w:lang w:val="en-US"/>
        </w:rPr>
        <w:t>Gulf, C. &amp; S. F. R. Co. v. Ellis</w:t>
      </w:r>
      <w:r w:rsidRPr="00AA3B02">
        <w:rPr>
          <w:lang w:val="en-US"/>
        </w:rPr>
        <w:t>, 165 U.S. 150, 160</w:t>
      </w:r>
      <w:r>
        <w:rPr>
          <w:lang w:val="en-US"/>
        </w:rPr>
        <w:t xml:space="preserve"> = 17 S. Ct. </w:t>
      </w:r>
      <w:r w:rsidRPr="00AA3B02">
        <w:rPr>
          <w:lang w:val="en-US"/>
        </w:rPr>
        <w:t>255, 259</w:t>
      </w:r>
      <w:r>
        <w:rPr>
          <w:lang w:val="en-US"/>
        </w:rPr>
        <w:t xml:space="preserve"> = 41 L. Ed. </w:t>
      </w:r>
      <w:r w:rsidRPr="00AA3B02">
        <w:rPr>
          <w:lang w:val="en-US"/>
        </w:rPr>
        <w:t>666, 670</w:t>
      </w:r>
      <w:r>
        <w:rPr>
          <w:lang w:val="en-US"/>
        </w:rPr>
        <w:t xml:space="preserve"> = 1897 U.S. LEXIS </w:t>
      </w:r>
      <w:r w:rsidRPr="00AA3B02">
        <w:rPr>
          <w:lang w:val="en-US"/>
        </w:rPr>
        <w:t>1957, 19 (1897).</w:t>
      </w:r>
    </w:p>
  </w:footnote>
  <w:footnote w:id="1969">
    <w:p w14:paraId="3CDF04EB" w14:textId="77777777" w:rsidR="00074551" w:rsidRPr="00AA3B02" w:rsidRDefault="00074551" w:rsidP="00074551">
      <w:pPr>
        <w:pStyle w:val="Funotentext"/>
        <w:rPr>
          <w:lang w:val="en-US"/>
        </w:rPr>
      </w:pPr>
      <w:r>
        <w:rPr>
          <w:rStyle w:val="Funotenzeichen"/>
          <w:rFonts w:eastAsiaTheme="majorEastAsia"/>
        </w:rPr>
        <w:footnoteRef/>
      </w:r>
      <w:r w:rsidRPr="00AA3B02">
        <w:rPr>
          <w:lang w:val="en-US"/>
        </w:rPr>
        <w:t xml:space="preserve"> </w:t>
      </w:r>
      <w:r w:rsidRPr="00A15962">
        <w:rPr>
          <w:i/>
          <w:lang w:val="en-US"/>
        </w:rPr>
        <w:t>Gulf, C. &amp; S. F. R. Co. v. Ellis</w:t>
      </w:r>
      <w:r w:rsidRPr="00AA3B02">
        <w:rPr>
          <w:lang w:val="en-US"/>
        </w:rPr>
        <w:t>, 165 U.S. 150, 160</w:t>
      </w:r>
      <w:r>
        <w:rPr>
          <w:lang w:val="en-US"/>
        </w:rPr>
        <w:t xml:space="preserve"> = 17 S. Ct. </w:t>
      </w:r>
      <w:r w:rsidRPr="00AA3B02">
        <w:rPr>
          <w:lang w:val="en-US"/>
        </w:rPr>
        <w:t>255, 259</w:t>
      </w:r>
      <w:r>
        <w:rPr>
          <w:lang w:val="en-US"/>
        </w:rPr>
        <w:t xml:space="preserve"> = 41 L. Ed. </w:t>
      </w:r>
      <w:r w:rsidRPr="00AA3B02">
        <w:rPr>
          <w:lang w:val="en-US"/>
        </w:rPr>
        <w:t>666, 670</w:t>
      </w:r>
      <w:r>
        <w:rPr>
          <w:lang w:val="en-US"/>
        </w:rPr>
        <w:t xml:space="preserve"> = 1897 U.S. LEXIS </w:t>
      </w:r>
      <w:r w:rsidRPr="00AA3B02">
        <w:rPr>
          <w:lang w:val="en-US"/>
        </w:rPr>
        <w:t>1957, 19 (1897).</w:t>
      </w:r>
    </w:p>
  </w:footnote>
  <w:footnote w:id="1970">
    <w:p w14:paraId="52CC873B"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971">
    <w:p w14:paraId="0B6CD6CD"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972">
    <w:p w14:paraId="69792D51"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973">
    <w:p w14:paraId="68CC7B21" w14:textId="77777777" w:rsidR="00074551" w:rsidRPr="003A1A87" w:rsidRDefault="00074551" w:rsidP="00074551">
      <w:pPr>
        <w:pStyle w:val="Funotentext"/>
        <w:rPr>
          <w:lang w:val="en-US"/>
        </w:rPr>
      </w:pPr>
      <w:r>
        <w:rPr>
          <w:rStyle w:val="Funotenzeichen"/>
          <w:rFonts w:eastAsiaTheme="majorEastAsia"/>
        </w:rPr>
        <w:footnoteRef/>
      </w:r>
      <w:r w:rsidRPr="003A1A87">
        <w:rPr>
          <w:lang w:val="en-US"/>
        </w:rPr>
        <w:t xml:space="preserve"> </w:t>
      </w:r>
      <w:r w:rsidRPr="00A15962">
        <w:rPr>
          <w:i/>
          <w:lang w:val="en-US"/>
        </w:rPr>
        <w:t>Gulf, C. &amp; S. F. R. Co. v. Ellis</w:t>
      </w:r>
      <w:r w:rsidRPr="003A1A87">
        <w:rPr>
          <w:lang w:val="en-US"/>
        </w:rPr>
        <w:t>, 165 U.S. 150, 159</w:t>
      </w:r>
      <w:r>
        <w:rPr>
          <w:lang w:val="en-US"/>
        </w:rPr>
        <w:t xml:space="preserve"> = 17 S. Ct. </w:t>
      </w:r>
      <w:r w:rsidRPr="003A1A87">
        <w:rPr>
          <w:lang w:val="en-US"/>
        </w:rPr>
        <w:t>255, 258</w:t>
      </w:r>
      <w:r>
        <w:rPr>
          <w:lang w:val="en-US"/>
        </w:rPr>
        <w:t xml:space="preserve"> = 41 L. Ed. </w:t>
      </w:r>
      <w:r w:rsidRPr="003A1A87">
        <w:rPr>
          <w:lang w:val="en-US"/>
        </w:rPr>
        <w:t>666, 670</w:t>
      </w:r>
      <w:r>
        <w:rPr>
          <w:lang w:val="en-US"/>
        </w:rPr>
        <w:t xml:space="preserve"> = 1897 U.S. LEXIS </w:t>
      </w:r>
      <w:r w:rsidRPr="003A1A87">
        <w:rPr>
          <w:lang w:val="en-US"/>
        </w:rPr>
        <w:t>1957, 18 (1897)</w:t>
      </w:r>
      <w:r>
        <w:rPr>
          <w:lang w:val="en-US"/>
        </w:rPr>
        <w:t>.</w:t>
      </w:r>
    </w:p>
  </w:footnote>
  <w:footnote w:id="1974">
    <w:p w14:paraId="079C80C0" w14:textId="77777777" w:rsidR="00074551" w:rsidRPr="00AA3B02" w:rsidRDefault="00074551" w:rsidP="00074551">
      <w:pPr>
        <w:pStyle w:val="Funotentext"/>
        <w:rPr>
          <w:lang w:val="en-US"/>
        </w:rPr>
      </w:pPr>
      <w:r>
        <w:rPr>
          <w:rStyle w:val="Funotenzeichen"/>
          <w:rFonts w:eastAsiaTheme="majorEastAsia"/>
        </w:rPr>
        <w:footnoteRef/>
      </w:r>
      <w:r w:rsidRPr="00AA3B02">
        <w:rPr>
          <w:lang w:val="en-US"/>
        </w:rPr>
        <w:t xml:space="preserve"> </w:t>
      </w:r>
      <w:r w:rsidRPr="00A15962">
        <w:rPr>
          <w:i/>
          <w:lang w:val="en-US"/>
        </w:rPr>
        <w:t>Gulf, C. &amp; S. F. R. Co. v. Ellis</w:t>
      </w:r>
      <w:r w:rsidRPr="00AA3B02">
        <w:rPr>
          <w:lang w:val="en-US"/>
        </w:rPr>
        <w:t>, 165 U.S. 150</w:t>
      </w:r>
      <w:r>
        <w:rPr>
          <w:lang w:val="en-US"/>
        </w:rPr>
        <w:t xml:space="preserve"> = 17 S. Ct. </w:t>
      </w:r>
      <w:r w:rsidRPr="00AA3B02">
        <w:rPr>
          <w:lang w:val="en-US"/>
        </w:rPr>
        <w:t>255</w:t>
      </w:r>
      <w:r>
        <w:rPr>
          <w:lang w:val="en-US"/>
        </w:rPr>
        <w:t xml:space="preserve"> = 41 L. Ed. </w:t>
      </w:r>
      <w:r w:rsidRPr="00AA3B02">
        <w:rPr>
          <w:lang w:val="en-US"/>
        </w:rPr>
        <w:t>666</w:t>
      </w:r>
      <w:r>
        <w:rPr>
          <w:lang w:val="en-US"/>
        </w:rPr>
        <w:t xml:space="preserve"> = 1897 U.S. LEXIS </w:t>
      </w:r>
      <w:r w:rsidRPr="00AA3B02">
        <w:rPr>
          <w:lang w:val="en-US"/>
        </w:rPr>
        <w:t>1957 (1897)</w:t>
      </w:r>
      <w:r>
        <w:rPr>
          <w:lang w:val="en-US"/>
        </w:rPr>
        <w:t>.</w:t>
      </w:r>
    </w:p>
  </w:footnote>
  <w:footnote w:id="1975">
    <w:p w14:paraId="1A03FE79" w14:textId="77777777" w:rsidR="00074551" w:rsidRPr="009A53D0" w:rsidRDefault="00074551" w:rsidP="00074551">
      <w:pPr>
        <w:pStyle w:val="Funotentext"/>
        <w:rPr>
          <w:lang w:val="en-US"/>
        </w:rPr>
      </w:pPr>
      <w:r>
        <w:rPr>
          <w:rStyle w:val="Funotenzeichen"/>
        </w:rPr>
        <w:footnoteRef/>
      </w:r>
      <w:r w:rsidRPr="009A53D0">
        <w:rPr>
          <w:lang w:val="en-US"/>
        </w:rPr>
        <w:t xml:space="preserve"> Conn. Gen. Stat. Rev., 1958, </w:t>
      </w:r>
      <w:r>
        <w:rPr>
          <w:lang w:val="en-US"/>
        </w:rPr>
        <w:t>§ </w:t>
      </w:r>
      <w:r w:rsidRPr="009A53D0">
        <w:rPr>
          <w:lang w:val="en-US"/>
        </w:rPr>
        <w:t xml:space="preserve">53-32: „Use of drugs or instruments to prevent conception. Any person who uses any drug, medicinal article or instrument for the purpose of preventing conception shall be fined not less than fifty dollars or imprisoned not less than sixty days nor more than one year or be both fined and imprisoned. There are no substantive provisions dealing with the sale or distribution of such devices, nor with the giving of information concerning their use. These activities are deemed to be involved in law solely because of the general criminal accessory enactment of </w:t>
      </w:r>
      <w:proofErr w:type="gramStart"/>
      <w:r w:rsidRPr="009A53D0">
        <w:rPr>
          <w:lang w:val="en-US"/>
        </w:rPr>
        <w:t>Connecticut.</w:t>
      </w:r>
      <w:r>
        <w:rPr>
          <w:lang w:val="en-US"/>
        </w:rPr>
        <w:t>“</w:t>
      </w:r>
      <w:proofErr w:type="gramEnd"/>
      <w:r>
        <w:rPr>
          <w:lang w:val="en-US"/>
        </w:rPr>
        <w:t xml:space="preserve">; </w:t>
      </w:r>
      <w:r w:rsidRPr="009A53D0">
        <w:rPr>
          <w:lang w:val="en-US"/>
        </w:rPr>
        <w:t xml:space="preserve">Conn. Gen. Stat. Rev., 1958, </w:t>
      </w:r>
      <w:r>
        <w:rPr>
          <w:lang w:val="en-US"/>
        </w:rPr>
        <w:t>§ </w:t>
      </w:r>
      <w:r w:rsidRPr="009A53D0">
        <w:rPr>
          <w:lang w:val="en-US"/>
        </w:rPr>
        <w:t xml:space="preserve">54-196: „Accessories. Any person who assists, abets, counsels, causes, hires or commands another to commit any offense may be prosecuted and punished as if he were the principal </w:t>
      </w:r>
      <w:proofErr w:type="gramStart"/>
      <w:r w:rsidRPr="009A53D0">
        <w:rPr>
          <w:lang w:val="en-US"/>
        </w:rPr>
        <w:t>offender.“</w:t>
      </w:r>
      <w:proofErr w:type="gramEnd"/>
      <w:r w:rsidRPr="009A53D0">
        <w:rPr>
          <w:lang w:val="en-US"/>
        </w:rPr>
        <w:t xml:space="preserve">, </w:t>
      </w:r>
      <w:r>
        <w:rPr>
          <w:i/>
          <w:lang w:val="en-US"/>
        </w:rPr>
        <w:t>Poe v. Ullman</w:t>
      </w:r>
      <w:r w:rsidRPr="009A53D0">
        <w:rPr>
          <w:lang w:val="en-US"/>
        </w:rPr>
        <w:t>, 367 U.S. 497, 499</w:t>
      </w:r>
      <w:r w:rsidRPr="006E67FE">
        <w:rPr>
          <w:lang w:val="en-US"/>
        </w:rPr>
        <w:t xml:space="preserve"> = 81 S. Ct. </w:t>
      </w:r>
      <w:r w:rsidRPr="009A53D0">
        <w:rPr>
          <w:lang w:val="en-US"/>
        </w:rPr>
        <w:t>1752, 1753</w:t>
      </w:r>
      <w:r>
        <w:rPr>
          <w:lang w:val="en-US"/>
        </w:rPr>
        <w:t xml:space="preserve"> = 6 L. Ed. </w:t>
      </w:r>
      <w:r w:rsidRPr="009A53D0">
        <w:rPr>
          <w:lang w:val="en-US"/>
        </w:rPr>
        <w:t>2d 989, 993</w:t>
      </w:r>
      <w:r w:rsidRPr="006E67FE">
        <w:rPr>
          <w:lang w:val="en-US"/>
        </w:rPr>
        <w:t xml:space="preserve"> = 1961 U.S. LEXIS </w:t>
      </w:r>
      <w:r w:rsidRPr="009A53D0">
        <w:rPr>
          <w:lang w:val="en-US"/>
        </w:rPr>
        <w:t>1953, 5 (1961)</w:t>
      </w:r>
      <w:r>
        <w:rPr>
          <w:lang w:val="en-US"/>
        </w:rPr>
        <w:t>.</w:t>
      </w:r>
    </w:p>
  </w:footnote>
  <w:footnote w:id="1976">
    <w:p w14:paraId="26462EB1" w14:textId="54A43479" w:rsidR="00074551" w:rsidRPr="005625DF" w:rsidRDefault="00074551" w:rsidP="00074551">
      <w:pPr>
        <w:pStyle w:val="Funotentext"/>
        <w:rPr>
          <w:lang w:val="en-US"/>
        </w:rPr>
      </w:pPr>
      <w:r>
        <w:rPr>
          <w:rStyle w:val="Funotenzeichen"/>
        </w:rPr>
        <w:footnoteRef/>
      </w:r>
      <w:r w:rsidRPr="005625DF">
        <w:rPr>
          <w:lang w:val="en-US"/>
        </w:rPr>
        <w:t xml:space="preserve"> </w:t>
      </w:r>
      <w:r w:rsidR="001A3831" w:rsidRPr="001A3831">
        <w:rPr>
          <w:i/>
          <w:iCs/>
        </w:rPr>
        <w:t>Poe v. Ullman,</w:t>
      </w:r>
      <w:r w:rsidR="001A3831" w:rsidRPr="001A3831">
        <w:t xml:space="preserve"> 367 U.S. 497</w:t>
      </w:r>
      <w:r w:rsidR="001A3831">
        <w:t xml:space="preserve"> = </w:t>
      </w:r>
      <w:r w:rsidR="001A3831" w:rsidRPr="001A3831">
        <w:t>81 S. Ct. 1752</w:t>
      </w:r>
      <w:r w:rsidR="001A3831">
        <w:t xml:space="preserve"> =</w:t>
      </w:r>
      <w:r w:rsidR="001A3831" w:rsidRPr="001A3831">
        <w:t xml:space="preserve"> 6 L. Ed. 2d 989</w:t>
      </w:r>
      <w:r w:rsidR="001A3831">
        <w:t xml:space="preserve"> = </w:t>
      </w:r>
      <w:r w:rsidR="001A3831" w:rsidRPr="001A3831">
        <w:t>1961 U.S. LEXIS 1953 (1961)</w:t>
      </w:r>
      <w:r w:rsidR="001A3831">
        <w:t>.</w:t>
      </w:r>
    </w:p>
  </w:footnote>
  <w:footnote w:id="1977">
    <w:p w14:paraId="6D7A01C2" w14:textId="77777777" w:rsidR="00074551" w:rsidRPr="00896282" w:rsidRDefault="00074551" w:rsidP="00074551">
      <w:pPr>
        <w:pStyle w:val="Funotentext"/>
        <w:rPr>
          <w:lang w:val="en-US"/>
        </w:rPr>
      </w:pPr>
      <w:r>
        <w:rPr>
          <w:rStyle w:val="Funotenzeichen"/>
          <w:rFonts w:eastAsiaTheme="majorEastAsia"/>
        </w:rPr>
        <w:footnoteRef/>
      </w:r>
      <w:r w:rsidRPr="00896282">
        <w:rPr>
          <w:lang w:val="en-US"/>
        </w:rPr>
        <w:t xml:space="preserve"> </w:t>
      </w:r>
      <w:bookmarkStart w:id="76" w:name="_Hlk228448432"/>
      <w:r w:rsidRPr="00B45592">
        <w:rPr>
          <w:i/>
          <w:lang w:val="en-US"/>
        </w:rPr>
        <w:t>United States v. Johnson</w:t>
      </w:r>
      <w:r w:rsidRPr="00896282">
        <w:rPr>
          <w:lang w:val="en-US"/>
        </w:rPr>
        <w:t xml:space="preserve">, 319 U.S. 302, 305. </w:t>
      </w:r>
      <w:r>
        <w:rPr>
          <w:lang w:val="en-US"/>
        </w:rPr>
        <w:t>„</w:t>
      </w:r>
      <w:r w:rsidRPr="00E47138">
        <w:rPr>
          <w:lang w:val="en-US"/>
        </w:rPr>
        <w:t xml:space="preserve">The requirement for adversity was classically expounded in </w:t>
      </w:r>
      <w:r w:rsidRPr="00B45592">
        <w:rPr>
          <w:i/>
          <w:lang w:val="en-US"/>
        </w:rPr>
        <w:t>Chicago &amp; Grand Trunk R. Co. v. Wellman</w:t>
      </w:r>
      <w:r w:rsidRPr="00E47138">
        <w:rPr>
          <w:lang w:val="en-US"/>
        </w:rPr>
        <w:t>,</w:t>
      </w:r>
      <w:r w:rsidRPr="00896282">
        <w:rPr>
          <w:lang w:val="en-US"/>
        </w:rPr>
        <w:t xml:space="preserve"> 143 U.S. 339, 344</w:t>
      </w:r>
      <w:r>
        <w:rPr>
          <w:lang w:val="en-US"/>
        </w:rPr>
        <w:t>–</w:t>
      </w:r>
      <w:r w:rsidRPr="00896282">
        <w:rPr>
          <w:lang w:val="en-US"/>
        </w:rPr>
        <w:t>345</w:t>
      </w:r>
      <w:r>
        <w:rPr>
          <w:lang w:val="en-US"/>
        </w:rPr>
        <w:t xml:space="preserve">“, </w:t>
      </w:r>
      <w:r>
        <w:rPr>
          <w:i/>
          <w:lang w:val="en-US"/>
        </w:rPr>
        <w:t>Poe v. Ullman</w:t>
      </w:r>
      <w:r w:rsidRPr="00896282">
        <w:rPr>
          <w:lang w:val="en-US"/>
        </w:rPr>
        <w:t>, 367 U.S. 497, 505</w:t>
      </w:r>
      <w:r w:rsidRPr="006E67FE">
        <w:rPr>
          <w:lang w:val="en-US"/>
        </w:rPr>
        <w:t xml:space="preserve"> = 81 S. Ct. </w:t>
      </w:r>
      <w:r w:rsidRPr="00896282">
        <w:rPr>
          <w:lang w:val="en-US"/>
        </w:rPr>
        <w:t>1752, 1757</w:t>
      </w:r>
      <w:r>
        <w:rPr>
          <w:lang w:val="en-US"/>
        </w:rPr>
        <w:t xml:space="preserve"> = 6 L. Ed. </w:t>
      </w:r>
      <w:r w:rsidRPr="00896282">
        <w:rPr>
          <w:lang w:val="en-US"/>
        </w:rPr>
        <w:t>2d 989, 997</w:t>
      </w:r>
      <w:r w:rsidRPr="006E67FE">
        <w:rPr>
          <w:lang w:val="en-US"/>
        </w:rPr>
        <w:t xml:space="preserve"> = 1961 U.S. LEXIS </w:t>
      </w:r>
      <w:r w:rsidRPr="00896282">
        <w:rPr>
          <w:lang w:val="en-US"/>
        </w:rPr>
        <w:t>1953, 16 (1961)</w:t>
      </w:r>
      <w:r>
        <w:rPr>
          <w:lang w:val="en-US"/>
        </w:rPr>
        <w:t>.</w:t>
      </w:r>
    </w:p>
    <w:bookmarkEnd w:id="76"/>
  </w:footnote>
  <w:footnote w:id="1978">
    <w:p w14:paraId="7CA257EC" w14:textId="77777777" w:rsidR="00074551" w:rsidRPr="00896282" w:rsidRDefault="00074551" w:rsidP="00074551">
      <w:pPr>
        <w:pStyle w:val="Funotentext"/>
        <w:rPr>
          <w:lang w:val="en-US"/>
        </w:rPr>
      </w:pPr>
      <w:r>
        <w:rPr>
          <w:rStyle w:val="Funotenzeichen"/>
          <w:rFonts w:eastAsiaTheme="majorEastAsia"/>
        </w:rPr>
        <w:footnoteRef/>
      </w:r>
      <w:r w:rsidRPr="00896282">
        <w:rPr>
          <w:lang w:val="en-US"/>
        </w:rPr>
        <w:t xml:space="preserve"> </w:t>
      </w:r>
      <w:r w:rsidRPr="00B45592">
        <w:rPr>
          <w:i/>
          <w:lang w:val="en-US"/>
        </w:rPr>
        <w:t xml:space="preserve">Ex </w:t>
      </w:r>
      <w:proofErr w:type="spellStart"/>
      <w:r w:rsidRPr="00B45592">
        <w:rPr>
          <w:i/>
          <w:lang w:val="en-US"/>
        </w:rPr>
        <w:t>parte</w:t>
      </w:r>
      <w:proofErr w:type="spellEnd"/>
      <w:r w:rsidRPr="00B45592">
        <w:rPr>
          <w:i/>
          <w:lang w:val="en-US"/>
        </w:rPr>
        <w:t xml:space="preserve"> La Prade</w:t>
      </w:r>
      <w:r w:rsidRPr="00896282">
        <w:rPr>
          <w:lang w:val="en-US"/>
        </w:rPr>
        <w:t>, 289 U.S. 444, 458</w:t>
      </w:r>
      <w:r>
        <w:rPr>
          <w:lang w:val="en-US"/>
        </w:rPr>
        <w:t xml:space="preserve">; </w:t>
      </w:r>
      <w:r>
        <w:rPr>
          <w:i/>
          <w:lang w:val="en-US"/>
        </w:rPr>
        <w:t>Poe v. Ullman</w:t>
      </w:r>
      <w:r w:rsidRPr="00896282">
        <w:rPr>
          <w:lang w:val="en-US"/>
        </w:rPr>
        <w:t>, 367 U.S. 497, 507</w:t>
      </w:r>
      <w:r w:rsidRPr="006E67FE">
        <w:rPr>
          <w:lang w:val="en-US"/>
        </w:rPr>
        <w:t xml:space="preserve"> = 81 S. Ct. </w:t>
      </w:r>
      <w:r w:rsidRPr="00896282">
        <w:rPr>
          <w:lang w:val="en-US"/>
        </w:rPr>
        <w:t>1752, 1758</w:t>
      </w:r>
      <w:r>
        <w:rPr>
          <w:lang w:val="en-US"/>
        </w:rPr>
        <w:t xml:space="preserve"> = 6 L. Ed. </w:t>
      </w:r>
      <w:r w:rsidRPr="00896282">
        <w:rPr>
          <w:lang w:val="en-US"/>
        </w:rPr>
        <w:t>2d 989, 998</w:t>
      </w:r>
      <w:r w:rsidRPr="006E67FE">
        <w:rPr>
          <w:lang w:val="en-US"/>
        </w:rPr>
        <w:t xml:space="preserve"> = 1961 U.S. LEXIS </w:t>
      </w:r>
      <w:r w:rsidRPr="00896282">
        <w:rPr>
          <w:lang w:val="en-US"/>
        </w:rPr>
        <w:t>1953, 20 (1961)</w:t>
      </w:r>
      <w:r>
        <w:rPr>
          <w:lang w:val="en-US"/>
        </w:rPr>
        <w:t>.</w:t>
      </w:r>
    </w:p>
  </w:footnote>
  <w:footnote w:id="1979">
    <w:p w14:paraId="7B1400E0" w14:textId="77777777" w:rsidR="00074551" w:rsidRPr="00D663CB" w:rsidRDefault="00074551" w:rsidP="00074551">
      <w:pPr>
        <w:pStyle w:val="Funotentext"/>
        <w:rPr>
          <w:lang w:val="en-US"/>
        </w:rPr>
      </w:pPr>
      <w:r>
        <w:rPr>
          <w:rStyle w:val="Funotenzeichen"/>
          <w:rFonts w:eastAsiaTheme="majorEastAsia"/>
        </w:rPr>
        <w:footnoteRef/>
      </w:r>
      <w:r w:rsidRPr="00D663CB">
        <w:rPr>
          <w:lang w:val="en-US"/>
        </w:rPr>
        <w:t xml:space="preserve"> </w:t>
      </w:r>
      <w:r w:rsidRPr="00B45592">
        <w:rPr>
          <w:i/>
          <w:lang w:val="en-US"/>
        </w:rPr>
        <w:t>Alabama State Federation of Labor v. McAdory</w:t>
      </w:r>
      <w:r w:rsidRPr="00D663CB">
        <w:rPr>
          <w:lang w:val="en-US"/>
        </w:rPr>
        <w:t xml:space="preserve">, 325 U.S. 450, 462; </w:t>
      </w:r>
      <w:r>
        <w:rPr>
          <w:i/>
          <w:lang w:val="en-US"/>
        </w:rPr>
        <w:t>Poe v. Ullman</w:t>
      </w:r>
      <w:r w:rsidRPr="00D663CB">
        <w:rPr>
          <w:lang w:val="en-US"/>
        </w:rPr>
        <w:t>, 367 U.S. 497, 523</w:t>
      </w:r>
      <w:r w:rsidRPr="006E67FE">
        <w:rPr>
          <w:lang w:val="en-US"/>
        </w:rPr>
        <w:t xml:space="preserve"> = 81 S. Ct. </w:t>
      </w:r>
      <w:r w:rsidRPr="00D663CB">
        <w:rPr>
          <w:lang w:val="en-US"/>
        </w:rPr>
        <w:t>1752, 1766</w:t>
      </w:r>
      <w:r>
        <w:rPr>
          <w:lang w:val="en-US"/>
        </w:rPr>
        <w:t xml:space="preserve"> = 6 L. Ed. </w:t>
      </w:r>
      <w:r w:rsidRPr="00D663CB">
        <w:rPr>
          <w:lang w:val="en-US"/>
        </w:rPr>
        <w:t>2d 989, 1008</w:t>
      </w:r>
      <w:r w:rsidRPr="006E67FE">
        <w:rPr>
          <w:lang w:val="en-US"/>
        </w:rPr>
        <w:t xml:space="preserve"> = 1961 U.S. LEXIS </w:t>
      </w:r>
      <w:r w:rsidRPr="00D663CB">
        <w:rPr>
          <w:lang w:val="en-US"/>
        </w:rPr>
        <w:t>1953, 45 (1961)</w:t>
      </w:r>
      <w:r>
        <w:rPr>
          <w:lang w:val="en-US"/>
        </w:rPr>
        <w:t>.</w:t>
      </w:r>
    </w:p>
  </w:footnote>
  <w:footnote w:id="1980">
    <w:p w14:paraId="4972933A" w14:textId="77777777" w:rsidR="00074551" w:rsidRPr="00D663CB" w:rsidRDefault="00074551" w:rsidP="00074551">
      <w:pPr>
        <w:pStyle w:val="Funotentext"/>
        <w:rPr>
          <w:lang w:val="en-US"/>
        </w:rPr>
      </w:pPr>
      <w:r>
        <w:rPr>
          <w:rStyle w:val="Funotenzeichen"/>
          <w:rFonts w:eastAsiaTheme="majorEastAsia"/>
        </w:rPr>
        <w:footnoteRef/>
      </w:r>
      <w:r w:rsidRPr="00D663CB">
        <w:rPr>
          <w:lang w:val="en-US"/>
        </w:rPr>
        <w:t xml:space="preserve"> </w:t>
      </w:r>
      <w:r>
        <w:rPr>
          <w:i/>
          <w:lang w:val="en-US"/>
        </w:rPr>
        <w:t>Poe v. Ullman</w:t>
      </w:r>
      <w:r w:rsidRPr="00D663CB">
        <w:rPr>
          <w:lang w:val="en-US"/>
        </w:rPr>
        <w:t>, 367 U.S. 497, 523</w:t>
      </w:r>
      <w:r w:rsidRPr="006E67FE">
        <w:rPr>
          <w:lang w:val="en-US"/>
        </w:rPr>
        <w:t xml:space="preserve"> = 81 S. Ct. </w:t>
      </w:r>
      <w:r w:rsidRPr="00D663CB">
        <w:rPr>
          <w:lang w:val="en-US"/>
        </w:rPr>
        <w:t>1752, 1766</w:t>
      </w:r>
      <w:r>
        <w:rPr>
          <w:lang w:val="en-US"/>
        </w:rPr>
        <w:t xml:space="preserve"> = 6 L. Ed. </w:t>
      </w:r>
      <w:r w:rsidRPr="00D663CB">
        <w:rPr>
          <w:lang w:val="en-US"/>
        </w:rPr>
        <w:t>2d 989, 1007</w:t>
      </w:r>
      <w:r w:rsidRPr="006E67FE">
        <w:rPr>
          <w:lang w:val="en-US"/>
        </w:rPr>
        <w:t xml:space="preserve"> = 1961 U.S. LEXIS </w:t>
      </w:r>
      <w:r w:rsidRPr="00D663CB">
        <w:rPr>
          <w:lang w:val="en-US"/>
        </w:rPr>
        <w:t>1953, 44 (1961)</w:t>
      </w:r>
      <w:r>
        <w:rPr>
          <w:lang w:val="en-US"/>
        </w:rPr>
        <w:t>.</w:t>
      </w:r>
    </w:p>
  </w:footnote>
  <w:footnote w:id="1981">
    <w:p w14:paraId="4B86E9AB" w14:textId="77777777" w:rsidR="00074551" w:rsidRPr="003558DA" w:rsidRDefault="00074551" w:rsidP="00074551">
      <w:pPr>
        <w:pStyle w:val="Funotentext"/>
        <w:ind w:left="227" w:hanging="227"/>
        <w:rPr>
          <w:lang w:val="en-US"/>
        </w:rPr>
      </w:pPr>
      <w:r>
        <w:rPr>
          <w:rStyle w:val="Funotenzeichen"/>
          <w:rFonts w:eastAsiaTheme="majorEastAsia"/>
        </w:rPr>
        <w:footnoteRef/>
      </w:r>
      <w:r w:rsidRPr="003558DA">
        <w:rPr>
          <w:lang w:val="en-US"/>
        </w:rPr>
        <w:t xml:space="preserve"> </w:t>
      </w:r>
      <w:r>
        <w:rPr>
          <w:i/>
          <w:lang w:val="en-US"/>
        </w:rPr>
        <w:t>Poe v. Ullman</w:t>
      </w:r>
      <w:r w:rsidRPr="003558DA">
        <w:rPr>
          <w:lang w:val="en-US"/>
        </w:rPr>
        <w:t>, 367 U.S. 497, 550</w:t>
      </w:r>
      <w:r w:rsidRPr="006E67FE">
        <w:rPr>
          <w:lang w:val="en-US"/>
        </w:rPr>
        <w:t xml:space="preserve"> = 81 S. Ct. </w:t>
      </w:r>
      <w:r w:rsidRPr="003558DA">
        <w:rPr>
          <w:lang w:val="en-US"/>
        </w:rPr>
        <w:t>1752, 1780</w:t>
      </w:r>
      <w:r>
        <w:rPr>
          <w:lang w:val="en-US"/>
        </w:rPr>
        <w:t xml:space="preserve"> = 6 L. Ed. </w:t>
      </w:r>
      <w:r w:rsidRPr="003558DA">
        <w:rPr>
          <w:lang w:val="en-US"/>
        </w:rPr>
        <w:t>2d 989, 1023</w:t>
      </w:r>
      <w:r w:rsidRPr="006E67FE">
        <w:rPr>
          <w:lang w:val="en-US"/>
        </w:rPr>
        <w:t xml:space="preserve"> = 1961 U.S. LEXIS </w:t>
      </w:r>
      <w:r w:rsidRPr="003558DA">
        <w:rPr>
          <w:lang w:val="en-US"/>
        </w:rPr>
        <w:t>1953, 89 (1961)</w:t>
      </w:r>
      <w:r>
        <w:rPr>
          <w:lang w:val="en-US"/>
        </w:rPr>
        <w:t>.</w:t>
      </w:r>
    </w:p>
  </w:footnote>
  <w:footnote w:id="1982">
    <w:p w14:paraId="11BF178C" w14:textId="77777777" w:rsidR="00074551" w:rsidRPr="003558DA" w:rsidRDefault="00074551" w:rsidP="00074551">
      <w:pPr>
        <w:pStyle w:val="Funotentext"/>
        <w:ind w:left="227" w:hanging="227"/>
        <w:rPr>
          <w:lang w:val="en-US"/>
        </w:rPr>
      </w:pPr>
      <w:r>
        <w:rPr>
          <w:rStyle w:val="Funotenzeichen"/>
          <w:rFonts w:eastAsiaTheme="majorEastAsia"/>
        </w:rPr>
        <w:footnoteRef/>
      </w:r>
      <w:r w:rsidRPr="003558DA">
        <w:rPr>
          <w:lang w:val="en-US"/>
        </w:rPr>
        <w:t xml:space="preserve"> </w:t>
      </w:r>
      <w:r w:rsidRPr="00B45592">
        <w:rPr>
          <w:i/>
          <w:lang w:val="en-US"/>
        </w:rPr>
        <w:t>Wolf v. Colorado</w:t>
      </w:r>
      <w:r w:rsidRPr="003558DA">
        <w:rPr>
          <w:lang w:val="en-US"/>
        </w:rPr>
        <w:t>, 338 U.S. 25</w:t>
      </w:r>
      <w:r>
        <w:rPr>
          <w:lang w:val="en-US"/>
        </w:rPr>
        <w:t xml:space="preserve">; </w:t>
      </w:r>
      <w:r>
        <w:rPr>
          <w:i/>
          <w:lang w:val="en-US"/>
        </w:rPr>
        <w:t>Poe v. Ullman</w:t>
      </w:r>
      <w:r w:rsidRPr="003558DA">
        <w:rPr>
          <w:lang w:val="en-US"/>
        </w:rPr>
        <w:t>, 367 U.S. 497, 549</w:t>
      </w:r>
      <w:r w:rsidRPr="006E67FE">
        <w:rPr>
          <w:lang w:val="en-US"/>
        </w:rPr>
        <w:t xml:space="preserve"> = 81 S. Ct. </w:t>
      </w:r>
      <w:r w:rsidRPr="003558DA">
        <w:rPr>
          <w:lang w:val="en-US"/>
        </w:rPr>
        <w:t>1752, 1780</w:t>
      </w:r>
      <w:r>
        <w:rPr>
          <w:lang w:val="en-US"/>
        </w:rPr>
        <w:t xml:space="preserve"> = 6 L. Ed. </w:t>
      </w:r>
      <w:r w:rsidRPr="003558DA">
        <w:rPr>
          <w:lang w:val="en-US"/>
        </w:rPr>
        <w:t>2d 989, 1023</w:t>
      </w:r>
      <w:r w:rsidRPr="006E67FE">
        <w:rPr>
          <w:lang w:val="en-US"/>
        </w:rPr>
        <w:t xml:space="preserve"> = 1961 U.S. LEXIS </w:t>
      </w:r>
      <w:r w:rsidRPr="003558DA">
        <w:rPr>
          <w:lang w:val="en-US"/>
        </w:rPr>
        <w:t>1953, 88 (1961)</w:t>
      </w:r>
      <w:r>
        <w:rPr>
          <w:lang w:val="en-US"/>
        </w:rPr>
        <w:t>.</w:t>
      </w:r>
    </w:p>
  </w:footnote>
  <w:footnote w:id="1983">
    <w:p w14:paraId="6DB2F3A9" w14:textId="77777777" w:rsidR="008B1D3E" w:rsidRPr="002F4316" w:rsidRDefault="008B1D3E" w:rsidP="008B1D3E">
      <w:pPr>
        <w:pStyle w:val="Funotentext"/>
        <w:rPr>
          <w:lang w:val="en-US"/>
        </w:rPr>
      </w:pPr>
      <w:r>
        <w:rPr>
          <w:rStyle w:val="Funotenzeichen"/>
          <w:rFonts w:eastAsiaTheme="majorEastAsia"/>
        </w:rPr>
        <w:footnoteRef/>
      </w:r>
      <w:r w:rsidRPr="002F4316">
        <w:rPr>
          <w:lang w:val="en-US"/>
        </w:rPr>
        <w:t xml:space="preserve"> </w:t>
      </w:r>
      <w:r w:rsidRPr="00B45592">
        <w:rPr>
          <w:lang w:val="en-US"/>
        </w:rPr>
        <w:t>Dissens von Richter</w:t>
      </w:r>
      <w:r w:rsidRPr="00E47138">
        <w:rPr>
          <w:lang w:val="en-US"/>
        </w:rPr>
        <w:t xml:space="preserve"> </w:t>
      </w:r>
      <w:r w:rsidRPr="00D67593">
        <w:rPr>
          <w:i/>
          <w:lang w:val="en-US"/>
        </w:rPr>
        <w:t>Brandeis</w:t>
      </w:r>
      <w:r w:rsidRPr="002535FA">
        <w:rPr>
          <w:lang w:val="en-US"/>
        </w:rPr>
        <w:t xml:space="preserve"> in </w:t>
      </w:r>
      <w:r w:rsidRPr="009167A5">
        <w:rPr>
          <w:i/>
          <w:lang w:val="en-US"/>
        </w:rPr>
        <w:t>Olmstead v. United States</w:t>
      </w:r>
      <w:r w:rsidRPr="002535FA">
        <w:rPr>
          <w:lang w:val="en-US"/>
        </w:rPr>
        <w:t>, 277 U.S. 438, 478;</w:t>
      </w:r>
      <w:r>
        <w:rPr>
          <w:lang w:val="en-US"/>
        </w:rPr>
        <w:t xml:space="preserve"> </w:t>
      </w:r>
      <w:r>
        <w:rPr>
          <w:i/>
          <w:lang w:val="en-US"/>
        </w:rPr>
        <w:t>Poe v. Ullman</w:t>
      </w:r>
      <w:r w:rsidRPr="002F4316">
        <w:rPr>
          <w:lang w:val="en-US"/>
        </w:rPr>
        <w:t>, 367 U.S. 497, 550</w:t>
      </w:r>
      <w:r w:rsidRPr="006E67FE">
        <w:rPr>
          <w:lang w:val="en-US"/>
        </w:rPr>
        <w:t xml:space="preserve"> = 81 S. Ct. </w:t>
      </w:r>
      <w:r w:rsidRPr="002F4316">
        <w:rPr>
          <w:lang w:val="en-US"/>
        </w:rPr>
        <w:t>1752, 1780</w:t>
      </w:r>
      <w:r>
        <w:rPr>
          <w:lang w:val="en-US"/>
        </w:rPr>
        <w:t xml:space="preserve"> = 6 L. Ed. </w:t>
      </w:r>
      <w:r w:rsidRPr="002F4316">
        <w:rPr>
          <w:lang w:val="en-US"/>
        </w:rPr>
        <w:t>2d 989, 1023</w:t>
      </w:r>
      <w:r w:rsidRPr="006E67FE">
        <w:rPr>
          <w:lang w:val="en-US"/>
        </w:rPr>
        <w:t xml:space="preserve"> = 1961 U.S. LEXIS </w:t>
      </w:r>
      <w:r w:rsidRPr="002F4316">
        <w:rPr>
          <w:lang w:val="en-US"/>
        </w:rPr>
        <w:t>1953, 89 (1961)</w:t>
      </w:r>
      <w:r>
        <w:rPr>
          <w:lang w:val="en-US"/>
        </w:rPr>
        <w:t xml:space="preserve">: </w:t>
      </w:r>
      <w:r w:rsidRPr="00507A8E">
        <w:t>Zunächst erklärt er, ein Schutz gegen diesen Eingriff in die Privatsphäre entfiele nur, wenn </w:t>
      </w:r>
      <w:r w:rsidRPr="00507A8E">
        <w:rPr>
          <w:i/>
          <w:iCs/>
        </w:rPr>
        <w:t xml:space="preserve">due </w:t>
      </w:r>
      <w:proofErr w:type="spellStart"/>
      <w:r w:rsidRPr="00507A8E">
        <w:rPr>
          <w:i/>
          <w:iCs/>
        </w:rPr>
        <w:t>process</w:t>
      </w:r>
      <w:proofErr w:type="spellEnd"/>
      <w:r w:rsidRPr="00507A8E">
        <w:t> auf die ausdrücklich in der Verfassung genannten Gewährleistungen beschränkt würde; anschließend greift er zur Bestimmung des weitergehenden Freiheitsbegriffs ausdrücklich auf Brandeis’ </w:t>
      </w:r>
      <w:r w:rsidRPr="00507A8E">
        <w:rPr>
          <w:i/>
          <w:iCs/>
        </w:rPr>
        <w:t>Olmstead</w:t>
      </w:r>
      <w:r w:rsidRPr="00507A8E">
        <w:t>-Dissens und dessen Verbindung von Freiheit und Glücksstreben zurück</w:t>
      </w:r>
      <w:r>
        <w:t>.</w:t>
      </w:r>
    </w:p>
  </w:footnote>
  <w:footnote w:id="1984">
    <w:p w14:paraId="210E86D9" w14:textId="77777777" w:rsidR="00074551" w:rsidRPr="00D4371B" w:rsidRDefault="00074551" w:rsidP="00074551">
      <w:pPr>
        <w:pStyle w:val="Funotentext"/>
        <w:jc w:val="both"/>
        <w:rPr>
          <w:lang w:val="en-US"/>
        </w:rPr>
      </w:pPr>
      <w:r>
        <w:rPr>
          <w:rStyle w:val="Funotenzeichen"/>
          <w:rFonts w:eastAsiaTheme="majorEastAsia"/>
        </w:rPr>
        <w:footnoteRef/>
      </w:r>
      <w:r w:rsidRPr="00D4371B">
        <w:rPr>
          <w:lang w:val="en-US"/>
        </w:rPr>
        <w:t xml:space="preserve"> </w:t>
      </w:r>
      <w:r w:rsidRPr="00584023">
        <w:rPr>
          <w:i/>
          <w:lang w:val="en-US"/>
        </w:rPr>
        <w:t>Sosna v. Iowa</w:t>
      </w:r>
      <w:r w:rsidRPr="00D4371B">
        <w:rPr>
          <w:lang w:val="en-US"/>
        </w:rPr>
        <w:t>, 419 U.S. 393, 399</w:t>
      </w:r>
      <w:r w:rsidRPr="003B741A">
        <w:rPr>
          <w:lang w:val="en-US"/>
        </w:rPr>
        <w:t xml:space="preserve"> = 95 S. Ct. </w:t>
      </w:r>
      <w:r w:rsidRPr="00D4371B">
        <w:rPr>
          <w:lang w:val="en-US"/>
        </w:rPr>
        <w:t>553, 557</w:t>
      </w:r>
      <w:r w:rsidRPr="003B741A">
        <w:rPr>
          <w:lang w:val="en-US"/>
        </w:rPr>
        <w:t xml:space="preserve"> = 42 L. Ed. </w:t>
      </w:r>
      <w:r w:rsidRPr="00D4371B">
        <w:rPr>
          <w:lang w:val="en-US"/>
        </w:rPr>
        <w:t>2d 532, 540</w:t>
      </w:r>
      <w:r w:rsidRPr="003B741A">
        <w:rPr>
          <w:lang w:val="en-US"/>
        </w:rPr>
        <w:t xml:space="preserve"> = 1975 U.S. LEXIS </w:t>
      </w:r>
      <w:r w:rsidRPr="00D4371B">
        <w:rPr>
          <w:lang w:val="en-US"/>
        </w:rPr>
        <w:t>19, 12</w:t>
      </w:r>
      <w:r w:rsidRPr="003B741A">
        <w:rPr>
          <w:lang w:val="en-US"/>
        </w:rPr>
        <w:t xml:space="preserve"> = 19 Fed. R. Serv. </w:t>
      </w:r>
      <w:r w:rsidRPr="00D4371B">
        <w:rPr>
          <w:lang w:val="en-US"/>
        </w:rPr>
        <w:t>2d (Callaghan) 925 (1975)</w:t>
      </w:r>
      <w:r>
        <w:rPr>
          <w:lang w:val="en-US"/>
        </w:rPr>
        <w:t>.</w:t>
      </w:r>
    </w:p>
  </w:footnote>
  <w:footnote w:id="1985">
    <w:p w14:paraId="45580255" w14:textId="77777777" w:rsidR="00074551" w:rsidRPr="00D4371B" w:rsidRDefault="00074551" w:rsidP="00074551">
      <w:pPr>
        <w:pStyle w:val="Funotentext"/>
        <w:jc w:val="both"/>
        <w:rPr>
          <w:lang w:val="en-US"/>
        </w:rPr>
      </w:pPr>
      <w:r>
        <w:rPr>
          <w:rStyle w:val="Funotenzeichen"/>
          <w:rFonts w:eastAsiaTheme="majorEastAsia"/>
        </w:rPr>
        <w:footnoteRef/>
      </w:r>
      <w:r w:rsidRPr="00D4371B">
        <w:rPr>
          <w:lang w:val="en-US"/>
        </w:rPr>
        <w:t xml:space="preserve"> </w:t>
      </w:r>
      <w:r w:rsidRPr="00584023">
        <w:rPr>
          <w:i/>
          <w:lang w:val="en-US"/>
        </w:rPr>
        <w:t>Sosna v. Iowa</w:t>
      </w:r>
      <w:r w:rsidRPr="00D4371B">
        <w:rPr>
          <w:lang w:val="en-US"/>
        </w:rPr>
        <w:t>, 419 U.S. 393, 399</w:t>
      </w:r>
      <w:r w:rsidRPr="003B741A">
        <w:rPr>
          <w:lang w:val="en-US"/>
        </w:rPr>
        <w:t xml:space="preserve"> = 95 S. Ct. </w:t>
      </w:r>
      <w:r w:rsidRPr="00D4371B">
        <w:rPr>
          <w:lang w:val="en-US"/>
        </w:rPr>
        <w:t>553, 557</w:t>
      </w:r>
      <w:r w:rsidRPr="003B741A">
        <w:rPr>
          <w:lang w:val="en-US"/>
        </w:rPr>
        <w:t xml:space="preserve"> = 42 L. Ed. </w:t>
      </w:r>
      <w:r w:rsidRPr="00D4371B">
        <w:rPr>
          <w:lang w:val="en-US"/>
        </w:rPr>
        <w:t>2d 532, 540</w:t>
      </w:r>
      <w:r w:rsidRPr="003B741A">
        <w:rPr>
          <w:lang w:val="en-US"/>
        </w:rPr>
        <w:t xml:space="preserve"> = 1975 U.S. LEXIS </w:t>
      </w:r>
      <w:r w:rsidRPr="00D4371B">
        <w:rPr>
          <w:lang w:val="en-US"/>
        </w:rPr>
        <w:t>19, 12</w:t>
      </w:r>
      <w:r w:rsidRPr="003B741A">
        <w:rPr>
          <w:lang w:val="en-US"/>
        </w:rPr>
        <w:t xml:space="preserve"> = 19 Fed. R. Serv. </w:t>
      </w:r>
      <w:r w:rsidRPr="00D4371B">
        <w:rPr>
          <w:lang w:val="en-US"/>
        </w:rPr>
        <w:t>2d (Callaghan) 925 (1975)</w:t>
      </w:r>
      <w:r>
        <w:rPr>
          <w:lang w:val="en-US"/>
        </w:rPr>
        <w:t>.</w:t>
      </w:r>
    </w:p>
  </w:footnote>
  <w:footnote w:id="1986">
    <w:p w14:paraId="5C5E4600" w14:textId="77777777" w:rsidR="00074551" w:rsidRPr="00D4371B" w:rsidRDefault="00074551" w:rsidP="00074551">
      <w:pPr>
        <w:pStyle w:val="Funotentext"/>
        <w:jc w:val="both"/>
        <w:rPr>
          <w:lang w:val="en-US"/>
        </w:rPr>
      </w:pPr>
      <w:r>
        <w:rPr>
          <w:rStyle w:val="Funotenzeichen"/>
          <w:rFonts w:eastAsiaTheme="majorEastAsia"/>
        </w:rPr>
        <w:footnoteRef/>
      </w:r>
      <w:r w:rsidRPr="00D4371B">
        <w:rPr>
          <w:lang w:val="en-US"/>
        </w:rPr>
        <w:t xml:space="preserve"> </w:t>
      </w:r>
      <w:r w:rsidRPr="00584023">
        <w:rPr>
          <w:i/>
          <w:lang w:val="en-US"/>
        </w:rPr>
        <w:t>Sosna v. Iowa</w:t>
      </w:r>
      <w:r w:rsidRPr="00D4371B">
        <w:rPr>
          <w:lang w:val="en-US"/>
        </w:rPr>
        <w:t>, 419 U.S. 393, 399</w:t>
      </w:r>
      <w:r w:rsidRPr="003B741A">
        <w:rPr>
          <w:lang w:val="en-US"/>
        </w:rPr>
        <w:t xml:space="preserve"> = 95 S. Ct. </w:t>
      </w:r>
      <w:r w:rsidRPr="00D4371B">
        <w:rPr>
          <w:lang w:val="en-US"/>
        </w:rPr>
        <w:t>553, 557</w:t>
      </w:r>
      <w:r w:rsidRPr="003B741A">
        <w:rPr>
          <w:lang w:val="en-US"/>
        </w:rPr>
        <w:t xml:space="preserve"> = 42 L. Ed. </w:t>
      </w:r>
      <w:r w:rsidRPr="00D4371B">
        <w:rPr>
          <w:lang w:val="en-US"/>
        </w:rPr>
        <w:t>2d 532, 540</w:t>
      </w:r>
      <w:r w:rsidRPr="003B741A">
        <w:rPr>
          <w:lang w:val="en-US"/>
        </w:rPr>
        <w:t xml:space="preserve"> = 1975 U.S. LEXIS </w:t>
      </w:r>
      <w:r w:rsidRPr="00D4371B">
        <w:rPr>
          <w:lang w:val="en-US"/>
        </w:rPr>
        <w:t>19, 12</w:t>
      </w:r>
      <w:r w:rsidRPr="003B741A">
        <w:rPr>
          <w:lang w:val="en-US"/>
        </w:rPr>
        <w:t xml:space="preserve"> = 19 Fed. R. Serv. </w:t>
      </w:r>
      <w:r w:rsidRPr="00D4371B">
        <w:rPr>
          <w:lang w:val="en-US"/>
        </w:rPr>
        <w:t>2d (Callaghan) 925 (1975)</w:t>
      </w:r>
      <w:r>
        <w:rPr>
          <w:lang w:val="en-US"/>
        </w:rPr>
        <w:t>.</w:t>
      </w:r>
    </w:p>
  </w:footnote>
  <w:footnote w:id="1987">
    <w:p w14:paraId="27B06703" w14:textId="77777777" w:rsidR="00074551" w:rsidRPr="00D4371B" w:rsidRDefault="00074551" w:rsidP="00074551">
      <w:pPr>
        <w:pStyle w:val="Funotentext"/>
        <w:jc w:val="both"/>
        <w:rPr>
          <w:lang w:val="en-US"/>
        </w:rPr>
      </w:pPr>
      <w:r>
        <w:rPr>
          <w:rStyle w:val="Funotenzeichen"/>
          <w:rFonts w:eastAsiaTheme="majorEastAsia"/>
        </w:rPr>
        <w:footnoteRef/>
      </w:r>
      <w:r w:rsidRPr="00D4371B">
        <w:rPr>
          <w:lang w:val="en-US"/>
        </w:rPr>
        <w:t xml:space="preserve"> </w:t>
      </w:r>
      <w:r w:rsidRPr="00584023">
        <w:rPr>
          <w:i/>
          <w:lang w:val="en-US"/>
        </w:rPr>
        <w:t>Sosna v. Iowa</w:t>
      </w:r>
      <w:r w:rsidRPr="00D4371B">
        <w:rPr>
          <w:lang w:val="en-US"/>
        </w:rPr>
        <w:t>, 419 U.S. 393, 399</w:t>
      </w:r>
      <w:r w:rsidRPr="003B741A">
        <w:rPr>
          <w:lang w:val="en-US"/>
        </w:rPr>
        <w:t xml:space="preserve"> = 95 S. Ct. </w:t>
      </w:r>
      <w:r w:rsidRPr="00D4371B">
        <w:rPr>
          <w:lang w:val="en-US"/>
        </w:rPr>
        <w:t>553, 557</w:t>
      </w:r>
      <w:r w:rsidRPr="003B741A">
        <w:rPr>
          <w:lang w:val="en-US"/>
        </w:rPr>
        <w:t xml:space="preserve"> = 42 L. Ed. </w:t>
      </w:r>
      <w:r w:rsidRPr="00D4371B">
        <w:rPr>
          <w:lang w:val="en-US"/>
        </w:rPr>
        <w:t>2d 532, 540</w:t>
      </w:r>
      <w:r w:rsidRPr="003B741A">
        <w:rPr>
          <w:lang w:val="en-US"/>
        </w:rPr>
        <w:t xml:space="preserve"> = 1975 U.S. LEXIS </w:t>
      </w:r>
      <w:r w:rsidRPr="00D4371B">
        <w:rPr>
          <w:lang w:val="en-US"/>
        </w:rPr>
        <w:t>19, 12</w:t>
      </w:r>
      <w:r w:rsidRPr="003B741A">
        <w:rPr>
          <w:lang w:val="en-US"/>
        </w:rPr>
        <w:t xml:space="preserve"> = 19 Fed. R. Serv. </w:t>
      </w:r>
      <w:r w:rsidRPr="00D4371B">
        <w:rPr>
          <w:lang w:val="en-US"/>
        </w:rPr>
        <w:t>2d (Callaghan) 925 (1975)</w:t>
      </w:r>
      <w:r>
        <w:rPr>
          <w:lang w:val="en-US"/>
        </w:rPr>
        <w:t>.</w:t>
      </w:r>
    </w:p>
  </w:footnote>
  <w:footnote w:id="1988">
    <w:p w14:paraId="356C9EFB" w14:textId="77777777" w:rsidR="00074551" w:rsidRPr="00D4371B" w:rsidRDefault="00074551" w:rsidP="00074551">
      <w:pPr>
        <w:pStyle w:val="Funotentext"/>
        <w:jc w:val="both"/>
        <w:rPr>
          <w:lang w:val="en-US"/>
        </w:rPr>
      </w:pPr>
      <w:r>
        <w:rPr>
          <w:rStyle w:val="Funotenzeichen"/>
          <w:rFonts w:eastAsiaTheme="majorEastAsia"/>
        </w:rPr>
        <w:footnoteRef/>
      </w:r>
      <w:r w:rsidRPr="00D4371B">
        <w:rPr>
          <w:lang w:val="en-US"/>
        </w:rPr>
        <w:t xml:space="preserve"> </w:t>
      </w:r>
      <w:r w:rsidRPr="00584023">
        <w:rPr>
          <w:i/>
          <w:lang w:val="en-US"/>
        </w:rPr>
        <w:t>Sosna v. Iowa</w:t>
      </w:r>
      <w:r w:rsidRPr="00D4371B">
        <w:rPr>
          <w:lang w:val="en-US"/>
        </w:rPr>
        <w:t>, 419 U.S. 393, 399</w:t>
      </w:r>
      <w:r w:rsidRPr="003B741A">
        <w:rPr>
          <w:lang w:val="en-US"/>
        </w:rPr>
        <w:t xml:space="preserve"> = 95 S. Ct. </w:t>
      </w:r>
      <w:r w:rsidRPr="00D4371B">
        <w:rPr>
          <w:lang w:val="en-US"/>
        </w:rPr>
        <w:t>553, 557</w:t>
      </w:r>
      <w:r w:rsidRPr="003B741A">
        <w:rPr>
          <w:lang w:val="en-US"/>
        </w:rPr>
        <w:t xml:space="preserve"> = 42 L. Ed. </w:t>
      </w:r>
      <w:r w:rsidRPr="00D4371B">
        <w:rPr>
          <w:lang w:val="en-US"/>
        </w:rPr>
        <w:t>2d 532, 540</w:t>
      </w:r>
      <w:r w:rsidRPr="003B741A">
        <w:rPr>
          <w:lang w:val="en-US"/>
        </w:rPr>
        <w:t xml:space="preserve"> = 1975 U.S. LEXIS </w:t>
      </w:r>
      <w:r w:rsidRPr="00D4371B">
        <w:rPr>
          <w:lang w:val="en-US"/>
        </w:rPr>
        <w:t>19, 12</w:t>
      </w:r>
      <w:r w:rsidRPr="003B741A">
        <w:rPr>
          <w:lang w:val="en-US"/>
        </w:rPr>
        <w:t xml:space="preserve"> = 19 Fed. R. Serv. </w:t>
      </w:r>
      <w:r w:rsidRPr="00D4371B">
        <w:rPr>
          <w:lang w:val="en-US"/>
        </w:rPr>
        <w:t>2d (Callaghan) 925 (1975)</w:t>
      </w:r>
      <w:r>
        <w:rPr>
          <w:lang w:val="en-US"/>
        </w:rPr>
        <w:t>.</w:t>
      </w:r>
    </w:p>
  </w:footnote>
  <w:footnote w:id="1989">
    <w:p w14:paraId="231BC233" w14:textId="77777777" w:rsidR="00074551" w:rsidRPr="00D4371B" w:rsidRDefault="00074551" w:rsidP="00074551">
      <w:pPr>
        <w:pStyle w:val="Funotentext"/>
        <w:jc w:val="both"/>
        <w:rPr>
          <w:lang w:val="en-US"/>
        </w:rPr>
      </w:pPr>
      <w:r>
        <w:rPr>
          <w:rStyle w:val="Funotenzeichen"/>
          <w:rFonts w:eastAsiaTheme="majorEastAsia"/>
        </w:rPr>
        <w:footnoteRef/>
      </w:r>
      <w:r w:rsidRPr="00D4371B">
        <w:rPr>
          <w:lang w:val="en-US"/>
        </w:rPr>
        <w:t xml:space="preserve"> </w:t>
      </w:r>
      <w:r w:rsidRPr="00584023">
        <w:rPr>
          <w:i/>
          <w:lang w:val="en-US"/>
        </w:rPr>
        <w:t>Sosna v. Iowa</w:t>
      </w:r>
      <w:r w:rsidRPr="00D4371B">
        <w:rPr>
          <w:lang w:val="en-US"/>
        </w:rPr>
        <w:t>, 419 U.S. 393, 399</w:t>
      </w:r>
      <w:r w:rsidRPr="003B741A">
        <w:rPr>
          <w:lang w:val="en-US"/>
        </w:rPr>
        <w:t xml:space="preserve"> = 95 S. Ct. </w:t>
      </w:r>
      <w:r w:rsidRPr="00D4371B">
        <w:rPr>
          <w:lang w:val="en-US"/>
        </w:rPr>
        <w:t>553, 557</w:t>
      </w:r>
      <w:r w:rsidRPr="003B741A">
        <w:rPr>
          <w:lang w:val="en-US"/>
        </w:rPr>
        <w:t xml:space="preserve"> = 42 L. Ed. </w:t>
      </w:r>
      <w:r w:rsidRPr="00D4371B">
        <w:rPr>
          <w:lang w:val="en-US"/>
        </w:rPr>
        <w:t>2d 532, 540</w:t>
      </w:r>
      <w:r w:rsidRPr="003B741A">
        <w:rPr>
          <w:lang w:val="en-US"/>
        </w:rPr>
        <w:t xml:space="preserve"> = 1975 U.S. LEXIS </w:t>
      </w:r>
      <w:r w:rsidRPr="00D4371B">
        <w:rPr>
          <w:lang w:val="en-US"/>
        </w:rPr>
        <w:t>19, 12</w:t>
      </w:r>
      <w:r w:rsidRPr="003B741A">
        <w:rPr>
          <w:lang w:val="en-US"/>
        </w:rPr>
        <w:t xml:space="preserve"> = 19 Fed. R. Serv. </w:t>
      </w:r>
      <w:r w:rsidRPr="00D4371B">
        <w:rPr>
          <w:lang w:val="en-US"/>
        </w:rPr>
        <w:t>2d (Callaghan) 925 (1975)</w:t>
      </w:r>
      <w:r>
        <w:rPr>
          <w:lang w:val="en-US"/>
        </w:rPr>
        <w:t>.</w:t>
      </w:r>
    </w:p>
  </w:footnote>
  <w:footnote w:id="1990">
    <w:p w14:paraId="7AF5EF26" w14:textId="77777777" w:rsidR="00074551" w:rsidRPr="0078200F" w:rsidRDefault="00074551" w:rsidP="00074551">
      <w:pPr>
        <w:pStyle w:val="Funotentext"/>
        <w:jc w:val="both"/>
        <w:rPr>
          <w:lang w:val="en-US"/>
        </w:rPr>
      </w:pPr>
      <w:r>
        <w:rPr>
          <w:rStyle w:val="Funotenzeichen"/>
          <w:rFonts w:eastAsiaTheme="majorEastAsia"/>
        </w:rPr>
        <w:footnoteRef/>
      </w:r>
      <w:r w:rsidRPr="0078200F">
        <w:rPr>
          <w:lang w:val="en-US"/>
        </w:rPr>
        <w:t xml:space="preserve"> </w:t>
      </w:r>
      <w:r w:rsidRPr="00584023">
        <w:rPr>
          <w:i/>
          <w:lang w:val="en-US"/>
        </w:rPr>
        <w:t>Sosna v. Iowa</w:t>
      </w:r>
      <w:r w:rsidRPr="0078200F">
        <w:rPr>
          <w:lang w:val="en-US"/>
        </w:rPr>
        <w:t>, 419 U.S. 393, 420</w:t>
      </w:r>
      <w:r w:rsidRPr="003B741A">
        <w:rPr>
          <w:lang w:val="en-US"/>
        </w:rPr>
        <w:t xml:space="preserve"> = 95 S. Ct. </w:t>
      </w:r>
      <w:r w:rsidRPr="0078200F">
        <w:rPr>
          <w:lang w:val="en-US"/>
        </w:rPr>
        <w:t>553, 567</w:t>
      </w:r>
      <w:r>
        <w:rPr>
          <w:lang w:val="en-US"/>
        </w:rPr>
        <w:t>–</w:t>
      </w:r>
      <w:r w:rsidRPr="0078200F">
        <w:rPr>
          <w:lang w:val="en-US"/>
        </w:rPr>
        <w:t>568</w:t>
      </w:r>
      <w:r w:rsidRPr="003B741A">
        <w:rPr>
          <w:lang w:val="en-US"/>
        </w:rPr>
        <w:t xml:space="preserve"> = 42 L. Ed. </w:t>
      </w:r>
      <w:r w:rsidRPr="0078200F">
        <w:rPr>
          <w:lang w:val="en-US"/>
        </w:rPr>
        <w:t>2d 532, 553</w:t>
      </w:r>
      <w:r w:rsidRPr="003B741A">
        <w:rPr>
          <w:lang w:val="en-US"/>
        </w:rPr>
        <w:t xml:space="preserve"> = 1975 U.S. LEXIS </w:t>
      </w:r>
      <w:r w:rsidRPr="0078200F">
        <w:rPr>
          <w:lang w:val="en-US"/>
        </w:rPr>
        <w:t>19, 49</w:t>
      </w:r>
      <w:r w:rsidRPr="003B741A">
        <w:rPr>
          <w:lang w:val="en-US"/>
        </w:rPr>
        <w:t xml:space="preserve"> = 19 Fed. R. Serv. </w:t>
      </w:r>
      <w:r w:rsidRPr="0078200F">
        <w:rPr>
          <w:lang w:val="en-US"/>
        </w:rPr>
        <w:t>2d (Callaghan) 925 (1975)</w:t>
      </w:r>
      <w:r>
        <w:rPr>
          <w:lang w:val="en-US"/>
        </w:rPr>
        <w:t xml:space="preserve">, </w:t>
      </w:r>
      <w:proofErr w:type="spellStart"/>
      <w:r>
        <w:rPr>
          <w:lang w:val="en-US"/>
        </w:rPr>
        <w:t>zitierend</w:t>
      </w:r>
      <w:proofErr w:type="spellEnd"/>
      <w:r>
        <w:rPr>
          <w:lang w:val="en-US"/>
        </w:rPr>
        <w:t xml:space="preserve"> </w:t>
      </w:r>
      <w:proofErr w:type="spellStart"/>
      <w:r>
        <w:rPr>
          <w:lang w:val="en-US"/>
        </w:rPr>
        <w:t>aus</w:t>
      </w:r>
      <w:proofErr w:type="spellEnd"/>
      <w:r>
        <w:rPr>
          <w:lang w:val="en-US"/>
        </w:rPr>
        <w:t xml:space="preserve"> </w:t>
      </w:r>
      <w:r w:rsidRPr="00B45592">
        <w:rPr>
          <w:i/>
          <w:lang w:val="en-IE"/>
        </w:rPr>
        <w:t>Boddie v. Connecticut</w:t>
      </w:r>
      <w:r w:rsidRPr="00B45592">
        <w:rPr>
          <w:lang w:val="en-IE"/>
        </w:rPr>
        <w:t>, 401 U.S. 371 (1971)</w:t>
      </w:r>
      <w:r>
        <w:rPr>
          <w:lang w:val="en-US"/>
        </w:rPr>
        <w:t>.</w:t>
      </w:r>
    </w:p>
  </w:footnote>
  <w:footnote w:id="1991">
    <w:p w14:paraId="47E46FBA" w14:textId="77777777" w:rsidR="00074551" w:rsidRPr="00FE55A7" w:rsidRDefault="00074551" w:rsidP="00074551">
      <w:pPr>
        <w:pStyle w:val="Funotentext"/>
        <w:jc w:val="both"/>
        <w:rPr>
          <w:lang w:val="en-US"/>
        </w:rPr>
      </w:pPr>
      <w:r>
        <w:rPr>
          <w:rStyle w:val="Funotenzeichen"/>
          <w:rFonts w:eastAsiaTheme="majorEastAsia"/>
        </w:rPr>
        <w:footnoteRef/>
      </w:r>
      <w:r w:rsidRPr="00FE55A7">
        <w:rPr>
          <w:lang w:val="en-US"/>
        </w:rPr>
        <w:t xml:space="preserve"> </w:t>
      </w:r>
      <w:r w:rsidRPr="00584023">
        <w:rPr>
          <w:i/>
          <w:lang w:val="en-US"/>
        </w:rPr>
        <w:t>Sosna v. Iowa</w:t>
      </w:r>
      <w:r w:rsidRPr="00FE55A7">
        <w:rPr>
          <w:lang w:val="en-US"/>
        </w:rPr>
        <w:t>, 419 U.S. 393, 420</w:t>
      </w:r>
      <w:r w:rsidRPr="003B741A">
        <w:rPr>
          <w:lang w:val="en-US"/>
        </w:rPr>
        <w:t xml:space="preserve"> = 95 S. Ct. </w:t>
      </w:r>
      <w:r w:rsidRPr="00FE55A7">
        <w:rPr>
          <w:lang w:val="en-US"/>
        </w:rPr>
        <w:t>553, 568</w:t>
      </w:r>
      <w:r w:rsidRPr="003B741A">
        <w:rPr>
          <w:lang w:val="en-US"/>
        </w:rPr>
        <w:t xml:space="preserve"> = 42 L. Ed. </w:t>
      </w:r>
      <w:r w:rsidRPr="00FE55A7">
        <w:rPr>
          <w:lang w:val="en-US"/>
        </w:rPr>
        <w:t>2d 532, 553</w:t>
      </w:r>
      <w:r w:rsidRPr="003B741A">
        <w:rPr>
          <w:lang w:val="en-US"/>
        </w:rPr>
        <w:t xml:space="preserve"> = 1975 U.S. LEXIS </w:t>
      </w:r>
      <w:r w:rsidRPr="00FE55A7">
        <w:rPr>
          <w:lang w:val="en-US"/>
        </w:rPr>
        <w:t>19, 49</w:t>
      </w:r>
      <w:r w:rsidRPr="003B741A">
        <w:rPr>
          <w:lang w:val="en-US"/>
        </w:rPr>
        <w:t xml:space="preserve"> = 19 Fed. R. Serv. </w:t>
      </w:r>
      <w:r w:rsidRPr="00FE55A7">
        <w:rPr>
          <w:lang w:val="en-US"/>
        </w:rPr>
        <w:t>2d (Callaghan) 925 (1975)</w:t>
      </w:r>
      <w:r>
        <w:rPr>
          <w:lang w:val="en-US"/>
        </w:rPr>
        <w:t>.</w:t>
      </w:r>
    </w:p>
  </w:footnote>
  <w:footnote w:id="1992">
    <w:p w14:paraId="219F1434" w14:textId="77777777" w:rsidR="00074551" w:rsidRPr="0078200F" w:rsidRDefault="00074551" w:rsidP="00074551">
      <w:pPr>
        <w:pStyle w:val="Funotentext"/>
        <w:jc w:val="both"/>
        <w:rPr>
          <w:lang w:val="en-US"/>
        </w:rPr>
      </w:pPr>
      <w:r>
        <w:rPr>
          <w:rStyle w:val="Funotenzeichen"/>
          <w:rFonts w:eastAsiaTheme="majorEastAsia"/>
        </w:rPr>
        <w:footnoteRef/>
      </w:r>
      <w:r w:rsidRPr="0078200F">
        <w:rPr>
          <w:lang w:val="en-US"/>
        </w:rPr>
        <w:t xml:space="preserve"> </w:t>
      </w:r>
      <w:r w:rsidRPr="00584023">
        <w:rPr>
          <w:i/>
          <w:lang w:val="en-US"/>
        </w:rPr>
        <w:t>Loving v. Virginia</w:t>
      </w:r>
      <w:r w:rsidRPr="0078200F">
        <w:rPr>
          <w:lang w:val="en-US"/>
        </w:rPr>
        <w:t>, 388 U.S. 1, 12 (1967)</w:t>
      </w:r>
      <w:r>
        <w:rPr>
          <w:lang w:val="en-US"/>
        </w:rPr>
        <w:t>. In</w:t>
      </w:r>
      <w:r w:rsidRPr="0078200F">
        <w:rPr>
          <w:lang w:val="en-US"/>
        </w:rPr>
        <w:t xml:space="preserve"> </w:t>
      </w:r>
      <w:r w:rsidRPr="00B45592">
        <w:rPr>
          <w:i/>
          <w:lang w:val="en-US"/>
        </w:rPr>
        <w:t>Boddie v. Connecticut</w:t>
      </w:r>
      <w:r w:rsidRPr="0078200F">
        <w:rPr>
          <w:lang w:val="en-US"/>
        </w:rPr>
        <w:t>, 401 U.S. 371 (1971)</w:t>
      </w:r>
      <w:r>
        <w:rPr>
          <w:lang w:val="en-US"/>
        </w:rPr>
        <w:t xml:space="preserve">; </w:t>
      </w:r>
      <w:r w:rsidRPr="00584023">
        <w:rPr>
          <w:i/>
          <w:lang w:val="en-US"/>
        </w:rPr>
        <w:t>Sosna v. Iowa</w:t>
      </w:r>
      <w:r w:rsidRPr="0078200F">
        <w:rPr>
          <w:lang w:val="en-US"/>
        </w:rPr>
        <w:t>, 419 U.S. 393, 420</w:t>
      </w:r>
      <w:r w:rsidRPr="003B741A">
        <w:rPr>
          <w:lang w:val="en-US"/>
        </w:rPr>
        <w:t xml:space="preserve"> = 95 S. Ct. </w:t>
      </w:r>
      <w:r w:rsidRPr="0078200F">
        <w:rPr>
          <w:lang w:val="en-US"/>
        </w:rPr>
        <w:t>553, 567</w:t>
      </w:r>
      <w:r w:rsidRPr="003B741A">
        <w:rPr>
          <w:lang w:val="en-US"/>
        </w:rPr>
        <w:t xml:space="preserve"> = 42 L. Ed. </w:t>
      </w:r>
      <w:r w:rsidRPr="0078200F">
        <w:rPr>
          <w:lang w:val="en-US"/>
        </w:rPr>
        <w:t>2d 532, 552</w:t>
      </w:r>
      <w:r>
        <w:rPr>
          <w:lang w:val="en-US"/>
        </w:rPr>
        <w:t>–</w:t>
      </w:r>
      <w:r w:rsidRPr="0078200F">
        <w:rPr>
          <w:lang w:val="en-US"/>
        </w:rPr>
        <w:t>553</w:t>
      </w:r>
      <w:r w:rsidRPr="003B741A">
        <w:rPr>
          <w:lang w:val="en-US"/>
        </w:rPr>
        <w:t xml:space="preserve"> = 1975 U.S. LEXIS </w:t>
      </w:r>
      <w:r w:rsidRPr="0078200F">
        <w:rPr>
          <w:lang w:val="en-US"/>
        </w:rPr>
        <w:t>19, 49</w:t>
      </w:r>
      <w:r w:rsidRPr="003B741A">
        <w:rPr>
          <w:lang w:val="en-US"/>
        </w:rPr>
        <w:t xml:space="preserve"> = 19 Fed. R. Serv. </w:t>
      </w:r>
      <w:r w:rsidRPr="0078200F">
        <w:rPr>
          <w:lang w:val="en-US"/>
        </w:rPr>
        <w:t>2d (Callaghan) 925 (1975)</w:t>
      </w:r>
      <w:r>
        <w:rPr>
          <w:lang w:val="en-US"/>
        </w:rPr>
        <w:t>.</w:t>
      </w:r>
    </w:p>
  </w:footnote>
  <w:footnote w:id="1993">
    <w:p w14:paraId="6ED6DC5D"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35CD0">
        <w:rPr>
          <w:i/>
          <w:lang w:val="en-US"/>
        </w:rPr>
        <w:t>Bute v. Illinois</w:t>
      </w:r>
      <w:r w:rsidRPr="007E70BF">
        <w:rPr>
          <w:lang w:val="en-US"/>
        </w:rPr>
        <w:t>, 333 U.S. 640, 651</w:t>
      </w:r>
      <w:r w:rsidRPr="006E67FE">
        <w:rPr>
          <w:lang w:val="en-US"/>
        </w:rPr>
        <w:t xml:space="preserve"> = 68 S. Ct. </w:t>
      </w:r>
      <w:r w:rsidRPr="007E70BF">
        <w:rPr>
          <w:lang w:val="en-US"/>
        </w:rPr>
        <w:t>763, 769</w:t>
      </w:r>
      <w:r w:rsidRPr="006E67FE">
        <w:rPr>
          <w:lang w:val="en-US"/>
        </w:rPr>
        <w:t xml:space="preserve"> = 92 L. Ed. </w:t>
      </w:r>
      <w:r w:rsidRPr="007E70BF">
        <w:rPr>
          <w:lang w:val="en-US"/>
        </w:rPr>
        <w:t>986, 993</w:t>
      </w:r>
      <w:r w:rsidRPr="006E67FE">
        <w:rPr>
          <w:lang w:val="en-US"/>
        </w:rPr>
        <w:t xml:space="preserve"> = 1948 U.S. LEXIS </w:t>
      </w:r>
      <w:r w:rsidRPr="007E70BF">
        <w:rPr>
          <w:lang w:val="en-US"/>
        </w:rPr>
        <w:t>2290, 19 (1948)</w:t>
      </w:r>
      <w:r>
        <w:rPr>
          <w:lang w:val="en-US"/>
        </w:rPr>
        <w:t>.</w:t>
      </w:r>
    </w:p>
  </w:footnote>
  <w:footnote w:id="1994">
    <w:p w14:paraId="43D0D4F2"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35CD0">
        <w:rPr>
          <w:i/>
          <w:lang w:val="en-US"/>
        </w:rPr>
        <w:t>Bute v. Illinois</w:t>
      </w:r>
      <w:r w:rsidRPr="007E70BF">
        <w:rPr>
          <w:lang w:val="en-US"/>
        </w:rPr>
        <w:t>, 333 U.S. 640, 651</w:t>
      </w:r>
      <w:r w:rsidRPr="006E67FE">
        <w:rPr>
          <w:lang w:val="en-US"/>
        </w:rPr>
        <w:t xml:space="preserve"> = 68 S. Ct. </w:t>
      </w:r>
      <w:r w:rsidRPr="007E70BF">
        <w:rPr>
          <w:lang w:val="en-US"/>
        </w:rPr>
        <w:t>763, 769</w:t>
      </w:r>
      <w:r w:rsidRPr="006E67FE">
        <w:rPr>
          <w:lang w:val="en-US"/>
        </w:rPr>
        <w:t xml:space="preserve"> = 92 L. Ed. </w:t>
      </w:r>
      <w:r w:rsidRPr="007E70BF">
        <w:rPr>
          <w:lang w:val="en-US"/>
        </w:rPr>
        <w:t>986, 993</w:t>
      </w:r>
      <w:r w:rsidRPr="006E67FE">
        <w:rPr>
          <w:lang w:val="en-US"/>
        </w:rPr>
        <w:t xml:space="preserve"> = 1948 U.S. LEXIS </w:t>
      </w:r>
      <w:r w:rsidRPr="007E70BF">
        <w:rPr>
          <w:lang w:val="en-US"/>
        </w:rPr>
        <w:t>2290, 19 (1948)</w:t>
      </w:r>
      <w:r>
        <w:rPr>
          <w:lang w:val="en-US"/>
        </w:rPr>
        <w:t>.</w:t>
      </w:r>
    </w:p>
  </w:footnote>
  <w:footnote w:id="1995">
    <w:p w14:paraId="3D8616D0"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45592">
        <w:rPr>
          <w:i/>
          <w:lang w:val="en-US"/>
        </w:rPr>
        <w:t>USCS Federal Rule of Criminal Procedure 44</w:t>
      </w:r>
      <w:r>
        <w:rPr>
          <w:lang w:val="en-US"/>
        </w:rPr>
        <w:t>: „</w:t>
      </w:r>
      <w:r w:rsidRPr="007E70BF">
        <w:rPr>
          <w:lang w:val="en-US"/>
        </w:rPr>
        <w:t>(a) Right to Appointed Counsel. A defendant who is unable to obtain counsel is entitled to have counsel appointed to represent the defendant at every stage of the proceeding from initial appearance through appeal, unless the defendant waives this right.</w:t>
      </w:r>
      <w:r>
        <w:rPr>
          <w:lang w:val="en-US"/>
        </w:rPr>
        <w:t xml:space="preserve"> </w:t>
      </w:r>
      <w:r w:rsidRPr="007E70BF">
        <w:rPr>
          <w:lang w:val="en-US"/>
        </w:rPr>
        <w:t>(b) Appointment Procedure. Federal law and local court rules govern the procedure for implementing the right to counsel.</w:t>
      </w:r>
      <w:r>
        <w:rPr>
          <w:lang w:val="en-US"/>
        </w:rPr>
        <w:t xml:space="preserve"> </w:t>
      </w:r>
      <w:r w:rsidRPr="007E70BF">
        <w:rPr>
          <w:lang w:val="en-US"/>
        </w:rPr>
        <w:t>(c) Inquiry Into Joint Representation.</w:t>
      </w:r>
      <w:r>
        <w:rPr>
          <w:lang w:val="en-US"/>
        </w:rPr>
        <w:t xml:space="preserve"> </w:t>
      </w:r>
      <w:r w:rsidRPr="007E70BF">
        <w:rPr>
          <w:lang w:val="en-US"/>
        </w:rPr>
        <w:t>(1) Joint Representation. Joint representation occurs when:</w:t>
      </w:r>
      <w:r>
        <w:rPr>
          <w:lang w:val="en-US"/>
        </w:rPr>
        <w:t xml:space="preserve"> </w:t>
      </w:r>
      <w:r w:rsidRPr="007E70BF">
        <w:rPr>
          <w:lang w:val="en-US"/>
        </w:rPr>
        <w:t>(A) two or more defendants have been charged jointly under Rule 8(b) or have been joined for trial under Rule 13; and</w:t>
      </w:r>
      <w:r>
        <w:rPr>
          <w:lang w:val="en-US"/>
        </w:rPr>
        <w:t xml:space="preserve"> </w:t>
      </w:r>
      <w:r w:rsidRPr="007E70BF">
        <w:rPr>
          <w:lang w:val="en-US"/>
        </w:rPr>
        <w:t>(B) the defendants are represented by the same counsel, or counsel who are associated in law practice.</w:t>
      </w:r>
      <w:r>
        <w:rPr>
          <w:lang w:val="en-US"/>
        </w:rPr>
        <w:t xml:space="preserve"> </w:t>
      </w:r>
      <w:r w:rsidRPr="007E70BF">
        <w:rPr>
          <w:lang w:val="en-US"/>
        </w:rPr>
        <w:t>(2) Court</w:t>
      </w:r>
      <w:r>
        <w:rPr>
          <w:lang w:val="en-US"/>
        </w:rPr>
        <w:t>’</w:t>
      </w:r>
      <w:r w:rsidRPr="007E70BF">
        <w:rPr>
          <w:lang w:val="en-US"/>
        </w:rPr>
        <w:t>s Responsibilities in Cases of Joint Representation. The court must promptly inquire about the propriety of joint representation and must personally advise each defendant of the right to the effective assistance of counsel, including separate representation. Unless there is good cause to believe that no conflict of interest is likely to arise, the court must take appropriate measures to protect each defendant</w:t>
      </w:r>
      <w:r>
        <w:rPr>
          <w:lang w:val="en-US"/>
        </w:rPr>
        <w:t>’</w:t>
      </w:r>
      <w:r w:rsidRPr="007E70BF">
        <w:rPr>
          <w:lang w:val="en-US"/>
        </w:rPr>
        <w:t xml:space="preserve">s right to </w:t>
      </w:r>
      <w:proofErr w:type="gramStart"/>
      <w:r w:rsidRPr="007E70BF">
        <w:rPr>
          <w:lang w:val="en-US"/>
        </w:rPr>
        <w:t>counsel</w:t>
      </w:r>
      <w:r>
        <w:rPr>
          <w:lang w:val="en-US"/>
        </w:rPr>
        <w:t>.“</w:t>
      </w:r>
      <w:proofErr w:type="gramEnd"/>
    </w:p>
  </w:footnote>
  <w:footnote w:id="1996">
    <w:p w14:paraId="5C260DAA"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35CD0">
        <w:rPr>
          <w:i/>
          <w:lang w:val="en-US"/>
        </w:rPr>
        <w:t>Bute v. Illinois</w:t>
      </w:r>
      <w:r w:rsidRPr="007E70BF">
        <w:rPr>
          <w:lang w:val="en-US"/>
        </w:rPr>
        <w:t>, 333 U.S. 640, 663</w:t>
      </w:r>
      <w:r w:rsidRPr="006E67FE">
        <w:rPr>
          <w:lang w:val="en-US"/>
        </w:rPr>
        <w:t xml:space="preserve"> = 68 S. Ct. </w:t>
      </w:r>
      <w:r w:rsidRPr="007E70BF">
        <w:rPr>
          <w:lang w:val="en-US"/>
        </w:rPr>
        <w:t>763, 775</w:t>
      </w:r>
      <w:r w:rsidRPr="006E67FE">
        <w:rPr>
          <w:lang w:val="en-US"/>
        </w:rPr>
        <w:t xml:space="preserve"> = 92 L. Ed. </w:t>
      </w:r>
      <w:r w:rsidRPr="007E70BF">
        <w:rPr>
          <w:lang w:val="en-US"/>
        </w:rPr>
        <w:t>986, 999</w:t>
      </w:r>
      <w:r w:rsidRPr="006E67FE">
        <w:rPr>
          <w:lang w:val="en-US"/>
        </w:rPr>
        <w:t xml:space="preserve"> = 1948 U.S. LEXIS </w:t>
      </w:r>
      <w:r w:rsidRPr="007E70BF">
        <w:rPr>
          <w:lang w:val="en-US"/>
        </w:rPr>
        <w:t>2290, 37 (1948)</w:t>
      </w:r>
      <w:r>
        <w:rPr>
          <w:lang w:val="en-US"/>
        </w:rPr>
        <w:t>.</w:t>
      </w:r>
    </w:p>
  </w:footnote>
  <w:footnote w:id="1997">
    <w:p w14:paraId="3AE7265F"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45592">
        <w:rPr>
          <w:i/>
          <w:lang w:val="en-US"/>
        </w:rPr>
        <w:t>Hebert v. Louisiana</w:t>
      </w:r>
      <w:r w:rsidRPr="007E70BF">
        <w:rPr>
          <w:lang w:val="en-US"/>
        </w:rPr>
        <w:t>, 272 U.S. 312</w:t>
      </w:r>
      <w:r>
        <w:rPr>
          <w:lang w:val="en-US"/>
        </w:rPr>
        <w:t xml:space="preserve">, </w:t>
      </w:r>
      <w:r w:rsidRPr="007E70BF">
        <w:rPr>
          <w:lang w:val="en-US"/>
        </w:rPr>
        <w:t>316</w:t>
      </w:r>
      <w:r>
        <w:rPr>
          <w:lang w:val="en-US"/>
        </w:rPr>
        <w:t xml:space="preserve">; </w:t>
      </w:r>
      <w:r w:rsidRPr="00B35CD0">
        <w:rPr>
          <w:i/>
          <w:lang w:val="en-US"/>
        </w:rPr>
        <w:t>Bute v. Illinois</w:t>
      </w:r>
      <w:r w:rsidRPr="007E70BF">
        <w:rPr>
          <w:lang w:val="en-US"/>
        </w:rPr>
        <w:t>, 333 U.S. 640, 649</w:t>
      </w:r>
      <w:r w:rsidRPr="006E67FE">
        <w:rPr>
          <w:lang w:val="en-US"/>
        </w:rPr>
        <w:t xml:space="preserve"> = 68 S. Ct. </w:t>
      </w:r>
      <w:r w:rsidRPr="007E70BF">
        <w:rPr>
          <w:lang w:val="en-US"/>
        </w:rPr>
        <w:t>763, 768</w:t>
      </w:r>
      <w:r w:rsidRPr="006E67FE">
        <w:rPr>
          <w:lang w:val="en-US"/>
        </w:rPr>
        <w:t xml:space="preserve"> = 92 L. Ed. </w:t>
      </w:r>
      <w:r w:rsidRPr="007E70BF">
        <w:rPr>
          <w:lang w:val="en-US"/>
        </w:rPr>
        <w:t>986, 992</w:t>
      </w:r>
      <w:r w:rsidRPr="006E67FE">
        <w:rPr>
          <w:lang w:val="en-US"/>
        </w:rPr>
        <w:t xml:space="preserve"> = 1948 U.S. LEXIS </w:t>
      </w:r>
      <w:r w:rsidRPr="007E70BF">
        <w:rPr>
          <w:lang w:val="en-US"/>
        </w:rPr>
        <w:t>2290, 17 (1948)</w:t>
      </w:r>
      <w:r>
        <w:rPr>
          <w:lang w:val="en-US"/>
        </w:rPr>
        <w:t>.</w:t>
      </w:r>
    </w:p>
  </w:footnote>
  <w:footnote w:id="1998">
    <w:p w14:paraId="50B7EEC4"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45592">
        <w:rPr>
          <w:i/>
          <w:lang w:val="en-US"/>
        </w:rPr>
        <w:t>Hebert v. Louisiana</w:t>
      </w:r>
      <w:r w:rsidRPr="007E70BF">
        <w:rPr>
          <w:lang w:val="en-US"/>
        </w:rPr>
        <w:t>, 272 U.S. 312, 316</w:t>
      </w:r>
      <w:r>
        <w:rPr>
          <w:lang w:val="en-US"/>
        </w:rPr>
        <w:t>–</w:t>
      </w:r>
      <w:r w:rsidRPr="007E70BF">
        <w:rPr>
          <w:lang w:val="en-US"/>
        </w:rPr>
        <w:t>317</w:t>
      </w:r>
      <w:r>
        <w:rPr>
          <w:lang w:val="en-US"/>
        </w:rPr>
        <w:t xml:space="preserve">; </w:t>
      </w:r>
      <w:r w:rsidRPr="00B35CD0">
        <w:rPr>
          <w:i/>
          <w:lang w:val="en-US"/>
        </w:rPr>
        <w:t>Bute v. Illinois</w:t>
      </w:r>
      <w:r w:rsidRPr="007E70BF">
        <w:rPr>
          <w:lang w:val="en-US"/>
        </w:rPr>
        <w:t>, 333 U.S. 640, 648</w:t>
      </w:r>
      <w:r w:rsidRPr="006E67FE">
        <w:rPr>
          <w:lang w:val="en-US"/>
        </w:rPr>
        <w:t xml:space="preserve"> = 68 S. Ct. </w:t>
      </w:r>
      <w:r w:rsidRPr="007E70BF">
        <w:rPr>
          <w:lang w:val="en-US"/>
        </w:rPr>
        <w:t>763, 768</w:t>
      </w:r>
      <w:r w:rsidRPr="006E67FE">
        <w:rPr>
          <w:lang w:val="en-US"/>
        </w:rPr>
        <w:t xml:space="preserve"> = 92 L. Ed. </w:t>
      </w:r>
      <w:r w:rsidRPr="007E70BF">
        <w:rPr>
          <w:lang w:val="en-US"/>
        </w:rPr>
        <w:t>986, 991</w:t>
      </w:r>
      <w:r w:rsidRPr="006E67FE">
        <w:rPr>
          <w:lang w:val="en-US"/>
        </w:rPr>
        <w:t xml:space="preserve"> = 1948 U.S. LEXIS </w:t>
      </w:r>
      <w:r w:rsidRPr="007E70BF">
        <w:rPr>
          <w:lang w:val="en-US"/>
        </w:rPr>
        <w:t>2290, 16 (1948)</w:t>
      </w:r>
    </w:p>
  </w:footnote>
  <w:footnote w:id="1999">
    <w:p w14:paraId="3B4FB064" w14:textId="77777777" w:rsidR="00074551" w:rsidRPr="007E70BF" w:rsidRDefault="00074551" w:rsidP="00074551">
      <w:pPr>
        <w:pStyle w:val="Funotentext"/>
        <w:rPr>
          <w:lang w:val="en-US"/>
        </w:rPr>
      </w:pPr>
      <w:r>
        <w:rPr>
          <w:rStyle w:val="Funotenzeichen"/>
          <w:rFonts w:eastAsiaTheme="majorEastAsia"/>
        </w:rPr>
        <w:footnoteRef/>
      </w:r>
      <w:r w:rsidRPr="007E70BF">
        <w:rPr>
          <w:lang w:val="en-US"/>
        </w:rPr>
        <w:t xml:space="preserve"> </w:t>
      </w:r>
      <w:r w:rsidRPr="00B35CD0">
        <w:rPr>
          <w:i/>
          <w:lang w:val="en-US"/>
        </w:rPr>
        <w:t>Bute v. Illinois</w:t>
      </w:r>
      <w:r w:rsidRPr="007E70BF">
        <w:rPr>
          <w:lang w:val="en-US"/>
        </w:rPr>
        <w:t>, 333 U.S. 640, 651</w:t>
      </w:r>
      <w:r w:rsidRPr="006E67FE">
        <w:rPr>
          <w:lang w:val="en-US"/>
        </w:rPr>
        <w:t xml:space="preserve"> = 68 S. Ct. </w:t>
      </w:r>
      <w:r w:rsidRPr="007E70BF">
        <w:rPr>
          <w:lang w:val="en-US"/>
        </w:rPr>
        <w:t>763, 769</w:t>
      </w:r>
      <w:r w:rsidRPr="006E67FE">
        <w:rPr>
          <w:lang w:val="en-US"/>
        </w:rPr>
        <w:t xml:space="preserve"> = 92 L. Ed. </w:t>
      </w:r>
      <w:r w:rsidRPr="007E70BF">
        <w:rPr>
          <w:lang w:val="en-US"/>
        </w:rPr>
        <w:t>986, 993</w:t>
      </w:r>
      <w:r w:rsidRPr="006E67FE">
        <w:rPr>
          <w:lang w:val="en-US"/>
        </w:rPr>
        <w:t xml:space="preserve"> = 1948 U.S. LEXIS </w:t>
      </w:r>
      <w:r w:rsidRPr="007E70BF">
        <w:rPr>
          <w:lang w:val="en-US"/>
        </w:rPr>
        <w:t>2290, 19 (1948)</w:t>
      </w:r>
      <w:r>
        <w:rPr>
          <w:lang w:val="en-US"/>
        </w:rPr>
        <w:t>.</w:t>
      </w:r>
    </w:p>
  </w:footnote>
  <w:footnote w:id="2000">
    <w:p w14:paraId="7918738C" w14:textId="77777777" w:rsidR="003B5AC8" w:rsidRPr="0096433C" w:rsidRDefault="003B5AC8" w:rsidP="003B5AC8">
      <w:pPr>
        <w:pStyle w:val="Funotentext"/>
        <w:rPr>
          <w:lang w:val="en-US"/>
        </w:rPr>
      </w:pPr>
      <w:r>
        <w:rPr>
          <w:rStyle w:val="Funotenzeichen"/>
          <w:rFonts w:eastAsiaTheme="majorEastAsia"/>
        </w:rPr>
        <w:footnoteRef/>
      </w:r>
      <w:r w:rsidRPr="0096433C">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96433C">
        <w:rPr>
          <w:lang w:val="en-US"/>
        </w:rPr>
        <w:t>, 497 U.S. 261, 282</w:t>
      </w:r>
      <w:r>
        <w:rPr>
          <w:lang w:val="en-US"/>
        </w:rPr>
        <w:t xml:space="preserve"> = 110 S. Ct</w:t>
      </w:r>
      <w:r w:rsidRPr="0096433C">
        <w:rPr>
          <w:lang w:val="en-US"/>
        </w:rPr>
        <w:t>. 2841, 2853</w:t>
      </w:r>
      <w:r>
        <w:rPr>
          <w:lang w:val="en-US"/>
        </w:rPr>
        <w:t xml:space="preserve"> = 111 L. Ed. </w:t>
      </w:r>
      <w:r w:rsidRPr="0096433C">
        <w:rPr>
          <w:lang w:val="en-US"/>
        </w:rPr>
        <w:t>2d 224, 244</w:t>
      </w:r>
      <w:r>
        <w:rPr>
          <w:lang w:val="en-US"/>
        </w:rPr>
        <w:t xml:space="preserve"> = 1990 U.S. LEXIS </w:t>
      </w:r>
      <w:r w:rsidRPr="0096433C">
        <w:rPr>
          <w:lang w:val="en-US"/>
        </w:rPr>
        <w:t>3301, 39</w:t>
      </w:r>
      <w:r>
        <w:rPr>
          <w:lang w:val="en-US"/>
        </w:rPr>
        <w:t xml:space="preserve"> = 58 U.S.L.W. </w:t>
      </w:r>
      <w:r w:rsidRPr="0096433C">
        <w:rPr>
          <w:lang w:val="en-US"/>
        </w:rPr>
        <w:t>4916 (1990)</w:t>
      </w:r>
      <w:r>
        <w:rPr>
          <w:lang w:val="en-US"/>
        </w:rPr>
        <w:t>.</w:t>
      </w:r>
    </w:p>
  </w:footnote>
  <w:footnote w:id="2001">
    <w:p w14:paraId="4566E6F0" w14:textId="77777777" w:rsidR="003B5AC8" w:rsidRPr="0096433C" w:rsidRDefault="003B5AC8" w:rsidP="003B5AC8">
      <w:pPr>
        <w:pStyle w:val="Funotentext"/>
        <w:rPr>
          <w:lang w:val="en-US"/>
        </w:rPr>
      </w:pPr>
      <w:r>
        <w:rPr>
          <w:rStyle w:val="Funotenzeichen"/>
          <w:rFonts w:eastAsiaTheme="majorEastAsia"/>
        </w:rPr>
        <w:footnoteRef/>
      </w:r>
      <w:r w:rsidRPr="0096433C">
        <w:rPr>
          <w:lang w:val="en-US"/>
        </w:rPr>
        <w:t xml:space="preserve"> </w:t>
      </w:r>
      <w:r w:rsidRPr="00B45592">
        <w:rPr>
          <w:i/>
          <w:lang w:val="en-US"/>
        </w:rPr>
        <w:t>Addington v. Texas</w:t>
      </w:r>
      <w:r w:rsidRPr="00E47138">
        <w:rPr>
          <w:lang w:val="en-US"/>
        </w:rPr>
        <w:t>, 441 U.S. 418, 423</w:t>
      </w:r>
      <w:r w:rsidRPr="00B45592">
        <w:rPr>
          <w:lang w:val="en-US"/>
        </w:rPr>
        <w:t xml:space="preserve"> = 60 L. Ed. </w:t>
      </w:r>
      <w:r w:rsidRPr="00E47138">
        <w:rPr>
          <w:lang w:val="en-US"/>
        </w:rPr>
        <w:t>2d 323</w:t>
      </w:r>
      <w:r w:rsidRPr="00B45592">
        <w:rPr>
          <w:lang w:val="en-US"/>
        </w:rPr>
        <w:t xml:space="preserve"> = 99 S. Ct. </w:t>
      </w:r>
      <w:r w:rsidRPr="00E47138">
        <w:rPr>
          <w:lang w:val="en-US"/>
        </w:rPr>
        <w:t>1804 (1979)</w:t>
      </w:r>
      <w:r>
        <w:rPr>
          <w:lang w:val="en-US"/>
        </w:rPr>
        <w:t xml:space="preserve">, </w:t>
      </w:r>
      <w:proofErr w:type="spellStart"/>
      <w:r w:rsidRPr="00B45592">
        <w:rPr>
          <w:lang w:val="en-US"/>
        </w:rPr>
        <w:t>zitierend</w:t>
      </w:r>
      <w:proofErr w:type="spellEnd"/>
      <w:r w:rsidRPr="00B45592">
        <w:rPr>
          <w:lang w:val="en-US"/>
        </w:rPr>
        <w:t xml:space="preserve"> </w:t>
      </w:r>
      <w:proofErr w:type="spellStart"/>
      <w:r w:rsidRPr="00B45592">
        <w:rPr>
          <w:lang w:val="en-US"/>
        </w:rPr>
        <w:t>aus</w:t>
      </w:r>
      <w:proofErr w:type="spellEnd"/>
      <w:r w:rsidRPr="00E47138">
        <w:rPr>
          <w:lang w:val="en-US"/>
        </w:rPr>
        <w:t xml:space="preserve"> </w:t>
      </w:r>
      <w:r w:rsidRPr="00B45592">
        <w:rPr>
          <w:i/>
          <w:lang w:val="en-US"/>
        </w:rPr>
        <w:t>In re Winship</w:t>
      </w:r>
      <w:r w:rsidRPr="00E47138">
        <w:rPr>
          <w:lang w:val="en-US"/>
        </w:rPr>
        <w:t>, 397 U.S. 358, 370</w:t>
      </w:r>
      <w:r w:rsidRPr="002535FA">
        <w:rPr>
          <w:lang w:val="en-US"/>
        </w:rPr>
        <w:t xml:space="preserve"> = 25 L. Ed. 2d 368 = 90 S. Ct. 1068 </w:t>
      </w:r>
      <w:r>
        <w:rPr>
          <w:lang w:val="en-US"/>
        </w:rPr>
        <w:t>(</w:t>
      </w:r>
      <w:r w:rsidRPr="002535FA">
        <w:rPr>
          <w:lang w:val="en-US"/>
        </w:rPr>
        <w:t>1970</w:t>
      </w:r>
      <w:r>
        <w:rPr>
          <w:lang w:val="en-US"/>
        </w:rPr>
        <w:t>)</w:t>
      </w:r>
      <w:r w:rsidRPr="002535FA">
        <w:rPr>
          <w:lang w:val="en-US"/>
        </w:rPr>
        <w:t xml:space="preserve"> </w:t>
      </w:r>
      <w:r w:rsidRPr="00B45592">
        <w:rPr>
          <w:lang w:val="en-US"/>
        </w:rPr>
        <w:t>(</w:t>
      </w:r>
      <w:r w:rsidRPr="00B45592">
        <w:rPr>
          <w:i/>
          <w:lang w:val="en-US"/>
        </w:rPr>
        <w:t>concurring opinion</w:t>
      </w:r>
      <w:r w:rsidRPr="00B45592">
        <w:rPr>
          <w:lang w:val="en-US"/>
        </w:rPr>
        <w:t xml:space="preserve"> von Richter </w:t>
      </w:r>
      <w:r w:rsidRPr="00B45592">
        <w:rPr>
          <w:i/>
          <w:lang w:val="en-US"/>
        </w:rPr>
        <w:t>Harlan</w:t>
      </w:r>
      <w:r w:rsidRPr="00E466E0">
        <w:rPr>
          <w:lang w:val="en-US"/>
        </w:rPr>
        <w:t>);</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96433C">
        <w:rPr>
          <w:lang w:val="en-US"/>
        </w:rPr>
        <w:t>, 497 U.S. 261, 282</w:t>
      </w:r>
      <w:r>
        <w:rPr>
          <w:lang w:val="en-US"/>
        </w:rPr>
        <w:t xml:space="preserve"> = 110 S. Ct</w:t>
      </w:r>
      <w:r w:rsidRPr="0096433C">
        <w:rPr>
          <w:lang w:val="en-US"/>
        </w:rPr>
        <w:t>. 2841, 2853</w:t>
      </w:r>
      <w:r>
        <w:rPr>
          <w:lang w:val="en-US"/>
        </w:rPr>
        <w:t xml:space="preserve"> = 111 L. Ed. </w:t>
      </w:r>
      <w:r w:rsidRPr="0096433C">
        <w:rPr>
          <w:lang w:val="en-US"/>
        </w:rPr>
        <w:t>2d 224, 244</w:t>
      </w:r>
      <w:r>
        <w:rPr>
          <w:lang w:val="en-US"/>
        </w:rPr>
        <w:t xml:space="preserve"> = 1990 U.S. LEXIS </w:t>
      </w:r>
      <w:r w:rsidRPr="0096433C">
        <w:rPr>
          <w:lang w:val="en-US"/>
        </w:rPr>
        <w:t>3301, 39</w:t>
      </w:r>
      <w:r>
        <w:rPr>
          <w:lang w:val="en-US"/>
        </w:rPr>
        <w:t xml:space="preserve"> = 58 U.S.L.W. </w:t>
      </w:r>
      <w:r w:rsidRPr="0096433C">
        <w:rPr>
          <w:lang w:val="en-US"/>
        </w:rPr>
        <w:t>4916 (1990)</w:t>
      </w:r>
      <w:r>
        <w:rPr>
          <w:lang w:val="en-US"/>
        </w:rPr>
        <w:t>.</w:t>
      </w:r>
    </w:p>
  </w:footnote>
  <w:footnote w:id="2002">
    <w:p w14:paraId="1EF610D2" w14:textId="77777777" w:rsidR="003B5AC8" w:rsidRPr="0096433C" w:rsidRDefault="003B5AC8" w:rsidP="003B5AC8">
      <w:pPr>
        <w:pStyle w:val="Funotentext"/>
        <w:rPr>
          <w:lang w:val="en-US"/>
        </w:rPr>
      </w:pPr>
      <w:r w:rsidRPr="00E47138">
        <w:rPr>
          <w:rStyle w:val="Funotenzeichen"/>
          <w:rFonts w:eastAsiaTheme="majorEastAsia"/>
        </w:rPr>
        <w:footnoteRef/>
      </w:r>
      <w:r w:rsidRPr="00E47138">
        <w:rPr>
          <w:lang w:val="en-US"/>
        </w:rPr>
        <w:t xml:space="preserve"> </w:t>
      </w:r>
      <w:r w:rsidRPr="00B45592">
        <w:rPr>
          <w:i/>
          <w:lang w:val="en-US"/>
        </w:rPr>
        <w:t>Addington v. Texas</w:t>
      </w:r>
      <w:r w:rsidRPr="00E47138">
        <w:rPr>
          <w:lang w:val="en-US"/>
        </w:rPr>
        <w:t>, 441 U.S. 418, 423</w:t>
      </w:r>
      <w:r w:rsidRPr="00B45592">
        <w:rPr>
          <w:lang w:val="en-US"/>
        </w:rPr>
        <w:t xml:space="preserve"> = 60 L. Ed. </w:t>
      </w:r>
      <w:r w:rsidRPr="00E47138">
        <w:rPr>
          <w:lang w:val="en-US"/>
        </w:rPr>
        <w:t>2d 323</w:t>
      </w:r>
      <w:r w:rsidRPr="00B45592">
        <w:rPr>
          <w:lang w:val="en-US"/>
        </w:rPr>
        <w:t xml:space="preserve"> = 99 S. Ct. </w:t>
      </w:r>
      <w:r w:rsidRPr="00E47138">
        <w:rPr>
          <w:lang w:val="en-US"/>
        </w:rPr>
        <w:t>1804 (1979) (</w:t>
      </w:r>
      <w:proofErr w:type="spellStart"/>
      <w:r w:rsidRPr="00A81CB3">
        <w:rPr>
          <w:lang w:val="en-US"/>
        </w:rPr>
        <w:t>zitierend</w:t>
      </w:r>
      <w:proofErr w:type="spellEnd"/>
      <w:r w:rsidRPr="00A81CB3">
        <w:rPr>
          <w:lang w:val="en-US"/>
        </w:rPr>
        <w:t xml:space="preserve"> </w:t>
      </w:r>
      <w:proofErr w:type="spellStart"/>
      <w:r w:rsidRPr="00A81CB3">
        <w:rPr>
          <w:lang w:val="en-US"/>
        </w:rPr>
        <w:t>aus</w:t>
      </w:r>
      <w:proofErr w:type="spellEnd"/>
      <w:r w:rsidRPr="00A81CB3">
        <w:rPr>
          <w:lang w:val="en-US"/>
        </w:rPr>
        <w:t xml:space="preserve"> </w:t>
      </w:r>
      <w:r w:rsidRPr="00B45592">
        <w:rPr>
          <w:i/>
          <w:lang w:val="en-US"/>
        </w:rPr>
        <w:t>In re Winship</w:t>
      </w:r>
      <w:r w:rsidRPr="002535FA">
        <w:rPr>
          <w:lang w:val="en-US"/>
        </w:rPr>
        <w:t xml:space="preserve">, 397 U.S. 358, 370 = 25 L. Ed. 2d 368 = 90 S. Ct. 1068 </w:t>
      </w:r>
      <w:r>
        <w:rPr>
          <w:lang w:val="en-US"/>
        </w:rPr>
        <w:t>(</w:t>
      </w:r>
      <w:r w:rsidRPr="002535FA">
        <w:rPr>
          <w:lang w:val="en-US"/>
        </w:rPr>
        <w:t>1970</w:t>
      </w:r>
      <w:r>
        <w:rPr>
          <w:lang w:val="en-US"/>
        </w:rPr>
        <w:t>)</w:t>
      </w:r>
      <w:r w:rsidRPr="002535FA">
        <w:rPr>
          <w:lang w:val="en-US"/>
        </w:rPr>
        <w:t xml:space="preserve"> </w:t>
      </w:r>
      <w:r w:rsidRPr="00744667">
        <w:rPr>
          <w:lang w:val="en-US"/>
        </w:rPr>
        <w:t xml:space="preserve">(concurring opinion von Richter </w:t>
      </w:r>
      <w:r w:rsidRPr="00B45592">
        <w:rPr>
          <w:i/>
          <w:lang w:val="en-US"/>
        </w:rPr>
        <w:t>Harlan</w:t>
      </w:r>
      <w:r w:rsidRPr="00744667">
        <w:rPr>
          <w:lang w:val="en-US"/>
        </w:rPr>
        <w:t>)</w:t>
      </w:r>
      <w:r>
        <w:rPr>
          <w:lang w:val="en-US"/>
        </w:rPr>
        <w:t>;</w:t>
      </w:r>
      <w:r w:rsidRPr="002535FA" w:rsidDel="002535FA">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96433C">
        <w:rPr>
          <w:lang w:val="en-US"/>
        </w:rPr>
        <w:t>, 497 U.S. 261, 282</w:t>
      </w:r>
      <w:r>
        <w:rPr>
          <w:lang w:val="en-US"/>
        </w:rPr>
        <w:t xml:space="preserve"> = 110 S. Ct</w:t>
      </w:r>
      <w:r w:rsidRPr="0096433C">
        <w:rPr>
          <w:lang w:val="en-US"/>
        </w:rPr>
        <w:t>. 2841, 2853</w:t>
      </w:r>
      <w:r>
        <w:rPr>
          <w:lang w:val="en-US"/>
        </w:rPr>
        <w:t xml:space="preserve"> = 111 L. Ed. </w:t>
      </w:r>
      <w:r w:rsidRPr="0096433C">
        <w:rPr>
          <w:lang w:val="en-US"/>
        </w:rPr>
        <w:t>2d 224, 244</w:t>
      </w:r>
      <w:r>
        <w:rPr>
          <w:lang w:val="en-US"/>
        </w:rPr>
        <w:t xml:space="preserve"> = 1990 U.S. LEXIS </w:t>
      </w:r>
      <w:r w:rsidRPr="0096433C">
        <w:rPr>
          <w:lang w:val="en-US"/>
        </w:rPr>
        <w:t>3301, 39</w:t>
      </w:r>
      <w:r>
        <w:rPr>
          <w:lang w:val="en-US"/>
        </w:rPr>
        <w:t xml:space="preserve"> = 58 U.S.L.W. </w:t>
      </w:r>
      <w:r w:rsidRPr="0096433C">
        <w:rPr>
          <w:lang w:val="en-US"/>
        </w:rPr>
        <w:t>4916 (1990)</w:t>
      </w:r>
      <w:r>
        <w:rPr>
          <w:lang w:val="en-US"/>
        </w:rPr>
        <w:t>.</w:t>
      </w:r>
    </w:p>
  </w:footnote>
  <w:footnote w:id="2003">
    <w:p w14:paraId="0201A832" w14:textId="77777777" w:rsidR="00074551" w:rsidRPr="0096433C" w:rsidRDefault="00074551" w:rsidP="00074551">
      <w:pPr>
        <w:pStyle w:val="Funotentext"/>
        <w:rPr>
          <w:lang w:val="en-US"/>
        </w:rPr>
      </w:pPr>
      <w:r>
        <w:rPr>
          <w:rStyle w:val="Funotenzeichen"/>
          <w:rFonts w:eastAsiaTheme="majorEastAsia"/>
        </w:rPr>
        <w:footnoteRef/>
      </w:r>
      <w:r w:rsidRPr="0096433C">
        <w:rPr>
          <w:lang w:val="en-US"/>
        </w:rPr>
        <w:t xml:space="preserve"> </w:t>
      </w:r>
      <w:proofErr w:type="spellStart"/>
      <w:r w:rsidRPr="00B45592">
        <w:rPr>
          <w:i/>
          <w:lang w:val="en-US"/>
        </w:rPr>
        <w:t>Santosky</w:t>
      </w:r>
      <w:proofErr w:type="spellEnd"/>
      <w:r w:rsidRPr="00B45592">
        <w:rPr>
          <w:i/>
          <w:lang w:val="en-US"/>
        </w:rPr>
        <w:t xml:space="preserve"> v. Kramer</w:t>
      </w:r>
      <w:r w:rsidRPr="0096433C">
        <w:rPr>
          <w:lang w:val="en-US"/>
        </w:rPr>
        <w:t>, 455 U.S. 745, 756</w:t>
      </w:r>
      <w:r>
        <w:rPr>
          <w:lang w:val="en-US"/>
        </w:rPr>
        <w:t xml:space="preserve"> = 71 L. Ed</w:t>
      </w:r>
      <w:r w:rsidRPr="0096433C">
        <w:rPr>
          <w:lang w:val="en-US"/>
        </w:rPr>
        <w:t>. 2d 599, 102 S. Ct. 1388 (1982</w:t>
      </w:r>
      <w:r w:rsidRPr="00E47138">
        <w:rPr>
          <w:lang w:val="en-US"/>
        </w:rPr>
        <w:t>) (</w:t>
      </w:r>
      <w:proofErr w:type="spellStart"/>
      <w:r w:rsidRPr="00B45592">
        <w:rPr>
          <w:lang w:val="en-US"/>
        </w:rPr>
        <w:t>zitiertend</w:t>
      </w:r>
      <w:proofErr w:type="spellEnd"/>
      <w:r w:rsidRPr="00B45592">
        <w:rPr>
          <w:lang w:val="en-US"/>
        </w:rPr>
        <w:t xml:space="preserve"> </w:t>
      </w:r>
      <w:proofErr w:type="spellStart"/>
      <w:r w:rsidRPr="00B45592">
        <w:rPr>
          <w:lang w:val="en-US"/>
        </w:rPr>
        <w:t>aus</w:t>
      </w:r>
      <w:proofErr w:type="spellEnd"/>
      <w:r w:rsidRPr="00E47138">
        <w:rPr>
          <w:lang w:val="en-US"/>
        </w:rPr>
        <w:t xml:space="preserve"> </w:t>
      </w:r>
      <w:r w:rsidRPr="00744667">
        <w:rPr>
          <w:i/>
          <w:lang w:val="en-US"/>
        </w:rPr>
        <w:t>Addington v. Texas</w:t>
      </w:r>
      <w:r w:rsidRPr="00E47138">
        <w:rPr>
          <w:lang w:val="en-US"/>
        </w:rPr>
        <w:t xml:space="preserve">, </w:t>
      </w:r>
      <w:r w:rsidRPr="002535FA">
        <w:rPr>
          <w:lang w:val="en-US"/>
        </w:rPr>
        <w:t>441 U.S. 418, 424).</w:t>
      </w:r>
    </w:p>
  </w:footnote>
  <w:footnote w:id="2004">
    <w:p w14:paraId="149E3466" w14:textId="77777777" w:rsidR="00074551" w:rsidRPr="0096433C" w:rsidRDefault="00074551" w:rsidP="00074551">
      <w:pPr>
        <w:pStyle w:val="Funotentext"/>
        <w:rPr>
          <w:lang w:val="en-US"/>
        </w:rPr>
      </w:pPr>
      <w:r>
        <w:rPr>
          <w:rStyle w:val="Funotenzeichen"/>
          <w:rFonts w:eastAsiaTheme="majorEastAsia"/>
        </w:rPr>
        <w:footnoteRef/>
      </w:r>
      <w:r w:rsidRPr="0096433C">
        <w:rPr>
          <w:lang w:val="en-US"/>
        </w:rPr>
        <w:t xml:space="preserve"> </w:t>
      </w:r>
      <w:r w:rsidRPr="00B45592">
        <w:rPr>
          <w:i/>
          <w:lang w:val="en-US"/>
        </w:rPr>
        <w:t>Woodby v. INS</w:t>
      </w:r>
      <w:r w:rsidRPr="0096433C">
        <w:rPr>
          <w:lang w:val="en-US"/>
        </w:rPr>
        <w:t>, 385 U.S. 276</w:t>
      </w:r>
      <w:r>
        <w:rPr>
          <w:lang w:val="en-US"/>
        </w:rPr>
        <w:t xml:space="preserve"> = 17 L. Ed. </w:t>
      </w:r>
      <w:r w:rsidRPr="0096433C">
        <w:rPr>
          <w:lang w:val="en-US"/>
        </w:rPr>
        <w:t>2d 362</w:t>
      </w:r>
      <w:r w:rsidRPr="006E67FE">
        <w:rPr>
          <w:lang w:val="en-US"/>
        </w:rPr>
        <w:t xml:space="preserve"> = 87 S. Ct. </w:t>
      </w:r>
      <w:r w:rsidRPr="0096433C">
        <w:rPr>
          <w:lang w:val="en-US"/>
        </w:rPr>
        <w:t>483 (1966)</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96433C">
        <w:rPr>
          <w:lang w:val="en-US"/>
        </w:rPr>
        <w:t>, 497 U.S. 261, 282</w:t>
      </w:r>
      <w:r>
        <w:rPr>
          <w:lang w:val="en-US"/>
        </w:rPr>
        <w:t xml:space="preserve"> = 110 S. Ct</w:t>
      </w:r>
      <w:r w:rsidRPr="0096433C">
        <w:rPr>
          <w:lang w:val="en-US"/>
        </w:rPr>
        <w:t>. 2841, 2853</w:t>
      </w:r>
      <w:r>
        <w:rPr>
          <w:lang w:val="en-US"/>
        </w:rPr>
        <w:t xml:space="preserve"> = 111 L. Ed. </w:t>
      </w:r>
      <w:r w:rsidRPr="0096433C">
        <w:rPr>
          <w:lang w:val="en-US"/>
        </w:rPr>
        <w:t>2d 224, 244</w:t>
      </w:r>
      <w:r>
        <w:rPr>
          <w:lang w:val="en-US"/>
        </w:rPr>
        <w:t xml:space="preserve"> = 1990 U.S. LEXIS </w:t>
      </w:r>
      <w:r w:rsidRPr="0096433C">
        <w:rPr>
          <w:lang w:val="en-US"/>
        </w:rPr>
        <w:t>3301, 39</w:t>
      </w:r>
      <w:r>
        <w:rPr>
          <w:lang w:val="en-US"/>
        </w:rPr>
        <w:t xml:space="preserve"> = 58 U.S.L.W. </w:t>
      </w:r>
      <w:r w:rsidRPr="0096433C">
        <w:rPr>
          <w:lang w:val="en-US"/>
        </w:rPr>
        <w:t>4916 (1990)</w:t>
      </w:r>
      <w:r>
        <w:rPr>
          <w:lang w:val="en-US"/>
        </w:rPr>
        <w:t>.</w:t>
      </w:r>
    </w:p>
  </w:footnote>
  <w:footnote w:id="2005">
    <w:p w14:paraId="144CE34F" w14:textId="77777777" w:rsidR="00074551" w:rsidRPr="0096433C" w:rsidRDefault="00074551" w:rsidP="00074551">
      <w:pPr>
        <w:pStyle w:val="Funotentext"/>
        <w:rPr>
          <w:lang w:val="en-US"/>
        </w:rPr>
      </w:pPr>
      <w:r>
        <w:rPr>
          <w:rStyle w:val="Funotenzeichen"/>
          <w:rFonts w:eastAsiaTheme="majorEastAsia"/>
        </w:rPr>
        <w:footnoteRef/>
      </w:r>
      <w:r w:rsidRPr="0096433C">
        <w:rPr>
          <w:lang w:val="en-US"/>
        </w:rPr>
        <w:t xml:space="preserve"> </w:t>
      </w:r>
      <w:r w:rsidRPr="00B45592">
        <w:rPr>
          <w:i/>
          <w:lang w:val="en-US"/>
        </w:rPr>
        <w:t>Schneiderman v. United States</w:t>
      </w:r>
      <w:r w:rsidRPr="0096433C">
        <w:rPr>
          <w:lang w:val="en-US"/>
        </w:rPr>
        <w:t>, 320 U.S. 118</w:t>
      </w:r>
      <w:r>
        <w:rPr>
          <w:lang w:val="en-US"/>
        </w:rPr>
        <w:t xml:space="preserve"> = 87 L. Ed. </w:t>
      </w:r>
      <w:r w:rsidRPr="0096433C">
        <w:rPr>
          <w:lang w:val="en-US"/>
        </w:rPr>
        <w:t>1796</w:t>
      </w:r>
      <w:r>
        <w:rPr>
          <w:lang w:val="en-US"/>
        </w:rPr>
        <w:t xml:space="preserve"> =</w:t>
      </w:r>
      <w:r w:rsidRPr="0096433C">
        <w:rPr>
          <w:lang w:val="en-US"/>
        </w:rPr>
        <w:t xml:space="preserve"> 63 S. Ct. 1333 (1943)</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96433C">
        <w:rPr>
          <w:lang w:val="en-US"/>
        </w:rPr>
        <w:t>, 497 U.S. 261, 282</w:t>
      </w:r>
      <w:r>
        <w:rPr>
          <w:lang w:val="en-US"/>
        </w:rPr>
        <w:t xml:space="preserve"> = 110 S. Ct</w:t>
      </w:r>
      <w:r w:rsidRPr="0096433C">
        <w:rPr>
          <w:lang w:val="en-US"/>
        </w:rPr>
        <w:t>. 2841, 2853</w:t>
      </w:r>
      <w:r>
        <w:rPr>
          <w:lang w:val="en-US"/>
        </w:rPr>
        <w:t xml:space="preserve"> = 111 L. Ed. </w:t>
      </w:r>
      <w:r w:rsidRPr="0096433C">
        <w:rPr>
          <w:lang w:val="en-US"/>
        </w:rPr>
        <w:t>2d 224, 244</w:t>
      </w:r>
      <w:r>
        <w:rPr>
          <w:lang w:val="en-US"/>
        </w:rPr>
        <w:t xml:space="preserve"> = 1990 U.S. LEXIS </w:t>
      </w:r>
      <w:r w:rsidRPr="0096433C">
        <w:rPr>
          <w:lang w:val="en-US"/>
        </w:rPr>
        <w:t>3301, 40</w:t>
      </w:r>
      <w:r>
        <w:rPr>
          <w:lang w:val="en-US"/>
        </w:rPr>
        <w:t xml:space="preserve"> = 58 U.S.L.W. </w:t>
      </w:r>
      <w:r w:rsidRPr="0096433C">
        <w:rPr>
          <w:lang w:val="en-US"/>
        </w:rPr>
        <w:t>4916 (1990)</w:t>
      </w:r>
      <w:r>
        <w:rPr>
          <w:lang w:val="en-US"/>
        </w:rPr>
        <w:t>.</w:t>
      </w:r>
    </w:p>
  </w:footnote>
  <w:footnote w:id="2006">
    <w:p w14:paraId="64B9054B" w14:textId="77777777" w:rsidR="00074551" w:rsidRPr="0096433C" w:rsidRDefault="00074551" w:rsidP="00074551">
      <w:pPr>
        <w:pStyle w:val="Funotentext"/>
        <w:rPr>
          <w:lang w:val="en-US"/>
        </w:rPr>
      </w:pPr>
      <w:r>
        <w:rPr>
          <w:rStyle w:val="Funotenzeichen"/>
          <w:rFonts w:eastAsiaTheme="majorEastAsia"/>
        </w:rPr>
        <w:footnoteRef/>
      </w:r>
      <w:r>
        <w:rPr>
          <w:lang w:val="en-US"/>
        </w:rPr>
        <w:t xml:space="preserve"> </w:t>
      </w:r>
      <w:r w:rsidRPr="00B45592">
        <w:rPr>
          <w:i/>
          <w:lang w:val="en-US"/>
        </w:rPr>
        <w:t>Addington v. Texas</w:t>
      </w:r>
      <w:r w:rsidRPr="0096433C">
        <w:rPr>
          <w:lang w:val="en-US"/>
        </w:rPr>
        <w:t>, 441 U.S. 418, 423</w:t>
      </w:r>
      <w:r>
        <w:rPr>
          <w:lang w:val="en-US"/>
        </w:rPr>
        <w:t xml:space="preserve"> = 60 L. Ed. </w:t>
      </w:r>
      <w:r w:rsidRPr="0096433C">
        <w:rPr>
          <w:lang w:val="en-US"/>
        </w:rPr>
        <w:t>2d 323</w:t>
      </w:r>
      <w:r>
        <w:rPr>
          <w:lang w:val="en-US"/>
        </w:rPr>
        <w:t xml:space="preserve"> = 99 S. Ct. </w:t>
      </w:r>
      <w:r w:rsidRPr="0096433C">
        <w:rPr>
          <w:lang w:val="en-US"/>
        </w:rPr>
        <w:t>1804 (1979)</w:t>
      </w:r>
      <w:r>
        <w:rPr>
          <w:lang w:val="en-US"/>
        </w:rPr>
        <w:t>.</w:t>
      </w:r>
    </w:p>
  </w:footnote>
  <w:footnote w:id="2007">
    <w:p w14:paraId="290D05E9" w14:textId="77777777" w:rsidR="00074551" w:rsidRPr="00111AE5" w:rsidRDefault="00074551" w:rsidP="00074551">
      <w:pPr>
        <w:pStyle w:val="Funotentext"/>
        <w:rPr>
          <w:lang w:val="en-US"/>
        </w:rPr>
      </w:pPr>
      <w:r>
        <w:rPr>
          <w:rStyle w:val="Funotenzeichen"/>
          <w:rFonts w:eastAsiaTheme="majorEastAsia"/>
        </w:rPr>
        <w:footnoteRef/>
      </w:r>
      <w:r w:rsidRPr="00111AE5">
        <w:rPr>
          <w:lang w:val="en-US"/>
        </w:rPr>
        <w:t xml:space="preserve"> </w:t>
      </w:r>
      <w:r w:rsidRPr="00B45592">
        <w:rPr>
          <w:i/>
          <w:lang w:val="en-US"/>
        </w:rPr>
        <w:t>Ohio v. Akron Center for Reproductive Health</w:t>
      </w:r>
      <w:r w:rsidRPr="00111AE5">
        <w:rPr>
          <w:lang w:val="en-US"/>
        </w:rPr>
        <w:t>, 497 U.S. 502, 515</w:t>
      </w:r>
      <w:r>
        <w:rPr>
          <w:lang w:val="en-US"/>
        </w:rPr>
        <w:t>–</w:t>
      </w:r>
      <w:r w:rsidRPr="00111AE5">
        <w:rPr>
          <w:lang w:val="en-US"/>
        </w:rPr>
        <w:t>516</w:t>
      </w:r>
      <w:r>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111AE5">
        <w:rPr>
          <w:lang w:val="en-US"/>
        </w:rPr>
        <w:t>, 497 U.S. 261, 281-282</w:t>
      </w:r>
      <w:r>
        <w:rPr>
          <w:lang w:val="en-US"/>
        </w:rPr>
        <w:t xml:space="preserve"> = 110 S. Ct</w:t>
      </w:r>
      <w:r w:rsidRPr="00111AE5">
        <w:rPr>
          <w:lang w:val="en-US"/>
        </w:rPr>
        <w:t>. 2841, 2853</w:t>
      </w:r>
      <w:r>
        <w:rPr>
          <w:lang w:val="en-US"/>
        </w:rPr>
        <w:t xml:space="preserve"> = 111 L. Ed. </w:t>
      </w:r>
      <w:r w:rsidRPr="00111AE5">
        <w:rPr>
          <w:lang w:val="en-US"/>
        </w:rPr>
        <w:t>2d 224, 244</w:t>
      </w:r>
      <w:r>
        <w:rPr>
          <w:lang w:val="en-US"/>
        </w:rPr>
        <w:t xml:space="preserve"> = 1990 U.S. LEXIS </w:t>
      </w:r>
      <w:r w:rsidRPr="00111AE5">
        <w:rPr>
          <w:lang w:val="en-US"/>
        </w:rPr>
        <w:t>3301, 37</w:t>
      </w:r>
      <w:r>
        <w:rPr>
          <w:lang w:val="en-US"/>
        </w:rPr>
        <w:t xml:space="preserve"> = 58 U.S.L.W. </w:t>
      </w:r>
      <w:r w:rsidRPr="00111AE5">
        <w:rPr>
          <w:lang w:val="en-US"/>
        </w:rPr>
        <w:t>4916 (1990)</w:t>
      </w:r>
      <w:r>
        <w:rPr>
          <w:lang w:val="en-US"/>
        </w:rPr>
        <w:t>.</w:t>
      </w:r>
    </w:p>
  </w:footnote>
  <w:footnote w:id="2008">
    <w:p w14:paraId="73A87231" w14:textId="77777777" w:rsidR="00074551" w:rsidRPr="00975D77" w:rsidRDefault="00074551" w:rsidP="00074551">
      <w:pPr>
        <w:pStyle w:val="Funotentext"/>
        <w:rPr>
          <w:lang w:val="en-US"/>
        </w:rPr>
      </w:pPr>
      <w:r>
        <w:rPr>
          <w:rStyle w:val="Funotenzeichen"/>
          <w:rFonts w:eastAsiaTheme="majorEastAsia"/>
        </w:rPr>
        <w:footnoteRef/>
      </w:r>
      <w:r w:rsidRPr="00975D77">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975D77">
        <w:rPr>
          <w:lang w:val="en-US"/>
        </w:rPr>
        <w:t>, 497 U.S. 261, 316</w:t>
      </w:r>
      <w:r>
        <w:rPr>
          <w:lang w:val="en-US"/>
        </w:rPr>
        <w:t xml:space="preserve"> = 110 S. Ct</w:t>
      </w:r>
      <w:r w:rsidRPr="00975D77">
        <w:rPr>
          <w:lang w:val="en-US"/>
        </w:rPr>
        <w:t>. 2841, 2871</w:t>
      </w:r>
      <w:r>
        <w:rPr>
          <w:lang w:val="en-US"/>
        </w:rPr>
        <w:t xml:space="preserve"> = 111 L. Ed. </w:t>
      </w:r>
      <w:r w:rsidRPr="00975D77">
        <w:rPr>
          <w:lang w:val="en-US"/>
        </w:rPr>
        <w:t>2d 224, 265</w:t>
      </w:r>
      <w:r>
        <w:rPr>
          <w:lang w:val="en-US"/>
        </w:rPr>
        <w:t xml:space="preserve"> = 1990 U.S. LEXIS </w:t>
      </w:r>
      <w:r w:rsidRPr="00975D77">
        <w:rPr>
          <w:lang w:val="en-US"/>
        </w:rPr>
        <w:t>3301, 97</w:t>
      </w:r>
      <w:r>
        <w:rPr>
          <w:lang w:val="en-US"/>
        </w:rPr>
        <w:t xml:space="preserve"> = 58 U.S.L.W. </w:t>
      </w:r>
      <w:r w:rsidRPr="00975D77">
        <w:rPr>
          <w:lang w:val="en-US"/>
        </w:rPr>
        <w:t>4916 (1990)</w:t>
      </w:r>
      <w:r>
        <w:rPr>
          <w:lang w:val="en-US"/>
        </w:rPr>
        <w:t>.</w:t>
      </w:r>
    </w:p>
  </w:footnote>
  <w:footnote w:id="2009">
    <w:p w14:paraId="2031A4A2" w14:textId="77777777" w:rsidR="00074551" w:rsidRPr="008F0B2E" w:rsidRDefault="00074551" w:rsidP="00074551">
      <w:pPr>
        <w:pStyle w:val="Funotentext"/>
        <w:rPr>
          <w:lang w:val="en-US"/>
        </w:rPr>
      </w:pPr>
      <w:r>
        <w:rPr>
          <w:rStyle w:val="Funotenzeichen"/>
          <w:rFonts w:eastAsiaTheme="majorEastAsia"/>
        </w:rPr>
        <w:footnoteRef/>
      </w:r>
      <w:r w:rsidRPr="008F0B2E">
        <w:rPr>
          <w:lang w:val="en-US"/>
        </w:rPr>
        <w:t xml:space="preserve">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8F0B2E">
        <w:rPr>
          <w:lang w:val="en-US"/>
        </w:rPr>
        <w:t>, 497 U.S. 261, 330</w:t>
      </w:r>
      <w:r>
        <w:rPr>
          <w:lang w:val="en-US"/>
        </w:rPr>
        <w:t xml:space="preserve"> = 110 S. Ct</w:t>
      </w:r>
      <w:r w:rsidRPr="008F0B2E">
        <w:rPr>
          <w:lang w:val="en-US"/>
        </w:rPr>
        <w:t>. 2841, 2878</w:t>
      </w:r>
      <w:r>
        <w:rPr>
          <w:lang w:val="en-US"/>
        </w:rPr>
        <w:t xml:space="preserve"> = 111 L. Ed. </w:t>
      </w:r>
      <w:r w:rsidRPr="008F0B2E">
        <w:rPr>
          <w:lang w:val="en-US"/>
        </w:rPr>
        <w:t>2d 224, 275</w:t>
      </w:r>
      <w:r>
        <w:rPr>
          <w:lang w:val="en-US"/>
        </w:rPr>
        <w:t xml:space="preserve"> = 1990 U.S. LEXIS </w:t>
      </w:r>
      <w:r w:rsidRPr="008F0B2E">
        <w:rPr>
          <w:lang w:val="en-US"/>
        </w:rPr>
        <w:t>3301, 122</w:t>
      </w:r>
      <w:r>
        <w:rPr>
          <w:lang w:val="en-US"/>
        </w:rPr>
        <w:t xml:space="preserve"> = 58 U.S.L.W. </w:t>
      </w:r>
      <w:r w:rsidRPr="008F0B2E">
        <w:rPr>
          <w:lang w:val="en-US"/>
        </w:rPr>
        <w:t>4916 (1990)</w:t>
      </w:r>
      <w:r>
        <w:rPr>
          <w:lang w:val="en-US"/>
        </w:rPr>
        <w:t>.</w:t>
      </w:r>
    </w:p>
  </w:footnote>
  <w:footnote w:id="2010">
    <w:p w14:paraId="2B85A4CF" w14:textId="77777777" w:rsidR="00074551" w:rsidRPr="008F0B2E" w:rsidRDefault="00074551" w:rsidP="00074551">
      <w:pPr>
        <w:pStyle w:val="Funotentext"/>
        <w:rPr>
          <w:lang w:val="en-US"/>
        </w:rPr>
      </w:pPr>
      <w:r>
        <w:rPr>
          <w:rStyle w:val="Funotenzeichen"/>
          <w:rFonts w:eastAsiaTheme="majorEastAsia"/>
        </w:rPr>
        <w:footnoteRef/>
      </w:r>
      <w:r w:rsidRPr="008F0B2E">
        <w:rPr>
          <w:lang w:val="en-US"/>
        </w:rPr>
        <w:t xml:space="preserve"> </w:t>
      </w:r>
      <w:r w:rsidRPr="00B45592">
        <w:rPr>
          <w:i/>
          <w:lang w:val="en-US"/>
        </w:rPr>
        <w:t>Corbett v. D’Alessandro</w:t>
      </w:r>
      <w:r w:rsidRPr="008F0B2E">
        <w:rPr>
          <w:lang w:val="en-US"/>
        </w:rPr>
        <w:t>, 487 So. 2d</w:t>
      </w:r>
      <w:r>
        <w:rPr>
          <w:lang w:val="en-US"/>
        </w:rPr>
        <w:t xml:space="preserve"> 368,</w:t>
      </w:r>
      <w:r w:rsidRPr="008F0B2E">
        <w:rPr>
          <w:lang w:val="en-US"/>
        </w:rPr>
        <w:t xml:space="preserve"> 371; </w:t>
      </w:r>
      <w:r w:rsidRPr="00B45592">
        <w:rPr>
          <w:i/>
          <w:lang w:val="en-US"/>
        </w:rPr>
        <w:t xml:space="preserve">Cruzan v. Dir., Mo. </w:t>
      </w:r>
      <w:proofErr w:type="spellStart"/>
      <w:r w:rsidRPr="00B45592">
        <w:rPr>
          <w:i/>
          <w:lang w:val="en-US"/>
        </w:rPr>
        <w:t>Dep’t</w:t>
      </w:r>
      <w:proofErr w:type="spellEnd"/>
      <w:r w:rsidRPr="00B45592">
        <w:rPr>
          <w:i/>
          <w:lang w:val="en-US"/>
        </w:rPr>
        <w:t xml:space="preserve"> of Health</w:t>
      </w:r>
      <w:r w:rsidRPr="008F0B2E">
        <w:rPr>
          <w:lang w:val="en-US"/>
        </w:rPr>
        <w:t>, 497 U.S. 261, 355</w:t>
      </w:r>
      <w:r>
        <w:rPr>
          <w:lang w:val="en-US"/>
        </w:rPr>
        <w:t xml:space="preserve"> = 110 S. Ct</w:t>
      </w:r>
      <w:r w:rsidRPr="008F0B2E">
        <w:rPr>
          <w:lang w:val="en-US"/>
        </w:rPr>
        <w:t>. 2841, 2891</w:t>
      </w:r>
      <w:r>
        <w:rPr>
          <w:lang w:val="en-US"/>
        </w:rPr>
        <w:t xml:space="preserve"> = 111 L. Ed. </w:t>
      </w:r>
      <w:r w:rsidRPr="008F0B2E">
        <w:rPr>
          <w:lang w:val="en-US"/>
        </w:rPr>
        <w:t>2d 224, 290</w:t>
      </w:r>
      <w:r>
        <w:rPr>
          <w:lang w:val="en-US"/>
        </w:rPr>
        <w:t xml:space="preserve"> = 1990 U.S. LEXIS </w:t>
      </w:r>
      <w:r w:rsidRPr="008F0B2E">
        <w:rPr>
          <w:lang w:val="en-US"/>
        </w:rPr>
        <w:t>3301, 162</w:t>
      </w:r>
      <w:r>
        <w:rPr>
          <w:lang w:val="en-US"/>
        </w:rPr>
        <w:t xml:space="preserve"> = 58 U.S.L.W. </w:t>
      </w:r>
      <w:r w:rsidRPr="008F0B2E">
        <w:rPr>
          <w:lang w:val="en-US"/>
        </w:rPr>
        <w:t>4916 (1990).</w:t>
      </w:r>
    </w:p>
  </w:footnote>
  <w:footnote w:id="2011">
    <w:p w14:paraId="41105764" w14:textId="77777777" w:rsidR="00074551" w:rsidRPr="00E90345" w:rsidRDefault="00074551" w:rsidP="00074551">
      <w:pPr>
        <w:pStyle w:val="Funotentext"/>
        <w:rPr>
          <w:lang w:val="en-US"/>
        </w:rPr>
      </w:pPr>
      <w:r>
        <w:rPr>
          <w:rStyle w:val="Funotenzeichen"/>
          <w:rFonts w:eastAsiaTheme="majorEastAsia"/>
        </w:rPr>
        <w:footnoteRef/>
      </w:r>
      <w:r w:rsidRPr="00AB6C48">
        <w:rPr>
          <w:lang w:val="en-US"/>
        </w:rPr>
        <w:t xml:space="preserve"> </w:t>
      </w:r>
      <w:r w:rsidRPr="004F13B1">
        <w:rPr>
          <w:i/>
          <w:lang w:val="en-US"/>
        </w:rPr>
        <w:t>Ingraham v. Wright</w:t>
      </w:r>
      <w:r w:rsidRPr="00AB6C48">
        <w:rPr>
          <w:lang w:val="en-US"/>
        </w:rPr>
        <w:t>, 430 U.S. 651 (1977)</w:t>
      </w:r>
      <w:r>
        <w:rPr>
          <w:lang w:val="en-US"/>
        </w:rPr>
        <w:t xml:space="preserve">; </w:t>
      </w:r>
      <w:r w:rsidRPr="009E57E1">
        <w:rPr>
          <w:i/>
          <w:lang w:val="en-US"/>
        </w:rPr>
        <w:t>Hudson v. Palmer</w:t>
      </w:r>
      <w:r w:rsidRPr="00E90345">
        <w:rPr>
          <w:lang w:val="en-US"/>
        </w:rPr>
        <w:t>, 468 U.S. 517, 533</w:t>
      </w:r>
      <w:r w:rsidRPr="006E67FE">
        <w:rPr>
          <w:lang w:val="en-US"/>
        </w:rPr>
        <w:t xml:space="preserve"> = 104 S. Ct. </w:t>
      </w:r>
      <w:r w:rsidRPr="00E90345">
        <w:rPr>
          <w:lang w:val="en-US"/>
        </w:rPr>
        <w:t>3194, 3204</w:t>
      </w:r>
      <w:r w:rsidRPr="006E67FE">
        <w:rPr>
          <w:lang w:val="en-US"/>
        </w:rPr>
        <w:t xml:space="preserve"> = 82 L. Ed. </w:t>
      </w:r>
      <w:r w:rsidRPr="00E90345">
        <w:rPr>
          <w:lang w:val="en-US"/>
        </w:rPr>
        <w:t>2d 393, 408</w:t>
      </w:r>
      <w:r w:rsidRPr="006E67FE">
        <w:rPr>
          <w:lang w:val="en-US"/>
        </w:rPr>
        <w:t xml:space="preserve"> = 1984 U.S. LEXIS </w:t>
      </w:r>
      <w:r w:rsidRPr="00E90345">
        <w:rPr>
          <w:lang w:val="en-US"/>
        </w:rPr>
        <w:t>143, 31</w:t>
      </w:r>
      <w:r w:rsidRPr="006E67FE">
        <w:rPr>
          <w:lang w:val="en-US"/>
        </w:rPr>
        <w:t xml:space="preserve"> = 52 U.S.L.W. </w:t>
      </w:r>
      <w:r w:rsidRPr="00E90345">
        <w:rPr>
          <w:lang w:val="en-US"/>
        </w:rPr>
        <w:t>5052 (1984)</w:t>
      </w:r>
      <w:r>
        <w:rPr>
          <w:lang w:val="en-US"/>
        </w:rPr>
        <w:t>.</w:t>
      </w:r>
    </w:p>
  </w:footnote>
  <w:footnote w:id="2012">
    <w:p w14:paraId="2AF56807" w14:textId="77777777" w:rsidR="00074551" w:rsidRPr="00AB6C48" w:rsidRDefault="00074551" w:rsidP="00074551">
      <w:pPr>
        <w:pStyle w:val="Funotentext"/>
        <w:rPr>
          <w:lang w:val="en-US"/>
        </w:rPr>
      </w:pPr>
      <w:r>
        <w:rPr>
          <w:rStyle w:val="Funotenzeichen"/>
          <w:rFonts w:eastAsiaTheme="majorEastAsia"/>
        </w:rPr>
        <w:footnoteRef/>
      </w:r>
      <w:r w:rsidRPr="00AB6C48">
        <w:rPr>
          <w:lang w:val="en-US"/>
        </w:rPr>
        <w:t xml:space="preserve"> </w:t>
      </w:r>
      <w:r w:rsidRPr="009E57E1">
        <w:rPr>
          <w:i/>
          <w:lang w:val="en-US"/>
        </w:rPr>
        <w:t>Hudson v. Palmer</w:t>
      </w:r>
      <w:r w:rsidRPr="00AB6C48">
        <w:rPr>
          <w:lang w:val="en-US"/>
        </w:rPr>
        <w:t>, 468 U.S. 517, 555</w:t>
      </w:r>
      <w:r w:rsidRPr="006E67FE">
        <w:rPr>
          <w:lang w:val="en-US"/>
        </w:rPr>
        <w:t xml:space="preserve"> = 104 S. Ct. </w:t>
      </w:r>
      <w:r w:rsidRPr="00AB6C48">
        <w:rPr>
          <w:lang w:val="en-US"/>
        </w:rPr>
        <w:t>3194, 3216</w:t>
      </w:r>
      <w:r w:rsidRPr="006E67FE">
        <w:rPr>
          <w:lang w:val="en-US"/>
        </w:rPr>
        <w:t xml:space="preserve"> = 82 L. Ed. </w:t>
      </w:r>
      <w:r w:rsidRPr="00AB6C48">
        <w:rPr>
          <w:lang w:val="en-US"/>
        </w:rPr>
        <w:t>2d 393, 422</w:t>
      </w:r>
      <w:r w:rsidRPr="006E67FE">
        <w:rPr>
          <w:lang w:val="en-US"/>
        </w:rPr>
        <w:t xml:space="preserve"> = 1984 U.S. LEXIS </w:t>
      </w:r>
      <w:r w:rsidRPr="00AB6C48">
        <w:rPr>
          <w:lang w:val="en-US"/>
        </w:rPr>
        <w:t>143, 72</w:t>
      </w:r>
      <w:r w:rsidRPr="006E67FE">
        <w:rPr>
          <w:lang w:val="en-US"/>
        </w:rPr>
        <w:t xml:space="preserve"> = 52 U.S.L.W. </w:t>
      </w:r>
      <w:r w:rsidRPr="00AB6C48">
        <w:rPr>
          <w:lang w:val="en-US"/>
        </w:rPr>
        <w:t>5052 (1984)</w:t>
      </w:r>
      <w:r>
        <w:rPr>
          <w:lang w:val="en-US"/>
        </w:rPr>
        <w:t>.</w:t>
      </w:r>
    </w:p>
  </w:footnote>
  <w:footnote w:id="2013">
    <w:p w14:paraId="23A4A013" w14:textId="77777777" w:rsidR="00074551" w:rsidRPr="00AB6C48" w:rsidRDefault="00074551" w:rsidP="00074551">
      <w:pPr>
        <w:pStyle w:val="Funotentext"/>
        <w:rPr>
          <w:lang w:val="en-US"/>
        </w:rPr>
      </w:pPr>
      <w:r>
        <w:rPr>
          <w:rStyle w:val="Funotenzeichen"/>
          <w:rFonts w:eastAsiaTheme="majorEastAsia"/>
        </w:rPr>
        <w:footnoteRef/>
      </w:r>
      <w:r w:rsidRPr="00AB6C48">
        <w:rPr>
          <w:lang w:val="en-US"/>
        </w:rPr>
        <w:t xml:space="preserve"> </w:t>
      </w:r>
      <w:r w:rsidRPr="009E57E1">
        <w:rPr>
          <w:i/>
          <w:lang w:val="en-US"/>
        </w:rPr>
        <w:t>Hudson v. Palmer</w:t>
      </w:r>
      <w:r w:rsidRPr="00AB6C48">
        <w:rPr>
          <w:lang w:val="en-US"/>
        </w:rPr>
        <w:t>, 468 U.S. 517, 556</w:t>
      </w:r>
      <w:r w:rsidRPr="006E67FE">
        <w:rPr>
          <w:lang w:val="en-US"/>
        </w:rPr>
        <w:t xml:space="preserve"> = 104 S. Ct. </w:t>
      </w:r>
      <w:r w:rsidRPr="00AB6C48">
        <w:rPr>
          <w:lang w:val="en-US"/>
        </w:rPr>
        <w:t>3194, 3216</w:t>
      </w:r>
      <w:r w:rsidRPr="006E67FE">
        <w:rPr>
          <w:lang w:val="en-US"/>
        </w:rPr>
        <w:t xml:space="preserve"> = 82 L. Ed. </w:t>
      </w:r>
      <w:r w:rsidRPr="00AB6C48">
        <w:rPr>
          <w:lang w:val="en-US"/>
        </w:rPr>
        <w:t>2d 393, 422</w:t>
      </w:r>
      <w:r w:rsidRPr="006E67FE">
        <w:rPr>
          <w:lang w:val="en-US"/>
        </w:rPr>
        <w:t xml:space="preserve"> = 1984 U.S. LEXIS </w:t>
      </w:r>
      <w:r w:rsidRPr="00AB6C48">
        <w:rPr>
          <w:lang w:val="en-US"/>
        </w:rPr>
        <w:t>143, 72</w:t>
      </w:r>
      <w:r w:rsidRPr="006E67FE">
        <w:rPr>
          <w:lang w:val="en-US"/>
        </w:rPr>
        <w:t xml:space="preserve"> = 52 U.S.L.W. </w:t>
      </w:r>
      <w:r w:rsidRPr="00AB6C48">
        <w:rPr>
          <w:lang w:val="en-US"/>
        </w:rPr>
        <w:t>5052 (1984)</w:t>
      </w:r>
      <w:r>
        <w:rPr>
          <w:lang w:val="en-US"/>
        </w:rPr>
        <w:t>.</w:t>
      </w:r>
    </w:p>
  </w:footnote>
  <w:footnote w:id="2014">
    <w:p w14:paraId="7D9DAFF9" w14:textId="77777777" w:rsidR="00074551" w:rsidRPr="00154CE8" w:rsidRDefault="00074551" w:rsidP="00074551">
      <w:pPr>
        <w:pStyle w:val="Funotentext"/>
        <w:rPr>
          <w:lang w:val="en-US"/>
        </w:rPr>
      </w:pPr>
      <w:r>
        <w:rPr>
          <w:rStyle w:val="Funotenzeichen"/>
          <w:rFonts w:eastAsiaTheme="majorEastAsia"/>
        </w:rPr>
        <w:footnoteRef/>
      </w:r>
      <w:r w:rsidRPr="00154CE8">
        <w:rPr>
          <w:lang w:val="en-US"/>
        </w:rPr>
        <w:t xml:space="preserve"> </w:t>
      </w:r>
      <w:r w:rsidRPr="009E57E1">
        <w:rPr>
          <w:i/>
          <w:lang w:val="en-US"/>
        </w:rPr>
        <w:t>Hudson v. Palmer</w:t>
      </w:r>
      <w:r w:rsidRPr="00154CE8">
        <w:rPr>
          <w:lang w:val="en-US"/>
        </w:rPr>
        <w:t>, 468 U.S. 517, 556</w:t>
      </w:r>
      <w:r w:rsidRPr="006E67FE">
        <w:rPr>
          <w:lang w:val="en-US"/>
        </w:rPr>
        <w:t xml:space="preserve"> = 104 S. Ct. </w:t>
      </w:r>
      <w:r w:rsidRPr="00154CE8">
        <w:rPr>
          <w:lang w:val="en-US"/>
        </w:rPr>
        <w:t>3194, 3216</w:t>
      </w:r>
      <w:r w:rsidRPr="006E67FE">
        <w:rPr>
          <w:lang w:val="en-US"/>
        </w:rPr>
        <w:t xml:space="preserve"> = 82 L. Ed. </w:t>
      </w:r>
      <w:r w:rsidRPr="00154CE8">
        <w:rPr>
          <w:lang w:val="en-US"/>
        </w:rPr>
        <w:t>2d 393, 422</w:t>
      </w:r>
      <w:r w:rsidRPr="006E67FE">
        <w:rPr>
          <w:lang w:val="en-US"/>
        </w:rPr>
        <w:t xml:space="preserve"> = 1984 U.S. LEXIS </w:t>
      </w:r>
      <w:r w:rsidRPr="00154CE8">
        <w:rPr>
          <w:lang w:val="en-US"/>
        </w:rPr>
        <w:t>143, 74</w:t>
      </w:r>
      <w:r w:rsidRPr="006E67FE">
        <w:rPr>
          <w:lang w:val="en-US"/>
        </w:rPr>
        <w:t xml:space="preserve"> = 52 U.S.L.W. </w:t>
      </w:r>
      <w:r w:rsidRPr="00154CE8">
        <w:rPr>
          <w:lang w:val="en-US"/>
        </w:rPr>
        <w:t>5052 (1984)</w:t>
      </w:r>
      <w:r>
        <w:rPr>
          <w:lang w:val="en-US"/>
        </w:rPr>
        <w:t>.</w:t>
      </w:r>
    </w:p>
  </w:footnote>
  <w:footnote w:id="2015">
    <w:p w14:paraId="2574D0B4" w14:textId="77777777" w:rsidR="00074551" w:rsidRPr="00154CE8" w:rsidRDefault="00074551" w:rsidP="00074551">
      <w:pPr>
        <w:pStyle w:val="Funotentext"/>
        <w:rPr>
          <w:lang w:val="en-US"/>
        </w:rPr>
      </w:pPr>
      <w:r>
        <w:rPr>
          <w:rStyle w:val="Funotenzeichen"/>
          <w:rFonts w:eastAsiaTheme="majorEastAsia"/>
        </w:rPr>
        <w:footnoteRef/>
      </w:r>
      <w:r w:rsidRPr="00154CE8">
        <w:rPr>
          <w:lang w:val="en-US"/>
        </w:rPr>
        <w:t xml:space="preserve"> </w:t>
      </w:r>
      <w:r w:rsidRPr="009E57E1">
        <w:rPr>
          <w:i/>
          <w:lang w:val="en-US"/>
        </w:rPr>
        <w:t>Hudson v. Palmer</w:t>
      </w:r>
      <w:r w:rsidRPr="00154CE8">
        <w:rPr>
          <w:lang w:val="en-US"/>
        </w:rPr>
        <w:t>, 468 U.S. 517, 556</w:t>
      </w:r>
      <w:r w:rsidRPr="006E67FE">
        <w:rPr>
          <w:lang w:val="en-US"/>
        </w:rPr>
        <w:t xml:space="preserve"> = 104 S. Ct. </w:t>
      </w:r>
      <w:r w:rsidRPr="00154CE8">
        <w:rPr>
          <w:lang w:val="en-US"/>
        </w:rPr>
        <w:t>3194, 3216</w:t>
      </w:r>
      <w:r w:rsidRPr="006E67FE">
        <w:rPr>
          <w:lang w:val="en-US"/>
        </w:rPr>
        <w:t xml:space="preserve"> = 82 L. Ed. </w:t>
      </w:r>
      <w:r w:rsidRPr="00154CE8">
        <w:rPr>
          <w:lang w:val="en-US"/>
        </w:rPr>
        <w:t>2d 393, 422</w:t>
      </w:r>
      <w:r w:rsidRPr="006E67FE">
        <w:rPr>
          <w:lang w:val="en-US"/>
        </w:rPr>
        <w:t xml:space="preserve"> = 1984 U.S. LEXIS </w:t>
      </w:r>
      <w:r w:rsidRPr="00154CE8">
        <w:rPr>
          <w:lang w:val="en-US"/>
        </w:rPr>
        <w:t>143, 74</w:t>
      </w:r>
      <w:r w:rsidRPr="006E67FE">
        <w:rPr>
          <w:lang w:val="en-US"/>
        </w:rPr>
        <w:t xml:space="preserve"> = 52 U.S.L.W. </w:t>
      </w:r>
      <w:r w:rsidRPr="00154CE8">
        <w:rPr>
          <w:lang w:val="en-US"/>
        </w:rPr>
        <w:t>5052 (1984)</w:t>
      </w:r>
      <w:r>
        <w:rPr>
          <w:lang w:val="en-US"/>
        </w:rPr>
        <w:t>.</w:t>
      </w:r>
    </w:p>
  </w:footnote>
  <w:footnote w:id="2016">
    <w:p w14:paraId="0D775CCA" w14:textId="77777777" w:rsidR="00074551" w:rsidRPr="004C029F" w:rsidRDefault="00074551" w:rsidP="00074551">
      <w:pPr>
        <w:pStyle w:val="Funotentext"/>
        <w:rPr>
          <w:lang w:val="en-US"/>
        </w:rPr>
      </w:pPr>
      <w:r>
        <w:rPr>
          <w:rStyle w:val="Funotenzeichen"/>
          <w:rFonts w:eastAsiaTheme="majorEastAsia"/>
        </w:rPr>
        <w:footnoteRef/>
      </w:r>
      <w:r w:rsidRPr="004C029F">
        <w:rPr>
          <w:lang w:val="en-US"/>
        </w:rPr>
        <w:t xml:space="preserve"> </w:t>
      </w:r>
      <w:r w:rsidRPr="009167A5">
        <w:rPr>
          <w:i/>
          <w:lang w:val="en-US"/>
        </w:rPr>
        <w:t>Olmstead v. United States</w:t>
      </w:r>
      <w:r w:rsidRPr="004C029F">
        <w:rPr>
          <w:lang w:val="en-US"/>
        </w:rPr>
        <w:t>, 277 U.S. 438, 478 (1928) (</w:t>
      </w:r>
      <w:r w:rsidRPr="009E57E1">
        <w:rPr>
          <w:lang w:val="en-US"/>
        </w:rPr>
        <w:t xml:space="preserve">Dissens von Richter </w:t>
      </w:r>
      <w:r w:rsidRPr="00D67593">
        <w:rPr>
          <w:i/>
          <w:lang w:val="en-US"/>
        </w:rPr>
        <w:t>Brandeis</w:t>
      </w:r>
      <w:r w:rsidRPr="004C029F">
        <w:rPr>
          <w:lang w:val="en-US"/>
        </w:rPr>
        <w:t>)</w:t>
      </w:r>
      <w:r>
        <w:rPr>
          <w:lang w:val="en-US"/>
        </w:rPr>
        <w:t xml:space="preserve">; </w:t>
      </w:r>
      <w:r w:rsidRPr="009E57E1">
        <w:rPr>
          <w:i/>
          <w:lang w:val="en-US"/>
        </w:rPr>
        <w:t>Hudson v. Palmer</w:t>
      </w:r>
      <w:r w:rsidRPr="004C029F">
        <w:rPr>
          <w:lang w:val="en-US"/>
        </w:rPr>
        <w:t>, 468 U.S. 517, 556</w:t>
      </w:r>
      <w:r w:rsidRPr="006E67FE">
        <w:rPr>
          <w:lang w:val="en-US"/>
        </w:rPr>
        <w:t xml:space="preserve"> = 104 S. Ct. </w:t>
      </w:r>
      <w:r w:rsidRPr="004C029F">
        <w:rPr>
          <w:lang w:val="en-US"/>
        </w:rPr>
        <w:t>3194, 3216</w:t>
      </w:r>
      <w:r w:rsidRPr="006E67FE">
        <w:rPr>
          <w:lang w:val="en-US"/>
        </w:rPr>
        <w:t xml:space="preserve"> = 82 L. Ed. </w:t>
      </w:r>
      <w:r w:rsidRPr="004C029F">
        <w:rPr>
          <w:lang w:val="en-US"/>
        </w:rPr>
        <w:t>2d 393, 422</w:t>
      </w:r>
      <w:r w:rsidRPr="006E67FE">
        <w:rPr>
          <w:lang w:val="en-US"/>
        </w:rPr>
        <w:t xml:space="preserve"> = 1984 U.S. LEXIS </w:t>
      </w:r>
      <w:r w:rsidRPr="004C029F">
        <w:rPr>
          <w:lang w:val="en-US"/>
        </w:rPr>
        <w:t>143, 74</w:t>
      </w:r>
      <w:r w:rsidRPr="006E67FE">
        <w:rPr>
          <w:lang w:val="en-US"/>
        </w:rPr>
        <w:t xml:space="preserve"> = 52 U.S.L.W. </w:t>
      </w:r>
      <w:r w:rsidRPr="004C029F">
        <w:rPr>
          <w:lang w:val="en-US"/>
        </w:rPr>
        <w:t>5052 (1984)</w:t>
      </w:r>
      <w:r>
        <w:rPr>
          <w:lang w:val="en-US"/>
        </w:rPr>
        <w:t>.</w:t>
      </w:r>
    </w:p>
  </w:footnote>
  <w:footnote w:id="2017">
    <w:p w14:paraId="372F6B3A" w14:textId="77777777" w:rsidR="00074551" w:rsidRPr="003216C6" w:rsidRDefault="00074551" w:rsidP="00074551">
      <w:pPr>
        <w:pStyle w:val="Funotentext"/>
        <w:rPr>
          <w:lang w:val="en-US"/>
        </w:rPr>
      </w:pPr>
      <w:r>
        <w:rPr>
          <w:rStyle w:val="Funotenzeichen"/>
          <w:rFonts w:eastAsiaTheme="majorEastAsia"/>
        </w:rPr>
        <w:footnoteRef/>
      </w:r>
      <w:r w:rsidRPr="003216C6">
        <w:rPr>
          <w:lang w:val="en-US"/>
        </w:rPr>
        <w:t xml:space="preserve"> </w:t>
      </w:r>
      <w:r w:rsidRPr="009E57E1">
        <w:rPr>
          <w:i/>
          <w:lang w:val="en-US"/>
        </w:rPr>
        <w:t>Meyer v. Nebraska</w:t>
      </w:r>
      <w:r w:rsidRPr="003216C6">
        <w:rPr>
          <w:lang w:val="en-US"/>
        </w:rPr>
        <w:t>, 262 U.S. 390, 399 (1923);</w:t>
      </w:r>
      <w:r>
        <w:rPr>
          <w:lang w:val="en-US"/>
        </w:rPr>
        <w:t xml:space="preserve"> </w:t>
      </w:r>
      <w:proofErr w:type="spellStart"/>
      <w:r w:rsidRPr="00E47138">
        <w:rPr>
          <w:lang w:val="en-US"/>
        </w:rPr>
        <w:t>siehe</w:t>
      </w:r>
      <w:proofErr w:type="spellEnd"/>
      <w:r w:rsidRPr="003216C6">
        <w:rPr>
          <w:lang w:val="en-US"/>
        </w:rPr>
        <w:t xml:space="preserve"> </w:t>
      </w:r>
      <w:r w:rsidRPr="00B45592">
        <w:rPr>
          <w:i/>
          <w:lang w:val="en-US"/>
        </w:rPr>
        <w:t>Dent v. West Virginia</w:t>
      </w:r>
      <w:r w:rsidRPr="003216C6">
        <w:rPr>
          <w:lang w:val="en-US"/>
        </w:rPr>
        <w:t>, 129 U.S. 114, 123</w:t>
      </w:r>
      <w:r>
        <w:rPr>
          <w:lang w:val="en-US"/>
        </w:rPr>
        <w:t>–</w:t>
      </w:r>
      <w:r w:rsidRPr="003216C6">
        <w:rPr>
          <w:lang w:val="en-US"/>
        </w:rPr>
        <w:t>124 (1889)</w:t>
      </w:r>
      <w:r>
        <w:rPr>
          <w:lang w:val="en-US"/>
        </w:rPr>
        <w:t xml:space="preserve">; </w:t>
      </w:r>
      <w:r w:rsidRPr="004F13B1">
        <w:rPr>
          <w:i/>
          <w:lang w:val="en-US"/>
        </w:rPr>
        <w:t>Ingraham v. Wright</w:t>
      </w:r>
      <w:r w:rsidRPr="003216C6">
        <w:rPr>
          <w:lang w:val="en-US"/>
        </w:rPr>
        <w:t>, 430 U.S. 651, 673</w:t>
      </w:r>
      <w:r w:rsidRPr="006E67FE">
        <w:rPr>
          <w:lang w:val="en-US"/>
        </w:rPr>
        <w:t xml:space="preserve"> = 97 S. Ct. </w:t>
      </w:r>
      <w:r w:rsidRPr="003216C6">
        <w:rPr>
          <w:lang w:val="en-US"/>
        </w:rPr>
        <w:t>1401, 1413</w:t>
      </w:r>
      <w:r w:rsidRPr="00EC5BEB">
        <w:rPr>
          <w:lang w:val="en-US"/>
        </w:rPr>
        <w:t xml:space="preserve"> = 51 L. Ed. </w:t>
      </w:r>
      <w:r w:rsidRPr="003216C6">
        <w:rPr>
          <w:lang w:val="en-US"/>
        </w:rPr>
        <w:t>2d 711, 731</w:t>
      </w:r>
      <w:r w:rsidRPr="006E67FE">
        <w:rPr>
          <w:lang w:val="en-US"/>
        </w:rPr>
        <w:t xml:space="preserve"> = 1977 U.S. LEXIS </w:t>
      </w:r>
      <w:r w:rsidRPr="003216C6">
        <w:rPr>
          <w:lang w:val="en-US"/>
        </w:rPr>
        <w:t>74, 42 (1977)</w:t>
      </w:r>
      <w:r>
        <w:rPr>
          <w:lang w:val="en-US"/>
        </w:rPr>
        <w:t>.</w:t>
      </w:r>
    </w:p>
  </w:footnote>
  <w:footnote w:id="2018">
    <w:p w14:paraId="3131729A" w14:textId="77777777" w:rsidR="00074551" w:rsidRPr="00E47138" w:rsidRDefault="00074551" w:rsidP="00074551">
      <w:pPr>
        <w:pStyle w:val="Funotentext"/>
        <w:rPr>
          <w:lang w:val="en-US"/>
        </w:rPr>
      </w:pPr>
      <w:r>
        <w:rPr>
          <w:rStyle w:val="Funotenzeichen"/>
          <w:rFonts w:eastAsiaTheme="majorEastAsia"/>
        </w:rPr>
        <w:footnoteRef/>
      </w:r>
      <w:r w:rsidRPr="00C661D4">
        <w:rPr>
          <w:lang w:val="en-US"/>
        </w:rPr>
        <w:t xml:space="preserve"> </w:t>
      </w:r>
      <w:r w:rsidRPr="009E57E1">
        <w:rPr>
          <w:i/>
          <w:lang w:val="en-US"/>
        </w:rPr>
        <w:t>Board of Regents v. Roth</w:t>
      </w:r>
      <w:r w:rsidRPr="00C661D4">
        <w:rPr>
          <w:lang w:val="en-US"/>
        </w:rPr>
        <w:t xml:space="preserve">, </w:t>
      </w:r>
      <w:r w:rsidRPr="00B45592">
        <w:rPr>
          <w:lang w:val="en-IE"/>
        </w:rPr>
        <w:t>408 U.S. 564,</w:t>
      </w:r>
      <w:r w:rsidRPr="00E47138" w:rsidDel="00E47138">
        <w:rPr>
          <w:lang w:val="en-US"/>
        </w:rPr>
        <w:t xml:space="preserve"> </w:t>
      </w:r>
      <w:r w:rsidRPr="00E47138">
        <w:rPr>
          <w:lang w:val="en-US"/>
        </w:rPr>
        <w:t xml:space="preserve">570 </w:t>
      </w:r>
      <w:r w:rsidRPr="00B45592">
        <w:rPr>
          <w:lang w:val="en-IE"/>
        </w:rPr>
        <w:t>(1972)</w:t>
      </w:r>
      <w:r w:rsidRPr="00E47138">
        <w:rPr>
          <w:lang w:val="en-US"/>
        </w:rPr>
        <w:t>.</w:t>
      </w:r>
    </w:p>
  </w:footnote>
  <w:footnote w:id="2019">
    <w:p w14:paraId="51065250" w14:textId="77777777" w:rsidR="00074551" w:rsidRPr="00E47138" w:rsidRDefault="00074551" w:rsidP="00074551">
      <w:pPr>
        <w:pStyle w:val="Funotentext"/>
        <w:rPr>
          <w:lang w:val="en-US"/>
        </w:rPr>
      </w:pPr>
      <w:r w:rsidRPr="00E47138">
        <w:rPr>
          <w:rStyle w:val="Funotenzeichen"/>
          <w:rFonts w:eastAsiaTheme="majorEastAsia"/>
        </w:rPr>
        <w:footnoteRef/>
      </w:r>
      <w:r w:rsidRPr="00E47138">
        <w:rPr>
          <w:lang w:val="en-US"/>
        </w:rPr>
        <w:t xml:space="preserve"> </w:t>
      </w:r>
      <w:r w:rsidRPr="004F13B1">
        <w:rPr>
          <w:i/>
          <w:lang w:val="en-US"/>
        </w:rPr>
        <w:t>Meachum v. Fano</w:t>
      </w:r>
      <w:r w:rsidRPr="00E47138">
        <w:rPr>
          <w:lang w:val="en-US"/>
        </w:rPr>
        <w:t xml:space="preserve">, 427 U.S., </w:t>
      </w:r>
      <w:r w:rsidRPr="00B45592">
        <w:rPr>
          <w:lang w:val="en-IE"/>
        </w:rPr>
        <w:t xml:space="preserve">427 U.S. 215, </w:t>
      </w:r>
      <w:r w:rsidRPr="00E47138">
        <w:rPr>
          <w:lang w:val="en-US"/>
        </w:rPr>
        <w:t>224</w:t>
      </w:r>
      <w:r w:rsidRPr="00B45592">
        <w:rPr>
          <w:lang w:val="en-IE"/>
        </w:rPr>
        <w:t xml:space="preserve"> (1976</w:t>
      </w:r>
      <w:proofErr w:type="gramStart"/>
      <w:r w:rsidRPr="00B45592">
        <w:rPr>
          <w:lang w:val="en-IE"/>
        </w:rPr>
        <w:t>)</w:t>
      </w:r>
      <w:r w:rsidRPr="00E47138" w:rsidDel="00E47138">
        <w:rPr>
          <w:lang w:val="en-US"/>
        </w:rPr>
        <w:t xml:space="preserve"> </w:t>
      </w:r>
      <w:r w:rsidRPr="00E47138">
        <w:rPr>
          <w:lang w:val="en-US"/>
        </w:rPr>
        <w:t>.</w:t>
      </w:r>
      <w:proofErr w:type="gramEnd"/>
    </w:p>
  </w:footnote>
  <w:footnote w:id="2020">
    <w:p w14:paraId="7A90B521" w14:textId="77777777" w:rsidR="00074551" w:rsidRPr="00C661D4" w:rsidRDefault="00074551" w:rsidP="00074551">
      <w:pPr>
        <w:pStyle w:val="Funotentext"/>
        <w:rPr>
          <w:lang w:val="en-US"/>
        </w:rPr>
      </w:pPr>
      <w:r w:rsidRPr="00E47138">
        <w:rPr>
          <w:rStyle w:val="Funotenzeichen"/>
          <w:rFonts w:eastAsiaTheme="majorEastAsia"/>
        </w:rPr>
        <w:footnoteRef/>
      </w:r>
      <w:r w:rsidRPr="00E47138">
        <w:rPr>
          <w:lang w:val="en-US"/>
        </w:rPr>
        <w:t xml:space="preserve"> </w:t>
      </w:r>
      <w:r w:rsidRPr="009E57E1">
        <w:rPr>
          <w:i/>
          <w:lang w:val="en-US"/>
        </w:rPr>
        <w:t>Board of Regents v. Roth</w:t>
      </w:r>
      <w:r w:rsidRPr="00E47138">
        <w:rPr>
          <w:lang w:val="en-US"/>
        </w:rPr>
        <w:t xml:space="preserve">, </w:t>
      </w:r>
      <w:r w:rsidRPr="00B45592">
        <w:rPr>
          <w:lang w:val="en-IE"/>
        </w:rPr>
        <w:t xml:space="preserve">408 U.S. 564, </w:t>
      </w:r>
      <w:r w:rsidRPr="00E47138">
        <w:rPr>
          <w:lang w:val="en-US"/>
        </w:rPr>
        <w:t xml:space="preserve">570–571 </w:t>
      </w:r>
      <w:r w:rsidRPr="00B45592">
        <w:rPr>
          <w:lang w:val="en-IE"/>
        </w:rPr>
        <w:t>(1972)</w:t>
      </w:r>
      <w:r w:rsidRPr="00E47138">
        <w:rPr>
          <w:lang w:val="en-US"/>
        </w:rPr>
        <w:t>.</w:t>
      </w:r>
    </w:p>
  </w:footnote>
  <w:footnote w:id="2021">
    <w:p w14:paraId="1C81ACAD" w14:textId="77777777" w:rsidR="00074551" w:rsidRPr="00336982" w:rsidRDefault="00074551" w:rsidP="00074551">
      <w:pPr>
        <w:pStyle w:val="Funotentext"/>
        <w:rPr>
          <w:lang w:val="en-US"/>
        </w:rPr>
      </w:pPr>
      <w:r>
        <w:rPr>
          <w:rStyle w:val="Funotenzeichen"/>
          <w:rFonts w:eastAsiaTheme="majorEastAsia"/>
        </w:rPr>
        <w:footnoteRef/>
      </w:r>
      <w:r w:rsidRPr="00336982">
        <w:rPr>
          <w:lang w:val="en-US"/>
        </w:rPr>
        <w:t xml:space="preserve"> </w:t>
      </w:r>
      <w:r w:rsidRPr="009E57E1">
        <w:rPr>
          <w:i/>
          <w:lang w:val="en-US"/>
        </w:rPr>
        <w:t>Meyer v. Nebraska</w:t>
      </w:r>
      <w:r w:rsidRPr="00336982">
        <w:rPr>
          <w:lang w:val="en-US"/>
        </w:rPr>
        <w:t xml:space="preserve">, 262 U.S. 390, 399 (1923); </w:t>
      </w:r>
      <w:proofErr w:type="spellStart"/>
      <w:r w:rsidRPr="00E47138">
        <w:rPr>
          <w:lang w:val="en-US"/>
        </w:rPr>
        <w:t>siehe</w:t>
      </w:r>
      <w:proofErr w:type="spellEnd"/>
      <w:r w:rsidRPr="00336982">
        <w:rPr>
          <w:lang w:val="en-US"/>
        </w:rPr>
        <w:t xml:space="preserve"> </w:t>
      </w:r>
      <w:r w:rsidRPr="00B45592">
        <w:rPr>
          <w:i/>
          <w:lang w:val="en-US"/>
        </w:rPr>
        <w:t>Dent v. West Virginia</w:t>
      </w:r>
      <w:r w:rsidRPr="00336982">
        <w:rPr>
          <w:lang w:val="en-US"/>
        </w:rPr>
        <w:t>, 129 U.S. 114, 123</w:t>
      </w:r>
      <w:r>
        <w:rPr>
          <w:lang w:val="en-US"/>
        </w:rPr>
        <w:t>–</w:t>
      </w:r>
      <w:r w:rsidRPr="00336982">
        <w:rPr>
          <w:lang w:val="en-US"/>
        </w:rPr>
        <w:t>124 (1889).</w:t>
      </w:r>
    </w:p>
  </w:footnote>
  <w:footnote w:id="2022">
    <w:p w14:paraId="35CA1BBA" w14:textId="77777777" w:rsidR="00074551" w:rsidRPr="003216C6" w:rsidRDefault="00074551" w:rsidP="00074551">
      <w:pPr>
        <w:pStyle w:val="Funotentext"/>
        <w:rPr>
          <w:lang w:val="en-US"/>
        </w:rPr>
      </w:pPr>
      <w:r>
        <w:rPr>
          <w:rStyle w:val="Funotenzeichen"/>
          <w:rFonts w:eastAsiaTheme="majorEastAsia"/>
        </w:rPr>
        <w:footnoteRef/>
      </w:r>
      <w:r w:rsidRPr="003216C6">
        <w:rPr>
          <w:lang w:val="en-US"/>
        </w:rPr>
        <w:t xml:space="preserve"> </w:t>
      </w:r>
      <w:r w:rsidRPr="00B45592">
        <w:rPr>
          <w:i/>
          <w:lang w:val="en-US"/>
        </w:rPr>
        <w:t>Rochin v. California</w:t>
      </w:r>
      <w:r w:rsidRPr="003216C6">
        <w:rPr>
          <w:lang w:val="en-US"/>
        </w:rPr>
        <w:t>, 342 U.S. 165 (1952)</w:t>
      </w:r>
      <w:r>
        <w:rPr>
          <w:lang w:val="en-US"/>
        </w:rPr>
        <w:t xml:space="preserve">; </w:t>
      </w:r>
      <w:r w:rsidRPr="004F13B1">
        <w:rPr>
          <w:i/>
          <w:lang w:val="en-US"/>
        </w:rPr>
        <w:t>Ingraham v. Wright</w:t>
      </w:r>
      <w:r w:rsidRPr="003216C6">
        <w:rPr>
          <w:lang w:val="en-US"/>
        </w:rPr>
        <w:t>, 430 U.S. 651, 674</w:t>
      </w:r>
      <w:r w:rsidRPr="006E67FE">
        <w:rPr>
          <w:lang w:val="en-US"/>
        </w:rPr>
        <w:t xml:space="preserve"> = 97 S. Ct. </w:t>
      </w:r>
      <w:r w:rsidRPr="003216C6">
        <w:rPr>
          <w:lang w:val="en-US"/>
        </w:rPr>
        <w:t>1401, 1414</w:t>
      </w:r>
      <w:r w:rsidRPr="00EC5BEB">
        <w:rPr>
          <w:lang w:val="en-US"/>
        </w:rPr>
        <w:t xml:space="preserve"> = 51 L. Ed. </w:t>
      </w:r>
      <w:r w:rsidRPr="003216C6">
        <w:rPr>
          <w:lang w:val="en-US"/>
        </w:rPr>
        <w:t>2d 711, 732</w:t>
      </w:r>
      <w:r w:rsidRPr="006E67FE">
        <w:rPr>
          <w:lang w:val="en-US"/>
        </w:rPr>
        <w:t xml:space="preserve"> = 1977 U.S. LEXIS </w:t>
      </w:r>
      <w:r w:rsidRPr="003216C6">
        <w:rPr>
          <w:lang w:val="en-US"/>
        </w:rPr>
        <w:t>74, 43 (1977)</w:t>
      </w:r>
      <w:r>
        <w:rPr>
          <w:lang w:val="en-US"/>
        </w:rPr>
        <w:t>.</w:t>
      </w:r>
    </w:p>
  </w:footnote>
  <w:footnote w:id="2023">
    <w:p w14:paraId="25966EDC" w14:textId="77777777" w:rsidR="00074551" w:rsidRPr="00C661D4" w:rsidRDefault="00074551" w:rsidP="00074551">
      <w:pPr>
        <w:pStyle w:val="Funotentext"/>
        <w:rPr>
          <w:lang w:val="en-US"/>
        </w:rPr>
      </w:pPr>
      <w:r>
        <w:rPr>
          <w:rStyle w:val="Funotenzeichen"/>
          <w:rFonts w:eastAsiaTheme="majorEastAsia"/>
        </w:rPr>
        <w:footnoteRef/>
      </w:r>
      <w:r w:rsidRPr="00C661D4">
        <w:rPr>
          <w:lang w:val="en-US"/>
        </w:rPr>
        <w:t xml:space="preserve"> </w:t>
      </w:r>
      <w:r>
        <w:rPr>
          <w:lang w:val="en-US"/>
        </w:rPr>
        <w:t>„</w:t>
      </w:r>
      <w:r w:rsidRPr="002506F4">
        <w:rPr>
          <w:lang w:val="en-US"/>
        </w:rPr>
        <w:t xml:space="preserve">W. Blackstone, Commentaries * 134. Under the 39th Article of the Magna Carta, an individual could not be deprived of this right of personal </w:t>
      </w:r>
      <w:proofErr w:type="gramStart"/>
      <w:r w:rsidRPr="002506F4">
        <w:rPr>
          <w:lang w:val="en-US"/>
        </w:rPr>
        <w:t xml:space="preserve">security </w:t>
      </w:r>
      <w:r>
        <w:rPr>
          <w:lang w:val="en-US"/>
        </w:rPr>
        <w:t>,</w:t>
      </w:r>
      <w:r w:rsidRPr="002506F4">
        <w:rPr>
          <w:lang w:val="en-US"/>
        </w:rPr>
        <w:t>except</w:t>
      </w:r>
      <w:proofErr w:type="gramEnd"/>
      <w:r w:rsidRPr="002506F4">
        <w:rPr>
          <w:lang w:val="en-US"/>
        </w:rPr>
        <w:t xml:space="preserve"> by the legal judgment of his peers or by the law of the </w:t>
      </w:r>
      <w:proofErr w:type="gramStart"/>
      <w:r w:rsidRPr="002506F4">
        <w:rPr>
          <w:lang w:val="en-US"/>
        </w:rPr>
        <w:t>land.</w:t>
      </w:r>
      <w:r>
        <w:rPr>
          <w:lang w:val="en-US"/>
        </w:rPr>
        <w:t>‘</w:t>
      </w:r>
      <w:proofErr w:type="gramEnd"/>
      <w:r w:rsidRPr="002506F4">
        <w:rPr>
          <w:lang w:val="en-US"/>
        </w:rPr>
        <w:t xml:space="preserve"> Perry &amp; Cooper, supra, n. 33, at 17. By subsequent enactments of Parliament during the time of Edward III, the right was protected from deprivation </w:t>
      </w:r>
      <w:proofErr w:type="gramStart"/>
      <w:r w:rsidRPr="002506F4">
        <w:rPr>
          <w:lang w:val="en-US"/>
        </w:rPr>
        <w:t xml:space="preserve">except </w:t>
      </w:r>
      <w:r>
        <w:rPr>
          <w:lang w:val="en-US"/>
        </w:rPr>
        <w:t>,</w:t>
      </w:r>
      <w:r w:rsidRPr="002506F4">
        <w:rPr>
          <w:lang w:val="en-US"/>
        </w:rPr>
        <w:t>by</w:t>
      </w:r>
      <w:proofErr w:type="gramEnd"/>
      <w:r w:rsidRPr="002506F4">
        <w:rPr>
          <w:lang w:val="en-US"/>
        </w:rPr>
        <w:t xml:space="preserve"> due process of </w:t>
      </w:r>
      <w:proofErr w:type="gramStart"/>
      <w:r w:rsidRPr="002506F4">
        <w:rPr>
          <w:lang w:val="en-US"/>
        </w:rPr>
        <w:t>law.</w:t>
      </w:r>
      <w:r>
        <w:rPr>
          <w:lang w:val="en-US"/>
        </w:rPr>
        <w:t>‘</w:t>
      </w:r>
      <w:proofErr w:type="gramEnd"/>
      <w:r w:rsidRPr="002506F4">
        <w:rPr>
          <w:lang w:val="en-US"/>
        </w:rPr>
        <w:t xml:space="preserve"> See Shattuck, The True Meaning of the </w:t>
      </w:r>
      <w:proofErr w:type="gramStart"/>
      <w:r w:rsidRPr="002506F4">
        <w:rPr>
          <w:lang w:val="en-US"/>
        </w:rPr>
        <w:t xml:space="preserve">Term </w:t>
      </w:r>
      <w:r>
        <w:rPr>
          <w:lang w:val="en-US"/>
        </w:rPr>
        <w:t>,</w:t>
      </w:r>
      <w:r w:rsidRPr="002506F4">
        <w:rPr>
          <w:lang w:val="en-US"/>
        </w:rPr>
        <w:t>Liberty,</w:t>
      </w:r>
      <w:r>
        <w:rPr>
          <w:lang w:val="en-US"/>
        </w:rPr>
        <w:t>‘</w:t>
      </w:r>
      <w:r w:rsidRPr="002506F4">
        <w:rPr>
          <w:lang w:val="en-US"/>
        </w:rPr>
        <w:t xml:space="preserve"> 4</w:t>
      </w:r>
      <w:proofErr w:type="gramEnd"/>
      <w:r w:rsidRPr="002506F4">
        <w:rPr>
          <w:lang w:val="en-US"/>
        </w:rPr>
        <w:t xml:space="preserve"> Harv. L. Rev. 365, 372</w:t>
      </w:r>
      <w:r>
        <w:rPr>
          <w:lang w:val="en-US"/>
        </w:rPr>
        <w:t>–</w:t>
      </w:r>
      <w:r w:rsidRPr="002506F4">
        <w:rPr>
          <w:lang w:val="en-US"/>
        </w:rPr>
        <w:t>373 (</w:t>
      </w:r>
      <w:proofErr w:type="gramStart"/>
      <w:r w:rsidRPr="002506F4">
        <w:rPr>
          <w:lang w:val="en-US"/>
        </w:rPr>
        <w:t>1891)</w:t>
      </w:r>
      <w:r>
        <w:rPr>
          <w:lang w:val="en-US"/>
        </w:rPr>
        <w:t>“</w:t>
      </w:r>
      <w:proofErr w:type="gramEnd"/>
      <w:r>
        <w:rPr>
          <w:lang w:val="en-US"/>
        </w:rPr>
        <w:t xml:space="preserve">, in </w:t>
      </w:r>
      <w:r w:rsidRPr="004F13B1">
        <w:rPr>
          <w:i/>
          <w:lang w:val="en-US"/>
        </w:rPr>
        <w:t>Ingraham v. Wright</w:t>
      </w:r>
      <w:r w:rsidRPr="002506F4">
        <w:rPr>
          <w:lang w:val="en-US"/>
        </w:rPr>
        <w:t>, 430 U.S. 651, 673</w:t>
      </w:r>
      <w:r w:rsidRPr="006E67FE">
        <w:rPr>
          <w:lang w:val="en-US"/>
        </w:rPr>
        <w:t xml:space="preserve"> = 97 S. Ct. </w:t>
      </w:r>
      <w:r w:rsidRPr="002506F4">
        <w:rPr>
          <w:lang w:val="en-US"/>
        </w:rPr>
        <w:t>1401, 1413</w:t>
      </w:r>
      <w:r w:rsidRPr="00EC5BEB">
        <w:rPr>
          <w:lang w:val="en-US"/>
        </w:rPr>
        <w:t xml:space="preserve"> = 51 L. Ed. </w:t>
      </w:r>
      <w:r w:rsidRPr="002506F4">
        <w:rPr>
          <w:lang w:val="en-US"/>
        </w:rPr>
        <w:t>2d 711, 731</w:t>
      </w:r>
      <w:r w:rsidRPr="006E67FE">
        <w:rPr>
          <w:lang w:val="en-US"/>
        </w:rPr>
        <w:t xml:space="preserve"> = 1977 U.S. LEXIS </w:t>
      </w:r>
      <w:r w:rsidRPr="002506F4">
        <w:rPr>
          <w:lang w:val="en-US"/>
        </w:rPr>
        <w:t>74, 42 (1977)</w:t>
      </w:r>
      <w:r>
        <w:rPr>
          <w:lang w:val="en-US"/>
        </w:rPr>
        <w:t>.</w:t>
      </w:r>
    </w:p>
  </w:footnote>
  <w:footnote w:id="2024">
    <w:p w14:paraId="1727C1EB" w14:textId="77777777" w:rsidR="00074551" w:rsidRPr="002506F4" w:rsidRDefault="00074551" w:rsidP="00074551">
      <w:pPr>
        <w:pStyle w:val="Funotentext"/>
        <w:rPr>
          <w:lang w:val="en-US"/>
        </w:rPr>
      </w:pPr>
      <w:r>
        <w:rPr>
          <w:rStyle w:val="Funotenzeichen"/>
          <w:rFonts w:eastAsiaTheme="majorEastAsia"/>
        </w:rPr>
        <w:footnoteRef/>
      </w:r>
      <w:r w:rsidRPr="002506F4">
        <w:rPr>
          <w:lang w:val="en-US"/>
        </w:rPr>
        <w:t xml:space="preserve"> </w:t>
      </w:r>
      <w:proofErr w:type="spellStart"/>
      <w:r>
        <w:rPr>
          <w:lang w:val="en-US"/>
        </w:rPr>
        <w:t>Siehe</w:t>
      </w:r>
      <w:proofErr w:type="spellEnd"/>
      <w:r w:rsidRPr="002506F4">
        <w:rPr>
          <w:lang w:val="en-US"/>
        </w:rPr>
        <w:t xml:space="preserve"> </w:t>
      </w:r>
      <w:r w:rsidRPr="00B45592">
        <w:rPr>
          <w:i/>
          <w:lang w:val="en-US"/>
        </w:rPr>
        <w:t>Rochin v. California</w:t>
      </w:r>
      <w:r w:rsidRPr="002506F4">
        <w:rPr>
          <w:lang w:val="en-US"/>
        </w:rPr>
        <w:t>, 342 U.S. 165 (1952)</w:t>
      </w:r>
      <w:r>
        <w:rPr>
          <w:lang w:val="en-US"/>
        </w:rPr>
        <w:t xml:space="preserve">; </w:t>
      </w:r>
      <w:r w:rsidRPr="004F13B1">
        <w:rPr>
          <w:i/>
          <w:lang w:val="en-US"/>
        </w:rPr>
        <w:t>Ingraham v. Wright</w:t>
      </w:r>
      <w:r w:rsidRPr="002506F4">
        <w:rPr>
          <w:lang w:val="en-US"/>
        </w:rPr>
        <w:t>, 430 U.S. 651, 674</w:t>
      </w:r>
      <w:r w:rsidRPr="006E67FE">
        <w:rPr>
          <w:lang w:val="en-US"/>
        </w:rPr>
        <w:t xml:space="preserve"> = 97 S. Ct. </w:t>
      </w:r>
      <w:r w:rsidRPr="002506F4">
        <w:rPr>
          <w:lang w:val="en-US"/>
        </w:rPr>
        <w:t>1401, 1414</w:t>
      </w:r>
      <w:r w:rsidRPr="00EC5BEB">
        <w:rPr>
          <w:lang w:val="en-US"/>
        </w:rPr>
        <w:t xml:space="preserve"> = 51 L. Ed. </w:t>
      </w:r>
      <w:r w:rsidRPr="002506F4">
        <w:rPr>
          <w:lang w:val="en-US"/>
        </w:rPr>
        <w:t>2d 711, 732</w:t>
      </w:r>
      <w:r w:rsidRPr="006E67FE">
        <w:rPr>
          <w:lang w:val="en-US"/>
        </w:rPr>
        <w:t xml:space="preserve"> = 1977 U.S. LEXIS </w:t>
      </w:r>
      <w:r w:rsidRPr="002506F4">
        <w:rPr>
          <w:lang w:val="en-US"/>
        </w:rPr>
        <w:t>74, 43 (1977)</w:t>
      </w:r>
      <w:r>
        <w:rPr>
          <w:lang w:val="en-US"/>
        </w:rPr>
        <w:t>.</w:t>
      </w:r>
    </w:p>
  </w:footnote>
  <w:footnote w:id="2025">
    <w:p w14:paraId="6B471F99" w14:textId="77777777" w:rsidR="00074551" w:rsidRPr="003216C6" w:rsidRDefault="00074551" w:rsidP="00074551">
      <w:pPr>
        <w:pStyle w:val="Funotentext"/>
        <w:rPr>
          <w:lang w:val="en-US"/>
        </w:rPr>
      </w:pPr>
      <w:r>
        <w:rPr>
          <w:rStyle w:val="Funotenzeichen"/>
          <w:rFonts w:eastAsiaTheme="majorEastAsia"/>
        </w:rPr>
        <w:footnoteRef/>
      </w:r>
      <w:r w:rsidRPr="003216C6">
        <w:rPr>
          <w:lang w:val="en-US"/>
        </w:rPr>
        <w:t xml:space="preserve"> </w:t>
      </w:r>
      <w:r w:rsidRPr="004F13B1">
        <w:rPr>
          <w:i/>
          <w:lang w:val="en-US"/>
        </w:rPr>
        <w:t>Ingraham v. Wright</w:t>
      </w:r>
      <w:r w:rsidRPr="003216C6">
        <w:rPr>
          <w:lang w:val="en-US"/>
        </w:rPr>
        <w:t>, 430 U.S. 651, 674</w:t>
      </w:r>
      <w:r w:rsidRPr="006E67FE">
        <w:rPr>
          <w:lang w:val="en-US"/>
        </w:rPr>
        <w:t xml:space="preserve"> = 97 S. Ct. </w:t>
      </w:r>
      <w:r w:rsidRPr="003216C6">
        <w:rPr>
          <w:lang w:val="en-US"/>
        </w:rPr>
        <w:t>1401, 1414</w:t>
      </w:r>
      <w:r w:rsidRPr="00EC5BEB">
        <w:rPr>
          <w:lang w:val="en-US"/>
        </w:rPr>
        <w:t xml:space="preserve"> = 51 L. Ed. </w:t>
      </w:r>
      <w:r w:rsidRPr="003216C6">
        <w:rPr>
          <w:lang w:val="en-US"/>
        </w:rPr>
        <w:t>2d 711, 732</w:t>
      </w:r>
      <w:r w:rsidRPr="006E67FE">
        <w:rPr>
          <w:lang w:val="en-US"/>
        </w:rPr>
        <w:t xml:space="preserve"> = 1977 U.S. LEXIS </w:t>
      </w:r>
      <w:r w:rsidRPr="003216C6">
        <w:rPr>
          <w:lang w:val="en-US"/>
        </w:rPr>
        <w:t>74, 44 (1977)</w:t>
      </w:r>
      <w:r>
        <w:rPr>
          <w:lang w:val="en-US"/>
        </w:rPr>
        <w:t>.</w:t>
      </w:r>
    </w:p>
  </w:footnote>
  <w:footnote w:id="2026">
    <w:p w14:paraId="22941882" w14:textId="77777777" w:rsidR="00074551" w:rsidRPr="003216C6" w:rsidRDefault="00074551" w:rsidP="00074551">
      <w:pPr>
        <w:pStyle w:val="Funotentext"/>
        <w:rPr>
          <w:lang w:val="en-US"/>
        </w:rPr>
      </w:pPr>
      <w:r>
        <w:rPr>
          <w:rStyle w:val="Funotenzeichen"/>
          <w:rFonts w:eastAsiaTheme="majorEastAsia"/>
        </w:rPr>
        <w:footnoteRef/>
      </w:r>
      <w:r w:rsidRPr="003216C6">
        <w:rPr>
          <w:lang w:val="en-US"/>
        </w:rPr>
        <w:t xml:space="preserve"> </w:t>
      </w:r>
      <w:r w:rsidRPr="004F13B1">
        <w:rPr>
          <w:i/>
          <w:lang w:val="en-US"/>
        </w:rPr>
        <w:t>Ingraham v. Wright</w:t>
      </w:r>
      <w:r w:rsidRPr="003216C6">
        <w:rPr>
          <w:lang w:val="en-US"/>
        </w:rPr>
        <w:t>, 430 U.S. 651, 674</w:t>
      </w:r>
      <w:r w:rsidRPr="006E67FE">
        <w:rPr>
          <w:lang w:val="en-US"/>
        </w:rPr>
        <w:t xml:space="preserve"> = 97 S. Ct. </w:t>
      </w:r>
      <w:r w:rsidRPr="003216C6">
        <w:rPr>
          <w:lang w:val="en-US"/>
        </w:rPr>
        <w:t>1401, 1414</w:t>
      </w:r>
      <w:r w:rsidRPr="00EC5BEB">
        <w:rPr>
          <w:lang w:val="en-US"/>
        </w:rPr>
        <w:t xml:space="preserve"> = 51 L. Ed. </w:t>
      </w:r>
      <w:r w:rsidRPr="003216C6">
        <w:rPr>
          <w:lang w:val="en-US"/>
        </w:rPr>
        <w:t>2d 711, 732</w:t>
      </w:r>
      <w:r w:rsidRPr="006E67FE">
        <w:rPr>
          <w:lang w:val="en-US"/>
        </w:rPr>
        <w:t xml:space="preserve"> = 1977 U.S. LEXIS </w:t>
      </w:r>
      <w:r w:rsidRPr="003216C6">
        <w:rPr>
          <w:lang w:val="en-US"/>
        </w:rPr>
        <w:t>74, 44 (1977)</w:t>
      </w:r>
      <w:r>
        <w:rPr>
          <w:lang w:val="en-US"/>
        </w:rPr>
        <w:t>.</w:t>
      </w:r>
    </w:p>
  </w:footnote>
  <w:footnote w:id="2027">
    <w:p w14:paraId="267D0AAB" w14:textId="77777777" w:rsidR="00074551" w:rsidRPr="000C67F4" w:rsidRDefault="00074551" w:rsidP="00074551">
      <w:pPr>
        <w:pStyle w:val="Funotentext"/>
        <w:rPr>
          <w:lang w:val="en-US"/>
        </w:rPr>
      </w:pPr>
      <w:r>
        <w:rPr>
          <w:rStyle w:val="Funotenzeichen"/>
        </w:rPr>
        <w:footnoteRef/>
      </w:r>
      <w:r w:rsidRPr="000C67F4">
        <w:rPr>
          <w:lang w:val="en-US"/>
        </w:rPr>
        <w:t xml:space="preserve"> </w:t>
      </w:r>
      <w:r>
        <w:rPr>
          <w:lang w:val="en-US"/>
        </w:rPr>
        <w:t>„</w:t>
      </w:r>
      <w:r w:rsidRPr="000C67F4">
        <w:rPr>
          <w:lang w:val="en-US"/>
        </w:rPr>
        <w:t xml:space="preserve">Classes of </w:t>
      </w:r>
      <w:proofErr w:type="gramStart"/>
      <w:r w:rsidRPr="000C67F4">
        <w:rPr>
          <w:lang w:val="en-US"/>
        </w:rPr>
        <w:t>aliens</w:t>
      </w:r>
      <w:proofErr w:type="gramEnd"/>
      <w:r w:rsidRPr="000C67F4">
        <w:rPr>
          <w:lang w:val="en-US"/>
        </w:rPr>
        <w:t xml:space="preserve"> ineligible for visas or admission. Except as otherwise provided in this Act, aliens who are inadmissible under the following paragraphs are ineligible to receive visas and ineligible to be admitted to the United States: Security and related grounds.</w:t>
      </w:r>
      <w:r w:rsidRPr="000C67F4">
        <w:rPr>
          <w:rFonts w:ascii="Verdana" w:hAnsi="Verdana"/>
          <w:color w:val="212121"/>
          <w:sz w:val="18"/>
          <w:szCs w:val="18"/>
          <w:shd w:val="clear" w:color="auto" w:fill="FFFFFF"/>
          <w:lang w:val="en-US"/>
        </w:rPr>
        <w:t xml:space="preserve"> </w:t>
      </w:r>
      <w:r w:rsidRPr="0085626E">
        <w:rPr>
          <w:lang w:val="en-US"/>
        </w:rPr>
        <w:t xml:space="preserve">Terrorist </w:t>
      </w:r>
      <w:proofErr w:type="gramStart"/>
      <w:r w:rsidRPr="0085626E">
        <w:rPr>
          <w:lang w:val="en-US"/>
        </w:rPr>
        <w:t>activities“</w:t>
      </w:r>
      <w:proofErr w:type="gramEnd"/>
      <w:r>
        <w:rPr>
          <w:lang w:val="en-US"/>
        </w:rPr>
        <w:t>,</w:t>
      </w:r>
      <w:r w:rsidRPr="0085626E">
        <w:rPr>
          <w:lang w:val="en-US"/>
        </w:rPr>
        <w:t xml:space="preserve"> in </w:t>
      </w:r>
      <w:r w:rsidRPr="000C67F4">
        <w:rPr>
          <w:lang w:val="en-US"/>
        </w:rPr>
        <w:t xml:space="preserve">8 USCS </w:t>
      </w:r>
      <w:r>
        <w:rPr>
          <w:lang w:val="en-US"/>
        </w:rPr>
        <w:t>§ </w:t>
      </w:r>
      <w:r w:rsidRPr="000C67F4">
        <w:rPr>
          <w:lang w:val="en-US"/>
        </w:rPr>
        <w:t>1182</w:t>
      </w:r>
      <w:r>
        <w:rPr>
          <w:lang w:val="en-US"/>
        </w:rPr>
        <w:t>.</w:t>
      </w:r>
    </w:p>
  </w:footnote>
  <w:footnote w:id="2028">
    <w:p w14:paraId="260F1AFD" w14:textId="77777777" w:rsidR="00074551" w:rsidRPr="005625DF" w:rsidRDefault="00074551" w:rsidP="00074551">
      <w:pPr>
        <w:pStyle w:val="Funotentext"/>
        <w:rPr>
          <w:lang w:val="en-US"/>
        </w:rPr>
      </w:pPr>
      <w:r>
        <w:rPr>
          <w:rStyle w:val="Funotenzeichen"/>
        </w:rPr>
        <w:footnoteRef/>
      </w:r>
      <w:r w:rsidRPr="000C67F4">
        <w:rPr>
          <w:lang w:val="en-US"/>
        </w:rPr>
        <w:t xml:space="preserve"> </w:t>
      </w:r>
      <w:r w:rsidRPr="00E466E0">
        <w:rPr>
          <w:i/>
          <w:lang w:val="en-US"/>
        </w:rPr>
        <w:t>Kerry v. Din</w:t>
      </w:r>
      <w:r w:rsidRPr="000C67F4">
        <w:rPr>
          <w:lang w:val="en-US"/>
        </w:rPr>
        <w:t>, 576 U.S. 86, 86</w:t>
      </w:r>
      <w:r w:rsidRPr="006E67FE">
        <w:rPr>
          <w:lang w:val="en-US"/>
        </w:rPr>
        <w:t xml:space="preserve"> = 135 S. Ct. </w:t>
      </w:r>
      <w:r w:rsidRPr="000C67F4">
        <w:rPr>
          <w:lang w:val="en-US"/>
        </w:rPr>
        <w:t>2128, 2129</w:t>
      </w:r>
      <w:r w:rsidRPr="006E67FE">
        <w:rPr>
          <w:lang w:val="en-US"/>
        </w:rPr>
        <w:t xml:space="preserve"> = 192 L. Ed. </w:t>
      </w:r>
      <w:r w:rsidRPr="000C67F4">
        <w:rPr>
          <w:lang w:val="en-US"/>
        </w:rPr>
        <w:t>2d 183, 183</w:t>
      </w:r>
      <w:r w:rsidRPr="006E67FE">
        <w:rPr>
          <w:lang w:val="en-US"/>
        </w:rPr>
        <w:t xml:space="preserve"> = 2015 U.S. LEXIS </w:t>
      </w:r>
      <w:r w:rsidRPr="000C67F4">
        <w:rPr>
          <w:lang w:val="en-US"/>
        </w:rPr>
        <w:t>3918, 1</w:t>
      </w:r>
      <w:r w:rsidRPr="006E67FE">
        <w:rPr>
          <w:lang w:val="en-US"/>
        </w:rPr>
        <w:t xml:space="preserve"> = 83 U.S.L.W. </w:t>
      </w:r>
      <w:r w:rsidRPr="000C67F4">
        <w:rPr>
          <w:lang w:val="en-US"/>
        </w:rPr>
        <w:t>4417</w:t>
      </w:r>
      <w:r w:rsidRPr="006E67FE">
        <w:rPr>
          <w:lang w:val="en-US"/>
        </w:rPr>
        <w:t xml:space="preserve"> = 25 Fla. L. Weekly Fed. </w:t>
      </w:r>
      <w:r w:rsidRPr="005625DF">
        <w:rPr>
          <w:lang w:val="en-US"/>
        </w:rPr>
        <w:t>S 335 (2015)</w:t>
      </w:r>
      <w:r>
        <w:rPr>
          <w:lang w:val="en-US"/>
        </w:rPr>
        <w:t>.</w:t>
      </w:r>
    </w:p>
  </w:footnote>
  <w:footnote w:id="2029">
    <w:p w14:paraId="2C8B1FB9" w14:textId="77777777" w:rsidR="00074551" w:rsidRDefault="00074551" w:rsidP="00074551">
      <w:pPr>
        <w:pStyle w:val="Funotentext"/>
        <w:ind w:left="227" w:hanging="227"/>
        <w:rPr>
          <w:lang w:val="en-US"/>
        </w:rPr>
      </w:pPr>
      <w:r>
        <w:rPr>
          <w:rStyle w:val="Funotenzeichen"/>
          <w:rFonts w:eastAsiaTheme="majorEastAsia"/>
        </w:rPr>
        <w:footnoteRef/>
      </w:r>
      <w:r w:rsidRPr="00BB63DF">
        <w:rPr>
          <w:lang w:val="en-US"/>
        </w:rPr>
        <w:t xml:space="preserve"> </w:t>
      </w:r>
      <w:r w:rsidRPr="00E466E0">
        <w:rPr>
          <w:i/>
          <w:lang w:val="en-US"/>
        </w:rPr>
        <w:t>Wilkinson v. Austin</w:t>
      </w:r>
      <w:r w:rsidRPr="00BB63DF">
        <w:rPr>
          <w:lang w:val="en-US"/>
        </w:rPr>
        <w:t>, 545 U.S. 209, 221</w:t>
      </w:r>
      <w:r w:rsidRPr="006E67FE">
        <w:rPr>
          <w:lang w:val="en-US"/>
        </w:rPr>
        <w:t xml:space="preserve"> = 125 S. Ct. </w:t>
      </w:r>
      <w:r w:rsidRPr="00BB63DF">
        <w:rPr>
          <w:lang w:val="en-US"/>
        </w:rPr>
        <w:t>2384</w:t>
      </w:r>
      <w:r w:rsidRPr="006E67FE">
        <w:rPr>
          <w:lang w:val="en-US"/>
        </w:rPr>
        <w:t xml:space="preserve"> = 162 L. Ed. </w:t>
      </w:r>
      <w:r w:rsidRPr="00BB63DF">
        <w:rPr>
          <w:lang w:val="en-US"/>
        </w:rPr>
        <w:t>2d 174 (2005)</w:t>
      </w:r>
      <w:r>
        <w:rPr>
          <w:lang w:val="en-US"/>
        </w:rPr>
        <w:t xml:space="preserve">; </w:t>
      </w:r>
      <w:r w:rsidRPr="00E466E0">
        <w:rPr>
          <w:i/>
          <w:lang w:val="en-US"/>
        </w:rPr>
        <w:t>Kerry v. Din</w:t>
      </w:r>
      <w:r w:rsidRPr="00BB63DF">
        <w:rPr>
          <w:lang w:val="en-US"/>
        </w:rPr>
        <w:t>, 576 U.S. 86, 107</w:t>
      </w:r>
      <w:r w:rsidRPr="006E67FE">
        <w:rPr>
          <w:lang w:val="en-US"/>
        </w:rPr>
        <w:t xml:space="preserve"> = 135 S. Ct. </w:t>
      </w:r>
      <w:r w:rsidRPr="00BB63DF">
        <w:rPr>
          <w:lang w:val="en-US"/>
        </w:rPr>
        <w:t>2128, 2142</w:t>
      </w:r>
      <w:r w:rsidRPr="006E67FE">
        <w:rPr>
          <w:lang w:val="en-US"/>
        </w:rPr>
        <w:t xml:space="preserve"> = 192 L. Ed. </w:t>
      </w:r>
      <w:r w:rsidRPr="00BB63DF">
        <w:rPr>
          <w:lang w:val="en-US"/>
        </w:rPr>
        <w:t>2d 183, 198</w:t>
      </w:r>
      <w:r w:rsidRPr="006E67FE">
        <w:rPr>
          <w:lang w:val="en-US"/>
        </w:rPr>
        <w:t xml:space="preserve"> = 2015 U.S. LEXIS </w:t>
      </w:r>
    </w:p>
    <w:p w14:paraId="704CBE71" w14:textId="77777777" w:rsidR="00074551" w:rsidRPr="00BB63DF" w:rsidRDefault="00074551" w:rsidP="00074551">
      <w:pPr>
        <w:pStyle w:val="Funotentext"/>
        <w:ind w:left="227" w:hanging="227"/>
        <w:rPr>
          <w:lang w:val="en-US"/>
        </w:rPr>
      </w:pPr>
      <w:r w:rsidRPr="00BB63DF">
        <w:rPr>
          <w:lang w:val="en-US"/>
        </w:rPr>
        <w:t>3918, 34</w:t>
      </w:r>
      <w:r w:rsidRPr="006E67FE">
        <w:rPr>
          <w:lang w:val="en-US"/>
        </w:rPr>
        <w:t xml:space="preserve"> = 83 U.S.L.W. </w:t>
      </w:r>
      <w:r w:rsidRPr="00BB63DF">
        <w:rPr>
          <w:lang w:val="en-US"/>
        </w:rPr>
        <w:t>4417</w:t>
      </w:r>
      <w:r w:rsidRPr="006E67FE">
        <w:rPr>
          <w:lang w:val="en-US"/>
        </w:rPr>
        <w:t xml:space="preserve"> = 25 Fla. L. Weekly Fed. </w:t>
      </w:r>
      <w:r w:rsidRPr="00BB63DF">
        <w:rPr>
          <w:lang w:val="en-US"/>
        </w:rPr>
        <w:t>S 335 (2015)</w:t>
      </w:r>
      <w:r>
        <w:rPr>
          <w:lang w:val="en-US"/>
        </w:rPr>
        <w:t>.</w:t>
      </w:r>
    </w:p>
  </w:footnote>
  <w:footnote w:id="2030">
    <w:p w14:paraId="4B32E4C5" w14:textId="77777777" w:rsidR="00074551" w:rsidRDefault="00074551" w:rsidP="00074551">
      <w:pPr>
        <w:pStyle w:val="Funotentext"/>
        <w:ind w:left="227" w:hanging="227"/>
        <w:rPr>
          <w:lang w:val="en-US"/>
        </w:rPr>
      </w:pPr>
      <w:r>
        <w:rPr>
          <w:rStyle w:val="Funotenzeichen"/>
          <w:rFonts w:eastAsiaTheme="majorEastAsia"/>
        </w:rPr>
        <w:footnoteRef/>
      </w:r>
      <w:r w:rsidRPr="00BB63DF">
        <w:rPr>
          <w:lang w:val="en-US"/>
        </w:rPr>
        <w:t xml:space="preserve"> </w:t>
      </w:r>
      <w:r w:rsidRPr="00E466E0">
        <w:rPr>
          <w:i/>
          <w:lang w:val="en-US"/>
        </w:rPr>
        <w:t>Wilkinson v. Austin</w:t>
      </w:r>
      <w:r w:rsidRPr="00BB63DF">
        <w:rPr>
          <w:lang w:val="en-US"/>
        </w:rPr>
        <w:t>, 545 U.S. 209, 221</w:t>
      </w:r>
      <w:r w:rsidRPr="006E67FE">
        <w:rPr>
          <w:lang w:val="en-US"/>
        </w:rPr>
        <w:t xml:space="preserve"> = 125 S. Ct. </w:t>
      </w:r>
      <w:r w:rsidRPr="00BB63DF">
        <w:rPr>
          <w:lang w:val="en-US"/>
        </w:rPr>
        <w:t>2384</w:t>
      </w:r>
      <w:r w:rsidRPr="006E67FE">
        <w:rPr>
          <w:lang w:val="en-US"/>
        </w:rPr>
        <w:t xml:space="preserve"> = 162 L. Ed. </w:t>
      </w:r>
      <w:r w:rsidRPr="00BB63DF">
        <w:rPr>
          <w:lang w:val="en-US"/>
        </w:rPr>
        <w:t>2d 174 (2005)</w:t>
      </w:r>
      <w:r>
        <w:rPr>
          <w:lang w:val="en-US"/>
        </w:rPr>
        <w:t xml:space="preserve">; </w:t>
      </w:r>
      <w:r w:rsidRPr="00E466E0">
        <w:rPr>
          <w:i/>
          <w:lang w:val="en-US"/>
        </w:rPr>
        <w:t>Kerry v. Din</w:t>
      </w:r>
      <w:r w:rsidRPr="00BB63DF">
        <w:rPr>
          <w:lang w:val="en-US"/>
        </w:rPr>
        <w:t>, 576 U.S. 86, 107</w:t>
      </w:r>
      <w:r w:rsidRPr="006E67FE">
        <w:rPr>
          <w:lang w:val="en-US"/>
        </w:rPr>
        <w:t xml:space="preserve"> = 135 S. Ct. </w:t>
      </w:r>
      <w:r w:rsidRPr="00BB63DF">
        <w:rPr>
          <w:lang w:val="en-US"/>
        </w:rPr>
        <w:t>2128, 2142</w:t>
      </w:r>
      <w:r w:rsidRPr="006E67FE">
        <w:rPr>
          <w:lang w:val="en-US"/>
        </w:rPr>
        <w:t xml:space="preserve"> = 192 L. Ed. </w:t>
      </w:r>
      <w:r w:rsidRPr="00BB63DF">
        <w:rPr>
          <w:lang w:val="en-US"/>
        </w:rPr>
        <w:t>2d 183, 198</w:t>
      </w:r>
      <w:r w:rsidRPr="006E67FE">
        <w:rPr>
          <w:lang w:val="en-US"/>
        </w:rPr>
        <w:t xml:space="preserve"> = 2015 U.S. LEXIS</w:t>
      </w:r>
    </w:p>
    <w:p w14:paraId="7A7F2CCF" w14:textId="77777777" w:rsidR="00074551" w:rsidRPr="00BB63DF" w:rsidRDefault="00074551" w:rsidP="00074551">
      <w:pPr>
        <w:pStyle w:val="Funotentext"/>
        <w:ind w:left="227" w:hanging="227"/>
        <w:rPr>
          <w:lang w:val="en-US"/>
        </w:rPr>
      </w:pPr>
      <w:r w:rsidRPr="00BB63DF">
        <w:rPr>
          <w:lang w:val="en-US"/>
        </w:rPr>
        <w:t>3918, 34</w:t>
      </w:r>
      <w:r w:rsidRPr="006E67FE">
        <w:rPr>
          <w:lang w:val="en-US"/>
        </w:rPr>
        <w:t xml:space="preserve"> = 83 U.S.L.W. </w:t>
      </w:r>
      <w:r w:rsidRPr="00BB63DF">
        <w:rPr>
          <w:lang w:val="en-US"/>
        </w:rPr>
        <w:t>4417</w:t>
      </w:r>
      <w:r w:rsidRPr="006E67FE">
        <w:rPr>
          <w:lang w:val="en-US"/>
        </w:rPr>
        <w:t xml:space="preserve"> = 25 Fla. L. Weekly Fed. </w:t>
      </w:r>
      <w:r w:rsidRPr="00BB63DF">
        <w:rPr>
          <w:lang w:val="en-US"/>
        </w:rPr>
        <w:t>S 335 (2015)</w:t>
      </w:r>
      <w:r>
        <w:rPr>
          <w:lang w:val="en-US"/>
        </w:rPr>
        <w:t>.</w:t>
      </w:r>
    </w:p>
  </w:footnote>
  <w:footnote w:id="2031">
    <w:p w14:paraId="7BE6F9D5" w14:textId="77777777" w:rsidR="00074551" w:rsidRDefault="00074551" w:rsidP="00074551">
      <w:pPr>
        <w:pStyle w:val="Funotentext"/>
        <w:rPr>
          <w:lang w:val="en-US"/>
        </w:rPr>
      </w:pPr>
      <w:r>
        <w:rPr>
          <w:rStyle w:val="Funotenzeichen"/>
          <w:rFonts w:eastAsiaTheme="majorEastAsia"/>
        </w:rPr>
        <w:footnoteRef/>
      </w:r>
      <w:r w:rsidRPr="00F032E7">
        <w:rPr>
          <w:lang w:val="en-US"/>
        </w:rPr>
        <w:t xml:space="preserve"> </w:t>
      </w:r>
      <w:r w:rsidRPr="00E466E0">
        <w:rPr>
          <w:i/>
          <w:lang w:val="en-US"/>
        </w:rPr>
        <w:t>Wilkinson v. Austin</w:t>
      </w:r>
      <w:r w:rsidRPr="00F032E7">
        <w:rPr>
          <w:lang w:val="en-US"/>
        </w:rPr>
        <w:t>, 545 U.S. 209, 221</w:t>
      </w:r>
      <w:r w:rsidRPr="006E67FE">
        <w:rPr>
          <w:lang w:val="en-US"/>
        </w:rPr>
        <w:t xml:space="preserve"> = 125 S. Ct. </w:t>
      </w:r>
      <w:r w:rsidRPr="00F032E7">
        <w:rPr>
          <w:lang w:val="en-US"/>
        </w:rPr>
        <w:t>2384</w:t>
      </w:r>
      <w:r w:rsidRPr="006E67FE">
        <w:rPr>
          <w:lang w:val="en-US"/>
        </w:rPr>
        <w:t xml:space="preserve"> = 162 L. Ed. </w:t>
      </w:r>
      <w:r w:rsidRPr="00F032E7">
        <w:rPr>
          <w:lang w:val="en-US"/>
        </w:rPr>
        <w:t>2d 174 (2005)</w:t>
      </w:r>
      <w:r>
        <w:rPr>
          <w:lang w:val="en-US"/>
        </w:rPr>
        <w:t xml:space="preserve">; </w:t>
      </w:r>
      <w:r w:rsidRPr="00E466E0">
        <w:rPr>
          <w:i/>
          <w:lang w:val="en-US"/>
        </w:rPr>
        <w:t>Kerry v. Din</w:t>
      </w:r>
      <w:r w:rsidRPr="00CB345E">
        <w:rPr>
          <w:lang w:val="en-US"/>
        </w:rPr>
        <w:t>, 576 U.S. 86, 107</w:t>
      </w:r>
      <w:r w:rsidRPr="006E67FE">
        <w:rPr>
          <w:lang w:val="en-US"/>
        </w:rPr>
        <w:t xml:space="preserve"> = 135 S. Ct. </w:t>
      </w:r>
      <w:r w:rsidRPr="00CB345E">
        <w:rPr>
          <w:lang w:val="en-US"/>
        </w:rPr>
        <w:t>2128, 2142</w:t>
      </w:r>
      <w:r w:rsidRPr="006E67FE">
        <w:rPr>
          <w:lang w:val="en-US"/>
        </w:rPr>
        <w:t xml:space="preserve"> = 192 L. Ed. </w:t>
      </w:r>
      <w:r w:rsidRPr="00CB345E">
        <w:rPr>
          <w:lang w:val="en-US"/>
        </w:rPr>
        <w:t>2d 183, 198</w:t>
      </w:r>
      <w:r w:rsidRPr="006E67FE">
        <w:rPr>
          <w:lang w:val="en-US"/>
        </w:rPr>
        <w:t xml:space="preserve"> = 2015 U.S. LEXIS</w:t>
      </w:r>
    </w:p>
    <w:p w14:paraId="670B4B26" w14:textId="77777777" w:rsidR="00074551" w:rsidRPr="00F032E7" w:rsidRDefault="00074551" w:rsidP="00074551">
      <w:pPr>
        <w:pStyle w:val="Funotentext"/>
        <w:rPr>
          <w:lang w:val="en-US"/>
        </w:rPr>
      </w:pPr>
      <w:r w:rsidRPr="00CB345E">
        <w:rPr>
          <w:lang w:val="en-US"/>
        </w:rPr>
        <w:t>3918, 34</w:t>
      </w:r>
      <w:r w:rsidRPr="006E67FE">
        <w:rPr>
          <w:lang w:val="en-US"/>
        </w:rPr>
        <w:t xml:space="preserve"> = 83 U.S.L.W. </w:t>
      </w:r>
      <w:r w:rsidRPr="00CB345E">
        <w:rPr>
          <w:lang w:val="en-US"/>
        </w:rPr>
        <w:t>4417</w:t>
      </w:r>
      <w:r w:rsidRPr="006E67FE">
        <w:rPr>
          <w:lang w:val="en-US"/>
        </w:rPr>
        <w:t xml:space="preserve"> = 25 Fla. L. Weekly Fed. </w:t>
      </w:r>
      <w:r w:rsidRPr="00CB345E">
        <w:rPr>
          <w:lang w:val="en-US"/>
        </w:rPr>
        <w:t>S 335 (2015)</w:t>
      </w:r>
      <w:r>
        <w:rPr>
          <w:lang w:val="en-US"/>
        </w:rPr>
        <w:t>.</w:t>
      </w:r>
    </w:p>
  </w:footnote>
  <w:footnote w:id="2032">
    <w:p w14:paraId="374EEADD" w14:textId="77777777" w:rsidR="00074551" w:rsidRDefault="00074551" w:rsidP="00074551">
      <w:pPr>
        <w:pStyle w:val="Funotentext"/>
        <w:ind w:left="227" w:hanging="227"/>
        <w:rPr>
          <w:lang w:val="en-US"/>
        </w:rPr>
      </w:pPr>
      <w:r>
        <w:rPr>
          <w:rStyle w:val="Funotenzeichen"/>
          <w:rFonts w:eastAsiaTheme="majorEastAsia"/>
        </w:rPr>
        <w:footnoteRef/>
      </w:r>
      <w:r w:rsidRPr="00BB63DF">
        <w:rPr>
          <w:lang w:val="en-US"/>
        </w:rPr>
        <w:t xml:space="preserve"> </w:t>
      </w:r>
      <w:r w:rsidRPr="009E57E1">
        <w:rPr>
          <w:i/>
          <w:lang w:val="en-US"/>
        </w:rPr>
        <w:t>Meyer v. Nebraska</w:t>
      </w:r>
      <w:r w:rsidRPr="00BB63DF">
        <w:rPr>
          <w:lang w:val="en-US"/>
        </w:rPr>
        <w:t>, 262 U.S. 390, 399</w:t>
      </w:r>
      <w:r w:rsidRPr="00EC5BEB">
        <w:rPr>
          <w:lang w:val="en-US"/>
        </w:rPr>
        <w:t xml:space="preserve"> = 43 S. Ct. </w:t>
      </w:r>
      <w:r w:rsidRPr="00BB63DF">
        <w:rPr>
          <w:lang w:val="en-US"/>
        </w:rPr>
        <w:t>625</w:t>
      </w:r>
      <w:r w:rsidRPr="00EC5BEB">
        <w:rPr>
          <w:lang w:val="en-US"/>
        </w:rPr>
        <w:t xml:space="preserve"> = 67 L. Ed. </w:t>
      </w:r>
      <w:r w:rsidRPr="00BB63DF">
        <w:rPr>
          <w:lang w:val="en-US"/>
        </w:rPr>
        <w:t xml:space="preserve">1042 (1923). </w:t>
      </w:r>
      <w:proofErr w:type="spellStart"/>
      <w:r>
        <w:rPr>
          <w:lang w:val="en-US"/>
        </w:rPr>
        <w:t>Siehe</w:t>
      </w:r>
      <w:proofErr w:type="spellEnd"/>
      <w:r>
        <w:rPr>
          <w:lang w:val="en-US"/>
        </w:rPr>
        <w:t xml:space="preserve"> </w:t>
      </w:r>
      <w:proofErr w:type="spellStart"/>
      <w:r>
        <w:rPr>
          <w:lang w:val="en-US"/>
        </w:rPr>
        <w:t>auch</w:t>
      </w:r>
      <w:proofErr w:type="spellEnd"/>
      <w:r>
        <w:rPr>
          <w:lang w:val="en-US"/>
        </w:rPr>
        <w:t xml:space="preserve"> </w:t>
      </w:r>
      <w:proofErr w:type="spellStart"/>
      <w:r>
        <w:rPr>
          <w:lang w:val="en-US"/>
        </w:rPr>
        <w:t>z.B.</w:t>
      </w:r>
      <w:proofErr w:type="spellEnd"/>
      <w:r w:rsidRPr="00BB63DF">
        <w:rPr>
          <w:lang w:val="en-US"/>
        </w:rPr>
        <w:t xml:space="preserve"> </w:t>
      </w:r>
      <w:r w:rsidRPr="009167A5">
        <w:rPr>
          <w:i/>
          <w:lang w:val="en-US"/>
        </w:rPr>
        <w:t>Griswold v. Connecticut</w:t>
      </w:r>
      <w:r w:rsidRPr="00BB63DF">
        <w:rPr>
          <w:lang w:val="en-US"/>
        </w:rPr>
        <w:t>, 381 U.S. 479, 485</w:t>
      </w:r>
      <w:r>
        <w:rPr>
          <w:lang w:val="en-US"/>
        </w:rPr>
        <w:t>–</w:t>
      </w:r>
      <w:r w:rsidRPr="00BB63DF">
        <w:rPr>
          <w:lang w:val="en-US"/>
        </w:rPr>
        <w:t>486</w:t>
      </w:r>
      <w:r w:rsidRPr="006E67FE">
        <w:rPr>
          <w:lang w:val="en-US"/>
        </w:rPr>
        <w:t xml:space="preserve"> = 85 S. Ct. </w:t>
      </w:r>
      <w:r w:rsidRPr="00BB63DF">
        <w:rPr>
          <w:lang w:val="en-US"/>
        </w:rPr>
        <w:t>1678</w:t>
      </w:r>
      <w:r w:rsidRPr="003B741A">
        <w:rPr>
          <w:lang w:val="en-US"/>
        </w:rPr>
        <w:t xml:space="preserve"> = 14 L. Ed. </w:t>
      </w:r>
      <w:r w:rsidRPr="00BB63DF">
        <w:rPr>
          <w:lang w:val="en-US"/>
        </w:rPr>
        <w:t xml:space="preserve">2d 510 </w:t>
      </w:r>
    </w:p>
    <w:p w14:paraId="6994F600" w14:textId="77777777" w:rsidR="00074551" w:rsidRDefault="00074551" w:rsidP="00074551">
      <w:pPr>
        <w:pStyle w:val="Funotentext"/>
        <w:ind w:left="227" w:hanging="227"/>
        <w:rPr>
          <w:lang w:val="en-US"/>
        </w:rPr>
      </w:pPr>
      <w:r w:rsidRPr="00BB63DF">
        <w:rPr>
          <w:lang w:val="en-US"/>
        </w:rPr>
        <w:t xml:space="preserve">(1965); </w:t>
      </w:r>
      <w:r w:rsidRPr="00B35CD0">
        <w:rPr>
          <w:i/>
          <w:lang w:val="en-US"/>
        </w:rPr>
        <w:t xml:space="preserve">Zablocki v. </w:t>
      </w:r>
      <w:proofErr w:type="spellStart"/>
      <w:r w:rsidRPr="00B35CD0">
        <w:rPr>
          <w:i/>
          <w:lang w:val="en-US"/>
        </w:rPr>
        <w:t>Redhail</w:t>
      </w:r>
      <w:proofErr w:type="spellEnd"/>
      <w:r w:rsidRPr="00BB63DF">
        <w:rPr>
          <w:lang w:val="en-US"/>
        </w:rPr>
        <w:t>, 434 U.S. 374, 386</w:t>
      </w:r>
      <w:r w:rsidRPr="003B741A">
        <w:rPr>
          <w:lang w:val="en-US"/>
        </w:rPr>
        <w:t xml:space="preserve"> = 98 S. Ct. </w:t>
      </w:r>
      <w:r w:rsidRPr="00BB63DF">
        <w:rPr>
          <w:lang w:val="en-US"/>
        </w:rPr>
        <w:t>673</w:t>
      </w:r>
      <w:r>
        <w:rPr>
          <w:lang w:val="en-US"/>
        </w:rPr>
        <w:t xml:space="preserve"> = 54 L. Ed. </w:t>
      </w:r>
      <w:r w:rsidRPr="00BB63DF">
        <w:rPr>
          <w:lang w:val="en-US"/>
        </w:rPr>
        <w:t xml:space="preserve">2d 618 (1978); </w:t>
      </w:r>
      <w:r w:rsidRPr="009167A5">
        <w:rPr>
          <w:i/>
          <w:lang w:val="en-US"/>
        </w:rPr>
        <w:t>Moore v. East Cleveland</w:t>
      </w:r>
      <w:r w:rsidRPr="00BB63DF">
        <w:rPr>
          <w:lang w:val="en-US"/>
        </w:rPr>
        <w:t>, 431 U.S. 494, 500</w:t>
      </w:r>
      <w:r>
        <w:rPr>
          <w:lang w:val="en-US"/>
        </w:rPr>
        <w:t>–</w:t>
      </w:r>
      <w:r w:rsidRPr="00BB63DF">
        <w:rPr>
          <w:lang w:val="en-US"/>
        </w:rPr>
        <w:t>503</w:t>
      </w:r>
      <w:r w:rsidRPr="006E67FE">
        <w:rPr>
          <w:lang w:val="en-US"/>
        </w:rPr>
        <w:t xml:space="preserve"> = 97 S. Ct. </w:t>
      </w:r>
      <w:r w:rsidRPr="00BB63DF">
        <w:rPr>
          <w:lang w:val="en-US"/>
        </w:rPr>
        <w:t>1932</w:t>
      </w:r>
      <w:r>
        <w:rPr>
          <w:lang w:val="en-US"/>
        </w:rPr>
        <w:t xml:space="preserve"> = 52 L. Ed. </w:t>
      </w:r>
      <w:r w:rsidRPr="00BB63DF">
        <w:rPr>
          <w:lang w:val="en-US"/>
        </w:rPr>
        <w:t>2d 531 (1977</w:t>
      </w:r>
      <w:r w:rsidRPr="00E466E0">
        <w:rPr>
          <w:lang w:val="en-US"/>
        </w:rPr>
        <w:t>) (</w:t>
      </w:r>
      <w:r w:rsidRPr="00B45592">
        <w:rPr>
          <w:lang w:val="en-US"/>
        </w:rPr>
        <w:t>Plural</w:t>
      </w:r>
    </w:p>
    <w:p w14:paraId="12AE566A" w14:textId="77777777" w:rsidR="00074551" w:rsidRDefault="00074551" w:rsidP="00074551">
      <w:pPr>
        <w:pStyle w:val="Funotentext"/>
        <w:ind w:left="227" w:hanging="227"/>
        <w:rPr>
          <w:lang w:val="en-US"/>
        </w:rPr>
      </w:pPr>
      <w:proofErr w:type="spellStart"/>
      <w:r w:rsidRPr="00B45592">
        <w:rPr>
          <w:lang w:val="en-US"/>
        </w:rPr>
        <w:t>itätsmeinung</w:t>
      </w:r>
      <w:proofErr w:type="spellEnd"/>
      <w:r w:rsidRPr="00E466E0">
        <w:rPr>
          <w:lang w:val="en-US"/>
        </w:rPr>
        <w:t xml:space="preserve">); </w:t>
      </w:r>
      <w:r w:rsidRPr="00B45592">
        <w:rPr>
          <w:i/>
          <w:iCs/>
          <w:lang w:val="en-IE"/>
        </w:rPr>
        <w:t>Smith</w:t>
      </w:r>
      <w:r w:rsidRPr="00B45592">
        <w:rPr>
          <w:i/>
          <w:lang w:val="en-IE"/>
        </w:rPr>
        <w:t xml:space="preserve"> v. </w:t>
      </w:r>
      <w:r w:rsidRPr="00B45592">
        <w:rPr>
          <w:i/>
          <w:iCs/>
          <w:lang w:val="en-IE"/>
        </w:rPr>
        <w:t xml:space="preserve">Organization of Foster Families </w:t>
      </w:r>
      <w:proofErr w:type="gramStart"/>
      <w:r w:rsidRPr="00B45592">
        <w:rPr>
          <w:i/>
          <w:iCs/>
          <w:lang w:val="en-IE"/>
        </w:rPr>
        <w:t>For</w:t>
      </w:r>
      <w:proofErr w:type="gramEnd"/>
      <w:r w:rsidRPr="00B45592">
        <w:rPr>
          <w:i/>
          <w:iCs/>
          <w:lang w:val="en-IE"/>
        </w:rPr>
        <w:t xml:space="preserve"> Equality &amp; Reform</w:t>
      </w:r>
      <w:r w:rsidRPr="00B45592">
        <w:rPr>
          <w:lang w:val="en-IE"/>
        </w:rPr>
        <w:t xml:space="preserve">, 431 U. S. 816, </w:t>
      </w:r>
      <w:r w:rsidRPr="00E47138">
        <w:rPr>
          <w:lang w:val="en-US"/>
        </w:rPr>
        <w:t xml:space="preserve">843 = 97 S. Ct. 2094 = 53 L. Ed. 2d 14 </w:t>
      </w:r>
      <w:r w:rsidRPr="00B45592">
        <w:rPr>
          <w:lang w:val="en-IE"/>
        </w:rPr>
        <w:t>(1977)</w:t>
      </w:r>
      <w:r w:rsidRPr="00E47138">
        <w:rPr>
          <w:lang w:val="en-US"/>
        </w:rPr>
        <w:t>;</w:t>
      </w:r>
      <w:r>
        <w:rPr>
          <w:lang w:val="en-US"/>
        </w:rPr>
        <w:t xml:space="preserve"> </w:t>
      </w:r>
      <w:r w:rsidRPr="00E466E0">
        <w:rPr>
          <w:i/>
          <w:lang w:val="en-US"/>
        </w:rPr>
        <w:t>Kerry v. Din</w:t>
      </w:r>
      <w:r w:rsidRPr="00BB63DF">
        <w:rPr>
          <w:lang w:val="en-US"/>
        </w:rPr>
        <w:t>, 576 U.S. 86, 108</w:t>
      </w:r>
      <w:r w:rsidRPr="006E67FE">
        <w:rPr>
          <w:lang w:val="en-US"/>
        </w:rPr>
        <w:t xml:space="preserve"> = 135 S. Ct. </w:t>
      </w:r>
    </w:p>
    <w:p w14:paraId="4535D003" w14:textId="77777777" w:rsidR="00074551" w:rsidRPr="005625DF" w:rsidRDefault="00074551" w:rsidP="00074551">
      <w:pPr>
        <w:pStyle w:val="Funotentext"/>
        <w:ind w:left="227" w:hanging="227"/>
        <w:rPr>
          <w:lang w:val="en-US"/>
        </w:rPr>
      </w:pPr>
      <w:r w:rsidRPr="00BB63DF">
        <w:rPr>
          <w:lang w:val="en-US"/>
        </w:rPr>
        <w:t>2128, 2142</w:t>
      </w:r>
      <w:r w:rsidRPr="006E67FE">
        <w:rPr>
          <w:lang w:val="en-US"/>
        </w:rPr>
        <w:t xml:space="preserve"> = 192 L. Ed. </w:t>
      </w:r>
      <w:r w:rsidRPr="00BB63DF">
        <w:rPr>
          <w:lang w:val="en-US"/>
        </w:rPr>
        <w:t>2d 183, 199</w:t>
      </w:r>
      <w:r w:rsidRPr="006E67FE">
        <w:rPr>
          <w:lang w:val="en-US"/>
        </w:rPr>
        <w:t xml:space="preserve"> = 2015 U.S. LEXIS </w:t>
      </w:r>
      <w:r w:rsidRPr="00BB63DF">
        <w:rPr>
          <w:lang w:val="en-US"/>
        </w:rPr>
        <w:t>3918, 35</w:t>
      </w:r>
      <w:r w:rsidRPr="006E67FE">
        <w:rPr>
          <w:lang w:val="en-US"/>
        </w:rPr>
        <w:t xml:space="preserve"> = 83 U.S.L.W. </w:t>
      </w:r>
      <w:r w:rsidRPr="00BB63DF">
        <w:rPr>
          <w:lang w:val="en-US"/>
        </w:rPr>
        <w:t>4417</w:t>
      </w:r>
      <w:r w:rsidRPr="006E67FE">
        <w:rPr>
          <w:lang w:val="en-US"/>
        </w:rPr>
        <w:t xml:space="preserve"> = 25 Fla. L. Weekly Fed. </w:t>
      </w:r>
      <w:r w:rsidRPr="005625DF">
        <w:rPr>
          <w:lang w:val="en-US"/>
        </w:rPr>
        <w:t>S 335 (2015).</w:t>
      </w:r>
    </w:p>
  </w:footnote>
  <w:footnote w:id="2033">
    <w:p w14:paraId="3C79E313" w14:textId="77777777" w:rsidR="00074551" w:rsidRDefault="00074551" w:rsidP="00074551">
      <w:pPr>
        <w:pStyle w:val="Funotentext"/>
        <w:ind w:left="227" w:hanging="227"/>
        <w:rPr>
          <w:lang w:val="en-US"/>
        </w:rPr>
      </w:pPr>
      <w:r>
        <w:rPr>
          <w:rStyle w:val="Funotenzeichen"/>
          <w:rFonts w:eastAsiaTheme="majorEastAsia"/>
        </w:rPr>
        <w:footnoteRef/>
      </w:r>
      <w:r w:rsidRPr="00E01EB1">
        <w:rPr>
          <w:lang w:val="en-US"/>
        </w:rPr>
        <w:t xml:space="preserve"> </w:t>
      </w:r>
      <w:r w:rsidRPr="009E57E1">
        <w:rPr>
          <w:i/>
          <w:lang w:val="en-US"/>
        </w:rPr>
        <w:t>Meyer v. Nebraska</w:t>
      </w:r>
      <w:r w:rsidRPr="00E01EB1">
        <w:rPr>
          <w:lang w:val="en-US"/>
        </w:rPr>
        <w:t>, 262 U.S. 390, 399</w:t>
      </w:r>
      <w:r w:rsidRPr="00EC5BEB">
        <w:rPr>
          <w:lang w:val="en-US"/>
        </w:rPr>
        <w:t xml:space="preserve"> = 43 S. Ct. </w:t>
      </w:r>
      <w:r w:rsidRPr="00E01EB1">
        <w:rPr>
          <w:lang w:val="en-US"/>
        </w:rPr>
        <w:t>625</w:t>
      </w:r>
      <w:r w:rsidRPr="00EC5BEB">
        <w:rPr>
          <w:lang w:val="en-US"/>
        </w:rPr>
        <w:t xml:space="preserve"> = 67 L. Ed. </w:t>
      </w:r>
      <w:r w:rsidRPr="00E01EB1">
        <w:rPr>
          <w:lang w:val="en-US"/>
        </w:rPr>
        <w:t xml:space="preserve">1042 (1923). </w:t>
      </w:r>
      <w:proofErr w:type="spellStart"/>
      <w:r>
        <w:rPr>
          <w:lang w:val="en-US"/>
        </w:rPr>
        <w:t>Siehe</w:t>
      </w:r>
      <w:proofErr w:type="spellEnd"/>
      <w:r>
        <w:rPr>
          <w:lang w:val="en-US"/>
        </w:rPr>
        <w:t xml:space="preserve"> </w:t>
      </w:r>
      <w:proofErr w:type="spellStart"/>
      <w:r>
        <w:rPr>
          <w:lang w:val="en-US"/>
        </w:rPr>
        <w:t>auch</w:t>
      </w:r>
      <w:proofErr w:type="spellEnd"/>
      <w:r>
        <w:rPr>
          <w:lang w:val="en-US"/>
        </w:rPr>
        <w:t xml:space="preserve"> </w:t>
      </w:r>
      <w:proofErr w:type="spellStart"/>
      <w:r>
        <w:rPr>
          <w:lang w:val="en-US"/>
        </w:rPr>
        <w:t>z.B.</w:t>
      </w:r>
      <w:proofErr w:type="spellEnd"/>
      <w:r w:rsidRPr="00BB63DF">
        <w:rPr>
          <w:lang w:val="en-US"/>
        </w:rPr>
        <w:t xml:space="preserve"> </w:t>
      </w:r>
      <w:r w:rsidRPr="009167A5">
        <w:rPr>
          <w:i/>
          <w:lang w:val="en-US"/>
        </w:rPr>
        <w:t>Griswold v. Connecticut</w:t>
      </w:r>
      <w:r w:rsidRPr="00E01EB1">
        <w:rPr>
          <w:lang w:val="en-US"/>
        </w:rPr>
        <w:t>, 381 U.S. 479, 485</w:t>
      </w:r>
      <w:r>
        <w:rPr>
          <w:lang w:val="en-US"/>
        </w:rPr>
        <w:t>–</w:t>
      </w:r>
      <w:r w:rsidRPr="00E01EB1">
        <w:rPr>
          <w:lang w:val="en-US"/>
        </w:rPr>
        <w:t>486</w:t>
      </w:r>
      <w:r w:rsidRPr="006E67FE">
        <w:rPr>
          <w:lang w:val="en-US"/>
        </w:rPr>
        <w:t xml:space="preserve"> = 85 S. Ct. </w:t>
      </w:r>
      <w:r w:rsidRPr="00E01EB1">
        <w:rPr>
          <w:lang w:val="en-US"/>
        </w:rPr>
        <w:t>1678</w:t>
      </w:r>
      <w:r w:rsidRPr="003B741A">
        <w:rPr>
          <w:lang w:val="en-US"/>
        </w:rPr>
        <w:t xml:space="preserve"> = 14 L. Ed. </w:t>
      </w:r>
      <w:r w:rsidRPr="00E01EB1">
        <w:rPr>
          <w:lang w:val="en-US"/>
        </w:rPr>
        <w:t xml:space="preserve">2d 510 </w:t>
      </w:r>
    </w:p>
    <w:p w14:paraId="2B091D88" w14:textId="77777777" w:rsidR="00074551" w:rsidRDefault="00074551" w:rsidP="00074551">
      <w:pPr>
        <w:pStyle w:val="Funotentext"/>
        <w:ind w:left="227" w:hanging="227"/>
        <w:rPr>
          <w:lang w:val="en-US"/>
        </w:rPr>
      </w:pPr>
      <w:r w:rsidRPr="00E01EB1">
        <w:rPr>
          <w:lang w:val="en-US"/>
        </w:rPr>
        <w:t xml:space="preserve">(1965); </w:t>
      </w:r>
      <w:r w:rsidRPr="00B35CD0">
        <w:rPr>
          <w:i/>
          <w:lang w:val="en-US"/>
        </w:rPr>
        <w:t xml:space="preserve">Zablocki v. </w:t>
      </w:r>
      <w:proofErr w:type="spellStart"/>
      <w:r w:rsidRPr="00B35CD0">
        <w:rPr>
          <w:i/>
          <w:lang w:val="en-US"/>
        </w:rPr>
        <w:t>Redhail</w:t>
      </w:r>
      <w:proofErr w:type="spellEnd"/>
      <w:r w:rsidRPr="00E01EB1">
        <w:rPr>
          <w:lang w:val="en-US"/>
        </w:rPr>
        <w:t>, 434 U.S. 374, 386</w:t>
      </w:r>
      <w:r w:rsidRPr="003B741A">
        <w:rPr>
          <w:lang w:val="en-US"/>
        </w:rPr>
        <w:t xml:space="preserve"> = 98 S. Ct. </w:t>
      </w:r>
      <w:r w:rsidRPr="00E01EB1">
        <w:rPr>
          <w:lang w:val="en-US"/>
        </w:rPr>
        <w:t>673</w:t>
      </w:r>
      <w:r>
        <w:rPr>
          <w:lang w:val="en-US"/>
        </w:rPr>
        <w:t xml:space="preserve"> = 54 L. Ed. </w:t>
      </w:r>
      <w:r w:rsidRPr="00E01EB1">
        <w:rPr>
          <w:lang w:val="en-US"/>
        </w:rPr>
        <w:t xml:space="preserve">2d 618 (1978); </w:t>
      </w:r>
      <w:r w:rsidRPr="009167A5">
        <w:rPr>
          <w:i/>
          <w:lang w:val="en-US"/>
        </w:rPr>
        <w:t>Moore v. East Cleveland</w:t>
      </w:r>
      <w:r w:rsidRPr="00E01EB1">
        <w:rPr>
          <w:lang w:val="en-US"/>
        </w:rPr>
        <w:t>, 431 U.S. 494, 500</w:t>
      </w:r>
      <w:r>
        <w:rPr>
          <w:lang w:val="en-US"/>
        </w:rPr>
        <w:t>–</w:t>
      </w:r>
      <w:r w:rsidRPr="00E01EB1">
        <w:rPr>
          <w:lang w:val="en-US"/>
        </w:rPr>
        <w:t>503</w:t>
      </w:r>
      <w:r w:rsidRPr="006E67FE">
        <w:rPr>
          <w:lang w:val="en-US"/>
        </w:rPr>
        <w:t xml:space="preserve"> = 97 S. Ct. </w:t>
      </w:r>
      <w:r w:rsidRPr="00E01EB1">
        <w:rPr>
          <w:lang w:val="en-US"/>
        </w:rPr>
        <w:t>1932</w:t>
      </w:r>
      <w:r>
        <w:rPr>
          <w:lang w:val="en-US"/>
        </w:rPr>
        <w:t xml:space="preserve"> = 52 L. Ed. </w:t>
      </w:r>
      <w:r w:rsidRPr="00E01EB1">
        <w:rPr>
          <w:lang w:val="en-US"/>
        </w:rPr>
        <w:t>2d 531 (197</w:t>
      </w:r>
      <w:r w:rsidRPr="00E466E0">
        <w:rPr>
          <w:lang w:val="en-US"/>
        </w:rPr>
        <w:t xml:space="preserve">7) </w:t>
      </w:r>
      <w:bookmarkStart w:id="77" w:name="_Hlk228448876"/>
      <w:r w:rsidRPr="00E466E0">
        <w:rPr>
          <w:lang w:val="en-US"/>
        </w:rPr>
        <w:t>(</w:t>
      </w:r>
      <w:proofErr w:type="spellStart"/>
      <w:r w:rsidRPr="00E466E0">
        <w:rPr>
          <w:lang w:val="en-US"/>
        </w:rPr>
        <w:t>Plurali</w:t>
      </w:r>
      <w:proofErr w:type="spellEnd"/>
    </w:p>
    <w:p w14:paraId="17BEA4C7" w14:textId="77777777" w:rsidR="00074551" w:rsidRDefault="00074551" w:rsidP="00074551">
      <w:pPr>
        <w:pStyle w:val="Funotentext"/>
        <w:ind w:left="227" w:hanging="227"/>
        <w:rPr>
          <w:lang w:val="en-US"/>
        </w:rPr>
      </w:pPr>
      <w:proofErr w:type="spellStart"/>
      <w:r w:rsidRPr="00E466E0">
        <w:rPr>
          <w:lang w:val="en-US"/>
        </w:rPr>
        <w:t>tätsmeinung</w:t>
      </w:r>
      <w:proofErr w:type="spellEnd"/>
      <w:r w:rsidRPr="00E466E0">
        <w:rPr>
          <w:lang w:val="en-US"/>
        </w:rPr>
        <w:t>)</w:t>
      </w:r>
      <w:bookmarkEnd w:id="77"/>
      <w:r w:rsidRPr="00E466E0">
        <w:rPr>
          <w:lang w:val="en-US"/>
        </w:rPr>
        <w:t xml:space="preserve">; </w:t>
      </w:r>
      <w:r w:rsidRPr="00B45592">
        <w:rPr>
          <w:i/>
          <w:iCs/>
          <w:lang w:val="en-IE"/>
        </w:rPr>
        <w:t>Smith</w:t>
      </w:r>
      <w:r w:rsidRPr="00B45592">
        <w:rPr>
          <w:i/>
          <w:lang w:val="en-IE"/>
        </w:rPr>
        <w:t xml:space="preserve"> v.</w:t>
      </w:r>
      <w:r w:rsidRPr="00B45592">
        <w:rPr>
          <w:lang w:val="en-IE"/>
        </w:rPr>
        <w:t xml:space="preserve"> </w:t>
      </w:r>
      <w:r w:rsidRPr="00B45592">
        <w:rPr>
          <w:i/>
          <w:iCs/>
          <w:lang w:val="en-IE"/>
        </w:rPr>
        <w:t xml:space="preserve">Organization of Foster Families </w:t>
      </w:r>
      <w:proofErr w:type="gramStart"/>
      <w:r w:rsidRPr="00B45592">
        <w:rPr>
          <w:i/>
          <w:iCs/>
          <w:lang w:val="en-IE"/>
        </w:rPr>
        <w:t>For</w:t>
      </w:r>
      <w:proofErr w:type="gramEnd"/>
      <w:r w:rsidRPr="00B45592">
        <w:rPr>
          <w:i/>
          <w:iCs/>
          <w:lang w:val="en-IE"/>
        </w:rPr>
        <w:t xml:space="preserve"> Equality &amp; Reform</w:t>
      </w:r>
      <w:r w:rsidRPr="00B45592">
        <w:rPr>
          <w:lang w:val="en-IE"/>
        </w:rPr>
        <w:t xml:space="preserve">, 431 U. S. 816, </w:t>
      </w:r>
      <w:r w:rsidRPr="00E466E0">
        <w:rPr>
          <w:lang w:val="en-US"/>
        </w:rPr>
        <w:t xml:space="preserve">843 = 97 S. Ct. 2094 = 53 L. Ed. 2d 14 </w:t>
      </w:r>
      <w:r w:rsidRPr="00B45592">
        <w:rPr>
          <w:lang w:val="en-IE"/>
        </w:rPr>
        <w:t>(1977)</w:t>
      </w:r>
      <w:r w:rsidRPr="00E466E0">
        <w:rPr>
          <w:lang w:val="en-US"/>
        </w:rPr>
        <w:t xml:space="preserve">; </w:t>
      </w:r>
      <w:r w:rsidRPr="00E466E0">
        <w:rPr>
          <w:i/>
          <w:lang w:val="en-US"/>
        </w:rPr>
        <w:t>Kerry v. Din</w:t>
      </w:r>
      <w:r w:rsidRPr="00E466E0">
        <w:rPr>
          <w:lang w:val="en-US"/>
        </w:rPr>
        <w:t>, 576 U.S. 86, 108 = 135</w:t>
      </w:r>
      <w:r w:rsidRPr="006E67FE">
        <w:rPr>
          <w:lang w:val="en-US"/>
        </w:rPr>
        <w:t xml:space="preserve"> S. Ct. </w:t>
      </w:r>
    </w:p>
    <w:p w14:paraId="07C42CE1" w14:textId="77777777" w:rsidR="00074551" w:rsidRPr="00E01EB1" w:rsidRDefault="00074551" w:rsidP="00074551">
      <w:pPr>
        <w:pStyle w:val="Funotentext"/>
        <w:ind w:left="227" w:hanging="227"/>
        <w:rPr>
          <w:lang w:val="en-US"/>
        </w:rPr>
      </w:pPr>
      <w:r w:rsidRPr="00E01EB1">
        <w:rPr>
          <w:lang w:val="en-US"/>
        </w:rPr>
        <w:t>2128, 2142</w:t>
      </w:r>
      <w:r w:rsidRPr="006E67FE">
        <w:rPr>
          <w:lang w:val="en-US"/>
        </w:rPr>
        <w:t xml:space="preserve"> = 192 L. Ed. </w:t>
      </w:r>
      <w:r w:rsidRPr="00E01EB1">
        <w:rPr>
          <w:lang w:val="en-US"/>
        </w:rPr>
        <w:t>2d 183, 199</w:t>
      </w:r>
      <w:r w:rsidRPr="006E67FE">
        <w:rPr>
          <w:lang w:val="en-US"/>
        </w:rPr>
        <w:t xml:space="preserve"> = 2015 U.S. LEXIS </w:t>
      </w:r>
      <w:r w:rsidRPr="00E01EB1">
        <w:rPr>
          <w:lang w:val="en-US"/>
        </w:rPr>
        <w:t>3918, 35</w:t>
      </w:r>
      <w:r w:rsidRPr="006E67FE">
        <w:rPr>
          <w:lang w:val="en-US"/>
        </w:rPr>
        <w:t xml:space="preserve"> = 83 U.S.L.W. </w:t>
      </w:r>
      <w:r w:rsidRPr="00E01EB1">
        <w:rPr>
          <w:lang w:val="en-US"/>
        </w:rPr>
        <w:t>4417</w:t>
      </w:r>
      <w:r w:rsidRPr="006E67FE">
        <w:rPr>
          <w:lang w:val="en-US"/>
        </w:rPr>
        <w:t xml:space="preserve"> = 25 Fla. L. Weekly Fed. </w:t>
      </w:r>
      <w:r w:rsidRPr="00E01EB1">
        <w:rPr>
          <w:lang w:val="en-US"/>
        </w:rPr>
        <w:t>S 335 (2015)</w:t>
      </w:r>
      <w:r>
        <w:rPr>
          <w:lang w:val="en-US"/>
        </w:rPr>
        <w:t>.</w:t>
      </w:r>
    </w:p>
  </w:footnote>
  <w:footnote w:id="2034">
    <w:p w14:paraId="0BFA6B43" w14:textId="77777777" w:rsidR="00074551" w:rsidRPr="007A5545" w:rsidRDefault="00074551" w:rsidP="00074551">
      <w:pPr>
        <w:pStyle w:val="Funotentext"/>
        <w:rPr>
          <w:lang w:val="en-US"/>
        </w:rPr>
      </w:pPr>
      <w:r>
        <w:rPr>
          <w:rStyle w:val="Funotenzeichen"/>
          <w:rFonts w:eastAsiaTheme="majorEastAsia"/>
        </w:rPr>
        <w:footnoteRef/>
      </w:r>
      <w:r w:rsidRPr="007A5545">
        <w:rPr>
          <w:lang w:val="en-US"/>
        </w:rPr>
        <w:t xml:space="preserve"> </w:t>
      </w:r>
      <w:r w:rsidRPr="00B45592">
        <w:rPr>
          <w:i/>
          <w:lang w:val="en-US"/>
        </w:rPr>
        <w:t>Ng Fung Ho v. White</w:t>
      </w:r>
      <w:r w:rsidRPr="007A5545">
        <w:rPr>
          <w:lang w:val="en-US"/>
        </w:rPr>
        <w:t>, 259 U.S. 276, 284</w:t>
      </w:r>
      <w:r>
        <w:rPr>
          <w:lang w:val="en-US"/>
        </w:rPr>
        <w:t>–</w:t>
      </w:r>
      <w:r w:rsidRPr="007A5545">
        <w:rPr>
          <w:lang w:val="en-US"/>
        </w:rPr>
        <w:t>285</w:t>
      </w:r>
      <w:r>
        <w:rPr>
          <w:lang w:val="en-US"/>
        </w:rPr>
        <w:t xml:space="preserve"> = 42 S. Ct. </w:t>
      </w:r>
      <w:r w:rsidRPr="007A5545">
        <w:rPr>
          <w:lang w:val="en-US"/>
        </w:rPr>
        <w:t>492</w:t>
      </w:r>
      <w:r>
        <w:rPr>
          <w:lang w:val="en-US"/>
        </w:rPr>
        <w:t xml:space="preserve"> = 66 L. Ed. </w:t>
      </w:r>
      <w:r w:rsidRPr="007A5545">
        <w:rPr>
          <w:lang w:val="en-US"/>
        </w:rPr>
        <w:t xml:space="preserve">938 (1922); </w:t>
      </w:r>
      <w:r w:rsidRPr="009167A5">
        <w:rPr>
          <w:i/>
          <w:lang w:val="en-US"/>
        </w:rPr>
        <w:t>Baumgartner v. United States</w:t>
      </w:r>
      <w:r w:rsidRPr="007A5545">
        <w:rPr>
          <w:lang w:val="en-US"/>
        </w:rPr>
        <w:t>, 322 U.S. 665, 670</w:t>
      </w:r>
      <w:r w:rsidRPr="006E67FE">
        <w:rPr>
          <w:lang w:val="en-US"/>
        </w:rPr>
        <w:t xml:space="preserve"> = 64 S. Ct. </w:t>
      </w:r>
      <w:r w:rsidRPr="007A5545">
        <w:rPr>
          <w:lang w:val="en-US"/>
        </w:rPr>
        <w:t>1240</w:t>
      </w:r>
      <w:r w:rsidRPr="006E67FE">
        <w:rPr>
          <w:lang w:val="en-US"/>
        </w:rPr>
        <w:t xml:space="preserve"> = 88 L. Ed. </w:t>
      </w:r>
      <w:r w:rsidRPr="007A5545">
        <w:rPr>
          <w:lang w:val="en-US"/>
        </w:rPr>
        <w:t>1525 (1944).</w:t>
      </w:r>
    </w:p>
    <w:p w14:paraId="20F1B3AC" w14:textId="77777777" w:rsidR="00074551" w:rsidRPr="007A5545" w:rsidRDefault="00074551" w:rsidP="00074551">
      <w:pPr>
        <w:pStyle w:val="Funotentext"/>
        <w:rPr>
          <w:lang w:val="en-US"/>
        </w:rPr>
      </w:pPr>
      <w:r w:rsidRPr="00E466E0">
        <w:rPr>
          <w:i/>
          <w:lang w:val="en-US"/>
        </w:rPr>
        <w:t>Kerry v. Din</w:t>
      </w:r>
      <w:r w:rsidRPr="007A5545">
        <w:rPr>
          <w:lang w:val="en-US"/>
        </w:rPr>
        <w:t>, 576 U.S. 86, 108</w:t>
      </w:r>
      <w:r w:rsidRPr="006E67FE">
        <w:rPr>
          <w:lang w:val="en-US"/>
        </w:rPr>
        <w:t xml:space="preserve"> = 135 S. Ct. </w:t>
      </w:r>
      <w:r w:rsidRPr="007A5545">
        <w:rPr>
          <w:lang w:val="en-US"/>
        </w:rPr>
        <w:t>2128, 2142</w:t>
      </w:r>
      <w:r>
        <w:rPr>
          <w:lang w:val="en-US"/>
        </w:rPr>
        <w:t>–</w:t>
      </w:r>
      <w:r w:rsidRPr="007A5545">
        <w:rPr>
          <w:lang w:val="en-US"/>
        </w:rPr>
        <w:t>2143</w:t>
      </w:r>
      <w:r w:rsidRPr="006E67FE">
        <w:rPr>
          <w:lang w:val="en-US"/>
        </w:rPr>
        <w:t xml:space="preserve"> = 192 L. Ed. </w:t>
      </w:r>
      <w:r w:rsidRPr="007A5545">
        <w:rPr>
          <w:lang w:val="en-US"/>
        </w:rPr>
        <w:t>2d 183, 199</w:t>
      </w:r>
      <w:r w:rsidRPr="006E67FE">
        <w:rPr>
          <w:lang w:val="en-US"/>
        </w:rPr>
        <w:t xml:space="preserve"> = 2015 U.S. LEXIS </w:t>
      </w:r>
      <w:r w:rsidRPr="007A5545">
        <w:rPr>
          <w:lang w:val="en-US"/>
        </w:rPr>
        <w:t>3918, 35</w:t>
      </w:r>
      <w:r w:rsidRPr="006E67FE">
        <w:rPr>
          <w:lang w:val="en-US"/>
        </w:rPr>
        <w:t xml:space="preserve"> = 83 U.S.L.W. </w:t>
      </w:r>
      <w:r w:rsidRPr="007A5545">
        <w:rPr>
          <w:lang w:val="en-US"/>
        </w:rPr>
        <w:t>4417</w:t>
      </w:r>
      <w:r w:rsidRPr="006E67FE">
        <w:rPr>
          <w:lang w:val="en-US"/>
        </w:rPr>
        <w:t xml:space="preserve"> = 25 Fla. L. Weekly Fed. </w:t>
      </w:r>
      <w:r w:rsidRPr="007A5545">
        <w:rPr>
          <w:lang w:val="en-US"/>
        </w:rPr>
        <w:t>S 335 (2015)</w:t>
      </w:r>
      <w:r>
        <w:rPr>
          <w:lang w:val="en-US"/>
        </w:rPr>
        <w:t>.</w:t>
      </w:r>
    </w:p>
  </w:footnote>
  <w:footnote w:id="2035">
    <w:p w14:paraId="73868827" w14:textId="77777777" w:rsidR="00074551" w:rsidRPr="003268F8" w:rsidRDefault="00074551" w:rsidP="00074551">
      <w:pPr>
        <w:pStyle w:val="Funotentext"/>
        <w:rPr>
          <w:lang w:val="en-US"/>
        </w:rPr>
      </w:pPr>
      <w:r>
        <w:rPr>
          <w:rStyle w:val="Funotenzeichen"/>
          <w:rFonts w:eastAsiaTheme="majorEastAsia"/>
        </w:rPr>
        <w:footnoteRef/>
      </w:r>
      <w:r w:rsidRPr="003268F8">
        <w:rPr>
          <w:lang w:val="en-US"/>
        </w:rPr>
        <w:t xml:space="preserve"> </w:t>
      </w:r>
      <w:r w:rsidRPr="00B45592">
        <w:rPr>
          <w:i/>
          <w:lang w:val="en-US"/>
        </w:rPr>
        <w:t>Ng Fung Ho v. White</w:t>
      </w:r>
      <w:r w:rsidRPr="003268F8">
        <w:rPr>
          <w:lang w:val="en-US"/>
        </w:rPr>
        <w:t>, 259 U.S. 276, 284</w:t>
      </w:r>
      <w:r>
        <w:rPr>
          <w:lang w:val="en-US"/>
        </w:rPr>
        <w:t>–</w:t>
      </w:r>
      <w:r w:rsidRPr="003268F8">
        <w:rPr>
          <w:lang w:val="en-US"/>
        </w:rPr>
        <w:t>285</w:t>
      </w:r>
      <w:r>
        <w:rPr>
          <w:lang w:val="en-US"/>
        </w:rPr>
        <w:t xml:space="preserve"> = 42 S. Ct. </w:t>
      </w:r>
      <w:r w:rsidRPr="003268F8">
        <w:rPr>
          <w:lang w:val="en-US"/>
        </w:rPr>
        <w:t>492</w:t>
      </w:r>
      <w:r>
        <w:rPr>
          <w:lang w:val="en-US"/>
        </w:rPr>
        <w:t xml:space="preserve"> = 66 L. Ed. </w:t>
      </w:r>
      <w:r w:rsidRPr="003268F8">
        <w:rPr>
          <w:lang w:val="en-US"/>
        </w:rPr>
        <w:t xml:space="preserve">938 (1922); </w:t>
      </w:r>
      <w:r w:rsidRPr="009167A5">
        <w:rPr>
          <w:i/>
          <w:lang w:val="en-US"/>
        </w:rPr>
        <w:t>Baumgartner v. United States</w:t>
      </w:r>
      <w:r w:rsidRPr="003268F8">
        <w:rPr>
          <w:lang w:val="en-US"/>
        </w:rPr>
        <w:t>, 322 U.S. 665, 670</w:t>
      </w:r>
      <w:r w:rsidRPr="006E67FE">
        <w:rPr>
          <w:lang w:val="en-US"/>
        </w:rPr>
        <w:t xml:space="preserve"> = 64 S. Ct. </w:t>
      </w:r>
      <w:r w:rsidRPr="003268F8">
        <w:rPr>
          <w:lang w:val="en-US"/>
        </w:rPr>
        <w:t>1240</w:t>
      </w:r>
      <w:r w:rsidRPr="006E67FE">
        <w:rPr>
          <w:lang w:val="en-US"/>
        </w:rPr>
        <w:t xml:space="preserve"> = 88 L. Ed. </w:t>
      </w:r>
      <w:r w:rsidRPr="003268F8">
        <w:rPr>
          <w:lang w:val="en-US"/>
        </w:rPr>
        <w:t>1525 (1944)</w:t>
      </w:r>
      <w:r>
        <w:rPr>
          <w:lang w:val="en-US"/>
        </w:rPr>
        <w:t xml:space="preserve">; </w:t>
      </w:r>
      <w:r w:rsidRPr="00E466E0">
        <w:rPr>
          <w:i/>
          <w:lang w:val="en-US"/>
        </w:rPr>
        <w:t>Kerry v. Din</w:t>
      </w:r>
      <w:r w:rsidRPr="003268F8">
        <w:rPr>
          <w:lang w:val="en-US"/>
        </w:rPr>
        <w:t>, 576 U.S. 86, 108</w:t>
      </w:r>
      <w:r w:rsidRPr="006E67FE">
        <w:rPr>
          <w:lang w:val="en-US"/>
        </w:rPr>
        <w:t xml:space="preserve"> = 135 S. Ct. </w:t>
      </w:r>
      <w:r w:rsidRPr="003268F8">
        <w:rPr>
          <w:lang w:val="en-US"/>
        </w:rPr>
        <w:t>2128, 2142</w:t>
      </w:r>
      <w:r>
        <w:rPr>
          <w:lang w:val="en-US"/>
        </w:rPr>
        <w:t>–</w:t>
      </w:r>
      <w:r w:rsidRPr="003268F8">
        <w:rPr>
          <w:lang w:val="en-US"/>
        </w:rPr>
        <w:t>2143</w:t>
      </w:r>
      <w:r w:rsidRPr="006E67FE">
        <w:rPr>
          <w:lang w:val="en-US"/>
        </w:rPr>
        <w:t xml:space="preserve"> = 192 L. Ed. </w:t>
      </w:r>
      <w:r w:rsidRPr="003268F8">
        <w:rPr>
          <w:lang w:val="en-US"/>
        </w:rPr>
        <w:t>2d 183, 199</w:t>
      </w:r>
      <w:r w:rsidRPr="006E67FE">
        <w:rPr>
          <w:lang w:val="en-US"/>
        </w:rPr>
        <w:t xml:space="preserve"> = 2015 U.S. LEXIS </w:t>
      </w:r>
      <w:r w:rsidRPr="003268F8">
        <w:rPr>
          <w:lang w:val="en-US"/>
        </w:rPr>
        <w:t>3918, 35</w:t>
      </w:r>
      <w:r w:rsidRPr="006E67FE">
        <w:rPr>
          <w:lang w:val="en-US"/>
        </w:rPr>
        <w:t xml:space="preserve"> = 83 U.S.L.W. </w:t>
      </w:r>
      <w:r w:rsidRPr="003268F8">
        <w:rPr>
          <w:lang w:val="en-US"/>
        </w:rPr>
        <w:t>4417</w:t>
      </w:r>
      <w:r w:rsidRPr="006E67FE">
        <w:rPr>
          <w:lang w:val="en-US"/>
        </w:rPr>
        <w:t xml:space="preserve"> = 25 Fla. L. Weekly Fed. </w:t>
      </w:r>
      <w:r w:rsidRPr="003268F8">
        <w:rPr>
          <w:lang w:val="en-US"/>
        </w:rPr>
        <w:t>S 335 (2015)</w:t>
      </w:r>
      <w:r>
        <w:rPr>
          <w:lang w:val="en-US"/>
        </w:rPr>
        <w:t>.</w:t>
      </w:r>
    </w:p>
  </w:footnote>
  <w:footnote w:id="2036">
    <w:p w14:paraId="0B2222A1" w14:textId="77777777" w:rsidR="00074551" w:rsidRPr="00CA3ECE" w:rsidRDefault="00074551" w:rsidP="00074551">
      <w:pPr>
        <w:pStyle w:val="Funotentext"/>
        <w:rPr>
          <w:lang w:val="en-US"/>
        </w:rPr>
      </w:pPr>
      <w:r>
        <w:rPr>
          <w:rStyle w:val="Funotenzeichen"/>
          <w:rFonts w:eastAsiaTheme="majorEastAsia"/>
        </w:rPr>
        <w:footnoteRef/>
      </w:r>
      <w:r w:rsidRPr="00CA3ECE">
        <w:rPr>
          <w:lang w:val="en-US"/>
        </w:rPr>
        <w:t xml:space="preserve"> </w:t>
      </w:r>
      <w:r w:rsidRPr="009E57E1">
        <w:rPr>
          <w:i/>
          <w:lang w:val="en-US"/>
        </w:rPr>
        <w:t>Board of Regents of State Colleges v. Roth</w:t>
      </w:r>
      <w:r w:rsidRPr="00CA3ECE">
        <w:rPr>
          <w:lang w:val="en-US"/>
        </w:rPr>
        <w:t>, 408 U.S. 564, 571</w:t>
      </w:r>
      <w:r>
        <w:rPr>
          <w:lang w:val="en-US"/>
        </w:rPr>
        <w:t xml:space="preserve"> = 92 S. Ct. </w:t>
      </w:r>
      <w:r w:rsidRPr="00CA3ECE">
        <w:rPr>
          <w:lang w:val="en-US"/>
        </w:rPr>
        <w:t>2701</w:t>
      </w:r>
      <w:r w:rsidRPr="00EC5BEB">
        <w:rPr>
          <w:lang w:val="en-US"/>
        </w:rPr>
        <w:t xml:space="preserve"> = 33 L. Ed. </w:t>
      </w:r>
      <w:r w:rsidRPr="00CA3ECE">
        <w:rPr>
          <w:lang w:val="en-US"/>
        </w:rPr>
        <w:t>2d 548 (1972)</w:t>
      </w:r>
      <w:r>
        <w:rPr>
          <w:lang w:val="en-US"/>
        </w:rPr>
        <w:t xml:space="preserve">; </w:t>
      </w:r>
      <w:r w:rsidRPr="00E466E0">
        <w:rPr>
          <w:i/>
          <w:lang w:val="en-US"/>
        </w:rPr>
        <w:t>Kerry v. Din</w:t>
      </w:r>
      <w:r w:rsidRPr="00CA3ECE">
        <w:rPr>
          <w:lang w:val="en-US"/>
        </w:rPr>
        <w:t>, 576 U.S. 86, 109</w:t>
      </w:r>
      <w:r w:rsidRPr="006E67FE">
        <w:rPr>
          <w:lang w:val="en-US"/>
        </w:rPr>
        <w:t xml:space="preserve"> = 135 S. Ct. </w:t>
      </w:r>
      <w:r w:rsidRPr="00CA3ECE">
        <w:rPr>
          <w:lang w:val="en-US"/>
        </w:rPr>
        <w:t>2128, 2143</w:t>
      </w:r>
      <w:r w:rsidRPr="006E67FE">
        <w:rPr>
          <w:lang w:val="en-US"/>
        </w:rPr>
        <w:t xml:space="preserve"> = 192 L. Ed. </w:t>
      </w:r>
      <w:r w:rsidRPr="00CA3ECE">
        <w:rPr>
          <w:lang w:val="en-US"/>
        </w:rPr>
        <w:t>2d 183, 199</w:t>
      </w:r>
      <w:r w:rsidRPr="006E67FE">
        <w:rPr>
          <w:lang w:val="en-US"/>
        </w:rPr>
        <w:t xml:space="preserve"> = 2015 U.S. LEXIS </w:t>
      </w:r>
      <w:r w:rsidRPr="00CA3ECE">
        <w:rPr>
          <w:lang w:val="en-US"/>
        </w:rPr>
        <w:t>3918, 36</w:t>
      </w:r>
      <w:r w:rsidRPr="006E67FE">
        <w:rPr>
          <w:lang w:val="en-US"/>
        </w:rPr>
        <w:t xml:space="preserve"> = 83 U.S.L.W. </w:t>
      </w:r>
      <w:r w:rsidRPr="00CA3ECE">
        <w:rPr>
          <w:lang w:val="en-US"/>
        </w:rPr>
        <w:t>4417</w:t>
      </w:r>
      <w:r w:rsidRPr="006E67FE">
        <w:rPr>
          <w:lang w:val="en-US"/>
        </w:rPr>
        <w:t xml:space="preserve"> = 25 Fla. L. Weekly Fed. </w:t>
      </w:r>
      <w:r w:rsidRPr="00CA3ECE">
        <w:rPr>
          <w:lang w:val="en-US"/>
        </w:rPr>
        <w:t>S 335 (2015)</w:t>
      </w:r>
      <w:r>
        <w:rPr>
          <w:lang w:val="en-US"/>
        </w:rPr>
        <w:t>.</w:t>
      </w:r>
    </w:p>
  </w:footnote>
  <w:footnote w:id="2037">
    <w:p w14:paraId="37972187" w14:textId="77777777" w:rsidR="00074551" w:rsidRPr="008A0BA2" w:rsidRDefault="00074551" w:rsidP="00074551">
      <w:pPr>
        <w:pStyle w:val="Funotentext"/>
        <w:rPr>
          <w:lang w:val="en-US"/>
        </w:rPr>
      </w:pPr>
      <w:r>
        <w:rPr>
          <w:rStyle w:val="Funotenzeichen"/>
          <w:rFonts w:eastAsiaTheme="majorEastAsia"/>
        </w:rPr>
        <w:footnoteRef/>
      </w:r>
      <w:r w:rsidRPr="00CA3ECE">
        <w:rPr>
          <w:lang w:val="en-US"/>
        </w:rPr>
        <w:t xml:space="preserve"> </w:t>
      </w:r>
      <w:r w:rsidRPr="009E57E1">
        <w:rPr>
          <w:i/>
          <w:lang w:val="en-US"/>
        </w:rPr>
        <w:t>Board of Regents of State Colleges v. Roth</w:t>
      </w:r>
      <w:r w:rsidRPr="00CA3ECE">
        <w:rPr>
          <w:lang w:val="en-US"/>
        </w:rPr>
        <w:t>, 408 U.S. 564, 571</w:t>
      </w:r>
      <w:r>
        <w:rPr>
          <w:lang w:val="en-US"/>
        </w:rPr>
        <w:t xml:space="preserve"> = 92 S. Ct. </w:t>
      </w:r>
      <w:r w:rsidRPr="00CA3ECE">
        <w:rPr>
          <w:lang w:val="en-US"/>
        </w:rPr>
        <w:t>2701</w:t>
      </w:r>
      <w:r w:rsidRPr="00EC5BEB">
        <w:rPr>
          <w:lang w:val="en-US"/>
        </w:rPr>
        <w:t xml:space="preserve"> = 33 L. Ed. </w:t>
      </w:r>
      <w:r w:rsidRPr="00CA3ECE">
        <w:rPr>
          <w:lang w:val="en-US"/>
        </w:rPr>
        <w:t>2d 548 (1972)</w:t>
      </w:r>
      <w:r>
        <w:rPr>
          <w:lang w:val="en-US"/>
        </w:rPr>
        <w:t xml:space="preserve">; </w:t>
      </w:r>
      <w:r w:rsidRPr="00E466E0">
        <w:rPr>
          <w:i/>
          <w:lang w:val="en-US"/>
        </w:rPr>
        <w:t>Kerry v. Din</w:t>
      </w:r>
      <w:r w:rsidRPr="00CA3ECE">
        <w:rPr>
          <w:lang w:val="en-US"/>
        </w:rPr>
        <w:t>, 576 U.S. 86, 109</w:t>
      </w:r>
      <w:r w:rsidRPr="006E67FE">
        <w:rPr>
          <w:lang w:val="en-US"/>
        </w:rPr>
        <w:t xml:space="preserve"> = 135 S. Ct. </w:t>
      </w:r>
      <w:r w:rsidRPr="00CA3ECE">
        <w:rPr>
          <w:lang w:val="en-US"/>
        </w:rPr>
        <w:t>2128, 2143</w:t>
      </w:r>
      <w:r w:rsidRPr="006E67FE">
        <w:rPr>
          <w:lang w:val="en-US"/>
        </w:rPr>
        <w:t xml:space="preserve"> = 192 L. Ed. </w:t>
      </w:r>
      <w:r w:rsidRPr="00CA3ECE">
        <w:rPr>
          <w:lang w:val="en-US"/>
        </w:rPr>
        <w:t>2d 183, 199</w:t>
      </w:r>
      <w:r w:rsidRPr="006E67FE">
        <w:rPr>
          <w:lang w:val="en-US"/>
        </w:rPr>
        <w:t xml:space="preserve"> = 2015 U.S. LEXIS </w:t>
      </w:r>
      <w:r w:rsidRPr="00CA3ECE">
        <w:rPr>
          <w:lang w:val="en-US"/>
        </w:rPr>
        <w:t>3918, 36</w:t>
      </w:r>
      <w:r w:rsidRPr="006E67FE">
        <w:rPr>
          <w:lang w:val="en-US"/>
        </w:rPr>
        <w:t xml:space="preserve"> = 83 U.S.L.W. </w:t>
      </w:r>
      <w:r w:rsidRPr="00CA3ECE">
        <w:rPr>
          <w:lang w:val="en-US"/>
        </w:rPr>
        <w:t>4417</w:t>
      </w:r>
      <w:r w:rsidRPr="006E67FE">
        <w:rPr>
          <w:lang w:val="en-US"/>
        </w:rPr>
        <w:t xml:space="preserve"> = 25 Fla. L. Weekly Fed. </w:t>
      </w:r>
      <w:r w:rsidRPr="00CA3ECE">
        <w:rPr>
          <w:lang w:val="en-US"/>
        </w:rPr>
        <w:t>S 335 (2015)</w:t>
      </w:r>
      <w:r>
        <w:rPr>
          <w:lang w:val="en-US"/>
        </w:rPr>
        <w:t>.</w:t>
      </w:r>
    </w:p>
  </w:footnote>
  <w:footnote w:id="2038">
    <w:p w14:paraId="3BEE03DF" w14:textId="77777777" w:rsidR="00074551" w:rsidRPr="008A0BA2" w:rsidRDefault="00074551" w:rsidP="00074551">
      <w:pPr>
        <w:pStyle w:val="Funotentext"/>
        <w:rPr>
          <w:lang w:val="en-US"/>
        </w:rPr>
      </w:pPr>
      <w:r>
        <w:rPr>
          <w:rStyle w:val="Funotenzeichen"/>
          <w:rFonts w:eastAsiaTheme="majorEastAsia"/>
        </w:rPr>
        <w:footnoteRef/>
      </w:r>
      <w:r>
        <w:rPr>
          <w:lang w:val="en-US"/>
        </w:rPr>
        <w:t xml:space="preserve"> </w:t>
      </w:r>
      <w:proofErr w:type="spellStart"/>
      <w:r>
        <w:rPr>
          <w:lang w:val="en-US"/>
        </w:rPr>
        <w:t>Unmittelbarer</w:t>
      </w:r>
      <w:proofErr w:type="spellEnd"/>
      <w:r>
        <w:rPr>
          <w:lang w:val="en-US"/>
        </w:rPr>
        <w:t xml:space="preserve"> </w:t>
      </w:r>
      <w:proofErr w:type="spellStart"/>
      <w:r>
        <w:rPr>
          <w:lang w:val="en-US"/>
        </w:rPr>
        <w:t>Bezug</w:t>
      </w:r>
      <w:proofErr w:type="spellEnd"/>
      <w:r>
        <w:rPr>
          <w:lang w:val="en-US"/>
        </w:rPr>
        <w:t xml:space="preserve"> </w:t>
      </w:r>
      <w:proofErr w:type="spellStart"/>
      <w:r>
        <w:rPr>
          <w:lang w:val="en-US"/>
        </w:rPr>
        <w:t>zu</w:t>
      </w:r>
      <w:proofErr w:type="spellEnd"/>
      <w:r>
        <w:rPr>
          <w:lang w:val="en-US"/>
        </w:rPr>
        <w:t xml:space="preserve"> </w:t>
      </w:r>
      <w:r w:rsidRPr="009E57E1">
        <w:rPr>
          <w:i/>
          <w:lang w:val="en-US"/>
        </w:rPr>
        <w:t>Bd. of Regents v. Roth</w:t>
      </w:r>
      <w:r w:rsidRPr="008A0BA2">
        <w:rPr>
          <w:lang w:val="en-US"/>
        </w:rPr>
        <w:t>, 408 U.S. 564, 572</w:t>
      </w:r>
      <w:r>
        <w:rPr>
          <w:lang w:val="en-US"/>
        </w:rPr>
        <w:t xml:space="preserve"> = 92 S. Ct. </w:t>
      </w:r>
      <w:r w:rsidRPr="008A0BA2">
        <w:rPr>
          <w:lang w:val="en-US"/>
        </w:rPr>
        <w:t>2701, 2707</w:t>
      </w:r>
      <w:r w:rsidRPr="00EC5BEB">
        <w:rPr>
          <w:lang w:val="en-US"/>
        </w:rPr>
        <w:t xml:space="preserve"> = 33 L. Ed. </w:t>
      </w:r>
      <w:r w:rsidRPr="008A0BA2">
        <w:rPr>
          <w:lang w:val="en-US"/>
        </w:rPr>
        <w:t>2d 548, 558</w:t>
      </w:r>
      <w:r>
        <w:rPr>
          <w:lang w:val="en-US"/>
        </w:rPr>
        <w:t xml:space="preserve"> = 1972 U.S. LEXIS </w:t>
      </w:r>
      <w:r w:rsidRPr="008A0BA2">
        <w:rPr>
          <w:lang w:val="en-US"/>
        </w:rPr>
        <w:t>131, 15</w:t>
      </w:r>
      <w:r w:rsidRPr="005D5028">
        <w:rPr>
          <w:lang w:val="en-US"/>
        </w:rPr>
        <w:t xml:space="preserve"> = 1 I.E.R. </w:t>
      </w:r>
      <w:r w:rsidRPr="008A0BA2">
        <w:rPr>
          <w:lang w:val="en-US"/>
        </w:rPr>
        <w:t xml:space="preserve">Cas. </w:t>
      </w:r>
      <w:r>
        <w:t>(BNA) 23 (1972), wo sich der U.S. Supreme Court auch auf folgende Rechtsprechung bezieht:</w:t>
      </w:r>
      <w:r w:rsidRPr="008A0BA2">
        <w:t xml:space="preserve"> </w:t>
      </w:r>
      <w:r>
        <w:t>„</w:t>
      </w:r>
      <w:r w:rsidRPr="009E57E1">
        <w:rPr>
          <w:i/>
        </w:rPr>
        <w:t>Meyer v. Nebraska</w:t>
      </w:r>
      <w:r w:rsidRPr="008A0BA2">
        <w:t xml:space="preserve">, 262 U.S. 390, 399. </w:t>
      </w:r>
      <w:r w:rsidRPr="008A0BA2">
        <w:rPr>
          <w:lang w:val="en-US"/>
        </w:rPr>
        <w:t xml:space="preserve">In a </w:t>
      </w:r>
      <w:proofErr w:type="gramStart"/>
      <w:r w:rsidRPr="008A0BA2">
        <w:rPr>
          <w:lang w:val="en-US"/>
        </w:rPr>
        <w:t>Constitution</w:t>
      </w:r>
      <w:proofErr w:type="gramEnd"/>
      <w:r w:rsidRPr="008A0BA2">
        <w:rPr>
          <w:lang w:val="en-US"/>
        </w:rPr>
        <w:t xml:space="preserve"> for a free people, there can be no doubt that the meaning </w:t>
      </w:r>
      <w:proofErr w:type="gramStart"/>
      <w:r w:rsidRPr="008A0BA2">
        <w:rPr>
          <w:lang w:val="en-US"/>
        </w:rPr>
        <w:t xml:space="preserve">of </w:t>
      </w:r>
      <w:r>
        <w:rPr>
          <w:lang w:val="en-US"/>
        </w:rPr>
        <w:t>,</w:t>
      </w:r>
      <w:r w:rsidRPr="008A0BA2">
        <w:rPr>
          <w:lang w:val="en-US"/>
        </w:rPr>
        <w:t>liberty</w:t>
      </w:r>
      <w:r>
        <w:rPr>
          <w:lang w:val="en-US"/>
        </w:rPr>
        <w:t>‘</w:t>
      </w:r>
      <w:r w:rsidRPr="008A0BA2">
        <w:rPr>
          <w:lang w:val="en-US"/>
        </w:rPr>
        <w:t xml:space="preserve"> must</w:t>
      </w:r>
      <w:proofErr w:type="gramEnd"/>
      <w:r w:rsidRPr="008A0BA2">
        <w:rPr>
          <w:lang w:val="en-US"/>
        </w:rPr>
        <w:t xml:space="preserve"> be broad indeed. See, e. g., </w:t>
      </w:r>
      <w:r w:rsidRPr="00B45592">
        <w:rPr>
          <w:i/>
          <w:lang w:val="en-US"/>
        </w:rPr>
        <w:t>Bolling v. Sharpe</w:t>
      </w:r>
      <w:r w:rsidRPr="008A0BA2">
        <w:rPr>
          <w:lang w:val="en-US"/>
        </w:rPr>
        <w:t>, 347 U.S. 497, 499</w:t>
      </w:r>
      <w:r>
        <w:rPr>
          <w:lang w:val="en-US"/>
        </w:rPr>
        <w:t>–</w:t>
      </w:r>
      <w:r w:rsidRPr="008A0BA2">
        <w:rPr>
          <w:lang w:val="en-US"/>
        </w:rPr>
        <w:t xml:space="preserve">500; </w:t>
      </w:r>
      <w:r w:rsidRPr="00B45592">
        <w:rPr>
          <w:i/>
          <w:lang w:val="en-US"/>
        </w:rPr>
        <w:t>Stanley v. Illinois</w:t>
      </w:r>
      <w:r w:rsidRPr="008A0BA2">
        <w:rPr>
          <w:lang w:val="en-US"/>
        </w:rPr>
        <w:t xml:space="preserve">, 405 U.S. </w:t>
      </w:r>
      <w:proofErr w:type="gramStart"/>
      <w:r w:rsidRPr="008A0BA2">
        <w:rPr>
          <w:lang w:val="en-US"/>
        </w:rPr>
        <w:t>645.</w:t>
      </w:r>
      <w:r>
        <w:rPr>
          <w:lang w:val="en-US"/>
        </w:rPr>
        <w:t>“</w:t>
      </w:r>
      <w:proofErr w:type="gramEnd"/>
    </w:p>
  </w:footnote>
  <w:footnote w:id="2039">
    <w:p w14:paraId="351754F5" w14:textId="77777777" w:rsidR="00074551" w:rsidRPr="008A0BA2" w:rsidRDefault="00074551" w:rsidP="00074551">
      <w:pPr>
        <w:pStyle w:val="Funotentext"/>
        <w:rPr>
          <w:lang w:val="en-US"/>
        </w:rPr>
      </w:pPr>
      <w:r>
        <w:rPr>
          <w:rStyle w:val="Funotenzeichen"/>
          <w:rFonts w:eastAsiaTheme="majorEastAsia"/>
        </w:rPr>
        <w:footnoteRef/>
      </w:r>
      <w:r w:rsidRPr="008A0BA2">
        <w:rPr>
          <w:lang w:val="en-US"/>
        </w:rPr>
        <w:t xml:space="preserve"> </w:t>
      </w:r>
      <w:r w:rsidRPr="00B45592">
        <w:rPr>
          <w:i/>
          <w:lang w:val="en-US"/>
        </w:rPr>
        <w:t>Ng Fung Ho v. White</w:t>
      </w:r>
      <w:r w:rsidRPr="008A0BA2">
        <w:rPr>
          <w:lang w:val="en-US"/>
        </w:rPr>
        <w:t>, 259 U.S. 276, 284</w:t>
      </w:r>
      <w:r>
        <w:rPr>
          <w:lang w:val="en-US"/>
        </w:rPr>
        <w:t>–</w:t>
      </w:r>
      <w:r w:rsidRPr="008A0BA2">
        <w:rPr>
          <w:lang w:val="en-US"/>
        </w:rPr>
        <w:t>285</w:t>
      </w:r>
      <w:r>
        <w:rPr>
          <w:lang w:val="en-US"/>
        </w:rPr>
        <w:t xml:space="preserve"> = 42 S. Ct. </w:t>
      </w:r>
      <w:r w:rsidRPr="008A0BA2">
        <w:rPr>
          <w:lang w:val="en-US"/>
        </w:rPr>
        <w:t>492</w:t>
      </w:r>
      <w:r>
        <w:rPr>
          <w:lang w:val="en-US"/>
        </w:rPr>
        <w:t xml:space="preserve"> = 66 L. Ed. </w:t>
      </w:r>
      <w:r w:rsidRPr="008A0BA2">
        <w:rPr>
          <w:lang w:val="en-US"/>
        </w:rPr>
        <w:t xml:space="preserve">938 (1922); </w:t>
      </w:r>
      <w:r w:rsidRPr="009167A5">
        <w:rPr>
          <w:i/>
          <w:lang w:val="en-US"/>
        </w:rPr>
        <w:t>Baumgartner v. United States</w:t>
      </w:r>
      <w:r w:rsidRPr="008A0BA2">
        <w:rPr>
          <w:lang w:val="en-US"/>
        </w:rPr>
        <w:t>, 322 U.S. 665, 670</w:t>
      </w:r>
      <w:r w:rsidRPr="006E67FE">
        <w:rPr>
          <w:lang w:val="en-US"/>
        </w:rPr>
        <w:t xml:space="preserve"> = 64 S. Ct. </w:t>
      </w:r>
      <w:r w:rsidRPr="008A0BA2">
        <w:rPr>
          <w:lang w:val="en-US"/>
        </w:rPr>
        <w:t>1240</w:t>
      </w:r>
      <w:r w:rsidRPr="006E67FE">
        <w:rPr>
          <w:lang w:val="en-US"/>
        </w:rPr>
        <w:t xml:space="preserve"> = 88 L. Ed. </w:t>
      </w:r>
      <w:r w:rsidRPr="008A0BA2">
        <w:rPr>
          <w:lang w:val="en-US"/>
        </w:rPr>
        <w:t>1525 (1944)</w:t>
      </w:r>
      <w:r>
        <w:rPr>
          <w:lang w:val="en-US"/>
        </w:rPr>
        <w:t>;</w:t>
      </w:r>
    </w:p>
    <w:p w14:paraId="5B2317C4" w14:textId="77777777" w:rsidR="00074551" w:rsidRPr="00B323E4" w:rsidRDefault="00074551" w:rsidP="00074551">
      <w:pPr>
        <w:pStyle w:val="Funotentext"/>
        <w:rPr>
          <w:lang w:val="en-US"/>
        </w:rPr>
      </w:pPr>
      <w:r w:rsidRPr="00E466E0">
        <w:rPr>
          <w:i/>
          <w:lang w:val="en-US"/>
        </w:rPr>
        <w:t>Kerry v. Din</w:t>
      </w:r>
      <w:r w:rsidRPr="008A0BA2">
        <w:rPr>
          <w:lang w:val="en-US"/>
        </w:rPr>
        <w:t>, 576 U.S. 86, 108</w:t>
      </w:r>
      <w:r w:rsidRPr="006E67FE">
        <w:rPr>
          <w:lang w:val="en-US"/>
        </w:rPr>
        <w:t xml:space="preserve"> = 135 S. Ct. </w:t>
      </w:r>
      <w:r w:rsidRPr="008A0BA2">
        <w:rPr>
          <w:lang w:val="en-US"/>
        </w:rPr>
        <w:t>2128, 2142</w:t>
      </w:r>
      <w:r>
        <w:rPr>
          <w:lang w:val="en-US"/>
        </w:rPr>
        <w:t>–</w:t>
      </w:r>
      <w:r w:rsidRPr="008A0BA2">
        <w:rPr>
          <w:lang w:val="en-US"/>
        </w:rPr>
        <w:t>2143</w:t>
      </w:r>
      <w:r w:rsidRPr="006E67FE">
        <w:rPr>
          <w:lang w:val="en-US"/>
        </w:rPr>
        <w:t xml:space="preserve"> = 192 L. Ed. </w:t>
      </w:r>
      <w:r w:rsidRPr="008A0BA2">
        <w:rPr>
          <w:lang w:val="en-US"/>
        </w:rPr>
        <w:t>2d 183, 199</w:t>
      </w:r>
      <w:r w:rsidRPr="006E67FE">
        <w:rPr>
          <w:lang w:val="en-US"/>
        </w:rPr>
        <w:t xml:space="preserve"> = 2015 U.S. LEXIS </w:t>
      </w:r>
      <w:r w:rsidRPr="008A0BA2">
        <w:rPr>
          <w:lang w:val="en-US"/>
        </w:rPr>
        <w:t>3918, 35</w:t>
      </w:r>
      <w:r w:rsidRPr="006E67FE">
        <w:rPr>
          <w:lang w:val="en-US"/>
        </w:rPr>
        <w:t xml:space="preserve"> = 83 U.S.L.W. </w:t>
      </w:r>
      <w:r w:rsidRPr="008A0BA2">
        <w:rPr>
          <w:lang w:val="en-US"/>
        </w:rPr>
        <w:t>4417</w:t>
      </w:r>
      <w:r w:rsidRPr="006E67FE">
        <w:rPr>
          <w:lang w:val="en-US"/>
        </w:rPr>
        <w:t xml:space="preserve"> = 25 Fla. L. Weekly Fed. </w:t>
      </w:r>
      <w:r w:rsidRPr="00B323E4">
        <w:rPr>
          <w:lang w:val="en-US"/>
        </w:rPr>
        <w:t>S 335 (2015)</w:t>
      </w:r>
      <w:r>
        <w:rPr>
          <w:lang w:val="en-US"/>
        </w:rPr>
        <w:t>.</w:t>
      </w:r>
    </w:p>
  </w:footnote>
  <w:footnote w:id="2040">
    <w:p w14:paraId="6C538F18" w14:textId="77777777" w:rsidR="00074551" w:rsidRPr="00B323E4" w:rsidRDefault="00074551" w:rsidP="00074551">
      <w:pPr>
        <w:pStyle w:val="Funotentext"/>
        <w:rPr>
          <w:lang w:val="en-US"/>
        </w:rPr>
      </w:pPr>
      <w:r>
        <w:rPr>
          <w:rStyle w:val="Funotenzeichen"/>
          <w:rFonts w:eastAsiaTheme="majorEastAsia"/>
        </w:rPr>
        <w:footnoteRef/>
      </w:r>
      <w:r w:rsidRPr="006E67FE">
        <w:rPr>
          <w:lang w:val="en-US"/>
        </w:rPr>
        <w:t xml:space="preserve"> </w:t>
      </w:r>
      <w:r w:rsidRPr="009167A5">
        <w:rPr>
          <w:i/>
          <w:lang w:val="en-US"/>
        </w:rPr>
        <w:t>Washington v. Glucksberg</w:t>
      </w:r>
      <w:r w:rsidRPr="00B323E4">
        <w:rPr>
          <w:lang w:val="en-US"/>
        </w:rPr>
        <w:t>, 521 U.S. 702, 721</w:t>
      </w:r>
      <w:r w:rsidRPr="006E67FE">
        <w:rPr>
          <w:lang w:val="en-US"/>
        </w:rPr>
        <w:t xml:space="preserve"> = 138 L. Ed. </w:t>
      </w:r>
      <w:r w:rsidRPr="00B323E4">
        <w:rPr>
          <w:lang w:val="en-US"/>
        </w:rPr>
        <w:t>2d 772</w:t>
      </w:r>
      <w:r w:rsidRPr="006E67FE">
        <w:rPr>
          <w:lang w:val="en-US"/>
        </w:rPr>
        <w:t xml:space="preserve"> = 117 S. Ct. </w:t>
      </w:r>
      <w:r w:rsidRPr="00B323E4">
        <w:rPr>
          <w:lang w:val="en-US"/>
        </w:rPr>
        <w:t>2258 (1997)</w:t>
      </w:r>
      <w:r>
        <w:rPr>
          <w:lang w:val="en-US"/>
        </w:rPr>
        <w:t xml:space="preserve">; </w:t>
      </w:r>
      <w:r w:rsidRPr="009E57E1">
        <w:rPr>
          <w:i/>
          <w:lang w:val="en-US"/>
        </w:rPr>
        <w:t>Lawrence v. Texas</w:t>
      </w:r>
      <w:r w:rsidRPr="00B323E4">
        <w:rPr>
          <w:lang w:val="en-US"/>
        </w:rPr>
        <w:t>, 539 U.S. 558, 593</w:t>
      </w:r>
      <w:r w:rsidRPr="006E67FE">
        <w:rPr>
          <w:lang w:val="en-US"/>
        </w:rPr>
        <w:t xml:space="preserve"> = 123 S. Ct. </w:t>
      </w:r>
      <w:r w:rsidRPr="00B323E4">
        <w:rPr>
          <w:lang w:val="en-US"/>
        </w:rPr>
        <w:t>2472, 2492</w:t>
      </w:r>
      <w:r w:rsidRPr="006E67FE">
        <w:rPr>
          <w:lang w:val="en-US"/>
        </w:rPr>
        <w:t xml:space="preserve"> = 156 L. Ed. </w:t>
      </w:r>
      <w:r w:rsidRPr="00B323E4">
        <w:rPr>
          <w:lang w:val="en-US"/>
        </w:rPr>
        <w:t>2d 508, 535</w:t>
      </w:r>
      <w:r>
        <w:rPr>
          <w:lang w:val="en-US"/>
        </w:rPr>
        <w:t xml:space="preserve"> = 2003 U.S. LEXIS </w:t>
      </w:r>
      <w:r w:rsidRPr="00B323E4">
        <w:rPr>
          <w:lang w:val="en-US"/>
        </w:rPr>
        <w:t>5013, 62</w:t>
      </w:r>
      <w:r>
        <w:rPr>
          <w:lang w:val="en-US"/>
        </w:rPr>
        <w:t xml:space="preserve"> = 71 U.S.L.W. </w:t>
      </w:r>
      <w:r w:rsidRPr="00B323E4">
        <w:rPr>
          <w:lang w:val="en-US"/>
        </w:rPr>
        <w:t>4574</w:t>
      </w:r>
      <w:r>
        <w:rPr>
          <w:lang w:val="en-US"/>
        </w:rPr>
        <w:t xml:space="preserve"> = 2003 Cal. Daily </w:t>
      </w:r>
      <w:r w:rsidRPr="00B323E4">
        <w:rPr>
          <w:lang w:val="en-US"/>
        </w:rPr>
        <w:t>Op. Service 5559</w:t>
      </w:r>
      <w:r>
        <w:rPr>
          <w:lang w:val="en-US"/>
        </w:rPr>
        <w:t xml:space="preserve"> = 2003 Daily </w:t>
      </w:r>
      <w:r w:rsidRPr="00B323E4">
        <w:rPr>
          <w:lang w:val="en-US"/>
        </w:rPr>
        <w:t>Journal DAR 7036</w:t>
      </w:r>
      <w:r>
        <w:rPr>
          <w:lang w:val="en-US"/>
        </w:rPr>
        <w:t xml:space="preserve"> = 16 Fla. L. Weekly </w:t>
      </w:r>
      <w:r w:rsidRPr="00B323E4">
        <w:rPr>
          <w:lang w:val="en-US"/>
        </w:rPr>
        <w:t>Fed. S 427 (2003)</w:t>
      </w:r>
      <w:r>
        <w:rPr>
          <w:lang w:val="en-US"/>
        </w:rPr>
        <w:t>.</w:t>
      </w:r>
    </w:p>
  </w:footnote>
  <w:footnote w:id="2041">
    <w:p w14:paraId="5CA58434" w14:textId="77777777" w:rsidR="00074551" w:rsidRPr="00B323E4" w:rsidRDefault="00074551" w:rsidP="00074551">
      <w:pPr>
        <w:pStyle w:val="Funotentext"/>
        <w:rPr>
          <w:lang w:val="en-US"/>
        </w:rPr>
      </w:pPr>
      <w:r>
        <w:rPr>
          <w:rStyle w:val="Funotenzeichen"/>
          <w:rFonts w:eastAsiaTheme="majorEastAsia"/>
        </w:rPr>
        <w:footnoteRef/>
      </w:r>
      <w:r w:rsidRPr="00B323E4">
        <w:rPr>
          <w:lang w:val="en-US"/>
        </w:rPr>
        <w:t xml:space="preserve"> </w:t>
      </w:r>
      <w:r w:rsidRPr="009167A5">
        <w:rPr>
          <w:i/>
          <w:lang w:val="en-US"/>
        </w:rPr>
        <w:t>Washington v. Glucksberg</w:t>
      </w:r>
      <w:r w:rsidRPr="00B323E4">
        <w:rPr>
          <w:lang w:val="en-US"/>
        </w:rPr>
        <w:t>, 521 U.S. 702, 721</w:t>
      </w:r>
      <w:r w:rsidRPr="006E67FE">
        <w:rPr>
          <w:lang w:val="en-US"/>
        </w:rPr>
        <w:t xml:space="preserve"> = 138 L. Ed. </w:t>
      </w:r>
      <w:r w:rsidRPr="00B323E4">
        <w:rPr>
          <w:lang w:val="en-US"/>
        </w:rPr>
        <w:t>2d 772</w:t>
      </w:r>
      <w:r w:rsidRPr="006E67FE">
        <w:rPr>
          <w:lang w:val="en-US"/>
        </w:rPr>
        <w:t xml:space="preserve"> = 117 S. Ct. </w:t>
      </w:r>
      <w:r w:rsidRPr="00B323E4">
        <w:rPr>
          <w:lang w:val="en-US"/>
        </w:rPr>
        <w:t>2258 (1997)</w:t>
      </w:r>
      <w:r>
        <w:rPr>
          <w:lang w:val="en-US"/>
        </w:rPr>
        <w:t xml:space="preserve">; </w:t>
      </w:r>
      <w:r w:rsidRPr="009E57E1">
        <w:rPr>
          <w:i/>
          <w:lang w:val="en-US"/>
        </w:rPr>
        <w:t>Lawrence v. Texas</w:t>
      </w:r>
      <w:r w:rsidRPr="00B323E4">
        <w:rPr>
          <w:lang w:val="en-US"/>
        </w:rPr>
        <w:t>, 539 U.S. 558, 593</w:t>
      </w:r>
      <w:r w:rsidRPr="006E67FE">
        <w:rPr>
          <w:lang w:val="en-US"/>
        </w:rPr>
        <w:t xml:space="preserve"> = 123 S. Ct. </w:t>
      </w:r>
      <w:r w:rsidRPr="00B323E4">
        <w:rPr>
          <w:lang w:val="en-US"/>
        </w:rPr>
        <w:t>2472, 2492</w:t>
      </w:r>
      <w:r w:rsidRPr="006E67FE">
        <w:rPr>
          <w:lang w:val="en-US"/>
        </w:rPr>
        <w:t xml:space="preserve"> = 156 L. Ed. </w:t>
      </w:r>
      <w:r w:rsidRPr="00B323E4">
        <w:rPr>
          <w:lang w:val="en-US"/>
        </w:rPr>
        <w:t>2d 508, 535</w:t>
      </w:r>
      <w:r>
        <w:rPr>
          <w:lang w:val="en-US"/>
        </w:rPr>
        <w:t xml:space="preserve"> = 2003 U.S. LEXIS </w:t>
      </w:r>
      <w:r w:rsidRPr="00B323E4">
        <w:rPr>
          <w:lang w:val="en-US"/>
        </w:rPr>
        <w:t>5013, 62</w:t>
      </w:r>
      <w:r>
        <w:rPr>
          <w:lang w:val="en-US"/>
        </w:rPr>
        <w:t xml:space="preserve"> = 71 U.S.L.W. </w:t>
      </w:r>
      <w:r w:rsidRPr="00B323E4">
        <w:rPr>
          <w:lang w:val="en-US"/>
        </w:rPr>
        <w:t>4574</w:t>
      </w:r>
      <w:r>
        <w:rPr>
          <w:lang w:val="en-US"/>
        </w:rPr>
        <w:t xml:space="preserve"> = 2003 Cal. Daily </w:t>
      </w:r>
      <w:r w:rsidRPr="00B323E4">
        <w:rPr>
          <w:lang w:val="en-US"/>
        </w:rPr>
        <w:t>Op. Service 5559</w:t>
      </w:r>
      <w:r>
        <w:rPr>
          <w:lang w:val="en-US"/>
        </w:rPr>
        <w:t xml:space="preserve"> = 2003 Daily </w:t>
      </w:r>
      <w:r w:rsidRPr="00B323E4">
        <w:rPr>
          <w:lang w:val="en-US"/>
        </w:rPr>
        <w:t>Journal DAR 7036</w:t>
      </w:r>
      <w:r>
        <w:rPr>
          <w:lang w:val="en-US"/>
        </w:rPr>
        <w:t xml:space="preserve"> = 16 Fla. L. Weekly </w:t>
      </w:r>
      <w:r w:rsidRPr="00B323E4">
        <w:rPr>
          <w:lang w:val="en-US"/>
        </w:rPr>
        <w:t>Fed. S 427 (2003)</w:t>
      </w:r>
      <w:r>
        <w:rPr>
          <w:lang w:val="en-US"/>
        </w:rPr>
        <w:t>.</w:t>
      </w:r>
    </w:p>
  </w:footnote>
  <w:footnote w:id="2042">
    <w:p w14:paraId="54CD9BBA" w14:textId="77777777" w:rsidR="00074551" w:rsidRPr="00B323E4" w:rsidRDefault="00074551" w:rsidP="00074551">
      <w:pPr>
        <w:pStyle w:val="Funotentext"/>
        <w:rPr>
          <w:lang w:val="en-US"/>
        </w:rPr>
      </w:pPr>
      <w:r>
        <w:rPr>
          <w:rStyle w:val="Funotenzeichen"/>
          <w:rFonts w:eastAsiaTheme="majorEastAsia"/>
        </w:rPr>
        <w:footnoteRef/>
      </w:r>
      <w:r w:rsidRPr="006E67FE">
        <w:rPr>
          <w:lang w:val="en-US"/>
        </w:rPr>
        <w:t xml:space="preserve"> </w:t>
      </w:r>
      <w:r w:rsidRPr="009167A5">
        <w:rPr>
          <w:i/>
          <w:lang w:val="en-US"/>
        </w:rPr>
        <w:t>Washington v. Glucksberg</w:t>
      </w:r>
      <w:r w:rsidRPr="00B323E4">
        <w:rPr>
          <w:lang w:val="en-US"/>
        </w:rPr>
        <w:t>, 521 U.S. 702, 721</w:t>
      </w:r>
      <w:r w:rsidRPr="006E67FE">
        <w:rPr>
          <w:lang w:val="en-US"/>
        </w:rPr>
        <w:t xml:space="preserve"> = 138 L. Ed. </w:t>
      </w:r>
      <w:r w:rsidRPr="00B323E4">
        <w:rPr>
          <w:lang w:val="en-US"/>
        </w:rPr>
        <w:t>2d 772</w:t>
      </w:r>
      <w:r w:rsidRPr="006E67FE">
        <w:rPr>
          <w:lang w:val="en-US"/>
        </w:rPr>
        <w:t xml:space="preserve"> = 117 S. Ct. </w:t>
      </w:r>
      <w:r w:rsidRPr="00B323E4">
        <w:rPr>
          <w:lang w:val="en-US"/>
        </w:rPr>
        <w:t>2258 (1997)</w:t>
      </w:r>
      <w:r>
        <w:rPr>
          <w:lang w:val="en-US"/>
        </w:rPr>
        <w:t xml:space="preserve">; </w:t>
      </w:r>
      <w:r w:rsidRPr="009E57E1">
        <w:rPr>
          <w:i/>
          <w:lang w:val="en-US"/>
        </w:rPr>
        <w:t>Lawrence v. Texas</w:t>
      </w:r>
      <w:r w:rsidRPr="00B323E4">
        <w:rPr>
          <w:lang w:val="en-US"/>
        </w:rPr>
        <w:t>, 539 U.S. 558, 593</w:t>
      </w:r>
      <w:r w:rsidRPr="006E67FE">
        <w:rPr>
          <w:lang w:val="en-US"/>
        </w:rPr>
        <w:t xml:space="preserve"> = 123 S. Ct. </w:t>
      </w:r>
      <w:r w:rsidRPr="00B323E4">
        <w:rPr>
          <w:lang w:val="en-US"/>
        </w:rPr>
        <w:t>2472, 2492</w:t>
      </w:r>
      <w:r w:rsidRPr="006E67FE">
        <w:rPr>
          <w:lang w:val="en-US"/>
        </w:rPr>
        <w:t xml:space="preserve"> = 156 L. Ed. </w:t>
      </w:r>
      <w:r w:rsidRPr="00B323E4">
        <w:rPr>
          <w:lang w:val="en-US"/>
        </w:rPr>
        <w:t>2d 508, 535</w:t>
      </w:r>
      <w:r>
        <w:rPr>
          <w:lang w:val="en-US"/>
        </w:rPr>
        <w:t xml:space="preserve"> = 2003 U.S. LEXIS </w:t>
      </w:r>
      <w:r w:rsidRPr="00B323E4">
        <w:rPr>
          <w:lang w:val="en-US"/>
        </w:rPr>
        <w:t>5013, 62</w:t>
      </w:r>
      <w:r>
        <w:rPr>
          <w:lang w:val="en-US"/>
        </w:rPr>
        <w:t xml:space="preserve"> = 71 U.S.L.W. </w:t>
      </w:r>
      <w:r w:rsidRPr="00B323E4">
        <w:rPr>
          <w:lang w:val="en-US"/>
        </w:rPr>
        <w:t>4574</w:t>
      </w:r>
      <w:r>
        <w:rPr>
          <w:lang w:val="en-US"/>
        </w:rPr>
        <w:t xml:space="preserve"> = 2003 Cal. Daily </w:t>
      </w:r>
      <w:r w:rsidRPr="00B323E4">
        <w:rPr>
          <w:lang w:val="en-US"/>
        </w:rPr>
        <w:t>Op. Service 5559</w:t>
      </w:r>
      <w:r>
        <w:rPr>
          <w:lang w:val="en-US"/>
        </w:rPr>
        <w:t xml:space="preserve"> = 2003 Daily </w:t>
      </w:r>
      <w:r w:rsidRPr="00B323E4">
        <w:rPr>
          <w:lang w:val="en-US"/>
        </w:rPr>
        <w:t>Journal DAR 7036</w:t>
      </w:r>
      <w:r>
        <w:rPr>
          <w:lang w:val="en-US"/>
        </w:rPr>
        <w:t xml:space="preserve"> = 16 Fla. L. Weekly </w:t>
      </w:r>
      <w:r w:rsidRPr="00B323E4">
        <w:rPr>
          <w:lang w:val="en-US"/>
        </w:rPr>
        <w:t>Fed. S 427 (2003)</w:t>
      </w:r>
      <w:r>
        <w:rPr>
          <w:lang w:val="en-US"/>
        </w:rPr>
        <w:t>.</w:t>
      </w:r>
    </w:p>
  </w:footnote>
  <w:footnote w:id="2043">
    <w:p w14:paraId="6EDC0A6E" w14:textId="77777777" w:rsidR="00074551" w:rsidRDefault="00074551" w:rsidP="00074551">
      <w:pPr>
        <w:pStyle w:val="Funotentext"/>
        <w:ind w:left="227" w:hanging="227"/>
        <w:rPr>
          <w:lang w:val="en-US"/>
        </w:rPr>
      </w:pPr>
      <w:r>
        <w:rPr>
          <w:rStyle w:val="Funotenzeichen"/>
          <w:rFonts w:eastAsiaTheme="majorEastAsia"/>
        </w:rPr>
        <w:footnoteRef/>
      </w:r>
      <w:r w:rsidRPr="00B323E4">
        <w:rPr>
          <w:lang w:val="en-US"/>
        </w:rPr>
        <w:t xml:space="preserve"> </w:t>
      </w:r>
      <w:r w:rsidRPr="009E57E1">
        <w:rPr>
          <w:i/>
          <w:lang w:val="en-US"/>
        </w:rPr>
        <w:t>Lawrence v. Texas</w:t>
      </w:r>
      <w:r w:rsidRPr="00B323E4">
        <w:rPr>
          <w:lang w:val="en-US"/>
        </w:rPr>
        <w:t>, 539 U.S. 558, 593</w:t>
      </w:r>
      <w:r w:rsidRPr="006E67FE">
        <w:rPr>
          <w:lang w:val="en-US"/>
        </w:rPr>
        <w:t xml:space="preserve"> = 123 S. Ct. </w:t>
      </w:r>
      <w:r w:rsidRPr="00B323E4">
        <w:rPr>
          <w:lang w:val="en-US"/>
        </w:rPr>
        <w:t>2472, 2492</w:t>
      </w:r>
      <w:r w:rsidRPr="006E67FE">
        <w:rPr>
          <w:lang w:val="en-US"/>
        </w:rPr>
        <w:t xml:space="preserve"> = 156 L. Ed. </w:t>
      </w:r>
      <w:r w:rsidRPr="00B323E4">
        <w:rPr>
          <w:lang w:val="en-US"/>
        </w:rPr>
        <w:t>2d 508, 535</w:t>
      </w:r>
      <w:r>
        <w:rPr>
          <w:lang w:val="en-US"/>
        </w:rPr>
        <w:t xml:space="preserve"> = 2003 U.S. LEXIS </w:t>
      </w:r>
      <w:r w:rsidRPr="00B323E4">
        <w:rPr>
          <w:lang w:val="en-US"/>
        </w:rPr>
        <w:t>5013, 62</w:t>
      </w:r>
      <w:r>
        <w:rPr>
          <w:lang w:val="en-US"/>
        </w:rPr>
        <w:t xml:space="preserve"> = 71 U.S.L.W. </w:t>
      </w:r>
      <w:r w:rsidRPr="00B323E4">
        <w:rPr>
          <w:lang w:val="en-US"/>
        </w:rPr>
        <w:t>4574</w:t>
      </w:r>
      <w:r>
        <w:rPr>
          <w:lang w:val="en-US"/>
        </w:rPr>
        <w:t xml:space="preserve"> = 2003 Cal. Daily </w:t>
      </w:r>
      <w:r w:rsidRPr="00B323E4">
        <w:rPr>
          <w:lang w:val="en-US"/>
        </w:rPr>
        <w:t>Op. Service 5559</w:t>
      </w:r>
      <w:r>
        <w:rPr>
          <w:lang w:val="en-US"/>
        </w:rPr>
        <w:t xml:space="preserve"> = 2003 </w:t>
      </w:r>
    </w:p>
    <w:p w14:paraId="0A891254" w14:textId="77777777" w:rsidR="00074551" w:rsidRPr="000D4276" w:rsidRDefault="00074551" w:rsidP="00074551">
      <w:pPr>
        <w:pStyle w:val="Funotentext"/>
        <w:ind w:left="227" w:hanging="227"/>
        <w:rPr>
          <w:lang w:val="en-US"/>
        </w:rPr>
      </w:pPr>
      <w:r>
        <w:rPr>
          <w:lang w:val="en-US"/>
        </w:rPr>
        <w:t xml:space="preserve">Daily </w:t>
      </w:r>
      <w:r w:rsidRPr="00B323E4">
        <w:rPr>
          <w:lang w:val="en-US"/>
        </w:rPr>
        <w:t>Journal DAR 7036</w:t>
      </w:r>
      <w:r>
        <w:rPr>
          <w:lang w:val="en-US"/>
        </w:rPr>
        <w:t xml:space="preserve"> = 16 Fla. L. Weekly </w:t>
      </w:r>
      <w:r w:rsidRPr="00B323E4">
        <w:rPr>
          <w:lang w:val="en-US"/>
        </w:rPr>
        <w:t xml:space="preserve">Fed. </w:t>
      </w:r>
      <w:r w:rsidRPr="005625DF">
        <w:rPr>
          <w:lang w:val="en-US"/>
        </w:rPr>
        <w:t>S 427 (2003)</w:t>
      </w:r>
      <w:r>
        <w:rPr>
          <w:lang w:val="en-US"/>
        </w:rPr>
        <w:t>.</w:t>
      </w:r>
    </w:p>
  </w:footnote>
  <w:footnote w:id="2044">
    <w:p w14:paraId="4790D770" w14:textId="77777777" w:rsidR="00074551" w:rsidRDefault="00074551" w:rsidP="00074551">
      <w:pPr>
        <w:pStyle w:val="Funotentext"/>
        <w:ind w:left="227" w:hanging="227"/>
        <w:rPr>
          <w:lang w:val="en-US"/>
        </w:rPr>
      </w:pPr>
      <w:r>
        <w:rPr>
          <w:rStyle w:val="Funotenzeichen"/>
          <w:rFonts w:eastAsiaTheme="majorEastAsia"/>
        </w:rPr>
        <w:footnoteRef/>
      </w:r>
      <w:r w:rsidRPr="005625DF">
        <w:rPr>
          <w:lang w:val="en-US"/>
        </w:rPr>
        <w:t xml:space="preserve"> </w:t>
      </w:r>
      <w:r w:rsidRPr="009E57E1">
        <w:rPr>
          <w:i/>
          <w:lang w:val="en-US"/>
        </w:rPr>
        <w:t>Lawrence v. Texas</w:t>
      </w:r>
      <w:r w:rsidRPr="005625DF">
        <w:rPr>
          <w:lang w:val="en-US"/>
        </w:rPr>
        <w:t>, 539 U.S. 558, 593</w:t>
      </w:r>
      <w:r w:rsidRPr="006E67FE">
        <w:rPr>
          <w:lang w:val="en-US"/>
        </w:rPr>
        <w:t xml:space="preserve"> = 123 S. Ct. </w:t>
      </w:r>
      <w:r w:rsidRPr="005625DF">
        <w:rPr>
          <w:lang w:val="en-US"/>
        </w:rPr>
        <w:t>2472, 2492</w:t>
      </w:r>
      <w:r w:rsidRPr="006E67FE">
        <w:rPr>
          <w:lang w:val="en-US"/>
        </w:rPr>
        <w:t xml:space="preserve"> = 156 L. Ed. </w:t>
      </w:r>
      <w:r w:rsidRPr="005625DF">
        <w:rPr>
          <w:lang w:val="en-US"/>
        </w:rPr>
        <w:t>2d 508, 535</w:t>
      </w:r>
      <w:r>
        <w:rPr>
          <w:lang w:val="en-US"/>
        </w:rPr>
        <w:t xml:space="preserve"> = 2003 U.S. LEXIS </w:t>
      </w:r>
      <w:r w:rsidRPr="005625DF">
        <w:rPr>
          <w:lang w:val="en-US"/>
        </w:rPr>
        <w:t>5013, 61</w:t>
      </w:r>
      <w:r>
        <w:rPr>
          <w:lang w:val="en-US"/>
        </w:rPr>
        <w:t xml:space="preserve"> = 71 U.S.L.W. </w:t>
      </w:r>
      <w:r w:rsidRPr="005625DF">
        <w:rPr>
          <w:lang w:val="en-US"/>
        </w:rPr>
        <w:t>4574</w:t>
      </w:r>
      <w:r>
        <w:rPr>
          <w:lang w:val="en-US"/>
        </w:rPr>
        <w:t xml:space="preserve"> = 2003 Cal. Daily </w:t>
      </w:r>
      <w:r w:rsidRPr="005625DF">
        <w:rPr>
          <w:lang w:val="en-US"/>
        </w:rPr>
        <w:t>Op. Service 5559</w:t>
      </w:r>
      <w:r>
        <w:rPr>
          <w:lang w:val="en-US"/>
        </w:rPr>
        <w:t xml:space="preserve"> = 2003</w:t>
      </w:r>
    </w:p>
    <w:p w14:paraId="1AA5C300" w14:textId="77777777" w:rsidR="00074551" w:rsidRPr="005625DF" w:rsidRDefault="00074551" w:rsidP="00074551">
      <w:pPr>
        <w:pStyle w:val="Funotentext"/>
        <w:ind w:left="227" w:hanging="227"/>
        <w:rPr>
          <w:lang w:val="en-US"/>
        </w:rPr>
      </w:pPr>
      <w:r>
        <w:rPr>
          <w:lang w:val="en-US"/>
        </w:rPr>
        <w:t xml:space="preserve">Daily </w:t>
      </w:r>
      <w:r w:rsidRPr="005625DF">
        <w:rPr>
          <w:lang w:val="en-US"/>
        </w:rPr>
        <w:t>Journal DAR 7036</w:t>
      </w:r>
      <w:r>
        <w:rPr>
          <w:lang w:val="en-US"/>
        </w:rPr>
        <w:t xml:space="preserve"> = 16 Fla. L. Weekly </w:t>
      </w:r>
      <w:r w:rsidRPr="005625DF">
        <w:rPr>
          <w:lang w:val="en-US"/>
        </w:rPr>
        <w:t>Fed. S 427 (2003)</w:t>
      </w:r>
      <w:r>
        <w:rPr>
          <w:lang w:val="en-US"/>
        </w:rPr>
        <w:t>.</w:t>
      </w:r>
    </w:p>
  </w:footnote>
  <w:footnote w:id="2045">
    <w:p w14:paraId="64368C46" w14:textId="77777777" w:rsidR="00074551" w:rsidRPr="008B0C8C" w:rsidRDefault="00074551" w:rsidP="00074551">
      <w:pPr>
        <w:pStyle w:val="Funotentext"/>
        <w:rPr>
          <w:lang w:val="en-US"/>
        </w:rPr>
      </w:pPr>
      <w:r>
        <w:rPr>
          <w:rStyle w:val="Funotenzeichen"/>
          <w:rFonts w:eastAsiaTheme="majorEastAsia"/>
        </w:rPr>
        <w:footnoteRef/>
      </w:r>
      <w:r w:rsidRPr="008B0C8C">
        <w:rPr>
          <w:lang w:val="en-US"/>
        </w:rPr>
        <w:t xml:space="preserve"> </w:t>
      </w:r>
      <w:r w:rsidRPr="009167A5">
        <w:rPr>
          <w:i/>
          <w:lang w:val="en-US"/>
        </w:rPr>
        <w:t>Moore v. East Cleveland</w:t>
      </w:r>
      <w:r w:rsidRPr="00484791">
        <w:rPr>
          <w:lang w:val="en-US"/>
        </w:rPr>
        <w:t>, 431 U.S. 494, 545</w:t>
      </w:r>
      <w:r w:rsidRPr="006E67FE">
        <w:rPr>
          <w:lang w:val="en-US"/>
        </w:rPr>
        <w:t xml:space="preserve"> = 97 S. Ct. </w:t>
      </w:r>
      <w:r w:rsidRPr="00484791">
        <w:rPr>
          <w:lang w:val="en-US"/>
        </w:rPr>
        <w:t>1932, 1959</w:t>
      </w:r>
      <w:r>
        <w:rPr>
          <w:lang w:val="en-US"/>
        </w:rPr>
        <w:t xml:space="preserve"> = 52 L. Ed. </w:t>
      </w:r>
      <w:r w:rsidRPr="00484791">
        <w:rPr>
          <w:lang w:val="en-US"/>
        </w:rPr>
        <w:t>2d 531, 566</w:t>
      </w:r>
      <w:r w:rsidRPr="006E67FE">
        <w:rPr>
          <w:lang w:val="en-US"/>
        </w:rPr>
        <w:t xml:space="preserve"> = 1977 U.S. LEXIS </w:t>
      </w:r>
      <w:r w:rsidRPr="00484791">
        <w:rPr>
          <w:lang w:val="en-US"/>
        </w:rPr>
        <w:t>17, 78 (1977)</w:t>
      </w:r>
      <w:r>
        <w:rPr>
          <w:lang w:val="en-US"/>
        </w:rPr>
        <w:t>.</w:t>
      </w:r>
    </w:p>
  </w:footnote>
  <w:footnote w:id="2046">
    <w:p w14:paraId="1BB038E4" w14:textId="0BFC142D" w:rsidR="00074551" w:rsidRDefault="00074551" w:rsidP="00074551">
      <w:pPr>
        <w:pStyle w:val="Funotentext"/>
      </w:pPr>
      <w:r>
        <w:rPr>
          <w:rStyle w:val="Funotenzeichen"/>
          <w:rFonts w:eastAsiaTheme="majorEastAsia"/>
        </w:rPr>
        <w:footnoteRef/>
      </w:r>
      <w:r>
        <w:t xml:space="preserve"> </w:t>
      </w:r>
      <w:r w:rsidR="003B5AC8">
        <w:t>Kapitel 2: § 1: D. IV.3.</w:t>
      </w:r>
      <w:proofErr w:type="gramStart"/>
      <w:r w:rsidR="003B5AC8">
        <w:t>a.aa</w:t>
      </w:r>
      <w:proofErr w:type="gramEnd"/>
      <w:r w:rsidR="003B5AC8">
        <w:t xml:space="preserve"> und Kapitel 2: § 1: D. </w:t>
      </w:r>
      <w:proofErr w:type="gramStart"/>
      <w:r w:rsidR="003B5AC8">
        <w:t>IV.3.a.cc(</w:t>
      </w:r>
      <w:proofErr w:type="gramEnd"/>
      <w:r w:rsidR="003B5AC8">
        <w:t>2).</w:t>
      </w:r>
    </w:p>
  </w:footnote>
  <w:footnote w:id="2047">
    <w:p w14:paraId="5283460A" w14:textId="77777777" w:rsidR="00074551" w:rsidRPr="006A4C03" w:rsidRDefault="00074551" w:rsidP="00074551">
      <w:pPr>
        <w:pStyle w:val="Funotentext"/>
      </w:pPr>
      <w:r>
        <w:rPr>
          <w:rStyle w:val="Funotenzeichen"/>
          <w:rFonts w:eastAsiaTheme="majorEastAsia"/>
        </w:rPr>
        <w:footnoteRef/>
      </w:r>
      <w:r w:rsidRPr="006A4C03">
        <w:t xml:space="preserve"> </w:t>
      </w:r>
      <w:r w:rsidRPr="009167A5">
        <w:rPr>
          <w:i/>
        </w:rPr>
        <w:t>Moore v. East Cleveland</w:t>
      </w:r>
      <w:r w:rsidRPr="006A4C03">
        <w:t>, 431 U.S. 494, 545</w:t>
      </w:r>
      <w:r w:rsidRPr="006E67FE">
        <w:t xml:space="preserve"> = 97 S. Ct. </w:t>
      </w:r>
      <w:r w:rsidRPr="006A4C03">
        <w:t>1932, 1959</w:t>
      </w:r>
      <w:r>
        <w:t xml:space="preserve"> = 52 L. Ed. </w:t>
      </w:r>
      <w:r w:rsidRPr="006A4C03">
        <w:t>2d 531, 566</w:t>
      </w:r>
      <w:r w:rsidRPr="006E67FE">
        <w:t xml:space="preserve"> = 1977 U.S. LEXIS </w:t>
      </w:r>
      <w:r w:rsidRPr="006A4C03">
        <w:t>17, 78 (1977).</w:t>
      </w:r>
    </w:p>
  </w:footnote>
  <w:footnote w:id="2048">
    <w:p w14:paraId="1122C4DA" w14:textId="77777777" w:rsidR="00074551" w:rsidRPr="00484791" w:rsidRDefault="00074551" w:rsidP="00074551">
      <w:pPr>
        <w:pStyle w:val="Funotentext"/>
        <w:rPr>
          <w:lang w:val="en-US"/>
        </w:rPr>
      </w:pPr>
      <w:r>
        <w:rPr>
          <w:rStyle w:val="Funotenzeichen"/>
          <w:rFonts w:eastAsiaTheme="majorEastAsia"/>
        </w:rPr>
        <w:footnoteRef/>
      </w:r>
      <w:r w:rsidRPr="00484791">
        <w:rPr>
          <w:lang w:val="en-US"/>
        </w:rPr>
        <w:t xml:space="preserve"> </w:t>
      </w:r>
      <w:r w:rsidRPr="009167A5">
        <w:rPr>
          <w:i/>
          <w:lang w:val="en-US"/>
        </w:rPr>
        <w:t>Moore v. East Cleveland</w:t>
      </w:r>
      <w:r w:rsidRPr="00484791">
        <w:rPr>
          <w:lang w:val="en-US"/>
        </w:rPr>
        <w:t>, 431 U.S. 494, 545</w:t>
      </w:r>
      <w:r w:rsidRPr="006E67FE">
        <w:rPr>
          <w:lang w:val="en-US"/>
        </w:rPr>
        <w:t xml:space="preserve"> = 97 S. Ct. </w:t>
      </w:r>
      <w:r w:rsidRPr="00484791">
        <w:rPr>
          <w:lang w:val="en-US"/>
        </w:rPr>
        <w:t>1932, 1959</w:t>
      </w:r>
      <w:r>
        <w:rPr>
          <w:lang w:val="en-US"/>
        </w:rPr>
        <w:t xml:space="preserve"> = 52 L. Ed. </w:t>
      </w:r>
      <w:r w:rsidRPr="00484791">
        <w:rPr>
          <w:lang w:val="en-US"/>
        </w:rPr>
        <w:t>2d 531, 566</w:t>
      </w:r>
      <w:r w:rsidRPr="006E67FE">
        <w:rPr>
          <w:lang w:val="en-US"/>
        </w:rPr>
        <w:t xml:space="preserve"> = 1977 U.S. LEXIS </w:t>
      </w:r>
      <w:r w:rsidRPr="00484791">
        <w:rPr>
          <w:lang w:val="en-US"/>
        </w:rPr>
        <w:t>17, 78 (1977)</w:t>
      </w:r>
      <w:r>
        <w:rPr>
          <w:lang w:val="en-US"/>
        </w:rPr>
        <w:t>.</w:t>
      </w:r>
    </w:p>
  </w:footnote>
  <w:footnote w:id="2049">
    <w:p w14:paraId="7DE6A327" w14:textId="77777777" w:rsidR="00074551" w:rsidRPr="008B0C8C" w:rsidRDefault="00074551" w:rsidP="00074551">
      <w:pPr>
        <w:pStyle w:val="Funotentext"/>
        <w:rPr>
          <w:lang w:val="en-US"/>
        </w:rPr>
      </w:pPr>
      <w:r>
        <w:rPr>
          <w:rStyle w:val="Funotenzeichen"/>
          <w:rFonts w:eastAsiaTheme="majorEastAsia"/>
        </w:rPr>
        <w:footnoteRef/>
      </w:r>
      <w:r w:rsidRPr="008B0C8C">
        <w:rPr>
          <w:lang w:val="en-US"/>
        </w:rPr>
        <w:t xml:space="preserve"> </w:t>
      </w:r>
      <w:r w:rsidRPr="009167A5">
        <w:rPr>
          <w:i/>
          <w:lang w:val="en-US"/>
        </w:rPr>
        <w:t>Moore v. East Cleveland</w:t>
      </w:r>
      <w:r w:rsidRPr="00484791">
        <w:rPr>
          <w:lang w:val="en-US"/>
        </w:rPr>
        <w:t>, 431 U.S. 494, 545</w:t>
      </w:r>
      <w:r w:rsidRPr="006E67FE">
        <w:rPr>
          <w:lang w:val="en-US"/>
        </w:rPr>
        <w:t xml:space="preserve"> = 97 S. Ct. </w:t>
      </w:r>
      <w:r w:rsidRPr="00484791">
        <w:rPr>
          <w:lang w:val="en-US"/>
        </w:rPr>
        <w:t>1932, 1959</w:t>
      </w:r>
      <w:r>
        <w:rPr>
          <w:lang w:val="en-US"/>
        </w:rPr>
        <w:t xml:space="preserve"> = 52 L. Ed. </w:t>
      </w:r>
      <w:r w:rsidRPr="00484791">
        <w:rPr>
          <w:lang w:val="en-US"/>
        </w:rPr>
        <w:t>2d 531, 566</w:t>
      </w:r>
      <w:r w:rsidRPr="006E67FE">
        <w:rPr>
          <w:lang w:val="en-US"/>
        </w:rPr>
        <w:t xml:space="preserve"> = 1977 U.S. LEXIS </w:t>
      </w:r>
      <w:r w:rsidRPr="00484791">
        <w:rPr>
          <w:lang w:val="en-US"/>
        </w:rPr>
        <w:t>17, 78 (1977)</w:t>
      </w:r>
      <w:r>
        <w:rPr>
          <w:lang w:val="en-US"/>
        </w:rPr>
        <w:t>.</w:t>
      </w:r>
    </w:p>
  </w:footnote>
  <w:footnote w:id="2050">
    <w:p w14:paraId="140E05B5" w14:textId="77777777" w:rsidR="00074551" w:rsidRPr="008B0C8C" w:rsidRDefault="00074551" w:rsidP="00074551">
      <w:pPr>
        <w:pStyle w:val="Funotentext"/>
        <w:rPr>
          <w:lang w:val="en-US"/>
        </w:rPr>
      </w:pPr>
      <w:r>
        <w:rPr>
          <w:rStyle w:val="Funotenzeichen"/>
          <w:rFonts w:eastAsiaTheme="majorEastAsia"/>
        </w:rPr>
        <w:footnoteRef/>
      </w:r>
      <w:r w:rsidRPr="008B0C8C">
        <w:rPr>
          <w:lang w:val="en-US"/>
        </w:rPr>
        <w:t xml:space="preserve"> </w:t>
      </w:r>
      <w:r w:rsidRPr="009167A5">
        <w:rPr>
          <w:i/>
          <w:lang w:val="en-US"/>
        </w:rPr>
        <w:t>Moore v. East Cleveland</w:t>
      </w:r>
      <w:r w:rsidRPr="008B0C8C">
        <w:rPr>
          <w:lang w:val="en-US"/>
        </w:rPr>
        <w:t>, 431 U.S. 494, 545</w:t>
      </w:r>
      <w:r w:rsidRPr="006E67FE">
        <w:rPr>
          <w:lang w:val="en-US"/>
        </w:rPr>
        <w:t xml:space="preserve"> = 97 S. Ct. </w:t>
      </w:r>
      <w:r w:rsidRPr="008B0C8C">
        <w:rPr>
          <w:lang w:val="en-US"/>
        </w:rPr>
        <w:t>1932, 1959</w:t>
      </w:r>
      <w:r>
        <w:rPr>
          <w:lang w:val="en-US"/>
        </w:rPr>
        <w:t xml:space="preserve"> = 52 L. Ed. </w:t>
      </w:r>
      <w:r w:rsidRPr="008B0C8C">
        <w:rPr>
          <w:lang w:val="en-US"/>
        </w:rPr>
        <w:t>2d 531, 566</w:t>
      </w:r>
      <w:r w:rsidRPr="006E67FE">
        <w:rPr>
          <w:lang w:val="en-US"/>
        </w:rPr>
        <w:t xml:space="preserve"> = 1977 U.S. LEXIS </w:t>
      </w:r>
      <w:r w:rsidRPr="008B0C8C">
        <w:rPr>
          <w:lang w:val="en-US"/>
        </w:rPr>
        <w:t>17, 78 (1977).</w:t>
      </w:r>
    </w:p>
  </w:footnote>
  <w:footnote w:id="2051">
    <w:p w14:paraId="78FDB1DD" w14:textId="77777777" w:rsidR="00074551" w:rsidRPr="008B0C8C" w:rsidRDefault="00074551" w:rsidP="00074551">
      <w:pPr>
        <w:pStyle w:val="Funotentext"/>
        <w:rPr>
          <w:lang w:val="en-US"/>
        </w:rPr>
      </w:pPr>
      <w:r>
        <w:rPr>
          <w:rStyle w:val="Funotenzeichen"/>
          <w:rFonts w:eastAsiaTheme="majorEastAsia"/>
        </w:rPr>
        <w:footnoteRef/>
      </w:r>
      <w:r w:rsidRPr="008B0C8C">
        <w:rPr>
          <w:lang w:val="en-US"/>
        </w:rPr>
        <w:t xml:space="preserve"> </w:t>
      </w:r>
      <w:r w:rsidRPr="009167A5">
        <w:rPr>
          <w:i/>
          <w:lang w:val="en-US"/>
        </w:rPr>
        <w:t>Moore v. East Cleveland</w:t>
      </w:r>
      <w:r w:rsidRPr="008B0C8C">
        <w:rPr>
          <w:lang w:val="en-US"/>
        </w:rPr>
        <w:t>, 431 U.S. 494, 545</w:t>
      </w:r>
      <w:r w:rsidRPr="006E67FE">
        <w:rPr>
          <w:lang w:val="en-US"/>
        </w:rPr>
        <w:t xml:space="preserve"> = 97 S. Ct. </w:t>
      </w:r>
      <w:r w:rsidRPr="008B0C8C">
        <w:rPr>
          <w:lang w:val="en-US"/>
        </w:rPr>
        <w:t>1932, 1959</w:t>
      </w:r>
      <w:r>
        <w:rPr>
          <w:lang w:val="en-US"/>
        </w:rPr>
        <w:t xml:space="preserve"> = 52 L. Ed. </w:t>
      </w:r>
      <w:r w:rsidRPr="008B0C8C">
        <w:rPr>
          <w:lang w:val="en-US"/>
        </w:rPr>
        <w:t>2d 531, 566</w:t>
      </w:r>
      <w:r w:rsidRPr="006E67FE">
        <w:rPr>
          <w:lang w:val="en-US"/>
        </w:rPr>
        <w:t xml:space="preserve"> = 1977 U.S. LEXIS </w:t>
      </w:r>
      <w:r w:rsidRPr="008B0C8C">
        <w:rPr>
          <w:lang w:val="en-US"/>
        </w:rPr>
        <w:t>17, 78 (1977)</w:t>
      </w:r>
      <w:r>
        <w:rPr>
          <w:lang w:val="en-US"/>
        </w:rPr>
        <w:t>.</w:t>
      </w:r>
    </w:p>
  </w:footnote>
  <w:footnote w:id="2052">
    <w:p w14:paraId="379D6592" w14:textId="77777777" w:rsidR="00074551" w:rsidRPr="00362069" w:rsidRDefault="00074551" w:rsidP="00074551">
      <w:pPr>
        <w:pStyle w:val="Funotentext"/>
        <w:ind w:left="227" w:hanging="227"/>
        <w:rPr>
          <w:lang w:val="en-US"/>
        </w:rPr>
      </w:pPr>
      <w:r>
        <w:rPr>
          <w:rStyle w:val="Funotenzeichen"/>
          <w:rFonts w:eastAsiaTheme="majorEastAsia"/>
        </w:rPr>
        <w:footnoteRef/>
      </w:r>
      <w:r w:rsidRPr="00362069">
        <w:rPr>
          <w:lang w:val="en-US"/>
        </w:rPr>
        <w:t xml:space="preserve"> </w:t>
      </w:r>
      <w:r w:rsidRPr="009E57E1">
        <w:rPr>
          <w:i/>
          <w:lang w:val="en-US"/>
        </w:rPr>
        <w:t>Paul v. Davis</w:t>
      </w:r>
      <w:r w:rsidRPr="00362069">
        <w:rPr>
          <w:lang w:val="en-US"/>
        </w:rPr>
        <w:t>, 424 U.S. 693, 701</w:t>
      </w:r>
      <w:r w:rsidRPr="006E67FE">
        <w:rPr>
          <w:lang w:val="en-US"/>
        </w:rPr>
        <w:t xml:space="preserve"> = 96 S. Ct. </w:t>
      </w:r>
      <w:r w:rsidRPr="00362069">
        <w:rPr>
          <w:lang w:val="en-US"/>
        </w:rPr>
        <w:t>1155, 1160</w:t>
      </w:r>
      <w:r w:rsidRPr="005D5028">
        <w:rPr>
          <w:lang w:val="en-US"/>
        </w:rPr>
        <w:t xml:space="preserve"> = 47 L. Ed. </w:t>
      </w:r>
      <w:r w:rsidRPr="00362069">
        <w:rPr>
          <w:lang w:val="en-US"/>
        </w:rPr>
        <w:t>2d 405, 413</w:t>
      </w:r>
      <w:r w:rsidRPr="005D5028">
        <w:rPr>
          <w:lang w:val="en-US"/>
        </w:rPr>
        <w:t xml:space="preserve"> = 1976 U.S. LEXIS </w:t>
      </w:r>
      <w:r w:rsidRPr="00362069">
        <w:rPr>
          <w:lang w:val="en-US"/>
        </w:rPr>
        <w:t>112, 13</w:t>
      </w:r>
      <w:r w:rsidRPr="005D5028">
        <w:rPr>
          <w:lang w:val="en-US"/>
        </w:rPr>
        <w:t xml:space="preserve"> = 1 I.E.R. </w:t>
      </w:r>
      <w:r w:rsidRPr="00362069">
        <w:rPr>
          <w:lang w:val="en-US"/>
        </w:rPr>
        <w:t>Cas. (BNA) 1827 (1976)</w:t>
      </w:r>
      <w:r>
        <w:rPr>
          <w:lang w:val="en-US"/>
        </w:rPr>
        <w:t>.</w:t>
      </w:r>
    </w:p>
  </w:footnote>
  <w:footnote w:id="2053">
    <w:p w14:paraId="2C4E564D" w14:textId="77777777" w:rsidR="00074551" w:rsidRDefault="00074551" w:rsidP="00074551">
      <w:pPr>
        <w:pStyle w:val="Funotentext"/>
        <w:ind w:left="227" w:hanging="227"/>
        <w:rPr>
          <w:lang w:val="en-US"/>
        </w:rPr>
      </w:pPr>
      <w:r>
        <w:rPr>
          <w:rStyle w:val="Funotenzeichen"/>
          <w:rFonts w:eastAsiaTheme="majorEastAsia"/>
        </w:rPr>
        <w:footnoteRef/>
      </w:r>
      <w:r w:rsidRPr="00362069">
        <w:rPr>
          <w:lang w:val="en-US"/>
        </w:rPr>
        <w:t xml:space="preserve"> </w:t>
      </w:r>
      <w:r w:rsidRPr="00B45592">
        <w:rPr>
          <w:i/>
          <w:lang w:val="en-US"/>
        </w:rPr>
        <w:t>Griffin v. Breckenridge</w:t>
      </w:r>
      <w:r w:rsidRPr="00362069">
        <w:rPr>
          <w:lang w:val="en-US"/>
        </w:rPr>
        <w:t>, 403 U.S. 88, 101</w:t>
      </w:r>
      <w:r>
        <w:rPr>
          <w:lang w:val="en-US"/>
        </w:rPr>
        <w:t>–</w:t>
      </w:r>
      <w:r w:rsidRPr="00362069">
        <w:rPr>
          <w:lang w:val="en-US"/>
        </w:rPr>
        <w:t>102 (1971)</w:t>
      </w:r>
      <w:r>
        <w:rPr>
          <w:lang w:val="en-US"/>
        </w:rPr>
        <w:t xml:space="preserve">; </w:t>
      </w:r>
      <w:r w:rsidRPr="009E57E1">
        <w:rPr>
          <w:i/>
          <w:lang w:val="en-US"/>
        </w:rPr>
        <w:t>Paul v. Davis</w:t>
      </w:r>
      <w:r w:rsidRPr="00362069">
        <w:rPr>
          <w:lang w:val="en-US"/>
        </w:rPr>
        <w:t>, 424 U.S. 693, 701</w:t>
      </w:r>
      <w:r w:rsidRPr="006E67FE">
        <w:rPr>
          <w:lang w:val="en-US"/>
        </w:rPr>
        <w:t xml:space="preserve"> = 96 S. Ct. </w:t>
      </w:r>
      <w:r w:rsidRPr="00362069">
        <w:rPr>
          <w:lang w:val="en-US"/>
        </w:rPr>
        <w:t>1155, 1160</w:t>
      </w:r>
      <w:r w:rsidRPr="005D5028">
        <w:rPr>
          <w:lang w:val="en-US"/>
        </w:rPr>
        <w:t xml:space="preserve"> = 47 L. Ed. </w:t>
      </w:r>
      <w:r w:rsidRPr="00362069">
        <w:rPr>
          <w:lang w:val="en-US"/>
        </w:rPr>
        <w:t>2d 405, 413</w:t>
      </w:r>
      <w:r w:rsidRPr="005D5028">
        <w:rPr>
          <w:lang w:val="en-US"/>
        </w:rPr>
        <w:t xml:space="preserve"> = 1976 U.S. LEXIS </w:t>
      </w:r>
      <w:r w:rsidRPr="00362069">
        <w:rPr>
          <w:lang w:val="en-US"/>
        </w:rPr>
        <w:t>112, 13</w:t>
      </w:r>
      <w:r w:rsidRPr="005D5028">
        <w:rPr>
          <w:lang w:val="en-US"/>
        </w:rPr>
        <w:t xml:space="preserve"> = 1 I.E.R. </w:t>
      </w:r>
      <w:r w:rsidRPr="00362069">
        <w:rPr>
          <w:lang w:val="en-US"/>
        </w:rPr>
        <w:t xml:space="preserve">Cas. (BNA) </w:t>
      </w:r>
    </w:p>
    <w:p w14:paraId="54518DA8" w14:textId="77777777" w:rsidR="00074551" w:rsidRPr="00362069" w:rsidRDefault="00074551" w:rsidP="00074551">
      <w:pPr>
        <w:pStyle w:val="Funotentext"/>
        <w:ind w:left="227" w:hanging="227"/>
        <w:rPr>
          <w:lang w:val="en-US"/>
        </w:rPr>
      </w:pPr>
      <w:r w:rsidRPr="00362069">
        <w:rPr>
          <w:lang w:val="en-US"/>
        </w:rPr>
        <w:t>1827 (1976)</w:t>
      </w:r>
      <w:r>
        <w:rPr>
          <w:lang w:val="en-US"/>
        </w:rPr>
        <w:t>.</w:t>
      </w:r>
    </w:p>
  </w:footnote>
  <w:footnote w:id="2054">
    <w:p w14:paraId="57B43D06" w14:textId="77777777" w:rsidR="00074551" w:rsidRPr="00362069" w:rsidRDefault="00074551" w:rsidP="00074551">
      <w:pPr>
        <w:pStyle w:val="Funotentext"/>
        <w:ind w:left="227" w:hanging="227"/>
        <w:rPr>
          <w:lang w:val="en-US"/>
        </w:rPr>
      </w:pPr>
      <w:r>
        <w:rPr>
          <w:rStyle w:val="Funotenzeichen"/>
          <w:rFonts w:eastAsiaTheme="majorEastAsia"/>
        </w:rPr>
        <w:footnoteRef/>
      </w:r>
      <w:r w:rsidRPr="00362069">
        <w:rPr>
          <w:lang w:val="en-US"/>
        </w:rPr>
        <w:t xml:space="preserve"> </w:t>
      </w:r>
      <w:r w:rsidRPr="009E57E1">
        <w:rPr>
          <w:i/>
          <w:lang w:val="en-US"/>
        </w:rPr>
        <w:t>Paul v. Davis</w:t>
      </w:r>
      <w:r w:rsidRPr="00362069">
        <w:rPr>
          <w:lang w:val="en-US"/>
        </w:rPr>
        <w:t>, 424 U.S. 693, 701</w:t>
      </w:r>
      <w:r w:rsidRPr="006E67FE">
        <w:rPr>
          <w:lang w:val="en-US"/>
        </w:rPr>
        <w:t xml:space="preserve"> = 96 S. Ct. </w:t>
      </w:r>
      <w:r w:rsidRPr="00362069">
        <w:rPr>
          <w:lang w:val="en-US"/>
        </w:rPr>
        <w:t>1155, 1160</w:t>
      </w:r>
      <w:r w:rsidRPr="005D5028">
        <w:rPr>
          <w:lang w:val="en-US"/>
        </w:rPr>
        <w:t xml:space="preserve"> = 47 L. Ed. </w:t>
      </w:r>
      <w:r w:rsidRPr="00362069">
        <w:rPr>
          <w:lang w:val="en-US"/>
        </w:rPr>
        <w:t>2d 405, 414</w:t>
      </w:r>
      <w:r w:rsidRPr="005D5028">
        <w:rPr>
          <w:lang w:val="en-US"/>
        </w:rPr>
        <w:t xml:space="preserve"> = 1976 U.S. LEXIS </w:t>
      </w:r>
      <w:r w:rsidRPr="00362069">
        <w:rPr>
          <w:lang w:val="en-US"/>
        </w:rPr>
        <w:t>112, 13</w:t>
      </w:r>
      <w:r w:rsidRPr="005D5028">
        <w:rPr>
          <w:lang w:val="en-US"/>
        </w:rPr>
        <w:t xml:space="preserve"> = 1 I.E.R. </w:t>
      </w:r>
      <w:r w:rsidRPr="00362069">
        <w:rPr>
          <w:lang w:val="en-US"/>
        </w:rPr>
        <w:t>Cas. (BNA) 1827 (1976)</w:t>
      </w:r>
      <w:r>
        <w:rPr>
          <w:lang w:val="en-US"/>
        </w:rPr>
        <w:t>.</w:t>
      </w:r>
    </w:p>
  </w:footnote>
  <w:footnote w:id="2055">
    <w:p w14:paraId="3895E499" w14:textId="77777777" w:rsidR="00074551" w:rsidRPr="005853E9" w:rsidRDefault="00074551" w:rsidP="00074551">
      <w:pPr>
        <w:pStyle w:val="Funotentext"/>
        <w:rPr>
          <w:lang w:val="en-US"/>
        </w:rPr>
      </w:pPr>
      <w:r>
        <w:rPr>
          <w:rStyle w:val="Funotenzeichen"/>
        </w:rPr>
        <w:footnoteRef/>
      </w:r>
      <w:r w:rsidRPr="008C41C9">
        <w:rPr>
          <w:lang w:val="en-US"/>
        </w:rPr>
        <w:t xml:space="preserve"> </w:t>
      </w:r>
      <w:r w:rsidRPr="009E57E1">
        <w:rPr>
          <w:i/>
          <w:lang w:val="en-US"/>
        </w:rPr>
        <w:t>Paul v. Davis</w:t>
      </w:r>
      <w:r w:rsidRPr="008C41C9">
        <w:rPr>
          <w:lang w:val="en-US"/>
        </w:rPr>
        <w:t>, 424 U.S. 693, 694</w:t>
      </w:r>
      <w:r w:rsidRPr="006E67FE">
        <w:rPr>
          <w:lang w:val="en-US"/>
        </w:rPr>
        <w:t xml:space="preserve"> = 96 S. Ct. </w:t>
      </w:r>
      <w:r w:rsidRPr="008C41C9">
        <w:rPr>
          <w:lang w:val="en-US"/>
        </w:rPr>
        <w:t>1155, 1157</w:t>
      </w:r>
      <w:r w:rsidRPr="005D5028">
        <w:rPr>
          <w:lang w:val="en-US"/>
        </w:rPr>
        <w:t xml:space="preserve"> = 47 L. Ed. </w:t>
      </w:r>
      <w:r w:rsidRPr="008C41C9">
        <w:rPr>
          <w:lang w:val="en-US"/>
        </w:rPr>
        <w:t>2d 405, 410</w:t>
      </w:r>
      <w:r w:rsidRPr="005D5028">
        <w:rPr>
          <w:lang w:val="en-US"/>
        </w:rPr>
        <w:t xml:space="preserve"> = 1976 U.S. LEXIS </w:t>
      </w:r>
      <w:r w:rsidRPr="008C41C9">
        <w:rPr>
          <w:lang w:val="en-US"/>
        </w:rPr>
        <w:t>112, 1</w:t>
      </w:r>
      <w:r w:rsidRPr="005D5028">
        <w:rPr>
          <w:lang w:val="en-US"/>
        </w:rPr>
        <w:t xml:space="preserve"> = 1 I.E.R. </w:t>
      </w:r>
      <w:r w:rsidRPr="008C41C9">
        <w:rPr>
          <w:lang w:val="en-US"/>
        </w:rPr>
        <w:t xml:space="preserve">Cas. </w:t>
      </w:r>
      <w:r w:rsidRPr="005853E9">
        <w:rPr>
          <w:lang w:val="en-US"/>
        </w:rPr>
        <w:t>(BNA) 1827 (1976)</w:t>
      </w:r>
      <w:r>
        <w:rPr>
          <w:lang w:val="en-US"/>
        </w:rPr>
        <w:t>.</w:t>
      </w:r>
    </w:p>
  </w:footnote>
  <w:footnote w:id="2056">
    <w:p w14:paraId="696F9E1E" w14:textId="77777777" w:rsidR="00074551" w:rsidRPr="00FE1482" w:rsidRDefault="00074551" w:rsidP="00074551">
      <w:pPr>
        <w:pStyle w:val="Funotentext"/>
        <w:rPr>
          <w:lang w:val="en-US"/>
        </w:rPr>
      </w:pPr>
      <w:r>
        <w:rPr>
          <w:rStyle w:val="Funotenzeichen"/>
          <w:rFonts w:eastAsiaTheme="majorEastAsia"/>
        </w:rPr>
        <w:footnoteRef/>
      </w:r>
      <w:r w:rsidRPr="00FE1482">
        <w:rPr>
          <w:lang w:val="en-US"/>
        </w:rPr>
        <w:t xml:space="preserve"> </w:t>
      </w:r>
      <w:r w:rsidRPr="00B45592">
        <w:rPr>
          <w:i/>
          <w:lang w:val="en-US"/>
        </w:rPr>
        <w:t>Bolling v. Sharpe</w:t>
      </w:r>
      <w:r w:rsidRPr="00FE1482">
        <w:rPr>
          <w:lang w:val="en-US"/>
        </w:rPr>
        <w:t>, 347 U.S. 497, 499</w:t>
      </w:r>
      <w:r>
        <w:rPr>
          <w:lang w:val="en-US"/>
        </w:rPr>
        <w:t>–</w:t>
      </w:r>
      <w:r w:rsidRPr="00FE1482">
        <w:rPr>
          <w:lang w:val="en-US"/>
        </w:rPr>
        <w:t xml:space="preserve">500; </w:t>
      </w:r>
      <w:r w:rsidRPr="00B45592">
        <w:rPr>
          <w:i/>
          <w:lang w:val="en-US"/>
        </w:rPr>
        <w:t>Stanley v. Illinois</w:t>
      </w:r>
      <w:r w:rsidRPr="00FE1482">
        <w:rPr>
          <w:lang w:val="en-US"/>
        </w:rPr>
        <w:t>, 405 U.S. 645</w:t>
      </w:r>
      <w:r>
        <w:rPr>
          <w:lang w:val="en-US"/>
        </w:rPr>
        <w:t xml:space="preserve">, </w:t>
      </w:r>
      <w:proofErr w:type="spellStart"/>
      <w:r w:rsidRPr="00E47138">
        <w:rPr>
          <w:lang w:val="en-US"/>
        </w:rPr>
        <w:t>zitiert</w:t>
      </w:r>
      <w:proofErr w:type="spellEnd"/>
      <w:r w:rsidRPr="00E47138">
        <w:rPr>
          <w:lang w:val="en-US"/>
        </w:rPr>
        <w:t xml:space="preserve"> in </w:t>
      </w:r>
      <w:r w:rsidRPr="009E57E1">
        <w:rPr>
          <w:i/>
          <w:lang w:val="en-US"/>
        </w:rPr>
        <w:t>Board of Regents v. Roth</w:t>
      </w:r>
      <w:r w:rsidRPr="00E47138">
        <w:rPr>
          <w:lang w:val="en-US"/>
        </w:rPr>
        <w:t xml:space="preserve">, 408 U.S. 564, 572 (1972); alle </w:t>
      </w:r>
      <w:proofErr w:type="spellStart"/>
      <w:r w:rsidRPr="00E47138">
        <w:rPr>
          <w:lang w:val="en-US"/>
        </w:rPr>
        <w:t>zitiert</w:t>
      </w:r>
      <w:proofErr w:type="spellEnd"/>
      <w:r w:rsidRPr="00E47138">
        <w:rPr>
          <w:lang w:val="en-US"/>
        </w:rPr>
        <w:t xml:space="preserve"> in </w:t>
      </w:r>
      <w:r w:rsidRPr="009E57E1">
        <w:rPr>
          <w:i/>
          <w:lang w:val="en-US"/>
        </w:rPr>
        <w:t>Paul v. Davis</w:t>
      </w:r>
      <w:r w:rsidRPr="00FE1482">
        <w:rPr>
          <w:lang w:val="en-US"/>
        </w:rPr>
        <w:t>, 424 U.S. 693, 722</w:t>
      </w:r>
      <w:r w:rsidRPr="006E67FE">
        <w:rPr>
          <w:lang w:val="en-US"/>
        </w:rPr>
        <w:t xml:space="preserve"> = 96 S. Ct. </w:t>
      </w:r>
      <w:r w:rsidRPr="00FE1482">
        <w:rPr>
          <w:lang w:val="en-US"/>
        </w:rPr>
        <w:t>1155, 1170</w:t>
      </w:r>
      <w:r w:rsidRPr="005D5028">
        <w:rPr>
          <w:lang w:val="en-US"/>
        </w:rPr>
        <w:t xml:space="preserve"> = 47 L. Ed. </w:t>
      </w:r>
      <w:r w:rsidRPr="00FE1482">
        <w:rPr>
          <w:lang w:val="en-US"/>
        </w:rPr>
        <w:t>2d 405, 426</w:t>
      </w:r>
      <w:r w:rsidRPr="005D5028">
        <w:rPr>
          <w:lang w:val="en-US"/>
        </w:rPr>
        <w:t xml:space="preserve"> = 1976 U.S. LEXIS </w:t>
      </w:r>
      <w:r w:rsidRPr="00FE1482">
        <w:rPr>
          <w:lang w:val="en-US"/>
        </w:rPr>
        <w:t>112, 45</w:t>
      </w:r>
      <w:r w:rsidRPr="005D5028">
        <w:rPr>
          <w:lang w:val="en-US"/>
        </w:rPr>
        <w:t xml:space="preserve"> = 1 I.E.R. </w:t>
      </w:r>
      <w:r w:rsidRPr="00FE1482">
        <w:rPr>
          <w:lang w:val="en-US"/>
        </w:rPr>
        <w:t>Cas. (BNA) 1827 (1976)</w:t>
      </w:r>
      <w:r>
        <w:rPr>
          <w:lang w:val="en-US"/>
        </w:rPr>
        <w:t>.</w:t>
      </w:r>
    </w:p>
  </w:footnote>
  <w:footnote w:id="2057">
    <w:p w14:paraId="7A11CB3F" w14:textId="77777777" w:rsidR="00074551" w:rsidRPr="007E639D" w:rsidRDefault="00074551" w:rsidP="00074551">
      <w:pPr>
        <w:pStyle w:val="Funotentext"/>
        <w:rPr>
          <w:lang w:val="en-US"/>
        </w:rPr>
      </w:pPr>
      <w:r>
        <w:rPr>
          <w:rStyle w:val="Funotenzeichen"/>
          <w:rFonts w:eastAsiaTheme="majorEastAsia"/>
        </w:rPr>
        <w:footnoteRef/>
      </w:r>
      <w:r w:rsidRPr="00FE1482">
        <w:rPr>
          <w:lang w:val="en-US"/>
        </w:rPr>
        <w:t xml:space="preserve"> </w:t>
      </w:r>
      <w:r w:rsidRPr="009E57E1">
        <w:rPr>
          <w:i/>
          <w:lang w:val="en-US"/>
        </w:rPr>
        <w:t>Meyer v. Nebraska</w:t>
      </w:r>
      <w:r w:rsidRPr="00FE1482">
        <w:rPr>
          <w:lang w:val="en-US"/>
        </w:rPr>
        <w:t>, 262 U.S. 390, 399 (1923)</w:t>
      </w:r>
      <w:r>
        <w:rPr>
          <w:lang w:val="en-US"/>
        </w:rPr>
        <w:t xml:space="preserve">; </w:t>
      </w:r>
      <w:r w:rsidRPr="009E57E1">
        <w:rPr>
          <w:i/>
          <w:lang w:val="en-US"/>
        </w:rPr>
        <w:t>Paul v. Davis</w:t>
      </w:r>
      <w:r w:rsidRPr="00FE1482">
        <w:rPr>
          <w:lang w:val="en-US"/>
        </w:rPr>
        <w:t>, 424 U.S. 693, 722</w:t>
      </w:r>
      <w:r w:rsidRPr="006E67FE">
        <w:rPr>
          <w:lang w:val="en-US"/>
        </w:rPr>
        <w:t xml:space="preserve"> = 96 S. Ct. </w:t>
      </w:r>
      <w:r w:rsidRPr="00FE1482">
        <w:rPr>
          <w:lang w:val="en-US"/>
        </w:rPr>
        <w:t>1155, 1170</w:t>
      </w:r>
      <w:r w:rsidRPr="005D5028">
        <w:rPr>
          <w:lang w:val="en-US"/>
        </w:rPr>
        <w:t xml:space="preserve"> = 47 L. Ed. </w:t>
      </w:r>
      <w:r w:rsidRPr="00FE1482">
        <w:rPr>
          <w:lang w:val="en-US"/>
        </w:rPr>
        <w:t>2d 405, 426</w:t>
      </w:r>
      <w:r w:rsidRPr="005D5028">
        <w:rPr>
          <w:lang w:val="en-US"/>
        </w:rPr>
        <w:t xml:space="preserve"> = 1976 U.S. LEXIS </w:t>
      </w:r>
      <w:r w:rsidRPr="00FE1482">
        <w:rPr>
          <w:lang w:val="en-US"/>
        </w:rPr>
        <w:t>112, 45</w:t>
      </w:r>
      <w:r w:rsidRPr="005D5028">
        <w:rPr>
          <w:lang w:val="en-US"/>
        </w:rPr>
        <w:t xml:space="preserve"> = 1 I.E.R. </w:t>
      </w:r>
      <w:r w:rsidRPr="00FE1482">
        <w:rPr>
          <w:lang w:val="en-US"/>
        </w:rPr>
        <w:t>Cas. (BNA) 1827 (1976)</w:t>
      </w:r>
      <w:r>
        <w:rPr>
          <w:lang w:val="en-US"/>
        </w:rPr>
        <w:t>.</w:t>
      </w:r>
    </w:p>
  </w:footnote>
  <w:footnote w:id="2058">
    <w:p w14:paraId="17AF34BD" w14:textId="77777777" w:rsidR="00074551" w:rsidRPr="00217B40" w:rsidRDefault="00074551" w:rsidP="00074551">
      <w:pPr>
        <w:pStyle w:val="Funotentext"/>
        <w:rPr>
          <w:lang w:val="en-US"/>
        </w:rPr>
      </w:pPr>
      <w:r>
        <w:rPr>
          <w:rStyle w:val="Funotenzeichen"/>
          <w:rFonts w:eastAsiaTheme="majorEastAsia"/>
        </w:rPr>
        <w:footnoteRef/>
      </w:r>
      <w:r w:rsidRPr="007E639D">
        <w:rPr>
          <w:lang w:val="en-US"/>
        </w:rPr>
        <w:t xml:space="preserve"> </w:t>
      </w:r>
      <w:r w:rsidRPr="009E57E1">
        <w:rPr>
          <w:i/>
          <w:lang w:val="en-US"/>
        </w:rPr>
        <w:t>Paul v. Davis</w:t>
      </w:r>
      <w:r w:rsidRPr="007E639D">
        <w:rPr>
          <w:lang w:val="en-US"/>
        </w:rPr>
        <w:t>, 424 U.S. 693, 723</w:t>
      </w:r>
      <w:r w:rsidRPr="006E67FE">
        <w:rPr>
          <w:lang w:val="en-US"/>
        </w:rPr>
        <w:t xml:space="preserve"> = 96 S. Ct. </w:t>
      </w:r>
      <w:r w:rsidRPr="007E639D">
        <w:rPr>
          <w:lang w:val="en-US"/>
        </w:rPr>
        <w:t>1155, 1171</w:t>
      </w:r>
      <w:r w:rsidRPr="005D5028">
        <w:rPr>
          <w:lang w:val="en-US"/>
        </w:rPr>
        <w:t xml:space="preserve"> = 47 L. Ed. </w:t>
      </w:r>
      <w:r w:rsidRPr="007E639D">
        <w:rPr>
          <w:lang w:val="en-US"/>
        </w:rPr>
        <w:t>2d 405, 426</w:t>
      </w:r>
      <w:r>
        <w:rPr>
          <w:lang w:val="en-US"/>
        </w:rPr>
        <w:t>–</w:t>
      </w:r>
      <w:r w:rsidRPr="007E639D">
        <w:rPr>
          <w:lang w:val="en-US"/>
        </w:rPr>
        <w:t>427</w:t>
      </w:r>
      <w:r w:rsidRPr="005D5028">
        <w:rPr>
          <w:lang w:val="en-US"/>
        </w:rPr>
        <w:t xml:space="preserve"> = 1976 U.S. LEXIS </w:t>
      </w:r>
      <w:r w:rsidRPr="007E639D">
        <w:rPr>
          <w:lang w:val="en-US"/>
        </w:rPr>
        <w:t>112, 45</w:t>
      </w:r>
      <w:r w:rsidRPr="005D5028">
        <w:rPr>
          <w:lang w:val="en-US"/>
        </w:rPr>
        <w:t xml:space="preserve"> = 1 I.E.R. </w:t>
      </w:r>
      <w:r w:rsidRPr="007E639D">
        <w:rPr>
          <w:lang w:val="en-US"/>
        </w:rPr>
        <w:t xml:space="preserve">Cas. </w:t>
      </w:r>
      <w:r w:rsidRPr="00217B40">
        <w:rPr>
          <w:lang w:val="en-US"/>
        </w:rPr>
        <w:t>(BNA) 1827 (1976)</w:t>
      </w:r>
      <w:r>
        <w:rPr>
          <w:lang w:val="en-US"/>
        </w:rPr>
        <w:t>.</w:t>
      </w:r>
    </w:p>
  </w:footnote>
  <w:footnote w:id="2059">
    <w:p w14:paraId="3786EC16" w14:textId="77777777" w:rsidR="00074551" w:rsidRPr="00362069" w:rsidRDefault="00074551" w:rsidP="00074551">
      <w:pPr>
        <w:pStyle w:val="Funotentext"/>
        <w:ind w:left="227" w:hanging="227"/>
        <w:rPr>
          <w:lang w:val="en-US"/>
        </w:rPr>
      </w:pPr>
      <w:r>
        <w:rPr>
          <w:rStyle w:val="Funotenzeichen"/>
          <w:rFonts w:eastAsiaTheme="majorEastAsia"/>
        </w:rPr>
        <w:footnoteRef/>
      </w:r>
      <w:r w:rsidRPr="00362069">
        <w:rPr>
          <w:lang w:val="en-US"/>
        </w:rPr>
        <w:t xml:space="preserve"> </w:t>
      </w:r>
      <w:r w:rsidRPr="009E57E1">
        <w:rPr>
          <w:i/>
          <w:lang w:val="en-US"/>
        </w:rPr>
        <w:t>Paul v. Davis</w:t>
      </w:r>
      <w:r w:rsidRPr="00362069">
        <w:rPr>
          <w:lang w:val="en-US"/>
        </w:rPr>
        <w:t>, 424 U.S. 693, 734</w:t>
      </w:r>
      <w:r w:rsidRPr="006E67FE">
        <w:rPr>
          <w:lang w:val="en-US"/>
        </w:rPr>
        <w:t xml:space="preserve"> = 96 S. Ct. </w:t>
      </w:r>
      <w:r w:rsidRPr="00362069">
        <w:rPr>
          <w:lang w:val="en-US"/>
        </w:rPr>
        <w:t>1155, 1177</w:t>
      </w:r>
      <w:r w:rsidRPr="005D5028">
        <w:rPr>
          <w:lang w:val="en-US"/>
        </w:rPr>
        <w:t xml:space="preserve"> = 47 L. Ed. </w:t>
      </w:r>
      <w:r w:rsidRPr="00362069">
        <w:rPr>
          <w:lang w:val="en-US"/>
        </w:rPr>
        <w:t>2d 405, 433</w:t>
      </w:r>
      <w:r w:rsidRPr="005D5028">
        <w:rPr>
          <w:lang w:val="en-US"/>
        </w:rPr>
        <w:t xml:space="preserve"> = 1976 U.S. LEXIS </w:t>
      </w:r>
      <w:r w:rsidRPr="00362069">
        <w:rPr>
          <w:lang w:val="en-US"/>
        </w:rPr>
        <w:t>112, 61</w:t>
      </w:r>
      <w:r w:rsidRPr="005D5028">
        <w:rPr>
          <w:lang w:val="en-US"/>
        </w:rPr>
        <w:t xml:space="preserve"> = 1 I.E.R. </w:t>
      </w:r>
      <w:r w:rsidRPr="00362069">
        <w:rPr>
          <w:lang w:val="en-US"/>
        </w:rPr>
        <w:t>Cas. (BNA) 1827 (1976)</w:t>
      </w:r>
      <w:r>
        <w:rPr>
          <w:lang w:val="en-US"/>
        </w:rPr>
        <w:t>.</w:t>
      </w:r>
    </w:p>
  </w:footnote>
  <w:footnote w:id="2060">
    <w:p w14:paraId="4E1BCF06" w14:textId="77777777" w:rsidR="00074551" w:rsidRPr="00C92A8A" w:rsidRDefault="00074551" w:rsidP="00074551">
      <w:pPr>
        <w:pStyle w:val="Funotentext"/>
        <w:ind w:left="227" w:hanging="227"/>
        <w:rPr>
          <w:lang w:val="en-US"/>
        </w:rPr>
      </w:pPr>
      <w:r>
        <w:rPr>
          <w:rStyle w:val="Funotenzeichen"/>
          <w:rFonts w:eastAsiaTheme="majorEastAsia"/>
        </w:rPr>
        <w:footnoteRef/>
      </w:r>
      <w:r w:rsidRPr="00217B40">
        <w:rPr>
          <w:lang w:val="en-US"/>
        </w:rPr>
        <w:t xml:space="preserve"> </w:t>
      </w:r>
      <w:r w:rsidRPr="009E57E1">
        <w:rPr>
          <w:i/>
          <w:lang w:val="en-US"/>
        </w:rPr>
        <w:t>Paul v. Davis</w:t>
      </w:r>
      <w:r w:rsidRPr="00217B40">
        <w:rPr>
          <w:lang w:val="en-US"/>
        </w:rPr>
        <w:t>, 424 U.S. 693, 734</w:t>
      </w:r>
      <w:r w:rsidRPr="006E67FE">
        <w:rPr>
          <w:lang w:val="en-US"/>
        </w:rPr>
        <w:t xml:space="preserve"> = 96 S. Ct. </w:t>
      </w:r>
      <w:r w:rsidRPr="00217B40">
        <w:rPr>
          <w:lang w:val="en-US"/>
        </w:rPr>
        <w:t>1155, 1177</w:t>
      </w:r>
      <w:r w:rsidRPr="005D5028">
        <w:rPr>
          <w:lang w:val="en-US"/>
        </w:rPr>
        <w:t xml:space="preserve"> = 47 L. Ed. </w:t>
      </w:r>
      <w:r w:rsidRPr="00217B40">
        <w:rPr>
          <w:lang w:val="en-US"/>
        </w:rPr>
        <w:t>2d 405, 433</w:t>
      </w:r>
      <w:r w:rsidRPr="005D5028">
        <w:rPr>
          <w:lang w:val="en-US"/>
        </w:rPr>
        <w:t xml:space="preserve"> = 1976 U.S. LEXIS </w:t>
      </w:r>
      <w:r w:rsidRPr="00217B40">
        <w:rPr>
          <w:lang w:val="en-US"/>
        </w:rPr>
        <w:t>112, 61</w:t>
      </w:r>
      <w:r w:rsidRPr="005D5028">
        <w:rPr>
          <w:lang w:val="en-US"/>
        </w:rPr>
        <w:t xml:space="preserve"> = 1 I.E.R. </w:t>
      </w:r>
      <w:r w:rsidRPr="00217B40">
        <w:rPr>
          <w:lang w:val="en-US"/>
        </w:rPr>
        <w:t>Cas. (BNA) 1827 (1976)</w:t>
      </w:r>
      <w:r>
        <w:rPr>
          <w:lang w:val="en-US"/>
        </w:rPr>
        <w:t>.</w:t>
      </w:r>
    </w:p>
  </w:footnote>
  <w:footnote w:id="2061">
    <w:p w14:paraId="1BE1FA84" w14:textId="77777777" w:rsidR="00074551" w:rsidRPr="00C92A8A" w:rsidRDefault="00074551" w:rsidP="00074551">
      <w:pPr>
        <w:pStyle w:val="Funotentext"/>
        <w:rPr>
          <w:lang w:val="en-US"/>
        </w:rPr>
      </w:pPr>
      <w:r>
        <w:rPr>
          <w:rStyle w:val="Funotenzeichen"/>
          <w:rFonts w:eastAsiaTheme="majorEastAsia"/>
        </w:rPr>
        <w:footnoteRef/>
      </w:r>
      <w:r w:rsidRPr="00C92A8A">
        <w:rPr>
          <w:lang w:val="en-US"/>
        </w:rPr>
        <w:t xml:space="preserve"> </w:t>
      </w:r>
      <w:r w:rsidRPr="00B45592">
        <w:rPr>
          <w:i/>
          <w:lang w:val="en-US"/>
        </w:rPr>
        <w:t>Collins v. Harker Heights</w:t>
      </w:r>
      <w:r w:rsidRPr="00C92A8A">
        <w:rPr>
          <w:lang w:val="en-US"/>
        </w:rPr>
        <w:t>, 503 U.S. 115, 125 (1992)</w:t>
      </w:r>
      <w:r>
        <w:rPr>
          <w:lang w:val="en-US"/>
        </w:rPr>
        <w:t xml:space="preserve">; </w:t>
      </w:r>
      <w:r w:rsidRPr="009167A5">
        <w:rPr>
          <w:i/>
          <w:lang w:val="en-US"/>
        </w:rPr>
        <w:t>Wash. v. Glucksberg</w:t>
      </w:r>
      <w:r w:rsidRPr="00C92A8A">
        <w:rPr>
          <w:lang w:val="en-US"/>
        </w:rPr>
        <w:t>, 521 U.S. 702, 719</w:t>
      </w:r>
      <w:r w:rsidRPr="006E67FE">
        <w:rPr>
          <w:lang w:val="en-US"/>
        </w:rPr>
        <w:t xml:space="preserve"> = 117 S. Ct. </w:t>
      </w:r>
      <w:r w:rsidRPr="00C92A8A">
        <w:rPr>
          <w:lang w:val="en-US"/>
        </w:rPr>
        <w:t>2258, 2267, 2267</w:t>
      </w:r>
      <w:r w:rsidRPr="006E67FE">
        <w:rPr>
          <w:lang w:val="en-US"/>
        </w:rPr>
        <w:t xml:space="preserve"> = 117 S. Ct. </w:t>
      </w:r>
      <w:r w:rsidRPr="00C92A8A">
        <w:rPr>
          <w:lang w:val="en-US"/>
        </w:rPr>
        <w:t>2302</w:t>
      </w:r>
      <w:r w:rsidRPr="006E67FE">
        <w:rPr>
          <w:lang w:val="en-US"/>
        </w:rPr>
        <w:t xml:space="preserve"> = 138 L. Ed. </w:t>
      </w:r>
      <w:r w:rsidRPr="00C92A8A">
        <w:rPr>
          <w:lang w:val="en-US"/>
        </w:rPr>
        <w:t>2d 772, 787</w:t>
      </w:r>
      <w:r w:rsidRPr="006E67FE">
        <w:rPr>
          <w:lang w:val="en-US"/>
        </w:rPr>
        <w:t xml:space="preserve"> = 1997 U.S. LEXIS </w:t>
      </w:r>
      <w:r w:rsidRPr="00C92A8A">
        <w:rPr>
          <w:lang w:val="en-US"/>
        </w:rPr>
        <w:t>4039, 29</w:t>
      </w:r>
      <w:r w:rsidRPr="006E67FE">
        <w:rPr>
          <w:lang w:val="en-US"/>
        </w:rPr>
        <w:t xml:space="preserve"> = 65 U.S.L.W. </w:t>
      </w:r>
      <w:r w:rsidRPr="00C92A8A">
        <w:rPr>
          <w:lang w:val="en-US"/>
        </w:rPr>
        <w:t>4669</w:t>
      </w:r>
      <w:r w:rsidRPr="006E67FE">
        <w:rPr>
          <w:lang w:val="en-US"/>
        </w:rPr>
        <w:t xml:space="preserve"> = 97 Cal. Daily Op. </w:t>
      </w:r>
      <w:r w:rsidRPr="00C92A8A">
        <w:rPr>
          <w:lang w:val="en-US"/>
        </w:rPr>
        <w:t>Service 5008</w:t>
      </w:r>
      <w:r w:rsidRPr="006E67FE">
        <w:rPr>
          <w:lang w:val="en-US"/>
        </w:rPr>
        <w:t xml:space="preserve"> = 97 Daily Journal </w:t>
      </w:r>
      <w:r w:rsidRPr="00C92A8A">
        <w:rPr>
          <w:lang w:val="en-US"/>
        </w:rPr>
        <w:t>DAR 8150</w:t>
      </w:r>
      <w:r w:rsidRPr="006E67FE">
        <w:rPr>
          <w:lang w:val="en-US"/>
        </w:rPr>
        <w:t xml:space="preserve"> = 11 Fla. L. Weekly </w:t>
      </w:r>
      <w:r w:rsidRPr="00C92A8A">
        <w:rPr>
          <w:lang w:val="en-US"/>
        </w:rPr>
        <w:t>Fed. S 190 (1997)</w:t>
      </w:r>
      <w:r>
        <w:rPr>
          <w:lang w:val="en-US"/>
        </w:rPr>
        <w:t>.</w:t>
      </w:r>
    </w:p>
  </w:footnote>
  <w:footnote w:id="2062">
    <w:p w14:paraId="47544B8E" w14:textId="77777777" w:rsidR="00074551" w:rsidRPr="006367F3" w:rsidRDefault="00074551" w:rsidP="00074551">
      <w:pPr>
        <w:pStyle w:val="Funotentext"/>
        <w:rPr>
          <w:lang w:val="en-US"/>
        </w:rPr>
      </w:pPr>
      <w:r>
        <w:rPr>
          <w:rStyle w:val="Funotenzeichen"/>
          <w:rFonts w:eastAsiaTheme="majorEastAsia"/>
        </w:rPr>
        <w:footnoteRef/>
      </w:r>
      <w:r w:rsidRPr="006367F3">
        <w:rPr>
          <w:lang w:val="en-US"/>
        </w:rPr>
        <w:t xml:space="preserve"> </w:t>
      </w:r>
      <w:r w:rsidRPr="009167A5">
        <w:rPr>
          <w:i/>
          <w:lang w:val="en-US"/>
        </w:rPr>
        <w:t>Wash. v. Glucksberg</w:t>
      </w:r>
      <w:r w:rsidRPr="006367F3">
        <w:rPr>
          <w:lang w:val="en-US"/>
        </w:rPr>
        <w:t>, 521 U.S. 702, 705</w:t>
      </w:r>
      <w:r w:rsidRPr="006E67FE">
        <w:rPr>
          <w:lang w:val="en-US"/>
        </w:rPr>
        <w:t xml:space="preserve"> = 117 S. Ct. </w:t>
      </w:r>
      <w:r w:rsidRPr="006367F3">
        <w:rPr>
          <w:lang w:val="en-US"/>
        </w:rPr>
        <w:t>2258, 2261, 2261</w:t>
      </w:r>
      <w:r w:rsidRPr="006E67FE">
        <w:rPr>
          <w:lang w:val="en-US"/>
        </w:rPr>
        <w:t xml:space="preserve"> = 117 S. Ct. </w:t>
      </w:r>
      <w:r w:rsidRPr="006367F3">
        <w:rPr>
          <w:lang w:val="en-US"/>
        </w:rPr>
        <w:t>2302</w:t>
      </w:r>
      <w:r w:rsidRPr="006E67FE">
        <w:rPr>
          <w:lang w:val="en-US"/>
        </w:rPr>
        <w:t xml:space="preserve"> = 138 L. Ed. </w:t>
      </w:r>
      <w:r w:rsidRPr="006367F3">
        <w:rPr>
          <w:lang w:val="en-US"/>
        </w:rPr>
        <w:t>2d 772, 779</w:t>
      </w:r>
      <w:r w:rsidRPr="006E67FE">
        <w:rPr>
          <w:lang w:val="en-US"/>
        </w:rPr>
        <w:t xml:space="preserve"> = 1997 U.S. LEXIS </w:t>
      </w:r>
      <w:r w:rsidRPr="006367F3">
        <w:rPr>
          <w:lang w:val="en-US"/>
        </w:rPr>
        <w:t>4039, 1</w:t>
      </w:r>
      <w:r w:rsidRPr="006E67FE">
        <w:rPr>
          <w:lang w:val="en-US"/>
        </w:rPr>
        <w:t xml:space="preserve"> = 65 U.S.L.W. </w:t>
      </w:r>
      <w:r w:rsidRPr="006367F3">
        <w:rPr>
          <w:lang w:val="en-US"/>
        </w:rPr>
        <w:t>4669</w:t>
      </w:r>
      <w:r w:rsidRPr="006E67FE">
        <w:rPr>
          <w:lang w:val="en-US"/>
        </w:rPr>
        <w:t xml:space="preserve"> = 97 Cal. Daily Op. </w:t>
      </w:r>
      <w:r w:rsidRPr="006367F3">
        <w:rPr>
          <w:lang w:val="en-US"/>
        </w:rPr>
        <w:t>Service 5008</w:t>
      </w:r>
      <w:r w:rsidRPr="006E67FE">
        <w:rPr>
          <w:lang w:val="en-US"/>
        </w:rPr>
        <w:t xml:space="preserve"> = 97 Daily Journal </w:t>
      </w:r>
      <w:r w:rsidRPr="006367F3">
        <w:rPr>
          <w:lang w:val="en-US"/>
        </w:rPr>
        <w:t>DAR 8150</w:t>
      </w:r>
      <w:r w:rsidRPr="006E67FE">
        <w:rPr>
          <w:lang w:val="en-US"/>
        </w:rPr>
        <w:t xml:space="preserve"> = 11 Fla. L. Weekly </w:t>
      </w:r>
      <w:r w:rsidRPr="006367F3">
        <w:rPr>
          <w:lang w:val="en-US"/>
        </w:rPr>
        <w:t>Fed. S 190 (1997)</w:t>
      </w:r>
      <w:r>
        <w:rPr>
          <w:lang w:val="en-US"/>
        </w:rPr>
        <w:t>.</w:t>
      </w:r>
    </w:p>
  </w:footnote>
  <w:footnote w:id="2063">
    <w:p w14:paraId="07E369DF" w14:textId="77777777" w:rsidR="00074551" w:rsidRPr="00E47138" w:rsidRDefault="00074551" w:rsidP="00074551">
      <w:pPr>
        <w:pStyle w:val="Funotentext"/>
        <w:rPr>
          <w:lang w:val="en-US"/>
        </w:rPr>
      </w:pPr>
      <w:r>
        <w:rPr>
          <w:rStyle w:val="Funotenzeichen"/>
          <w:rFonts w:eastAsiaTheme="majorEastAsia"/>
        </w:rPr>
        <w:footnoteRef/>
      </w:r>
      <w:r w:rsidRPr="00894D60">
        <w:rPr>
          <w:lang w:val="en-US"/>
        </w:rPr>
        <w:t xml:space="preserve"> </w:t>
      </w:r>
      <w:r w:rsidRPr="00B45592">
        <w:rPr>
          <w:i/>
          <w:lang w:val="en-US"/>
        </w:rPr>
        <w:t>Reno v. Flores</w:t>
      </w:r>
      <w:r w:rsidRPr="00300B2A">
        <w:rPr>
          <w:lang w:val="en-US"/>
        </w:rPr>
        <w:t>, 507 U.S. 292, 301</w:t>
      </w:r>
      <w:r>
        <w:rPr>
          <w:lang w:val="en-US"/>
        </w:rPr>
        <w:t>–3</w:t>
      </w:r>
      <w:r w:rsidRPr="00300B2A">
        <w:rPr>
          <w:lang w:val="en-US"/>
        </w:rPr>
        <w:t xml:space="preserve">02 (1993); </w:t>
      </w:r>
      <w:r w:rsidRPr="00A15962">
        <w:rPr>
          <w:i/>
          <w:lang w:val="en-IE"/>
        </w:rPr>
        <w:t>Planned Parenthood of Southeastern Pa. v. Casey</w:t>
      </w:r>
      <w:r w:rsidRPr="00B45592">
        <w:rPr>
          <w:lang w:val="en-IE"/>
        </w:rPr>
        <w:t xml:space="preserve">, 505 U.S. 833, </w:t>
      </w:r>
      <w:r w:rsidRPr="00E47138">
        <w:rPr>
          <w:lang w:val="en-US"/>
        </w:rPr>
        <w:t>851</w:t>
      </w:r>
      <w:r w:rsidRPr="00B45592">
        <w:rPr>
          <w:lang w:val="en-US"/>
        </w:rPr>
        <w:t xml:space="preserve">; </w:t>
      </w:r>
      <w:r w:rsidRPr="009167A5">
        <w:rPr>
          <w:i/>
          <w:lang w:val="en-US"/>
        </w:rPr>
        <w:t>Wash. v. Glucksberg</w:t>
      </w:r>
      <w:r w:rsidRPr="00E47138">
        <w:rPr>
          <w:lang w:val="en-US"/>
        </w:rPr>
        <w:t>, 521 U.S. 702, 720 = 117 S. Ct. 2258, 2267, 2267 = 117 S. Ct. 2302 = 138 L. Ed. 2d 772, 787 = 1997 U.S. LEXIS 4039, 29 = 65 U.S.L.W. 4669 = 97 Cal. Daily Op. Service 5008 = 97 Daily Journal DAR 8150 = 11 Fla. L. Weekly Fed. S 190 (1997) 65 U.S.L.W. 4669 = 97 Cal. Daily Op. Service 5008 = 97 Daily Journal DAR 8150 = 11 Fla. L. Weekly Fed. S 190 (1997).</w:t>
      </w:r>
    </w:p>
  </w:footnote>
  <w:footnote w:id="2064">
    <w:p w14:paraId="3A6136FA" w14:textId="77777777" w:rsidR="00074551" w:rsidRPr="00E47138" w:rsidRDefault="00074551" w:rsidP="00074551">
      <w:pPr>
        <w:pStyle w:val="Funotentext"/>
        <w:rPr>
          <w:lang w:val="en-US"/>
        </w:rPr>
      </w:pPr>
      <w:r w:rsidRPr="00E47138">
        <w:rPr>
          <w:rStyle w:val="Funotenzeichen"/>
          <w:rFonts w:eastAsiaTheme="majorEastAsia"/>
        </w:rPr>
        <w:footnoteRef/>
      </w:r>
      <w:r w:rsidRPr="00E47138">
        <w:rPr>
          <w:lang w:val="en-US"/>
        </w:rPr>
        <w:t xml:space="preserve"> </w:t>
      </w:r>
      <w:r w:rsidRPr="00B45592">
        <w:rPr>
          <w:i/>
          <w:lang w:val="en-IE"/>
        </w:rPr>
        <w:t xml:space="preserve">Cruzan v. Dir., Mo. </w:t>
      </w:r>
      <w:proofErr w:type="spellStart"/>
      <w:r w:rsidRPr="00B45592">
        <w:rPr>
          <w:i/>
          <w:lang w:val="en-US"/>
        </w:rPr>
        <w:t>Dep’t</w:t>
      </w:r>
      <w:proofErr w:type="spellEnd"/>
      <w:r w:rsidRPr="00B45592">
        <w:rPr>
          <w:i/>
          <w:lang w:val="en-US"/>
        </w:rPr>
        <w:t xml:space="preserve"> of Health</w:t>
      </w:r>
      <w:r w:rsidRPr="00E47138">
        <w:rPr>
          <w:lang w:val="en-US"/>
        </w:rPr>
        <w:t>, 497 U.S. 261, 278</w:t>
      </w:r>
      <w:r w:rsidRPr="00B45592">
        <w:rPr>
          <w:lang w:val="en-US"/>
        </w:rPr>
        <w:t>–</w:t>
      </w:r>
      <w:r w:rsidRPr="00E47138">
        <w:rPr>
          <w:lang w:val="en-US"/>
        </w:rPr>
        <w:t xml:space="preserve">279; </w:t>
      </w:r>
      <w:r w:rsidRPr="009167A5">
        <w:rPr>
          <w:i/>
          <w:lang w:val="en-US"/>
        </w:rPr>
        <w:t>Wash. v. Glucksberg</w:t>
      </w:r>
      <w:r w:rsidRPr="00E47138">
        <w:rPr>
          <w:lang w:val="en-US"/>
        </w:rPr>
        <w:t>, 521 U.S. 702, 720 = 117 S. Ct. 2258, 2267, 2267 = 117 S. Ct. 2302 = 138 L. Ed. 2d 772, 787 = 1997 U.S. LEXIS 4039, 30 = 65 U.S.L.W. 4669 = 97 Cal. Daily Op. Service 5008 = 97 Daily Journal DAR 8150 = 11 Fla. L. Weekly Fed. S 190 (1997).</w:t>
      </w:r>
    </w:p>
  </w:footnote>
  <w:footnote w:id="2065">
    <w:p w14:paraId="3E86D9AE" w14:textId="77777777" w:rsidR="00074551" w:rsidRPr="00E47138" w:rsidRDefault="00074551" w:rsidP="00074551">
      <w:pPr>
        <w:pStyle w:val="Funotentext"/>
        <w:jc w:val="both"/>
        <w:rPr>
          <w:lang w:val="en-US"/>
        </w:rPr>
      </w:pPr>
      <w:r w:rsidRPr="00E47138">
        <w:rPr>
          <w:rStyle w:val="Funotenzeichen"/>
          <w:rFonts w:eastAsiaTheme="majorEastAsia"/>
        </w:rPr>
        <w:footnoteRef/>
      </w:r>
      <w:r w:rsidRPr="00E47138">
        <w:rPr>
          <w:lang w:val="en-US"/>
        </w:rPr>
        <w:t xml:space="preserve"> </w:t>
      </w:r>
      <w:r w:rsidRPr="00584023">
        <w:rPr>
          <w:i/>
          <w:lang w:val="en-US"/>
        </w:rPr>
        <w:t>Loving v. Virginia</w:t>
      </w:r>
      <w:r w:rsidRPr="00E47138">
        <w:rPr>
          <w:lang w:val="en-US"/>
        </w:rPr>
        <w:t xml:space="preserve">, 388 U.S. 1, 12 (1967); </w:t>
      </w:r>
      <w:r w:rsidRPr="009167A5">
        <w:rPr>
          <w:i/>
          <w:lang w:val="en-US"/>
        </w:rPr>
        <w:t>Wash. v. Glucksberg</w:t>
      </w:r>
      <w:r w:rsidRPr="00E47138">
        <w:rPr>
          <w:lang w:val="en-US"/>
        </w:rPr>
        <w:t>, 521 U.S. 702, 727 = 117 S. Ct. 2258, 2271, 2271 = 117 S. Ct. 2302 = 138 L. Ed. 2d 772, 792 = 1997 U.S. LEXIS 4039, 42 = 65 U.S.L.W. 4669 = 97 Cal. Daily Op. Service 5008 = 97 Daily Journal DAR 8150 = 11 Fla. L. Weekly Fed. S 190 (1997).</w:t>
      </w:r>
    </w:p>
  </w:footnote>
  <w:footnote w:id="2066">
    <w:p w14:paraId="5659BF47" w14:textId="77777777" w:rsidR="00074551" w:rsidRPr="00E47138" w:rsidRDefault="00074551" w:rsidP="00074551">
      <w:pPr>
        <w:pStyle w:val="Funotentext"/>
        <w:jc w:val="both"/>
        <w:rPr>
          <w:lang w:val="en-US"/>
        </w:rPr>
      </w:pPr>
      <w:r w:rsidRPr="00E47138">
        <w:rPr>
          <w:rStyle w:val="Funotenzeichen"/>
          <w:rFonts w:eastAsiaTheme="majorEastAsia"/>
        </w:rPr>
        <w:footnoteRef/>
      </w:r>
      <w:r w:rsidRPr="00E47138">
        <w:rPr>
          <w:lang w:val="en-US"/>
        </w:rPr>
        <w:t xml:space="preserve"> </w:t>
      </w:r>
      <w:r w:rsidRPr="00584023">
        <w:rPr>
          <w:i/>
          <w:lang w:val="en-US"/>
        </w:rPr>
        <w:t>Loving v. Virginia</w:t>
      </w:r>
      <w:r w:rsidRPr="00E47138">
        <w:rPr>
          <w:lang w:val="en-US"/>
        </w:rPr>
        <w:t xml:space="preserve">, 388 U.S. 1, 12 (1967); </w:t>
      </w:r>
      <w:r w:rsidRPr="009167A5">
        <w:rPr>
          <w:i/>
          <w:lang w:val="en-US"/>
        </w:rPr>
        <w:t>Wash. v. Glucksberg</w:t>
      </w:r>
      <w:r w:rsidRPr="00E47138">
        <w:rPr>
          <w:lang w:val="en-US"/>
        </w:rPr>
        <w:t>, 521 U.S. 702, 727 = 117 S. Ct. 2258, 2271, 2271 = 117 S. Ct. 2302 = 138 L. Ed. 2d 772, 792 = 1997 U.S. LEXIS 4039, 42 = 65 U.S.L.W. 4669 = 97 Cal. Daily Op. Service 5008 = 97 Daily Journal DAR 8150 = 11 Fla. L. Weekly Fed. S 190 (1997).</w:t>
      </w:r>
    </w:p>
  </w:footnote>
  <w:footnote w:id="2067">
    <w:p w14:paraId="4C0BE32E" w14:textId="77777777" w:rsidR="00074551" w:rsidRPr="00EF3651" w:rsidRDefault="00074551" w:rsidP="00074551">
      <w:pPr>
        <w:pStyle w:val="Funotentext"/>
        <w:rPr>
          <w:lang w:val="en-US"/>
        </w:rPr>
      </w:pPr>
      <w:r w:rsidRPr="00E47138">
        <w:rPr>
          <w:rStyle w:val="Funotenzeichen"/>
          <w:rFonts w:eastAsiaTheme="majorEastAsia"/>
        </w:rPr>
        <w:footnoteRef/>
      </w:r>
      <w:r w:rsidRPr="00E47138">
        <w:rPr>
          <w:lang w:val="en-US"/>
        </w:rPr>
        <w:t xml:space="preserve"> </w:t>
      </w:r>
      <w:r w:rsidRPr="00B45592">
        <w:rPr>
          <w:i/>
          <w:lang w:val="en-US"/>
        </w:rPr>
        <w:t>Heller v. Doe</w:t>
      </w:r>
      <w:r w:rsidRPr="00E47138">
        <w:rPr>
          <w:lang w:val="en-US"/>
        </w:rPr>
        <w:t>, 509 U.S. 312, 319</w:t>
      </w:r>
      <w:r>
        <w:rPr>
          <w:lang w:val="en-US"/>
        </w:rPr>
        <w:t>–</w:t>
      </w:r>
      <w:r w:rsidRPr="00E47138">
        <w:rPr>
          <w:lang w:val="en-US"/>
        </w:rPr>
        <w:t xml:space="preserve">320 (1993); </w:t>
      </w:r>
      <w:r w:rsidRPr="00B45592">
        <w:rPr>
          <w:i/>
          <w:lang w:val="en-US"/>
        </w:rPr>
        <w:t>Reno v. Flores</w:t>
      </w:r>
      <w:r w:rsidRPr="00E47138">
        <w:rPr>
          <w:lang w:val="en-US"/>
        </w:rPr>
        <w:t>, 507 U.S. 292, 305;</w:t>
      </w:r>
      <w:r>
        <w:rPr>
          <w:lang w:val="en-US"/>
        </w:rPr>
        <w:t xml:space="preserve"> </w:t>
      </w:r>
      <w:r w:rsidRPr="009167A5">
        <w:rPr>
          <w:i/>
          <w:lang w:val="en-US"/>
        </w:rPr>
        <w:t>Wash. v. Glucksberg</w:t>
      </w:r>
      <w:r w:rsidRPr="00300B2A">
        <w:rPr>
          <w:lang w:val="en-US"/>
        </w:rPr>
        <w:t>, 521 U.S. 702, 728</w:t>
      </w:r>
      <w:r w:rsidRPr="006E67FE">
        <w:rPr>
          <w:lang w:val="en-US"/>
        </w:rPr>
        <w:t xml:space="preserve"> = 117 S. Ct. </w:t>
      </w:r>
      <w:r w:rsidRPr="00300B2A">
        <w:rPr>
          <w:lang w:val="en-US"/>
        </w:rPr>
        <w:t>2258, 2271, 2271</w:t>
      </w:r>
      <w:r w:rsidRPr="006E67FE">
        <w:rPr>
          <w:lang w:val="en-US"/>
        </w:rPr>
        <w:t xml:space="preserve"> = 117 S. Ct. </w:t>
      </w:r>
      <w:r w:rsidRPr="00300B2A">
        <w:rPr>
          <w:lang w:val="en-US"/>
        </w:rPr>
        <w:t>2302</w:t>
      </w:r>
      <w:r w:rsidRPr="006E67FE">
        <w:rPr>
          <w:lang w:val="en-US"/>
        </w:rPr>
        <w:t xml:space="preserve"> = 138 L. Ed. </w:t>
      </w:r>
      <w:r w:rsidRPr="00300B2A">
        <w:rPr>
          <w:lang w:val="en-US"/>
        </w:rPr>
        <w:t>2d 772, 792</w:t>
      </w:r>
      <w:r w:rsidRPr="006E67FE">
        <w:rPr>
          <w:lang w:val="en-US"/>
        </w:rPr>
        <w:t xml:space="preserve"> = 1997 U.S. LEXIS </w:t>
      </w:r>
      <w:r w:rsidRPr="00300B2A">
        <w:rPr>
          <w:lang w:val="en-US"/>
        </w:rPr>
        <w:t>4039, 43</w:t>
      </w:r>
      <w:r w:rsidRPr="006E67FE">
        <w:rPr>
          <w:lang w:val="en-US"/>
        </w:rPr>
        <w:t xml:space="preserve"> = 65 U.S.L.W. </w:t>
      </w:r>
      <w:r w:rsidRPr="00300B2A">
        <w:rPr>
          <w:lang w:val="en-US"/>
        </w:rPr>
        <w:t>4669</w:t>
      </w:r>
      <w:r w:rsidRPr="006E67FE">
        <w:rPr>
          <w:lang w:val="en-US"/>
        </w:rPr>
        <w:t xml:space="preserve"> = 97 Cal. Daily Op. </w:t>
      </w:r>
      <w:r w:rsidRPr="00300B2A">
        <w:rPr>
          <w:lang w:val="en-US"/>
        </w:rPr>
        <w:t>Service 5008</w:t>
      </w:r>
      <w:r w:rsidRPr="006E67FE">
        <w:rPr>
          <w:lang w:val="en-US"/>
        </w:rPr>
        <w:t xml:space="preserve"> = 97 Daily Journal </w:t>
      </w:r>
      <w:r w:rsidRPr="00300B2A">
        <w:rPr>
          <w:lang w:val="en-US"/>
        </w:rPr>
        <w:t>DAR 8150</w:t>
      </w:r>
      <w:r w:rsidRPr="006E67FE">
        <w:rPr>
          <w:lang w:val="en-US"/>
        </w:rPr>
        <w:t xml:space="preserve"> = 11 Fla. L. Weekly </w:t>
      </w:r>
      <w:r w:rsidRPr="00300B2A">
        <w:rPr>
          <w:lang w:val="en-US"/>
        </w:rPr>
        <w:t>Fed. S 190 (1997)</w:t>
      </w:r>
      <w:r>
        <w:rPr>
          <w:lang w:val="en-US"/>
        </w:rPr>
        <w:t>.</w:t>
      </w:r>
    </w:p>
  </w:footnote>
  <w:footnote w:id="2068">
    <w:p w14:paraId="7F17341F" w14:textId="77777777" w:rsidR="00074551" w:rsidRPr="00EF3651" w:rsidRDefault="00074551" w:rsidP="00074551">
      <w:pPr>
        <w:pStyle w:val="Funotentext"/>
        <w:rPr>
          <w:lang w:val="en-US"/>
        </w:rPr>
      </w:pPr>
      <w:r>
        <w:rPr>
          <w:rStyle w:val="Funotenzeichen"/>
          <w:rFonts w:eastAsiaTheme="majorEastAsia"/>
        </w:rPr>
        <w:footnoteRef/>
      </w:r>
      <w:r w:rsidRPr="00EF3651">
        <w:rPr>
          <w:lang w:val="en-US"/>
        </w:rPr>
        <w:t xml:space="preserve"> </w:t>
      </w:r>
      <w:r w:rsidRPr="00B45592">
        <w:rPr>
          <w:i/>
          <w:lang w:val="en-US"/>
        </w:rPr>
        <w:t>Connally v. Construction Company</w:t>
      </w:r>
      <w:r w:rsidRPr="00EF3651">
        <w:rPr>
          <w:lang w:val="en-US"/>
        </w:rPr>
        <w:t xml:space="preserve">, 269 U.S. 385; </w:t>
      </w:r>
      <w:r w:rsidRPr="00B45592">
        <w:rPr>
          <w:i/>
          <w:lang w:val="en-US"/>
        </w:rPr>
        <w:t>United States v. Cohen Grocery Company</w:t>
      </w:r>
      <w:r w:rsidRPr="00EF3651">
        <w:rPr>
          <w:lang w:val="en-US"/>
        </w:rPr>
        <w:t xml:space="preserve">, 255 U.S. 81; </w:t>
      </w:r>
      <w:r w:rsidRPr="00B45592">
        <w:rPr>
          <w:i/>
          <w:lang w:val="en-US"/>
        </w:rPr>
        <w:t>International Harvester Co. v. Kentucky</w:t>
      </w:r>
      <w:r w:rsidRPr="00EF3651">
        <w:rPr>
          <w:lang w:val="en-US"/>
        </w:rPr>
        <w:t xml:space="preserve">, 234 U.S. 216; </w:t>
      </w:r>
      <w:r w:rsidRPr="00A15962">
        <w:rPr>
          <w:i/>
          <w:lang w:val="en-US"/>
        </w:rPr>
        <w:t>United States v. Reese</w:t>
      </w:r>
      <w:r w:rsidRPr="00EF3651">
        <w:rPr>
          <w:lang w:val="en-US"/>
        </w:rPr>
        <w:t>, 92 U.S. 214, 219</w:t>
      </w:r>
      <w:r>
        <w:rPr>
          <w:lang w:val="en-US"/>
        </w:rPr>
        <w:t xml:space="preserve">; </w:t>
      </w:r>
      <w:r w:rsidRPr="009167A5">
        <w:rPr>
          <w:i/>
          <w:lang w:val="en-US"/>
        </w:rPr>
        <w:t>Yu Cong Eng v. Trinidad</w:t>
      </w:r>
      <w:r w:rsidRPr="00EF3651">
        <w:rPr>
          <w:lang w:val="en-US"/>
        </w:rPr>
        <w:t>, 271 U.S. 500, 518</w:t>
      </w:r>
      <w:r w:rsidRPr="006E67FE">
        <w:rPr>
          <w:lang w:val="en-US"/>
        </w:rPr>
        <w:t xml:space="preserve"> = 46 S. Ct</w:t>
      </w:r>
      <w:r w:rsidRPr="00EF3651">
        <w:rPr>
          <w:lang w:val="en-US"/>
        </w:rPr>
        <w:t>. 619, 623</w:t>
      </w:r>
      <w:r w:rsidRPr="006E67FE">
        <w:rPr>
          <w:lang w:val="en-US"/>
        </w:rPr>
        <w:t xml:space="preserve"> = 70 L. Ed. </w:t>
      </w:r>
      <w:r w:rsidRPr="00EF3651">
        <w:rPr>
          <w:lang w:val="en-US"/>
        </w:rPr>
        <w:t>1059, 1067</w:t>
      </w:r>
      <w:r w:rsidRPr="006E67FE">
        <w:rPr>
          <w:lang w:val="en-US"/>
        </w:rPr>
        <w:t xml:space="preserve"> = 1926 U.S. LEXIS </w:t>
      </w:r>
      <w:r w:rsidRPr="00EF3651">
        <w:rPr>
          <w:lang w:val="en-US"/>
        </w:rPr>
        <w:t>642, 32 (1926)</w:t>
      </w:r>
      <w:r>
        <w:rPr>
          <w:lang w:val="en-US"/>
        </w:rPr>
        <w:t>.</w:t>
      </w:r>
    </w:p>
  </w:footnote>
  <w:footnote w:id="2069">
    <w:p w14:paraId="3837965A" w14:textId="77777777" w:rsidR="00074551" w:rsidRPr="00D869AA" w:rsidRDefault="00074551" w:rsidP="00074551">
      <w:pPr>
        <w:pStyle w:val="Funotentext"/>
        <w:rPr>
          <w:lang w:val="en-US"/>
        </w:rPr>
      </w:pPr>
      <w:r>
        <w:rPr>
          <w:rStyle w:val="Funotenzeichen"/>
          <w:rFonts w:eastAsiaTheme="majorEastAsia"/>
        </w:rPr>
        <w:footnoteRef/>
      </w:r>
      <w:r w:rsidRPr="00D869AA">
        <w:rPr>
          <w:lang w:val="en-US"/>
        </w:rPr>
        <w:t xml:space="preserve"> </w:t>
      </w:r>
      <w:r w:rsidRPr="009167A5">
        <w:rPr>
          <w:i/>
          <w:lang w:val="en-IE"/>
        </w:rPr>
        <w:t>Yu Cong Eng v. Trinidad</w:t>
      </w:r>
      <w:r w:rsidRPr="00B45592">
        <w:rPr>
          <w:lang w:val="en-IE"/>
        </w:rPr>
        <w:t>, 271 U.S. 500, 518</w:t>
      </w:r>
      <w:r w:rsidRPr="006E67FE">
        <w:rPr>
          <w:lang w:val="en-IE"/>
        </w:rPr>
        <w:t xml:space="preserve"> = 46 S. Ct</w:t>
      </w:r>
      <w:r w:rsidRPr="00B45592">
        <w:rPr>
          <w:lang w:val="en-IE"/>
        </w:rPr>
        <w:t>. 619, 623</w:t>
      </w:r>
      <w:r w:rsidRPr="006E67FE">
        <w:rPr>
          <w:lang w:val="en-IE"/>
        </w:rPr>
        <w:t xml:space="preserve"> = 70 L. Ed. </w:t>
      </w:r>
      <w:r w:rsidRPr="00B45592">
        <w:rPr>
          <w:lang w:val="en-IE"/>
        </w:rPr>
        <w:t>1059, 1067</w:t>
      </w:r>
      <w:r w:rsidRPr="006E67FE">
        <w:rPr>
          <w:lang w:val="en-IE"/>
        </w:rPr>
        <w:t xml:space="preserve"> = 1926 U.S. LEXIS </w:t>
      </w:r>
      <w:r w:rsidRPr="00B45592">
        <w:rPr>
          <w:lang w:val="en-IE"/>
        </w:rPr>
        <w:t>642, 32 (1926)</w:t>
      </w:r>
    </w:p>
  </w:footnote>
  <w:footnote w:id="2070">
    <w:p w14:paraId="478FD5BC" w14:textId="77777777" w:rsidR="00074551" w:rsidRPr="001C7C4A" w:rsidRDefault="00074551" w:rsidP="00074551">
      <w:pPr>
        <w:pStyle w:val="Funotentext"/>
        <w:rPr>
          <w:lang w:val="en-US"/>
        </w:rPr>
      </w:pPr>
      <w:r>
        <w:rPr>
          <w:rStyle w:val="Funotenzeichen"/>
        </w:rPr>
        <w:footnoteRef/>
      </w:r>
      <w:r w:rsidRPr="001C7C4A">
        <w:rPr>
          <w:lang w:val="en-US"/>
        </w:rPr>
        <w:t xml:space="preserve"> </w:t>
      </w:r>
      <w:r>
        <w:rPr>
          <w:lang w:val="en-US"/>
        </w:rPr>
        <w:t>„</w:t>
      </w:r>
      <w:r w:rsidRPr="001C7C4A">
        <w:rPr>
          <w:lang w:val="en-US"/>
        </w:rPr>
        <w:t xml:space="preserve">Chinese Bookkeeping Act, Act No. 2972, which made it unlawful for any Chinese merchant to keep account books in any language other than English, Spanish, or a Philippine </w:t>
      </w:r>
      <w:proofErr w:type="gramStart"/>
      <w:r w:rsidRPr="001C7C4A">
        <w:rPr>
          <w:lang w:val="en-US"/>
        </w:rPr>
        <w:t>dialect</w:t>
      </w:r>
      <w:r>
        <w:rPr>
          <w:lang w:val="en-US"/>
        </w:rPr>
        <w:t>“</w:t>
      </w:r>
      <w:proofErr w:type="gramEnd"/>
      <w:r w:rsidRPr="001C7C4A">
        <w:rPr>
          <w:lang w:val="en-US"/>
        </w:rPr>
        <w:t>,</w:t>
      </w:r>
      <w:r>
        <w:rPr>
          <w:lang w:val="en-US"/>
        </w:rPr>
        <w:t xml:space="preserve"> </w:t>
      </w:r>
      <w:r w:rsidRPr="009167A5">
        <w:rPr>
          <w:i/>
          <w:lang w:val="en-US"/>
        </w:rPr>
        <w:t>Yu Cong Eng v. Trinidad</w:t>
      </w:r>
      <w:r w:rsidRPr="001C7C4A">
        <w:rPr>
          <w:lang w:val="en-US"/>
        </w:rPr>
        <w:t>, 271 U.S. 500, 506</w:t>
      </w:r>
      <w:r w:rsidRPr="006E67FE">
        <w:rPr>
          <w:lang w:val="en-US"/>
        </w:rPr>
        <w:t xml:space="preserve"> = 46 S. Ct</w:t>
      </w:r>
      <w:r w:rsidRPr="001C7C4A">
        <w:rPr>
          <w:lang w:val="en-US"/>
        </w:rPr>
        <w:t>. 619, 619</w:t>
      </w:r>
      <w:r w:rsidRPr="006E67FE">
        <w:rPr>
          <w:lang w:val="en-US"/>
        </w:rPr>
        <w:t xml:space="preserve"> = 70 L. Ed. </w:t>
      </w:r>
      <w:r w:rsidRPr="001C7C4A">
        <w:rPr>
          <w:lang w:val="en-US"/>
        </w:rPr>
        <w:t>1059, 1062</w:t>
      </w:r>
      <w:r w:rsidRPr="006E67FE">
        <w:rPr>
          <w:lang w:val="en-US"/>
        </w:rPr>
        <w:t xml:space="preserve"> = 1926 U.S. LEXIS </w:t>
      </w:r>
      <w:r w:rsidRPr="001C7C4A">
        <w:rPr>
          <w:lang w:val="en-US"/>
        </w:rPr>
        <w:t>642, 1 (1926).</w:t>
      </w:r>
    </w:p>
  </w:footnote>
  <w:footnote w:id="2071">
    <w:p w14:paraId="74075B5F"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9E57E1">
        <w:rPr>
          <w:i/>
          <w:lang w:val="en-IE"/>
        </w:rPr>
        <w:t>Meyer v. Nebraska</w:t>
      </w:r>
      <w:r w:rsidRPr="00B45592">
        <w:rPr>
          <w:i/>
          <w:iCs/>
          <w:lang w:val="en-IE"/>
        </w:rPr>
        <w:t>,</w:t>
      </w:r>
      <w:r w:rsidRPr="00B45592">
        <w:rPr>
          <w:lang w:val="en-IE"/>
        </w:rPr>
        <w:t xml:space="preserve"> 262 U. S. 390, </w:t>
      </w:r>
      <w:proofErr w:type="spellStart"/>
      <w:r w:rsidRPr="00B45592">
        <w:rPr>
          <w:lang w:val="en-IE"/>
        </w:rPr>
        <w:t>zitiert</w:t>
      </w:r>
      <w:proofErr w:type="spellEnd"/>
      <w:r w:rsidRPr="00B45592">
        <w:rPr>
          <w:lang w:val="en-IE"/>
        </w:rPr>
        <w:t xml:space="preserve"> in </w:t>
      </w:r>
      <w:r w:rsidRPr="009167A5">
        <w:rPr>
          <w:i/>
          <w:lang w:val="en-US"/>
        </w:rPr>
        <w:t>Yu Cong Eng v. Trinidad</w:t>
      </w:r>
      <w:r w:rsidRPr="00E47138">
        <w:rPr>
          <w:lang w:val="en-US"/>
        </w:rPr>
        <w:t>, 271 U.S. 500, 526 (1926).</w:t>
      </w:r>
    </w:p>
  </w:footnote>
  <w:footnote w:id="2072">
    <w:p w14:paraId="59492FB1" w14:textId="77777777" w:rsidR="00074551" w:rsidRPr="00D869AA" w:rsidRDefault="00074551" w:rsidP="00074551">
      <w:pPr>
        <w:pStyle w:val="Funotentext"/>
        <w:rPr>
          <w:lang w:val="en-US"/>
        </w:rPr>
      </w:pPr>
      <w:r>
        <w:rPr>
          <w:rStyle w:val="Funotenzeichen"/>
          <w:rFonts w:eastAsiaTheme="majorEastAsia"/>
        </w:rPr>
        <w:footnoteRef/>
      </w:r>
      <w:r w:rsidRPr="00D869AA">
        <w:rPr>
          <w:lang w:val="en-US"/>
        </w:rPr>
        <w:t xml:space="preserve"> </w:t>
      </w:r>
      <w:r w:rsidRPr="009167A5">
        <w:rPr>
          <w:i/>
          <w:lang w:val="en-US"/>
        </w:rPr>
        <w:t>Pierce v. Society of Sisters</w:t>
      </w:r>
      <w:r w:rsidRPr="00D869AA">
        <w:rPr>
          <w:lang w:val="en-US"/>
        </w:rPr>
        <w:t>, 268 U.S. 510</w:t>
      </w:r>
      <w:r>
        <w:rPr>
          <w:lang w:val="en-US"/>
        </w:rPr>
        <w:t>;</w:t>
      </w:r>
      <w:r w:rsidRPr="00D869AA">
        <w:rPr>
          <w:lang w:val="en-US"/>
        </w:rPr>
        <w:t xml:space="preserve"> </w:t>
      </w:r>
      <w:r w:rsidRPr="00D83E4F">
        <w:rPr>
          <w:i/>
          <w:lang w:val="en-US"/>
        </w:rPr>
        <w:t>Truax v. Raich</w:t>
      </w:r>
      <w:r w:rsidRPr="00D869AA">
        <w:rPr>
          <w:lang w:val="en-US"/>
        </w:rPr>
        <w:t>, 239 U.S. 33</w:t>
      </w:r>
      <w:r>
        <w:rPr>
          <w:lang w:val="en-US"/>
        </w:rPr>
        <w:t>;</w:t>
      </w:r>
      <w:r w:rsidRPr="00D869AA">
        <w:rPr>
          <w:lang w:val="en-US"/>
        </w:rPr>
        <w:t xml:space="preserve"> </w:t>
      </w:r>
      <w:r w:rsidRPr="009E57E1">
        <w:rPr>
          <w:i/>
          <w:lang w:val="en-US"/>
        </w:rPr>
        <w:t>Adams v. Tanner</w:t>
      </w:r>
      <w:r w:rsidRPr="00D869AA">
        <w:rPr>
          <w:lang w:val="en-US"/>
        </w:rPr>
        <w:t>, 244 U.S. 590</w:t>
      </w:r>
      <w:r>
        <w:rPr>
          <w:lang w:val="en-US"/>
        </w:rPr>
        <w:t xml:space="preserve">; </w:t>
      </w:r>
      <w:r w:rsidRPr="009167A5">
        <w:rPr>
          <w:i/>
          <w:lang w:val="en-US"/>
        </w:rPr>
        <w:t>Yu Cong Eng v. Trinidad</w:t>
      </w:r>
      <w:r w:rsidRPr="00D869AA">
        <w:rPr>
          <w:lang w:val="en-US"/>
        </w:rPr>
        <w:t>, 271 U.S. 500, 527</w:t>
      </w:r>
      <w:r w:rsidRPr="006E67FE">
        <w:rPr>
          <w:lang w:val="en-US"/>
        </w:rPr>
        <w:t xml:space="preserve"> = 46 S. Ct</w:t>
      </w:r>
      <w:r w:rsidRPr="00D869AA">
        <w:rPr>
          <w:lang w:val="en-US"/>
        </w:rPr>
        <w:t>. 619, 626</w:t>
      </w:r>
      <w:r w:rsidRPr="006E67FE">
        <w:rPr>
          <w:lang w:val="en-US"/>
        </w:rPr>
        <w:t xml:space="preserve"> = 70 L. Ed. </w:t>
      </w:r>
      <w:r w:rsidRPr="00D869AA">
        <w:rPr>
          <w:lang w:val="en-US"/>
        </w:rPr>
        <w:t>1059, 1070</w:t>
      </w:r>
      <w:r w:rsidRPr="006E67FE">
        <w:rPr>
          <w:lang w:val="en-US"/>
        </w:rPr>
        <w:t xml:space="preserve"> = 1926 U.S. LEXIS </w:t>
      </w:r>
      <w:r w:rsidRPr="00D869AA">
        <w:rPr>
          <w:lang w:val="en-US"/>
        </w:rPr>
        <w:t>642, 47 (1926)</w:t>
      </w:r>
      <w:r>
        <w:rPr>
          <w:lang w:val="en-US"/>
        </w:rPr>
        <w:t>.</w:t>
      </w:r>
    </w:p>
  </w:footnote>
  <w:footnote w:id="2073">
    <w:p w14:paraId="67B76D98" w14:textId="77777777" w:rsidR="00074551" w:rsidRPr="00882FD4" w:rsidRDefault="00074551" w:rsidP="00074551">
      <w:pPr>
        <w:pStyle w:val="Funotentext"/>
        <w:rPr>
          <w:lang w:val="en-US"/>
        </w:rPr>
      </w:pPr>
      <w:r>
        <w:rPr>
          <w:rStyle w:val="Funotenzeichen"/>
          <w:rFonts w:eastAsiaTheme="majorEastAsia"/>
        </w:rPr>
        <w:footnoteRef/>
      </w:r>
      <w:r w:rsidRPr="00882FD4">
        <w:rPr>
          <w:lang w:val="en-US"/>
        </w:rPr>
        <w:t xml:space="preserve"> </w:t>
      </w:r>
      <w:r w:rsidRPr="00B45592">
        <w:rPr>
          <w:i/>
          <w:lang w:val="en-US"/>
        </w:rPr>
        <w:t>Boddie v. Connecticut</w:t>
      </w:r>
      <w:r w:rsidRPr="00882FD4">
        <w:rPr>
          <w:lang w:val="en-US"/>
        </w:rPr>
        <w:t>, 401 U.S. 371, 379</w:t>
      </w:r>
      <w:r>
        <w:rPr>
          <w:lang w:val="en-US"/>
        </w:rPr>
        <w:t xml:space="preserve">; </w:t>
      </w:r>
      <w:r w:rsidRPr="00B45592">
        <w:rPr>
          <w:i/>
          <w:lang w:val="en-US"/>
        </w:rPr>
        <w:t>Bell v. Burson</w:t>
      </w:r>
      <w:r w:rsidRPr="00882FD4">
        <w:rPr>
          <w:lang w:val="en-US"/>
        </w:rPr>
        <w:t>, 402 U.S. 535, 542</w:t>
      </w:r>
      <w:r>
        <w:rPr>
          <w:lang w:val="en-US"/>
        </w:rPr>
        <w:t xml:space="preserve">; </w:t>
      </w:r>
      <w:r w:rsidRPr="00B45592">
        <w:rPr>
          <w:i/>
          <w:lang w:val="en-US"/>
        </w:rPr>
        <w:t>Central Union Trust Co. v. Garvan</w:t>
      </w:r>
      <w:r w:rsidRPr="00882FD4">
        <w:rPr>
          <w:lang w:val="en-US"/>
        </w:rPr>
        <w:t xml:space="preserve">, 254 U.S. 554, 566; </w:t>
      </w:r>
      <w:r w:rsidRPr="00B45592">
        <w:rPr>
          <w:i/>
          <w:lang w:val="en-US"/>
        </w:rPr>
        <w:t>Phillips v. Commissioner</w:t>
      </w:r>
      <w:r w:rsidRPr="00882FD4">
        <w:rPr>
          <w:lang w:val="en-US"/>
        </w:rPr>
        <w:t xml:space="preserve">, 283 U.S. 589, 597; </w:t>
      </w:r>
      <w:r w:rsidRPr="00B45592">
        <w:rPr>
          <w:i/>
          <w:lang w:val="en-US"/>
        </w:rPr>
        <w:t xml:space="preserve">Ewing v. </w:t>
      </w:r>
      <w:proofErr w:type="spellStart"/>
      <w:r w:rsidRPr="00B45592">
        <w:rPr>
          <w:i/>
          <w:lang w:val="en-US"/>
        </w:rPr>
        <w:t>Mytinger</w:t>
      </w:r>
      <w:proofErr w:type="spellEnd"/>
      <w:r w:rsidRPr="00B45592">
        <w:rPr>
          <w:i/>
          <w:lang w:val="en-US"/>
        </w:rPr>
        <w:t xml:space="preserve"> &amp; Casselberry, Inc.</w:t>
      </w:r>
      <w:r w:rsidRPr="00882FD4">
        <w:rPr>
          <w:lang w:val="en-US"/>
        </w:rPr>
        <w:t>, 339 U.S. 594</w:t>
      </w:r>
      <w:r>
        <w:rPr>
          <w:lang w:val="en-US"/>
        </w:rPr>
        <w:t xml:space="preserve">; </w:t>
      </w:r>
      <w:r w:rsidRPr="00B45592">
        <w:rPr>
          <w:i/>
          <w:lang w:val="en-IE"/>
        </w:rPr>
        <w:t>Board of Regents of State Colleges v. Roth</w:t>
      </w:r>
      <w:r w:rsidRPr="00B45592">
        <w:rPr>
          <w:lang w:val="en-IE"/>
        </w:rPr>
        <w:t>, 408 U.S. 564 (1972).</w:t>
      </w:r>
    </w:p>
  </w:footnote>
  <w:footnote w:id="2074">
    <w:p w14:paraId="02F44753" w14:textId="77777777" w:rsidR="00074551" w:rsidRPr="00882FD4" w:rsidRDefault="00074551" w:rsidP="00074551">
      <w:pPr>
        <w:pStyle w:val="Funotentext"/>
        <w:rPr>
          <w:lang w:val="en-US"/>
        </w:rPr>
      </w:pPr>
      <w:r>
        <w:rPr>
          <w:rStyle w:val="Funotenzeichen"/>
          <w:rFonts w:eastAsiaTheme="majorEastAsia"/>
        </w:rPr>
        <w:footnoteRef/>
      </w:r>
      <w:r w:rsidRPr="009D36A1">
        <w:rPr>
          <w:lang w:val="en-US"/>
        </w:rPr>
        <w:t xml:space="preserve"> </w:t>
      </w:r>
      <w:bookmarkStart w:id="79" w:name="_Hlk227829322"/>
      <w:r w:rsidRPr="009E57E1">
        <w:rPr>
          <w:i/>
          <w:lang w:val="en-US"/>
        </w:rPr>
        <w:t>Meyer v. Nebraska</w:t>
      </w:r>
      <w:r w:rsidRPr="009D36A1">
        <w:rPr>
          <w:lang w:val="en-US"/>
        </w:rPr>
        <w:t>, 262 U.S. 390, 399</w:t>
      </w:r>
      <w:r>
        <w:rPr>
          <w:lang w:val="en-US"/>
        </w:rPr>
        <w:t xml:space="preserve">, </w:t>
      </w:r>
      <w:proofErr w:type="spellStart"/>
      <w:r>
        <w:rPr>
          <w:lang w:val="en-US"/>
        </w:rPr>
        <w:t>zitiert</w:t>
      </w:r>
      <w:proofErr w:type="spellEnd"/>
      <w:r>
        <w:rPr>
          <w:lang w:val="en-US"/>
        </w:rPr>
        <w:t xml:space="preserve"> in</w:t>
      </w:r>
      <w:r w:rsidRPr="009D36A1">
        <w:rPr>
          <w:lang w:val="en-US"/>
        </w:rPr>
        <w:t xml:space="preserve"> </w:t>
      </w:r>
      <w:r w:rsidRPr="009E57E1">
        <w:rPr>
          <w:i/>
          <w:lang w:val="en-US"/>
        </w:rPr>
        <w:t>Bd. of Regents v. Roth</w:t>
      </w:r>
      <w:r w:rsidRPr="009D36A1">
        <w:rPr>
          <w:lang w:val="en-US"/>
        </w:rPr>
        <w:t>, 408 U.S. 564, 572</w:t>
      </w:r>
      <w:r>
        <w:rPr>
          <w:lang w:val="en-US"/>
        </w:rPr>
        <w:t xml:space="preserve"> = 92 S. Ct. </w:t>
      </w:r>
      <w:r w:rsidRPr="009D36A1">
        <w:rPr>
          <w:lang w:val="en-US"/>
        </w:rPr>
        <w:t>2701, 2707</w:t>
      </w:r>
      <w:r w:rsidRPr="00EC5BEB">
        <w:rPr>
          <w:lang w:val="en-US"/>
        </w:rPr>
        <w:t xml:space="preserve"> = 33 L. Ed. </w:t>
      </w:r>
      <w:r w:rsidRPr="009D36A1">
        <w:rPr>
          <w:lang w:val="en-US"/>
        </w:rPr>
        <w:t>2d 548, 558</w:t>
      </w:r>
      <w:r>
        <w:rPr>
          <w:lang w:val="en-US"/>
        </w:rPr>
        <w:t xml:space="preserve"> = 1972 U.S. LEXIS </w:t>
      </w:r>
      <w:r w:rsidRPr="009D36A1">
        <w:rPr>
          <w:lang w:val="en-US"/>
        </w:rPr>
        <w:t>131, 15</w:t>
      </w:r>
      <w:r w:rsidRPr="005D5028">
        <w:rPr>
          <w:lang w:val="en-US"/>
        </w:rPr>
        <w:t xml:space="preserve"> = 1 I.E.R. </w:t>
      </w:r>
      <w:r w:rsidRPr="009D36A1">
        <w:rPr>
          <w:lang w:val="en-US"/>
        </w:rPr>
        <w:t>Cas. (BNA) 23 (1972)</w:t>
      </w:r>
      <w:r>
        <w:rPr>
          <w:lang w:val="en-US"/>
        </w:rPr>
        <w:t xml:space="preserve">. Dort </w:t>
      </w:r>
      <w:proofErr w:type="spellStart"/>
      <w:r>
        <w:rPr>
          <w:lang w:val="en-US"/>
        </w:rPr>
        <w:t>heißt</w:t>
      </w:r>
      <w:proofErr w:type="spellEnd"/>
      <w:r>
        <w:rPr>
          <w:lang w:val="en-US"/>
        </w:rPr>
        <w:t xml:space="preserve"> es </w:t>
      </w:r>
      <w:proofErr w:type="spellStart"/>
      <w:r>
        <w:rPr>
          <w:lang w:val="en-US"/>
        </w:rPr>
        <w:t>weiter</w:t>
      </w:r>
      <w:proofErr w:type="spellEnd"/>
      <w:r>
        <w:rPr>
          <w:lang w:val="en-US"/>
        </w:rPr>
        <w:t>: „</w:t>
      </w:r>
      <w:r w:rsidRPr="009D36A1">
        <w:rPr>
          <w:lang w:val="en-US"/>
        </w:rPr>
        <w:t xml:space="preserve">In a </w:t>
      </w:r>
      <w:proofErr w:type="gramStart"/>
      <w:r w:rsidRPr="009D36A1">
        <w:rPr>
          <w:lang w:val="en-US"/>
        </w:rPr>
        <w:t>Constitution</w:t>
      </w:r>
      <w:proofErr w:type="gramEnd"/>
      <w:r w:rsidRPr="009D36A1">
        <w:rPr>
          <w:lang w:val="en-US"/>
        </w:rPr>
        <w:t xml:space="preserve"> for a free people, there can be no doubt that the meaning </w:t>
      </w:r>
      <w:proofErr w:type="gramStart"/>
      <w:r w:rsidRPr="009D36A1">
        <w:rPr>
          <w:lang w:val="en-US"/>
        </w:rPr>
        <w:t xml:space="preserve">of </w:t>
      </w:r>
      <w:r>
        <w:rPr>
          <w:lang w:val="en-US"/>
        </w:rPr>
        <w:t>,</w:t>
      </w:r>
      <w:r w:rsidRPr="009D36A1">
        <w:rPr>
          <w:lang w:val="en-US"/>
        </w:rPr>
        <w:t>liberty</w:t>
      </w:r>
      <w:r>
        <w:rPr>
          <w:lang w:val="en-US"/>
        </w:rPr>
        <w:t>‘</w:t>
      </w:r>
      <w:r w:rsidRPr="009D36A1">
        <w:rPr>
          <w:lang w:val="en-US"/>
        </w:rPr>
        <w:t xml:space="preserve"> must</w:t>
      </w:r>
      <w:proofErr w:type="gramEnd"/>
      <w:r w:rsidRPr="009D36A1">
        <w:rPr>
          <w:lang w:val="en-US"/>
        </w:rPr>
        <w:t xml:space="preserve"> be broad indeed. See, e. g., </w:t>
      </w:r>
      <w:r w:rsidRPr="00B45592">
        <w:rPr>
          <w:i/>
          <w:lang w:val="en-US"/>
        </w:rPr>
        <w:t>Bolling v. Sharpe</w:t>
      </w:r>
      <w:r w:rsidRPr="009D36A1">
        <w:rPr>
          <w:lang w:val="en-US"/>
        </w:rPr>
        <w:t>, 347 U.S. 497, 499</w:t>
      </w:r>
      <w:r>
        <w:rPr>
          <w:lang w:val="en-US"/>
        </w:rPr>
        <w:t>–</w:t>
      </w:r>
      <w:r w:rsidRPr="009D36A1">
        <w:rPr>
          <w:lang w:val="en-US"/>
        </w:rPr>
        <w:t xml:space="preserve">500; </w:t>
      </w:r>
      <w:r w:rsidRPr="00B45592">
        <w:rPr>
          <w:i/>
          <w:lang w:val="en-US"/>
        </w:rPr>
        <w:t>Stanley v. Illinois</w:t>
      </w:r>
      <w:r w:rsidRPr="009D36A1">
        <w:rPr>
          <w:lang w:val="en-US"/>
        </w:rPr>
        <w:t>, 405 U.S. 645</w:t>
      </w:r>
      <w:bookmarkEnd w:id="79"/>
      <w:r>
        <w:rPr>
          <w:lang w:val="en-US"/>
        </w:rPr>
        <w:t>“.</w:t>
      </w:r>
    </w:p>
  </w:footnote>
  <w:footnote w:id="2075">
    <w:p w14:paraId="7060EC3A" w14:textId="707EC973" w:rsidR="00074551" w:rsidRPr="00096FDB" w:rsidRDefault="00074551" w:rsidP="00074551">
      <w:pPr>
        <w:pStyle w:val="Funotentext"/>
        <w:rPr>
          <w:lang w:val="en-US"/>
        </w:rPr>
      </w:pPr>
      <w:r>
        <w:rPr>
          <w:rStyle w:val="Funotenzeichen"/>
          <w:rFonts w:eastAsiaTheme="majorEastAsia"/>
        </w:rPr>
        <w:footnoteRef/>
      </w:r>
      <w:r w:rsidRPr="00882FD4">
        <w:rPr>
          <w:lang w:val="en-US"/>
        </w:rPr>
        <w:t xml:space="preserve"> </w:t>
      </w:r>
      <w:bookmarkStart w:id="80" w:name="_Hlk227832047"/>
      <w:r w:rsidRPr="00B45592">
        <w:rPr>
          <w:i/>
          <w:lang w:val="en-US"/>
        </w:rPr>
        <w:t>Cafeteria Workers v. McElroy</w:t>
      </w:r>
      <w:r w:rsidRPr="00882FD4">
        <w:rPr>
          <w:lang w:val="en-US"/>
        </w:rPr>
        <w:t xml:space="preserve">, </w:t>
      </w:r>
      <w:r w:rsidRPr="00B45592">
        <w:rPr>
          <w:lang w:val="en-IE"/>
        </w:rPr>
        <w:t>367 U.S. 886,</w:t>
      </w:r>
      <w:r w:rsidRPr="00E47138" w:rsidDel="00E47138">
        <w:rPr>
          <w:lang w:val="en-US"/>
        </w:rPr>
        <w:t xml:space="preserve"> </w:t>
      </w:r>
      <w:r w:rsidRPr="00E47138">
        <w:rPr>
          <w:lang w:val="en-US"/>
        </w:rPr>
        <w:t>895</w:t>
      </w:r>
      <w:r>
        <w:rPr>
          <w:lang w:val="en-US"/>
        </w:rPr>
        <w:t>–</w:t>
      </w:r>
      <w:r w:rsidRPr="00882FD4">
        <w:rPr>
          <w:lang w:val="en-US"/>
        </w:rPr>
        <w:t>896</w:t>
      </w:r>
      <w:r>
        <w:rPr>
          <w:lang w:val="en-US"/>
        </w:rPr>
        <w:t xml:space="preserve">; </w:t>
      </w:r>
      <w:bookmarkEnd w:id="80"/>
      <w:r w:rsidRPr="009E57E1">
        <w:rPr>
          <w:i/>
          <w:lang w:val="en-US"/>
        </w:rPr>
        <w:t>Bd. of Regents v. Roth</w:t>
      </w:r>
      <w:r w:rsidRPr="00882FD4">
        <w:rPr>
          <w:lang w:val="en-US"/>
        </w:rPr>
        <w:t>, 408 U.S. 564, 575</w:t>
      </w:r>
      <w:r>
        <w:rPr>
          <w:lang w:val="en-US"/>
        </w:rPr>
        <w:t xml:space="preserve"> = 92 S. Ct. </w:t>
      </w:r>
      <w:r w:rsidRPr="00882FD4">
        <w:rPr>
          <w:lang w:val="en-US"/>
        </w:rPr>
        <w:t>2701, 2708</w:t>
      </w:r>
      <w:r w:rsidRPr="00EC5BEB">
        <w:rPr>
          <w:lang w:val="en-US"/>
        </w:rPr>
        <w:t xml:space="preserve"> = 33 L. Ed. </w:t>
      </w:r>
      <w:r w:rsidRPr="00882FD4">
        <w:rPr>
          <w:lang w:val="en-US"/>
        </w:rPr>
        <w:t>2d 548, 560</w:t>
      </w:r>
      <w:r>
        <w:rPr>
          <w:lang w:val="en-US"/>
        </w:rPr>
        <w:t xml:space="preserve"> = 1972 U.S. LEXIS </w:t>
      </w:r>
      <w:r w:rsidRPr="00882FD4">
        <w:rPr>
          <w:lang w:val="en-US"/>
        </w:rPr>
        <w:t>131, 20</w:t>
      </w:r>
      <w:r w:rsidRPr="005D5028">
        <w:rPr>
          <w:lang w:val="en-US"/>
        </w:rPr>
        <w:t xml:space="preserve"> = 1 I.E.R. </w:t>
      </w:r>
      <w:r w:rsidRPr="00882FD4">
        <w:rPr>
          <w:lang w:val="en-US"/>
        </w:rPr>
        <w:t xml:space="preserve">Cas. </w:t>
      </w:r>
      <w:r w:rsidRPr="00882FD4">
        <w:t>(BNA) 23 (1972)</w:t>
      </w:r>
      <w:r>
        <w:t>.</w:t>
      </w:r>
      <w:r w:rsidRPr="00882FD4">
        <w:t xml:space="preserve"> Und </w:t>
      </w:r>
      <w:r>
        <w:t>d</w:t>
      </w:r>
      <w:r w:rsidRPr="00882FD4">
        <w:t xml:space="preserve">afür spricht auch: Der verfahrensrechtliche Schutz des Eigentums in </w:t>
      </w:r>
      <w:r w:rsidR="00023A37">
        <w:t xml:space="preserve">U.S. </w:t>
      </w:r>
      <w:proofErr w:type="spellStart"/>
      <w:r w:rsidR="00023A37">
        <w:t>Const</w:t>
      </w:r>
      <w:proofErr w:type="spellEnd"/>
      <w:r w:rsidR="00023A37">
        <w:t xml:space="preserve">. </w:t>
      </w:r>
      <w:proofErr w:type="spellStart"/>
      <w:r w:rsidR="00023A37">
        <w:t>amend</w:t>
      </w:r>
      <w:proofErr w:type="spellEnd"/>
      <w:r w:rsidR="00023A37">
        <w:t>. XIV</w:t>
      </w:r>
      <w:r w:rsidRPr="00882FD4">
        <w:t xml:space="preserve"> sichere Interessen, die eine Person als Leistung bereits erworben hatte (</w:t>
      </w:r>
      <w:r w:rsidRPr="009E57E1">
        <w:rPr>
          <w:i/>
        </w:rPr>
        <w:t xml:space="preserve">Bd. of </w:t>
      </w:r>
      <w:proofErr w:type="spellStart"/>
      <w:r w:rsidRPr="009E57E1">
        <w:rPr>
          <w:i/>
        </w:rPr>
        <w:t>Regents</w:t>
      </w:r>
      <w:proofErr w:type="spellEnd"/>
      <w:r w:rsidRPr="009E57E1">
        <w:rPr>
          <w:i/>
        </w:rPr>
        <w:t xml:space="preserve"> v. Roth</w:t>
      </w:r>
      <w:r w:rsidRPr="00882FD4">
        <w:t>, 408 U.S. 564, 576</w:t>
      </w:r>
      <w:r>
        <w:t xml:space="preserve"> = 92 S. Ct. </w:t>
      </w:r>
      <w:r w:rsidRPr="00882FD4">
        <w:t>2701, 2708</w:t>
      </w:r>
      <w:r w:rsidRPr="00EC5BEB">
        <w:t xml:space="preserve"> = 33 L. Ed. </w:t>
      </w:r>
      <w:r w:rsidRPr="00882FD4">
        <w:t>2d 548, 560</w:t>
      </w:r>
      <w:r>
        <w:t xml:space="preserve"> = 1972 U.S. LEXIS </w:t>
      </w:r>
      <w:r w:rsidRPr="00882FD4">
        <w:t>131, 20</w:t>
      </w:r>
      <w:r w:rsidRPr="005D5028">
        <w:t xml:space="preserve"> = 1 I.E.R. </w:t>
      </w:r>
      <w:r w:rsidRPr="00882FD4">
        <w:t xml:space="preserve">Cas. </w:t>
      </w:r>
      <w:r>
        <w:t>[</w:t>
      </w:r>
      <w:r w:rsidRPr="00882FD4">
        <w:t>BNA</w:t>
      </w:r>
      <w:r>
        <w:t>]</w:t>
      </w:r>
      <w:r w:rsidRPr="00882FD4">
        <w:t xml:space="preserve"> 23 </w:t>
      </w:r>
      <w:r>
        <w:t>[</w:t>
      </w:r>
      <w:r w:rsidRPr="00882FD4">
        <w:t>1972</w:t>
      </w:r>
      <w:r>
        <w:t>]</w:t>
      </w:r>
      <w:r w:rsidRPr="00882FD4">
        <w:t>). Um ein Eigentumsinteresse an einer Leistung zu haben, muss der Betroffene also mehr als ein abstraktes Bedürfnis nach der Lei</w:t>
      </w:r>
      <w:r>
        <w:t>s</w:t>
      </w:r>
      <w:r w:rsidRPr="00882FD4">
        <w:t>tung haben. Die Leistung muss mehr als nur eine einseitige Erwartung sein</w:t>
      </w:r>
      <w:r>
        <w:t>; v</w:t>
      </w:r>
      <w:r w:rsidRPr="00882FD4">
        <w:t xml:space="preserve">ielmehr </w:t>
      </w:r>
      <w:proofErr w:type="gramStart"/>
      <w:r w:rsidRPr="00882FD4">
        <w:t>muss</w:t>
      </w:r>
      <w:proofErr w:type="gramEnd"/>
      <w:r w:rsidRPr="00882FD4">
        <w:t xml:space="preserve"> die Personen einen legitimen Anspruch </w:t>
      </w:r>
      <w:r>
        <w:t>darauf</w:t>
      </w:r>
      <w:r w:rsidRPr="00882FD4">
        <w:t xml:space="preserve"> haben. Aber das Eigentum schütze nur Ansprüche, auf die sich die Menschen in ihrem täglichen Leben </w:t>
      </w:r>
      <w:r>
        <w:t>verließen</w:t>
      </w:r>
      <w:r w:rsidRPr="00882FD4">
        <w:t xml:space="preserve"> und </w:t>
      </w:r>
      <w:proofErr w:type="gramStart"/>
      <w:r w:rsidRPr="00882FD4">
        <w:t>die staatliche Maßnahmen</w:t>
      </w:r>
      <w:proofErr w:type="gramEnd"/>
      <w:r w:rsidRPr="00882FD4">
        <w:t xml:space="preserve"> nicht willkürlich entziehen dürf</w:t>
      </w:r>
      <w:r>
        <w:t>t</w:t>
      </w:r>
      <w:r w:rsidRPr="00882FD4">
        <w:t>en. Um diese Ansprüche geltend zu machen, besteh</w:t>
      </w:r>
      <w:r>
        <w:t>e</w:t>
      </w:r>
      <w:r w:rsidRPr="00882FD4">
        <w:t xml:space="preserve"> das verfassungsmäßige Recht auf rechtliches Gehör (</w:t>
      </w:r>
      <w:r w:rsidRPr="009E57E1">
        <w:rPr>
          <w:i/>
        </w:rPr>
        <w:t xml:space="preserve">Bd. of </w:t>
      </w:r>
      <w:proofErr w:type="spellStart"/>
      <w:r w:rsidRPr="009E57E1">
        <w:rPr>
          <w:i/>
        </w:rPr>
        <w:t>Regents</w:t>
      </w:r>
      <w:proofErr w:type="spellEnd"/>
      <w:r w:rsidRPr="009E57E1">
        <w:rPr>
          <w:i/>
        </w:rPr>
        <w:t xml:space="preserve"> v. Roth</w:t>
      </w:r>
      <w:r w:rsidRPr="00882FD4">
        <w:t>, 408 U.S. 564, 566</w:t>
      </w:r>
      <w:r>
        <w:t xml:space="preserve"> = 92 S. Ct. </w:t>
      </w:r>
      <w:r w:rsidRPr="00882FD4">
        <w:t>2701, 2703</w:t>
      </w:r>
      <w:r w:rsidRPr="00EC5BEB">
        <w:t xml:space="preserve"> = 33 L. Ed. </w:t>
      </w:r>
      <w:r w:rsidRPr="00882FD4">
        <w:t>2d 548, 554</w:t>
      </w:r>
      <w:r>
        <w:t xml:space="preserve"> = 1972 U.S. LEXIS </w:t>
      </w:r>
      <w:r w:rsidRPr="00882FD4">
        <w:t>131, 1</w:t>
      </w:r>
      <w:r w:rsidRPr="005D5028">
        <w:t xml:space="preserve"> = 1 I.E.R. </w:t>
      </w:r>
      <w:r w:rsidRPr="00882FD4">
        <w:t xml:space="preserve">Cas. </w:t>
      </w:r>
      <w:r>
        <w:t>[</w:t>
      </w:r>
      <w:r w:rsidRPr="00882FD4">
        <w:t>BNA</w:t>
      </w:r>
      <w:r>
        <w:t>]</w:t>
      </w:r>
      <w:r w:rsidRPr="00882FD4">
        <w:t xml:space="preserve"> 23 </w:t>
      </w:r>
      <w:r>
        <w:t>[</w:t>
      </w:r>
      <w:r w:rsidRPr="00882FD4">
        <w:t>1972</w:t>
      </w:r>
      <w:r>
        <w:t>]</w:t>
      </w:r>
      <w:r w:rsidRPr="00882FD4">
        <w:t xml:space="preserve">). </w:t>
      </w:r>
      <w:r>
        <w:t xml:space="preserve">Und als zusätzlicher Punkt: </w:t>
      </w:r>
      <w:r w:rsidRPr="00882FD4">
        <w:t>Nicht die Verfassung schafft Eigentumsrechte. Vielmehr schaffe einfaches Recht, das Leistungen sichert und Ansprüche auf diese Leistungen begründet, die Dimensionen des verfassungsrechtlichen Eigentums (</w:t>
      </w:r>
      <w:r w:rsidRPr="00B45592">
        <w:rPr>
          <w:i/>
        </w:rPr>
        <w:t>Goldberg v. Kelly</w:t>
      </w:r>
      <w:r w:rsidRPr="00882FD4">
        <w:t>, 397 U.S. 254</w:t>
      </w:r>
      <w:r>
        <w:t xml:space="preserve">; </w:t>
      </w:r>
      <w:r w:rsidRPr="009E57E1">
        <w:rPr>
          <w:i/>
        </w:rPr>
        <w:t xml:space="preserve">Bd. of </w:t>
      </w:r>
      <w:proofErr w:type="spellStart"/>
      <w:r w:rsidRPr="009E57E1">
        <w:rPr>
          <w:i/>
        </w:rPr>
        <w:t>Regents</w:t>
      </w:r>
      <w:proofErr w:type="spellEnd"/>
      <w:r w:rsidRPr="009E57E1">
        <w:rPr>
          <w:i/>
        </w:rPr>
        <w:t xml:space="preserve"> v. Roth</w:t>
      </w:r>
      <w:r w:rsidRPr="00882FD4">
        <w:t>, 408 U.S. 564, 576</w:t>
      </w:r>
      <w:r>
        <w:t xml:space="preserve"> = 92 S. Ct. </w:t>
      </w:r>
      <w:r w:rsidRPr="00882FD4">
        <w:t>2701, 2708</w:t>
      </w:r>
      <w:r w:rsidRPr="00EC5BEB">
        <w:t xml:space="preserve"> = 33 L. Ed. </w:t>
      </w:r>
      <w:r w:rsidRPr="00882FD4">
        <w:t>2d 548, 560</w:t>
      </w:r>
      <w:r>
        <w:t xml:space="preserve"> = 1972 U.S. LEXIS </w:t>
      </w:r>
      <w:r w:rsidRPr="00882FD4">
        <w:t>131, 21</w:t>
      </w:r>
      <w:r w:rsidRPr="005D5028">
        <w:t xml:space="preserve"> = 1 I.E.R. </w:t>
      </w:r>
      <w:r w:rsidRPr="00882FD4">
        <w:t xml:space="preserve">Cas. </w:t>
      </w:r>
      <w:r>
        <w:rPr>
          <w:lang w:val="en-US"/>
        </w:rPr>
        <w:t>[</w:t>
      </w:r>
      <w:r w:rsidRPr="00096FDB">
        <w:rPr>
          <w:lang w:val="en-US"/>
        </w:rPr>
        <w:t>BNA</w:t>
      </w:r>
      <w:r>
        <w:rPr>
          <w:lang w:val="en-US"/>
        </w:rPr>
        <w:t>]</w:t>
      </w:r>
      <w:r w:rsidRPr="00096FDB">
        <w:rPr>
          <w:lang w:val="en-US"/>
        </w:rPr>
        <w:t xml:space="preserve"> 23 </w:t>
      </w:r>
      <w:r>
        <w:rPr>
          <w:lang w:val="en-US"/>
        </w:rPr>
        <w:t>[</w:t>
      </w:r>
      <w:r w:rsidRPr="00096FDB">
        <w:rPr>
          <w:lang w:val="en-US"/>
        </w:rPr>
        <w:t>1972</w:t>
      </w:r>
      <w:r>
        <w:rPr>
          <w:lang w:val="en-US"/>
        </w:rPr>
        <w:t>]</w:t>
      </w:r>
      <w:r w:rsidRPr="00096FDB">
        <w:rPr>
          <w:lang w:val="en-US"/>
        </w:rPr>
        <w:t>)</w:t>
      </w:r>
      <w:r>
        <w:rPr>
          <w:lang w:val="en-US"/>
        </w:rPr>
        <w:t>.</w:t>
      </w:r>
    </w:p>
  </w:footnote>
  <w:footnote w:id="2076">
    <w:p w14:paraId="51536C4D" w14:textId="77777777" w:rsidR="00074551" w:rsidRPr="00C362EB" w:rsidRDefault="00074551" w:rsidP="00074551">
      <w:pPr>
        <w:pStyle w:val="Funotentext"/>
        <w:rPr>
          <w:lang w:val="en-US"/>
        </w:rPr>
      </w:pPr>
      <w:r>
        <w:rPr>
          <w:rStyle w:val="Funotenzeichen"/>
          <w:rFonts w:eastAsiaTheme="majorEastAsia"/>
        </w:rPr>
        <w:footnoteRef/>
      </w:r>
      <w:r w:rsidRPr="00C362EB">
        <w:rPr>
          <w:lang w:val="en-US"/>
        </w:rPr>
        <w:t xml:space="preserve"> </w:t>
      </w:r>
      <w:r w:rsidRPr="00B45592">
        <w:rPr>
          <w:i/>
          <w:lang w:val="en-US"/>
        </w:rPr>
        <w:t>DA’s Office v. Osborne</w:t>
      </w:r>
      <w:r w:rsidRPr="00C362EB">
        <w:rPr>
          <w:lang w:val="en-US"/>
        </w:rPr>
        <w:t>, 557 U.S. 52, 52</w:t>
      </w:r>
      <w:r>
        <w:rPr>
          <w:lang w:val="en-US"/>
        </w:rPr>
        <w:t xml:space="preserve"> = 129 S. Ct</w:t>
      </w:r>
      <w:r w:rsidRPr="00C362EB">
        <w:rPr>
          <w:lang w:val="en-US"/>
        </w:rPr>
        <w:t>. 2308, 2310</w:t>
      </w:r>
      <w:r>
        <w:rPr>
          <w:lang w:val="en-US"/>
        </w:rPr>
        <w:t xml:space="preserve"> = 174 L. Ed. </w:t>
      </w:r>
      <w:r w:rsidRPr="00C362EB">
        <w:rPr>
          <w:lang w:val="en-US"/>
        </w:rPr>
        <w:t>2d 38, 38</w:t>
      </w:r>
      <w:r>
        <w:rPr>
          <w:lang w:val="en-US"/>
        </w:rPr>
        <w:t xml:space="preserve"> = 2009 U.S. LEXIS </w:t>
      </w:r>
      <w:r w:rsidRPr="00C362EB">
        <w:rPr>
          <w:lang w:val="en-US"/>
        </w:rPr>
        <w:t>4536, 1</w:t>
      </w:r>
      <w:r>
        <w:rPr>
          <w:lang w:val="en-US"/>
        </w:rPr>
        <w:t xml:space="preserve"> = 77 U.S.L.W</w:t>
      </w:r>
      <w:r w:rsidRPr="00C362EB">
        <w:rPr>
          <w:lang w:val="en-US"/>
        </w:rPr>
        <w:t>. 4498</w:t>
      </w:r>
      <w:r>
        <w:rPr>
          <w:lang w:val="en-US"/>
        </w:rPr>
        <w:t xml:space="preserve"> = 21 Fla. L. Weekly </w:t>
      </w:r>
      <w:r w:rsidRPr="00C362EB">
        <w:rPr>
          <w:lang w:val="en-US"/>
        </w:rPr>
        <w:t>Fed. S 945 (2009)</w:t>
      </w:r>
      <w:r>
        <w:rPr>
          <w:lang w:val="en-US"/>
        </w:rPr>
        <w:t>.</w:t>
      </w:r>
    </w:p>
  </w:footnote>
  <w:footnote w:id="2077">
    <w:p w14:paraId="086EA0B7" w14:textId="77777777" w:rsidR="00074551" w:rsidRPr="00B45592" w:rsidRDefault="00074551" w:rsidP="00074551">
      <w:pPr>
        <w:pStyle w:val="Funotentext"/>
      </w:pPr>
      <w:r>
        <w:rPr>
          <w:rStyle w:val="Funotenzeichen"/>
          <w:rFonts w:eastAsiaTheme="majorEastAsia"/>
        </w:rPr>
        <w:footnoteRef/>
      </w:r>
      <w:r w:rsidRPr="007A7F58">
        <w:rPr>
          <w:lang w:val="en-US"/>
        </w:rPr>
        <w:t xml:space="preserve"> </w:t>
      </w:r>
      <w:r w:rsidRPr="00B45592">
        <w:rPr>
          <w:i/>
          <w:lang w:val="en-US"/>
        </w:rPr>
        <w:t>DA’s Office v. Osborne</w:t>
      </w:r>
      <w:r w:rsidRPr="007A7F58">
        <w:rPr>
          <w:lang w:val="en-US"/>
        </w:rPr>
        <w:t>, 557 U.S. 52, 93</w:t>
      </w:r>
      <w:r>
        <w:rPr>
          <w:lang w:val="en-US"/>
        </w:rPr>
        <w:t xml:space="preserve"> = 129 S. Ct</w:t>
      </w:r>
      <w:r w:rsidRPr="007A7F58">
        <w:rPr>
          <w:lang w:val="en-US"/>
        </w:rPr>
        <w:t>. 2308, 2334</w:t>
      </w:r>
      <w:r>
        <w:rPr>
          <w:lang w:val="en-US"/>
        </w:rPr>
        <w:t xml:space="preserve"> = 174 L. Ed. </w:t>
      </w:r>
      <w:r w:rsidRPr="007A7F58">
        <w:rPr>
          <w:lang w:val="en-US"/>
        </w:rPr>
        <w:t>2d 38, 67</w:t>
      </w:r>
      <w:r>
        <w:rPr>
          <w:lang w:val="en-US"/>
        </w:rPr>
        <w:t xml:space="preserve"> = 2009 U.S. LEXIS </w:t>
      </w:r>
      <w:r w:rsidRPr="007A7F58">
        <w:rPr>
          <w:lang w:val="en-US"/>
        </w:rPr>
        <w:t>4536, 71</w:t>
      </w:r>
      <w:r>
        <w:rPr>
          <w:lang w:val="en-US"/>
        </w:rPr>
        <w:t xml:space="preserve"> = 77 U.S.L.W</w:t>
      </w:r>
      <w:r w:rsidRPr="007A7F58">
        <w:rPr>
          <w:lang w:val="en-US"/>
        </w:rPr>
        <w:t>. 4498</w:t>
      </w:r>
      <w:r>
        <w:rPr>
          <w:lang w:val="en-US"/>
        </w:rPr>
        <w:t xml:space="preserve"> = 21 Fla. L. Weekly </w:t>
      </w:r>
      <w:r w:rsidRPr="007A7F58">
        <w:rPr>
          <w:lang w:val="en-US"/>
        </w:rPr>
        <w:t xml:space="preserve">Fed. </w:t>
      </w:r>
      <w:r w:rsidRPr="00B45592">
        <w:t>S 945 (2009).</w:t>
      </w:r>
    </w:p>
  </w:footnote>
  <w:footnote w:id="2078">
    <w:p w14:paraId="17183EAF" w14:textId="77777777" w:rsidR="00074551" w:rsidRPr="00B45592" w:rsidRDefault="00074551" w:rsidP="00074551">
      <w:r>
        <w:rPr>
          <w:rStyle w:val="Funotenzeichen"/>
          <w:rFonts w:eastAsiaTheme="majorEastAsia"/>
        </w:rPr>
        <w:footnoteRef/>
      </w:r>
      <w:r w:rsidRPr="00B45592">
        <w:t xml:space="preserve"> </w:t>
      </w:r>
      <w:bookmarkStart w:id="81" w:name="_Hlk227830529"/>
      <w:r w:rsidRPr="00B45592">
        <w:rPr>
          <w:i/>
          <w:sz w:val="20"/>
          <w:szCs w:val="20"/>
        </w:rPr>
        <w:t>Harvey v. Horan</w:t>
      </w:r>
      <w:r w:rsidRPr="00B45592">
        <w:rPr>
          <w:sz w:val="20"/>
          <w:szCs w:val="20"/>
        </w:rPr>
        <w:t>, 285 F.3d 298, 315, 319 (CA4 2002) (</w:t>
      </w:r>
      <w:bookmarkStart w:id="82" w:name="_Hlk227770288"/>
      <w:r w:rsidRPr="00B45592">
        <w:rPr>
          <w:sz w:val="20"/>
          <w:szCs w:val="20"/>
        </w:rPr>
        <w:t xml:space="preserve">Richter </w:t>
      </w:r>
      <w:r w:rsidRPr="00B45592">
        <w:rPr>
          <w:i/>
          <w:sz w:val="20"/>
          <w:szCs w:val="20"/>
        </w:rPr>
        <w:t>Luttig</w:t>
      </w:r>
      <w:r w:rsidRPr="00B45592">
        <w:rPr>
          <w:sz w:val="20"/>
          <w:szCs w:val="20"/>
        </w:rPr>
        <w:t>, betreffend die Ablehnung einer erneuten Anhörung vor dem gesamten Richtergremium</w:t>
      </w:r>
      <w:bookmarkEnd w:id="82"/>
      <w:r w:rsidRPr="00B45592">
        <w:rPr>
          <w:sz w:val="20"/>
          <w:szCs w:val="20"/>
        </w:rPr>
        <w:t xml:space="preserve">); </w:t>
      </w:r>
      <w:bookmarkEnd w:id="81"/>
      <w:proofErr w:type="gramStart"/>
      <w:r w:rsidRPr="00F94158">
        <w:rPr>
          <w:i/>
          <w:sz w:val="20"/>
          <w:szCs w:val="20"/>
        </w:rPr>
        <w:t>DA’s</w:t>
      </w:r>
      <w:proofErr w:type="gramEnd"/>
      <w:r w:rsidRPr="00F94158">
        <w:rPr>
          <w:i/>
          <w:sz w:val="20"/>
          <w:szCs w:val="20"/>
        </w:rPr>
        <w:t xml:space="preserve"> Office v. Osborne</w:t>
      </w:r>
      <w:r w:rsidRPr="00F94158">
        <w:t xml:space="preserve">, </w:t>
      </w:r>
      <w:r w:rsidRPr="00F94158">
        <w:rPr>
          <w:sz w:val="20"/>
          <w:szCs w:val="20"/>
        </w:rPr>
        <w:t xml:space="preserve">557 U.S. 52, 93 = 129 S. Ct. 2308, 2334 = 174 L. Ed. 2d 38, 67 = 2009 U.S. LEXIS 4536, 70 = 77 U.S.L.W. 4498 = 21 </w:t>
      </w:r>
      <w:proofErr w:type="spellStart"/>
      <w:r w:rsidRPr="00F94158">
        <w:rPr>
          <w:sz w:val="20"/>
          <w:szCs w:val="20"/>
        </w:rPr>
        <w:t>Fla</w:t>
      </w:r>
      <w:proofErr w:type="spellEnd"/>
      <w:r w:rsidRPr="00F94158">
        <w:rPr>
          <w:sz w:val="20"/>
          <w:szCs w:val="20"/>
        </w:rPr>
        <w:t xml:space="preserve">. L. Weekly Fed. </w:t>
      </w:r>
      <w:r w:rsidRPr="00B45592">
        <w:rPr>
          <w:sz w:val="20"/>
          <w:szCs w:val="20"/>
        </w:rPr>
        <w:t>S 945 (2009).</w:t>
      </w:r>
    </w:p>
  </w:footnote>
  <w:footnote w:id="2079">
    <w:p w14:paraId="18298DE1" w14:textId="77777777" w:rsidR="00074551" w:rsidRPr="007A7F58" w:rsidRDefault="00074551" w:rsidP="00074551">
      <w:pPr>
        <w:pStyle w:val="Funotentext"/>
        <w:rPr>
          <w:lang w:val="en-US"/>
        </w:rPr>
      </w:pPr>
      <w:r>
        <w:rPr>
          <w:rStyle w:val="Funotenzeichen"/>
          <w:rFonts w:eastAsiaTheme="majorEastAsia"/>
        </w:rPr>
        <w:footnoteRef/>
      </w:r>
      <w:r w:rsidRPr="00B45592">
        <w:t xml:space="preserve"> </w:t>
      </w:r>
      <w:r w:rsidRPr="00B45592">
        <w:rPr>
          <w:i/>
        </w:rPr>
        <w:t>Harvey v. Horan</w:t>
      </w:r>
      <w:r w:rsidRPr="00B45592">
        <w:t xml:space="preserve">, 285 F.3d 298, 315, 319 (CA4 2002) </w:t>
      </w:r>
      <w:r w:rsidRPr="00BC3B27">
        <w:t xml:space="preserve">(Richter </w:t>
      </w:r>
      <w:r w:rsidRPr="00B45592">
        <w:rPr>
          <w:i/>
        </w:rPr>
        <w:t>Luttig</w:t>
      </w:r>
      <w:r w:rsidRPr="00BC3B27">
        <w:t xml:space="preserve">, betreffend die Ablehnung einer erneuten Anhörung vor dem gesamten Richtergremium); </w:t>
      </w:r>
      <w:proofErr w:type="gramStart"/>
      <w:r w:rsidRPr="00F94158">
        <w:rPr>
          <w:i/>
        </w:rPr>
        <w:t>DA’s</w:t>
      </w:r>
      <w:proofErr w:type="gramEnd"/>
      <w:r w:rsidRPr="00F94158">
        <w:rPr>
          <w:i/>
        </w:rPr>
        <w:t xml:space="preserve"> Office v. Osborne</w:t>
      </w:r>
      <w:r w:rsidRPr="00F94158">
        <w:t xml:space="preserve">, 557 U.S. 52, 93 = 129 S. Ct. 2308, 2334 = 174 L. Ed. 2d 38, 67 = 2009 U.S. LEXIS 4536, 70 = 77 U.S.L.W. 4498 = 21 </w:t>
      </w:r>
      <w:proofErr w:type="spellStart"/>
      <w:r w:rsidRPr="00F94158">
        <w:t>Fla</w:t>
      </w:r>
      <w:proofErr w:type="spellEnd"/>
      <w:r w:rsidRPr="00F94158">
        <w:t xml:space="preserve">. L. Weekly Fed. </w:t>
      </w:r>
      <w:r w:rsidRPr="007A7F58">
        <w:rPr>
          <w:lang w:val="en-US"/>
        </w:rPr>
        <w:t>S 945 (2009)</w:t>
      </w:r>
      <w:r>
        <w:rPr>
          <w:lang w:val="en-US"/>
        </w:rPr>
        <w:t>.</w:t>
      </w:r>
    </w:p>
  </w:footnote>
  <w:footnote w:id="2080">
    <w:p w14:paraId="0D349D19" w14:textId="77777777" w:rsidR="00074551" w:rsidRPr="00FE251F" w:rsidRDefault="00074551" w:rsidP="00074551">
      <w:pPr>
        <w:pStyle w:val="Funotentext"/>
        <w:rPr>
          <w:lang w:val="en-US"/>
        </w:rPr>
      </w:pPr>
      <w:r>
        <w:rPr>
          <w:rStyle w:val="Funotenzeichen"/>
          <w:rFonts w:eastAsiaTheme="majorEastAsia"/>
        </w:rPr>
        <w:footnoteRef/>
      </w:r>
      <w:r w:rsidRPr="007A7F58">
        <w:rPr>
          <w:lang w:val="en-US"/>
        </w:rPr>
        <w:t xml:space="preserve"> </w:t>
      </w:r>
      <w:r w:rsidRPr="004F13B1">
        <w:rPr>
          <w:i/>
          <w:lang w:val="en-US"/>
        </w:rPr>
        <w:t>Meachum v. Fano</w:t>
      </w:r>
      <w:r w:rsidRPr="007A7F58">
        <w:rPr>
          <w:lang w:val="en-US"/>
        </w:rPr>
        <w:t>, 427 U.S. 215, 230</w:t>
      </w:r>
      <w:r w:rsidRPr="006E67FE">
        <w:rPr>
          <w:lang w:val="en-US"/>
        </w:rPr>
        <w:t xml:space="preserve"> = 96 S. Ct. </w:t>
      </w:r>
      <w:r w:rsidRPr="007A7F58">
        <w:rPr>
          <w:lang w:val="en-US"/>
        </w:rPr>
        <w:t>2532</w:t>
      </w:r>
      <w:r w:rsidRPr="006E67FE">
        <w:rPr>
          <w:lang w:val="en-US"/>
        </w:rPr>
        <w:t xml:space="preserve"> = 49 L. Ed. </w:t>
      </w:r>
      <w:r w:rsidRPr="007A7F58">
        <w:rPr>
          <w:lang w:val="en-US"/>
        </w:rPr>
        <w:t>2d 451 (1976) (</w:t>
      </w:r>
      <w:bookmarkStart w:id="83" w:name="_Hlk227770313"/>
      <w:r>
        <w:rPr>
          <w:lang w:val="en-US"/>
        </w:rPr>
        <w:t xml:space="preserve">Dissens von Richter </w:t>
      </w:r>
      <w:r w:rsidRPr="00B45592">
        <w:rPr>
          <w:i/>
          <w:lang w:val="en-US"/>
        </w:rPr>
        <w:t>Stevens</w:t>
      </w:r>
      <w:bookmarkEnd w:id="83"/>
      <w:r w:rsidRPr="007A7F58">
        <w:rPr>
          <w:lang w:val="en-US"/>
        </w:rPr>
        <w:t xml:space="preserve">); </w:t>
      </w:r>
      <w:r w:rsidRPr="00B45592">
        <w:rPr>
          <w:i/>
          <w:lang w:val="en-US"/>
        </w:rPr>
        <w:t>DA’s Office v. Osborne</w:t>
      </w:r>
      <w:r w:rsidRPr="007A7F58">
        <w:rPr>
          <w:lang w:val="en-US"/>
        </w:rPr>
        <w:t>, 557 U.S. 52, 93</w:t>
      </w:r>
      <w:r>
        <w:rPr>
          <w:lang w:val="en-US"/>
        </w:rPr>
        <w:t xml:space="preserve"> = 129 S. Ct</w:t>
      </w:r>
      <w:r w:rsidRPr="007A7F58">
        <w:rPr>
          <w:lang w:val="en-US"/>
        </w:rPr>
        <w:t>. 2308, 2334</w:t>
      </w:r>
      <w:r>
        <w:rPr>
          <w:lang w:val="en-US"/>
        </w:rPr>
        <w:t xml:space="preserve"> = 174 L. Ed. </w:t>
      </w:r>
      <w:r w:rsidRPr="007A7F58">
        <w:rPr>
          <w:lang w:val="en-US"/>
        </w:rPr>
        <w:t>2d 38, 67</w:t>
      </w:r>
      <w:r>
        <w:rPr>
          <w:lang w:val="en-US"/>
        </w:rPr>
        <w:t xml:space="preserve"> = 2009 U.S. LEXIS </w:t>
      </w:r>
      <w:r w:rsidRPr="007A7F58">
        <w:rPr>
          <w:lang w:val="en-US"/>
        </w:rPr>
        <w:t>4536, 71</w:t>
      </w:r>
      <w:r>
        <w:rPr>
          <w:lang w:val="en-US"/>
        </w:rPr>
        <w:t xml:space="preserve"> = 77 U.S.L.W</w:t>
      </w:r>
      <w:r w:rsidRPr="007A7F58">
        <w:rPr>
          <w:lang w:val="en-US"/>
        </w:rPr>
        <w:t>. 4498</w:t>
      </w:r>
      <w:r>
        <w:rPr>
          <w:lang w:val="en-US"/>
        </w:rPr>
        <w:t xml:space="preserve"> = 21 Fla. L. Weekly </w:t>
      </w:r>
      <w:r w:rsidRPr="007A7F58">
        <w:rPr>
          <w:lang w:val="en-US"/>
        </w:rPr>
        <w:t xml:space="preserve">Fed. </w:t>
      </w:r>
      <w:r w:rsidRPr="00FE251F">
        <w:rPr>
          <w:lang w:val="en-US"/>
        </w:rPr>
        <w:t>S 945 (2009).</w:t>
      </w:r>
    </w:p>
  </w:footnote>
  <w:footnote w:id="2081">
    <w:p w14:paraId="367B8FF0" w14:textId="77777777" w:rsidR="00074551" w:rsidRPr="00FE251F" w:rsidRDefault="00074551" w:rsidP="00074551">
      <w:pPr>
        <w:pStyle w:val="Funotentext"/>
        <w:rPr>
          <w:lang w:val="en-US"/>
        </w:rPr>
      </w:pPr>
      <w:r>
        <w:rPr>
          <w:rStyle w:val="Funotenzeichen"/>
          <w:rFonts w:eastAsiaTheme="majorEastAsia"/>
        </w:rPr>
        <w:footnoteRef/>
      </w:r>
      <w:r w:rsidRPr="00FE251F">
        <w:rPr>
          <w:lang w:val="en-US"/>
        </w:rPr>
        <w:t xml:space="preserve"> </w:t>
      </w:r>
      <w:r w:rsidRPr="00B45592">
        <w:rPr>
          <w:i/>
          <w:lang w:val="en-US"/>
        </w:rPr>
        <w:t>Wolff v. McDonnell</w:t>
      </w:r>
      <w:r w:rsidRPr="00FE251F">
        <w:rPr>
          <w:lang w:val="en-US"/>
        </w:rPr>
        <w:t>, 418 U.S. 539, 555</w:t>
      </w:r>
      <w:r>
        <w:rPr>
          <w:lang w:val="en-US"/>
        </w:rPr>
        <w:t>–</w:t>
      </w:r>
      <w:r w:rsidRPr="00FE251F">
        <w:rPr>
          <w:lang w:val="en-US"/>
        </w:rPr>
        <w:t>556</w:t>
      </w:r>
      <w:r>
        <w:rPr>
          <w:lang w:val="en-US"/>
        </w:rPr>
        <w:t xml:space="preserve"> = 94 S. Ct. </w:t>
      </w:r>
      <w:r w:rsidRPr="00FE251F">
        <w:rPr>
          <w:lang w:val="en-US"/>
        </w:rPr>
        <w:t>2963</w:t>
      </w:r>
      <w:r>
        <w:rPr>
          <w:lang w:val="en-US"/>
        </w:rPr>
        <w:t xml:space="preserve"> = 41 L. Ed. </w:t>
      </w:r>
      <w:r w:rsidRPr="00FE251F">
        <w:rPr>
          <w:lang w:val="en-US"/>
        </w:rPr>
        <w:t xml:space="preserve">2d 935 (1974); </w:t>
      </w:r>
      <w:r w:rsidRPr="00B45592">
        <w:rPr>
          <w:i/>
          <w:lang w:val="en-US"/>
        </w:rPr>
        <w:t>Shaw v. Murphy</w:t>
      </w:r>
      <w:r w:rsidRPr="00FE251F">
        <w:rPr>
          <w:lang w:val="en-US"/>
        </w:rPr>
        <w:t>, 532 U.S. 223, 228-229, 121 S. Ct. 1475, 149 L. Ed. 2d 420 (2001)</w:t>
      </w:r>
      <w:r>
        <w:rPr>
          <w:lang w:val="en-US"/>
        </w:rPr>
        <w:t xml:space="preserve">; </w:t>
      </w:r>
      <w:r w:rsidRPr="00B45592">
        <w:rPr>
          <w:i/>
          <w:lang w:val="en-US"/>
        </w:rPr>
        <w:t>DA’s Office v. Osborne</w:t>
      </w:r>
      <w:r w:rsidRPr="00FE251F">
        <w:rPr>
          <w:lang w:val="en-US"/>
        </w:rPr>
        <w:t>, 557 U.S. 52, 94</w:t>
      </w:r>
      <w:r>
        <w:rPr>
          <w:lang w:val="en-US"/>
        </w:rPr>
        <w:t xml:space="preserve"> = 129 S. Ct</w:t>
      </w:r>
      <w:r w:rsidRPr="00FE251F">
        <w:rPr>
          <w:lang w:val="en-US"/>
        </w:rPr>
        <w:t>. 2308, 2334</w:t>
      </w:r>
      <w:r>
        <w:rPr>
          <w:lang w:val="en-US"/>
        </w:rPr>
        <w:t xml:space="preserve"> = 174 L. Ed. </w:t>
      </w:r>
      <w:r w:rsidRPr="00FE251F">
        <w:rPr>
          <w:lang w:val="en-US"/>
        </w:rPr>
        <w:t>2d 38, 67</w:t>
      </w:r>
      <w:r>
        <w:rPr>
          <w:lang w:val="en-US"/>
        </w:rPr>
        <w:t xml:space="preserve"> = 2009 U.S. LEXIS </w:t>
      </w:r>
      <w:r w:rsidRPr="00FE251F">
        <w:rPr>
          <w:lang w:val="en-US"/>
        </w:rPr>
        <w:t>4536, 72</w:t>
      </w:r>
      <w:r>
        <w:rPr>
          <w:lang w:val="en-US"/>
        </w:rPr>
        <w:t xml:space="preserve"> = 77 U.S.L.W</w:t>
      </w:r>
      <w:r w:rsidRPr="00FE251F">
        <w:rPr>
          <w:lang w:val="en-US"/>
        </w:rPr>
        <w:t>. 4498</w:t>
      </w:r>
      <w:r>
        <w:rPr>
          <w:lang w:val="en-US"/>
        </w:rPr>
        <w:t xml:space="preserve"> = 21 Fla. L. Weekly </w:t>
      </w:r>
      <w:r w:rsidRPr="00FE251F">
        <w:rPr>
          <w:lang w:val="en-US"/>
        </w:rPr>
        <w:t>Fed. S 945 (2009)</w:t>
      </w:r>
      <w:r>
        <w:rPr>
          <w:lang w:val="en-US"/>
        </w:rPr>
        <w:t>.</w:t>
      </w:r>
    </w:p>
  </w:footnote>
  <w:footnote w:id="2082">
    <w:p w14:paraId="3D4DCB72" w14:textId="77777777" w:rsidR="00074551" w:rsidRPr="00096FDB" w:rsidRDefault="00074551" w:rsidP="00074551">
      <w:pPr>
        <w:pStyle w:val="Funotentext"/>
        <w:rPr>
          <w:lang w:val="en-US"/>
        </w:rPr>
      </w:pPr>
      <w:r>
        <w:rPr>
          <w:rStyle w:val="Funotenzeichen"/>
          <w:rFonts w:eastAsiaTheme="majorEastAsia"/>
        </w:rPr>
        <w:footnoteRef/>
      </w:r>
      <w:r w:rsidRPr="00FE251F">
        <w:rPr>
          <w:lang w:val="en-US"/>
        </w:rPr>
        <w:t xml:space="preserve"> </w:t>
      </w:r>
      <w:bookmarkStart w:id="84" w:name="_Hlk227830563"/>
      <w:proofErr w:type="spellStart"/>
      <w:r>
        <w:rPr>
          <w:lang w:val="en-US"/>
        </w:rPr>
        <w:t>Siehe</w:t>
      </w:r>
      <w:proofErr w:type="spellEnd"/>
      <w:r>
        <w:rPr>
          <w:lang w:val="en-US"/>
        </w:rPr>
        <w:t xml:space="preserve"> </w:t>
      </w:r>
      <w:proofErr w:type="spellStart"/>
      <w:r>
        <w:rPr>
          <w:lang w:val="en-US"/>
        </w:rPr>
        <w:t>z.B.</w:t>
      </w:r>
      <w:proofErr w:type="spellEnd"/>
      <w:r>
        <w:rPr>
          <w:lang w:val="en-US"/>
        </w:rPr>
        <w:t xml:space="preserve"> </w:t>
      </w:r>
      <w:r w:rsidRPr="00B45592">
        <w:rPr>
          <w:i/>
          <w:lang w:val="en-US"/>
        </w:rPr>
        <w:t>Thornburgh v. Abbott</w:t>
      </w:r>
      <w:r w:rsidRPr="0070446F">
        <w:rPr>
          <w:lang w:val="en-US"/>
        </w:rPr>
        <w:t>, 490 U.S. 401, 407, 109 S. Ct. 1874, 104 L. Ed. 2d 459 (1989) (</w:t>
      </w:r>
      <w:r w:rsidRPr="00B45592">
        <w:rPr>
          <w:i/>
          <w:iCs/>
          <w:lang w:val="en-US"/>
        </w:rPr>
        <w:t>right to free speech</w:t>
      </w:r>
      <w:r w:rsidRPr="0070446F">
        <w:rPr>
          <w:lang w:val="en-US"/>
        </w:rPr>
        <w:t xml:space="preserve">); </w:t>
      </w:r>
      <w:r w:rsidRPr="00B45592">
        <w:rPr>
          <w:i/>
          <w:lang w:val="en-US"/>
        </w:rPr>
        <w:t>Turner v. Safley</w:t>
      </w:r>
      <w:r w:rsidRPr="0070446F">
        <w:rPr>
          <w:lang w:val="en-US"/>
        </w:rPr>
        <w:t>, 482 U.S. 78, 84 = 107 S. Ct. 2254, 96 L. Ed. 2d 64 (1987) (</w:t>
      </w:r>
      <w:r w:rsidRPr="00B45592">
        <w:rPr>
          <w:i/>
          <w:iCs/>
          <w:lang w:val="en-US"/>
        </w:rPr>
        <w:t>right to marry</w:t>
      </w:r>
      <w:r w:rsidRPr="0070446F">
        <w:rPr>
          <w:lang w:val="en-US"/>
        </w:rPr>
        <w:t xml:space="preserve">); </w:t>
      </w:r>
      <w:r w:rsidRPr="00B45592">
        <w:rPr>
          <w:i/>
          <w:lang w:val="en-US"/>
        </w:rPr>
        <w:t>Cruz v. Beto</w:t>
      </w:r>
      <w:r w:rsidRPr="0070446F">
        <w:rPr>
          <w:lang w:val="en-US"/>
        </w:rPr>
        <w:t>, 405 U.S. 319, 322 = 92 S. Ct. 1079 = 31 L. Ed. 2d 263 (1972) (</w:t>
      </w:r>
      <w:r w:rsidRPr="00B45592">
        <w:rPr>
          <w:i/>
          <w:lang w:val="en-US"/>
        </w:rPr>
        <w:t>per curiam</w:t>
      </w:r>
      <w:r w:rsidRPr="0070446F">
        <w:rPr>
          <w:lang w:val="en-US"/>
        </w:rPr>
        <w:t>) (</w:t>
      </w:r>
      <w:r w:rsidRPr="00B45592">
        <w:rPr>
          <w:i/>
          <w:iCs/>
          <w:lang w:val="en-US"/>
        </w:rPr>
        <w:t>right to free exercise of religion</w:t>
      </w:r>
      <w:r w:rsidRPr="0070446F">
        <w:rPr>
          <w:lang w:val="en-US"/>
        </w:rPr>
        <w:t xml:space="preserve">); </w:t>
      </w:r>
      <w:r w:rsidRPr="00B45592">
        <w:rPr>
          <w:i/>
          <w:lang w:val="en-US"/>
        </w:rPr>
        <w:t>Lee v. Washington</w:t>
      </w:r>
      <w:r w:rsidRPr="0070446F">
        <w:rPr>
          <w:lang w:val="en-US"/>
        </w:rPr>
        <w:t>, 390 U.S. 333 = 88 S. Ct. 994 = 19 L. Ed. 2d 1212 (1968) (per curiam) (</w:t>
      </w:r>
      <w:r w:rsidRPr="00B45592">
        <w:rPr>
          <w:i/>
          <w:iCs/>
          <w:lang w:val="en-US"/>
        </w:rPr>
        <w:t>right to be free of racial discrimination</w:t>
      </w:r>
      <w:r w:rsidRPr="0070446F">
        <w:rPr>
          <w:lang w:val="en-US"/>
        </w:rPr>
        <w:t xml:space="preserve">); </w:t>
      </w:r>
      <w:r w:rsidRPr="00B45592">
        <w:rPr>
          <w:i/>
          <w:lang w:val="en-US"/>
        </w:rPr>
        <w:t>Johnson v. Avery</w:t>
      </w:r>
      <w:r w:rsidRPr="0070446F">
        <w:rPr>
          <w:lang w:val="en-US"/>
        </w:rPr>
        <w:t>, 393 U.S. 483 = 89 S. Ct. 747 = 21 L. Ed. 2d 718 (1969) (</w:t>
      </w:r>
      <w:r w:rsidRPr="00B45592">
        <w:rPr>
          <w:i/>
          <w:iCs/>
          <w:lang w:val="en-US"/>
        </w:rPr>
        <w:t>right to petition government for redress of grievances</w:t>
      </w:r>
      <w:r w:rsidRPr="0070446F">
        <w:rPr>
          <w:lang w:val="en-US"/>
        </w:rPr>
        <w:t>);</w:t>
      </w:r>
      <w:r>
        <w:rPr>
          <w:lang w:val="en-US"/>
        </w:rPr>
        <w:t xml:space="preserve"> </w:t>
      </w:r>
      <w:r w:rsidRPr="00B45592">
        <w:rPr>
          <w:i/>
          <w:lang w:val="en-US"/>
        </w:rPr>
        <w:t>DA’s Office v. Osborne</w:t>
      </w:r>
      <w:r w:rsidRPr="00FE251F">
        <w:rPr>
          <w:lang w:val="en-US"/>
        </w:rPr>
        <w:t>, 557 U.S. 52, 94</w:t>
      </w:r>
      <w:r>
        <w:rPr>
          <w:lang w:val="en-US"/>
        </w:rPr>
        <w:t xml:space="preserve"> = 129 S. Ct</w:t>
      </w:r>
      <w:r w:rsidRPr="00FE251F">
        <w:rPr>
          <w:lang w:val="en-US"/>
        </w:rPr>
        <w:t>. 2308, 2334</w:t>
      </w:r>
      <w:r>
        <w:rPr>
          <w:lang w:val="en-US"/>
        </w:rPr>
        <w:t>–</w:t>
      </w:r>
      <w:r w:rsidRPr="00FE251F">
        <w:rPr>
          <w:lang w:val="en-US"/>
        </w:rPr>
        <w:t>2335</w:t>
      </w:r>
      <w:r>
        <w:rPr>
          <w:lang w:val="en-US"/>
        </w:rPr>
        <w:t xml:space="preserve"> = 174 L. Ed. </w:t>
      </w:r>
      <w:r w:rsidRPr="00FE251F">
        <w:rPr>
          <w:lang w:val="en-US"/>
        </w:rPr>
        <w:t>2d 38, 67</w:t>
      </w:r>
      <w:r>
        <w:rPr>
          <w:lang w:val="en-US"/>
        </w:rPr>
        <w:t xml:space="preserve"> = 2009 U.S. LEXIS </w:t>
      </w:r>
      <w:r w:rsidRPr="00FE251F">
        <w:rPr>
          <w:lang w:val="en-US"/>
        </w:rPr>
        <w:t>4536, 72</w:t>
      </w:r>
      <w:r>
        <w:rPr>
          <w:lang w:val="en-US"/>
        </w:rPr>
        <w:t xml:space="preserve"> = 77 U.S.L.W</w:t>
      </w:r>
      <w:r w:rsidRPr="00FE251F">
        <w:rPr>
          <w:lang w:val="en-US"/>
        </w:rPr>
        <w:t>. 4498</w:t>
      </w:r>
      <w:r>
        <w:rPr>
          <w:lang w:val="en-US"/>
        </w:rPr>
        <w:t xml:space="preserve"> = 21 Fla. L. Weekly </w:t>
      </w:r>
      <w:r w:rsidRPr="00FE251F">
        <w:rPr>
          <w:lang w:val="en-US"/>
        </w:rPr>
        <w:t xml:space="preserve">Fed. </w:t>
      </w:r>
      <w:r w:rsidRPr="00096FDB">
        <w:rPr>
          <w:lang w:val="en-US"/>
        </w:rPr>
        <w:t>S 945 (2009)</w:t>
      </w:r>
      <w:bookmarkEnd w:id="84"/>
      <w:r>
        <w:rPr>
          <w:lang w:val="en-US"/>
        </w:rPr>
        <w:t>.</w:t>
      </w:r>
    </w:p>
  </w:footnote>
  <w:footnote w:id="2083">
    <w:p w14:paraId="6C82A569" w14:textId="77777777" w:rsidR="00074551" w:rsidRPr="008A706D" w:rsidRDefault="00074551" w:rsidP="00074551">
      <w:pPr>
        <w:pStyle w:val="Funotentext"/>
        <w:rPr>
          <w:lang w:val="en-US"/>
        </w:rPr>
      </w:pPr>
      <w:r>
        <w:rPr>
          <w:rStyle w:val="Funotenzeichen"/>
          <w:rFonts w:eastAsiaTheme="majorEastAsia"/>
        </w:rPr>
        <w:footnoteRef/>
      </w:r>
      <w:r w:rsidRPr="00096FDB">
        <w:rPr>
          <w:lang w:val="en-US"/>
        </w:rPr>
        <w:t xml:space="preserve"> </w:t>
      </w:r>
      <w:r w:rsidRPr="00B45592">
        <w:rPr>
          <w:i/>
          <w:lang w:val="en-US"/>
        </w:rPr>
        <w:t>Hamdi v. Rumsfeld</w:t>
      </w:r>
      <w:r w:rsidRPr="00096FDB">
        <w:rPr>
          <w:lang w:val="en-US"/>
        </w:rPr>
        <w:t>, 542 U.S. 507, 529</w:t>
      </w:r>
      <w:r>
        <w:rPr>
          <w:lang w:val="en-US"/>
        </w:rPr>
        <w:t xml:space="preserve"> =</w:t>
      </w:r>
      <w:r w:rsidRPr="00096FDB">
        <w:rPr>
          <w:lang w:val="en-US"/>
        </w:rPr>
        <w:t xml:space="preserve"> 124 S. Ct. 2633</w:t>
      </w:r>
      <w:r>
        <w:rPr>
          <w:lang w:val="en-US"/>
        </w:rPr>
        <w:t xml:space="preserve"> =</w:t>
      </w:r>
      <w:r w:rsidRPr="00096FDB">
        <w:rPr>
          <w:lang w:val="en-US"/>
        </w:rPr>
        <w:t xml:space="preserve"> 159 L. Ed. 2d 578 (2004) </w:t>
      </w:r>
      <w:bookmarkStart w:id="85" w:name="_Hlk227830600"/>
      <w:r w:rsidRPr="00096FDB">
        <w:rPr>
          <w:lang w:val="en-US"/>
        </w:rPr>
        <w:t>(</w:t>
      </w:r>
      <w:bookmarkStart w:id="86" w:name="_Hlk229224920"/>
      <w:bookmarkStart w:id="87" w:name="_Hlk227770342"/>
      <w:proofErr w:type="spellStart"/>
      <w:r w:rsidRPr="00B45592">
        <w:rPr>
          <w:lang w:val="en-US"/>
        </w:rPr>
        <w:t>Pluralitätsmeinung</w:t>
      </w:r>
      <w:bookmarkEnd w:id="86"/>
      <w:bookmarkEnd w:id="87"/>
      <w:proofErr w:type="spellEnd"/>
      <w:r w:rsidRPr="00AB01D2">
        <w:rPr>
          <w:lang w:val="en-US"/>
        </w:rPr>
        <w:t>)</w:t>
      </w:r>
      <w:r w:rsidRPr="00096FDB">
        <w:rPr>
          <w:lang w:val="en-US"/>
        </w:rPr>
        <w:t xml:space="preserve"> </w:t>
      </w:r>
      <w:bookmarkEnd w:id="85"/>
      <w:r w:rsidRPr="00096FDB">
        <w:rPr>
          <w:lang w:val="en-US"/>
        </w:rPr>
        <w:t xml:space="preserve">– </w:t>
      </w:r>
      <w:proofErr w:type="spellStart"/>
      <w:r w:rsidRPr="00096FDB">
        <w:rPr>
          <w:lang w:val="en-US"/>
        </w:rPr>
        <w:t>Streben</w:t>
      </w:r>
      <w:proofErr w:type="spellEnd"/>
      <w:r w:rsidRPr="00096FDB">
        <w:rPr>
          <w:lang w:val="en-US"/>
        </w:rPr>
        <w:t xml:space="preserve"> </w:t>
      </w:r>
      <w:proofErr w:type="spellStart"/>
      <w:r w:rsidRPr="00096FDB">
        <w:rPr>
          <w:lang w:val="en-US"/>
        </w:rPr>
        <w:t>nach</w:t>
      </w:r>
      <w:proofErr w:type="spellEnd"/>
      <w:r w:rsidRPr="00096FDB">
        <w:rPr>
          <w:lang w:val="en-US"/>
        </w:rPr>
        <w:t xml:space="preserve"> Glück </w:t>
      </w:r>
      <w:proofErr w:type="spellStart"/>
      <w:r w:rsidRPr="00096FDB">
        <w:rPr>
          <w:lang w:val="en-US"/>
        </w:rPr>
        <w:t>im</w:t>
      </w:r>
      <w:proofErr w:type="spellEnd"/>
      <w:r w:rsidRPr="00096FDB">
        <w:rPr>
          <w:lang w:val="en-US"/>
        </w:rPr>
        <w:t xml:space="preserve"> Dissens; </w:t>
      </w:r>
      <w:r w:rsidRPr="00B45592">
        <w:rPr>
          <w:i/>
          <w:lang w:val="en-US"/>
        </w:rPr>
        <w:t>DA’s Office v. Osborne</w:t>
      </w:r>
      <w:r w:rsidRPr="00096FDB">
        <w:rPr>
          <w:lang w:val="en-US"/>
        </w:rPr>
        <w:t>, 557 U.S. 52, 93</w:t>
      </w:r>
      <w:r>
        <w:rPr>
          <w:lang w:val="en-US"/>
        </w:rPr>
        <w:t xml:space="preserve"> = 129 S. Ct</w:t>
      </w:r>
      <w:r w:rsidRPr="00096FDB">
        <w:rPr>
          <w:lang w:val="en-US"/>
        </w:rPr>
        <w:t>. 2308, 2334</w:t>
      </w:r>
      <w:r>
        <w:rPr>
          <w:lang w:val="en-US"/>
        </w:rPr>
        <w:t xml:space="preserve"> = 174 L. Ed. </w:t>
      </w:r>
      <w:r w:rsidRPr="00096FDB">
        <w:rPr>
          <w:lang w:val="en-US"/>
        </w:rPr>
        <w:t>2d 38, 67</w:t>
      </w:r>
      <w:r>
        <w:rPr>
          <w:lang w:val="en-US"/>
        </w:rPr>
        <w:t xml:space="preserve"> = 2009 U.S. LEXIS </w:t>
      </w:r>
      <w:r w:rsidRPr="00096FDB">
        <w:rPr>
          <w:lang w:val="en-US"/>
        </w:rPr>
        <w:t>4536, 71</w:t>
      </w:r>
      <w:r>
        <w:rPr>
          <w:lang w:val="en-US"/>
        </w:rPr>
        <w:t xml:space="preserve"> = 77 U.S.L.W</w:t>
      </w:r>
      <w:r w:rsidRPr="00096FDB">
        <w:rPr>
          <w:lang w:val="en-US"/>
        </w:rPr>
        <w:t>. 4498</w:t>
      </w:r>
      <w:r>
        <w:rPr>
          <w:lang w:val="en-US"/>
        </w:rPr>
        <w:t xml:space="preserve"> = 21 Fla. L. Weekly </w:t>
      </w:r>
      <w:r w:rsidRPr="00096FDB">
        <w:rPr>
          <w:lang w:val="en-US"/>
        </w:rPr>
        <w:t xml:space="preserve">Fed. </w:t>
      </w:r>
      <w:r w:rsidRPr="008A706D">
        <w:rPr>
          <w:lang w:val="en-US"/>
        </w:rPr>
        <w:t>S 945 (2009)</w:t>
      </w:r>
      <w:r>
        <w:rPr>
          <w:lang w:val="en-US"/>
        </w:rPr>
        <w:t>.</w:t>
      </w:r>
    </w:p>
  </w:footnote>
  <w:footnote w:id="2084">
    <w:p w14:paraId="6B10948B" w14:textId="35F50B1B" w:rsidR="00074551" w:rsidRPr="00202216" w:rsidRDefault="00074551" w:rsidP="00074551">
      <w:pPr>
        <w:pStyle w:val="Funotentext"/>
        <w:rPr>
          <w:lang w:val="en-US"/>
        </w:rPr>
      </w:pPr>
      <w:r>
        <w:rPr>
          <w:rStyle w:val="Funotenzeichen"/>
        </w:rPr>
        <w:footnoteRef/>
      </w:r>
      <w:r w:rsidRPr="00202216">
        <w:rPr>
          <w:lang w:val="en-US"/>
        </w:rPr>
        <w:t xml:space="preserve"> </w:t>
      </w:r>
      <w:r w:rsidR="00C01996" w:rsidRPr="00B45592">
        <w:rPr>
          <w:i/>
          <w:lang w:val="en-US"/>
        </w:rPr>
        <w:t xml:space="preserve">Lassiter v. </w:t>
      </w:r>
      <w:proofErr w:type="spellStart"/>
      <w:r w:rsidR="00C01996" w:rsidRPr="00B45592">
        <w:rPr>
          <w:i/>
          <w:lang w:val="en-US"/>
        </w:rPr>
        <w:t>Dep’t</w:t>
      </w:r>
      <w:proofErr w:type="spellEnd"/>
      <w:r w:rsidR="00C01996" w:rsidRPr="00B45592">
        <w:rPr>
          <w:i/>
          <w:lang w:val="en-US"/>
        </w:rPr>
        <w:t xml:space="preserve"> of Social Services</w:t>
      </w:r>
      <w:r w:rsidR="00C01996" w:rsidRPr="008A706D">
        <w:rPr>
          <w:lang w:val="en-US"/>
        </w:rPr>
        <w:t>, 452 U.S. 18</w:t>
      </w:r>
      <w:r w:rsidR="00C01996">
        <w:rPr>
          <w:lang w:val="en-US"/>
        </w:rPr>
        <w:t xml:space="preserve"> = 101 S. Ct. </w:t>
      </w:r>
      <w:r w:rsidR="00C01996" w:rsidRPr="008A706D">
        <w:rPr>
          <w:lang w:val="en-US"/>
        </w:rPr>
        <w:t>2153</w:t>
      </w:r>
      <w:r w:rsidR="00C01996">
        <w:rPr>
          <w:lang w:val="en-US"/>
        </w:rPr>
        <w:t xml:space="preserve"> = 68 L. Ed</w:t>
      </w:r>
      <w:r w:rsidR="00C01996" w:rsidRPr="008A706D">
        <w:rPr>
          <w:lang w:val="en-US"/>
        </w:rPr>
        <w:t>. 2d 640</w:t>
      </w:r>
      <w:r w:rsidR="00C01996">
        <w:rPr>
          <w:lang w:val="en-US"/>
        </w:rPr>
        <w:t xml:space="preserve"> = 1981 U.S. LEXIS </w:t>
      </w:r>
      <w:r w:rsidR="00C01996" w:rsidRPr="008A706D">
        <w:rPr>
          <w:lang w:val="en-US"/>
        </w:rPr>
        <w:t>107</w:t>
      </w:r>
      <w:r w:rsidR="00C01996">
        <w:rPr>
          <w:lang w:val="en-US"/>
        </w:rPr>
        <w:t xml:space="preserve"> = 49 U.S.L.W. </w:t>
      </w:r>
      <w:r w:rsidR="00C01996" w:rsidRPr="008A706D">
        <w:rPr>
          <w:lang w:val="en-US"/>
        </w:rPr>
        <w:t>4586 (1981)</w:t>
      </w:r>
      <w:r w:rsidR="00C01996">
        <w:rPr>
          <w:lang w:val="en-US"/>
        </w:rPr>
        <w:t>.</w:t>
      </w:r>
    </w:p>
  </w:footnote>
  <w:footnote w:id="2085">
    <w:p w14:paraId="761F8BCF" w14:textId="77777777" w:rsidR="00074551" w:rsidRPr="008A706D" w:rsidRDefault="00074551" w:rsidP="00074551">
      <w:pPr>
        <w:pStyle w:val="Funotentext"/>
        <w:rPr>
          <w:lang w:val="en-US"/>
        </w:rPr>
      </w:pPr>
      <w:r>
        <w:rPr>
          <w:rStyle w:val="Funotenzeichen"/>
          <w:rFonts w:eastAsiaTheme="majorEastAsia"/>
        </w:rPr>
        <w:footnoteRef/>
      </w:r>
      <w:r w:rsidRPr="008A706D">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8A706D">
        <w:rPr>
          <w:lang w:val="en-US"/>
        </w:rPr>
        <w:t>, 452 U.S. 18</w:t>
      </w:r>
      <w:r>
        <w:rPr>
          <w:lang w:val="en-US"/>
        </w:rPr>
        <w:t xml:space="preserve"> = 101 S. Ct. </w:t>
      </w:r>
      <w:r w:rsidRPr="008A706D">
        <w:rPr>
          <w:lang w:val="en-US"/>
        </w:rPr>
        <w:t>2153</w:t>
      </w:r>
      <w:r>
        <w:rPr>
          <w:lang w:val="en-US"/>
        </w:rPr>
        <w:t xml:space="preserve"> = 68 L. Ed</w:t>
      </w:r>
      <w:r w:rsidRPr="008A706D">
        <w:rPr>
          <w:lang w:val="en-US"/>
        </w:rPr>
        <w:t>. 2d 640</w:t>
      </w:r>
      <w:r>
        <w:rPr>
          <w:lang w:val="en-US"/>
        </w:rPr>
        <w:t xml:space="preserve"> = 1981 U.S. LEXIS </w:t>
      </w:r>
      <w:r w:rsidRPr="008A706D">
        <w:rPr>
          <w:lang w:val="en-US"/>
        </w:rPr>
        <w:t>107</w:t>
      </w:r>
      <w:r>
        <w:rPr>
          <w:lang w:val="en-US"/>
        </w:rPr>
        <w:t xml:space="preserve"> = 49 U.S.L.W. </w:t>
      </w:r>
      <w:r w:rsidRPr="008A706D">
        <w:rPr>
          <w:lang w:val="en-US"/>
        </w:rPr>
        <w:t>4586 (1981)</w:t>
      </w:r>
      <w:r>
        <w:rPr>
          <w:lang w:val="en-US"/>
        </w:rPr>
        <w:t>.</w:t>
      </w:r>
    </w:p>
  </w:footnote>
  <w:footnote w:id="2086">
    <w:p w14:paraId="33437305" w14:textId="77777777" w:rsidR="00074551" w:rsidRPr="008A706D" w:rsidRDefault="00074551" w:rsidP="00074551">
      <w:pPr>
        <w:pStyle w:val="Funotentext"/>
        <w:rPr>
          <w:lang w:val="en-US"/>
        </w:rPr>
      </w:pPr>
      <w:r>
        <w:rPr>
          <w:rStyle w:val="Funotenzeichen"/>
          <w:rFonts w:eastAsiaTheme="majorEastAsia"/>
        </w:rPr>
        <w:footnoteRef/>
      </w:r>
      <w:r w:rsidRPr="008A706D">
        <w:rPr>
          <w:lang w:val="en-US"/>
        </w:rPr>
        <w:t xml:space="preserve"> </w:t>
      </w:r>
      <w:r w:rsidRPr="00B45592">
        <w:rPr>
          <w:i/>
          <w:lang w:val="en-US"/>
        </w:rPr>
        <w:t>Cafeteria Workers v. McElroy</w:t>
      </w:r>
      <w:r w:rsidRPr="008A706D">
        <w:rPr>
          <w:lang w:val="en-US"/>
        </w:rPr>
        <w:t>, 367 U.S. 886, 895</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8A706D">
        <w:rPr>
          <w:lang w:val="en-US"/>
        </w:rPr>
        <w:t>, 452 U.S. 18, 24</w:t>
      </w:r>
      <w:r>
        <w:rPr>
          <w:lang w:val="en-US"/>
        </w:rPr>
        <w:t xml:space="preserve"> = 101 S. Ct. </w:t>
      </w:r>
      <w:r w:rsidRPr="008A706D">
        <w:rPr>
          <w:lang w:val="en-US"/>
        </w:rPr>
        <w:t>2153, 2158</w:t>
      </w:r>
      <w:r>
        <w:rPr>
          <w:lang w:val="en-US"/>
        </w:rPr>
        <w:t xml:space="preserve"> = 68 L. Ed</w:t>
      </w:r>
      <w:r w:rsidRPr="008A706D">
        <w:rPr>
          <w:lang w:val="en-US"/>
        </w:rPr>
        <w:t>. 2d 640, 648</w:t>
      </w:r>
      <w:r>
        <w:rPr>
          <w:lang w:val="en-US"/>
        </w:rPr>
        <w:t xml:space="preserve"> = 1981 U.S. LEXIS </w:t>
      </w:r>
      <w:r w:rsidRPr="008A706D">
        <w:rPr>
          <w:lang w:val="en-US"/>
        </w:rPr>
        <w:t>107, 13</w:t>
      </w:r>
      <w:r>
        <w:rPr>
          <w:lang w:val="en-US"/>
        </w:rPr>
        <w:t xml:space="preserve"> = 49 U.S.L.W. </w:t>
      </w:r>
      <w:r w:rsidRPr="008A706D">
        <w:rPr>
          <w:lang w:val="en-US"/>
        </w:rPr>
        <w:t>4586 (1981)</w:t>
      </w:r>
      <w:r>
        <w:rPr>
          <w:lang w:val="en-US"/>
        </w:rPr>
        <w:t>.</w:t>
      </w:r>
    </w:p>
  </w:footnote>
  <w:footnote w:id="2087">
    <w:p w14:paraId="3DA0532B" w14:textId="77777777" w:rsidR="00074551" w:rsidRPr="008A706D" w:rsidRDefault="00074551" w:rsidP="00074551">
      <w:pPr>
        <w:pStyle w:val="Funotentext"/>
        <w:rPr>
          <w:lang w:val="en-US"/>
        </w:rPr>
      </w:pPr>
      <w:r>
        <w:rPr>
          <w:rStyle w:val="Funotenzeichen"/>
          <w:rFonts w:eastAsiaTheme="majorEastAsia"/>
        </w:rPr>
        <w:footnoteRef/>
      </w:r>
      <w:r w:rsidRPr="008A706D">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8A706D">
        <w:rPr>
          <w:lang w:val="en-US"/>
        </w:rPr>
        <w:t>, 452 U.S. 18</w:t>
      </w:r>
      <w:r>
        <w:rPr>
          <w:lang w:val="en-US"/>
        </w:rPr>
        <w:t xml:space="preserve"> = 101 S. Ct. </w:t>
      </w:r>
      <w:r w:rsidRPr="008A706D">
        <w:rPr>
          <w:lang w:val="en-US"/>
        </w:rPr>
        <w:t>2153</w:t>
      </w:r>
      <w:r>
        <w:rPr>
          <w:lang w:val="en-US"/>
        </w:rPr>
        <w:t xml:space="preserve"> = 68 L. Ed</w:t>
      </w:r>
      <w:r w:rsidRPr="008A706D">
        <w:rPr>
          <w:lang w:val="en-US"/>
        </w:rPr>
        <w:t>. 2d 640</w:t>
      </w:r>
      <w:r>
        <w:rPr>
          <w:lang w:val="en-US"/>
        </w:rPr>
        <w:t xml:space="preserve"> = 1981 U.S. LEXIS </w:t>
      </w:r>
      <w:r w:rsidRPr="008A706D">
        <w:rPr>
          <w:lang w:val="en-US"/>
        </w:rPr>
        <w:t>107</w:t>
      </w:r>
      <w:r>
        <w:rPr>
          <w:lang w:val="en-US"/>
        </w:rPr>
        <w:t xml:space="preserve"> = 49 U.S.L.W. </w:t>
      </w:r>
      <w:r w:rsidRPr="008A706D">
        <w:rPr>
          <w:lang w:val="en-US"/>
        </w:rPr>
        <w:t>4586 (1981)</w:t>
      </w:r>
      <w:r>
        <w:rPr>
          <w:lang w:val="en-US"/>
        </w:rPr>
        <w:t>.</w:t>
      </w:r>
    </w:p>
  </w:footnote>
  <w:footnote w:id="2088">
    <w:p w14:paraId="4AA375FB" w14:textId="77777777" w:rsidR="00074551" w:rsidRPr="00223BCB" w:rsidRDefault="00074551" w:rsidP="00074551">
      <w:pPr>
        <w:pStyle w:val="Funotentext"/>
        <w:rPr>
          <w:lang w:val="en-US"/>
        </w:rPr>
      </w:pPr>
      <w:r>
        <w:rPr>
          <w:rStyle w:val="Funotenzeichen"/>
          <w:rFonts w:eastAsiaTheme="majorEastAsia"/>
        </w:rPr>
        <w:footnoteRef/>
      </w:r>
      <w:r w:rsidRPr="00223BCB">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23BCB">
        <w:rPr>
          <w:lang w:val="en-US"/>
        </w:rPr>
        <w:t>, 452 U.S. 18, 25</w:t>
      </w:r>
      <w:r>
        <w:rPr>
          <w:lang w:val="en-US"/>
        </w:rPr>
        <w:t xml:space="preserve"> = 101 S. Ct. </w:t>
      </w:r>
      <w:r w:rsidRPr="00223BCB">
        <w:rPr>
          <w:lang w:val="en-US"/>
        </w:rPr>
        <w:t>2153, 2158</w:t>
      </w:r>
      <w:r>
        <w:rPr>
          <w:lang w:val="en-US"/>
        </w:rPr>
        <w:t xml:space="preserve"> = 68 L. Ed</w:t>
      </w:r>
      <w:r w:rsidRPr="00223BCB">
        <w:rPr>
          <w:lang w:val="en-US"/>
        </w:rPr>
        <w:t>. 2d 640, 648</w:t>
      </w:r>
      <w:r>
        <w:rPr>
          <w:lang w:val="en-US"/>
        </w:rPr>
        <w:t xml:space="preserve"> = 1981 U.S. LEXIS </w:t>
      </w:r>
      <w:r w:rsidRPr="00223BCB">
        <w:rPr>
          <w:lang w:val="en-US"/>
        </w:rPr>
        <w:t>107, 13</w:t>
      </w:r>
      <w:r>
        <w:rPr>
          <w:lang w:val="en-US"/>
        </w:rPr>
        <w:t xml:space="preserve"> = 49 U.S.L.W. </w:t>
      </w:r>
      <w:r w:rsidRPr="00223BCB">
        <w:rPr>
          <w:lang w:val="en-US"/>
        </w:rPr>
        <w:t>4586 (1981)</w:t>
      </w:r>
      <w:r>
        <w:rPr>
          <w:lang w:val="en-US"/>
        </w:rPr>
        <w:t>.</w:t>
      </w:r>
    </w:p>
  </w:footnote>
  <w:footnote w:id="2089">
    <w:p w14:paraId="7BF20475" w14:textId="77777777" w:rsidR="00074551" w:rsidRPr="00223BCB" w:rsidRDefault="00074551" w:rsidP="00074551">
      <w:pPr>
        <w:pStyle w:val="Funotentext"/>
        <w:rPr>
          <w:lang w:val="en-US"/>
        </w:rPr>
      </w:pPr>
      <w:r>
        <w:rPr>
          <w:rStyle w:val="Funotenzeichen"/>
          <w:rFonts w:eastAsiaTheme="majorEastAsia"/>
        </w:rPr>
        <w:footnoteRef/>
      </w:r>
      <w:r w:rsidRPr="00223BCB">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23BCB">
        <w:rPr>
          <w:lang w:val="en-US"/>
        </w:rPr>
        <w:t>, 452 U.S. 18</w:t>
      </w:r>
      <w:r>
        <w:rPr>
          <w:lang w:val="en-US"/>
        </w:rPr>
        <w:t xml:space="preserve"> = 101 S. Ct. </w:t>
      </w:r>
      <w:r w:rsidRPr="00223BCB">
        <w:rPr>
          <w:lang w:val="en-US"/>
        </w:rPr>
        <w:t>2153</w:t>
      </w:r>
      <w:r>
        <w:rPr>
          <w:lang w:val="en-US"/>
        </w:rPr>
        <w:t xml:space="preserve"> = 68 L. Ed</w:t>
      </w:r>
      <w:r w:rsidRPr="00223BCB">
        <w:rPr>
          <w:lang w:val="en-US"/>
        </w:rPr>
        <w:t>. 2d 640</w:t>
      </w:r>
      <w:r>
        <w:rPr>
          <w:lang w:val="en-US"/>
        </w:rPr>
        <w:t xml:space="preserve"> = 1981 U.S. LEXIS </w:t>
      </w:r>
      <w:r w:rsidRPr="00223BCB">
        <w:rPr>
          <w:lang w:val="en-US"/>
        </w:rPr>
        <w:t>107</w:t>
      </w:r>
      <w:r>
        <w:rPr>
          <w:lang w:val="en-US"/>
        </w:rPr>
        <w:t xml:space="preserve"> = 49 U.S.L.W. </w:t>
      </w:r>
      <w:r w:rsidRPr="00223BCB">
        <w:rPr>
          <w:lang w:val="en-US"/>
        </w:rPr>
        <w:t>4586 (1981)</w:t>
      </w:r>
      <w:r>
        <w:rPr>
          <w:lang w:val="en-US"/>
        </w:rPr>
        <w:t>.</w:t>
      </w:r>
    </w:p>
  </w:footnote>
  <w:footnote w:id="2090">
    <w:p w14:paraId="0EA1FA63" w14:textId="77777777" w:rsidR="00074551" w:rsidRPr="00223BCB" w:rsidRDefault="00074551" w:rsidP="00074551">
      <w:pPr>
        <w:pStyle w:val="Funotentext"/>
        <w:rPr>
          <w:lang w:val="en-US"/>
        </w:rPr>
      </w:pPr>
      <w:r>
        <w:rPr>
          <w:rStyle w:val="Funotenzeichen"/>
          <w:rFonts w:eastAsiaTheme="majorEastAsia"/>
        </w:rPr>
        <w:footnoteRef/>
      </w:r>
      <w:r w:rsidRPr="00223BCB">
        <w:rPr>
          <w:lang w:val="en-US"/>
        </w:rPr>
        <w:t xml:space="preserve"> </w:t>
      </w:r>
      <w:r w:rsidRPr="00B45592">
        <w:rPr>
          <w:i/>
          <w:lang w:val="en-US"/>
        </w:rPr>
        <w:t>May v. Anderson</w:t>
      </w:r>
      <w:r w:rsidRPr="00223BCB">
        <w:rPr>
          <w:lang w:val="en-US"/>
        </w:rPr>
        <w:t>, 345 U.S. 528, 533 (1953)</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23BCB">
        <w:rPr>
          <w:lang w:val="en-US"/>
        </w:rPr>
        <w:t>, 452 U.S. 18, 38</w:t>
      </w:r>
      <w:r>
        <w:rPr>
          <w:lang w:val="en-US"/>
        </w:rPr>
        <w:t xml:space="preserve"> = 101 S. Ct. </w:t>
      </w:r>
      <w:r w:rsidRPr="00223BCB">
        <w:rPr>
          <w:lang w:val="en-US"/>
        </w:rPr>
        <w:t>2153, 2165</w:t>
      </w:r>
      <w:r>
        <w:rPr>
          <w:lang w:val="en-US"/>
        </w:rPr>
        <w:t xml:space="preserve"> = 68 L. Ed</w:t>
      </w:r>
      <w:r w:rsidRPr="00223BCB">
        <w:rPr>
          <w:lang w:val="en-US"/>
        </w:rPr>
        <w:t>. 2d 640, 657</w:t>
      </w:r>
      <w:r>
        <w:rPr>
          <w:lang w:val="en-US"/>
        </w:rPr>
        <w:t xml:space="preserve"> = 1981 U.S. LEXIS </w:t>
      </w:r>
      <w:r w:rsidRPr="00223BCB">
        <w:rPr>
          <w:lang w:val="en-US"/>
        </w:rPr>
        <w:t>107, 38</w:t>
      </w:r>
      <w:r>
        <w:rPr>
          <w:lang w:val="en-US"/>
        </w:rPr>
        <w:t xml:space="preserve"> = 49 U.S.L.W. </w:t>
      </w:r>
      <w:r w:rsidRPr="00223BCB">
        <w:rPr>
          <w:lang w:val="en-US"/>
        </w:rPr>
        <w:t>4586 (1981)</w:t>
      </w:r>
      <w:r>
        <w:rPr>
          <w:lang w:val="en-US"/>
        </w:rPr>
        <w:t>.</w:t>
      </w:r>
    </w:p>
  </w:footnote>
  <w:footnote w:id="2091">
    <w:p w14:paraId="770F616F" w14:textId="77777777" w:rsidR="00074551" w:rsidRPr="00096FDB" w:rsidRDefault="00074551" w:rsidP="00074551">
      <w:pPr>
        <w:pStyle w:val="Funotentext"/>
        <w:rPr>
          <w:lang w:val="en-US"/>
        </w:rPr>
      </w:pPr>
      <w:r>
        <w:rPr>
          <w:rStyle w:val="Funotenzeichen"/>
          <w:rFonts w:eastAsiaTheme="majorEastAsia"/>
        </w:rPr>
        <w:footnoteRef/>
      </w:r>
      <w:r w:rsidRPr="00096FDB">
        <w:rPr>
          <w:lang w:val="en-US"/>
        </w:rPr>
        <w:t xml:space="preserve"> </w:t>
      </w:r>
      <w:r w:rsidRPr="00B45592">
        <w:rPr>
          <w:i/>
          <w:lang w:val="en-US"/>
        </w:rPr>
        <w:t>Stanley v. Illinois</w:t>
      </w:r>
      <w:r w:rsidRPr="00096FDB">
        <w:rPr>
          <w:lang w:val="en-US"/>
        </w:rPr>
        <w:t>, 405 U.S. 645, 651 (1972)</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096FDB">
        <w:rPr>
          <w:lang w:val="en-US"/>
        </w:rPr>
        <w:t>, 452 U.S. 18, 38</w:t>
      </w:r>
      <w:r>
        <w:rPr>
          <w:lang w:val="en-US"/>
        </w:rPr>
        <w:t xml:space="preserve"> = 101 S. Ct. </w:t>
      </w:r>
      <w:r w:rsidRPr="00096FDB">
        <w:rPr>
          <w:lang w:val="en-US"/>
        </w:rPr>
        <w:t>2153, 2165</w:t>
      </w:r>
      <w:r>
        <w:rPr>
          <w:lang w:val="en-US"/>
        </w:rPr>
        <w:t xml:space="preserve"> = 68 L. Ed</w:t>
      </w:r>
      <w:r w:rsidRPr="00096FDB">
        <w:rPr>
          <w:lang w:val="en-US"/>
        </w:rPr>
        <w:t>. 2d 640, 656</w:t>
      </w:r>
      <w:r>
        <w:rPr>
          <w:lang w:val="en-US"/>
        </w:rPr>
        <w:t xml:space="preserve"> = 1981 U.S. LEXIS </w:t>
      </w:r>
      <w:r w:rsidRPr="00096FDB">
        <w:rPr>
          <w:lang w:val="en-US"/>
        </w:rPr>
        <w:t>107, 37</w:t>
      </w:r>
      <w:r>
        <w:rPr>
          <w:lang w:val="en-US"/>
        </w:rPr>
        <w:t xml:space="preserve"> = 49 U.S.L.W. </w:t>
      </w:r>
      <w:r w:rsidRPr="00096FDB">
        <w:rPr>
          <w:lang w:val="en-US"/>
        </w:rPr>
        <w:t>4586 (1981)</w:t>
      </w:r>
      <w:r>
        <w:rPr>
          <w:lang w:val="en-US"/>
        </w:rPr>
        <w:t>.</w:t>
      </w:r>
    </w:p>
  </w:footnote>
  <w:footnote w:id="2092">
    <w:p w14:paraId="2419C561" w14:textId="77777777" w:rsidR="00074551" w:rsidRPr="00223BCB" w:rsidRDefault="00074551" w:rsidP="00074551">
      <w:pPr>
        <w:pStyle w:val="Funotentext"/>
        <w:rPr>
          <w:lang w:val="en-US"/>
        </w:rPr>
      </w:pPr>
      <w:r>
        <w:rPr>
          <w:rStyle w:val="Funotenzeichen"/>
          <w:rFonts w:eastAsiaTheme="majorEastAsia"/>
        </w:rPr>
        <w:footnoteRef/>
      </w:r>
      <w:r w:rsidRPr="00223BCB">
        <w:rPr>
          <w:lang w:val="en-US"/>
        </w:rPr>
        <w:t xml:space="preserve"> </w:t>
      </w:r>
      <w:r w:rsidRPr="00B45592">
        <w:rPr>
          <w:i/>
          <w:lang w:val="en-US"/>
        </w:rPr>
        <w:t>May v. Anderson</w:t>
      </w:r>
      <w:r w:rsidRPr="00223BCB">
        <w:rPr>
          <w:lang w:val="en-US"/>
        </w:rPr>
        <w:t>, 345 U.S. 528, 533 (1953)</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23BCB">
        <w:rPr>
          <w:lang w:val="en-US"/>
        </w:rPr>
        <w:t>, 452 U.S. 18, 38</w:t>
      </w:r>
      <w:r>
        <w:rPr>
          <w:lang w:val="en-US"/>
        </w:rPr>
        <w:t xml:space="preserve"> = 101 S. Ct. </w:t>
      </w:r>
      <w:r w:rsidRPr="00223BCB">
        <w:rPr>
          <w:lang w:val="en-US"/>
        </w:rPr>
        <w:t>2153, 2165</w:t>
      </w:r>
      <w:r>
        <w:rPr>
          <w:lang w:val="en-US"/>
        </w:rPr>
        <w:t xml:space="preserve"> = 68 L. Ed</w:t>
      </w:r>
      <w:r w:rsidRPr="00223BCB">
        <w:rPr>
          <w:lang w:val="en-US"/>
        </w:rPr>
        <w:t>. 2d 640, 657</w:t>
      </w:r>
      <w:r>
        <w:rPr>
          <w:lang w:val="en-US"/>
        </w:rPr>
        <w:t xml:space="preserve"> = 1981 U.S. LEXIS </w:t>
      </w:r>
      <w:r w:rsidRPr="00223BCB">
        <w:rPr>
          <w:lang w:val="en-US"/>
        </w:rPr>
        <w:t>107, 38</w:t>
      </w:r>
      <w:r>
        <w:rPr>
          <w:lang w:val="en-US"/>
        </w:rPr>
        <w:t xml:space="preserve"> = 49 U.S.L.W. </w:t>
      </w:r>
      <w:r w:rsidRPr="00223BCB">
        <w:rPr>
          <w:lang w:val="en-US"/>
        </w:rPr>
        <w:t>4586 (1981)</w:t>
      </w:r>
      <w:r>
        <w:rPr>
          <w:lang w:val="en-US"/>
        </w:rPr>
        <w:t>.</w:t>
      </w:r>
    </w:p>
  </w:footnote>
  <w:footnote w:id="2093">
    <w:p w14:paraId="0BB5DCDA" w14:textId="77777777" w:rsidR="00074551" w:rsidRPr="00096FDB" w:rsidRDefault="00074551" w:rsidP="00074551">
      <w:pPr>
        <w:pStyle w:val="Funotentext"/>
        <w:rPr>
          <w:lang w:val="en-US"/>
        </w:rPr>
      </w:pPr>
      <w:r>
        <w:rPr>
          <w:rStyle w:val="Funotenzeichen"/>
          <w:rFonts w:eastAsiaTheme="majorEastAsia"/>
        </w:rPr>
        <w:footnoteRef/>
      </w:r>
      <w:r w:rsidRPr="00096FDB">
        <w:rPr>
          <w:lang w:val="en-US"/>
        </w:rPr>
        <w:t xml:space="preserve"> </w:t>
      </w:r>
      <w:r w:rsidRPr="00B45592">
        <w:rPr>
          <w:i/>
          <w:lang w:val="en-US"/>
        </w:rPr>
        <w:t>May v. Anderson</w:t>
      </w:r>
      <w:r w:rsidRPr="00096FDB">
        <w:rPr>
          <w:lang w:val="en-US"/>
        </w:rPr>
        <w:t>, 345 U.S. 528, 533 (1953</w:t>
      </w:r>
      <w:r w:rsidRPr="00223BCB">
        <w:rPr>
          <w:lang w:val="en-US"/>
        </w:rPr>
        <w:t>)</w:t>
      </w:r>
      <w:r>
        <w:rPr>
          <w:lang w:val="en-US"/>
        </w:rPr>
        <w:t xml:space="preserve">; </w:t>
      </w:r>
      <w:r w:rsidRPr="00BC3B27">
        <w:rPr>
          <w:i/>
          <w:lang w:val="en-US"/>
        </w:rPr>
        <w:t xml:space="preserve">Lassiter v. </w:t>
      </w:r>
      <w:proofErr w:type="spellStart"/>
      <w:r w:rsidRPr="00BC3B27">
        <w:rPr>
          <w:i/>
          <w:lang w:val="en-US"/>
        </w:rPr>
        <w:t>Dep’t</w:t>
      </w:r>
      <w:proofErr w:type="spellEnd"/>
      <w:r w:rsidRPr="00BC3B27">
        <w:rPr>
          <w:i/>
          <w:lang w:val="en-US"/>
        </w:rPr>
        <w:t xml:space="preserve"> of Social Services</w:t>
      </w:r>
      <w:r w:rsidRPr="00223BCB">
        <w:rPr>
          <w:lang w:val="en-US"/>
        </w:rPr>
        <w:t>, 452 U.S. 18, 38</w:t>
      </w:r>
      <w:r>
        <w:rPr>
          <w:lang w:val="en-US"/>
        </w:rPr>
        <w:t xml:space="preserve"> = 101 S. Ct. </w:t>
      </w:r>
      <w:r w:rsidRPr="00223BCB">
        <w:rPr>
          <w:lang w:val="en-US"/>
        </w:rPr>
        <w:t>2153, 2165</w:t>
      </w:r>
      <w:r>
        <w:rPr>
          <w:lang w:val="en-US"/>
        </w:rPr>
        <w:t xml:space="preserve"> = 68 L. Ed</w:t>
      </w:r>
      <w:r w:rsidRPr="00223BCB">
        <w:rPr>
          <w:lang w:val="en-US"/>
        </w:rPr>
        <w:t>. 2d 640, 657</w:t>
      </w:r>
      <w:r>
        <w:rPr>
          <w:lang w:val="en-US"/>
        </w:rPr>
        <w:t xml:space="preserve"> = 1981 U.S. LEXIS </w:t>
      </w:r>
      <w:r w:rsidRPr="00223BCB">
        <w:rPr>
          <w:lang w:val="en-US"/>
        </w:rPr>
        <w:t>107, 38</w:t>
      </w:r>
      <w:r>
        <w:rPr>
          <w:lang w:val="en-US"/>
        </w:rPr>
        <w:t xml:space="preserve"> = 49 U.S.L.W. </w:t>
      </w:r>
      <w:r w:rsidRPr="00223BCB">
        <w:rPr>
          <w:lang w:val="en-US"/>
        </w:rPr>
        <w:t>4586 (1981)</w:t>
      </w:r>
      <w:r>
        <w:rPr>
          <w:lang w:val="en-US"/>
        </w:rPr>
        <w:t>.</w:t>
      </w:r>
    </w:p>
  </w:footnote>
  <w:footnote w:id="2094">
    <w:p w14:paraId="5AE65D07" w14:textId="77777777" w:rsidR="00074551" w:rsidRPr="00213ABD" w:rsidRDefault="00074551" w:rsidP="00074551">
      <w:pPr>
        <w:pStyle w:val="Funotentext"/>
        <w:rPr>
          <w:lang w:val="en-US"/>
        </w:rPr>
      </w:pPr>
      <w:r>
        <w:rPr>
          <w:rStyle w:val="Funotenzeichen"/>
          <w:rFonts w:eastAsiaTheme="majorEastAsia"/>
        </w:rPr>
        <w:footnoteRef/>
      </w:r>
      <w:r w:rsidRPr="00213ABD">
        <w:rPr>
          <w:lang w:val="en-US"/>
        </w:rPr>
        <w:t xml:space="preserve"> </w:t>
      </w:r>
      <w:r w:rsidRPr="009E57E1">
        <w:rPr>
          <w:i/>
          <w:lang w:val="en-US"/>
        </w:rPr>
        <w:t>Meyer v. Nebraska</w:t>
      </w:r>
      <w:r w:rsidRPr="00213ABD">
        <w:rPr>
          <w:lang w:val="en-US"/>
        </w:rPr>
        <w:t>, 262 U.S. 390, 399 (1923)</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13ABD">
        <w:rPr>
          <w:lang w:val="en-US"/>
        </w:rPr>
        <w:t>, 452 U.S. 18, 38</w:t>
      </w:r>
      <w:r>
        <w:rPr>
          <w:lang w:val="en-US"/>
        </w:rPr>
        <w:t xml:space="preserve"> = 101 S. Ct. </w:t>
      </w:r>
      <w:r w:rsidRPr="00213ABD">
        <w:rPr>
          <w:lang w:val="en-US"/>
        </w:rPr>
        <w:t>2153, 2165</w:t>
      </w:r>
      <w:r>
        <w:rPr>
          <w:lang w:val="en-US"/>
        </w:rPr>
        <w:t xml:space="preserve"> = 68 L. Ed</w:t>
      </w:r>
      <w:r w:rsidRPr="00213ABD">
        <w:rPr>
          <w:lang w:val="en-US"/>
        </w:rPr>
        <w:t>. 2d 640, 657</w:t>
      </w:r>
      <w:r>
        <w:rPr>
          <w:lang w:val="en-US"/>
        </w:rPr>
        <w:t xml:space="preserve"> = 1981 U.S. LEXIS </w:t>
      </w:r>
      <w:r w:rsidRPr="00213ABD">
        <w:rPr>
          <w:lang w:val="en-US"/>
        </w:rPr>
        <w:t>107, 38</w:t>
      </w:r>
      <w:r>
        <w:rPr>
          <w:lang w:val="en-US"/>
        </w:rPr>
        <w:t xml:space="preserve"> = 49 U.S.L.W. </w:t>
      </w:r>
      <w:r w:rsidRPr="00213ABD">
        <w:rPr>
          <w:lang w:val="en-US"/>
        </w:rPr>
        <w:t>4586 (1981)</w:t>
      </w:r>
      <w:r>
        <w:rPr>
          <w:lang w:val="en-US"/>
        </w:rPr>
        <w:t>.</w:t>
      </w:r>
    </w:p>
  </w:footnote>
  <w:footnote w:id="2095">
    <w:p w14:paraId="528BBA78" w14:textId="77777777" w:rsidR="00074551" w:rsidRPr="00AB01D2" w:rsidRDefault="00074551" w:rsidP="00074551">
      <w:pPr>
        <w:pStyle w:val="Funotentext"/>
        <w:rPr>
          <w:lang w:val="en-US"/>
        </w:rPr>
      </w:pPr>
      <w:r>
        <w:rPr>
          <w:rStyle w:val="Funotenzeichen"/>
          <w:rFonts w:eastAsiaTheme="majorEastAsia"/>
        </w:rPr>
        <w:footnoteRef/>
      </w:r>
      <w:r w:rsidRPr="00213ABD">
        <w:rPr>
          <w:lang w:val="en-US"/>
        </w:rPr>
        <w:t xml:space="preserve"> </w:t>
      </w:r>
      <w:r w:rsidRPr="00B45592">
        <w:rPr>
          <w:i/>
          <w:lang w:val="en-US"/>
        </w:rPr>
        <w:t>Stanley v. Illinois</w:t>
      </w:r>
      <w:r w:rsidRPr="00213ABD">
        <w:rPr>
          <w:lang w:val="en-US"/>
        </w:rPr>
        <w:t xml:space="preserve">, </w:t>
      </w:r>
      <w:r w:rsidRPr="00B45592">
        <w:rPr>
          <w:lang w:val="en-IE"/>
        </w:rPr>
        <w:t xml:space="preserve">405 U.S. 645, </w:t>
      </w:r>
      <w:r w:rsidRPr="0041420A">
        <w:rPr>
          <w:lang w:val="en-US"/>
        </w:rPr>
        <w:t>651</w:t>
      </w:r>
      <w:r>
        <w:rPr>
          <w:lang w:val="en-US"/>
        </w:rPr>
        <w:t xml:space="preserve"> (1972)</w:t>
      </w:r>
      <w:r w:rsidRPr="0041420A">
        <w:rPr>
          <w:lang w:val="en-US"/>
        </w:rPr>
        <w:t xml:space="preserve">, </w:t>
      </w:r>
      <w:proofErr w:type="spellStart"/>
      <w:r w:rsidRPr="00B45592">
        <w:rPr>
          <w:lang w:val="en-US"/>
        </w:rPr>
        <w:t>zitierend</w:t>
      </w:r>
      <w:proofErr w:type="spellEnd"/>
      <w:r w:rsidRPr="00B45592">
        <w:rPr>
          <w:lang w:val="en-US"/>
        </w:rPr>
        <w:t xml:space="preserve"> </w:t>
      </w:r>
      <w:proofErr w:type="spellStart"/>
      <w:r w:rsidRPr="00B45592">
        <w:rPr>
          <w:lang w:val="en-US"/>
        </w:rPr>
        <w:t>aus</w:t>
      </w:r>
      <w:proofErr w:type="spellEnd"/>
      <w:r w:rsidRPr="0041420A">
        <w:rPr>
          <w:lang w:val="en-US"/>
        </w:rPr>
        <w:t xml:space="preserve"> </w:t>
      </w:r>
      <w:r w:rsidRPr="00B45592">
        <w:rPr>
          <w:i/>
          <w:lang w:val="en-US"/>
        </w:rPr>
        <w:t>Kovacs v. Cooper</w:t>
      </w:r>
      <w:r w:rsidRPr="0041420A">
        <w:rPr>
          <w:lang w:val="en-US"/>
        </w:rPr>
        <w:t xml:space="preserve">, 336 U.S. 77, </w:t>
      </w:r>
      <w:r w:rsidRPr="00AB01D2">
        <w:rPr>
          <w:lang w:val="en-US"/>
        </w:rPr>
        <w:t>95 (1949) (</w:t>
      </w:r>
      <w:r w:rsidRPr="00B45592">
        <w:rPr>
          <w:i/>
          <w:lang w:val="en-US"/>
        </w:rPr>
        <w:t>concurring opinion</w:t>
      </w:r>
      <w:r w:rsidRPr="00B45592">
        <w:rPr>
          <w:lang w:val="en-US"/>
        </w:rPr>
        <w:t xml:space="preserve"> von Richter </w:t>
      </w:r>
      <w:r w:rsidRPr="00B45592">
        <w:rPr>
          <w:i/>
          <w:lang w:val="en-US"/>
        </w:rPr>
        <w:t>Frankfurter</w:t>
      </w:r>
      <w:r w:rsidRPr="00AB01D2">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AB01D2">
        <w:rPr>
          <w:lang w:val="en-US"/>
        </w:rPr>
        <w:t>, 452 U.S. 18, 38 = 101 S. Ct. 2153, 2165 = 68 L. Ed. 2d 640, 657 = 1981 U.S. LEXIS 107, 38 = 49 U.S.L.W. 4586 (1981).</w:t>
      </w:r>
    </w:p>
  </w:footnote>
  <w:footnote w:id="2096">
    <w:p w14:paraId="557D8122" w14:textId="77777777" w:rsidR="00074551" w:rsidRPr="00AB01D2" w:rsidRDefault="00074551" w:rsidP="00074551">
      <w:pPr>
        <w:pStyle w:val="Funotentext"/>
        <w:rPr>
          <w:lang w:val="en-US"/>
        </w:rPr>
      </w:pPr>
      <w:r w:rsidRPr="00AB01D2">
        <w:rPr>
          <w:rStyle w:val="Funotenzeichen"/>
          <w:rFonts w:eastAsiaTheme="majorEastAsia"/>
        </w:rPr>
        <w:footnoteRef/>
      </w:r>
      <w:r w:rsidRPr="00AB01D2">
        <w:rPr>
          <w:lang w:val="en-US"/>
        </w:rPr>
        <w:t xml:space="preserve"> </w:t>
      </w:r>
      <w:r w:rsidRPr="00B45592">
        <w:rPr>
          <w:i/>
          <w:lang w:val="en-US"/>
        </w:rPr>
        <w:t>Smith v. Organization of Foster Families</w:t>
      </w:r>
      <w:r w:rsidRPr="00AB01D2">
        <w:rPr>
          <w:lang w:val="en-US"/>
        </w:rPr>
        <w:t xml:space="preserve">, 431 U.S. 816, 845 (1977); </w:t>
      </w:r>
      <w:r w:rsidRPr="00AB01D2">
        <w:rPr>
          <w:i/>
          <w:lang w:val="en-US"/>
        </w:rPr>
        <w:t>Moore v. East Cleveland</w:t>
      </w:r>
      <w:r w:rsidRPr="00AB01D2">
        <w:rPr>
          <w:lang w:val="en-US"/>
        </w:rPr>
        <w:t>, 431 U.S. 494, 499 (1977) (</w:t>
      </w:r>
      <w:proofErr w:type="spellStart"/>
      <w:r w:rsidRPr="00AB01D2">
        <w:rPr>
          <w:lang w:val="en-US"/>
        </w:rPr>
        <w:t>Pluralitätsmeinung</w:t>
      </w:r>
      <w:proofErr w:type="spellEnd"/>
      <w:r w:rsidRPr="00AB01D2">
        <w:rPr>
          <w:lang w:val="en-US"/>
        </w:rPr>
        <w:t xml:space="preserve">); </w:t>
      </w:r>
      <w:r w:rsidRPr="00B45592">
        <w:rPr>
          <w:i/>
          <w:lang w:val="en-US"/>
        </w:rPr>
        <w:t>Prince v. Massachusetts</w:t>
      </w:r>
      <w:r w:rsidRPr="00AB01D2">
        <w:rPr>
          <w:lang w:val="en-US"/>
        </w:rPr>
        <w:t xml:space="preserve">, 321 U.S. 158, 166 (1944); </w:t>
      </w:r>
      <w:r w:rsidRPr="00AB01D2">
        <w:rPr>
          <w:i/>
          <w:lang w:val="en-US"/>
        </w:rPr>
        <w:t>Pierce v. Society of Sisters</w:t>
      </w:r>
      <w:r w:rsidRPr="00AB01D2">
        <w:rPr>
          <w:lang w:val="en-US"/>
        </w:rPr>
        <w:t xml:space="preserve">, 268 U.S. 510, 534–535 (1925); </w:t>
      </w:r>
      <w:r w:rsidRPr="00AB01D2">
        <w:rPr>
          <w:i/>
          <w:lang w:val="en-US"/>
        </w:rPr>
        <w:t>Meyer v. Nebraska</w:t>
      </w:r>
      <w:r w:rsidRPr="00AB01D2">
        <w:rPr>
          <w:lang w:val="en-US"/>
        </w:rPr>
        <w:t>, 262 U.S</w:t>
      </w:r>
      <w:r>
        <w:rPr>
          <w:lang w:val="en-US"/>
        </w:rPr>
        <w:t xml:space="preserve">. </w:t>
      </w:r>
      <w:r w:rsidRPr="00213ABD">
        <w:rPr>
          <w:lang w:val="en-US"/>
        </w:rPr>
        <w:t>390</w:t>
      </w:r>
      <w:r>
        <w:rPr>
          <w:lang w:val="en-US"/>
        </w:rPr>
        <w:t>,</w:t>
      </w:r>
      <w:r w:rsidRPr="00AB01D2">
        <w:rPr>
          <w:lang w:val="en-US"/>
        </w:rPr>
        <w:t xml:space="preserve"> 399;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AB01D2">
        <w:rPr>
          <w:lang w:val="en-US"/>
        </w:rPr>
        <w:t>, 452 U.S. 18, 38 = 101 S. Ct. 2153, 2165 = 68 L. Ed. 2d 640, 657 = 1981 U.S. LEXIS 107, 38–39 = 49 U.S.L.W. 4586 (1981).</w:t>
      </w:r>
    </w:p>
  </w:footnote>
  <w:footnote w:id="2097">
    <w:p w14:paraId="4ACFD2A3" w14:textId="77777777" w:rsidR="00074551" w:rsidRPr="00213ABD" w:rsidRDefault="00074551" w:rsidP="00074551">
      <w:pPr>
        <w:pStyle w:val="Funotentext"/>
        <w:rPr>
          <w:lang w:val="en-US"/>
        </w:rPr>
      </w:pPr>
      <w:r w:rsidRPr="00AB01D2">
        <w:rPr>
          <w:rStyle w:val="Funotenzeichen"/>
          <w:rFonts w:eastAsiaTheme="majorEastAsia"/>
        </w:rPr>
        <w:footnoteRef/>
      </w:r>
      <w:r w:rsidRPr="00AB01D2">
        <w:rPr>
          <w:lang w:val="en-US"/>
        </w:rPr>
        <w:t xml:space="preserve"> </w:t>
      </w:r>
      <w:r w:rsidRPr="00B45592">
        <w:rPr>
          <w:i/>
          <w:lang w:val="en-US"/>
        </w:rPr>
        <w:t>Smith v. Organization of Foster Families</w:t>
      </w:r>
      <w:r w:rsidRPr="00AB01D2">
        <w:rPr>
          <w:lang w:val="en-US"/>
        </w:rPr>
        <w:t xml:space="preserve">, 431 U.S. 816, 845 (1977); </w:t>
      </w:r>
      <w:r w:rsidRPr="00AB01D2">
        <w:rPr>
          <w:i/>
          <w:lang w:val="en-US"/>
        </w:rPr>
        <w:t>Moore v. East Cleveland</w:t>
      </w:r>
      <w:r w:rsidRPr="00AB01D2">
        <w:rPr>
          <w:lang w:val="en-US"/>
        </w:rPr>
        <w:t>, 431 U.S. 494, 499 (1977) (</w:t>
      </w:r>
      <w:proofErr w:type="spellStart"/>
      <w:r w:rsidRPr="00AB01D2">
        <w:rPr>
          <w:lang w:val="en-US"/>
        </w:rPr>
        <w:t>Pluralitätsmeinung</w:t>
      </w:r>
      <w:proofErr w:type="spellEnd"/>
      <w:r w:rsidRPr="00AB01D2">
        <w:rPr>
          <w:lang w:val="en-US"/>
        </w:rPr>
        <w:t xml:space="preserve">); </w:t>
      </w:r>
      <w:r w:rsidRPr="00B45592">
        <w:rPr>
          <w:i/>
          <w:lang w:val="en-US"/>
        </w:rPr>
        <w:t>Prince v. Massachusetts</w:t>
      </w:r>
      <w:r w:rsidRPr="00AB01D2">
        <w:rPr>
          <w:lang w:val="en-US"/>
        </w:rPr>
        <w:t xml:space="preserve">, 321 U.S. 158, 166 (1944); </w:t>
      </w:r>
      <w:r w:rsidRPr="00AB01D2">
        <w:rPr>
          <w:i/>
          <w:lang w:val="en-US"/>
        </w:rPr>
        <w:t>Pierce v. Society of Sisters</w:t>
      </w:r>
      <w:r w:rsidRPr="00AB01D2">
        <w:rPr>
          <w:lang w:val="en-US"/>
        </w:rPr>
        <w:t xml:space="preserve">, 268 U.S. 510, 534–535 (1925); </w:t>
      </w:r>
      <w:r w:rsidRPr="00AB01D2">
        <w:rPr>
          <w:i/>
          <w:lang w:val="en-US"/>
        </w:rPr>
        <w:t>Meyer v. Nebraska</w:t>
      </w:r>
      <w:r w:rsidRPr="00AB01D2">
        <w:rPr>
          <w:lang w:val="en-US"/>
        </w:rPr>
        <w:t>, 262 U.S.</w:t>
      </w:r>
      <w:r>
        <w:rPr>
          <w:lang w:val="en-US"/>
        </w:rPr>
        <w:t xml:space="preserve"> </w:t>
      </w:r>
      <w:r w:rsidRPr="00213ABD">
        <w:rPr>
          <w:lang w:val="en-US"/>
        </w:rPr>
        <w:t>390</w:t>
      </w:r>
      <w:r>
        <w:rPr>
          <w:lang w:val="en-US"/>
        </w:rPr>
        <w:t>,</w:t>
      </w:r>
      <w:r w:rsidRPr="00AB01D2">
        <w:rPr>
          <w:lang w:val="en-US"/>
        </w:rPr>
        <w:t xml:space="preserve"> 399;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AB01D2">
        <w:rPr>
          <w:lang w:val="en-US"/>
        </w:rPr>
        <w:t>, 452 U.S</w:t>
      </w:r>
      <w:r w:rsidRPr="00213ABD">
        <w:rPr>
          <w:lang w:val="en-US"/>
        </w:rPr>
        <w:t>. 18, 38</w:t>
      </w:r>
      <w:r>
        <w:rPr>
          <w:lang w:val="en-US"/>
        </w:rPr>
        <w:t xml:space="preserve"> = 101 S. Ct. </w:t>
      </w:r>
      <w:r w:rsidRPr="00213ABD">
        <w:rPr>
          <w:lang w:val="en-US"/>
        </w:rPr>
        <w:t>2153, 2165</w:t>
      </w:r>
      <w:r>
        <w:rPr>
          <w:lang w:val="en-US"/>
        </w:rPr>
        <w:t xml:space="preserve"> = 68 L. Ed</w:t>
      </w:r>
      <w:r w:rsidRPr="00213ABD">
        <w:rPr>
          <w:lang w:val="en-US"/>
        </w:rPr>
        <w:t>. 2d 640, 657</w:t>
      </w:r>
      <w:r>
        <w:rPr>
          <w:lang w:val="en-US"/>
        </w:rPr>
        <w:t xml:space="preserve"> = 1981 U.S. LEXIS </w:t>
      </w:r>
      <w:r w:rsidRPr="00213ABD">
        <w:rPr>
          <w:lang w:val="en-US"/>
        </w:rPr>
        <w:t>107, 38</w:t>
      </w:r>
      <w:r>
        <w:rPr>
          <w:lang w:val="en-US"/>
        </w:rPr>
        <w:t>–</w:t>
      </w:r>
      <w:r w:rsidRPr="00213ABD">
        <w:rPr>
          <w:lang w:val="en-US"/>
        </w:rPr>
        <w:t>39</w:t>
      </w:r>
      <w:r>
        <w:rPr>
          <w:lang w:val="en-US"/>
        </w:rPr>
        <w:t xml:space="preserve"> = 49 U.S.L.W. </w:t>
      </w:r>
      <w:r w:rsidRPr="00213ABD">
        <w:rPr>
          <w:lang w:val="en-US"/>
        </w:rPr>
        <w:t>4586 (1981)</w:t>
      </w:r>
      <w:r>
        <w:rPr>
          <w:lang w:val="en-US"/>
        </w:rPr>
        <w:t>.</w:t>
      </w:r>
    </w:p>
  </w:footnote>
  <w:footnote w:id="2098">
    <w:p w14:paraId="21D09687" w14:textId="77777777" w:rsidR="00074551" w:rsidRPr="003078C1" w:rsidRDefault="00074551" w:rsidP="00074551">
      <w:pPr>
        <w:pStyle w:val="Funotentext"/>
        <w:rPr>
          <w:lang w:val="en-US"/>
        </w:rPr>
      </w:pPr>
      <w:r>
        <w:rPr>
          <w:rStyle w:val="Funotenzeichen"/>
          <w:rFonts w:eastAsiaTheme="majorEastAsia"/>
        </w:rPr>
        <w:footnoteRef/>
      </w:r>
      <w:r w:rsidRPr="003078C1">
        <w:rPr>
          <w:lang w:val="en-US"/>
        </w:rPr>
        <w:t xml:space="preserve"> </w:t>
      </w:r>
      <w:r w:rsidRPr="009E57E1">
        <w:rPr>
          <w:i/>
          <w:lang w:val="en-US"/>
        </w:rPr>
        <w:t>Leis v. Flynt</w:t>
      </w:r>
      <w:r w:rsidRPr="003078C1">
        <w:rPr>
          <w:lang w:val="en-US"/>
        </w:rPr>
        <w:t>, 439 U.S. 438, 445</w:t>
      </w:r>
      <w:r>
        <w:rPr>
          <w:lang w:val="en-US"/>
        </w:rPr>
        <w:t xml:space="preserve"> = 99 S. Ct. </w:t>
      </w:r>
      <w:r w:rsidRPr="003078C1">
        <w:rPr>
          <w:lang w:val="en-US"/>
        </w:rPr>
        <w:t>698, 702</w:t>
      </w:r>
      <w:r w:rsidRPr="00EC5BEB">
        <w:rPr>
          <w:lang w:val="en-US"/>
        </w:rPr>
        <w:t xml:space="preserve"> = 58 L. Ed. </w:t>
      </w:r>
      <w:r w:rsidRPr="003078C1">
        <w:rPr>
          <w:lang w:val="en-US"/>
        </w:rPr>
        <w:t>2d 717, 724</w:t>
      </w:r>
      <w:r>
        <w:rPr>
          <w:lang w:val="en-US"/>
        </w:rPr>
        <w:t xml:space="preserve"> = 1979 U.S. LEXIS </w:t>
      </w:r>
      <w:r w:rsidRPr="003078C1">
        <w:rPr>
          <w:lang w:val="en-US"/>
        </w:rPr>
        <w:t>52, 12</w:t>
      </w:r>
      <w:r>
        <w:rPr>
          <w:lang w:val="en-US"/>
        </w:rPr>
        <w:t xml:space="preserve"> = 11 Ohio Op. </w:t>
      </w:r>
      <w:r w:rsidRPr="003078C1">
        <w:rPr>
          <w:lang w:val="en-US"/>
        </w:rPr>
        <w:t>3d 302 (1979)</w:t>
      </w:r>
      <w:r>
        <w:rPr>
          <w:lang w:val="en-US"/>
        </w:rPr>
        <w:t>.</w:t>
      </w:r>
    </w:p>
  </w:footnote>
  <w:footnote w:id="2099">
    <w:p w14:paraId="5A2B6E51" w14:textId="77777777" w:rsidR="00074551" w:rsidRPr="00C01DA6" w:rsidRDefault="00074551" w:rsidP="00074551">
      <w:pPr>
        <w:pStyle w:val="Funotentext"/>
        <w:ind w:left="227" w:hanging="227"/>
        <w:rPr>
          <w:lang w:val="en-US"/>
        </w:rPr>
      </w:pPr>
      <w:r>
        <w:rPr>
          <w:rStyle w:val="Funotenzeichen"/>
          <w:rFonts w:eastAsiaTheme="majorEastAsia"/>
        </w:rPr>
        <w:footnoteRef/>
      </w:r>
      <w:r w:rsidRPr="00C01DA6">
        <w:rPr>
          <w:lang w:val="en-US"/>
        </w:rPr>
        <w:t xml:space="preserve"> </w:t>
      </w:r>
      <w:r w:rsidRPr="009E57E1">
        <w:rPr>
          <w:i/>
          <w:lang w:val="en-US"/>
        </w:rPr>
        <w:t>Leis v. Flynt</w:t>
      </w:r>
      <w:r w:rsidRPr="00C01DA6">
        <w:rPr>
          <w:lang w:val="en-US"/>
        </w:rPr>
        <w:t>, 439 U.S. 438, 452</w:t>
      </w:r>
      <w:r>
        <w:rPr>
          <w:lang w:val="en-US"/>
        </w:rPr>
        <w:t xml:space="preserve"> = 99 S. Ct. </w:t>
      </w:r>
      <w:r w:rsidRPr="00C01DA6">
        <w:rPr>
          <w:lang w:val="en-US"/>
        </w:rPr>
        <w:t>698, 706</w:t>
      </w:r>
      <w:r w:rsidRPr="00EC5BEB">
        <w:rPr>
          <w:lang w:val="en-US"/>
        </w:rPr>
        <w:t xml:space="preserve"> = 58 L. Ed. </w:t>
      </w:r>
      <w:r w:rsidRPr="00C01DA6">
        <w:rPr>
          <w:lang w:val="en-US"/>
        </w:rPr>
        <w:t>2d 717, 728</w:t>
      </w:r>
      <w:r>
        <w:rPr>
          <w:lang w:val="en-US"/>
        </w:rPr>
        <w:t xml:space="preserve"> = 1979 U.S. LEXIS </w:t>
      </w:r>
      <w:r w:rsidRPr="00C01DA6">
        <w:rPr>
          <w:lang w:val="en-US"/>
        </w:rPr>
        <w:t>52, 23</w:t>
      </w:r>
      <w:r>
        <w:rPr>
          <w:lang w:val="en-US"/>
        </w:rPr>
        <w:t xml:space="preserve"> = 11 Ohio Op. </w:t>
      </w:r>
      <w:r w:rsidRPr="00C01DA6">
        <w:rPr>
          <w:lang w:val="en-US"/>
        </w:rPr>
        <w:t>3d 302 (1979)</w:t>
      </w:r>
      <w:r>
        <w:rPr>
          <w:lang w:val="en-US"/>
        </w:rPr>
        <w:t>.</w:t>
      </w:r>
    </w:p>
  </w:footnote>
  <w:footnote w:id="2100">
    <w:p w14:paraId="4F33F8E2" w14:textId="77777777" w:rsidR="00074551" w:rsidRPr="00C01DA6" w:rsidRDefault="00074551" w:rsidP="00074551">
      <w:pPr>
        <w:pStyle w:val="Funotentext"/>
        <w:ind w:left="227" w:hanging="227"/>
        <w:rPr>
          <w:lang w:val="en-US"/>
        </w:rPr>
      </w:pPr>
      <w:r>
        <w:rPr>
          <w:rStyle w:val="Funotenzeichen"/>
          <w:rFonts w:eastAsiaTheme="majorEastAsia"/>
        </w:rPr>
        <w:footnoteRef/>
      </w:r>
      <w:r w:rsidRPr="00C01DA6">
        <w:rPr>
          <w:lang w:val="en-US"/>
        </w:rPr>
        <w:t xml:space="preserve"> </w:t>
      </w:r>
      <w:r w:rsidRPr="009E57E1">
        <w:rPr>
          <w:i/>
          <w:lang w:val="en-US"/>
        </w:rPr>
        <w:t>Leis v. Flynt</w:t>
      </w:r>
      <w:r w:rsidRPr="00C01DA6">
        <w:rPr>
          <w:lang w:val="en-US"/>
        </w:rPr>
        <w:t>, 439 U.S. 438, 453</w:t>
      </w:r>
      <w:r>
        <w:rPr>
          <w:lang w:val="en-US"/>
        </w:rPr>
        <w:t xml:space="preserve"> = 99 S. Ct. </w:t>
      </w:r>
      <w:r w:rsidRPr="00C01DA6">
        <w:rPr>
          <w:lang w:val="en-US"/>
        </w:rPr>
        <w:t>698, 706</w:t>
      </w:r>
      <w:r w:rsidRPr="00EC5BEB">
        <w:rPr>
          <w:lang w:val="en-US"/>
        </w:rPr>
        <w:t xml:space="preserve"> = 58 L. Ed. </w:t>
      </w:r>
      <w:r w:rsidRPr="00C01DA6">
        <w:rPr>
          <w:lang w:val="en-US"/>
        </w:rPr>
        <w:t>2d 717, 728</w:t>
      </w:r>
      <w:r>
        <w:rPr>
          <w:lang w:val="en-US"/>
        </w:rPr>
        <w:t xml:space="preserve"> = 1979 U.S. LEXIS </w:t>
      </w:r>
      <w:r w:rsidRPr="00C01DA6">
        <w:rPr>
          <w:lang w:val="en-US"/>
        </w:rPr>
        <w:t>52, 23</w:t>
      </w:r>
      <w:r>
        <w:rPr>
          <w:lang w:val="en-US"/>
        </w:rPr>
        <w:t xml:space="preserve"> = 11 Ohio Op. </w:t>
      </w:r>
      <w:r w:rsidRPr="00C01DA6">
        <w:rPr>
          <w:lang w:val="en-US"/>
        </w:rPr>
        <w:t>3d 302 (1979)</w:t>
      </w:r>
      <w:r>
        <w:rPr>
          <w:lang w:val="en-US"/>
        </w:rPr>
        <w:t>.</w:t>
      </w:r>
    </w:p>
  </w:footnote>
  <w:footnote w:id="2101">
    <w:p w14:paraId="17DFDFAE" w14:textId="77777777" w:rsidR="00074551" w:rsidRPr="005A2084" w:rsidRDefault="00074551" w:rsidP="00074551">
      <w:pPr>
        <w:pStyle w:val="Funotentext"/>
        <w:ind w:left="227" w:hanging="227"/>
        <w:rPr>
          <w:lang w:val="en-US"/>
        </w:rPr>
      </w:pPr>
      <w:r>
        <w:rPr>
          <w:rStyle w:val="Funotenzeichen"/>
          <w:rFonts w:eastAsiaTheme="majorEastAsia"/>
        </w:rPr>
        <w:footnoteRef/>
      </w:r>
      <w:r w:rsidRPr="005A2084">
        <w:rPr>
          <w:lang w:val="en-US"/>
        </w:rPr>
        <w:t xml:space="preserve"> </w:t>
      </w:r>
      <w:r w:rsidRPr="009E57E1">
        <w:rPr>
          <w:i/>
          <w:lang w:val="en-US"/>
        </w:rPr>
        <w:t>Board of Regents v. Roth</w:t>
      </w:r>
      <w:r w:rsidRPr="005A2084">
        <w:rPr>
          <w:lang w:val="en-US"/>
        </w:rPr>
        <w:t>, 408 U.S. 564, 572</w:t>
      </w:r>
      <w:r>
        <w:rPr>
          <w:lang w:val="en-US"/>
        </w:rPr>
        <w:t xml:space="preserve">; </w:t>
      </w:r>
      <w:r w:rsidRPr="009E57E1">
        <w:rPr>
          <w:i/>
          <w:lang w:val="en-US"/>
        </w:rPr>
        <w:t>Leis v. Flynt</w:t>
      </w:r>
      <w:r w:rsidRPr="005A2084">
        <w:rPr>
          <w:lang w:val="en-US"/>
        </w:rPr>
        <w:t>, 439 U.S. 438, 452</w:t>
      </w:r>
      <w:r>
        <w:rPr>
          <w:lang w:val="en-US"/>
        </w:rPr>
        <w:t xml:space="preserve"> = 99 S. Ct. </w:t>
      </w:r>
      <w:r w:rsidRPr="005A2084">
        <w:rPr>
          <w:lang w:val="en-US"/>
        </w:rPr>
        <w:t>698, 706</w:t>
      </w:r>
      <w:r w:rsidRPr="00EC5BEB">
        <w:rPr>
          <w:lang w:val="en-US"/>
        </w:rPr>
        <w:t xml:space="preserve"> = 58 L. Ed. </w:t>
      </w:r>
      <w:r w:rsidRPr="005A2084">
        <w:rPr>
          <w:lang w:val="en-US"/>
        </w:rPr>
        <w:t>2d 717, 728</w:t>
      </w:r>
      <w:r>
        <w:rPr>
          <w:lang w:val="en-US"/>
        </w:rPr>
        <w:t xml:space="preserve"> = 1979 U.S. LEXIS </w:t>
      </w:r>
      <w:r w:rsidRPr="005A2084">
        <w:rPr>
          <w:lang w:val="en-US"/>
        </w:rPr>
        <w:t>52, 23</w:t>
      </w:r>
      <w:r>
        <w:rPr>
          <w:lang w:val="en-US"/>
        </w:rPr>
        <w:t xml:space="preserve"> = 11 Ohio Op. </w:t>
      </w:r>
      <w:r w:rsidRPr="005A2084">
        <w:rPr>
          <w:lang w:val="en-US"/>
        </w:rPr>
        <w:t>3d 302 (1979)</w:t>
      </w:r>
      <w:r>
        <w:rPr>
          <w:lang w:val="en-US"/>
        </w:rPr>
        <w:t>.</w:t>
      </w:r>
    </w:p>
  </w:footnote>
  <w:footnote w:id="2102">
    <w:p w14:paraId="0294C711" w14:textId="77777777" w:rsidR="00074551" w:rsidRPr="005A2084" w:rsidRDefault="00074551" w:rsidP="00074551">
      <w:pPr>
        <w:pStyle w:val="Funotentext"/>
        <w:rPr>
          <w:lang w:val="en-US"/>
        </w:rPr>
      </w:pPr>
      <w:r>
        <w:rPr>
          <w:rStyle w:val="Funotenzeichen"/>
          <w:rFonts w:eastAsiaTheme="majorEastAsia"/>
        </w:rPr>
        <w:footnoteRef/>
      </w:r>
      <w:r w:rsidRPr="005A2084">
        <w:rPr>
          <w:lang w:val="en-US"/>
        </w:rPr>
        <w:t xml:space="preserve"> </w:t>
      </w:r>
      <w:r w:rsidRPr="009E57E1">
        <w:rPr>
          <w:i/>
          <w:lang w:val="en-US"/>
        </w:rPr>
        <w:t>Meyer v. Nebraska</w:t>
      </w:r>
      <w:r w:rsidRPr="005A2084">
        <w:rPr>
          <w:lang w:val="en-US"/>
        </w:rPr>
        <w:t>, 262 U.S. 390, 399</w:t>
      </w:r>
      <w:r>
        <w:rPr>
          <w:lang w:val="en-US"/>
        </w:rPr>
        <w:t xml:space="preserve">; </w:t>
      </w:r>
      <w:r w:rsidRPr="009E57E1">
        <w:rPr>
          <w:i/>
          <w:lang w:val="en-US"/>
        </w:rPr>
        <w:t>Leis v. Flynt</w:t>
      </w:r>
      <w:r w:rsidRPr="005A2084">
        <w:rPr>
          <w:lang w:val="en-US"/>
        </w:rPr>
        <w:t>, 439 U.S. 438, 452</w:t>
      </w:r>
      <w:r>
        <w:rPr>
          <w:lang w:val="en-US"/>
        </w:rPr>
        <w:t xml:space="preserve"> = 99 S. Ct. </w:t>
      </w:r>
      <w:r w:rsidRPr="005A2084">
        <w:rPr>
          <w:lang w:val="en-US"/>
        </w:rPr>
        <w:t>698, 706</w:t>
      </w:r>
      <w:r w:rsidRPr="00EC5BEB">
        <w:rPr>
          <w:lang w:val="en-US"/>
        </w:rPr>
        <w:t xml:space="preserve"> = 58 L. Ed. </w:t>
      </w:r>
      <w:r w:rsidRPr="005A2084">
        <w:rPr>
          <w:lang w:val="en-US"/>
        </w:rPr>
        <w:t>2d 717, 728</w:t>
      </w:r>
      <w:r>
        <w:rPr>
          <w:lang w:val="en-US"/>
        </w:rPr>
        <w:t xml:space="preserve"> = 1979 U.S. LEXIS </w:t>
      </w:r>
      <w:r w:rsidRPr="005A2084">
        <w:rPr>
          <w:lang w:val="en-US"/>
        </w:rPr>
        <w:t>52, 23</w:t>
      </w:r>
      <w:r>
        <w:rPr>
          <w:lang w:val="en-US"/>
        </w:rPr>
        <w:t xml:space="preserve"> = 11 Ohio Op. </w:t>
      </w:r>
      <w:r w:rsidRPr="005A2084">
        <w:rPr>
          <w:lang w:val="en-US"/>
        </w:rPr>
        <w:t>3d 302 (1979)</w:t>
      </w:r>
      <w:r>
        <w:rPr>
          <w:lang w:val="en-US"/>
        </w:rPr>
        <w:t>.</w:t>
      </w:r>
    </w:p>
  </w:footnote>
  <w:footnote w:id="2103">
    <w:p w14:paraId="20A59B23" w14:textId="77777777" w:rsidR="00074551" w:rsidRPr="005A2084" w:rsidRDefault="00074551" w:rsidP="00074551">
      <w:pPr>
        <w:pStyle w:val="Funotentext"/>
        <w:rPr>
          <w:lang w:val="en-US"/>
        </w:rPr>
      </w:pPr>
      <w:r>
        <w:rPr>
          <w:rStyle w:val="Funotenzeichen"/>
          <w:rFonts w:eastAsiaTheme="majorEastAsia"/>
        </w:rPr>
        <w:footnoteRef/>
      </w:r>
      <w:r w:rsidRPr="005A2084">
        <w:rPr>
          <w:lang w:val="en-US"/>
        </w:rPr>
        <w:t xml:space="preserve"> </w:t>
      </w:r>
      <w:r w:rsidRPr="004F13B1">
        <w:rPr>
          <w:i/>
          <w:lang w:val="en-US"/>
        </w:rPr>
        <w:t>Ingraham v. Wright</w:t>
      </w:r>
      <w:r w:rsidRPr="005A2084">
        <w:rPr>
          <w:lang w:val="en-US"/>
        </w:rPr>
        <w:t>, 430 U.S. 651, 673</w:t>
      </w:r>
      <w:r w:rsidRPr="0041420A">
        <w:rPr>
          <w:lang w:val="en-US"/>
        </w:rPr>
        <w:t xml:space="preserve">, </w:t>
      </w:r>
      <w:proofErr w:type="spellStart"/>
      <w:r w:rsidRPr="00B45592">
        <w:rPr>
          <w:lang w:val="en-US"/>
        </w:rPr>
        <w:t>zitierend</w:t>
      </w:r>
      <w:proofErr w:type="spellEnd"/>
      <w:r w:rsidRPr="00B45592">
        <w:rPr>
          <w:lang w:val="en-US"/>
        </w:rPr>
        <w:t xml:space="preserve"> </w:t>
      </w:r>
      <w:proofErr w:type="spellStart"/>
      <w:r w:rsidRPr="00B45592">
        <w:rPr>
          <w:lang w:val="en-US"/>
        </w:rPr>
        <w:t>aus</w:t>
      </w:r>
      <w:proofErr w:type="spellEnd"/>
      <w:r w:rsidRPr="0041420A">
        <w:rPr>
          <w:lang w:val="en-US"/>
        </w:rPr>
        <w:t xml:space="preserve"> </w:t>
      </w:r>
      <w:r w:rsidRPr="009E57E1">
        <w:rPr>
          <w:i/>
          <w:lang w:val="en-US"/>
        </w:rPr>
        <w:t>Meyer v. Nebraska</w:t>
      </w:r>
      <w:r w:rsidRPr="0041420A">
        <w:rPr>
          <w:lang w:val="en-US"/>
        </w:rPr>
        <w:t xml:space="preserve">, 262 U.S. 390, 399. </w:t>
      </w:r>
      <w:proofErr w:type="spellStart"/>
      <w:r w:rsidRPr="0041420A">
        <w:rPr>
          <w:lang w:val="en-US"/>
        </w:rPr>
        <w:t>Siehe</w:t>
      </w:r>
      <w:proofErr w:type="spellEnd"/>
      <w:r w:rsidRPr="0041420A">
        <w:rPr>
          <w:lang w:val="en-US"/>
        </w:rPr>
        <w:t xml:space="preserve"> </w:t>
      </w:r>
      <w:r w:rsidRPr="00B45592">
        <w:rPr>
          <w:i/>
          <w:lang w:val="en-US"/>
        </w:rPr>
        <w:t>Smith v. Organization of Foster Families</w:t>
      </w:r>
      <w:r w:rsidRPr="0041420A">
        <w:rPr>
          <w:lang w:val="en-US"/>
        </w:rPr>
        <w:t xml:space="preserve">, 431 U.S. 816, 845; </w:t>
      </w:r>
      <w:r w:rsidRPr="009E57E1">
        <w:rPr>
          <w:i/>
          <w:lang w:val="en-US"/>
        </w:rPr>
        <w:t>Leis v. Flynt</w:t>
      </w:r>
      <w:r w:rsidRPr="0041420A">
        <w:rPr>
          <w:lang w:val="en-US"/>
        </w:rPr>
        <w:t>, 439 U.S. 438, 452 = 99 S. Ct. 698, 706 = 58 L. Ed. 2d 717, 728 = 1979 U.S. LEXIS 52, 23 = 11 Ohio Op. 3d</w:t>
      </w:r>
      <w:r w:rsidRPr="005A2084">
        <w:rPr>
          <w:lang w:val="en-US"/>
        </w:rPr>
        <w:t xml:space="preserve"> 302 (1979)</w:t>
      </w:r>
      <w:r>
        <w:rPr>
          <w:lang w:val="en-US"/>
        </w:rPr>
        <w:t>.</w:t>
      </w:r>
    </w:p>
  </w:footnote>
  <w:footnote w:id="2104">
    <w:p w14:paraId="0C3D5DE5" w14:textId="77777777" w:rsidR="00074551" w:rsidRPr="005A2084" w:rsidRDefault="00074551" w:rsidP="00074551">
      <w:pPr>
        <w:pStyle w:val="Funotentext"/>
        <w:rPr>
          <w:lang w:val="en-US"/>
        </w:rPr>
      </w:pPr>
      <w:r>
        <w:rPr>
          <w:rStyle w:val="Funotenzeichen"/>
          <w:rFonts w:eastAsiaTheme="majorEastAsia"/>
        </w:rPr>
        <w:footnoteRef/>
      </w:r>
      <w:r w:rsidRPr="005A2084">
        <w:rPr>
          <w:lang w:val="en-US"/>
        </w:rPr>
        <w:t xml:space="preserve"> </w:t>
      </w:r>
      <w:r w:rsidRPr="00B45592">
        <w:rPr>
          <w:i/>
          <w:lang w:val="en-US"/>
        </w:rPr>
        <w:t>Greene v. McElroy</w:t>
      </w:r>
      <w:r w:rsidRPr="005A2084">
        <w:rPr>
          <w:lang w:val="en-US"/>
        </w:rPr>
        <w:t>, 360 U.S. 474, 492</w:t>
      </w:r>
      <w:r>
        <w:rPr>
          <w:lang w:val="en-US"/>
        </w:rPr>
        <w:t xml:space="preserve">; </w:t>
      </w:r>
      <w:r w:rsidRPr="009E57E1">
        <w:rPr>
          <w:i/>
          <w:lang w:val="en-US"/>
        </w:rPr>
        <w:t>Leis v. Flynt</w:t>
      </w:r>
      <w:r w:rsidRPr="005A2084">
        <w:rPr>
          <w:lang w:val="en-US"/>
        </w:rPr>
        <w:t>, 439 U.S. 438, 452</w:t>
      </w:r>
      <w:r>
        <w:rPr>
          <w:lang w:val="en-US"/>
        </w:rPr>
        <w:t xml:space="preserve"> = 99 S. Ct. </w:t>
      </w:r>
      <w:r w:rsidRPr="005A2084">
        <w:rPr>
          <w:lang w:val="en-US"/>
        </w:rPr>
        <w:t>698, 706</w:t>
      </w:r>
      <w:r w:rsidRPr="00EC5BEB">
        <w:rPr>
          <w:lang w:val="en-US"/>
        </w:rPr>
        <w:t xml:space="preserve"> = 58 L. Ed. </w:t>
      </w:r>
      <w:r w:rsidRPr="005A2084">
        <w:rPr>
          <w:lang w:val="en-US"/>
        </w:rPr>
        <w:t>2d 717, 728</w:t>
      </w:r>
      <w:r>
        <w:rPr>
          <w:lang w:val="en-US"/>
        </w:rPr>
        <w:t xml:space="preserve"> = 1979 U.S. LEXIS </w:t>
      </w:r>
      <w:r w:rsidRPr="005A2084">
        <w:rPr>
          <w:lang w:val="en-US"/>
        </w:rPr>
        <w:t>52, 23</w:t>
      </w:r>
      <w:r>
        <w:rPr>
          <w:lang w:val="en-US"/>
        </w:rPr>
        <w:t xml:space="preserve"> = 11 Ohio Op. </w:t>
      </w:r>
      <w:r w:rsidRPr="005A2084">
        <w:rPr>
          <w:lang w:val="en-US"/>
        </w:rPr>
        <w:t>3d 302 (1979)</w:t>
      </w:r>
      <w:r>
        <w:rPr>
          <w:lang w:val="en-US"/>
        </w:rPr>
        <w:t>.</w:t>
      </w:r>
    </w:p>
  </w:footnote>
  <w:footnote w:id="2105">
    <w:p w14:paraId="2947CBF2" w14:textId="77777777" w:rsidR="00074551" w:rsidRPr="004E0909" w:rsidRDefault="00074551" w:rsidP="00074551">
      <w:pPr>
        <w:pStyle w:val="Funotentext"/>
        <w:rPr>
          <w:lang w:val="en-US"/>
        </w:rPr>
      </w:pPr>
      <w:r>
        <w:rPr>
          <w:rStyle w:val="Funotenzeichen"/>
          <w:rFonts w:eastAsiaTheme="majorEastAsia"/>
        </w:rPr>
        <w:footnoteRef/>
      </w:r>
      <w:r w:rsidRPr="004E0909">
        <w:rPr>
          <w:lang w:val="en-US"/>
        </w:rPr>
        <w:t xml:space="preserve"> </w:t>
      </w:r>
      <w:bookmarkStart w:id="88" w:name="_Hlk227832571"/>
      <w:proofErr w:type="spellStart"/>
      <w:r w:rsidRPr="00AB01D2">
        <w:rPr>
          <w:i/>
          <w:lang w:val="en-US"/>
        </w:rPr>
        <w:t>Schware</w:t>
      </w:r>
      <w:proofErr w:type="spellEnd"/>
      <w:r w:rsidRPr="00AB01D2">
        <w:rPr>
          <w:i/>
          <w:lang w:val="en-US"/>
        </w:rPr>
        <w:t xml:space="preserve"> v. Board of Bar Examiners</w:t>
      </w:r>
      <w:r w:rsidRPr="004E0909">
        <w:rPr>
          <w:lang w:val="en-US"/>
        </w:rPr>
        <w:t>, 353 U.S.</w:t>
      </w:r>
      <w:r>
        <w:rPr>
          <w:lang w:val="en-US"/>
        </w:rPr>
        <w:t xml:space="preserve"> 232, </w:t>
      </w:r>
      <w:r w:rsidRPr="004E0909">
        <w:rPr>
          <w:lang w:val="en-US"/>
        </w:rPr>
        <w:t>238</w:t>
      </w:r>
      <w:r>
        <w:rPr>
          <w:lang w:val="en-US"/>
        </w:rPr>
        <w:t xml:space="preserve"> (1957).</w:t>
      </w:r>
      <w:bookmarkEnd w:id="88"/>
    </w:p>
  </w:footnote>
  <w:footnote w:id="2106">
    <w:p w14:paraId="4267CDC5" w14:textId="77777777" w:rsidR="00074551" w:rsidRPr="00F4274B" w:rsidRDefault="00074551" w:rsidP="00074551">
      <w:pPr>
        <w:pStyle w:val="Funotentext"/>
        <w:rPr>
          <w:lang w:val="en-US"/>
        </w:rPr>
      </w:pPr>
      <w:r>
        <w:rPr>
          <w:rStyle w:val="Funotenzeichen"/>
          <w:rFonts w:eastAsiaTheme="majorEastAsia"/>
        </w:rPr>
        <w:footnoteRef/>
      </w:r>
      <w:r w:rsidRPr="004302E3">
        <w:rPr>
          <w:lang w:val="en-US"/>
        </w:rPr>
        <w:t xml:space="preserve"> </w:t>
      </w:r>
      <w:r w:rsidRPr="00AB01D2">
        <w:rPr>
          <w:i/>
          <w:lang w:val="en-US"/>
        </w:rPr>
        <w:t>Oklahoma Press Pub. Co. v. Walling</w:t>
      </w:r>
      <w:r w:rsidRPr="004302E3">
        <w:rPr>
          <w:lang w:val="en-US"/>
        </w:rPr>
        <w:t>, 327 U.S. 186, 189</w:t>
      </w:r>
      <w:r>
        <w:rPr>
          <w:lang w:val="en-US"/>
        </w:rPr>
        <w:t xml:space="preserve"> = 66 S. Ct. </w:t>
      </w:r>
      <w:r w:rsidRPr="004302E3">
        <w:rPr>
          <w:lang w:val="en-US"/>
        </w:rPr>
        <w:t>494, 495</w:t>
      </w:r>
      <w:r>
        <w:rPr>
          <w:lang w:val="en-US"/>
        </w:rPr>
        <w:t xml:space="preserve"> = 90 L. Ed. </w:t>
      </w:r>
      <w:r w:rsidRPr="004302E3">
        <w:rPr>
          <w:lang w:val="en-US"/>
        </w:rPr>
        <w:t>614, 619</w:t>
      </w:r>
      <w:r>
        <w:rPr>
          <w:lang w:val="en-US"/>
        </w:rPr>
        <w:t xml:space="preserve"> = 1946 U.S. LEXIS </w:t>
      </w:r>
      <w:r w:rsidRPr="004302E3">
        <w:rPr>
          <w:lang w:val="en-US"/>
        </w:rPr>
        <w:t>3089, 2</w:t>
      </w:r>
      <w:r>
        <w:rPr>
          <w:lang w:val="en-US"/>
        </w:rPr>
        <w:t xml:space="preserve"> = 10 Lab. Cas. </w:t>
      </w:r>
      <w:r w:rsidRPr="00F4274B">
        <w:rPr>
          <w:lang w:val="en-US"/>
        </w:rPr>
        <w:t>(CCH) P51,222</w:t>
      </w:r>
      <w:r>
        <w:rPr>
          <w:lang w:val="en-US"/>
        </w:rPr>
        <w:t xml:space="preserve"> = 166 A.L.R. </w:t>
      </w:r>
      <w:r w:rsidRPr="00F4274B">
        <w:rPr>
          <w:lang w:val="en-US"/>
        </w:rPr>
        <w:t>531 (1946).</w:t>
      </w:r>
    </w:p>
  </w:footnote>
  <w:footnote w:id="2107">
    <w:p w14:paraId="234DC3A7" w14:textId="77777777" w:rsidR="00074551" w:rsidRPr="0085626E" w:rsidRDefault="00074551" w:rsidP="00074551">
      <w:pPr>
        <w:pStyle w:val="Funotentext"/>
        <w:rPr>
          <w:lang w:val="en-US"/>
        </w:rPr>
      </w:pPr>
      <w:r>
        <w:rPr>
          <w:rStyle w:val="Funotenzeichen"/>
        </w:rPr>
        <w:footnoteRef/>
      </w:r>
      <w:r w:rsidRPr="0085626E">
        <w:rPr>
          <w:lang w:val="en-US"/>
        </w:rPr>
        <w:t xml:space="preserve"> </w:t>
      </w:r>
      <w:r>
        <w:rPr>
          <w:lang w:val="en-US"/>
        </w:rPr>
        <w:t>„</w:t>
      </w:r>
      <w:r w:rsidRPr="0085626E">
        <w:rPr>
          <w:lang w:val="en-US"/>
        </w:rPr>
        <w:t xml:space="preserve">In </w:t>
      </w:r>
      <w:r>
        <w:rPr>
          <w:lang w:val="en-US"/>
        </w:rPr>
        <w:t>§ </w:t>
      </w:r>
      <w:r w:rsidRPr="0085626E">
        <w:rPr>
          <w:lang w:val="en-US"/>
        </w:rPr>
        <w:t xml:space="preserve">9 of the Federal Trade Commission Act (incorporated in </w:t>
      </w:r>
      <w:r>
        <w:rPr>
          <w:lang w:val="en-US"/>
        </w:rPr>
        <w:t>§ </w:t>
      </w:r>
      <w:r w:rsidRPr="0085626E">
        <w:rPr>
          <w:lang w:val="en-US"/>
        </w:rPr>
        <w:t xml:space="preserve">9 of the Fair Labor Standards Act), which authorizes the Administrator to invoke the aid of the </w:t>
      </w:r>
      <w:proofErr w:type="gramStart"/>
      <w:r w:rsidRPr="0085626E">
        <w:rPr>
          <w:lang w:val="en-US"/>
        </w:rPr>
        <w:t xml:space="preserve">court </w:t>
      </w:r>
      <w:r>
        <w:rPr>
          <w:lang w:val="en-US"/>
        </w:rPr>
        <w:t>,</w:t>
      </w:r>
      <w:r w:rsidRPr="0085626E">
        <w:rPr>
          <w:lang w:val="en-US"/>
        </w:rPr>
        <w:t>in</w:t>
      </w:r>
      <w:proofErr w:type="gramEnd"/>
      <w:r w:rsidRPr="0085626E">
        <w:rPr>
          <w:lang w:val="en-US"/>
        </w:rPr>
        <w:t xml:space="preserve"> case of disobedience of the </w:t>
      </w:r>
      <w:proofErr w:type="gramStart"/>
      <w:r w:rsidRPr="0085626E">
        <w:rPr>
          <w:lang w:val="en-US"/>
        </w:rPr>
        <w:t>subpoena</w:t>
      </w:r>
      <w:r>
        <w:rPr>
          <w:lang w:val="en-US"/>
        </w:rPr>
        <w:t>‘</w:t>
      </w:r>
      <w:r w:rsidRPr="0085626E">
        <w:rPr>
          <w:lang w:val="en-US"/>
        </w:rPr>
        <w:t xml:space="preserve"> and</w:t>
      </w:r>
      <w:proofErr w:type="gramEnd"/>
      <w:r w:rsidRPr="0085626E">
        <w:rPr>
          <w:lang w:val="en-US"/>
        </w:rPr>
        <w:t xml:space="preserve"> authorizes the court to give </w:t>
      </w:r>
      <w:proofErr w:type="gramStart"/>
      <w:r w:rsidRPr="0085626E">
        <w:rPr>
          <w:lang w:val="en-US"/>
        </w:rPr>
        <w:t xml:space="preserve">assistance </w:t>
      </w:r>
      <w:r>
        <w:rPr>
          <w:lang w:val="en-US"/>
        </w:rPr>
        <w:t>,</w:t>
      </w:r>
      <w:r w:rsidRPr="0085626E">
        <w:rPr>
          <w:lang w:val="en-US"/>
        </w:rPr>
        <w:t>in</w:t>
      </w:r>
      <w:proofErr w:type="gramEnd"/>
      <w:r w:rsidRPr="0085626E">
        <w:rPr>
          <w:lang w:val="en-US"/>
        </w:rPr>
        <w:t xml:space="preserve"> case of contumacy or refusal to obey a </w:t>
      </w:r>
      <w:proofErr w:type="gramStart"/>
      <w:r w:rsidRPr="0085626E">
        <w:rPr>
          <w:lang w:val="en-US"/>
        </w:rPr>
        <w:t>subpoena</w:t>
      </w:r>
      <w:r>
        <w:rPr>
          <w:lang w:val="en-US"/>
        </w:rPr>
        <w:t>‘</w:t>
      </w:r>
      <w:proofErr w:type="gramEnd"/>
      <w:r>
        <w:rPr>
          <w:lang w:val="en-US"/>
        </w:rPr>
        <w:t xml:space="preserve">“, in </w:t>
      </w:r>
      <w:r w:rsidRPr="00AB01D2">
        <w:rPr>
          <w:i/>
          <w:lang w:val="en-US"/>
        </w:rPr>
        <w:t>Oklahoma Press Pub. Co. v. Walling</w:t>
      </w:r>
      <w:r w:rsidRPr="0085626E">
        <w:rPr>
          <w:lang w:val="en-US"/>
        </w:rPr>
        <w:t>, 327 U.S. 186, 189</w:t>
      </w:r>
      <w:r>
        <w:rPr>
          <w:lang w:val="en-US"/>
        </w:rPr>
        <w:t xml:space="preserve"> = 66 S. Ct. </w:t>
      </w:r>
      <w:r w:rsidRPr="0085626E">
        <w:rPr>
          <w:lang w:val="en-US"/>
        </w:rPr>
        <w:t>494, 495</w:t>
      </w:r>
      <w:r>
        <w:rPr>
          <w:lang w:val="en-US"/>
        </w:rPr>
        <w:t xml:space="preserve"> = 90 L. Ed. </w:t>
      </w:r>
      <w:r w:rsidRPr="0085626E">
        <w:rPr>
          <w:lang w:val="en-US"/>
        </w:rPr>
        <w:t>614, 619</w:t>
      </w:r>
      <w:r>
        <w:rPr>
          <w:lang w:val="en-US"/>
        </w:rPr>
        <w:t xml:space="preserve"> = 1946 U.S. LEXIS </w:t>
      </w:r>
      <w:r w:rsidRPr="0085626E">
        <w:rPr>
          <w:lang w:val="en-US"/>
        </w:rPr>
        <w:t>3089, 5</w:t>
      </w:r>
      <w:r>
        <w:rPr>
          <w:lang w:val="en-US"/>
        </w:rPr>
        <w:t>–</w:t>
      </w:r>
      <w:r w:rsidRPr="0085626E">
        <w:rPr>
          <w:lang w:val="en-US"/>
        </w:rPr>
        <w:t>6</w:t>
      </w:r>
      <w:r>
        <w:rPr>
          <w:lang w:val="en-US"/>
        </w:rPr>
        <w:t xml:space="preserve"> = 10 Lab. Cas. </w:t>
      </w:r>
      <w:r w:rsidRPr="0085626E">
        <w:rPr>
          <w:lang w:val="en-US"/>
        </w:rPr>
        <w:t>(CCH) P51,222</w:t>
      </w:r>
      <w:r>
        <w:rPr>
          <w:lang w:val="en-US"/>
        </w:rPr>
        <w:t xml:space="preserve"> = 166 A.L.R. </w:t>
      </w:r>
      <w:r w:rsidRPr="0085626E">
        <w:rPr>
          <w:lang w:val="en-US"/>
        </w:rPr>
        <w:t>531 (1946)</w:t>
      </w:r>
      <w:r>
        <w:rPr>
          <w:lang w:val="en-US"/>
        </w:rPr>
        <w:t>.</w:t>
      </w:r>
    </w:p>
  </w:footnote>
  <w:footnote w:id="2108">
    <w:p w14:paraId="7957A346" w14:textId="77777777" w:rsidR="00074551" w:rsidRPr="0085626E" w:rsidRDefault="00074551" w:rsidP="00074551">
      <w:pPr>
        <w:pStyle w:val="Funotentext"/>
        <w:rPr>
          <w:lang w:val="en-US"/>
        </w:rPr>
      </w:pPr>
      <w:r>
        <w:rPr>
          <w:rStyle w:val="Funotenzeichen"/>
        </w:rPr>
        <w:footnoteRef/>
      </w:r>
      <w:r w:rsidRPr="0085626E">
        <w:rPr>
          <w:lang w:val="en-US"/>
        </w:rPr>
        <w:t xml:space="preserve"> </w:t>
      </w:r>
      <w:r w:rsidRPr="00AB01D2">
        <w:rPr>
          <w:i/>
          <w:lang w:val="en-US"/>
        </w:rPr>
        <w:t>Oklahoma Press Pub. Co. v. Walling</w:t>
      </w:r>
      <w:r w:rsidRPr="0085626E">
        <w:rPr>
          <w:lang w:val="en-US"/>
        </w:rPr>
        <w:t>, 327 U.S. 186, 189</w:t>
      </w:r>
      <w:r>
        <w:rPr>
          <w:lang w:val="en-US"/>
        </w:rPr>
        <w:t xml:space="preserve"> = 66 S. Ct. </w:t>
      </w:r>
      <w:r w:rsidRPr="0085626E">
        <w:rPr>
          <w:lang w:val="en-US"/>
        </w:rPr>
        <w:t>494, 495</w:t>
      </w:r>
      <w:r>
        <w:rPr>
          <w:lang w:val="en-US"/>
        </w:rPr>
        <w:t xml:space="preserve"> = 90 L. Ed. </w:t>
      </w:r>
      <w:r w:rsidRPr="0085626E">
        <w:rPr>
          <w:lang w:val="en-US"/>
        </w:rPr>
        <w:t>614, 619</w:t>
      </w:r>
      <w:r>
        <w:rPr>
          <w:lang w:val="en-US"/>
        </w:rPr>
        <w:t xml:space="preserve"> = 1946 U.S. LEXIS </w:t>
      </w:r>
      <w:r w:rsidRPr="0085626E">
        <w:rPr>
          <w:lang w:val="en-US"/>
        </w:rPr>
        <w:t>3089, 2</w:t>
      </w:r>
      <w:r>
        <w:rPr>
          <w:lang w:val="en-US"/>
        </w:rPr>
        <w:t xml:space="preserve"> = 10 Lab. Cas. </w:t>
      </w:r>
      <w:r w:rsidRPr="0085626E">
        <w:rPr>
          <w:lang w:val="en-US"/>
        </w:rPr>
        <w:t>(CCH) P51,222</w:t>
      </w:r>
      <w:r>
        <w:rPr>
          <w:lang w:val="en-US"/>
        </w:rPr>
        <w:t xml:space="preserve"> = 166 A.L.R. </w:t>
      </w:r>
      <w:r w:rsidRPr="0085626E">
        <w:rPr>
          <w:lang w:val="en-US"/>
        </w:rPr>
        <w:t>531 (1946)</w:t>
      </w:r>
      <w:r>
        <w:rPr>
          <w:lang w:val="en-US"/>
        </w:rPr>
        <w:t>.</w:t>
      </w:r>
    </w:p>
  </w:footnote>
  <w:footnote w:id="2109">
    <w:p w14:paraId="321FAAD1" w14:textId="77777777" w:rsidR="00074551" w:rsidRPr="00254872" w:rsidRDefault="00074551" w:rsidP="00074551">
      <w:pPr>
        <w:pStyle w:val="Funotentext"/>
        <w:rPr>
          <w:lang w:val="en-US"/>
        </w:rPr>
      </w:pPr>
      <w:r>
        <w:rPr>
          <w:rStyle w:val="Funotenzeichen"/>
          <w:rFonts w:eastAsiaTheme="majorEastAsia"/>
        </w:rPr>
        <w:footnoteRef/>
      </w:r>
      <w:r w:rsidRPr="00254872">
        <w:rPr>
          <w:lang w:val="en-US"/>
        </w:rPr>
        <w:t xml:space="preserve"> </w:t>
      </w:r>
      <w:r w:rsidRPr="00AB01D2">
        <w:rPr>
          <w:i/>
          <w:lang w:val="en-US"/>
        </w:rPr>
        <w:t>Oklahoma Press Pub. Co. v. Walling</w:t>
      </w:r>
      <w:r w:rsidRPr="0085626E">
        <w:rPr>
          <w:lang w:val="en-US"/>
        </w:rPr>
        <w:t>, 327 U.S. 186, 203</w:t>
      </w:r>
      <w:r>
        <w:rPr>
          <w:lang w:val="en-US"/>
        </w:rPr>
        <w:t xml:space="preserve"> = 66 S. Ct. </w:t>
      </w:r>
      <w:r w:rsidRPr="0085626E">
        <w:rPr>
          <w:lang w:val="en-US"/>
        </w:rPr>
        <w:t>494, 502</w:t>
      </w:r>
      <w:r>
        <w:rPr>
          <w:lang w:val="en-US"/>
        </w:rPr>
        <w:t xml:space="preserve"> = 90 L. Ed. </w:t>
      </w:r>
      <w:r w:rsidRPr="0085626E">
        <w:rPr>
          <w:lang w:val="en-US"/>
        </w:rPr>
        <w:t>614, 626</w:t>
      </w:r>
      <w:r>
        <w:rPr>
          <w:lang w:val="en-US"/>
        </w:rPr>
        <w:t xml:space="preserve"> = 1946 U.S. LEXIS </w:t>
      </w:r>
      <w:r w:rsidRPr="0085626E">
        <w:rPr>
          <w:lang w:val="en-US"/>
        </w:rPr>
        <w:t>3089, 30</w:t>
      </w:r>
      <w:r>
        <w:rPr>
          <w:lang w:val="en-US"/>
        </w:rPr>
        <w:t xml:space="preserve"> = 10 Lab. Cas. </w:t>
      </w:r>
      <w:r w:rsidRPr="0085626E">
        <w:rPr>
          <w:lang w:val="en-US"/>
        </w:rPr>
        <w:t>(CCH) P51,222</w:t>
      </w:r>
      <w:r>
        <w:rPr>
          <w:lang w:val="en-US"/>
        </w:rPr>
        <w:t xml:space="preserve"> = 166 A.L.R. </w:t>
      </w:r>
      <w:r w:rsidRPr="0085626E">
        <w:rPr>
          <w:lang w:val="en-US"/>
        </w:rPr>
        <w:t>531 (1946)</w:t>
      </w:r>
    </w:p>
  </w:footnote>
  <w:footnote w:id="2110">
    <w:p w14:paraId="03E8ED78" w14:textId="77777777" w:rsidR="00074551" w:rsidRPr="00EC7539" w:rsidRDefault="00074551" w:rsidP="00074551">
      <w:pPr>
        <w:pStyle w:val="Funotentext"/>
        <w:tabs>
          <w:tab w:val="left" w:pos="13990"/>
        </w:tabs>
        <w:rPr>
          <w:lang w:val="en-US"/>
        </w:rPr>
      </w:pPr>
      <w:r>
        <w:rPr>
          <w:rStyle w:val="Funotenzeichen"/>
          <w:rFonts w:eastAsiaTheme="majorEastAsia"/>
        </w:rPr>
        <w:footnoteRef/>
      </w:r>
      <w:r w:rsidRPr="00254872">
        <w:rPr>
          <w:lang w:val="en-US"/>
        </w:rPr>
        <w:t xml:space="preserve"> </w:t>
      </w:r>
      <w:bookmarkStart w:id="89" w:name="_Hlk227833757"/>
      <w:r>
        <w:rPr>
          <w:lang w:val="en-US"/>
        </w:rPr>
        <w:t>Dissens von Richter</w:t>
      </w:r>
      <w:r w:rsidRPr="00254872">
        <w:rPr>
          <w:lang w:val="en-US"/>
        </w:rPr>
        <w:t xml:space="preserve"> </w:t>
      </w:r>
      <w:r w:rsidRPr="00D67593">
        <w:rPr>
          <w:i/>
          <w:lang w:val="en-US"/>
        </w:rPr>
        <w:t>Brandeis</w:t>
      </w:r>
      <w:r w:rsidRPr="00254872">
        <w:rPr>
          <w:lang w:val="en-US"/>
        </w:rPr>
        <w:t xml:space="preserve"> in </w:t>
      </w:r>
      <w:r w:rsidRPr="009167A5">
        <w:rPr>
          <w:i/>
          <w:lang w:val="en-US"/>
        </w:rPr>
        <w:t>Olmstead v. United States</w:t>
      </w:r>
      <w:r w:rsidRPr="00254872">
        <w:rPr>
          <w:lang w:val="en-US"/>
        </w:rPr>
        <w:t xml:space="preserve">, 277 </w:t>
      </w:r>
      <w:bookmarkEnd w:id="89"/>
      <w:r w:rsidRPr="00254872">
        <w:rPr>
          <w:lang w:val="en-US"/>
        </w:rPr>
        <w:t>U.S. 438, 478</w:t>
      </w:r>
      <w:r>
        <w:rPr>
          <w:lang w:val="en-US"/>
        </w:rPr>
        <w:t>–</w:t>
      </w:r>
      <w:r w:rsidRPr="00254872">
        <w:rPr>
          <w:lang w:val="en-US"/>
        </w:rPr>
        <w:t>479</w:t>
      </w:r>
      <w:r>
        <w:rPr>
          <w:lang w:val="en-US"/>
        </w:rPr>
        <w:t xml:space="preserve">; </w:t>
      </w:r>
      <w:proofErr w:type="spellStart"/>
      <w:r>
        <w:rPr>
          <w:lang w:val="en-US"/>
        </w:rPr>
        <w:t>zitiert</w:t>
      </w:r>
      <w:proofErr w:type="spellEnd"/>
      <w:r>
        <w:rPr>
          <w:lang w:val="en-US"/>
        </w:rPr>
        <w:t xml:space="preserve"> in </w:t>
      </w:r>
      <w:r w:rsidRPr="00AB01D2">
        <w:rPr>
          <w:i/>
          <w:lang w:val="en-US"/>
        </w:rPr>
        <w:t>Oklahoma Press Pub. Co. v. Walling</w:t>
      </w:r>
      <w:r w:rsidRPr="00254872">
        <w:rPr>
          <w:lang w:val="en-US"/>
        </w:rPr>
        <w:t>, 327 U.S. 186, 203</w:t>
      </w:r>
      <w:r>
        <w:rPr>
          <w:lang w:val="en-US"/>
        </w:rPr>
        <w:t xml:space="preserve"> = 66 S. Ct. </w:t>
      </w:r>
      <w:r w:rsidRPr="00254872">
        <w:rPr>
          <w:lang w:val="en-US"/>
        </w:rPr>
        <w:t>494, 502</w:t>
      </w:r>
      <w:r>
        <w:rPr>
          <w:lang w:val="en-US"/>
        </w:rPr>
        <w:t xml:space="preserve"> = 90 L. Ed. </w:t>
      </w:r>
      <w:r w:rsidRPr="00254872">
        <w:rPr>
          <w:lang w:val="en-US"/>
        </w:rPr>
        <w:t>614, 626</w:t>
      </w:r>
      <w:r>
        <w:rPr>
          <w:lang w:val="en-US"/>
        </w:rPr>
        <w:t xml:space="preserve"> = 1946 U.S. LEXIS </w:t>
      </w:r>
      <w:r w:rsidRPr="00254872">
        <w:rPr>
          <w:lang w:val="en-US"/>
        </w:rPr>
        <w:t>3089, 30</w:t>
      </w:r>
      <w:r>
        <w:rPr>
          <w:lang w:val="en-US"/>
        </w:rPr>
        <w:t xml:space="preserve"> = 10 Lab. Cas. </w:t>
      </w:r>
      <w:r w:rsidRPr="00254872">
        <w:rPr>
          <w:lang w:val="en-US"/>
        </w:rPr>
        <w:t>(CCH) P51,222</w:t>
      </w:r>
      <w:r>
        <w:rPr>
          <w:lang w:val="en-US"/>
        </w:rPr>
        <w:t xml:space="preserve"> = 166 A.L.R. </w:t>
      </w:r>
      <w:r w:rsidRPr="00254872">
        <w:rPr>
          <w:lang w:val="en-US"/>
        </w:rPr>
        <w:t>531 (1946)</w:t>
      </w:r>
      <w:r>
        <w:rPr>
          <w:lang w:val="en-US"/>
        </w:rPr>
        <w:t>.</w:t>
      </w:r>
    </w:p>
  </w:footnote>
  <w:footnote w:id="2111">
    <w:p w14:paraId="19EACA65" w14:textId="77777777" w:rsidR="00074551" w:rsidRPr="00EC7539" w:rsidRDefault="00074551" w:rsidP="00074551">
      <w:pPr>
        <w:pStyle w:val="Funotentext"/>
        <w:rPr>
          <w:lang w:val="en-US"/>
        </w:rPr>
      </w:pPr>
      <w:r>
        <w:rPr>
          <w:rStyle w:val="Funotenzeichen"/>
          <w:rFonts w:eastAsiaTheme="majorEastAsia"/>
        </w:rPr>
        <w:footnoteRef/>
      </w:r>
      <w:r w:rsidRPr="003D5E4F">
        <w:rPr>
          <w:lang w:val="en-US"/>
        </w:rPr>
        <w:t xml:space="preserve"> </w:t>
      </w:r>
      <w:r w:rsidRPr="00AB01D2">
        <w:rPr>
          <w:i/>
          <w:lang w:val="en-US"/>
        </w:rPr>
        <w:t>Oklahoma Press Pub. Co. v. Walling</w:t>
      </w:r>
      <w:r w:rsidRPr="003D5E4F">
        <w:rPr>
          <w:lang w:val="en-US"/>
        </w:rPr>
        <w:t>, 327 U.S. 186, 208</w:t>
      </w:r>
      <w:r>
        <w:rPr>
          <w:lang w:val="en-US"/>
        </w:rPr>
        <w:t xml:space="preserve"> = 66 S. Ct. </w:t>
      </w:r>
      <w:r w:rsidRPr="003D5E4F">
        <w:rPr>
          <w:lang w:val="en-US"/>
        </w:rPr>
        <w:t>494, 505</w:t>
      </w:r>
      <w:r>
        <w:rPr>
          <w:lang w:val="en-US"/>
        </w:rPr>
        <w:t xml:space="preserve"> = 90 L. Ed. </w:t>
      </w:r>
      <w:r w:rsidRPr="003D5E4F">
        <w:rPr>
          <w:lang w:val="en-US"/>
        </w:rPr>
        <w:t>614, 629</w:t>
      </w:r>
      <w:r>
        <w:rPr>
          <w:lang w:val="en-US"/>
        </w:rPr>
        <w:t xml:space="preserve"> = 1946 U.S. LEXIS </w:t>
      </w:r>
      <w:r w:rsidRPr="003D5E4F">
        <w:rPr>
          <w:lang w:val="en-US"/>
        </w:rPr>
        <w:t>3089, 36</w:t>
      </w:r>
      <w:r>
        <w:rPr>
          <w:lang w:val="en-US"/>
        </w:rPr>
        <w:t xml:space="preserve"> = 10 Lab. Cas. </w:t>
      </w:r>
      <w:r w:rsidRPr="00EC7539">
        <w:rPr>
          <w:lang w:val="en-US"/>
        </w:rPr>
        <w:t>(CCH) P51,222</w:t>
      </w:r>
      <w:r>
        <w:rPr>
          <w:lang w:val="en-US"/>
        </w:rPr>
        <w:t xml:space="preserve"> = 166 A.L.R. </w:t>
      </w:r>
      <w:r w:rsidRPr="00EC7539">
        <w:rPr>
          <w:lang w:val="en-US"/>
        </w:rPr>
        <w:t>531 (1946)</w:t>
      </w:r>
      <w:r>
        <w:rPr>
          <w:lang w:val="en-US"/>
        </w:rPr>
        <w:t>.</w:t>
      </w:r>
    </w:p>
  </w:footnote>
  <w:footnote w:id="2112">
    <w:p w14:paraId="5F634833" w14:textId="77777777" w:rsidR="00074551" w:rsidRPr="00CB24D0" w:rsidRDefault="00074551" w:rsidP="00074551">
      <w:pPr>
        <w:pStyle w:val="Funotentext"/>
        <w:rPr>
          <w:lang w:val="en-US"/>
        </w:rPr>
      </w:pPr>
      <w:r>
        <w:rPr>
          <w:rStyle w:val="Funotenzeichen"/>
          <w:rFonts w:eastAsiaTheme="majorEastAsia"/>
        </w:rPr>
        <w:footnoteRef/>
      </w:r>
      <w:r w:rsidRPr="00CB24D0">
        <w:rPr>
          <w:lang w:val="en-US"/>
        </w:rPr>
        <w:t xml:space="preserve"> </w:t>
      </w:r>
      <w:r w:rsidRPr="004F13B1">
        <w:rPr>
          <w:i/>
          <w:lang w:val="en-US"/>
        </w:rPr>
        <w:t>Ingraham v. Wright</w:t>
      </w:r>
      <w:r w:rsidRPr="00CB24D0">
        <w:rPr>
          <w:lang w:val="en-US"/>
        </w:rPr>
        <w:t>, 430 U.S. 651 (1977)</w:t>
      </w:r>
      <w:r>
        <w:rPr>
          <w:lang w:val="en-US"/>
        </w:rPr>
        <w:t xml:space="preserve">; </w:t>
      </w:r>
      <w:r w:rsidRPr="004F13B1">
        <w:rPr>
          <w:i/>
          <w:lang w:val="en-US"/>
        </w:rPr>
        <w:t>Pruneyard Shopping Ctr. v. Robins</w:t>
      </w:r>
      <w:r w:rsidRPr="00CB24D0">
        <w:rPr>
          <w:lang w:val="en-US"/>
        </w:rPr>
        <w:t>, 447 U.S. 74, 94</w:t>
      </w:r>
      <w:r>
        <w:rPr>
          <w:lang w:val="en-US"/>
        </w:rPr>
        <w:t xml:space="preserve"> = 100 S. Ct.</w:t>
      </w:r>
      <w:r w:rsidRPr="00CB24D0">
        <w:rPr>
          <w:lang w:val="en-US"/>
        </w:rPr>
        <w:t xml:space="preserve"> 2035, 2047</w:t>
      </w:r>
      <w:r>
        <w:rPr>
          <w:lang w:val="en-US"/>
        </w:rPr>
        <w:t xml:space="preserve"> = 64 L. Ed. </w:t>
      </w:r>
      <w:r w:rsidRPr="00CB24D0">
        <w:rPr>
          <w:lang w:val="en-US"/>
        </w:rPr>
        <w:t>2d 741, 760</w:t>
      </w:r>
      <w:r>
        <w:rPr>
          <w:lang w:val="en-US"/>
        </w:rPr>
        <w:t xml:space="preserve"> = 1980 U.S. LEXIS </w:t>
      </w:r>
      <w:r w:rsidRPr="00CB24D0">
        <w:rPr>
          <w:lang w:val="en-US"/>
        </w:rPr>
        <w:t>129, 37</w:t>
      </w:r>
      <w:r>
        <w:rPr>
          <w:lang w:val="en-US"/>
        </w:rPr>
        <w:t xml:space="preserve"> = 6 Media L. Rep. </w:t>
      </w:r>
      <w:r w:rsidRPr="00CB24D0">
        <w:rPr>
          <w:lang w:val="en-US"/>
        </w:rPr>
        <w:t>1311 (1980)</w:t>
      </w:r>
      <w:r>
        <w:rPr>
          <w:lang w:val="en-US"/>
        </w:rPr>
        <w:t>.</w:t>
      </w:r>
    </w:p>
  </w:footnote>
  <w:footnote w:id="2113">
    <w:p w14:paraId="7ED5BF9D" w14:textId="77777777" w:rsidR="00074551" w:rsidRPr="00637598" w:rsidRDefault="00074551" w:rsidP="00074551">
      <w:pPr>
        <w:pStyle w:val="Funotentext"/>
        <w:ind w:left="227" w:hanging="227"/>
        <w:rPr>
          <w:lang w:val="en-US"/>
        </w:rPr>
      </w:pPr>
      <w:r>
        <w:rPr>
          <w:rStyle w:val="Funotenzeichen"/>
          <w:rFonts w:eastAsiaTheme="majorEastAsia"/>
        </w:rPr>
        <w:footnoteRef/>
      </w:r>
      <w:r w:rsidRPr="00637598">
        <w:rPr>
          <w:lang w:val="en-US"/>
        </w:rPr>
        <w:t xml:space="preserve"> </w:t>
      </w:r>
      <w:r w:rsidRPr="004F13B1">
        <w:rPr>
          <w:i/>
          <w:lang w:val="en-US"/>
        </w:rPr>
        <w:t>Pruneyard Shopping Ctr. v. Robins</w:t>
      </w:r>
      <w:r w:rsidRPr="00637598">
        <w:rPr>
          <w:lang w:val="en-US"/>
        </w:rPr>
        <w:t>, 447 U.S. 74, 93</w:t>
      </w:r>
      <w:r>
        <w:rPr>
          <w:lang w:val="en-US"/>
        </w:rPr>
        <w:t xml:space="preserve"> = 100 S. Ct.</w:t>
      </w:r>
      <w:r w:rsidRPr="00637598">
        <w:rPr>
          <w:lang w:val="en-US"/>
        </w:rPr>
        <w:t xml:space="preserve"> 2035, 2047</w:t>
      </w:r>
      <w:r>
        <w:rPr>
          <w:lang w:val="en-US"/>
        </w:rPr>
        <w:t xml:space="preserve"> = 64 L. Ed. </w:t>
      </w:r>
      <w:r w:rsidRPr="00637598">
        <w:rPr>
          <w:lang w:val="en-US"/>
        </w:rPr>
        <w:t>2d 741, 760</w:t>
      </w:r>
      <w:r>
        <w:rPr>
          <w:lang w:val="en-US"/>
        </w:rPr>
        <w:t xml:space="preserve"> = 1980 U.S. LEXIS </w:t>
      </w:r>
      <w:r w:rsidRPr="00637598">
        <w:rPr>
          <w:lang w:val="en-US"/>
        </w:rPr>
        <w:t>129, 36</w:t>
      </w:r>
      <w:r>
        <w:rPr>
          <w:lang w:val="en-US"/>
        </w:rPr>
        <w:t xml:space="preserve"> = 6 Media L. Rep. </w:t>
      </w:r>
      <w:r w:rsidRPr="00637598">
        <w:rPr>
          <w:lang w:val="en-US"/>
        </w:rPr>
        <w:t>1311 (1980)</w:t>
      </w:r>
      <w:r>
        <w:rPr>
          <w:lang w:val="en-US"/>
        </w:rPr>
        <w:t>.</w:t>
      </w:r>
    </w:p>
  </w:footnote>
  <w:footnote w:id="2114">
    <w:p w14:paraId="6924EA3C" w14:textId="77777777" w:rsidR="00074551" w:rsidRPr="00637598" w:rsidRDefault="00074551" w:rsidP="00074551">
      <w:pPr>
        <w:pStyle w:val="Funotentext"/>
        <w:ind w:left="227" w:hanging="227"/>
        <w:rPr>
          <w:lang w:val="en-US"/>
        </w:rPr>
      </w:pPr>
      <w:r>
        <w:rPr>
          <w:rStyle w:val="Funotenzeichen"/>
          <w:rFonts w:eastAsiaTheme="majorEastAsia"/>
        </w:rPr>
        <w:footnoteRef/>
      </w:r>
      <w:r w:rsidRPr="00637598">
        <w:rPr>
          <w:lang w:val="en-US"/>
        </w:rPr>
        <w:t xml:space="preserve"> </w:t>
      </w:r>
      <w:r w:rsidRPr="004F13B1">
        <w:rPr>
          <w:i/>
          <w:lang w:val="en-US"/>
        </w:rPr>
        <w:t>Pruneyard Shopping Ctr. v. Robins</w:t>
      </w:r>
      <w:r w:rsidRPr="00637598">
        <w:rPr>
          <w:lang w:val="en-US"/>
        </w:rPr>
        <w:t>, 447 U.S. 74, 93</w:t>
      </w:r>
      <w:r>
        <w:rPr>
          <w:lang w:val="en-US"/>
        </w:rPr>
        <w:t xml:space="preserve"> = 100 S. Ct.</w:t>
      </w:r>
      <w:r w:rsidRPr="00637598">
        <w:rPr>
          <w:lang w:val="en-US"/>
        </w:rPr>
        <w:t xml:space="preserve"> 2035, 2047</w:t>
      </w:r>
      <w:r>
        <w:rPr>
          <w:lang w:val="en-US"/>
        </w:rPr>
        <w:t xml:space="preserve"> = 64 L. Ed. </w:t>
      </w:r>
      <w:r w:rsidRPr="00637598">
        <w:rPr>
          <w:lang w:val="en-US"/>
        </w:rPr>
        <w:t>2d 741, 760</w:t>
      </w:r>
      <w:r>
        <w:rPr>
          <w:lang w:val="en-US"/>
        </w:rPr>
        <w:t xml:space="preserve"> = 1980 U.S. LEXIS </w:t>
      </w:r>
      <w:r w:rsidRPr="00637598">
        <w:rPr>
          <w:lang w:val="en-US"/>
        </w:rPr>
        <w:t>129, 36</w:t>
      </w:r>
      <w:r>
        <w:rPr>
          <w:lang w:val="en-US"/>
        </w:rPr>
        <w:t xml:space="preserve"> = 6 Media L. Rep. </w:t>
      </w:r>
      <w:r w:rsidRPr="00637598">
        <w:rPr>
          <w:lang w:val="en-US"/>
        </w:rPr>
        <w:t>1311 (1980)</w:t>
      </w:r>
      <w:r>
        <w:rPr>
          <w:lang w:val="en-US"/>
        </w:rPr>
        <w:t>.</w:t>
      </w:r>
    </w:p>
  </w:footnote>
  <w:footnote w:id="2115">
    <w:p w14:paraId="483AF7E8" w14:textId="77777777" w:rsidR="00074551" w:rsidRPr="00BD1CEB" w:rsidRDefault="00074551" w:rsidP="00074551">
      <w:pPr>
        <w:pStyle w:val="Funotentext"/>
        <w:rPr>
          <w:lang w:val="en-US"/>
        </w:rPr>
      </w:pPr>
      <w:r>
        <w:rPr>
          <w:rStyle w:val="Funotenzeichen"/>
          <w:rFonts w:eastAsiaTheme="majorEastAsia"/>
        </w:rPr>
        <w:footnoteRef/>
      </w:r>
      <w:r w:rsidRPr="00BD1CEB">
        <w:rPr>
          <w:lang w:val="en-US"/>
        </w:rPr>
        <w:t xml:space="preserve"> </w:t>
      </w:r>
      <w:r w:rsidRPr="004F13B1">
        <w:rPr>
          <w:i/>
          <w:lang w:val="en-US"/>
        </w:rPr>
        <w:t>Ingraham v. Wright</w:t>
      </w:r>
      <w:r w:rsidRPr="00BD1CEB">
        <w:rPr>
          <w:lang w:val="en-US"/>
        </w:rPr>
        <w:t>, 430 U.S. 651 (1977)</w:t>
      </w:r>
      <w:r>
        <w:rPr>
          <w:lang w:val="en-US"/>
        </w:rPr>
        <w:t xml:space="preserve">, </w:t>
      </w:r>
      <w:proofErr w:type="spellStart"/>
      <w:r>
        <w:rPr>
          <w:lang w:val="en-US"/>
        </w:rPr>
        <w:t>zitiert</w:t>
      </w:r>
      <w:proofErr w:type="spellEnd"/>
      <w:r>
        <w:rPr>
          <w:lang w:val="en-US"/>
        </w:rPr>
        <w:t xml:space="preserve"> in </w:t>
      </w:r>
      <w:proofErr w:type="spellStart"/>
      <w:r w:rsidRPr="00B45592">
        <w:rPr>
          <w:i/>
          <w:lang w:val="en-IE"/>
        </w:rPr>
        <w:t>Pruneyard</w:t>
      </w:r>
      <w:proofErr w:type="spellEnd"/>
      <w:r w:rsidRPr="00B45592">
        <w:rPr>
          <w:i/>
          <w:lang w:val="en-IE"/>
        </w:rPr>
        <w:t xml:space="preserve"> Shopping Ctr. v. Robins</w:t>
      </w:r>
      <w:r w:rsidRPr="00A30BC0">
        <w:rPr>
          <w:lang w:val="en-IE"/>
        </w:rPr>
        <w:t>, 447 U.S. 74, 94</w:t>
      </w:r>
      <w:r>
        <w:rPr>
          <w:lang w:val="en-IE"/>
        </w:rPr>
        <w:t xml:space="preserve"> =</w:t>
      </w:r>
      <w:r w:rsidRPr="00A30BC0">
        <w:rPr>
          <w:lang w:val="en-IE"/>
        </w:rPr>
        <w:t xml:space="preserve"> 100 S. Ct. 2035, 2047</w:t>
      </w:r>
      <w:r>
        <w:rPr>
          <w:lang w:val="en-IE"/>
        </w:rPr>
        <w:t xml:space="preserve"> =</w:t>
      </w:r>
      <w:r w:rsidRPr="00A30BC0">
        <w:rPr>
          <w:lang w:val="en-IE"/>
        </w:rPr>
        <w:t xml:space="preserve"> 64 L. Ed. 2d 741, 760</w:t>
      </w:r>
      <w:r>
        <w:rPr>
          <w:lang w:val="en-IE"/>
        </w:rPr>
        <w:t xml:space="preserve"> =</w:t>
      </w:r>
      <w:r w:rsidRPr="00A30BC0">
        <w:rPr>
          <w:lang w:val="en-IE"/>
        </w:rPr>
        <w:t xml:space="preserve"> 1980 U.S. LEXIS 129, 37</w:t>
      </w:r>
      <w:r>
        <w:rPr>
          <w:lang w:val="en-IE"/>
        </w:rPr>
        <w:t xml:space="preserve"> =</w:t>
      </w:r>
      <w:r w:rsidRPr="00A30BC0">
        <w:rPr>
          <w:lang w:val="en-IE"/>
        </w:rPr>
        <w:t xml:space="preserve"> 6 Media L. Rep. 1311 (1980)</w:t>
      </w:r>
      <w:r>
        <w:rPr>
          <w:lang w:val="en-IE"/>
        </w:rPr>
        <w:t>.</w:t>
      </w:r>
    </w:p>
  </w:footnote>
  <w:footnote w:id="2116">
    <w:p w14:paraId="19455FA4" w14:textId="77777777" w:rsidR="00074551" w:rsidRPr="00BD1CEB" w:rsidRDefault="00074551" w:rsidP="00074551">
      <w:pPr>
        <w:pStyle w:val="Funotentext"/>
        <w:rPr>
          <w:lang w:val="en-US"/>
        </w:rPr>
      </w:pPr>
      <w:r>
        <w:rPr>
          <w:rStyle w:val="Funotenzeichen"/>
          <w:rFonts w:eastAsiaTheme="majorEastAsia"/>
        </w:rPr>
        <w:footnoteRef/>
      </w:r>
      <w:r w:rsidRPr="00BD1CEB">
        <w:rPr>
          <w:lang w:val="en-US"/>
        </w:rPr>
        <w:t xml:space="preserve"> </w:t>
      </w:r>
      <w:r w:rsidRPr="004F13B1">
        <w:rPr>
          <w:i/>
          <w:lang w:val="en-US"/>
        </w:rPr>
        <w:t>Pruneyard Shopping Ctr. v. Robins</w:t>
      </w:r>
      <w:r w:rsidRPr="00BD1CEB">
        <w:rPr>
          <w:lang w:val="en-US"/>
        </w:rPr>
        <w:t>, 447 U.S. 74, 94</w:t>
      </w:r>
      <w:r>
        <w:rPr>
          <w:lang w:val="en-US"/>
        </w:rPr>
        <w:t xml:space="preserve"> = 100 S. Ct.</w:t>
      </w:r>
      <w:r w:rsidRPr="00BD1CEB">
        <w:rPr>
          <w:lang w:val="en-US"/>
        </w:rPr>
        <w:t xml:space="preserve"> 2035, 2047</w:t>
      </w:r>
      <w:r>
        <w:rPr>
          <w:lang w:val="en-US"/>
        </w:rPr>
        <w:t xml:space="preserve"> = 64 L. Ed. </w:t>
      </w:r>
      <w:r w:rsidRPr="00BD1CEB">
        <w:rPr>
          <w:lang w:val="en-US"/>
        </w:rPr>
        <w:t>2d 741, 760</w:t>
      </w:r>
      <w:r>
        <w:rPr>
          <w:lang w:val="en-US"/>
        </w:rPr>
        <w:t xml:space="preserve"> = 1980 U.S. LEXIS </w:t>
      </w:r>
      <w:r w:rsidRPr="00BD1CEB">
        <w:rPr>
          <w:lang w:val="en-US"/>
        </w:rPr>
        <w:t>129, 37</w:t>
      </w:r>
      <w:r>
        <w:rPr>
          <w:lang w:val="en-US"/>
        </w:rPr>
        <w:t xml:space="preserve"> = 6 Media L. Rep. </w:t>
      </w:r>
      <w:r w:rsidRPr="00BD1CEB">
        <w:rPr>
          <w:lang w:val="en-US"/>
        </w:rPr>
        <w:t>1311 (1980)</w:t>
      </w:r>
      <w:r>
        <w:rPr>
          <w:lang w:val="en-US"/>
        </w:rPr>
        <w:t>.</w:t>
      </w:r>
    </w:p>
  </w:footnote>
  <w:footnote w:id="2117">
    <w:p w14:paraId="1572E0AF" w14:textId="77777777" w:rsidR="00074551" w:rsidRPr="00BD1CEB" w:rsidRDefault="00074551" w:rsidP="00074551">
      <w:pPr>
        <w:pStyle w:val="Funotentext"/>
        <w:rPr>
          <w:lang w:val="en-US"/>
        </w:rPr>
      </w:pPr>
      <w:r>
        <w:rPr>
          <w:rStyle w:val="Funotenzeichen"/>
          <w:rFonts w:eastAsiaTheme="majorEastAsia"/>
        </w:rPr>
        <w:footnoteRef/>
      </w:r>
      <w:r w:rsidRPr="00BD1CEB">
        <w:rPr>
          <w:lang w:val="en-US"/>
        </w:rPr>
        <w:t xml:space="preserve"> </w:t>
      </w:r>
      <w:r w:rsidRPr="00B45592">
        <w:rPr>
          <w:i/>
          <w:lang w:val="en-US"/>
        </w:rPr>
        <w:t>New York Central R. Co. v. White</w:t>
      </w:r>
      <w:r w:rsidRPr="00BD1CEB">
        <w:rPr>
          <w:lang w:val="en-US"/>
        </w:rPr>
        <w:t>, 243 U.S. 188, 201 (1917)</w:t>
      </w:r>
      <w:r>
        <w:rPr>
          <w:lang w:val="en-US"/>
        </w:rPr>
        <w:t xml:space="preserve">; </w:t>
      </w:r>
      <w:r w:rsidRPr="004F13B1">
        <w:rPr>
          <w:i/>
          <w:lang w:val="en-US"/>
        </w:rPr>
        <w:t>Pruneyard Shopping Ctr. v. Robins</w:t>
      </w:r>
      <w:r w:rsidRPr="00BD1CEB">
        <w:rPr>
          <w:lang w:val="en-US"/>
        </w:rPr>
        <w:t>, 447 U.S. 74, 94</w:t>
      </w:r>
      <w:r>
        <w:rPr>
          <w:lang w:val="en-US"/>
        </w:rPr>
        <w:t xml:space="preserve"> = 100 S. Ct.</w:t>
      </w:r>
      <w:r w:rsidRPr="00BD1CEB">
        <w:rPr>
          <w:lang w:val="en-US"/>
        </w:rPr>
        <w:t xml:space="preserve"> 2035, 2047</w:t>
      </w:r>
      <w:r>
        <w:rPr>
          <w:lang w:val="en-US"/>
        </w:rPr>
        <w:t xml:space="preserve"> = 64 L. Ed. </w:t>
      </w:r>
      <w:r w:rsidRPr="00BD1CEB">
        <w:rPr>
          <w:lang w:val="en-US"/>
        </w:rPr>
        <w:t>2d 741, 760</w:t>
      </w:r>
      <w:r>
        <w:rPr>
          <w:lang w:val="en-US"/>
        </w:rPr>
        <w:t xml:space="preserve"> = 1980 U.S. LEXIS </w:t>
      </w:r>
      <w:r w:rsidRPr="00BD1CEB">
        <w:rPr>
          <w:lang w:val="en-US"/>
        </w:rPr>
        <w:t>129, 37</w:t>
      </w:r>
      <w:r>
        <w:rPr>
          <w:lang w:val="en-US"/>
        </w:rPr>
        <w:t xml:space="preserve"> = 6 Media L. Rep. </w:t>
      </w:r>
      <w:r w:rsidRPr="00BD1CEB">
        <w:rPr>
          <w:lang w:val="en-US"/>
        </w:rPr>
        <w:t>1311 (1980)</w:t>
      </w:r>
      <w:r>
        <w:rPr>
          <w:lang w:val="en-US"/>
        </w:rPr>
        <w:t>.</w:t>
      </w:r>
    </w:p>
  </w:footnote>
  <w:footnote w:id="2118">
    <w:p w14:paraId="732265B3" w14:textId="77777777" w:rsidR="00074551" w:rsidRPr="00DC32FB" w:rsidRDefault="00074551" w:rsidP="00074551">
      <w:pPr>
        <w:pStyle w:val="Funotentext"/>
        <w:jc w:val="both"/>
        <w:rPr>
          <w:lang w:val="en-US"/>
        </w:rPr>
      </w:pPr>
      <w:r>
        <w:rPr>
          <w:rStyle w:val="Funotenzeichen"/>
          <w:rFonts w:eastAsiaTheme="majorEastAsia"/>
        </w:rPr>
        <w:footnoteRef/>
      </w:r>
      <w:r w:rsidRPr="00DC32FB">
        <w:rPr>
          <w:lang w:val="en-US"/>
        </w:rPr>
        <w:t xml:space="preserve"> </w:t>
      </w:r>
      <w:r w:rsidRPr="00584023">
        <w:rPr>
          <w:i/>
          <w:lang w:val="en-US"/>
        </w:rPr>
        <w:t>Loving v. Virginia</w:t>
      </w:r>
      <w:r w:rsidRPr="00DC32FB">
        <w:rPr>
          <w:lang w:val="en-US"/>
        </w:rPr>
        <w:t>, 388 U.S. 1, 12 (1967)</w:t>
      </w:r>
      <w:r>
        <w:rPr>
          <w:lang w:val="en-US"/>
        </w:rPr>
        <w:t xml:space="preserve">; </w:t>
      </w:r>
      <w:r w:rsidRPr="00584023">
        <w:rPr>
          <w:i/>
          <w:lang w:val="en-US"/>
        </w:rPr>
        <w:t>Sosna v. Iowa</w:t>
      </w:r>
      <w:r w:rsidRPr="00DC32FB">
        <w:rPr>
          <w:lang w:val="en-US"/>
        </w:rPr>
        <w:t>, 419 U.S. 393, 420</w:t>
      </w:r>
      <w:r w:rsidRPr="003B741A">
        <w:rPr>
          <w:lang w:val="en-US"/>
        </w:rPr>
        <w:t xml:space="preserve"> = 95 S. Ct. </w:t>
      </w:r>
      <w:r w:rsidRPr="00DC32FB">
        <w:rPr>
          <w:lang w:val="en-US"/>
        </w:rPr>
        <w:t>553, 567</w:t>
      </w:r>
      <w:r w:rsidRPr="003B741A">
        <w:rPr>
          <w:lang w:val="en-US"/>
        </w:rPr>
        <w:t xml:space="preserve"> = 42 L. Ed. </w:t>
      </w:r>
      <w:r w:rsidRPr="00DC32FB">
        <w:rPr>
          <w:lang w:val="en-US"/>
        </w:rPr>
        <w:t>2d 532, 553</w:t>
      </w:r>
      <w:r w:rsidRPr="003B741A">
        <w:rPr>
          <w:lang w:val="en-US"/>
        </w:rPr>
        <w:t xml:space="preserve"> = 1975 U.S. LEXIS </w:t>
      </w:r>
      <w:r w:rsidRPr="00DC32FB">
        <w:rPr>
          <w:lang w:val="en-US"/>
        </w:rPr>
        <w:t>19, 49</w:t>
      </w:r>
      <w:r w:rsidRPr="003B741A">
        <w:rPr>
          <w:lang w:val="en-US"/>
        </w:rPr>
        <w:t xml:space="preserve"> = 19 Fed. R. Serv. </w:t>
      </w:r>
      <w:r w:rsidRPr="00DC32FB">
        <w:rPr>
          <w:lang w:val="en-US"/>
        </w:rPr>
        <w:t>2d (Callaghan) 925 (1975)</w:t>
      </w:r>
      <w:r>
        <w:rPr>
          <w:lang w:val="en-US"/>
        </w:rPr>
        <w:t>.</w:t>
      </w:r>
    </w:p>
  </w:footnote>
  <w:footnote w:id="2119">
    <w:p w14:paraId="09A472DA" w14:textId="77777777" w:rsidR="00074551" w:rsidRPr="00DC32FB" w:rsidRDefault="00074551" w:rsidP="00074551">
      <w:pPr>
        <w:pStyle w:val="Funotentext"/>
        <w:jc w:val="both"/>
        <w:rPr>
          <w:lang w:val="en-US"/>
        </w:rPr>
      </w:pPr>
      <w:r>
        <w:rPr>
          <w:rStyle w:val="Funotenzeichen"/>
          <w:rFonts w:eastAsiaTheme="majorEastAsia"/>
        </w:rPr>
        <w:footnoteRef/>
      </w:r>
      <w:r w:rsidRPr="00DC32FB">
        <w:rPr>
          <w:lang w:val="en-US"/>
        </w:rPr>
        <w:t xml:space="preserve"> </w:t>
      </w:r>
      <w:r>
        <w:rPr>
          <w:lang w:val="en-US"/>
        </w:rPr>
        <w:t xml:space="preserve">In </w:t>
      </w:r>
      <w:r w:rsidRPr="00B45592">
        <w:rPr>
          <w:i/>
          <w:lang w:val="en-US"/>
        </w:rPr>
        <w:t>Boddie v. Connecticut</w:t>
      </w:r>
      <w:r w:rsidRPr="00DC32FB">
        <w:rPr>
          <w:lang w:val="en-US"/>
        </w:rPr>
        <w:t>, 401 U.S. 371 (1971)</w:t>
      </w:r>
      <w:r>
        <w:rPr>
          <w:lang w:val="en-US"/>
        </w:rPr>
        <w:t xml:space="preserve">; </w:t>
      </w:r>
      <w:r w:rsidRPr="00584023">
        <w:rPr>
          <w:i/>
          <w:lang w:val="en-US"/>
        </w:rPr>
        <w:t>Sosna v. Iowa</w:t>
      </w:r>
      <w:r w:rsidRPr="00DC32FB">
        <w:rPr>
          <w:lang w:val="en-US"/>
        </w:rPr>
        <w:t>, 419 U.S. 393, 420</w:t>
      </w:r>
      <w:r w:rsidRPr="003B741A">
        <w:rPr>
          <w:lang w:val="en-US"/>
        </w:rPr>
        <w:t xml:space="preserve"> = 95 S. Ct. </w:t>
      </w:r>
      <w:r w:rsidRPr="00DC32FB">
        <w:rPr>
          <w:lang w:val="en-US"/>
        </w:rPr>
        <w:t>553, 567</w:t>
      </w:r>
      <w:r w:rsidRPr="003B741A">
        <w:rPr>
          <w:lang w:val="en-US"/>
        </w:rPr>
        <w:t xml:space="preserve"> = 42 L. Ed. </w:t>
      </w:r>
      <w:r w:rsidRPr="00DC32FB">
        <w:rPr>
          <w:lang w:val="en-US"/>
        </w:rPr>
        <w:t>2d 532, 553</w:t>
      </w:r>
      <w:r w:rsidRPr="003B741A">
        <w:rPr>
          <w:lang w:val="en-US"/>
        </w:rPr>
        <w:t xml:space="preserve"> = 1975 U.S. LEXIS </w:t>
      </w:r>
      <w:r w:rsidRPr="00DC32FB">
        <w:rPr>
          <w:lang w:val="en-US"/>
        </w:rPr>
        <w:t>19, 49</w:t>
      </w:r>
      <w:r w:rsidRPr="003B741A">
        <w:rPr>
          <w:lang w:val="en-US"/>
        </w:rPr>
        <w:t xml:space="preserve"> = 19 Fed. R. Serv. </w:t>
      </w:r>
      <w:r w:rsidRPr="00DC32FB">
        <w:rPr>
          <w:lang w:val="en-US"/>
        </w:rPr>
        <w:t>2d (Callaghan) 925 (1975)</w:t>
      </w:r>
      <w:r>
        <w:rPr>
          <w:lang w:val="en-US"/>
        </w:rPr>
        <w:t>.</w:t>
      </w:r>
    </w:p>
  </w:footnote>
  <w:footnote w:id="2120">
    <w:p w14:paraId="04D6BB30" w14:textId="77777777" w:rsidR="00074551" w:rsidRPr="00DC32FB" w:rsidRDefault="00074551" w:rsidP="00074551">
      <w:pPr>
        <w:pStyle w:val="Funotentext"/>
        <w:jc w:val="both"/>
        <w:rPr>
          <w:lang w:val="en-US"/>
        </w:rPr>
      </w:pPr>
      <w:r>
        <w:rPr>
          <w:rStyle w:val="Funotenzeichen"/>
          <w:rFonts w:eastAsiaTheme="majorEastAsia"/>
        </w:rPr>
        <w:footnoteRef/>
      </w:r>
      <w:r w:rsidRPr="00DC32FB">
        <w:rPr>
          <w:lang w:val="en-US"/>
        </w:rPr>
        <w:t xml:space="preserve"> </w:t>
      </w:r>
      <w:r w:rsidRPr="00584023">
        <w:rPr>
          <w:i/>
          <w:lang w:val="en-US"/>
        </w:rPr>
        <w:t>Sosna v. Iowa</w:t>
      </w:r>
      <w:r w:rsidRPr="00DC32FB">
        <w:rPr>
          <w:lang w:val="en-US"/>
        </w:rPr>
        <w:t>, 419 U.S. 393, 410</w:t>
      </w:r>
      <w:r w:rsidRPr="003B741A">
        <w:rPr>
          <w:lang w:val="en-US"/>
        </w:rPr>
        <w:t xml:space="preserve"> = 95 S. Ct. </w:t>
      </w:r>
      <w:r w:rsidRPr="00DC32FB">
        <w:rPr>
          <w:lang w:val="en-US"/>
        </w:rPr>
        <w:t>553, 563</w:t>
      </w:r>
      <w:r w:rsidRPr="003B741A">
        <w:rPr>
          <w:lang w:val="en-US"/>
        </w:rPr>
        <w:t xml:space="preserve"> = 42 L. Ed. </w:t>
      </w:r>
      <w:r w:rsidRPr="00DC32FB">
        <w:rPr>
          <w:lang w:val="en-US"/>
        </w:rPr>
        <w:t>2d 532, 547</w:t>
      </w:r>
      <w:r w:rsidRPr="003B741A">
        <w:rPr>
          <w:lang w:val="en-US"/>
        </w:rPr>
        <w:t xml:space="preserve"> = 1975 U.S. LEXIS </w:t>
      </w:r>
      <w:r w:rsidRPr="00DC32FB">
        <w:rPr>
          <w:lang w:val="en-US"/>
        </w:rPr>
        <w:t>19, 33</w:t>
      </w:r>
      <w:r w:rsidRPr="003B741A">
        <w:rPr>
          <w:lang w:val="en-US"/>
        </w:rPr>
        <w:t xml:space="preserve"> = 19 Fed. R. Serv. </w:t>
      </w:r>
      <w:r w:rsidRPr="00DC32FB">
        <w:rPr>
          <w:lang w:val="en-US"/>
        </w:rPr>
        <w:t>2d (Callaghan) 925 (1975).</w:t>
      </w:r>
    </w:p>
  </w:footnote>
  <w:footnote w:id="2121">
    <w:p w14:paraId="2BEF3EA5" w14:textId="58FCA53B" w:rsidR="00AF7AC3" w:rsidRPr="00AF7AC3" w:rsidRDefault="00AF7AC3" w:rsidP="00AF7AC3">
      <w:pPr>
        <w:pStyle w:val="Funotentext"/>
        <w:jc w:val="both"/>
        <w:rPr>
          <w:lang w:val="en-US"/>
        </w:rPr>
      </w:pPr>
      <w:r>
        <w:rPr>
          <w:rStyle w:val="Funotenzeichen"/>
        </w:rPr>
        <w:footnoteRef/>
      </w:r>
      <w:r>
        <w:t xml:space="preserve"> </w:t>
      </w:r>
      <w:r w:rsidRPr="00AF7AC3">
        <w:rPr>
          <w:i/>
          <w:iCs/>
        </w:rPr>
        <w:t>Sosna v. Iowa</w:t>
      </w:r>
      <w:r w:rsidRPr="00AF7AC3">
        <w:t xml:space="preserve">, 419 U.S. 393, 420–425 (1975) (Marshall, J., </w:t>
      </w:r>
      <w:proofErr w:type="spellStart"/>
      <w:r w:rsidRPr="00AF7AC3">
        <w:t>dissenting</w:t>
      </w:r>
      <w:proofErr w:type="spellEnd"/>
      <w:r w:rsidRPr="00AF7AC3">
        <w:t>)</w:t>
      </w:r>
      <w:r>
        <w:t xml:space="preserve"> </w:t>
      </w:r>
      <w:r w:rsidRPr="003B741A">
        <w:rPr>
          <w:lang w:val="en-US"/>
        </w:rPr>
        <w:t xml:space="preserve">= 95 S. Ct. </w:t>
      </w:r>
      <w:r w:rsidRPr="00DC32FB">
        <w:rPr>
          <w:lang w:val="en-US"/>
        </w:rPr>
        <w:t>553, 567</w:t>
      </w:r>
      <w:r w:rsidRPr="003B741A">
        <w:rPr>
          <w:lang w:val="en-US"/>
        </w:rPr>
        <w:t xml:space="preserve"> = 42 L. Ed. </w:t>
      </w:r>
      <w:r w:rsidRPr="00DC32FB">
        <w:rPr>
          <w:lang w:val="en-US"/>
        </w:rPr>
        <w:t>2d 532, 553</w:t>
      </w:r>
      <w:r w:rsidRPr="003B741A">
        <w:rPr>
          <w:lang w:val="en-US"/>
        </w:rPr>
        <w:t xml:space="preserve"> = 1975 U.S. LEXIS </w:t>
      </w:r>
      <w:r w:rsidRPr="00DC32FB">
        <w:rPr>
          <w:lang w:val="en-US"/>
        </w:rPr>
        <w:t>19, 49</w:t>
      </w:r>
      <w:r w:rsidRPr="003B741A">
        <w:rPr>
          <w:lang w:val="en-US"/>
        </w:rPr>
        <w:t xml:space="preserve"> = 19 Fed. R. Serv. </w:t>
      </w:r>
      <w:r w:rsidRPr="00DC32FB">
        <w:rPr>
          <w:lang w:val="en-US"/>
        </w:rPr>
        <w:t>2d (Callaghan) 925 (1975)</w:t>
      </w:r>
      <w:r>
        <w:rPr>
          <w:lang w:val="en-US"/>
        </w:rPr>
        <w:t>.</w:t>
      </w:r>
    </w:p>
  </w:footnote>
  <w:footnote w:id="2122">
    <w:p w14:paraId="3CD7D76F" w14:textId="77777777" w:rsidR="00074551" w:rsidRPr="004732B9" w:rsidRDefault="00074551" w:rsidP="00074551">
      <w:pPr>
        <w:pStyle w:val="Funotentext"/>
        <w:ind w:left="227" w:hanging="227"/>
        <w:rPr>
          <w:lang w:val="en-US"/>
        </w:rPr>
      </w:pPr>
      <w:r>
        <w:rPr>
          <w:rStyle w:val="Funotenzeichen"/>
          <w:rFonts w:eastAsiaTheme="majorEastAsia"/>
        </w:rPr>
        <w:footnoteRef/>
      </w:r>
      <w:r w:rsidRPr="004732B9">
        <w:rPr>
          <w:lang w:val="en-US"/>
        </w:rPr>
        <w:t xml:space="preserve"> </w:t>
      </w:r>
      <w:r w:rsidRPr="00546F93">
        <w:rPr>
          <w:i/>
          <w:lang w:val="en-US"/>
        </w:rPr>
        <w:t>Taylor v. Beckham</w:t>
      </w:r>
      <w:r w:rsidRPr="004732B9">
        <w:rPr>
          <w:lang w:val="en-US"/>
        </w:rPr>
        <w:t>, 178 U.S. 548, 570</w:t>
      </w:r>
      <w:r>
        <w:rPr>
          <w:lang w:val="en-US"/>
        </w:rPr>
        <w:t xml:space="preserve"> = 20 S. Ct. </w:t>
      </w:r>
      <w:r w:rsidRPr="004732B9">
        <w:rPr>
          <w:lang w:val="en-US"/>
        </w:rPr>
        <w:t>890, 898</w:t>
      </w:r>
      <w:r>
        <w:rPr>
          <w:lang w:val="en-US"/>
        </w:rPr>
        <w:t xml:space="preserve"> = 44 L. Ed. </w:t>
      </w:r>
      <w:r w:rsidRPr="004732B9">
        <w:rPr>
          <w:lang w:val="en-US"/>
        </w:rPr>
        <w:t>1187, 1198</w:t>
      </w:r>
      <w:r>
        <w:rPr>
          <w:lang w:val="en-US"/>
        </w:rPr>
        <w:t xml:space="preserve"> = 1900 U.S. LEXIS </w:t>
      </w:r>
      <w:r w:rsidRPr="004732B9">
        <w:rPr>
          <w:lang w:val="en-US"/>
        </w:rPr>
        <w:t>1702, 13 (1900)</w:t>
      </w:r>
      <w:r>
        <w:rPr>
          <w:lang w:val="en-US"/>
        </w:rPr>
        <w:t>.</w:t>
      </w:r>
    </w:p>
  </w:footnote>
  <w:footnote w:id="2123">
    <w:p w14:paraId="3F70A39A" w14:textId="77777777" w:rsidR="00074551" w:rsidRPr="004732B9" w:rsidRDefault="00074551" w:rsidP="00074551">
      <w:pPr>
        <w:pStyle w:val="Funotentext"/>
        <w:ind w:left="227" w:hanging="227"/>
        <w:rPr>
          <w:lang w:val="en-US"/>
        </w:rPr>
      </w:pPr>
      <w:r>
        <w:rPr>
          <w:rStyle w:val="Funotenzeichen"/>
          <w:rFonts w:eastAsiaTheme="majorEastAsia"/>
        </w:rPr>
        <w:footnoteRef/>
      </w:r>
      <w:r w:rsidRPr="004732B9">
        <w:rPr>
          <w:lang w:val="en-US"/>
        </w:rPr>
        <w:t xml:space="preserve"> </w:t>
      </w:r>
      <w:r w:rsidRPr="00546F93">
        <w:rPr>
          <w:i/>
          <w:lang w:val="en-US"/>
        </w:rPr>
        <w:t>Taylor v. Beckham</w:t>
      </w:r>
      <w:r w:rsidRPr="004732B9">
        <w:rPr>
          <w:lang w:val="en-US"/>
        </w:rPr>
        <w:t>, 178 U.S. 548, 570</w:t>
      </w:r>
      <w:r>
        <w:rPr>
          <w:lang w:val="en-US"/>
        </w:rPr>
        <w:t xml:space="preserve"> = 20 S. Ct. </w:t>
      </w:r>
      <w:r w:rsidRPr="004732B9">
        <w:rPr>
          <w:lang w:val="en-US"/>
        </w:rPr>
        <w:t>890, 898</w:t>
      </w:r>
      <w:r>
        <w:rPr>
          <w:lang w:val="en-US"/>
        </w:rPr>
        <w:t xml:space="preserve"> = 44 L. Ed. </w:t>
      </w:r>
      <w:r w:rsidRPr="004732B9">
        <w:rPr>
          <w:lang w:val="en-US"/>
        </w:rPr>
        <w:t>1187, 1198</w:t>
      </w:r>
      <w:r>
        <w:rPr>
          <w:lang w:val="en-US"/>
        </w:rPr>
        <w:t xml:space="preserve"> = 1900 U.S. LEXIS </w:t>
      </w:r>
      <w:r w:rsidRPr="004732B9">
        <w:rPr>
          <w:lang w:val="en-US"/>
        </w:rPr>
        <w:t>1702, 13 (1900)</w:t>
      </w:r>
      <w:r>
        <w:rPr>
          <w:lang w:val="en-US"/>
        </w:rPr>
        <w:t>.</w:t>
      </w:r>
    </w:p>
  </w:footnote>
  <w:footnote w:id="2124">
    <w:p w14:paraId="5F412276" w14:textId="77777777" w:rsidR="00074551" w:rsidRPr="004732B9" w:rsidRDefault="00074551" w:rsidP="00074551">
      <w:pPr>
        <w:pStyle w:val="Funotentext"/>
        <w:ind w:left="227" w:hanging="227"/>
        <w:rPr>
          <w:lang w:val="en-US"/>
        </w:rPr>
      </w:pPr>
      <w:r>
        <w:rPr>
          <w:rStyle w:val="Funotenzeichen"/>
          <w:rFonts w:eastAsiaTheme="majorEastAsia"/>
        </w:rPr>
        <w:footnoteRef/>
      </w:r>
      <w:r w:rsidRPr="004732B9">
        <w:rPr>
          <w:lang w:val="en-US"/>
        </w:rPr>
        <w:t xml:space="preserve"> </w:t>
      </w:r>
      <w:r w:rsidRPr="00546F93">
        <w:rPr>
          <w:i/>
          <w:lang w:val="en-US"/>
        </w:rPr>
        <w:t>Taylor v. Beckham</w:t>
      </w:r>
      <w:r w:rsidRPr="004732B9">
        <w:rPr>
          <w:lang w:val="en-US"/>
        </w:rPr>
        <w:t>, 178 U.S. 548, 570</w:t>
      </w:r>
      <w:r>
        <w:rPr>
          <w:lang w:val="en-US"/>
        </w:rPr>
        <w:t xml:space="preserve"> = 20 S. Ct. </w:t>
      </w:r>
      <w:r w:rsidRPr="004732B9">
        <w:rPr>
          <w:lang w:val="en-US"/>
        </w:rPr>
        <w:t>890, 898</w:t>
      </w:r>
      <w:r>
        <w:rPr>
          <w:lang w:val="en-US"/>
        </w:rPr>
        <w:t xml:space="preserve"> = 44 L. Ed. </w:t>
      </w:r>
      <w:r w:rsidRPr="004732B9">
        <w:rPr>
          <w:lang w:val="en-US"/>
        </w:rPr>
        <w:t>1187, 1198</w:t>
      </w:r>
      <w:r>
        <w:rPr>
          <w:lang w:val="en-US"/>
        </w:rPr>
        <w:t xml:space="preserve"> = 1900 U.S. LEXIS </w:t>
      </w:r>
      <w:r w:rsidRPr="004732B9">
        <w:rPr>
          <w:lang w:val="en-US"/>
        </w:rPr>
        <w:t>1702, 10 (1900)</w:t>
      </w:r>
      <w:r>
        <w:rPr>
          <w:lang w:val="en-US"/>
        </w:rPr>
        <w:t>.</w:t>
      </w:r>
    </w:p>
  </w:footnote>
  <w:footnote w:id="2125">
    <w:p w14:paraId="60D3E8B3" w14:textId="77777777" w:rsidR="00074551" w:rsidRPr="004732B9" w:rsidRDefault="00074551" w:rsidP="00074551">
      <w:pPr>
        <w:pStyle w:val="Funotentext"/>
        <w:ind w:left="227" w:hanging="227"/>
        <w:rPr>
          <w:lang w:val="en-US"/>
        </w:rPr>
      </w:pPr>
      <w:r>
        <w:rPr>
          <w:rStyle w:val="Funotenzeichen"/>
          <w:rFonts w:eastAsiaTheme="majorEastAsia"/>
        </w:rPr>
        <w:footnoteRef/>
      </w:r>
      <w:r w:rsidRPr="004732B9">
        <w:rPr>
          <w:lang w:val="en-US"/>
        </w:rPr>
        <w:t xml:space="preserve"> </w:t>
      </w:r>
      <w:r w:rsidRPr="00546F93">
        <w:rPr>
          <w:i/>
          <w:lang w:val="en-US"/>
        </w:rPr>
        <w:t>Taylor v. Beckham</w:t>
      </w:r>
      <w:r w:rsidRPr="004732B9">
        <w:rPr>
          <w:lang w:val="en-US"/>
        </w:rPr>
        <w:t>, 178 U.S. 548, 570</w:t>
      </w:r>
      <w:r>
        <w:rPr>
          <w:lang w:val="en-US"/>
        </w:rPr>
        <w:t xml:space="preserve"> = 20 S. Ct. </w:t>
      </w:r>
      <w:r w:rsidRPr="004732B9">
        <w:rPr>
          <w:lang w:val="en-US"/>
        </w:rPr>
        <w:t>890, 898</w:t>
      </w:r>
      <w:r>
        <w:rPr>
          <w:lang w:val="en-US"/>
        </w:rPr>
        <w:t xml:space="preserve"> = 44 L. Ed. </w:t>
      </w:r>
      <w:r w:rsidRPr="004732B9">
        <w:rPr>
          <w:lang w:val="en-US"/>
        </w:rPr>
        <w:t>1187, 1198</w:t>
      </w:r>
      <w:r>
        <w:rPr>
          <w:lang w:val="en-US"/>
        </w:rPr>
        <w:t xml:space="preserve"> = 1900 U.S. LEXIS </w:t>
      </w:r>
      <w:r w:rsidRPr="004732B9">
        <w:rPr>
          <w:lang w:val="en-US"/>
        </w:rPr>
        <w:t>1702, 14 (1900)</w:t>
      </w:r>
      <w:r>
        <w:rPr>
          <w:lang w:val="en-US"/>
        </w:rPr>
        <w:t>.</w:t>
      </w:r>
    </w:p>
  </w:footnote>
  <w:footnote w:id="2126">
    <w:p w14:paraId="3C930115" w14:textId="77777777" w:rsidR="00074551" w:rsidRPr="004732B9" w:rsidRDefault="00074551" w:rsidP="00074551">
      <w:pPr>
        <w:pStyle w:val="Funotentext"/>
        <w:ind w:left="227" w:hanging="227"/>
        <w:rPr>
          <w:lang w:val="en-US"/>
        </w:rPr>
      </w:pPr>
      <w:r>
        <w:rPr>
          <w:rStyle w:val="Funotenzeichen"/>
          <w:rFonts w:eastAsiaTheme="majorEastAsia"/>
        </w:rPr>
        <w:footnoteRef/>
      </w:r>
      <w:r w:rsidRPr="004732B9">
        <w:rPr>
          <w:lang w:val="en-US"/>
        </w:rPr>
        <w:t xml:space="preserve"> </w:t>
      </w:r>
      <w:r w:rsidRPr="00546F93">
        <w:rPr>
          <w:i/>
          <w:lang w:val="en-US"/>
        </w:rPr>
        <w:t>Taylor v. Beckham</w:t>
      </w:r>
      <w:r w:rsidRPr="004732B9">
        <w:rPr>
          <w:lang w:val="en-US"/>
        </w:rPr>
        <w:t>, 178 U.S. 548, 570</w:t>
      </w:r>
      <w:r>
        <w:rPr>
          <w:lang w:val="en-US"/>
        </w:rPr>
        <w:t xml:space="preserve"> = 20 S. Ct. </w:t>
      </w:r>
      <w:r w:rsidRPr="004732B9">
        <w:rPr>
          <w:lang w:val="en-US"/>
        </w:rPr>
        <w:t>890, 898</w:t>
      </w:r>
      <w:r>
        <w:rPr>
          <w:lang w:val="en-US"/>
        </w:rPr>
        <w:t xml:space="preserve"> = 44 L. Ed. </w:t>
      </w:r>
      <w:r w:rsidRPr="004732B9">
        <w:rPr>
          <w:lang w:val="en-US"/>
        </w:rPr>
        <w:t>1187, 1198</w:t>
      </w:r>
      <w:r>
        <w:rPr>
          <w:lang w:val="en-US"/>
        </w:rPr>
        <w:t xml:space="preserve"> = 1900 U.S. LEXIS </w:t>
      </w:r>
      <w:r w:rsidRPr="004732B9">
        <w:rPr>
          <w:lang w:val="en-US"/>
        </w:rPr>
        <w:t>1702, 15 (1900)</w:t>
      </w:r>
      <w:r>
        <w:rPr>
          <w:lang w:val="en-US"/>
        </w:rPr>
        <w:t>.</w:t>
      </w:r>
    </w:p>
  </w:footnote>
  <w:footnote w:id="2127">
    <w:p w14:paraId="6E9D453D" w14:textId="77777777" w:rsidR="00074551" w:rsidRPr="00516AAC" w:rsidRDefault="00074551" w:rsidP="00074551">
      <w:pPr>
        <w:pStyle w:val="Funotentext"/>
        <w:rPr>
          <w:lang w:val="en-US"/>
        </w:rPr>
      </w:pPr>
      <w:r>
        <w:rPr>
          <w:rStyle w:val="Funotenzeichen"/>
        </w:rPr>
        <w:footnoteRef/>
      </w:r>
      <w:r w:rsidRPr="00516AAC">
        <w:rPr>
          <w:lang w:val="en-US"/>
        </w:rPr>
        <w:t xml:space="preserve"> „advertising professional superiority or the performance of professional services in a superior manner; advertising prices for professional service; advertising by means of large display, glaring light signs, or containing as a part thereof the representation of a tooth, teeth, bridge work or any portion of the human head; employing or making use of advertising solicitors or free publicity press agents; or advertising any free dental work, or free examination; or advertising to guarantee any dental service, or to perform any dental operation painlessly</w:t>
      </w:r>
      <w:r>
        <w:rPr>
          <w:lang w:val="en-US"/>
        </w:rPr>
        <w:t xml:space="preserve">“, </w:t>
      </w:r>
      <w:r w:rsidRPr="00AB01D2">
        <w:rPr>
          <w:i/>
          <w:lang w:val="en-US"/>
        </w:rPr>
        <w:t>Semler v. Oregon State Board of Dental Examiners</w:t>
      </w:r>
      <w:r w:rsidRPr="00516AAC">
        <w:rPr>
          <w:lang w:val="en-US"/>
        </w:rPr>
        <w:t>, 294 U.S. 608, 609</w:t>
      </w:r>
      <w:r w:rsidRPr="00EC5BEB">
        <w:rPr>
          <w:lang w:val="en-US"/>
        </w:rPr>
        <w:t xml:space="preserve"> = 55 S. Ct. </w:t>
      </w:r>
      <w:r w:rsidRPr="00516AAC">
        <w:rPr>
          <w:lang w:val="en-US"/>
        </w:rPr>
        <w:t>570, 570</w:t>
      </w:r>
      <w:r>
        <w:rPr>
          <w:lang w:val="en-US"/>
        </w:rPr>
        <w:t>–</w:t>
      </w:r>
      <w:r w:rsidRPr="00516AAC">
        <w:rPr>
          <w:lang w:val="en-US"/>
        </w:rPr>
        <w:t>571</w:t>
      </w:r>
      <w:r w:rsidRPr="00EC5BEB">
        <w:rPr>
          <w:lang w:val="en-US"/>
        </w:rPr>
        <w:t xml:space="preserve"> = 79 L. Ed. </w:t>
      </w:r>
      <w:r w:rsidRPr="00516AAC">
        <w:rPr>
          <w:lang w:val="en-US"/>
        </w:rPr>
        <w:t>1086, 1088</w:t>
      </w:r>
      <w:r w:rsidRPr="00EC5BEB">
        <w:rPr>
          <w:lang w:val="en-US"/>
        </w:rPr>
        <w:t xml:space="preserve"> = 1935 U.S. LEXIS </w:t>
      </w:r>
      <w:r w:rsidRPr="00516AAC">
        <w:rPr>
          <w:lang w:val="en-US"/>
        </w:rPr>
        <w:t>60, 3 (1935)</w:t>
      </w:r>
      <w:r>
        <w:rPr>
          <w:lang w:val="en-US"/>
        </w:rPr>
        <w:t>.</w:t>
      </w:r>
    </w:p>
  </w:footnote>
  <w:footnote w:id="2128">
    <w:p w14:paraId="2276215C" w14:textId="77777777" w:rsidR="00074551" w:rsidRPr="00516AAC" w:rsidRDefault="00074551" w:rsidP="00074551">
      <w:pPr>
        <w:pStyle w:val="Funotentext"/>
        <w:rPr>
          <w:lang w:val="en-US"/>
        </w:rPr>
      </w:pPr>
      <w:r>
        <w:rPr>
          <w:rStyle w:val="Funotenzeichen"/>
        </w:rPr>
        <w:footnoteRef/>
      </w:r>
      <w:r w:rsidRPr="00516AAC">
        <w:rPr>
          <w:lang w:val="en-US"/>
        </w:rPr>
        <w:t xml:space="preserve"> </w:t>
      </w:r>
      <w:r w:rsidRPr="00AB01D2">
        <w:rPr>
          <w:i/>
          <w:lang w:val="en-US"/>
        </w:rPr>
        <w:t>Semler v. Oregon State Board of Dental Examiners</w:t>
      </w:r>
      <w:r w:rsidRPr="00516AAC">
        <w:rPr>
          <w:lang w:val="en-US"/>
        </w:rPr>
        <w:t>, 294 U.S. 608, 608</w:t>
      </w:r>
      <w:r w:rsidRPr="00EC5BEB">
        <w:rPr>
          <w:lang w:val="en-US"/>
        </w:rPr>
        <w:t xml:space="preserve"> = 55 S. Ct. </w:t>
      </w:r>
      <w:r w:rsidRPr="00516AAC">
        <w:rPr>
          <w:lang w:val="en-US"/>
        </w:rPr>
        <w:t>570, 570</w:t>
      </w:r>
      <w:r w:rsidRPr="00EC5BEB">
        <w:rPr>
          <w:lang w:val="en-US"/>
        </w:rPr>
        <w:t xml:space="preserve"> = 79 L. Ed. </w:t>
      </w:r>
      <w:r w:rsidRPr="00516AAC">
        <w:rPr>
          <w:lang w:val="en-US"/>
        </w:rPr>
        <w:t>1086, 1088</w:t>
      </w:r>
      <w:r w:rsidRPr="00EC5BEB">
        <w:rPr>
          <w:lang w:val="en-US"/>
        </w:rPr>
        <w:t xml:space="preserve"> = 1935 U.S. LEXIS </w:t>
      </w:r>
      <w:r w:rsidRPr="00516AAC">
        <w:rPr>
          <w:lang w:val="en-US"/>
        </w:rPr>
        <w:t>60, 1 (1935)</w:t>
      </w:r>
      <w:r>
        <w:rPr>
          <w:lang w:val="en-US"/>
        </w:rPr>
        <w:t>.</w:t>
      </w:r>
    </w:p>
  </w:footnote>
  <w:footnote w:id="2129">
    <w:p w14:paraId="28EA84FD" w14:textId="77777777" w:rsidR="00074551" w:rsidRPr="008528F6" w:rsidRDefault="00074551" w:rsidP="00074551">
      <w:pPr>
        <w:pStyle w:val="Funotentext"/>
        <w:rPr>
          <w:lang w:val="en-US"/>
        </w:rPr>
      </w:pPr>
      <w:r>
        <w:rPr>
          <w:rStyle w:val="Funotenzeichen"/>
        </w:rPr>
        <w:footnoteRef/>
      </w:r>
      <w:r w:rsidRPr="008528F6">
        <w:rPr>
          <w:lang w:val="en-US"/>
        </w:rPr>
        <w:t xml:space="preserve"> </w:t>
      </w:r>
      <w:r w:rsidRPr="00AB01D2">
        <w:rPr>
          <w:i/>
          <w:lang w:val="en-US"/>
        </w:rPr>
        <w:t>Semler v. Oregon State Board of Dental Examiners</w:t>
      </w:r>
      <w:r w:rsidRPr="008528F6">
        <w:rPr>
          <w:lang w:val="en-US"/>
        </w:rPr>
        <w:t>, 294 U.S. 608, 611</w:t>
      </w:r>
      <w:r w:rsidRPr="00EC5BEB">
        <w:rPr>
          <w:lang w:val="en-US"/>
        </w:rPr>
        <w:t xml:space="preserve"> = 55 S. Ct. </w:t>
      </w:r>
      <w:r w:rsidRPr="008528F6">
        <w:rPr>
          <w:lang w:val="en-US"/>
        </w:rPr>
        <w:t>570, 572</w:t>
      </w:r>
      <w:r w:rsidRPr="00EC5BEB">
        <w:rPr>
          <w:lang w:val="en-US"/>
        </w:rPr>
        <w:t xml:space="preserve"> = 79 L. Ed. </w:t>
      </w:r>
      <w:r w:rsidRPr="008528F6">
        <w:rPr>
          <w:lang w:val="en-US"/>
        </w:rPr>
        <w:t>1086, 1089</w:t>
      </w:r>
      <w:r w:rsidRPr="00EC5BEB">
        <w:rPr>
          <w:lang w:val="en-US"/>
        </w:rPr>
        <w:t xml:space="preserve"> = 1935 U.S. LEXIS </w:t>
      </w:r>
      <w:r w:rsidRPr="008528F6">
        <w:rPr>
          <w:lang w:val="en-US"/>
        </w:rPr>
        <w:t>60, 8 (1935)</w:t>
      </w:r>
      <w:r>
        <w:rPr>
          <w:lang w:val="en-US"/>
        </w:rPr>
        <w:t>.</w:t>
      </w:r>
    </w:p>
  </w:footnote>
  <w:footnote w:id="2130">
    <w:p w14:paraId="47FCAB16" w14:textId="77777777" w:rsidR="00074551" w:rsidRPr="00F85C75" w:rsidRDefault="00074551" w:rsidP="00074551">
      <w:pPr>
        <w:pStyle w:val="Funotentext"/>
        <w:rPr>
          <w:lang w:val="en-US"/>
        </w:rPr>
      </w:pPr>
      <w:r>
        <w:rPr>
          <w:rStyle w:val="Funotenzeichen"/>
        </w:rPr>
        <w:footnoteRef/>
      </w:r>
      <w:r w:rsidRPr="00F85C75">
        <w:rPr>
          <w:lang w:val="en-US"/>
        </w:rPr>
        <w:t xml:space="preserve"> </w:t>
      </w:r>
      <w:r w:rsidRPr="00AB01D2">
        <w:rPr>
          <w:i/>
          <w:lang w:val="en-US"/>
        </w:rPr>
        <w:t>Semler v. Oregon State Board of Dental Examiners</w:t>
      </w:r>
      <w:r w:rsidRPr="00F85C75">
        <w:rPr>
          <w:lang w:val="en-US"/>
        </w:rPr>
        <w:t>, 294 U.S. 608, 608</w:t>
      </w:r>
      <w:r w:rsidRPr="00EC5BEB">
        <w:rPr>
          <w:lang w:val="en-US"/>
        </w:rPr>
        <w:t xml:space="preserve"> = 55 S. Ct. </w:t>
      </w:r>
      <w:r w:rsidRPr="00F85C75">
        <w:rPr>
          <w:lang w:val="en-US"/>
        </w:rPr>
        <w:t>570, 570</w:t>
      </w:r>
      <w:r w:rsidRPr="00EC5BEB">
        <w:rPr>
          <w:lang w:val="en-US"/>
        </w:rPr>
        <w:t xml:space="preserve"> = 79 L. Ed. </w:t>
      </w:r>
      <w:r w:rsidRPr="00F85C75">
        <w:rPr>
          <w:lang w:val="en-US"/>
        </w:rPr>
        <w:t>1086, 1088</w:t>
      </w:r>
      <w:r w:rsidRPr="00EC5BEB">
        <w:rPr>
          <w:lang w:val="en-US"/>
        </w:rPr>
        <w:t xml:space="preserve"> = 1935 U.S. LEXIS </w:t>
      </w:r>
      <w:r w:rsidRPr="00F85C75">
        <w:rPr>
          <w:lang w:val="en-US"/>
        </w:rPr>
        <w:t>60, 1 (1935)</w:t>
      </w:r>
      <w:r>
        <w:rPr>
          <w:lang w:val="en-US"/>
        </w:rPr>
        <w:t>.</w:t>
      </w:r>
    </w:p>
  </w:footnote>
  <w:footnote w:id="2131">
    <w:p w14:paraId="433C4847" w14:textId="77777777" w:rsidR="00074551" w:rsidRDefault="00074551" w:rsidP="00074551">
      <w:pPr>
        <w:pStyle w:val="Funotentext"/>
      </w:pPr>
      <w:r>
        <w:rPr>
          <w:rStyle w:val="Funotenzeichen"/>
        </w:rPr>
        <w:footnoteRef/>
      </w:r>
      <w:r>
        <w:t xml:space="preserve"> </w:t>
      </w:r>
      <w:r w:rsidRPr="002927E8">
        <w:t xml:space="preserve">Wie eine Anklage ist eine </w:t>
      </w:r>
      <w:r>
        <w:t xml:space="preserve">strafrechtliche Anzeige, sog. </w:t>
      </w:r>
      <w:proofErr w:type="spellStart"/>
      <w:r w:rsidRPr="00B45592">
        <w:rPr>
          <w:i/>
          <w:iCs/>
        </w:rPr>
        <w:t>criminal</w:t>
      </w:r>
      <w:proofErr w:type="spellEnd"/>
      <w:r w:rsidRPr="00B45592">
        <w:rPr>
          <w:i/>
          <w:iCs/>
        </w:rPr>
        <w:t xml:space="preserve"> </w:t>
      </w:r>
      <w:proofErr w:type="spellStart"/>
      <w:r w:rsidRPr="00B45592">
        <w:rPr>
          <w:i/>
          <w:iCs/>
        </w:rPr>
        <w:t>information</w:t>
      </w:r>
      <w:proofErr w:type="spellEnd"/>
      <w:r>
        <w:t xml:space="preserve">, </w:t>
      </w:r>
      <w:r w:rsidRPr="002927E8">
        <w:t>ein formelles Anklagedokument, das die strafrechtlichen Anklagen gegen eine Person und die tatsächliche Grundlage</w:t>
      </w:r>
      <w:r>
        <w:t xml:space="preserve"> wie bei einer Anklage</w:t>
      </w:r>
      <w:r w:rsidRPr="002927E8">
        <w:t xml:space="preserve"> beschreibt. Anders als bei einer Anklage ist jedoch für eine</w:t>
      </w:r>
      <w:r>
        <w:t xml:space="preserve"> solche Strafanzeige</w:t>
      </w:r>
      <w:r w:rsidRPr="002927E8">
        <w:t xml:space="preserve"> kein</w:t>
      </w:r>
      <w:r>
        <w:t xml:space="preserve">e </w:t>
      </w:r>
      <w:r w:rsidRPr="002927E8">
        <w:t xml:space="preserve">Grand Jury erforderlich. Stattdessen </w:t>
      </w:r>
      <w:r>
        <w:t>geht die Anzeige an</w:t>
      </w:r>
      <w:r w:rsidRPr="002927E8">
        <w:t xml:space="preserve"> </w:t>
      </w:r>
      <w:r>
        <w:t>e</w:t>
      </w:r>
      <w:r w:rsidRPr="002927E8">
        <w:t>ine</w:t>
      </w:r>
      <w:r>
        <w:t>n</w:t>
      </w:r>
      <w:r w:rsidRPr="002927E8">
        <w:t xml:space="preserve"> Richter, der die</w:t>
      </w:r>
      <w:r>
        <w:t xml:space="preserve">se </w:t>
      </w:r>
      <w:r w:rsidRPr="002927E8">
        <w:t xml:space="preserve">prüft und entscheidet, ob ein hinreichender Tatverdacht </w:t>
      </w:r>
      <w:r>
        <w:t>für</w:t>
      </w:r>
      <w:r w:rsidRPr="002927E8">
        <w:t xml:space="preserve"> ein Verbrechen </w:t>
      </w:r>
      <w:r>
        <w:t xml:space="preserve">besteht, vgl. </w:t>
      </w:r>
      <w:r w:rsidRPr="00B45592">
        <w:t>https://www.mololamken.com/knowledge-Whats-the-Difference-Between-a-Criminal-Indictment-a-Criminal-Information-and-a-Criminal-Complaint</w:t>
      </w:r>
      <w:r>
        <w:t xml:space="preserve"> (30.04.2026).</w:t>
      </w:r>
    </w:p>
  </w:footnote>
  <w:footnote w:id="2132">
    <w:p w14:paraId="7AADAB19" w14:textId="77777777" w:rsidR="00074551" w:rsidRPr="002927E8" w:rsidRDefault="00074551" w:rsidP="00074551">
      <w:pPr>
        <w:pStyle w:val="Funotentext"/>
        <w:rPr>
          <w:lang w:val="en-US"/>
        </w:rPr>
      </w:pPr>
      <w:r>
        <w:rPr>
          <w:rStyle w:val="Funotenzeichen"/>
        </w:rPr>
        <w:footnoteRef/>
      </w:r>
      <w:r w:rsidRPr="002927E8">
        <w:rPr>
          <w:lang w:val="en-US"/>
        </w:rPr>
        <w:t xml:space="preserve"> </w:t>
      </w:r>
      <w:r w:rsidRPr="00B45592">
        <w:rPr>
          <w:i/>
          <w:lang w:val="en-US"/>
        </w:rPr>
        <w:t>Constitution of the State of California</w:t>
      </w:r>
      <w:r w:rsidRPr="002927E8">
        <w:rPr>
          <w:lang w:val="en-US"/>
        </w:rPr>
        <w:t xml:space="preserve">, </w:t>
      </w:r>
      <w:proofErr w:type="spellStart"/>
      <w:r>
        <w:rPr>
          <w:lang w:val="en-US"/>
        </w:rPr>
        <w:t>angenommen</w:t>
      </w:r>
      <w:proofErr w:type="spellEnd"/>
      <w:r w:rsidRPr="002927E8">
        <w:rPr>
          <w:lang w:val="en-US"/>
        </w:rPr>
        <w:t xml:space="preserve"> 1879, in </w:t>
      </w:r>
      <w:r>
        <w:rPr>
          <w:lang w:val="en-US"/>
        </w:rPr>
        <w:t>Art.</w:t>
      </w:r>
      <w:r w:rsidRPr="002927E8">
        <w:rPr>
          <w:lang w:val="en-US"/>
        </w:rPr>
        <w:t xml:space="preserve"> I, </w:t>
      </w:r>
      <w:r>
        <w:rPr>
          <w:lang w:val="en-US"/>
        </w:rPr>
        <w:t>§ </w:t>
      </w:r>
      <w:r w:rsidRPr="002927E8">
        <w:rPr>
          <w:lang w:val="en-US"/>
        </w:rPr>
        <w:t>8: </w:t>
      </w:r>
      <w:r>
        <w:rPr>
          <w:lang w:val="en-US"/>
        </w:rPr>
        <w:t>„</w:t>
      </w:r>
      <w:r w:rsidRPr="002927E8">
        <w:rPr>
          <w:lang w:val="en-US"/>
        </w:rPr>
        <w:t xml:space="preserve">Offences heretofore required to be prosecuted by indictment shall be prosecuted by information, after examination and commitment by a magistrate, or by indictment, with or without such examination and commitment, as may be prescribed by law. A grand jury shall be drawn and summoned at least once a year in each </w:t>
      </w:r>
      <w:proofErr w:type="gramStart"/>
      <w:r w:rsidRPr="002927E8">
        <w:rPr>
          <w:lang w:val="en-US"/>
        </w:rPr>
        <w:t>county.“</w:t>
      </w:r>
      <w:proofErr w:type="gramEnd"/>
      <w:r w:rsidRPr="002927E8">
        <w:rPr>
          <w:lang w:val="en-US"/>
        </w:rPr>
        <w:t xml:space="preserve">, </w:t>
      </w:r>
      <w:r w:rsidRPr="00AB01D2">
        <w:rPr>
          <w:i/>
          <w:lang w:val="en-IE"/>
        </w:rPr>
        <w:t>Hurtado v. California</w:t>
      </w:r>
      <w:r w:rsidRPr="00B45592">
        <w:rPr>
          <w:lang w:val="en-IE"/>
        </w:rPr>
        <w:t>, 110 U.S. 516, 519</w:t>
      </w:r>
      <w:r w:rsidRPr="006E67FE">
        <w:rPr>
          <w:lang w:val="en-IE"/>
        </w:rPr>
        <w:t xml:space="preserve"> = 4 S. Ct. </w:t>
      </w:r>
      <w:r w:rsidRPr="00B45592">
        <w:rPr>
          <w:lang w:val="en-IE"/>
        </w:rPr>
        <w:t>111, 113</w:t>
      </w:r>
      <w:r w:rsidRPr="006E67FE">
        <w:rPr>
          <w:lang w:val="en-IE"/>
        </w:rPr>
        <w:t xml:space="preserve"> = 28 L. Ed. </w:t>
      </w:r>
      <w:r w:rsidRPr="00B45592">
        <w:rPr>
          <w:lang w:val="en-IE"/>
        </w:rPr>
        <w:t>232, 233</w:t>
      </w:r>
      <w:r w:rsidRPr="006E67FE">
        <w:rPr>
          <w:lang w:val="en-IE"/>
        </w:rPr>
        <w:t xml:space="preserve"> = 1884 U.S. LEXIS </w:t>
      </w:r>
      <w:r w:rsidRPr="00B45592">
        <w:rPr>
          <w:lang w:val="en-IE"/>
        </w:rPr>
        <w:t>1716, 1 (1884)</w:t>
      </w:r>
      <w:r>
        <w:rPr>
          <w:lang w:val="en-US"/>
        </w:rPr>
        <w:t>.</w:t>
      </w:r>
    </w:p>
  </w:footnote>
  <w:footnote w:id="2133">
    <w:p w14:paraId="7389E014" w14:textId="77777777" w:rsidR="00074551" w:rsidRPr="001E27AD" w:rsidRDefault="00074551" w:rsidP="00074551">
      <w:pPr>
        <w:pStyle w:val="Funotentext"/>
        <w:rPr>
          <w:lang w:val="en-US"/>
        </w:rPr>
      </w:pPr>
      <w:r>
        <w:rPr>
          <w:rStyle w:val="Funotenzeichen"/>
        </w:rPr>
        <w:footnoteRef/>
      </w:r>
      <w:r w:rsidRPr="001E27AD">
        <w:rPr>
          <w:lang w:val="en-US"/>
        </w:rPr>
        <w:t xml:space="preserve"> </w:t>
      </w:r>
      <w:r w:rsidRPr="00AB01D2">
        <w:rPr>
          <w:i/>
          <w:lang w:val="en-US"/>
        </w:rPr>
        <w:t>Hurtado v. California</w:t>
      </w:r>
      <w:r w:rsidRPr="001E27AD">
        <w:rPr>
          <w:lang w:val="en-US"/>
        </w:rPr>
        <w:t>, 110 U.S. 516, 519</w:t>
      </w:r>
      <w:r w:rsidRPr="006E67FE">
        <w:rPr>
          <w:lang w:val="en-US"/>
        </w:rPr>
        <w:t xml:space="preserve"> = 4 S. Ct. </w:t>
      </w:r>
      <w:r w:rsidRPr="001E27AD">
        <w:rPr>
          <w:lang w:val="en-US"/>
        </w:rPr>
        <w:t>111, 113</w:t>
      </w:r>
      <w:r w:rsidRPr="006E67FE">
        <w:rPr>
          <w:lang w:val="en-US"/>
        </w:rPr>
        <w:t xml:space="preserve"> = 28 L. Ed. </w:t>
      </w:r>
      <w:r w:rsidRPr="001E27AD">
        <w:rPr>
          <w:lang w:val="en-US"/>
        </w:rPr>
        <w:t>232, 233</w:t>
      </w:r>
      <w:r w:rsidRPr="006E67FE">
        <w:rPr>
          <w:lang w:val="en-US"/>
        </w:rPr>
        <w:t xml:space="preserve"> = 1884 U.S. LEXIS </w:t>
      </w:r>
      <w:r w:rsidRPr="001E27AD">
        <w:rPr>
          <w:lang w:val="en-US"/>
        </w:rPr>
        <w:t>1716, 5 (1884)</w:t>
      </w:r>
      <w:r>
        <w:rPr>
          <w:lang w:val="en-US"/>
        </w:rPr>
        <w:t>.</w:t>
      </w:r>
    </w:p>
  </w:footnote>
  <w:footnote w:id="2134">
    <w:p w14:paraId="0B66652B" w14:textId="77777777" w:rsidR="00074551" w:rsidRPr="006F2D82" w:rsidRDefault="00074551" w:rsidP="00074551">
      <w:pPr>
        <w:pStyle w:val="Funotentext"/>
        <w:rPr>
          <w:lang w:val="en-US"/>
        </w:rPr>
      </w:pPr>
      <w:r>
        <w:rPr>
          <w:rStyle w:val="Funotenzeichen"/>
        </w:rPr>
        <w:footnoteRef/>
      </w:r>
      <w:r w:rsidRPr="006F2D82">
        <w:rPr>
          <w:lang w:val="en-US"/>
        </w:rPr>
        <w:t xml:space="preserve"> </w:t>
      </w:r>
      <w:r w:rsidRPr="00B45592">
        <w:rPr>
          <w:i/>
          <w:lang w:val="en-US"/>
        </w:rPr>
        <w:t>Missouri v. Lewis</w:t>
      </w:r>
      <w:r w:rsidRPr="006F2D82">
        <w:rPr>
          <w:lang w:val="en-US"/>
        </w:rPr>
        <w:t>, 101 U.S. 22</w:t>
      </w:r>
      <w:r>
        <w:rPr>
          <w:lang w:val="en-US"/>
        </w:rPr>
        <w:t>–</w:t>
      </w:r>
      <w:r w:rsidRPr="006F2D82">
        <w:rPr>
          <w:lang w:val="en-US"/>
        </w:rPr>
        <w:t>31</w:t>
      </w:r>
      <w:r>
        <w:rPr>
          <w:lang w:val="en-US"/>
        </w:rPr>
        <w:t xml:space="preserve">; </w:t>
      </w:r>
      <w:r w:rsidRPr="00AB01D2">
        <w:rPr>
          <w:i/>
          <w:lang w:val="en-US"/>
        </w:rPr>
        <w:t>Hurtado v. California</w:t>
      </w:r>
      <w:r w:rsidRPr="006F2D82">
        <w:rPr>
          <w:lang w:val="en-US"/>
        </w:rPr>
        <w:t>, 110 U.S. 516, 535</w:t>
      </w:r>
      <w:r w:rsidRPr="006E67FE">
        <w:rPr>
          <w:lang w:val="en-US"/>
        </w:rPr>
        <w:t xml:space="preserve"> = 4 S. Ct. </w:t>
      </w:r>
      <w:r w:rsidRPr="006F2D82">
        <w:rPr>
          <w:lang w:val="en-US"/>
        </w:rPr>
        <w:t>111, 121</w:t>
      </w:r>
      <w:r w:rsidRPr="006E67FE">
        <w:rPr>
          <w:lang w:val="en-US"/>
        </w:rPr>
        <w:t xml:space="preserve"> = 28 L. Ed. </w:t>
      </w:r>
      <w:r w:rsidRPr="006F2D82">
        <w:rPr>
          <w:lang w:val="en-US"/>
        </w:rPr>
        <w:t xml:space="preserve">232, 238 </w:t>
      </w:r>
      <w:r w:rsidRPr="006E67FE">
        <w:rPr>
          <w:lang w:val="en-US"/>
        </w:rPr>
        <w:t xml:space="preserve">= 1884 U.S. LEXIS </w:t>
      </w:r>
      <w:r w:rsidRPr="006F2D82">
        <w:rPr>
          <w:lang w:val="en-US"/>
        </w:rPr>
        <w:t>1716, 35 (1884)</w:t>
      </w:r>
      <w:r>
        <w:rPr>
          <w:lang w:val="en-US"/>
        </w:rPr>
        <w:t>.</w:t>
      </w:r>
    </w:p>
  </w:footnote>
  <w:footnote w:id="2135">
    <w:p w14:paraId="7243C682" w14:textId="77777777" w:rsidR="00074551" w:rsidRPr="00C654B3" w:rsidRDefault="00074551" w:rsidP="00074551">
      <w:pPr>
        <w:pStyle w:val="Funotentext"/>
        <w:rPr>
          <w:lang w:val="en-US"/>
        </w:rPr>
      </w:pPr>
      <w:r>
        <w:rPr>
          <w:rStyle w:val="Funotenzeichen"/>
        </w:rPr>
        <w:footnoteRef/>
      </w:r>
      <w:r w:rsidRPr="00C654B3">
        <w:rPr>
          <w:lang w:val="en-US"/>
        </w:rPr>
        <w:t xml:space="preserve"> </w:t>
      </w:r>
      <w:r w:rsidRPr="00B45592">
        <w:rPr>
          <w:i/>
          <w:lang w:val="en-US"/>
        </w:rPr>
        <w:t>Brown v. Levee Commissioners</w:t>
      </w:r>
      <w:r w:rsidRPr="00C654B3">
        <w:rPr>
          <w:lang w:val="en-US"/>
        </w:rPr>
        <w:t>, 50 Miss. 468</w:t>
      </w:r>
      <w:r>
        <w:rPr>
          <w:lang w:val="en-US"/>
        </w:rPr>
        <w:t xml:space="preserve">; </w:t>
      </w:r>
      <w:r w:rsidRPr="00AB01D2">
        <w:rPr>
          <w:i/>
          <w:lang w:val="en-US"/>
        </w:rPr>
        <w:t>Hurtado v. California</w:t>
      </w:r>
      <w:r w:rsidRPr="00C654B3">
        <w:rPr>
          <w:lang w:val="en-US"/>
        </w:rPr>
        <w:t>, 110 U.S. 516, 536</w:t>
      </w:r>
      <w:r w:rsidRPr="006E67FE">
        <w:rPr>
          <w:lang w:val="en-US"/>
        </w:rPr>
        <w:t xml:space="preserve"> = 4 S. Ct. </w:t>
      </w:r>
      <w:r w:rsidRPr="00C654B3">
        <w:rPr>
          <w:lang w:val="en-US"/>
        </w:rPr>
        <w:t>111, 121</w:t>
      </w:r>
      <w:r w:rsidRPr="006E67FE">
        <w:rPr>
          <w:lang w:val="en-US"/>
        </w:rPr>
        <w:t xml:space="preserve"> = 28 L. Ed. </w:t>
      </w:r>
      <w:r w:rsidRPr="00C654B3">
        <w:rPr>
          <w:lang w:val="en-US"/>
        </w:rPr>
        <w:t>232, 239</w:t>
      </w:r>
      <w:r w:rsidRPr="006E67FE">
        <w:rPr>
          <w:lang w:val="en-US"/>
        </w:rPr>
        <w:t xml:space="preserve"> = 1884 U.S. LEXIS </w:t>
      </w:r>
      <w:r w:rsidRPr="00C654B3">
        <w:rPr>
          <w:lang w:val="en-US"/>
        </w:rPr>
        <w:t>1716, 36</w:t>
      </w:r>
      <w:r>
        <w:rPr>
          <w:lang w:val="en-US"/>
        </w:rPr>
        <w:t>–</w:t>
      </w:r>
      <w:r w:rsidRPr="00C654B3">
        <w:rPr>
          <w:lang w:val="en-US"/>
        </w:rPr>
        <w:t>37 (1884)</w:t>
      </w:r>
      <w:r>
        <w:rPr>
          <w:lang w:val="en-US"/>
        </w:rPr>
        <w:t>.</w:t>
      </w:r>
    </w:p>
  </w:footnote>
  <w:footnote w:id="2136">
    <w:p w14:paraId="2D2369A8" w14:textId="77777777" w:rsidR="00074551" w:rsidRPr="00DB7F92" w:rsidRDefault="00074551" w:rsidP="00074551">
      <w:pPr>
        <w:pStyle w:val="Funotentext"/>
        <w:rPr>
          <w:lang w:val="en-US"/>
        </w:rPr>
      </w:pPr>
      <w:r>
        <w:rPr>
          <w:rStyle w:val="Funotenzeichen"/>
        </w:rPr>
        <w:footnoteRef/>
      </w:r>
      <w:r w:rsidRPr="00DB7F92">
        <w:rPr>
          <w:lang w:val="en-US"/>
        </w:rPr>
        <w:t xml:space="preserve"> </w:t>
      </w:r>
      <w:bookmarkStart w:id="92" w:name="_Hlk228483790"/>
      <w:bookmarkStart w:id="93" w:name="_Hlk227840593"/>
      <w:r w:rsidRPr="00B45592">
        <w:rPr>
          <w:lang w:val="en-US"/>
        </w:rPr>
        <w:t>Richter</w:t>
      </w:r>
      <w:r w:rsidRPr="00AB01D2">
        <w:rPr>
          <w:lang w:val="en-US"/>
        </w:rPr>
        <w:t xml:space="preserve"> </w:t>
      </w:r>
      <w:r w:rsidRPr="00B45592">
        <w:rPr>
          <w:i/>
          <w:lang w:val="en-US"/>
        </w:rPr>
        <w:t>Miller</w:t>
      </w:r>
      <w:bookmarkEnd w:id="92"/>
      <w:r w:rsidRPr="00DB7F92">
        <w:rPr>
          <w:lang w:val="en-US"/>
        </w:rPr>
        <w:t xml:space="preserve"> in </w:t>
      </w:r>
      <w:r w:rsidRPr="00B45592">
        <w:rPr>
          <w:i/>
          <w:lang w:val="en-US"/>
        </w:rPr>
        <w:t>Loan Association v. Topeka</w:t>
      </w:r>
      <w:r w:rsidRPr="00DB7F92">
        <w:rPr>
          <w:lang w:val="en-US"/>
        </w:rPr>
        <w:t>, 20 Wall, 655</w:t>
      </w:r>
      <w:r>
        <w:rPr>
          <w:lang w:val="en-US"/>
        </w:rPr>
        <w:t>–</w:t>
      </w:r>
      <w:r w:rsidRPr="00DB7F92">
        <w:rPr>
          <w:lang w:val="en-US"/>
        </w:rPr>
        <w:t>662</w:t>
      </w:r>
      <w:bookmarkEnd w:id="93"/>
      <w:r>
        <w:rPr>
          <w:lang w:val="en-US"/>
        </w:rPr>
        <w:t xml:space="preserve">; </w:t>
      </w:r>
      <w:r w:rsidRPr="00AB01D2">
        <w:rPr>
          <w:i/>
          <w:lang w:val="en-US"/>
        </w:rPr>
        <w:t>Hurtado v. California</w:t>
      </w:r>
      <w:r w:rsidRPr="00DB7F92">
        <w:rPr>
          <w:lang w:val="en-US"/>
        </w:rPr>
        <w:t>, 110 U.S. 516, 536</w:t>
      </w:r>
      <w:r w:rsidRPr="006E67FE">
        <w:rPr>
          <w:lang w:val="en-US"/>
        </w:rPr>
        <w:t xml:space="preserve"> = 4 S. Ct. </w:t>
      </w:r>
      <w:r w:rsidRPr="00DB7F92">
        <w:rPr>
          <w:lang w:val="en-US"/>
        </w:rPr>
        <w:t>111, 121</w:t>
      </w:r>
      <w:r w:rsidRPr="006E67FE">
        <w:rPr>
          <w:lang w:val="en-US"/>
        </w:rPr>
        <w:t xml:space="preserve"> = 28 L. Ed. </w:t>
      </w:r>
      <w:r w:rsidRPr="00DB7F92">
        <w:rPr>
          <w:lang w:val="en-US"/>
        </w:rPr>
        <w:t>232, 239</w:t>
      </w:r>
      <w:r w:rsidRPr="006E67FE">
        <w:rPr>
          <w:lang w:val="en-US"/>
        </w:rPr>
        <w:t xml:space="preserve"> = 1884 U.S. LEXIS </w:t>
      </w:r>
      <w:r w:rsidRPr="00DB7F92">
        <w:rPr>
          <w:lang w:val="en-US"/>
        </w:rPr>
        <w:t>1716, 37 (1884)</w:t>
      </w:r>
      <w:r>
        <w:rPr>
          <w:lang w:val="en-US"/>
        </w:rPr>
        <w:t>.</w:t>
      </w:r>
    </w:p>
  </w:footnote>
  <w:footnote w:id="2137">
    <w:p w14:paraId="4299123F" w14:textId="77777777" w:rsidR="00074551" w:rsidRPr="006F2D82" w:rsidRDefault="00074551" w:rsidP="00074551">
      <w:pPr>
        <w:pStyle w:val="Funotentext"/>
        <w:rPr>
          <w:lang w:val="en-US"/>
        </w:rPr>
      </w:pPr>
      <w:r>
        <w:rPr>
          <w:rStyle w:val="Funotenzeichen"/>
        </w:rPr>
        <w:footnoteRef/>
      </w:r>
      <w:r w:rsidRPr="006F2D82">
        <w:rPr>
          <w:lang w:val="en-US"/>
        </w:rPr>
        <w:t xml:space="preserve"> </w:t>
      </w:r>
      <w:r w:rsidRPr="00BC3B27">
        <w:rPr>
          <w:lang w:val="en-US"/>
        </w:rPr>
        <w:t xml:space="preserve">Richter </w:t>
      </w:r>
      <w:r w:rsidRPr="00B45592">
        <w:rPr>
          <w:i/>
          <w:lang w:val="en-US"/>
        </w:rPr>
        <w:t>Miller</w:t>
      </w:r>
      <w:r w:rsidRPr="00DB7F92">
        <w:rPr>
          <w:lang w:val="en-US"/>
        </w:rPr>
        <w:t xml:space="preserve"> </w:t>
      </w:r>
      <w:r w:rsidRPr="006F2D82">
        <w:rPr>
          <w:lang w:val="en-US"/>
        </w:rPr>
        <w:t xml:space="preserve">in </w:t>
      </w:r>
      <w:r w:rsidRPr="00B45592">
        <w:rPr>
          <w:i/>
          <w:lang w:val="en-US"/>
        </w:rPr>
        <w:t>Loan Association v. Topeka</w:t>
      </w:r>
      <w:r w:rsidRPr="006F2D82">
        <w:rPr>
          <w:lang w:val="en-US"/>
        </w:rPr>
        <w:t>, 20 Wall, 655</w:t>
      </w:r>
      <w:r>
        <w:rPr>
          <w:lang w:val="en-US"/>
        </w:rPr>
        <w:t>–</w:t>
      </w:r>
      <w:r w:rsidRPr="006F2D82">
        <w:rPr>
          <w:lang w:val="en-US"/>
        </w:rPr>
        <w:t>662</w:t>
      </w:r>
      <w:r>
        <w:rPr>
          <w:lang w:val="en-US"/>
        </w:rPr>
        <w:t xml:space="preserve">; </w:t>
      </w:r>
      <w:r w:rsidRPr="00AB01D2">
        <w:rPr>
          <w:i/>
          <w:lang w:val="en-US"/>
        </w:rPr>
        <w:t>Hurtado v. California</w:t>
      </w:r>
      <w:r w:rsidRPr="006F2D82">
        <w:rPr>
          <w:lang w:val="en-US"/>
        </w:rPr>
        <w:t>, 110 U.S. 516, 536</w:t>
      </w:r>
      <w:r w:rsidRPr="006E67FE">
        <w:rPr>
          <w:lang w:val="en-US"/>
        </w:rPr>
        <w:t xml:space="preserve"> = 4 S. Ct. </w:t>
      </w:r>
      <w:r w:rsidRPr="006F2D82">
        <w:rPr>
          <w:lang w:val="en-US"/>
        </w:rPr>
        <w:t>111, 121</w:t>
      </w:r>
      <w:r w:rsidRPr="006E67FE">
        <w:rPr>
          <w:lang w:val="en-US"/>
        </w:rPr>
        <w:t xml:space="preserve"> = 28 L. Ed. </w:t>
      </w:r>
      <w:r w:rsidRPr="006F2D82">
        <w:rPr>
          <w:lang w:val="en-US"/>
        </w:rPr>
        <w:t>232, 239</w:t>
      </w:r>
      <w:r w:rsidRPr="006E67FE">
        <w:rPr>
          <w:lang w:val="en-US"/>
        </w:rPr>
        <w:t xml:space="preserve"> = 1884 U.S. LEXIS </w:t>
      </w:r>
      <w:r w:rsidRPr="006F2D82">
        <w:rPr>
          <w:lang w:val="en-US"/>
        </w:rPr>
        <w:t>1716, 37 (1884)</w:t>
      </w:r>
      <w:r>
        <w:rPr>
          <w:lang w:val="en-US"/>
        </w:rPr>
        <w:t>.</w:t>
      </w:r>
    </w:p>
  </w:footnote>
  <w:footnote w:id="2138">
    <w:p w14:paraId="055DC7EB" w14:textId="77777777" w:rsidR="00074551" w:rsidRPr="0062407D" w:rsidRDefault="00074551" w:rsidP="00074551">
      <w:pPr>
        <w:pStyle w:val="Funotentext"/>
        <w:rPr>
          <w:lang w:val="en-US"/>
        </w:rPr>
      </w:pPr>
      <w:r>
        <w:rPr>
          <w:rStyle w:val="Funotenzeichen"/>
        </w:rPr>
        <w:footnoteRef/>
      </w:r>
      <w:r w:rsidRPr="0062407D">
        <w:rPr>
          <w:lang w:val="en-US"/>
        </w:rPr>
        <w:t xml:space="preserve"> </w:t>
      </w:r>
      <w:r w:rsidRPr="00AB01D2">
        <w:rPr>
          <w:i/>
          <w:lang w:val="en-US"/>
        </w:rPr>
        <w:t>Marshall v. Baltimore &amp; Ohio R.R.</w:t>
      </w:r>
      <w:r w:rsidRPr="0062407D">
        <w:rPr>
          <w:lang w:val="en-US"/>
        </w:rPr>
        <w:t>, 57 U.S. 314, 325</w:t>
      </w:r>
      <w:r w:rsidRPr="003B741A">
        <w:rPr>
          <w:lang w:val="en-US"/>
        </w:rPr>
        <w:t xml:space="preserve"> = 14 L. Ed. </w:t>
      </w:r>
      <w:r w:rsidRPr="0062407D">
        <w:rPr>
          <w:lang w:val="en-US"/>
        </w:rPr>
        <w:t>953, 958</w:t>
      </w:r>
      <w:r w:rsidRPr="003B741A">
        <w:rPr>
          <w:lang w:val="en-US"/>
        </w:rPr>
        <w:t xml:space="preserve"> = 1850 U.S. LEXIS </w:t>
      </w:r>
      <w:r w:rsidRPr="0062407D">
        <w:rPr>
          <w:lang w:val="en-US"/>
        </w:rPr>
        <w:t>1556, 21</w:t>
      </w:r>
      <w:r w:rsidRPr="003B741A">
        <w:rPr>
          <w:lang w:val="en-US"/>
        </w:rPr>
        <w:t xml:space="preserve"> = 16 HOW </w:t>
      </w:r>
      <w:r w:rsidRPr="0062407D">
        <w:rPr>
          <w:lang w:val="en-US"/>
        </w:rPr>
        <w:t>314 (1854)</w:t>
      </w:r>
      <w:r>
        <w:rPr>
          <w:lang w:val="en-US"/>
        </w:rPr>
        <w:t>.</w:t>
      </w:r>
    </w:p>
  </w:footnote>
  <w:footnote w:id="2139">
    <w:p w14:paraId="79CB2B5B" w14:textId="77777777" w:rsidR="00074551" w:rsidRPr="000D0678" w:rsidRDefault="00074551" w:rsidP="00074551">
      <w:pPr>
        <w:pStyle w:val="Funotentext"/>
        <w:rPr>
          <w:lang w:val="en-US"/>
        </w:rPr>
      </w:pPr>
      <w:r>
        <w:rPr>
          <w:rStyle w:val="Funotenzeichen"/>
        </w:rPr>
        <w:footnoteRef/>
      </w:r>
      <w:r w:rsidRPr="000D0678">
        <w:rPr>
          <w:lang w:val="en-US"/>
        </w:rPr>
        <w:t xml:space="preserve"> </w:t>
      </w:r>
      <w:r w:rsidRPr="00B45592">
        <w:rPr>
          <w:i/>
          <w:lang w:val="en-US"/>
        </w:rPr>
        <w:t>Bank of the United States v. Deveaux</w:t>
      </w:r>
      <w:r w:rsidRPr="000D0678">
        <w:rPr>
          <w:lang w:val="en-US"/>
        </w:rPr>
        <w:t xml:space="preserve">, 5 </w:t>
      </w:r>
      <w:proofErr w:type="spellStart"/>
      <w:r w:rsidRPr="000D0678">
        <w:rPr>
          <w:lang w:val="en-US"/>
        </w:rPr>
        <w:t>Cranch</w:t>
      </w:r>
      <w:proofErr w:type="spellEnd"/>
      <w:r w:rsidRPr="000D0678">
        <w:rPr>
          <w:lang w:val="en-US"/>
        </w:rPr>
        <w:t>, 61</w:t>
      </w:r>
      <w:r>
        <w:rPr>
          <w:lang w:val="en-US"/>
        </w:rPr>
        <w:t xml:space="preserve"> (1809)</w:t>
      </w:r>
      <w:r w:rsidRPr="000D0678">
        <w:rPr>
          <w:lang w:val="en-US"/>
        </w:rPr>
        <w:t>.</w:t>
      </w:r>
    </w:p>
  </w:footnote>
  <w:footnote w:id="2140">
    <w:p w14:paraId="024B299D" w14:textId="77777777" w:rsidR="00074551" w:rsidRPr="0018635C" w:rsidRDefault="00074551" w:rsidP="00074551">
      <w:pPr>
        <w:pStyle w:val="Funotentext"/>
        <w:rPr>
          <w:lang w:val="en-US"/>
        </w:rPr>
      </w:pPr>
      <w:r>
        <w:rPr>
          <w:rStyle w:val="Funotenzeichen"/>
        </w:rPr>
        <w:footnoteRef/>
      </w:r>
      <w:r w:rsidRPr="0018635C">
        <w:rPr>
          <w:lang w:val="en-US"/>
        </w:rPr>
        <w:t xml:space="preserve"> </w:t>
      </w:r>
      <w:r w:rsidRPr="00AB01D2">
        <w:rPr>
          <w:i/>
          <w:lang w:val="en-US"/>
        </w:rPr>
        <w:t>Marshall v. Baltimore &amp; Ohio R.R.</w:t>
      </w:r>
      <w:r w:rsidRPr="0018635C">
        <w:rPr>
          <w:lang w:val="en-US"/>
        </w:rPr>
        <w:t>, 57 U.S. 314, 326</w:t>
      </w:r>
      <w:r w:rsidRPr="003B741A">
        <w:rPr>
          <w:lang w:val="en-US"/>
        </w:rPr>
        <w:t xml:space="preserve"> = 14 L. Ed. </w:t>
      </w:r>
      <w:r w:rsidRPr="0018635C">
        <w:rPr>
          <w:lang w:val="en-US"/>
        </w:rPr>
        <w:t>953, 958</w:t>
      </w:r>
      <w:r w:rsidRPr="003B741A">
        <w:rPr>
          <w:lang w:val="en-US"/>
        </w:rPr>
        <w:t xml:space="preserve"> = 1850 U.S. LEXIS </w:t>
      </w:r>
      <w:r w:rsidRPr="0018635C">
        <w:rPr>
          <w:lang w:val="en-US"/>
        </w:rPr>
        <w:t>1556, 28</w:t>
      </w:r>
      <w:r w:rsidRPr="003B741A">
        <w:rPr>
          <w:lang w:val="en-US"/>
        </w:rPr>
        <w:t xml:space="preserve"> = 16 HOW </w:t>
      </w:r>
      <w:r w:rsidRPr="0018635C">
        <w:rPr>
          <w:lang w:val="en-US"/>
        </w:rPr>
        <w:t>314 (1854)</w:t>
      </w:r>
      <w:r>
        <w:rPr>
          <w:lang w:val="en-US"/>
        </w:rPr>
        <w:t>.</w:t>
      </w:r>
    </w:p>
  </w:footnote>
  <w:footnote w:id="2141">
    <w:p w14:paraId="18882090" w14:textId="77777777" w:rsidR="00074551" w:rsidRPr="000D0678" w:rsidRDefault="00074551" w:rsidP="00074551">
      <w:pPr>
        <w:pStyle w:val="Funotentext"/>
        <w:rPr>
          <w:lang w:val="en-US"/>
        </w:rPr>
      </w:pPr>
      <w:r>
        <w:rPr>
          <w:rStyle w:val="Funotenzeichen"/>
        </w:rPr>
        <w:footnoteRef/>
      </w:r>
      <w:r w:rsidRPr="000D0678">
        <w:rPr>
          <w:lang w:val="en-US"/>
        </w:rPr>
        <w:t xml:space="preserve"> </w:t>
      </w:r>
      <w:r w:rsidRPr="00AB01D2">
        <w:rPr>
          <w:i/>
          <w:lang w:val="en-US"/>
        </w:rPr>
        <w:t>Marshall v. Baltimore &amp; Ohio R.R.</w:t>
      </w:r>
      <w:r w:rsidRPr="000D0678">
        <w:rPr>
          <w:lang w:val="en-US"/>
        </w:rPr>
        <w:t>, 57 U.S. 314, 343</w:t>
      </w:r>
      <w:r w:rsidRPr="003B741A">
        <w:rPr>
          <w:lang w:val="en-US"/>
        </w:rPr>
        <w:t xml:space="preserve"> = 14 L. Ed. </w:t>
      </w:r>
      <w:r w:rsidRPr="000D0678">
        <w:rPr>
          <w:lang w:val="en-US"/>
        </w:rPr>
        <w:t>953, 966</w:t>
      </w:r>
      <w:r w:rsidRPr="003B741A">
        <w:rPr>
          <w:lang w:val="en-US"/>
        </w:rPr>
        <w:t xml:space="preserve"> = 1850 U.S. LEXIS </w:t>
      </w:r>
      <w:r w:rsidRPr="000D0678">
        <w:rPr>
          <w:lang w:val="en-US"/>
        </w:rPr>
        <w:t>1556, 69</w:t>
      </w:r>
      <w:r w:rsidRPr="003B741A">
        <w:rPr>
          <w:lang w:val="en-US"/>
        </w:rPr>
        <w:t xml:space="preserve"> = 16 HOW </w:t>
      </w:r>
      <w:r w:rsidRPr="000D0678">
        <w:rPr>
          <w:lang w:val="en-US"/>
        </w:rPr>
        <w:t>314 (1854).</w:t>
      </w:r>
    </w:p>
  </w:footnote>
  <w:footnote w:id="2142">
    <w:p w14:paraId="3955F474" w14:textId="77777777" w:rsidR="00074551" w:rsidRPr="00E72AB6" w:rsidRDefault="00074551" w:rsidP="00074551">
      <w:pPr>
        <w:pStyle w:val="Funotentext"/>
        <w:rPr>
          <w:lang w:val="en-US"/>
        </w:rPr>
      </w:pPr>
      <w:r>
        <w:rPr>
          <w:rStyle w:val="Funotenzeichen"/>
        </w:rPr>
        <w:footnoteRef/>
      </w:r>
      <w:r w:rsidRPr="00E72AB6">
        <w:rPr>
          <w:lang w:val="en-US"/>
        </w:rPr>
        <w:t xml:space="preserve"> </w:t>
      </w:r>
      <w:r w:rsidRPr="00B45592">
        <w:rPr>
          <w:i/>
          <w:lang w:val="en-US"/>
        </w:rPr>
        <w:t xml:space="preserve">Penhallow v. Doane’s </w:t>
      </w:r>
      <w:proofErr w:type="spellStart"/>
      <w:r w:rsidRPr="00B45592">
        <w:rPr>
          <w:i/>
          <w:lang w:val="en-US"/>
        </w:rPr>
        <w:t>Adm’rs</w:t>
      </w:r>
      <w:proofErr w:type="spellEnd"/>
      <w:r w:rsidRPr="00E72AB6">
        <w:rPr>
          <w:lang w:val="en-US"/>
        </w:rPr>
        <w:t>, 3 U.S. 54, 79</w:t>
      </w:r>
      <w:r>
        <w:rPr>
          <w:lang w:val="en-US"/>
        </w:rPr>
        <w:t xml:space="preserve"> = 1 L. Ed. </w:t>
      </w:r>
      <w:r w:rsidRPr="00E72AB6">
        <w:rPr>
          <w:lang w:val="en-US"/>
        </w:rPr>
        <w:t>507, 517</w:t>
      </w:r>
      <w:r>
        <w:rPr>
          <w:lang w:val="en-US"/>
        </w:rPr>
        <w:t xml:space="preserve"> = 1795 U.S. LEXIS </w:t>
      </w:r>
      <w:r w:rsidRPr="00E72AB6">
        <w:rPr>
          <w:lang w:val="en-US"/>
        </w:rPr>
        <w:t>329, 1</w:t>
      </w:r>
      <w:r>
        <w:rPr>
          <w:lang w:val="en-US"/>
        </w:rPr>
        <w:t xml:space="preserve"> = 1999 AMC </w:t>
      </w:r>
      <w:r w:rsidRPr="00E72AB6">
        <w:rPr>
          <w:lang w:val="en-US"/>
        </w:rPr>
        <w:t>2652</w:t>
      </w:r>
      <w:r>
        <w:rPr>
          <w:lang w:val="en-US"/>
        </w:rPr>
        <w:t xml:space="preserve"> = 3 Dall. </w:t>
      </w:r>
      <w:r w:rsidRPr="00E72AB6">
        <w:rPr>
          <w:lang w:val="en-US"/>
        </w:rPr>
        <w:t>54 (1795)</w:t>
      </w:r>
      <w:r>
        <w:rPr>
          <w:lang w:val="en-US"/>
        </w:rPr>
        <w:t>.</w:t>
      </w:r>
    </w:p>
  </w:footnote>
  <w:footnote w:id="2143">
    <w:p w14:paraId="318FE334" w14:textId="77777777" w:rsidR="00074551" w:rsidRPr="00E72AB6" w:rsidRDefault="00074551" w:rsidP="00074551">
      <w:pPr>
        <w:pStyle w:val="Funotentext"/>
        <w:rPr>
          <w:lang w:val="en-US"/>
        </w:rPr>
      </w:pPr>
      <w:r>
        <w:rPr>
          <w:rStyle w:val="Funotenzeichen"/>
        </w:rPr>
        <w:footnoteRef/>
      </w:r>
      <w:r w:rsidRPr="00E72AB6">
        <w:rPr>
          <w:lang w:val="en-US"/>
        </w:rPr>
        <w:t xml:space="preserve"> </w:t>
      </w:r>
      <w:r w:rsidRPr="00B45592">
        <w:rPr>
          <w:i/>
          <w:lang w:val="en-US"/>
        </w:rPr>
        <w:t xml:space="preserve">Penhallow v. Doane’s </w:t>
      </w:r>
      <w:proofErr w:type="spellStart"/>
      <w:r w:rsidRPr="00B45592">
        <w:rPr>
          <w:i/>
          <w:lang w:val="en-US"/>
        </w:rPr>
        <w:t>Adm’rs</w:t>
      </w:r>
      <w:proofErr w:type="spellEnd"/>
      <w:r w:rsidRPr="00E72AB6">
        <w:rPr>
          <w:lang w:val="en-US"/>
        </w:rPr>
        <w:t>, 3 U.S. 54, 79</w:t>
      </w:r>
      <w:r>
        <w:rPr>
          <w:lang w:val="en-US"/>
        </w:rPr>
        <w:t xml:space="preserve"> = 1 L. Ed. </w:t>
      </w:r>
      <w:r w:rsidRPr="00E72AB6">
        <w:rPr>
          <w:lang w:val="en-US"/>
        </w:rPr>
        <w:t>507, 517</w:t>
      </w:r>
      <w:r>
        <w:rPr>
          <w:lang w:val="en-US"/>
        </w:rPr>
        <w:t xml:space="preserve"> = 1795 U.S. LEXIS </w:t>
      </w:r>
      <w:r w:rsidRPr="00E72AB6">
        <w:rPr>
          <w:lang w:val="en-US"/>
        </w:rPr>
        <w:t>329, 1</w:t>
      </w:r>
      <w:r>
        <w:rPr>
          <w:lang w:val="en-US"/>
        </w:rPr>
        <w:t xml:space="preserve"> = 1999 AMC </w:t>
      </w:r>
      <w:r w:rsidRPr="00E72AB6">
        <w:rPr>
          <w:lang w:val="en-US"/>
        </w:rPr>
        <w:t>2652</w:t>
      </w:r>
      <w:r>
        <w:rPr>
          <w:lang w:val="en-US"/>
        </w:rPr>
        <w:t xml:space="preserve"> = 3 Dall. </w:t>
      </w:r>
      <w:r w:rsidRPr="00E72AB6">
        <w:rPr>
          <w:lang w:val="en-US"/>
        </w:rPr>
        <w:t>54 (1795)</w:t>
      </w:r>
      <w:r>
        <w:rPr>
          <w:lang w:val="en-US"/>
        </w:rPr>
        <w:t>.</w:t>
      </w:r>
    </w:p>
  </w:footnote>
  <w:footnote w:id="2144">
    <w:p w14:paraId="780C0C4B" w14:textId="77777777" w:rsidR="00074551" w:rsidRPr="00F84BEC" w:rsidRDefault="00074551" w:rsidP="00074551">
      <w:pPr>
        <w:pStyle w:val="Funotentext"/>
        <w:rPr>
          <w:lang w:val="en-US"/>
        </w:rPr>
      </w:pPr>
      <w:r>
        <w:rPr>
          <w:rStyle w:val="Funotenzeichen"/>
        </w:rPr>
        <w:footnoteRef/>
      </w:r>
      <w:r w:rsidRPr="00F84BEC">
        <w:rPr>
          <w:lang w:val="en-US"/>
        </w:rPr>
        <w:t xml:space="preserve"> </w:t>
      </w:r>
      <w:r w:rsidRPr="00B45592">
        <w:rPr>
          <w:i/>
          <w:lang w:val="en-US"/>
        </w:rPr>
        <w:t xml:space="preserve">Penhallow v. Doane’s </w:t>
      </w:r>
      <w:proofErr w:type="spellStart"/>
      <w:r w:rsidRPr="00B45592">
        <w:rPr>
          <w:i/>
          <w:lang w:val="en-US"/>
        </w:rPr>
        <w:t>Adm’rs</w:t>
      </w:r>
      <w:proofErr w:type="spellEnd"/>
      <w:r w:rsidRPr="00F84BEC">
        <w:rPr>
          <w:lang w:val="en-US"/>
        </w:rPr>
        <w:t>, 3 U.S. 54, 85</w:t>
      </w:r>
      <w:r>
        <w:rPr>
          <w:lang w:val="en-US"/>
        </w:rPr>
        <w:t xml:space="preserve"> = 1 L. Ed. </w:t>
      </w:r>
      <w:r w:rsidRPr="00F84BEC">
        <w:rPr>
          <w:lang w:val="en-US"/>
        </w:rPr>
        <w:t>507, 520</w:t>
      </w:r>
      <w:r>
        <w:rPr>
          <w:lang w:val="en-US"/>
        </w:rPr>
        <w:t xml:space="preserve"> = 1795 U.S. LEXIS </w:t>
      </w:r>
      <w:r w:rsidRPr="00F84BEC">
        <w:rPr>
          <w:lang w:val="en-US"/>
        </w:rPr>
        <w:t>329, 73</w:t>
      </w:r>
      <w:r>
        <w:rPr>
          <w:lang w:val="en-US"/>
        </w:rPr>
        <w:t xml:space="preserve"> = 1999 AMC </w:t>
      </w:r>
      <w:r w:rsidRPr="00F84BEC">
        <w:rPr>
          <w:lang w:val="en-US"/>
        </w:rPr>
        <w:t>2652</w:t>
      </w:r>
      <w:r>
        <w:rPr>
          <w:lang w:val="en-US"/>
        </w:rPr>
        <w:t xml:space="preserve"> = 3 Dall. </w:t>
      </w:r>
      <w:r w:rsidRPr="00F84BEC">
        <w:rPr>
          <w:lang w:val="en-US"/>
        </w:rPr>
        <w:t>54 (1795)</w:t>
      </w:r>
      <w:r>
        <w:rPr>
          <w:lang w:val="en-US"/>
        </w:rPr>
        <w:t>.</w:t>
      </w:r>
    </w:p>
  </w:footnote>
  <w:footnote w:id="2145">
    <w:p w14:paraId="01408140" w14:textId="77777777" w:rsidR="00074551" w:rsidRPr="00366C1D" w:rsidRDefault="00074551" w:rsidP="00074551">
      <w:pPr>
        <w:pStyle w:val="Funotentext"/>
        <w:rPr>
          <w:lang w:val="en-US"/>
        </w:rPr>
      </w:pPr>
      <w:r>
        <w:rPr>
          <w:rStyle w:val="Funotenzeichen"/>
        </w:rPr>
        <w:footnoteRef/>
      </w:r>
      <w:r w:rsidRPr="00366C1D">
        <w:rPr>
          <w:lang w:val="en-US"/>
        </w:rPr>
        <w:t xml:space="preserve"> </w:t>
      </w:r>
      <w:r w:rsidRPr="00B45592">
        <w:rPr>
          <w:i/>
          <w:lang w:val="en-US"/>
        </w:rPr>
        <w:t xml:space="preserve">Penhallow v. Doane’s </w:t>
      </w:r>
      <w:proofErr w:type="spellStart"/>
      <w:r w:rsidRPr="00B45592">
        <w:rPr>
          <w:i/>
          <w:lang w:val="en-US"/>
        </w:rPr>
        <w:t>Adm’rs</w:t>
      </w:r>
      <w:proofErr w:type="spellEnd"/>
      <w:r w:rsidRPr="00366C1D">
        <w:rPr>
          <w:lang w:val="en-US"/>
        </w:rPr>
        <w:t>, 3 U.S. 54, 90</w:t>
      </w:r>
      <w:r>
        <w:rPr>
          <w:lang w:val="en-US"/>
        </w:rPr>
        <w:t xml:space="preserve"> = 1 L. Ed. </w:t>
      </w:r>
      <w:r w:rsidRPr="00366C1D">
        <w:rPr>
          <w:lang w:val="en-US"/>
        </w:rPr>
        <w:t>507, 522</w:t>
      </w:r>
      <w:r>
        <w:rPr>
          <w:lang w:val="en-US"/>
        </w:rPr>
        <w:t xml:space="preserve"> = 1795 U.S. LEXIS </w:t>
      </w:r>
      <w:r w:rsidRPr="00366C1D">
        <w:rPr>
          <w:lang w:val="en-US"/>
        </w:rPr>
        <w:t>329, 82</w:t>
      </w:r>
      <w:r>
        <w:rPr>
          <w:lang w:val="en-US"/>
        </w:rPr>
        <w:t xml:space="preserve"> = 1999 AMC </w:t>
      </w:r>
      <w:r w:rsidRPr="00366C1D">
        <w:rPr>
          <w:lang w:val="en-US"/>
        </w:rPr>
        <w:t>2652</w:t>
      </w:r>
      <w:r>
        <w:rPr>
          <w:lang w:val="en-US"/>
        </w:rPr>
        <w:t xml:space="preserve"> = 3 Dall. </w:t>
      </w:r>
      <w:r w:rsidRPr="00366C1D">
        <w:rPr>
          <w:lang w:val="en-US"/>
        </w:rPr>
        <w:t>54 (1795)</w:t>
      </w:r>
      <w:r>
        <w:rPr>
          <w:lang w:val="en-US"/>
        </w:rPr>
        <w:t>.</w:t>
      </w:r>
    </w:p>
  </w:footnote>
  <w:footnote w:id="2146">
    <w:p w14:paraId="22AB2C39" w14:textId="77777777" w:rsidR="00074551" w:rsidRPr="00366C1D" w:rsidRDefault="00074551" w:rsidP="00074551">
      <w:pPr>
        <w:pStyle w:val="Funotentext"/>
        <w:rPr>
          <w:lang w:val="en-US"/>
        </w:rPr>
      </w:pPr>
      <w:r>
        <w:rPr>
          <w:rStyle w:val="Funotenzeichen"/>
        </w:rPr>
        <w:footnoteRef/>
      </w:r>
      <w:r w:rsidRPr="00366C1D">
        <w:rPr>
          <w:lang w:val="en-US"/>
        </w:rPr>
        <w:t xml:space="preserve"> </w:t>
      </w:r>
      <w:r w:rsidRPr="00B45592">
        <w:rPr>
          <w:i/>
          <w:lang w:val="en-US"/>
        </w:rPr>
        <w:t xml:space="preserve">Penhallow v. Doane’s </w:t>
      </w:r>
      <w:proofErr w:type="spellStart"/>
      <w:r w:rsidRPr="00B45592">
        <w:rPr>
          <w:i/>
          <w:lang w:val="en-US"/>
        </w:rPr>
        <w:t>Adm’rs</w:t>
      </w:r>
      <w:proofErr w:type="spellEnd"/>
      <w:r w:rsidRPr="00366C1D">
        <w:rPr>
          <w:lang w:val="en-US"/>
        </w:rPr>
        <w:t>, 3 U.S. 54, 90</w:t>
      </w:r>
      <w:r>
        <w:rPr>
          <w:lang w:val="en-US"/>
        </w:rPr>
        <w:t xml:space="preserve"> = 1 L. Ed. </w:t>
      </w:r>
      <w:r w:rsidRPr="00366C1D">
        <w:rPr>
          <w:lang w:val="en-US"/>
        </w:rPr>
        <w:t>507, 522</w:t>
      </w:r>
      <w:r>
        <w:rPr>
          <w:lang w:val="en-US"/>
        </w:rPr>
        <w:t xml:space="preserve"> = 1795 U.S. LEXIS </w:t>
      </w:r>
      <w:r w:rsidRPr="00366C1D">
        <w:rPr>
          <w:lang w:val="en-US"/>
        </w:rPr>
        <w:t>329, 83</w:t>
      </w:r>
      <w:r>
        <w:rPr>
          <w:lang w:val="en-US"/>
        </w:rPr>
        <w:t xml:space="preserve"> = 1999 AMC </w:t>
      </w:r>
      <w:r w:rsidRPr="00366C1D">
        <w:rPr>
          <w:lang w:val="en-US"/>
        </w:rPr>
        <w:t>2652</w:t>
      </w:r>
      <w:r>
        <w:rPr>
          <w:lang w:val="en-US"/>
        </w:rPr>
        <w:t xml:space="preserve"> = 3 Dall. </w:t>
      </w:r>
      <w:r w:rsidRPr="00366C1D">
        <w:rPr>
          <w:lang w:val="en-US"/>
        </w:rPr>
        <w:t>54 (1795).</w:t>
      </w:r>
    </w:p>
  </w:footnote>
  <w:footnote w:id="2147">
    <w:p w14:paraId="1BCC547C" w14:textId="77777777" w:rsidR="00074551" w:rsidRPr="00366C1D" w:rsidRDefault="00074551" w:rsidP="00074551">
      <w:pPr>
        <w:pStyle w:val="Funotentext"/>
        <w:rPr>
          <w:lang w:val="en-US"/>
        </w:rPr>
      </w:pPr>
      <w:r>
        <w:rPr>
          <w:rStyle w:val="Funotenzeichen"/>
        </w:rPr>
        <w:footnoteRef/>
      </w:r>
      <w:r w:rsidRPr="00366C1D">
        <w:rPr>
          <w:lang w:val="en-US"/>
        </w:rPr>
        <w:t xml:space="preserve"> </w:t>
      </w:r>
      <w:r w:rsidRPr="00B45592">
        <w:rPr>
          <w:i/>
          <w:lang w:val="en-US"/>
        </w:rPr>
        <w:t xml:space="preserve">Penhallow v. Doane’s </w:t>
      </w:r>
      <w:proofErr w:type="spellStart"/>
      <w:r w:rsidRPr="00B45592">
        <w:rPr>
          <w:i/>
          <w:lang w:val="en-US"/>
        </w:rPr>
        <w:t>Adm’rs</w:t>
      </w:r>
      <w:proofErr w:type="spellEnd"/>
      <w:r w:rsidRPr="00366C1D">
        <w:rPr>
          <w:lang w:val="en-US"/>
        </w:rPr>
        <w:t>, 3 U.S. 54, 90</w:t>
      </w:r>
      <w:r>
        <w:rPr>
          <w:lang w:val="en-US"/>
        </w:rPr>
        <w:t xml:space="preserve"> = 1 L. Ed. </w:t>
      </w:r>
      <w:r w:rsidRPr="00366C1D">
        <w:rPr>
          <w:lang w:val="en-US"/>
        </w:rPr>
        <w:t>507, 522</w:t>
      </w:r>
      <w:r>
        <w:rPr>
          <w:lang w:val="en-US"/>
        </w:rPr>
        <w:t xml:space="preserve"> = 1795 U.S. LEXIS </w:t>
      </w:r>
      <w:r w:rsidRPr="00366C1D">
        <w:rPr>
          <w:lang w:val="en-US"/>
        </w:rPr>
        <w:t>329, 83</w:t>
      </w:r>
      <w:r>
        <w:rPr>
          <w:lang w:val="en-US"/>
        </w:rPr>
        <w:t xml:space="preserve"> = 1999 AMC </w:t>
      </w:r>
      <w:r w:rsidRPr="00366C1D">
        <w:rPr>
          <w:lang w:val="en-US"/>
        </w:rPr>
        <w:t>2652</w:t>
      </w:r>
      <w:r>
        <w:rPr>
          <w:lang w:val="en-US"/>
        </w:rPr>
        <w:t xml:space="preserve"> = 3 Dall. </w:t>
      </w:r>
      <w:r w:rsidRPr="00366C1D">
        <w:rPr>
          <w:lang w:val="en-US"/>
        </w:rPr>
        <w:t>54 (1795).</w:t>
      </w:r>
    </w:p>
  </w:footnote>
  <w:footnote w:id="2148">
    <w:p w14:paraId="08D1ECDC" w14:textId="77777777" w:rsidR="00074551" w:rsidRPr="002C1274" w:rsidRDefault="00074551" w:rsidP="00074551">
      <w:pPr>
        <w:pStyle w:val="Funotentext"/>
        <w:rPr>
          <w:lang w:val="en-US"/>
        </w:rPr>
      </w:pPr>
      <w:r>
        <w:rPr>
          <w:rStyle w:val="Funotenzeichen"/>
        </w:rPr>
        <w:footnoteRef/>
      </w:r>
      <w:r w:rsidRPr="002C1274">
        <w:rPr>
          <w:lang w:val="en-US"/>
        </w:rPr>
        <w:t xml:space="preserve"> </w:t>
      </w:r>
      <w:r w:rsidRPr="00B45592">
        <w:rPr>
          <w:i/>
          <w:lang w:val="en-US"/>
        </w:rPr>
        <w:t>Act of 1789</w:t>
      </w:r>
      <w:r w:rsidRPr="002C1274">
        <w:rPr>
          <w:lang w:val="en-US"/>
        </w:rPr>
        <w:t xml:space="preserve">, ch. 20, </w:t>
      </w:r>
      <w:r>
        <w:rPr>
          <w:lang w:val="en-US"/>
        </w:rPr>
        <w:t>§ </w:t>
      </w:r>
      <w:r w:rsidRPr="002C1274">
        <w:rPr>
          <w:lang w:val="en-US"/>
        </w:rPr>
        <w:t>22</w:t>
      </w:r>
      <w:r>
        <w:rPr>
          <w:lang w:val="en-US"/>
        </w:rPr>
        <w:t>:</w:t>
      </w:r>
      <w:r w:rsidRPr="002C1274">
        <w:rPr>
          <w:lang w:val="en-US"/>
        </w:rPr>
        <w:t xml:space="preserve"> </w:t>
      </w:r>
      <w:r>
        <w:rPr>
          <w:lang w:val="en-US"/>
        </w:rPr>
        <w:t>„</w:t>
      </w:r>
      <w:r w:rsidRPr="002C1274">
        <w:rPr>
          <w:lang w:val="en-US"/>
        </w:rPr>
        <w:t xml:space="preserve">provides that final judgments and decrees in civil actions and suits in equity in a circuit court, when the matter in dispute exceeds the sum or value of $ 2,000 exclusive of costs, may be reexamined and reversed or affirmed in the Supreme Court. It is by this law only that the Supreme Court is authorized to reexamine any judgment in a circuit court by writ of </w:t>
      </w:r>
      <w:proofErr w:type="gramStart"/>
      <w:r w:rsidRPr="002C1274">
        <w:rPr>
          <w:lang w:val="en-US"/>
        </w:rPr>
        <w:t>error.</w:t>
      </w:r>
      <w:r>
        <w:rPr>
          <w:lang w:val="en-US"/>
        </w:rPr>
        <w:t>“</w:t>
      </w:r>
      <w:proofErr w:type="gramEnd"/>
      <w:r>
        <w:rPr>
          <w:lang w:val="en-US"/>
        </w:rPr>
        <w:t xml:space="preserve">, </w:t>
      </w:r>
      <w:r w:rsidRPr="00B45592">
        <w:rPr>
          <w:i/>
          <w:lang w:val="en-US"/>
        </w:rPr>
        <w:t xml:space="preserve">Barry v. </w:t>
      </w:r>
      <w:proofErr w:type="spellStart"/>
      <w:r w:rsidRPr="00B45592">
        <w:rPr>
          <w:i/>
          <w:lang w:val="en-US"/>
        </w:rPr>
        <w:t>Mercein</w:t>
      </w:r>
      <w:proofErr w:type="spellEnd"/>
      <w:r w:rsidRPr="002C1274">
        <w:rPr>
          <w:lang w:val="en-US"/>
        </w:rPr>
        <w:t>, 46 U.S. 103, 118</w:t>
      </w:r>
      <w:r>
        <w:rPr>
          <w:lang w:val="en-US"/>
        </w:rPr>
        <w:t xml:space="preserve"> = 12 L. Ed. </w:t>
      </w:r>
      <w:r w:rsidRPr="002C1274">
        <w:rPr>
          <w:lang w:val="en-US"/>
        </w:rPr>
        <w:t>70, 77</w:t>
      </w:r>
      <w:r>
        <w:rPr>
          <w:lang w:val="en-US"/>
        </w:rPr>
        <w:t xml:space="preserve"> = 1847 U.S. LEXIS </w:t>
      </w:r>
      <w:r w:rsidRPr="002C1274">
        <w:rPr>
          <w:lang w:val="en-US"/>
        </w:rPr>
        <w:t>301, 1</w:t>
      </w:r>
      <w:r>
        <w:rPr>
          <w:lang w:val="en-US"/>
        </w:rPr>
        <w:t xml:space="preserve"> = 5 HOW </w:t>
      </w:r>
      <w:r w:rsidRPr="002C1274">
        <w:rPr>
          <w:lang w:val="en-US"/>
        </w:rPr>
        <w:t>103 (1847)</w:t>
      </w:r>
      <w:r>
        <w:rPr>
          <w:lang w:val="en-US"/>
        </w:rPr>
        <w:t>.</w:t>
      </w:r>
    </w:p>
  </w:footnote>
  <w:footnote w:id="2149">
    <w:p w14:paraId="78785A8B" w14:textId="77777777" w:rsidR="00074551" w:rsidRPr="00CF6486" w:rsidRDefault="00074551" w:rsidP="00074551">
      <w:pPr>
        <w:pStyle w:val="Funotentext"/>
        <w:rPr>
          <w:lang w:val="en-US"/>
        </w:rPr>
      </w:pPr>
      <w:r>
        <w:rPr>
          <w:rStyle w:val="Funotenzeichen"/>
        </w:rPr>
        <w:footnoteRef/>
      </w:r>
      <w:r w:rsidRPr="00CF6486">
        <w:rPr>
          <w:lang w:val="en-US"/>
        </w:rPr>
        <w:t xml:space="preserve"> </w:t>
      </w:r>
      <w:r w:rsidRPr="00B45592">
        <w:rPr>
          <w:i/>
          <w:lang w:val="en-US"/>
        </w:rPr>
        <w:t xml:space="preserve">Barry v. </w:t>
      </w:r>
      <w:proofErr w:type="spellStart"/>
      <w:r w:rsidRPr="00B45592">
        <w:rPr>
          <w:i/>
          <w:lang w:val="en-US"/>
        </w:rPr>
        <w:t>Mercein</w:t>
      </w:r>
      <w:proofErr w:type="spellEnd"/>
      <w:r w:rsidRPr="00CF6486">
        <w:rPr>
          <w:lang w:val="en-US"/>
        </w:rPr>
        <w:t>, 46 U.S. 103, 119</w:t>
      </w:r>
      <w:r>
        <w:rPr>
          <w:lang w:val="en-US"/>
        </w:rPr>
        <w:t xml:space="preserve"> = 12 L. Ed. </w:t>
      </w:r>
      <w:r w:rsidRPr="00CF6486">
        <w:rPr>
          <w:lang w:val="en-US"/>
        </w:rPr>
        <w:t>70, 77</w:t>
      </w:r>
      <w:r>
        <w:rPr>
          <w:lang w:val="en-US"/>
        </w:rPr>
        <w:t xml:space="preserve"> = 1847 U.S. LEXIS </w:t>
      </w:r>
      <w:r w:rsidRPr="00CF6486">
        <w:rPr>
          <w:lang w:val="en-US"/>
        </w:rPr>
        <w:t>301, 39</w:t>
      </w:r>
      <w:r>
        <w:rPr>
          <w:lang w:val="en-US"/>
        </w:rPr>
        <w:t xml:space="preserve"> = 5 HOW </w:t>
      </w:r>
      <w:r w:rsidRPr="00CF6486">
        <w:rPr>
          <w:lang w:val="en-US"/>
        </w:rPr>
        <w:t>103 (1847)</w:t>
      </w:r>
      <w:r>
        <w:rPr>
          <w:lang w:val="en-US"/>
        </w:rPr>
        <w:t>.</w:t>
      </w:r>
    </w:p>
  </w:footnote>
  <w:footnote w:id="2150">
    <w:p w14:paraId="3C368BE8" w14:textId="62B51DE9" w:rsidR="00074551" w:rsidRPr="00310BBA" w:rsidRDefault="00074551" w:rsidP="00074551">
      <w:pPr>
        <w:pStyle w:val="Funotentext"/>
        <w:rPr>
          <w:lang w:val="en-US"/>
        </w:rPr>
      </w:pPr>
      <w:r>
        <w:rPr>
          <w:rStyle w:val="Funotenzeichen"/>
        </w:rPr>
        <w:footnoteRef/>
      </w:r>
      <w:r w:rsidRPr="00B45592">
        <w:rPr>
          <w:lang w:val="en-IE"/>
        </w:rPr>
        <w:t xml:space="preserve"> </w:t>
      </w:r>
      <w:bookmarkStart w:id="94" w:name="_Hlk227842679"/>
      <w:r w:rsidRPr="00E472B5">
        <w:rPr>
          <w:i/>
          <w:lang w:val="en-IE"/>
        </w:rPr>
        <w:t xml:space="preserve">Barry v. </w:t>
      </w:r>
      <w:proofErr w:type="spellStart"/>
      <w:r w:rsidRPr="00E472B5">
        <w:rPr>
          <w:i/>
          <w:lang w:val="en-IE"/>
        </w:rPr>
        <w:t>Mercein</w:t>
      </w:r>
      <w:proofErr w:type="spellEnd"/>
      <w:r w:rsidRPr="00E472B5">
        <w:rPr>
          <w:lang w:val="en-IE"/>
        </w:rPr>
        <w:t>, 46 U.S. 103, 118</w:t>
      </w:r>
      <w:r>
        <w:rPr>
          <w:lang w:val="en-IE"/>
        </w:rPr>
        <w:t xml:space="preserve"> =</w:t>
      </w:r>
      <w:r w:rsidRPr="00E472B5">
        <w:rPr>
          <w:lang w:val="en-IE"/>
        </w:rPr>
        <w:t xml:space="preserve"> 12 L. Ed. 70, 77</w:t>
      </w:r>
      <w:r>
        <w:rPr>
          <w:lang w:val="en-IE"/>
        </w:rPr>
        <w:t xml:space="preserve"> =</w:t>
      </w:r>
      <w:r w:rsidRPr="00E472B5">
        <w:rPr>
          <w:lang w:val="en-IE"/>
        </w:rPr>
        <w:t xml:space="preserve"> 1847 U.S. LEXIS 301, 28</w:t>
      </w:r>
      <w:r w:rsidRPr="00E472B5">
        <w:rPr>
          <w:rFonts w:eastAsiaTheme="majorEastAsia"/>
          <w:lang w:val="en-IE"/>
        </w:rPr>
        <w:t>–</w:t>
      </w:r>
      <w:r w:rsidRPr="00E472B5">
        <w:rPr>
          <w:lang w:val="en-IE"/>
        </w:rPr>
        <w:t>29</w:t>
      </w:r>
      <w:r>
        <w:rPr>
          <w:lang w:val="en-IE"/>
        </w:rPr>
        <w:t xml:space="preserve"> =</w:t>
      </w:r>
      <w:r w:rsidRPr="00E472B5">
        <w:rPr>
          <w:lang w:val="en-IE"/>
        </w:rPr>
        <w:t xml:space="preserve"> 5 HOW 103 (1847)</w:t>
      </w:r>
      <w:r w:rsidR="006B5A0D">
        <w:rPr>
          <w:lang w:val="en-IE"/>
        </w:rPr>
        <w:t xml:space="preserve"> (Syllabus)</w:t>
      </w:r>
      <w:r>
        <w:rPr>
          <w:lang w:val="en-IE"/>
        </w:rPr>
        <w:t xml:space="preserve">, </w:t>
      </w:r>
      <w:proofErr w:type="spellStart"/>
      <w:r>
        <w:rPr>
          <w:lang w:val="en-IE"/>
        </w:rPr>
        <w:t>zitierend</w:t>
      </w:r>
      <w:proofErr w:type="spellEnd"/>
      <w:r>
        <w:rPr>
          <w:lang w:val="en-IE"/>
        </w:rPr>
        <w:t xml:space="preserve"> </w:t>
      </w:r>
      <w:proofErr w:type="spellStart"/>
      <w:r>
        <w:rPr>
          <w:lang w:val="en-IE"/>
        </w:rPr>
        <w:t>aus</w:t>
      </w:r>
      <w:proofErr w:type="spellEnd"/>
      <w:r>
        <w:rPr>
          <w:lang w:val="en-IE"/>
        </w:rPr>
        <w:t xml:space="preserve"> </w:t>
      </w:r>
      <w:r w:rsidRPr="00B45592">
        <w:rPr>
          <w:i/>
          <w:lang w:val="en-IE"/>
        </w:rPr>
        <w:t>De Manneville v. De Manneville</w:t>
      </w:r>
      <w:r w:rsidRPr="00B45592">
        <w:rPr>
          <w:lang w:val="en-IE"/>
        </w:rPr>
        <w:t xml:space="preserve">, 10 Ves. 52 – 66, Ld. </w:t>
      </w:r>
      <w:r w:rsidRPr="00DA59F0">
        <w:rPr>
          <w:lang w:val="en-US"/>
        </w:rPr>
        <w:t>Chan.</w:t>
      </w:r>
      <w:r>
        <w:rPr>
          <w:lang w:val="en-US"/>
        </w:rPr>
        <w:t xml:space="preserve">, </w:t>
      </w:r>
      <w:proofErr w:type="spellStart"/>
      <w:r>
        <w:rPr>
          <w:lang w:val="en-US"/>
        </w:rPr>
        <w:t>im</w:t>
      </w:r>
      <w:proofErr w:type="spellEnd"/>
      <w:r>
        <w:rPr>
          <w:lang w:val="en-US"/>
        </w:rPr>
        <w:t xml:space="preserve"> </w:t>
      </w:r>
      <w:proofErr w:type="spellStart"/>
      <w:r>
        <w:rPr>
          <w:lang w:val="en-US"/>
        </w:rPr>
        <w:t>Fazit</w:t>
      </w:r>
      <w:proofErr w:type="spellEnd"/>
      <w:r w:rsidRPr="00DA59F0">
        <w:rPr>
          <w:lang w:val="en-US"/>
        </w:rPr>
        <w:t>, 66</w:t>
      </w:r>
      <w:bookmarkEnd w:id="94"/>
      <w:r>
        <w:rPr>
          <w:lang w:val="en-US"/>
        </w:rPr>
        <w:t>.</w:t>
      </w:r>
    </w:p>
  </w:footnote>
  <w:footnote w:id="2151">
    <w:p w14:paraId="13A219AD" w14:textId="77777777" w:rsidR="00074551" w:rsidRPr="0063744D" w:rsidRDefault="00074551" w:rsidP="00074551">
      <w:pPr>
        <w:pStyle w:val="Funotentext"/>
        <w:rPr>
          <w:lang w:val="en-US"/>
        </w:rPr>
      </w:pPr>
      <w:r>
        <w:rPr>
          <w:rStyle w:val="Funotenzeichen"/>
        </w:rPr>
        <w:footnoteRef/>
      </w:r>
      <w:r w:rsidRPr="0063744D">
        <w:rPr>
          <w:lang w:val="en-US"/>
        </w:rPr>
        <w:t xml:space="preserve"> </w:t>
      </w:r>
      <w:r w:rsidRPr="00B45592">
        <w:rPr>
          <w:i/>
          <w:lang w:val="en-US"/>
        </w:rPr>
        <w:t xml:space="preserve">Barry v. </w:t>
      </w:r>
      <w:proofErr w:type="spellStart"/>
      <w:r w:rsidRPr="00B45592">
        <w:rPr>
          <w:i/>
          <w:lang w:val="en-US"/>
        </w:rPr>
        <w:t>Mercein</w:t>
      </w:r>
      <w:proofErr w:type="spellEnd"/>
      <w:r w:rsidRPr="0063744D">
        <w:rPr>
          <w:lang w:val="en-US"/>
        </w:rPr>
        <w:t>, 46 U.S. 103, 120</w:t>
      </w:r>
      <w:r>
        <w:rPr>
          <w:lang w:val="en-US"/>
        </w:rPr>
        <w:t xml:space="preserve"> = 12 L. Ed. </w:t>
      </w:r>
      <w:r w:rsidRPr="0063744D">
        <w:rPr>
          <w:lang w:val="en-US"/>
        </w:rPr>
        <w:t>70, 78</w:t>
      </w:r>
      <w:r>
        <w:rPr>
          <w:lang w:val="en-US"/>
        </w:rPr>
        <w:t xml:space="preserve"> = 1847 U.S. LEXIS </w:t>
      </w:r>
      <w:r w:rsidRPr="0063744D">
        <w:rPr>
          <w:lang w:val="en-US"/>
        </w:rPr>
        <w:t>301, 42</w:t>
      </w:r>
      <w:r>
        <w:rPr>
          <w:lang w:val="en-US"/>
        </w:rPr>
        <w:t xml:space="preserve"> = 5 HOW </w:t>
      </w:r>
      <w:r w:rsidRPr="0063744D">
        <w:rPr>
          <w:lang w:val="en-US"/>
        </w:rPr>
        <w:t>103 (1847)</w:t>
      </w:r>
      <w:r>
        <w:rPr>
          <w:lang w:val="en-US"/>
        </w:rPr>
        <w:t>.</w:t>
      </w:r>
    </w:p>
  </w:footnote>
  <w:footnote w:id="2152">
    <w:p w14:paraId="4CBFC5E2" w14:textId="77777777" w:rsidR="00074551" w:rsidRPr="00B45592" w:rsidRDefault="00074551" w:rsidP="00074551">
      <w:pPr>
        <w:pStyle w:val="Funotentext"/>
        <w:rPr>
          <w:lang w:val="en-IE"/>
        </w:rPr>
      </w:pPr>
      <w:r>
        <w:rPr>
          <w:rStyle w:val="Funotenzeichen"/>
        </w:rPr>
        <w:footnoteRef/>
      </w:r>
      <w:r w:rsidRPr="00B45592">
        <w:rPr>
          <w:lang w:val="en-IE"/>
        </w:rPr>
        <w:t xml:space="preserve"> </w:t>
      </w:r>
      <w:r w:rsidRPr="00E472B5">
        <w:rPr>
          <w:i/>
          <w:lang w:val="en-IE"/>
        </w:rPr>
        <w:t>Oklahoma Press Pub. Co. v. Walling</w:t>
      </w:r>
      <w:r w:rsidRPr="00E472B5">
        <w:rPr>
          <w:lang w:val="en-IE"/>
        </w:rPr>
        <w:t>, 327 U.S. 186, 203</w:t>
      </w:r>
      <w:r w:rsidRPr="00E472B5">
        <w:rPr>
          <w:rFonts w:eastAsiaTheme="majorEastAsia"/>
          <w:lang w:val="en-IE"/>
        </w:rPr>
        <w:t xml:space="preserve"> =</w:t>
      </w:r>
      <w:r w:rsidRPr="00E472B5">
        <w:rPr>
          <w:lang w:val="en-IE"/>
        </w:rPr>
        <w:t xml:space="preserve"> 66 S. Ct. 494, 502</w:t>
      </w:r>
      <w:r w:rsidRPr="00E472B5">
        <w:rPr>
          <w:rFonts w:eastAsiaTheme="majorEastAsia"/>
          <w:lang w:val="en-IE"/>
        </w:rPr>
        <w:t xml:space="preserve"> =</w:t>
      </w:r>
      <w:r w:rsidRPr="00E472B5">
        <w:rPr>
          <w:lang w:val="en-IE"/>
        </w:rPr>
        <w:t xml:space="preserve"> 90 L. Ed. 614, 626</w:t>
      </w:r>
      <w:r w:rsidRPr="00E472B5">
        <w:rPr>
          <w:rFonts w:eastAsiaTheme="majorEastAsia"/>
          <w:lang w:val="en-IE"/>
        </w:rPr>
        <w:t xml:space="preserve"> =</w:t>
      </w:r>
      <w:r w:rsidRPr="00E472B5">
        <w:rPr>
          <w:lang w:val="en-IE"/>
        </w:rPr>
        <w:t xml:space="preserve"> 1946 U.S. LEXIS 3089, 30</w:t>
      </w:r>
      <w:r w:rsidRPr="00E472B5">
        <w:rPr>
          <w:rFonts w:eastAsiaTheme="majorEastAsia"/>
          <w:lang w:val="en-IE"/>
        </w:rPr>
        <w:t xml:space="preserve"> =</w:t>
      </w:r>
      <w:r w:rsidRPr="00E472B5">
        <w:rPr>
          <w:lang w:val="en-IE"/>
        </w:rPr>
        <w:t xml:space="preserve"> 10 Lab. Cas. (CCH) P51,222</w:t>
      </w:r>
      <w:r w:rsidRPr="00E472B5">
        <w:rPr>
          <w:rFonts w:eastAsiaTheme="majorEastAsia"/>
          <w:lang w:val="en-IE"/>
        </w:rPr>
        <w:t xml:space="preserve"> =</w:t>
      </w:r>
      <w:r w:rsidRPr="00E472B5">
        <w:rPr>
          <w:lang w:val="en-IE"/>
        </w:rPr>
        <w:t xml:space="preserve"> 166 A.L.R. 531 (1946).</w:t>
      </w:r>
    </w:p>
  </w:footnote>
  <w:footnote w:id="2153">
    <w:p w14:paraId="7417463E" w14:textId="77777777" w:rsidR="00074551" w:rsidRPr="00B0750C" w:rsidRDefault="00074551" w:rsidP="00074551">
      <w:pPr>
        <w:pStyle w:val="Funotentext"/>
        <w:rPr>
          <w:lang w:val="en-US"/>
        </w:rPr>
      </w:pPr>
      <w:r>
        <w:rPr>
          <w:rStyle w:val="Funotenzeichen"/>
          <w:rFonts w:eastAsiaTheme="majorEastAsia"/>
        </w:rPr>
        <w:footnoteRef/>
      </w:r>
      <w:r w:rsidRPr="00B0750C">
        <w:rPr>
          <w:lang w:val="en-US"/>
        </w:rPr>
        <w:t xml:space="preserve"> </w:t>
      </w:r>
      <w:r w:rsidRPr="00AB01D2">
        <w:rPr>
          <w:i/>
          <w:lang w:val="en-US"/>
        </w:rPr>
        <w:t>Oklahoma Press Pub. Co. v. Walling</w:t>
      </w:r>
      <w:r w:rsidRPr="00B0750C">
        <w:rPr>
          <w:lang w:val="en-US"/>
        </w:rPr>
        <w:t>, 327 U.S. 186, 203</w:t>
      </w:r>
      <w:r>
        <w:rPr>
          <w:lang w:val="en-US"/>
        </w:rPr>
        <w:t xml:space="preserve"> = 66 S. Ct. </w:t>
      </w:r>
      <w:r w:rsidRPr="00B0750C">
        <w:rPr>
          <w:lang w:val="en-US"/>
        </w:rPr>
        <w:t>494, 502</w:t>
      </w:r>
      <w:r>
        <w:rPr>
          <w:lang w:val="en-US"/>
        </w:rPr>
        <w:t xml:space="preserve"> = 90 L. Ed. </w:t>
      </w:r>
      <w:r w:rsidRPr="00B0750C">
        <w:rPr>
          <w:lang w:val="en-US"/>
        </w:rPr>
        <w:t>614, 626</w:t>
      </w:r>
      <w:r>
        <w:rPr>
          <w:lang w:val="en-US"/>
        </w:rPr>
        <w:t xml:space="preserve"> = 1946 U.S. LEXIS </w:t>
      </w:r>
      <w:r w:rsidRPr="00B0750C">
        <w:rPr>
          <w:lang w:val="en-US"/>
        </w:rPr>
        <w:t>3089, 30</w:t>
      </w:r>
      <w:r>
        <w:rPr>
          <w:lang w:val="en-US"/>
        </w:rPr>
        <w:t xml:space="preserve"> = 10 Lab. Cas. </w:t>
      </w:r>
      <w:r w:rsidRPr="00B0750C">
        <w:rPr>
          <w:lang w:val="en-US"/>
        </w:rPr>
        <w:t>(CCH) P51,222</w:t>
      </w:r>
      <w:r>
        <w:rPr>
          <w:lang w:val="en-US"/>
        </w:rPr>
        <w:t xml:space="preserve"> = 166 A.L.R. </w:t>
      </w:r>
      <w:r w:rsidRPr="00B0750C">
        <w:rPr>
          <w:lang w:val="en-US"/>
        </w:rPr>
        <w:t>531 (1946)</w:t>
      </w:r>
      <w:r>
        <w:rPr>
          <w:lang w:val="en-US"/>
        </w:rPr>
        <w:t>.</w:t>
      </w:r>
    </w:p>
  </w:footnote>
  <w:footnote w:id="2154">
    <w:p w14:paraId="3BEE9BE1" w14:textId="77777777" w:rsidR="00074551" w:rsidRPr="00F4274B" w:rsidRDefault="00074551" w:rsidP="00074551">
      <w:pPr>
        <w:pStyle w:val="Funotentext"/>
        <w:rPr>
          <w:lang w:val="en-US"/>
        </w:rPr>
      </w:pPr>
      <w:r>
        <w:rPr>
          <w:rStyle w:val="Funotenzeichen"/>
          <w:rFonts w:eastAsiaTheme="majorEastAsia"/>
        </w:rPr>
        <w:footnoteRef/>
      </w:r>
      <w:r w:rsidRPr="004302E3">
        <w:rPr>
          <w:lang w:val="en-US"/>
        </w:rPr>
        <w:t xml:space="preserve"> </w:t>
      </w:r>
      <w:r w:rsidRPr="00AB01D2">
        <w:rPr>
          <w:i/>
          <w:lang w:val="en-US"/>
        </w:rPr>
        <w:t>Oklahoma Press Pub. Co. v. Walling</w:t>
      </w:r>
      <w:r w:rsidRPr="004302E3">
        <w:rPr>
          <w:lang w:val="en-US"/>
        </w:rPr>
        <w:t>, 327 U.S. 186, 189</w:t>
      </w:r>
      <w:r>
        <w:rPr>
          <w:lang w:val="en-US"/>
        </w:rPr>
        <w:t xml:space="preserve"> = 66 S. Ct. </w:t>
      </w:r>
      <w:r w:rsidRPr="004302E3">
        <w:rPr>
          <w:lang w:val="en-US"/>
        </w:rPr>
        <w:t>494, 495</w:t>
      </w:r>
      <w:r>
        <w:rPr>
          <w:lang w:val="en-US"/>
        </w:rPr>
        <w:t xml:space="preserve"> = 90 L. Ed. </w:t>
      </w:r>
      <w:r w:rsidRPr="004302E3">
        <w:rPr>
          <w:lang w:val="en-US"/>
        </w:rPr>
        <w:t>614, 619</w:t>
      </w:r>
      <w:r>
        <w:rPr>
          <w:lang w:val="en-US"/>
        </w:rPr>
        <w:t xml:space="preserve"> = 1946 U.S. LEXIS </w:t>
      </w:r>
      <w:r w:rsidRPr="004302E3">
        <w:rPr>
          <w:lang w:val="en-US"/>
        </w:rPr>
        <w:t>3089, 2</w:t>
      </w:r>
      <w:r>
        <w:rPr>
          <w:lang w:val="en-US"/>
        </w:rPr>
        <w:t xml:space="preserve"> = 10 Lab. Cas. </w:t>
      </w:r>
      <w:r w:rsidRPr="00F4274B">
        <w:rPr>
          <w:lang w:val="en-US"/>
        </w:rPr>
        <w:t>(CCH) P51,222</w:t>
      </w:r>
      <w:r>
        <w:rPr>
          <w:lang w:val="en-US"/>
        </w:rPr>
        <w:t xml:space="preserve"> = 166 A.L.R. </w:t>
      </w:r>
      <w:r w:rsidRPr="00F4274B">
        <w:rPr>
          <w:lang w:val="en-US"/>
        </w:rPr>
        <w:t>531 (1946).</w:t>
      </w:r>
    </w:p>
  </w:footnote>
  <w:footnote w:id="2155">
    <w:p w14:paraId="4BDEDB08" w14:textId="77777777" w:rsidR="00074551" w:rsidRPr="00B0750C" w:rsidRDefault="00074551" w:rsidP="00074551">
      <w:pPr>
        <w:pStyle w:val="Funotentext"/>
        <w:rPr>
          <w:lang w:val="en-US"/>
        </w:rPr>
      </w:pPr>
      <w:r>
        <w:rPr>
          <w:rStyle w:val="Funotenzeichen"/>
          <w:rFonts w:eastAsiaTheme="majorEastAsia"/>
        </w:rPr>
        <w:footnoteRef/>
      </w:r>
      <w:r w:rsidRPr="00B0750C">
        <w:rPr>
          <w:lang w:val="en-US"/>
        </w:rPr>
        <w:t xml:space="preserve"> </w:t>
      </w:r>
      <w:r w:rsidRPr="009167A5">
        <w:rPr>
          <w:i/>
          <w:lang w:val="en-US"/>
        </w:rPr>
        <w:t>Olmstead v. United States</w:t>
      </w:r>
      <w:r w:rsidRPr="00B0750C">
        <w:rPr>
          <w:lang w:val="en-US"/>
        </w:rPr>
        <w:t>, 277 U.S. 438, 478</w:t>
      </w:r>
      <w:r>
        <w:rPr>
          <w:lang w:val="en-US"/>
        </w:rPr>
        <w:t>–</w:t>
      </w:r>
      <w:r w:rsidRPr="00B0750C">
        <w:rPr>
          <w:lang w:val="en-US"/>
        </w:rPr>
        <w:t>479</w:t>
      </w:r>
      <w:r>
        <w:rPr>
          <w:lang w:val="en-US"/>
        </w:rPr>
        <w:t xml:space="preserve">; </w:t>
      </w:r>
      <w:r w:rsidRPr="00AB01D2">
        <w:rPr>
          <w:i/>
          <w:lang w:val="en-US"/>
        </w:rPr>
        <w:t>Oklahoma Press Pub. Co. v. Walling</w:t>
      </w:r>
      <w:r w:rsidRPr="00B0750C">
        <w:rPr>
          <w:lang w:val="en-US"/>
        </w:rPr>
        <w:t>, 327 U.S. 186, 203</w:t>
      </w:r>
      <w:r>
        <w:rPr>
          <w:lang w:val="en-US"/>
        </w:rPr>
        <w:t xml:space="preserve"> = 66 S. Ct. </w:t>
      </w:r>
      <w:r w:rsidRPr="00B0750C">
        <w:rPr>
          <w:lang w:val="en-US"/>
        </w:rPr>
        <w:t>494, 502</w:t>
      </w:r>
      <w:r>
        <w:rPr>
          <w:lang w:val="en-US"/>
        </w:rPr>
        <w:t xml:space="preserve"> = 90 L. Ed. </w:t>
      </w:r>
      <w:r w:rsidRPr="00B0750C">
        <w:rPr>
          <w:lang w:val="en-US"/>
        </w:rPr>
        <w:t>614, 626</w:t>
      </w:r>
      <w:r>
        <w:rPr>
          <w:lang w:val="en-US"/>
        </w:rPr>
        <w:t xml:space="preserve"> = 1946 U.S. LEXIS </w:t>
      </w:r>
      <w:r w:rsidRPr="00B0750C">
        <w:rPr>
          <w:lang w:val="en-US"/>
        </w:rPr>
        <w:t>3089, 30</w:t>
      </w:r>
      <w:r>
        <w:rPr>
          <w:lang w:val="en-US"/>
        </w:rPr>
        <w:t xml:space="preserve"> = 10 Lab. Cas. </w:t>
      </w:r>
      <w:r w:rsidRPr="00B0750C">
        <w:rPr>
          <w:lang w:val="en-US"/>
        </w:rPr>
        <w:t>(CCH) P51,222</w:t>
      </w:r>
      <w:r>
        <w:rPr>
          <w:lang w:val="en-US"/>
        </w:rPr>
        <w:t xml:space="preserve"> = 166 A.L.R. </w:t>
      </w:r>
      <w:r w:rsidRPr="00B0750C">
        <w:rPr>
          <w:lang w:val="en-US"/>
        </w:rPr>
        <w:t>531 (1946).</w:t>
      </w:r>
    </w:p>
  </w:footnote>
  <w:footnote w:id="2156">
    <w:p w14:paraId="3F85A902" w14:textId="77777777" w:rsidR="00074551" w:rsidRPr="00091EAE" w:rsidRDefault="00074551" w:rsidP="00074551">
      <w:pPr>
        <w:pStyle w:val="Funotentext"/>
        <w:rPr>
          <w:lang w:val="en-US"/>
        </w:rPr>
      </w:pPr>
      <w:r>
        <w:rPr>
          <w:rStyle w:val="Funotenzeichen"/>
          <w:rFonts w:eastAsiaTheme="majorEastAsia"/>
        </w:rPr>
        <w:footnoteRef/>
      </w:r>
      <w:r w:rsidRPr="00091EAE">
        <w:rPr>
          <w:lang w:val="en-US"/>
        </w:rPr>
        <w:t xml:space="preserve"> </w:t>
      </w:r>
      <w:r w:rsidRPr="00AB01D2">
        <w:rPr>
          <w:i/>
          <w:lang w:val="en-US"/>
        </w:rPr>
        <w:t>Oklahoma Press Pub. Co. v. Walling</w:t>
      </w:r>
      <w:r w:rsidRPr="00091EAE">
        <w:rPr>
          <w:lang w:val="en-US"/>
        </w:rPr>
        <w:t>, 327 U.S. 186, 208</w:t>
      </w:r>
      <w:r>
        <w:rPr>
          <w:lang w:val="en-US"/>
        </w:rPr>
        <w:t xml:space="preserve"> = 66 S. Ct. </w:t>
      </w:r>
      <w:r w:rsidRPr="00091EAE">
        <w:rPr>
          <w:lang w:val="en-US"/>
        </w:rPr>
        <w:t>494, 505</w:t>
      </w:r>
      <w:r>
        <w:rPr>
          <w:lang w:val="en-US"/>
        </w:rPr>
        <w:t xml:space="preserve"> = 90 L. Ed. </w:t>
      </w:r>
      <w:r w:rsidRPr="00091EAE">
        <w:rPr>
          <w:lang w:val="en-US"/>
        </w:rPr>
        <w:t>614, 629</w:t>
      </w:r>
      <w:r>
        <w:rPr>
          <w:lang w:val="en-US"/>
        </w:rPr>
        <w:t xml:space="preserve"> = 1946 U.S. LEXIS </w:t>
      </w:r>
      <w:r w:rsidRPr="00091EAE">
        <w:rPr>
          <w:lang w:val="en-US"/>
        </w:rPr>
        <w:t>3089, 36</w:t>
      </w:r>
      <w:r>
        <w:rPr>
          <w:lang w:val="en-US"/>
        </w:rPr>
        <w:t xml:space="preserve"> = 10 Lab. Cas. </w:t>
      </w:r>
      <w:r w:rsidRPr="00091EAE">
        <w:rPr>
          <w:lang w:val="en-US"/>
        </w:rPr>
        <w:t>(CCH) P51,222</w:t>
      </w:r>
      <w:r>
        <w:rPr>
          <w:lang w:val="en-US"/>
        </w:rPr>
        <w:t xml:space="preserve"> = 166 A.L.R. </w:t>
      </w:r>
      <w:r w:rsidRPr="00091EAE">
        <w:rPr>
          <w:lang w:val="en-US"/>
        </w:rPr>
        <w:t>531 (1946)</w:t>
      </w:r>
      <w:r>
        <w:rPr>
          <w:lang w:val="en-US"/>
        </w:rPr>
        <w:t>.</w:t>
      </w:r>
    </w:p>
  </w:footnote>
  <w:footnote w:id="2157">
    <w:p w14:paraId="05B1892C" w14:textId="77777777" w:rsidR="00074551" w:rsidRPr="00091EAE" w:rsidRDefault="00074551" w:rsidP="00074551">
      <w:pPr>
        <w:pStyle w:val="Funotentext"/>
        <w:rPr>
          <w:lang w:val="en-US"/>
        </w:rPr>
      </w:pPr>
      <w:r>
        <w:rPr>
          <w:rStyle w:val="Funotenzeichen"/>
          <w:rFonts w:eastAsiaTheme="majorEastAsia"/>
        </w:rPr>
        <w:footnoteRef/>
      </w:r>
      <w:r w:rsidRPr="00091EAE">
        <w:rPr>
          <w:lang w:val="en-US"/>
        </w:rPr>
        <w:t xml:space="preserve"> </w:t>
      </w:r>
      <w:r w:rsidRPr="00AB01D2">
        <w:rPr>
          <w:i/>
          <w:lang w:val="en-US"/>
        </w:rPr>
        <w:t>Oklahoma Press Pub. Co. v. Walling</w:t>
      </w:r>
      <w:r w:rsidRPr="00091EAE">
        <w:rPr>
          <w:lang w:val="en-US"/>
        </w:rPr>
        <w:t>, 327 U.S. 186, 208</w:t>
      </w:r>
      <w:r>
        <w:rPr>
          <w:lang w:val="en-US"/>
        </w:rPr>
        <w:t xml:space="preserve"> = 66 S. Ct. </w:t>
      </w:r>
      <w:r w:rsidRPr="00091EAE">
        <w:rPr>
          <w:lang w:val="en-US"/>
        </w:rPr>
        <w:t>494, 505</w:t>
      </w:r>
      <w:r>
        <w:rPr>
          <w:lang w:val="en-US"/>
        </w:rPr>
        <w:t xml:space="preserve"> = 90 L. Ed. </w:t>
      </w:r>
      <w:r w:rsidRPr="00091EAE">
        <w:rPr>
          <w:lang w:val="en-US"/>
        </w:rPr>
        <w:t>614, 629</w:t>
      </w:r>
      <w:r>
        <w:rPr>
          <w:lang w:val="en-US"/>
        </w:rPr>
        <w:t xml:space="preserve"> = 1946 U.S. LEXIS </w:t>
      </w:r>
      <w:r w:rsidRPr="00091EAE">
        <w:rPr>
          <w:lang w:val="en-US"/>
        </w:rPr>
        <w:t>3089, 36</w:t>
      </w:r>
      <w:r>
        <w:rPr>
          <w:lang w:val="en-US"/>
        </w:rPr>
        <w:t xml:space="preserve"> = 10 Lab. Cas. </w:t>
      </w:r>
      <w:r w:rsidRPr="00091EAE">
        <w:rPr>
          <w:lang w:val="en-US"/>
        </w:rPr>
        <w:t>(CCH) P51,222</w:t>
      </w:r>
      <w:r>
        <w:rPr>
          <w:lang w:val="en-US"/>
        </w:rPr>
        <w:t xml:space="preserve"> = 166 A.L.R. </w:t>
      </w:r>
      <w:r w:rsidRPr="00091EAE">
        <w:rPr>
          <w:lang w:val="en-US"/>
        </w:rPr>
        <w:t>531 (1946)</w:t>
      </w:r>
      <w:r>
        <w:rPr>
          <w:lang w:val="en-US"/>
        </w:rPr>
        <w:t>.</w:t>
      </w:r>
    </w:p>
  </w:footnote>
  <w:footnote w:id="2158">
    <w:p w14:paraId="06E80F7D" w14:textId="77777777" w:rsidR="00074551" w:rsidRPr="00091EAE" w:rsidRDefault="00074551" w:rsidP="00074551">
      <w:pPr>
        <w:pStyle w:val="Funotentext"/>
        <w:rPr>
          <w:lang w:val="en-US"/>
        </w:rPr>
      </w:pPr>
      <w:r>
        <w:rPr>
          <w:rStyle w:val="Funotenzeichen"/>
          <w:rFonts w:eastAsiaTheme="majorEastAsia"/>
        </w:rPr>
        <w:footnoteRef/>
      </w:r>
      <w:r w:rsidRPr="00091EAE">
        <w:rPr>
          <w:lang w:val="en-US"/>
        </w:rPr>
        <w:t xml:space="preserve"> </w:t>
      </w:r>
      <w:r w:rsidRPr="00AB01D2">
        <w:rPr>
          <w:i/>
          <w:lang w:val="en-US"/>
        </w:rPr>
        <w:t>Oklahoma Press Pub. Co. v. Walling</w:t>
      </w:r>
      <w:r w:rsidRPr="00091EAE">
        <w:rPr>
          <w:lang w:val="en-US"/>
        </w:rPr>
        <w:t>, 327 U.S. 186, 208</w:t>
      </w:r>
      <w:r>
        <w:rPr>
          <w:lang w:val="en-US"/>
        </w:rPr>
        <w:t xml:space="preserve"> = 66 S. Ct. </w:t>
      </w:r>
      <w:r w:rsidRPr="00091EAE">
        <w:rPr>
          <w:lang w:val="en-US"/>
        </w:rPr>
        <w:t>494, 505</w:t>
      </w:r>
      <w:r>
        <w:rPr>
          <w:lang w:val="en-US"/>
        </w:rPr>
        <w:t xml:space="preserve"> = 90 L. Ed. </w:t>
      </w:r>
      <w:r w:rsidRPr="00091EAE">
        <w:rPr>
          <w:lang w:val="en-US"/>
        </w:rPr>
        <w:t>614, 629</w:t>
      </w:r>
      <w:r>
        <w:rPr>
          <w:lang w:val="en-US"/>
        </w:rPr>
        <w:t xml:space="preserve"> = 1946 U.S. LEXIS </w:t>
      </w:r>
      <w:r w:rsidRPr="00091EAE">
        <w:rPr>
          <w:lang w:val="en-US"/>
        </w:rPr>
        <w:t>3089, 36</w:t>
      </w:r>
      <w:r>
        <w:rPr>
          <w:lang w:val="en-US"/>
        </w:rPr>
        <w:t xml:space="preserve"> = 10 Lab. Cas. </w:t>
      </w:r>
      <w:r w:rsidRPr="00091EAE">
        <w:rPr>
          <w:lang w:val="en-US"/>
        </w:rPr>
        <w:t>(CCH) P51,222</w:t>
      </w:r>
      <w:r>
        <w:rPr>
          <w:lang w:val="en-US"/>
        </w:rPr>
        <w:t xml:space="preserve"> = 166 A.L.R. </w:t>
      </w:r>
      <w:r w:rsidRPr="00091EAE">
        <w:rPr>
          <w:lang w:val="en-US"/>
        </w:rPr>
        <w:t>531 (1946)</w:t>
      </w:r>
      <w:r>
        <w:rPr>
          <w:lang w:val="en-US"/>
        </w:rPr>
        <w:t>.</w:t>
      </w:r>
    </w:p>
  </w:footnote>
  <w:footnote w:id="2159">
    <w:p w14:paraId="0FA6F239" w14:textId="77777777" w:rsidR="00074551" w:rsidRPr="00091EAE" w:rsidRDefault="00074551" w:rsidP="00074551">
      <w:pPr>
        <w:pStyle w:val="Funotentext"/>
        <w:rPr>
          <w:lang w:val="en-US"/>
        </w:rPr>
      </w:pPr>
      <w:r>
        <w:rPr>
          <w:rStyle w:val="Funotenzeichen"/>
          <w:rFonts w:eastAsiaTheme="majorEastAsia"/>
        </w:rPr>
        <w:footnoteRef/>
      </w:r>
      <w:r w:rsidRPr="00091EAE">
        <w:rPr>
          <w:lang w:val="en-US"/>
        </w:rPr>
        <w:t xml:space="preserve"> </w:t>
      </w:r>
      <w:r w:rsidRPr="00AB01D2">
        <w:rPr>
          <w:i/>
          <w:lang w:val="en-US"/>
        </w:rPr>
        <w:t>Oklahoma Press Pub. Co. v. Walling</w:t>
      </w:r>
      <w:r w:rsidRPr="00091EAE">
        <w:rPr>
          <w:lang w:val="en-US"/>
        </w:rPr>
        <w:t>, 327 U.S. 186, 208</w:t>
      </w:r>
      <w:r>
        <w:rPr>
          <w:lang w:val="en-US"/>
        </w:rPr>
        <w:t xml:space="preserve"> = 66 S. Ct. </w:t>
      </w:r>
      <w:r w:rsidRPr="00091EAE">
        <w:rPr>
          <w:lang w:val="en-US"/>
        </w:rPr>
        <w:t>494, 505</w:t>
      </w:r>
      <w:r>
        <w:rPr>
          <w:lang w:val="en-US"/>
        </w:rPr>
        <w:t xml:space="preserve"> = 90 L. Ed. </w:t>
      </w:r>
      <w:r w:rsidRPr="00091EAE">
        <w:rPr>
          <w:lang w:val="en-US"/>
        </w:rPr>
        <w:t>614, 629</w:t>
      </w:r>
      <w:r>
        <w:rPr>
          <w:lang w:val="en-US"/>
        </w:rPr>
        <w:t xml:space="preserve"> = 1946 U.S. LEXIS </w:t>
      </w:r>
      <w:r w:rsidRPr="00091EAE">
        <w:rPr>
          <w:lang w:val="en-US"/>
        </w:rPr>
        <w:t>3089, 36</w:t>
      </w:r>
      <w:r>
        <w:rPr>
          <w:lang w:val="en-US"/>
        </w:rPr>
        <w:t xml:space="preserve"> = 10 Lab. Cas. </w:t>
      </w:r>
      <w:r w:rsidRPr="00091EAE">
        <w:rPr>
          <w:lang w:val="en-US"/>
        </w:rPr>
        <w:t>(CCH) P51,222</w:t>
      </w:r>
      <w:r>
        <w:rPr>
          <w:lang w:val="en-US"/>
        </w:rPr>
        <w:t xml:space="preserve"> = 166 A.L.R. </w:t>
      </w:r>
      <w:r w:rsidRPr="00091EAE">
        <w:rPr>
          <w:lang w:val="en-US"/>
        </w:rPr>
        <w:t>531 (1946)</w:t>
      </w:r>
      <w:r>
        <w:rPr>
          <w:lang w:val="en-US"/>
        </w:rPr>
        <w:t>.</w:t>
      </w:r>
    </w:p>
  </w:footnote>
  <w:footnote w:id="2160">
    <w:p w14:paraId="12A736F2" w14:textId="77777777" w:rsidR="00074551" w:rsidRPr="00091EAE" w:rsidRDefault="00074551" w:rsidP="00074551">
      <w:pPr>
        <w:pStyle w:val="Funotentext"/>
        <w:rPr>
          <w:lang w:val="en-US"/>
        </w:rPr>
      </w:pPr>
      <w:r>
        <w:rPr>
          <w:rStyle w:val="Funotenzeichen"/>
          <w:rFonts w:eastAsiaTheme="majorEastAsia"/>
        </w:rPr>
        <w:footnoteRef/>
      </w:r>
      <w:r w:rsidRPr="00091EAE">
        <w:rPr>
          <w:lang w:val="en-US"/>
        </w:rPr>
        <w:t xml:space="preserve"> </w:t>
      </w:r>
      <w:r w:rsidRPr="00AB01D2">
        <w:rPr>
          <w:i/>
          <w:lang w:val="en-US"/>
        </w:rPr>
        <w:t>Oklahoma Press Pub. Co. v. Walling</w:t>
      </w:r>
      <w:r w:rsidRPr="00091EAE">
        <w:rPr>
          <w:lang w:val="en-US"/>
        </w:rPr>
        <w:t>, 327 U.S. 186, 208</w:t>
      </w:r>
      <w:r>
        <w:rPr>
          <w:lang w:val="en-US"/>
        </w:rPr>
        <w:t xml:space="preserve"> = 66 S. Ct. </w:t>
      </w:r>
      <w:r w:rsidRPr="00091EAE">
        <w:rPr>
          <w:lang w:val="en-US"/>
        </w:rPr>
        <w:t>494, 505</w:t>
      </w:r>
      <w:r>
        <w:rPr>
          <w:lang w:val="en-US"/>
        </w:rPr>
        <w:t xml:space="preserve"> = 90 L. Ed. </w:t>
      </w:r>
      <w:r w:rsidRPr="00091EAE">
        <w:rPr>
          <w:lang w:val="en-US"/>
        </w:rPr>
        <w:t>614, 629</w:t>
      </w:r>
      <w:r>
        <w:rPr>
          <w:lang w:val="en-US"/>
        </w:rPr>
        <w:t xml:space="preserve"> = 1946 U.S. LEXIS </w:t>
      </w:r>
      <w:r w:rsidRPr="00091EAE">
        <w:rPr>
          <w:lang w:val="en-US"/>
        </w:rPr>
        <w:t>3089, 36</w:t>
      </w:r>
      <w:r>
        <w:rPr>
          <w:lang w:val="en-US"/>
        </w:rPr>
        <w:t xml:space="preserve"> = 10 Lab. Cas. </w:t>
      </w:r>
      <w:r w:rsidRPr="00091EAE">
        <w:rPr>
          <w:lang w:val="en-US"/>
        </w:rPr>
        <w:t>(CCH) P51,222</w:t>
      </w:r>
      <w:r>
        <w:rPr>
          <w:lang w:val="en-US"/>
        </w:rPr>
        <w:t xml:space="preserve"> = 166 A.L.R. </w:t>
      </w:r>
      <w:r w:rsidRPr="00091EAE">
        <w:rPr>
          <w:lang w:val="en-US"/>
        </w:rPr>
        <w:t>531 (1946)</w:t>
      </w:r>
      <w:r>
        <w:rPr>
          <w:lang w:val="en-US"/>
        </w:rPr>
        <w:t>.</w:t>
      </w:r>
    </w:p>
  </w:footnote>
  <w:footnote w:id="2161">
    <w:p w14:paraId="33F3AB45" w14:textId="77777777" w:rsidR="00074551" w:rsidRPr="006F00FE" w:rsidRDefault="00074551" w:rsidP="00074551">
      <w:pPr>
        <w:pStyle w:val="Funotentext"/>
        <w:rPr>
          <w:lang w:val="en-US"/>
        </w:rPr>
      </w:pPr>
      <w:r>
        <w:rPr>
          <w:rStyle w:val="Funotenzeichen"/>
          <w:rFonts w:eastAsiaTheme="majorEastAsia"/>
        </w:rPr>
        <w:footnoteRef/>
      </w:r>
      <w:r w:rsidRPr="006F00FE">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6F00FE">
        <w:rPr>
          <w:lang w:val="en-US"/>
        </w:rPr>
        <w:t>, 71 U.S. 2, 107</w:t>
      </w:r>
      <w:r w:rsidRPr="006E67FE">
        <w:rPr>
          <w:lang w:val="en-US"/>
        </w:rPr>
        <w:t xml:space="preserve"> = 18 L. Ed. </w:t>
      </w:r>
      <w:r w:rsidRPr="006F00FE">
        <w:rPr>
          <w:lang w:val="en-US"/>
        </w:rPr>
        <w:t>281, 291</w:t>
      </w:r>
      <w:r w:rsidRPr="006E67FE">
        <w:rPr>
          <w:lang w:val="en-US"/>
        </w:rPr>
        <w:t xml:space="preserve"> = 1866 U.S. LEXIS </w:t>
      </w:r>
      <w:r w:rsidRPr="006F00FE">
        <w:rPr>
          <w:lang w:val="en-US"/>
        </w:rPr>
        <w:t>861, 174</w:t>
      </w:r>
      <w:r w:rsidRPr="006E67FE">
        <w:rPr>
          <w:lang w:val="en-US"/>
        </w:rPr>
        <w:t xml:space="preserve"> = 4 Wall.</w:t>
      </w:r>
      <w:r w:rsidRPr="006F00FE">
        <w:rPr>
          <w:lang w:val="en-US"/>
        </w:rPr>
        <w:t xml:space="preserve"> 2 (1866)</w:t>
      </w:r>
      <w:r>
        <w:rPr>
          <w:lang w:val="en-US"/>
        </w:rPr>
        <w:t>.</w:t>
      </w:r>
    </w:p>
  </w:footnote>
  <w:footnote w:id="2162">
    <w:p w14:paraId="25FE493D" w14:textId="77777777" w:rsidR="00074551" w:rsidRPr="00464E85" w:rsidRDefault="00074551" w:rsidP="00074551">
      <w:pPr>
        <w:pStyle w:val="Funotentext"/>
        <w:rPr>
          <w:lang w:val="en-US"/>
        </w:rPr>
      </w:pPr>
      <w:r>
        <w:rPr>
          <w:rStyle w:val="Funotenzeichen"/>
          <w:rFonts w:eastAsiaTheme="majorEastAsia"/>
        </w:rPr>
        <w:footnoteRef/>
      </w:r>
      <w:r w:rsidRPr="00464E85">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464E85">
        <w:rPr>
          <w:lang w:val="en-US"/>
        </w:rPr>
        <w:t>, 71 U.S. 2</w:t>
      </w:r>
      <w:r w:rsidRPr="006E67FE">
        <w:rPr>
          <w:lang w:val="en-US"/>
        </w:rPr>
        <w:t xml:space="preserve"> = 18 L. Ed. </w:t>
      </w:r>
      <w:r w:rsidRPr="00464E85">
        <w:rPr>
          <w:lang w:val="en-US"/>
        </w:rPr>
        <w:t>281</w:t>
      </w:r>
      <w:r w:rsidRPr="006E67FE">
        <w:rPr>
          <w:lang w:val="en-US"/>
        </w:rPr>
        <w:t xml:space="preserve"> = 1866 U.S. LEXIS </w:t>
      </w:r>
      <w:r w:rsidRPr="00464E85">
        <w:rPr>
          <w:lang w:val="en-US"/>
        </w:rPr>
        <w:t>861</w:t>
      </w:r>
      <w:r w:rsidRPr="006E67FE">
        <w:rPr>
          <w:lang w:val="en-US"/>
        </w:rPr>
        <w:t xml:space="preserve"> = 4 Wall.</w:t>
      </w:r>
      <w:r w:rsidRPr="00464E85">
        <w:rPr>
          <w:lang w:val="en-US"/>
        </w:rPr>
        <w:t xml:space="preserve"> 2 (1866)</w:t>
      </w:r>
      <w:r>
        <w:rPr>
          <w:lang w:val="en-US"/>
        </w:rPr>
        <w:t>.</w:t>
      </w:r>
    </w:p>
  </w:footnote>
  <w:footnote w:id="2163">
    <w:p w14:paraId="274C7477" w14:textId="77777777" w:rsidR="00074551" w:rsidRPr="00EA1803" w:rsidRDefault="00074551" w:rsidP="00074551">
      <w:pPr>
        <w:pStyle w:val="Funotentext"/>
        <w:rPr>
          <w:lang w:val="en-US"/>
        </w:rPr>
      </w:pPr>
      <w:r>
        <w:rPr>
          <w:rStyle w:val="Funotenzeichen"/>
          <w:rFonts w:eastAsiaTheme="majorEastAsia"/>
        </w:rPr>
        <w:footnoteRef/>
      </w:r>
      <w:r w:rsidRPr="00EA1803">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EA1803">
        <w:rPr>
          <w:lang w:val="en-US"/>
        </w:rPr>
        <w:t>, 71 U.S. 2, 123</w:t>
      </w:r>
      <w:r w:rsidRPr="006E67FE">
        <w:rPr>
          <w:lang w:val="en-US"/>
        </w:rPr>
        <w:t xml:space="preserve"> = 18 L. Ed. </w:t>
      </w:r>
      <w:r w:rsidRPr="00EA1803">
        <w:rPr>
          <w:lang w:val="en-US"/>
        </w:rPr>
        <w:t>281, 296</w:t>
      </w:r>
      <w:r w:rsidRPr="006E67FE">
        <w:rPr>
          <w:lang w:val="en-US"/>
        </w:rPr>
        <w:t xml:space="preserve"> = 1866 U.S. LEXIS </w:t>
      </w:r>
      <w:r w:rsidRPr="00EA1803">
        <w:rPr>
          <w:lang w:val="en-US"/>
        </w:rPr>
        <w:t>861, 213</w:t>
      </w:r>
      <w:r w:rsidRPr="006E67FE">
        <w:rPr>
          <w:lang w:val="en-US"/>
        </w:rPr>
        <w:t xml:space="preserve"> = 4 Wall.</w:t>
      </w:r>
      <w:r w:rsidRPr="00EA1803">
        <w:rPr>
          <w:lang w:val="en-US"/>
        </w:rPr>
        <w:t xml:space="preserve"> 2 (1866)</w:t>
      </w:r>
      <w:r>
        <w:rPr>
          <w:lang w:val="en-US"/>
        </w:rPr>
        <w:t>.</w:t>
      </w:r>
    </w:p>
  </w:footnote>
  <w:footnote w:id="2164">
    <w:p w14:paraId="3B1CC1C3" w14:textId="77777777" w:rsidR="00074551" w:rsidRPr="00EA1803" w:rsidRDefault="00074551" w:rsidP="00074551">
      <w:pPr>
        <w:pStyle w:val="Funotentext"/>
        <w:rPr>
          <w:lang w:val="en-US"/>
        </w:rPr>
      </w:pPr>
      <w:r>
        <w:rPr>
          <w:rStyle w:val="Funotenzeichen"/>
          <w:rFonts w:eastAsiaTheme="majorEastAsia"/>
        </w:rPr>
        <w:footnoteRef/>
      </w:r>
      <w:r w:rsidRPr="00EA1803">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EA1803">
        <w:rPr>
          <w:lang w:val="en-US"/>
        </w:rPr>
        <w:t>, 71 U.S. 2</w:t>
      </w:r>
      <w:r w:rsidRPr="006E67FE">
        <w:rPr>
          <w:lang w:val="en-US"/>
        </w:rPr>
        <w:t xml:space="preserve"> = 18 L. Ed. </w:t>
      </w:r>
      <w:r w:rsidRPr="00EA1803">
        <w:rPr>
          <w:lang w:val="en-US"/>
        </w:rPr>
        <w:t>281</w:t>
      </w:r>
      <w:r w:rsidRPr="006E67FE">
        <w:rPr>
          <w:lang w:val="en-US"/>
        </w:rPr>
        <w:t xml:space="preserve"> = 1866 U.S. LEXIS </w:t>
      </w:r>
      <w:r w:rsidRPr="00EA1803">
        <w:rPr>
          <w:lang w:val="en-US"/>
        </w:rPr>
        <w:t>861</w:t>
      </w:r>
      <w:r w:rsidRPr="006E67FE">
        <w:rPr>
          <w:lang w:val="en-US"/>
        </w:rPr>
        <w:t xml:space="preserve"> = 4 Wall.</w:t>
      </w:r>
      <w:r w:rsidRPr="00EA1803">
        <w:rPr>
          <w:lang w:val="en-US"/>
        </w:rPr>
        <w:t xml:space="preserve"> 2 (1866)</w:t>
      </w:r>
      <w:r>
        <w:rPr>
          <w:lang w:val="en-US"/>
        </w:rPr>
        <w:t>.</w:t>
      </w:r>
    </w:p>
  </w:footnote>
  <w:footnote w:id="2165">
    <w:p w14:paraId="59422915" w14:textId="77777777" w:rsidR="00074551" w:rsidRPr="009518AB" w:rsidRDefault="00074551" w:rsidP="00074551">
      <w:pPr>
        <w:pStyle w:val="Funotentext"/>
        <w:rPr>
          <w:lang w:val="en-US"/>
        </w:rPr>
      </w:pPr>
      <w:r>
        <w:rPr>
          <w:rStyle w:val="Funotenzeichen"/>
          <w:rFonts w:eastAsiaTheme="majorEastAsia"/>
        </w:rPr>
        <w:footnoteRef/>
      </w:r>
      <w:r w:rsidRPr="009518AB">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EA1803">
        <w:rPr>
          <w:lang w:val="en-US"/>
        </w:rPr>
        <w:t>, 71 U.S. 2, 124</w:t>
      </w:r>
      <w:r w:rsidRPr="006E67FE">
        <w:rPr>
          <w:lang w:val="en-US"/>
        </w:rPr>
        <w:t xml:space="preserve"> = 18 L. Ed. </w:t>
      </w:r>
      <w:r w:rsidRPr="00EA1803">
        <w:rPr>
          <w:lang w:val="en-US"/>
        </w:rPr>
        <w:t>281, 296</w:t>
      </w:r>
      <w:r w:rsidRPr="006E67FE">
        <w:rPr>
          <w:lang w:val="en-US"/>
        </w:rPr>
        <w:t xml:space="preserve"> = 1866 U.S. LEXIS </w:t>
      </w:r>
      <w:r w:rsidRPr="00EA1803">
        <w:rPr>
          <w:lang w:val="en-US"/>
        </w:rPr>
        <w:t>861, 214</w:t>
      </w:r>
      <w:r w:rsidRPr="006E67FE">
        <w:rPr>
          <w:lang w:val="en-US"/>
        </w:rPr>
        <w:t xml:space="preserve"> = 4 Wall.</w:t>
      </w:r>
      <w:r w:rsidRPr="00EA1803">
        <w:rPr>
          <w:lang w:val="en-US"/>
        </w:rPr>
        <w:t xml:space="preserve"> 2 (1866)</w:t>
      </w:r>
      <w:r>
        <w:rPr>
          <w:lang w:val="en-US"/>
        </w:rPr>
        <w:t>.</w:t>
      </w:r>
    </w:p>
  </w:footnote>
  <w:footnote w:id="2166">
    <w:p w14:paraId="5A2F0343" w14:textId="77777777" w:rsidR="00074551" w:rsidRPr="009518AB" w:rsidRDefault="00074551" w:rsidP="00074551">
      <w:pPr>
        <w:pStyle w:val="Funotentext"/>
        <w:rPr>
          <w:lang w:val="en-US"/>
        </w:rPr>
      </w:pPr>
      <w:r>
        <w:rPr>
          <w:rStyle w:val="Funotenzeichen"/>
          <w:rFonts w:eastAsiaTheme="majorEastAsia"/>
        </w:rPr>
        <w:footnoteRef/>
      </w:r>
      <w:r w:rsidRPr="009518AB">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9518AB">
        <w:rPr>
          <w:lang w:val="en-US"/>
        </w:rPr>
        <w:t>, 71 U.S. 2, 107</w:t>
      </w:r>
      <w:r w:rsidRPr="006E67FE">
        <w:rPr>
          <w:lang w:val="en-US"/>
        </w:rPr>
        <w:t xml:space="preserve"> = 18 L. Ed. </w:t>
      </w:r>
      <w:r w:rsidRPr="009518AB">
        <w:rPr>
          <w:lang w:val="en-US"/>
        </w:rPr>
        <w:t>281, 291</w:t>
      </w:r>
      <w:r w:rsidRPr="006E67FE">
        <w:rPr>
          <w:lang w:val="en-US"/>
        </w:rPr>
        <w:t xml:space="preserve"> = 1866 U.S. LEXIS </w:t>
      </w:r>
      <w:r w:rsidRPr="009518AB">
        <w:rPr>
          <w:lang w:val="en-US"/>
        </w:rPr>
        <w:t>861, 174</w:t>
      </w:r>
      <w:r w:rsidRPr="006E67FE">
        <w:rPr>
          <w:lang w:val="en-US"/>
        </w:rPr>
        <w:t xml:space="preserve"> = 4 Wall.</w:t>
      </w:r>
      <w:r w:rsidRPr="009518AB">
        <w:rPr>
          <w:lang w:val="en-US"/>
        </w:rPr>
        <w:t xml:space="preserve"> 2 (1866)</w:t>
      </w:r>
      <w:r>
        <w:rPr>
          <w:lang w:val="en-US"/>
        </w:rPr>
        <w:t>.</w:t>
      </w:r>
    </w:p>
  </w:footnote>
  <w:footnote w:id="2167">
    <w:p w14:paraId="783BC838" w14:textId="37591BCE" w:rsidR="006B5A0D" w:rsidRDefault="006B5A0D">
      <w:pPr>
        <w:pStyle w:val="Funotentext"/>
      </w:pPr>
      <w:r>
        <w:rPr>
          <w:rStyle w:val="Funotenzeichen"/>
        </w:rPr>
        <w:footnoteRef/>
      </w:r>
      <w:r>
        <w:t xml:space="preserve"> </w:t>
      </w:r>
      <w:r w:rsidRPr="006B5A0D">
        <w:t>Der Grund</w:t>
      </w:r>
      <w:r>
        <w:t xml:space="preserve"> für den Begriff</w:t>
      </w:r>
      <w:r w:rsidRPr="006B5A0D">
        <w:t>: </w:t>
      </w:r>
      <w:r w:rsidRPr="006B5A0D">
        <w:rPr>
          <w:i/>
          <w:iCs/>
        </w:rPr>
        <w:t>Neal v. Delaware</w:t>
      </w:r>
      <w:r w:rsidRPr="006B5A0D">
        <w:t> unterscheidet ausdrücklich zwischen </w:t>
      </w:r>
      <w:proofErr w:type="spellStart"/>
      <w:r w:rsidRPr="006B5A0D">
        <w:rPr>
          <w:i/>
          <w:iCs/>
        </w:rPr>
        <w:t>race</w:t>
      </w:r>
      <w:proofErr w:type="spellEnd"/>
      <w:r w:rsidRPr="006B5A0D">
        <w:t xml:space="preserve"> und </w:t>
      </w:r>
      <w:proofErr w:type="spellStart"/>
      <w:r w:rsidRPr="006B5A0D">
        <w:rPr>
          <w:i/>
          <w:iCs/>
        </w:rPr>
        <w:t>color</w:t>
      </w:r>
      <w:proofErr w:type="spellEnd"/>
      <w:r w:rsidRPr="006B5A0D">
        <w:t xml:space="preserve">. Der Court spricht sowohl von </w:t>
      </w:r>
      <w:r w:rsidRPr="006B5A0D">
        <w:rPr>
          <w:i/>
          <w:iCs/>
        </w:rPr>
        <w:t xml:space="preserve">African </w:t>
      </w:r>
      <w:proofErr w:type="spellStart"/>
      <w:r w:rsidRPr="006B5A0D">
        <w:rPr>
          <w:i/>
          <w:iCs/>
        </w:rPr>
        <w:t>race</w:t>
      </w:r>
      <w:proofErr w:type="spellEnd"/>
      <w:r w:rsidRPr="006B5A0D">
        <w:t xml:space="preserve"> als auch von </w:t>
      </w:r>
      <w:proofErr w:type="spellStart"/>
      <w:r w:rsidRPr="006B5A0D">
        <w:rPr>
          <w:i/>
          <w:iCs/>
        </w:rPr>
        <w:t>race</w:t>
      </w:r>
      <w:proofErr w:type="spellEnd"/>
      <w:r w:rsidRPr="006B5A0D">
        <w:rPr>
          <w:i/>
          <w:iCs/>
        </w:rPr>
        <w:t xml:space="preserve"> and </w:t>
      </w:r>
      <w:proofErr w:type="spellStart"/>
      <w:r w:rsidRPr="006B5A0D">
        <w:rPr>
          <w:i/>
          <w:iCs/>
        </w:rPr>
        <w:t>color</w:t>
      </w:r>
      <w:proofErr w:type="spellEnd"/>
      <w:r>
        <w:t>.</w:t>
      </w:r>
      <w:r w:rsidRPr="006B5A0D">
        <w:t> </w:t>
      </w:r>
    </w:p>
  </w:footnote>
  <w:footnote w:id="2168">
    <w:p w14:paraId="589D0C1D" w14:textId="77777777" w:rsidR="00074551" w:rsidRPr="009A514F" w:rsidRDefault="00074551" w:rsidP="00074551">
      <w:pPr>
        <w:pStyle w:val="Funotentext"/>
        <w:rPr>
          <w:lang w:val="en-US"/>
        </w:rPr>
      </w:pPr>
      <w:r>
        <w:rPr>
          <w:rStyle w:val="Funotenzeichen"/>
          <w:rFonts w:eastAsiaTheme="majorEastAsia"/>
        </w:rPr>
        <w:footnoteRef/>
      </w:r>
      <w:r w:rsidRPr="009A514F">
        <w:rPr>
          <w:lang w:val="en-US"/>
        </w:rPr>
        <w:t xml:space="preserve"> </w:t>
      </w:r>
      <w:r w:rsidRPr="00A15962">
        <w:rPr>
          <w:i/>
          <w:lang w:val="en-US"/>
        </w:rPr>
        <w:t>Neal v. Del.</w:t>
      </w:r>
      <w:r w:rsidRPr="009A514F">
        <w:rPr>
          <w:lang w:val="en-US"/>
        </w:rPr>
        <w:t>, 103 U.S. 370, 394</w:t>
      </w:r>
      <w:r w:rsidRPr="00EC5BEB">
        <w:rPr>
          <w:lang w:val="en-US"/>
        </w:rPr>
        <w:t xml:space="preserve"> = 26 L. Ed. </w:t>
      </w:r>
      <w:r w:rsidRPr="009A514F">
        <w:rPr>
          <w:lang w:val="en-US"/>
        </w:rPr>
        <w:t>567, 573</w:t>
      </w:r>
      <w:r>
        <w:rPr>
          <w:lang w:val="en-US"/>
        </w:rPr>
        <w:t xml:space="preserve"> = 1880 U.S. LEXIS </w:t>
      </w:r>
      <w:r w:rsidRPr="009A514F">
        <w:rPr>
          <w:lang w:val="en-US"/>
        </w:rPr>
        <w:t>2129, 50</w:t>
      </w:r>
      <w:r>
        <w:rPr>
          <w:lang w:val="en-US"/>
        </w:rPr>
        <w:t xml:space="preserve"> = 13 Otto </w:t>
      </w:r>
      <w:r w:rsidRPr="009A514F">
        <w:rPr>
          <w:lang w:val="en-US"/>
        </w:rPr>
        <w:t>370 (1881)</w:t>
      </w:r>
      <w:r>
        <w:rPr>
          <w:lang w:val="en-US"/>
        </w:rPr>
        <w:t>.</w:t>
      </w:r>
    </w:p>
  </w:footnote>
  <w:footnote w:id="2169">
    <w:p w14:paraId="1BE68828" w14:textId="77777777" w:rsidR="00074551" w:rsidRPr="009A514F" w:rsidRDefault="00074551" w:rsidP="00074551">
      <w:pPr>
        <w:pStyle w:val="Funotentext"/>
        <w:rPr>
          <w:lang w:val="en-US"/>
        </w:rPr>
      </w:pPr>
      <w:r>
        <w:rPr>
          <w:rStyle w:val="Funotenzeichen"/>
          <w:rFonts w:eastAsiaTheme="majorEastAsia"/>
        </w:rPr>
        <w:footnoteRef/>
      </w:r>
      <w:r w:rsidRPr="009A514F">
        <w:rPr>
          <w:lang w:val="en-US"/>
        </w:rPr>
        <w:t xml:space="preserve"> </w:t>
      </w:r>
      <w:r w:rsidRPr="00A15962">
        <w:rPr>
          <w:i/>
          <w:lang w:val="en-US"/>
        </w:rPr>
        <w:t>Neal v. Del.</w:t>
      </w:r>
      <w:r w:rsidRPr="009A514F">
        <w:rPr>
          <w:lang w:val="en-US"/>
        </w:rPr>
        <w:t>, 103 U.S. 370, 394</w:t>
      </w:r>
      <w:r w:rsidRPr="00EC5BEB">
        <w:rPr>
          <w:lang w:val="en-US"/>
        </w:rPr>
        <w:t xml:space="preserve"> = 26 L. Ed. </w:t>
      </w:r>
      <w:r w:rsidRPr="009A514F">
        <w:rPr>
          <w:lang w:val="en-US"/>
        </w:rPr>
        <w:t>567, 573</w:t>
      </w:r>
      <w:r>
        <w:rPr>
          <w:lang w:val="en-US"/>
        </w:rPr>
        <w:t xml:space="preserve"> = 1880 U.S. LEXIS </w:t>
      </w:r>
      <w:r w:rsidRPr="009A514F">
        <w:rPr>
          <w:lang w:val="en-US"/>
        </w:rPr>
        <w:t>2129, 50</w:t>
      </w:r>
      <w:r>
        <w:rPr>
          <w:lang w:val="en-US"/>
        </w:rPr>
        <w:t xml:space="preserve"> = 13 Otto </w:t>
      </w:r>
      <w:r w:rsidRPr="009A514F">
        <w:rPr>
          <w:lang w:val="en-US"/>
        </w:rPr>
        <w:t>370 (1881)</w:t>
      </w:r>
      <w:r>
        <w:rPr>
          <w:lang w:val="en-US"/>
        </w:rPr>
        <w:t>.</w:t>
      </w:r>
    </w:p>
  </w:footnote>
  <w:footnote w:id="2170">
    <w:p w14:paraId="76023547" w14:textId="77777777" w:rsidR="00074551" w:rsidRPr="003A69B2" w:rsidRDefault="00074551" w:rsidP="00074551">
      <w:pPr>
        <w:pStyle w:val="Funotentext"/>
        <w:ind w:left="227" w:hanging="227"/>
        <w:rPr>
          <w:lang w:val="en-US"/>
        </w:rPr>
      </w:pPr>
      <w:r>
        <w:rPr>
          <w:rStyle w:val="Funotenzeichen"/>
          <w:rFonts w:eastAsiaTheme="majorEastAsia"/>
        </w:rPr>
        <w:footnoteRef/>
      </w:r>
      <w:r w:rsidRPr="003A69B2">
        <w:rPr>
          <w:lang w:val="en-US"/>
        </w:rPr>
        <w:t xml:space="preserve"> </w:t>
      </w:r>
      <w:r w:rsidRPr="00A15962">
        <w:rPr>
          <w:i/>
          <w:lang w:val="en-US"/>
        </w:rPr>
        <w:t>Neal v. Del.</w:t>
      </w:r>
      <w:r w:rsidRPr="003A69B2">
        <w:rPr>
          <w:lang w:val="en-US"/>
        </w:rPr>
        <w:t>, 103 U.S. 370, 408</w:t>
      </w:r>
      <w:r w:rsidRPr="00EC5BEB">
        <w:rPr>
          <w:lang w:val="en-US"/>
        </w:rPr>
        <w:t xml:space="preserve"> = 26 L. Ed. </w:t>
      </w:r>
      <w:r w:rsidRPr="003A69B2">
        <w:rPr>
          <w:lang w:val="en-US"/>
        </w:rPr>
        <w:t>567, 578</w:t>
      </w:r>
      <w:r>
        <w:rPr>
          <w:lang w:val="en-US"/>
        </w:rPr>
        <w:t xml:space="preserve"> = 1880 U.S. LEXIS </w:t>
      </w:r>
      <w:r w:rsidRPr="003A69B2">
        <w:rPr>
          <w:lang w:val="en-US"/>
        </w:rPr>
        <w:t>2129, 77</w:t>
      </w:r>
      <w:r>
        <w:rPr>
          <w:lang w:val="en-US"/>
        </w:rPr>
        <w:t xml:space="preserve"> = 13 Otto </w:t>
      </w:r>
      <w:r w:rsidRPr="003A69B2">
        <w:rPr>
          <w:lang w:val="en-US"/>
        </w:rPr>
        <w:t>370 (1881)</w:t>
      </w:r>
      <w:r>
        <w:rPr>
          <w:lang w:val="en-US"/>
        </w:rPr>
        <w:t>.</w:t>
      </w:r>
    </w:p>
  </w:footnote>
  <w:footnote w:id="2171">
    <w:p w14:paraId="4DC2E153" w14:textId="77777777" w:rsidR="00074551" w:rsidRPr="00B21489" w:rsidRDefault="00074551" w:rsidP="00074551">
      <w:pPr>
        <w:pStyle w:val="Funotentext"/>
        <w:ind w:left="227" w:hanging="227"/>
        <w:rPr>
          <w:lang w:val="en-US"/>
        </w:rPr>
      </w:pPr>
      <w:r>
        <w:rPr>
          <w:rStyle w:val="Funotenzeichen"/>
          <w:rFonts w:eastAsiaTheme="majorEastAsia"/>
        </w:rPr>
        <w:footnoteRef/>
      </w:r>
      <w:r w:rsidRPr="00B21489">
        <w:rPr>
          <w:lang w:val="en-US"/>
        </w:rPr>
        <w:t xml:space="preserve"> </w:t>
      </w:r>
      <w:r w:rsidRPr="00A15962">
        <w:rPr>
          <w:i/>
          <w:lang w:val="en-US"/>
        </w:rPr>
        <w:t>Neal v. Del.</w:t>
      </w:r>
      <w:r w:rsidRPr="00B21489">
        <w:rPr>
          <w:lang w:val="en-US"/>
        </w:rPr>
        <w:t>, 103 U.S. 370, 408</w:t>
      </w:r>
      <w:r w:rsidRPr="00EC5BEB">
        <w:rPr>
          <w:lang w:val="en-US"/>
        </w:rPr>
        <w:t xml:space="preserve"> = 26 L. Ed. </w:t>
      </w:r>
      <w:r w:rsidRPr="00B21489">
        <w:rPr>
          <w:lang w:val="en-US"/>
        </w:rPr>
        <w:t>567, 578</w:t>
      </w:r>
      <w:r>
        <w:rPr>
          <w:lang w:val="en-US"/>
        </w:rPr>
        <w:t xml:space="preserve"> = 1880 U.S. LEXIS </w:t>
      </w:r>
      <w:r w:rsidRPr="00B21489">
        <w:rPr>
          <w:lang w:val="en-US"/>
        </w:rPr>
        <w:t>2129, 77</w:t>
      </w:r>
      <w:r>
        <w:rPr>
          <w:lang w:val="en-US"/>
        </w:rPr>
        <w:t xml:space="preserve"> = 13 Otto </w:t>
      </w:r>
      <w:r w:rsidRPr="00B21489">
        <w:rPr>
          <w:lang w:val="en-US"/>
        </w:rPr>
        <w:t>370 (1881)</w:t>
      </w:r>
      <w:r>
        <w:rPr>
          <w:lang w:val="en-US"/>
        </w:rPr>
        <w:t>.</w:t>
      </w:r>
    </w:p>
  </w:footnote>
  <w:footnote w:id="2172">
    <w:p w14:paraId="484B02A5" w14:textId="77777777" w:rsidR="00074551" w:rsidRPr="00336914" w:rsidRDefault="00074551" w:rsidP="00074551">
      <w:pPr>
        <w:pStyle w:val="Funotentext"/>
        <w:rPr>
          <w:lang w:val="en-US"/>
        </w:rPr>
      </w:pPr>
      <w:r>
        <w:rPr>
          <w:rStyle w:val="Funotenzeichen"/>
          <w:rFonts w:eastAsiaTheme="majorEastAsia"/>
        </w:rPr>
        <w:footnoteRef/>
      </w:r>
      <w:r w:rsidRPr="00336914">
        <w:rPr>
          <w:lang w:val="en-US"/>
        </w:rPr>
        <w:t xml:space="preserve"> </w:t>
      </w:r>
      <w:r w:rsidRPr="00A15962">
        <w:rPr>
          <w:i/>
          <w:lang w:val="en-US"/>
        </w:rPr>
        <w:t>Neal v. Del.</w:t>
      </w:r>
      <w:r w:rsidRPr="00336914">
        <w:rPr>
          <w:lang w:val="en-US"/>
        </w:rPr>
        <w:t>, 103 U.S. 370</w:t>
      </w:r>
      <w:r w:rsidRPr="00EC5BEB">
        <w:rPr>
          <w:lang w:val="en-US"/>
        </w:rPr>
        <w:t xml:space="preserve"> = 26 L. Ed. </w:t>
      </w:r>
      <w:r w:rsidRPr="00336914">
        <w:rPr>
          <w:lang w:val="en-US"/>
        </w:rPr>
        <w:t>567</w:t>
      </w:r>
      <w:r>
        <w:rPr>
          <w:lang w:val="en-US"/>
        </w:rPr>
        <w:t xml:space="preserve"> = 1880 U.S. LEXIS </w:t>
      </w:r>
      <w:r w:rsidRPr="00336914">
        <w:rPr>
          <w:lang w:val="en-US"/>
        </w:rPr>
        <w:t>2129</w:t>
      </w:r>
      <w:r>
        <w:rPr>
          <w:lang w:val="en-US"/>
        </w:rPr>
        <w:t xml:space="preserve"> = 13 Otto </w:t>
      </w:r>
      <w:r w:rsidRPr="00336914">
        <w:rPr>
          <w:lang w:val="en-US"/>
        </w:rPr>
        <w:t>370 (1881)</w:t>
      </w:r>
      <w:r>
        <w:rPr>
          <w:lang w:val="en-US"/>
        </w:rPr>
        <w:t>.</w:t>
      </w:r>
    </w:p>
  </w:footnote>
  <w:footnote w:id="2173">
    <w:p w14:paraId="00B15773" w14:textId="77777777" w:rsidR="00074551" w:rsidRPr="005D0793" w:rsidRDefault="00074551" w:rsidP="00074551">
      <w:pPr>
        <w:pStyle w:val="Funotentext"/>
        <w:ind w:left="227" w:hanging="227"/>
        <w:rPr>
          <w:lang w:val="en-US"/>
        </w:rPr>
      </w:pPr>
      <w:r>
        <w:rPr>
          <w:rStyle w:val="Funotenzeichen"/>
          <w:rFonts w:eastAsiaTheme="majorEastAsia"/>
        </w:rPr>
        <w:footnoteRef/>
      </w:r>
      <w:r w:rsidRPr="005D0793">
        <w:rPr>
          <w:lang w:val="en-US"/>
        </w:rPr>
        <w:t xml:space="preserve"> </w:t>
      </w:r>
      <w:r w:rsidRPr="00B35CD0">
        <w:rPr>
          <w:i/>
          <w:lang w:val="en-US"/>
        </w:rPr>
        <w:t>Gamble v. United States</w:t>
      </w:r>
      <w:r w:rsidRPr="005D0793">
        <w:rPr>
          <w:lang w:val="en-US"/>
        </w:rPr>
        <w:t>, 139 S. Ct. 1960, 1965</w:t>
      </w:r>
      <w:r>
        <w:rPr>
          <w:lang w:val="en-US"/>
        </w:rPr>
        <w:t xml:space="preserve"> = 204 L. Ed. </w:t>
      </w:r>
      <w:r w:rsidRPr="005D0793">
        <w:rPr>
          <w:lang w:val="en-US"/>
        </w:rPr>
        <w:t>2d 322, 327</w:t>
      </w:r>
      <w:r>
        <w:rPr>
          <w:lang w:val="en-US"/>
        </w:rPr>
        <w:t xml:space="preserve"> = 2019 U.S. LEXIS </w:t>
      </w:r>
      <w:r w:rsidRPr="005D0793">
        <w:rPr>
          <w:lang w:val="en-US"/>
        </w:rPr>
        <w:t>4173, 7</w:t>
      </w:r>
      <w:r>
        <w:rPr>
          <w:lang w:val="en-US"/>
        </w:rPr>
        <w:t xml:space="preserve"> = 27 Fla. L. Weekly </w:t>
      </w:r>
      <w:r w:rsidRPr="005D0793">
        <w:rPr>
          <w:lang w:val="en-US"/>
        </w:rPr>
        <w:t>Fed. S 926</w:t>
      </w:r>
      <w:r>
        <w:rPr>
          <w:lang w:val="en-US"/>
        </w:rPr>
        <w:t xml:space="preserve"> = 2019 WL </w:t>
      </w:r>
      <w:r w:rsidRPr="005D0793">
        <w:rPr>
          <w:lang w:val="en-US"/>
        </w:rPr>
        <w:t>2493923 (2019)</w:t>
      </w:r>
      <w:r>
        <w:rPr>
          <w:lang w:val="en-US"/>
        </w:rPr>
        <w:t>.</w:t>
      </w:r>
    </w:p>
  </w:footnote>
  <w:footnote w:id="2174">
    <w:p w14:paraId="2E7492A5" w14:textId="77777777" w:rsidR="00074551" w:rsidRPr="0042272A" w:rsidRDefault="00074551" w:rsidP="00074551">
      <w:pPr>
        <w:pStyle w:val="Funotentext"/>
      </w:pPr>
      <w:r>
        <w:rPr>
          <w:rStyle w:val="Funotenzeichen"/>
          <w:rFonts w:eastAsiaTheme="majorEastAsia"/>
        </w:rPr>
        <w:footnoteRef/>
      </w:r>
      <w:r w:rsidRPr="00D8608C">
        <w:rPr>
          <w:lang w:val="en-US"/>
        </w:rPr>
        <w:t xml:space="preserve"> </w:t>
      </w:r>
      <w:r w:rsidRPr="00B35CD0">
        <w:rPr>
          <w:i/>
          <w:lang w:val="en-US"/>
        </w:rPr>
        <w:t>Gamble v. United States</w:t>
      </w:r>
      <w:r w:rsidRPr="00D8608C">
        <w:rPr>
          <w:lang w:val="en-US"/>
        </w:rPr>
        <w:t>, 139 S. Ct. 1960, 1979</w:t>
      </w:r>
      <w:r>
        <w:rPr>
          <w:lang w:val="en-US"/>
        </w:rPr>
        <w:t xml:space="preserve"> = 204 L. Ed. </w:t>
      </w:r>
      <w:r w:rsidRPr="00D8608C">
        <w:rPr>
          <w:lang w:val="en-US"/>
        </w:rPr>
        <w:t>2d 322, 343</w:t>
      </w:r>
      <w:r>
        <w:rPr>
          <w:lang w:val="en-US"/>
        </w:rPr>
        <w:t xml:space="preserve"> = 2019 U.S. LEXIS </w:t>
      </w:r>
      <w:r w:rsidRPr="00D8608C">
        <w:rPr>
          <w:lang w:val="en-US"/>
        </w:rPr>
        <w:t>4173, 43</w:t>
      </w:r>
      <w:r>
        <w:rPr>
          <w:lang w:val="en-US"/>
        </w:rPr>
        <w:t xml:space="preserve"> = 27 Fla. L. Weekly </w:t>
      </w:r>
      <w:r w:rsidRPr="00D8608C">
        <w:rPr>
          <w:lang w:val="en-US"/>
        </w:rPr>
        <w:t xml:space="preserve">Fed. </w:t>
      </w:r>
      <w:r w:rsidRPr="0042272A">
        <w:t>S 926</w:t>
      </w:r>
      <w:r>
        <w:t xml:space="preserve"> = 2019 WL </w:t>
      </w:r>
      <w:r w:rsidRPr="0042272A">
        <w:t>2493923 (2019)</w:t>
      </w:r>
      <w:r>
        <w:t>.</w:t>
      </w:r>
    </w:p>
  </w:footnote>
  <w:footnote w:id="2175">
    <w:p w14:paraId="492AA2CD" w14:textId="7712C38F" w:rsidR="00074551" w:rsidRPr="00D8608C" w:rsidRDefault="00074551" w:rsidP="00074551">
      <w:pPr>
        <w:pStyle w:val="Funotentext"/>
        <w:rPr>
          <w:lang w:val="en-US"/>
        </w:rPr>
      </w:pPr>
      <w:r>
        <w:rPr>
          <w:rStyle w:val="Funotenzeichen"/>
          <w:rFonts w:eastAsiaTheme="majorEastAsia"/>
        </w:rPr>
        <w:footnoteRef/>
      </w:r>
      <w:r>
        <w:t xml:space="preserve"> Eine Übertragung der </w:t>
      </w:r>
      <w:proofErr w:type="spellStart"/>
      <w:r w:rsidRPr="00B45592">
        <w:rPr>
          <w:i/>
          <w:iCs/>
        </w:rPr>
        <w:t>silver</w:t>
      </w:r>
      <w:proofErr w:type="spellEnd"/>
      <w:r w:rsidRPr="00B45592">
        <w:rPr>
          <w:i/>
          <w:iCs/>
        </w:rPr>
        <w:t xml:space="preserve">-platter </w:t>
      </w:r>
      <w:proofErr w:type="spellStart"/>
      <w:r w:rsidRPr="00B45592">
        <w:rPr>
          <w:i/>
          <w:iCs/>
        </w:rPr>
        <w:t>doctrine</w:t>
      </w:r>
      <w:proofErr w:type="spellEnd"/>
      <w:r>
        <w:t xml:space="preserve"> ist durch das klar formulierte </w:t>
      </w:r>
      <w:r w:rsidR="00023A37">
        <w:t xml:space="preserve">U.S. </w:t>
      </w:r>
      <w:proofErr w:type="spellStart"/>
      <w:r w:rsidR="00023A37">
        <w:t>Const</w:t>
      </w:r>
      <w:proofErr w:type="spellEnd"/>
      <w:r w:rsidR="00023A37">
        <w:t xml:space="preserve">. </w:t>
      </w:r>
      <w:proofErr w:type="spellStart"/>
      <w:r w:rsidR="00023A37">
        <w:t>amend</w:t>
      </w:r>
      <w:proofErr w:type="spellEnd"/>
      <w:r w:rsidR="00023A37">
        <w:t>. IV</w:t>
      </w:r>
      <w:r w:rsidRPr="00D8608C">
        <w:rPr>
          <w:lang w:val="en-US"/>
        </w:rPr>
        <w:t xml:space="preserve"> </w:t>
      </w:r>
      <w:proofErr w:type="spellStart"/>
      <w:r w:rsidRPr="00D8608C">
        <w:rPr>
          <w:lang w:val="en-US"/>
        </w:rPr>
        <w:t>weggefallen</w:t>
      </w:r>
      <w:proofErr w:type="spellEnd"/>
      <w:r w:rsidRPr="00D8608C">
        <w:rPr>
          <w:lang w:val="en-US"/>
        </w:rPr>
        <w:t xml:space="preserve">, </w:t>
      </w:r>
      <w:proofErr w:type="spellStart"/>
      <w:r w:rsidRPr="00D8608C">
        <w:rPr>
          <w:lang w:val="en-US"/>
        </w:rPr>
        <w:t>siehe</w:t>
      </w:r>
      <w:proofErr w:type="spellEnd"/>
      <w:r w:rsidRPr="00D8608C">
        <w:rPr>
          <w:lang w:val="en-US"/>
        </w:rPr>
        <w:t xml:space="preserve">: </w:t>
      </w:r>
      <w:r w:rsidRPr="00B45592">
        <w:rPr>
          <w:i/>
          <w:lang w:val="en-US"/>
        </w:rPr>
        <w:t>Elkins</w:t>
      </w:r>
      <w:r>
        <w:rPr>
          <w:i/>
          <w:lang w:val="en-US"/>
        </w:rPr>
        <w:t xml:space="preserve"> </w:t>
      </w:r>
      <w:r w:rsidRPr="00B35CD0">
        <w:rPr>
          <w:i/>
          <w:lang w:val="en-US"/>
        </w:rPr>
        <w:t>v. United States</w:t>
      </w:r>
      <w:r w:rsidRPr="00D8608C">
        <w:rPr>
          <w:lang w:val="en-US"/>
        </w:rPr>
        <w:t xml:space="preserve">, 364 </w:t>
      </w:r>
      <w:r>
        <w:rPr>
          <w:lang w:val="en-US"/>
        </w:rPr>
        <w:t>U.S.</w:t>
      </w:r>
      <w:r w:rsidRPr="00D8608C">
        <w:rPr>
          <w:lang w:val="en-US"/>
        </w:rPr>
        <w:t xml:space="preserve"> </w:t>
      </w:r>
      <w:r>
        <w:rPr>
          <w:lang w:val="en-US"/>
        </w:rPr>
        <w:t xml:space="preserve">206, </w:t>
      </w:r>
      <w:r w:rsidRPr="00D8608C">
        <w:rPr>
          <w:lang w:val="en-US"/>
        </w:rPr>
        <w:t>213 (</w:t>
      </w:r>
      <w:r>
        <w:rPr>
          <w:lang w:val="en-US"/>
        </w:rPr>
        <w:t>„</w:t>
      </w:r>
      <w:r w:rsidRPr="00D8608C">
        <w:rPr>
          <w:lang w:val="en-US"/>
        </w:rPr>
        <w:t>The foundation upon which the admissibility of state-seized evidence in a federal trial originally rested</w:t>
      </w:r>
      <w:r>
        <w:rPr>
          <w:lang w:val="en-US"/>
        </w:rPr>
        <w:t xml:space="preserve"> – </w:t>
      </w:r>
      <w:r w:rsidRPr="00D8608C">
        <w:rPr>
          <w:lang w:val="en-US"/>
        </w:rPr>
        <w:t>that unreasonable state searches did not violate the Federal Constitution</w:t>
      </w:r>
      <w:r>
        <w:rPr>
          <w:lang w:val="en-US"/>
        </w:rPr>
        <w:t xml:space="preserve"> – </w:t>
      </w:r>
      <w:r w:rsidRPr="00D8608C">
        <w:rPr>
          <w:lang w:val="en-US"/>
        </w:rPr>
        <w:t>thus disappeared [with incorporation]</w:t>
      </w:r>
      <w:r>
        <w:rPr>
          <w:lang w:val="en-US"/>
        </w:rPr>
        <w:t>“</w:t>
      </w:r>
      <w:r w:rsidRPr="00D8608C">
        <w:rPr>
          <w:lang w:val="en-US"/>
        </w:rPr>
        <w:t>)</w:t>
      </w:r>
      <w:r>
        <w:rPr>
          <w:lang w:val="en-US"/>
        </w:rPr>
        <w:t xml:space="preserve">, </w:t>
      </w:r>
      <w:proofErr w:type="spellStart"/>
      <w:r>
        <w:rPr>
          <w:lang w:val="en-US"/>
        </w:rPr>
        <w:t>zitiert</w:t>
      </w:r>
      <w:proofErr w:type="spellEnd"/>
      <w:r>
        <w:rPr>
          <w:lang w:val="en-US"/>
        </w:rPr>
        <w:t xml:space="preserve"> in </w:t>
      </w:r>
      <w:r w:rsidRPr="00B35CD0">
        <w:rPr>
          <w:i/>
          <w:lang w:val="en-US"/>
        </w:rPr>
        <w:t>Gamble v. United States</w:t>
      </w:r>
      <w:r w:rsidRPr="00D8608C">
        <w:rPr>
          <w:lang w:val="en-US"/>
        </w:rPr>
        <w:t>, 139 S. Ct. 1960, 1979</w:t>
      </w:r>
      <w:r>
        <w:rPr>
          <w:lang w:val="en-US"/>
        </w:rPr>
        <w:t xml:space="preserve"> = 204 L. Ed. </w:t>
      </w:r>
      <w:r w:rsidRPr="00D8608C">
        <w:rPr>
          <w:lang w:val="en-US"/>
        </w:rPr>
        <w:t>2d 322, 343</w:t>
      </w:r>
      <w:r>
        <w:rPr>
          <w:lang w:val="en-US"/>
        </w:rPr>
        <w:t xml:space="preserve"> = 2019 U.S. LEXIS </w:t>
      </w:r>
      <w:r w:rsidRPr="00D8608C">
        <w:rPr>
          <w:lang w:val="en-US"/>
        </w:rPr>
        <w:t>4173, 42</w:t>
      </w:r>
      <w:r>
        <w:rPr>
          <w:lang w:val="en-US"/>
        </w:rPr>
        <w:t xml:space="preserve"> = 27 Fla. L. Weekly </w:t>
      </w:r>
      <w:r w:rsidRPr="00D8608C">
        <w:rPr>
          <w:lang w:val="en-US"/>
        </w:rPr>
        <w:t>Fed. S 926</w:t>
      </w:r>
      <w:r>
        <w:rPr>
          <w:lang w:val="en-US"/>
        </w:rPr>
        <w:t xml:space="preserve"> = 2019 WL </w:t>
      </w:r>
      <w:r w:rsidRPr="00D8608C">
        <w:rPr>
          <w:lang w:val="en-US"/>
        </w:rPr>
        <w:t>2493923 (2019)</w:t>
      </w:r>
      <w:r>
        <w:rPr>
          <w:lang w:val="en-US"/>
        </w:rPr>
        <w:t>.</w:t>
      </w:r>
    </w:p>
  </w:footnote>
  <w:footnote w:id="2176">
    <w:p w14:paraId="03B4762B" w14:textId="77777777" w:rsidR="00074551" w:rsidRPr="00CC577D" w:rsidRDefault="00074551" w:rsidP="00074551">
      <w:pPr>
        <w:pStyle w:val="Funotentext"/>
        <w:rPr>
          <w:lang w:val="en-US"/>
        </w:rPr>
      </w:pPr>
      <w:r>
        <w:rPr>
          <w:rStyle w:val="Funotenzeichen"/>
          <w:rFonts w:eastAsiaTheme="majorEastAsia"/>
        </w:rPr>
        <w:footnoteRef/>
      </w:r>
      <w:r w:rsidRPr="00D8608C">
        <w:rPr>
          <w:lang w:val="en-US"/>
        </w:rPr>
        <w:t xml:space="preserve"> </w:t>
      </w:r>
      <w:r w:rsidRPr="00B35CD0">
        <w:rPr>
          <w:i/>
          <w:lang w:val="en-US"/>
        </w:rPr>
        <w:t>Gamble v. United States</w:t>
      </w:r>
      <w:r w:rsidRPr="00D8608C">
        <w:rPr>
          <w:lang w:val="en-US"/>
        </w:rPr>
        <w:t>, 139 S. Ct. 1960, 1983</w:t>
      </w:r>
      <w:r>
        <w:rPr>
          <w:lang w:val="en-US"/>
        </w:rPr>
        <w:t xml:space="preserve"> = 204 L. Ed. </w:t>
      </w:r>
      <w:r w:rsidRPr="00D8608C">
        <w:rPr>
          <w:lang w:val="en-US"/>
        </w:rPr>
        <w:t>2d 322, 347</w:t>
      </w:r>
      <w:r>
        <w:rPr>
          <w:lang w:val="en-US"/>
        </w:rPr>
        <w:t xml:space="preserve"> = 2019 U.S. LEXIS </w:t>
      </w:r>
      <w:r w:rsidRPr="00D8608C">
        <w:rPr>
          <w:lang w:val="en-US"/>
        </w:rPr>
        <w:t>4173, 51</w:t>
      </w:r>
      <w:r>
        <w:rPr>
          <w:lang w:val="en-US"/>
        </w:rPr>
        <w:t xml:space="preserve"> = 27 Fla. L. Weekly </w:t>
      </w:r>
      <w:r w:rsidRPr="00D8608C">
        <w:rPr>
          <w:lang w:val="en-US"/>
        </w:rPr>
        <w:t xml:space="preserve">Fed. </w:t>
      </w:r>
      <w:r w:rsidRPr="00CC577D">
        <w:rPr>
          <w:lang w:val="en-US"/>
        </w:rPr>
        <w:t>S 926</w:t>
      </w:r>
      <w:r>
        <w:rPr>
          <w:lang w:val="en-US"/>
        </w:rPr>
        <w:t xml:space="preserve"> = 2019 WL </w:t>
      </w:r>
      <w:r w:rsidRPr="00CC577D">
        <w:rPr>
          <w:lang w:val="en-US"/>
        </w:rPr>
        <w:t>2493923 (2019)</w:t>
      </w:r>
      <w:r>
        <w:rPr>
          <w:lang w:val="en-US"/>
        </w:rPr>
        <w:t>.</w:t>
      </w:r>
    </w:p>
  </w:footnote>
  <w:footnote w:id="2177">
    <w:p w14:paraId="3D2609C4" w14:textId="77777777" w:rsidR="00074551" w:rsidRPr="0045509A" w:rsidRDefault="00074551" w:rsidP="00074551">
      <w:pPr>
        <w:pStyle w:val="Funotentext"/>
        <w:rPr>
          <w:lang w:val="en-US"/>
        </w:rPr>
      </w:pPr>
      <w:r>
        <w:rPr>
          <w:rStyle w:val="Funotenzeichen"/>
          <w:rFonts w:eastAsiaTheme="majorEastAsia"/>
        </w:rPr>
        <w:footnoteRef/>
      </w:r>
      <w:r w:rsidRPr="0045509A">
        <w:rPr>
          <w:lang w:val="en-US"/>
        </w:rPr>
        <w:t xml:space="preserve"> </w:t>
      </w:r>
      <w:r w:rsidRPr="00B35CD0">
        <w:rPr>
          <w:i/>
          <w:lang w:val="en-US"/>
        </w:rPr>
        <w:t>Gamble v. United States</w:t>
      </w:r>
      <w:r w:rsidRPr="0045509A">
        <w:rPr>
          <w:lang w:val="en-US"/>
        </w:rPr>
        <w:t>, 139 S. Ct. 1960, 1981</w:t>
      </w:r>
      <w:r>
        <w:rPr>
          <w:lang w:val="en-US"/>
        </w:rPr>
        <w:t xml:space="preserve"> = 204 L. Ed. </w:t>
      </w:r>
      <w:r w:rsidRPr="0045509A">
        <w:rPr>
          <w:lang w:val="en-US"/>
        </w:rPr>
        <w:t>2d 322, 346</w:t>
      </w:r>
      <w:r>
        <w:rPr>
          <w:lang w:val="en-US"/>
        </w:rPr>
        <w:t xml:space="preserve"> = 2019 U.S. LEXIS </w:t>
      </w:r>
      <w:r w:rsidRPr="0045509A">
        <w:rPr>
          <w:lang w:val="en-US"/>
        </w:rPr>
        <w:t>4173, 47</w:t>
      </w:r>
      <w:r>
        <w:rPr>
          <w:lang w:val="en-US"/>
        </w:rPr>
        <w:t xml:space="preserve"> = 27 Fla. L. Weekly </w:t>
      </w:r>
      <w:r w:rsidRPr="0045509A">
        <w:rPr>
          <w:lang w:val="en-US"/>
        </w:rPr>
        <w:t>Fed. S 926</w:t>
      </w:r>
      <w:r>
        <w:rPr>
          <w:lang w:val="en-US"/>
        </w:rPr>
        <w:t xml:space="preserve"> = 2019 WL </w:t>
      </w:r>
      <w:r w:rsidRPr="0045509A">
        <w:rPr>
          <w:lang w:val="en-US"/>
        </w:rPr>
        <w:t>2493923 (2019)</w:t>
      </w:r>
      <w:r>
        <w:rPr>
          <w:lang w:val="en-US"/>
        </w:rPr>
        <w:t>.</w:t>
      </w:r>
    </w:p>
  </w:footnote>
  <w:footnote w:id="2178">
    <w:p w14:paraId="77517C3E" w14:textId="77777777" w:rsidR="00074551" w:rsidRPr="007B485E" w:rsidRDefault="00074551" w:rsidP="00074551">
      <w:pPr>
        <w:pStyle w:val="Funotentext"/>
        <w:rPr>
          <w:lang w:val="en-US"/>
        </w:rPr>
      </w:pPr>
      <w:r>
        <w:rPr>
          <w:rStyle w:val="Funotenzeichen"/>
          <w:rFonts w:eastAsiaTheme="majorEastAsia"/>
        </w:rPr>
        <w:footnoteRef/>
      </w:r>
      <w:r w:rsidRPr="007B485E">
        <w:rPr>
          <w:lang w:val="en-US"/>
        </w:rPr>
        <w:t xml:space="preserve"> </w:t>
      </w:r>
      <w:r w:rsidRPr="00B35CD0">
        <w:rPr>
          <w:i/>
          <w:lang w:val="en-US"/>
        </w:rPr>
        <w:t>Bute v. Illinois</w:t>
      </w:r>
      <w:r w:rsidRPr="007B485E">
        <w:rPr>
          <w:lang w:val="en-US"/>
        </w:rPr>
        <w:t>, 333 U.S. 640, 651</w:t>
      </w:r>
      <w:r w:rsidRPr="006E67FE">
        <w:rPr>
          <w:lang w:val="en-US"/>
        </w:rPr>
        <w:t xml:space="preserve"> = 68 S. Ct. </w:t>
      </w:r>
      <w:r w:rsidRPr="007B485E">
        <w:rPr>
          <w:lang w:val="en-US"/>
        </w:rPr>
        <w:t>763, 769</w:t>
      </w:r>
      <w:r w:rsidRPr="006E67FE">
        <w:rPr>
          <w:lang w:val="en-US"/>
        </w:rPr>
        <w:t xml:space="preserve"> = 92 L. Ed. </w:t>
      </w:r>
      <w:r w:rsidRPr="007B485E">
        <w:rPr>
          <w:lang w:val="en-US"/>
        </w:rPr>
        <w:t>986, 993</w:t>
      </w:r>
      <w:r w:rsidRPr="006E67FE">
        <w:rPr>
          <w:lang w:val="en-US"/>
        </w:rPr>
        <w:t xml:space="preserve"> = 1948 U.S. LEXIS </w:t>
      </w:r>
      <w:r w:rsidRPr="007B485E">
        <w:rPr>
          <w:lang w:val="en-US"/>
        </w:rPr>
        <w:t>2290, 19 (1948)</w:t>
      </w:r>
      <w:r>
        <w:rPr>
          <w:lang w:val="en-US"/>
        </w:rPr>
        <w:t>.</w:t>
      </w:r>
    </w:p>
  </w:footnote>
  <w:footnote w:id="2179">
    <w:p w14:paraId="0C1840C6" w14:textId="77777777" w:rsidR="00074551" w:rsidRPr="007B485E" w:rsidRDefault="00074551" w:rsidP="00074551">
      <w:pPr>
        <w:pStyle w:val="Funotentext"/>
        <w:rPr>
          <w:lang w:val="en-US"/>
        </w:rPr>
      </w:pPr>
      <w:r>
        <w:rPr>
          <w:rStyle w:val="Funotenzeichen"/>
          <w:rFonts w:eastAsiaTheme="majorEastAsia"/>
        </w:rPr>
        <w:footnoteRef/>
      </w:r>
      <w:r w:rsidRPr="007B485E">
        <w:rPr>
          <w:lang w:val="en-US"/>
        </w:rPr>
        <w:t xml:space="preserve"> </w:t>
      </w:r>
      <w:r w:rsidRPr="00B35CD0">
        <w:rPr>
          <w:i/>
          <w:lang w:val="en-US"/>
        </w:rPr>
        <w:t>Bute v. Illinois</w:t>
      </w:r>
      <w:r w:rsidRPr="007B485E">
        <w:rPr>
          <w:lang w:val="en-US"/>
        </w:rPr>
        <w:t>, 333 U.S. 640, 651</w:t>
      </w:r>
      <w:r w:rsidRPr="006E67FE">
        <w:rPr>
          <w:lang w:val="en-US"/>
        </w:rPr>
        <w:t xml:space="preserve"> = 68 S. Ct. </w:t>
      </w:r>
      <w:r w:rsidRPr="007B485E">
        <w:rPr>
          <w:lang w:val="en-US"/>
        </w:rPr>
        <w:t>763, 769</w:t>
      </w:r>
      <w:r w:rsidRPr="006E67FE">
        <w:rPr>
          <w:lang w:val="en-US"/>
        </w:rPr>
        <w:t xml:space="preserve"> = 92 L. Ed. </w:t>
      </w:r>
      <w:r w:rsidRPr="007B485E">
        <w:rPr>
          <w:lang w:val="en-US"/>
        </w:rPr>
        <w:t>986, 993</w:t>
      </w:r>
      <w:r w:rsidRPr="006E67FE">
        <w:rPr>
          <w:lang w:val="en-US"/>
        </w:rPr>
        <w:t xml:space="preserve"> = 1948 U.S. LEXIS </w:t>
      </w:r>
      <w:r w:rsidRPr="007B485E">
        <w:rPr>
          <w:lang w:val="en-US"/>
        </w:rPr>
        <w:t>2290, 19 (1948)</w:t>
      </w:r>
      <w:r>
        <w:rPr>
          <w:lang w:val="en-US"/>
        </w:rPr>
        <w:t>.</w:t>
      </w:r>
    </w:p>
  </w:footnote>
  <w:footnote w:id="2180">
    <w:p w14:paraId="1979B523" w14:textId="77777777" w:rsidR="00074551" w:rsidRPr="004315D0" w:rsidRDefault="00074551" w:rsidP="00074551">
      <w:pPr>
        <w:pStyle w:val="Funotentext"/>
        <w:rPr>
          <w:lang w:val="en-US"/>
        </w:rPr>
      </w:pPr>
      <w:r>
        <w:rPr>
          <w:rStyle w:val="Funotenzeichen"/>
          <w:rFonts w:eastAsiaTheme="majorEastAsia"/>
        </w:rPr>
        <w:footnoteRef/>
      </w:r>
      <w:r w:rsidRPr="004315D0">
        <w:rPr>
          <w:lang w:val="en-US"/>
        </w:rPr>
        <w:t xml:space="preserve"> </w:t>
      </w:r>
      <w:r w:rsidRPr="00B45592">
        <w:rPr>
          <w:i/>
          <w:lang w:val="en-US"/>
        </w:rPr>
        <w:t>Foster v. Illinois</w:t>
      </w:r>
      <w:r w:rsidRPr="004315D0">
        <w:rPr>
          <w:lang w:val="en-US"/>
        </w:rPr>
        <w:t>, 332 U.S. 134, 136</w:t>
      </w:r>
      <w:r>
        <w:rPr>
          <w:lang w:val="en-US"/>
        </w:rPr>
        <w:t>–</w:t>
      </w:r>
      <w:r w:rsidRPr="004315D0">
        <w:rPr>
          <w:lang w:val="en-US"/>
        </w:rPr>
        <w:t xml:space="preserve">137. </w:t>
      </w:r>
      <w:proofErr w:type="spellStart"/>
      <w:r>
        <w:rPr>
          <w:lang w:val="en-US"/>
        </w:rPr>
        <w:t>Siehe</w:t>
      </w:r>
      <w:proofErr w:type="spellEnd"/>
      <w:r>
        <w:rPr>
          <w:lang w:val="en-US"/>
        </w:rPr>
        <w:t xml:space="preserve"> </w:t>
      </w:r>
      <w:proofErr w:type="spellStart"/>
      <w:r>
        <w:rPr>
          <w:lang w:val="en-US"/>
        </w:rPr>
        <w:t>auch</w:t>
      </w:r>
      <w:proofErr w:type="spellEnd"/>
      <w:r>
        <w:rPr>
          <w:lang w:val="en-US"/>
        </w:rPr>
        <w:t xml:space="preserve"> </w:t>
      </w:r>
      <w:r w:rsidRPr="00B45592">
        <w:rPr>
          <w:i/>
          <w:lang w:val="en-US"/>
        </w:rPr>
        <w:t>Betts v. Brady</w:t>
      </w:r>
      <w:r w:rsidRPr="004315D0">
        <w:rPr>
          <w:lang w:val="en-US"/>
        </w:rPr>
        <w:t>, 316 U.S. 455, 461, 464</w:t>
      </w:r>
      <w:r>
        <w:rPr>
          <w:lang w:val="en-US"/>
        </w:rPr>
        <w:t>–</w:t>
      </w:r>
      <w:r w:rsidRPr="004315D0">
        <w:rPr>
          <w:lang w:val="en-US"/>
        </w:rPr>
        <w:t xml:space="preserve">465; </w:t>
      </w:r>
      <w:r w:rsidRPr="00B45592">
        <w:rPr>
          <w:i/>
          <w:lang w:val="en-US"/>
        </w:rPr>
        <w:t>Glasser v. United States</w:t>
      </w:r>
      <w:r w:rsidRPr="004315D0">
        <w:rPr>
          <w:lang w:val="en-US"/>
        </w:rPr>
        <w:t xml:space="preserve">, 315 U.S. 60, 70; </w:t>
      </w:r>
      <w:r w:rsidRPr="00B45592">
        <w:rPr>
          <w:i/>
          <w:lang w:val="en-US"/>
        </w:rPr>
        <w:t>Johnson v. Zerbst</w:t>
      </w:r>
      <w:r w:rsidRPr="004315D0">
        <w:rPr>
          <w:lang w:val="en-US"/>
        </w:rPr>
        <w:t xml:space="preserve">, 304 U.S. 458; </w:t>
      </w:r>
      <w:r w:rsidRPr="00B45592">
        <w:rPr>
          <w:i/>
          <w:lang w:val="en-US"/>
        </w:rPr>
        <w:t>Palko v. Connecticut</w:t>
      </w:r>
      <w:r w:rsidRPr="004315D0">
        <w:rPr>
          <w:lang w:val="en-US"/>
        </w:rPr>
        <w:t>, 302 U.S. 319, 327</w:t>
      </w:r>
      <w:r>
        <w:rPr>
          <w:lang w:val="en-US"/>
        </w:rPr>
        <w:t xml:space="preserve">; </w:t>
      </w:r>
      <w:r w:rsidRPr="00B35CD0">
        <w:rPr>
          <w:i/>
          <w:lang w:val="en-US"/>
        </w:rPr>
        <w:t>Bute v. Illinois</w:t>
      </w:r>
      <w:r w:rsidRPr="004315D0">
        <w:rPr>
          <w:lang w:val="en-US"/>
        </w:rPr>
        <w:t>, 333 U.S. 640</w:t>
      </w:r>
      <w:r w:rsidRPr="006E67FE">
        <w:rPr>
          <w:lang w:val="en-US"/>
        </w:rPr>
        <w:t xml:space="preserve"> = 68 S. Ct. </w:t>
      </w:r>
      <w:r w:rsidRPr="004315D0">
        <w:rPr>
          <w:lang w:val="en-US"/>
        </w:rPr>
        <w:t>763</w:t>
      </w:r>
      <w:r w:rsidRPr="006E67FE">
        <w:rPr>
          <w:lang w:val="en-US"/>
        </w:rPr>
        <w:t xml:space="preserve"> = 92 L. Ed. </w:t>
      </w:r>
      <w:r w:rsidRPr="004315D0">
        <w:rPr>
          <w:lang w:val="en-US"/>
        </w:rPr>
        <w:t>986</w:t>
      </w:r>
      <w:r w:rsidRPr="006E67FE">
        <w:rPr>
          <w:lang w:val="en-US"/>
        </w:rPr>
        <w:t xml:space="preserve"> = 1948 U.S. LEXIS </w:t>
      </w:r>
      <w:r w:rsidRPr="004315D0">
        <w:rPr>
          <w:lang w:val="en-US"/>
        </w:rPr>
        <w:t>2290 (1948)</w:t>
      </w:r>
      <w:r>
        <w:rPr>
          <w:lang w:val="en-US"/>
        </w:rPr>
        <w:t>.</w:t>
      </w:r>
    </w:p>
  </w:footnote>
  <w:footnote w:id="2181">
    <w:p w14:paraId="69FA8E5B" w14:textId="003D0903" w:rsidR="00B7079E" w:rsidRDefault="00B7079E">
      <w:pPr>
        <w:pStyle w:val="Funotentext"/>
      </w:pPr>
      <w:r>
        <w:rPr>
          <w:rStyle w:val="Funotenzeichen"/>
        </w:rPr>
        <w:footnoteRef/>
      </w:r>
      <w:r>
        <w:t xml:space="preserve"> </w:t>
      </w:r>
      <w:r w:rsidRPr="00B7079E">
        <w:rPr>
          <w:i/>
          <w:iCs/>
        </w:rPr>
        <w:t xml:space="preserve">Ex </w:t>
      </w:r>
      <w:proofErr w:type="spellStart"/>
      <w:r w:rsidRPr="00B7079E">
        <w:rPr>
          <w:i/>
          <w:iCs/>
        </w:rPr>
        <w:t>parte</w:t>
      </w:r>
      <w:proofErr w:type="spellEnd"/>
      <w:r w:rsidRPr="00B7079E">
        <w:rPr>
          <w:i/>
          <w:iCs/>
        </w:rPr>
        <w:t xml:space="preserve"> Milligan</w:t>
      </w:r>
      <w:r w:rsidRPr="00B7079E">
        <w:t xml:space="preserve"> wird </w:t>
      </w:r>
      <w:r>
        <w:t>sogleich ein weiteres Mal</w:t>
      </w:r>
      <w:r w:rsidRPr="00B7079E">
        <w:t xml:space="preserve"> ausgewertet, da die Entscheidung unter unterschiedlichen rechtlichen Gesichtspunkten einschlägig ist</w:t>
      </w:r>
      <w:r>
        <w:t>.</w:t>
      </w:r>
    </w:p>
  </w:footnote>
  <w:footnote w:id="2182">
    <w:p w14:paraId="6D26C4F2" w14:textId="77777777" w:rsidR="00074551" w:rsidRPr="00C35570" w:rsidRDefault="00074551" w:rsidP="00074551">
      <w:pPr>
        <w:pStyle w:val="Funotentext"/>
        <w:ind w:left="227" w:hanging="227"/>
        <w:rPr>
          <w:lang w:val="en-US"/>
        </w:rPr>
      </w:pPr>
      <w:r>
        <w:rPr>
          <w:rStyle w:val="Funotenzeichen"/>
          <w:rFonts w:eastAsiaTheme="majorEastAsia"/>
        </w:rPr>
        <w:footnoteRef/>
      </w:r>
      <w:r w:rsidRPr="00C35570">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C35570">
        <w:rPr>
          <w:lang w:val="en-US"/>
        </w:rPr>
        <w:t>, 71 U.S. 2, 107</w:t>
      </w:r>
      <w:r w:rsidRPr="006E67FE">
        <w:rPr>
          <w:lang w:val="en-US"/>
        </w:rPr>
        <w:t xml:space="preserve"> = 18 L. Ed. </w:t>
      </w:r>
      <w:r w:rsidRPr="00C35570">
        <w:rPr>
          <w:lang w:val="en-US"/>
        </w:rPr>
        <w:t>281, 291</w:t>
      </w:r>
      <w:r w:rsidRPr="006E67FE">
        <w:rPr>
          <w:lang w:val="en-US"/>
        </w:rPr>
        <w:t xml:space="preserve"> = 1866 U.S. LEXIS </w:t>
      </w:r>
      <w:r w:rsidRPr="00C35570">
        <w:rPr>
          <w:lang w:val="en-US"/>
        </w:rPr>
        <w:t>861, 174</w:t>
      </w:r>
      <w:r w:rsidRPr="006E67FE">
        <w:rPr>
          <w:lang w:val="en-US"/>
        </w:rPr>
        <w:t xml:space="preserve"> = 4 Wall.</w:t>
      </w:r>
      <w:r w:rsidRPr="00C35570">
        <w:rPr>
          <w:lang w:val="en-US"/>
        </w:rPr>
        <w:t xml:space="preserve"> 2 (1866)</w:t>
      </w:r>
      <w:r>
        <w:rPr>
          <w:lang w:val="en-US"/>
        </w:rPr>
        <w:t>.</w:t>
      </w:r>
    </w:p>
  </w:footnote>
  <w:footnote w:id="2183">
    <w:p w14:paraId="035E71D4" w14:textId="77777777" w:rsidR="00074551" w:rsidRPr="0019617F" w:rsidRDefault="00074551" w:rsidP="00074551">
      <w:pPr>
        <w:pStyle w:val="Funotentext"/>
        <w:ind w:left="227" w:hanging="227"/>
        <w:rPr>
          <w:lang w:val="en-US"/>
        </w:rPr>
      </w:pPr>
      <w:r>
        <w:rPr>
          <w:rStyle w:val="Funotenzeichen"/>
          <w:rFonts w:eastAsiaTheme="majorEastAsia"/>
        </w:rPr>
        <w:footnoteRef/>
      </w:r>
      <w:r w:rsidRPr="0019617F">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6F131E">
        <w:rPr>
          <w:lang w:val="en-US"/>
        </w:rPr>
        <w:t>, 71 U.S. 2, 107</w:t>
      </w:r>
      <w:r w:rsidRPr="006E67FE">
        <w:rPr>
          <w:lang w:val="en-US"/>
        </w:rPr>
        <w:t xml:space="preserve"> = 18 L. Ed. </w:t>
      </w:r>
      <w:r w:rsidRPr="006F131E">
        <w:rPr>
          <w:lang w:val="en-US"/>
        </w:rPr>
        <w:t>281, 291</w:t>
      </w:r>
      <w:r w:rsidRPr="006E67FE">
        <w:rPr>
          <w:lang w:val="en-US"/>
        </w:rPr>
        <w:t xml:space="preserve"> = 1866 U.S. LEXIS </w:t>
      </w:r>
      <w:r w:rsidRPr="006F131E">
        <w:rPr>
          <w:lang w:val="en-US"/>
        </w:rPr>
        <w:t>861, 174</w:t>
      </w:r>
      <w:r w:rsidRPr="006E67FE">
        <w:rPr>
          <w:lang w:val="en-US"/>
        </w:rPr>
        <w:t xml:space="preserve"> = 4 Wall.</w:t>
      </w:r>
      <w:r w:rsidRPr="006F131E">
        <w:rPr>
          <w:lang w:val="en-US"/>
        </w:rPr>
        <w:t xml:space="preserve"> 2 (1866)</w:t>
      </w:r>
      <w:r>
        <w:rPr>
          <w:lang w:val="en-US"/>
        </w:rPr>
        <w:t>.</w:t>
      </w:r>
    </w:p>
  </w:footnote>
  <w:footnote w:id="2184">
    <w:p w14:paraId="59417382" w14:textId="77777777" w:rsidR="00074551" w:rsidRPr="0036161F" w:rsidRDefault="00074551" w:rsidP="00074551">
      <w:pPr>
        <w:pStyle w:val="Funotentext"/>
      </w:pPr>
      <w:r>
        <w:rPr>
          <w:rStyle w:val="Funotenzeichen"/>
        </w:rPr>
        <w:footnoteRef/>
      </w:r>
      <w:r w:rsidRPr="0036161F">
        <w:t xml:space="preserve"> </w:t>
      </w:r>
      <w:r w:rsidRPr="00B45592">
        <w:rPr>
          <w:i/>
        </w:rPr>
        <w:t>Sparf v. United States</w:t>
      </w:r>
      <w:r w:rsidRPr="0036161F">
        <w:t>, 156 U.S. 51, 52</w:t>
      </w:r>
      <w:r w:rsidRPr="003B741A">
        <w:t xml:space="preserve"> = 15 S. Ct. </w:t>
      </w:r>
      <w:r w:rsidRPr="0036161F">
        <w:t>273, 274</w:t>
      </w:r>
      <w:r w:rsidRPr="003B741A">
        <w:t xml:space="preserve"> = 39 L. Ed. </w:t>
      </w:r>
      <w:r w:rsidRPr="0036161F">
        <w:t>343, 344</w:t>
      </w:r>
      <w:r w:rsidRPr="003B741A">
        <w:t xml:space="preserve"> = 1895 U.S. LEXIS </w:t>
      </w:r>
      <w:r w:rsidRPr="0036161F">
        <w:t>2120, 1 (1895)</w:t>
      </w:r>
      <w:r>
        <w:t>;</w:t>
      </w:r>
      <w:r w:rsidRPr="0036161F">
        <w:t xml:space="preserve"> der ausführliche Hintergrund des Falls laute</w:t>
      </w:r>
      <w:r>
        <w:t>t</w:t>
      </w:r>
      <w:r w:rsidRPr="0036161F">
        <w:t xml:space="preserve"> wie folgt: </w:t>
      </w:r>
      <w:r>
        <w:t>Der</w:t>
      </w:r>
      <w:r w:rsidRPr="006C4546">
        <w:t xml:space="preserve"> </w:t>
      </w:r>
      <w:r>
        <w:t>U.S. Supreme Court</w:t>
      </w:r>
      <w:r w:rsidRPr="006C4546">
        <w:t xml:space="preserve"> bestätigte das Urteil des </w:t>
      </w:r>
      <w:r>
        <w:t>U</w:t>
      </w:r>
      <w:r w:rsidRPr="00B45592">
        <w:rPr>
          <w:i/>
        </w:rPr>
        <w:t xml:space="preserve">.S. Circuit Court for the Northern </w:t>
      </w:r>
      <w:proofErr w:type="spellStart"/>
      <w:r w:rsidRPr="00B45592">
        <w:rPr>
          <w:i/>
        </w:rPr>
        <w:t>District</w:t>
      </w:r>
      <w:proofErr w:type="spellEnd"/>
      <w:r w:rsidRPr="00B45592">
        <w:rPr>
          <w:i/>
        </w:rPr>
        <w:t xml:space="preserve"> of California</w:t>
      </w:r>
      <w:r w:rsidRPr="006C4546">
        <w:t xml:space="preserve">, das gegen den ersten Angeklagten erging. </w:t>
      </w:r>
      <w:r w:rsidRPr="0084729D">
        <w:t>Dieser war gemeinsam mit einem zweiten Angeklagten wegen Mordes angeklagt</w:t>
      </w:r>
      <w:r>
        <w:t>. Beide wurden</w:t>
      </w:r>
      <w:r w:rsidRPr="0084729D">
        <w:t xml:space="preserve"> zum Tode verurteilt. Der </w:t>
      </w:r>
      <w:r>
        <w:t>U.S. Supreme Court</w:t>
      </w:r>
      <w:r w:rsidRPr="0084729D">
        <w:t xml:space="preserve"> ordnete jedoch für den zweiten Angeklagten einen neuen Prozess an. Zu</w:t>
      </w:r>
      <w:r>
        <w:t>nächst zum</w:t>
      </w:r>
      <w:r w:rsidRPr="0084729D">
        <w:t xml:space="preserve"> ersten Angeklagten: Die Geständnisse des ersten Angeklagten erachtete der </w:t>
      </w:r>
      <w:r>
        <w:t>U.S. Supreme Court</w:t>
      </w:r>
      <w:r w:rsidRPr="0084729D">
        <w:t xml:space="preserve"> als verwertbar</w:t>
      </w:r>
      <w:r>
        <w:t>, weshalb kein neuer Prozess nötig wurde.</w:t>
      </w:r>
      <w:r w:rsidRPr="0084729D">
        <w:t xml:space="preserve"> Denn der </w:t>
      </w:r>
      <w:r w:rsidRPr="00B45592">
        <w:rPr>
          <w:i/>
        </w:rPr>
        <w:t>Circuit Court</w:t>
      </w:r>
      <w:r w:rsidRPr="0084729D">
        <w:t xml:space="preserve"> instruierte die Jury rechtsdogmatisch angemessen zu der Frage, inwieweit zwei Zeugen </w:t>
      </w:r>
      <w:r>
        <w:t xml:space="preserve">auch </w:t>
      </w:r>
      <w:r w:rsidRPr="0084729D">
        <w:t xml:space="preserve">an der Tat des Angeklagten teilgenommen haben könnten. Zudem </w:t>
      </w:r>
      <w:r>
        <w:t xml:space="preserve">sei </w:t>
      </w:r>
      <w:r w:rsidRPr="0084729D">
        <w:t xml:space="preserve">das Geständnis des ersten Angeklagten freiwillig ergangen, ohne Anreize oder Drohungen – obgleich er </w:t>
      </w:r>
      <w:r>
        <w:t>sich währenddessen in Haft befand.</w:t>
      </w:r>
      <w:r w:rsidRPr="0084729D">
        <w:t xml:space="preserve"> Die Inhaftierung mache das Geständnis weder unfreiwillig noch unverwertbar. Und die Aussagen des zweiten Angeklagten gegen den ersten Angeklagten konnten die Vorinstanzen ebenfalls verwerten. Denn der zweite Angeklagte sagte in Anwesenheit des ersten Angeklagten aus. Danach habe der erste Angeklagte nicht von seinem Recht gebraucht gemacht</w:t>
      </w:r>
      <w:r>
        <w:t>,</w:t>
      </w:r>
      <w:r w:rsidRPr="0084729D">
        <w:t xml:space="preserve"> zu widersprechen</w:t>
      </w:r>
      <w:r>
        <w:t>,</w:t>
      </w:r>
      <w:r w:rsidRPr="0084729D">
        <w:t xml:space="preserve"> und </w:t>
      </w:r>
      <w:r>
        <w:t xml:space="preserve">die </w:t>
      </w:r>
      <w:r w:rsidRPr="0084729D">
        <w:t>Aussagen</w:t>
      </w:r>
      <w:r>
        <w:t xml:space="preserve"> des zweiten Angeklagten</w:t>
      </w:r>
      <w:r w:rsidRPr="0084729D">
        <w:t xml:space="preserve"> </w:t>
      </w:r>
      <w:r>
        <w:t>damit verwertbar gemacht</w:t>
      </w:r>
      <w:r w:rsidRPr="0084729D">
        <w:t>. Zum zweiten Angeklagte</w:t>
      </w:r>
      <w:r>
        <w:t>n: Zu ihm urteilte der Angeklagte</w:t>
      </w:r>
      <w:r w:rsidRPr="0084729D">
        <w:t xml:space="preserve">, dass die Vorinstanz fehlerhaft </w:t>
      </w:r>
      <w:r>
        <w:t>geurteilt habe. Denn sie</w:t>
      </w:r>
      <w:r w:rsidRPr="0084729D">
        <w:t xml:space="preserve"> verwertete </w:t>
      </w:r>
      <w:r>
        <w:t xml:space="preserve">die Aussage des </w:t>
      </w:r>
      <w:r w:rsidRPr="0084729D">
        <w:t>ersten Angeklagten, obwohl der zweite Angeklagte</w:t>
      </w:r>
      <w:r>
        <w:t xml:space="preserve"> dabei </w:t>
      </w:r>
      <w:r w:rsidRPr="0084729D">
        <w:t>abwesend war. Eine solche Aussage erfülle nicht die notwendige Beweishöhe</w:t>
      </w:r>
      <w:r>
        <w:t xml:space="preserve"> für eine Mordverurteilung</w:t>
      </w:r>
      <w:r w:rsidRPr="0084729D">
        <w:t>.</w:t>
      </w:r>
    </w:p>
  </w:footnote>
  <w:footnote w:id="2185">
    <w:p w14:paraId="3EF9237C" w14:textId="77777777" w:rsidR="00074551" w:rsidRPr="001713A5" w:rsidRDefault="00074551" w:rsidP="00074551">
      <w:pPr>
        <w:pStyle w:val="Funotentext"/>
        <w:rPr>
          <w:lang w:val="en-US"/>
        </w:rPr>
      </w:pPr>
      <w:r>
        <w:rPr>
          <w:rStyle w:val="Funotenzeichen"/>
        </w:rPr>
        <w:footnoteRef/>
      </w:r>
      <w:r w:rsidRPr="001713A5">
        <w:rPr>
          <w:lang w:val="en-US"/>
        </w:rPr>
        <w:t xml:space="preserve"> </w:t>
      </w:r>
      <w:r w:rsidRPr="00B45592">
        <w:rPr>
          <w:i/>
          <w:lang w:val="en-US"/>
        </w:rPr>
        <w:t>Sparf v. United States</w:t>
      </w:r>
      <w:r w:rsidRPr="001713A5">
        <w:rPr>
          <w:lang w:val="en-US"/>
        </w:rPr>
        <w:t>, 156 U.S. 51, 74</w:t>
      </w:r>
      <w:r w:rsidRPr="003B741A">
        <w:rPr>
          <w:lang w:val="en-US"/>
        </w:rPr>
        <w:t xml:space="preserve"> = 15 S. Ct. </w:t>
      </w:r>
      <w:r w:rsidRPr="001713A5">
        <w:rPr>
          <w:lang w:val="en-US"/>
        </w:rPr>
        <w:t>273, 282</w:t>
      </w:r>
      <w:r w:rsidRPr="003B741A">
        <w:rPr>
          <w:lang w:val="en-US"/>
        </w:rPr>
        <w:t xml:space="preserve"> = 39 L. Ed. </w:t>
      </w:r>
      <w:r w:rsidRPr="001713A5">
        <w:rPr>
          <w:lang w:val="en-US"/>
        </w:rPr>
        <w:t>343, 351</w:t>
      </w:r>
      <w:r w:rsidRPr="003B741A">
        <w:rPr>
          <w:lang w:val="en-US"/>
        </w:rPr>
        <w:t xml:space="preserve"> = 1895 U.S. LEXIS </w:t>
      </w:r>
      <w:r w:rsidRPr="001713A5">
        <w:rPr>
          <w:lang w:val="en-US"/>
        </w:rPr>
        <w:t>2120, 42 (1895)</w:t>
      </w:r>
      <w:r>
        <w:rPr>
          <w:lang w:val="en-US"/>
        </w:rPr>
        <w:t>.</w:t>
      </w:r>
    </w:p>
  </w:footnote>
  <w:footnote w:id="2186">
    <w:p w14:paraId="76D31D0B" w14:textId="77777777" w:rsidR="00074551" w:rsidRPr="008869B2" w:rsidRDefault="00074551" w:rsidP="00074551">
      <w:pPr>
        <w:pStyle w:val="Funotentext"/>
        <w:rPr>
          <w:lang w:val="en-US"/>
        </w:rPr>
      </w:pPr>
      <w:r>
        <w:rPr>
          <w:rStyle w:val="Funotenzeichen"/>
        </w:rPr>
        <w:footnoteRef/>
      </w:r>
      <w:r w:rsidRPr="008869B2">
        <w:rPr>
          <w:lang w:val="en-US"/>
        </w:rPr>
        <w:t xml:space="preserve"> </w:t>
      </w:r>
      <w:r>
        <w:rPr>
          <w:lang w:val="en-US"/>
        </w:rPr>
        <w:t>„</w:t>
      </w:r>
      <w:r w:rsidRPr="00AB01D2">
        <w:rPr>
          <w:lang w:val="en-US"/>
        </w:rPr>
        <w:t>Mr. Justice Samuel Chase in the case of John Fries, tried for treason, in 1800</w:t>
      </w:r>
      <w:r w:rsidRPr="00B45592">
        <w:rPr>
          <w:lang w:val="en-US"/>
        </w:rPr>
        <w:t>“</w:t>
      </w:r>
      <w:r w:rsidRPr="00AB01D2">
        <w:rPr>
          <w:lang w:val="en-US"/>
        </w:rPr>
        <w:t>;</w:t>
      </w:r>
      <w:r>
        <w:rPr>
          <w:lang w:val="en-US"/>
        </w:rPr>
        <w:t xml:space="preserve"> </w:t>
      </w:r>
      <w:r w:rsidRPr="00B45592">
        <w:rPr>
          <w:i/>
          <w:lang w:val="en-US"/>
        </w:rPr>
        <w:t>Sparf v. United States</w:t>
      </w:r>
      <w:r w:rsidRPr="008869B2">
        <w:rPr>
          <w:lang w:val="en-US"/>
        </w:rPr>
        <w:t>, 156 U.S. 51, 69</w:t>
      </w:r>
      <w:r w:rsidRPr="003B741A">
        <w:rPr>
          <w:lang w:val="en-US"/>
        </w:rPr>
        <w:t xml:space="preserve"> = 15 S. Ct. </w:t>
      </w:r>
      <w:r w:rsidRPr="008869B2">
        <w:rPr>
          <w:lang w:val="en-US"/>
        </w:rPr>
        <w:t>273, 281</w:t>
      </w:r>
      <w:r w:rsidRPr="003B741A">
        <w:rPr>
          <w:lang w:val="en-US"/>
        </w:rPr>
        <w:t xml:space="preserve"> = 39 L. Ed. </w:t>
      </w:r>
      <w:r w:rsidRPr="008869B2">
        <w:rPr>
          <w:lang w:val="en-US"/>
        </w:rPr>
        <w:t>343, 350</w:t>
      </w:r>
      <w:r w:rsidRPr="003B741A">
        <w:rPr>
          <w:lang w:val="en-US"/>
        </w:rPr>
        <w:t xml:space="preserve"> = 1895 U.S. LEXIS </w:t>
      </w:r>
      <w:r w:rsidRPr="008869B2">
        <w:rPr>
          <w:lang w:val="en-US"/>
        </w:rPr>
        <w:t>2120, 34 (1895)</w:t>
      </w:r>
      <w:r>
        <w:rPr>
          <w:lang w:val="en-US"/>
        </w:rPr>
        <w:t>.</w:t>
      </w:r>
    </w:p>
  </w:footnote>
  <w:footnote w:id="2187">
    <w:p w14:paraId="1C0E1666" w14:textId="77777777" w:rsidR="00074551" w:rsidRPr="0019617F" w:rsidRDefault="00074551" w:rsidP="00074551">
      <w:pPr>
        <w:pStyle w:val="Funotentext"/>
        <w:ind w:left="227" w:hanging="227"/>
        <w:rPr>
          <w:lang w:val="en-US"/>
        </w:rPr>
      </w:pPr>
      <w:r>
        <w:rPr>
          <w:rStyle w:val="Funotenzeichen"/>
          <w:rFonts w:eastAsiaTheme="majorEastAsia"/>
        </w:rPr>
        <w:footnoteRef/>
      </w:r>
      <w:r w:rsidRPr="0019617F">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6F131E">
        <w:rPr>
          <w:lang w:val="en-US"/>
        </w:rPr>
        <w:t>, 71 U.S. 2, 107</w:t>
      </w:r>
      <w:r w:rsidRPr="006E67FE">
        <w:rPr>
          <w:lang w:val="en-US"/>
        </w:rPr>
        <w:t xml:space="preserve"> = 18 L. Ed. </w:t>
      </w:r>
      <w:r w:rsidRPr="006F131E">
        <w:rPr>
          <w:lang w:val="en-US"/>
        </w:rPr>
        <w:t>281, 291</w:t>
      </w:r>
      <w:r w:rsidRPr="006E67FE">
        <w:rPr>
          <w:lang w:val="en-US"/>
        </w:rPr>
        <w:t xml:space="preserve"> = 1866 U.S. LEXIS </w:t>
      </w:r>
      <w:r w:rsidRPr="006F131E">
        <w:rPr>
          <w:lang w:val="en-US"/>
        </w:rPr>
        <w:t>861, 174</w:t>
      </w:r>
      <w:r w:rsidRPr="006E67FE">
        <w:rPr>
          <w:lang w:val="en-US"/>
        </w:rPr>
        <w:t xml:space="preserve"> = 4 Wall.</w:t>
      </w:r>
      <w:r w:rsidRPr="006F131E">
        <w:rPr>
          <w:lang w:val="en-US"/>
        </w:rPr>
        <w:t xml:space="preserve"> 2 (1866)</w:t>
      </w:r>
      <w:r>
        <w:rPr>
          <w:lang w:val="en-US"/>
        </w:rPr>
        <w:t>.</w:t>
      </w:r>
    </w:p>
  </w:footnote>
  <w:footnote w:id="2188">
    <w:p w14:paraId="637E1401" w14:textId="77777777" w:rsidR="00074551" w:rsidRPr="00C35570" w:rsidRDefault="00074551" w:rsidP="00074551">
      <w:pPr>
        <w:pStyle w:val="Funotentext"/>
        <w:rPr>
          <w:lang w:val="en-US"/>
        </w:rPr>
      </w:pPr>
      <w:r>
        <w:rPr>
          <w:rStyle w:val="Funotenzeichen"/>
          <w:rFonts w:eastAsiaTheme="majorEastAsia"/>
        </w:rPr>
        <w:footnoteRef/>
      </w:r>
      <w:r w:rsidRPr="00C35570">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C35570">
        <w:rPr>
          <w:lang w:val="en-US"/>
        </w:rPr>
        <w:t>, 71 U.S. 2, 107</w:t>
      </w:r>
      <w:r w:rsidRPr="006E67FE">
        <w:rPr>
          <w:lang w:val="en-US"/>
        </w:rPr>
        <w:t xml:space="preserve"> = 18 L. Ed. </w:t>
      </w:r>
      <w:r w:rsidRPr="00C35570">
        <w:rPr>
          <w:lang w:val="en-US"/>
        </w:rPr>
        <w:t>281, 291</w:t>
      </w:r>
      <w:r w:rsidRPr="006E67FE">
        <w:rPr>
          <w:lang w:val="en-US"/>
        </w:rPr>
        <w:t xml:space="preserve"> = 1866 U.S. LEXIS </w:t>
      </w:r>
      <w:r w:rsidRPr="00C35570">
        <w:rPr>
          <w:lang w:val="en-US"/>
        </w:rPr>
        <w:t>861, 174</w:t>
      </w:r>
      <w:r w:rsidRPr="006E67FE">
        <w:rPr>
          <w:lang w:val="en-US"/>
        </w:rPr>
        <w:t xml:space="preserve"> = 4 Wall.</w:t>
      </w:r>
      <w:r w:rsidRPr="00C35570">
        <w:rPr>
          <w:lang w:val="en-US"/>
        </w:rPr>
        <w:t xml:space="preserve"> 2 (1866)</w:t>
      </w:r>
      <w:r>
        <w:rPr>
          <w:lang w:val="en-US"/>
        </w:rPr>
        <w:t>.</w:t>
      </w:r>
    </w:p>
  </w:footnote>
  <w:footnote w:id="2189">
    <w:p w14:paraId="76D2591B" w14:textId="77777777" w:rsidR="00074551" w:rsidRPr="001B27DF" w:rsidRDefault="00074551" w:rsidP="00074551">
      <w:pPr>
        <w:pStyle w:val="Funotentext"/>
        <w:rPr>
          <w:lang w:val="en-US"/>
        </w:rPr>
      </w:pPr>
      <w:r>
        <w:rPr>
          <w:rStyle w:val="Funotenzeichen"/>
          <w:rFonts w:eastAsiaTheme="majorEastAsia"/>
        </w:rPr>
        <w:footnoteRef/>
      </w:r>
      <w:r w:rsidRPr="001B27DF">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1B27DF">
        <w:rPr>
          <w:lang w:val="en-US"/>
        </w:rPr>
        <w:t>, 71 U.S. 2, 123</w:t>
      </w:r>
      <w:r w:rsidRPr="006E67FE">
        <w:rPr>
          <w:lang w:val="en-US"/>
        </w:rPr>
        <w:t xml:space="preserve"> = 18 L. Ed. </w:t>
      </w:r>
      <w:r w:rsidRPr="001B27DF">
        <w:rPr>
          <w:lang w:val="en-US"/>
        </w:rPr>
        <w:t>281, 296</w:t>
      </w:r>
      <w:r w:rsidRPr="006E67FE">
        <w:rPr>
          <w:lang w:val="en-US"/>
        </w:rPr>
        <w:t xml:space="preserve"> = 1866 U.S. LEXIS </w:t>
      </w:r>
      <w:r w:rsidRPr="001B27DF">
        <w:rPr>
          <w:lang w:val="en-US"/>
        </w:rPr>
        <w:t>861, 213</w:t>
      </w:r>
      <w:r w:rsidRPr="006E67FE">
        <w:rPr>
          <w:lang w:val="en-US"/>
        </w:rPr>
        <w:t xml:space="preserve"> = 4 Wall.</w:t>
      </w:r>
      <w:r w:rsidRPr="001B27DF">
        <w:rPr>
          <w:lang w:val="en-US"/>
        </w:rPr>
        <w:t xml:space="preserve"> 2 (1866)</w:t>
      </w:r>
      <w:r>
        <w:rPr>
          <w:lang w:val="en-US"/>
        </w:rPr>
        <w:t>.</w:t>
      </w:r>
    </w:p>
  </w:footnote>
  <w:footnote w:id="2190">
    <w:p w14:paraId="7EB14C7A" w14:textId="77777777" w:rsidR="00074551" w:rsidRPr="001B27DF" w:rsidRDefault="00074551" w:rsidP="00074551">
      <w:pPr>
        <w:pStyle w:val="Funotentext"/>
        <w:rPr>
          <w:lang w:val="en-US"/>
        </w:rPr>
      </w:pPr>
      <w:r>
        <w:rPr>
          <w:rStyle w:val="Funotenzeichen"/>
          <w:rFonts w:eastAsiaTheme="majorEastAsia"/>
        </w:rPr>
        <w:footnoteRef/>
      </w:r>
      <w:r w:rsidRPr="001B27DF">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1B27DF">
        <w:rPr>
          <w:lang w:val="en-US"/>
        </w:rPr>
        <w:t>, 71 U.S. 2, 123</w:t>
      </w:r>
      <w:r w:rsidRPr="006E67FE">
        <w:rPr>
          <w:lang w:val="en-US"/>
        </w:rPr>
        <w:t xml:space="preserve"> = 18 L. Ed. </w:t>
      </w:r>
      <w:r w:rsidRPr="001B27DF">
        <w:rPr>
          <w:lang w:val="en-US"/>
        </w:rPr>
        <w:t>281, 296</w:t>
      </w:r>
      <w:r w:rsidRPr="006E67FE">
        <w:rPr>
          <w:lang w:val="en-US"/>
        </w:rPr>
        <w:t xml:space="preserve"> = 1866 U.S. LEXIS </w:t>
      </w:r>
      <w:r w:rsidRPr="001B27DF">
        <w:rPr>
          <w:lang w:val="en-US"/>
        </w:rPr>
        <w:t>861, 213</w:t>
      </w:r>
      <w:r w:rsidRPr="006E67FE">
        <w:rPr>
          <w:lang w:val="en-US"/>
        </w:rPr>
        <w:t xml:space="preserve"> = 4 Wall.</w:t>
      </w:r>
      <w:r w:rsidRPr="001B27DF">
        <w:rPr>
          <w:lang w:val="en-US"/>
        </w:rPr>
        <w:t xml:space="preserve"> 2 (1866)</w:t>
      </w:r>
      <w:r>
        <w:rPr>
          <w:lang w:val="en-US"/>
        </w:rPr>
        <w:t>.</w:t>
      </w:r>
    </w:p>
  </w:footnote>
  <w:footnote w:id="2191">
    <w:p w14:paraId="72CFE545" w14:textId="77777777" w:rsidR="00074551" w:rsidRPr="009A514F" w:rsidRDefault="00074551" w:rsidP="00074551">
      <w:pPr>
        <w:pStyle w:val="Funotentext"/>
        <w:rPr>
          <w:lang w:val="en-US"/>
        </w:rPr>
      </w:pPr>
      <w:r>
        <w:rPr>
          <w:rStyle w:val="Funotenzeichen"/>
          <w:rFonts w:eastAsiaTheme="majorEastAsia"/>
        </w:rPr>
        <w:footnoteRef/>
      </w:r>
      <w:r w:rsidRPr="009A514F">
        <w:rPr>
          <w:lang w:val="en-US"/>
        </w:rPr>
        <w:t xml:space="preserve"> </w:t>
      </w:r>
      <w:r w:rsidRPr="00A15962">
        <w:rPr>
          <w:i/>
          <w:lang w:val="en-US"/>
        </w:rPr>
        <w:t>Neal v. Del.</w:t>
      </w:r>
      <w:r w:rsidRPr="009A514F">
        <w:rPr>
          <w:lang w:val="en-US"/>
        </w:rPr>
        <w:t>, 103 U.S. 370, 394</w:t>
      </w:r>
      <w:r w:rsidRPr="00EC5BEB">
        <w:rPr>
          <w:lang w:val="en-US"/>
        </w:rPr>
        <w:t xml:space="preserve"> = 26 L. Ed. </w:t>
      </w:r>
      <w:r w:rsidRPr="009A514F">
        <w:rPr>
          <w:lang w:val="en-US"/>
        </w:rPr>
        <w:t>567, 573</w:t>
      </w:r>
      <w:r>
        <w:rPr>
          <w:lang w:val="en-US"/>
        </w:rPr>
        <w:t xml:space="preserve"> = 1880 U.S. LEXIS </w:t>
      </w:r>
      <w:r w:rsidRPr="009A514F">
        <w:rPr>
          <w:lang w:val="en-US"/>
        </w:rPr>
        <w:t>2129, 50</w:t>
      </w:r>
      <w:r>
        <w:rPr>
          <w:lang w:val="en-US"/>
        </w:rPr>
        <w:t xml:space="preserve"> = 13 Otto </w:t>
      </w:r>
      <w:r w:rsidRPr="009A514F">
        <w:rPr>
          <w:lang w:val="en-US"/>
        </w:rPr>
        <w:t>370 (1881)</w:t>
      </w:r>
      <w:r>
        <w:rPr>
          <w:lang w:val="en-US"/>
        </w:rPr>
        <w:t>.</w:t>
      </w:r>
    </w:p>
  </w:footnote>
  <w:footnote w:id="2192">
    <w:p w14:paraId="2C9B7922" w14:textId="77777777" w:rsidR="00074551" w:rsidRPr="001B27DF" w:rsidRDefault="00074551" w:rsidP="00074551">
      <w:pPr>
        <w:pStyle w:val="Funotentext"/>
        <w:rPr>
          <w:lang w:val="en-US"/>
        </w:rPr>
      </w:pPr>
      <w:r>
        <w:rPr>
          <w:rStyle w:val="Funotenzeichen"/>
          <w:rFonts w:eastAsiaTheme="majorEastAsia"/>
        </w:rPr>
        <w:footnoteRef/>
      </w:r>
      <w:r w:rsidRPr="001B27DF">
        <w:rPr>
          <w:lang w:val="en-US"/>
        </w:rPr>
        <w:t xml:space="preserve"> </w:t>
      </w:r>
      <w:r w:rsidRPr="00A15962">
        <w:rPr>
          <w:i/>
          <w:lang w:val="en-US"/>
        </w:rPr>
        <w:t>Neal v. Del.</w:t>
      </w:r>
      <w:r w:rsidRPr="001B27DF">
        <w:rPr>
          <w:lang w:val="en-US"/>
        </w:rPr>
        <w:t>, 103 U.S. 370, 408</w:t>
      </w:r>
      <w:r w:rsidRPr="00EC5BEB">
        <w:rPr>
          <w:lang w:val="en-US"/>
        </w:rPr>
        <w:t xml:space="preserve"> = 26 L. Ed. </w:t>
      </w:r>
      <w:r w:rsidRPr="001B27DF">
        <w:rPr>
          <w:lang w:val="en-US"/>
        </w:rPr>
        <w:t>567, 578</w:t>
      </w:r>
      <w:r>
        <w:rPr>
          <w:lang w:val="en-US"/>
        </w:rPr>
        <w:t xml:space="preserve"> = 1880 U.S. LEXIS </w:t>
      </w:r>
      <w:r w:rsidRPr="001B27DF">
        <w:rPr>
          <w:lang w:val="en-US"/>
        </w:rPr>
        <w:t>2129, 77</w:t>
      </w:r>
      <w:r>
        <w:rPr>
          <w:lang w:val="en-US"/>
        </w:rPr>
        <w:t xml:space="preserve"> = 13 Otto </w:t>
      </w:r>
      <w:r w:rsidRPr="001B27DF">
        <w:rPr>
          <w:lang w:val="en-US"/>
        </w:rPr>
        <w:t>370 (1881)</w:t>
      </w:r>
      <w:r>
        <w:rPr>
          <w:lang w:val="en-US"/>
        </w:rPr>
        <w:t>.</w:t>
      </w:r>
    </w:p>
  </w:footnote>
  <w:footnote w:id="2193">
    <w:p w14:paraId="6382EAEF" w14:textId="77777777" w:rsidR="00074551" w:rsidRPr="00336914" w:rsidRDefault="00074551" w:rsidP="00074551">
      <w:pPr>
        <w:pStyle w:val="Funotentext"/>
        <w:rPr>
          <w:lang w:val="en-US"/>
        </w:rPr>
      </w:pPr>
      <w:r>
        <w:rPr>
          <w:rStyle w:val="Funotenzeichen"/>
          <w:rFonts w:eastAsiaTheme="majorEastAsia"/>
        </w:rPr>
        <w:footnoteRef/>
      </w:r>
      <w:r w:rsidRPr="00336914">
        <w:rPr>
          <w:lang w:val="en-US"/>
        </w:rPr>
        <w:t xml:space="preserve"> </w:t>
      </w:r>
      <w:r w:rsidRPr="00A15962">
        <w:rPr>
          <w:i/>
          <w:lang w:val="en-US"/>
        </w:rPr>
        <w:t>Neal v. Del.</w:t>
      </w:r>
      <w:r w:rsidRPr="00336914">
        <w:rPr>
          <w:lang w:val="en-US"/>
        </w:rPr>
        <w:t>, 103 U.S. 370</w:t>
      </w:r>
      <w:r w:rsidRPr="00EC5BEB">
        <w:rPr>
          <w:lang w:val="en-US"/>
        </w:rPr>
        <w:t xml:space="preserve"> = 26 L. Ed. </w:t>
      </w:r>
      <w:r w:rsidRPr="00336914">
        <w:rPr>
          <w:lang w:val="en-US"/>
        </w:rPr>
        <w:t>567</w:t>
      </w:r>
      <w:r>
        <w:rPr>
          <w:lang w:val="en-US"/>
        </w:rPr>
        <w:t xml:space="preserve"> = 1880 U.S. LEXIS </w:t>
      </w:r>
      <w:r w:rsidRPr="00336914">
        <w:rPr>
          <w:lang w:val="en-US"/>
        </w:rPr>
        <w:t>2129</w:t>
      </w:r>
      <w:r>
        <w:rPr>
          <w:lang w:val="en-US"/>
        </w:rPr>
        <w:t xml:space="preserve"> = 13 Otto </w:t>
      </w:r>
      <w:r w:rsidRPr="00336914">
        <w:rPr>
          <w:lang w:val="en-US"/>
        </w:rPr>
        <w:t>370 (1881)</w:t>
      </w:r>
      <w:r>
        <w:rPr>
          <w:lang w:val="en-US"/>
        </w:rPr>
        <w:t>.</w:t>
      </w:r>
    </w:p>
  </w:footnote>
  <w:footnote w:id="2194">
    <w:p w14:paraId="307BCE02" w14:textId="77777777" w:rsidR="00074551" w:rsidRPr="00C35570" w:rsidRDefault="00074551" w:rsidP="00074551">
      <w:pPr>
        <w:pStyle w:val="Funotentext"/>
        <w:rPr>
          <w:lang w:val="en-US"/>
        </w:rPr>
      </w:pPr>
      <w:r>
        <w:rPr>
          <w:rStyle w:val="Funotenzeichen"/>
          <w:rFonts w:eastAsiaTheme="majorEastAsia"/>
        </w:rPr>
        <w:footnoteRef/>
      </w:r>
      <w:r w:rsidRPr="00C35570">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C35570">
        <w:rPr>
          <w:lang w:val="en-US"/>
        </w:rPr>
        <w:t>, 71 U.S. 2, 107</w:t>
      </w:r>
      <w:r w:rsidRPr="006E67FE">
        <w:rPr>
          <w:lang w:val="en-US"/>
        </w:rPr>
        <w:t xml:space="preserve"> = 18 L. Ed. </w:t>
      </w:r>
      <w:r w:rsidRPr="00C35570">
        <w:rPr>
          <w:lang w:val="en-US"/>
        </w:rPr>
        <w:t>281, 291</w:t>
      </w:r>
      <w:r w:rsidRPr="006E67FE">
        <w:rPr>
          <w:lang w:val="en-US"/>
        </w:rPr>
        <w:t xml:space="preserve"> = 1866 U.S. LEXIS </w:t>
      </w:r>
      <w:r w:rsidRPr="00C35570">
        <w:rPr>
          <w:lang w:val="en-US"/>
        </w:rPr>
        <w:t>861, 174</w:t>
      </w:r>
      <w:r w:rsidRPr="006E67FE">
        <w:rPr>
          <w:lang w:val="en-US"/>
        </w:rPr>
        <w:t xml:space="preserve"> = 4 Wall.</w:t>
      </w:r>
      <w:r w:rsidRPr="00C35570">
        <w:rPr>
          <w:lang w:val="en-US"/>
        </w:rPr>
        <w:t xml:space="preserve"> 2 (1866)</w:t>
      </w:r>
      <w:r>
        <w:rPr>
          <w:lang w:val="en-US"/>
        </w:rPr>
        <w:t>.</w:t>
      </w:r>
    </w:p>
  </w:footnote>
  <w:footnote w:id="2195">
    <w:p w14:paraId="189AEDE2" w14:textId="77777777" w:rsidR="00074551" w:rsidRPr="001B27DF" w:rsidRDefault="00074551" w:rsidP="00074551">
      <w:pPr>
        <w:pStyle w:val="Funotentext"/>
        <w:rPr>
          <w:lang w:val="en-US"/>
        </w:rPr>
      </w:pPr>
      <w:r>
        <w:rPr>
          <w:rStyle w:val="Funotenzeichen"/>
          <w:rFonts w:eastAsiaTheme="majorEastAsia"/>
        </w:rPr>
        <w:footnoteRef/>
      </w:r>
      <w:r w:rsidRPr="001B27DF">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1B27DF">
        <w:rPr>
          <w:lang w:val="en-US"/>
        </w:rPr>
        <w:t>, 71 U.S. 2, 123</w:t>
      </w:r>
      <w:r w:rsidRPr="006E67FE">
        <w:rPr>
          <w:lang w:val="en-US"/>
        </w:rPr>
        <w:t xml:space="preserve"> = 18 L. Ed. </w:t>
      </w:r>
      <w:r w:rsidRPr="001B27DF">
        <w:rPr>
          <w:lang w:val="en-US"/>
        </w:rPr>
        <w:t>281, 296</w:t>
      </w:r>
      <w:r w:rsidRPr="006E67FE">
        <w:rPr>
          <w:lang w:val="en-US"/>
        </w:rPr>
        <w:t xml:space="preserve"> = 1866 U.S. LEXIS </w:t>
      </w:r>
      <w:r w:rsidRPr="001B27DF">
        <w:rPr>
          <w:lang w:val="en-US"/>
        </w:rPr>
        <w:t>861, 213</w:t>
      </w:r>
      <w:r w:rsidRPr="006E67FE">
        <w:rPr>
          <w:lang w:val="en-US"/>
        </w:rPr>
        <w:t xml:space="preserve"> = 4 Wall.</w:t>
      </w:r>
      <w:r w:rsidRPr="001B27DF">
        <w:rPr>
          <w:lang w:val="en-US"/>
        </w:rPr>
        <w:t xml:space="preserve"> 2 (1866)</w:t>
      </w:r>
      <w:r>
        <w:rPr>
          <w:lang w:val="en-US"/>
        </w:rPr>
        <w:t>.</w:t>
      </w:r>
    </w:p>
  </w:footnote>
  <w:footnote w:id="2196">
    <w:p w14:paraId="0AA4B1B3" w14:textId="77777777" w:rsidR="00074551" w:rsidRPr="001B27DF" w:rsidRDefault="00074551" w:rsidP="00074551">
      <w:pPr>
        <w:pStyle w:val="Funotentext"/>
        <w:rPr>
          <w:lang w:val="en-US"/>
        </w:rPr>
      </w:pPr>
      <w:r>
        <w:rPr>
          <w:rStyle w:val="Funotenzeichen"/>
          <w:rFonts w:eastAsiaTheme="majorEastAsia"/>
        </w:rPr>
        <w:footnoteRef/>
      </w:r>
      <w:r w:rsidRPr="001B27DF">
        <w:rPr>
          <w:lang w:val="en-US"/>
        </w:rPr>
        <w:t xml:space="preserve"> </w:t>
      </w:r>
      <w:r w:rsidRPr="00B35CD0">
        <w:rPr>
          <w:i/>
          <w:lang w:val="en-US"/>
        </w:rPr>
        <w:t xml:space="preserve">Ex </w:t>
      </w:r>
      <w:proofErr w:type="spellStart"/>
      <w:r w:rsidRPr="00B35CD0">
        <w:rPr>
          <w:i/>
          <w:lang w:val="en-US"/>
        </w:rPr>
        <w:t>parte</w:t>
      </w:r>
      <w:proofErr w:type="spellEnd"/>
      <w:r w:rsidRPr="00B35CD0">
        <w:rPr>
          <w:i/>
          <w:lang w:val="en-US"/>
        </w:rPr>
        <w:t xml:space="preserve"> Milligan</w:t>
      </w:r>
      <w:r w:rsidRPr="001B27DF">
        <w:rPr>
          <w:lang w:val="en-US"/>
        </w:rPr>
        <w:t>, 71 U.S. 2, 123</w:t>
      </w:r>
      <w:r w:rsidRPr="006E67FE">
        <w:rPr>
          <w:lang w:val="en-US"/>
        </w:rPr>
        <w:t xml:space="preserve"> = 18 L. Ed. </w:t>
      </w:r>
      <w:r w:rsidRPr="001B27DF">
        <w:rPr>
          <w:lang w:val="en-US"/>
        </w:rPr>
        <w:t>281, 296</w:t>
      </w:r>
      <w:r w:rsidRPr="006E67FE">
        <w:rPr>
          <w:lang w:val="en-US"/>
        </w:rPr>
        <w:t xml:space="preserve"> = 1866 U.S. LEXIS </w:t>
      </w:r>
      <w:r w:rsidRPr="001B27DF">
        <w:rPr>
          <w:lang w:val="en-US"/>
        </w:rPr>
        <w:t>861, 213</w:t>
      </w:r>
      <w:r w:rsidRPr="006E67FE">
        <w:rPr>
          <w:lang w:val="en-US"/>
        </w:rPr>
        <w:t xml:space="preserve"> = 4 Wall.</w:t>
      </w:r>
      <w:r w:rsidRPr="001B27DF">
        <w:rPr>
          <w:lang w:val="en-US"/>
        </w:rPr>
        <w:t xml:space="preserve"> 2 (1866)</w:t>
      </w:r>
      <w:r>
        <w:rPr>
          <w:lang w:val="en-US"/>
        </w:rPr>
        <w:t>.</w:t>
      </w:r>
    </w:p>
  </w:footnote>
  <w:footnote w:id="2197">
    <w:p w14:paraId="6B41D526" w14:textId="77777777" w:rsidR="00074551" w:rsidRPr="007B485E" w:rsidRDefault="00074551" w:rsidP="00074551">
      <w:pPr>
        <w:pStyle w:val="Funotentext"/>
        <w:rPr>
          <w:lang w:val="en-US"/>
        </w:rPr>
      </w:pPr>
      <w:r>
        <w:rPr>
          <w:rStyle w:val="Funotenzeichen"/>
          <w:rFonts w:eastAsiaTheme="majorEastAsia"/>
        </w:rPr>
        <w:footnoteRef/>
      </w:r>
      <w:r w:rsidRPr="007B485E">
        <w:rPr>
          <w:lang w:val="en-US"/>
        </w:rPr>
        <w:t xml:space="preserve"> </w:t>
      </w:r>
      <w:r w:rsidRPr="00B35CD0">
        <w:rPr>
          <w:i/>
          <w:lang w:val="en-US"/>
        </w:rPr>
        <w:t>Bute v. Illinois</w:t>
      </w:r>
      <w:r w:rsidRPr="007B485E">
        <w:rPr>
          <w:lang w:val="en-US"/>
        </w:rPr>
        <w:t>, 333 U.S. 640, 651</w:t>
      </w:r>
      <w:r w:rsidRPr="006E67FE">
        <w:rPr>
          <w:lang w:val="en-US"/>
        </w:rPr>
        <w:t xml:space="preserve"> = 68 S. Ct. </w:t>
      </w:r>
      <w:r w:rsidRPr="007B485E">
        <w:rPr>
          <w:lang w:val="en-US"/>
        </w:rPr>
        <w:t>763, 769</w:t>
      </w:r>
      <w:r w:rsidRPr="006E67FE">
        <w:rPr>
          <w:lang w:val="en-US"/>
        </w:rPr>
        <w:t xml:space="preserve"> = 92 L. Ed. </w:t>
      </w:r>
      <w:r w:rsidRPr="007B485E">
        <w:rPr>
          <w:lang w:val="en-US"/>
        </w:rPr>
        <w:t>986, 993</w:t>
      </w:r>
      <w:r w:rsidRPr="006E67FE">
        <w:rPr>
          <w:lang w:val="en-US"/>
        </w:rPr>
        <w:t xml:space="preserve"> = 1948 U.S. LEXIS </w:t>
      </w:r>
      <w:r w:rsidRPr="007B485E">
        <w:rPr>
          <w:lang w:val="en-US"/>
        </w:rPr>
        <w:t>2290, 19 (1948)</w:t>
      </w:r>
      <w:r>
        <w:rPr>
          <w:lang w:val="en-US"/>
        </w:rPr>
        <w:t>.</w:t>
      </w:r>
    </w:p>
  </w:footnote>
  <w:footnote w:id="2198">
    <w:p w14:paraId="579B0AB0" w14:textId="77777777" w:rsidR="00074551" w:rsidRPr="007B485E" w:rsidRDefault="00074551" w:rsidP="00074551">
      <w:pPr>
        <w:pStyle w:val="Funotentext"/>
        <w:rPr>
          <w:lang w:val="en-US"/>
        </w:rPr>
      </w:pPr>
      <w:r>
        <w:rPr>
          <w:rStyle w:val="Funotenzeichen"/>
          <w:rFonts w:eastAsiaTheme="majorEastAsia"/>
        </w:rPr>
        <w:footnoteRef/>
      </w:r>
      <w:r w:rsidRPr="007B485E">
        <w:rPr>
          <w:lang w:val="en-US"/>
        </w:rPr>
        <w:t xml:space="preserve"> </w:t>
      </w:r>
      <w:r w:rsidRPr="00B35CD0">
        <w:rPr>
          <w:i/>
          <w:lang w:val="en-US"/>
        </w:rPr>
        <w:t>Bute v. Illinois</w:t>
      </w:r>
      <w:r w:rsidRPr="007B485E">
        <w:rPr>
          <w:lang w:val="en-US"/>
        </w:rPr>
        <w:t>, 333 U.S. 640, 651</w:t>
      </w:r>
      <w:r w:rsidRPr="006E67FE">
        <w:rPr>
          <w:lang w:val="en-US"/>
        </w:rPr>
        <w:t xml:space="preserve"> = 68 S. Ct. </w:t>
      </w:r>
      <w:r w:rsidRPr="007B485E">
        <w:rPr>
          <w:lang w:val="en-US"/>
        </w:rPr>
        <w:t>763, 769</w:t>
      </w:r>
      <w:r w:rsidRPr="006E67FE">
        <w:rPr>
          <w:lang w:val="en-US"/>
        </w:rPr>
        <w:t xml:space="preserve"> = 92 L. Ed. </w:t>
      </w:r>
      <w:r w:rsidRPr="007B485E">
        <w:rPr>
          <w:lang w:val="en-US"/>
        </w:rPr>
        <w:t>986, 993</w:t>
      </w:r>
      <w:r w:rsidRPr="006E67FE">
        <w:rPr>
          <w:lang w:val="en-US"/>
        </w:rPr>
        <w:t xml:space="preserve"> = 1948 U.S. LEXIS </w:t>
      </w:r>
      <w:r w:rsidRPr="007B485E">
        <w:rPr>
          <w:lang w:val="en-US"/>
        </w:rPr>
        <w:t>2290, 19 (1948)</w:t>
      </w:r>
      <w:r>
        <w:rPr>
          <w:lang w:val="en-US"/>
        </w:rPr>
        <w:t>.</w:t>
      </w:r>
    </w:p>
  </w:footnote>
  <w:footnote w:id="2199">
    <w:p w14:paraId="71F5F3C0" w14:textId="77777777" w:rsidR="00074551" w:rsidRPr="004315D0" w:rsidRDefault="00074551" w:rsidP="00074551">
      <w:pPr>
        <w:pStyle w:val="Funotentext"/>
        <w:rPr>
          <w:lang w:val="en-US"/>
        </w:rPr>
      </w:pPr>
      <w:r>
        <w:rPr>
          <w:rStyle w:val="Funotenzeichen"/>
          <w:rFonts w:eastAsiaTheme="majorEastAsia"/>
        </w:rPr>
        <w:footnoteRef/>
      </w:r>
      <w:r w:rsidRPr="004315D0">
        <w:rPr>
          <w:lang w:val="en-US"/>
        </w:rPr>
        <w:t xml:space="preserve"> </w:t>
      </w:r>
      <w:r w:rsidRPr="00B45592">
        <w:rPr>
          <w:i/>
          <w:lang w:val="en-US"/>
        </w:rPr>
        <w:t>Foster v. Illinois</w:t>
      </w:r>
      <w:r w:rsidRPr="004315D0">
        <w:rPr>
          <w:lang w:val="en-US"/>
        </w:rPr>
        <w:t>, 332 U.S. 134, 136</w:t>
      </w:r>
      <w:r>
        <w:rPr>
          <w:lang w:val="en-US"/>
        </w:rPr>
        <w:t>–</w:t>
      </w:r>
      <w:r w:rsidRPr="004315D0">
        <w:rPr>
          <w:lang w:val="en-US"/>
        </w:rPr>
        <w:t xml:space="preserve">137. </w:t>
      </w:r>
      <w:proofErr w:type="spellStart"/>
      <w:r>
        <w:rPr>
          <w:lang w:val="en-US"/>
        </w:rPr>
        <w:t>Siehe</w:t>
      </w:r>
      <w:proofErr w:type="spellEnd"/>
      <w:r>
        <w:rPr>
          <w:lang w:val="en-US"/>
        </w:rPr>
        <w:t xml:space="preserve"> </w:t>
      </w:r>
      <w:proofErr w:type="spellStart"/>
      <w:r>
        <w:rPr>
          <w:lang w:val="en-US"/>
        </w:rPr>
        <w:t>auch</w:t>
      </w:r>
      <w:proofErr w:type="spellEnd"/>
      <w:r w:rsidRPr="004315D0">
        <w:rPr>
          <w:lang w:val="en-US"/>
        </w:rPr>
        <w:t xml:space="preserve"> </w:t>
      </w:r>
      <w:r w:rsidRPr="00B45592">
        <w:rPr>
          <w:i/>
          <w:lang w:val="en-US"/>
        </w:rPr>
        <w:t>Betts v. Brady</w:t>
      </w:r>
      <w:r w:rsidRPr="004315D0">
        <w:rPr>
          <w:lang w:val="en-US"/>
        </w:rPr>
        <w:t>, 316 U.S. 455, 461, 464</w:t>
      </w:r>
      <w:r>
        <w:rPr>
          <w:lang w:val="en-US"/>
        </w:rPr>
        <w:t>–</w:t>
      </w:r>
      <w:r w:rsidRPr="004315D0">
        <w:rPr>
          <w:lang w:val="en-US"/>
        </w:rPr>
        <w:t xml:space="preserve">465; </w:t>
      </w:r>
      <w:r w:rsidRPr="00B45592">
        <w:rPr>
          <w:i/>
          <w:lang w:val="en-US"/>
        </w:rPr>
        <w:t>Glasser v. United States</w:t>
      </w:r>
      <w:r w:rsidRPr="004315D0">
        <w:rPr>
          <w:lang w:val="en-US"/>
        </w:rPr>
        <w:t xml:space="preserve">, 315 U.S. 60, 70; </w:t>
      </w:r>
      <w:r w:rsidRPr="00B45592">
        <w:rPr>
          <w:i/>
          <w:lang w:val="en-US"/>
        </w:rPr>
        <w:t>Johnson v. Zerbst</w:t>
      </w:r>
      <w:r w:rsidRPr="004315D0">
        <w:rPr>
          <w:lang w:val="en-US"/>
        </w:rPr>
        <w:t xml:space="preserve">, 304 U.S. 458; </w:t>
      </w:r>
      <w:r w:rsidRPr="00B45592">
        <w:rPr>
          <w:i/>
          <w:lang w:val="en-US"/>
        </w:rPr>
        <w:t>Palko v. Connecticut</w:t>
      </w:r>
      <w:r w:rsidRPr="004315D0">
        <w:rPr>
          <w:lang w:val="en-US"/>
        </w:rPr>
        <w:t>, 302 U.S. 319, 327</w:t>
      </w:r>
      <w:r>
        <w:rPr>
          <w:lang w:val="en-US"/>
        </w:rPr>
        <w:t xml:space="preserve">; </w:t>
      </w:r>
      <w:r w:rsidRPr="00B35CD0">
        <w:rPr>
          <w:i/>
          <w:lang w:val="en-US"/>
        </w:rPr>
        <w:t>Bute v. Illinois</w:t>
      </w:r>
      <w:r w:rsidRPr="004315D0">
        <w:rPr>
          <w:lang w:val="en-US"/>
        </w:rPr>
        <w:t>, 333 U.S. 640</w:t>
      </w:r>
      <w:r w:rsidRPr="006E67FE">
        <w:rPr>
          <w:lang w:val="en-US"/>
        </w:rPr>
        <w:t xml:space="preserve"> = 68 S. Ct. </w:t>
      </w:r>
      <w:r w:rsidRPr="004315D0">
        <w:rPr>
          <w:lang w:val="en-US"/>
        </w:rPr>
        <w:t>763</w:t>
      </w:r>
      <w:r w:rsidRPr="006E67FE">
        <w:rPr>
          <w:lang w:val="en-US"/>
        </w:rPr>
        <w:t xml:space="preserve"> = 92 L. Ed. </w:t>
      </w:r>
      <w:r w:rsidRPr="004315D0">
        <w:rPr>
          <w:lang w:val="en-US"/>
        </w:rPr>
        <w:t>986</w:t>
      </w:r>
      <w:r w:rsidRPr="006E67FE">
        <w:rPr>
          <w:lang w:val="en-US"/>
        </w:rPr>
        <w:t xml:space="preserve"> = 1948 U.S. LEXIS </w:t>
      </w:r>
      <w:r w:rsidRPr="004315D0">
        <w:rPr>
          <w:lang w:val="en-US"/>
        </w:rPr>
        <w:t>2290 (1948)</w:t>
      </w:r>
      <w:r>
        <w:rPr>
          <w:lang w:val="en-US"/>
        </w:rPr>
        <w:t>.</w:t>
      </w:r>
    </w:p>
  </w:footnote>
  <w:footnote w:id="2200">
    <w:p w14:paraId="03950996" w14:textId="77777777" w:rsidR="00074551" w:rsidRPr="00CD5D45" w:rsidRDefault="00074551" w:rsidP="00074551">
      <w:pPr>
        <w:pStyle w:val="Funotentext"/>
        <w:rPr>
          <w:lang w:val="en-US"/>
        </w:rPr>
      </w:pPr>
      <w:r>
        <w:rPr>
          <w:rStyle w:val="Funotenzeichen"/>
          <w:rFonts w:eastAsiaTheme="majorEastAsia"/>
        </w:rPr>
        <w:footnoteRef/>
      </w:r>
      <w:r w:rsidRPr="00CD5D45">
        <w:rPr>
          <w:lang w:val="en-US"/>
        </w:rPr>
        <w:t xml:space="preserve"> </w:t>
      </w:r>
      <w:r w:rsidRPr="00B45592">
        <w:rPr>
          <w:i/>
          <w:lang w:val="en-US"/>
        </w:rPr>
        <w:t>Foster v. Illinois</w:t>
      </w:r>
      <w:r w:rsidRPr="00CD5D45">
        <w:rPr>
          <w:lang w:val="en-US"/>
        </w:rPr>
        <w:t>, 332 U.S. 134, 136</w:t>
      </w:r>
      <w:r>
        <w:rPr>
          <w:lang w:val="en-US"/>
        </w:rPr>
        <w:t>–</w:t>
      </w:r>
      <w:r w:rsidRPr="00CD5D45">
        <w:rPr>
          <w:lang w:val="en-US"/>
        </w:rPr>
        <w:t xml:space="preserve">137. </w:t>
      </w:r>
      <w:proofErr w:type="spellStart"/>
      <w:r>
        <w:rPr>
          <w:lang w:val="en-US"/>
        </w:rPr>
        <w:t>Siehe</w:t>
      </w:r>
      <w:proofErr w:type="spellEnd"/>
      <w:r>
        <w:rPr>
          <w:lang w:val="en-US"/>
        </w:rPr>
        <w:t xml:space="preserve"> </w:t>
      </w:r>
      <w:proofErr w:type="spellStart"/>
      <w:r>
        <w:rPr>
          <w:lang w:val="en-US"/>
        </w:rPr>
        <w:t>auch</w:t>
      </w:r>
      <w:proofErr w:type="spellEnd"/>
      <w:r w:rsidRPr="004315D0">
        <w:rPr>
          <w:lang w:val="en-US"/>
        </w:rPr>
        <w:t xml:space="preserve"> </w:t>
      </w:r>
      <w:r w:rsidRPr="00B45592">
        <w:rPr>
          <w:i/>
          <w:lang w:val="en-US"/>
        </w:rPr>
        <w:t>Betts v. Brady</w:t>
      </w:r>
      <w:r w:rsidRPr="00CD5D45">
        <w:rPr>
          <w:lang w:val="en-US"/>
        </w:rPr>
        <w:t>, 316 U.S. 455, 461, 464</w:t>
      </w:r>
      <w:r>
        <w:rPr>
          <w:lang w:val="en-US"/>
        </w:rPr>
        <w:t>–</w:t>
      </w:r>
      <w:r w:rsidRPr="00CD5D45">
        <w:rPr>
          <w:lang w:val="en-US"/>
        </w:rPr>
        <w:t xml:space="preserve">465; </w:t>
      </w:r>
      <w:r w:rsidRPr="00B45592">
        <w:rPr>
          <w:i/>
          <w:lang w:val="en-US"/>
        </w:rPr>
        <w:t>Glasser v. United States</w:t>
      </w:r>
      <w:r w:rsidRPr="00CD5D45">
        <w:rPr>
          <w:lang w:val="en-US"/>
        </w:rPr>
        <w:t xml:space="preserve">, 315 U.S. 60, 70; </w:t>
      </w:r>
      <w:r w:rsidRPr="00B45592">
        <w:rPr>
          <w:i/>
          <w:lang w:val="en-US"/>
        </w:rPr>
        <w:t>Johnson v. Zerbst</w:t>
      </w:r>
      <w:r w:rsidRPr="00CD5D45">
        <w:rPr>
          <w:lang w:val="en-US"/>
        </w:rPr>
        <w:t xml:space="preserve">, 304 U.S. 458; </w:t>
      </w:r>
      <w:r w:rsidRPr="00B45592">
        <w:rPr>
          <w:i/>
          <w:lang w:val="en-US"/>
        </w:rPr>
        <w:t>Palko v. Connecticut</w:t>
      </w:r>
      <w:r w:rsidRPr="00CD5D45">
        <w:rPr>
          <w:lang w:val="en-US"/>
        </w:rPr>
        <w:t>, 302 U.S. 319, 327</w:t>
      </w:r>
      <w:r>
        <w:rPr>
          <w:lang w:val="en-US"/>
        </w:rPr>
        <w:t xml:space="preserve">; </w:t>
      </w:r>
      <w:r w:rsidRPr="00B35CD0">
        <w:rPr>
          <w:i/>
          <w:lang w:val="en-US"/>
        </w:rPr>
        <w:t>Bute v. Illinois</w:t>
      </w:r>
      <w:r w:rsidRPr="00CD5D45">
        <w:rPr>
          <w:lang w:val="en-US"/>
        </w:rPr>
        <w:t>, 333 U.S. 640, 660</w:t>
      </w:r>
      <w:r w:rsidRPr="006E67FE">
        <w:rPr>
          <w:lang w:val="en-US"/>
        </w:rPr>
        <w:t xml:space="preserve"> = 68 S. Ct. </w:t>
      </w:r>
      <w:r w:rsidRPr="00CD5D45">
        <w:rPr>
          <w:lang w:val="en-US"/>
        </w:rPr>
        <w:t>763, 773</w:t>
      </w:r>
      <w:r w:rsidRPr="006E67FE">
        <w:rPr>
          <w:lang w:val="en-US"/>
        </w:rPr>
        <w:t xml:space="preserve"> = 92 L. Ed. </w:t>
      </w:r>
      <w:r w:rsidRPr="00CD5D45">
        <w:rPr>
          <w:lang w:val="en-US"/>
        </w:rPr>
        <w:t>986, 997</w:t>
      </w:r>
      <w:r w:rsidRPr="006E67FE">
        <w:rPr>
          <w:lang w:val="en-US"/>
        </w:rPr>
        <w:t xml:space="preserve"> = 1948 U.S. LEXIS </w:t>
      </w:r>
      <w:r w:rsidRPr="00CD5D45">
        <w:rPr>
          <w:lang w:val="en-US"/>
        </w:rPr>
        <w:t>2290, 33 (1948)</w:t>
      </w:r>
      <w:r>
        <w:rPr>
          <w:lang w:val="en-US"/>
        </w:rPr>
        <w:t>.</w:t>
      </w:r>
    </w:p>
  </w:footnote>
  <w:footnote w:id="2201">
    <w:p w14:paraId="079D6423" w14:textId="77777777" w:rsidR="00074551" w:rsidRPr="007B485E" w:rsidRDefault="00074551" w:rsidP="00074551">
      <w:pPr>
        <w:pStyle w:val="Funotentext"/>
        <w:rPr>
          <w:lang w:val="en-US"/>
        </w:rPr>
      </w:pPr>
      <w:r>
        <w:rPr>
          <w:rStyle w:val="Funotenzeichen"/>
          <w:rFonts w:eastAsiaTheme="majorEastAsia"/>
        </w:rPr>
        <w:footnoteRef/>
      </w:r>
      <w:r w:rsidRPr="007B485E">
        <w:rPr>
          <w:lang w:val="en-US"/>
        </w:rPr>
        <w:t xml:space="preserve"> </w:t>
      </w:r>
      <w:r w:rsidRPr="00B35CD0">
        <w:rPr>
          <w:i/>
          <w:lang w:val="en-US"/>
        </w:rPr>
        <w:t>Bute v. Illinois</w:t>
      </w:r>
      <w:r w:rsidRPr="007B485E">
        <w:rPr>
          <w:lang w:val="en-US"/>
        </w:rPr>
        <w:t>, 333 U.S. 640</w:t>
      </w:r>
      <w:r w:rsidRPr="006E67FE">
        <w:rPr>
          <w:lang w:val="en-US"/>
        </w:rPr>
        <w:t xml:space="preserve"> = 68 S. Ct. </w:t>
      </w:r>
      <w:r w:rsidRPr="007B485E">
        <w:rPr>
          <w:lang w:val="en-US"/>
        </w:rPr>
        <w:t>763</w:t>
      </w:r>
      <w:r w:rsidRPr="006E67FE">
        <w:rPr>
          <w:lang w:val="en-US"/>
        </w:rPr>
        <w:t xml:space="preserve"> = 92 L. Ed. </w:t>
      </w:r>
      <w:r w:rsidRPr="007B485E">
        <w:rPr>
          <w:lang w:val="en-US"/>
        </w:rPr>
        <w:t>986</w:t>
      </w:r>
      <w:r w:rsidRPr="006E67FE">
        <w:rPr>
          <w:lang w:val="en-US"/>
        </w:rPr>
        <w:t xml:space="preserve"> = 1948 U.S. LEXIS </w:t>
      </w:r>
      <w:r w:rsidRPr="007B485E">
        <w:rPr>
          <w:lang w:val="en-US"/>
        </w:rPr>
        <w:t>2290 (1948)</w:t>
      </w:r>
      <w:r>
        <w:rPr>
          <w:lang w:val="en-US"/>
        </w:rPr>
        <w:t>.</w:t>
      </w:r>
    </w:p>
  </w:footnote>
  <w:footnote w:id="2202">
    <w:p w14:paraId="3C173F5F" w14:textId="77777777" w:rsidR="00074551" w:rsidRPr="00223BCB" w:rsidRDefault="00074551" w:rsidP="00074551">
      <w:pPr>
        <w:pStyle w:val="Funotentext"/>
        <w:rPr>
          <w:lang w:val="en-US"/>
        </w:rPr>
      </w:pPr>
      <w:r>
        <w:rPr>
          <w:rStyle w:val="Funotenzeichen"/>
          <w:rFonts w:eastAsiaTheme="majorEastAsia"/>
        </w:rPr>
        <w:footnoteRef/>
      </w:r>
      <w:r w:rsidRPr="00223BCB">
        <w:rPr>
          <w:lang w:val="en-US"/>
        </w:rPr>
        <w:t xml:space="preserve"> </w:t>
      </w:r>
      <w:r w:rsidRPr="00B45592">
        <w:rPr>
          <w:i/>
          <w:lang w:val="en-US"/>
        </w:rPr>
        <w:t>May v. Anderson</w:t>
      </w:r>
      <w:r w:rsidRPr="00223BCB">
        <w:rPr>
          <w:lang w:val="en-US"/>
        </w:rPr>
        <w:t>, 345 U.S. 528, 533 (1953)</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23BCB">
        <w:rPr>
          <w:lang w:val="en-US"/>
        </w:rPr>
        <w:t>, 452 U.S. 18, 38</w:t>
      </w:r>
      <w:r>
        <w:rPr>
          <w:lang w:val="en-US"/>
        </w:rPr>
        <w:t xml:space="preserve"> = 101 S. Ct. </w:t>
      </w:r>
      <w:r w:rsidRPr="00223BCB">
        <w:rPr>
          <w:lang w:val="en-US"/>
        </w:rPr>
        <w:t>2153, 2165</w:t>
      </w:r>
      <w:r>
        <w:rPr>
          <w:lang w:val="en-US"/>
        </w:rPr>
        <w:t xml:space="preserve"> = 68 L. Ed</w:t>
      </w:r>
      <w:r w:rsidRPr="00223BCB">
        <w:rPr>
          <w:lang w:val="en-US"/>
        </w:rPr>
        <w:t>. 2d 640, 657</w:t>
      </w:r>
      <w:r>
        <w:rPr>
          <w:lang w:val="en-US"/>
        </w:rPr>
        <w:t xml:space="preserve"> = 1981 U.S. LEXIS </w:t>
      </w:r>
      <w:r w:rsidRPr="00223BCB">
        <w:rPr>
          <w:lang w:val="en-US"/>
        </w:rPr>
        <w:t>107, 38</w:t>
      </w:r>
      <w:r>
        <w:rPr>
          <w:lang w:val="en-US"/>
        </w:rPr>
        <w:t xml:space="preserve"> = 49 U.S.L.W. </w:t>
      </w:r>
      <w:r w:rsidRPr="00223BCB">
        <w:rPr>
          <w:lang w:val="en-US"/>
        </w:rPr>
        <w:t>4586 (1981)</w:t>
      </w:r>
      <w:r>
        <w:rPr>
          <w:lang w:val="en-US"/>
        </w:rPr>
        <w:t>.</w:t>
      </w:r>
    </w:p>
  </w:footnote>
  <w:footnote w:id="2203">
    <w:p w14:paraId="62E7033D" w14:textId="77777777" w:rsidR="00074551" w:rsidRPr="00096FDB" w:rsidRDefault="00074551" w:rsidP="00074551">
      <w:pPr>
        <w:pStyle w:val="Funotentext"/>
        <w:rPr>
          <w:lang w:val="en-US"/>
        </w:rPr>
      </w:pPr>
      <w:r>
        <w:rPr>
          <w:rStyle w:val="Funotenzeichen"/>
          <w:rFonts w:eastAsiaTheme="majorEastAsia"/>
        </w:rPr>
        <w:footnoteRef/>
      </w:r>
      <w:r w:rsidRPr="00096FDB">
        <w:rPr>
          <w:lang w:val="en-US"/>
        </w:rPr>
        <w:t xml:space="preserve"> </w:t>
      </w:r>
      <w:r w:rsidRPr="00B45592">
        <w:rPr>
          <w:i/>
          <w:lang w:val="en-US"/>
        </w:rPr>
        <w:t>Stanley v. Illinois</w:t>
      </w:r>
      <w:r w:rsidRPr="00096FDB">
        <w:rPr>
          <w:lang w:val="en-US"/>
        </w:rPr>
        <w:t>, 405 U.S. 645, 651 (1972)</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096FDB">
        <w:rPr>
          <w:lang w:val="en-US"/>
        </w:rPr>
        <w:t>, 452 U.S. 18, 38</w:t>
      </w:r>
      <w:r>
        <w:rPr>
          <w:lang w:val="en-US"/>
        </w:rPr>
        <w:t xml:space="preserve"> = 101 S. Ct. </w:t>
      </w:r>
      <w:r w:rsidRPr="00096FDB">
        <w:rPr>
          <w:lang w:val="en-US"/>
        </w:rPr>
        <w:t>2153, 2165</w:t>
      </w:r>
      <w:r>
        <w:rPr>
          <w:lang w:val="en-US"/>
        </w:rPr>
        <w:t xml:space="preserve"> = 68 L. Ed</w:t>
      </w:r>
      <w:r w:rsidRPr="00096FDB">
        <w:rPr>
          <w:lang w:val="en-US"/>
        </w:rPr>
        <w:t>. 2d 640, 656</w:t>
      </w:r>
      <w:r>
        <w:rPr>
          <w:lang w:val="en-US"/>
        </w:rPr>
        <w:t xml:space="preserve"> = 1981 U.S. LEXIS </w:t>
      </w:r>
      <w:r w:rsidRPr="00096FDB">
        <w:rPr>
          <w:lang w:val="en-US"/>
        </w:rPr>
        <w:t>107, 37</w:t>
      </w:r>
      <w:r>
        <w:rPr>
          <w:lang w:val="en-US"/>
        </w:rPr>
        <w:t xml:space="preserve"> = 49 U.S.L.W. </w:t>
      </w:r>
      <w:r w:rsidRPr="00096FDB">
        <w:rPr>
          <w:lang w:val="en-US"/>
        </w:rPr>
        <w:t>4586 (1981)</w:t>
      </w:r>
      <w:r>
        <w:rPr>
          <w:lang w:val="en-US"/>
        </w:rPr>
        <w:t>.</w:t>
      </w:r>
    </w:p>
  </w:footnote>
  <w:footnote w:id="2204">
    <w:p w14:paraId="5374324C" w14:textId="77777777" w:rsidR="00074551" w:rsidRPr="00223BCB" w:rsidRDefault="00074551" w:rsidP="00074551">
      <w:pPr>
        <w:pStyle w:val="Funotentext"/>
        <w:rPr>
          <w:lang w:val="en-US"/>
        </w:rPr>
      </w:pPr>
      <w:r>
        <w:rPr>
          <w:rStyle w:val="Funotenzeichen"/>
          <w:rFonts w:eastAsiaTheme="majorEastAsia"/>
        </w:rPr>
        <w:footnoteRef/>
      </w:r>
      <w:r w:rsidRPr="00223BCB">
        <w:rPr>
          <w:lang w:val="en-US"/>
        </w:rPr>
        <w:t xml:space="preserve"> </w:t>
      </w:r>
      <w:r w:rsidRPr="00B45592">
        <w:rPr>
          <w:i/>
          <w:lang w:val="en-US"/>
        </w:rPr>
        <w:t>May v. Anderson</w:t>
      </w:r>
      <w:r w:rsidRPr="00223BCB">
        <w:rPr>
          <w:lang w:val="en-US"/>
        </w:rPr>
        <w:t>, 345 U.S. 528, 533 (1953)</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23BCB">
        <w:rPr>
          <w:lang w:val="en-US"/>
        </w:rPr>
        <w:t>, 452 U.S. 18, 38</w:t>
      </w:r>
      <w:r>
        <w:rPr>
          <w:lang w:val="en-US"/>
        </w:rPr>
        <w:t xml:space="preserve"> = 101 S. Ct. </w:t>
      </w:r>
      <w:r w:rsidRPr="00223BCB">
        <w:rPr>
          <w:lang w:val="en-US"/>
        </w:rPr>
        <w:t>2153, 2165</w:t>
      </w:r>
      <w:r>
        <w:rPr>
          <w:lang w:val="en-US"/>
        </w:rPr>
        <w:t xml:space="preserve"> = 68 L. Ed</w:t>
      </w:r>
      <w:r w:rsidRPr="00223BCB">
        <w:rPr>
          <w:lang w:val="en-US"/>
        </w:rPr>
        <w:t>. 2d 640, 657</w:t>
      </w:r>
      <w:r>
        <w:rPr>
          <w:lang w:val="en-US"/>
        </w:rPr>
        <w:t xml:space="preserve"> = 1981 U.S. LEXIS </w:t>
      </w:r>
      <w:r w:rsidRPr="00223BCB">
        <w:rPr>
          <w:lang w:val="en-US"/>
        </w:rPr>
        <w:t>107, 38</w:t>
      </w:r>
      <w:r>
        <w:rPr>
          <w:lang w:val="en-US"/>
        </w:rPr>
        <w:t xml:space="preserve"> = 49 U.S.L.W. </w:t>
      </w:r>
      <w:r w:rsidRPr="00223BCB">
        <w:rPr>
          <w:lang w:val="en-US"/>
        </w:rPr>
        <w:t>4586 (1981)</w:t>
      </w:r>
      <w:r>
        <w:rPr>
          <w:lang w:val="en-US"/>
        </w:rPr>
        <w:t>.</w:t>
      </w:r>
    </w:p>
  </w:footnote>
  <w:footnote w:id="2205">
    <w:p w14:paraId="2BBA601B" w14:textId="77777777" w:rsidR="00074551" w:rsidRPr="00213ABD" w:rsidRDefault="00074551" w:rsidP="00074551">
      <w:pPr>
        <w:pStyle w:val="Funotentext"/>
        <w:rPr>
          <w:lang w:val="en-US"/>
        </w:rPr>
      </w:pPr>
      <w:r>
        <w:rPr>
          <w:rStyle w:val="Funotenzeichen"/>
          <w:rFonts w:eastAsiaTheme="majorEastAsia"/>
        </w:rPr>
        <w:footnoteRef/>
      </w:r>
      <w:r w:rsidRPr="00213ABD">
        <w:rPr>
          <w:lang w:val="en-US"/>
        </w:rPr>
        <w:t xml:space="preserve"> </w:t>
      </w:r>
      <w:r w:rsidRPr="009E57E1">
        <w:rPr>
          <w:i/>
          <w:lang w:val="en-US"/>
        </w:rPr>
        <w:t>Meyer v. Nebraska</w:t>
      </w:r>
      <w:r w:rsidRPr="00213ABD">
        <w:rPr>
          <w:lang w:val="en-US"/>
        </w:rPr>
        <w:t>, 262 U.S. 390, 399 (1923)</w:t>
      </w:r>
      <w:r>
        <w:rPr>
          <w:lang w:val="en-US"/>
        </w:rPr>
        <w:t xml:space="preserve">; </w:t>
      </w:r>
      <w:r w:rsidRPr="00B45592">
        <w:rPr>
          <w:i/>
          <w:lang w:val="en-US"/>
        </w:rPr>
        <w:t xml:space="preserve">Lassiter v. </w:t>
      </w:r>
      <w:proofErr w:type="spellStart"/>
      <w:r w:rsidRPr="00B45592">
        <w:rPr>
          <w:i/>
          <w:lang w:val="en-US"/>
        </w:rPr>
        <w:t>Dep’t</w:t>
      </w:r>
      <w:proofErr w:type="spellEnd"/>
      <w:r w:rsidRPr="00B45592">
        <w:rPr>
          <w:i/>
          <w:lang w:val="en-US"/>
        </w:rPr>
        <w:t xml:space="preserve"> of Social Services</w:t>
      </w:r>
      <w:r w:rsidRPr="00213ABD">
        <w:rPr>
          <w:lang w:val="en-US"/>
        </w:rPr>
        <w:t>, 452 U.S. 18, 38</w:t>
      </w:r>
      <w:r>
        <w:rPr>
          <w:lang w:val="en-US"/>
        </w:rPr>
        <w:t xml:space="preserve"> = 101 S. Ct. </w:t>
      </w:r>
      <w:r w:rsidRPr="00213ABD">
        <w:rPr>
          <w:lang w:val="en-US"/>
        </w:rPr>
        <w:t>2153, 2165</w:t>
      </w:r>
      <w:r>
        <w:rPr>
          <w:lang w:val="en-US"/>
        </w:rPr>
        <w:t xml:space="preserve"> = 68 L. Ed</w:t>
      </w:r>
      <w:r w:rsidRPr="00213ABD">
        <w:rPr>
          <w:lang w:val="en-US"/>
        </w:rPr>
        <w:t>. 2d 640, 657</w:t>
      </w:r>
      <w:r>
        <w:rPr>
          <w:lang w:val="en-US"/>
        </w:rPr>
        <w:t xml:space="preserve"> = 1981 U.S. LEXIS </w:t>
      </w:r>
      <w:r w:rsidRPr="00213ABD">
        <w:rPr>
          <w:lang w:val="en-US"/>
        </w:rPr>
        <w:t>107, 38</w:t>
      </w:r>
      <w:r>
        <w:rPr>
          <w:lang w:val="en-US"/>
        </w:rPr>
        <w:t xml:space="preserve"> = 49 U.S.L.W. </w:t>
      </w:r>
      <w:r w:rsidRPr="00213ABD">
        <w:rPr>
          <w:lang w:val="en-US"/>
        </w:rPr>
        <w:t>4586 (1981)</w:t>
      </w:r>
      <w:r>
        <w:rPr>
          <w:lang w:val="en-US"/>
        </w:rPr>
        <w:t>.</w:t>
      </w:r>
    </w:p>
  </w:footnote>
  <w:footnote w:id="2206">
    <w:p w14:paraId="2805C520" w14:textId="77777777" w:rsidR="00074551" w:rsidRPr="009A53D0" w:rsidRDefault="00074551" w:rsidP="00074551">
      <w:pPr>
        <w:pStyle w:val="Funotentext"/>
        <w:rPr>
          <w:lang w:val="en-US"/>
        </w:rPr>
      </w:pPr>
      <w:r>
        <w:rPr>
          <w:rStyle w:val="Funotenzeichen"/>
        </w:rPr>
        <w:footnoteRef/>
      </w:r>
      <w:r w:rsidRPr="009A53D0">
        <w:rPr>
          <w:lang w:val="en-US"/>
        </w:rPr>
        <w:t xml:space="preserve"> Conn. Gen. Stat. Rev., 1958, </w:t>
      </w:r>
      <w:r>
        <w:rPr>
          <w:lang w:val="en-US"/>
        </w:rPr>
        <w:t>§ </w:t>
      </w:r>
      <w:r w:rsidRPr="009A53D0">
        <w:rPr>
          <w:lang w:val="en-US"/>
        </w:rPr>
        <w:t xml:space="preserve">53-32: „Use of drugs or instruments to prevent conception. Any person who uses any drug, medicinal article or instrument for the purpose of preventing conception shall be fined not less than fifty dollars or imprisoned not less than sixty days nor more than one year or be both fined and imprisoned. There are no substantive provisions dealing with the sale or distribution of such devices, nor with the giving of information concerning their use. These activities are deemed to be involved in law solely because of the general criminal accessory enactment of </w:t>
      </w:r>
      <w:proofErr w:type="gramStart"/>
      <w:r w:rsidRPr="009A53D0">
        <w:rPr>
          <w:lang w:val="en-US"/>
        </w:rPr>
        <w:t>Connecticut.</w:t>
      </w:r>
      <w:r>
        <w:rPr>
          <w:lang w:val="en-US"/>
        </w:rPr>
        <w:t>“</w:t>
      </w:r>
      <w:proofErr w:type="gramEnd"/>
      <w:r>
        <w:rPr>
          <w:lang w:val="en-US"/>
        </w:rPr>
        <w:t xml:space="preserve">; </w:t>
      </w:r>
      <w:r w:rsidRPr="009A53D0">
        <w:rPr>
          <w:lang w:val="en-US"/>
        </w:rPr>
        <w:t xml:space="preserve">Conn. Gen. Stat. Rev., 1958, </w:t>
      </w:r>
      <w:r>
        <w:rPr>
          <w:lang w:val="en-US"/>
        </w:rPr>
        <w:t>§ </w:t>
      </w:r>
      <w:r w:rsidRPr="009A53D0">
        <w:rPr>
          <w:lang w:val="en-US"/>
        </w:rPr>
        <w:t xml:space="preserve">54-196: „Accessories. Any person who assists, abets, counsels, causes, hires or commands another to commit any offense may be prosecuted and punished as if he were the principal </w:t>
      </w:r>
      <w:proofErr w:type="gramStart"/>
      <w:r w:rsidRPr="009A53D0">
        <w:rPr>
          <w:lang w:val="en-US"/>
        </w:rPr>
        <w:t>offender.“</w:t>
      </w:r>
      <w:proofErr w:type="gramEnd"/>
      <w:r w:rsidRPr="009A53D0">
        <w:rPr>
          <w:lang w:val="en-US"/>
        </w:rPr>
        <w:t xml:space="preserve">, </w:t>
      </w:r>
      <w:r>
        <w:rPr>
          <w:i/>
          <w:lang w:val="en-US"/>
        </w:rPr>
        <w:t>Poe v. Ullman</w:t>
      </w:r>
      <w:r w:rsidRPr="009A53D0">
        <w:rPr>
          <w:lang w:val="en-US"/>
        </w:rPr>
        <w:t>, 367 U.S. 497, 499</w:t>
      </w:r>
      <w:r w:rsidRPr="006E67FE">
        <w:rPr>
          <w:lang w:val="en-US"/>
        </w:rPr>
        <w:t xml:space="preserve"> = 81 S. Ct. </w:t>
      </w:r>
      <w:r w:rsidRPr="009A53D0">
        <w:rPr>
          <w:lang w:val="en-US"/>
        </w:rPr>
        <w:t>1752, 1753</w:t>
      </w:r>
      <w:r>
        <w:rPr>
          <w:lang w:val="en-US"/>
        </w:rPr>
        <w:t xml:space="preserve"> = 6 L. Ed. </w:t>
      </w:r>
      <w:r w:rsidRPr="009A53D0">
        <w:rPr>
          <w:lang w:val="en-US"/>
        </w:rPr>
        <w:t>2d 989, 993</w:t>
      </w:r>
      <w:r w:rsidRPr="006E67FE">
        <w:rPr>
          <w:lang w:val="en-US"/>
        </w:rPr>
        <w:t xml:space="preserve"> = 1961 U.S. LEXIS </w:t>
      </w:r>
      <w:r w:rsidRPr="009A53D0">
        <w:rPr>
          <w:lang w:val="en-US"/>
        </w:rPr>
        <w:t>1953, 5 (1961)</w:t>
      </w:r>
      <w:r>
        <w:rPr>
          <w:lang w:val="en-US"/>
        </w:rPr>
        <w:t>.</w:t>
      </w:r>
    </w:p>
  </w:footnote>
  <w:footnote w:id="2207">
    <w:p w14:paraId="006823E3" w14:textId="77777777" w:rsidR="00074551" w:rsidRPr="00C92DFF" w:rsidRDefault="00074551" w:rsidP="00074551">
      <w:pPr>
        <w:pStyle w:val="Funotentext"/>
        <w:rPr>
          <w:lang w:val="en-US"/>
        </w:rPr>
      </w:pPr>
      <w:r>
        <w:rPr>
          <w:rStyle w:val="Funotenzeichen"/>
          <w:rFonts w:eastAsiaTheme="majorEastAsia"/>
        </w:rPr>
        <w:footnoteRef/>
      </w:r>
      <w:r w:rsidRPr="00C92DFF">
        <w:rPr>
          <w:lang w:val="en-US"/>
        </w:rPr>
        <w:t xml:space="preserve"> </w:t>
      </w:r>
      <w:r>
        <w:rPr>
          <w:i/>
          <w:lang w:val="en-US"/>
        </w:rPr>
        <w:t>Poe v. Ullman</w:t>
      </w:r>
      <w:r w:rsidRPr="00C92DFF">
        <w:rPr>
          <w:lang w:val="en-US"/>
        </w:rPr>
        <w:t>, 367 U.S. 497, 548</w:t>
      </w:r>
      <w:r w:rsidRPr="006E67FE">
        <w:rPr>
          <w:lang w:val="en-US"/>
        </w:rPr>
        <w:t xml:space="preserve"> = 81 S. Ct. </w:t>
      </w:r>
      <w:r w:rsidRPr="00C92DFF">
        <w:rPr>
          <w:lang w:val="en-US"/>
        </w:rPr>
        <w:t>1752, 1779</w:t>
      </w:r>
      <w:r>
        <w:rPr>
          <w:lang w:val="en-US"/>
        </w:rPr>
        <w:t>–</w:t>
      </w:r>
      <w:r w:rsidRPr="00C92DFF">
        <w:rPr>
          <w:lang w:val="en-US"/>
        </w:rPr>
        <w:t>1780</w:t>
      </w:r>
      <w:r>
        <w:rPr>
          <w:lang w:val="en-US"/>
        </w:rPr>
        <w:t xml:space="preserve"> = 6 L. Ed. </w:t>
      </w:r>
      <w:r w:rsidRPr="00C92DFF">
        <w:rPr>
          <w:lang w:val="en-US"/>
        </w:rPr>
        <w:t>2d 989, 1022</w:t>
      </w:r>
      <w:r w:rsidRPr="006E67FE">
        <w:rPr>
          <w:lang w:val="en-US"/>
        </w:rPr>
        <w:t xml:space="preserve"> = 1961 U.S. LEXIS </w:t>
      </w:r>
      <w:r w:rsidRPr="00C92DFF">
        <w:rPr>
          <w:lang w:val="en-US"/>
        </w:rPr>
        <w:t>1953, 86 (1961).</w:t>
      </w:r>
    </w:p>
  </w:footnote>
  <w:footnote w:id="2208">
    <w:p w14:paraId="363564FA" w14:textId="77777777" w:rsidR="00074551" w:rsidRPr="00AD792C" w:rsidRDefault="00074551" w:rsidP="00074551">
      <w:pPr>
        <w:pStyle w:val="Funotentext"/>
        <w:ind w:left="227" w:hanging="227"/>
        <w:rPr>
          <w:lang w:val="en-US"/>
        </w:rPr>
      </w:pPr>
      <w:r>
        <w:rPr>
          <w:rStyle w:val="Funotenzeichen"/>
          <w:rFonts w:eastAsiaTheme="majorEastAsia"/>
        </w:rPr>
        <w:footnoteRef/>
      </w:r>
      <w:r w:rsidRPr="00AD792C">
        <w:rPr>
          <w:lang w:val="en-US"/>
        </w:rPr>
        <w:t xml:space="preserve"> </w:t>
      </w:r>
      <w:r w:rsidRPr="00B45592">
        <w:rPr>
          <w:i/>
          <w:lang w:val="en-US"/>
        </w:rPr>
        <w:t>Wolf v. Colorado</w:t>
      </w:r>
      <w:r w:rsidRPr="00AD792C">
        <w:rPr>
          <w:lang w:val="en-US"/>
        </w:rPr>
        <w:t>, 338 U.S. 25;</w:t>
      </w:r>
      <w:r>
        <w:rPr>
          <w:lang w:val="en-US"/>
        </w:rPr>
        <w:t xml:space="preserve"> </w:t>
      </w:r>
      <w:r w:rsidRPr="00AB01D2">
        <w:rPr>
          <w:i/>
          <w:lang w:val="en-US"/>
        </w:rPr>
        <w:t>Mapp v. Ohio</w:t>
      </w:r>
      <w:r w:rsidRPr="00AD792C">
        <w:rPr>
          <w:lang w:val="en-US"/>
        </w:rPr>
        <w:t xml:space="preserve">, </w:t>
      </w:r>
      <w:r w:rsidRPr="00B45592">
        <w:rPr>
          <w:lang w:val="en-IE"/>
        </w:rPr>
        <w:t>367 U.S. 643</w:t>
      </w:r>
      <w:r>
        <w:rPr>
          <w:lang w:val="en-US"/>
        </w:rPr>
        <w:t xml:space="preserve">; </w:t>
      </w:r>
      <w:r>
        <w:rPr>
          <w:i/>
          <w:lang w:val="en-US"/>
        </w:rPr>
        <w:t>Poe v. Ullman</w:t>
      </w:r>
      <w:r w:rsidRPr="00AD792C">
        <w:rPr>
          <w:lang w:val="en-US"/>
        </w:rPr>
        <w:t>, 367 U.S. 497, 549</w:t>
      </w:r>
      <w:r w:rsidRPr="006E67FE">
        <w:rPr>
          <w:lang w:val="en-US"/>
        </w:rPr>
        <w:t xml:space="preserve"> = 81 S. Ct. </w:t>
      </w:r>
      <w:r w:rsidRPr="00AD792C">
        <w:rPr>
          <w:lang w:val="en-US"/>
        </w:rPr>
        <w:t>1752, 1780</w:t>
      </w:r>
      <w:r>
        <w:rPr>
          <w:lang w:val="en-US"/>
        </w:rPr>
        <w:t xml:space="preserve"> = 6 L. Ed. </w:t>
      </w:r>
      <w:r w:rsidRPr="00AD792C">
        <w:rPr>
          <w:lang w:val="en-US"/>
        </w:rPr>
        <w:t>2d 989, 1023</w:t>
      </w:r>
      <w:r w:rsidRPr="006E67FE">
        <w:rPr>
          <w:lang w:val="en-US"/>
        </w:rPr>
        <w:t xml:space="preserve"> = 1961 U.S. LEXIS </w:t>
      </w:r>
      <w:r w:rsidRPr="00AD792C">
        <w:rPr>
          <w:lang w:val="en-US"/>
        </w:rPr>
        <w:t>1953, 88 (1961)</w:t>
      </w:r>
      <w:r>
        <w:rPr>
          <w:lang w:val="en-US"/>
        </w:rPr>
        <w:t>.</w:t>
      </w:r>
    </w:p>
  </w:footnote>
  <w:footnote w:id="2209">
    <w:p w14:paraId="396F966D" w14:textId="77777777" w:rsidR="00074551" w:rsidRPr="00BA52FA" w:rsidRDefault="00074551" w:rsidP="00074551">
      <w:pPr>
        <w:pStyle w:val="Funotentext"/>
        <w:ind w:left="227" w:hanging="227"/>
        <w:rPr>
          <w:lang w:val="en-US"/>
        </w:rPr>
      </w:pPr>
      <w:r>
        <w:rPr>
          <w:rStyle w:val="Funotenzeichen"/>
          <w:rFonts w:eastAsiaTheme="majorEastAsia"/>
        </w:rPr>
        <w:footnoteRef/>
      </w:r>
      <w:r w:rsidRPr="00BA52FA">
        <w:rPr>
          <w:lang w:val="en-US"/>
        </w:rPr>
        <w:t xml:space="preserve"> </w:t>
      </w:r>
      <w:r>
        <w:rPr>
          <w:i/>
          <w:lang w:val="en-US"/>
        </w:rPr>
        <w:t>Poe v. Ullman</w:t>
      </w:r>
      <w:r w:rsidRPr="00BA52FA">
        <w:rPr>
          <w:lang w:val="en-US"/>
        </w:rPr>
        <w:t>, 367 U.S. 497, 549</w:t>
      </w:r>
      <w:r w:rsidRPr="006E67FE">
        <w:rPr>
          <w:lang w:val="en-US"/>
        </w:rPr>
        <w:t xml:space="preserve"> = 81 S. Ct. </w:t>
      </w:r>
      <w:r w:rsidRPr="00BA52FA">
        <w:rPr>
          <w:lang w:val="en-US"/>
        </w:rPr>
        <w:t>1752, 1780</w:t>
      </w:r>
      <w:r>
        <w:rPr>
          <w:lang w:val="en-US"/>
        </w:rPr>
        <w:t xml:space="preserve"> = 6 L. Ed. </w:t>
      </w:r>
      <w:r w:rsidRPr="00BA52FA">
        <w:rPr>
          <w:lang w:val="en-US"/>
        </w:rPr>
        <w:t>2d 989, 1023</w:t>
      </w:r>
      <w:r w:rsidRPr="006E67FE">
        <w:rPr>
          <w:lang w:val="en-US"/>
        </w:rPr>
        <w:t xml:space="preserve"> = 1961 U.S. LEXIS </w:t>
      </w:r>
      <w:r w:rsidRPr="00BA52FA">
        <w:rPr>
          <w:lang w:val="en-US"/>
        </w:rPr>
        <w:t>1953, 88 (1961)</w:t>
      </w:r>
      <w:r>
        <w:rPr>
          <w:lang w:val="en-US"/>
        </w:rPr>
        <w:t>.</w:t>
      </w:r>
    </w:p>
  </w:footnote>
  <w:footnote w:id="2210">
    <w:p w14:paraId="08EAA007" w14:textId="77777777" w:rsidR="00074551" w:rsidRPr="00BC4059" w:rsidRDefault="00074551" w:rsidP="00074551">
      <w:pPr>
        <w:pStyle w:val="Funotentext"/>
        <w:rPr>
          <w:lang w:val="en-US"/>
        </w:rPr>
      </w:pPr>
      <w:r>
        <w:rPr>
          <w:rStyle w:val="Funotenzeichen"/>
          <w:rFonts w:eastAsiaTheme="majorEastAsia"/>
        </w:rPr>
        <w:footnoteRef/>
      </w:r>
      <w:r w:rsidRPr="00BC4059">
        <w:rPr>
          <w:lang w:val="en-US"/>
        </w:rPr>
        <w:t xml:space="preserve"> </w:t>
      </w:r>
      <w:r w:rsidRPr="00850971">
        <w:rPr>
          <w:i/>
          <w:lang w:val="en-IE"/>
        </w:rPr>
        <w:t>Poe v. Ullman</w:t>
      </w:r>
      <w:r w:rsidRPr="00850971">
        <w:rPr>
          <w:lang w:val="en-IE"/>
        </w:rPr>
        <w:t>, 367 U.S. 497, 549</w:t>
      </w:r>
      <w:r>
        <w:rPr>
          <w:lang w:val="en-IE"/>
        </w:rPr>
        <w:t xml:space="preserve"> =</w:t>
      </w:r>
      <w:r w:rsidRPr="00850971">
        <w:rPr>
          <w:lang w:val="en-IE"/>
        </w:rPr>
        <w:t xml:space="preserve"> 81 S. Ct. 1752, 1780</w:t>
      </w:r>
      <w:r>
        <w:rPr>
          <w:lang w:val="en-IE"/>
        </w:rPr>
        <w:t xml:space="preserve"> =</w:t>
      </w:r>
      <w:r w:rsidRPr="00850971">
        <w:rPr>
          <w:lang w:val="en-IE"/>
        </w:rPr>
        <w:t xml:space="preserve"> 6 L. Ed. 2d 989, 1023</w:t>
      </w:r>
      <w:r>
        <w:rPr>
          <w:lang w:val="en-IE"/>
        </w:rPr>
        <w:t xml:space="preserve"> =</w:t>
      </w:r>
      <w:r w:rsidRPr="00850971">
        <w:rPr>
          <w:lang w:val="en-IE"/>
        </w:rPr>
        <w:t xml:space="preserve"> 1961 U.S. LEXIS 1953, 88 (1961)</w:t>
      </w:r>
      <w:r>
        <w:rPr>
          <w:lang w:val="en-IE"/>
        </w:rPr>
        <w:t>.</w:t>
      </w:r>
    </w:p>
  </w:footnote>
  <w:footnote w:id="2211">
    <w:p w14:paraId="2C09EA83" w14:textId="77777777" w:rsidR="00074551" w:rsidRPr="00BC4059" w:rsidRDefault="00074551" w:rsidP="00074551">
      <w:pPr>
        <w:pStyle w:val="Funotentext"/>
        <w:rPr>
          <w:lang w:val="en-US"/>
        </w:rPr>
      </w:pPr>
      <w:r>
        <w:rPr>
          <w:rStyle w:val="Funotenzeichen"/>
          <w:rFonts w:eastAsiaTheme="majorEastAsia"/>
        </w:rPr>
        <w:footnoteRef/>
      </w:r>
      <w:r w:rsidRPr="00BC4059">
        <w:rPr>
          <w:lang w:val="en-US"/>
        </w:rPr>
        <w:t xml:space="preserve"> </w:t>
      </w:r>
      <w:r w:rsidRPr="00B45592">
        <w:rPr>
          <w:lang w:val="en-US"/>
        </w:rPr>
        <w:t>Dissens von Richter</w:t>
      </w:r>
      <w:r w:rsidRPr="00AB01D2">
        <w:rPr>
          <w:lang w:val="en-US"/>
        </w:rPr>
        <w:t xml:space="preserve"> </w:t>
      </w:r>
      <w:r w:rsidRPr="00D67593">
        <w:rPr>
          <w:i/>
          <w:lang w:val="en-US"/>
        </w:rPr>
        <w:t>Brandeis</w:t>
      </w:r>
      <w:r w:rsidRPr="00B45592">
        <w:rPr>
          <w:lang w:val="en-US"/>
        </w:rPr>
        <w:t xml:space="preserve"> </w:t>
      </w:r>
      <w:r w:rsidRPr="00AB01D2">
        <w:rPr>
          <w:lang w:val="en-US"/>
        </w:rPr>
        <w:t>in</w:t>
      </w:r>
      <w:r w:rsidRPr="00BC4059">
        <w:rPr>
          <w:lang w:val="en-US"/>
        </w:rPr>
        <w:t xml:space="preserve"> </w:t>
      </w:r>
      <w:r w:rsidRPr="009167A5">
        <w:rPr>
          <w:i/>
          <w:lang w:val="en-US"/>
        </w:rPr>
        <w:t>Olmstead v. United States</w:t>
      </w:r>
      <w:r w:rsidRPr="00BC4059">
        <w:rPr>
          <w:lang w:val="en-US"/>
        </w:rPr>
        <w:t>, 277 U.S. 438, 478</w:t>
      </w:r>
      <w:r>
        <w:rPr>
          <w:lang w:val="en-US"/>
        </w:rPr>
        <w:t xml:space="preserve">; </w:t>
      </w:r>
      <w:r>
        <w:rPr>
          <w:i/>
          <w:lang w:val="en-US"/>
        </w:rPr>
        <w:t>Poe v. Ullman</w:t>
      </w:r>
      <w:r w:rsidRPr="00BC4059">
        <w:rPr>
          <w:lang w:val="en-US"/>
        </w:rPr>
        <w:t>, 367 U.S. 497, 550</w:t>
      </w:r>
      <w:r w:rsidRPr="006E67FE">
        <w:rPr>
          <w:lang w:val="en-US"/>
        </w:rPr>
        <w:t xml:space="preserve"> = 81 S. Ct. </w:t>
      </w:r>
      <w:r w:rsidRPr="00BC4059">
        <w:rPr>
          <w:lang w:val="en-US"/>
        </w:rPr>
        <w:t>1752, 1780</w:t>
      </w:r>
      <w:r>
        <w:rPr>
          <w:lang w:val="en-US"/>
        </w:rPr>
        <w:t xml:space="preserve"> = 6 L. Ed. </w:t>
      </w:r>
      <w:r w:rsidRPr="00BC4059">
        <w:rPr>
          <w:lang w:val="en-US"/>
        </w:rPr>
        <w:t>2d 989, 1023</w:t>
      </w:r>
      <w:r w:rsidRPr="006E67FE">
        <w:rPr>
          <w:lang w:val="en-US"/>
        </w:rPr>
        <w:t xml:space="preserve"> = 1961 U.S. LEXIS </w:t>
      </w:r>
      <w:r w:rsidRPr="00BC4059">
        <w:rPr>
          <w:lang w:val="en-US"/>
        </w:rPr>
        <w:t>1953, 89 (1961)</w:t>
      </w:r>
      <w:r>
        <w:rPr>
          <w:lang w:val="en-US"/>
        </w:rPr>
        <w:t>.</w:t>
      </w:r>
    </w:p>
  </w:footnote>
  <w:footnote w:id="2212">
    <w:p w14:paraId="13765F63" w14:textId="77777777" w:rsidR="00074551" w:rsidRPr="00BC4059" w:rsidRDefault="00074551" w:rsidP="00074551">
      <w:pPr>
        <w:pStyle w:val="Funotentext"/>
        <w:rPr>
          <w:lang w:val="en-US"/>
        </w:rPr>
      </w:pPr>
      <w:r>
        <w:rPr>
          <w:rStyle w:val="Funotenzeichen"/>
          <w:rFonts w:eastAsiaTheme="majorEastAsia"/>
        </w:rPr>
        <w:footnoteRef/>
      </w:r>
      <w:r w:rsidRPr="00BC4059">
        <w:rPr>
          <w:lang w:val="en-US"/>
        </w:rPr>
        <w:t xml:space="preserve"> </w:t>
      </w:r>
      <w:r w:rsidRPr="00BC3B27">
        <w:rPr>
          <w:lang w:val="en-US"/>
        </w:rPr>
        <w:t xml:space="preserve">Dissens von Richter </w:t>
      </w:r>
      <w:r w:rsidRPr="00D67593">
        <w:rPr>
          <w:i/>
          <w:lang w:val="en-US"/>
        </w:rPr>
        <w:t>Brandeis</w:t>
      </w:r>
      <w:r w:rsidRPr="00BC3B27">
        <w:rPr>
          <w:lang w:val="en-US"/>
        </w:rPr>
        <w:t xml:space="preserve"> </w:t>
      </w:r>
      <w:r w:rsidRPr="00BC4059">
        <w:rPr>
          <w:lang w:val="en-US"/>
        </w:rPr>
        <w:t xml:space="preserve">in </w:t>
      </w:r>
      <w:r w:rsidRPr="009167A5">
        <w:rPr>
          <w:i/>
          <w:lang w:val="en-US"/>
        </w:rPr>
        <w:t>Olmstead v. United States</w:t>
      </w:r>
      <w:r w:rsidRPr="00BC4059">
        <w:rPr>
          <w:lang w:val="en-US"/>
        </w:rPr>
        <w:t>, 277 U.S. 438, 478</w:t>
      </w:r>
      <w:r>
        <w:rPr>
          <w:lang w:val="en-US"/>
        </w:rPr>
        <w:t xml:space="preserve">; </w:t>
      </w:r>
      <w:r>
        <w:rPr>
          <w:i/>
          <w:lang w:val="en-US"/>
        </w:rPr>
        <w:t>Poe v. Ullman</w:t>
      </w:r>
      <w:r w:rsidRPr="00BC4059">
        <w:rPr>
          <w:lang w:val="en-US"/>
        </w:rPr>
        <w:t>, 367 U.S. 497, 550</w:t>
      </w:r>
      <w:r w:rsidRPr="006E67FE">
        <w:rPr>
          <w:lang w:val="en-US"/>
        </w:rPr>
        <w:t xml:space="preserve"> = 81 S. Ct. </w:t>
      </w:r>
      <w:r w:rsidRPr="00BC4059">
        <w:rPr>
          <w:lang w:val="en-US"/>
        </w:rPr>
        <w:t>1752, 1780</w:t>
      </w:r>
      <w:r>
        <w:rPr>
          <w:lang w:val="en-US"/>
        </w:rPr>
        <w:t xml:space="preserve"> = 6 L. Ed. </w:t>
      </w:r>
      <w:r w:rsidRPr="00BC4059">
        <w:rPr>
          <w:lang w:val="en-US"/>
        </w:rPr>
        <w:t>2d 989, 1023</w:t>
      </w:r>
      <w:r w:rsidRPr="006E67FE">
        <w:rPr>
          <w:lang w:val="en-US"/>
        </w:rPr>
        <w:t xml:space="preserve"> = 1961 U.S. LEXIS </w:t>
      </w:r>
      <w:r w:rsidRPr="00BC4059">
        <w:rPr>
          <w:lang w:val="en-US"/>
        </w:rPr>
        <w:t>1953, 89 (1961)</w:t>
      </w:r>
      <w:r>
        <w:rPr>
          <w:lang w:val="en-US"/>
        </w:rPr>
        <w:t>.</w:t>
      </w:r>
    </w:p>
  </w:footnote>
  <w:footnote w:id="2213">
    <w:p w14:paraId="3F360A7E" w14:textId="77777777" w:rsidR="00074551" w:rsidRPr="00BC4059" w:rsidRDefault="00074551" w:rsidP="00074551">
      <w:pPr>
        <w:pStyle w:val="Funotentext"/>
        <w:rPr>
          <w:lang w:val="en-US"/>
        </w:rPr>
      </w:pPr>
      <w:r>
        <w:rPr>
          <w:rStyle w:val="Funotenzeichen"/>
          <w:rFonts w:eastAsiaTheme="majorEastAsia"/>
        </w:rPr>
        <w:footnoteRef/>
      </w:r>
      <w:r w:rsidRPr="00BC4059">
        <w:rPr>
          <w:lang w:val="en-US"/>
        </w:rPr>
        <w:t xml:space="preserve"> </w:t>
      </w:r>
      <w:r w:rsidRPr="00BC3B27">
        <w:rPr>
          <w:lang w:val="en-US"/>
        </w:rPr>
        <w:t xml:space="preserve">Dissens von Richter </w:t>
      </w:r>
      <w:r w:rsidRPr="00D67593">
        <w:rPr>
          <w:i/>
          <w:lang w:val="en-US"/>
        </w:rPr>
        <w:t>Brandeis</w:t>
      </w:r>
      <w:r w:rsidRPr="00BC3B27">
        <w:rPr>
          <w:lang w:val="en-US"/>
        </w:rPr>
        <w:t xml:space="preserve"> </w:t>
      </w:r>
      <w:r w:rsidRPr="00BC4059">
        <w:rPr>
          <w:lang w:val="en-US"/>
        </w:rPr>
        <w:t xml:space="preserve">in </w:t>
      </w:r>
      <w:r w:rsidRPr="009167A5">
        <w:rPr>
          <w:i/>
          <w:lang w:val="en-US"/>
        </w:rPr>
        <w:t>Olmstead v. United States</w:t>
      </w:r>
      <w:r w:rsidRPr="00BC4059">
        <w:rPr>
          <w:lang w:val="en-US"/>
        </w:rPr>
        <w:t>, 277 U.S. 438, 478</w:t>
      </w:r>
      <w:r>
        <w:rPr>
          <w:lang w:val="en-US"/>
        </w:rPr>
        <w:t xml:space="preserve">; </w:t>
      </w:r>
      <w:r>
        <w:rPr>
          <w:i/>
          <w:lang w:val="en-US"/>
        </w:rPr>
        <w:t>Poe v. Ullman</w:t>
      </w:r>
      <w:r w:rsidRPr="00BC4059">
        <w:rPr>
          <w:lang w:val="en-US"/>
        </w:rPr>
        <w:t>, 367 U.S. 497, 550</w:t>
      </w:r>
      <w:r w:rsidRPr="006E67FE">
        <w:rPr>
          <w:lang w:val="en-US"/>
        </w:rPr>
        <w:t xml:space="preserve"> = 81 S. Ct. </w:t>
      </w:r>
      <w:r w:rsidRPr="00BC4059">
        <w:rPr>
          <w:lang w:val="en-US"/>
        </w:rPr>
        <w:t>1752, 1780</w:t>
      </w:r>
      <w:r>
        <w:rPr>
          <w:lang w:val="en-US"/>
        </w:rPr>
        <w:t xml:space="preserve"> = 6 L. Ed. </w:t>
      </w:r>
      <w:r w:rsidRPr="00BC4059">
        <w:rPr>
          <w:lang w:val="en-US"/>
        </w:rPr>
        <w:t>2d 989, 1023</w:t>
      </w:r>
      <w:r w:rsidRPr="006E67FE">
        <w:rPr>
          <w:lang w:val="en-US"/>
        </w:rPr>
        <w:t xml:space="preserve"> = 1961 U.S. LEXIS </w:t>
      </w:r>
      <w:r w:rsidRPr="00BC4059">
        <w:rPr>
          <w:lang w:val="en-US"/>
        </w:rPr>
        <w:t>1953, 89 (1961)</w:t>
      </w:r>
      <w:r>
        <w:rPr>
          <w:lang w:val="en-US"/>
        </w:rPr>
        <w:t>.</w:t>
      </w:r>
    </w:p>
  </w:footnote>
  <w:footnote w:id="2214">
    <w:p w14:paraId="173D6017" w14:textId="77777777" w:rsidR="00074551" w:rsidRPr="007906BA" w:rsidRDefault="00074551" w:rsidP="00074551">
      <w:pPr>
        <w:pStyle w:val="Funotentext"/>
        <w:rPr>
          <w:lang w:val="en-US"/>
        </w:rPr>
      </w:pPr>
      <w:r>
        <w:rPr>
          <w:rStyle w:val="Funotenzeichen"/>
        </w:rPr>
        <w:footnoteRef/>
      </w:r>
      <w:r w:rsidRPr="00BB35A9">
        <w:rPr>
          <w:lang w:val="en-US"/>
        </w:rPr>
        <w:t xml:space="preserve"> </w:t>
      </w:r>
      <w:r w:rsidRPr="00B45592">
        <w:rPr>
          <w:i/>
          <w:lang w:val="en-US"/>
        </w:rPr>
        <w:t>Bivens v. Six Unknown Named Agents of Fed. Bureau of Narcotics</w:t>
      </w:r>
      <w:r w:rsidRPr="007906BA">
        <w:rPr>
          <w:lang w:val="en-US"/>
        </w:rPr>
        <w:t>, 403 U.S. 388, 389</w:t>
      </w:r>
      <w:r w:rsidRPr="006E67FE">
        <w:rPr>
          <w:lang w:val="en-US"/>
        </w:rPr>
        <w:t xml:space="preserve"> = 91 S. Ct. </w:t>
      </w:r>
      <w:r w:rsidRPr="007906BA">
        <w:rPr>
          <w:lang w:val="en-US"/>
        </w:rPr>
        <w:t>1999, 2001</w:t>
      </w:r>
      <w:r w:rsidRPr="00EC5BEB">
        <w:rPr>
          <w:lang w:val="en-US"/>
        </w:rPr>
        <w:t xml:space="preserve"> = 29 L. Ed. </w:t>
      </w:r>
      <w:r w:rsidRPr="007906BA">
        <w:rPr>
          <w:lang w:val="en-US"/>
        </w:rPr>
        <w:t>2d 619, 622</w:t>
      </w:r>
      <w:r>
        <w:rPr>
          <w:lang w:val="en-US"/>
        </w:rPr>
        <w:t xml:space="preserve"> = 1971 U.S. LEXIS </w:t>
      </w:r>
      <w:r w:rsidRPr="007906BA">
        <w:rPr>
          <w:lang w:val="en-US"/>
        </w:rPr>
        <w:t>23, 1 (1971)</w:t>
      </w:r>
      <w:r>
        <w:rPr>
          <w:lang w:val="en-US"/>
        </w:rPr>
        <w:t>.</w:t>
      </w:r>
    </w:p>
  </w:footnote>
  <w:footnote w:id="2215">
    <w:p w14:paraId="289BFD71" w14:textId="77777777" w:rsidR="00074551" w:rsidRPr="00CE490F" w:rsidRDefault="00074551" w:rsidP="00074551">
      <w:pPr>
        <w:pStyle w:val="Funotentext"/>
        <w:rPr>
          <w:lang w:val="en-US"/>
        </w:rPr>
      </w:pPr>
      <w:r>
        <w:rPr>
          <w:rStyle w:val="Funotenzeichen"/>
        </w:rPr>
        <w:footnoteRef/>
      </w:r>
      <w:r w:rsidRPr="00CE490F">
        <w:rPr>
          <w:lang w:val="en-US"/>
        </w:rPr>
        <w:t xml:space="preserve"> </w:t>
      </w:r>
      <w:r w:rsidRPr="00B45592">
        <w:rPr>
          <w:i/>
          <w:lang w:val="en-US"/>
        </w:rPr>
        <w:t>Bivens v. Six Unknown Named Agents of Fed. Bureau of Narcotics</w:t>
      </w:r>
      <w:r w:rsidRPr="00CE490F">
        <w:rPr>
          <w:lang w:val="en-US"/>
        </w:rPr>
        <w:t>, 403 U.S. 388, 428</w:t>
      </w:r>
      <w:r w:rsidRPr="006E67FE">
        <w:rPr>
          <w:lang w:val="en-US"/>
        </w:rPr>
        <w:t xml:space="preserve"> = 91 S. Ct. </w:t>
      </w:r>
      <w:r w:rsidRPr="00CE490F">
        <w:rPr>
          <w:lang w:val="en-US"/>
        </w:rPr>
        <w:t>1999, 2020</w:t>
      </w:r>
      <w:r w:rsidRPr="00EC5BEB">
        <w:rPr>
          <w:lang w:val="en-US"/>
        </w:rPr>
        <w:t xml:space="preserve"> = 29 L. Ed. </w:t>
      </w:r>
      <w:r w:rsidRPr="00CE490F">
        <w:rPr>
          <w:lang w:val="en-US"/>
        </w:rPr>
        <w:t>2d 619, 645</w:t>
      </w:r>
      <w:r>
        <w:rPr>
          <w:lang w:val="en-US"/>
        </w:rPr>
        <w:t xml:space="preserve"> = 1971 U.S. LEXIS </w:t>
      </w:r>
      <w:r w:rsidRPr="00CE490F">
        <w:rPr>
          <w:lang w:val="en-US"/>
        </w:rPr>
        <w:t>23, 65</w:t>
      </w:r>
      <w:r>
        <w:rPr>
          <w:lang w:val="en-US"/>
        </w:rPr>
        <w:t>–</w:t>
      </w:r>
      <w:r w:rsidRPr="00CE490F">
        <w:rPr>
          <w:lang w:val="en-US"/>
        </w:rPr>
        <w:t>66 (1971)</w:t>
      </w:r>
      <w:r>
        <w:rPr>
          <w:lang w:val="en-US"/>
        </w:rPr>
        <w:t>.</w:t>
      </w:r>
    </w:p>
  </w:footnote>
  <w:footnote w:id="2216">
    <w:p w14:paraId="03569C8A" w14:textId="77777777" w:rsidR="00074551" w:rsidRPr="00FF4E92" w:rsidRDefault="00074551" w:rsidP="00074551">
      <w:pPr>
        <w:pStyle w:val="Funotentext"/>
        <w:rPr>
          <w:lang w:val="en-US"/>
        </w:rPr>
      </w:pPr>
      <w:r>
        <w:rPr>
          <w:rStyle w:val="Funotenzeichen"/>
        </w:rPr>
        <w:footnoteRef/>
      </w:r>
      <w:r w:rsidRPr="00FF4E92">
        <w:rPr>
          <w:lang w:val="en-US"/>
        </w:rPr>
        <w:t xml:space="preserve"> </w:t>
      </w:r>
      <w:r w:rsidRPr="00AB01D2">
        <w:rPr>
          <w:i/>
          <w:lang w:val="en-US"/>
        </w:rPr>
        <w:t>On Lee v. United States</w:t>
      </w:r>
      <w:r w:rsidRPr="00FF4E92">
        <w:rPr>
          <w:lang w:val="en-US"/>
        </w:rPr>
        <w:t>, 343 U.S. 747, 748</w:t>
      </w:r>
      <w:r>
        <w:rPr>
          <w:lang w:val="en-US"/>
        </w:rPr>
        <w:t xml:space="preserve"> = 72 S. Ct</w:t>
      </w:r>
      <w:r w:rsidRPr="00FF4E92">
        <w:rPr>
          <w:lang w:val="en-US"/>
        </w:rPr>
        <w:t>. 967, 969</w:t>
      </w:r>
      <w:r>
        <w:rPr>
          <w:lang w:val="en-US"/>
        </w:rPr>
        <w:t xml:space="preserve"> = 96 L. Ed. </w:t>
      </w:r>
      <w:r w:rsidRPr="00FF4E92">
        <w:rPr>
          <w:lang w:val="en-US"/>
        </w:rPr>
        <w:t>1270, 1273</w:t>
      </w:r>
      <w:r w:rsidRPr="006E67FE">
        <w:rPr>
          <w:lang w:val="en-US"/>
        </w:rPr>
        <w:t xml:space="preserve"> = 1952 U.S. LEXIS </w:t>
      </w:r>
      <w:r w:rsidRPr="00FF4E92">
        <w:rPr>
          <w:lang w:val="en-US"/>
        </w:rPr>
        <w:t>2794, 1 (1952).</w:t>
      </w:r>
    </w:p>
  </w:footnote>
  <w:footnote w:id="2217">
    <w:p w14:paraId="2CC00E5C" w14:textId="66D463C3" w:rsidR="00074551" w:rsidRPr="008041C0" w:rsidRDefault="00074551" w:rsidP="00074551">
      <w:pPr>
        <w:pStyle w:val="Funotentext"/>
      </w:pPr>
      <w:r>
        <w:rPr>
          <w:rStyle w:val="Funotenzeichen"/>
          <w:rFonts w:eastAsiaTheme="majorEastAsia"/>
        </w:rPr>
        <w:footnoteRef/>
      </w:r>
      <w:r>
        <w:t xml:space="preserve"> </w:t>
      </w:r>
      <w:r w:rsidRPr="008041C0">
        <w:t xml:space="preserve">Dabei verstieß das Verhalten des abhörenden Informanten nicht gegen </w:t>
      </w:r>
      <w:r w:rsidR="00023A37">
        <w:t xml:space="preserve">U.S. </w:t>
      </w:r>
      <w:proofErr w:type="spellStart"/>
      <w:r w:rsidR="00023A37">
        <w:t>Const</w:t>
      </w:r>
      <w:proofErr w:type="spellEnd"/>
      <w:r w:rsidR="00023A37">
        <w:t xml:space="preserve">. </w:t>
      </w:r>
      <w:proofErr w:type="spellStart"/>
      <w:r w:rsidR="00023A37">
        <w:t>amend</w:t>
      </w:r>
      <w:proofErr w:type="spellEnd"/>
      <w:r w:rsidR="00023A37">
        <w:t>. IV.</w:t>
      </w:r>
      <w:r w:rsidRPr="008041C0">
        <w:t xml:space="preserve"> Denn der Informant betrat mit Zustimmung des Angeklagten die Geschäft</w:t>
      </w:r>
      <w:r>
        <w:t>s</w:t>
      </w:r>
      <w:r w:rsidRPr="008041C0">
        <w:t>r</w:t>
      </w:r>
      <w:r>
        <w:t>äume</w:t>
      </w:r>
      <w:r w:rsidRPr="008041C0">
        <w:t xml:space="preserve"> und hörte dann ab. </w:t>
      </w:r>
      <w:r>
        <w:t>Die</w:t>
      </w:r>
      <w:r w:rsidRPr="008041C0">
        <w:t xml:space="preserve"> Doktrin des unerlaubten Betretens (</w:t>
      </w:r>
      <w:r>
        <w:t>„</w:t>
      </w:r>
      <w:r w:rsidRPr="008041C0">
        <w:t xml:space="preserve">tort </w:t>
      </w:r>
      <w:proofErr w:type="spellStart"/>
      <w:r w:rsidRPr="008041C0">
        <w:t>doctrine</w:t>
      </w:r>
      <w:proofErr w:type="spellEnd"/>
      <w:r w:rsidRPr="008041C0">
        <w:t xml:space="preserve"> of </w:t>
      </w:r>
      <w:proofErr w:type="spellStart"/>
      <w:r w:rsidRPr="008041C0">
        <w:t>trespass</w:t>
      </w:r>
      <w:proofErr w:type="spellEnd"/>
      <w:r w:rsidRPr="008041C0">
        <w:t xml:space="preserve"> ab initio</w:t>
      </w:r>
      <w:r>
        <w:t>“</w:t>
      </w:r>
      <w:r w:rsidRPr="008041C0">
        <w:t xml:space="preserve">) </w:t>
      </w:r>
      <w:r>
        <w:t xml:space="preserve">findet daher </w:t>
      </w:r>
      <w:r w:rsidRPr="008041C0">
        <w:t>keine Anwendung</w:t>
      </w:r>
      <w:r>
        <w:t xml:space="preserve">, vgl. </w:t>
      </w:r>
      <w:r w:rsidRPr="00AB01D2">
        <w:rPr>
          <w:i/>
        </w:rPr>
        <w:t>On Lee v. United States</w:t>
      </w:r>
      <w:r w:rsidRPr="008041C0">
        <w:t>, 343 U.S. 747, 748</w:t>
      </w:r>
      <w:r>
        <w:t xml:space="preserve"> = 72 S. Ct</w:t>
      </w:r>
      <w:r w:rsidRPr="008041C0">
        <w:t>. 967, 969</w:t>
      </w:r>
      <w:r>
        <w:t xml:space="preserve"> = 96 L. Ed. </w:t>
      </w:r>
      <w:r w:rsidRPr="008041C0">
        <w:t>1270, 1273</w:t>
      </w:r>
      <w:r w:rsidRPr="006E67FE">
        <w:t xml:space="preserve"> = 1952 U.S. LEXIS </w:t>
      </w:r>
      <w:r w:rsidRPr="008041C0">
        <w:t>2794, 1 (1952)</w:t>
      </w:r>
      <w:r>
        <w:t>.</w:t>
      </w:r>
    </w:p>
  </w:footnote>
  <w:footnote w:id="2218">
    <w:p w14:paraId="5EF3AA0D" w14:textId="77777777" w:rsidR="00074551" w:rsidRDefault="00074551" w:rsidP="00074551">
      <w:pPr>
        <w:pStyle w:val="Funotentext"/>
      </w:pPr>
      <w:r>
        <w:rPr>
          <w:rStyle w:val="Funotenzeichen"/>
          <w:rFonts w:eastAsiaTheme="majorEastAsia"/>
        </w:rPr>
        <w:footnoteRef/>
      </w:r>
      <w:r>
        <w:t xml:space="preserve"> </w:t>
      </w:r>
      <w:r w:rsidRPr="008041C0">
        <w:t xml:space="preserve">Die </w:t>
      </w:r>
      <w:proofErr w:type="spellStart"/>
      <w:r w:rsidRPr="008041C0">
        <w:rPr>
          <w:i/>
          <w:iCs/>
        </w:rPr>
        <w:t>exclu</w:t>
      </w:r>
      <w:r>
        <w:rPr>
          <w:i/>
          <w:iCs/>
        </w:rPr>
        <w:t>s</w:t>
      </w:r>
      <w:r w:rsidRPr="008041C0">
        <w:rPr>
          <w:i/>
          <w:iCs/>
        </w:rPr>
        <w:t>ionary</w:t>
      </w:r>
      <w:proofErr w:type="spellEnd"/>
      <w:r w:rsidRPr="008041C0">
        <w:rPr>
          <w:i/>
          <w:iCs/>
        </w:rPr>
        <w:t xml:space="preserve"> </w:t>
      </w:r>
      <w:proofErr w:type="spellStart"/>
      <w:r w:rsidRPr="008041C0">
        <w:rPr>
          <w:i/>
          <w:iCs/>
        </w:rPr>
        <w:t>rule</w:t>
      </w:r>
      <w:proofErr w:type="spellEnd"/>
      <w:r w:rsidRPr="008041C0">
        <w:rPr>
          <w:i/>
          <w:iCs/>
        </w:rPr>
        <w:t xml:space="preserve"> </w:t>
      </w:r>
      <w:r w:rsidRPr="008041C0">
        <w:t>(Ausschlussregel) verhindert, dass ein Gericht Beweise verwenden kann, die unter Verletzung der Verfassungsrechte des Angeklagten erhoben oder ausgewertet wurden.</w:t>
      </w:r>
    </w:p>
  </w:footnote>
  <w:footnote w:id="2219">
    <w:p w14:paraId="44CF8B44" w14:textId="77777777" w:rsidR="00074551" w:rsidRPr="000B1801" w:rsidRDefault="00074551" w:rsidP="00074551">
      <w:pPr>
        <w:pStyle w:val="Funotentext"/>
        <w:spacing w:line="210" w:lineRule="exact"/>
        <w:ind w:left="227" w:hanging="227"/>
        <w:rPr>
          <w:lang w:val="en-US"/>
        </w:rPr>
      </w:pPr>
      <w:r>
        <w:rPr>
          <w:rStyle w:val="Funotenzeichen"/>
          <w:rFonts w:eastAsiaTheme="majorEastAsia"/>
        </w:rPr>
        <w:footnoteRef/>
      </w:r>
      <w:r w:rsidRPr="000B1801">
        <w:rPr>
          <w:lang w:val="en-US"/>
        </w:rPr>
        <w:t xml:space="preserve"> </w:t>
      </w:r>
      <w:r w:rsidRPr="009167A5">
        <w:rPr>
          <w:i/>
          <w:lang w:val="en-US"/>
        </w:rPr>
        <w:t>Olmstead v. United States</w:t>
      </w:r>
      <w:r w:rsidRPr="000B1801">
        <w:rPr>
          <w:lang w:val="en-US"/>
        </w:rPr>
        <w:t>, 277 U.S. 438</w:t>
      </w:r>
      <w:r>
        <w:rPr>
          <w:lang w:val="en-US"/>
        </w:rPr>
        <w:t xml:space="preserve">; </w:t>
      </w:r>
      <w:r w:rsidRPr="00AB01D2">
        <w:rPr>
          <w:i/>
          <w:lang w:val="en-US"/>
        </w:rPr>
        <w:t>On Lee v. United States</w:t>
      </w:r>
      <w:r w:rsidRPr="000B1801">
        <w:rPr>
          <w:lang w:val="en-US"/>
        </w:rPr>
        <w:t>, 343 U.S. 747, 762</w:t>
      </w:r>
      <w:r>
        <w:rPr>
          <w:lang w:val="en-US"/>
        </w:rPr>
        <w:t xml:space="preserve"> = 72 S. Ct</w:t>
      </w:r>
      <w:r w:rsidRPr="000B1801">
        <w:rPr>
          <w:lang w:val="en-US"/>
        </w:rPr>
        <w:t>. 967, 976</w:t>
      </w:r>
      <w:r>
        <w:rPr>
          <w:lang w:val="en-US"/>
        </w:rPr>
        <w:t xml:space="preserve"> = 96 L. Ed. </w:t>
      </w:r>
      <w:r w:rsidRPr="000B1801">
        <w:rPr>
          <w:lang w:val="en-US"/>
        </w:rPr>
        <w:t>1270, 1280</w:t>
      </w:r>
      <w:r w:rsidRPr="006E67FE">
        <w:rPr>
          <w:lang w:val="en-US"/>
        </w:rPr>
        <w:t xml:space="preserve"> = 1952 U.S. LEXIS </w:t>
      </w:r>
      <w:r w:rsidRPr="000B1801">
        <w:rPr>
          <w:lang w:val="en-US"/>
        </w:rPr>
        <w:t>2794, 25 (1952)</w:t>
      </w:r>
      <w:r>
        <w:rPr>
          <w:lang w:val="en-US"/>
        </w:rPr>
        <w:t>.</w:t>
      </w:r>
    </w:p>
  </w:footnote>
  <w:footnote w:id="2220">
    <w:p w14:paraId="691E81AC" w14:textId="77777777" w:rsidR="00074551" w:rsidRPr="008F2730" w:rsidRDefault="00074551" w:rsidP="00074551">
      <w:pPr>
        <w:pStyle w:val="Funotentext"/>
        <w:rPr>
          <w:lang w:val="en-US"/>
        </w:rPr>
      </w:pPr>
      <w:r>
        <w:rPr>
          <w:rStyle w:val="Funotenzeichen"/>
          <w:rFonts w:eastAsiaTheme="majorEastAsia"/>
        </w:rPr>
        <w:footnoteRef/>
      </w:r>
      <w:r w:rsidRPr="008F2730">
        <w:rPr>
          <w:lang w:val="en-US"/>
        </w:rPr>
        <w:t xml:space="preserve"> </w:t>
      </w:r>
      <w:r w:rsidRPr="00AB01D2">
        <w:rPr>
          <w:i/>
          <w:lang w:val="en-US"/>
        </w:rPr>
        <w:t>On Lee v. United States</w:t>
      </w:r>
      <w:r w:rsidRPr="008F2730">
        <w:rPr>
          <w:lang w:val="en-US"/>
        </w:rPr>
        <w:t>, 343 U.S. 747, 764</w:t>
      </w:r>
      <w:r>
        <w:rPr>
          <w:lang w:val="en-US"/>
        </w:rPr>
        <w:t xml:space="preserve"> = 72 S. Ct</w:t>
      </w:r>
      <w:r w:rsidRPr="008F2730">
        <w:rPr>
          <w:lang w:val="en-US"/>
        </w:rPr>
        <w:t>. 967, 977</w:t>
      </w:r>
      <w:r>
        <w:rPr>
          <w:lang w:val="en-US"/>
        </w:rPr>
        <w:t xml:space="preserve"> = 96 L. Ed. </w:t>
      </w:r>
      <w:r w:rsidRPr="008F2730">
        <w:rPr>
          <w:lang w:val="en-US"/>
        </w:rPr>
        <w:t>1270, 1281</w:t>
      </w:r>
      <w:r w:rsidRPr="006E67FE">
        <w:rPr>
          <w:lang w:val="en-US"/>
        </w:rPr>
        <w:t xml:space="preserve"> = 1952 U.S. LEXIS </w:t>
      </w:r>
      <w:r w:rsidRPr="008F2730">
        <w:rPr>
          <w:lang w:val="en-US"/>
        </w:rPr>
        <w:t>2794, 27 (1952)</w:t>
      </w:r>
      <w:r>
        <w:rPr>
          <w:lang w:val="en-US"/>
        </w:rPr>
        <w:t>.</w:t>
      </w:r>
    </w:p>
  </w:footnote>
  <w:footnote w:id="2221">
    <w:p w14:paraId="526198BF" w14:textId="77777777" w:rsidR="00074551" w:rsidRPr="002A76E6" w:rsidRDefault="00074551" w:rsidP="00074551">
      <w:pPr>
        <w:pStyle w:val="Funotentext"/>
        <w:ind w:left="227" w:hanging="227"/>
        <w:rPr>
          <w:lang w:val="en-US"/>
        </w:rPr>
      </w:pPr>
      <w:r>
        <w:rPr>
          <w:rStyle w:val="Funotenzeichen"/>
          <w:rFonts w:eastAsiaTheme="majorEastAsia"/>
        </w:rPr>
        <w:footnoteRef/>
      </w:r>
      <w:r w:rsidRPr="002A76E6">
        <w:rPr>
          <w:lang w:val="en-US"/>
        </w:rPr>
        <w:t xml:space="preserve"> </w:t>
      </w:r>
      <w:r w:rsidRPr="009167A5">
        <w:rPr>
          <w:i/>
          <w:lang w:val="en-US"/>
        </w:rPr>
        <w:t>Griswold v. Connecticut</w:t>
      </w:r>
      <w:r w:rsidRPr="002A76E6">
        <w:rPr>
          <w:lang w:val="en-US"/>
        </w:rPr>
        <w:t>, 381 U.S. 479, 484</w:t>
      </w:r>
      <w:r w:rsidRPr="006E67FE">
        <w:rPr>
          <w:lang w:val="en-US"/>
        </w:rPr>
        <w:t xml:space="preserve"> = 85 S. Ct. </w:t>
      </w:r>
      <w:r w:rsidRPr="002A76E6">
        <w:rPr>
          <w:lang w:val="en-US"/>
        </w:rPr>
        <w:t>1678, 1681</w:t>
      </w:r>
      <w:r w:rsidRPr="003B741A">
        <w:rPr>
          <w:lang w:val="en-US"/>
        </w:rPr>
        <w:t xml:space="preserve"> = 14 L. Ed. </w:t>
      </w:r>
      <w:r w:rsidRPr="002A76E6">
        <w:rPr>
          <w:lang w:val="en-US"/>
        </w:rPr>
        <w:t>2d 510, 514</w:t>
      </w:r>
      <w:r w:rsidRPr="006E67FE">
        <w:rPr>
          <w:lang w:val="en-US"/>
        </w:rPr>
        <w:t xml:space="preserve"> = 1965 U.S. LEXIS </w:t>
      </w:r>
      <w:r w:rsidRPr="002A76E6">
        <w:rPr>
          <w:lang w:val="en-US"/>
        </w:rPr>
        <w:t>2282, 9 (1965)</w:t>
      </w:r>
      <w:r>
        <w:rPr>
          <w:lang w:val="en-US"/>
        </w:rPr>
        <w:t>.</w:t>
      </w:r>
    </w:p>
  </w:footnote>
  <w:footnote w:id="2222">
    <w:p w14:paraId="052DBB7F" w14:textId="77777777" w:rsidR="00074551" w:rsidRPr="000B1801" w:rsidRDefault="00074551" w:rsidP="00074551">
      <w:pPr>
        <w:pStyle w:val="Funotentext"/>
        <w:ind w:left="227" w:hanging="227"/>
        <w:rPr>
          <w:lang w:val="en-US"/>
        </w:rPr>
      </w:pPr>
      <w:r>
        <w:rPr>
          <w:rStyle w:val="Funotenzeichen"/>
          <w:rFonts w:eastAsiaTheme="majorEastAsia"/>
        </w:rPr>
        <w:footnoteRef/>
      </w:r>
      <w:r w:rsidRPr="000B1801">
        <w:rPr>
          <w:lang w:val="en-US"/>
        </w:rPr>
        <w:t xml:space="preserve"> </w:t>
      </w:r>
      <w:r w:rsidRPr="00AB01D2">
        <w:rPr>
          <w:i/>
          <w:lang w:val="en-US"/>
        </w:rPr>
        <w:t>On Lee v. United States</w:t>
      </w:r>
      <w:r w:rsidRPr="000B1801">
        <w:rPr>
          <w:lang w:val="en-US"/>
        </w:rPr>
        <w:t>, 343 U.S. 747, 765</w:t>
      </w:r>
      <w:r>
        <w:rPr>
          <w:lang w:val="en-US"/>
        </w:rPr>
        <w:t xml:space="preserve"> = 72 S. Ct</w:t>
      </w:r>
      <w:r w:rsidRPr="000B1801">
        <w:rPr>
          <w:lang w:val="en-US"/>
        </w:rPr>
        <w:t>. 967, 977</w:t>
      </w:r>
      <w:r>
        <w:rPr>
          <w:lang w:val="en-US"/>
        </w:rPr>
        <w:t xml:space="preserve"> = 96 L. Ed. </w:t>
      </w:r>
      <w:r w:rsidRPr="000B1801">
        <w:rPr>
          <w:lang w:val="en-US"/>
        </w:rPr>
        <w:t>1270, 1281</w:t>
      </w:r>
      <w:r w:rsidRPr="006E67FE">
        <w:rPr>
          <w:lang w:val="en-US"/>
        </w:rPr>
        <w:t xml:space="preserve"> = 1952 U.S. LEXIS </w:t>
      </w:r>
      <w:r w:rsidRPr="000B1801">
        <w:rPr>
          <w:lang w:val="en-US"/>
        </w:rPr>
        <w:t>2794, 29 (1952)</w:t>
      </w:r>
      <w:r>
        <w:rPr>
          <w:lang w:val="en-US"/>
        </w:rPr>
        <w:t>.</w:t>
      </w:r>
    </w:p>
  </w:footnote>
  <w:footnote w:id="2223">
    <w:p w14:paraId="467E9E06" w14:textId="77777777" w:rsidR="00074551" w:rsidRPr="00F42E79" w:rsidRDefault="00074551" w:rsidP="00074551">
      <w:pPr>
        <w:pStyle w:val="Funotentext"/>
        <w:rPr>
          <w:lang w:val="en-US"/>
        </w:rPr>
      </w:pPr>
      <w:r>
        <w:rPr>
          <w:rStyle w:val="Funotenzeichen"/>
        </w:rPr>
        <w:footnoteRef/>
      </w:r>
      <w:r w:rsidRPr="00F42E79">
        <w:rPr>
          <w:lang w:val="en-US"/>
        </w:rPr>
        <w:t xml:space="preserve"> </w:t>
      </w:r>
      <w:r>
        <w:rPr>
          <w:lang w:val="en-US"/>
        </w:rPr>
        <w:t>„</w:t>
      </w:r>
      <w:r w:rsidRPr="00F42E79">
        <w:rPr>
          <w:lang w:val="en-US"/>
        </w:rPr>
        <w:t>The statute provides in pertinent part that</w:t>
      </w:r>
      <w:r>
        <w:rPr>
          <w:lang w:val="en-US"/>
        </w:rPr>
        <w:t xml:space="preserve"> ,</w:t>
      </w:r>
      <w:r w:rsidRPr="00F42E79">
        <w:rPr>
          <w:lang w:val="en-US"/>
        </w:rPr>
        <w:t xml:space="preserve">No person shall knowingly </w:t>
      </w:r>
      <w:r>
        <w:rPr>
          <w:lang w:val="en-US"/>
        </w:rPr>
        <w:t>[…]</w:t>
      </w:r>
      <w:r w:rsidRPr="00F42E79">
        <w:rPr>
          <w:lang w:val="en-US"/>
        </w:rPr>
        <w:t xml:space="preserve"> have in his possession or under his control an obscene, lewd, or lascivious book [or] </w:t>
      </w:r>
      <w:r>
        <w:rPr>
          <w:lang w:val="en-US"/>
        </w:rPr>
        <w:t xml:space="preserve">[…] </w:t>
      </w:r>
      <w:r w:rsidRPr="00F42E79">
        <w:rPr>
          <w:lang w:val="en-US"/>
        </w:rPr>
        <w:t xml:space="preserve">picture </w:t>
      </w:r>
      <w:r>
        <w:rPr>
          <w:lang w:val="en-US"/>
        </w:rPr>
        <w:t xml:space="preserve">[…] </w:t>
      </w:r>
      <w:r w:rsidRPr="00F42E79">
        <w:rPr>
          <w:lang w:val="en-US"/>
        </w:rPr>
        <w:t>Whoever violates this section shall be fined not less than two hundred nor more than two thousand dollars or imprisoned not less than one nor more than seven years, or both.</w:t>
      </w:r>
      <w:r>
        <w:rPr>
          <w:lang w:val="en-US"/>
        </w:rPr>
        <w:t xml:space="preserve">‘“, in </w:t>
      </w:r>
      <w:r w:rsidRPr="00AB01D2">
        <w:rPr>
          <w:i/>
          <w:lang w:val="en-US"/>
        </w:rPr>
        <w:t>Mapp v. Ohio</w:t>
      </w:r>
      <w:r w:rsidRPr="00F42E79">
        <w:rPr>
          <w:lang w:val="en-US"/>
        </w:rPr>
        <w:t>, 367 U.S. 643, 643</w:t>
      </w:r>
      <w:r w:rsidRPr="006E67FE">
        <w:rPr>
          <w:lang w:val="en-US"/>
        </w:rPr>
        <w:t xml:space="preserve"> = 81 S. Ct. </w:t>
      </w:r>
      <w:r w:rsidRPr="00F42E79">
        <w:rPr>
          <w:lang w:val="en-US"/>
        </w:rPr>
        <w:t>1684, 1685</w:t>
      </w:r>
      <w:r>
        <w:rPr>
          <w:lang w:val="en-US"/>
        </w:rPr>
        <w:t xml:space="preserve"> = 6 L. Ed. </w:t>
      </w:r>
      <w:r w:rsidRPr="00F42E79">
        <w:rPr>
          <w:lang w:val="en-US"/>
        </w:rPr>
        <w:t>2d 1081, 1083</w:t>
      </w:r>
      <w:r w:rsidRPr="006E67FE">
        <w:rPr>
          <w:lang w:val="en-US"/>
        </w:rPr>
        <w:t xml:space="preserve"> = 1961 U.S. LEXIS </w:t>
      </w:r>
      <w:r w:rsidRPr="00F42E79">
        <w:rPr>
          <w:lang w:val="en-US"/>
        </w:rPr>
        <w:t>812, 2</w:t>
      </w:r>
      <w:r>
        <w:rPr>
          <w:lang w:val="en-US"/>
        </w:rPr>
        <w:t xml:space="preserve"> = 84 A.L.R. 2d </w:t>
      </w:r>
      <w:r w:rsidRPr="00F42E79">
        <w:rPr>
          <w:lang w:val="en-US"/>
        </w:rPr>
        <w:t>933</w:t>
      </w:r>
      <w:r>
        <w:rPr>
          <w:lang w:val="en-US"/>
        </w:rPr>
        <w:t xml:space="preserve"> = 86 Ohio L. Abs. </w:t>
      </w:r>
      <w:r w:rsidRPr="00F42E79">
        <w:rPr>
          <w:lang w:val="en-US"/>
        </w:rPr>
        <w:t>513</w:t>
      </w:r>
      <w:r>
        <w:rPr>
          <w:lang w:val="en-US"/>
        </w:rPr>
        <w:t xml:space="preserve"> = 16 Ohio Op. </w:t>
      </w:r>
      <w:r w:rsidRPr="00F42E79">
        <w:rPr>
          <w:lang w:val="en-US"/>
        </w:rPr>
        <w:t>2d 384 (1961)</w:t>
      </w:r>
      <w:r>
        <w:rPr>
          <w:lang w:val="en-US"/>
        </w:rPr>
        <w:t>.</w:t>
      </w:r>
    </w:p>
  </w:footnote>
  <w:footnote w:id="2224">
    <w:p w14:paraId="02813070" w14:textId="77777777" w:rsidR="00074551" w:rsidRPr="003A5152" w:rsidRDefault="00074551" w:rsidP="00074551">
      <w:pPr>
        <w:pStyle w:val="Funotentext"/>
        <w:rPr>
          <w:lang w:val="en-US"/>
        </w:rPr>
      </w:pPr>
      <w:r>
        <w:rPr>
          <w:rStyle w:val="Funotenzeichen"/>
          <w:rFonts w:eastAsiaTheme="majorEastAsia"/>
        </w:rPr>
        <w:footnoteRef/>
      </w:r>
      <w:r w:rsidRPr="003A5152">
        <w:rPr>
          <w:lang w:val="en-US"/>
        </w:rPr>
        <w:t xml:space="preserve"> </w:t>
      </w:r>
      <w:r w:rsidRPr="00B45592">
        <w:rPr>
          <w:i/>
          <w:lang w:val="en-US"/>
        </w:rPr>
        <w:t>Wolf v. Colo.</w:t>
      </w:r>
      <w:r w:rsidRPr="003A5152">
        <w:rPr>
          <w:lang w:val="en-US"/>
        </w:rPr>
        <w:t>, 338 U.S. 25, 25</w:t>
      </w:r>
      <w:r w:rsidRPr="006E67FE">
        <w:rPr>
          <w:lang w:val="en-US"/>
        </w:rPr>
        <w:t xml:space="preserve"> = 69 S. Ct. </w:t>
      </w:r>
      <w:r w:rsidRPr="003A5152">
        <w:rPr>
          <w:lang w:val="en-US"/>
        </w:rPr>
        <w:t>1359, 1360</w:t>
      </w:r>
      <w:r w:rsidRPr="006E67FE">
        <w:rPr>
          <w:lang w:val="en-US"/>
        </w:rPr>
        <w:t xml:space="preserve"> = 93 L. Ed. </w:t>
      </w:r>
      <w:r w:rsidRPr="003A5152">
        <w:rPr>
          <w:lang w:val="en-US"/>
        </w:rPr>
        <w:t>1782, 1784</w:t>
      </w:r>
      <w:r w:rsidRPr="006E67FE">
        <w:rPr>
          <w:lang w:val="en-US"/>
        </w:rPr>
        <w:t xml:space="preserve"> = 1949 U.S. LEXIS </w:t>
      </w:r>
      <w:r w:rsidRPr="003A5152">
        <w:rPr>
          <w:lang w:val="en-US"/>
        </w:rPr>
        <w:t>2079, 1 (1949)</w:t>
      </w:r>
      <w:r>
        <w:rPr>
          <w:lang w:val="en-US"/>
        </w:rPr>
        <w:t>.</w:t>
      </w:r>
    </w:p>
  </w:footnote>
  <w:footnote w:id="2225">
    <w:p w14:paraId="312BED83" w14:textId="77777777" w:rsidR="00074551" w:rsidRPr="003011C8" w:rsidRDefault="00074551" w:rsidP="00074551">
      <w:pPr>
        <w:pStyle w:val="Funotentext"/>
        <w:rPr>
          <w:lang w:val="en-US"/>
        </w:rPr>
      </w:pPr>
      <w:r>
        <w:rPr>
          <w:rStyle w:val="Funotenzeichen"/>
        </w:rPr>
        <w:footnoteRef/>
      </w:r>
      <w:r w:rsidRPr="003011C8">
        <w:rPr>
          <w:lang w:val="en-US"/>
        </w:rPr>
        <w:t xml:space="preserve"> </w:t>
      </w:r>
      <w:r w:rsidRPr="00AB01D2">
        <w:rPr>
          <w:i/>
          <w:lang w:val="en-US"/>
        </w:rPr>
        <w:t>Mapp v. Ohio</w:t>
      </w:r>
      <w:r w:rsidRPr="003011C8">
        <w:rPr>
          <w:lang w:val="en-US"/>
        </w:rPr>
        <w:t>, 367 U.S. 643, 653</w:t>
      </w:r>
      <w:r w:rsidRPr="006E67FE">
        <w:rPr>
          <w:lang w:val="en-US"/>
        </w:rPr>
        <w:t xml:space="preserve"> = 81 S. Ct. </w:t>
      </w:r>
      <w:r w:rsidRPr="003011C8">
        <w:rPr>
          <w:lang w:val="en-US"/>
        </w:rPr>
        <w:t>1684, 1690</w:t>
      </w:r>
      <w:r>
        <w:rPr>
          <w:lang w:val="en-US"/>
        </w:rPr>
        <w:t xml:space="preserve"> = 6 L. Ed. </w:t>
      </w:r>
      <w:r w:rsidRPr="003011C8">
        <w:rPr>
          <w:lang w:val="en-US"/>
        </w:rPr>
        <w:t>2d 1081, 1089</w:t>
      </w:r>
      <w:r w:rsidRPr="006E67FE">
        <w:rPr>
          <w:lang w:val="en-US"/>
        </w:rPr>
        <w:t xml:space="preserve"> = 1961 U.S. LEXIS </w:t>
      </w:r>
      <w:r w:rsidRPr="003011C8">
        <w:rPr>
          <w:lang w:val="en-US"/>
        </w:rPr>
        <w:t>812, 18</w:t>
      </w:r>
      <w:r>
        <w:rPr>
          <w:lang w:val="en-US"/>
        </w:rPr>
        <w:t xml:space="preserve"> = 84 A.L.R. 2d </w:t>
      </w:r>
      <w:r w:rsidRPr="003011C8">
        <w:rPr>
          <w:lang w:val="en-US"/>
        </w:rPr>
        <w:t>933</w:t>
      </w:r>
      <w:r>
        <w:rPr>
          <w:lang w:val="en-US"/>
        </w:rPr>
        <w:t xml:space="preserve"> = 86 Ohio L. Abs. </w:t>
      </w:r>
      <w:r w:rsidRPr="003011C8">
        <w:rPr>
          <w:lang w:val="en-US"/>
        </w:rPr>
        <w:t>513</w:t>
      </w:r>
      <w:r>
        <w:rPr>
          <w:lang w:val="en-US"/>
        </w:rPr>
        <w:t xml:space="preserve"> = 16 Ohio Op. </w:t>
      </w:r>
      <w:r w:rsidRPr="003011C8">
        <w:rPr>
          <w:lang w:val="en-US"/>
        </w:rPr>
        <w:t>2d 384 (1961)</w:t>
      </w:r>
      <w:r>
        <w:rPr>
          <w:lang w:val="en-US"/>
        </w:rPr>
        <w:t>.</w:t>
      </w:r>
    </w:p>
  </w:footnote>
  <w:footnote w:id="2226">
    <w:p w14:paraId="7D43969A" w14:textId="77777777" w:rsidR="00074551" w:rsidRPr="00893133" w:rsidRDefault="00074551" w:rsidP="00074551">
      <w:pPr>
        <w:pStyle w:val="Funotentext"/>
        <w:rPr>
          <w:lang w:val="en-US"/>
        </w:rPr>
      </w:pPr>
      <w:r>
        <w:rPr>
          <w:rStyle w:val="Funotenzeichen"/>
          <w:rFonts w:eastAsiaTheme="majorEastAsia"/>
        </w:rPr>
        <w:footnoteRef/>
      </w:r>
      <w:r w:rsidRPr="00893133">
        <w:rPr>
          <w:lang w:val="en-US"/>
        </w:rPr>
        <w:t xml:space="preserve"> </w:t>
      </w:r>
      <w:r w:rsidRPr="00AB01D2">
        <w:rPr>
          <w:i/>
          <w:lang w:val="en-US"/>
        </w:rPr>
        <w:t>Mapp v. Ohio</w:t>
      </w:r>
      <w:r w:rsidRPr="00893133">
        <w:rPr>
          <w:lang w:val="en-US"/>
        </w:rPr>
        <w:t>, 367 U.S. 643, 643</w:t>
      </w:r>
      <w:r w:rsidRPr="006E67FE">
        <w:rPr>
          <w:lang w:val="en-US"/>
        </w:rPr>
        <w:t xml:space="preserve"> = 81 S. Ct. </w:t>
      </w:r>
      <w:r w:rsidRPr="00893133">
        <w:rPr>
          <w:lang w:val="en-US"/>
        </w:rPr>
        <w:t>1684, 1685</w:t>
      </w:r>
      <w:r>
        <w:rPr>
          <w:lang w:val="en-US"/>
        </w:rPr>
        <w:t xml:space="preserve"> = 6 L. Ed. </w:t>
      </w:r>
      <w:r w:rsidRPr="00893133">
        <w:rPr>
          <w:lang w:val="en-US"/>
        </w:rPr>
        <w:t>2d 1081, 1083</w:t>
      </w:r>
      <w:r w:rsidRPr="006E67FE">
        <w:rPr>
          <w:lang w:val="en-US"/>
        </w:rPr>
        <w:t xml:space="preserve"> = 1961 U.S. LEXIS </w:t>
      </w:r>
      <w:r w:rsidRPr="00893133">
        <w:rPr>
          <w:lang w:val="en-US"/>
        </w:rPr>
        <w:t>812, 1</w:t>
      </w:r>
      <w:r>
        <w:rPr>
          <w:lang w:val="en-US"/>
        </w:rPr>
        <w:t xml:space="preserve"> = 84 A.L.R. 2d </w:t>
      </w:r>
      <w:r w:rsidRPr="00893133">
        <w:rPr>
          <w:lang w:val="en-US"/>
        </w:rPr>
        <w:t>933</w:t>
      </w:r>
      <w:r>
        <w:rPr>
          <w:lang w:val="en-US"/>
        </w:rPr>
        <w:t xml:space="preserve"> = 86 Ohio L. Abs. </w:t>
      </w:r>
      <w:r w:rsidRPr="00893133">
        <w:rPr>
          <w:lang w:val="en-US"/>
        </w:rPr>
        <w:t>513</w:t>
      </w:r>
      <w:r>
        <w:rPr>
          <w:lang w:val="en-US"/>
        </w:rPr>
        <w:t xml:space="preserve"> = 16 Ohio Op. </w:t>
      </w:r>
      <w:r w:rsidRPr="00893133">
        <w:rPr>
          <w:lang w:val="en-US"/>
        </w:rPr>
        <w:t>2d 384 (1961)</w:t>
      </w:r>
      <w:r>
        <w:rPr>
          <w:lang w:val="en-US"/>
        </w:rPr>
        <w:t>.</w:t>
      </w:r>
    </w:p>
  </w:footnote>
  <w:footnote w:id="2227">
    <w:p w14:paraId="24F584E3" w14:textId="77777777" w:rsidR="00074551" w:rsidRPr="00893133" w:rsidRDefault="00074551" w:rsidP="00074551">
      <w:pPr>
        <w:pStyle w:val="Funotentext"/>
        <w:rPr>
          <w:lang w:val="en-US"/>
        </w:rPr>
      </w:pPr>
      <w:r>
        <w:rPr>
          <w:rStyle w:val="Funotenzeichen"/>
          <w:rFonts w:eastAsiaTheme="majorEastAsia"/>
        </w:rPr>
        <w:footnoteRef/>
      </w:r>
      <w:r w:rsidRPr="00893133">
        <w:rPr>
          <w:lang w:val="en-US"/>
        </w:rPr>
        <w:t xml:space="preserve"> </w:t>
      </w:r>
      <w:r w:rsidRPr="00AB01D2">
        <w:rPr>
          <w:i/>
          <w:lang w:val="en-US"/>
        </w:rPr>
        <w:t>Mapp v. Ohio</w:t>
      </w:r>
      <w:r w:rsidRPr="00893133">
        <w:rPr>
          <w:lang w:val="en-US"/>
        </w:rPr>
        <w:t>, 367 U.S. 643, 643</w:t>
      </w:r>
      <w:r w:rsidRPr="006E67FE">
        <w:rPr>
          <w:lang w:val="en-US"/>
        </w:rPr>
        <w:t xml:space="preserve"> = 81 S. Ct. </w:t>
      </w:r>
      <w:r w:rsidRPr="00893133">
        <w:rPr>
          <w:lang w:val="en-US"/>
        </w:rPr>
        <w:t>1684, 1685</w:t>
      </w:r>
      <w:r>
        <w:rPr>
          <w:lang w:val="en-US"/>
        </w:rPr>
        <w:t xml:space="preserve"> = 6 L. Ed. </w:t>
      </w:r>
      <w:r w:rsidRPr="00893133">
        <w:rPr>
          <w:lang w:val="en-US"/>
        </w:rPr>
        <w:t>2d 1081, 1083</w:t>
      </w:r>
      <w:r w:rsidRPr="006E67FE">
        <w:rPr>
          <w:lang w:val="en-US"/>
        </w:rPr>
        <w:t xml:space="preserve"> = 1961 U.S. LEXIS </w:t>
      </w:r>
      <w:r w:rsidRPr="00893133">
        <w:rPr>
          <w:lang w:val="en-US"/>
        </w:rPr>
        <w:t>812, 1</w:t>
      </w:r>
      <w:r>
        <w:rPr>
          <w:lang w:val="en-US"/>
        </w:rPr>
        <w:t xml:space="preserve"> = 84 A.L.R. 2d </w:t>
      </w:r>
      <w:r w:rsidRPr="00893133">
        <w:rPr>
          <w:lang w:val="en-US"/>
        </w:rPr>
        <w:t>933</w:t>
      </w:r>
      <w:r>
        <w:rPr>
          <w:lang w:val="en-US"/>
        </w:rPr>
        <w:t xml:space="preserve"> = 86 Ohio L. Abs. </w:t>
      </w:r>
      <w:r w:rsidRPr="00893133">
        <w:rPr>
          <w:lang w:val="en-US"/>
        </w:rPr>
        <w:t>513</w:t>
      </w:r>
      <w:r>
        <w:rPr>
          <w:lang w:val="en-US"/>
        </w:rPr>
        <w:t xml:space="preserve"> = 16 Ohio Op. </w:t>
      </w:r>
      <w:r w:rsidRPr="00893133">
        <w:rPr>
          <w:lang w:val="en-US"/>
        </w:rPr>
        <w:t>2d 384 (1961)</w:t>
      </w:r>
      <w:r>
        <w:rPr>
          <w:lang w:val="en-US"/>
        </w:rPr>
        <w:t>.</w:t>
      </w:r>
    </w:p>
  </w:footnote>
  <w:footnote w:id="2228">
    <w:p w14:paraId="79F7C45D" w14:textId="77777777" w:rsidR="00074551" w:rsidRPr="003A5152" w:rsidRDefault="00074551" w:rsidP="00074551">
      <w:pPr>
        <w:pStyle w:val="Funotentext"/>
        <w:rPr>
          <w:lang w:val="en-US"/>
        </w:rPr>
      </w:pPr>
      <w:r>
        <w:rPr>
          <w:rStyle w:val="Funotenzeichen"/>
          <w:rFonts w:eastAsiaTheme="majorEastAsia"/>
        </w:rPr>
        <w:footnoteRef/>
      </w:r>
      <w:r w:rsidRPr="003A5152">
        <w:rPr>
          <w:lang w:val="en-US"/>
        </w:rPr>
        <w:t xml:space="preserve"> </w:t>
      </w:r>
      <w:r w:rsidRPr="00B45592">
        <w:rPr>
          <w:i/>
          <w:lang w:val="en-US"/>
        </w:rPr>
        <w:t>Wolf v. Colo.</w:t>
      </w:r>
      <w:r w:rsidRPr="003A5152">
        <w:rPr>
          <w:lang w:val="en-US"/>
        </w:rPr>
        <w:t>, 338 U.S. 25, 25</w:t>
      </w:r>
      <w:r w:rsidRPr="006E67FE">
        <w:rPr>
          <w:lang w:val="en-US"/>
        </w:rPr>
        <w:t xml:space="preserve"> = 69 S. Ct. </w:t>
      </w:r>
      <w:r w:rsidRPr="003A5152">
        <w:rPr>
          <w:lang w:val="en-US"/>
        </w:rPr>
        <w:t>1359, 1360</w:t>
      </w:r>
      <w:r w:rsidRPr="006E67FE">
        <w:rPr>
          <w:lang w:val="en-US"/>
        </w:rPr>
        <w:t xml:space="preserve"> = 93 L. Ed. </w:t>
      </w:r>
      <w:r w:rsidRPr="003A5152">
        <w:rPr>
          <w:lang w:val="en-US"/>
        </w:rPr>
        <w:t>1782, 1784</w:t>
      </w:r>
      <w:r w:rsidRPr="006E67FE">
        <w:rPr>
          <w:lang w:val="en-US"/>
        </w:rPr>
        <w:t xml:space="preserve"> = 1949 U.S. LEXIS </w:t>
      </w:r>
      <w:r w:rsidRPr="003A5152">
        <w:rPr>
          <w:lang w:val="en-US"/>
        </w:rPr>
        <w:t>2079, 1 (1949)</w:t>
      </w:r>
      <w:r>
        <w:rPr>
          <w:lang w:val="en-US"/>
        </w:rPr>
        <w:t>.</w:t>
      </w:r>
    </w:p>
  </w:footnote>
  <w:footnote w:id="2229">
    <w:p w14:paraId="31352410" w14:textId="77777777" w:rsidR="00074551" w:rsidRPr="00324175" w:rsidRDefault="00074551" w:rsidP="00074551">
      <w:pPr>
        <w:pStyle w:val="Funotentext"/>
      </w:pPr>
      <w:r>
        <w:rPr>
          <w:rStyle w:val="Funotenzeichen"/>
          <w:rFonts w:eastAsiaTheme="majorEastAsia"/>
        </w:rPr>
        <w:footnoteRef/>
      </w:r>
      <w:r w:rsidRPr="00324175">
        <w:t xml:space="preserve"> V</w:t>
      </w:r>
      <w:r>
        <w:t>g</w:t>
      </w:r>
      <w:r w:rsidRPr="00324175">
        <w:t>l. zur Erläuterung des Di</w:t>
      </w:r>
      <w:r>
        <w:t xml:space="preserve">ssens in der </w:t>
      </w:r>
      <w:proofErr w:type="spellStart"/>
      <w:r w:rsidRPr="00B45592">
        <w:rPr>
          <w:i/>
          <w:iCs/>
        </w:rPr>
        <w:t>majority</w:t>
      </w:r>
      <w:proofErr w:type="spellEnd"/>
      <w:r w:rsidRPr="00B45592">
        <w:rPr>
          <w:i/>
          <w:iCs/>
        </w:rPr>
        <w:t xml:space="preserve"> </w:t>
      </w:r>
      <w:proofErr w:type="spellStart"/>
      <w:r w:rsidRPr="00B45592">
        <w:rPr>
          <w:i/>
          <w:iCs/>
        </w:rPr>
        <w:t>opinion</w:t>
      </w:r>
      <w:proofErr w:type="spellEnd"/>
      <w:r>
        <w:t xml:space="preserve"> eines anderen Falles beispielhaft: </w:t>
      </w:r>
      <w:r w:rsidRPr="00B45592">
        <w:rPr>
          <w:i/>
        </w:rPr>
        <w:t>Coolidge v. N.H.</w:t>
      </w:r>
      <w:r w:rsidRPr="00324175">
        <w:t>, 403 U.S. 443, 484</w:t>
      </w:r>
      <w:r w:rsidRPr="006E67FE">
        <w:t xml:space="preserve"> = 91 S. Ct. </w:t>
      </w:r>
      <w:r w:rsidRPr="00324175">
        <w:t>2022, 2047</w:t>
      </w:r>
      <w:r w:rsidRPr="00EC5BEB">
        <w:t xml:space="preserve"> = 29 L. Ed. </w:t>
      </w:r>
      <w:r w:rsidRPr="00324175">
        <w:t>2d 564, 593</w:t>
      </w:r>
      <w:r>
        <w:t xml:space="preserve"> = 1971 U.S. LEXIS </w:t>
      </w:r>
      <w:r w:rsidRPr="00324175">
        <w:t>25, 65 (1971)</w:t>
      </w:r>
      <w:r>
        <w:t>.</w:t>
      </w:r>
    </w:p>
  </w:footnote>
  <w:footnote w:id="2230">
    <w:p w14:paraId="5EB55273" w14:textId="77777777" w:rsidR="00074551" w:rsidRPr="00BB13F2" w:rsidRDefault="00074551" w:rsidP="00074551">
      <w:pPr>
        <w:pStyle w:val="Funotentext"/>
        <w:rPr>
          <w:lang w:val="en-US"/>
        </w:rPr>
      </w:pPr>
      <w:r>
        <w:rPr>
          <w:rStyle w:val="Funotenzeichen"/>
          <w:rFonts w:eastAsiaTheme="majorEastAsia"/>
        </w:rPr>
        <w:footnoteRef/>
      </w:r>
      <w:r w:rsidRPr="00BB13F2">
        <w:rPr>
          <w:lang w:val="en-US"/>
        </w:rPr>
        <w:t xml:space="preserve"> </w:t>
      </w:r>
      <w:r w:rsidRPr="00AB01D2">
        <w:rPr>
          <w:i/>
          <w:lang w:val="en-IE"/>
        </w:rPr>
        <w:t>Mapp v. Ohio</w:t>
      </w:r>
      <w:r w:rsidRPr="00B45592">
        <w:rPr>
          <w:lang w:val="en-IE"/>
        </w:rPr>
        <w:t>, 367 U.S. 643, 673</w:t>
      </w:r>
      <w:r w:rsidRPr="006E67FE">
        <w:rPr>
          <w:lang w:val="en-IE"/>
        </w:rPr>
        <w:t xml:space="preserve"> = 81 S. Ct. </w:t>
      </w:r>
      <w:r w:rsidRPr="00B45592">
        <w:rPr>
          <w:lang w:val="en-IE"/>
        </w:rPr>
        <w:t>1684, 1701</w:t>
      </w:r>
      <w:r>
        <w:rPr>
          <w:lang w:val="en-IE"/>
        </w:rPr>
        <w:t xml:space="preserve"> = 6 L. Ed. </w:t>
      </w:r>
      <w:r w:rsidRPr="00B45592">
        <w:rPr>
          <w:lang w:val="en-IE"/>
        </w:rPr>
        <w:t>2d 1081, 1100</w:t>
      </w:r>
      <w:r w:rsidRPr="006E67FE">
        <w:rPr>
          <w:lang w:val="en-IE"/>
        </w:rPr>
        <w:t xml:space="preserve"> = 1961 U.S. LEXIS </w:t>
      </w:r>
      <w:r w:rsidRPr="00B45592">
        <w:rPr>
          <w:lang w:val="en-IE"/>
        </w:rPr>
        <w:t>812, 53</w:t>
      </w:r>
      <w:r>
        <w:rPr>
          <w:lang w:val="en-IE"/>
        </w:rPr>
        <w:t xml:space="preserve"> = 84 A.L.R. 2d </w:t>
      </w:r>
      <w:r w:rsidRPr="00B45592">
        <w:rPr>
          <w:lang w:val="en-IE"/>
        </w:rPr>
        <w:t>933</w:t>
      </w:r>
      <w:r>
        <w:rPr>
          <w:lang w:val="en-IE"/>
        </w:rPr>
        <w:t xml:space="preserve"> = 86 Ohio L. Abs. </w:t>
      </w:r>
      <w:r w:rsidRPr="00B45592">
        <w:rPr>
          <w:lang w:val="en-IE"/>
        </w:rPr>
        <w:t>513</w:t>
      </w:r>
      <w:r>
        <w:rPr>
          <w:lang w:val="en-IE"/>
        </w:rPr>
        <w:t xml:space="preserve"> = 16 Ohio Op. </w:t>
      </w:r>
      <w:r w:rsidRPr="00B45592">
        <w:rPr>
          <w:lang w:val="en-IE"/>
        </w:rPr>
        <w:t>2d 384 (1961)</w:t>
      </w:r>
      <w:r>
        <w:rPr>
          <w:lang w:val="en-US"/>
        </w:rPr>
        <w:t>.</w:t>
      </w:r>
    </w:p>
  </w:footnote>
  <w:footnote w:id="2231">
    <w:p w14:paraId="6D290168" w14:textId="77777777" w:rsidR="00074551" w:rsidRPr="00F4274B" w:rsidRDefault="00074551" w:rsidP="00074551">
      <w:pPr>
        <w:pStyle w:val="Funotentext"/>
        <w:rPr>
          <w:lang w:val="en-US"/>
        </w:rPr>
      </w:pPr>
      <w:r>
        <w:rPr>
          <w:rStyle w:val="Funotenzeichen"/>
          <w:rFonts w:eastAsiaTheme="majorEastAsia"/>
        </w:rPr>
        <w:footnoteRef/>
      </w:r>
      <w:r w:rsidRPr="00F4274B">
        <w:rPr>
          <w:lang w:val="en-US"/>
        </w:rPr>
        <w:t xml:space="preserve"> </w:t>
      </w:r>
      <w:r w:rsidRPr="00AB01D2">
        <w:rPr>
          <w:i/>
          <w:lang w:val="en-US"/>
        </w:rPr>
        <w:t>Oklahoma Press Pub. Co. v. Walling</w:t>
      </w:r>
      <w:r w:rsidRPr="00F4274B">
        <w:rPr>
          <w:lang w:val="en-US"/>
        </w:rPr>
        <w:t>, 327 U.S. 186, 203</w:t>
      </w:r>
      <w:r>
        <w:rPr>
          <w:lang w:val="en-US"/>
        </w:rPr>
        <w:t xml:space="preserve"> = 66 S. Ct. </w:t>
      </w:r>
      <w:r w:rsidRPr="00F4274B">
        <w:rPr>
          <w:lang w:val="en-US"/>
        </w:rPr>
        <w:t>494, 502</w:t>
      </w:r>
      <w:r>
        <w:rPr>
          <w:lang w:val="en-US"/>
        </w:rPr>
        <w:t xml:space="preserve"> = 90 L. Ed. </w:t>
      </w:r>
      <w:r w:rsidRPr="00F4274B">
        <w:rPr>
          <w:lang w:val="en-US"/>
        </w:rPr>
        <w:t>614, 626</w:t>
      </w:r>
      <w:r>
        <w:rPr>
          <w:lang w:val="en-US"/>
        </w:rPr>
        <w:t xml:space="preserve"> = 1946 U.S. LEXIS </w:t>
      </w:r>
      <w:r w:rsidRPr="00F4274B">
        <w:rPr>
          <w:lang w:val="en-US"/>
        </w:rPr>
        <w:t>3089, 30</w:t>
      </w:r>
      <w:r>
        <w:rPr>
          <w:lang w:val="en-US"/>
        </w:rPr>
        <w:t xml:space="preserve"> = 10 Lab. Cas. </w:t>
      </w:r>
      <w:r w:rsidRPr="00F4274B">
        <w:rPr>
          <w:lang w:val="en-US"/>
        </w:rPr>
        <w:t>(CCH) P51,222</w:t>
      </w:r>
      <w:r>
        <w:rPr>
          <w:lang w:val="en-US"/>
        </w:rPr>
        <w:t xml:space="preserve"> = 166 A.L.R. </w:t>
      </w:r>
      <w:r w:rsidRPr="00F4274B">
        <w:rPr>
          <w:lang w:val="en-US"/>
        </w:rPr>
        <w:t>531 (1946).</w:t>
      </w:r>
    </w:p>
  </w:footnote>
  <w:footnote w:id="2232">
    <w:p w14:paraId="5927E7BE" w14:textId="77777777" w:rsidR="00074551" w:rsidRPr="00F4274B" w:rsidRDefault="00074551" w:rsidP="00074551">
      <w:pPr>
        <w:pStyle w:val="Funotentext"/>
        <w:rPr>
          <w:lang w:val="en-US"/>
        </w:rPr>
      </w:pPr>
      <w:r>
        <w:rPr>
          <w:rStyle w:val="Funotenzeichen"/>
          <w:rFonts w:eastAsiaTheme="majorEastAsia"/>
        </w:rPr>
        <w:footnoteRef/>
      </w:r>
      <w:r w:rsidRPr="00F4274B">
        <w:rPr>
          <w:lang w:val="en-US"/>
        </w:rPr>
        <w:t xml:space="preserve"> </w:t>
      </w:r>
      <w:r w:rsidRPr="00AB01D2">
        <w:rPr>
          <w:i/>
          <w:lang w:val="en-US"/>
        </w:rPr>
        <w:t>Oklahoma Press Pub. Co. v. Walling</w:t>
      </w:r>
      <w:r w:rsidRPr="00F4274B">
        <w:rPr>
          <w:lang w:val="en-US"/>
        </w:rPr>
        <w:t>, 327 U.S. 186, 203</w:t>
      </w:r>
      <w:r>
        <w:rPr>
          <w:lang w:val="en-US"/>
        </w:rPr>
        <w:t xml:space="preserve"> = 66 S. Ct. </w:t>
      </w:r>
      <w:r w:rsidRPr="00F4274B">
        <w:rPr>
          <w:lang w:val="en-US"/>
        </w:rPr>
        <w:t>494, 502</w:t>
      </w:r>
      <w:r>
        <w:rPr>
          <w:lang w:val="en-US"/>
        </w:rPr>
        <w:t xml:space="preserve"> = 90 L. Ed. </w:t>
      </w:r>
      <w:r w:rsidRPr="00F4274B">
        <w:rPr>
          <w:lang w:val="en-US"/>
        </w:rPr>
        <w:t>614, 626</w:t>
      </w:r>
      <w:r>
        <w:rPr>
          <w:lang w:val="en-US"/>
        </w:rPr>
        <w:t xml:space="preserve"> = 1946 U.S. LEXIS </w:t>
      </w:r>
      <w:r w:rsidRPr="00F4274B">
        <w:rPr>
          <w:lang w:val="en-US"/>
        </w:rPr>
        <w:t>3089, 30</w:t>
      </w:r>
      <w:r>
        <w:rPr>
          <w:lang w:val="en-US"/>
        </w:rPr>
        <w:t xml:space="preserve"> = 10 Lab. Cas. </w:t>
      </w:r>
      <w:r w:rsidRPr="00F4274B">
        <w:rPr>
          <w:lang w:val="en-US"/>
        </w:rPr>
        <w:t>(CCH) P51,222</w:t>
      </w:r>
      <w:r>
        <w:rPr>
          <w:lang w:val="en-US"/>
        </w:rPr>
        <w:t xml:space="preserve"> = 166 A.L.R. </w:t>
      </w:r>
      <w:r w:rsidRPr="00F4274B">
        <w:rPr>
          <w:lang w:val="en-US"/>
        </w:rPr>
        <w:t>531 (1946)</w:t>
      </w:r>
      <w:r>
        <w:rPr>
          <w:lang w:val="en-US"/>
        </w:rPr>
        <w:t>.</w:t>
      </w:r>
    </w:p>
  </w:footnote>
  <w:footnote w:id="2233">
    <w:p w14:paraId="6AF252B1" w14:textId="77777777" w:rsidR="00074551" w:rsidRPr="00F4274B" w:rsidRDefault="00074551" w:rsidP="00074551">
      <w:pPr>
        <w:pStyle w:val="Funotentext"/>
        <w:rPr>
          <w:lang w:val="en-US"/>
        </w:rPr>
      </w:pPr>
      <w:r>
        <w:rPr>
          <w:rStyle w:val="Funotenzeichen"/>
          <w:rFonts w:eastAsiaTheme="majorEastAsia"/>
        </w:rPr>
        <w:footnoteRef/>
      </w:r>
      <w:r w:rsidRPr="00F4274B">
        <w:rPr>
          <w:lang w:val="en-US"/>
        </w:rPr>
        <w:t xml:space="preserve"> </w:t>
      </w:r>
      <w:r w:rsidRPr="00AB01D2">
        <w:rPr>
          <w:i/>
          <w:lang w:val="en-US"/>
        </w:rPr>
        <w:t>Oklahoma Press Pub. Co. v. Walling</w:t>
      </w:r>
      <w:r w:rsidRPr="00F4274B">
        <w:rPr>
          <w:lang w:val="en-US"/>
        </w:rPr>
        <w:t>, 327 U.S. 186, 203</w:t>
      </w:r>
      <w:r>
        <w:rPr>
          <w:lang w:val="en-US"/>
        </w:rPr>
        <w:t xml:space="preserve"> = 66 S. Ct. </w:t>
      </w:r>
      <w:r w:rsidRPr="00F4274B">
        <w:rPr>
          <w:lang w:val="en-US"/>
        </w:rPr>
        <w:t>494, 502</w:t>
      </w:r>
      <w:r>
        <w:rPr>
          <w:lang w:val="en-US"/>
        </w:rPr>
        <w:t xml:space="preserve"> = 90 L. Ed. </w:t>
      </w:r>
      <w:r w:rsidRPr="00F4274B">
        <w:rPr>
          <w:lang w:val="en-US"/>
        </w:rPr>
        <w:t>614, 626</w:t>
      </w:r>
      <w:r>
        <w:rPr>
          <w:lang w:val="en-US"/>
        </w:rPr>
        <w:t xml:space="preserve"> = 1946 U.S. LEXIS </w:t>
      </w:r>
      <w:r w:rsidRPr="00F4274B">
        <w:rPr>
          <w:lang w:val="en-US"/>
        </w:rPr>
        <w:t>3089, 30</w:t>
      </w:r>
      <w:r>
        <w:rPr>
          <w:lang w:val="en-US"/>
        </w:rPr>
        <w:t xml:space="preserve"> = 10 Lab. Cas. </w:t>
      </w:r>
      <w:r w:rsidRPr="00F4274B">
        <w:rPr>
          <w:lang w:val="en-US"/>
        </w:rPr>
        <w:t>(CCH) P51,222</w:t>
      </w:r>
      <w:r>
        <w:rPr>
          <w:lang w:val="en-US"/>
        </w:rPr>
        <w:t xml:space="preserve"> = 166 A.L.R. </w:t>
      </w:r>
      <w:r w:rsidRPr="00F4274B">
        <w:rPr>
          <w:lang w:val="en-US"/>
        </w:rPr>
        <w:t>531 (1946)</w:t>
      </w:r>
      <w:r>
        <w:rPr>
          <w:lang w:val="en-US"/>
        </w:rPr>
        <w:t>.</w:t>
      </w:r>
    </w:p>
  </w:footnote>
  <w:footnote w:id="2234">
    <w:p w14:paraId="6D5B3501" w14:textId="77777777" w:rsidR="00074551" w:rsidRPr="00F4274B" w:rsidRDefault="00074551" w:rsidP="00074551">
      <w:pPr>
        <w:pStyle w:val="Funotentext"/>
        <w:rPr>
          <w:lang w:val="en-US"/>
        </w:rPr>
      </w:pPr>
      <w:r>
        <w:rPr>
          <w:rStyle w:val="Funotenzeichen"/>
          <w:rFonts w:eastAsiaTheme="majorEastAsia"/>
        </w:rPr>
        <w:footnoteRef/>
      </w:r>
      <w:r w:rsidRPr="00F4274B">
        <w:rPr>
          <w:lang w:val="en-US"/>
        </w:rPr>
        <w:t xml:space="preserve"> </w:t>
      </w:r>
      <w:r w:rsidRPr="00B45592">
        <w:rPr>
          <w:i/>
          <w:lang w:val="en-US"/>
        </w:rPr>
        <w:t>Jones v. Securities &amp; Exchange Commission</w:t>
      </w:r>
      <w:r w:rsidRPr="00F4274B">
        <w:rPr>
          <w:lang w:val="en-US"/>
        </w:rPr>
        <w:t>,</w:t>
      </w:r>
      <w:r>
        <w:rPr>
          <w:lang w:val="en-US"/>
        </w:rPr>
        <w:t xml:space="preserve"> </w:t>
      </w:r>
      <w:r w:rsidRPr="00F4274B">
        <w:rPr>
          <w:lang w:val="en-US"/>
        </w:rPr>
        <w:t>298 U.S. 1, 32</w:t>
      </w:r>
      <w:r>
        <w:rPr>
          <w:lang w:val="en-US"/>
        </w:rPr>
        <w:t>–</w:t>
      </w:r>
      <w:r w:rsidRPr="00F4274B">
        <w:rPr>
          <w:lang w:val="en-US"/>
        </w:rPr>
        <w:t xml:space="preserve">33. </w:t>
      </w:r>
      <w:proofErr w:type="spellStart"/>
      <w:r>
        <w:rPr>
          <w:lang w:val="en-US"/>
        </w:rPr>
        <w:t>Siehe</w:t>
      </w:r>
      <w:proofErr w:type="spellEnd"/>
      <w:r>
        <w:rPr>
          <w:lang w:val="en-US"/>
        </w:rPr>
        <w:t xml:space="preserve"> </w:t>
      </w:r>
      <w:proofErr w:type="spellStart"/>
      <w:r>
        <w:rPr>
          <w:lang w:val="en-US"/>
        </w:rPr>
        <w:t>auch</w:t>
      </w:r>
      <w:proofErr w:type="spellEnd"/>
      <w:r w:rsidRPr="00F4274B">
        <w:rPr>
          <w:lang w:val="en-US"/>
        </w:rPr>
        <w:t xml:space="preserve"> </w:t>
      </w:r>
      <w:r w:rsidRPr="00A81CB3">
        <w:rPr>
          <w:i/>
          <w:iCs/>
          <w:lang w:val="en-US"/>
        </w:rPr>
        <w:t>Handler</w:t>
      </w:r>
      <w:r w:rsidRPr="00F4274B">
        <w:rPr>
          <w:lang w:val="en-US"/>
        </w:rPr>
        <w:t xml:space="preserve">, Constitutionality of Investigations of the Federal Trade Commission (1928) 28 Col. L. Rev. 708, 905, </w:t>
      </w:r>
      <w:proofErr w:type="spellStart"/>
      <w:r>
        <w:rPr>
          <w:lang w:val="en-US"/>
        </w:rPr>
        <w:t>insbesondere</w:t>
      </w:r>
      <w:proofErr w:type="spellEnd"/>
      <w:r w:rsidRPr="00F4274B">
        <w:rPr>
          <w:lang w:val="en-US"/>
        </w:rPr>
        <w:t xml:space="preserve"> 933 ff.</w:t>
      </w:r>
      <w:r>
        <w:rPr>
          <w:lang w:val="en-US"/>
        </w:rPr>
        <w:t xml:space="preserve">; </w:t>
      </w:r>
      <w:r w:rsidRPr="00B45592">
        <w:rPr>
          <w:i/>
          <w:lang w:val="en-IE"/>
        </w:rPr>
        <w:t>Oklahoma Press Pub. Co. v. Walling</w:t>
      </w:r>
      <w:r w:rsidRPr="00B45592">
        <w:rPr>
          <w:lang w:val="en-IE"/>
        </w:rPr>
        <w:t>, 327 U.S. 186, 203</w:t>
      </w:r>
      <w:r w:rsidRPr="00B45592">
        <w:rPr>
          <w:rFonts w:eastAsiaTheme="majorEastAsia"/>
          <w:lang w:val="en-IE"/>
        </w:rPr>
        <w:t xml:space="preserve"> =</w:t>
      </w:r>
      <w:r w:rsidRPr="00B45592">
        <w:rPr>
          <w:lang w:val="en-IE"/>
        </w:rPr>
        <w:t xml:space="preserve"> 66 S. Ct. 494, 502</w:t>
      </w:r>
      <w:r w:rsidRPr="00B45592">
        <w:rPr>
          <w:rFonts w:eastAsiaTheme="majorEastAsia"/>
          <w:lang w:val="en-IE"/>
        </w:rPr>
        <w:t xml:space="preserve"> =</w:t>
      </w:r>
      <w:r w:rsidRPr="00B45592">
        <w:rPr>
          <w:lang w:val="en-IE"/>
        </w:rPr>
        <w:t xml:space="preserve"> 90 L. Ed. 614, 626</w:t>
      </w:r>
      <w:r w:rsidRPr="00B45592">
        <w:rPr>
          <w:rFonts w:eastAsiaTheme="majorEastAsia"/>
          <w:lang w:val="en-IE"/>
        </w:rPr>
        <w:t xml:space="preserve"> =</w:t>
      </w:r>
      <w:r w:rsidRPr="00B45592">
        <w:rPr>
          <w:lang w:val="en-IE"/>
        </w:rPr>
        <w:t xml:space="preserve"> 1946 U.S. LEXIS 3089, 30</w:t>
      </w:r>
      <w:r w:rsidRPr="00B45592">
        <w:rPr>
          <w:rFonts w:eastAsiaTheme="majorEastAsia"/>
          <w:lang w:val="en-IE"/>
        </w:rPr>
        <w:t xml:space="preserve"> =</w:t>
      </w:r>
      <w:r w:rsidRPr="00B45592">
        <w:rPr>
          <w:lang w:val="en-IE"/>
        </w:rPr>
        <w:t xml:space="preserve"> 10 Lab. Cas. (CCH) P51,222</w:t>
      </w:r>
      <w:r w:rsidRPr="00B45592">
        <w:rPr>
          <w:rFonts w:eastAsiaTheme="majorEastAsia"/>
          <w:lang w:val="en-IE"/>
        </w:rPr>
        <w:t xml:space="preserve"> =</w:t>
      </w:r>
      <w:r w:rsidRPr="00B45592">
        <w:rPr>
          <w:lang w:val="en-IE"/>
        </w:rPr>
        <w:t xml:space="preserve"> 166 A.L.R. 531 (1946).</w:t>
      </w:r>
    </w:p>
  </w:footnote>
  <w:footnote w:id="2235">
    <w:p w14:paraId="5F0D45FF" w14:textId="77777777" w:rsidR="00074551" w:rsidRPr="00F4274B" w:rsidRDefault="00074551" w:rsidP="00074551">
      <w:pPr>
        <w:pStyle w:val="Funotentext"/>
        <w:rPr>
          <w:lang w:val="en-US"/>
        </w:rPr>
      </w:pPr>
      <w:r>
        <w:rPr>
          <w:rStyle w:val="Funotenzeichen"/>
          <w:rFonts w:eastAsiaTheme="majorEastAsia"/>
        </w:rPr>
        <w:footnoteRef/>
      </w:r>
      <w:r w:rsidRPr="00F4274B">
        <w:rPr>
          <w:lang w:val="en-US"/>
        </w:rPr>
        <w:t xml:space="preserve"> </w:t>
      </w:r>
      <w:r w:rsidRPr="009167A5">
        <w:rPr>
          <w:i/>
          <w:lang w:val="en-US"/>
        </w:rPr>
        <w:t>Olmstead v. United States</w:t>
      </w:r>
      <w:r w:rsidRPr="00F4274B">
        <w:rPr>
          <w:lang w:val="en-US"/>
        </w:rPr>
        <w:t>, 277 U.S. 438, 478</w:t>
      </w:r>
      <w:r>
        <w:rPr>
          <w:lang w:val="en-US"/>
        </w:rPr>
        <w:t>–</w:t>
      </w:r>
      <w:r w:rsidRPr="00F4274B">
        <w:rPr>
          <w:lang w:val="en-US"/>
        </w:rPr>
        <w:t>479</w:t>
      </w:r>
      <w:r>
        <w:rPr>
          <w:lang w:val="en-US"/>
        </w:rPr>
        <w:t xml:space="preserve"> </w:t>
      </w:r>
      <w:r w:rsidRPr="003D7603">
        <w:rPr>
          <w:i/>
          <w:lang w:val="en-IE"/>
        </w:rPr>
        <w:t>Oklahoma Press Pub. Co. v. Walling</w:t>
      </w:r>
      <w:r w:rsidRPr="003D7603">
        <w:rPr>
          <w:lang w:val="en-IE"/>
        </w:rPr>
        <w:t>, 327 U.S. 186, 203</w:t>
      </w:r>
      <w:r w:rsidRPr="003D7603">
        <w:rPr>
          <w:rFonts w:eastAsiaTheme="majorEastAsia"/>
          <w:lang w:val="en-IE"/>
        </w:rPr>
        <w:t xml:space="preserve"> =</w:t>
      </w:r>
      <w:r w:rsidRPr="003D7603">
        <w:rPr>
          <w:lang w:val="en-IE"/>
        </w:rPr>
        <w:t xml:space="preserve"> 66 S. Ct. 494, 502</w:t>
      </w:r>
      <w:r w:rsidRPr="003D7603">
        <w:rPr>
          <w:rFonts w:eastAsiaTheme="majorEastAsia"/>
          <w:lang w:val="en-IE"/>
        </w:rPr>
        <w:t xml:space="preserve"> =</w:t>
      </w:r>
      <w:r w:rsidRPr="003D7603">
        <w:rPr>
          <w:lang w:val="en-IE"/>
        </w:rPr>
        <w:t xml:space="preserve"> 90 L. Ed. 614, 626</w:t>
      </w:r>
      <w:r w:rsidRPr="003D7603">
        <w:rPr>
          <w:rFonts w:eastAsiaTheme="majorEastAsia"/>
          <w:lang w:val="en-IE"/>
        </w:rPr>
        <w:t xml:space="preserve"> =</w:t>
      </w:r>
      <w:r w:rsidRPr="003D7603">
        <w:rPr>
          <w:lang w:val="en-IE"/>
        </w:rPr>
        <w:t xml:space="preserve"> 1946 U.S. LEXIS 3089, 30</w:t>
      </w:r>
      <w:r w:rsidRPr="003D7603">
        <w:rPr>
          <w:rFonts w:eastAsiaTheme="majorEastAsia"/>
          <w:lang w:val="en-IE"/>
        </w:rPr>
        <w:t xml:space="preserve"> =</w:t>
      </w:r>
      <w:r w:rsidRPr="003D7603">
        <w:rPr>
          <w:lang w:val="en-IE"/>
        </w:rPr>
        <w:t xml:space="preserve"> 10 Lab. Cas. (CCH) P51,222</w:t>
      </w:r>
      <w:r w:rsidRPr="003D7603">
        <w:rPr>
          <w:rFonts w:eastAsiaTheme="majorEastAsia"/>
          <w:lang w:val="en-IE"/>
        </w:rPr>
        <w:t xml:space="preserve"> =</w:t>
      </w:r>
      <w:r w:rsidRPr="003D7603">
        <w:rPr>
          <w:lang w:val="en-IE"/>
        </w:rPr>
        <w:t xml:space="preserve"> 166 A.L.R. 531 (1946).</w:t>
      </w:r>
    </w:p>
  </w:footnote>
  <w:footnote w:id="2236">
    <w:p w14:paraId="1B43315D" w14:textId="77777777" w:rsidR="00074551" w:rsidRPr="00F95083" w:rsidRDefault="00074551" w:rsidP="00074551">
      <w:pPr>
        <w:pStyle w:val="Funotentext"/>
        <w:rPr>
          <w:lang w:val="en-US"/>
        </w:rPr>
      </w:pPr>
      <w:r>
        <w:rPr>
          <w:rStyle w:val="Funotenzeichen"/>
          <w:rFonts w:eastAsiaTheme="majorEastAsia"/>
        </w:rPr>
        <w:footnoteRef/>
      </w:r>
      <w:r w:rsidRPr="009167A5">
        <w:rPr>
          <w:i/>
          <w:lang w:val="en-US"/>
        </w:rPr>
        <w:t>Olmstead v. United States</w:t>
      </w:r>
      <w:r w:rsidRPr="002576D3">
        <w:rPr>
          <w:lang w:val="en-US"/>
        </w:rPr>
        <w:t>, 277 U.S. 438, 478</w:t>
      </w:r>
      <w:r>
        <w:rPr>
          <w:lang w:val="en-US"/>
        </w:rPr>
        <w:t>–</w:t>
      </w:r>
      <w:r w:rsidRPr="002576D3">
        <w:rPr>
          <w:lang w:val="en-US"/>
        </w:rPr>
        <w:t>479</w:t>
      </w:r>
      <w:r>
        <w:rPr>
          <w:lang w:val="en-US"/>
        </w:rPr>
        <w:t xml:space="preserve">; </w:t>
      </w:r>
      <w:r w:rsidRPr="00AB01D2">
        <w:rPr>
          <w:i/>
          <w:lang w:val="en-US"/>
        </w:rPr>
        <w:t>Oklahoma Press Pub. Co. v. Walling</w:t>
      </w:r>
      <w:r w:rsidRPr="002576D3">
        <w:rPr>
          <w:lang w:val="en-US"/>
        </w:rPr>
        <w:t>, 327 U.S. 186, 203</w:t>
      </w:r>
      <w:r>
        <w:rPr>
          <w:lang w:val="en-US"/>
        </w:rPr>
        <w:t xml:space="preserve"> = 66 S. Ct. </w:t>
      </w:r>
      <w:r w:rsidRPr="002576D3">
        <w:rPr>
          <w:lang w:val="en-US"/>
        </w:rPr>
        <w:t>494, 502</w:t>
      </w:r>
      <w:r>
        <w:rPr>
          <w:lang w:val="en-US"/>
        </w:rPr>
        <w:t xml:space="preserve"> = 90 L. Ed. </w:t>
      </w:r>
      <w:r w:rsidRPr="002576D3">
        <w:rPr>
          <w:lang w:val="en-US"/>
        </w:rPr>
        <w:t>614, 626</w:t>
      </w:r>
      <w:r>
        <w:rPr>
          <w:lang w:val="en-US"/>
        </w:rPr>
        <w:t xml:space="preserve"> = 1946 U.S. LEXIS </w:t>
      </w:r>
      <w:r w:rsidRPr="002576D3">
        <w:rPr>
          <w:lang w:val="en-US"/>
        </w:rPr>
        <w:t>3089, 30</w:t>
      </w:r>
      <w:r>
        <w:rPr>
          <w:lang w:val="en-US"/>
        </w:rPr>
        <w:t xml:space="preserve"> = 10 Lab. Cas. </w:t>
      </w:r>
      <w:r w:rsidRPr="00F95083">
        <w:rPr>
          <w:lang w:val="en-US"/>
        </w:rPr>
        <w:t>(CCH) P51,222</w:t>
      </w:r>
      <w:r>
        <w:rPr>
          <w:lang w:val="en-US"/>
        </w:rPr>
        <w:t xml:space="preserve"> = 166 A.L.R. </w:t>
      </w:r>
      <w:r w:rsidRPr="00F95083">
        <w:rPr>
          <w:lang w:val="en-US"/>
        </w:rPr>
        <w:t>531 (1946).</w:t>
      </w:r>
    </w:p>
  </w:footnote>
  <w:footnote w:id="2237">
    <w:p w14:paraId="7BC97B92" w14:textId="77777777" w:rsidR="00074551" w:rsidRPr="00DD0C57" w:rsidRDefault="00074551" w:rsidP="00074551">
      <w:pPr>
        <w:pStyle w:val="Funotentext"/>
        <w:rPr>
          <w:lang w:val="en-US"/>
        </w:rPr>
      </w:pPr>
      <w:r>
        <w:rPr>
          <w:rStyle w:val="Funotenzeichen"/>
          <w:rFonts w:eastAsiaTheme="majorEastAsia"/>
        </w:rPr>
        <w:footnoteRef/>
      </w:r>
      <w:r w:rsidRPr="00DD0C57">
        <w:rPr>
          <w:lang w:val="en-US"/>
        </w:rPr>
        <w:t xml:space="preserve"> </w:t>
      </w:r>
      <w:r w:rsidRPr="00AB01D2">
        <w:rPr>
          <w:i/>
          <w:lang w:val="en-US"/>
        </w:rPr>
        <w:t>On Lee v. United States</w:t>
      </w:r>
      <w:r w:rsidRPr="00DD0C57">
        <w:rPr>
          <w:lang w:val="en-US"/>
        </w:rPr>
        <w:t>, 343 U.S. 747</w:t>
      </w:r>
      <w:r>
        <w:rPr>
          <w:lang w:val="en-US"/>
        </w:rPr>
        <w:t xml:space="preserve"> = 72 S. Ct</w:t>
      </w:r>
      <w:r w:rsidRPr="00DD0C57">
        <w:rPr>
          <w:lang w:val="en-US"/>
        </w:rPr>
        <w:t>. 967</w:t>
      </w:r>
      <w:r>
        <w:rPr>
          <w:lang w:val="en-US"/>
        </w:rPr>
        <w:t xml:space="preserve"> = 96 L. Ed. </w:t>
      </w:r>
      <w:r w:rsidRPr="00DD0C57">
        <w:rPr>
          <w:lang w:val="en-US"/>
        </w:rPr>
        <w:t>1270</w:t>
      </w:r>
      <w:r w:rsidRPr="006E67FE">
        <w:rPr>
          <w:lang w:val="en-US"/>
        </w:rPr>
        <w:t xml:space="preserve"> = 1952 U.S. LEXIS </w:t>
      </w:r>
      <w:r w:rsidRPr="00DD0C57">
        <w:rPr>
          <w:lang w:val="en-US"/>
        </w:rPr>
        <w:t>2794 (1952)</w:t>
      </w:r>
      <w:r>
        <w:rPr>
          <w:lang w:val="en-US"/>
        </w:rPr>
        <w:t>.</w:t>
      </w:r>
    </w:p>
  </w:footnote>
  <w:footnote w:id="2238">
    <w:p w14:paraId="7B96987B" w14:textId="77777777" w:rsidR="00074551" w:rsidRPr="00DD0C57" w:rsidRDefault="00074551" w:rsidP="00074551">
      <w:pPr>
        <w:pStyle w:val="Funotentext"/>
        <w:rPr>
          <w:lang w:val="en-US"/>
        </w:rPr>
      </w:pPr>
      <w:r>
        <w:rPr>
          <w:rStyle w:val="Funotenzeichen"/>
          <w:rFonts w:eastAsiaTheme="majorEastAsia"/>
        </w:rPr>
        <w:footnoteRef/>
      </w:r>
      <w:r w:rsidRPr="00DD0C57">
        <w:rPr>
          <w:lang w:val="en-US"/>
        </w:rPr>
        <w:t xml:space="preserve"> </w:t>
      </w:r>
      <w:r w:rsidRPr="00AB01D2">
        <w:rPr>
          <w:i/>
          <w:lang w:val="en-US"/>
        </w:rPr>
        <w:t>On Lee v. United States</w:t>
      </w:r>
      <w:r w:rsidRPr="00DD0C57">
        <w:rPr>
          <w:lang w:val="en-US"/>
        </w:rPr>
        <w:t>, 343 U.S. 747, 765</w:t>
      </w:r>
      <w:r>
        <w:rPr>
          <w:lang w:val="en-US"/>
        </w:rPr>
        <w:t xml:space="preserve"> = 72 S. Ct</w:t>
      </w:r>
      <w:r w:rsidRPr="00DD0C57">
        <w:rPr>
          <w:lang w:val="en-US"/>
        </w:rPr>
        <w:t>. 967, 977</w:t>
      </w:r>
      <w:r>
        <w:rPr>
          <w:lang w:val="en-US"/>
        </w:rPr>
        <w:t xml:space="preserve"> = 96 L. Ed. </w:t>
      </w:r>
      <w:r w:rsidRPr="00DD0C57">
        <w:rPr>
          <w:lang w:val="en-US"/>
        </w:rPr>
        <w:t>1270, 1281</w:t>
      </w:r>
      <w:r w:rsidRPr="006E67FE">
        <w:rPr>
          <w:lang w:val="en-US"/>
        </w:rPr>
        <w:t xml:space="preserve"> = 1952 U.S. LEXIS </w:t>
      </w:r>
      <w:r w:rsidRPr="00DD0C57">
        <w:rPr>
          <w:lang w:val="en-US"/>
        </w:rPr>
        <w:t>2794, 29 (1952)</w:t>
      </w:r>
      <w:r>
        <w:rPr>
          <w:lang w:val="en-US"/>
        </w:rPr>
        <w:t>.</w:t>
      </w:r>
    </w:p>
  </w:footnote>
  <w:footnote w:id="2239">
    <w:p w14:paraId="5B649E0B" w14:textId="77777777" w:rsidR="00074551" w:rsidRPr="00B45592" w:rsidRDefault="00074551" w:rsidP="00074551">
      <w:pPr>
        <w:pStyle w:val="Funotentext"/>
        <w:ind w:left="227" w:hanging="227"/>
      </w:pPr>
      <w:r>
        <w:rPr>
          <w:rStyle w:val="Funotenzeichen"/>
          <w:rFonts w:eastAsiaTheme="majorEastAsia"/>
        </w:rPr>
        <w:footnoteRef/>
      </w:r>
      <w:r w:rsidRPr="00B45592">
        <w:t xml:space="preserve"> Der Begriff findet sich in den </w:t>
      </w:r>
      <w:proofErr w:type="spellStart"/>
      <w:r w:rsidRPr="00B45592">
        <w:rPr>
          <w:i/>
        </w:rPr>
        <w:t>Headnotes</w:t>
      </w:r>
      <w:proofErr w:type="spellEnd"/>
      <w:r w:rsidRPr="00B45592">
        <w:t xml:space="preserve"> bei LexisNexis unter </w:t>
      </w:r>
      <w:r w:rsidRPr="00B45592">
        <w:rPr>
          <w:i/>
        </w:rPr>
        <w:t>On Lee v. United States</w:t>
      </w:r>
      <w:r w:rsidRPr="00B45592">
        <w:t>, 343 U.S. 747, 748 = 72 S. Ct. 967, 969 = 96 L. Ed. 1270, 1273 = 1952 U.S. LEXIS 2794, 1 (1952).</w:t>
      </w:r>
    </w:p>
  </w:footnote>
  <w:footnote w:id="2240">
    <w:p w14:paraId="3E0FF379" w14:textId="77777777" w:rsidR="00074551" w:rsidRPr="000C0945" w:rsidRDefault="00074551" w:rsidP="00074551">
      <w:pPr>
        <w:pStyle w:val="Funotentext"/>
        <w:rPr>
          <w:lang w:val="en-US"/>
        </w:rPr>
      </w:pPr>
      <w:r>
        <w:rPr>
          <w:rStyle w:val="Funotenzeichen"/>
          <w:rFonts w:eastAsiaTheme="majorEastAsia"/>
        </w:rPr>
        <w:footnoteRef/>
      </w:r>
      <w:r w:rsidRPr="000C0945">
        <w:rPr>
          <w:lang w:val="en-US"/>
        </w:rPr>
        <w:t xml:space="preserve"> </w:t>
      </w:r>
      <w:r w:rsidRPr="00AB01D2">
        <w:rPr>
          <w:i/>
          <w:lang w:val="en-US"/>
        </w:rPr>
        <w:t>On Lee v. United States</w:t>
      </w:r>
      <w:r w:rsidRPr="000C0945">
        <w:rPr>
          <w:lang w:val="en-US"/>
        </w:rPr>
        <w:t>, 343 U.S. 747, 748</w:t>
      </w:r>
      <w:r>
        <w:rPr>
          <w:lang w:val="en-US"/>
        </w:rPr>
        <w:t xml:space="preserve"> = 72 S. Ct</w:t>
      </w:r>
      <w:r w:rsidRPr="000C0945">
        <w:rPr>
          <w:lang w:val="en-US"/>
        </w:rPr>
        <w:t>. 967, 969</w:t>
      </w:r>
      <w:r>
        <w:rPr>
          <w:lang w:val="en-US"/>
        </w:rPr>
        <w:t xml:space="preserve"> = 96 L. Ed. </w:t>
      </w:r>
      <w:r w:rsidRPr="000C0945">
        <w:rPr>
          <w:lang w:val="en-US"/>
        </w:rPr>
        <w:t>1270, 1273</w:t>
      </w:r>
      <w:r w:rsidRPr="006E67FE">
        <w:rPr>
          <w:lang w:val="en-US"/>
        </w:rPr>
        <w:t xml:space="preserve"> = 1952 U.S. LEXIS </w:t>
      </w:r>
      <w:r w:rsidRPr="000C0945">
        <w:rPr>
          <w:lang w:val="en-US"/>
        </w:rPr>
        <w:t>2794, 1 (1952)</w:t>
      </w:r>
      <w:r>
        <w:rPr>
          <w:lang w:val="en-US"/>
        </w:rPr>
        <w:t>.</w:t>
      </w:r>
    </w:p>
  </w:footnote>
  <w:footnote w:id="2241">
    <w:p w14:paraId="04FC3CE1" w14:textId="77777777" w:rsidR="00074551" w:rsidRDefault="00074551" w:rsidP="00074551">
      <w:pPr>
        <w:pStyle w:val="Funotentext"/>
      </w:pPr>
      <w:r>
        <w:rPr>
          <w:rStyle w:val="Funotenzeichen"/>
          <w:rFonts w:eastAsiaTheme="majorEastAsia"/>
        </w:rPr>
        <w:footnoteRef/>
      </w:r>
      <w:r>
        <w:t xml:space="preserve"> Die Bedingungen, die einen Hausfriedensbruch ab initio darstellen, sind: Die missbräuchlich ausgeübte Befugnis muss eine gesetzliche Befugnis sein und darf nicht von einer Einzelperson ausgeübt werden[i]; es muss ein positives Fehlverhalten vorliegen und nicht nur eine bloße Unterlassung oder Vernachlässigung der Pflicht[ii], übersetzt nach </w:t>
      </w:r>
      <w:r w:rsidRPr="00B45592">
        <w:t>https://trespass.uslegal.com/trespass-ab-initio</w:t>
      </w:r>
      <w:r>
        <w:t xml:space="preserve"> (</w:t>
      </w:r>
      <w:r w:rsidRPr="00B45592">
        <w:rPr>
          <w:rFonts w:asciiTheme="majorBidi" w:hAnsiTheme="majorBidi" w:cstheme="majorBidi"/>
          <w:szCs w:val="17"/>
        </w:rPr>
        <w:t>24.04.2</w:t>
      </w:r>
      <w:r>
        <w:rPr>
          <w:rFonts w:asciiTheme="majorBidi" w:hAnsiTheme="majorBidi" w:cstheme="majorBidi"/>
          <w:szCs w:val="17"/>
        </w:rPr>
        <w:t>026).</w:t>
      </w:r>
    </w:p>
  </w:footnote>
  <w:footnote w:id="2242">
    <w:p w14:paraId="5BB847FF" w14:textId="77777777" w:rsidR="00074551" w:rsidRPr="00533739" w:rsidRDefault="00074551" w:rsidP="00074551">
      <w:pPr>
        <w:pStyle w:val="Funotentext"/>
      </w:pPr>
      <w:r>
        <w:rPr>
          <w:rStyle w:val="Funotenzeichen"/>
          <w:rFonts w:eastAsiaTheme="majorEastAsia"/>
        </w:rPr>
        <w:footnoteRef/>
      </w:r>
      <w:r w:rsidRPr="00533739">
        <w:t xml:space="preserve"> Zusammenfassend im Syllabus zum Urteil </w:t>
      </w:r>
      <w:r w:rsidRPr="00AB01D2">
        <w:rPr>
          <w:i/>
        </w:rPr>
        <w:t>On Lee v. United States</w:t>
      </w:r>
      <w:r w:rsidRPr="00533739">
        <w:t>, 343 U.S. 747, 748</w:t>
      </w:r>
      <w:r>
        <w:t xml:space="preserve"> = 72 S. Ct</w:t>
      </w:r>
      <w:r w:rsidRPr="00533739">
        <w:t>. 967, 969</w:t>
      </w:r>
      <w:r>
        <w:t xml:space="preserve"> = 96 L. Ed. </w:t>
      </w:r>
      <w:r w:rsidRPr="00533739">
        <w:t>1270, 1273</w:t>
      </w:r>
      <w:r w:rsidRPr="006E67FE">
        <w:t xml:space="preserve"> = 1952 U.S. LEXIS </w:t>
      </w:r>
      <w:r w:rsidRPr="00533739">
        <w:t xml:space="preserve">2794, 1 (1952), hier zur Vertiefung: </w:t>
      </w:r>
      <w:r w:rsidRPr="009167A5">
        <w:rPr>
          <w:i/>
        </w:rPr>
        <w:t>Olmstead v. United States</w:t>
      </w:r>
      <w:r w:rsidRPr="00533739">
        <w:t>, 277 U.S. 438</w:t>
      </w:r>
      <w:r>
        <w:t xml:space="preserve"> </w:t>
      </w:r>
      <w:r w:rsidRPr="00B45592">
        <w:t>(1928)</w:t>
      </w:r>
      <w:r w:rsidRPr="00533739">
        <w:t>.</w:t>
      </w:r>
    </w:p>
  </w:footnote>
  <w:footnote w:id="2243">
    <w:p w14:paraId="47AEEDAF" w14:textId="77777777" w:rsidR="00074551" w:rsidRPr="00823574" w:rsidRDefault="00074551" w:rsidP="00074551">
      <w:pPr>
        <w:pStyle w:val="Funotentext"/>
        <w:rPr>
          <w:lang w:val="en-US"/>
        </w:rPr>
      </w:pPr>
      <w:r>
        <w:rPr>
          <w:rStyle w:val="Funotenzeichen"/>
          <w:rFonts w:eastAsiaTheme="majorEastAsia"/>
        </w:rPr>
        <w:footnoteRef/>
      </w:r>
      <w:r w:rsidRPr="00823574">
        <w:rPr>
          <w:lang w:val="en-US"/>
        </w:rPr>
        <w:t xml:space="preserve"> </w:t>
      </w:r>
      <w:r w:rsidRPr="00546F93">
        <w:rPr>
          <w:i/>
          <w:lang w:val="en-US"/>
        </w:rPr>
        <w:t>Fong Yue Ting v. United States</w:t>
      </w:r>
      <w:r>
        <w:rPr>
          <w:lang w:val="en-US"/>
        </w:rPr>
        <w:t xml:space="preserve">, </w:t>
      </w:r>
      <w:r w:rsidRPr="00823574">
        <w:rPr>
          <w:lang w:val="en-US"/>
        </w:rPr>
        <w:t>149 U.S. 698, 704</w:t>
      </w:r>
      <w:r>
        <w:rPr>
          <w:lang w:val="en-US"/>
        </w:rPr>
        <w:t xml:space="preserve"> = 13 S. Ct. </w:t>
      </w:r>
      <w:r w:rsidRPr="00823574">
        <w:rPr>
          <w:lang w:val="en-US"/>
        </w:rPr>
        <w:t>1016, 1018</w:t>
      </w:r>
      <w:r>
        <w:rPr>
          <w:lang w:val="en-US"/>
        </w:rPr>
        <w:t xml:space="preserve"> = 37 L. Ed. </w:t>
      </w:r>
      <w:r w:rsidRPr="00823574">
        <w:rPr>
          <w:lang w:val="en-US"/>
        </w:rPr>
        <w:t>905, 910</w:t>
      </w:r>
      <w:r>
        <w:rPr>
          <w:lang w:val="en-US"/>
        </w:rPr>
        <w:t xml:space="preserve"> = 1893 U.S. LEXIS </w:t>
      </w:r>
      <w:r w:rsidRPr="00823574">
        <w:rPr>
          <w:lang w:val="en-US"/>
        </w:rPr>
        <w:t>2340, 1 (1893)</w:t>
      </w:r>
      <w:r>
        <w:rPr>
          <w:lang w:val="en-US"/>
        </w:rPr>
        <w:t>.</w:t>
      </w:r>
    </w:p>
  </w:footnote>
  <w:footnote w:id="2244">
    <w:p w14:paraId="1CE12992" w14:textId="630B3B87" w:rsidR="00074551" w:rsidRPr="00823574" w:rsidRDefault="00074551" w:rsidP="00074551">
      <w:pPr>
        <w:pStyle w:val="Funotentext"/>
        <w:rPr>
          <w:lang w:val="en-US"/>
        </w:rPr>
      </w:pPr>
      <w:r>
        <w:rPr>
          <w:rStyle w:val="Funotenzeichen"/>
          <w:rFonts w:eastAsiaTheme="majorEastAsia"/>
        </w:rPr>
        <w:footnoteRef/>
      </w:r>
      <w:r w:rsidRPr="00823574">
        <w:rPr>
          <w:lang w:val="en-US"/>
        </w:rPr>
        <w:t xml:space="preserve"> </w:t>
      </w:r>
      <w:r w:rsidRPr="00D83E4F">
        <w:rPr>
          <w:i/>
          <w:lang w:val="en-US"/>
        </w:rPr>
        <w:t>Ho Ah Kow v. Nunan</w:t>
      </w:r>
      <w:r w:rsidRPr="00823574">
        <w:rPr>
          <w:lang w:val="en-US"/>
        </w:rPr>
        <w:t>, 5 Sawyer, 552, 563</w:t>
      </w:r>
      <w:r w:rsidR="00BF0D11">
        <w:rPr>
          <w:lang w:val="en-US"/>
        </w:rPr>
        <w:t>, in</w:t>
      </w:r>
      <w:r>
        <w:rPr>
          <w:lang w:val="en-US"/>
        </w:rPr>
        <w:t xml:space="preserve"> </w:t>
      </w:r>
      <w:r w:rsidRPr="00546F93">
        <w:rPr>
          <w:i/>
          <w:lang w:val="en-US"/>
        </w:rPr>
        <w:t>Fong Yue Ting v. United States</w:t>
      </w:r>
      <w:r w:rsidRPr="00C22CB1">
        <w:rPr>
          <w:lang w:val="en-US"/>
        </w:rPr>
        <w:t>, 149 U.S. 698, 755</w:t>
      </w:r>
      <w:r>
        <w:rPr>
          <w:lang w:val="en-US"/>
        </w:rPr>
        <w:t xml:space="preserve"> = 13 S. Ct. </w:t>
      </w:r>
      <w:r w:rsidRPr="00C22CB1">
        <w:rPr>
          <w:lang w:val="en-US"/>
        </w:rPr>
        <w:t>1016, 1038</w:t>
      </w:r>
      <w:r>
        <w:rPr>
          <w:lang w:val="en-US"/>
        </w:rPr>
        <w:t xml:space="preserve"> = 37 L. Ed. </w:t>
      </w:r>
      <w:r w:rsidRPr="00C22CB1">
        <w:rPr>
          <w:lang w:val="en-US"/>
        </w:rPr>
        <w:t>905, 927</w:t>
      </w:r>
      <w:r>
        <w:rPr>
          <w:lang w:val="en-US"/>
        </w:rPr>
        <w:t xml:space="preserve"> = 1893 U.S. LEXIS </w:t>
      </w:r>
      <w:r w:rsidRPr="00C22CB1">
        <w:rPr>
          <w:lang w:val="en-US"/>
        </w:rPr>
        <w:t>2340, 103 (1893)</w:t>
      </w:r>
      <w:r>
        <w:rPr>
          <w:lang w:val="en-US"/>
        </w:rPr>
        <w:t>.</w:t>
      </w:r>
    </w:p>
  </w:footnote>
  <w:footnote w:id="2245">
    <w:p w14:paraId="05047519" w14:textId="5A7B56E6" w:rsidR="00074551" w:rsidRPr="00C22CB1" w:rsidRDefault="00074551" w:rsidP="00074551">
      <w:pPr>
        <w:pStyle w:val="Funotentext"/>
        <w:rPr>
          <w:lang w:val="en-US"/>
        </w:rPr>
      </w:pPr>
      <w:r>
        <w:rPr>
          <w:rStyle w:val="Funotenzeichen"/>
          <w:rFonts w:eastAsiaTheme="majorEastAsia"/>
        </w:rPr>
        <w:footnoteRef/>
      </w:r>
      <w:r w:rsidRPr="00C22CB1">
        <w:rPr>
          <w:lang w:val="en-US"/>
        </w:rPr>
        <w:t xml:space="preserve"> </w:t>
      </w:r>
      <w:r w:rsidRPr="00D83E4F">
        <w:rPr>
          <w:i/>
          <w:lang w:val="en-US"/>
        </w:rPr>
        <w:t>Ho Ah Kow v. Nunan</w:t>
      </w:r>
      <w:r w:rsidRPr="00C22CB1">
        <w:rPr>
          <w:lang w:val="en-US"/>
        </w:rPr>
        <w:t>, 5 Sawyer, 552, 563</w:t>
      </w:r>
      <w:r w:rsidR="00BF0D11">
        <w:rPr>
          <w:lang w:val="en-US"/>
        </w:rPr>
        <w:t>, in</w:t>
      </w:r>
      <w:r>
        <w:rPr>
          <w:lang w:val="en-US"/>
        </w:rPr>
        <w:t xml:space="preserve"> </w:t>
      </w:r>
      <w:r w:rsidRPr="00546F93">
        <w:rPr>
          <w:i/>
          <w:lang w:val="en-US"/>
        </w:rPr>
        <w:t>Fong Yue Ting v. United States</w:t>
      </w:r>
      <w:r w:rsidRPr="00C22CB1">
        <w:rPr>
          <w:lang w:val="en-US"/>
        </w:rPr>
        <w:t>, 149 U.S. 698, 755</w:t>
      </w:r>
      <w:r>
        <w:rPr>
          <w:lang w:val="en-US"/>
        </w:rPr>
        <w:t xml:space="preserve"> = 13 S. Ct. </w:t>
      </w:r>
      <w:r w:rsidRPr="00C22CB1">
        <w:rPr>
          <w:lang w:val="en-US"/>
        </w:rPr>
        <w:t>1016, 1038</w:t>
      </w:r>
      <w:r>
        <w:rPr>
          <w:lang w:val="en-US"/>
        </w:rPr>
        <w:t xml:space="preserve"> = 37 L. Ed. </w:t>
      </w:r>
      <w:r w:rsidRPr="00C22CB1">
        <w:rPr>
          <w:lang w:val="en-US"/>
        </w:rPr>
        <w:t>905, 927</w:t>
      </w:r>
      <w:r>
        <w:rPr>
          <w:lang w:val="en-US"/>
        </w:rPr>
        <w:t xml:space="preserve"> = 1893 U.S. LEXIS </w:t>
      </w:r>
      <w:r w:rsidRPr="00C22CB1">
        <w:rPr>
          <w:lang w:val="en-US"/>
        </w:rPr>
        <w:t>2340, 103 (1893)</w:t>
      </w:r>
      <w:r>
        <w:rPr>
          <w:lang w:val="en-US"/>
        </w:rPr>
        <w:t>.</w:t>
      </w:r>
    </w:p>
  </w:footnote>
  <w:footnote w:id="2246">
    <w:p w14:paraId="170CF642" w14:textId="50CBAB65" w:rsidR="00074551" w:rsidRPr="005B7E47" w:rsidRDefault="00074551" w:rsidP="00074551">
      <w:pPr>
        <w:pStyle w:val="Funotentext"/>
        <w:rPr>
          <w:lang w:val="en-US"/>
        </w:rPr>
      </w:pPr>
      <w:r>
        <w:rPr>
          <w:rStyle w:val="Funotenzeichen"/>
          <w:rFonts w:eastAsiaTheme="majorEastAsia"/>
        </w:rPr>
        <w:footnoteRef/>
      </w:r>
      <w:r w:rsidRPr="005B7E47">
        <w:rPr>
          <w:lang w:val="en-US"/>
        </w:rPr>
        <w:t xml:space="preserve"> </w:t>
      </w:r>
      <w:r w:rsidRPr="00D83E4F">
        <w:rPr>
          <w:i/>
          <w:lang w:val="en-US"/>
        </w:rPr>
        <w:t>Ho Ah Kow v. Nunan</w:t>
      </w:r>
      <w:r w:rsidRPr="005B7E47">
        <w:rPr>
          <w:lang w:val="en-US"/>
        </w:rPr>
        <w:t>, 5 Sawyer, 552, 563</w:t>
      </w:r>
      <w:r w:rsidR="00BF0D11">
        <w:rPr>
          <w:lang w:val="en-US"/>
        </w:rPr>
        <w:t>, in</w:t>
      </w:r>
      <w:r w:rsidRPr="005B7E47">
        <w:rPr>
          <w:lang w:val="en-US"/>
        </w:rPr>
        <w:t xml:space="preserve"> </w:t>
      </w:r>
      <w:r w:rsidRPr="00D83E4F">
        <w:rPr>
          <w:i/>
          <w:lang w:val="en-US"/>
        </w:rPr>
        <w:t>Yick Wo v. Hopkins</w:t>
      </w:r>
      <w:r w:rsidRPr="005B7E47">
        <w:rPr>
          <w:lang w:val="en-US"/>
        </w:rPr>
        <w:t>, 118 U.S. 356, 369</w:t>
      </w:r>
      <w:r>
        <w:rPr>
          <w:lang w:val="en-US"/>
        </w:rPr>
        <w:t xml:space="preserve">; </w:t>
      </w:r>
      <w:r w:rsidRPr="00546F93">
        <w:rPr>
          <w:i/>
          <w:lang w:val="en-US"/>
        </w:rPr>
        <w:t>Fong Yue Ting v. United States</w:t>
      </w:r>
      <w:r w:rsidRPr="005B7E47">
        <w:rPr>
          <w:lang w:val="en-US"/>
        </w:rPr>
        <w:t>, 149 U.S. 698, 755</w:t>
      </w:r>
      <w:r>
        <w:rPr>
          <w:lang w:val="en-US"/>
        </w:rPr>
        <w:t xml:space="preserve"> = 13 S. Ct. </w:t>
      </w:r>
      <w:r w:rsidRPr="005B7E47">
        <w:rPr>
          <w:lang w:val="en-US"/>
        </w:rPr>
        <w:t>1016, 1038</w:t>
      </w:r>
      <w:r>
        <w:rPr>
          <w:lang w:val="en-US"/>
        </w:rPr>
        <w:t xml:space="preserve"> = 37 L. Ed. </w:t>
      </w:r>
      <w:r w:rsidRPr="005B7E47">
        <w:rPr>
          <w:lang w:val="en-US"/>
        </w:rPr>
        <w:t>905, 927</w:t>
      </w:r>
      <w:r>
        <w:rPr>
          <w:lang w:val="en-US"/>
        </w:rPr>
        <w:t xml:space="preserve"> = 1893 U.S. LEXIS </w:t>
      </w:r>
      <w:r w:rsidRPr="005B7E47">
        <w:rPr>
          <w:lang w:val="en-US"/>
        </w:rPr>
        <w:t>2340, 102 (1893)</w:t>
      </w:r>
      <w:r>
        <w:rPr>
          <w:lang w:val="en-US"/>
        </w:rPr>
        <w:t>.</w:t>
      </w:r>
    </w:p>
  </w:footnote>
  <w:footnote w:id="2247">
    <w:p w14:paraId="675001F7" w14:textId="77777777" w:rsidR="00074551" w:rsidRPr="00F501B6" w:rsidRDefault="00074551" w:rsidP="00074551">
      <w:pPr>
        <w:pStyle w:val="Funotentext"/>
        <w:rPr>
          <w:lang w:val="en-US"/>
        </w:rPr>
      </w:pPr>
      <w:r>
        <w:rPr>
          <w:rStyle w:val="Funotenzeichen"/>
          <w:rFonts w:eastAsiaTheme="majorEastAsia"/>
        </w:rPr>
        <w:footnoteRef/>
      </w:r>
      <w:r w:rsidRPr="00F501B6">
        <w:rPr>
          <w:lang w:val="en-US"/>
        </w:rPr>
        <w:t xml:space="preserve"> </w:t>
      </w:r>
      <w:r w:rsidRPr="00546F93">
        <w:rPr>
          <w:i/>
          <w:lang w:val="en-US"/>
        </w:rPr>
        <w:t>Fong Yue Ting v. United States</w:t>
      </w:r>
      <w:r>
        <w:rPr>
          <w:lang w:val="en-US"/>
        </w:rPr>
        <w:t xml:space="preserve">, </w:t>
      </w:r>
      <w:r w:rsidRPr="00F501B6">
        <w:rPr>
          <w:lang w:val="en-US"/>
        </w:rPr>
        <w:t>149 U.S. 698, 755</w:t>
      </w:r>
      <w:r>
        <w:rPr>
          <w:lang w:val="en-US"/>
        </w:rPr>
        <w:t xml:space="preserve"> = 13 S. Ct. </w:t>
      </w:r>
      <w:r w:rsidRPr="00F501B6">
        <w:rPr>
          <w:lang w:val="en-US"/>
        </w:rPr>
        <w:t>1016, 1038</w:t>
      </w:r>
      <w:r>
        <w:rPr>
          <w:lang w:val="en-US"/>
        </w:rPr>
        <w:t xml:space="preserve"> = 37 L. Ed. </w:t>
      </w:r>
      <w:r w:rsidRPr="00F501B6">
        <w:rPr>
          <w:lang w:val="en-US"/>
        </w:rPr>
        <w:t xml:space="preserve">905, 927 </w:t>
      </w:r>
      <w:r>
        <w:rPr>
          <w:lang w:val="en-US"/>
        </w:rPr>
        <w:t xml:space="preserve">= 1893 U.S. LEXIS </w:t>
      </w:r>
      <w:r w:rsidRPr="00F501B6">
        <w:rPr>
          <w:lang w:val="en-US"/>
        </w:rPr>
        <w:t>2340, 103 (1893)</w:t>
      </w:r>
      <w:r>
        <w:rPr>
          <w:lang w:val="en-US"/>
        </w:rPr>
        <w:t>.</w:t>
      </w:r>
    </w:p>
  </w:footnote>
  <w:footnote w:id="2248">
    <w:p w14:paraId="03683F38" w14:textId="77777777" w:rsidR="00074551" w:rsidRPr="000203B1" w:rsidRDefault="00074551" w:rsidP="00074551">
      <w:pPr>
        <w:pStyle w:val="Funotentext"/>
        <w:rPr>
          <w:lang w:val="en-US"/>
        </w:rPr>
      </w:pPr>
      <w:r>
        <w:rPr>
          <w:rStyle w:val="Funotenzeichen"/>
          <w:rFonts w:eastAsiaTheme="majorEastAsia"/>
        </w:rPr>
        <w:footnoteRef/>
      </w:r>
      <w:r w:rsidRPr="000203B1">
        <w:rPr>
          <w:lang w:val="en-US"/>
        </w:rPr>
        <w:t xml:space="preserve"> An Act to prohibit the coming of Chinese persons into the United States</w:t>
      </w:r>
      <w:r>
        <w:rPr>
          <w:lang w:val="en-US"/>
        </w:rPr>
        <w:t>, 27 Stat. 25.</w:t>
      </w:r>
    </w:p>
  </w:footnote>
  <w:footnote w:id="2249">
    <w:p w14:paraId="514DFCB1" w14:textId="77777777" w:rsidR="00074551" w:rsidRPr="00F30974" w:rsidRDefault="00074551" w:rsidP="00074551">
      <w:pPr>
        <w:pStyle w:val="Funotentext"/>
        <w:ind w:left="227" w:hanging="227"/>
        <w:rPr>
          <w:lang w:val="en-US"/>
        </w:rPr>
      </w:pPr>
      <w:r>
        <w:rPr>
          <w:rStyle w:val="Funotenzeichen"/>
          <w:rFonts w:eastAsiaTheme="majorEastAsia"/>
        </w:rPr>
        <w:footnoteRef/>
      </w:r>
      <w:r w:rsidRPr="00F30974">
        <w:rPr>
          <w:lang w:val="en-US"/>
        </w:rPr>
        <w:t xml:space="preserve"> </w:t>
      </w:r>
      <w:r w:rsidRPr="00546F93">
        <w:rPr>
          <w:i/>
          <w:lang w:val="en-US"/>
        </w:rPr>
        <w:t>Fong Yue Ting v. United States</w:t>
      </w:r>
      <w:r w:rsidRPr="00F30974">
        <w:rPr>
          <w:lang w:val="en-US"/>
        </w:rPr>
        <w:t>, 149 U.S. 698, 749</w:t>
      </w:r>
      <w:r>
        <w:rPr>
          <w:lang w:val="en-US"/>
        </w:rPr>
        <w:t xml:space="preserve"> = 13 S. Ct. </w:t>
      </w:r>
      <w:r w:rsidRPr="00F30974">
        <w:rPr>
          <w:lang w:val="en-US"/>
        </w:rPr>
        <w:t>1016, 1036</w:t>
      </w:r>
      <w:r>
        <w:rPr>
          <w:lang w:val="en-US"/>
        </w:rPr>
        <w:t xml:space="preserve"> = 37 L. Ed. </w:t>
      </w:r>
      <w:r w:rsidRPr="00F30974">
        <w:rPr>
          <w:lang w:val="en-US"/>
        </w:rPr>
        <w:t>905, 925</w:t>
      </w:r>
      <w:r>
        <w:rPr>
          <w:lang w:val="en-US"/>
        </w:rPr>
        <w:t xml:space="preserve"> = 1893 U.S. LEXIS </w:t>
      </w:r>
      <w:r w:rsidRPr="00F30974">
        <w:rPr>
          <w:lang w:val="en-US"/>
        </w:rPr>
        <w:t>2340, 91 (1893)</w:t>
      </w:r>
      <w:r>
        <w:rPr>
          <w:lang w:val="en-US"/>
        </w:rPr>
        <w:t>.</w:t>
      </w:r>
    </w:p>
  </w:footnote>
  <w:footnote w:id="2250">
    <w:p w14:paraId="37E3F8BB" w14:textId="77777777" w:rsidR="00074551" w:rsidRPr="00F30974" w:rsidRDefault="00074551" w:rsidP="00074551">
      <w:pPr>
        <w:pStyle w:val="Funotentext"/>
        <w:ind w:left="227" w:hanging="227"/>
        <w:rPr>
          <w:lang w:val="en-US"/>
        </w:rPr>
      </w:pPr>
      <w:r>
        <w:rPr>
          <w:rStyle w:val="Funotenzeichen"/>
          <w:rFonts w:eastAsiaTheme="majorEastAsia"/>
        </w:rPr>
        <w:footnoteRef/>
      </w:r>
      <w:r w:rsidRPr="00F30974">
        <w:rPr>
          <w:lang w:val="en-US"/>
        </w:rPr>
        <w:t xml:space="preserve"> </w:t>
      </w:r>
      <w:r w:rsidRPr="00546F93">
        <w:rPr>
          <w:i/>
          <w:lang w:val="en-US"/>
        </w:rPr>
        <w:t>Fong Yue Ting v. United States</w:t>
      </w:r>
      <w:r w:rsidRPr="00F30974">
        <w:rPr>
          <w:lang w:val="en-US"/>
        </w:rPr>
        <w:t>, 149 U.S. 698, 740</w:t>
      </w:r>
      <w:r>
        <w:rPr>
          <w:lang w:val="en-US"/>
        </w:rPr>
        <w:t xml:space="preserve"> = 13 S. Ct. </w:t>
      </w:r>
      <w:r w:rsidRPr="00F30974">
        <w:rPr>
          <w:lang w:val="en-US"/>
        </w:rPr>
        <w:t>1016, 1032</w:t>
      </w:r>
      <w:r>
        <w:rPr>
          <w:lang w:val="en-US"/>
        </w:rPr>
        <w:t xml:space="preserve"> = 37 L. Ed. </w:t>
      </w:r>
      <w:r w:rsidRPr="00F30974">
        <w:rPr>
          <w:lang w:val="en-US"/>
        </w:rPr>
        <w:t>905, 922</w:t>
      </w:r>
      <w:r>
        <w:rPr>
          <w:lang w:val="en-US"/>
        </w:rPr>
        <w:t xml:space="preserve"> = 1893 U.S. LEXIS </w:t>
      </w:r>
      <w:r w:rsidRPr="00F30974">
        <w:rPr>
          <w:lang w:val="en-US"/>
        </w:rPr>
        <w:t>2340, 75 (1893)</w:t>
      </w:r>
      <w:r>
        <w:rPr>
          <w:lang w:val="en-US"/>
        </w:rPr>
        <w:t>.</w:t>
      </w:r>
    </w:p>
  </w:footnote>
  <w:footnote w:id="2251">
    <w:p w14:paraId="3FC9DD06" w14:textId="77777777" w:rsidR="00074551" w:rsidRPr="002278BA" w:rsidRDefault="00074551" w:rsidP="00074551">
      <w:pPr>
        <w:pStyle w:val="Funotentext"/>
        <w:rPr>
          <w:lang w:val="en-US"/>
        </w:rPr>
      </w:pPr>
      <w:r>
        <w:rPr>
          <w:rStyle w:val="Funotenzeichen"/>
          <w:rFonts w:eastAsiaTheme="majorEastAsia"/>
        </w:rPr>
        <w:footnoteRef/>
      </w:r>
      <w:r w:rsidRPr="002278BA">
        <w:rPr>
          <w:lang w:val="en-US"/>
        </w:rPr>
        <w:t xml:space="preserve"> </w:t>
      </w:r>
      <w:r w:rsidRPr="00546F93">
        <w:rPr>
          <w:i/>
          <w:lang w:val="en-US"/>
        </w:rPr>
        <w:t>Fong Yue Ting v. United States</w:t>
      </w:r>
      <w:r w:rsidRPr="002278BA">
        <w:rPr>
          <w:lang w:val="en-US"/>
        </w:rPr>
        <w:t>, 149 U.S. 698, 754</w:t>
      </w:r>
      <w:r>
        <w:rPr>
          <w:lang w:val="en-US"/>
        </w:rPr>
        <w:t xml:space="preserve"> = 13 S. Ct. </w:t>
      </w:r>
      <w:r w:rsidRPr="002278BA">
        <w:rPr>
          <w:lang w:val="en-US"/>
        </w:rPr>
        <w:t>1016, 1038</w:t>
      </w:r>
      <w:r>
        <w:rPr>
          <w:lang w:val="en-US"/>
        </w:rPr>
        <w:t xml:space="preserve"> = 37 L. Ed. </w:t>
      </w:r>
      <w:r w:rsidRPr="002278BA">
        <w:rPr>
          <w:lang w:val="en-US"/>
        </w:rPr>
        <w:t>905, 927</w:t>
      </w:r>
      <w:r>
        <w:rPr>
          <w:lang w:val="en-US"/>
        </w:rPr>
        <w:t xml:space="preserve"> = 1893 U.S. LEXIS </w:t>
      </w:r>
      <w:r w:rsidRPr="002278BA">
        <w:rPr>
          <w:lang w:val="en-US"/>
        </w:rPr>
        <w:t>2340, 100 (1893)</w:t>
      </w:r>
      <w:r>
        <w:rPr>
          <w:lang w:val="en-US"/>
        </w:rPr>
        <w:t>.</w:t>
      </w:r>
    </w:p>
  </w:footnote>
  <w:footnote w:id="2252">
    <w:p w14:paraId="3E3106C5" w14:textId="77777777" w:rsidR="00074551" w:rsidRPr="00F30974" w:rsidRDefault="00074551" w:rsidP="00074551">
      <w:pPr>
        <w:pStyle w:val="Funotentext"/>
        <w:ind w:left="227" w:hanging="227"/>
        <w:rPr>
          <w:lang w:val="en-US"/>
        </w:rPr>
      </w:pPr>
      <w:r>
        <w:rPr>
          <w:rStyle w:val="Funotenzeichen"/>
          <w:rFonts w:eastAsiaTheme="majorEastAsia"/>
        </w:rPr>
        <w:footnoteRef/>
      </w:r>
      <w:r w:rsidRPr="00F30974">
        <w:rPr>
          <w:lang w:val="en-US"/>
        </w:rPr>
        <w:t xml:space="preserve"> </w:t>
      </w:r>
      <w:r w:rsidRPr="00546F93">
        <w:rPr>
          <w:i/>
          <w:lang w:val="en-US"/>
        </w:rPr>
        <w:t>Fong Yue Ting v. United States</w:t>
      </w:r>
      <w:r w:rsidRPr="00F30974">
        <w:rPr>
          <w:lang w:val="en-US"/>
        </w:rPr>
        <w:t>, 149 U.S. 698, 755</w:t>
      </w:r>
      <w:r>
        <w:rPr>
          <w:lang w:val="en-US"/>
        </w:rPr>
        <w:t xml:space="preserve"> = 13 S. Ct. </w:t>
      </w:r>
      <w:r w:rsidRPr="00F30974">
        <w:rPr>
          <w:lang w:val="en-US"/>
        </w:rPr>
        <w:t>1016, 1038</w:t>
      </w:r>
      <w:r>
        <w:rPr>
          <w:lang w:val="en-US"/>
        </w:rPr>
        <w:t xml:space="preserve"> = 37 L. Ed. </w:t>
      </w:r>
      <w:r w:rsidRPr="00F30974">
        <w:rPr>
          <w:lang w:val="en-US"/>
        </w:rPr>
        <w:t>905, 927</w:t>
      </w:r>
      <w:r>
        <w:rPr>
          <w:lang w:val="en-US"/>
        </w:rPr>
        <w:t xml:space="preserve"> = 1893 U.S. LEXIS </w:t>
      </w:r>
      <w:r w:rsidRPr="00F30974">
        <w:rPr>
          <w:lang w:val="en-US"/>
        </w:rPr>
        <w:t>2340, 103 (1893)</w:t>
      </w:r>
      <w:r>
        <w:rPr>
          <w:lang w:val="en-US"/>
        </w:rPr>
        <w:t>.</w:t>
      </w:r>
    </w:p>
  </w:footnote>
  <w:footnote w:id="2253">
    <w:p w14:paraId="79DD9A5D" w14:textId="77777777" w:rsidR="00074551" w:rsidRPr="00E427E4" w:rsidRDefault="00074551" w:rsidP="00074551">
      <w:pPr>
        <w:pStyle w:val="Funotentext"/>
        <w:rPr>
          <w:lang w:val="en-US"/>
        </w:rPr>
      </w:pPr>
      <w:r>
        <w:rPr>
          <w:rStyle w:val="Funotenzeichen"/>
          <w:rFonts w:eastAsiaTheme="majorEastAsia"/>
        </w:rPr>
        <w:footnoteRef/>
      </w:r>
      <w:r w:rsidRPr="00E427E4">
        <w:rPr>
          <w:lang w:val="en-US"/>
        </w:rPr>
        <w:t xml:space="preserve"> </w:t>
      </w:r>
      <w:r w:rsidRPr="00546F93">
        <w:rPr>
          <w:i/>
          <w:lang w:val="en-US"/>
        </w:rPr>
        <w:t>Fong Yue Ting v. United States</w:t>
      </w:r>
      <w:r w:rsidRPr="00E427E4">
        <w:rPr>
          <w:lang w:val="en-US"/>
        </w:rPr>
        <w:t>, 149 U.S. 698, 754</w:t>
      </w:r>
      <w:r>
        <w:rPr>
          <w:lang w:val="en-US"/>
        </w:rPr>
        <w:t xml:space="preserve"> = 13 S. Ct. </w:t>
      </w:r>
      <w:r w:rsidRPr="00E427E4">
        <w:rPr>
          <w:lang w:val="en-US"/>
        </w:rPr>
        <w:t>1016, 1038</w:t>
      </w:r>
      <w:r>
        <w:rPr>
          <w:lang w:val="en-US"/>
        </w:rPr>
        <w:t xml:space="preserve"> = 37 L. Ed. </w:t>
      </w:r>
      <w:r w:rsidRPr="00E427E4">
        <w:rPr>
          <w:lang w:val="en-US"/>
        </w:rPr>
        <w:t>905, 927</w:t>
      </w:r>
      <w:r>
        <w:rPr>
          <w:lang w:val="en-US"/>
        </w:rPr>
        <w:t xml:space="preserve"> = 1893 U.S. LEXIS </w:t>
      </w:r>
      <w:r w:rsidRPr="00E427E4">
        <w:rPr>
          <w:lang w:val="en-US"/>
        </w:rPr>
        <w:t>2340, 100 (1893)</w:t>
      </w:r>
      <w:r>
        <w:rPr>
          <w:lang w:val="en-US"/>
        </w:rPr>
        <w:t>.</w:t>
      </w:r>
    </w:p>
  </w:footnote>
  <w:footnote w:id="2254">
    <w:p w14:paraId="4577EA14" w14:textId="77777777" w:rsidR="00074551" w:rsidRPr="00E427E4" w:rsidRDefault="00074551" w:rsidP="00074551">
      <w:pPr>
        <w:pStyle w:val="Funotentext"/>
        <w:rPr>
          <w:lang w:val="en-US"/>
        </w:rPr>
      </w:pPr>
      <w:r>
        <w:rPr>
          <w:rStyle w:val="Funotenzeichen"/>
          <w:rFonts w:eastAsiaTheme="majorEastAsia"/>
        </w:rPr>
        <w:footnoteRef/>
      </w:r>
      <w:r w:rsidRPr="00E427E4">
        <w:rPr>
          <w:lang w:val="en-US"/>
        </w:rPr>
        <w:t xml:space="preserve"> </w:t>
      </w:r>
      <w:r>
        <w:rPr>
          <w:lang w:val="en-US"/>
        </w:rPr>
        <w:t>Richter</w:t>
      </w:r>
      <w:r w:rsidRPr="00E427E4">
        <w:rPr>
          <w:lang w:val="en-US"/>
        </w:rPr>
        <w:t xml:space="preserve"> </w:t>
      </w:r>
      <w:r w:rsidRPr="00B45592">
        <w:rPr>
          <w:i/>
          <w:lang w:val="en-US"/>
        </w:rPr>
        <w:t>Matthews</w:t>
      </w:r>
      <w:r w:rsidRPr="00E427E4">
        <w:rPr>
          <w:lang w:val="en-US"/>
        </w:rPr>
        <w:t xml:space="preserve"> in </w:t>
      </w:r>
      <w:r w:rsidRPr="00D83E4F">
        <w:rPr>
          <w:i/>
          <w:lang w:val="en-US"/>
        </w:rPr>
        <w:t>Yick Wo v. Hopkins</w:t>
      </w:r>
      <w:r w:rsidRPr="00E427E4">
        <w:rPr>
          <w:lang w:val="en-US"/>
        </w:rPr>
        <w:t>, 118 U.S. 356, 369;</w:t>
      </w:r>
      <w:r>
        <w:rPr>
          <w:lang w:val="en-US"/>
        </w:rPr>
        <w:t xml:space="preserve"> </w:t>
      </w:r>
      <w:r w:rsidRPr="00546F93">
        <w:rPr>
          <w:i/>
          <w:lang w:val="en-US"/>
        </w:rPr>
        <w:t>Fong Yue Ting v. United States</w:t>
      </w:r>
      <w:r w:rsidRPr="00E427E4">
        <w:rPr>
          <w:lang w:val="en-US"/>
        </w:rPr>
        <w:t>, 149 U.S. 698, 755</w:t>
      </w:r>
      <w:r>
        <w:rPr>
          <w:lang w:val="en-US"/>
        </w:rPr>
        <w:t xml:space="preserve"> = 13 S. Ct. </w:t>
      </w:r>
      <w:r w:rsidRPr="00E427E4">
        <w:rPr>
          <w:lang w:val="en-US"/>
        </w:rPr>
        <w:t>1016, 1038</w:t>
      </w:r>
      <w:r>
        <w:rPr>
          <w:lang w:val="en-US"/>
        </w:rPr>
        <w:t xml:space="preserve"> = 37 L. Ed. </w:t>
      </w:r>
      <w:r w:rsidRPr="00E427E4">
        <w:rPr>
          <w:lang w:val="en-US"/>
        </w:rPr>
        <w:t>905, 927</w:t>
      </w:r>
      <w:r>
        <w:rPr>
          <w:lang w:val="en-US"/>
        </w:rPr>
        <w:t xml:space="preserve"> = 1893 U.S. LEXIS </w:t>
      </w:r>
      <w:r w:rsidRPr="00E427E4">
        <w:rPr>
          <w:lang w:val="en-US"/>
        </w:rPr>
        <w:t>2340, 102 (1893)</w:t>
      </w:r>
      <w:r>
        <w:rPr>
          <w:lang w:val="en-US"/>
        </w:rPr>
        <w:t>.</w:t>
      </w:r>
    </w:p>
  </w:footnote>
  <w:footnote w:id="2255">
    <w:p w14:paraId="245BEAB1" w14:textId="77777777" w:rsidR="00074551" w:rsidRPr="00E427E4" w:rsidRDefault="00074551" w:rsidP="00074551">
      <w:pPr>
        <w:pStyle w:val="Funotentext"/>
        <w:rPr>
          <w:lang w:val="en-US"/>
        </w:rPr>
      </w:pPr>
      <w:r>
        <w:rPr>
          <w:rStyle w:val="Funotenzeichen"/>
          <w:rFonts w:eastAsiaTheme="majorEastAsia"/>
        </w:rPr>
        <w:footnoteRef/>
      </w:r>
      <w:r w:rsidRPr="00E427E4">
        <w:rPr>
          <w:lang w:val="en-US"/>
        </w:rPr>
        <w:t xml:space="preserve"> </w:t>
      </w:r>
      <w:r>
        <w:rPr>
          <w:lang w:val="en-US"/>
        </w:rPr>
        <w:t>Richter</w:t>
      </w:r>
      <w:r w:rsidRPr="00E427E4">
        <w:rPr>
          <w:lang w:val="en-US"/>
        </w:rPr>
        <w:t xml:space="preserve"> </w:t>
      </w:r>
      <w:r w:rsidRPr="00B45592">
        <w:rPr>
          <w:i/>
          <w:lang w:val="en-US"/>
        </w:rPr>
        <w:t>Matthews</w:t>
      </w:r>
      <w:r w:rsidRPr="00E427E4">
        <w:rPr>
          <w:lang w:val="en-US"/>
        </w:rPr>
        <w:t xml:space="preserve"> in </w:t>
      </w:r>
      <w:r w:rsidRPr="00D83E4F">
        <w:rPr>
          <w:i/>
          <w:lang w:val="en-US"/>
        </w:rPr>
        <w:t>Yick Wo v. Hopkins</w:t>
      </w:r>
      <w:r w:rsidRPr="00E427E4">
        <w:rPr>
          <w:lang w:val="en-US"/>
        </w:rPr>
        <w:t>, 118 U.S. 356, 369;</w:t>
      </w:r>
      <w:r>
        <w:rPr>
          <w:lang w:val="en-US"/>
        </w:rPr>
        <w:t xml:space="preserve"> </w:t>
      </w:r>
      <w:r w:rsidRPr="00546F93">
        <w:rPr>
          <w:i/>
          <w:lang w:val="en-US"/>
        </w:rPr>
        <w:t>Fong Yue Ting v. United States</w:t>
      </w:r>
      <w:r w:rsidRPr="00E427E4">
        <w:rPr>
          <w:lang w:val="en-US"/>
        </w:rPr>
        <w:t>, 149 U.S. 698, 755</w:t>
      </w:r>
      <w:r>
        <w:rPr>
          <w:lang w:val="en-US"/>
        </w:rPr>
        <w:t xml:space="preserve"> = 13 S. Ct. </w:t>
      </w:r>
      <w:r w:rsidRPr="00E427E4">
        <w:rPr>
          <w:lang w:val="en-US"/>
        </w:rPr>
        <w:t>1016, 1038</w:t>
      </w:r>
      <w:r>
        <w:rPr>
          <w:lang w:val="en-US"/>
        </w:rPr>
        <w:t xml:space="preserve"> = 37 L. Ed. </w:t>
      </w:r>
      <w:r w:rsidRPr="00E427E4">
        <w:rPr>
          <w:lang w:val="en-US"/>
        </w:rPr>
        <w:t>905, 927</w:t>
      </w:r>
      <w:r>
        <w:rPr>
          <w:lang w:val="en-US"/>
        </w:rPr>
        <w:t xml:space="preserve"> = 1893 U.S. LEXIS </w:t>
      </w:r>
      <w:r w:rsidRPr="00E427E4">
        <w:rPr>
          <w:lang w:val="en-US"/>
        </w:rPr>
        <w:t>2340, 102 (1893)</w:t>
      </w:r>
      <w:r>
        <w:rPr>
          <w:lang w:val="en-US"/>
        </w:rPr>
        <w:t>.</w:t>
      </w:r>
    </w:p>
  </w:footnote>
  <w:footnote w:id="2256">
    <w:p w14:paraId="75475194" w14:textId="77777777" w:rsidR="00074551" w:rsidRPr="00E427E4" w:rsidRDefault="00074551" w:rsidP="00074551">
      <w:pPr>
        <w:pStyle w:val="Funotentext"/>
        <w:rPr>
          <w:lang w:val="en-US"/>
        </w:rPr>
      </w:pPr>
      <w:r>
        <w:rPr>
          <w:rStyle w:val="Funotenzeichen"/>
          <w:rFonts w:eastAsiaTheme="majorEastAsia"/>
        </w:rPr>
        <w:footnoteRef/>
      </w:r>
      <w:r w:rsidRPr="00E427E4">
        <w:rPr>
          <w:lang w:val="en-US"/>
        </w:rPr>
        <w:t xml:space="preserve"> </w:t>
      </w:r>
      <w:r w:rsidRPr="00546F93">
        <w:rPr>
          <w:i/>
          <w:lang w:val="en-US"/>
        </w:rPr>
        <w:t>Fong Yue Ting v. United States</w:t>
      </w:r>
      <w:r w:rsidRPr="00E427E4">
        <w:rPr>
          <w:lang w:val="en-US"/>
        </w:rPr>
        <w:t>, 149 U.S. 698, 755</w:t>
      </w:r>
      <w:r>
        <w:rPr>
          <w:lang w:val="en-US"/>
        </w:rPr>
        <w:t xml:space="preserve"> = 13 S. Ct. </w:t>
      </w:r>
      <w:r w:rsidRPr="00E427E4">
        <w:rPr>
          <w:lang w:val="en-US"/>
        </w:rPr>
        <w:t>1016, 1038</w:t>
      </w:r>
      <w:r>
        <w:rPr>
          <w:lang w:val="en-US"/>
        </w:rPr>
        <w:t xml:space="preserve"> = 37 L. Ed. </w:t>
      </w:r>
      <w:r w:rsidRPr="00E427E4">
        <w:rPr>
          <w:lang w:val="en-US"/>
        </w:rPr>
        <w:t>905, 927</w:t>
      </w:r>
      <w:r>
        <w:rPr>
          <w:lang w:val="en-US"/>
        </w:rPr>
        <w:t xml:space="preserve"> = 1893 U.S. LEXIS </w:t>
      </w:r>
      <w:r w:rsidRPr="00E427E4">
        <w:rPr>
          <w:lang w:val="en-US"/>
        </w:rPr>
        <w:t>2340, 102 (1893)</w:t>
      </w:r>
      <w:r>
        <w:rPr>
          <w:lang w:val="en-US"/>
        </w:rPr>
        <w:t>.</w:t>
      </w:r>
    </w:p>
  </w:footnote>
  <w:footnote w:id="2257">
    <w:p w14:paraId="4C118D55" w14:textId="77777777" w:rsidR="00074551" w:rsidRPr="00892157" w:rsidRDefault="00074551" w:rsidP="00074551">
      <w:pPr>
        <w:pStyle w:val="Funotentext"/>
        <w:rPr>
          <w:lang w:val="en-US"/>
        </w:rPr>
      </w:pPr>
      <w:r>
        <w:rPr>
          <w:rStyle w:val="Funotenzeichen"/>
          <w:rFonts w:eastAsiaTheme="majorEastAsia"/>
        </w:rPr>
        <w:footnoteRef/>
      </w:r>
      <w:r w:rsidRPr="00892157">
        <w:rPr>
          <w:lang w:val="en-US"/>
        </w:rPr>
        <w:t xml:space="preserve"> </w:t>
      </w:r>
      <w:r w:rsidRPr="00B45592">
        <w:rPr>
          <w:i/>
          <w:lang w:val="en-US"/>
        </w:rPr>
        <w:t>Schmerber v. California</w:t>
      </w:r>
      <w:r w:rsidRPr="00296192">
        <w:rPr>
          <w:lang w:val="en-US"/>
        </w:rPr>
        <w:t>, 384 U.S. 757, 767 (1966)</w:t>
      </w:r>
      <w:r>
        <w:rPr>
          <w:lang w:val="en-US"/>
        </w:rPr>
        <w:t>;</w:t>
      </w:r>
      <w:r w:rsidRPr="005B712D">
        <w:rPr>
          <w:lang w:val="en-US"/>
        </w:rPr>
        <w:t xml:space="preserve"> </w:t>
      </w:r>
      <w:r w:rsidRPr="004F13B1">
        <w:rPr>
          <w:i/>
          <w:lang w:val="en-US"/>
        </w:rPr>
        <w:t>Ingraham v. Wright</w:t>
      </w:r>
      <w:r w:rsidRPr="00296192">
        <w:rPr>
          <w:lang w:val="en-US"/>
        </w:rPr>
        <w:t>, 430 U.S. 651, 673</w:t>
      </w:r>
      <w:r w:rsidRPr="006E67FE">
        <w:rPr>
          <w:lang w:val="en-US"/>
        </w:rPr>
        <w:t xml:space="preserve"> = 97 S. Ct. </w:t>
      </w:r>
      <w:r w:rsidRPr="00296192">
        <w:rPr>
          <w:lang w:val="en-US"/>
        </w:rPr>
        <w:t>1401, 1413</w:t>
      </w:r>
      <w:r w:rsidRPr="00EC5BEB">
        <w:rPr>
          <w:lang w:val="en-US"/>
        </w:rPr>
        <w:t xml:space="preserve"> = 51 L. Ed. </w:t>
      </w:r>
      <w:r w:rsidRPr="00296192">
        <w:rPr>
          <w:lang w:val="en-US"/>
        </w:rPr>
        <w:t>2d 711, 731</w:t>
      </w:r>
      <w:r w:rsidRPr="006E67FE">
        <w:rPr>
          <w:lang w:val="en-US"/>
        </w:rPr>
        <w:t xml:space="preserve"> = 1977 U.S. LEXIS </w:t>
      </w:r>
      <w:r w:rsidRPr="00296192">
        <w:rPr>
          <w:lang w:val="en-US"/>
        </w:rPr>
        <w:t>74, 43 (1977)</w:t>
      </w:r>
      <w:r>
        <w:rPr>
          <w:lang w:val="en-US"/>
        </w:rPr>
        <w:t>.</w:t>
      </w:r>
    </w:p>
  </w:footnote>
  <w:footnote w:id="2258">
    <w:p w14:paraId="5867C560" w14:textId="77777777" w:rsidR="00074551" w:rsidRPr="00296192" w:rsidRDefault="00074551" w:rsidP="00074551">
      <w:pPr>
        <w:pStyle w:val="Funotentext"/>
        <w:rPr>
          <w:lang w:val="en-US"/>
        </w:rPr>
      </w:pPr>
      <w:r>
        <w:rPr>
          <w:rStyle w:val="Funotenzeichen"/>
          <w:rFonts w:eastAsiaTheme="majorEastAsia"/>
        </w:rPr>
        <w:footnoteRef/>
      </w:r>
      <w:r w:rsidRPr="00296192">
        <w:rPr>
          <w:lang w:val="en-US"/>
        </w:rPr>
        <w:t xml:space="preserve"> </w:t>
      </w:r>
      <w:r w:rsidRPr="00B45592">
        <w:rPr>
          <w:i/>
          <w:lang w:val="en-US"/>
        </w:rPr>
        <w:t>Schmerber v. California</w:t>
      </w:r>
      <w:r w:rsidRPr="00296192">
        <w:rPr>
          <w:lang w:val="en-US"/>
        </w:rPr>
        <w:t>, 384 U.S. 757, 767 (1966)</w:t>
      </w:r>
      <w:r>
        <w:rPr>
          <w:lang w:val="en-US"/>
        </w:rPr>
        <w:t xml:space="preserve">; </w:t>
      </w:r>
      <w:r w:rsidRPr="004F13B1">
        <w:rPr>
          <w:i/>
          <w:lang w:val="en-US"/>
        </w:rPr>
        <w:t>Ingraham v. Wright</w:t>
      </w:r>
      <w:r w:rsidRPr="00296192">
        <w:rPr>
          <w:lang w:val="en-US"/>
        </w:rPr>
        <w:t>, 430 U.S. 651, 673</w:t>
      </w:r>
      <w:r w:rsidRPr="006E67FE">
        <w:rPr>
          <w:lang w:val="en-US"/>
        </w:rPr>
        <w:t xml:space="preserve"> = 97 S. Ct. </w:t>
      </w:r>
      <w:r w:rsidRPr="00296192">
        <w:rPr>
          <w:lang w:val="en-US"/>
        </w:rPr>
        <w:t>1401, 1413</w:t>
      </w:r>
      <w:r w:rsidRPr="00EC5BEB">
        <w:rPr>
          <w:lang w:val="en-US"/>
        </w:rPr>
        <w:t xml:space="preserve"> = 51 L. Ed. </w:t>
      </w:r>
      <w:r w:rsidRPr="00296192">
        <w:rPr>
          <w:lang w:val="en-US"/>
        </w:rPr>
        <w:t>2d 711, 731</w:t>
      </w:r>
      <w:r w:rsidRPr="006E67FE">
        <w:rPr>
          <w:lang w:val="en-US"/>
        </w:rPr>
        <w:t xml:space="preserve"> = 1977 U.S. LEXIS </w:t>
      </w:r>
      <w:r w:rsidRPr="00296192">
        <w:rPr>
          <w:lang w:val="en-US"/>
        </w:rPr>
        <w:t>74, 43 (1977)</w:t>
      </w:r>
      <w:r>
        <w:rPr>
          <w:lang w:val="en-US"/>
        </w:rPr>
        <w:t>.</w:t>
      </w:r>
    </w:p>
  </w:footnote>
  <w:footnote w:id="2259">
    <w:p w14:paraId="200BE95D" w14:textId="77777777" w:rsidR="00074551" w:rsidRPr="00E96874" w:rsidRDefault="00074551" w:rsidP="00074551">
      <w:pPr>
        <w:pStyle w:val="Funotentext"/>
      </w:pPr>
      <w:r>
        <w:rPr>
          <w:rStyle w:val="Funotenzeichen"/>
          <w:rFonts w:eastAsiaTheme="majorEastAsia"/>
        </w:rPr>
        <w:footnoteRef/>
      </w:r>
      <w:r w:rsidRPr="00454274">
        <w:rPr>
          <w:lang w:val="en-US"/>
        </w:rPr>
        <w:t xml:space="preserve"> </w:t>
      </w:r>
      <w:r w:rsidRPr="00B45592">
        <w:rPr>
          <w:i/>
          <w:lang w:val="en-US"/>
        </w:rPr>
        <w:t>Whalen v. Roe</w:t>
      </w:r>
      <w:r w:rsidRPr="00454274">
        <w:rPr>
          <w:lang w:val="en-US"/>
        </w:rPr>
        <w:t xml:space="preserve">, 429 U.S. 589, 604 </w:t>
      </w:r>
      <w:r w:rsidRPr="002F0420">
        <w:rPr>
          <w:lang w:val="en-US"/>
        </w:rPr>
        <w:t>n.</w:t>
      </w:r>
      <w:r w:rsidRPr="00454274">
        <w:rPr>
          <w:lang w:val="en-US"/>
        </w:rPr>
        <w:t xml:space="preserve"> 32 (1977)</w:t>
      </w:r>
      <w:r>
        <w:rPr>
          <w:lang w:val="en-US"/>
        </w:rPr>
        <w:t xml:space="preserve">; </w:t>
      </w:r>
      <w:r w:rsidRPr="004F13B1">
        <w:rPr>
          <w:i/>
          <w:lang w:val="en-US"/>
        </w:rPr>
        <w:t>Ingraham v. Wright</w:t>
      </w:r>
      <w:r w:rsidRPr="00454274">
        <w:rPr>
          <w:lang w:val="en-US"/>
        </w:rPr>
        <w:t>, 430 U.S. 651, 673</w:t>
      </w:r>
      <w:r w:rsidRPr="006E67FE">
        <w:rPr>
          <w:lang w:val="en-US"/>
        </w:rPr>
        <w:t xml:space="preserve"> = 97 S. Ct. </w:t>
      </w:r>
      <w:r w:rsidRPr="00454274">
        <w:rPr>
          <w:lang w:val="en-US"/>
        </w:rPr>
        <w:t>1401, 1413</w:t>
      </w:r>
      <w:r w:rsidRPr="00EC5BEB">
        <w:rPr>
          <w:lang w:val="en-US"/>
        </w:rPr>
        <w:t xml:space="preserve"> = 51 L. Ed. </w:t>
      </w:r>
      <w:r w:rsidRPr="00454274">
        <w:rPr>
          <w:lang w:val="en-US"/>
        </w:rPr>
        <w:t>2d 711, 731</w:t>
      </w:r>
      <w:r w:rsidRPr="006E67FE">
        <w:rPr>
          <w:lang w:val="en-US"/>
        </w:rPr>
        <w:t xml:space="preserve"> = 1977 U.S. LEXIS </w:t>
      </w:r>
      <w:r w:rsidRPr="00454274">
        <w:rPr>
          <w:lang w:val="en-US"/>
        </w:rPr>
        <w:t>74, 43 (1977)</w:t>
      </w:r>
      <w:r>
        <w:rPr>
          <w:lang w:val="en-US"/>
        </w:rPr>
        <w:t xml:space="preserve">. </w:t>
      </w:r>
      <w:r w:rsidRPr="00E96874">
        <w:t xml:space="preserve">Es sei darauf hingewiesen, </w:t>
      </w:r>
      <w:r>
        <w:t xml:space="preserve">dass die </w:t>
      </w:r>
      <w:r w:rsidRPr="00E96874">
        <w:t>Petenten nicht geltend</w:t>
      </w:r>
      <w:r>
        <w:t xml:space="preserve"> machen</w:t>
      </w:r>
      <w:r w:rsidRPr="00E96874">
        <w:t xml:space="preserve">, dass </w:t>
      </w:r>
      <w:proofErr w:type="spellStart"/>
      <w:r>
        <w:t>Amd</w:t>
      </w:r>
      <w:proofErr w:type="spellEnd"/>
      <w:r>
        <w:t>. IV</w:t>
      </w:r>
      <w:r w:rsidRPr="00E96874">
        <w:t xml:space="preserve"> nach seinem Wortlaut auf körperliche Züchtigung in öffentlichen Schulen anwendbar </w:t>
      </w:r>
      <w:r>
        <w:t>sei.</w:t>
      </w:r>
    </w:p>
  </w:footnote>
  <w:footnote w:id="2260">
    <w:p w14:paraId="0404676F" w14:textId="77777777" w:rsidR="00074551" w:rsidRPr="00F66D7A" w:rsidRDefault="00074551" w:rsidP="00074551">
      <w:pPr>
        <w:pStyle w:val="Funotentext"/>
        <w:rPr>
          <w:lang w:val="en-US"/>
        </w:rPr>
      </w:pPr>
      <w:r>
        <w:rPr>
          <w:rStyle w:val="Funotenzeichen"/>
          <w:rFonts w:eastAsiaTheme="majorEastAsia"/>
        </w:rPr>
        <w:footnoteRef/>
      </w:r>
      <w:r w:rsidRPr="00F66D7A">
        <w:rPr>
          <w:lang w:val="en-US"/>
        </w:rPr>
        <w:t xml:space="preserve"> </w:t>
      </w:r>
      <w:r w:rsidRPr="009E57E1">
        <w:rPr>
          <w:i/>
          <w:lang w:val="en-US"/>
        </w:rPr>
        <w:t>Meyer v. Nebraska</w:t>
      </w:r>
      <w:r w:rsidRPr="00F66D7A">
        <w:rPr>
          <w:lang w:val="en-US"/>
        </w:rPr>
        <w:t xml:space="preserve">, 262 U.S. 390, 399 (1923); </w:t>
      </w:r>
      <w:proofErr w:type="spellStart"/>
      <w:r>
        <w:rPr>
          <w:lang w:val="en-US"/>
        </w:rPr>
        <w:t>siehe</w:t>
      </w:r>
      <w:proofErr w:type="spellEnd"/>
      <w:r w:rsidRPr="00F66D7A">
        <w:rPr>
          <w:lang w:val="en-US"/>
        </w:rPr>
        <w:t xml:space="preserve"> </w:t>
      </w:r>
      <w:r w:rsidRPr="00B45592">
        <w:rPr>
          <w:i/>
          <w:lang w:val="en-US"/>
        </w:rPr>
        <w:t>Dent v. West Virginia</w:t>
      </w:r>
      <w:r w:rsidRPr="00F66D7A">
        <w:rPr>
          <w:lang w:val="en-US"/>
        </w:rPr>
        <w:t>, 129 U.S. 114, 123</w:t>
      </w:r>
      <w:r>
        <w:rPr>
          <w:lang w:val="en-US"/>
        </w:rPr>
        <w:t>–</w:t>
      </w:r>
      <w:r w:rsidRPr="00F66D7A">
        <w:rPr>
          <w:lang w:val="en-US"/>
        </w:rPr>
        <w:t>124 (1889).</w:t>
      </w:r>
      <w:r>
        <w:rPr>
          <w:lang w:val="en-US"/>
        </w:rPr>
        <w:t xml:space="preserve"> </w:t>
      </w:r>
    </w:p>
  </w:footnote>
  <w:footnote w:id="2261">
    <w:p w14:paraId="3800CE37" w14:textId="77777777" w:rsidR="00074551" w:rsidRPr="009B4F39" w:rsidRDefault="00074551" w:rsidP="00074551">
      <w:pPr>
        <w:pStyle w:val="Funotentext"/>
        <w:ind w:left="227" w:hanging="227"/>
        <w:rPr>
          <w:lang w:val="en-US"/>
        </w:rPr>
      </w:pPr>
      <w:r>
        <w:rPr>
          <w:rStyle w:val="Funotenzeichen"/>
          <w:rFonts w:eastAsiaTheme="majorEastAsia"/>
        </w:rPr>
        <w:footnoteRef/>
      </w:r>
      <w:r w:rsidRPr="009B4F39">
        <w:rPr>
          <w:lang w:val="en-US"/>
        </w:rPr>
        <w:t xml:space="preserve"> </w:t>
      </w:r>
      <w:r w:rsidRPr="004F13B1">
        <w:rPr>
          <w:i/>
          <w:lang w:val="en-US"/>
        </w:rPr>
        <w:t>Ingraham v. Wright</w:t>
      </w:r>
      <w:r w:rsidRPr="009B4F39">
        <w:rPr>
          <w:lang w:val="en-US"/>
        </w:rPr>
        <w:t>, 430 U.S. 651, 673</w:t>
      </w:r>
      <w:r w:rsidRPr="006E67FE">
        <w:rPr>
          <w:lang w:val="en-US"/>
        </w:rPr>
        <w:t xml:space="preserve"> = 97 S. Ct. </w:t>
      </w:r>
      <w:r w:rsidRPr="009B4F39">
        <w:rPr>
          <w:lang w:val="en-US"/>
        </w:rPr>
        <w:t>1401, 1413</w:t>
      </w:r>
      <w:r w:rsidRPr="00EC5BEB">
        <w:rPr>
          <w:lang w:val="en-US"/>
        </w:rPr>
        <w:t xml:space="preserve"> = 51 L. Ed. </w:t>
      </w:r>
      <w:r w:rsidRPr="009B4F39">
        <w:rPr>
          <w:lang w:val="en-US"/>
        </w:rPr>
        <w:t>2d 711, 731</w:t>
      </w:r>
      <w:r w:rsidRPr="006E67FE">
        <w:rPr>
          <w:lang w:val="en-US"/>
        </w:rPr>
        <w:t xml:space="preserve"> = 1977 U.S. LEXIS </w:t>
      </w:r>
      <w:r w:rsidRPr="009B4F39">
        <w:rPr>
          <w:lang w:val="en-US"/>
        </w:rPr>
        <w:t>74, 42 (1977)</w:t>
      </w:r>
      <w:r>
        <w:rPr>
          <w:lang w:val="en-US"/>
        </w:rPr>
        <w:t xml:space="preserve">. Dort </w:t>
      </w:r>
      <w:proofErr w:type="spellStart"/>
      <w:r>
        <w:rPr>
          <w:lang w:val="en-US"/>
        </w:rPr>
        <w:t>heißt</w:t>
      </w:r>
      <w:proofErr w:type="spellEnd"/>
      <w:r>
        <w:rPr>
          <w:lang w:val="en-US"/>
        </w:rPr>
        <w:t xml:space="preserve"> es </w:t>
      </w:r>
      <w:proofErr w:type="spellStart"/>
      <w:r>
        <w:rPr>
          <w:lang w:val="en-US"/>
        </w:rPr>
        <w:t>weiter</w:t>
      </w:r>
      <w:proofErr w:type="spellEnd"/>
      <w:r>
        <w:rPr>
          <w:lang w:val="en-US"/>
        </w:rPr>
        <w:t xml:space="preserve">: „See 1 W. </w:t>
      </w:r>
      <w:r w:rsidRPr="009B4F39">
        <w:rPr>
          <w:lang w:val="en-US"/>
        </w:rPr>
        <w:t>Blackstone, Commentaries, 134</w:t>
      </w:r>
      <w:r>
        <w:rPr>
          <w:lang w:val="en-US"/>
        </w:rPr>
        <w:t>. Under the</w:t>
      </w:r>
      <w:r w:rsidRPr="009B4F39">
        <w:rPr>
          <w:lang w:val="en-US"/>
        </w:rPr>
        <w:t xml:space="preserve"> 39th Article of the Magna Carta</w:t>
      </w:r>
      <w:r>
        <w:rPr>
          <w:lang w:val="en-US"/>
        </w:rPr>
        <w:t xml:space="preserve">, </w:t>
      </w:r>
      <w:r w:rsidRPr="009B4F39">
        <w:rPr>
          <w:lang w:val="en-US"/>
        </w:rPr>
        <w:t xml:space="preserve">an individual could not be deprived of this right of personal </w:t>
      </w:r>
      <w:proofErr w:type="gramStart"/>
      <w:r w:rsidRPr="009B4F39">
        <w:rPr>
          <w:lang w:val="en-US"/>
        </w:rPr>
        <w:t xml:space="preserve">security </w:t>
      </w:r>
      <w:r>
        <w:rPr>
          <w:lang w:val="en-US"/>
        </w:rPr>
        <w:t>,</w:t>
      </w:r>
      <w:r w:rsidRPr="009B4F39">
        <w:rPr>
          <w:lang w:val="en-US"/>
        </w:rPr>
        <w:t>except</w:t>
      </w:r>
      <w:proofErr w:type="gramEnd"/>
      <w:r w:rsidRPr="009B4F39">
        <w:rPr>
          <w:lang w:val="en-US"/>
        </w:rPr>
        <w:t xml:space="preserve"> by the legal judgment of his peers or by the law of the </w:t>
      </w:r>
      <w:proofErr w:type="gramStart"/>
      <w:r w:rsidRPr="009B4F39">
        <w:rPr>
          <w:lang w:val="en-US"/>
        </w:rPr>
        <w:t>land.</w:t>
      </w:r>
      <w:r>
        <w:rPr>
          <w:lang w:val="en-US"/>
        </w:rPr>
        <w:t>‘</w:t>
      </w:r>
      <w:proofErr w:type="gramEnd"/>
      <w:r>
        <w:rPr>
          <w:lang w:val="en-US"/>
        </w:rPr>
        <w:t xml:space="preserve"> </w:t>
      </w:r>
      <w:proofErr w:type="spellStart"/>
      <w:r w:rsidRPr="00B45592">
        <w:rPr>
          <w:lang w:val="en-IE"/>
        </w:rPr>
        <w:t>erry</w:t>
      </w:r>
      <w:proofErr w:type="spellEnd"/>
      <w:r w:rsidRPr="00B45592">
        <w:rPr>
          <w:lang w:val="en-IE"/>
        </w:rPr>
        <w:t xml:space="preserve"> &amp; Cooper, supra, n. 33, at 17.</w:t>
      </w:r>
      <w:r w:rsidRPr="00DB411E" w:rsidDel="00DB411E">
        <w:rPr>
          <w:lang w:val="en-US"/>
        </w:rPr>
        <w:t xml:space="preserve"> </w:t>
      </w:r>
      <w:r w:rsidRPr="009B4F39">
        <w:rPr>
          <w:lang w:val="en-US"/>
        </w:rPr>
        <w:t xml:space="preserve">By subsequent enactments of Parliament during the time of Edward III, the right was protected from deprivation </w:t>
      </w:r>
      <w:proofErr w:type="gramStart"/>
      <w:r w:rsidRPr="009B4F39">
        <w:rPr>
          <w:lang w:val="en-US"/>
        </w:rPr>
        <w:t xml:space="preserve">except </w:t>
      </w:r>
      <w:r>
        <w:rPr>
          <w:lang w:val="en-US"/>
        </w:rPr>
        <w:t>,</w:t>
      </w:r>
      <w:r w:rsidRPr="009B4F39">
        <w:rPr>
          <w:lang w:val="en-US"/>
        </w:rPr>
        <w:t>by</w:t>
      </w:r>
      <w:proofErr w:type="gramEnd"/>
      <w:r w:rsidRPr="009B4F39">
        <w:rPr>
          <w:lang w:val="en-US"/>
        </w:rPr>
        <w:t xml:space="preserve"> due process of </w:t>
      </w:r>
      <w:proofErr w:type="gramStart"/>
      <w:r w:rsidRPr="009B4F39">
        <w:rPr>
          <w:lang w:val="en-US"/>
        </w:rPr>
        <w:t>law</w:t>
      </w:r>
      <w:r>
        <w:rPr>
          <w:lang w:val="en-US"/>
        </w:rPr>
        <w:t>.‘</w:t>
      </w:r>
      <w:proofErr w:type="gramEnd"/>
      <w:r>
        <w:rPr>
          <w:lang w:val="en-US"/>
        </w:rPr>
        <w:t xml:space="preserve"> See</w:t>
      </w:r>
      <w:r w:rsidRPr="009B4F39">
        <w:rPr>
          <w:lang w:val="en-US"/>
        </w:rPr>
        <w:t xml:space="preserve"> Shattuck, The True Meaning of the </w:t>
      </w:r>
      <w:proofErr w:type="gramStart"/>
      <w:r w:rsidRPr="009B4F39">
        <w:rPr>
          <w:lang w:val="en-US"/>
        </w:rPr>
        <w:t xml:space="preserve">Term </w:t>
      </w:r>
      <w:r>
        <w:rPr>
          <w:lang w:val="en-US"/>
        </w:rPr>
        <w:t>,</w:t>
      </w:r>
      <w:r w:rsidRPr="009B4F39">
        <w:rPr>
          <w:lang w:val="en-US"/>
        </w:rPr>
        <w:t>Liberty</w:t>
      </w:r>
      <w:proofErr w:type="gramEnd"/>
      <w:r>
        <w:rPr>
          <w:lang w:val="en-US"/>
        </w:rPr>
        <w:t>‘</w:t>
      </w:r>
      <w:r w:rsidRPr="009B4F39">
        <w:rPr>
          <w:lang w:val="en-US"/>
        </w:rPr>
        <w:t>, 4 Harv. L. Rev. 365, 372</w:t>
      </w:r>
      <w:r>
        <w:rPr>
          <w:lang w:val="en-US"/>
        </w:rPr>
        <w:t>–</w:t>
      </w:r>
      <w:r w:rsidRPr="009B4F39">
        <w:rPr>
          <w:lang w:val="en-US"/>
        </w:rPr>
        <w:t>373 (</w:t>
      </w:r>
      <w:proofErr w:type="gramStart"/>
      <w:r w:rsidRPr="009B4F39">
        <w:rPr>
          <w:lang w:val="en-US"/>
        </w:rPr>
        <w:t>1891)</w:t>
      </w:r>
      <w:r>
        <w:rPr>
          <w:lang w:val="en-US"/>
        </w:rPr>
        <w:t>“</w:t>
      </w:r>
      <w:proofErr w:type="gramEnd"/>
      <w:r>
        <w:rPr>
          <w:lang w:val="en-US"/>
        </w:rPr>
        <w:t>.</w:t>
      </w:r>
    </w:p>
  </w:footnote>
  <w:footnote w:id="2262">
    <w:p w14:paraId="11F3D300" w14:textId="77777777" w:rsidR="00074551" w:rsidRPr="00296192" w:rsidRDefault="00074551" w:rsidP="00074551">
      <w:pPr>
        <w:pStyle w:val="Funotentext"/>
        <w:rPr>
          <w:lang w:val="en-US"/>
        </w:rPr>
      </w:pPr>
      <w:r>
        <w:rPr>
          <w:rStyle w:val="Funotenzeichen"/>
          <w:rFonts w:eastAsiaTheme="majorEastAsia"/>
        </w:rPr>
        <w:footnoteRef/>
      </w:r>
      <w:r w:rsidRPr="00296192">
        <w:rPr>
          <w:lang w:val="en-US"/>
        </w:rPr>
        <w:t xml:space="preserve"> </w:t>
      </w:r>
      <w:r w:rsidRPr="00B45592">
        <w:rPr>
          <w:i/>
          <w:lang w:val="en-US"/>
        </w:rPr>
        <w:t>Wolf v. Colorado</w:t>
      </w:r>
      <w:r w:rsidRPr="00296192">
        <w:rPr>
          <w:lang w:val="en-US"/>
        </w:rPr>
        <w:t>, 338 U.S. 25, 27</w:t>
      </w:r>
      <w:r>
        <w:rPr>
          <w:lang w:val="en-US"/>
        </w:rPr>
        <w:t>–</w:t>
      </w:r>
      <w:r w:rsidRPr="00296192">
        <w:rPr>
          <w:lang w:val="en-US"/>
        </w:rPr>
        <w:t>28 (1949)</w:t>
      </w:r>
      <w:r>
        <w:rPr>
          <w:lang w:val="en-US"/>
        </w:rPr>
        <w:t xml:space="preserve">; </w:t>
      </w:r>
      <w:r w:rsidRPr="004F13B1">
        <w:rPr>
          <w:i/>
          <w:lang w:val="en-US"/>
        </w:rPr>
        <w:t>Ingraham v. Wright</w:t>
      </w:r>
      <w:r w:rsidRPr="00296192">
        <w:rPr>
          <w:lang w:val="en-US"/>
        </w:rPr>
        <w:t>, 430 U.S. 651, 673</w:t>
      </w:r>
      <w:r w:rsidRPr="006E67FE">
        <w:rPr>
          <w:lang w:val="en-US"/>
        </w:rPr>
        <w:t xml:space="preserve"> = 97 S. Ct. </w:t>
      </w:r>
      <w:r w:rsidRPr="00296192">
        <w:rPr>
          <w:lang w:val="en-US"/>
        </w:rPr>
        <w:t>1401, 1413</w:t>
      </w:r>
      <w:r w:rsidRPr="00EC5BEB">
        <w:rPr>
          <w:lang w:val="en-US"/>
        </w:rPr>
        <w:t xml:space="preserve"> = 51 L. Ed. </w:t>
      </w:r>
      <w:r w:rsidRPr="00296192">
        <w:rPr>
          <w:lang w:val="en-US"/>
        </w:rPr>
        <w:t>2d 711, 731</w:t>
      </w:r>
      <w:r w:rsidRPr="006E67FE">
        <w:rPr>
          <w:lang w:val="en-US"/>
        </w:rPr>
        <w:t xml:space="preserve"> = 1977 U.S. LEXIS </w:t>
      </w:r>
      <w:r w:rsidRPr="00296192">
        <w:rPr>
          <w:lang w:val="en-US"/>
        </w:rPr>
        <w:t>74, 43 (1977)</w:t>
      </w:r>
      <w:r>
        <w:rPr>
          <w:lang w:val="en-US"/>
        </w:rPr>
        <w:t>.</w:t>
      </w:r>
    </w:p>
  </w:footnote>
  <w:footnote w:id="2263">
    <w:p w14:paraId="51F25142" w14:textId="77777777" w:rsidR="00074551" w:rsidRPr="00892157" w:rsidRDefault="00074551" w:rsidP="00074551">
      <w:pPr>
        <w:pStyle w:val="Funotentext"/>
        <w:rPr>
          <w:lang w:val="en-US"/>
        </w:rPr>
      </w:pPr>
      <w:r>
        <w:rPr>
          <w:rStyle w:val="Funotenzeichen"/>
          <w:rFonts w:eastAsiaTheme="majorEastAsia"/>
        </w:rPr>
        <w:footnoteRef/>
      </w:r>
      <w:r w:rsidRPr="00892157">
        <w:rPr>
          <w:lang w:val="en-US"/>
        </w:rPr>
        <w:t xml:space="preserve"> </w:t>
      </w:r>
      <w:r w:rsidRPr="00B45592">
        <w:rPr>
          <w:i/>
          <w:lang w:val="en-US"/>
        </w:rPr>
        <w:t>Wolf v. Colorado</w:t>
      </w:r>
      <w:r w:rsidRPr="00892157">
        <w:rPr>
          <w:lang w:val="en-US"/>
        </w:rPr>
        <w:t>, 338 U.S. 25, 27</w:t>
      </w:r>
      <w:r>
        <w:rPr>
          <w:lang w:val="en-US"/>
        </w:rPr>
        <w:t>–</w:t>
      </w:r>
      <w:r w:rsidRPr="00892157">
        <w:rPr>
          <w:lang w:val="en-US"/>
        </w:rPr>
        <w:t>28 (1949)</w:t>
      </w:r>
      <w:r>
        <w:rPr>
          <w:lang w:val="en-US"/>
        </w:rPr>
        <w:t xml:space="preserve">; </w:t>
      </w:r>
      <w:r w:rsidRPr="004F13B1">
        <w:rPr>
          <w:i/>
          <w:lang w:val="en-US"/>
        </w:rPr>
        <w:t>Ingraham v. Wright</w:t>
      </w:r>
      <w:r w:rsidRPr="00892157">
        <w:rPr>
          <w:lang w:val="en-US"/>
        </w:rPr>
        <w:t>, 430 U.S. 651, 673</w:t>
      </w:r>
      <w:r w:rsidRPr="006E67FE">
        <w:rPr>
          <w:lang w:val="en-US"/>
        </w:rPr>
        <w:t xml:space="preserve"> = 97 S. Ct. </w:t>
      </w:r>
      <w:r w:rsidRPr="00892157">
        <w:rPr>
          <w:lang w:val="en-US"/>
        </w:rPr>
        <w:t>1401, 1413</w:t>
      </w:r>
      <w:r w:rsidRPr="00EC5BEB">
        <w:rPr>
          <w:lang w:val="en-US"/>
        </w:rPr>
        <w:t xml:space="preserve"> = 51 L. Ed. </w:t>
      </w:r>
      <w:r w:rsidRPr="00892157">
        <w:rPr>
          <w:lang w:val="en-US"/>
        </w:rPr>
        <w:t>2d 711, 731</w:t>
      </w:r>
      <w:r w:rsidRPr="006E67FE">
        <w:rPr>
          <w:lang w:val="en-US"/>
        </w:rPr>
        <w:t xml:space="preserve"> = 1977 U.S. LEXIS </w:t>
      </w:r>
      <w:r w:rsidRPr="00892157">
        <w:rPr>
          <w:lang w:val="en-US"/>
        </w:rPr>
        <w:t>74, 43 (1977)</w:t>
      </w:r>
      <w:r>
        <w:rPr>
          <w:lang w:val="en-US"/>
        </w:rPr>
        <w:t>.</w:t>
      </w:r>
    </w:p>
  </w:footnote>
  <w:footnote w:id="2264">
    <w:p w14:paraId="58243BE6" w14:textId="77777777" w:rsidR="00074551" w:rsidRPr="00296192" w:rsidRDefault="00074551" w:rsidP="00074551">
      <w:pPr>
        <w:pStyle w:val="Funotentext"/>
        <w:rPr>
          <w:lang w:val="en-US"/>
        </w:rPr>
      </w:pPr>
      <w:r>
        <w:rPr>
          <w:rStyle w:val="Funotenzeichen"/>
          <w:rFonts w:eastAsiaTheme="majorEastAsia"/>
        </w:rPr>
        <w:footnoteRef/>
      </w:r>
      <w:r w:rsidRPr="00296192">
        <w:rPr>
          <w:lang w:val="en-US"/>
        </w:rPr>
        <w:t xml:space="preserve"> </w:t>
      </w:r>
      <w:r w:rsidRPr="00B45592">
        <w:rPr>
          <w:i/>
          <w:lang w:val="en-US"/>
        </w:rPr>
        <w:t>Wolf v. Colorado</w:t>
      </w:r>
      <w:r w:rsidRPr="00296192">
        <w:rPr>
          <w:lang w:val="en-US"/>
        </w:rPr>
        <w:t>, 338 U.S. 25, 27</w:t>
      </w:r>
      <w:r>
        <w:rPr>
          <w:lang w:val="en-US"/>
        </w:rPr>
        <w:t>–</w:t>
      </w:r>
      <w:r w:rsidRPr="00296192">
        <w:rPr>
          <w:lang w:val="en-US"/>
        </w:rPr>
        <w:t>28 (1949)</w:t>
      </w:r>
      <w:r>
        <w:rPr>
          <w:lang w:val="en-US"/>
        </w:rPr>
        <w:t xml:space="preserve">; </w:t>
      </w:r>
      <w:r w:rsidRPr="004F13B1">
        <w:rPr>
          <w:i/>
          <w:lang w:val="en-US"/>
        </w:rPr>
        <w:t>Ingraham v. Wright</w:t>
      </w:r>
      <w:r w:rsidRPr="00296192">
        <w:rPr>
          <w:lang w:val="en-US"/>
        </w:rPr>
        <w:t>, 430 U.S. 651, 673</w:t>
      </w:r>
      <w:r w:rsidRPr="006E67FE">
        <w:rPr>
          <w:lang w:val="en-US"/>
        </w:rPr>
        <w:t xml:space="preserve"> = 97 S. Ct. </w:t>
      </w:r>
      <w:r w:rsidRPr="00296192">
        <w:rPr>
          <w:lang w:val="en-US"/>
        </w:rPr>
        <w:t>1401, 1413</w:t>
      </w:r>
      <w:r w:rsidRPr="00EC5BEB">
        <w:rPr>
          <w:lang w:val="en-US"/>
        </w:rPr>
        <w:t xml:space="preserve"> = 51 L. Ed. </w:t>
      </w:r>
      <w:r w:rsidRPr="00296192">
        <w:rPr>
          <w:lang w:val="en-US"/>
        </w:rPr>
        <w:t>2d 711, 731</w:t>
      </w:r>
      <w:r w:rsidRPr="006E67FE">
        <w:rPr>
          <w:lang w:val="en-US"/>
        </w:rPr>
        <w:t xml:space="preserve"> = 1977 U.S. LEXIS </w:t>
      </w:r>
      <w:r w:rsidRPr="00296192">
        <w:rPr>
          <w:lang w:val="en-US"/>
        </w:rPr>
        <w:t>74, 43 (1977)</w:t>
      </w:r>
      <w:r>
        <w:rPr>
          <w:lang w:val="en-US"/>
        </w:rPr>
        <w:t>.</w:t>
      </w:r>
    </w:p>
  </w:footnote>
  <w:footnote w:id="2265">
    <w:p w14:paraId="011AC81E" w14:textId="77777777" w:rsidR="00074551" w:rsidRPr="00892157" w:rsidRDefault="00074551" w:rsidP="00074551">
      <w:pPr>
        <w:pStyle w:val="Funotentext"/>
        <w:rPr>
          <w:lang w:val="en-US"/>
        </w:rPr>
      </w:pPr>
      <w:r>
        <w:rPr>
          <w:rStyle w:val="Funotenzeichen"/>
          <w:rFonts w:eastAsiaTheme="majorEastAsia"/>
        </w:rPr>
        <w:footnoteRef/>
      </w:r>
      <w:r w:rsidRPr="00892157">
        <w:rPr>
          <w:lang w:val="en-US"/>
        </w:rPr>
        <w:t xml:space="preserve"> </w:t>
      </w:r>
      <w:r w:rsidRPr="00850971">
        <w:rPr>
          <w:i/>
          <w:lang w:val="en-IE"/>
        </w:rPr>
        <w:t>Ingraham v. Wright</w:t>
      </w:r>
      <w:r w:rsidRPr="00850971">
        <w:rPr>
          <w:lang w:val="en-IE"/>
        </w:rPr>
        <w:t>, 430 U.S. 651, 673</w:t>
      </w:r>
      <w:r>
        <w:rPr>
          <w:lang w:val="en-IE"/>
        </w:rPr>
        <w:t xml:space="preserve"> =</w:t>
      </w:r>
      <w:r w:rsidRPr="00850971">
        <w:rPr>
          <w:lang w:val="en-IE"/>
        </w:rPr>
        <w:t xml:space="preserve"> 97 S. Ct. 1401, 1413</w:t>
      </w:r>
      <w:r>
        <w:rPr>
          <w:lang w:val="en-IE"/>
        </w:rPr>
        <w:t xml:space="preserve"> =</w:t>
      </w:r>
      <w:r w:rsidRPr="00850971">
        <w:rPr>
          <w:lang w:val="en-IE"/>
        </w:rPr>
        <w:t xml:space="preserve"> 51 L. Ed. 2d 711, 731</w:t>
      </w:r>
      <w:r>
        <w:rPr>
          <w:lang w:val="en-IE"/>
        </w:rPr>
        <w:t xml:space="preserve"> =</w:t>
      </w:r>
      <w:r w:rsidRPr="00850971">
        <w:rPr>
          <w:lang w:val="en-IE"/>
        </w:rPr>
        <w:t xml:space="preserve"> 1977 U.S. LEXIS 74, 43 (1977)</w:t>
      </w:r>
      <w:r>
        <w:rPr>
          <w:lang w:val="en-IE"/>
        </w:rPr>
        <w:t>.</w:t>
      </w:r>
    </w:p>
  </w:footnote>
  <w:footnote w:id="2266">
    <w:p w14:paraId="7B7BC70A" w14:textId="77777777" w:rsidR="00074551" w:rsidRPr="00296192" w:rsidRDefault="00074551" w:rsidP="00074551">
      <w:pPr>
        <w:pStyle w:val="Funotentext"/>
        <w:rPr>
          <w:lang w:val="en-US"/>
        </w:rPr>
      </w:pPr>
      <w:r>
        <w:rPr>
          <w:rStyle w:val="Funotenzeichen"/>
          <w:rFonts w:eastAsiaTheme="majorEastAsia"/>
        </w:rPr>
        <w:footnoteRef/>
      </w:r>
      <w:r w:rsidRPr="00296192">
        <w:rPr>
          <w:lang w:val="en-US"/>
        </w:rPr>
        <w:t xml:space="preserve"> </w:t>
      </w:r>
      <w:r w:rsidRPr="00B45592">
        <w:rPr>
          <w:i/>
          <w:lang w:val="en-US"/>
        </w:rPr>
        <w:t>Schmerber v. California</w:t>
      </w:r>
      <w:r w:rsidRPr="00296192">
        <w:rPr>
          <w:lang w:val="en-US"/>
        </w:rPr>
        <w:t>, 384 U.S. 757, 767 (1966)</w:t>
      </w:r>
      <w:r>
        <w:rPr>
          <w:lang w:val="en-US"/>
        </w:rPr>
        <w:t xml:space="preserve">; </w:t>
      </w:r>
      <w:r w:rsidRPr="004F13B1">
        <w:rPr>
          <w:i/>
          <w:lang w:val="en-US"/>
        </w:rPr>
        <w:t>Ingraham v. Wright</w:t>
      </w:r>
      <w:r w:rsidRPr="00296192">
        <w:rPr>
          <w:lang w:val="en-US"/>
        </w:rPr>
        <w:t>, 430 U.S. 651, 673</w:t>
      </w:r>
      <w:r w:rsidRPr="006E67FE">
        <w:rPr>
          <w:lang w:val="en-US"/>
        </w:rPr>
        <w:t xml:space="preserve"> = 97 S. Ct. </w:t>
      </w:r>
      <w:r w:rsidRPr="00296192">
        <w:rPr>
          <w:lang w:val="en-US"/>
        </w:rPr>
        <w:t>1401, 1413</w:t>
      </w:r>
      <w:r w:rsidRPr="00EC5BEB">
        <w:rPr>
          <w:lang w:val="en-US"/>
        </w:rPr>
        <w:t xml:space="preserve"> = 51 L. Ed. </w:t>
      </w:r>
      <w:r w:rsidRPr="00296192">
        <w:rPr>
          <w:lang w:val="en-US"/>
        </w:rPr>
        <w:t>2d 711, 731</w:t>
      </w:r>
      <w:r w:rsidRPr="006E67FE">
        <w:rPr>
          <w:lang w:val="en-US"/>
        </w:rPr>
        <w:t xml:space="preserve"> = 1977 U.S. LEXIS </w:t>
      </w:r>
      <w:r w:rsidRPr="00296192">
        <w:rPr>
          <w:lang w:val="en-US"/>
        </w:rPr>
        <w:t>74, 43 (1977)</w:t>
      </w:r>
      <w:r>
        <w:rPr>
          <w:lang w:val="en-US"/>
        </w:rPr>
        <w:t>.</w:t>
      </w:r>
    </w:p>
  </w:footnote>
  <w:footnote w:id="2267">
    <w:p w14:paraId="568FC7EA" w14:textId="77777777" w:rsidR="00074551" w:rsidRPr="00E96874" w:rsidRDefault="00074551" w:rsidP="00074551">
      <w:pPr>
        <w:pStyle w:val="Funotentext"/>
        <w:jc w:val="both"/>
      </w:pPr>
      <w:r>
        <w:rPr>
          <w:rStyle w:val="Funotenzeichen"/>
          <w:rFonts w:eastAsiaTheme="majorEastAsia"/>
        </w:rPr>
        <w:footnoteRef/>
      </w:r>
      <w:r w:rsidRPr="00454274">
        <w:rPr>
          <w:lang w:val="en-US"/>
        </w:rPr>
        <w:t xml:space="preserve"> </w:t>
      </w:r>
      <w:r w:rsidRPr="00B45592">
        <w:rPr>
          <w:i/>
          <w:lang w:val="en-US"/>
        </w:rPr>
        <w:t>Whalen v. Roe</w:t>
      </w:r>
      <w:r w:rsidRPr="00454274">
        <w:rPr>
          <w:lang w:val="en-US"/>
        </w:rPr>
        <w:t>, 429 U.S. 589, 604 n. 32 (1977)</w:t>
      </w:r>
      <w:r>
        <w:rPr>
          <w:lang w:val="en-US"/>
        </w:rPr>
        <w:t xml:space="preserve">; </w:t>
      </w:r>
      <w:r w:rsidRPr="004F13B1">
        <w:rPr>
          <w:i/>
          <w:lang w:val="en-US"/>
        </w:rPr>
        <w:t>Ingraham v. Wright</w:t>
      </w:r>
      <w:r w:rsidRPr="00454274">
        <w:rPr>
          <w:lang w:val="en-US"/>
        </w:rPr>
        <w:t>, 430 U.S. 651, 673</w:t>
      </w:r>
      <w:r w:rsidRPr="006E67FE">
        <w:rPr>
          <w:lang w:val="en-US"/>
        </w:rPr>
        <w:t xml:space="preserve"> = 97 S. Ct. </w:t>
      </w:r>
      <w:r w:rsidRPr="00454274">
        <w:rPr>
          <w:lang w:val="en-US"/>
        </w:rPr>
        <w:t>1401, 1413</w:t>
      </w:r>
      <w:r w:rsidRPr="00EC5BEB">
        <w:rPr>
          <w:lang w:val="en-US"/>
        </w:rPr>
        <w:t xml:space="preserve"> = 51 L. Ed. </w:t>
      </w:r>
      <w:r w:rsidRPr="00454274">
        <w:rPr>
          <w:lang w:val="en-US"/>
        </w:rPr>
        <w:t>2d 711, 731</w:t>
      </w:r>
      <w:r w:rsidRPr="006E67FE">
        <w:rPr>
          <w:lang w:val="en-US"/>
        </w:rPr>
        <w:t xml:space="preserve"> = 1977 U.S. LEXIS </w:t>
      </w:r>
      <w:r w:rsidRPr="00454274">
        <w:rPr>
          <w:lang w:val="en-US"/>
        </w:rPr>
        <w:t>74, 43 (1977)</w:t>
      </w:r>
      <w:r>
        <w:rPr>
          <w:lang w:val="en-US"/>
        </w:rPr>
        <w:t xml:space="preserve">. </w:t>
      </w:r>
      <w:r w:rsidRPr="00E96874">
        <w:t xml:space="preserve">Es sei darauf hingewiesen, </w:t>
      </w:r>
      <w:r>
        <w:t xml:space="preserve">dass die </w:t>
      </w:r>
      <w:r w:rsidRPr="00E96874">
        <w:t>Petenten nicht geltend</w:t>
      </w:r>
      <w:r>
        <w:t xml:space="preserve"> </w:t>
      </w:r>
      <w:r w:rsidRPr="00E96874">
        <w:t xml:space="preserve">machen, dass </w:t>
      </w:r>
      <w:proofErr w:type="spellStart"/>
      <w:r>
        <w:t>Amd</w:t>
      </w:r>
      <w:proofErr w:type="spellEnd"/>
      <w:r>
        <w:t>. IV</w:t>
      </w:r>
      <w:r w:rsidRPr="00E96874">
        <w:t xml:space="preserve"> nach seinem Wortlaut auf körperliche Züchtigung in öffentlichen Schulen anwendbar </w:t>
      </w:r>
      <w:r>
        <w:t>sei.</w:t>
      </w:r>
    </w:p>
  </w:footnote>
  <w:footnote w:id="2268">
    <w:p w14:paraId="64F535FF" w14:textId="77777777" w:rsidR="00074551" w:rsidRPr="008A3B29" w:rsidRDefault="00074551" w:rsidP="00074551">
      <w:pPr>
        <w:pStyle w:val="Funotentext"/>
        <w:rPr>
          <w:lang w:val="en-US"/>
        </w:rPr>
      </w:pPr>
      <w:r>
        <w:rPr>
          <w:rStyle w:val="Funotenzeichen"/>
          <w:rFonts w:eastAsiaTheme="majorEastAsia"/>
        </w:rPr>
        <w:footnoteRef/>
      </w:r>
      <w:r w:rsidRPr="008A3B29">
        <w:rPr>
          <w:lang w:val="en-US"/>
        </w:rPr>
        <w:t xml:space="preserve"> </w:t>
      </w:r>
      <w:r w:rsidRPr="009E57E1">
        <w:rPr>
          <w:i/>
          <w:lang w:val="en-US"/>
        </w:rPr>
        <w:t>Cummings v. Mo.</w:t>
      </w:r>
      <w:r w:rsidRPr="008A3B29">
        <w:rPr>
          <w:lang w:val="en-US"/>
        </w:rPr>
        <w:t>, 71 U.S. 277, 324</w:t>
      </w:r>
      <w:r w:rsidRPr="006E67FE">
        <w:rPr>
          <w:lang w:val="en-US"/>
        </w:rPr>
        <w:t xml:space="preserve"> = 18 L. Ed. </w:t>
      </w:r>
      <w:r w:rsidRPr="008A3B29">
        <w:rPr>
          <w:lang w:val="en-US"/>
        </w:rPr>
        <w:t>356, 363</w:t>
      </w:r>
      <w:r w:rsidRPr="006E67FE">
        <w:rPr>
          <w:lang w:val="en-US"/>
        </w:rPr>
        <w:t xml:space="preserve"> = 1866 U.S. LEXIS </w:t>
      </w:r>
      <w:r w:rsidRPr="008A3B29">
        <w:rPr>
          <w:lang w:val="en-US"/>
        </w:rPr>
        <w:t>885, 84</w:t>
      </w:r>
      <w:r w:rsidRPr="006E67FE">
        <w:rPr>
          <w:lang w:val="en-US"/>
        </w:rPr>
        <w:t xml:space="preserve"> = 4 Wall.</w:t>
      </w:r>
      <w:r w:rsidRPr="008A3B29">
        <w:rPr>
          <w:lang w:val="en-US"/>
        </w:rPr>
        <w:t xml:space="preserve"> 277 (1867)</w:t>
      </w:r>
      <w:r>
        <w:rPr>
          <w:lang w:val="en-US"/>
        </w:rPr>
        <w:t>.</w:t>
      </w:r>
    </w:p>
  </w:footnote>
  <w:footnote w:id="2269">
    <w:p w14:paraId="2E25573F" w14:textId="77777777" w:rsidR="00074551" w:rsidRPr="008A3B29" w:rsidRDefault="00074551" w:rsidP="00074551">
      <w:pPr>
        <w:pStyle w:val="Funotentext"/>
        <w:rPr>
          <w:lang w:val="en-US"/>
        </w:rPr>
      </w:pPr>
      <w:r>
        <w:rPr>
          <w:rStyle w:val="Funotenzeichen"/>
          <w:rFonts w:eastAsiaTheme="majorEastAsia"/>
        </w:rPr>
        <w:footnoteRef/>
      </w:r>
      <w:r w:rsidRPr="008A3B29">
        <w:rPr>
          <w:lang w:val="en-US"/>
        </w:rPr>
        <w:t xml:space="preserve"> </w:t>
      </w:r>
      <w:r w:rsidRPr="009E57E1">
        <w:rPr>
          <w:i/>
          <w:lang w:val="en-US"/>
        </w:rPr>
        <w:t>Cummings v. Mo.</w:t>
      </w:r>
      <w:r w:rsidRPr="008A3B29">
        <w:rPr>
          <w:lang w:val="en-US"/>
        </w:rPr>
        <w:t>, 71 U.S. 277, 326</w:t>
      </w:r>
      <w:r w:rsidRPr="006E67FE">
        <w:rPr>
          <w:lang w:val="en-US"/>
        </w:rPr>
        <w:t xml:space="preserve"> = 18 L. Ed. </w:t>
      </w:r>
      <w:r w:rsidRPr="008A3B29">
        <w:rPr>
          <w:lang w:val="en-US"/>
        </w:rPr>
        <w:t>356, 364</w:t>
      </w:r>
      <w:r w:rsidRPr="006E67FE">
        <w:rPr>
          <w:lang w:val="en-US"/>
        </w:rPr>
        <w:t xml:space="preserve"> = 1866 U.S. LEXIS </w:t>
      </w:r>
      <w:r w:rsidRPr="008A3B29">
        <w:rPr>
          <w:lang w:val="en-US"/>
        </w:rPr>
        <w:t>885, 88</w:t>
      </w:r>
      <w:r w:rsidRPr="006E67FE">
        <w:rPr>
          <w:lang w:val="en-US"/>
        </w:rPr>
        <w:t xml:space="preserve"> = 4 Wall.</w:t>
      </w:r>
      <w:r w:rsidRPr="008A3B29">
        <w:rPr>
          <w:lang w:val="en-US"/>
        </w:rPr>
        <w:t xml:space="preserve"> 277 (1867).</w:t>
      </w:r>
    </w:p>
  </w:footnote>
  <w:footnote w:id="2270">
    <w:p w14:paraId="6990DD08" w14:textId="77777777" w:rsidR="00074551" w:rsidRPr="00192238" w:rsidRDefault="00074551" w:rsidP="00074551">
      <w:pPr>
        <w:pStyle w:val="Funotentext"/>
        <w:rPr>
          <w:lang w:val="en-US"/>
        </w:rPr>
      </w:pPr>
      <w:r>
        <w:rPr>
          <w:rStyle w:val="Funotenzeichen"/>
          <w:rFonts w:eastAsiaTheme="majorEastAsia"/>
        </w:rPr>
        <w:footnoteRef/>
      </w:r>
      <w:r w:rsidRPr="00192238">
        <w:rPr>
          <w:lang w:val="en-US"/>
        </w:rPr>
        <w:t xml:space="preserve"> </w:t>
      </w:r>
      <w:r w:rsidRPr="009E57E1">
        <w:rPr>
          <w:i/>
          <w:lang w:val="en-IE"/>
        </w:rPr>
        <w:t>Cummings v. Mo.</w:t>
      </w:r>
      <w:r w:rsidRPr="00B45592">
        <w:rPr>
          <w:lang w:val="en-IE"/>
        </w:rPr>
        <w:t>, 71 U.S. 277, 321</w:t>
      </w:r>
      <w:r w:rsidRPr="006E67FE">
        <w:rPr>
          <w:lang w:val="en-IE"/>
        </w:rPr>
        <w:t xml:space="preserve"> = 18 L. Ed. </w:t>
      </w:r>
      <w:r w:rsidRPr="00B45592">
        <w:rPr>
          <w:lang w:val="en-IE"/>
        </w:rPr>
        <w:t>356, 362</w:t>
      </w:r>
      <w:r w:rsidRPr="006E67FE">
        <w:rPr>
          <w:lang w:val="en-IE"/>
        </w:rPr>
        <w:t xml:space="preserve"> = 1866 U.S. LEXIS </w:t>
      </w:r>
      <w:r w:rsidRPr="00B45592">
        <w:rPr>
          <w:lang w:val="en-IE"/>
        </w:rPr>
        <w:t>885, 80</w:t>
      </w:r>
      <w:r w:rsidRPr="006E67FE">
        <w:rPr>
          <w:lang w:val="en-IE"/>
        </w:rPr>
        <w:t xml:space="preserve"> = 4 Wall.</w:t>
      </w:r>
      <w:r w:rsidRPr="00B45592">
        <w:rPr>
          <w:lang w:val="en-IE"/>
        </w:rPr>
        <w:t xml:space="preserve"> 277 (1867)</w:t>
      </w:r>
      <w:r w:rsidRPr="00192238">
        <w:rPr>
          <w:lang w:val="en-US"/>
        </w:rPr>
        <w:t>.</w:t>
      </w:r>
    </w:p>
  </w:footnote>
  <w:footnote w:id="2271">
    <w:p w14:paraId="757C713E" w14:textId="77777777" w:rsidR="00074551" w:rsidRPr="00192238" w:rsidRDefault="00074551" w:rsidP="00074551">
      <w:pPr>
        <w:pStyle w:val="Funotentext"/>
        <w:rPr>
          <w:lang w:val="en-US"/>
        </w:rPr>
      </w:pPr>
      <w:r>
        <w:rPr>
          <w:rStyle w:val="Funotenzeichen"/>
          <w:rFonts w:eastAsiaTheme="majorEastAsia"/>
        </w:rPr>
        <w:footnoteRef/>
      </w:r>
      <w:r w:rsidRPr="00192238">
        <w:rPr>
          <w:lang w:val="en-US"/>
        </w:rPr>
        <w:t xml:space="preserve"> </w:t>
      </w:r>
      <w:r w:rsidRPr="009E57E1">
        <w:rPr>
          <w:i/>
          <w:lang w:val="en-IE"/>
        </w:rPr>
        <w:t>Cummings v. Mo.</w:t>
      </w:r>
      <w:r w:rsidRPr="00B45592">
        <w:rPr>
          <w:lang w:val="en-IE"/>
        </w:rPr>
        <w:t>, 71 U.S. 277, 321</w:t>
      </w:r>
      <w:r w:rsidRPr="006E67FE">
        <w:rPr>
          <w:lang w:val="en-IE"/>
        </w:rPr>
        <w:t xml:space="preserve"> = 18 L. Ed. </w:t>
      </w:r>
      <w:r w:rsidRPr="00B45592">
        <w:rPr>
          <w:lang w:val="en-IE"/>
        </w:rPr>
        <w:t>356, 362</w:t>
      </w:r>
      <w:r w:rsidRPr="006E67FE">
        <w:rPr>
          <w:lang w:val="en-IE"/>
        </w:rPr>
        <w:t xml:space="preserve"> = 1866 U.S. LEXIS </w:t>
      </w:r>
      <w:r w:rsidRPr="00B45592">
        <w:rPr>
          <w:lang w:val="en-IE"/>
        </w:rPr>
        <w:t>885, 80</w:t>
      </w:r>
      <w:r w:rsidRPr="006E67FE">
        <w:rPr>
          <w:lang w:val="en-IE"/>
        </w:rPr>
        <w:t xml:space="preserve"> = 4 Wall.</w:t>
      </w:r>
      <w:r w:rsidRPr="00B45592">
        <w:rPr>
          <w:lang w:val="en-IE"/>
        </w:rPr>
        <w:t xml:space="preserve"> 277 (1867)</w:t>
      </w:r>
      <w:r w:rsidRPr="00192238">
        <w:rPr>
          <w:lang w:val="en-US"/>
        </w:rPr>
        <w:t>.</w:t>
      </w:r>
    </w:p>
  </w:footnote>
  <w:footnote w:id="2272">
    <w:p w14:paraId="42114299" w14:textId="77777777" w:rsidR="00074551" w:rsidRPr="00192238" w:rsidRDefault="00074551" w:rsidP="00074551">
      <w:pPr>
        <w:pStyle w:val="Funotentext"/>
        <w:rPr>
          <w:lang w:val="en-US"/>
        </w:rPr>
      </w:pPr>
      <w:r>
        <w:rPr>
          <w:rStyle w:val="Funotenzeichen"/>
          <w:rFonts w:eastAsiaTheme="majorEastAsia"/>
        </w:rPr>
        <w:footnoteRef/>
      </w:r>
      <w:r w:rsidRPr="00192238">
        <w:rPr>
          <w:lang w:val="en-US"/>
        </w:rPr>
        <w:t xml:space="preserve"> </w:t>
      </w:r>
      <w:r w:rsidRPr="009E57E1">
        <w:rPr>
          <w:i/>
          <w:lang w:val="en-IE"/>
        </w:rPr>
        <w:t>Cummings v. Mo.</w:t>
      </w:r>
      <w:r w:rsidRPr="00B45592">
        <w:rPr>
          <w:lang w:val="en-IE"/>
        </w:rPr>
        <w:t>, 71 U.S. 277, 321</w:t>
      </w:r>
      <w:r w:rsidRPr="006E67FE">
        <w:rPr>
          <w:lang w:val="en-IE"/>
        </w:rPr>
        <w:t xml:space="preserve"> = 18 L. Ed. </w:t>
      </w:r>
      <w:r w:rsidRPr="00B45592">
        <w:rPr>
          <w:lang w:val="en-IE"/>
        </w:rPr>
        <w:t>356, 362</w:t>
      </w:r>
      <w:r w:rsidRPr="006E67FE">
        <w:rPr>
          <w:lang w:val="en-IE"/>
        </w:rPr>
        <w:t xml:space="preserve"> = 1866 U.S. LEXIS </w:t>
      </w:r>
      <w:r w:rsidRPr="00B45592">
        <w:rPr>
          <w:lang w:val="en-IE"/>
        </w:rPr>
        <w:t>885, 80</w:t>
      </w:r>
      <w:r w:rsidRPr="006E67FE">
        <w:rPr>
          <w:lang w:val="en-IE"/>
        </w:rPr>
        <w:t xml:space="preserve"> = 4 Wall.</w:t>
      </w:r>
      <w:r w:rsidRPr="00B45592">
        <w:rPr>
          <w:lang w:val="en-IE"/>
        </w:rPr>
        <w:t xml:space="preserve"> 277 (1867)</w:t>
      </w:r>
      <w:r w:rsidRPr="00192238">
        <w:rPr>
          <w:lang w:val="en-US"/>
        </w:rPr>
        <w:t>.</w:t>
      </w:r>
    </w:p>
  </w:footnote>
  <w:footnote w:id="2273">
    <w:p w14:paraId="2B34B0CA" w14:textId="77777777" w:rsidR="00074551" w:rsidRPr="00A37493" w:rsidRDefault="00074551" w:rsidP="00074551">
      <w:pPr>
        <w:pStyle w:val="Funotentext"/>
        <w:rPr>
          <w:lang w:val="en-US"/>
        </w:rPr>
      </w:pPr>
      <w:r>
        <w:rPr>
          <w:rStyle w:val="Funotenzeichen"/>
          <w:rFonts w:eastAsiaTheme="majorEastAsia"/>
        </w:rPr>
        <w:footnoteRef/>
      </w:r>
      <w:r w:rsidRPr="00A37493">
        <w:rPr>
          <w:lang w:val="en-US"/>
        </w:rPr>
        <w:t xml:space="preserve"> </w:t>
      </w:r>
      <w:r w:rsidRPr="009E57E1">
        <w:rPr>
          <w:i/>
          <w:lang w:val="en-US"/>
        </w:rPr>
        <w:t>Cummings v. Mo.</w:t>
      </w:r>
      <w:r w:rsidRPr="00A37493">
        <w:rPr>
          <w:lang w:val="en-US"/>
        </w:rPr>
        <w:t>, 71 U.S. 277, 316</w:t>
      </w:r>
      <w:r w:rsidRPr="006E67FE">
        <w:rPr>
          <w:lang w:val="en-US"/>
        </w:rPr>
        <w:t xml:space="preserve"> = 18 L. Ed. </w:t>
      </w:r>
      <w:r w:rsidRPr="00A37493">
        <w:rPr>
          <w:lang w:val="en-US"/>
        </w:rPr>
        <w:t>356, 360</w:t>
      </w:r>
      <w:r w:rsidRPr="006E67FE">
        <w:rPr>
          <w:lang w:val="en-US"/>
        </w:rPr>
        <w:t xml:space="preserve"> = 1866 U.S. LEXIS </w:t>
      </w:r>
      <w:r w:rsidRPr="00A37493">
        <w:rPr>
          <w:lang w:val="en-US"/>
        </w:rPr>
        <w:t>885, 7</w:t>
      </w:r>
      <w:r w:rsidRPr="006E67FE">
        <w:rPr>
          <w:lang w:val="en-US"/>
        </w:rPr>
        <w:t xml:space="preserve"> = 4 Wall.</w:t>
      </w:r>
      <w:r w:rsidRPr="00A37493">
        <w:rPr>
          <w:lang w:val="en-US"/>
        </w:rPr>
        <w:t xml:space="preserve"> 277 (1867)</w:t>
      </w:r>
      <w:r>
        <w:rPr>
          <w:lang w:val="en-US"/>
        </w:rPr>
        <w:t>.</w:t>
      </w:r>
    </w:p>
  </w:footnote>
  <w:footnote w:id="2274">
    <w:p w14:paraId="1F6EFA9E" w14:textId="77777777" w:rsidR="00074551" w:rsidRPr="00EA17B0" w:rsidRDefault="00074551" w:rsidP="00074551">
      <w:pPr>
        <w:pStyle w:val="Funotentext"/>
        <w:rPr>
          <w:lang w:val="en-US"/>
        </w:rPr>
      </w:pPr>
      <w:r>
        <w:rPr>
          <w:rStyle w:val="Funotenzeichen"/>
          <w:rFonts w:eastAsiaTheme="majorEastAsia"/>
        </w:rPr>
        <w:footnoteRef/>
      </w:r>
      <w:r w:rsidRPr="009162C9">
        <w:rPr>
          <w:lang w:val="en-US"/>
        </w:rPr>
        <w:t xml:space="preserve"> </w:t>
      </w:r>
      <w:r>
        <w:rPr>
          <w:lang w:val="en-US"/>
        </w:rPr>
        <w:t>„</w:t>
      </w:r>
      <w:proofErr w:type="gramStart"/>
      <w:r w:rsidRPr="009162C9">
        <w:rPr>
          <w:lang w:val="en-US"/>
        </w:rPr>
        <w:t>any</w:t>
      </w:r>
      <w:proofErr w:type="gramEnd"/>
      <w:r w:rsidRPr="009162C9">
        <w:rPr>
          <w:lang w:val="en-US"/>
        </w:rPr>
        <w:t xml:space="preserve"> person who, after conviction of a felony, shall attempt to </w:t>
      </w:r>
      <w:proofErr w:type="spellStart"/>
      <w:r w:rsidRPr="009162C9">
        <w:rPr>
          <w:lang w:val="en-US"/>
        </w:rPr>
        <w:t>practise</w:t>
      </w:r>
      <w:proofErr w:type="spellEnd"/>
      <w:r w:rsidRPr="009162C9">
        <w:rPr>
          <w:lang w:val="en-US"/>
        </w:rPr>
        <w:t xml:space="preserve"> medicine, or shall so </w:t>
      </w:r>
      <w:proofErr w:type="spellStart"/>
      <w:r w:rsidRPr="009162C9">
        <w:rPr>
          <w:lang w:val="en-US"/>
        </w:rPr>
        <w:t>practise</w:t>
      </w:r>
      <w:proofErr w:type="spellEnd"/>
      <w:r w:rsidRPr="009162C9">
        <w:rPr>
          <w:lang w:val="en-US"/>
        </w:rPr>
        <w:t xml:space="preserve">, shall be guilty of a </w:t>
      </w:r>
      <w:proofErr w:type="gramStart"/>
      <w:r w:rsidRPr="009162C9">
        <w:rPr>
          <w:lang w:val="en-US"/>
        </w:rPr>
        <w:t>misdemeanor</w:t>
      </w:r>
      <w:r>
        <w:rPr>
          <w:lang w:val="en-US"/>
        </w:rPr>
        <w:t>“</w:t>
      </w:r>
      <w:proofErr w:type="gramEnd"/>
      <w:r>
        <w:rPr>
          <w:lang w:val="en-US"/>
        </w:rPr>
        <w:t xml:space="preserve">, </w:t>
      </w:r>
      <w:r w:rsidRPr="00AB01D2">
        <w:rPr>
          <w:i/>
          <w:lang w:val="en-US"/>
        </w:rPr>
        <w:t>Hawker v. New York</w:t>
      </w:r>
      <w:r w:rsidRPr="00EA17B0">
        <w:rPr>
          <w:lang w:val="en-US"/>
        </w:rPr>
        <w:t>, 170 U.S. 189, 200</w:t>
      </w:r>
      <w:r w:rsidRPr="006E67FE">
        <w:rPr>
          <w:lang w:val="en-US"/>
        </w:rPr>
        <w:t xml:space="preserve"> = 18 S. Ct. </w:t>
      </w:r>
      <w:r w:rsidRPr="00EA17B0">
        <w:rPr>
          <w:lang w:val="en-US"/>
        </w:rPr>
        <w:t>573, 578</w:t>
      </w:r>
      <w:r w:rsidRPr="003B741A">
        <w:rPr>
          <w:lang w:val="en-US"/>
        </w:rPr>
        <w:t xml:space="preserve"> = 42 L. Ed. </w:t>
      </w:r>
      <w:r w:rsidRPr="00EA17B0">
        <w:rPr>
          <w:lang w:val="en-US"/>
        </w:rPr>
        <w:t>1002, 1007</w:t>
      </w:r>
      <w:r w:rsidRPr="00EC5BEB">
        <w:rPr>
          <w:lang w:val="en-US"/>
        </w:rPr>
        <w:t xml:space="preserve"> = 1898 U.S. LEXIS </w:t>
      </w:r>
      <w:r w:rsidRPr="00EA17B0">
        <w:rPr>
          <w:lang w:val="en-US"/>
        </w:rPr>
        <w:t>1537, 19 (1898)</w:t>
      </w:r>
      <w:r>
        <w:rPr>
          <w:lang w:val="en-US"/>
        </w:rPr>
        <w:t>.</w:t>
      </w:r>
    </w:p>
  </w:footnote>
  <w:footnote w:id="2275">
    <w:p w14:paraId="7F9152F1" w14:textId="77777777" w:rsidR="00074551" w:rsidRPr="006E59C3" w:rsidRDefault="00074551" w:rsidP="00074551">
      <w:pPr>
        <w:pStyle w:val="Funotentext"/>
        <w:rPr>
          <w:lang w:val="en-US"/>
        </w:rPr>
      </w:pPr>
      <w:r>
        <w:rPr>
          <w:rStyle w:val="Funotenzeichen"/>
          <w:rFonts w:eastAsiaTheme="majorEastAsia"/>
        </w:rPr>
        <w:footnoteRef/>
      </w:r>
      <w:r w:rsidRPr="006E59C3">
        <w:rPr>
          <w:lang w:val="en-US"/>
        </w:rPr>
        <w:t xml:space="preserve"> </w:t>
      </w:r>
      <w:r w:rsidRPr="00AB01D2">
        <w:rPr>
          <w:i/>
          <w:lang w:val="en-US"/>
        </w:rPr>
        <w:t>Hawker v. New York</w:t>
      </w:r>
      <w:r w:rsidRPr="006E59C3">
        <w:rPr>
          <w:lang w:val="en-US"/>
        </w:rPr>
        <w:t>, 170 U.S. 189, 201</w:t>
      </w:r>
      <w:r w:rsidRPr="006E67FE">
        <w:rPr>
          <w:lang w:val="en-US"/>
        </w:rPr>
        <w:t xml:space="preserve"> = 18 S. Ct. </w:t>
      </w:r>
      <w:r w:rsidRPr="006E59C3">
        <w:rPr>
          <w:lang w:val="en-US"/>
        </w:rPr>
        <w:t>573, 578</w:t>
      </w:r>
      <w:r w:rsidRPr="003B741A">
        <w:rPr>
          <w:lang w:val="en-US"/>
        </w:rPr>
        <w:t xml:space="preserve"> = 42 L. Ed. </w:t>
      </w:r>
      <w:r w:rsidRPr="006E59C3">
        <w:rPr>
          <w:lang w:val="en-US"/>
        </w:rPr>
        <w:t>1002, 1008</w:t>
      </w:r>
      <w:r w:rsidRPr="00EC5BEB">
        <w:rPr>
          <w:lang w:val="en-US"/>
        </w:rPr>
        <w:t xml:space="preserve"> = 1898 U.S. LEXIS </w:t>
      </w:r>
      <w:r w:rsidRPr="006E59C3">
        <w:rPr>
          <w:lang w:val="en-US"/>
        </w:rPr>
        <w:t>1537, 21 (1898)</w:t>
      </w:r>
      <w:r>
        <w:rPr>
          <w:lang w:val="en-US"/>
        </w:rPr>
        <w:t>.</w:t>
      </w:r>
    </w:p>
  </w:footnote>
  <w:footnote w:id="2276">
    <w:p w14:paraId="0527D5B3" w14:textId="77777777" w:rsidR="00074551" w:rsidRPr="0039116C" w:rsidRDefault="00074551" w:rsidP="00074551">
      <w:pPr>
        <w:pStyle w:val="Funotentext"/>
        <w:rPr>
          <w:lang w:val="en-US"/>
        </w:rPr>
      </w:pPr>
      <w:r>
        <w:rPr>
          <w:rStyle w:val="Funotenzeichen"/>
        </w:rPr>
        <w:footnoteRef/>
      </w:r>
      <w:r w:rsidRPr="0039116C">
        <w:rPr>
          <w:lang w:val="en-US"/>
        </w:rPr>
        <w:t xml:space="preserve"> </w:t>
      </w:r>
      <w:r w:rsidRPr="00AB01D2">
        <w:rPr>
          <w:i/>
          <w:lang w:val="en-US"/>
        </w:rPr>
        <w:t>Hawker v. New York</w:t>
      </w:r>
      <w:r w:rsidRPr="0039116C">
        <w:rPr>
          <w:lang w:val="en-US"/>
        </w:rPr>
        <w:t>, 170 U.S. 189, 190</w:t>
      </w:r>
      <w:r w:rsidRPr="006E67FE">
        <w:rPr>
          <w:lang w:val="en-US"/>
        </w:rPr>
        <w:t xml:space="preserve"> = 18 S. Ct. </w:t>
      </w:r>
      <w:r w:rsidRPr="0039116C">
        <w:rPr>
          <w:lang w:val="en-US"/>
        </w:rPr>
        <w:t>573, 574</w:t>
      </w:r>
      <w:r w:rsidRPr="003B741A">
        <w:rPr>
          <w:lang w:val="en-US"/>
        </w:rPr>
        <w:t xml:space="preserve"> = 42 L. Ed. </w:t>
      </w:r>
      <w:r w:rsidRPr="0039116C">
        <w:rPr>
          <w:lang w:val="en-US"/>
        </w:rPr>
        <w:t>1002, 1004</w:t>
      </w:r>
      <w:r w:rsidRPr="00EC5BEB">
        <w:rPr>
          <w:lang w:val="en-US"/>
        </w:rPr>
        <w:t xml:space="preserve"> = 1898 U.S. LEXIS </w:t>
      </w:r>
      <w:r w:rsidRPr="0039116C">
        <w:rPr>
          <w:lang w:val="en-US"/>
        </w:rPr>
        <w:t>1537, 2 (1898)</w:t>
      </w:r>
      <w:r>
        <w:rPr>
          <w:lang w:val="en-US"/>
        </w:rPr>
        <w:t>.</w:t>
      </w:r>
    </w:p>
  </w:footnote>
  <w:footnote w:id="2277">
    <w:p w14:paraId="643DE7F3" w14:textId="77777777" w:rsidR="00074551" w:rsidRPr="00EA17B0" w:rsidRDefault="00074551" w:rsidP="00074551">
      <w:pPr>
        <w:pStyle w:val="Funotentext"/>
        <w:rPr>
          <w:lang w:val="en-US"/>
        </w:rPr>
      </w:pPr>
      <w:r>
        <w:rPr>
          <w:rStyle w:val="Funotenzeichen"/>
          <w:rFonts w:eastAsiaTheme="majorEastAsia"/>
        </w:rPr>
        <w:footnoteRef/>
      </w:r>
      <w:r w:rsidRPr="00EA17B0">
        <w:rPr>
          <w:lang w:val="en-US"/>
        </w:rPr>
        <w:t xml:space="preserve"> </w:t>
      </w:r>
      <w:r w:rsidRPr="00AB01D2">
        <w:rPr>
          <w:i/>
          <w:lang w:val="en-US"/>
        </w:rPr>
        <w:t>Hawker v. New York</w:t>
      </w:r>
      <w:r w:rsidRPr="00EA17B0">
        <w:rPr>
          <w:lang w:val="en-US"/>
        </w:rPr>
        <w:t>, 170 U.S. 189, 201</w:t>
      </w:r>
      <w:r w:rsidRPr="006E67FE">
        <w:rPr>
          <w:lang w:val="en-US"/>
        </w:rPr>
        <w:t xml:space="preserve"> = 18 S. Ct. </w:t>
      </w:r>
      <w:r w:rsidRPr="00EA17B0">
        <w:rPr>
          <w:lang w:val="en-US"/>
        </w:rPr>
        <w:t>573, 578</w:t>
      </w:r>
      <w:r w:rsidRPr="003B741A">
        <w:rPr>
          <w:lang w:val="en-US"/>
        </w:rPr>
        <w:t xml:space="preserve"> = 42 L. Ed. </w:t>
      </w:r>
      <w:r w:rsidRPr="00EA17B0">
        <w:rPr>
          <w:lang w:val="en-US"/>
        </w:rPr>
        <w:t>1002, 1007</w:t>
      </w:r>
      <w:r w:rsidRPr="00EC5BEB">
        <w:rPr>
          <w:lang w:val="en-US"/>
        </w:rPr>
        <w:t xml:space="preserve"> = 1898 U.S. LEXIS </w:t>
      </w:r>
      <w:r w:rsidRPr="00EA17B0">
        <w:rPr>
          <w:lang w:val="en-US"/>
        </w:rPr>
        <w:t>1537, 19 (1898)</w:t>
      </w:r>
      <w:r>
        <w:rPr>
          <w:lang w:val="en-US"/>
        </w:rPr>
        <w:t>.</w:t>
      </w:r>
    </w:p>
  </w:footnote>
  <w:footnote w:id="2278">
    <w:p w14:paraId="35F850C3" w14:textId="77777777" w:rsidR="00074551" w:rsidRPr="00EA17B0" w:rsidRDefault="00074551" w:rsidP="00074551">
      <w:pPr>
        <w:pStyle w:val="Funotentext"/>
        <w:rPr>
          <w:lang w:val="en-US"/>
        </w:rPr>
      </w:pPr>
      <w:r>
        <w:rPr>
          <w:rStyle w:val="Funotenzeichen"/>
          <w:rFonts w:eastAsiaTheme="majorEastAsia"/>
        </w:rPr>
        <w:footnoteRef/>
      </w:r>
      <w:r w:rsidRPr="00EA17B0">
        <w:rPr>
          <w:lang w:val="en-US"/>
        </w:rPr>
        <w:t xml:space="preserve"> </w:t>
      </w:r>
      <w:r w:rsidRPr="00B45592">
        <w:rPr>
          <w:i/>
          <w:lang w:val="en-US"/>
        </w:rPr>
        <w:t>Kring v. Missouri</w:t>
      </w:r>
      <w:r w:rsidRPr="00EA17B0">
        <w:rPr>
          <w:lang w:val="en-US"/>
        </w:rPr>
        <w:t>, 107 U.S. 221, 228</w:t>
      </w:r>
      <w:r>
        <w:rPr>
          <w:lang w:val="en-US"/>
        </w:rPr>
        <w:t xml:space="preserve">; </w:t>
      </w:r>
      <w:r w:rsidRPr="00AB01D2">
        <w:rPr>
          <w:i/>
          <w:lang w:val="en-US"/>
        </w:rPr>
        <w:t>Hawker v. New York</w:t>
      </w:r>
      <w:r w:rsidRPr="00EA17B0">
        <w:rPr>
          <w:lang w:val="en-US"/>
        </w:rPr>
        <w:t>, 170 U.S. 189, 201</w:t>
      </w:r>
      <w:r w:rsidRPr="006E67FE">
        <w:rPr>
          <w:lang w:val="en-US"/>
        </w:rPr>
        <w:t xml:space="preserve"> = 18 S. Ct. </w:t>
      </w:r>
      <w:r w:rsidRPr="00EA17B0">
        <w:rPr>
          <w:lang w:val="en-US"/>
        </w:rPr>
        <w:t>573, 578</w:t>
      </w:r>
      <w:r w:rsidRPr="003B741A">
        <w:rPr>
          <w:lang w:val="en-US"/>
        </w:rPr>
        <w:t xml:space="preserve"> = 42 L. Ed. </w:t>
      </w:r>
      <w:r w:rsidRPr="00EA17B0">
        <w:rPr>
          <w:lang w:val="en-US"/>
        </w:rPr>
        <w:t>1002, 1008</w:t>
      </w:r>
      <w:r w:rsidRPr="00EC5BEB">
        <w:rPr>
          <w:lang w:val="en-US"/>
        </w:rPr>
        <w:t xml:space="preserve"> = 1898 U.S. LEXIS </w:t>
      </w:r>
      <w:r w:rsidRPr="00EA17B0">
        <w:rPr>
          <w:lang w:val="en-US"/>
        </w:rPr>
        <w:t>1537, 20 (1898)</w:t>
      </w:r>
      <w:r>
        <w:rPr>
          <w:lang w:val="en-US"/>
        </w:rPr>
        <w:t>.</w:t>
      </w:r>
    </w:p>
  </w:footnote>
  <w:footnote w:id="2279">
    <w:p w14:paraId="123F0982" w14:textId="77777777" w:rsidR="00074551" w:rsidRPr="006E59C3" w:rsidRDefault="00074551" w:rsidP="00074551">
      <w:pPr>
        <w:pStyle w:val="Funotentext"/>
        <w:rPr>
          <w:lang w:val="en-US"/>
        </w:rPr>
      </w:pPr>
      <w:r>
        <w:rPr>
          <w:rStyle w:val="Funotenzeichen"/>
          <w:rFonts w:eastAsiaTheme="majorEastAsia"/>
        </w:rPr>
        <w:footnoteRef/>
      </w:r>
      <w:r w:rsidRPr="006E59C3">
        <w:rPr>
          <w:lang w:val="en-US"/>
        </w:rPr>
        <w:t xml:space="preserve"> </w:t>
      </w:r>
      <w:r w:rsidRPr="00AB01D2">
        <w:rPr>
          <w:i/>
          <w:lang w:val="en-US"/>
        </w:rPr>
        <w:t>Hawker v. New York</w:t>
      </w:r>
      <w:r w:rsidRPr="006E59C3">
        <w:rPr>
          <w:lang w:val="en-US"/>
        </w:rPr>
        <w:t>, 170 U.S. 189, 201</w:t>
      </w:r>
      <w:r w:rsidRPr="006E67FE">
        <w:rPr>
          <w:lang w:val="en-US"/>
        </w:rPr>
        <w:t xml:space="preserve"> = 18 S. Ct. </w:t>
      </w:r>
      <w:r w:rsidRPr="006E59C3">
        <w:rPr>
          <w:lang w:val="en-US"/>
        </w:rPr>
        <w:t>573, 578</w:t>
      </w:r>
      <w:r w:rsidRPr="003B741A">
        <w:rPr>
          <w:lang w:val="en-US"/>
        </w:rPr>
        <w:t xml:space="preserve"> = 42 L. Ed. </w:t>
      </w:r>
      <w:r w:rsidRPr="006E59C3">
        <w:rPr>
          <w:lang w:val="en-US"/>
        </w:rPr>
        <w:t>1002, 1008</w:t>
      </w:r>
      <w:r w:rsidRPr="00EC5BEB">
        <w:rPr>
          <w:lang w:val="en-US"/>
        </w:rPr>
        <w:t xml:space="preserve"> = 1898 U.S. LEXIS </w:t>
      </w:r>
      <w:r w:rsidRPr="006E59C3">
        <w:rPr>
          <w:lang w:val="en-US"/>
        </w:rPr>
        <w:t>1537, 21 (1898)</w:t>
      </w:r>
      <w:r>
        <w:rPr>
          <w:lang w:val="en-US"/>
        </w:rPr>
        <w:t>.</w:t>
      </w:r>
    </w:p>
  </w:footnote>
  <w:footnote w:id="2280">
    <w:p w14:paraId="175C6A57" w14:textId="77777777" w:rsidR="00074551" w:rsidRPr="006E59C3" w:rsidRDefault="00074551" w:rsidP="00074551">
      <w:pPr>
        <w:pStyle w:val="Funotentext"/>
        <w:jc w:val="both"/>
        <w:rPr>
          <w:lang w:val="en-US"/>
        </w:rPr>
      </w:pPr>
      <w:r>
        <w:rPr>
          <w:rStyle w:val="Funotenzeichen"/>
          <w:rFonts w:eastAsiaTheme="majorEastAsia"/>
        </w:rPr>
        <w:footnoteRef/>
      </w:r>
      <w:r w:rsidRPr="006E59C3">
        <w:rPr>
          <w:lang w:val="en-US"/>
        </w:rPr>
        <w:t xml:space="preserve"> </w:t>
      </w:r>
      <w:r w:rsidRPr="007360B0">
        <w:rPr>
          <w:i/>
          <w:lang w:val="en-US"/>
        </w:rPr>
        <w:t>Cummings v. Missouri</w:t>
      </w:r>
      <w:r>
        <w:rPr>
          <w:lang w:val="en-US"/>
        </w:rPr>
        <w:t>,</w:t>
      </w:r>
      <w:r w:rsidRPr="006E67FE">
        <w:rPr>
          <w:lang w:val="en-US"/>
        </w:rPr>
        <w:t xml:space="preserve"> 4 Wall.</w:t>
      </w:r>
      <w:r w:rsidRPr="006E59C3">
        <w:rPr>
          <w:lang w:val="en-US"/>
        </w:rPr>
        <w:t xml:space="preserve"> 277, 321; </w:t>
      </w:r>
      <w:r w:rsidRPr="00AB01D2">
        <w:rPr>
          <w:i/>
          <w:lang w:val="en-US"/>
        </w:rPr>
        <w:t>Hawker v. New York</w:t>
      </w:r>
      <w:r w:rsidRPr="006E59C3">
        <w:rPr>
          <w:lang w:val="en-US"/>
        </w:rPr>
        <w:t>, 170 U.S. 189, 203</w:t>
      </w:r>
      <w:r w:rsidRPr="006E67FE">
        <w:rPr>
          <w:lang w:val="en-US"/>
        </w:rPr>
        <w:t xml:space="preserve"> = 18 S. Ct. </w:t>
      </w:r>
      <w:r w:rsidRPr="006E59C3">
        <w:rPr>
          <w:lang w:val="en-US"/>
        </w:rPr>
        <w:t>573, 579</w:t>
      </w:r>
      <w:r w:rsidRPr="003B741A">
        <w:rPr>
          <w:lang w:val="en-US"/>
        </w:rPr>
        <w:t xml:space="preserve"> = 42 L. Ed. </w:t>
      </w:r>
      <w:r w:rsidRPr="006E59C3">
        <w:rPr>
          <w:lang w:val="en-US"/>
        </w:rPr>
        <w:t>1002, 1008</w:t>
      </w:r>
      <w:r w:rsidRPr="00EC5BEB">
        <w:rPr>
          <w:lang w:val="en-US"/>
        </w:rPr>
        <w:t xml:space="preserve"> = 1898 U.S. LEXIS </w:t>
      </w:r>
      <w:r w:rsidRPr="006E59C3">
        <w:rPr>
          <w:lang w:val="en-US"/>
        </w:rPr>
        <w:t>1537, 23 (1898).</w:t>
      </w:r>
    </w:p>
  </w:footnote>
  <w:footnote w:id="2281">
    <w:p w14:paraId="4F68423A" w14:textId="77777777" w:rsidR="00074551" w:rsidRPr="006E59C3" w:rsidRDefault="00074551" w:rsidP="00074551">
      <w:pPr>
        <w:pStyle w:val="Funotentext"/>
        <w:jc w:val="both"/>
        <w:rPr>
          <w:lang w:val="en-US"/>
        </w:rPr>
      </w:pPr>
      <w:r>
        <w:rPr>
          <w:rStyle w:val="Funotenzeichen"/>
          <w:rFonts w:eastAsiaTheme="majorEastAsia"/>
        </w:rPr>
        <w:footnoteRef/>
      </w:r>
      <w:r w:rsidRPr="006E59C3">
        <w:rPr>
          <w:lang w:val="en-US"/>
        </w:rPr>
        <w:t xml:space="preserve"> </w:t>
      </w:r>
      <w:r w:rsidRPr="007360B0">
        <w:rPr>
          <w:i/>
          <w:lang w:val="en-US"/>
        </w:rPr>
        <w:t>Cummings v. Missouri</w:t>
      </w:r>
      <w:r>
        <w:rPr>
          <w:lang w:val="en-US"/>
        </w:rPr>
        <w:t>,</w:t>
      </w:r>
      <w:r w:rsidRPr="006E67FE">
        <w:rPr>
          <w:lang w:val="en-US"/>
        </w:rPr>
        <w:t xml:space="preserve"> 4 Wall.</w:t>
      </w:r>
      <w:r w:rsidRPr="006E59C3">
        <w:rPr>
          <w:lang w:val="en-US"/>
        </w:rPr>
        <w:t xml:space="preserve"> 277, 321; </w:t>
      </w:r>
      <w:r w:rsidRPr="00AB01D2">
        <w:rPr>
          <w:i/>
          <w:lang w:val="en-US"/>
        </w:rPr>
        <w:t>Hawker v. New York</w:t>
      </w:r>
      <w:r w:rsidRPr="006E59C3">
        <w:rPr>
          <w:lang w:val="en-US"/>
        </w:rPr>
        <w:t>, 170 U.S. 189, 203</w:t>
      </w:r>
      <w:r w:rsidRPr="006E67FE">
        <w:rPr>
          <w:lang w:val="en-US"/>
        </w:rPr>
        <w:t xml:space="preserve"> = 18 S. Ct. </w:t>
      </w:r>
      <w:r w:rsidRPr="006E59C3">
        <w:rPr>
          <w:lang w:val="en-US"/>
        </w:rPr>
        <w:t>573, 579</w:t>
      </w:r>
      <w:r w:rsidRPr="003B741A">
        <w:rPr>
          <w:lang w:val="en-US"/>
        </w:rPr>
        <w:t xml:space="preserve"> = 42 L. Ed. </w:t>
      </w:r>
      <w:r w:rsidRPr="006E59C3">
        <w:rPr>
          <w:lang w:val="en-US"/>
        </w:rPr>
        <w:t>1002, 1008</w:t>
      </w:r>
      <w:r w:rsidRPr="00EC5BEB">
        <w:rPr>
          <w:lang w:val="en-US"/>
        </w:rPr>
        <w:t xml:space="preserve"> = 1898 U.S. LEXIS </w:t>
      </w:r>
      <w:r w:rsidRPr="006E59C3">
        <w:rPr>
          <w:lang w:val="en-US"/>
        </w:rPr>
        <w:t>1537, 23 (1898).</w:t>
      </w:r>
    </w:p>
  </w:footnote>
  <w:footnote w:id="2282">
    <w:p w14:paraId="6DC194DE" w14:textId="77777777" w:rsidR="00074551" w:rsidRPr="00077C61" w:rsidRDefault="00074551" w:rsidP="00074551">
      <w:pPr>
        <w:pStyle w:val="Funotentext"/>
        <w:rPr>
          <w:lang w:val="en-US"/>
        </w:rPr>
      </w:pPr>
      <w:r>
        <w:rPr>
          <w:rStyle w:val="Funotenzeichen"/>
        </w:rPr>
        <w:footnoteRef/>
      </w:r>
      <w:r w:rsidRPr="00077C61">
        <w:rPr>
          <w:lang w:val="en-US"/>
        </w:rPr>
        <w:t xml:space="preserve"> </w:t>
      </w:r>
      <w:r>
        <w:rPr>
          <w:lang w:val="en-US"/>
        </w:rPr>
        <w:t>„,</w:t>
      </w:r>
      <w:r w:rsidRPr="00077C61">
        <w:rPr>
          <w:lang w:val="en-US"/>
        </w:rPr>
        <w:t>an act for the better confirmation of the estates of persons holding or claiming under feme coverts, and for establishing a mode in which husband and wife may hereafter convey their estates.</w:t>
      </w:r>
      <w:r>
        <w:rPr>
          <w:lang w:val="en-US"/>
        </w:rPr>
        <w:t>‘: ,</w:t>
      </w:r>
      <w:r w:rsidRPr="00077C61">
        <w:rPr>
          <w:lang w:val="en-US"/>
        </w:rPr>
        <w:t xml:space="preserve">Whereas, by the act of assembly, to which this is a supplement, it is enacted that the estates of feme coverts may be transferred by deed executed by the husband and wife, and by them acknowledged before certain officers: And whereas, under this act, estates of great value have been bona fide sold by husband and wife for a legal and sufficient consideration, and the deeds therefor have been by them acknowledged before the proper officer; but, in many cases, the mode of making such acknowledgement hath been imperfectly set forth in the certificate: And it hath been held by the supreme court, that deeds transferring the rights and interests of feme coverts are invalid and void, unless certain requisites of the acknowledgement of such deeds provided by the said act, shall appear upon the face of the certificate of such acknowledgement to have been pursued, and in all such cases it is but just and reasonable that persons who hold such estates, should not, in any case, be disturbed in the enjoyment of them thus equitably acquired, nor divested thereof under any </w:t>
      </w:r>
      <w:proofErr w:type="spellStart"/>
      <w:r w:rsidRPr="00077C61">
        <w:rPr>
          <w:lang w:val="en-US"/>
        </w:rPr>
        <w:t>pretence</w:t>
      </w:r>
      <w:proofErr w:type="spellEnd"/>
      <w:r w:rsidRPr="00077C61">
        <w:rPr>
          <w:lang w:val="en-US"/>
        </w:rPr>
        <w:t xml:space="preserve"> whatsoever: Now, for the purpose of carrying into effect the real intent of the parties, and of quieting and securing the estates so transferred,</w:t>
      </w:r>
      <w:r>
        <w:rPr>
          <w:lang w:val="en-US"/>
        </w:rPr>
        <w:t>‘</w:t>
      </w:r>
    </w:p>
    <w:p w14:paraId="3678F4C5" w14:textId="77777777" w:rsidR="00074551" w:rsidRPr="00077C61" w:rsidRDefault="00074551" w:rsidP="00074551">
      <w:pPr>
        <w:pStyle w:val="Funotentext"/>
        <w:rPr>
          <w:lang w:val="en-US"/>
        </w:rPr>
      </w:pPr>
      <w:proofErr w:type="gramStart"/>
      <w:r>
        <w:rPr>
          <w:lang w:val="en-US"/>
        </w:rPr>
        <w:t>,</w:t>
      </w:r>
      <w:r w:rsidRPr="00077C61">
        <w:rPr>
          <w:lang w:val="en-US"/>
        </w:rPr>
        <w:t>Section</w:t>
      </w:r>
      <w:proofErr w:type="gramEnd"/>
      <w:r w:rsidRPr="00077C61">
        <w:rPr>
          <w:lang w:val="en-US"/>
        </w:rPr>
        <w:t xml:space="preserve"> 1. Be it enacted, by the senate and house of representatives, of the commonwealth of Pennsylvania, in general assembly met, and it is hereby enacted, by the authority of the same, That no grant, bargain, sale, feoffment, deed of conveyance, lease, release, or other assurance of any lands, tenements and hereditaments whatsoever, heretofore bona fide made and executed by husband and wife, and acknowledged by them before some judge, justice of the peace, or other officer authorized by law within this state, or an officer in one of the United States, to take such acknowledgement, or which may be so made, executed and acknowledged as aforesaid, before the 1st day of September next, shall be deemed, held, or adjudged invalid, or defective, or insufficient in law, or avoided or prejudiced by reason of any informality or omission in setting forth the particulars of the acknowledgement made before such officer as aforesaid, in the certificate thereof, but all and every such grant, bargain and sale, feoffment, deed of conveyance, lease, release, or other assurance so made, executed, and acknowledged as aforesaid, shall be as good, valid, and effectual in law, for transferring, passing, and conveying the estate, right, title and interest of such husband and wife, of, in, and to the lands, tenements, and hereditaments mentioned in the same, as if all the requisites and particulars of such acknowledgement mentioned in the act to which this is supplementary, were particularly set forth in the certificate thereof, or appeared upon the face of the same.</w:t>
      </w:r>
      <w:r>
        <w:rPr>
          <w:lang w:val="en-US"/>
        </w:rPr>
        <w:t xml:space="preserve">‘“, </w:t>
      </w:r>
      <w:r w:rsidRPr="00AB01D2">
        <w:rPr>
          <w:i/>
          <w:lang w:val="en-US"/>
        </w:rPr>
        <w:t>Watson v. Mercer</w:t>
      </w:r>
      <w:r w:rsidRPr="00077C61">
        <w:rPr>
          <w:lang w:val="en-US"/>
        </w:rPr>
        <w:t>, 33 U.S. 88, 108</w:t>
      </w:r>
      <w:r>
        <w:rPr>
          <w:lang w:val="en-US"/>
        </w:rPr>
        <w:t xml:space="preserve"> = 8 L. Ed. </w:t>
      </w:r>
      <w:r w:rsidRPr="00077C61">
        <w:rPr>
          <w:lang w:val="en-US"/>
        </w:rPr>
        <w:t>876, 884</w:t>
      </w:r>
      <w:r>
        <w:rPr>
          <w:lang w:val="en-US"/>
        </w:rPr>
        <w:t xml:space="preserve"> = 1834 U.S. LEXIS </w:t>
      </w:r>
      <w:r w:rsidRPr="00077C61">
        <w:rPr>
          <w:lang w:val="en-US"/>
        </w:rPr>
        <w:t>568, 2</w:t>
      </w:r>
      <w:r>
        <w:rPr>
          <w:lang w:val="en-US"/>
        </w:rPr>
        <w:t>–</w:t>
      </w:r>
      <w:r w:rsidRPr="00077C61">
        <w:rPr>
          <w:lang w:val="en-US"/>
        </w:rPr>
        <w:t>5 (1834)</w:t>
      </w:r>
      <w:r>
        <w:rPr>
          <w:lang w:val="en-US"/>
        </w:rPr>
        <w:t>.</w:t>
      </w:r>
    </w:p>
  </w:footnote>
  <w:footnote w:id="2283">
    <w:p w14:paraId="5953079A" w14:textId="77777777" w:rsidR="00074551" w:rsidRPr="002F03CC" w:rsidRDefault="00074551" w:rsidP="00074551">
      <w:pPr>
        <w:pStyle w:val="Funotentext"/>
        <w:rPr>
          <w:lang w:val="en-US"/>
        </w:rPr>
      </w:pPr>
      <w:r>
        <w:rPr>
          <w:rStyle w:val="Funotenzeichen"/>
        </w:rPr>
        <w:footnoteRef/>
      </w:r>
      <w:r>
        <w:rPr>
          <w:lang w:val="en-US"/>
        </w:rPr>
        <w:t xml:space="preserve"> </w:t>
      </w:r>
      <w:r w:rsidRPr="00AB01D2">
        <w:rPr>
          <w:i/>
          <w:lang w:val="en-IE"/>
        </w:rPr>
        <w:t>Watson v. Mercer</w:t>
      </w:r>
      <w:r w:rsidRPr="00B45592">
        <w:rPr>
          <w:lang w:val="en-IE"/>
        </w:rPr>
        <w:t>, 33 U.S. 88, 108</w:t>
      </w:r>
      <w:r>
        <w:rPr>
          <w:lang w:val="en-IE"/>
        </w:rPr>
        <w:t xml:space="preserve"> = 8 L. Ed. </w:t>
      </w:r>
      <w:r w:rsidRPr="00B45592">
        <w:rPr>
          <w:lang w:val="en-IE"/>
        </w:rPr>
        <w:t>876, 884</w:t>
      </w:r>
      <w:r>
        <w:rPr>
          <w:lang w:val="en-IE"/>
        </w:rPr>
        <w:t xml:space="preserve"> = 1834 U.S. LEXIS </w:t>
      </w:r>
      <w:r w:rsidRPr="00B45592">
        <w:rPr>
          <w:lang w:val="en-IE"/>
        </w:rPr>
        <w:t>568, 5 (1834)</w:t>
      </w:r>
      <w:r>
        <w:rPr>
          <w:lang w:val="en-US"/>
        </w:rPr>
        <w:t>.</w:t>
      </w:r>
    </w:p>
  </w:footnote>
  <w:footnote w:id="2284">
    <w:p w14:paraId="61577736" w14:textId="77777777" w:rsidR="00074551" w:rsidRPr="00A74E0C" w:rsidRDefault="00074551" w:rsidP="00074551">
      <w:pPr>
        <w:pStyle w:val="Funotentext"/>
        <w:rPr>
          <w:lang w:val="en-US"/>
        </w:rPr>
      </w:pPr>
      <w:r>
        <w:rPr>
          <w:rStyle w:val="Funotenzeichen"/>
        </w:rPr>
        <w:footnoteRef/>
      </w:r>
      <w:r w:rsidRPr="00A74E0C">
        <w:rPr>
          <w:lang w:val="en-US"/>
        </w:rPr>
        <w:t xml:space="preserve"> </w:t>
      </w:r>
      <w:r w:rsidRPr="00AB01D2">
        <w:rPr>
          <w:i/>
          <w:lang w:val="en-US"/>
        </w:rPr>
        <w:t>Watson v. Mercer</w:t>
      </w:r>
      <w:r w:rsidRPr="00A74E0C">
        <w:rPr>
          <w:lang w:val="en-US"/>
        </w:rPr>
        <w:t>, 33 U.S. 88, 110</w:t>
      </w:r>
      <w:r>
        <w:rPr>
          <w:lang w:val="en-US"/>
        </w:rPr>
        <w:t xml:space="preserve"> = 8 L. Ed. </w:t>
      </w:r>
      <w:r w:rsidRPr="00A74E0C">
        <w:rPr>
          <w:lang w:val="en-US"/>
        </w:rPr>
        <w:t>876, 884</w:t>
      </w:r>
      <w:r>
        <w:rPr>
          <w:lang w:val="en-US"/>
        </w:rPr>
        <w:t xml:space="preserve"> = 1834 U.S. LEXIS </w:t>
      </w:r>
      <w:r w:rsidRPr="00A74E0C">
        <w:rPr>
          <w:lang w:val="en-US"/>
        </w:rPr>
        <w:t>568, 45 (1834)</w:t>
      </w:r>
      <w:r>
        <w:rPr>
          <w:lang w:val="en-US"/>
        </w:rPr>
        <w:t>.</w:t>
      </w:r>
    </w:p>
  </w:footnote>
  <w:footnote w:id="2285">
    <w:p w14:paraId="73852B68" w14:textId="77777777" w:rsidR="00074551" w:rsidRPr="006A37D5" w:rsidRDefault="00074551" w:rsidP="00074551">
      <w:pPr>
        <w:pStyle w:val="Funotentext"/>
        <w:rPr>
          <w:lang w:val="en-US"/>
        </w:rPr>
      </w:pPr>
      <w:r>
        <w:rPr>
          <w:rStyle w:val="Funotenzeichen"/>
        </w:rPr>
        <w:footnoteRef/>
      </w:r>
      <w:r w:rsidRPr="006A37D5">
        <w:rPr>
          <w:lang w:val="en-US"/>
        </w:rPr>
        <w:t xml:space="preserve"> </w:t>
      </w:r>
      <w:r w:rsidRPr="00AB01D2">
        <w:rPr>
          <w:i/>
          <w:lang w:val="en-US"/>
        </w:rPr>
        <w:t>Watson v. Mercer</w:t>
      </w:r>
      <w:r w:rsidRPr="006A37D5">
        <w:rPr>
          <w:lang w:val="en-US"/>
        </w:rPr>
        <w:t>, 33 U.S. 88, 108</w:t>
      </w:r>
      <w:r>
        <w:rPr>
          <w:lang w:val="en-US"/>
        </w:rPr>
        <w:t xml:space="preserve"> = 8 L. Ed. </w:t>
      </w:r>
      <w:r w:rsidRPr="006A37D5">
        <w:rPr>
          <w:lang w:val="en-US"/>
        </w:rPr>
        <w:t>876, 884</w:t>
      </w:r>
      <w:r>
        <w:rPr>
          <w:lang w:val="en-US"/>
        </w:rPr>
        <w:t xml:space="preserve"> = 1834 U.S. LEXIS </w:t>
      </w:r>
      <w:r w:rsidRPr="006A37D5">
        <w:rPr>
          <w:lang w:val="en-US"/>
        </w:rPr>
        <w:t>568, 33</w:t>
      </w:r>
      <w:r>
        <w:rPr>
          <w:lang w:val="en-US"/>
        </w:rPr>
        <w:t>–</w:t>
      </w:r>
      <w:r w:rsidRPr="006A37D5">
        <w:rPr>
          <w:lang w:val="en-US"/>
        </w:rPr>
        <w:t>34 (1834)</w:t>
      </w:r>
      <w:r>
        <w:rPr>
          <w:lang w:val="en-US"/>
        </w:rPr>
        <w:t>.</w:t>
      </w:r>
    </w:p>
  </w:footnote>
  <w:footnote w:id="2286">
    <w:p w14:paraId="56DF17FC" w14:textId="77777777" w:rsidR="00074551" w:rsidRPr="006A37D5" w:rsidRDefault="00074551" w:rsidP="00074551">
      <w:pPr>
        <w:pStyle w:val="Funotentext"/>
        <w:rPr>
          <w:lang w:val="en-US"/>
        </w:rPr>
      </w:pPr>
      <w:r>
        <w:rPr>
          <w:rStyle w:val="Funotenzeichen"/>
        </w:rPr>
        <w:footnoteRef/>
      </w:r>
      <w:r w:rsidRPr="006A37D5">
        <w:rPr>
          <w:lang w:val="en-US"/>
        </w:rPr>
        <w:t xml:space="preserve"> </w:t>
      </w:r>
      <w:r w:rsidRPr="00AB01D2">
        <w:rPr>
          <w:i/>
          <w:lang w:val="en-US"/>
        </w:rPr>
        <w:t>Watson v. Mercer</w:t>
      </w:r>
      <w:r w:rsidRPr="006A37D5">
        <w:rPr>
          <w:lang w:val="en-US"/>
        </w:rPr>
        <w:t>, 33 U.S. 88, 108</w:t>
      </w:r>
      <w:r>
        <w:rPr>
          <w:lang w:val="en-US"/>
        </w:rPr>
        <w:t xml:space="preserve"> = 8 L. Ed. </w:t>
      </w:r>
      <w:r w:rsidRPr="006A37D5">
        <w:rPr>
          <w:lang w:val="en-US"/>
        </w:rPr>
        <w:t>876, 884</w:t>
      </w:r>
      <w:r>
        <w:rPr>
          <w:lang w:val="en-US"/>
        </w:rPr>
        <w:t xml:space="preserve"> = 1834 U.S. LEXIS </w:t>
      </w:r>
      <w:r w:rsidRPr="006A37D5">
        <w:rPr>
          <w:lang w:val="en-US"/>
        </w:rPr>
        <w:t>568, 33</w:t>
      </w:r>
      <w:r>
        <w:rPr>
          <w:lang w:val="en-US"/>
        </w:rPr>
        <w:t>–</w:t>
      </w:r>
      <w:r w:rsidRPr="006A37D5">
        <w:rPr>
          <w:lang w:val="en-US"/>
        </w:rPr>
        <w:t>34 (1834)</w:t>
      </w:r>
      <w:r>
        <w:rPr>
          <w:lang w:val="en-US"/>
        </w:rPr>
        <w:t>.</w:t>
      </w:r>
    </w:p>
  </w:footnote>
  <w:footnote w:id="2287">
    <w:p w14:paraId="47A80B45" w14:textId="77777777" w:rsidR="00074551" w:rsidRPr="006A37D5" w:rsidRDefault="00074551" w:rsidP="00074551">
      <w:pPr>
        <w:pStyle w:val="Funotentext"/>
        <w:rPr>
          <w:lang w:val="en-US"/>
        </w:rPr>
      </w:pPr>
      <w:r>
        <w:rPr>
          <w:rStyle w:val="Funotenzeichen"/>
        </w:rPr>
        <w:footnoteRef/>
      </w:r>
      <w:r w:rsidRPr="006A37D5">
        <w:rPr>
          <w:lang w:val="en-US"/>
        </w:rPr>
        <w:t xml:space="preserve"> </w:t>
      </w:r>
      <w:r w:rsidRPr="00AB01D2">
        <w:rPr>
          <w:i/>
          <w:lang w:val="en-US"/>
        </w:rPr>
        <w:t>Watson v. Mercer</w:t>
      </w:r>
      <w:r w:rsidRPr="006A37D5">
        <w:rPr>
          <w:lang w:val="en-US"/>
        </w:rPr>
        <w:t>, 33 U.S. 88, 108</w:t>
      </w:r>
      <w:r>
        <w:rPr>
          <w:lang w:val="en-US"/>
        </w:rPr>
        <w:t xml:space="preserve"> = 8 L. Ed. </w:t>
      </w:r>
      <w:r w:rsidRPr="006A37D5">
        <w:rPr>
          <w:lang w:val="en-US"/>
        </w:rPr>
        <w:t>876, 884</w:t>
      </w:r>
      <w:r>
        <w:rPr>
          <w:lang w:val="en-US"/>
        </w:rPr>
        <w:t xml:space="preserve"> = 1834 U.S. LEXIS </w:t>
      </w:r>
      <w:r w:rsidRPr="006A37D5">
        <w:rPr>
          <w:lang w:val="en-US"/>
        </w:rPr>
        <w:t>568, 33</w:t>
      </w:r>
      <w:r>
        <w:rPr>
          <w:lang w:val="en-US"/>
        </w:rPr>
        <w:t>–</w:t>
      </w:r>
      <w:r w:rsidRPr="006A37D5">
        <w:rPr>
          <w:lang w:val="en-US"/>
        </w:rPr>
        <w:t>34 (1834)</w:t>
      </w:r>
      <w:r>
        <w:rPr>
          <w:lang w:val="en-US"/>
        </w:rPr>
        <w:t>.</w:t>
      </w:r>
    </w:p>
  </w:footnote>
  <w:footnote w:id="2288">
    <w:p w14:paraId="14C51F0D" w14:textId="77777777" w:rsidR="00074551" w:rsidRPr="007D519B" w:rsidRDefault="00074551" w:rsidP="00074551">
      <w:pPr>
        <w:pStyle w:val="Funotentext"/>
        <w:rPr>
          <w:lang w:val="en-US"/>
        </w:rPr>
      </w:pPr>
      <w:r>
        <w:rPr>
          <w:rStyle w:val="Funotenzeichen"/>
        </w:rPr>
        <w:footnoteRef/>
      </w:r>
      <w:r w:rsidRPr="007D519B">
        <w:rPr>
          <w:lang w:val="en-US"/>
        </w:rPr>
        <w:t xml:space="preserve"> 25th section of the judiciary act of 1789</w:t>
      </w:r>
      <w:r>
        <w:rPr>
          <w:lang w:val="en-US"/>
        </w:rPr>
        <w:t xml:space="preserve">, </w:t>
      </w:r>
      <w:proofErr w:type="spellStart"/>
      <w:r>
        <w:rPr>
          <w:lang w:val="en-US"/>
        </w:rPr>
        <w:t>siehe</w:t>
      </w:r>
      <w:proofErr w:type="spellEnd"/>
      <w:r>
        <w:rPr>
          <w:lang w:val="en-US"/>
        </w:rPr>
        <w:t xml:space="preserve"> </w:t>
      </w:r>
      <w:r w:rsidRPr="00AB01D2">
        <w:rPr>
          <w:i/>
          <w:lang w:val="en-US"/>
        </w:rPr>
        <w:t>Satterlee v. Matthewson</w:t>
      </w:r>
      <w:r w:rsidRPr="007D519B">
        <w:rPr>
          <w:lang w:val="en-US"/>
        </w:rPr>
        <w:t>, 27 U.S. 380, 409</w:t>
      </w:r>
      <w:r>
        <w:rPr>
          <w:lang w:val="en-US"/>
        </w:rPr>
        <w:t xml:space="preserve"> = 1829 U.S. LEXIS </w:t>
      </w:r>
      <w:r w:rsidRPr="007D519B">
        <w:rPr>
          <w:lang w:val="en-US"/>
        </w:rPr>
        <w:t>433, 56</w:t>
      </w:r>
      <w:r>
        <w:rPr>
          <w:lang w:val="en-US"/>
        </w:rPr>
        <w:t xml:space="preserve"> = 7 L. Ed. </w:t>
      </w:r>
      <w:r w:rsidRPr="007D519B">
        <w:rPr>
          <w:lang w:val="en-US"/>
        </w:rPr>
        <w:t>458</w:t>
      </w:r>
      <w:r>
        <w:rPr>
          <w:lang w:val="en-US"/>
        </w:rPr>
        <w:t xml:space="preserve"> = 2 Peters </w:t>
      </w:r>
      <w:r w:rsidRPr="007D519B">
        <w:rPr>
          <w:lang w:val="en-US"/>
        </w:rPr>
        <w:t>380 (1829)</w:t>
      </w:r>
      <w:r>
        <w:rPr>
          <w:lang w:val="en-US"/>
        </w:rPr>
        <w:t>.</w:t>
      </w:r>
    </w:p>
  </w:footnote>
  <w:footnote w:id="2289">
    <w:p w14:paraId="6944E60D" w14:textId="77777777" w:rsidR="00074551" w:rsidRPr="007D519B" w:rsidRDefault="00074551" w:rsidP="00074551">
      <w:pPr>
        <w:pStyle w:val="Funotentext"/>
        <w:rPr>
          <w:lang w:val="en-US"/>
        </w:rPr>
      </w:pPr>
      <w:r>
        <w:rPr>
          <w:rStyle w:val="Funotenzeichen"/>
        </w:rPr>
        <w:footnoteRef/>
      </w:r>
      <w:r w:rsidRPr="007D519B">
        <w:rPr>
          <w:lang w:val="en-US"/>
        </w:rPr>
        <w:t xml:space="preserve"> </w:t>
      </w:r>
      <w:r>
        <w:rPr>
          <w:lang w:val="en-US"/>
        </w:rPr>
        <w:t>„</w:t>
      </w:r>
      <w:r w:rsidRPr="007D519B">
        <w:rPr>
          <w:lang w:val="en-US"/>
        </w:rPr>
        <w:t>On the 8th of April 1826</w:t>
      </w:r>
      <w:r>
        <w:rPr>
          <w:lang w:val="en-US"/>
        </w:rPr>
        <w:t xml:space="preserve"> […]</w:t>
      </w:r>
      <w:r w:rsidRPr="007D519B">
        <w:rPr>
          <w:lang w:val="en-US"/>
        </w:rPr>
        <w:t xml:space="preserve"> the legislature of that state passed a law in substance as follows, viz. </w:t>
      </w:r>
      <w:r>
        <w:rPr>
          <w:lang w:val="en-US"/>
        </w:rPr>
        <w:t>,</w:t>
      </w:r>
      <w:r w:rsidRPr="007D519B">
        <w:rPr>
          <w:lang w:val="en-US"/>
        </w:rPr>
        <w:t>that the relation of landlord and tenant shall exist, and be held as fully and effectually between Connecticut settlers and Pennsylvania claimants, as between other citizens of this commonwealth, on the trial of any cause now pending, or hereafter to be brought within this commonwealth any law or usage to the contrary notwithstanding.</w:t>
      </w:r>
      <w:r>
        <w:rPr>
          <w:lang w:val="en-US"/>
        </w:rPr>
        <w:t xml:space="preserve">‘“, </w:t>
      </w:r>
      <w:r w:rsidRPr="00AB01D2">
        <w:rPr>
          <w:i/>
          <w:lang w:val="en-US"/>
        </w:rPr>
        <w:t>Satterlee v. Matthewson</w:t>
      </w:r>
      <w:r w:rsidRPr="007D519B">
        <w:rPr>
          <w:lang w:val="en-US"/>
        </w:rPr>
        <w:t>, 27 U.S. 380, 408</w:t>
      </w:r>
      <w:r>
        <w:rPr>
          <w:lang w:val="en-US"/>
        </w:rPr>
        <w:t xml:space="preserve"> = 1829 U.S. LEXIS </w:t>
      </w:r>
      <w:r w:rsidRPr="007D519B">
        <w:rPr>
          <w:lang w:val="en-US"/>
        </w:rPr>
        <w:t>433, 53</w:t>
      </w:r>
      <w:r>
        <w:rPr>
          <w:lang w:val="en-US"/>
        </w:rPr>
        <w:t>–</w:t>
      </w:r>
      <w:r w:rsidRPr="007D519B">
        <w:rPr>
          <w:lang w:val="en-US"/>
        </w:rPr>
        <w:t>54</w:t>
      </w:r>
      <w:r>
        <w:rPr>
          <w:lang w:val="en-US"/>
        </w:rPr>
        <w:t xml:space="preserve"> = 7 L. Ed. </w:t>
      </w:r>
      <w:r w:rsidRPr="007D519B">
        <w:rPr>
          <w:lang w:val="en-US"/>
        </w:rPr>
        <w:t>458</w:t>
      </w:r>
      <w:r>
        <w:rPr>
          <w:lang w:val="en-US"/>
        </w:rPr>
        <w:t xml:space="preserve"> = 2 Peters </w:t>
      </w:r>
      <w:r w:rsidRPr="007D519B">
        <w:rPr>
          <w:lang w:val="en-US"/>
        </w:rPr>
        <w:t>380 (1829)</w:t>
      </w:r>
      <w:r>
        <w:rPr>
          <w:lang w:val="en-US"/>
        </w:rPr>
        <w:t>.</w:t>
      </w:r>
    </w:p>
  </w:footnote>
  <w:footnote w:id="2290">
    <w:p w14:paraId="133A60A2" w14:textId="77777777" w:rsidR="00074551" w:rsidRPr="007D519B" w:rsidRDefault="00074551" w:rsidP="00074551">
      <w:pPr>
        <w:pStyle w:val="Funotentext"/>
        <w:rPr>
          <w:lang w:val="en-US"/>
        </w:rPr>
      </w:pPr>
      <w:r>
        <w:rPr>
          <w:rStyle w:val="Funotenzeichen"/>
        </w:rPr>
        <w:footnoteRef/>
      </w:r>
      <w:r w:rsidRPr="007D519B">
        <w:rPr>
          <w:lang w:val="en-US"/>
        </w:rPr>
        <w:t xml:space="preserve"> </w:t>
      </w:r>
      <w:r w:rsidRPr="00AB01D2">
        <w:rPr>
          <w:i/>
          <w:lang w:val="en-US"/>
        </w:rPr>
        <w:t>Satterlee v. Matthewson</w:t>
      </w:r>
      <w:r w:rsidRPr="007D519B">
        <w:rPr>
          <w:lang w:val="en-US"/>
        </w:rPr>
        <w:t>, 27 U.S. 380, 407</w:t>
      </w:r>
      <w:r>
        <w:rPr>
          <w:lang w:val="en-US"/>
        </w:rPr>
        <w:t xml:space="preserve"> = 1829 U.S. LEXIS </w:t>
      </w:r>
      <w:r w:rsidRPr="007D519B">
        <w:rPr>
          <w:lang w:val="en-US"/>
        </w:rPr>
        <w:t>433, 7</w:t>
      </w:r>
      <w:r>
        <w:rPr>
          <w:lang w:val="en-US"/>
        </w:rPr>
        <w:t xml:space="preserve"> = 7 L. Ed. </w:t>
      </w:r>
      <w:r w:rsidRPr="007D519B">
        <w:rPr>
          <w:lang w:val="en-US"/>
        </w:rPr>
        <w:t>458</w:t>
      </w:r>
      <w:r>
        <w:rPr>
          <w:lang w:val="en-US"/>
        </w:rPr>
        <w:t xml:space="preserve"> = 2 Peters </w:t>
      </w:r>
      <w:r w:rsidRPr="007D519B">
        <w:rPr>
          <w:lang w:val="en-US"/>
        </w:rPr>
        <w:t>380 (1829)</w:t>
      </w:r>
      <w:r>
        <w:rPr>
          <w:lang w:val="en-US"/>
        </w:rPr>
        <w:t>.</w:t>
      </w:r>
    </w:p>
  </w:footnote>
  <w:footnote w:id="2291">
    <w:p w14:paraId="4199ED82" w14:textId="77777777" w:rsidR="00074551" w:rsidRPr="00287424" w:rsidRDefault="00074551" w:rsidP="00074551">
      <w:pPr>
        <w:pStyle w:val="Funotentext"/>
        <w:rPr>
          <w:lang w:val="en-US"/>
        </w:rPr>
      </w:pPr>
      <w:r>
        <w:rPr>
          <w:rStyle w:val="Funotenzeichen"/>
        </w:rPr>
        <w:footnoteRef/>
      </w:r>
      <w:r w:rsidRPr="00287424">
        <w:rPr>
          <w:lang w:val="en-US"/>
        </w:rPr>
        <w:t xml:space="preserve"> </w:t>
      </w:r>
      <w:r w:rsidRPr="00AB01D2">
        <w:rPr>
          <w:i/>
          <w:lang w:val="en-US"/>
        </w:rPr>
        <w:t>Satterlee v. Matthewson</w:t>
      </w:r>
      <w:r w:rsidRPr="00287424">
        <w:rPr>
          <w:lang w:val="en-US"/>
        </w:rPr>
        <w:t>, 27 U.S. 380, 413</w:t>
      </w:r>
      <w:r>
        <w:rPr>
          <w:lang w:val="en-US"/>
        </w:rPr>
        <w:t xml:space="preserve"> = 1829 U.S. LEXIS </w:t>
      </w:r>
      <w:r w:rsidRPr="00287424">
        <w:rPr>
          <w:lang w:val="en-US"/>
        </w:rPr>
        <w:t>433, 63</w:t>
      </w:r>
      <w:r>
        <w:rPr>
          <w:lang w:val="en-US"/>
        </w:rPr>
        <w:t xml:space="preserve"> = 7 L. Ed. </w:t>
      </w:r>
      <w:r w:rsidRPr="00287424">
        <w:rPr>
          <w:lang w:val="en-US"/>
        </w:rPr>
        <w:t>458</w:t>
      </w:r>
      <w:r>
        <w:rPr>
          <w:lang w:val="en-US"/>
        </w:rPr>
        <w:t xml:space="preserve"> = 2 Peters </w:t>
      </w:r>
      <w:r w:rsidRPr="00287424">
        <w:rPr>
          <w:lang w:val="en-US"/>
        </w:rPr>
        <w:t>380 (1829)</w:t>
      </w:r>
      <w:r>
        <w:rPr>
          <w:lang w:val="en-US"/>
        </w:rPr>
        <w:t>.</w:t>
      </w:r>
    </w:p>
  </w:footnote>
  <w:footnote w:id="2292">
    <w:p w14:paraId="49397914" w14:textId="77777777" w:rsidR="00074551" w:rsidRPr="00287424" w:rsidRDefault="00074551" w:rsidP="00074551">
      <w:pPr>
        <w:pStyle w:val="Funotentext"/>
        <w:rPr>
          <w:lang w:val="en-US"/>
        </w:rPr>
      </w:pPr>
      <w:r>
        <w:rPr>
          <w:rStyle w:val="Funotenzeichen"/>
        </w:rPr>
        <w:footnoteRef/>
      </w:r>
      <w:r w:rsidRPr="00F94158">
        <w:rPr>
          <w:lang w:val="en-IE"/>
        </w:rPr>
        <w:t xml:space="preserve"> </w:t>
      </w:r>
      <w:bookmarkStart w:id="96" w:name="_Hlk228486506"/>
      <w:r w:rsidRPr="00F94158">
        <w:rPr>
          <w:lang w:val="en-IE"/>
        </w:rPr>
        <w:t xml:space="preserve">Meinung von Richter </w:t>
      </w:r>
      <w:r w:rsidRPr="00F94158">
        <w:rPr>
          <w:i/>
          <w:lang w:val="en-IE"/>
        </w:rPr>
        <w:t>Johnson</w:t>
      </w:r>
      <w:bookmarkEnd w:id="96"/>
      <w:r w:rsidRPr="00F94158">
        <w:rPr>
          <w:lang w:val="en-IE"/>
        </w:rPr>
        <w:t xml:space="preserve">, 12 Wheaton, 256; </w:t>
      </w:r>
      <w:r w:rsidRPr="00AB01D2">
        <w:rPr>
          <w:i/>
          <w:lang w:val="en-US"/>
        </w:rPr>
        <w:t>Satterlee v. Matthewson</w:t>
      </w:r>
      <w:r w:rsidRPr="00287424">
        <w:rPr>
          <w:lang w:val="en-US"/>
        </w:rPr>
        <w:t>, 27 U.S. 380, 407</w:t>
      </w:r>
      <w:r>
        <w:rPr>
          <w:lang w:val="en-US"/>
        </w:rPr>
        <w:t xml:space="preserve"> = 1829 U.S. LEXIS </w:t>
      </w:r>
      <w:r w:rsidRPr="00287424">
        <w:rPr>
          <w:lang w:val="en-US"/>
        </w:rPr>
        <w:t>433, 50</w:t>
      </w:r>
      <w:r>
        <w:rPr>
          <w:lang w:val="en-US"/>
        </w:rPr>
        <w:t xml:space="preserve"> = 7 L. Ed. </w:t>
      </w:r>
      <w:r w:rsidRPr="00287424">
        <w:rPr>
          <w:lang w:val="en-US"/>
        </w:rPr>
        <w:t>458</w:t>
      </w:r>
      <w:r>
        <w:rPr>
          <w:lang w:val="en-US"/>
        </w:rPr>
        <w:t xml:space="preserve"> = 2 Peters </w:t>
      </w:r>
      <w:r w:rsidRPr="00287424">
        <w:rPr>
          <w:lang w:val="en-US"/>
        </w:rPr>
        <w:t>380 (1829)</w:t>
      </w:r>
      <w:r>
        <w:rPr>
          <w:lang w:val="en-US"/>
        </w:rPr>
        <w:t>.</w:t>
      </w:r>
    </w:p>
  </w:footnote>
  <w:footnote w:id="2293">
    <w:p w14:paraId="3CE6E0D6" w14:textId="77777777" w:rsidR="00074551" w:rsidRPr="00F2419C" w:rsidRDefault="00074551" w:rsidP="00074551">
      <w:pPr>
        <w:pStyle w:val="Funotentext"/>
        <w:rPr>
          <w:lang w:val="en-US"/>
        </w:rPr>
      </w:pPr>
      <w:r>
        <w:rPr>
          <w:rStyle w:val="Funotenzeichen"/>
        </w:rPr>
        <w:footnoteRef/>
      </w:r>
      <w:r w:rsidRPr="00F2419C">
        <w:rPr>
          <w:lang w:val="en-US"/>
        </w:rPr>
        <w:t xml:space="preserve"> </w:t>
      </w:r>
      <w:r w:rsidRPr="00AB01D2">
        <w:rPr>
          <w:i/>
          <w:lang w:val="en-US"/>
        </w:rPr>
        <w:t>Satterlee v. Matthewson</w:t>
      </w:r>
      <w:r w:rsidRPr="00F2419C">
        <w:rPr>
          <w:lang w:val="en-US"/>
        </w:rPr>
        <w:t>, 27 U.S. 380, 407</w:t>
      </w:r>
      <w:r>
        <w:rPr>
          <w:lang w:val="en-US"/>
        </w:rPr>
        <w:t xml:space="preserve"> = 1829 U.S. LEXIS </w:t>
      </w:r>
      <w:r w:rsidRPr="00F2419C">
        <w:rPr>
          <w:lang w:val="en-US"/>
        </w:rPr>
        <w:t>433, 51-52</w:t>
      </w:r>
      <w:r>
        <w:rPr>
          <w:lang w:val="en-US"/>
        </w:rPr>
        <w:t xml:space="preserve"> = 7 L. Ed. </w:t>
      </w:r>
      <w:r w:rsidRPr="00F2419C">
        <w:rPr>
          <w:lang w:val="en-US"/>
        </w:rPr>
        <w:t>458</w:t>
      </w:r>
      <w:r>
        <w:rPr>
          <w:lang w:val="en-US"/>
        </w:rPr>
        <w:t xml:space="preserve"> = 2 Peters </w:t>
      </w:r>
      <w:r w:rsidRPr="00F2419C">
        <w:rPr>
          <w:lang w:val="en-US"/>
        </w:rPr>
        <w:t>380 (1829)</w:t>
      </w:r>
      <w:r>
        <w:rPr>
          <w:lang w:val="en-US"/>
        </w:rPr>
        <w:t>.</w:t>
      </w:r>
    </w:p>
  </w:footnote>
  <w:footnote w:id="2294">
    <w:p w14:paraId="004C5327" w14:textId="77777777" w:rsidR="00074551" w:rsidRPr="000E22C4" w:rsidRDefault="00074551" w:rsidP="00074551">
      <w:pPr>
        <w:pStyle w:val="Funotentext"/>
        <w:rPr>
          <w:lang w:val="en-US"/>
        </w:rPr>
      </w:pPr>
      <w:r>
        <w:rPr>
          <w:rStyle w:val="Funotenzeichen"/>
        </w:rPr>
        <w:footnoteRef/>
      </w:r>
      <w:r w:rsidRPr="000E22C4">
        <w:rPr>
          <w:lang w:val="en-US"/>
        </w:rPr>
        <w:t xml:space="preserve"> </w:t>
      </w:r>
      <w:r w:rsidRPr="00AB01D2">
        <w:rPr>
          <w:i/>
          <w:lang w:val="en-US"/>
        </w:rPr>
        <w:t>Satterlee v. Matthewson</w:t>
      </w:r>
      <w:r w:rsidRPr="000E22C4">
        <w:rPr>
          <w:lang w:val="en-US"/>
        </w:rPr>
        <w:t>, 27 U.S. 380, 407</w:t>
      </w:r>
      <w:r>
        <w:rPr>
          <w:lang w:val="en-US"/>
        </w:rPr>
        <w:t xml:space="preserve"> = 1829 U.S. LEXIS </w:t>
      </w:r>
      <w:r w:rsidRPr="000E22C4">
        <w:rPr>
          <w:lang w:val="en-US"/>
        </w:rPr>
        <w:t>433, 52</w:t>
      </w:r>
      <w:r>
        <w:rPr>
          <w:lang w:val="en-US"/>
        </w:rPr>
        <w:t xml:space="preserve"> = 7 L. Ed. </w:t>
      </w:r>
      <w:r w:rsidRPr="000E22C4">
        <w:rPr>
          <w:lang w:val="en-US"/>
        </w:rPr>
        <w:t>458</w:t>
      </w:r>
      <w:r>
        <w:rPr>
          <w:lang w:val="en-US"/>
        </w:rPr>
        <w:t xml:space="preserve"> = 2 Peters </w:t>
      </w:r>
      <w:r w:rsidRPr="000E22C4">
        <w:rPr>
          <w:lang w:val="en-US"/>
        </w:rPr>
        <w:t>380 (1829)</w:t>
      </w:r>
      <w:r>
        <w:rPr>
          <w:lang w:val="en-US"/>
        </w:rPr>
        <w:t>.</w:t>
      </w:r>
    </w:p>
  </w:footnote>
  <w:footnote w:id="2295">
    <w:p w14:paraId="0B1EB7BE" w14:textId="77777777" w:rsidR="00074551" w:rsidRPr="00896233" w:rsidRDefault="00074551" w:rsidP="00074551">
      <w:pPr>
        <w:pStyle w:val="Funotentext"/>
        <w:rPr>
          <w:lang w:val="en-US"/>
        </w:rPr>
      </w:pPr>
      <w:r>
        <w:rPr>
          <w:rStyle w:val="Funotenzeichen"/>
          <w:rFonts w:eastAsiaTheme="majorEastAsia"/>
        </w:rPr>
        <w:footnoteRef/>
      </w:r>
      <w:r w:rsidRPr="00896233">
        <w:rPr>
          <w:lang w:val="en-US"/>
        </w:rPr>
        <w:t xml:space="preserve"> </w:t>
      </w:r>
      <w:r w:rsidRPr="009E57E1">
        <w:rPr>
          <w:i/>
          <w:lang w:val="en-US"/>
        </w:rPr>
        <w:t>Cummings v. Mo.</w:t>
      </w:r>
      <w:r w:rsidRPr="00896233">
        <w:rPr>
          <w:lang w:val="en-US"/>
        </w:rPr>
        <w:t>, 71 U.S. 277, 323</w:t>
      </w:r>
      <w:r w:rsidRPr="006E67FE">
        <w:rPr>
          <w:lang w:val="en-US"/>
        </w:rPr>
        <w:t xml:space="preserve"> = 18 L. Ed. </w:t>
      </w:r>
      <w:r w:rsidRPr="00896233">
        <w:rPr>
          <w:lang w:val="en-US"/>
        </w:rPr>
        <w:t>356, 363</w:t>
      </w:r>
      <w:r w:rsidRPr="006E67FE">
        <w:rPr>
          <w:lang w:val="en-US"/>
        </w:rPr>
        <w:t xml:space="preserve"> = 1866 U.S. LEXIS </w:t>
      </w:r>
      <w:r w:rsidRPr="00896233">
        <w:rPr>
          <w:lang w:val="en-US"/>
        </w:rPr>
        <w:t>885, 82</w:t>
      </w:r>
      <w:r w:rsidRPr="006E67FE">
        <w:rPr>
          <w:lang w:val="en-US"/>
        </w:rPr>
        <w:t xml:space="preserve"> = 4 Wall.</w:t>
      </w:r>
      <w:r w:rsidRPr="00896233">
        <w:rPr>
          <w:lang w:val="en-US"/>
        </w:rPr>
        <w:t xml:space="preserve"> 277 (1867)</w:t>
      </w:r>
      <w:r>
        <w:rPr>
          <w:lang w:val="en-US"/>
        </w:rPr>
        <w:t>.</w:t>
      </w:r>
    </w:p>
  </w:footnote>
  <w:footnote w:id="2296">
    <w:p w14:paraId="347BACD2" w14:textId="77777777" w:rsidR="00074551" w:rsidRPr="00446CEF" w:rsidRDefault="00074551" w:rsidP="00074551">
      <w:pPr>
        <w:pStyle w:val="Funotentext"/>
        <w:rPr>
          <w:lang w:val="en-US"/>
        </w:rPr>
      </w:pPr>
      <w:r>
        <w:rPr>
          <w:rStyle w:val="Funotenzeichen"/>
          <w:rFonts w:eastAsiaTheme="majorEastAsia"/>
        </w:rPr>
        <w:footnoteRef/>
      </w:r>
      <w:r w:rsidRPr="00446CEF">
        <w:rPr>
          <w:lang w:val="en-US"/>
        </w:rPr>
        <w:t xml:space="preserve"> </w:t>
      </w:r>
      <w:r w:rsidRPr="009E57E1">
        <w:rPr>
          <w:i/>
          <w:lang w:val="en-US"/>
        </w:rPr>
        <w:t>Cummings v. Mo.</w:t>
      </w:r>
      <w:r w:rsidRPr="00446CEF">
        <w:rPr>
          <w:lang w:val="en-US"/>
        </w:rPr>
        <w:t>, 71 U.S. 277, 322</w:t>
      </w:r>
      <w:r w:rsidRPr="006E67FE">
        <w:rPr>
          <w:lang w:val="en-US"/>
        </w:rPr>
        <w:t xml:space="preserve"> = 18 L. Ed. </w:t>
      </w:r>
      <w:r w:rsidRPr="00446CEF">
        <w:rPr>
          <w:lang w:val="en-US"/>
        </w:rPr>
        <w:t>356, 362</w:t>
      </w:r>
      <w:r w:rsidRPr="006E67FE">
        <w:rPr>
          <w:lang w:val="en-US"/>
        </w:rPr>
        <w:t xml:space="preserve"> = 1866 U.S. LEXIS </w:t>
      </w:r>
      <w:r w:rsidRPr="00446CEF">
        <w:rPr>
          <w:lang w:val="en-US"/>
        </w:rPr>
        <w:t>885, 81</w:t>
      </w:r>
      <w:r w:rsidRPr="006E67FE">
        <w:rPr>
          <w:lang w:val="en-US"/>
        </w:rPr>
        <w:t xml:space="preserve"> = 4 Wall.</w:t>
      </w:r>
      <w:r w:rsidRPr="00446CEF">
        <w:rPr>
          <w:lang w:val="en-US"/>
        </w:rPr>
        <w:t xml:space="preserve"> 277 (1867)</w:t>
      </w:r>
      <w:r>
        <w:rPr>
          <w:lang w:val="en-US"/>
        </w:rPr>
        <w:t>.</w:t>
      </w:r>
    </w:p>
  </w:footnote>
  <w:footnote w:id="2297">
    <w:p w14:paraId="07A1D05F" w14:textId="77777777" w:rsidR="00074551" w:rsidRPr="00446CEF" w:rsidRDefault="00074551" w:rsidP="00074551">
      <w:pPr>
        <w:pStyle w:val="Funotentext"/>
        <w:rPr>
          <w:lang w:val="en-US"/>
        </w:rPr>
      </w:pPr>
      <w:r>
        <w:rPr>
          <w:rStyle w:val="Funotenzeichen"/>
          <w:rFonts w:eastAsiaTheme="majorEastAsia"/>
        </w:rPr>
        <w:footnoteRef/>
      </w:r>
      <w:r w:rsidRPr="00446CEF">
        <w:rPr>
          <w:lang w:val="en-US"/>
        </w:rPr>
        <w:t xml:space="preserve"> </w:t>
      </w:r>
      <w:r w:rsidRPr="009E57E1">
        <w:rPr>
          <w:i/>
          <w:lang w:val="en-US"/>
        </w:rPr>
        <w:t>Cummings v. Mo.</w:t>
      </w:r>
      <w:r w:rsidRPr="00446CEF">
        <w:rPr>
          <w:lang w:val="en-US"/>
        </w:rPr>
        <w:t>, 71 U.S. 277, 322</w:t>
      </w:r>
      <w:r w:rsidRPr="006E67FE">
        <w:rPr>
          <w:lang w:val="en-US"/>
        </w:rPr>
        <w:t xml:space="preserve"> = 18 L. Ed. </w:t>
      </w:r>
      <w:r w:rsidRPr="00446CEF">
        <w:rPr>
          <w:lang w:val="en-US"/>
        </w:rPr>
        <w:t>356, 362</w:t>
      </w:r>
      <w:r w:rsidRPr="006E67FE">
        <w:rPr>
          <w:lang w:val="en-US"/>
        </w:rPr>
        <w:t xml:space="preserve"> = 1866 U.S. LEXIS </w:t>
      </w:r>
      <w:r w:rsidRPr="00446CEF">
        <w:rPr>
          <w:lang w:val="en-US"/>
        </w:rPr>
        <w:t>885, 80</w:t>
      </w:r>
      <w:r w:rsidRPr="006E67FE">
        <w:rPr>
          <w:lang w:val="en-US"/>
        </w:rPr>
        <w:t xml:space="preserve"> = 4 Wall.</w:t>
      </w:r>
      <w:r w:rsidRPr="00446CEF">
        <w:rPr>
          <w:lang w:val="en-US"/>
        </w:rPr>
        <w:t xml:space="preserve"> 277 (1867)</w:t>
      </w:r>
      <w:r>
        <w:rPr>
          <w:lang w:val="en-US"/>
        </w:rPr>
        <w:t>.</w:t>
      </w:r>
    </w:p>
  </w:footnote>
  <w:footnote w:id="2298">
    <w:p w14:paraId="65C379CE" w14:textId="77777777" w:rsidR="00074551" w:rsidRPr="009F6EEE" w:rsidRDefault="00074551" w:rsidP="00074551">
      <w:pPr>
        <w:pStyle w:val="Funotentext"/>
        <w:rPr>
          <w:lang w:val="en-US"/>
        </w:rPr>
      </w:pPr>
      <w:r>
        <w:rPr>
          <w:rStyle w:val="Funotenzeichen"/>
          <w:rFonts w:eastAsiaTheme="majorEastAsia"/>
        </w:rPr>
        <w:footnoteRef/>
      </w:r>
      <w:r w:rsidRPr="009F6EEE">
        <w:rPr>
          <w:lang w:val="en-US"/>
        </w:rPr>
        <w:t xml:space="preserve"> </w:t>
      </w:r>
      <w:r w:rsidRPr="00546F93">
        <w:rPr>
          <w:i/>
          <w:lang w:val="en-US"/>
        </w:rPr>
        <w:t>Taylor v. Beckham</w:t>
      </w:r>
      <w:r w:rsidRPr="009F6EEE">
        <w:rPr>
          <w:lang w:val="en-US"/>
        </w:rPr>
        <w:t>, 178 U.S. 548, 575</w:t>
      </w:r>
      <w:r>
        <w:rPr>
          <w:lang w:val="en-US"/>
        </w:rPr>
        <w:t xml:space="preserve"> = 20 S. Ct. </w:t>
      </w:r>
      <w:r w:rsidRPr="009F6EEE">
        <w:rPr>
          <w:lang w:val="en-US"/>
        </w:rPr>
        <w:t>890, 900</w:t>
      </w:r>
      <w:r>
        <w:rPr>
          <w:lang w:val="en-US"/>
        </w:rPr>
        <w:t xml:space="preserve"> = 44 L. Ed. </w:t>
      </w:r>
      <w:r w:rsidRPr="009F6EEE">
        <w:rPr>
          <w:lang w:val="en-US"/>
        </w:rPr>
        <w:t>1187, 1199</w:t>
      </w:r>
      <w:r>
        <w:rPr>
          <w:lang w:val="en-US"/>
        </w:rPr>
        <w:t xml:space="preserve"> = 1900 U.S. LEXIS </w:t>
      </w:r>
      <w:r w:rsidRPr="009F6EEE">
        <w:rPr>
          <w:lang w:val="en-US"/>
        </w:rPr>
        <w:t>1702, 44 (1900)</w:t>
      </w:r>
      <w:r>
        <w:rPr>
          <w:lang w:val="en-US"/>
        </w:rPr>
        <w:t>.</w:t>
      </w:r>
    </w:p>
  </w:footnote>
  <w:footnote w:id="2299">
    <w:p w14:paraId="1724B941" w14:textId="77777777" w:rsidR="00074551" w:rsidRPr="009F6EEE" w:rsidRDefault="00074551" w:rsidP="00074551">
      <w:pPr>
        <w:pStyle w:val="Funotentext"/>
        <w:rPr>
          <w:lang w:val="en-US"/>
        </w:rPr>
      </w:pPr>
      <w:r>
        <w:rPr>
          <w:rStyle w:val="Funotenzeichen"/>
          <w:rFonts w:eastAsiaTheme="majorEastAsia"/>
        </w:rPr>
        <w:footnoteRef/>
      </w:r>
      <w:r w:rsidRPr="009F6EEE">
        <w:rPr>
          <w:lang w:val="en-US"/>
        </w:rPr>
        <w:t xml:space="preserve"> </w:t>
      </w:r>
      <w:r w:rsidRPr="00546F93">
        <w:rPr>
          <w:i/>
          <w:lang w:val="en-US"/>
        </w:rPr>
        <w:t>Taylor v. Beckham</w:t>
      </w:r>
      <w:r w:rsidRPr="009F6EEE">
        <w:rPr>
          <w:lang w:val="en-US"/>
        </w:rPr>
        <w:t>, 178 U.S. 548, 570</w:t>
      </w:r>
      <w:r>
        <w:rPr>
          <w:lang w:val="en-US"/>
        </w:rPr>
        <w:t xml:space="preserve"> = 20 S. Ct. </w:t>
      </w:r>
      <w:r w:rsidRPr="009F6EEE">
        <w:rPr>
          <w:lang w:val="en-US"/>
        </w:rPr>
        <w:t>890, 898</w:t>
      </w:r>
      <w:r>
        <w:rPr>
          <w:lang w:val="en-US"/>
        </w:rPr>
        <w:t xml:space="preserve"> = 44 L. Ed. </w:t>
      </w:r>
      <w:r w:rsidRPr="009F6EEE">
        <w:rPr>
          <w:lang w:val="en-US"/>
        </w:rPr>
        <w:t>1187, 1198</w:t>
      </w:r>
      <w:r>
        <w:rPr>
          <w:lang w:val="en-US"/>
        </w:rPr>
        <w:t xml:space="preserve"> = 1900 U.S. LEXIS </w:t>
      </w:r>
      <w:r w:rsidRPr="009F6EEE">
        <w:rPr>
          <w:lang w:val="en-US"/>
        </w:rPr>
        <w:t>1702, 13</w:t>
      </w:r>
      <w:r>
        <w:rPr>
          <w:lang w:val="en-US"/>
        </w:rPr>
        <w:t>–</w:t>
      </w:r>
      <w:r w:rsidRPr="009F6EEE">
        <w:rPr>
          <w:lang w:val="en-US"/>
        </w:rPr>
        <w:t>14 (1900)</w:t>
      </w:r>
      <w:r>
        <w:rPr>
          <w:lang w:val="en-US"/>
        </w:rPr>
        <w:t>.</w:t>
      </w:r>
    </w:p>
  </w:footnote>
  <w:footnote w:id="2300">
    <w:p w14:paraId="76E3B393" w14:textId="53CA326B" w:rsidR="00074551" w:rsidRPr="00EE63D8" w:rsidRDefault="00074551" w:rsidP="00074551">
      <w:pPr>
        <w:pStyle w:val="Funotentext"/>
        <w:ind w:left="227" w:hanging="227"/>
        <w:rPr>
          <w:lang w:val="en-US"/>
        </w:rPr>
      </w:pPr>
      <w:r>
        <w:rPr>
          <w:rStyle w:val="Funotenzeichen"/>
          <w:rFonts w:eastAsiaTheme="majorEastAsia"/>
        </w:rPr>
        <w:footnoteRef/>
      </w:r>
      <w:r w:rsidRPr="00EE63D8">
        <w:rPr>
          <w:lang w:val="en-US"/>
        </w:rPr>
        <w:t xml:space="preserve"> </w:t>
      </w:r>
      <w:r w:rsidRPr="00546F93">
        <w:rPr>
          <w:i/>
          <w:lang w:val="en-US"/>
        </w:rPr>
        <w:t>Taylor v. Beckham</w:t>
      </w:r>
      <w:r w:rsidRPr="00EE63D8">
        <w:rPr>
          <w:lang w:val="en-US"/>
        </w:rPr>
        <w:t>, 178 U.S. 548, 570</w:t>
      </w:r>
      <w:r>
        <w:rPr>
          <w:lang w:val="en-US"/>
        </w:rPr>
        <w:t xml:space="preserve"> = 20 S. Ct. </w:t>
      </w:r>
      <w:r w:rsidRPr="00EE63D8">
        <w:rPr>
          <w:lang w:val="en-US"/>
        </w:rPr>
        <w:t>890, 898</w:t>
      </w:r>
      <w:r>
        <w:rPr>
          <w:lang w:val="en-US"/>
        </w:rPr>
        <w:t xml:space="preserve"> = 44 L. Ed. </w:t>
      </w:r>
      <w:r w:rsidRPr="00EE63D8">
        <w:rPr>
          <w:lang w:val="en-US"/>
        </w:rPr>
        <w:t>1187, 1198</w:t>
      </w:r>
      <w:r>
        <w:rPr>
          <w:lang w:val="en-US"/>
        </w:rPr>
        <w:t xml:space="preserve"> = 1900 U.S. LEXIS </w:t>
      </w:r>
      <w:r w:rsidRPr="00EE63D8">
        <w:rPr>
          <w:lang w:val="en-US"/>
        </w:rPr>
        <w:t>1702, 13 (1900)</w:t>
      </w:r>
      <w:r w:rsidR="00BC27CA">
        <w:rPr>
          <w:lang w:val="en-US"/>
        </w:rPr>
        <w:t xml:space="preserve">; </w:t>
      </w:r>
      <w:r w:rsidR="00BC27CA" w:rsidRPr="00BC27CA">
        <w:rPr>
          <w:lang w:val="en-US"/>
        </w:rPr>
        <w:t xml:space="preserve">Die majority opinion </w:t>
      </w:r>
      <w:proofErr w:type="spellStart"/>
      <w:r w:rsidR="00BC27CA" w:rsidRPr="00BC27CA">
        <w:rPr>
          <w:lang w:val="en-US"/>
        </w:rPr>
        <w:t>folgte</w:t>
      </w:r>
      <w:proofErr w:type="spellEnd"/>
      <w:r w:rsidR="00BC27CA" w:rsidRPr="00BC27CA">
        <w:rPr>
          <w:lang w:val="en-US"/>
        </w:rPr>
        <w:t xml:space="preserve"> </w:t>
      </w:r>
      <w:proofErr w:type="spellStart"/>
      <w:r w:rsidR="00BC27CA" w:rsidRPr="00BC27CA">
        <w:rPr>
          <w:lang w:val="en-US"/>
        </w:rPr>
        <w:t>dieser</w:t>
      </w:r>
      <w:proofErr w:type="spellEnd"/>
      <w:r w:rsidR="00BC27CA" w:rsidRPr="00BC27CA">
        <w:rPr>
          <w:lang w:val="en-US"/>
        </w:rPr>
        <w:t xml:space="preserve"> Argumentation nicht; auf den pursuit-of-happiness-</w:t>
      </w:r>
      <w:proofErr w:type="spellStart"/>
      <w:r w:rsidR="00BC27CA" w:rsidRPr="00BC27CA">
        <w:rPr>
          <w:lang w:val="en-US"/>
        </w:rPr>
        <w:t>Aspekt</w:t>
      </w:r>
      <w:proofErr w:type="spellEnd"/>
      <w:r w:rsidR="00BC27CA" w:rsidRPr="00BC27CA">
        <w:rPr>
          <w:lang w:val="en-US"/>
        </w:rPr>
        <w:t xml:space="preserve"> </w:t>
      </w:r>
      <w:proofErr w:type="spellStart"/>
      <w:r w:rsidR="00BC27CA" w:rsidRPr="00BC27CA">
        <w:rPr>
          <w:lang w:val="en-US"/>
        </w:rPr>
        <w:t>ging</w:t>
      </w:r>
      <w:proofErr w:type="spellEnd"/>
      <w:r w:rsidR="00BC27CA" w:rsidRPr="00BC27CA">
        <w:rPr>
          <w:lang w:val="en-US"/>
        </w:rPr>
        <w:t xml:space="preserve"> </w:t>
      </w:r>
      <w:proofErr w:type="spellStart"/>
      <w:r w:rsidR="00BC27CA" w:rsidRPr="00BC27CA">
        <w:rPr>
          <w:lang w:val="en-US"/>
        </w:rPr>
        <w:t>sie</w:t>
      </w:r>
      <w:proofErr w:type="spellEnd"/>
      <w:r w:rsidR="00BC27CA" w:rsidRPr="00BC27CA">
        <w:rPr>
          <w:lang w:val="en-US"/>
        </w:rPr>
        <w:t xml:space="preserve"> nicht </w:t>
      </w:r>
      <w:proofErr w:type="spellStart"/>
      <w:r w:rsidR="00BC27CA" w:rsidRPr="00BC27CA">
        <w:rPr>
          <w:lang w:val="en-US"/>
        </w:rPr>
        <w:t>ausdrücklich</w:t>
      </w:r>
      <w:proofErr w:type="spellEnd"/>
      <w:r w:rsidR="00BC27CA" w:rsidRPr="00BC27CA">
        <w:rPr>
          <w:lang w:val="en-US"/>
        </w:rPr>
        <w:t xml:space="preserve"> </w:t>
      </w:r>
      <w:proofErr w:type="spellStart"/>
      <w:r w:rsidR="00BC27CA" w:rsidRPr="00BC27CA">
        <w:rPr>
          <w:lang w:val="en-US"/>
        </w:rPr>
        <w:t>ein</w:t>
      </w:r>
      <w:proofErr w:type="spellEnd"/>
      <w:r w:rsidR="00BC27CA" w:rsidRPr="00BC27CA">
        <w:rPr>
          <w:lang w:val="en-US"/>
        </w:rPr>
        <w:t xml:space="preserve">, </w:t>
      </w:r>
      <w:proofErr w:type="spellStart"/>
      <w:r w:rsidR="00BC27CA" w:rsidRPr="00BC27CA">
        <w:rPr>
          <w:lang w:val="en-US"/>
        </w:rPr>
        <w:t>sondern</w:t>
      </w:r>
      <w:proofErr w:type="spellEnd"/>
      <w:r w:rsidR="00BC27CA" w:rsidRPr="00BC27CA">
        <w:rPr>
          <w:lang w:val="en-US"/>
        </w:rPr>
        <w:t xml:space="preserve"> </w:t>
      </w:r>
      <w:proofErr w:type="spellStart"/>
      <w:r w:rsidR="00BC27CA" w:rsidRPr="00BC27CA">
        <w:rPr>
          <w:lang w:val="en-US"/>
        </w:rPr>
        <w:t>verneinte</w:t>
      </w:r>
      <w:proofErr w:type="spellEnd"/>
      <w:r w:rsidR="00BC27CA" w:rsidRPr="00BC27CA">
        <w:rPr>
          <w:lang w:val="en-US"/>
        </w:rPr>
        <w:t xml:space="preserve"> </w:t>
      </w:r>
      <w:proofErr w:type="spellStart"/>
      <w:r w:rsidR="00BC27CA" w:rsidRPr="00BC27CA">
        <w:rPr>
          <w:lang w:val="en-US"/>
        </w:rPr>
        <w:t>ein</w:t>
      </w:r>
      <w:proofErr w:type="spellEnd"/>
      <w:r w:rsidR="00BC27CA" w:rsidRPr="00BC27CA">
        <w:rPr>
          <w:lang w:val="en-US"/>
        </w:rPr>
        <w:t xml:space="preserve"> </w:t>
      </w:r>
      <w:proofErr w:type="spellStart"/>
      <w:r w:rsidR="00BC27CA" w:rsidRPr="00BC27CA">
        <w:rPr>
          <w:lang w:val="en-US"/>
        </w:rPr>
        <w:t>durch</w:t>
      </w:r>
      <w:proofErr w:type="spellEnd"/>
      <w:r w:rsidR="00BC27CA" w:rsidRPr="00BC27CA">
        <w:rPr>
          <w:lang w:val="en-US"/>
        </w:rPr>
        <w:t xml:space="preserve"> </w:t>
      </w:r>
      <w:r w:rsidR="00023A37">
        <w:rPr>
          <w:lang w:val="en-US"/>
        </w:rPr>
        <w:t>U.S. Const. amend. XIV</w:t>
      </w:r>
      <w:r w:rsidR="00BC27CA" w:rsidRPr="00BC27CA">
        <w:rPr>
          <w:lang w:val="en-US"/>
        </w:rPr>
        <w:t xml:space="preserve"> </w:t>
      </w:r>
      <w:proofErr w:type="spellStart"/>
      <w:r w:rsidR="00BC27CA" w:rsidRPr="00BC27CA">
        <w:rPr>
          <w:lang w:val="en-US"/>
        </w:rPr>
        <w:t>geschütztes</w:t>
      </w:r>
      <w:proofErr w:type="spellEnd"/>
      <w:r w:rsidR="00BC27CA" w:rsidRPr="00BC27CA">
        <w:rPr>
          <w:lang w:val="en-US"/>
        </w:rPr>
        <w:t xml:space="preserve"> Recht am </w:t>
      </w:r>
      <w:proofErr w:type="spellStart"/>
      <w:r w:rsidR="00BC27CA" w:rsidRPr="00BC27CA">
        <w:rPr>
          <w:lang w:val="en-US"/>
        </w:rPr>
        <w:t>öffentlichen</w:t>
      </w:r>
      <w:proofErr w:type="spellEnd"/>
      <w:r w:rsidR="00BC27CA" w:rsidRPr="00BC27CA">
        <w:rPr>
          <w:lang w:val="en-US"/>
        </w:rPr>
        <w:t xml:space="preserve"> Amt.</w:t>
      </w:r>
    </w:p>
  </w:footnote>
  <w:footnote w:id="2301">
    <w:p w14:paraId="186CFAC0" w14:textId="77777777" w:rsidR="00074551" w:rsidRPr="004368A2" w:rsidRDefault="00074551" w:rsidP="00074551">
      <w:pPr>
        <w:pStyle w:val="Funotentext"/>
        <w:rPr>
          <w:lang w:val="en-US"/>
        </w:rPr>
      </w:pPr>
      <w:r>
        <w:rPr>
          <w:rStyle w:val="Funotenzeichen"/>
        </w:rPr>
        <w:footnoteRef/>
      </w:r>
      <w:r>
        <w:rPr>
          <w:lang w:val="en-US"/>
        </w:rPr>
        <w:t xml:space="preserve"> „</w:t>
      </w:r>
      <w:r w:rsidRPr="004368A2">
        <w:rPr>
          <w:lang w:val="en-US"/>
        </w:rPr>
        <w:t xml:space="preserve">SECTION 1. That all citizens of the United States, who are or shall be otherwise qualified by law to vote at any election by the people in any state, territory, district, county, city, parish, township, school district, municipality, or other territorial subdivision, shall be entitled and allowed to vote at all such elections, without distinction of race, color, or previous condition of servitude; any constitution, law, custom, usage, or regulation of any State or Territory, or by or under its authority, to the contrary </w:t>
      </w:r>
      <w:proofErr w:type="spellStart"/>
      <w:r w:rsidRPr="004368A2">
        <w:rPr>
          <w:lang w:val="en-US"/>
        </w:rPr>
        <w:t>notwith</w:t>
      </w:r>
      <w:proofErr w:type="spellEnd"/>
      <w:r w:rsidRPr="004368A2">
        <w:rPr>
          <w:lang w:val="en-US"/>
        </w:rPr>
        <w:t>-standing. SECT. 2. That if, by or under the authority of the constitution or laws of any State or the laws of any Territory, any act is or shall be required to be done as a prerequisite or qualification for voting, and, by such constitution or laws, persons or officers are or shall be charged with the performance of duties, in furnishing to citizens an opportunity to perform such prerequisite, or to become qualified to vote, it shall be the duty of every such person and officer to give to all citizens of the United States the same and equal opportunity to perform such prerequisite, and to become qualified to vote, without distinction of race, color, or previous condition of servitude; and, if any such person or officer shall refuse or knowingly omit to give full effect to this section, he shall, for every such offence, forfeit and pay the sum of $500 to the person aggrieved thereby, to be recovered by an action on the case with full costs, and such allowance for counsel-fees as the court shall deem just; and shall also, for every such offence, be deemed guilty of a misdemeanor, and shall, on conviction thereof, be fined not less than five hundred dollars, or be imprisoned not less than one month and not more than one year, or both, at the discretion of the court. SECT. 3. That whenever, by or under the authority of the constitution or laws of any State, or the laws of any Territory, any act is or shall be required to [be] done by any citizen as a prerequisite to qualify or entitle him to vote, the offer of any such citizen to perform the act required to be done as aforesaid shall, if it fail to be carried into execution by reason of the wrongful act or omission aforesaid of the person or officer charged with the duty of receiving or permitting such performance, or offer to perform, or acting thereon, be deemed and held as a performance in law of such act; and the person so offering and failing as aforesaid, and being otherwise qualified, shall be entitled to vote in the same manner and to the same extent as if he had, in fact, performed such act; and any judge, inspector, or other officer of election, whose duty it is or shall be to receive, count, certify, register, report, or give effect to the vote of any such citizen who shall wrongfully refuse or omit to receive, count, certify, register, report, or give effect to the vote of such citizen, upon the presentation by him of his affidavit stating such offer, and the time and place thereof, and the name of the officer or person whose duty it was to act thereon, and that he was wrongfully prevented by such person or officer from performing such act, shall, for every such offence, forfeit and pay the sum of $500 to the person aggrieved thereby, to be recovered by an action on the case, with full costs, and such allowance for counsel-fees as the court shall deem just; and shall also, for every such offence, be guilty of a misdemeanor, and shall, on conviction thereof, be fined not less than $500, or be imprisoned not less than one month and not more than one year, or both, at the discretion of the court. SECT. 4. That if any person, by force, bribery, threats, intimidation, or other unlawful means, shall hinder, delay, prevent, or obstruct, or shall combine and confederate with others to hinder, delay, prevent, or obstruct, any citizen from doing any act required to be done to qualify him to vote or from voting at any election as aforesaid, such person shall, for every such offence, forfeit and pay the sum of $500 to the person aggrieved thereby, to be recovered by an action on the case, with full costs and such allowance for counsel-fees as the court shall deem just; and shall also, for every such offence, be deemed guilty of a misdemeanor, and shall, on conviction thereof, be fined not less than $500, or be imprisoned not less than one month and not more than one year, or both, at the discretion of the court.</w:t>
      </w:r>
      <w:r>
        <w:rPr>
          <w:lang w:val="en-US"/>
        </w:rPr>
        <w:t>“,</w:t>
      </w:r>
      <w:r w:rsidRPr="004368A2">
        <w:rPr>
          <w:lang w:val="en-US"/>
        </w:rPr>
        <w:t xml:space="preserve"> </w:t>
      </w:r>
      <w:r w:rsidRPr="00A15962">
        <w:rPr>
          <w:i/>
          <w:lang w:val="en-US"/>
        </w:rPr>
        <w:t>United States v. Reese</w:t>
      </w:r>
      <w:r w:rsidRPr="004368A2">
        <w:rPr>
          <w:lang w:val="en-US"/>
        </w:rPr>
        <w:t>, 92 U.S. 214, 239</w:t>
      </w:r>
      <w:r>
        <w:rPr>
          <w:lang w:val="en-US"/>
        </w:rPr>
        <w:t>–</w:t>
      </w:r>
      <w:r w:rsidRPr="004368A2">
        <w:rPr>
          <w:lang w:val="en-US"/>
        </w:rPr>
        <w:t>240</w:t>
      </w:r>
      <w:r>
        <w:rPr>
          <w:lang w:val="en-US"/>
        </w:rPr>
        <w:t xml:space="preserve"> = 23 L. Ed. </w:t>
      </w:r>
      <w:r w:rsidRPr="004368A2">
        <w:rPr>
          <w:lang w:val="en-US"/>
        </w:rPr>
        <w:t>563, 572</w:t>
      </w:r>
      <w:r>
        <w:rPr>
          <w:lang w:val="en-US"/>
        </w:rPr>
        <w:t>–</w:t>
      </w:r>
      <w:r w:rsidRPr="004368A2">
        <w:rPr>
          <w:lang w:val="en-US"/>
        </w:rPr>
        <w:t>573</w:t>
      </w:r>
      <w:r>
        <w:rPr>
          <w:lang w:val="en-US"/>
        </w:rPr>
        <w:t xml:space="preserve"> = 1875 U.S. LEXIS </w:t>
      </w:r>
      <w:r w:rsidRPr="004368A2">
        <w:rPr>
          <w:lang w:val="en-US"/>
        </w:rPr>
        <w:t>1751, 49</w:t>
      </w:r>
      <w:r>
        <w:rPr>
          <w:lang w:val="en-US"/>
        </w:rPr>
        <w:t>–</w:t>
      </w:r>
      <w:r w:rsidRPr="004368A2">
        <w:rPr>
          <w:lang w:val="en-US"/>
        </w:rPr>
        <w:t>53</w:t>
      </w:r>
      <w:r>
        <w:rPr>
          <w:lang w:val="en-US"/>
        </w:rPr>
        <w:t xml:space="preserve"> = 2 Otto </w:t>
      </w:r>
      <w:r w:rsidRPr="004368A2">
        <w:rPr>
          <w:lang w:val="en-US"/>
        </w:rPr>
        <w:t>214 (1876).</w:t>
      </w:r>
    </w:p>
  </w:footnote>
  <w:footnote w:id="2302">
    <w:p w14:paraId="27DC6441" w14:textId="77777777" w:rsidR="00074551" w:rsidRPr="004172C2" w:rsidRDefault="00074551" w:rsidP="00074551">
      <w:pPr>
        <w:pStyle w:val="Funotentext"/>
        <w:rPr>
          <w:lang w:val="en-US"/>
        </w:rPr>
      </w:pPr>
      <w:r>
        <w:rPr>
          <w:rStyle w:val="Funotenzeichen"/>
          <w:rFonts w:eastAsiaTheme="majorEastAsia"/>
        </w:rPr>
        <w:footnoteRef/>
      </w:r>
      <w:r w:rsidRPr="004172C2">
        <w:rPr>
          <w:lang w:val="en-US"/>
        </w:rPr>
        <w:t xml:space="preserve"> </w:t>
      </w:r>
      <w:r w:rsidRPr="00A15962">
        <w:rPr>
          <w:i/>
          <w:lang w:val="en-US"/>
        </w:rPr>
        <w:t>United States v. Reese</w:t>
      </w:r>
      <w:r w:rsidRPr="004172C2">
        <w:rPr>
          <w:lang w:val="en-US"/>
        </w:rPr>
        <w:t>, 92 U.S. 214, 218</w:t>
      </w:r>
      <w:r>
        <w:rPr>
          <w:lang w:val="en-US"/>
        </w:rPr>
        <w:t xml:space="preserve"> = 23 L. Ed. </w:t>
      </w:r>
      <w:r w:rsidRPr="004172C2">
        <w:rPr>
          <w:lang w:val="en-US"/>
        </w:rPr>
        <w:t>563, 564</w:t>
      </w:r>
      <w:r>
        <w:rPr>
          <w:lang w:val="en-US"/>
        </w:rPr>
        <w:t xml:space="preserve"> = 1875 U.S. LEXIS </w:t>
      </w:r>
      <w:r w:rsidRPr="004172C2">
        <w:rPr>
          <w:lang w:val="en-US"/>
        </w:rPr>
        <w:t>1751, 8</w:t>
      </w:r>
      <w:r>
        <w:rPr>
          <w:lang w:val="en-US"/>
        </w:rPr>
        <w:t xml:space="preserve"> = 2 Otto </w:t>
      </w:r>
      <w:r w:rsidRPr="004172C2">
        <w:rPr>
          <w:lang w:val="en-US"/>
        </w:rPr>
        <w:t>214 (1876)</w:t>
      </w:r>
      <w:r>
        <w:rPr>
          <w:lang w:val="en-US"/>
        </w:rPr>
        <w:t>.</w:t>
      </w:r>
    </w:p>
  </w:footnote>
  <w:footnote w:id="2303">
    <w:p w14:paraId="4CFED68C" w14:textId="77777777" w:rsidR="00074551" w:rsidRPr="00682D00" w:rsidRDefault="00074551" w:rsidP="00074551">
      <w:pPr>
        <w:pStyle w:val="Funotentext"/>
        <w:rPr>
          <w:lang w:val="en-US"/>
        </w:rPr>
      </w:pPr>
      <w:r>
        <w:rPr>
          <w:rStyle w:val="Funotenzeichen"/>
          <w:rFonts w:eastAsiaTheme="majorEastAsia"/>
        </w:rPr>
        <w:footnoteRef/>
      </w:r>
      <w:r w:rsidRPr="00682D00">
        <w:rPr>
          <w:lang w:val="en-US"/>
        </w:rPr>
        <w:t xml:space="preserve"> </w:t>
      </w:r>
      <w:r>
        <w:rPr>
          <w:lang w:val="en-US"/>
        </w:rPr>
        <w:t>„</w:t>
      </w:r>
      <w:r w:rsidRPr="00682D00">
        <w:rPr>
          <w:lang w:val="en-US"/>
        </w:rPr>
        <w:t xml:space="preserve">States, as well as the United States, are prohibited by the Fifteenth Amendment of the Constitution from denying or abridging the right of citizens of the United States to vote on account of race, color, or previous condition of </w:t>
      </w:r>
      <w:proofErr w:type="gramStart"/>
      <w:r w:rsidRPr="00682D00">
        <w:rPr>
          <w:lang w:val="en-US"/>
        </w:rPr>
        <w:t>servitude.</w:t>
      </w:r>
      <w:r>
        <w:rPr>
          <w:lang w:val="en-US"/>
        </w:rPr>
        <w:t>“</w:t>
      </w:r>
      <w:proofErr w:type="gramEnd"/>
      <w:r>
        <w:rPr>
          <w:lang w:val="en-US"/>
        </w:rPr>
        <w:t>,</w:t>
      </w:r>
      <w:r w:rsidRPr="00682D00">
        <w:rPr>
          <w:lang w:val="en-US"/>
        </w:rPr>
        <w:t xml:space="preserve"> </w:t>
      </w:r>
      <w:r w:rsidRPr="00A15962">
        <w:rPr>
          <w:i/>
          <w:lang w:val="en-US"/>
        </w:rPr>
        <w:t>United States v. Reese</w:t>
      </w:r>
      <w:r w:rsidRPr="00682D00">
        <w:rPr>
          <w:lang w:val="en-US"/>
        </w:rPr>
        <w:t>, 92 U.S. 214, 222</w:t>
      </w:r>
      <w:r>
        <w:rPr>
          <w:lang w:val="en-US"/>
        </w:rPr>
        <w:t xml:space="preserve"> = 23 L. Ed. </w:t>
      </w:r>
      <w:r w:rsidRPr="00682D00">
        <w:rPr>
          <w:lang w:val="en-US"/>
        </w:rPr>
        <w:t>563, 566</w:t>
      </w:r>
      <w:r>
        <w:rPr>
          <w:lang w:val="en-US"/>
        </w:rPr>
        <w:t xml:space="preserve"> = 1875 U.S. LEXIS </w:t>
      </w:r>
      <w:r w:rsidRPr="00682D00">
        <w:rPr>
          <w:lang w:val="en-US"/>
        </w:rPr>
        <w:t>1751, 16</w:t>
      </w:r>
      <w:r>
        <w:rPr>
          <w:lang w:val="en-US"/>
        </w:rPr>
        <w:t xml:space="preserve"> = 2 Otto </w:t>
      </w:r>
      <w:r w:rsidRPr="00682D00">
        <w:rPr>
          <w:lang w:val="en-US"/>
        </w:rPr>
        <w:t>214 (1876)</w:t>
      </w:r>
      <w:r>
        <w:rPr>
          <w:lang w:val="en-US"/>
        </w:rPr>
        <w:t>.</w:t>
      </w:r>
    </w:p>
  </w:footnote>
  <w:footnote w:id="2304">
    <w:p w14:paraId="677996E4" w14:textId="77777777" w:rsidR="00074551" w:rsidRPr="004368A2" w:rsidRDefault="00074551" w:rsidP="00074551">
      <w:pPr>
        <w:pStyle w:val="Funotentext"/>
        <w:rPr>
          <w:lang w:val="en-US"/>
        </w:rPr>
      </w:pPr>
      <w:r>
        <w:rPr>
          <w:rStyle w:val="Funotenzeichen"/>
        </w:rPr>
        <w:footnoteRef/>
      </w:r>
      <w:r w:rsidRPr="004368A2">
        <w:rPr>
          <w:lang w:val="en-US"/>
        </w:rPr>
        <w:t xml:space="preserve"> </w:t>
      </w:r>
      <w:r w:rsidRPr="00A15962">
        <w:rPr>
          <w:i/>
          <w:lang w:val="en-US"/>
        </w:rPr>
        <w:t>United States v. Reese</w:t>
      </w:r>
      <w:r w:rsidRPr="004368A2">
        <w:rPr>
          <w:lang w:val="en-US"/>
        </w:rPr>
        <w:t>, 92 U.S. 214, 215</w:t>
      </w:r>
      <w:r>
        <w:rPr>
          <w:lang w:val="en-US"/>
        </w:rPr>
        <w:t xml:space="preserve"> = 23 L. Ed. </w:t>
      </w:r>
      <w:r w:rsidRPr="004368A2">
        <w:rPr>
          <w:lang w:val="en-US"/>
        </w:rPr>
        <w:t>563, 563</w:t>
      </w:r>
      <w:r>
        <w:rPr>
          <w:lang w:val="en-US"/>
        </w:rPr>
        <w:t xml:space="preserve"> = 1875 U.S. LEXIS </w:t>
      </w:r>
      <w:r w:rsidRPr="004368A2">
        <w:rPr>
          <w:lang w:val="en-US"/>
        </w:rPr>
        <w:t>1751, 1</w:t>
      </w:r>
      <w:r>
        <w:rPr>
          <w:lang w:val="en-US"/>
        </w:rPr>
        <w:t xml:space="preserve"> = 2 Otto </w:t>
      </w:r>
      <w:r w:rsidRPr="004368A2">
        <w:rPr>
          <w:lang w:val="en-US"/>
        </w:rPr>
        <w:t>214 (1876)</w:t>
      </w:r>
      <w:r>
        <w:rPr>
          <w:lang w:val="en-US"/>
        </w:rPr>
        <w:t>.</w:t>
      </w:r>
    </w:p>
  </w:footnote>
  <w:footnote w:id="2305">
    <w:p w14:paraId="3E9EA775" w14:textId="77777777" w:rsidR="00074551" w:rsidRPr="000824C3" w:rsidRDefault="00074551" w:rsidP="00074551">
      <w:pPr>
        <w:pStyle w:val="Funotentext"/>
        <w:ind w:left="227" w:hanging="227"/>
        <w:rPr>
          <w:lang w:val="en-US"/>
        </w:rPr>
      </w:pPr>
      <w:r>
        <w:rPr>
          <w:rStyle w:val="Funotenzeichen"/>
          <w:rFonts w:eastAsiaTheme="majorEastAsia"/>
        </w:rPr>
        <w:footnoteRef/>
      </w:r>
      <w:r w:rsidRPr="000824C3">
        <w:rPr>
          <w:lang w:val="en-US"/>
        </w:rPr>
        <w:t xml:space="preserve"> </w:t>
      </w:r>
      <w:r w:rsidRPr="00A15962">
        <w:rPr>
          <w:i/>
          <w:lang w:val="en-US"/>
        </w:rPr>
        <w:t>United States v. Reese</w:t>
      </w:r>
      <w:r w:rsidRPr="000824C3">
        <w:rPr>
          <w:lang w:val="en-US"/>
        </w:rPr>
        <w:t>, 92 U.S. 214, 221</w:t>
      </w:r>
      <w:r>
        <w:rPr>
          <w:lang w:val="en-US"/>
        </w:rPr>
        <w:t xml:space="preserve"> = 23 L. Ed. </w:t>
      </w:r>
      <w:r w:rsidRPr="000824C3">
        <w:rPr>
          <w:lang w:val="en-US"/>
        </w:rPr>
        <w:t>563, 566</w:t>
      </w:r>
      <w:r>
        <w:rPr>
          <w:lang w:val="en-US"/>
        </w:rPr>
        <w:t xml:space="preserve"> = 1875 U.S. LEXIS </w:t>
      </w:r>
      <w:r w:rsidRPr="000824C3">
        <w:rPr>
          <w:lang w:val="en-US"/>
        </w:rPr>
        <w:t>1751, 15</w:t>
      </w:r>
      <w:r>
        <w:rPr>
          <w:lang w:val="en-US"/>
        </w:rPr>
        <w:t xml:space="preserve"> = 2 Otto </w:t>
      </w:r>
      <w:r w:rsidRPr="000824C3">
        <w:rPr>
          <w:lang w:val="en-US"/>
        </w:rPr>
        <w:t>214 (1876)</w:t>
      </w:r>
      <w:r>
        <w:rPr>
          <w:lang w:val="en-US"/>
        </w:rPr>
        <w:t>.</w:t>
      </w:r>
    </w:p>
  </w:footnote>
  <w:footnote w:id="2306">
    <w:p w14:paraId="678B0C4B" w14:textId="77777777" w:rsidR="00074551" w:rsidRPr="005B738E" w:rsidRDefault="00074551" w:rsidP="00074551">
      <w:pPr>
        <w:pStyle w:val="Funotentext"/>
        <w:rPr>
          <w:lang w:val="en-US"/>
        </w:rPr>
      </w:pPr>
      <w:r>
        <w:rPr>
          <w:rStyle w:val="Funotenzeichen"/>
          <w:rFonts w:eastAsiaTheme="majorEastAsia"/>
        </w:rPr>
        <w:footnoteRef/>
      </w:r>
      <w:r w:rsidRPr="005B738E">
        <w:rPr>
          <w:lang w:val="en-US"/>
        </w:rPr>
        <w:t xml:space="preserve"> </w:t>
      </w:r>
      <w:r w:rsidRPr="00A15962">
        <w:rPr>
          <w:i/>
          <w:lang w:val="en-US"/>
        </w:rPr>
        <w:t>United States v. Reese</w:t>
      </w:r>
      <w:r w:rsidRPr="005B738E">
        <w:rPr>
          <w:lang w:val="en-US"/>
        </w:rPr>
        <w:t>, 92 U.S. 214, 248</w:t>
      </w:r>
      <w:r>
        <w:rPr>
          <w:lang w:val="en-US"/>
        </w:rPr>
        <w:t xml:space="preserve"> = 23 L. Ed. </w:t>
      </w:r>
      <w:r w:rsidRPr="005B738E">
        <w:rPr>
          <w:lang w:val="en-US"/>
        </w:rPr>
        <w:t>563, 575</w:t>
      </w:r>
      <w:r>
        <w:rPr>
          <w:lang w:val="en-US"/>
        </w:rPr>
        <w:t xml:space="preserve"> = 1875 U.S. LEXIS </w:t>
      </w:r>
      <w:r w:rsidRPr="005B738E">
        <w:rPr>
          <w:lang w:val="en-US"/>
        </w:rPr>
        <w:t>1751, 67</w:t>
      </w:r>
      <w:r>
        <w:rPr>
          <w:lang w:val="en-US"/>
        </w:rPr>
        <w:t xml:space="preserve"> = 2 Otto </w:t>
      </w:r>
      <w:r w:rsidRPr="005B738E">
        <w:rPr>
          <w:lang w:val="en-US"/>
        </w:rPr>
        <w:t>214 (1876)</w:t>
      </w:r>
      <w:r>
        <w:rPr>
          <w:lang w:val="en-US"/>
        </w:rPr>
        <w:t>.</w:t>
      </w:r>
    </w:p>
  </w:footnote>
  <w:footnote w:id="2307">
    <w:p w14:paraId="5C637C73" w14:textId="77777777" w:rsidR="00074551" w:rsidRPr="005B738E" w:rsidRDefault="00074551" w:rsidP="00074551">
      <w:pPr>
        <w:pStyle w:val="Funotentext"/>
        <w:rPr>
          <w:lang w:val="en-US"/>
        </w:rPr>
      </w:pPr>
      <w:r>
        <w:rPr>
          <w:rStyle w:val="Funotenzeichen"/>
          <w:rFonts w:eastAsiaTheme="majorEastAsia"/>
        </w:rPr>
        <w:footnoteRef/>
      </w:r>
      <w:r w:rsidRPr="005B738E">
        <w:rPr>
          <w:lang w:val="en-US"/>
        </w:rPr>
        <w:t xml:space="preserve"> </w:t>
      </w:r>
      <w:r w:rsidRPr="00A15962">
        <w:rPr>
          <w:i/>
          <w:lang w:val="en-US"/>
        </w:rPr>
        <w:t>United States v. Reese</w:t>
      </w:r>
      <w:r w:rsidRPr="005B738E">
        <w:rPr>
          <w:lang w:val="en-US"/>
        </w:rPr>
        <w:t>, 92 U.S. 214, 248</w:t>
      </w:r>
      <w:r>
        <w:rPr>
          <w:lang w:val="en-US"/>
        </w:rPr>
        <w:t xml:space="preserve"> = 23 L. Ed. </w:t>
      </w:r>
      <w:r w:rsidRPr="005B738E">
        <w:rPr>
          <w:lang w:val="en-US"/>
        </w:rPr>
        <w:t>563, 575</w:t>
      </w:r>
      <w:r>
        <w:rPr>
          <w:lang w:val="en-US"/>
        </w:rPr>
        <w:t xml:space="preserve"> = 1875 U.S. LEXIS </w:t>
      </w:r>
      <w:r w:rsidRPr="005B738E">
        <w:rPr>
          <w:lang w:val="en-US"/>
        </w:rPr>
        <w:t>1751, 67</w:t>
      </w:r>
      <w:r>
        <w:rPr>
          <w:lang w:val="en-US"/>
        </w:rPr>
        <w:t xml:space="preserve"> = 2 Otto </w:t>
      </w:r>
      <w:r w:rsidRPr="005B738E">
        <w:rPr>
          <w:lang w:val="en-US"/>
        </w:rPr>
        <w:t>214 (1876)</w:t>
      </w:r>
      <w:r>
        <w:rPr>
          <w:lang w:val="en-US"/>
        </w:rPr>
        <w:t>.</w:t>
      </w:r>
    </w:p>
  </w:footnote>
  <w:footnote w:id="2308">
    <w:p w14:paraId="6FAA347F" w14:textId="77777777" w:rsidR="00074551" w:rsidRPr="005B738E" w:rsidRDefault="00074551" w:rsidP="00074551">
      <w:pPr>
        <w:pStyle w:val="Funotentext"/>
        <w:rPr>
          <w:lang w:val="en-US"/>
        </w:rPr>
      </w:pPr>
      <w:r>
        <w:rPr>
          <w:rStyle w:val="Funotenzeichen"/>
          <w:rFonts w:eastAsiaTheme="majorEastAsia"/>
        </w:rPr>
        <w:footnoteRef/>
      </w:r>
      <w:r w:rsidRPr="005B738E">
        <w:rPr>
          <w:lang w:val="en-US"/>
        </w:rPr>
        <w:t xml:space="preserve"> </w:t>
      </w:r>
      <w:r w:rsidRPr="00A15962">
        <w:rPr>
          <w:i/>
          <w:lang w:val="en-US"/>
        </w:rPr>
        <w:t>United States v. Reese</w:t>
      </w:r>
      <w:r w:rsidRPr="005B738E">
        <w:rPr>
          <w:lang w:val="en-US"/>
        </w:rPr>
        <w:t>, 92 U.S. 214, 248</w:t>
      </w:r>
      <w:r>
        <w:rPr>
          <w:lang w:val="en-US"/>
        </w:rPr>
        <w:t xml:space="preserve"> = 23 L. Ed. </w:t>
      </w:r>
      <w:r w:rsidRPr="005B738E">
        <w:rPr>
          <w:lang w:val="en-US"/>
        </w:rPr>
        <w:t>563, 575</w:t>
      </w:r>
      <w:r>
        <w:rPr>
          <w:lang w:val="en-US"/>
        </w:rPr>
        <w:t xml:space="preserve"> = 1875 U.S. LEXIS </w:t>
      </w:r>
      <w:r w:rsidRPr="005B738E">
        <w:rPr>
          <w:lang w:val="en-US"/>
        </w:rPr>
        <w:t>1751, 67</w:t>
      </w:r>
      <w:r>
        <w:rPr>
          <w:lang w:val="en-US"/>
        </w:rPr>
        <w:t xml:space="preserve"> = 2 Otto </w:t>
      </w:r>
      <w:r w:rsidRPr="005B738E">
        <w:rPr>
          <w:lang w:val="en-US"/>
        </w:rPr>
        <w:t>214 (1876)</w:t>
      </w:r>
      <w:r>
        <w:rPr>
          <w:lang w:val="en-US"/>
        </w:rPr>
        <w:t>.</w:t>
      </w:r>
    </w:p>
  </w:footnote>
  <w:footnote w:id="2309">
    <w:p w14:paraId="6FACDB7A" w14:textId="77777777" w:rsidR="00074551" w:rsidRPr="005B738E" w:rsidRDefault="00074551" w:rsidP="00074551">
      <w:pPr>
        <w:pStyle w:val="Funotentext"/>
        <w:rPr>
          <w:lang w:val="en-US"/>
        </w:rPr>
      </w:pPr>
      <w:r>
        <w:rPr>
          <w:rStyle w:val="Funotenzeichen"/>
          <w:rFonts w:eastAsiaTheme="majorEastAsia"/>
        </w:rPr>
        <w:footnoteRef/>
      </w:r>
      <w:r w:rsidRPr="005B738E">
        <w:rPr>
          <w:lang w:val="en-US"/>
        </w:rPr>
        <w:t xml:space="preserve"> </w:t>
      </w:r>
      <w:r w:rsidRPr="00A15962">
        <w:rPr>
          <w:i/>
          <w:lang w:val="en-US"/>
        </w:rPr>
        <w:t>United States v. Reese</w:t>
      </w:r>
      <w:r w:rsidRPr="005B738E">
        <w:rPr>
          <w:lang w:val="en-US"/>
        </w:rPr>
        <w:t>, 92 U.S. 214, 248</w:t>
      </w:r>
      <w:r>
        <w:rPr>
          <w:lang w:val="en-US"/>
        </w:rPr>
        <w:t xml:space="preserve"> = 23 L. Ed. </w:t>
      </w:r>
      <w:r w:rsidRPr="005B738E">
        <w:rPr>
          <w:lang w:val="en-US"/>
        </w:rPr>
        <w:t>563, 575</w:t>
      </w:r>
      <w:r>
        <w:rPr>
          <w:lang w:val="en-US"/>
        </w:rPr>
        <w:t xml:space="preserve"> = 1875 U.S. LEXIS </w:t>
      </w:r>
      <w:r w:rsidRPr="005B738E">
        <w:rPr>
          <w:lang w:val="en-US"/>
        </w:rPr>
        <w:t>1751, 67</w:t>
      </w:r>
      <w:r>
        <w:rPr>
          <w:lang w:val="en-US"/>
        </w:rPr>
        <w:t xml:space="preserve"> = 2 Otto </w:t>
      </w:r>
      <w:r w:rsidRPr="005B738E">
        <w:rPr>
          <w:lang w:val="en-US"/>
        </w:rPr>
        <w:t>214 (1876)</w:t>
      </w:r>
      <w:r>
        <w:rPr>
          <w:lang w:val="en-US"/>
        </w:rPr>
        <w:t>.</w:t>
      </w:r>
    </w:p>
  </w:footnote>
  <w:footnote w:id="2310">
    <w:p w14:paraId="556CD460" w14:textId="11C9CCA2" w:rsidR="00074551" w:rsidRPr="00004B97" w:rsidRDefault="00074551" w:rsidP="00074551">
      <w:pPr>
        <w:pStyle w:val="Funotentext"/>
        <w:rPr>
          <w:lang w:val="en-US"/>
        </w:rPr>
      </w:pPr>
      <w:r>
        <w:rPr>
          <w:rStyle w:val="Funotenzeichen"/>
          <w:rFonts w:eastAsiaTheme="majorEastAsia"/>
        </w:rPr>
        <w:footnoteRef/>
      </w:r>
      <w:r w:rsidRPr="00004B97">
        <w:rPr>
          <w:lang w:val="en-US"/>
        </w:rPr>
        <w:t xml:space="preserve"> </w:t>
      </w:r>
      <w:r w:rsidR="00023A37">
        <w:rPr>
          <w:lang w:val="en-US"/>
        </w:rPr>
        <w:t xml:space="preserve">U.S. Const. </w:t>
      </w:r>
      <w:proofErr w:type="gramStart"/>
      <w:r w:rsidR="00023A37">
        <w:rPr>
          <w:lang w:val="en-US"/>
        </w:rPr>
        <w:t>amend</w:t>
      </w:r>
      <w:proofErr w:type="gramEnd"/>
      <w:r w:rsidR="00023A37">
        <w:rPr>
          <w:lang w:val="en-US"/>
        </w:rPr>
        <w:t>. XV, § 1</w:t>
      </w:r>
      <w:r w:rsidR="00BC27CA">
        <w:rPr>
          <w:lang w:val="en-US"/>
        </w:rPr>
        <w:t xml:space="preserve">: </w:t>
      </w:r>
      <w:r>
        <w:rPr>
          <w:lang w:val="en-US"/>
        </w:rPr>
        <w:t>„</w:t>
      </w:r>
      <w:r w:rsidRPr="00004B97">
        <w:rPr>
          <w:lang w:val="en-US"/>
        </w:rPr>
        <w:t xml:space="preserve">The right of citizens of the United States to vote shall not be denied or abridged by the United States or by any State on account of race, color, or previous condition of </w:t>
      </w:r>
      <w:proofErr w:type="gramStart"/>
      <w:r w:rsidRPr="00004B97">
        <w:rPr>
          <w:lang w:val="en-US"/>
        </w:rPr>
        <w:t>servitude.</w:t>
      </w:r>
      <w:r>
        <w:rPr>
          <w:lang w:val="en-US"/>
        </w:rPr>
        <w:t>“</w:t>
      </w:r>
      <w:proofErr w:type="gramEnd"/>
    </w:p>
  </w:footnote>
  <w:footnote w:id="2311">
    <w:p w14:paraId="4B1C46DC" w14:textId="77777777" w:rsidR="00074551" w:rsidRPr="000F67C6" w:rsidRDefault="00074551" w:rsidP="00074551">
      <w:pPr>
        <w:pStyle w:val="Funotentext"/>
        <w:rPr>
          <w:lang w:val="en-US"/>
        </w:rPr>
      </w:pPr>
      <w:r>
        <w:rPr>
          <w:rStyle w:val="Funotenzeichen"/>
          <w:rFonts w:eastAsiaTheme="majorEastAsia"/>
        </w:rPr>
        <w:footnoteRef/>
      </w:r>
      <w:r w:rsidRPr="000F67C6">
        <w:rPr>
          <w:lang w:val="en-US"/>
        </w:rPr>
        <w:t xml:space="preserve"> </w:t>
      </w:r>
      <w:r w:rsidRPr="00A15962">
        <w:rPr>
          <w:i/>
          <w:lang w:val="en-US"/>
        </w:rPr>
        <w:t>Neal v. Del.</w:t>
      </w:r>
      <w:r w:rsidRPr="000F67C6">
        <w:rPr>
          <w:lang w:val="en-US"/>
        </w:rPr>
        <w:t>, 103 U.S. 370</w:t>
      </w:r>
      <w:r w:rsidRPr="00EC5BEB">
        <w:rPr>
          <w:lang w:val="en-US"/>
        </w:rPr>
        <w:t xml:space="preserve"> = 26 L. Ed. </w:t>
      </w:r>
      <w:r w:rsidRPr="000F67C6">
        <w:rPr>
          <w:lang w:val="en-US"/>
        </w:rPr>
        <w:t>567</w:t>
      </w:r>
      <w:r>
        <w:rPr>
          <w:lang w:val="en-US"/>
        </w:rPr>
        <w:t xml:space="preserve"> = 1880 U.S. LEXIS </w:t>
      </w:r>
      <w:r w:rsidRPr="000F67C6">
        <w:rPr>
          <w:lang w:val="en-US"/>
        </w:rPr>
        <w:t>2129</w:t>
      </w:r>
      <w:r>
        <w:rPr>
          <w:lang w:val="en-US"/>
        </w:rPr>
        <w:t xml:space="preserve"> = 13 Otto </w:t>
      </w:r>
      <w:r w:rsidRPr="000F67C6">
        <w:rPr>
          <w:lang w:val="en-US"/>
        </w:rPr>
        <w:t>370 (1881)</w:t>
      </w:r>
      <w:r>
        <w:rPr>
          <w:lang w:val="en-US"/>
        </w:rPr>
        <w:t>.</w:t>
      </w:r>
    </w:p>
  </w:footnote>
  <w:footnote w:id="2312">
    <w:p w14:paraId="16D7338D" w14:textId="77777777" w:rsidR="00074551" w:rsidRPr="0091425A" w:rsidRDefault="00074551" w:rsidP="00074551">
      <w:pPr>
        <w:pStyle w:val="Funotentext"/>
        <w:rPr>
          <w:lang w:val="en-US"/>
        </w:rPr>
      </w:pPr>
      <w:r>
        <w:rPr>
          <w:rStyle w:val="Funotenzeichen"/>
          <w:rFonts w:eastAsiaTheme="majorEastAsia"/>
        </w:rPr>
        <w:footnoteRef/>
      </w:r>
      <w:r w:rsidRPr="0091425A">
        <w:rPr>
          <w:lang w:val="en-US"/>
        </w:rPr>
        <w:t xml:space="preserve"> </w:t>
      </w:r>
      <w:r w:rsidRPr="00A15962">
        <w:rPr>
          <w:i/>
          <w:lang w:val="en-US"/>
        </w:rPr>
        <w:t>Neal v. Del.</w:t>
      </w:r>
      <w:r w:rsidRPr="0091425A">
        <w:rPr>
          <w:lang w:val="en-US"/>
        </w:rPr>
        <w:t>, 103 U.S. 370, 405</w:t>
      </w:r>
      <w:r w:rsidRPr="00EC5BEB">
        <w:rPr>
          <w:lang w:val="en-US"/>
        </w:rPr>
        <w:t xml:space="preserve"> = 26 L. Ed. </w:t>
      </w:r>
      <w:r w:rsidRPr="0091425A">
        <w:rPr>
          <w:lang w:val="en-US"/>
        </w:rPr>
        <w:t>567, 577</w:t>
      </w:r>
      <w:r>
        <w:rPr>
          <w:lang w:val="en-US"/>
        </w:rPr>
        <w:t xml:space="preserve"> = 1880 U.S. LEXIS </w:t>
      </w:r>
      <w:r w:rsidRPr="0091425A">
        <w:rPr>
          <w:lang w:val="en-US"/>
        </w:rPr>
        <w:t>2129, 72</w:t>
      </w:r>
      <w:r>
        <w:rPr>
          <w:lang w:val="en-US"/>
        </w:rPr>
        <w:t xml:space="preserve"> = 13 Otto </w:t>
      </w:r>
      <w:r w:rsidRPr="0091425A">
        <w:rPr>
          <w:lang w:val="en-US"/>
        </w:rPr>
        <w:t>370 (1881)</w:t>
      </w:r>
      <w:r>
        <w:rPr>
          <w:lang w:val="en-US"/>
        </w:rPr>
        <w:t>.</w:t>
      </w:r>
    </w:p>
  </w:footnote>
  <w:footnote w:id="2313">
    <w:p w14:paraId="58E16297" w14:textId="77777777" w:rsidR="00074551" w:rsidRPr="0091425A" w:rsidRDefault="00074551" w:rsidP="00074551">
      <w:pPr>
        <w:pStyle w:val="Funotentext"/>
        <w:rPr>
          <w:lang w:val="en-US"/>
        </w:rPr>
      </w:pPr>
      <w:r>
        <w:rPr>
          <w:rStyle w:val="Funotenzeichen"/>
          <w:rFonts w:eastAsiaTheme="majorEastAsia"/>
        </w:rPr>
        <w:footnoteRef/>
      </w:r>
      <w:r w:rsidRPr="0091425A">
        <w:rPr>
          <w:lang w:val="en-US"/>
        </w:rPr>
        <w:t xml:space="preserve"> </w:t>
      </w:r>
      <w:r w:rsidRPr="00A15962">
        <w:rPr>
          <w:i/>
          <w:lang w:val="en-US"/>
        </w:rPr>
        <w:t>Neal v. Del.</w:t>
      </w:r>
      <w:r w:rsidRPr="0091425A">
        <w:rPr>
          <w:lang w:val="en-US"/>
        </w:rPr>
        <w:t>, 103 U.S. 370, 405</w:t>
      </w:r>
      <w:r w:rsidRPr="00EC5BEB">
        <w:rPr>
          <w:lang w:val="en-US"/>
        </w:rPr>
        <w:t xml:space="preserve"> = 26 L. Ed. </w:t>
      </w:r>
      <w:r w:rsidRPr="0091425A">
        <w:rPr>
          <w:lang w:val="en-US"/>
        </w:rPr>
        <w:t>567, 577</w:t>
      </w:r>
      <w:r>
        <w:rPr>
          <w:lang w:val="en-US"/>
        </w:rPr>
        <w:t xml:space="preserve"> = 1880 U.S. LEXIS </w:t>
      </w:r>
      <w:r w:rsidRPr="0091425A">
        <w:rPr>
          <w:lang w:val="en-US"/>
        </w:rPr>
        <w:t>2129, 72</w:t>
      </w:r>
      <w:r>
        <w:rPr>
          <w:lang w:val="en-US"/>
        </w:rPr>
        <w:t xml:space="preserve"> = 13 Otto </w:t>
      </w:r>
      <w:r w:rsidRPr="0091425A">
        <w:rPr>
          <w:lang w:val="en-US"/>
        </w:rPr>
        <w:t>370 (1881)</w:t>
      </w:r>
      <w:r>
        <w:rPr>
          <w:lang w:val="en-US"/>
        </w:rPr>
        <w:t>.</w:t>
      </w:r>
    </w:p>
  </w:footnote>
  <w:footnote w:id="2314">
    <w:p w14:paraId="599027CD" w14:textId="77777777" w:rsidR="00074551" w:rsidRPr="000F67C6" w:rsidRDefault="00074551" w:rsidP="00074551">
      <w:pPr>
        <w:pStyle w:val="Funotentext"/>
        <w:rPr>
          <w:lang w:val="en-US"/>
        </w:rPr>
      </w:pPr>
      <w:r>
        <w:rPr>
          <w:rStyle w:val="Funotenzeichen"/>
          <w:rFonts w:eastAsiaTheme="majorEastAsia"/>
        </w:rPr>
        <w:footnoteRef/>
      </w:r>
      <w:r w:rsidRPr="000F67C6">
        <w:rPr>
          <w:lang w:val="en-US"/>
        </w:rPr>
        <w:t xml:space="preserve"> </w:t>
      </w:r>
      <w:r w:rsidRPr="00A15962">
        <w:rPr>
          <w:i/>
          <w:lang w:val="en-US"/>
        </w:rPr>
        <w:t>Neal v. Del.</w:t>
      </w:r>
      <w:r w:rsidRPr="000F67C6">
        <w:rPr>
          <w:lang w:val="en-US"/>
        </w:rPr>
        <w:t>, 103 U.S. 370</w:t>
      </w:r>
      <w:r w:rsidRPr="00EC5BEB">
        <w:rPr>
          <w:lang w:val="en-US"/>
        </w:rPr>
        <w:t xml:space="preserve"> = 26 L. Ed. </w:t>
      </w:r>
      <w:r w:rsidRPr="000F67C6">
        <w:rPr>
          <w:lang w:val="en-US"/>
        </w:rPr>
        <w:t>567</w:t>
      </w:r>
      <w:r>
        <w:rPr>
          <w:lang w:val="en-US"/>
        </w:rPr>
        <w:t xml:space="preserve"> = 1880 U.S. LEXIS </w:t>
      </w:r>
      <w:r w:rsidRPr="000F67C6">
        <w:rPr>
          <w:lang w:val="en-US"/>
        </w:rPr>
        <w:t>2129</w:t>
      </w:r>
      <w:r>
        <w:rPr>
          <w:lang w:val="en-US"/>
        </w:rPr>
        <w:t xml:space="preserve"> = 13 Otto </w:t>
      </w:r>
      <w:r w:rsidRPr="000F67C6">
        <w:rPr>
          <w:lang w:val="en-US"/>
        </w:rPr>
        <w:t>370 (1881)</w:t>
      </w:r>
      <w:r>
        <w:rPr>
          <w:lang w:val="en-US"/>
        </w:rPr>
        <w:t>.</w:t>
      </w:r>
    </w:p>
  </w:footnote>
  <w:footnote w:id="2315">
    <w:p w14:paraId="0A53C15D" w14:textId="77777777" w:rsidR="00074551" w:rsidRPr="000F67C6" w:rsidRDefault="00074551" w:rsidP="00074551">
      <w:pPr>
        <w:pStyle w:val="Funotentext"/>
        <w:rPr>
          <w:lang w:val="en-US"/>
        </w:rPr>
      </w:pPr>
      <w:r>
        <w:rPr>
          <w:rStyle w:val="Funotenzeichen"/>
          <w:rFonts w:eastAsiaTheme="majorEastAsia"/>
        </w:rPr>
        <w:footnoteRef/>
      </w:r>
      <w:r w:rsidRPr="000F67C6">
        <w:rPr>
          <w:lang w:val="en-US"/>
        </w:rPr>
        <w:t xml:space="preserve"> </w:t>
      </w:r>
      <w:r>
        <w:rPr>
          <w:lang w:val="en-US"/>
        </w:rPr>
        <w:t>„</w:t>
      </w:r>
      <w:r w:rsidRPr="00102002">
        <w:rPr>
          <w:lang w:val="en-US"/>
        </w:rPr>
        <w:t>The third clause, which declares that no State shall deprive any person of life, liberty, or property without due process of law, has</w:t>
      </w:r>
      <w:r>
        <w:rPr>
          <w:lang w:val="en-US"/>
        </w:rPr>
        <w:t xml:space="preserve"> </w:t>
      </w:r>
      <w:r w:rsidRPr="00102002">
        <w:rPr>
          <w:lang w:val="en-US"/>
        </w:rPr>
        <w:t xml:space="preserve">no reference to this </w:t>
      </w:r>
      <w:proofErr w:type="gramStart"/>
      <w:r w:rsidRPr="00102002">
        <w:rPr>
          <w:lang w:val="en-US"/>
        </w:rPr>
        <w:t>subject</w:t>
      </w:r>
      <w:r>
        <w:rPr>
          <w:lang w:val="en-US"/>
        </w:rPr>
        <w:t>“</w:t>
      </w:r>
      <w:proofErr w:type="gramEnd"/>
      <w:r>
        <w:rPr>
          <w:lang w:val="en-US"/>
        </w:rPr>
        <w:t xml:space="preserve">, </w:t>
      </w:r>
      <w:r w:rsidRPr="00A15962">
        <w:rPr>
          <w:i/>
          <w:lang w:val="en-US"/>
        </w:rPr>
        <w:t>Neal v. Del.</w:t>
      </w:r>
      <w:r w:rsidRPr="00102002">
        <w:rPr>
          <w:lang w:val="en-US"/>
        </w:rPr>
        <w:t>, 103 U.S. 370, 406</w:t>
      </w:r>
      <w:r>
        <w:rPr>
          <w:lang w:val="en-US"/>
        </w:rPr>
        <w:t>–</w:t>
      </w:r>
      <w:r w:rsidRPr="00102002">
        <w:rPr>
          <w:lang w:val="en-US"/>
        </w:rPr>
        <w:t>407</w:t>
      </w:r>
      <w:r w:rsidRPr="00EC5BEB">
        <w:rPr>
          <w:lang w:val="en-US"/>
        </w:rPr>
        <w:t xml:space="preserve"> = 26 L. Ed. </w:t>
      </w:r>
      <w:r w:rsidRPr="00102002">
        <w:rPr>
          <w:lang w:val="en-US"/>
        </w:rPr>
        <w:t>567, 577</w:t>
      </w:r>
      <w:r>
        <w:rPr>
          <w:lang w:val="en-US"/>
        </w:rPr>
        <w:t xml:space="preserve"> = 1880 U.S. LEXIS </w:t>
      </w:r>
      <w:r w:rsidRPr="00102002">
        <w:rPr>
          <w:lang w:val="en-US"/>
        </w:rPr>
        <w:t>2129, 74</w:t>
      </w:r>
      <w:r>
        <w:rPr>
          <w:lang w:val="en-US"/>
        </w:rPr>
        <w:t>–</w:t>
      </w:r>
      <w:r w:rsidRPr="00102002">
        <w:rPr>
          <w:lang w:val="en-US"/>
        </w:rPr>
        <w:t>75</w:t>
      </w:r>
      <w:r>
        <w:rPr>
          <w:lang w:val="en-US"/>
        </w:rPr>
        <w:t xml:space="preserve"> = 13 Otto </w:t>
      </w:r>
      <w:r w:rsidRPr="00102002">
        <w:rPr>
          <w:lang w:val="en-US"/>
        </w:rPr>
        <w:t>370 (1881)</w:t>
      </w:r>
      <w:r>
        <w:rPr>
          <w:lang w:val="en-US"/>
        </w:rPr>
        <w:t>.</w:t>
      </w:r>
    </w:p>
  </w:footnote>
  <w:footnote w:id="2316">
    <w:p w14:paraId="4A2DB0C0" w14:textId="77777777" w:rsidR="00074551" w:rsidRPr="00102002" w:rsidRDefault="00074551" w:rsidP="00074551">
      <w:pPr>
        <w:pStyle w:val="Funotentext"/>
        <w:rPr>
          <w:lang w:val="en-US"/>
        </w:rPr>
      </w:pPr>
      <w:r>
        <w:rPr>
          <w:rStyle w:val="Funotenzeichen"/>
          <w:rFonts w:eastAsiaTheme="majorEastAsia"/>
        </w:rPr>
        <w:footnoteRef/>
      </w:r>
      <w:r w:rsidRPr="00102002">
        <w:rPr>
          <w:lang w:val="en-US"/>
        </w:rPr>
        <w:t xml:space="preserve"> </w:t>
      </w:r>
      <w:r w:rsidRPr="00A15962">
        <w:rPr>
          <w:i/>
          <w:lang w:val="en-US"/>
        </w:rPr>
        <w:t>Neal v. Del.</w:t>
      </w:r>
      <w:r w:rsidRPr="00102002">
        <w:rPr>
          <w:lang w:val="en-US"/>
        </w:rPr>
        <w:t>, 103 U.S. 370, 407</w:t>
      </w:r>
      <w:r w:rsidRPr="00EC5BEB">
        <w:rPr>
          <w:lang w:val="en-US"/>
        </w:rPr>
        <w:t xml:space="preserve"> = 26 L. Ed. </w:t>
      </w:r>
      <w:r w:rsidRPr="00102002">
        <w:rPr>
          <w:lang w:val="en-US"/>
        </w:rPr>
        <w:t>567, 577</w:t>
      </w:r>
      <w:r>
        <w:rPr>
          <w:lang w:val="en-US"/>
        </w:rPr>
        <w:t xml:space="preserve"> = 1880 U.S. LEXIS </w:t>
      </w:r>
      <w:r w:rsidRPr="00102002">
        <w:rPr>
          <w:lang w:val="en-US"/>
        </w:rPr>
        <w:t>2129, 75</w:t>
      </w:r>
      <w:r>
        <w:rPr>
          <w:lang w:val="en-US"/>
        </w:rPr>
        <w:t xml:space="preserve"> = 13 Otto </w:t>
      </w:r>
      <w:r w:rsidRPr="00102002">
        <w:rPr>
          <w:lang w:val="en-US"/>
        </w:rPr>
        <w:t>370 (1881)</w:t>
      </w:r>
      <w:r>
        <w:rPr>
          <w:lang w:val="en-US"/>
        </w:rPr>
        <w:t>.</w:t>
      </w:r>
    </w:p>
  </w:footnote>
  <w:footnote w:id="2317">
    <w:p w14:paraId="55E296C8" w14:textId="77777777" w:rsidR="00074551" w:rsidRPr="00102002" w:rsidRDefault="00074551" w:rsidP="00074551">
      <w:pPr>
        <w:pStyle w:val="Funotentext"/>
        <w:rPr>
          <w:lang w:val="en-US"/>
        </w:rPr>
      </w:pPr>
      <w:r>
        <w:rPr>
          <w:rStyle w:val="Funotenzeichen"/>
          <w:rFonts w:eastAsiaTheme="majorEastAsia"/>
        </w:rPr>
        <w:footnoteRef/>
      </w:r>
      <w:r w:rsidRPr="00102002">
        <w:rPr>
          <w:lang w:val="en-US"/>
        </w:rPr>
        <w:t xml:space="preserve"> </w:t>
      </w:r>
      <w:r w:rsidRPr="00A15962">
        <w:rPr>
          <w:i/>
          <w:lang w:val="en-US"/>
        </w:rPr>
        <w:t>Neal v. Del.</w:t>
      </w:r>
      <w:r w:rsidRPr="00102002">
        <w:rPr>
          <w:lang w:val="en-US"/>
        </w:rPr>
        <w:t>, 103 U.S. 370, 408</w:t>
      </w:r>
      <w:r w:rsidRPr="00EC5BEB">
        <w:rPr>
          <w:lang w:val="en-US"/>
        </w:rPr>
        <w:t xml:space="preserve"> = 26 L. Ed. </w:t>
      </w:r>
      <w:r w:rsidRPr="00102002">
        <w:rPr>
          <w:lang w:val="en-US"/>
        </w:rPr>
        <w:t>567, 578</w:t>
      </w:r>
      <w:r>
        <w:rPr>
          <w:lang w:val="en-US"/>
        </w:rPr>
        <w:t xml:space="preserve"> = 1880 U.S. LEXIS </w:t>
      </w:r>
      <w:r w:rsidRPr="00102002">
        <w:rPr>
          <w:lang w:val="en-US"/>
        </w:rPr>
        <w:t>2129, 77</w:t>
      </w:r>
      <w:r>
        <w:rPr>
          <w:lang w:val="en-US"/>
        </w:rPr>
        <w:t xml:space="preserve"> = 13 Otto </w:t>
      </w:r>
      <w:r w:rsidRPr="00102002">
        <w:rPr>
          <w:lang w:val="en-US"/>
        </w:rPr>
        <w:t>370 (1881)</w:t>
      </w:r>
      <w:r>
        <w:rPr>
          <w:lang w:val="en-US"/>
        </w:rPr>
        <w:t>.</w:t>
      </w:r>
    </w:p>
  </w:footnote>
  <w:footnote w:id="2318">
    <w:p w14:paraId="70BF591C" w14:textId="77777777" w:rsidR="00074551" w:rsidRPr="00021B9E" w:rsidRDefault="00074551" w:rsidP="00074551">
      <w:pPr>
        <w:pStyle w:val="Funotentext"/>
        <w:rPr>
          <w:lang w:val="en-US"/>
        </w:rPr>
      </w:pPr>
      <w:r>
        <w:rPr>
          <w:rStyle w:val="Funotenzeichen"/>
          <w:rFonts w:eastAsiaTheme="majorEastAsia"/>
        </w:rPr>
        <w:footnoteRef/>
      </w:r>
      <w:r w:rsidRPr="00021B9E">
        <w:rPr>
          <w:lang w:val="en-US"/>
        </w:rPr>
        <w:t xml:space="preserve"> </w:t>
      </w:r>
      <w:r w:rsidRPr="00A15962">
        <w:rPr>
          <w:i/>
          <w:lang w:val="en-US"/>
        </w:rPr>
        <w:t>Neal v. Del.</w:t>
      </w:r>
      <w:r w:rsidRPr="00021B9E">
        <w:rPr>
          <w:lang w:val="en-US"/>
        </w:rPr>
        <w:t>, 103 U.S. 370, 408</w:t>
      </w:r>
      <w:r w:rsidRPr="00EC5BEB">
        <w:rPr>
          <w:lang w:val="en-US"/>
        </w:rPr>
        <w:t xml:space="preserve"> = 26 L. Ed. </w:t>
      </w:r>
      <w:r w:rsidRPr="00021B9E">
        <w:rPr>
          <w:lang w:val="en-US"/>
        </w:rPr>
        <w:t>567, 578</w:t>
      </w:r>
      <w:r>
        <w:rPr>
          <w:lang w:val="en-US"/>
        </w:rPr>
        <w:t xml:space="preserve"> = 1880 U.S. LEXIS </w:t>
      </w:r>
      <w:r w:rsidRPr="00021B9E">
        <w:rPr>
          <w:lang w:val="en-US"/>
        </w:rPr>
        <w:t>2129, 78</w:t>
      </w:r>
      <w:r>
        <w:rPr>
          <w:lang w:val="en-US"/>
        </w:rPr>
        <w:t xml:space="preserve"> = 13 Otto </w:t>
      </w:r>
      <w:r w:rsidRPr="00021B9E">
        <w:rPr>
          <w:lang w:val="en-US"/>
        </w:rPr>
        <w:t>370 (1881)</w:t>
      </w:r>
      <w:r>
        <w:rPr>
          <w:lang w:val="en-US"/>
        </w:rPr>
        <w:t>.</w:t>
      </w:r>
    </w:p>
  </w:footnote>
  <w:footnote w:id="2319">
    <w:p w14:paraId="7FB54CE6" w14:textId="6DDAA85F" w:rsidR="00EF70A1" w:rsidRDefault="00EF70A1">
      <w:pPr>
        <w:pStyle w:val="Funotentext"/>
      </w:pPr>
      <w:r>
        <w:rPr>
          <w:rStyle w:val="Funotenzeichen"/>
        </w:rPr>
        <w:footnoteRef/>
      </w:r>
      <w:r>
        <w:t xml:space="preserve"> </w:t>
      </w:r>
      <w:r w:rsidRPr="00EF70A1">
        <w:t>Vgl. bereits oben. Die erneute Aufnahme erfolgt wegen der abweichenden systematischen Einordnung: Hier steht das Wahlrecht als Mittel politischer Gleichstellung und zur Sicherung des </w:t>
      </w:r>
      <w:proofErr w:type="spellStart"/>
      <w:r w:rsidRPr="00EF70A1">
        <w:rPr>
          <w:i/>
          <w:iCs/>
        </w:rPr>
        <w:t>pursuit</w:t>
      </w:r>
      <w:proofErr w:type="spellEnd"/>
      <w:r w:rsidRPr="00EF70A1">
        <w:rPr>
          <w:i/>
          <w:iCs/>
        </w:rPr>
        <w:t xml:space="preserve"> of </w:t>
      </w:r>
      <w:proofErr w:type="spellStart"/>
      <w:r w:rsidRPr="00EF70A1">
        <w:rPr>
          <w:i/>
          <w:iCs/>
        </w:rPr>
        <w:t>happiness</w:t>
      </w:r>
      <w:proofErr w:type="spellEnd"/>
      <w:r w:rsidRPr="00EF70A1">
        <w:t> im Rahmen rassischer Wahlrechtsbeschränkungen im Vordergrund.</w:t>
      </w:r>
    </w:p>
  </w:footnote>
  <w:footnote w:id="2320">
    <w:p w14:paraId="77CA7AEF" w14:textId="77777777" w:rsidR="00074551" w:rsidRPr="00AC5DB4" w:rsidRDefault="00074551" w:rsidP="00074551">
      <w:pPr>
        <w:pStyle w:val="Funotentext"/>
        <w:rPr>
          <w:lang w:val="en-US"/>
        </w:rPr>
      </w:pPr>
      <w:r>
        <w:rPr>
          <w:rStyle w:val="Funotenzeichen"/>
          <w:rFonts w:eastAsiaTheme="majorEastAsia"/>
        </w:rPr>
        <w:footnoteRef/>
      </w:r>
      <w:r w:rsidRPr="00AC5DB4">
        <w:rPr>
          <w:lang w:val="en-US"/>
        </w:rPr>
        <w:t xml:space="preserve"> </w:t>
      </w:r>
      <w:r w:rsidRPr="00A15962">
        <w:rPr>
          <w:i/>
          <w:lang w:val="en-US"/>
        </w:rPr>
        <w:t>United States v. Reese</w:t>
      </w:r>
      <w:r w:rsidRPr="00AC5DB4">
        <w:rPr>
          <w:lang w:val="en-US"/>
        </w:rPr>
        <w:t>, 92 U.S. 214, 218</w:t>
      </w:r>
      <w:r>
        <w:rPr>
          <w:lang w:val="en-US"/>
        </w:rPr>
        <w:t xml:space="preserve"> = 23 L. Ed. </w:t>
      </w:r>
      <w:r w:rsidRPr="00AC5DB4">
        <w:rPr>
          <w:lang w:val="en-US"/>
        </w:rPr>
        <w:t>563, 564</w:t>
      </w:r>
      <w:r>
        <w:rPr>
          <w:lang w:val="en-US"/>
        </w:rPr>
        <w:t xml:space="preserve"> = 1875 U.S. LEXIS </w:t>
      </w:r>
      <w:r w:rsidRPr="00AC5DB4">
        <w:rPr>
          <w:lang w:val="en-US"/>
        </w:rPr>
        <w:t>1751, 7</w:t>
      </w:r>
      <w:r>
        <w:rPr>
          <w:lang w:val="en-US"/>
        </w:rPr>
        <w:t xml:space="preserve"> = 2 Otto </w:t>
      </w:r>
      <w:r w:rsidRPr="00AC5DB4">
        <w:rPr>
          <w:lang w:val="en-US"/>
        </w:rPr>
        <w:t>214 (1876)</w:t>
      </w:r>
      <w:r>
        <w:rPr>
          <w:lang w:val="en-US"/>
        </w:rPr>
        <w:t>.</w:t>
      </w:r>
    </w:p>
  </w:footnote>
  <w:footnote w:id="2321">
    <w:p w14:paraId="2DDB1517" w14:textId="77777777" w:rsidR="00074551" w:rsidRPr="00317BDA" w:rsidRDefault="00074551" w:rsidP="00074551">
      <w:pPr>
        <w:pStyle w:val="Funotentext"/>
        <w:rPr>
          <w:lang w:val="en-US"/>
        </w:rPr>
      </w:pPr>
      <w:r>
        <w:rPr>
          <w:rStyle w:val="Funotenzeichen"/>
          <w:rFonts w:eastAsiaTheme="majorEastAsia"/>
        </w:rPr>
        <w:footnoteRef/>
      </w:r>
      <w:r w:rsidRPr="00317BDA">
        <w:rPr>
          <w:lang w:val="en-US"/>
        </w:rPr>
        <w:t xml:space="preserve"> </w:t>
      </w:r>
      <w:r w:rsidRPr="00A15962">
        <w:rPr>
          <w:i/>
          <w:lang w:val="en-US"/>
        </w:rPr>
        <w:t>United States v. Reese</w:t>
      </w:r>
      <w:r w:rsidRPr="00317BDA">
        <w:rPr>
          <w:lang w:val="en-US"/>
        </w:rPr>
        <w:t>, 92 U.S. 214, 248</w:t>
      </w:r>
      <w:r>
        <w:rPr>
          <w:lang w:val="en-US"/>
        </w:rPr>
        <w:t xml:space="preserve"> = 23 L. Ed. </w:t>
      </w:r>
      <w:r w:rsidRPr="00317BDA">
        <w:rPr>
          <w:lang w:val="en-US"/>
        </w:rPr>
        <w:t>563, 575</w:t>
      </w:r>
      <w:r>
        <w:rPr>
          <w:lang w:val="en-US"/>
        </w:rPr>
        <w:t xml:space="preserve"> = 1875 U.S. LEXIS </w:t>
      </w:r>
      <w:r w:rsidRPr="00317BDA">
        <w:rPr>
          <w:lang w:val="en-US"/>
        </w:rPr>
        <w:t>1751, 67</w:t>
      </w:r>
      <w:r>
        <w:rPr>
          <w:lang w:val="en-US"/>
        </w:rPr>
        <w:t xml:space="preserve"> = 2 Otto </w:t>
      </w:r>
      <w:r w:rsidRPr="00317BDA">
        <w:rPr>
          <w:lang w:val="en-US"/>
        </w:rPr>
        <w:t>214 (1876)</w:t>
      </w:r>
      <w:r>
        <w:rPr>
          <w:lang w:val="en-US"/>
        </w:rPr>
        <w:t>.</w:t>
      </w:r>
    </w:p>
  </w:footnote>
  <w:footnote w:id="2322">
    <w:p w14:paraId="48C4ED58" w14:textId="77777777" w:rsidR="00074551" w:rsidRPr="007A4FBA" w:rsidRDefault="00074551" w:rsidP="00074551">
      <w:pPr>
        <w:pStyle w:val="Funotentext"/>
        <w:ind w:left="227" w:hanging="227"/>
        <w:rPr>
          <w:lang w:val="en-US"/>
        </w:rPr>
      </w:pPr>
      <w:r>
        <w:rPr>
          <w:rStyle w:val="Funotenzeichen"/>
          <w:rFonts w:eastAsiaTheme="majorEastAsia"/>
        </w:rPr>
        <w:footnoteRef/>
      </w:r>
      <w:r w:rsidRPr="007A4FBA">
        <w:rPr>
          <w:lang w:val="en-US"/>
        </w:rPr>
        <w:t xml:space="preserve"> </w:t>
      </w:r>
      <w:r w:rsidRPr="00D83E4F">
        <w:rPr>
          <w:i/>
          <w:lang w:val="en-US"/>
        </w:rPr>
        <w:t>Yick Wo v. Hopkins</w:t>
      </w:r>
      <w:r w:rsidRPr="007A4FBA">
        <w:rPr>
          <w:lang w:val="en-US"/>
        </w:rPr>
        <w:t>, 118 U.S. 356, 370</w:t>
      </w:r>
      <w:r w:rsidRPr="00EC5BEB">
        <w:rPr>
          <w:lang w:val="en-US"/>
        </w:rPr>
        <w:t xml:space="preserve"> = 6 S. Ct. </w:t>
      </w:r>
      <w:r w:rsidRPr="007A4FBA">
        <w:rPr>
          <w:lang w:val="en-US"/>
        </w:rPr>
        <w:t>1064, 1071</w:t>
      </w:r>
      <w:r>
        <w:rPr>
          <w:lang w:val="en-US"/>
        </w:rPr>
        <w:t xml:space="preserve"> = 30 L. Ed. </w:t>
      </w:r>
      <w:r w:rsidRPr="007A4FBA">
        <w:rPr>
          <w:lang w:val="en-US"/>
        </w:rPr>
        <w:t>220, 226</w:t>
      </w:r>
      <w:r w:rsidRPr="00EC5BEB">
        <w:rPr>
          <w:lang w:val="en-US"/>
        </w:rPr>
        <w:t xml:space="preserve"> = 1886 U.S. LEXIS </w:t>
      </w:r>
      <w:r w:rsidRPr="007A4FBA">
        <w:rPr>
          <w:lang w:val="en-US"/>
        </w:rPr>
        <w:t>1938, 28 (1886)</w:t>
      </w:r>
      <w:r>
        <w:rPr>
          <w:lang w:val="en-US"/>
        </w:rPr>
        <w:t>.</w:t>
      </w:r>
    </w:p>
  </w:footnote>
  <w:footnote w:id="2323">
    <w:p w14:paraId="45D22894" w14:textId="77777777" w:rsidR="00074551" w:rsidRPr="00F34447" w:rsidRDefault="00074551" w:rsidP="00074551">
      <w:pPr>
        <w:pStyle w:val="Funotentext"/>
        <w:ind w:left="227" w:hanging="227"/>
        <w:rPr>
          <w:lang w:val="en-US"/>
        </w:rPr>
      </w:pPr>
      <w:r>
        <w:rPr>
          <w:rStyle w:val="Funotenzeichen"/>
          <w:rFonts w:eastAsiaTheme="majorEastAsia"/>
        </w:rPr>
        <w:footnoteRef/>
      </w:r>
      <w:r w:rsidRPr="00F34447">
        <w:rPr>
          <w:lang w:val="en-US"/>
        </w:rPr>
        <w:t xml:space="preserve"> </w:t>
      </w:r>
      <w:r w:rsidRPr="00D83E4F">
        <w:rPr>
          <w:i/>
          <w:lang w:val="en-US"/>
        </w:rPr>
        <w:t>Yick Wo v. Hopkins</w:t>
      </w:r>
      <w:r w:rsidRPr="00F34447">
        <w:rPr>
          <w:lang w:val="en-US"/>
        </w:rPr>
        <w:t>, 118 U.S. 356, 365</w:t>
      </w:r>
      <w:r w:rsidRPr="00EC5BEB">
        <w:rPr>
          <w:lang w:val="en-US"/>
        </w:rPr>
        <w:t xml:space="preserve"> = 6 S. Ct. </w:t>
      </w:r>
      <w:r w:rsidRPr="00F34447">
        <w:rPr>
          <w:lang w:val="en-US"/>
        </w:rPr>
        <w:t>1064, 1068</w:t>
      </w:r>
      <w:r>
        <w:rPr>
          <w:lang w:val="en-US"/>
        </w:rPr>
        <w:t xml:space="preserve"> = 30 L. Ed. </w:t>
      </w:r>
      <w:r w:rsidRPr="00F34447">
        <w:rPr>
          <w:lang w:val="en-US"/>
        </w:rPr>
        <w:t>220, 225</w:t>
      </w:r>
      <w:r w:rsidRPr="00EC5BEB">
        <w:rPr>
          <w:lang w:val="en-US"/>
        </w:rPr>
        <w:t xml:space="preserve"> = 1886 U.S. LEXIS </w:t>
      </w:r>
      <w:r w:rsidRPr="00F34447">
        <w:rPr>
          <w:lang w:val="en-US"/>
        </w:rPr>
        <w:t>1938, 14 (1886)</w:t>
      </w:r>
      <w:r>
        <w:rPr>
          <w:lang w:val="en-US"/>
        </w:rPr>
        <w:t>.</w:t>
      </w:r>
    </w:p>
  </w:footnote>
  <w:footnote w:id="2324">
    <w:p w14:paraId="2A6B86EA" w14:textId="77777777" w:rsidR="00074551" w:rsidRPr="00922156" w:rsidRDefault="00074551" w:rsidP="00074551">
      <w:pPr>
        <w:pStyle w:val="Funotentext"/>
        <w:rPr>
          <w:lang w:val="en-US"/>
        </w:rPr>
      </w:pPr>
      <w:r>
        <w:rPr>
          <w:rStyle w:val="Funotenzeichen"/>
          <w:rFonts w:eastAsiaTheme="majorEastAsia"/>
        </w:rPr>
        <w:footnoteRef/>
      </w:r>
      <w:r w:rsidRPr="00922156">
        <w:rPr>
          <w:lang w:val="en-US"/>
        </w:rPr>
        <w:t xml:space="preserve"> </w:t>
      </w:r>
      <w:r w:rsidRPr="00A15962">
        <w:rPr>
          <w:i/>
          <w:lang w:val="en-US"/>
        </w:rPr>
        <w:t>United States v. Reese</w:t>
      </w:r>
      <w:r w:rsidRPr="00922156">
        <w:rPr>
          <w:lang w:val="en-US"/>
        </w:rPr>
        <w:t>, 92 U.S. 214, 217</w:t>
      </w:r>
      <w:r>
        <w:rPr>
          <w:lang w:val="en-US"/>
        </w:rPr>
        <w:t xml:space="preserve"> = 23 L. Ed. </w:t>
      </w:r>
      <w:r w:rsidRPr="00922156">
        <w:rPr>
          <w:lang w:val="en-US"/>
        </w:rPr>
        <w:t>563, 564</w:t>
      </w:r>
      <w:r>
        <w:rPr>
          <w:lang w:val="en-US"/>
        </w:rPr>
        <w:t xml:space="preserve"> = 1875 U.S. LEXIS </w:t>
      </w:r>
      <w:r w:rsidRPr="00922156">
        <w:rPr>
          <w:lang w:val="en-US"/>
        </w:rPr>
        <w:t>1751, 7</w:t>
      </w:r>
      <w:r>
        <w:rPr>
          <w:lang w:val="en-US"/>
        </w:rPr>
        <w:t xml:space="preserve"> = 2 Otto </w:t>
      </w:r>
      <w:r w:rsidRPr="00922156">
        <w:rPr>
          <w:lang w:val="en-US"/>
        </w:rPr>
        <w:t>214 (1876)</w:t>
      </w:r>
      <w:r>
        <w:rPr>
          <w:lang w:val="en-US"/>
        </w:rPr>
        <w:t>.</w:t>
      </w:r>
    </w:p>
  </w:footnote>
  <w:footnote w:id="2325">
    <w:p w14:paraId="7A238DFB" w14:textId="77777777" w:rsidR="00074551" w:rsidRPr="00625B92" w:rsidRDefault="00074551" w:rsidP="00074551">
      <w:pPr>
        <w:pStyle w:val="Funotentext"/>
        <w:rPr>
          <w:lang w:val="en-US"/>
        </w:rPr>
      </w:pPr>
      <w:r>
        <w:rPr>
          <w:rStyle w:val="Funotenzeichen"/>
          <w:rFonts w:eastAsiaTheme="majorEastAsia"/>
        </w:rPr>
        <w:footnoteRef/>
      </w:r>
      <w:r w:rsidRPr="00625B92">
        <w:rPr>
          <w:lang w:val="en-US"/>
        </w:rPr>
        <w:t xml:space="preserve"> </w:t>
      </w:r>
      <w:r w:rsidRPr="00D83E4F">
        <w:rPr>
          <w:i/>
          <w:lang w:val="en-US"/>
        </w:rPr>
        <w:t>Yick Wo v. Hopkins</w:t>
      </w:r>
      <w:r w:rsidRPr="00625B92">
        <w:rPr>
          <w:lang w:val="en-US"/>
        </w:rPr>
        <w:t>, 118 U.S. 356, 370</w:t>
      </w:r>
      <w:r w:rsidRPr="00EC5BEB">
        <w:rPr>
          <w:lang w:val="en-US"/>
        </w:rPr>
        <w:t xml:space="preserve"> = 6 S. Ct. </w:t>
      </w:r>
      <w:r w:rsidRPr="00625B92">
        <w:rPr>
          <w:lang w:val="en-US"/>
        </w:rPr>
        <w:t>1064, 1071</w:t>
      </w:r>
      <w:r>
        <w:rPr>
          <w:lang w:val="en-US"/>
        </w:rPr>
        <w:t xml:space="preserve"> = 30 L. Ed. </w:t>
      </w:r>
      <w:r w:rsidRPr="00625B92">
        <w:rPr>
          <w:lang w:val="en-US"/>
        </w:rPr>
        <w:t>220, 226</w:t>
      </w:r>
      <w:r w:rsidRPr="00EC5BEB">
        <w:rPr>
          <w:lang w:val="en-US"/>
        </w:rPr>
        <w:t xml:space="preserve"> = 1886 U.S. LEXIS </w:t>
      </w:r>
      <w:r w:rsidRPr="00625B92">
        <w:rPr>
          <w:lang w:val="en-US"/>
        </w:rPr>
        <w:t>1938, 28 (1886)</w:t>
      </w:r>
      <w:r>
        <w:rPr>
          <w:lang w:val="en-US"/>
        </w:rPr>
        <w:t>.</w:t>
      </w:r>
    </w:p>
  </w:footnote>
  <w:footnote w:id="2326">
    <w:p w14:paraId="410AC142" w14:textId="77777777" w:rsidR="00074551" w:rsidRPr="00625B92" w:rsidRDefault="00074551" w:rsidP="00074551">
      <w:pPr>
        <w:pStyle w:val="Funotentext"/>
        <w:rPr>
          <w:lang w:val="en-US"/>
        </w:rPr>
      </w:pPr>
      <w:r>
        <w:rPr>
          <w:rStyle w:val="Funotenzeichen"/>
          <w:rFonts w:eastAsiaTheme="majorEastAsia"/>
        </w:rPr>
        <w:footnoteRef/>
      </w:r>
      <w:r w:rsidRPr="00625B92">
        <w:rPr>
          <w:lang w:val="en-US"/>
        </w:rPr>
        <w:t xml:space="preserve"> </w:t>
      </w:r>
      <w:r w:rsidRPr="00D83E4F">
        <w:rPr>
          <w:i/>
          <w:lang w:val="en-US"/>
        </w:rPr>
        <w:t>Yick Wo v. Hopkins</w:t>
      </w:r>
      <w:r w:rsidRPr="00625B92">
        <w:rPr>
          <w:lang w:val="en-US"/>
        </w:rPr>
        <w:t>, 118 U.S. 356, 370</w:t>
      </w:r>
      <w:r w:rsidRPr="00EC5BEB">
        <w:rPr>
          <w:lang w:val="en-US"/>
        </w:rPr>
        <w:t xml:space="preserve"> = 6 S. Ct. </w:t>
      </w:r>
      <w:r w:rsidRPr="00625B92">
        <w:rPr>
          <w:lang w:val="en-US"/>
        </w:rPr>
        <w:t>1064, 1071</w:t>
      </w:r>
      <w:r>
        <w:rPr>
          <w:lang w:val="en-US"/>
        </w:rPr>
        <w:t xml:space="preserve"> = 30 L. Ed. </w:t>
      </w:r>
      <w:r w:rsidRPr="00625B92">
        <w:rPr>
          <w:lang w:val="en-US"/>
        </w:rPr>
        <w:t>220, 226</w:t>
      </w:r>
      <w:r w:rsidRPr="00EC5BEB">
        <w:rPr>
          <w:lang w:val="en-US"/>
        </w:rPr>
        <w:t xml:space="preserve"> = 1886 U.S. LEXIS </w:t>
      </w:r>
      <w:r w:rsidRPr="00625B92">
        <w:rPr>
          <w:lang w:val="en-US"/>
        </w:rPr>
        <w:t>1938, 28 (1886)</w:t>
      </w:r>
      <w:r>
        <w:rPr>
          <w:lang w:val="en-US"/>
        </w:rPr>
        <w:t>.</w:t>
      </w:r>
    </w:p>
  </w:footnote>
  <w:footnote w:id="2327">
    <w:p w14:paraId="54A4CA2E" w14:textId="77777777" w:rsidR="00074551" w:rsidRPr="00CD69FC" w:rsidRDefault="00074551" w:rsidP="00074551">
      <w:pPr>
        <w:pStyle w:val="Funotentext"/>
        <w:rPr>
          <w:lang w:val="en-US"/>
        </w:rPr>
      </w:pPr>
      <w:r>
        <w:rPr>
          <w:rStyle w:val="Funotenzeichen"/>
        </w:rPr>
        <w:footnoteRef/>
      </w:r>
      <w:r w:rsidRPr="00CD69FC">
        <w:rPr>
          <w:lang w:val="en-US"/>
        </w:rPr>
        <w:t xml:space="preserve"> </w:t>
      </w:r>
      <w:r>
        <w:rPr>
          <w:lang w:val="en-US"/>
        </w:rPr>
        <w:t>„</w:t>
      </w:r>
      <w:r w:rsidRPr="00CD69FC">
        <w:rPr>
          <w:lang w:val="en-US"/>
        </w:rPr>
        <w:t>Married Woman</w:t>
      </w:r>
      <w:r>
        <w:rPr>
          <w:lang w:val="en-US"/>
        </w:rPr>
        <w:t>’</w:t>
      </w:r>
      <w:r w:rsidRPr="00CD69FC">
        <w:rPr>
          <w:lang w:val="en-US"/>
        </w:rPr>
        <w:t>s Act of April 10, 1869, ch. 23, 16 Stat. 45 provides: Section 1. That, in the District of Columbia, the right of any married woman to any property, personal or real, belonging to her at the time of marriage, or acquired during marriage in any other way than by gift or conveyance from her husband, shall be as absolute as if she were feme sole, and shall not be subject to the disposal of her husband, nor be liable for his debts; but such married woman may convey, devise and bequeath the same, or any interest therein, in the same manner and with like effect as if she were unmarried. Section 2. That any married woman may contract, and sue and be sued, in her own name, in all matters having relation to her sole and separate property in the same manner as if she were unmarried; but neither her husband nor his property shall be bound by any such contract nor liable for any recovery against her in any such suit, but judgment may be enforced by execution against her sole and separate estate in the same manner as if she were sole.</w:t>
      </w:r>
      <w:r>
        <w:rPr>
          <w:lang w:val="en-US"/>
        </w:rPr>
        <w:t xml:space="preserve">“, </w:t>
      </w:r>
      <w:r w:rsidRPr="00AB01D2">
        <w:rPr>
          <w:i/>
          <w:lang w:val="en-US"/>
        </w:rPr>
        <w:t>Stickney v. Stickney</w:t>
      </w:r>
      <w:r w:rsidRPr="00CD69FC">
        <w:rPr>
          <w:lang w:val="en-US"/>
        </w:rPr>
        <w:t>, 131 U.S. 227, 235</w:t>
      </w:r>
      <w:r>
        <w:rPr>
          <w:lang w:val="en-US"/>
        </w:rPr>
        <w:t xml:space="preserve"> = 9 S. Ct. </w:t>
      </w:r>
      <w:r w:rsidRPr="00CD69FC">
        <w:rPr>
          <w:lang w:val="en-US"/>
        </w:rPr>
        <w:t>677, 679</w:t>
      </w:r>
      <w:r w:rsidRPr="00EC5BEB">
        <w:rPr>
          <w:lang w:val="en-US"/>
        </w:rPr>
        <w:t xml:space="preserve"> = 33 L. Ed. </w:t>
      </w:r>
      <w:r w:rsidRPr="00CD69FC">
        <w:rPr>
          <w:lang w:val="en-US"/>
        </w:rPr>
        <w:t>136, 142, 1889 U.S. LEXIS 1816, 10 (1889)</w:t>
      </w:r>
      <w:r>
        <w:rPr>
          <w:lang w:val="en-US"/>
        </w:rPr>
        <w:t>.</w:t>
      </w:r>
    </w:p>
  </w:footnote>
  <w:footnote w:id="2328">
    <w:p w14:paraId="50ED324F" w14:textId="77777777" w:rsidR="00074551" w:rsidRPr="00CD69FC" w:rsidRDefault="00074551" w:rsidP="00074551">
      <w:pPr>
        <w:pStyle w:val="Funotentext"/>
        <w:rPr>
          <w:lang w:val="en-US"/>
        </w:rPr>
      </w:pPr>
      <w:r>
        <w:rPr>
          <w:rStyle w:val="Funotenzeichen"/>
        </w:rPr>
        <w:footnoteRef/>
      </w:r>
      <w:r w:rsidRPr="00CD69FC">
        <w:rPr>
          <w:lang w:val="en-US"/>
        </w:rPr>
        <w:t xml:space="preserve"> </w:t>
      </w:r>
      <w:r w:rsidRPr="00AB01D2">
        <w:rPr>
          <w:i/>
          <w:lang w:val="en-US"/>
        </w:rPr>
        <w:t>Stickney v. Stickney</w:t>
      </w:r>
      <w:r w:rsidRPr="00CD69FC">
        <w:rPr>
          <w:lang w:val="en-US"/>
        </w:rPr>
        <w:t>, 131 U.S. 227, 235</w:t>
      </w:r>
      <w:r>
        <w:rPr>
          <w:lang w:val="en-US"/>
        </w:rPr>
        <w:t xml:space="preserve"> = 9 S. Ct. </w:t>
      </w:r>
      <w:r w:rsidRPr="00CD69FC">
        <w:rPr>
          <w:lang w:val="en-US"/>
        </w:rPr>
        <w:t>677, 679</w:t>
      </w:r>
      <w:r w:rsidRPr="00EC5BEB">
        <w:rPr>
          <w:lang w:val="en-US"/>
        </w:rPr>
        <w:t xml:space="preserve"> = 33 L. Ed. </w:t>
      </w:r>
      <w:r w:rsidRPr="00CD69FC">
        <w:rPr>
          <w:lang w:val="en-US"/>
        </w:rPr>
        <w:t>136, 142</w:t>
      </w:r>
      <w:r>
        <w:rPr>
          <w:lang w:val="en-US"/>
        </w:rPr>
        <w:t xml:space="preserve"> = 1889 U.S. LEXIS </w:t>
      </w:r>
      <w:r w:rsidRPr="00CD69FC">
        <w:rPr>
          <w:lang w:val="en-US"/>
        </w:rPr>
        <w:t>1816, 10 (1889)</w:t>
      </w:r>
      <w:r>
        <w:rPr>
          <w:lang w:val="en-US"/>
        </w:rPr>
        <w:t>.</w:t>
      </w:r>
    </w:p>
  </w:footnote>
  <w:footnote w:id="2329">
    <w:p w14:paraId="36AFD43F" w14:textId="77777777" w:rsidR="00074551" w:rsidRPr="00212F22" w:rsidRDefault="00074551" w:rsidP="00074551">
      <w:pPr>
        <w:pStyle w:val="Funotentext"/>
        <w:rPr>
          <w:lang w:val="en-US"/>
        </w:rPr>
      </w:pPr>
      <w:r>
        <w:rPr>
          <w:rStyle w:val="Funotenzeichen"/>
        </w:rPr>
        <w:footnoteRef/>
      </w:r>
      <w:r w:rsidRPr="00212F22">
        <w:rPr>
          <w:lang w:val="en-US"/>
        </w:rPr>
        <w:t xml:space="preserve"> </w:t>
      </w:r>
      <w:r w:rsidRPr="00AB01D2">
        <w:rPr>
          <w:i/>
          <w:lang w:val="en-US"/>
        </w:rPr>
        <w:t>Stickney v. Stickney</w:t>
      </w:r>
      <w:r w:rsidRPr="00212F22">
        <w:rPr>
          <w:lang w:val="en-US"/>
        </w:rPr>
        <w:t>, 131 U.S. 227, 236</w:t>
      </w:r>
      <w:r>
        <w:rPr>
          <w:lang w:val="en-US"/>
        </w:rPr>
        <w:t xml:space="preserve"> = 9 S. Ct. </w:t>
      </w:r>
      <w:r w:rsidRPr="00212F22">
        <w:rPr>
          <w:lang w:val="en-US"/>
        </w:rPr>
        <w:t>677, 679</w:t>
      </w:r>
      <w:r w:rsidRPr="00EC5BEB">
        <w:rPr>
          <w:lang w:val="en-US"/>
        </w:rPr>
        <w:t xml:space="preserve"> = 33 L. Ed. </w:t>
      </w:r>
      <w:r w:rsidRPr="00212F22">
        <w:rPr>
          <w:lang w:val="en-US"/>
        </w:rPr>
        <w:t>136, 142</w:t>
      </w:r>
      <w:r>
        <w:rPr>
          <w:lang w:val="en-US"/>
        </w:rPr>
        <w:t xml:space="preserve"> = 1889 U.S. LEXIS </w:t>
      </w:r>
      <w:r w:rsidRPr="00212F22">
        <w:rPr>
          <w:lang w:val="en-US"/>
        </w:rPr>
        <w:t>1816, 17 (1889)</w:t>
      </w:r>
      <w:r>
        <w:rPr>
          <w:lang w:val="en-US"/>
        </w:rPr>
        <w:t>.</w:t>
      </w:r>
    </w:p>
  </w:footnote>
  <w:footnote w:id="2330">
    <w:p w14:paraId="126E3CAC" w14:textId="77777777" w:rsidR="00074551" w:rsidRPr="00212F22" w:rsidRDefault="00074551" w:rsidP="00074551">
      <w:pPr>
        <w:pStyle w:val="Funotentext"/>
        <w:rPr>
          <w:lang w:val="en-US"/>
        </w:rPr>
      </w:pPr>
      <w:r>
        <w:rPr>
          <w:rStyle w:val="Funotenzeichen"/>
        </w:rPr>
        <w:footnoteRef/>
      </w:r>
      <w:r w:rsidRPr="00212F22">
        <w:rPr>
          <w:lang w:val="en-US"/>
        </w:rPr>
        <w:t xml:space="preserve"> </w:t>
      </w:r>
      <w:r w:rsidRPr="00AB01D2">
        <w:rPr>
          <w:i/>
          <w:lang w:val="en-US"/>
        </w:rPr>
        <w:t>Stickney v. Stickney</w:t>
      </w:r>
      <w:r w:rsidRPr="00212F22">
        <w:rPr>
          <w:lang w:val="en-US"/>
        </w:rPr>
        <w:t>, 131 U.S. 227, 236</w:t>
      </w:r>
      <w:r>
        <w:rPr>
          <w:lang w:val="en-US"/>
        </w:rPr>
        <w:t xml:space="preserve"> = 9 S. Ct. </w:t>
      </w:r>
      <w:r w:rsidRPr="00212F22">
        <w:rPr>
          <w:lang w:val="en-US"/>
        </w:rPr>
        <w:t>677, 679</w:t>
      </w:r>
      <w:r w:rsidRPr="00EC5BEB">
        <w:rPr>
          <w:lang w:val="en-US"/>
        </w:rPr>
        <w:t xml:space="preserve"> = 33 L. Ed. </w:t>
      </w:r>
      <w:r w:rsidRPr="00212F22">
        <w:rPr>
          <w:lang w:val="en-US"/>
        </w:rPr>
        <w:t>136, 142</w:t>
      </w:r>
      <w:r>
        <w:rPr>
          <w:lang w:val="en-US"/>
        </w:rPr>
        <w:t xml:space="preserve"> = 1889 U.S. LEXIS </w:t>
      </w:r>
      <w:r w:rsidRPr="00212F22">
        <w:rPr>
          <w:lang w:val="en-US"/>
        </w:rPr>
        <w:t>1816, 17 (1889)</w:t>
      </w:r>
      <w:r>
        <w:rPr>
          <w:lang w:val="en-US"/>
        </w:rPr>
        <w:t>.</w:t>
      </w:r>
    </w:p>
  </w:footnote>
  <w:footnote w:id="2331">
    <w:p w14:paraId="2A1A4669" w14:textId="77777777" w:rsidR="00074551" w:rsidRPr="00212F22" w:rsidRDefault="00074551" w:rsidP="00074551">
      <w:pPr>
        <w:pStyle w:val="Funotentext"/>
        <w:rPr>
          <w:lang w:val="en-US"/>
        </w:rPr>
      </w:pPr>
      <w:r>
        <w:rPr>
          <w:rStyle w:val="Funotenzeichen"/>
        </w:rPr>
        <w:footnoteRef/>
      </w:r>
      <w:r w:rsidRPr="00212F22">
        <w:rPr>
          <w:lang w:val="en-US"/>
        </w:rPr>
        <w:t xml:space="preserve"> </w:t>
      </w:r>
      <w:bookmarkStart w:id="97" w:name="_Hlk228487012"/>
      <w:bookmarkStart w:id="98" w:name="_Hlk227929461"/>
      <w:r w:rsidRPr="00B45592">
        <w:rPr>
          <w:i/>
          <w:lang w:val="en-US"/>
        </w:rPr>
        <w:t>Southwick v. Southwick</w:t>
      </w:r>
      <w:r w:rsidRPr="002F0420">
        <w:rPr>
          <w:lang w:val="en-US"/>
        </w:rPr>
        <w:t xml:space="preserve">, 2 Sweeny (N.Y.) 234. </w:t>
      </w:r>
      <w:r w:rsidRPr="00B45592">
        <w:rPr>
          <w:lang w:val="en-US"/>
        </w:rPr>
        <w:t>„</w:t>
      </w:r>
      <w:r w:rsidRPr="002F0420">
        <w:rPr>
          <w:lang w:val="en-US"/>
        </w:rPr>
        <w:t xml:space="preserve">In some States the statutes include only private conversations in the privilege, but not such as take place in the presence of others. </w:t>
      </w:r>
      <w:r w:rsidRPr="00B45592">
        <w:rPr>
          <w:i/>
          <w:lang w:val="en-US"/>
        </w:rPr>
        <w:t xml:space="preserve">Fay v. </w:t>
      </w:r>
      <w:proofErr w:type="spellStart"/>
      <w:r w:rsidRPr="00B45592">
        <w:rPr>
          <w:i/>
          <w:lang w:val="en-US"/>
        </w:rPr>
        <w:t>Guynon</w:t>
      </w:r>
      <w:proofErr w:type="spellEnd"/>
      <w:r w:rsidRPr="002F0420">
        <w:rPr>
          <w:lang w:val="en-US"/>
        </w:rPr>
        <w:t>, 131 Mass. 31“;</w:t>
      </w:r>
      <w:r>
        <w:rPr>
          <w:lang w:val="en-US"/>
        </w:rPr>
        <w:t xml:space="preserve"> </w:t>
      </w:r>
      <w:bookmarkEnd w:id="97"/>
      <w:r w:rsidRPr="00AB01D2">
        <w:rPr>
          <w:i/>
          <w:lang w:val="en-US"/>
        </w:rPr>
        <w:t>Stickney v. Stickney</w:t>
      </w:r>
      <w:r w:rsidRPr="00212F22">
        <w:rPr>
          <w:lang w:val="en-US"/>
        </w:rPr>
        <w:t>, 131 U.S. 227, 236</w:t>
      </w:r>
      <w:r>
        <w:rPr>
          <w:lang w:val="en-US"/>
        </w:rPr>
        <w:t xml:space="preserve"> = 9 S. Ct. </w:t>
      </w:r>
      <w:r w:rsidRPr="00212F22">
        <w:rPr>
          <w:lang w:val="en-US"/>
        </w:rPr>
        <w:t>677, 679</w:t>
      </w:r>
      <w:r w:rsidRPr="00EC5BEB">
        <w:rPr>
          <w:lang w:val="en-US"/>
        </w:rPr>
        <w:t xml:space="preserve"> = 33 L. Ed. </w:t>
      </w:r>
      <w:r w:rsidRPr="00212F22">
        <w:rPr>
          <w:lang w:val="en-US"/>
        </w:rPr>
        <w:t>136, 142</w:t>
      </w:r>
      <w:r>
        <w:rPr>
          <w:lang w:val="en-US"/>
        </w:rPr>
        <w:t xml:space="preserve"> = 1889 U.S. LEXIS </w:t>
      </w:r>
      <w:r w:rsidRPr="00212F22">
        <w:rPr>
          <w:lang w:val="en-US"/>
        </w:rPr>
        <w:t>1816, 17 (1889)</w:t>
      </w:r>
      <w:r>
        <w:rPr>
          <w:lang w:val="en-US"/>
        </w:rPr>
        <w:t>.</w:t>
      </w:r>
    </w:p>
    <w:bookmarkEnd w:id="98"/>
  </w:footnote>
  <w:footnote w:id="2332">
    <w:p w14:paraId="4D0BFF43" w14:textId="77777777" w:rsidR="00074551" w:rsidRPr="00212F22" w:rsidRDefault="00074551" w:rsidP="00074551">
      <w:pPr>
        <w:pStyle w:val="Funotentext"/>
        <w:rPr>
          <w:lang w:val="en-US"/>
        </w:rPr>
      </w:pPr>
      <w:r>
        <w:rPr>
          <w:rStyle w:val="Funotenzeichen"/>
        </w:rPr>
        <w:footnoteRef/>
      </w:r>
      <w:r w:rsidRPr="00212F22">
        <w:rPr>
          <w:lang w:val="en-US"/>
        </w:rPr>
        <w:t xml:space="preserve"> </w:t>
      </w:r>
      <w:r w:rsidRPr="00AB01D2">
        <w:rPr>
          <w:i/>
          <w:lang w:val="en-US"/>
        </w:rPr>
        <w:t>Stickney v. Stickney</w:t>
      </w:r>
      <w:r w:rsidRPr="00212F22">
        <w:rPr>
          <w:lang w:val="en-US"/>
        </w:rPr>
        <w:t>, 131 U.S. 227, 237</w:t>
      </w:r>
      <w:r>
        <w:rPr>
          <w:lang w:val="en-US"/>
        </w:rPr>
        <w:t xml:space="preserve"> = 9 S. Ct. </w:t>
      </w:r>
      <w:r w:rsidRPr="00212F22">
        <w:rPr>
          <w:lang w:val="en-US"/>
        </w:rPr>
        <w:t>677, 680</w:t>
      </w:r>
      <w:r w:rsidRPr="00EC5BEB">
        <w:rPr>
          <w:lang w:val="en-US"/>
        </w:rPr>
        <w:t xml:space="preserve"> = 33 L. Ed. </w:t>
      </w:r>
      <w:r w:rsidRPr="00212F22">
        <w:rPr>
          <w:lang w:val="en-US"/>
        </w:rPr>
        <w:t>136, 143</w:t>
      </w:r>
      <w:r>
        <w:rPr>
          <w:lang w:val="en-US"/>
        </w:rPr>
        <w:t xml:space="preserve"> = 1889 U.S. LEXIS </w:t>
      </w:r>
      <w:r w:rsidRPr="00212F22">
        <w:rPr>
          <w:lang w:val="en-US"/>
        </w:rPr>
        <w:t>1816, 18 (1889)</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AA24AE4"/>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CFE190D"/>
    <w:multiLevelType w:val="multilevel"/>
    <w:tmpl w:val="0407001D"/>
    <w:styleLink w:val="AktuelleList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79080D"/>
    <w:multiLevelType w:val="hybridMultilevel"/>
    <w:tmpl w:val="4574F72E"/>
    <w:lvl w:ilvl="0" w:tplc="0407000F">
      <w:start w:val="1"/>
      <w:numFmt w:val="decimal"/>
      <w:lvlText w:val="%1."/>
      <w:lvlJc w:val="left"/>
      <w:pPr>
        <w:ind w:left="720" w:hanging="360"/>
      </w:pPr>
      <w:rPr>
        <w:rFonts w:hint="default"/>
      </w:rPr>
    </w:lvl>
    <w:lvl w:ilvl="1" w:tplc="04070001">
      <w:start w:val="1"/>
      <w:numFmt w:val="bullet"/>
      <w:lvlText w:val=""/>
      <w:lvlJc w:val="left"/>
      <w:pPr>
        <w:ind w:left="1788" w:hanging="360"/>
      </w:pPr>
      <w:rPr>
        <w:rFonts w:ascii="Symbol" w:hAnsi="Symbol" w:hint="default"/>
      </w:r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D533020"/>
    <w:multiLevelType w:val="multilevel"/>
    <w:tmpl w:val="0407001D"/>
    <w:styleLink w:val="Aktuelle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1CA799C"/>
    <w:multiLevelType w:val="multilevel"/>
    <w:tmpl w:val="0407001D"/>
    <w:styleLink w:val="AktuelleList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D75DDD"/>
    <w:multiLevelType w:val="multilevel"/>
    <w:tmpl w:val="C1F439C8"/>
    <w:styleLink w:val="Jura"/>
    <w:lvl w:ilvl="0">
      <w:start w:val="1"/>
      <w:numFmt w:val="upperLetter"/>
      <w:lvlText w:val="%1."/>
      <w:lvlJc w:val="left"/>
      <w:pPr>
        <w:ind w:left="0" w:firstLine="0"/>
      </w:pPr>
      <w:rPr>
        <w:rFonts w:ascii="Times New Roman" w:hAnsi="Times New Roman" w:hint="default"/>
        <w:sz w:val="24"/>
      </w:rPr>
    </w:lvl>
    <w:lvl w:ilvl="1">
      <w:start w:val="1"/>
      <w:numFmt w:val="upperRoman"/>
      <w:lvlText w:val="%2."/>
      <w:lvlJc w:val="left"/>
      <w:pPr>
        <w:ind w:left="0" w:firstLine="0"/>
      </w:pPr>
      <w:rPr>
        <w:rFonts w:ascii="Times New Roman" w:hAnsi="Times New Roman" w:hint="default"/>
        <w:sz w:val="24"/>
      </w:rPr>
    </w:lvl>
    <w:lvl w:ilvl="2">
      <w:start w:val="1"/>
      <w:numFmt w:val="decimal"/>
      <w:lvlText w:val="%3."/>
      <w:lvlJc w:val="left"/>
      <w:pPr>
        <w:ind w:left="0" w:firstLine="0"/>
      </w:pPr>
      <w:rPr>
        <w:rFonts w:ascii="Times New Roman" w:hAnsi="Times New Roman" w:hint="default"/>
        <w:sz w:val="24"/>
      </w:rPr>
    </w:lvl>
    <w:lvl w:ilvl="3">
      <w:start w:val="1"/>
      <w:numFmt w:val="lowerLetter"/>
      <w:lvlText w:val="%4)"/>
      <w:lvlJc w:val="left"/>
      <w:pPr>
        <w:ind w:left="0" w:firstLine="0"/>
      </w:pPr>
      <w:rPr>
        <w:rFonts w:ascii="Times New Roman" w:hAnsi="Times New Roman" w:hint="default"/>
        <w:sz w:val="24"/>
      </w:rPr>
    </w:lvl>
    <w:lvl w:ilvl="4">
      <w:start w:val="27"/>
      <w:numFmt w:val="lowerLetter"/>
      <w:lvlText w:val="%5)"/>
      <w:lvlJc w:val="left"/>
      <w:pPr>
        <w:ind w:left="0" w:firstLine="0"/>
      </w:pPr>
      <w:rPr>
        <w:rFonts w:ascii="Times New Roman" w:hAnsi="Times New Roman" w:hint="default"/>
        <w:sz w:val="24"/>
      </w:rPr>
    </w:lvl>
    <w:lvl w:ilvl="5">
      <w:start w:val="1"/>
      <w:numFmt w:val="decimal"/>
      <w:lvlText w:val="(%6)"/>
      <w:lvlJc w:val="left"/>
      <w:pPr>
        <w:ind w:left="0" w:firstLine="0"/>
      </w:pPr>
      <w:rPr>
        <w:rFonts w:ascii="Times New Roman" w:hAnsi="Times New Roman" w:hint="default"/>
        <w:sz w:val="24"/>
      </w:rPr>
    </w:lvl>
    <w:lvl w:ilvl="6">
      <w:start w:val="1"/>
      <w:numFmt w:val="lowerLetter"/>
      <w:lvlText w:val="(%7)"/>
      <w:lvlJc w:val="left"/>
      <w:pPr>
        <w:ind w:left="0" w:firstLine="0"/>
      </w:pPr>
      <w:rPr>
        <w:rFonts w:ascii="Times New Roman" w:hAnsi="Times New Roman" w:hint="default"/>
        <w:sz w:val="24"/>
      </w:rPr>
    </w:lvl>
    <w:lvl w:ilvl="7">
      <w:start w:val="27"/>
      <w:numFmt w:val="lowerLetter"/>
      <w:lvlText w:val="(%8)"/>
      <w:lvlJc w:val="left"/>
      <w:pPr>
        <w:ind w:left="0" w:firstLine="0"/>
      </w:pPr>
      <w:rPr>
        <w:rFonts w:ascii="Times New Roman" w:hAnsi="Times New Roman" w:hint="default"/>
        <w:sz w:val="24"/>
      </w:rPr>
    </w:lvl>
    <w:lvl w:ilvl="8">
      <w:start w:val="1"/>
      <w:numFmt w:val="lowerLetter"/>
      <w:lvlText w:val="[%9]"/>
      <w:lvlJc w:val="left"/>
      <w:pPr>
        <w:ind w:left="0" w:firstLine="0"/>
      </w:pPr>
      <w:rPr>
        <w:rFonts w:ascii="Times New Roman" w:hAnsi="Times New Roman" w:hint="default"/>
        <w:sz w:val="24"/>
      </w:rPr>
    </w:lvl>
  </w:abstractNum>
  <w:abstractNum w:abstractNumId="6" w15:restartNumberingAfterBreak="0">
    <w:nsid w:val="34F30FAD"/>
    <w:multiLevelType w:val="multilevel"/>
    <w:tmpl w:val="0407001D"/>
    <w:styleLink w:val="AktuelleListe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81C3E37"/>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909442D"/>
    <w:multiLevelType w:val="multilevel"/>
    <w:tmpl w:val="0407001D"/>
    <w:styleLink w:val="AktuelleListe1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E3C33CF"/>
    <w:multiLevelType w:val="multilevel"/>
    <w:tmpl w:val="0407001D"/>
    <w:styleLink w:val="AktuelleList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1290351"/>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2D11AE1"/>
    <w:multiLevelType w:val="multilevel"/>
    <w:tmpl w:val="0407001D"/>
    <w:styleLink w:val="AktuelleListe1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5D07BA5"/>
    <w:multiLevelType w:val="multilevel"/>
    <w:tmpl w:val="0407001D"/>
    <w:styleLink w:val="AktuelleListe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5DF4718"/>
    <w:multiLevelType w:val="multilevel"/>
    <w:tmpl w:val="0407001D"/>
    <w:styleLink w:val="AktuelleListe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8536602"/>
    <w:multiLevelType w:val="multilevel"/>
    <w:tmpl w:val="0407001D"/>
    <w:styleLink w:val="AktuelleList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2F26459"/>
    <w:multiLevelType w:val="multilevel"/>
    <w:tmpl w:val="0407001D"/>
    <w:styleLink w:val="Aktuelle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7D7AD3"/>
    <w:multiLevelType w:val="multilevel"/>
    <w:tmpl w:val="0407001D"/>
    <w:styleLink w:val="AktuelleListe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6A960EE"/>
    <w:multiLevelType w:val="hybridMultilevel"/>
    <w:tmpl w:val="428C6992"/>
    <w:lvl w:ilvl="0" w:tplc="03AA050E">
      <w:start w:val="1"/>
      <w:numFmt w:val="decimal"/>
      <w:lvlText w:val="%1."/>
      <w:lvlJc w:val="left"/>
      <w:pPr>
        <w:ind w:left="587" w:hanging="360"/>
      </w:pPr>
      <w:rPr>
        <w:rFonts w:hint="default"/>
      </w:rPr>
    </w:lvl>
    <w:lvl w:ilvl="1" w:tplc="04070019" w:tentative="1">
      <w:start w:val="1"/>
      <w:numFmt w:val="lowerLetter"/>
      <w:lvlText w:val="%2."/>
      <w:lvlJc w:val="left"/>
      <w:pPr>
        <w:ind w:left="1307" w:hanging="360"/>
      </w:pPr>
    </w:lvl>
    <w:lvl w:ilvl="2" w:tplc="0407001B" w:tentative="1">
      <w:start w:val="1"/>
      <w:numFmt w:val="lowerRoman"/>
      <w:lvlText w:val="%3."/>
      <w:lvlJc w:val="right"/>
      <w:pPr>
        <w:ind w:left="2027" w:hanging="180"/>
      </w:pPr>
    </w:lvl>
    <w:lvl w:ilvl="3" w:tplc="0407000F" w:tentative="1">
      <w:start w:val="1"/>
      <w:numFmt w:val="decimal"/>
      <w:lvlText w:val="%4."/>
      <w:lvlJc w:val="left"/>
      <w:pPr>
        <w:ind w:left="2747" w:hanging="360"/>
      </w:pPr>
    </w:lvl>
    <w:lvl w:ilvl="4" w:tplc="04070019" w:tentative="1">
      <w:start w:val="1"/>
      <w:numFmt w:val="lowerLetter"/>
      <w:lvlText w:val="%5."/>
      <w:lvlJc w:val="left"/>
      <w:pPr>
        <w:ind w:left="3467" w:hanging="360"/>
      </w:pPr>
    </w:lvl>
    <w:lvl w:ilvl="5" w:tplc="0407001B" w:tentative="1">
      <w:start w:val="1"/>
      <w:numFmt w:val="lowerRoman"/>
      <w:lvlText w:val="%6."/>
      <w:lvlJc w:val="right"/>
      <w:pPr>
        <w:ind w:left="4187" w:hanging="180"/>
      </w:pPr>
    </w:lvl>
    <w:lvl w:ilvl="6" w:tplc="0407000F" w:tentative="1">
      <w:start w:val="1"/>
      <w:numFmt w:val="decimal"/>
      <w:lvlText w:val="%7."/>
      <w:lvlJc w:val="left"/>
      <w:pPr>
        <w:ind w:left="4907" w:hanging="360"/>
      </w:pPr>
    </w:lvl>
    <w:lvl w:ilvl="7" w:tplc="04070019" w:tentative="1">
      <w:start w:val="1"/>
      <w:numFmt w:val="lowerLetter"/>
      <w:lvlText w:val="%8."/>
      <w:lvlJc w:val="left"/>
      <w:pPr>
        <w:ind w:left="5627" w:hanging="360"/>
      </w:pPr>
    </w:lvl>
    <w:lvl w:ilvl="8" w:tplc="0407001B" w:tentative="1">
      <w:start w:val="1"/>
      <w:numFmt w:val="lowerRoman"/>
      <w:lvlText w:val="%9."/>
      <w:lvlJc w:val="right"/>
      <w:pPr>
        <w:ind w:left="6347" w:hanging="180"/>
      </w:pPr>
    </w:lvl>
  </w:abstractNum>
  <w:abstractNum w:abstractNumId="18" w15:restartNumberingAfterBreak="0">
    <w:nsid w:val="57E95FB1"/>
    <w:multiLevelType w:val="multilevel"/>
    <w:tmpl w:val="0407001D"/>
    <w:styleLink w:val="AktuelleListe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C4C193B"/>
    <w:multiLevelType w:val="multilevel"/>
    <w:tmpl w:val="0407001D"/>
    <w:styleLink w:val="AktuelleListe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F051891"/>
    <w:multiLevelType w:val="hybridMultilevel"/>
    <w:tmpl w:val="C5FAA4C0"/>
    <w:lvl w:ilvl="0" w:tplc="4ED4764C">
      <w:start w:val="5"/>
      <w:numFmt w:val="bullet"/>
      <w:lvlText w:val="-"/>
      <w:lvlJc w:val="left"/>
      <w:pPr>
        <w:ind w:left="587" w:hanging="360"/>
      </w:pPr>
      <w:rPr>
        <w:rFonts w:ascii="Times New Roman" w:eastAsia="Times New Roman" w:hAnsi="Times New Roman" w:cs="Times New Roman" w:hint="default"/>
      </w:rPr>
    </w:lvl>
    <w:lvl w:ilvl="1" w:tplc="04070003" w:tentative="1">
      <w:start w:val="1"/>
      <w:numFmt w:val="bullet"/>
      <w:lvlText w:val="o"/>
      <w:lvlJc w:val="left"/>
      <w:pPr>
        <w:ind w:left="1307" w:hanging="360"/>
      </w:pPr>
      <w:rPr>
        <w:rFonts w:ascii="Courier New" w:hAnsi="Courier New" w:cs="Courier New" w:hint="default"/>
      </w:rPr>
    </w:lvl>
    <w:lvl w:ilvl="2" w:tplc="04070005" w:tentative="1">
      <w:start w:val="1"/>
      <w:numFmt w:val="bullet"/>
      <w:lvlText w:val=""/>
      <w:lvlJc w:val="left"/>
      <w:pPr>
        <w:ind w:left="2027" w:hanging="360"/>
      </w:pPr>
      <w:rPr>
        <w:rFonts w:ascii="Wingdings" w:hAnsi="Wingdings" w:hint="default"/>
      </w:rPr>
    </w:lvl>
    <w:lvl w:ilvl="3" w:tplc="04070001" w:tentative="1">
      <w:start w:val="1"/>
      <w:numFmt w:val="bullet"/>
      <w:lvlText w:val=""/>
      <w:lvlJc w:val="left"/>
      <w:pPr>
        <w:ind w:left="2747" w:hanging="360"/>
      </w:pPr>
      <w:rPr>
        <w:rFonts w:ascii="Symbol" w:hAnsi="Symbol" w:hint="default"/>
      </w:rPr>
    </w:lvl>
    <w:lvl w:ilvl="4" w:tplc="04070003" w:tentative="1">
      <w:start w:val="1"/>
      <w:numFmt w:val="bullet"/>
      <w:lvlText w:val="o"/>
      <w:lvlJc w:val="left"/>
      <w:pPr>
        <w:ind w:left="3467" w:hanging="360"/>
      </w:pPr>
      <w:rPr>
        <w:rFonts w:ascii="Courier New" w:hAnsi="Courier New" w:cs="Courier New" w:hint="default"/>
      </w:rPr>
    </w:lvl>
    <w:lvl w:ilvl="5" w:tplc="04070005" w:tentative="1">
      <w:start w:val="1"/>
      <w:numFmt w:val="bullet"/>
      <w:lvlText w:val=""/>
      <w:lvlJc w:val="left"/>
      <w:pPr>
        <w:ind w:left="4187" w:hanging="360"/>
      </w:pPr>
      <w:rPr>
        <w:rFonts w:ascii="Wingdings" w:hAnsi="Wingdings" w:hint="default"/>
      </w:rPr>
    </w:lvl>
    <w:lvl w:ilvl="6" w:tplc="04070001" w:tentative="1">
      <w:start w:val="1"/>
      <w:numFmt w:val="bullet"/>
      <w:lvlText w:val=""/>
      <w:lvlJc w:val="left"/>
      <w:pPr>
        <w:ind w:left="4907" w:hanging="360"/>
      </w:pPr>
      <w:rPr>
        <w:rFonts w:ascii="Symbol" w:hAnsi="Symbol" w:hint="default"/>
      </w:rPr>
    </w:lvl>
    <w:lvl w:ilvl="7" w:tplc="04070003" w:tentative="1">
      <w:start w:val="1"/>
      <w:numFmt w:val="bullet"/>
      <w:lvlText w:val="o"/>
      <w:lvlJc w:val="left"/>
      <w:pPr>
        <w:ind w:left="5627" w:hanging="360"/>
      </w:pPr>
      <w:rPr>
        <w:rFonts w:ascii="Courier New" w:hAnsi="Courier New" w:cs="Courier New" w:hint="default"/>
      </w:rPr>
    </w:lvl>
    <w:lvl w:ilvl="8" w:tplc="04070005" w:tentative="1">
      <w:start w:val="1"/>
      <w:numFmt w:val="bullet"/>
      <w:lvlText w:val=""/>
      <w:lvlJc w:val="left"/>
      <w:pPr>
        <w:ind w:left="6347" w:hanging="360"/>
      </w:pPr>
      <w:rPr>
        <w:rFonts w:ascii="Wingdings" w:hAnsi="Wingdings" w:hint="default"/>
      </w:rPr>
    </w:lvl>
  </w:abstractNum>
  <w:abstractNum w:abstractNumId="21" w15:restartNumberingAfterBreak="0">
    <w:nsid w:val="76AD2F8E"/>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7DC7DDD"/>
    <w:multiLevelType w:val="multilevel"/>
    <w:tmpl w:val="0407001D"/>
    <w:styleLink w:val="AktuelleListe1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99417E"/>
    <w:multiLevelType w:val="multilevel"/>
    <w:tmpl w:val="0407001D"/>
    <w:styleLink w:val="AktuelleListe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18022953">
    <w:abstractNumId w:val="5"/>
  </w:num>
  <w:num w:numId="2" w16cid:durableId="2032491203">
    <w:abstractNumId w:val="10"/>
  </w:num>
  <w:num w:numId="3" w16cid:durableId="1241255522">
    <w:abstractNumId w:val="21"/>
  </w:num>
  <w:num w:numId="4" w16cid:durableId="74479988">
    <w:abstractNumId w:val="7"/>
  </w:num>
  <w:num w:numId="5" w16cid:durableId="444885494">
    <w:abstractNumId w:val="9"/>
  </w:num>
  <w:num w:numId="6" w16cid:durableId="1679887534">
    <w:abstractNumId w:val="4"/>
  </w:num>
  <w:num w:numId="7" w16cid:durableId="1350259328">
    <w:abstractNumId w:val="14"/>
  </w:num>
  <w:num w:numId="8" w16cid:durableId="539706665">
    <w:abstractNumId w:val="23"/>
  </w:num>
  <w:num w:numId="9" w16cid:durableId="141823316">
    <w:abstractNumId w:val="1"/>
  </w:num>
  <w:num w:numId="10" w16cid:durableId="1858039953">
    <w:abstractNumId w:val="12"/>
  </w:num>
  <w:num w:numId="11" w16cid:durableId="642782092">
    <w:abstractNumId w:val="3"/>
  </w:num>
  <w:num w:numId="12" w16cid:durableId="156962291">
    <w:abstractNumId w:val="15"/>
  </w:num>
  <w:num w:numId="13" w16cid:durableId="1528181544">
    <w:abstractNumId w:val="6"/>
  </w:num>
  <w:num w:numId="14" w16cid:durableId="1814179407">
    <w:abstractNumId w:val="18"/>
  </w:num>
  <w:num w:numId="15" w16cid:durableId="2128691833">
    <w:abstractNumId w:val="19"/>
  </w:num>
  <w:num w:numId="16" w16cid:durableId="2097701228">
    <w:abstractNumId w:val="13"/>
  </w:num>
  <w:num w:numId="17" w16cid:durableId="552622838">
    <w:abstractNumId w:val="16"/>
  </w:num>
  <w:num w:numId="18" w16cid:durableId="968509507">
    <w:abstractNumId w:val="22"/>
  </w:num>
  <w:num w:numId="19" w16cid:durableId="1700426711">
    <w:abstractNumId w:val="11"/>
  </w:num>
  <w:num w:numId="20" w16cid:durableId="1004745408">
    <w:abstractNumId w:val="8"/>
  </w:num>
  <w:num w:numId="21" w16cid:durableId="174148673">
    <w:abstractNumId w:val="20"/>
  </w:num>
  <w:num w:numId="22" w16cid:durableId="911425923">
    <w:abstractNumId w:val="17"/>
  </w:num>
  <w:num w:numId="23" w16cid:durableId="1979410237">
    <w:abstractNumId w:val="0"/>
  </w:num>
  <w:num w:numId="24" w16cid:durableId="545796493">
    <w:abstractNumId w:val="2"/>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05"/>
    <w:rsid w:val="000007EB"/>
    <w:rsid w:val="0000193F"/>
    <w:rsid w:val="000020AF"/>
    <w:rsid w:val="000026D9"/>
    <w:rsid w:val="00004981"/>
    <w:rsid w:val="00005566"/>
    <w:rsid w:val="00005686"/>
    <w:rsid w:val="000062FE"/>
    <w:rsid w:val="00006EEB"/>
    <w:rsid w:val="00007CDB"/>
    <w:rsid w:val="00010F5B"/>
    <w:rsid w:val="0001168D"/>
    <w:rsid w:val="0001254C"/>
    <w:rsid w:val="00012BE9"/>
    <w:rsid w:val="000135D8"/>
    <w:rsid w:val="00013AFD"/>
    <w:rsid w:val="0001459C"/>
    <w:rsid w:val="00014BA9"/>
    <w:rsid w:val="000164A6"/>
    <w:rsid w:val="00016A34"/>
    <w:rsid w:val="00021DF3"/>
    <w:rsid w:val="00023A37"/>
    <w:rsid w:val="0002644B"/>
    <w:rsid w:val="00027800"/>
    <w:rsid w:val="00030BBB"/>
    <w:rsid w:val="00030F79"/>
    <w:rsid w:val="000311DA"/>
    <w:rsid w:val="00031509"/>
    <w:rsid w:val="00031581"/>
    <w:rsid w:val="00031F61"/>
    <w:rsid w:val="00032608"/>
    <w:rsid w:val="00032CF2"/>
    <w:rsid w:val="00033DAB"/>
    <w:rsid w:val="00033F02"/>
    <w:rsid w:val="00034991"/>
    <w:rsid w:val="00034AD4"/>
    <w:rsid w:val="00034FA0"/>
    <w:rsid w:val="00035998"/>
    <w:rsid w:val="00035CFF"/>
    <w:rsid w:val="00036023"/>
    <w:rsid w:val="00036054"/>
    <w:rsid w:val="000366FB"/>
    <w:rsid w:val="00036F94"/>
    <w:rsid w:val="00037860"/>
    <w:rsid w:val="00037A0A"/>
    <w:rsid w:val="00037D68"/>
    <w:rsid w:val="00037D99"/>
    <w:rsid w:val="00040368"/>
    <w:rsid w:val="00041164"/>
    <w:rsid w:val="000412AA"/>
    <w:rsid w:val="00041E1A"/>
    <w:rsid w:val="00041E1E"/>
    <w:rsid w:val="00041F48"/>
    <w:rsid w:val="00042066"/>
    <w:rsid w:val="00042E0E"/>
    <w:rsid w:val="0004375A"/>
    <w:rsid w:val="000446C9"/>
    <w:rsid w:val="0004484D"/>
    <w:rsid w:val="00045B65"/>
    <w:rsid w:val="00046058"/>
    <w:rsid w:val="000460CD"/>
    <w:rsid w:val="000461D0"/>
    <w:rsid w:val="000468E7"/>
    <w:rsid w:val="000501E8"/>
    <w:rsid w:val="000506A9"/>
    <w:rsid w:val="00051C73"/>
    <w:rsid w:val="00053695"/>
    <w:rsid w:val="00054588"/>
    <w:rsid w:val="000601DF"/>
    <w:rsid w:val="0006068E"/>
    <w:rsid w:val="00060991"/>
    <w:rsid w:val="0006125A"/>
    <w:rsid w:val="00061436"/>
    <w:rsid w:val="00061CDE"/>
    <w:rsid w:val="0006238B"/>
    <w:rsid w:val="000623FD"/>
    <w:rsid w:val="00062821"/>
    <w:rsid w:val="00063244"/>
    <w:rsid w:val="000633E8"/>
    <w:rsid w:val="000635DC"/>
    <w:rsid w:val="000637E5"/>
    <w:rsid w:val="00064EA6"/>
    <w:rsid w:val="00065347"/>
    <w:rsid w:val="00065A99"/>
    <w:rsid w:val="00065D9A"/>
    <w:rsid w:val="00065ED4"/>
    <w:rsid w:val="00066997"/>
    <w:rsid w:val="0006709C"/>
    <w:rsid w:val="00067AC4"/>
    <w:rsid w:val="00070685"/>
    <w:rsid w:val="00070F01"/>
    <w:rsid w:val="00072524"/>
    <w:rsid w:val="00073EB6"/>
    <w:rsid w:val="00074551"/>
    <w:rsid w:val="00074CA5"/>
    <w:rsid w:val="00074E1E"/>
    <w:rsid w:val="00075192"/>
    <w:rsid w:val="00076AC1"/>
    <w:rsid w:val="00076EBD"/>
    <w:rsid w:val="00076FF2"/>
    <w:rsid w:val="00077733"/>
    <w:rsid w:val="00077BB9"/>
    <w:rsid w:val="00077C61"/>
    <w:rsid w:val="0008077B"/>
    <w:rsid w:val="00080795"/>
    <w:rsid w:val="00080A86"/>
    <w:rsid w:val="00080C8E"/>
    <w:rsid w:val="00080CFD"/>
    <w:rsid w:val="0008123B"/>
    <w:rsid w:val="00082087"/>
    <w:rsid w:val="000826B1"/>
    <w:rsid w:val="00082FCD"/>
    <w:rsid w:val="000831F0"/>
    <w:rsid w:val="000833B0"/>
    <w:rsid w:val="00083796"/>
    <w:rsid w:val="00083E76"/>
    <w:rsid w:val="00084431"/>
    <w:rsid w:val="00084652"/>
    <w:rsid w:val="0008513F"/>
    <w:rsid w:val="000853C0"/>
    <w:rsid w:val="0008552C"/>
    <w:rsid w:val="00085F5B"/>
    <w:rsid w:val="00086343"/>
    <w:rsid w:val="00086582"/>
    <w:rsid w:val="00091EEB"/>
    <w:rsid w:val="00092026"/>
    <w:rsid w:val="00092E6C"/>
    <w:rsid w:val="0009343E"/>
    <w:rsid w:val="00094354"/>
    <w:rsid w:val="00096ADA"/>
    <w:rsid w:val="00096B09"/>
    <w:rsid w:val="000A0189"/>
    <w:rsid w:val="000A0F70"/>
    <w:rsid w:val="000A151D"/>
    <w:rsid w:val="000A1775"/>
    <w:rsid w:val="000A399E"/>
    <w:rsid w:val="000B276B"/>
    <w:rsid w:val="000B303C"/>
    <w:rsid w:val="000B343C"/>
    <w:rsid w:val="000B34C8"/>
    <w:rsid w:val="000B41B0"/>
    <w:rsid w:val="000B433D"/>
    <w:rsid w:val="000B4E67"/>
    <w:rsid w:val="000B53C0"/>
    <w:rsid w:val="000B5AE9"/>
    <w:rsid w:val="000B67C4"/>
    <w:rsid w:val="000B7670"/>
    <w:rsid w:val="000C14B6"/>
    <w:rsid w:val="000C1693"/>
    <w:rsid w:val="000C24DE"/>
    <w:rsid w:val="000C2A67"/>
    <w:rsid w:val="000C36AE"/>
    <w:rsid w:val="000C43F6"/>
    <w:rsid w:val="000C48F6"/>
    <w:rsid w:val="000C6270"/>
    <w:rsid w:val="000C67F4"/>
    <w:rsid w:val="000D0678"/>
    <w:rsid w:val="000D0F50"/>
    <w:rsid w:val="000D1382"/>
    <w:rsid w:val="000D3957"/>
    <w:rsid w:val="000D40C7"/>
    <w:rsid w:val="000D5269"/>
    <w:rsid w:val="000D5CD1"/>
    <w:rsid w:val="000D5DA7"/>
    <w:rsid w:val="000E0735"/>
    <w:rsid w:val="000E13B3"/>
    <w:rsid w:val="000E22C4"/>
    <w:rsid w:val="000E3D4A"/>
    <w:rsid w:val="000E3FC6"/>
    <w:rsid w:val="000E3FD2"/>
    <w:rsid w:val="000E5D5B"/>
    <w:rsid w:val="000E759C"/>
    <w:rsid w:val="000E7D9F"/>
    <w:rsid w:val="000F072B"/>
    <w:rsid w:val="000F07EE"/>
    <w:rsid w:val="000F0D92"/>
    <w:rsid w:val="000F1ECB"/>
    <w:rsid w:val="000F1F4F"/>
    <w:rsid w:val="000F24F4"/>
    <w:rsid w:val="000F2B70"/>
    <w:rsid w:val="000F2B73"/>
    <w:rsid w:val="000F36AE"/>
    <w:rsid w:val="000F3D73"/>
    <w:rsid w:val="000F496E"/>
    <w:rsid w:val="000F4F2D"/>
    <w:rsid w:val="000F6E9C"/>
    <w:rsid w:val="00100573"/>
    <w:rsid w:val="00100D2F"/>
    <w:rsid w:val="00102D13"/>
    <w:rsid w:val="00103BB6"/>
    <w:rsid w:val="00104B02"/>
    <w:rsid w:val="001059E3"/>
    <w:rsid w:val="00105D9B"/>
    <w:rsid w:val="00106172"/>
    <w:rsid w:val="00106BBD"/>
    <w:rsid w:val="0010756B"/>
    <w:rsid w:val="001076F0"/>
    <w:rsid w:val="0011178D"/>
    <w:rsid w:val="00111D63"/>
    <w:rsid w:val="00112643"/>
    <w:rsid w:val="001128C0"/>
    <w:rsid w:val="0011337E"/>
    <w:rsid w:val="00113CA7"/>
    <w:rsid w:val="00114CA4"/>
    <w:rsid w:val="00115436"/>
    <w:rsid w:val="001159C9"/>
    <w:rsid w:val="00115DDE"/>
    <w:rsid w:val="00116C00"/>
    <w:rsid w:val="00117445"/>
    <w:rsid w:val="00120DD5"/>
    <w:rsid w:val="0012103A"/>
    <w:rsid w:val="00121DC3"/>
    <w:rsid w:val="00121EA0"/>
    <w:rsid w:val="00122EED"/>
    <w:rsid w:val="00123B4C"/>
    <w:rsid w:val="001255B8"/>
    <w:rsid w:val="00125C6D"/>
    <w:rsid w:val="00125E08"/>
    <w:rsid w:val="00126140"/>
    <w:rsid w:val="00127167"/>
    <w:rsid w:val="00130210"/>
    <w:rsid w:val="00130DC3"/>
    <w:rsid w:val="00131E19"/>
    <w:rsid w:val="00132C65"/>
    <w:rsid w:val="00134532"/>
    <w:rsid w:val="001347A2"/>
    <w:rsid w:val="001357B8"/>
    <w:rsid w:val="001357EB"/>
    <w:rsid w:val="00136385"/>
    <w:rsid w:val="001368C7"/>
    <w:rsid w:val="00136B93"/>
    <w:rsid w:val="00136C30"/>
    <w:rsid w:val="00136EB0"/>
    <w:rsid w:val="001401DF"/>
    <w:rsid w:val="00140533"/>
    <w:rsid w:val="00142AE6"/>
    <w:rsid w:val="001437DB"/>
    <w:rsid w:val="00144C5C"/>
    <w:rsid w:val="00144F8E"/>
    <w:rsid w:val="0014559A"/>
    <w:rsid w:val="001460DB"/>
    <w:rsid w:val="00146B70"/>
    <w:rsid w:val="00150857"/>
    <w:rsid w:val="001524A5"/>
    <w:rsid w:val="00152CE3"/>
    <w:rsid w:val="0015398C"/>
    <w:rsid w:val="001539CF"/>
    <w:rsid w:val="001545D9"/>
    <w:rsid w:val="0015465A"/>
    <w:rsid w:val="001549E0"/>
    <w:rsid w:val="00154DC0"/>
    <w:rsid w:val="00154EDC"/>
    <w:rsid w:val="00155023"/>
    <w:rsid w:val="00155064"/>
    <w:rsid w:val="0015733A"/>
    <w:rsid w:val="001624B3"/>
    <w:rsid w:val="00162DE9"/>
    <w:rsid w:val="00164ADA"/>
    <w:rsid w:val="001653E1"/>
    <w:rsid w:val="00165B4C"/>
    <w:rsid w:val="00167C4F"/>
    <w:rsid w:val="00167FDE"/>
    <w:rsid w:val="0017065F"/>
    <w:rsid w:val="00170828"/>
    <w:rsid w:val="00171134"/>
    <w:rsid w:val="001713A5"/>
    <w:rsid w:val="001725F2"/>
    <w:rsid w:val="001729F6"/>
    <w:rsid w:val="00172E79"/>
    <w:rsid w:val="0017348A"/>
    <w:rsid w:val="00173543"/>
    <w:rsid w:val="00173E4F"/>
    <w:rsid w:val="001740C1"/>
    <w:rsid w:val="0017423D"/>
    <w:rsid w:val="0017623A"/>
    <w:rsid w:val="001765F4"/>
    <w:rsid w:val="00176F12"/>
    <w:rsid w:val="001806FD"/>
    <w:rsid w:val="001816EB"/>
    <w:rsid w:val="0018189B"/>
    <w:rsid w:val="001824CC"/>
    <w:rsid w:val="0018316F"/>
    <w:rsid w:val="00183A81"/>
    <w:rsid w:val="00183BCE"/>
    <w:rsid w:val="00184010"/>
    <w:rsid w:val="00184329"/>
    <w:rsid w:val="001844F0"/>
    <w:rsid w:val="00184977"/>
    <w:rsid w:val="00185515"/>
    <w:rsid w:val="0018635C"/>
    <w:rsid w:val="0019007B"/>
    <w:rsid w:val="00190132"/>
    <w:rsid w:val="00190715"/>
    <w:rsid w:val="0019077E"/>
    <w:rsid w:val="001914FB"/>
    <w:rsid w:val="00191862"/>
    <w:rsid w:val="00191937"/>
    <w:rsid w:val="00191DCB"/>
    <w:rsid w:val="00192D91"/>
    <w:rsid w:val="001931CD"/>
    <w:rsid w:val="00193551"/>
    <w:rsid w:val="00193BDF"/>
    <w:rsid w:val="001941E1"/>
    <w:rsid w:val="00194639"/>
    <w:rsid w:val="001956D9"/>
    <w:rsid w:val="00197909"/>
    <w:rsid w:val="001A017D"/>
    <w:rsid w:val="001A0464"/>
    <w:rsid w:val="001A1BB8"/>
    <w:rsid w:val="001A3831"/>
    <w:rsid w:val="001A3B64"/>
    <w:rsid w:val="001A42EF"/>
    <w:rsid w:val="001A4531"/>
    <w:rsid w:val="001A4A7F"/>
    <w:rsid w:val="001A597D"/>
    <w:rsid w:val="001A5D35"/>
    <w:rsid w:val="001A7978"/>
    <w:rsid w:val="001A7BF1"/>
    <w:rsid w:val="001B0324"/>
    <w:rsid w:val="001B15DC"/>
    <w:rsid w:val="001B18E6"/>
    <w:rsid w:val="001B3528"/>
    <w:rsid w:val="001B4422"/>
    <w:rsid w:val="001B49B5"/>
    <w:rsid w:val="001B6693"/>
    <w:rsid w:val="001B68AB"/>
    <w:rsid w:val="001B6F9A"/>
    <w:rsid w:val="001B79AD"/>
    <w:rsid w:val="001C04B1"/>
    <w:rsid w:val="001C19AD"/>
    <w:rsid w:val="001C1B9E"/>
    <w:rsid w:val="001C3B93"/>
    <w:rsid w:val="001C427B"/>
    <w:rsid w:val="001C5013"/>
    <w:rsid w:val="001C5275"/>
    <w:rsid w:val="001C621B"/>
    <w:rsid w:val="001C67F4"/>
    <w:rsid w:val="001C70C1"/>
    <w:rsid w:val="001C7866"/>
    <w:rsid w:val="001C7C4A"/>
    <w:rsid w:val="001D1A06"/>
    <w:rsid w:val="001D2126"/>
    <w:rsid w:val="001D2CA6"/>
    <w:rsid w:val="001D35A3"/>
    <w:rsid w:val="001D5575"/>
    <w:rsid w:val="001D5CB6"/>
    <w:rsid w:val="001D69B6"/>
    <w:rsid w:val="001D6A31"/>
    <w:rsid w:val="001D6D84"/>
    <w:rsid w:val="001D795F"/>
    <w:rsid w:val="001D7C53"/>
    <w:rsid w:val="001E27AD"/>
    <w:rsid w:val="001E4134"/>
    <w:rsid w:val="001E4A2E"/>
    <w:rsid w:val="001E5A1D"/>
    <w:rsid w:val="001E5E9D"/>
    <w:rsid w:val="001E654F"/>
    <w:rsid w:val="001F12AF"/>
    <w:rsid w:val="001F1F97"/>
    <w:rsid w:val="001F30EE"/>
    <w:rsid w:val="001F3421"/>
    <w:rsid w:val="001F38CE"/>
    <w:rsid w:val="001F5891"/>
    <w:rsid w:val="001F58AF"/>
    <w:rsid w:val="00200D98"/>
    <w:rsid w:val="00201AB0"/>
    <w:rsid w:val="00202216"/>
    <w:rsid w:val="00202DB7"/>
    <w:rsid w:val="002030EB"/>
    <w:rsid w:val="002031DC"/>
    <w:rsid w:val="00203518"/>
    <w:rsid w:val="00203768"/>
    <w:rsid w:val="00203A18"/>
    <w:rsid w:val="002041F5"/>
    <w:rsid w:val="00204762"/>
    <w:rsid w:val="0020614B"/>
    <w:rsid w:val="00210044"/>
    <w:rsid w:val="00210FC5"/>
    <w:rsid w:val="00212F22"/>
    <w:rsid w:val="00214464"/>
    <w:rsid w:val="00214603"/>
    <w:rsid w:val="00214D16"/>
    <w:rsid w:val="00214EF7"/>
    <w:rsid w:val="00215B8C"/>
    <w:rsid w:val="00217872"/>
    <w:rsid w:val="00217C64"/>
    <w:rsid w:val="002214FC"/>
    <w:rsid w:val="002218B8"/>
    <w:rsid w:val="00221C2D"/>
    <w:rsid w:val="00221E58"/>
    <w:rsid w:val="00222DDD"/>
    <w:rsid w:val="0022338A"/>
    <w:rsid w:val="0022371E"/>
    <w:rsid w:val="00223C94"/>
    <w:rsid w:val="00224049"/>
    <w:rsid w:val="00227BBD"/>
    <w:rsid w:val="00227CDE"/>
    <w:rsid w:val="00230FDC"/>
    <w:rsid w:val="002310E1"/>
    <w:rsid w:val="00231BC6"/>
    <w:rsid w:val="00231F23"/>
    <w:rsid w:val="00232688"/>
    <w:rsid w:val="00234AA5"/>
    <w:rsid w:val="002350CE"/>
    <w:rsid w:val="0023589A"/>
    <w:rsid w:val="00235E98"/>
    <w:rsid w:val="002401F8"/>
    <w:rsid w:val="002402D7"/>
    <w:rsid w:val="002409B7"/>
    <w:rsid w:val="00240A80"/>
    <w:rsid w:val="00241BA6"/>
    <w:rsid w:val="00245243"/>
    <w:rsid w:val="00245960"/>
    <w:rsid w:val="002467AB"/>
    <w:rsid w:val="00250CE5"/>
    <w:rsid w:val="00250E3D"/>
    <w:rsid w:val="00251195"/>
    <w:rsid w:val="0025175D"/>
    <w:rsid w:val="00251822"/>
    <w:rsid w:val="002535FA"/>
    <w:rsid w:val="00253E4C"/>
    <w:rsid w:val="00253E8C"/>
    <w:rsid w:val="0025542D"/>
    <w:rsid w:val="0025641B"/>
    <w:rsid w:val="00256FDA"/>
    <w:rsid w:val="00257307"/>
    <w:rsid w:val="00257344"/>
    <w:rsid w:val="00257BD0"/>
    <w:rsid w:val="00257DEF"/>
    <w:rsid w:val="00260234"/>
    <w:rsid w:val="0026075C"/>
    <w:rsid w:val="00261002"/>
    <w:rsid w:val="00261791"/>
    <w:rsid w:val="0026257F"/>
    <w:rsid w:val="002627AA"/>
    <w:rsid w:val="00262B69"/>
    <w:rsid w:val="0026381A"/>
    <w:rsid w:val="00265589"/>
    <w:rsid w:val="002659E6"/>
    <w:rsid w:val="00265EF9"/>
    <w:rsid w:val="002668D9"/>
    <w:rsid w:val="0026714C"/>
    <w:rsid w:val="002709E9"/>
    <w:rsid w:val="00271256"/>
    <w:rsid w:val="00273DFA"/>
    <w:rsid w:val="0027679F"/>
    <w:rsid w:val="0027687D"/>
    <w:rsid w:val="00276BA6"/>
    <w:rsid w:val="00276E73"/>
    <w:rsid w:val="00277B49"/>
    <w:rsid w:val="00281399"/>
    <w:rsid w:val="002815F2"/>
    <w:rsid w:val="00282EB2"/>
    <w:rsid w:val="00283649"/>
    <w:rsid w:val="002839A1"/>
    <w:rsid w:val="002847EF"/>
    <w:rsid w:val="00284F05"/>
    <w:rsid w:val="00286C07"/>
    <w:rsid w:val="00286E0B"/>
    <w:rsid w:val="002871E6"/>
    <w:rsid w:val="00287424"/>
    <w:rsid w:val="00287A8E"/>
    <w:rsid w:val="00287EFA"/>
    <w:rsid w:val="00291F30"/>
    <w:rsid w:val="002924CE"/>
    <w:rsid w:val="00292551"/>
    <w:rsid w:val="002927E8"/>
    <w:rsid w:val="00293101"/>
    <w:rsid w:val="0029322D"/>
    <w:rsid w:val="00293C79"/>
    <w:rsid w:val="002941A5"/>
    <w:rsid w:val="00294BE3"/>
    <w:rsid w:val="00295268"/>
    <w:rsid w:val="002957FD"/>
    <w:rsid w:val="00295896"/>
    <w:rsid w:val="002961A6"/>
    <w:rsid w:val="0029750F"/>
    <w:rsid w:val="002A0BF0"/>
    <w:rsid w:val="002A1903"/>
    <w:rsid w:val="002A2D61"/>
    <w:rsid w:val="002A54BD"/>
    <w:rsid w:val="002A5969"/>
    <w:rsid w:val="002A752D"/>
    <w:rsid w:val="002A75E5"/>
    <w:rsid w:val="002A7AE7"/>
    <w:rsid w:val="002A7E35"/>
    <w:rsid w:val="002B02B2"/>
    <w:rsid w:val="002B03CC"/>
    <w:rsid w:val="002B0573"/>
    <w:rsid w:val="002B0F5E"/>
    <w:rsid w:val="002B3559"/>
    <w:rsid w:val="002B3DC4"/>
    <w:rsid w:val="002B469A"/>
    <w:rsid w:val="002B4A9E"/>
    <w:rsid w:val="002B5872"/>
    <w:rsid w:val="002C0B6F"/>
    <w:rsid w:val="002C1274"/>
    <w:rsid w:val="002C33E1"/>
    <w:rsid w:val="002C39F4"/>
    <w:rsid w:val="002C4B7B"/>
    <w:rsid w:val="002C557F"/>
    <w:rsid w:val="002C6146"/>
    <w:rsid w:val="002C6201"/>
    <w:rsid w:val="002C6209"/>
    <w:rsid w:val="002C7819"/>
    <w:rsid w:val="002C79D3"/>
    <w:rsid w:val="002D02B9"/>
    <w:rsid w:val="002D0F5F"/>
    <w:rsid w:val="002D1379"/>
    <w:rsid w:val="002D168F"/>
    <w:rsid w:val="002D1944"/>
    <w:rsid w:val="002D2E6A"/>
    <w:rsid w:val="002D332A"/>
    <w:rsid w:val="002D3EF4"/>
    <w:rsid w:val="002D404B"/>
    <w:rsid w:val="002D4A98"/>
    <w:rsid w:val="002D4BA8"/>
    <w:rsid w:val="002D6A3E"/>
    <w:rsid w:val="002D78D9"/>
    <w:rsid w:val="002D7915"/>
    <w:rsid w:val="002E1085"/>
    <w:rsid w:val="002E13F9"/>
    <w:rsid w:val="002E1ECA"/>
    <w:rsid w:val="002E2B7D"/>
    <w:rsid w:val="002E3069"/>
    <w:rsid w:val="002E38D8"/>
    <w:rsid w:val="002E40A4"/>
    <w:rsid w:val="002E4516"/>
    <w:rsid w:val="002E72B8"/>
    <w:rsid w:val="002E7D76"/>
    <w:rsid w:val="002F03A4"/>
    <w:rsid w:val="002F03CC"/>
    <w:rsid w:val="002F0420"/>
    <w:rsid w:val="002F0FD5"/>
    <w:rsid w:val="002F1E8B"/>
    <w:rsid w:val="002F26B7"/>
    <w:rsid w:val="002F3C98"/>
    <w:rsid w:val="002F4C96"/>
    <w:rsid w:val="002F5233"/>
    <w:rsid w:val="002F58F4"/>
    <w:rsid w:val="002F5ADC"/>
    <w:rsid w:val="002F60BA"/>
    <w:rsid w:val="002F60F4"/>
    <w:rsid w:val="002F77DA"/>
    <w:rsid w:val="002F7AAD"/>
    <w:rsid w:val="003003F7"/>
    <w:rsid w:val="00300C76"/>
    <w:rsid w:val="00300E75"/>
    <w:rsid w:val="003011C8"/>
    <w:rsid w:val="0030151B"/>
    <w:rsid w:val="00303BC8"/>
    <w:rsid w:val="003043E5"/>
    <w:rsid w:val="00304469"/>
    <w:rsid w:val="00306876"/>
    <w:rsid w:val="00306AC7"/>
    <w:rsid w:val="0030780D"/>
    <w:rsid w:val="00307CD6"/>
    <w:rsid w:val="00307F16"/>
    <w:rsid w:val="00310316"/>
    <w:rsid w:val="00310BBA"/>
    <w:rsid w:val="003138E6"/>
    <w:rsid w:val="00313FE1"/>
    <w:rsid w:val="00316860"/>
    <w:rsid w:val="003168E0"/>
    <w:rsid w:val="003170BE"/>
    <w:rsid w:val="003174FE"/>
    <w:rsid w:val="00317621"/>
    <w:rsid w:val="00317CC4"/>
    <w:rsid w:val="00320314"/>
    <w:rsid w:val="00320F9D"/>
    <w:rsid w:val="00321660"/>
    <w:rsid w:val="00321777"/>
    <w:rsid w:val="0032388B"/>
    <w:rsid w:val="0032449E"/>
    <w:rsid w:val="00325411"/>
    <w:rsid w:val="0032569F"/>
    <w:rsid w:val="00325775"/>
    <w:rsid w:val="0032610B"/>
    <w:rsid w:val="00326203"/>
    <w:rsid w:val="003265AD"/>
    <w:rsid w:val="00327025"/>
    <w:rsid w:val="00327580"/>
    <w:rsid w:val="00327D3C"/>
    <w:rsid w:val="003300AB"/>
    <w:rsid w:val="00330630"/>
    <w:rsid w:val="00330AB1"/>
    <w:rsid w:val="00331086"/>
    <w:rsid w:val="00332621"/>
    <w:rsid w:val="003330D5"/>
    <w:rsid w:val="003334BA"/>
    <w:rsid w:val="00333809"/>
    <w:rsid w:val="00335384"/>
    <w:rsid w:val="003354AB"/>
    <w:rsid w:val="003360B4"/>
    <w:rsid w:val="00336F9A"/>
    <w:rsid w:val="00337681"/>
    <w:rsid w:val="003378E4"/>
    <w:rsid w:val="003402FA"/>
    <w:rsid w:val="003404A9"/>
    <w:rsid w:val="00340749"/>
    <w:rsid w:val="00341E1D"/>
    <w:rsid w:val="0034267E"/>
    <w:rsid w:val="0034317D"/>
    <w:rsid w:val="0034416B"/>
    <w:rsid w:val="00345216"/>
    <w:rsid w:val="003453F8"/>
    <w:rsid w:val="003461C7"/>
    <w:rsid w:val="0034633C"/>
    <w:rsid w:val="003469D1"/>
    <w:rsid w:val="00347A4C"/>
    <w:rsid w:val="00352229"/>
    <w:rsid w:val="003531BD"/>
    <w:rsid w:val="003548F8"/>
    <w:rsid w:val="00354BA0"/>
    <w:rsid w:val="00355175"/>
    <w:rsid w:val="00355480"/>
    <w:rsid w:val="00357F31"/>
    <w:rsid w:val="00360059"/>
    <w:rsid w:val="0036087A"/>
    <w:rsid w:val="0036161F"/>
    <w:rsid w:val="0036345F"/>
    <w:rsid w:val="00364419"/>
    <w:rsid w:val="0036547B"/>
    <w:rsid w:val="00366C1D"/>
    <w:rsid w:val="00370142"/>
    <w:rsid w:val="00370443"/>
    <w:rsid w:val="00370BCE"/>
    <w:rsid w:val="0037114A"/>
    <w:rsid w:val="00371F10"/>
    <w:rsid w:val="003731DF"/>
    <w:rsid w:val="00373F21"/>
    <w:rsid w:val="003742A4"/>
    <w:rsid w:val="003751FA"/>
    <w:rsid w:val="00376381"/>
    <w:rsid w:val="003769D7"/>
    <w:rsid w:val="00376A32"/>
    <w:rsid w:val="00376F56"/>
    <w:rsid w:val="00377BF9"/>
    <w:rsid w:val="003801F8"/>
    <w:rsid w:val="00382831"/>
    <w:rsid w:val="00382A15"/>
    <w:rsid w:val="00384B1C"/>
    <w:rsid w:val="003853C6"/>
    <w:rsid w:val="00385407"/>
    <w:rsid w:val="0038585B"/>
    <w:rsid w:val="00386C8F"/>
    <w:rsid w:val="00387581"/>
    <w:rsid w:val="003904F0"/>
    <w:rsid w:val="003905DC"/>
    <w:rsid w:val="00390F66"/>
    <w:rsid w:val="0039116C"/>
    <w:rsid w:val="00391F34"/>
    <w:rsid w:val="0039209A"/>
    <w:rsid w:val="003926AA"/>
    <w:rsid w:val="00392C40"/>
    <w:rsid w:val="00394629"/>
    <w:rsid w:val="003956A4"/>
    <w:rsid w:val="00396C13"/>
    <w:rsid w:val="003A108B"/>
    <w:rsid w:val="003A1225"/>
    <w:rsid w:val="003A12FC"/>
    <w:rsid w:val="003A1E0D"/>
    <w:rsid w:val="003A1E2F"/>
    <w:rsid w:val="003A3231"/>
    <w:rsid w:val="003A3499"/>
    <w:rsid w:val="003A46F2"/>
    <w:rsid w:val="003A497F"/>
    <w:rsid w:val="003A4AF0"/>
    <w:rsid w:val="003A5185"/>
    <w:rsid w:val="003B0994"/>
    <w:rsid w:val="003B1467"/>
    <w:rsid w:val="003B2984"/>
    <w:rsid w:val="003B2AD6"/>
    <w:rsid w:val="003B2DA5"/>
    <w:rsid w:val="003B30E4"/>
    <w:rsid w:val="003B35F9"/>
    <w:rsid w:val="003B3855"/>
    <w:rsid w:val="003B3E71"/>
    <w:rsid w:val="003B469E"/>
    <w:rsid w:val="003B5AC8"/>
    <w:rsid w:val="003B7171"/>
    <w:rsid w:val="003B741A"/>
    <w:rsid w:val="003B76DA"/>
    <w:rsid w:val="003B77A1"/>
    <w:rsid w:val="003B7888"/>
    <w:rsid w:val="003C0110"/>
    <w:rsid w:val="003C09BE"/>
    <w:rsid w:val="003C1AD2"/>
    <w:rsid w:val="003C2252"/>
    <w:rsid w:val="003C32E5"/>
    <w:rsid w:val="003C3D99"/>
    <w:rsid w:val="003C4F97"/>
    <w:rsid w:val="003C53EF"/>
    <w:rsid w:val="003C541A"/>
    <w:rsid w:val="003C5B84"/>
    <w:rsid w:val="003C5CA5"/>
    <w:rsid w:val="003D0D23"/>
    <w:rsid w:val="003D15F5"/>
    <w:rsid w:val="003D16CF"/>
    <w:rsid w:val="003D21E0"/>
    <w:rsid w:val="003D22E3"/>
    <w:rsid w:val="003D2BAF"/>
    <w:rsid w:val="003D3095"/>
    <w:rsid w:val="003D4947"/>
    <w:rsid w:val="003D4BC0"/>
    <w:rsid w:val="003D4E15"/>
    <w:rsid w:val="003D5052"/>
    <w:rsid w:val="003D518C"/>
    <w:rsid w:val="003D6568"/>
    <w:rsid w:val="003D6D07"/>
    <w:rsid w:val="003DC2AD"/>
    <w:rsid w:val="003E13FD"/>
    <w:rsid w:val="003E14CF"/>
    <w:rsid w:val="003E1814"/>
    <w:rsid w:val="003E1987"/>
    <w:rsid w:val="003E1E31"/>
    <w:rsid w:val="003E26FD"/>
    <w:rsid w:val="003E2850"/>
    <w:rsid w:val="003E2BC0"/>
    <w:rsid w:val="003E2C31"/>
    <w:rsid w:val="003E54BE"/>
    <w:rsid w:val="003E565A"/>
    <w:rsid w:val="003E5B1E"/>
    <w:rsid w:val="003E5BCC"/>
    <w:rsid w:val="003E7440"/>
    <w:rsid w:val="003E7984"/>
    <w:rsid w:val="003E7ACB"/>
    <w:rsid w:val="003F0268"/>
    <w:rsid w:val="003F0402"/>
    <w:rsid w:val="003F13C8"/>
    <w:rsid w:val="003F1B1F"/>
    <w:rsid w:val="003F3B08"/>
    <w:rsid w:val="003F3CAA"/>
    <w:rsid w:val="003F5416"/>
    <w:rsid w:val="003F6A04"/>
    <w:rsid w:val="003F7EEA"/>
    <w:rsid w:val="0040009B"/>
    <w:rsid w:val="004027A3"/>
    <w:rsid w:val="00402BFF"/>
    <w:rsid w:val="00402ECC"/>
    <w:rsid w:val="0040301E"/>
    <w:rsid w:val="004031D6"/>
    <w:rsid w:val="00404B99"/>
    <w:rsid w:val="00404EC5"/>
    <w:rsid w:val="004057DE"/>
    <w:rsid w:val="004062DC"/>
    <w:rsid w:val="00407EDE"/>
    <w:rsid w:val="0041153C"/>
    <w:rsid w:val="0041420A"/>
    <w:rsid w:val="00415B5C"/>
    <w:rsid w:val="00415ECC"/>
    <w:rsid w:val="00416791"/>
    <w:rsid w:val="004174BC"/>
    <w:rsid w:val="004175B2"/>
    <w:rsid w:val="00417CF4"/>
    <w:rsid w:val="00420119"/>
    <w:rsid w:val="00420280"/>
    <w:rsid w:val="004202C1"/>
    <w:rsid w:val="00420A1F"/>
    <w:rsid w:val="00420AA7"/>
    <w:rsid w:val="004221B5"/>
    <w:rsid w:val="0042272A"/>
    <w:rsid w:val="00422ECE"/>
    <w:rsid w:val="00423357"/>
    <w:rsid w:val="004236D2"/>
    <w:rsid w:val="00423B3C"/>
    <w:rsid w:val="004242E5"/>
    <w:rsid w:val="00424EA7"/>
    <w:rsid w:val="00425339"/>
    <w:rsid w:val="00425B31"/>
    <w:rsid w:val="00425C49"/>
    <w:rsid w:val="0042674D"/>
    <w:rsid w:val="004268FF"/>
    <w:rsid w:val="00427424"/>
    <w:rsid w:val="00427BF6"/>
    <w:rsid w:val="0043022F"/>
    <w:rsid w:val="00430A03"/>
    <w:rsid w:val="00430C23"/>
    <w:rsid w:val="0043130B"/>
    <w:rsid w:val="00431DCA"/>
    <w:rsid w:val="00431EDC"/>
    <w:rsid w:val="004321CB"/>
    <w:rsid w:val="00432925"/>
    <w:rsid w:val="00432FE3"/>
    <w:rsid w:val="004331E3"/>
    <w:rsid w:val="0043380D"/>
    <w:rsid w:val="004339AF"/>
    <w:rsid w:val="00434DBD"/>
    <w:rsid w:val="00435E96"/>
    <w:rsid w:val="004362F5"/>
    <w:rsid w:val="004368A2"/>
    <w:rsid w:val="00440227"/>
    <w:rsid w:val="00441D77"/>
    <w:rsid w:val="004421DD"/>
    <w:rsid w:val="00442BDD"/>
    <w:rsid w:val="0044327A"/>
    <w:rsid w:val="0044356C"/>
    <w:rsid w:val="00445A98"/>
    <w:rsid w:val="00447218"/>
    <w:rsid w:val="004474F8"/>
    <w:rsid w:val="00450FB1"/>
    <w:rsid w:val="00452886"/>
    <w:rsid w:val="0045388E"/>
    <w:rsid w:val="00453AC1"/>
    <w:rsid w:val="00454167"/>
    <w:rsid w:val="00456263"/>
    <w:rsid w:val="004566F0"/>
    <w:rsid w:val="0045674A"/>
    <w:rsid w:val="00457863"/>
    <w:rsid w:val="00457B45"/>
    <w:rsid w:val="00457F00"/>
    <w:rsid w:val="00460203"/>
    <w:rsid w:val="00460DE7"/>
    <w:rsid w:val="00461398"/>
    <w:rsid w:val="00461FA0"/>
    <w:rsid w:val="004636A5"/>
    <w:rsid w:val="00463EDE"/>
    <w:rsid w:val="004646C1"/>
    <w:rsid w:val="00465582"/>
    <w:rsid w:val="00465609"/>
    <w:rsid w:val="004658C9"/>
    <w:rsid w:val="004667BB"/>
    <w:rsid w:val="004668E2"/>
    <w:rsid w:val="00466ABD"/>
    <w:rsid w:val="00466BB6"/>
    <w:rsid w:val="004701F9"/>
    <w:rsid w:val="004729BA"/>
    <w:rsid w:val="00472EF5"/>
    <w:rsid w:val="00473D03"/>
    <w:rsid w:val="004747C7"/>
    <w:rsid w:val="00474BE6"/>
    <w:rsid w:val="0047563D"/>
    <w:rsid w:val="0047656A"/>
    <w:rsid w:val="004772D7"/>
    <w:rsid w:val="00477602"/>
    <w:rsid w:val="004807E9"/>
    <w:rsid w:val="004808DD"/>
    <w:rsid w:val="00480C24"/>
    <w:rsid w:val="00480C7F"/>
    <w:rsid w:val="00481563"/>
    <w:rsid w:val="00481F3A"/>
    <w:rsid w:val="004830D2"/>
    <w:rsid w:val="00484189"/>
    <w:rsid w:val="00485ECB"/>
    <w:rsid w:val="004872BE"/>
    <w:rsid w:val="00487F15"/>
    <w:rsid w:val="00490372"/>
    <w:rsid w:val="004916AF"/>
    <w:rsid w:val="00491BD9"/>
    <w:rsid w:val="00491F9F"/>
    <w:rsid w:val="00492B41"/>
    <w:rsid w:val="004931CF"/>
    <w:rsid w:val="00493FCE"/>
    <w:rsid w:val="0049533E"/>
    <w:rsid w:val="0049589E"/>
    <w:rsid w:val="00495BE2"/>
    <w:rsid w:val="004A0A6A"/>
    <w:rsid w:val="004A117F"/>
    <w:rsid w:val="004A1E94"/>
    <w:rsid w:val="004A25FE"/>
    <w:rsid w:val="004A2FD0"/>
    <w:rsid w:val="004A3C77"/>
    <w:rsid w:val="004A3CBF"/>
    <w:rsid w:val="004A434C"/>
    <w:rsid w:val="004A43C2"/>
    <w:rsid w:val="004A63DB"/>
    <w:rsid w:val="004A658E"/>
    <w:rsid w:val="004A6F1C"/>
    <w:rsid w:val="004B0337"/>
    <w:rsid w:val="004B07C1"/>
    <w:rsid w:val="004B0981"/>
    <w:rsid w:val="004B0DB2"/>
    <w:rsid w:val="004B2234"/>
    <w:rsid w:val="004B48B2"/>
    <w:rsid w:val="004B734D"/>
    <w:rsid w:val="004B7BB4"/>
    <w:rsid w:val="004B7FD2"/>
    <w:rsid w:val="004C0AD1"/>
    <w:rsid w:val="004C108C"/>
    <w:rsid w:val="004C13B9"/>
    <w:rsid w:val="004C20E3"/>
    <w:rsid w:val="004C2257"/>
    <w:rsid w:val="004C24B9"/>
    <w:rsid w:val="004C34A0"/>
    <w:rsid w:val="004C4711"/>
    <w:rsid w:val="004C5645"/>
    <w:rsid w:val="004D0008"/>
    <w:rsid w:val="004D0469"/>
    <w:rsid w:val="004D07B2"/>
    <w:rsid w:val="004D16B2"/>
    <w:rsid w:val="004D2E96"/>
    <w:rsid w:val="004D3267"/>
    <w:rsid w:val="004D5C18"/>
    <w:rsid w:val="004D6F76"/>
    <w:rsid w:val="004E0D30"/>
    <w:rsid w:val="004E264C"/>
    <w:rsid w:val="004E282C"/>
    <w:rsid w:val="004E284F"/>
    <w:rsid w:val="004E2A8E"/>
    <w:rsid w:val="004E3C20"/>
    <w:rsid w:val="004E45CF"/>
    <w:rsid w:val="004E5134"/>
    <w:rsid w:val="004E669E"/>
    <w:rsid w:val="004E6768"/>
    <w:rsid w:val="004E697B"/>
    <w:rsid w:val="004F09B3"/>
    <w:rsid w:val="004F0AB6"/>
    <w:rsid w:val="004F0E3C"/>
    <w:rsid w:val="004F1107"/>
    <w:rsid w:val="004F13B1"/>
    <w:rsid w:val="004F2670"/>
    <w:rsid w:val="004F2853"/>
    <w:rsid w:val="004F2884"/>
    <w:rsid w:val="004F3660"/>
    <w:rsid w:val="004F378B"/>
    <w:rsid w:val="004F4B74"/>
    <w:rsid w:val="004F4BD6"/>
    <w:rsid w:val="004F50F9"/>
    <w:rsid w:val="004F5CBA"/>
    <w:rsid w:val="004F6665"/>
    <w:rsid w:val="004F7A97"/>
    <w:rsid w:val="004F7BA6"/>
    <w:rsid w:val="00500258"/>
    <w:rsid w:val="005027E4"/>
    <w:rsid w:val="0050288B"/>
    <w:rsid w:val="005029D8"/>
    <w:rsid w:val="00503C97"/>
    <w:rsid w:val="00503E2A"/>
    <w:rsid w:val="00505E69"/>
    <w:rsid w:val="005073AF"/>
    <w:rsid w:val="005074B8"/>
    <w:rsid w:val="00507747"/>
    <w:rsid w:val="00507A8E"/>
    <w:rsid w:val="005101D8"/>
    <w:rsid w:val="00510611"/>
    <w:rsid w:val="00510D5A"/>
    <w:rsid w:val="00510F01"/>
    <w:rsid w:val="00511AF5"/>
    <w:rsid w:val="00511D4B"/>
    <w:rsid w:val="0051264E"/>
    <w:rsid w:val="0051287F"/>
    <w:rsid w:val="005132AF"/>
    <w:rsid w:val="00513697"/>
    <w:rsid w:val="005145CB"/>
    <w:rsid w:val="00514AF7"/>
    <w:rsid w:val="005161EF"/>
    <w:rsid w:val="00516310"/>
    <w:rsid w:val="00516AAC"/>
    <w:rsid w:val="00517E2B"/>
    <w:rsid w:val="00521891"/>
    <w:rsid w:val="005222B1"/>
    <w:rsid w:val="005230F4"/>
    <w:rsid w:val="0052377C"/>
    <w:rsid w:val="00525E39"/>
    <w:rsid w:val="0052660E"/>
    <w:rsid w:val="00526693"/>
    <w:rsid w:val="0052785C"/>
    <w:rsid w:val="00530CE4"/>
    <w:rsid w:val="00531483"/>
    <w:rsid w:val="00531E52"/>
    <w:rsid w:val="00531FBA"/>
    <w:rsid w:val="0053212F"/>
    <w:rsid w:val="0053280E"/>
    <w:rsid w:val="00533A5F"/>
    <w:rsid w:val="00533AFF"/>
    <w:rsid w:val="00534E9F"/>
    <w:rsid w:val="00537141"/>
    <w:rsid w:val="00537B15"/>
    <w:rsid w:val="005417A4"/>
    <w:rsid w:val="005419AA"/>
    <w:rsid w:val="00542CC4"/>
    <w:rsid w:val="005430D5"/>
    <w:rsid w:val="0054358B"/>
    <w:rsid w:val="00544675"/>
    <w:rsid w:val="0054485C"/>
    <w:rsid w:val="005457D6"/>
    <w:rsid w:val="00546487"/>
    <w:rsid w:val="00546797"/>
    <w:rsid w:val="00546822"/>
    <w:rsid w:val="00546B2D"/>
    <w:rsid w:val="00546F93"/>
    <w:rsid w:val="00547721"/>
    <w:rsid w:val="00547A58"/>
    <w:rsid w:val="005516A5"/>
    <w:rsid w:val="00553736"/>
    <w:rsid w:val="00553812"/>
    <w:rsid w:val="00555A20"/>
    <w:rsid w:val="005560AB"/>
    <w:rsid w:val="00556490"/>
    <w:rsid w:val="00556E0E"/>
    <w:rsid w:val="005576CD"/>
    <w:rsid w:val="0056095C"/>
    <w:rsid w:val="0056152B"/>
    <w:rsid w:val="00561F6F"/>
    <w:rsid w:val="005625DF"/>
    <w:rsid w:val="0056261C"/>
    <w:rsid w:val="0056272A"/>
    <w:rsid w:val="00562DE6"/>
    <w:rsid w:val="00563ADB"/>
    <w:rsid w:val="00564A2B"/>
    <w:rsid w:val="00565BDE"/>
    <w:rsid w:val="005665C4"/>
    <w:rsid w:val="0056665F"/>
    <w:rsid w:val="005669F8"/>
    <w:rsid w:val="00566BC6"/>
    <w:rsid w:val="00570387"/>
    <w:rsid w:val="00570CB3"/>
    <w:rsid w:val="005723F6"/>
    <w:rsid w:val="005742C7"/>
    <w:rsid w:val="00574774"/>
    <w:rsid w:val="00574ABA"/>
    <w:rsid w:val="00574E02"/>
    <w:rsid w:val="00575C2C"/>
    <w:rsid w:val="00575CE1"/>
    <w:rsid w:val="00576011"/>
    <w:rsid w:val="0057605F"/>
    <w:rsid w:val="005768F5"/>
    <w:rsid w:val="00577548"/>
    <w:rsid w:val="00580435"/>
    <w:rsid w:val="00580579"/>
    <w:rsid w:val="005805F7"/>
    <w:rsid w:val="00584023"/>
    <w:rsid w:val="005853E9"/>
    <w:rsid w:val="0058559D"/>
    <w:rsid w:val="00585A15"/>
    <w:rsid w:val="00587149"/>
    <w:rsid w:val="005878FF"/>
    <w:rsid w:val="00587A33"/>
    <w:rsid w:val="00587C40"/>
    <w:rsid w:val="005905E8"/>
    <w:rsid w:val="00591A31"/>
    <w:rsid w:val="00591E00"/>
    <w:rsid w:val="00592449"/>
    <w:rsid w:val="00593466"/>
    <w:rsid w:val="00594494"/>
    <w:rsid w:val="00594AF9"/>
    <w:rsid w:val="00594F2D"/>
    <w:rsid w:val="005959CE"/>
    <w:rsid w:val="00595B6E"/>
    <w:rsid w:val="0059608F"/>
    <w:rsid w:val="00596B35"/>
    <w:rsid w:val="005A18A8"/>
    <w:rsid w:val="005A1AD0"/>
    <w:rsid w:val="005A2ADA"/>
    <w:rsid w:val="005A2E7A"/>
    <w:rsid w:val="005A33F3"/>
    <w:rsid w:val="005A3CAA"/>
    <w:rsid w:val="005A3CC9"/>
    <w:rsid w:val="005A5623"/>
    <w:rsid w:val="005A63F1"/>
    <w:rsid w:val="005A6817"/>
    <w:rsid w:val="005A6B57"/>
    <w:rsid w:val="005B0B77"/>
    <w:rsid w:val="005B0D3C"/>
    <w:rsid w:val="005B3312"/>
    <w:rsid w:val="005B4047"/>
    <w:rsid w:val="005B45FE"/>
    <w:rsid w:val="005B58EA"/>
    <w:rsid w:val="005B606F"/>
    <w:rsid w:val="005B712D"/>
    <w:rsid w:val="005B78BE"/>
    <w:rsid w:val="005B7BE9"/>
    <w:rsid w:val="005B7E03"/>
    <w:rsid w:val="005B7E15"/>
    <w:rsid w:val="005C1214"/>
    <w:rsid w:val="005C15A3"/>
    <w:rsid w:val="005C35FF"/>
    <w:rsid w:val="005C3C84"/>
    <w:rsid w:val="005C4E5B"/>
    <w:rsid w:val="005C53CB"/>
    <w:rsid w:val="005C587C"/>
    <w:rsid w:val="005C6676"/>
    <w:rsid w:val="005C66E3"/>
    <w:rsid w:val="005C7582"/>
    <w:rsid w:val="005D0846"/>
    <w:rsid w:val="005D24FD"/>
    <w:rsid w:val="005D3EA2"/>
    <w:rsid w:val="005D4184"/>
    <w:rsid w:val="005D4202"/>
    <w:rsid w:val="005D4684"/>
    <w:rsid w:val="005D5028"/>
    <w:rsid w:val="005D5188"/>
    <w:rsid w:val="005D52DB"/>
    <w:rsid w:val="005D6150"/>
    <w:rsid w:val="005D69EF"/>
    <w:rsid w:val="005D7388"/>
    <w:rsid w:val="005D7702"/>
    <w:rsid w:val="005D7B0B"/>
    <w:rsid w:val="005E0566"/>
    <w:rsid w:val="005E0C09"/>
    <w:rsid w:val="005E1122"/>
    <w:rsid w:val="005E210E"/>
    <w:rsid w:val="005E298F"/>
    <w:rsid w:val="005E3230"/>
    <w:rsid w:val="005E3B68"/>
    <w:rsid w:val="005E48BD"/>
    <w:rsid w:val="005E6843"/>
    <w:rsid w:val="005E6A47"/>
    <w:rsid w:val="005F0250"/>
    <w:rsid w:val="005F06DE"/>
    <w:rsid w:val="005F1F0A"/>
    <w:rsid w:val="005F3752"/>
    <w:rsid w:val="005F379D"/>
    <w:rsid w:val="005F4B8A"/>
    <w:rsid w:val="005F596E"/>
    <w:rsid w:val="005F5970"/>
    <w:rsid w:val="005F6B06"/>
    <w:rsid w:val="005F6B16"/>
    <w:rsid w:val="005F71BC"/>
    <w:rsid w:val="005F7622"/>
    <w:rsid w:val="005F7F1C"/>
    <w:rsid w:val="0060093E"/>
    <w:rsid w:val="00600E2C"/>
    <w:rsid w:val="006014AF"/>
    <w:rsid w:val="0060300F"/>
    <w:rsid w:val="00603AAB"/>
    <w:rsid w:val="00604076"/>
    <w:rsid w:val="006072DE"/>
    <w:rsid w:val="00607915"/>
    <w:rsid w:val="00610B9E"/>
    <w:rsid w:val="00610CB5"/>
    <w:rsid w:val="006118FE"/>
    <w:rsid w:val="006126E1"/>
    <w:rsid w:val="00612F99"/>
    <w:rsid w:val="00614B3E"/>
    <w:rsid w:val="006156D2"/>
    <w:rsid w:val="006160E6"/>
    <w:rsid w:val="00616DE2"/>
    <w:rsid w:val="00616E8D"/>
    <w:rsid w:val="0061775B"/>
    <w:rsid w:val="00617902"/>
    <w:rsid w:val="00617AF4"/>
    <w:rsid w:val="0062039C"/>
    <w:rsid w:val="00620877"/>
    <w:rsid w:val="0062094C"/>
    <w:rsid w:val="00621D9B"/>
    <w:rsid w:val="0062228F"/>
    <w:rsid w:val="00622F56"/>
    <w:rsid w:val="00623161"/>
    <w:rsid w:val="006239E1"/>
    <w:rsid w:val="00623CD5"/>
    <w:rsid w:val="0062407D"/>
    <w:rsid w:val="00625E30"/>
    <w:rsid w:val="00626887"/>
    <w:rsid w:val="00626B07"/>
    <w:rsid w:val="00627BD7"/>
    <w:rsid w:val="00627E68"/>
    <w:rsid w:val="00630426"/>
    <w:rsid w:val="0063101E"/>
    <w:rsid w:val="00631446"/>
    <w:rsid w:val="006316AF"/>
    <w:rsid w:val="0063312C"/>
    <w:rsid w:val="0063425A"/>
    <w:rsid w:val="006350DD"/>
    <w:rsid w:val="00635104"/>
    <w:rsid w:val="006356CF"/>
    <w:rsid w:val="006369DC"/>
    <w:rsid w:val="00636CEE"/>
    <w:rsid w:val="0063707E"/>
    <w:rsid w:val="0063744D"/>
    <w:rsid w:val="00642510"/>
    <w:rsid w:val="006437F0"/>
    <w:rsid w:val="00644431"/>
    <w:rsid w:val="00646584"/>
    <w:rsid w:val="00647353"/>
    <w:rsid w:val="00650A2B"/>
    <w:rsid w:val="00651AD1"/>
    <w:rsid w:val="00651F3C"/>
    <w:rsid w:val="00651FDF"/>
    <w:rsid w:val="0065374B"/>
    <w:rsid w:val="00655CEF"/>
    <w:rsid w:val="0065711D"/>
    <w:rsid w:val="00657F8F"/>
    <w:rsid w:val="00662202"/>
    <w:rsid w:val="00662F0D"/>
    <w:rsid w:val="00663397"/>
    <w:rsid w:val="0066343B"/>
    <w:rsid w:val="00663D11"/>
    <w:rsid w:val="006640BF"/>
    <w:rsid w:val="006649AD"/>
    <w:rsid w:val="00664F0F"/>
    <w:rsid w:val="0066577E"/>
    <w:rsid w:val="0067055A"/>
    <w:rsid w:val="00670918"/>
    <w:rsid w:val="00670C8F"/>
    <w:rsid w:val="006715F4"/>
    <w:rsid w:val="00671986"/>
    <w:rsid w:val="00671CC9"/>
    <w:rsid w:val="006727D2"/>
    <w:rsid w:val="00672AF2"/>
    <w:rsid w:val="00676E7E"/>
    <w:rsid w:val="00677759"/>
    <w:rsid w:val="00677C91"/>
    <w:rsid w:val="00677FBC"/>
    <w:rsid w:val="0068014A"/>
    <w:rsid w:val="00680B8F"/>
    <w:rsid w:val="006811DE"/>
    <w:rsid w:val="00681555"/>
    <w:rsid w:val="0068187D"/>
    <w:rsid w:val="0068192D"/>
    <w:rsid w:val="00681AD5"/>
    <w:rsid w:val="006820B8"/>
    <w:rsid w:val="006821DC"/>
    <w:rsid w:val="00683153"/>
    <w:rsid w:val="00683481"/>
    <w:rsid w:val="00683A2E"/>
    <w:rsid w:val="0068419D"/>
    <w:rsid w:val="00684783"/>
    <w:rsid w:val="00685C5B"/>
    <w:rsid w:val="00686D74"/>
    <w:rsid w:val="0068723D"/>
    <w:rsid w:val="006873B2"/>
    <w:rsid w:val="00687A3C"/>
    <w:rsid w:val="00690AE3"/>
    <w:rsid w:val="006929D9"/>
    <w:rsid w:val="006936BF"/>
    <w:rsid w:val="0069595F"/>
    <w:rsid w:val="00696299"/>
    <w:rsid w:val="006969A5"/>
    <w:rsid w:val="006974A7"/>
    <w:rsid w:val="006976F2"/>
    <w:rsid w:val="00697BC3"/>
    <w:rsid w:val="00697C64"/>
    <w:rsid w:val="00697D84"/>
    <w:rsid w:val="006A018C"/>
    <w:rsid w:val="006A1280"/>
    <w:rsid w:val="006A15F1"/>
    <w:rsid w:val="006A1D85"/>
    <w:rsid w:val="006A276E"/>
    <w:rsid w:val="006A3045"/>
    <w:rsid w:val="006A3235"/>
    <w:rsid w:val="006A37D5"/>
    <w:rsid w:val="006A3844"/>
    <w:rsid w:val="006A4C03"/>
    <w:rsid w:val="006A5111"/>
    <w:rsid w:val="006A597A"/>
    <w:rsid w:val="006A5D33"/>
    <w:rsid w:val="006A618C"/>
    <w:rsid w:val="006B0264"/>
    <w:rsid w:val="006B0828"/>
    <w:rsid w:val="006B0BDF"/>
    <w:rsid w:val="006B15D0"/>
    <w:rsid w:val="006B1D08"/>
    <w:rsid w:val="006B1E9D"/>
    <w:rsid w:val="006B3621"/>
    <w:rsid w:val="006B3BBD"/>
    <w:rsid w:val="006B56FB"/>
    <w:rsid w:val="006B5A0D"/>
    <w:rsid w:val="006B64A2"/>
    <w:rsid w:val="006B6BF6"/>
    <w:rsid w:val="006B760F"/>
    <w:rsid w:val="006B7A0D"/>
    <w:rsid w:val="006B7D01"/>
    <w:rsid w:val="006C006B"/>
    <w:rsid w:val="006C01FA"/>
    <w:rsid w:val="006C0E62"/>
    <w:rsid w:val="006C2EFC"/>
    <w:rsid w:val="006C31B7"/>
    <w:rsid w:val="006C3C11"/>
    <w:rsid w:val="006C3D97"/>
    <w:rsid w:val="006C4546"/>
    <w:rsid w:val="006C478C"/>
    <w:rsid w:val="006C4A5F"/>
    <w:rsid w:val="006C4B22"/>
    <w:rsid w:val="006C4C6A"/>
    <w:rsid w:val="006C5FA5"/>
    <w:rsid w:val="006C669C"/>
    <w:rsid w:val="006C66C0"/>
    <w:rsid w:val="006C6CE7"/>
    <w:rsid w:val="006D228B"/>
    <w:rsid w:val="006D347A"/>
    <w:rsid w:val="006D425F"/>
    <w:rsid w:val="006D5048"/>
    <w:rsid w:val="006D55AC"/>
    <w:rsid w:val="006D5E6F"/>
    <w:rsid w:val="006D67B8"/>
    <w:rsid w:val="006D6C5C"/>
    <w:rsid w:val="006D78FD"/>
    <w:rsid w:val="006E13DE"/>
    <w:rsid w:val="006E2587"/>
    <w:rsid w:val="006E25AF"/>
    <w:rsid w:val="006E2D3A"/>
    <w:rsid w:val="006E40DA"/>
    <w:rsid w:val="006E45C2"/>
    <w:rsid w:val="006E478E"/>
    <w:rsid w:val="006E59B3"/>
    <w:rsid w:val="006E5D8D"/>
    <w:rsid w:val="006E613E"/>
    <w:rsid w:val="006E67FE"/>
    <w:rsid w:val="006F0C85"/>
    <w:rsid w:val="006F1400"/>
    <w:rsid w:val="006F1816"/>
    <w:rsid w:val="006F1A71"/>
    <w:rsid w:val="006F1CB1"/>
    <w:rsid w:val="006F2D82"/>
    <w:rsid w:val="006F355B"/>
    <w:rsid w:val="006F3D89"/>
    <w:rsid w:val="006F3FFE"/>
    <w:rsid w:val="006F4315"/>
    <w:rsid w:val="006F63B2"/>
    <w:rsid w:val="006F6A31"/>
    <w:rsid w:val="006F6AEE"/>
    <w:rsid w:val="006F6BDC"/>
    <w:rsid w:val="006F735A"/>
    <w:rsid w:val="006F7B6C"/>
    <w:rsid w:val="00700128"/>
    <w:rsid w:val="00701584"/>
    <w:rsid w:val="00701745"/>
    <w:rsid w:val="00702E29"/>
    <w:rsid w:val="00704072"/>
    <w:rsid w:val="0070446F"/>
    <w:rsid w:val="007056CD"/>
    <w:rsid w:val="00705990"/>
    <w:rsid w:val="00706744"/>
    <w:rsid w:val="00710C2F"/>
    <w:rsid w:val="00710C51"/>
    <w:rsid w:val="0071131E"/>
    <w:rsid w:val="00711ACA"/>
    <w:rsid w:val="00711C28"/>
    <w:rsid w:val="00713B7E"/>
    <w:rsid w:val="007143FA"/>
    <w:rsid w:val="007150B2"/>
    <w:rsid w:val="007159BF"/>
    <w:rsid w:val="00715EC2"/>
    <w:rsid w:val="00716500"/>
    <w:rsid w:val="0071699A"/>
    <w:rsid w:val="00716DB2"/>
    <w:rsid w:val="00720D88"/>
    <w:rsid w:val="0072123E"/>
    <w:rsid w:val="0072208C"/>
    <w:rsid w:val="0072286B"/>
    <w:rsid w:val="00722BB7"/>
    <w:rsid w:val="00722ED9"/>
    <w:rsid w:val="00724175"/>
    <w:rsid w:val="007244E5"/>
    <w:rsid w:val="007249A0"/>
    <w:rsid w:val="00724DC6"/>
    <w:rsid w:val="00724DCB"/>
    <w:rsid w:val="007255B0"/>
    <w:rsid w:val="00725B7B"/>
    <w:rsid w:val="0072640C"/>
    <w:rsid w:val="00726443"/>
    <w:rsid w:val="00726A32"/>
    <w:rsid w:val="00726C4B"/>
    <w:rsid w:val="007273BC"/>
    <w:rsid w:val="00730598"/>
    <w:rsid w:val="00730FDC"/>
    <w:rsid w:val="00732085"/>
    <w:rsid w:val="00734695"/>
    <w:rsid w:val="00735460"/>
    <w:rsid w:val="007360B0"/>
    <w:rsid w:val="00736561"/>
    <w:rsid w:val="00736F86"/>
    <w:rsid w:val="00737C14"/>
    <w:rsid w:val="00742042"/>
    <w:rsid w:val="00743A90"/>
    <w:rsid w:val="00743AFB"/>
    <w:rsid w:val="00744775"/>
    <w:rsid w:val="00745B71"/>
    <w:rsid w:val="00746005"/>
    <w:rsid w:val="00746849"/>
    <w:rsid w:val="00746910"/>
    <w:rsid w:val="00751AE2"/>
    <w:rsid w:val="00752D01"/>
    <w:rsid w:val="00753122"/>
    <w:rsid w:val="0075336A"/>
    <w:rsid w:val="007543A5"/>
    <w:rsid w:val="007543FA"/>
    <w:rsid w:val="00754712"/>
    <w:rsid w:val="0075499F"/>
    <w:rsid w:val="00757474"/>
    <w:rsid w:val="00757AEB"/>
    <w:rsid w:val="00757E60"/>
    <w:rsid w:val="00761202"/>
    <w:rsid w:val="00761D63"/>
    <w:rsid w:val="00763AFB"/>
    <w:rsid w:val="00763E53"/>
    <w:rsid w:val="0076442A"/>
    <w:rsid w:val="00765113"/>
    <w:rsid w:val="007656AD"/>
    <w:rsid w:val="00765874"/>
    <w:rsid w:val="00765961"/>
    <w:rsid w:val="00766525"/>
    <w:rsid w:val="007667B5"/>
    <w:rsid w:val="00767C67"/>
    <w:rsid w:val="0077042F"/>
    <w:rsid w:val="007705F0"/>
    <w:rsid w:val="007712B9"/>
    <w:rsid w:val="0077180B"/>
    <w:rsid w:val="00771AAC"/>
    <w:rsid w:val="00773424"/>
    <w:rsid w:val="007736BC"/>
    <w:rsid w:val="007744E0"/>
    <w:rsid w:val="00774988"/>
    <w:rsid w:val="00775664"/>
    <w:rsid w:val="00776197"/>
    <w:rsid w:val="00776D2D"/>
    <w:rsid w:val="007771C3"/>
    <w:rsid w:val="00777A81"/>
    <w:rsid w:val="00777E7D"/>
    <w:rsid w:val="00780B35"/>
    <w:rsid w:val="00781F10"/>
    <w:rsid w:val="00782130"/>
    <w:rsid w:val="00785E9A"/>
    <w:rsid w:val="007869EC"/>
    <w:rsid w:val="00786A27"/>
    <w:rsid w:val="007906BA"/>
    <w:rsid w:val="007906F5"/>
    <w:rsid w:val="00791314"/>
    <w:rsid w:val="00792197"/>
    <w:rsid w:val="007924DB"/>
    <w:rsid w:val="0079556F"/>
    <w:rsid w:val="00795FA6"/>
    <w:rsid w:val="00797573"/>
    <w:rsid w:val="007975B6"/>
    <w:rsid w:val="007A08C5"/>
    <w:rsid w:val="007A100A"/>
    <w:rsid w:val="007A128F"/>
    <w:rsid w:val="007A1396"/>
    <w:rsid w:val="007A1899"/>
    <w:rsid w:val="007A230F"/>
    <w:rsid w:val="007A31C0"/>
    <w:rsid w:val="007A390B"/>
    <w:rsid w:val="007A3B39"/>
    <w:rsid w:val="007A497A"/>
    <w:rsid w:val="007A5742"/>
    <w:rsid w:val="007A6349"/>
    <w:rsid w:val="007A6915"/>
    <w:rsid w:val="007A7A15"/>
    <w:rsid w:val="007A7EDD"/>
    <w:rsid w:val="007B0294"/>
    <w:rsid w:val="007B062F"/>
    <w:rsid w:val="007B116D"/>
    <w:rsid w:val="007B1483"/>
    <w:rsid w:val="007B17D7"/>
    <w:rsid w:val="007B2332"/>
    <w:rsid w:val="007B2364"/>
    <w:rsid w:val="007B270E"/>
    <w:rsid w:val="007B410B"/>
    <w:rsid w:val="007B4E94"/>
    <w:rsid w:val="007B5184"/>
    <w:rsid w:val="007B63AE"/>
    <w:rsid w:val="007B78B6"/>
    <w:rsid w:val="007B7C5C"/>
    <w:rsid w:val="007C155D"/>
    <w:rsid w:val="007C19E2"/>
    <w:rsid w:val="007C2EC7"/>
    <w:rsid w:val="007C3132"/>
    <w:rsid w:val="007C432A"/>
    <w:rsid w:val="007C4C79"/>
    <w:rsid w:val="007C4E5B"/>
    <w:rsid w:val="007C4F2D"/>
    <w:rsid w:val="007C50D7"/>
    <w:rsid w:val="007C589F"/>
    <w:rsid w:val="007C67ED"/>
    <w:rsid w:val="007C71C2"/>
    <w:rsid w:val="007C74FD"/>
    <w:rsid w:val="007C779D"/>
    <w:rsid w:val="007D0262"/>
    <w:rsid w:val="007D0A66"/>
    <w:rsid w:val="007D0A6E"/>
    <w:rsid w:val="007D1CA0"/>
    <w:rsid w:val="007D263B"/>
    <w:rsid w:val="007D4603"/>
    <w:rsid w:val="007D4F5A"/>
    <w:rsid w:val="007D519B"/>
    <w:rsid w:val="007D5723"/>
    <w:rsid w:val="007D5826"/>
    <w:rsid w:val="007D59E5"/>
    <w:rsid w:val="007E0175"/>
    <w:rsid w:val="007E01F8"/>
    <w:rsid w:val="007E0244"/>
    <w:rsid w:val="007E26AE"/>
    <w:rsid w:val="007E287B"/>
    <w:rsid w:val="007E28E9"/>
    <w:rsid w:val="007E2E01"/>
    <w:rsid w:val="007E3572"/>
    <w:rsid w:val="007E532C"/>
    <w:rsid w:val="007E540C"/>
    <w:rsid w:val="007E6E94"/>
    <w:rsid w:val="007E78F3"/>
    <w:rsid w:val="007F1F78"/>
    <w:rsid w:val="007F32CA"/>
    <w:rsid w:val="007F46BD"/>
    <w:rsid w:val="007F4E56"/>
    <w:rsid w:val="007F51CF"/>
    <w:rsid w:val="007F5957"/>
    <w:rsid w:val="007F6C71"/>
    <w:rsid w:val="007F6E76"/>
    <w:rsid w:val="007F7592"/>
    <w:rsid w:val="007F76E4"/>
    <w:rsid w:val="007F7F94"/>
    <w:rsid w:val="0080076D"/>
    <w:rsid w:val="00800E61"/>
    <w:rsid w:val="00800EB0"/>
    <w:rsid w:val="008031D7"/>
    <w:rsid w:val="0080379A"/>
    <w:rsid w:val="00803F16"/>
    <w:rsid w:val="00805B71"/>
    <w:rsid w:val="0080607A"/>
    <w:rsid w:val="00806C29"/>
    <w:rsid w:val="00806D40"/>
    <w:rsid w:val="0081035E"/>
    <w:rsid w:val="00810879"/>
    <w:rsid w:val="008109B2"/>
    <w:rsid w:val="00811C54"/>
    <w:rsid w:val="00812097"/>
    <w:rsid w:val="00813E21"/>
    <w:rsid w:val="00814168"/>
    <w:rsid w:val="008146D5"/>
    <w:rsid w:val="0081491C"/>
    <w:rsid w:val="00814B2E"/>
    <w:rsid w:val="00814C3E"/>
    <w:rsid w:val="00814C41"/>
    <w:rsid w:val="00814DE7"/>
    <w:rsid w:val="0081555A"/>
    <w:rsid w:val="00816282"/>
    <w:rsid w:val="0081634A"/>
    <w:rsid w:val="00817F08"/>
    <w:rsid w:val="008210CE"/>
    <w:rsid w:val="008215A3"/>
    <w:rsid w:val="00821732"/>
    <w:rsid w:val="00821DFE"/>
    <w:rsid w:val="0082227B"/>
    <w:rsid w:val="00822FEA"/>
    <w:rsid w:val="00824464"/>
    <w:rsid w:val="008246A9"/>
    <w:rsid w:val="00824D15"/>
    <w:rsid w:val="00826806"/>
    <w:rsid w:val="0082690E"/>
    <w:rsid w:val="00826F4E"/>
    <w:rsid w:val="00827272"/>
    <w:rsid w:val="008274E4"/>
    <w:rsid w:val="00827B17"/>
    <w:rsid w:val="00827B49"/>
    <w:rsid w:val="00830BFC"/>
    <w:rsid w:val="00831314"/>
    <w:rsid w:val="00831751"/>
    <w:rsid w:val="008317C8"/>
    <w:rsid w:val="008333CA"/>
    <w:rsid w:val="00834A80"/>
    <w:rsid w:val="00834E54"/>
    <w:rsid w:val="008354B7"/>
    <w:rsid w:val="00836278"/>
    <w:rsid w:val="00836FED"/>
    <w:rsid w:val="00843112"/>
    <w:rsid w:val="00843A60"/>
    <w:rsid w:val="008459FA"/>
    <w:rsid w:val="00846054"/>
    <w:rsid w:val="00846BF1"/>
    <w:rsid w:val="008470A1"/>
    <w:rsid w:val="0084729D"/>
    <w:rsid w:val="008474FD"/>
    <w:rsid w:val="00850EBC"/>
    <w:rsid w:val="00851FA2"/>
    <w:rsid w:val="00852466"/>
    <w:rsid w:val="0085260A"/>
    <w:rsid w:val="008528F6"/>
    <w:rsid w:val="00852A42"/>
    <w:rsid w:val="00853BDE"/>
    <w:rsid w:val="00855EC0"/>
    <w:rsid w:val="00855FD8"/>
    <w:rsid w:val="00856112"/>
    <w:rsid w:val="0085626E"/>
    <w:rsid w:val="0085638C"/>
    <w:rsid w:val="00860BBB"/>
    <w:rsid w:val="00860E3D"/>
    <w:rsid w:val="00860F21"/>
    <w:rsid w:val="00861166"/>
    <w:rsid w:val="00861965"/>
    <w:rsid w:val="00862428"/>
    <w:rsid w:val="008625EB"/>
    <w:rsid w:val="00863FE8"/>
    <w:rsid w:val="00864B25"/>
    <w:rsid w:val="0086515B"/>
    <w:rsid w:val="00865F7A"/>
    <w:rsid w:val="00870B93"/>
    <w:rsid w:val="00871EA3"/>
    <w:rsid w:val="0087263B"/>
    <w:rsid w:val="00873AB4"/>
    <w:rsid w:val="00875251"/>
    <w:rsid w:val="008757C9"/>
    <w:rsid w:val="0088034A"/>
    <w:rsid w:val="008804DD"/>
    <w:rsid w:val="008808AD"/>
    <w:rsid w:val="00880939"/>
    <w:rsid w:val="00880A29"/>
    <w:rsid w:val="00880E21"/>
    <w:rsid w:val="00880EAE"/>
    <w:rsid w:val="00880EBC"/>
    <w:rsid w:val="0088212D"/>
    <w:rsid w:val="008828AC"/>
    <w:rsid w:val="00882E32"/>
    <w:rsid w:val="00884CFC"/>
    <w:rsid w:val="00885517"/>
    <w:rsid w:val="008869B2"/>
    <w:rsid w:val="00886B0A"/>
    <w:rsid w:val="00886DAF"/>
    <w:rsid w:val="0088728E"/>
    <w:rsid w:val="00887DF7"/>
    <w:rsid w:val="00891183"/>
    <w:rsid w:val="0089137F"/>
    <w:rsid w:val="00891AA0"/>
    <w:rsid w:val="008924B3"/>
    <w:rsid w:val="0089283E"/>
    <w:rsid w:val="00892CA2"/>
    <w:rsid w:val="00893655"/>
    <w:rsid w:val="00894123"/>
    <w:rsid w:val="00894689"/>
    <w:rsid w:val="00894C04"/>
    <w:rsid w:val="00895A85"/>
    <w:rsid w:val="00895EFF"/>
    <w:rsid w:val="00896128"/>
    <w:rsid w:val="008A0553"/>
    <w:rsid w:val="008A2CC5"/>
    <w:rsid w:val="008A2D4D"/>
    <w:rsid w:val="008A329C"/>
    <w:rsid w:val="008A334C"/>
    <w:rsid w:val="008A6045"/>
    <w:rsid w:val="008A63F9"/>
    <w:rsid w:val="008A6641"/>
    <w:rsid w:val="008A6A3F"/>
    <w:rsid w:val="008A745C"/>
    <w:rsid w:val="008A76D9"/>
    <w:rsid w:val="008B06E2"/>
    <w:rsid w:val="008B0D91"/>
    <w:rsid w:val="008B130D"/>
    <w:rsid w:val="008B1D3E"/>
    <w:rsid w:val="008B2F2A"/>
    <w:rsid w:val="008B435B"/>
    <w:rsid w:val="008B4C29"/>
    <w:rsid w:val="008B525F"/>
    <w:rsid w:val="008B52C4"/>
    <w:rsid w:val="008B6972"/>
    <w:rsid w:val="008B7723"/>
    <w:rsid w:val="008B7AED"/>
    <w:rsid w:val="008C0029"/>
    <w:rsid w:val="008C0E38"/>
    <w:rsid w:val="008C192C"/>
    <w:rsid w:val="008C2286"/>
    <w:rsid w:val="008C3603"/>
    <w:rsid w:val="008C360C"/>
    <w:rsid w:val="008C41C9"/>
    <w:rsid w:val="008C5AF8"/>
    <w:rsid w:val="008C5F9F"/>
    <w:rsid w:val="008C77E0"/>
    <w:rsid w:val="008D0137"/>
    <w:rsid w:val="008D04E7"/>
    <w:rsid w:val="008D051B"/>
    <w:rsid w:val="008D069E"/>
    <w:rsid w:val="008D14C4"/>
    <w:rsid w:val="008D25BA"/>
    <w:rsid w:val="008D3019"/>
    <w:rsid w:val="008D3DFE"/>
    <w:rsid w:val="008D43FB"/>
    <w:rsid w:val="008D4AFA"/>
    <w:rsid w:val="008D4DB2"/>
    <w:rsid w:val="008D522C"/>
    <w:rsid w:val="008D7F96"/>
    <w:rsid w:val="008E0C25"/>
    <w:rsid w:val="008E0FCB"/>
    <w:rsid w:val="008E14C5"/>
    <w:rsid w:val="008E20F6"/>
    <w:rsid w:val="008E25E2"/>
    <w:rsid w:val="008E3860"/>
    <w:rsid w:val="008E3E6B"/>
    <w:rsid w:val="008E3FD0"/>
    <w:rsid w:val="008E44AD"/>
    <w:rsid w:val="008E4C63"/>
    <w:rsid w:val="008E4E1C"/>
    <w:rsid w:val="008E4F0F"/>
    <w:rsid w:val="008E5A66"/>
    <w:rsid w:val="008E5D7F"/>
    <w:rsid w:val="008E6E61"/>
    <w:rsid w:val="008E76A0"/>
    <w:rsid w:val="008E7E8F"/>
    <w:rsid w:val="008F0975"/>
    <w:rsid w:val="008F1AF9"/>
    <w:rsid w:val="008F282C"/>
    <w:rsid w:val="008F43D5"/>
    <w:rsid w:val="008F4674"/>
    <w:rsid w:val="008F4724"/>
    <w:rsid w:val="008F6CC3"/>
    <w:rsid w:val="008F73D7"/>
    <w:rsid w:val="008F7B26"/>
    <w:rsid w:val="00900945"/>
    <w:rsid w:val="00901CF7"/>
    <w:rsid w:val="00901F97"/>
    <w:rsid w:val="00902C9A"/>
    <w:rsid w:val="009035EA"/>
    <w:rsid w:val="00905D42"/>
    <w:rsid w:val="00905D75"/>
    <w:rsid w:val="00905EC8"/>
    <w:rsid w:val="009065EA"/>
    <w:rsid w:val="00907BA6"/>
    <w:rsid w:val="00907FC4"/>
    <w:rsid w:val="00910DF2"/>
    <w:rsid w:val="00911F16"/>
    <w:rsid w:val="009121E6"/>
    <w:rsid w:val="00912A5F"/>
    <w:rsid w:val="00913F18"/>
    <w:rsid w:val="00915704"/>
    <w:rsid w:val="009167A5"/>
    <w:rsid w:val="0092030F"/>
    <w:rsid w:val="00921BFD"/>
    <w:rsid w:val="00921D4B"/>
    <w:rsid w:val="009242CF"/>
    <w:rsid w:val="009264BC"/>
    <w:rsid w:val="00926576"/>
    <w:rsid w:val="009265B6"/>
    <w:rsid w:val="0092678A"/>
    <w:rsid w:val="00926A30"/>
    <w:rsid w:val="009301A7"/>
    <w:rsid w:val="00930A18"/>
    <w:rsid w:val="009314B3"/>
    <w:rsid w:val="00931665"/>
    <w:rsid w:val="00932742"/>
    <w:rsid w:val="009330B5"/>
    <w:rsid w:val="0093398B"/>
    <w:rsid w:val="00933BA6"/>
    <w:rsid w:val="00933FE8"/>
    <w:rsid w:val="00934347"/>
    <w:rsid w:val="00934BCD"/>
    <w:rsid w:val="0093634A"/>
    <w:rsid w:val="009373D0"/>
    <w:rsid w:val="00940F54"/>
    <w:rsid w:val="0094114D"/>
    <w:rsid w:val="00941E87"/>
    <w:rsid w:val="009421C8"/>
    <w:rsid w:val="009427FE"/>
    <w:rsid w:val="009428DF"/>
    <w:rsid w:val="00942CA9"/>
    <w:rsid w:val="0094316F"/>
    <w:rsid w:val="009436F5"/>
    <w:rsid w:val="009456E1"/>
    <w:rsid w:val="00945B6B"/>
    <w:rsid w:val="00946E28"/>
    <w:rsid w:val="00946F54"/>
    <w:rsid w:val="00947249"/>
    <w:rsid w:val="009477F7"/>
    <w:rsid w:val="009478DC"/>
    <w:rsid w:val="00947B2B"/>
    <w:rsid w:val="00951383"/>
    <w:rsid w:val="0095162F"/>
    <w:rsid w:val="009532FD"/>
    <w:rsid w:val="0095348B"/>
    <w:rsid w:val="0095422C"/>
    <w:rsid w:val="009547B2"/>
    <w:rsid w:val="00954ABB"/>
    <w:rsid w:val="00954C76"/>
    <w:rsid w:val="00954EEE"/>
    <w:rsid w:val="00956519"/>
    <w:rsid w:val="009572B5"/>
    <w:rsid w:val="00960430"/>
    <w:rsid w:val="00960FEA"/>
    <w:rsid w:val="00961F39"/>
    <w:rsid w:val="009622DB"/>
    <w:rsid w:val="00964421"/>
    <w:rsid w:val="00964A15"/>
    <w:rsid w:val="00964CB7"/>
    <w:rsid w:val="00964DBC"/>
    <w:rsid w:val="00970385"/>
    <w:rsid w:val="009704A3"/>
    <w:rsid w:val="0097065D"/>
    <w:rsid w:val="00971CFF"/>
    <w:rsid w:val="0097209B"/>
    <w:rsid w:val="009727A3"/>
    <w:rsid w:val="009735AD"/>
    <w:rsid w:val="009747B9"/>
    <w:rsid w:val="009763B0"/>
    <w:rsid w:val="00976ECC"/>
    <w:rsid w:val="009773D4"/>
    <w:rsid w:val="00980D60"/>
    <w:rsid w:val="00981096"/>
    <w:rsid w:val="00981616"/>
    <w:rsid w:val="0098205E"/>
    <w:rsid w:val="00983457"/>
    <w:rsid w:val="009834F0"/>
    <w:rsid w:val="00983EAA"/>
    <w:rsid w:val="00984658"/>
    <w:rsid w:val="0098549D"/>
    <w:rsid w:val="00985B9B"/>
    <w:rsid w:val="00986120"/>
    <w:rsid w:val="00986FAD"/>
    <w:rsid w:val="009905DE"/>
    <w:rsid w:val="00990D30"/>
    <w:rsid w:val="009911E2"/>
    <w:rsid w:val="00991588"/>
    <w:rsid w:val="0099208F"/>
    <w:rsid w:val="00992358"/>
    <w:rsid w:val="00992502"/>
    <w:rsid w:val="009930EF"/>
    <w:rsid w:val="0099370E"/>
    <w:rsid w:val="00993F39"/>
    <w:rsid w:val="00994CA8"/>
    <w:rsid w:val="00995ABF"/>
    <w:rsid w:val="00995B5A"/>
    <w:rsid w:val="00996628"/>
    <w:rsid w:val="00996DA4"/>
    <w:rsid w:val="00997277"/>
    <w:rsid w:val="00997797"/>
    <w:rsid w:val="009A0519"/>
    <w:rsid w:val="009A24BB"/>
    <w:rsid w:val="009A359F"/>
    <w:rsid w:val="009A3922"/>
    <w:rsid w:val="009A487D"/>
    <w:rsid w:val="009A48BB"/>
    <w:rsid w:val="009A53D0"/>
    <w:rsid w:val="009A54B0"/>
    <w:rsid w:val="009A5538"/>
    <w:rsid w:val="009A5951"/>
    <w:rsid w:val="009A5BB6"/>
    <w:rsid w:val="009A73F8"/>
    <w:rsid w:val="009A75A4"/>
    <w:rsid w:val="009B006F"/>
    <w:rsid w:val="009B07CB"/>
    <w:rsid w:val="009B2F7D"/>
    <w:rsid w:val="009B39EB"/>
    <w:rsid w:val="009B53A2"/>
    <w:rsid w:val="009B6997"/>
    <w:rsid w:val="009B7072"/>
    <w:rsid w:val="009B79AD"/>
    <w:rsid w:val="009B7BAC"/>
    <w:rsid w:val="009C0F63"/>
    <w:rsid w:val="009C0F64"/>
    <w:rsid w:val="009C1B57"/>
    <w:rsid w:val="009C1FC9"/>
    <w:rsid w:val="009C358C"/>
    <w:rsid w:val="009C3D12"/>
    <w:rsid w:val="009C440B"/>
    <w:rsid w:val="009C48DF"/>
    <w:rsid w:val="009C4FDA"/>
    <w:rsid w:val="009C6B93"/>
    <w:rsid w:val="009D0A72"/>
    <w:rsid w:val="009D0DF6"/>
    <w:rsid w:val="009D129C"/>
    <w:rsid w:val="009D12DD"/>
    <w:rsid w:val="009D1C59"/>
    <w:rsid w:val="009D23D8"/>
    <w:rsid w:val="009D34C3"/>
    <w:rsid w:val="009D3D26"/>
    <w:rsid w:val="009D42E5"/>
    <w:rsid w:val="009D4599"/>
    <w:rsid w:val="009D4623"/>
    <w:rsid w:val="009D466D"/>
    <w:rsid w:val="009D5064"/>
    <w:rsid w:val="009D5E65"/>
    <w:rsid w:val="009E005A"/>
    <w:rsid w:val="009E0568"/>
    <w:rsid w:val="009E1DD2"/>
    <w:rsid w:val="009E302E"/>
    <w:rsid w:val="009E32DD"/>
    <w:rsid w:val="009E3C4B"/>
    <w:rsid w:val="009E57E1"/>
    <w:rsid w:val="009E6E89"/>
    <w:rsid w:val="009F103D"/>
    <w:rsid w:val="009F1166"/>
    <w:rsid w:val="009F171D"/>
    <w:rsid w:val="009F2A92"/>
    <w:rsid w:val="009F326E"/>
    <w:rsid w:val="009F356F"/>
    <w:rsid w:val="009F3F41"/>
    <w:rsid w:val="009F7905"/>
    <w:rsid w:val="00A00B9E"/>
    <w:rsid w:val="00A01505"/>
    <w:rsid w:val="00A01615"/>
    <w:rsid w:val="00A01B48"/>
    <w:rsid w:val="00A0220A"/>
    <w:rsid w:val="00A02234"/>
    <w:rsid w:val="00A0288D"/>
    <w:rsid w:val="00A02C31"/>
    <w:rsid w:val="00A03559"/>
    <w:rsid w:val="00A03D07"/>
    <w:rsid w:val="00A03ED0"/>
    <w:rsid w:val="00A05BBE"/>
    <w:rsid w:val="00A05F00"/>
    <w:rsid w:val="00A06CF9"/>
    <w:rsid w:val="00A0727D"/>
    <w:rsid w:val="00A077A1"/>
    <w:rsid w:val="00A114EB"/>
    <w:rsid w:val="00A1245F"/>
    <w:rsid w:val="00A124DF"/>
    <w:rsid w:val="00A129FF"/>
    <w:rsid w:val="00A12BB8"/>
    <w:rsid w:val="00A12C29"/>
    <w:rsid w:val="00A142D9"/>
    <w:rsid w:val="00A1476A"/>
    <w:rsid w:val="00A15399"/>
    <w:rsid w:val="00A15962"/>
    <w:rsid w:val="00A15DB3"/>
    <w:rsid w:val="00A15EBC"/>
    <w:rsid w:val="00A16B85"/>
    <w:rsid w:val="00A16F44"/>
    <w:rsid w:val="00A174A8"/>
    <w:rsid w:val="00A2005F"/>
    <w:rsid w:val="00A20640"/>
    <w:rsid w:val="00A208EC"/>
    <w:rsid w:val="00A210E0"/>
    <w:rsid w:val="00A21A20"/>
    <w:rsid w:val="00A22B10"/>
    <w:rsid w:val="00A23441"/>
    <w:rsid w:val="00A237EB"/>
    <w:rsid w:val="00A23FE7"/>
    <w:rsid w:val="00A264AC"/>
    <w:rsid w:val="00A3057C"/>
    <w:rsid w:val="00A3064F"/>
    <w:rsid w:val="00A306A0"/>
    <w:rsid w:val="00A306A1"/>
    <w:rsid w:val="00A30A3B"/>
    <w:rsid w:val="00A30C18"/>
    <w:rsid w:val="00A310B4"/>
    <w:rsid w:val="00A32509"/>
    <w:rsid w:val="00A32C52"/>
    <w:rsid w:val="00A3333F"/>
    <w:rsid w:val="00A34375"/>
    <w:rsid w:val="00A3461F"/>
    <w:rsid w:val="00A34BF1"/>
    <w:rsid w:val="00A3524C"/>
    <w:rsid w:val="00A37CDD"/>
    <w:rsid w:val="00A40E42"/>
    <w:rsid w:val="00A411AC"/>
    <w:rsid w:val="00A41798"/>
    <w:rsid w:val="00A42248"/>
    <w:rsid w:val="00A425C3"/>
    <w:rsid w:val="00A428CF"/>
    <w:rsid w:val="00A42E06"/>
    <w:rsid w:val="00A459E1"/>
    <w:rsid w:val="00A475EA"/>
    <w:rsid w:val="00A47F31"/>
    <w:rsid w:val="00A501A1"/>
    <w:rsid w:val="00A51405"/>
    <w:rsid w:val="00A51664"/>
    <w:rsid w:val="00A51EB0"/>
    <w:rsid w:val="00A52854"/>
    <w:rsid w:val="00A52AA9"/>
    <w:rsid w:val="00A532C7"/>
    <w:rsid w:val="00A53307"/>
    <w:rsid w:val="00A53969"/>
    <w:rsid w:val="00A54108"/>
    <w:rsid w:val="00A54139"/>
    <w:rsid w:val="00A54881"/>
    <w:rsid w:val="00A5564F"/>
    <w:rsid w:val="00A55D89"/>
    <w:rsid w:val="00A55FCD"/>
    <w:rsid w:val="00A56A1C"/>
    <w:rsid w:val="00A57F31"/>
    <w:rsid w:val="00A61383"/>
    <w:rsid w:val="00A61CB0"/>
    <w:rsid w:val="00A62EFA"/>
    <w:rsid w:val="00A63A2C"/>
    <w:rsid w:val="00A63AE4"/>
    <w:rsid w:val="00A63F98"/>
    <w:rsid w:val="00A64F5C"/>
    <w:rsid w:val="00A664E5"/>
    <w:rsid w:val="00A674DA"/>
    <w:rsid w:val="00A67AB2"/>
    <w:rsid w:val="00A70DB3"/>
    <w:rsid w:val="00A71B0F"/>
    <w:rsid w:val="00A71B14"/>
    <w:rsid w:val="00A72F9F"/>
    <w:rsid w:val="00A73C99"/>
    <w:rsid w:val="00A748C6"/>
    <w:rsid w:val="00A74A00"/>
    <w:rsid w:val="00A74E0C"/>
    <w:rsid w:val="00A75862"/>
    <w:rsid w:val="00A758EC"/>
    <w:rsid w:val="00A759FD"/>
    <w:rsid w:val="00A76024"/>
    <w:rsid w:val="00A7618E"/>
    <w:rsid w:val="00A766A3"/>
    <w:rsid w:val="00A77A03"/>
    <w:rsid w:val="00A77C7B"/>
    <w:rsid w:val="00A77FE8"/>
    <w:rsid w:val="00A82201"/>
    <w:rsid w:val="00A8335D"/>
    <w:rsid w:val="00A83425"/>
    <w:rsid w:val="00A834C0"/>
    <w:rsid w:val="00A83D0A"/>
    <w:rsid w:val="00A8444F"/>
    <w:rsid w:val="00A84B7C"/>
    <w:rsid w:val="00A84CFC"/>
    <w:rsid w:val="00A84DF8"/>
    <w:rsid w:val="00A84FA9"/>
    <w:rsid w:val="00A85AAF"/>
    <w:rsid w:val="00A862BC"/>
    <w:rsid w:val="00A86DB0"/>
    <w:rsid w:val="00A87232"/>
    <w:rsid w:val="00A87520"/>
    <w:rsid w:val="00A87844"/>
    <w:rsid w:val="00A9081A"/>
    <w:rsid w:val="00A90CF7"/>
    <w:rsid w:val="00A92B54"/>
    <w:rsid w:val="00A9345B"/>
    <w:rsid w:val="00A93F27"/>
    <w:rsid w:val="00A94D4C"/>
    <w:rsid w:val="00A955B9"/>
    <w:rsid w:val="00AA09BB"/>
    <w:rsid w:val="00AA1047"/>
    <w:rsid w:val="00AA1138"/>
    <w:rsid w:val="00AA178D"/>
    <w:rsid w:val="00AA26F0"/>
    <w:rsid w:val="00AA306F"/>
    <w:rsid w:val="00AA328E"/>
    <w:rsid w:val="00AA3998"/>
    <w:rsid w:val="00AA3B76"/>
    <w:rsid w:val="00AA4C47"/>
    <w:rsid w:val="00AA663D"/>
    <w:rsid w:val="00AA7BAD"/>
    <w:rsid w:val="00AB01D2"/>
    <w:rsid w:val="00AB127A"/>
    <w:rsid w:val="00AB2067"/>
    <w:rsid w:val="00AB2276"/>
    <w:rsid w:val="00AB2652"/>
    <w:rsid w:val="00AB2988"/>
    <w:rsid w:val="00AB3346"/>
    <w:rsid w:val="00AB3425"/>
    <w:rsid w:val="00AB3AA3"/>
    <w:rsid w:val="00AB40B8"/>
    <w:rsid w:val="00AB4329"/>
    <w:rsid w:val="00AB4828"/>
    <w:rsid w:val="00AB616A"/>
    <w:rsid w:val="00AB65C9"/>
    <w:rsid w:val="00AB65F4"/>
    <w:rsid w:val="00AC1256"/>
    <w:rsid w:val="00AC158D"/>
    <w:rsid w:val="00AC279A"/>
    <w:rsid w:val="00AC2897"/>
    <w:rsid w:val="00AC3501"/>
    <w:rsid w:val="00AC41EB"/>
    <w:rsid w:val="00AC425C"/>
    <w:rsid w:val="00AC4361"/>
    <w:rsid w:val="00AC483A"/>
    <w:rsid w:val="00AC4F3F"/>
    <w:rsid w:val="00AC5FA2"/>
    <w:rsid w:val="00AC647A"/>
    <w:rsid w:val="00AC79DD"/>
    <w:rsid w:val="00AC7F34"/>
    <w:rsid w:val="00AD36F9"/>
    <w:rsid w:val="00AD4769"/>
    <w:rsid w:val="00AD4EC2"/>
    <w:rsid w:val="00AD53E3"/>
    <w:rsid w:val="00AD5F5C"/>
    <w:rsid w:val="00AD6457"/>
    <w:rsid w:val="00AD6EDC"/>
    <w:rsid w:val="00AD75E3"/>
    <w:rsid w:val="00AD7614"/>
    <w:rsid w:val="00AD767E"/>
    <w:rsid w:val="00AD7DE0"/>
    <w:rsid w:val="00AE0276"/>
    <w:rsid w:val="00AE196F"/>
    <w:rsid w:val="00AE240F"/>
    <w:rsid w:val="00AE2A13"/>
    <w:rsid w:val="00AE2BB4"/>
    <w:rsid w:val="00AE4BB5"/>
    <w:rsid w:val="00AE4D0A"/>
    <w:rsid w:val="00AE5329"/>
    <w:rsid w:val="00AE6FBB"/>
    <w:rsid w:val="00AE7992"/>
    <w:rsid w:val="00AE7E35"/>
    <w:rsid w:val="00AF05E9"/>
    <w:rsid w:val="00AF124E"/>
    <w:rsid w:val="00AF1445"/>
    <w:rsid w:val="00AF147C"/>
    <w:rsid w:val="00AF1945"/>
    <w:rsid w:val="00AF19F6"/>
    <w:rsid w:val="00AF1D4B"/>
    <w:rsid w:val="00AF1D67"/>
    <w:rsid w:val="00AF26F3"/>
    <w:rsid w:val="00AF3E81"/>
    <w:rsid w:val="00AF49A8"/>
    <w:rsid w:val="00AF54D3"/>
    <w:rsid w:val="00AF5793"/>
    <w:rsid w:val="00AF58AD"/>
    <w:rsid w:val="00AF6453"/>
    <w:rsid w:val="00AF6A4F"/>
    <w:rsid w:val="00AF7AC3"/>
    <w:rsid w:val="00AF7F0A"/>
    <w:rsid w:val="00B000CD"/>
    <w:rsid w:val="00B000E1"/>
    <w:rsid w:val="00B00A89"/>
    <w:rsid w:val="00B00E79"/>
    <w:rsid w:val="00B02791"/>
    <w:rsid w:val="00B03061"/>
    <w:rsid w:val="00B03533"/>
    <w:rsid w:val="00B040A1"/>
    <w:rsid w:val="00B04236"/>
    <w:rsid w:val="00B058F7"/>
    <w:rsid w:val="00B059AC"/>
    <w:rsid w:val="00B05E38"/>
    <w:rsid w:val="00B062B5"/>
    <w:rsid w:val="00B068D2"/>
    <w:rsid w:val="00B07985"/>
    <w:rsid w:val="00B07B05"/>
    <w:rsid w:val="00B10321"/>
    <w:rsid w:val="00B111F6"/>
    <w:rsid w:val="00B116F6"/>
    <w:rsid w:val="00B1239A"/>
    <w:rsid w:val="00B13209"/>
    <w:rsid w:val="00B151D5"/>
    <w:rsid w:val="00B1521A"/>
    <w:rsid w:val="00B15633"/>
    <w:rsid w:val="00B15677"/>
    <w:rsid w:val="00B15F92"/>
    <w:rsid w:val="00B16173"/>
    <w:rsid w:val="00B206E4"/>
    <w:rsid w:val="00B2070A"/>
    <w:rsid w:val="00B20A55"/>
    <w:rsid w:val="00B210C5"/>
    <w:rsid w:val="00B21169"/>
    <w:rsid w:val="00B212D2"/>
    <w:rsid w:val="00B2186B"/>
    <w:rsid w:val="00B2214A"/>
    <w:rsid w:val="00B22858"/>
    <w:rsid w:val="00B2290B"/>
    <w:rsid w:val="00B24113"/>
    <w:rsid w:val="00B24775"/>
    <w:rsid w:val="00B24D23"/>
    <w:rsid w:val="00B2632E"/>
    <w:rsid w:val="00B26C15"/>
    <w:rsid w:val="00B27CE7"/>
    <w:rsid w:val="00B301EF"/>
    <w:rsid w:val="00B308F3"/>
    <w:rsid w:val="00B3154E"/>
    <w:rsid w:val="00B31CE0"/>
    <w:rsid w:val="00B3248F"/>
    <w:rsid w:val="00B33786"/>
    <w:rsid w:val="00B34361"/>
    <w:rsid w:val="00B355B5"/>
    <w:rsid w:val="00B35CD0"/>
    <w:rsid w:val="00B363E1"/>
    <w:rsid w:val="00B36E3D"/>
    <w:rsid w:val="00B371C8"/>
    <w:rsid w:val="00B37FB7"/>
    <w:rsid w:val="00B405A1"/>
    <w:rsid w:val="00B40A0D"/>
    <w:rsid w:val="00B43206"/>
    <w:rsid w:val="00B432E8"/>
    <w:rsid w:val="00B43818"/>
    <w:rsid w:val="00B44557"/>
    <w:rsid w:val="00B45592"/>
    <w:rsid w:val="00B45AB3"/>
    <w:rsid w:val="00B462E5"/>
    <w:rsid w:val="00B46AE0"/>
    <w:rsid w:val="00B46FA7"/>
    <w:rsid w:val="00B47182"/>
    <w:rsid w:val="00B475C6"/>
    <w:rsid w:val="00B4788D"/>
    <w:rsid w:val="00B47D33"/>
    <w:rsid w:val="00B5007B"/>
    <w:rsid w:val="00B50BD5"/>
    <w:rsid w:val="00B51724"/>
    <w:rsid w:val="00B52327"/>
    <w:rsid w:val="00B526D2"/>
    <w:rsid w:val="00B527B6"/>
    <w:rsid w:val="00B5283D"/>
    <w:rsid w:val="00B52998"/>
    <w:rsid w:val="00B54F8F"/>
    <w:rsid w:val="00B6207E"/>
    <w:rsid w:val="00B62171"/>
    <w:rsid w:val="00B63680"/>
    <w:rsid w:val="00B63BBC"/>
    <w:rsid w:val="00B647CB"/>
    <w:rsid w:val="00B648BB"/>
    <w:rsid w:val="00B64B14"/>
    <w:rsid w:val="00B653FB"/>
    <w:rsid w:val="00B6556B"/>
    <w:rsid w:val="00B659FE"/>
    <w:rsid w:val="00B65FA2"/>
    <w:rsid w:val="00B66130"/>
    <w:rsid w:val="00B6618D"/>
    <w:rsid w:val="00B66EF2"/>
    <w:rsid w:val="00B679EB"/>
    <w:rsid w:val="00B7078C"/>
    <w:rsid w:val="00B7079E"/>
    <w:rsid w:val="00B72981"/>
    <w:rsid w:val="00B74649"/>
    <w:rsid w:val="00B75B18"/>
    <w:rsid w:val="00B7647A"/>
    <w:rsid w:val="00B765EB"/>
    <w:rsid w:val="00B766C2"/>
    <w:rsid w:val="00B76DDF"/>
    <w:rsid w:val="00B77D60"/>
    <w:rsid w:val="00B800B2"/>
    <w:rsid w:val="00B8234C"/>
    <w:rsid w:val="00B834B3"/>
    <w:rsid w:val="00B837E4"/>
    <w:rsid w:val="00B8491C"/>
    <w:rsid w:val="00B84E8D"/>
    <w:rsid w:val="00B859F7"/>
    <w:rsid w:val="00B85E87"/>
    <w:rsid w:val="00B87439"/>
    <w:rsid w:val="00B878B6"/>
    <w:rsid w:val="00B87948"/>
    <w:rsid w:val="00B87B48"/>
    <w:rsid w:val="00B9193A"/>
    <w:rsid w:val="00B93040"/>
    <w:rsid w:val="00B93A98"/>
    <w:rsid w:val="00B94403"/>
    <w:rsid w:val="00B97DD2"/>
    <w:rsid w:val="00BA0156"/>
    <w:rsid w:val="00BA1682"/>
    <w:rsid w:val="00BA1B1E"/>
    <w:rsid w:val="00BA20E5"/>
    <w:rsid w:val="00BA230D"/>
    <w:rsid w:val="00BA25CD"/>
    <w:rsid w:val="00BA33E1"/>
    <w:rsid w:val="00BA3AAE"/>
    <w:rsid w:val="00BA4161"/>
    <w:rsid w:val="00BA4E73"/>
    <w:rsid w:val="00BA533B"/>
    <w:rsid w:val="00BA55F4"/>
    <w:rsid w:val="00BA5974"/>
    <w:rsid w:val="00BA5C3B"/>
    <w:rsid w:val="00BA5D8C"/>
    <w:rsid w:val="00BA6E80"/>
    <w:rsid w:val="00BA6EA1"/>
    <w:rsid w:val="00BB14FA"/>
    <w:rsid w:val="00BB1673"/>
    <w:rsid w:val="00BB20E6"/>
    <w:rsid w:val="00BB35A9"/>
    <w:rsid w:val="00BB3AB2"/>
    <w:rsid w:val="00BB3B2F"/>
    <w:rsid w:val="00BB482A"/>
    <w:rsid w:val="00BB5C9A"/>
    <w:rsid w:val="00BB6266"/>
    <w:rsid w:val="00BB7420"/>
    <w:rsid w:val="00BB7E6D"/>
    <w:rsid w:val="00BC0F7E"/>
    <w:rsid w:val="00BC1565"/>
    <w:rsid w:val="00BC1EE1"/>
    <w:rsid w:val="00BC27CA"/>
    <w:rsid w:val="00BC2EE7"/>
    <w:rsid w:val="00BC3B68"/>
    <w:rsid w:val="00BC4CD6"/>
    <w:rsid w:val="00BC507D"/>
    <w:rsid w:val="00BC5909"/>
    <w:rsid w:val="00BC5DBE"/>
    <w:rsid w:val="00BC628E"/>
    <w:rsid w:val="00BC78BA"/>
    <w:rsid w:val="00BD144F"/>
    <w:rsid w:val="00BD2B7F"/>
    <w:rsid w:val="00BD2C3D"/>
    <w:rsid w:val="00BD2E7D"/>
    <w:rsid w:val="00BD2F60"/>
    <w:rsid w:val="00BD4E0D"/>
    <w:rsid w:val="00BD5327"/>
    <w:rsid w:val="00BD5507"/>
    <w:rsid w:val="00BD5955"/>
    <w:rsid w:val="00BD5AA2"/>
    <w:rsid w:val="00BD6044"/>
    <w:rsid w:val="00BD6179"/>
    <w:rsid w:val="00BD658B"/>
    <w:rsid w:val="00BD78BB"/>
    <w:rsid w:val="00BE08C6"/>
    <w:rsid w:val="00BE1D71"/>
    <w:rsid w:val="00BE232F"/>
    <w:rsid w:val="00BE23B8"/>
    <w:rsid w:val="00BE251A"/>
    <w:rsid w:val="00BE252E"/>
    <w:rsid w:val="00BE31B2"/>
    <w:rsid w:val="00BE689F"/>
    <w:rsid w:val="00BE6C63"/>
    <w:rsid w:val="00BE7A36"/>
    <w:rsid w:val="00BE87F6"/>
    <w:rsid w:val="00BF0BB6"/>
    <w:rsid w:val="00BF0D11"/>
    <w:rsid w:val="00BF15F1"/>
    <w:rsid w:val="00BF1A30"/>
    <w:rsid w:val="00BF2296"/>
    <w:rsid w:val="00BF28AB"/>
    <w:rsid w:val="00BF3450"/>
    <w:rsid w:val="00BF4A70"/>
    <w:rsid w:val="00BF60A0"/>
    <w:rsid w:val="00BF6946"/>
    <w:rsid w:val="00BF6CF4"/>
    <w:rsid w:val="00BF6E8C"/>
    <w:rsid w:val="00BF7938"/>
    <w:rsid w:val="00BF7B7A"/>
    <w:rsid w:val="00BF7EAD"/>
    <w:rsid w:val="00C006C4"/>
    <w:rsid w:val="00C00AF2"/>
    <w:rsid w:val="00C00C9E"/>
    <w:rsid w:val="00C013DD"/>
    <w:rsid w:val="00C014CC"/>
    <w:rsid w:val="00C01996"/>
    <w:rsid w:val="00C0262F"/>
    <w:rsid w:val="00C029D9"/>
    <w:rsid w:val="00C0409D"/>
    <w:rsid w:val="00C04446"/>
    <w:rsid w:val="00C0565F"/>
    <w:rsid w:val="00C05D09"/>
    <w:rsid w:val="00C06AB9"/>
    <w:rsid w:val="00C072B1"/>
    <w:rsid w:val="00C0767E"/>
    <w:rsid w:val="00C105BF"/>
    <w:rsid w:val="00C11866"/>
    <w:rsid w:val="00C11F6A"/>
    <w:rsid w:val="00C1323A"/>
    <w:rsid w:val="00C1324D"/>
    <w:rsid w:val="00C139F4"/>
    <w:rsid w:val="00C13CF5"/>
    <w:rsid w:val="00C15D8E"/>
    <w:rsid w:val="00C16A74"/>
    <w:rsid w:val="00C16D08"/>
    <w:rsid w:val="00C17C69"/>
    <w:rsid w:val="00C2013A"/>
    <w:rsid w:val="00C205FA"/>
    <w:rsid w:val="00C214AA"/>
    <w:rsid w:val="00C219EF"/>
    <w:rsid w:val="00C21E22"/>
    <w:rsid w:val="00C226B5"/>
    <w:rsid w:val="00C22BDD"/>
    <w:rsid w:val="00C2305C"/>
    <w:rsid w:val="00C2384C"/>
    <w:rsid w:val="00C238B1"/>
    <w:rsid w:val="00C30074"/>
    <w:rsid w:val="00C30F5A"/>
    <w:rsid w:val="00C312CF"/>
    <w:rsid w:val="00C31969"/>
    <w:rsid w:val="00C31BDE"/>
    <w:rsid w:val="00C31FB3"/>
    <w:rsid w:val="00C3209E"/>
    <w:rsid w:val="00C33456"/>
    <w:rsid w:val="00C33FAC"/>
    <w:rsid w:val="00C3429B"/>
    <w:rsid w:val="00C34913"/>
    <w:rsid w:val="00C34E8B"/>
    <w:rsid w:val="00C34F1F"/>
    <w:rsid w:val="00C35298"/>
    <w:rsid w:val="00C35D83"/>
    <w:rsid w:val="00C35DB3"/>
    <w:rsid w:val="00C3779C"/>
    <w:rsid w:val="00C37C1D"/>
    <w:rsid w:val="00C40D78"/>
    <w:rsid w:val="00C414DE"/>
    <w:rsid w:val="00C42233"/>
    <w:rsid w:val="00C4236D"/>
    <w:rsid w:val="00C42B05"/>
    <w:rsid w:val="00C4323B"/>
    <w:rsid w:val="00C432E5"/>
    <w:rsid w:val="00C44665"/>
    <w:rsid w:val="00C44975"/>
    <w:rsid w:val="00C456DB"/>
    <w:rsid w:val="00C457F3"/>
    <w:rsid w:val="00C4627B"/>
    <w:rsid w:val="00C46300"/>
    <w:rsid w:val="00C525BD"/>
    <w:rsid w:val="00C53A49"/>
    <w:rsid w:val="00C5560C"/>
    <w:rsid w:val="00C55622"/>
    <w:rsid w:val="00C55E5B"/>
    <w:rsid w:val="00C57B36"/>
    <w:rsid w:val="00C61BE3"/>
    <w:rsid w:val="00C622C1"/>
    <w:rsid w:val="00C62A74"/>
    <w:rsid w:val="00C6324C"/>
    <w:rsid w:val="00C632C9"/>
    <w:rsid w:val="00C6343F"/>
    <w:rsid w:val="00C643D9"/>
    <w:rsid w:val="00C654B3"/>
    <w:rsid w:val="00C6634A"/>
    <w:rsid w:val="00C66A28"/>
    <w:rsid w:val="00C6747B"/>
    <w:rsid w:val="00C70DE9"/>
    <w:rsid w:val="00C717CA"/>
    <w:rsid w:val="00C7196F"/>
    <w:rsid w:val="00C72769"/>
    <w:rsid w:val="00C73164"/>
    <w:rsid w:val="00C73B29"/>
    <w:rsid w:val="00C741CF"/>
    <w:rsid w:val="00C749AD"/>
    <w:rsid w:val="00C75B16"/>
    <w:rsid w:val="00C76441"/>
    <w:rsid w:val="00C76FD7"/>
    <w:rsid w:val="00C771E0"/>
    <w:rsid w:val="00C773F4"/>
    <w:rsid w:val="00C77418"/>
    <w:rsid w:val="00C77810"/>
    <w:rsid w:val="00C8034A"/>
    <w:rsid w:val="00C804AA"/>
    <w:rsid w:val="00C81C43"/>
    <w:rsid w:val="00C824EE"/>
    <w:rsid w:val="00C827C3"/>
    <w:rsid w:val="00C82885"/>
    <w:rsid w:val="00C8350F"/>
    <w:rsid w:val="00C83E6D"/>
    <w:rsid w:val="00C84774"/>
    <w:rsid w:val="00C84A7B"/>
    <w:rsid w:val="00C853DF"/>
    <w:rsid w:val="00C855FC"/>
    <w:rsid w:val="00C85A0A"/>
    <w:rsid w:val="00C878D4"/>
    <w:rsid w:val="00C90025"/>
    <w:rsid w:val="00C91C4D"/>
    <w:rsid w:val="00C93DBF"/>
    <w:rsid w:val="00C93F1D"/>
    <w:rsid w:val="00C94F89"/>
    <w:rsid w:val="00C96669"/>
    <w:rsid w:val="00C97DC6"/>
    <w:rsid w:val="00C97F09"/>
    <w:rsid w:val="00CA09B6"/>
    <w:rsid w:val="00CA150C"/>
    <w:rsid w:val="00CA15B9"/>
    <w:rsid w:val="00CA1691"/>
    <w:rsid w:val="00CA26A2"/>
    <w:rsid w:val="00CA28A1"/>
    <w:rsid w:val="00CA2944"/>
    <w:rsid w:val="00CA295D"/>
    <w:rsid w:val="00CA2BD8"/>
    <w:rsid w:val="00CA2F9F"/>
    <w:rsid w:val="00CA3839"/>
    <w:rsid w:val="00CA3D5A"/>
    <w:rsid w:val="00CA41FB"/>
    <w:rsid w:val="00CA46F7"/>
    <w:rsid w:val="00CA4770"/>
    <w:rsid w:val="00CA60F9"/>
    <w:rsid w:val="00CA6F68"/>
    <w:rsid w:val="00CA6FC1"/>
    <w:rsid w:val="00CA76D3"/>
    <w:rsid w:val="00CA7DF9"/>
    <w:rsid w:val="00CB0373"/>
    <w:rsid w:val="00CB094A"/>
    <w:rsid w:val="00CB0E4E"/>
    <w:rsid w:val="00CB118F"/>
    <w:rsid w:val="00CB143C"/>
    <w:rsid w:val="00CB1CAB"/>
    <w:rsid w:val="00CB21A3"/>
    <w:rsid w:val="00CB3E2F"/>
    <w:rsid w:val="00CB3F8D"/>
    <w:rsid w:val="00CB4067"/>
    <w:rsid w:val="00CB6AF5"/>
    <w:rsid w:val="00CB6C0E"/>
    <w:rsid w:val="00CC0376"/>
    <w:rsid w:val="00CC042D"/>
    <w:rsid w:val="00CC09A5"/>
    <w:rsid w:val="00CC152E"/>
    <w:rsid w:val="00CC24FD"/>
    <w:rsid w:val="00CC360D"/>
    <w:rsid w:val="00CC4F6D"/>
    <w:rsid w:val="00CC5C6E"/>
    <w:rsid w:val="00CC6C93"/>
    <w:rsid w:val="00CC7A25"/>
    <w:rsid w:val="00CC7BE2"/>
    <w:rsid w:val="00CC7C07"/>
    <w:rsid w:val="00CD0F25"/>
    <w:rsid w:val="00CD1460"/>
    <w:rsid w:val="00CD30B7"/>
    <w:rsid w:val="00CD3262"/>
    <w:rsid w:val="00CD437E"/>
    <w:rsid w:val="00CD45A4"/>
    <w:rsid w:val="00CD5402"/>
    <w:rsid w:val="00CD5546"/>
    <w:rsid w:val="00CD69FC"/>
    <w:rsid w:val="00CD6C6B"/>
    <w:rsid w:val="00CD6E25"/>
    <w:rsid w:val="00CD7682"/>
    <w:rsid w:val="00CE000F"/>
    <w:rsid w:val="00CE0D6F"/>
    <w:rsid w:val="00CE18DE"/>
    <w:rsid w:val="00CE2990"/>
    <w:rsid w:val="00CE2BCE"/>
    <w:rsid w:val="00CE3398"/>
    <w:rsid w:val="00CE490F"/>
    <w:rsid w:val="00CE4DFD"/>
    <w:rsid w:val="00CE4EA8"/>
    <w:rsid w:val="00CE5802"/>
    <w:rsid w:val="00CE58F9"/>
    <w:rsid w:val="00CE7257"/>
    <w:rsid w:val="00CE7493"/>
    <w:rsid w:val="00CE761B"/>
    <w:rsid w:val="00CF0097"/>
    <w:rsid w:val="00CF14CA"/>
    <w:rsid w:val="00CF213A"/>
    <w:rsid w:val="00CF2565"/>
    <w:rsid w:val="00CF31CB"/>
    <w:rsid w:val="00CF42CC"/>
    <w:rsid w:val="00CF4B65"/>
    <w:rsid w:val="00CF6486"/>
    <w:rsid w:val="00CF6A0E"/>
    <w:rsid w:val="00CF7AE2"/>
    <w:rsid w:val="00D03587"/>
    <w:rsid w:val="00D041C7"/>
    <w:rsid w:val="00D0515C"/>
    <w:rsid w:val="00D05C85"/>
    <w:rsid w:val="00D05E19"/>
    <w:rsid w:val="00D06840"/>
    <w:rsid w:val="00D105CD"/>
    <w:rsid w:val="00D10D17"/>
    <w:rsid w:val="00D11FD6"/>
    <w:rsid w:val="00D13124"/>
    <w:rsid w:val="00D14D4E"/>
    <w:rsid w:val="00D15B4B"/>
    <w:rsid w:val="00D17BCB"/>
    <w:rsid w:val="00D229EA"/>
    <w:rsid w:val="00D24170"/>
    <w:rsid w:val="00D25377"/>
    <w:rsid w:val="00D253FB"/>
    <w:rsid w:val="00D2604B"/>
    <w:rsid w:val="00D2629E"/>
    <w:rsid w:val="00D3001E"/>
    <w:rsid w:val="00D303E9"/>
    <w:rsid w:val="00D31596"/>
    <w:rsid w:val="00D326AF"/>
    <w:rsid w:val="00D32B1A"/>
    <w:rsid w:val="00D32D24"/>
    <w:rsid w:val="00D32E1E"/>
    <w:rsid w:val="00D339BE"/>
    <w:rsid w:val="00D34DBD"/>
    <w:rsid w:val="00D3509A"/>
    <w:rsid w:val="00D37B60"/>
    <w:rsid w:val="00D37C2D"/>
    <w:rsid w:val="00D40B5A"/>
    <w:rsid w:val="00D428D7"/>
    <w:rsid w:val="00D4302A"/>
    <w:rsid w:val="00D43984"/>
    <w:rsid w:val="00D44A41"/>
    <w:rsid w:val="00D44E8F"/>
    <w:rsid w:val="00D451EC"/>
    <w:rsid w:val="00D459AA"/>
    <w:rsid w:val="00D464A3"/>
    <w:rsid w:val="00D471F1"/>
    <w:rsid w:val="00D47365"/>
    <w:rsid w:val="00D47763"/>
    <w:rsid w:val="00D50391"/>
    <w:rsid w:val="00D5225B"/>
    <w:rsid w:val="00D537BA"/>
    <w:rsid w:val="00D550AD"/>
    <w:rsid w:val="00D556A7"/>
    <w:rsid w:val="00D55FE6"/>
    <w:rsid w:val="00D5664A"/>
    <w:rsid w:val="00D579AB"/>
    <w:rsid w:val="00D605C8"/>
    <w:rsid w:val="00D607F5"/>
    <w:rsid w:val="00D60873"/>
    <w:rsid w:val="00D62127"/>
    <w:rsid w:val="00D6217C"/>
    <w:rsid w:val="00D624D9"/>
    <w:rsid w:val="00D6274E"/>
    <w:rsid w:val="00D62854"/>
    <w:rsid w:val="00D637A7"/>
    <w:rsid w:val="00D63B83"/>
    <w:rsid w:val="00D63C57"/>
    <w:rsid w:val="00D64536"/>
    <w:rsid w:val="00D6526C"/>
    <w:rsid w:val="00D657B4"/>
    <w:rsid w:val="00D65DC2"/>
    <w:rsid w:val="00D65EBE"/>
    <w:rsid w:val="00D66B33"/>
    <w:rsid w:val="00D67352"/>
    <w:rsid w:val="00D67593"/>
    <w:rsid w:val="00D67AA1"/>
    <w:rsid w:val="00D67DE4"/>
    <w:rsid w:val="00D701C4"/>
    <w:rsid w:val="00D701DE"/>
    <w:rsid w:val="00D7063B"/>
    <w:rsid w:val="00D73678"/>
    <w:rsid w:val="00D73B8F"/>
    <w:rsid w:val="00D748C2"/>
    <w:rsid w:val="00D74D79"/>
    <w:rsid w:val="00D75271"/>
    <w:rsid w:val="00D7602F"/>
    <w:rsid w:val="00D768A0"/>
    <w:rsid w:val="00D77F12"/>
    <w:rsid w:val="00D80692"/>
    <w:rsid w:val="00D810CF"/>
    <w:rsid w:val="00D81397"/>
    <w:rsid w:val="00D82470"/>
    <w:rsid w:val="00D82BB1"/>
    <w:rsid w:val="00D838AB"/>
    <w:rsid w:val="00D83E4F"/>
    <w:rsid w:val="00D8440E"/>
    <w:rsid w:val="00D84BCD"/>
    <w:rsid w:val="00D86117"/>
    <w:rsid w:val="00D86EA6"/>
    <w:rsid w:val="00D877AA"/>
    <w:rsid w:val="00D92EF7"/>
    <w:rsid w:val="00D9341F"/>
    <w:rsid w:val="00D9364C"/>
    <w:rsid w:val="00D93913"/>
    <w:rsid w:val="00D93CC5"/>
    <w:rsid w:val="00D96DFC"/>
    <w:rsid w:val="00D971BC"/>
    <w:rsid w:val="00D97D10"/>
    <w:rsid w:val="00DA0ADF"/>
    <w:rsid w:val="00DA183B"/>
    <w:rsid w:val="00DA1A2F"/>
    <w:rsid w:val="00DA1A67"/>
    <w:rsid w:val="00DA1ACB"/>
    <w:rsid w:val="00DA27FC"/>
    <w:rsid w:val="00DA28E5"/>
    <w:rsid w:val="00DA3004"/>
    <w:rsid w:val="00DA36DB"/>
    <w:rsid w:val="00DA3E64"/>
    <w:rsid w:val="00DA3F55"/>
    <w:rsid w:val="00DA4399"/>
    <w:rsid w:val="00DA50BD"/>
    <w:rsid w:val="00DA5581"/>
    <w:rsid w:val="00DA5963"/>
    <w:rsid w:val="00DA59F0"/>
    <w:rsid w:val="00DA787B"/>
    <w:rsid w:val="00DB0B61"/>
    <w:rsid w:val="00DB0C03"/>
    <w:rsid w:val="00DB2649"/>
    <w:rsid w:val="00DB2BDA"/>
    <w:rsid w:val="00DB2F9B"/>
    <w:rsid w:val="00DB3361"/>
    <w:rsid w:val="00DB411E"/>
    <w:rsid w:val="00DB4D21"/>
    <w:rsid w:val="00DB54E5"/>
    <w:rsid w:val="00DB5A1D"/>
    <w:rsid w:val="00DB6233"/>
    <w:rsid w:val="00DB68D7"/>
    <w:rsid w:val="00DB7F31"/>
    <w:rsid w:val="00DB7F92"/>
    <w:rsid w:val="00DC0791"/>
    <w:rsid w:val="00DC0BD8"/>
    <w:rsid w:val="00DC17E6"/>
    <w:rsid w:val="00DC1B00"/>
    <w:rsid w:val="00DC1F00"/>
    <w:rsid w:val="00DC2BF3"/>
    <w:rsid w:val="00DC2E85"/>
    <w:rsid w:val="00DC3AD8"/>
    <w:rsid w:val="00DC5133"/>
    <w:rsid w:val="00DC6DEB"/>
    <w:rsid w:val="00DC74EA"/>
    <w:rsid w:val="00DC7DAE"/>
    <w:rsid w:val="00DD016E"/>
    <w:rsid w:val="00DD25B5"/>
    <w:rsid w:val="00DD32CB"/>
    <w:rsid w:val="00DD479B"/>
    <w:rsid w:val="00DD4B83"/>
    <w:rsid w:val="00DD4E18"/>
    <w:rsid w:val="00DD4ED2"/>
    <w:rsid w:val="00DD5C5C"/>
    <w:rsid w:val="00DD60F5"/>
    <w:rsid w:val="00DD7970"/>
    <w:rsid w:val="00DD7E18"/>
    <w:rsid w:val="00DE07E1"/>
    <w:rsid w:val="00DE1296"/>
    <w:rsid w:val="00DE1BAF"/>
    <w:rsid w:val="00DE1F6B"/>
    <w:rsid w:val="00DE2DD3"/>
    <w:rsid w:val="00DE3315"/>
    <w:rsid w:val="00DE3676"/>
    <w:rsid w:val="00DE4266"/>
    <w:rsid w:val="00DE4623"/>
    <w:rsid w:val="00DE5316"/>
    <w:rsid w:val="00DE59CF"/>
    <w:rsid w:val="00DE5AC7"/>
    <w:rsid w:val="00DE624D"/>
    <w:rsid w:val="00DE6AE5"/>
    <w:rsid w:val="00DE7879"/>
    <w:rsid w:val="00DE7BEB"/>
    <w:rsid w:val="00DF0CD6"/>
    <w:rsid w:val="00DF1436"/>
    <w:rsid w:val="00DF2B0D"/>
    <w:rsid w:val="00DF2B18"/>
    <w:rsid w:val="00DF2D71"/>
    <w:rsid w:val="00DF2FA9"/>
    <w:rsid w:val="00DF415F"/>
    <w:rsid w:val="00DF4421"/>
    <w:rsid w:val="00DF6664"/>
    <w:rsid w:val="00DF6ED0"/>
    <w:rsid w:val="00DF759A"/>
    <w:rsid w:val="00E0009E"/>
    <w:rsid w:val="00E0019A"/>
    <w:rsid w:val="00E002E7"/>
    <w:rsid w:val="00E009B3"/>
    <w:rsid w:val="00E02151"/>
    <w:rsid w:val="00E0216A"/>
    <w:rsid w:val="00E023F5"/>
    <w:rsid w:val="00E03AD5"/>
    <w:rsid w:val="00E03B66"/>
    <w:rsid w:val="00E04820"/>
    <w:rsid w:val="00E0554D"/>
    <w:rsid w:val="00E05B39"/>
    <w:rsid w:val="00E05C4B"/>
    <w:rsid w:val="00E05FB8"/>
    <w:rsid w:val="00E06AE4"/>
    <w:rsid w:val="00E07660"/>
    <w:rsid w:val="00E07801"/>
    <w:rsid w:val="00E07E46"/>
    <w:rsid w:val="00E107B2"/>
    <w:rsid w:val="00E12294"/>
    <w:rsid w:val="00E13B45"/>
    <w:rsid w:val="00E14D21"/>
    <w:rsid w:val="00E1518A"/>
    <w:rsid w:val="00E1596F"/>
    <w:rsid w:val="00E15D0F"/>
    <w:rsid w:val="00E16C64"/>
    <w:rsid w:val="00E171B5"/>
    <w:rsid w:val="00E211B8"/>
    <w:rsid w:val="00E21571"/>
    <w:rsid w:val="00E21CF8"/>
    <w:rsid w:val="00E21ECD"/>
    <w:rsid w:val="00E22748"/>
    <w:rsid w:val="00E242F3"/>
    <w:rsid w:val="00E24366"/>
    <w:rsid w:val="00E24B03"/>
    <w:rsid w:val="00E2586A"/>
    <w:rsid w:val="00E25BB2"/>
    <w:rsid w:val="00E302FA"/>
    <w:rsid w:val="00E30367"/>
    <w:rsid w:val="00E3089A"/>
    <w:rsid w:val="00E32BF2"/>
    <w:rsid w:val="00E33A5C"/>
    <w:rsid w:val="00E33C95"/>
    <w:rsid w:val="00E347C8"/>
    <w:rsid w:val="00E34CC8"/>
    <w:rsid w:val="00E35147"/>
    <w:rsid w:val="00E356E0"/>
    <w:rsid w:val="00E35D03"/>
    <w:rsid w:val="00E35E0F"/>
    <w:rsid w:val="00E36169"/>
    <w:rsid w:val="00E3645B"/>
    <w:rsid w:val="00E403EC"/>
    <w:rsid w:val="00E40691"/>
    <w:rsid w:val="00E41C3A"/>
    <w:rsid w:val="00E41D1A"/>
    <w:rsid w:val="00E421DC"/>
    <w:rsid w:val="00E424B5"/>
    <w:rsid w:val="00E43068"/>
    <w:rsid w:val="00E4359E"/>
    <w:rsid w:val="00E4372B"/>
    <w:rsid w:val="00E44BEE"/>
    <w:rsid w:val="00E45E17"/>
    <w:rsid w:val="00E46022"/>
    <w:rsid w:val="00E4667C"/>
    <w:rsid w:val="00E466E0"/>
    <w:rsid w:val="00E467A9"/>
    <w:rsid w:val="00E47138"/>
    <w:rsid w:val="00E47912"/>
    <w:rsid w:val="00E479F1"/>
    <w:rsid w:val="00E50B51"/>
    <w:rsid w:val="00E51EA5"/>
    <w:rsid w:val="00E52436"/>
    <w:rsid w:val="00E5256C"/>
    <w:rsid w:val="00E53F34"/>
    <w:rsid w:val="00E54901"/>
    <w:rsid w:val="00E54D9C"/>
    <w:rsid w:val="00E55436"/>
    <w:rsid w:val="00E55C3A"/>
    <w:rsid w:val="00E564E6"/>
    <w:rsid w:val="00E607D4"/>
    <w:rsid w:val="00E60BA0"/>
    <w:rsid w:val="00E61424"/>
    <w:rsid w:val="00E62056"/>
    <w:rsid w:val="00E63720"/>
    <w:rsid w:val="00E643A6"/>
    <w:rsid w:val="00E64FE4"/>
    <w:rsid w:val="00E65370"/>
    <w:rsid w:val="00E65E4E"/>
    <w:rsid w:val="00E65E9E"/>
    <w:rsid w:val="00E66791"/>
    <w:rsid w:val="00E66881"/>
    <w:rsid w:val="00E66DEE"/>
    <w:rsid w:val="00E7172E"/>
    <w:rsid w:val="00E725B1"/>
    <w:rsid w:val="00E72AB6"/>
    <w:rsid w:val="00E744C5"/>
    <w:rsid w:val="00E75BC8"/>
    <w:rsid w:val="00E75CE5"/>
    <w:rsid w:val="00E7741E"/>
    <w:rsid w:val="00E774C5"/>
    <w:rsid w:val="00E774EB"/>
    <w:rsid w:val="00E8050B"/>
    <w:rsid w:val="00E80587"/>
    <w:rsid w:val="00E80B41"/>
    <w:rsid w:val="00E81041"/>
    <w:rsid w:val="00E81FA7"/>
    <w:rsid w:val="00E83B47"/>
    <w:rsid w:val="00E84269"/>
    <w:rsid w:val="00E85A71"/>
    <w:rsid w:val="00E8685E"/>
    <w:rsid w:val="00E868C9"/>
    <w:rsid w:val="00E90B86"/>
    <w:rsid w:val="00E9112F"/>
    <w:rsid w:val="00E91BF6"/>
    <w:rsid w:val="00E92AA1"/>
    <w:rsid w:val="00E92B80"/>
    <w:rsid w:val="00E94062"/>
    <w:rsid w:val="00E95011"/>
    <w:rsid w:val="00E9554E"/>
    <w:rsid w:val="00E96CC7"/>
    <w:rsid w:val="00E97A87"/>
    <w:rsid w:val="00E97EF4"/>
    <w:rsid w:val="00EA0012"/>
    <w:rsid w:val="00EA2431"/>
    <w:rsid w:val="00EA2CB2"/>
    <w:rsid w:val="00EA3255"/>
    <w:rsid w:val="00EA3FE5"/>
    <w:rsid w:val="00EA47DA"/>
    <w:rsid w:val="00EA50CD"/>
    <w:rsid w:val="00EA5470"/>
    <w:rsid w:val="00EA56BB"/>
    <w:rsid w:val="00EA639F"/>
    <w:rsid w:val="00EA690C"/>
    <w:rsid w:val="00EA6CFD"/>
    <w:rsid w:val="00EA7A7B"/>
    <w:rsid w:val="00EB0132"/>
    <w:rsid w:val="00EB0420"/>
    <w:rsid w:val="00EB0594"/>
    <w:rsid w:val="00EB20D7"/>
    <w:rsid w:val="00EB2161"/>
    <w:rsid w:val="00EB25BD"/>
    <w:rsid w:val="00EB3D76"/>
    <w:rsid w:val="00EB4224"/>
    <w:rsid w:val="00EB44AC"/>
    <w:rsid w:val="00EB5030"/>
    <w:rsid w:val="00EB53D6"/>
    <w:rsid w:val="00EB6276"/>
    <w:rsid w:val="00EB69E8"/>
    <w:rsid w:val="00EB6DF4"/>
    <w:rsid w:val="00EB7FCB"/>
    <w:rsid w:val="00EB7FEC"/>
    <w:rsid w:val="00EC0067"/>
    <w:rsid w:val="00EC0817"/>
    <w:rsid w:val="00EC0D6C"/>
    <w:rsid w:val="00EC31E0"/>
    <w:rsid w:val="00EC4363"/>
    <w:rsid w:val="00EC4A04"/>
    <w:rsid w:val="00EC5BEB"/>
    <w:rsid w:val="00EC6575"/>
    <w:rsid w:val="00EC72C6"/>
    <w:rsid w:val="00EC76A0"/>
    <w:rsid w:val="00EC79DF"/>
    <w:rsid w:val="00EC7EEA"/>
    <w:rsid w:val="00EC7EF4"/>
    <w:rsid w:val="00ED0AE9"/>
    <w:rsid w:val="00ED20B3"/>
    <w:rsid w:val="00ED21F9"/>
    <w:rsid w:val="00ED2EA6"/>
    <w:rsid w:val="00ED442D"/>
    <w:rsid w:val="00ED45C8"/>
    <w:rsid w:val="00ED6BFB"/>
    <w:rsid w:val="00ED6CFC"/>
    <w:rsid w:val="00ED70B8"/>
    <w:rsid w:val="00EE0472"/>
    <w:rsid w:val="00EE0BEB"/>
    <w:rsid w:val="00EE12A1"/>
    <w:rsid w:val="00EE22D7"/>
    <w:rsid w:val="00EE4C4E"/>
    <w:rsid w:val="00EE56C4"/>
    <w:rsid w:val="00EE5BC9"/>
    <w:rsid w:val="00EE6260"/>
    <w:rsid w:val="00EE6349"/>
    <w:rsid w:val="00EE6350"/>
    <w:rsid w:val="00EE63BC"/>
    <w:rsid w:val="00EE6F18"/>
    <w:rsid w:val="00EE7745"/>
    <w:rsid w:val="00EE7D23"/>
    <w:rsid w:val="00EE7EEF"/>
    <w:rsid w:val="00EF08AE"/>
    <w:rsid w:val="00EF1C19"/>
    <w:rsid w:val="00EF2C5B"/>
    <w:rsid w:val="00EF3AC0"/>
    <w:rsid w:val="00EF5D28"/>
    <w:rsid w:val="00EF6AB8"/>
    <w:rsid w:val="00EF70A1"/>
    <w:rsid w:val="00EF7FD3"/>
    <w:rsid w:val="00F00A23"/>
    <w:rsid w:val="00F0243E"/>
    <w:rsid w:val="00F0295D"/>
    <w:rsid w:val="00F03464"/>
    <w:rsid w:val="00F037AD"/>
    <w:rsid w:val="00F0457C"/>
    <w:rsid w:val="00F045AE"/>
    <w:rsid w:val="00F050D1"/>
    <w:rsid w:val="00F053F8"/>
    <w:rsid w:val="00F05B38"/>
    <w:rsid w:val="00F1126E"/>
    <w:rsid w:val="00F113D2"/>
    <w:rsid w:val="00F11F4A"/>
    <w:rsid w:val="00F12EB4"/>
    <w:rsid w:val="00F137F8"/>
    <w:rsid w:val="00F13C74"/>
    <w:rsid w:val="00F14446"/>
    <w:rsid w:val="00F14D95"/>
    <w:rsid w:val="00F157CD"/>
    <w:rsid w:val="00F15822"/>
    <w:rsid w:val="00F15A3F"/>
    <w:rsid w:val="00F16096"/>
    <w:rsid w:val="00F167E5"/>
    <w:rsid w:val="00F16D48"/>
    <w:rsid w:val="00F179AD"/>
    <w:rsid w:val="00F17BEA"/>
    <w:rsid w:val="00F17C48"/>
    <w:rsid w:val="00F17FE8"/>
    <w:rsid w:val="00F21F8C"/>
    <w:rsid w:val="00F22808"/>
    <w:rsid w:val="00F22F77"/>
    <w:rsid w:val="00F23C19"/>
    <w:rsid w:val="00F2419C"/>
    <w:rsid w:val="00F241FF"/>
    <w:rsid w:val="00F25C38"/>
    <w:rsid w:val="00F26237"/>
    <w:rsid w:val="00F2642D"/>
    <w:rsid w:val="00F26D62"/>
    <w:rsid w:val="00F30879"/>
    <w:rsid w:val="00F31480"/>
    <w:rsid w:val="00F31D2F"/>
    <w:rsid w:val="00F31D8A"/>
    <w:rsid w:val="00F31E29"/>
    <w:rsid w:val="00F32029"/>
    <w:rsid w:val="00F327B3"/>
    <w:rsid w:val="00F32AD0"/>
    <w:rsid w:val="00F32FF6"/>
    <w:rsid w:val="00F33520"/>
    <w:rsid w:val="00F338BD"/>
    <w:rsid w:val="00F346BC"/>
    <w:rsid w:val="00F34D08"/>
    <w:rsid w:val="00F357F8"/>
    <w:rsid w:val="00F35C58"/>
    <w:rsid w:val="00F37655"/>
    <w:rsid w:val="00F3769F"/>
    <w:rsid w:val="00F3784C"/>
    <w:rsid w:val="00F37A42"/>
    <w:rsid w:val="00F40A1C"/>
    <w:rsid w:val="00F40EC5"/>
    <w:rsid w:val="00F414A2"/>
    <w:rsid w:val="00F417D6"/>
    <w:rsid w:val="00F418BE"/>
    <w:rsid w:val="00F41D13"/>
    <w:rsid w:val="00F41F2E"/>
    <w:rsid w:val="00F41FBD"/>
    <w:rsid w:val="00F42DE2"/>
    <w:rsid w:val="00F42E46"/>
    <w:rsid w:val="00F42E79"/>
    <w:rsid w:val="00F43A43"/>
    <w:rsid w:val="00F44BF0"/>
    <w:rsid w:val="00F44D7C"/>
    <w:rsid w:val="00F46814"/>
    <w:rsid w:val="00F46ED3"/>
    <w:rsid w:val="00F502AD"/>
    <w:rsid w:val="00F510AB"/>
    <w:rsid w:val="00F5189B"/>
    <w:rsid w:val="00F52321"/>
    <w:rsid w:val="00F52776"/>
    <w:rsid w:val="00F5313C"/>
    <w:rsid w:val="00F55A63"/>
    <w:rsid w:val="00F5639E"/>
    <w:rsid w:val="00F56A55"/>
    <w:rsid w:val="00F57663"/>
    <w:rsid w:val="00F576B1"/>
    <w:rsid w:val="00F57D27"/>
    <w:rsid w:val="00F604DE"/>
    <w:rsid w:val="00F6092F"/>
    <w:rsid w:val="00F60D16"/>
    <w:rsid w:val="00F614A8"/>
    <w:rsid w:val="00F61581"/>
    <w:rsid w:val="00F625B4"/>
    <w:rsid w:val="00F627DF"/>
    <w:rsid w:val="00F628FA"/>
    <w:rsid w:val="00F6528C"/>
    <w:rsid w:val="00F659A8"/>
    <w:rsid w:val="00F659BE"/>
    <w:rsid w:val="00F65D69"/>
    <w:rsid w:val="00F66CAA"/>
    <w:rsid w:val="00F66E45"/>
    <w:rsid w:val="00F6775B"/>
    <w:rsid w:val="00F67DD4"/>
    <w:rsid w:val="00F701E9"/>
    <w:rsid w:val="00F706D6"/>
    <w:rsid w:val="00F70C18"/>
    <w:rsid w:val="00F70F4E"/>
    <w:rsid w:val="00F72354"/>
    <w:rsid w:val="00F7303D"/>
    <w:rsid w:val="00F7358E"/>
    <w:rsid w:val="00F737DC"/>
    <w:rsid w:val="00F7499D"/>
    <w:rsid w:val="00F76379"/>
    <w:rsid w:val="00F76D2A"/>
    <w:rsid w:val="00F7706F"/>
    <w:rsid w:val="00F775A8"/>
    <w:rsid w:val="00F77A17"/>
    <w:rsid w:val="00F80A3C"/>
    <w:rsid w:val="00F8162C"/>
    <w:rsid w:val="00F81EF0"/>
    <w:rsid w:val="00F82534"/>
    <w:rsid w:val="00F82AEC"/>
    <w:rsid w:val="00F830CD"/>
    <w:rsid w:val="00F8401B"/>
    <w:rsid w:val="00F84BEC"/>
    <w:rsid w:val="00F85C75"/>
    <w:rsid w:val="00F85FCF"/>
    <w:rsid w:val="00F86DC1"/>
    <w:rsid w:val="00F87664"/>
    <w:rsid w:val="00F90B8B"/>
    <w:rsid w:val="00F910FB"/>
    <w:rsid w:val="00F9129E"/>
    <w:rsid w:val="00F91CA7"/>
    <w:rsid w:val="00F92467"/>
    <w:rsid w:val="00F9286A"/>
    <w:rsid w:val="00F936E7"/>
    <w:rsid w:val="00F94158"/>
    <w:rsid w:val="00F94449"/>
    <w:rsid w:val="00F95083"/>
    <w:rsid w:val="00F95B98"/>
    <w:rsid w:val="00F96599"/>
    <w:rsid w:val="00F96684"/>
    <w:rsid w:val="00F96782"/>
    <w:rsid w:val="00F971B3"/>
    <w:rsid w:val="00F97573"/>
    <w:rsid w:val="00F97A40"/>
    <w:rsid w:val="00FA1AE0"/>
    <w:rsid w:val="00FA1E29"/>
    <w:rsid w:val="00FA1EF6"/>
    <w:rsid w:val="00FA342D"/>
    <w:rsid w:val="00FA5231"/>
    <w:rsid w:val="00FA5E78"/>
    <w:rsid w:val="00FA6391"/>
    <w:rsid w:val="00FA6755"/>
    <w:rsid w:val="00FA71D6"/>
    <w:rsid w:val="00FA7A44"/>
    <w:rsid w:val="00FA7A88"/>
    <w:rsid w:val="00FA7B27"/>
    <w:rsid w:val="00FB1AFF"/>
    <w:rsid w:val="00FB215F"/>
    <w:rsid w:val="00FB3521"/>
    <w:rsid w:val="00FB3850"/>
    <w:rsid w:val="00FB3EA7"/>
    <w:rsid w:val="00FB4A99"/>
    <w:rsid w:val="00FB4E99"/>
    <w:rsid w:val="00FB55A9"/>
    <w:rsid w:val="00FB562E"/>
    <w:rsid w:val="00FB5713"/>
    <w:rsid w:val="00FB5E8F"/>
    <w:rsid w:val="00FB7EAA"/>
    <w:rsid w:val="00FC14E5"/>
    <w:rsid w:val="00FC2776"/>
    <w:rsid w:val="00FC2D48"/>
    <w:rsid w:val="00FC2D52"/>
    <w:rsid w:val="00FC3825"/>
    <w:rsid w:val="00FC4EE3"/>
    <w:rsid w:val="00FC5E01"/>
    <w:rsid w:val="00FC6788"/>
    <w:rsid w:val="00FC6B0A"/>
    <w:rsid w:val="00FC762B"/>
    <w:rsid w:val="00FC7D8F"/>
    <w:rsid w:val="00FD259E"/>
    <w:rsid w:val="00FD29BF"/>
    <w:rsid w:val="00FD3443"/>
    <w:rsid w:val="00FD368E"/>
    <w:rsid w:val="00FD3D4D"/>
    <w:rsid w:val="00FD4B3D"/>
    <w:rsid w:val="00FD53F0"/>
    <w:rsid w:val="00FD5FA6"/>
    <w:rsid w:val="00FD6796"/>
    <w:rsid w:val="00FD7098"/>
    <w:rsid w:val="00FD7F1F"/>
    <w:rsid w:val="00FE0A90"/>
    <w:rsid w:val="00FE1AE3"/>
    <w:rsid w:val="00FE22DB"/>
    <w:rsid w:val="00FE38BA"/>
    <w:rsid w:val="00FE4585"/>
    <w:rsid w:val="00FE4589"/>
    <w:rsid w:val="00FE5F1B"/>
    <w:rsid w:val="00FE5F32"/>
    <w:rsid w:val="00FE5F69"/>
    <w:rsid w:val="00FE661A"/>
    <w:rsid w:val="00FE7D01"/>
    <w:rsid w:val="00FF1F7B"/>
    <w:rsid w:val="00FF22E1"/>
    <w:rsid w:val="00FF258F"/>
    <w:rsid w:val="00FF32DC"/>
    <w:rsid w:val="00FF436A"/>
    <w:rsid w:val="00FF4E3F"/>
    <w:rsid w:val="00FF4E5A"/>
    <w:rsid w:val="00FF4E7F"/>
    <w:rsid w:val="00FF4E92"/>
    <w:rsid w:val="00FF5330"/>
    <w:rsid w:val="00FF5603"/>
    <w:rsid w:val="00FF5651"/>
    <w:rsid w:val="00FF5AFC"/>
    <w:rsid w:val="00FF5D31"/>
    <w:rsid w:val="00FF7618"/>
    <w:rsid w:val="010EE060"/>
    <w:rsid w:val="0140274A"/>
    <w:rsid w:val="0297D82A"/>
    <w:rsid w:val="029D3592"/>
    <w:rsid w:val="0428F504"/>
    <w:rsid w:val="046EB185"/>
    <w:rsid w:val="04ECE213"/>
    <w:rsid w:val="05106DCD"/>
    <w:rsid w:val="05673FB3"/>
    <w:rsid w:val="058851CA"/>
    <w:rsid w:val="06A77CEE"/>
    <w:rsid w:val="06DDA57E"/>
    <w:rsid w:val="082A1515"/>
    <w:rsid w:val="0854CBE6"/>
    <w:rsid w:val="0A8A9D10"/>
    <w:rsid w:val="0B7B5D8C"/>
    <w:rsid w:val="0D9888B7"/>
    <w:rsid w:val="0DDAB946"/>
    <w:rsid w:val="0E56BA79"/>
    <w:rsid w:val="0E9F9BF6"/>
    <w:rsid w:val="0EAFA74C"/>
    <w:rsid w:val="0F59F6BF"/>
    <w:rsid w:val="0FF18C26"/>
    <w:rsid w:val="1027AFAB"/>
    <w:rsid w:val="1173F6F7"/>
    <w:rsid w:val="11A968F4"/>
    <w:rsid w:val="11DE6E0F"/>
    <w:rsid w:val="122A7D77"/>
    <w:rsid w:val="1399976F"/>
    <w:rsid w:val="13DA9B4E"/>
    <w:rsid w:val="14B6C3B2"/>
    <w:rsid w:val="1518C68B"/>
    <w:rsid w:val="1620136E"/>
    <w:rsid w:val="1739998D"/>
    <w:rsid w:val="177CEE1D"/>
    <w:rsid w:val="1782E051"/>
    <w:rsid w:val="17AD8B99"/>
    <w:rsid w:val="17FA1480"/>
    <w:rsid w:val="18B3AAA8"/>
    <w:rsid w:val="193801E4"/>
    <w:rsid w:val="1A1498AB"/>
    <w:rsid w:val="1A392351"/>
    <w:rsid w:val="1B15885F"/>
    <w:rsid w:val="1C13E714"/>
    <w:rsid w:val="1D373D6C"/>
    <w:rsid w:val="1D63259D"/>
    <w:rsid w:val="1EB20AD0"/>
    <w:rsid w:val="1F98E976"/>
    <w:rsid w:val="1FE209C9"/>
    <w:rsid w:val="203AC166"/>
    <w:rsid w:val="2058C861"/>
    <w:rsid w:val="205AE2D8"/>
    <w:rsid w:val="20C4C20B"/>
    <w:rsid w:val="215FA1BE"/>
    <w:rsid w:val="21F014F7"/>
    <w:rsid w:val="22F504E0"/>
    <w:rsid w:val="234F61EA"/>
    <w:rsid w:val="2437D4E2"/>
    <w:rsid w:val="25204181"/>
    <w:rsid w:val="2552710B"/>
    <w:rsid w:val="26365E48"/>
    <w:rsid w:val="26449BFE"/>
    <w:rsid w:val="26723F7D"/>
    <w:rsid w:val="271B084E"/>
    <w:rsid w:val="28009423"/>
    <w:rsid w:val="287E960C"/>
    <w:rsid w:val="2B317130"/>
    <w:rsid w:val="2B55A186"/>
    <w:rsid w:val="2BC50227"/>
    <w:rsid w:val="2C3F05CF"/>
    <w:rsid w:val="2D7EA264"/>
    <w:rsid w:val="2EBC9520"/>
    <w:rsid w:val="2FD62F94"/>
    <w:rsid w:val="2FECD8CC"/>
    <w:rsid w:val="30376C31"/>
    <w:rsid w:val="304B85C3"/>
    <w:rsid w:val="318FF11D"/>
    <w:rsid w:val="31D0A498"/>
    <w:rsid w:val="32BE5E79"/>
    <w:rsid w:val="32DF4047"/>
    <w:rsid w:val="3316A29F"/>
    <w:rsid w:val="333F1566"/>
    <w:rsid w:val="33F27546"/>
    <w:rsid w:val="34A40A01"/>
    <w:rsid w:val="34A6E71D"/>
    <w:rsid w:val="3583BAB4"/>
    <w:rsid w:val="3688579B"/>
    <w:rsid w:val="376E7693"/>
    <w:rsid w:val="377B4676"/>
    <w:rsid w:val="37E607CA"/>
    <w:rsid w:val="38452A40"/>
    <w:rsid w:val="38C73593"/>
    <w:rsid w:val="394AA212"/>
    <w:rsid w:val="3A059F5B"/>
    <w:rsid w:val="3B3A6B6A"/>
    <w:rsid w:val="3BFC2B71"/>
    <w:rsid w:val="3CA42F71"/>
    <w:rsid w:val="3CE49E09"/>
    <w:rsid w:val="3D25B81A"/>
    <w:rsid w:val="3D7C8099"/>
    <w:rsid w:val="3EDD8C67"/>
    <w:rsid w:val="3F2FB2DB"/>
    <w:rsid w:val="3FF04633"/>
    <w:rsid w:val="406FCD93"/>
    <w:rsid w:val="40E05671"/>
    <w:rsid w:val="4101B10B"/>
    <w:rsid w:val="4176DEC5"/>
    <w:rsid w:val="41C9830F"/>
    <w:rsid w:val="41D50FBA"/>
    <w:rsid w:val="42E55137"/>
    <w:rsid w:val="42F8819B"/>
    <w:rsid w:val="435A31C2"/>
    <w:rsid w:val="445E8FCF"/>
    <w:rsid w:val="450C137F"/>
    <w:rsid w:val="45690D0F"/>
    <w:rsid w:val="4616F12D"/>
    <w:rsid w:val="46D813DC"/>
    <w:rsid w:val="46F81E89"/>
    <w:rsid w:val="4733DF71"/>
    <w:rsid w:val="47789C8D"/>
    <w:rsid w:val="47940ED7"/>
    <w:rsid w:val="47FFBB27"/>
    <w:rsid w:val="4899CC18"/>
    <w:rsid w:val="4982D442"/>
    <w:rsid w:val="49C29759"/>
    <w:rsid w:val="4A62D27F"/>
    <w:rsid w:val="4A8B9996"/>
    <w:rsid w:val="4AC9F47A"/>
    <w:rsid w:val="4BA8D567"/>
    <w:rsid w:val="4D38503B"/>
    <w:rsid w:val="4DEB7C12"/>
    <w:rsid w:val="4E466553"/>
    <w:rsid w:val="4E5F5DBC"/>
    <w:rsid w:val="4F1A43C5"/>
    <w:rsid w:val="4FA973E0"/>
    <w:rsid w:val="4FEDE6E8"/>
    <w:rsid w:val="50D2A085"/>
    <w:rsid w:val="50E79DDE"/>
    <w:rsid w:val="50F79560"/>
    <w:rsid w:val="51BE09B1"/>
    <w:rsid w:val="51FB70F1"/>
    <w:rsid w:val="5299E1FB"/>
    <w:rsid w:val="52E56BA1"/>
    <w:rsid w:val="53BB8DEB"/>
    <w:rsid w:val="54753F05"/>
    <w:rsid w:val="56FBC726"/>
    <w:rsid w:val="5738586E"/>
    <w:rsid w:val="57FCAE44"/>
    <w:rsid w:val="58CA9390"/>
    <w:rsid w:val="599E9069"/>
    <w:rsid w:val="59AA5A1D"/>
    <w:rsid w:val="5AC71E73"/>
    <w:rsid w:val="5AD5FB65"/>
    <w:rsid w:val="5B67C1D2"/>
    <w:rsid w:val="5BDDA3A0"/>
    <w:rsid w:val="5D685949"/>
    <w:rsid w:val="5D768B96"/>
    <w:rsid w:val="5FDA6A19"/>
    <w:rsid w:val="60368F45"/>
    <w:rsid w:val="603CE8EE"/>
    <w:rsid w:val="603D2B35"/>
    <w:rsid w:val="608678B6"/>
    <w:rsid w:val="61749F0B"/>
    <w:rsid w:val="625518EF"/>
    <w:rsid w:val="626206F4"/>
    <w:rsid w:val="62D173BC"/>
    <w:rsid w:val="63025091"/>
    <w:rsid w:val="6408F56D"/>
    <w:rsid w:val="65C90C9C"/>
    <w:rsid w:val="6686C422"/>
    <w:rsid w:val="67954E96"/>
    <w:rsid w:val="69641901"/>
    <w:rsid w:val="69765D91"/>
    <w:rsid w:val="69C4885B"/>
    <w:rsid w:val="6A23551D"/>
    <w:rsid w:val="6D552738"/>
    <w:rsid w:val="6E2F6A9C"/>
    <w:rsid w:val="6EA00F47"/>
    <w:rsid w:val="6F19A494"/>
    <w:rsid w:val="7163D150"/>
    <w:rsid w:val="7184B71E"/>
    <w:rsid w:val="73664AC4"/>
    <w:rsid w:val="73FB7003"/>
    <w:rsid w:val="74497FB5"/>
    <w:rsid w:val="754358B7"/>
    <w:rsid w:val="76F53C5B"/>
    <w:rsid w:val="7766AF24"/>
    <w:rsid w:val="78D20D54"/>
    <w:rsid w:val="790ED69B"/>
    <w:rsid w:val="7A79C487"/>
    <w:rsid w:val="7A871252"/>
    <w:rsid w:val="7A9545AA"/>
    <w:rsid w:val="7ABD0651"/>
    <w:rsid w:val="7AC01BBC"/>
    <w:rsid w:val="7B4F2F77"/>
    <w:rsid w:val="7CC3BDE8"/>
    <w:rsid w:val="7D8900F0"/>
    <w:rsid w:val="7E1DAD50"/>
    <w:rsid w:val="7E2AA5A9"/>
    <w:rsid w:val="7E39DB2C"/>
    <w:rsid w:val="7E483237"/>
    <w:rsid w:val="7FD37B3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AC65"/>
  <w15:docId w15:val="{D67833D2-44F7-7348-B440-45C1C1E9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6A47"/>
    <w:rPr>
      <w:rFonts w:ascii="Times New Roman" w:eastAsia="Times New Roman" w:hAnsi="Times New Roman" w:cs="Times New Roman"/>
      <w:kern w:val="0"/>
      <w14:ligatures w14:val="none"/>
    </w:rPr>
  </w:style>
  <w:style w:type="paragraph" w:styleId="berschrift1">
    <w:name w:val="heading 1"/>
    <w:basedOn w:val="Standard"/>
    <w:link w:val="berschrift1Zchn"/>
    <w:uiPriority w:val="9"/>
    <w:qFormat/>
    <w:rsid w:val="00287A8E"/>
    <w:pPr>
      <w:spacing w:before="100" w:beforeAutospacing="1" w:after="100" w:afterAutospacing="1"/>
      <w:outlineLvl w:val="0"/>
    </w:pPr>
    <w:rPr>
      <w:b/>
      <w:bCs/>
      <w:kern w:val="36"/>
      <w:sz w:val="48"/>
      <w:szCs w:val="48"/>
    </w:rPr>
  </w:style>
  <w:style w:type="paragraph" w:styleId="berschrift2">
    <w:name w:val="heading 2"/>
    <w:basedOn w:val="Standard"/>
    <w:next w:val="Standard"/>
    <w:link w:val="berschrift2Zchn"/>
    <w:uiPriority w:val="9"/>
    <w:unhideWhenUsed/>
    <w:qFormat/>
    <w:rsid w:val="0066220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B6BF6"/>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0E3D4A"/>
    <w:pPr>
      <w:keepNext/>
      <w:keepLines/>
      <w:spacing w:before="240" w:after="120" w:line="360" w:lineRule="auto"/>
      <w:outlineLvl w:val="3"/>
    </w:pPr>
    <w:rPr>
      <w:bCs/>
      <w:i/>
      <w:iCs/>
      <w:color w:val="000000"/>
    </w:rPr>
  </w:style>
  <w:style w:type="paragraph" w:styleId="berschrift5">
    <w:name w:val="heading 5"/>
    <w:basedOn w:val="Standard"/>
    <w:next w:val="Standard"/>
    <w:link w:val="berschrift5Zchn"/>
    <w:uiPriority w:val="9"/>
    <w:unhideWhenUsed/>
    <w:qFormat/>
    <w:rsid w:val="000E3D4A"/>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unhideWhenUsed/>
    <w:qFormat/>
    <w:rsid w:val="000E3D4A"/>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unhideWhenUsed/>
    <w:qFormat/>
    <w:rsid w:val="00803F16"/>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unhideWhenUsed/>
    <w:qFormat/>
    <w:rsid w:val="00390F6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390F6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9F7905"/>
    <w:rPr>
      <w:color w:val="0000FF"/>
      <w:u w:val="single"/>
    </w:rPr>
  </w:style>
  <w:style w:type="character" w:styleId="BesuchterLink">
    <w:name w:val="FollowedHyperlink"/>
    <w:basedOn w:val="Absatz-Standardschriftart"/>
    <w:uiPriority w:val="99"/>
    <w:semiHidden/>
    <w:unhideWhenUsed/>
    <w:rsid w:val="009F7905"/>
    <w:rPr>
      <w:color w:val="954F72"/>
      <w:u w:val="single"/>
    </w:rPr>
  </w:style>
  <w:style w:type="paragraph" w:customStyle="1" w:styleId="msonormal0">
    <w:name w:val="msonormal"/>
    <w:basedOn w:val="Standard"/>
    <w:rsid w:val="009F7905"/>
    <w:pPr>
      <w:spacing w:before="100" w:beforeAutospacing="1" w:after="100" w:afterAutospacing="1"/>
    </w:pPr>
  </w:style>
  <w:style w:type="paragraph" w:customStyle="1" w:styleId="xl66">
    <w:name w:val="xl66"/>
    <w:basedOn w:val="Standard"/>
    <w:rsid w:val="009F7905"/>
    <w:pPr>
      <w:spacing w:before="100" w:beforeAutospacing="1" w:after="100" w:afterAutospacing="1"/>
      <w:textAlignment w:val="center"/>
    </w:pPr>
    <w:rPr>
      <w:b/>
      <w:bCs/>
    </w:rPr>
  </w:style>
  <w:style w:type="paragraph" w:customStyle="1" w:styleId="xl67">
    <w:name w:val="xl67"/>
    <w:basedOn w:val="Standard"/>
    <w:rsid w:val="009F7905"/>
    <w:pPr>
      <w:spacing w:before="100" w:beforeAutospacing="1" w:after="100" w:afterAutospacing="1"/>
      <w:textAlignment w:val="center"/>
    </w:pPr>
    <w:rPr>
      <w:b/>
      <w:bCs/>
    </w:rPr>
  </w:style>
  <w:style w:type="paragraph" w:customStyle="1" w:styleId="xl68">
    <w:name w:val="xl68"/>
    <w:basedOn w:val="Standard"/>
    <w:rsid w:val="009F7905"/>
    <w:pPr>
      <w:spacing w:before="100" w:beforeAutospacing="1" w:after="100" w:afterAutospacing="1"/>
      <w:textAlignment w:val="top"/>
    </w:pPr>
  </w:style>
  <w:style w:type="paragraph" w:customStyle="1" w:styleId="xl69">
    <w:name w:val="xl69"/>
    <w:basedOn w:val="Standard"/>
    <w:rsid w:val="009F7905"/>
    <w:pPr>
      <w:spacing w:before="100" w:beforeAutospacing="1" w:after="100" w:afterAutospacing="1"/>
      <w:textAlignment w:val="top"/>
    </w:pPr>
    <w:rPr>
      <w:color w:val="0000FF"/>
      <w:u w:val="single"/>
    </w:rPr>
  </w:style>
  <w:style w:type="paragraph" w:customStyle="1" w:styleId="xl70">
    <w:name w:val="xl70"/>
    <w:basedOn w:val="Standard"/>
    <w:rsid w:val="009F7905"/>
    <w:pPr>
      <w:spacing w:before="100" w:beforeAutospacing="1" w:after="100" w:afterAutospacing="1"/>
      <w:textAlignment w:val="top"/>
    </w:pPr>
  </w:style>
  <w:style w:type="paragraph" w:customStyle="1" w:styleId="xl71">
    <w:name w:val="xl71"/>
    <w:basedOn w:val="Standard"/>
    <w:rsid w:val="009F7905"/>
    <w:pPr>
      <w:shd w:val="clear" w:color="000000" w:fill="FFFF00"/>
      <w:spacing w:before="100" w:beforeAutospacing="1" w:after="100" w:afterAutospacing="1"/>
      <w:textAlignment w:val="top"/>
    </w:pPr>
  </w:style>
  <w:style w:type="paragraph" w:styleId="StandardWeb">
    <w:name w:val="Normal (Web)"/>
    <w:basedOn w:val="Standard"/>
    <w:uiPriority w:val="99"/>
    <w:unhideWhenUsed/>
    <w:rsid w:val="007255B0"/>
    <w:pPr>
      <w:spacing w:before="100" w:beforeAutospacing="1" w:after="100" w:afterAutospacing="1"/>
    </w:pPr>
  </w:style>
  <w:style w:type="character" w:styleId="NichtaufgelsteErwhnung">
    <w:name w:val="Unresolved Mention"/>
    <w:basedOn w:val="Absatz-Standardschriftart"/>
    <w:uiPriority w:val="99"/>
    <w:semiHidden/>
    <w:unhideWhenUsed/>
    <w:rsid w:val="00D459AA"/>
    <w:rPr>
      <w:color w:val="605E5C"/>
      <w:shd w:val="clear" w:color="auto" w:fill="E1DFDD"/>
    </w:rPr>
  </w:style>
  <w:style w:type="paragraph" w:styleId="Funotentext">
    <w:name w:val="footnote text"/>
    <w:basedOn w:val="Standard"/>
    <w:link w:val="FunotentextZchn"/>
    <w:uiPriority w:val="99"/>
    <w:unhideWhenUsed/>
    <w:rsid w:val="000B41B0"/>
    <w:rPr>
      <w:sz w:val="20"/>
      <w:szCs w:val="20"/>
    </w:rPr>
  </w:style>
  <w:style w:type="character" w:customStyle="1" w:styleId="FunotentextZchn">
    <w:name w:val="Fußnotentext Zchn"/>
    <w:basedOn w:val="Absatz-Standardschriftart"/>
    <w:link w:val="Funotentext"/>
    <w:uiPriority w:val="99"/>
    <w:rsid w:val="000B41B0"/>
    <w:rPr>
      <w:rFonts w:ascii="Times New Roman" w:eastAsia="Times New Roman" w:hAnsi="Times New Roman" w:cs="Times New Roman"/>
      <w:kern w:val="0"/>
      <w:sz w:val="20"/>
      <w:szCs w:val="20"/>
      <w14:ligatures w14:val="none"/>
    </w:rPr>
  </w:style>
  <w:style w:type="character" w:styleId="Funotenzeichen">
    <w:name w:val="footnote reference"/>
    <w:basedOn w:val="Absatz-Standardschriftart"/>
    <w:uiPriority w:val="99"/>
    <w:unhideWhenUsed/>
    <w:rsid w:val="000B41B0"/>
    <w:rPr>
      <w:vertAlign w:val="superscript"/>
    </w:rPr>
  </w:style>
  <w:style w:type="paragraph" w:styleId="Listenabsatz">
    <w:name w:val="List Paragraph"/>
    <w:basedOn w:val="Standard"/>
    <w:uiPriority w:val="34"/>
    <w:qFormat/>
    <w:rsid w:val="00B00A89"/>
    <w:pPr>
      <w:ind w:left="720"/>
      <w:contextualSpacing/>
    </w:pPr>
  </w:style>
  <w:style w:type="character" w:customStyle="1" w:styleId="berschrift1Zchn">
    <w:name w:val="Überschrift 1 Zchn"/>
    <w:basedOn w:val="Absatz-Standardschriftart"/>
    <w:link w:val="berschrift1"/>
    <w:uiPriority w:val="9"/>
    <w:rsid w:val="00287A8E"/>
    <w:rPr>
      <w:rFonts w:ascii="Times New Roman" w:eastAsia="Times New Roman" w:hAnsi="Times New Roman" w:cs="Times New Roman"/>
      <w:b/>
      <w:bCs/>
      <w:kern w:val="36"/>
      <w:sz w:val="48"/>
      <w:szCs w:val="48"/>
      <w14:ligatures w14:val="none"/>
    </w:rPr>
  </w:style>
  <w:style w:type="character" w:customStyle="1" w:styleId="berschrift2Zchn">
    <w:name w:val="Überschrift 2 Zchn"/>
    <w:basedOn w:val="Absatz-Standardschriftart"/>
    <w:link w:val="berschrift2"/>
    <w:uiPriority w:val="9"/>
    <w:rsid w:val="00662202"/>
    <w:rPr>
      <w:rFonts w:asciiTheme="majorHAnsi" w:eastAsiaTheme="majorEastAsia" w:hAnsiTheme="majorHAnsi" w:cstheme="majorBidi"/>
      <w:color w:val="2F5496" w:themeColor="accent1" w:themeShade="BF"/>
      <w:kern w:val="0"/>
      <w:sz w:val="26"/>
      <w:szCs w:val="26"/>
      <w14:ligatures w14:val="none"/>
    </w:rPr>
  </w:style>
  <w:style w:type="character" w:customStyle="1" w:styleId="berschrift3Zchn">
    <w:name w:val="Überschrift 3 Zchn"/>
    <w:basedOn w:val="Absatz-Standardschriftart"/>
    <w:link w:val="berschrift3"/>
    <w:uiPriority w:val="9"/>
    <w:rsid w:val="006B6BF6"/>
    <w:rPr>
      <w:rFonts w:asciiTheme="majorHAnsi" w:eastAsiaTheme="majorEastAsia" w:hAnsiTheme="majorHAnsi" w:cstheme="majorBidi"/>
      <w:color w:val="1F3763" w:themeColor="accent1" w:themeShade="7F"/>
      <w:kern w:val="0"/>
      <w14:ligatures w14:val="none"/>
    </w:rPr>
  </w:style>
  <w:style w:type="character" w:customStyle="1" w:styleId="berschrift9Zchn">
    <w:name w:val="Überschrift 9 Zchn"/>
    <w:basedOn w:val="Absatz-Standardschriftart"/>
    <w:link w:val="berschrift9"/>
    <w:uiPriority w:val="9"/>
    <w:rsid w:val="00390F66"/>
    <w:rPr>
      <w:rFonts w:asciiTheme="majorHAnsi" w:eastAsiaTheme="majorEastAsia" w:hAnsiTheme="majorHAnsi" w:cstheme="majorBidi"/>
      <w:i/>
      <w:iCs/>
      <w:color w:val="272727" w:themeColor="text1" w:themeTint="D8"/>
      <w:kern w:val="0"/>
      <w:sz w:val="21"/>
      <w:szCs w:val="21"/>
      <w14:ligatures w14:val="none"/>
    </w:rPr>
  </w:style>
  <w:style w:type="character" w:customStyle="1" w:styleId="berschrift8Zchn">
    <w:name w:val="Überschrift 8 Zchn"/>
    <w:basedOn w:val="Absatz-Standardschriftart"/>
    <w:link w:val="berschrift8"/>
    <w:uiPriority w:val="9"/>
    <w:rsid w:val="00390F66"/>
    <w:rPr>
      <w:rFonts w:asciiTheme="majorHAnsi" w:eastAsiaTheme="majorEastAsia" w:hAnsiTheme="majorHAnsi" w:cstheme="majorBidi"/>
      <w:color w:val="272727" w:themeColor="text1" w:themeTint="D8"/>
      <w:kern w:val="0"/>
      <w:sz w:val="21"/>
      <w:szCs w:val="21"/>
      <w14:ligatures w14:val="none"/>
    </w:rPr>
  </w:style>
  <w:style w:type="character" w:customStyle="1" w:styleId="berschrift7Zchn">
    <w:name w:val="Überschrift 7 Zchn"/>
    <w:basedOn w:val="Absatz-Standardschriftart"/>
    <w:link w:val="berschrift7"/>
    <w:uiPriority w:val="9"/>
    <w:rsid w:val="00803F16"/>
    <w:rPr>
      <w:rFonts w:asciiTheme="majorHAnsi" w:eastAsiaTheme="majorEastAsia" w:hAnsiTheme="majorHAnsi" w:cstheme="majorBidi"/>
      <w:i/>
      <w:iCs/>
      <w:color w:val="1F3763" w:themeColor="accent1" w:themeShade="7F"/>
      <w:kern w:val="0"/>
      <w14:ligatures w14:val="none"/>
    </w:rPr>
  </w:style>
  <w:style w:type="character" w:customStyle="1" w:styleId="berschrift5Zchn">
    <w:name w:val="Überschrift 5 Zchn"/>
    <w:basedOn w:val="Absatz-Standardschriftart"/>
    <w:link w:val="berschrift5"/>
    <w:uiPriority w:val="9"/>
    <w:rsid w:val="000E3D4A"/>
    <w:rPr>
      <w:rFonts w:asciiTheme="majorHAnsi" w:eastAsiaTheme="majorEastAsia" w:hAnsiTheme="majorHAnsi" w:cstheme="majorBidi"/>
      <w:color w:val="2F5496" w:themeColor="accent1" w:themeShade="BF"/>
      <w:kern w:val="0"/>
      <w14:ligatures w14:val="none"/>
    </w:rPr>
  </w:style>
  <w:style w:type="character" w:customStyle="1" w:styleId="berschrift6Zchn">
    <w:name w:val="Überschrift 6 Zchn"/>
    <w:basedOn w:val="Absatz-Standardschriftart"/>
    <w:link w:val="berschrift6"/>
    <w:uiPriority w:val="9"/>
    <w:rsid w:val="000E3D4A"/>
    <w:rPr>
      <w:rFonts w:asciiTheme="majorHAnsi" w:eastAsiaTheme="majorEastAsia" w:hAnsiTheme="majorHAnsi" w:cstheme="majorBidi"/>
      <w:color w:val="1F3763" w:themeColor="accent1" w:themeShade="7F"/>
      <w:kern w:val="0"/>
      <w14:ligatures w14:val="none"/>
    </w:rPr>
  </w:style>
  <w:style w:type="character" w:customStyle="1" w:styleId="berschrift4Zchn">
    <w:name w:val="Überschrift 4 Zchn"/>
    <w:basedOn w:val="Absatz-Standardschriftart"/>
    <w:link w:val="berschrift4"/>
    <w:uiPriority w:val="9"/>
    <w:rsid w:val="000E3D4A"/>
    <w:rPr>
      <w:rFonts w:ascii="Times New Roman" w:eastAsia="Times New Roman" w:hAnsi="Times New Roman" w:cs="Times New Roman"/>
      <w:bCs/>
      <w:i/>
      <w:iCs/>
      <w:color w:val="000000"/>
      <w:kern w:val="0"/>
      <w14:ligatures w14:val="none"/>
    </w:rPr>
  </w:style>
  <w:style w:type="numbering" w:customStyle="1" w:styleId="Jura">
    <w:name w:val="Jura"/>
    <w:uiPriority w:val="99"/>
    <w:rsid w:val="000E3D4A"/>
    <w:pPr>
      <w:numPr>
        <w:numId w:val="1"/>
      </w:numPr>
    </w:pPr>
  </w:style>
  <w:style w:type="paragraph" w:styleId="Inhaltsverzeichnisberschrift">
    <w:name w:val="TOC Heading"/>
    <w:basedOn w:val="berschrift1"/>
    <w:next w:val="Standard"/>
    <w:uiPriority w:val="39"/>
    <w:unhideWhenUsed/>
    <w:qFormat/>
    <w:rsid w:val="000E3D4A"/>
    <w:pPr>
      <w:keepNext/>
      <w:keepLines/>
      <w:spacing w:before="0" w:beforeAutospacing="0" w:after="480" w:afterAutospacing="0" w:line="320" w:lineRule="exact"/>
      <w:jc w:val="center"/>
      <w:outlineLvl w:val="9"/>
    </w:pPr>
    <w:rPr>
      <w:rFonts w:ascii="Cambria" w:hAnsi="Cambria"/>
      <w:b w:val="0"/>
      <w:color w:val="000000"/>
      <w:kern w:val="0"/>
      <w:sz w:val="28"/>
      <w:szCs w:val="28"/>
    </w:rPr>
  </w:style>
  <w:style w:type="paragraph" w:styleId="Verzeichnis1">
    <w:name w:val="toc 1"/>
    <w:basedOn w:val="Standard"/>
    <w:next w:val="Standard"/>
    <w:autoRedefine/>
    <w:uiPriority w:val="39"/>
    <w:unhideWhenUsed/>
    <w:rsid w:val="000E3D4A"/>
    <w:pPr>
      <w:suppressAutoHyphens/>
      <w:spacing w:before="120" w:after="120" w:line="360" w:lineRule="auto"/>
      <w:ind w:firstLine="227"/>
    </w:pPr>
    <w:rPr>
      <w:rFonts w:cstheme="minorHAnsi"/>
      <w:b/>
      <w:bCs/>
      <w:caps/>
      <w:sz w:val="20"/>
      <w:szCs w:val="20"/>
    </w:rPr>
  </w:style>
  <w:style w:type="paragraph" w:styleId="Sprechblasentext">
    <w:name w:val="Balloon Text"/>
    <w:basedOn w:val="Standard"/>
    <w:link w:val="SprechblasentextZchn"/>
    <w:uiPriority w:val="99"/>
    <w:semiHidden/>
    <w:unhideWhenUsed/>
    <w:rsid w:val="000E3D4A"/>
    <w:pPr>
      <w:spacing w:line="360" w:lineRule="auto"/>
      <w:ind w:firstLine="227"/>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E3D4A"/>
    <w:rPr>
      <w:rFonts w:ascii="Tahoma" w:eastAsia="Times New Roman" w:hAnsi="Tahoma" w:cs="Tahoma"/>
      <w:kern w:val="0"/>
      <w:sz w:val="16"/>
      <w:szCs w:val="16"/>
      <w14:ligatures w14:val="none"/>
    </w:rPr>
  </w:style>
  <w:style w:type="paragraph" w:styleId="Verzeichnis2">
    <w:name w:val="toc 2"/>
    <w:basedOn w:val="Standard"/>
    <w:next w:val="Standard"/>
    <w:autoRedefine/>
    <w:uiPriority w:val="39"/>
    <w:unhideWhenUsed/>
    <w:rsid w:val="000E3D4A"/>
    <w:pPr>
      <w:spacing w:line="360" w:lineRule="auto"/>
      <w:ind w:left="240" w:firstLine="227"/>
    </w:pPr>
    <w:rPr>
      <w:rFonts w:cstheme="minorHAnsi"/>
      <w:b/>
      <w:smallCaps/>
      <w:szCs w:val="20"/>
    </w:rPr>
  </w:style>
  <w:style w:type="paragraph" w:styleId="Verzeichnis3">
    <w:name w:val="toc 3"/>
    <w:basedOn w:val="Standard"/>
    <w:next w:val="Standard"/>
    <w:autoRedefine/>
    <w:uiPriority w:val="39"/>
    <w:unhideWhenUsed/>
    <w:rsid w:val="000E3D4A"/>
    <w:pPr>
      <w:spacing w:line="360" w:lineRule="auto"/>
      <w:ind w:left="480" w:firstLine="227"/>
    </w:pPr>
    <w:rPr>
      <w:rFonts w:cstheme="minorHAnsi"/>
      <w:iCs/>
      <w:szCs w:val="20"/>
    </w:rPr>
  </w:style>
  <w:style w:type="paragraph" w:styleId="Kopfzeile">
    <w:name w:val="header"/>
    <w:basedOn w:val="Standard"/>
    <w:link w:val="KopfzeileZchn"/>
    <w:uiPriority w:val="99"/>
    <w:unhideWhenUsed/>
    <w:rsid w:val="000E3D4A"/>
    <w:pPr>
      <w:tabs>
        <w:tab w:val="center" w:pos="4536"/>
        <w:tab w:val="right" w:pos="9072"/>
      </w:tabs>
      <w:spacing w:line="360" w:lineRule="auto"/>
      <w:ind w:firstLine="227"/>
    </w:pPr>
  </w:style>
  <w:style w:type="character" w:customStyle="1" w:styleId="KopfzeileZchn">
    <w:name w:val="Kopfzeile Zchn"/>
    <w:basedOn w:val="Absatz-Standardschriftart"/>
    <w:link w:val="Kopfzeile"/>
    <w:uiPriority w:val="99"/>
    <w:rsid w:val="000E3D4A"/>
    <w:rPr>
      <w:rFonts w:ascii="Times New Roman" w:eastAsia="Times New Roman" w:hAnsi="Times New Roman" w:cs="Times New Roman"/>
      <w:kern w:val="0"/>
      <w14:ligatures w14:val="none"/>
    </w:rPr>
  </w:style>
  <w:style w:type="paragraph" w:styleId="Fuzeile">
    <w:name w:val="footer"/>
    <w:basedOn w:val="Standard"/>
    <w:link w:val="FuzeileZchn"/>
    <w:uiPriority w:val="99"/>
    <w:unhideWhenUsed/>
    <w:rsid w:val="000E3D4A"/>
    <w:pPr>
      <w:tabs>
        <w:tab w:val="center" w:pos="4536"/>
        <w:tab w:val="right" w:pos="9072"/>
      </w:tabs>
      <w:spacing w:line="360" w:lineRule="auto"/>
      <w:ind w:firstLine="227"/>
    </w:pPr>
  </w:style>
  <w:style w:type="character" w:customStyle="1" w:styleId="FuzeileZchn">
    <w:name w:val="Fußzeile Zchn"/>
    <w:basedOn w:val="Absatz-Standardschriftart"/>
    <w:link w:val="Fuzeile"/>
    <w:uiPriority w:val="99"/>
    <w:rsid w:val="000E3D4A"/>
    <w:rPr>
      <w:rFonts w:ascii="Times New Roman" w:eastAsia="Times New Roman" w:hAnsi="Times New Roman" w:cs="Times New Roman"/>
      <w:kern w:val="0"/>
      <w14:ligatures w14:val="none"/>
    </w:rPr>
  </w:style>
  <w:style w:type="paragraph" w:styleId="Verzeichnis4">
    <w:name w:val="toc 4"/>
    <w:basedOn w:val="Standard"/>
    <w:next w:val="Standard"/>
    <w:autoRedefine/>
    <w:uiPriority w:val="39"/>
    <w:unhideWhenUsed/>
    <w:rsid w:val="000E3D4A"/>
    <w:pPr>
      <w:spacing w:line="360" w:lineRule="auto"/>
      <w:ind w:left="720" w:firstLine="227"/>
    </w:pPr>
    <w:rPr>
      <w:rFonts w:cstheme="minorHAnsi"/>
      <w:szCs w:val="18"/>
    </w:rPr>
  </w:style>
  <w:style w:type="paragraph" w:styleId="Verzeichnis5">
    <w:name w:val="toc 5"/>
    <w:basedOn w:val="Standard"/>
    <w:next w:val="Standard"/>
    <w:autoRedefine/>
    <w:uiPriority w:val="39"/>
    <w:unhideWhenUsed/>
    <w:rsid w:val="000E3D4A"/>
    <w:pPr>
      <w:spacing w:line="360" w:lineRule="auto"/>
      <w:ind w:left="960" w:firstLine="227"/>
    </w:pPr>
    <w:rPr>
      <w:rFonts w:cstheme="minorHAnsi"/>
      <w:szCs w:val="18"/>
    </w:rPr>
  </w:style>
  <w:style w:type="paragraph" w:styleId="Verzeichnis6">
    <w:name w:val="toc 6"/>
    <w:basedOn w:val="Standard"/>
    <w:next w:val="Standard"/>
    <w:autoRedefine/>
    <w:uiPriority w:val="39"/>
    <w:unhideWhenUsed/>
    <w:rsid w:val="000E3D4A"/>
    <w:pPr>
      <w:spacing w:line="360" w:lineRule="auto"/>
      <w:ind w:left="1200" w:firstLine="227"/>
    </w:pPr>
    <w:rPr>
      <w:rFonts w:cstheme="minorHAnsi"/>
      <w:szCs w:val="18"/>
    </w:rPr>
  </w:style>
  <w:style w:type="paragraph" w:styleId="Literaturverzeichnis">
    <w:name w:val="Bibliography"/>
    <w:basedOn w:val="Standard"/>
    <w:next w:val="Standard"/>
    <w:uiPriority w:val="37"/>
    <w:unhideWhenUsed/>
    <w:rsid w:val="000E3D4A"/>
    <w:pPr>
      <w:spacing w:line="360" w:lineRule="auto"/>
      <w:ind w:firstLine="227"/>
    </w:pPr>
  </w:style>
  <w:style w:type="table" w:styleId="Tabellenraster">
    <w:name w:val="Table Grid"/>
    <w:basedOn w:val="NormaleTabelle"/>
    <w:uiPriority w:val="39"/>
    <w:rsid w:val="000E3D4A"/>
    <w:rPr>
      <w:rFonts w:ascii="Calibri" w:eastAsia="Calibri" w:hAnsi="Calibri" w:cs="Times New Roman"/>
      <w:kern w:val="0"/>
      <w:lang w:val="en-GB"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kumentstruktur">
    <w:name w:val="Document Map"/>
    <w:basedOn w:val="Standard"/>
    <w:link w:val="DokumentstrukturZchn"/>
    <w:uiPriority w:val="99"/>
    <w:semiHidden/>
    <w:unhideWhenUsed/>
    <w:rsid w:val="000E3D4A"/>
    <w:pPr>
      <w:spacing w:line="360" w:lineRule="auto"/>
      <w:ind w:firstLine="227"/>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0E3D4A"/>
    <w:rPr>
      <w:rFonts w:ascii="Tahoma" w:eastAsia="Times New Roman" w:hAnsi="Tahoma" w:cs="Tahoma"/>
      <w:kern w:val="0"/>
      <w:sz w:val="16"/>
      <w:szCs w:val="16"/>
      <w14:ligatures w14:val="none"/>
    </w:rPr>
  </w:style>
  <w:style w:type="character" w:styleId="Fett">
    <w:name w:val="Strong"/>
    <w:uiPriority w:val="22"/>
    <w:qFormat/>
    <w:rsid w:val="000E3D4A"/>
    <w:rPr>
      <w:b/>
      <w:bCs/>
    </w:rPr>
  </w:style>
  <w:style w:type="character" w:styleId="Kommentarzeichen">
    <w:name w:val="annotation reference"/>
    <w:uiPriority w:val="99"/>
    <w:semiHidden/>
    <w:unhideWhenUsed/>
    <w:rsid w:val="000E3D4A"/>
    <w:rPr>
      <w:sz w:val="16"/>
      <w:szCs w:val="16"/>
    </w:rPr>
  </w:style>
  <w:style w:type="paragraph" w:styleId="Kommentartext">
    <w:name w:val="annotation text"/>
    <w:basedOn w:val="Standard"/>
    <w:link w:val="KommentartextZchn"/>
    <w:uiPriority w:val="99"/>
    <w:unhideWhenUsed/>
    <w:rsid w:val="000E3D4A"/>
    <w:pPr>
      <w:spacing w:line="360" w:lineRule="auto"/>
      <w:ind w:firstLine="227"/>
    </w:pPr>
    <w:rPr>
      <w:sz w:val="20"/>
      <w:szCs w:val="20"/>
    </w:rPr>
  </w:style>
  <w:style w:type="character" w:customStyle="1" w:styleId="KommentartextZchn">
    <w:name w:val="Kommentartext Zchn"/>
    <w:basedOn w:val="Absatz-Standardschriftart"/>
    <w:link w:val="Kommentartext"/>
    <w:uiPriority w:val="99"/>
    <w:rsid w:val="000E3D4A"/>
    <w:rPr>
      <w:rFonts w:ascii="Times New Roman" w:eastAsia="Times New Roman" w:hAnsi="Times New Roman" w:cs="Times New Roman"/>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0E3D4A"/>
    <w:rPr>
      <w:b/>
      <w:bCs/>
    </w:rPr>
  </w:style>
  <w:style w:type="character" w:customStyle="1" w:styleId="KommentarthemaZchn">
    <w:name w:val="Kommentarthema Zchn"/>
    <w:basedOn w:val="KommentartextZchn"/>
    <w:link w:val="Kommentarthema"/>
    <w:uiPriority w:val="99"/>
    <w:semiHidden/>
    <w:rsid w:val="000E3D4A"/>
    <w:rPr>
      <w:rFonts w:ascii="Times New Roman" w:eastAsia="Times New Roman" w:hAnsi="Times New Roman" w:cs="Times New Roman"/>
      <w:b/>
      <w:bCs/>
      <w:kern w:val="0"/>
      <w:sz w:val="20"/>
      <w:szCs w:val="20"/>
      <w14:ligatures w14:val="none"/>
    </w:rPr>
  </w:style>
  <w:style w:type="paragraph" w:styleId="berarbeitung">
    <w:name w:val="Revision"/>
    <w:hidden/>
    <w:uiPriority w:val="99"/>
    <w:semiHidden/>
    <w:rsid w:val="000E3D4A"/>
    <w:rPr>
      <w:rFonts w:ascii="Times New Roman" w:eastAsia="Calibri" w:hAnsi="Times New Roman" w:cs="Times New Roman"/>
      <w:kern w:val="0"/>
      <w:szCs w:val="22"/>
      <w:lang w:eastAsia="en-US"/>
      <w14:ligatures w14:val="none"/>
    </w:rPr>
  </w:style>
  <w:style w:type="paragraph" w:styleId="Verzeichnis7">
    <w:name w:val="toc 7"/>
    <w:basedOn w:val="Standard"/>
    <w:next w:val="Standard"/>
    <w:autoRedefine/>
    <w:uiPriority w:val="39"/>
    <w:unhideWhenUsed/>
    <w:rsid w:val="000E3D4A"/>
    <w:pPr>
      <w:spacing w:line="360" w:lineRule="auto"/>
      <w:ind w:left="1440" w:firstLine="227"/>
    </w:pPr>
    <w:rPr>
      <w:rFonts w:cstheme="minorHAnsi"/>
      <w:szCs w:val="18"/>
    </w:rPr>
  </w:style>
  <w:style w:type="paragraph" w:styleId="Verzeichnis8">
    <w:name w:val="toc 8"/>
    <w:basedOn w:val="Standard"/>
    <w:next w:val="Standard"/>
    <w:autoRedefine/>
    <w:uiPriority w:val="39"/>
    <w:unhideWhenUsed/>
    <w:rsid w:val="000E3D4A"/>
    <w:pPr>
      <w:spacing w:line="360" w:lineRule="auto"/>
      <w:ind w:left="1680" w:firstLine="227"/>
    </w:pPr>
    <w:rPr>
      <w:rFonts w:cstheme="minorHAnsi"/>
      <w:szCs w:val="18"/>
    </w:rPr>
  </w:style>
  <w:style w:type="paragraph" w:styleId="Verzeichnis9">
    <w:name w:val="toc 9"/>
    <w:basedOn w:val="Standard"/>
    <w:next w:val="Standard"/>
    <w:autoRedefine/>
    <w:uiPriority w:val="39"/>
    <w:unhideWhenUsed/>
    <w:rsid w:val="000E3D4A"/>
    <w:pPr>
      <w:spacing w:line="360" w:lineRule="auto"/>
      <w:ind w:left="1920" w:firstLine="227"/>
    </w:pPr>
    <w:rPr>
      <w:rFonts w:cstheme="minorHAnsi"/>
      <w:szCs w:val="18"/>
    </w:rPr>
  </w:style>
  <w:style w:type="character" w:styleId="Seitenzahl">
    <w:name w:val="page number"/>
    <w:basedOn w:val="Absatz-Standardschriftart"/>
    <w:uiPriority w:val="99"/>
    <w:semiHidden/>
    <w:unhideWhenUsed/>
    <w:rsid w:val="000E3D4A"/>
  </w:style>
  <w:style w:type="character" w:customStyle="1" w:styleId="searchword">
    <w:name w:val="searchword"/>
    <w:basedOn w:val="Absatz-Standardschriftart"/>
    <w:rsid w:val="000E3D4A"/>
  </w:style>
  <w:style w:type="paragraph" w:customStyle="1" w:styleId="EndNoteBibliographyTitle">
    <w:name w:val="EndNote Bibliography Title"/>
    <w:basedOn w:val="Standard"/>
    <w:link w:val="EndNoteBibliographyTitleZchn"/>
    <w:rsid w:val="000E3D4A"/>
    <w:pPr>
      <w:spacing w:line="360" w:lineRule="auto"/>
      <w:ind w:firstLine="227"/>
      <w:jc w:val="center"/>
    </w:pPr>
    <w:rPr>
      <w:sz w:val="20"/>
      <w:szCs w:val="20"/>
      <w:lang w:val="en-US"/>
    </w:rPr>
  </w:style>
  <w:style w:type="character" w:customStyle="1" w:styleId="EndNoteBibliographyTitleZchn">
    <w:name w:val="EndNote Bibliography Title Zchn"/>
    <w:basedOn w:val="FunotentextZchn"/>
    <w:link w:val="EndNoteBibliographyTitle"/>
    <w:rsid w:val="000E3D4A"/>
    <w:rPr>
      <w:rFonts w:ascii="Times New Roman" w:eastAsia="Times New Roman" w:hAnsi="Times New Roman" w:cs="Times New Roman"/>
      <w:kern w:val="0"/>
      <w:sz w:val="20"/>
      <w:szCs w:val="20"/>
      <w:lang w:val="en-US"/>
      <w14:ligatures w14:val="none"/>
    </w:rPr>
  </w:style>
  <w:style w:type="paragraph" w:customStyle="1" w:styleId="EndNoteBibliography">
    <w:name w:val="EndNote Bibliography"/>
    <w:basedOn w:val="Standard"/>
    <w:link w:val="EndNoteBibliographyZchn"/>
    <w:rsid w:val="000E3D4A"/>
    <w:pPr>
      <w:spacing w:line="360" w:lineRule="auto"/>
      <w:ind w:firstLine="227"/>
    </w:pPr>
    <w:rPr>
      <w:sz w:val="20"/>
      <w:szCs w:val="20"/>
      <w:lang w:val="en-US"/>
    </w:rPr>
  </w:style>
  <w:style w:type="character" w:customStyle="1" w:styleId="EndNoteBibliographyZchn">
    <w:name w:val="EndNote Bibliography Zchn"/>
    <w:basedOn w:val="FunotentextZchn"/>
    <w:link w:val="EndNoteBibliography"/>
    <w:rsid w:val="000E3D4A"/>
    <w:rPr>
      <w:rFonts w:ascii="Times New Roman" w:eastAsia="Times New Roman" w:hAnsi="Times New Roman" w:cs="Times New Roman"/>
      <w:kern w:val="0"/>
      <w:sz w:val="20"/>
      <w:szCs w:val="20"/>
      <w:lang w:val="en-US"/>
      <w14:ligatures w14:val="none"/>
    </w:rPr>
  </w:style>
  <w:style w:type="paragraph" w:customStyle="1" w:styleId="EndNoteCategoryHeading">
    <w:name w:val="EndNote Category Heading"/>
    <w:basedOn w:val="Standard"/>
    <w:link w:val="EndNoteCategoryHeadingZchn"/>
    <w:rsid w:val="000E3D4A"/>
    <w:pPr>
      <w:spacing w:before="120" w:after="120" w:line="360" w:lineRule="auto"/>
      <w:ind w:firstLine="227"/>
    </w:pPr>
    <w:rPr>
      <w:b/>
      <w:lang w:val="en-US"/>
    </w:rPr>
  </w:style>
  <w:style w:type="character" w:customStyle="1" w:styleId="EndNoteCategoryHeadingZchn">
    <w:name w:val="EndNote Category Heading Zchn"/>
    <w:basedOn w:val="Absatz-Standardschriftart"/>
    <w:link w:val="EndNoteCategoryHeading"/>
    <w:rsid w:val="000E3D4A"/>
    <w:rPr>
      <w:rFonts w:ascii="Times New Roman" w:eastAsia="Times New Roman" w:hAnsi="Times New Roman" w:cs="Times New Roman"/>
      <w:b/>
      <w:kern w:val="0"/>
      <w:lang w:val="en-US"/>
      <w14:ligatures w14:val="none"/>
    </w:rPr>
  </w:style>
  <w:style w:type="character" w:customStyle="1" w:styleId="NichtaufgelsteErwhnung1">
    <w:name w:val="Nicht aufgelöste Erwähnung1"/>
    <w:basedOn w:val="Absatz-Standardschriftart"/>
    <w:uiPriority w:val="99"/>
    <w:rsid w:val="000E3D4A"/>
    <w:rPr>
      <w:color w:val="605E5C"/>
      <w:shd w:val="clear" w:color="auto" w:fill="E1DFDD"/>
    </w:rPr>
  </w:style>
  <w:style w:type="paragraph" w:styleId="Index1">
    <w:name w:val="index 1"/>
    <w:basedOn w:val="Standard"/>
    <w:next w:val="Standard"/>
    <w:autoRedefine/>
    <w:uiPriority w:val="99"/>
    <w:unhideWhenUsed/>
    <w:rsid w:val="000E3D4A"/>
    <w:pPr>
      <w:spacing w:line="360" w:lineRule="auto"/>
      <w:ind w:left="240" w:hanging="240"/>
    </w:pPr>
    <w:rPr>
      <w:rFonts w:asciiTheme="minorHAnsi" w:hAnsiTheme="minorHAnsi" w:cstheme="minorHAnsi"/>
      <w:sz w:val="20"/>
      <w:szCs w:val="20"/>
    </w:rPr>
  </w:style>
  <w:style w:type="character" w:customStyle="1" w:styleId="NichtaufgelsteErwhnung2">
    <w:name w:val="Nicht aufgelöste Erwähnung2"/>
    <w:basedOn w:val="Absatz-Standardschriftart"/>
    <w:uiPriority w:val="99"/>
    <w:semiHidden/>
    <w:unhideWhenUsed/>
    <w:rsid w:val="000E3D4A"/>
    <w:rPr>
      <w:color w:val="605E5C"/>
      <w:shd w:val="clear" w:color="auto" w:fill="E1DFDD"/>
    </w:rPr>
  </w:style>
  <w:style w:type="character" w:styleId="Hervorhebung">
    <w:name w:val="Emphasis"/>
    <w:uiPriority w:val="20"/>
    <w:qFormat/>
    <w:rsid w:val="000E3D4A"/>
    <w:rPr>
      <w:i/>
      <w:iCs/>
    </w:rPr>
  </w:style>
  <w:style w:type="paragraph" w:styleId="Beschriftung">
    <w:name w:val="caption"/>
    <w:basedOn w:val="Standard"/>
    <w:next w:val="Standard"/>
    <w:link w:val="BeschriftungZchn"/>
    <w:uiPriority w:val="35"/>
    <w:unhideWhenUsed/>
    <w:qFormat/>
    <w:rsid w:val="000E3D4A"/>
    <w:pPr>
      <w:spacing w:after="480" w:line="360" w:lineRule="auto"/>
      <w:ind w:firstLine="227"/>
    </w:pPr>
    <w:rPr>
      <w:b/>
      <w:bCs/>
      <w:sz w:val="18"/>
      <w:szCs w:val="18"/>
      <w:lang w:val="x-none"/>
    </w:rPr>
  </w:style>
  <w:style w:type="paragraph" w:customStyle="1" w:styleId="Quelle">
    <w:name w:val="Quelle"/>
    <w:basedOn w:val="Beschriftung"/>
    <w:link w:val="QuelleZchn"/>
    <w:qFormat/>
    <w:rsid w:val="000E3D4A"/>
    <w:pPr>
      <w:spacing w:before="120" w:after="120" w:line="210" w:lineRule="exact"/>
      <w:ind w:left="709" w:right="709"/>
    </w:pPr>
    <w:rPr>
      <w:b w:val="0"/>
      <w:sz w:val="17"/>
    </w:rPr>
  </w:style>
  <w:style w:type="character" w:customStyle="1" w:styleId="BeschriftungZchn">
    <w:name w:val="Beschriftung Zchn"/>
    <w:link w:val="Beschriftung"/>
    <w:uiPriority w:val="35"/>
    <w:rsid w:val="000E3D4A"/>
    <w:rPr>
      <w:rFonts w:ascii="Times New Roman" w:eastAsia="Times New Roman" w:hAnsi="Times New Roman" w:cs="Times New Roman"/>
      <w:b/>
      <w:bCs/>
      <w:kern w:val="0"/>
      <w:sz w:val="18"/>
      <w:szCs w:val="18"/>
      <w:lang w:val="x-none"/>
      <w14:ligatures w14:val="none"/>
    </w:rPr>
  </w:style>
  <w:style w:type="character" w:customStyle="1" w:styleId="QuelleZchn">
    <w:name w:val="Quelle Zchn"/>
    <w:link w:val="Quelle"/>
    <w:rsid w:val="000E3D4A"/>
    <w:rPr>
      <w:rFonts w:ascii="Times New Roman" w:eastAsia="Times New Roman" w:hAnsi="Times New Roman" w:cs="Times New Roman"/>
      <w:bCs/>
      <w:kern w:val="0"/>
      <w:sz w:val="17"/>
      <w:szCs w:val="18"/>
      <w:lang w:val="x-none"/>
      <w14:ligatures w14:val="none"/>
    </w:rPr>
  </w:style>
  <w:style w:type="paragraph" w:styleId="Endnotentext">
    <w:name w:val="endnote text"/>
    <w:basedOn w:val="Standard"/>
    <w:link w:val="EndnotentextZchn"/>
    <w:uiPriority w:val="99"/>
    <w:semiHidden/>
    <w:unhideWhenUsed/>
    <w:rsid w:val="000E3D4A"/>
    <w:pPr>
      <w:spacing w:line="360" w:lineRule="auto"/>
      <w:ind w:firstLine="227"/>
    </w:pPr>
    <w:rPr>
      <w:sz w:val="20"/>
      <w:szCs w:val="20"/>
    </w:rPr>
  </w:style>
  <w:style w:type="character" w:customStyle="1" w:styleId="EndnotentextZchn">
    <w:name w:val="Endnotentext Zchn"/>
    <w:basedOn w:val="Absatz-Standardschriftart"/>
    <w:link w:val="Endnotentext"/>
    <w:uiPriority w:val="99"/>
    <w:semiHidden/>
    <w:rsid w:val="000E3D4A"/>
    <w:rPr>
      <w:rFonts w:ascii="Times New Roman" w:eastAsia="Times New Roman" w:hAnsi="Times New Roman" w:cs="Times New Roman"/>
      <w:kern w:val="0"/>
      <w:sz w:val="20"/>
      <w:szCs w:val="20"/>
      <w14:ligatures w14:val="none"/>
    </w:rPr>
  </w:style>
  <w:style w:type="character" w:styleId="Endnotenzeichen">
    <w:name w:val="endnote reference"/>
    <w:basedOn w:val="Absatz-Standardschriftart"/>
    <w:uiPriority w:val="99"/>
    <w:semiHidden/>
    <w:unhideWhenUsed/>
    <w:rsid w:val="000E3D4A"/>
    <w:rPr>
      <w:vertAlign w:val="superscript"/>
    </w:rPr>
  </w:style>
  <w:style w:type="paragraph" w:customStyle="1" w:styleId="c36centre">
    <w:name w:val="c36centre"/>
    <w:basedOn w:val="Standard"/>
    <w:rsid w:val="000E3D4A"/>
    <w:pPr>
      <w:spacing w:before="100" w:beforeAutospacing="1" w:after="100" w:afterAutospacing="1" w:line="360" w:lineRule="auto"/>
      <w:ind w:firstLine="227"/>
    </w:pPr>
  </w:style>
  <w:style w:type="paragraph" w:customStyle="1" w:styleId="c38centregrasgrandespacement">
    <w:name w:val="c38centregrasgrandespacement"/>
    <w:basedOn w:val="Standard"/>
    <w:rsid w:val="000E3D4A"/>
    <w:pPr>
      <w:spacing w:before="100" w:beforeAutospacing="1" w:after="100" w:afterAutospacing="1" w:line="360" w:lineRule="auto"/>
      <w:ind w:firstLine="227"/>
    </w:pPr>
  </w:style>
  <w:style w:type="paragraph" w:customStyle="1" w:styleId="c37centregras">
    <w:name w:val="c37centregras"/>
    <w:basedOn w:val="Standard"/>
    <w:rsid w:val="000E3D4A"/>
    <w:pPr>
      <w:spacing w:before="100" w:beforeAutospacing="1" w:after="100" w:afterAutospacing="1" w:line="360" w:lineRule="auto"/>
      <w:ind w:firstLine="227"/>
    </w:pPr>
  </w:style>
  <w:style w:type="character" w:customStyle="1" w:styleId="NichtaufgelsteErwhnung3">
    <w:name w:val="Nicht aufgelöste Erwähnung3"/>
    <w:basedOn w:val="Absatz-Standardschriftart"/>
    <w:uiPriority w:val="99"/>
    <w:semiHidden/>
    <w:unhideWhenUsed/>
    <w:rsid w:val="000E3D4A"/>
    <w:rPr>
      <w:color w:val="605E5C"/>
      <w:shd w:val="clear" w:color="auto" w:fill="E1DFDD"/>
    </w:rPr>
  </w:style>
  <w:style w:type="paragraph" w:styleId="Index2">
    <w:name w:val="index 2"/>
    <w:basedOn w:val="Standard"/>
    <w:next w:val="Standard"/>
    <w:autoRedefine/>
    <w:uiPriority w:val="99"/>
    <w:unhideWhenUsed/>
    <w:rsid w:val="000E3D4A"/>
    <w:pPr>
      <w:spacing w:line="360" w:lineRule="auto"/>
      <w:ind w:left="480" w:hanging="240"/>
    </w:pPr>
    <w:rPr>
      <w:rFonts w:asciiTheme="minorHAnsi" w:hAnsiTheme="minorHAnsi" w:cstheme="minorHAnsi"/>
      <w:sz w:val="20"/>
      <w:szCs w:val="20"/>
    </w:rPr>
  </w:style>
  <w:style w:type="paragraph" w:styleId="Index3">
    <w:name w:val="index 3"/>
    <w:basedOn w:val="Standard"/>
    <w:next w:val="Standard"/>
    <w:autoRedefine/>
    <w:uiPriority w:val="99"/>
    <w:unhideWhenUsed/>
    <w:rsid w:val="000E3D4A"/>
    <w:pPr>
      <w:spacing w:line="360" w:lineRule="auto"/>
      <w:ind w:left="720" w:hanging="240"/>
    </w:pPr>
    <w:rPr>
      <w:rFonts w:asciiTheme="minorHAnsi" w:hAnsiTheme="minorHAnsi" w:cstheme="minorHAnsi"/>
      <w:sz w:val="20"/>
      <w:szCs w:val="20"/>
    </w:rPr>
  </w:style>
  <w:style w:type="paragraph" w:styleId="Index4">
    <w:name w:val="index 4"/>
    <w:basedOn w:val="Standard"/>
    <w:next w:val="Standard"/>
    <w:autoRedefine/>
    <w:uiPriority w:val="99"/>
    <w:unhideWhenUsed/>
    <w:rsid w:val="000E3D4A"/>
    <w:pPr>
      <w:spacing w:line="360" w:lineRule="auto"/>
      <w:ind w:left="960" w:hanging="240"/>
    </w:pPr>
    <w:rPr>
      <w:rFonts w:asciiTheme="minorHAnsi" w:hAnsiTheme="minorHAnsi" w:cstheme="minorHAnsi"/>
      <w:sz w:val="20"/>
      <w:szCs w:val="20"/>
    </w:rPr>
  </w:style>
  <w:style w:type="paragraph" w:styleId="Index5">
    <w:name w:val="index 5"/>
    <w:basedOn w:val="Standard"/>
    <w:next w:val="Standard"/>
    <w:autoRedefine/>
    <w:uiPriority w:val="99"/>
    <w:unhideWhenUsed/>
    <w:rsid w:val="000E3D4A"/>
    <w:pPr>
      <w:spacing w:line="360" w:lineRule="auto"/>
      <w:ind w:left="1200" w:hanging="240"/>
    </w:pPr>
    <w:rPr>
      <w:rFonts w:asciiTheme="minorHAnsi" w:hAnsiTheme="minorHAnsi" w:cstheme="minorHAnsi"/>
      <w:sz w:val="20"/>
      <w:szCs w:val="20"/>
    </w:rPr>
  </w:style>
  <w:style w:type="paragraph" w:styleId="Index6">
    <w:name w:val="index 6"/>
    <w:basedOn w:val="Standard"/>
    <w:next w:val="Standard"/>
    <w:autoRedefine/>
    <w:uiPriority w:val="99"/>
    <w:unhideWhenUsed/>
    <w:rsid w:val="000E3D4A"/>
    <w:pPr>
      <w:spacing w:line="360" w:lineRule="auto"/>
      <w:ind w:left="1440" w:hanging="240"/>
    </w:pPr>
    <w:rPr>
      <w:rFonts w:asciiTheme="minorHAnsi" w:hAnsiTheme="minorHAnsi" w:cstheme="minorHAnsi"/>
      <w:sz w:val="20"/>
      <w:szCs w:val="20"/>
    </w:rPr>
  </w:style>
  <w:style w:type="paragraph" w:styleId="Index7">
    <w:name w:val="index 7"/>
    <w:basedOn w:val="Standard"/>
    <w:next w:val="Standard"/>
    <w:autoRedefine/>
    <w:uiPriority w:val="99"/>
    <w:unhideWhenUsed/>
    <w:rsid w:val="000E3D4A"/>
    <w:pPr>
      <w:spacing w:line="360" w:lineRule="auto"/>
      <w:ind w:left="1680" w:hanging="240"/>
    </w:pPr>
    <w:rPr>
      <w:rFonts w:asciiTheme="minorHAnsi" w:hAnsiTheme="minorHAnsi" w:cstheme="minorHAnsi"/>
      <w:sz w:val="20"/>
      <w:szCs w:val="20"/>
    </w:rPr>
  </w:style>
  <w:style w:type="paragraph" w:styleId="Index8">
    <w:name w:val="index 8"/>
    <w:basedOn w:val="Standard"/>
    <w:next w:val="Standard"/>
    <w:autoRedefine/>
    <w:uiPriority w:val="99"/>
    <w:unhideWhenUsed/>
    <w:rsid w:val="000E3D4A"/>
    <w:pPr>
      <w:spacing w:line="360" w:lineRule="auto"/>
      <w:ind w:left="1920" w:hanging="240"/>
    </w:pPr>
    <w:rPr>
      <w:rFonts w:asciiTheme="minorHAnsi" w:hAnsiTheme="minorHAnsi" w:cstheme="minorHAnsi"/>
      <w:sz w:val="20"/>
      <w:szCs w:val="20"/>
    </w:rPr>
  </w:style>
  <w:style w:type="paragraph" w:styleId="Index9">
    <w:name w:val="index 9"/>
    <w:basedOn w:val="Standard"/>
    <w:next w:val="Standard"/>
    <w:autoRedefine/>
    <w:uiPriority w:val="99"/>
    <w:unhideWhenUsed/>
    <w:rsid w:val="000E3D4A"/>
    <w:pPr>
      <w:spacing w:line="360" w:lineRule="auto"/>
      <w:ind w:left="2160" w:hanging="240"/>
    </w:pPr>
    <w:rPr>
      <w:rFonts w:asciiTheme="minorHAnsi" w:hAnsiTheme="minorHAnsi" w:cstheme="minorHAnsi"/>
      <w:sz w:val="20"/>
      <w:szCs w:val="20"/>
    </w:rPr>
  </w:style>
  <w:style w:type="paragraph" w:styleId="Indexberschrift">
    <w:name w:val="index heading"/>
    <w:basedOn w:val="Standard"/>
    <w:next w:val="Index1"/>
    <w:uiPriority w:val="99"/>
    <w:unhideWhenUsed/>
    <w:rsid w:val="000E3D4A"/>
    <w:pPr>
      <w:spacing w:before="120" w:after="120" w:line="360" w:lineRule="auto"/>
      <w:ind w:firstLine="227"/>
    </w:pPr>
    <w:rPr>
      <w:rFonts w:asciiTheme="minorHAnsi" w:hAnsiTheme="minorHAnsi" w:cstheme="minorHAnsi"/>
      <w:b/>
      <w:bCs/>
      <w:i/>
      <w:iCs/>
      <w:sz w:val="20"/>
      <w:szCs w:val="20"/>
    </w:rPr>
  </w:style>
  <w:style w:type="character" w:customStyle="1" w:styleId="nextline">
    <w:name w:val="nextline"/>
    <w:basedOn w:val="Absatz-Standardschriftart"/>
    <w:rsid w:val="000E3D4A"/>
  </w:style>
  <w:style w:type="paragraph" w:styleId="HTMLVorformatiert">
    <w:name w:val="HTML Preformatted"/>
    <w:basedOn w:val="Standard"/>
    <w:link w:val="HTMLVorformatiertZchn"/>
    <w:uiPriority w:val="99"/>
    <w:semiHidden/>
    <w:unhideWhenUsed/>
    <w:rsid w:val="000E3D4A"/>
    <w:pPr>
      <w:spacing w:line="360" w:lineRule="auto"/>
      <w:ind w:firstLine="227"/>
    </w:pPr>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0E3D4A"/>
    <w:rPr>
      <w:rFonts w:ascii="Consolas" w:eastAsia="Times New Roman" w:hAnsi="Consolas" w:cs="Consolas"/>
      <w:kern w:val="0"/>
      <w:sz w:val="20"/>
      <w:szCs w:val="20"/>
      <w14:ligatures w14:val="none"/>
    </w:rPr>
  </w:style>
  <w:style w:type="character" w:styleId="Platzhaltertext">
    <w:name w:val="Placeholder Text"/>
    <w:basedOn w:val="Absatz-Standardschriftart"/>
    <w:uiPriority w:val="99"/>
    <w:semiHidden/>
    <w:rsid w:val="000E3D4A"/>
    <w:rPr>
      <w:color w:val="808080"/>
    </w:rPr>
  </w:style>
  <w:style w:type="character" w:customStyle="1" w:styleId="apple-converted-space">
    <w:name w:val="apple-converted-space"/>
    <w:basedOn w:val="Absatz-Standardschriftart"/>
    <w:rsid w:val="000E3D4A"/>
  </w:style>
  <w:style w:type="character" w:customStyle="1" w:styleId="ssit">
    <w:name w:val="ss_it"/>
    <w:basedOn w:val="Absatz-Standardschriftart"/>
    <w:rsid w:val="00775664"/>
  </w:style>
  <w:style w:type="paragraph" w:customStyle="1" w:styleId="p1">
    <w:name w:val="p1"/>
    <w:basedOn w:val="Standard"/>
    <w:rsid w:val="00775664"/>
    <w:pPr>
      <w:spacing w:before="100" w:beforeAutospacing="1" w:after="100" w:afterAutospacing="1" w:line="240" w:lineRule="exact"/>
      <w:ind w:firstLine="227"/>
      <w:jc w:val="both"/>
    </w:pPr>
    <w:rPr>
      <w:spacing w:val="2"/>
      <w:sz w:val="20"/>
    </w:rPr>
  </w:style>
  <w:style w:type="paragraph" w:styleId="Titel">
    <w:name w:val="Title"/>
    <w:basedOn w:val="Standard"/>
    <w:next w:val="Standard"/>
    <w:link w:val="TitelZchn"/>
    <w:uiPriority w:val="10"/>
    <w:qFormat/>
    <w:rsid w:val="00775664"/>
    <w:pPr>
      <w:snapToGrid w:val="0"/>
      <w:spacing w:before="100" w:beforeAutospacing="1" w:after="100" w:afterAutospacing="1"/>
      <w:contextualSpacing/>
      <w:jc w:val="center"/>
    </w:pPr>
    <w:rPr>
      <w:rFonts w:eastAsiaTheme="majorEastAsia" w:cs="Times New Roman (Überschriften"/>
      <w:spacing w:val="2"/>
      <w:kern w:val="28"/>
      <w:sz w:val="36"/>
      <w:szCs w:val="56"/>
      <w14:ligatures w14:val="standardContextual"/>
    </w:rPr>
  </w:style>
  <w:style w:type="character" w:customStyle="1" w:styleId="TitelZchn">
    <w:name w:val="Titel Zchn"/>
    <w:basedOn w:val="Absatz-Standardschriftart"/>
    <w:link w:val="Titel"/>
    <w:uiPriority w:val="10"/>
    <w:rsid w:val="00775664"/>
    <w:rPr>
      <w:rFonts w:ascii="Times New Roman" w:eastAsiaTheme="majorEastAsia" w:hAnsi="Times New Roman" w:cs="Times New Roman (Überschriften"/>
      <w:spacing w:val="2"/>
      <w:kern w:val="28"/>
      <w:sz w:val="36"/>
      <w:szCs w:val="56"/>
    </w:rPr>
  </w:style>
  <w:style w:type="paragraph" w:styleId="Untertitel">
    <w:name w:val="Subtitle"/>
    <w:basedOn w:val="Standard"/>
    <w:next w:val="Standard"/>
    <w:link w:val="UntertitelZchn"/>
    <w:uiPriority w:val="11"/>
    <w:qFormat/>
    <w:rsid w:val="00775664"/>
    <w:pPr>
      <w:numPr>
        <w:ilvl w:val="1"/>
      </w:numPr>
      <w:spacing w:after="160" w:line="278" w:lineRule="auto"/>
      <w:ind w:left="227" w:firstLine="227"/>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77566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5664"/>
    <w:pPr>
      <w:spacing w:before="160" w:after="160" w:line="278" w:lineRule="auto"/>
      <w:ind w:firstLine="227"/>
      <w:jc w:val="center"/>
    </w:pPr>
    <w:rPr>
      <w:rFonts w:asciiTheme="minorHAnsi" w:eastAsiaTheme="minorEastAsia" w:hAnsiTheme="minorHAnsi" w:cstheme="minorBidi"/>
      <w:i/>
      <w:iCs/>
      <w:color w:val="404040" w:themeColor="text1" w:themeTint="BF"/>
      <w:spacing w:val="2"/>
      <w:kern w:val="2"/>
      <w:sz w:val="20"/>
      <w14:ligatures w14:val="standardContextual"/>
    </w:rPr>
  </w:style>
  <w:style w:type="character" w:customStyle="1" w:styleId="ZitatZchn">
    <w:name w:val="Zitat Zchn"/>
    <w:basedOn w:val="Absatz-Standardschriftart"/>
    <w:link w:val="Zitat"/>
    <w:uiPriority w:val="29"/>
    <w:rsid w:val="00775664"/>
    <w:rPr>
      <w:i/>
      <w:iCs/>
      <w:color w:val="404040" w:themeColor="text1" w:themeTint="BF"/>
      <w:spacing w:val="2"/>
      <w:sz w:val="20"/>
    </w:rPr>
  </w:style>
  <w:style w:type="character" w:styleId="IntensiveHervorhebung">
    <w:name w:val="Intense Emphasis"/>
    <w:basedOn w:val="Absatz-Standardschriftart"/>
    <w:uiPriority w:val="21"/>
    <w:qFormat/>
    <w:rsid w:val="00775664"/>
    <w:rPr>
      <w:i/>
      <w:iCs/>
      <w:color w:val="2F5496" w:themeColor="accent1" w:themeShade="BF"/>
    </w:rPr>
  </w:style>
  <w:style w:type="paragraph" w:styleId="IntensivesZitat">
    <w:name w:val="Intense Quote"/>
    <w:basedOn w:val="Standard"/>
    <w:next w:val="Standard"/>
    <w:link w:val="IntensivesZitatZchn"/>
    <w:uiPriority w:val="30"/>
    <w:qFormat/>
    <w:rsid w:val="00775664"/>
    <w:pPr>
      <w:pBdr>
        <w:top w:val="single" w:sz="4" w:space="10" w:color="2F5496" w:themeColor="accent1" w:themeShade="BF"/>
        <w:bottom w:val="single" w:sz="4" w:space="10" w:color="2F5496" w:themeColor="accent1" w:themeShade="BF"/>
      </w:pBdr>
      <w:spacing w:before="360" w:after="360" w:line="278" w:lineRule="auto"/>
      <w:ind w:left="864" w:right="864" w:firstLine="227"/>
      <w:jc w:val="center"/>
    </w:pPr>
    <w:rPr>
      <w:rFonts w:asciiTheme="minorHAnsi" w:eastAsiaTheme="minorEastAsia" w:hAnsiTheme="minorHAnsi" w:cstheme="minorBidi"/>
      <w:i/>
      <w:iCs/>
      <w:color w:val="2F5496" w:themeColor="accent1" w:themeShade="BF"/>
      <w:spacing w:val="2"/>
      <w:kern w:val="2"/>
      <w:sz w:val="20"/>
      <w14:ligatures w14:val="standardContextual"/>
    </w:rPr>
  </w:style>
  <w:style w:type="character" w:customStyle="1" w:styleId="IntensivesZitatZchn">
    <w:name w:val="Intensives Zitat Zchn"/>
    <w:basedOn w:val="Absatz-Standardschriftart"/>
    <w:link w:val="IntensivesZitat"/>
    <w:uiPriority w:val="30"/>
    <w:rsid w:val="00775664"/>
    <w:rPr>
      <w:i/>
      <w:iCs/>
      <w:color w:val="2F5496" w:themeColor="accent1" w:themeShade="BF"/>
      <w:spacing w:val="2"/>
      <w:sz w:val="20"/>
    </w:rPr>
  </w:style>
  <w:style w:type="character" w:styleId="IntensiverVerweis">
    <w:name w:val="Intense Reference"/>
    <w:basedOn w:val="Absatz-Standardschriftart"/>
    <w:uiPriority w:val="32"/>
    <w:qFormat/>
    <w:rsid w:val="00775664"/>
    <w:rPr>
      <w:b/>
      <w:bCs/>
      <w:smallCaps/>
      <w:color w:val="2F5496" w:themeColor="accent1" w:themeShade="BF"/>
      <w:spacing w:val="5"/>
    </w:rPr>
  </w:style>
  <w:style w:type="character" w:customStyle="1" w:styleId="apple-tab-span">
    <w:name w:val="apple-tab-span"/>
    <w:basedOn w:val="Absatz-Standardschriftart"/>
    <w:rsid w:val="00775664"/>
  </w:style>
  <w:style w:type="character" w:customStyle="1" w:styleId="s1">
    <w:name w:val="s1"/>
    <w:basedOn w:val="Absatz-Standardschriftart"/>
    <w:rsid w:val="00775664"/>
  </w:style>
  <w:style w:type="paragraph" w:customStyle="1" w:styleId="xl63">
    <w:name w:val="xl63"/>
    <w:basedOn w:val="Standard"/>
    <w:rsid w:val="00775664"/>
    <w:pPr>
      <w:spacing w:before="100" w:beforeAutospacing="1" w:after="100" w:afterAutospacing="1" w:line="240" w:lineRule="exact"/>
      <w:ind w:firstLine="227"/>
      <w:jc w:val="both"/>
    </w:pPr>
    <w:rPr>
      <w:rFonts w:ascii="Aptos Narrow" w:hAnsi="Aptos Narrow"/>
      <w:b/>
      <w:bCs/>
      <w:spacing w:val="2"/>
      <w:sz w:val="20"/>
    </w:rPr>
  </w:style>
  <w:style w:type="paragraph" w:customStyle="1" w:styleId="xl64">
    <w:name w:val="xl64"/>
    <w:basedOn w:val="Standard"/>
    <w:rsid w:val="00775664"/>
    <w:pPr>
      <w:spacing w:before="100" w:beforeAutospacing="1" w:after="100" w:afterAutospacing="1" w:line="240" w:lineRule="exact"/>
      <w:ind w:firstLine="227"/>
      <w:jc w:val="both"/>
    </w:pPr>
    <w:rPr>
      <w:spacing w:val="2"/>
      <w:sz w:val="20"/>
    </w:rPr>
  </w:style>
  <w:style w:type="paragraph" w:customStyle="1" w:styleId="xl65">
    <w:name w:val="xl65"/>
    <w:basedOn w:val="Standard"/>
    <w:rsid w:val="00775664"/>
    <w:pPr>
      <w:spacing w:before="100" w:beforeAutospacing="1" w:after="100" w:afterAutospacing="1" w:line="240" w:lineRule="exact"/>
      <w:ind w:firstLine="227"/>
      <w:jc w:val="both"/>
    </w:pPr>
    <w:rPr>
      <w:spacing w:val="2"/>
      <w:sz w:val="20"/>
    </w:rPr>
  </w:style>
  <w:style w:type="character" w:customStyle="1" w:styleId="zit">
    <w:name w:val="zit"/>
    <w:basedOn w:val="Absatz-Standardschriftart"/>
    <w:rsid w:val="00775664"/>
  </w:style>
  <w:style w:type="paragraph" w:customStyle="1" w:styleId="oj-doc-ti">
    <w:name w:val="oj-doc-ti"/>
    <w:basedOn w:val="Standard"/>
    <w:rsid w:val="00775664"/>
    <w:pPr>
      <w:spacing w:before="100" w:beforeAutospacing="1" w:after="100" w:afterAutospacing="1" w:line="240" w:lineRule="exact"/>
      <w:ind w:firstLine="227"/>
      <w:jc w:val="both"/>
    </w:pPr>
    <w:rPr>
      <w:spacing w:val="2"/>
      <w:sz w:val="20"/>
    </w:rPr>
  </w:style>
  <w:style w:type="paragraph" w:customStyle="1" w:styleId="sum-title-1">
    <w:name w:val="sum-title-1"/>
    <w:basedOn w:val="Standard"/>
    <w:rsid w:val="00775664"/>
    <w:pPr>
      <w:spacing w:before="100" w:beforeAutospacing="1" w:after="100" w:afterAutospacing="1" w:line="240" w:lineRule="exact"/>
      <w:ind w:firstLine="227"/>
      <w:jc w:val="both"/>
    </w:pPr>
    <w:rPr>
      <w:spacing w:val="2"/>
      <w:sz w:val="20"/>
    </w:rPr>
  </w:style>
  <w:style w:type="paragraph" w:customStyle="1" w:styleId="title-bold">
    <w:name w:val="title-bold"/>
    <w:basedOn w:val="Standard"/>
    <w:rsid w:val="00775664"/>
    <w:pPr>
      <w:spacing w:before="100" w:beforeAutospacing="1" w:after="100" w:afterAutospacing="1" w:line="240" w:lineRule="exact"/>
      <w:ind w:firstLine="227"/>
      <w:jc w:val="both"/>
    </w:pPr>
    <w:rPr>
      <w:spacing w:val="2"/>
      <w:sz w:val="20"/>
    </w:rPr>
  </w:style>
  <w:style w:type="paragraph" w:customStyle="1" w:styleId="p2">
    <w:name w:val="p2"/>
    <w:basedOn w:val="Standard"/>
    <w:rsid w:val="00775664"/>
    <w:pPr>
      <w:spacing w:before="100" w:beforeAutospacing="1" w:after="100" w:afterAutospacing="1" w:line="240" w:lineRule="exact"/>
      <w:ind w:firstLine="227"/>
      <w:jc w:val="both"/>
    </w:pPr>
    <w:rPr>
      <w:spacing w:val="2"/>
      <w:sz w:val="20"/>
    </w:rPr>
  </w:style>
  <w:style w:type="paragraph" w:customStyle="1" w:styleId="p3">
    <w:name w:val="p3"/>
    <w:basedOn w:val="Standard"/>
    <w:rsid w:val="00775664"/>
    <w:pPr>
      <w:spacing w:before="100" w:beforeAutospacing="1" w:after="100" w:afterAutospacing="1" w:line="240" w:lineRule="exact"/>
      <w:ind w:firstLine="227"/>
      <w:jc w:val="both"/>
    </w:pPr>
    <w:rPr>
      <w:spacing w:val="2"/>
      <w:sz w:val="20"/>
    </w:rPr>
  </w:style>
  <w:style w:type="character" w:customStyle="1" w:styleId="s2">
    <w:name w:val="s2"/>
    <w:basedOn w:val="Absatz-Standardschriftart"/>
    <w:rsid w:val="00775664"/>
  </w:style>
  <w:style w:type="paragraph" w:customStyle="1" w:styleId="p4">
    <w:name w:val="p4"/>
    <w:basedOn w:val="Standard"/>
    <w:rsid w:val="00775664"/>
    <w:pPr>
      <w:spacing w:before="100" w:beforeAutospacing="1" w:after="100" w:afterAutospacing="1" w:line="240" w:lineRule="exact"/>
      <w:ind w:firstLine="227"/>
      <w:jc w:val="both"/>
    </w:pPr>
    <w:rPr>
      <w:spacing w:val="2"/>
      <w:sz w:val="20"/>
    </w:rPr>
  </w:style>
  <w:style w:type="paragraph" w:styleId="Abbildungsverzeichnis">
    <w:name w:val="table of figures"/>
    <w:basedOn w:val="Standard"/>
    <w:next w:val="Standard"/>
    <w:uiPriority w:val="99"/>
    <w:unhideWhenUsed/>
    <w:rsid w:val="00775664"/>
    <w:pPr>
      <w:spacing w:before="240" w:line="240" w:lineRule="exact"/>
    </w:pPr>
    <w:rPr>
      <w:rFonts w:cs="Calibri (Textkörper)"/>
      <w:spacing w:val="2"/>
      <w:sz w:val="20"/>
      <w:szCs w:val="20"/>
    </w:rPr>
  </w:style>
  <w:style w:type="numbering" w:customStyle="1" w:styleId="AktuelleListe1">
    <w:name w:val="Aktuelle Liste1"/>
    <w:uiPriority w:val="99"/>
    <w:rsid w:val="00775664"/>
    <w:pPr>
      <w:numPr>
        <w:numId w:val="2"/>
      </w:numPr>
    </w:pPr>
  </w:style>
  <w:style w:type="numbering" w:customStyle="1" w:styleId="AktuelleListe2">
    <w:name w:val="Aktuelle Liste2"/>
    <w:uiPriority w:val="99"/>
    <w:rsid w:val="00775664"/>
    <w:pPr>
      <w:numPr>
        <w:numId w:val="3"/>
      </w:numPr>
    </w:pPr>
  </w:style>
  <w:style w:type="numbering" w:customStyle="1" w:styleId="AktuelleListe3">
    <w:name w:val="Aktuelle Liste3"/>
    <w:uiPriority w:val="99"/>
    <w:rsid w:val="00775664"/>
    <w:pPr>
      <w:numPr>
        <w:numId w:val="4"/>
      </w:numPr>
    </w:pPr>
  </w:style>
  <w:style w:type="numbering" w:customStyle="1" w:styleId="AktuelleListe4">
    <w:name w:val="Aktuelle Liste4"/>
    <w:uiPriority w:val="99"/>
    <w:rsid w:val="00775664"/>
    <w:pPr>
      <w:numPr>
        <w:numId w:val="5"/>
      </w:numPr>
    </w:pPr>
  </w:style>
  <w:style w:type="numbering" w:customStyle="1" w:styleId="AktuelleListe5">
    <w:name w:val="Aktuelle Liste5"/>
    <w:uiPriority w:val="99"/>
    <w:rsid w:val="00775664"/>
    <w:pPr>
      <w:numPr>
        <w:numId w:val="6"/>
      </w:numPr>
    </w:pPr>
  </w:style>
  <w:style w:type="paragraph" w:styleId="Textkrper">
    <w:name w:val="Body Text"/>
    <w:basedOn w:val="Standard"/>
    <w:link w:val="TextkrperZchn"/>
    <w:uiPriority w:val="99"/>
    <w:semiHidden/>
    <w:unhideWhenUsed/>
    <w:rsid w:val="00775664"/>
    <w:pPr>
      <w:spacing w:after="120" w:line="360" w:lineRule="auto"/>
      <w:ind w:firstLine="227"/>
      <w:jc w:val="both"/>
    </w:pPr>
    <w:rPr>
      <w:spacing w:val="2"/>
      <w:sz w:val="20"/>
    </w:rPr>
  </w:style>
  <w:style w:type="character" w:customStyle="1" w:styleId="TextkrperZchn">
    <w:name w:val="Textkörper Zchn"/>
    <w:basedOn w:val="Absatz-Standardschriftart"/>
    <w:link w:val="Textkrper"/>
    <w:uiPriority w:val="99"/>
    <w:semiHidden/>
    <w:rsid w:val="00775664"/>
    <w:rPr>
      <w:rFonts w:ascii="Times New Roman" w:eastAsia="Times New Roman" w:hAnsi="Times New Roman" w:cs="Times New Roman"/>
      <w:spacing w:val="2"/>
      <w:kern w:val="0"/>
      <w:sz w:val="20"/>
      <w14:ligatures w14:val="none"/>
    </w:rPr>
  </w:style>
  <w:style w:type="numbering" w:customStyle="1" w:styleId="AktuelleListe6">
    <w:name w:val="Aktuelle Liste6"/>
    <w:uiPriority w:val="99"/>
    <w:rsid w:val="00775664"/>
    <w:pPr>
      <w:numPr>
        <w:numId w:val="7"/>
      </w:numPr>
    </w:pPr>
  </w:style>
  <w:style w:type="numbering" w:customStyle="1" w:styleId="AktuelleListe7">
    <w:name w:val="Aktuelle Liste7"/>
    <w:uiPriority w:val="99"/>
    <w:rsid w:val="00775664"/>
    <w:pPr>
      <w:numPr>
        <w:numId w:val="8"/>
      </w:numPr>
    </w:pPr>
  </w:style>
  <w:style w:type="numbering" w:customStyle="1" w:styleId="AktuelleListe8">
    <w:name w:val="Aktuelle Liste8"/>
    <w:uiPriority w:val="99"/>
    <w:rsid w:val="00775664"/>
    <w:pPr>
      <w:numPr>
        <w:numId w:val="9"/>
      </w:numPr>
    </w:pPr>
  </w:style>
  <w:style w:type="numbering" w:customStyle="1" w:styleId="AktuelleListe9">
    <w:name w:val="Aktuelle Liste9"/>
    <w:uiPriority w:val="99"/>
    <w:rsid w:val="00775664"/>
    <w:pPr>
      <w:numPr>
        <w:numId w:val="10"/>
      </w:numPr>
    </w:pPr>
  </w:style>
  <w:style w:type="numbering" w:customStyle="1" w:styleId="AktuelleListe10">
    <w:name w:val="Aktuelle Liste10"/>
    <w:uiPriority w:val="99"/>
    <w:rsid w:val="00775664"/>
    <w:pPr>
      <w:numPr>
        <w:numId w:val="11"/>
      </w:numPr>
    </w:pPr>
  </w:style>
  <w:style w:type="numbering" w:customStyle="1" w:styleId="AktuelleListe11">
    <w:name w:val="Aktuelle Liste11"/>
    <w:uiPriority w:val="99"/>
    <w:rsid w:val="00775664"/>
    <w:pPr>
      <w:numPr>
        <w:numId w:val="12"/>
      </w:numPr>
    </w:pPr>
  </w:style>
  <w:style w:type="numbering" w:customStyle="1" w:styleId="AktuelleListe12">
    <w:name w:val="Aktuelle Liste12"/>
    <w:uiPriority w:val="99"/>
    <w:rsid w:val="00775664"/>
    <w:pPr>
      <w:numPr>
        <w:numId w:val="13"/>
      </w:numPr>
    </w:pPr>
  </w:style>
  <w:style w:type="numbering" w:customStyle="1" w:styleId="AktuelleListe13">
    <w:name w:val="Aktuelle Liste13"/>
    <w:uiPriority w:val="99"/>
    <w:rsid w:val="00775664"/>
    <w:pPr>
      <w:numPr>
        <w:numId w:val="14"/>
      </w:numPr>
    </w:pPr>
  </w:style>
  <w:style w:type="numbering" w:customStyle="1" w:styleId="AktuelleListe14">
    <w:name w:val="Aktuelle Liste14"/>
    <w:uiPriority w:val="99"/>
    <w:rsid w:val="00775664"/>
    <w:pPr>
      <w:numPr>
        <w:numId w:val="15"/>
      </w:numPr>
    </w:pPr>
  </w:style>
  <w:style w:type="numbering" w:customStyle="1" w:styleId="AktuelleListe15">
    <w:name w:val="Aktuelle Liste15"/>
    <w:uiPriority w:val="99"/>
    <w:rsid w:val="00775664"/>
    <w:pPr>
      <w:numPr>
        <w:numId w:val="16"/>
      </w:numPr>
    </w:pPr>
  </w:style>
  <w:style w:type="numbering" w:customStyle="1" w:styleId="AktuelleListe16">
    <w:name w:val="Aktuelle Liste16"/>
    <w:uiPriority w:val="99"/>
    <w:rsid w:val="00775664"/>
    <w:pPr>
      <w:numPr>
        <w:numId w:val="17"/>
      </w:numPr>
    </w:pPr>
  </w:style>
  <w:style w:type="numbering" w:customStyle="1" w:styleId="AktuelleListe17">
    <w:name w:val="Aktuelle Liste17"/>
    <w:uiPriority w:val="99"/>
    <w:rsid w:val="00775664"/>
    <w:pPr>
      <w:numPr>
        <w:numId w:val="18"/>
      </w:numPr>
    </w:pPr>
  </w:style>
  <w:style w:type="numbering" w:customStyle="1" w:styleId="AktuelleListe18">
    <w:name w:val="Aktuelle Liste18"/>
    <w:uiPriority w:val="99"/>
    <w:rsid w:val="00775664"/>
    <w:pPr>
      <w:numPr>
        <w:numId w:val="19"/>
      </w:numPr>
    </w:pPr>
  </w:style>
  <w:style w:type="numbering" w:customStyle="1" w:styleId="AktuelleListe19">
    <w:name w:val="Aktuelle Liste19"/>
    <w:uiPriority w:val="99"/>
    <w:rsid w:val="00775664"/>
    <w:pPr>
      <w:numPr>
        <w:numId w:val="20"/>
      </w:numPr>
    </w:pPr>
  </w:style>
  <w:style w:type="paragraph" w:styleId="Aufzhlungszeichen">
    <w:name w:val="List Bullet"/>
    <w:basedOn w:val="Standard"/>
    <w:uiPriority w:val="99"/>
    <w:unhideWhenUsed/>
    <w:rsid w:val="001F38CE"/>
    <w:pPr>
      <w:numPr>
        <w:numId w:val="23"/>
      </w:numPr>
      <w:contextualSpacing/>
    </w:pPr>
  </w:style>
  <w:style w:type="character" w:customStyle="1" w:styleId="sssh">
    <w:name w:val="ss_sh"/>
    <w:basedOn w:val="Absatz-Standardschriftart"/>
    <w:rsid w:val="00664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4904">
      <w:bodyDiv w:val="1"/>
      <w:marLeft w:val="0"/>
      <w:marRight w:val="0"/>
      <w:marTop w:val="0"/>
      <w:marBottom w:val="0"/>
      <w:divBdr>
        <w:top w:val="none" w:sz="0" w:space="0" w:color="auto"/>
        <w:left w:val="none" w:sz="0" w:space="0" w:color="auto"/>
        <w:bottom w:val="none" w:sz="0" w:space="0" w:color="auto"/>
        <w:right w:val="none" w:sz="0" w:space="0" w:color="auto"/>
      </w:divBdr>
    </w:div>
    <w:div w:id="2511618">
      <w:bodyDiv w:val="1"/>
      <w:marLeft w:val="0"/>
      <w:marRight w:val="0"/>
      <w:marTop w:val="0"/>
      <w:marBottom w:val="0"/>
      <w:divBdr>
        <w:top w:val="none" w:sz="0" w:space="0" w:color="auto"/>
        <w:left w:val="none" w:sz="0" w:space="0" w:color="auto"/>
        <w:bottom w:val="none" w:sz="0" w:space="0" w:color="auto"/>
        <w:right w:val="none" w:sz="0" w:space="0" w:color="auto"/>
      </w:divBdr>
    </w:div>
    <w:div w:id="10762943">
      <w:bodyDiv w:val="1"/>
      <w:marLeft w:val="0"/>
      <w:marRight w:val="0"/>
      <w:marTop w:val="0"/>
      <w:marBottom w:val="0"/>
      <w:divBdr>
        <w:top w:val="none" w:sz="0" w:space="0" w:color="auto"/>
        <w:left w:val="none" w:sz="0" w:space="0" w:color="auto"/>
        <w:bottom w:val="none" w:sz="0" w:space="0" w:color="auto"/>
        <w:right w:val="none" w:sz="0" w:space="0" w:color="auto"/>
      </w:divBdr>
    </w:div>
    <w:div w:id="19596243">
      <w:bodyDiv w:val="1"/>
      <w:marLeft w:val="0"/>
      <w:marRight w:val="0"/>
      <w:marTop w:val="0"/>
      <w:marBottom w:val="0"/>
      <w:divBdr>
        <w:top w:val="none" w:sz="0" w:space="0" w:color="auto"/>
        <w:left w:val="none" w:sz="0" w:space="0" w:color="auto"/>
        <w:bottom w:val="none" w:sz="0" w:space="0" w:color="auto"/>
        <w:right w:val="none" w:sz="0" w:space="0" w:color="auto"/>
      </w:divBdr>
    </w:div>
    <w:div w:id="24332203">
      <w:bodyDiv w:val="1"/>
      <w:marLeft w:val="0"/>
      <w:marRight w:val="0"/>
      <w:marTop w:val="0"/>
      <w:marBottom w:val="0"/>
      <w:divBdr>
        <w:top w:val="none" w:sz="0" w:space="0" w:color="auto"/>
        <w:left w:val="none" w:sz="0" w:space="0" w:color="auto"/>
        <w:bottom w:val="none" w:sz="0" w:space="0" w:color="auto"/>
        <w:right w:val="none" w:sz="0" w:space="0" w:color="auto"/>
      </w:divBdr>
    </w:div>
    <w:div w:id="27488265">
      <w:bodyDiv w:val="1"/>
      <w:marLeft w:val="0"/>
      <w:marRight w:val="0"/>
      <w:marTop w:val="0"/>
      <w:marBottom w:val="0"/>
      <w:divBdr>
        <w:top w:val="none" w:sz="0" w:space="0" w:color="auto"/>
        <w:left w:val="none" w:sz="0" w:space="0" w:color="auto"/>
        <w:bottom w:val="none" w:sz="0" w:space="0" w:color="auto"/>
        <w:right w:val="none" w:sz="0" w:space="0" w:color="auto"/>
      </w:divBdr>
    </w:div>
    <w:div w:id="31198080">
      <w:bodyDiv w:val="1"/>
      <w:marLeft w:val="0"/>
      <w:marRight w:val="0"/>
      <w:marTop w:val="0"/>
      <w:marBottom w:val="0"/>
      <w:divBdr>
        <w:top w:val="none" w:sz="0" w:space="0" w:color="auto"/>
        <w:left w:val="none" w:sz="0" w:space="0" w:color="auto"/>
        <w:bottom w:val="none" w:sz="0" w:space="0" w:color="auto"/>
        <w:right w:val="none" w:sz="0" w:space="0" w:color="auto"/>
      </w:divBdr>
    </w:div>
    <w:div w:id="32076629">
      <w:bodyDiv w:val="1"/>
      <w:marLeft w:val="0"/>
      <w:marRight w:val="0"/>
      <w:marTop w:val="0"/>
      <w:marBottom w:val="0"/>
      <w:divBdr>
        <w:top w:val="none" w:sz="0" w:space="0" w:color="auto"/>
        <w:left w:val="none" w:sz="0" w:space="0" w:color="auto"/>
        <w:bottom w:val="none" w:sz="0" w:space="0" w:color="auto"/>
        <w:right w:val="none" w:sz="0" w:space="0" w:color="auto"/>
      </w:divBdr>
    </w:div>
    <w:div w:id="48307235">
      <w:bodyDiv w:val="1"/>
      <w:marLeft w:val="0"/>
      <w:marRight w:val="0"/>
      <w:marTop w:val="0"/>
      <w:marBottom w:val="0"/>
      <w:divBdr>
        <w:top w:val="none" w:sz="0" w:space="0" w:color="auto"/>
        <w:left w:val="none" w:sz="0" w:space="0" w:color="auto"/>
        <w:bottom w:val="none" w:sz="0" w:space="0" w:color="auto"/>
        <w:right w:val="none" w:sz="0" w:space="0" w:color="auto"/>
      </w:divBdr>
    </w:div>
    <w:div w:id="52119589">
      <w:bodyDiv w:val="1"/>
      <w:marLeft w:val="0"/>
      <w:marRight w:val="0"/>
      <w:marTop w:val="0"/>
      <w:marBottom w:val="0"/>
      <w:divBdr>
        <w:top w:val="none" w:sz="0" w:space="0" w:color="auto"/>
        <w:left w:val="none" w:sz="0" w:space="0" w:color="auto"/>
        <w:bottom w:val="none" w:sz="0" w:space="0" w:color="auto"/>
        <w:right w:val="none" w:sz="0" w:space="0" w:color="auto"/>
      </w:divBdr>
    </w:div>
    <w:div w:id="57675328">
      <w:bodyDiv w:val="1"/>
      <w:marLeft w:val="0"/>
      <w:marRight w:val="0"/>
      <w:marTop w:val="0"/>
      <w:marBottom w:val="0"/>
      <w:divBdr>
        <w:top w:val="none" w:sz="0" w:space="0" w:color="auto"/>
        <w:left w:val="none" w:sz="0" w:space="0" w:color="auto"/>
        <w:bottom w:val="none" w:sz="0" w:space="0" w:color="auto"/>
        <w:right w:val="none" w:sz="0" w:space="0" w:color="auto"/>
      </w:divBdr>
    </w:div>
    <w:div w:id="57679444">
      <w:bodyDiv w:val="1"/>
      <w:marLeft w:val="0"/>
      <w:marRight w:val="0"/>
      <w:marTop w:val="0"/>
      <w:marBottom w:val="0"/>
      <w:divBdr>
        <w:top w:val="none" w:sz="0" w:space="0" w:color="auto"/>
        <w:left w:val="none" w:sz="0" w:space="0" w:color="auto"/>
        <w:bottom w:val="none" w:sz="0" w:space="0" w:color="auto"/>
        <w:right w:val="none" w:sz="0" w:space="0" w:color="auto"/>
      </w:divBdr>
    </w:div>
    <w:div w:id="61686481">
      <w:bodyDiv w:val="1"/>
      <w:marLeft w:val="0"/>
      <w:marRight w:val="0"/>
      <w:marTop w:val="0"/>
      <w:marBottom w:val="0"/>
      <w:divBdr>
        <w:top w:val="none" w:sz="0" w:space="0" w:color="auto"/>
        <w:left w:val="none" w:sz="0" w:space="0" w:color="auto"/>
        <w:bottom w:val="none" w:sz="0" w:space="0" w:color="auto"/>
        <w:right w:val="none" w:sz="0" w:space="0" w:color="auto"/>
      </w:divBdr>
    </w:div>
    <w:div w:id="64035760">
      <w:bodyDiv w:val="1"/>
      <w:marLeft w:val="0"/>
      <w:marRight w:val="0"/>
      <w:marTop w:val="0"/>
      <w:marBottom w:val="0"/>
      <w:divBdr>
        <w:top w:val="none" w:sz="0" w:space="0" w:color="auto"/>
        <w:left w:val="none" w:sz="0" w:space="0" w:color="auto"/>
        <w:bottom w:val="none" w:sz="0" w:space="0" w:color="auto"/>
        <w:right w:val="none" w:sz="0" w:space="0" w:color="auto"/>
      </w:divBdr>
      <w:divsChild>
        <w:div w:id="2113552705">
          <w:marLeft w:val="0"/>
          <w:marRight w:val="0"/>
          <w:marTop w:val="0"/>
          <w:marBottom w:val="0"/>
          <w:divBdr>
            <w:top w:val="single" w:sz="2" w:space="0" w:color="E3E3E3"/>
            <w:left w:val="single" w:sz="2" w:space="0" w:color="E3E3E3"/>
            <w:bottom w:val="single" w:sz="2" w:space="0" w:color="E3E3E3"/>
            <w:right w:val="single" w:sz="2" w:space="0" w:color="E3E3E3"/>
          </w:divBdr>
          <w:divsChild>
            <w:div w:id="1510676692">
              <w:marLeft w:val="0"/>
              <w:marRight w:val="0"/>
              <w:marTop w:val="0"/>
              <w:marBottom w:val="0"/>
              <w:divBdr>
                <w:top w:val="single" w:sz="2" w:space="0" w:color="E3E3E3"/>
                <w:left w:val="single" w:sz="2" w:space="0" w:color="E3E3E3"/>
                <w:bottom w:val="single" w:sz="2" w:space="0" w:color="E3E3E3"/>
                <w:right w:val="single" w:sz="2" w:space="0" w:color="E3E3E3"/>
              </w:divBdr>
              <w:divsChild>
                <w:div w:id="964891411">
                  <w:marLeft w:val="0"/>
                  <w:marRight w:val="0"/>
                  <w:marTop w:val="0"/>
                  <w:marBottom w:val="0"/>
                  <w:divBdr>
                    <w:top w:val="single" w:sz="2" w:space="0" w:color="E3E3E3"/>
                    <w:left w:val="single" w:sz="2" w:space="0" w:color="E3E3E3"/>
                    <w:bottom w:val="single" w:sz="2" w:space="0" w:color="E3E3E3"/>
                    <w:right w:val="single" w:sz="2" w:space="0" w:color="E3E3E3"/>
                  </w:divBdr>
                  <w:divsChild>
                    <w:div w:id="986007532">
                      <w:marLeft w:val="0"/>
                      <w:marRight w:val="0"/>
                      <w:marTop w:val="0"/>
                      <w:marBottom w:val="0"/>
                      <w:divBdr>
                        <w:top w:val="single" w:sz="2" w:space="0" w:color="E3E3E3"/>
                        <w:left w:val="single" w:sz="2" w:space="0" w:color="E3E3E3"/>
                        <w:bottom w:val="single" w:sz="2" w:space="0" w:color="E3E3E3"/>
                        <w:right w:val="single" w:sz="2" w:space="0" w:color="E3E3E3"/>
                      </w:divBdr>
                      <w:divsChild>
                        <w:div w:id="1221942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19980103">
          <w:marLeft w:val="0"/>
          <w:marRight w:val="0"/>
          <w:marTop w:val="0"/>
          <w:marBottom w:val="0"/>
          <w:divBdr>
            <w:top w:val="single" w:sz="2" w:space="0" w:color="E3E3E3"/>
            <w:left w:val="single" w:sz="2" w:space="0" w:color="E3E3E3"/>
            <w:bottom w:val="single" w:sz="2" w:space="0" w:color="E3E3E3"/>
            <w:right w:val="single" w:sz="2" w:space="0" w:color="E3E3E3"/>
          </w:divBdr>
          <w:divsChild>
            <w:div w:id="1612348838">
              <w:marLeft w:val="0"/>
              <w:marRight w:val="0"/>
              <w:marTop w:val="0"/>
              <w:marBottom w:val="0"/>
              <w:divBdr>
                <w:top w:val="single" w:sz="2" w:space="0" w:color="E3E3E3"/>
                <w:left w:val="single" w:sz="2" w:space="0" w:color="E3E3E3"/>
                <w:bottom w:val="single" w:sz="2" w:space="0" w:color="E3E3E3"/>
                <w:right w:val="single" w:sz="2" w:space="0" w:color="E3E3E3"/>
              </w:divBdr>
              <w:divsChild>
                <w:div w:id="481897614">
                  <w:marLeft w:val="0"/>
                  <w:marRight w:val="0"/>
                  <w:marTop w:val="0"/>
                  <w:marBottom w:val="0"/>
                  <w:divBdr>
                    <w:top w:val="single" w:sz="2" w:space="0" w:color="E3E3E3"/>
                    <w:left w:val="single" w:sz="2" w:space="0" w:color="E3E3E3"/>
                    <w:bottom w:val="single" w:sz="2" w:space="0" w:color="E3E3E3"/>
                    <w:right w:val="single" w:sz="2" w:space="0" w:color="E3E3E3"/>
                  </w:divBdr>
                  <w:divsChild>
                    <w:div w:id="814565495">
                      <w:marLeft w:val="0"/>
                      <w:marRight w:val="0"/>
                      <w:marTop w:val="0"/>
                      <w:marBottom w:val="0"/>
                      <w:divBdr>
                        <w:top w:val="single" w:sz="2" w:space="0" w:color="E3E3E3"/>
                        <w:left w:val="single" w:sz="2" w:space="0" w:color="E3E3E3"/>
                        <w:bottom w:val="single" w:sz="2" w:space="0" w:color="E3E3E3"/>
                        <w:right w:val="single" w:sz="2" w:space="0" w:color="E3E3E3"/>
                      </w:divBdr>
                      <w:divsChild>
                        <w:div w:id="525101151">
                          <w:marLeft w:val="0"/>
                          <w:marRight w:val="0"/>
                          <w:marTop w:val="0"/>
                          <w:marBottom w:val="0"/>
                          <w:divBdr>
                            <w:top w:val="single" w:sz="2" w:space="0" w:color="E3E3E3"/>
                            <w:left w:val="single" w:sz="2" w:space="0" w:color="E3E3E3"/>
                            <w:bottom w:val="single" w:sz="2" w:space="0" w:color="E3E3E3"/>
                            <w:right w:val="single" w:sz="2" w:space="0" w:color="E3E3E3"/>
                          </w:divBdr>
                          <w:divsChild>
                            <w:div w:id="1143307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5514731">
      <w:bodyDiv w:val="1"/>
      <w:marLeft w:val="0"/>
      <w:marRight w:val="0"/>
      <w:marTop w:val="0"/>
      <w:marBottom w:val="0"/>
      <w:divBdr>
        <w:top w:val="none" w:sz="0" w:space="0" w:color="auto"/>
        <w:left w:val="none" w:sz="0" w:space="0" w:color="auto"/>
        <w:bottom w:val="none" w:sz="0" w:space="0" w:color="auto"/>
        <w:right w:val="none" w:sz="0" w:space="0" w:color="auto"/>
      </w:divBdr>
    </w:div>
    <w:div w:id="84885235">
      <w:bodyDiv w:val="1"/>
      <w:marLeft w:val="0"/>
      <w:marRight w:val="0"/>
      <w:marTop w:val="0"/>
      <w:marBottom w:val="0"/>
      <w:divBdr>
        <w:top w:val="none" w:sz="0" w:space="0" w:color="auto"/>
        <w:left w:val="none" w:sz="0" w:space="0" w:color="auto"/>
        <w:bottom w:val="none" w:sz="0" w:space="0" w:color="auto"/>
        <w:right w:val="none" w:sz="0" w:space="0" w:color="auto"/>
      </w:divBdr>
    </w:div>
    <w:div w:id="88547566">
      <w:bodyDiv w:val="1"/>
      <w:marLeft w:val="0"/>
      <w:marRight w:val="0"/>
      <w:marTop w:val="0"/>
      <w:marBottom w:val="0"/>
      <w:divBdr>
        <w:top w:val="none" w:sz="0" w:space="0" w:color="auto"/>
        <w:left w:val="none" w:sz="0" w:space="0" w:color="auto"/>
        <w:bottom w:val="none" w:sz="0" w:space="0" w:color="auto"/>
        <w:right w:val="none" w:sz="0" w:space="0" w:color="auto"/>
      </w:divBdr>
    </w:div>
    <w:div w:id="88623389">
      <w:bodyDiv w:val="1"/>
      <w:marLeft w:val="0"/>
      <w:marRight w:val="0"/>
      <w:marTop w:val="0"/>
      <w:marBottom w:val="0"/>
      <w:divBdr>
        <w:top w:val="none" w:sz="0" w:space="0" w:color="auto"/>
        <w:left w:val="none" w:sz="0" w:space="0" w:color="auto"/>
        <w:bottom w:val="none" w:sz="0" w:space="0" w:color="auto"/>
        <w:right w:val="none" w:sz="0" w:space="0" w:color="auto"/>
      </w:divBdr>
    </w:div>
    <w:div w:id="100272407">
      <w:bodyDiv w:val="1"/>
      <w:marLeft w:val="0"/>
      <w:marRight w:val="0"/>
      <w:marTop w:val="0"/>
      <w:marBottom w:val="0"/>
      <w:divBdr>
        <w:top w:val="none" w:sz="0" w:space="0" w:color="auto"/>
        <w:left w:val="none" w:sz="0" w:space="0" w:color="auto"/>
        <w:bottom w:val="none" w:sz="0" w:space="0" w:color="auto"/>
        <w:right w:val="none" w:sz="0" w:space="0" w:color="auto"/>
      </w:divBdr>
    </w:div>
    <w:div w:id="102726654">
      <w:bodyDiv w:val="1"/>
      <w:marLeft w:val="0"/>
      <w:marRight w:val="0"/>
      <w:marTop w:val="0"/>
      <w:marBottom w:val="0"/>
      <w:divBdr>
        <w:top w:val="none" w:sz="0" w:space="0" w:color="auto"/>
        <w:left w:val="none" w:sz="0" w:space="0" w:color="auto"/>
        <w:bottom w:val="none" w:sz="0" w:space="0" w:color="auto"/>
        <w:right w:val="none" w:sz="0" w:space="0" w:color="auto"/>
      </w:divBdr>
    </w:div>
    <w:div w:id="104691221">
      <w:bodyDiv w:val="1"/>
      <w:marLeft w:val="0"/>
      <w:marRight w:val="0"/>
      <w:marTop w:val="0"/>
      <w:marBottom w:val="0"/>
      <w:divBdr>
        <w:top w:val="none" w:sz="0" w:space="0" w:color="auto"/>
        <w:left w:val="none" w:sz="0" w:space="0" w:color="auto"/>
        <w:bottom w:val="none" w:sz="0" w:space="0" w:color="auto"/>
        <w:right w:val="none" w:sz="0" w:space="0" w:color="auto"/>
      </w:divBdr>
    </w:div>
    <w:div w:id="105732453">
      <w:bodyDiv w:val="1"/>
      <w:marLeft w:val="0"/>
      <w:marRight w:val="0"/>
      <w:marTop w:val="0"/>
      <w:marBottom w:val="0"/>
      <w:divBdr>
        <w:top w:val="none" w:sz="0" w:space="0" w:color="auto"/>
        <w:left w:val="none" w:sz="0" w:space="0" w:color="auto"/>
        <w:bottom w:val="none" w:sz="0" w:space="0" w:color="auto"/>
        <w:right w:val="none" w:sz="0" w:space="0" w:color="auto"/>
      </w:divBdr>
    </w:div>
    <w:div w:id="110633613">
      <w:bodyDiv w:val="1"/>
      <w:marLeft w:val="0"/>
      <w:marRight w:val="0"/>
      <w:marTop w:val="0"/>
      <w:marBottom w:val="0"/>
      <w:divBdr>
        <w:top w:val="none" w:sz="0" w:space="0" w:color="auto"/>
        <w:left w:val="none" w:sz="0" w:space="0" w:color="auto"/>
        <w:bottom w:val="none" w:sz="0" w:space="0" w:color="auto"/>
        <w:right w:val="none" w:sz="0" w:space="0" w:color="auto"/>
      </w:divBdr>
    </w:div>
    <w:div w:id="112017622">
      <w:bodyDiv w:val="1"/>
      <w:marLeft w:val="0"/>
      <w:marRight w:val="0"/>
      <w:marTop w:val="0"/>
      <w:marBottom w:val="0"/>
      <w:divBdr>
        <w:top w:val="none" w:sz="0" w:space="0" w:color="auto"/>
        <w:left w:val="none" w:sz="0" w:space="0" w:color="auto"/>
        <w:bottom w:val="none" w:sz="0" w:space="0" w:color="auto"/>
        <w:right w:val="none" w:sz="0" w:space="0" w:color="auto"/>
      </w:divBdr>
    </w:div>
    <w:div w:id="112094482">
      <w:bodyDiv w:val="1"/>
      <w:marLeft w:val="0"/>
      <w:marRight w:val="0"/>
      <w:marTop w:val="0"/>
      <w:marBottom w:val="0"/>
      <w:divBdr>
        <w:top w:val="none" w:sz="0" w:space="0" w:color="auto"/>
        <w:left w:val="none" w:sz="0" w:space="0" w:color="auto"/>
        <w:bottom w:val="none" w:sz="0" w:space="0" w:color="auto"/>
        <w:right w:val="none" w:sz="0" w:space="0" w:color="auto"/>
      </w:divBdr>
    </w:div>
    <w:div w:id="114299432">
      <w:bodyDiv w:val="1"/>
      <w:marLeft w:val="0"/>
      <w:marRight w:val="0"/>
      <w:marTop w:val="0"/>
      <w:marBottom w:val="0"/>
      <w:divBdr>
        <w:top w:val="none" w:sz="0" w:space="0" w:color="auto"/>
        <w:left w:val="none" w:sz="0" w:space="0" w:color="auto"/>
        <w:bottom w:val="none" w:sz="0" w:space="0" w:color="auto"/>
        <w:right w:val="none" w:sz="0" w:space="0" w:color="auto"/>
      </w:divBdr>
    </w:div>
    <w:div w:id="115216666">
      <w:bodyDiv w:val="1"/>
      <w:marLeft w:val="0"/>
      <w:marRight w:val="0"/>
      <w:marTop w:val="0"/>
      <w:marBottom w:val="0"/>
      <w:divBdr>
        <w:top w:val="none" w:sz="0" w:space="0" w:color="auto"/>
        <w:left w:val="none" w:sz="0" w:space="0" w:color="auto"/>
        <w:bottom w:val="none" w:sz="0" w:space="0" w:color="auto"/>
        <w:right w:val="none" w:sz="0" w:space="0" w:color="auto"/>
      </w:divBdr>
    </w:div>
    <w:div w:id="116261451">
      <w:bodyDiv w:val="1"/>
      <w:marLeft w:val="0"/>
      <w:marRight w:val="0"/>
      <w:marTop w:val="0"/>
      <w:marBottom w:val="0"/>
      <w:divBdr>
        <w:top w:val="none" w:sz="0" w:space="0" w:color="auto"/>
        <w:left w:val="none" w:sz="0" w:space="0" w:color="auto"/>
        <w:bottom w:val="none" w:sz="0" w:space="0" w:color="auto"/>
        <w:right w:val="none" w:sz="0" w:space="0" w:color="auto"/>
      </w:divBdr>
    </w:div>
    <w:div w:id="116800532">
      <w:bodyDiv w:val="1"/>
      <w:marLeft w:val="0"/>
      <w:marRight w:val="0"/>
      <w:marTop w:val="0"/>
      <w:marBottom w:val="0"/>
      <w:divBdr>
        <w:top w:val="none" w:sz="0" w:space="0" w:color="auto"/>
        <w:left w:val="none" w:sz="0" w:space="0" w:color="auto"/>
        <w:bottom w:val="none" w:sz="0" w:space="0" w:color="auto"/>
        <w:right w:val="none" w:sz="0" w:space="0" w:color="auto"/>
      </w:divBdr>
    </w:div>
    <w:div w:id="121004202">
      <w:bodyDiv w:val="1"/>
      <w:marLeft w:val="0"/>
      <w:marRight w:val="0"/>
      <w:marTop w:val="0"/>
      <w:marBottom w:val="0"/>
      <w:divBdr>
        <w:top w:val="none" w:sz="0" w:space="0" w:color="auto"/>
        <w:left w:val="none" w:sz="0" w:space="0" w:color="auto"/>
        <w:bottom w:val="none" w:sz="0" w:space="0" w:color="auto"/>
        <w:right w:val="none" w:sz="0" w:space="0" w:color="auto"/>
      </w:divBdr>
    </w:div>
    <w:div w:id="125784357">
      <w:bodyDiv w:val="1"/>
      <w:marLeft w:val="0"/>
      <w:marRight w:val="0"/>
      <w:marTop w:val="0"/>
      <w:marBottom w:val="0"/>
      <w:divBdr>
        <w:top w:val="none" w:sz="0" w:space="0" w:color="auto"/>
        <w:left w:val="none" w:sz="0" w:space="0" w:color="auto"/>
        <w:bottom w:val="none" w:sz="0" w:space="0" w:color="auto"/>
        <w:right w:val="none" w:sz="0" w:space="0" w:color="auto"/>
      </w:divBdr>
    </w:div>
    <w:div w:id="134299119">
      <w:bodyDiv w:val="1"/>
      <w:marLeft w:val="0"/>
      <w:marRight w:val="0"/>
      <w:marTop w:val="0"/>
      <w:marBottom w:val="0"/>
      <w:divBdr>
        <w:top w:val="none" w:sz="0" w:space="0" w:color="auto"/>
        <w:left w:val="none" w:sz="0" w:space="0" w:color="auto"/>
        <w:bottom w:val="none" w:sz="0" w:space="0" w:color="auto"/>
        <w:right w:val="none" w:sz="0" w:space="0" w:color="auto"/>
      </w:divBdr>
    </w:div>
    <w:div w:id="136072018">
      <w:bodyDiv w:val="1"/>
      <w:marLeft w:val="0"/>
      <w:marRight w:val="0"/>
      <w:marTop w:val="0"/>
      <w:marBottom w:val="0"/>
      <w:divBdr>
        <w:top w:val="none" w:sz="0" w:space="0" w:color="auto"/>
        <w:left w:val="none" w:sz="0" w:space="0" w:color="auto"/>
        <w:bottom w:val="none" w:sz="0" w:space="0" w:color="auto"/>
        <w:right w:val="none" w:sz="0" w:space="0" w:color="auto"/>
      </w:divBdr>
      <w:divsChild>
        <w:div w:id="78840239">
          <w:marLeft w:val="0"/>
          <w:marRight w:val="0"/>
          <w:marTop w:val="0"/>
          <w:marBottom w:val="0"/>
          <w:divBdr>
            <w:top w:val="none" w:sz="0" w:space="0" w:color="auto"/>
            <w:left w:val="none" w:sz="0" w:space="0" w:color="auto"/>
            <w:bottom w:val="none" w:sz="0" w:space="0" w:color="auto"/>
            <w:right w:val="none" w:sz="0" w:space="0" w:color="auto"/>
          </w:divBdr>
        </w:div>
        <w:div w:id="1134102575">
          <w:marLeft w:val="0"/>
          <w:marRight w:val="0"/>
          <w:marTop w:val="0"/>
          <w:marBottom w:val="0"/>
          <w:divBdr>
            <w:top w:val="none" w:sz="0" w:space="0" w:color="auto"/>
            <w:left w:val="none" w:sz="0" w:space="0" w:color="auto"/>
            <w:bottom w:val="none" w:sz="0" w:space="0" w:color="auto"/>
            <w:right w:val="none" w:sz="0" w:space="0" w:color="auto"/>
          </w:divBdr>
          <w:divsChild>
            <w:div w:id="58408058">
              <w:marLeft w:val="480"/>
              <w:marRight w:val="0"/>
              <w:marTop w:val="0"/>
              <w:marBottom w:val="0"/>
              <w:divBdr>
                <w:top w:val="none" w:sz="0" w:space="0" w:color="auto"/>
                <w:left w:val="none" w:sz="0" w:space="0" w:color="auto"/>
                <w:bottom w:val="none" w:sz="0" w:space="0" w:color="auto"/>
                <w:right w:val="none" w:sz="0" w:space="0" w:color="auto"/>
              </w:divBdr>
            </w:div>
            <w:div w:id="644168281">
              <w:marLeft w:val="480"/>
              <w:marRight w:val="0"/>
              <w:marTop w:val="0"/>
              <w:marBottom w:val="0"/>
              <w:divBdr>
                <w:top w:val="none" w:sz="0" w:space="0" w:color="auto"/>
                <w:left w:val="none" w:sz="0" w:space="0" w:color="auto"/>
                <w:bottom w:val="none" w:sz="0" w:space="0" w:color="auto"/>
                <w:right w:val="none" w:sz="0" w:space="0" w:color="auto"/>
              </w:divBdr>
            </w:div>
            <w:div w:id="6916856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0926720">
      <w:bodyDiv w:val="1"/>
      <w:marLeft w:val="0"/>
      <w:marRight w:val="0"/>
      <w:marTop w:val="0"/>
      <w:marBottom w:val="0"/>
      <w:divBdr>
        <w:top w:val="none" w:sz="0" w:space="0" w:color="auto"/>
        <w:left w:val="none" w:sz="0" w:space="0" w:color="auto"/>
        <w:bottom w:val="none" w:sz="0" w:space="0" w:color="auto"/>
        <w:right w:val="none" w:sz="0" w:space="0" w:color="auto"/>
      </w:divBdr>
    </w:div>
    <w:div w:id="143861334">
      <w:bodyDiv w:val="1"/>
      <w:marLeft w:val="0"/>
      <w:marRight w:val="0"/>
      <w:marTop w:val="0"/>
      <w:marBottom w:val="0"/>
      <w:divBdr>
        <w:top w:val="none" w:sz="0" w:space="0" w:color="auto"/>
        <w:left w:val="none" w:sz="0" w:space="0" w:color="auto"/>
        <w:bottom w:val="none" w:sz="0" w:space="0" w:color="auto"/>
        <w:right w:val="none" w:sz="0" w:space="0" w:color="auto"/>
      </w:divBdr>
    </w:div>
    <w:div w:id="143936252">
      <w:bodyDiv w:val="1"/>
      <w:marLeft w:val="0"/>
      <w:marRight w:val="0"/>
      <w:marTop w:val="0"/>
      <w:marBottom w:val="0"/>
      <w:divBdr>
        <w:top w:val="none" w:sz="0" w:space="0" w:color="auto"/>
        <w:left w:val="none" w:sz="0" w:space="0" w:color="auto"/>
        <w:bottom w:val="none" w:sz="0" w:space="0" w:color="auto"/>
        <w:right w:val="none" w:sz="0" w:space="0" w:color="auto"/>
      </w:divBdr>
    </w:div>
    <w:div w:id="144705832">
      <w:bodyDiv w:val="1"/>
      <w:marLeft w:val="0"/>
      <w:marRight w:val="0"/>
      <w:marTop w:val="0"/>
      <w:marBottom w:val="0"/>
      <w:divBdr>
        <w:top w:val="none" w:sz="0" w:space="0" w:color="auto"/>
        <w:left w:val="none" w:sz="0" w:space="0" w:color="auto"/>
        <w:bottom w:val="none" w:sz="0" w:space="0" w:color="auto"/>
        <w:right w:val="none" w:sz="0" w:space="0" w:color="auto"/>
      </w:divBdr>
    </w:div>
    <w:div w:id="145977462">
      <w:bodyDiv w:val="1"/>
      <w:marLeft w:val="0"/>
      <w:marRight w:val="0"/>
      <w:marTop w:val="0"/>
      <w:marBottom w:val="0"/>
      <w:divBdr>
        <w:top w:val="none" w:sz="0" w:space="0" w:color="auto"/>
        <w:left w:val="none" w:sz="0" w:space="0" w:color="auto"/>
        <w:bottom w:val="none" w:sz="0" w:space="0" w:color="auto"/>
        <w:right w:val="none" w:sz="0" w:space="0" w:color="auto"/>
      </w:divBdr>
    </w:div>
    <w:div w:id="156893827">
      <w:bodyDiv w:val="1"/>
      <w:marLeft w:val="0"/>
      <w:marRight w:val="0"/>
      <w:marTop w:val="0"/>
      <w:marBottom w:val="0"/>
      <w:divBdr>
        <w:top w:val="none" w:sz="0" w:space="0" w:color="auto"/>
        <w:left w:val="none" w:sz="0" w:space="0" w:color="auto"/>
        <w:bottom w:val="none" w:sz="0" w:space="0" w:color="auto"/>
        <w:right w:val="none" w:sz="0" w:space="0" w:color="auto"/>
      </w:divBdr>
    </w:div>
    <w:div w:id="189344410">
      <w:bodyDiv w:val="1"/>
      <w:marLeft w:val="0"/>
      <w:marRight w:val="0"/>
      <w:marTop w:val="0"/>
      <w:marBottom w:val="0"/>
      <w:divBdr>
        <w:top w:val="none" w:sz="0" w:space="0" w:color="auto"/>
        <w:left w:val="none" w:sz="0" w:space="0" w:color="auto"/>
        <w:bottom w:val="none" w:sz="0" w:space="0" w:color="auto"/>
        <w:right w:val="none" w:sz="0" w:space="0" w:color="auto"/>
      </w:divBdr>
    </w:div>
    <w:div w:id="194513495">
      <w:bodyDiv w:val="1"/>
      <w:marLeft w:val="0"/>
      <w:marRight w:val="0"/>
      <w:marTop w:val="0"/>
      <w:marBottom w:val="0"/>
      <w:divBdr>
        <w:top w:val="none" w:sz="0" w:space="0" w:color="auto"/>
        <w:left w:val="none" w:sz="0" w:space="0" w:color="auto"/>
        <w:bottom w:val="none" w:sz="0" w:space="0" w:color="auto"/>
        <w:right w:val="none" w:sz="0" w:space="0" w:color="auto"/>
      </w:divBdr>
    </w:div>
    <w:div w:id="207646877">
      <w:bodyDiv w:val="1"/>
      <w:marLeft w:val="0"/>
      <w:marRight w:val="0"/>
      <w:marTop w:val="0"/>
      <w:marBottom w:val="0"/>
      <w:divBdr>
        <w:top w:val="none" w:sz="0" w:space="0" w:color="auto"/>
        <w:left w:val="none" w:sz="0" w:space="0" w:color="auto"/>
        <w:bottom w:val="none" w:sz="0" w:space="0" w:color="auto"/>
        <w:right w:val="none" w:sz="0" w:space="0" w:color="auto"/>
      </w:divBdr>
    </w:div>
    <w:div w:id="211425122">
      <w:bodyDiv w:val="1"/>
      <w:marLeft w:val="0"/>
      <w:marRight w:val="0"/>
      <w:marTop w:val="0"/>
      <w:marBottom w:val="0"/>
      <w:divBdr>
        <w:top w:val="none" w:sz="0" w:space="0" w:color="auto"/>
        <w:left w:val="none" w:sz="0" w:space="0" w:color="auto"/>
        <w:bottom w:val="none" w:sz="0" w:space="0" w:color="auto"/>
        <w:right w:val="none" w:sz="0" w:space="0" w:color="auto"/>
      </w:divBdr>
    </w:div>
    <w:div w:id="218247281">
      <w:bodyDiv w:val="1"/>
      <w:marLeft w:val="0"/>
      <w:marRight w:val="0"/>
      <w:marTop w:val="0"/>
      <w:marBottom w:val="0"/>
      <w:divBdr>
        <w:top w:val="none" w:sz="0" w:space="0" w:color="auto"/>
        <w:left w:val="none" w:sz="0" w:space="0" w:color="auto"/>
        <w:bottom w:val="none" w:sz="0" w:space="0" w:color="auto"/>
        <w:right w:val="none" w:sz="0" w:space="0" w:color="auto"/>
      </w:divBdr>
    </w:div>
    <w:div w:id="231309209">
      <w:bodyDiv w:val="1"/>
      <w:marLeft w:val="0"/>
      <w:marRight w:val="0"/>
      <w:marTop w:val="0"/>
      <w:marBottom w:val="0"/>
      <w:divBdr>
        <w:top w:val="none" w:sz="0" w:space="0" w:color="auto"/>
        <w:left w:val="none" w:sz="0" w:space="0" w:color="auto"/>
        <w:bottom w:val="none" w:sz="0" w:space="0" w:color="auto"/>
        <w:right w:val="none" w:sz="0" w:space="0" w:color="auto"/>
      </w:divBdr>
    </w:div>
    <w:div w:id="235630452">
      <w:bodyDiv w:val="1"/>
      <w:marLeft w:val="0"/>
      <w:marRight w:val="0"/>
      <w:marTop w:val="0"/>
      <w:marBottom w:val="0"/>
      <w:divBdr>
        <w:top w:val="none" w:sz="0" w:space="0" w:color="auto"/>
        <w:left w:val="none" w:sz="0" w:space="0" w:color="auto"/>
        <w:bottom w:val="none" w:sz="0" w:space="0" w:color="auto"/>
        <w:right w:val="none" w:sz="0" w:space="0" w:color="auto"/>
      </w:divBdr>
    </w:div>
    <w:div w:id="235671332">
      <w:bodyDiv w:val="1"/>
      <w:marLeft w:val="0"/>
      <w:marRight w:val="0"/>
      <w:marTop w:val="0"/>
      <w:marBottom w:val="0"/>
      <w:divBdr>
        <w:top w:val="none" w:sz="0" w:space="0" w:color="auto"/>
        <w:left w:val="none" w:sz="0" w:space="0" w:color="auto"/>
        <w:bottom w:val="none" w:sz="0" w:space="0" w:color="auto"/>
        <w:right w:val="none" w:sz="0" w:space="0" w:color="auto"/>
      </w:divBdr>
    </w:div>
    <w:div w:id="237402522">
      <w:bodyDiv w:val="1"/>
      <w:marLeft w:val="0"/>
      <w:marRight w:val="0"/>
      <w:marTop w:val="0"/>
      <w:marBottom w:val="0"/>
      <w:divBdr>
        <w:top w:val="none" w:sz="0" w:space="0" w:color="auto"/>
        <w:left w:val="none" w:sz="0" w:space="0" w:color="auto"/>
        <w:bottom w:val="none" w:sz="0" w:space="0" w:color="auto"/>
        <w:right w:val="none" w:sz="0" w:space="0" w:color="auto"/>
      </w:divBdr>
    </w:div>
    <w:div w:id="239490611">
      <w:bodyDiv w:val="1"/>
      <w:marLeft w:val="0"/>
      <w:marRight w:val="0"/>
      <w:marTop w:val="0"/>
      <w:marBottom w:val="0"/>
      <w:divBdr>
        <w:top w:val="none" w:sz="0" w:space="0" w:color="auto"/>
        <w:left w:val="none" w:sz="0" w:space="0" w:color="auto"/>
        <w:bottom w:val="none" w:sz="0" w:space="0" w:color="auto"/>
        <w:right w:val="none" w:sz="0" w:space="0" w:color="auto"/>
      </w:divBdr>
    </w:div>
    <w:div w:id="248926587">
      <w:bodyDiv w:val="1"/>
      <w:marLeft w:val="0"/>
      <w:marRight w:val="0"/>
      <w:marTop w:val="0"/>
      <w:marBottom w:val="0"/>
      <w:divBdr>
        <w:top w:val="none" w:sz="0" w:space="0" w:color="auto"/>
        <w:left w:val="none" w:sz="0" w:space="0" w:color="auto"/>
        <w:bottom w:val="none" w:sz="0" w:space="0" w:color="auto"/>
        <w:right w:val="none" w:sz="0" w:space="0" w:color="auto"/>
      </w:divBdr>
    </w:div>
    <w:div w:id="254019568">
      <w:bodyDiv w:val="1"/>
      <w:marLeft w:val="0"/>
      <w:marRight w:val="0"/>
      <w:marTop w:val="0"/>
      <w:marBottom w:val="0"/>
      <w:divBdr>
        <w:top w:val="none" w:sz="0" w:space="0" w:color="auto"/>
        <w:left w:val="none" w:sz="0" w:space="0" w:color="auto"/>
        <w:bottom w:val="none" w:sz="0" w:space="0" w:color="auto"/>
        <w:right w:val="none" w:sz="0" w:space="0" w:color="auto"/>
      </w:divBdr>
    </w:div>
    <w:div w:id="262496495">
      <w:bodyDiv w:val="1"/>
      <w:marLeft w:val="0"/>
      <w:marRight w:val="0"/>
      <w:marTop w:val="0"/>
      <w:marBottom w:val="0"/>
      <w:divBdr>
        <w:top w:val="none" w:sz="0" w:space="0" w:color="auto"/>
        <w:left w:val="none" w:sz="0" w:space="0" w:color="auto"/>
        <w:bottom w:val="none" w:sz="0" w:space="0" w:color="auto"/>
        <w:right w:val="none" w:sz="0" w:space="0" w:color="auto"/>
      </w:divBdr>
    </w:div>
    <w:div w:id="263348610">
      <w:bodyDiv w:val="1"/>
      <w:marLeft w:val="0"/>
      <w:marRight w:val="0"/>
      <w:marTop w:val="0"/>
      <w:marBottom w:val="0"/>
      <w:divBdr>
        <w:top w:val="none" w:sz="0" w:space="0" w:color="auto"/>
        <w:left w:val="none" w:sz="0" w:space="0" w:color="auto"/>
        <w:bottom w:val="none" w:sz="0" w:space="0" w:color="auto"/>
        <w:right w:val="none" w:sz="0" w:space="0" w:color="auto"/>
      </w:divBdr>
    </w:div>
    <w:div w:id="278531553">
      <w:bodyDiv w:val="1"/>
      <w:marLeft w:val="0"/>
      <w:marRight w:val="0"/>
      <w:marTop w:val="0"/>
      <w:marBottom w:val="0"/>
      <w:divBdr>
        <w:top w:val="none" w:sz="0" w:space="0" w:color="auto"/>
        <w:left w:val="none" w:sz="0" w:space="0" w:color="auto"/>
        <w:bottom w:val="none" w:sz="0" w:space="0" w:color="auto"/>
        <w:right w:val="none" w:sz="0" w:space="0" w:color="auto"/>
      </w:divBdr>
    </w:div>
    <w:div w:id="295527114">
      <w:bodyDiv w:val="1"/>
      <w:marLeft w:val="0"/>
      <w:marRight w:val="0"/>
      <w:marTop w:val="0"/>
      <w:marBottom w:val="0"/>
      <w:divBdr>
        <w:top w:val="none" w:sz="0" w:space="0" w:color="auto"/>
        <w:left w:val="none" w:sz="0" w:space="0" w:color="auto"/>
        <w:bottom w:val="none" w:sz="0" w:space="0" w:color="auto"/>
        <w:right w:val="none" w:sz="0" w:space="0" w:color="auto"/>
      </w:divBdr>
    </w:div>
    <w:div w:id="298657632">
      <w:bodyDiv w:val="1"/>
      <w:marLeft w:val="0"/>
      <w:marRight w:val="0"/>
      <w:marTop w:val="0"/>
      <w:marBottom w:val="0"/>
      <w:divBdr>
        <w:top w:val="none" w:sz="0" w:space="0" w:color="auto"/>
        <w:left w:val="none" w:sz="0" w:space="0" w:color="auto"/>
        <w:bottom w:val="none" w:sz="0" w:space="0" w:color="auto"/>
        <w:right w:val="none" w:sz="0" w:space="0" w:color="auto"/>
      </w:divBdr>
    </w:div>
    <w:div w:id="303893889">
      <w:bodyDiv w:val="1"/>
      <w:marLeft w:val="0"/>
      <w:marRight w:val="0"/>
      <w:marTop w:val="0"/>
      <w:marBottom w:val="0"/>
      <w:divBdr>
        <w:top w:val="none" w:sz="0" w:space="0" w:color="auto"/>
        <w:left w:val="none" w:sz="0" w:space="0" w:color="auto"/>
        <w:bottom w:val="none" w:sz="0" w:space="0" w:color="auto"/>
        <w:right w:val="none" w:sz="0" w:space="0" w:color="auto"/>
      </w:divBdr>
    </w:div>
    <w:div w:id="305940240">
      <w:bodyDiv w:val="1"/>
      <w:marLeft w:val="0"/>
      <w:marRight w:val="0"/>
      <w:marTop w:val="0"/>
      <w:marBottom w:val="0"/>
      <w:divBdr>
        <w:top w:val="none" w:sz="0" w:space="0" w:color="auto"/>
        <w:left w:val="none" w:sz="0" w:space="0" w:color="auto"/>
        <w:bottom w:val="none" w:sz="0" w:space="0" w:color="auto"/>
        <w:right w:val="none" w:sz="0" w:space="0" w:color="auto"/>
      </w:divBdr>
    </w:div>
    <w:div w:id="307369451">
      <w:bodyDiv w:val="1"/>
      <w:marLeft w:val="0"/>
      <w:marRight w:val="0"/>
      <w:marTop w:val="0"/>
      <w:marBottom w:val="0"/>
      <w:divBdr>
        <w:top w:val="none" w:sz="0" w:space="0" w:color="auto"/>
        <w:left w:val="none" w:sz="0" w:space="0" w:color="auto"/>
        <w:bottom w:val="none" w:sz="0" w:space="0" w:color="auto"/>
        <w:right w:val="none" w:sz="0" w:space="0" w:color="auto"/>
      </w:divBdr>
    </w:div>
    <w:div w:id="309557044">
      <w:bodyDiv w:val="1"/>
      <w:marLeft w:val="0"/>
      <w:marRight w:val="0"/>
      <w:marTop w:val="0"/>
      <w:marBottom w:val="0"/>
      <w:divBdr>
        <w:top w:val="none" w:sz="0" w:space="0" w:color="auto"/>
        <w:left w:val="none" w:sz="0" w:space="0" w:color="auto"/>
        <w:bottom w:val="none" w:sz="0" w:space="0" w:color="auto"/>
        <w:right w:val="none" w:sz="0" w:space="0" w:color="auto"/>
      </w:divBdr>
    </w:div>
    <w:div w:id="313605223">
      <w:bodyDiv w:val="1"/>
      <w:marLeft w:val="0"/>
      <w:marRight w:val="0"/>
      <w:marTop w:val="0"/>
      <w:marBottom w:val="0"/>
      <w:divBdr>
        <w:top w:val="none" w:sz="0" w:space="0" w:color="auto"/>
        <w:left w:val="none" w:sz="0" w:space="0" w:color="auto"/>
        <w:bottom w:val="none" w:sz="0" w:space="0" w:color="auto"/>
        <w:right w:val="none" w:sz="0" w:space="0" w:color="auto"/>
      </w:divBdr>
    </w:div>
    <w:div w:id="315228814">
      <w:bodyDiv w:val="1"/>
      <w:marLeft w:val="0"/>
      <w:marRight w:val="0"/>
      <w:marTop w:val="0"/>
      <w:marBottom w:val="0"/>
      <w:divBdr>
        <w:top w:val="none" w:sz="0" w:space="0" w:color="auto"/>
        <w:left w:val="none" w:sz="0" w:space="0" w:color="auto"/>
        <w:bottom w:val="none" w:sz="0" w:space="0" w:color="auto"/>
        <w:right w:val="none" w:sz="0" w:space="0" w:color="auto"/>
      </w:divBdr>
    </w:div>
    <w:div w:id="319357558">
      <w:bodyDiv w:val="1"/>
      <w:marLeft w:val="0"/>
      <w:marRight w:val="0"/>
      <w:marTop w:val="0"/>
      <w:marBottom w:val="0"/>
      <w:divBdr>
        <w:top w:val="none" w:sz="0" w:space="0" w:color="auto"/>
        <w:left w:val="none" w:sz="0" w:space="0" w:color="auto"/>
        <w:bottom w:val="none" w:sz="0" w:space="0" w:color="auto"/>
        <w:right w:val="none" w:sz="0" w:space="0" w:color="auto"/>
      </w:divBdr>
      <w:divsChild>
        <w:div w:id="130174883">
          <w:marLeft w:val="0"/>
          <w:marRight w:val="0"/>
          <w:marTop w:val="0"/>
          <w:marBottom w:val="0"/>
          <w:divBdr>
            <w:top w:val="none" w:sz="0" w:space="0" w:color="auto"/>
            <w:left w:val="none" w:sz="0" w:space="0" w:color="auto"/>
            <w:bottom w:val="none" w:sz="0" w:space="0" w:color="auto"/>
            <w:right w:val="none" w:sz="0" w:space="0" w:color="auto"/>
          </w:divBdr>
        </w:div>
        <w:div w:id="513762482">
          <w:marLeft w:val="0"/>
          <w:marRight w:val="0"/>
          <w:marTop w:val="0"/>
          <w:marBottom w:val="0"/>
          <w:divBdr>
            <w:top w:val="none" w:sz="0" w:space="0" w:color="auto"/>
            <w:left w:val="none" w:sz="0" w:space="0" w:color="auto"/>
            <w:bottom w:val="none" w:sz="0" w:space="0" w:color="auto"/>
            <w:right w:val="none" w:sz="0" w:space="0" w:color="auto"/>
          </w:divBdr>
        </w:div>
        <w:div w:id="602416040">
          <w:marLeft w:val="0"/>
          <w:marRight w:val="0"/>
          <w:marTop w:val="0"/>
          <w:marBottom w:val="0"/>
          <w:divBdr>
            <w:top w:val="none" w:sz="0" w:space="0" w:color="auto"/>
            <w:left w:val="none" w:sz="0" w:space="0" w:color="auto"/>
            <w:bottom w:val="none" w:sz="0" w:space="0" w:color="auto"/>
            <w:right w:val="none" w:sz="0" w:space="0" w:color="auto"/>
          </w:divBdr>
        </w:div>
        <w:div w:id="1053580379">
          <w:marLeft w:val="0"/>
          <w:marRight w:val="0"/>
          <w:marTop w:val="0"/>
          <w:marBottom w:val="0"/>
          <w:divBdr>
            <w:top w:val="none" w:sz="0" w:space="0" w:color="auto"/>
            <w:left w:val="none" w:sz="0" w:space="0" w:color="auto"/>
            <w:bottom w:val="none" w:sz="0" w:space="0" w:color="auto"/>
            <w:right w:val="none" w:sz="0" w:space="0" w:color="auto"/>
          </w:divBdr>
        </w:div>
        <w:div w:id="1147160665">
          <w:marLeft w:val="0"/>
          <w:marRight w:val="0"/>
          <w:marTop w:val="0"/>
          <w:marBottom w:val="0"/>
          <w:divBdr>
            <w:top w:val="none" w:sz="0" w:space="0" w:color="auto"/>
            <w:left w:val="none" w:sz="0" w:space="0" w:color="auto"/>
            <w:bottom w:val="none" w:sz="0" w:space="0" w:color="auto"/>
            <w:right w:val="none" w:sz="0" w:space="0" w:color="auto"/>
          </w:divBdr>
        </w:div>
        <w:div w:id="1324121691">
          <w:marLeft w:val="0"/>
          <w:marRight w:val="0"/>
          <w:marTop w:val="0"/>
          <w:marBottom w:val="0"/>
          <w:divBdr>
            <w:top w:val="none" w:sz="0" w:space="0" w:color="auto"/>
            <w:left w:val="none" w:sz="0" w:space="0" w:color="auto"/>
            <w:bottom w:val="none" w:sz="0" w:space="0" w:color="auto"/>
            <w:right w:val="none" w:sz="0" w:space="0" w:color="auto"/>
          </w:divBdr>
        </w:div>
      </w:divsChild>
    </w:div>
    <w:div w:id="319624078">
      <w:bodyDiv w:val="1"/>
      <w:marLeft w:val="0"/>
      <w:marRight w:val="0"/>
      <w:marTop w:val="0"/>
      <w:marBottom w:val="0"/>
      <w:divBdr>
        <w:top w:val="none" w:sz="0" w:space="0" w:color="auto"/>
        <w:left w:val="none" w:sz="0" w:space="0" w:color="auto"/>
        <w:bottom w:val="none" w:sz="0" w:space="0" w:color="auto"/>
        <w:right w:val="none" w:sz="0" w:space="0" w:color="auto"/>
      </w:divBdr>
    </w:div>
    <w:div w:id="322320116">
      <w:bodyDiv w:val="1"/>
      <w:marLeft w:val="0"/>
      <w:marRight w:val="0"/>
      <w:marTop w:val="0"/>
      <w:marBottom w:val="0"/>
      <w:divBdr>
        <w:top w:val="none" w:sz="0" w:space="0" w:color="auto"/>
        <w:left w:val="none" w:sz="0" w:space="0" w:color="auto"/>
        <w:bottom w:val="none" w:sz="0" w:space="0" w:color="auto"/>
        <w:right w:val="none" w:sz="0" w:space="0" w:color="auto"/>
      </w:divBdr>
    </w:div>
    <w:div w:id="344357623">
      <w:bodyDiv w:val="1"/>
      <w:marLeft w:val="0"/>
      <w:marRight w:val="0"/>
      <w:marTop w:val="0"/>
      <w:marBottom w:val="0"/>
      <w:divBdr>
        <w:top w:val="none" w:sz="0" w:space="0" w:color="auto"/>
        <w:left w:val="none" w:sz="0" w:space="0" w:color="auto"/>
        <w:bottom w:val="none" w:sz="0" w:space="0" w:color="auto"/>
        <w:right w:val="none" w:sz="0" w:space="0" w:color="auto"/>
      </w:divBdr>
    </w:div>
    <w:div w:id="365760746">
      <w:bodyDiv w:val="1"/>
      <w:marLeft w:val="0"/>
      <w:marRight w:val="0"/>
      <w:marTop w:val="0"/>
      <w:marBottom w:val="0"/>
      <w:divBdr>
        <w:top w:val="none" w:sz="0" w:space="0" w:color="auto"/>
        <w:left w:val="none" w:sz="0" w:space="0" w:color="auto"/>
        <w:bottom w:val="none" w:sz="0" w:space="0" w:color="auto"/>
        <w:right w:val="none" w:sz="0" w:space="0" w:color="auto"/>
      </w:divBdr>
    </w:div>
    <w:div w:id="367997535">
      <w:bodyDiv w:val="1"/>
      <w:marLeft w:val="0"/>
      <w:marRight w:val="0"/>
      <w:marTop w:val="0"/>
      <w:marBottom w:val="0"/>
      <w:divBdr>
        <w:top w:val="none" w:sz="0" w:space="0" w:color="auto"/>
        <w:left w:val="none" w:sz="0" w:space="0" w:color="auto"/>
        <w:bottom w:val="none" w:sz="0" w:space="0" w:color="auto"/>
        <w:right w:val="none" w:sz="0" w:space="0" w:color="auto"/>
      </w:divBdr>
      <w:divsChild>
        <w:div w:id="912930380">
          <w:marLeft w:val="0"/>
          <w:marRight w:val="0"/>
          <w:marTop w:val="0"/>
          <w:marBottom w:val="0"/>
          <w:divBdr>
            <w:top w:val="none" w:sz="0" w:space="0" w:color="auto"/>
            <w:left w:val="none" w:sz="0" w:space="0" w:color="auto"/>
            <w:bottom w:val="none" w:sz="0" w:space="0" w:color="auto"/>
            <w:right w:val="none" w:sz="0" w:space="0" w:color="auto"/>
          </w:divBdr>
          <w:divsChild>
            <w:div w:id="673218190">
              <w:marLeft w:val="0"/>
              <w:marRight w:val="0"/>
              <w:marTop w:val="0"/>
              <w:marBottom w:val="0"/>
              <w:divBdr>
                <w:top w:val="single" w:sz="2" w:space="0" w:color="E3E3E3"/>
                <w:left w:val="single" w:sz="2" w:space="0" w:color="E3E3E3"/>
                <w:bottom w:val="single" w:sz="2" w:space="0" w:color="E3E3E3"/>
                <w:right w:val="single" w:sz="2" w:space="0" w:color="E3E3E3"/>
              </w:divBdr>
              <w:divsChild>
                <w:div w:id="38949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3549808">
          <w:marLeft w:val="0"/>
          <w:marRight w:val="0"/>
          <w:marTop w:val="0"/>
          <w:marBottom w:val="0"/>
          <w:divBdr>
            <w:top w:val="single" w:sz="2" w:space="0" w:color="E3E3E3"/>
            <w:left w:val="single" w:sz="2" w:space="0" w:color="E3E3E3"/>
            <w:bottom w:val="single" w:sz="2" w:space="0" w:color="E3E3E3"/>
            <w:right w:val="single" w:sz="2" w:space="0" w:color="E3E3E3"/>
          </w:divBdr>
          <w:divsChild>
            <w:div w:id="1096292296">
              <w:marLeft w:val="0"/>
              <w:marRight w:val="0"/>
              <w:marTop w:val="0"/>
              <w:marBottom w:val="0"/>
              <w:divBdr>
                <w:top w:val="single" w:sz="2" w:space="0" w:color="E3E3E3"/>
                <w:left w:val="single" w:sz="2" w:space="0" w:color="E3E3E3"/>
                <w:bottom w:val="single" w:sz="2" w:space="0" w:color="E3E3E3"/>
                <w:right w:val="single" w:sz="2" w:space="0" w:color="E3E3E3"/>
              </w:divBdr>
              <w:divsChild>
                <w:div w:id="1656101891">
                  <w:marLeft w:val="0"/>
                  <w:marRight w:val="0"/>
                  <w:marTop w:val="0"/>
                  <w:marBottom w:val="0"/>
                  <w:divBdr>
                    <w:top w:val="single" w:sz="2" w:space="0" w:color="E3E3E3"/>
                    <w:left w:val="single" w:sz="2" w:space="0" w:color="E3E3E3"/>
                    <w:bottom w:val="single" w:sz="2" w:space="0" w:color="E3E3E3"/>
                    <w:right w:val="single" w:sz="2" w:space="0" w:color="E3E3E3"/>
                  </w:divBdr>
                  <w:divsChild>
                    <w:div w:id="2103064779">
                      <w:marLeft w:val="0"/>
                      <w:marRight w:val="0"/>
                      <w:marTop w:val="0"/>
                      <w:marBottom w:val="0"/>
                      <w:divBdr>
                        <w:top w:val="single" w:sz="2" w:space="0" w:color="E3E3E3"/>
                        <w:left w:val="single" w:sz="2" w:space="0" w:color="E3E3E3"/>
                        <w:bottom w:val="single" w:sz="2" w:space="0" w:color="E3E3E3"/>
                        <w:right w:val="single" w:sz="2" w:space="0" w:color="E3E3E3"/>
                      </w:divBdr>
                      <w:divsChild>
                        <w:div w:id="1567108322">
                          <w:marLeft w:val="0"/>
                          <w:marRight w:val="0"/>
                          <w:marTop w:val="0"/>
                          <w:marBottom w:val="0"/>
                          <w:divBdr>
                            <w:top w:val="single" w:sz="2" w:space="0" w:color="E3E3E3"/>
                            <w:left w:val="single" w:sz="2" w:space="0" w:color="E3E3E3"/>
                            <w:bottom w:val="single" w:sz="2" w:space="0" w:color="E3E3E3"/>
                            <w:right w:val="single" w:sz="2" w:space="0" w:color="E3E3E3"/>
                          </w:divBdr>
                          <w:divsChild>
                            <w:div w:id="935820479">
                              <w:marLeft w:val="0"/>
                              <w:marRight w:val="0"/>
                              <w:marTop w:val="100"/>
                              <w:marBottom w:val="100"/>
                              <w:divBdr>
                                <w:top w:val="single" w:sz="2" w:space="0" w:color="E3E3E3"/>
                                <w:left w:val="single" w:sz="2" w:space="0" w:color="E3E3E3"/>
                                <w:bottom w:val="single" w:sz="2" w:space="0" w:color="E3E3E3"/>
                                <w:right w:val="single" w:sz="2" w:space="0" w:color="E3E3E3"/>
                              </w:divBdr>
                              <w:divsChild>
                                <w:div w:id="2139300778">
                                  <w:marLeft w:val="0"/>
                                  <w:marRight w:val="0"/>
                                  <w:marTop w:val="0"/>
                                  <w:marBottom w:val="0"/>
                                  <w:divBdr>
                                    <w:top w:val="single" w:sz="2" w:space="0" w:color="E3E3E3"/>
                                    <w:left w:val="single" w:sz="2" w:space="0" w:color="E3E3E3"/>
                                    <w:bottom w:val="single" w:sz="2" w:space="0" w:color="E3E3E3"/>
                                    <w:right w:val="single" w:sz="2" w:space="0" w:color="E3E3E3"/>
                                  </w:divBdr>
                                  <w:divsChild>
                                    <w:div w:id="375590105">
                                      <w:marLeft w:val="0"/>
                                      <w:marRight w:val="0"/>
                                      <w:marTop w:val="0"/>
                                      <w:marBottom w:val="0"/>
                                      <w:divBdr>
                                        <w:top w:val="single" w:sz="2" w:space="0" w:color="E3E3E3"/>
                                        <w:left w:val="single" w:sz="2" w:space="0" w:color="E3E3E3"/>
                                        <w:bottom w:val="single" w:sz="2" w:space="0" w:color="E3E3E3"/>
                                        <w:right w:val="single" w:sz="2" w:space="0" w:color="E3E3E3"/>
                                      </w:divBdr>
                                      <w:divsChild>
                                        <w:div w:id="427238293">
                                          <w:marLeft w:val="0"/>
                                          <w:marRight w:val="0"/>
                                          <w:marTop w:val="0"/>
                                          <w:marBottom w:val="0"/>
                                          <w:divBdr>
                                            <w:top w:val="single" w:sz="2" w:space="0" w:color="E3E3E3"/>
                                            <w:left w:val="single" w:sz="2" w:space="0" w:color="E3E3E3"/>
                                            <w:bottom w:val="single" w:sz="2" w:space="0" w:color="E3E3E3"/>
                                            <w:right w:val="single" w:sz="2" w:space="0" w:color="E3E3E3"/>
                                          </w:divBdr>
                                          <w:divsChild>
                                            <w:div w:id="968634969">
                                              <w:marLeft w:val="0"/>
                                              <w:marRight w:val="0"/>
                                              <w:marTop w:val="0"/>
                                              <w:marBottom w:val="0"/>
                                              <w:divBdr>
                                                <w:top w:val="single" w:sz="2" w:space="0" w:color="E3E3E3"/>
                                                <w:left w:val="single" w:sz="2" w:space="0" w:color="E3E3E3"/>
                                                <w:bottom w:val="single" w:sz="2" w:space="0" w:color="E3E3E3"/>
                                                <w:right w:val="single" w:sz="2" w:space="0" w:color="E3E3E3"/>
                                              </w:divBdr>
                                              <w:divsChild>
                                                <w:div w:id="518354210">
                                                  <w:marLeft w:val="0"/>
                                                  <w:marRight w:val="0"/>
                                                  <w:marTop w:val="0"/>
                                                  <w:marBottom w:val="0"/>
                                                  <w:divBdr>
                                                    <w:top w:val="single" w:sz="2" w:space="0" w:color="E3E3E3"/>
                                                    <w:left w:val="single" w:sz="2" w:space="0" w:color="E3E3E3"/>
                                                    <w:bottom w:val="single" w:sz="2" w:space="0" w:color="E3E3E3"/>
                                                    <w:right w:val="single" w:sz="2" w:space="0" w:color="E3E3E3"/>
                                                  </w:divBdr>
                                                  <w:divsChild>
                                                    <w:div w:id="342434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71660236">
      <w:bodyDiv w:val="1"/>
      <w:marLeft w:val="0"/>
      <w:marRight w:val="0"/>
      <w:marTop w:val="0"/>
      <w:marBottom w:val="0"/>
      <w:divBdr>
        <w:top w:val="none" w:sz="0" w:space="0" w:color="auto"/>
        <w:left w:val="none" w:sz="0" w:space="0" w:color="auto"/>
        <w:bottom w:val="none" w:sz="0" w:space="0" w:color="auto"/>
        <w:right w:val="none" w:sz="0" w:space="0" w:color="auto"/>
      </w:divBdr>
    </w:div>
    <w:div w:id="373240688">
      <w:bodyDiv w:val="1"/>
      <w:marLeft w:val="0"/>
      <w:marRight w:val="0"/>
      <w:marTop w:val="0"/>
      <w:marBottom w:val="0"/>
      <w:divBdr>
        <w:top w:val="none" w:sz="0" w:space="0" w:color="auto"/>
        <w:left w:val="none" w:sz="0" w:space="0" w:color="auto"/>
        <w:bottom w:val="none" w:sz="0" w:space="0" w:color="auto"/>
        <w:right w:val="none" w:sz="0" w:space="0" w:color="auto"/>
      </w:divBdr>
    </w:div>
    <w:div w:id="381708325">
      <w:bodyDiv w:val="1"/>
      <w:marLeft w:val="0"/>
      <w:marRight w:val="0"/>
      <w:marTop w:val="0"/>
      <w:marBottom w:val="0"/>
      <w:divBdr>
        <w:top w:val="none" w:sz="0" w:space="0" w:color="auto"/>
        <w:left w:val="none" w:sz="0" w:space="0" w:color="auto"/>
        <w:bottom w:val="none" w:sz="0" w:space="0" w:color="auto"/>
        <w:right w:val="none" w:sz="0" w:space="0" w:color="auto"/>
      </w:divBdr>
    </w:div>
    <w:div w:id="383262073">
      <w:bodyDiv w:val="1"/>
      <w:marLeft w:val="0"/>
      <w:marRight w:val="0"/>
      <w:marTop w:val="0"/>
      <w:marBottom w:val="0"/>
      <w:divBdr>
        <w:top w:val="none" w:sz="0" w:space="0" w:color="auto"/>
        <w:left w:val="none" w:sz="0" w:space="0" w:color="auto"/>
        <w:bottom w:val="none" w:sz="0" w:space="0" w:color="auto"/>
        <w:right w:val="none" w:sz="0" w:space="0" w:color="auto"/>
      </w:divBdr>
    </w:div>
    <w:div w:id="384178503">
      <w:bodyDiv w:val="1"/>
      <w:marLeft w:val="0"/>
      <w:marRight w:val="0"/>
      <w:marTop w:val="0"/>
      <w:marBottom w:val="0"/>
      <w:divBdr>
        <w:top w:val="none" w:sz="0" w:space="0" w:color="auto"/>
        <w:left w:val="none" w:sz="0" w:space="0" w:color="auto"/>
        <w:bottom w:val="none" w:sz="0" w:space="0" w:color="auto"/>
        <w:right w:val="none" w:sz="0" w:space="0" w:color="auto"/>
      </w:divBdr>
    </w:div>
    <w:div w:id="388963966">
      <w:bodyDiv w:val="1"/>
      <w:marLeft w:val="0"/>
      <w:marRight w:val="0"/>
      <w:marTop w:val="0"/>
      <w:marBottom w:val="0"/>
      <w:divBdr>
        <w:top w:val="none" w:sz="0" w:space="0" w:color="auto"/>
        <w:left w:val="none" w:sz="0" w:space="0" w:color="auto"/>
        <w:bottom w:val="none" w:sz="0" w:space="0" w:color="auto"/>
        <w:right w:val="none" w:sz="0" w:space="0" w:color="auto"/>
      </w:divBdr>
    </w:div>
    <w:div w:id="399718575">
      <w:bodyDiv w:val="1"/>
      <w:marLeft w:val="0"/>
      <w:marRight w:val="0"/>
      <w:marTop w:val="0"/>
      <w:marBottom w:val="0"/>
      <w:divBdr>
        <w:top w:val="none" w:sz="0" w:space="0" w:color="auto"/>
        <w:left w:val="none" w:sz="0" w:space="0" w:color="auto"/>
        <w:bottom w:val="none" w:sz="0" w:space="0" w:color="auto"/>
        <w:right w:val="none" w:sz="0" w:space="0" w:color="auto"/>
      </w:divBdr>
    </w:div>
    <w:div w:id="406150354">
      <w:bodyDiv w:val="1"/>
      <w:marLeft w:val="0"/>
      <w:marRight w:val="0"/>
      <w:marTop w:val="0"/>
      <w:marBottom w:val="0"/>
      <w:divBdr>
        <w:top w:val="none" w:sz="0" w:space="0" w:color="auto"/>
        <w:left w:val="none" w:sz="0" w:space="0" w:color="auto"/>
        <w:bottom w:val="none" w:sz="0" w:space="0" w:color="auto"/>
        <w:right w:val="none" w:sz="0" w:space="0" w:color="auto"/>
      </w:divBdr>
    </w:div>
    <w:div w:id="407961907">
      <w:bodyDiv w:val="1"/>
      <w:marLeft w:val="0"/>
      <w:marRight w:val="0"/>
      <w:marTop w:val="0"/>
      <w:marBottom w:val="0"/>
      <w:divBdr>
        <w:top w:val="none" w:sz="0" w:space="0" w:color="auto"/>
        <w:left w:val="none" w:sz="0" w:space="0" w:color="auto"/>
        <w:bottom w:val="none" w:sz="0" w:space="0" w:color="auto"/>
        <w:right w:val="none" w:sz="0" w:space="0" w:color="auto"/>
      </w:divBdr>
    </w:div>
    <w:div w:id="414591458">
      <w:bodyDiv w:val="1"/>
      <w:marLeft w:val="0"/>
      <w:marRight w:val="0"/>
      <w:marTop w:val="0"/>
      <w:marBottom w:val="0"/>
      <w:divBdr>
        <w:top w:val="none" w:sz="0" w:space="0" w:color="auto"/>
        <w:left w:val="none" w:sz="0" w:space="0" w:color="auto"/>
        <w:bottom w:val="none" w:sz="0" w:space="0" w:color="auto"/>
        <w:right w:val="none" w:sz="0" w:space="0" w:color="auto"/>
      </w:divBdr>
    </w:div>
    <w:div w:id="421030463">
      <w:bodyDiv w:val="1"/>
      <w:marLeft w:val="0"/>
      <w:marRight w:val="0"/>
      <w:marTop w:val="0"/>
      <w:marBottom w:val="0"/>
      <w:divBdr>
        <w:top w:val="none" w:sz="0" w:space="0" w:color="auto"/>
        <w:left w:val="none" w:sz="0" w:space="0" w:color="auto"/>
        <w:bottom w:val="none" w:sz="0" w:space="0" w:color="auto"/>
        <w:right w:val="none" w:sz="0" w:space="0" w:color="auto"/>
      </w:divBdr>
    </w:div>
    <w:div w:id="423459286">
      <w:bodyDiv w:val="1"/>
      <w:marLeft w:val="0"/>
      <w:marRight w:val="0"/>
      <w:marTop w:val="0"/>
      <w:marBottom w:val="0"/>
      <w:divBdr>
        <w:top w:val="none" w:sz="0" w:space="0" w:color="auto"/>
        <w:left w:val="none" w:sz="0" w:space="0" w:color="auto"/>
        <w:bottom w:val="none" w:sz="0" w:space="0" w:color="auto"/>
        <w:right w:val="none" w:sz="0" w:space="0" w:color="auto"/>
      </w:divBdr>
    </w:div>
    <w:div w:id="427896492">
      <w:bodyDiv w:val="1"/>
      <w:marLeft w:val="0"/>
      <w:marRight w:val="0"/>
      <w:marTop w:val="0"/>
      <w:marBottom w:val="0"/>
      <w:divBdr>
        <w:top w:val="none" w:sz="0" w:space="0" w:color="auto"/>
        <w:left w:val="none" w:sz="0" w:space="0" w:color="auto"/>
        <w:bottom w:val="none" w:sz="0" w:space="0" w:color="auto"/>
        <w:right w:val="none" w:sz="0" w:space="0" w:color="auto"/>
      </w:divBdr>
    </w:div>
    <w:div w:id="428234063">
      <w:bodyDiv w:val="1"/>
      <w:marLeft w:val="0"/>
      <w:marRight w:val="0"/>
      <w:marTop w:val="0"/>
      <w:marBottom w:val="0"/>
      <w:divBdr>
        <w:top w:val="none" w:sz="0" w:space="0" w:color="auto"/>
        <w:left w:val="none" w:sz="0" w:space="0" w:color="auto"/>
        <w:bottom w:val="none" w:sz="0" w:space="0" w:color="auto"/>
        <w:right w:val="none" w:sz="0" w:space="0" w:color="auto"/>
      </w:divBdr>
    </w:div>
    <w:div w:id="430777809">
      <w:bodyDiv w:val="1"/>
      <w:marLeft w:val="0"/>
      <w:marRight w:val="0"/>
      <w:marTop w:val="0"/>
      <w:marBottom w:val="0"/>
      <w:divBdr>
        <w:top w:val="none" w:sz="0" w:space="0" w:color="auto"/>
        <w:left w:val="none" w:sz="0" w:space="0" w:color="auto"/>
        <w:bottom w:val="none" w:sz="0" w:space="0" w:color="auto"/>
        <w:right w:val="none" w:sz="0" w:space="0" w:color="auto"/>
      </w:divBdr>
    </w:div>
    <w:div w:id="439037112">
      <w:bodyDiv w:val="1"/>
      <w:marLeft w:val="0"/>
      <w:marRight w:val="0"/>
      <w:marTop w:val="0"/>
      <w:marBottom w:val="0"/>
      <w:divBdr>
        <w:top w:val="none" w:sz="0" w:space="0" w:color="auto"/>
        <w:left w:val="none" w:sz="0" w:space="0" w:color="auto"/>
        <w:bottom w:val="none" w:sz="0" w:space="0" w:color="auto"/>
        <w:right w:val="none" w:sz="0" w:space="0" w:color="auto"/>
      </w:divBdr>
    </w:div>
    <w:div w:id="439109372">
      <w:bodyDiv w:val="1"/>
      <w:marLeft w:val="0"/>
      <w:marRight w:val="0"/>
      <w:marTop w:val="0"/>
      <w:marBottom w:val="0"/>
      <w:divBdr>
        <w:top w:val="none" w:sz="0" w:space="0" w:color="auto"/>
        <w:left w:val="none" w:sz="0" w:space="0" w:color="auto"/>
        <w:bottom w:val="none" w:sz="0" w:space="0" w:color="auto"/>
        <w:right w:val="none" w:sz="0" w:space="0" w:color="auto"/>
      </w:divBdr>
    </w:div>
    <w:div w:id="441535019">
      <w:bodyDiv w:val="1"/>
      <w:marLeft w:val="0"/>
      <w:marRight w:val="0"/>
      <w:marTop w:val="0"/>
      <w:marBottom w:val="0"/>
      <w:divBdr>
        <w:top w:val="none" w:sz="0" w:space="0" w:color="auto"/>
        <w:left w:val="none" w:sz="0" w:space="0" w:color="auto"/>
        <w:bottom w:val="none" w:sz="0" w:space="0" w:color="auto"/>
        <w:right w:val="none" w:sz="0" w:space="0" w:color="auto"/>
      </w:divBdr>
    </w:div>
    <w:div w:id="452481305">
      <w:bodyDiv w:val="1"/>
      <w:marLeft w:val="0"/>
      <w:marRight w:val="0"/>
      <w:marTop w:val="0"/>
      <w:marBottom w:val="0"/>
      <w:divBdr>
        <w:top w:val="none" w:sz="0" w:space="0" w:color="auto"/>
        <w:left w:val="none" w:sz="0" w:space="0" w:color="auto"/>
        <w:bottom w:val="none" w:sz="0" w:space="0" w:color="auto"/>
        <w:right w:val="none" w:sz="0" w:space="0" w:color="auto"/>
      </w:divBdr>
    </w:div>
    <w:div w:id="456949545">
      <w:bodyDiv w:val="1"/>
      <w:marLeft w:val="0"/>
      <w:marRight w:val="0"/>
      <w:marTop w:val="0"/>
      <w:marBottom w:val="0"/>
      <w:divBdr>
        <w:top w:val="none" w:sz="0" w:space="0" w:color="auto"/>
        <w:left w:val="none" w:sz="0" w:space="0" w:color="auto"/>
        <w:bottom w:val="none" w:sz="0" w:space="0" w:color="auto"/>
        <w:right w:val="none" w:sz="0" w:space="0" w:color="auto"/>
      </w:divBdr>
    </w:div>
    <w:div w:id="467818016">
      <w:bodyDiv w:val="1"/>
      <w:marLeft w:val="0"/>
      <w:marRight w:val="0"/>
      <w:marTop w:val="0"/>
      <w:marBottom w:val="0"/>
      <w:divBdr>
        <w:top w:val="none" w:sz="0" w:space="0" w:color="auto"/>
        <w:left w:val="none" w:sz="0" w:space="0" w:color="auto"/>
        <w:bottom w:val="none" w:sz="0" w:space="0" w:color="auto"/>
        <w:right w:val="none" w:sz="0" w:space="0" w:color="auto"/>
      </w:divBdr>
    </w:div>
    <w:div w:id="472065802">
      <w:bodyDiv w:val="1"/>
      <w:marLeft w:val="0"/>
      <w:marRight w:val="0"/>
      <w:marTop w:val="0"/>
      <w:marBottom w:val="0"/>
      <w:divBdr>
        <w:top w:val="none" w:sz="0" w:space="0" w:color="auto"/>
        <w:left w:val="none" w:sz="0" w:space="0" w:color="auto"/>
        <w:bottom w:val="none" w:sz="0" w:space="0" w:color="auto"/>
        <w:right w:val="none" w:sz="0" w:space="0" w:color="auto"/>
      </w:divBdr>
    </w:div>
    <w:div w:id="477576064">
      <w:bodyDiv w:val="1"/>
      <w:marLeft w:val="0"/>
      <w:marRight w:val="0"/>
      <w:marTop w:val="0"/>
      <w:marBottom w:val="0"/>
      <w:divBdr>
        <w:top w:val="none" w:sz="0" w:space="0" w:color="auto"/>
        <w:left w:val="none" w:sz="0" w:space="0" w:color="auto"/>
        <w:bottom w:val="none" w:sz="0" w:space="0" w:color="auto"/>
        <w:right w:val="none" w:sz="0" w:space="0" w:color="auto"/>
      </w:divBdr>
    </w:div>
    <w:div w:id="478378210">
      <w:bodyDiv w:val="1"/>
      <w:marLeft w:val="0"/>
      <w:marRight w:val="0"/>
      <w:marTop w:val="0"/>
      <w:marBottom w:val="0"/>
      <w:divBdr>
        <w:top w:val="none" w:sz="0" w:space="0" w:color="auto"/>
        <w:left w:val="none" w:sz="0" w:space="0" w:color="auto"/>
        <w:bottom w:val="none" w:sz="0" w:space="0" w:color="auto"/>
        <w:right w:val="none" w:sz="0" w:space="0" w:color="auto"/>
      </w:divBdr>
    </w:div>
    <w:div w:id="478688387">
      <w:bodyDiv w:val="1"/>
      <w:marLeft w:val="0"/>
      <w:marRight w:val="0"/>
      <w:marTop w:val="0"/>
      <w:marBottom w:val="0"/>
      <w:divBdr>
        <w:top w:val="none" w:sz="0" w:space="0" w:color="auto"/>
        <w:left w:val="none" w:sz="0" w:space="0" w:color="auto"/>
        <w:bottom w:val="none" w:sz="0" w:space="0" w:color="auto"/>
        <w:right w:val="none" w:sz="0" w:space="0" w:color="auto"/>
      </w:divBdr>
    </w:div>
    <w:div w:id="480077969">
      <w:bodyDiv w:val="1"/>
      <w:marLeft w:val="0"/>
      <w:marRight w:val="0"/>
      <w:marTop w:val="0"/>
      <w:marBottom w:val="0"/>
      <w:divBdr>
        <w:top w:val="none" w:sz="0" w:space="0" w:color="auto"/>
        <w:left w:val="none" w:sz="0" w:space="0" w:color="auto"/>
        <w:bottom w:val="none" w:sz="0" w:space="0" w:color="auto"/>
        <w:right w:val="none" w:sz="0" w:space="0" w:color="auto"/>
      </w:divBdr>
    </w:div>
    <w:div w:id="480931740">
      <w:bodyDiv w:val="1"/>
      <w:marLeft w:val="0"/>
      <w:marRight w:val="0"/>
      <w:marTop w:val="0"/>
      <w:marBottom w:val="0"/>
      <w:divBdr>
        <w:top w:val="none" w:sz="0" w:space="0" w:color="auto"/>
        <w:left w:val="none" w:sz="0" w:space="0" w:color="auto"/>
        <w:bottom w:val="none" w:sz="0" w:space="0" w:color="auto"/>
        <w:right w:val="none" w:sz="0" w:space="0" w:color="auto"/>
      </w:divBdr>
    </w:div>
    <w:div w:id="483743245">
      <w:bodyDiv w:val="1"/>
      <w:marLeft w:val="0"/>
      <w:marRight w:val="0"/>
      <w:marTop w:val="0"/>
      <w:marBottom w:val="0"/>
      <w:divBdr>
        <w:top w:val="none" w:sz="0" w:space="0" w:color="auto"/>
        <w:left w:val="none" w:sz="0" w:space="0" w:color="auto"/>
        <w:bottom w:val="none" w:sz="0" w:space="0" w:color="auto"/>
        <w:right w:val="none" w:sz="0" w:space="0" w:color="auto"/>
      </w:divBdr>
    </w:div>
    <w:div w:id="484474530">
      <w:bodyDiv w:val="1"/>
      <w:marLeft w:val="0"/>
      <w:marRight w:val="0"/>
      <w:marTop w:val="0"/>
      <w:marBottom w:val="0"/>
      <w:divBdr>
        <w:top w:val="none" w:sz="0" w:space="0" w:color="auto"/>
        <w:left w:val="none" w:sz="0" w:space="0" w:color="auto"/>
        <w:bottom w:val="none" w:sz="0" w:space="0" w:color="auto"/>
        <w:right w:val="none" w:sz="0" w:space="0" w:color="auto"/>
      </w:divBdr>
    </w:div>
    <w:div w:id="489367780">
      <w:bodyDiv w:val="1"/>
      <w:marLeft w:val="0"/>
      <w:marRight w:val="0"/>
      <w:marTop w:val="0"/>
      <w:marBottom w:val="0"/>
      <w:divBdr>
        <w:top w:val="none" w:sz="0" w:space="0" w:color="auto"/>
        <w:left w:val="none" w:sz="0" w:space="0" w:color="auto"/>
        <w:bottom w:val="none" w:sz="0" w:space="0" w:color="auto"/>
        <w:right w:val="none" w:sz="0" w:space="0" w:color="auto"/>
      </w:divBdr>
    </w:div>
    <w:div w:id="493566883">
      <w:bodyDiv w:val="1"/>
      <w:marLeft w:val="0"/>
      <w:marRight w:val="0"/>
      <w:marTop w:val="0"/>
      <w:marBottom w:val="0"/>
      <w:divBdr>
        <w:top w:val="none" w:sz="0" w:space="0" w:color="auto"/>
        <w:left w:val="none" w:sz="0" w:space="0" w:color="auto"/>
        <w:bottom w:val="none" w:sz="0" w:space="0" w:color="auto"/>
        <w:right w:val="none" w:sz="0" w:space="0" w:color="auto"/>
      </w:divBdr>
    </w:div>
    <w:div w:id="499807599">
      <w:bodyDiv w:val="1"/>
      <w:marLeft w:val="0"/>
      <w:marRight w:val="0"/>
      <w:marTop w:val="0"/>
      <w:marBottom w:val="0"/>
      <w:divBdr>
        <w:top w:val="none" w:sz="0" w:space="0" w:color="auto"/>
        <w:left w:val="none" w:sz="0" w:space="0" w:color="auto"/>
        <w:bottom w:val="none" w:sz="0" w:space="0" w:color="auto"/>
        <w:right w:val="none" w:sz="0" w:space="0" w:color="auto"/>
      </w:divBdr>
    </w:div>
    <w:div w:id="500002808">
      <w:bodyDiv w:val="1"/>
      <w:marLeft w:val="0"/>
      <w:marRight w:val="0"/>
      <w:marTop w:val="0"/>
      <w:marBottom w:val="0"/>
      <w:divBdr>
        <w:top w:val="none" w:sz="0" w:space="0" w:color="auto"/>
        <w:left w:val="none" w:sz="0" w:space="0" w:color="auto"/>
        <w:bottom w:val="none" w:sz="0" w:space="0" w:color="auto"/>
        <w:right w:val="none" w:sz="0" w:space="0" w:color="auto"/>
      </w:divBdr>
    </w:div>
    <w:div w:id="512112597">
      <w:bodyDiv w:val="1"/>
      <w:marLeft w:val="0"/>
      <w:marRight w:val="0"/>
      <w:marTop w:val="0"/>
      <w:marBottom w:val="0"/>
      <w:divBdr>
        <w:top w:val="none" w:sz="0" w:space="0" w:color="auto"/>
        <w:left w:val="none" w:sz="0" w:space="0" w:color="auto"/>
        <w:bottom w:val="none" w:sz="0" w:space="0" w:color="auto"/>
        <w:right w:val="none" w:sz="0" w:space="0" w:color="auto"/>
      </w:divBdr>
    </w:div>
    <w:div w:id="512262130">
      <w:bodyDiv w:val="1"/>
      <w:marLeft w:val="0"/>
      <w:marRight w:val="0"/>
      <w:marTop w:val="0"/>
      <w:marBottom w:val="0"/>
      <w:divBdr>
        <w:top w:val="none" w:sz="0" w:space="0" w:color="auto"/>
        <w:left w:val="none" w:sz="0" w:space="0" w:color="auto"/>
        <w:bottom w:val="none" w:sz="0" w:space="0" w:color="auto"/>
        <w:right w:val="none" w:sz="0" w:space="0" w:color="auto"/>
      </w:divBdr>
      <w:divsChild>
        <w:div w:id="1813208051">
          <w:marLeft w:val="0"/>
          <w:marRight w:val="0"/>
          <w:marTop w:val="0"/>
          <w:marBottom w:val="0"/>
          <w:divBdr>
            <w:top w:val="none" w:sz="0" w:space="0" w:color="auto"/>
            <w:left w:val="none" w:sz="0" w:space="0" w:color="auto"/>
            <w:bottom w:val="none" w:sz="0" w:space="0" w:color="auto"/>
            <w:right w:val="none" w:sz="0" w:space="0" w:color="auto"/>
          </w:divBdr>
        </w:div>
      </w:divsChild>
    </w:div>
    <w:div w:id="518738124">
      <w:bodyDiv w:val="1"/>
      <w:marLeft w:val="0"/>
      <w:marRight w:val="0"/>
      <w:marTop w:val="0"/>
      <w:marBottom w:val="0"/>
      <w:divBdr>
        <w:top w:val="none" w:sz="0" w:space="0" w:color="auto"/>
        <w:left w:val="none" w:sz="0" w:space="0" w:color="auto"/>
        <w:bottom w:val="none" w:sz="0" w:space="0" w:color="auto"/>
        <w:right w:val="none" w:sz="0" w:space="0" w:color="auto"/>
      </w:divBdr>
    </w:div>
    <w:div w:id="522591405">
      <w:bodyDiv w:val="1"/>
      <w:marLeft w:val="0"/>
      <w:marRight w:val="0"/>
      <w:marTop w:val="0"/>
      <w:marBottom w:val="0"/>
      <w:divBdr>
        <w:top w:val="none" w:sz="0" w:space="0" w:color="auto"/>
        <w:left w:val="none" w:sz="0" w:space="0" w:color="auto"/>
        <w:bottom w:val="none" w:sz="0" w:space="0" w:color="auto"/>
        <w:right w:val="none" w:sz="0" w:space="0" w:color="auto"/>
      </w:divBdr>
    </w:div>
    <w:div w:id="526720009">
      <w:bodyDiv w:val="1"/>
      <w:marLeft w:val="0"/>
      <w:marRight w:val="0"/>
      <w:marTop w:val="0"/>
      <w:marBottom w:val="0"/>
      <w:divBdr>
        <w:top w:val="none" w:sz="0" w:space="0" w:color="auto"/>
        <w:left w:val="none" w:sz="0" w:space="0" w:color="auto"/>
        <w:bottom w:val="none" w:sz="0" w:space="0" w:color="auto"/>
        <w:right w:val="none" w:sz="0" w:space="0" w:color="auto"/>
      </w:divBdr>
    </w:div>
    <w:div w:id="536356852">
      <w:bodyDiv w:val="1"/>
      <w:marLeft w:val="0"/>
      <w:marRight w:val="0"/>
      <w:marTop w:val="0"/>
      <w:marBottom w:val="0"/>
      <w:divBdr>
        <w:top w:val="none" w:sz="0" w:space="0" w:color="auto"/>
        <w:left w:val="none" w:sz="0" w:space="0" w:color="auto"/>
        <w:bottom w:val="none" w:sz="0" w:space="0" w:color="auto"/>
        <w:right w:val="none" w:sz="0" w:space="0" w:color="auto"/>
      </w:divBdr>
    </w:div>
    <w:div w:id="538712785">
      <w:bodyDiv w:val="1"/>
      <w:marLeft w:val="0"/>
      <w:marRight w:val="0"/>
      <w:marTop w:val="0"/>
      <w:marBottom w:val="0"/>
      <w:divBdr>
        <w:top w:val="none" w:sz="0" w:space="0" w:color="auto"/>
        <w:left w:val="none" w:sz="0" w:space="0" w:color="auto"/>
        <w:bottom w:val="none" w:sz="0" w:space="0" w:color="auto"/>
        <w:right w:val="none" w:sz="0" w:space="0" w:color="auto"/>
      </w:divBdr>
    </w:div>
    <w:div w:id="553857660">
      <w:bodyDiv w:val="1"/>
      <w:marLeft w:val="0"/>
      <w:marRight w:val="0"/>
      <w:marTop w:val="0"/>
      <w:marBottom w:val="0"/>
      <w:divBdr>
        <w:top w:val="none" w:sz="0" w:space="0" w:color="auto"/>
        <w:left w:val="none" w:sz="0" w:space="0" w:color="auto"/>
        <w:bottom w:val="none" w:sz="0" w:space="0" w:color="auto"/>
        <w:right w:val="none" w:sz="0" w:space="0" w:color="auto"/>
      </w:divBdr>
    </w:div>
    <w:div w:id="556432853">
      <w:bodyDiv w:val="1"/>
      <w:marLeft w:val="0"/>
      <w:marRight w:val="0"/>
      <w:marTop w:val="0"/>
      <w:marBottom w:val="0"/>
      <w:divBdr>
        <w:top w:val="none" w:sz="0" w:space="0" w:color="auto"/>
        <w:left w:val="none" w:sz="0" w:space="0" w:color="auto"/>
        <w:bottom w:val="none" w:sz="0" w:space="0" w:color="auto"/>
        <w:right w:val="none" w:sz="0" w:space="0" w:color="auto"/>
      </w:divBdr>
    </w:div>
    <w:div w:id="560605538">
      <w:bodyDiv w:val="1"/>
      <w:marLeft w:val="0"/>
      <w:marRight w:val="0"/>
      <w:marTop w:val="0"/>
      <w:marBottom w:val="0"/>
      <w:divBdr>
        <w:top w:val="none" w:sz="0" w:space="0" w:color="auto"/>
        <w:left w:val="none" w:sz="0" w:space="0" w:color="auto"/>
        <w:bottom w:val="none" w:sz="0" w:space="0" w:color="auto"/>
        <w:right w:val="none" w:sz="0" w:space="0" w:color="auto"/>
      </w:divBdr>
    </w:div>
    <w:div w:id="560823271">
      <w:bodyDiv w:val="1"/>
      <w:marLeft w:val="0"/>
      <w:marRight w:val="0"/>
      <w:marTop w:val="0"/>
      <w:marBottom w:val="0"/>
      <w:divBdr>
        <w:top w:val="none" w:sz="0" w:space="0" w:color="auto"/>
        <w:left w:val="none" w:sz="0" w:space="0" w:color="auto"/>
        <w:bottom w:val="none" w:sz="0" w:space="0" w:color="auto"/>
        <w:right w:val="none" w:sz="0" w:space="0" w:color="auto"/>
      </w:divBdr>
    </w:div>
    <w:div w:id="566692032">
      <w:bodyDiv w:val="1"/>
      <w:marLeft w:val="0"/>
      <w:marRight w:val="0"/>
      <w:marTop w:val="0"/>
      <w:marBottom w:val="0"/>
      <w:divBdr>
        <w:top w:val="none" w:sz="0" w:space="0" w:color="auto"/>
        <w:left w:val="none" w:sz="0" w:space="0" w:color="auto"/>
        <w:bottom w:val="none" w:sz="0" w:space="0" w:color="auto"/>
        <w:right w:val="none" w:sz="0" w:space="0" w:color="auto"/>
      </w:divBdr>
    </w:div>
    <w:div w:id="566764626">
      <w:bodyDiv w:val="1"/>
      <w:marLeft w:val="0"/>
      <w:marRight w:val="0"/>
      <w:marTop w:val="0"/>
      <w:marBottom w:val="0"/>
      <w:divBdr>
        <w:top w:val="none" w:sz="0" w:space="0" w:color="auto"/>
        <w:left w:val="none" w:sz="0" w:space="0" w:color="auto"/>
        <w:bottom w:val="none" w:sz="0" w:space="0" w:color="auto"/>
        <w:right w:val="none" w:sz="0" w:space="0" w:color="auto"/>
      </w:divBdr>
    </w:div>
    <w:div w:id="567497571">
      <w:bodyDiv w:val="1"/>
      <w:marLeft w:val="0"/>
      <w:marRight w:val="0"/>
      <w:marTop w:val="0"/>
      <w:marBottom w:val="0"/>
      <w:divBdr>
        <w:top w:val="none" w:sz="0" w:space="0" w:color="auto"/>
        <w:left w:val="none" w:sz="0" w:space="0" w:color="auto"/>
        <w:bottom w:val="none" w:sz="0" w:space="0" w:color="auto"/>
        <w:right w:val="none" w:sz="0" w:space="0" w:color="auto"/>
      </w:divBdr>
    </w:div>
    <w:div w:id="575630550">
      <w:bodyDiv w:val="1"/>
      <w:marLeft w:val="0"/>
      <w:marRight w:val="0"/>
      <w:marTop w:val="0"/>
      <w:marBottom w:val="0"/>
      <w:divBdr>
        <w:top w:val="none" w:sz="0" w:space="0" w:color="auto"/>
        <w:left w:val="none" w:sz="0" w:space="0" w:color="auto"/>
        <w:bottom w:val="none" w:sz="0" w:space="0" w:color="auto"/>
        <w:right w:val="none" w:sz="0" w:space="0" w:color="auto"/>
      </w:divBdr>
    </w:div>
    <w:div w:id="587495946">
      <w:bodyDiv w:val="1"/>
      <w:marLeft w:val="0"/>
      <w:marRight w:val="0"/>
      <w:marTop w:val="0"/>
      <w:marBottom w:val="0"/>
      <w:divBdr>
        <w:top w:val="none" w:sz="0" w:space="0" w:color="auto"/>
        <w:left w:val="none" w:sz="0" w:space="0" w:color="auto"/>
        <w:bottom w:val="none" w:sz="0" w:space="0" w:color="auto"/>
        <w:right w:val="none" w:sz="0" w:space="0" w:color="auto"/>
      </w:divBdr>
    </w:div>
    <w:div w:id="590696741">
      <w:bodyDiv w:val="1"/>
      <w:marLeft w:val="0"/>
      <w:marRight w:val="0"/>
      <w:marTop w:val="0"/>
      <w:marBottom w:val="0"/>
      <w:divBdr>
        <w:top w:val="none" w:sz="0" w:space="0" w:color="auto"/>
        <w:left w:val="none" w:sz="0" w:space="0" w:color="auto"/>
        <w:bottom w:val="none" w:sz="0" w:space="0" w:color="auto"/>
        <w:right w:val="none" w:sz="0" w:space="0" w:color="auto"/>
      </w:divBdr>
    </w:div>
    <w:div w:id="599410308">
      <w:bodyDiv w:val="1"/>
      <w:marLeft w:val="0"/>
      <w:marRight w:val="0"/>
      <w:marTop w:val="0"/>
      <w:marBottom w:val="0"/>
      <w:divBdr>
        <w:top w:val="none" w:sz="0" w:space="0" w:color="auto"/>
        <w:left w:val="none" w:sz="0" w:space="0" w:color="auto"/>
        <w:bottom w:val="none" w:sz="0" w:space="0" w:color="auto"/>
        <w:right w:val="none" w:sz="0" w:space="0" w:color="auto"/>
      </w:divBdr>
    </w:div>
    <w:div w:id="603466987">
      <w:bodyDiv w:val="1"/>
      <w:marLeft w:val="0"/>
      <w:marRight w:val="0"/>
      <w:marTop w:val="0"/>
      <w:marBottom w:val="0"/>
      <w:divBdr>
        <w:top w:val="none" w:sz="0" w:space="0" w:color="auto"/>
        <w:left w:val="none" w:sz="0" w:space="0" w:color="auto"/>
        <w:bottom w:val="none" w:sz="0" w:space="0" w:color="auto"/>
        <w:right w:val="none" w:sz="0" w:space="0" w:color="auto"/>
      </w:divBdr>
    </w:div>
    <w:div w:id="603613263">
      <w:bodyDiv w:val="1"/>
      <w:marLeft w:val="0"/>
      <w:marRight w:val="0"/>
      <w:marTop w:val="0"/>
      <w:marBottom w:val="0"/>
      <w:divBdr>
        <w:top w:val="none" w:sz="0" w:space="0" w:color="auto"/>
        <w:left w:val="none" w:sz="0" w:space="0" w:color="auto"/>
        <w:bottom w:val="none" w:sz="0" w:space="0" w:color="auto"/>
        <w:right w:val="none" w:sz="0" w:space="0" w:color="auto"/>
      </w:divBdr>
    </w:div>
    <w:div w:id="605507220">
      <w:bodyDiv w:val="1"/>
      <w:marLeft w:val="0"/>
      <w:marRight w:val="0"/>
      <w:marTop w:val="0"/>
      <w:marBottom w:val="0"/>
      <w:divBdr>
        <w:top w:val="none" w:sz="0" w:space="0" w:color="auto"/>
        <w:left w:val="none" w:sz="0" w:space="0" w:color="auto"/>
        <w:bottom w:val="none" w:sz="0" w:space="0" w:color="auto"/>
        <w:right w:val="none" w:sz="0" w:space="0" w:color="auto"/>
      </w:divBdr>
    </w:div>
    <w:div w:id="606935610">
      <w:bodyDiv w:val="1"/>
      <w:marLeft w:val="0"/>
      <w:marRight w:val="0"/>
      <w:marTop w:val="0"/>
      <w:marBottom w:val="0"/>
      <w:divBdr>
        <w:top w:val="none" w:sz="0" w:space="0" w:color="auto"/>
        <w:left w:val="none" w:sz="0" w:space="0" w:color="auto"/>
        <w:bottom w:val="none" w:sz="0" w:space="0" w:color="auto"/>
        <w:right w:val="none" w:sz="0" w:space="0" w:color="auto"/>
      </w:divBdr>
    </w:div>
    <w:div w:id="610548008">
      <w:bodyDiv w:val="1"/>
      <w:marLeft w:val="0"/>
      <w:marRight w:val="0"/>
      <w:marTop w:val="0"/>
      <w:marBottom w:val="0"/>
      <w:divBdr>
        <w:top w:val="none" w:sz="0" w:space="0" w:color="auto"/>
        <w:left w:val="none" w:sz="0" w:space="0" w:color="auto"/>
        <w:bottom w:val="none" w:sz="0" w:space="0" w:color="auto"/>
        <w:right w:val="none" w:sz="0" w:space="0" w:color="auto"/>
      </w:divBdr>
    </w:div>
    <w:div w:id="611207376">
      <w:bodyDiv w:val="1"/>
      <w:marLeft w:val="0"/>
      <w:marRight w:val="0"/>
      <w:marTop w:val="0"/>
      <w:marBottom w:val="0"/>
      <w:divBdr>
        <w:top w:val="none" w:sz="0" w:space="0" w:color="auto"/>
        <w:left w:val="none" w:sz="0" w:space="0" w:color="auto"/>
        <w:bottom w:val="none" w:sz="0" w:space="0" w:color="auto"/>
        <w:right w:val="none" w:sz="0" w:space="0" w:color="auto"/>
      </w:divBdr>
    </w:div>
    <w:div w:id="615020173">
      <w:bodyDiv w:val="1"/>
      <w:marLeft w:val="0"/>
      <w:marRight w:val="0"/>
      <w:marTop w:val="0"/>
      <w:marBottom w:val="0"/>
      <w:divBdr>
        <w:top w:val="none" w:sz="0" w:space="0" w:color="auto"/>
        <w:left w:val="none" w:sz="0" w:space="0" w:color="auto"/>
        <w:bottom w:val="none" w:sz="0" w:space="0" w:color="auto"/>
        <w:right w:val="none" w:sz="0" w:space="0" w:color="auto"/>
      </w:divBdr>
    </w:div>
    <w:div w:id="618950098">
      <w:bodyDiv w:val="1"/>
      <w:marLeft w:val="0"/>
      <w:marRight w:val="0"/>
      <w:marTop w:val="0"/>
      <w:marBottom w:val="0"/>
      <w:divBdr>
        <w:top w:val="none" w:sz="0" w:space="0" w:color="auto"/>
        <w:left w:val="none" w:sz="0" w:space="0" w:color="auto"/>
        <w:bottom w:val="none" w:sz="0" w:space="0" w:color="auto"/>
        <w:right w:val="none" w:sz="0" w:space="0" w:color="auto"/>
      </w:divBdr>
    </w:div>
    <w:div w:id="621614057">
      <w:bodyDiv w:val="1"/>
      <w:marLeft w:val="0"/>
      <w:marRight w:val="0"/>
      <w:marTop w:val="0"/>
      <w:marBottom w:val="0"/>
      <w:divBdr>
        <w:top w:val="none" w:sz="0" w:space="0" w:color="auto"/>
        <w:left w:val="none" w:sz="0" w:space="0" w:color="auto"/>
        <w:bottom w:val="none" w:sz="0" w:space="0" w:color="auto"/>
        <w:right w:val="none" w:sz="0" w:space="0" w:color="auto"/>
      </w:divBdr>
    </w:div>
    <w:div w:id="621882221">
      <w:bodyDiv w:val="1"/>
      <w:marLeft w:val="0"/>
      <w:marRight w:val="0"/>
      <w:marTop w:val="0"/>
      <w:marBottom w:val="0"/>
      <w:divBdr>
        <w:top w:val="none" w:sz="0" w:space="0" w:color="auto"/>
        <w:left w:val="none" w:sz="0" w:space="0" w:color="auto"/>
        <w:bottom w:val="none" w:sz="0" w:space="0" w:color="auto"/>
        <w:right w:val="none" w:sz="0" w:space="0" w:color="auto"/>
      </w:divBdr>
    </w:div>
    <w:div w:id="623463967">
      <w:bodyDiv w:val="1"/>
      <w:marLeft w:val="0"/>
      <w:marRight w:val="0"/>
      <w:marTop w:val="0"/>
      <w:marBottom w:val="0"/>
      <w:divBdr>
        <w:top w:val="none" w:sz="0" w:space="0" w:color="auto"/>
        <w:left w:val="none" w:sz="0" w:space="0" w:color="auto"/>
        <w:bottom w:val="none" w:sz="0" w:space="0" w:color="auto"/>
        <w:right w:val="none" w:sz="0" w:space="0" w:color="auto"/>
      </w:divBdr>
    </w:div>
    <w:div w:id="632833609">
      <w:bodyDiv w:val="1"/>
      <w:marLeft w:val="0"/>
      <w:marRight w:val="0"/>
      <w:marTop w:val="0"/>
      <w:marBottom w:val="0"/>
      <w:divBdr>
        <w:top w:val="none" w:sz="0" w:space="0" w:color="auto"/>
        <w:left w:val="none" w:sz="0" w:space="0" w:color="auto"/>
        <w:bottom w:val="none" w:sz="0" w:space="0" w:color="auto"/>
        <w:right w:val="none" w:sz="0" w:space="0" w:color="auto"/>
      </w:divBdr>
    </w:div>
    <w:div w:id="636376424">
      <w:bodyDiv w:val="1"/>
      <w:marLeft w:val="0"/>
      <w:marRight w:val="0"/>
      <w:marTop w:val="0"/>
      <w:marBottom w:val="0"/>
      <w:divBdr>
        <w:top w:val="none" w:sz="0" w:space="0" w:color="auto"/>
        <w:left w:val="none" w:sz="0" w:space="0" w:color="auto"/>
        <w:bottom w:val="none" w:sz="0" w:space="0" w:color="auto"/>
        <w:right w:val="none" w:sz="0" w:space="0" w:color="auto"/>
      </w:divBdr>
    </w:div>
    <w:div w:id="638729226">
      <w:bodyDiv w:val="1"/>
      <w:marLeft w:val="0"/>
      <w:marRight w:val="0"/>
      <w:marTop w:val="0"/>
      <w:marBottom w:val="0"/>
      <w:divBdr>
        <w:top w:val="none" w:sz="0" w:space="0" w:color="auto"/>
        <w:left w:val="none" w:sz="0" w:space="0" w:color="auto"/>
        <w:bottom w:val="none" w:sz="0" w:space="0" w:color="auto"/>
        <w:right w:val="none" w:sz="0" w:space="0" w:color="auto"/>
      </w:divBdr>
    </w:div>
    <w:div w:id="652412439">
      <w:bodyDiv w:val="1"/>
      <w:marLeft w:val="0"/>
      <w:marRight w:val="0"/>
      <w:marTop w:val="0"/>
      <w:marBottom w:val="0"/>
      <w:divBdr>
        <w:top w:val="none" w:sz="0" w:space="0" w:color="auto"/>
        <w:left w:val="none" w:sz="0" w:space="0" w:color="auto"/>
        <w:bottom w:val="none" w:sz="0" w:space="0" w:color="auto"/>
        <w:right w:val="none" w:sz="0" w:space="0" w:color="auto"/>
      </w:divBdr>
    </w:div>
    <w:div w:id="652566716">
      <w:bodyDiv w:val="1"/>
      <w:marLeft w:val="0"/>
      <w:marRight w:val="0"/>
      <w:marTop w:val="0"/>
      <w:marBottom w:val="0"/>
      <w:divBdr>
        <w:top w:val="none" w:sz="0" w:space="0" w:color="auto"/>
        <w:left w:val="none" w:sz="0" w:space="0" w:color="auto"/>
        <w:bottom w:val="none" w:sz="0" w:space="0" w:color="auto"/>
        <w:right w:val="none" w:sz="0" w:space="0" w:color="auto"/>
      </w:divBdr>
    </w:div>
    <w:div w:id="661591289">
      <w:bodyDiv w:val="1"/>
      <w:marLeft w:val="0"/>
      <w:marRight w:val="0"/>
      <w:marTop w:val="0"/>
      <w:marBottom w:val="0"/>
      <w:divBdr>
        <w:top w:val="none" w:sz="0" w:space="0" w:color="auto"/>
        <w:left w:val="none" w:sz="0" w:space="0" w:color="auto"/>
        <w:bottom w:val="none" w:sz="0" w:space="0" w:color="auto"/>
        <w:right w:val="none" w:sz="0" w:space="0" w:color="auto"/>
      </w:divBdr>
    </w:div>
    <w:div w:id="662901263">
      <w:bodyDiv w:val="1"/>
      <w:marLeft w:val="0"/>
      <w:marRight w:val="0"/>
      <w:marTop w:val="0"/>
      <w:marBottom w:val="0"/>
      <w:divBdr>
        <w:top w:val="none" w:sz="0" w:space="0" w:color="auto"/>
        <w:left w:val="none" w:sz="0" w:space="0" w:color="auto"/>
        <w:bottom w:val="none" w:sz="0" w:space="0" w:color="auto"/>
        <w:right w:val="none" w:sz="0" w:space="0" w:color="auto"/>
      </w:divBdr>
    </w:div>
    <w:div w:id="668950479">
      <w:bodyDiv w:val="1"/>
      <w:marLeft w:val="0"/>
      <w:marRight w:val="0"/>
      <w:marTop w:val="0"/>
      <w:marBottom w:val="0"/>
      <w:divBdr>
        <w:top w:val="none" w:sz="0" w:space="0" w:color="auto"/>
        <w:left w:val="none" w:sz="0" w:space="0" w:color="auto"/>
        <w:bottom w:val="none" w:sz="0" w:space="0" w:color="auto"/>
        <w:right w:val="none" w:sz="0" w:space="0" w:color="auto"/>
      </w:divBdr>
    </w:div>
    <w:div w:id="671176689">
      <w:bodyDiv w:val="1"/>
      <w:marLeft w:val="0"/>
      <w:marRight w:val="0"/>
      <w:marTop w:val="0"/>
      <w:marBottom w:val="0"/>
      <w:divBdr>
        <w:top w:val="none" w:sz="0" w:space="0" w:color="auto"/>
        <w:left w:val="none" w:sz="0" w:space="0" w:color="auto"/>
        <w:bottom w:val="none" w:sz="0" w:space="0" w:color="auto"/>
        <w:right w:val="none" w:sz="0" w:space="0" w:color="auto"/>
      </w:divBdr>
    </w:div>
    <w:div w:id="673997091">
      <w:bodyDiv w:val="1"/>
      <w:marLeft w:val="0"/>
      <w:marRight w:val="0"/>
      <w:marTop w:val="0"/>
      <w:marBottom w:val="0"/>
      <w:divBdr>
        <w:top w:val="none" w:sz="0" w:space="0" w:color="auto"/>
        <w:left w:val="none" w:sz="0" w:space="0" w:color="auto"/>
        <w:bottom w:val="none" w:sz="0" w:space="0" w:color="auto"/>
        <w:right w:val="none" w:sz="0" w:space="0" w:color="auto"/>
      </w:divBdr>
    </w:div>
    <w:div w:id="679965888">
      <w:bodyDiv w:val="1"/>
      <w:marLeft w:val="0"/>
      <w:marRight w:val="0"/>
      <w:marTop w:val="0"/>
      <w:marBottom w:val="0"/>
      <w:divBdr>
        <w:top w:val="none" w:sz="0" w:space="0" w:color="auto"/>
        <w:left w:val="none" w:sz="0" w:space="0" w:color="auto"/>
        <w:bottom w:val="none" w:sz="0" w:space="0" w:color="auto"/>
        <w:right w:val="none" w:sz="0" w:space="0" w:color="auto"/>
      </w:divBdr>
    </w:div>
    <w:div w:id="684862344">
      <w:bodyDiv w:val="1"/>
      <w:marLeft w:val="0"/>
      <w:marRight w:val="0"/>
      <w:marTop w:val="0"/>
      <w:marBottom w:val="0"/>
      <w:divBdr>
        <w:top w:val="none" w:sz="0" w:space="0" w:color="auto"/>
        <w:left w:val="none" w:sz="0" w:space="0" w:color="auto"/>
        <w:bottom w:val="none" w:sz="0" w:space="0" w:color="auto"/>
        <w:right w:val="none" w:sz="0" w:space="0" w:color="auto"/>
      </w:divBdr>
    </w:div>
    <w:div w:id="690840294">
      <w:bodyDiv w:val="1"/>
      <w:marLeft w:val="0"/>
      <w:marRight w:val="0"/>
      <w:marTop w:val="0"/>
      <w:marBottom w:val="0"/>
      <w:divBdr>
        <w:top w:val="none" w:sz="0" w:space="0" w:color="auto"/>
        <w:left w:val="none" w:sz="0" w:space="0" w:color="auto"/>
        <w:bottom w:val="none" w:sz="0" w:space="0" w:color="auto"/>
        <w:right w:val="none" w:sz="0" w:space="0" w:color="auto"/>
      </w:divBdr>
    </w:div>
    <w:div w:id="693116726">
      <w:bodyDiv w:val="1"/>
      <w:marLeft w:val="0"/>
      <w:marRight w:val="0"/>
      <w:marTop w:val="0"/>
      <w:marBottom w:val="0"/>
      <w:divBdr>
        <w:top w:val="none" w:sz="0" w:space="0" w:color="auto"/>
        <w:left w:val="none" w:sz="0" w:space="0" w:color="auto"/>
        <w:bottom w:val="none" w:sz="0" w:space="0" w:color="auto"/>
        <w:right w:val="none" w:sz="0" w:space="0" w:color="auto"/>
      </w:divBdr>
    </w:div>
    <w:div w:id="694578586">
      <w:bodyDiv w:val="1"/>
      <w:marLeft w:val="0"/>
      <w:marRight w:val="0"/>
      <w:marTop w:val="0"/>
      <w:marBottom w:val="0"/>
      <w:divBdr>
        <w:top w:val="none" w:sz="0" w:space="0" w:color="auto"/>
        <w:left w:val="none" w:sz="0" w:space="0" w:color="auto"/>
        <w:bottom w:val="none" w:sz="0" w:space="0" w:color="auto"/>
        <w:right w:val="none" w:sz="0" w:space="0" w:color="auto"/>
      </w:divBdr>
    </w:div>
    <w:div w:id="697396265">
      <w:bodyDiv w:val="1"/>
      <w:marLeft w:val="0"/>
      <w:marRight w:val="0"/>
      <w:marTop w:val="0"/>
      <w:marBottom w:val="0"/>
      <w:divBdr>
        <w:top w:val="none" w:sz="0" w:space="0" w:color="auto"/>
        <w:left w:val="none" w:sz="0" w:space="0" w:color="auto"/>
        <w:bottom w:val="none" w:sz="0" w:space="0" w:color="auto"/>
        <w:right w:val="none" w:sz="0" w:space="0" w:color="auto"/>
      </w:divBdr>
    </w:div>
    <w:div w:id="699866453">
      <w:bodyDiv w:val="1"/>
      <w:marLeft w:val="0"/>
      <w:marRight w:val="0"/>
      <w:marTop w:val="0"/>
      <w:marBottom w:val="0"/>
      <w:divBdr>
        <w:top w:val="none" w:sz="0" w:space="0" w:color="auto"/>
        <w:left w:val="none" w:sz="0" w:space="0" w:color="auto"/>
        <w:bottom w:val="none" w:sz="0" w:space="0" w:color="auto"/>
        <w:right w:val="none" w:sz="0" w:space="0" w:color="auto"/>
      </w:divBdr>
    </w:div>
    <w:div w:id="704404555">
      <w:bodyDiv w:val="1"/>
      <w:marLeft w:val="0"/>
      <w:marRight w:val="0"/>
      <w:marTop w:val="0"/>
      <w:marBottom w:val="0"/>
      <w:divBdr>
        <w:top w:val="none" w:sz="0" w:space="0" w:color="auto"/>
        <w:left w:val="none" w:sz="0" w:space="0" w:color="auto"/>
        <w:bottom w:val="none" w:sz="0" w:space="0" w:color="auto"/>
        <w:right w:val="none" w:sz="0" w:space="0" w:color="auto"/>
      </w:divBdr>
    </w:div>
    <w:div w:id="705102098">
      <w:bodyDiv w:val="1"/>
      <w:marLeft w:val="0"/>
      <w:marRight w:val="0"/>
      <w:marTop w:val="0"/>
      <w:marBottom w:val="0"/>
      <w:divBdr>
        <w:top w:val="none" w:sz="0" w:space="0" w:color="auto"/>
        <w:left w:val="none" w:sz="0" w:space="0" w:color="auto"/>
        <w:bottom w:val="none" w:sz="0" w:space="0" w:color="auto"/>
        <w:right w:val="none" w:sz="0" w:space="0" w:color="auto"/>
      </w:divBdr>
    </w:div>
    <w:div w:id="709653110">
      <w:bodyDiv w:val="1"/>
      <w:marLeft w:val="0"/>
      <w:marRight w:val="0"/>
      <w:marTop w:val="0"/>
      <w:marBottom w:val="0"/>
      <w:divBdr>
        <w:top w:val="none" w:sz="0" w:space="0" w:color="auto"/>
        <w:left w:val="none" w:sz="0" w:space="0" w:color="auto"/>
        <w:bottom w:val="none" w:sz="0" w:space="0" w:color="auto"/>
        <w:right w:val="none" w:sz="0" w:space="0" w:color="auto"/>
      </w:divBdr>
    </w:div>
    <w:div w:id="713844858">
      <w:bodyDiv w:val="1"/>
      <w:marLeft w:val="0"/>
      <w:marRight w:val="0"/>
      <w:marTop w:val="0"/>
      <w:marBottom w:val="0"/>
      <w:divBdr>
        <w:top w:val="none" w:sz="0" w:space="0" w:color="auto"/>
        <w:left w:val="none" w:sz="0" w:space="0" w:color="auto"/>
        <w:bottom w:val="none" w:sz="0" w:space="0" w:color="auto"/>
        <w:right w:val="none" w:sz="0" w:space="0" w:color="auto"/>
      </w:divBdr>
    </w:div>
    <w:div w:id="716977194">
      <w:bodyDiv w:val="1"/>
      <w:marLeft w:val="0"/>
      <w:marRight w:val="0"/>
      <w:marTop w:val="0"/>
      <w:marBottom w:val="0"/>
      <w:divBdr>
        <w:top w:val="none" w:sz="0" w:space="0" w:color="auto"/>
        <w:left w:val="none" w:sz="0" w:space="0" w:color="auto"/>
        <w:bottom w:val="none" w:sz="0" w:space="0" w:color="auto"/>
        <w:right w:val="none" w:sz="0" w:space="0" w:color="auto"/>
      </w:divBdr>
    </w:div>
    <w:div w:id="719745703">
      <w:bodyDiv w:val="1"/>
      <w:marLeft w:val="0"/>
      <w:marRight w:val="0"/>
      <w:marTop w:val="0"/>
      <w:marBottom w:val="0"/>
      <w:divBdr>
        <w:top w:val="none" w:sz="0" w:space="0" w:color="auto"/>
        <w:left w:val="none" w:sz="0" w:space="0" w:color="auto"/>
        <w:bottom w:val="none" w:sz="0" w:space="0" w:color="auto"/>
        <w:right w:val="none" w:sz="0" w:space="0" w:color="auto"/>
      </w:divBdr>
    </w:div>
    <w:div w:id="725955451">
      <w:bodyDiv w:val="1"/>
      <w:marLeft w:val="0"/>
      <w:marRight w:val="0"/>
      <w:marTop w:val="0"/>
      <w:marBottom w:val="0"/>
      <w:divBdr>
        <w:top w:val="none" w:sz="0" w:space="0" w:color="auto"/>
        <w:left w:val="none" w:sz="0" w:space="0" w:color="auto"/>
        <w:bottom w:val="none" w:sz="0" w:space="0" w:color="auto"/>
        <w:right w:val="none" w:sz="0" w:space="0" w:color="auto"/>
      </w:divBdr>
    </w:div>
    <w:div w:id="728387016">
      <w:bodyDiv w:val="1"/>
      <w:marLeft w:val="0"/>
      <w:marRight w:val="0"/>
      <w:marTop w:val="0"/>
      <w:marBottom w:val="0"/>
      <w:divBdr>
        <w:top w:val="none" w:sz="0" w:space="0" w:color="auto"/>
        <w:left w:val="none" w:sz="0" w:space="0" w:color="auto"/>
        <w:bottom w:val="none" w:sz="0" w:space="0" w:color="auto"/>
        <w:right w:val="none" w:sz="0" w:space="0" w:color="auto"/>
      </w:divBdr>
    </w:div>
    <w:div w:id="736053734">
      <w:bodyDiv w:val="1"/>
      <w:marLeft w:val="0"/>
      <w:marRight w:val="0"/>
      <w:marTop w:val="0"/>
      <w:marBottom w:val="0"/>
      <w:divBdr>
        <w:top w:val="none" w:sz="0" w:space="0" w:color="auto"/>
        <w:left w:val="none" w:sz="0" w:space="0" w:color="auto"/>
        <w:bottom w:val="none" w:sz="0" w:space="0" w:color="auto"/>
        <w:right w:val="none" w:sz="0" w:space="0" w:color="auto"/>
      </w:divBdr>
    </w:div>
    <w:div w:id="747729414">
      <w:bodyDiv w:val="1"/>
      <w:marLeft w:val="0"/>
      <w:marRight w:val="0"/>
      <w:marTop w:val="0"/>
      <w:marBottom w:val="0"/>
      <w:divBdr>
        <w:top w:val="none" w:sz="0" w:space="0" w:color="auto"/>
        <w:left w:val="none" w:sz="0" w:space="0" w:color="auto"/>
        <w:bottom w:val="none" w:sz="0" w:space="0" w:color="auto"/>
        <w:right w:val="none" w:sz="0" w:space="0" w:color="auto"/>
      </w:divBdr>
    </w:div>
    <w:div w:id="748427419">
      <w:bodyDiv w:val="1"/>
      <w:marLeft w:val="0"/>
      <w:marRight w:val="0"/>
      <w:marTop w:val="0"/>
      <w:marBottom w:val="0"/>
      <w:divBdr>
        <w:top w:val="none" w:sz="0" w:space="0" w:color="auto"/>
        <w:left w:val="none" w:sz="0" w:space="0" w:color="auto"/>
        <w:bottom w:val="none" w:sz="0" w:space="0" w:color="auto"/>
        <w:right w:val="none" w:sz="0" w:space="0" w:color="auto"/>
      </w:divBdr>
    </w:div>
    <w:div w:id="754665616">
      <w:bodyDiv w:val="1"/>
      <w:marLeft w:val="0"/>
      <w:marRight w:val="0"/>
      <w:marTop w:val="0"/>
      <w:marBottom w:val="0"/>
      <w:divBdr>
        <w:top w:val="none" w:sz="0" w:space="0" w:color="auto"/>
        <w:left w:val="none" w:sz="0" w:space="0" w:color="auto"/>
        <w:bottom w:val="none" w:sz="0" w:space="0" w:color="auto"/>
        <w:right w:val="none" w:sz="0" w:space="0" w:color="auto"/>
      </w:divBdr>
    </w:div>
    <w:div w:id="758529738">
      <w:bodyDiv w:val="1"/>
      <w:marLeft w:val="0"/>
      <w:marRight w:val="0"/>
      <w:marTop w:val="0"/>
      <w:marBottom w:val="0"/>
      <w:divBdr>
        <w:top w:val="none" w:sz="0" w:space="0" w:color="auto"/>
        <w:left w:val="none" w:sz="0" w:space="0" w:color="auto"/>
        <w:bottom w:val="none" w:sz="0" w:space="0" w:color="auto"/>
        <w:right w:val="none" w:sz="0" w:space="0" w:color="auto"/>
      </w:divBdr>
    </w:div>
    <w:div w:id="759640727">
      <w:bodyDiv w:val="1"/>
      <w:marLeft w:val="0"/>
      <w:marRight w:val="0"/>
      <w:marTop w:val="0"/>
      <w:marBottom w:val="0"/>
      <w:divBdr>
        <w:top w:val="none" w:sz="0" w:space="0" w:color="auto"/>
        <w:left w:val="none" w:sz="0" w:space="0" w:color="auto"/>
        <w:bottom w:val="none" w:sz="0" w:space="0" w:color="auto"/>
        <w:right w:val="none" w:sz="0" w:space="0" w:color="auto"/>
      </w:divBdr>
    </w:div>
    <w:div w:id="761487057">
      <w:bodyDiv w:val="1"/>
      <w:marLeft w:val="0"/>
      <w:marRight w:val="0"/>
      <w:marTop w:val="0"/>
      <w:marBottom w:val="0"/>
      <w:divBdr>
        <w:top w:val="none" w:sz="0" w:space="0" w:color="auto"/>
        <w:left w:val="none" w:sz="0" w:space="0" w:color="auto"/>
        <w:bottom w:val="none" w:sz="0" w:space="0" w:color="auto"/>
        <w:right w:val="none" w:sz="0" w:space="0" w:color="auto"/>
      </w:divBdr>
    </w:div>
    <w:div w:id="764613635">
      <w:bodyDiv w:val="1"/>
      <w:marLeft w:val="0"/>
      <w:marRight w:val="0"/>
      <w:marTop w:val="0"/>
      <w:marBottom w:val="0"/>
      <w:divBdr>
        <w:top w:val="none" w:sz="0" w:space="0" w:color="auto"/>
        <w:left w:val="none" w:sz="0" w:space="0" w:color="auto"/>
        <w:bottom w:val="none" w:sz="0" w:space="0" w:color="auto"/>
        <w:right w:val="none" w:sz="0" w:space="0" w:color="auto"/>
      </w:divBdr>
    </w:div>
    <w:div w:id="768431214">
      <w:bodyDiv w:val="1"/>
      <w:marLeft w:val="0"/>
      <w:marRight w:val="0"/>
      <w:marTop w:val="0"/>
      <w:marBottom w:val="0"/>
      <w:divBdr>
        <w:top w:val="none" w:sz="0" w:space="0" w:color="auto"/>
        <w:left w:val="none" w:sz="0" w:space="0" w:color="auto"/>
        <w:bottom w:val="none" w:sz="0" w:space="0" w:color="auto"/>
        <w:right w:val="none" w:sz="0" w:space="0" w:color="auto"/>
      </w:divBdr>
    </w:div>
    <w:div w:id="777717742">
      <w:bodyDiv w:val="1"/>
      <w:marLeft w:val="0"/>
      <w:marRight w:val="0"/>
      <w:marTop w:val="0"/>
      <w:marBottom w:val="0"/>
      <w:divBdr>
        <w:top w:val="none" w:sz="0" w:space="0" w:color="auto"/>
        <w:left w:val="none" w:sz="0" w:space="0" w:color="auto"/>
        <w:bottom w:val="none" w:sz="0" w:space="0" w:color="auto"/>
        <w:right w:val="none" w:sz="0" w:space="0" w:color="auto"/>
      </w:divBdr>
    </w:div>
    <w:div w:id="783425891">
      <w:bodyDiv w:val="1"/>
      <w:marLeft w:val="0"/>
      <w:marRight w:val="0"/>
      <w:marTop w:val="0"/>
      <w:marBottom w:val="0"/>
      <w:divBdr>
        <w:top w:val="none" w:sz="0" w:space="0" w:color="auto"/>
        <w:left w:val="none" w:sz="0" w:space="0" w:color="auto"/>
        <w:bottom w:val="none" w:sz="0" w:space="0" w:color="auto"/>
        <w:right w:val="none" w:sz="0" w:space="0" w:color="auto"/>
      </w:divBdr>
    </w:div>
    <w:div w:id="789326488">
      <w:bodyDiv w:val="1"/>
      <w:marLeft w:val="0"/>
      <w:marRight w:val="0"/>
      <w:marTop w:val="0"/>
      <w:marBottom w:val="0"/>
      <w:divBdr>
        <w:top w:val="none" w:sz="0" w:space="0" w:color="auto"/>
        <w:left w:val="none" w:sz="0" w:space="0" w:color="auto"/>
        <w:bottom w:val="none" w:sz="0" w:space="0" w:color="auto"/>
        <w:right w:val="none" w:sz="0" w:space="0" w:color="auto"/>
      </w:divBdr>
    </w:div>
    <w:div w:id="790593364">
      <w:bodyDiv w:val="1"/>
      <w:marLeft w:val="0"/>
      <w:marRight w:val="0"/>
      <w:marTop w:val="0"/>
      <w:marBottom w:val="0"/>
      <w:divBdr>
        <w:top w:val="none" w:sz="0" w:space="0" w:color="auto"/>
        <w:left w:val="none" w:sz="0" w:space="0" w:color="auto"/>
        <w:bottom w:val="none" w:sz="0" w:space="0" w:color="auto"/>
        <w:right w:val="none" w:sz="0" w:space="0" w:color="auto"/>
      </w:divBdr>
    </w:div>
    <w:div w:id="798767799">
      <w:bodyDiv w:val="1"/>
      <w:marLeft w:val="0"/>
      <w:marRight w:val="0"/>
      <w:marTop w:val="0"/>
      <w:marBottom w:val="0"/>
      <w:divBdr>
        <w:top w:val="none" w:sz="0" w:space="0" w:color="auto"/>
        <w:left w:val="none" w:sz="0" w:space="0" w:color="auto"/>
        <w:bottom w:val="none" w:sz="0" w:space="0" w:color="auto"/>
        <w:right w:val="none" w:sz="0" w:space="0" w:color="auto"/>
      </w:divBdr>
    </w:div>
    <w:div w:id="806051146">
      <w:bodyDiv w:val="1"/>
      <w:marLeft w:val="0"/>
      <w:marRight w:val="0"/>
      <w:marTop w:val="0"/>
      <w:marBottom w:val="0"/>
      <w:divBdr>
        <w:top w:val="none" w:sz="0" w:space="0" w:color="auto"/>
        <w:left w:val="none" w:sz="0" w:space="0" w:color="auto"/>
        <w:bottom w:val="none" w:sz="0" w:space="0" w:color="auto"/>
        <w:right w:val="none" w:sz="0" w:space="0" w:color="auto"/>
      </w:divBdr>
    </w:div>
    <w:div w:id="808590854">
      <w:bodyDiv w:val="1"/>
      <w:marLeft w:val="0"/>
      <w:marRight w:val="0"/>
      <w:marTop w:val="0"/>
      <w:marBottom w:val="0"/>
      <w:divBdr>
        <w:top w:val="none" w:sz="0" w:space="0" w:color="auto"/>
        <w:left w:val="none" w:sz="0" w:space="0" w:color="auto"/>
        <w:bottom w:val="none" w:sz="0" w:space="0" w:color="auto"/>
        <w:right w:val="none" w:sz="0" w:space="0" w:color="auto"/>
      </w:divBdr>
    </w:div>
    <w:div w:id="812528792">
      <w:bodyDiv w:val="1"/>
      <w:marLeft w:val="0"/>
      <w:marRight w:val="0"/>
      <w:marTop w:val="0"/>
      <w:marBottom w:val="0"/>
      <w:divBdr>
        <w:top w:val="none" w:sz="0" w:space="0" w:color="auto"/>
        <w:left w:val="none" w:sz="0" w:space="0" w:color="auto"/>
        <w:bottom w:val="none" w:sz="0" w:space="0" w:color="auto"/>
        <w:right w:val="none" w:sz="0" w:space="0" w:color="auto"/>
      </w:divBdr>
    </w:div>
    <w:div w:id="813522016">
      <w:bodyDiv w:val="1"/>
      <w:marLeft w:val="0"/>
      <w:marRight w:val="0"/>
      <w:marTop w:val="0"/>
      <w:marBottom w:val="0"/>
      <w:divBdr>
        <w:top w:val="none" w:sz="0" w:space="0" w:color="auto"/>
        <w:left w:val="none" w:sz="0" w:space="0" w:color="auto"/>
        <w:bottom w:val="none" w:sz="0" w:space="0" w:color="auto"/>
        <w:right w:val="none" w:sz="0" w:space="0" w:color="auto"/>
      </w:divBdr>
    </w:div>
    <w:div w:id="814763420">
      <w:bodyDiv w:val="1"/>
      <w:marLeft w:val="0"/>
      <w:marRight w:val="0"/>
      <w:marTop w:val="0"/>
      <w:marBottom w:val="0"/>
      <w:divBdr>
        <w:top w:val="none" w:sz="0" w:space="0" w:color="auto"/>
        <w:left w:val="none" w:sz="0" w:space="0" w:color="auto"/>
        <w:bottom w:val="none" w:sz="0" w:space="0" w:color="auto"/>
        <w:right w:val="none" w:sz="0" w:space="0" w:color="auto"/>
      </w:divBdr>
    </w:div>
    <w:div w:id="815533630">
      <w:bodyDiv w:val="1"/>
      <w:marLeft w:val="0"/>
      <w:marRight w:val="0"/>
      <w:marTop w:val="0"/>
      <w:marBottom w:val="0"/>
      <w:divBdr>
        <w:top w:val="none" w:sz="0" w:space="0" w:color="auto"/>
        <w:left w:val="none" w:sz="0" w:space="0" w:color="auto"/>
        <w:bottom w:val="none" w:sz="0" w:space="0" w:color="auto"/>
        <w:right w:val="none" w:sz="0" w:space="0" w:color="auto"/>
      </w:divBdr>
    </w:div>
    <w:div w:id="816147309">
      <w:bodyDiv w:val="1"/>
      <w:marLeft w:val="0"/>
      <w:marRight w:val="0"/>
      <w:marTop w:val="0"/>
      <w:marBottom w:val="0"/>
      <w:divBdr>
        <w:top w:val="none" w:sz="0" w:space="0" w:color="auto"/>
        <w:left w:val="none" w:sz="0" w:space="0" w:color="auto"/>
        <w:bottom w:val="none" w:sz="0" w:space="0" w:color="auto"/>
        <w:right w:val="none" w:sz="0" w:space="0" w:color="auto"/>
      </w:divBdr>
    </w:div>
    <w:div w:id="818039651">
      <w:bodyDiv w:val="1"/>
      <w:marLeft w:val="0"/>
      <w:marRight w:val="0"/>
      <w:marTop w:val="0"/>
      <w:marBottom w:val="0"/>
      <w:divBdr>
        <w:top w:val="none" w:sz="0" w:space="0" w:color="auto"/>
        <w:left w:val="none" w:sz="0" w:space="0" w:color="auto"/>
        <w:bottom w:val="none" w:sz="0" w:space="0" w:color="auto"/>
        <w:right w:val="none" w:sz="0" w:space="0" w:color="auto"/>
      </w:divBdr>
    </w:div>
    <w:div w:id="821771285">
      <w:bodyDiv w:val="1"/>
      <w:marLeft w:val="0"/>
      <w:marRight w:val="0"/>
      <w:marTop w:val="0"/>
      <w:marBottom w:val="0"/>
      <w:divBdr>
        <w:top w:val="none" w:sz="0" w:space="0" w:color="auto"/>
        <w:left w:val="none" w:sz="0" w:space="0" w:color="auto"/>
        <w:bottom w:val="none" w:sz="0" w:space="0" w:color="auto"/>
        <w:right w:val="none" w:sz="0" w:space="0" w:color="auto"/>
      </w:divBdr>
    </w:div>
    <w:div w:id="832531505">
      <w:bodyDiv w:val="1"/>
      <w:marLeft w:val="0"/>
      <w:marRight w:val="0"/>
      <w:marTop w:val="0"/>
      <w:marBottom w:val="0"/>
      <w:divBdr>
        <w:top w:val="none" w:sz="0" w:space="0" w:color="auto"/>
        <w:left w:val="none" w:sz="0" w:space="0" w:color="auto"/>
        <w:bottom w:val="none" w:sz="0" w:space="0" w:color="auto"/>
        <w:right w:val="none" w:sz="0" w:space="0" w:color="auto"/>
      </w:divBdr>
    </w:div>
    <w:div w:id="835875619">
      <w:bodyDiv w:val="1"/>
      <w:marLeft w:val="0"/>
      <w:marRight w:val="0"/>
      <w:marTop w:val="0"/>
      <w:marBottom w:val="0"/>
      <w:divBdr>
        <w:top w:val="none" w:sz="0" w:space="0" w:color="auto"/>
        <w:left w:val="none" w:sz="0" w:space="0" w:color="auto"/>
        <w:bottom w:val="none" w:sz="0" w:space="0" w:color="auto"/>
        <w:right w:val="none" w:sz="0" w:space="0" w:color="auto"/>
      </w:divBdr>
    </w:div>
    <w:div w:id="836572672">
      <w:bodyDiv w:val="1"/>
      <w:marLeft w:val="0"/>
      <w:marRight w:val="0"/>
      <w:marTop w:val="0"/>
      <w:marBottom w:val="0"/>
      <w:divBdr>
        <w:top w:val="none" w:sz="0" w:space="0" w:color="auto"/>
        <w:left w:val="none" w:sz="0" w:space="0" w:color="auto"/>
        <w:bottom w:val="none" w:sz="0" w:space="0" w:color="auto"/>
        <w:right w:val="none" w:sz="0" w:space="0" w:color="auto"/>
      </w:divBdr>
    </w:div>
    <w:div w:id="837110033">
      <w:bodyDiv w:val="1"/>
      <w:marLeft w:val="0"/>
      <w:marRight w:val="0"/>
      <w:marTop w:val="0"/>
      <w:marBottom w:val="0"/>
      <w:divBdr>
        <w:top w:val="none" w:sz="0" w:space="0" w:color="auto"/>
        <w:left w:val="none" w:sz="0" w:space="0" w:color="auto"/>
        <w:bottom w:val="none" w:sz="0" w:space="0" w:color="auto"/>
        <w:right w:val="none" w:sz="0" w:space="0" w:color="auto"/>
      </w:divBdr>
    </w:div>
    <w:div w:id="840388571">
      <w:bodyDiv w:val="1"/>
      <w:marLeft w:val="0"/>
      <w:marRight w:val="0"/>
      <w:marTop w:val="0"/>
      <w:marBottom w:val="0"/>
      <w:divBdr>
        <w:top w:val="none" w:sz="0" w:space="0" w:color="auto"/>
        <w:left w:val="none" w:sz="0" w:space="0" w:color="auto"/>
        <w:bottom w:val="none" w:sz="0" w:space="0" w:color="auto"/>
        <w:right w:val="none" w:sz="0" w:space="0" w:color="auto"/>
      </w:divBdr>
    </w:div>
    <w:div w:id="843400656">
      <w:bodyDiv w:val="1"/>
      <w:marLeft w:val="0"/>
      <w:marRight w:val="0"/>
      <w:marTop w:val="0"/>
      <w:marBottom w:val="0"/>
      <w:divBdr>
        <w:top w:val="none" w:sz="0" w:space="0" w:color="auto"/>
        <w:left w:val="none" w:sz="0" w:space="0" w:color="auto"/>
        <w:bottom w:val="none" w:sz="0" w:space="0" w:color="auto"/>
        <w:right w:val="none" w:sz="0" w:space="0" w:color="auto"/>
      </w:divBdr>
    </w:div>
    <w:div w:id="850024241">
      <w:bodyDiv w:val="1"/>
      <w:marLeft w:val="0"/>
      <w:marRight w:val="0"/>
      <w:marTop w:val="0"/>
      <w:marBottom w:val="0"/>
      <w:divBdr>
        <w:top w:val="none" w:sz="0" w:space="0" w:color="auto"/>
        <w:left w:val="none" w:sz="0" w:space="0" w:color="auto"/>
        <w:bottom w:val="none" w:sz="0" w:space="0" w:color="auto"/>
        <w:right w:val="none" w:sz="0" w:space="0" w:color="auto"/>
      </w:divBdr>
    </w:div>
    <w:div w:id="859047410">
      <w:bodyDiv w:val="1"/>
      <w:marLeft w:val="0"/>
      <w:marRight w:val="0"/>
      <w:marTop w:val="0"/>
      <w:marBottom w:val="0"/>
      <w:divBdr>
        <w:top w:val="none" w:sz="0" w:space="0" w:color="auto"/>
        <w:left w:val="none" w:sz="0" w:space="0" w:color="auto"/>
        <w:bottom w:val="none" w:sz="0" w:space="0" w:color="auto"/>
        <w:right w:val="none" w:sz="0" w:space="0" w:color="auto"/>
      </w:divBdr>
    </w:div>
    <w:div w:id="862741980">
      <w:bodyDiv w:val="1"/>
      <w:marLeft w:val="0"/>
      <w:marRight w:val="0"/>
      <w:marTop w:val="0"/>
      <w:marBottom w:val="0"/>
      <w:divBdr>
        <w:top w:val="none" w:sz="0" w:space="0" w:color="auto"/>
        <w:left w:val="none" w:sz="0" w:space="0" w:color="auto"/>
        <w:bottom w:val="none" w:sz="0" w:space="0" w:color="auto"/>
        <w:right w:val="none" w:sz="0" w:space="0" w:color="auto"/>
      </w:divBdr>
      <w:divsChild>
        <w:div w:id="913466403">
          <w:marLeft w:val="0"/>
          <w:marRight w:val="0"/>
          <w:marTop w:val="0"/>
          <w:marBottom w:val="0"/>
          <w:divBdr>
            <w:top w:val="none" w:sz="0" w:space="0" w:color="auto"/>
            <w:left w:val="none" w:sz="0" w:space="0" w:color="auto"/>
            <w:bottom w:val="none" w:sz="0" w:space="0" w:color="auto"/>
            <w:right w:val="none" w:sz="0" w:space="0" w:color="auto"/>
          </w:divBdr>
        </w:div>
      </w:divsChild>
    </w:div>
    <w:div w:id="867959694">
      <w:bodyDiv w:val="1"/>
      <w:marLeft w:val="0"/>
      <w:marRight w:val="0"/>
      <w:marTop w:val="0"/>
      <w:marBottom w:val="0"/>
      <w:divBdr>
        <w:top w:val="none" w:sz="0" w:space="0" w:color="auto"/>
        <w:left w:val="none" w:sz="0" w:space="0" w:color="auto"/>
        <w:bottom w:val="none" w:sz="0" w:space="0" w:color="auto"/>
        <w:right w:val="none" w:sz="0" w:space="0" w:color="auto"/>
      </w:divBdr>
    </w:div>
    <w:div w:id="870845777">
      <w:bodyDiv w:val="1"/>
      <w:marLeft w:val="0"/>
      <w:marRight w:val="0"/>
      <w:marTop w:val="0"/>
      <w:marBottom w:val="0"/>
      <w:divBdr>
        <w:top w:val="none" w:sz="0" w:space="0" w:color="auto"/>
        <w:left w:val="none" w:sz="0" w:space="0" w:color="auto"/>
        <w:bottom w:val="none" w:sz="0" w:space="0" w:color="auto"/>
        <w:right w:val="none" w:sz="0" w:space="0" w:color="auto"/>
      </w:divBdr>
    </w:div>
    <w:div w:id="880242214">
      <w:bodyDiv w:val="1"/>
      <w:marLeft w:val="0"/>
      <w:marRight w:val="0"/>
      <w:marTop w:val="0"/>
      <w:marBottom w:val="0"/>
      <w:divBdr>
        <w:top w:val="none" w:sz="0" w:space="0" w:color="auto"/>
        <w:left w:val="none" w:sz="0" w:space="0" w:color="auto"/>
        <w:bottom w:val="none" w:sz="0" w:space="0" w:color="auto"/>
        <w:right w:val="none" w:sz="0" w:space="0" w:color="auto"/>
      </w:divBdr>
    </w:div>
    <w:div w:id="881289431">
      <w:bodyDiv w:val="1"/>
      <w:marLeft w:val="0"/>
      <w:marRight w:val="0"/>
      <w:marTop w:val="0"/>
      <w:marBottom w:val="0"/>
      <w:divBdr>
        <w:top w:val="none" w:sz="0" w:space="0" w:color="auto"/>
        <w:left w:val="none" w:sz="0" w:space="0" w:color="auto"/>
        <w:bottom w:val="none" w:sz="0" w:space="0" w:color="auto"/>
        <w:right w:val="none" w:sz="0" w:space="0" w:color="auto"/>
      </w:divBdr>
    </w:div>
    <w:div w:id="886573483">
      <w:bodyDiv w:val="1"/>
      <w:marLeft w:val="0"/>
      <w:marRight w:val="0"/>
      <w:marTop w:val="0"/>
      <w:marBottom w:val="0"/>
      <w:divBdr>
        <w:top w:val="none" w:sz="0" w:space="0" w:color="auto"/>
        <w:left w:val="none" w:sz="0" w:space="0" w:color="auto"/>
        <w:bottom w:val="none" w:sz="0" w:space="0" w:color="auto"/>
        <w:right w:val="none" w:sz="0" w:space="0" w:color="auto"/>
      </w:divBdr>
      <w:divsChild>
        <w:div w:id="23098457">
          <w:marLeft w:val="480"/>
          <w:marRight w:val="0"/>
          <w:marTop w:val="0"/>
          <w:marBottom w:val="0"/>
          <w:divBdr>
            <w:top w:val="none" w:sz="0" w:space="0" w:color="auto"/>
            <w:left w:val="none" w:sz="0" w:space="0" w:color="auto"/>
            <w:bottom w:val="none" w:sz="0" w:space="0" w:color="auto"/>
            <w:right w:val="none" w:sz="0" w:space="0" w:color="auto"/>
          </w:divBdr>
        </w:div>
        <w:div w:id="534390171">
          <w:marLeft w:val="480"/>
          <w:marRight w:val="0"/>
          <w:marTop w:val="0"/>
          <w:marBottom w:val="0"/>
          <w:divBdr>
            <w:top w:val="none" w:sz="0" w:space="0" w:color="auto"/>
            <w:left w:val="none" w:sz="0" w:space="0" w:color="auto"/>
            <w:bottom w:val="none" w:sz="0" w:space="0" w:color="auto"/>
            <w:right w:val="none" w:sz="0" w:space="0" w:color="auto"/>
          </w:divBdr>
        </w:div>
        <w:div w:id="1285304409">
          <w:marLeft w:val="480"/>
          <w:marRight w:val="0"/>
          <w:marTop w:val="0"/>
          <w:marBottom w:val="0"/>
          <w:divBdr>
            <w:top w:val="none" w:sz="0" w:space="0" w:color="auto"/>
            <w:left w:val="none" w:sz="0" w:space="0" w:color="auto"/>
            <w:bottom w:val="none" w:sz="0" w:space="0" w:color="auto"/>
            <w:right w:val="none" w:sz="0" w:space="0" w:color="auto"/>
          </w:divBdr>
        </w:div>
        <w:div w:id="1318653748">
          <w:marLeft w:val="480"/>
          <w:marRight w:val="0"/>
          <w:marTop w:val="0"/>
          <w:marBottom w:val="0"/>
          <w:divBdr>
            <w:top w:val="none" w:sz="0" w:space="0" w:color="auto"/>
            <w:left w:val="none" w:sz="0" w:space="0" w:color="auto"/>
            <w:bottom w:val="none" w:sz="0" w:space="0" w:color="auto"/>
            <w:right w:val="none" w:sz="0" w:space="0" w:color="auto"/>
          </w:divBdr>
        </w:div>
        <w:div w:id="1374573672">
          <w:marLeft w:val="480"/>
          <w:marRight w:val="0"/>
          <w:marTop w:val="0"/>
          <w:marBottom w:val="0"/>
          <w:divBdr>
            <w:top w:val="none" w:sz="0" w:space="0" w:color="auto"/>
            <w:left w:val="none" w:sz="0" w:space="0" w:color="auto"/>
            <w:bottom w:val="none" w:sz="0" w:space="0" w:color="auto"/>
            <w:right w:val="none" w:sz="0" w:space="0" w:color="auto"/>
          </w:divBdr>
        </w:div>
      </w:divsChild>
    </w:div>
    <w:div w:id="888497699">
      <w:bodyDiv w:val="1"/>
      <w:marLeft w:val="0"/>
      <w:marRight w:val="0"/>
      <w:marTop w:val="0"/>
      <w:marBottom w:val="0"/>
      <w:divBdr>
        <w:top w:val="none" w:sz="0" w:space="0" w:color="auto"/>
        <w:left w:val="none" w:sz="0" w:space="0" w:color="auto"/>
        <w:bottom w:val="none" w:sz="0" w:space="0" w:color="auto"/>
        <w:right w:val="none" w:sz="0" w:space="0" w:color="auto"/>
      </w:divBdr>
    </w:div>
    <w:div w:id="892159850">
      <w:bodyDiv w:val="1"/>
      <w:marLeft w:val="0"/>
      <w:marRight w:val="0"/>
      <w:marTop w:val="0"/>
      <w:marBottom w:val="0"/>
      <w:divBdr>
        <w:top w:val="none" w:sz="0" w:space="0" w:color="auto"/>
        <w:left w:val="none" w:sz="0" w:space="0" w:color="auto"/>
        <w:bottom w:val="none" w:sz="0" w:space="0" w:color="auto"/>
        <w:right w:val="none" w:sz="0" w:space="0" w:color="auto"/>
      </w:divBdr>
    </w:div>
    <w:div w:id="906962694">
      <w:bodyDiv w:val="1"/>
      <w:marLeft w:val="0"/>
      <w:marRight w:val="0"/>
      <w:marTop w:val="0"/>
      <w:marBottom w:val="0"/>
      <w:divBdr>
        <w:top w:val="none" w:sz="0" w:space="0" w:color="auto"/>
        <w:left w:val="none" w:sz="0" w:space="0" w:color="auto"/>
        <w:bottom w:val="none" w:sz="0" w:space="0" w:color="auto"/>
        <w:right w:val="none" w:sz="0" w:space="0" w:color="auto"/>
      </w:divBdr>
    </w:div>
    <w:div w:id="907150812">
      <w:bodyDiv w:val="1"/>
      <w:marLeft w:val="0"/>
      <w:marRight w:val="0"/>
      <w:marTop w:val="0"/>
      <w:marBottom w:val="0"/>
      <w:divBdr>
        <w:top w:val="none" w:sz="0" w:space="0" w:color="auto"/>
        <w:left w:val="none" w:sz="0" w:space="0" w:color="auto"/>
        <w:bottom w:val="none" w:sz="0" w:space="0" w:color="auto"/>
        <w:right w:val="none" w:sz="0" w:space="0" w:color="auto"/>
      </w:divBdr>
    </w:div>
    <w:div w:id="908615641">
      <w:bodyDiv w:val="1"/>
      <w:marLeft w:val="0"/>
      <w:marRight w:val="0"/>
      <w:marTop w:val="0"/>
      <w:marBottom w:val="0"/>
      <w:divBdr>
        <w:top w:val="none" w:sz="0" w:space="0" w:color="auto"/>
        <w:left w:val="none" w:sz="0" w:space="0" w:color="auto"/>
        <w:bottom w:val="none" w:sz="0" w:space="0" w:color="auto"/>
        <w:right w:val="none" w:sz="0" w:space="0" w:color="auto"/>
      </w:divBdr>
    </w:div>
    <w:div w:id="910889447">
      <w:bodyDiv w:val="1"/>
      <w:marLeft w:val="0"/>
      <w:marRight w:val="0"/>
      <w:marTop w:val="0"/>
      <w:marBottom w:val="0"/>
      <w:divBdr>
        <w:top w:val="none" w:sz="0" w:space="0" w:color="auto"/>
        <w:left w:val="none" w:sz="0" w:space="0" w:color="auto"/>
        <w:bottom w:val="none" w:sz="0" w:space="0" w:color="auto"/>
        <w:right w:val="none" w:sz="0" w:space="0" w:color="auto"/>
      </w:divBdr>
    </w:div>
    <w:div w:id="919486656">
      <w:bodyDiv w:val="1"/>
      <w:marLeft w:val="0"/>
      <w:marRight w:val="0"/>
      <w:marTop w:val="0"/>
      <w:marBottom w:val="0"/>
      <w:divBdr>
        <w:top w:val="none" w:sz="0" w:space="0" w:color="auto"/>
        <w:left w:val="none" w:sz="0" w:space="0" w:color="auto"/>
        <w:bottom w:val="none" w:sz="0" w:space="0" w:color="auto"/>
        <w:right w:val="none" w:sz="0" w:space="0" w:color="auto"/>
      </w:divBdr>
    </w:div>
    <w:div w:id="921258791">
      <w:bodyDiv w:val="1"/>
      <w:marLeft w:val="0"/>
      <w:marRight w:val="0"/>
      <w:marTop w:val="0"/>
      <w:marBottom w:val="0"/>
      <w:divBdr>
        <w:top w:val="none" w:sz="0" w:space="0" w:color="auto"/>
        <w:left w:val="none" w:sz="0" w:space="0" w:color="auto"/>
        <w:bottom w:val="none" w:sz="0" w:space="0" w:color="auto"/>
        <w:right w:val="none" w:sz="0" w:space="0" w:color="auto"/>
      </w:divBdr>
    </w:div>
    <w:div w:id="922641315">
      <w:bodyDiv w:val="1"/>
      <w:marLeft w:val="0"/>
      <w:marRight w:val="0"/>
      <w:marTop w:val="0"/>
      <w:marBottom w:val="0"/>
      <w:divBdr>
        <w:top w:val="none" w:sz="0" w:space="0" w:color="auto"/>
        <w:left w:val="none" w:sz="0" w:space="0" w:color="auto"/>
        <w:bottom w:val="none" w:sz="0" w:space="0" w:color="auto"/>
        <w:right w:val="none" w:sz="0" w:space="0" w:color="auto"/>
      </w:divBdr>
    </w:div>
    <w:div w:id="930550239">
      <w:bodyDiv w:val="1"/>
      <w:marLeft w:val="0"/>
      <w:marRight w:val="0"/>
      <w:marTop w:val="0"/>
      <w:marBottom w:val="0"/>
      <w:divBdr>
        <w:top w:val="none" w:sz="0" w:space="0" w:color="auto"/>
        <w:left w:val="none" w:sz="0" w:space="0" w:color="auto"/>
        <w:bottom w:val="none" w:sz="0" w:space="0" w:color="auto"/>
        <w:right w:val="none" w:sz="0" w:space="0" w:color="auto"/>
      </w:divBdr>
    </w:div>
    <w:div w:id="938370599">
      <w:bodyDiv w:val="1"/>
      <w:marLeft w:val="0"/>
      <w:marRight w:val="0"/>
      <w:marTop w:val="0"/>
      <w:marBottom w:val="0"/>
      <w:divBdr>
        <w:top w:val="none" w:sz="0" w:space="0" w:color="auto"/>
        <w:left w:val="none" w:sz="0" w:space="0" w:color="auto"/>
        <w:bottom w:val="none" w:sz="0" w:space="0" w:color="auto"/>
        <w:right w:val="none" w:sz="0" w:space="0" w:color="auto"/>
      </w:divBdr>
    </w:div>
    <w:div w:id="950209960">
      <w:bodyDiv w:val="1"/>
      <w:marLeft w:val="0"/>
      <w:marRight w:val="0"/>
      <w:marTop w:val="0"/>
      <w:marBottom w:val="0"/>
      <w:divBdr>
        <w:top w:val="none" w:sz="0" w:space="0" w:color="auto"/>
        <w:left w:val="none" w:sz="0" w:space="0" w:color="auto"/>
        <w:bottom w:val="none" w:sz="0" w:space="0" w:color="auto"/>
        <w:right w:val="none" w:sz="0" w:space="0" w:color="auto"/>
      </w:divBdr>
    </w:div>
    <w:div w:id="950820364">
      <w:bodyDiv w:val="1"/>
      <w:marLeft w:val="0"/>
      <w:marRight w:val="0"/>
      <w:marTop w:val="0"/>
      <w:marBottom w:val="0"/>
      <w:divBdr>
        <w:top w:val="none" w:sz="0" w:space="0" w:color="auto"/>
        <w:left w:val="none" w:sz="0" w:space="0" w:color="auto"/>
        <w:bottom w:val="none" w:sz="0" w:space="0" w:color="auto"/>
        <w:right w:val="none" w:sz="0" w:space="0" w:color="auto"/>
      </w:divBdr>
    </w:div>
    <w:div w:id="952784162">
      <w:bodyDiv w:val="1"/>
      <w:marLeft w:val="0"/>
      <w:marRight w:val="0"/>
      <w:marTop w:val="0"/>
      <w:marBottom w:val="0"/>
      <w:divBdr>
        <w:top w:val="none" w:sz="0" w:space="0" w:color="auto"/>
        <w:left w:val="none" w:sz="0" w:space="0" w:color="auto"/>
        <w:bottom w:val="none" w:sz="0" w:space="0" w:color="auto"/>
        <w:right w:val="none" w:sz="0" w:space="0" w:color="auto"/>
      </w:divBdr>
    </w:div>
    <w:div w:id="959602994">
      <w:bodyDiv w:val="1"/>
      <w:marLeft w:val="0"/>
      <w:marRight w:val="0"/>
      <w:marTop w:val="0"/>
      <w:marBottom w:val="0"/>
      <w:divBdr>
        <w:top w:val="none" w:sz="0" w:space="0" w:color="auto"/>
        <w:left w:val="none" w:sz="0" w:space="0" w:color="auto"/>
        <w:bottom w:val="none" w:sz="0" w:space="0" w:color="auto"/>
        <w:right w:val="none" w:sz="0" w:space="0" w:color="auto"/>
      </w:divBdr>
    </w:div>
    <w:div w:id="964241635">
      <w:bodyDiv w:val="1"/>
      <w:marLeft w:val="0"/>
      <w:marRight w:val="0"/>
      <w:marTop w:val="0"/>
      <w:marBottom w:val="0"/>
      <w:divBdr>
        <w:top w:val="none" w:sz="0" w:space="0" w:color="auto"/>
        <w:left w:val="none" w:sz="0" w:space="0" w:color="auto"/>
        <w:bottom w:val="none" w:sz="0" w:space="0" w:color="auto"/>
        <w:right w:val="none" w:sz="0" w:space="0" w:color="auto"/>
      </w:divBdr>
    </w:div>
    <w:div w:id="967668455">
      <w:bodyDiv w:val="1"/>
      <w:marLeft w:val="0"/>
      <w:marRight w:val="0"/>
      <w:marTop w:val="0"/>
      <w:marBottom w:val="0"/>
      <w:divBdr>
        <w:top w:val="none" w:sz="0" w:space="0" w:color="auto"/>
        <w:left w:val="none" w:sz="0" w:space="0" w:color="auto"/>
        <w:bottom w:val="none" w:sz="0" w:space="0" w:color="auto"/>
        <w:right w:val="none" w:sz="0" w:space="0" w:color="auto"/>
      </w:divBdr>
    </w:div>
    <w:div w:id="969553829">
      <w:bodyDiv w:val="1"/>
      <w:marLeft w:val="0"/>
      <w:marRight w:val="0"/>
      <w:marTop w:val="0"/>
      <w:marBottom w:val="0"/>
      <w:divBdr>
        <w:top w:val="none" w:sz="0" w:space="0" w:color="auto"/>
        <w:left w:val="none" w:sz="0" w:space="0" w:color="auto"/>
        <w:bottom w:val="none" w:sz="0" w:space="0" w:color="auto"/>
        <w:right w:val="none" w:sz="0" w:space="0" w:color="auto"/>
      </w:divBdr>
    </w:div>
    <w:div w:id="978455782">
      <w:bodyDiv w:val="1"/>
      <w:marLeft w:val="0"/>
      <w:marRight w:val="0"/>
      <w:marTop w:val="0"/>
      <w:marBottom w:val="0"/>
      <w:divBdr>
        <w:top w:val="none" w:sz="0" w:space="0" w:color="auto"/>
        <w:left w:val="none" w:sz="0" w:space="0" w:color="auto"/>
        <w:bottom w:val="none" w:sz="0" w:space="0" w:color="auto"/>
        <w:right w:val="none" w:sz="0" w:space="0" w:color="auto"/>
      </w:divBdr>
    </w:div>
    <w:div w:id="979725137">
      <w:bodyDiv w:val="1"/>
      <w:marLeft w:val="0"/>
      <w:marRight w:val="0"/>
      <w:marTop w:val="0"/>
      <w:marBottom w:val="0"/>
      <w:divBdr>
        <w:top w:val="none" w:sz="0" w:space="0" w:color="auto"/>
        <w:left w:val="none" w:sz="0" w:space="0" w:color="auto"/>
        <w:bottom w:val="none" w:sz="0" w:space="0" w:color="auto"/>
        <w:right w:val="none" w:sz="0" w:space="0" w:color="auto"/>
      </w:divBdr>
    </w:div>
    <w:div w:id="980812948">
      <w:bodyDiv w:val="1"/>
      <w:marLeft w:val="0"/>
      <w:marRight w:val="0"/>
      <w:marTop w:val="0"/>
      <w:marBottom w:val="0"/>
      <w:divBdr>
        <w:top w:val="none" w:sz="0" w:space="0" w:color="auto"/>
        <w:left w:val="none" w:sz="0" w:space="0" w:color="auto"/>
        <w:bottom w:val="none" w:sz="0" w:space="0" w:color="auto"/>
        <w:right w:val="none" w:sz="0" w:space="0" w:color="auto"/>
      </w:divBdr>
    </w:div>
    <w:div w:id="983586875">
      <w:bodyDiv w:val="1"/>
      <w:marLeft w:val="0"/>
      <w:marRight w:val="0"/>
      <w:marTop w:val="0"/>
      <w:marBottom w:val="0"/>
      <w:divBdr>
        <w:top w:val="none" w:sz="0" w:space="0" w:color="auto"/>
        <w:left w:val="none" w:sz="0" w:space="0" w:color="auto"/>
        <w:bottom w:val="none" w:sz="0" w:space="0" w:color="auto"/>
        <w:right w:val="none" w:sz="0" w:space="0" w:color="auto"/>
      </w:divBdr>
    </w:div>
    <w:div w:id="997613749">
      <w:bodyDiv w:val="1"/>
      <w:marLeft w:val="0"/>
      <w:marRight w:val="0"/>
      <w:marTop w:val="0"/>
      <w:marBottom w:val="0"/>
      <w:divBdr>
        <w:top w:val="none" w:sz="0" w:space="0" w:color="auto"/>
        <w:left w:val="none" w:sz="0" w:space="0" w:color="auto"/>
        <w:bottom w:val="none" w:sz="0" w:space="0" w:color="auto"/>
        <w:right w:val="none" w:sz="0" w:space="0" w:color="auto"/>
      </w:divBdr>
    </w:div>
    <w:div w:id="998775090">
      <w:bodyDiv w:val="1"/>
      <w:marLeft w:val="0"/>
      <w:marRight w:val="0"/>
      <w:marTop w:val="0"/>
      <w:marBottom w:val="0"/>
      <w:divBdr>
        <w:top w:val="none" w:sz="0" w:space="0" w:color="auto"/>
        <w:left w:val="none" w:sz="0" w:space="0" w:color="auto"/>
        <w:bottom w:val="none" w:sz="0" w:space="0" w:color="auto"/>
        <w:right w:val="none" w:sz="0" w:space="0" w:color="auto"/>
      </w:divBdr>
    </w:div>
    <w:div w:id="1000043374">
      <w:bodyDiv w:val="1"/>
      <w:marLeft w:val="0"/>
      <w:marRight w:val="0"/>
      <w:marTop w:val="0"/>
      <w:marBottom w:val="0"/>
      <w:divBdr>
        <w:top w:val="none" w:sz="0" w:space="0" w:color="auto"/>
        <w:left w:val="none" w:sz="0" w:space="0" w:color="auto"/>
        <w:bottom w:val="none" w:sz="0" w:space="0" w:color="auto"/>
        <w:right w:val="none" w:sz="0" w:space="0" w:color="auto"/>
      </w:divBdr>
    </w:div>
    <w:div w:id="1006787047">
      <w:bodyDiv w:val="1"/>
      <w:marLeft w:val="0"/>
      <w:marRight w:val="0"/>
      <w:marTop w:val="0"/>
      <w:marBottom w:val="0"/>
      <w:divBdr>
        <w:top w:val="none" w:sz="0" w:space="0" w:color="auto"/>
        <w:left w:val="none" w:sz="0" w:space="0" w:color="auto"/>
        <w:bottom w:val="none" w:sz="0" w:space="0" w:color="auto"/>
        <w:right w:val="none" w:sz="0" w:space="0" w:color="auto"/>
      </w:divBdr>
    </w:div>
    <w:div w:id="1006976529">
      <w:bodyDiv w:val="1"/>
      <w:marLeft w:val="0"/>
      <w:marRight w:val="0"/>
      <w:marTop w:val="0"/>
      <w:marBottom w:val="0"/>
      <w:divBdr>
        <w:top w:val="none" w:sz="0" w:space="0" w:color="auto"/>
        <w:left w:val="none" w:sz="0" w:space="0" w:color="auto"/>
        <w:bottom w:val="none" w:sz="0" w:space="0" w:color="auto"/>
        <w:right w:val="none" w:sz="0" w:space="0" w:color="auto"/>
      </w:divBdr>
    </w:div>
    <w:div w:id="1018315141">
      <w:bodyDiv w:val="1"/>
      <w:marLeft w:val="0"/>
      <w:marRight w:val="0"/>
      <w:marTop w:val="0"/>
      <w:marBottom w:val="0"/>
      <w:divBdr>
        <w:top w:val="none" w:sz="0" w:space="0" w:color="auto"/>
        <w:left w:val="none" w:sz="0" w:space="0" w:color="auto"/>
        <w:bottom w:val="none" w:sz="0" w:space="0" w:color="auto"/>
        <w:right w:val="none" w:sz="0" w:space="0" w:color="auto"/>
      </w:divBdr>
    </w:div>
    <w:div w:id="1019893884">
      <w:bodyDiv w:val="1"/>
      <w:marLeft w:val="0"/>
      <w:marRight w:val="0"/>
      <w:marTop w:val="0"/>
      <w:marBottom w:val="0"/>
      <w:divBdr>
        <w:top w:val="none" w:sz="0" w:space="0" w:color="auto"/>
        <w:left w:val="none" w:sz="0" w:space="0" w:color="auto"/>
        <w:bottom w:val="none" w:sz="0" w:space="0" w:color="auto"/>
        <w:right w:val="none" w:sz="0" w:space="0" w:color="auto"/>
      </w:divBdr>
    </w:div>
    <w:div w:id="1035470140">
      <w:bodyDiv w:val="1"/>
      <w:marLeft w:val="0"/>
      <w:marRight w:val="0"/>
      <w:marTop w:val="0"/>
      <w:marBottom w:val="0"/>
      <w:divBdr>
        <w:top w:val="none" w:sz="0" w:space="0" w:color="auto"/>
        <w:left w:val="none" w:sz="0" w:space="0" w:color="auto"/>
        <w:bottom w:val="none" w:sz="0" w:space="0" w:color="auto"/>
        <w:right w:val="none" w:sz="0" w:space="0" w:color="auto"/>
      </w:divBdr>
    </w:div>
    <w:div w:id="1043678861">
      <w:bodyDiv w:val="1"/>
      <w:marLeft w:val="0"/>
      <w:marRight w:val="0"/>
      <w:marTop w:val="0"/>
      <w:marBottom w:val="0"/>
      <w:divBdr>
        <w:top w:val="none" w:sz="0" w:space="0" w:color="auto"/>
        <w:left w:val="none" w:sz="0" w:space="0" w:color="auto"/>
        <w:bottom w:val="none" w:sz="0" w:space="0" w:color="auto"/>
        <w:right w:val="none" w:sz="0" w:space="0" w:color="auto"/>
      </w:divBdr>
    </w:div>
    <w:div w:id="1050766322">
      <w:bodyDiv w:val="1"/>
      <w:marLeft w:val="0"/>
      <w:marRight w:val="0"/>
      <w:marTop w:val="0"/>
      <w:marBottom w:val="0"/>
      <w:divBdr>
        <w:top w:val="none" w:sz="0" w:space="0" w:color="auto"/>
        <w:left w:val="none" w:sz="0" w:space="0" w:color="auto"/>
        <w:bottom w:val="none" w:sz="0" w:space="0" w:color="auto"/>
        <w:right w:val="none" w:sz="0" w:space="0" w:color="auto"/>
      </w:divBdr>
    </w:div>
    <w:div w:id="1052581426">
      <w:bodyDiv w:val="1"/>
      <w:marLeft w:val="0"/>
      <w:marRight w:val="0"/>
      <w:marTop w:val="0"/>
      <w:marBottom w:val="0"/>
      <w:divBdr>
        <w:top w:val="none" w:sz="0" w:space="0" w:color="auto"/>
        <w:left w:val="none" w:sz="0" w:space="0" w:color="auto"/>
        <w:bottom w:val="none" w:sz="0" w:space="0" w:color="auto"/>
        <w:right w:val="none" w:sz="0" w:space="0" w:color="auto"/>
      </w:divBdr>
    </w:div>
    <w:div w:id="1054741763">
      <w:bodyDiv w:val="1"/>
      <w:marLeft w:val="0"/>
      <w:marRight w:val="0"/>
      <w:marTop w:val="0"/>
      <w:marBottom w:val="0"/>
      <w:divBdr>
        <w:top w:val="none" w:sz="0" w:space="0" w:color="auto"/>
        <w:left w:val="none" w:sz="0" w:space="0" w:color="auto"/>
        <w:bottom w:val="none" w:sz="0" w:space="0" w:color="auto"/>
        <w:right w:val="none" w:sz="0" w:space="0" w:color="auto"/>
      </w:divBdr>
      <w:divsChild>
        <w:div w:id="889414364">
          <w:marLeft w:val="0"/>
          <w:marRight w:val="0"/>
          <w:marTop w:val="0"/>
          <w:marBottom w:val="0"/>
          <w:divBdr>
            <w:top w:val="none" w:sz="0" w:space="0" w:color="auto"/>
            <w:left w:val="none" w:sz="0" w:space="0" w:color="auto"/>
            <w:bottom w:val="none" w:sz="0" w:space="0" w:color="auto"/>
            <w:right w:val="none" w:sz="0" w:space="0" w:color="auto"/>
          </w:divBdr>
        </w:div>
        <w:div w:id="1016544435">
          <w:marLeft w:val="0"/>
          <w:marRight w:val="0"/>
          <w:marTop w:val="0"/>
          <w:marBottom w:val="0"/>
          <w:divBdr>
            <w:top w:val="none" w:sz="0" w:space="0" w:color="auto"/>
            <w:left w:val="none" w:sz="0" w:space="0" w:color="auto"/>
            <w:bottom w:val="none" w:sz="0" w:space="0" w:color="auto"/>
            <w:right w:val="none" w:sz="0" w:space="0" w:color="auto"/>
          </w:divBdr>
        </w:div>
      </w:divsChild>
    </w:div>
    <w:div w:id="1056315915">
      <w:bodyDiv w:val="1"/>
      <w:marLeft w:val="0"/>
      <w:marRight w:val="0"/>
      <w:marTop w:val="0"/>
      <w:marBottom w:val="0"/>
      <w:divBdr>
        <w:top w:val="none" w:sz="0" w:space="0" w:color="auto"/>
        <w:left w:val="none" w:sz="0" w:space="0" w:color="auto"/>
        <w:bottom w:val="none" w:sz="0" w:space="0" w:color="auto"/>
        <w:right w:val="none" w:sz="0" w:space="0" w:color="auto"/>
      </w:divBdr>
    </w:div>
    <w:div w:id="1062407988">
      <w:bodyDiv w:val="1"/>
      <w:marLeft w:val="0"/>
      <w:marRight w:val="0"/>
      <w:marTop w:val="0"/>
      <w:marBottom w:val="0"/>
      <w:divBdr>
        <w:top w:val="none" w:sz="0" w:space="0" w:color="auto"/>
        <w:left w:val="none" w:sz="0" w:space="0" w:color="auto"/>
        <w:bottom w:val="none" w:sz="0" w:space="0" w:color="auto"/>
        <w:right w:val="none" w:sz="0" w:space="0" w:color="auto"/>
      </w:divBdr>
    </w:div>
    <w:div w:id="1069504041">
      <w:bodyDiv w:val="1"/>
      <w:marLeft w:val="0"/>
      <w:marRight w:val="0"/>
      <w:marTop w:val="0"/>
      <w:marBottom w:val="0"/>
      <w:divBdr>
        <w:top w:val="none" w:sz="0" w:space="0" w:color="auto"/>
        <w:left w:val="none" w:sz="0" w:space="0" w:color="auto"/>
        <w:bottom w:val="none" w:sz="0" w:space="0" w:color="auto"/>
        <w:right w:val="none" w:sz="0" w:space="0" w:color="auto"/>
      </w:divBdr>
    </w:div>
    <w:div w:id="1072198213">
      <w:bodyDiv w:val="1"/>
      <w:marLeft w:val="0"/>
      <w:marRight w:val="0"/>
      <w:marTop w:val="0"/>
      <w:marBottom w:val="0"/>
      <w:divBdr>
        <w:top w:val="none" w:sz="0" w:space="0" w:color="auto"/>
        <w:left w:val="none" w:sz="0" w:space="0" w:color="auto"/>
        <w:bottom w:val="none" w:sz="0" w:space="0" w:color="auto"/>
        <w:right w:val="none" w:sz="0" w:space="0" w:color="auto"/>
      </w:divBdr>
    </w:div>
    <w:div w:id="1072969378">
      <w:bodyDiv w:val="1"/>
      <w:marLeft w:val="0"/>
      <w:marRight w:val="0"/>
      <w:marTop w:val="0"/>
      <w:marBottom w:val="0"/>
      <w:divBdr>
        <w:top w:val="none" w:sz="0" w:space="0" w:color="auto"/>
        <w:left w:val="none" w:sz="0" w:space="0" w:color="auto"/>
        <w:bottom w:val="none" w:sz="0" w:space="0" w:color="auto"/>
        <w:right w:val="none" w:sz="0" w:space="0" w:color="auto"/>
      </w:divBdr>
    </w:div>
    <w:div w:id="1073091380">
      <w:bodyDiv w:val="1"/>
      <w:marLeft w:val="0"/>
      <w:marRight w:val="0"/>
      <w:marTop w:val="0"/>
      <w:marBottom w:val="0"/>
      <w:divBdr>
        <w:top w:val="none" w:sz="0" w:space="0" w:color="auto"/>
        <w:left w:val="none" w:sz="0" w:space="0" w:color="auto"/>
        <w:bottom w:val="none" w:sz="0" w:space="0" w:color="auto"/>
        <w:right w:val="none" w:sz="0" w:space="0" w:color="auto"/>
      </w:divBdr>
    </w:div>
    <w:div w:id="1074820956">
      <w:bodyDiv w:val="1"/>
      <w:marLeft w:val="0"/>
      <w:marRight w:val="0"/>
      <w:marTop w:val="0"/>
      <w:marBottom w:val="0"/>
      <w:divBdr>
        <w:top w:val="none" w:sz="0" w:space="0" w:color="auto"/>
        <w:left w:val="none" w:sz="0" w:space="0" w:color="auto"/>
        <w:bottom w:val="none" w:sz="0" w:space="0" w:color="auto"/>
        <w:right w:val="none" w:sz="0" w:space="0" w:color="auto"/>
      </w:divBdr>
    </w:div>
    <w:div w:id="1076590568">
      <w:bodyDiv w:val="1"/>
      <w:marLeft w:val="0"/>
      <w:marRight w:val="0"/>
      <w:marTop w:val="0"/>
      <w:marBottom w:val="0"/>
      <w:divBdr>
        <w:top w:val="none" w:sz="0" w:space="0" w:color="auto"/>
        <w:left w:val="none" w:sz="0" w:space="0" w:color="auto"/>
        <w:bottom w:val="none" w:sz="0" w:space="0" w:color="auto"/>
        <w:right w:val="none" w:sz="0" w:space="0" w:color="auto"/>
      </w:divBdr>
    </w:div>
    <w:div w:id="1082990983">
      <w:bodyDiv w:val="1"/>
      <w:marLeft w:val="0"/>
      <w:marRight w:val="0"/>
      <w:marTop w:val="0"/>
      <w:marBottom w:val="0"/>
      <w:divBdr>
        <w:top w:val="none" w:sz="0" w:space="0" w:color="auto"/>
        <w:left w:val="none" w:sz="0" w:space="0" w:color="auto"/>
        <w:bottom w:val="none" w:sz="0" w:space="0" w:color="auto"/>
        <w:right w:val="none" w:sz="0" w:space="0" w:color="auto"/>
      </w:divBdr>
    </w:div>
    <w:div w:id="1084179114">
      <w:bodyDiv w:val="1"/>
      <w:marLeft w:val="0"/>
      <w:marRight w:val="0"/>
      <w:marTop w:val="0"/>
      <w:marBottom w:val="0"/>
      <w:divBdr>
        <w:top w:val="none" w:sz="0" w:space="0" w:color="auto"/>
        <w:left w:val="none" w:sz="0" w:space="0" w:color="auto"/>
        <w:bottom w:val="none" w:sz="0" w:space="0" w:color="auto"/>
        <w:right w:val="none" w:sz="0" w:space="0" w:color="auto"/>
      </w:divBdr>
    </w:div>
    <w:div w:id="1085035401">
      <w:bodyDiv w:val="1"/>
      <w:marLeft w:val="0"/>
      <w:marRight w:val="0"/>
      <w:marTop w:val="0"/>
      <w:marBottom w:val="0"/>
      <w:divBdr>
        <w:top w:val="none" w:sz="0" w:space="0" w:color="auto"/>
        <w:left w:val="none" w:sz="0" w:space="0" w:color="auto"/>
        <w:bottom w:val="none" w:sz="0" w:space="0" w:color="auto"/>
        <w:right w:val="none" w:sz="0" w:space="0" w:color="auto"/>
      </w:divBdr>
    </w:div>
    <w:div w:id="1088817167">
      <w:bodyDiv w:val="1"/>
      <w:marLeft w:val="0"/>
      <w:marRight w:val="0"/>
      <w:marTop w:val="0"/>
      <w:marBottom w:val="0"/>
      <w:divBdr>
        <w:top w:val="none" w:sz="0" w:space="0" w:color="auto"/>
        <w:left w:val="none" w:sz="0" w:space="0" w:color="auto"/>
        <w:bottom w:val="none" w:sz="0" w:space="0" w:color="auto"/>
        <w:right w:val="none" w:sz="0" w:space="0" w:color="auto"/>
      </w:divBdr>
    </w:div>
    <w:div w:id="1091700751">
      <w:bodyDiv w:val="1"/>
      <w:marLeft w:val="0"/>
      <w:marRight w:val="0"/>
      <w:marTop w:val="0"/>
      <w:marBottom w:val="0"/>
      <w:divBdr>
        <w:top w:val="none" w:sz="0" w:space="0" w:color="auto"/>
        <w:left w:val="none" w:sz="0" w:space="0" w:color="auto"/>
        <w:bottom w:val="none" w:sz="0" w:space="0" w:color="auto"/>
        <w:right w:val="none" w:sz="0" w:space="0" w:color="auto"/>
      </w:divBdr>
    </w:div>
    <w:div w:id="1092046694">
      <w:bodyDiv w:val="1"/>
      <w:marLeft w:val="0"/>
      <w:marRight w:val="0"/>
      <w:marTop w:val="0"/>
      <w:marBottom w:val="0"/>
      <w:divBdr>
        <w:top w:val="none" w:sz="0" w:space="0" w:color="auto"/>
        <w:left w:val="none" w:sz="0" w:space="0" w:color="auto"/>
        <w:bottom w:val="none" w:sz="0" w:space="0" w:color="auto"/>
        <w:right w:val="none" w:sz="0" w:space="0" w:color="auto"/>
      </w:divBdr>
    </w:div>
    <w:div w:id="1100107983">
      <w:bodyDiv w:val="1"/>
      <w:marLeft w:val="0"/>
      <w:marRight w:val="0"/>
      <w:marTop w:val="0"/>
      <w:marBottom w:val="0"/>
      <w:divBdr>
        <w:top w:val="none" w:sz="0" w:space="0" w:color="auto"/>
        <w:left w:val="none" w:sz="0" w:space="0" w:color="auto"/>
        <w:bottom w:val="none" w:sz="0" w:space="0" w:color="auto"/>
        <w:right w:val="none" w:sz="0" w:space="0" w:color="auto"/>
      </w:divBdr>
    </w:div>
    <w:div w:id="1117480229">
      <w:bodyDiv w:val="1"/>
      <w:marLeft w:val="0"/>
      <w:marRight w:val="0"/>
      <w:marTop w:val="0"/>
      <w:marBottom w:val="0"/>
      <w:divBdr>
        <w:top w:val="none" w:sz="0" w:space="0" w:color="auto"/>
        <w:left w:val="none" w:sz="0" w:space="0" w:color="auto"/>
        <w:bottom w:val="none" w:sz="0" w:space="0" w:color="auto"/>
        <w:right w:val="none" w:sz="0" w:space="0" w:color="auto"/>
      </w:divBdr>
    </w:div>
    <w:div w:id="1117872696">
      <w:bodyDiv w:val="1"/>
      <w:marLeft w:val="0"/>
      <w:marRight w:val="0"/>
      <w:marTop w:val="0"/>
      <w:marBottom w:val="0"/>
      <w:divBdr>
        <w:top w:val="none" w:sz="0" w:space="0" w:color="auto"/>
        <w:left w:val="none" w:sz="0" w:space="0" w:color="auto"/>
        <w:bottom w:val="none" w:sz="0" w:space="0" w:color="auto"/>
        <w:right w:val="none" w:sz="0" w:space="0" w:color="auto"/>
      </w:divBdr>
    </w:div>
    <w:div w:id="1118257703">
      <w:bodyDiv w:val="1"/>
      <w:marLeft w:val="0"/>
      <w:marRight w:val="0"/>
      <w:marTop w:val="0"/>
      <w:marBottom w:val="0"/>
      <w:divBdr>
        <w:top w:val="none" w:sz="0" w:space="0" w:color="auto"/>
        <w:left w:val="none" w:sz="0" w:space="0" w:color="auto"/>
        <w:bottom w:val="none" w:sz="0" w:space="0" w:color="auto"/>
        <w:right w:val="none" w:sz="0" w:space="0" w:color="auto"/>
      </w:divBdr>
    </w:div>
    <w:div w:id="1118600046">
      <w:bodyDiv w:val="1"/>
      <w:marLeft w:val="0"/>
      <w:marRight w:val="0"/>
      <w:marTop w:val="0"/>
      <w:marBottom w:val="0"/>
      <w:divBdr>
        <w:top w:val="none" w:sz="0" w:space="0" w:color="auto"/>
        <w:left w:val="none" w:sz="0" w:space="0" w:color="auto"/>
        <w:bottom w:val="none" w:sz="0" w:space="0" w:color="auto"/>
        <w:right w:val="none" w:sz="0" w:space="0" w:color="auto"/>
      </w:divBdr>
    </w:div>
    <w:div w:id="1121613934">
      <w:bodyDiv w:val="1"/>
      <w:marLeft w:val="0"/>
      <w:marRight w:val="0"/>
      <w:marTop w:val="0"/>
      <w:marBottom w:val="0"/>
      <w:divBdr>
        <w:top w:val="none" w:sz="0" w:space="0" w:color="auto"/>
        <w:left w:val="none" w:sz="0" w:space="0" w:color="auto"/>
        <w:bottom w:val="none" w:sz="0" w:space="0" w:color="auto"/>
        <w:right w:val="none" w:sz="0" w:space="0" w:color="auto"/>
      </w:divBdr>
    </w:div>
    <w:div w:id="1121798789">
      <w:bodyDiv w:val="1"/>
      <w:marLeft w:val="0"/>
      <w:marRight w:val="0"/>
      <w:marTop w:val="0"/>
      <w:marBottom w:val="0"/>
      <w:divBdr>
        <w:top w:val="none" w:sz="0" w:space="0" w:color="auto"/>
        <w:left w:val="none" w:sz="0" w:space="0" w:color="auto"/>
        <w:bottom w:val="none" w:sz="0" w:space="0" w:color="auto"/>
        <w:right w:val="none" w:sz="0" w:space="0" w:color="auto"/>
      </w:divBdr>
    </w:div>
    <w:div w:id="1123428007">
      <w:bodyDiv w:val="1"/>
      <w:marLeft w:val="0"/>
      <w:marRight w:val="0"/>
      <w:marTop w:val="0"/>
      <w:marBottom w:val="0"/>
      <w:divBdr>
        <w:top w:val="none" w:sz="0" w:space="0" w:color="auto"/>
        <w:left w:val="none" w:sz="0" w:space="0" w:color="auto"/>
        <w:bottom w:val="none" w:sz="0" w:space="0" w:color="auto"/>
        <w:right w:val="none" w:sz="0" w:space="0" w:color="auto"/>
      </w:divBdr>
    </w:div>
    <w:div w:id="1130171127">
      <w:bodyDiv w:val="1"/>
      <w:marLeft w:val="0"/>
      <w:marRight w:val="0"/>
      <w:marTop w:val="0"/>
      <w:marBottom w:val="0"/>
      <w:divBdr>
        <w:top w:val="none" w:sz="0" w:space="0" w:color="auto"/>
        <w:left w:val="none" w:sz="0" w:space="0" w:color="auto"/>
        <w:bottom w:val="none" w:sz="0" w:space="0" w:color="auto"/>
        <w:right w:val="none" w:sz="0" w:space="0" w:color="auto"/>
      </w:divBdr>
    </w:div>
    <w:div w:id="1135564839">
      <w:bodyDiv w:val="1"/>
      <w:marLeft w:val="0"/>
      <w:marRight w:val="0"/>
      <w:marTop w:val="0"/>
      <w:marBottom w:val="0"/>
      <w:divBdr>
        <w:top w:val="none" w:sz="0" w:space="0" w:color="auto"/>
        <w:left w:val="none" w:sz="0" w:space="0" w:color="auto"/>
        <w:bottom w:val="none" w:sz="0" w:space="0" w:color="auto"/>
        <w:right w:val="none" w:sz="0" w:space="0" w:color="auto"/>
      </w:divBdr>
    </w:div>
    <w:div w:id="1138499849">
      <w:bodyDiv w:val="1"/>
      <w:marLeft w:val="0"/>
      <w:marRight w:val="0"/>
      <w:marTop w:val="0"/>
      <w:marBottom w:val="0"/>
      <w:divBdr>
        <w:top w:val="none" w:sz="0" w:space="0" w:color="auto"/>
        <w:left w:val="none" w:sz="0" w:space="0" w:color="auto"/>
        <w:bottom w:val="none" w:sz="0" w:space="0" w:color="auto"/>
        <w:right w:val="none" w:sz="0" w:space="0" w:color="auto"/>
      </w:divBdr>
    </w:div>
    <w:div w:id="1144422012">
      <w:bodyDiv w:val="1"/>
      <w:marLeft w:val="0"/>
      <w:marRight w:val="0"/>
      <w:marTop w:val="0"/>
      <w:marBottom w:val="0"/>
      <w:divBdr>
        <w:top w:val="none" w:sz="0" w:space="0" w:color="auto"/>
        <w:left w:val="none" w:sz="0" w:space="0" w:color="auto"/>
        <w:bottom w:val="none" w:sz="0" w:space="0" w:color="auto"/>
        <w:right w:val="none" w:sz="0" w:space="0" w:color="auto"/>
      </w:divBdr>
    </w:div>
    <w:div w:id="1144850615">
      <w:bodyDiv w:val="1"/>
      <w:marLeft w:val="0"/>
      <w:marRight w:val="0"/>
      <w:marTop w:val="0"/>
      <w:marBottom w:val="0"/>
      <w:divBdr>
        <w:top w:val="none" w:sz="0" w:space="0" w:color="auto"/>
        <w:left w:val="none" w:sz="0" w:space="0" w:color="auto"/>
        <w:bottom w:val="none" w:sz="0" w:space="0" w:color="auto"/>
        <w:right w:val="none" w:sz="0" w:space="0" w:color="auto"/>
      </w:divBdr>
    </w:div>
    <w:div w:id="1154756333">
      <w:bodyDiv w:val="1"/>
      <w:marLeft w:val="0"/>
      <w:marRight w:val="0"/>
      <w:marTop w:val="0"/>
      <w:marBottom w:val="0"/>
      <w:divBdr>
        <w:top w:val="none" w:sz="0" w:space="0" w:color="auto"/>
        <w:left w:val="none" w:sz="0" w:space="0" w:color="auto"/>
        <w:bottom w:val="none" w:sz="0" w:space="0" w:color="auto"/>
        <w:right w:val="none" w:sz="0" w:space="0" w:color="auto"/>
      </w:divBdr>
    </w:div>
    <w:div w:id="1156341600">
      <w:bodyDiv w:val="1"/>
      <w:marLeft w:val="0"/>
      <w:marRight w:val="0"/>
      <w:marTop w:val="0"/>
      <w:marBottom w:val="0"/>
      <w:divBdr>
        <w:top w:val="none" w:sz="0" w:space="0" w:color="auto"/>
        <w:left w:val="none" w:sz="0" w:space="0" w:color="auto"/>
        <w:bottom w:val="none" w:sz="0" w:space="0" w:color="auto"/>
        <w:right w:val="none" w:sz="0" w:space="0" w:color="auto"/>
      </w:divBdr>
    </w:div>
    <w:div w:id="1157070326">
      <w:bodyDiv w:val="1"/>
      <w:marLeft w:val="0"/>
      <w:marRight w:val="0"/>
      <w:marTop w:val="0"/>
      <w:marBottom w:val="0"/>
      <w:divBdr>
        <w:top w:val="none" w:sz="0" w:space="0" w:color="auto"/>
        <w:left w:val="none" w:sz="0" w:space="0" w:color="auto"/>
        <w:bottom w:val="none" w:sz="0" w:space="0" w:color="auto"/>
        <w:right w:val="none" w:sz="0" w:space="0" w:color="auto"/>
      </w:divBdr>
    </w:div>
    <w:div w:id="1161123940">
      <w:bodyDiv w:val="1"/>
      <w:marLeft w:val="0"/>
      <w:marRight w:val="0"/>
      <w:marTop w:val="0"/>
      <w:marBottom w:val="0"/>
      <w:divBdr>
        <w:top w:val="none" w:sz="0" w:space="0" w:color="auto"/>
        <w:left w:val="none" w:sz="0" w:space="0" w:color="auto"/>
        <w:bottom w:val="none" w:sz="0" w:space="0" w:color="auto"/>
        <w:right w:val="none" w:sz="0" w:space="0" w:color="auto"/>
      </w:divBdr>
    </w:div>
    <w:div w:id="1168323384">
      <w:bodyDiv w:val="1"/>
      <w:marLeft w:val="0"/>
      <w:marRight w:val="0"/>
      <w:marTop w:val="0"/>
      <w:marBottom w:val="0"/>
      <w:divBdr>
        <w:top w:val="none" w:sz="0" w:space="0" w:color="auto"/>
        <w:left w:val="none" w:sz="0" w:space="0" w:color="auto"/>
        <w:bottom w:val="none" w:sz="0" w:space="0" w:color="auto"/>
        <w:right w:val="none" w:sz="0" w:space="0" w:color="auto"/>
      </w:divBdr>
      <w:divsChild>
        <w:div w:id="75976434">
          <w:marLeft w:val="0"/>
          <w:marRight w:val="0"/>
          <w:marTop w:val="0"/>
          <w:marBottom w:val="0"/>
          <w:divBdr>
            <w:top w:val="single" w:sz="2" w:space="0" w:color="E3E3E3"/>
            <w:left w:val="single" w:sz="2" w:space="0" w:color="E3E3E3"/>
            <w:bottom w:val="single" w:sz="2" w:space="0" w:color="E3E3E3"/>
            <w:right w:val="single" w:sz="2" w:space="0" w:color="E3E3E3"/>
          </w:divBdr>
          <w:divsChild>
            <w:div w:id="967202739">
              <w:marLeft w:val="0"/>
              <w:marRight w:val="0"/>
              <w:marTop w:val="0"/>
              <w:marBottom w:val="0"/>
              <w:divBdr>
                <w:top w:val="single" w:sz="2" w:space="0" w:color="E3E3E3"/>
                <w:left w:val="single" w:sz="2" w:space="0" w:color="E3E3E3"/>
                <w:bottom w:val="single" w:sz="2" w:space="0" w:color="E3E3E3"/>
                <w:right w:val="single" w:sz="2" w:space="0" w:color="E3E3E3"/>
              </w:divBdr>
            </w:div>
            <w:div w:id="1804889209">
              <w:marLeft w:val="0"/>
              <w:marRight w:val="0"/>
              <w:marTop w:val="0"/>
              <w:marBottom w:val="0"/>
              <w:divBdr>
                <w:top w:val="single" w:sz="2" w:space="0" w:color="E3E3E3"/>
                <w:left w:val="single" w:sz="2" w:space="0" w:color="E3E3E3"/>
                <w:bottom w:val="single" w:sz="2" w:space="0" w:color="E3E3E3"/>
                <w:right w:val="single" w:sz="2" w:space="0" w:color="E3E3E3"/>
              </w:divBdr>
              <w:divsChild>
                <w:div w:id="1786194696">
                  <w:marLeft w:val="0"/>
                  <w:marRight w:val="0"/>
                  <w:marTop w:val="0"/>
                  <w:marBottom w:val="0"/>
                  <w:divBdr>
                    <w:top w:val="single" w:sz="2" w:space="0" w:color="E3E3E3"/>
                    <w:left w:val="single" w:sz="2" w:space="0" w:color="E3E3E3"/>
                    <w:bottom w:val="single" w:sz="2" w:space="0" w:color="E3E3E3"/>
                    <w:right w:val="single" w:sz="2" w:space="0" w:color="E3E3E3"/>
                  </w:divBdr>
                  <w:divsChild>
                    <w:div w:id="2091345806">
                      <w:marLeft w:val="0"/>
                      <w:marRight w:val="0"/>
                      <w:marTop w:val="0"/>
                      <w:marBottom w:val="0"/>
                      <w:divBdr>
                        <w:top w:val="single" w:sz="2" w:space="0" w:color="E3E3E3"/>
                        <w:left w:val="single" w:sz="2" w:space="0" w:color="E3E3E3"/>
                        <w:bottom w:val="single" w:sz="2" w:space="0" w:color="E3E3E3"/>
                        <w:right w:val="single" w:sz="2" w:space="0" w:color="E3E3E3"/>
                      </w:divBdr>
                      <w:divsChild>
                        <w:div w:id="531462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64312315">
          <w:marLeft w:val="0"/>
          <w:marRight w:val="0"/>
          <w:marTop w:val="0"/>
          <w:marBottom w:val="0"/>
          <w:divBdr>
            <w:top w:val="single" w:sz="2" w:space="0" w:color="E3E3E3"/>
            <w:left w:val="single" w:sz="2" w:space="0" w:color="E3E3E3"/>
            <w:bottom w:val="single" w:sz="2" w:space="0" w:color="E3E3E3"/>
            <w:right w:val="single" w:sz="2" w:space="0" w:color="E3E3E3"/>
          </w:divBdr>
          <w:divsChild>
            <w:div w:id="1523738167">
              <w:marLeft w:val="0"/>
              <w:marRight w:val="0"/>
              <w:marTop w:val="0"/>
              <w:marBottom w:val="0"/>
              <w:divBdr>
                <w:top w:val="single" w:sz="2" w:space="0" w:color="E3E3E3"/>
                <w:left w:val="single" w:sz="2" w:space="0" w:color="E3E3E3"/>
                <w:bottom w:val="single" w:sz="2" w:space="0" w:color="E3E3E3"/>
                <w:right w:val="single" w:sz="2" w:space="0" w:color="E3E3E3"/>
              </w:divBdr>
              <w:divsChild>
                <w:div w:id="212549268">
                  <w:marLeft w:val="0"/>
                  <w:marRight w:val="0"/>
                  <w:marTop w:val="0"/>
                  <w:marBottom w:val="0"/>
                  <w:divBdr>
                    <w:top w:val="single" w:sz="2" w:space="0" w:color="E3E3E3"/>
                    <w:left w:val="single" w:sz="2" w:space="0" w:color="E3E3E3"/>
                    <w:bottom w:val="single" w:sz="2" w:space="0" w:color="E3E3E3"/>
                    <w:right w:val="single" w:sz="2" w:space="0" w:color="E3E3E3"/>
                  </w:divBdr>
                  <w:divsChild>
                    <w:div w:id="2036226094">
                      <w:marLeft w:val="0"/>
                      <w:marRight w:val="0"/>
                      <w:marTop w:val="0"/>
                      <w:marBottom w:val="0"/>
                      <w:divBdr>
                        <w:top w:val="single" w:sz="2" w:space="0" w:color="E3E3E3"/>
                        <w:left w:val="single" w:sz="2" w:space="0" w:color="E3E3E3"/>
                        <w:bottom w:val="single" w:sz="2" w:space="0" w:color="E3E3E3"/>
                        <w:right w:val="single" w:sz="2" w:space="0" w:color="E3E3E3"/>
                      </w:divBdr>
                      <w:divsChild>
                        <w:div w:id="546374419">
                          <w:marLeft w:val="0"/>
                          <w:marRight w:val="0"/>
                          <w:marTop w:val="0"/>
                          <w:marBottom w:val="0"/>
                          <w:divBdr>
                            <w:top w:val="single" w:sz="2" w:space="0" w:color="E3E3E3"/>
                            <w:left w:val="single" w:sz="2" w:space="0" w:color="E3E3E3"/>
                            <w:bottom w:val="single" w:sz="2" w:space="0" w:color="E3E3E3"/>
                            <w:right w:val="single" w:sz="2" w:space="0" w:color="E3E3E3"/>
                          </w:divBdr>
                          <w:divsChild>
                            <w:div w:id="82192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68785062">
      <w:bodyDiv w:val="1"/>
      <w:marLeft w:val="0"/>
      <w:marRight w:val="0"/>
      <w:marTop w:val="0"/>
      <w:marBottom w:val="0"/>
      <w:divBdr>
        <w:top w:val="none" w:sz="0" w:space="0" w:color="auto"/>
        <w:left w:val="none" w:sz="0" w:space="0" w:color="auto"/>
        <w:bottom w:val="none" w:sz="0" w:space="0" w:color="auto"/>
        <w:right w:val="none" w:sz="0" w:space="0" w:color="auto"/>
      </w:divBdr>
    </w:div>
    <w:div w:id="1169250074">
      <w:bodyDiv w:val="1"/>
      <w:marLeft w:val="0"/>
      <w:marRight w:val="0"/>
      <w:marTop w:val="0"/>
      <w:marBottom w:val="0"/>
      <w:divBdr>
        <w:top w:val="none" w:sz="0" w:space="0" w:color="auto"/>
        <w:left w:val="none" w:sz="0" w:space="0" w:color="auto"/>
        <w:bottom w:val="none" w:sz="0" w:space="0" w:color="auto"/>
        <w:right w:val="none" w:sz="0" w:space="0" w:color="auto"/>
      </w:divBdr>
    </w:div>
    <w:div w:id="1176725646">
      <w:bodyDiv w:val="1"/>
      <w:marLeft w:val="0"/>
      <w:marRight w:val="0"/>
      <w:marTop w:val="0"/>
      <w:marBottom w:val="0"/>
      <w:divBdr>
        <w:top w:val="none" w:sz="0" w:space="0" w:color="auto"/>
        <w:left w:val="none" w:sz="0" w:space="0" w:color="auto"/>
        <w:bottom w:val="none" w:sz="0" w:space="0" w:color="auto"/>
        <w:right w:val="none" w:sz="0" w:space="0" w:color="auto"/>
      </w:divBdr>
    </w:div>
    <w:div w:id="1183978328">
      <w:bodyDiv w:val="1"/>
      <w:marLeft w:val="0"/>
      <w:marRight w:val="0"/>
      <w:marTop w:val="0"/>
      <w:marBottom w:val="0"/>
      <w:divBdr>
        <w:top w:val="none" w:sz="0" w:space="0" w:color="auto"/>
        <w:left w:val="none" w:sz="0" w:space="0" w:color="auto"/>
        <w:bottom w:val="none" w:sz="0" w:space="0" w:color="auto"/>
        <w:right w:val="none" w:sz="0" w:space="0" w:color="auto"/>
      </w:divBdr>
    </w:div>
    <w:div w:id="1190215059">
      <w:bodyDiv w:val="1"/>
      <w:marLeft w:val="0"/>
      <w:marRight w:val="0"/>
      <w:marTop w:val="0"/>
      <w:marBottom w:val="0"/>
      <w:divBdr>
        <w:top w:val="none" w:sz="0" w:space="0" w:color="auto"/>
        <w:left w:val="none" w:sz="0" w:space="0" w:color="auto"/>
        <w:bottom w:val="none" w:sz="0" w:space="0" w:color="auto"/>
        <w:right w:val="none" w:sz="0" w:space="0" w:color="auto"/>
      </w:divBdr>
    </w:div>
    <w:div w:id="1205750179">
      <w:bodyDiv w:val="1"/>
      <w:marLeft w:val="0"/>
      <w:marRight w:val="0"/>
      <w:marTop w:val="0"/>
      <w:marBottom w:val="0"/>
      <w:divBdr>
        <w:top w:val="none" w:sz="0" w:space="0" w:color="auto"/>
        <w:left w:val="none" w:sz="0" w:space="0" w:color="auto"/>
        <w:bottom w:val="none" w:sz="0" w:space="0" w:color="auto"/>
        <w:right w:val="none" w:sz="0" w:space="0" w:color="auto"/>
      </w:divBdr>
    </w:div>
    <w:div w:id="1205828301">
      <w:bodyDiv w:val="1"/>
      <w:marLeft w:val="0"/>
      <w:marRight w:val="0"/>
      <w:marTop w:val="0"/>
      <w:marBottom w:val="0"/>
      <w:divBdr>
        <w:top w:val="none" w:sz="0" w:space="0" w:color="auto"/>
        <w:left w:val="none" w:sz="0" w:space="0" w:color="auto"/>
        <w:bottom w:val="none" w:sz="0" w:space="0" w:color="auto"/>
        <w:right w:val="none" w:sz="0" w:space="0" w:color="auto"/>
      </w:divBdr>
    </w:div>
    <w:div w:id="1210991536">
      <w:bodyDiv w:val="1"/>
      <w:marLeft w:val="0"/>
      <w:marRight w:val="0"/>
      <w:marTop w:val="0"/>
      <w:marBottom w:val="0"/>
      <w:divBdr>
        <w:top w:val="none" w:sz="0" w:space="0" w:color="auto"/>
        <w:left w:val="none" w:sz="0" w:space="0" w:color="auto"/>
        <w:bottom w:val="none" w:sz="0" w:space="0" w:color="auto"/>
        <w:right w:val="none" w:sz="0" w:space="0" w:color="auto"/>
      </w:divBdr>
    </w:div>
    <w:div w:id="1215774881">
      <w:bodyDiv w:val="1"/>
      <w:marLeft w:val="0"/>
      <w:marRight w:val="0"/>
      <w:marTop w:val="0"/>
      <w:marBottom w:val="0"/>
      <w:divBdr>
        <w:top w:val="none" w:sz="0" w:space="0" w:color="auto"/>
        <w:left w:val="none" w:sz="0" w:space="0" w:color="auto"/>
        <w:bottom w:val="none" w:sz="0" w:space="0" w:color="auto"/>
        <w:right w:val="none" w:sz="0" w:space="0" w:color="auto"/>
      </w:divBdr>
    </w:div>
    <w:div w:id="1217085041">
      <w:bodyDiv w:val="1"/>
      <w:marLeft w:val="0"/>
      <w:marRight w:val="0"/>
      <w:marTop w:val="0"/>
      <w:marBottom w:val="0"/>
      <w:divBdr>
        <w:top w:val="none" w:sz="0" w:space="0" w:color="auto"/>
        <w:left w:val="none" w:sz="0" w:space="0" w:color="auto"/>
        <w:bottom w:val="none" w:sz="0" w:space="0" w:color="auto"/>
        <w:right w:val="none" w:sz="0" w:space="0" w:color="auto"/>
      </w:divBdr>
    </w:div>
    <w:div w:id="1218128120">
      <w:bodyDiv w:val="1"/>
      <w:marLeft w:val="0"/>
      <w:marRight w:val="0"/>
      <w:marTop w:val="0"/>
      <w:marBottom w:val="0"/>
      <w:divBdr>
        <w:top w:val="none" w:sz="0" w:space="0" w:color="auto"/>
        <w:left w:val="none" w:sz="0" w:space="0" w:color="auto"/>
        <w:bottom w:val="none" w:sz="0" w:space="0" w:color="auto"/>
        <w:right w:val="none" w:sz="0" w:space="0" w:color="auto"/>
      </w:divBdr>
    </w:div>
    <w:div w:id="1224021427">
      <w:bodyDiv w:val="1"/>
      <w:marLeft w:val="0"/>
      <w:marRight w:val="0"/>
      <w:marTop w:val="0"/>
      <w:marBottom w:val="0"/>
      <w:divBdr>
        <w:top w:val="none" w:sz="0" w:space="0" w:color="auto"/>
        <w:left w:val="none" w:sz="0" w:space="0" w:color="auto"/>
        <w:bottom w:val="none" w:sz="0" w:space="0" w:color="auto"/>
        <w:right w:val="none" w:sz="0" w:space="0" w:color="auto"/>
      </w:divBdr>
    </w:div>
    <w:div w:id="1239289281">
      <w:bodyDiv w:val="1"/>
      <w:marLeft w:val="0"/>
      <w:marRight w:val="0"/>
      <w:marTop w:val="0"/>
      <w:marBottom w:val="0"/>
      <w:divBdr>
        <w:top w:val="none" w:sz="0" w:space="0" w:color="auto"/>
        <w:left w:val="none" w:sz="0" w:space="0" w:color="auto"/>
        <w:bottom w:val="none" w:sz="0" w:space="0" w:color="auto"/>
        <w:right w:val="none" w:sz="0" w:space="0" w:color="auto"/>
      </w:divBdr>
    </w:div>
    <w:div w:id="1248269525">
      <w:bodyDiv w:val="1"/>
      <w:marLeft w:val="0"/>
      <w:marRight w:val="0"/>
      <w:marTop w:val="0"/>
      <w:marBottom w:val="0"/>
      <w:divBdr>
        <w:top w:val="none" w:sz="0" w:space="0" w:color="auto"/>
        <w:left w:val="none" w:sz="0" w:space="0" w:color="auto"/>
        <w:bottom w:val="none" w:sz="0" w:space="0" w:color="auto"/>
        <w:right w:val="none" w:sz="0" w:space="0" w:color="auto"/>
      </w:divBdr>
    </w:div>
    <w:div w:id="1249726858">
      <w:bodyDiv w:val="1"/>
      <w:marLeft w:val="0"/>
      <w:marRight w:val="0"/>
      <w:marTop w:val="0"/>
      <w:marBottom w:val="0"/>
      <w:divBdr>
        <w:top w:val="none" w:sz="0" w:space="0" w:color="auto"/>
        <w:left w:val="none" w:sz="0" w:space="0" w:color="auto"/>
        <w:bottom w:val="none" w:sz="0" w:space="0" w:color="auto"/>
        <w:right w:val="none" w:sz="0" w:space="0" w:color="auto"/>
      </w:divBdr>
    </w:div>
    <w:div w:id="1252201421">
      <w:bodyDiv w:val="1"/>
      <w:marLeft w:val="0"/>
      <w:marRight w:val="0"/>
      <w:marTop w:val="0"/>
      <w:marBottom w:val="0"/>
      <w:divBdr>
        <w:top w:val="none" w:sz="0" w:space="0" w:color="auto"/>
        <w:left w:val="none" w:sz="0" w:space="0" w:color="auto"/>
        <w:bottom w:val="none" w:sz="0" w:space="0" w:color="auto"/>
        <w:right w:val="none" w:sz="0" w:space="0" w:color="auto"/>
      </w:divBdr>
    </w:div>
    <w:div w:id="1254775500">
      <w:bodyDiv w:val="1"/>
      <w:marLeft w:val="0"/>
      <w:marRight w:val="0"/>
      <w:marTop w:val="0"/>
      <w:marBottom w:val="0"/>
      <w:divBdr>
        <w:top w:val="none" w:sz="0" w:space="0" w:color="auto"/>
        <w:left w:val="none" w:sz="0" w:space="0" w:color="auto"/>
        <w:bottom w:val="none" w:sz="0" w:space="0" w:color="auto"/>
        <w:right w:val="none" w:sz="0" w:space="0" w:color="auto"/>
      </w:divBdr>
    </w:div>
    <w:div w:id="1256982779">
      <w:bodyDiv w:val="1"/>
      <w:marLeft w:val="0"/>
      <w:marRight w:val="0"/>
      <w:marTop w:val="0"/>
      <w:marBottom w:val="0"/>
      <w:divBdr>
        <w:top w:val="none" w:sz="0" w:space="0" w:color="auto"/>
        <w:left w:val="none" w:sz="0" w:space="0" w:color="auto"/>
        <w:bottom w:val="none" w:sz="0" w:space="0" w:color="auto"/>
        <w:right w:val="none" w:sz="0" w:space="0" w:color="auto"/>
      </w:divBdr>
    </w:div>
    <w:div w:id="1257519455">
      <w:bodyDiv w:val="1"/>
      <w:marLeft w:val="0"/>
      <w:marRight w:val="0"/>
      <w:marTop w:val="0"/>
      <w:marBottom w:val="0"/>
      <w:divBdr>
        <w:top w:val="none" w:sz="0" w:space="0" w:color="auto"/>
        <w:left w:val="none" w:sz="0" w:space="0" w:color="auto"/>
        <w:bottom w:val="none" w:sz="0" w:space="0" w:color="auto"/>
        <w:right w:val="none" w:sz="0" w:space="0" w:color="auto"/>
      </w:divBdr>
    </w:div>
    <w:div w:id="1259172490">
      <w:bodyDiv w:val="1"/>
      <w:marLeft w:val="0"/>
      <w:marRight w:val="0"/>
      <w:marTop w:val="0"/>
      <w:marBottom w:val="0"/>
      <w:divBdr>
        <w:top w:val="none" w:sz="0" w:space="0" w:color="auto"/>
        <w:left w:val="none" w:sz="0" w:space="0" w:color="auto"/>
        <w:bottom w:val="none" w:sz="0" w:space="0" w:color="auto"/>
        <w:right w:val="none" w:sz="0" w:space="0" w:color="auto"/>
      </w:divBdr>
    </w:div>
    <w:div w:id="1266423079">
      <w:bodyDiv w:val="1"/>
      <w:marLeft w:val="0"/>
      <w:marRight w:val="0"/>
      <w:marTop w:val="0"/>
      <w:marBottom w:val="0"/>
      <w:divBdr>
        <w:top w:val="none" w:sz="0" w:space="0" w:color="auto"/>
        <w:left w:val="none" w:sz="0" w:space="0" w:color="auto"/>
        <w:bottom w:val="none" w:sz="0" w:space="0" w:color="auto"/>
        <w:right w:val="none" w:sz="0" w:space="0" w:color="auto"/>
      </w:divBdr>
    </w:div>
    <w:div w:id="1268000530">
      <w:bodyDiv w:val="1"/>
      <w:marLeft w:val="0"/>
      <w:marRight w:val="0"/>
      <w:marTop w:val="0"/>
      <w:marBottom w:val="0"/>
      <w:divBdr>
        <w:top w:val="none" w:sz="0" w:space="0" w:color="auto"/>
        <w:left w:val="none" w:sz="0" w:space="0" w:color="auto"/>
        <w:bottom w:val="none" w:sz="0" w:space="0" w:color="auto"/>
        <w:right w:val="none" w:sz="0" w:space="0" w:color="auto"/>
      </w:divBdr>
    </w:div>
    <w:div w:id="1270620722">
      <w:bodyDiv w:val="1"/>
      <w:marLeft w:val="0"/>
      <w:marRight w:val="0"/>
      <w:marTop w:val="0"/>
      <w:marBottom w:val="0"/>
      <w:divBdr>
        <w:top w:val="none" w:sz="0" w:space="0" w:color="auto"/>
        <w:left w:val="none" w:sz="0" w:space="0" w:color="auto"/>
        <w:bottom w:val="none" w:sz="0" w:space="0" w:color="auto"/>
        <w:right w:val="none" w:sz="0" w:space="0" w:color="auto"/>
      </w:divBdr>
    </w:div>
    <w:div w:id="1271355559">
      <w:bodyDiv w:val="1"/>
      <w:marLeft w:val="0"/>
      <w:marRight w:val="0"/>
      <w:marTop w:val="0"/>
      <w:marBottom w:val="0"/>
      <w:divBdr>
        <w:top w:val="none" w:sz="0" w:space="0" w:color="auto"/>
        <w:left w:val="none" w:sz="0" w:space="0" w:color="auto"/>
        <w:bottom w:val="none" w:sz="0" w:space="0" w:color="auto"/>
        <w:right w:val="none" w:sz="0" w:space="0" w:color="auto"/>
      </w:divBdr>
    </w:div>
    <w:div w:id="1274441852">
      <w:bodyDiv w:val="1"/>
      <w:marLeft w:val="0"/>
      <w:marRight w:val="0"/>
      <w:marTop w:val="0"/>
      <w:marBottom w:val="0"/>
      <w:divBdr>
        <w:top w:val="none" w:sz="0" w:space="0" w:color="auto"/>
        <w:left w:val="none" w:sz="0" w:space="0" w:color="auto"/>
        <w:bottom w:val="none" w:sz="0" w:space="0" w:color="auto"/>
        <w:right w:val="none" w:sz="0" w:space="0" w:color="auto"/>
      </w:divBdr>
    </w:div>
    <w:div w:id="1282764003">
      <w:bodyDiv w:val="1"/>
      <w:marLeft w:val="0"/>
      <w:marRight w:val="0"/>
      <w:marTop w:val="0"/>
      <w:marBottom w:val="0"/>
      <w:divBdr>
        <w:top w:val="none" w:sz="0" w:space="0" w:color="auto"/>
        <w:left w:val="none" w:sz="0" w:space="0" w:color="auto"/>
        <w:bottom w:val="none" w:sz="0" w:space="0" w:color="auto"/>
        <w:right w:val="none" w:sz="0" w:space="0" w:color="auto"/>
      </w:divBdr>
    </w:div>
    <w:div w:id="1284579794">
      <w:bodyDiv w:val="1"/>
      <w:marLeft w:val="0"/>
      <w:marRight w:val="0"/>
      <w:marTop w:val="0"/>
      <w:marBottom w:val="0"/>
      <w:divBdr>
        <w:top w:val="none" w:sz="0" w:space="0" w:color="auto"/>
        <w:left w:val="none" w:sz="0" w:space="0" w:color="auto"/>
        <w:bottom w:val="none" w:sz="0" w:space="0" w:color="auto"/>
        <w:right w:val="none" w:sz="0" w:space="0" w:color="auto"/>
      </w:divBdr>
    </w:div>
    <w:div w:id="1289359403">
      <w:bodyDiv w:val="1"/>
      <w:marLeft w:val="0"/>
      <w:marRight w:val="0"/>
      <w:marTop w:val="0"/>
      <w:marBottom w:val="0"/>
      <w:divBdr>
        <w:top w:val="none" w:sz="0" w:space="0" w:color="auto"/>
        <w:left w:val="none" w:sz="0" w:space="0" w:color="auto"/>
        <w:bottom w:val="none" w:sz="0" w:space="0" w:color="auto"/>
        <w:right w:val="none" w:sz="0" w:space="0" w:color="auto"/>
      </w:divBdr>
    </w:div>
    <w:div w:id="1299455202">
      <w:bodyDiv w:val="1"/>
      <w:marLeft w:val="0"/>
      <w:marRight w:val="0"/>
      <w:marTop w:val="0"/>
      <w:marBottom w:val="0"/>
      <w:divBdr>
        <w:top w:val="none" w:sz="0" w:space="0" w:color="auto"/>
        <w:left w:val="none" w:sz="0" w:space="0" w:color="auto"/>
        <w:bottom w:val="none" w:sz="0" w:space="0" w:color="auto"/>
        <w:right w:val="none" w:sz="0" w:space="0" w:color="auto"/>
      </w:divBdr>
      <w:divsChild>
        <w:div w:id="2511081">
          <w:marLeft w:val="480"/>
          <w:marRight w:val="0"/>
          <w:marTop w:val="0"/>
          <w:marBottom w:val="0"/>
          <w:divBdr>
            <w:top w:val="none" w:sz="0" w:space="0" w:color="auto"/>
            <w:left w:val="none" w:sz="0" w:space="0" w:color="auto"/>
            <w:bottom w:val="none" w:sz="0" w:space="0" w:color="auto"/>
            <w:right w:val="none" w:sz="0" w:space="0" w:color="auto"/>
          </w:divBdr>
        </w:div>
        <w:div w:id="179979231">
          <w:marLeft w:val="480"/>
          <w:marRight w:val="0"/>
          <w:marTop w:val="0"/>
          <w:marBottom w:val="0"/>
          <w:divBdr>
            <w:top w:val="none" w:sz="0" w:space="0" w:color="auto"/>
            <w:left w:val="none" w:sz="0" w:space="0" w:color="auto"/>
            <w:bottom w:val="none" w:sz="0" w:space="0" w:color="auto"/>
            <w:right w:val="none" w:sz="0" w:space="0" w:color="auto"/>
          </w:divBdr>
        </w:div>
        <w:div w:id="1318723668">
          <w:marLeft w:val="480"/>
          <w:marRight w:val="0"/>
          <w:marTop w:val="0"/>
          <w:marBottom w:val="0"/>
          <w:divBdr>
            <w:top w:val="none" w:sz="0" w:space="0" w:color="auto"/>
            <w:left w:val="none" w:sz="0" w:space="0" w:color="auto"/>
            <w:bottom w:val="none" w:sz="0" w:space="0" w:color="auto"/>
            <w:right w:val="none" w:sz="0" w:space="0" w:color="auto"/>
          </w:divBdr>
        </w:div>
      </w:divsChild>
    </w:div>
    <w:div w:id="1300525932">
      <w:bodyDiv w:val="1"/>
      <w:marLeft w:val="0"/>
      <w:marRight w:val="0"/>
      <w:marTop w:val="0"/>
      <w:marBottom w:val="0"/>
      <w:divBdr>
        <w:top w:val="none" w:sz="0" w:space="0" w:color="auto"/>
        <w:left w:val="none" w:sz="0" w:space="0" w:color="auto"/>
        <w:bottom w:val="none" w:sz="0" w:space="0" w:color="auto"/>
        <w:right w:val="none" w:sz="0" w:space="0" w:color="auto"/>
      </w:divBdr>
    </w:div>
    <w:div w:id="1310014893">
      <w:bodyDiv w:val="1"/>
      <w:marLeft w:val="0"/>
      <w:marRight w:val="0"/>
      <w:marTop w:val="0"/>
      <w:marBottom w:val="0"/>
      <w:divBdr>
        <w:top w:val="none" w:sz="0" w:space="0" w:color="auto"/>
        <w:left w:val="none" w:sz="0" w:space="0" w:color="auto"/>
        <w:bottom w:val="none" w:sz="0" w:space="0" w:color="auto"/>
        <w:right w:val="none" w:sz="0" w:space="0" w:color="auto"/>
      </w:divBdr>
    </w:div>
    <w:div w:id="1311906736">
      <w:bodyDiv w:val="1"/>
      <w:marLeft w:val="0"/>
      <w:marRight w:val="0"/>
      <w:marTop w:val="0"/>
      <w:marBottom w:val="0"/>
      <w:divBdr>
        <w:top w:val="none" w:sz="0" w:space="0" w:color="auto"/>
        <w:left w:val="none" w:sz="0" w:space="0" w:color="auto"/>
        <w:bottom w:val="none" w:sz="0" w:space="0" w:color="auto"/>
        <w:right w:val="none" w:sz="0" w:space="0" w:color="auto"/>
      </w:divBdr>
    </w:div>
    <w:div w:id="1312490329">
      <w:bodyDiv w:val="1"/>
      <w:marLeft w:val="0"/>
      <w:marRight w:val="0"/>
      <w:marTop w:val="0"/>
      <w:marBottom w:val="0"/>
      <w:divBdr>
        <w:top w:val="none" w:sz="0" w:space="0" w:color="auto"/>
        <w:left w:val="none" w:sz="0" w:space="0" w:color="auto"/>
        <w:bottom w:val="none" w:sz="0" w:space="0" w:color="auto"/>
        <w:right w:val="none" w:sz="0" w:space="0" w:color="auto"/>
      </w:divBdr>
    </w:div>
    <w:div w:id="1328047419">
      <w:bodyDiv w:val="1"/>
      <w:marLeft w:val="0"/>
      <w:marRight w:val="0"/>
      <w:marTop w:val="0"/>
      <w:marBottom w:val="0"/>
      <w:divBdr>
        <w:top w:val="none" w:sz="0" w:space="0" w:color="auto"/>
        <w:left w:val="none" w:sz="0" w:space="0" w:color="auto"/>
        <w:bottom w:val="none" w:sz="0" w:space="0" w:color="auto"/>
        <w:right w:val="none" w:sz="0" w:space="0" w:color="auto"/>
      </w:divBdr>
    </w:div>
    <w:div w:id="1331592227">
      <w:bodyDiv w:val="1"/>
      <w:marLeft w:val="0"/>
      <w:marRight w:val="0"/>
      <w:marTop w:val="0"/>
      <w:marBottom w:val="0"/>
      <w:divBdr>
        <w:top w:val="none" w:sz="0" w:space="0" w:color="auto"/>
        <w:left w:val="none" w:sz="0" w:space="0" w:color="auto"/>
        <w:bottom w:val="none" w:sz="0" w:space="0" w:color="auto"/>
        <w:right w:val="none" w:sz="0" w:space="0" w:color="auto"/>
      </w:divBdr>
    </w:div>
    <w:div w:id="1334068845">
      <w:bodyDiv w:val="1"/>
      <w:marLeft w:val="0"/>
      <w:marRight w:val="0"/>
      <w:marTop w:val="0"/>
      <w:marBottom w:val="0"/>
      <w:divBdr>
        <w:top w:val="none" w:sz="0" w:space="0" w:color="auto"/>
        <w:left w:val="none" w:sz="0" w:space="0" w:color="auto"/>
        <w:bottom w:val="none" w:sz="0" w:space="0" w:color="auto"/>
        <w:right w:val="none" w:sz="0" w:space="0" w:color="auto"/>
      </w:divBdr>
    </w:div>
    <w:div w:id="1335382289">
      <w:bodyDiv w:val="1"/>
      <w:marLeft w:val="0"/>
      <w:marRight w:val="0"/>
      <w:marTop w:val="0"/>
      <w:marBottom w:val="0"/>
      <w:divBdr>
        <w:top w:val="none" w:sz="0" w:space="0" w:color="auto"/>
        <w:left w:val="none" w:sz="0" w:space="0" w:color="auto"/>
        <w:bottom w:val="none" w:sz="0" w:space="0" w:color="auto"/>
        <w:right w:val="none" w:sz="0" w:space="0" w:color="auto"/>
      </w:divBdr>
    </w:div>
    <w:div w:id="1337076231">
      <w:bodyDiv w:val="1"/>
      <w:marLeft w:val="0"/>
      <w:marRight w:val="0"/>
      <w:marTop w:val="0"/>
      <w:marBottom w:val="0"/>
      <w:divBdr>
        <w:top w:val="none" w:sz="0" w:space="0" w:color="auto"/>
        <w:left w:val="none" w:sz="0" w:space="0" w:color="auto"/>
        <w:bottom w:val="none" w:sz="0" w:space="0" w:color="auto"/>
        <w:right w:val="none" w:sz="0" w:space="0" w:color="auto"/>
      </w:divBdr>
      <w:divsChild>
        <w:div w:id="344866155">
          <w:marLeft w:val="0"/>
          <w:marRight w:val="0"/>
          <w:marTop w:val="0"/>
          <w:marBottom w:val="0"/>
          <w:divBdr>
            <w:top w:val="none" w:sz="0" w:space="0" w:color="auto"/>
            <w:left w:val="none" w:sz="0" w:space="0" w:color="auto"/>
            <w:bottom w:val="none" w:sz="0" w:space="0" w:color="auto"/>
            <w:right w:val="none" w:sz="0" w:space="0" w:color="auto"/>
          </w:divBdr>
        </w:div>
      </w:divsChild>
    </w:div>
    <w:div w:id="1337725869">
      <w:bodyDiv w:val="1"/>
      <w:marLeft w:val="0"/>
      <w:marRight w:val="0"/>
      <w:marTop w:val="0"/>
      <w:marBottom w:val="0"/>
      <w:divBdr>
        <w:top w:val="none" w:sz="0" w:space="0" w:color="auto"/>
        <w:left w:val="none" w:sz="0" w:space="0" w:color="auto"/>
        <w:bottom w:val="none" w:sz="0" w:space="0" w:color="auto"/>
        <w:right w:val="none" w:sz="0" w:space="0" w:color="auto"/>
      </w:divBdr>
    </w:div>
    <w:div w:id="1341153315">
      <w:bodyDiv w:val="1"/>
      <w:marLeft w:val="0"/>
      <w:marRight w:val="0"/>
      <w:marTop w:val="0"/>
      <w:marBottom w:val="0"/>
      <w:divBdr>
        <w:top w:val="none" w:sz="0" w:space="0" w:color="auto"/>
        <w:left w:val="none" w:sz="0" w:space="0" w:color="auto"/>
        <w:bottom w:val="none" w:sz="0" w:space="0" w:color="auto"/>
        <w:right w:val="none" w:sz="0" w:space="0" w:color="auto"/>
      </w:divBdr>
    </w:div>
    <w:div w:id="1341473227">
      <w:bodyDiv w:val="1"/>
      <w:marLeft w:val="0"/>
      <w:marRight w:val="0"/>
      <w:marTop w:val="0"/>
      <w:marBottom w:val="0"/>
      <w:divBdr>
        <w:top w:val="none" w:sz="0" w:space="0" w:color="auto"/>
        <w:left w:val="none" w:sz="0" w:space="0" w:color="auto"/>
        <w:bottom w:val="none" w:sz="0" w:space="0" w:color="auto"/>
        <w:right w:val="none" w:sz="0" w:space="0" w:color="auto"/>
      </w:divBdr>
    </w:div>
    <w:div w:id="1348365638">
      <w:bodyDiv w:val="1"/>
      <w:marLeft w:val="0"/>
      <w:marRight w:val="0"/>
      <w:marTop w:val="0"/>
      <w:marBottom w:val="0"/>
      <w:divBdr>
        <w:top w:val="none" w:sz="0" w:space="0" w:color="auto"/>
        <w:left w:val="none" w:sz="0" w:space="0" w:color="auto"/>
        <w:bottom w:val="none" w:sz="0" w:space="0" w:color="auto"/>
        <w:right w:val="none" w:sz="0" w:space="0" w:color="auto"/>
      </w:divBdr>
    </w:div>
    <w:div w:id="1348827319">
      <w:bodyDiv w:val="1"/>
      <w:marLeft w:val="0"/>
      <w:marRight w:val="0"/>
      <w:marTop w:val="0"/>
      <w:marBottom w:val="0"/>
      <w:divBdr>
        <w:top w:val="none" w:sz="0" w:space="0" w:color="auto"/>
        <w:left w:val="none" w:sz="0" w:space="0" w:color="auto"/>
        <w:bottom w:val="none" w:sz="0" w:space="0" w:color="auto"/>
        <w:right w:val="none" w:sz="0" w:space="0" w:color="auto"/>
      </w:divBdr>
      <w:divsChild>
        <w:div w:id="321590202">
          <w:marLeft w:val="0"/>
          <w:marRight w:val="0"/>
          <w:marTop w:val="0"/>
          <w:marBottom w:val="0"/>
          <w:divBdr>
            <w:top w:val="none" w:sz="0" w:space="0" w:color="auto"/>
            <w:left w:val="none" w:sz="0" w:space="0" w:color="auto"/>
            <w:bottom w:val="none" w:sz="0" w:space="0" w:color="auto"/>
            <w:right w:val="none" w:sz="0" w:space="0" w:color="auto"/>
          </w:divBdr>
        </w:div>
        <w:div w:id="1556819124">
          <w:marLeft w:val="0"/>
          <w:marRight w:val="0"/>
          <w:marTop w:val="0"/>
          <w:marBottom w:val="0"/>
          <w:divBdr>
            <w:top w:val="none" w:sz="0" w:space="0" w:color="auto"/>
            <w:left w:val="none" w:sz="0" w:space="0" w:color="auto"/>
            <w:bottom w:val="none" w:sz="0" w:space="0" w:color="auto"/>
            <w:right w:val="none" w:sz="0" w:space="0" w:color="auto"/>
          </w:divBdr>
        </w:div>
      </w:divsChild>
    </w:div>
    <w:div w:id="1352025078">
      <w:bodyDiv w:val="1"/>
      <w:marLeft w:val="0"/>
      <w:marRight w:val="0"/>
      <w:marTop w:val="0"/>
      <w:marBottom w:val="0"/>
      <w:divBdr>
        <w:top w:val="none" w:sz="0" w:space="0" w:color="auto"/>
        <w:left w:val="none" w:sz="0" w:space="0" w:color="auto"/>
        <w:bottom w:val="none" w:sz="0" w:space="0" w:color="auto"/>
        <w:right w:val="none" w:sz="0" w:space="0" w:color="auto"/>
      </w:divBdr>
    </w:div>
    <w:div w:id="1361199273">
      <w:bodyDiv w:val="1"/>
      <w:marLeft w:val="0"/>
      <w:marRight w:val="0"/>
      <w:marTop w:val="0"/>
      <w:marBottom w:val="0"/>
      <w:divBdr>
        <w:top w:val="none" w:sz="0" w:space="0" w:color="auto"/>
        <w:left w:val="none" w:sz="0" w:space="0" w:color="auto"/>
        <w:bottom w:val="none" w:sz="0" w:space="0" w:color="auto"/>
        <w:right w:val="none" w:sz="0" w:space="0" w:color="auto"/>
      </w:divBdr>
    </w:div>
    <w:div w:id="1364091522">
      <w:bodyDiv w:val="1"/>
      <w:marLeft w:val="0"/>
      <w:marRight w:val="0"/>
      <w:marTop w:val="0"/>
      <w:marBottom w:val="0"/>
      <w:divBdr>
        <w:top w:val="none" w:sz="0" w:space="0" w:color="auto"/>
        <w:left w:val="none" w:sz="0" w:space="0" w:color="auto"/>
        <w:bottom w:val="none" w:sz="0" w:space="0" w:color="auto"/>
        <w:right w:val="none" w:sz="0" w:space="0" w:color="auto"/>
      </w:divBdr>
    </w:div>
    <w:div w:id="1366826829">
      <w:bodyDiv w:val="1"/>
      <w:marLeft w:val="0"/>
      <w:marRight w:val="0"/>
      <w:marTop w:val="0"/>
      <w:marBottom w:val="0"/>
      <w:divBdr>
        <w:top w:val="none" w:sz="0" w:space="0" w:color="auto"/>
        <w:left w:val="none" w:sz="0" w:space="0" w:color="auto"/>
        <w:bottom w:val="none" w:sz="0" w:space="0" w:color="auto"/>
        <w:right w:val="none" w:sz="0" w:space="0" w:color="auto"/>
      </w:divBdr>
    </w:div>
    <w:div w:id="1369183287">
      <w:bodyDiv w:val="1"/>
      <w:marLeft w:val="0"/>
      <w:marRight w:val="0"/>
      <w:marTop w:val="0"/>
      <w:marBottom w:val="0"/>
      <w:divBdr>
        <w:top w:val="none" w:sz="0" w:space="0" w:color="auto"/>
        <w:left w:val="none" w:sz="0" w:space="0" w:color="auto"/>
        <w:bottom w:val="none" w:sz="0" w:space="0" w:color="auto"/>
        <w:right w:val="none" w:sz="0" w:space="0" w:color="auto"/>
      </w:divBdr>
    </w:div>
    <w:div w:id="1371690751">
      <w:bodyDiv w:val="1"/>
      <w:marLeft w:val="0"/>
      <w:marRight w:val="0"/>
      <w:marTop w:val="0"/>
      <w:marBottom w:val="0"/>
      <w:divBdr>
        <w:top w:val="none" w:sz="0" w:space="0" w:color="auto"/>
        <w:left w:val="none" w:sz="0" w:space="0" w:color="auto"/>
        <w:bottom w:val="none" w:sz="0" w:space="0" w:color="auto"/>
        <w:right w:val="none" w:sz="0" w:space="0" w:color="auto"/>
      </w:divBdr>
    </w:div>
    <w:div w:id="1380009181">
      <w:bodyDiv w:val="1"/>
      <w:marLeft w:val="0"/>
      <w:marRight w:val="0"/>
      <w:marTop w:val="0"/>
      <w:marBottom w:val="0"/>
      <w:divBdr>
        <w:top w:val="none" w:sz="0" w:space="0" w:color="auto"/>
        <w:left w:val="none" w:sz="0" w:space="0" w:color="auto"/>
        <w:bottom w:val="none" w:sz="0" w:space="0" w:color="auto"/>
        <w:right w:val="none" w:sz="0" w:space="0" w:color="auto"/>
      </w:divBdr>
    </w:div>
    <w:div w:id="1385371691">
      <w:bodyDiv w:val="1"/>
      <w:marLeft w:val="0"/>
      <w:marRight w:val="0"/>
      <w:marTop w:val="0"/>
      <w:marBottom w:val="0"/>
      <w:divBdr>
        <w:top w:val="none" w:sz="0" w:space="0" w:color="auto"/>
        <w:left w:val="none" w:sz="0" w:space="0" w:color="auto"/>
        <w:bottom w:val="none" w:sz="0" w:space="0" w:color="auto"/>
        <w:right w:val="none" w:sz="0" w:space="0" w:color="auto"/>
      </w:divBdr>
    </w:div>
    <w:div w:id="1385911446">
      <w:bodyDiv w:val="1"/>
      <w:marLeft w:val="0"/>
      <w:marRight w:val="0"/>
      <w:marTop w:val="0"/>
      <w:marBottom w:val="0"/>
      <w:divBdr>
        <w:top w:val="none" w:sz="0" w:space="0" w:color="auto"/>
        <w:left w:val="none" w:sz="0" w:space="0" w:color="auto"/>
        <w:bottom w:val="none" w:sz="0" w:space="0" w:color="auto"/>
        <w:right w:val="none" w:sz="0" w:space="0" w:color="auto"/>
      </w:divBdr>
    </w:div>
    <w:div w:id="1388407457">
      <w:bodyDiv w:val="1"/>
      <w:marLeft w:val="0"/>
      <w:marRight w:val="0"/>
      <w:marTop w:val="0"/>
      <w:marBottom w:val="0"/>
      <w:divBdr>
        <w:top w:val="none" w:sz="0" w:space="0" w:color="auto"/>
        <w:left w:val="none" w:sz="0" w:space="0" w:color="auto"/>
        <w:bottom w:val="none" w:sz="0" w:space="0" w:color="auto"/>
        <w:right w:val="none" w:sz="0" w:space="0" w:color="auto"/>
      </w:divBdr>
    </w:div>
    <w:div w:id="1390033149">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399135626">
      <w:bodyDiv w:val="1"/>
      <w:marLeft w:val="0"/>
      <w:marRight w:val="0"/>
      <w:marTop w:val="0"/>
      <w:marBottom w:val="0"/>
      <w:divBdr>
        <w:top w:val="none" w:sz="0" w:space="0" w:color="auto"/>
        <w:left w:val="none" w:sz="0" w:space="0" w:color="auto"/>
        <w:bottom w:val="none" w:sz="0" w:space="0" w:color="auto"/>
        <w:right w:val="none" w:sz="0" w:space="0" w:color="auto"/>
      </w:divBdr>
    </w:div>
    <w:div w:id="1408768222">
      <w:bodyDiv w:val="1"/>
      <w:marLeft w:val="0"/>
      <w:marRight w:val="0"/>
      <w:marTop w:val="0"/>
      <w:marBottom w:val="0"/>
      <w:divBdr>
        <w:top w:val="none" w:sz="0" w:space="0" w:color="auto"/>
        <w:left w:val="none" w:sz="0" w:space="0" w:color="auto"/>
        <w:bottom w:val="none" w:sz="0" w:space="0" w:color="auto"/>
        <w:right w:val="none" w:sz="0" w:space="0" w:color="auto"/>
      </w:divBdr>
    </w:div>
    <w:div w:id="1413088205">
      <w:bodyDiv w:val="1"/>
      <w:marLeft w:val="0"/>
      <w:marRight w:val="0"/>
      <w:marTop w:val="0"/>
      <w:marBottom w:val="0"/>
      <w:divBdr>
        <w:top w:val="none" w:sz="0" w:space="0" w:color="auto"/>
        <w:left w:val="none" w:sz="0" w:space="0" w:color="auto"/>
        <w:bottom w:val="none" w:sz="0" w:space="0" w:color="auto"/>
        <w:right w:val="none" w:sz="0" w:space="0" w:color="auto"/>
      </w:divBdr>
    </w:div>
    <w:div w:id="1417359867">
      <w:bodyDiv w:val="1"/>
      <w:marLeft w:val="0"/>
      <w:marRight w:val="0"/>
      <w:marTop w:val="0"/>
      <w:marBottom w:val="0"/>
      <w:divBdr>
        <w:top w:val="none" w:sz="0" w:space="0" w:color="auto"/>
        <w:left w:val="none" w:sz="0" w:space="0" w:color="auto"/>
        <w:bottom w:val="none" w:sz="0" w:space="0" w:color="auto"/>
        <w:right w:val="none" w:sz="0" w:space="0" w:color="auto"/>
      </w:divBdr>
    </w:div>
    <w:div w:id="1421215429">
      <w:bodyDiv w:val="1"/>
      <w:marLeft w:val="0"/>
      <w:marRight w:val="0"/>
      <w:marTop w:val="0"/>
      <w:marBottom w:val="0"/>
      <w:divBdr>
        <w:top w:val="none" w:sz="0" w:space="0" w:color="auto"/>
        <w:left w:val="none" w:sz="0" w:space="0" w:color="auto"/>
        <w:bottom w:val="none" w:sz="0" w:space="0" w:color="auto"/>
        <w:right w:val="none" w:sz="0" w:space="0" w:color="auto"/>
      </w:divBdr>
    </w:div>
    <w:div w:id="1426269816">
      <w:bodyDiv w:val="1"/>
      <w:marLeft w:val="0"/>
      <w:marRight w:val="0"/>
      <w:marTop w:val="0"/>
      <w:marBottom w:val="0"/>
      <w:divBdr>
        <w:top w:val="none" w:sz="0" w:space="0" w:color="auto"/>
        <w:left w:val="none" w:sz="0" w:space="0" w:color="auto"/>
        <w:bottom w:val="none" w:sz="0" w:space="0" w:color="auto"/>
        <w:right w:val="none" w:sz="0" w:space="0" w:color="auto"/>
      </w:divBdr>
    </w:div>
    <w:div w:id="1430854468">
      <w:bodyDiv w:val="1"/>
      <w:marLeft w:val="0"/>
      <w:marRight w:val="0"/>
      <w:marTop w:val="0"/>
      <w:marBottom w:val="0"/>
      <w:divBdr>
        <w:top w:val="none" w:sz="0" w:space="0" w:color="auto"/>
        <w:left w:val="none" w:sz="0" w:space="0" w:color="auto"/>
        <w:bottom w:val="none" w:sz="0" w:space="0" w:color="auto"/>
        <w:right w:val="none" w:sz="0" w:space="0" w:color="auto"/>
      </w:divBdr>
    </w:div>
    <w:div w:id="1431002139">
      <w:bodyDiv w:val="1"/>
      <w:marLeft w:val="0"/>
      <w:marRight w:val="0"/>
      <w:marTop w:val="0"/>
      <w:marBottom w:val="0"/>
      <w:divBdr>
        <w:top w:val="none" w:sz="0" w:space="0" w:color="auto"/>
        <w:left w:val="none" w:sz="0" w:space="0" w:color="auto"/>
        <w:bottom w:val="none" w:sz="0" w:space="0" w:color="auto"/>
        <w:right w:val="none" w:sz="0" w:space="0" w:color="auto"/>
      </w:divBdr>
    </w:div>
    <w:div w:id="1436361608">
      <w:bodyDiv w:val="1"/>
      <w:marLeft w:val="0"/>
      <w:marRight w:val="0"/>
      <w:marTop w:val="0"/>
      <w:marBottom w:val="0"/>
      <w:divBdr>
        <w:top w:val="none" w:sz="0" w:space="0" w:color="auto"/>
        <w:left w:val="none" w:sz="0" w:space="0" w:color="auto"/>
        <w:bottom w:val="none" w:sz="0" w:space="0" w:color="auto"/>
        <w:right w:val="none" w:sz="0" w:space="0" w:color="auto"/>
      </w:divBdr>
    </w:div>
    <w:div w:id="1440031816">
      <w:bodyDiv w:val="1"/>
      <w:marLeft w:val="0"/>
      <w:marRight w:val="0"/>
      <w:marTop w:val="0"/>
      <w:marBottom w:val="0"/>
      <w:divBdr>
        <w:top w:val="none" w:sz="0" w:space="0" w:color="auto"/>
        <w:left w:val="none" w:sz="0" w:space="0" w:color="auto"/>
        <w:bottom w:val="none" w:sz="0" w:space="0" w:color="auto"/>
        <w:right w:val="none" w:sz="0" w:space="0" w:color="auto"/>
      </w:divBdr>
    </w:div>
    <w:div w:id="1441946581">
      <w:bodyDiv w:val="1"/>
      <w:marLeft w:val="0"/>
      <w:marRight w:val="0"/>
      <w:marTop w:val="0"/>
      <w:marBottom w:val="0"/>
      <w:divBdr>
        <w:top w:val="none" w:sz="0" w:space="0" w:color="auto"/>
        <w:left w:val="none" w:sz="0" w:space="0" w:color="auto"/>
        <w:bottom w:val="none" w:sz="0" w:space="0" w:color="auto"/>
        <w:right w:val="none" w:sz="0" w:space="0" w:color="auto"/>
      </w:divBdr>
    </w:div>
    <w:div w:id="1446267849">
      <w:bodyDiv w:val="1"/>
      <w:marLeft w:val="0"/>
      <w:marRight w:val="0"/>
      <w:marTop w:val="0"/>
      <w:marBottom w:val="0"/>
      <w:divBdr>
        <w:top w:val="none" w:sz="0" w:space="0" w:color="auto"/>
        <w:left w:val="none" w:sz="0" w:space="0" w:color="auto"/>
        <w:bottom w:val="none" w:sz="0" w:space="0" w:color="auto"/>
        <w:right w:val="none" w:sz="0" w:space="0" w:color="auto"/>
      </w:divBdr>
    </w:div>
    <w:div w:id="1446926528">
      <w:bodyDiv w:val="1"/>
      <w:marLeft w:val="0"/>
      <w:marRight w:val="0"/>
      <w:marTop w:val="0"/>
      <w:marBottom w:val="0"/>
      <w:divBdr>
        <w:top w:val="none" w:sz="0" w:space="0" w:color="auto"/>
        <w:left w:val="none" w:sz="0" w:space="0" w:color="auto"/>
        <w:bottom w:val="none" w:sz="0" w:space="0" w:color="auto"/>
        <w:right w:val="none" w:sz="0" w:space="0" w:color="auto"/>
      </w:divBdr>
    </w:div>
    <w:div w:id="1449542869">
      <w:bodyDiv w:val="1"/>
      <w:marLeft w:val="0"/>
      <w:marRight w:val="0"/>
      <w:marTop w:val="0"/>
      <w:marBottom w:val="0"/>
      <w:divBdr>
        <w:top w:val="none" w:sz="0" w:space="0" w:color="auto"/>
        <w:left w:val="none" w:sz="0" w:space="0" w:color="auto"/>
        <w:bottom w:val="none" w:sz="0" w:space="0" w:color="auto"/>
        <w:right w:val="none" w:sz="0" w:space="0" w:color="auto"/>
      </w:divBdr>
    </w:div>
    <w:div w:id="1453406541">
      <w:bodyDiv w:val="1"/>
      <w:marLeft w:val="0"/>
      <w:marRight w:val="0"/>
      <w:marTop w:val="0"/>
      <w:marBottom w:val="0"/>
      <w:divBdr>
        <w:top w:val="none" w:sz="0" w:space="0" w:color="auto"/>
        <w:left w:val="none" w:sz="0" w:space="0" w:color="auto"/>
        <w:bottom w:val="none" w:sz="0" w:space="0" w:color="auto"/>
        <w:right w:val="none" w:sz="0" w:space="0" w:color="auto"/>
      </w:divBdr>
    </w:div>
    <w:div w:id="1459031877">
      <w:bodyDiv w:val="1"/>
      <w:marLeft w:val="0"/>
      <w:marRight w:val="0"/>
      <w:marTop w:val="0"/>
      <w:marBottom w:val="0"/>
      <w:divBdr>
        <w:top w:val="none" w:sz="0" w:space="0" w:color="auto"/>
        <w:left w:val="none" w:sz="0" w:space="0" w:color="auto"/>
        <w:bottom w:val="none" w:sz="0" w:space="0" w:color="auto"/>
        <w:right w:val="none" w:sz="0" w:space="0" w:color="auto"/>
      </w:divBdr>
    </w:div>
    <w:div w:id="1459376901">
      <w:bodyDiv w:val="1"/>
      <w:marLeft w:val="0"/>
      <w:marRight w:val="0"/>
      <w:marTop w:val="0"/>
      <w:marBottom w:val="0"/>
      <w:divBdr>
        <w:top w:val="none" w:sz="0" w:space="0" w:color="auto"/>
        <w:left w:val="none" w:sz="0" w:space="0" w:color="auto"/>
        <w:bottom w:val="none" w:sz="0" w:space="0" w:color="auto"/>
        <w:right w:val="none" w:sz="0" w:space="0" w:color="auto"/>
      </w:divBdr>
    </w:div>
    <w:div w:id="1460369022">
      <w:bodyDiv w:val="1"/>
      <w:marLeft w:val="0"/>
      <w:marRight w:val="0"/>
      <w:marTop w:val="0"/>
      <w:marBottom w:val="0"/>
      <w:divBdr>
        <w:top w:val="none" w:sz="0" w:space="0" w:color="auto"/>
        <w:left w:val="none" w:sz="0" w:space="0" w:color="auto"/>
        <w:bottom w:val="none" w:sz="0" w:space="0" w:color="auto"/>
        <w:right w:val="none" w:sz="0" w:space="0" w:color="auto"/>
      </w:divBdr>
    </w:div>
    <w:div w:id="1466192069">
      <w:bodyDiv w:val="1"/>
      <w:marLeft w:val="0"/>
      <w:marRight w:val="0"/>
      <w:marTop w:val="0"/>
      <w:marBottom w:val="0"/>
      <w:divBdr>
        <w:top w:val="none" w:sz="0" w:space="0" w:color="auto"/>
        <w:left w:val="none" w:sz="0" w:space="0" w:color="auto"/>
        <w:bottom w:val="none" w:sz="0" w:space="0" w:color="auto"/>
        <w:right w:val="none" w:sz="0" w:space="0" w:color="auto"/>
      </w:divBdr>
    </w:div>
    <w:div w:id="1484588751">
      <w:bodyDiv w:val="1"/>
      <w:marLeft w:val="0"/>
      <w:marRight w:val="0"/>
      <w:marTop w:val="0"/>
      <w:marBottom w:val="0"/>
      <w:divBdr>
        <w:top w:val="none" w:sz="0" w:space="0" w:color="auto"/>
        <w:left w:val="none" w:sz="0" w:space="0" w:color="auto"/>
        <w:bottom w:val="none" w:sz="0" w:space="0" w:color="auto"/>
        <w:right w:val="none" w:sz="0" w:space="0" w:color="auto"/>
      </w:divBdr>
    </w:div>
    <w:div w:id="1486387921">
      <w:bodyDiv w:val="1"/>
      <w:marLeft w:val="0"/>
      <w:marRight w:val="0"/>
      <w:marTop w:val="0"/>
      <w:marBottom w:val="0"/>
      <w:divBdr>
        <w:top w:val="none" w:sz="0" w:space="0" w:color="auto"/>
        <w:left w:val="none" w:sz="0" w:space="0" w:color="auto"/>
        <w:bottom w:val="none" w:sz="0" w:space="0" w:color="auto"/>
        <w:right w:val="none" w:sz="0" w:space="0" w:color="auto"/>
      </w:divBdr>
    </w:div>
    <w:div w:id="1487475209">
      <w:bodyDiv w:val="1"/>
      <w:marLeft w:val="0"/>
      <w:marRight w:val="0"/>
      <w:marTop w:val="0"/>
      <w:marBottom w:val="0"/>
      <w:divBdr>
        <w:top w:val="none" w:sz="0" w:space="0" w:color="auto"/>
        <w:left w:val="none" w:sz="0" w:space="0" w:color="auto"/>
        <w:bottom w:val="none" w:sz="0" w:space="0" w:color="auto"/>
        <w:right w:val="none" w:sz="0" w:space="0" w:color="auto"/>
      </w:divBdr>
    </w:div>
    <w:div w:id="1490750846">
      <w:bodyDiv w:val="1"/>
      <w:marLeft w:val="0"/>
      <w:marRight w:val="0"/>
      <w:marTop w:val="0"/>
      <w:marBottom w:val="0"/>
      <w:divBdr>
        <w:top w:val="none" w:sz="0" w:space="0" w:color="auto"/>
        <w:left w:val="none" w:sz="0" w:space="0" w:color="auto"/>
        <w:bottom w:val="none" w:sz="0" w:space="0" w:color="auto"/>
        <w:right w:val="none" w:sz="0" w:space="0" w:color="auto"/>
      </w:divBdr>
    </w:div>
    <w:div w:id="1493446989">
      <w:bodyDiv w:val="1"/>
      <w:marLeft w:val="0"/>
      <w:marRight w:val="0"/>
      <w:marTop w:val="0"/>
      <w:marBottom w:val="0"/>
      <w:divBdr>
        <w:top w:val="none" w:sz="0" w:space="0" w:color="auto"/>
        <w:left w:val="none" w:sz="0" w:space="0" w:color="auto"/>
        <w:bottom w:val="none" w:sz="0" w:space="0" w:color="auto"/>
        <w:right w:val="none" w:sz="0" w:space="0" w:color="auto"/>
      </w:divBdr>
    </w:div>
    <w:div w:id="1498417830">
      <w:bodyDiv w:val="1"/>
      <w:marLeft w:val="0"/>
      <w:marRight w:val="0"/>
      <w:marTop w:val="0"/>
      <w:marBottom w:val="0"/>
      <w:divBdr>
        <w:top w:val="none" w:sz="0" w:space="0" w:color="auto"/>
        <w:left w:val="none" w:sz="0" w:space="0" w:color="auto"/>
        <w:bottom w:val="none" w:sz="0" w:space="0" w:color="auto"/>
        <w:right w:val="none" w:sz="0" w:space="0" w:color="auto"/>
      </w:divBdr>
    </w:div>
    <w:div w:id="1499887009">
      <w:bodyDiv w:val="1"/>
      <w:marLeft w:val="0"/>
      <w:marRight w:val="0"/>
      <w:marTop w:val="0"/>
      <w:marBottom w:val="0"/>
      <w:divBdr>
        <w:top w:val="none" w:sz="0" w:space="0" w:color="auto"/>
        <w:left w:val="none" w:sz="0" w:space="0" w:color="auto"/>
        <w:bottom w:val="none" w:sz="0" w:space="0" w:color="auto"/>
        <w:right w:val="none" w:sz="0" w:space="0" w:color="auto"/>
      </w:divBdr>
    </w:div>
    <w:div w:id="1505827858">
      <w:bodyDiv w:val="1"/>
      <w:marLeft w:val="0"/>
      <w:marRight w:val="0"/>
      <w:marTop w:val="0"/>
      <w:marBottom w:val="0"/>
      <w:divBdr>
        <w:top w:val="none" w:sz="0" w:space="0" w:color="auto"/>
        <w:left w:val="none" w:sz="0" w:space="0" w:color="auto"/>
        <w:bottom w:val="none" w:sz="0" w:space="0" w:color="auto"/>
        <w:right w:val="none" w:sz="0" w:space="0" w:color="auto"/>
      </w:divBdr>
    </w:div>
    <w:div w:id="1509563529">
      <w:bodyDiv w:val="1"/>
      <w:marLeft w:val="0"/>
      <w:marRight w:val="0"/>
      <w:marTop w:val="0"/>
      <w:marBottom w:val="0"/>
      <w:divBdr>
        <w:top w:val="none" w:sz="0" w:space="0" w:color="auto"/>
        <w:left w:val="none" w:sz="0" w:space="0" w:color="auto"/>
        <w:bottom w:val="none" w:sz="0" w:space="0" w:color="auto"/>
        <w:right w:val="none" w:sz="0" w:space="0" w:color="auto"/>
      </w:divBdr>
    </w:div>
    <w:div w:id="1526089821">
      <w:bodyDiv w:val="1"/>
      <w:marLeft w:val="0"/>
      <w:marRight w:val="0"/>
      <w:marTop w:val="0"/>
      <w:marBottom w:val="0"/>
      <w:divBdr>
        <w:top w:val="none" w:sz="0" w:space="0" w:color="auto"/>
        <w:left w:val="none" w:sz="0" w:space="0" w:color="auto"/>
        <w:bottom w:val="none" w:sz="0" w:space="0" w:color="auto"/>
        <w:right w:val="none" w:sz="0" w:space="0" w:color="auto"/>
      </w:divBdr>
    </w:div>
    <w:div w:id="1527517698">
      <w:bodyDiv w:val="1"/>
      <w:marLeft w:val="0"/>
      <w:marRight w:val="0"/>
      <w:marTop w:val="0"/>
      <w:marBottom w:val="0"/>
      <w:divBdr>
        <w:top w:val="none" w:sz="0" w:space="0" w:color="auto"/>
        <w:left w:val="none" w:sz="0" w:space="0" w:color="auto"/>
        <w:bottom w:val="none" w:sz="0" w:space="0" w:color="auto"/>
        <w:right w:val="none" w:sz="0" w:space="0" w:color="auto"/>
      </w:divBdr>
    </w:div>
    <w:div w:id="1527937956">
      <w:bodyDiv w:val="1"/>
      <w:marLeft w:val="0"/>
      <w:marRight w:val="0"/>
      <w:marTop w:val="0"/>
      <w:marBottom w:val="0"/>
      <w:divBdr>
        <w:top w:val="none" w:sz="0" w:space="0" w:color="auto"/>
        <w:left w:val="none" w:sz="0" w:space="0" w:color="auto"/>
        <w:bottom w:val="none" w:sz="0" w:space="0" w:color="auto"/>
        <w:right w:val="none" w:sz="0" w:space="0" w:color="auto"/>
      </w:divBdr>
      <w:divsChild>
        <w:div w:id="924799211">
          <w:marLeft w:val="0"/>
          <w:marRight w:val="0"/>
          <w:marTop w:val="0"/>
          <w:marBottom w:val="0"/>
          <w:divBdr>
            <w:top w:val="none" w:sz="0" w:space="0" w:color="auto"/>
            <w:left w:val="none" w:sz="0" w:space="0" w:color="auto"/>
            <w:bottom w:val="none" w:sz="0" w:space="0" w:color="auto"/>
            <w:right w:val="none" w:sz="0" w:space="0" w:color="auto"/>
          </w:divBdr>
          <w:divsChild>
            <w:div w:id="152718089">
              <w:marLeft w:val="480"/>
              <w:marRight w:val="0"/>
              <w:marTop w:val="0"/>
              <w:marBottom w:val="0"/>
              <w:divBdr>
                <w:top w:val="none" w:sz="0" w:space="0" w:color="auto"/>
                <w:left w:val="none" w:sz="0" w:space="0" w:color="auto"/>
                <w:bottom w:val="none" w:sz="0" w:space="0" w:color="auto"/>
                <w:right w:val="none" w:sz="0" w:space="0" w:color="auto"/>
              </w:divBdr>
            </w:div>
            <w:div w:id="326444623">
              <w:marLeft w:val="480"/>
              <w:marRight w:val="0"/>
              <w:marTop w:val="0"/>
              <w:marBottom w:val="0"/>
              <w:divBdr>
                <w:top w:val="none" w:sz="0" w:space="0" w:color="auto"/>
                <w:left w:val="none" w:sz="0" w:space="0" w:color="auto"/>
                <w:bottom w:val="none" w:sz="0" w:space="0" w:color="auto"/>
                <w:right w:val="none" w:sz="0" w:space="0" w:color="auto"/>
              </w:divBdr>
            </w:div>
            <w:div w:id="420374308">
              <w:marLeft w:val="480"/>
              <w:marRight w:val="0"/>
              <w:marTop w:val="0"/>
              <w:marBottom w:val="0"/>
              <w:divBdr>
                <w:top w:val="none" w:sz="0" w:space="0" w:color="auto"/>
                <w:left w:val="none" w:sz="0" w:space="0" w:color="auto"/>
                <w:bottom w:val="none" w:sz="0" w:space="0" w:color="auto"/>
                <w:right w:val="none" w:sz="0" w:space="0" w:color="auto"/>
              </w:divBdr>
            </w:div>
            <w:div w:id="652875080">
              <w:marLeft w:val="480"/>
              <w:marRight w:val="0"/>
              <w:marTop w:val="0"/>
              <w:marBottom w:val="0"/>
              <w:divBdr>
                <w:top w:val="none" w:sz="0" w:space="0" w:color="auto"/>
                <w:left w:val="none" w:sz="0" w:space="0" w:color="auto"/>
                <w:bottom w:val="none" w:sz="0" w:space="0" w:color="auto"/>
                <w:right w:val="none" w:sz="0" w:space="0" w:color="auto"/>
              </w:divBdr>
            </w:div>
            <w:div w:id="716928424">
              <w:marLeft w:val="480"/>
              <w:marRight w:val="0"/>
              <w:marTop w:val="0"/>
              <w:marBottom w:val="0"/>
              <w:divBdr>
                <w:top w:val="none" w:sz="0" w:space="0" w:color="auto"/>
                <w:left w:val="none" w:sz="0" w:space="0" w:color="auto"/>
                <w:bottom w:val="none" w:sz="0" w:space="0" w:color="auto"/>
                <w:right w:val="none" w:sz="0" w:space="0" w:color="auto"/>
              </w:divBdr>
            </w:div>
            <w:div w:id="1004354529">
              <w:marLeft w:val="480"/>
              <w:marRight w:val="0"/>
              <w:marTop w:val="0"/>
              <w:marBottom w:val="0"/>
              <w:divBdr>
                <w:top w:val="none" w:sz="0" w:space="0" w:color="auto"/>
                <w:left w:val="none" w:sz="0" w:space="0" w:color="auto"/>
                <w:bottom w:val="none" w:sz="0" w:space="0" w:color="auto"/>
                <w:right w:val="none" w:sz="0" w:space="0" w:color="auto"/>
              </w:divBdr>
            </w:div>
            <w:div w:id="1022829290">
              <w:marLeft w:val="480"/>
              <w:marRight w:val="0"/>
              <w:marTop w:val="0"/>
              <w:marBottom w:val="0"/>
              <w:divBdr>
                <w:top w:val="none" w:sz="0" w:space="0" w:color="auto"/>
                <w:left w:val="none" w:sz="0" w:space="0" w:color="auto"/>
                <w:bottom w:val="none" w:sz="0" w:space="0" w:color="auto"/>
                <w:right w:val="none" w:sz="0" w:space="0" w:color="auto"/>
              </w:divBdr>
            </w:div>
            <w:div w:id="1286812042">
              <w:marLeft w:val="480"/>
              <w:marRight w:val="0"/>
              <w:marTop w:val="0"/>
              <w:marBottom w:val="0"/>
              <w:divBdr>
                <w:top w:val="none" w:sz="0" w:space="0" w:color="auto"/>
                <w:left w:val="none" w:sz="0" w:space="0" w:color="auto"/>
                <w:bottom w:val="none" w:sz="0" w:space="0" w:color="auto"/>
                <w:right w:val="none" w:sz="0" w:space="0" w:color="auto"/>
              </w:divBdr>
            </w:div>
            <w:div w:id="1614479382">
              <w:marLeft w:val="480"/>
              <w:marRight w:val="0"/>
              <w:marTop w:val="0"/>
              <w:marBottom w:val="0"/>
              <w:divBdr>
                <w:top w:val="none" w:sz="0" w:space="0" w:color="auto"/>
                <w:left w:val="none" w:sz="0" w:space="0" w:color="auto"/>
                <w:bottom w:val="none" w:sz="0" w:space="0" w:color="auto"/>
                <w:right w:val="none" w:sz="0" w:space="0" w:color="auto"/>
              </w:divBdr>
            </w:div>
            <w:div w:id="1973750938">
              <w:marLeft w:val="480"/>
              <w:marRight w:val="0"/>
              <w:marTop w:val="0"/>
              <w:marBottom w:val="0"/>
              <w:divBdr>
                <w:top w:val="none" w:sz="0" w:space="0" w:color="auto"/>
                <w:left w:val="none" w:sz="0" w:space="0" w:color="auto"/>
                <w:bottom w:val="none" w:sz="0" w:space="0" w:color="auto"/>
                <w:right w:val="none" w:sz="0" w:space="0" w:color="auto"/>
              </w:divBdr>
            </w:div>
            <w:div w:id="2034765510">
              <w:marLeft w:val="480"/>
              <w:marRight w:val="0"/>
              <w:marTop w:val="0"/>
              <w:marBottom w:val="0"/>
              <w:divBdr>
                <w:top w:val="none" w:sz="0" w:space="0" w:color="auto"/>
                <w:left w:val="none" w:sz="0" w:space="0" w:color="auto"/>
                <w:bottom w:val="none" w:sz="0" w:space="0" w:color="auto"/>
                <w:right w:val="none" w:sz="0" w:space="0" w:color="auto"/>
              </w:divBdr>
            </w:div>
            <w:div w:id="2106264084">
              <w:marLeft w:val="480"/>
              <w:marRight w:val="0"/>
              <w:marTop w:val="0"/>
              <w:marBottom w:val="0"/>
              <w:divBdr>
                <w:top w:val="none" w:sz="0" w:space="0" w:color="auto"/>
                <w:left w:val="none" w:sz="0" w:space="0" w:color="auto"/>
                <w:bottom w:val="none" w:sz="0" w:space="0" w:color="auto"/>
                <w:right w:val="none" w:sz="0" w:space="0" w:color="auto"/>
              </w:divBdr>
            </w:div>
          </w:divsChild>
        </w:div>
        <w:div w:id="1705251817">
          <w:marLeft w:val="0"/>
          <w:marRight w:val="0"/>
          <w:marTop w:val="0"/>
          <w:marBottom w:val="0"/>
          <w:divBdr>
            <w:top w:val="none" w:sz="0" w:space="0" w:color="auto"/>
            <w:left w:val="none" w:sz="0" w:space="0" w:color="auto"/>
            <w:bottom w:val="none" w:sz="0" w:space="0" w:color="auto"/>
            <w:right w:val="none" w:sz="0" w:space="0" w:color="auto"/>
          </w:divBdr>
        </w:div>
      </w:divsChild>
    </w:div>
    <w:div w:id="1529443616">
      <w:bodyDiv w:val="1"/>
      <w:marLeft w:val="0"/>
      <w:marRight w:val="0"/>
      <w:marTop w:val="0"/>
      <w:marBottom w:val="0"/>
      <w:divBdr>
        <w:top w:val="none" w:sz="0" w:space="0" w:color="auto"/>
        <w:left w:val="none" w:sz="0" w:space="0" w:color="auto"/>
        <w:bottom w:val="none" w:sz="0" w:space="0" w:color="auto"/>
        <w:right w:val="none" w:sz="0" w:space="0" w:color="auto"/>
      </w:divBdr>
    </w:div>
    <w:div w:id="1529760739">
      <w:bodyDiv w:val="1"/>
      <w:marLeft w:val="0"/>
      <w:marRight w:val="0"/>
      <w:marTop w:val="0"/>
      <w:marBottom w:val="0"/>
      <w:divBdr>
        <w:top w:val="none" w:sz="0" w:space="0" w:color="auto"/>
        <w:left w:val="none" w:sz="0" w:space="0" w:color="auto"/>
        <w:bottom w:val="none" w:sz="0" w:space="0" w:color="auto"/>
        <w:right w:val="none" w:sz="0" w:space="0" w:color="auto"/>
      </w:divBdr>
    </w:div>
    <w:div w:id="1531648527">
      <w:bodyDiv w:val="1"/>
      <w:marLeft w:val="0"/>
      <w:marRight w:val="0"/>
      <w:marTop w:val="0"/>
      <w:marBottom w:val="0"/>
      <w:divBdr>
        <w:top w:val="none" w:sz="0" w:space="0" w:color="auto"/>
        <w:left w:val="none" w:sz="0" w:space="0" w:color="auto"/>
        <w:bottom w:val="none" w:sz="0" w:space="0" w:color="auto"/>
        <w:right w:val="none" w:sz="0" w:space="0" w:color="auto"/>
      </w:divBdr>
    </w:div>
    <w:div w:id="1532375385">
      <w:bodyDiv w:val="1"/>
      <w:marLeft w:val="0"/>
      <w:marRight w:val="0"/>
      <w:marTop w:val="0"/>
      <w:marBottom w:val="0"/>
      <w:divBdr>
        <w:top w:val="none" w:sz="0" w:space="0" w:color="auto"/>
        <w:left w:val="none" w:sz="0" w:space="0" w:color="auto"/>
        <w:bottom w:val="none" w:sz="0" w:space="0" w:color="auto"/>
        <w:right w:val="none" w:sz="0" w:space="0" w:color="auto"/>
      </w:divBdr>
    </w:div>
    <w:div w:id="1532381801">
      <w:bodyDiv w:val="1"/>
      <w:marLeft w:val="0"/>
      <w:marRight w:val="0"/>
      <w:marTop w:val="0"/>
      <w:marBottom w:val="0"/>
      <w:divBdr>
        <w:top w:val="none" w:sz="0" w:space="0" w:color="auto"/>
        <w:left w:val="none" w:sz="0" w:space="0" w:color="auto"/>
        <w:bottom w:val="none" w:sz="0" w:space="0" w:color="auto"/>
        <w:right w:val="none" w:sz="0" w:space="0" w:color="auto"/>
      </w:divBdr>
    </w:div>
    <w:div w:id="1540049332">
      <w:bodyDiv w:val="1"/>
      <w:marLeft w:val="0"/>
      <w:marRight w:val="0"/>
      <w:marTop w:val="0"/>
      <w:marBottom w:val="0"/>
      <w:divBdr>
        <w:top w:val="none" w:sz="0" w:space="0" w:color="auto"/>
        <w:left w:val="none" w:sz="0" w:space="0" w:color="auto"/>
        <w:bottom w:val="none" w:sz="0" w:space="0" w:color="auto"/>
        <w:right w:val="none" w:sz="0" w:space="0" w:color="auto"/>
      </w:divBdr>
    </w:div>
    <w:div w:id="1545218297">
      <w:bodyDiv w:val="1"/>
      <w:marLeft w:val="0"/>
      <w:marRight w:val="0"/>
      <w:marTop w:val="0"/>
      <w:marBottom w:val="0"/>
      <w:divBdr>
        <w:top w:val="none" w:sz="0" w:space="0" w:color="auto"/>
        <w:left w:val="none" w:sz="0" w:space="0" w:color="auto"/>
        <w:bottom w:val="none" w:sz="0" w:space="0" w:color="auto"/>
        <w:right w:val="none" w:sz="0" w:space="0" w:color="auto"/>
      </w:divBdr>
    </w:div>
    <w:div w:id="1547988454">
      <w:bodyDiv w:val="1"/>
      <w:marLeft w:val="0"/>
      <w:marRight w:val="0"/>
      <w:marTop w:val="0"/>
      <w:marBottom w:val="0"/>
      <w:divBdr>
        <w:top w:val="none" w:sz="0" w:space="0" w:color="auto"/>
        <w:left w:val="none" w:sz="0" w:space="0" w:color="auto"/>
        <w:bottom w:val="none" w:sz="0" w:space="0" w:color="auto"/>
        <w:right w:val="none" w:sz="0" w:space="0" w:color="auto"/>
      </w:divBdr>
    </w:div>
    <w:div w:id="1548372126">
      <w:bodyDiv w:val="1"/>
      <w:marLeft w:val="0"/>
      <w:marRight w:val="0"/>
      <w:marTop w:val="0"/>
      <w:marBottom w:val="0"/>
      <w:divBdr>
        <w:top w:val="none" w:sz="0" w:space="0" w:color="auto"/>
        <w:left w:val="none" w:sz="0" w:space="0" w:color="auto"/>
        <w:bottom w:val="none" w:sz="0" w:space="0" w:color="auto"/>
        <w:right w:val="none" w:sz="0" w:space="0" w:color="auto"/>
      </w:divBdr>
    </w:div>
    <w:div w:id="1553343957">
      <w:bodyDiv w:val="1"/>
      <w:marLeft w:val="0"/>
      <w:marRight w:val="0"/>
      <w:marTop w:val="0"/>
      <w:marBottom w:val="0"/>
      <w:divBdr>
        <w:top w:val="none" w:sz="0" w:space="0" w:color="auto"/>
        <w:left w:val="none" w:sz="0" w:space="0" w:color="auto"/>
        <w:bottom w:val="none" w:sz="0" w:space="0" w:color="auto"/>
        <w:right w:val="none" w:sz="0" w:space="0" w:color="auto"/>
      </w:divBdr>
    </w:div>
    <w:div w:id="1555462457">
      <w:bodyDiv w:val="1"/>
      <w:marLeft w:val="0"/>
      <w:marRight w:val="0"/>
      <w:marTop w:val="0"/>
      <w:marBottom w:val="0"/>
      <w:divBdr>
        <w:top w:val="none" w:sz="0" w:space="0" w:color="auto"/>
        <w:left w:val="none" w:sz="0" w:space="0" w:color="auto"/>
        <w:bottom w:val="none" w:sz="0" w:space="0" w:color="auto"/>
        <w:right w:val="none" w:sz="0" w:space="0" w:color="auto"/>
      </w:divBdr>
    </w:div>
    <w:div w:id="1561091133">
      <w:bodyDiv w:val="1"/>
      <w:marLeft w:val="0"/>
      <w:marRight w:val="0"/>
      <w:marTop w:val="0"/>
      <w:marBottom w:val="0"/>
      <w:divBdr>
        <w:top w:val="none" w:sz="0" w:space="0" w:color="auto"/>
        <w:left w:val="none" w:sz="0" w:space="0" w:color="auto"/>
        <w:bottom w:val="none" w:sz="0" w:space="0" w:color="auto"/>
        <w:right w:val="none" w:sz="0" w:space="0" w:color="auto"/>
      </w:divBdr>
    </w:div>
    <w:div w:id="1562902651">
      <w:bodyDiv w:val="1"/>
      <w:marLeft w:val="0"/>
      <w:marRight w:val="0"/>
      <w:marTop w:val="0"/>
      <w:marBottom w:val="0"/>
      <w:divBdr>
        <w:top w:val="none" w:sz="0" w:space="0" w:color="auto"/>
        <w:left w:val="none" w:sz="0" w:space="0" w:color="auto"/>
        <w:bottom w:val="none" w:sz="0" w:space="0" w:color="auto"/>
        <w:right w:val="none" w:sz="0" w:space="0" w:color="auto"/>
      </w:divBdr>
    </w:div>
    <w:div w:id="1571846785">
      <w:bodyDiv w:val="1"/>
      <w:marLeft w:val="0"/>
      <w:marRight w:val="0"/>
      <w:marTop w:val="0"/>
      <w:marBottom w:val="0"/>
      <w:divBdr>
        <w:top w:val="none" w:sz="0" w:space="0" w:color="auto"/>
        <w:left w:val="none" w:sz="0" w:space="0" w:color="auto"/>
        <w:bottom w:val="none" w:sz="0" w:space="0" w:color="auto"/>
        <w:right w:val="none" w:sz="0" w:space="0" w:color="auto"/>
      </w:divBdr>
    </w:div>
    <w:div w:id="1572427866">
      <w:bodyDiv w:val="1"/>
      <w:marLeft w:val="0"/>
      <w:marRight w:val="0"/>
      <w:marTop w:val="0"/>
      <w:marBottom w:val="0"/>
      <w:divBdr>
        <w:top w:val="none" w:sz="0" w:space="0" w:color="auto"/>
        <w:left w:val="none" w:sz="0" w:space="0" w:color="auto"/>
        <w:bottom w:val="none" w:sz="0" w:space="0" w:color="auto"/>
        <w:right w:val="none" w:sz="0" w:space="0" w:color="auto"/>
      </w:divBdr>
    </w:div>
    <w:div w:id="1572929587">
      <w:bodyDiv w:val="1"/>
      <w:marLeft w:val="0"/>
      <w:marRight w:val="0"/>
      <w:marTop w:val="0"/>
      <w:marBottom w:val="0"/>
      <w:divBdr>
        <w:top w:val="none" w:sz="0" w:space="0" w:color="auto"/>
        <w:left w:val="none" w:sz="0" w:space="0" w:color="auto"/>
        <w:bottom w:val="none" w:sz="0" w:space="0" w:color="auto"/>
        <w:right w:val="none" w:sz="0" w:space="0" w:color="auto"/>
      </w:divBdr>
    </w:div>
    <w:div w:id="1579441456">
      <w:bodyDiv w:val="1"/>
      <w:marLeft w:val="0"/>
      <w:marRight w:val="0"/>
      <w:marTop w:val="0"/>
      <w:marBottom w:val="0"/>
      <w:divBdr>
        <w:top w:val="none" w:sz="0" w:space="0" w:color="auto"/>
        <w:left w:val="none" w:sz="0" w:space="0" w:color="auto"/>
        <w:bottom w:val="none" w:sz="0" w:space="0" w:color="auto"/>
        <w:right w:val="none" w:sz="0" w:space="0" w:color="auto"/>
      </w:divBdr>
    </w:div>
    <w:div w:id="1581408600">
      <w:bodyDiv w:val="1"/>
      <w:marLeft w:val="0"/>
      <w:marRight w:val="0"/>
      <w:marTop w:val="0"/>
      <w:marBottom w:val="0"/>
      <w:divBdr>
        <w:top w:val="none" w:sz="0" w:space="0" w:color="auto"/>
        <w:left w:val="none" w:sz="0" w:space="0" w:color="auto"/>
        <w:bottom w:val="none" w:sz="0" w:space="0" w:color="auto"/>
        <w:right w:val="none" w:sz="0" w:space="0" w:color="auto"/>
      </w:divBdr>
    </w:div>
    <w:div w:id="1589660004">
      <w:bodyDiv w:val="1"/>
      <w:marLeft w:val="0"/>
      <w:marRight w:val="0"/>
      <w:marTop w:val="0"/>
      <w:marBottom w:val="0"/>
      <w:divBdr>
        <w:top w:val="none" w:sz="0" w:space="0" w:color="auto"/>
        <w:left w:val="none" w:sz="0" w:space="0" w:color="auto"/>
        <w:bottom w:val="none" w:sz="0" w:space="0" w:color="auto"/>
        <w:right w:val="none" w:sz="0" w:space="0" w:color="auto"/>
      </w:divBdr>
    </w:div>
    <w:div w:id="1593322645">
      <w:bodyDiv w:val="1"/>
      <w:marLeft w:val="0"/>
      <w:marRight w:val="0"/>
      <w:marTop w:val="0"/>
      <w:marBottom w:val="0"/>
      <w:divBdr>
        <w:top w:val="none" w:sz="0" w:space="0" w:color="auto"/>
        <w:left w:val="none" w:sz="0" w:space="0" w:color="auto"/>
        <w:bottom w:val="none" w:sz="0" w:space="0" w:color="auto"/>
        <w:right w:val="none" w:sz="0" w:space="0" w:color="auto"/>
      </w:divBdr>
    </w:div>
    <w:div w:id="1593662545">
      <w:bodyDiv w:val="1"/>
      <w:marLeft w:val="0"/>
      <w:marRight w:val="0"/>
      <w:marTop w:val="0"/>
      <w:marBottom w:val="0"/>
      <w:divBdr>
        <w:top w:val="none" w:sz="0" w:space="0" w:color="auto"/>
        <w:left w:val="none" w:sz="0" w:space="0" w:color="auto"/>
        <w:bottom w:val="none" w:sz="0" w:space="0" w:color="auto"/>
        <w:right w:val="none" w:sz="0" w:space="0" w:color="auto"/>
      </w:divBdr>
      <w:divsChild>
        <w:div w:id="914441066">
          <w:marLeft w:val="0"/>
          <w:marRight w:val="0"/>
          <w:marTop w:val="0"/>
          <w:marBottom w:val="0"/>
          <w:divBdr>
            <w:top w:val="none" w:sz="0" w:space="0" w:color="auto"/>
            <w:left w:val="none" w:sz="0" w:space="0" w:color="auto"/>
            <w:bottom w:val="none" w:sz="0" w:space="0" w:color="auto"/>
            <w:right w:val="none" w:sz="0" w:space="0" w:color="auto"/>
          </w:divBdr>
          <w:divsChild>
            <w:div w:id="241648372">
              <w:marLeft w:val="0"/>
              <w:marRight w:val="0"/>
              <w:marTop w:val="0"/>
              <w:marBottom w:val="0"/>
              <w:divBdr>
                <w:top w:val="none" w:sz="0" w:space="0" w:color="auto"/>
                <w:left w:val="none" w:sz="0" w:space="0" w:color="auto"/>
                <w:bottom w:val="none" w:sz="0" w:space="0" w:color="auto"/>
                <w:right w:val="none" w:sz="0" w:space="0" w:color="auto"/>
              </w:divBdr>
              <w:divsChild>
                <w:div w:id="1813206432">
                  <w:marLeft w:val="0"/>
                  <w:marRight w:val="0"/>
                  <w:marTop w:val="0"/>
                  <w:marBottom w:val="0"/>
                  <w:divBdr>
                    <w:top w:val="none" w:sz="0" w:space="0" w:color="auto"/>
                    <w:left w:val="none" w:sz="0" w:space="0" w:color="auto"/>
                    <w:bottom w:val="none" w:sz="0" w:space="0" w:color="auto"/>
                    <w:right w:val="none" w:sz="0" w:space="0" w:color="auto"/>
                  </w:divBdr>
                  <w:divsChild>
                    <w:div w:id="468210129">
                      <w:marLeft w:val="300"/>
                      <w:marRight w:val="0"/>
                      <w:marTop w:val="0"/>
                      <w:marBottom w:val="0"/>
                      <w:divBdr>
                        <w:top w:val="none" w:sz="0" w:space="0" w:color="auto"/>
                        <w:left w:val="none" w:sz="0" w:space="0" w:color="auto"/>
                        <w:bottom w:val="none" w:sz="0" w:space="0" w:color="auto"/>
                        <w:right w:val="none" w:sz="0" w:space="0" w:color="auto"/>
                      </w:divBdr>
                      <w:divsChild>
                        <w:div w:id="2123961843">
                          <w:marLeft w:val="-300"/>
                          <w:marRight w:val="0"/>
                          <w:marTop w:val="0"/>
                          <w:marBottom w:val="0"/>
                          <w:divBdr>
                            <w:top w:val="none" w:sz="0" w:space="0" w:color="auto"/>
                            <w:left w:val="none" w:sz="0" w:space="0" w:color="auto"/>
                            <w:bottom w:val="none" w:sz="0" w:space="0" w:color="auto"/>
                            <w:right w:val="none" w:sz="0" w:space="0" w:color="auto"/>
                          </w:divBdr>
                          <w:divsChild>
                            <w:div w:id="1454441172">
                              <w:marLeft w:val="0"/>
                              <w:marRight w:val="0"/>
                              <w:marTop w:val="0"/>
                              <w:marBottom w:val="0"/>
                              <w:divBdr>
                                <w:top w:val="none" w:sz="0" w:space="0" w:color="auto"/>
                                <w:left w:val="none" w:sz="0" w:space="0" w:color="auto"/>
                                <w:bottom w:val="none" w:sz="0" w:space="0" w:color="auto"/>
                                <w:right w:val="none" w:sz="0" w:space="0" w:color="auto"/>
                              </w:divBdr>
                              <w:divsChild>
                                <w:div w:id="732193794">
                                  <w:marLeft w:val="0"/>
                                  <w:marRight w:val="0"/>
                                  <w:marTop w:val="0"/>
                                  <w:marBottom w:val="0"/>
                                  <w:divBdr>
                                    <w:top w:val="none" w:sz="0" w:space="0" w:color="auto"/>
                                    <w:left w:val="none" w:sz="0" w:space="0" w:color="auto"/>
                                    <w:bottom w:val="none" w:sz="0" w:space="0" w:color="auto"/>
                                    <w:right w:val="none" w:sz="0" w:space="0" w:color="auto"/>
                                  </w:divBdr>
                                  <w:divsChild>
                                    <w:div w:id="9006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137194">
      <w:bodyDiv w:val="1"/>
      <w:marLeft w:val="0"/>
      <w:marRight w:val="0"/>
      <w:marTop w:val="0"/>
      <w:marBottom w:val="0"/>
      <w:divBdr>
        <w:top w:val="none" w:sz="0" w:space="0" w:color="auto"/>
        <w:left w:val="none" w:sz="0" w:space="0" w:color="auto"/>
        <w:bottom w:val="none" w:sz="0" w:space="0" w:color="auto"/>
        <w:right w:val="none" w:sz="0" w:space="0" w:color="auto"/>
      </w:divBdr>
    </w:div>
    <w:div w:id="1611740660">
      <w:bodyDiv w:val="1"/>
      <w:marLeft w:val="0"/>
      <w:marRight w:val="0"/>
      <w:marTop w:val="0"/>
      <w:marBottom w:val="0"/>
      <w:divBdr>
        <w:top w:val="none" w:sz="0" w:space="0" w:color="auto"/>
        <w:left w:val="none" w:sz="0" w:space="0" w:color="auto"/>
        <w:bottom w:val="none" w:sz="0" w:space="0" w:color="auto"/>
        <w:right w:val="none" w:sz="0" w:space="0" w:color="auto"/>
      </w:divBdr>
    </w:div>
    <w:div w:id="1612786744">
      <w:bodyDiv w:val="1"/>
      <w:marLeft w:val="0"/>
      <w:marRight w:val="0"/>
      <w:marTop w:val="0"/>
      <w:marBottom w:val="0"/>
      <w:divBdr>
        <w:top w:val="none" w:sz="0" w:space="0" w:color="auto"/>
        <w:left w:val="none" w:sz="0" w:space="0" w:color="auto"/>
        <w:bottom w:val="none" w:sz="0" w:space="0" w:color="auto"/>
        <w:right w:val="none" w:sz="0" w:space="0" w:color="auto"/>
      </w:divBdr>
    </w:div>
    <w:div w:id="1614051099">
      <w:bodyDiv w:val="1"/>
      <w:marLeft w:val="0"/>
      <w:marRight w:val="0"/>
      <w:marTop w:val="0"/>
      <w:marBottom w:val="0"/>
      <w:divBdr>
        <w:top w:val="none" w:sz="0" w:space="0" w:color="auto"/>
        <w:left w:val="none" w:sz="0" w:space="0" w:color="auto"/>
        <w:bottom w:val="none" w:sz="0" w:space="0" w:color="auto"/>
        <w:right w:val="none" w:sz="0" w:space="0" w:color="auto"/>
      </w:divBdr>
    </w:div>
    <w:div w:id="1614366060">
      <w:bodyDiv w:val="1"/>
      <w:marLeft w:val="0"/>
      <w:marRight w:val="0"/>
      <w:marTop w:val="0"/>
      <w:marBottom w:val="0"/>
      <w:divBdr>
        <w:top w:val="none" w:sz="0" w:space="0" w:color="auto"/>
        <w:left w:val="none" w:sz="0" w:space="0" w:color="auto"/>
        <w:bottom w:val="none" w:sz="0" w:space="0" w:color="auto"/>
        <w:right w:val="none" w:sz="0" w:space="0" w:color="auto"/>
      </w:divBdr>
    </w:div>
    <w:div w:id="1618097545">
      <w:bodyDiv w:val="1"/>
      <w:marLeft w:val="0"/>
      <w:marRight w:val="0"/>
      <w:marTop w:val="0"/>
      <w:marBottom w:val="0"/>
      <w:divBdr>
        <w:top w:val="none" w:sz="0" w:space="0" w:color="auto"/>
        <w:left w:val="none" w:sz="0" w:space="0" w:color="auto"/>
        <w:bottom w:val="none" w:sz="0" w:space="0" w:color="auto"/>
        <w:right w:val="none" w:sz="0" w:space="0" w:color="auto"/>
      </w:divBdr>
    </w:div>
    <w:div w:id="1630622482">
      <w:bodyDiv w:val="1"/>
      <w:marLeft w:val="0"/>
      <w:marRight w:val="0"/>
      <w:marTop w:val="0"/>
      <w:marBottom w:val="0"/>
      <w:divBdr>
        <w:top w:val="none" w:sz="0" w:space="0" w:color="auto"/>
        <w:left w:val="none" w:sz="0" w:space="0" w:color="auto"/>
        <w:bottom w:val="none" w:sz="0" w:space="0" w:color="auto"/>
        <w:right w:val="none" w:sz="0" w:space="0" w:color="auto"/>
      </w:divBdr>
    </w:div>
    <w:div w:id="1632832295">
      <w:bodyDiv w:val="1"/>
      <w:marLeft w:val="0"/>
      <w:marRight w:val="0"/>
      <w:marTop w:val="0"/>
      <w:marBottom w:val="0"/>
      <w:divBdr>
        <w:top w:val="none" w:sz="0" w:space="0" w:color="auto"/>
        <w:left w:val="none" w:sz="0" w:space="0" w:color="auto"/>
        <w:bottom w:val="none" w:sz="0" w:space="0" w:color="auto"/>
        <w:right w:val="none" w:sz="0" w:space="0" w:color="auto"/>
      </w:divBdr>
    </w:div>
    <w:div w:id="1634873397">
      <w:bodyDiv w:val="1"/>
      <w:marLeft w:val="0"/>
      <w:marRight w:val="0"/>
      <w:marTop w:val="0"/>
      <w:marBottom w:val="0"/>
      <w:divBdr>
        <w:top w:val="none" w:sz="0" w:space="0" w:color="auto"/>
        <w:left w:val="none" w:sz="0" w:space="0" w:color="auto"/>
        <w:bottom w:val="none" w:sz="0" w:space="0" w:color="auto"/>
        <w:right w:val="none" w:sz="0" w:space="0" w:color="auto"/>
      </w:divBdr>
      <w:divsChild>
        <w:div w:id="565992083">
          <w:marLeft w:val="480"/>
          <w:marRight w:val="0"/>
          <w:marTop w:val="0"/>
          <w:marBottom w:val="0"/>
          <w:divBdr>
            <w:top w:val="none" w:sz="0" w:space="0" w:color="auto"/>
            <w:left w:val="none" w:sz="0" w:space="0" w:color="auto"/>
            <w:bottom w:val="none" w:sz="0" w:space="0" w:color="auto"/>
            <w:right w:val="none" w:sz="0" w:space="0" w:color="auto"/>
          </w:divBdr>
        </w:div>
        <w:div w:id="873926167">
          <w:marLeft w:val="480"/>
          <w:marRight w:val="0"/>
          <w:marTop w:val="0"/>
          <w:marBottom w:val="0"/>
          <w:divBdr>
            <w:top w:val="none" w:sz="0" w:space="0" w:color="auto"/>
            <w:left w:val="none" w:sz="0" w:space="0" w:color="auto"/>
            <w:bottom w:val="none" w:sz="0" w:space="0" w:color="auto"/>
            <w:right w:val="none" w:sz="0" w:space="0" w:color="auto"/>
          </w:divBdr>
        </w:div>
      </w:divsChild>
    </w:div>
    <w:div w:id="1643003203">
      <w:bodyDiv w:val="1"/>
      <w:marLeft w:val="0"/>
      <w:marRight w:val="0"/>
      <w:marTop w:val="0"/>
      <w:marBottom w:val="0"/>
      <w:divBdr>
        <w:top w:val="none" w:sz="0" w:space="0" w:color="auto"/>
        <w:left w:val="none" w:sz="0" w:space="0" w:color="auto"/>
        <w:bottom w:val="none" w:sz="0" w:space="0" w:color="auto"/>
        <w:right w:val="none" w:sz="0" w:space="0" w:color="auto"/>
      </w:divBdr>
    </w:div>
    <w:div w:id="1643150603">
      <w:bodyDiv w:val="1"/>
      <w:marLeft w:val="0"/>
      <w:marRight w:val="0"/>
      <w:marTop w:val="0"/>
      <w:marBottom w:val="0"/>
      <w:divBdr>
        <w:top w:val="none" w:sz="0" w:space="0" w:color="auto"/>
        <w:left w:val="none" w:sz="0" w:space="0" w:color="auto"/>
        <w:bottom w:val="none" w:sz="0" w:space="0" w:color="auto"/>
        <w:right w:val="none" w:sz="0" w:space="0" w:color="auto"/>
      </w:divBdr>
    </w:div>
    <w:div w:id="1653564769">
      <w:bodyDiv w:val="1"/>
      <w:marLeft w:val="0"/>
      <w:marRight w:val="0"/>
      <w:marTop w:val="0"/>
      <w:marBottom w:val="0"/>
      <w:divBdr>
        <w:top w:val="none" w:sz="0" w:space="0" w:color="auto"/>
        <w:left w:val="none" w:sz="0" w:space="0" w:color="auto"/>
        <w:bottom w:val="none" w:sz="0" w:space="0" w:color="auto"/>
        <w:right w:val="none" w:sz="0" w:space="0" w:color="auto"/>
      </w:divBdr>
    </w:div>
    <w:div w:id="1659766358">
      <w:bodyDiv w:val="1"/>
      <w:marLeft w:val="0"/>
      <w:marRight w:val="0"/>
      <w:marTop w:val="0"/>
      <w:marBottom w:val="0"/>
      <w:divBdr>
        <w:top w:val="none" w:sz="0" w:space="0" w:color="auto"/>
        <w:left w:val="none" w:sz="0" w:space="0" w:color="auto"/>
        <w:bottom w:val="none" w:sz="0" w:space="0" w:color="auto"/>
        <w:right w:val="none" w:sz="0" w:space="0" w:color="auto"/>
      </w:divBdr>
    </w:div>
    <w:div w:id="1661036881">
      <w:bodyDiv w:val="1"/>
      <w:marLeft w:val="0"/>
      <w:marRight w:val="0"/>
      <w:marTop w:val="0"/>
      <w:marBottom w:val="0"/>
      <w:divBdr>
        <w:top w:val="none" w:sz="0" w:space="0" w:color="auto"/>
        <w:left w:val="none" w:sz="0" w:space="0" w:color="auto"/>
        <w:bottom w:val="none" w:sz="0" w:space="0" w:color="auto"/>
        <w:right w:val="none" w:sz="0" w:space="0" w:color="auto"/>
      </w:divBdr>
    </w:div>
    <w:div w:id="1662348478">
      <w:bodyDiv w:val="1"/>
      <w:marLeft w:val="0"/>
      <w:marRight w:val="0"/>
      <w:marTop w:val="0"/>
      <w:marBottom w:val="0"/>
      <w:divBdr>
        <w:top w:val="none" w:sz="0" w:space="0" w:color="auto"/>
        <w:left w:val="none" w:sz="0" w:space="0" w:color="auto"/>
        <w:bottom w:val="none" w:sz="0" w:space="0" w:color="auto"/>
        <w:right w:val="none" w:sz="0" w:space="0" w:color="auto"/>
      </w:divBdr>
    </w:div>
    <w:div w:id="1662663198">
      <w:bodyDiv w:val="1"/>
      <w:marLeft w:val="0"/>
      <w:marRight w:val="0"/>
      <w:marTop w:val="0"/>
      <w:marBottom w:val="0"/>
      <w:divBdr>
        <w:top w:val="none" w:sz="0" w:space="0" w:color="auto"/>
        <w:left w:val="none" w:sz="0" w:space="0" w:color="auto"/>
        <w:bottom w:val="none" w:sz="0" w:space="0" w:color="auto"/>
        <w:right w:val="none" w:sz="0" w:space="0" w:color="auto"/>
      </w:divBdr>
    </w:div>
    <w:div w:id="1663512070">
      <w:bodyDiv w:val="1"/>
      <w:marLeft w:val="0"/>
      <w:marRight w:val="0"/>
      <w:marTop w:val="0"/>
      <w:marBottom w:val="0"/>
      <w:divBdr>
        <w:top w:val="none" w:sz="0" w:space="0" w:color="auto"/>
        <w:left w:val="none" w:sz="0" w:space="0" w:color="auto"/>
        <w:bottom w:val="none" w:sz="0" w:space="0" w:color="auto"/>
        <w:right w:val="none" w:sz="0" w:space="0" w:color="auto"/>
      </w:divBdr>
    </w:div>
    <w:div w:id="1672679653">
      <w:bodyDiv w:val="1"/>
      <w:marLeft w:val="0"/>
      <w:marRight w:val="0"/>
      <w:marTop w:val="0"/>
      <w:marBottom w:val="0"/>
      <w:divBdr>
        <w:top w:val="none" w:sz="0" w:space="0" w:color="auto"/>
        <w:left w:val="none" w:sz="0" w:space="0" w:color="auto"/>
        <w:bottom w:val="none" w:sz="0" w:space="0" w:color="auto"/>
        <w:right w:val="none" w:sz="0" w:space="0" w:color="auto"/>
      </w:divBdr>
    </w:div>
    <w:div w:id="1672758832">
      <w:bodyDiv w:val="1"/>
      <w:marLeft w:val="0"/>
      <w:marRight w:val="0"/>
      <w:marTop w:val="0"/>
      <w:marBottom w:val="0"/>
      <w:divBdr>
        <w:top w:val="none" w:sz="0" w:space="0" w:color="auto"/>
        <w:left w:val="none" w:sz="0" w:space="0" w:color="auto"/>
        <w:bottom w:val="none" w:sz="0" w:space="0" w:color="auto"/>
        <w:right w:val="none" w:sz="0" w:space="0" w:color="auto"/>
      </w:divBdr>
    </w:div>
    <w:div w:id="1673873131">
      <w:bodyDiv w:val="1"/>
      <w:marLeft w:val="0"/>
      <w:marRight w:val="0"/>
      <w:marTop w:val="0"/>
      <w:marBottom w:val="0"/>
      <w:divBdr>
        <w:top w:val="none" w:sz="0" w:space="0" w:color="auto"/>
        <w:left w:val="none" w:sz="0" w:space="0" w:color="auto"/>
        <w:bottom w:val="none" w:sz="0" w:space="0" w:color="auto"/>
        <w:right w:val="none" w:sz="0" w:space="0" w:color="auto"/>
      </w:divBdr>
    </w:div>
    <w:div w:id="1675762133">
      <w:bodyDiv w:val="1"/>
      <w:marLeft w:val="0"/>
      <w:marRight w:val="0"/>
      <w:marTop w:val="0"/>
      <w:marBottom w:val="0"/>
      <w:divBdr>
        <w:top w:val="none" w:sz="0" w:space="0" w:color="auto"/>
        <w:left w:val="none" w:sz="0" w:space="0" w:color="auto"/>
        <w:bottom w:val="none" w:sz="0" w:space="0" w:color="auto"/>
        <w:right w:val="none" w:sz="0" w:space="0" w:color="auto"/>
      </w:divBdr>
      <w:divsChild>
        <w:div w:id="270630908">
          <w:marLeft w:val="0"/>
          <w:marRight w:val="0"/>
          <w:marTop w:val="0"/>
          <w:marBottom w:val="0"/>
          <w:divBdr>
            <w:top w:val="none" w:sz="0" w:space="0" w:color="auto"/>
            <w:left w:val="none" w:sz="0" w:space="0" w:color="auto"/>
            <w:bottom w:val="none" w:sz="0" w:space="0" w:color="auto"/>
            <w:right w:val="none" w:sz="0" w:space="0" w:color="auto"/>
          </w:divBdr>
        </w:div>
        <w:div w:id="466821822">
          <w:marLeft w:val="0"/>
          <w:marRight w:val="0"/>
          <w:marTop w:val="0"/>
          <w:marBottom w:val="0"/>
          <w:divBdr>
            <w:top w:val="none" w:sz="0" w:space="0" w:color="auto"/>
            <w:left w:val="none" w:sz="0" w:space="0" w:color="auto"/>
            <w:bottom w:val="none" w:sz="0" w:space="0" w:color="auto"/>
            <w:right w:val="none" w:sz="0" w:space="0" w:color="auto"/>
          </w:divBdr>
        </w:div>
      </w:divsChild>
    </w:div>
    <w:div w:id="1678464058">
      <w:bodyDiv w:val="1"/>
      <w:marLeft w:val="0"/>
      <w:marRight w:val="0"/>
      <w:marTop w:val="0"/>
      <w:marBottom w:val="0"/>
      <w:divBdr>
        <w:top w:val="none" w:sz="0" w:space="0" w:color="auto"/>
        <w:left w:val="none" w:sz="0" w:space="0" w:color="auto"/>
        <w:bottom w:val="none" w:sz="0" w:space="0" w:color="auto"/>
        <w:right w:val="none" w:sz="0" w:space="0" w:color="auto"/>
      </w:divBdr>
    </w:div>
    <w:div w:id="1682854037">
      <w:bodyDiv w:val="1"/>
      <w:marLeft w:val="0"/>
      <w:marRight w:val="0"/>
      <w:marTop w:val="0"/>
      <w:marBottom w:val="0"/>
      <w:divBdr>
        <w:top w:val="none" w:sz="0" w:space="0" w:color="auto"/>
        <w:left w:val="none" w:sz="0" w:space="0" w:color="auto"/>
        <w:bottom w:val="none" w:sz="0" w:space="0" w:color="auto"/>
        <w:right w:val="none" w:sz="0" w:space="0" w:color="auto"/>
      </w:divBdr>
    </w:div>
    <w:div w:id="1693652776">
      <w:bodyDiv w:val="1"/>
      <w:marLeft w:val="0"/>
      <w:marRight w:val="0"/>
      <w:marTop w:val="0"/>
      <w:marBottom w:val="0"/>
      <w:divBdr>
        <w:top w:val="none" w:sz="0" w:space="0" w:color="auto"/>
        <w:left w:val="none" w:sz="0" w:space="0" w:color="auto"/>
        <w:bottom w:val="none" w:sz="0" w:space="0" w:color="auto"/>
        <w:right w:val="none" w:sz="0" w:space="0" w:color="auto"/>
      </w:divBdr>
    </w:div>
    <w:div w:id="1700351398">
      <w:bodyDiv w:val="1"/>
      <w:marLeft w:val="0"/>
      <w:marRight w:val="0"/>
      <w:marTop w:val="0"/>
      <w:marBottom w:val="0"/>
      <w:divBdr>
        <w:top w:val="none" w:sz="0" w:space="0" w:color="auto"/>
        <w:left w:val="none" w:sz="0" w:space="0" w:color="auto"/>
        <w:bottom w:val="none" w:sz="0" w:space="0" w:color="auto"/>
        <w:right w:val="none" w:sz="0" w:space="0" w:color="auto"/>
      </w:divBdr>
    </w:div>
    <w:div w:id="1705011859">
      <w:bodyDiv w:val="1"/>
      <w:marLeft w:val="0"/>
      <w:marRight w:val="0"/>
      <w:marTop w:val="0"/>
      <w:marBottom w:val="0"/>
      <w:divBdr>
        <w:top w:val="none" w:sz="0" w:space="0" w:color="auto"/>
        <w:left w:val="none" w:sz="0" w:space="0" w:color="auto"/>
        <w:bottom w:val="none" w:sz="0" w:space="0" w:color="auto"/>
        <w:right w:val="none" w:sz="0" w:space="0" w:color="auto"/>
      </w:divBdr>
    </w:div>
    <w:div w:id="1707095373">
      <w:bodyDiv w:val="1"/>
      <w:marLeft w:val="0"/>
      <w:marRight w:val="0"/>
      <w:marTop w:val="0"/>
      <w:marBottom w:val="0"/>
      <w:divBdr>
        <w:top w:val="none" w:sz="0" w:space="0" w:color="auto"/>
        <w:left w:val="none" w:sz="0" w:space="0" w:color="auto"/>
        <w:bottom w:val="none" w:sz="0" w:space="0" w:color="auto"/>
        <w:right w:val="none" w:sz="0" w:space="0" w:color="auto"/>
      </w:divBdr>
    </w:div>
    <w:div w:id="1713991292">
      <w:bodyDiv w:val="1"/>
      <w:marLeft w:val="0"/>
      <w:marRight w:val="0"/>
      <w:marTop w:val="0"/>
      <w:marBottom w:val="0"/>
      <w:divBdr>
        <w:top w:val="none" w:sz="0" w:space="0" w:color="auto"/>
        <w:left w:val="none" w:sz="0" w:space="0" w:color="auto"/>
        <w:bottom w:val="none" w:sz="0" w:space="0" w:color="auto"/>
        <w:right w:val="none" w:sz="0" w:space="0" w:color="auto"/>
      </w:divBdr>
    </w:div>
    <w:div w:id="1716924631">
      <w:bodyDiv w:val="1"/>
      <w:marLeft w:val="0"/>
      <w:marRight w:val="0"/>
      <w:marTop w:val="0"/>
      <w:marBottom w:val="0"/>
      <w:divBdr>
        <w:top w:val="none" w:sz="0" w:space="0" w:color="auto"/>
        <w:left w:val="none" w:sz="0" w:space="0" w:color="auto"/>
        <w:bottom w:val="none" w:sz="0" w:space="0" w:color="auto"/>
        <w:right w:val="none" w:sz="0" w:space="0" w:color="auto"/>
      </w:divBdr>
    </w:div>
    <w:div w:id="1717007285">
      <w:bodyDiv w:val="1"/>
      <w:marLeft w:val="0"/>
      <w:marRight w:val="0"/>
      <w:marTop w:val="0"/>
      <w:marBottom w:val="0"/>
      <w:divBdr>
        <w:top w:val="none" w:sz="0" w:space="0" w:color="auto"/>
        <w:left w:val="none" w:sz="0" w:space="0" w:color="auto"/>
        <w:bottom w:val="none" w:sz="0" w:space="0" w:color="auto"/>
        <w:right w:val="none" w:sz="0" w:space="0" w:color="auto"/>
      </w:divBdr>
    </w:div>
    <w:div w:id="1717313832">
      <w:bodyDiv w:val="1"/>
      <w:marLeft w:val="0"/>
      <w:marRight w:val="0"/>
      <w:marTop w:val="0"/>
      <w:marBottom w:val="0"/>
      <w:divBdr>
        <w:top w:val="none" w:sz="0" w:space="0" w:color="auto"/>
        <w:left w:val="none" w:sz="0" w:space="0" w:color="auto"/>
        <w:bottom w:val="none" w:sz="0" w:space="0" w:color="auto"/>
        <w:right w:val="none" w:sz="0" w:space="0" w:color="auto"/>
      </w:divBdr>
    </w:div>
    <w:div w:id="1718046992">
      <w:bodyDiv w:val="1"/>
      <w:marLeft w:val="0"/>
      <w:marRight w:val="0"/>
      <w:marTop w:val="0"/>
      <w:marBottom w:val="0"/>
      <w:divBdr>
        <w:top w:val="none" w:sz="0" w:space="0" w:color="auto"/>
        <w:left w:val="none" w:sz="0" w:space="0" w:color="auto"/>
        <w:bottom w:val="none" w:sz="0" w:space="0" w:color="auto"/>
        <w:right w:val="none" w:sz="0" w:space="0" w:color="auto"/>
      </w:divBdr>
    </w:div>
    <w:div w:id="1720398926">
      <w:bodyDiv w:val="1"/>
      <w:marLeft w:val="0"/>
      <w:marRight w:val="0"/>
      <w:marTop w:val="0"/>
      <w:marBottom w:val="0"/>
      <w:divBdr>
        <w:top w:val="none" w:sz="0" w:space="0" w:color="auto"/>
        <w:left w:val="none" w:sz="0" w:space="0" w:color="auto"/>
        <w:bottom w:val="none" w:sz="0" w:space="0" w:color="auto"/>
        <w:right w:val="none" w:sz="0" w:space="0" w:color="auto"/>
      </w:divBdr>
    </w:div>
    <w:div w:id="1725568144">
      <w:bodyDiv w:val="1"/>
      <w:marLeft w:val="0"/>
      <w:marRight w:val="0"/>
      <w:marTop w:val="0"/>
      <w:marBottom w:val="0"/>
      <w:divBdr>
        <w:top w:val="none" w:sz="0" w:space="0" w:color="auto"/>
        <w:left w:val="none" w:sz="0" w:space="0" w:color="auto"/>
        <w:bottom w:val="none" w:sz="0" w:space="0" w:color="auto"/>
        <w:right w:val="none" w:sz="0" w:space="0" w:color="auto"/>
      </w:divBdr>
    </w:div>
    <w:div w:id="1732462963">
      <w:bodyDiv w:val="1"/>
      <w:marLeft w:val="0"/>
      <w:marRight w:val="0"/>
      <w:marTop w:val="0"/>
      <w:marBottom w:val="0"/>
      <w:divBdr>
        <w:top w:val="none" w:sz="0" w:space="0" w:color="auto"/>
        <w:left w:val="none" w:sz="0" w:space="0" w:color="auto"/>
        <w:bottom w:val="none" w:sz="0" w:space="0" w:color="auto"/>
        <w:right w:val="none" w:sz="0" w:space="0" w:color="auto"/>
      </w:divBdr>
    </w:div>
    <w:div w:id="1734350281">
      <w:bodyDiv w:val="1"/>
      <w:marLeft w:val="0"/>
      <w:marRight w:val="0"/>
      <w:marTop w:val="0"/>
      <w:marBottom w:val="0"/>
      <w:divBdr>
        <w:top w:val="none" w:sz="0" w:space="0" w:color="auto"/>
        <w:left w:val="none" w:sz="0" w:space="0" w:color="auto"/>
        <w:bottom w:val="none" w:sz="0" w:space="0" w:color="auto"/>
        <w:right w:val="none" w:sz="0" w:space="0" w:color="auto"/>
      </w:divBdr>
    </w:div>
    <w:div w:id="1738550239">
      <w:bodyDiv w:val="1"/>
      <w:marLeft w:val="0"/>
      <w:marRight w:val="0"/>
      <w:marTop w:val="0"/>
      <w:marBottom w:val="0"/>
      <w:divBdr>
        <w:top w:val="none" w:sz="0" w:space="0" w:color="auto"/>
        <w:left w:val="none" w:sz="0" w:space="0" w:color="auto"/>
        <w:bottom w:val="none" w:sz="0" w:space="0" w:color="auto"/>
        <w:right w:val="none" w:sz="0" w:space="0" w:color="auto"/>
      </w:divBdr>
    </w:div>
    <w:div w:id="1744066885">
      <w:bodyDiv w:val="1"/>
      <w:marLeft w:val="0"/>
      <w:marRight w:val="0"/>
      <w:marTop w:val="0"/>
      <w:marBottom w:val="0"/>
      <w:divBdr>
        <w:top w:val="none" w:sz="0" w:space="0" w:color="auto"/>
        <w:left w:val="none" w:sz="0" w:space="0" w:color="auto"/>
        <w:bottom w:val="none" w:sz="0" w:space="0" w:color="auto"/>
        <w:right w:val="none" w:sz="0" w:space="0" w:color="auto"/>
      </w:divBdr>
    </w:div>
    <w:div w:id="1745882117">
      <w:bodyDiv w:val="1"/>
      <w:marLeft w:val="0"/>
      <w:marRight w:val="0"/>
      <w:marTop w:val="0"/>
      <w:marBottom w:val="0"/>
      <w:divBdr>
        <w:top w:val="none" w:sz="0" w:space="0" w:color="auto"/>
        <w:left w:val="none" w:sz="0" w:space="0" w:color="auto"/>
        <w:bottom w:val="none" w:sz="0" w:space="0" w:color="auto"/>
        <w:right w:val="none" w:sz="0" w:space="0" w:color="auto"/>
      </w:divBdr>
    </w:div>
    <w:div w:id="1756245795">
      <w:bodyDiv w:val="1"/>
      <w:marLeft w:val="0"/>
      <w:marRight w:val="0"/>
      <w:marTop w:val="0"/>
      <w:marBottom w:val="0"/>
      <w:divBdr>
        <w:top w:val="none" w:sz="0" w:space="0" w:color="auto"/>
        <w:left w:val="none" w:sz="0" w:space="0" w:color="auto"/>
        <w:bottom w:val="none" w:sz="0" w:space="0" w:color="auto"/>
        <w:right w:val="none" w:sz="0" w:space="0" w:color="auto"/>
      </w:divBdr>
    </w:div>
    <w:div w:id="1758596962">
      <w:bodyDiv w:val="1"/>
      <w:marLeft w:val="0"/>
      <w:marRight w:val="0"/>
      <w:marTop w:val="0"/>
      <w:marBottom w:val="0"/>
      <w:divBdr>
        <w:top w:val="none" w:sz="0" w:space="0" w:color="auto"/>
        <w:left w:val="none" w:sz="0" w:space="0" w:color="auto"/>
        <w:bottom w:val="none" w:sz="0" w:space="0" w:color="auto"/>
        <w:right w:val="none" w:sz="0" w:space="0" w:color="auto"/>
      </w:divBdr>
      <w:divsChild>
        <w:div w:id="664284086">
          <w:marLeft w:val="0"/>
          <w:marRight w:val="0"/>
          <w:marTop w:val="0"/>
          <w:marBottom w:val="0"/>
          <w:divBdr>
            <w:top w:val="none" w:sz="0" w:space="0" w:color="auto"/>
            <w:left w:val="none" w:sz="0" w:space="0" w:color="auto"/>
            <w:bottom w:val="none" w:sz="0" w:space="0" w:color="auto"/>
            <w:right w:val="none" w:sz="0" w:space="0" w:color="auto"/>
          </w:divBdr>
          <w:divsChild>
            <w:div w:id="388959933">
              <w:marLeft w:val="480"/>
              <w:marRight w:val="0"/>
              <w:marTop w:val="0"/>
              <w:marBottom w:val="0"/>
              <w:divBdr>
                <w:top w:val="none" w:sz="0" w:space="0" w:color="auto"/>
                <w:left w:val="none" w:sz="0" w:space="0" w:color="auto"/>
                <w:bottom w:val="none" w:sz="0" w:space="0" w:color="auto"/>
                <w:right w:val="none" w:sz="0" w:space="0" w:color="auto"/>
              </w:divBdr>
            </w:div>
            <w:div w:id="2039815361">
              <w:marLeft w:val="480"/>
              <w:marRight w:val="0"/>
              <w:marTop w:val="0"/>
              <w:marBottom w:val="0"/>
              <w:divBdr>
                <w:top w:val="none" w:sz="0" w:space="0" w:color="auto"/>
                <w:left w:val="none" w:sz="0" w:space="0" w:color="auto"/>
                <w:bottom w:val="none" w:sz="0" w:space="0" w:color="auto"/>
                <w:right w:val="none" w:sz="0" w:space="0" w:color="auto"/>
              </w:divBdr>
            </w:div>
          </w:divsChild>
        </w:div>
        <w:div w:id="1128477660">
          <w:marLeft w:val="0"/>
          <w:marRight w:val="0"/>
          <w:marTop w:val="0"/>
          <w:marBottom w:val="0"/>
          <w:divBdr>
            <w:top w:val="none" w:sz="0" w:space="0" w:color="auto"/>
            <w:left w:val="none" w:sz="0" w:space="0" w:color="auto"/>
            <w:bottom w:val="none" w:sz="0" w:space="0" w:color="auto"/>
            <w:right w:val="none" w:sz="0" w:space="0" w:color="auto"/>
          </w:divBdr>
        </w:div>
      </w:divsChild>
    </w:div>
    <w:div w:id="1767112841">
      <w:bodyDiv w:val="1"/>
      <w:marLeft w:val="0"/>
      <w:marRight w:val="0"/>
      <w:marTop w:val="0"/>
      <w:marBottom w:val="0"/>
      <w:divBdr>
        <w:top w:val="none" w:sz="0" w:space="0" w:color="auto"/>
        <w:left w:val="none" w:sz="0" w:space="0" w:color="auto"/>
        <w:bottom w:val="none" w:sz="0" w:space="0" w:color="auto"/>
        <w:right w:val="none" w:sz="0" w:space="0" w:color="auto"/>
      </w:divBdr>
    </w:div>
    <w:div w:id="1777477455">
      <w:bodyDiv w:val="1"/>
      <w:marLeft w:val="0"/>
      <w:marRight w:val="0"/>
      <w:marTop w:val="0"/>
      <w:marBottom w:val="0"/>
      <w:divBdr>
        <w:top w:val="none" w:sz="0" w:space="0" w:color="auto"/>
        <w:left w:val="none" w:sz="0" w:space="0" w:color="auto"/>
        <w:bottom w:val="none" w:sz="0" w:space="0" w:color="auto"/>
        <w:right w:val="none" w:sz="0" w:space="0" w:color="auto"/>
      </w:divBdr>
    </w:div>
    <w:div w:id="1779443167">
      <w:bodyDiv w:val="1"/>
      <w:marLeft w:val="0"/>
      <w:marRight w:val="0"/>
      <w:marTop w:val="0"/>
      <w:marBottom w:val="0"/>
      <w:divBdr>
        <w:top w:val="none" w:sz="0" w:space="0" w:color="auto"/>
        <w:left w:val="none" w:sz="0" w:space="0" w:color="auto"/>
        <w:bottom w:val="none" w:sz="0" w:space="0" w:color="auto"/>
        <w:right w:val="none" w:sz="0" w:space="0" w:color="auto"/>
      </w:divBdr>
    </w:div>
    <w:div w:id="1789350510">
      <w:bodyDiv w:val="1"/>
      <w:marLeft w:val="0"/>
      <w:marRight w:val="0"/>
      <w:marTop w:val="0"/>
      <w:marBottom w:val="0"/>
      <w:divBdr>
        <w:top w:val="none" w:sz="0" w:space="0" w:color="auto"/>
        <w:left w:val="none" w:sz="0" w:space="0" w:color="auto"/>
        <w:bottom w:val="none" w:sz="0" w:space="0" w:color="auto"/>
        <w:right w:val="none" w:sz="0" w:space="0" w:color="auto"/>
      </w:divBdr>
    </w:div>
    <w:div w:id="1806043712">
      <w:bodyDiv w:val="1"/>
      <w:marLeft w:val="0"/>
      <w:marRight w:val="0"/>
      <w:marTop w:val="0"/>
      <w:marBottom w:val="0"/>
      <w:divBdr>
        <w:top w:val="none" w:sz="0" w:space="0" w:color="auto"/>
        <w:left w:val="none" w:sz="0" w:space="0" w:color="auto"/>
        <w:bottom w:val="none" w:sz="0" w:space="0" w:color="auto"/>
        <w:right w:val="none" w:sz="0" w:space="0" w:color="auto"/>
      </w:divBdr>
    </w:div>
    <w:div w:id="1806583437">
      <w:bodyDiv w:val="1"/>
      <w:marLeft w:val="0"/>
      <w:marRight w:val="0"/>
      <w:marTop w:val="0"/>
      <w:marBottom w:val="0"/>
      <w:divBdr>
        <w:top w:val="none" w:sz="0" w:space="0" w:color="auto"/>
        <w:left w:val="none" w:sz="0" w:space="0" w:color="auto"/>
        <w:bottom w:val="none" w:sz="0" w:space="0" w:color="auto"/>
        <w:right w:val="none" w:sz="0" w:space="0" w:color="auto"/>
      </w:divBdr>
    </w:div>
    <w:div w:id="1807434552">
      <w:bodyDiv w:val="1"/>
      <w:marLeft w:val="0"/>
      <w:marRight w:val="0"/>
      <w:marTop w:val="0"/>
      <w:marBottom w:val="0"/>
      <w:divBdr>
        <w:top w:val="none" w:sz="0" w:space="0" w:color="auto"/>
        <w:left w:val="none" w:sz="0" w:space="0" w:color="auto"/>
        <w:bottom w:val="none" w:sz="0" w:space="0" w:color="auto"/>
        <w:right w:val="none" w:sz="0" w:space="0" w:color="auto"/>
      </w:divBdr>
    </w:div>
    <w:div w:id="1808862098">
      <w:bodyDiv w:val="1"/>
      <w:marLeft w:val="0"/>
      <w:marRight w:val="0"/>
      <w:marTop w:val="0"/>
      <w:marBottom w:val="0"/>
      <w:divBdr>
        <w:top w:val="none" w:sz="0" w:space="0" w:color="auto"/>
        <w:left w:val="none" w:sz="0" w:space="0" w:color="auto"/>
        <w:bottom w:val="none" w:sz="0" w:space="0" w:color="auto"/>
        <w:right w:val="none" w:sz="0" w:space="0" w:color="auto"/>
      </w:divBdr>
    </w:div>
    <w:div w:id="1810857051">
      <w:bodyDiv w:val="1"/>
      <w:marLeft w:val="0"/>
      <w:marRight w:val="0"/>
      <w:marTop w:val="0"/>
      <w:marBottom w:val="0"/>
      <w:divBdr>
        <w:top w:val="none" w:sz="0" w:space="0" w:color="auto"/>
        <w:left w:val="none" w:sz="0" w:space="0" w:color="auto"/>
        <w:bottom w:val="none" w:sz="0" w:space="0" w:color="auto"/>
        <w:right w:val="none" w:sz="0" w:space="0" w:color="auto"/>
      </w:divBdr>
    </w:div>
    <w:div w:id="1812747211">
      <w:bodyDiv w:val="1"/>
      <w:marLeft w:val="0"/>
      <w:marRight w:val="0"/>
      <w:marTop w:val="0"/>
      <w:marBottom w:val="0"/>
      <w:divBdr>
        <w:top w:val="none" w:sz="0" w:space="0" w:color="auto"/>
        <w:left w:val="none" w:sz="0" w:space="0" w:color="auto"/>
        <w:bottom w:val="none" w:sz="0" w:space="0" w:color="auto"/>
        <w:right w:val="none" w:sz="0" w:space="0" w:color="auto"/>
      </w:divBdr>
    </w:div>
    <w:div w:id="1815101126">
      <w:bodyDiv w:val="1"/>
      <w:marLeft w:val="0"/>
      <w:marRight w:val="0"/>
      <w:marTop w:val="0"/>
      <w:marBottom w:val="0"/>
      <w:divBdr>
        <w:top w:val="none" w:sz="0" w:space="0" w:color="auto"/>
        <w:left w:val="none" w:sz="0" w:space="0" w:color="auto"/>
        <w:bottom w:val="none" w:sz="0" w:space="0" w:color="auto"/>
        <w:right w:val="none" w:sz="0" w:space="0" w:color="auto"/>
      </w:divBdr>
      <w:divsChild>
        <w:div w:id="2039578219">
          <w:marLeft w:val="0"/>
          <w:marRight w:val="0"/>
          <w:marTop w:val="0"/>
          <w:marBottom w:val="0"/>
          <w:divBdr>
            <w:top w:val="none" w:sz="0" w:space="0" w:color="auto"/>
            <w:left w:val="none" w:sz="0" w:space="0" w:color="auto"/>
            <w:bottom w:val="none" w:sz="0" w:space="0" w:color="auto"/>
            <w:right w:val="none" w:sz="0" w:space="0" w:color="auto"/>
          </w:divBdr>
        </w:div>
      </w:divsChild>
    </w:div>
    <w:div w:id="1822192457">
      <w:bodyDiv w:val="1"/>
      <w:marLeft w:val="0"/>
      <w:marRight w:val="0"/>
      <w:marTop w:val="0"/>
      <w:marBottom w:val="0"/>
      <w:divBdr>
        <w:top w:val="none" w:sz="0" w:space="0" w:color="auto"/>
        <w:left w:val="none" w:sz="0" w:space="0" w:color="auto"/>
        <w:bottom w:val="none" w:sz="0" w:space="0" w:color="auto"/>
        <w:right w:val="none" w:sz="0" w:space="0" w:color="auto"/>
      </w:divBdr>
    </w:div>
    <w:div w:id="1822580708">
      <w:bodyDiv w:val="1"/>
      <w:marLeft w:val="0"/>
      <w:marRight w:val="0"/>
      <w:marTop w:val="0"/>
      <w:marBottom w:val="0"/>
      <w:divBdr>
        <w:top w:val="none" w:sz="0" w:space="0" w:color="auto"/>
        <w:left w:val="none" w:sz="0" w:space="0" w:color="auto"/>
        <w:bottom w:val="none" w:sz="0" w:space="0" w:color="auto"/>
        <w:right w:val="none" w:sz="0" w:space="0" w:color="auto"/>
      </w:divBdr>
    </w:div>
    <w:div w:id="1823041542">
      <w:bodyDiv w:val="1"/>
      <w:marLeft w:val="0"/>
      <w:marRight w:val="0"/>
      <w:marTop w:val="0"/>
      <w:marBottom w:val="0"/>
      <w:divBdr>
        <w:top w:val="none" w:sz="0" w:space="0" w:color="auto"/>
        <w:left w:val="none" w:sz="0" w:space="0" w:color="auto"/>
        <w:bottom w:val="none" w:sz="0" w:space="0" w:color="auto"/>
        <w:right w:val="none" w:sz="0" w:space="0" w:color="auto"/>
      </w:divBdr>
    </w:div>
    <w:div w:id="1824808938">
      <w:bodyDiv w:val="1"/>
      <w:marLeft w:val="0"/>
      <w:marRight w:val="0"/>
      <w:marTop w:val="0"/>
      <w:marBottom w:val="0"/>
      <w:divBdr>
        <w:top w:val="none" w:sz="0" w:space="0" w:color="auto"/>
        <w:left w:val="none" w:sz="0" w:space="0" w:color="auto"/>
        <w:bottom w:val="none" w:sz="0" w:space="0" w:color="auto"/>
        <w:right w:val="none" w:sz="0" w:space="0" w:color="auto"/>
      </w:divBdr>
    </w:div>
    <w:div w:id="1835410003">
      <w:bodyDiv w:val="1"/>
      <w:marLeft w:val="0"/>
      <w:marRight w:val="0"/>
      <w:marTop w:val="0"/>
      <w:marBottom w:val="0"/>
      <w:divBdr>
        <w:top w:val="none" w:sz="0" w:space="0" w:color="auto"/>
        <w:left w:val="none" w:sz="0" w:space="0" w:color="auto"/>
        <w:bottom w:val="none" w:sz="0" w:space="0" w:color="auto"/>
        <w:right w:val="none" w:sz="0" w:space="0" w:color="auto"/>
      </w:divBdr>
    </w:div>
    <w:div w:id="1840123513">
      <w:bodyDiv w:val="1"/>
      <w:marLeft w:val="0"/>
      <w:marRight w:val="0"/>
      <w:marTop w:val="0"/>
      <w:marBottom w:val="0"/>
      <w:divBdr>
        <w:top w:val="none" w:sz="0" w:space="0" w:color="auto"/>
        <w:left w:val="none" w:sz="0" w:space="0" w:color="auto"/>
        <w:bottom w:val="none" w:sz="0" w:space="0" w:color="auto"/>
        <w:right w:val="none" w:sz="0" w:space="0" w:color="auto"/>
      </w:divBdr>
    </w:div>
    <w:div w:id="1844973110">
      <w:bodyDiv w:val="1"/>
      <w:marLeft w:val="0"/>
      <w:marRight w:val="0"/>
      <w:marTop w:val="0"/>
      <w:marBottom w:val="0"/>
      <w:divBdr>
        <w:top w:val="none" w:sz="0" w:space="0" w:color="auto"/>
        <w:left w:val="none" w:sz="0" w:space="0" w:color="auto"/>
        <w:bottom w:val="none" w:sz="0" w:space="0" w:color="auto"/>
        <w:right w:val="none" w:sz="0" w:space="0" w:color="auto"/>
      </w:divBdr>
    </w:div>
    <w:div w:id="1847553800">
      <w:bodyDiv w:val="1"/>
      <w:marLeft w:val="0"/>
      <w:marRight w:val="0"/>
      <w:marTop w:val="0"/>
      <w:marBottom w:val="0"/>
      <w:divBdr>
        <w:top w:val="none" w:sz="0" w:space="0" w:color="auto"/>
        <w:left w:val="none" w:sz="0" w:space="0" w:color="auto"/>
        <w:bottom w:val="none" w:sz="0" w:space="0" w:color="auto"/>
        <w:right w:val="none" w:sz="0" w:space="0" w:color="auto"/>
      </w:divBdr>
    </w:div>
    <w:div w:id="1848669498">
      <w:bodyDiv w:val="1"/>
      <w:marLeft w:val="0"/>
      <w:marRight w:val="0"/>
      <w:marTop w:val="0"/>
      <w:marBottom w:val="0"/>
      <w:divBdr>
        <w:top w:val="none" w:sz="0" w:space="0" w:color="auto"/>
        <w:left w:val="none" w:sz="0" w:space="0" w:color="auto"/>
        <w:bottom w:val="none" w:sz="0" w:space="0" w:color="auto"/>
        <w:right w:val="none" w:sz="0" w:space="0" w:color="auto"/>
      </w:divBdr>
    </w:div>
    <w:div w:id="1848713786">
      <w:bodyDiv w:val="1"/>
      <w:marLeft w:val="0"/>
      <w:marRight w:val="0"/>
      <w:marTop w:val="0"/>
      <w:marBottom w:val="0"/>
      <w:divBdr>
        <w:top w:val="none" w:sz="0" w:space="0" w:color="auto"/>
        <w:left w:val="none" w:sz="0" w:space="0" w:color="auto"/>
        <w:bottom w:val="none" w:sz="0" w:space="0" w:color="auto"/>
        <w:right w:val="none" w:sz="0" w:space="0" w:color="auto"/>
      </w:divBdr>
    </w:div>
    <w:div w:id="1858156854">
      <w:bodyDiv w:val="1"/>
      <w:marLeft w:val="0"/>
      <w:marRight w:val="0"/>
      <w:marTop w:val="0"/>
      <w:marBottom w:val="0"/>
      <w:divBdr>
        <w:top w:val="none" w:sz="0" w:space="0" w:color="auto"/>
        <w:left w:val="none" w:sz="0" w:space="0" w:color="auto"/>
        <w:bottom w:val="none" w:sz="0" w:space="0" w:color="auto"/>
        <w:right w:val="none" w:sz="0" w:space="0" w:color="auto"/>
      </w:divBdr>
    </w:div>
    <w:div w:id="1869176961">
      <w:bodyDiv w:val="1"/>
      <w:marLeft w:val="0"/>
      <w:marRight w:val="0"/>
      <w:marTop w:val="0"/>
      <w:marBottom w:val="0"/>
      <w:divBdr>
        <w:top w:val="none" w:sz="0" w:space="0" w:color="auto"/>
        <w:left w:val="none" w:sz="0" w:space="0" w:color="auto"/>
        <w:bottom w:val="none" w:sz="0" w:space="0" w:color="auto"/>
        <w:right w:val="none" w:sz="0" w:space="0" w:color="auto"/>
      </w:divBdr>
    </w:div>
    <w:div w:id="1869177486">
      <w:bodyDiv w:val="1"/>
      <w:marLeft w:val="0"/>
      <w:marRight w:val="0"/>
      <w:marTop w:val="0"/>
      <w:marBottom w:val="0"/>
      <w:divBdr>
        <w:top w:val="none" w:sz="0" w:space="0" w:color="auto"/>
        <w:left w:val="none" w:sz="0" w:space="0" w:color="auto"/>
        <w:bottom w:val="none" w:sz="0" w:space="0" w:color="auto"/>
        <w:right w:val="none" w:sz="0" w:space="0" w:color="auto"/>
      </w:divBdr>
    </w:div>
    <w:div w:id="1870416259">
      <w:bodyDiv w:val="1"/>
      <w:marLeft w:val="0"/>
      <w:marRight w:val="0"/>
      <w:marTop w:val="0"/>
      <w:marBottom w:val="0"/>
      <w:divBdr>
        <w:top w:val="none" w:sz="0" w:space="0" w:color="auto"/>
        <w:left w:val="none" w:sz="0" w:space="0" w:color="auto"/>
        <w:bottom w:val="none" w:sz="0" w:space="0" w:color="auto"/>
        <w:right w:val="none" w:sz="0" w:space="0" w:color="auto"/>
      </w:divBdr>
    </w:div>
    <w:div w:id="1877499766">
      <w:bodyDiv w:val="1"/>
      <w:marLeft w:val="0"/>
      <w:marRight w:val="0"/>
      <w:marTop w:val="0"/>
      <w:marBottom w:val="0"/>
      <w:divBdr>
        <w:top w:val="none" w:sz="0" w:space="0" w:color="auto"/>
        <w:left w:val="none" w:sz="0" w:space="0" w:color="auto"/>
        <w:bottom w:val="none" w:sz="0" w:space="0" w:color="auto"/>
        <w:right w:val="none" w:sz="0" w:space="0" w:color="auto"/>
      </w:divBdr>
    </w:div>
    <w:div w:id="1877619414">
      <w:bodyDiv w:val="1"/>
      <w:marLeft w:val="0"/>
      <w:marRight w:val="0"/>
      <w:marTop w:val="0"/>
      <w:marBottom w:val="0"/>
      <w:divBdr>
        <w:top w:val="none" w:sz="0" w:space="0" w:color="auto"/>
        <w:left w:val="none" w:sz="0" w:space="0" w:color="auto"/>
        <w:bottom w:val="none" w:sz="0" w:space="0" w:color="auto"/>
        <w:right w:val="none" w:sz="0" w:space="0" w:color="auto"/>
      </w:divBdr>
    </w:div>
    <w:div w:id="1880050652">
      <w:bodyDiv w:val="1"/>
      <w:marLeft w:val="0"/>
      <w:marRight w:val="0"/>
      <w:marTop w:val="0"/>
      <w:marBottom w:val="0"/>
      <w:divBdr>
        <w:top w:val="none" w:sz="0" w:space="0" w:color="auto"/>
        <w:left w:val="none" w:sz="0" w:space="0" w:color="auto"/>
        <w:bottom w:val="none" w:sz="0" w:space="0" w:color="auto"/>
        <w:right w:val="none" w:sz="0" w:space="0" w:color="auto"/>
      </w:divBdr>
    </w:div>
    <w:div w:id="1889681740">
      <w:bodyDiv w:val="1"/>
      <w:marLeft w:val="0"/>
      <w:marRight w:val="0"/>
      <w:marTop w:val="0"/>
      <w:marBottom w:val="0"/>
      <w:divBdr>
        <w:top w:val="none" w:sz="0" w:space="0" w:color="auto"/>
        <w:left w:val="none" w:sz="0" w:space="0" w:color="auto"/>
        <w:bottom w:val="none" w:sz="0" w:space="0" w:color="auto"/>
        <w:right w:val="none" w:sz="0" w:space="0" w:color="auto"/>
      </w:divBdr>
    </w:div>
    <w:div w:id="1890605034">
      <w:bodyDiv w:val="1"/>
      <w:marLeft w:val="0"/>
      <w:marRight w:val="0"/>
      <w:marTop w:val="0"/>
      <w:marBottom w:val="0"/>
      <w:divBdr>
        <w:top w:val="none" w:sz="0" w:space="0" w:color="auto"/>
        <w:left w:val="none" w:sz="0" w:space="0" w:color="auto"/>
        <w:bottom w:val="none" w:sz="0" w:space="0" w:color="auto"/>
        <w:right w:val="none" w:sz="0" w:space="0" w:color="auto"/>
      </w:divBdr>
    </w:div>
    <w:div w:id="1890797669">
      <w:bodyDiv w:val="1"/>
      <w:marLeft w:val="0"/>
      <w:marRight w:val="0"/>
      <w:marTop w:val="0"/>
      <w:marBottom w:val="0"/>
      <w:divBdr>
        <w:top w:val="none" w:sz="0" w:space="0" w:color="auto"/>
        <w:left w:val="none" w:sz="0" w:space="0" w:color="auto"/>
        <w:bottom w:val="none" w:sz="0" w:space="0" w:color="auto"/>
        <w:right w:val="none" w:sz="0" w:space="0" w:color="auto"/>
      </w:divBdr>
    </w:div>
    <w:div w:id="1896117008">
      <w:bodyDiv w:val="1"/>
      <w:marLeft w:val="0"/>
      <w:marRight w:val="0"/>
      <w:marTop w:val="0"/>
      <w:marBottom w:val="0"/>
      <w:divBdr>
        <w:top w:val="none" w:sz="0" w:space="0" w:color="auto"/>
        <w:left w:val="none" w:sz="0" w:space="0" w:color="auto"/>
        <w:bottom w:val="none" w:sz="0" w:space="0" w:color="auto"/>
        <w:right w:val="none" w:sz="0" w:space="0" w:color="auto"/>
      </w:divBdr>
    </w:div>
    <w:div w:id="1896817513">
      <w:bodyDiv w:val="1"/>
      <w:marLeft w:val="0"/>
      <w:marRight w:val="0"/>
      <w:marTop w:val="0"/>
      <w:marBottom w:val="0"/>
      <w:divBdr>
        <w:top w:val="none" w:sz="0" w:space="0" w:color="auto"/>
        <w:left w:val="none" w:sz="0" w:space="0" w:color="auto"/>
        <w:bottom w:val="none" w:sz="0" w:space="0" w:color="auto"/>
        <w:right w:val="none" w:sz="0" w:space="0" w:color="auto"/>
      </w:divBdr>
    </w:div>
    <w:div w:id="1905138674">
      <w:bodyDiv w:val="1"/>
      <w:marLeft w:val="0"/>
      <w:marRight w:val="0"/>
      <w:marTop w:val="0"/>
      <w:marBottom w:val="0"/>
      <w:divBdr>
        <w:top w:val="none" w:sz="0" w:space="0" w:color="auto"/>
        <w:left w:val="none" w:sz="0" w:space="0" w:color="auto"/>
        <w:bottom w:val="none" w:sz="0" w:space="0" w:color="auto"/>
        <w:right w:val="none" w:sz="0" w:space="0" w:color="auto"/>
      </w:divBdr>
    </w:div>
    <w:div w:id="1907648455">
      <w:bodyDiv w:val="1"/>
      <w:marLeft w:val="0"/>
      <w:marRight w:val="0"/>
      <w:marTop w:val="0"/>
      <w:marBottom w:val="0"/>
      <w:divBdr>
        <w:top w:val="none" w:sz="0" w:space="0" w:color="auto"/>
        <w:left w:val="none" w:sz="0" w:space="0" w:color="auto"/>
        <w:bottom w:val="none" w:sz="0" w:space="0" w:color="auto"/>
        <w:right w:val="none" w:sz="0" w:space="0" w:color="auto"/>
      </w:divBdr>
    </w:div>
    <w:div w:id="1908221886">
      <w:bodyDiv w:val="1"/>
      <w:marLeft w:val="0"/>
      <w:marRight w:val="0"/>
      <w:marTop w:val="0"/>
      <w:marBottom w:val="0"/>
      <w:divBdr>
        <w:top w:val="none" w:sz="0" w:space="0" w:color="auto"/>
        <w:left w:val="none" w:sz="0" w:space="0" w:color="auto"/>
        <w:bottom w:val="none" w:sz="0" w:space="0" w:color="auto"/>
        <w:right w:val="none" w:sz="0" w:space="0" w:color="auto"/>
      </w:divBdr>
    </w:div>
    <w:div w:id="1908607348">
      <w:bodyDiv w:val="1"/>
      <w:marLeft w:val="0"/>
      <w:marRight w:val="0"/>
      <w:marTop w:val="0"/>
      <w:marBottom w:val="0"/>
      <w:divBdr>
        <w:top w:val="none" w:sz="0" w:space="0" w:color="auto"/>
        <w:left w:val="none" w:sz="0" w:space="0" w:color="auto"/>
        <w:bottom w:val="none" w:sz="0" w:space="0" w:color="auto"/>
        <w:right w:val="none" w:sz="0" w:space="0" w:color="auto"/>
      </w:divBdr>
    </w:div>
    <w:div w:id="1912814861">
      <w:bodyDiv w:val="1"/>
      <w:marLeft w:val="0"/>
      <w:marRight w:val="0"/>
      <w:marTop w:val="0"/>
      <w:marBottom w:val="0"/>
      <w:divBdr>
        <w:top w:val="none" w:sz="0" w:space="0" w:color="auto"/>
        <w:left w:val="none" w:sz="0" w:space="0" w:color="auto"/>
        <w:bottom w:val="none" w:sz="0" w:space="0" w:color="auto"/>
        <w:right w:val="none" w:sz="0" w:space="0" w:color="auto"/>
      </w:divBdr>
    </w:div>
    <w:div w:id="1918632495">
      <w:bodyDiv w:val="1"/>
      <w:marLeft w:val="0"/>
      <w:marRight w:val="0"/>
      <w:marTop w:val="0"/>
      <w:marBottom w:val="0"/>
      <w:divBdr>
        <w:top w:val="none" w:sz="0" w:space="0" w:color="auto"/>
        <w:left w:val="none" w:sz="0" w:space="0" w:color="auto"/>
        <w:bottom w:val="none" w:sz="0" w:space="0" w:color="auto"/>
        <w:right w:val="none" w:sz="0" w:space="0" w:color="auto"/>
      </w:divBdr>
    </w:div>
    <w:div w:id="1919093937">
      <w:bodyDiv w:val="1"/>
      <w:marLeft w:val="0"/>
      <w:marRight w:val="0"/>
      <w:marTop w:val="0"/>
      <w:marBottom w:val="0"/>
      <w:divBdr>
        <w:top w:val="none" w:sz="0" w:space="0" w:color="auto"/>
        <w:left w:val="none" w:sz="0" w:space="0" w:color="auto"/>
        <w:bottom w:val="none" w:sz="0" w:space="0" w:color="auto"/>
        <w:right w:val="none" w:sz="0" w:space="0" w:color="auto"/>
      </w:divBdr>
    </w:div>
    <w:div w:id="1921060618">
      <w:bodyDiv w:val="1"/>
      <w:marLeft w:val="0"/>
      <w:marRight w:val="0"/>
      <w:marTop w:val="0"/>
      <w:marBottom w:val="0"/>
      <w:divBdr>
        <w:top w:val="none" w:sz="0" w:space="0" w:color="auto"/>
        <w:left w:val="none" w:sz="0" w:space="0" w:color="auto"/>
        <w:bottom w:val="none" w:sz="0" w:space="0" w:color="auto"/>
        <w:right w:val="none" w:sz="0" w:space="0" w:color="auto"/>
      </w:divBdr>
    </w:div>
    <w:div w:id="1924295535">
      <w:bodyDiv w:val="1"/>
      <w:marLeft w:val="0"/>
      <w:marRight w:val="0"/>
      <w:marTop w:val="0"/>
      <w:marBottom w:val="0"/>
      <w:divBdr>
        <w:top w:val="none" w:sz="0" w:space="0" w:color="auto"/>
        <w:left w:val="none" w:sz="0" w:space="0" w:color="auto"/>
        <w:bottom w:val="none" w:sz="0" w:space="0" w:color="auto"/>
        <w:right w:val="none" w:sz="0" w:space="0" w:color="auto"/>
      </w:divBdr>
    </w:div>
    <w:div w:id="1925337837">
      <w:bodyDiv w:val="1"/>
      <w:marLeft w:val="0"/>
      <w:marRight w:val="0"/>
      <w:marTop w:val="0"/>
      <w:marBottom w:val="0"/>
      <w:divBdr>
        <w:top w:val="none" w:sz="0" w:space="0" w:color="auto"/>
        <w:left w:val="none" w:sz="0" w:space="0" w:color="auto"/>
        <w:bottom w:val="none" w:sz="0" w:space="0" w:color="auto"/>
        <w:right w:val="none" w:sz="0" w:space="0" w:color="auto"/>
      </w:divBdr>
    </w:div>
    <w:div w:id="1925871644">
      <w:bodyDiv w:val="1"/>
      <w:marLeft w:val="0"/>
      <w:marRight w:val="0"/>
      <w:marTop w:val="0"/>
      <w:marBottom w:val="0"/>
      <w:divBdr>
        <w:top w:val="none" w:sz="0" w:space="0" w:color="auto"/>
        <w:left w:val="none" w:sz="0" w:space="0" w:color="auto"/>
        <w:bottom w:val="none" w:sz="0" w:space="0" w:color="auto"/>
        <w:right w:val="none" w:sz="0" w:space="0" w:color="auto"/>
      </w:divBdr>
    </w:div>
    <w:div w:id="1927881775">
      <w:bodyDiv w:val="1"/>
      <w:marLeft w:val="0"/>
      <w:marRight w:val="0"/>
      <w:marTop w:val="0"/>
      <w:marBottom w:val="0"/>
      <w:divBdr>
        <w:top w:val="none" w:sz="0" w:space="0" w:color="auto"/>
        <w:left w:val="none" w:sz="0" w:space="0" w:color="auto"/>
        <w:bottom w:val="none" w:sz="0" w:space="0" w:color="auto"/>
        <w:right w:val="none" w:sz="0" w:space="0" w:color="auto"/>
      </w:divBdr>
    </w:div>
    <w:div w:id="1929657393">
      <w:bodyDiv w:val="1"/>
      <w:marLeft w:val="0"/>
      <w:marRight w:val="0"/>
      <w:marTop w:val="0"/>
      <w:marBottom w:val="0"/>
      <w:divBdr>
        <w:top w:val="none" w:sz="0" w:space="0" w:color="auto"/>
        <w:left w:val="none" w:sz="0" w:space="0" w:color="auto"/>
        <w:bottom w:val="none" w:sz="0" w:space="0" w:color="auto"/>
        <w:right w:val="none" w:sz="0" w:space="0" w:color="auto"/>
      </w:divBdr>
    </w:div>
    <w:div w:id="1936013961">
      <w:bodyDiv w:val="1"/>
      <w:marLeft w:val="0"/>
      <w:marRight w:val="0"/>
      <w:marTop w:val="0"/>
      <w:marBottom w:val="0"/>
      <w:divBdr>
        <w:top w:val="none" w:sz="0" w:space="0" w:color="auto"/>
        <w:left w:val="none" w:sz="0" w:space="0" w:color="auto"/>
        <w:bottom w:val="none" w:sz="0" w:space="0" w:color="auto"/>
        <w:right w:val="none" w:sz="0" w:space="0" w:color="auto"/>
      </w:divBdr>
    </w:div>
    <w:div w:id="1937512902">
      <w:bodyDiv w:val="1"/>
      <w:marLeft w:val="0"/>
      <w:marRight w:val="0"/>
      <w:marTop w:val="0"/>
      <w:marBottom w:val="0"/>
      <w:divBdr>
        <w:top w:val="none" w:sz="0" w:space="0" w:color="auto"/>
        <w:left w:val="none" w:sz="0" w:space="0" w:color="auto"/>
        <w:bottom w:val="none" w:sz="0" w:space="0" w:color="auto"/>
        <w:right w:val="none" w:sz="0" w:space="0" w:color="auto"/>
      </w:divBdr>
    </w:div>
    <w:div w:id="1939291600">
      <w:bodyDiv w:val="1"/>
      <w:marLeft w:val="0"/>
      <w:marRight w:val="0"/>
      <w:marTop w:val="0"/>
      <w:marBottom w:val="0"/>
      <w:divBdr>
        <w:top w:val="none" w:sz="0" w:space="0" w:color="auto"/>
        <w:left w:val="none" w:sz="0" w:space="0" w:color="auto"/>
        <w:bottom w:val="none" w:sz="0" w:space="0" w:color="auto"/>
        <w:right w:val="none" w:sz="0" w:space="0" w:color="auto"/>
      </w:divBdr>
    </w:div>
    <w:div w:id="1941446540">
      <w:bodyDiv w:val="1"/>
      <w:marLeft w:val="0"/>
      <w:marRight w:val="0"/>
      <w:marTop w:val="0"/>
      <w:marBottom w:val="0"/>
      <w:divBdr>
        <w:top w:val="none" w:sz="0" w:space="0" w:color="auto"/>
        <w:left w:val="none" w:sz="0" w:space="0" w:color="auto"/>
        <w:bottom w:val="none" w:sz="0" w:space="0" w:color="auto"/>
        <w:right w:val="none" w:sz="0" w:space="0" w:color="auto"/>
      </w:divBdr>
    </w:div>
    <w:div w:id="1948806854">
      <w:bodyDiv w:val="1"/>
      <w:marLeft w:val="0"/>
      <w:marRight w:val="0"/>
      <w:marTop w:val="0"/>
      <w:marBottom w:val="0"/>
      <w:divBdr>
        <w:top w:val="none" w:sz="0" w:space="0" w:color="auto"/>
        <w:left w:val="none" w:sz="0" w:space="0" w:color="auto"/>
        <w:bottom w:val="none" w:sz="0" w:space="0" w:color="auto"/>
        <w:right w:val="none" w:sz="0" w:space="0" w:color="auto"/>
      </w:divBdr>
    </w:div>
    <w:div w:id="1956515956">
      <w:bodyDiv w:val="1"/>
      <w:marLeft w:val="0"/>
      <w:marRight w:val="0"/>
      <w:marTop w:val="0"/>
      <w:marBottom w:val="0"/>
      <w:divBdr>
        <w:top w:val="none" w:sz="0" w:space="0" w:color="auto"/>
        <w:left w:val="none" w:sz="0" w:space="0" w:color="auto"/>
        <w:bottom w:val="none" w:sz="0" w:space="0" w:color="auto"/>
        <w:right w:val="none" w:sz="0" w:space="0" w:color="auto"/>
      </w:divBdr>
    </w:div>
    <w:div w:id="1960607273">
      <w:bodyDiv w:val="1"/>
      <w:marLeft w:val="0"/>
      <w:marRight w:val="0"/>
      <w:marTop w:val="0"/>
      <w:marBottom w:val="0"/>
      <w:divBdr>
        <w:top w:val="none" w:sz="0" w:space="0" w:color="auto"/>
        <w:left w:val="none" w:sz="0" w:space="0" w:color="auto"/>
        <w:bottom w:val="none" w:sz="0" w:space="0" w:color="auto"/>
        <w:right w:val="none" w:sz="0" w:space="0" w:color="auto"/>
      </w:divBdr>
    </w:div>
    <w:div w:id="1961952216">
      <w:bodyDiv w:val="1"/>
      <w:marLeft w:val="0"/>
      <w:marRight w:val="0"/>
      <w:marTop w:val="0"/>
      <w:marBottom w:val="0"/>
      <w:divBdr>
        <w:top w:val="none" w:sz="0" w:space="0" w:color="auto"/>
        <w:left w:val="none" w:sz="0" w:space="0" w:color="auto"/>
        <w:bottom w:val="none" w:sz="0" w:space="0" w:color="auto"/>
        <w:right w:val="none" w:sz="0" w:space="0" w:color="auto"/>
      </w:divBdr>
    </w:div>
    <w:div w:id="1966614214">
      <w:bodyDiv w:val="1"/>
      <w:marLeft w:val="0"/>
      <w:marRight w:val="0"/>
      <w:marTop w:val="0"/>
      <w:marBottom w:val="0"/>
      <w:divBdr>
        <w:top w:val="none" w:sz="0" w:space="0" w:color="auto"/>
        <w:left w:val="none" w:sz="0" w:space="0" w:color="auto"/>
        <w:bottom w:val="none" w:sz="0" w:space="0" w:color="auto"/>
        <w:right w:val="none" w:sz="0" w:space="0" w:color="auto"/>
      </w:divBdr>
    </w:div>
    <w:div w:id="1966932716">
      <w:bodyDiv w:val="1"/>
      <w:marLeft w:val="0"/>
      <w:marRight w:val="0"/>
      <w:marTop w:val="0"/>
      <w:marBottom w:val="0"/>
      <w:divBdr>
        <w:top w:val="none" w:sz="0" w:space="0" w:color="auto"/>
        <w:left w:val="none" w:sz="0" w:space="0" w:color="auto"/>
        <w:bottom w:val="none" w:sz="0" w:space="0" w:color="auto"/>
        <w:right w:val="none" w:sz="0" w:space="0" w:color="auto"/>
      </w:divBdr>
    </w:div>
    <w:div w:id="1971812995">
      <w:bodyDiv w:val="1"/>
      <w:marLeft w:val="0"/>
      <w:marRight w:val="0"/>
      <w:marTop w:val="0"/>
      <w:marBottom w:val="0"/>
      <w:divBdr>
        <w:top w:val="none" w:sz="0" w:space="0" w:color="auto"/>
        <w:left w:val="none" w:sz="0" w:space="0" w:color="auto"/>
        <w:bottom w:val="none" w:sz="0" w:space="0" w:color="auto"/>
        <w:right w:val="none" w:sz="0" w:space="0" w:color="auto"/>
      </w:divBdr>
    </w:div>
    <w:div w:id="1977292284">
      <w:bodyDiv w:val="1"/>
      <w:marLeft w:val="0"/>
      <w:marRight w:val="0"/>
      <w:marTop w:val="0"/>
      <w:marBottom w:val="0"/>
      <w:divBdr>
        <w:top w:val="none" w:sz="0" w:space="0" w:color="auto"/>
        <w:left w:val="none" w:sz="0" w:space="0" w:color="auto"/>
        <w:bottom w:val="none" w:sz="0" w:space="0" w:color="auto"/>
        <w:right w:val="none" w:sz="0" w:space="0" w:color="auto"/>
      </w:divBdr>
      <w:divsChild>
        <w:div w:id="1515539174">
          <w:marLeft w:val="0"/>
          <w:marRight w:val="0"/>
          <w:marTop w:val="0"/>
          <w:marBottom w:val="0"/>
          <w:divBdr>
            <w:top w:val="none" w:sz="0" w:space="0" w:color="auto"/>
            <w:left w:val="none" w:sz="0" w:space="0" w:color="auto"/>
            <w:bottom w:val="none" w:sz="0" w:space="0" w:color="auto"/>
            <w:right w:val="none" w:sz="0" w:space="0" w:color="auto"/>
          </w:divBdr>
          <w:divsChild>
            <w:div w:id="429859187">
              <w:marLeft w:val="0"/>
              <w:marRight w:val="0"/>
              <w:marTop w:val="0"/>
              <w:marBottom w:val="0"/>
              <w:divBdr>
                <w:top w:val="none" w:sz="0" w:space="0" w:color="auto"/>
                <w:left w:val="none" w:sz="0" w:space="0" w:color="auto"/>
                <w:bottom w:val="none" w:sz="0" w:space="0" w:color="auto"/>
                <w:right w:val="none" w:sz="0" w:space="0" w:color="auto"/>
              </w:divBdr>
              <w:divsChild>
                <w:div w:id="1404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88836">
      <w:bodyDiv w:val="1"/>
      <w:marLeft w:val="0"/>
      <w:marRight w:val="0"/>
      <w:marTop w:val="0"/>
      <w:marBottom w:val="0"/>
      <w:divBdr>
        <w:top w:val="none" w:sz="0" w:space="0" w:color="auto"/>
        <w:left w:val="none" w:sz="0" w:space="0" w:color="auto"/>
        <w:bottom w:val="none" w:sz="0" w:space="0" w:color="auto"/>
        <w:right w:val="none" w:sz="0" w:space="0" w:color="auto"/>
      </w:divBdr>
    </w:div>
    <w:div w:id="1981571727">
      <w:bodyDiv w:val="1"/>
      <w:marLeft w:val="0"/>
      <w:marRight w:val="0"/>
      <w:marTop w:val="0"/>
      <w:marBottom w:val="0"/>
      <w:divBdr>
        <w:top w:val="none" w:sz="0" w:space="0" w:color="auto"/>
        <w:left w:val="none" w:sz="0" w:space="0" w:color="auto"/>
        <w:bottom w:val="none" w:sz="0" w:space="0" w:color="auto"/>
        <w:right w:val="none" w:sz="0" w:space="0" w:color="auto"/>
      </w:divBdr>
    </w:div>
    <w:div w:id="1990359768">
      <w:bodyDiv w:val="1"/>
      <w:marLeft w:val="0"/>
      <w:marRight w:val="0"/>
      <w:marTop w:val="0"/>
      <w:marBottom w:val="0"/>
      <w:divBdr>
        <w:top w:val="none" w:sz="0" w:space="0" w:color="auto"/>
        <w:left w:val="none" w:sz="0" w:space="0" w:color="auto"/>
        <w:bottom w:val="none" w:sz="0" w:space="0" w:color="auto"/>
        <w:right w:val="none" w:sz="0" w:space="0" w:color="auto"/>
      </w:divBdr>
    </w:div>
    <w:div w:id="2006743316">
      <w:bodyDiv w:val="1"/>
      <w:marLeft w:val="0"/>
      <w:marRight w:val="0"/>
      <w:marTop w:val="0"/>
      <w:marBottom w:val="0"/>
      <w:divBdr>
        <w:top w:val="none" w:sz="0" w:space="0" w:color="auto"/>
        <w:left w:val="none" w:sz="0" w:space="0" w:color="auto"/>
        <w:bottom w:val="none" w:sz="0" w:space="0" w:color="auto"/>
        <w:right w:val="none" w:sz="0" w:space="0" w:color="auto"/>
      </w:divBdr>
    </w:div>
    <w:div w:id="2012755898">
      <w:bodyDiv w:val="1"/>
      <w:marLeft w:val="0"/>
      <w:marRight w:val="0"/>
      <w:marTop w:val="0"/>
      <w:marBottom w:val="0"/>
      <w:divBdr>
        <w:top w:val="none" w:sz="0" w:space="0" w:color="auto"/>
        <w:left w:val="none" w:sz="0" w:space="0" w:color="auto"/>
        <w:bottom w:val="none" w:sz="0" w:space="0" w:color="auto"/>
        <w:right w:val="none" w:sz="0" w:space="0" w:color="auto"/>
      </w:divBdr>
    </w:div>
    <w:div w:id="2013800065">
      <w:bodyDiv w:val="1"/>
      <w:marLeft w:val="0"/>
      <w:marRight w:val="0"/>
      <w:marTop w:val="0"/>
      <w:marBottom w:val="0"/>
      <w:divBdr>
        <w:top w:val="none" w:sz="0" w:space="0" w:color="auto"/>
        <w:left w:val="none" w:sz="0" w:space="0" w:color="auto"/>
        <w:bottom w:val="none" w:sz="0" w:space="0" w:color="auto"/>
        <w:right w:val="none" w:sz="0" w:space="0" w:color="auto"/>
      </w:divBdr>
    </w:div>
    <w:div w:id="2023504955">
      <w:bodyDiv w:val="1"/>
      <w:marLeft w:val="0"/>
      <w:marRight w:val="0"/>
      <w:marTop w:val="0"/>
      <w:marBottom w:val="0"/>
      <w:divBdr>
        <w:top w:val="none" w:sz="0" w:space="0" w:color="auto"/>
        <w:left w:val="none" w:sz="0" w:space="0" w:color="auto"/>
        <w:bottom w:val="none" w:sz="0" w:space="0" w:color="auto"/>
        <w:right w:val="none" w:sz="0" w:space="0" w:color="auto"/>
      </w:divBdr>
    </w:div>
    <w:div w:id="2026246229">
      <w:bodyDiv w:val="1"/>
      <w:marLeft w:val="0"/>
      <w:marRight w:val="0"/>
      <w:marTop w:val="0"/>
      <w:marBottom w:val="0"/>
      <w:divBdr>
        <w:top w:val="none" w:sz="0" w:space="0" w:color="auto"/>
        <w:left w:val="none" w:sz="0" w:space="0" w:color="auto"/>
        <w:bottom w:val="none" w:sz="0" w:space="0" w:color="auto"/>
        <w:right w:val="none" w:sz="0" w:space="0" w:color="auto"/>
      </w:divBdr>
    </w:div>
    <w:div w:id="2029719380">
      <w:bodyDiv w:val="1"/>
      <w:marLeft w:val="0"/>
      <w:marRight w:val="0"/>
      <w:marTop w:val="0"/>
      <w:marBottom w:val="0"/>
      <w:divBdr>
        <w:top w:val="none" w:sz="0" w:space="0" w:color="auto"/>
        <w:left w:val="none" w:sz="0" w:space="0" w:color="auto"/>
        <w:bottom w:val="none" w:sz="0" w:space="0" w:color="auto"/>
        <w:right w:val="none" w:sz="0" w:space="0" w:color="auto"/>
      </w:divBdr>
    </w:div>
    <w:div w:id="2031713207">
      <w:bodyDiv w:val="1"/>
      <w:marLeft w:val="0"/>
      <w:marRight w:val="0"/>
      <w:marTop w:val="0"/>
      <w:marBottom w:val="0"/>
      <w:divBdr>
        <w:top w:val="none" w:sz="0" w:space="0" w:color="auto"/>
        <w:left w:val="none" w:sz="0" w:space="0" w:color="auto"/>
        <w:bottom w:val="none" w:sz="0" w:space="0" w:color="auto"/>
        <w:right w:val="none" w:sz="0" w:space="0" w:color="auto"/>
      </w:divBdr>
    </w:div>
    <w:div w:id="2033608364">
      <w:bodyDiv w:val="1"/>
      <w:marLeft w:val="0"/>
      <w:marRight w:val="0"/>
      <w:marTop w:val="0"/>
      <w:marBottom w:val="0"/>
      <w:divBdr>
        <w:top w:val="none" w:sz="0" w:space="0" w:color="auto"/>
        <w:left w:val="none" w:sz="0" w:space="0" w:color="auto"/>
        <w:bottom w:val="none" w:sz="0" w:space="0" w:color="auto"/>
        <w:right w:val="none" w:sz="0" w:space="0" w:color="auto"/>
      </w:divBdr>
    </w:div>
    <w:div w:id="2034188891">
      <w:bodyDiv w:val="1"/>
      <w:marLeft w:val="0"/>
      <w:marRight w:val="0"/>
      <w:marTop w:val="0"/>
      <w:marBottom w:val="0"/>
      <w:divBdr>
        <w:top w:val="none" w:sz="0" w:space="0" w:color="auto"/>
        <w:left w:val="none" w:sz="0" w:space="0" w:color="auto"/>
        <w:bottom w:val="none" w:sz="0" w:space="0" w:color="auto"/>
        <w:right w:val="none" w:sz="0" w:space="0" w:color="auto"/>
      </w:divBdr>
    </w:div>
    <w:div w:id="2036345260">
      <w:bodyDiv w:val="1"/>
      <w:marLeft w:val="0"/>
      <w:marRight w:val="0"/>
      <w:marTop w:val="0"/>
      <w:marBottom w:val="0"/>
      <w:divBdr>
        <w:top w:val="none" w:sz="0" w:space="0" w:color="auto"/>
        <w:left w:val="none" w:sz="0" w:space="0" w:color="auto"/>
        <w:bottom w:val="none" w:sz="0" w:space="0" w:color="auto"/>
        <w:right w:val="none" w:sz="0" w:space="0" w:color="auto"/>
      </w:divBdr>
    </w:div>
    <w:div w:id="2037196891">
      <w:bodyDiv w:val="1"/>
      <w:marLeft w:val="0"/>
      <w:marRight w:val="0"/>
      <w:marTop w:val="0"/>
      <w:marBottom w:val="0"/>
      <w:divBdr>
        <w:top w:val="none" w:sz="0" w:space="0" w:color="auto"/>
        <w:left w:val="none" w:sz="0" w:space="0" w:color="auto"/>
        <w:bottom w:val="none" w:sz="0" w:space="0" w:color="auto"/>
        <w:right w:val="none" w:sz="0" w:space="0" w:color="auto"/>
      </w:divBdr>
    </w:div>
    <w:div w:id="2037389896">
      <w:bodyDiv w:val="1"/>
      <w:marLeft w:val="0"/>
      <w:marRight w:val="0"/>
      <w:marTop w:val="0"/>
      <w:marBottom w:val="0"/>
      <w:divBdr>
        <w:top w:val="none" w:sz="0" w:space="0" w:color="auto"/>
        <w:left w:val="none" w:sz="0" w:space="0" w:color="auto"/>
        <w:bottom w:val="none" w:sz="0" w:space="0" w:color="auto"/>
        <w:right w:val="none" w:sz="0" w:space="0" w:color="auto"/>
      </w:divBdr>
    </w:div>
    <w:div w:id="2039308207">
      <w:bodyDiv w:val="1"/>
      <w:marLeft w:val="0"/>
      <w:marRight w:val="0"/>
      <w:marTop w:val="0"/>
      <w:marBottom w:val="0"/>
      <w:divBdr>
        <w:top w:val="none" w:sz="0" w:space="0" w:color="auto"/>
        <w:left w:val="none" w:sz="0" w:space="0" w:color="auto"/>
        <w:bottom w:val="none" w:sz="0" w:space="0" w:color="auto"/>
        <w:right w:val="none" w:sz="0" w:space="0" w:color="auto"/>
      </w:divBdr>
    </w:div>
    <w:div w:id="2039625403">
      <w:bodyDiv w:val="1"/>
      <w:marLeft w:val="0"/>
      <w:marRight w:val="0"/>
      <w:marTop w:val="0"/>
      <w:marBottom w:val="0"/>
      <w:divBdr>
        <w:top w:val="none" w:sz="0" w:space="0" w:color="auto"/>
        <w:left w:val="none" w:sz="0" w:space="0" w:color="auto"/>
        <w:bottom w:val="none" w:sz="0" w:space="0" w:color="auto"/>
        <w:right w:val="none" w:sz="0" w:space="0" w:color="auto"/>
      </w:divBdr>
    </w:div>
    <w:div w:id="2045591831">
      <w:bodyDiv w:val="1"/>
      <w:marLeft w:val="0"/>
      <w:marRight w:val="0"/>
      <w:marTop w:val="0"/>
      <w:marBottom w:val="0"/>
      <w:divBdr>
        <w:top w:val="none" w:sz="0" w:space="0" w:color="auto"/>
        <w:left w:val="none" w:sz="0" w:space="0" w:color="auto"/>
        <w:bottom w:val="none" w:sz="0" w:space="0" w:color="auto"/>
        <w:right w:val="none" w:sz="0" w:space="0" w:color="auto"/>
      </w:divBdr>
    </w:div>
    <w:div w:id="2047096519">
      <w:bodyDiv w:val="1"/>
      <w:marLeft w:val="0"/>
      <w:marRight w:val="0"/>
      <w:marTop w:val="0"/>
      <w:marBottom w:val="0"/>
      <w:divBdr>
        <w:top w:val="none" w:sz="0" w:space="0" w:color="auto"/>
        <w:left w:val="none" w:sz="0" w:space="0" w:color="auto"/>
        <w:bottom w:val="none" w:sz="0" w:space="0" w:color="auto"/>
        <w:right w:val="none" w:sz="0" w:space="0" w:color="auto"/>
      </w:divBdr>
    </w:div>
    <w:div w:id="2052145285">
      <w:bodyDiv w:val="1"/>
      <w:marLeft w:val="0"/>
      <w:marRight w:val="0"/>
      <w:marTop w:val="0"/>
      <w:marBottom w:val="0"/>
      <w:divBdr>
        <w:top w:val="none" w:sz="0" w:space="0" w:color="auto"/>
        <w:left w:val="none" w:sz="0" w:space="0" w:color="auto"/>
        <w:bottom w:val="none" w:sz="0" w:space="0" w:color="auto"/>
        <w:right w:val="none" w:sz="0" w:space="0" w:color="auto"/>
      </w:divBdr>
    </w:div>
    <w:div w:id="2058158090">
      <w:bodyDiv w:val="1"/>
      <w:marLeft w:val="0"/>
      <w:marRight w:val="0"/>
      <w:marTop w:val="0"/>
      <w:marBottom w:val="0"/>
      <w:divBdr>
        <w:top w:val="none" w:sz="0" w:space="0" w:color="auto"/>
        <w:left w:val="none" w:sz="0" w:space="0" w:color="auto"/>
        <w:bottom w:val="none" w:sz="0" w:space="0" w:color="auto"/>
        <w:right w:val="none" w:sz="0" w:space="0" w:color="auto"/>
      </w:divBdr>
    </w:div>
    <w:div w:id="2058772243">
      <w:bodyDiv w:val="1"/>
      <w:marLeft w:val="0"/>
      <w:marRight w:val="0"/>
      <w:marTop w:val="0"/>
      <w:marBottom w:val="0"/>
      <w:divBdr>
        <w:top w:val="none" w:sz="0" w:space="0" w:color="auto"/>
        <w:left w:val="none" w:sz="0" w:space="0" w:color="auto"/>
        <w:bottom w:val="none" w:sz="0" w:space="0" w:color="auto"/>
        <w:right w:val="none" w:sz="0" w:space="0" w:color="auto"/>
      </w:divBdr>
    </w:div>
    <w:div w:id="2059472070">
      <w:bodyDiv w:val="1"/>
      <w:marLeft w:val="0"/>
      <w:marRight w:val="0"/>
      <w:marTop w:val="0"/>
      <w:marBottom w:val="0"/>
      <w:divBdr>
        <w:top w:val="none" w:sz="0" w:space="0" w:color="auto"/>
        <w:left w:val="none" w:sz="0" w:space="0" w:color="auto"/>
        <w:bottom w:val="none" w:sz="0" w:space="0" w:color="auto"/>
        <w:right w:val="none" w:sz="0" w:space="0" w:color="auto"/>
      </w:divBdr>
    </w:div>
    <w:div w:id="2071228260">
      <w:bodyDiv w:val="1"/>
      <w:marLeft w:val="0"/>
      <w:marRight w:val="0"/>
      <w:marTop w:val="0"/>
      <w:marBottom w:val="0"/>
      <w:divBdr>
        <w:top w:val="none" w:sz="0" w:space="0" w:color="auto"/>
        <w:left w:val="none" w:sz="0" w:space="0" w:color="auto"/>
        <w:bottom w:val="none" w:sz="0" w:space="0" w:color="auto"/>
        <w:right w:val="none" w:sz="0" w:space="0" w:color="auto"/>
      </w:divBdr>
    </w:div>
    <w:div w:id="2076781575">
      <w:bodyDiv w:val="1"/>
      <w:marLeft w:val="0"/>
      <w:marRight w:val="0"/>
      <w:marTop w:val="0"/>
      <w:marBottom w:val="0"/>
      <w:divBdr>
        <w:top w:val="none" w:sz="0" w:space="0" w:color="auto"/>
        <w:left w:val="none" w:sz="0" w:space="0" w:color="auto"/>
        <w:bottom w:val="none" w:sz="0" w:space="0" w:color="auto"/>
        <w:right w:val="none" w:sz="0" w:space="0" w:color="auto"/>
      </w:divBdr>
    </w:div>
    <w:div w:id="2078621960">
      <w:bodyDiv w:val="1"/>
      <w:marLeft w:val="0"/>
      <w:marRight w:val="0"/>
      <w:marTop w:val="0"/>
      <w:marBottom w:val="0"/>
      <w:divBdr>
        <w:top w:val="none" w:sz="0" w:space="0" w:color="auto"/>
        <w:left w:val="none" w:sz="0" w:space="0" w:color="auto"/>
        <w:bottom w:val="none" w:sz="0" w:space="0" w:color="auto"/>
        <w:right w:val="none" w:sz="0" w:space="0" w:color="auto"/>
      </w:divBdr>
    </w:div>
    <w:div w:id="2078623034">
      <w:bodyDiv w:val="1"/>
      <w:marLeft w:val="0"/>
      <w:marRight w:val="0"/>
      <w:marTop w:val="0"/>
      <w:marBottom w:val="0"/>
      <w:divBdr>
        <w:top w:val="none" w:sz="0" w:space="0" w:color="auto"/>
        <w:left w:val="none" w:sz="0" w:space="0" w:color="auto"/>
        <w:bottom w:val="none" w:sz="0" w:space="0" w:color="auto"/>
        <w:right w:val="none" w:sz="0" w:space="0" w:color="auto"/>
      </w:divBdr>
    </w:div>
    <w:div w:id="2081170261">
      <w:bodyDiv w:val="1"/>
      <w:marLeft w:val="0"/>
      <w:marRight w:val="0"/>
      <w:marTop w:val="0"/>
      <w:marBottom w:val="0"/>
      <w:divBdr>
        <w:top w:val="none" w:sz="0" w:space="0" w:color="auto"/>
        <w:left w:val="none" w:sz="0" w:space="0" w:color="auto"/>
        <w:bottom w:val="none" w:sz="0" w:space="0" w:color="auto"/>
        <w:right w:val="none" w:sz="0" w:space="0" w:color="auto"/>
      </w:divBdr>
    </w:div>
    <w:div w:id="2081366359">
      <w:bodyDiv w:val="1"/>
      <w:marLeft w:val="0"/>
      <w:marRight w:val="0"/>
      <w:marTop w:val="0"/>
      <w:marBottom w:val="0"/>
      <w:divBdr>
        <w:top w:val="none" w:sz="0" w:space="0" w:color="auto"/>
        <w:left w:val="none" w:sz="0" w:space="0" w:color="auto"/>
        <w:bottom w:val="none" w:sz="0" w:space="0" w:color="auto"/>
        <w:right w:val="none" w:sz="0" w:space="0" w:color="auto"/>
      </w:divBdr>
    </w:div>
    <w:div w:id="2083982919">
      <w:bodyDiv w:val="1"/>
      <w:marLeft w:val="0"/>
      <w:marRight w:val="0"/>
      <w:marTop w:val="0"/>
      <w:marBottom w:val="0"/>
      <w:divBdr>
        <w:top w:val="none" w:sz="0" w:space="0" w:color="auto"/>
        <w:left w:val="none" w:sz="0" w:space="0" w:color="auto"/>
        <w:bottom w:val="none" w:sz="0" w:space="0" w:color="auto"/>
        <w:right w:val="none" w:sz="0" w:space="0" w:color="auto"/>
      </w:divBdr>
    </w:div>
    <w:div w:id="2085686812">
      <w:bodyDiv w:val="1"/>
      <w:marLeft w:val="0"/>
      <w:marRight w:val="0"/>
      <w:marTop w:val="0"/>
      <w:marBottom w:val="0"/>
      <w:divBdr>
        <w:top w:val="none" w:sz="0" w:space="0" w:color="auto"/>
        <w:left w:val="none" w:sz="0" w:space="0" w:color="auto"/>
        <w:bottom w:val="none" w:sz="0" w:space="0" w:color="auto"/>
        <w:right w:val="none" w:sz="0" w:space="0" w:color="auto"/>
      </w:divBdr>
    </w:div>
    <w:div w:id="2094930408">
      <w:bodyDiv w:val="1"/>
      <w:marLeft w:val="0"/>
      <w:marRight w:val="0"/>
      <w:marTop w:val="0"/>
      <w:marBottom w:val="0"/>
      <w:divBdr>
        <w:top w:val="none" w:sz="0" w:space="0" w:color="auto"/>
        <w:left w:val="none" w:sz="0" w:space="0" w:color="auto"/>
        <w:bottom w:val="none" w:sz="0" w:space="0" w:color="auto"/>
        <w:right w:val="none" w:sz="0" w:space="0" w:color="auto"/>
      </w:divBdr>
    </w:div>
    <w:div w:id="2101094917">
      <w:bodyDiv w:val="1"/>
      <w:marLeft w:val="0"/>
      <w:marRight w:val="0"/>
      <w:marTop w:val="0"/>
      <w:marBottom w:val="0"/>
      <w:divBdr>
        <w:top w:val="none" w:sz="0" w:space="0" w:color="auto"/>
        <w:left w:val="none" w:sz="0" w:space="0" w:color="auto"/>
        <w:bottom w:val="none" w:sz="0" w:space="0" w:color="auto"/>
        <w:right w:val="none" w:sz="0" w:space="0" w:color="auto"/>
      </w:divBdr>
    </w:div>
    <w:div w:id="2101677659">
      <w:bodyDiv w:val="1"/>
      <w:marLeft w:val="0"/>
      <w:marRight w:val="0"/>
      <w:marTop w:val="0"/>
      <w:marBottom w:val="0"/>
      <w:divBdr>
        <w:top w:val="none" w:sz="0" w:space="0" w:color="auto"/>
        <w:left w:val="none" w:sz="0" w:space="0" w:color="auto"/>
        <w:bottom w:val="none" w:sz="0" w:space="0" w:color="auto"/>
        <w:right w:val="none" w:sz="0" w:space="0" w:color="auto"/>
      </w:divBdr>
    </w:div>
    <w:div w:id="2103791575">
      <w:bodyDiv w:val="1"/>
      <w:marLeft w:val="0"/>
      <w:marRight w:val="0"/>
      <w:marTop w:val="0"/>
      <w:marBottom w:val="0"/>
      <w:divBdr>
        <w:top w:val="none" w:sz="0" w:space="0" w:color="auto"/>
        <w:left w:val="none" w:sz="0" w:space="0" w:color="auto"/>
        <w:bottom w:val="none" w:sz="0" w:space="0" w:color="auto"/>
        <w:right w:val="none" w:sz="0" w:space="0" w:color="auto"/>
      </w:divBdr>
    </w:div>
    <w:div w:id="2104913735">
      <w:bodyDiv w:val="1"/>
      <w:marLeft w:val="0"/>
      <w:marRight w:val="0"/>
      <w:marTop w:val="0"/>
      <w:marBottom w:val="0"/>
      <w:divBdr>
        <w:top w:val="none" w:sz="0" w:space="0" w:color="auto"/>
        <w:left w:val="none" w:sz="0" w:space="0" w:color="auto"/>
        <w:bottom w:val="none" w:sz="0" w:space="0" w:color="auto"/>
        <w:right w:val="none" w:sz="0" w:space="0" w:color="auto"/>
      </w:divBdr>
    </w:div>
    <w:div w:id="2107194555">
      <w:bodyDiv w:val="1"/>
      <w:marLeft w:val="0"/>
      <w:marRight w:val="0"/>
      <w:marTop w:val="0"/>
      <w:marBottom w:val="0"/>
      <w:divBdr>
        <w:top w:val="none" w:sz="0" w:space="0" w:color="auto"/>
        <w:left w:val="none" w:sz="0" w:space="0" w:color="auto"/>
        <w:bottom w:val="none" w:sz="0" w:space="0" w:color="auto"/>
        <w:right w:val="none" w:sz="0" w:space="0" w:color="auto"/>
      </w:divBdr>
    </w:div>
    <w:div w:id="2113354352">
      <w:bodyDiv w:val="1"/>
      <w:marLeft w:val="0"/>
      <w:marRight w:val="0"/>
      <w:marTop w:val="0"/>
      <w:marBottom w:val="0"/>
      <w:divBdr>
        <w:top w:val="none" w:sz="0" w:space="0" w:color="auto"/>
        <w:left w:val="none" w:sz="0" w:space="0" w:color="auto"/>
        <w:bottom w:val="none" w:sz="0" w:space="0" w:color="auto"/>
        <w:right w:val="none" w:sz="0" w:space="0" w:color="auto"/>
      </w:divBdr>
    </w:div>
    <w:div w:id="2121609255">
      <w:bodyDiv w:val="1"/>
      <w:marLeft w:val="0"/>
      <w:marRight w:val="0"/>
      <w:marTop w:val="0"/>
      <w:marBottom w:val="0"/>
      <w:divBdr>
        <w:top w:val="none" w:sz="0" w:space="0" w:color="auto"/>
        <w:left w:val="none" w:sz="0" w:space="0" w:color="auto"/>
        <w:bottom w:val="none" w:sz="0" w:space="0" w:color="auto"/>
        <w:right w:val="none" w:sz="0" w:space="0" w:color="auto"/>
      </w:divBdr>
    </w:div>
    <w:div w:id="2127891999">
      <w:bodyDiv w:val="1"/>
      <w:marLeft w:val="0"/>
      <w:marRight w:val="0"/>
      <w:marTop w:val="0"/>
      <w:marBottom w:val="0"/>
      <w:divBdr>
        <w:top w:val="none" w:sz="0" w:space="0" w:color="auto"/>
        <w:left w:val="none" w:sz="0" w:space="0" w:color="auto"/>
        <w:bottom w:val="none" w:sz="0" w:space="0" w:color="auto"/>
        <w:right w:val="none" w:sz="0" w:space="0" w:color="auto"/>
      </w:divBdr>
    </w:div>
    <w:div w:id="2131392822">
      <w:bodyDiv w:val="1"/>
      <w:marLeft w:val="0"/>
      <w:marRight w:val="0"/>
      <w:marTop w:val="0"/>
      <w:marBottom w:val="0"/>
      <w:divBdr>
        <w:top w:val="none" w:sz="0" w:space="0" w:color="auto"/>
        <w:left w:val="none" w:sz="0" w:space="0" w:color="auto"/>
        <w:bottom w:val="none" w:sz="0" w:space="0" w:color="auto"/>
        <w:right w:val="none" w:sz="0" w:space="0" w:color="auto"/>
      </w:divBdr>
    </w:div>
    <w:div w:id="2133016443">
      <w:bodyDiv w:val="1"/>
      <w:marLeft w:val="0"/>
      <w:marRight w:val="0"/>
      <w:marTop w:val="0"/>
      <w:marBottom w:val="0"/>
      <w:divBdr>
        <w:top w:val="none" w:sz="0" w:space="0" w:color="auto"/>
        <w:left w:val="none" w:sz="0" w:space="0" w:color="auto"/>
        <w:bottom w:val="none" w:sz="0" w:space="0" w:color="auto"/>
        <w:right w:val="none" w:sz="0" w:space="0" w:color="auto"/>
      </w:divBdr>
    </w:div>
    <w:div w:id="2133018184">
      <w:bodyDiv w:val="1"/>
      <w:marLeft w:val="0"/>
      <w:marRight w:val="0"/>
      <w:marTop w:val="0"/>
      <w:marBottom w:val="0"/>
      <w:divBdr>
        <w:top w:val="none" w:sz="0" w:space="0" w:color="auto"/>
        <w:left w:val="none" w:sz="0" w:space="0" w:color="auto"/>
        <w:bottom w:val="none" w:sz="0" w:space="0" w:color="auto"/>
        <w:right w:val="none" w:sz="0" w:space="0" w:color="auto"/>
      </w:divBdr>
    </w:div>
    <w:div w:id="2133089912">
      <w:bodyDiv w:val="1"/>
      <w:marLeft w:val="0"/>
      <w:marRight w:val="0"/>
      <w:marTop w:val="0"/>
      <w:marBottom w:val="0"/>
      <w:divBdr>
        <w:top w:val="none" w:sz="0" w:space="0" w:color="auto"/>
        <w:left w:val="none" w:sz="0" w:space="0" w:color="auto"/>
        <w:bottom w:val="none" w:sz="0" w:space="0" w:color="auto"/>
        <w:right w:val="none" w:sz="0" w:space="0" w:color="auto"/>
      </w:divBdr>
    </w:div>
    <w:div w:id="2133161687">
      <w:bodyDiv w:val="1"/>
      <w:marLeft w:val="0"/>
      <w:marRight w:val="0"/>
      <w:marTop w:val="0"/>
      <w:marBottom w:val="0"/>
      <w:divBdr>
        <w:top w:val="none" w:sz="0" w:space="0" w:color="auto"/>
        <w:left w:val="none" w:sz="0" w:space="0" w:color="auto"/>
        <w:bottom w:val="none" w:sz="0" w:space="0" w:color="auto"/>
        <w:right w:val="none" w:sz="0" w:space="0" w:color="auto"/>
      </w:divBdr>
    </w:div>
    <w:div w:id="2135319964">
      <w:bodyDiv w:val="1"/>
      <w:marLeft w:val="0"/>
      <w:marRight w:val="0"/>
      <w:marTop w:val="0"/>
      <w:marBottom w:val="0"/>
      <w:divBdr>
        <w:top w:val="none" w:sz="0" w:space="0" w:color="auto"/>
        <w:left w:val="none" w:sz="0" w:space="0" w:color="auto"/>
        <w:bottom w:val="none" w:sz="0" w:space="0" w:color="auto"/>
        <w:right w:val="none" w:sz="0" w:space="0" w:color="auto"/>
      </w:divBdr>
    </w:div>
    <w:div w:id="2137600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nce.lexis.com/search/?pdmfid=1516831&amp;crid=758eb17d-cd74-43f7-9937-77fd2c3f78fd&amp;pdsearchterms=36+U.S.+229&amp;pdstartin=hlct%3A1%3A1&amp;pdtypeofsearch=searchboxclick&amp;pdsearchtype=SearchBox&amp;pdqttype=or&amp;undefined=&amp;pdquerytemplateid=&amp;ecomp=k2n8k&amp;prid=1382877a-3237-4a45-bf05-218c710ac2ee" TargetMode="External"/><Relationship Id="rId13" Type="http://schemas.openxmlformats.org/officeDocument/2006/relationships/hyperlink" Target="https://advance.lexis.com/search/?pdmfid=1516831&amp;crid=bb6d2d82-85c1-43ed-9806-aafcc89a9c38&amp;pdsearchterms=Shafer+v.+Farmers+Grain+Co.%2C+268+U.S.+189&amp;pdstartin=hlct%3A1%3A1&amp;pdtypeofsearch=searchboxclick&amp;pdsearchtype=SearchBox&amp;pdqttype=and&amp;undefined=&amp;pdquerytemplateid=&amp;ecomp=k2n8k&amp;prid=0f42308f-fabd-41e4-b107-f9b028b1c880" TargetMode="External"/><Relationship Id="rId18" Type="http://schemas.openxmlformats.org/officeDocument/2006/relationships/hyperlink" Target="https://advance.lexis.com/search/?pdmfid=1516831&amp;crid=5b96778a-759e-4e6b-ae64-5fd69f2f8a2c&amp;pdsearchterms=125+U.S.+190&amp;pdstartin=hlct%3A1%3A1&amp;pdtypeofsearch=searchboxclick&amp;pdsearchtype=SearchBox&amp;pdqttype=and&amp;undefined=&amp;pdquerytemplateid=&amp;ecomp=k2n8k&amp;prid=c59b203c-ea6f-4f40-9c43-6e41fff8da67"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advance.lexis.com/search/?pdmfid=1516831&amp;crid=bb6d2d82-85c1-43ed-9806-aafcc89a9c38&amp;pdsearchterms=Shafer+v.+Farmers+Grain+Co.%2C+268+U.S.+189&amp;pdstartin=hlct%3A1%3A1&amp;pdtypeofsearch=searchboxclick&amp;pdsearchtype=SearchBox&amp;pdqttype=and&amp;undefined=&amp;pdquerytemplateid=&amp;ecomp=k2n8k&amp;prid=0f42308f-fabd-41e4-b107-f9b028b1c880" TargetMode="External"/><Relationship Id="rId17" Type="http://schemas.openxmlformats.org/officeDocument/2006/relationships/hyperlink" Target="https://advance.lexis.com/search/?pdmfid=1516831&amp;crid=5b96778a-759e-4e6b-ae64-5fd69f2f8a2c&amp;pdsearchterms=125+U.S.+190&amp;pdstartin=hlct%3A1%3A1&amp;pdtypeofsearch=searchboxclick&amp;pdsearchtype=SearchBox&amp;pdqttype=and&amp;undefined=&amp;pdquerytemplateid=&amp;ecomp=k2n8k&amp;prid=c59b203c-ea6f-4f40-9c43-6e41fff8da67" TargetMode="External"/><Relationship Id="rId2" Type="http://schemas.openxmlformats.org/officeDocument/2006/relationships/numbering" Target="numbering.xml"/><Relationship Id="rId16" Type="http://schemas.openxmlformats.org/officeDocument/2006/relationships/hyperlink" Target="https://advance.lexis.com/search/?pdmfid=1516831&amp;crid=d5b86e60-b7a9-4d53-8259-5fe11ce48c69&amp;pdsearchtype=SearchBox&amp;pdtypeofsearch=searchboxclick&amp;pdstartin=&amp;pdsearchterms=153+U.S.+289&amp;pdtimeline=&amp;pdpsf=&amp;pdquerytemplateid=&amp;pdsf=&amp;ecomp=qbJgkgk&amp;prid=72e4b940-96c3-4c4d-9de2-ef4da9d090e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vance.lexis.com/search/?pdmfid=1516831&amp;crid=758eb17d-cd74-43f7-9937-77fd2c3f78fd&amp;pdsearchterms=36+U.S.+229&amp;pdstartin=hlct%3A1%3A1&amp;pdtypeofsearch=searchboxclick&amp;pdsearchtype=SearchBox&amp;pdqttype=or&amp;undefined=&amp;pdquerytemplateid=&amp;ecomp=k2n8k&amp;prid=1382877a-3237-4a45-bf05-218c710ac2ee" TargetMode="External"/><Relationship Id="rId5" Type="http://schemas.openxmlformats.org/officeDocument/2006/relationships/webSettings" Target="webSettings.xml"/><Relationship Id="rId15" Type="http://schemas.openxmlformats.org/officeDocument/2006/relationships/hyperlink" Target="https://advance.lexis.com/search/?pdmfid=1516831&amp;crid=bb6d2d82-85c1-43ed-9806-aafcc89a9c38&amp;pdsearchterms=Shafer+v.+Farmers+Grain+Co.%2C+268+U.S.+189&amp;pdstartin=hlct%3A1%3A1&amp;pdtypeofsearch=searchboxclick&amp;pdsearchtype=SearchBox&amp;pdqttype=and&amp;undefined=&amp;pdquerytemplateid=&amp;ecomp=k2n8k&amp;prid=0f42308f-fabd-41e4-b107-f9b028b1c880" TargetMode="External"/><Relationship Id="rId23" Type="http://schemas.openxmlformats.org/officeDocument/2006/relationships/theme" Target="theme/theme1.xml"/><Relationship Id="rId10" Type="http://schemas.openxmlformats.org/officeDocument/2006/relationships/hyperlink" Target="https://advance.lexis.com/search/?pdmfid=1516831&amp;crid=758eb17d-cd74-43f7-9937-77fd2c3f78fd&amp;pdsearchterms=36+U.S.+229&amp;pdstartin=hlct%3A1%3A1&amp;pdtypeofsearch=searchboxclick&amp;pdsearchtype=SearchBox&amp;pdqttype=or&amp;undefined=&amp;pdquerytemplateid=&amp;ecomp=k2n8k&amp;prid=1382877a-3237-4a45-bf05-218c710ac2ee" TargetMode="External"/><Relationship Id="rId19" Type="http://schemas.openxmlformats.org/officeDocument/2006/relationships/hyperlink" Target="https://advance.lexis.com/search/?pdmfid=1516831&amp;crid=5b96778a-759e-4e6b-ae64-5fd69f2f8a2c&amp;pdsearchterms=125+U.S.+190&amp;pdstartin=hlct%3A1%3A1&amp;pdtypeofsearch=searchboxclick&amp;pdsearchtype=SearchBox&amp;pdqttype=and&amp;undefined=&amp;pdquerytemplateid=&amp;ecomp=k2n8k&amp;prid=c59b203c-ea6f-4f40-9c43-6e41fff8da67" TargetMode="External"/><Relationship Id="rId4" Type="http://schemas.openxmlformats.org/officeDocument/2006/relationships/settings" Target="settings.xml"/><Relationship Id="rId9" Type="http://schemas.openxmlformats.org/officeDocument/2006/relationships/hyperlink" Target="https://advance.lexis.com/search/?pdmfid=1516831&amp;crid=758eb17d-cd74-43f7-9937-77fd2c3f78fd&amp;pdsearchterms=36+U.S.+229&amp;pdstartin=hlct%3A1%3A1&amp;pdtypeofsearch=searchboxclick&amp;pdsearchtype=SearchBox&amp;pdqttype=or&amp;undefined=&amp;pdquerytemplateid=&amp;ecomp=k2n8k&amp;prid=1382877a-3237-4a45-bf05-218c710ac2ee" TargetMode="External"/><Relationship Id="rId14" Type="http://schemas.openxmlformats.org/officeDocument/2006/relationships/hyperlink" Target="https://advance.lexis.com/search/?pdmfid=1516831&amp;crid=bb6d2d82-85c1-43ed-9806-aafcc89a9c38&amp;pdsearchterms=Shafer+v.+Farmers+Grain+Co.%2C+268+U.S.+189&amp;pdstartin=hlct%3A1%3A1&amp;pdtypeofsearch=searchboxclick&amp;pdsearchtype=SearchBox&amp;pdqttype=and&amp;undefined=&amp;pdquerytemplateid=&amp;ecomp=k2n8k&amp;prid=0f42308f-fabd-41e4-b107-f9b028b1c880"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advance.lexis.com/document/?pdmfid=1516831&amp;crid=d1627ab4-61a1-4818-a835-3714a7cff566&amp;pddocfullpath=%2Fshared%2Fdocument%2Fcases%2Furn%3AcontentItem%3A3S4X-GMB0-003B-S0YC-00000-00&amp;pdcontentcomponentid=6443&amp;pdshepid=urn%3AcontentItem%3A7XW4-F581-2NSF-C0J4-00000-00&amp;pdteaserkey=sr0&amp;pditab=allpods&amp;ecomp=tmnyk&amp;earg=sr0&amp;prid=88386dc6-ec4d-4541-b1e0-64ae9a389ff6" TargetMode="External"/><Relationship Id="rId1" Type="http://schemas.openxmlformats.org/officeDocument/2006/relationships/hyperlink" Target="https://scholar.valpo.edu/cgi/viewcontent.cgi?referer=&amp;httpsredir=1&amp;article=1804&amp;context=vul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A6A5E-EC94-46C5-8D7C-140D605CF96C}">
  <we:reference id="a6ab5f17-ed7d-4c8a-80f0-5a39579a70a2" version="1.5.0.0" store="EXCatalog" storeType="EXCatalog"/>
  <we:alternateReferences>
    <we:reference id="WA200002017" version="1.5.0.0" store="en-IE" storeType="OMEX"/>
  </we:alternateReferences>
  <we:properties>
    <we:property name="ignoredAdviceList" value="&quot;[{\&quot;errorCode\&quot;:\&quot;139\&quot;,\&quot;originalError\&quot;:\&quot;Pursuit of Happines(poH)\&quot;},{\&quot;errorCode\&quot;:\&quot;139\&quot;,\&quot;originalError\&quot;:\&quot;Pursuit of Happiness\&quot;},{\&quot;errorCode\&quot;:\&quot;139\&quot;,\&quot;originalError\&quot;:\&quot;Pursuit of Happines (poH)\&quot;},{\&quot;errorCode\&quot;:\&quot;111\&quot;,\&quot;originalError\&quot;:\&quot;poH\&quot;},{\&quot;errorCode\&quot;:\&quot;21\&quot;,\&quot;originalError\&quot;:\&quot;to\&quot;},{\&quot;errorCode\&quot;:\&quot;21\&quot;,\&quot;originalError\&quot;:\&quot;Regulate\&quot;},{\&quot;errorCode\&quot;:\&quot;21\&quot;,\&quot;originalError\&quot;:\&quot;Warehouses\&quot;},{\&quot;errorCode\&quot;:\&quot;21\&quot;,\&quot;originalError\&quot;:\&quot;and\&quot;},{\&quot;errorCode\&quot;:\&quot;101\&quot;,\&quot;originalError\&quot;:\&quot;Grain Act\&quot;},{\&quot;errorCode\&quot;:\&quot;101\&quot;,\&quot;originalError\&quot;:\&quot;U.S. Const\&quot;},{\&quot;errorCode\&quot;:\&quot;26\&quot;,\&quot;originalError\&quot;:\&quot;auszulösen.\\u0002\&quot;},{\&quot;errorCode\&quot;:\&quot;139\&quot;,\&quot;originalError\&quot;:\&quot;(“Not everything that affects commerce amounts to a regulation of it within the meaning of the U.S. Constitution”\\u0002).\&quot;},{\&quot;errorCode\&quot;:\&quot;21\&quot;,\&quot;originalError\&quot;:\&quot;majority\&quot;},{\&quot;errorCode\&quot;:\&quot;2001\&quot;,\&quot;originalError\&quot;:\&quot;possession\&quot;},{\&quot;errorCode\&quot;:\&quot;21\&quot;,\&quot;originalError\&quot;:\&quot;constitutional\&quot;},{\&quot;errorCode\&quot;:\&quot;21\&quot;,\&quot;originalError\&quot;:\&quot;is\&quot;},{\&quot;errorCode\&quot;:\&quot;21\&quot;,\&quot;originalError\&quot;:\&quot;beneficial\&quot;},{\&quot;errorCode\&quot;:\&quot;1\&quot;,\&quot;originalError\&quot;:\&quot;property\&quot;},{\&quot;errorCode\&quot;:\&quot;9999\&quot;,\&quot;originalError\&quot;:\&quot;U.S.\&quot;},{\&quot;errorCode\&quot;:\&quot;111\&quot;,\&quot;originalError\&quot;:\&quot;da\&quot;},{\&quot;errorCode\&quot;:\&quot;26\&quot;,\&quot;originalError\&quot;:\&quot;überregelt.\\u0002\&quot;},{\&quot;errorCode\&quot;:\&quot;26\&quot;,\&quot;originalError\&quot;:\&quot;Amd. V\&quot;},{\&quot;errorCode\&quot;:\&quot;21\&quot;,\&quot;originalError\&quot;:\&quot;use\&quot;},{\&quot;errorCode\&quot;:\&quot;26\&quot;,\&quot;originalError\&quot;:\&quot;Amd. XIV\&quot;},{\&quot;errorCode\&quot;:\&quot;19\&quot;,\&quot;originalError\&quot;:\&quot;z.B.\&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D5731-5BED-4898-B723-4E6A7A31C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589</Pages>
  <Words>116781</Words>
  <Characters>735727</Characters>
  <Application>Microsoft Office Word</Application>
  <DocSecurity>0</DocSecurity>
  <Lines>6131</Lines>
  <Paragraphs>1701</Paragraphs>
  <ScaleCrop>false</ScaleCrop>
  <Company>Deutscher Bundestag</Company>
  <LinksUpToDate>false</LinksUpToDate>
  <CharactersWithSpaces>850807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bYVgRxo9K6Q0SVai</dc:creator>
  <cp:keywords/>
  <dc:description/>
  <cp:lastModifiedBy>bYVgRxo9K6Q0SVai</cp:lastModifiedBy>
  <cp:revision>13</cp:revision>
  <cp:lastPrinted>2026-08-18T18:00:00Z</cp:lastPrinted>
  <dcterms:created xsi:type="dcterms:W3CDTF">2026-08-18T17:59:00Z</dcterms:created>
  <dcterms:modified xsi:type="dcterms:W3CDTF">2026-08-19T10:52:00Z</dcterms:modified>
</cp:coreProperties>
</file>